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6"/>
        <w:spacing w:before="53"/>
        <w:ind w:left="2260" w:right="2093"/>
        <w:jc w:val="center"/>
      </w:pPr>
      <w:r>
        <w:rPr/>
        <w:drawing>
          <wp:anchor distT="0" distB="0" distL="0" distR="0" allowOverlap="1" layoutInCell="1" locked="0" behindDoc="0" simplePos="0" relativeHeight="0">
            <wp:simplePos x="0" y="0"/>
            <wp:positionH relativeFrom="page">
              <wp:posOffset>698500</wp:posOffset>
            </wp:positionH>
            <wp:positionV relativeFrom="paragraph">
              <wp:posOffset>36675</wp:posOffset>
            </wp:positionV>
            <wp:extent cx="1191260" cy="1034161"/>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191260" cy="1034161"/>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6009640</wp:posOffset>
            </wp:positionH>
            <wp:positionV relativeFrom="paragraph">
              <wp:posOffset>36675</wp:posOffset>
            </wp:positionV>
            <wp:extent cx="1101343" cy="994156"/>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1101343" cy="994156"/>
                    </a:xfrm>
                    <a:prstGeom prst="rect">
                      <a:avLst/>
                    </a:prstGeom>
                  </pic:spPr>
                </pic:pic>
              </a:graphicData>
            </a:graphic>
          </wp:anchor>
        </w:drawing>
      </w:r>
      <w:r>
        <w:rPr/>
        <w:t>UNIVERSIDAD AUTÓNOMA DEL ESTADO DE MÉXICO</w:t>
      </w:r>
    </w:p>
    <w:p>
      <w:pPr>
        <w:pStyle w:val="BodyText"/>
        <w:spacing w:before="1"/>
        <w:rPr>
          <w:b/>
        </w:rPr>
      </w:pPr>
    </w:p>
    <w:p>
      <w:pPr>
        <w:spacing w:before="0"/>
        <w:ind w:left="2260" w:right="2086" w:firstLine="0"/>
        <w:jc w:val="center"/>
        <w:rPr>
          <w:b/>
          <w:sz w:val="24"/>
        </w:rPr>
      </w:pPr>
      <w:r>
        <w:rPr>
          <w:b/>
          <w:sz w:val="24"/>
        </w:rPr>
        <w:t>FACULTAD DE INGENIERÍA</w:t>
      </w:r>
    </w:p>
    <w:p>
      <w:pPr>
        <w:pStyle w:val="BodyText"/>
        <w:spacing w:before="10"/>
        <w:rPr>
          <w:b/>
          <w:sz w:val="21"/>
        </w:rPr>
      </w:pPr>
    </w:p>
    <w:p>
      <w:pPr>
        <w:spacing w:before="0"/>
        <w:ind w:left="2260" w:right="2092" w:firstLine="0"/>
        <w:jc w:val="center"/>
        <w:rPr>
          <w:b/>
          <w:sz w:val="22"/>
        </w:rPr>
      </w:pPr>
      <w:r>
        <w:rPr>
          <w:b/>
          <w:sz w:val="22"/>
        </w:rPr>
        <w:t>CENTRO INTERAMERICANO DE RECURSOS DEL AGUA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276" w:lineRule="auto" w:before="208"/>
        <w:ind w:left="1000" w:right="924" w:firstLine="1"/>
        <w:jc w:val="center"/>
        <w:rPr>
          <w:b/>
          <w:sz w:val="36"/>
        </w:rPr>
      </w:pPr>
      <w:r>
        <w:rPr/>
        <w:pict>
          <v:group style="position:absolute;margin-left:59.849998pt;margin-top:-22.326197pt;width:490.55pt;height:459.1pt;mso-position-horizontal-relative:page;mso-position-vertical-relative:paragraph;z-index:-3342328" coordorigin="1197,-447" coordsize="9811,9182">
            <v:line style="position:absolute" from="1290,-338" to="10953,-338" stroked="true" strokeweight="5pt" strokecolor="#4f6128"/>
            <v:shape style="position:absolute;left:1247;top:-392;width:9711;height:9077" coordorigin="1247,-392" coordsize="9711,9077" path="m1247,-107l10958,-107m1600,8685l1498,-392e" filled="false" stroked="true" strokeweight="5pt" strokecolor="#00afef">
              <v:path arrowok="t"/>
            </v:shape>
            <v:line style="position:absolute" from="1291,-397" to="1358,8680" stroked="true" strokeweight="5pt" strokecolor="#4f6128"/>
            <w10:wrap type="none"/>
          </v:group>
        </w:pict>
      </w:r>
      <w:r>
        <w:rPr>
          <w:b/>
          <w:sz w:val="36"/>
        </w:rPr>
        <w:t>PROPUESTA PARA </w:t>
      </w:r>
      <w:r>
        <w:rPr>
          <w:b/>
          <w:spacing w:val="4"/>
          <w:sz w:val="36"/>
        </w:rPr>
        <w:t>LA </w:t>
      </w:r>
      <w:r>
        <w:rPr>
          <w:b/>
          <w:sz w:val="36"/>
        </w:rPr>
        <w:t>GESTIÓN INTERMUNICIPAL DE </w:t>
      </w:r>
      <w:r>
        <w:rPr>
          <w:b/>
          <w:spacing w:val="2"/>
          <w:sz w:val="36"/>
        </w:rPr>
        <w:t>LA </w:t>
      </w:r>
      <w:r>
        <w:rPr>
          <w:b/>
          <w:sz w:val="36"/>
        </w:rPr>
        <w:t>CUENCA</w:t>
      </w:r>
      <w:r>
        <w:rPr>
          <w:b/>
          <w:spacing w:val="-18"/>
          <w:sz w:val="36"/>
        </w:rPr>
        <w:t> </w:t>
      </w:r>
      <w:r>
        <w:rPr>
          <w:b/>
          <w:sz w:val="36"/>
        </w:rPr>
        <w:t>HIDROSOCIAL PRESA</w:t>
      </w:r>
      <w:r>
        <w:rPr>
          <w:b/>
          <w:spacing w:val="-7"/>
          <w:sz w:val="36"/>
        </w:rPr>
        <w:t> </w:t>
      </w:r>
      <w:r>
        <w:rPr>
          <w:b/>
          <w:sz w:val="36"/>
        </w:rPr>
        <w:t>HUAPANGO</w:t>
      </w:r>
    </w:p>
    <w:p>
      <w:pPr>
        <w:pStyle w:val="BodyText"/>
        <w:rPr>
          <w:b/>
          <w:sz w:val="36"/>
        </w:rPr>
      </w:pPr>
    </w:p>
    <w:p>
      <w:pPr>
        <w:pStyle w:val="BodyText"/>
        <w:spacing w:before="8"/>
        <w:rPr>
          <w:b/>
          <w:sz w:val="40"/>
        </w:rPr>
      </w:pPr>
    </w:p>
    <w:p>
      <w:pPr>
        <w:spacing w:before="0"/>
        <w:ind w:left="2251" w:right="2170" w:firstLine="0"/>
        <w:jc w:val="center"/>
        <w:rPr>
          <w:b/>
          <w:sz w:val="28"/>
        </w:rPr>
      </w:pPr>
      <w:r>
        <w:rPr>
          <w:b/>
          <w:sz w:val="28"/>
        </w:rPr>
        <w:t>TESIS</w:t>
      </w:r>
    </w:p>
    <w:p>
      <w:pPr>
        <w:pStyle w:val="BodyText"/>
        <w:rPr>
          <w:b/>
          <w:sz w:val="28"/>
        </w:rPr>
      </w:pPr>
    </w:p>
    <w:p>
      <w:pPr>
        <w:pStyle w:val="BodyText"/>
        <w:rPr>
          <w:b/>
          <w:sz w:val="28"/>
        </w:rPr>
      </w:pPr>
    </w:p>
    <w:p>
      <w:pPr>
        <w:spacing w:before="174"/>
        <w:ind w:left="2246" w:right="2170" w:firstLine="0"/>
        <w:jc w:val="center"/>
        <w:rPr>
          <w:b/>
          <w:sz w:val="28"/>
        </w:rPr>
      </w:pPr>
      <w:r>
        <w:rPr>
          <w:b/>
          <w:sz w:val="28"/>
        </w:rPr>
        <w:t>QUE PARA OBTENER EL GRADO DE</w:t>
      </w:r>
    </w:p>
    <w:p>
      <w:pPr>
        <w:pStyle w:val="BodyText"/>
        <w:rPr>
          <w:b/>
          <w:sz w:val="28"/>
        </w:rPr>
      </w:pPr>
    </w:p>
    <w:p>
      <w:pPr>
        <w:pStyle w:val="BodyText"/>
        <w:rPr>
          <w:b/>
          <w:sz w:val="28"/>
        </w:rPr>
      </w:pPr>
    </w:p>
    <w:p>
      <w:pPr>
        <w:spacing w:before="171"/>
        <w:ind w:left="2252" w:right="2170" w:firstLine="0"/>
        <w:jc w:val="center"/>
        <w:rPr>
          <w:b/>
          <w:sz w:val="36"/>
        </w:rPr>
      </w:pPr>
      <w:r>
        <w:rPr>
          <w:b/>
          <w:sz w:val="36"/>
        </w:rPr>
        <w:t>DOCTOR EN CIENCIAS DEL AGUA</w:t>
      </w:r>
    </w:p>
    <w:p>
      <w:pPr>
        <w:pStyle w:val="BodyText"/>
        <w:rPr>
          <w:b/>
          <w:sz w:val="36"/>
        </w:rPr>
      </w:pPr>
    </w:p>
    <w:p>
      <w:pPr>
        <w:pStyle w:val="BodyText"/>
        <w:rPr>
          <w:b/>
          <w:sz w:val="36"/>
        </w:rPr>
      </w:pPr>
    </w:p>
    <w:p>
      <w:pPr>
        <w:spacing w:before="273"/>
        <w:ind w:left="2252" w:right="2170" w:firstLine="0"/>
        <w:jc w:val="center"/>
        <w:rPr>
          <w:b/>
          <w:sz w:val="28"/>
        </w:rPr>
      </w:pPr>
      <w:r>
        <w:rPr>
          <w:b/>
          <w:sz w:val="28"/>
        </w:rPr>
        <w:t>PRESENTA</w:t>
      </w:r>
    </w:p>
    <w:p>
      <w:pPr>
        <w:spacing w:before="243"/>
        <w:ind w:left="2248" w:right="2170" w:firstLine="0"/>
        <w:jc w:val="center"/>
        <w:rPr>
          <w:b/>
          <w:sz w:val="36"/>
        </w:rPr>
      </w:pPr>
      <w:r>
        <w:rPr>
          <w:b/>
          <w:sz w:val="36"/>
        </w:rPr>
        <w:t>MARTA GARCÍA GALVÁN</w:t>
      </w:r>
    </w:p>
    <w:p>
      <w:pPr>
        <w:pStyle w:val="BodyText"/>
        <w:rPr>
          <w:b/>
          <w:sz w:val="36"/>
        </w:rPr>
      </w:pPr>
    </w:p>
    <w:p>
      <w:pPr>
        <w:pStyle w:val="BodyText"/>
        <w:spacing w:before="8"/>
        <w:rPr>
          <w:b/>
          <w:sz w:val="36"/>
        </w:rPr>
      </w:pPr>
    </w:p>
    <w:p>
      <w:pPr>
        <w:spacing w:before="1"/>
        <w:ind w:left="1144" w:right="0" w:firstLine="0"/>
        <w:jc w:val="left"/>
        <w:rPr>
          <w:b/>
          <w:sz w:val="24"/>
        </w:rPr>
      </w:pPr>
      <w:r>
        <w:rPr>
          <w:b/>
          <w:sz w:val="24"/>
        </w:rPr>
        <w:t>TUTOR ACADÉMICO: DR. ALEJANDRO TONATIUH ROMERO CONTRERAS</w:t>
      </w:r>
    </w:p>
    <w:p>
      <w:pPr>
        <w:spacing w:before="0"/>
        <w:ind w:left="3199" w:right="0" w:firstLine="892"/>
        <w:jc w:val="left"/>
        <w:rPr>
          <w:b/>
          <w:sz w:val="24"/>
        </w:rPr>
      </w:pPr>
      <w:r>
        <w:rPr/>
        <w:drawing>
          <wp:anchor distT="0" distB="0" distL="0" distR="0" allowOverlap="1" layoutInCell="1" locked="0" behindDoc="0" simplePos="0" relativeHeight="1072">
            <wp:simplePos x="0" y="0"/>
            <wp:positionH relativeFrom="page">
              <wp:posOffset>618490</wp:posOffset>
            </wp:positionH>
            <wp:positionV relativeFrom="paragraph">
              <wp:posOffset>304747</wp:posOffset>
            </wp:positionV>
            <wp:extent cx="913891" cy="842772"/>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913891" cy="842772"/>
                    </a:xfrm>
                    <a:prstGeom prst="rect">
                      <a:avLst/>
                    </a:prstGeom>
                  </pic:spPr>
                </pic:pic>
              </a:graphicData>
            </a:graphic>
          </wp:anchor>
        </w:drawing>
      </w:r>
      <w:r>
        <w:rPr>
          <w:b/>
          <w:sz w:val="24"/>
        </w:rPr>
        <w:t>TUTOR ADJUNTO: DR. CARLOS DÍAZ DELGADO TUTOR ADJUNTO: DRA. MARIVEL HERNÁNDEZ TÉLLEZ</w:t>
      </w:r>
    </w:p>
    <w:p>
      <w:pPr>
        <w:pStyle w:val="BodyText"/>
        <w:rPr>
          <w:b/>
          <w:sz w:val="24"/>
        </w:rPr>
      </w:pPr>
    </w:p>
    <w:p>
      <w:pPr>
        <w:pStyle w:val="BodyText"/>
        <w:spacing w:before="9"/>
        <w:rPr>
          <w:b/>
          <w:sz w:val="20"/>
        </w:rPr>
      </w:pPr>
    </w:p>
    <w:p>
      <w:pPr>
        <w:spacing w:before="0"/>
        <w:ind w:left="0" w:right="973" w:firstLine="0"/>
        <w:jc w:val="right"/>
        <w:rPr>
          <w:b/>
          <w:sz w:val="22"/>
        </w:rPr>
      </w:pPr>
      <w:r>
        <w:rPr>
          <w:b/>
          <w:sz w:val="22"/>
        </w:rPr>
        <w:t>AGOSTO DE 2016</w:t>
      </w:r>
    </w:p>
    <w:p>
      <w:pPr>
        <w:spacing w:after="0"/>
        <w:jc w:val="right"/>
        <w:rPr>
          <w:sz w:val="22"/>
        </w:rPr>
        <w:sectPr>
          <w:footerReference w:type="default" r:id="rId5"/>
          <w:type w:val="continuous"/>
          <w:pgSz w:w="12240" w:h="15840"/>
          <w:pgMar w:footer="1003" w:top="1360" w:bottom="1200" w:left="860" w:right="940"/>
        </w:sectPr>
      </w:pPr>
    </w:p>
    <w:p>
      <w:pPr>
        <w:pStyle w:val="Heading6"/>
        <w:spacing w:before="53"/>
        <w:jc w:val="both"/>
      </w:pPr>
      <w:bookmarkStart w:name="_TOC_250073" w:id="1"/>
      <w:bookmarkEnd w:id="1"/>
      <w:r>
        <w:rPr/>
        <w:t>RESUMEN</w:t>
      </w:r>
    </w:p>
    <w:p>
      <w:pPr>
        <w:pStyle w:val="BodyText"/>
        <w:spacing w:before="9"/>
        <w:rPr>
          <w:b/>
          <w:sz w:val="20"/>
        </w:rPr>
      </w:pPr>
    </w:p>
    <w:p>
      <w:pPr>
        <w:pStyle w:val="BodyText"/>
        <w:spacing w:line="360" w:lineRule="auto"/>
        <w:ind w:left="102" w:right="112"/>
        <w:jc w:val="both"/>
      </w:pPr>
      <w:r>
        <w:rPr/>
        <w:t>Se dice que el agua tiene el potencial de actuar como un puente para la cooperación entre pueblos y países. Es por ello, que en la gestión integrada de presas y cuerpos de agua compartidos se detectaron experiencias previas a nivel mundial, continental, nacional y regional (PNUD, 2006), donde la Gestión Integrada de los Recursos Hídricos (GIRH) estuvo sustentada en la gobernanza y la gobernabilidad para resolver la problemática.</w:t>
      </w:r>
    </w:p>
    <w:p>
      <w:pPr>
        <w:pStyle w:val="BodyText"/>
        <w:spacing w:before="7"/>
        <w:rPr>
          <w:sz w:val="17"/>
        </w:rPr>
      </w:pPr>
    </w:p>
    <w:p>
      <w:pPr>
        <w:pStyle w:val="BodyText"/>
        <w:spacing w:line="360" w:lineRule="auto"/>
        <w:ind w:left="102" w:right="116"/>
        <w:jc w:val="both"/>
      </w:pPr>
      <w:r>
        <w:rPr/>
        <w:t>Se entiende como GIRH a “un proceso que promueve el desarrollo y la gestión  coordinada del agua, la tierra y los recursos relacionados para maximizar el bienestar económico y social de forma equitativa sin comprometer la sostenibilidad de ecosistemas vitales” (GWP,</w:t>
      </w:r>
      <w:r>
        <w:rPr>
          <w:spacing w:val="-8"/>
        </w:rPr>
        <w:t> </w:t>
      </w:r>
      <w:r>
        <w:rPr/>
        <w:t>2000).</w:t>
      </w:r>
    </w:p>
    <w:p>
      <w:pPr>
        <w:pStyle w:val="BodyText"/>
        <w:spacing w:before="7"/>
        <w:rPr>
          <w:sz w:val="17"/>
        </w:rPr>
      </w:pPr>
    </w:p>
    <w:p>
      <w:pPr>
        <w:pStyle w:val="BodyText"/>
        <w:spacing w:line="360" w:lineRule="auto"/>
        <w:ind w:left="102" w:right="117"/>
        <w:jc w:val="both"/>
      </w:pPr>
      <w:r>
        <w:rPr/>
        <w:t>La gobernanza y la gobernabilidad, se conciben como dos canales que se complementan y que permiten una buena GIRH, ya que la primera está basada en una serie de estructuras sociopolíticas consolidadas a través de la historia que determinan la identidad y la cultura de los pueblos y las regiones. Mientras que la segunda, sustentada en dichas estructuras, puede generar normas que establezcan los derechos y responsabilidades de los actores por la </w:t>
      </w:r>
      <w:r>
        <w:rPr>
          <w:spacing w:val="-3"/>
        </w:rPr>
        <w:t>vía </w:t>
      </w:r>
      <w:r>
        <w:rPr/>
        <w:t>democrática, de voluntariedad y de participación social para  sostener los cuerpos de agua compartidos (García,</w:t>
      </w:r>
      <w:r>
        <w:rPr>
          <w:spacing w:val="-12"/>
        </w:rPr>
        <w:t> </w:t>
      </w:r>
      <w:r>
        <w:rPr/>
        <w:t>2013).</w:t>
      </w:r>
    </w:p>
    <w:p>
      <w:pPr>
        <w:pStyle w:val="BodyText"/>
        <w:spacing w:before="7"/>
        <w:rPr>
          <w:sz w:val="17"/>
        </w:rPr>
      </w:pPr>
    </w:p>
    <w:p>
      <w:pPr>
        <w:pStyle w:val="BodyText"/>
        <w:spacing w:line="360" w:lineRule="auto"/>
        <w:ind w:left="102" w:right="112"/>
        <w:jc w:val="both"/>
      </w:pPr>
      <w:r>
        <w:rPr/>
        <w:t>En este sentido, se identificó un caso de estudio de agua compartida: la presa Huapango, situada al Norte del Estado de México y que la comparten los municipios de Acambay, Aculco, Jilotepec, Polotitlán y Timilpan. Que para efectos de esta investigación, dichos municipios conformaron la </w:t>
      </w:r>
      <w:r>
        <w:rPr>
          <w:i/>
        </w:rPr>
        <w:t>Cuenca Hidrosocial Presa Huapango (CHPH) </w:t>
      </w:r>
      <w:r>
        <w:rPr/>
        <w:t>porque se detectaron redes de interrelación histórica entre los municipios de agua abajo (Aculco y Polotitlán) con los municipios de aguas arriba (Acambay, Jilotepec y Timilpan) (Quiroz, Delgadillo y Durán 2012), ya que la presa Huapango, es la más grande en extensión del Estado de México (22 kilómetros aproximadamente) y fue construida en 1785-1788 por  los franciscanos en el antiguo lago que estaba situado en la sabana de Huapango, lo que ha generado estructuras sociales consolidadas a través de la historia que han creado identidad y cultura en los actores históricos dentro de la región (H. Ayuntamiento de Aculco, 2009; INEGI, 2010 e Inafed,</w:t>
      </w:r>
      <w:r>
        <w:rPr>
          <w:spacing w:val="-12"/>
        </w:rPr>
        <w:t> </w:t>
      </w:r>
      <w:r>
        <w:rPr/>
        <w:t>2013).</w:t>
      </w:r>
    </w:p>
    <w:p>
      <w:pPr>
        <w:pStyle w:val="BodyText"/>
        <w:spacing w:before="9"/>
        <w:rPr>
          <w:sz w:val="17"/>
        </w:rPr>
      </w:pPr>
    </w:p>
    <w:p>
      <w:pPr>
        <w:spacing w:line="360" w:lineRule="auto" w:before="0"/>
        <w:ind w:left="102" w:right="112" w:firstLine="0"/>
        <w:jc w:val="both"/>
        <w:rPr>
          <w:sz w:val="22"/>
        </w:rPr>
      </w:pPr>
      <w:r>
        <w:rPr>
          <w:sz w:val="22"/>
        </w:rPr>
        <w:t>Por tal motivo, la identificación de dicha CHPH, permitió el desarrollo de la presente investigación titulada: </w:t>
      </w:r>
      <w:r>
        <w:rPr>
          <w:i/>
          <w:sz w:val="22"/>
        </w:rPr>
        <w:t>Propuesta para la gestión intermunicipal de la Cuenca Hidrosocial </w:t>
      </w:r>
      <w:r>
        <w:rPr>
          <w:i/>
          <w:sz w:val="22"/>
        </w:rPr>
        <w:t>Presa Huapango</w:t>
      </w:r>
      <w:r>
        <w:rPr>
          <w:sz w:val="22"/>
        </w:rPr>
        <w:t>, que fue guiada con base en el siguiente cuestionamiento: ¿Cuáles   son</w:t>
      </w:r>
    </w:p>
    <w:p>
      <w:pPr>
        <w:spacing w:after="0" w:line="360" w:lineRule="auto"/>
        <w:jc w:val="both"/>
        <w:rPr>
          <w:sz w:val="22"/>
        </w:rPr>
        <w:sectPr>
          <w:footerReference w:type="default" r:id="rId9"/>
          <w:pgSz w:w="12240" w:h="15840"/>
          <w:pgMar w:footer="1003" w:header="0" w:top="1360" w:bottom="1200" w:left="1600" w:right="1580"/>
          <w:pgNumType w:start="4"/>
        </w:sectPr>
      </w:pPr>
    </w:p>
    <w:p>
      <w:pPr>
        <w:spacing w:line="360" w:lineRule="auto" w:before="56"/>
        <w:ind w:left="102" w:right="114" w:firstLine="0"/>
        <w:jc w:val="both"/>
        <w:rPr>
          <w:i/>
          <w:sz w:val="22"/>
        </w:rPr>
      </w:pPr>
      <w:r>
        <w:rPr>
          <w:sz w:val="22"/>
        </w:rPr>
        <w:t>los problemas y las redes entre actores sociales de un cuerpo de agua compartido que debemos identificar a través de la GIRH para proponer un Comité Intermunicipal con su Reglamento con base en la gobernanza y la gobernabilidad?, y el objetivo general: </w:t>
      </w:r>
      <w:r>
        <w:rPr>
          <w:i/>
          <w:sz w:val="22"/>
        </w:rPr>
        <w:t>Identificar los problemas de la cuenca hidrosocial presa Huapango a través de la GIRH, la </w:t>
      </w:r>
      <w:r>
        <w:rPr>
          <w:i/>
          <w:sz w:val="22"/>
        </w:rPr>
        <w:t>gobernanza y la gobernabilidad para la elaboración de una propuesta de un Comité Intermunicipal con su Reglamento como instrumentos de política pública para iniciar acciones, proyectos y programas mediante la participación de los actores políticos, sociales y económicos.</w:t>
      </w:r>
    </w:p>
    <w:p>
      <w:pPr>
        <w:pStyle w:val="BodyText"/>
        <w:spacing w:before="7"/>
        <w:rPr>
          <w:i/>
          <w:sz w:val="17"/>
        </w:rPr>
      </w:pPr>
    </w:p>
    <w:p>
      <w:pPr>
        <w:pStyle w:val="BodyText"/>
        <w:spacing w:line="360" w:lineRule="auto"/>
        <w:ind w:left="102" w:right="115"/>
        <w:jc w:val="both"/>
      </w:pPr>
      <w:r>
        <w:rPr/>
        <w:t>Dicha investigación, se desarrolló principalmente en cuatro fases: la primera, consistió en elaborar las </w:t>
      </w:r>
      <w:r>
        <w:rPr>
          <w:i/>
        </w:rPr>
        <w:t>consideraciones teóricas</w:t>
      </w:r>
      <w:r>
        <w:rPr/>
        <w:t>, donde se detectaron los principios de gobernanza: democracia y voluntariedad de la sociedad, autogestión, identidad, cooperación, cultura, poder, participación social y relaciones intermunicipales que guiaron el trabajo.</w:t>
      </w:r>
    </w:p>
    <w:p>
      <w:pPr>
        <w:pStyle w:val="BodyText"/>
        <w:spacing w:before="9"/>
        <w:rPr>
          <w:sz w:val="17"/>
        </w:rPr>
      </w:pPr>
    </w:p>
    <w:p>
      <w:pPr>
        <w:pStyle w:val="BodyText"/>
        <w:spacing w:line="360" w:lineRule="auto"/>
        <w:ind w:left="102" w:right="112"/>
        <w:jc w:val="both"/>
      </w:pPr>
      <w:r>
        <w:rPr/>
        <w:t>Dichos principios de gobernanza sirvieron para desarrollar la segunda fase, el </w:t>
      </w:r>
      <w:r>
        <w:rPr>
          <w:i/>
        </w:rPr>
        <w:t>trabajo de </w:t>
      </w:r>
      <w:r>
        <w:rPr>
          <w:i/>
        </w:rPr>
        <w:t>campo transversal</w:t>
      </w:r>
      <w:r>
        <w:rPr/>
        <w:t>, que consistió en realizar un total de 77 entrevistas a líderes de organizaciones ya establecidas, como cooperativas de pescadores, de ganaderos, autoridades auxiliares, cooperativas industriales de quesos, funcionarios de la Conagua, autoridades municipales, entre otros.</w:t>
      </w:r>
    </w:p>
    <w:p>
      <w:pPr>
        <w:pStyle w:val="BodyText"/>
        <w:spacing w:before="9"/>
        <w:rPr>
          <w:sz w:val="17"/>
        </w:rPr>
      </w:pPr>
    </w:p>
    <w:p>
      <w:pPr>
        <w:spacing w:line="360" w:lineRule="auto" w:before="1"/>
        <w:ind w:left="102" w:right="115" w:firstLine="0"/>
        <w:jc w:val="both"/>
        <w:rPr>
          <w:sz w:val="22"/>
        </w:rPr>
      </w:pPr>
      <w:r>
        <w:rPr>
          <w:sz w:val="22"/>
        </w:rPr>
        <w:t>Los resultados de dicho trabajo de campo, permitieron desarrollar la tercera fase, que fue el </w:t>
      </w:r>
      <w:r>
        <w:rPr>
          <w:i/>
          <w:sz w:val="22"/>
        </w:rPr>
        <w:t>uso de indicadores a través del sistema de Presión, Estado, Impacto y Respuesta </w:t>
      </w:r>
      <w:r>
        <w:rPr>
          <w:i/>
          <w:sz w:val="22"/>
        </w:rPr>
        <w:t>(PEIR) para detectar los Factores Críticos de Éxito (FCE) </w:t>
      </w:r>
      <w:r>
        <w:rPr>
          <w:sz w:val="22"/>
        </w:rPr>
        <w:t>que se consideraron en la elaboración de la propuesta del Comité Intermunicipal con su Reglamento.</w:t>
      </w:r>
    </w:p>
    <w:p>
      <w:pPr>
        <w:pStyle w:val="BodyText"/>
        <w:spacing w:before="9"/>
        <w:rPr>
          <w:sz w:val="17"/>
        </w:rPr>
      </w:pPr>
    </w:p>
    <w:p>
      <w:pPr>
        <w:pStyle w:val="BodyText"/>
        <w:spacing w:line="360" w:lineRule="auto"/>
        <w:ind w:left="102" w:right="113"/>
        <w:jc w:val="both"/>
      </w:pPr>
      <w:r>
        <w:rPr/>
        <w:t>Finalmente, como resultado de estas tres fases, se propuso la creación de un </w:t>
      </w:r>
      <w:r>
        <w:rPr>
          <w:i/>
        </w:rPr>
        <w:t>Comité </w:t>
      </w:r>
      <w:r>
        <w:rPr>
          <w:i/>
        </w:rPr>
        <w:t>Intermunicipal para Cuidar, Defender y Administrar los Recursos Naturales de la CHPH con su Reglamento</w:t>
      </w:r>
      <w:r>
        <w:rPr/>
        <w:t>. Dicha propuesta se elaboró con base en el derecho consuetudinario (usos y costumbres), y los actores históricos (multiactores: pescadores, agricultores y ganaderos), quienes conocen la problemática de la región, sugirieron que el Comité esté conformado por ellos y respaldado con el apoyo de los actores gubernamentales de los tres niveles de gobierno (federal, estatal y municipal), las Organizaciones No Gubernamentales, los organismos internacionales y los académicos para sostener la CHPH, ya que esto permitiría generar mayor desarrollo en la región con base en la agricultura y ganadería, ya que la CHPH conforma una de las regiones agrícolas más importantes del Estado de México y la cuenca lechera más grande del mismo Estado.</w:t>
      </w:r>
    </w:p>
    <w:p>
      <w:pPr>
        <w:spacing w:after="0" w:line="360" w:lineRule="auto"/>
        <w:jc w:val="both"/>
        <w:sectPr>
          <w:pgSz w:w="12240" w:h="15840"/>
          <w:pgMar w:header="0" w:footer="1003" w:top="1360" w:bottom="1200" w:left="1600" w:right="1580"/>
        </w:sectPr>
      </w:pPr>
    </w:p>
    <w:p>
      <w:pPr>
        <w:pStyle w:val="Heading6"/>
        <w:spacing w:before="53"/>
        <w:jc w:val="both"/>
      </w:pPr>
      <w:bookmarkStart w:name="_TOC_250072" w:id="2"/>
      <w:bookmarkEnd w:id="2"/>
      <w:r>
        <w:rPr/>
        <w:t>ABSTRACT</w:t>
      </w:r>
    </w:p>
    <w:p>
      <w:pPr>
        <w:pStyle w:val="BodyText"/>
        <w:spacing w:line="360" w:lineRule="auto" w:before="129"/>
        <w:ind w:left="102" w:right="119"/>
        <w:jc w:val="both"/>
      </w:pPr>
      <w:r>
        <w:rPr/>
        <w:t>It is said that the water has the potential to act as a bridge for cooperation between peoples and countries. It is why, in the integrated management of dams and bodies </w:t>
      </w:r>
      <w:r>
        <w:rPr>
          <w:spacing w:val="-3"/>
        </w:rPr>
        <w:t>of </w:t>
      </w:r>
      <w:r>
        <w:rPr/>
        <w:t>water shared previous experiences at global, continental, national and regional level (UNDP, 2006), and where he integrated water resources management (IWRM) was sustained in governance and governance to solve the problems</w:t>
      </w:r>
      <w:r>
        <w:rPr>
          <w:spacing w:val="-10"/>
        </w:rPr>
        <w:t> </w:t>
      </w:r>
      <w:r>
        <w:rPr/>
        <w:t>detected.</w:t>
      </w:r>
    </w:p>
    <w:p>
      <w:pPr>
        <w:pStyle w:val="BodyText"/>
      </w:pPr>
    </w:p>
    <w:p>
      <w:pPr>
        <w:pStyle w:val="BodyText"/>
        <w:spacing w:line="360" w:lineRule="auto" w:before="132"/>
        <w:ind w:left="102" w:right="116"/>
        <w:jc w:val="both"/>
      </w:pPr>
      <w:r>
        <w:rPr/>
        <w:t>He is understood as IWRM to "a process that promotes the development and coordinated management of water, land and related resources to maximize welfare economic and social in an equitable manner without compromising the sustainability of vital ecosystems" (GWP, 2000).</w:t>
      </w:r>
    </w:p>
    <w:p>
      <w:pPr>
        <w:pStyle w:val="BodyText"/>
      </w:pPr>
    </w:p>
    <w:p>
      <w:pPr>
        <w:pStyle w:val="BodyText"/>
        <w:spacing w:line="360" w:lineRule="auto" w:before="129"/>
        <w:ind w:left="102" w:right="119"/>
        <w:jc w:val="both"/>
      </w:pPr>
      <w:r>
        <w:rPr/>
        <w:t>Governance and governance are conceived as two channels that complement each other and allow a good IWRM, since the first is based on a series of consolidated throughout history socio-political structures that determine the identity and culture of the peoples and regions. While the second, based on such structures, can generate rules that establish the rights and responsibilities of the actors by democratic means, voluntary and social participation to sustain shared water bodies (García, 2013).</w:t>
      </w:r>
    </w:p>
    <w:p>
      <w:pPr>
        <w:pStyle w:val="BodyText"/>
      </w:pPr>
    </w:p>
    <w:p>
      <w:pPr>
        <w:pStyle w:val="BodyText"/>
        <w:spacing w:line="360" w:lineRule="auto" w:before="130"/>
        <w:ind w:left="102" w:right="112"/>
        <w:jc w:val="both"/>
      </w:pPr>
      <w:r>
        <w:rPr/>
        <w:t>In this sense, a case study of shared water was identified: the Huapango dam, located to the North of the State of Mexico and that is shared by the municipalities of Acambay, Jilotepec, Polotitlán, Aculco and Timilpan. That for purposes of this investigation, these municipalities formed Basin Hidrosocial Dam Huapango (CHPH) because historical interrelation between municipalities networks were of downstream (Aculco and Polotitlán) with the municipalities of upstream (Acambay and Timilpan, Jilotepec) (Quiroz, Delgadillo and Durán 2012), Huapango dam, is the largest in area of the State of Mexico (22 km approximately) and was built in 1785-1788 by the Franciscans in the old Lake which was located in the Huapango Savannah, which has generated social structures consolidated throughout history have created identity and culture in the historical actors in the region (H. municipality of Aculco, 2009;) INEGI, 2010 and Inafed, 2013).</w:t>
      </w:r>
    </w:p>
    <w:p>
      <w:pPr>
        <w:pStyle w:val="BodyText"/>
      </w:pPr>
    </w:p>
    <w:p>
      <w:pPr>
        <w:spacing w:line="360" w:lineRule="auto" w:before="129"/>
        <w:ind w:left="102" w:right="118" w:firstLine="0"/>
        <w:jc w:val="both"/>
        <w:rPr>
          <w:sz w:val="22"/>
        </w:rPr>
      </w:pPr>
      <w:r>
        <w:rPr>
          <w:sz w:val="22"/>
        </w:rPr>
        <w:t>For this reason, the identification of such CHPH, allowed the development of this research entitled: </w:t>
      </w:r>
      <w:r>
        <w:rPr>
          <w:i/>
          <w:sz w:val="22"/>
        </w:rPr>
        <w:t>Proposed to the Intermunicipal Management of the Basin Hidrosocial Dam </w:t>
      </w:r>
      <w:r>
        <w:rPr>
          <w:i/>
          <w:sz w:val="22"/>
        </w:rPr>
        <w:t>Huapango</w:t>
      </w:r>
      <w:r>
        <w:rPr>
          <w:sz w:val="22"/>
        </w:rPr>
        <w:t>, which was guided based on the following question: what are the issues and</w:t>
      </w:r>
    </w:p>
    <w:p>
      <w:pPr>
        <w:spacing w:after="0" w:line="360" w:lineRule="auto"/>
        <w:jc w:val="both"/>
        <w:rPr>
          <w:sz w:val="22"/>
        </w:rPr>
        <w:sectPr>
          <w:pgSz w:w="12240" w:h="15840"/>
          <w:pgMar w:header="0" w:footer="1003" w:top="1360" w:bottom="1200" w:left="1600" w:right="1580"/>
        </w:sectPr>
      </w:pPr>
    </w:p>
    <w:p>
      <w:pPr>
        <w:pStyle w:val="BodyText"/>
        <w:spacing w:line="360" w:lineRule="auto" w:before="56"/>
        <w:ind w:left="102" w:right="113"/>
        <w:jc w:val="both"/>
      </w:pPr>
      <w:r>
        <w:rPr/>
        <w:t>networks between social actors in a body of water shared that we must identify through IWRM to propose an intercommunal Committee with its rules-based governance and governance? and the general objective: identify the problems of the dam hidrosocial Huapango through IWRM basin, governance and governance for the elaboration of a proposal for an intercommunal Committee with its rules as instruments of public policy to initiate actions, projects and programs through the participation of the political, social and economic actors.</w:t>
      </w:r>
    </w:p>
    <w:p>
      <w:pPr>
        <w:pStyle w:val="BodyText"/>
      </w:pPr>
    </w:p>
    <w:p>
      <w:pPr>
        <w:pStyle w:val="BodyText"/>
        <w:spacing w:line="360" w:lineRule="auto" w:before="129"/>
        <w:ind w:left="102" w:right="113"/>
        <w:jc w:val="both"/>
      </w:pPr>
      <w:r>
        <w:rPr/>
        <w:t>This research was developed mainly in four phases: the first consisted in developing the theoretical considerations, where were the principles of governance: democracy and voluntary nature of the society, self-management, identity, cooperation, culture, power, social participation and inter-municipal relations that guided the work.</w:t>
      </w:r>
    </w:p>
    <w:p>
      <w:pPr>
        <w:pStyle w:val="BodyText"/>
      </w:pPr>
    </w:p>
    <w:p>
      <w:pPr>
        <w:pStyle w:val="BodyText"/>
        <w:spacing w:line="360" w:lineRule="auto" w:before="129"/>
        <w:ind w:left="102" w:right="117"/>
        <w:jc w:val="both"/>
      </w:pPr>
      <w:r>
        <w:rPr/>
        <w:t>These principles of governance were used to develop the second phase, the work of transverse field, which consisted in carrying out a total of 77 interviews with leaders of organisations already established, as fishermen, farmers, auxiliary authorities and cooperative industrial cheeses, officials of Conagua, municipal authorities, among others.</w:t>
      </w:r>
    </w:p>
    <w:p>
      <w:pPr>
        <w:pStyle w:val="BodyText"/>
      </w:pPr>
    </w:p>
    <w:p>
      <w:pPr>
        <w:pStyle w:val="BodyText"/>
        <w:spacing w:line="360" w:lineRule="auto" w:before="130"/>
        <w:ind w:left="102" w:right="116"/>
        <w:jc w:val="both"/>
      </w:pPr>
      <w:r>
        <w:rPr/>
        <w:t>The results of said work of field, allowed develop the third phase that was the use of indicators through the system of pressure, State, impact and response (PEIR) to detect those factors critical of success (FCE) that is considered in the elaboration of the proposed of the Committee Intermunicipal with its regulation.</w:t>
      </w:r>
    </w:p>
    <w:p>
      <w:pPr>
        <w:pStyle w:val="BodyText"/>
      </w:pPr>
    </w:p>
    <w:p>
      <w:pPr>
        <w:pStyle w:val="BodyText"/>
        <w:spacing w:line="360" w:lineRule="auto" w:before="129"/>
        <w:ind w:left="102" w:right="114"/>
        <w:jc w:val="both"/>
      </w:pPr>
      <w:r>
        <w:rPr/>
        <w:t>Finally, as a result of these three phases, proposed the creation of an inter-municipal Committee to look after, defend and manage the natural resources of the CHPH with its rules of procedure. This proposal was developed based on customary law (uses and customs), and the historical actors (multi-actor: fishermen, farmers and stockbreeders), those who know the problems of the region, suggested that the Committee is formed by them and backed with the support of governmental actors from the three levels of Government (federal, State and municipal), non-governmental organizations, international agencies and academia to sustain the CHPH , since this would generate greater development in the region based on Agriculture and livestock, since the CHPH constitutes one of the most important agricultural regions of the State of Mexico and the basin of the State's largest dairy.</w:t>
      </w:r>
    </w:p>
    <w:p>
      <w:pPr>
        <w:spacing w:after="0" w:line="360" w:lineRule="auto"/>
        <w:jc w:val="both"/>
        <w:sectPr>
          <w:pgSz w:w="12240" w:h="15840"/>
          <w:pgMar w:header="0" w:footer="1003" w:top="1360" w:bottom="1200" w:left="1600" w:right="1580"/>
        </w:sectPr>
      </w:pPr>
    </w:p>
    <w:p>
      <w:pPr>
        <w:pStyle w:val="Heading6"/>
        <w:spacing w:before="53"/>
        <w:ind w:left="222" w:right="239"/>
        <w:jc w:val="center"/>
      </w:pPr>
      <w:bookmarkStart w:name="_TOC_250071" w:id="3"/>
      <w:bookmarkEnd w:id="3"/>
      <w:r>
        <w:rPr/>
        <w:t>CONTENIDO</w:t>
      </w:r>
    </w:p>
    <w:p>
      <w:pPr>
        <w:spacing w:after="0"/>
        <w:jc w:val="center"/>
        <w:sectPr>
          <w:pgSz w:w="12240" w:h="15840"/>
          <w:pgMar w:header="0" w:footer="1003" w:top="1360" w:bottom="1500" w:left="1600" w:right="1580"/>
        </w:sectPr>
      </w:pPr>
    </w:p>
    <w:sdt>
      <w:sdtPr>
        <w:docPartObj>
          <w:docPartGallery w:val="Table of Contents"/>
          <w:docPartUnique/>
        </w:docPartObj>
      </w:sdtPr>
      <w:sdtEndPr/>
      <w:sdtContent>
        <w:p>
          <w:pPr>
            <w:pStyle w:val="TOC3"/>
            <w:tabs>
              <w:tab w:pos="8863" w:val="right" w:leader="none"/>
            </w:tabs>
            <w:spacing w:before="129"/>
            <w:rPr>
              <w:i w:val="0"/>
            </w:rPr>
          </w:pPr>
          <w:r>
            <w:rPr>
              <w:i/>
            </w:rPr>
            <w:t>Dedicatorias</w:t>
          </w:r>
          <w:r>
            <w:rPr>
              <w:i w:val="0"/>
            </w:rPr>
            <w:tab/>
            <w:t>2</w:t>
          </w:r>
        </w:p>
        <w:p>
          <w:pPr>
            <w:pStyle w:val="TOC3"/>
            <w:tabs>
              <w:tab w:pos="8863" w:val="right" w:leader="none"/>
            </w:tabs>
            <w:rPr>
              <w:i w:val="0"/>
            </w:rPr>
          </w:pPr>
          <w:r>
            <w:rPr>
              <w:i/>
            </w:rPr>
            <w:t>Agradecimientos</w:t>
          </w:r>
          <w:r>
            <w:rPr>
              <w:i w:val="0"/>
            </w:rPr>
            <w:tab/>
            <w:t>3</w:t>
          </w:r>
        </w:p>
        <w:p>
          <w:pPr>
            <w:pStyle w:val="TOC2"/>
            <w:tabs>
              <w:tab w:pos="8863" w:val="right" w:leader="none"/>
            </w:tabs>
          </w:pPr>
          <w:hyperlink w:history="true" w:anchor="_TOC_250073">
            <w:r>
              <w:rPr/>
              <w:t>Resumen</w:t>
              <w:tab/>
              <w:t>4</w:t>
            </w:r>
          </w:hyperlink>
        </w:p>
        <w:p>
          <w:pPr>
            <w:pStyle w:val="TOC2"/>
            <w:tabs>
              <w:tab w:pos="8863" w:val="right" w:leader="none"/>
            </w:tabs>
          </w:pPr>
          <w:hyperlink w:history="true" w:anchor="_TOC_250072">
            <w:r>
              <w:rPr/>
              <w:t>Abstract</w:t>
              <w:tab/>
              <w:t>6</w:t>
            </w:r>
          </w:hyperlink>
        </w:p>
        <w:p>
          <w:pPr>
            <w:pStyle w:val="TOC2"/>
            <w:tabs>
              <w:tab w:pos="8863" w:val="right" w:leader="none"/>
            </w:tabs>
          </w:pPr>
          <w:hyperlink w:history="true" w:anchor="_TOC_250071">
            <w:r>
              <w:rPr/>
              <w:t>Contenido</w:t>
              <w:tab/>
              <w:t>8</w:t>
            </w:r>
          </w:hyperlink>
        </w:p>
        <w:p>
          <w:pPr>
            <w:pStyle w:val="TOC2"/>
            <w:tabs>
              <w:tab w:pos="8863" w:val="right" w:leader="none"/>
            </w:tabs>
            <w:spacing w:before="128"/>
          </w:pPr>
          <w:hyperlink w:history="true" w:anchor="_TOC_250070">
            <w:r>
              <w:rPr/>
              <w:t>Índice de Figuras, Esquemas</w:t>
            </w:r>
            <w:r>
              <w:rPr>
                <w:spacing w:val="1"/>
              </w:rPr>
              <w:t> </w:t>
            </w:r>
            <w:r>
              <w:rPr/>
              <w:t>y</w:t>
            </w:r>
            <w:r>
              <w:rPr>
                <w:spacing w:val="-3"/>
              </w:rPr>
              <w:t> </w:t>
            </w:r>
            <w:r>
              <w:rPr/>
              <w:t>Matrices</w:t>
              <w:tab/>
              <w:t>12</w:t>
            </w:r>
          </w:hyperlink>
        </w:p>
        <w:p>
          <w:pPr>
            <w:pStyle w:val="TOC2"/>
            <w:tabs>
              <w:tab w:pos="8863" w:val="right" w:leader="none"/>
            </w:tabs>
          </w:pPr>
          <w:r>
            <w:rPr/>
            <w:t>Índice de</w:t>
          </w:r>
          <w:r>
            <w:rPr>
              <w:spacing w:val="-2"/>
            </w:rPr>
            <w:t> </w:t>
          </w:r>
          <w:r>
            <w:rPr/>
            <w:t>Tablas</w:t>
            <w:tab/>
            <w:t>14</w:t>
          </w:r>
        </w:p>
        <w:p>
          <w:pPr>
            <w:pStyle w:val="TOC2"/>
            <w:tabs>
              <w:tab w:pos="8863" w:val="right" w:leader="none"/>
            </w:tabs>
          </w:pPr>
          <w:hyperlink w:history="true" w:anchor="_TOC_250069">
            <w:r>
              <w:rPr/>
              <w:t>Índice</w:t>
            </w:r>
            <w:r>
              <w:rPr>
                <w:spacing w:val="-1"/>
              </w:rPr>
              <w:t> </w:t>
            </w:r>
            <w:r>
              <w:rPr/>
              <w:t>de</w:t>
            </w:r>
            <w:r>
              <w:rPr>
                <w:spacing w:val="-2"/>
              </w:rPr>
              <w:t> </w:t>
            </w:r>
            <w:r>
              <w:rPr/>
              <w:t>Gráficas</w:t>
              <w:tab/>
              <w:t>16</w:t>
            </w:r>
          </w:hyperlink>
        </w:p>
        <w:p>
          <w:pPr>
            <w:pStyle w:val="TOC2"/>
            <w:tabs>
              <w:tab w:pos="8863" w:val="right" w:leader="none"/>
            </w:tabs>
            <w:spacing w:before="127"/>
          </w:pPr>
          <w:r>
            <w:rPr/>
            <w:t>Índice</w:t>
          </w:r>
          <w:r>
            <w:rPr>
              <w:spacing w:val="-1"/>
            </w:rPr>
            <w:t> </w:t>
          </w:r>
          <w:r>
            <w:rPr/>
            <w:t>de</w:t>
          </w:r>
          <w:r>
            <w:rPr>
              <w:spacing w:val="-1"/>
            </w:rPr>
            <w:t> </w:t>
          </w:r>
          <w:r>
            <w:rPr/>
            <w:t>Mapas</w:t>
            <w:tab/>
            <w:t>17</w:t>
          </w:r>
        </w:p>
        <w:p>
          <w:pPr>
            <w:pStyle w:val="TOC2"/>
            <w:tabs>
              <w:tab w:pos="8863" w:val="right" w:leader="none"/>
            </w:tabs>
          </w:pPr>
          <w:hyperlink w:history="true" w:anchor="_TOC_250068">
            <w:r>
              <w:rPr/>
              <w:t>Siglas</w:t>
              <w:tab/>
              <w:t>17</w:t>
            </w:r>
          </w:hyperlink>
        </w:p>
        <w:p>
          <w:pPr>
            <w:pStyle w:val="TOC2"/>
            <w:tabs>
              <w:tab w:pos="8863" w:val="right" w:leader="none"/>
            </w:tabs>
          </w:pPr>
          <w:hyperlink w:history="true" w:anchor="_TOC_250067">
            <w:r>
              <w:rPr/>
              <w:t>Acrónimos</w:t>
              <w:tab/>
              <w:t>19</w:t>
            </w:r>
          </w:hyperlink>
        </w:p>
        <w:p>
          <w:pPr>
            <w:pStyle w:val="TOC1"/>
            <w:tabs>
              <w:tab w:pos="8863" w:val="right" w:leader="none"/>
            </w:tabs>
            <w:rPr>
              <w:b w:val="0"/>
            </w:rPr>
          </w:pPr>
          <w:hyperlink w:history="true" w:anchor="_TOC_250066">
            <w:r>
              <w:rPr/>
              <w:t>INTRODUCCIÓN</w:t>
            </w:r>
            <w:r>
              <w:rPr>
                <w:b w:val="0"/>
              </w:rPr>
              <w:tab/>
              <w:t>20</w:t>
            </w:r>
          </w:hyperlink>
        </w:p>
        <w:p>
          <w:pPr>
            <w:pStyle w:val="TOC1"/>
            <w:numPr>
              <w:ilvl w:val="0"/>
              <w:numId w:val="1"/>
            </w:numPr>
            <w:tabs>
              <w:tab w:pos="290" w:val="left" w:leader="none"/>
              <w:tab w:pos="8863" w:val="right" w:leader="none"/>
            </w:tabs>
            <w:spacing w:line="240" w:lineRule="auto" w:before="126" w:after="0"/>
            <w:ind w:left="102" w:right="0" w:firstLine="0"/>
            <w:jc w:val="left"/>
            <w:rPr>
              <w:b w:val="0"/>
            </w:rPr>
          </w:pPr>
          <w:hyperlink w:history="true" w:anchor="_TOC_250065">
            <w:r>
              <w:rPr/>
              <w:t>ANTECEDENTES</w:t>
            </w:r>
            <w:r>
              <w:rPr>
                <w:b w:val="0"/>
              </w:rPr>
              <w:tab/>
              <w:t>33</w:t>
            </w:r>
          </w:hyperlink>
        </w:p>
        <w:p>
          <w:pPr>
            <w:pStyle w:val="TOC2"/>
            <w:numPr>
              <w:ilvl w:val="1"/>
              <w:numId w:val="2"/>
            </w:numPr>
            <w:tabs>
              <w:tab w:pos="580" w:val="left" w:leader="none"/>
              <w:tab w:pos="8863" w:val="right" w:leader="none"/>
            </w:tabs>
            <w:spacing w:line="362" w:lineRule="auto" w:before="126" w:after="0"/>
            <w:ind w:left="102" w:right="194" w:firstLine="0"/>
            <w:jc w:val="left"/>
          </w:pPr>
          <w:hyperlink w:history="true" w:anchor="_TOC_250064">
            <w:r>
              <w:rPr/>
              <w:t>La Gestión Integrada de los Recursos Hídricos (GIRH): Gobernanza  y Gobernabilidad</w:t>
              <w:tab/>
              <w:t>34</w:t>
            </w:r>
          </w:hyperlink>
        </w:p>
        <w:p>
          <w:pPr>
            <w:pStyle w:val="TOC2"/>
            <w:numPr>
              <w:ilvl w:val="1"/>
              <w:numId w:val="2"/>
            </w:numPr>
            <w:tabs>
              <w:tab w:pos="578" w:val="left" w:leader="none"/>
            </w:tabs>
            <w:spacing w:line="240" w:lineRule="auto" w:before="1" w:after="0"/>
            <w:ind w:left="577" w:right="0" w:hanging="475"/>
            <w:jc w:val="left"/>
          </w:pPr>
          <w:r>
            <w:rPr/>
            <w:t>Experiencias  de gestión  integrada en cuerpos  de agua a nivel   </w:t>
          </w:r>
          <w:r>
            <w:rPr>
              <w:spacing w:val="57"/>
            </w:rPr>
            <w:t> </w:t>
          </w:r>
          <w:r>
            <w:rPr/>
            <w:t>mundial,</w:t>
          </w:r>
        </w:p>
        <w:p>
          <w:pPr>
            <w:pStyle w:val="TOC2"/>
            <w:tabs>
              <w:tab w:pos="8863" w:val="right" w:leader="none"/>
            </w:tabs>
          </w:pPr>
          <w:r>
            <w:rPr/>
            <w:t>continental, nacional</w:t>
          </w:r>
          <w:r>
            <w:rPr>
              <w:spacing w:val="-3"/>
            </w:rPr>
            <w:t> </w:t>
          </w:r>
          <w:r>
            <w:rPr/>
            <w:t>y</w:t>
          </w:r>
          <w:r>
            <w:rPr>
              <w:spacing w:val="-3"/>
            </w:rPr>
            <w:t> </w:t>
          </w:r>
          <w:r>
            <w:rPr/>
            <w:t>regional</w:t>
          </w:r>
          <w:r>
            <w:rPr>
              <w:position w:val="-11"/>
            </w:rPr>
            <w:tab/>
            <w:t>40</w:t>
          </w:r>
        </w:p>
        <w:p>
          <w:pPr>
            <w:pStyle w:val="TOC2"/>
            <w:numPr>
              <w:ilvl w:val="2"/>
              <w:numId w:val="2"/>
            </w:numPr>
            <w:tabs>
              <w:tab w:pos="716" w:val="left" w:leader="none"/>
              <w:tab w:pos="8863" w:val="right" w:leader="none"/>
            </w:tabs>
            <w:spacing w:line="240" w:lineRule="auto" w:before="6" w:after="0"/>
            <w:ind w:left="715" w:right="0" w:hanging="613"/>
            <w:jc w:val="left"/>
          </w:pPr>
          <w:hyperlink w:history="true" w:anchor="_TOC_250063">
            <w:r>
              <w:rPr/>
              <w:t>Antecedentes en</w:t>
            </w:r>
            <w:r>
              <w:rPr>
                <w:spacing w:val="-6"/>
              </w:rPr>
              <w:t> </w:t>
            </w:r>
            <w:r>
              <w:rPr/>
              <w:t>África</w:t>
              <w:tab/>
              <w:t>40</w:t>
            </w:r>
          </w:hyperlink>
        </w:p>
        <w:p>
          <w:pPr>
            <w:pStyle w:val="TOC2"/>
            <w:numPr>
              <w:ilvl w:val="2"/>
              <w:numId w:val="2"/>
            </w:numPr>
            <w:tabs>
              <w:tab w:pos="717" w:val="left" w:leader="none"/>
              <w:tab w:pos="8863" w:val="right" w:leader="none"/>
            </w:tabs>
            <w:spacing w:line="240" w:lineRule="auto" w:before="126" w:after="0"/>
            <w:ind w:left="716" w:right="0" w:hanging="614"/>
            <w:jc w:val="left"/>
          </w:pPr>
          <w:hyperlink w:history="true" w:anchor="_TOC_250062">
            <w:r>
              <w:rPr/>
              <w:t>Antecedentes en</w:t>
            </w:r>
            <w:r>
              <w:rPr>
                <w:spacing w:val="-6"/>
              </w:rPr>
              <w:t> </w:t>
            </w:r>
            <w:r>
              <w:rPr/>
              <w:t>Europa</w:t>
              <w:tab/>
              <w:t>41</w:t>
            </w:r>
          </w:hyperlink>
        </w:p>
        <w:p>
          <w:pPr>
            <w:pStyle w:val="TOC2"/>
            <w:numPr>
              <w:ilvl w:val="2"/>
              <w:numId w:val="2"/>
            </w:numPr>
            <w:tabs>
              <w:tab w:pos="717" w:val="left" w:leader="none"/>
              <w:tab w:pos="8863" w:val="right" w:leader="none"/>
            </w:tabs>
            <w:spacing w:line="240" w:lineRule="auto" w:before="126" w:after="0"/>
            <w:ind w:left="716" w:right="0" w:hanging="614"/>
            <w:jc w:val="left"/>
          </w:pPr>
          <w:hyperlink w:history="true" w:anchor="_TOC_250061">
            <w:r>
              <w:rPr/>
              <w:t>Antecedentes en</w:t>
            </w:r>
            <w:r>
              <w:rPr>
                <w:spacing w:val="-6"/>
              </w:rPr>
              <w:t> </w:t>
            </w:r>
            <w:r>
              <w:rPr/>
              <w:t>Asia</w:t>
              <w:tab/>
              <w:t>41</w:t>
            </w:r>
          </w:hyperlink>
        </w:p>
        <w:p>
          <w:pPr>
            <w:pStyle w:val="TOC2"/>
            <w:numPr>
              <w:ilvl w:val="2"/>
              <w:numId w:val="2"/>
            </w:numPr>
            <w:tabs>
              <w:tab w:pos="717" w:val="left" w:leader="none"/>
              <w:tab w:pos="8863" w:val="right" w:leader="none"/>
            </w:tabs>
            <w:spacing w:line="240" w:lineRule="auto" w:before="126" w:after="0"/>
            <w:ind w:left="716" w:right="0" w:hanging="614"/>
            <w:jc w:val="left"/>
          </w:pPr>
          <w:hyperlink w:history="true" w:anchor="_TOC_250060">
            <w:r>
              <w:rPr/>
              <w:t>Antecedentes en</w:t>
            </w:r>
            <w:r>
              <w:rPr>
                <w:spacing w:val="-6"/>
              </w:rPr>
              <w:t> </w:t>
            </w:r>
            <w:r>
              <w:rPr/>
              <w:t>América</w:t>
              <w:tab/>
              <w:t>41</w:t>
            </w:r>
          </w:hyperlink>
        </w:p>
        <w:p>
          <w:pPr>
            <w:pStyle w:val="TOC2"/>
            <w:numPr>
              <w:ilvl w:val="2"/>
              <w:numId w:val="2"/>
            </w:numPr>
            <w:tabs>
              <w:tab w:pos="717" w:val="left" w:leader="none"/>
              <w:tab w:pos="8863" w:val="right" w:leader="none"/>
            </w:tabs>
            <w:spacing w:line="240" w:lineRule="auto" w:before="126" w:after="0"/>
            <w:ind w:left="716" w:right="0" w:hanging="614"/>
            <w:jc w:val="left"/>
          </w:pPr>
          <w:hyperlink w:history="true" w:anchor="_TOC_250059">
            <w:r>
              <w:rPr/>
              <w:t>Antecedentes en</w:t>
            </w:r>
            <w:r>
              <w:rPr>
                <w:spacing w:val="-6"/>
              </w:rPr>
              <w:t> </w:t>
            </w:r>
            <w:r>
              <w:rPr/>
              <w:t>México</w:t>
              <w:tab/>
              <w:t>42</w:t>
            </w:r>
          </w:hyperlink>
        </w:p>
        <w:p>
          <w:pPr>
            <w:pStyle w:val="TOC2"/>
            <w:numPr>
              <w:ilvl w:val="2"/>
              <w:numId w:val="2"/>
            </w:numPr>
            <w:tabs>
              <w:tab w:pos="717" w:val="left" w:leader="none"/>
              <w:tab w:pos="8863" w:val="right" w:leader="none"/>
            </w:tabs>
            <w:spacing w:line="240" w:lineRule="auto" w:before="126" w:after="0"/>
            <w:ind w:left="716" w:right="0" w:hanging="614"/>
            <w:jc w:val="left"/>
          </w:pPr>
          <w:hyperlink w:history="true" w:anchor="_TOC_250058">
            <w:r>
              <w:rPr/>
              <w:t>Antecedentes en el Estado</w:t>
            </w:r>
            <w:r>
              <w:rPr>
                <w:spacing w:val="-2"/>
              </w:rPr>
              <w:t> </w:t>
            </w:r>
            <w:r>
              <w:rPr/>
              <w:t>de</w:t>
            </w:r>
            <w:r>
              <w:rPr>
                <w:spacing w:val="-3"/>
              </w:rPr>
              <w:t> </w:t>
            </w:r>
            <w:r>
              <w:rPr/>
              <w:t>México</w:t>
              <w:tab/>
              <w:t>42</w:t>
            </w:r>
          </w:hyperlink>
        </w:p>
        <w:p>
          <w:pPr>
            <w:pStyle w:val="TOC2"/>
            <w:numPr>
              <w:ilvl w:val="2"/>
              <w:numId w:val="2"/>
            </w:numPr>
            <w:tabs>
              <w:tab w:pos="717" w:val="left" w:leader="none"/>
              <w:tab w:pos="8863" w:val="right" w:leader="none"/>
            </w:tabs>
            <w:spacing w:line="240" w:lineRule="auto" w:before="128" w:after="0"/>
            <w:ind w:left="716" w:right="0" w:hanging="614"/>
            <w:jc w:val="left"/>
          </w:pPr>
          <w:hyperlink w:history="true" w:anchor="_TOC_250057">
            <w:r>
              <w:rPr/>
              <w:t>Antecedentes en la</w:t>
            </w:r>
            <w:r>
              <w:rPr>
                <w:spacing w:val="-2"/>
              </w:rPr>
              <w:t> </w:t>
            </w:r>
            <w:r>
              <w:rPr/>
              <w:t>presa</w:t>
            </w:r>
            <w:r>
              <w:rPr>
                <w:spacing w:val="-3"/>
              </w:rPr>
              <w:t> </w:t>
            </w:r>
            <w:r>
              <w:rPr/>
              <w:t>Huapango</w:t>
              <w:tab/>
              <w:t>43</w:t>
            </w:r>
          </w:hyperlink>
        </w:p>
        <w:p>
          <w:pPr>
            <w:pStyle w:val="TOC1"/>
            <w:numPr>
              <w:ilvl w:val="0"/>
              <w:numId w:val="1"/>
            </w:numPr>
            <w:tabs>
              <w:tab w:pos="350" w:val="left" w:leader="none"/>
              <w:tab w:pos="8863" w:val="right" w:leader="none"/>
            </w:tabs>
            <w:spacing w:line="240" w:lineRule="auto" w:before="126" w:after="0"/>
            <w:ind w:left="349" w:right="0" w:hanging="247"/>
            <w:jc w:val="left"/>
            <w:rPr>
              <w:b w:val="0"/>
            </w:rPr>
          </w:pPr>
          <w:hyperlink w:history="true" w:anchor="_TOC_250056">
            <w:r>
              <w:rPr/>
              <w:t>CONSIDERACIONES</w:t>
            </w:r>
            <w:r>
              <w:rPr>
                <w:spacing w:val="-1"/>
              </w:rPr>
              <w:t> </w:t>
            </w:r>
            <w:r>
              <w:rPr/>
              <w:t>TEÓRICAS</w:t>
            </w:r>
            <w:r>
              <w:rPr>
                <w:b w:val="0"/>
              </w:rPr>
              <w:tab/>
              <w:t>45</w:t>
            </w:r>
          </w:hyperlink>
        </w:p>
        <w:p>
          <w:pPr>
            <w:pStyle w:val="TOC2"/>
            <w:numPr>
              <w:ilvl w:val="1"/>
              <w:numId w:val="3"/>
            </w:numPr>
            <w:tabs>
              <w:tab w:pos="537" w:val="left" w:leader="none"/>
            </w:tabs>
            <w:spacing w:line="240" w:lineRule="auto" w:before="126" w:after="0"/>
            <w:ind w:left="536" w:right="0" w:hanging="434"/>
            <w:jc w:val="left"/>
          </w:pPr>
          <w:r>
            <w:rPr/>
            <w:t>Importancia de la teoría social para la interpretación de la información en</w:t>
          </w:r>
          <w:r>
            <w:rPr>
              <w:spacing w:val="36"/>
            </w:rPr>
            <w:t> </w:t>
          </w:r>
          <w:r>
            <w:rPr/>
            <w:t>la</w:t>
          </w:r>
        </w:p>
        <w:p>
          <w:pPr>
            <w:pStyle w:val="TOC2"/>
            <w:tabs>
              <w:tab w:pos="8863" w:val="right" w:leader="none"/>
            </w:tabs>
            <w:spacing w:line="381" w:lineRule="exact" w:before="127"/>
          </w:pPr>
          <w:r>
            <w:rPr/>
            <w:t>GIRH</w:t>
          </w:r>
          <w:r>
            <w:rPr>
              <w:position w:val="-12"/>
            </w:rPr>
            <w:tab/>
            <w:t>46</w:t>
          </w:r>
        </w:p>
        <w:p>
          <w:pPr>
            <w:pStyle w:val="TOC2"/>
            <w:numPr>
              <w:ilvl w:val="1"/>
              <w:numId w:val="3"/>
            </w:numPr>
            <w:tabs>
              <w:tab w:pos="554" w:val="left" w:leader="none"/>
            </w:tabs>
            <w:spacing w:line="251" w:lineRule="exact" w:before="0" w:after="0"/>
            <w:ind w:left="553" w:right="0" w:hanging="451"/>
            <w:jc w:val="left"/>
          </w:pPr>
          <w:r>
            <w:rPr/>
            <w:t>Conceptos y consideraciones teóricas que guiaron la interpretación de  </w:t>
          </w:r>
          <w:r>
            <w:rPr>
              <w:spacing w:val="29"/>
            </w:rPr>
            <w:t> </w:t>
          </w:r>
          <w:r>
            <w:rPr/>
            <w:t>los</w:t>
          </w:r>
        </w:p>
        <w:p>
          <w:pPr>
            <w:pStyle w:val="TOC2"/>
            <w:tabs>
              <w:tab w:pos="8863" w:val="right" w:leader="none"/>
            </w:tabs>
            <w:spacing w:line="381" w:lineRule="exact"/>
          </w:pPr>
          <w:r>
            <w:rPr/>
            <w:t>datos a lo largo de</w:t>
          </w:r>
          <w:r>
            <w:rPr>
              <w:spacing w:val="-5"/>
            </w:rPr>
            <w:t> </w:t>
          </w:r>
          <w:r>
            <w:rPr/>
            <w:t>la</w:t>
          </w:r>
          <w:r>
            <w:rPr>
              <w:spacing w:val="-1"/>
            </w:rPr>
            <w:t> </w:t>
          </w:r>
          <w:r>
            <w:rPr/>
            <w:t>investigación</w:t>
          </w:r>
          <w:r>
            <w:rPr>
              <w:position w:val="-12"/>
            </w:rPr>
            <w:tab/>
            <w:t>51</w:t>
          </w:r>
        </w:p>
        <w:p>
          <w:pPr>
            <w:pStyle w:val="TOC2"/>
            <w:numPr>
              <w:ilvl w:val="2"/>
              <w:numId w:val="3"/>
            </w:numPr>
            <w:tabs>
              <w:tab w:pos="716" w:val="left" w:leader="none"/>
              <w:tab w:pos="8863" w:val="right" w:leader="none"/>
            </w:tabs>
            <w:spacing w:line="251" w:lineRule="exact" w:before="0" w:after="0"/>
            <w:ind w:left="715" w:right="0" w:hanging="613"/>
            <w:jc w:val="left"/>
          </w:pPr>
          <w:hyperlink w:history="true" w:anchor="_TOC_250055">
            <w:r>
              <w:rPr/>
              <w:t>La Gestión Integrada de los Recursos</w:t>
            </w:r>
            <w:r>
              <w:rPr>
                <w:spacing w:val="-8"/>
              </w:rPr>
              <w:t> </w:t>
            </w:r>
            <w:r>
              <w:rPr/>
              <w:t>Hídricos</w:t>
            </w:r>
            <w:r>
              <w:rPr>
                <w:spacing w:val="-1"/>
              </w:rPr>
              <w:t> </w:t>
            </w:r>
            <w:r>
              <w:rPr/>
              <w:t>(GIRH)</w:t>
              <w:tab/>
              <w:t>51</w:t>
            </w:r>
          </w:hyperlink>
        </w:p>
        <w:p>
          <w:pPr>
            <w:pStyle w:val="TOC2"/>
            <w:numPr>
              <w:ilvl w:val="2"/>
              <w:numId w:val="3"/>
            </w:numPr>
            <w:tabs>
              <w:tab w:pos="717" w:val="left" w:leader="none"/>
              <w:tab w:pos="8863" w:val="right" w:leader="none"/>
            </w:tabs>
            <w:spacing w:line="240" w:lineRule="auto" w:before="126" w:after="0"/>
            <w:ind w:left="716" w:right="0" w:hanging="614"/>
            <w:jc w:val="left"/>
          </w:pPr>
          <w:hyperlink w:history="true" w:anchor="_TOC_250054">
            <w:r>
              <w:rPr/>
              <w:t>La</w:t>
            </w:r>
            <w:r>
              <w:rPr>
                <w:spacing w:val="-3"/>
              </w:rPr>
              <w:t> </w:t>
            </w:r>
            <w:r>
              <w:rPr/>
              <w:t>Gobernanza</w:t>
              <w:tab/>
              <w:t>53</w:t>
            </w:r>
          </w:hyperlink>
        </w:p>
        <w:p>
          <w:pPr>
            <w:pStyle w:val="TOC2"/>
            <w:numPr>
              <w:ilvl w:val="2"/>
              <w:numId w:val="3"/>
            </w:numPr>
            <w:tabs>
              <w:tab w:pos="717" w:val="left" w:leader="none"/>
              <w:tab w:pos="8863" w:val="right" w:leader="none"/>
            </w:tabs>
            <w:spacing w:line="240" w:lineRule="auto" w:before="126" w:after="0"/>
            <w:ind w:left="716" w:right="0" w:hanging="614"/>
            <w:jc w:val="left"/>
          </w:pPr>
          <w:hyperlink w:history="true" w:anchor="_TOC_250053">
            <w:r>
              <w:rPr/>
              <w:t>La</w:t>
            </w:r>
            <w:r>
              <w:rPr>
                <w:spacing w:val="-3"/>
              </w:rPr>
              <w:t> </w:t>
            </w:r>
            <w:r>
              <w:rPr/>
              <w:t>Gobernabilidad</w:t>
              <w:tab/>
              <w:t>58</w:t>
            </w:r>
          </w:hyperlink>
        </w:p>
        <w:p>
          <w:pPr>
            <w:pStyle w:val="TOC2"/>
            <w:numPr>
              <w:ilvl w:val="1"/>
              <w:numId w:val="4"/>
            </w:numPr>
            <w:tabs>
              <w:tab w:pos="532" w:val="left" w:leader="none"/>
              <w:tab w:pos="8863" w:val="right" w:leader="none"/>
            </w:tabs>
            <w:spacing w:line="240" w:lineRule="auto" w:before="128" w:after="0"/>
            <w:ind w:left="531" w:right="0" w:hanging="429"/>
            <w:jc w:val="left"/>
          </w:pPr>
          <w:hyperlink w:history="true" w:anchor="_TOC_250052">
            <w:r>
              <w:rPr/>
              <w:t>Los principios de gobernanza y gobernabilidad en</w:t>
            </w:r>
            <w:r>
              <w:rPr>
                <w:spacing w:val="-5"/>
              </w:rPr>
              <w:t> </w:t>
            </w:r>
            <w:r>
              <w:rPr/>
              <w:t>la</w:t>
            </w:r>
            <w:r>
              <w:rPr>
                <w:spacing w:val="-3"/>
              </w:rPr>
              <w:t> </w:t>
            </w:r>
            <w:r>
              <w:rPr/>
              <w:t>GIRH</w:t>
              <w:tab/>
              <w:t>62</w:t>
            </w:r>
          </w:hyperlink>
        </w:p>
        <w:p>
          <w:pPr>
            <w:pStyle w:val="TOC2"/>
            <w:numPr>
              <w:ilvl w:val="2"/>
              <w:numId w:val="4"/>
            </w:numPr>
            <w:tabs>
              <w:tab w:pos="716" w:val="left" w:leader="none"/>
              <w:tab w:pos="8863" w:val="right" w:leader="none"/>
            </w:tabs>
            <w:spacing w:line="240" w:lineRule="auto" w:before="56" w:after="0"/>
            <w:ind w:left="715" w:right="0" w:hanging="613"/>
            <w:jc w:val="left"/>
          </w:pPr>
          <w:hyperlink w:history="true" w:anchor="_TOC_250051">
            <w:r>
              <w:rPr/>
              <w:t>Principio de Gobernanza: Democracia y voluntariedad de</w:t>
            </w:r>
            <w:r>
              <w:rPr>
                <w:spacing w:val="-7"/>
              </w:rPr>
              <w:t> </w:t>
            </w:r>
            <w:r>
              <w:rPr/>
              <w:t>la</w:t>
            </w:r>
            <w:r>
              <w:rPr>
                <w:spacing w:val="-1"/>
              </w:rPr>
              <w:t> </w:t>
            </w:r>
            <w:r>
              <w:rPr/>
              <w:t>sociedad</w:t>
              <w:tab/>
              <w:t>62</w:t>
            </w:r>
          </w:hyperlink>
        </w:p>
        <w:p>
          <w:pPr>
            <w:pStyle w:val="TOC2"/>
            <w:numPr>
              <w:ilvl w:val="2"/>
              <w:numId w:val="4"/>
            </w:numPr>
            <w:tabs>
              <w:tab w:pos="716" w:val="left" w:leader="none"/>
              <w:tab w:pos="8863" w:val="right" w:leader="none"/>
            </w:tabs>
            <w:spacing w:line="240" w:lineRule="auto" w:before="126" w:after="0"/>
            <w:ind w:left="715" w:right="0" w:hanging="613"/>
            <w:jc w:val="left"/>
          </w:pPr>
          <w:hyperlink w:history="true" w:anchor="_TOC_250050">
            <w:r>
              <w:rPr/>
              <w:t>Principio de la</w:t>
            </w:r>
            <w:r>
              <w:rPr>
                <w:spacing w:val="-5"/>
              </w:rPr>
              <w:t> </w:t>
            </w:r>
            <w:r>
              <w:rPr/>
              <w:t>gobernanza: Autogestión</w:t>
              <w:tab/>
              <w:t>70</w:t>
            </w:r>
          </w:hyperlink>
        </w:p>
        <w:p>
          <w:pPr>
            <w:pStyle w:val="TOC2"/>
            <w:numPr>
              <w:ilvl w:val="2"/>
              <w:numId w:val="4"/>
            </w:numPr>
            <w:tabs>
              <w:tab w:pos="716" w:val="left" w:leader="none"/>
              <w:tab w:pos="8863" w:val="right" w:leader="none"/>
            </w:tabs>
            <w:spacing w:line="240" w:lineRule="auto" w:before="126" w:after="0"/>
            <w:ind w:left="715" w:right="0" w:hanging="613"/>
            <w:jc w:val="left"/>
          </w:pPr>
          <w:hyperlink w:history="true" w:anchor="_TOC_250049">
            <w:r>
              <w:rPr/>
              <w:t>Principio de la</w:t>
            </w:r>
            <w:r>
              <w:rPr>
                <w:spacing w:val="-5"/>
              </w:rPr>
              <w:t> </w:t>
            </w:r>
            <w:r>
              <w:rPr/>
              <w:t>gobernanza:</w:t>
            </w:r>
            <w:r>
              <w:rPr>
                <w:spacing w:val="2"/>
              </w:rPr>
              <w:t> </w:t>
            </w:r>
            <w:r>
              <w:rPr/>
              <w:t>Identidad</w:t>
              <w:tab/>
              <w:t>71</w:t>
            </w:r>
          </w:hyperlink>
        </w:p>
        <w:p>
          <w:pPr>
            <w:pStyle w:val="TOC2"/>
            <w:numPr>
              <w:ilvl w:val="2"/>
              <w:numId w:val="4"/>
            </w:numPr>
            <w:tabs>
              <w:tab w:pos="716" w:val="left" w:leader="none"/>
              <w:tab w:pos="8863" w:val="right" w:leader="none"/>
            </w:tabs>
            <w:spacing w:line="240" w:lineRule="auto" w:before="126" w:after="0"/>
            <w:ind w:left="715" w:right="0" w:hanging="613"/>
            <w:jc w:val="left"/>
          </w:pPr>
          <w:hyperlink w:history="true" w:anchor="_TOC_250048">
            <w:r>
              <w:rPr/>
              <w:t>Principio de la</w:t>
            </w:r>
            <w:r>
              <w:rPr>
                <w:spacing w:val="-5"/>
              </w:rPr>
              <w:t> </w:t>
            </w:r>
            <w:r>
              <w:rPr/>
              <w:t>gobernanza: Cooperación</w:t>
              <w:tab/>
              <w:t>72</w:t>
            </w:r>
          </w:hyperlink>
        </w:p>
        <w:p>
          <w:pPr>
            <w:pStyle w:val="TOC2"/>
            <w:numPr>
              <w:ilvl w:val="2"/>
              <w:numId w:val="4"/>
            </w:numPr>
            <w:tabs>
              <w:tab w:pos="716" w:val="left" w:leader="none"/>
              <w:tab w:pos="8863" w:val="right" w:leader="none"/>
            </w:tabs>
            <w:spacing w:line="240" w:lineRule="auto" w:before="126" w:after="0"/>
            <w:ind w:left="715" w:right="0" w:hanging="613"/>
            <w:jc w:val="left"/>
          </w:pPr>
          <w:hyperlink w:history="true" w:anchor="_TOC_250047">
            <w:r>
              <w:rPr/>
              <w:t>Principio de la</w:t>
            </w:r>
            <w:r>
              <w:rPr>
                <w:spacing w:val="-5"/>
              </w:rPr>
              <w:t> </w:t>
            </w:r>
            <w:r>
              <w:rPr/>
              <w:t>gobernanza: Cultura</w:t>
              <w:tab/>
              <w:t>75</w:t>
            </w:r>
          </w:hyperlink>
        </w:p>
        <w:p>
          <w:pPr>
            <w:pStyle w:val="TOC2"/>
            <w:numPr>
              <w:ilvl w:val="2"/>
              <w:numId w:val="4"/>
            </w:numPr>
            <w:tabs>
              <w:tab w:pos="716" w:val="left" w:leader="none"/>
              <w:tab w:pos="8863" w:val="right" w:leader="none"/>
            </w:tabs>
            <w:spacing w:line="240" w:lineRule="auto" w:before="126" w:after="0"/>
            <w:ind w:left="715" w:right="0" w:hanging="613"/>
            <w:jc w:val="left"/>
          </w:pPr>
          <w:hyperlink w:history="true" w:anchor="_TOC_250046">
            <w:r>
              <w:rPr/>
              <w:t>Principio de</w:t>
            </w:r>
            <w:r>
              <w:rPr>
                <w:spacing w:val="-5"/>
              </w:rPr>
              <w:t> </w:t>
            </w:r>
            <w:r>
              <w:rPr/>
              <w:t>gobernanza: Poder</w:t>
              <w:tab/>
              <w:t>76</w:t>
            </w:r>
          </w:hyperlink>
        </w:p>
        <w:p>
          <w:pPr>
            <w:pStyle w:val="TOC2"/>
            <w:numPr>
              <w:ilvl w:val="2"/>
              <w:numId w:val="4"/>
            </w:numPr>
            <w:tabs>
              <w:tab w:pos="716" w:val="left" w:leader="none"/>
              <w:tab w:pos="8863" w:val="right" w:leader="none"/>
            </w:tabs>
            <w:spacing w:line="240" w:lineRule="auto" w:before="128" w:after="0"/>
            <w:ind w:left="715" w:right="0" w:hanging="613"/>
            <w:jc w:val="left"/>
          </w:pPr>
          <w:hyperlink w:history="true" w:anchor="_TOC_250045">
            <w:r>
              <w:rPr/>
              <w:t>Principio de la gobernanza: La</w:t>
            </w:r>
            <w:r>
              <w:rPr>
                <w:spacing w:val="-5"/>
              </w:rPr>
              <w:t> </w:t>
            </w:r>
            <w:r>
              <w:rPr/>
              <w:t>Participación</w:t>
            </w:r>
            <w:r>
              <w:rPr>
                <w:spacing w:val="-1"/>
              </w:rPr>
              <w:t> </w:t>
            </w:r>
            <w:r>
              <w:rPr/>
              <w:t>Social</w:t>
              <w:tab/>
              <w:t>78</w:t>
            </w:r>
          </w:hyperlink>
        </w:p>
        <w:p>
          <w:pPr>
            <w:pStyle w:val="TOC2"/>
            <w:numPr>
              <w:ilvl w:val="1"/>
              <w:numId w:val="5"/>
            </w:numPr>
            <w:tabs>
              <w:tab w:pos="532" w:val="left" w:leader="none"/>
              <w:tab w:pos="8863" w:val="right" w:leader="none"/>
            </w:tabs>
            <w:spacing w:line="240" w:lineRule="auto" w:before="126" w:after="0"/>
            <w:ind w:left="531" w:right="0" w:hanging="429"/>
            <w:jc w:val="left"/>
          </w:pPr>
          <w:hyperlink w:history="true" w:anchor="_TOC_250044">
            <w:r>
              <w:rPr/>
              <w:t>Importancia de la gobernanza y la planeación en</w:t>
            </w:r>
            <w:r>
              <w:rPr>
                <w:spacing w:val="-6"/>
              </w:rPr>
              <w:t> </w:t>
            </w:r>
            <w:r>
              <w:rPr/>
              <w:t>la</w:t>
            </w:r>
            <w:r>
              <w:rPr>
                <w:spacing w:val="-3"/>
              </w:rPr>
              <w:t> </w:t>
            </w:r>
            <w:r>
              <w:rPr/>
              <w:t>GIRH</w:t>
              <w:tab/>
              <w:t>86</w:t>
            </w:r>
          </w:hyperlink>
        </w:p>
        <w:p>
          <w:pPr>
            <w:pStyle w:val="TOC2"/>
            <w:numPr>
              <w:ilvl w:val="1"/>
              <w:numId w:val="5"/>
            </w:numPr>
            <w:tabs>
              <w:tab w:pos="532" w:val="left" w:leader="none"/>
              <w:tab w:pos="8863" w:val="right" w:leader="none"/>
            </w:tabs>
            <w:spacing w:line="240" w:lineRule="auto" w:before="126" w:after="0"/>
            <w:ind w:left="531" w:right="0" w:hanging="429"/>
            <w:jc w:val="left"/>
          </w:pPr>
          <w:hyperlink w:history="true" w:anchor="_TOC_250043">
            <w:r>
              <w:rPr/>
              <w:t>La problemática regional y la</w:t>
            </w:r>
            <w:r>
              <w:rPr>
                <w:spacing w:val="-5"/>
              </w:rPr>
              <w:t> </w:t>
            </w:r>
            <w:r>
              <w:rPr/>
              <w:t>planeación</w:t>
            </w:r>
            <w:r>
              <w:rPr>
                <w:spacing w:val="-1"/>
              </w:rPr>
              <w:t> </w:t>
            </w:r>
            <w:r>
              <w:rPr/>
              <w:t>nacional</w:t>
              <w:tab/>
              <w:t>88</w:t>
            </w:r>
          </w:hyperlink>
        </w:p>
        <w:p>
          <w:pPr>
            <w:pStyle w:val="TOC2"/>
            <w:numPr>
              <w:ilvl w:val="2"/>
              <w:numId w:val="5"/>
            </w:numPr>
            <w:tabs>
              <w:tab w:pos="717" w:val="left" w:leader="none"/>
              <w:tab w:pos="8863" w:val="right" w:leader="none"/>
            </w:tabs>
            <w:spacing w:line="240" w:lineRule="auto" w:before="127" w:after="0"/>
            <w:ind w:left="716" w:right="0" w:hanging="614"/>
            <w:jc w:val="left"/>
          </w:pPr>
          <w:hyperlink w:history="true" w:anchor="_TOC_250042">
            <w:r>
              <w:rPr/>
              <w:t>Diagnóstico y concepción estratégica para elaborar</w:t>
            </w:r>
            <w:r>
              <w:rPr>
                <w:spacing w:val="-11"/>
              </w:rPr>
              <w:t> </w:t>
            </w:r>
            <w:r>
              <w:rPr/>
              <w:t>un</w:t>
            </w:r>
            <w:r>
              <w:rPr>
                <w:spacing w:val="-1"/>
              </w:rPr>
              <w:t> </w:t>
            </w:r>
            <w:r>
              <w:rPr/>
              <w:t>plan</w:t>
              <w:tab/>
              <w:t>89</w:t>
            </w:r>
          </w:hyperlink>
        </w:p>
        <w:p>
          <w:pPr>
            <w:pStyle w:val="TOC2"/>
            <w:numPr>
              <w:ilvl w:val="2"/>
              <w:numId w:val="5"/>
            </w:numPr>
            <w:tabs>
              <w:tab w:pos="726" w:val="left" w:leader="none"/>
            </w:tabs>
            <w:spacing w:line="240" w:lineRule="auto" w:before="126" w:after="0"/>
            <w:ind w:left="726" w:right="0" w:hanging="624"/>
            <w:jc w:val="left"/>
          </w:pPr>
          <w:r>
            <w:rPr/>
            <w:t>De la formulación del diagnóstico al diseño de una política pública </w:t>
          </w:r>
          <w:r>
            <w:rPr>
              <w:spacing w:val="29"/>
            </w:rPr>
            <w:t> </w:t>
          </w:r>
          <w:r>
            <w:rPr/>
            <w:t>desde</w:t>
          </w:r>
        </w:p>
        <w:p>
          <w:pPr>
            <w:pStyle w:val="TOC2"/>
            <w:tabs>
              <w:tab w:pos="8863" w:val="right" w:leader="none"/>
            </w:tabs>
            <w:spacing w:line="381" w:lineRule="exact"/>
          </w:pPr>
          <w:r>
            <w:rPr/>
            <w:t>abajo</w:t>
          </w:r>
          <w:r>
            <w:rPr>
              <w:position w:val="-12"/>
            </w:rPr>
            <w:tab/>
            <w:t>90</w:t>
          </w:r>
        </w:p>
        <w:p>
          <w:pPr>
            <w:pStyle w:val="TOC2"/>
            <w:numPr>
              <w:ilvl w:val="2"/>
              <w:numId w:val="5"/>
            </w:numPr>
            <w:tabs>
              <w:tab w:pos="726" w:val="left" w:leader="none"/>
            </w:tabs>
            <w:spacing w:line="251" w:lineRule="exact" w:before="0" w:after="0"/>
            <w:ind w:left="726" w:right="0" w:hanging="624"/>
            <w:jc w:val="left"/>
          </w:pPr>
          <w:r>
            <w:rPr/>
            <w:t>El organismo regional de planificación y su capacidad de diseño para </w:t>
          </w:r>
          <w:r>
            <w:rPr>
              <w:spacing w:val="30"/>
            </w:rPr>
            <w:t> </w:t>
          </w:r>
          <w:r>
            <w:rPr/>
            <w:t>las</w:t>
          </w:r>
        </w:p>
        <w:p>
          <w:pPr>
            <w:pStyle w:val="TOC2"/>
            <w:tabs>
              <w:tab w:pos="8863" w:val="right" w:leader="none"/>
            </w:tabs>
            <w:spacing w:line="381" w:lineRule="exact"/>
          </w:pPr>
          <w:r>
            <w:rPr/>
            <w:t>políticas públicas</w:t>
          </w:r>
          <w:r>
            <w:rPr>
              <w:spacing w:val="-1"/>
            </w:rPr>
            <w:t> </w:t>
          </w:r>
          <w:r>
            <w:rPr/>
            <w:t>desde</w:t>
          </w:r>
          <w:r>
            <w:rPr>
              <w:spacing w:val="-3"/>
            </w:rPr>
            <w:t> </w:t>
          </w:r>
          <w:r>
            <w:rPr/>
            <w:t>abajo</w:t>
          </w:r>
          <w:r>
            <w:rPr>
              <w:position w:val="-12"/>
            </w:rPr>
            <w:tab/>
            <w:t>93</w:t>
          </w:r>
        </w:p>
        <w:p>
          <w:pPr>
            <w:pStyle w:val="TOC2"/>
            <w:spacing w:line="251" w:lineRule="exact" w:before="0"/>
          </w:pPr>
          <w:r>
            <w:rPr/>
            <w:t>2.6. Las relaciones intermunicipales para formular una política pública  regional:</w:t>
          </w:r>
        </w:p>
        <w:p>
          <w:pPr>
            <w:pStyle w:val="TOC2"/>
            <w:tabs>
              <w:tab w:pos="8863" w:val="right" w:leader="none"/>
            </w:tabs>
            <w:spacing w:before="128"/>
          </w:pPr>
          <w:hyperlink w:history="true" w:anchor="_TOC_250041">
            <w:r>
              <w:rPr/>
              <w:t>presa Huapango</w:t>
            </w:r>
            <w:r>
              <w:rPr>
                <w:position w:val="-11"/>
              </w:rPr>
              <w:tab/>
              <w:t>94</w:t>
            </w:r>
          </w:hyperlink>
        </w:p>
        <w:p>
          <w:pPr>
            <w:pStyle w:val="TOC1"/>
            <w:numPr>
              <w:ilvl w:val="0"/>
              <w:numId w:val="1"/>
            </w:numPr>
            <w:tabs>
              <w:tab w:pos="409" w:val="left" w:leader="none"/>
              <w:tab w:pos="8863" w:val="right" w:leader="none"/>
            </w:tabs>
            <w:spacing w:line="240" w:lineRule="auto" w:before="6" w:after="0"/>
            <w:ind w:left="409" w:right="0" w:hanging="307"/>
            <w:jc w:val="left"/>
            <w:rPr>
              <w:b w:val="0"/>
            </w:rPr>
          </w:pPr>
          <w:hyperlink w:history="true" w:anchor="_TOC_250040">
            <w:r>
              <w:rPr/>
              <w:t>OBJETIVOS</w:t>
            </w:r>
            <w:r>
              <w:rPr>
                <w:spacing w:val="-1"/>
              </w:rPr>
              <w:t> </w:t>
            </w:r>
            <w:r>
              <w:rPr/>
              <w:t>Y</w:t>
            </w:r>
            <w:r>
              <w:rPr>
                <w:spacing w:val="-4"/>
              </w:rPr>
              <w:t> </w:t>
            </w:r>
            <w:r>
              <w:rPr/>
              <w:t>METODOLOGÍA</w:t>
            </w:r>
            <w:r>
              <w:rPr>
                <w:b w:val="0"/>
              </w:rPr>
              <w:tab/>
              <w:t>98</w:t>
            </w:r>
          </w:hyperlink>
        </w:p>
        <w:p>
          <w:pPr>
            <w:pStyle w:val="TOC2"/>
            <w:numPr>
              <w:ilvl w:val="1"/>
              <w:numId w:val="6"/>
            </w:numPr>
            <w:tabs>
              <w:tab w:pos="532" w:val="left" w:leader="none"/>
              <w:tab w:pos="8863" w:val="right" w:leader="none"/>
            </w:tabs>
            <w:spacing w:line="240" w:lineRule="auto" w:before="126" w:after="0"/>
            <w:ind w:left="531" w:right="0" w:hanging="429"/>
            <w:jc w:val="left"/>
          </w:pPr>
          <w:r>
            <w:rPr/>
            <w:t>Objetivos General</w:t>
          </w:r>
          <w:r>
            <w:rPr>
              <w:spacing w:val="-1"/>
            </w:rPr>
            <w:t> </w:t>
          </w:r>
          <w:r>
            <w:rPr/>
            <w:t>y</w:t>
          </w:r>
          <w:r>
            <w:rPr>
              <w:spacing w:val="-5"/>
            </w:rPr>
            <w:t> </w:t>
          </w:r>
          <w:r>
            <w:rPr/>
            <w:t>Específicos</w:t>
            <w:tab/>
            <w:t>99</w:t>
          </w:r>
        </w:p>
        <w:p>
          <w:pPr>
            <w:pStyle w:val="TOC2"/>
            <w:numPr>
              <w:ilvl w:val="1"/>
              <w:numId w:val="6"/>
            </w:numPr>
            <w:tabs>
              <w:tab w:pos="532" w:val="left" w:leader="none"/>
              <w:tab w:pos="8863" w:val="right" w:leader="none"/>
            </w:tabs>
            <w:spacing w:line="240" w:lineRule="auto" w:before="126" w:after="0"/>
            <w:ind w:left="531" w:right="0" w:hanging="429"/>
            <w:jc w:val="left"/>
          </w:pPr>
          <w:hyperlink w:history="true" w:anchor="_TOC_250039">
            <w:r>
              <w:rPr/>
              <w:t>Metodología</w:t>
            </w:r>
            <w:r>
              <w:rPr>
                <w:spacing w:val="-1"/>
              </w:rPr>
              <w:t> </w:t>
            </w:r>
            <w:r>
              <w:rPr/>
              <w:t>General</w:t>
              <w:tab/>
              <w:t>100</w:t>
            </w:r>
          </w:hyperlink>
        </w:p>
        <w:p>
          <w:pPr>
            <w:pStyle w:val="TOC2"/>
            <w:numPr>
              <w:ilvl w:val="1"/>
              <w:numId w:val="6"/>
            </w:numPr>
            <w:tabs>
              <w:tab w:pos="570" w:val="left" w:leader="none"/>
            </w:tabs>
            <w:spacing w:line="240" w:lineRule="auto" w:before="126" w:after="0"/>
            <w:ind w:left="569" w:right="0" w:hanging="467"/>
            <w:jc w:val="left"/>
          </w:pPr>
          <w:r>
            <w:rPr/>
            <w:t>Etnografía  del Trabajo  de Campo (2013-2015)  en la  Cuenca </w:t>
          </w:r>
          <w:r>
            <w:rPr>
              <w:spacing w:val="17"/>
            </w:rPr>
            <w:t> </w:t>
          </w:r>
          <w:r>
            <w:rPr/>
            <w:t>Hidrosocial</w:t>
          </w:r>
        </w:p>
        <w:p>
          <w:pPr>
            <w:pStyle w:val="TOC2"/>
            <w:tabs>
              <w:tab w:pos="8863" w:val="right" w:leader="none"/>
            </w:tabs>
            <w:spacing w:line="380" w:lineRule="exact"/>
          </w:pPr>
          <w:hyperlink w:history="true" w:anchor="_TOC_250038">
            <w:r>
              <w:rPr/>
              <w:t>Presa</w:t>
            </w:r>
            <w:r>
              <w:rPr>
                <w:spacing w:val="-1"/>
              </w:rPr>
              <w:t> </w:t>
            </w:r>
            <w:r>
              <w:rPr/>
              <w:t>Huapango</w:t>
            </w:r>
            <w:r>
              <w:rPr>
                <w:position w:val="-12"/>
              </w:rPr>
              <w:tab/>
              <w:t>114</w:t>
            </w:r>
          </w:hyperlink>
        </w:p>
        <w:p>
          <w:pPr>
            <w:pStyle w:val="TOC1"/>
            <w:numPr>
              <w:ilvl w:val="0"/>
              <w:numId w:val="1"/>
            </w:numPr>
            <w:tabs>
              <w:tab w:pos="520" w:val="left" w:leader="none"/>
            </w:tabs>
            <w:spacing w:line="250" w:lineRule="exact" w:before="0" w:after="0"/>
            <w:ind w:left="519" w:right="0" w:hanging="417"/>
            <w:jc w:val="left"/>
          </w:pPr>
          <w:r>
            <w:rPr/>
            <w:t>APLICACIÓN  Y  RESULTADOS  DEL  ESTUDIO  DE  CASO:   </w:t>
          </w:r>
          <w:r>
            <w:rPr>
              <w:spacing w:val="10"/>
            </w:rPr>
            <w:t> </w:t>
          </w:r>
          <w:r>
            <w:rPr/>
            <w:t>CUENCA</w:t>
          </w:r>
        </w:p>
        <w:p>
          <w:pPr>
            <w:pStyle w:val="TOC1"/>
            <w:tabs>
              <w:tab w:pos="8863" w:val="right" w:leader="none"/>
            </w:tabs>
            <w:spacing w:line="382" w:lineRule="exact"/>
            <w:rPr>
              <w:b w:val="0"/>
            </w:rPr>
          </w:pPr>
          <w:r>
            <w:rPr/>
            <w:t>HIDROSOCIAL</w:t>
          </w:r>
          <w:r>
            <w:rPr>
              <w:spacing w:val="-1"/>
            </w:rPr>
            <w:t> </w:t>
          </w:r>
          <w:r>
            <w:rPr/>
            <w:t>PRESA</w:t>
          </w:r>
          <w:r>
            <w:rPr>
              <w:spacing w:val="-4"/>
            </w:rPr>
            <w:t> </w:t>
          </w:r>
          <w:r>
            <w:rPr/>
            <w:t>HUAPANGO</w:t>
          </w:r>
          <w:r>
            <w:rPr>
              <w:b w:val="0"/>
              <w:position w:val="-12"/>
            </w:rPr>
            <w:tab/>
            <w:t>123</w:t>
          </w:r>
        </w:p>
        <w:p>
          <w:pPr>
            <w:pStyle w:val="TOC2"/>
            <w:numPr>
              <w:ilvl w:val="1"/>
              <w:numId w:val="7"/>
            </w:numPr>
            <w:tabs>
              <w:tab w:pos="532" w:val="left" w:leader="none"/>
              <w:tab w:pos="8863" w:val="right" w:leader="none"/>
            </w:tabs>
            <w:spacing w:line="252" w:lineRule="exact" w:before="0" w:after="0"/>
            <w:ind w:left="102" w:right="0" w:firstLine="0"/>
            <w:jc w:val="left"/>
          </w:pPr>
          <w:hyperlink w:history="true" w:anchor="_TOC_250037">
            <w:r>
              <w:rPr/>
              <w:t>Delimitación del área de estudio: Cuenca Hidrosocial</w:t>
            </w:r>
            <w:r>
              <w:rPr>
                <w:spacing w:val="-7"/>
              </w:rPr>
              <w:t> </w:t>
            </w:r>
            <w:r>
              <w:rPr/>
              <w:t>Presa</w:t>
            </w:r>
            <w:r>
              <w:rPr>
                <w:spacing w:val="-3"/>
              </w:rPr>
              <w:t> </w:t>
            </w:r>
            <w:r>
              <w:rPr/>
              <w:t>Huapango</w:t>
              <w:tab/>
              <w:t>124</w:t>
            </w:r>
          </w:hyperlink>
        </w:p>
        <w:p>
          <w:pPr>
            <w:pStyle w:val="TOC2"/>
            <w:numPr>
              <w:ilvl w:val="1"/>
              <w:numId w:val="7"/>
            </w:numPr>
            <w:tabs>
              <w:tab w:pos="532" w:val="left" w:leader="none"/>
              <w:tab w:pos="8863" w:val="right" w:leader="none"/>
            </w:tabs>
            <w:spacing w:line="240" w:lineRule="auto" w:before="128" w:after="0"/>
            <w:ind w:left="531" w:right="0" w:hanging="429"/>
            <w:jc w:val="left"/>
          </w:pPr>
          <w:hyperlink w:history="true" w:anchor="_TOC_250036">
            <w:r>
              <w:rPr/>
              <w:t>Características generales de la</w:t>
            </w:r>
            <w:r>
              <w:rPr>
                <w:spacing w:val="-5"/>
              </w:rPr>
              <w:t> </w:t>
            </w:r>
            <w:r>
              <w:rPr/>
              <w:t>presa</w:t>
            </w:r>
            <w:r>
              <w:rPr>
                <w:spacing w:val="-3"/>
              </w:rPr>
              <w:t> </w:t>
            </w:r>
            <w:r>
              <w:rPr/>
              <w:t>Huapango</w:t>
              <w:tab/>
              <w:t>133</w:t>
            </w:r>
          </w:hyperlink>
        </w:p>
        <w:p>
          <w:pPr>
            <w:pStyle w:val="TOC2"/>
            <w:numPr>
              <w:ilvl w:val="1"/>
              <w:numId w:val="7"/>
            </w:numPr>
            <w:tabs>
              <w:tab w:pos="623" w:val="left" w:leader="none"/>
              <w:tab w:pos="8863" w:val="right" w:leader="none"/>
            </w:tabs>
            <w:spacing w:line="380" w:lineRule="exact" w:before="28" w:after="0"/>
            <w:ind w:left="102" w:right="194" w:firstLine="0"/>
            <w:jc w:val="left"/>
          </w:pPr>
          <w:hyperlink w:history="true" w:anchor="_TOC_250035">
            <w:r>
              <w:rPr/>
              <w:t>Formación  histórica  de  los  actores  de  la  Cuenca  Hidrosocial  Presa    Huapango</w:t>
            </w:r>
            <w:r>
              <w:rPr>
                <w:position w:val="-11"/>
              </w:rPr>
              <w:tab/>
              <w:t>136</w:t>
            </w:r>
          </w:hyperlink>
        </w:p>
        <w:p>
          <w:pPr>
            <w:pStyle w:val="TOC2"/>
            <w:numPr>
              <w:ilvl w:val="2"/>
              <w:numId w:val="7"/>
            </w:numPr>
            <w:tabs>
              <w:tab w:pos="714" w:val="left" w:leader="none"/>
              <w:tab w:pos="8863" w:val="right" w:leader="none"/>
            </w:tabs>
            <w:spacing w:line="240" w:lineRule="auto" w:before="97" w:after="0"/>
            <w:ind w:left="713" w:right="0" w:hanging="611"/>
            <w:jc w:val="left"/>
          </w:pPr>
          <w:hyperlink w:history="true" w:anchor="_TOC_250034">
            <w:r>
              <w:rPr/>
              <w:t>Identificación</w:t>
            </w:r>
            <w:r>
              <w:rPr>
                <w:spacing w:val="-2"/>
              </w:rPr>
              <w:t> </w:t>
            </w:r>
            <w:r>
              <w:rPr/>
              <w:t>de</w:t>
            </w:r>
            <w:r>
              <w:rPr>
                <w:spacing w:val="-1"/>
              </w:rPr>
              <w:t> </w:t>
            </w:r>
            <w:r>
              <w:rPr/>
              <w:t>actores</w:t>
              <w:tab/>
              <w:t>137</w:t>
            </w:r>
          </w:hyperlink>
        </w:p>
        <w:p>
          <w:pPr>
            <w:pStyle w:val="TOC2"/>
            <w:numPr>
              <w:ilvl w:val="1"/>
              <w:numId w:val="8"/>
            </w:numPr>
            <w:tabs>
              <w:tab w:pos="560" w:val="left" w:leader="none"/>
              <w:tab w:pos="8863" w:val="right" w:leader="none"/>
            </w:tabs>
            <w:spacing w:line="380" w:lineRule="exact" w:before="28" w:after="0"/>
            <w:ind w:left="102" w:right="194" w:firstLine="0"/>
            <w:jc w:val="left"/>
          </w:pPr>
          <w:hyperlink w:history="true" w:anchor="_TOC_250033">
            <w:r>
              <w:rPr/>
              <w:t>La formación histórica de la Cuenca Hidrosocial Presa Huapango para la identificación</w:t>
            </w:r>
            <w:r>
              <w:rPr>
                <w:spacing w:val="-2"/>
              </w:rPr>
              <w:t> </w:t>
            </w:r>
            <w:r>
              <w:rPr/>
              <w:t>de actores</w:t>
            </w:r>
            <w:r>
              <w:rPr>
                <w:position w:val="-12"/>
              </w:rPr>
              <w:tab/>
              <w:t>140</w:t>
            </w:r>
          </w:hyperlink>
        </w:p>
        <w:p>
          <w:pPr>
            <w:pStyle w:val="TOC2"/>
            <w:numPr>
              <w:ilvl w:val="2"/>
              <w:numId w:val="8"/>
            </w:numPr>
            <w:tabs>
              <w:tab w:pos="716" w:val="left" w:leader="none"/>
              <w:tab w:pos="8863" w:val="right" w:leader="none"/>
            </w:tabs>
            <w:spacing w:line="240" w:lineRule="auto" w:before="97" w:after="0"/>
            <w:ind w:left="715" w:right="0" w:hanging="613"/>
            <w:jc w:val="left"/>
          </w:pPr>
          <w:hyperlink w:history="true" w:anchor="_TOC_250032">
            <w:r>
              <w:rPr/>
              <w:t>Época prehispánica: Provincia de</w:t>
            </w:r>
            <w:r>
              <w:rPr>
                <w:spacing w:val="-5"/>
              </w:rPr>
              <w:t> </w:t>
            </w:r>
            <w:r>
              <w:rPr/>
              <w:t>Xilotepec,</w:t>
            </w:r>
            <w:r>
              <w:rPr>
                <w:spacing w:val="-2"/>
              </w:rPr>
              <w:t> </w:t>
            </w:r>
            <w:r>
              <w:rPr/>
              <w:t>(S.XIV-XVI)</w:t>
              <w:tab/>
              <w:t>140</w:t>
            </w:r>
          </w:hyperlink>
        </w:p>
        <w:p>
          <w:pPr>
            <w:pStyle w:val="TOC2"/>
            <w:numPr>
              <w:ilvl w:val="2"/>
              <w:numId w:val="8"/>
            </w:numPr>
            <w:tabs>
              <w:tab w:pos="743" w:val="left" w:leader="none"/>
            </w:tabs>
            <w:spacing w:line="240" w:lineRule="auto" w:before="126" w:after="0"/>
            <w:ind w:left="742" w:right="0" w:hanging="640"/>
            <w:jc w:val="left"/>
          </w:pPr>
          <w:r>
            <w:rPr/>
            <w:t>Dominación Española: Provincia de Xilotepec, 1521-1821  </w:t>
          </w:r>
          <w:r>
            <w:rPr>
              <w:spacing w:val="17"/>
            </w:rPr>
            <w:t> </w:t>
          </w:r>
          <w:r>
            <w:rPr/>
            <w:t>(Construcción</w:t>
          </w:r>
        </w:p>
        <w:p>
          <w:pPr>
            <w:pStyle w:val="TOC2"/>
            <w:tabs>
              <w:tab w:pos="8863" w:val="right" w:leader="none"/>
            </w:tabs>
          </w:pPr>
          <w:r>
            <w:rPr/>
            <w:t>del</w:t>
          </w:r>
          <w:r>
            <w:rPr>
              <w:spacing w:val="-1"/>
            </w:rPr>
            <w:t> </w:t>
          </w:r>
          <w:r>
            <w:rPr/>
            <w:t>paisaje</w:t>
          </w:r>
          <w:r>
            <w:rPr>
              <w:spacing w:val="-1"/>
            </w:rPr>
            <w:t> </w:t>
          </w:r>
          <w:r>
            <w:rPr/>
            <w:t>hídrico)</w:t>
          </w:r>
          <w:r>
            <w:rPr>
              <w:position w:val="-12"/>
            </w:rPr>
            <w:tab/>
            <w:t>140</w:t>
          </w:r>
        </w:p>
        <w:p>
          <w:pPr>
            <w:pStyle w:val="TOC2"/>
            <w:numPr>
              <w:ilvl w:val="1"/>
              <w:numId w:val="9"/>
            </w:numPr>
            <w:tabs>
              <w:tab w:pos="613" w:val="left" w:leader="none"/>
            </w:tabs>
            <w:spacing w:line="240" w:lineRule="auto" w:before="56" w:after="0"/>
            <w:ind w:left="613" w:right="0" w:hanging="511"/>
            <w:jc w:val="left"/>
          </w:pPr>
          <w:r>
            <w:rPr/>
            <w:t>La  conformación-evolución  de  los  grupos  sociales  (ACTORES)  en   </w:t>
          </w:r>
          <w:r>
            <w:rPr>
              <w:spacing w:val="16"/>
            </w:rPr>
            <w:t> </w:t>
          </w:r>
          <w:r>
            <w:rPr/>
            <w:t>la</w:t>
          </w:r>
        </w:p>
        <w:p>
          <w:pPr>
            <w:pStyle w:val="TOC2"/>
            <w:tabs>
              <w:tab w:pos="8496" w:val="left" w:leader="none"/>
            </w:tabs>
            <w:spacing w:line="381" w:lineRule="exact"/>
          </w:pPr>
          <w:r>
            <w:rPr/>
            <w:t>Cuenca Hidrosocial</w:t>
          </w:r>
          <w:r>
            <w:rPr>
              <w:spacing w:val="-3"/>
            </w:rPr>
            <w:t> </w:t>
          </w:r>
          <w:r>
            <w:rPr/>
            <w:t>Presa</w:t>
          </w:r>
          <w:r>
            <w:rPr>
              <w:spacing w:val="-1"/>
            </w:rPr>
            <w:t> </w:t>
          </w:r>
          <w:r>
            <w:rPr/>
            <w:t>Huapango</w:t>
          </w:r>
          <w:r>
            <w:rPr>
              <w:position w:val="-12"/>
            </w:rPr>
            <w:tab/>
            <w:t>141</w:t>
          </w:r>
        </w:p>
        <w:p>
          <w:pPr>
            <w:pStyle w:val="TOC2"/>
            <w:numPr>
              <w:ilvl w:val="1"/>
              <w:numId w:val="9"/>
            </w:numPr>
            <w:tabs>
              <w:tab w:pos="532" w:val="left" w:leader="none"/>
              <w:tab w:pos="8496" w:val="left" w:leader="none"/>
            </w:tabs>
            <w:spacing w:line="251" w:lineRule="exact" w:before="0" w:after="0"/>
            <w:ind w:left="531" w:right="0" w:hanging="429"/>
            <w:jc w:val="left"/>
          </w:pPr>
          <w:r>
            <w:rPr/>
            <w:t>Discusión y análisis sobre actores y la región</w:t>
          </w:r>
          <w:r>
            <w:rPr>
              <w:spacing w:val="-13"/>
            </w:rPr>
            <w:t> </w:t>
          </w:r>
          <w:r>
            <w:rPr/>
            <w:t>presa</w:t>
          </w:r>
          <w:r>
            <w:rPr>
              <w:spacing w:val="-4"/>
            </w:rPr>
            <w:t> </w:t>
          </w:r>
          <w:r>
            <w:rPr/>
            <w:t>Huapango</w:t>
            <w:tab/>
            <w:t>150</w:t>
          </w:r>
        </w:p>
        <w:p>
          <w:pPr>
            <w:pStyle w:val="TOC1"/>
            <w:numPr>
              <w:ilvl w:val="0"/>
              <w:numId w:val="1"/>
            </w:numPr>
            <w:tabs>
              <w:tab w:pos="424" w:val="left" w:leader="none"/>
            </w:tabs>
            <w:spacing w:line="240" w:lineRule="auto" w:before="124" w:after="0"/>
            <w:ind w:left="423" w:right="0" w:hanging="321"/>
            <w:jc w:val="left"/>
          </w:pPr>
          <w:r>
            <w:rPr/>
            <w:t>LOS  ACTORES DE  LA CUENCA HIDROSOCIAL  PRESA  </w:t>
          </w:r>
          <w:r>
            <w:rPr>
              <w:spacing w:val="26"/>
            </w:rPr>
            <w:t> </w:t>
          </w:r>
          <w:r>
            <w:rPr/>
            <w:t>HUAPANGO:</w:t>
          </w:r>
        </w:p>
        <w:p>
          <w:pPr>
            <w:pStyle w:val="TOC1"/>
            <w:tabs>
              <w:tab w:pos="8496" w:val="left" w:leader="none"/>
            </w:tabs>
            <w:spacing w:line="382" w:lineRule="exact"/>
            <w:rPr>
              <w:b w:val="0"/>
            </w:rPr>
          </w:pPr>
          <w:r>
            <w:rPr/>
            <w:t>REDES</w:t>
          </w:r>
          <w:r>
            <w:rPr>
              <w:spacing w:val="-2"/>
            </w:rPr>
            <w:t> </w:t>
          </w:r>
          <w:r>
            <w:rPr/>
            <w:t>Y</w:t>
          </w:r>
          <w:r>
            <w:rPr>
              <w:spacing w:val="-2"/>
            </w:rPr>
            <w:t> </w:t>
          </w:r>
          <w:r>
            <w:rPr/>
            <w:t>FUNCIONES</w:t>
          </w:r>
          <w:r>
            <w:rPr>
              <w:b w:val="0"/>
              <w:position w:val="-12"/>
            </w:rPr>
            <w:tab/>
            <w:t>152</w:t>
          </w:r>
        </w:p>
        <w:p>
          <w:pPr>
            <w:pStyle w:val="TOC2"/>
            <w:numPr>
              <w:ilvl w:val="1"/>
              <w:numId w:val="10"/>
            </w:numPr>
            <w:tabs>
              <w:tab w:pos="640" w:val="left" w:leader="none"/>
            </w:tabs>
            <w:spacing w:line="252" w:lineRule="exact" w:before="0" w:after="0"/>
            <w:ind w:left="639" w:right="0" w:hanging="537"/>
            <w:jc w:val="left"/>
          </w:pPr>
          <w:r>
            <w:rPr/>
            <w:t>Identificación  y  Conformación  del  Mapa  de  Actores  en  la       </w:t>
          </w:r>
          <w:r>
            <w:rPr>
              <w:spacing w:val="37"/>
            </w:rPr>
            <w:t> </w:t>
          </w:r>
          <w:r>
            <w:rPr/>
            <w:t>Cuenca</w:t>
          </w:r>
        </w:p>
        <w:p>
          <w:pPr>
            <w:pStyle w:val="TOC2"/>
            <w:tabs>
              <w:tab w:pos="8496" w:val="left" w:leader="none"/>
            </w:tabs>
            <w:spacing w:before="128"/>
          </w:pPr>
          <w:r>
            <w:rPr/>
            <w:t>Hidrosocial</w:t>
          </w:r>
          <w:r>
            <w:rPr>
              <w:spacing w:val="-1"/>
            </w:rPr>
            <w:t> </w:t>
          </w:r>
          <w:r>
            <w:rPr/>
            <w:t>Presa</w:t>
          </w:r>
          <w:r>
            <w:rPr>
              <w:spacing w:val="-1"/>
            </w:rPr>
            <w:t> </w:t>
          </w:r>
          <w:r>
            <w:rPr/>
            <w:t>Huapango</w:t>
          </w:r>
          <w:r>
            <w:rPr>
              <w:position w:val="-11"/>
            </w:rPr>
            <w:tab/>
            <w:t>153</w:t>
          </w:r>
        </w:p>
        <w:p>
          <w:pPr>
            <w:pStyle w:val="TOC2"/>
            <w:numPr>
              <w:ilvl w:val="1"/>
              <w:numId w:val="10"/>
            </w:numPr>
            <w:tabs>
              <w:tab w:pos="532" w:val="left" w:leader="none"/>
              <w:tab w:pos="8496" w:val="left" w:leader="none"/>
            </w:tabs>
            <w:spacing w:line="240" w:lineRule="auto" w:before="6" w:after="0"/>
            <w:ind w:left="531" w:right="0" w:hanging="429"/>
            <w:jc w:val="left"/>
          </w:pPr>
          <w:hyperlink w:history="true" w:anchor="_TOC_250031">
            <w:r>
              <w:rPr/>
              <w:t>Los Mapas de Actores: Redes</w:t>
            </w:r>
            <w:r>
              <w:rPr>
                <w:spacing w:val="-4"/>
              </w:rPr>
              <w:t> </w:t>
            </w:r>
            <w:r>
              <w:rPr/>
              <w:t>y</w:t>
            </w:r>
            <w:r>
              <w:rPr>
                <w:spacing w:val="-3"/>
              </w:rPr>
              <w:t> </w:t>
            </w:r>
            <w:r>
              <w:rPr/>
              <w:t>Funciones</w:t>
              <w:tab/>
              <w:t>165</w:t>
            </w:r>
          </w:hyperlink>
        </w:p>
        <w:p>
          <w:pPr>
            <w:pStyle w:val="TOC1"/>
            <w:numPr>
              <w:ilvl w:val="0"/>
              <w:numId w:val="1"/>
            </w:numPr>
            <w:tabs>
              <w:tab w:pos="563" w:val="left" w:leader="none"/>
              <w:tab w:pos="1596" w:val="left" w:leader="none"/>
              <w:tab w:pos="2121" w:val="left" w:leader="none"/>
              <w:tab w:pos="3915" w:val="left" w:leader="none"/>
              <w:tab w:pos="4285" w:val="left" w:leader="none"/>
              <w:tab w:pos="4985" w:val="left" w:leader="none"/>
              <w:tab w:pos="5823" w:val="left" w:leader="none"/>
              <w:tab w:pos="7622" w:val="left" w:leader="none"/>
            </w:tabs>
            <w:spacing w:line="360" w:lineRule="auto" w:before="124" w:after="0"/>
            <w:ind w:left="102" w:right="194" w:firstLine="0"/>
            <w:jc w:val="left"/>
          </w:pPr>
          <w:r>
            <w:rPr/>
            <w:t>TRABAJO  DE  CAMPO,  ENTREVISTAS  E  HISTORIAS  DE  VIDA: PROBLEMAS E INTERPRETACIÓN DE LOS GRUPOS DE  ACTORES  POR PRINCIPIOS</w:t>
            <w:tab/>
            <w:t>DE</w:t>
            <w:tab/>
            <w:t>GOBERNANZA</w:t>
            <w:tab/>
            <w:t>Y</w:t>
            <w:tab/>
            <w:t>POR</w:t>
            <w:tab/>
            <w:t>ÁREA</w:t>
            <w:tab/>
            <w:t>ESTRATÉGICA</w:t>
            <w:tab/>
            <w:t>DE</w:t>
          </w:r>
        </w:p>
        <w:p>
          <w:pPr>
            <w:pStyle w:val="TOC1"/>
            <w:tabs>
              <w:tab w:pos="8496" w:val="left" w:leader="none"/>
            </w:tabs>
            <w:spacing w:line="382" w:lineRule="exact" w:before="3"/>
            <w:rPr>
              <w:b w:val="0"/>
            </w:rPr>
          </w:pPr>
          <w:r>
            <w:rPr/>
            <w:t>PLANEACIÓN</w:t>
          </w:r>
          <w:r>
            <w:rPr>
              <w:spacing w:val="-4"/>
            </w:rPr>
            <w:t> </w:t>
          </w:r>
          <w:r>
            <w:rPr/>
            <w:t>Y</w:t>
          </w:r>
          <w:r>
            <w:rPr>
              <w:spacing w:val="-2"/>
            </w:rPr>
            <w:t> </w:t>
          </w:r>
          <w:r>
            <w:rPr/>
            <w:t>ARTICULACIÓN</w:t>
          </w:r>
          <w:r>
            <w:rPr>
              <w:b w:val="0"/>
              <w:position w:val="-12"/>
            </w:rPr>
            <w:tab/>
            <w:t>198</w:t>
          </w:r>
        </w:p>
        <w:p>
          <w:pPr>
            <w:pStyle w:val="TOC2"/>
            <w:numPr>
              <w:ilvl w:val="1"/>
              <w:numId w:val="11"/>
            </w:numPr>
            <w:tabs>
              <w:tab w:pos="532" w:val="left" w:leader="none"/>
              <w:tab w:pos="8496" w:val="left" w:leader="none"/>
            </w:tabs>
            <w:spacing w:line="252" w:lineRule="exact" w:before="0" w:after="0"/>
            <w:ind w:left="102" w:right="0" w:firstLine="0"/>
            <w:jc w:val="left"/>
          </w:pPr>
          <w:hyperlink w:history="true" w:anchor="_TOC_250030">
            <w:r>
              <w:rPr/>
              <w:t>Actores</w:t>
            </w:r>
            <w:r>
              <w:rPr>
                <w:spacing w:val="-2"/>
              </w:rPr>
              <w:t> </w:t>
            </w:r>
            <w:r>
              <w:rPr/>
              <w:t>y</w:t>
            </w:r>
            <w:r>
              <w:rPr>
                <w:spacing w:val="-3"/>
              </w:rPr>
              <w:t> </w:t>
            </w:r>
            <w:r>
              <w:rPr/>
              <w:t>Localidades</w:t>
              <w:tab/>
              <w:t>200</w:t>
            </w:r>
          </w:hyperlink>
        </w:p>
        <w:p>
          <w:pPr>
            <w:pStyle w:val="TOC2"/>
            <w:numPr>
              <w:ilvl w:val="1"/>
              <w:numId w:val="11"/>
            </w:numPr>
            <w:tabs>
              <w:tab w:pos="537" w:val="left" w:leader="none"/>
              <w:tab w:pos="8496" w:val="left" w:leader="none"/>
            </w:tabs>
            <w:spacing w:line="360" w:lineRule="auto" w:before="126" w:after="0"/>
            <w:ind w:left="102" w:right="194" w:firstLine="0"/>
            <w:jc w:val="left"/>
          </w:pPr>
          <w:hyperlink w:history="true" w:anchor="_TOC_250029">
            <w:r>
              <w:rPr/>
              <w:t>Identificación de la problemática de la Cuenca Hidrosocial Presa Huapango  mediante los resultados de las entrevistas por principios de  gobernanza  y gobernabilidad y por grupo de actores (Trabajo</w:t>
            </w:r>
            <w:r>
              <w:rPr>
                <w:spacing w:val="-8"/>
              </w:rPr>
              <w:t> </w:t>
            </w:r>
            <w:r>
              <w:rPr/>
              <w:t>de</w:t>
            </w:r>
            <w:r>
              <w:rPr>
                <w:spacing w:val="-1"/>
              </w:rPr>
              <w:t> </w:t>
            </w:r>
            <w:r>
              <w:rPr/>
              <w:t>Campo).</w:t>
              <w:tab/>
              <w:t>205</w:t>
            </w:r>
          </w:hyperlink>
        </w:p>
        <w:p>
          <w:pPr>
            <w:pStyle w:val="TOC2"/>
            <w:numPr>
              <w:ilvl w:val="2"/>
              <w:numId w:val="11"/>
            </w:numPr>
            <w:tabs>
              <w:tab w:pos="716" w:val="left" w:leader="none"/>
              <w:tab w:pos="8496" w:val="left" w:leader="none"/>
            </w:tabs>
            <w:spacing w:line="240" w:lineRule="auto" w:before="3" w:after="0"/>
            <w:ind w:left="715" w:right="0" w:hanging="613"/>
            <w:jc w:val="left"/>
          </w:pPr>
          <w:hyperlink w:history="true" w:anchor="_TOC_250028">
            <w:r>
              <w:rPr/>
              <w:t>Actores</w:t>
            </w:r>
            <w:r>
              <w:rPr>
                <w:spacing w:val="-5"/>
              </w:rPr>
              <w:t> </w:t>
            </w:r>
            <w:r>
              <w:rPr/>
              <w:t>Históricos</w:t>
            </w:r>
            <w:r>
              <w:rPr>
                <w:spacing w:val="-5"/>
              </w:rPr>
              <w:t> </w:t>
            </w:r>
            <w:r>
              <w:rPr/>
              <w:t>(Multiactores)</w:t>
              <w:tab/>
              <w:t>205</w:t>
            </w:r>
          </w:hyperlink>
        </w:p>
        <w:p>
          <w:pPr>
            <w:pStyle w:val="TOC2"/>
            <w:numPr>
              <w:ilvl w:val="3"/>
              <w:numId w:val="11"/>
            </w:numPr>
            <w:tabs>
              <w:tab w:pos="899" w:val="left" w:leader="none"/>
              <w:tab w:pos="8496" w:val="left" w:leader="none"/>
            </w:tabs>
            <w:spacing w:line="240" w:lineRule="auto" w:before="126" w:after="0"/>
            <w:ind w:left="898" w:right="0" w:hanging="796"/>
            <w:jc w:val="left"/>
          </w:pPr>
          <w:hyperlink w:history="true" w:anchor="_TOC_250027">
            <w:r>
              <w:rPr/>
              <w:t>Autoridades Auxiliares: Delegados Municipales y</w:t>
            </w:r>
            <w:r>
              <w:rPr>
                <w:spacing w:val="-11"/>
              </w:rPr>
              <w:t> </w:t>
            </w:r>
            <w:r>
              <w:rPr/>
              <w:t>Comisariados</w:t>
            </w:r>
            <w:r>
              <w:rPr>
                <w:spacing w:val="-3"/>
              </w:rPr>
              <w:t> </w:t>
            </w:r>
            <w:r>
              <w:rPr/>
              <w:t>Ejidales</w:t>
              <w:tab/>
              <w:t>260</w:t>
            </w:r>
          </w:hyperlink>
        </w:p>
        <w:p>
          <w:pPr>
            <w:pStyle w:val="TOC2"/>
            <w:numPr>
              <w:ilvl w:val="2"/>
              <w:numId w:val="11"/>
            </w:numPr>
            <w:tabs>
              <w:tab w:pos="716" w:val="left" w:leader="none"/>
              <w:tab w:pos="8496" w:val="left" w:leader="none"/>
            </w:tabs>
            <w:spacing w:line="240" w:lineRule="auto" w:before="126" w:after="0"/>
            <w:ind w:left="715" w:right="0" w:hanging="613"/>
            <w:jc w:val="left"/>
          </w:pPr>
          <w:hyperlink w:history="true" w:anchor="_TOC_250026">
            <w:r>
              <w:rPr/>
              <w:t>Actores Municipales</w:t>
            </w:r>
            <w:r>
              <w:rPr>
                <w:spacing w:val="-8"/>
              </w:rPr>
              <w:t> </w:t>
            </w:r>
            <w:r>
              <w:rPr/>
              <w:t>(Autoridades</w:t>
            </w:r>
            <w:r>
              <w:rPr>
                <w:spacing w:val="-3"/>
              </w:rPr>
              <w:t> </w:t>
            </w:r>
            <w:r>
              <w:rPr/>
              <w:t>Municipales)</w:t>
              <w:tab/>
              <w:t>312</w:t>
            </w:r>
          </w:hyperlink>
        </w:p>
        <w:p>
          <w:pPr>
            <w:pStyle w:val="TOC2"/>
            <w:numPr>
              <w:ilvl w:val="2"/>
              <w:numId w:val="11"/>
            </w:numPr>
            <w:tabs>
              <w:tab w:pos="716" w:val="left" w:leader="none"/>
              <w:tab w:pos="8496" w:val="left" w:leader="none"/>
            </w:tabs>
            <w:spacing w:line="240" w:lineRule="auto" w:before="126" w:after="0"/>
            <w:ind w:left="715" w:right="0" w:hanging="613"/>
            <w:jc w:val="left"/>
          </w:pPr>
          <w:hyperlink w:history="true" w:anchor="_TOC_250025">
            <w:r>
              <w:rPr/>
              <w:t>Actores</w:t>
            </w:r>
            <w:r>
              <w:rPr>
                <w:spacing w:val="-3"/>
              </w:rPr>
              <w:t> </w:t>
            </w:r>
            <w:r>
              <w:rPr/>
              <w:t>Federales</w:t>
              <w:tab/>
              <w:t>368</w:t>
            </w:r>
          </w:hyperlink>
        </w:p>
        <w:p>
          <w:pPr>
            <w:pStyle w:val="TOC2"/>
            <w:numPr>
              <w:ilvl w:val="1"/>
              <w:numId w:val="12"/>
            </w:numPr>
            <w:tabs>
              <w:tab w:pos="565" w:val="left" w:leader="none"/>
            </w:tabs>
            <w:spacing w:line="360" w:lineRule="auto" w:before="126" w:after="0"/>
            <w:ind w:left="102" w:right="1123" w:firstLine="0"/>
            <w:jc w:val="left"/>
          </w:pPr>
          <w:r>
            <w:rPr/>
            <w:t>Identificación de los Principios de Gobernanza y las AEPA por grupo de actores</w:t>
          </w:r>
          <w:r>
            <w:rPr>
              <w:spacing w:val="25"/>
            </w:rPr>
            <w:t> </w:t>
          </w:r>
          <w:r>
            <w:rPr/>
            <w:t>para</w:t>
          </w:r>
          <w:r>
            <w:rPr>
              <w:spacing w:val="25"/>
            </w:rPr>
            <w:t> </w:t>
          </w:r>
          <w:r>
            <w:rPr/>
            <w:t>la</w:t>
          </w:r>
          <w:r>
            <w:rPr>
              <w:spacing w:val="28"/>
            </w:rPr>
            <w:t> </w:t>
          </w:r>
          <w:r>
            <w:rPr/>
            <w:t>sugerencia</w:t>
          </w:r>
          <w:r>
            <w:rPr>
              <w:spacing w:val="28"/>
            </w:rPr>
            <w:t> </w:t>
          </w:r>
          <w:r>
            <w:rPr/>
            <w:t>de</w:t>
          </w:r>
          <w:r>
            <w:rPr>
              <w:spacing w:val="28"/>
            </w:rPr>
            <w:t> </w:t>
          </w:r>
          <w:r>
            <w:rPr/>
            <w:t>indicadores</w:t>
          </w:r>
          <w:r>
            <w:rPr>
              <w:spacing w:val="29"/>
            </w:rPr>
            <w:t> </w:t>
          </w:r>
          <w:r>
            <w:rPr/>
            <w:t>PEIR</w:t>
          </w:r>
          <w:r>
            <w:rPr>
              <w:spacing w:val="25"/>
            </w:rPr>
            <w:t> </w:t>
          </w:r>
          <w:r>
            <w:rPr/>
            <w:t>(Resultados</w:t>
          </w:r>
          <w:r>
            <w:rPr>
              <w:spacing w:val="25"/>
            </w:rPr>
            <w:t> </w:t>
          </w:r>
          <w:r>
            <w:rPr/>
            <w:t>y</w:t>
          </w:r>
          <w:r>
            <w:rPr>
              <w:spacing w:val="31"/>
            </w:rPr>
            <w:t> </w:t>
          </w:r>
          <w:r>
            <w:rPr/>
            <w:t>análisis</w:t>
          </w:r>
          <w:r>
            <w:rPr>
              <w:spacing w:val="28"/>
            </w:rPr>
            <w:t> </w:t>
          </w:r>
          <w:r>
            <w:rPr/>
            <w:t>de</w:t>
          </w:r>
          <w:r>
            <w:rPr>
              <w:spacing w:val="28"/>
            </w:rPr>
            <w:t> </w:t>
          </w:r>
          <w:r>
            <w:rPr/>
            <w:t>las</w:t>
          </w:r>
        </w:p>
        <w:p>
          <w:pPr>
            <w:pStyle w:val="TOC2"/>
            <w:tabs>
              <w:tab w:pos="8496" w:val="left" w:leader="none"/>
            </w:tabs>
            <w:spacing w:before="3"/>
          </w:pPr>
          <w:r>
            <w:rPr/>
            <w:t>entrevistas).</w:t>
            <w:tab/>
            <w:t>380</w:t>
          </w:r>
        </w:p>
        <w:p>
          <w:pPr>
            <w:pStyle w:val="TOC2"/>
            <w:numPr>
              <w:ilvl w:val="2"/>
              <w:numId w:val="12"/>
            </w:numPr>
            <w:tabs>
              <w:tab w:pos="716" w:val="left" w:leader="none"/>
              <w:tab w:pos="8496" w:val="left" w:leader="none"/>
            </w:tabs>
            <w:spacing w:line="240" w:lineRule="auto" w:before="126" w:after="0"/>
            <w:ind w:left="102" w:right="0" w:firstLine="0"/>
            <w:jc w:val="left"/>
          </w:pPr>
          <w:hyperlink w:history="true" w:anchor="_TOC_250024">
            <w:r>
              <w:rPr/>
              <w:t>La identidad de los actores en</w:t>
            </w:r>
            <w:r>
              <w:rPr>
                <w:spacing w:val="-7"/>
              </w:rPr>
              <w:t> </w:t>
            </w:r>
            <w:r>
              <w:rPr/>
              <w:t>la</w:t>
            </w:r>
            <w:r>
              <w:rPr>
                <w:spacing w:val="-1"/>
              </w:rPr>
              <w:t> </w:t>
            </w:r>
            <w:r>
              <w:rPr/>
              <w:t>CHPH</w:t>
              <w:tab/>
              <w:t>380</w:t>
            </w:r>
          </w:hyperlink>
        </w:p>
        <w:p>
          <w:pPr>
            <w:pStyle w:val="TOC2"/>
            <w:numPr>
              <w:ilvl w:val="2"/>
              <w:numId w:val="12"/>
            </w:numPr>
            <w:tabs>
              <w:tab w:pos="716" w:val="left" w:leader="none"/>
              <w:tab w:pos="8496" w:val="left" w:leader="none"/>
            </w:tabs>
            <w:spacing w:line="240" w:lineRule="auto" w:before="128" w:after="0"/>
            <w:ind w:left="715" w:right="0" w:hanging="613"/>
            <w:jc w:val="left"/>
          </w:pPr>
          <w:hyperlink w:history="true" w:anchor="_TOC_250023">
            <w:r>
              <w:rPr/>
              <w:t>La autogestión comunitaria en</w:t>
            </w:r>
            <w:r>
              <w:rPr>
                <w:spacing w:val="-8"/>
              </w:rPr>
              <w:t> </w:t>
            </w:r>
            <w:r>
              <w:rPr/>
              <w:t>la</w:t>
            </w:r>
            <w:r>
              <w:rPr>
                <w:spacing w:val="-1"/>
              </w:rPr>
              <w:t> </w:t>
            </w:r>
            <w:r>
              <w:rPr/>
              <w:t>CHPH</w:t>
              <w:tab/>
              <w:t>387</w:t>
            </w:r>
          </w:hyperlink>
        </w:p>
        <w:p>
          <w:pPr>
            <w:pStyle w:val="TOC2"/>
            <w:numPr>
              <w:ilvl w:val="2"/>
              <w:numId w:val="12"/>
            </w:numPr>
            <w:tabs>
              <w:tab w:pos="716" w:val="left" w:leader="none"/>
              <w:tab w:pos="8496" w:val="left" w:leader="none"/>
            </w:tabs>
            <w:spacing w:line="240" w:lineRule="auto" w:before="126" w:after="0"/>
            <w:ind w:left="715" w:right="0" w:hanging="613"/>
            <w:jc w:val="left"/>
          </w:pPr>
          <w:hyperlink w:history="true" w:anchor="_TOC_250022">
            <w:r>
              <w:rPr/>
              <w:t>La cultura en</w:t>
            </w:r>
            <w:r>
              <w:rPr>
                <w:spacing w:val="-8"/>
              </w:rPr>
              <w:t> </w:t>
            </w:r>
            <w:r>
              <w:rPr/>
              <w:t>la</w:t>
            </w:r>
            <w:r>
              <w:rPr>
                <w:spacing w:val="-2"/>
              </w:rPr>
              <w:t> </w:t>
            </w:r>
            <w:r>
              <w:rPr/>
              <w:t>CHPH</w:t>
              <w:tab/>
              <w:t>390</w:t>
            </w:r>
          </w:hyperlink>
        </w:p>
        <w:p>
          <w:pPr>
            <w:pStyle w:val="TOC2"/>
            <w:numPr>
              <w:ilvl w:val="2"/>
              <w:numId w:val="12"/>
            </w:numPr>
            <w:tabs>
              <w:tab w:pos="716" w:val="left" w:leader="none"/>
              <w:tab w:pos="8496" w:val="left" w:leader="none"/>
            </w:tabs>
            <w:spacing w:line="240" w:lineRule="auto" w:before="126" w:after="0"/>
            <w:ind w:left="715" w:right="0" w:hanging="613"/>
            <w:jc w:val="left"/>
          </w:pPr>
          <w:hyperlink w:history="true" w:anchor="_TOC_250021">
            <w:r>
              <w:rPr/>
              <w:t>El Poder en</w:t>
            </w:r>
            <w:r>
              <w:rPr>
                <w:spacing w:val="-4"/>
              </w:rPr>
              <w:t> </w:t>
            </w:r>
            <w:r>
              <w:rPr/>
              <w:t>la</w:t>
            </w:r>
            <w:r>
              <w:rPr>
                <w:spacing w:val="-1"/>
              </w:rPr>
              <w:t> </w:t>
            </w:r>
            <w:r>
              <w:rPr/>
              <w:t>CHPH</w:t>
              <w:tab/>
              <w:t>392</w:t>
            </w:r>
          </w:hyperlink>
        </w:p>
        <w:p>
          <w:pPr>
            <w:pStyle w:val="TOC2"/>
            <w:numPr>
              <w:ilvl w:val="2"/>
              <w:numId w:val="12"/>
            </w:numPr>
            <w:tabs>
              <w:tab w:pos="786" w:val="left" w:leader="none"/>
              <w:tab w:pos="8496" w:val="left" w:leader="none"/>
            </w:tabs>
            <w:spacing w:line="380" w:lineRule="exact" w:before="29" w:after="0"/>
            <w:ind w:left="102" w:right="194" w:firstLine="0"/>
            <w:jc w:val="left"/>
          </w:pPr>
          <w:r>
            <w:rPr/>
            <w:t>Otros principios de gobernanza: las relaciones intermunicipales y la  gobernabilidad en</w:t>
          </w:r>
          <w:r>
            <w:rPr>
              <w:spacing w:val="-3"/>
            </w:rPr>
            <w:t> </w:t>
          </w:r>
          <w:r>
            <w:rPr/>
            <w:t>la</w:t>
          </w:r>
          <w:r>
            <w:rPr>
              <w:spacing w:val="-2"/>
            </w:rPr>
            <w:t> </w:t>
          </w:r>
          <w:r>
            <w:rPr/>
            <w:t>CHPH</w:t>
          </w:r>
          <w:r>
            <w:rPr>
              <w:position w:val="-12"/>
            </w:rPr>
            <w:tab/>
            <w:t>409</w:t>
          </w:r>
        </w:p>
        <w:p>
          <w:pPr>
            <w:pStyle w:val="TOC4"/>
            <w:numPr>
              <w:ilvl w:val="2"/>
              <w:numId w:val="12"/>
            </w:numPr>
            <w:tabs>
              <w:tab w:pos="827" w:val="left" w:leader="none"/>
            </w:tabs>
            <w:spacing w:line="360" w:lineRule="auto" w:before="97" w:after="0"/>
            <w:ind w:left="102" w:right="1122" w:firstLine="0"/>
            <w:jc w:val="left"/>
            <w:rPr>
              <w:b w:val="0"/>
              <w:sz w:val="22"/>
            </w:rPr>
          </w:pPr>
          <w:r>
            <w:rPr>
              <w:b w:val="0"/>
              <w:i w:val="0"/>
              <w:sz w:val="22"/>
            </w:rPr>
            <w:t>Otros principios de gobernanza considerados: a) </w:t>
          </w:r>
          <w:r>
            <w:rPr>
              <w:b w:val="0"/>
              <w:i/>
              <w:sz w:val="22"/>
            </w:rPr>
            <w:t>cooperación, b) </w:t>
          </w:r>
          <w:r>
            <w:rPr>
              <w:b w:val="0"/>
              <w:sz w:val="22"/>
            </w:rPr>
            <w:t>participación  social,  c)  democracia  y  d)  voluntariedad  de  la  sociedad  en</w:t>
          </w:r>
          <w:r>
            <w:rPr>
              <w:b w:val="0"/>
              <w:spacing w:val="7"/>
              <w:sz w:val="22"/>
            </w:rPr>
            <w:t> </w:t>
          </w:r>
          <w:r>
            <w:rPr>
              <w:b w:val="0"/>
              <w:sz w:val="22"/>
            </w:rPr>
            <w:t>la</w:t>
          </w:r>
        </w:p>
        <w:p>
          <w:pPr>
            <w:pStyle w:val="TOC4"/>
            <w:tabs>
              <w:tab w:pos="8496" w:val="left" w:leader="none"/>
            </w:tabs>
            <w:rPr>
              <w:b w:val="0"/>
              <w:i w:val="0"/>
              <w:sz w:val="22"/>
            </w:rPr>
          </w:pPr>
          <w:r>
            <w:rPr>
              <w:b w:val="0"/>
              <w:i/>
              <w:sz w:val="22"/>
            </w:rPr>
            <w:t>CHPH</w:t>
          </w:r>
          <w:r>
            <w:rPr>
              <w:b w:val="0"/>
              <w:i w:val="0"/>
              <w:sz w:val="22"/>
            </w:rPr>
            <w:tab/>
            <w:t>420</w:t>
          </w:r>
        </w:p>
        <w:p>
          <w:pPr>
            <w:pStyle w:val="TOC2"/>
            <w:numPr>
              <w:ilvl w:val="1"/>
              <w:numId w:val="12"/>
            </w:numPr>
            <w:tabs>
              <w:tab w:pos="539" w:val="left" w:leader="none"/>
              <w:tab w:pos="8496" w:val="left" w:leader="none"/>
            </w:tabs>
            <w:spacing w:line="240" w:lineRule="auto" w:before="126" w:after="0"/>
            <w:ind w:left="102" w:right="194" w:firstLine="0"/>
            <w:jc w:val="left"/>
          </w:pPr>
          <w:hyperlink w:history="true" w:anchor="_TOC_250020">
            <w:r>
              <w:rPr/>
              <w:t>Áreas Estratégicas de Planeación y Articulación (AEPA): Ambiental, Social, Económica</w:t>
            </w:r>
            <w:r>
              <w:rPr>
                <w:spacing w:val="-1"/>
              </w:rPr>
              <w:t> </w:t>
            </w:r>
            <w:r>
              <w:rPr/>
              <w:t>y</w:t>
            </w:r>
            <w:r>
              <w:rPr>
                <w:spacing w:val="-3"/>
              </w:rPr>
              <w:t> </w:t>
            </w:r>
            <w:r>
              <w:rPr/>
              <w:t>Política</w:t>
            </w:r>
            <w:r>
              <w:rPr>
                <w:position w:val="13"/>
              </w:rPr>
              <w:tab/>
              <w:t>431</w:t>
            </w:r>
          </w:hyperlink>
        </w:p>
        <w:p>
          <w:pPr>
            <w:pStyle w:val="TOC1"/>
            <w:numPr>
              <w:ilvl w:val="0"/>
              <w:numId w:val="1"/>
            </w:numPr>
            <w:tabs>
              <w:tab w:pos="582" w:val="left" w:leader="none"/>
              <w:tab w:pos="8863" w:val="right" w:leader="none"/>
            </w:tabs>
            <w:spacing w:line="247" w:lineRule="auto" w:before="53" w:after="0"/>
            <w:ind w:left="102" w:right="194" w:firstLine="0"/>
            <w:jc w:val="left"/>
            <w:rPr>
              <w:b w:val="0"/>
            </w:rPr>
          </w:pPr>
          <w:hyperlink w:history="true" w:anchor="_TOC_250019">
            <w:r>
              <w:rPr/>
              <w:t>SISTEMA DE INDICADORES DE PRESIÓN, ESTADO,  IMPACTO  Y  RESPUESTA</w:t>
            </w:r>
            <w:r>
              <w:rPr>
                <w:spacing w:val="-6"/>
              </w:rPr>
              <w:t> </w:t>
            </w:r>
            <w:r>
              <w:rPr/>
              <w:t>(PEIR)</w:t>
            </w:r>
            <w:r>
              <w:rPr>
                <w:b w:val="0"/>
                <w:position w:val="12"/>
              </w:rPr>
              <w:tab/>
              <w:t>438</w:t>
            </w:r>
          </w:hyperlink>
        </w:p>
        <w:p>
          <w:pPr>
            <w:pStyle w:val="TOC2"/>
            <w:numPr>
              <w:ilvl w:val="1"/>
              <w:numId w:val="13"/>
            </w:numPr>
            <w:tabs>
              <w:tab w:pos="532" w:val="left" w:leader="none"/>
              <w:tab w:pos="8863" w:val="right" w:leader="none"/>
            </w:tabs>
            <w:spacing w:line="240" w:lineRule="auto" w:before="117" w:after="0"/>
            <w:ind w:left="531" w:right="0" w:hanging="429"/>
            <w:jc w:val="left"/>
          </w:pPr>
          <w:hyperlink w:history="true" w:anchor="_TOC_250018">
            <w:r>
              <w:rPr/>
              <w:t>La</w:t>
            </w:r>
            <w:r>
              <w:rPr>
                <w:spacing w:val="-1"/>
              </w:rPr>
              <w:t> </w:t>
            </w:r>
            <w:r>
              <w:rPr/>
              <w:t>ingeniería</w:t>
            </w:r>
            <w:r>
              <w:rPr>
                <w:spacing w:val="-1"/>
              </w:rPr>
              <w:t> </w:t>
            </w:r>
            <w:r>
              <w:rPr/>
              <w:t>social</w:t>
              <w:tab/>
              <w:t>440</w:t>
            </w:r>
          </w:hyperlink>
        </w:p>
        <w:p>
          <w:pPr>
            <w:pStyle w:val="TOC2"/>
            <w:numPr>
              <w:ilvl w:val="1"/>
              <w:numId w:val="13"/>
            </w:numPr>
            <w:tabs>
              <w:tab w:pos="532" w:val="left" w:leader="none"/>
              <w:tab w:pos="8863" w:val="right" w:leader="none"/>
            </w:tabs>
            <w:spacing w:line="240" w:lineRule="auto" w:before="126" w:after="0"/>
            <w:ind w:left="531" w:right="0" w:hanging="429"/>
            <w:jc w:val="left"/>
          </w:pPr>
          <w:hyperlink w:history="true" w:anchor="_TOC_250017">
            <w:r>
              <w:rPr/>
              <w:t>¿Qué es un</w:t>
            </w:r>
            <w:r>
              <w:rPr>
                <w:spacing w:val="-5"/>
              </w:rPr>
              <w:t> </w:t>
            </w:r>
            <w:r>
              <w:rPr/>
              <w:t>indicador social?</w:t>
              <w:tab/>
              <w:t>443</w:t>
            </w:r>
          </w:hyperlink>
        </w:p>
        <w:p>
          <w:pPr>
            <w:pStyle w:val="TOC2"/>
            <w:numPr>
              <w:ilvl w:val="1"/>
              <w:numId w:val="13"/>
            </w:numPr>
            <w:tabs>
              <w:tab w:pos="532" w:val="left" w:leader="none"/>
              <w:tab w:pos="8863" w:val="right" w:leader="none"/>
            </w:tabs>
            <w:spacing w:line="240" w:lineRule="auto" w:before="126" w:after="0"/>
            <w:ind w:left="531" w:right="0" w:hanging="429"/>
            <w:jc w:val="left"/>
          </w:pPr>
          <w:hyperlink w:history="true" w:anchor="_TOC_250016">
            <w:r>
              <w:rPr/>
              <w:t>El sistema de indicadores</w:t>
            </w:r>
            <w:r>
              <w:rPr>
                <w:spacing w:val="-3"/>
              </w:rPr>
              <w:t> </w:t>
            </w:r>
            <w:r>
              <w:rPr/>
              <w:t>Presión-Estado-Impacto-Respuesta</w:t>
            </w:r>
            <w:r>
              <w:rPr>
                <w:spacing w:val="-3"/>
              </w:rPr>
              <w:t> </w:t>
            </w:r>
            <w:r>
              <w:rPr/>
              <w:t>(PEIR)</w:t>
              <w:tab/>
              <w:t>446</w:t>
            </w:r>
          </w:hyperlink>
        </w:p>
        <w:p>
          <w:pPr>
            <w:pStyle w:val="TOC2"/>
            <w:numPr>
              <w:ilvl w:val="1"/>
              <w:numId w:val="13"/>
            </w:numPr>
            <w:tabs>
              <w:tab w:pos="532" w:val="left" w:leader="none"/>
              <w:tab w:pos="8863" w:val="right" w:leader="none"/>
            </w:tabs>
            <w:spacing w:line="240" w:lineRule="auto" w:before="126" w:after="0"/>
            <w:ind w:left="531" w:right="0" w:hanging="429"/>
            <w:jc w:val="left"/>
          </w:pPr>
          <w:hyperlink w:history="true" w:anchor="_TOC_250015">
            <w:r>
              <w:rPr/>
              <w:t>El Principio de Pareto (regla</w:t>
            </w:r>
            <w:r>
              <w:rPr>
                <w:spacing w:val="-1"/>
              </w:rPr>
              <w:t> </w:t>
            </w:r>
            <w:r>
              <w:rPr/>
              <w:t>del</w:t>
            </w:r>
            <w:r>
              <w:rPr>
                <w:spacing w:val="-1"/>
              </w:rPr>
              <w:t> </w:t>
            </w:r>
            <w:r>
              <w:rPr/>
              <w:t>80/20)</w:t>
              <w:tab/>
              <w:t>450</w:t>
            </w:r>
          </w:hyperlink>
        </w:p>
        <w:p>
          <w:pPr>
            <w:pStyle w:val="TOC2"/>
            <w:numPr>
              <w:ilvl w:val="1"/>
              <w:numId w:val="13"/>
            </w:numPr>
            <w:tabs>
              <w:tab w:pos="532" w:val="left" w:leader="none"/>
              <w:tab w:pos="8863" w:val="right" w:leader="none"/>
            </w:tabs>
            <w:spacing w:line="240" w:lineRule="auto" w:before="128" w:after="0"/>
            <w:ind w:left="531" w:right="0" w:hanging="429"/>
            <w:jc w:val="left"/>
          </w:pPr>
          <w:hyperlink w:history="true" w:anchor="_TOC_250014">
            <w:r>
              <w:rPr/>
              <w:t>Qué son los Factores Críticos</w:t>
            </w:r>
            <w:r>
              <w:rPr>
                <w:spacing w:val="-4"/>
              </w:rPr>
              <w:t> </w:t>
            </w:r>
            <w:r>
              <w:rPr/>
              <w:t>de</w:t>
            </w:r>
            <w:r>
              <w:rPr>
                <w:spacing w:val="-1"/>
              </w:rPr>
              <w:t> </w:t>
            </w:r>
            <w:r>
              <w:rPr/>
              <w:t>Éxito</w:t>
              <w:tab/>
              <w:t>452</w:t>
            </w:r>
          </w:hyperlink>
        </w:p>
        <w:p>
          <w:pPr>
            <w:pStyle w:val="TOC2"/>
            <w:numPr>
              <w:ilvl w:val="1"/>
              <w:numId w:val="13"/>
            </w:numPr>
            <w:tabs>
              <w:tab w:pos="532" w:val="left" w:leader="none"/>
              <w:tab w:pos="8863" w:val="right" w:leader="none"/>
            </w:tabs>
            <w:spacing w:line="240" w:lineRule="auto" w:before="126" w:after="0"/>
            <w:ind w:left="531" w:right="0" w:hanging="429"/>
            <w:jc w:val="left"/>
          </w:pPr>
          <w:hyperlink w:history="true" w:anchor="_TOC_250013">
            <w:r>
              <w:rPr/>
              <w:t>Sistema de indicadores PEIR para la Cuenca Hidrosocial</w:t>
            </w:r>
            <w:r>
              <w:rPr>
                <w:spacing w:val="-14"/>
              </w:rPr>
              <w:t> </w:t>
            </w:r>
            <w:r>
              <w:rPr/>
              <w:t>Presa</w:t>
            </w:r>
            <w:r>
              <w:rPr>
                <w:spacing w:val="-3"/>
              </w:rPr>
              <w:t> </w:t>
            </w:r>
            <w:r>
              <w:rPr/>
              <w:t>Huapango</w:t>
              <w:tab/>
              <w:t>452</w:t>
            </w:r>
          </w:hyperlink>
        </w:p>
        <w:p>
          <w:pPr>
            <w:pStyle w:val="TOC2"/>
            <w:tabs>
              <w:tab w:pos="8863" w:val="right" w:leader="none"/>
            </w:tabs>
          </w:pPr>
          <w:hyperlink w:history="true" w:anchor="_TOC_250012">
            <w:r>
              <w:rPr/>
              <w:t>7.6.1 Resultados del sistema PEIR de la CHPH</w:t>
            </w:r>
            <w:r>
              <w:rPr>
                <w:spacing w:val="-9"/>
              </w:rPr>
              <w:t> </w:t>
            </w:r>
            <w:r>
              <w:rPr/>
              <w:t>(Cuatro</w:t>
            </w:r>
            <w:r>
              <w:rPr>
                <w:spacing w:val="-1"/>
              </w:rPr>
              <w:t> </w:t>
            </w:r>
            <w:r>
              <w:rPr/>
              <w:t>AEPA)</w:t>
              <w:tab/>
              <w:t>512</w:t>
            </w:r>
          </w:hyperlink>
        </w:p>
        <w:p>
          <w:pPr>
            <w:pStyle w:val="TOC2"/>
            <w:numPr>
              <w:ilvl w:val="1"/>
              <w:numId w:val="13"/>
            </w:numPr>
            <w:tabs>
              <w:tab w:pos="532" w:val="left" w:leader="none"/>
              <w:tab w:pos="8863" w:val="right" w:leader="none"/>
            </w:tabs>
            <w:spacing w:line="240" w:lineRule="auto" w:before="127" w:after="0"/>
            <w:ind w:left="531" w:right="0" w:hanging="429"/>
            <w:jc w:val="left"/>
          </w:pPr>
          <w:hyperlink w:history="true" w:anchor="_TOC_250011">
            <w:r>
              <w:rPr/>
              <w:t>Conjugación de las AEPA Política y Social en</w:t>
            </w:r>
            <w:r>
              <w:rPr>
                <w:spacing w:val="-8"/>
              </w:rPr>
              <w:t> </w:t>
            </w:r>
            <w:r>
              <w:rPr/>
              <w:t>AEPA</w:t>
            </w:r>
            <w:r>
              <w:rPr>
                <w:spacing w:val="-1"/>
              </w:rPr>
              <w:t> </w:t>
            </w:r>
            <w:r>
              <w:rPr/>
              <w:t>Sociopolítica</w:t>
              <w:tab/>
              <w:t>518</w:t>
            </w:r>
          </w:hyperlink>
        </w:p>
        <w:p>
          <w:pPr>
            <w:pStyle w:val="TOC2"/>
            <w:numPr>
              <w:ilvl w:val="2"/>
              <w:numId w:val="13"/>
            </w:numPr>
            <w:tabs>
              <w:tab w:pos="786" w:val="left" w:leader="none"/>
              <w:tab w:pos="8863" w:val="right" w:leader="none"/>
            </w:tabs>
            <w:spacing w:line="380" w:lineRule="exact" w:before="28" w:after="0"/>
            <w:ind w:left="102" w:right="194" w:firstLine="0"/>
            <w:jc w:val="left"/>
          </w:pPr>
          <w:hyperlink w:history="true" w:anchor="_TOC_250010">
            <w:r>
              <w:rPr/>
              <w:t>Proceso de reestructuración  del  sistema  PEIR-CHPH  en  tres  AEPA  (ambiental, sociopolítica</w:t>
            </w:r>
            <w:r>
              <w:rPr>
                <w:spacing w:val="1"/>
              </w:rPr>
              <w:t> </w:t>
            </w:r>
            <w:r>
              <w:rPr/>
              <w:t>y</w:t>
            </w:r>
            <w:r>
              <w:rPr>
                <w:spacing w:val="-2"/>
              </w:rPr>
              <w:t> </w:t>
            </w:r>
            <w:r>
              <w:rPr/>
              <w:t>económica)</w:t>
            </w:r>
            <w:r>
              <w:rPr>
                <w:position w:val="-12"/>
              </w:rPr>
              <w:tab/>
              <w:t>519</w:t>
            </w:r>
          </w:hyperlink>
        </w:p>
        <w:p>
          <w:pPr>
            <w:pStyle w:val="TOC2"/>
            <w:numPr>
              <w:ilvl w:val="2"/>
              <w:numId w:val="13"/>
            </w:numPr>
            <w:tabs>
              <w:tab w:pos="736" w:val="left" w:leader="none"/>
            </w:tabs>
            <w:spacing w:line="240" w:lineRule="auto" w:before="97" w:after="0"/>
            <w:ind w:left="735" w:right="0" w:hanging="633"/>
            <w:jc w:val="left"/>
          </w:pPr>
          <w:r>
            <w:rPr/>
            <w:t>Resultado del sistema PEIR-CHPH con tres AEPA: Factores Críticos  </w:t>
          </w:r>
          <w:r>
            <w:rPr>
              <w:spacing w:val="34"/>
            </w:rPr>
            <w:t> </w:t>
          </w:r>
          <w:r>
            <w:rPr/>
            <w:t>de</w:t>
          </w:r>
        </w:p>
        <w:p>
          <w:pPr>
            <w:pStyle w:val="TOC2"/>
            <w:tabs>
              <w:tab w:pos="8863" w:val="right" w:leader="none"/>
            </w:tabs>
            <w:spacing w:line="381" w:lineRule="exact"/>
          </w:pPr>
          <w:r>
            <w:rPr/>
            <w:t>Éxito</w:t>
          </w:r>
          <w:r>
            <w:rPr>
              <w:position w:val="-12"/>
            </w:rPr>
            <w:tab/>
            <w:t>536</w:t>
          </w:r>
        </w:p>
        <w:p>
          <w:pPr>
            <w:pStyle w:val="TOC2"/>
            <w:numPr>
              <w:ilvl w:val="2"/>
              <w:numId w:val="13"/>
            </w:numPr>
            <w:tabs>
              <w:tab w:pos="834" w:val="left" w:leader="none"/>
            </w:tabs>
            <w:spacing w:line="251" w:lineRule="exact" w:before="0" w:after="0"/>
            <w:ind w:left="833" w:right="0" w:hanging="731"/>
            <w:jc w:val="left"/>
          </w:pPr>
          <w:r>
            <w:rPr/>
            <w:t>Resultado   del   sistema   PEIR-CHPH   con   tres   AEPA:   Tarjetas </w:t>
          </w:r>
          <w:r>
            <w:rPr>
              <w:spacing w:val="14"/>
            </w:rPr>
            <w:t> </w:t>
          </w:r>
          <w:r>
            <w:rPr/>
            <w:t>de</w:t>
          </w:r>
        </w:p>
        <w:p>
          <w:pPr>
            <w:pStyle w:val="TOC2"/>
            <w:tabs>
              <w:tab w:pos="8863" w:val="right" w:leader="none"/>
            </w:tabs>
            <w:spacing w:before="128"/>
          </w:pPr>
          <w:r>
            <w:rPr/>
            <w:t>Valoración</w:t>
          </w:r>
          <w:r>
            <w:rPr>
              <w:spacing w:val="-1"/>
            </w:rPr>
            <w:t> </w:t>
          </w:r>
          <w:r>
            <w:rPr/>
            <w:t>(Scorecards)</w:t>
          </w:r>
          <w:r>
            <w:rPr>
              <w:position w:val="-11"/>
            </w:rPr>
            <w:tab/>
            <w:t>539</w:t>
          </w:r>
        </w:p>
        <w:p>
          <w:pPr>
            <w:pStyle w:val="TOC2"/>
            <w:numPr>
              <w:ilvl w:val="2"/>
              <w:numId w:val="13"/>
            </w:numPr>
            <w:tabs>
              <w:tab w:pos="769" w:val="left" w:leader="none"/>
            </w:tabs>
            <w:spacing w:line="240" w:lineRule="auto" w:before="6" w:after="0"/>
            <w:ind w:left="768" w:right="0" w:hanging="666"/>
            <w:jc w:val="left"/>
          </w:pPr>
          <w:r>
            <w:rPr/>
            <w:t>Resultado  del  sistema PEIR-CHPH  con tres  AEPA: Interpretación  </w:t>
          </w:r>
          <w:r>
            <w:rPr>
              <w:spacing w:val="27"/>
            </w:rPr>
            <w:t> </w:t>
          </w:r>
          <w:r>
            <w:rPr/>
            <w:t>del</w:t>
          </w:r>
        </w:p>
        <w:p>
          <w:pPr>
            <w:pStyle w:val="TOC2"/>
            <w:tabs>
              <w:tab w:pos="8863" w:val="right" w:leader="none"/>
            </w:tabs>
          </w:pPr>
          <w:r>
            <w:rPr/>
            <w:t>resumen de las tarjetas de</w:t>
          </w:r>
          <w:r>
            <w:rPr>
              <w:spacing w:val="-8"/>
            </w:rPr>
            <w:t> </w:t>
          </w:r>
          <w:r>
            <w:rPr/>
            <w:t>valoración</w:t>
          </w:r>
          <w:r>
            <w:rPr>
              <w:spacing w:val="-1"/>
            </w:rPr>
            <w:t> </w:t>
          </w:r>
          <w:r>
            <w:rPr/>
            <w:t>(scorecards)</w:t>
          </w:r>
          <w:r>
            <w:rPr>
              <w:position w:val="-11"/>
            </w:rPr>
            <w:tab/>
            <w:t>762</w:t>
          </w:r>
        </w:p>
        <w:p>
          <w:pPr>
            <w:pStyle w:val="TOC2"/>
            <w:numPr>
              <w:ilvl w:val="2"/>
              <w:numId w:val="13"/>
            </w:numPr>
            <w:tabs>
              <w:tab w:pos="827" w:val="left" w:leader="none"/>
            </w:tabs>
            <w:spacing w:line="240" w:lineRule="auto" w:before="6" w:after="0"/>
            <w:ind w:left="826" w:right="0" w:hanging="724"/>
            <w:jc w:val="left"/>
          </w:pPr>
          <w:r>
            <w:rPr/>
            <w:t>Resultado   del   sistema   PEIR-CHPH   con   tres   AEPA:   Tres</w:t>
          </w:r>
          <w:r>
            <w:rPr>
              <w:spacing w:val="18"/>
            </w:rPr>
            <w:t> </w:t>
          </w:r>
          <w:r>
            <w:rPr/>
            <w:t>Mapas</w:t>
          </w:r>
        </w:p>
        <w:p>
          <w:pPr>
            <w:pStyle w:val="TOC2"/>
            <w:tabs>
              <w:tab w:pos="8863" w:val="right" w:leader="none"/>
            </w:tabs>
            <w:spacing w:line="380" w:lineRule="exact"/>
          </w:pPr>
          <w:r>
            <w:rPr/>
            <w:t>Conceptuales</w:t>
          </w:r>
          <w:r>
            <w:rPr>
              <w:position w:val="-12"/>
            </w:rPr>
            <w:tab/>
            <w:t>763</w:t>
          </w:r>
        </w:p>
        <w:p>
          <w:pPr>
            <w:pStyle w:val="TOC1"/>
            <w:numPr>
              <w:ilvl w:val="0"/>
              <w:numId w:val="1"/>
            </w:numPr>
            <w:tabs>
              <w:tab w:pos="668" w:val="left" w:leader="none"/>
            </w:tabs>
            <w:spacing w:line="360" w:lineRule="auto" w:before="0" w:after="0"/>
            <w:ind w:left="102" w:right="1130" w:firstLine="0"/>
            <w:jc w:val="left"/>
          </w:pPr>
          <w:r>
            <w:rPr/>
            <w:t>ANALISIS DEL MARCO JURÍDICO PARA LA PROPUESTA DEL COMITÉ INTERMUNICIPAL PARA CUIDAR,  DEFENDER Y   </w:t>
          </w:r>
          <w:r>
            <w:rPr>
              <w:spacing w:val="11"/>
            </w:rPr>
            <w:t> </w:t>
          </w:r>
          <w:r>
            <w:rPr/>
            <w:t>ADMINISTRAR</w:t>
          </w:r>
        </w:p>
        <w:p>
          <w:pPr>
            <w:pStyle w:val="TOC1"/>
            <w:tabs>
              <w:tab w:pos="8863" w:val="right" w:leader="none"/>
            </w:tabs>
            <w:spacing w:before="5"/>
            <w:rPr>
              <w:b w:val="0"/>
            </w:rPr>
          </w:pPr>
          <w:r>
            <w:rPr/>
            <w:t>LOS RECURSOS DE LA CHPH Y</w:t>
          </w:r>
          <w:r>
            <w:rPr>
              <w:spacing w:val="-5"/>
            </w:rPr>
            <w:t> </w:t>
          </w:r>
          <w:r>
            <w:rPr/>
            <w:t>SU</w:t>
          </w:r>
          <w:r>
            <w:rPr>
              <w:spacing w:val="-1"/>
            </w:rPr>
            <w:t> </w:t>
          </w:r>
          <w:r>
            <w:rPr/>
            <w:t>REGLAMENTO</w:t>
          </w:r>
          <w:r>
            <w:rPr>
              <w:b w:val="0"/>
            </w:rPr>
            <w:tab/>
            <w:t>766</w:t>
          </w:r>
        </w:p>
        <w:p>
          <w:pPr>
            <w:pStyle w:val="TOC2"/>
            <w:numPr>
              <w:ilvl w:val="1"/>
              <w:numId w:val="14"/>
            </w:numPr>
            <w:tabs>
              <w:tab w:pos="532" w:val="left" w:leader="none"/>
              <w:tab w:pos="8863" w:val="right" w:leader="none"/>
            </w:tabs>
            <w:spacing w:line="240" w:lineRule="auto" w:before="126" w:after="0"/>
            <w:ind w:left="531" w:right="0" w:hanging="429"/>
            <w:jc w:val="left"/>
          </w:pPr>
          <w:hyperlink w:history="true" w:anchor="_TOC_250009">
            <w:r>
              <w:rPr/>
              <w:t>Marco Jurídico</w:t>
            </w:r>
            <w:r>
              <w:rPr>
                <w:spacing w:val="-1"/>
              </w:rPr>
              <w:t> </w:t>
            </w:r>
            <w:r>
              <w:rPr/>
              <w:t>Internacional</w:t>
              <w:tab/>
              <w:t>768</w:t>
            </w:r>
          </w:hyperlink>
        </w:p>
        <w:p>
          <w:pPr>
            <w:pStyle w:val="TOC2"/>
            <w:numPr>
              <w:ilvl w:val="1"/>
              <w:numId w:val="14"/>
            </w:numPr>
            <w:tabs>
              <w:tab w:pos="532" w:val="left" w:leader="none"/>
              <w:tab w:pos="8863" w:val="right" w:leader="none"/>
            </w:tabs>
            <w:spacing w:line="240" w:lineRule="auto" w:before="128" w:after="0"/>
            <w:ind w:left="531" w:right="0" w:hanging="429"/>
            <w:jc w:val="left"/>
          </w:pPr>
          <w:hyperlink w:history="true" w:anchor="_TOC_250008">
            <w:r>
              <w:rPr/>
              <w:t>Marco Jurídico</w:t>
            </w:r>
            <w:r>
              <w:rPr>
                <w:spacing w:val="-1"/>
              </w:rPr>
              <w:t> </w:t>
            </w:r>
            <w:r>
              <w:rPr/>
              <w:t>Nacional</w:t>
              <w:tab/>
              <w:t>786</w:t>
            </w:r>
          </w:hyperlink>
        </w:p>
        <w:p>
          <w:pPr>
            <w:pStyle w:val="TOC2"/>
            <w:numPr>
              <w:ilvl w:val="1"/>
              <w:numId w:val="14"/>
            </w:numPr>
            <w:tabs>
              <w:tab w:pos="532" w:val="left" w:leader="none"/>
              <w:tab w:pos="8863" w:val="right" w:leader="none"/>
            </w:tabs>
            <w:spacing w:line="240" w:lineRule="auto" w:before="126" w:after="0"/>
            <w:ind w:left="531" w:right="0" w:hanging="429"/>
            <w:jc w:val="left"/>
          </w:pPr>
          <w:hyperlink w:history="true" w:anchor="_TOC_250007">
            <w:r>
              <w:rPr/>
              <w:t>Marco Jurídico</w:t>
            </w:r>
            <w:r>
              <w:rPr>
                <w:spacing w:val="-1"/>
              </w:rPr>
              <w:t> </w:t>
            </w:r>
            <w:r>
              <w:rPr/>
              <w:t>Estatal</w:t>
              <w:tab/>
              <w:t>794</w:t>
            </w:r>
          </w:hyperlink>
        </w:p>
        <w:p>
          <w:pPr>
            <w:pStyle w:val="TOC2"/>
            <w:numPr>
              <w:ilvl w:val="1"/>
              <w:numId w:val="14"/>
            </w:numPr>
            <w:tabs>
              <w:tab w:pos="532" w:val="left" w:leader="none"/>
              <w:tab w:pos="8863" w:val="right" w:leader="none"/>
            </w:tabs>
            <w:spacing w:line="240" w:lineRule="auto" w:before="126" w:after="0"/>
            <w:ind w:left="531" w:right="0" w:hanging="429"/>
            <w:jc w:val="left"/>
          </w:pPr>
          <w:hyperlink w:history="true" w:anchor="_TOC_250006">
            <w:r>
              <w:rPr/>
              <w:t>Marco Jurídico</w:t>
            </w:r>
            <w:r>
              <w:rPr>
                <w:spacing w:val="-1"/>
              </w:rPr>
              <w:t> </w:t>
            </w:r>
            <w:r>
              <w:rPr/>
              <w:t>Municipal</w:t>
              <w:tab/>
              <w:t>796</w:t>
            </w:r>
          </w:hyperlink>
        </w:p>
        <w:p>
          <w:pPr>
            <w:pStyle w:val="TOC2"/>
            <w:numPr>
              <w:ilvl w:val="1"/>
              <w:numId w:val="14"/>
            </w:numPr>
            <w:tabs>
              <w:tab w:pos="532" w:val="left" w:leader="none"/>
              <w:tab w:pos="8863" w:val="right" w:leader="none"/>
            </w:tabs>
            <w:spacing w:line="240" w:lineRule="auto" w:before="127" w:after="0"/>
            <w:ind w:left="531" w:right="0" w:hanging="429"/>
            <w:jc w:val="left"/>
          </w:pPr>
          <w:hyperlink w:history="true" w:anchor="_TOC_250005">
            <w:r>
              <w:rPr/>
              <w:t>Marco Jurídico</w:t>
            </w:r>
            <w:r>
              <w:rPr>
                <w:spacing w:val="-1"/>
              </w:rPr>
              <w:t> </w:t>
            </w:r>
            <w:r>
              <w:rPr/>
              <w:t>Local</w:t>
              <w:tab/>
              <w:t>810</w:t>
            </w:r>
          </w:hyperlink>
        </w:p>
        <w:p>
          <w:pPr>
            <w:pStyle w:val="TOC2"/>
            <w:numPr>
              <w:ilvl w:val="2"/>
              <w:numId w:val="14"/>
            </w:numPr>
            <w:tabs>
              <w:tab w:pos="717" w:val="left" w:leader="none"/>
              <w:tab w:pos="8863" w:val="right" w:leader="none"/>
            </w:tabs>
            <w:spacing w:line="240" w:lineRule="auto" w:before="126" w:after="0"/>
            <w:ind w:left="716" w:right="0" w:hanging="614"/>
            <w:jc w:val="left"/>
          </w:pPr>
          <w:hyperlink w:history="true" w:anchor="_TOC_250004">
            <w:r>
              <w:rPr/>
              <w:t>Marco Local del</w:t>
            </w:r>
            <w:r>
              <w:rPr>
                <w:spacing w:val="-4"/>
              </w:rPr>
              <w:t> </w:t>
            </w:r>
            <w:r>
              <w:rPr/>
              <w:t>Derecho</w:t>
            </w:r>
            <w:r>
              <w:rPr>
                <w:spacing w:val="-1"/>
              </w:rPr>
              <w:t> </w:t>
            </w:r>
            <w:r>
              <w:rPr/>
              <w:t>Consuetudinario</w:t>
              <w:tab/>
              <w:t>811</w:t>
            </w:r>
          </w:hyperlink>
        </w:p>
        <w:p>
          <w:pPr>
            <w:pStyle w:val="TOC2"/>
            <w:tabs>
              <w:tab w:pos="8863" w:val="right" w:leader="none"/>
            </w:tabs>
          </w:pPr>
          <w:hyperlink w:history="true" w:anchor="_TOC_250003">
            <w:r>
              <w:rPr/>
              <w:t>8.6. Consideraciones legales para reflexionar</w:t>
            </w:r>
            <w:r>
              <w:rPr>
                <w:spacing w:val="-3"/>
              </w:rPr>
              <w:t> </w:t>
            </w:r>
            <w:r>
              <w:rPr/>
              <w:t>en</w:t>
            </w:r>
            <w:r>
              <w:rPr>
                <w:spacing w:val="-3"/>
              </w:rPr>
              <w:t> </w:t>
            </w:r>
            <w:r>
              <w:rPr/>
              <w:t>México</w:t>
              <w:tab/>
              <w:t>815</w:t>
            </w:r>
          </w:hyperlink>
        </w:p>
        <w:p>
          <w:pPr>
            <w:pStyle w:val="TOC1"/>
            <w:numPr>
              <w:ilvl w:val="0"/>
              <w:numId w:val="1"/>
            </w:numPr>
            <w:tabs>
              <w:tab w:pos="438" w:val="left" w:leader="none"/>
              <w:tab w:pos="8863" w:val="right" w:leader="none"/>
            </w:tabs>
            <w:spacing w:line="240" w:lineRule="auto" w:before="126" w:after="0"/>
            <w:ind w:left="438" w:right="0" w:hanging="336"/>
            <w:jc w:val="left"/>
            <w:rPr>
              <w:b w:val="0"/>
            </w:rPr>
          </w:pPr>
          <w:hyperlink w:history="true" w:anchor="_TOC_250002">
            <w:r>
              <w:rPr/>
              <w:t>ANÁLISIS</w:t>
            </w:r>
            <w:r>
              <w:rPr>
                <w:spacing w:val="-1"/>
              </w:rPr>
              <w:t> </w:t>
            </w:r>
            <w:r>
              <w:rPr/>
              <w:t>Y</w:t>
            </w:r>
            <w:r>
              <w:rPr>
                <w:spacing w:val="-1"/>
              </w:rPr>
              <w:t> </w:t>
            </w:r>
            <w:r>
              <w:rPr/>
              <w:t>DISCUSIÓN</w:t>
            </w:r>
            <w:r>
              <w:rPr>
                <w:b w:val="0"/>
              </w:rPr>
              <w:tab/>
              <w:t>818</w:t>
            </w:r>
          </w:hyperlink>
        </w:p>
        <w:p>
          <w:pPr>
            <w:pStyle w:val="TOC1"/>
            <w:numPr>
              <w:ilvl w:val="0"/>
              <w:numId w:val="1"/>
            </w:numPr>
            <w:tabs>
              <w:tab w:pos="598" w:val="left" w:leader="none"/>
              <w:tab w:pos="599" w:val="left" w:leader="none"/>
              <w:tab w:pos="2251" w:val="left" w:leader="none"/>
              <w:tab w:pos="3160" w:val="left" w:leader="none"/>
              <w:tab w:pos="3743" w:val="left" w:leader="none"/>
              <w:tab w:pos="5878" w:val="left" w:leader="none"/>
              <w:tab w:pos="6470" w:val="left" w:leader="none"/>
              <w:tab w:pos="7075" w:val="left" w:leader="none"/>
              <w:tab w:pos="8863" w:val="right" w:leader="none"/>
            </w:tabs>
            <w:spacing w:line="362" w:lineRule="auto" w:before="124" w:after="0"/>
            <w:ind w:left="102" w:right="194" w:firstLine="0"/>
            <w:jc w:val="left"/>
            <w:rPr>
              <w:b w:val="0"/>
            </w:rPr>
          </w:pPr>
          <w:hyperlink w:history="true" w:anchor="_TOC_250001">
            <w:r>
              <w:rPr/>
              <w:t>PROPUESTA</w:t>
              <w:tab/>
              <w:t>PARA</w:t>
              <w:tab/>
              <w:t>LA</w:t>
              <w:tab/>
              <w:t>CONFORMACIÓN</w:t>
              <w:tab/>
              <w:t>DE</w:t>
              <w:tab/>
              <w:t>UN</w:t>
              <w:tab/>
              <w:t>COMITÉ INTERMUNICIPAL  PARA  CUIDAR,  DEFENDER  Y   ADMINISTRAR   LOS RECURSOS NATURALES DE LA CHPH Y</w:t>
            </w:r>
            <w:r>
              <w:rPr>
                <w:spacing w:val="-17"/>
              </w:rPr>
              <w:t> </w:t>
            </w:r>
            <w:r>
              <w:rPr/>
              <w:t>SU</w:t>
            </w:r>
            <w:r>
              <w:rPr>
                <w:spacing w:val="-2"/>
              </w:rPr>
              <w:t> </w:t>
            </w:r>
            <w:r>
              <w:rPr/>
              <w:t>REGLAMENTO</w:t>
            </w:r>
            <w:r>
              <w:rPr>
                <w:b w:val="0"/>
              </w:rPr>
              <w:tab/>
              <w:tab/>
              <w:t>828</w:t>
            </w:r>
          </w:hyperlink>
        </w:p>
        <w:p>
          <w:pPr>
            <w:pStyle w:val="TOC2"/>
            <w:numPr>
              <w:ilvl w:val="1"/>
              <w:numId w:val="15"/>
            </w:numPr>
            <w:tabs>
              <w:tab w:pos="662" w:val="left" w:leader="none"/>
              <w:tab w:pos="8863" w:val="right" w:leader="none"/>
            </w:tabs>
            <w:spacing w:line="237" w:lineRule="auto" w:before="58" w:after="0"/>
            <w:ind w:left="102" w:right="194" w:firstLine="0"/>
            <w:jc w:val="left"/>
          </w:pPr>
          <w:hyperlink w:history="true" w:anchor="_TOC_250000">
            <w:r>
              <w:rPr/>
              <w:t>El Comité Intermunicipal y su Reglamento como Instrumentos de Gestión, Gobernanza</w:t>
            </w:r>
            <w:r>
              <w:rPr>
                <w:spacing w:val="-1"/>
              </w:rPr>
              <w:t> </w:t>
            </w:r>
            <w:r>
              <w:rPr/>
              <w:t>y</w:t>
            </w:r>
            <w:r>
              <w:rPr>
                <w:spacing w:val="-2"/>
              </w:rPr>
              <w:t> </w:t>
            </w:r>
            <w:r>
              <w:rPr/>
              <w:t>Gobernabilidad</w:t>
            </w:r>
            <w:r>
              <w:rPr>
                <w:position w:val="13"/>
              </w:rPr>
              <w:tab/>
              <w:t>828</w:t>
            </w:r>
          </w:hyperlink>
        </w:p>
        <w:p>
          <w:pPr>
            <w:pStyle w:val="TOC2"/>
            <w:numPr>
              <w:ilvl w:val="1"/>
              <w:numId w:val="15"/>
            </w:numPr>
            <w:tabs>
              <w:tab w:pos="707" w:val="left" w:leader="none"/>
            </w:tabs>
            <w:spacing w:line="240" w:lineRule="auto" w:before="126" w:after="0"/>
            <w:ind w:left="706" w:right="0" w:hanging="604"/>
            <w:jc w:val="left"/>
          </w:pPr>
          <w:r>
            <w:rPr/>
            <w:t>Propuesta de Conformación  de un Comité Intermunicipal  para    </w:t>
          </w:r>
          <w:r>
            <w:rPr>
              <w:spacing w:val="20"/>
            </w:rPr>
            <w:t> </w:t>
          </w:r>
          <w:r>
            <w:rPr/>
            <w:t>Cuidar,</w:t>
          </w:r>
        </w:p>
      </w:sdtContent>
    </w:sdt>
    <w:p>
      <w:pPr>
        <w:spacing w:after="0" w:line="240" w:lineRule="auto"/>
        <w:jc w:val="left"/>
        <w:sectPr>
          <w:type w:val="continuous"/>
          <w:pgSz w:w="12240" w:h="15840"/>
          <w:pgMar w:top="1360" w:bottom="1500" w:left="1600" w:right="1580"/>
        </w:sectPr>
      </w:pPr>
    </w:p>
    <w:p>
      <w:pPr>
        <w:pStyle w:val="BodyText"/>
        <w:spacing w:line="360" w:lineRule="auto" w:before="126"/>
        <w:ind w:left="102"/>
      </w:pPr>
      <w:r>
        <w:rPr/>
        <w:t>Defender y Administrar los Recursos Naturales de la Cuenca Hidrosocial Presa Huapango</w:t>
      </w:r>
    </w:p>
    <w:p>
      <w:pPr>
        <w:pStyle w:val="ListParagraph"/>
        <w:numPr>
          <w:ilvl w:val="1"/>
          <w:numId w:val="15"/>
        </w:numPr>
        <w:tabs>
          <w:tab w:pos="700" w:val="left" w:leader="none"/>
        </w:tabs>
        <w:spacing w:line="240" w:lineRule="auto" w:before="3" w:after="0"/>
        <w:ind w:left="699" w:right="0" w:hanging="597"/>
        <w:jc w:val="left"/>
        <w:rPr>
          <w:sz w:val="22"/>
        </w:rPr>
      </w:pPr>
      <w:r>
        <w:rPr>
          <w:sz w:val="22"/>
        </w:rPr>
        <w:t>Reglamento</w:t>
      </w:r>
      <w:r>
        <w:rPr>
          <w:spacing w:val="38"/>
          <w:sz w:val="22"/>
        </w:rPr>
        <w:t> </w:t>
      </w:r>
      <w:r>
        <w:rPr>
          <w:sz w:val="22"/>
        </w:rPr>
        <w:t>Interior</w:t>
      </w:r>
      <w:r>
        <w:rPr>
          <w:spacing w:val="41"/>
          <w:sz w:val="22"/>
        </w:rPr>
        <w:t> </w:t>
      </w:r>
      <w:r>
        <w:rPr>
          <w:sz w:val="22"/>
        </w:rPr>
        <w:t>del</w:t>
      </w:r>
      <w:r>
        <w:rPr>
          <w:spacing w:val="39"/>
          <w:sz w:val="22"/>
        </w:rPr>
        <w:t> </w:t>
      </w:r>
      <w:r>
        <w:rPr>
          <w:sz w:val="22"/>
        </w:rPr>
        <w:t>Comité</w:t>
      </w:r>
      <w:r>
        <w:rPr>
          <w:spacing w:val="38"/>
          <w:sz w:val="22"/>
        </w:rPr>
        <w:t> </w:t>
      </w:r>
      <w:r>
        <w:rPr>
          <w:sz w:val="22"/>
        </w:rPr>
        <w:t>Intermunicipal</w:t>
      </w:r>
      <w:r>
        <w:rPr>
          <w:spacing w:val="39"/>
          <w:sz w:val="22"/>
        </w:rPr>
        <w:t> </w:t>
      </w:r>
      <w:r>
        <w:rPr>
          <w:sz w:val="22"/>
        </w:rPr>
        <w:t>para</w:t>
      </w:r>
      <w:r>
        <w:rPr>
          <w:spacing w:val="40"/>
          <w:sz w:val="22"/>
        </w:rPr>
        <w:t> </w:t>
      </w:r>
      <w:r>
        <w:rPr>
          <w:sz w:val="22"/>
        </w:rPr>
        <w:t>Cuidar,</w:t>
      </w:r>
      <w:r>
        <w:rPr>
          <w:spacing w:val="41"/>
          <w:sz w:val="22"/>
        </w:rPr>
        <w:t> </w:t>
      </w:r>
      <w:r>
        <w:rPr>
          <w:sz w:val="22"/>
        </w:rPr>
        <w:t>Defender</w:t>
      </w:r>
      <w:r>
        <w:rPr>
          <w:spacing w:val="41"/>
          <w:sz w:val="22"/>
        </w:rPr>
        <w:t> </w:t>
      </w:r>
      <w:r>
        <w:rPr>
          <w:sz w:val="22"/>
        </w:rPr>
        <w:t>y</w:t>
      </w:r>
    </w:p>
    <w:p>
      <w:pPr>
        <w:spacing w:before="253"/>
        <w:ind w:left="102" w:right="0" w:firstLine="0"/>
        <w:jc w:val="left"/>
        <w:rPr>
          <w:sz w:val="22"/>
        </w:rPr>
      </w:pPr>
      <w:r>
        <w:rPr/>
        <w:br w:type="column"/>
      </w:r>
      <w:r>
        <w:rPr>
          <w:sz w:val="22"/>
        </w:rPr>
        <w:t>835</w:t>
      </w:r>
    </w:p>
    <w:p>
      <w:pPr>
        <w:spacing w:after="0"/>
        <w:jc w:val="left"/>
        <w:rPr>
          <w:sz w:val="22"/>
        </w:rPr>
        <w:sectPr>
          <w:type w:val="continuous"/>
          <w:pgSz w:w="12240" w:h="15840"/>
          <w:pgMar w:top="1360" w:bottom="1200" w:left="1600" w:right="1580"/>
          <w:cols w:num="2" w:equalWidth="0">
            <w:col w:w="7932" w:space="462"/>
            <w:col w:w="666"/>
          </w:cols>
        </w:sectPr>
      </w:pPr>
    </w:p>
    <w:p>
      <w:pPr>
        <w:pStyle w:val="BodyText"/>
        <w:tabs>
          <w:tab w:pos="8863" w:val="right" w:leader="none"/>
        </w:tabs>
        <w:spacing w:before="128"/>
        <w:ind w:left="102"/>
      </w:pPr>
      <w:r>
        <w:rPr/>
        <w:t>Administrar los Recursos Naturales de la Cuenca Hidrosocial</w:t>
      </w:r>
      <w:r>
        <w:rPr>
          <w:spacing w:val="-13"/>
        </w:rPr>
        <w:t> </w:t>
      </w:r>
      <w:r>
        <w:rPr/>
        <w:t>Presa</w:t>
      </w:r>
      <w:r>
        <w:rPr>
          <w:spacing w:val="-1"/>
        </w:rPr>
        <w:t> </w:t>
      </w:r>
      <w:r>
        <w:rPr/>
        <w:t>Huapango</w:t>
      </w:r>
      <w:r>
        <w:rPr>
          <w:position w:val="-11"/>
        </w:rPr>
        <w:tab/>
        <w:t>839</w:t>
      </w:r>
    </w:p>
    <w:p>
      <w:pPr>
        <w:pStyle w:val="ListParagraph"/>
        <w:numPr>
          <w:ilvl w:val="1"/>
          <w:numId w:val="15"/>
        </w:numPr>
        <w:tabs>
          <w:tab w:pos="655" w:val="left" w:leader="none"/>
        </w:tabs>
        <w:spacing w:line="360" w:lineRule="auto" w:before="6" w:after="0"/>
        <w:ind w:left="102" w:right="1128" w:firstLine="0"/>
        <w:jc w:val="left"/>
        <w:rPr>
          <w:sz w:val="22"/>
        </w:rPr>
      </w:pPr>
      <w:r>
        <w:rPr>
          <w:sz w:val="22"/>
        </w:rPr>
        <w:t>Instrumento de Monitoreo y Evaluación del Reglamento Interior del</w:t>
      </w:r>
      <w:r>
        <w:rPr>
          <w:spacing w:val="-22"/>
          <w:sz w:val="22"/>
        </w:rPr>
        <w:t> </w:t>
      </w:r>
      <w:r>
        <w:rPr>
          <w:sz w:val="22"/>
        </w:rPr>
        <w:t>Comité Intermunicipal para Cuidar, Defender  Administrar los Recursos Naturales de  </w:t>
      </w:r>
      <w:r>
        <w:rPr>
          <w:spacing w:val="11"/>
          <w:sz w:val="22"/>
        </w:rPr>
        <w:t> </w:t>
      </w:r>
      <w:r>
        <w:rPr>
          <w:sz w:val="22"/>
        </w:rPr>
        <w:t>a</w:t>
      </w:r>
    </w:p>
    <w:p>
      <w:pPr>
        <w:pStyle w:val="BodyText"/>
        <w:tabs>
          <w:tab w:pos="8863" w:val="right" w:leader="none"/>
        </w:tabs>
        <w:spacing w:before="4"/>
        <w:ind w:left="102"/>
      </w:pPr>
      <w:r>
        <w:rPr/>
        <w:t>Cuenca Hidrosocial</w:t>
      </w:r>
      <w:r>
        <w:rPr>
          <w:spacing w:val="-2"/>
        </w:rPr>
        <w:t> </w:t>
      </w:r>
      <w:r>
        <w:rPr/>
        <w:t>Presa</w:t>
      </w:r>
      <w:r>
        <w:rPr>
          <w:spacing w:val="-1"/>
        </w:rPr>
        <w:t> </w:t>
      </w:r>
      <w:r>
        <w:rPr/>
        <w:t>Huapango</w:t>
        <w:tab/>
        <w:t>868</w:t>
      </w:r>
    </w:p>
    <w:p>
      <w:pPr>
        <w:pStyle w:val="Heading6"/>
        <w:numPr>
          <w:ilvl w:val="0"/>
          <w:numId w:val="1"/>
        </w:numPr>
        <w:tabs>
          <w:tab w:pos="436" w:val="left" w:leader="none"/>
          <w:tab w:pos="8863" w:val="right" w:leader="none"/>
        </w:tabs>
        <w:spacing w:line="240" w:lineRule="auto" w:before="126" w:after="0"/>
        <w:ind w:left="435" w:right="0" w:hanging="333"/>
        <w:jc w:val="left"/>
        <w:rPr>
          <w:b w:val="0"/>
        </w:rPr>
      </w:pPr>
      <w:r>
        <w:rPr/>
        <w:t>CONSIDERACIONES</w:t>
      </w:r>
      <w:r>
        <w:rPr>
          <w:spacing w:val="-1"/>
        </w:rPr>
        <w:t> </w:t>
      </w:r>
      <w:r>
        <w:rPr/>
        <w:t>GENERALES</w:t>
      </w:r>
      <w:r>
        <w:rPr>
          <w:b w:val="0"/>
        </w:rPr>
        <w:tab/>
        <w:t>869</w:t>
      </w:r>
    </w:p>
    <w:p>
      <w:pPr>
        <w:pStyle w:val="Heading6"/>
        <w:numPr>
          <w:ilvl w:val="0"/>
          <w:numId w:val="1"/>
        </w:numPr>
        <w:tabs>
          <w:tab w:pos="496" w:val="left" w:leader="none"/>
          <w:tab w:pos="8863" w:val="right" w:leader="none"/>
        </w:tabs>
        <w:spacing w:line="240" w:lineRule="auto" w:before="126" w:after="0"/>
        <w:ind w:left="495" w:right="0" w:hanging="393"/>
        <w:jc w:val="left"/>
        <w:rPr>
          <w:b w:val="0"/>
        </w:rPr>
      </w:pPr>
      <w:r>
        <w:rPr/>
        <w:t>HALLAZGOS</w:t>
      </w:r>
      <w:r>
        <w:rPr>
          <w:spacing w:val="-1"/>
        </w:rPr>
        <w:t> </w:t>
      </w:r>
      <w:r>
        <w:rPr/>
        <w:t>Y</w:t>
      </w:r>
      <w:r>
        <w:rPr>
          <w:spacing w:val="-1"/>
        </w:rPr>
        <w:t> </w:t>
      </w:r>
      <w:r>
        <w:rPr/>
        <w:t>CONTRIBUCIONES</w:t>
      </w:r>
      <w:r>
        <w:rPr>
          <w:b w:val="0"/>
        </w:rPr>
        <w:tab/>
        <w:t>884</w:t>
      </w:r>
    </w:p>
    <w:p>
      <w:pPr>
        <w:pStyle w:val="ListParagraph"/>
        <w:numPr>
          <w:ilvl w:val="0"/>
          <w:numId w:val="1"/>
        </w:numPr>
        <w:tabs>
          <w:tab w:pos="556" w:val="left" w:leader="none"/>
          <w:tab w:pos="8863" w:val="right" w:leader="none"/>
        </w:tabs>
        <w:spacing w:line="240" w:lineRule="auto" w:before="126" w:after="0"/>
        <w:ind w:left="555" w:right="0" w:hanging="453"/>
        <w:jc w:val="left"/>
        <w:rPr>
          <w:sz w:val="22"/>
        </w:rPr>
      </w:pPr>
      <w:r>
        <w:rPr>
          <w:b/>
          <w:sz w:val="22"/>
        </w:rPr>
        <w:t>BIBLIOGRAFÍA</w:t>
      </w:r>
      <w:r>
        <w:rPr>
          <w:sz w:val="22"/>
        </w:rPr>
        <w:tab/>
        <w:t>887</w:t>
      </w:r>
    </w:p>
    <w:p>
      <w:pPr>
        <w:pStyle w:val="ListParagraph"/>
        <w:numPr>
          <w:ilvl w:val="0"/>
          <w:numId w:val="1"/>
        </w:numPr>
        <w:tabs>
          <w:tab w:pos="584" w:val="left" w:leader="none"/>
          <w:tab w:pos="8863" w:val="right" w:leader="none"/>
        </w:tabs>
        <w:spacing w:line="240" w:lineRule="auto" w:before="126" w:after="0"/>
        <w:ind w:left="583" w:right="0" w:hanging="481"/>
        <w:jc w:val="left"/>
        <w:rPr>
          <w:sz w:val="22"/>
        </w:rPr>
      </w:pPr>
      <w:r>
        <w:rPr>
          <w:b/>
          <w:spacing w:val="-3"/>
          <w:sz w:val="22"/>
        </w:rPr>
        <w:t>ANEXOS</w:t>
      </w:r>
      <w:r>
        <w:rPr>
          <w:spacing w:val="-3"/>
          <w:sz w:val="22"/>
        </w:rPr>
        <w:tab/>
      </w:r>
      <w:r>
        <w:rPr>
          <w:sz w:val="22"/>
        </w:rPr>
        <w:t>910</w:t>
      </w:r>
    </w:p>
    <w:p>
      <w:pPr>
        <w:pStyle w:val="BodyText"/>
        <w:tabs>
          <w:tab w:pos="8863" w:val="right" w:leader="none"/>
        </w:tabs>
        <w:spacing w:before="126"/>
        <w:ind w:left="102"/>
      </w:pPr>
      <w:r>
        <w:rPr/>
        <w:t>Anexo 1. Encomienda</w:t>
      </w:r>
      <w:r>
        <w:rPr>
          <w:spacing w:val="-1"/>
        </w:rPr>
        <w:t> </w:t>
      </w:r>
      <w:r>
        <w:rPr/>
        <w:t>de Xilotepec</w:t>
        <w:tab/>
        <w:t>911</w:t>
      </w:r>
    </w:p>
    <w:p>
      <w:pPr>
        <w:pStyle w:val="BodyText"/>
        <w:tabs>
          <w:tab w:pos="8863" w:val="right" w:leader="none"/>
        </w:tabs>
        <w:spacing w:before="128"/>
        <w:ind w:left="102"/>
      </w:pPr>
      <w:r>
        <w:rPr/>
        <w:t>Anexo. 2. Entrevistas a Actores de</w:t>
      </w:r>
      <w:r>
        <w:rPr>
          <w:spacing w:val="-5"/>
        </w:rPr>
        <w:t> </w:t>
      </w:r>
      <w:r>
        <w:rPr/>
        <w:t>la</w:t>
      </w:r>
      <w:r>
        <w:rPr>
          <w:spacing w:val="-1"/>
        </w:rPr>
        <w:t> </w:t>
      </w:r>
      <w:r>
        <w:rPr/>
        <w:t>CHPH</w:t>
        <w:tab/>
        <w:t>911</w:t>
      </w:r>
    </w:p>
    <w:p>
      <w:pPr>
        <w:pStyle w:val="BodyText"/>
        <w:tabs>
          <w:tab w:pos="8863" w:val="right" w:leader="none"/>
        </w:tabs>
        <w:spacing w:before="126"/>
        <w:ind w:left="102"/>
      </w:pPr>
      <w:r>
        <w:rPr/>
        <w:t>Anexo 3. Sistema PEIR de las AEPA: Ambiental, Social, Económica</w:t>
      </w:r>
      <w:r>
        <w:rPr>
          <w:spacing w:val="-10"/>
        </w:rPr>
        <w:t> </w:t>
      </w:r>
      <w:r>
        <w:rPr/>
        <w:t>y</w:t>
      </w:r>
      <w:r>
        <w:rPr>
          <w:spacing w:val="-2"/>
        </w:rPr>
        <w:t> </w:t>
      </w:r>
      <w:r>
        <w:rPr/>
        <w:t>Política</w:t>
        <w:tab/>
        <w:t>911</w:t>
      </w:r>
    </w:p>
    <w:p>
      <w:pPr>
        <w:pStyle w:val="BodyText"/>
        <w:tabs>
          <w:tab w:pos="8863" w:val="right" w:leader="none"/>
        </w:tabs>
        <w:spacing w:line="380" w:lineRule="exact" w:before="28"/>
        <w:ind w:left="102" w:right="194"/>
      </w:pPr>
      <w:r>
        <w:rPr/>
        <w:t>Anexo 4.  Sistema  PEIR  para  Cohesionar  las  AEPA  Social  y  Política  en  Sociopolítica</w:t>
      </w:r>
      <w:r>
        <w:rPr>
          <w:position w:val="13"/>
        </w:rPr>
        <w:tab/>
        <w:t>911</w:t>
      </w:r>
    </w:p>
    <w:p>
      <w:pPr>
        <w:pStyle w:val="BodyText"/>
        <w:tabs>
          <w:tab w:pos="8863" w:val="right" w:leader="none"/>
        </w:tabs>
        <w:spacing w:before="97"/>
        <w:ind w:left="102"/>
      </w:pPr>
      <w:r>
        <w:rPr/>
        <w:t>Anexo 5. Sistema PEIR de las AEPA: Ambiental, Sociopolítica</w:t>
      </w:r>
      <w:r>
        <w:rPr>
          <w:spacing w:val="-7"/>
        </w:rPr>
        <w:t> </w:t>
      </w:r>
      <w:r>
        <w:rPr/>
        <w:t>y</w:t>
      </w:r>
      <w:r>
        <w:rPr>
          <w:spacing w:val="-2"/>
        </w:rPr>
        <w:t> </w:t>
      </w:r>
      <w:r>
        <w:rPr/>
        <w:t>Económica</w:t>
        <w:tab/>
        <w:t>911</w:t>
      </w:r>
    </w:p>
    <w:p>
      <w:pPr>
        <w:pStyle w:val="BodyText"/>
        <w:tabs>
          <w:tab w:pos="8863" w:val="right" w:leader="none"/>
        </w:tabs>
        <w:spacing w:before="126"/>
        <w:ind w:left="102"/>
      </w:pPr>
      <w:r>
        <w:rPr/>
        <w:t>Anexo 6a. Mapa Conceptual de la AEPA</w:t>
      </w:r>
      <w:r>
        <w:rPr>
          <w:spacing w:val="-1"/>
        </w:rPr>
        <w:t> </w:t>
      </w:r>
      <w:r>
        <w:rPr/>
        <w:t>Ambiental</w:t>
        <w:tab/>
        <w:t>911</w:t>
      </w:r>
    </w:p>
    <w:p>
      <w:pPr>
        <w:pStyle w:val="BodyText"/>
        <w:tabs>
          <w:tab w:pos="8863" w:val="right" w:leader="none"/>
        </w:tabs>
        <w:spacing w:before="126"/>
        <w:ind w:left="102"/>
      </w:pPr>
      <w:r>
        <w:rPr/>
        <w:t>Anexo 6b. Mapa Conceptual de la AEPA</w:t>
      </w:r>
      <w:r>
        <w:rPr>
          <w:spacing w:val="-1"/>
        </w:rPr>
        <w:t> </w:t>
      </w:r>
      <w:r>
        <w:rPr/>
        <w:t>Sociopolítica</w:t>
        <w:tab/>
        <w:t>911</w:t>
      </w:r>
    </w:p>
    <w:p>
      <w:pPr>
        <w:pStyle w:val="BodyText"/>
        <w:tabs>
          <w:tab w:pos="8863" w:val="right" w:leader="none"/>
        </w:tabs>
        <w:spacing w:before="126"/>
        <w:ind w:left="102"/>
      </w:pPr>
      <w:r>
        <w:rPr/>
        <w:t>Anexo 6c. Mapa Conceptual de la AEPA</w:t>
      </w:r>
      <w:r>
        <w:rPr>
          <w:spacing w:val="-1"/>
        </w:rPr>
        <w:t> </w:t>
      </w:r>
      <w:r>
        <w:rPr/>
        <w:t>Económica</w:t>
        <w:tab/>
        <w:t>911</w:t>
      </w:r>
    </w:p>
    <w:p>
      <w:pPr>
        <w:pStyle w:val="BodyText"/>
      </w:pPr>
    </w:p>
    <w:p>
      <w:pPr>
        <w:pStyle w:val="BodyText"/>
        <w:spacing w:before="6"/>
        <w:rPr>
          <w:sz w:val="31"/>
        </w:rPr>
      </w:pPr>
    </w:p>
    <w:p>
      <w:pPr>
        <w:pStyle w:val="Heading6"/>
        <w:ind w:left="222" w:right="238"/>
        <w:jc w:val="center"/>
      </w:pPr>
      <w:bookmarkStart w:name="_TOC_250070" w:id="4"/>
      <w:bookmarkEnd w:id="4"/>
      <w:r>
        <w:rPr/>
        <w:t>ÍNDICE DE FIGURAS, ESQUEMAS Y MATRICES</w:t>
      </w:r>
    </w:p>
    <w:p>
      <w:pPr>
        <w:pStyle w:val="BodyText"/>
        <w:spacing w:before="11"/>
        <w:rPr>
          <w:b/>
          <w:sz w:val="20"/>
        </w:rPr>
      </w:pPr>
    </w:p>
    <w:p>
      <w:pPr>
        <w:pStyle w:val="BodyText"/>
        <w:tabs>
          <w:tab w:pos="8697" w:val="left" w:leader="none"/>
        </w:tabs>
        <w:ind w:left="102"/>
      </w:pPr>
      <w:r>
        <w:rPr/>
        <w:t>Figura 1.1. El Cubo de</w:t>
      </w:r>
      <w:r>
        <w:rPr>
          <w:spacing w:val="-5"/>
        </w:rPr>
        <w:t> </w:t>
      </w:r>
      <w:r>
        <w:rPr/>
        <w:t>la</w:t>
      </w:r>
      <w:r>
        <w:rPr>
          <w:spacing w:val="-3"/>
        </w:rPr>
        <w:t> </w:t>
      </w:r>
      <w:r>
        <w:rPr/>
        <w:t>GIRH</w:t>
        <w:tab/>
        <w:t>35</w:t>
      </w:r>
    </w:p>
    <w:p>
      <w:pPr>
        <w:pStyle w:val="BodyText"/>
        <w:tabs>
          <w:tab w:pos="8697" w:val="left" w:leader="none"/>
        </w:tabs>
        <w:spacing w:before="126"/>
        <w:ind w:left="102"/>
      </w:pPr>
      <w:r>
        <w:rPr/>
        <w:t>Figura 1.2. El Ciclo de Gobernanza</w:t>
      </w:r>
      <w:r>
        <w:rPr>
          <w:spacing w:val="-5"/>
        </w:rPr>
        <w:t> </w:t>
      </w:r>
      <w:r>
        <w:rPr/>
        <w:t>del</w:t>
      </w:r>
      <w:r>
        <w:rPr>
          <w:spacing w:val="-1"/>
        </w:rPr>
        <w:t> </w:t>
      </w:r>
      <w:r>
        <w:rPr/>
        <w:t>Agua</w:t>
        <w:tab/>
        <w:t>37</w:t>
      </w:r>
    </w:p>
    <w:p>
      <w:pPr>
        <w:pStyle w:val="BodyText"/>
        <w:tabs>
          <w:tab w:pos="8942" w:val="right" w:leader="none"/>
        </w:tabs>
        <w:spacing w:before="127"/>
        <w:ind w:left="102"/>
      </w:pPr>
      <w:r>
        <w:rPr/>
        <w:t>Figura 4.1. Provincia de Xilotepec y Huapango</w:t>
      </w:r>
      <w:r>
        <w:rPr>
          <w:spacing w:val="-6"/>
        </w:rPr>
        <w:t> </w:t>
      </w:r>
      <w:r>
        <w:rPr/>
        <w:t>(Siglo</w:t>
      </w:r>
      <w:r>
        <w:rPr>
          <w:spacing w:val="-3"/>
        </w:rPr>
        <w:t> </w:t>
      </w:r>
      <w:r>
        <w:rPr/>
        <w:t>XVI).</w:t>
        <w:tab/>
        <w:t>142</w:t>
      </w:r>
    </w:p>
    <w:p>
      <w:pPr>
        <w:pStyle w:val="BodyText"/>
        <w:tabs>
          <w:tab w:pos="8942" w:val="right" w:leader="none"/>
        </w:tabs>
        <w:spacing w:before="126"/>
        <w:ind w:left="102"/>
      </w:pPr>
      <w:r>
        <w:rPr/>
        <w:t>Figura 4.2. Ejido de San</w:t>
      </w:r>
      <w:r>
        <w:rPr>
          <w:spacing w:val="-5"/>
        </w:rPr>
        <w:t> </w:t>
      </w:r>
      <w:r>
        <w:rPr/>
        <w:t>Juanico</w:t>
      </w:r>
      <w:r>
        <w:rPr>
          <w:spacing w:val="-1"/>
        </w:rPr>
        <w:t> </w:t>
      </w:r>
      <w:r>
        <w:rPr/>
        <w:t>(Acambay)</w:t>
        <w:tab/>
        <w:t>147</w:t>
      </w:r>
    </w:p>
    <w:p>
      <w:pPr>
        <w:pStyle w:val="BodyText"/>
        <w:tabs>
          <w:tab w:pos="8942" w:val="right" w:leader="none"/>
        </w:tabs>
        <w:spacing w:before="126"/>
        <w:ind w:left="102"/>
      </w:pPr>
      <w:r>
        <w:rPr/>
        <w:t>Figura 4.3. Ejido de El</w:t>
      </w:r>
      <w:r>
        <w:rPr>
          <w:spacing w:val="-3"/>
        </w:rPr>
        <w:t> </w:t>
      </w:r>
      <w:r>
        <w:rPr/>
        <w:t>Cerro</w:t>
      </w:r>
      <w:r>
        <w:rPr>
          <w:spacing w:val="-3"/>
        </w:rPr>
        <w:t> </w:t>
      </w:r>
      <w:r>
        <w:rPr/>
        <w:t>(Acambay)</w:t>
        <w:tab/>
        <w:t>147</w:t>
      </w:r>
    </w:p>
    <w:p>
      <w:pPr>
        <w:pStyle w:val="BodyText"/>
        <w:tabs>
          <w:tab w:pos="8942" w:val="right" w:leader="none"/>
        </w:tabs>
        <w:spacing w:before="126"/>
        <w:ind w:left="102"/>
      </w:pPr>
      <w:r>
        <w:rPr/>
        <w:t>Figura 4.4. Ejido de</w:t>
      </w:r>
      <w:r>
        <w:rPr>
          <w:spacing w:val="-3"/>
        </w:rPr>
        <w:t> </w:t>
      </w:r>
      <w:r>
        <w:rPr/>
        <w:t>Madó</w:t>
      </w:r>
      <w:r>
        <w:rPr>
          <w:spacing w:val="-1"/>
        </w:rPr>
        <w:t> </w:t>
      </w:r>
      <w:r>
        <w:rPr/>
        <w:t>(Acambay)</w:t>
        <w:tab/>
        <w:t>148</w:t>
      </w:r>
    </w:p>
    <w:p>
      <w:pPr>
        <w:pStyle w:val="BodyText"/>
        <w:tabs>
          <w:tab w:pos="8942" w:val="right" w:leader="none"/>
        </w:tabs>
        <w:spacing w:before="126"/>
        <w:ind w:left="102"/>
      </w:pPr>
      <w:r>
        <w:rPr/>
        <w:t>Figura 4.5. Ejido de</w:t>
      </w:r>
      <w:r>
        <w:rPr>
          <w:spacing w:val="-3"/>
        </w:rPr>
        <w:t> </w:t>
      </w:r>
      <w:r>
        <w:rPr/>
        <w:t>Huapango</w:t>
      </w:r>
      <w:r>
        <w:rPr>
          <w:spacing w:val="-3"/>
        </w:rPr>
        <w:t> </w:t>
      </w:r>
      <w:r>
        <w:rPr/>
        <w:t>(Timilpan)</w:t>
        <w:tab/>
        <w:t>148</w:t>
      </w:r>
    </w:p>
    <w:p>
      <w:pPr>
        <w:pStyle w:val="BodyText"/>
        <w:tabs>
          <w:tab w:pos="8942" w:val="right" w:leader="none"/>
        </w:tabs>
        <w:spacing w:before="126"/>
        <w:ind w:left="102"/>
      </w:pPr>
      <w:r>
        <w:rPr/>
        <w:t>Figura 4.6. Ejido de</w:t>
      </w:r>
      <w:r>
        <w:rPr>
          <w:spacing w:val="-3"/>
        </w:rPr>
        <w:t> </w:t>
      </w:r>
      <w:r>
        <w:rPr/>
        <w:t>Canalejas</w:t>
      </w:r>
      <w:r>
        <w:rPr>
          <w:spacing w:val="-1"/>
        </w:rPr>
        <w:t> </w:t>
      </w:r>
      <w:r>
        <w:rPr/>
        <w:t>(Jilotepec)</w:t>
        <w:tab/>
        <w:t>149</w:t>
      </w:r>
    </w:p>
    <w:p>
      <w:pPr>
        <w:spacing w:after="0"/>
        <w:sectPr>
          <w:type w:val="continuous"/>
          <w:pgSz w:w="12240" w:h="15840"/>
          <w:pgMar w:top="1360" w:bottom="1200" w:left="1600" w:right="1580"/>
        </w:sectPr>
      </w:pPr>
    </w:p>
    <w:p>
      <w:pPr>
        <w:pStyle w:val="BodyText"/>
        <w:tabs>
          <w:tab w:pos="8982" w:val="right" w:leader="none"/>
        </w:tabs>
        <w:spacing w:before="56"/>
        <w:ind w:left="142"/>
      </w:pPr>
      <w:r>
        <w:rPr/>
        <w:t>Figura 6.1. Dimensiones de</w:t>
      </w:r>
      <w:r>
        <w:rPr>
          <w:spacing w:val="-3"/>
        </w:rPr>
        <w:t> </w:t>
      </w:r>
      <w:r>
        <w:rPr/>
        <w:t>la</w:t>
      </w:r>
      <w:r>
        <w:rPr>
          <w:spacing w:val="-3"/>
        </w:rPr>
        <w:t> </w:t>
      </w:r>
      <w:r>
        <w:rPr/>
        <w:t>gobernanza</w:t>
        <w:tab/>
        <w:t>433</w:t>
      </w:r>
    </w:p>
    <w:p>
      <w:pPr>
        <w:pStyle w:val="BodyText"/>
        <w:tabs>
          <w:tab w:pos="8982" w:val="right" w:leader="none"/>
        </w:tabs>
        <w:spacing w:before="126"/>
        <w:ind w:left="142"/>
      </w:pPr>
      <w:r>
        <w:rPr/>
        <w:t>Figura 6.2. Las dimensiones de la Gobernanza</w:t>
      </w:r>
      <w:r>
        <w:rPr>
          <w:spacing w:val="-5"/>
        </w:rPr>
        <w:t> </w:t>
      </w:r>
      <w:r>
        <w:rPr/>
        <w:t>del</w:t>
      </w:r>
      <w:r>
        <w:rPr>
          <w:spacing w:val="-1"/>
        </w:rPr>
        <w:t> </w:t>
      </w:r>
      <w:r>
        <w:rPr/>
        <w:t>agua</w:t>
        <w:tab/>
        <w:t>435</w:t>
      </w:r>
    </w:p>
    <w:p>
      <w:pPr>
        <w:pStyle w:val="BodyText"/>
        <w:tabs>
          <w:tab w:pos="8737" w:val="left" w:leader="none"/>
        </w:tabs>
        <w:spacing w:before="126"/>
        <w:ind w:left="142"/>
      </w:pPr>
      <w:r>
        <w:rPr/>
        <w:t>Esquema 2.1. Requerimientos para una</w:t>
      </w:r>
      <w:r>
        <w:rPr>
          <w:spacing w:val="-9"/>
        </w:rPr>
        <w:t> </w:t>
      </w:r>
      <w:r>
        <w:rPr/>
        <w:t>buena</w:t>
      </w:r>
      <w:r>
        <w:rPr>
          <w:spacing w:val="-6"/>
        </w:rPr>
        <w:t> </w:t>
      </w:r>
      <w:r>
        <w:rPr/>
        <w:t>gobernanza</w:t>
        <w:tab/>
        <w:t>56</w:t>
      </w:r>
    </w:p>
    <w:p>
      <w:pPr>
        <w:pStyle w:val="BodyText"/>
        <w:tabs>
          <w:tab w:pos="8737" w:val="left" w:leader="none"/>
        </w:tabs>
        <w:spacing w:before="126"/>
        <w:ind w:left="142"/>
      </w:pPr>
      <w:r>
        <w:rPr/>
        <w:t>Esquema 2.2. Proceso de un sistema</w:t>
      </w:r>
      <w:r>
        <w:rPr>
          <w:spacing w:val="-12"/>
        </w:rPr>
        <w:t> </w:t>
      </w:r>
      <w:r>
        <w:rPr/>
        <w:t>de</w:t>
      </w:r>
      <w:r>
        <w:rPr>
          <w:spacing w:val="-4"/>
        </w:rPr>
        <w:t> </w:t>
      </w:r>
      <w:r>
        <w:rPr/>
        <w:t>gobernanza</w:t>
        <w:tab/>
        <w:t>57</w:t>
      </w:r>
    </w:p>
    <w:p>
      <w:pPr>
        <w:pStyle w:val="BodyText"/>
        <w:tabs>
          <w:tab w:pos="8737" w:val="left" w:leader="none"/>
        </w:tabs>
        <w:spacing w:before="126"/>
        <w:ind w:left="142"/>
      </w:pPr>
      <w:r>
        <w:rPr/>
        <w:t>Esquema 2.4. La planeación regional articulada a la</w:t>
      </w:r>
      <w:r>
        <w:rPr>
          <w:spacing w:val="-17"/>
        </w:rPr>
        <w:t> </w:t>
      </w:r>
      <w:r>
        <w:rPr/>
        <w:t>planeación</w:t>
      </w:r>
      <w:r>
        <w:rPr>
          <w:spacing w:val="-2"/>
        </w:rPr>
        <w:t> </w:t>
      </w:r>
      <w:r>
        <w:rPr/>
        <w:t>nacional</w:t>
        <w:tab/>
        <w:t>93</w:t>
      </w:r>
    </w:p>
    <w:p>
      <w:pPr>
        <w:pStyle w:val="BodyText"/>
        <w:tabs>
          <w:tab w:pos="8737" w:val="left" w:leader="none"/>
        </w:tabs>
        <w:spacing w:before="126"/>
        <w:ind w:left="142"/>
      </w:pPr>
      <w:r>
        <w:rPr/>
        <w:t>Esquema 2.5. Consideraciones teóricas de la GIRH, gobernanza   </w:t>
      </w:r>
      <w:r>
        <w:rPr>
          <w:spacing w:val="22"/>
        </w:rPr>
        <w:t> </w:t>
      </w:r>
      <w:r>
        <w:rPr/>
        <w:t>y</w:t>
      </w:r>
      <w:r>
        <w:rPr>
          <w:spacing w:val="24"/>
        </w:rPr>
        <w:t> </w:t>
      </w:r>
      <w:r>
        <w:rPr/>
        <w:t>gobernabilidad</w:t>
        <w:tab/>
        <w:t>97</w:t>
      </w:r>
    </w:p>
    <w:p>
      <w:pPr>
        <w:pStyle w:val="BodyText"/>
        <w:spacing w:line="380" w:lineRule="atLeast" w:before="1"/>
        <w:ind w:left="142"/>
      </w:pPr>
      <w:r>
        <w:rPr/>
        <w:t>para la elaboración de una propuesta de Comité Intermunicipal con su Reglamento Esquema 3.2. Metodología General del Trabajo de Campo e Identificación  Histórica</w:t>
      </w:r>
    </w:p>
    <w:p>
      <w:pPr>
        <w:pStyle w:val="BodyText"/>
        <w:tabs>
          <w:tab w:pos="8615" w:val="left" w:leader="none"/>
        </w:tabs>
        <w:spacing w:line="379" w:lineRule="exact"/>
        <w:ind w:left="142"/>
      </w:pPr>
      <w:r>
        <w:rPr/>
        <w:t>de</w:t>
      </w:r>
      <w:r>
        <w:rPr>
          <w:spacing w:val="-1"/>
        </w:rPr>
        <w:t> </w:t>
      </w:r>
      <w:r>
        <w:rPr/>
        <w:t>Actores</w:t>
      </w:r>
      <w:r>
        <w:rPr>
          <w:position w:val="13"/>
        </w:rPr>
        <w:tab/>
        <w:t>102</w:t>
      </w:r>
    </w:p>
    <w:p>
      <w:pPr>
        <w:pStyle w:val="BodyText"/>
        <w:tabs>
          <w:tab w:pos="8615" w:val="left" w:leader="none"/>
        </w:tabs>
        <w:spacing w:before="127"/>
        <w:ind w:left="142"/>
      </w:pPr>
      <w:r>
        <w:rPr/>
        <w:t>Esquema 3.3a. Metodología del Estudio de</w:t>
      </w:r>
      <w:r>
        <w:rPr>
          <w:spacing w:val="-9"/>
        </w:rPr>
        <w:t> </w:t>
      </w:r>
      <w:r>
        <w:rPr/>
        <w:t>Caso</w:t>
      </w:r>
      <w:r>
        <w:rPr>
          <w:spacing w:val="-4"/>
        </w:rPr>
        <w:t> </w:t>
      </w:r>
      <w:r>
        <w:rPr/>
        <w:t>(CHPH)</w:t>
        <w:tab/>
        <w:t>110</w:t>
      </w:r>
    </w:p>
    <w:p>
      <w:pPr>
        <w:pStyle w:val="BodyText"/>
        <w:tabs>
          <w:tab w:pos="8615" w:val="left" w:leader="none"/>
        </w:tabs>
        <w:spacing w:before="126"/>
        <w:ind w:left="142"/>
      </w:pPr>
      <w:r>
        <w:rPr/>
        <w:t>Esquema 3.3b. Metodología del Estudio de</w:t>
      </w:r>
      <w:r>
        <w:rPr>
          <w:spacing w:val="-10"/>
        </w:rPr>
        <w:t> </w:t>
      </w:r>
      <w:r>
        <w:rPr/>
        <w:t>Caso</w:t>
      </w:r>
      <w:r>
        <w:rPr>
          <w:spacing w:val="-4"/>
        </w:rPr>
        <w:t> </w:t>
      </w:r>
      <w:r>
        <w:rPr/>
        <w:t>(CHPH)</w:t>
        <w:tab/>
        <w:t>111</w:t>
      </w:r>
    </w:p>
    <w:p>
      <w:pPr>
        <w:pStyle w:val="BodyText"/>
        <w:rPr>
          <w:sz w:val="20"/>
        </w:rPr>
      </w:pPr>
    </w:p>
    <w:p>
      <w:pPr>
        <w:pStyle w:val="BodyText"/>
        <w:spacing w:before="8"/>
        <w:rPr>
          <w:sz w:val="28"/>
        </w:rPr>
      </w:pPr>
    </w:p>
    <w:p>
      <w:pPr>
        <w:pStyle w:val="BodyText"/>
        <w:spacing w:before="72"/>
        <w:ind w:right="115"/>
        <w:jc w:val="right"/>
      </w:pPr>
      <w:r>
        <w:rPr/>
        <w:pict>
          <v:shape style="position:absolute;margin-left:83.353996pt;margin-top:-25.348017pt;width:416.4pt;height:97pt;mso-position-horizontal-relative:page;mso-position-vertical-relative:paragraph;z-index:11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41"/>
                    <w:gridCol w:w="462"/>
                    <w:gridCol w:w="917"/>
                    <w:gridCol w:w="415"/>
                    <w:gridCol w:w="877"/>
                    <w:gridCol w:w="1372"/>
                    <w:gridCol w:w="243"/>
                  </w:tblGrid>
                  <w:tr>
                    <w:trPr>
                      <w:trHeight w:val="400" w:hRule="exact"/>
                    </w:trPr>
                    <w:tc>
                      <w:tcPr>
                        <w:tcW w:w="4041" w:type="dxa"/>
                      </w:tcPr>
                      <w:p>
                        <w:pPr>
                          <w:pStyle w:val="TableParagraph"/>
                          <w:spacing w:before="72"/>
                          <w:ind w:left="35"/>
                          <w:rPr>
                            <w:sz w:val="22"/>
                          </w:rPr>
                        </w:pPr>
                        <w:r>
                          <w:rPr>
                            <w:sz w:val="22"/>
                          </w:rPr>
                          <w:t>Esquema   3.4a.   Metodología  General</w:t>
                        </w:r>
                      </w:p>
                    </w:tc>
                    <w:tc>
                      <w:tcPr>
                        <w:tcW w:w="462" w:type="dxa"/>
                      </w:tcPr>
                      <w:p>
                        <w:pPr>
                          <w:pStyle w:val="TableParagraph"/>
                          <w:spacing w:before="72"/>
                          <w:ind w:left="63" w:right="63"/>
                          <w:jc w:val="center"/>
                          <w:rPr>
                            <w:sz w:val="22"/>
                          </w:rPr>
                        </w:pPr>
                        <w:r>
                          <w:rPr>
                            <w:sz w:val="22"/>
                          </w:rPr>
                          <w:t>del</w:t>
                        </w:r>
                      </w:p>
                    </w:tc>
                    <w:tc>
                      <w:tcPr>
                        <w:tcW w:w="917" w:type="dxa"/>
                      </w:tcPr>
                      <w:p>
                        <w:pPr>
                          <w:pStyle w:val="TableParagraph"/>
                          <w:spacing w:before="72"/>
                          <w:ind w:left="65" w:right="65"/>
                          <w:jc w:val="center"/>
                          <w:rPr>
                            <w:sz w:val="22"/>
                          </w:rPr>
                        </w:pPr>
                        <w:r>
                          <w:rPr>
                            <w:sz w:val="22"/>
                          </w:rPr>
                          <w:t>Trabajo</w:t>
                        </w:r>
                      </w:p>
                    </w:tc>
                    <w:tc>
                      <w:tcPr>
                        <w:tcW w:w="415" w:type="dxa"/>
                      </w:tcPr>
                      <w:p>
                        <w:pPr>
                          <w:pStyle w:val="TableParagraph"/>
                          <w:spacing w:before="72"/>
                          <w:ind w:left="65" w:right="65"/>
                          <w:jc w:val="center"/>
                          <w:rPr>
                            <w:sz w:val="22"/>
                          </w:rPr>
                        </w:pPr>
                        <w:r>
                          <w:rPr>
                            <w:sz w:val="22"/>
                          </w:rPr>
                          <w:t>de</w:t>
                        </w:r>
                      </w:p>
                    </w:tc>
                    <w:tc>
                      <w:tcPr>
                        <w:tcW w:w="877" w:type="dxa"/>
                      </w:tcPr>
                      <w:p>
                        <w:pPr>
                          <w:pStyle w:val="TableParagraph"/>
                          <w:spacing w:before="72"/>
                          <w:ind w:left="63" w:right="63"/>
                          <w:jc w:val="center"/>
                          <w:rPr>
                            <w:sz w:val="22"/>
                          </w:rPr>
                        </w:pPr>
                        <w:r>
                          <w:rPr>
                            <w:sz w:val="22"/>
                          </w:rPr>
                          <w:t>Campo</w:t>
                        </w:r>
                      </w:p>
                    </w:tc>
                    <w:tc>
                      <w:tcPr>
                        <w:tcW w:w="1372" w:type="dxa"/>
                      </w:tcPr>
                      <w:p>
                        <w:pPr>
                          <w:pStyle w:val="TableParagraph"/>
                          <w:spacing w:before="72"/>
                          <w:ind w:left="66" w:right="66"/>
                          <w:jc w:val="center"/>
                          <w:rPr>
                            <w:sz w:val="22"/>
                          </w:rPr>
                        </w:pPr>
                        <w:r>
                          <w:rPr>
                            <w:sz w:val="22"/>
                          </w:rPr>
                          <w:t>(2013-2015)</w:t>
                        </w:r>
                      </w:p>
                    </w:tc>
                    <w:tc>
                      <w:tcPr>
                        <w:tcW w:w="243" w:type="dxa"/>
                      </w:tcPr>
                      <w:p>
                        <w:pPr>
                          <w:pStyle w:val="TableParagraph"/>
                          <w:spacing w:before="72"/>
                          <w:ind w:left="50"/>
                          <w:jc w:val="center"/>
                          <w:rPr>
                            <w:sz w:val="22"/>
                          </w:rPr>
                        </w:pPr>
                        <w:r>
                          <w:rPr>
                            <w:w w:val="100"/>
                            <w:sz w:val="22"/>
                          </w:rPr>
                          <w:t>e</w:t>
                        </w:r>
                      </w:p>
                    </w:tc>
                  </w:tr>
                  <w:tr>
                    <w:trPr>
                      <w:trHeight w:val="379" w:hRule="exact"/>
                    </w:trPr>
                    <w:tc>
                      <w:tcPr>
                        <w:tcW w:w="4041" w:type="dxa"/>
                      </w:tcPr>
                      <w:p>
                        <w:pPr>
                          <w:pStyle w:val="TableParagraph"/>
                          <w:spacing w:before="51"/>
                          <w:ind w:left="35"/>
                          <w:rPr>
                            <w:sz w:val="22"/>
                          </w:rPr>
                        </w:pPr>
                        <w:r>
                          <w:rPr>
                            <w:sz w:val="22"/>
                          </w:rPr>
                          <w:t>Identificación Histórica de Actores</w:t>
                        </w:r>
                      </w:p>
                    </w:tc>
                    <w:tc>
                      <w:tcPr>
                        <w:tcW w:w="462" w:type="dxa"/>
                      </w:tcPr>
                      <w:p>
                        <w:pPr/>
                      </w:p>
                    </w:tc>
                    <w:tc>
                      <w:tcPr>
                        <w:tcW w:w="917" w:type="dxa"/>
                      </w:tcPr>
                      <w:p>
                        <w:pPr/>
                      </w:p>
                    </w:tc>
                    <w:tc>
                      <w:tcPr>
                        <w:tcW w:w="415" w:type="dxa"/>
                      </w:tcPr>
                      <w:p>
                        <w:pPr/>
                      </w:p>
                    </w:tc>
                    <w:tc>
                      <w:tcPr>
                        <w:tcW w:w="877" w:type="dxa"/>
                      </w:tcPr>
                      <w:p>
                        <w:pPr/>
                      </w:p>
                    </w:tc>
                    <w:tc>
                      <w:tcPr>
                        <w:tcW w:w="1372" w:type="dxa"/>
                      </w:tcPr>
                      <w:p>
                        <w:pPr/>
                      </w:p>
                    </w:tc>
                    <w:tc>
                      <w:tcPr>
                        <w:tcW w:w="243" w:type="dxa"/>
                      </w:tcPr>
                      <w:p>
                        <w:pPr/>
                      </w:p>
                    </w:tc>
                  </w:tr>
                  <w:tr>
                    <w:trPr>
                      <w:trHeight w:val="379" w:hRule="exact"/>
                    </w:trPr>
                    <w:tc>
                      <w:tcPr>
                        <w:tcW w:w="4041" w:type="dxa"/>
                      </w:tcPr>
                      <w:p>
                        <w:pPr>
                          <w:pStyle w:val="TableParagraph"/>
                          <w:spacing w:before="51"/>
                          <w:ind w:left="35"/>
                          <w:rPr>
                            <w:sz w:val="22"/>
                          </w:rPr>
                        </w:pPr>
                        <w:r>
                          <w:rPr>
                            <w:sz w:val="22"/>
                          </w:rPr>
                          <w:t>Esquema   3.4b.   Metodología  General</w:t>
                        </w:r>
                      </w:p>
                    </w:tc>
                    <w:tc>
                      <w:tcPr>
                        <w:tcW w:w="462" w:type="dxa"/>
                      </w:tcPr>
                      <w:p>
                        <w:pPr>
                          <w:pStyle w:val="TableParagraph"/>
                          <w:spacing w:before="51"/>
                          <w:ind w:left="64" w:right="62"/>
                          <w:jc w:val="center"/>
                          <w:rPr>
                            <w:sz w:val="22"/>
                          </w:rPr>
                        </w:pPr>
                        <w:r>
                          <w:rPr>
                            <w:sz w:val="22"/>
                          </w:rPr>
                          <w:t>del</w:t>
                        </w:r>
                      </w:p>
                    </w:tc>
                    <w:tc>
                      <w:tcPr>
                        <w:tcW w:w="917" w:type="dxa"/>
                      </w:tcPr>
                      <w:p>
                        <w:pPr>
                          <w:pStyle w:val="TableParagraph"/>
                          <w:spacing w:before="51"/>
                          <w:ind w:left="65" w:right="65"/>
                          <w:jc w:val="center"/>
                          <w:rPr>
                            <w:sz w:val="22"/>
                          </w:rPr>
                        </w:pPr>
                        <w:r>
                          <w:rPr>
                            <w:sz w:val="22"/>
                          </w:rPr>
                          <w:t>Trabajo</w:t>
                        </w:r>
                      </w:p>
                    </w:tc>
                    <w:tc>
                      <w:tcPr>
                        <w:tcW w:w="415" w:type="dxa"/>
                      </w:tcPr>
                      <w:p>
                        <w:pPr>
                          <w:pStyle w:val="TableParagraph"/>
                          <w:spacing w:before="51"/>
                          <w:ind w:left="65" w:right="65"/>
                          <w:jc w:val="center"/>
                          <w:rPr>
                            <w:sz w:val="22"/>
                          </w:rPr>
                        </w:pPr>
                        <w:r>
                          <w:rPr>
                            <w:sz w:val="22"/>
                          </w:rPr>
                          <w:t>de</w:t>
                        </w:r>
                      </w:p>
                    </w:tc>
                    <w:tc>
                      <w:tcPr>
                        <w:tcW w:w="877" w:type="dxa"/>
                      </w:tcPr>
                      <w:p>
                        <w:pPr>
                          <w:pStyle w:val="TableParagraph"/>
                          <w:spacing w:before="51"/>
                          <w:ind w:left="63" w:right="62"/>
                          <w:jc w:val="center"/>
                          <w:rPr>
                            <w:sz w:val="22"/>
                          </w:rPr>
                        </w:pPr>
                        <w:r>
                          <w:rPr>
                            <w:sz w:val="22"/>
                          </w:rPr>
                          <w:t>Campo</w:t>
                        </w:r>
                      </w:p>
                    </w:tc>
                    <w:tc>
                      <w:tcPr>
                        <w:tcW w:w="1372" w:type="dxa"/>
                      </w:tcPr>
                      <w:p>
                        <w:pPr>
                          <w:pStyle w:val="TableParagraph"/>
                          <w:spacing w:before="51"/>
                          <w:ind w:left="65" w:right="66"/>
                          <w:jc w:val="center"/>
                          <w:rPr>
                            <w:sz w:val="22"/>
                          </w:rPr>
                        </w:pPr>
                        <w:r>
                          <w:rPr>
                            <w:sz w:val="22"/>
                          </w:rPr>
                          <w:t>(2013-2015)</w:t>
                        </w:r>
                      </w:p>
                    </w:tc>
                    <w:tc>
                      <w:tcPr>
                        <w:tcW w:w="243" w:type="dxa"/>
                      </w:tcPr>
                      <w:p>
                        <w:pPr>
                          <w:pStyle w:val="TableParagraph"/>
                          <w:spacing w:before="51"/>
                          <w:ind w:left="50"/>
                          <w:jc w:val="center"/>
                          <w:rPr>
                            <w:sz w:val="22"/>
                          </w:rPr>
                        </w:pPr>
                        <w:r>
                          <w:rPr>
                            <w:w w:val="100"/>
                            <w:sz w:val="22"/>
                          </w:rPr>
                          <w:t>e</w:t>
                        </w:r>
                      </w:p>
                    </w:tc>
                  </w:tr>
                  <w:tr>
                    <w:trPr>
                      <w:trHeight w:val="380" w:hRule="exact"/>
                    </w:trPr>
                    <w:tc>
                      <w:tcPr>
                        <w:tcW w:w="4041" w:type="dxa"/>
                      </w:tcPr>
                      <w:p>
                        <w:pPr>
                          <w:pStyle w:val="TableParagraph"/>
                          <w:spacing w:before="51"/>
                          <w:ind w:left="35"/>
                          <w:rPr>
                            <w:sz w:val="22"/>
                          </w:rPr>
                        </w:pPr>
                        <w:r>
                          <w:rPr>
                            <w:sz w:val="22"/>
                          </w:rPr>
                          <w:t>Identificación Histórica de Actores</w:t>
                        </w:r>
                      </w:p>
                    </w:tc>
                    <w:tc>
                      <w:tcPr>
                        <w:tcW w:w="462" w:type="dxa"/>
                      </w:tcPr>
                      <w:p>
                        <w:pPr/>
                      </w:p>
                    </w:tc>
                    <w:tc>
                      <w:tcPr>
                        <w:tcW w:w="917" w:type="dxa"/>
                      </w:tcPr>
                      <w:p>
                        <w:pPr/>
                      </w:p>
                    </w:tc>
                    <w:tc>
                      <w:tcPr>
                        <w:tcW w:w="415" w:type="dxa"/>
                      </w:tcPr>
                      <w:p>
                        <w:pPr/>
                      </w:p>
                    </w:tc>
                    <w:tc>
                      <w:tcPr>
                        <w:tcW w:w="877" w:type="dxa"/>
                      </w:tcPr>
                      <w:p>
                        <w:pPr/>
                      </w:p>
                    </w:tc>
                    <w:tc>
                      <w:tcPr>
                        <w:tcW w:w="1372" w:type="dxa"/>
                      </w:tcPr>
                      <w:p>
                        <w:pPr/>
                      </w:p>
                    </w:tc>
                    <w:tc>
                      <w:tcPr>
                        <w:tcW w:w="243" w:type="dxa"/>
                      </w:tcPr>
                      <w:p>
                        <w:pPr/>
                      </w:p>
                    </w:tc>
                  </w:tr>
                  <w:tr>
                    <w:trPr>
                      <w:trHeight w:val="401" w:hRule="exact"/>
                    </w:trPr>
                    <w:tc>
                      <w:tcPr>
                        <w:tcW w:w="4041" w:type="dxa"/>
                      </w:tcPr>
                      <w:p>
                        <w:pPr>
                          <w:pStyle w:val="TableParagraph"/>
                          <w:spacing w:before="53"/>
                          <w:ind w:left="35"/>
                          <w:rPr>
                            <w:sz w:val="22"/>
                          </w:rPr>
                        </w:pPr>
                        <w:r>
                          <w:rPr>
                            <w:sz w:val="22"/>
                          </w:rPr>
                          <w:t>Esquema. 3.5. Transecto</w:t>
                        </w:r>
                      </w:p>
                    </w:tc>
                    <w:tc>
                      <w:tcPr>
                        <w:tcW w:w="462" w:type="dxa"/>
                      </w:tcPr>
                      <w:p>
                        <w:pPr/>
                      </w:p>
                    </w:tc>
                    <w:tc>
                      <w:tcPr>
                        <w:tcW w:w="917" w:type="dxa"/>
                      </w:tcPr>
                      <w:p>
                        <w:pPr/>
                      </w:p>
                    </w:tc>
                    <w:tc>
                      <w:tcPr>
                        <w:tcW w:w="415" w:type="dxa"/>
                      </w:tcPr>
                      <w:p>
                        <w:pPr/>
                      </w:p>
                    </w:tc>
                    <w:tc>
                      <w:tcPr>
                        <w:tcW w:w="877" w:type="dxa"/>
                      </w:tcPr>
                      <w:p>
                        <w:pPr/>
                      </w:p>
                    </w:tc>
                    <w:tc>
                      <w:tcPr>
                        <w:tcW w:w="1372" w:type="dxa"/>
                      </w:tcPr>
                      <w:p>
                        <w:pPr/>
                      </w:p>
                    </w:tc>
                    <w:tc>
                      <w:tcPr>
                        <w:tcW w:w="243" w:type="dxa"/>
                      </w:tcPr>
                      <w:p>
                        <w:pPr/>
                      </w:p>
                    </w:tc>
                  </w:tr>
                </w:tbl>
                <w:p>
                  <w:pPr>
                    <w:pStyle w:val="BodyText"/>
                  </w:pPr>
                </w:p>
              </w:txbxContent>
            </v:textbox>
            <w10:wrap type="none"/>
          </v:shape>
        </w:pict>
      </w:r>
      <w:r>
        <w:rPr/>
        <w:t>112</w:t>
      </w:r>
    </w:p>
    <w:p>
      <w:pPr>
        <w:pStyle w:val="BodyText"/>
        <w:spacing w:before="6"/>
        <w:rPr>
          <w:sz w:val="26"/>
        </w:rPr>
      </w:pPr>
    </w:p>
    <w:p>
      <w:pPr>
        <w:pStyle w:val="BodyText"/>
        <w:spacing w:before="4"/>
        <w:rPr>
          <w:sz w:val="17"/>
        </w:rPr>
      </w:pPr>
    </w:p>
    <w:p>
      <w:pPr>
        <w:pStyle w:val="BodyText"/>
        <w:spacing w:before="1"/>
        <w:ind w:right="115"/>
        <w:jc w:val="right"/>
      </w:pPr>
      <w:r>
        <w:rPr/>
        <w:t>113</w:t>
      </w:r>
    </w:p>
    <w:p>
      <w:pPr>
        <w:pStyle w:val="BodyText"/>
        <w:spacing w:before="1"/>
        <w:ind w:right="115"/>
        <w:jc w:val="right"/>
      </w:pPr>
      <w:r>
        <w:rPr/>
        <w:t>115</w:t>
      </w:r>
    </w:p>
    <w:p>
      <w:pPr>
        <w:pStyle w:val="BodyText"/>
        <w:tabs>
          <w:tab w:pos="8982" w:val="right" w:leader="none"/>
        </w:tabs>
        <w:spacing w:before="126"/>
        <w:ind w:left="142"/>
      </w:pPr>
      <w:r>
        <w:rPr/>
        <w:t>Esquema 4.1.  Metodología de Trabajo con Grupos</w:t>
      </w:r>
      <w:r>
        <w:rPr>
          <w:spacing w:val="-9"/>
        </w:rPr>
        <w:t> </w:t>
      </w:r>
      <w:r>
        <w:rPr/>
        <w:t>ya</w:t>
      </w:r>
      <w:r>
        <w:rPr>
          <w:spacing w:val="-1"/>
        </w:rPr>
        <w:t> </w:t>
      </w:r>
      <w:r>
        <w:rPr/>
        <w:t>Establecidos</w:t>
        <w:tab/>
        <w:t>139</w:t>
      </w:r>
    </w:p>
    <w:p>
      <w:pPr>
        <w:pStyle w:val="BodyText"/>
        <w:tabs>
          <w:tab w:pos="8982" w:val="right" w:leader="none"/>
        </w:tabs>
        <w:spacing w:before="126"/>
        <w:ind w:left="142"/>
      </w:pPr>
      <w:r>
        <w:rPr/>
        <w:t>Esquema 5.1. Mapa de</w:t>
      </w:r>
      <w:r>
        <w:rPr>
          <w:spacing w:val="-4"/>
        </w:rPr>
        <w:t> </w:t>
      </w:r>
      <w:r>
        <w:rPr/>
        <w:t>Actores</w:t>
      </w:r>
      <w:r>
        <w:rPr>
          <w:spacing w:val="-3"/>
        </w:rPr>
        <w:t> </w:t>
      </w:r>
      <w:r>
        <w:rPr/>
        <w:t>Históricos</w:t>
        <w:tab/>
        <w:t>153</w:t>
      </w:r>
    </w:p>
    <w:p>
      <w:pPr>
        <w:pStyle w:val="BodyText"/>
        <w:tabs>
          <w:tab w:pos="8982" w:val="right" w:leader="none"/>
        </w:tabs>
        <w:spacing w:before="126"/>
        <w:ind w:left="142"/>
      </w:pPr>
      <w:r>
        <w:rPr/>
        <w:t>Esquema 5.2. Mapa de Actores Municipales (Agua y</w:t>
      </w:r>
      <w:r>
        <w:rPr>
          <w:spacing w:val="-10"/>
        </w:rPr>
        <w:t> </w:t>
      </w:r>
      <w:r>
        <w:rPr/>
        <w:t>Medio</w:t>
      </w:r>
      <w:r>
        <w:rPr>
          <w:spacing w:val="-1"/>
        </w:rPr>
        <w:t> </w:t>
      </w:r>
      <w:r>
        <w:rPr/>
        <w:t>Ambiente)</w:t>
        <w:tab/>
        <w:t>156</w:t>
      </w:r>
    </w:p>
    <w:p>
      <w:pPr>
        <w:pStyle w:val="BodyText"/>
        <w:tabs>
          <w:tab w:pos="8982" w:val="right" w:leader="none"/>
        </w:tabs>
        <w:spacing w:before="126"/>
        <w:ind w:left="142"/>
      </w:pPr>
      <w:r>
        <w:rPr/>
        <w:t>Esquema 5.3. Mapa de Actores de las</w:t>
      </w:r>
      <w:r>
        <w:rPr>
          <w:spacing w:val="-9"/>
        </w:rPr>
        <w:t> </w:t>
      </w:r>
      <w:r>
        <w:rPr/>
        <w:t>Autoridades</w:t>
      </w:r>
      <w:r>
        <w:rPr>
          <w:spacing w:val="-1"/>
        </w:rPr>
        <w:t> </w:t>
      </w:r>
      <w:r>
        <w:rPr/>
        <w:t>Auxiliares</w:t>
        <w:tab/>
        <w:t>159</w:t>
      </w:r>
    </w:p>
    <w:p>
      <w:pPr>
        <w:pStyle w:val="BodyText"/>
        <w:tabs>
          <w:tab w:pos="8982" w:val="right" w:leader="none"/>
        </w:tabs>
        <w:spacing w:before="126"/>
        <w:ind w:left="142"/>
      </w:pPr>
      <w:r>
        <w:rPr/>
        <w:t>Esquema 5.4. Mapa de</w:t>
      </w:r>
      <w:r>
        <w:rPr>
          <w:spacing w:val="-4"/>
        </w:rPr>
        <w:t> </w:t>
      </w:r>
      <w:r>
        <w:rPr/>
        <w:t>Actores</w:t>
      </w:r>
      <w:r>
        <w:rPr>
          <w:spacing w:val="-3"/>
        </w:rPr>
        <w:t> </w:t>
      </w:r>
      <w:r>
        <w:rPr/>
        <w:t>Estatales</w:t>
        <w:tab/>
        <w:t>161</w:t>
      </w:r>
    </w:p>
    <w:p>
      <w:pPr>
        <w:pStyle w:val="BodyText"/>
        <w:tabs>
          <w:tab w:pos="8982" w:val="right" w:leader="none"/>
        </w:tabs>
        <w:spacing w:before="126"/>
        <w:ind w:left="142"/>
      </w:pPr>
      <w:r>
        <w:rPr/>
        <w:t>Esquema 5.5. Mapa Mental de</w:t>
      </w:r>
      <w:r>
        <w:rPr>
          <w:spacing w:val="-2"/>
        </w:rPr>
        <w:t> </w:t>
      </w:r>
      <w:r>
        <w:rPr/>
        <w:t>Actores</w:t>
      </w:r>
      <w:r>
        <w:rPr>
          <w:spacing w:val="-3"/>
        </w:rPr>
        <w:t> </w:t>
      </w:r>
      <w:r>
        <w:rPr/>
        <w:t>Federales</w:t>
        <w:tab/>
        <w:t>163</w:t>
      </w:r>
    </w:p>
    <w:p>
      <w:pPr>
        <w:pStyle w:val="BodyText"/>
        <w:tabs>
          <w:tab w:pos="1281" w:val="left" w:leader="none"/>
          <w:tab w:pos="1859" w:val="left" w:leader="none"/>
          <w:tab w:pos="2618" w:val="left" w:leader="none"/>
          <w:tab w:pos="3071" w:val="left" w:leader="none"/>
          <w:tab w:pos="4026" w:val="left" w:leader="none"/>
          <w:tab w:pos="5261" w:val="left" w:leader="none"/>
          <w:tab w:pos="6228" w:val="left" w:leader="none"/>
          <w:tab w:pos="6586" w:val="left" w:leader="none"/>
          <w:tab w:pos="8088" w:val="left" w:leader="none"/>
          <w:tab w:pos="8982" w:val="right" w:leader="none"/>
        </w:tabs>
        <w:spacing w:line="380" w:lineRule="exact" w:before="28"/>
        <w:ind w:left="142" w:right="115"/>
      </w:pPr>
      <w:r>
        <w:rPr/>
        <w:t>Esquema</w:t>
        <w:tab/>
        <w:t>5.6.</w:t>
        <w:tab/>
        <w:t>Mapa</w:t>
        <w:tab/>
        <w:t>de</w:t>
        <w:tab/>
        <w:t>Actores</w:t>
        <w:tab/>
        <w:t>Históricos:</w:t>
        <w:tab/>
        <w:t>REDES</w:t>
        <w:tab/>
        <w:t>Y</w:t>
        <w:tab/>
        <w:t>FUNCIONES</w:t>
        <w:tab/>
        <w:t>DE EJIDATARIOS</w:t>
      </w:r>
      <w:r>
        <w:rPr>
          <w:spacing w:val="-3"/>
        </w:rPr>
        <w:t> </w:t>
      </w:r>
      <w:r>
        <w:rPr/>
        <w:t>(MULTIACTORES)</w:t>
      </w:r>
      <w:r>
        <w:rPr>
          <w:position w:val="-12"/>
        </w:rPr>
        <w:tab/>
        <w:tab/>
        <w:tab/>
        <w:tab/>
        <w:tab/>
        <w:tab/>
        <w:t>165</w:t>
      </w:r>
    </w:p>
    <w:p>
      <w:pPr>
        <w:pStyle w:val="BodyText"/>
        <w:tabs>
          <w:tab w:pos="8982" w:val="right" w:leader="none"/>
        </w:tabs>
        <w:spacing w:line="380" w:lineRule="exact" w:before="1"/>
        <w:ind w:left="142" w:right="115"/>
      </w:pPr>
      <w:r>
        <w:rPr/>
        <w:t>Esquema 5.7. Mapa de Actores de Autoridades Auxiliares (Delegados Municipales y Comisariados Ejidales): REDES</w:t>
      </w:r>
      <w:r>
        <w:rPr>
          <w:spacing w:val="-3"/>
        </w:rPr>
        <w:t> </w:t>
      </w:r>
      <w:r>
        <w:rPr/>
        <w:t>Y</w:t>
      </w:r>
      <w:r>
        <w:rPr>
          <w:spacing w:val="-1"/>
        </w:rPr>
        <w:t> </w:t>
      </w:r>
      <w:r>
        <w:rPr/>
        <w:t>FUNCIONES</w:t>
      </w:r>
      <w:r>
        <w:rPr>
          <w:position w:val="-11"/>
        </w:rPr>
        <w:tab/>
        <w:t>166</w:t>
      </w:r>
    </w:p>
    <w:p>
      <w:pPr>
        <w:pStyle w:val="BodyText"/>
        <w:spacing w:before="97"/>
        <w:ind w:left="142"/>
      </w:pPr>
      <w:r>
        <w:rPr/>
        <w:t>Esquema 5.8. Mapa de Actores Municipales (Presidentes Municipales,    Regidores,</w:t>
      </w:r>
    </w:p>
    <w:p>
      <w:pPr>
        <w:pStyle w:val="BodyText"/>
        <w:tabs>
          <w:tab w:pos="8982" w:val="right" w:leader="none"/>
        </w:tabs>
        <w:spacing w:line="381" w:lineRule="exact" w:before="127"/>
        <w:ind w:left="142"/>
      </w:pPr>
      <w:r>
        <w:rPr/>
        <w:t>Directores de Área): REDES</w:t>
      </w:r>
      <w:r>
        <w:rPr>
          <w:spacing w:val="-1"/>
        </w:rPr>
        <w:t> </w:t>
      </w:r>
      <w:r>
        <w:rPr/>
        <w:t>Y</w:t>
      </w:r>
      <w:r>
        <w:rPr>
          <w:spacing w:val="-1"/>
        </w:rPr>
        <w:t> </w:t>
      </w:r>
      <w:r>
        <w:rPr/>
        <w:t>FUNCIONES</w:t>
      </w:r>
      <w:r>
        <w:rPr>
          <w:position w:val="-12"/>
        </w:rPr>
        <w:tab/>
        <w:t>168</w:t>
      </w:r>
    </w:p>
    <w:p>
      <w:pPr>
        <w:pStyle w:val="BodyText"/>
        <w:spacing w:line="251" w:lineRule="exact"/>
        <w:ind w:left="142"/>
      </w:pPr>
      <w:r>
        <w:rPr/>
        <w:t>Esquema  5.9.  Mapa  de  Actores  Estatales  (Secretarías  de  Estado):  REDES   Y</w:t>
      </w:r>
    </w:p>
    <w:p>
      <w:pPr>
        <w:pStyle w:val="BodyText"/>
        <w:tabs>
          <w:tab w:pos="8982" w:val="right" w:leader="none"/>
        </w:tabs>
        <w:spacing w:line="381" w:lineRule="exact" w:before="126"/>
        <w:ind w:left="142"/>
      </w:pPr>
      <w:r>
        <w:rPr/>
        <w:t>FUNCIONES</w:t>
      </w:r>
      <w:r>
        <w:rPr>
          <w:position w:val="-12"/>
        </w:rPr>
        <w:tab/>
        <w:t>170</w:t>
      </w:r>
    </w:p>
    <w:p>
      <w:pPr>
        <w:pStyle w:val="BodyText"/>
        <w:tabs>
          <w:tab w:pos="8982" w:val="right" w:leader="none"/>
        </w:tabs>
        <w:spacing w:line="360" w:lineRule="auto"/>
        <w:ind w:left="142" w:right="115"/>
      </w:pPr>
      <w:r>
        <w:rPr/>
        <w:t>Esquema 5.10. Mapa de Actores Federales (Distrito de Riego 096 y Asociación de Usuarios del Sistema de Riego Huapango Arroyo Zarco México A.C.): REDES Y FUNCIONES</w:t>
        <w:tab/>
        <w:t>171</w:t>
      </w:r>
    </w:p>
    <w:p>
      <w:pPr>
        <w:pStyle w:val="BodyText"/>
        <w:tabs>
          <w:tab w:pos="8982" w:val="right" w:leader="none"/>
        </w:tabs>
        <w:spacing w:before="5"/>
        <w:ind w:left="142"/>
      </w:pPr>
      <w:r>
        <w:rPr/>
        <w:t>Esquema 5.11. Mapa General de Actores: REDES</w:t>
      </w:r>
      <w:r>
        <w:rPr>
          <w:spacing w:val="-6"/>
        </w:rPr>
        <w:t> </w:t>
      </w:r>
      <w:r>
        <w:rPr/>
        <w:t>Y</w:t>
      </w:r>
      <w:r>
        <w:rPr>
          <w:spacing w:val="-1"/>
        </w:rPr>
        <w:t> </w:t>
      </w:r>
      <w:r>
        <w:rPr/>
        <w:t>FUNCIONES</w:t>
        <w:tab/>
        <w:t>194</w:t>
      </w:r>
    </w:p>
    <w:p>
      <w:pPr>
        <w:spacing w:after="0"/>
        <w:sectPr>
          <w:footerReference w:type="default" r:id="rId10"/>
          <w:pgSz w:w="12240" w:h="15840"/>
          <w:pgMar w:footer="1003" w:header="0" w:top="1360" w:bottom="1200" w:left="1560" w:right="1580"/>
          <w:pgNumType w:start="13"/>
        </w:sectPr>
      </w:pPr>
    </w:p>
    <w:p>
      <w:pPr>
        <w:pStyle w:val="BodyText"/>
        <w:spacing w:line="253" w:lineRule="exact" w:before="56"/>
        <w:ind w:left="142"/>
      </w:pPr>
      <w:r>
        <w:rPr/>
        <w:t>Esquema 6.1.  Las  áreas  estratégicas de planeación y articulación de la     Cuenca</w:t>
      </w:r>
    </w:p>
    <w:p>
      <w:pPr>
        <w:pStyle w:val="BodyText"/>
        <w:spacing w:line="253" w:lineRule="exact"/>
        <w:ind w:right="137"/>
        <w:jc w:val="right"/>
      </w:pPr>
      <w:r>
        <w:rPr/>
        <w:pict>
          <v:shape style="position:absolute;margin-left:83.353996pt;margin-top:7.717541pt;width:445.55pt;height:205.8pt;mso-position-horizontal-relative:page;mso-position-vertical-relative:paragraph;z-index:11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97"/>
                    <w:gridCol w:w="514"/>
                  </w:tblGrid>
                  <w:tr>
                    <w:trPr>
                      <w:trHeight w:val="300" w:hRule="exact"/>
                    </w:trPr>
                    <w:tc>
                      <w:tcPr>
                        <w:tcW w:w="8397" w:type="dxa"/>
                      </w:tcPr>
                      <w:p>
                        <w:pPr>
                          <w:pStyle w:val="TableParagraph"/>
                          <w:spacing w:line="226" w:lineRule="exact"/>
                          <w:ind w:left="35"/>
                          <w:rPr>
                            <w:sz w:val="22"/>
                          </w:rPr>
                        </w:pPr>
                        <w:r>
                          <w:rPr>
                            <w:sz w:val="22"/>
                          </w:rPr>
                          <w:t>Hidrosocial Presa Huapango</w:t>
                        </w:r>
                      </w:p>
                    </w:tc>
                    <w:tc>
                      <w:tcPr>
                        <w:tcW w:w="514" w:type="dxa"/>
                      </w:tcPr>
                      <w:p>
                        <w:pPr/>
                      </w:p>
                    </w:tc>
                  </w:tr>
                  <w:tr>
                    <w:trPr>
                      <w:trHeight w:val="379" w:hRule="exact"/>
                    </w:trPr>
                    <w:tc>
                      <w:tcPr>
                        <w:tcW w:w="8397" w:type="dxa"/>
                      </w:tcPr>
                      <w:p>
                        <w:pPr>
                          <w:pStyle w:val="TableParagraph"/>
                          <w:spacing w:before="51"/>
                          <w:ind w:left="35"/>
                          <w:rPr>
                            <w:sz w:val="22"/>
                          </w:rPr>
                        </w:pPr>
                        <w:r>
                          <w:rPr>
                            <w:sz w:val="22"/>
                          </w:rPr>
                          <w:t>Esquema 7.1. Proceso de planeación</w:t>
                        </w:r>
                      </w:p>
                    </w:tc>
                    <w:tc>
                      <w:tcPr>
                        <w:tcW w:w="514" w:type="dxa"/>
                      </w:tcPr>
                      <w:p>
                        <w:pPr>
                          <w:pStyle w:val="TableParagraph"/>
                          <w:spacing w:before="51"/>
                          <w:ind w:left="0" w:right="33"/>
                          <w:jc w:val="right"/>
                          <w:rPr>
                            <w:sz w:val="22"/>
                          </w:rPr>
                        </w:pPr>
                        <w:r>
                          <w:rPr>
                            <w:sz w:val="22"/>
                          </w:rPr>
                          <w:t>440</w:t>
                        </w:r>
                      </w:p>
                    </w:tc>
                  </w:tr>
                  <w:tr>
                    <w:trPr>
                      <w:trHeight w:val="379" w:hRule="exact"/>
                    </w:trPr>
                    <w:tc>
                      <w:tcPr>
                        <w:tcW w:w="8397" w:type="dxa"/>
                      </w:tcPr>
                      <w:p>
                        <w:pPr>
                          <w:pStyle w:val="TableParagraph"/>
                          <w:spacing w:before="51"/>
                          <w:ind w:left="35"/>
                          <w:rPr>
                            <w:sz w:val="22"/>
                          </w:rPr>
                        </w:pPr>
                        <w:r>
                          <w:rPr>
                            <w:sz w:val="22"/>
                          </w:rPr>
                          <w:t>Esquema 7.2. Sistema PEIR de la CHPH basado en la sinergia y la holística</w:t>
                        </w:r>
                      </w:p>
                    </w:tc>
                    <w:tc>
                      <w:tcPr>
                        <w:tcW w:w="514" w:type="dxa"/>
                      </w:tcPr>
                      <w:p>
                        <w:pPr>
                          <w:pStyle w:val="TableParagraph"/>
                          <w:spacing w:before="51"/>
                          <w:ind w:left="0" w:right="33"/>
                          <w:jc w:val="right"/>
                          <w:rPr>
                            <w:sz w:val="22"/>
                          </w:rPr>
                        </w:pPr>
                        <w:r>
                          <w:rPr>
                            <w:sz w:val="22"/>
                          </w:rPr>
                          <w:t>765</w:t>
                        </w:r>
                      </w:p>
                    </w:tc>
                  </w:tr>
                  <w:tr>
                    <w:trPr>
                      <w:trHeight w:val="379" w:hRule="exact"/>
                    </w:trPr>
                    <w:tc>
                      <w:tcPr>
                        <w:tcW w:w="8397" w:type="dxa"/>
                      </w:tcPr>
                      <w:p>
                        <w:pPr>
                          <w:pStyle w:val="TableParagraph"/>
                          <w:spacing w:before="51"/>
                          <w:ind w:left="35"/>
                          <w:rPr>
                            <w:sz w:val="22"/>
                          </w:rPr>
                        </w:pPr>
                        <w:r>
                          <w:rPr>
                            <w:sz w:val="22"/>
                          </w:rPr>
                          <w:t>Esquema 9.1.Triangulación de las consideraciones teóricas, el trabajo de campo    y</w:t>
                        </w:r>
                      </w:p>
                    </w:tc>
                    <w:tc>
                      <w:tcPr>
                        <w:tcW w:w="514" w:type="dxa"/>
                      </w:tcPr>
                      <w:p>
                        <w:pPr/>
                      </w:p>
                    </w:tc>
                  </w:tr>
                  <w:tr>
                    <w:trPr>
                      <w:trHeight w:val="380" w:hRule="exact"/>
                    </w:trPr>
                    <w:tc>
                      <w:tcPr>
                        <w:tcW w:w="8397" w:type="dxa"/>
                      </w:tcPr>
                      <w:p>
                        <w:pPr>
                          <w:pStyle w:val="TableParagraph"/>
                          <w:spacing w:before="51"/>
                          <w:ind w:left="35"/>
                          <w:rPr>
                            <w:sz w:val="22"/>
                          </w:rPr>
                        </w:pPr>
                        <w:r>
                          <w:rPr>
                            <w:sz w:val="22"/>
                          </w:rPr>
                          <w:t>los indicadores para la formulación del Comité Intermunicipal con su Reglamento</w:t>
                        </w:r>
                      </w:p>
                    </w:tc>
                    <w:tc>
                      <w:tcPr>
                        <w:tcW w:w="514" w:type="dxa"/>
                      </w:tcPr>
                      <w:p>
                        <w:pPr>
                          <w:pStyle w:val="TableParagraph"/>
                          <w:spacing w:line="180" w:lineRule="exact"/>
                          <w:ind w:left="0" w:right="35"/>
                          <w:jc w:val="right"/>
                          <w:rPr>
                            <w:sz w:val="22"/>
                          </w:rPr>
                        </w:pPr>
                        <w:r>
                          <w:rPr>
                            <w:sz w:val="22"/>
                          </w:rPr>
                          <w:t>827</w:t>
                        </w:r>
                      </w:p>
                    </w:tc>
                  </w:tr>
                  <w:tr>
                    <w:trPr>
                      <w:trHeight w:val="380" w:hRule="exact"/>
                    </w:trPr>
                    <w:tc>
                      <w:tcPr>
                        <w:tcW w:w="8397" w:type="dxa"/>
                      </w:tcPr>
                      <w:p>
                        <w:pPr>
                          <w:pStyle w:val="TableParagraph"/>
                          <w:spacing w:before="53"/>
                          <w:ind w:left="35"/>
                          <w:rPr>
                            <w:sz w:val="22"/>
                          </w:rPr>
                        </w:pPr>
                        <w:r>
                          <w:rPr>
                            <w:sz w:val="22"/>
                          </w:rPr>
                          <w:t>Esquema 10.1. Integración del Comité Intermunicipal</w:t>
                        </w:r>
                      </w:p>
                    </w:tc>
                    <w:tc>
                      <w:tcPr>
                        <w:tcW w:w="514" w:type="dxa"/>
                      </w:tcPr>
                      <w:p>
                        <w:pPr>
                          <w:pStyle w:val="TableParagraph"/>
                          <w:spacing w:before="53"/>
                          <w:ind w:left="0" w:right="35"/>
                          <w:jc w:val="right"/>
                          <w:rPr>
                            <w:sz w:val="22"/>
                          </w:rPr>
                        </w:pPr>
                        <w:r>
                          <w:rPr>
                            <w:sz w:val="22"/>
                          </w:rPr>
                          <w:t>838</w:t>
                        </w:r>
                      </w:p>
                    </w:tc>
                  </w:tr>
                  <w:tr>
                    <w:trPr>
                      <w:trHeight w:val="379" w:hRule="exact"/>
                    </w:trPr>
                    <w:tc>
                      <w:tcPr>
                        <w:tcW w:w="8397" w:type="dxa"/>
                      </w:tcPr>
                      <w:p>
                        <w:pPr>
                          <w:pStyle w:val="TableParagraph"/>
                          <w:spacing w:before="51"/>
                          <w:ind w:left="35"/>
                          <w:rPr>
                            <w:sz w:val="22"/>
                          </w:rPr>
                        </w:pPr>
                        <w:r>
                          <w:rPr>
                            <w:sz w:val="22"/>
                          </w:rPr>
                          <w:t>Esquema 10.2. Representantes del Comité Intermunicipal</w:t>
                        </w:r>
                      </w:p>
                    </w:tc>
                    <w:tc>
                      <w:tcPr>
                        <w:tcW w:w="514" w:type="dxa"/>
                      </w:tcPr>
                      <w:p>
                        <w:pPr>
                          <w:pStyle w:val="TableParagraph"/>
                          <w:spacing w:before="51"/>
                          <w:ind w:left="0" w:right="33"/>
                          <w:jc w:val="right"/>
                          <w:rPr>
                            <w:sz w:val="22"/>
                          </w:rPr>
                        </w:pPr>
                        <w:r>
                          <w:rPr>
                            <w:sz w:val="22"/>
                          </w:rPr>
                          <w:t>839</w:t>
                        </w:r>
                      </w:p>
                    </w:tc>
                  </w:tr>
                  <w:tr>
                    <w:trPr>
                      <w:trHeight w:val="379" w:hRule="exact"/>
                    </w:trPr>
                    <w:tc>
                      <w:tcPr>
                        <w:tcW w:w="8397" w:type="dxa"/>
                      </w:tcPr>
                      <w:p>
                        <w:pPr>
                          <w:pStyle w:val="TableParagraph"/>
                          <w:spacing w:before="51"/>
                          <w:ind w:left="35"/>
                          <w:rPr>
                            <w:sz w:val="22"/>
                          </w:rPr>
                        </w:pPr>
                        <w:r>
                          <w:rPr>
                            <w:sz w:val="22"/>
                          </w:rPr>
                          <w:t>Esquema 10.3. Comité de Vigilancia</w:t>
                        </w:r>
                      </w:p>
                    </w:tc>
                    <w:tc>
                      <w:tcPr>
                        <w:tcW w:w="514" w:type="dxa"/>
                      </w:tcPr>
                      <w:p>
                        <w:pPr>
                          <w:pStyle w:val="TableParagraph"/>
                          <w:spacing w:before="51"/>
                          <w:ind w:left="0" w:right="33"/>
                          <w:jc w:val="right"/>
                          <w:rPr>
                            <w:sz w:val="22"/>
                          </w:rPr>
                        </w:pPr>
                        <w:r>
                          <w:rPr>
                            <w:sz w:val="22"/>
                          </w:rPr>
                          <w:t>839</w:t>
                        </w:r>
                      </w:p>
                    </w:tc>
                  </w:tr>
                  <w:tr>
                    <w:trPr>
                      <w:trHeight w:val="443" w:hRule="exact"/>
                    </w:trPr>
                    <w:tc>
                      <w:tcPr>
                        <w:tcW w:w="8397" w:type="dxa"/>
                      </w:tcPr>
                      <w:p>
                        <w:pPr>
                          <w:pStyle w:val="TableParagraph"/>
                          <w:spacing w:before="52"/>
                          <w:ind w:left="35"/>
                          <w:rPr>
                            <w:sz w:val="22"/>
                          </w:rPr>
                        </w:pPr>
                        <w:r>
                          <w:rPr>
                            <w:sz w:val="22"/>
                          </w:rPr>
                          <w:t>Matriz 5.1. De funciones y responsabilidades de las dependencias gubernamentales</w:t>
                        </w:r>
                      </w:p>
                    </w:tc>
                    <w:tc>
                      <w:tcPr>
                        <w:tcW w:w="514" w:type="dxa"/>
                      </w:tcPr>
                      <w:p>
                        <w:pPr/>
                      </w:p>
                    </w:tc>
                  </w:tr>
                  <w:tr>
                    <w:trPr>
                      <w:trHeight w:val="716" w:hRule="exact"/>
                    </w:trPr>
                    <w:tc>
                      <w:tcPr>
                        <w:tcW w:w="8397" w:type="dxa"/>
                      </w:tcPr>
                      <w:p>
                        <w:pPr>
                          <w:pStyle w:val="TableParagraph"/>
                          <w:spacing w:line="241" w:lineRule="exact"/>
                          <w:ind w:left="35"/>
                          <w:rPr>
                            <w:sz w:val="22"/>
                          </w:rPr>
                        </w:pPr>
                        <w:r>
                          <w:rPr>
                            <w:sz w:val="22"/>
                          </w:rPr>
                          <w:t>estatales para con la Cuenca Hidrosocial Presa Huapango</w:t>
                        </w:r>
                      </w:p>
                      <w:p>
                        <w:pPr>
                          <w:pStyle w:val="TableParagraph"/>
                          <w:spacing w:before="126"/>
                          <w:ind w:left="35"/>
                          <w:rPr>
                            <w:sz w:val="22"/>
                          </w:rPr>
                        </w:pPr>
                        <w:r>
                          <w:rPr>
                            <w:sz w:val="22"/>
                          </w:rPr>
                          <w:t>Matriz 5.2. De funciones y responsabilidades de las dependencias gubernamentales</w:t>
                        </w:r>
                      </w:p>
                    </w:tc>
                    <w:tc>
                      <w:tcPr>
                        <w:tcW w:w="514" w:type="dxa"/>
                      </w:tcPr>
                      <w:p>
                        <w:pPr>
                          <w:pStyle w:val="TableParagraph"/>
                          <w:spacing w:before="115"/>
                          <w:ind w:left="0" w:right="33"/>
                          <w:jc w:val="right"/>
                          <w:rPr>
                            <w:sz w:val="22"/>
                          </w:rPr>
                        </w:pPr>
                        <w:r>
                          <w:rPr>
                            <w:sz w:val="22"/>
                          </w:rPr>
                          <w:t>175</w:t>
                        </w:r>
                      </w:p>
                    </w:tc>
                  </w:tr>
                </w:tbl>
                <w:p>
                  <w:pPr>
                    <w:pStyle w:val="BodyText"/>
                  </w:pPr>
                </w:p>
              </w:txbxContent>
            </v:textbox>
            <w10:wrap type="none"/>
          </v:shape>
        </w:pict>
      </w:r>
      <w:r>
        <w:rPr/>
        <w:t>437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pStyle w:val="BodyText"/>
        <w:tabs>
          <w:tab w:pos="8615" w:val="left" w:leader="none"/>
        </w:tabs>
        <w:spacing w:line="380" w:lineRule="exact" w:before="73"/>
        <w:ind w:left="142"/>
      </w:pPr>
      <w:r>
        <w:rPr/>
        <w:t>federales para con la Cuenca Hidrosocial</w:t>
      </w:r>
      <w:r>
        <w:rPr>
          <w:spacing w:val="-5"/>
        </w:rPr>
        <w:t> </w:t>
      </w:r>
      <w:r>
        <w:rPr/>
        <w:t>Presa</w:t>
      </w:r>
      <w:r>
        <w:rPr>
          <w:spacing w:val="-6"/>
        </w:rPr>
        <w:t> </w:t>
      </w:r>
      <w:r>
        <w:rPr/>
        <w:t>Huapango</w:t>
      </w:r>
      <w:r>
        <w:rPr>
          <w:position w:val="-12"/>
        </w:rPr>
        <w:tab/>
        <w:t>186</w:t>
      </w:r>
    </w:p>
    <w:p>
      <w:pPr>
        <w:pStyle w:val="Heading6"/>
        <w:spacing w:line="250" w:lineRule="exact"/>
        <w:ind w:left="214" w:right="217"/>
        <w:jc w:val="center"/>
      </w:pPr>
      <w:r>
        <w:rPr/>
        <w:t>ÍNDICE DE TABLAS</w:t>
      </w:r>
    </w:p>
    <w:p>
      <w:pPr>
        <w:pStyle w:val="BodyText"/>
        <w:spacing w:before="128"/>
        <w:ind w:left="142"/>
      </w:pPr>
      <w:r>
        <w:rPr/>
        <w:t>Tabla  1.1.  Experiencias  de  gestión  integrada  en  cuerpos  de  agua  a   nivel</w:t>
      </w:r>
    </w:p>
    <w:p>
      <w:pPr>
        <w:pStyle w:val="BodyText"/>
        <w:tabs>
          <w:tab w:pos="8658" w:val="left" w:leader="none"/>
        </w:tabs>
        <w:spacing w:before="128"/>
        <w:ind w:left="142"/>
      </w:pPr>
      <w:r>
        <w:rPr/>
        <w:t>mundial</w:t>
        <w:tab/>
        <w:t>40</w:t>
      </w:r>
    </w:p>
    <w:p>
      <w:pPr>
        <w:pStyle w:val="BodyText"/>
        <w:tabs>
          <w:tab w:pos="8536" w:val="left" w:leader="none"/>
        </w:tabs>
        <w:spacing w:before="126" w:after="54"/>
        <w:ind w:left="142"/>
      </w:pPr>
      <w:r>
        <w:rPr/>
        <w:t>Tabla</w:t>
      </w:r>
      <w:r>
        <w:rPr>
          <w:spacing w:val="-3"/>
        </w:rPr>
        <w:t> </w:t>
      </w:r>
      <w:r>
        <w:rPr/>
        <w:t>3.1.</w:t>
      </w:r>
      <w:r>
        <w:rPr>
          <w:spacing w:val="-6"/>
        </w:rPr>
        <w:t> </w:t>
      </w:r>
      <w:r>
        <w:rPr/>
        <w:t>Transecto/Actividades</w:t>
        <w:tab/>
        <w:t>116</w:t>
      </w: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01"/>
        <w:gridCol w:w="947"/>
        <w:gridCol w:w="683"/>
      </w:tblGrid>
      <w:tr>
        <w:trPr>
          <w:trHeight w:val="400" w:hRule="exact"/>
        </w:trPr>
        <w:tc>
          <w:tcPr>
            <w:tcW w:w="7201" w:type="dxa"/>
          </w:tcPr>
          <w:p>
            <w:pPr>
              <w:pStyle w:val="TableParagraph"/>
              <w:spacing w:before="72"/>
              <w:ind w:left="35"/>
              <w:rPr>
                <w:sz w:val="22"/>
              </w:rPr>
            </w:pPr>
            <w:r>
              <w:rPr>
                <w:sz w:val="22"/>
              </w:rPr>
              <w:t>Tabla 3.2. Localidades donde se llevó acabo el trabajo de campo</w:t>
            </w:r>
          </w:p>
        </w:tc>
        <w:tc>
          <w:tcPr>
            <w:tcW w:w="947" w:type="dxa"/>
          </w:tcPr>
          <w:p>
            <w:pPr/>
          </w:p>
        </w:tc>
        <w:tc>
          <w:tcPr>
            <w:tcW w:w="683" w:type="dxa"/>
          </w:tcPr>
          <w:p>
            <w:pPr>
              <w:pStyle w:val="TableParagraph"/>
              <w:spacing w:before="72"/>
              <w:ind w:left="0" w:right="33"/>
              <w:jc w:val="right"/>
              <w:rPr>
                <w:sz w:val="22"/>
              </w:rPr>
            </w:pPr>
            <w:r>
              <w:rPr>
                <w:sz w:val="22"/>
              </w:rPr>
              <w:t>120</w:t>
            </w:r>
          </w:p>
        </w:tc>
      </w:tr>
      <w:tr>
        <w:trPr>
          <w:trHeight w:val="379" w:hRule="exact"/>
        </w:trPr>
        <w:tc>
          <w:tcPr>
            <w:tcW w:w="7201" w:type="dxa"/>
          </w:tcPr>
          <w:p>
            <w:pPr>
              <w:pStyle w:val="TableParagraph"/>
              <w:spacing w:before="52"/>
              <w:ind w:left="35"/>
              <w:rPr>
                <w:sz w:val="22"/>
              </w:rPr>
            </w:pPr>
            <w:r>
              <w:rPr>
                <w:sz w:val="22"/>
              </w:rPr>
              <w:t>Tabla 3.3. Número de entrevistas realizadas en trabajo de campo</w:t>
            </w:r>
          </w:p>
        </w:tc>
        <w:tc>
          <w:tcPr>
            <w:tcW w:w="947" w:type="dxa"/>
          </w:tcPr>
          <w:p>
            <w:pPr/>
          </w:p>
        </w:tc>
        <w:tc>
          <w:tcPr>
            <w:tcW w:w="683" w:type="dxa"/>
          </w:tcPr>
          <w:p>
            <w:pPr>
              <w:pStyle w:val="TableParagraph"/>
              <w:spacing w:before="52"/>
              <w:ind w:left="0" w:right="33"/>
              <w:jc w:val="right"/>
              <w:rPr>
                <w:sz w:val="22"/>
              </w:rPr>
            </w:pPr>
            <w:r>
              <w:rPr>
                <w:sz w:val="22"/>
              </w:rPr>
              <w:t>121</w:t>
            </w:r>
          </w:p>
        </w:tc>
      </w:tr>
      <w:tr>
        <w:trPr>
          <w:trHeight w:val="379" w:hRule="exact"/>
        </w:trPr>
        <w:tc>
          <w:tcPr>
            <w:tcW w:w="7201" w:type="dxa"/>
          </w:tcPr>
          <w:p>
            <w:pPr>
              <w:pStyle w:val="TableParagraph"/>
              <w:spacing w:before="51"/>
              <w:ind w:left="35"/>
              <w:rPr>
                <w:sz w:val="22"/>
              </w:rPr>
            </w:pPr>
            <w:r>
              <w:rPr>
                <w:sz w:val="22"/>
              </w:rPr>
              <w:t>Tabla 4.1. Características generales de la presa Huapango</w:t>
            </w:r>
          </w:p>
        </w:tc>
        <w:tc>
          <w:tcPr>
            <w:tcW w:w="947" w:type="dxa"/>
          </w:tcPr>
          <w:p>
            <w:pPr/>
          </w:p>
        </w:tc>
        <w:tc>
          <w:tcPr>
            <w:tcW w:w="683" w:type="dxa"/>
          </w:tcPr>
          <w:p>
            <w:pPr>
              <w:pStyle w:val="TableParagraph"/>
              <w:spacing w:before="51"/>
              <w:ind w:left="0" w:right="33"/>
              <w:jc w:val="right"/>
              <w:rPr>
                <w:sz w:val="22"/>
              </w:rPr>
            </w:pPr>
            <w:r>
              <w:rPr>
                <w:sz w:val="22"/>
              </w:rPr>
              <w:t>134</w:t>
            </w:r>
          </w:p>
        </w:tc>
      </w:tr>
      <w:tr>
        <w:trPr>
          <w:trHeight w:val="379" w:hRule="exact"/>
        </w:trPr>
        <w:tc>
          <w:tcPr>
            <w:tcW w:w="7201" w:type="dxa"/>
          </w:tcPr>
          <w:p>
            <w:pPr>
              <w:pStyle w:val="TableParagraph"/>
              <w:spacing w:before="51"/>
              <w:ind w:left="35"/>
              <w:rPr>
                <w:sz w:val="22"/>
              </w:rPr>
            </w:pPr>
            <w:r>
              <w:rPr>
                <w:sz w:val="22"/>
              </w:rPr>
              <w:t>Tabla   4.2.   Características   hidrológicas   de   la   Cuenca  Hidrosocial</w:t>
            </w:r>
          </w:p>
        </w:tc>
        <w:tc>
          <w:tcPr>
            <w:tcW w:w="947" w:type="dxa"/>
          </w:tcPr>
          <w:p>
            <w:pPr>
              <w:pStyle w:val="TableParagraph"/>
              <w:spacing w:before="51"/>
              <w:ind w:left="89"/>
              <w:rPr>
                <w:sz w:val="22"/>
              </w:rPr>
            </w:pPr>
            <w:r>
              <w:rPr>
                <w:sz w:val="22"/>
              </w:rPr>
              <w:t>Presa</w:t>
            </w:r>
          </w:p>
        </w:tc>
        <w:tc>
          <w:tcPr>
            <w:tcW w:w="683" w:type="dxa"/>
          </w:tcPr>
          <w:p>
            <w:pPr/>
          </w:p>
        </w:tc>
      </w:tr>
      <w:tr>
        <w:trPr>
          <w:trHeight w:val="379" w:hRule="exact"/>
        </w:trPr>
        <w:tc>
          <w:tcPr>
            <w:tcW w:w="7201" w:type="dxa"/>
          </w:tcPr>
          <w:p>
            <w:pPr>
              <w:pStyle w:val="TableParagraph"/>
              <w:spacing w:before="51"/>
              <w:ind w:left="35"/>
              <w:rPr>
                <w:sz w:val="22"/>
              </w:rPr>
            </w:pPr>
            <w:r>
              <w:rPr>
                <w:sz w:val="22"/>
              </w:rPr>
              <w:t>Huapango</w:t>
            </w:r>
          </w:p>
        </w:tc>
        <w:tc>
          <w:tcPr>
            <w:tcW w:w="947" w:type="dxa"/>
          </w:tcPr>
          <w:p>
            <w:pPr/>
          </w:p>
        </w:tc>
        <w:tc>
          <w:tcPr>
            <w:tcW w:w="683" w:type="dxa"/>
          </w:tcPr>
          <w:p>
            <w:pPr>
              <w:pStyle w:val="TableParagraph"/>
              <w:spacing w:before="51"/>
              <w:ind w:left="0" w:right="33"/>
              <w:jc w:val="right"/>
              <w:rPr>
                <w:sz w:val="22"/>
              </w:rPr>
            </w:pPr>
            <w:r>
              <w:rPr>
                <w:sz w:val="22"/>
              </w:rPr>
              <w:t>135</w:t>
            </w:r>
          </w:p>
        </w:tc>
      </w:tr>
      <w:tr>
        <w:trPr>
          <w:trHeight w:val="379" w:hRule="exact"/>
        </w:trPr>
        <w:tc>
          <w:tcPr>
            <w:tcW w:w="7201" w:type="dxa"/>
          </w:tcPr>
          <w:p>
            <w:pPr>
              <w:pStyle w:val="TableParagraph"/>
              <w:spacing w:before="51"/>
              <w:ind w:left="35"/>
              <w:rPr>
                <w:sz w:val="22"/>
              </w:rPr>
            </w:pPr>
            <w:r>
              <w:rPr>
                <w:sz w:val="22"/>
              </w:rPr>
              <w:t>Tabla 4.3. Características sociales de la presa Huapango</w:t>
            </w:r>
          </w:p>
        </w:tc>
        <w:tc>
          <w:tcPr>
            <w:tcW w:w="947" w:type="dxa"/>
          </w:tcPr>
          <w:p>
            <w:pPr/>
          </w:p>
        </w:tc>
        <w:tc>
          <w:tcPr>
            <w:tcW w:w="683" w:type="dxa"/>
          </w:tcPr>
          <w:p>
            <w:pPr>
              <w:pStyle w:val="TableParagraph"/>
              <w:spacing w:before="51"/>
              <w:ind w:left="0" w:right="33"/>
              <w:jc w:val="right"/>
              <w:rPr>
                <w:sz w:val="22"/>
              </w:rPr>
            </w:pPr>
            <w:r>
              <w:rPr>
                <w:sz w:val="22"/>
              </w:rPr>
              <w:t>136</w:t>
            </w:r>
          </w:p>
        </w:tc>
      </w:tr>
      <w:tr>
        <w:trPr>
          <w:trHeight w:val="380" w:hRule="exact"/>
        </w:trPr>
        <w:tc>
          <w:tcPr>
            <w:tcW w:w="7201" w:type="dxa"/>
          </w:tcPr>
          <w:p>
            <w:pPr>
              <w:pStyle w:val="TableParagraph"/>
              <w:spacing w:before="51"/>
              <w:ind w:left="35"/>
              <w:rPr>
                <w:sz w:val="22"/>
              </w:rPr>
            </w:pPr>
            <w:r>
              <w:rPr>
                <w:sz w:val="22"/>
              </w:rPr>
              <w:t>Tabla 4.4. La región Xilotepec y su población</w:t>
            </w:r>
          </w:p>
        </w:tc>
        <w:tc>
          <w:tcPr>
            <w:tcW w:w="947" w:type="dxa"/>
          </w:tcPr>
          <w:p>
            <w:pPr/>
          </w:p>
        </w:tc>
        <w:tc>
          <w:tcPr>
            <w:tcW w:w="683" w:type="dxa"/>
          </w:tcPr>
          <w:p>
            <w:pPr>
              <w:pStyle w:val="TableParagraph"/>
              <w:spacing w:before="51"/>
              <w:ind w:left="0" w:right="33"/>
              <w:jc w:val="right"/>
              <w:rPr>
                <w:sz w:val="22"/>
              </w:rPr>
            </w:pPr>
            <w:r>
              <w:rPr>
                <w:sz w:val="22"/>
              </w:rPr>
              <w:t>143</w:t>
            </w:r>
          </w:p>
        </w:tc>
      </w:tr>
      <w:tr>
        <w:trPr>
          <w:trHeight w:val="380" w:hRule="exact"/>
        </w:trPr>
        <w:tc>
          <w:tcPr>
            <w:tcW w:w="7201" w:type="dxa"/>
          </w:tcPr>
          <w:p>
            <w:pPr>
              <w:pStyle w:val="TableParagraph"/>
              <w:spacing w:before="53"/>
              <w:ind w:left="35"/>
              <w:rPr>
                <w:sz w:val="22"/>
              </w:rPr>
            </w:pPr>
            <w:r>
              <w:rPr>
                <w:sz w:val="22"/>
              </w:rPr>
              <w:t>Tabla 4.5. Las haciendas y los ranchos de Xilotepec</w:t>
            </w:r>
          </w:p>
        </w:tc>
        <w:tc>
          <w:tcPr>
            <w:tcW w:w="947" w:type="dxa"/>
          </w:tcPr>
          <w:p>
            <w:pPr/>
          </w:p>
        </w:tc>
        <w:tc>
          <w:tcPr>
            <w:tcW w:w="683" w:type="dxa"/>
          </w:tcPr>
          <w:p>
            <w:pPr>
              <w:pStyle w:val="TableParagraph"/>
              <w:spacing w:before="53"/>
              <w:ind w:left="0" w:right="33"/>
              <w:jc w:val="right"/>
              <w:rPr>
                <w:sz w:val="22"/>
              </w:rPr>
            </w:pPr>
            <w:r>
              <w:rPr>
                <w:sz w:val="22"/>
              </w:rPr>
              <w:t>144</w:t>
            </w:r>
          </w:p>
        </w:tc>
      </w:tr>
      <w:tr>
        <w:trPr>
          <w:trHeight w:val="379" w:hRule="exact"/>
        </w:trPr>
        <w:tc>
          <w:tcPr>
            <w:tcW w:w="7201" w:type="dxa"/>
          </w:tcPr>
          <w:p>
            <w:pPr>
              <w:pStyle w:val="TableParagraph"/>
              <w:spacing w:before="51"/>
              <w:ind w:left="35"/>
              <w:rPr>
                <w:sz w:val="22"/>
              </w:rPr>
            </w:pPr>
            <w:r>
              <w:rPr>
                <w:sz w:val="22"/>
              </w:rPr>
              <w:t>Tabla 4.6. Concentración de la tierra en el Estado de México</w:t>
            </w:r>
          </w:p>
        </w:tc>
        <w:tc>
          <w:tcPr>
            <w:tcW w:w="947" w:type="dxa"/>
          </w:tcPr>
          <w:p>
            <w:pPr/>
          </w:p>
        </w:tc>
        <w:tc>
          <w:tcPr>
            <w:tcW w:w="683" w:type="dxa"/>
          </w:tcPr>
          <w:p>
            <w:pPr>
              <w:pStyle w:val="TableParagraph"/>
              <w:spacing w:before="51"/>
              <w:ind w:left="0" w:right="33"/>
              <w:jc w:val="right"/>
              <w:rPr>
                <w:sz w:val="22"/>
              </w:rPr>
            </w:pPr>
            <w:r>
              <w:rPr>
                <w:sz w:val="22"/>
              </w:rPr>
              <w:t>146</w:t>
            </w:r>
          </w:p>
        </w:tc>
      </w:tr>
      <w:tr>
        <w:trPr>
          <w:trHeight w:val="379" w:hRule="exact"/>
        </w:trPr>
        <w:tc>
          <w:tcPr>
            <w:tcW w:w="7201" w:type="dxa"/>
          </w:tcPr>
          <w:p>
            <w:pPr>
              <w:pStyle w:val="TableParagraph"/>
              <w:spacing w:before="51"/>
              <w:ind w:left="35"/>
              <w:rPr>
                <w:sz w:val="22"/>
              </w:rPr>
            </w:pPr>
            <w:r>
              <w:rPr>
                <w:sz w:val="22"/>
              </w:rPr>
              <w:t>Tabla 4.7. Los principales grupos constituidos en la presa</w:t>
            </w:r>
          </w:p>
        </w:tc>
        <w:tc>
          <w:tcPr>
            <w:tcW w:w="947" w:type="dxa"/>
          </w:tcPr>
          <w:p>
            <w:pPr/>
          </w:p>
        </w:tc>
        <w:tc>
          <w:tcPr>
            <w:tcW w:w="683" w:type="dxa"/>
          </w:tcPr>
          <w:p>
            <w:pPr>
              <w:pStyle w:val="TableParagraph"/>
              <w:spacing w:before="51"/>
              <w:ind w:left="0" w:right="33"/>
              <w:jc w:val="right"/>
              <w:rPr>
                <w:sz w:val="22"/>
              </w:rPr>
            </w:pPr>
            <w:r>
              <w:rPr>
                <w:sz w:val="22"/>
              </w:rPr>
              <w:t>150</w:t>
            </w:r>
          </w:p>
        </w:tc>
      </w:tr>
      <w:tr>
        <w:trPr>
          <w:trHeight w:val="380" w:hRule="exact"/>
        </w:trPr>
        <w:tc>
          <w:tcPr>
            <w:tcW w:w="7201" w:type="dxa"/>
          </w:tcPr>
          <w:p>
            <w:pPr>
              <w:pStyle w:val="TableParagraph"/>
              <w:spacing w:before="52"/>
              <w:ind w:left="35"/>
              <w:rPr>
                <w:sz w:val="22"/>
              </w:rPr>
            </w:pPr>
            <w:r>
              <w:rPr>
                <w:sz w:val="22"/>
              </w:rPr>
              <w:t>Tabla 5.1. Actores Estatales y sus Funciones</w:t>
            </w:r>
          </w:p>
        </w:tc>
        <w:tc>
          <w:tcPr>
            <w:tcW w:w="947" w:type="dxa"/>
          </w:tcPr>
          <w:p>
            <w:pPr/>
          </w:p>
        </w:tc>
        <w:tc>
          <w:tcPr>
            <w:tcW w:w="683" w:type="dxa"/>
          </w:tcPr>
          <w:p>
            <w:pPr>
              <w:pStyle w:val="TableParagraph"/>
              <w:spacing w:before="52"/>
              <w:ind w:left="0" w:right="33"/>
              <w:jc w:val="right"/>
              <w:rPr>
                <w:sz w:val="22"/>
              </w:rPr>
            </w:pPr>
            <w:r>
              <w:rPr>
                <w:sz w:val="22"/>
              </w:rPr>
              <w:t>171</w:t>
            </w:r>
          </w:p>
        </w:tc>
      </w:tr>
      <w:tr>
        <w:trPr>
          <w:trHeight w:val="379" w:hRule="exact"/>
        </w:trPr>
        <w:tc>
          <w:tcPr>
            <w:tcW w:w="7201" w:type="dxa"/>
          </w:tcPr>
          <w:p>
            <w:pPr>
              <w:pStyle w:val="TableParagraph"/>
              <w:spacing w:before="51"/>
              <w:ind w:left="35"/>
              <w:rPr>
                <w:sz w:val="22"/>
              </w:rPr>
            </w:pPr>
            <w:r>
              <w:rPr>
                <w:sz w:val="22"/>
              </w:rPr>
              <w:t>Tabla 5.2. ACTORES FEDERALES y sus Funciones</w:t>
            </w:r>
          </w:p>
        </w:tc>
        <w:tc>
          <w:tcPr>
            <w:tcW w:w="947" w:type="dxa"/>
          </w:tcPr>
          <w:p>
            <w:pPr/>
          </w:p>
        </w:tc>
        <w:tc>
          <w:tcPr>
            <w:tcW w:w="683" w:type="dxa"/>
          </w:tcPr>
          <w:p>
            <w:pPr>
              <w:pStyle w:val="TableParagraph"/>
              <w:spacing w:before="51"/>
              <w:ind w:left="0" w:right="33"/>
              <w:jc w:val="right"/>
              <w:rPr>
                <w:sz w:val="22"/>
              </w:rPr>
            </w:pPr>
            <w:r>
              <w:rPr>
                <w:sz w:val="22"/>
              </w:rPr>
              <w:t>180</w:t>
            </w:r>
          </w:p>
        </w:tc>
      </w:tr>
      <w:tr>
        <w:trPr>
          <w:trHeight w:val="400" w:hRule="exact"/>
        </w:trPr>
        <w:tc>
          <w:tcPr>
            <w:tcW w:w="7201" w:type="dxa"/>
          </w:tcPr>
          <w:p>
            <w:pPr>
              <w:pStyle w:val="TableParagraph"/>
              <w:spacing w:before="51"/>
              <w:ind w:left="35"/>
              <w:rPr>
                <w:sz w:val="22"/>
              </w:rPr>
            </w:pPr>
            <w:r>
              <w:rPr>
                <w:sz w:val="22"/>
              </w:rPr>
              <w:t>Tabla 6.1. Número de entrevistados por grupo de actores</w:t>
            </w:r>
          </w:p>
        </w:tc>
        <w:tc>
          <w:tcPr>
            <w:tcW w:w="947" w:type="dxa"/>
          </w:tcPr>
          <w:p>
            <w:pPr/>
          </w:p>
        </w:tc>
        <w:tc>
          <w:tcPr>
            <w:tcW w:w="683" w:type="dxa"/>
          </w:tcPr>
          <w:p>
            <w:pPr>
              <w:pStyle w:val="TableParagraph"/>
              <w:spacing w:before="51"/>
              <w:ind w:left="0" w:right="33"/>
              <w:jc w:val="right"/>
              <w:rPr>
                <w:sz w:val="22"/>
              </w:rPr>
            </w:pPr>
            <w:r>
              <w:rPr>
                <w:sz w:val="22"/>
              </w:rPr>
              <w:t>201</w:t>
            </w:r>
          </w:p>
        </w:tc>
      </w:tr>
    </w:tbl>
    <w:p>
      <w:pPr>
        <w:pStyle w:val="BodyText"/>
        <w:tabs>
          <w:tab w:pos="8536" w:val="left" w:leader="none"/>
        </w:tabs>
        <w:spacing w:line="360" w:lineRule="auto" w:before="31"/>
        <w:ind w:left="142" w:right="214"/>
      </w:pPr>
      <w:r>
        <w:rPr/>
        <w:t>Tabla. 6.2. Localidades elegidas para las entrevistas con actores de la Cuenca Hidrosocial</w:t>
      </w:r>
      <w:r>
        <w:rPr>
          <w:spacing w:val="-2"/>
        </w:rPr>
        <w:t> </w:t>
      </w:r>
      <w:r>
        <w:rPr/>
        <w:t>Presa</w:t>
      </w:r>
      <w:r>
        <w:rPr>
          <w:spacing w:val="-1"/>
        </w:rPr>
        <w:t> </w:t>
      </w:r>
      <w:r>
        <w:rPr/>
        <w:t>Huapango</w:t>
        <w:tab/>
        <w:t>203</w:t>
      </w:r>
    </w:p>
    <w:p>
      <w:pPr>
        <w:pStyle w:val="BodyText"/>
        <w:spacing w:before="3"/>
        <w:ind w:left="142"/>
      </w:pPr>
      <w:r>
        <w:rPr/>
        <w:t>Tabla  6.3.  Pescadores  en  los  Municipios  de  Acambay,  Aculco,  Jilotepec  y</w:t>
      </w:r>
    </w:p>
    <w:p>
      <w:pPr>
        <w:pStyle w:val="BodyText"/>
        <w:tabs>
          <w:tab w:pos="8903" w:val="right" w:leader="none"/>
        </w:tabs>
        <w:spacing w:before="128"/>
        <w:ind w:left="142"/>
      </w:pPr>
      <w:r>
        <w:rPr/>
        <w:t>Timilpan</w:t>
        <w:tab/>
        <w:t>206</w:t>
      </w:r>
    </w:p>
    <w:p>
      <w:pPr>
        <w:spacing w:after="0"/>
        <w:sectPr>
          <w:pgSz w:w="12240" w:h="15840"/>
          <w:pgMar w:header="0" w:footer="1003" w:top="1360" w:bottom="1200" w:left="1560" w:right="1560"/>
        </w:sectPr>
      </w:pPr>
    </w:p>
    <w:p>
      <w:pPr>
        <w:pStyle w:val="BodyText"/>
        <w:tabs>
          <w:tab w:pos="8863" w:val="right" w:leader="none"/>
        </w:tabs>
        <w:spacing w:before="56"/>
        <w:ind w:left="102"/>
      </w:pPr>
      <w:r>
        <w:rPr/>
        <w:t>Tabla 6.4. Ganaderos en los municipios de Jilotepec</w:t>
      </w:r>
      <w:r>
        <w:rPr>
          <w:spacing w:val="-12"/>
        </w:rPr>
        <w:t> </w:t>
      </w:r>
      <w:r>
        <w:rPr/>
        <w:t>y</w:t>
      </w:r>
      <w:r>
        <w:rPr>
          <w:spacing w:val="-2"/>
        </w:rPr>
        <w:t> </w:t>
      </w:r>
      <w:r>
        <w:rPr/>
        <w:t>Timilpan</w:t>
        <w:tab/>
        <w:t>235</w:t>
      </w:r>
    </w:p>
    <w:p>
      <w:pPr>
        <w:pStyle w:val="BodyText"/>
        <w:tabs>
          <w:tab w:pos="8863" w:val="right" w:leader="none"/>
        </w:tabs>
        <w:spacing w:line="360" w:lineRule="auto" w:before="506"/>
        <w:ind w:left="102" w:right="194"/>
      </w:pPr>
      <w:r>
        <w:rPr/>
        <w:t>Tabla 6.5.  Industriales y comerciantes de lácteos en los Municipios de Aculco y  Polotitlán</w:t>
        <w:tab/>
        <w:t>247</w:t>
      </w:r>
    </w:p>
    <w:p>
      <w:pPr>
        <w:pStyle w:val="BodyText"/>
        <w:tabs>
          <w:tab w:pos="8863" w:val="right" w:leader="none"/>
        </w:tabs>
        <w:spacing w:before="3"/>
        <w:ind w:left="102"/>
      </w:pPr>
      <w:r>
        <w:rPr/>
        <w:t>Tabla 6.6. Turismo en el Municipio</w:t>
      </w:r>
      <w:r>
        <w:rPr>
          <w:spacing w:val="-9"/>
        </w:rPr>
        <w:t> </w:t>
      </w:r>
      <w:r>
        <w:rPr/>
        <w:t>de</w:t>
      </w:r>
      <w:r>
        <w:rPr>
          <w:spacing w:val="-1"/>
        </w:rPr>
        <w:t> </w:t>
      </w:r>
      <w:r>
        <w:rPr/>
        <w:t>Aculco</w:t>
        <w:tab/>
        <w:t>256</w:t>
      </w:r>
    </w:p>
    <w:p>
      <w:pPr>
        <w:pStyle w:val="BodyText"/>
        <w:tabs>
          <w:tab w:pos="8863" w:val="right" w:leader="none"/>
        </w:tabs>
        <w:spacing w:before="126"/>
        <w:ind w:left="102"/>
      </w:pPr>
      <w:r>
        <w:rPr/>
        <w:t>Tabla 6.7. Comisariados Ejidales (Trabajo</w:t>
      </w:r>
      <w:r>
        <w:rPr>
          <w:spacing w:val="-6"/>
        </w:rPr>
        <w:t> </w:t>
      </w:r>
      <w:r>
        <w:rPr/>
        <w:t>de</w:t>
      </w:r>
      <w:r>
        <w:rPr>
          <w:spacing w:val="-1"/>
        </w:rPr>
        <w:t> </w:t>
      </w:r>
      <w:r>
        <w:rPr/>
        <w:t>Campo)</w:t>
        <w:tab/>
        <w:t>261</w:t>
      </w:r>
    </w:p>
    <w:p>
      <w:pPr>
        <w:pStyle w:val="BodyText"/>
        <w:tabs>
          <w:tab w:pos="8863" w:val="right" w:leader="none"/>
        </w:tabs>
        <w:spacing w:before="128"/>
        <w:ind w:left="102"/>
      </w:pPr>
      <w:r>
        <w:rPr/>
        <w:t>Tabla 6.8. Delegados Municipales (Trabajo</w:t>
      </w:r>
      <w:r>
        <w:rPr>
          <w:spacing w:val="-3"/>
        </w:rPr>
        <w:t> </w:t>
      </w:r>
      <w:r>
        <w:rPr/>
        <w:t>de</w:t>
      </w:r>
      <w:r>
        <w:rPr>
          <w:spacing w:val="-3"/>
        </w:rPr>
        <w:t> </w:t>
      </w:r>
      <w:r>
        <w:rPr/>
        <w:t>Campo)</w:t>
        <w:tab/>
        <w:t>286</w:t>
      </w:r>
    </w:p>
    <w:p>
      <w:pPr>
        <w:pStyle w:val="BodyText"/>
        <w:tabs>
          <w:tab w:pos="8863" w:val="right" w:leader="none"/>
        </w:tabs>
        <w:spacing w:before="126"/>
        <w:ind w:left="102"/>
      </w:pPr>
      <w:r>
        <w:rPr/>
        <w:t>Tabla 6.9. Municipio de Acambay</w:t>
      </w:r>
      <w:r>
        <w:rPr>
          <w:spacing w:val="-3"/>
        </w:rPr>
        <w:t> </w:t>
      </w:r>
      <w:r>
        <w:rPr/>
        <w:t>(Autoridades</w:t>
      </w:r>
      <w:r>
        <w:rPr>
          <w:spacing w:val="-3"/>
        </w:rPr>
        <w:t> </w:t>
      </w:r>
      <w:r>
        <w:rPr/>
        <w:t>Municipales)</w:t>
        <w:tab/>
        <w:t>313</w:t>
      </w:r>
    </w:p>
    <w:p>
      <w:pPr>
        <w:pStyle w:val="BodyText"/>
        <w:tabs>
          <w:tab w:pos="8863" w:val="right" w:leader="none"/>
        </w:tabs>
        <w:spacing w:before="126"/>
        <w:ind w:left="102"/>
      </w:pPr>
      <w:r>
        <w:rPr/>
        <w:t>Tabla 6.10. Municipio de Aculco (Autoridades</w:t>
      </w:r>
      <w:r>
        <w:rPr>
          <w:spacing w:val="-3"/>
        </w:rPr>
        <w:t> </w:t>
      </w:r>
      <w:r>
        <w:rPr/>
        <w:t>Municipales)</w:t>
        <w:tab/>
        <w:t>325</w:t>
      </w:r>
    </w:p>
    <w:p>
      <w:pPr>
        <w:pStyle w:val="BodyText"/>
        <w:tabs>
          <w:tab w:pos="8863" w:val="right" w:leader="none"/>
        </w:tabs>
        <w:spacing w:before="127"/>
        <w:ind w:left="102"/>
      </w:pPr>
      <w:r>
        <w:rPr/>
        <w:t>Tabla 6.11. Municipio de Jilotepec</w:t>
      </w:r>
      <w:r>
        <w:rPr>
          <w:spacing w:val="-3"/>
        </w:rPr>
        <w:t> </w:t>
      </w:r>
      <w:r>
        <w:rPr/>
        <w:t>(Autoridades</w:t>
      </w:r>
      <w:r>
        <w:rPr>
          <w:spacing w:val="-3"/>
        </w:rPr>
        <w:t> </w:t>
      </w:r>
      <w:r>
        <w:rPr/>
        <w:t>Municipales)</w:t>
        <w:tab/>
        <w:t>337</w:t>
      </w:r>
    </w:p>
    <w:p>
      <w:pPr>
        <w:pStyle w:val="BodyText"/>
        <w:tabs>
          <w:tab w:pos="8863" w:val="right" w:leader="none"/>
        </w:tabs>
        <w:spacing w:before="126"/>
        <w:ind w:left="102"/>
      </w:pPr>
      <w:r>
        <w:rPr/>
        <w:t>Tabla 6.12. Municipio de Polotitlán (Autoridades</w:t>
      </w:r>
      <w:r>
        <w:rPr>
          <w:spacing w:val="-3"/>
        </w:rPr>
        <w:t> </w:t>
      </w:r>
      <w:r>
        <w:rPr/>
        <w:t>Municipales)</w:t>
        <w:tab/>
        <w:t>348</w:t>
      </w:r>
    </w:p>
    <w:p>
      <w:pPr>
        <w:pStyle w:val="BodyText"/>
        <w:tabs>
          <w:tab w:pos="8863" w:val="right" w:leader="none"/>
        </w:tabs>
        <w:spacing w:before="126"/>
        <w:ind w:left="102"/>
      </w:pPr>
      <w:r>
        <w:rPr/>
        <w:t>Tabla 6.13. Municipio de Timilpan</w:t>
      </w:r>
      <w:r>
        <w:rPr>
          <w:spacing w:val="-1"/>
        </w:rPr>
        <w:t> </w:t>
      </w:r>
      <w:r>
        <w:rPr/>
        <w:t>(Autoridades</w:t>
      </w:r>
      <w:r>
        <w:rPr>
          <w:spacing w:val="-1"/>
        </w:rPr>
        <w:t> </w:t>
      </w:r>
      <w:r>
        <w:rPr/>
        <w:t>Municipales)</w:t>
        <w:tab/>
        <w:t>357</w:t>
      </w:r>
    </w:p>
    <w:p>
      <w:pPr>
        <w:pStyle w:val="BodyText"/>
        <w:tabs>
          <w:tab w:pos="8863" w:val="right" w:leader="none"/>
        </w:tabs>
        <w:spacing w:before="126"/>
        <w:ind w:left="102"/>
      </w:pPr>
      <w:r>
        <w:rPr/>
        <w:t>Tabla 6.14. Actores Federales</w:t>
      </w:r>
      <w:r>
        <w:rPr>
          <w:spacing w:val="-4"/>
        </w:rPr>
        <w:t> </w:t>
      </w:r>
      <w:r>
        <w:rPr/>
        <w:t>(Autoridades</w:t>
      </w:r>
      <w:r>
        <w:rPr>
          <w:spacing w:val="-3"/>
        </w:rPr>
        <w:t> </w:t>
      </w:r>
      <w:r>
        <w:rPr/>
        <w:t>Federales)</w:t>
        <w:tab/>
        <w:t>369</w:t>
      </w:r>
    </w:p>
    <w:p>
      <w:pPr>
        <w:pStyle w:val="BodyText"/>
        <w:tabs>
          <w:tab w:pos="8863" w:val="right" w:leader="none"/>
        </w:tabs>
        <w:spacing w:before="126"/>
        <w:ind w:left="102"/>
      </w:pPr>
      <w:r>
        <w:rPr/>
        <w:t>Tabla 6.15. Otros problemas señalados por los grupos de actores en</w:t>
      </w:r>
      <w:r>
        <w:rPr>
          <w:spacing w:val="-16"/>
        </w:rPr>
        <w:t> </w:t>
      </w:r>
      <w:r>
        <w:rPr/>
        <w:t>la</w:t>
      </w:r>
      <w:r>
        <w:rPr>
          <w:spacing w:val="-1"/>
        </w:rPr>
        <w:t> </w:t>
      </w:r>
      <w:r>
        <w:rPr/>
        <w:t>CHPH</w:t>
        <w:tab/>
        <w:t>396</w:t>
      </w:r>
    </w:p>
    <w:p>
      <w:pPr>
        <w:pStyle w:val="BodyText"/>
        <w:spacing w:before="126"/>
        <w:ind w:left="102"/>
      </w:pPr>
      <w:r>
        <w:rPr/>
        <w:t>Tabla 6.16. ¿Quiénes deben solucionar los problemas de la Cuenca Hidrosocial</w:t>
      </w:r>
    </w:p>
    <w:p>
      <w:pPr>
        <w:pStyle w:val="BodyText"/>
        <w:tabs>
          <w:tab w:pos="8863" w:val="right" w:leader="none"/>
        </w:tabs>
        <w:spacing w:before="128"/>
        <w:ind w:left="102"/>
      </w:pPr>
      <w:r>
        <w:rPr/>
        <w:t>Presa Huapango?</w:t>
      </w:r>
      <w:r>
        <w:rPr>
          <w:spacing w:val="-3"/>
        </w:rPr>
        <w:t> </w:t>
      </w:r>
      <w:r>
        <w:rPr/>
        <w:t>(Actores</w:t>
      </w:r>
      <w:r>
        <w:rPr>
          <w:spacing w:val="-1"/>
        </w:rPr>
        <w:t> </w:t>
      </w:r>
      <w:r>
        <w:rPr/>
        <w:t>Históricos)</w:t>
        <w:tab/>
        <w:t>402</w:t>
      </w:r>
    </w:p>
    <w:p>
      <w:pPr>
        <w:pStyle w:val="BodyText"/>
        <w:spacing w:before="126"/>
        <w:ind w:left="102"/>
      </w:pPr>
      <w:r>
        <w:rPr/>
        <w:t>Tabla 6.17. ¿Quiénes deben solucionar los problemas de la Cuenca Hidrosocial</w:t>
      </w:r>
    </w:p>
    <w:p>
      <w:pPr>
        <w:pStyle w:val="BodyText"/>
        <w:tabs>
          <w:tab w:pos="8863" w:val="right" w:leader="none"/>
        </w:tabs>
        <w:spacing w:before="126"/>
        <w:ind w:left="102"/>
      </w:pPr>
      <w:r>
        <w:rPr/>
        <w:t>Presa Huapango?</w:t>
      </w:r>
      <w:r>
        <w:rPr>
          <w:spacing w:val="-3"/>
        </w:rPr>
        <w:t> </w:t>
      </w:r>
      <w:r>
        <w:rPr/>
        <w:t>(Actores</w:t>
      </w:r>
      <w:r>
        <w:rPr>
          <w:spacing w:val="-1"/>
        </w:rPr>
        <w:t> </w:t>
      </w:r>
      <w:r>
        <w:rPr/>
        <w:t>Municipales)</w:t>
        <w:tab/>
        <w:t>406</w:t>
      </w:r>
    </w:p>
    <w:p>
      <w:pPr>
        <w:pStyle w:val="BodyText"/>
        <w:tabs>
          <w:tab w:pos="8863" w:val="right" w:leader="none"/>
        </w:tabs>
        <w:spacing w:before="126"/>
        <w:ind w:left="102"/>
      </w:pPr>
      <w:r>
        <w:rPr/>
        <w:t>Tabla 7.1. Consideraciones generales para la selección</w:t>
      </w:r>
      <w:r>
        <w:rPr>
          <w:spacing w:val="-8"/>
        </w:rPr>
        <w:t> </w:t>
      </w:r>
      <w:r>
        <w:rPr/>
        <w:t>de</w:t>
      </w:r>
      <w:r>
        <w:rPr>
          <w:spacing w:val="-1"/>
        </w:rPr>
        <w:t> </w:t>
      </w:r>
      <w:r>
        <w:rPr/>
        <w:t>indicadores</w:t>
        <w:tab/>
        <w:t>450</w:t>
      </w:r>
    </w:p>
    <w:p>
      <w:pPr>
        <w:pStyle w:val="BodyText"/>
        <w:tabs>
          <w:tab w:pos="8863" w:val="right" w:leader="none"/>
        </w:tabs>
        <w:spacing w:before="126"/>
        <w:ind w:left="102"/>
      </w:pPr>
      <w:r>
        <w:rPr/>
        <w:t>Tabla 7.2. Tipos</w:t>
      </w:r>
      <w:r>
        <w:rPr>
          <w:spacing w:val="-3"/>
        </w:rPr>
        <w:t> </w:t>
      </w:r>
      <w:r>
        <w:rPr/>
        <w:t>de</w:t>
      </w:r>
      <w:r>
        <w:rPr>
          <w:spacing w:val="-3"/>
        </w:rPr>
        <w:t> </w:t>
      </w:r>
      <w:r>
        <w:rPr/>
        <w:t>indicadores</w:t>
        <w:tab/>
        <w:t>450</w:t>
      </w:r>
    </w:p>
    <w:p>
      <w:pPr>
        <w:pStyle w:val="BodyText"/>
        <w:spacing w:before="126"/>
        <w:ind w:left="102"/>
      </w:pPr>
      <w:r>
        <w:rPr/>
        <w:t>Tabla 7.3. Sistema de Indicadores PEIR para la Cuenca Hidrosocial Presa</w:t>
      </w:r>
    </w:p>
    <w:p>
      <w:pPr>
        <w:pStyle w:val="BodyText"/>
        <w:tabs>
          <w:tab w:pos="8863" w:val="right" w:leader="none"/>
        </w:tabs>
        <w:spacing w:before="126"/>
        <w:ind w:left="102"/>
      </w:pPr>
      <w:r>
        <w:rPr/>
        <w:t>Huapango</w:t>
      </w:r>
      <w:r>
        <w:rPr>
          <w:spacing w:val="-3"/>
        </w:rPr>
        <w:t> </w:t>
      </w:r>
      <w:r>
        <w:rPr/>
        <w:t>(AEPA</w:t>
      </w:r>
      <w:r>
        <w:rPr>
          <w:spacing w:val="-1"/>
        </w:rPr>
        <w:t> </w:t>
      </w:r>
      <w:r>
        <w:rPr/>
        <w:t>Ambiental)</w:t>
        <w:tab/>
        <w:t>455</w:t>
      </w:r>
    </w:p>
    <w:p>
      <w:pPr>
        <w:pStyle w:val="BodyText"/>
        <w:spacing w:before="126"/>
        <w:ind w:left="102"/>
      </w:pPr>
      <w:r>
        <w:rPr/>
        <w:t>Tabla 7.4. Sistema de Indicadores PEIR para la Cuenca Hidrosocial Presa</w:t>
      </w:r>
    </w:p>
    <w:p>
      <w:pPr>
        <w:pStyle w:val="BodyText"/>
        <w:tabs>
          <w:tab w:pos="8863" w:val="right" w:leader="none"/>
        </w:tabs>
        <w:spacing w:before="126"/>
        <w:ind w:left="102"/>
      </w:pPr>
      <w:r>
        <w:rPr/>
        <w:t>Huapango</w:t>
      </w:r>
      <w:r>
        <w:rPr>
          <w:spacing w:val="-3"/>
        </w:rPr>
        <w:t> </w:t>
      </w:r>
      <w:r>
        <w:rPr/>
        <w:t>(AEPA</w:t>
      </w:r>
      <w:r>
        <w:rPr>
          <w:spacing w:val="-1"/>
        </w:rPr>
        <w:t> </w:t>
      </w:r>
      <w:r>
        <w:rPr/>
        <w:t>Social)</w:t>
        <w:tab/>
        <w:t>469</w:t>
      </w:r>
    </w:p>
    <w:p>
      <w:pPr>
        <w:pStyle w:val="BodyText"/>
        <w:spacing w:before="128"/>
        <w:ind w:left="102"/>
      </w:pPr>
      <w:r>
        <w:rPr/>
        <w:t>Tabla 7.5. Sistema de Indicadores PEIR para la Cuenca Hidrosocial Presa</w:t>
      </w:r>
    </w:p>
    <w:p>
      <w:pPr>
        <w:pStyle w:val="BodyText"/>
        <w:tabs>
          <w:tab w:pos="8863" w:val="right" w:leader="none"/>
        </w:tabs>
        <w:spacing w:before="126"/>
        <w:ind w:left="102"/>
      </w:pPr>
      <w:r>
        <w:rPr/>
        <w:t>Huapango</w:t>
      </w:r>
      <w:r>
        <w:rPr>
          <w:spacing w:val="-3"/>
        </w:rPr>
        <w:t> </w:t>
      </w:r>
      <w:r>
        <w:rPr/>
        <w:t>(AEPA</w:t>
      </w:r>
      <w:r>
        <w:rPr>
          <w:spacing w:val="-1"/>
        </w:rPr>
        <w:t> </w:t>
      </w:r>
      <w:r>
        <w:rPr/>
        <w:t>Económica)</w:t>
        <w:tab/>
        <w:t>482</w:t>
      </w:r>
    </w:p>
    <w:p>
      <w:pPr>
        <w:pStyle w:val="BodyText"/>
        <w:spacing w:before="126"/>
        <w:ind w:left="102"/>
      </w:pPr>
      <w:r>
        <w:rPr/>
        <w:t>Tabla 7.6. Sistema de Indicadores PEIR para la Cuenca Hidrosocial Presa</w:t>
      </w:r>
    </w:p>
    <w:p>
      <w:pPr>
        <w:pStyle w:val="BodyText"/>
        <w:tabs>
          <w:tab w:pos="8863" w:val="right" w:leader="none"/>
        </w:tabs>
        <w:spacing w:before="127"/>
        <w:ind w:left="102"/>
      </w:pPr>
      <w:r>
        <w:rPr/>
        <w:t>Huapango</w:t>
      </w:r>
      <w:r>
        <w:rPr>
          <w:spacing w:val="-3"/>
        </w:rPr>
        <w:t> </w:t>
      </w:r>
      <w:r>
        <w:rPr/>
        <w:t>(AEPA</w:t>
      </w:r>
      <w:r>
        <w:rPr>
          <w:spacing w:val="-1"/>
        </w:rPr>
        <w:t> </w:t>
      </w:r>
      <w:r>
        <w:rPr/>
        <w:t>Política)</w:t>
        <w:tab/>
        <w:t>497</w:t>
      </w:r>
    </w:p>
    <w:p>
      <w:pPr>
        <w:pStyle w:val="BodyText"/>
        <w:spacing w:before="126"/>
        <w:ind w:left="102"/>
      </w:pPr>
      <w:r>
        <w:rPr/>
        <w:t>Tabla 7.7. Factores Críticos de Éxito del sistema PEIR de la CHPH (cuatro</w:t>
      </w:r>
    </w:p>
    <w:p>
      <w:pPr>
        <w:pStyle w:val="BodyText"/>
        <w:tabs>
          <w:tab w:pos="8863" w:val="right" w:leader="none"/>
        </w:tabs>
        <w:spacing w:before="126"/>
        <w:ind w:left="102"/>
      </w:pPr>
      <w:r>
        <w:rPr/>
        <w:t>AEPA)</w:t>
        <w:tab/>
        <w:t>514</w:t>
      </w:r>
    </w:p>
    <w:p>
      <w:pPr>
        <w:pStyle w:val="BodyText"/>
        <w:tabs>
          <w:tab w:pos="8863" w:val="right" w:leader="none"/>
        </w:tabs>
        <w:spacing w:before="126"/>
        <w:ind w:left="102"/>
      </w:pPr>
      <w:r>
        <w:rPr/>
        <w:t>Tabla 7.8 Simplificación de las AEPA social y política en</w:t>
      </w:r>
      <w:r>
        <w:rPr>
          <w:spacing w:val="-12"/>
        </w:rPr>
        <w:t> </w:t>
      </w:r>
      <w:r>
        <w:rPr/>
        <w:t>AEPA</w:t>
      </w:r>
      <w:r>
        <w:rPr>
          <w:spacing w:val="-3"/>
        </w:rPr>
        <w:t> </w:t>
      </w:r>
      <w:r>
        <w:rPr/>
        <w:t>sociopolítica</w:t>
        <w:tab/>
        <w:t>522</w:t>
      </w:r>
    </w:p>
    <w:p>
      <w:pPr>
        <w:pStyle w:val="BodyText"/>
        <w:spacing w:before="126"/>
        <w:ind w:left="102"/>
      </w:pPr>
      <w:r>
        <w:rPr/>
        <w:t>Tabla 7.9 Factores Críticos de Éxito definitivos del sistema PEIR de la CHPH</w:t>
      </w:r>
    </w:p>
    <w:p>
      <w:pPr>
        <w:pStyle w:val="BodyText"/>
        <w:tabs>
          <w:tab w:pos="8863" w:val="right" w:leader="none"/>
        </w:tabs>
        <w:spacing w:before="1"/>
        <w:ind w:left="102"/>
      </w:pPr>
      <w:r>
        <w:rPr/>
        <w:t>(tres AEPA)</w:t>
      </w:r>
      <w:r>
        <w:rPr>
          <w:position w:val="-11"/>
        </w:rPr>
        <w:tab/>
        <w:t>538</w:t>
      </w:r>
    </w:p>
    <w:p>
      <w:pPr>
        <w:spacing w:after="0"/>
        <w:sectPr>
          <w:pgSz w:w="12240" w:h="15840"/>
          <w:pgMar w:header="0" w:footer="1003" w:top="1360" w:bottom="1200" w:left="1600" w:right="1580"/>
        </w:sectPr>
      </w:pPr>
    </w:p>
    <w:p>
      <w:pPr>
        <w:pStyle w:val="Heading6"/>
        <w:spacing w:before="53"/>
        <w:ind w:left="221" w:right="239"/>
        <w:jc w:val="center"/>
      </w:pPr>
      <w:bookmarkStart w:name="_TOC_250069" w:id="5"/>
      <w:bookmarkEnd w:id="5"/>
      <w:r>
        <w:rPr/>
        <w:t>ÍNDICE DE GRÁFICAS</w:t>
      </w:r>
    </w:p>
    <w:p>
      <w:pPr>
        <w:pStyle w:val="BodyText"/>
        <w:spacing w:before="9"/>
        <w:rPr>
          <w:b/>
          <w:sz w:val="20"/>
        </w:rPr>
      </w:pPr>
    </w:p>
    <w:p>
      <w:pPr>
        <w:pStyle w:val="BodyText"/>
        <w:tabs>
          <w:tab w:pos="8496" w:val="left" w:leader="none"/>
        </w:tabs>
        <w:ind w:left="102"/>
      </w:pPr>
      <w:r>
        <w:rPr/>
        <w:t>Gráfica 6.1. Total de actores</w:t>
      </w:r>
      <w:r>
        <w:rPr>
          <w:spacing w:val="-8"/>
        </w:rPr>
        <w:t> </w:t>
      </w:r>
      <w:r>
        <w:rPr/>
        <w:t>entrevistados</w:t>
      </w:r>
      <w:r>
        <w:rPr>
          <w:spacing w:val="-3"/>
        </w:rPr>
        <w:t> </w:t>
      </w:r>
      <w:r>
        <w:rPr/>
        <w:t>(77)</w:t>
        <w:tab/>
        <w:t>202</w:t>
      </w:r>
    </w:p>
    <w:p>
      <w:pPr>
        <w:pStyle w:val="BodyText"/>
        <w:tabs>
          <w:tab w:pos="8496" w:val="left" w:leader="none"/>
        </w:tabs>
        <w:spacing w:before="126"/>
        <w:ind w:left="102"/>
      </w:pPr>
      <w:r>
        <w:rPr/>
        <w:t>Gráfica 6.2. Actores históricos y su identidad con la región de</w:t>
      </w:r>
      <w:r>
        <w:rPr>
          <w:spacing w:val="-18"/>
        </w:rPr>
        <w:t> </w:t>
      </w:r>
      <w:r>
        <w:rPr/>
        <w:t>la</w:t>
      </w:r>
      <w:r>
        <w:rPr>
          <w:spacing w:val="-2"/>
        </w:rPr>
        <w:t> </w:t>
      </w:r>
      <w:r>
        <w:rPr/>
        <w:t>CHPH</w:t>
        <w:tab/>
        <w:t>382</w:t>
      </w:r>
    </w:p>
    <w:p>
      <w:pPr>
        <w:pStyle w:val="BodyText"/>
        <w:tabs>
          <w:tab w:pos="8496" w:val="left" w:leader="none"/>
        </w:tabs>
        <w:spacing w:before="128"/>
        <w:ind w:left="102"/>
      </w:pPr>
      <w:r>
        <w:rPr/>
        <w:t>Gráfica 6.3. Actores municipales y su identidad con</w:t>
      </w:r>
      <w:r>
        <w:rPr>
          <w:spacing w:val="-16"/>
        </w:rPr>
        <w:t> </w:t>
      </w:r>
      <w:r>
        <w:rPr/>
        <w:t>la</w:t>
      </w:r>
      <w:r>
        <w:rPr>
          <w:spacing w:val="-2"/>
        </w:rPr>
        <w:t> </w:t>
      </w:r>
      <w:r>
        <w:rPr/>
        <w:t>CHPH</w:t>
        <w:tab/>
        <w:t>383</w:t>
      </w:r>
    </w:p>
    <w:p>
      <w:pPr>
        <w:pStyle w:val="BodyText"/>
        <w:tabs>
          <w:tab w:pos="8496" w:val="left" w:leader="none"/>
        </w:tabs>
        <w:spacing w:before="126"/>
        <w:ind w:left="102"/>
      </w:pPr>
      <w:r>
        <w:rPr/>
        <w:t>Gráfica 6.4. Actores federales y su identidad con</w:t>
      </w:r>
      <w:r>
        <w:rPr>
          <w:spacing w:val="-14"/>
        </w:rPr>
        <w:t> </w:t>
      </w:r>
      <w:r>
        <w:rPr/>
        <w:t>la</w:t>
      </w:r>
      <w:r>
        <w:rPr>
          <w:spacing w:val="-1"/>
        </w:rPr>
        <w:t> </w:t>
      </w:r>
      <w:r>
        <w:rPr/>
        <w:t>CHPH</w:t>
        <w:tab/>
        <w:t>386</w:t>
      </w:r>
    </w:p>
    <w:p>
      <w:pPr>
        <w:pStyle w:val="BodyText"/>
        <w:tabs>
          <w:tab w:pos="8496" w:val="left" w:leader="none"/>
        </w:tabs>
        <w:spacing w:before="126"/>
        <w:ind w:left="102"/>
      </w:pPr>
      <w:r>
        <w:rPr/>
        <w:t>Gráfica 6.5.  Problema</w:t>
      </w:r>
      <w:r>
        <w:rPr>
          <w:spacing w:val="-6"/>
        </w:rPr>
        <w:t> </w:t>
      </w:r>
      <w:r>
        <w:rPr/>
        <w:t>de</w:t>
      </w:r>
      <w:r>
        <w:rPr>
          <w:spacing w:val="-2"/>
        </w:rPr>
        <w:t> </w:t>
      </w:r>
      <w:r>
        <w:rPr/>
        <w:t>contaminación</w:t>
        <w:tab/>
        <w:t>396</w:t>
      </w:r>
    </w:p>
    <w:p>
      <w:pPr>
        <w:pStyle w:val="BodyText"/>
        <w:tabs>
          <w:tab w:pos="1689" w:val="left" w:leader="none"/>
          <w:tab w:pos="8496" w:val="left" w:leader="none"/>
        </w:tabs>
        <w:spacing w:line="380" w:lineRule="exact" w:before="28"/>
        <w:ind w:left="102" w:right="194"/>
      </w:pPr>
      <w:r>
        <w:rPr/>
        <w:t>Gráfica </w:t>
      </w:r>
      <w:r>
        <w:rPr>
          <w:spacing w:val="45"/>
        </w:rPr>
        <w:t> </w:t>
      </w:r>
      <w:r>
        <w:rPr/>
        <w:t>6.6.</w:t>
        <w:tab/>
        <w:t>¿Quiénes   deben   solucionar   los   problemas   de</w:t>
      </w:r>
      <w:r>
        <w:rPr>
          <w:spacing w:val="34"/>
        </w:rPr>
        <w:t> </w:t>
      </w:r>
      <w:r>
        <w:rPr/>
        <w:t>la </w:t>
      </w:r>
      <w:r>
        <w:rPr>
          <w:spacing w:val="46"/>
        </w:rPr>
        <w:t> </w:t>
      </w:r>
      <w:r>
        <w:rPr/>
        <w:t>Cuenca</w:t>
      </w:r>
      <w:r>
        <w:rPr>
          <w:w w:val="100"/>
        </w:rPr>
        <w:t> </w:t>
      </w:r>
      <w:r>
        <w:rPr/>
        <w:t>Hidrosocial Presa Huapango</w:t>
      </w:r>
      <w:r>
        <w:rPr>
          <w:spacing w:val="-8"/>
        </w:rPr>
        <w:t> </w:t>
      </w:r>
      <w:r>
        <w:rPr/>
        <w:t>(Actores</w:t>
      </w:r>
      <w:r>
        <w:rPr>
          <w:spacing w:val="-4"/>
        </w:rPr>
        <w:t> </w:t>
      </w:r>
      <w:r>
        <w:rPr/>
        <w:t>Históricos)?</w:t>
      </w:r>
      <w:r>
        <w:rPr>
          <w:position w:val="-12"/>
        </w:rPr>
        <w:tab/>
        <w:t>403</w:t>
      </w:r>
    </w:p>
    <w:p>
      <w:pPr>
        <w:pStyle w:val="BodyText"/>
        <w:spacing w:before="97"/>
        <w:ind w:left="102"/>
      </w:pPr>
      <w:r>
        <w:rPr/>
        <w:t>Gráfica 6.7. Quienes deben solucionar los problemas de la Cuenca </w:t>
      </w:r>
      <w:r>
        <w:rPr>
          <w:spacing w:val="53"/>
        </w:rPr>
        <w:t> </w:t>
      </w:r>
      <w:r>
        <w:rPr/>
        <w:t>Hidrosocial</w:t>
      </w:r>
    </w:p>
    <w:p>
      <w:pPr>
        <w:pStyle w:val="BodyText"/>
        <w:tabs>
          <w:tab w:pos="8496" w:val="left" w:leader="none"/>
        </w:tabs>
        <w:spacing w:line="381" w:lineRule="exact" w:before="127"/>
        <w:ind w:left="102"/>
      </w:pPr>
      <w:r>
        <w:rPr/>
        <w:t>Presa Huapango</w:t>
      </w:r>
      <w:r>
        <w:rPr>
          <w:spacing w:val="-6"/>
        </w:rPr>
        <w:t> </w:t>
      </w:r>
      <w:r>
        <w:rPr/>
        <w:t>(Actores</w:t>
      </w:r>
      <w:r>
        <w:rPr>
          <w:spacing w:val="-1"/>
        </w:rPr>
        <w:t> </w:t>
      </w:r>
      <w:r>
        <w:rPr/>
        <w:t>Municipales)</w:t>
      </w:r>
      <w:r>
        <w:rPr>
          <w:position w:val="-12"/>
        </w:rPr>
        <w:tab/>
        <w:t>407</w:t>
      </w:r>
    </w:p>
    <w:p>
      <w:pPr>
        <w:pStyle w:val="BodyText"/>
        <w:spacing w:line="251" w:lineRule="exact"/>
        <w:ind w:left="102"/>
      </w:pPr>
      <w:r>
        <w:rPr/>
        <w:t>Gráfica 6.8. Creación del Comité Intermunicipal con su Reglamento para el uso,</w:t>
      </w:r>
    </w:p>
    <w:p>
      <w:pPr>
        <w:pStyle w:val="BodyText"/>
        <w:tabs>
          <w:tab w:pos="8496" w:val="left" w:leader="none"/>
        </w:tabs>
        <w:spacing w:before="128"/>
        <w:ind w:left="102"/>
      </w:pPr>
      <w:r>
        <w:rPr/>
        <w:t>cuidado y defensa de la presa Huapango</w:t>
      </w:r>
      <w:r>
        <w:rPr>
          <w:spacing w:val="-14"/>
        </w:rPr>
        <w:t> </w:t>
      </w:r>
      <w:r>
        <w:rPr/>
        <w:t>(Actores Históricos)</w:t>
      </w:r>
      <w:r>
        <w:rPr>
          <w:position w:val="-11"/>
        </w:rPr>
        <w:tab/>
        <w:t>416</w:t>
      </w:r>
    </w:p>
    <w:p>
      <w:pPr>
        <w:pStyle w:val="BodyText"/>
        <w:spacing w:before="6"/>
        <w:ind w:left="102"/>
      </w:pPr>
      <w:r>
        <w:rPr/>
        <w:t>Gráfica 6.9. Creación del Comité Intermunicipal con su Reglamento para el uso,</w:t>
      </w:r>
    </w:p>
    <w:p>
      <w:pPr>
        <w:pStyle w:val="BodyText"/>
        <w:tabs>
          <w:tab w:pos="8496" w:val="left" w:leader="none"/>
        </w:tabs>
        <w:spacing w:before="126"/>
        <w:ind w:left="102"/>
      </w:pPr>
      <w:r>
        <w:rPr/>
        <w:t>cuidado y defensa de la presa Huapango</w:t>
      </w:r>
      <w:r>
        <w:rPr>
          <w:spacing w:val="-15"/>
        </w:rPr>
        <w:t> </w:t>
      </w:r>
      <w:r>
        <w:rPr/>
        <w:t>(Actores Municipales)</w:t>
      </w:r>
      <w:r>
        <w:rPr>
          <w:position w:val="-11"/>
        </w:rPr>
        <w:tab/>
        <w:t>419</w:t>
      </w:r>
    </w:p>
    <w:p>
      <w:pPr>
        <w:pStyle w:val="BodyText"/>
        <w:tabs>
          <w:tab w:pos="8496" w:val="left" w:leader="none"/>
        </w:tabs>
        <w:spacing w:before="6"/>
        <w:ind w:left="102"/>
      </w:pPr>
      <w:r>
        <w:rPr/>
        <w:t>Gráfica 7.1. Historia ambiental en</w:t>
      </w:r>
      <w:r>
        <w:rPr>
          <w:spacing w:val="-9"/>
        </w:rPr>
        <w:t> </w:t>
      </w:r>
      <w:r>
        <w:rPr/>
        <w:t>la</w:t>
      </w:r>
      <w:r>
        <w:rPr>
          <w:spacing w:val="-2"/>
        </w:rPr>
        <w:t> </w:t>
      </w:r>
      <w:r>
        <w:rPr/>
        <w:t>CHPH</w:t>
        <w:tab/>
        <w:t>547</w:t>
      </w:r>
    </w:p>
    <w:p>
      <w:pPr>
        <w:pStyle w:val="BodyText"/>
        <w:tabs>
          <w:tab w:pos="8496" w:val="left" w:leader="none"/>
        </w:tabs>
        <w:spacing w:before="126"/>
        <w:ind w:left="102"/>
      </w:pPr>
      <w:r>
        <w:rPr/>
        <w:t>Gráfica 7.2. Poder ambiental en</w:t>
      </w:r>
      <w:r>
        <w:rPr>
          <w:spacing w:val="-6"/>
        </w:rPr>
        <w:t> </w:t>
      </w:r>
      <w:r>
        <w:rPr/>
        <w:t>la</w:t>
      </w:r>
      <w:r>
        <w:rPr>
          <w:spacing w:val="-1"/>
        </w:rPr>
        <w:t> </w:t>
      </w:r>
      <w:r>
        <w:rPr/>
        <w:t>CHPH</w:t>
        <w:tab/>
        <w:t>557</w:t>
      </w:r>
    </w:p>
    <w:p>
      <w:pPr>
        <w:pStyle w:val="BodyText"/>
        <w:tabs>
          <w:tab w:pos="8496" w:val="left" w:leader="none"/>
        </w:tabs>
        <w:spacing w:before="126"/>
        <w:ind w:left="102"/>
      </w:pPr>
      <w:r>
        <w:rPr/>
        <w:t>Gráfica 7.3. Cultura ambiental en</w:t>
      </w:r>
      <w:r>
        <w:rPr>
          <w:spacing w:val="-8"/>
        </w:rPr>
        <w:t> </w:t>
      </w:r>
      <w:r>
        <w:rPr/>
        <w:t>la</w:t>
      </w:r>
      <w:r>
        <w:rPr>
          <w:spacing w:val="-1"/>
        </w:rPr>
        <w:t> </w:t>
      </w:r>
      <w:r>
        <w:rPr/>
        <w:t>CHPH</w:t>
        <w:tab/>
        <w:t>565</w:t>
      </w:r>
    </w:p>
    <w:p>
      <w:pPr>
        <w:pStyle w:val="BodyText"/>
        <w:tabs>
          <w:tab w:pos="8496" w:val="left" w:leader="none"/>
        </w:tabs>
        <w:spacing w:before="126"/>
        <w:ind w:left="102"/>
      </w:pPr>
      <w:r>
        <w:rPr/>
        <w:t>Gráfica 7.4. Democracia y voluntariedad ambiental en</w:t>
      </w:r>
      <w:r>
        <w:rPr>
          <w:spacing w:val="-12"/>
        </w:rPr>
        <w:t> </w:t>
      </w:r>
      <w:r>
        <w:rPr/>
        <w:t>la</w:t>
      </w:r>
      <w:r>
        <w:rPr>
          <w:spacing w:val="-2"/>
        </w:rPr>
        <w:t> </w:t>
      </w:r>
      <w:r>
        <w:rPr/>
        <w:t>CHPH</w:t>
        <w:tab/>
        <w:t>576</w:t>
      </w:r>
    </w:p>
    <w:p>
      <w:pPr>
        <w:pStyle w:val="BodyText"/>
        <w:tabs>
          <w:tab w:pos="8496" w:val="left" w:leader="none"/>
        </w:tabs>
        <w:spacing w:before="126"/>
        <w:ind w:left="102"/>
      </w:pPr>
      <w:r>
        <w:rPr/>
        <w:t>Gráfica 7.5. Participación social para cuidar el medio ambiente de</w:t>
      </w:r>
      <w:r>
        <w:rPr>
          <w:spacing w:val="-21"/>
        </w:rPr>
        <w:t> </w:t>
      </w:r>
      <w:r>
        <w:rPr/>
        <w:t>la</w:t>
      </w:r>
      <w:r>
        <w:rPr>
          <w:spacing w:val="-2"/>
        </w:rPr>
        <w:t> </w:t>
      </w:r>
      <w:r>
        <w:rPr/>
        <w:t>CHPH</w:t>
        <w:tab/>
        <w:t>586</w:t>
      </w:r>
    </w:p>
    <w:p>
      <w:pPr>
        <w:pStyle w:val="BodyText"/>
        <w:spacing w:line="252" w:lineRule="exact" w:before="126"/>
        <w:ind w:left="102"/>
      </w:pPr>
      <w:r>
        <w:rPr/>
        <w:t>Gráfica 7.6. Relaciones intermunicipales para atender el deterioro ambiental  en</w:t>
      </w:r>
    </w:p>
    <w:p>
      <w:pPr>
        <w:pStyle w:val="BodyText"/>
        <w:tabs>
          <w:tab w:pos="8496" w:val="left" w:leader="none"/>
        </w:tabs>
        <w:spacing w:line="382" w:lineRule="exact"/>
        <w:ind w:left="102"/>
      </w:pPr>
      <w:r>
        <w:rPr/>
        <w:t>la</w:t>
      </w:r>
      <w:r>
        <w:rPr>
          <w:spacing w:val="-1"/>
        </w:rPr>
        <w:t> </w:t>
      </w:r>
      <w:r>
        <w:rPr/>
        <w:t>CHPH</w:t>
      </w:r>
      <w:r>
        <w:rPr>
          <w:position w:val="13"/>
        </w:rPr>
        <w:tab/>
        <w:t>595</w:t>
      </w:r>
    </w:p>
    <w:p>
      <w:pPr>
        <w:pStyle w:val="BodyText"/>
        <w:tabs>
          <w:tab w:pos="8496" w:val="left" w:leader="none"/>
        </w:tabs>
        <w:spacing w:before="126"/>
        <w:ind w:left="102"/>
      </w:pPr>
      <w:r>
        <w:rPr/>
        <w:t>Gráfica 7.7. Cooperación ambiental en</w:t>
      </w:r>
      <w:r>
        <w:rPr>
          <w:spacing w:val="-10"/>
        </w:rPr>
        <w:t> </w:t>
      </w:r>
      <w:r>
        <w:rPr/>
        <w:t>la</w:t>
      </w:r>
      <w:r>
        <w:rPr>
          <w:spacing w:val="-1"/>
        </w:rPr>
        <w:t> </w:t>
      </w:r>
      <w:r>
        <w:rPr/>
        <w:t>CHPH</w:t>
        <w:tab/>
        <w:t>604</w:t>
      </w:r>
    </w:p>
    <w:p>
      <w:pPr>
        <w:pStyle w:val="BodyText"/>
        <w:tabs>
          <w:tab w:pos="8496" w:val="left" w:leader="none"/>
        </w:tabs>
        <w:spacing w:before="126"/>
        <w:ind w:left="102"/>
      </w:pPr>
      <w:r>
        <w:rPr/>
        <w:t>Gráfica 7.8. Identidad ambiental en</w:t>
      </w:r>
      <w:r>
        <w:rPr>
          <w:spacing w:val="-11"/>
        </w:rPr>
        <w:t> </w:t>
      </w:r>
      <w:r>
        <w:rPr/>
        <w:t>la</w:t>
      </w:r>
      <w:r>
        <w:rPr>
          <w:spacing w:val="-2"/>
        </w:rPr>
        <w:t> </w:t>
      </w:r>
      <w:r>
        <w:rPr/>
        <w:t>CHPH</w:t>
        <w:tab/>
        <w:t>614</w:t>
      </w:r>
    </w:p>
    <w:p>
      <w:pPr>
        <w:pStyle w:val="BodyText"/>
        <w:tabs>
          <w:tab w:pos="8496" w:val="left" w:leader="none"/>
        </w:tabs>
        <w:spacing w:before="126"/>
        <w:ind w:left="102"/>
      </w:pPr>
      <w:r>
        <w:rPr/>
        <w:t>Gráfica 7.9. Historia sociopolítica en</w:t>
      </w:r>
      <w:r>
        <w:rPr>
          <w:spacing w:val="-10"/>
        </w:rPr>
        <w:t> </w:t>
      </w:r>
      <w:r>
        <w:rPr/>
        <w:t>la</w:t>
      </w:r>
      <w:r>
        <w:rPr>
          <w:spacing w:val="-2"/>
        </w:rPr>
        <w:t> </w:t>
      </w:r>
      <w:r>
        <w:rPr/>
        <w:t>CHPH</w:t>
        <w:tab/>
        <w:t>622</w:t>
      </w:r>
    </w:p>
    <w:p>
      <w:pPr>
        <w:pStyle w:val="BodyText"/>
        <w:tabs>
          <w:tab w:pos="8496" w:val="left" w:leader="none"/>
        </w:tabs>
        <w:spacing w:before="126"/>
        <w:ind w:left="102"/>
      </w:pPr>
      <w:r>
        <w:rPr/>
        <w:t>Gráfica 7.10. Poder sociopolítico en</w:t>
      </w:r>
      <w:r>
        <w:rPr>
          <w:spacing w:val="-10"/>
        </w:rPr>
        <w:t> </w:t>
      </w:r>
      <w:r>
        <w:rPr/>
        <w:t>la</w:t>
      </w:r>
      <w:r>
        <w:rPr>
          <w:spacing w:val="-2"/>
        </w:rPr>
        <w:t> </w:t>
      </w:r>
      <w:r>
        <w:rPr/>
        <w:t>CHPH</w:t>
        <w:tab/>
        <w:t>631</w:t>
      </w:r>
    </w:p>
    <w:p>
      <w:pPr>
        <w:pStyle w:val="BodyText"/>
        <w:tabs>
          <w:tab w:pos="8496" w:val="left" w:leader="none"/>
        </w:tabs>
        <w:spacing w:before="126"/>
        <w:ind w:left="102"/>
      </w:pPr>
      <w:r>
        <w:rPr/>
        <w:t>Gráfica 7.11. Cultura sociopolítica en</w:t>
      </w:r>
      <w:r>
        <w:rPr>
          <w:spacing w:val="-12"/>
        </w:rPr>
        <w:t> </w:t>
      </w:r>
      <w:r>
        <w:rPr/>
        <w:t>la</w:t>
      </w:r>
      <w:r>
        <w:rPr>
          <w:spacing w:val="-2"/>
        </w:rPr>
        <w:t> </w:t>
      </w:r>
      <w:r>
        <w:rPr/>
        <w:t>CHPH</w:t>
        <w:tab/>
        <w:t>640</w:t>
      </w:r>
    </w:p>
    <w:p>
      <w:pPr>
        <w:pStyle w:val="BodyText"/>
        <w:tabs>
          <w:tab w:pos="8496" w:val="left" w:leader="none"/>
        </w:tabs>
        <w:spacing w:before="126"/>
        <w:ind w:left="102"/>
      </w:pPr>
      <w:r>
        <w:rPr/>
        <w:t>Gráfica 7.12. Democracia y voluntariedad sociopolítica en</w:t>
      </w:r>
      <w:r>
        <w:rPr>
          <w:spacing w:val="-13"/>
        </w:rPr>
        <w:t> </w:t>
      </w:r>
      <w:r>
        <w:rPr/>
        <w:t>la</w:t>
      </w:r>
      <w:r>
        <w:rPr>
          <w:spacing w:val="-2"/>
        </w:rPr>
        <w:t> </w:t>
      </w:r>
      <w:r>
        <w:rPr/>
        <w:t>CHPH</w:t>
        <w:tab/>
        <w:t>648</w:t>
      </w:r>
    </w:p>
    <w:p>
      <w:pPr>
        <w:pStyle w:val="BodyText"/>
        <w:tabs>
          <w:tab w:pos="8496" w:val="left" w:leader="none"/>
        </w:tabs>
        <w:spacing w:before="127"/>
        <w:ind w:left="102"/>
      </w:pPr>
      <w:r>
        <w:rPr/>
        <w:t>Gráfica 7.13. Participación sociopolítica en</w:t>
      </w:r>
      <w:r>
        <w:rPr>
          <w:spacing w:val="-12"/>
        </w:rPr>
        <w:t> </w:t>
      </w:r>
      <w:r>
        <w:rPr/>
        <w:t>la</w:t>
      </w:r>
      <w:r>
        <w:rPr>
          <w:spacing w:val="-3"/>
        </w:rPr>
        <w:t> </w:t>
      </w:r>
      <w:r>
        <w:rPr/>
        <w:t>CHPH</w:t>
        <w:tab/>
        <w:t>658</w:t>
      </w:r>
    </w:p>
    <w:p>
      <w:pPr>
        <w:pStyle w:val="BodyText"/>
        <w:tabs>
          <w:tab w:pos="8496" w:val="left" w:leader="none"/>
        </w:tabs>
        <w:spacing w:before="126"/>
        <w:ind w:left="102"/>
      </w:pPr>
      <w:r>
        <w:rPr/>
        <w:t>Gráfica 7.14. Relaciones intermunicipales sociopolíticas en</w:t>
      </w:r>
      <w:r>
        <w:rPr>
          <w:spacing w:val="-15"/>
        </w:rPr>
        <w:t> </w:t>
      </w:r>
      <w:r>
        <w:rPr/>
        <w:t>la</w:t>
      </w:r>
      <w:r>
        <w:rPr>
          <w:spacing w:val="-3"/>
        </w:rPr>
        <w:t> </w:t>
      </w:r>
      <w:r>
        <w:rPr/>
        <w:t>CHPH</w:t>
        <w:tab/>
        <w:t>668</w:t>
      </w:r>
    </w:p>
    <w:p>
      <w:pPr>
        <w:pStyle w:val="BodyText"/>
        <w:tabs>
          <w:tab w:pos="8496" w:val="left" w:leader="none"/>
        </w:tabs>
        <w:spacing w:before="128"/>
        <w:ind w:left="102"/>
      </w:pPr>
      <w:r>
        <w:rPr/>
        <w:t>Gráfica 7.15. Cooperación sociopolítica en</w:t>
      </w:r>
      <w:r>
        <w:rPr>
          <w:spacing w:val="-11"/>
        </w:rPr>
        <w:t> </w:t>
      </w:r>
      <w:r>
        <w:rPr/>
        <w:t>la</w:t>
      </w:r>
      <w:r>
        <w:rPr>
          <w:spacing w:val="-2"/>
        </w:rPr>
        <w:t> </w:t>
      </w:r>
      <w:r>
        <w:rPr/>
        <w:t>CHPH</w:t>
        <w:tab/>
        <w:t>677</w:t>
      </w:r>
    </w:p>
    <w:p>
      <w:pPr>
        <w:pStyle w:val="BodyText"/>
        <w:tabs>
          <w:tab w:pos="8496" w:val="left" w:leader="none"/>
        </w:tabs>
        <w:spacing w:before="126"/>
        <w:ind w:left="102"/>
      </w:pPr>
      <w:r>
        <w:rPr/>
        <w:t>Gráfica 7.16. Identidad sociopolítica en</w:t>
      </w:r>
      <w:r>
        <w:rPr>
          <w:spacing w:val="-10"/>
        </w:rPr>
        <w:t> </w:t>
      </w:r>
      <w:r>
        <w:rPr/>
        <w:t>la</w:t>
      </w:r>
      <w:r>
        <w:rPr>
          <w:spacing w:val="-2"/>
        </w:rPr>
        <w:t> </w:t>
      </w:r>
      <w:r>
        <w:rPr/>
        <w:t>CHPH</w:t>
        <w:tab/>
        <w:t>689</w:t>
      </w:r>
    </w:p>
    <w:p>
      <w:pPr>
        <w:pStyle w:val="BodyText"/>
        <w:tabs>
          <w:tab w:pos="8496" w:val="left" w:leader="none"/>
        </w:tabs>
        <w:spacing w:before="126"/>
        <w:ind w:left="102"/>
      </w:pPr>
      <w:r>
        <w:rPr/>
        <w:t>Gráfica 7.17. Historia económica en</w:t>
      </w:r>
      <w:r>
        <w:rPr>
          <w:spacing w:val="-10"/>
        </w:rPr>
        <w:t> </w:t>
      </w:r>
      <w:r>
        <w:rPr/>
        <w:t>la</w:t>
      </w:r>
      <w:r>
        <w:rPr>
          <w:spacing w:val="-2"/>
        </w:rPr>
        <w:t> </w:t>
      </w:r>
      <w:r>
        <w:rPr/>
        <w:t>CHPH</w:t>
        <w:tab/>
        <w:t>701</w:t>
      </w:r>
    </w:p>
    <w:p>
      <w:pPr>
        <w:pStyle w:val="BodyText"/>
        <w:tabs>
          <w:tab w:pos="8496" w:val="left" w:leader="none"/>
        </w:tabs>
        <w:spacing w:before="126"/>
        <w:ind w:left="102"/>
      </w:pPr>
      <w:r>
        <w:rPr/>
        <w:t>Gráfica 7.18. Cultura Económica en</w:t>
      </w:r>
      <w:r>
        <w:rPr>
          <w:spacing w:val="-10"/>
        </w:rPr>
        <w:t> </w:t>
      </w:r>
      <w:r>
        <w:rPr/>
        <w:t>la</w:t>
      </w:r>
      <w:r>
        <w:rPr>
          <w:spacing w:val="-1"/>
        </w:rPr>
        <w:t> </w:t>
      </w:r>
      <w:r>
        <w:rPr/>
        <w:t>CHPH</w:t>
        <w:tab/>
        <w:t>712</w:t>
      </w:r>
    </w:p>
    <w:p>
      <w:pPr>
        <w:spacing w:after="0"/>
        <w:sectPr>
          <w:pgSz w:w="12240" w:h="15840"/>
          <w:pgMar w:header="0" w:footer="1003" w:top="1360" w:bottom="1200" w:left="1600" w:right="1580"/>
        </w:sectPr>
      </w:pPr>
    </w:p>
    <w:p>
      <w:pPr>
        <w:pStyle w:val="BodyText"/>
        <w:tabs>
          <w:tab w:pos="8863" w:val="right" w:leader="none"/>
        </w:tabs>
        <w:spacing w:before="56"/>
        <w:ind w:left="102"/>
      </w:pPr>
      <w:r>
        <w:rPr/>
        <w:t>Gráfica 7.19. Democracia y voluntariedad económica en</w:t>
      </w:r>
      <w:r>
        <w:rPr>
          <w:spacing w:val="-7"/>
        </w:rPr>
        <w:t> </w:t>
      </w:r>
      <w:r>
        <w:rPr/>
        <w:t>la</w:t>
      </w:r>
      <w:r>
        <w:rPr>
          <w:spacing w:val="-1"/>
        </w:rPr>
        <w:t> </w:t>
      </w:r>
      <w:r>
        <w:rPr/>
        <w:t>CHPH</w:t>
        <w:tab/>
        <w:t>722</w:t>
      </w:r>
    </w:p>
    <w:p>
      <w:pPr>
        <w:pStyle w:val="BodyText"/>
        <w:tabs>
          <w:tab w:pos="8863" w:val="right" w:leader="none"/>
        </w:tabs>
        <w:spacing w:before="126"/>
        <w:ind w:left="102"/>
      </w:pPr>
      <w:r>
        <w:rPr/>
        <w:t>Gráfica 7.20. Participación socioeconómica en</w:t>
      </w:r>
      <w:r>
        <w:rPr>
          <w:spacing w:val="-6"/>
        </w:rPr>
        <w:t> </w:t>
      </w:r>
      <w:r>
        <w:rPr/>
        <w:t>la</w:t>
      </w:r>
      <w:r>
        <w:rPr>
          <w:spacing w:val="-3"/>
        </w:rPr>
        <w:t> </w:t>
      </w:r>
      <w:r>
        <w:rPr/>
        <w:t>CHPH</w:t>
        <w:tab/>
        <w:t>732</w:t>
      </w:r>
    </w:p>
    <w:p>
      <w:pPr>
        <w:pStyle w:val="BodyText"/>
        <w:tabs>
          <w:tab w:pos="8863" w:val="right" w:leader="none"/>
        </w:tabs>
        <w:spacing w:before="126"/>
        <w:ind w:left="102"/>
      </w:pPr>
      <w:r>
        <w:rPr/>
        <w:t>Gráfica 7.21. Relaciones intermunicipales socioeconómicas en</w:t>
      </w:r>
      <w:r>
        <w:rPr>
          <w:spacing w:val="-5"/>
        </w:rPr>
        <w:t> </w:t>
      </w:r>
      <w:r>
        <w:rPr/>
        <w:t>la</w:t>
      </w:r>
      <w:r>
        <w:rPr>
          <w:spacing w:val="-1"/>
        </w:rPr>
        <w:t> </w:t>
      </w:r>
      <w:r>
        <w:rPr/>
        <w:t>CHPH</w:t>
        <w:tab/>
        <w:t>742</w:t>
      </w:r>
    </w:p>
    <w:p>
      <w:pPr>
        <w:pStyle w:val="BodyText"/>
        <w:tabs>
          <w:tab w:pos="8863" w:val="right" w:leader="none"/>
        </w:tabs>
        <w:spacing w:before="126"/>
        <w:ind w:left="102"/>
      </w:pPr>
      <w:r>
        <w:rPr/>
        <w:t>Gráfica 7.22. Uso irracional de los recursos naturales en</w:t>
      </w:r>
      <w:r>
        <w:rPr>
          <w:spacing w:val="-6"/>
        </w:rPr>
        <w:t> </w:t>
      </w:r>
      <w:r>
        <w:rPr/>
        <w:t>la</w:t>
      </w:r>
      <w:r>
        <w:rPr>
          <w:spacing w:val="-1"/>
        </w:rPr>
        <w:t> </w:t>
      </w:r>
      <w:r>
        <w:rPr/>
        <w:t>CHPH</w:t>
        <w:tab/>
        <w:t>752</w:t>
      </w:r>
    </w:p>
    <w:p>
      <w:pPr>
        <w:pStyle w:val="Heading6"/>
        <w:spacing w:before="616"/>
        <w:ind w:left="221" w:right="239"/>
        <w:jc w:val="center"/>
      </w:pPr>
      <w:r>
        <w:rPr/>
        <w:t>ÍNDICE DE MAPAS</w:t>
      </w:r>
    </w:p>
    <w:p>
      <w:pPr>
        <w:pStyle w:val="BodyText"/>
        <w:tabs>
          <w:tab w:pos="8863" w:val="right" w:leader="none"/>
        </w:tabs>
        <w:spacing w:before="239"/>
        <w:ind w:left="102"/>
      </w:pPr>
      <w:r>
        <w:rPr/>
        <w:t>Mapa 3.1. Ruta 1</w:t>
      </w:r>
      <w:r>
        <w:rPr>
          <w:spacing w:val="-2"/>
        </w:rPr>
        <w:t> </w:t>
      </w:r>
      <w:r>
        <w:rPr/>
        <w:t>del</w:t>
      </w:r>
      <w:r>
        <w:rPr>
          <w:spacing w:val="-3"/>
        </w:rPr>
        <w:t> </w:t>
      </w:r>
      <w:r>
        <w:rPr/>
        <w:t>Transecto</w:t>
        <w:tab/>
        <w:t>116</w:t>
      </w:r>
    </w:p>
    <w:p>
      <w:pPr>
        <w:pStyle w:val="BodyText"/>
        <w:tabs>
          <w:tab w:pos="8863" w:val="right" w:leader="none"/>
        </w:tabs>
        <w:spacing w:before="126"/>
        <w:ind w:left="102"/>
      </w:pPr>
      <w:r>
        <w:rPr/>
        <w:t>Mapa 3.2. Ruta 2</w:t>
      </w:r>
      <w:r>
        <w:rPr>
          <w:spacing w:val="-1"/>
        </w:rPr>
        <w:t> </w:t>
      </w:r>
      <w:r>
        <w:rPr/>
        <w:t>del</w:t>
      </w:r>
      <w:r>
        <w:rPr>
          <w:spacing w:val="-3"/>
        </w:rPr>
        <w:t> </w:t>
      </w:r>
      <w:r>
        <w:rPr/>
        <w:t>Transecto</w:t>
        <w:tab/>
        <w:t>117</w:t>
      </w:r>
    </w:p>
    <w:p>
      <w:pPr>
        <w:pStyle w:val="BodyText"/>
        <w:tabs>
          <w:tab w:pos="8863" w:val="right" w:leader="none"/>
        </w:tabs>
        <w:spacing w:line="360" w:lineRule="auto" w:before="128"/>
        <w:ind w:left="102" w:right="194"/>
      </w:pPr>
      <w:r>
        <w:rPr/>
        <w:t>Mapa 4.1.  Localización  de  la  cuenca  de  la  presa  Huapango  en  la  región  hidrológica del Pánuco</w:t>
        <w:tab/>
        <w:t>127</w:t>
      </w:r>
    </w:p>
    <w:p>
      <w:pPr>
        <w:pStyle w:val="BodyText"/>
        <w:tabs>
          <w:tab w:pos="8863" w:val="right" w:leader="none"/>
        </w:tabs>
        <w:spacing w:before="3"/>
        <w:ind w:left="102"/>
      </w:pPr>
      <w:r>
        <w:rPr/>
        <w:t>Mapa 4.2. Cuenca  de la presa Huapango como área</w:t>
      </w:r>
      <w:r>
        <w:rPr>
          <w:spacing w:val="-9"/>
        </w:rPr>
        <w:t> </w:t>
      </w:r>
      <w:r>
        <w:rPr/>
        <w:t>de</w:t>
      </w:r>
      <w:r>
        <w:rPr>
          <w:spacing w:val="-3"/>
        </w:rPr>
        <w:t> </w:t>
      </w:r>
      <w:r>
        <w:rPr/>
        <w:t>estudio</w:t>
        <w:tab/>
        <w:t>128</w:t>
      </w:r>
    </w:p>
    <w:p>
      <w:pPr>
        <w:pStyle w:val="BodyText"/>
        <w:tabs>
          <w:tab w:pos="8863" w:val="right" w:leader="none"/>
        </w:tabs>
        <w:spacing w:before="126"/>
        <w:ind w:left="102"/>
      </w:pPr>
      <w:r>
        <w:rPr/>
        <w:t>Mapa 4.3. Cuenca Hidrosocial Presa Huapango y sus</w:t>
      </w:r>
      <w:r>
        <w:rPr>
          <w:spacing w:val="-11"/>
        </w:rPr>
        <w:t> </w:t>
      </w:r>
      <w:r>
        <w:rPr/>
        <w:t>fronteras</w:t>
      </w:r>
      <w:r>
        <w:rPr>
          <w:spacing w:val="-3"/>
        </w:rPr>
        <w:t> </w:t>
      </w:r>
      <w:r>
        <w:rPr/>
        <w:t>municipales</w:t>
        <w:tab/>
        <w:t>129</w:t>
      </w:r>
    </w:p>
    <w:p>
      <w:pPr>
        <w:pStyle w:val="BodyText"/>
        <w:spacing w:before="126"/>
        <w:ind w:left="102"/>
      </w:pPr>
      <w:r>
        <w:rPr/>
        <w:t>Mapa 6.1. Ubicación de las localidades donde se realizó el trabajo de campo en</w:t>
      </w:r>
    </w:p>
    <w:p>
      <w:pPr>
        <w:pStyle w:val="BodyText"/>
        <w:tabs>
          <w:tab w:pos="8863" w:val="right" w:leader="none"/>
        </w:tabs>
        <w:spacing w:before="126"/>
        <w:ind w:left="102"/>
      </w:pPr>
      <w:r>
        <w:rPr/>
        <w:t>la Cuenca Hidrosocial</w:t>
      </w:r>
      <w:r>
        <w:rPr>
          <w:spacing w:val="-2"/>
        </w:rPr>
        <w:t> </w:t>
      </w:r>
      <w:r>
        <w:rPr/>
        <w:t>Presa</w:t>
      </w:r>
      <w:r>
        <w:rPr>
          <w:spacing w:val="-1"/>
        </w:rPr>
        <w:t> </w:t>
      </w:r>
      <w:r>
        <w:rPr/>
        <w:t>Huapango</w:t>
      </w:r>
      <w:r>
        <w:rPr>
          <w:position w:val="-12"/>
        </w:rPr>
        <w:tab/>
        <w:t>203</w:t>
      </w:r>
    </w:p>
    <w:p>
      <w:pPr>
        <w:pStyle w:val="BodyText"/>
        <w:spacing w:before="2"/>
        <w:rPr>
          <w:sz w:val="42"/>
        </w:rPr>
      </w:pPr>
    </w:p>
    <w:p>
      <w:pPr>
        <w:pStyle w:val="Heading6"/>
        <w:spacing w:before="1"/>
        <w:ind w:left="219" w:right="239"/>
        <w:jc w:val="center"/>
      </w:pPr>
      <w:bookmarkStart w:name="_TOC_250068" w:id="6"/>
      <w:bookmarkEnd w:id="6"/>
      <w:r>
        <w:rPr/>
        <w:t>SIGLAS</w:t>
      </w:r>
    </w:p>
    <w:p>
      <w:pPr>
        <w:pStyle w:val="BodyText"/>
        <w:spacing w:before="8"/>
        <w:rPr>
          <w:b/>
          <w:sz w:val="20"/>
        </w:rPr>
      </w:pPr>
    </w:p>
    <w:p>
      <w:pPr>
        <w:pStyle w:val="BodyText"/>
        <w:tabs>
          <w:tab w:pos="1294" w:val="left" w:leader="none"/>
        </w:tabs>
        <w:spacing w:line="360" w:lineRule="auto"/>
        <w:ind w:left="102" w:right="2630"/>
      </w:pPr>
      <w:r>
        <w:rPr>
          <w:sz w:val="24"/>
        </w:rPr>
        <w:t>PNUD</w:t>
        <w:tab/>
      </w:r>
      <w:r>
        <w:rPr>
          <w:position w:val="2"/>
        </w:rPr>
        <w:t>Programa de las Naciones Unidas para</w:t>
      </w:r>
      <w:r>
        <w:rPr>
          <w:spacing w:val="-16"/>
          <w:position w:val="2"/>
        </w:rPr>
        <w:t> </w:t>
      </w:r>
      <w:r>
        <w:rPr>
          <w:position w:val="2"/>
        </w:rPr>
        <w:t>el</w:t>
      </w:r>
      <w:r>
        <w:rPr>
          <w:spacing w:val="-3"/>
          <w:position w:val="2"/>
        </w:rPr>
        <w:t> </w:t>
      </w:r>
      <w:r>
        <w:rPr>
          <w:position w:val="2"/>
        </w:rPr>
        <w:t>Desarrollo</w:t>
      </w:r>
      <w:r>
        <w:rPr>
          <w:w w:val="100"/>
          <w:position w:val="2"/>
        </w:rPr>
        <w:t> </w:t>
      </w:r>
      <w:r>
        <w:rPr/>
        <w:t>GIRH</w:t>
        <w:tab/>
        <w:t>Gestión Integrada de los Recursos</w:t>
      </w:r>
      <w:r>
        <w:rPr>
          <w:spacing w:val="-14"/>
        </w:rPr>
        <w:t> </w:t>
      </w:r>
      <w:r>
        <w:rPr/>
        <w:t>Hídricos</w:t>
      </w:r>
    </w:p>
    <w:p>
      <w:pPr>
        <w:pStyle w:val="BodyText"/>
        <w:tabs>
          <w:tab w:pos="1294" w:val="left" w:leader="none"/>
        </w:tabs>
        <w:spacing w:line="360" w:lineRule="auto" w:before="3"/>
        <w:ind w:left="102" w:right="1340" w:firstLine="108"/>
      </w:pPr>
      <w:r>
        <w:rPr/>
        <w:t>IWRM</w:t>
        <w:tab/>
        <w:t>Gestión Integrada de Recursos Hídricos (por sus siglas</w:t>
      </w:r>
      <w:r>
        <w:rPr>
          <w:spacing w:val="-13"/>
        </w:rPr>
        <w:t> </w:t>
      </w:r>
      <w:r>
        <w:rPr/>
        <w:t>en</w:t>
      </w:r>
      <w:r>
        <w:rPr>
          <w:spacing w:val="-2"/>
        </w:rPr>
        <w:t> </w:t>
      </w:r>
      <w:r>
        <w:rPr/>
        <w:t>Ingles)</w:t>
      </w:r>
      <w:r>
        <w:rPr>
          <w:w w:val="100"/>
        </w:rPr>
        <w:t> </w:t>
      </w:r>
      <w:r>
        <w:rPr/>
        <w:t>CHPH</w:t>
        <w:tab/>
        <w:t>Cuenca Hidrosocial Presa</w:t>
      </w:r>
      <w:r>
        <w:rPr>
          <w:spacing w:val="-5"/>
        </w:rPr>
        <w:t> </w:t>
      </w:r>
      <w:r>
        <w:rPr/>
        <w:t>Huapango</w:t>
      </w:r>
    </w:p>
    <w:p>
      <w:pPr>
        <w:pStyle w:val="BodyText"/>
        <w:tabs>
          <w:tab w:pos="1294" w:val="left" w:leader="none"/>
        </w:tabs>
        <w:spacing w:line="360" w:lineRule="auto" w:before="3"/>
        <w:ind w:left="1294" w:right="116" w:hanging="1193"/>
      </w:pPr>
      <w:r>
        <w:rPr/>
        <w:t>GWP</w:t>
        <w:tab/>
        <w:t>Global Water Parnertship (por sus siglas en inglés)  (Asociación </w:t>
      </w:r>
      <w:r>
        <w:rPr>
          <w:spacing w:val="1"/>
        </w:rPr>
        <w:t> </w:t>
      </w:r>
      <w:r>
        <w:rPr/>
        <w:t>Mundial</w:t>
      </w:r>
      <w:r>
        <w:rPr>
          <w:spacing w:val="7"/>
        </w:rPr>
        <w:t> </w:t>
      </w:r>
      <w:r>
        <w:rPr/>
        <w:t>para</w:t>
      </w:r>
      <w:r>
        <w:rPr>
          <w:w w:val="100"/>
        </w:rPr>
        <w:t> </w:t>
      </w:r>
      <w:r>
        <w:rPr/>
        <w:t>el</w:t>
      </w:r>
      <w:r>
        <w:rPr>
          <w:spacing w:val="-2"/>
        </w:rPr>
        <w:t> </w:t>
      </w:r>
      <w:r>
        <w:rPr/>
        <w:t>Agua)</w:t>
      </w:r>
    </w:p>
    <w:p>
      <w:pPr>
        <w:pStyle w:val="BodyText"/>
        <w:tabs>
          <w:tab w:pos="1294" w:val="left" w:leader="none"/>
        </w:tabs>
        <w:spacing w:line="362" w:lineRule="auto" w:before="3"/>
        <w:ind w:left="102" w:right="2259"/>
      </w:pPr>
      <w:r>
        <w:rPr/>
        <w:t>INEGI</w:t>
        <w:tab/>
        <w:t>Instituto Nacional de Estadística Geografía</w:t>
      </w:r>
      <w:r>
        <w:rPr>
          <w:spacing w:val="-12"/>
        </w:rPr>
        <w:t> </w:t>
      </w:r>
      <w:r>
        <w:rPr/>
        <w:t>e</w:t>
      </w:r>
      <w:r>
        <w:rPr>
          <w:spacing w:val="-3"/>
        </w:rPr>
        <w:t> </w:t>
      </w:r>
      <w:r>
        <w:rPr/>
        <w:t>Informática</w:t>
      </w:r>
      <w:r>
        <w:rPr>
          <w:w w:val="100"/>
        </w:rPr>
        <w:t> </w:t>
      </w:r>
      <w:r>
        <w:rPr/>
        <w:t>PEIR</w:t>
        <w:tab/>
        <w:t>Presión, Estado, Impacto y</w:t>
      </w:r>
      <w:r>
        <w:rPr>
          <w:spacing w:val="-9"/>
        </w:rPr>
        <w:t> </w:t>
      </w:r>
      <w:r>
        <w:rPr/>
        <w:t>Respuesta</w:t>
      </w:r>
    </w:p>
    <w:p>
      <w:pPr>
        <w:pStyle w:val="BodyText"/>
        <w:tabs>
          <w:tab w:pos="1294" w:val="left" w:leader="none"/>
        </w:tabs>
        <w:spacing w:before="1"/>
        <w:ind w:left="102"/>
      </w:pPr>
      <w:r>
        <w:rPr/>
        <w:t>FCE</w:t>
        <w:tab/>
        <w:t>Factores Críticos de</w:t>
      </w:r>
      <w:r>
        <w:rPr>
          <w:spacing w:val="-9"/>
        </w:rPr>
        <w:t> </w:t>
      </w:r>
      <w:r>
        <w:rPr/>
        <w:t>Éxito</w:t>
      </w:r>
    </w:p>
    <w:p>
      <w:pPr>
        <w:pStyle w:val="BodyText"/>
        <w:tabs>
          <w:tab w:pos="1294" w:val="left" w:leader="none"/>
        </w:tabs>
        <w:spacing w:before="126"/>
        <w:ind w:left="102"/>
      </w:pPr>
      <w:r>
        <w:rPr/>
        <w:t>ONU</w:t>
        <w:tab/>
        <w:t>Organización de las Naciones</w:t>
      </w:r>
      <w:r>
        <w:rPr>
          <w:spacing w:val="-10"/>
        </w:rPr>
        <w:t> </w:t>
      </w:r>
      <w:r>
        <w:rPr/>
        <w:t>Unidas</w:t>
      </w:r>
    </w:p>
    <w:p>
      <w:pPr>
        <w:pStyle w:val="BodyText"/>
        <w:tabs>
          <w:tab w:pos="1294" w:val="left" w:leader="none"/>
        </w:tabs>
        <w:spacing w:before="127"/>
        <w:ind w:left="1294" w:right="118" w:hanging="1193"/>
      </w:pPr>
      <w:r>
        <w:rPr/>
        <w:t>OCDE</w:t>
        <w:tab/>
        <w:t>Organización</w:t>
      </w:r>
      <w:r>
        <w:rPr>
          <w:spacing w:val="38"/>
        </w:rPr>
        <w:t> </w:t>
      </w:r>
      <w:r>
        <w:rPr/>
        <w:t>para</w:t>
      </w:r>
      <w:r>
        <w:rPr>
          <w:spacing w:val="38"/>
        </w:rPr>
        <w:t> </w:t>
      </w:r>
      <w:r>
        <w:rPr/>
        <w:t>la</w:t>
      </w:r>
      <w:r>
        <w:rPr>
          <w:spacing w:val="38"/>
        </w:rPr>
        <w:t> </w:t>
      </w:r>
      <w:r>
        <w:rPr/>
        <w:t>Cooperación</w:t>
      </w:r>
      <w:r>
        <w:rPr>
          <w:spacing w:val="38"/>
        </w:rPr>
        <w:t> </w:t>
      </w:r>
      <w:r>
        <w:rPr/>
        <w:t>y</w:t>
      </w:r>
      <w:r>
        <w:rPr>
          <w:spacing w:val="36"/>
        </w:rPr>
        <w:t> </w:t>
      </w:r>
      <w:r>
        <w:rPr/>
        <w:t>el</w:t>
      </w:r>
      <w:r>
        <w:rPr>
          <w:spacing w:val="37"/>
        </w:rPr>
        <w:t> </w:t>
      </w:r>
      <w:r>
        <w:rPr/>
        <w:t>Desarrollo</w:t>
      </w:r>
      <w:r>
        <w:rPr>
          <w:spacing w:val="38"/>
        </w:rPr>
        <w:t> </w:t>
      </w:r>
      <w:r>
        <w:rPr/>
        <w:t>Económicos</w:t>
      </w:r>
      <w:r>
        <w:rPr>
          <w:spacing w:val="42"/>
        </w:rPr>
        <w:t> </w:t>
      </w:r>
      <w:r>
        <w:rPr/>
        <w:t>(OECD,</w:t>
      </w:r>
      <w:r>
        <w:rPr>
          <w:spacing w:val="39"/>
        </w:rPr>
        <w:t> </w:t>
      </w:r>
      <w:r>
        <w:rPr/>
        <w:t>por</w:t>
      </w:r>
      <w:r>
        <w:rPr>
          <w:w w:val="100"/>
        </w:rPr>
        <w:t> </w:t>
      </w:r>
      <w:r>
        <w:rPr/>
        <w:t>sus siglas en</w:t>
      </w:r>
      <w:r>
        <w:rPr>
          <w:spacing w:val="-6"/>
        </w:rPr>
        <w:t> </w:t>
      </w:r>
      <w:r>
        <w:rPr/>
        <w:t>inglés)</w:t>
      </w:r>
    </w:p>
    <w:p>
      <w:pPr>
        <w:pStyle w:val="BodyText"/>
        <w:tabs>
          <w:tab w:pos="1294" w:val="left" w:leader="none"/>
        </w:tabs>
        <w:spacing w:line="360" w:lineRule="auto" w:before="1"/>
        <w:ind w:left="102" w:right="3345"/>
      </w:pPr>
      <w:r>
        <w:rPr/>
        <w:t>CIRA</w:t>
        <w:tab/>
        <w:t>Centro Interamericano de Recursos</w:t>
      </w:r>
      <w:r>
        <w:rPr>
          <w:spacing w:val="-7"/>
        </w:rPr>
        <w:t> </w:t>
      </w:r>
      <w:r>
        <w:rPr/>
        <w:t>del</w:t>
      </w:r>
      <w:r>
        <w:rPr>
          <w:spacing w:val="-1"/>
        </w:rPr>
        <w:t> </w:t>
      </w:r>
      <w:r>
        <w:rPr/>
        <w:t>Agua</w:t>
      </w:r>
      <w:r>
        <w:rPr>
          <w:w w:val="100"/>
        </w:rPr>
        <w:t> </w:t>
      </w:r>
      <w:r>
        <w:rPr/>
        <w:t>CAEM</w:t>
        <w:tab/>
        <w:t>Comisión del Agua del Estado de</w:t>
      </w:r>
      <w:r>
        <w:rPr>
          <w:spacing w:val="-7"/>
        </w:rPr>
        <w:t> </w:t>
      </w:r>
      <w:r>
        <w:rPr/>
        <w:t>México</w:t>
      </w:r>
    </w:p>
    <w:p>
      <w:pPr>
        <w:pStyle w:val="BodyText"/>
        <w:tabs>
          <w:tab w:pos="1294" w:val="left" w:leader="none"/>
        </w:tabs>
        <w:spacing w:before="3"/>
        <w:ind w:left="1294" w:right="120" w:hanging="1193"/>
      </w:pPr>
      <w:r>
        <w:rPr/>
        <w:t>FAO</w:t>
        <w:tab/>
      </w:r>
      <w:r>
        <w:rPr>
          <w:color w:val="212121"/>
        </w:rPr>
        <w:t>Organización  de  las Naciones  Unidas  para la  Agricultura  y</w:t>
      </w:r>
      <w:r>
        <w:rPr>
          <w:color w:val="212121"/>
          <w:spacing w:val="-25"/>
        </w:rPr>
        <w:t> </w:t>
      </w:r>
      <w:r>
        <w:rPr>
          <w:color w:val="212121"/>
        </w:rPr>
        <w:t>la</w:t>
      </w:r>
      <w:r>
        <w:rPr>
          <w:color w:val="212121"/>
          <w:spacing w:val="36"/>
        </w:rPr>
        <w:t> </w:t>
      </w:r>
      <w:r>
        <w:rPr>
          <w:color w:val="212121"/>
        </w:rPr>
        <w:t>Alimentación</w:t>
      </w:r>
      <w:r>
        <w:rPr>
          <w:color w:val="212121"/>
          <w:w w:val="100"/>
        </w:rPr>
        <w:t> </w:t>
      </w:r>
      <w:r>
        <w:rPr>
          <w:color w:val="212121"/>
        </w:rPr>
        <w:t>(por sus siglas en</w:t>
      </w:r>
      <w:r>
        <w:rPr>
          <w:color w:val="212121"/>
          <w:spacing w:val="-8"/>
        </w:rPr>
        <w:t> </w:t>
      </w:r>
      <w:r>
        <w:rPr>
          <w:color w:val="212121"/>
        </w:rPr>
        <w:t>inglés)</w:t>
      </w:r>
    </w:p>
    <w:p>
      <w:pPr>
        <w:pStyle w:val="BodyText"/>
        <w:tabs>
          <w:tab w:pos="1294" w:val="left" w:leader="none"/>
        </w:tabs>
        <w:spacing w:line="360" w:lineRule="auto" w:before="1"/>
        <w:ind w:left="102" w:right="3602"/>
      </w:pPr>
      <w:r>
        <w:rPr/>
        <w:t>IMTA</w:t>
        <w:tab/>
        <w:t>Instituto Mexicano de Tecnología</w:t>
      </w:r>
      <w:r>
        <w:rPr>
          <w:spacing w:val="-7"/>
        </w:rPr>
        <w:t> </w:t>
      </w:r>
      <w:r>
        <w:rPr/>
        <w:t>del</w:t>
      </w:r>
      <w:r>
        <w:rPr>
          <w:spacing w:val="-2"/>
        </w:rPr>
        <w:t> </w:t>
      </w:r>
      <w:r>
        <w:rPr/>
        <w:t>Agua</w:t>
      </w:r>
      <w:r>
        <w:rPr>
          <w:w w:val="100"/>
        </w:rPr>
        <w:t> </w:t>
      </w:r>
      <w:r>
        <w:rPr/>
        <w:t>CEIM</w:t>
        <w:tab/>
        <w:t>Comité Ejecutivo</w:t>
      </w:r>
      <w:r>
        <w:rPr>
          <w:spacing w:val="-12"/>
        </w:rPr>
        <w:t> </w:t>
      </w:r>
      <w:r>
        <w:rPr/>
        <w:t>Intermunicipal</w:t>
      </w:r>
    </w:p>
    <w:p>
      <w:pPr>
        <w:spacing w:after="0" w:line="360" w:lineRule="auto"/>
        <w:sectPr>
          <w:pgSz w:w="12240" w:h="15840"/>
          <w:pgMar w:header="0" w:footer="1003" w:top="1360" w:bottom="1200" w:left="1600" w:right="1580"/>
        </w:sectPr>
      </w:pPr>
    </w:p>
    <w:p>
      <w:pPr>
        <w:pStyle w:val="BodyText"/>
        <w:tabs>
          <w:tab w:pos="1294" w:val="left" w:leader="none"/>
        </w:tabs>
        <w:spacing w:line="360" w:lineRule="auto" w:before="56"/>
        <w:ind w:left="102" w:right="974"/>
      </w:pPr>
      <w:r>
        <w:rPr/>
        <w:t>IDRC</w:t>
        <w:tab/>
        <w:t>International Development Research Centre (por sus siglas</w:t>
      </w:r>
      <w:r>
        <w:rPr>
          <w:spacing w:val="-16"/>
        </w:rPr>
        <w:t> </w:t>
      </w:r>
      <w:r>
        <w:rPr/>
        <w:t>en</w:t>
      </w:r>
      <w:r>
        <w:rPr>
          <w:spacing w:val="-4"/>
        </w:rPr>
        <w:t> </w:t>
      </w:r>
      <w:r>
        <w:rPr/>
        <w:t>inglés)</w:t>
      </w:r>
      <w:r>
        <w:rPr>
          <w:w w:val="100"/>
        </w:rPr>
        <w:t> </w:t>
      </w:r>
      <w:r>
        <w:rPr/>
        <w:t>PND</w:t>
        <w:tab/>
        <w:t>Plan Nacional de</w:t>
      </w:r>
      <w:r>
        <w:rPr>
          <w:spacing w:val="-10"/>
        </w:rPr>
        <w:t> </w:t>
      </w:r>
      <w:r>
        <w:rPr/>
        <w:t>Desarrollo</w:t>
      </w:r>
    </w:p>
    <w:p>
      <w:pPr>
        <w:pStyle w:val="BodyText"/>
        <w:tabs>
          <w:tab w:pos="1294" w:val="left" w:leader="none"/>
        </w:tabs>
        <w:spacing w:line="360" w:lineRule="auto" w:before="3"/>
        <w:ind w:left="102" w:right="3175"/>
      </w:pPr>
      <w:r>
        <w:rPr/>
        <w:t>AEPA</w:t>
        <w:tab/>
        <w:t>ÁREA Estratégica de Planeación</w:t>
      </w:r>
      <w:r>
        <w:rPr>
          <w:spacing w:val="-9"/>
        </w:rPr>
        <w:t> </w:t>
      </w:r>
      <w:r>
        <w:rPr/>
        <w:t>y</w:t>
      </w:r>
      <w:r>
        <w:rPr>
          <w:spacing w:val="-4"/>
        </w:rPr>
        <w:t> </w:t>
      </w:r>
      <w:r>
        <w:rPr/>
        <w:t>Articulación</w:t>
      </w:r>
      <w:r>
        <w:rPr>
          <w:w w:val="100"/>
        </w:rPr>
        <w:t> </w:t>
      </w:r>
      <w:r>
        <w:rPr/>
        <w:t>FCE</w:t>
        <w:tab/>
        <w:t>Factores Críticos de</w:t>
      </w:r>
      <w:r>
        <w:rPr>
          <w:spacing w:val="-9"/>
        </w:rPr>
        <w:t> </w:t>
      </w:r>
      <w:r>
        <w:rPr/>
        <w:t>Éxito</w:t>
      </w:r>
    </w:p>
    <w:p>
      <w:pPr>
        <w:pStyle w:val="BodyText"/>
        <w:tabs>
          <w:tab w:pos="1294" w:val="left" w:leader="none"/>
        </w:tabs>
        <w:spacing w:line="360" w:lineRule="auto" w:before="3"/>
        <w:ind w:left="102" w:right="4632"/>
      </w:pPr>
      <w:r>
        <w:rPr/>
        <w:t>ASR</w:t>
        <w:tab/>
        <w:t>Agricultura y Sistemas</w:t>
      </w:r>
      <w:r>
        <w:rPr>
          <w:spacing w:val="-9"/>
        </w:rPr>
        <w:t> </w:t>
      </w:r>
      <w:r>
        <w:rPr/>
        <w:t>de</w:t>
      </w:r>
      <w:r>
        <w:rPr>
          <w:spacing w:val="-2"/>
        </w:rPr>
        <w:t> </w:t>
      </w:r>
      <w:r>
        <w:rPr/>
        <w:t>Riego</w:t>
      </w:r>
      <w:r>
        <w:rPr>
          <w:w w:val="100"/>
        </w:rPr>
        <w:t> </w:t>
      </w:r>
      <w:r>
        <w:rPr/>
        <w:t>DM</w:t>
        <w:tab/>
        <w:t>Desarrollo</w:t>
      </w:r>
      <w:r>
        <w:rPr>
          <w:spacing w:val="-11"/>
        </w:rPr>
        <w:t> </w:t>
      </w:r>
      <w:r>
        <w:rPr/>
        <w:t>Municipal</w:t>
      </w:r>
    </w:p>
    <w:p>
      <w:pPr>
        <w:pStyle w:val="BodyText"/>
        <w:tabs>
          <w:tab w:pos="1294" w:val="left" w:leader="none"/>
        </w:tabs>
        <w:spacing w:before="5"/>
        <w:ind w:left="102"/>
      </w:pPr>
      <w:r>
        <w:rPr/>
        <w:t>DR</w:t>
        <w:tab/>
        <w:t>Desarrollo</w:t>
      </w:r>
      <w:r>
        <w:rPr>
          <w:spacing w:val="-3"/>
        </w:rPr>
        <w:t> </w:t>
      </w:r>
      <w:r>
        <w:rPr/>
        <w:t>Rural</w:t>
      </w:r>
    </w:p>
    <w:p>
      <w:pPr>
        <w:pStyle w:val="BodyText"/>
        <w:tabs>
          <w:tab w:pos="1294" w:val="left" w:leader="none"/>
        </w:tabs>
        <w:spacing w:before="126"/>
        <w:ind w:left="102"/>
      </w:pPr>
      <w:r>
        <w:rPr/>
        <w:t>DS</w:t>
        <w:tab/>
        <w:t>Desarrollo</w:t>
      </w:r>
      <w:r>
        <w:rPr>
          <w:spacing w:val="-4"/>
        </w:rPr>
        <w:t> </w:t>
      </w:r>
      <w:r>
        <w:rPr/>
        <w:t>Social</w:t>
      </w:r>
    </w:p>
    <w:p>
      <w:pPr>
        <w:pStyle w:val="BodyText"/>
        <w:tabs>
          <w:tab w:pos="1294" w:val="left" w:leader="none"/>
        </w:tabs>
        <w:spacing w:line="360" w:lineRule="auto" w:before="126"/>
        <w:ind w:left="102" w:right="4007"/>
      </w:pPr>
      <w:r>
        <w:rPr/>
        <w:t>MARN</w:t>
        <w:tab/>
        <w:t>Medio Ambiente y</w:t>
      </w:r>
      <w:r>
        <w:rPr>
          <w:spacing w:val="-6"/>
        </w:rPr>
        <w:t> </w:t>
      </w:r>
      <w:r>
        <w:rPr/>
        <w:t>Recursos</w:t>
      </w:r>
      <w:r>
        <w:rPr>
          <w:spacing w:val="-2"/>
        </w:rPr>
        <w:t> </w:t>
      </w:r>
      <w:r>
        <w:rPr/>
        <w:t>Naturales</w:t>
      </w:r>
      <w:r>
        <w:rPr>
          <w:w w:val="100"/>
        </w:rPr>
        <w:t> </w:t>
      </w:r>
      <w:r>
        <w:rPr/>
        <w:t>RH</w:t>
        <w:tab/>
        <w:t>Recursos</w:t>
      </w:r>
      <w:r>
        <w:rPr>
          <w:spacing w:val="-3"/>
        </w:rPr>
        <w:t> </w:t>
      </w:r>
      <w:r>
        <w:rPr/>
        <w:t>Hidráulicos</w:t>
      </w:r>
    </w:p>
    <w:p>
      <w:pPr>
        <w:pStyle w:val="BodyText"/>
        <w:tabs>
          <w:tab w:pos="1294" w:val="left" w:leader="none"/>
        </w:tabs>
        <w:spacing w:before="3"/>
        <w:ind w:left="102"/>
      </w:pPr>
      <w:r>
        <w:rPr/>
        <w:t>RA</w:t>
        <w:tab/>
        <w:t>Reforma</w:t>
      </w:r>
      <w:r>
        <w:rPr>
          <w:spacing w:val="-8"/>
        </w:rPr>
        <w:t> </w:t>
      </w:r>
      <w:r>
        <w:rPr/>
        <w:t>Agraria</w:t>
      </w:r>
    </w:p>
    <w:p>
      <w:pPr>
        <w:pStyle w:val="BodyText"/>
        <w:tabs>
          <w:tab w:pos="1294" w:val="left" w:leader="none"/>
        </w:tabs>
        <w:spacing w:before="126"/>
        <w:ind w:left="102"/>
      </w:pPr>
      <w:r>
        <w:rPr/>
        <w:t>TA</w:t>
        <w:tab/>
        <w:t>Transparencia y</w:t>
      </w:r>
      <w:r>
        <w:rPr>
          <w:spacing w:val="-6"/>
        </w:rPr>
        <w:t> </w:t>
      </w:r>
      <w:r>
        <w:rPr/>
        <w:t>Anticorrupción</w:t>
      </w:r>
    </w:p>
    <w:p>
      <w:pPr>
        <w:pStyle w:val="BodyText"/>
      </w:pPr>
    </w:p>
    <w:p>
      <w:pPr>
        <w:pStyle w:val="BodyText"/>
        <w:tabs>
          <w:tab w:pos="1294" w:val="left" w:leader="none"/>
        </w:tabs>
        <w:spacing w:line="360" w:lineRule="auto"/>
        <w:ind w:left="102" w:right="5256"/>
      </w:pPr>
      <w:r>
        <w:rPr/>
        <w:t>RAN</w:t>
        <w:tab/>
        <w:t>Registro</w:t>
      </w:r>
      <w:r>
        <w:rPr>
          <w:spacing w:val="-5"/>
        </w:rPr>
        <w:t> </w:t>
      </w:r>
      <w:r>
        <w:rPr/>
        <w:t>Agrario</w:t>
      </w:r>
      <w:r>
        <w:rPr>
          <w:spacing w:val="-5"/>
        </w:rPr>
        <w:t> </w:t>
      </w:r>
      <w:r>
        <w:rPr/>
        <w:t>Nacional</w:t>
      </w:r>
      <w:r>
        <w:rPr>
          <w:w w:val="100"/>
        </w:rPr>
        <w:t> </w:t>
      </w:r>
      <w:r>
        <w:rPr/>
        <w:t>PA</w:t>
        <w:tab/>
        <w:t>Procuraduría</w:t>
      </w:r>
      <w:r>
        <w:rPr>
          <w:spacing w:val="-3"/>
        </w:rPr>
        <w:t> </w:t>
      </w:r>
      <w:r>
        <w:rPr/>
        <w:t>Agraria</w:t>
      </w:r>
    </w:p>
    <w:p>
      <w:pPr>
        <w:pStyle w:val="BodyText"/>
        <w:tabs>
          <w:tab w:pos="1294" w:val="left" w:leader="none"/>
        </w:tabs>
        <w:spacing w:before="3"/>
        <w:ind w:left="102"/>
      </w:pPr>
      <w:r>
        <w:rPr/>
        <w:t>UNAM</w:t>
        <w:tab/>
        <w:t>Universidad Nacional Autónoma de</w:t>
      </w:r>
      <w:r>
        <w:rPr>
          <w:spacing w:val="-13"/>
        </w:rPr>
        <w:t> </w:t>
      </w:r>
      <w:r>
        <w:rPr/>
        <w:t>México</w:t>
      </w:r>
    </w:p>
    <w:p>
      <w:pPr>
        <w:pStyle w:val="BodyText"/>
        <w:tabs>
          <w:tab w:pos="1294" w:val="left" w:leader="none"/>
        </w:tabs>
        <w:spacing w:line="360" w:lineRule="auto" w:before="126"/>
        <w:ind w:left="102" w:right="243"/>
      </w:pPr>
      <w:r>
        <w:rPr/>
        <w:t>CNUMAD</w:t>
        <w:tab/>
        <w:t>Conferencia de las Naciones Unidas sobre el Medio Ambiente y</w:t>
      </w:r>
      <w:r>
        <w:rPr>
          <w:spacing w:val="-18"/>
        </w:rPr>
        <w:t> </w:t>
      </w:r>
      <w:r>
        <w:rPr/>
        <w:t>el</w:t>
      </w:r>
      <w:r>
        <w:rPr>
          <w:spacing w:val="-3"/>
        </w:rPr>
        <w:t> </w:t>
      </w:r>
      <w:r>
        <w:rPr/>
        <w:t>Desarrollo</w:t>
      </w:r>
      <w:r>
        <w:rPr>
          <w:w w:val="100"/>
        </w:rPr>
        <w:t> </w:t>
      </w:r>
      <w:r>
        <w:rPr/>
        <w:t>ONG</w:t>
        <w:tab/>
        <w:t>Organización No</w:t>
      </w:r>
      <w:r>
        <w:rPr>
          <w:spacing w:val="-7"/>
        </w:rPr>
        <w:t> </w:t>
      </w:r>
      <w:r>
        <w:rPr/>
        <w:t>Gubernamental</w:t>
      </w:r>
    </w:p>
    <w:p>
      <w:pPr>
        <w:pStyle w:val="BodyText"/>
        <w:tabs>
          <w:tab w:pos="1294" w:val="left" w:leader="none"/>
        </w:tabs>
        <w:spacing w:before="3"/>
        <w:ind w:left="102"/>
      </w:pPr>
      <w:r>
        <w:rPr/>
        <w:t>DHI</w:t>
        <w:tab/>
        <w:t>Desarrollo Humano</w:t>
      </w:r>
      <w:r>
        <w:rPr>
          <w:spacing w:val="-9"/>
        </w:rPr>
        <w:t> </w:t>
      </w:r>
      <w:r>
        <w:rPr/>
        <w:t>Integral</w:t>
      </w:r>
    </w:p>
    <w:p>
      <w:pPr>
        <w:pStyle w:val="BodyText"/>
        <w:tabs>
          <w:tab w:pos="1294" w:val="left" w:leader="none"/>
        </w:tabs>
        <w:spacing w:line="360" w:lineRule="auto" w:before="129"/>
        <w:ind w:left="102" w:right="207"/>
      </w:pPr>
      <w:r>
        <w:rPr/>
        <w:t>CNUMAD</w:t>
        <w:tab/>
        <w:t>Conferencia de las Naciones Unidas Sobre el Medio Ambiente y</w:t>
      </w:r>
      <w:r>
        <w:rPr>
          <w:spacing w:val="-19"/>
        </w:rPr>
        <w:t> </w:t>
      </w:r>
      <w:r>
        <w:rPr/>
        <w:t>el</w:t>
      </w:r>
      <w:r>
        <w:rPr>
          <w:spacing w:val="-3"/>
        </w:rPr>
        <w:t> </w:t>
      </w:r>
      <w:r>
        <w:rPr/>
        <w:t>Desarrollo</w:t>
      </w:r>
      <w:r>
        <w:rPr>
          <w:w w:val="100"/>
        </w:rPr>
        <w:t> </w:t>
      </w:r>
      <w:r>
        <w:rPr/>
        <w:t>CICEANA</w:t>
        <w:tab/>
        <w:t>Centro de Información y Comunicación Ambiental de Norte</w:t>
      </w:r>
      <w:r>
        <w:rPr>
          <w:spacing w:val="-15"/>
        </w:rPr>
        <w:t> </w:t>
      </w:r>
      <w:r>
        <w:rPr/>
        <w:t>América</w:t>
      </w:r>
    </w:p>
    <w:p>
      <w:pPr>
        <w:pStyle w:val="BodyText"/>
        <w:tabs>
          <w:tab w:pos="1294" w:val="left" w:leader="none"/>
        </w:tabs>
        <w:spacing w:before="3"/>
        <w:ind w:left="102"/>
      </w:pPr>
      <w:r>
        <w:rPr/>
        <w:t>CNA</w:t>
        <w:tab/>
        <w:t>Comisión Nacional del</w:t>
      </w:r>
      <w:r>
        <w:rPr>
          <w:spacing w:val="-3"/>
        </w:rPr>
        <w:t> </w:t>
      </w:r>
      <w:r>
        <w:rPr/>
        <w:t>Agua</w:t>
      </w:r>
    </w:p>
    <w:p>
      <w:pPr>
        <w:pStyle w:val="BodyText"/>
        <w:tabs>
          <w:tab w:pos="1294" w:val="left" w:leader="none"/>
        </w:tabs>
        <w:spacing w:line="360" w:lineRule="auto" w:before="126"/>
        <w:ind w:left="102" w:right="2160"/>
      </w:pPr>
      <w:r>
        <w:rPr/>
        <w:t>ACAAN</w:t>
        <w:tab/>
        <w:t>Acuerdo de Cooperación Ambiental de América</w:t>
      </w:r>
      <w:r>
        <w:rPr>
          <w:spacing w:val="-11"/>
        </w:rPr>
        <w:t> </w:t>
      </w:r>
      <w:r>
        <w:rPr/>
        <w:t>del</w:t>
      </w:r>
      <w:r>
        <w:rPr>
          <w:spacing w:val="-2"/>
        </w:rPr>
        <w:t> </w:t>
      </w:r>
      <w:r>
        <w:rPr/>
        <w:t>Norte</w:t>
      </w:r>
      <w:r>
        <w:rPr>
          <w:w w:val="100"/>
        </w:rPr>
        <w:t> </w:t>
      </w:r>
      <w:r>
        <w:rPr/>
        <w:t>LAN</w:t>
        <w:tab/>
        <w:t>Ley de Aguas</w:t>
      </w:r>
      <w:r>
        <w:rPr>
          <w:spacing w:val="-6"/>
        </w:rPr>
        <w:t> </w:t>
      </w:r>
      <w:r>
        <w:rPr/>
        <w:t>Nacionales</w:t>
      </w:r>
    </w:p>
    <w:p>
      <w:pPr>
        <w:pStyle w:val="BodyText"/>
        <w:tabs>
          <w:tab w:pos="1294" w:val="left" w:leader="none"/>
        </w:tabs>
        <w:spacing w:before="3"/>
        <w:ind w:left="102"/>
      </w:pPr>
      <w:r>
        <w:rPr/>
        <w:t>VS</w:t>
        <w:tab/>
        <w:t>Vínculos en el</w:t>
      </w:r>
      <w:r>
        <w:rPr>
          <w:spacing w:val="-4"/>
        </w:rPr>
        <w:t> </w:t>
      </w:r>
      <w:r>
        <w:rPr/>
        <w:t>Sistema</w:t>
      </w:r>
    </w:p>
    <w:p>
      <w:pPr>
        <w:pStyle w:val="BodyText"/>
        <w:tabs>
          <w:tab w:pos="1294" w:val="left" w:leader="none"/>
        </w:tabs>
        <w:spacing w:before="126"/>
        <w:ind w:left="102"/>
      </w:pPr>
      <w:r>
        <w:rPr/>
        <w:t>JS</w:t>
        <w:tab/>
        <w:t>Jerarquía en el</w:t>
      </w:r>
      <w:r>
        <w:rPr>
          <w:spacing w:val="-6"/>
        </w:rPr>
        <w:t> </w:t>
      </w:r>
      <w:r>
        <w:rPr/>
        <w:t>Sistema</w:t>
      </w:r>
    </w:p>
    <w:p>
      <w:pPr>
        <w:pStyle w:val="BodyText"/>
        <w:tabs>
          <w:tab w:pos="1294" w:val="left" w:leader="none"/>
        </w:tabs>
        <w:spacing w:before="126"/>
        <w:ind w:left="102"/>
      </w:pPr>
      <w:r>
        <w:rPr>
          <w:spacing w:val="2"/>
        </w:rPr>
        <w:t>WS</w:t>
        <w:tab/>
      </w:r>
      <w:r>
        <w:rPr/>
        <w:t>Peso</w:t>
      </w:r>
      <w:r>
        <w:rPr>
          <w:spacing w:val="-1"/>
        </w:rPr>
        <w:t> </w:t>
      </w:r>
      <w:r>
        <w:rPr/>
        <w:t>Específico</w:t>
      </w:r>
    </w:p>
    <w:p>
      <w:pPr>
        <w:pStyle w:val="BodyText"/>
        <w:tabs>
          <w:tab w:pos="1294" w:val="left" w:leader="none"/>
        </w:tabs>
        <w:spacing w:before="126"/>
        <w:ind w:left="102"/>
      </w:pPr>
      <w:r>
        <w:rPr/>
        <w:t>VA</w:t>
        <w:tab/>
        <w:t>Vínculos en la</w:t>
      </w:r>
      <w:r>
        <w:rPr>
          <w:spacing w:val="-3"/>
        </w:rPr>
        <w:t> </w:t>
      </w:r>
      <w:r>
        <w:rPr/>
        <w:t>AEPA</w:t>
      </w:r>
    </w:p>
    <w:p>
      <w:pPr>
        <w:pStyle w:val="BodyText"/>
        <w:tabs>
          <w:tab w:pos="1294" w:val="left" w:leader="none"/>
        </w:tabs>
        <w:spacing w:before="129"/>
        <w:ind w:left="102"/>
      </w:pPr>
      <w:r>
        <w:rPr/>
        <w:t>JA</w:t>
        <w:tab/>
        <w:t>Jerarquía en la</w:t>
      </w:r>
      <w:r>
        <w:rPr>
          <w:spacing w:val="-5"/>
        </w:rPr>
        <w:t> </w:t>
      </w:r>
      <w:r>
        <w:rPr/>
        <w:t>AEPA</w:t>
      </w:r>
    </w:p>
    <w:p>
      <w:pPr>
        <w:pStyle w:val="BodyText"/>
        <w:tabs>
          <w:tab w:pos="1294" w:val="left" w:leader="none"/>
        </w:tabs>
        <w:spacing w:before="126"/>
        <w:ind w:left="102"/>
      </w:pPr>
      <w:r>
        <w:rPr>
          <w:spacing w:val="2"/>
        </w:rPr>
        <w:t>WA</w:t>
        <w:tab/>
      </w:r>
      <w:r>
        <w:rPr/>
        <w:t>Peso en la</w:t>
      </w:r>
      <w:r>
        <w:rPr>
          <w:spacing w:val="-1"/>
        </w:rPr>
        <w:t> </w:t>
      </w:r>
      <w:r>
        <w:rPr/>
        <w:t>AEPA</w:t>
      </w:r>
    </w:p>
    <w:p>
      <w:pPr>
        <w:spacing w:after="0"/>
        <w:sectPr>
          <w:pgSz w:w="12240" w:h="15840"/>
          <w:pgMar w:header="0" w:footer="1003" w:top="1360" w:bottom="1200" w:left="1600" w:right="1580"/>
        </w:sectPr>
      </w:pPr>
    </w:p>
    <w:p>
      <w:pPr>
        <w:pStyle w:val="Heading6"/>
        <w:spacing w:before="53"/>
        <w:ind w:left="3819" w:right="4092"/>
        <w:jc w:val="center"/>
      </w:pPr>
      <w:bookmarkStart w:name="_TOC_250067" w:id="7"/>
      <w:bookmarkEnd w:id="7"/>
      <w:r>
        <w:rPr/>
        <w:t>ACRÓNIMOS</w:t>
      </w:r>
    </w:p>
    <w:p>
      <w:pPr>
        <w:pStyle w:val="BodyText"/>
        <w:spacing w:before="8"/>
        <w:rPr>
          <w:b/>
          <w:sz w:val="20"/>
        </w:rPr>
      </w:pPr>
    </w:p>
    <w:p>
      <w:pPr>
        <w:pStyle w:val="BodyText"/>
        <w:tabs>
          <w:tab w:pos="1431" w:val="left" w:leader="none"/>
        </w:tabs>
        <w:ind w:left="102"/>
      </w:pPr>
      <w:r>
        <w:rPr>
          <w:sz w:val="24"/>
        </w:rPr>
        <w:t>Inafed</w:t>
        <w:tab/>
      </w:r>
      <w:r>
        <w:rPr>
          <w:position w:val="2"/>
        </w:rPr>
        <w:t>Instituto Nacional para el Federalismo y el Desarrollo</w:t>
      </w:r>
      <w:r>
        <w:rPr>
          <w:spacing w:val="-22"/>
          <w:position w:val="2"/>
        </w:rPr>
        <w:t> </w:t>
      </w:r>
      <w:r>
        <w:rPr>
          <w:position w:val="2"/>
        </w:rPr>
        <w:t>Municipal</w:t>
      </w:r>
    </w:p>
    <w:p>
      <w:pPr>
        <w:pStyle w:val="Heading5"/>
        <w:tabs>
          <w:tab w:pos="1431" w:val="left" w:leader="none"/>
        </w:tabs>
        <w:spacing w:before="138"/>
        <w:rPr>
          <w:u w:val="none"/>
        </w:rPr>
      </w:pPr>
      <w:r>
        <w:rPr>
          <w:position w:val="2"/>
          <w:sz w:val="22"/>
          <w:u w:val="none"/>
        </w:rPr>
        <w:t>Procede</w:t>
        <w:tab/>
      </w:r>
      <w:r>
        <w:rPr>
          <w:u w:val="none"/>
        </w:rPr>
        <w:t>Programa de Certificación de Derechos Ejidales y Titulación de</w:t>
      </w:r>
      <w:r>
        <w:rPr>
          <w:spacing w:val="-21"/>
          <w:u w:val="none"/>
        </w:rPr>
        <w:t> </w:t>
      </w:r>
      <w:r>
        <w:rPr>
          <w:u w:val="none"/>
        </w:rPr>
        <w:t>Solares</w:t>
      </w:r>
    </w:p>
    <w:p>
      <w:pPr>
        <w:pStyle w:val="BodyText"/>
        <w:tabs>
          <w:tab w:pos="1431" w:val="left" w:leader="none"/>
        </w:tabs>
        <w:spacing w:before="136"/>
        <w:ind w:left="102"/>
      </w:pPr>
      <w:r>
        <w:rPr/>
        <w:t>Conagua</w:t>
        <w:tab/>
        <w:t>Comisión Nacional del</w:t>
      </w:r>
      <w:r>
        <w:rPr>
          <w:spacing w:val="-3"/>
        </w:rPr>
        <w:t> </w:t>
      </w:r>
      <w:r>
        <w:rPr/>
        <w:t>Agua</w:t>
      </w:r>
    </w:p>
    <w:p>
      <w:pPr>
        <w:pStyle w:val="BodyText"/>
        <w:tabs>
          <w:tab w:pos="1431" w:val="left" w:leader="none"/>
        </w:tabs>
        <w:spacing w:line="362" w:lineRule="auto" w:before="126"/>
        <w:ind w:left="102" w:right="3742"/>
      </w:pPr>
      <w:r>
        <w:rPr/>
        <w:t>Cemda</w:t>
        <w:tab/>
        <w:t>Centro Mexicano de</w:t>
      </w:r>
      <w:r>
        <w:rPr>
          <w:spacing w:val="-4"/>
        </w:rPr>
        <w:t> </w:t>
      </w:r>
      <w:r>
        <w:rPr/>
        <w:t>Derecho</w:t>
      </w:r>
      <w:r>
        <w:rPr>
          <w:spacing w:val="-2"/>
        </w:rPr>
        <w:t> </w:t>
      </w:r>
      <w:r>
        <w:rPr/>
        <w:t>Ambiental</w:t>
      </w:r>
      <w:r>
        <w:rPr>
          <w:w w:val="100"/>
        </w:rPr>
        <w:t> </w:t>
      </w:r>
      <w:r>
        <w:rPr/>
        <w:t>Conacyt</w:t>
        <w:tab/>
        <w:t>Consejo Nacional de Ciencia y</w:t>
      </w:r>
      <w:r>
        <w:rPr>
          <w:spacing w:val="-13"/>
        </w:rPr>
        <w:t> </w:t>
      </w:r>
      <w:r>
        <w:rPr/>
        <w:t>Tecnología</w:t>
      </w:r>
    </w:p>
    <w:p>
      <w:pPr>
        <w:pStyle w:val="BodyText"/>
        <w:tabs>
          <w:tab w:pos="1431" w:val="left" w:leader="none"/>
        </w:tabs>
        <w:spacing w:before="1"/>
        <w:ind w:left="102"/>
      </w:pPr>
      <w:r>
        <w:rPr/>
        <w:t>Semarnat</w:t>
        <w:tab/>
        <w:t>Secretaria del Medio Ambiente y Recursos</w:t>
      </w:r>
      <w:r>
        <w:rPr>
          <w:spacing w:val="-14"/>
        </w:rPr>
        <w:t> </w:t>
      </w:r>
      <w:r>
        <w:rPr/>
        <w:t>Naturales</w:t>
      </w:r>
    </w:p>
    <w:p>
      <w:pPr>
        <w:pStyle w:val="BodyText"/>
        <w:tabs>
          <w:tab w:pos="1431" w:val="left" w:leader="none"/>
        </w:tabs>
        <w:spacing w:before="126"/>
        <w:ind w:left="1431" w:right="107" w:hanging="1330"/>
      </w:pPr>
      <w:r>
        <w:rPr/>
        <w:t>Cap-Net</w:t>
        <w:tab/>
        <w:t>Red Internacional para el Desarrollo de Capacidades en Gestión  </w:t>
      </w:r>
      <w:r>
        <w:rPr>
          <w:spacing w:val="23"/>
        </w:rPr>
        <w:t> </w:t>
      </w:r>
      <w:r>
        <w:rPr/>
        <w:t>Integrada</w:t>
      </w:r>
      <w:r>
        <w:rPr>
          <w:spacing w:val="17"/>
        </w:rPr>
        <w:t> </w:t>
      </w:r>
      <w:r>
        <w:rPr/>
        <w:t>de</w:t>
      </w:r>
      <w:r>
        <w:rPr>
          <w:w w:val="100"/>
        </w:rPr>
        <w:t> </w:t>
      </w:r>
      <w:r>
        <w:rPr/>
        <w:t>los Recursos Hídricos (Por sus siglas en</w:t>
      </w:r>
      <w:r>
        <w:rPr>
          <w:spacing w:val="-11"/>
        </w:rPr>
        <w:t> </w:t>
      </w:r>
      <w:r>
        <w:rPr/>
        <w:t>inglés)</w:t>
      </w:r>
    </w:p>
    <w:p>
      <w:pPr>
        <w:pStyle w:val="BodyText"/>
        <w:tabs>
          <w:tab w:pos="1431" w:val="left" w:leader="none"/>
          <w:tab w:pos="1553" w:val="left" w:leader="none"/>
        </w:tabs>
        <w:spacing w:line="360" w:lineRule="auto" w:before="1"/>
        <w:ind w:left="102" w:right="232"/>
      </w:pPr>
      <w:r>
        <w:rPr/>
        <w:t>Sagarpa</w:t>
        <w:tab/>
        <w:tab/>
        <w:t>Secretaría de Agricultura, Ganadería, Desarrollo Rural, Pesca</w:t>
      </w:r>
      <w:r>
        <w:rPr>
          <w:spacing w:val="-17"/>
        </w:rPr>
        <w:t> </w:t>
      </w:r>
      <w:r>
        <w:rPr/>
        <w:t>y</w:t>
      </w:r>
      <w:r>
        <w:rPr>
          <w:spacing w:val="-5"/>
        </w:rPr>
        <w:t> </w:t>
      </w:r>
      <w:r>
        <w:rPr/>
        <w:t>Alimentación</w:t>
      </w:r>
      <w:r>
        <w:rPr>
          <w:w w:val="100"/>
        </w:rPr>
        <w:t> </w:t>
      </w:r>
      <w:r>
        <w:rPr/>
        <w:t>Conapesca</w:t>
        <w:tab/>
        <w:t>Comisión Nacional de Acuacultura y</w:t>
      </w:r>
      <w:r>
        <w:rPr>
          <w:spacing w:val="-9"/>
        </w:rPr>
        <w:t> </w:t>
      </w:r>
      <w:r>
        <w:rPr/>
        <w:t>Pesca</w:t>
      </w:r>
    </w:p>
    <w:p>
      <w:pPr>
        <w:pStyle w:val="BodyText"/>
        <w:tabs>
          <w:tab w:pos="1431" w:val="left" w:leader="none"/>
        </w:tabs>
        <w:spacing w:before="3"/>
        <w:ind w:left="102"/>
      </w:pPr>
      <w:r>
        <w:rPr/>
        <w:t>Procampo</w:t>
        <w:tab/>
        <w:t>Programa de Apoyos Directos al</w:t>
      </w:r>
      <w:r>
        <w:rPr>
          <w:spacing w:val="-5"/>
        </w:rPr>
        <w:t> </w:t>
      </w:r>
      <w:r>
        <w:rPr/>
        <w:t>Campo</w:t>
      </w:r>
    </w:p>
    <w:p>
      <w:pPr>
        <w:pStyle w:val="BodyText"/>
        <w:tabs>
          <w:tab w:pos="1431" w:val="left" w:leader="none"/>
        </w:tabs>
        <w:spacing w:line="360" w:lineRule="auto" w:before="126"/>
        <w:ind w:left="102" w:right="2727"/>
      </w:pPr>
      <w:r>
        <w:rPr/>
        <w:t>Sedatu</w:t>
        <w:tab/>
        <w:t>Secretaría de Desarrollo Agrario, Territorial</w:t>
      </w:r>
      <w:r>
        <w:rPr>
          <w:spacing w:val="-14"/>
        </w:rPr>
        <w:t> </w:t>
      </w:r>
      <w:r>
        <w:rPr/>
        <w:t>y</w:t>
      </w:r>
      <w:r>
        <w:rPr>
          <w:spacing w:val="-4"/>
        </w:rPr>
        <w:t> </w:t>
      </w:r>
      <w:r>
        <w:rPr/>
        <w:t>Urbano</w:t>
      </w:r>
      <w:r>
        <w:rPr>
          <w:w w:val="100"/>
        </w:rPr>
        <w:t> </w:t>
      </w:r>
      <w:r>
        <w:rPr/>
        <w:t>Sedagro</w:t>
        <w:tab/>
        <w:t>Secretaría de Desarrollo</w:t>
      </w:r>
      <w:r>
        <w:rPr>
          <w:spacing w:val="-12"/>
        </w:rPr>
        <w:t> </w:t>
      </w:r>
      <w:r>
        <w:rPr/>
        <w:t>Agropecuario</w:t>
      </w:r>
    </w:p>
    <w:p>
      <w:pPr>
        <w:pStyle w:val="BodyText"/>
        <w:tabs>
          <w:tab w:pos="1431" w:val="left" w:leader="none"/>
        </w:tabs>
        <w:spacing w:before="3"/>
        <w:ind w:left="102"/>
      </w:pPr>
      <w:r>
        <w:rPr/>
        <w:t>Caps</w:t>
        <w:tab/>
        <w:t>Comités de Agua</w:t>
      </w:r>
      <w:r>
        <w:rPr>
          <w:spacing w:val="-5"/>
        </w:rPr>
        <w:t> </w:t>
      </w:r>
      <w:r>
        <w:rPr/>
        <w:t>Potable</w:t>
      </w:r>
    </w:p>
    <w:p>
      <w:pPr>
        <w:pStyle w:val="BodyText"/>
        <w:tabs>
          <w:tab w:pos="1431" w:val="left" w:leader="none"/>
        </w:tabs>
        <w:spacing w:before="126"/>
        <w:ind w:left="102"/>
      </w:pPr>
      <w:r>
        <w:rPr/>
        <w:t>Cemda</w:t>
        <w:tab/>
        <w:t>Centro Mexicano de Derecho</w:t>
      </w:r>
      <w:r>
        <w:rPr>
          <w:spacing w:val="-5"/>
        </w:rPr>
        <w:t> </w:t>
      </w:r>
      <w:r>
        <w:rPr/>
        <w:t>Ambiental</w:t>
      </w:r>
    </w:p>
    <w:p>
      <w:pPr>
        <w:spacing w:after="0"/>
        <w:sectPr>
          <w:pgSz w:w="12240" w:h="15840"/>
          <w:pgMar w:header="0" w:footer="1003" w:top="1360" w:bottom="1200" w:left="160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1"/>
        <w:spacing w:before="44"/>
        <w:ind w:left="2689"/>
      </w:pPr>
      <w:bookmarkStart w:name="_TOC_250066" w:id="8"/>
      <w:bookmarkEnd w:id="8"/>
      <w:r>
        <w:rPr/>
        <w:t>INTRODUCCIÓN</w:t>
      </w:r>
    </w:p>
    <w:p>
      <w:pPr>
        <w:spacing w:after="0"/>
        <w:sectPr>
          <w:footerReference w:type="default" r:id="rId11"/>
          <w:pgSz w:w="12240" w:h="15840"/>
          <w:pgMar w:footer="1003" w:header="0" w:top="1500" w:bottom="1200" w:left="1720" w:right="1580"/>
        </w:sectPr>
      </w:pPr>
    </w:p>
    <w:p>
      <w:pPr>
        <w:pStyle w:val="Heading6"/>
        <w:spacing w:before="53"/>
        <w:jc w:val="both"/>
      </w:pPr>
      <w:r>
        <w:rPr/>
        <w:t>INTRODUCCIÓN</w:t>
      </w:r>
    </w:p>
    <w:p>
      <w:pPr>
        <w:pStyle w:val="BodyText"/>
        <w:spacing w:before="9"/>
        <w:rPr>
          <w:b/>
          <w:sz w:val="20"/>
        </w:rPr>
      </w:pPr>
    </w:p>
    <w:p>
      <w:pPr>
        <w:pStyle w:val="BodyText"/>
        <w:spacing w:line="360" w:lineRule="auto"/>
        <w:ind w:left="102" w:right="117"/>
        <w:jc w:val="both"/>
      </w:pPr>
      <w:r>
        <w:rPr/>
        <w:t>El agua es un recurso vital que se halla presente en todas las actividades cotidianas del ser humano. Por lo tanto, su gestión debe ser un tema prioritario para garantizar la seguridad hídrica y promover el desarrollo de las regiones.</w:t>
      </w:r>
    </w:p>
    <w:p>
      <w:pPr>
        <w:pStyle w:val="BodyText"/>
        <w:spacing w:before="7"/>
        <w:rPr>
          <w:sz w:val="17"/>
        </w:rPr>
      </w:pPr>
    </w:p>
    <w:p>
      <w:pPr>
        <w:pStyle w:val="BodyText"/>
        <w:spacing w:line="360" w:lineRule="auto"/>
        <w:ind w:left="102" w:right="112"/>
        <w:jc w:val="both"/>
      </w:pPr>
      <w:r>
        <w:rPr/>
        <w:t>Toda vez, que en muchas regiones del mundo, la disponibilidad de agua, tanto en cantidad como en calidad, se está viendo gravemente afectada por la variabilidad y el cambio climático, con más o menos precipitaciones según las diferentes regiones y una mayor frecuencia de fenómenos atmosféricos extremos. También, la demanda se ve incrementada como resultado del crecimiento de la población y otros cambios demográficos (en particular, la urbanización) y la expansión agrícola e industrial que resultan de la modificación de los patrones de consumo y de producción. Como consecuencia, algunas regiones se encuentran ahora mismo en un permanente estado de niveles de demanda superados, de estrés hídrico y de falta de integridad (ONU-agua, 2008).</w:t>
      </w:r>
    </w:p>
    <w:p>
      <w:pPr>
        <w:pStyle w:val="BodyText"/>
        <w:spacing w:before="9"/>
        <w:rPr>
          <w:sz w:val="17"/>
        </w:rPr>
      </w:pPr>
    </w:p>
    <w:p>
      <w:pPr>
        <w:pStyle w:val="BodyText"/>
        <w:spacing w:line="360" w:lineRule="auto"/>
        <w:ind w:left="102" w:right="112"/>
        <w:jc w:val="both"/>
      </w:pPr>
      <w:r>
        <w:rPr/>
        <w:t>Por ello, el hacer frente a los desafíos del futuro en materia del agua plantea no sólo el cuestionamiento de qué hacer, sino también quién hace qué y por qué, a qué nivel y el cómo. Las respuestas de política sólo serán viables si son coherentes, los actores están acoplados correctamente, los marcos regulatorios vigentes están bien diseñados, se dispone de información adecuada y accesible, y existe suficiente capacidad, integridad y transparencia.</w:t>
      </w:r>
    </w:p>
    <w:p>
      <w:pPr>
        <w:pStyle w:val="BodyText"/>
        <w:spacing w:before="9"/>
        <w:rPr>
          <w:sz w:val="17"/>
        </w:rPr>
      </w:pPr>
    </w:p>
    <w:p>
      <w:pPr>
        <w:pStyle w:val="BodyText"/>
        <w:spacing w:line="360" w:lineRule="auto"/>
        <w:ind w:left="102" w:right="117"/>
        <w:jc w:val="both"/>
      </w:pPr>
      <w:r>
        <w:rPr/>
        <w:t>Por lo que, no existe una solución universal para los desafíos del agua alrededor del mundo, sino más bien un conjunto de opciones basadas en la diversidad de los sistemas legales, administrativos y organizacionales entre países y dentro de éstos (OCDE, 2015).</w:t>
      </w:r>
    </w:p>
    <w:p>
      <w:pPr>
        <w:pStyle w:val="BodyText"/>
        <w:spacing w:before="7"/>
        <w:rPr>
          <w:sz w:val="17"/>
        </w:rPr>
      </w:pPr>
    </w:p>
    <w:p>
      <w:pPr>
        <w:pStyle w:val="BodyText"/>
        <w:spacing w:line="360" w:lineRule="auto"/>
        <w:ind w:left="102" w:right="114"/>
        <w:jc w:val="both"/>
      </w:pPr>
      <w:r>
        <w:rPr/>
        <w:t>En este sentido, las políticas del agua deben adaptarse a los diferentes recursos hídricos y especificidades territoriales, ya que en la mayoría de casos las fronteras hidrológicas y los perímetros administrativos no coinciden con las estructuras históricas de interrelación hídrica entre actores. Por lo que, las respuestas a la problemática del agua deben estar encaminadas a favorecer el desarrollo regional, la salud, el medio ambiente, la agricultura, la energía, la planificación espacial y la mitigación de la pobreza mediante el análisis de los problemas sociohídricos a nivel local y regional en un contexto nacional e  internacional.</w:t>
      </w:r>
    </w:p>
    <w:p>
      <w:pPr>
        <w:spacing w:after="0" w:line="360" w:lineRule="auto"/>
        <w:jc w:val="both"/>
        <w:sectPr>
          <w:footerReference w:type="default" r:id="rId12"/>
          <w:pgSz w:w="12240" w:h="15840"/>
          <w:pgMar w:footer="1003" w:header="0" w:top="1360" w:bottom="1200" w:left="1600" w:right="1580"/>
          <w:pgNumType w:start="21"/>
        </w:sectPr>
      </w:pPr>
    </w:p>
    <w:p>
      <w:pPr>
        <w:pStyle w:val="BodyText"/>
        <w:spacing w:line="360" w:lineRule="auto" w:before="56"/>
        <w:ind w:left="122" w:right="112"/>
        <w:jc w:val="both"/>
      </w:pPr>
      <w:r>
        <w:rPr/>
        <w:t>En consecuencia, el presente tema de investigación, surge de la percepción de los problemas sociohídricos detectados durante mis estudios de maestría en Ciencias Sociales con Especialidad en Desarrollo Municipal en el Colegio Mexiquense A. </w:t>
      </w:r>
      <w:r>
        <w:rPr>
          <w:spacing w:val="-2"/>
        </w:rPr>
        <w:t>C., </w:t>
      </w:r>
      <w:r>
        <w:rPr/>
        <w:t>cuando la lectura de </w:t>
      </w:r>
      <w:r>
        <w:rPr>
          <w:i/>
        </w:rPr>
        <w:t>La Tragedia de los Comunes </w:t>
      </w:r>
      <w:r>
        <w:rPr/>
        <w:t>(Hardin, 1968), </w:t>
      </w:r>
      <w:r>
        <w:rPr>
          <w:i/>
        </w:rPr>
        <w:t>El Gobierno de los </w:t>
      </w:r>
      <w:r>
        <w:rPr>
          <w:i/>
        </w:rPr>
        <w:t>Bienes Comunes </w:t>
      </w:r>
      <w:r>
        <w:rPr/>
        <w:t>(Ostrom, 2000); </w:t>
      </w:r>
      <w:r>
        <w:rPr>
          <w:i/>
        </w:rPr>
        <w:t>La lógica de la Acción Colectiva </w:t>
      </w:r>
      <w:r>
        <w:rPr/>
        <w:t>(Olson,1965) y </w:t>
      </w:r>
      <w:r>
        <w:rPr>
          <w:i/>
        </w:rPr>
        <w:t>La </w:t>
      </w:r>
      <w:r>
        <w:rPr>
          <w:i/>
        </w:rPr>
        <w:t>evolución de la cooperación </w:t>
      </w:r>
      <w:r>
        <w:rPr/>
        <w:t>de (Axerold,1984), entre otros, permitieron percibir de mejor manera la realidad (Kuhn, 1972), ya que al hacerlo desde la perspectiva histórica, permitió una visión del presente y del</w:t>
      </w:r>
      <w:r>
        <w:rPr>
          <w:spacing w:val="53"/>
        </w:rPr>
        <w:t> </w:t>
      </w:r>
      <w:r>
        <w:rPr/>
        <w:t>futuro.</w:t>
      </w:r>
    </w:p>
    <w:p>
      <w:pPr>
        <w:pStyle w:val="BodyText"/>
        <w:spacing w:before="7"/>
        <w:rPr>
          <w:sz w:val="17"/>
        </w:rPr>
      </w:pPr>
    </w:p>
    <w:p>
      <w:pPr>
        <w:pStyle w:val="BodyText"/>
        <w:spacing w:line="360" w:lineRule="auto"/>
        <w:ind w:left="122" w:right="113"/>
        <w:jc w:val="both"/>
      </w:pPr>
      <w:r>
        <w:rPr/>
        <w:t>Fue así, que surgió en mí la preocupación del deterioro, la pérdida y sobreexplotación de los recursos naturales, ya que el detrimento de dichos recursos pude asociarlo con la pobreza que se vive en muchas regiones del país; lo que me permitió identificar una amplia posibilidad de desarrollo cuando los recursos naturales, como el agua, se cuidan y se usan racionalmente. Además, pude detectar la heterogeneidad de las regiones para atender su problemática individual y no tratar de dar una solución homogénea a los problemas que se han ido generando a través de la historia de forma particular en cada región del país.</w:t>
      </w:r>
    </w:p>
    <w:p>
      <w:pPr>
        <w:pStyle w:val="BodyText"/>
        <w:spacing w:before="7"/>
        <w:rPr>
          <w:sz w:val="17"/>
        </w:rPr>
      </w:pPr>
    </w:p>
    <w:p>
      <w:pPr>
        <w:pStyle w:val="BodyText"/>
        <w:spacing w:line="360" w:lineRule="auto"/>
        <w:ind w:left="122" w:right="113"/>
        <w:jc w:val="both"/>
      </w:pPr>
      <w:r>
        <w:rPr/>
        <w:t>En este sentido, se identificó un caso de estudio regional con problemas sociohídricos: la problemática de la laguna de Huapango</w:t>
      </w:r>
      <w:r>
        <w:rPr>
          <w:position w:val="8"/>
          <w:sz w:val="14"/>
        </w:rPr>
        <w:t>1</w:t>
      </w:r>
      <w:r>
        <w:rPr/>
        <w:t>, por lo que se comenzó a formular el proyecto de investigación con miras a proponer una coordinación entre los pobladores de los cinco municipios que comparten la presa Huapango (Acambay, Aculco, Jilotepec, Polotitlán y Timilpan) para ayudar a la solución de los problemas sociohídricos de dicho cuerpo de agua, mediante la pregunta: ¿Cuáles son los problemas y las redes entre actores sociales de un cuerpo de agua compartido que debemos identificar a través de la GIRH para proponer un Comité Intermunicipal con su Reglamento con base en la gobernanza y la gobernabilidad?</w:t>
      </w:r>
    </w:p>
    <w:p>
      <w:pPr>
        <w:pStyle w:val="BodyText"/>
        <w:spacing w:before="9"/>
        <w:rPr>
          <w:sz w:val="17"/>
        </w:rPr>
      </w:pPr>
    </w:p>
    <w:p>
      <w:pPr>
        <w:pStyle w:val="BodyText"/>
        <w:spacing w:line="360" w:lineRule="auto"/>
        <w:ind w:left="122" w:right="112"/>
        <w:jc w:val="both"/>
      </w:pPr>
      <w:r>
        <w:rPr/>
        <w:pict>
          <v:line style="position:absolute;mso-position-horizontal-relative:page;mso-position-vertical-relative:paragraph;z-index:1168;mso-wrap-distance-left:0;mso-wrap-distance-right:0" from="85.103996pt,117.503853pt" to="229.123996pt,117.503853pt" stroked="true" strokeweight=".72003pt" strokecolor="#000000">
            <w10:wrap type="topAndBottom"/>
          </v:line>
        </w:pict>
      </w:r>
      <w:r>
        <w:rPr/>
        <w:t>Dicha pregunta, se pudo responder en el Programa de Ciencias del Agua del Centro Interamericano de Recursos del Agua (CIRA), en la línea de Gestión Integrada de los Recursos Hídricos, bajo el cuidado de mis tutores, donde se comenzó esta tesis de investigación. Desarrollada principalmente con base en el Neoevolucionismo cultural que ha sido una de las bases teóricas que más se han utilizado en los últimos treinta años  para explicar la diversidad de</w:t>
      </w:r>
      <w:r>
        <w:rPr>
          <w:spacing w:val="-11"/>
        </w:rPr>
        <w:t> </w:t>
      </w:r>
      <w:r>
        <w:rPr/>
        <w:t>culturas.</w:t>
      </w:r>
    </w:p>
    <w:p>
      <w:pPr>
        <w:spacing w:line="229" w:lineRule="exact" w:before="71"/>
        <w:ind w:left="122" w:right="0" w:firstLine="0"/>
        <w:jc w:val="left"/>
        <w:rPr>
          <w:sz w:val="20"/>
        </w:rPr>
      </w:pPr>
      <w:r>
        <w:rPr>
          <w:position w:val="6"/>
          <w:sz w:val="13"/>
        </w:rPr>
        <w:t>1</w:t>
      </w:r>
      <w:r>
        <w:rPr>
          <w:sz w:val="20"/>
        </w:rPr>
        <w:t>Utilizo el término “laguna de Huapango” para hacer referencia a la “presa Huapango”, ya que</w:t>
      </w:r>
    </w:p>
    <w:p>
      <w:pPr>
        <w:spacing w:line="229" w:lineRule="exact" w:before="0"/>
        <w:ind w:left="122" w:right="0" w:firstLine="0"/>
        <w:jc w:val="left"/>
        <w:rPr>
          <w:sz w:val="20"/>
        </w:rPr>
      </w:pPr>
      <w:r>
        <w:rPr>
          <w:sz w:val="20"/>
        </w:rPr>
        <w:t>todos los pobladores de la región la conocemos con ese nombre.</w:t>
      </w:r>
    </w:p>
    <w:p>
      <w:pPr>
        <w:spacing w:after="0" w:line="229" w:lineRule="exact"/>
        <w:jc w:val="left"/>
        <w:rPr>
          <w:sz w:val="20"/>
        </w:rPr>
        <w:sectPr>
          <w:pgSz w:w="12240" w:h="15840"/>
          <w:pgMar w:header="0" w:footer="1003" w:top="1360" w:bottom="1200" w:left="1580" w:right="1580"/>
        </w:sectPr>
      </w:pPr>
    </w:p>
    <w:p>
      <w:pPr>
        <w:pStyle w:val="BodyText"/>
        <w:rPr>
          <w:sz w:val="20"/>
        </w:rPr>
      </w:pPr>
    </w:p>
    <w:p>
      <w:pPr>
        <w:pStyle w:val="BodyText"/>
        <w:spacing w:before="8"/>
        <w:rPr>
          <w:sz w:val="16"/>
        </w:rPr>
      </w:pPr>
    </w:p>
    <w:p>
      <w:pPr>
        <w:pStyle w:val="BodyText"/>
        <w:spacing w:line="360" w:lineRule="auto" w:before="73"/>
        <w:ind w:left="102" w:right="112"/>
        <w:jc w:val="both"/>
      </w:pPr>
      <w:r>
        <w:rPr/>
        <w:t>En este sentido, se identificaron algunos trabajos importantes que deben ser  considerados en nuestro país para efectos de la presente investigación, como son los de Ángel Palerm, que destacan la importancia de la planificación como herramienta de introducción a la Gestión Integrada de los Recursos Hídricos (GIRH); dichos aportes se encuentran en los documentos que dictó y escribió entre 1950 y 1980, reunidos y compilados por Carmen Viqueira en el texto denominado </w:t>
      </w:r>
      <w:r>
        <w:rPr>
          <w:i/>
        </w:rPr>
        <w:t>Planificación Regional y  </w:t>
      </w:r>
      <w:r>
        <w:rPr>
          <w:i/>
        </w:rPr>
        <w:t>Reforma Agraria </w:t>
      </w:r>
      <w:r>
        <w:rPr/>
        <w:t>(1993). Es por ello, que en la presente investigación se pretende contribuir en el enfoque metodológico de GIRH local y regional para México, añadiendo las observaciones del Planificador y antropólogo Ángel Palerm, el cual da los pasos para mejorar la autogestión (Romero, </w:t>
      </w:r>
      <w:r>
        <w:rPr>
          <w:i/>
        </w:rPr>
        <w:t>et.al., </w:t>
      </w:r>
      <w:r>
        <w:rPr/>
        <w:t>2012). En este sentido, Palerm (1972; citado en Romero, </w:t>
      </w:r>
      <w:r>
        <w:rPr>
          <w:i/>
        </w:rPr>
        <w:t>et al. </w:t>
      </w:r>
      <w:r>
        <w:rPr/>
        <w:t>2012), identifica que los recursos disponibles de todo tipo, no pueden ser planeados y evaluados, más que dentro del contexto</w:t>
      </w:r>
      <w:r>
        <w:rPr>
          <w:spacing w:val="-12"/>
        </w:rPr>
        <w:t> </w:t>
      </w:r>
      <w:r>
        <w:rPr/>
        <w:t>nacional.</w:t>
      </w:r>
    </w:p>
    <w:p>
      <w:pPr>
        <w:pStyle w:val="BodyText"/>
        <w:spacing w:before="7"/>
        <w:rPr>
          <w:sz w:val="17"/>
        </w:rPr>
      </w:pPr>
    </w:p>
    <w:p>
      <w:pPr>
        <w:pStyle w:val="BodyText"/>
        <w:spacing w:line="360" w:lineRule="auto"/>
        <w:ind w:left="102" w:right="112"/>
        <w:jc w:val="both"/>
      </w:pPr>
      <w:r>
        <w:rPr/>
        <w:t>Por lo que, dentro de una coyuntura nacional, en México se identificaron más de 4, 462 presas; 667 de ellas están consideradas como grandes, por su capacidad de almacenamiento (Conagua, 2009), pero destacan 100 como más importantes en el país, dentro de éstas últimas se encuentra la presa Huapango para el caso del Estado de México (INEGI, 2010).</w:t>
      </w:r>
    </w:p>
    <w:p>
      <w:pPr>
        <w:pStyle w:val="BodyText"/>
        <w:spacing w:before="9"/>
        <w:rPr>
          <w:sz w:val="17"/>
        </w:rPr>
      </w:pPr>
    </w:p>
    <w:p>
      <w:pPr>
        <w:pStyle w:val="BodyText"/>
        <w:spacing w:line="360" w:lineRule="auto"/>
        <w:ind w:left="102" w:right="112"/>
        <w:jc w:val="both"/>
      </w:pPr>
      <w:r>
        <w:rPr/>
        <w:t>Dicha laguna o presa Huapango, es uno de los cuerpos de agua más importantes del Estado de México, ya que por su longitud es compartida por cinco municipios (Acambay, Aculco, Jilotepec, Polotitlán y Timilpan), por lo que debe ser atendida desde un enfoque  de Gestión Integrada de los Recursos Hídricos (GIRH) de intermunicipalidad, ya que  como lo mencionan (Arnoletto, 2010; Hernández, 2003; Florentino, 2004), “el objetivo central de las relaciones intermunicipales es lograr una vinculación y gestión efectiva del municipio con los otros municipios de su área de influencia, para favorecer la realización de objetivos regionales por medio de la</w:t>
      </w:r>
      <w:r>
        <w:rPr>
          <w:spacing w:val="-18"/>
        </w:rPr>
        <w:t> </w:t>
      </w:r>
      <w:r>
        <w:rPr/>
        <w:t>colaboración”.</w:t>
      </w:r>
    </w:p>
    <w:p>
      <w:pPr>
        <w:pStyle w:val="BodyText"/>
        <w:spacing w:before="7"/>
        <w:rPr>
          <w:sz w:val="17"/>
        </w:rPr>
      </w:pPr>
    </w:p>
    <w:p>
      <w:pPr>
        <w:pStyle w:val="BodyText"/>
        <w:spacing w:line="360" w:lineRule="auto"/>
        <w:ind w:left="102" w:right="112"/>
        <w:jc w:val="both"/>
      </w:pPr>
      <w:r>
        <w:rPr/>
        <w:t>La presa Huapango data de la época novohispana y su construcción fue financiada con los fondos de los religiosos y realizada aproximadamente durante los años de 1785-1788 en el antiguo lago de la sábana de Huapango, dicha presa es la más grande en extensión del Estado de México, ya que cuenta con una longitud de aproximadamente 22 km y un ancho de 3.5 km y la parte más angosta oscila entre 70 y 120 m de longitud, su cortina es de 110 m (H. Ayuntamiento de Aculco, 2009 e Inafed,</w:t>
      </w:r>
      <w:r>
        <w:rPr>
          <w:spacing w:val="-12"/>
        </w:rPr>
        <w:t> </w:t>
      </w:r>
      <w:r>
        <w:rPr/>
        <w:t>2013).</w:t>
      </w:r>
    </w:p>
    <w:p>
      <w:pPr>
        <w:spacing w:after="0" w:line="360" w:lineRule="auto"/>
        <w:jc w:val="both"/>
        <w:sectPr>
          <w:pgSz w:w="12240" w:h="15840"/>
          <w:pgMar w:header="0" w:footer="1003" w:top="1500" w:bottom="1200" w:left="1600" w:right="1580"/>
        </w:sectPr>
      </w:pPr>
    </w:p>
    <w:p>
      <w:pPr>
        <w:pStyle w:val="BodyText"/>
        <w:spacing w:line="360" w:lineRule="auto" w:before="51"/>
        <w:ind w:left="102" w:right="114"/>
        <w:jc w:val="both"/>
      </w:pPr>
      <w:r>
        <w:rPr/>
        <w:t>Además, tiene una capacidad de 121,300 millones de m</w:t>
      </w:r>
      <w:r>
        <w:rPr>
          <w:position w:val="8"/>
          <w:sz w:val="14"/>
        </w:rPr>
        <w:t>3 </w:t>
      </w:r>
      <w:r>
        <w:rPr/>
        <w:t>y un almacenamiento de 37,859 millones de m</w:t>
      </w:r>
      <w:r>
        <w:rPr>
          <w:position w:val="8"/>
          <w:sz w:val="14"/>
        </w:rPr>
        <w:t>3</w:t>
      </w:r>
      <w:r>
        <w:rPr/>
        <w:t>, se encuentra dentro de la cuenca del río Pánuco, que es una de las regiones hidrográficas más importantes del país, situada en cuarto lugar en la República Mexicana (INEGI, 2010), por lo que teóricamente se optó por la percepción de los problemas desde el punto de vista de los pobladores de la región y de algunos trabajos que anteceden a esta investigación, donde se detectaron una serie de problemas ambientales, sociales, económicos y políticos:</w:t>
      </w:r>
    </w:p>
    <w:p>
      <w:pPr>
        <w:pStyle w:val="BodyText"/>
        <w:spacing w:before="4"/>
        <w:rPr>
          <w:sz w:val="17"/>
        </w:rPr>
      </w:pPr>
    </w:p>
    <w:p>
      <w:pPr>
        <w:pStyle w:val="Heading6"/>
        <w:numPr>
          <w:ilvl w:val="0"/>
          <w:numId w:val="16"/>
        </w:numPr>
        <w:tabs>
          <w:tab w:pos="362" w:val="left" w:leader="none"/>
        </w:tabs>
        <w:spacing w:line="240" w:lineRule="auto" w:before="0" w:after="0"/>
        <w:ind w:left="361" w:right="0" w:hanging="259"/>
        <w:jc w:val="both"/>
      </w:pPr>
      <w:r>
        <w:rPr/>
        <w:t>Problemas</w:t>
      </w:r>
      <w:r>
        <w:rPr>
          <w:spacing w:val="-5"/>
        </w:rPr>
        <w:t> </w:t>
      </w:r>
      <w:r>
        <w:rPr/>
        <w:t>ambientales</w:t>
      </w:r>
    </w:p>
    <w:p>
      <w:pPr>
        <w:pStyle w:val="BodyText"/>
        <w:spacing w:before="6"/>
        <w:rPr>
          <w:b/>
          <w:sz w:val="28"/>
        </w:rPr>
      </w:pPr>
    </w:p>
    <w:p>
      <w:pPr>
        <w:pStyle w:val="BodyText"/>
        <w:spacing w:line="360" w:lineRule="auto"/>
        <w:ind w:left="102" w:right="112"/>
        <w:jc w:val="both"/>
      </w:pPr>
      <w:r>
        <w:rPr/>
        <w:t>Se detectaron descargas de aguas residuales en el embalse Huapango, siendo la más perjudicial la ubicada en la comunidad de Zaragoza, Timilpan, allí se recolecta el 100% de la descarga de comunidades aledañas para tratarse, sin embargo, la planta de tratamiento no se encuentra operando y las descargas las vierten al embalse sin un tratamiento previo. Se identificó que en los lugares donde existe el servicio de drenaje, las descargas son vertidas en los ríos que desembocan en las presas de Cofradía, el Molino, San Antonio y Huapango. Los ríos y arroyos son los conductores de la mayor parte de los desagües de las comunidades. Para el caso del municipio de Timilpan, el volumen de descargas es en promedio 150 lts/persona/día. (H. Ayuntamiento de Timilpan, 2009). La tala actual de los bosques que circundan la Cuenca de la presa Huapango, está provocando erosión y azolve en el cuerpo de agua. Se detectó un proceso de disminución de especies nativas en la presa: ajolote </w:t>
      </w:r>
      <w:r>
        <w:rPr>
          <w:i/>
        </w:rPr>
        <w:t>(Ambystoma granulosum)</w:t>
      </w:r>
      <w:r>
        <w:rPr/>
        <w:t>, charal </w:t>
      </w:r>
      <w:r>
        <w:rPr>
          <w:i/>
        </w:rPr>
        <w:t>(Girardinichthys </w:t>
      </w:r>
      <w:r>
        <w:rPr>
          <w:i/>
        </w:rPr>
        <w:t>multiradiatus)</w:t>
      </w:r>
      <w:r>
        <w:rPr/>
        <w:t>, acocil </w:t>
      </w:r>
      <w:r>
        <w:rPr>
          <w:i/>
        </w:rPr>
        <w:t>(Cambarellus montezumae), </w:t>
      </w:r>
      <w:r>
        <w:rPr/>
        <w:t>rana y renacuajo </w:t>
      </w:r>
      <w:r>
        <w:rPr>
          <w:i/>
        </w:rPr>
        <w:t>(Pelophylax); </w:t>
      </w:r>
      <w:r>
        <w:rPr/>
        <w:t>Han reintroducido nuevas especies que están deteriorando el cuerpo de agua: carpa. Los agostaderos en las orillas de la laguna para el ganado se encuentran en franco agotamiento por sobrepastoreo y por el lirio acuático. A esto se suma la contaminación  por ruido de la autopista Arco Norte (CAEM, 2002; H. Ayuntamiento de Timilpan, 2009; H. Ayuntamiento de Aculco, 2009; Estrada </w:t>
      </w:r>
      <w:r>
        <w:rPr>
          <w:i/>
        </w:rPr>
        <w:t>et al., </w:t>
      </w:r>
      <w:r>
        <w:rPr/>
        <w:t>2011; García,</w:t>
      </w:r>
      <w:r>
        <w:rPr>
          <w:spacing w:val="-14"/>
        </w:rPr>
        <w:t> </w:t>
      </w:r>
      <w:r>
        <w:rPr/>
        <w:t>2013).</w:t>
      </w:r>
    </w:p>
    <w:p>
      <w:pPr>
        <w:pStyle w:val="BodyText"/>
        <w:spacing w:before="7"/>
        <w:rPr>
          <w:sz w:val="17"/>
        </w:rPr>
      </w:pPr>
    </w:p>
    <w:p>
      <w:pPr>
        <w:pStyle w:val="Heading6"/>
        <w:numPr>
          <w:ilvl w:val="0"/>
          <w:numId w:val="16"/>
        </w:numPr>
        <w:tabs>
          <w:tab w:pos="373" w:val="left" w:leader="none"/>
        </w:tabs>
        <w:spacing w:line="240" w:lineRule="auto" w:before="0" w:after="0"/>
        <w:ind w:left="373" w:right="0" w:hanging="271"/>
        <w:jc w:val="both"/>
      </w:pPr>
      <w:r>
        <w:rPr/>
        <w:t>Problemas</w:t>
      </w:r>
      <w:r>
        <w:rPr>
          <w:spacing w:val="-3"/>
        </w:rPr>
        <w:t> </w:t>
      </w:r>
      <w:r>
        <w:rPr/>
        <w:t>sociales</w:t>
      </w:r>
    </w:p>
    <w:p>
      <w:pPr>
        <w:pStyle w:val="BodyText"/>
        <w:spacing w:before="5"/>
        <w:rPr>
          <w:b/>
          <w:sz w:val="28"/>
        </w:rPr>
      </w:pPr>
    </w:p>
    <w:p>
      <w:pPr>
        <w:pStyle w:val="BodyText"/>
        <w:spacing w:line="360" w:lineRule="auto" w:before="1"/>
        <w:ind w:left="102" w:right="114"/>
        <w:jc w:val="both"/>
      </w:pPr>
      <w:r>
        <w:rPr/>
        <w:t>Existe extracción sin límites fijos de peces por parte de los pescadores y población ribereña, invadiendo y traspasando los límites municipales en la presa; también existe una extracción del agua en grandes volúmenes ligada al aumento per cápita para los animales y la agricultura; el abatimiento de los recursos naturales ligados al agua, se sospecha que ha provocado emigración de la población. Finalmente, esta pérdida natural se traduce   en</w:t>
      </w:r>
    </w:p>
    <w:p>
      <w:pPr>
        <w:spacing w:after="0" w:line="360" w:lineRule="auto"/>
        <w:jc w:val="both"/>
        <w:sectPr>
          <w:pgSz w:w="12240" w:h="15840"/>
          <w:pgMar w:header="0" w:footer="1003" w:top="1360" w:bottom="1200" w:left="1600" w:right="1580"/>
        </w:sectPr>
      </w:pPr>
    </w:p>
    <w:p>
      <w:pPr>
        <w:pStyle w:val="BodyText"/>
        <w:spacing w:line="360" w:lineRule="auto" w:before="56"/>
        <w:ind w:left="122" w:right="117"/>
        <w:jc w:val="both"/>
      </w:pPr>
      <w:r>
        <w:rPr/>
        <w:t>un deterioro de la alimentación tradicional lacustre y sus consecuencias en la población directamente beneficiada de la presa, además se empiezan a tener problemas de salud  en la zona aledaña a la presa por la inserción de contaminantes al cuerpo de agua  (INEGI, 2010; García,</w:t>
      </w:r>
      <w:r>
        <w:rPr>
          <w:spacing w:val="-11"/>
        </w:rPr>
        <w:t> </w:t>
      </w:r>
      <w:r>
        <w:rPr/>
        <w:t>2013).</w:t>
      </w:r>
    </w:p>
    <w:p>
      <w:pPr>
        <w:pStyle w:val="BodyText"/>
        <w:spacing w:before="7"/>
        <w:rPr>
          <w:sz w:val="17"/>
        </w:rPr>
      </w:pPr>
    </w:p>
    <w:p>
      <w:pPr>
        <w:pStyle w:val="Heading6"/>
        <w:numPr>
          <w:ilvl w:val="0"/>
          <w:numId w:val="16"/>
        </w:numPr>
        <w:tabs>
          <w:tab w:pos="382" w:val="left" w:leader="none"/>
        </w:tabs>
        <w:spacing w:line="240" w:lineRule="auto" w:before="0" w:after="0"/>
        <w:ind w:left="381" w:right="0" w:hanging="259"/>
        <w:jc w:val="both"/>
      </w:pPr>
      <w:r>
        <w:rPr/>
        <w:t>Problemas</w:t>
      </w:r>
      <w:r>
        <w:rPr>
          <w:spacing w:val="-8"/>
        </w:rPr>
        <w:t> </w:t>
      </w:r>
      <w:r>
        <w:rPr/>
        <w:t>económicos</w:t>
      </w:r>
    </w:p>
    <w:p>
      <w:pPr>
        <w:pStyle w:val="BodyText"/>
        <w:spacing w:before="5"/>
        <w:rPr>
          <w:b/>
          <w:sz w:val="28"/>
        </w:rPr>
      </w:pPr>
    </w:p>
    <w:p>
      <w:pPr>
        <w:pStyle w:val="BodyText"/>
        <w:spacing w:line="360" w:lineRule="auto" w:before="1"/>
        <w:ind w:left="122" w:right="114"/>
        <w:jc w:val="both"/>
      </w:pPr>
      <w:r>
        <w:rPr/>
        <w:t>Los municipios reportan cambios de uso de suelo ribereño a habitacional; existen fugas  de agua en la cortina de la presa por falta de mantenimiento (en Aculco), lo cual abate el nivel de la presa más rápidamente; hay un deterioro económico de la agricultura con riego por la homologación de los precios con los internacionales; la sobrepesca ha elevado los precios de las especies nativas capturadas; falta organización del potencial turístico de la zona; se reporta abigeato entre municipios; hay una distribución inequitativa del agua  entre municipios, Aculco y Polotitlán (aguas abajo) acaparan el mayor gasto de agua para el ganado (riego de alfalfa y agua para los animales), lo que provoca conflictos con los municipios de Acambay, Jilotepec y Timilpan (aguas arriba), ya que éstos últimos no tienen derecho a usar el agua para riego (CAEM, 2002; H. Ayuntamiento de Timilpan, 2009; García,</w:t>
      </w:r>
      <w:r>
        <w:rPr>
          <w:spacing w:val="-5"/>
        </w:rPr>
        <w:t> </w:t>
      </w:r>
      <w:r>
        <w:rPr/>
        <w:t>2013).</w:t>
      </w:r>
    </w:p>
    <w:p>
      <w:pPr>
        <w:pStyle w:val="BodyText"/>
        <w:spacing w:before="7"/>
        <w:rPr>
          <w:sz w:val="17"/>
        </w:rPr>
      </w:pPr>
    </w:p>
    <w:p>
      <w:pPr>
        <w:pStyle w:val="Heading6"/>
        <w:numPr>
          <w:ilvl w:val="0"/>
          <w:numId w:val="16"/>
        </w:numPr>
        <w:tabs>
          <w:tab w:pos="393" w:val="left" w:leader="none"/>
        </w:tabs>
        <w:spacing w:line="240" w:lineRule="auto" w:before="0" w:after="0"/>
        <w:ind w:left="393" w:right="0" w:hanging="271"/>
        <w:jc w:val="both"/>
      </w:pPr>
      <w:r>
        <w:rPr/>
        <w:t>Problemas</w:t>
      </w:r>
      <w:r>
        <w:rPr>
          <w:spacing w:val="-6"/>
        </w:rPr>
        <w:t> </w:t>
      </w:r>
      <w:r>
        <w:rPr/>
        <w:t>políticos</w:t>
      </w:r>
    </w:p>
    <w:p>
      <w:pPr>
        <w:pStyle w:val="BodyText"/>
        <w:spacing w:before="6"/>
        <w:rPr>
          <w:b/>
          <w:sz w:val="28"/>
        </w:rPr>
      </w:pPr>
    </w:p>
    <w:p>
      <w:pPr>
        <w:pStyle w:val="BodyText"/>
        <w:spacing w:line="360" w:lineRule="auto"/>
        <w:ind w:left="122" w:right="115"/>
        <w:jc w:val="both"/>
      </w:pPr>
      <w:r>
        <w:rPr/>
        <w:t>Se detectaron problemas intermunicipales sobre los límites lagunares de la presa Huapango, ya que el territorio que ocupa el cuerpo de agua pertenece en su mayoría a los ejidos del municipio de Timilpan y una menor parte a los ejidos del municipio de Acambay, sin embargo, dichos municipios no tienen derecho a el agua para riego porque carecen de la concesión federal para hacerlo; hay conflicto por el aprovechamiento pesquero del embalse, ya que no todos los municipios siembran peces, pero sí hacen uso del cuerpo  de agua para pescar; por el azolve se generan problemas de invasión de tierras de cultivo en los municipios de aguas arriba (Acambay, Jilotepec y Timilpan) debido al incremento  de los niveles del agua en temporadas de lluvia, dichas tierras, en algunos casos, fueron restadas a los ejidos con el Programa de Certificación de Derechos Ejidales y Titulación de</w:t>
      </w:r>
      <w:r>
        <w:rPr>
          <w:spacing w:val="24"/>
        </w:rPr>
        <w:t> </w:t>
      </w:r>
      <w:r>
        <w:rPr/>
        <w:t>Solares</w:t>
      </w:r>
      <w:r>
        <w:rPr>
          <w:spacing w:val="23"/>
        </w:rPr>
        <w:t> </w:t>
      </w:r>
      <w:r>
        <w:rPr/>
        <w:t>(Procede)</w:t>
      </w:r>
      <w:r>
        <w:rPr>
          <w:position w:val="8"/>
          <w:sz w:val="14"/>
        </w:rPr>
        <w:t>2 </w:t>
      </w:r>
      <w:r>
        <w:rPr>
          <w:spacing w:val="9"/>
          <w:position w:val="8"/>
          <w:sz w:val="14"/>
        </w:rPr>
        <w:t> </w:t>
      </w:r>
      <w:r>
        <w:rPr/>
        <w:t>y</w:t>
      </w:r>
      <w:r>
        <w:rPr>
          <w:spacing w:val="20"/>
        </w:rPr>
        <w:t> </w:t>
      </w:r>
      <w:r>
        <w:rPr/>
        <w:t>ninguna</w:t>
      </w:r>
      <w:r>
        <w:rPr>
          <w:spacing w:val="25"/>
        </w:rPr>
        <w:t> </w:t>
      </w:r>
      <w:r>
        <w:rPr/>
        <w:t>institución</w:t>
      </w:r>
      <w:r>
        <w:rPr>
          <w:spacing w:val="19"/>
        </w:rPr>
        <w:t> </w:t>
      </w:r>
      <w:r>
        <w:rPr/>
        <w:t>gubernamental</w:t>
      </w:r>
      <w:r>
        <w:rPr>
          <w:spacing w:val="24"/>
        </w:rPr>
        <w:t> </w:t>
      </w:r>
      <w:r>
        <w:rPr/>
        <w:t>se</w:t>
      </w:r>
      <w:r>
        <w:rPr>
          <w:spacing w:val="22"/>
        </w:rPr>
        <w:t> </w:t>
      </w:r>
      <w:r>
        <w:rPr/>
        <w:t>hace</w:t>
      </w:r>
      <w:r>
        <w:rPr>
          <w:spacing w:val="22"/>
        </w:rPr>
        <w:t> </w:t>
      </w:r>
      <w:r>
        <w:rPr/>
        <w:t>responsable</w:t>
      </w:r>
      <w:r>
        <w:rPr>
          <w:spacing w:val="25"/>
        </w:rPr>
        <w:t> </w:t>
      </w:r>
      <w:r>
        <w:rPr/>
        <w:t>por</w:t>
      </w:r>
      <w:r>
        <w:rPr>
          <w:spacing w:val="23"/>
        </w:rPr>
        <w:t> </w:t>
      </w:r>
      <w:r>
        <w:rPr/>
        <w:t>los</w:t>
      </w:r>
    </w:p>
    <w:p>
      <w:pPr>
        <w:pStyle w:val="BodyText"/>
        <w:spacing w:before="7"/>
      </w:pPr>
      <w:r>
        <w:rPr/>
        <w:pict>
          <v:line style="position:absolute;mso-position-horizontal-relative:page;mso-position-vertical-relative:paragraph;z-index:1192;mso-wrap-distance-left:0;mso-wrap-distance-right:0" from="85.103996pt,15.33497pt" to="229.123996pt,15.33497pt" stroked="true" strokeweight=".71997pt" strokecolor="#000000">
            <w10:wrap type="topAndBottom"/>
          </v:line>
        </w:pict>
      </w:r>
    </w:p>
    <w:p>
      <w:pPr>
        <w:spacing w:line="242" w:lineRule="auto" w:before="69"/>
        <w:ind w:left="122" w:right="124" w:firstLine="0"/>
        <w:jc w:val="both"/>
        <w:rPr>
          <w:sz w:val="20"/>
        </w:rPr>
      </w:pPr>
      <w:r>
        <w:rPr>
          <w:rFonts w:ascii="Calibri" w:hAnsi="Calibri"/>
          <w:position w:val="7"/>
          <w:sz w:val="13"/>
        </w:rPr>
        <w:t>2 </w:t>
      </w:r>
      <w:r>
        <w:rPr>
          <w:sz w:val="20"/>
        </w:rPr>
        <w:t>El </w:t>
      </w:r>
      <w:r>
        <w:rPr>
          <w:i/>
          <w:sz w:val="20"/>
        </w:rPr>
        <w:t>Procede </w:t>
      </w:r>
      <w:r>
        <w:rPr>
          <w:sz w:val="20"/>
        </w:rPr>
        <w:t>fue puesto en marcha a finales de 1992 con el objetivo de dar certidumbre jurídica a la tenencia de la tierra a través de la entrega de certificados parcelarios y/o certificados de derechos de uso común, o ambos según sea el caso, así como de los títulos de solares en favor de los individuos con derechos que integran los núcleos agrarios que así lo aprueben y soliciten (Secretaría de la Reforma Agraria y Registro Agrario Nacional, 2003).</w:t>
      </w:r>
    </w:p>
    <w:p>
      <w:pPr>
        <w:spacing w:after="0" w:line="242" w:lineRule="auto"/>
        <w:jc w:val="both"/>
        <w:rPr>
          <w:sz w:val="20"/>
        </w:rPr>
        <w:sectPr>
          <w:pgSz w:w="12240" w:h="15840"/>
          <w:pgMar w:header="0" w:footer="1003" w:top="1360" w:bottom="1200" w:left="1580" w:right="1580"/>
        </w:sectPr>
      </w:pPr>
    </w:p>
    <w:p>
      <w:pPr>
        <w:pStyle w:val="BodyText"/>
        <w:spacing w:line="360" w:lineRule="auto" w:before="56"/>
        <w:ind w:left="102" w:right="115"/>
        <w:jc w:val="both"/>
      </w:pPr>
      <w:r>
        <w:rPr/>
        <w:t>daños ocasionados a los cultivos; los gobiernos municipales se encuentran limitados por la ley formal, artículo 115 de la Constitución Política de los Estados Unidos Mexicanos, para agruparse intermunicipalmente y atender sus problemas medioambientales  comunes, por lo que los actores sociales se encuentran preocupados por el deterioro de  la presa y están dispuestos a agruparse intermunicipalmente mediante el derecho consuetudinario (usos y costumbres) para atender sus problemas ambientales, sociales, económicos y políticos de la presa Huapango. (García,</w:t>
      </w:r>
      <w:r>
        <w:rPr>
          <w:spacing w:val="-15"/>
        </w:rPr>
        <w:t> </w:t>
      </w:r>
      <w:r>
        <w:rPr/>
        <w:t>2013).</w:t>
      </w:r>
    </w:p>
    <w:p>
      <w:pPr>
        <w:pStyle w:val="BodyText"/>
        <w:spacing w:before="7"/>
        <w:rPr>
          <w:sz w:val="17"/>
        </w:rPr>
      </w:pPr>
    </w:p>
    <w:p>
      <w:pPr>
        <w:pStyle w:val="BodyText"/>
        <w:spacing w:line="360" w:lineRule="auto"/>
        <w:ind w:left="102" w:right="112"/>
        <w:jc w:val="both"/>
      </w:pPr>
      <w:r>
        <w:rPr/>
        <w:t>La identificación de los problemas ambientales, sociales, económicos y políticos comunes entre los municipios que comparten la presa Huapango, permitió detectar que la solución de éstos no puede ser encontrada de forma aislada o por municipio, por lo que es indispensable tratarla a través de la GIRH y de esta forma coordinar los esfuerzos para un mejor uso y manejo de la presa, incentivando la gobernanza y la gobernabilidad, donde la participación democrática de los actores se hace necesaria.</w:t>
      </w:r>
    </w:p>
    <w:p>
      <w:pPr>
        <w:pStyle w:val="BodyText"/>
        <w:spacing w:before="7"/>
        <w:rPr>
          <w:sz w:val="17"/>
        </w:rPr>
      </w:pPr>
    </w:p>
    <w:p>
      <w:pPr>
        <w:pStyle w:val="BodyText"/>
        <w:spacing w:line="360" w:lineRule="auto"/>
        <w:ind w:left="102" w:right="115"/>
        <w:jc w:val="both"/>
      </w:pPr>
      <w:r>
        <w:rPr/>
        <w:t>Por lo que la región de los cinco municipios que comparten la presa Huapango, fue identificada como una </w:t>
      </w:r>
      <w:r>
        <w:rPr>
          <w:i/>
        </w:rPr>
        <w:t>cuenca hidrosocial</w:t>
      </w:r>
      <w:r>
        <w:rPr/>
        <w:t>, donde se tejen redes entre los actores de  aguas arriba y aguas abajo con estructuras sociopolíticas consolidadas a través de la historia (Quiroz, Delgadillo y Durán,</w:t>
      </w:r>
      <w:r>
        <w:rPr>
          <w:spacing w:val="-11"/>
        </w:rPr>
        <w:t> </w:t>
      </w:r>
      <w:r>
        <w:rPr/>
        <w:t>2012).</w:t>
      </w:r>
    </w:p>
    <w:p>
      <w:pPr>
        <w:pStyle w:val="BodyText"/>
        <w:spacing w:before="9"/>
        <w:rPr>
          <w:sz w:val="17"/>
        </w:rPr>
      </w:pPr>
    </w:p>
    <w:p>
      <w:pPr>
        <w:pStyle w:val="BodyText"/>
        <w:spacing w:line="360" w:lineRule="auto" w:before="1"/>
        <w:ind w:left="102" w:right="116"/>
        <w:jc w:val="both"/>
      </w:pPr>
      <w:r>
        <w:rPr/>
        <w:t>En consecuencia, la presa Huapango presenta una importante oportunidad de colaboración entre los cinco municipios (Acambay, Aculco, Jilotepec, Polotitlán y Timilpan) para la protección de la cuenca hidrosocial como elemento potencial de desarrollo regional, ya que no existe una experiencia de GIRH intermunicipal para la Cuenca del Alto Pánuco, identificando los principales problemas y su solución.</w:t>
      </w:r>
    </w:p>
    <w:p>
      <w:pPr>
        <w:pStyle w:val="BodyText"/>
        <w:spacing w:before="9"/>
        <w:rPr>
          <w:sz w:val="17"/>
        </w:rPr>
      </w:pPr>
    </w:p>
    <w:p>
      <w:pPr>
        <w:spacing w:line="360" w:lineRule="auto" w:before="0"/>
        <w:ind w:left="102" w:right="113" w:firstLine="0"/>
        <w:jc w:val="both"/>
        <w:rPr>
          <w:sz w:val="22"/>
        </w:rPr>
      </w:pPr>
      <w:r>
        <w:rPr>
          <w:sz w:val="22"/>
        </w:rPr>
        <w:t>En este sentido, la Cuenca Hidrosocial Presa Huapango presentó una oportunidad de investigación, por lo que el presente documento da cuenta de la tesis titulada: </w:t>
      </w:r>
      <w:r>
        <w:rPr>
          <w:i/>
          <w:sz w:val="22"/>
        </w:rPr>
        <w:t>Propuesta </w:t>
      </w:r>
      <w:r>
        <w:rPr>
          <w:i/>
          <w:sz w:val="22"/>
        </w:rPr>
        <w:t>para la gestión intermunicipal de la Cuenca Hidrosocial Presa Huapango</w:t>
      </w:r>
      <w:r>
        <w:rPr>
          <w:sz w:val="22"/>
        </w:rPr>
        <w:t>. Dicho trabajo está estructurado en catorce apartados:</w:t>
      </w:r>
    </w:p>
    <w:p>
      <w:pPr>
        <w:pStyle w:val="BodyText"/>
        <w:spacing w:before="7"/>
        <w:rPr>
          <w:sz w:val="17"/>
        </w:rPr>
      </w:pPr>
    </w:p>
    <w:p>
      <w:pPr>
        <w:pStyle w:val="BodyText"/>
        <w:spacing w:line="360" w:lineRule="auto"/>
        <w:ind w:left="102" w:right="114"/>
        <w:jc w:val="both"/>
      </w:pPr>
      <w:r>
        <w:rPr/>
        <w:t>En el primero, se mencionan los antecedentes, destacando la importancia de la Gestión Integrada de los Recursos Hídricos (GIRH), la gobernanza y la gobernabilidad en experiencias exitosas de cuerpos de agua compartidos a nivel mundial, continental, nacional y regional que se han tenido, previas a este trabajo.</w:t>
      </w:r>
    </w:p>
    <w:p>
      <w:pPr>
        <w:spacing w:after="0" w:line="360" w:lineRule="auto"/>
        <w:jc w:val="both"/>
        <w:sectPr>
          <w:pgSz w:w="12240" w:h="15840"/>
          <w:pgMar w:header="0" w:footer="1003" w:top="1360" w:bottom="1200" w:left="1600" w:right="1580"/>
        </w:sectPr>
      </w:pPr>
    </w:p>
    <w:p>
      <w:pPr>
        <w:pStyle w:val="BodyText"/>
        <w:spacing w:line="360" w:lineRule="auto" w:before="56"/>
        <w:ind w:left="102" w:right="115"/>
        <w:jc w:val="both"/>
      </w:pPr>
      <w:r>
        <w:rPr/>
        <w:t>En el segundo, se describen las consideraciones teóricas, donde se definen la Gestión Integrada de los Recursos Hídricos (GIRH), la gobernanza y la gobernabilidad como ejes teóricos y se hace hincapié que la Cuenca Hidrosocial Presa Huapango debe ser atendida desde un enfoque de GIRH de intermunicipalidad con una serie de principios de gobernanza que deben considerarse en una interrelación municipal para una buena planificación regional, destacando los siguientes: democracia y voluntariedad de la sociedad, autogestión, identidad, cooperación, cultura, poder, participación social y relaciones intermunicipales.</w:t>
      </w:r>
    </w:p>
    <w:p>
      <w:pPr>
        <w:pStyle w:val="BodyText"/>
        <w:spacing w:before="7"/>
        <w:rPr>
          <w:sz w:val="17"/>
        </w:rPr>
      </w:pPr>
    </w:p>
    <w:p>
      <w:pPr>
        <w:pStyle w:val="BodyText"/>
        <w:spacing w:line="360" w:lineRule="auto"/>
        <w:ind w:left="102" w:right="115"/>
        <w:jc w:val="both"/>
      </w:pPr>
      <w:r>
        <w:rPr/>
        <w:t>En el tercero, se describen los objetivos y la metodología para proponer la creación de un Comité Intermunicipal con su Reglamento como solución a los problemas ambientales, sociales, económicos y políticos de la Cuenca Hidrosocial Presa Huapango, en donde se mencionan los pasos y las estrategias que deben seguirse para lograr la meta, así como la utilización de la corriente teórica para la explicación de los conceptos y de los hechos. Aquí se describe la metodología general, la metodología específica para el caso de estudio y la metodología del trabajo de campo. En este apartado se  señalan  como objetivo e hipótesis los</w:t>
      </w:r>
      <w:r>
        <w:rPr>
          <w:spacing w:val="-10"/>
        </w:rPr>
        <w:t> </w:t>
      </w:r>
      <w:r>
        <w:rPr/>
        <w:t>siguientes:</w:t>
      </w:r>
    </w:p>
    <w:p>
      <w:pPr>
        <w:pStyle w:val="BodyText"/>
        <w:spacing w:before="4"/>
        <w:rPr>
          <w:sz w:val="17"/>
        </w:rPr>
      </w:pPr>
    </w:p>
    <w:p>
      <w:pPr>
        <w:pStyle w:val="Heading6"/>
        <w:jc w:val="both"/>
      </w:pPr>
      <w:r>
        <w:rPr/>
        <w:t>OBJETIVO GENERAL</w:t>
      </w:r>
    </w:p>
    <w:p>
      <w:pPr>
        <w:pStyle w:val="BodyText"/>
        <w:spacing w:before="8"/>
        <w:rPr>
          <w:b/>
          <w:sz w:val="28"/>
        </w:rPr>
      </w:pPr>
    </w:p>
    <w:p>
      <w:pPr>
        <w:spacing w:line="360" w:lineRule="auto" w:before="0"/>
        <w:ind w:left="102" w:right="118" w:firstLine="0"/>
        <w:jc w:val="both"/>
        <w:rPr>
          <w:i/>
          <w:sz w:val="22"/>
        </w:rPr>
      </w:pPr>
      <w:r>
        <w:rPr>
          <w:i/>
          <w:sz w:val="22"/>
        </w:rPr>
        <w:t>Identificar los problemas de la Cuenca Hidrosocial Presa Huapango a través de la GIRH, </w:t>
      </w:r>
      <w:r>
        <w:rPr>
          <w:i/>
          <w:sz w:val="22"/>
        </w:rPr>
        <w:t>la gobernanza y la gobernabilidad para la elaboración de una propuesta de un Comité Intermunicipal con su Reglamento como instrumentos de política pública para iniciar acciones, proyectos y programas mediante la participación de los actores políticos, sociales y</w:t>
      </w:r>
      <w:r>
        <w:rPr>
          <w:i/>
          <w:spacing w:val="-3"/>
          <w:sz w:val="22"/>
        </w:rPr>
        <w:t> </w:t>
      </w:r>
      <w:r>
        <w:rPr>
          <w:i/>
          <w:sz w:val="22"/>
        </w:rPr>
        <w:t>económicos.</w:t>
      </w:r>
    </w:p>
    <w:p>
      <w:pPr>
        <w:pStyle w:val="BodyText"/>
        <w:spacing w:before="7"/>
        <w:rPr>
          <w:i/>
          <w:sz w:val="17"/>
        </w:rPr>
      </w:pPr>
    </w:p>
    <w:p>
      <w:pPr>
        <w:pStyle w:val="Heading6"/>
        <w:jc w:val="both"/>
      </w:pPr>
      <w:r>
        <w:rPr/>
        <w:t>OBJETIVOS ESPECÍFICOS O PARTICULARES</w:t>
      </w:r>
    </w:p>
    <w:p>
      <w:pPr>
        <w:pStyle w:val="BodyText"/>
        <w:spacing w:before="5"/>
        <w:rPr>
          <w:b/>
          <w:sz w:val="28"/>
        </w:rPr>
      </w:pPr>
    </w:p>
    <w:p>
      <w:pPr>
        <w:pStyle w:val="BodyText"/>
        <w:spacing w:line="360" w:lineRule="auto" w:before="1"/>
        <w:ind w:left="102" w:right="116"/>
        <w:jc w:val="both"/>
      </w:pPr>
      <w:r>
        <w:rPr/>
        <w:t>1.- Definir las consideraciones teóricas sobre gestión intermunicipal mediante la gobernanza y la gobernabilidad con enfoque GIRH para interpretar la problemática de la Cuenca Hidrosocial Presa Huapango.</w:t>
      </w:r>
    </w:p>
    <w:p>
      <w:pPr>
        <w:pStyle w:val="BodyText"/>
        <w:spacing w:before="9"/>
        <w:rPr>
          <w:sz w:val="17"/>
        </w:rPr>
      </w:pPr>
    </w:p>
    <w:p>
      <w:pPr>
        <w:pStyle w:val="BodyText"/>
        <w:spacing w:line="360" w:lineRule="auto"/>
        <w:ind w:left="102" w:right="120"/>
        <w:jc w:val="both"/>
      </w:pPr>
      <w:r>
        <w:rPr/>
        <w:t>2.- Identificar el mapa de actores para analizar sus redes y funciones en la Cuenca Hidrosocial Presa Huapango.</w:t>
      </w:r>
    </w:p>
    <w:p>
      <w:pPr>
        <w:pStyle w:val="BodyText"/>
        <w:spacing w:before="7"/>
        <w:rPr>
          <w:sz w:val="17"/>
        </w:rPr>
      </w:pPr>
    </w:p>
    <w:p>
      <w:pPr>
        <w:pStyle w:val="BodyText"/>
        <w:spacing w:line="360" w:lineRule="auto"/>
        <w:ind w:left="102" w:right="118"/>
        <w:jc w:val="both"/>
      </w:pPr>
      <w:r>
        <w:rPr/>
        <w:t>3.- Caracterizar la problemática de la Cuenca Hidrosocial Presa Huapango con el trabajo de campo por grupo de actores, áreas estratégicas de planeación y articulación (AEPA:</w:t>
      </w:r>
    </w:p>
    <w:p>
      <w:pPr>
        <w:spacing w:after="0" w:line="360" w:lineRule="auto"/>
        <w:jc w:val="both"/>
        <w:sectPr>
          <w:pgSz w:w="12240" w:h="15840"/>
          <w:pgMar w:header="0" w:footer="1003" w:top="1360" w:bottom="1200" w:left="1600" w:right="1580"/>
        </w:sectPr>
      </w:pPr>
    </w:p>
    <w:p>
      <w:pPr>
        <w:pStyle w:val="BodyText"/>
        <w:spacing w:line="360" w:lineRule="auto" w:before="56"/>
        <w:ind w:left="102" w:right="115"/>
        <w:jc w:val="both"/>
      </w:pPr>
      <w:r>
        <w:rPr/>
        <w:t>ambiental, social, económica y política), y los principios de gobernanza para definir los indicadores de Presión, Estado, Impacto y Respuesta (PEIR).</w:t>
      </w:r>
    </w:p>
    <w:p>
      <w:pPr>
        <w:pStyle w:val="BodyText"/>
        <w:spacing w:before="7"/>
        <w:rPr>
          <w:sz w:val="17"/>
        </w:rPr>
      </w:pPr>
    </w:p>
    <w:p>
      <w:pPr>
        <w:pStyle w:val="BodyText"/>
        <w:spacing w:line="360" w:lineRule="auto"/>
        <w:ind w:left="102" w:right="118"/>
        <w:jc w:val="both"/>
      </w:pPr>
      <w:r>
        <w:rPr/>
        <w:t>4.- Analizar los resultados del trabajo de campo mediante los indicadores de Presión, Estado, Impacto y Respuesta (PEIR) con base en las consideraciones teóricas para proponer un Comité Intermunicipal con su Reglamento.</w:t>
      </w:r>
    </w:p>
    <w:p>
      <w:pPr>
        <w:pStyle w:val="BodyText"/>
        <w:spacing w:before="7"/>
        <w:rPr>
          <w:sz w:val="17"/>
        </w:rPr>
      </w:pPr>
    </w:p>
    <w:p>
      <w:pPr>
        <w:pStyle w:val="BodyText"/>
        <w:spacing w:line="360" w:lineRule="auto"/>
        <w:ind w:left="102" w:right="112"/>
        <w:jc w:val="both"/>
      </w:pPr>
      <w:r>
        <w:rPr/>
        <w:t>5.- Identificar el marco jurídico vigente en la CHPH para justificar legalmente y políticamente el uso del derecho consuetudinario para proponer la creación de un Comité Intermunicipal con su Reglamento.</w:t>
      </w:r>
    </w:p>
    <w:p>
      <w:pPr>
        <w:pStyle w:val="BodyText"/>
        <w:spacing w:before="10"/>
        <w:rPr>
          <w:sz w:val="17"/>
        </w:rPr>
      </w:pPr>
    </w:p>
    <w:p>
      <w:pPr>
        <w:pStyle w:val="BodyText"/>
        <w:spacing w:line="360" w:lineRule="auto"/>
        <w:ind w:left="102" w:right="116"/>
        <w:jc w:val="both"/>
      </w:pPr>
      <w:r>
        <w:rPr/>
        <w:t>6.- Identificar a través del trabajo de campo y de gabinete los elementos clave de la GIRH, la gobernanza y la gobernabilidad para elaborar la propuesta inicial de un Comité Intermunicipal con su Reglamento.</w:t>
      </w:r>
    </w:p>
    <w:p>
      <w:pPr>
        <w:pStyle w:val="BodyText"/>
        <w:spacing w:before="4"/>
        <w:rPr>
          <w:sz w:val="17"/>
        </w:rPr>
      </w:pPr>
    </w:p>
    <w:p>
      <w:pPr>
        <w:pStyle w:val="Heading6"/>
        <w:jc w:val="both"/>
      </w:pPr>
      <w:r>
        <w:rPr/>
        <w:t>HIPÓTESIS</w:t>
      </w:r>
    </w:p>
    <w:p>
      <w:pPr>
        <w:pStyle w:val="BodyText"/>
        <w:spacing w:before="8"/>
        <w:rPr>
          <w:b/>
          <w:sz w:val="28"/>
        </w:rPr>
      </w:pPr>
    </w:p>
    <w:p>
      <w:pPr>
        <w:spacing w:line="360" w:lineRule="auto" w:before="0"/>
        <w:ind w:left="102" w:right="112" w:firstLine="0"/>
        <w:jc w:val="both"/>
        <w:rPr>
          <w:i/>
          <w:sz w:val="22"/>
        </w:rPr>
      </w:pPr>
      <w:r>
        <w:rPr>
          <w:i/>
          <w:sz w:val="22"/>
        </w:rPr>
        <w:t>Sí no existe gestión intermunicipal con enfoque GIRH, ya que se carece de un comité </w:t>
      </w:r>
      <w:r>
        <w:rPr>
          <w:i/>
          <w:sz w:val="22"/>
        </w:rPr>
        <w:t>intermunicipal con su reglamento en la cuenca hidrosocial de la presa Huapango, entonces continuarán los problemas ambientales, sociales, económicos y políticos, y seguirá el deterioro de la cuenca hidrosocial de la presa Huapango, </w:t>
      </w:r>
      <w:r>
        <w:rPr>
          <w:sz w:val="22"/>
        </w:rPr>
        <w:t>o en otras palabras, que </w:t>
      </w:r>
      <w:r>
        <w:rPr>
          <w:i/>
          <w:sz w:val="22"/>
        </w:rPr>
        <w:t>los problemas intermunicipales en la cuenca hidrososcial de la presa Huapango, son </w:t>
      </w:r>
      <w:r>
        <w:rPr>
          <w:i/>
          <w:sz w:val="22"/>
        </w:rPr>
        <w:t>producto de una mínima gestión intermunicipal, y por carecer de un Comité Intermunicipal con su Reglamento que gestione el cuerpo de agua entre los municipios. La aplicación de una propuesta con base en GIRH puede mitigar tales</w:t>
      </w:r>
      <w:r>
        <w:rPr>
          <w:i/>
          <w:spacing w:val="-16"/>
          <w:sz w:val="22"/>
        </w:rPr>
        <w:t> </w:t>
      </w:r>
      <w:r>
        <w:rPr>
          <w:i/>
          <w:sz w:val="22"/>
        </w:rPr>
        <w:t>consecuencias.</w:t>
      </w:r>
    </w:p>
    <w:p>
      <w:pPr>
        <w:pStyle w:val="BodyText"/>
        <w:spacing w:before="7"/>
        <w:rPr>
          <w:i/>
          <w:sz w:val="17"/>
        </w:rPr>
      </w:pPr>
    </w:p>
    <w:p>
      <w:pPr>
        <w:pStyle w:val="BodyText"/>
        <w:spacing w:line="360" w:lineRule="auto"/>
        <w:ind w:left="102" w:right="116"/>
        <w:jc w:val="both"/>
      </w:pPr>
      <w:r>
        <w:rPr/>
        <w:t>En el cuarto, se desarrolla la aplicación y resultados del estudio de caso: Cuenca Hidrosocial Presa Huapango, donde se señala el área de estudio y se identificaron las características generales de la presa Huapango, así como la formación histórica de la CHPH para la identificación de actores y la conformación-evolución de los grupos sociales (ACTORES) en dicha cuenca, hasta llegar a la conformación-evolución del Municipio y la Reforma Agraria en la cuenca.</w:t>
      </w:r>
    </w:p>
    <w:p>
      <w:pPr>
        <w:pStyle w:val="BodyText"/>
        <w:spacing w:before="5"/>
        <w:rPr>
          <w:sz w:val="24"/>
        </w:rPr>
      </w:pPr>
    </w:p>
    <w:p>
      <w:pPr>
        <w:pStyle w:val="BodyText"/>
        <w:spacing w:line="360" w:lineRule="auto"/>
        <w:ind w:left="102" w:right="114"/>
        <w:jc w:val="both"/>
      </w:pPr>
      <w:r>
        <w:rPr/>
        <w:t>En el quinto, se identificaron a través del trabajo de campo y de gabinete a los actores de la Cuenca Hidrosocial Presa Huapango con sus redes y funciones, donde se hizo la identificación y conformación del mapa de actores en dicha Cuenca. Además, se realizó la</w:t>
      </w:r>
    </w:p>
    <w:p>
      <w:pPr>
        <w:spacing w:after="0" w:line="360" w:lineRule="auto"/>
        <w:jc w:val="both"/>
        <w:sectPr>
          <w:pgSz w:w="12240" w:h="15840"/>
          <w:pgMar w:header="0" w:footer="1003" w:top="1360" w:bottom="1200" w:left="1600" w:right="1580"/>
        </w:sectPr>
      </w:pPr>
    </w:p>
    <w:p>
      <w:pPr>
        <w:pStyle w:val="BodyText"/>
        <w:spacing w:line="357" w:lineRule="auto" w:before="56"/>
        <w:ind w:left="102" w:right="116"/>
        <w:jc w:val="both"/>
      </w:pPr>
      <w:r>
        <w:rPr/>
        <w:t>matriz de funciones y responsabilidades que tienen las dependencias gubernamentales estatales y federales con la Cuenca Hidrosocial Presa Huapango.</w:t>
      </w:r>
    </w:p>
    <w:p>
      <w:pPr>
        <w:pStyle w:val="BodyText"/>
        <w:spacing w:before="1"/>
        <w:rPr>
          <w:sz w:val="25"/>
        </w:rPr>
      </w:pPr>
    </w:p>
    <w:p>
      <w:pPr>
        <w:pStyle w:val="BodyText"/>
        <w:spacing w:line="360" w:lineRule="auto"/>
        <w:ind w:left="102" w:right="113"/>
        <w:jc w:val="both"/>
      </w:pPr>
      <w:r>
        <w:rPr/>
        <w:t>En el sexto, se detectó la problemática de la CHPH por grupo de actores en trabajo de campo a través de los principios de GIRH- Gobernanza y áreas estratégicas de  planeación y articulación (AEPA: ambiental, social, económica y política) para posteriormente definir los indicadores de Presión, Estado, Impacto y Respuesta</w:t>
      </w:r>
      <w:r>
        <w:rPr>
          <w:spacing w:val="-25"/>
        </w:rPr>
        <w:t> </w:t>
      </w:r>
      <w:r>
        <w:rPr/>
        <w:t>(PEIR).</w:t>
      </w:r>
    </w:p>
    <w:p>
      <w:pPr>
        <w:pStyle w:val="BodyText"/>
        <w:spacing w:before="10"/>
        <w:rPr>
          <w:sz w:val="24"/>
        </w:rPr>
      </w:pPr>
    </w:p>
    <w:p>
      <w:pPr>
        <w:pStyle w:val="BodyText"/>
        <w:spacing w:line="360" w:lineRule="auto"/>
        <w:ind w:left="102" w:right="115"/>
        <w:jc w:val="both"/>
      </w:pPr>
      <w:r>
        <w:rPr/>
        <w:t>En el séptimo, se elaboró el sistema de indicadores de Presión, Estado, Impacto y Respuesta (PEIR) con la información que se obtuvo en trabajo de campo, lo cual permitió identificar los vínculos, la jerarquía y el peso específico existentes de los diferentes indicadores que intervinieron en el sistema y por AEPA, con lo que se detectaron los Factores Críticos de Éxito que fueron considerados en la elaboración de la propuesta de creación de un Comité Intermunicipal con su Reglamento.</w:t>
      </w:r>
    </w:p>
    <w:p>
      <w:pPr>
        <w:pStyle w:val="BodyText"/>
        <w:spacing w:before="9"/>
        <w:rPr>
          <w:sz w:val="17"/>
        </w:rPr>
      </w:pPr>
    </w:p>
    <w:p>
      <w:pPr>
        <w:pStyle w:val="BodyText"/>
        <w:spacing w:line="360" w:lineRule="auto"/>
        <w:ind w:left="102" w:right="113"/>
        <w:jc w:val="both"/>
      </w:pPr>
      <w:r>
        <w:rPr/>
        <w:t>En el octavo, se analizó el marco jurídico internacional, nacional, estatal, municipal y local en materia ambiental para sustentar jurídica y políticamente la propuesta del Comité Intermunicipal con su Reglamento para la Cuenca Hidrosocial Presa Huapango basada en el derecho consuetudinario (usos y costumbres).</w:t>
      </w:r>
    </w:p>
    <w:p>
      <w:pPr>
        <w:pStyle w:val="BodyText"/>
        <w:spacing w:before="9"/>
        <w:rPr>
          <w:sz w:val="17"/>
        </w:rPr>
      </w:pPr>
    </w:p>
    <w:p>
      <w:pPr>
        <w:pStyle w:val="BodyText"/>
        <w:spacing w:line="360" w:lineRule="auto" w:before="1"/>
        <w:ind w:left="102" w:right="116"/>
        <w:jc w:val="both"/>
      </w:pPr>
      <w:r>
        <w:rPr/>
        <w:t>En el noveno, se elaboró un análisis y discusión general de los principales procesos históricos que conformaron la CHPH mediante una triangulación de la información teórica, de trabajo de campo y de la utilización de indicadores en el sistema PEIR para la elaboración de la propuesta de Comité Intermunicipal con su Reglamento.</w:t>
      </w:r>
    </w:p>
    <w:p>
      <w:pPr>
        <w:pStyle w:val="BodyText"/>
        <w:spacing w:before="7"/>
        <w:rPr>
          <w:sz w:val="17"/>
        </w:rPr>
      </w:pPr>
    </w:p>
    <w:p>
      <w:pPr>
        <w:pStyle w:val="BodyText"/>
        <w:spacing w:line="360" w:lineRule="auto"/>
        <w:ind w:left="102" w:right="118"/>
        <w:jc w:val="both"/>
      </w:pPr>
      <w:r>
        <w:rPr/>
        <w:t>En el décimo, se elaboró la propuesta de un Comité Intermunicipal Para Cuidar, Defender, y Administrar los Recursos Naturales de la Cuenca Hidrosocial Presa Huapango con su Reglamento, esta propuesta se hizo con base en los resultados obtenidos, en el trabajo  de campo, de gabinete, y del sistema</w:t>
      </w:r>
      <w:r>
        <w:rPr>
          <w:spacing w:val="-11"/>
        </w:rPr>
        <w:t> </w:t>
      </w:r>
      <w:r>
        <w:rPr/>
        <w:t>PEIR.</w:t>
      </w:r>
    </w:p>
    <w:p>
      <w:pPr>
        <w:pStyle w:val="BodyText"/>
        <w:spacing w:before="7"/>
        <w:rPr>
          <w:sz w:val="17"/>
        </w:rPr>
      </w:pPr>
    </w:p>
    <w:p>
      <w:pPr>
        <w:pStyle w:val="BodyText"/>
        <w:spacing w:line="360" w:lineRule="auto"/>
        <w:ind w:left="102" w:right="113"/>
        <w:jc w:val="both"/>
      </w:pPr>
      <w:r>
        <w:rPr/>
        <w:t>En el décimo primero, se señalan las consideraciones generales que se atendieron en el desarrollo del trabajo. En un principio, la definición teórico-social de los principales términos de la GIRH, gobernanza y gobernabilidad permitieron entender la estructura sociohistórica de la región de la presa Huapango como unidad de análisis para la interpretación de la información con trabajo de campo, donde se pudieron detectar los principios  de  gobernanza  (democracia  y  voluntariedad  de  la  sociedad,   </w:t>
      </w:r>
      <w:r>
        <w:rPr>
          <w:spacing w:val="57"/>
        </w:rPr>
        <w:t> </w:t>
      </w:r>
      <w:r>
        <w:rPr/>
        <w:t>autogestión,</w:t>
      </w:r>
    </w:p>
    <w:p>
      <w:pPr>
        <w:spacing w:after="0" w:line="360" w:lineRule="auto"/>
        <w:jc w:val="both"/>
        <w:sectPr>
          <w:pgSz w:w="12240" w:h="15840"/>
          <w:pgMar w:header="0" w:footer="1003" w:top="1360" w:bottom="1200" w:left="1600" w:right="1580"/>
        </w:sectPr>
      </w:pPr>
    </w:p>
    <w:p>
      <w:pPr>
        <w:pStyle w:val="BodyText"/>
        <w:spacing w:line="360" w:lineRule="auto" w:before="56"/>
        <w:ind w:left="102" w:right="115"/>
        <w:jc w:val="both"/>
      </w:pPr>
      <w:r>
        <w:rPr/>
        <w:t>identidad, cooperación, cultura, poder, participación social y relaciones intermunicipales) a nivel regional para conformar el Comité intermunicipal y su Reglamento entorno a el agua.</w:t>
      </w:r>
    </w:p>
    <w:p>
      <w:pPr>
        <w:pStyle w:val="BodyText"/>
        <w:spacing w:before="5"/>
        <w:rPr>
          <w:sz w:val="24"/>
        </w:rPr>
      </w:pPr>
    </w:p>
    <w:p>
      <w:pPr>
        <w:pStyle w:val="BodyText"/>
        <w:spacing w:line="360" w:lineRule="auto"/>
        <w:ind w:left="102" w:right="114"/>
        <w:jc w:val="both"/>
      </w:pPr>
      <w:r>
        <w:rPr/>
        <w:t>En este sentido, la estructura sociohistórica de la presa Huapango permitió identificar a la cuenca hidrosocial como unidad de análisis, ya que los actores de la región tienen redes que se generan debido a las relaciones hídricas de aguas arriba y aguas abajo, las cuales permiten que haya una serie de relaciones en torno a un mercado regional donde el intercambio en torno a la comida lacustre, el ganado, los lácteos, los productos agrícolas y las tradiciones de la charrería se dan en todo momento.</w:t>
      </w:r>
    </w:p>
    <w:p>
      <w:pPr>
        <w:pStyle w:val="BodyText"/>
        <w:spacing w:before="11"/>
        <w:rPr>
          <w:sz w:val="24"/>
        </w:rPr>
      </w:pPr>
    </w:p>
    <w:p>
      <w:pPr>
        <w:pStyle w:val="BodyText"/>
        <w:spacing w:line="360" w:lineRule="auto"/>
        <w:ind w:left="102" w:right="114"/>
        <w:jc w:val="both"/>
      </w:pPr>
      <w:r>
        <w:rPr/>
        <w:t>En el décimo segundo, se señalan los principales aportes y hallazgos que se encontraron en el desarrollo de la presente investigación. Destacando el análisis histórico como una metodología de explicación causa-efecto para entender el estado actual de la CHPH y no como una mera cronología de hechos a través del tiempo para hacer una propuesta de creación de un Comité Intermunicipal para Cuidar, Defender y Administrar los Recursos Naturales de la CHPH con su Reglamento.</w:t>
      </w:r>
    </w:p>
    <w:p>
      <w:pPr>
        <w:pStyle w:val="BodyText"/>
        <w:spacing w:before="7"/>
        <w:rPr>
          <w:sz w:val="17"/>
        </w:rPr>
      </w:pPr>
    </w:p>
    <w:p>
      <w:pPr>
        <w:pStyle w:val="BodyText"/>
        <w:spacing w:line="360" w:lineRule="auto"/>
        <w:ind w:left="102" w:right="118"/>
        <w:jc w:val="both"/>
      </w:pPr>
      <w:r>
        <w:rPr/>
        <w:t>En el apartado décimo tercero, se hace la lista de las referencias bibliográficas utilizadas y las páginas de la internet que fueron consultadas para la elaboración de la presente investigación.</w:t>
      </w:r>
    </w:p>
    <w:p>
      <w:pPr>
        <w:pStyle w:val="BodyText"/>
        <w:spacing w:before="9"/>
        <w:rPr>
          <w:sz w:val="17"/>
        </w:rPr>
      </w:pPr>
    </w:p>
    <w:p>
      <w:pPr>
        <w:pStyle w:val="BodyText"/>
        <w:spacing w:line="360" w:lineRule="auto"/>
        <w:ind w:left="102" w:right="113"/>
        <w:jc w:val="both"/>
      </w:pPr>
      <w:r>
        <w:rPr/>
        <w:t>En el décimo cuarto, se enumeran los anexos: 1.- encomienda de Xilotepec; 2.- entrevistas a actores de la CHPH; 3.- sistema PEIR de las AEPA: ambiental, social, económica y política; 4.- sistema PEIR para cohesionar las AEPA social y política en sociopolítica; 5.- sistema PEIR de las AEPA: ambiental, sociopolítica y económica; 6a, 6b y 6c.- mapas conceptuales de las AEPA ambiental, sociopolítica y económica, respectivamente.</w:t>
      </w:r>
    </w:p>
    <w:p>
      <w:pPr>
        <w:pStyle w:val="BodyText"/>
        <w:spacing w:before="8"/>
        <w:rPr>
          <w:sz w:val="24"/>
        </w:rPr>
      </w:pPr>
    </w:p>
    <w:p>
      <w:pPr>
        <w:pStyle w:val="BodyText"/>
        <w:spacing w:line="360" w:lineRule="auto"/>
        <w:ind w:left="102" w:right="114"/>
        <w:jc w:val="both"/>
      </w:pPr>
      <w:r>
        <w:rPr/>
        <w:t>Finalmente, cabe señalar que, el presente trabajo fue elaborado principalmente con la colaboración de los estudiosos de las ciencias sociales (Antropología Social y Ciencias Políticas) y las ciencias exactas (Ingeniería Civil), conjugándose mediante la ingeniería social, ya que de acuerdo con, Jaramillo (1996), las circunstancias históricas recientes conducen hacia un mayor pragmatismo en el diseño de las políticas sociales y frente a la actual crisis social y los cambios económicos implementados en América Latina, la discusión se centra cada vez más en cómo hacer las cosas para alcanzar la eficiencia y la eficacia  en  los  programas  sociales.  Esta  nueva  dirección  exige  modelos  claros   </w:t>
      </w:r>
      <w:r>
        <w:rPr>
          <w:spacing w:val="59"/>
        </w:rPr>
        <w:t> </w:t>
      </w:r>
      <w:r>
        <w:rPr/>
        <w:t>de</w:t>
      </w:r>
    </w:p>
    <w:p>
      <w:pPr>
        <w:spacing w:after="0" w:line="360" w:lineRule="auto"/>
        <w:jc w:val="both"/>
        <w:sectPr>
          <w:footerReference w:type="default" r:id="rId13"/>
          <w:pgSz w:w="12240" w:h="15840"/>
          <w:pgMar w:footer="1003" w:header="0" w:top="1360" w:bottom="1200" w:left="1600" w:right="1580"/>
        </w:sectPr>
      </w:pPr>
    </w:p>
    <w:p>
      <w:pPr>
        <w:pStyle w:val="BodyText"/>
        <w:spacing w:line="357" w:lineRule="auto" w:before="56"/>
        <w:ind w:left="102" w:right="115"/>
        <w:jc w:val="both"/>
      </w:pPr>
      <w:r>
        <w:rPr/>
        <w:t>intervención social, y la ingeniería social se destaca como una de las estrategias promisorias en este camino.</w:t>
      </w:r>
    </w:p>
    <w:p>
      <w:pPr>
        <w:pStyle w:val="BodyText"/>
        <w:spacing w:before="1"/>
        <w:rPr>
          <w:sz w:val="25"/>
        </w:rPr>
      </w:pPr>
    </w:p>
    <w:p>
      <w:pPr>
        <w:pStyle w:val="BodyText"/>
        <w:spacing w:line="360" w:lineRule="auto"/>
        <w:ind w:left="102" w:right="118"/>
        <w:jc w:val="both"/>
      </w:pPr>
      <w:r>
        <w:rPr/>
        <w:t>La ingeniería social es aplicación de ciencia social, porque es imposible construir una situación social futura, sin una continua utilización del conocimiento acumulado sobre cualquier elemento del complejo mundo social, por lo que para caracterizar y comprender una situación presente y sus causas (diagnosis) y para diseñar una situación futura (prognosis), así como los nexos que llevan de una situación a la otra, es necesario utilizar un instrumental teórico y metodológico.</w:t>
      </w:r>
    </w:p>
    <w:p>
      <w:pPr>
        <w:pStyle w:val="BodyText"/>
        <w:spacing w:before="11"/>
        <w:rPr>
          <w:sz w:val="24"/>
        </w:rPr>
      </w:pPr>
    </w:p>
    <w:p>
      <w:pPr>
        <w:pStyle w:val="BodyText"/>
        <w:spacing w:line="360" w:lineRule="auto"/>
        <w:ind w:left="102" w:right="114"/>
        <w:jc w:val="both"/>
      </w:pPr>
      <w:r>
        <w:rPr/>
        <w:t>Este planteamiento, permite sentar las bases científicas de la acción social, convirtiéndola en una estrategia de desarrollo social técnico, racional y gerencial para la solución de los problemas sociales. La ingeniería social, busca realizar un esfuerzo de sistematización, codificación de hipótesis y experiencias, como la única manera científica, de avanzar en la construcción de una disciplina que permita que la acción social sea más eficiente. La pregunta entonces que hay implícita en la ingeniería social es: ¿Cómo mejorar los procesos para hacer política social?</w:t>
      </w:r>
    </w:p>
    <w:p>
      <w:pPr>
        <w:pStyle w:val="BodyText"/>
        <w:spacing w:before="10"/>
        <w:rPr>
          <w:sz w:val="24"/>
        </w:rPr>
      </w:pPr>
    </w:p>
    <w:p>
      <w:pPr>
        <w:pStyle w:val="BodyText"/>
        <w:spacing w:line="360" w:lineRule="auto"/>
        <w:ind w:left="102" w:right="116"/>
        <w:jc w:val="both"/>
      </w:pPr>
      <w:r>
        <w:rPr/>
        <w:t>Para resolver esta interrogante, Torres (1993), señala que la perspectiva sistémica de las políticas sociales requiere, conceptualmente y pragmáticamente, de un nuevo perfil para  el profesional de las ciencias sociales. El enfoque disciplinario basado en la formación en sociología, antropología, economía, psicología, educación, ciencia política y derecho, ya no es suficiente. Las nuevas políticas sociales tendrán que orientarse hacia un enfoque multidisciplinario o intersectorial que renueve los procedimientos de la planificación</w:t>
      </w:r>
      <w:r>
        <w:rPr>
          <w:spacing w:val="-28"/>
        </w:rPr>
        <w:t> </w:t>
      </w:r>
      <w:r>
        <w:rPr/>
        <w:t>social.</w:t>
      </w:r>
    </w:p>
    <w:p>
      <w:pPr>
        <w:pStyle w:val="BodyText"/>
        <w:spacing w:before="10"/>
        <w:rPr>
          <w:sz w:val="24"/>
        </w:rPr>
      </w:pPr>
    </w:p>
    <w:p>
      <w:pPr>
        <w:pStyle w:val="BodyText"/>
        <w:spacing w:line="360" w:lineRule="auto"/>
        <w:ind w:left="102" w:right="115"/>
        <w:jc w:val="both"/>
      </w:pPr>
      <w:r>
        <w:rPr/>
        <w:t>Por ello, Jaramillo (1996), menciona que las nuevas políticas sociales estarán orientadas hacia un enfoque multidisciplinario e intersectorial y demandará una formación profesional más sintonizada con el nuevo paradigma del desarrollo social. Esta situación determina que los requisitos actuales en materia de desarrollo social, exige de personal entrenado  en investigación, planificación, prospectiva, gerencia y legislación para formular políticas sociales, con un alto nivel de eficiencia y calidad dentro de un modelo de apertura económica.</w:t>
      </w:r>
    </w:p>
    <w:p>
      <w:pPr>
        <w:pStyle w:val="BodyText"/>
        <w:spacing w:before="8"/>
        <w:rPr>
          <w:sz w:val="24"/>
        </w:rPr>
      </w:pPr>
    </w:p>
    <w:p>
      <w:pPr>
        <w:pStyle w:val="BodyText"/>
        <w:spacing w:line="360" w:lineRule="auto"/>
        <w:ind w:left="102" w:right="118"/>
        <w:jc w:val="both"/>
      </w:pPr>
      <w:r>
        <w:rPr/>
        <w:t>En definitiva, el nuevo contexto del desarrollo en América Latina, demanda ingenieros sociales con una sólida fundamentación científica, técnica y gerencial en el estudio de  los</w:t>
      </w:r>
    </w:p>
    <w:p>
      <w:pPr>
        <w:spacing w:after="0" w:line="360" w:lineRule="auto"/>
        <w:jc w:val="both"/>
        <w:sectPr>
          <w:footerReference w:type="default" r:id="rId14"/>
          <w:pgSz w:w="12240" w:h="15840"/>
          <w:pgMar w:footer="1003" w:header="0" w:top="1360" w:bottom="1200" w:left="1600" w:right="1580"/>
          <w:pgNumType w:start="31"/>
        </w:sectPr>
      </w:pPr>
    </w:p>
    <w:p>
      <w:pPr>
        <w:pStyle w:val="BodyText"/>
        <w:spacing w:line="360" w:lineRule="auto" w:before="56"/>
        <w:ind w:left="102" w:right="118"/>
        <w:jc w:val="both"/>
      </w:pPr>
      <w:r>
        <w:rPr/>
        <w:t>problemas sociales, el diseño de intervenciones, la conducción de programas y la evaluación de resultados. En este sentido, la ingeniería social se constituye en nuevo modelo de acción social y formación profesional, debido a que los cambios institucionales y los procesos de transformación económica y tecnológica requerirán  mayores habilidades para la gestión de soluciones y la evaluación de resultados. Los ingenieros sociales tendrán que emerger ciertamente, con una visión sistémica y no fragmentada de los problemas sociales.</w:t>
      </w:r>
    </w:p>
    <w:p>
      <w:pPr>
        <w:pStyle w:val="BodyText"/>
        <w:spacing w:before="8"/>
        <w:rPr>
          <w:sz w:val="24"/>
        </w:rPr>
      </w:pPr>
    </w:p>
    <w:p>
      <w:pPr>
        <w:pStyle w:val="BodyText"/>
        <w:spacing w:line="360" w:lineRule="auto"/>
        <w:ind w:left="102" w:right="111"/>
        <w:jc w:val="both"/>
      </w:pPr>
      <w:r>
        <w:rPr/>
        <w:t>En este escenario, está surgiendo la ingeniería social como un método científico y técnico de diseñar, aplicar y evaluar las futuras políticas de desarrollo social. Sin embargo, aún falta un camino largo por recorrer superando diferentes problemas y obstáculos que están impidiendo la consolidación de un proyecto de ingeniería social. En este sentido, es fundamental destacar la ausencia de un espíritu investigativo en las ciencias sociales, así como sus múltiples deficiencias y la diversidad de enfoques para enfrentar los problemas sociales. Por tal motivo, es esencial impulsar un proyecto de investigación en ingeniería social con el fin de que las ciencias sociales se ubiquen en un plano científico, técnico y gerencial, aplicando programas creativos e innovadores en la resolución de las necesidades sociales.</w:t>
      </w:r>
    </w:p>
    <w:p>
      <w:pPr>
        <w:pStyle w:val="BodyText"/>
        <w:spacing w:before="10"/>
        <w:rPr>
          <w:sz w:val="24"/>
        </w:rPr>
      </w:pPr>
    </w:p>
    <w:p>
      <w:pPr>
        <w:pStyle w:val="BodyText"/>
        <w:spacing w:line="360" w:lineRule="auto" w:before="1"/>
        <w:ind w:left="102" w:right="116"/>
        <w:jc w:val="both"/>
      </w:pPr>
      <w:r>
        <w:rPr/>
        <w:t>Por lo que de acuerdo con, Ángel Palerm (1969), el científico social debe participar en la elaboración de los proyectos desde su inicio, lo mismo que en cada una de las fases de  su desarrollo. Sin pretender constituirnos en la conciencia de los que van a ser afectados o beneficiados por los proyectos, debemos, sin embargo representar el necesario puente de enlace, por lo que nuestra tarea no consiste, simplemente, en facilitar la ejecución de un proyecto, sino en contribuir a incluir en el proyecto todo aquello que resulta realmente necesario para su éxito desde el punto de las consideraciones</w:t>
      </w:r>
      <w:r>
        <w:rPr>
          <w:spacing w:val="-20"/>
        </w:rPr>
        <w:t> </w:t>
      </w:r>
      <w:r>
        <w:rPr/>
        <w:t>socioculturales.</w:t>
      </w:r>
    </w:p>
    <w:p>
      <w:pPr>
        <w:pStyle w:val="BodyText"/>
        <w:spacing w:before="10"/>
        <w:rPr>
          <w:sz w:val="24"/>
        </w:rPr>
      </w:pPr>
    </w:p>
    <w:p>
      <w:pPr>
        <w:pStyle w:val="BodyText"/>
        <w:spacing w:line="360" w:lineRule="auto"/>
        <w:ind w:left="102" w:right="117"/>
        <w:jc w:val="both"/>
      </w:pPr>
      <w:r>
        <w:rPr/>
        <w:t>El investigador social, debe ser, además imaginativo en el diseño de las formas de cambio y de la adaptación de las instituciones socioculturales a los procesos de cambio. No se trata de ajustar la población al esquema esencial del proyecto, sino también de adaptar el proyecto a los requerimientos de la situación sociocultural, en este sentido, los profesionales de las ciencias sociales no son personal de apoyo en la elaboración de políticas públicas, sino que deben ser partícipes en todo el proceso de desarrollo de  éstas, es decir, deben estar presente en el diseño, implementación y la evaluación de las mismas.</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1"/>
        <w:spacing w:before="44"/>
        <w:ind w:left="2603"/>
      </w:pPr>
      <w:r>
        <w:rPr/>
        <w:t>ANTECEDENTES</w:t>
      </w:r>
    </w:p>
    <w:p>
      <w:pPr>
        <w:spacing w:after="0"/>
        <w:sectPr>
          <w:pgSz w:w="12240" w:h="15840"/>
          <w:pgMar w:header="0" w:footer="1003" w:top="1500" w:bottom="1200" w:left="1720" w:right="1580"/>
        </w:sectPr>
      </w:pPr>
    </w:p>
    <w:p>
      <w:pPr>
        <w:pStyle w:val="Heading6"/>
        <w:numPr>
          <w:ilvl w:val="0"/>
          <w:numId w:val="17"/>
        </w:numPr>
        <w:tabs>
          <w:tab w:pos="289" w:val="left" w:leader="none"/>
        </w:tabs>
        <w:spacing w:line="240" w:lineRule="auto" w:before="53" w:after="0"/>
        <w:ind w:left="102" w:right="0" w:firstLine="0"/>
        <w:jc w:val="both"/>
      </w:pPr>
      <w:bookmarkStart w:name="_TOC_250065" w:id="9"/>
      <w:bookmarkEnd w:id="9"/>
      <w:r>
        <w:rPr/>
        <w:t>ANTECEDENTES</w:t>
      </w:r>
    </w:p>
    <w:p>
      <w:pPr>
        <w:pStyle w:val="BodyText"/>
        <w:spacing w:before="3"/>
        <w:rPr>
          <w:b/>
          <w:sz w:val="28"/>
        </w:rPr>
      </w:pPr>
    </w:p>
    <w:p>
      <w:pPr>
        <w:pStyle w:val="Heading6"/>
        <w:numPr>
          <w:ilvl w:val="1"/>
          <w:numId w:val="18"/>
        </w:numPr>
        <w:tabs>
          <w:tab w:pos="650" w:val="left" w:leader="none"/>
        </w:tabs>
        <w:spacing w:line="360" w:lineRule="auto" w:before="1" w:after="0"/>
        <w:ind w:left="102" w:right="114" w:firstLine="0"/>
        <w:jc w:val="both"/>
      </w:pPr>
      <w:bookmarkStart w:name="_TOC_250064" w:id="10"/>
      <w:bookmarkEnd w:id="10"/>
      <w:r>
        <w:rPr/>
        <w:t>La Gestión Integrada de los Recursos Hídricos (GIRH): Gobernanza y Gobernabilidad</w:t>
      </w:r>
    </w:p>
    <w:p>
      <w:pPr>
        <w:pStyle w:val="BodyText"/>
        <w:rPr>
          <w:b/>
          <w:sz w:val="18"/>
        </w:rPr>
      </w:pPr>
    </w:p>
    <w:p>
      <w:pPr>
        <w:pStyle w:val="BodyText"/>
        <w:spacing w:line="360" w:lineRule="auto"/>
        <w:ind w:left="102" w:right="112"/>
        <w:jc w:val="both"/>
      </w:pPr>
      <w:r>
        <w:rPr/>
        <w:t>La Gestión Integrada de los Recursos Hídricos (GIRH), es un concepto empírico que nace de la propia experiencia de campo de los profesionales. Aunque muchos de los elementos del concepto han estado presentes durante décadas, desde la primera conferencia global en Mar del Plata en 1977. Sin embargo, no fue hasta después de la Agenda 21 y de la Cumbre Mundial sobre Desarrollo Sostenible en 1992 en </w:t>
      </w:r>
      <w:r>
        <w:rPr>
          <w:spacing w:val="-2"/>
        </w:rPr>
        <w:t>Río </w:t>
      </w:r>
      <w:r>
        <w:rPr/>
        <w:t>cuando el concepto de GIRH fue objeto de profundos debates que incluían sus implicaciones en la práctica por lo que la definición que da la Asociación Mundial para el Agua (GWP, por sus siglas en inglés) de  la GIRH es hoy la más aceptada: “La GIRH es un proceso que promueve la gestión y el desarrollo coordinados del agua, el suelo y los otros recursos relacionados, con el fin de maximizar los resultados económicos y el bienestar social de forma equitativa sin comprometer la sostenibilidad de los ecosistemas vitales” (Integrated Water Resources Management in Action. WWAP, DHI Water Policy, PNUMA-DHI Centro para el Agua y el Medio Ambiente,</w:t>
      </w:r>
      <w:r>
        <w:rPr>
          <w:spacing w:val="-5"/>
        </w:rPr>
        <w:t> </w:t>
      </w:r>
      <w:r>
        <w:rPr/>
        <w:t>2014).</w:t>
      </w:r>
    </w:p>
    <w:p>
      <w:pPr>
        <w:pStyle w:val="BodyText"/>
        <w:spacing w:before="9"/>
        <w:rPr>
          <w:sz w:val="17"/>
        </w:rPr>
      </w:pPr>
    </w:p>
    <w:p>
      <w:pPr>
        <w:pStyle w:val="BodyText"/>
        <w:spacing w:line="360" w:lineRule="auto"/>
        <w:ind w:left="102" w:right="115"/>
        <w:jc w:val="both"/>
      </w:pPr>
      <w:r>
        <w:rPr/>
        <w:t>Bajo esta premisa, la Global Water Partnership (2012), señala que operativamente, el enfoque de GIRH involucra la aplicación de conocimiento de diversas disciplinas, así como las perspectivas de diversos actores para elaborar e implementar soluciones eficientes, equitativas y sostenibles a los problemas hídricos y de desarrollo. Por lo tanto, la GIRH es una herramienta para el desarrollo y la gestión del agua de forma que hace un balance de las necesidades económicas y sociales, y asegura la protección de ecosistemas para generaciones</w:t>
      </w:r>
      <w:r>
        <w:rPr>
          <w:spacing w:val="-11"/>
        </w:rPr>
        <w:t> </w:t>
      </w:r>
      <w:r>
        <w:rPr/>
        <w:t>futuras.</w:t>
      </w:r>
    </w:p>
    <w:p>
      <w:pPr>
        <w:pStyle w:val="BodyText"/>
        <w:spacing w:before="9"/>
        <w:rPr>
          <w:sz w:val="17"/>
        </w:rPr>
      </w:pPr>
    </w:p>
    <w:p>
      <w:pPr>
        <w:pStyle w:val="BodyText"/>
        <w:spacing w:line="360" w:lineRule="auto"/>
        <w:ind w:left="102" w:right="113"/>
        <w:jc w:val="both"/>
      </w:pPr>
      <w:r>
        <w:rPr/>
        <w:t>Por su parte, Cotler (2004), señala que la GIRH, trata de ser una respuesta en las últimas décadas a los problemas mundiales, nacionales y locales de escasez, calidad y saneamiento del agua. Se trata de un enfoque que pretende integrar el conocimiento de una diversidad de sistemas que deben considerarse en forma simultánea, bajo distintas disciplinas, concepciones, conocimientos e investigaciones, ya que el agua tiene muchos usos diferentes -para la agricultura, para ecosistemas saludables, para la gente y su sustento- que demandan una acción coordinada. Un enfoque de GIRH es un proceso abierto y flexible que une a tomadores de decisión de diversos sectores que repercuten en</w:t>
      </w:r>
    </w:p>
    <w:p>
      <w:pPr>
        <w:spacing w:after="0" w:line="360" w:lineRule="auto"/>
        <w:jc w:val="both"/>
        <w:sectPr>
          <w:pgSz w:w="12240" w:h="15840"/>
          <w:pgMar w:header="0" w:footer="1003" w:top="1360" w:bottom="1200" w:left="1600" w:right="1580"/>
        </w:sectPr>
      </w:pPr>
    </w:p>
    <w:p>
      <w:pPr>
        <w:pStyle w:val="BodyText"/>
        <w:spacing w:line="360" w:lineRule="auto" w:before="56"/>
        <w:ind w:left="102" w:right="117"/>
        <w:jc w:val="both"/>
      </w:pPr>
      <w:r>
        <w:rPr/>
        <w:t>el recurso hídrico, y trae a todos los actores a la mesa para establecer políticas y decisiones balanceadas en respuesta a retos hídricos enfrentados.</w:t>
      </w:r>
    </w:p>
    <w:p>
      <w:pPr>
        <w:pStyle w:val="BodyText"/>
        <w:spacing w:before="7"/>
        <w:rPr>
          <w:sz w:val="17"/>
        </w:rPr>
      </w:pPr>
    </w:p>
    <w:p>
      <w:pPr>
        <w:pStyle w:val="BodyText"/>
        <w:spacing w:line="360" w:lineRule="auto"/>
        <w:ind w:left="102" w:right="117"/>
        <w:jc w:val="both"/>
      </w:pPr>
      <w:r>
        <w:rPr/>
        <w:t>Por tal motivo, Carlos Díaz (2015), señala que la GIRH se trata de una gestión holística del agua que tiene en cuenta todas las dimensiones: el ciclo del agua completo, todos los sectores, las escalas espaciales y temporales, como se muestra en la siguiente</w:t>
      </w:r>
      <w:r>
        <w:rPr>
          <w:spacing w:val="-23"/>
        </w:rPr>
        <w:t> </w:t>
      </w:r>
      <w:r>
        <w:rPr/>
        <w:t>figura:</w:t>
      </w:r>
    </w:p>
    <w:p>
      <w:pPr>
        <w:pStyle w:val="Heading6"/>
        <w:spacing w:before="1"/>
        <w:ind w:left="222" w:right="237"/>
        <w:jc w:val="center"/>
      </w:pPr>
      <w:r>
        <w:rPr/>
        <w:drawing>
          <wp:anchor distT="0" distB="0" distL="0" distR="0" allowOverlap="1" layoutInCell="1" locked="0" behindDoc="0" simplePos="0" relativeHeight="1216">
            <wp:simplePos x="0" y="0"/>
            <wp:positionH relativeFrom="page">
              <wp:posOffset>1767585</wp:posOffset>
            </wp:positionH>
            <wp:positionV relativeFrom="paragraph">
              <wp:posOffset>244193</wp:posOffset>
            </wp:positionV>
            <wp:extent cx="4238310" cy="3602736"/>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5" cstate="print"/>
                    <a:stretch>
                      <a:fillRect/>
                    </a:stretch>
                  </pic:blipFill>
                  <pic:spPr>
                    <a:xfrm>
                      <a:off x="0" y="0"/>
                      <a:ext cx="4238310" cy="3602736"/>
                    </a:xfrm>
                    <a:prstGeom prst="rect">
                      <a:avLst/>
                    </a:prstGeom>
                  </pic:spPr>
                </pic:pic>
              </a:graphicData>
            </a:graphic>
          </wp:anchor>
        </w:drawing>
      </w:r>
      <w:r>
        <w:rPr/>
        <w:t>Figura 1.1. El Cubo de la GIRH</w:t>
      </w:r>
    </w:p>
    <w:p>
      <w:pPr>
        <w:spacing w:line="360" w:lineRule="auto" w:before="92"/>
        <w:ind w:left="102" w:right="118" w:firstLine="0"/>
        <w:jc w:val="both"/>
        <w:rPr>
          <w:sz w:val="22"/>
        </w:rPr>
      </w:pPr>
      <w:r>
        <w:rPr>
          <w:b/>
          <w:sz w:val="22"/>
        </w:rPr>
        <w:t>Fuente: </w:t>
      </w:r>
      <w:r>
        <w:rPr>
          <w:sz w:val="22"/>
        </w:rPr>
        <w:t>Díaz, (2015) </w:t>
      </w:r>
      <w:r>
        <w:rPr>
          <w:b/>
          <w:sz w:val="22"/>
        </w:rPr>
        <w:t>Integridad y Transparencia de la Gestión del Agua en México, Módulo 1: Gobernabilidad del Agua e Instituciones</w:t>
      </w:r>
      <w:r>
        <w:rPr>
          <w:sz w:val="22"/>
        </w:rPr>
        <w:t>, Water Governance Facility, WIN, Cap-Net, y WATERnet, Monterrey, México.</w:t>
      </w:r>
    </w:p>
    <w:p>
      <w:pPr>
        <w:pStyle w:val="BodyText"/>
      </w:pPr>
    </w:p>
    <w:p>
      <w:pPr>
        <w:pStyle w:val="BodyText"/>
        <w:spacing w:line="360" w:lineRule="auto" w:before="129"/>
        <w:ind w:left="102" w:right="114"/>
        <w:jc w:val="both"/>
      </w:pPr>
      <w:r>
        <w:rPr/>
        <w:t>En este sentido, la GIRH fortalece los marcos y arreglos entre actores a través de la gobernanza para que la gobernabilidad del agua favorezca la buena toma de decisiones y la GIRH sólo puede tener éxito si todos los grupos de interés, incluidos los grupos marginados y de escasos recursos, pueden participar de forma significativa en las decisiones de la gestión del agua.</w:t>
      </w:r>
    </w:p>
    <w:p>
      <w:pPr>
        <w:pStyle w:val="BodyText"/>
      </w:pPr>
    </w:p>
    <w:p>
      <w:pPr>
        <w:pStyle w:val="BodyText"/>
        <w:spacing w:line="360" w:lineRule="auto" w:before="129"/>
        <w:ind w:left="102" w:right="114"/>
        <w:jc w:val="both"/>
      </w:pPr>
      <w:r>
        <w:rPr/>
        <w:t>Además, los gobiernos deben respaldar la participación de todos los grupos de interés y la legislación debe proporcionarles a las comunidades el derecho de participar en el proceso</w:t>
      </w:r>
    </w:p>
    <w:p>
      <w:pPr>
        <w:spacing w:after="0" w:line="360" w:lineRule="auto"/>
        <w:jc w:val="both"/>
        <w:sectPr>
          <w:pgSz w:w="12240" w:h="15840"/>
          <w:pgMar w:header="0" w:footer="1003" w:top="1360" w:bottom="1200" w:left="1600" w:right="1580"/>
        </w:sectPr>
      </w:pPr>
    </w:p>
    <w:p>
      <w:pPr>
        <w:pStyle w:val="BodyText"/>
        <w:spacing w:line="360" w:lineRule="auto" w:before="56"/>
        <w:ind w:left="102" w:right="116"/>
        <w:jc w:val="both"/>
      </w:pPr>
      <w:r>
        <w:rPr/>
        <w:t>de gestión de los recursos hídricos para alentar a las instituciones legales a ofrecerles información suficiente e incentivos para participar de manera significativa.</w:t>
      </w:r>
    </w:p>
    <w:p>
      <w:pPr>
        <w:pStyle w:val="BodyText"/>
      </w:pPr>
    </w:p>
    <w:p>
      <w:pPr>
        <w:pStyle w:val="BodyText"/>
        <w:spacing w:line="360" w:lineRule="auto" w:before="129"/>
        <w:ind w:left="102" w:right="118"/>
        <w:jc w:val="both"/>
      </w:pPr>
      <w:r>
        <w:rPr/>
        <w:t>En consecuencia, la gobernabilidad eficiente del agua, que fomente los principios de la GIRH, debe proporcionar un marco en el cual todos tengan acceso al agua. Esto puede materializarse mediante el acceso a la justicia. En términos prácticos esto significa que los marcos legales deben proporcionar soluciones que les permitan a todos los usuarios  exigir sus derechos a quienes tienen obligaciones. Esto requiere no sólo de un marco legal efectivo, sino también de instituciones que funcionen correctamente (Díaz,</w:t>
      </w:r>
      <w:r>
        <w:rPr>
          <w:spacing w:val="-26"/>
        </w:rPr>
        <w:t> </w:t>
      </w:r>
      <w:r>
        <w:rPr/>
        <w:t>2015).</w:t>
      </w:r>
    </w:p>
    <w:p>
      <w:pPr>
        <w:pStyle w:val="BodyText"/>
        <w:spacing w:before="7"/>
        <w:rPr>
          <w:sz w:val="17"/>
        </w:rPr>
      </w:pPr>
    </w:p>
    <w:p>
      <w:pPr>
        <w:pStyle w:val="BodyText"/>
        <w:spacing w:line="360" w:lineRule="auto"/>
        <w:ind w:left="102" w:right="116"/>
        <w:jc w:val="both"/>
      </w:pPr>
      <w:r>
        <w:rPr/>
        <w:t>Por tal motivo, la OCDE (OECD, por sus siglas en inglés) (2015), demuestra que no existe una solución única para los desafíos del agua a nivel mundial, sino más bien una gran diversidad de situaciones entre países y dentro de éstos. Por ende, las respuestas de gobernanza deben adaptarse a las especificidades territoriales y reconocer que la gobernanza es altamente dependiente del contexto e importante para adaptar las políticas del agua a cada lugar geográfico.</w:t>
      </w:r>
    </w:p>
    <w:p>
      <w:pPr>
        <w:pStyle w:val="BodyText"/>
        <w:spacing w:before="7"/>
        <w:rPr>
          <w:sz w:val="17"/>
        </w:rPr>
      </w:pPr>
    </w:p>
    <w:p>
      <w:pPr>
        <w:pStyle w:val="BodyText"/>
        <w:spacing w:line="360" w:lineRule="auto"/>
        <w:ind w:left="102" w:right="118"/>
        <w:jc w:val="both"/>
      </w:pPr>
      <w:r>
        <w:rPr/>
        <w:t>En este sentido, la OCDE (2015), señala también, los </w:t>
      </w:r>
      <w:r>
        <w:rPr>
          <w:i/>
        </w:rPr>
        <w:t>Principios de Gobernanza del Agua </w:t>
      </w:r>
      <w:r>
        <w:rPr/>
        <w:t>que tienen la intención de contribuir a la creación de políticas públicas tangibles y orientadas a la obtención de resultados, con base a tres dimensiones de la gobernanza del agua que mutuamente se refuerzan y</w:t>
      </w:r>
      <w:r>
        <w:rPr>
          <w:spacing w:val="-17"/>
        </w:rPr>
        <w:t> </w:t>
      </w:r>
      <w:r>
        <w:rPr/>
        <w:t>complementan:</w:t>
      </w:r>
    </w:p>
    <w:p>
      <w:pPr>
        <w:pStyle w:val="BodyText"/>
        <w:spacing w:before="7"/>
        <w:rPr>
          <w:sz w:val="17"/>
        </w:rPr>
      </w:pPr>
    </w:p>
    <w:p>
      <w:pPr>
        <w:pStyle w:val="ListParagraph"/>
        <w:numPr>
          <w:ilvl w:val="0"/>
          <w:numId w:val="19"/>
        </w:numPr>
        <w:tabs>
          <w:tab w:pos="407" w:val="left" w:leader="none"/>
        </w:tabs>
        <w:spacing w:line="360" w:lineRule="auto" w:before="0" w:after="0"/>
        <w:ind w:left="102" w:right="115" w:firstLine="0"/>
        <w:jc w:val="both"/>
        <w:rPr>
          <w:sz w:val="22"/>
        </w:rPr>
      </w:pPr>
      <w:r>
        <w:rPr>
          <w:i/>
          <w:sz w:val="22"/>
        </w:rPr>
        <w:t>La efectividad </w:t>
      </w:r>
      <w:r>
        <w:rPr>
          <w:sz w:val="22"/>
        </w:rPr>
        <w:t>se refiere a la contribución de la gobernanza en definir las metas y objetivos sostenibles y claros de las políticas del agua en todos los niveles, en la implementación de dichos objetivos de política, y en la consecución de las metas esperadas.</w:t>
      </w:r>
    </w:p>
    <w:p>
      <w:pPr>
        <w:pStyle w:val="BodyText"/>
        <w:spacing w:before="9"/>
        <w:rPr>
          <w:sz w:val="17"/>
        </w:rPr>
      </w:pPr>
    </w:p>
    <w:p>
      <w:pPr>
        <w:pStyle w:val="ListParagraph"/>
        <w:numPr>
          <w:ilvl w:val="0"/>
          <w:numId w:val="19"/>
        </w:numPr>
        <w:tabs>
          <w:tab w:pos="386" w:val="left" w:leader="none"/>
        </w:tabs>
        <w:spacing w:line="360" w:lineRule="auto" w:before="0" w:after="0"/>
        <w:ind w:left="102" w:right="116" w:firstLine="0"/>
        <w:jc w:val="both"/>
        <w:rPr>
          <w:sz w:val="22"/>
        </w:rPr>
      </w:pPr>
      <w:r>
        <w:rPr>
          <w:i/>
          <w:sz w:val="22"/>
        </w:rPr>
        <w:t>La eficiencia </w:t>
      </w:r>
      <w:r>
        <w:rPr>
          <w:sz w:val="22"/>
        </w:rPr>
        <w:t>está relacionada con la contribución de la gobernanza en maximizar los beneficios de la gestión sostenible del agua y el bienestar, al menor costo para la sociedad.</w:t>
      </w:r>
    </w:p>
    <w:p>
      <w:pPr>
        <w:pStyle w:val="BodyText"/>
        <w:spacing w:before="7"/>
        <w:rPr>
          <w:sz w:val="17"/>
        </w:rPr>
      </w:pPr>
    </w:p>
    <w:p>
      <w:pPr>
        <w:pStyle w:val="ListParagraph"/>
        <w:numPr>
          <w:ilvl w:val="0"/>
          <w:numId w:val="19"/>
        </w:numPr>
        <w:tabs>
          <w:tab w:pos="379" w:val="left" w:leader="none"/>
        </w:tabs>
        <w:spacing w:line="360" w:lineRule="auto" w:before="0" w:after="0"/>
        <w:ind w:left="102" w:right="118" w:firstLine="0"/>
        <w:jc w:val="both"/>
        <w:rPr>
          <w:sz w:val="22"/>
        </w:rPr>
      </w:pPr>
      <w:r>
        <w:rPr>
          <w:i/>
          <w:sz w:val="22"/>
        </w:rPr>
        <w:t>La confianza y participación </w:t>
      </w:r>
      <w:r>
        <w:rPr>
          <w:sz w:val="22"/>
        </w:rPr>
        <w:t>están relacionadas a la contribución de la gobernanza en  la creación de confianza entre la población, y en garantizar la inclusión de los actores a través de legitimidad democrática y equidad para la sociedad en</w:t>
      </w:r>
      <w:r>
        <w:rPr>
          <w:spacing w:val="-22"/>
          <w:sz w:val="22"/>
        </w:rPr>
        <w:t> </w:t>
      </w:r>
      <w:r>
        <w:rPr>
          <w:sz w:val="22"/>
        </w:rPr>
        <w:t>general.</w:t>
      </w:r>
    </w:p>
    <w:p>
      <w:pPr>
        <w:pStyle w:val="BodyText"/>
        <w:spacing w:before="7"/>
        <w:rPr>
          <w:sz w:val="17"/>
        </w:rPr>
      </w:pPr>
    </w:p>
    <w:p>
      <w:pPr>
        <w:spacing w:line="360" w:lineRule="auto" w:before="0"/>
        <w:ind w:left="102" w:right="117" w:firstLine="0"/>
        <w:jc w:val="both"/>
        <w:rPr>
          <w:i/>
          <w:sz w:val="22"/>
        </w:rPr>
      </w:pPr>
      <w:r>
        <w:rPr>
          <w:sz w:val="22"/>
        </w:rPr>
        <w:t>Los anteriores principios se originan en principios de buena gobernanza más generales, como son: </w:t>
      </w:r>
      <w:r>
        <w:rPr>
          <w:i/>
          <w:sz w:val="22"/>
        </w:rPr>
        <w:t>la legitimidad, la transparencia, la rendición de cuentas, los derechos humanos,</w:t>
      </w:r>
    </w:p>
    <w:p>
      <w:pPr>
        <w:spacing w:after="0" w:line="360" w:lineRule="auto"/>
        <w:jc w:val="both"/>
        <w:rPr>
          <w:sz w:val="22"/>
        </w:rPr>
        <w:sectPr>
          <w:pgSz w:w="12240" w:h="15840"/>
          <w:pgMar w:header="0" w:footer="1003" w:top="1360" w:bottom="1200" w:left="1600" w:right="1580"/>
        </w:sectPr>
      </w:pPr>
    </w:p>
    <w:p>
      <w:pPr>
        <w:pStyle w:val="BodyText"/>
        <w:spacing w:line="360" w:lineRule="auto" w:before="56"/>
        <w:ind w:left="102" w:right="115"/>
        <w:jc w:val="both"/>
      </w:pPr>
      <w:r>
        <w:rPr>
          <w:i/>
        </w:rPr>
        <w:t>el estado de derecho y el carácter incluyente</w:t>
      </w:r>
      <w:r>
        <w:rPr/>
        <w:t>. Como tales, consideran la gobernanza del agua como un medio para un fin y no un fin en sí mismo, es decir, el abanico de reglas, prácticas y procesos (formales e informales) políticos, institucionales y administrativos a través de los cuales se toman e implementan decisiones, los actores pueden articular sus intereses y que sus inquietudes sean tomadas en consideración, y los tomadores de decisiones rinden cuentas por su gestión del agua.</w:t>
      </w:r>
    </w:p>
    <w:p>
      <w:pPr>
        <w:pStyle w:val="BodyText"/>
        <w:spacing w:before="9"/>
        <w:rPr>
          <w:sz w:val="17"/>
        </w:rPr>
      </w:pPr>
    </w:p>
    <w:p>
      <w:pPr>
        <w:pStyle w:val="BodyText"/>
        <w:spacing w:line="360" w:lineRule="auto"/>
        <w:ind w:left="102" w:right="114"/>
        <w:jc w:val="both"/>
      </w:pPr>
      <w:r>
        <w:rPr/>
        <w:t>Por lo que, se espera que los Principios de Gobernanza del Agua de la OCDE contribuyan a la mejora del “Ciclo de Gobernanza del Agua”, desde la formulación de políticas hasta su</w:t>
      </w:r>
      <w:r>
        <w:rPr>
          <w:spacing w:val="-1"/>
        </w:rPr>
        <w:t> </w:t>
      </w:r>
      <w:r>
        <w:rPr/>
        <w:t>implementación.</w:t>
      </w:r>
    </w:p>
    <w:p>
      <w:pPr>
        <w:pStyle w:val="BodyText"/>
        <w:spacing w:before="7"/>
        <w:rPr>
          <w:sz w:val="17"/>
        </w:rPr>
      </w:pPr>
    </w:p>
    <w:p>
      <w:pPr>
        <w:pStyle w:val="Heading6"/>
        <w:ind w:left="2216"/>
      </w:pPr>
      <w:r>
        <w:rPr/>
        <w:t>Figura 1.2. El Ciclo de Gobernanza del Agua</w:t>
      </w:r>
    </w:p>
    <w:p>
      <w:pPr>
        <w:pStyle w:val="BodyText"/>
        <w:spacing w:before="2"/>
        <w:rPr>
          <w:b/>
          <w:sz w:val="25"/>
        </w:rPr>
      </w:pPr>
      <w:r>
        <w:rPr/>
        <w:drawing>
          <wp:anchor distT="0" distB="0" distL="0" distR="0" allowOverlap="1" layoutInCell="1" locked="0" behindDoc="0" simplePos="0" relativeHeight="1240">
            <wp:simplePos x="0" y="0"/>
            <wp:positionH relativeFrom="page">
              <wp:posOffset>1762125</wp:posOffset>
            </wp:positionH>
            <wp:positionV relativeFrom="paragraph">
              <wp:posOffset>209028</wp:posOffset>
            </wp:positionV>
            <wp:extent cx="4236251" cy="2610230"/>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6" cstate="print"/>
                    <a:stretch>
                      <a:fillRect/>
                    </a:stretch>
                  </pic:blipFill>
                  <pic:spPr>
                    <a:xfrm>
                      <a:off x="0" y="0"/>
                      <a:ext cx="4236251" cy="2610230"/>
                    </a:xfrm>
                    <a:prstGeom prst="rect">
                      <a:avLst/>
                    </a:prstGeom>
                  </pic:spPr>
                </pic:pic>
              </a:graphicData>
            </a:graphic>
          </wp:anchor>
        </w:drawing>
      </w:r>
    </w:p>
    <w:p>
      <w:pPr>
        <w:pStyle w:val="BodyText"/>
        <w:rPr>
          <w:b/>
          <w:sz w:val="26"/>
        </w:rPr>
      </w:pPr>
    </w:p>
    <w:p>
      <w:pPr>
        <w:spacing w:line="364" w:lineRule="auto" w:before="0"/>
        <w:ind w:left="102" w:right="112" w:firstLine="0"/>
        <w:jc w:val="both"/>
        <w:rPr>
          <w:sz w:val="22"/>
        </w:rPr>
      </w:pPr>
      <w:r>
        <w:rPr>
          <w:b/>
          <w:sz w:val="22"/>
        </w:rPr>
        <w:t>Fuente: </w:t>
      </w:r>
      <w:r>
        <w:rPr>
          <w:sz w:val="22"/>
        </w:rPr>
        <w:t>OCDE (2015), </w:t>
      </w:r>
      <w:r>
        <w:rPr>
          <w:b/>
          <w:sz w:val="22"/>
        </w:rPr>
        <w:t>Principios de Gobernanza del </w:t>
      </w:r>
      <w:r>
        <w:rPr>
          <w:b/>
          <w:spacing w:val="-3"/>
          <w:sz w:val="22"/>
        </w:rPr>
        <w:t>Agua </w:t>
      </w:r>
      <w:r>
        <w:rPr>
          <w:b/>
          <w:sz w:val="22"/>
        </w:rPr>
        <w:t>de la OCDE</w:t>
      </w:r>
      <w:r>
        <w:rPr>
          <w:sz w:val="22"/>
        </w:rPr>
        <w:t>, Junta  Directiva de Gobernanza Pública y Desarrollo Territorial,</w:t>
      </w:r>
      <w:r>
        <w:rPr>
          <w:spacing w:val="-17"/>
          <w:sz w:val="22"/>
        </w:rPr>
        <w:t> </w:t>
      </w:r>
      <w:r>
        <w:rPr>
          <w:sz w:val="22"/>
        </w:rPr>
        <w:t>España.</w:t>
      </w:r>
    </w:p>
    <w:p>
      <w:pPr>
        <w:pStyle w:val="BodyText"/>
        <w:spacing w:line="360" w:lineRule="auto" w:before="197"/>
        <w:ind w:left="102" w:right="118"/>
        <w:jc w:val="both"/>
      </w:pPr>
      <w:r>
        <w:rPr/>
        <w:t>Por lo que, hacer frente a los desafíos actuales y futuros requiere de políticas públicas sólidas orientadas a objetivos medibles, en calendarios previstos y predeterminados en la escala apropiada, con base a una clara asignación de funciones entre las autoridades competentes y sujetas a la supervisión y evaluación periódica.</w:t>
      </w:r>
    </w:p>
    <w:p>
      <w:pPr>
        <w:pStyle w:val="BodyText"/>
        <w:spacing w:before="9"/>
        <w:rPr>
          <w:sz w:val="17"/>
        </w:rPr>
      </w:pPr>
    </w:p>
    <w:p>
      <w:pPr>
        <w:pStyle w:val="BodyText"/>
        <w:spacing w:line="360" w:lineRule="auto"/>
        <w:ind w:left="102" w:right="114"/>
        <w:jc w:val="both"/>
      </w:pPr>
      <w:r>
        <w:rPr/>
        <w:t>En este sentido, la gobernanza del agua puede contribuir en gran medida al diseño e implementación de tales políticas mediante una responsabilidad compartida entre los distintos órdenes de gobierno, la sociedad civil, las empresas y la amplia gama de actores</w:t>
      </w:r>
    </w:p>
    <w:p>
      <w:pPr>
        <w:spacing w:after="0" w:line="360" w:lineRule="auto"/>
        <w:jc w:val="both"/>
        <w:sectPr>
          <w:pgSz w:w="12240" w:h="15840"/>
          <w:pgMar w:header="0" w:footer="1003" w:top="1360" w:bottom="1200" w:left="1600" w:right="1580"/>
        </w:sectPr>
      </w:pPr>
    </w:p>
    <w:p>
      <w:pPr>
        <w:pStyle w:val="BodyText"/>
        <w:spacing w:line="360" w:lineRule="auto" w:before="56"/>
        <w:ind w:left="102" w:right="116"/>
        <w:jc w:val="both"/>
      </w:pPr>
      <w:r>
        <w:rPr/>
        <w:t>que juegan un papel importante en estrecha colaboración para cosechar los beneficios económicos, sociales y ambientales de la buena gobernanza del agua.</w:t>
      </w:r>
    </w:p>
    <w:p>
      <w:pPr>
        <w:pStyle w:val="BodyText"/>
        <w:spacing w:before="7"/>
        <w:rPr>
          <w:sz w:val="17"/>
        </w:rPr>
      </w:pPr>
    </w:p>
    <w:p>
      <w:pPr>
        <w:pStyle w:val="BodyText"/>
        <w:spacing w:line="360" w:lineRule="auto"/>
        <w:ind w:left="102" w:right="115"/>
        <w:jc w:val="both"/>
      </w:pPr>
      <w:r>
        <w:rPr/>
        <w:t>Por tal motivo, no existe una solución universal para los desafíos del agua alrededor del mundo, sino más bien un conjunto de opciones basadas en la diversidad de los sistemas legales, administrativos y organizacionales entre países y dentro de éstos. La OCDE (2015), reconoce que la gobernanza es altamente contextual, que las políticas del agua deben adaptarse a los diferentes recursos hídricos y especificidades territoriales, y que las respuestas de la gobernanza deben adaptarse a las circunstancias cambiantes y a la gobernabilidad del lugar.</w:t>
      </w:r>
    </w:p>
    <w:p>
      <w:pPr>
        <w:pStyle w:val="BodyText"/>
        <w:spacing w:before="10"/>
        <w:rPr>
          <w:sz w:val="17"/>
        </w:rPr>
      </w:pPr>
    </w:p>
    <w:p>
      <w:pPr>
        <w:pStyle w:val="BodyText"/>
        <w:spacing w:line="360" w:lineRule="auto"/>
        <w:ind w:left="102" w:right="117"/>
        <w:jc w:val="both"/>
      </w:pPr>
      <w:r>
        <w:rPr/>
        <w:t>En este sentido, Castelazo (2003), menciona que la gobernabilidad se refiere a un conjunto de condiciones armonizadas. Ellas propician la capacidad de gobernar. No es “algo” espontaneo, ni un suceso permanente. Demanda la atención constante de órganos gubernamentales e instituciones políticas y sociales; se refiere a un proceso  de adaptación dinámica, capaz de dar respuestas idóneas a la constante evolución social.</w:t>
      </w:r>
    </w:p>
    <w:p>
      <w:pPr>
        <w:pStyle w:val="BodyText"/>
        <w:spacing w:before="7"/>
        <w:rPr>
          <w:sz w:val="17"/>
        </w:rPr>
      </w:pPr>
    </w:p>
    <w:p>
      <w:pPr>
        <w:pStyle w:val="BodyText"/>
        <w:spacing w:line="360" w:lineRule="auto"/>
        <w:ind w:left="102" w:right="117"/>
        <w:jc w:val="both"/>
      </w:pPr>
      <w:r>
        <w:rPr/>
        <w:t>La </w:t>
      </w:r>
      <w:r>
        <w:rPr>
          <w:i/>
        </w:rPr>
        <w:t>gobernabilidad </w:t>
      </w:r>
      <w:r>
        <w:rPr/>
        <w:t>se rige por </w:t>
      </w:r>
      <w:r>
        <w:rPr>
          <w:i/>
        </w:rPr>
        <w:t>principios de gobernanza </w:t>
      </w:r>
      <w:r>
        <w:rPr/>
        <w:t>que al reunirse, otorgan la legitimidad indispensable a la toma de decisiones de políticas públicas. Ellos tienden a garantizar la independencia de una nación y su soberanía; la libertad de sus habitantes, la imposición de justicia y la democracia. No hay gobernabilidad por sí misma, sino ha de estar conectada e identificada con ideas rectoras que le dan sentido, orientación, y le brindan la posibilidad de establecer objetivos concretos.</w:t>
      </w:r>
    </w:p>
    <w:p>
      <w:pPr>
        <w:pStyle w:val="BodyText"/>
        <w:spacing w:before="7"/>
        <w:rPr>
          <w:sz w:val="17"/>
        </w:rPr>
      </w:pPr>
    </w:p>
    <w:p>
      <w:pPr>
        <w:pStyle w:val="BodyText"/>
        <w:spacing w:line="360" w:lineRule="auto"/>
        <w:ind w:left="102" w:right="116"/>
        <w:jc w:val="both"/>
      </w:pPr>
      <w:r>
        <w:rPr/>
        <w:t>La gobernabilidad se regula por </w:t>
      </w:r>
      <w:r>
        <w:rPr>
          <w:i/>
        </w:rPr>
        <w:t>normas</w:t>
      </w:r>
      <w:r>
        <w:rPr/>
        <w:t>. Sólo un Estado de Derecho puede garantizar los incentivos o sanciones generadas por el actuar social. Desde luego, se parte de la Constitución Política, en la cual se establecen y comprometen los principios mencionados, y se determinan derechos y obligaciones con el fin de distribuir responsabilidades institucionales y personales, tanto al gobierno como a la sociedad. La Constitución se desagrega en leyes, reglamentos y otros ordenamientos aceptados por la comunidad como reglas de convivencia pacífica y constructiva.</w:t>
      </w:r>
    </w:p>
    <w:p>
      <w:pPr>
        <w:pStyle w:val="BodyText"/>
        <w:spacing w:before="9"/>
        <w:rPr>
          <w:sz w:val="17"/>
        </w:rPr>
      </w:pPr>
    </w:p>
    <w:p>
      <w:pPr>
        <w:pStyle w:val="BodyText"/>
        <w:spacing w:line="360" w:lineRule="auto"/>
        <w:ind w:left="102" w:right="114"/>
        <w:jc w:val="both"/>
      </w:pPr>
      <w:r>
        <w:rPr/>
        <w:t>La gobernabilidad se realiza a través de </w:t>
      </w:r>
      <w:r>
        <w:rPr>
          <w:i/>
        </w:rPr>
        <w:t>prácticas </w:t>
      </w:r>
      <w:r>
        <w:rPr/>
        <w:t>político-administrativas, traductoras de los principios y normas, en conductas específicas, comportamientos individuales e institucionales, orientados a lograr acuerdos básicos para “hacer” cosas que conlleven al bienestar general. Sin la búsqueda del bienestar, no hay gobernabilidad estable.</w:t>
      </w:r>
    </w:p>
    <w:p>
      <w:pPr>
        <w:spacing w:after="0" w:line="360" w:lineRule="auto"/>
        <w:jc w:val="both"/>
        <w:sectPr>
          <w:pgSz w:w="12240" w:h="15840"/>
          <w:pgMar w:header="0" w:footer="1003" w:top="1360" w:bottom="1200" w:left="1600" w:right="1580"/>
        </w:sectPr>
      </w:pPr>
    </w:p>
    <w:p>
      <w:pPr>
        <w:pStyle w:val="BodyText"/>
        <w:spacing w:line="360" w:lineRule="auto" w:before="56"/>
        <w:ind w:left="102" w:right="116"/>
        <w:jc w:val="both"/>
      </w:pPr>
      <w:r>
        <w:rPr/>
        <w:t>Se trata, en otras palabras, de gobernar con efectividad. Si pensamos en un triángulo en cuyo vértice superior aparece el concepto “Principios”, en el vértice inferior izquierdo “Normas” y en el inferior derecho “Prácticas”, se puede entender mejor el concepto de la “gobernabilidad”. Sin embargo, entre uno y otro de los vértices debe haber un elemento vinculante. Por ejemplo, entre el vértice uno (principios) y el dos (normas), habrá de existir “congruencia”. Asimismo, entre el dos (normas) y el tres (prácticas), debe haber “consistencia”, y entre el tres (prácticas) y el uno (principios) la relación lógica es la “correspondencia”.</w:t>
      </w:r>
    </w:p>
    <w:p>
      <w:pPr>
        <w:pStyle w:val="BodyText"/>
        <w:spacing w:before="7"/>
        <w:rPr>
          <w:sz w:val="17"/>
        </w:rPr>
      </w:pPr>
    </w:p>
    <w:p>
      <w:pPr>
        <w:pStyle w:val="BodyText"/>
        <w:spacing w:line="360" w:lineRule="auto"/>
        <w:ind w:left="102" w:right="120"/>
        <w:jc w:val="both"/>
      </w:pPr>
      <w:r>
        <w:rPr/>
        <w:t>La </w:t>
      </w:r>
      <w:r>
        <w:rPr>
          <w:i/>
        </w:rPr>
        <w:t>congruencia </w:t>
      </w:r>
      <w:r>
        <w:rPr/>
        <w:t>entre principios y normas, debe reflejarse en ordenamientos pertinentes, viables y comprensibles para su correcta ejecución por las autoridades y grupos sociales.</w:t>
      </w:r>
    </w:p>
    <w:p>
      <w:pPr>
        <w:pStyle w:val="BodyText"/>
        <w:spacing w:before="9"/>
        <w:rPr>
          <w:sz w:val="17"/>
        </w:rPr>
      </w:pPr>
    </w:p>
    <w:p>
      <w:pPr>
        <w:pStyle w:val="BodyText"/>
        <w:spacing w:line="360" w:lineRule="auto"/>
        <w:ind w:left="102" w:right="118"/>
        <w:jc w:val="both"/>
      </w:pPr>
      <w:r>
        <w:rPr/>
        <w:t>La </w:t>
      </w:r>
      <w:r>
        <w:rPr>
          <w:i/>
        </w:rPr>
        <w:t>consistencia </w:t>
      </w:r>
      <w:r>
        <w:rPr/>
        <w:t>entre normas y prácticas habrá de demostrar la solidez del sistema político-administrativo; la idoneidad del proceso de toma de decisiones, la planeación, la programación, el control y la evaluación; en suma, una realización eficiente y eficaz de los propósitos colectivos.</w:t>
      </w:r>
    </w:p>
    <w:p>
      <w:pPr>
        <w:pStyle w:val="BodyText"/>
        <w:spacing w:before="7"/>
        <w:rPr>
          <w:sz w:val="17"/>
        </w:rPr>
      </w:pPr>
    </w:p>
    <w:p>
      <w:pPr>
        <w:pStyle w:val="BodyText"/>
        <w:spacing w:line="360" w:lineRule="auto"/>
        <w:ind w:left="102" w:right="115"/>
        <w:jc w:val="both"/>
      </w:pPr>
      <w:r>
        <w:rPr/>
        <w:t>La </w:t>
      </w:r>
      <w:r>
        <w:rPr>
          <w:i/>
        </w:rPr>
        <w:t>correspondencia </w:t>
      </w:r>
      <w:r>
        <w:rPr/>
        <w:t>entre prácticas y principios significa la prueba objetiva de la corresponsabilidad en el actuar socio-gubernamental, en el sentido de trabajar realmente para el logro de las aspiraciones establecidas en los principios.</w:t>
      </w:r>
    </w:p>
    <w:p>
      <w:pPr>
        <w:pStyle w:val="BodyText"/>
        <w:spacing w:before="7"/>
        <w:rPr>
          <w:sz w:val="17"/>
        </w:rPr>
      </w:pPr>
    </w:p>
    <w:p>
      <w:pPr>
        <w:pStyle w:val="BodyText"/>
        <w:spacing w:line="360" w:lineRule="auto"/>
        <w:ind w:left="102" w:right="112"/>
        <w:jc w:val="both"/>
      </w:pPr>
      <w:r>
        <w:rPr>
          <w:i/>
        </w:rPr>
        <w:t>Congruencia, consistencia y correspondencia</w:t>
      </w:r>
      <w:r>
        <w:rPr/>
        <w:t>, son los conectores en este triángulo de gobernabilidad efectiva para la cooperación. Tal triada no es estática. Si en lo general funciona bien, de su constante movimiento se esperan acuerdos, compromisos, iniciativas socio-gubernamentales; definición e instrumentación de políticas públicas, por medio de una acción corresponsable de las instituciones democráticas representativas con la participación de la sociedad organizada para la cooperación.</w:t>
      </w:r>
    </w:p>
    <w:p>
      <w:pPr>
        <w:pStyle w:val="BodyText"/>
        <w:spacing w:before="7"/>
        <w:rPr>
          <w:sz w:val="17"/>
        </w:rPr>
      </w:pPr>
    </w:p>
    <w:p>
      <w:pPr>
        <w:pStyle w:val="BodyText"/>
        <w:spacing w:line="360" w:lineRule="auto"/>
        <w:ind w:left="102" w:right="113"/>
        <w:jc w:val="both"/>
      </w:pPr>
      <w:r>
        <w:rPr/>
        <w:t>En este sentido, en el Programa de las Naciones Unidas para el Desarrollo (PNUD, 2006), se dice que el agua tiene el potencial de actuar como un puente para la cooperación entre pueblos y países. Los gobiernos han encontrado soluciones para resolver las tensiones relativas a la gestión del agua, incluso en las situaciones políticas más difíciles. Desde el río Indo hasta los ríos Jordán y Mekong, Estados en situaciones de conflicto político e incluso militar, encontraron formas de mantener la cooperación en torno al agua. Es por ello, que en la gestión integrada de presas y cuerpos de agua compartidos se detectan</w:t>
      </w:r>
    </w:p>
    <w:p>
      <w:pPr>
        <w:spacing w:after="0" w:line="360" w:lineRule="auto"/>
        <w:jc w:val="both"/>
        <w:sectPr>
          <w:pgSz w:w="12240" w:h="15840"/>
          <w:pgMar w:header="0" w:footer="1003" w:top="1360" w:bottom="1200" w:left="1600" w:right="1580"/>
        </w:sectPr>
      </w:pPr>
    </w:p>
    <w:p>
      <w:pPr>
        <w:pStyle w:val="BodyText"/>
        <w:spacing w:line="360" w:lineRule="auto" w:before="56"/>
        <w:ind w:left="222" w:right="344"/>
      </w:pPr>
      <w:r>
        <w:rPr/>
        <w:t>experiencias previas a nivel mundial, continental, nacional y regional basadas en la gobernanza y la gobernabilidad. Ejemplos:</w:t>
      </w:r>
    </w:p>
    <w:p>
      <w:pPr>
        <w:pStyle w:val="BodyText"/>
        <w:spacing w:before="4"/>
        <w:rPr>
          <w:sz w:val="17"/>
        </w:rPr>
      </w:pPr>
    </w:p>
    <w:p>
      <w:pPr>
        <w:pStyle w:val="Heading6"/>
        <w:numPr>
          <w:ilvl w:val="1"/>
          <w:numId w:val="18"/>
        </w:numPr>
        <w:tabs>
          <w:tab w:pos="743" w:val="left" w:leader="none"/>
        </w:tabs>
        <w:spacing w:line="362" w:lineRule="auto" w:before="0" w:after="0"/>
        <w:ind w:left="222" w:right="233" w:firstLine="0"/>
        <w:jc w:val="left"/>
      </w:pPr>
      <w:r>
        <w:rPr/>
        <w:t>Experiencias de gestión integrada en cuerpos de agua a nivel mundial, continental, nacional y</w:t>
      </w:r>
      <w:r>
        <w:rPr>
          <w:spacing w:val="-3"/>
        </w:rPr>
        <w:t> </w:t>
      </w:r>
      <w:r>
        <w:rPr/>
        <w:t>regional</w:t>
      </w:r>
    </w:p>
    <w:p>
      <w:pPr>
        <w:pStyle w:val="BodyText"/>
        <w:spacing w:before="4"/>
        <w:rPr>
          <w:b/>
          <w:sz w:val="17"/>
        </w:rPr>
      </w:pPr>
    </w:p>
    <w:p>
      <w:pPr>
        <w:spacing w:before="0"/>
        <w:ind w:left="435" w:right="344" w:firstLine="0"/>
        <w:jc w:val="left"/>
        <w:rPr>
          <w:b/>
          <w:sz w:val="22"/>
        </w:rPr>
      </w:pPr>
      <w:r>
        <w:rPr>
          <w:b/>
          <w:sz w:val="22"/>
        </w:rPr>
        <w:t>Tabla 1.1. Experiencias de gestión integrada en cuerpos de agua a nivel mundial</w:t>
      </w:r>
    </w:p>
    <w:p>
      <w:pPr>
        <w:pStyle w:val="BodyText"/>
        <w:spacing w:before="9"/>
        <w:rPr>
          <w:b/>
          <w:sz w:val="2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6"/>
        <w:gridCol w:w="6301"/>
      </w:tblGrid>
      <w:tr>
        <w:trPr>
          <w:trHeight w:val="462" w:hRule="exact"/>
        </w:trPr>
        <w:tc>
          <w:tcPr>
            <w:tcW w:w="2756" w:type="dxa"/>
            <w:shd w:val="clear" w:color="auto" w:fill="A6A6A6"/>
          </w:tcPr>
          <w:p>
            <w:pPr>
              <w:pStyle w:val="TableParagraph"/>
              <w:spacing w:line="249" w:lineRule="exact"/>
              <w:ind w:left="796"/>
              <w:rPr>
                <w:b/>
                <w:sz w:val="22"/>
              </w:rPr>
            </w:pPr>
            <w:r>
              <w:rPr>
                <w:b/>
                <w:sz w:val="22"/>
              </w:rPr>
              <w:t>Continente</w:t>
            </w:r>
          </w:p>
        </w:tc>
        <w:tc>
          <w:tcPr>
            <w:tcW w:w="6301" w:type="dxa"/>
            <w:shd w:val="clear" w:color="auto" w:fill="A6A6A6"/>
          </w:tcPr>
          <w:p>
            <w:pPr>
              <w:pStyle w:val="TableParagraph"/>
              <w:spacing w:line="249" w:lineRule="exact"/>
              <w:ind w:left="2272" w:right="2279"/>
              <w:jc w:val="center"/>
              <w:rPr>
                <w:b/>
                <w:sz w:val="22"/>
              </w:rPr>
            </w:pPr>
            <w:r>
              <w:rPr>
                <w:b/>
                <w:sz w:val="22"/>
              </w:rPr>
              <w:t>Cuerpo de Agua</w:t>
            </w:r>
          </w:p>
        </w:tc>
      </w:tr>
      <w:tr>
        <w:trPr>
          <w:trHeight w:val="463" w:hRule="exact"/>
        </w:trPr>
        <w:tc>
          <w:tcPr>
            <w:tcW w:w="2756" w:type="dxa"/>
          </w:tcPr>
          <w:p>
            <w:pPr>
              <w:pStyle w:val="TableParagraph"/>
              <w:spacing w:line="248" w:lineRule="exact"/>
              <w:rPr>
                <w:b/>
                <w:sz w:val="22"/>
              </w:rPr>
            </w:pPr>
            <w:r>
              <w:rPr>
                <w:b/>
                <w:sz w:val="22"/>
              </w:rPr>
              <w:t>ÁFRICA:</w:t>
            </w:r>
          </w:p>
        </w:tc>
        <w:tc>
          <w:tcPr>
            <w:tcW w:w="6301" w:type="dxa"/>
          </w:tcPr>
          <w:p>
            <w:pPr>
              <w:pStyle w:val="TableParagraph"/>
              <w:spacing w:line="251" w:lineRule="exact"/>
              <w:ind w:left="100" w:right="48"/>
              <w:rPr>
                <w:sz w:val="22"/>
              </w:rPr>
            </w:pPr>
            <w:r>
              <w:rPr>
                <w:sz w:val="22"/>
              </w:rPr>
              <w:t>Ríos del Monte Kenia y Lago Victoria.</w:t>
            </w:r>
          </w:p>
        </w:tc>
      </w:tr>
      <w:tr>
        <w:trPr>
          <w:trHeight w:val="464" w:hRule="exact"/>
        </w:trPr>
        <w:tc>
          <w:tcPr>
            <w:tcW w:w="2756" w:type="dxa"/>
          </w:tcPr>
          <w:p>
            <w:pPr>
              <w:pStyle w:val="TableParagraph"/>
              <w:spacing w:line="249" w:lineRule="exact"/>
              <w:rPr>
                <w:b/>
                <w:sz w:val="22"/>
              </w:rPr>
            </w:pPr>
            <w:r>
              <w:rPr>
                <w:b/>
                <w:sz w:val="22"/>
              </w:rPr>
              <w:t>EUROPA:</w:t>
            </w:r>
          </w:p>
        </w:tc>
        <w:tc>
          <w:tcPr>
            <w:tcW w:w="6301" w:type="dxa"/>
          </w:tcPr>
          <w:p>
            <w:pPr>
              <w:pStyle w:val="TableParagraph"/>
              <w:spacing w:line="251" w:lineRule="exact"/>
              <w:ind w:left="100" w:right="48"/>
              <w:rPr>
                <w:sz w:val="22"/>
              </w:rPr>
            </w:pPr>
            <w:r>
              <w:rPr>
                <w:sz w:val="22"/>
              </w:rPr>
              <w:t>Río Rhin en Alemania y Río Greta en Reino Unido.</w:t>
            </w:r>
          </w:p>
        </w:tc>
      </w:tr>
      <w:tr>
        <w:trPr>
          <w:trHeight w:val="715" w:hRule="exact"/>
        </w:trPr>
        <w:tc>
          <w:tcPr>
            <w:tcW w:w="2756" w:type="dxa"/>
          </w:tcPr>
          <w:p>
            <w:pPr>
              <w:pStyle w:val="TableParagraph"/>
              <w:spacing w:line="248" w:lineRule="exact"/>
              <w:rPr>
                <w:b/>
                <w:sz w:val="22"/>
              </w:rPr>
            </w:pPr>
            <w:r>
              <w:rPr>
                <w:b/>
                <w:sz w:val="22"/>
              </w:rPr>
              <w:t>ASIA:</w:t>
            </w:r>
          </w:p>
        </w:tc>
        <w:tc>
          <w:tcPr>
            <w:tcW w:w="6301" w:type="dxa"/>
          </w:tcPr>
          <w:p>
            <w:pPr>
              <w:pStyle w:val="TableParagraph"/>
              <w:spacing w:line="242" w:lineRule="auto"/>
              <w:ind w:left="100" w:right="48"/>
              <w:rPr>
                <w:sz w:val="22"/>
              </w:rPr>
            </w:pPr>
            <w:r>
              <w:rPr>
                <w:sz w:val="22"/>
              </w:rPr>
              <w:t>El río Helmand de Afganistán, lago Lop de China, los humedales Hamoun y río Jordán.</w:t>
            </w:r>
          </w:p>
        </w:tc>
      </w:tr>
      <w:tr>
        <w:trPr>
          <w:trHeight w:val="463" w:hRule="exact"/>
        </w:trPr>
        <w:tc>
          <w:tcPr>
            <w:tcW w:w="2756" w:type="dxa"/>
          </w:tcPr>
          <w:p>
            <w:pPr>
              <w:pStyle w:val="TableParagraph"/>
              <w:spacing w:line="251" w:lineRule="exact"/>
              <w:rPr>
                <w:sz w:val="22"/>
              </w:rPr>
            </w:pPr>
            <w:r>
              <w:rPr>
                <w:b/>
                <w:sz w:val="22"/>
              </w:rPr>
              <w:t>OCEANIA</w:t>
            </w:r>
            <w:r>
              <w:rPr>
                <w:sz w:val="22"/>
              </w:rPr>
              <w:t>:</w:t>
            </w:r>
          </w:p>
        </w:tc>
        <w:tc>
          <w:tcPr>
            <w:tcW w:w="6301" w:type="dxa"/>
          </w:tcPr>
          <w:p>
            <w:pPr>
              <w:pStyle w:val="TableParagraph"/>
              <w:ind w:left="100" w:right="48"/>
              <w:rPr>
                <w:sz w:val="22"/>
              </w:rPr>
            </w:pPr>
            <w:r>
              <w:rPr>
                <w:sz w:val="22"/>
              </w:rPr>
              <w:t>Río Murray-Darling de Australia, y ríos en Nueva Zelandia.</w:t>
            </w:r>
          </w:p>
        </w:tc>
      </w:tr>
      <w:tr>
        <w:trPr>
          <w:trHeight w:val="917" w:hRule="exact"/>
        </w:trPr>
        <w:tc>
          <w:tcPr>
            <w:tcW w:w="2756" w:type="dxa"/>
          </w:tcPr>
          <w:p>
            <w:pPr>
              <w:pStyle w:val="TableParagraph"/>
              <w:spacing w:line="251" w:lineRule="exact"/>
              <w:rPr>
                <w:b/>
                <w:sz w:val="22"/>
              </w:rPr>
            </w:pPr>
            <w:r>
              <w:rPr>
                <w:b/>
                <w:sz w:val="22"/>
              </w:rPr>
              <w:t>AMÉRICA DEL NORTE:</w:t>
            </w:r>
          </w:p>
        </w:tc>
        <w:tc>
          <w:tcPr>
            <w:tcW w:w="6301" w:type="dxa"/>
          </w:tcPr>
          <w:p>
            <w:pPr>
              <w:pStyle w:val="TableParagraph"/>
              <w:ind w:left="100" w:right="48"/>
              <w:rPr>
                <w:sz w:val="22"/>
              </w:rPr>
            </w:pPr>
            <w:r>
              <w:rPr>
                <w:sz w:val="22"/>
              </w:rPr>
              <w:t>Charcas árticas en la Isla Ellesmere de Canadá, Más de 10,000 lagos en Alaska y río Colorado.</w:t>
            </w:r>
          </w:p>
        </w:tc>
      </w:tr>
      <w:tr>
        <w:trPr>
          <w:trHeight w:val="715" w:hRule="exact"/>
        </w:trPr>
        <w:tc>
          <w:tcPr>
            <w:tcW w:w="2756" w:type="dxa"/>
          </w:tcPr>
          <w:p>
            <w:pPr>
              <w:pStyle w:val="TableParagraph"/>
              <w:spacing w:line="242" w:lineRule="auto"/>
              <w:rPr>
                <w:b/>
                <w:sz w:val="22"/>
              </w:rPr>
            </w:pPr>
            <w:r>
              <w:rPr>
                <w:b/>
                <w:sz w:val="22"/>
              </w:rPr>
              <w:t>AMÉRICA CENTRAL Y DEL SUR:</w:t>
            </w:r>
          </w:p>
        </w:tc>
        <w:tc>
          <w:tcPr>
            <w:tcW w:w="6301" w:type="dxa"/>
          </w:tcPr>
          <w:p>
            <w:pPr>
              <w:pStyle w:val="TableParagraph"/>
              <w:spacing w:line="251" w:lineRule="exact"/>
              <w:ind w:left="100" w:right="48"/>
              <w:rPr>
                <w:sz w:val="22"/>
              </w:rPr>
            </w:pPr>
            <w:r>
              <w:rPr>
                <w:sz w:val="22"/>
              </w:rPr>
              <w:t>Lago Cachet en Chile y Cataratas del Iguazú.</w:t>
            </w:r>
          </w:p>
        </w:tc>
      </w:tr>
    </w:tbl>
    <w:p>
      <w:pPr>
        <w:pStyle w:val="BodyText"/>
        <w:spacing w:line="248" w:lineRule="exact"/>
        <w:ind w:left="1606" w:right="344"/>
      </w:pPr>
      <w:r>
        <w:rPr>
          <w:b/>
        </w:rPr>
        <w:t>Fuente: </w:t>
      </w:r>
      <w:r>
        <w:rPr/>
        <w:t>Elaboración propia con base en datos de Vilca, 2009.</w:t>
      </w:r>
    </w:p>
    <w:p>
      <w:pPr>
        <w:pStyle w:val="BodyText"/>
        <w:spacing w:before="6"/>
        <w:rPr>
          <w:sz w:val="28"/>
        </w:rPr>
      </w:pPr>
    </w:p>
    <w:p>
      <w:pPr>
        <w:pStyle w:val="Heading6"/>
        <w:numPr>
          <w:ilvl w:val="2"/>
          <w:numId w:val="18"/>
        </w:numPr>
        <w:tabs>
          <w:tab w:pos="839" w:val="left" w:leader="none"/>
        </w:tabs>
        <w:spacing w:line="240" w:lineRule="auto" w:before="0" w:after="0"/>
        <w:ind w:left="838" w:right="0" w:hanging="616"/>
        <w:jc w:val="both"/>
      </w:pPr>
      <w:bookmarkStart w:name="_TOC_250063" w:id="11"/>
      <w:r>
        <w:rPr/>
        <w:t>Antecedentes en</w:t>
      </w:r>
      <w:r>
        <w:rPr>
          <w:spacing w:val="-10"/>
        </w:rPr>
        <w:t> </w:t>
      </w:r>
      <w:bookmarkEnd w:id="11"/>
      <w:r>
        <w:rPr/>
        <w:t>África</w:t>
      </w:r>
    </w:p>
    <w:p>
      <w:pPr>
        <w:pStyle w:val="BodyText"/>
        <w:spacing w:before="5"/>
        <w:rPr>
          <w:b/>
          <w:sz w:val="28"/>
        </w:rPr>
      </w:pPr>
    </w:p>
    <w:p>
      <w:pPr>
        <w:pStyle w:val="BodyText"/>
        <w:spacing w:line="552" w:lineRule="auto" w:before="1"/>
        <w:ind w:left="222" w:right="570"/>
      </w:pPr>
      <w:r>
        <w:rPr/>
        <w:t>En el proyecto de ordenación GIRH ambiental del lago Victoria, se detectó lo siguiente: 1.- Trabajo conjunto de los tres Estados litorales: Kenya, Tanzanía y Uganda.</w:t>
      </w:r>
    </w:p>
    <w:p>
      <w:pPr>
        <w:pStyle w:val="BodyText"/>
        <w:spacing w:before="6"/>
        <w:ind w:left="222"/>
        <w:jc w:val="both"/>
      </w:pPr>
      <w:r>
        <w:rPr/>
        <w:t>2.- El objetivo primordial fue la rehabilitación del ecosistema lacustre.</w:t>
      </w:r>
    </w:p>
    <w:p>
      <w:pPr>
        <w:pStyle w:val="BodyText"/>
        <w:spacing w:before="5"/>
        <w:rPr>
          <w:sz w:val="28"/>
        </w:rPr>
      </w:pPr>
    </w:p>
    <w:p>
      <w:pPr>
        <w:pStyle w:val="BodyText"/>
        <w:spacing w:line="360" w:lineRule="auto" w:before="1"/>
        <w:ind w:left="222" w:right="234"/>
        <w:jc w:val="both"/>
      </w:pPr>
      <w:r>
        <w:rPr/>
        <w:t>3.- La primera fase de este proyecto comenzó en 1989, con el objetivo de alentar la cooperación en las cuestiones pesqueras entre los países lacustres. La segunda fase inició en 1995 para ayudar a establecer un marco de ordenación, un reglamento, para las pesquerías y crear una base de conocimientos para dicho marco.</w:t>
      </w:r>
    </w:p>
    <w:p>
      <w:pPr>
        <w:pStyle w:val="BodyText"/>
        <w:spacing w:before="7"/>
        <w:rPr>
          <w:sz w:val="17"/>
        </w:rPr>
      </w:pPr>
    </w:p>
    <w:p>
      <w:pPr>
        <w:pStyle w:val="BodyText"/>
        <w:spacing w:line="362" w:lineRule="auto"/>
        <w:ind w:left="222" w:right="344"/>
      </w:pPr>
      <w:r>
        <w:rPr/>
        <w:t>4.- Desarrollo de procesos participativos mediante la evaluación de estructuras comunitarias. (FAO,</w:t>
      </w:r>
      <w:r>
        <w:rPr>
          <w:spacing w:val="55"/>
        </w:rPr>
        <w:t> </w:t>
      </w:r>
      <w:r>
        <w:rPr/>
        <w:t>2004).</w:t>
      </w:r>
    </w:p>
    <w:p>
      <w:pPr>
        <w:spacing w:after="0" w:line="362" w:lineRule="auto"/>
        <w:sectPr>
          <w:footerReference w:type="default" r:id="rId17"/>
          <w:pgSz w:w="12240" w:h="15840"/>
          <w:pgMar w:footer="1003" w:header="0" w:top="1360" w:bottom="1200" w:left="1480" w:right="1460"/>
        </w:sectPr>
      </w:pPr>
    </w:p>
    <w:p>
      <w:pPr>
        <w:pStyle w:val="Heading6"/>
        <w:numPr>
          <w:ilvl w:val="2"/>
          <w:numId w:val="18"/>
        </w:numPr>
        <w:tabs>
          <w:tab w:pos="719" w:val="left" w:leader="none"/>
        </w:tabs>
        <w:spacing w:line="240" w:lineRule="auto" w:before="53" w:after="0"/>
        <w:ind w:left="718" w:right="0" w:hanging="616"/>
        <w:jc w:val="both"/>
      </w:pPr>
      <w:bookmarkStart w:name="_TOC_250062" w:id="12"/>
      <w:r>
        <w:rPr/>
        <w:t>Antecedentes en</w:t>
      </w:r>
      <w:r>
        <w:rPr>
          <w:spacing w:val="-8"/>
        </w:rPr>
        <w:t> </w:t>
      </w:r>
      <w:bookmarkEnd w:id="12"/>
      <w:r>
        <w:rPr/>
        <w:t>Europa</w:t>
      </w:r>
    </w:p>
    <w:p>
      <w:pPr>
        <w:pStyle w:val="BodyText"/>
        <w:spacing w:before="6"/>
        <w:rPr>
          <w:b/>
          <w:sz w:val="28"/>
        </w:rPr>
      </w:pPr>
    </w:p>
    <w:p>
      <w:pPr>
        <w:pStyle w:val="BodyText"/>
        <w:ind w:left="102"/>
        <w:jc w:val="both"/>
      </w:pPr>
      <w:r>
        <w:rPr/>
        <w:t>En el convenio GIRH sobre la protección del río Rhin se detecta lo siguiente:</w:t>
      </w:r>
    </w:p>
    <w:p>
      <w:pPr>
        <w:pStyle w:val="BodyText"/>
        <w:spacing w:before="5"/>
        <w:rPr>
          <w:sz w:val="28"/>
        </w:rPr>
      </w:pPr>
    </w:p>
    <w:p>
      <w:pPr>
        <w:pStyle w:val="BodyText"/>
        <w:spacing w:line="360" w:lineRule="auto" w:before="1"/>
        <w:ind w:left="102" w:right="116"/>
        <w:jc w:val="both"/>
      </w:pPr>
      <w:r>
        <w:rPr/>
        <w:t>1,- Creación de la Comisión Internacional para la Protección del río Rhin (CIPR); está compuesta por representantes de los Estados signatarios (Austria, Bélgica, Francia, Alemania, Italia, Liechtenstein, Luxemburgo, Países Bajos, Suiza). Su presidencia la ocupan por turnos dichos países. Toman las decisiones por unanimidad.</w:t>
      </w:r>
    </w:p>
    <w:p>
      <w:pPr>
        <w:pStyle w:val="BodyText"/>
        <w:spacing w:before="9"/>
        <w:rPr>
          <w:sz w:val="17"/>
        </w:rPr>
      </w:pPr>
    </w:p>
    <w:p>
      <w:pPr>
        <w:pStyle w:val="BodyText"/>
        <w:ind w:left="102"/>
        <w:jc w:val="both"/>
      </w:pPr>
      <w:r>
        <w:rPr/>
        <w:t>2.- Tiene como objetivo proteger y mejorar el ecosistema del río.</w:t>
      </w:r>
    </w:p>
    <w:p>
      <w:pPr>
        <w:pStyle w:val="BodyText"/>
        <w:spacing w:before="4"/>
        <w:rPr>
          <w:sz w:val="28"/>
        </w:rPr>
      </w:pPr>
    </w:p>
    <w:p>
      <w:pPr>
        <w:pStyle w:val="BodyText"/>
        <w:spacing w:line="360" w:lineRule="auto"/>
        <w:ind w:left="102" w:right="122"/>
        <w:jc w:val="both"/>
      </w:pPr>
      <w:r>
        <w:rPr/>
        <w:t>3.- Pretende consolidar la cooperación entre la comunidad y los estados ribereños del río mediante un reglamento que ordene el uso y protección del agua (Unión Europea, 2006).</w:t>
      </w:r>
    </w:p>
    <w:p>
      <w:pPr>
        <w:pStyle w:val="BodyText"/>
        <w:spacing w:before="7"/>
        <w:rPr>
          <w:sz w:val="17"/>
        </w:rPr>
      </w:pPr>
    </w:p>
    <w:p>
      <w:pPr>
        <w:pStyle w:val="Heading6"/>
        <w:numPr>
          <w:ilvl w:val="2"/>
          <w:numId w:val="18"/>
        </w:numPr>
        <w:tabs>
          <w:tab w:pos="719" w:val="left" w:leader="none"/>
        </w:tabs>
        <w:spacing w:line="240" w:lineRule="auto" w:before="0" w:after="0"/>
        <w:ind w:left="718" w:right="0" w:hanging="616"/>
        <w:jc w:val="both"/>
      </w:pPr>
      <w:bookmarkStart w:name="_TOC_250061" w:id="13"/>
      <w:r>
        <w:rPr/>
        <w:t>Antecedentes en</w:t>
      </w:r>
      <w:r>
        <w:rPr>
          <w:spacing w:val="-11"/>
        </w:rPr>
        <w:t> </w:t>
      </w:r>
      <w:bookmarkEnd w:id="13"/>
      <w:r>
        <w:rPr/>
        <w:t>Asia</w:t>
      </w:r>
    </w:p>
    <w:p>
      <w:pPr>
        <w:pStyle w:val="BodyText"/>
        <w:spacing w:before="5"/>
        <w:rPr>
          <w:b/>
          <w:sz w:val="28"/>
        </w:rPr>
      </w:pPr>
    </w:p>
    <w:p>
      <w:pPr>
        <w:pStyle w:val="BodyText"/>
        <w:spacing w:line="360" w:lineRule="auto" w:before="1"/>
        <w:ind w:left="102" w:right="117"/>
        <w:jc w:val="both"/>
      </w:pPr>
      <w:r>
        <w:rPr/>
        <w:t>La falta de cooperación y regulación del uso del agua entre los países de la cuenca del Lago Chad (Chad, Camerún, Níger y Nigeria), dio por resultado el deterioro ambiental y la destrucción progresiva del potencial de producción del lago. La pesca en exceso se ha institucionalizado, y la mala planificación de los proyectos de irrigación ha contribuido también a la crisis. No se ha implementado un trabajo GIRH, sólo acciones aisladas por país (FAO,</w:t>
      </w:r>
      <w:r>
        <w:rPr>
          <w:spacing w:val="57"/>
        </w:rPr>
        <w:t> </w:t>
      </w:r>
      <w:r>
        <w:rPr/>
        <w:t>2004).</w:t>
      </w:r>
    </w:p>
    <w:p>
      <w:pPr>
        <w:pStyle w:val="BodyText"/>
        <w:spacing w:before="4"/>
        <w:rPr>
          <w:sz w:val="17"/>
        </w:rPr>
      </w:pPr>
    </w:p>
    <w:p>
      <w:pPr>
        <w:pStyle w:val="Heading6"/>
        <w:numPr>
          <w:ilvl w:val="2"/>
          <w:numId w:val="18"/>
        </w:numPr>
        <w:tabs>
          <w:tab w:pos="719" w:val="left" w:leader="none"/>
        </w:tabs>
        <w:spacing w:line="240" w:lineRule="auto" w:before="0" w:after="0"/>
        <w:ind w:left="718" w:right="0" w:hanging="616"/>
        <w:jc w:val="both"/>
      </w:pPr>
      <w:bookmarkStart w:name="_TOC_250060" w:id="14"/>
      <w:r>
        <w:rPr/>
        <w:t>Antecedentes en</w:t>
      </w:r>
      <w:r>
        <w:rPr>
          <w:spacing w:val="-8"/>
        </w:rPr>
        <w:t> </w:t>
      </w:r>
      <w:bookmarkEnd w:id="14"/>
      <w:r>
        <w:rPr/>
        <w:t>América</w:t>
      </w:r>
    </w:p>
    <w:p>
      <w:pPr>
        <w:pStyle w:val="BodyText"/>
        <w:spacing w:before="5"/>
        <w:rPr>
          <w:b/>
          <w:sz w:val="28"/>
        </w:rPr>
      </w:pPr>
    </w:p>
    <w:p>
      <w:pPr>
        <w:pStyle w:val="BodyText"/>
        <w:spacing w:line="360" w:lineRule="auto" w:before="1"/>
        <w:ind w:left="102" w:right="115"/>
        <w:jc w:val="both"/>
      </w:pPr>
      <w:r>
        <w:rPr/>
        <w:t>En Colombia se han venido implementando diferentes trabajos sobre el manejo de recursos comunitarios y cooperación GIRH; dentro de los cuales está el análisis de la acción colectiva en la laguna de Fúquene, donde se detectó lo siguiente:</w:t>
      </w:r>
    </w:p>
    <w:p>
      <w:pPr>
        <w:pStyle w:val="BodyText"/>
        <w:spacing w:before="7"/>
        <w:rPr>
          <w:sz w:val="17"/>
        </w:rPr>
      </w:pPr>
    </w:p>
    <w:p>
      <w:pPr>
        <w:pStyle w:val="ListParagraph"/>
        <w:numPr>
          <w:ilvl w:val="0"/>
          <w:numId w:val="20"/>
        </w:numPr>
        <w:tabs>
          <w:tab w:pos="388" w:val="left" w:leader="none"/>
        </w:tabs>
        <w:spacing w:line="360" w:lineRule="auto" w:before="0" w:after="0"/>
        <w:ind w:left="102" w:right="116" w:firstLine="0"/>
        <w:jc w:val="both"/>
        <w:rPr>
          <w:sz w:val="22"/>
        </w:rPr>
      </w:pPr>
      <w:r>
        <w:rPr>
          <w:sz w:val="22"/>
        </w:rPr>
        <w:t>Implementación de la propuesta metodológica en campo: participaron 160 personas entre agricultores, ganaderos y usuarios provenientes de los municipios que comparten la laguna.</w:t>
      </w:r>
    </w:p>
    <w:p>
      <w:pPr>
        <w:pStyle w:val="BodyText"/>
        <w:spacing w:before="9"/>
        <w:rPr>
          <w:sz w:val="17"/>
        </w:rPr>
      </w:pPr>
    </w:p>
    <w:p>
      <w:pPr>
        <w:pStyle w:val="ListParagraph"/>
        <w:numPr>
          <w:ilvl w:val="0"/>
          <w:numId w:val="20"/>
        </w:numPr>
        <w:tabs>
          <w:tab w:pos="383" w:val="left" w:leader="none"/>
        </w:tabs>
        <w:spacing w:line="360" w:lineRule="auto" w:before="0" w:after="0"/>
        <w:ind w:left="102" w:right="121" w:firstLine="0"/>
        <w:jc w:val="both"/>
        <w:rPr>
          <w:sz w:val="22"/>
        </w:rPr>
      </w:pPr>
      <w:r>
        <w:rPr>
          <w:sz w:val="22"/>
        </w:rPr>
        <w:t>Los participantes aportaron elementos para entender la percepción de los diferentes actores de la laguna y poder elaborar un reglamento de uso de</w:t>
      </w:r>
      <w:r>
        <w:rPr>
          <w:spacing w:val="-16"/>
          <w:sz w:val="22"/>
        </w:rPr>
        <w:t> </w:t>
      </w:r>
      <w:r>
        <w:rPr>
          <w:sz w:val="22"/>
        </w:rPr>
        <w:t>ésta.</w:t>
      </w:r>
    </w:p>
    <w:p>
      <w:pPr>
        <w:pStyle w:val="BodyText"/>
        <w:spacing w:before="7"/>
        <w:rPr>
          <w:sz w:val="17"/>
        </w:rPr>
      </w:pPr>
    </w:p>
    <w:p>
      <w:pPr>
        <w:pStyle w:val="ListParagraph"/>
        <w:numPr>
          <w:ilvl w:val="0"/>
          <w:numId w:val="20"/>
        </w:numPr>
        <w:tabs>
          <w:tab w:pos="369" w:val="left" w:leader="none"/>
        </w:tabs>
        <w:spacing w:line="360" w:lineRule="auto" w:before="0" w:after="0"/>
        <w:ind w:left="102" w:right="119" w:firstLine="0"/>
        <w:jc w:val="both"/>
        <w:rPr>
          <w:sz w:val="22"/>
        </w:rPr>
      </w:pPr>
      <w:r>
        <w:rPr>
          <w:sz w:val="22"/>
        </w:rPr>
        <w:t>En campo pudo corroborarse la utilidad del análisis de la acción colectiva GIRH en el manejo de los recursos de uso común mediante la participación de la comunidad de la parte alta, media y baja de la cuenca de la laguna de Fúquene (Maya, </w:t>
      </w:r>
      <w:r>
        <w:rPr>
          <w:i/>
          <w:sz w:val="22"/>
        </w:rPr>
        <w:t>et al.,</w:t>
      </w:r>
      <w:r>
        <w:rPr>
          <w:i/>
          <w:spacing w:val="-21"/>
          <w:sz w:val="22"/>
        </w:rPr>
        <w:t> </w:t>
      </w:r>
      <w:r>
        <w:rPr>
          <w:sz w:val="22"/>
        </w:rPr>
        <w:t>2004).</w:t>
      </w:r>
    </w:p>
    <w:p>
      <w:pPr>
        <w:spacing w:after="0" w:line="360" w:lineRule="auto"/>
        <w:jc w:val="both"/>
        <w:rPr>
          <w:sz w:val="22"/>
        </w:rPr>
        <w:sectPr>
          <w:footerReference w:type="default" r:id="rId18"/>
          <w:pgSz w:w="12240" w:h="15840"/>
          <w:pgMar w:footer="1003" w:header="0" w:top="1360" w:bottom="1200" w:left="1600" w:right="1580"/>
          <w:pgNumType w:start="41"/>
        </w:sectPr>
      </w:pPr>
    </w:p>
    <w:p>
      <w:pPr>
        <w:pStyle w:val="Heading6"/>
        <w:numPr>
          <w:ilvl w:val="2"/>
          <w:numId w:val="18"/>
        </w:numPr>
        <w:tabs>
          <w:tab w:pos="719" w:val="left" w:leader="none"/>
        </w:tabs>
        <w:spacing w:line="240" w:lineRule="auto" w:before="53" w:after="0"/>
        <w:ind w:left="718" w:right="0" w:hanging="616"/>
        <w:jc w:val="both"/>
      </w:pPr>
      <w:bookmarkStart w:name="_TOC_250059" w:id="15"/>
      <w:r>
        <w:rPr/>
        <w:t>Antecedentes en</w:t>
      </w:r>
      <w:r>
        <w:rPr>
          <w:spacing w:val="-6"/>
        </w:rPr>
        <w:t> </w:t>
      </w:r>
      <w:bookmarkEnd w:id="15"/>
      <w:r>
        <w:rPr/>
        <w:t>México</w:t>
      </w:r>
    </w:p>
    <w:p>
      <w:pPr>
        <w:pStyle w:val="BodyText"/>
        <w:spacing w:before="6"/>
        <w:rPr>
          <w:b/>
          <w:sz w:val="28"/>
        </w:rPr>
      </w:pPr>
    </w:p>
    <w:p>
      <w:pPr>
        <w:pStyle w:val="BodyText"/>
        <w:ind w:left="102"/>
        <w:jc w:val="both"/>
      </w:pPr>
      <w:r>
        <w:rPr/>
        <w:t>En México el lago de Pátzcuaro ha sido estudiado con enfoque GIRH.</w:t>
      </w:r>
    </w:p>
    <w:p>
      <w:pPr>
        <w:pStyle w:val="BodyText"/>
        <w:spacing w:before="5"/>
        <w:rPr>
          <w:sz w:val="28"/>
        </w:rPr>
      </w:pPr>
    </w:p>
    <w:p>
      <w:pPr>
        <w:pStyle w:val="BodyText"/>
        <w:spacing w:line="360" w:lineRule="auto" w:before="1"/>
        <w:ind w:left="102" w:right="119"/>
        <w:jc w:val="both"/>
      </w:pPr>
      <w:r>
        <w:rPr/>
        <w:t>En la cuenca del lago de Pátzcuaro existe un estudio de gestión ambiental, donde se detecta lo siguiente:</w:t>
      </w:r>
    </w:p>
    <w:p>
      <w:pPr>
        <w:pStyle w:val="BodyText"/>
        <w:spacing w:before="7"/>
        <w:rPr>
          <w:sz w:val="17"/>
        </w:rPr>
      </w:pPr>
    </w:p>
    <w:p>
      <w:pPr>
        <w:pStyle w:val="ListParagraph"/>
        <w:numPr>
          <w:ilvl w:val="0"/>
          <w:numId w:val="21"/>
        </w:numPr>
        <w:tabs>
          <w:tab w:pos="347" w:val="left" w:leader="none"/>
        </w:tabs>
        <w:spacing w:line="240" w:lineRule="auto" w:before="0" w:after="0"/>
        <w:ind w:left="346" w:right="0" w:hanging="244"/>
        <w:jc w:val="both"/>
        <w:rPr>
          <w:sz w:val="22"/>
        </w:rPr>
      </w:pPr>
      <w:r>
        <w:rPr>
          <w:sz w:val="22"/>
        </w:rPr>
        <w:t>Trabajo conjunto de los presidentes municipales que comparten el</w:t>
      </w:r>
      <w:r>
        <w:rPr>
          <w:spacing w:val="-19"/>
          <w:sz w:val="22"/>
        </w:rPr>
        <w:t> </w:t>
      </w:r>
      <w:r>
        <w:rPr>
          <w:sz w:val="22"/>
        </w:rPr>
        <w:t>lago.</w:t>
      </w:r>
    </w:p>
    <w:p>
      <w:pPr>
        <w:pStyle w:val="BodyText"/>
        <w:spacing w:before="5"/>
        <w:rPr>
          <w:sz w:val="28"/>
        </w:rPr>
      </w:pPr>
    </w:p>
    <w:p>
      <w:pPr>
        <w:pStyle w:val="ListParagraph"/>
        <w:numPr>
          <w:ilvl w:val="0"/>
          <w:numId w:val="21"/>
        </w:numPr>
        <w:tabs>
          <w:tab w:pos="347" w:val="left" w:leader="none"/>
        </w:tabs>
        <w:spacing w:line="240" w:lineRule="auto" w:before="1" w:after="0"/>
        <w:ind w:left="346" w:right="0" w:hanging="244"/>
        <w:jc w:val="both"/>
        <w:rPr>
          <w:sz w:val="22"/>
        </w:rPr>
      </w:pPr>
      <w:r>
        <w:rPr>
          <w:sz w:val="22"/>
        </w:rPr>
        <w:t>Integración de un Comité Ejecutivo Intermunicipal (CEIM) para hacer un</w:t>
      </w:r>
      <w:r>
        <w:rPr>
          <w:spacing w:val="-28"/>
          <w:sz w:val="22"/>
        </w:rPr>
        <w:t> </w:t>
      </w:r>
      <w:r>
        <w:rPr>
          <w:sz w:val="22"/>
        </w:rPr>
        <w:t>reglamento.</w:t>
      </w:r>
    </w:p>
    <w:p>
      <w:pPr>
        <w:pStyle w:val="BodyText"/>
        <w:spacing w:before="3"/>
        <w:rPr>
          <w:sz w:val="28"/>
        </w:rPr>
      </w:pPr>
    </w:p>
    <w:p>
      <w:pPr>
        <w:pStyle w:val="ListParagraph"/>
        <w:numPr>
          <w:ilvl w:val="0"/>
          <w:numId w:val="21"/>
        </w:numPr>
        <w:tabs>
          <w:tab w:pos="350" w:val="left" w:leader="none"/>
        </w:tabs>
        <w:spacing w:line="240" w:lineRule="auto" w:before="0" w:after="0"/>
        <w:ind w:left="349" w:right="0" w:hanging="247"/>
        <w:jc w:val="both"/>
        <w:rPr>
          <w:sz w:val="22"/>
        </w:rPr>
      </w:pPr>
      <w:r>
        <w:rPr>
          <w:sz w:val="22"/>
        </w:rPr>
        <w:t>Formación de equipos técnicos en los</w:t>
      </w:r>
      <w:r>
        <w:rPr>
          <w:spacing w:val="-16"/>
          <w:sz w:val="22"/>
        </w:rPr>
        <w:t> </w:t>
      </w:r>
      <w:r>
        <w:rPr>
          <w:sz w:val="22"/>
        </w:rPr>
        <w:t>ayuntamientos.</w:t>
      </w:r>
    </w:p>
    <w:p>
      <w:pPr>
        <w:pStyle w:val="BodyText"/>
        <w:spacing w:before="6"/>
        <w:rPr>
          <w:sz w:val="28"/>
        </w:rPr>
      </w:pPr>
    </w:p>
    <w:p>
      <w:pPr>
        <w:pStyle w:val="ListParagraph"/>
        <w:numPr>
          <w:ilvl w:val="0"/>
          <w:numId w:val="21"/>
        </w:numPr>
        <w:tabs>
          <w:tab w:pos="350" w:val="left" w:leader="none"/>
        </w:tabs>
        <w:spacing w:line="240" w:lineRule="auto" w:before="0" w:after="0"/>
        <w:ind w:left="349" w:right="0" w:hanging="247"/>
        <w:jc w:val="both"/>
        <w:rPr>
          <w:sz w:val="22"/>
        </w:rPr>
      </w:pPr>
      <w:r>
        <w:rPr>
          <w:sz w:val="22"/>
        </w:rPr>
        <w:t>Acciones conjuntas a partir del conocimiento de la problemática regional (Lazos,</w:t>
      </w:r>
      <w:r>
        <w:rPr>
          <w:spacing w:val="-23"/>
          <w:sz w:val="22"/>
        </w:rPr>
        <w:t> </w:t>
      </w:r>
      <w:r>
        <w:rPr>
          <w:sz w:val="22"/>
        </w:rPr>
        <w:t>2006).</w:t>
      </w:r>
    </w:p>
    <w:p>
      <w:pPr>
        <w:pStyle w:val="BodyText"/>
        <w:spacing w:before="3"/>
        <w:rPr>
          <w:sz w:val="28"/>
        </w:rPr>
      </w:pPr>
    </w:p>
    <w:p>
      <w:pPr>
        <w:pStyle w:val="BodyText"/>
        <w:spacing w:line="360" w:lineRule="auto"/>
        <w:ind w:left="102" w:right="117"/>
        <w:jc w:val="both"/>
      </w:pPr>
      <w:r>
        <w:rPr/>
        <w:t>Otro caso es el de la alianza de la cuenca del río Ayuquila, en Jalisco, que se creó para salvaguardar el río. Dicha alianza ha sido muy exitosa al integrar a la sociedad civil en esta tarea. Además de proteger el río, la alianza busca crear un ordenamiento territorial  de la zona, tratar el agua, separar y manejar mejor los residuos sólidos y prevenir incendios en la Sierra de</w:t>
      </w:r>
      <w:r>
        <w:rPr>
          <w:spacing w:val="-11"/>
        </w:rPr>
        <w:t> </w:t>
      </w:r>
      <w:r>
        <w:rPr/>
        <w:t>Manantlán.</w:t>
      </w:r>
    </w:p>
    <w:p>
      <w:pPr>
        <w:pStyle w:val="BodyText"/>
        <w:spacing w:before="7"/>
        <w:rPr>
          <w:sz w:val="17"/>
        </w:rPr>
      </w:pPr>
    </w:p>
    <w:p>
      <w:pPr>
        <w:pStyle w:val="BodyText"/>
        <w:spacing w:line="360" w:lineRule="auto"/>
        <w:ind w:left="102" w:right="120"/>
        <w:jc w:val="both"/>
      </w:pPr>
      <w:r>
        <w:rPr/>
        <w:t>El éxito de dicha alianza también inspiró la creación de la cooperación de los municipios costeros de Yucatán que busca proteger y crear un ordenamiento territorial de la costa en cuestión. La alianza obtiene el apoyo de prácticamente todas las instituciones académicas de la zona y fondos de fuentes internacionales como el Banco Mundial y las Naciones Unidas (Instituto Mexicano para la Competitividad, 2014).</w:t>
      </w:r>
    </w:p>
    <w:p>
      <w:pPr>
        <w:pStyle w:val="BodyText"/>
        <w:spacing w:before="7"/>
        <w:rPr>
          <w:sz w:val="17"/>
        </w:rPr>
      </w:pPr>
    </w:p>
    <w:p>
      <w:pPr>
        <w:pStyle w:val="Heading6"/>
        <w:numPr>
          <w:ilvl w:val="2"/>
          <w:numId w:val="18"/>
        </w:numPr>
        <w:tabs>
          <w:tab w:pos="719" w:val="left" w:leader="none"/>
        </w:tabs>
        <w:spacing w:line="240" w:lineRule="auto" w:before="0" w:after="0"/>
        <w:ind w:left="718" w:right="0" w:hanging="616"/>
        <w:jc w:val="both"/>
      </w:pPr>
      <w:bookmarkStart w:name="_TOC_250058" w:id="16"/>
      <w:r>
        <w:rPr/>
        <w:t>Antecedentes en el Estado de</w:t>
      </w:r>
      <w:r>
        <w:rPr>
          <w:spacing w:val="-10"/>
        </w:rPr>
        <w:t> </w:t>
      </w:r>
      <w:bookmarkEnd w:id="16"/>
      <w:r>
        <w:rPr/>
        <w:t>México</w:t>
      </w:r>
    </w:p>
    <w:p>
      <w:pPr>
        <w:pStyle w:val="BodyText"/>
        <w:spacing w:before="5"/>
        <w:rPr>
          <w:b/>
          <w:sz w:val="28"/>
        </w:rPr>
      </w:pPr>
    </w:p>
    <w:p>
      <w:pPr>
        <w:pStyle w:val="BodyText"/>
        <w:spacing w:line="360" w:lineRule="auto" w:before="1"/>
        <w:ind w:left="102" w:right="115"/>
        <w:jc w:val="both"/>
      </w:pPr>
      <w:r>
        <w:rPr/>
        <w:t>Un caso que se perfila con enfoque GIRH, es el de la presa de Valle de Bravo. El 16 de octubre de 2003 se creó la Comisión de Cuenca Valle-Amanalco para la gestión integral del agua de la Cuenca, con el objeto de constituir un foro para la gestión integral del recurso agua. Ante esta situación las diferentes dependencias de los tres órdenes de gobierno, así como la sociedad organizada, generaron una gran cantidad de información, y en el año 2004, la Conagua, mediante el Instituto Mexicano de Tecnología del Agua (IMTA), decide analizar la información con el propósito de elaborar un documento rector que permita un manejo integral que coadyuve al desarrollo sustentable de la cuenca (Conagua,</w:t>
      </w:r>
      <w:r>
        <w:rPr>
          <w:spacing w:val="-3"/>
        </w:rPr>
        <w:t> </w:t>
      </w:r>
      <w:r>
        <w:rPr/>
        <w:t>2010).</w:t>
      </w:r>
    </w:p>
    <w:p>
      <w:pPr>
        <w:spacing w:after="0" w:line="360" w:lineRule="auto"/>
        <w:jc w:val="both"/>
        <w:sectPr>
          <w:pgSz w:w="12240" w:h="15840"/>
          <w:pgMar w:header="0" w:footer="1003" w:top="1360" w:bottom="1200" w:left="1600" w:right="1580"/>
        </w:sectPr>
      </w:pPr>
    </w:p>
    <w:p>
      <w:pPr>
        <w:pStyle w:val="BodyText"/>
        <w:spacing w:line="360" w:lineRule="auto" w:before="56"/>
        <w:ind w:left="102" w:right="116"/>
        <w:jc w:val="both"/>
      </w:pPr>
      <w:r>
        <w:rPr/>
        <w:t>A pesar de estos avances, no se ha implementado todavía la acción GIRH en dicho cuerpo de agua. Sin embargo, una de las principales acciones que se está trabajando, es la elaboración del reglamento intermunicipal de la presa Valle de Bravo (Conagua, CAEM, 2010).</w:t>
      </w:r>
    </w:p>
    <w:p>
      <w:pPr>
        <w:pStyle w:val="BodyText"/>
        <w:spacing w:before="7"/>
        <w:rPr>
          <w:sz w:val="17"/>
        </w:rPr>
      </w:pPr>
    </w:p>
    <w:p>
      <w:pPr>
        <w:pStyle w:val="Heading6"/>
        <w:numPr>
          <w:ilvl w:val="2"/>
          <w:numId w:val="18"/>
        </w:numPr>
        <w:tabs>
          <w:tab w:pos="779" w:val="left" w:leader="none"/>
        </w:tabs>
        <w:spacing w:line="240" w:lineRule="auto" w:before="0" w:after="0"/>
        <w:ind w:left="778" w:right="0" w:hanging="614"/>
        <w:jc w:val="both"/>
      </w:pPr>
      <w:bookmarkStart w:name="_TOC_250057" w:id="17"/>
      <w:r>
        <w:rPr/>
        <w:t>Antecedentes en la presa</w:t>
      </w:r>
      <w:r>
        <w:rPr>
          <w:spacing w:val="-9"/>
        </w:rPr>
        <w:t> </w:t>
      </w:r>
      <w:bookmarkEnd w:id="17"/>
      <w:r>
        <w:rPr/>
        <w:t>Huapango</w:t>
      </w:r>
    </w:p>
    <w:p>
      <w:pPr>
        <w:pStyle w:val="BodyText"/>
        <w:spacing w:before="5"/>
        <w:rPr>
          <w:b/>
          <w:sz w:val="28"/>
        </w:rPr>
      </w:pPr>
    </w:p>
    <w:p>
      <w:pPr>
        <w:pStyle w:val="BodyText"/>
        <w:spacing w:line="360" w:lineRule="auto" w:before="1"/>
        <w:ind w:left="102" w:right="113"/>
        <w:jc w:val="both"/>
      </w:pPr>
      <w:r>
        <w:rPr/>
        <w:t>Para el caso de la presa Huapango, se han detectado acciones en el pasado para su mejoramiento, preservación y uso. El primer investigador que se encargó de la región y de sus cuerpos de agua fue el antropólogo Román Piña Chan, quien identificó y describió el potencial para el desarrollo de la población usuaria de la presa. Menciona que el territorio del municipio de Acambay presenta una escisión hacia el sur por donde fluyen las aguas hacia el Valle de San Lucas o hacia la presa Huapango, donde era posible el regadío y un ambiente favorable para la fauna lacustre (gallaretas, patos y gansos), la cual resultaban de vital importancia para la dieta de los huamangueros de tiempos pasados, recomendando su conservación al estado Mexicano (Piña, 1976).</w:t>
      </w:r>
    </w:p>
    <w:p>
      <w:pPr>
        <w:pStyle w:val="BodyText"/>
        <w:spacing w:before="7"/>
        <w:rPr>
          <w:sz w:val="17"/>
        </w:rPr>
      </w:pPr>
    </w:p>
    <w:p>
      <w:pPr>
        <w:pStyle w:val="BodyText"/>
        <w:spacing w:line="362" w:lineRule="auto"/>
        <w:ind w:left="102" w:right="116"/>
        <w:jc w:val="both"/>
      </w:pPr>
      <w:r>
        <w:rPr/>
        <w:t>Por otro lado, la CAEM (2002), en un estudio estatal sobre los principales cuerpos de  agua y su calidad, identificó que la presa</w:t>
      </w:r>
      <w:r>
        <w:rPr>
          <w:spacing w:val="-16"/>
        </w:rPr>
        <w:t> </w:t>
      </w:r>
      <w:r>
        <w:rPr/>
        <w:t>Huapango:</w:t>
      </w:r>
    </w:p>
    <w:p>
      <w:pPr>
        <w:pStyle w:val="BodyText"/>
        <w:spacing w:before="5"/>
        <w:rPr>
          <w:sz w:val="17"/>
        </w:rPr>
      </w:pPr>
    </w:p>
    <w:p>
      <w:pPr>
        <w:pStyle w:val="ListParagraph"/>
        <w:numPr>
          <w:ilvl w:val="0"/>
          <w:numId w:val="22"/>
        </w:numPr>
        <w:tabs>
          <w:tab w:pos="414" w:val="left" w:leader="none"/>
        </w:tabs>
        <w:spacing w:line="360" w:lineRule="auto" w:before="0" w:after="0"/>
        <w:ind w:left="102" w:right="116" w:firstLine="0"/>
        <w:jc w:val="both"/>
        <w:rPr>
          <w:sz w:val="22"/>
        </w:rPr>
      </w:pPr>
      <w:r>
        <w:rPr>
          <w:sz w:val="22"/>
        </w:rPr>
        <w:t>Tiene graves problemas de contaminación por falta de tratamiento de las aguas residuales.</w:t>
      </w:r>
    </w:p>
    <w:p>
      <w:pPr>
        <w:pStyle w:val="BodyText"/>
        <w:spacing w:before="9"/>
        <w:rPr>
          <w:sz w:val="17"/>
        </w:rPr>
      </w:pPr>
    </w:p>
    <w:p>
      <w:pPr>
        <w:pStyle w:val="ListParagraph"/>
        <w:numPr>
          <w:ilvl w:val="0"/>
          <w:numId w:val="22"/>
        </w:numPr>
        <w:tabs>
          <w:tab w:pos="350" w:val="left" w:leader="none"/>
        </w:tabs>
        <w:spacing w:line="240" w:lineRule="auto" w:before="0" w:after="0"/>
        <w:ind w:left="349" w:right="0" w:hanging="247"/>
        <w:jc w:val="both"/>
        <w:rPr>
          <w:sz w:val="22"/>
        </w:rPr>
      </w:pPr>
      <w:r>
        <w:rPr>
          <w:sz w:val="22"/>
        </w:rPr>
        <w:t>Alto crecimiento demográfico en sus alrededores, sobre todo en la ribera del</w:t>
      </w:r>
      <w:r>
        <w:rPr>
          <w:spacing w:val="-27"/>
          <w:sz w:val="22"/>
        </w:rPr>
        <w:t> </w:t>
      </w:r>
      <w:r>
        <w:rPr>
          <w:sz w:val="22"/>
        </w:rPr>
        <w:t>lago.</w:t>
      </w:r>
    </w:p>
    <w:p>
      <w:pPr>
        <w:pStyle w:val="BodyText"/>
        <w:spacing w:before="3"/>
        <w:rPr>
          <w:sz w:val="28"/>
        </w:rPr>
      </w:pPr>
    </w:p>
    <w:p>
      <w:pPr>
        <w:pStyle w:val="ListParagraph"/>
        <w:numPr>
          <w:ilvl w:val="0"/>
          <w:numId w:val="22"/>
        </w:numPr>
        <w:tabs>
          <w:tab w:pos="350" w:val="left" w:leader="none"/>
        </w:tabs>
        <w:spacing w:line="240" w:lineRule="auto" w:before="0" w:after="0"/>
        <w:ind w:left="349" w:right="0" w:hanging="247"/>
        <w:jc w:val="both"/>
        <w:rPr>
          <w:sz w:val="22"/>
        </w:rPr>
      </w:pPr>
      <w:r>
        <w:rPr>
          <w:sz w:val="22"/>
        </w:rPr>
        <w:t>Aumento del consumo per cápita del</w:t>
      </w:r>
      <w:r>
        <w:rPr>
          <w:spacing w:val="-12"/>
          <w:sz w:val="22"/>
        </w:rPr>
        <w:t> </w:t>
      </w:r>
      <w:r>
        <w:rPr>
          <w:sz w:val="22"/>
        </w:rPr>
        <w:t>agua.</w:t>
      </w:r>
    </w:p>
    <w:p>
      <w:pPr>
        <w:pStyle w:val="BodyText"/>
        <w:spacing w:before="3"/>
        <w:rPr>
          <w:sz w:val="28"/>
        </w:rPr>
      </w:pPr>
    </w:p>
    <w:p>
      <w:pPr>
        <w:pStyle w:val="ListParagraph"/>
        <w:numPr>
          <w:ilvl w:val="0"/>
          <w:numId w:val="22"/>
        </w:numPr>
        <w:tabs>
          <w:tab w:pos="350" w:val="left" w:leader="none"/>
        </w:tabs>
        <w:spacing w:line="240" w:lineRule="auto" w:before="0" w:after="0"/>
        <w:ind w:left="349" w:right="0" w:hanging="247"/>
        <w:jc w:val="both"/>
        <w:rPr>
          <w:sz w:val="22"/>
        </w:rPr>
      </w:pPr>
      <w:r>
        <w:rPr>
          <w:sz w:val="22"/>
        </w:rPr>
        <w:t>Fugas por más del 30% por falta de mantenimiento de la</w:t>
      </w:r>
      <w:r>
        <w:rPr>
          <w:spacing w:val="-27"/>
          <w:sz w:val="22"/>
        </w:rPr>
        <w:t> </w:t>
      </w:r>
      <w:r>
        <w:rPr>
          <w:sz w:val="22"/>
        </w:rPr>
        <w:t>infraestructura.</w:t>
      </w:r>
    </w:p>
    <w:p>
      <w:pPr>
        <w:pStyle w:val="BodyText"/>
        <w:spacing w:before="5"/>
        <w:rPr>
          <w:sz w:val="28"/>
        </w:rPr>
      </w:pPr>
    </w:p>
    <w:p>
      <w:pPr>
        <w:pStyle w:val="ListParagraph"/>
        <w:numPr>
          <w:ilvl w:val="0"/>
          <w:numId w:val="22"/>
        </w:numPr>
        <w:tabs>
          <w:tab w:pos="347" w:val="left" w:leader="none"/>
        </w:tabs>
        <w:spacing w:line="240" w:lineRule="auto" w:before="1" w:after="0"/>
        <w:ind w:left="346" w:right="0" w:hanging="244"/>
        <w:jc w:val="both"/>
        <w:rPr>
          <w:sz w:val="22"/>
        </w:rPr>
      </w:pPr>
      <w:r>
        <w:rPr>
          <w:sz w:val="22"/>
        </w:rPr>
        <w:t>Tala inmoderada de bosques en la subcuenca</w:t>
      </w:r>
      <w:r>
        <w:rPr>
          <w:spacing w:val="-11"/>
          <w:sz w:val="22"/>
        </w:rPr>
        <w:t> </w:t>
      </w:r>
      <w:r>
        <w:rPr>
          <w:sz w:val="22"/>
        </w:rPr>
        <w:t>alta.</w:t>
      </w:r>
    </w:p>
    <w:p>
      <w:pPr>
        <w:pStyle w:val="BodyText"/>
        <w:spacing w:before="4"/>
        <w:rPr>
          <w:sz w:val="28"/>
        </w:rPr>
      </w:pPr>
    </w:p>
    <w:p>
      <w:pPr>
        <w:pStyle w:val="ListParagraph"/>
        <w:numPr>
          <w:ilvl w:val="0"/>
          <w:numId w:val="22"/>
        </w:numPr>
        <w:tabs>
          <w:tab w:pos="350" w:val="left" w:leader="none"/>
        </w:tabs>
        <w:spacing w:line="240" w:lineRule="auto" w:before="0" w:after="0"/>
        <w:ind w:left="349" w:right="0" w:hanging="247"/>
        <w:jc w:val="both"/>
        <w:rPr>
          <w:sz w:val="22"/>
        </w:rPr>
      </w:pPr>
      <w:r>
        <w:rPr>
          <w:sz w:val="22"/>
        </w:rPr>
        <w:t>Erosión de los suelos y arrastre de</w:t>
      </w:r>
      <w:r>
        <w:rPr>
          <w:spacing w:val="-16"/>
          <w:sz w:val="22"/>
        </w:rPr>
        <w:t> </w:t>
      </w:r>
      <w:r>
        <w:rPr>
          <w:sz w:val="22"/>
        </w:rPr>
        <w:t>sedimentos.</w:t>
      </w:r>
    </w:p>
    <w:p>
      <w:pPr>
        <w:pStyle w:val="BodyText"/>
        <w:spacing w:before="5"/>
        <w:rPr>
          <w:sz w:val="28"/>
        </w:rPr>
      </w:pPr>
    </w:p>
    <w:p>
      <w:pPr>
        <w:pStyle w:val="ListParagraph"/>
        <w:numPr>
          <w:ilvl w:val="0"/>
          <w:numId w:val="22"/>
        </w:numPr>
        <w:tabs>
          <w:tab w:pos="350" w:val="left" w:leader="none"/>
        </w:tabs>
        <w:spacing w:line="240" w:lineRule="auto" w:before="1" w:after="0"/>
        <w:ind w:left="349" w:right="0" w:hanging="247"/>
        <w:jc w:val="both"/>
        <w:rPr>
          <w:sz w:val="22"/>
        </w:rPr>
      </w:pPr>
      <w:r>
        <w:rPr>
          <w:sz w:val="22"/>
        </w:rPr>
        <w:t>Cambios ambientales y sus efectos sobre el régimen de lluvias (CAEM,</w:t>
      </w:r>
      <w:r>
        <w:rPr>
          <w:spacing w:val="-26"/>
          <w:sz w:val="22"/>
        </w:rPr>
        <w:t> </w:t>
      </w:r>
      <w:r>
        <w:rPr>
          <w:sz w:val="22"/>
        </w:rPr>
        <w:t>2002).</w:t>
      </w:r>
    </w:p>
    <w:p>
      <w:pPr>
        <w:pStyle w:val="BodyText"/>
        <w:spacing w:before="3"/>
        <w:rPr>
          <w:sz w:val="28"/>
        </w:rPr>
      </w:pPr>
    </w:p>
    <w:p>
      <w:pPr>
        <w:pStyle w:val="BodyText"/>
        <w:spacing w:line="360" w:lineRule="auto"/>
        <w:ind w:left="102" w:right="116"/>
        <w:jc w:val="both"/>
      </w:pPr>
      <w:r>
        <w:rPr/>
        <w:t>En el mismo sentido, Estrada, </w:t>
      </w:r>
      <w:r>
        <w:rPr>
          <w:i/>
        </w:rPr>
        <w:t>et al. </w:t>
      </w:r>
      <w:r>
        <w:rPr/>
        <w:t>(2011), en un estudio sobre daños colaterales de las carreteras identificaron que “La construcción del puente de la autopista Arco Norte dentro de la presa Huapango ha traído cambios dramáticos en el entorno (ruido, usos del suelo, perturbación de los animales nativos, descenso de áreas de cultivo y pastoreo)”.</w:t>
      </w:r>
    </w:p>
    <w:p>
      <w:pPr>
        <w:spacing w:after="0" w:line="360" w:lineRule="auto"/>
        <w:jc w:val="both"/>
        <w:sectPr>
          <w:pgSz w:w="12240" w:h="15840"/>
          <w:pgMar w:header="0" w:footer="1003" w:top="1360" w:bottom="1200" w:left="1600" w:right="1580"/>
        </w:sectPr>
      </w:pPr>
    </w:p>
    <w:p>
      <w:pPr>
        <w:pStyle w:val="BodyText"/>
        <w:spacing w:line="360" w:lineRule="auto" w:before="56"/>
        <w:ind w:left="102" w:right="113"/>
        <w:jc w:val="both"/>
      </w:pPr>
      <w:r>
        <w:rPr/>
        <w:t>Por su parte, Gallego, </w:t>
      </w:r>
      <w:r>
        <w:rPr>
          <w:i/>
        </w:rPr>
        <w:t>et al. </w:t>
      </w:r>
      <w:r>
        <w:rPr/>
        <w:t>(2012), en un estudio sobre </w:t>
      </w:r>
      <w:r>
        <w:rPr>
          <w:i/>
        </w:rPr>
        <w:t>la pesca ribereña de la presa </w:t>
      </w:r>
      <w:r>
        <w:rPr>
          <w:i/>
        </w:rPr>
        <w:t>Huapango</w:t>
      </w:r>
      <w:r>
        <w:rPr/>
        <w:t>, detectaron que “…existen al momento aproximadamente 137 pescadores activos y 63 eventuales. Los cuales tienen una dedicación especial a la pesca, lo que ha derivado en una tradición pesquera regional”. La captura de pescado ha dado un valor agregado artesanal para la venta a vecinos y mercados locales, creando una cultura lacustre y cocina lacustre.</w:t>
      </w:r>
    </w:p>
    <w:p>
      <w:pPr>
        <w:pStyle w:val="BodyText"/>
        <w:spacing w:before="9"/>
        <w:rPr>
          <w:sz w:val="17"/>
        </w:rPr>
      </w:pPr>
    </w:p>
    <w:p>
      <w:pPr>
        <w:pStyle w:val="BodyText"/>
        <w:spacing w:line="360" w:lineRule="auto"/>
        <w:ind w:left="102" w:right="117"/>
        <w:jc w:val="both"/>
      </w:pPr>
      <w:r>
        <w:rPr/>
        <w:t>Bajo este escenario de conflictos y deterioro ambiental, es urgente que para que la presa Huapango pueda sostenerse en el futuro, se dé la cooperación de los usuarios del agua y las autoridades, para que a través del cuidado y uso racional del agua puedan generar desarrollo en sus pueblos a nivel regional. En este sentido, la problemática de la presa Huapango debe ser atendida con un enfoque de GIRH basado en la gobernanza y la gobernabilidad para la elaboración de una propuesta de un Comité Intermunicipal con su Reglamento.</w:t>
      </w:r>
    </w:p>
    <w:p>
      <w:pPr>
        <w:pStyle w:val="BodyText"/>
        <w:spacing w:before="7"/>
        <w:rPr>
          <w:sz w:val="17"/>
        </w:rPr>
      </w:pPr>
    </w:p>
    <w:p>
      <w:pPr>
        <w:pStyle w:val="BodyText"/>
        <w:spacing w:line="360" w:lineRule="auto"/>
        <w:ind w:left="102" w:right="114"/>
        <w:jc w:val="both"/>
      </w:pPr>
      <w:r>
        <w:rPr/>
        <w:t>En este sentido, para Rogers y Hall (2003), la gestión es una preocupación tanto global como local que involucra a una diversidad de actores, por lo que la gobernanza se perfila así, dentro del ámbito ambiental, y especialmente referido a los recursos hídricos, como el enfoque teórico más idóneo para hablar de un gobierno de los recursos efectivamente participativo, dentro del esquema de la GIRH, es decir, con esquemas descentralizados  de toma de</w:t>
      </w:r>
      <w:r>
        <w:rPr>
          <w:spacing w:val="-4"/>
        </w:rPr>
        <w:t> </w:t>
      </w:r>
      <w:r>
        <w:rPr/>
        <w:t>decisiones.</w:t>
      </w:r>
    </w:p>
    <w:p>
      <w:pPr>
        <w:pStyle w:val="BodyText"/>
        <w:spacing w:before="7"/>
        <w:rPr>
          <w:sz w:val="17"/>
        </w:rPr>
      </w:pPr>
    </w:p>
    <w:p>
      <w:pPr>
        <w:pStyle w:val="BodyText"/>
        <w:spacing w:line="360" w:lineRule="auto"/>
        <w:ind w:left="102" w:right="115"/>
        <w:jc w:val="both"/>
      </w:pPr>
      <w:r>
        <w:rPr/>
        <w:t>Es así que, una buena gobernanza en la GIRH, es aquella donde la autoridad juega un papel menos protagónico, deja actuar en aquellos espacios donde son más eficientes otros actores, o ejerce un liderazgo que permita establecer reglas claras que faciliten la participación de otros actores y sectores en la gestión del agua, donde las decisiones respecto a las políticas públicas son establecidas por consenso. Para llegar a este punto, son necesarios la participación efectiva en las decisiones y el reconocimiento de los contextos socio-culturales para generar nuevos marcos institucionales a través de una serie de principios de gobernanza que se forman en torno a una contextualización  histórica del lugar para una buena gobernabilidad, como lo podemos apreciar en nuestro siguiente apartado de consideraciones</w:t>
      </w:r>
      <w:r>
        <w:rPr>
          <w:spacing w:val="-11"/>
        </w:rPr>
        <w:t> </w:t>
      </w:r>
      <w:r>
        <w:rPr/>
        <w:t>teóricas.</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84"/>
        <w:ind w:left="1038"/>
      </w:pPr>
      <w:r>
        <w:rPr/>
        <w:t>CONSIDERACIONES TEÓRICAS</w:t>
      </w:r>
    </w:p>
    <w:p>
      <w:pPr>
        <w:spacing w:after="0"/>
        <w:sectPr>
          <w:pgSz w:w="12240" w:h="15840"/>
          <w:pgMar w:header="0" w:footer="1003" w:top="1500" w:bottom="1200" w:left="1720" w:right="1580"/>
        </w:sectPr>
      </w:pPr>
    </w:p>
    <w:p>
      <w:pPr>
        <w:pStyle w:val="Heading6"/>
        <w:numPr>
          <w:ilvl w:val="0"/>
          <w:numId w:val="17"/>
        </w:numPr>
        <w:tabs>
          <w:tab w:pos="349" w:val="left" w:leader="none"/>
        </w:tabs>
        <w:spacing w:line="240" w:lineRule="auto" w:before="51" w:after="0"/>
        <w:ind w:left="348" w:right="0" w:hanging="246"/>
        <w:jc w:val="both"/>
      </w:pPr>
      <w:bookmarkStart w:name="_TOC_250056" w:id="18"/>
      <w:r>
        <w:rPr/>
        <w:t>CONSIDERACIONES</w:t>
      </w:r>
      <w:r>
        <w:rPr>
          <w:spacing w:val="-20"/>
        </w:rPr>
        <w:t> </w:t>
      </w:r>
      <w:bookmarkEnd w:id="18"/>
      <w:r>
        <w:rPr/>
        <w:t>TEÓRICAS</w:t>
      </w:r>
    </w:p>
    <w:p>
      <w:pPr>
        <w:pStyle w:val="BodyText"/>
        <w:rPr>
          <w:b/>
        </w:rPr>
      </w:pPr>
    </w:p>
    <w:p>
      <w:pPr>
        <w:pStyle w:val="BodyText"/>
        <w:spacing w:line="360" w:lineRule="auto" w:before="159"/>
        <w:ind w:left="102" w:right="113"/>
        <w:jc w:val="both"/>
      </w:pPr>
      <w:r>
        <w:rPr/>
        <w:t>A continuación se definen las consideraciones teóricas que guiaron la presente investigación para la obtención de datos en trabajo de campo, donde se describe la importancia de la teoría social para la interpretación de la información en la GIRH y se hace mención de los conceptos que guiaron el trabajo de campo, destacando la GIRH, la gobernanza y la gobernabilidad, en donde se detectaron una serie de principios de gobernanza que sustentaron el trabajo de campo: 1.- democracia y voluntariedad de la sociedad; 2.- autogestión; 3.- identidad; 4.- cooperación; 5.- cultura; 6.- poder y 7.- participación social; con los cuales se pudieron explicar las estructuras sociopolíticas generadas a través de la historia en la Cuenca Hidrosocial Presa Huapango para poder proponer la creación de un Comité Intermunicipal con su Reglamento sustentados éstos últimos en la GIRH, gobernanza y gobernabilidad, como instrumentos de planeación para desarrollar planes, programas y proyectos de desarrollo regional.</w:t>
      </w:r>
    </w:p>
    <w:p>
      <w:pPr>
        <w:pStyle w:val="BodyText"/>
        <w:spacing w:before="8"/>
        <w:rPr>
          <w:sz w:val="24"/>
        </w:rPr>
      </w:pPr>
    </w:p>
    <w:p>
      <w:pPr>
        <w:pStyle w:val="Heading6"/>
        <w:numPr>
          <w:ilvl w:val="1"/>
          <w:numId w:val="23"/>
        </w:numPr>
        <w:tabs>
          <w:tab w:pos="570" w:val="left" w:leader="none"/>
        </w:tabs>
        <w:spacing w:line="357" w:lineRule="auto" w:before="0" w:after="0"/>
        <w:ind w:left="102" w:right="118" w:firstLine="0"/>
        <w:jc w:val="both"/>
      </w:pPr>
      <w:r>
        <w:rPr/>
        <w:t>Importancia de la teoría social para la interpretación de la información en la GIRH</w:t>
      </w:r>
    </w:p>
    <w:p>
      <w:pPr>
        <w:pStyle w:val="BodyText"/>
        <w:spacing w:before="3"/>
        <w:rPr>
          <w:b/>
          <w:sz w:val="25"/>
        </w:rPr>
      </w:pPr>
    </w:p>
    <w:p>
      <w:pPr>
        <w:pStyle w:val="BodyText"/>
        <w:spacing w:line="357" w:lineRule="auto" w:before="1"/>
        <w:ind w:left="102" w:right="119"/>
        <w:jc w:val="both"/>
      </w:pPr>
      <w:r>
        <w:rPr/>
        <w:t>Durante décadas se ha intentado explicar los fenómenos y hechos que se producen en el natural; la mayoría de éstas se logra a través del método científico. Sin embargo ¿qué pasa con las explicaciones en los fenómenos sociales?</w:t>
      </w:r>
    </w:p>
    <w:p>
      <w:pPr>
        <w:pStyle w:val="BodyText"/>
        <w:spacing w:before="1"/>
        <w:rPr>
          <w:sz w:val="25"/>
        </w:rPr>
      </w:pPr>
    </w:p>
    <w:p>
      <w:pPr>
        <w:pStyle w:val="BodyText"/>
        <w:spacing w:line="357" w:lineRule="auto"/>
        <w:ind w:left="102" w:right="118"/>
        <w:jc w:val="both"/>
      </w:pPr>
      <w:r>
        <w:rPr/>
        <w:t>Aquí es donde las teorías juegan un rol fundamental. Al no poder la ciencia social hacer experimentos de laboratorio controlado de los fenómenos culturales, se han desarrollado una serie de teorías que ayudan a explicar el estudio y desarrollo de los temas sociales.</w:t>
      </w:r>
    </w:p>
    <w:p>
      <w:pPr>
        <w:pStyle w:val="BodyText"/>
        <w:spacing w:before="1"/>
        <w:rPr>
          <w:sz w:val="25"/>
        </w:rPr>
      </w:pPr>
    </w:p>
    <w:p>
      <w:pPr>
        <w:pStyle w:val="BodyText"/>
        <w:spacing w:line="360" w:lineRule="auto"/>
        <w:ind w:left="102" w:right="117"/>
        <w:jc w:val="both"/>
      </w:pPr>
      <w:r>
        <w:rPr/>
        <w:t>En este sentido, se forma un sistema lógico y deductivo, el cual puede denominarse como teoría, y se compone por una serie o conjunto de premisas supuestas y desde allí se busca explicar sucesos o fenómenos. Por eso, las teorías funcionan dentro de la ciencia como “modelos” para poder observar, reflexionar y analizar la realidad que nos circunda. Una teoría, compuesta entonces por principios, supuestos, axiomas y postulados, otorgan un marco desde donde puede mirarse la realidad y desde allí ser estudiada, en cualquiera de sus aspectos (Bunge, 1972).</w:t>
      </w:r>
    </w:p>
    <w:p>
      <w:pPr>
        <w:pStyle w:val="BodyText"/>
        <w:spacing w:before="10"/>
        <w:rPr>
          <w:sz w:val="24"/>
        </w:rPr>
      </w:pPr>
    </w:p>
    <w:p>
      <w:pPr>
        <w:pStyle w:val="BodyText"/>
        <w:spacing w:line="360" w:lineRule="auto"/>
        <w:ind w:left="102" w:right="118"/>
        <w:jc w:val="both"/>
      </w:pPr>
      <w:r>
        <w:rPr/>
        <w:t>Una teoría social, tiene dos características principales que hay que destacar: la primera  de</w:t>
      </w:r>
      <w:r>
        <w:rPr>
          <w:spacing w:val="54"/>
        </w:rPr>
        <w:t> </w:t>
      </w:r>
      <w:r>
        <w:rPr/>
        <w:t>ellas,</w:t>
      </w:r>
      <w:r>
        <w:rPr>
          <w:spacing w:val="55"/>
        </w:rPr>
        <w:t> </w:t>
      </w:r>
      <w:r>
        <w:rPr/>
        <w:t>es</w:t>
      </w:r>
      <w:r>
        <w:rPr>
          <w:spacing w:val="52"/>
        </w:rPr>
        <w:t> </w:t>
      </w:r>
      <w:r>
        <w:rPr/>
        <w:t>que</w:t>
      </w:r>
      <w:r>
        <w:rPr>
          <w:spacing w:val="52"/>
        </w:rPr>
        <w:t> </w:t>
      </w:r>
      <w:r>
        <w:rPr/>
        <w:t>la</w:t>
      </w:r>
      <w:r>
        <w:rPr>
          <w:spacing w:val="54"/>
        </w:rPr>
        <w:t> </w:t>
      </w:r>
      <w:r>
        <w:rPr/>
        <w:t>teoría</w:t>
      </w:r>
      <w:r>
        <w:rPr>
          <w:spacing w:val="54"/>
        </w:rPr>
        <w:t> </w:t>
      </w:r>
      <w:r>
        <w:rPr/>
        <w:t>puede</w:t>
      </w:r>
      <w:r>
        <w:rPr>
          <w:spacing w:val="54"/>
        </w:rPr>
        <w:t> </w:t>
      </w:r>
      <w:r>
        <w:rPr/>
        <w:t>ser</w:t>
      </w:r>
      <w:r>
        <w:rPr>
          <w:spacing w:val="55"/>
        </w:rPr>
        <w:t> </w:t>
      </w:r>
      <w:r>
        <w:rPr/>
        <w:t>aplicada</w:t>
      </w:r>
      <w:r>
        <w:rPr>
          <w:spacing w:val="54"/>
        </w:rPr>
        <w:t> </w:t>
      </w:r>
      <w:r>
        <w:rPr/>
        <w:t>a</w:t>
      </w:r>
      <w:r>
        <w:rPr>
          <w:spacing w:val="54"/>
        </w:rPr>
        <w:t> </w:t>
      </w:r>
      <w:r>
        <w:rPr/>
        <w:t>sucesos</w:t>
      </w:r>
      <w:r>
        <w:rPr>
          <w:spacing w:val="52"/>
        </w:rPr>
        <w:t> </w:t>
      </w:r>
      <w:r>
        <w:rPr/>
        <w:t>o</w:t>
      </w:r>
      <w:r>
        <w:rPr>
          <w:spacing w:val="52"/>
        </w:rPr>
        <w:t> </w:t>
      </w:r>
      <w:r>
        <w:rPr/>
        <w:t>fenómenos</w:t>
      </w:r>
      <w:r>
        <w:rPr>
          <w:spacing w:val="54"/>
        </w:rPr>
        <w:t> </w:t>
      </w:r>
      <w:r>
        <w:rPr/>
        <w:t>similares</w:t>
      </w:r>
      <w:r>
        <w:rPr>
          <w:spacing w:val="52"/>
        </w:rPr>
        <w:t> </w:t>
      </w:r>
      <w:r>
        <w:rPr/>
        <w:t>que</w:t>
      </w:r>
    </w:p>
    <w:p>
      <w:pPr>
        <w:spacing w:after="0" w:line="360" w:lineRule="auto"/>
        <w:jc w:val="both"/>
        <w:sectPr>
          <w:pgSz w:w="12240" w:h="15840"/>
          <w:pgMar w:header="0" w:footer="1003" w:top="1360" w:bottom="1200" w:left="1600" w:right="1580"/>
        </w:sectPr>
      </w:pPr>
    </w:p>
    <w:p>
      <w:pPr>
        <w:pStyle w:val="BodyText"/>
        <w:spacing w:line="357" w:lineRule="auto" w:before="56"/>
        <w:ind w:left="122" w:right="117"/>
        <w:jc w:val="both"/>
      </w:pPr>
      <w:r>
        <w:rPr/>
        <w:t>ocurran; de aquí se desprende la segunda característica, que es la de que las teorías pueden ser ampliadas, expandidas, e incluso refutadas con trabajo de campo, el cual ocupa el lugar de “laboratorio” de la ciencia natural o exacta.</w:t>
      </w:r>
    </w:p>
    <w:p>
      <w:pPr>
        <w:pStyle w:val="BodyText"/>
        <w:spacing w:before="1"/>
        <w:rPr>
          <w:sz w:val="25"/>
        </w:rPr>
      </w:pPr>
    </w:p>
    <w:p>
      <w:pPr>
        <w:pStyle w:val="BodyText"/>
        <w:spacing w:line="355" w:lineRule="auto"/>
        <w:ind w:left="122" w:right="114"/>
        <w:jc w:val="both"/>
      </w:pPr>
      <w:r>
        <w:rPr/>
        <w:t>Como se explica en el libro de Thomas Samuel Kuhn, </w:t>
      </w:r>
      <w:r>
        <w:rPr>
          <w:i/>
        </w:rPr>
        <w:t>La Estructura de las Revoluciones </w:t>
      </w:r>
      <w:r>
        <w:rPr>
          <w:i/>
        </w:rPr>
        <w:t>Científicas</w:t>
      </w:r>
      <w:r>
        <w:rPr>
          <w:i/>
          <w:position w:val="9"/>
          <w:sz w:val="14"/>
        </w:rPr>
        <w:t>3 </w:t>
      </w:r>
      <w:r>
        <w:rPr/>
        <w:t>(1972), cuyo texto ha causado polémica en la historia y filosofía de la ciencia,  y que marcó un hito en la epistemología, como lo manifiesta Leandro Sequeiros (2012), quien menciona lo</w:t>
      </w:r>
      <w:r>
        <w:rPr>
          <w:spacing w:val="-7"/>
        </w:rPr>
        <w:t> </w:t>
      </w:r>
      <w:r>
        <w:rPr/>
        <w:t>siguiente:</w:t>
      </w:r>
    </w:p>
    <w:p>
      <w:pPr>
        <w:pStyle w:val="BodyText"/>
        <w:spacing w:before="3"/>
        <w:rPr>
          <w:sz w:val="25"/>
        </w:rPr>
      </w:pPr>
    </w:p>
    <w:p>
      <w:pPr>
        <w:pStyle w:val="BodyText"/>
        <w:spacing w:line="360" w:lineRule="auto" w:before="1"/>
        <w:ind w:left="830" w:right="115"/>
        <w:jc w:val="both"/>
      </w:pPr>
      <w:r>
        <w:rPr/>
        <w:t>Para Kuhn, el progreso científico tiene un marco muy bien descrito, los investigadores y los científicos han tenido dos "ritmos" de innovación y de producción científica: el ritmo que denomina de "ciencia normal" y el de la "ciencia extraordinaria" (en la cual se dan las revoluciones científicas). Los conceptos de estadio de ciencia normal, de ciencia extraordinaria y de revolución científica, pese a su carácter discutible, han pasado ya al patrimonio común de los filósofos de las ciencias y también de los científicos y pueden resumirse en siete puntos:</w:t>
      </w:r>
    </w:p>
    <w:p>
      <w:pPr>
        <w:pStyle w:val="BodyText"/>
        <w:spacing w:before="5"/>
        <w:rPr>
          <w:sz w:val="24"/>
        </w:rPr>
      </w:pPr>
    </w:p>
    <w:p>
      <w:pPr>
        <w:pStyle w:val="ListParagraph"/>
        <w:numPr>
          <w:ilvl w:val="0"/>
          <w:numId w:val="24"/>
        </w:numPr>
        <w:tabs>
          <w:tab w:pos="384" w:val="left" w:leader="none"/>
        </w:tabs>
        <w:spacing w:line="360" w:lineRule="auto" w:before="0" w:after="0"/>
        <w:ind w:left="122" w:right="115" w:firstLine="0"/>
        <w:jc w:val="both"/>
        <w:rPr>
          <w:sz w:val="22"/>
        </w:rPr>
      </w:pPr>
      <w:r>
        <w:rPr>
          <w:b/>
          <w:sz w:val="22"/>
        </w:rPr>
        <w:t>Ciencia normal-ciencia extraordinaria</w:t>
      </w:r>
      <w:r>
        <w:rPr>
          <w:sz w:val="22"/>
        </w:rPr>
        <w:t>: para Kuhn, en los laboratorios, universidades y demás centros científicos (tanto de ciencias de la naturaleza como de ciencias sociales) se hace lo que él denomina como ciencia normal. La "ciencia normal" significa investigación basada firmemente en una o más realizaciones científicas pasadas, realizaciones que alguna comunidad científica particular reconoce, durante cierto tiempo, como fundamento para su práctica posterior”, por lo que "La ciencia normal, (...) es una empresa altamente acumulativa que ha tenido un éxito eminente en su objetivo, la extensión   continua   del   alcance   y   la   precisión   de   los   conocimientos </w:t>
      </w:r>
      <w:r>
        <w:rPr>
          <w:spacing w:val="2"/>
          <w:sz w:val="22"/>
        </w:rPr>
        <w:t> </w:t>
      </w:r>
      <w:r>
        <w:rPr>
          <w:sz w:val="22"/>
        </w:rPr>
        <w:t>científicos".</w:t>
      </w:r>
    </w:p>
    <w:p>
      <w:pPr>
        <w:pStyle w:val="BodyText"/>
      </w:pPr>
    </w:p>
    <w:p>
      <w:pPr>
        <w:pStyle w:val="BodyText"/>
        <w:spacing w:line="360" w:lineRule="auto" w:before="129"/>
        <w:ind w:left="122" w:right="118"/>
        <w:jc w:val="both"/>
      </w:pPr>
      <w:r>
        <w:rPr/>
        <w:t>Un elemento esencial de la ciencia normal es que ésta es compartida por un grupo respetable de investigadores que asumen esos conceptos, reglas y métodos. Este grupo, recibe el nombre de comunidad científica y es la protagonista del quehacer de la  ciencia.</w:t>
      </w:r>
    </w:p>
    <w:p>
      <w:pPr>
        <w:pStyle w:val="BodyText"/>
      </w:pPr>
    </w:p>
    <w:p>
      <w:pPr>
        <w:pStyle w:val="ListParagraph"/>
        <w:numPr>
          <w:ilvl w:val="0"/>
          <w:numId w:val="24"/>
        </w:numPr>
        <w:tabs>
          <w:tab w:pos="377" w:val="left" w:leader="none"/>
        </w:tabs>
        <w:spacing w:line="240" w:lineRule="auto" w:before="127" w:after="0"/>
        <w:ind w:left="376" w:right="0" w:hanging="254"/>
        <w:jc w:val="both"/>
        <w:rPr>
          <w:sz w:val="22"/>
        </w:rPr>
      </w:pPr>
      <w:r>
        <w:rPr>
          <w:b/>
          <w:sz w:val="22"/>
        </w:rPr>
        <w:t>Paradigma: </w:t>
      </w:r>
      <w:r>
        <w:rPr>
          <w:sz w:val="22"/>
        </w:rPr>
        <w:t>el concepto de paradigma no parecía bien delimitado por Kuhn, por lo </w:t>
      </w:r>
      <w:r>
        <w:rPr>
          <w:spacing w:val="16"/>
          <w:sz w:val="22"/>
        </w:rPr>
        <w:t> </w:t>
      </w:r>
      <w:r>
        <w:rPr>
          <w:sz w:val="22"/>
        </w:rPr>
        <w:t>que</w:t>
      </w: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1264;mso-wrap-distance-left:0;mso-wrap-distance-right:0" from="85.103996pt,8.270908pt" to="229.123996pt,8.270908pt" stroked="true" strokeweight=".71997pt" strokecolor="#000000">
            <w10:wrap type="topAndBottom"/>
          </v:line>
        </w:pict>
      </w:r>
    </w:p>
    <w:p>
      <w:pPr>
        <w:spacing w:line="242" w:lineRule="auto" w:before="69"/>
        <w:ind w:left="122" w:right="120" w:firstLine="0"/>
        <w:jc w:val="both"/>
        <w:rPr>
          <w:sz w:val="20"/>
        </w:rPr>
      </w:pPr>
      <w:r>
        <w:rPr>
          <w:rFonts w:ascii="Calibri" w:hAnsi="Calibri"/>
          <w:position w:val="7"/>
          <w:sz w:val="13"/>
        </w:rPr>
        <w:t>3 </w:t>
      </w:r>
      <w:r>
        <w:rPr>
          <w:b/>
          <w:sz w:val="20"/>
        </w:rPr>
        <w:t>La estructura de las revoluciones científicas </w:t>
      </w:r>
      <w:r>
        <w:rPr>
          <w:sz w:val="20"/>
        </w:rPr>
        <w:t>(Thomas Kuhn, 1962), Se publicó primero como monografía en la Enciclopedia internacional de la ciencia unificada (International Encyclopedia of Unified Science) y luego como libro por la editorial de la Universidad de Chicago en 1962. En 1969, Kuhn agregó un apéndice a modo de réplica a las críticas que había suscitado la primera edición.</w:t>
      </w:r>
    </w:p>
    <w:p>
      <w:pPr>
        <w:spacing w:after="0" w:line="242" w:lineRule="auto"/>
        <w:jc w:val="both"/>
        <w:rPr>
          <w:sz w:val="20"/>
        </w:rPr>
        <w:sectPr>
          <w:pgSz w:w="12240" w:h="15840"/>
          <w:pgMar w:header="0" w:footer="1003" w:top="1360" w:bottom="1200" w:left="1580" w:right="1580"/>
        </w:sectPr>
      </w:pPr>
    </w:p>
    <w:p>
      <w:pPr>
        <w:pStyle w:val="BodyText"/>
        <w:spacing w:line="360" w:lineRule="auto" w:before="51"/>
        <w:ind w:left="122" w:right="116"/>
        <w:jc w:val="both"/>
      </w:pPr>
      <w:r>
        <w:rPr/>
        <w:t>se vio en la necesidad de precisarlo en la famosa Posdata</w:t>
      </w:r>
      <w:r>
        <w:rPr>
          <w:position w:val="8"/>
          <w:sz w:val="14"/>
        </w:rPr>
        <w:t>4 </w:t>
      </w:r>
      <w:r>
        <w:rPr/>
        <w:t>de 1969, donde escribió: "Un paradigma es lo que los miembros de una comunidad científica comparten y, recíprocamente, una comunidad científica consiste en hombres que comparten un paradigma". (Khun, 1969:271).</w:t>
      </w:r>
    </w:p>
    <w:p>
      <w:pPr>
        <w:pStyle w:val="BodyText"/>
        <w:spacing w:before="10"/>
        <w:rPr>
          <w:sz w:val="24"/>
        </w:rPr>
      </w:pPr>
    </w:p>
    <w:p>
      <w:pPr>
        <w:pStyle w:val="BodyText"/>
        <w:spacing w:line="360" w:lineRule="auto"/>
        <w:ind w:left="122" w:right="117"/>
        <w:jc w:val="both"/>
      </w:pPr>
      <w:r>
        <w:rPr/>
        <w:t>Es por ello, que el estudio de los paradigmas es lo que prepara principalmente al estudiante para entrar a formar parte como miembro de la comunidad científica particular con la que trabajará más tarde, por lo que para Kuhn, los científicos de todos los tiempos, al hacer ciencia normal, lo han hecho dentro de grandes construcciones científicas que dan pie a determinadas tradiciones compactas de investigación científica que sirven de "modelo" o "patrón" para la práctica científica cotidiana: esta construcción hace las veces de "paradigma", de patrón, de molde en el que se incluye el trabajo de la ciencia normal.</w:t>
      </w:r>
    </w:p>
    <w:p>
      <w:pPr>
        <w:pStyle w:val="BodyText"/>
        <w:spacing w:before="8"/>
        <w:rPr>
          <w:sz w:val="24"/>
        </w:rPr>
      </w:pPr>
    </w:p>
    <w:p>
      <w:pPr>
        <w:pStyle w:val="BodyText"/>
        <w:spacing w:line="360" w:lineRule="auto"/>
        <w:ind w:left="122" w:right="115"/>
        <w:jc w:val="both"/>
      </w:pPr>
      <w:r>
        <w:rPr/>
        <w:t>Estas realizaciones son asumidas en momentos históricos por la comunidad científica y  se expresan en tratados científicos clásicos, como la Física de Aristóteles, los Principios de Newton y el Origen de las especies de Darwin. Estos textos expresan y sistematizan el saber en un momento determinado y son reconocidos por los científicos como  depositarios de un saber nuevo, por lo que: "Una investigación histórica profunda de una especialidad dada, en un momento dado, revela un conjunto de ilustraciones recurrentes y casi normalizadas de diversas teorías en sus aplicaciones conceptuales, instrumentales y de observación. Esos son los paradigmas de la comunidad revelados en sus libros de texto, sus conferencias y sus ejercicios de laboratorio" (Khun, 1972:</w:t>
      </w:r>
      <w:r>
        <w:rPr>
          <w:spacing w:val="-20"/>
        </w:rPr>
        <w:t> </w:t>
      </w:r>
      <w:r>
        <w:rPr/>
        <w:t>80).</w:t>
      </w:r>
    </w:p>
    <w:p>
      <w:pPr>
        <w:pStyle w:val="BodyText"/>
        <w:spacing w:before="10"/>
        <w:rPr>
          <w:sz w:val="24"/>
        </w:rPr>
      </w:pPr>
    </w:p>
    <w:p>
      <w:pPr>
        <w:pStyle w:val="BodyText"/>
        <w:spacing w:line="360" w:lineRule="auto"/>
        <w:ind w:left="122" w:right="115"/>
        <w:jc w:val="both"/>
      </w:pPr>
      <w:r>
        <w:rPr/>
        <w:t>Y lo que comparten los miembros de una comunidad científica no es solamente unas teorías racionales sino otros muchos elementos no estrictamente procedentes del campo de las ciencias. Dentro de estos paradigmas hay constelaciones de elementos como son las visiones del mundo, atravesadas de valores, ideologías, y métodos no estrictamente científicos. Como buen historiador de las ciencias investiga los mecanismos ocultos que dan lugar a las nuevas teorías. Muchas veces, el proceso de creación científica es ocasional o plagada de otros contenidos ajenos al pensamiento científico (filosofías, ideología, aspectos psicológicos y religiosos...).</w:t>
      </w:r>
    </w:p>
    <w:p>
      <w:pPr>
        <w:pStyle w:val="BodyText"/>
        <w:spacing w:before="8"/>
        <w:rPr>
          <w:sz w:val="24"/>
        </w:rPr>
      </w:pPr>
    </w:p>
    <w:p>
      <w:pPr>
        <w:pStyle w:val="ListParagraph"/>
        <w:numPr>
          <w:ilvl w:val="0"/>
          <w:numId w:val="24"/>
        </w:numPr>
        <w:tabs>
          <w:tab w:pos="420" w:val="left" w:leader="none"/>
        </w:tabs>
        <w:spacing w:line="362" w:lineRule="auto" w:before="0" w:after="0"/>
        <w:ind w:left="122" w:right="119" w:firstLine="0"/>
        <w:jc w:val="both"/>
        <w:rPr>
          <w:sz w:val="22"/>
        </w:rPr>
      </w:pPr>
      <w:r>
        <w:rPr>
          <w:b/>
          <w:sz w:val="22"/>
        </w:rPr>
        <w:t>Cambios en la Ciencia: </w:t>
      </w:r>
      <w:r>
        <w:rPr>
          <w:sz w:val="22"/>
        </w:rPr>
        <w:t>para Kuhn, la tarea normal de los científicos es resolver enigmas  dentro  del  paradigma  imperante.  Pero  cuando  en  un  cuerpo  científico    </w:t>
      </w:r>
      <w:r>
        <w:rPr>
          <w:spacing w:val="7"/>
          <w:sz w:val="22"/>
        </w:rPr>
        <w:t> </w:t>
      </w:r>
      <w:r>
        <w:rPr>
          <w:sz w:val="22"/>
        </w:rPr>
        <w:t>se</w:t>
      </w:r>
    </w:p>
    <w:p>
      <w:pPr>
        <w:pStyle w:val="BodyText"/>
        <w:rPr>
          <w:sz w:val="10"/>
        </w:rPr>
      </w:pPr>
      <w:r>
        <w:rPr/>
        <w:pict>
          <v:line style="position:absolute;mso-position-horizontal-relative:page;mso-position-vertical-relative:paragraph;z-index:1288;mso-wrap-distance-left:0;mso-wrap-distance-right:0" from="85.103996pt,8.077509pt" to="229.123996pt,8.077509pt" stroked="true" strokeweight=".72003pt" strokecolor="#000000">
            <w10:wrap type="topAndBottom"/>
          </v:line>
        </w:pict>
      </w:r>
    </w:p>
    <w:p>
      <w:pPr>
        <w:spacing w:before="68"/>
        <w:ind w:left="122" w:right="0" w:firstLine="0"/>
        <w:jc w:val="left"/>
        <w:rPr>
          <w:sz w:val="20"/>
        </w:rPr>
      </w:pPr>
      <w:r>
        <w:rPr>
          <w:position w:val="6"/>
          <w:sz w:val="13"/>
        </w:rPr>
        <w:t>4 </w:t>
      </w:r>
      <w:r>
        <w:rPr>
          <w:sz w:val="20"/>
        </w:rPr>
        <w:t>Kuhn, (1969) </w:t>
      </w:r>
      <w:r>
        <w:rPr>
          <w:b/>
          <w:sz w:val="20"/>
        </w:rPr>
        <w:t>La Estructura de las Revoluciones Científicas</w:t>
      </w:r>
      <w:r>
        <w:rPr>
          <w:sz w:val="20"/>
        </w:rPr>
        <w:t>, Posdata, Pág. 271.</w:t>
      </w:r>
    </w:p>
    <w:p>
      <w:pPr>
        <w:spacing w:after="0"/>
        <w:jc w:val="left"/>
        <w:rPr>
          <w:sz w:val="20"/>
        </w:rPr>
        <w:sectPr>
          <w:pgSz w:w="12240" w:h="15840"/>
          <w:pgMar w:header="0" w:footer="1003" w:top="1360" w:bottom="1200" w:left="1580" w:right="1580"/>
        </w:sectPr>
      </w:pPr>
    </w:p>
    <w:p>
      <w:pPr>
        <w:pStyle w:val="BodyText"/>
        <w:spacing w:line="360" w:lineRule="auto" w:before="56"/>
        <w:ind w:left="102" w:right="115"/>
        <w:jc w:val="both"/>
      </w:pPr>
      <w:r>
        <w:rPr/>
        <w:t>descubren anomalías (fenómenos nuevos, inesperados, no previstos) lo primero que hacen los científicos es integrarlos, asimilarlos, incluirlos en el paradigma vigente, modificándolo, por lo que los enigmas son aquella categoría especial de problemas que pueden servir para poner a prueba el ingenio o la habilidad para resolverlos, por lo que la investigación científica descubre repetidamente fenómenos nuevos e inesperados y los científicos han inventado, de manera continua, teorías radicalmente nuevas.</w:t>
      </w:r>
    </w:p>
    <w:p>
      <w:pPr>
        <w:pStyle w:val="BodyText"/>
        <w:spacing w:before="8"/>
        <w:rPr>
          <w:sz w:val="24"/>
        </w:rPr>
      </w:pPr>
    </w:p>
    <w:p>
      <w:pPr>
        <w:pStyle w:val="ListParagraph"/>
        <w:numPr>
          <w:ilvl w:val="0"/>
          <w:numId w:val="24"/>
        </w:numPr>
        <w:tabs>
          <w:tab w:pos="352" w:val="left" w:leader="none"/>
        </w:tabs>
        <w:spacing w:line="360" w:lineRule="auto" w:before="0" w:after="0"/>
        <w:ind w:left="102" w:right="112" w:firstLine="0"/>
        <w:jc w:val="both"/>
        <w:rPr>
          <w:sz w:val="22"/>
        </w:rPr>
      </w:pPr>
      <w:r>
        <w:rPr>
          <w:b/>
          <w:sz w:val="22"/>
        </w:rPr>
        <w:t>Enigmas que resolver: </w:t>
      </w:r>
      <w:r>
        <w:rPr>
          <w:sz w:val="22"/>
        </w:rPr>
        <w:t>La tarea de la comunidad científica, que investiga dentro de un paradigma, es resolver las preguntas que se traducen en problemas, los enigmas que se van presentando. De este modo, un paradigma va siendo progresivamente precisado y ampliado, corregido y matizado. Es por ello, que Kuhn, señala que "Cuanto más exacto y comprensivo es un paradigma, tanto más sensible se vuelve como indicador de anomalías, dando así ocasión a un cambio de paradigma" (…) "Para ser aceptada como paradigma, una teoría debe parecer mejor que sus competidoras; pero no necesita explicar y, en efecto, nunca lo hace, todos los hechos que se puedan confrontar con ella" (Kuhn, 1972: 44 y</w:t>
      </w:r>
      <w:r>
        <w:rPr>
          <w:spacing w:val="-5"/>
          <w:sz w:val="22"/>
        </w:rPr>
        <w:t> </w:t>
      </w:r>
      <w:r>
        <w:rPr>
          <w:sz w:val="22"/>
        </w:rPr>
        <w:t>111).</w:t>
      </w:r>
    </w:p>
    <w:p>
      <w:pPr>
        <w:pStyle w:val="BodyText"/>
        <w:spacing w:before="10"/>
        <w:rPr>
          <w:sz w:val="24"/>
        </w:rPr>
      </w:pPr>
    </w:p>
    <w:p>
      <w:pPr>
        <w:pStyle w:val="BodyText"/>
        <w:spacing w:line="360" w:lineRule="auto"/>
        <w:ind w:left="102" w:right="114"/>
        <w:jc w:val="both"/>
      </w:pPr>
      <w:r>
        <w:rPr/>
        <w:t>Por lo que "Estas transformaciones de los paradigmas de la óptica física son las revoluciones científicas y la transición sucesiva de un paradigma a otro por medio de una revolución es el patrón usual de desarrollo de una ciencia madura" (Kuhn, 1962: 36). "Una de las cosas que adquiere una comunidad científica con un paradigma, es un criterio para seleccionar problemas que, mientras se dé por sentado el paradigma, puede suponerse que tiene soluciones" (Kuhn,1972: 71).</w:t>
      </w:r>
    </w:p>
    <w:p>
      <w:pPr>
        <w:pStyle w:val="BodyText"/>
        <w:spacing w:before="8"/>
        <w:rPr>
          <w:sz w:val="24"/>
        </w:rPr>
      </w:pPr>
    </w:p>
    <w:p>
      <w:pPr>
        <w:pStyle w:val="ListParagraph"/>
        <w:numPr>
          <w:ilvl w:val="0"/>
          <w:numId w:val="24"/>
        </w:numPr>
        <w:tabs>
          <w:tab w:pos="359" w:val="left" w:leader="none"/>
        </w:tabs>
        <w:spacing w:line="360" w:lineRule="auto" w:before="0" w:after="0"/>
        <w:ind w:left="102" w:right="118" w:firstLine="0"/>
        <w:jc w:val="both"/>
        <w:rPr>
          <w:sz w:val="22"/>
        </w:rPr>
      </w:pPr>
      <w:r>
        <w:rPr>
          <w:b/>
          <w:sz w:val="22"/>
        </w:rPr>
        <w:t>Cambio de paradigma: </w:t>
      </w:r>
      <w:r>
        <w:rPr>
          <w:sz w:val="22"/>
        </w:rPr>
        <w:t>para Kuhn, "Una vez que una teoría científica ha alcanzado el status de paradigma, no será declarada inválida mientras no haga acto de presencia otro candidato que pueda ocupar su lugar". (Kuhn, 1972: 128). Por tanto, un paradigma no cae para que otro emerja. La condición necesaria es que aparezcan interpretaciones alternativas a la tradicional que expliquen de modo más simple y comprensivo el enigma que se propuso, ya que "El rechazar un paradigma sin reemplazarlo por otro, es rechazar la ciencia misma. Ese acto no se refleja en el paradigma sino en el hombre. De manera inevitable, será considerado por sus colegas como "el carpintero que culpa a sus herramientas" (Kuhn, 1972:</w:t>
      </w:r>
      <w:r>
        <w:rPr>
          <w:spacing w:val="-6"/>
          <w:sz w:val="22"/>
        </w:rPr>
        <w:t> </w:t>
      </w:r>
      <w:r>
        <w:rPr>
          <w:sz w:val="22"/>
        </w:rPr>
        <w:t>131).</w:t>
      </w:r>
    </w:p>
    <w:p>
      <w:pPr>
        <w:spacing w:after="0" w:line="360" w:lineRule="auto"/>
        <w:jc w:val="both"/>
        <w:rPr>
          <w:sz w:val="22"/>
        </w:rPr>
        <w:sectPr>
          <w:pgSz w:w="12240" w:h="15840"/>
          <w:pgMar w:header="0" w:footer="1003" w:top="1360" w:bottom="1200" w:left="1600" w:right="1580"/>
        </w:sectPr>
      </w:pPr>
    </w:p>
    <w:p>
      <w:pPr>
        <w:pStyle w:val="ListParagraph"/>
        <w:numPr>
          <w:ilvl w:val="0"/>
          <w:numId w:val="24"/>
        </w:numPr>
        <w:tabs>
          <w:tab w:pos="362" w:val="left" w:leader="none"/>
        </w:tabs>
        <w:spacing w:line="360" w:lineRule="auto" w:before="53" w:after="0"/>
        <w:ind w:left="102" w:right="115" w:firstLine="0"/>
        <w:jc w:val="both"/>
        <w:rPr>
          <w:sz w:val="22"/>
        </w:rPr>
      </w:pPr>
      <w:r>
        <w:rPr>
          <w:b/>
          <w:sz w:val="22"/>
        </w:rPr>
        <w:t>Sustitución revolucionaria: </w:t>
      </w:r>
      <w:r>
        <w:rPr>
          <w:sz w:val="22"/>
        </w:rPr>
        <w:t>para Kuhn, la sustitución de un paradigma por otro no es un proceso gradual, lento, poco a poco. Es una sustitución "revolucionaria"; esto es, violenta, súbita, radical. "Los episodios extraordinarios en que tienen lugar esos cambios de comportamientos profesionales son los que se denominan en este  ensayo revoluciones científicas (...) Parece como si toda la comunidad de expertos se trasladase de repente a otro planeta, en el que los objetos conocidos se presentan bajo una nueva luz y otros desconocidos se asocian a ellos" (Kuhn, 1972:</w:t>
      </w:r>
      <w:r>
        <w:rPr>
          <w:spacing w:val="-12"/>
          <w:sz w:val="22"/>
        </w:rPr>
        <w:t> </w:t>
      </w:r>
      <w:r>
        <w:rPr>
          <w:sz w:val="22"/>
        </w:rPr>
        <w:t>27).</w:t>
      </w:r>
    </w:p>
    <w:p>
      <w:pPr>
        <w:pStyle w:val="BodyText"/>
        <w:spacing w:before="8"/>
        <w:rPr>
          <w:sz w:val="24"/>
        </w:rPr>
      </w:pPr>
    </w:p>
    <w:p>
      <w:pPr>
        <w:pStyle w:val="BodyText"/>
        <w:spacing w:line="360" w:lineRule="auto"/>
        <w:ind w:left="102" w:right="112"/>
        <w:jc w:val="both"/>
      </w:pPr>
      <w:r>
        <w:rPr/>
        <w:t>Por lo que, "La transición de un paradigma en crisis a otro nuevo del que pueda surgir una nueva tradición de ciencia normal, está lejos de ser un proceso de acumulación, al que se llegue por medio de una articulación o una ampliación del antiguo paradigma. Es más bien una reconstrucción del campo, a partir de nuevos fundamentos, reconstrucción que cambia algunas de las generalizaciones teóricas más elementales del campo, así como también muchos de los métodos y aplicaciones del paradigma" (Kuhn,</w:t>
      </w:r>
      <w:r>
        <w:rPr>
          <w:spacing w:val="-16"/>
        </w:rPr>
        <w:t> </w:t>
      </w:r>
      <w:r>
        <w:rPr/>
        <w:t>1972:139).</w:t>
      </w:r>
    </w:p>
    <w:p>
      <w:pPr>
        <w:pStyle w:val="BodyText"/>
        <w:spacing w:before="10"/>
        <w:rPr>
          <w:sz w:val="24"/>
        </w:rPr>
      </w:pPr>
    </w:p>
    <w:p>
      <w:pPr>
        <w:pStyle w:val="BodyText"/>
        <w:spacing w:line="360" w:lineRule="auto"/>
        <w:ind w:left="102" w:right="113"/>
        <w:jc w:val="both"/>
      </w:pPr>
      <w:r>
        <w:rPr/>
        <w:t>Existen enigmas en la naturaleza que se han abordado desde otras perspectivas. Por tanto, las teorías científicas decididamente nuevas no nacen por verificación (como decían los positivistas e inductivistas), ni por falsación (como dice Popper) sino por sustitución del modelo explicativo (matriz disciplinar, paradigma) antes vigente por otro nuevo. A este proceso de las ciencias de la naturaleza, que no es simplemente irracional, pero tampoco totalmente racional, se llama "cambio de paradigma".</w:t>
      </w:r>
    </w:p>
    <w:p>
      <w:pPr>
        <w:pStyle w:val="BodyText"/>
        <w:spacing w:before="8"/>
        <w:rPr>
          <w:sz w:val="24"/>
        </w:rPr>
      </w:pPr>
    </w:p>
    <w:p>
      <w:pPr>
        <w:pStyle w:val="ListParagraph"/>
        <w:numPr>
          <w:ilvl w:val="0"/>
          <w:numId w:val="24"/>
        </w:numPr>
        <w:tabs>
          <w:tab w:pos="350" w:val="left" w:leader="none"/>
        </w:tabs>
        <w:spacing w:line="360" w:lineRule="auto" w:before="0" w:after="0"/>
        <w:ind w:left="102" w:right="117" w:firstLine="0"/>
        <w:jc w:val="both"/>
        <w:rPr>
          <w:sz w:val="22"/>
        </w:rPr>
      </w:pPr>
      <w:r>
        <w:rPr>
          <w:b/>
          <w:sz w:val="22"/>
        </w:rPr>
        <w:t>Inconmensurabilidad: </w:t>
      </w:r>
      <w:r>
        <w:rPr>
          <w:sz w:val="22"/>
        </w:rPr>
        <w:t>para Kuhn, cuando un paradigma sustituye revolucionariamente a otro, no hay posibilidad de mostrar cuál es mejor. No existe una vara de medir objetiva para determinar qué paradigma es mejor. La ciencia no progresa necesariamente. Dice Kuhn: "En principio, las teorías anticuadas no dejan de ser científicas por el hecho de que hayan sido descartadas" (Kuhn, 1972: 22). La teoría antigua y la teoría nueva, el paradigma antiguo y el paradigma emergente no pueden compararse de acuerdo con un baremo,</w:t>
      </w:r>
      <w:r>
        <w:rPr>
          <w:spacing w:val="31"/>
          <w:sz w:val="22"/>
        </w:rPr>
        <w:t> </w:t>
      </w:r>
      <w:r>
        <w:rPr>
          <w:sz w:val="22"/>
        </w:rPr>
        <w:t>por</w:t>
      </w:r>
      <w:r>
        <w:rPr>
          <w:spacing w:val="30"/>
          <w:sz w:val="22"/>
        </w:rPr>
        <w:t> </w:t>
      </w:r>
      <w:r>
        <w:rPr>
          <w:sz w:val="22"/>
        </w:rPr>
        <w:t>lo</w:t>
      </w:r>
      <w:r>
        <w:rPr>
          <w:spacing w:val="27"/>
          <w:sz w:val="22"/>
        </w:rPr>
        <w:t> </w:t>
      </w:r>
      <w:r>
        <w:rPr>
          <w:sz w:val="22"/>
        </w:rPr>
        <w:t>que</w:t>
      </w:r>
      <w:r>
        <w:rPr>
          <w:spacing w:val="27"/>
          <w:sz w:val="22"/>
        </w:rPr>
        <w:t> </w:t>
      </w:r>
      <w:r>
        <w:rPr>
          <w:sz w:val="22"/>
        </w:rPr>
        <w:t>Kuhn</w:t>
      </w:r>
      <w:r>
        <w:rPr>
          <w:spacing w:val="29"/>
          <w:sz w:val="22"/>
        </w:rPr>
        <w:t> </w:t>
      </w:r>
      <w:r>
        <w:rPr>
          <w:sz w:val="22"/>
        </w:rPr>
        <w:t>discute</w:t>
      </w:r>
      <w:r>
        <w:rPr>
          <w:spacing w:val="28"/>
          <w:sz w:val="22"/>
        </w:rPr>
        <w:t> </w:t>
      </w:r>
      <w:r>
        <w:rPr>
          <w:sz w:val="22"/>
        </w:rPr>
        <w:t>si</w:t>
      </w:r>
      <w:r>
        <w:rPr>
          <w:spacing w:val="29"/>
          <w:sz w:val="22"/>
        </w:rPr>
        <w:t> </w:t>
      </w:r>
      <w:r>
        <w:rPr>
          <w:sz w:val="22"/>
        </w:rPr>
        <w:t>existe</w:t>
      </w:r>
      <w:r>
        <w:rPr>
          <w:spacing w:val="29"/>
          <w:sz w:val="22"/>
        </w:rPr>
        <w:t> </w:t>
      </w:r>
      <w:r>
        <w:rPr>
          <w:sz w:val="22"/>
        </w:rPr>
        <w:t>una</w:t>
      </w:r>
      <w:r>
        <w:rPr>
          <w:spacing w:val="29"/>
          <w:sz w:val="22"/>
        </w:rPr>
        <w:t> </w:t>
      </w:r>
      <w:r>
        <w:rPr>
          <w:sz w:val="22"/>
        </w:rPr>
        <w:t>inconmensurabilidad</w:t>
      </w:r>
      <w:r>
        <w:rPr>
          <w:spacing w:val="29"/>
          <w:sz w:val="22"/>
        </w:rPr>
        <w:t> </w:t>
      </w:r>
      <w:r>
        <w:rPr>
          <w:sz w:val="22"/>
        </w:rPr>
        <w:t>de</w:t>
      </w:r>
      <w:r>
        <w:rPr>
          <w:spacing w:val="29"/>
          <w:sz w:val="22"/>
        </w:rPr>
        <w:t> </w:t>
      </w:r>
      <w:r>
        <w:rPr>
          <w:sz w:val="22"/>
        </w:rPr>
        <w:t>los</w:t>
      </w:r>
      <w:r>
        <w:rPr>
          <w:spacing w:val="29"/>
          <w:sz w:val="22"/>
        </w:rPr>
        <w:t> </w:t>
      </w:r>
      <w:r>
        <w:rPr>
          <w:sz w:val="22"/>
        </w:rPr>
        <w:t>paradigmas:</w:t>
      </w:r>
    </w:p>
    <w:p>
      <w:pPr>
        <w:pStyle w:val="BodyText"/>
        <w:spacing w:line="360" w:lineRule="auto" w:before="3"/>
        <w:ind w:left="102" w:right="118"/>
        <w:jc w:val="both"/>
      </w:pPr>
      <w:r>
        <w:rPr/>
        <w:t>¿es imposible para un filósofo "medir" o "comparar" unos paradigmas con otros para emitir un juicio sobre su bondad? Un paradigma es siempre una concepción del mundo y por ello no hay datos neutrales para comparar las consecuencias de ambos paradigmas. "Puesto que el vocabulario con el que se discuten dichas situaciones se componen mayormente de los mismos términos, de cualquier modo, deben vincularlos a la  naturaleza</w:t>
      </w:r>
      <w:r>
        <w:rPr>
          <w:spacing w:val="37"/>
        </w:rPr>
        <w:t> </w:t>
      </w:r>
      <w:r>
        <w:rPr/>
        <w:t>de</w:t>
      </w:r>
      <w:r>
        <w:rPr>
          <w:spacing w:val="34"/>
        </w:rPr>
        <w:t> </w:t>
      </w:r>
      <w:r>
        <w:rPr/>
        <w:t>manera</w:t>
      </w:r>
      <w:r>
        <w:rPr>
          <w:spacing w:val="34"/>
        </w:rPr>
        <w:t> </w:t>
      </w:r>
      <w:r>
        <w:rPr/>
        <w:t>diferente</w:t>
      </w:r>
      <w:r>
        <w:rPr>
          <w:spacing w:val="34"/>
        </w:rPr>
        <w:t> </w:t>
      </w:r>
      <w:r>
        <w:rPr/>
        <w:t>y</w:t>
      </w:r>
      <w:r>
        <w:rPr>
          <w:spacing w:val="35"/>
        </w:rPr>
        <w:t> </w:t>
      </w:r>
      <w:r>
        <w:rPr/>
        <w:t>su</w:t>
      </w:r>
      <w:r>
        <w:rPr>
          <w:spacing w:val="34"/>
        </w:rPr>
        <w:t> </w:t>
      </w:r>
      <w:r>
        <w:rPr/>
        <w:t>comunicación</w:t>
      </w:r>
      <w:r>
        <w:rPr>
          <w:spacing w:val="36"/>
        </w:rPr>
        <w:t> </w:t>
      </w:r>
      <w:r>
        <w:rPr/>
        <w:t>es,</w:t>
      </w:r>
      <w:r>
        <w:rPr>
          <w:spacing w:val="35"/>
        </w:rPr>
        <w:t> </w:t>
      </w:r>
      <w:r>
        <w:rPr/>
        <w:t>de</w:t>
      </w:r>
      <w:r>
        <w:rPr>
          <w:spacing w:val="31"/>
        </w:rPr>
        <w:t> </w:t>
      </w:r>
      <w:r>
        <w:rPr/>
        <w:t>modo</w:t>
      </w:r>
      <w:r>
        <w:rPr>
          <w:spacing w:val="34"/>
        </w:rPr>
        <w:t> </w:t>
      </w:r>
      <w:r>
        <w:rPr/>
        <w:t>inevitable,</w:t>
      </w:r>
      <w:r>
        <w:rPr>
          <w:spacing w:val="35"/>
        </w:rPr>
        <w:t> </w:t>
      </w:r>
      <w:r>
        <w:rPr/>
        <w:t>meramente</w:t>
      </w:r>
    </w:p>
    <w:p>
      <w:pPr>
        <w:spacing w:after="0" w:line="360" w:lineRule="auto"/>
        <w:jc w:val="both"/>
        <w:sectPr>
          <w:footerReference w:type="default" r:id="rId19"/>
          <w:pgSz w:w="12240" w:h="15840"/>
          <w:pgMar w:footer="1003" w:header="0" w:top="1360" w:bottom="1200" w:left="1600" w:right="1580"/>
        </w:sectPr>
      </w:pPr>
    </w:p>
    <w:p>
      <w:pPr>
        <w:pStyle w:val="BodyText"/>
        <w:spacing w:line="357" w:lineRule="auto" w:before="56"/>
        <w:ind w:left="102" w:right="118"/>
        <w:jc w:val="both"/>
      </w:pPr>
      <w:r>
        <w:rPr/>
        <w:t>parcial. Como resultado, la superioridad de una teoría respecto a otra, es algo que no puede probarse a través del debate" (Kuhn, 1972: 303).</w:t>
      </w:r>
    </w:p>
    <w:p>
      <w:pPr>
        <w:pStyle w:val="BodyText"/>
        <w:spacing w:before="1"/>
        <w:rPr>
          <w:sz w:val="25"/>
        </w:rPr>
      </w:pPr>
    </w:p>
    <w:p>
      <w:pPr>
        <w:spacing w:line="360" w:lineRule="auto" w:before="0"/>
        <w:ind w:left="102" w:right="113" w:firstLine="0"/>
        <w:jc w:val="both"/>
        <w:rPr>
          <w:sz w:val="22"/>
        </w:rPr>
      </w:pPr>
      <w:r>
        <w:rPr>
          <w:sz w:val="22"/>
        </w:rPr>
        <w:t>En este sentido, </w:t>
      </w:r>
      <w:r>
        <w:rPr>
          <w:i/>
          <w:sz w:val="22"/>
        </w:rPr>
        <w:t>Kuhn (1972), manifiesta que las consideraciones teóricas nos guían en la </w:t>
      </w:r>
      <w:r>
        <w:rPr>
          <w:i/>
          <w:sz w:val="22"/>
        </w:rPr>
        <w:t>interpretación de los datos bajo una corriente de pensamiento y si se considera a la historia como algo más que un depósito de anécdotas o cronología produce una transformación decisiva de la imagen que tenemos actualmente de la región (Kuhn, 1972). Bajo el mismo argumento, Mercedes Olivera (1978), menciona que el pasado, el presente y el futuro están funcionalmente interrelacionados, de manera que han originado contradicciones cuyo desarrollo dará origen a los problemas de etapas subsecuentes</w:t>
      </w:r>
      <w:r>
        <w:rPr>
          <w:sz w:val="22"/>
        </w:rPr>
        <w:t>.</w:t>
      </w:r>
    </w:p>
    <w:p>
      <w:pPr>
        <w:pStyle w:val="BodyText"/>
        <w:spacing w:before="11"/>
        <w:rPr>
          <w:sz w:val="24"/>
        </w:rPr>
      </w:pPr>
    </w:p>
    <w:p>
      <w:pPr>
        <w:spacing w:line="360" w:lineRule="auto" w:before="0"/>
        <w:ind w:left="102" w:right="115" w:firstLine="0"/>
        <w:jc w:val="both"/>
        <w:rPr>
          <w:i/>
          <w:sz w:val="22"/>
        </w:rPr>
      </w:pPr>
      <w:r>
        <w:rPr>
          <w:sz w:val="22"/>
        </w:rPr>
        <w:t>De igual forma, están las formulaciones del principio causal que enuncia Mario Bunge (1972: 49-50), quien entiende éstas como relaciones entre variables que simbolizan tipos (clases) de hecho o, mejor dicho, características definidas de hechos. Esto nos lleva a la sentencia: </w:t>
      </w:r>
      <w:r>
        <w:rPr>
          <w:i/>
          <w:sz w:val="22"/>
        </w:rPr>
        <w:t>Si C, entonces siempre E  </w:t>
      </w:r>
      <w:r>
        <w:rPr>
          <w:sz w:val="22"/>
        </w:rPr>
        <w:t>o </w:t>
      </w:r>
      <w:r>
        <w:rPr>
          <w:i/>
          <w:sz w:val="22"/>
        </w:rPr>
        <w:t>para todos los C, si se da C, entonces se da E.</w:t>
      </w:r>
    </w:p>
    <w:p>
      <w:pPr>
        <w:pStyle w:val="BodyText"/>
        <w:spacing w:before="7"/>
        <w:rPr>
          <w:i/>
          <w:sz w:val="17"/>
        </w:rPr>
      </w:pPr>
    </w:p>
    <w:p>
      <w:pPr>
        <w:pStyle w:val="BodyText"/>
        <w:spacing w:line="360" w:lineRule="auto"/>
        <w:ind w:left="102" w:right="115"/>
        <w:jc w:val="both"/>
      </w:pPr>
      <w:r>
        <w:rPr/>
        <w:t>Es por ello que (Weber, 1993 y Bunge, 1972) mencionan la idoneidad científica del proceso metodológico de elaboración conceptual, propio de las ciencias de la esfera de lo interpretable que consiste en ligar la </w:t>
      </w:r>
      <w:r>
        <w:rPr>
          <w:i/>
        </w:rPr>
        <w:t>explicación </w:t>
      </w:r>
      <w:r>
        <w:rPr/>
        <w:t>y la </w:t>
      </w:r>
      <w:r>
        <w:rPr>
          <w:i/>
        </w:rPr>
        <w:t>comprensión</w:t>
      </w:r>
      <w:r>
        <w:rPr/>
        <w:t>, a través de la elaboración de esquemas de interpretación explicativa, que orientan la posibilidad de establecer </w:t>
      </w:r>
      <w:r>
        <w:rPr>
          <w:i/>
        </w:rPr>
        <w:t>relaciones causales </w:t>
      </w:r>
      <w:r>
        <w:rPr/>
        <w:t>(causa-efecto) (Bunge, 1972).</w:t>
      </w:r>
    </w:p>
    <w:p>
      <w:pPr>
        <w:pStyle w:val="BodyText"/>
        <w:spacing w:before="9"/>
        <w:rPr>
          <w:sz w:val="17"/>
        </w:rPr>
      </w:pPr>
    </w:p>
    <w:p>
      <w:pPr>
        <w:spacing w:line="360" w:lineRule="auto" w:before="0"/>
        <w:ind w:left="102" w:right="114" w:firstLine="0"/>
        <w:jc w:val="both"/>
        <w:rPr>
          <w:i/>
          <w:sz w:val="22"/>
        </w:rPr>
      </w:pPr>
      <w:r>
        <w:rPr>
          <w:i/>
          <w:sz w:val="22"/>
        </w:rPr>
        <w:t>Para Weber (1993), los tipos ideales son instrumentos conceptuales (modelos generales) </w:t>
      </w:r>
      <w:r>
        <w:rPr>
          <w:i/>
          <w:sz w:val="22"/>
        </w:rPr>
        <w:t>para aprender los rasgos esenciales de los fenómenos sociales. Una vez elaborados, hay que contrastarlos con la realidad para ver que tanto este modelo o tipo-ideal te permite ver las recurrencias en la realidad social y por lo tanto, poder interpretar la acción social.</w:t>
      </w:r>
    </w:p>
    <w:p>
      <w:pPr>
        <w:pStyle w:val="BodyText"/>
        <w:spacing w:before="9"/>
        <w:rPr>
          <w:i/>
          <w:sz w:val="17"/>
        </w:rPr>
      </w:pPr>
    </w:p>
    <w:p>
      <w:pPr>
        <w:spacing w:line="360" w:lineRule="auto" w:before="0"/>
        <w:ind w:left="102" w:right="112" w:firstLine="0"/>
        <w:jc w:val="both"/>
        <w:rPr>
          <w:i/>
          <w:sz w:val="22"/>
        </w:rPr>
      </w:pPr>
      <w:r>
        <w:rPr>
          <w:sz w:val="22"/>
        </w:rPr>
        <w:t>Por lo anterior, en este apartado, se describen las </w:t>
      </w:r>
      <w:r>
        <w:rPr>
          <w:i/>
          <w:sz w:val="22"/>
        </w:rPr>
        <w:t>consideraciones teóricas </w:t>
      </w:r>
      <w:r>
        <w:rPr>
          <w:sz w:val="22"/>
        </w:rPr>
        <w:t>y </w:t>
      </w:r>
      <w:r>
        <w:rPr>
          <w:i/>
          <w:sz w:val="22"/>
        </w:rPr>
        <w:t>conceptos </w:t>
      </w:r>
      <w:r>
        <w:rPr>
          <w:i/>
          <w:sz w:val="22"/>
        </w:rPr>
        <w:t>que guiaron la interpretación de los datos obtenidos en trabajo de campo.</w:t>
      </w:r>
    </w:p>
    <w:p>
      <w:pPr>
        <w:pStyle w:val="BodyText"/>
        <w:spacing w:before="5"/>
        <w:rPr>
          <w:i/>
          <w:sz w:val="17"/>
        </w:rPr>
      </w:pPr>
    </w:p>
    <w:p>
      <w:pPr>
        <w:pStyle w:val="Heading6"/>
        <w:numPr>
          <w:ilvl w:val="1"/>
          <w:numId w:val="23"/>
        </w:numPr>
        <w:tabs>
          <w:tab w:pos="592" w:val="left" w:leader="none"/>
        </w:tabs>
        <w:spacing w:line="360" w:lineRule="auto" w:before="0" w:after="0"/>
        <w:ind w:left="102" w:right="120" w:firstLine="0"/>
        <w:jc w:val="both"/>
      </w:pPr>
      <w:r>
        <w:rPr/>
        <w:t>Conceptos y consideraciones teóricas que guiaron la interpretación de los datos a lo largo de la</w:t>
      </w:r>
      <w:r>
        <w:rPr>
          <w:spacing w:val="-8"/>
        </w:rPr>
        <w:t> </w:t>
      </w:r>
      <w:r>
        <w:rPr/>
        <w:t>investigación</w:t>
      </w:r>
    </w:p>
    <w:p>
      <w:pPr>
        <w:pStyle w:val="BodyText"/>
        <w:spacing w:before="9"/>
        <w:rPr>
          <w:b/>
          <w:sz w:val="17"/>
        </w:rPr>
      </w:pPr>
    </w:p>
    <w:p>
      <w:pPr>
        <w:pStyle w:val="Heading6"/>
        <w:numPr>
          <w:ilvl w:val="2"/>
          <w:numId w:val="23"/>
        </w:numPr>
        <w:tabs>
          <w:tab w:pos="716" w:val="left" w:leader="none"/>
        </w:tabs>
        <w:spacing w:line="240" w:lineRule="auto" w:before="0" w:after="0"/>
        <w:ind w:left="715" w:right="0" w:hanging="613"/>
        <w:jc w:val="both"/>
      </w:pPr>
      <w:bookmarkStart w:name="_TOC_250055" w:id="19"/>
      <w:r>
        <w:rPr/>
        <w:t>La Gestión Integrada de los Recursos Hídricos</w:t>
      </w:r>
      <w:r>
        <w:rPr>
          <w:spacing w:val="-18"/>
        </w:rPr>
        <w:t> </w:t>
      </w:r>
      <w:bookmarkEnd w:id="19"/>
      <w:r>
        <w:rPr/>
        <w:t>(GIRH)</w:t>
      </w:r>
    </w:p>
    <w:p>
      <w:pPr>
        <w:pStyle w:val="BodyText"/>
        <w:spacing w:before="5"/>
        <w:rPr>
          <w:b/>
          <w:sz w:val="28"/>
        </w:rPr>
      </w:pPr>
    </w:p>
    <w:p>
      <w:pPr>
        <w:spacing w:line="360" w:lineRule="auto" w:before="1"/>
        <w:ind w:left="102" w:right="113" w:firstLine="0"/>
        <w:jc w:val="both"/>
        <w:rPr>
          <w:sz w:val="22"/>
        </w:rPr>
      </w:pPr>
      <w:r>
        <w:rPr>
          <w:sz w:val="22"/>
        </w:rPr>
        <w:t>El principal punto que engloba la teoría son los </w:t>
      </w:r>
      <w:r>
        <w:rPr>
          <w:i/>
          <w:sz w:val="22"/>
        </w:rPr>
        <w:t>conceptos operativos </w:t>
      </w:r>
      <w:r>
        <w:rPr>
          <w:sz w:val="22"/>
        </w:rPr>
        <w:t>de </w:t>
      </w:r>
      <w:r>
        <w:rPr>
          <w:i/>
          <w:sz w:val="22"/>
        </w:rPr>
        <w:t>Gestión Integrada </w:t>
      </w:r>
      <w:r>
        <w:rPr>
          <w:i/>
          <w:sz w:val="22"/>
        </w:rPr>
        <w:t>de  los  Recursos  Hídricos,  Gobernanza  y  gobernabilidad.  </w:t>
      </w:r>
      <w:r>
        <w:rPr>
          <w:sz w:val="22"/>
        </w:rPr>
        <w:t>Los  principios  teóricos    de</w:t>
      </w:r>
    </w:p>
    <w:p>
      <w:pPr>
        <w:spacing w:after="0" w:line="360" w:lineRule="auto"/>
        <w:jc w:val="both"/>
        <w:rPr>
          <w:sz w:val="22"/>
        </w:rPr>
        <w:sectPr>
          <w:footerReference w:type="default" r:id="rId20"/>
          <w:pgSz w:w="12240" w:h="15840"/>
          <w:pgMar w:footer="1003" w:header="0" w:top="1360" w:bottom="1200" w:left="1600" w:right="1580"/>
          <w:pgNumType w:start="51"/>
        </w:sectPr>
      </w:pPr>
    </w:p>
    <w:p>
      <w:pPr>
        <w:pStyle w:val="BodyText"/>
        <w:spacing w:line="360" w:lineRule="auto" w:before="56"/>
        <w:ind w:left="102" w:right="115"/>
        <w:jc w:val="both"/>
      </w:pPr>
      <w:r>
        <w:rPr/>
        <w:t>Gobernanza parten de los trabajos de Carmen Viqueira (1993), publicados en su libro </w:t>
      </w:r>
      <w:r>
        <w:rPr>
          <w:i/>
        </w:rPr>
        <w:t>Planificación Regional y Reforma Agraria</w:t>
      </w:r>
      <w:r>
        <w:rPr/>
        <w:t>. Son aquí utilizados para la interpretación de la gestión intermunicipal y la gestión integrada de los recursos hídricos (GIRH).</w:t>
      </w:r>
    </w:p>
    <w:p>
      <w:pPr>
        <w:pStyle w:val="BodyText"/>
        <w:spacing w:before="9"/>
        <w:rPr>
          <w:sz w:val="17"/>
        </w:rPr>
      </w:pPr>
    </w:p>
    <w:p>
      <w:pPr>
        <w:spacing w:line="360" w:lineRule="auto" w:before="0"/>
        <w:ind w:left="102" w:right="116" w:firstLine="0"/>
        <w:jc w:val="both"/>
        <w:rPr>
          <w:sz w:val="22"/>
        </w:rPr>
      </w:pPr>
      <w:r>
        <w:rPr>
          <w:sz w:val="22"/>
        </w:rPr>
        <w:t>La Gestión Integrada de los Recursos Hídricos (GIRH). De acuerdo con la </w:t>
      </w:r>
      <w:r>
        <w:rPr>
          <w:i/>
          <w:sz w:val="22"/>
        </w:rPr>
        <w:t>Global Water </w:t>
      </w:r>
      <w:r>
        <w:rPr>
          <w:i/>
          <w:sz w:val="22"/>
        </w:rPr>
        <w:t>Partnership </w:t>
      </w:r>
      <w:r>
        <w:rPr>
          <w:sz w:val="22"/>
        </w:rPr>
        <w:t>(2003), la GIRH </w:t>
      </w:r>
      <w:r>
        <w:rPr>
          <w:i/>
          <w:sz w:val="22"/>
        </w:rPr>
        <w:t>es un proceso que promueve el desarrollo y gestión </w:t>
      </w:r>
      <w:r>
        <w:rPr>
          <w:i/>
          <w:sz w:val="22"/>
        </w:rPr>
        <w:t>coordinados del agua, la tierra y los recursos asociados, para maximizar el resultante bienestar económico y social de manera equitativa sin comprometer la sostenibilidad de ecosistemas vitales</w:t>
      </w:r>
      <w:r>
        <w:rPr>
          <w:sz w:val="22"/>
        </w:rPr>
        <w:t>.</w:t>
      </w:r>
    </w:p>
    <w:p>
      <w:pPr>
        <w:pStyle w:val="BodyText"/>
        <w:spacing w:before="7"/>
        <w:rPr>
          <w:sz w:val="17"/>
        </w:rPr>
      </w:pPr>
    </w:p>
    <w:p>
      <w:pPr>
        <w:pStyle w:val="BodyText"/>
        <w:spacing w:line="360" w:lineRule="auto"/>
        <w:ind w:left="102" w:right="116"/>
        <w:jc w:val="both"/>
      </w:pPr>
      <w:r>
        <w:rPr/>
        <w:t>En este sentido, la GIRH, busca transformar los sistemas insostenibles de desarrollo y gestión de los recursos hídrico con un enfoque intersectorial, diseñado para reemplazar el enfoque fragmentado de la gestión del agua, que ha derivado en servicios pobres y un  uso</w:t>
      </w:r>
      <w:r>
        <w:rPr>
          <w:spacing w:val="-1"/>
        </w:rPr>
        <w:t> </w:t>
      </w:r>
      <w:r>
        <w:rPr/>
        <w:t>inadecuado.</w:t>
      </w:r>
    </w:p>
    <w:p>
      <w:pPr>
        <w:pStyle w:val="BodyText"/>
        <w:spacing w:before="7"/>
        <w:rPr>
          <w:sz w:val="17"/>
        </w:rPr>
      </w:pPr>
    </w:p>
    <w:p>
      <w:pPr>
        <w:spacing w:line="360" w:lineRule="auto" w:before="0"/>
        <w:ind w:left="102" w:right="115" w:firstLine="0"/>
        <w:jc w:val="both"/>
        <w:rPr>
          <w:sz w:val="22"/>
        </w:rPr>
      </w:pPr>
      <w:r>
        <w:rPr>
          <w:sz w:val="22"/>
        </w:rPr>
        <w:t>La GIRH está basada en la idea de que los recursos hídricos </w:t>
      </w:r>
      <w:r>
        <w:rPr>
          <w:i/>
          <w:sz w:val="22"/>
        </w:rPr>
        <w:t>son un componente integral </w:t>
      </w:r>
      <w:r>
        <w:rPr>
          <w:i/>
          <w:sz w:val="22"/>
        </w:rPr>
        <w:t>de los ecosistemas, un recurso natural y un bien social y económico, ya que tiene  un  valor económico en todos sus usos (los cuales compiten entre sí)</w:t>
      </w:r>
      <w:r>
        <w:rPr>
          <w:sz w:val="22"/>
        </w:rPr>
        <w:t>. Implica asimismo, reformar los sistemas humanos para hacer posible que las personas obtengan beneficios sostenibles e igualitarios de estos</w:t>
      </w:r>
      <w:r>
        <w:rPr>
          <w:spacing w:val="-13"/>
          <w:sz w:val="22"/>
        </w:rPr>
        <w:t> </w:t>
      </w:r>
      <w:r>
        <w:rPr>
          <w:sz w:val="22"/>
        </w:rPr>
        <w:t>recursos.</w:t>
      </w:r>
    </w:p>
    <w:p>
      <w:pPr>
        <w:pStyle w:val="BodyText"/>
        <w:spacing w:before="7"/>
        <w:rPr>
          <w:sz w:val="17"/>
        </w:rPr>
      </w:pPr>
    </w:p>
    <w:p>
      <w:pPr>
        <w:pStyle w:val="BodyText"/>
        <w:spacing w:line="360" w:lineRule="auto"/>
        <w:ind w:left="102" w:right="117"/>
        <w:jc w:val="both"/>
      </w:pPr>
      <w:r>
        <w:rPr/>
        <w:t>En cuanto al desarrollo de </w:t>
      </w:r>
      <w:r>
        <w:rPr>
          <w:i/>
        </w:rPr>
        <w:t>políticas y planificación</w:t>
      </w:r>
      <w:r>
        <w:rPr/>
        <w:t>, un enfoque GIRH requiere que el desarrollo y la gestión del agua tomen en consideración 1. Los diversos usos del agua y el abanico de necesidades de las personas. 2. Que las partes involucradas tengan voz en la planificación y gestión del agua, asegurando el involucramiento de todos los actores. 3. Que las políticas y prioridades consideren las implicancias en los recursos hídricos, incluyendo la relación entre las políticas macroeconómicas y el desarrollo, gestión y uso del agua. 4. Que las decisiones vinculadas al agua tomadas a nivel local y de cuenca, estén alineadas con el logro de objetivos más amplios a nivel nacional; y 5. Que la planificación y las estrategias relacionadas al agua, sean incorporadas a los objetivos sociales, económicos y ambientales, por lo que para lograr estos objetivos se hace necesario considerar las relaciones de poder a través de la gobernanza y de los  conceptos operativos de</w:t>
      </w:r>
      <w:r>
        <w:rPr>
          <w:spacing w:val="-6"/>
        </w:rPr>
        <w:t> </w:t>
      </w:r>
      <w:r>
        <w:rPr/>
        <w:t>ésta.</w:t>
      </w:r>
    </w:p>
    <w:p>
      <w:pPr>
        <w:spacing w:after="0" w:line="360" w:lineRule="auto"/>
        <w:jc w:val="both"/>
        <w:sectPr>
          <w:pgSz w:w="12240" w:h="15840"/>
          <w:pgMar w:header="0" w:footer="1003" w:top="1360" w:bottom="1200" w:left="1600" w:right="1580"/>
        </w:sectPr>
      </w:pPr>
    </w:p>
    <w:p>
      <w:pPr>
        <w:pStyle w:val="Heading6"/>
        <w:numPr>
          <w:ilvl w:val="2"/>
          <w:numId w:val="23"/>
        </w:numPr>
        <w:tabs>
          <w:tab w:pos="716" w:val="left" w:leader="none"/>
        </w:tabs>
        <w:spacing w:line="240" w:lineRule="auto" w:before="53" w:after="0"/>
        <w:ind w:left="715" w:right="0" w:hanging="613"/>
        <w:jc w:val="both"/>
      </w:pPr>
      <w:bookmarkStart w:name="_TOC_250054" w:id="20"/>
      <w:r>
        <w:rPr/>
        <w:t>La</w:t>
      </w:r>
      <w:r>
        <w:rPr>
          <w:spacing w:val="-4"/>
        </w:rPr>
        <w:t> </w:t>
      </w:r>
      <w:bookmarkEnd w:id="20"/>
      <w:r>
        <w:rPr/>
        <w:t>Gobernanza</w:t>
      </w:r>
    </w:p>
    <w:p>
      <w:pPr>
        <w:pStyle w:val="BodyText"/>
        <w:spacing w:before="6"/>
        <w:rPr>
          <w:b/>
          <w:sz w:val="28"/>
        </w:rPr>
      </w:pPr>
    </w:p>
    <w:p>
      <w:pPr>
        <w:pStyle w:val="BodyText"/>
        <w:spacing w:line="360" w:lineRule="auto"/>
        <w:ind w:left="102" w:right="114"/>
        <w:jc w:val="both"/>
      </w:pPr>
      <w:r>
        <w:rPr/>
        <w:t>Por su origen etimológico es un término antiguo, del latín </w:t>
      </w:r>
      <w:r>
        <w:rPr>
          <w:i/>
        </w:rPr>
        <w:t>gubernare </w:t>
      </w:r>
      <w:r>
        <w:rPr/>
        <w:t>y del griego </w:t>
      </w:r>
      <w:r>
        <w:rPr>
          <w:i/>
        </w:rPr>
        <w:t>kybernân </w:t>
      </w:r>
      <w:r>
        <w:rPr>
          <w:i/>
        </w:rPr>
        <w:t>o kubernetes</w:t>
      </w:r>
      <w:r>
        <w:rPr/>
        <w:t>, que significa “el que tiene el control de algo” (Oliveira, 2002). El término gobernanza tiene diferentes conceptualizaciones, esto depende quién y cómo se utilice. En la actualidad gobernanza </w:t>
      </w:r>
      <w:r>
        <w:rPr>
          <w:i/>
        </w:rPr>
        <w:t>se confunde con el término gobernabilidad</w:t>
      </w:r>
      <w:r>
        <w:rPr/>
        <w:t>, ésta última se define como “la capacidad de un gobierno para formular e implementar decisiones públicas” (Prats, 2003: 249). En cambio, gobernanza </w:t>
      </w:r>
      <w:r>
        <w:rPr>
          <w:i/>
        </w:rPr>
        <w:t>se describe en general </w:t>
      </w:r>
      <w:r>
        <w:rPr/>
        <w:t>como un sinónimo de gobierno -un sentido explícitamente jerárquico-, es decir, un marco normativo o una herramienta de medición de la capacidad del gobierno en los países, como propone el Banco Mundial (Banco Mundial citado en Aguilar, 2006);  y como un marco analítico para los sistemas de coordinación no jerárquicos (Aguilar,</w:t>
      </w:r>
      <w:r>
        <w:rPr>
          <w:spacing w:val="-18"/>
        </w:rPr>
        <w:t> </w:t>
      </w:r>
      <w:r>
        <w:rPr/>
        <w:t>2006).</w:t>
      </w:r>
    </w:p>
    <w:p>
      <w:pPr>
        <w:pStyle w:val="BodyText"/>
        <w:spacing w:before="9"/>
        <w:rPr>
          <w:sz w:val="17"/>
        </w:rPr>
      </w:pPr>
    </w:p>
    <w:p>
      <w:pPr>
        <w:pStyle w:val="BodyText"/>
        <w:spacing w:line="360" w:lineRule="auto"/>
        <w:ind w:left="102" w:right="112"/>
        <w:jc w:val="both"/>
      </w:pPr>
      <w:r>
        <w:rPr/>
        <w:t>Esta imprecisión se mantiene hasta la fecha y el concepto sigue requiriendo un esfuerzo de definición previo a su empleo. Antes de proponer su propia definición, Rhodes (1996), describe seis usos comunes del término gobernanza (aunque aclara que existen otros más): como </w:t>
      </w:r>
      <w:r>
        <w:rPr>
          <w:i/>
        </w:rPr>
        <w:t>estado mínimo</w:t>
      </w:r>
      <w:r>
        <w:rPr/>
        <w:t>, como </w:t>
      </w:r>
      <w:r>
        <w:rPr>
          <w:i/>
        </w:rPr>
        <w:t>gobierno corporativo</w:t>
      </w:r>
      <w:r>
        <w:rPr/>
        <w:t>, como </w:t>
      </w:r>
      <w:r>
        <w:rPr>
          <w:i/>
        </w:rPr>
        <w:t>nueva gestión pública</w:t>
      </w:r>
      <w:r>
        <w:rPr/>
        <w:t>, como </w:t>
      </w:r>
      <w:r>
        <w:rPr>
          <w:i/>
        </w:rPr>
        <w:t>buen gobierno</w:t>
      </w:r>
      <w:r>
        <w:rPr/>
        <w:t>, como </w:t>
      </w:r>
      <w:r>
        <w:rPr>
          <w:i/>
        </w:rPr>
        <w:t>sistema sociocibernético </w:t>
      </w:r>
      <w:r>
        <w:rPr/>
        <w:t>y como </w:t>
      </w:r>
      <w:r>
        <w:rPr>
          <w:i/>
        </w:rPr>
        <w:t>redes autoorganizadas</w:t>
      </w:r>
      <w:r>
        <w:rPr/>
        <w:t>. Posteriormente, Rhodes (1997) formula su propia definición con elementos de estos términos, en especial —según aclara— de las relativas al estado mínimo, el sistema sociocibernético y las redes autoorganizadas: la gobernanza se refiere a redes interorganizacionales autoorganizadas, que complementan a las jerarquías y a los mercados como </w:t>
      </w:r>
      <w:r>
        <w:rPr>
          <w:i/>
        </w:rPr>
        <w:t>estructuras de gobierno </w:t>
      </w:r>
      <w:r>
        <w:rPr/>
        <w:t>en la asignación autoritativa de recursos, con ejercicio de control y</w:t>
      </w:r>
      <w:r>
        <w:rPr>
          <w:spacing w:val="-11"/>
        </w:rPr>
        <w:t> </w:t>
      </w:r>
      <w:r>
        <w:rPr/>
        <w:t>coordinación.</w:t>
      </w:r>
    </w:p>
    <w:p>
      <w:pPr>
        <w:pStyle w:val="BodyText"/>
        <w:spacing w:before="7"/>
        <w:rPr>
          <w:sz w:val="17"/>
        </w:rPr>
      </w:pPr>
    </w:p>
    <w:p>
      <w:pPr>
        <w:pStyle w:val="BodyText"/>
        <w:spacing w:line="360" w:lineRule="auto"/>
        <w:ind w:left="102" w:right="113"/>
        <w:jc w:val="both"/>
      </w:pPr>
      <w:r>
        <w:rPr/>
        <w:t>En vez de basarse en el estado o el mercado, la gobernanza sociopolítica apunta a la creación de patrones de interacción en los que son complementarios el gobierno político jerárquico tradicional y la sociedad autoorganizada, y en los que la responsabilidad y la rendición de cuentas de las intervenciones se extiende a actores públicos y privados (Kooiman, citado en Rhodes, 1996). Más adelante, Kooiman (2003), amplía su concepto original de gobernanza con elementos del nuevo institucionalismo y de la teoría de sistemas para proponer tres modos de gobernanza: </w:t>
      </w:r>
      <w:r>
        <w:rPr>
          <w:i/>
        </w:rPr>
        <w:t>autogobernanza</w:t>
      </w:r>
      <w:r>
        <w:rPr/>
        <w:t>, </w:t>
      </w:r>
      <w:r>
        <w:rPr>
          <w:i/>
        </w:rPr>
        <w:t>cogobernanza </w:t>
      </w:r>
      <w:r>
        <w:rPr/>
        <w:t>y </w:t>
      </w:r>
      <w:r>
        <w:rPr>
          <w:i/>
        </w:rPr>
        <w:t>gobernanza jerárquica</w:t>
      </w:r>
      <w:r>
        <w:rPr/>
        <w:t>, así como tres órdenes de gobernanza: un primer orden, concerniente a los problemas y oportunidades societales; un segundo orden, relativo a las instituciones, y un tercero, o metagobernanza, relativo a los valores y normas de la propia gobernanza. Introduce, asimismo, el concepto de  </w:t>
      </w:r>
      <w:r>
        <w:rPr>
          <w:i/>
        </w:rPr>
        <w:t>gobernanza interactiva</w:t>
      </w:r>
      <w:r>
        <w:rPr/>
        <w:t>, que difiere    de</w:t>
      </w:r>
    </w:p>
    <w:p>
      <w:pPr>
        <w:spacing w:after="0" w:line="360" w:lineRule="auto"/>
        <w:jc w:val="both"/>
        <w:sectPr>
          <w:pgSz w:w="12240" w:h="15840"/>
          <w:pgMar w:header="0" w:footer="1003" w:top="1360" w:bottom="1200" w:left="1600" w:right="1580"/>
        </w:sectPr>
      </w:pPr>
    </w:p>
    <w:p>
      <w:pPr>
        <w:pStyle w:val="BodyText"/>
        <w:spacing w:line="360" w:lineRule="auto" w:before="56"/>
        <w:ind w:left="102" w:right="115"/>
        <w:jc w:val="both"/>
      </w:pPr>
      <w:r>
        <w:rPr/>
        <w:t>otros modelos en su aplicabilidad y existencia en diferentes escalas societales, desde la local hasta la global, con autoridades y responsabilidades intersectoriales superpuestas; en adición a las redes horizontales, todos los arreglos verticales de gobierno entre entidades públicas y privadas forman parte también de la gobernanza. Sin embargo, Kooiman (2003), mantiene el sentido original del concepto como patrón o estructura en el que no sólo el estado, sino también el mercado y la sociedad civil, tienen papeles prominentes en el gobierno de las sociedades modernas.</w:t>
      </w:r>
    </w:p>
    <w:p>
      <w:pPr>
        <w:pStyle w:val="BodyText"/>
        <w:spacing w:before="7"/>
        <w:rPr>
          <w:sz w:val="17"/>
        </w:rPr>
      </w:pPr>
    </w:p>
    <w:p>
      <w:pPr>
        <w:spacing w:line="360" w:lineRule="auto" w:before="0"/>
        <w:ind w:left="102" w:right="116" w:firstLine="0"/>
        <w:jc w:val="both"/>
        <w:rPr>
          <w:sz w:val="22"/>
        </w:rPr>
      </w:pPr>
      <w:r>
        <w:rPr>
          <w:sz w:val="22"/>
        </w:rPr>
        <w:t>Otras corrientes teóricas relacionadas con la readecuación del concepto de gobernanza, lo definen como </w:t>
      </w:r>
      <w:r>
        <w:rPr>
          <w:i/>
          <w:sz w:val="22"/>
        </w:rPr>
        <w:t>el total de interacciones entre actores públicos y privados, para resolver </w:t>
      </w:r>
      <w:r>
        <w:rPr>
          <w:i/>
          <w:sz w:val="22"/>
        </w:rPr>
        <w:t>problemas y crear oportunidades, entendiendo la participación de las instituciones formales o informales en un marco normativo, más como sistemas de redes entre actores y no sólo como una estructura jerarquizada en la toma de decisiones </w:t>
      </w:r>
      <w:r>
        <w:rPr>
          <w:sz w:val="22"/>
        </w:rPr>
        <w:t>(Rhodes, 1997; Kooiman, 2003; Prats, 2003; Hufty,</w:t>
      </w:r>
      <w:r>
        <w:rPr>
          <w:spacing w:val="-11"/>
          <w:sz w:val="22"/>
        </w:rPr>
        <w:t> </w:t>
      </w:r>
      <w:r>
        <w:rPr>
          <w:sz w:val="22"/>
        </w:rPr>
        <w:t>2004).</w:t>
      </w:r>
    </w:p>
    <w:p>
      <w:pPr>
        <w:pStyle w:val="BodyText"/>
        <w:spacing w:before="7"/>
        <w:rPr>
          <w:sz w:val="17"/>
        </w:rPr>
      </w:pPr>
    </w:p>
    <w:p>
      <w:pPr>
        <w:spacing w:line="360" w:lineRule="auto" w:before="0"/>
        <w:ind w:left="102" w:right="114" w:firstLine="0"/>
        <w:jc w:val="both"/>
        <w:rPr>
          <w:sz w:val="22"/>
        </w:rPr>
      </w:pPr>
      <w:r>
        <w:rPr>
          <w:sz w:val="22"/>
        </w:rPr>
        <w:t>En la década de 1990, Jan Kooiman (2003), lo vuelve a readecuar y lo define como </w:t>
      </w:r>
      <w:r>
        <w:rPr>
          <w:i/>
          <w:sz w:val="22"/>
        </w:rPr>
        <w:t>el </w:t>
      </w:r>
      <w:r>
        <w:rPr>
          <w:i/>
          <w:sz w:val="22"/>
        </w:rPr>
        <w:t>patrón o estructura que emerge en un sistema sociopolítico como resultado común de las intervenciones interactivas de todos los actores involucrados, patrón que no puede ser reducido a un actor o grupo de actores en particular, toda vez que ninguno de ellos tiene todo el conocimiento y la información requeridos para resolver problemas complejos, dinámicos y plurales</w:t>
      </w:r>
      <w:r>
        <w:rPr>
          <w:sz w:val="22"/>
        </w:rPr>
        <w:t>.</w:t>
      </w:r>
    </w:p>
    <w:p>
      <w:pPr>
        <w:pStyle w:val="BodyText"/>
        <w:spacing w:before="7"/>
        <w:rPr>
          <w:sz w:val="17"/>
        </w:rPr>
      </w:pPr>
    </w:p>
    <w:p>
      <w:pPr>
        <w:pStyle w:val="BodyText"/>
        <w:spacing w:line="360" w:lineRule="auto"/>
        <w:ind w:left="102" w:right="112"/>
        <w:jc w:val="both"/>
      </w:pPr>
      <w:r>
        <w:rPr/>
        <w:t>Las definiciones de Rhodes (1996) y Kooiman (2003) son muy útiles como punto de partida porque contienen los elementos y las implicaciones básicas del concepto de gobernanza de uso más generalizado en la actualidad: No sólo el gobierno </w:t>
      </w:r>
      <w:r>
        <w:rPr>
          <w:i/>
        </w:rPr>
        <w:t>gobierna; </w:t>
      </w:r>
      <w:r>
        <w:rPr/>
        <w:t>las redes autoorganizadas y los mercados, en tanto estructuras de gobierno, </w:t>
      </w:r>
      <w:r>
        <w:rPr>
          <w:i/>
        </w:rPr>
        <w:t>también </w:t>
      </w:r>
      <w:r>
        <w:rPr>
          <w:i/>
        </w:rPr>
        <w:t>gobiernan</w:t>
      </w:r>
      <w:r>
        <w:rPr/>
        <w:t>. El gobierno ha perdido el monopolio de la función de gobernar. Las redes son el espacio privilegiado del gobierno de los </w:t>
      </w:r>
      <w:r>
        <w:rPr>
          <w:i/>
        </w:rPr>
        <w:t>actores</w:t>
      </w:r>
      <w:r>
        <w:rPr/>
        <w:t>. Los actores son “cualquier unidad social que posee agencia o poder de acción. Esto incluye a individuos, asociaciones, líderes, firmas, departamentos y organismos internacionales” (Kooiman, 2003).</w:t>
      </w:r>
    </w:p>
    <w:p>
      <w:pPr>
        <w:pStyle w:val="BodyText"/>
        <w:spacing w:before="7"/>
        <w:rPr>
          <w:sz w:val="17"/>
        </w:rPr>
      </w:pPr>
    </w:p>
    <w:p>
      <w:pPr>
        <w:spacing w:line="360" w:lineRule="auto" w:before="0"/>
        <w:ind w:left="102" w:right="115" w:firstLine="0"/>
        <w:jc w:val="both"/>
        <w:rPr>
          <w:i/>
          <w:sz w:val="22"/>
        </w:rPr>
      </w:pPr>
      <w:r>
        <w:rPr>
          <w:sz w:val="22"/>
        </w:rPr>
        <w:t>Por tal motivo, Iza y Aguilar (2006), señalan que la gobernanza del agua se debe entender </w:t>
      </w:r>
      <w:r>
        <w:rPr>
          <w:i/>
          <w:sz w:val="22"/>
        </w:rPr>
        <w:t>como un proceso en el cual existen fallas u omisiones que pueden provocar que los </w:t>
      </w:r>
      <w:r>
        <w:rPr>
          <w:i/>
          <w:sz w:val="22"/>
        </w:rPr>
        <w:t>conflictos no se solucionen. En estos procesos de gestión del agua se deben incluir mecanismos, procesos y espacios donde los ciudadanos participen y puedan expresar</w:t>
      </w:r>
    </w:p>
    <w:p>
      <w:pPr>
        <w:spacing w:after="0" w:line="360" w:lineRule="auto"/>
        <w:jc w:val="both"/>
        <w:rPr>
          <w:sz w:val="22"/>
        </w:rPr>
        <w:sectPr>
          <w:pgSz w:w="12240" w:h="15840"/>
          <w:pgMar w:header="0" w:footer="1003" w:top="1360" w:bottom="1200" w:left="1600" w:right="1580"/>
        </w:sectPr>
      </w:pPr>
    </w:p>
    <w:p>
      <w:pPr>
        <w:spacing w:line="360" w:lineRule="auto" w:before="56"/>
        <w:ind w:left="102" w:right="115" w:firstLine="0"/>
        <w:jc w:val="both"/>
        <w:rPr>
          <w:i/>
          <w:sz w:val="22"/>
        </w:rPr>
      </w:pPr>
      <w:r>
        <w:rPr>
          <w:i/>
          <w:sz w:val="22"/>
        </w:rPr>
        <w:t>sus intereses, ejerzan sus derechos y donde se resuelvan sus diferencias. Estos procesos </w:t>
      </w:r>
      <w:r>
        <w:rPr>
          <w:i/>
          <w:sz w:val="22"/>
        </w:rPr>
        <w:t>deben expresarse mediante marcos políticos, jurídicos, estrategias y planes de acción.</w:t>
      </w:r>
    </w:p>
    <w:p>
      <w:pPr>
        <w:pStyle w:val="BodyText"/>
        <w:spacing w:before="7"/>
        <w:rPr>
          <w:i/>
          <w:sz w:val="17"/>
        </w:rPr>
      </w:pPr>
    </w:p>
    <w:p>
      <w:pPr>
        <w:pStyle w:val="BodyText"/>
        <w:spacing w:line="360" w:lineRule="auto"/>
        <w:ind w:left="102" w:right="115"/>
        <w:jc w:val="both"/>
      </w:pPr>
      <w:r>
        <w:rPr/>
        <w:t>En América Latina la gobernanza del agua se observa en varios procesos participativos locales, como el proyecto “Plan” en Bolivia, que promueve la participación local en una cuenca para elevar la calidad de vida de los usuarios (Vacaflores, 2000). Por su parte IDRC (2003), señala que otro ejemplo es la experiencia de la Iniciativa de Programa Minga del Centro Internacional de Desarrollo de Investigaciones en Chile, que propone el empoderamiento ciudadano como una estrategia participativa para crear oportunidades para todos los</w:t>
      </w:r>
      <w:r>
        <w:rPr>
          <w:spacing w:val="-5"/>
        </w:rPr>
        <w:t> </w:t>
      </w:r>
      <w:r>
        <w:rPr/>
        <w:t>usuarios.</w:t>
      </w:r>
    </w:p>
    <w:p>
      <w:pPr>
        <w:pStyle w:val="BodyText"/>
        <w:spacing w:before="10"/>
        <w:rPr>
          <w:sz w:val="17"/>
        </w:rPr>
      </w:pPr>
    </w:p>
    <w:p>
      <w:pPr>
        <w:pStyle w:val="BodyText"/>
        <w:spacing w:line="360" w:lineRule="auto"/>
        <w:ind w:left="102" w:right="113"/>
        <w:jc w:val="both"/>
      </w:pPr>
      <w:r>
        <w:rPr/>
        <w:t>En este sentido, Torres (1993) define a la gobernanza como el establecimiento de relaciones entre el gobierno y la sociedad para lograr reconstruir el sentido, la capacidad y la coordinación de los actores involucrados en la gestión del agua. </w:t>
      </w:r>
      <w:r>
        <w:rPr>
          <w:i/>
        </w:rPr>
        <w:t>Los arreglos de </w:t>
      </w:r>
      <w:r>
        <w:rPr>
          <w:i/>
        </w:rPr>
        <w:t>cogestión </w:t>
      </w:r>
      <w:r>
        <w:rPr/>
        <w:t>son flexibles y se adaptan a las condiciones cambiantes y específicas del lugar, desde la base local hasta escalas mayores: municipio, cuenca, subcuenca, etc. La co- gestión parte de la necesidad de asegurar la cantidad y calidad del agua por medio de plataformas de concertación que impulsen el encuentro y dialogo entre los actores locales para desarrollar una agencia territorial en la que se complementen esfuerzos y recursos. Este modelo promueve el ordenamiento institucional a través de la gobernanza local y de los mecanismos de organización y participación de las organizaciones locales en la toma de decisiones.</w:t>
      </w:r>
    </w:p>
    <w:p>
      <w:pPr>
        <w:pStyle w:val="BodyText"/>
        <w:spacing w:before="7"/>
        <w:rPr>
          <w:sz w:val="17"/>
        </w:rPr>
      </w:pPr>
    </w:p>
    <w:p>
      <w:pPr>
        <w:spacing w:line="360" w:lineRule="auto" w:before="0"/>
        <w:ind w:left="102" w:right="113" w:firstLine="0"/>
        <w:jc w:val="both"/>
        <w:rPr>
          <w:sz w:val="22"/>
        </w:rPr>
      </w:pPr>
      <w:r>
        <w:rPr>
          <w:sz w:val="22"/>
        </w:rPr>
        <w:t>Warman (1982), </w:t>
      </w:r>
      <w:r>
        <w:rPr>
          <w:i/>
          <w:sz w:val="22"/>
        </w:rPr>
        <w:t>afirma que la gobernanza es el elemento indispensable para la </w:t>
      </w:r>
      <w:r>
        <w:rPr>
          <w:i/>
          <w:sz w:val="22"/>
        </w:rPr>
        <w:t>intermunicipalidad, porque es el enlace entre los gobiernos locales</w:t>
      </w:r>
      <w:r>
        <w:rPr>
          <w:sz w:val="22"/>
        </w:rPr>
        <w:t>. En este sentido, Moreau (2003), manifiesta que el término de gobernanza se plantea como </w:t>
      </w:r>
      <w:r>
        <w:rPr>
          <w:i/>
          <w:sz w:val="22"/>
        </w:rPr>
        <w:t>un sistema </w:t>
      </w:r>
      <w:r>
        <w:rPr>
          <w:i/>
          <w:sz w:val="22"/>
        </w:rPr>
        <w:t>flexible de gestión de las sociedades</w:t>
      </w:r>
      <w:r>
        <w:rPr>
          <w:sz w:val="22"/>
        </w:rPr>
        <w:t>, que se refiere a los diversos esquemas que permiten construir sistemas democráticos de gestión, en los cuales actores gubernamentales y sociales participan para la definición y atención de problemas  públicos. Se asume que la acción conjunta de varios actores colectivos (organizaciones, grupos sociales) permitirá generar más ideas y compartir recursos para la atención de un problema que compartido, es decir, se trata de una asociación de actores interdependientes que suman esfuerzos para alcanzar un mismo</w:t>
      </w:r>
      <w:r>
        <w:rPr>
          <w:spacing w:val="-22"/>
          <w:sz w:val="22"/>
        </w:rPr>
        <w:t> </w:t>
      </w:r>
      <w:r>
        <w:rPr>
          <w:sz w:val="22"/>
        </w:rPr>
        <w:t>objetivo</w:t>
      </w:r>
    </w:p>
    <w:p>
      <w:pPr>
        <w:pStyle w:val="BodyText"/>
        <w:spacing w:before="9"/>
        <w:rPr>
          <w:sz w:val="17"/>
        </w:rPr>
      </w:pPr>
    </w:p>
    <w:p>
      <w:pPr>
        <w:pStyle w:val="BodyText"/>
        <w:spacing w:line="360" w:lineRule="auto"/>
        <w:ind w:left="102" w:right="117"/>
        <w:jc w:val="both"/>
      </w:pPr>
      <w:r>
        <w:rPr/>
        <w:t>Es por ello que el Centro Mexicano de Derecho Ambiental, A.C. (2011), menciona que hoy día  se  considera que tener  una  buena gobernanza,  no  es  sólo  resultado  de  un buen</w:t>
      </w:r>
    </w:p>
    <w:p>
      <w:pPr>
        <w:spacing w:after="0" w:line="360" w:lineRule="auto"/>
        <w:jc w:val="both"/>
        <w:sectPr>
          <w:pgSz w:w="12240" w:h="15840"/>
          <w:pgMar w:header="0" w:footer="1003" w:top="1360" w:bottom="1200" w:left="1600" w:right="1580"/>
        </w:sectPr>
      </w:pPr>
    </w:p>
    <w:p>
      <w:pPr>
        <w:pStyle w:val="BodyText"/>
        <w:spacing w:line="360" w:lineRule="auto" w:before="56"/>
        <w:ind w:left="102" w:right="114"/>
        <w:jc w:val="both"/>
      </w:pPr>
      <w:r>
        <w:rPr/>
        <w:t>gobierno, sino de una interacción entre los organismos gubernamentales, el sector  privado y la sociedad civil, que permita estructurar reglas sociales para una convivencia justa. Forzosamente, esta idea involucra una participación abierta de la sociedad en la toma de decisiones de los asuntos que le interesan, como se muestra en el siguiente esquema.</w:t>
      </w:r>
    </w:p>
    <w:p>
      <w:pPr>
        <w:pStyle w:val="BodyText"/>
        <w:spacing w:before="7"/>
        <w:rPr>
          <w:sz w:val="17"/>
        </w:rPr>
      </w:pPr>
    </w:p>
    <w:p>
      <w:pPr>
        <w:pStyle w:val="Heading6"/>
        <w:ind w:left="222" w:right="239"/>
        <w:jc w:val="center"/>
      </w:pPr>
      <w:r>
        <w:rPr/>
        <w:t>Esquema 2.1. Requerimientos para una buena gobernanza</w:t>
      </w:r>
    </w:p>
    <w:p>
      <w:pPr>
        <w:pStyle w:val="BodyText"/>
        <w:rPr>
          <w:b/>
          <w:sz w:val="20"/>
        </w:rPr>
      </w:pPr>
    </w:p>
    <w:p>
      <w:pPr>
        <w:pStyle w:val="BodyText"/>
        <w:spacing w:before="1"/>
        <w:rPr>
          <w:b/>
          <w:sz w:val="26"/>
        </w:rPr>
      </w:pPr>
      <w:r>
        <w:rPr/>
        <w:pict>
          <v:group style="position:absolute;margin-left:96pt;margin-top:16.961897pt;width:117.2pt;height:100.9pt;mso-position-horizontal-relative:page;mso-position-vertical-relative:paragraph;z-index:1336;mso-wrap-distance-left:0;mso-wrap-distance-right:0" coordorigin="1920,339" coordsize="2344,2018">
            <v:rect style="position:absolute;left:1940;top:359;width:2304;height:1978" filled="true" fillcolor="#77923b" stroked="false">
              <v:fill type="solid"/>
            </v:rect>
            <v:shape style="position:absolute;left:1961;top:453;width:2263;height:1793" type="#_x0000_t75" stroked="false">
              <v:imagedata r:id="rId21" o:title=""/>
            </v:shape>
            <v:shape style="position:absolute;left:1940;top:359;width:2304;height:1978" type="#_x0000_t202" filled="false" stroked="true" strokeweight="2pt" strokecolor="#000000">
              <v:textbox inset="0,0,0,0">
                <w:txbxContent>
                  <w:p>
                    <w:pPr>
                      <w:tabs>
                        <w:tab w:pos="985" w:val="left" w:leader="none"/>
                        <w:tab w:pos="1620" w:val="left" w:leader="none"/>
                      </w:tabs>
                      <w:spacing w:line="276" w:lineRule="auto" w:before="71"/>
                      <w:ind w:left="145" w:right="139" w:firstLine="0"/>
                      <w:jc w:val="left"/>
                      <w:rPr>
                        <w:sz w:val="22"/>
                      </w:rPr>
                    </w:pPr>
                    <w:r>
                      <w:rPr>
                        <w:sz w:val="22"/>
                      </w:rPr>
                      <w:t>Interacción</w:t>
                      <w:tab/>
                      <w:t>entre los</w:t>
                      <w:tab/>
                      <w:t>organismos gubernamentales, el sector privado y la sociedad</w:t>
                    </w:r>
                    <w:r>
                      <w:rPr>
                        <w:spacing w:val="-7"/>
                        <w:sz w:val="22"/>
                      </w:rPr>
                      <w:t> </w:t>
                    </w:r>
                    <w:r>
                      <w:rPr>
                        <w:sz w:val="22"/>
                      </w:rPr>
                      <w:t>civil.</w:t>
                    </w:r>
                  </w:p>
                </w:txbxContent>
              </v:textbox>
              <w10:wrap type="none"/>
            </v:shape>
            <w10:wrap type="topAndBottom"/>
          </v:group>
        </w:pict>
      </w:r>
      <w:r>
        <w:rPr/>
        <w:pict>
          <v:group style="position:absolute;margin-left:219.330002pt;margin-top:59.519897pt;width:27.05pt;height:5.8pt;mso-position-horizontal-relative:page;mso-position-vertical-relative:paragraph;z-index:1360;mso-wrap-distance-left:0;mso-wrap-distance-right:0" coordorigin="4387,1190" coordsize="541,116">
            <v:shape style="position:absolute;left:4407;top:1210;width:501;height:76" coordorigin="4407,1210" coordsize="501,76" path="m4870,1210l4870,1229,4407,1229,4407,1267,4870,1267,4870,1286,4908,1248,4870,1210xe" filled="true" fillcolor="#000000" stroked="false">
              <v:path arrowok="t"/>
              <v:fill type="solid"/>
            </v:shape>
            <v:shape style="position:absolute;left:4407;top:1210;width:501;height:76" coordorigin="4407,1210" coordsize="501,76" path="m4407,1229l4870,1229,4870,1210,4908,1248,4870,1286,4870,1267,4407,1267,4407,1229xe" filled="false" stroked="true" strokeweight="2pt" strokecolor="#000000">
              <v:path arrowok="t"/>
            </v:shape>
            <w10:wrap type="topAndBottom"/>
          </v:group>
        </w:pict>
      </w:r>
      <w:r>
        <w:rPr/>
        <w:pict>
          <v:group style="position:absolute;margin-left:251.889999pt;margin-top:16.961897pt;width:117.2pt;height:100.9pt;mso-position-horizontal-relative:page;mso-position-vertical-relative:paragraph;z-index:1408;mso-wrap-distance-left:0;mso-wrap-distance-right:0" coordorigin="5038,339" coordsize="2344,2018">
            <v:rect style="position:absolute;left:5058;top:359;width:2304;height:1978" filled="true" fillcolor="#f79546" stroked="false">
              <v:fill type="solid"/>
            </v:rect>
            <v:shape style="position:absolute;left:5078;top:453;width:2263;height:1793" type="#_x0000_t75" stroked="false">
              <v:imagedata r:id="rId21" o:title=""/>
            </v:shape>
            <v:shape style="position:absolute;left:5058;top:359;width:2304;height:1978" type="#_x0000_t202" filled="false" stroked="true" strokeweight="2pt" strokecolor="#000000">
              <v:textbox inset="0,0,0,0">
                <w:txbxContent>
                  <w:p>
                    <w:pPr>
                      <w:spacing w:line="240" w:lineRule="auto" w:before="0"/>
                      <w:rPr>
                        <w:b/>
                        <w:sz w:val="22"/>
                      </w:rPr>
                    </w:pPr>
                  </w:p>
                  <w:p>
                    <w:pPr>
                      <w:spacing w:line="240" w:lineRule="auto" w:before="9"/>
                      <w:rPr>
                        <w:b/>
                        <w:sz w:val="26"/>
                      </w:rPr>
                    </w:pPr>
                  </w:p>
                  <w:p>
                    <w:pPr>
                      <w:spacing w:line="276" w:lineRule="auto" w:before="0"/>
                      <w:ind w:left="145" w:right="138" w:firstLine="0"/>
                      <w:jc w:val="both"/>
                      <w:rPr>
                        <w:sz w:val="22"/>
                      </w:rPr>
                    </w:pPr>
                    <w:r>
                      <w:rPr>
                        <w:sz w:val="22"/>
                      </w:rPr>
                      <w:t>Estructurar reglas sociales para una convivencia justa.</w:t>
                    </w:r>
                  </w:p>
                </w:txbxContent>
              </v:textbox>
              <w10:wrap type="none"/>
            </v:shape>
            <w10:wrap type="topAndBottom"/>
          </v:group>
        </w:pict>
      </w:r>
      <w:r>
        <w:rPr/>
        <w:pict>
          <v:group style="position:absolute;margin-left:372.720001pt;margin-top:58.269897pt;width:27pt;height:5.75pt;mso-position-horizontal-relative:page;mso-position-vertical-relative:paragraph;z-index:1432;mso-wrap-distance-left:0;mso-wrap-distance-right:0" coordorigin="7454,1165" coordsize="540,115">
            <v:shape style="position:absolute;left:7474;top:1185;width:500;height:75" coordorigin="7474,1185" coordsize="500,75" path="m7937,1185l7937,1204,7474,1204,7474,1242,7937,1242,7937,1260,7974,1223,7937,1185xe" filled="true" fillcolor="#000000" stroked="false">
              <v:path arrowok="t"/>
              <v:fill type="solid"/>
            </v:shape>
            <v:shape style="position:absolute;left:7474;top:1185;width:500;height:75" coordorigin="7474,1185" coordsize="500,75" path="m7474,1204l7937,1204,7937,1185,7974,1223,7937,1260,7937,1242,7474,1242,7474,1204xe" filled="false" stroked="true" strokeweight="2pt" strokecolor="#000000">
              <v:path arrowok="t"/>
            </v:shape>
            <w10:wrap type="topAndBottom"/>
          </v:group>
        </w:pict>
      </w:r>
      <w:r>
        <w:rPr/>
        <w:pict>
          <v:group style="position:absolute;margin-left:404.649994pt;margin-top:16.959898pt;width:122.2pt;height:100.9pt;mso-position-horizontal-relative:page;mso-position-vertical-relative:paragraph;z-index:1528;mso-wrap-distance-left:0;mso-wrap-distance-right:0" coordorigin="8093,339" coordsize="2444,2018">
            <v:rect style="position:absolute;left:8113;top:359;width:2404;height:1978" filled="true" fillcolor="#9bba58" stroked="false">
              <v:fill type="solid"/>
            </v:rect>
            <v:rect style="position:absolute;left:8113;top:359;width:2404;height:1978" filled="false" stroked="true" strokeweight="2pt" strokecolor="#000000"/>
            <v:shape style="position:absolute;left:8134;top:453;width:2364;height:1793" type="#_x0000_t75" stroked="false">
              <v:imagedata r:id="rId22" o:title=""/>
            </v:shape>
            <v:shape style="position:absolute;left:8279;top:478;width:893;height:221" type="#_x0000_t202" filled="false" stroked="false">
              <v:textbox inset="0,0,0,0">
                <w:txbxContent>
                  <w:p>
                    <w:pPr>
                      <w:spacing w:line="221" w:lineRule="exact" w:before="0"/>
                      <w:ind w:left="0" w:right="-20" w:firstLine="0"/>
                      <w:jc w:val="left"/>
                      <w:rPr>
                        <w:sz w:val="22"/>
                      </w:rPr>
                    </w:pPr>
                    <w:r>
                      <w:rPr>
                        <w:sz w:val="22"/>
                      </w:rPr>
                      <w:t>Involucra</w:t>
                    </w:r>
                  </w:p>
                </w:txbxContent>
              </v:textbox>
              <w10:wrap type="none"/>
            </v:shape>
            <v:shape style="position:absolute;left:9990;top:478;width:368;height:221" type="#_x0000_t202" filled="false" stroked="false">
              <v:textbox inset="0,0,0,0">
                <w:txbxContent>
                  <w:p>
                    <w:pPr>
                      <w:spacing w:line="221" w:lineRule="exact" w:before="0"/>
                      <w:ind w:left="0" w:right="-20" w:firstLine="0"/>
                      <w:jc w:val="left"/>
                      <w:rPr>
                        <w:sz w:val="22"/>
                      </w:rPr>
                    </w:pPr>
                    <w:r>
                      <w:rPr>
                        <w:sz w:val="22"/>
                      </w:rPr>
                      <w:t>una</w:t>
                    </w:r>
                  </w:p>
                </w:txbxContent>
              </v:textbox>
              <w10:wrap type="none"/>
            </v:shape>
            <v:shape style="position:absolute;left:8279;top:769;width:2080;height:1385" type="#_x0000_t202" filled="false" stroked="false">
              <v:textbox inset="0,0,0,0">
                <w:txbxContent>
                  <w:p>
                    <w:pPr>
                      <w:spacing w:line="226" w:lineRule="exact" w:before="0"/>
                      <w:ind w:left="0" w:right="0" w:firstLine="0"/>
                      <w:jc w:val="both"/>
                      <w:rPr>
                        <w:sz w:val="22"/>
                      </w:rPr>
                    </w:pPr>
                    <w:r>
                      <w:rPr>
                        <w:sz w:val="22"/>
                      </w:rPr>
                      <w:t>participación  abierta</w:t>
                    </w:r>
                  </w:p>
                  <w:p>
                    <w:pPr>
                      <w:spacing w:line="276" w:lineRule="auto" w:before="37"/>
                      <w:ind w:left="0" w:right="0" w:firstLine="0"/>
                      <w:jc w:val="both"/>
                      <w:rPr>
                        <w:sz w:val="22"/>
                      </w:rPr>
                    </w:pPr>
                    <w:r>
                      <w:rPr>
                        <w:sz w:val="22"/>
                      </w:rPr>
                      <w:t>de la sociedad en la toma de decisiones de  los  asuntos  que</w:t>
                    </w:r>
                  </w:p>
                  <w:p>
                    <w:pPr>
                      <w:spacing w:line="248" w:lineRule="exact" w:before="3"/>
                      <w:ind w:left="0" w:right="0" w:firstLine="0"/>
                      <w:jc w:val="both"/>
                      <w:rPr>
                        <w:sz w:val="22"/>
                      </w:rPr>
                    </w:pPr>
                    <w:r>
                      <w:rPr>
                        <w:sz w:val="22"/>
                      </w:rPr>
                      <w:t>le interesan.</w:t>
                    </w:r>
                  </w:p>
                </w:txbxContent>
              </v:textbox>
              <w10:wrap type="none"/>
            </v:shape>
            <w10:wrap type="topAndBottom"/>
          </v:group>
        </w:pict>
      </w:r>
    </w:p>
    <w:p>
      <w:pPr>
        <w:spacing w:before="28"/>
        <w:ind w:left="222" w:right="239" w:firstLine="0"/>
        <w:jc w:val="center"/>
        <w:rPr>
          <w:sz w:val="22"/>
        </w:rPr>
      </w:pPr>
      <w:r>
        <w:rPr>
          <w:b/>
          <w:sz w:val="22"/>
        </w:rPr>
        <w:t>Fuente: </w:t>
      </w:r>
      <w:r>
        <w:rPr>
          <w:sz w:val="22"/>
        </w:rPr>
        <w:t>Elaboración propia (2014).</w:t>
      </w:r>
    </w:p>
    <w:p>
      <w:pPr>
        <w:pStyle w:val="BodyText"/>
        <w:spacing w:before="5"/>
        <w:rPr>
          <w:sz w:val="28"/>
        </w:rPr>
      </w:pPr>
    </w:p>
    <w:p>
      <w:pPr>
        <w:pStyle w:val="BodyText"/>
        <w:spacing w:line="360" w:lineRule="auto" w:before="1"/>
        <w:ind w:left="102" w:right="117"/>
        <w:jc w:val="both"/>
      </w:pPr>
      <w:r>
        <w:rPr/>
        <w:t>Para Hufty (2004), la primera categoría analítica en los procesos de gobernanza es la identificación del </w:t>
      </w:r>
      <w:r>
        <w:rPr>
          <w:i/>
        </w:rPr>
        <w:t>problema</w:t>
      </w:r>
      <w:r>
        <w:rPr/>
        <w:t>. Un problema nace en el momento de una confrontación o conflicto que debe ser atendido y que concierne a asuntos públicos.</w:t>
      </w:r>
    </w:p>
    <w:p>
      <w:pPr>
        <w:pStyle w:val="BodyText"/>
        <w:spacing w:before="7"/>
        <w:rPr>
          <w:sz w:val="17"/>
        </w:rPr>
      </w:pPr>
    </w:p>
    <w:p>
      <w:pPr>
        <w:pStyle w:val="BodyText"/>
        <w:spacing w:line="360" w:lineRule="auto"/>
        <w:ind w:left="102" w:right="116"/>
        <w:jc w:val="both"/>
      </w:pPr>
      <w:r>
        <w:rPr/>
        <w:t>Otro nivel de análisis que complementa y operativiza al concepto de gobernanza, es el reconocimiento de </w:t>
      </w:r>
      <w:r>
        <w:rPr>
          <w:i/>
        </w:rPr>
        <w:t>actores sociales </w:t>
      </w:r>
      <w:r>
        <w:rPr/>
        <w:t>-</w:t>
      </w:r>
      <w:r>
        <w:rPr>
          <w:i/>
        </w:rPr>
        <w:t>stakeholders</w:t>
      </w:r>
      <w:r>
        <w:rPr/>
        <w:t>- involucrados en el problema. La definición de actor es “todo individuo, organización o grupo con recursos de poder suficientes para impedir o perturbar el funcionamiento de las reglas o procedimientos de toma de decisiones y de soluciones de conflictos colectivos” (Prats, 2003: 243). Hufty (2004) retoma este concepto y clasifica a los actores en tres grupos de acuerdo con su nivel de influencia y poder: los actores estratégicos (tienen poder de decisión y generan movilizaciones sociales), los actores relevantes (tienen poder de decisión y dinero y se ven involucrados en algunas instituciones) y los actores  secundarios (no  tienen poder para cambiar las reglas ni los procesos establecidos). Los puntos nodales o interfaces sociales se entienden como los sitios de conflicto, incompatibilidad y negociación. Estos espacios pueden ser físicos o virtuales, formales e informales y en ellos los actores exponen sus discursos y son escuchados, proponen acuerdos y estrategias de acción (Long,</w:t>
      </w:r>
      <w:r>
        <w:rPr>
          <w:spacing w:val="-4"/>
        </w:rPr>
        <w:t> </w:t>
      </w:r>
      <w:r>
        <w:rPr/>
        <w:t>2003).</w:t>
      </w:r>
    </w:p>
    <w:p>
      <w:pPr>
        <w:spacing w:after="0" w:line="360" w:lineRule="auto"/>
        <w:jc w:val="both"/>
        <w:sectPr>
          <w:pgSz w:w="12240" w:h="15840"/>
          <w:pgMar w:header="0" w:footer="1003" w:top="1360" w:bottom="1200" w:left="1600" w:right="1580"/>
        </w:sectPr>
      </w:pPr>
    </w:p>
    <w:p>
      <w:pPr>
        <w:pStyle w:val="BodyText"/>
        <w:spacing w:line="360" w:lineRule="auto" w:before="56"/>
        <w:ind w:left="102" w:right="114"/>
        <w:jc w:val="both"/>
      </w:pPr>
      <w:r>
        <w:rPr/>
        <w:t>Otra categoría, son los procesos (estados) por los cuales pasa un sistema, es decir, su historia y evolución de un conflicto o problema hacia factores favorables de cambio. El análisis de los procesos de cambio busca identificar los patrones de evolución de los puntos nodales, la trama de interacciones entre actores y su relación con los cambios de las reglas del juego. La última categoría analítica se refiere a las normas, es decir, la construcción de los arreglos y acuerdos entre actores. Las normas asumen un doble rol  en el análisis de la gobernanza, orientan el comportamiento de los actores y son modificadas por la acción colectiva. Las normas se pueden identificar en distintos niveles (multiniveles), desde donde se originan hasta donde se aplican (en los ámbitos internacional, nacional, estatal y local) (Hufty et al.,</w:t>
      </w:r>
      <w:r>
        <w:rPr>
          <w:spacing w:val="-21"/>
        </w:rPr>
        <w:t> </w:t>
      </w:r>
      <w:r>
        <w:rPr/>
        <w:t>2006).</w:t>
      </w:r>
    </w:p>
    <w:p>
      <w:pPr>
        <w:pStyle w:val="BodyText"/>
        <w:spacing w:before="4"/>
        <w:rPr>
          <w:sz w:val="17"/>
        </w:rPr>
      </w:pPr>
    </w:p>
    <w:p>
      <w:pPr>
        <w:pStyle w:val="Heading6"/>
        <w:ind w:left="222" w:right="238"/>
        <w:jc w:val="center"/>
      </w:pPr>
      <w:r>
        <w:rPr/>
        <w:t>Esquema. 2.2. Proceso de un sistema de gobernanza</w:t>
      </w:r>
    </w:p>
    <w:p>
      <w:pPr>
        <w:pStyle w:val="BodyText"/>
        <w:rPr>
          <w:b/>
          <w:sz w:val="20"/>
        </w:rPr>
      </w:pPr>
    </w:p>
    <w:p>
      <w:pPr>
        <w:pStyle w:val="BodyText"/>
        <w:spacing w:before="6"/>
        <w:rPr>
          <w:b/>
          <w:sz w:val="26"/>
        </w:rPr>
      </w:pPr>
      <w:r>
        <w:rPr/>
        <w:pict>
          <v:group style="position:absolute;margin-left:95.75pt;margin-top:17.199911pt;width:117.2pt;height:319.9pt;mso-position-horizontal-relative:page;mso-position-vertical-relative:paragraph;z-index:1648;mso-wrap-distance-left:0;mso-wrap-distance-right:0" coordorigin="1915,344" coordsize="2344,6398">
            <v:rect style="position:absolute;left:1935;top:364;width:2304;height:6358" filled="true" fillcolor="#77923b" stroked="false">
              <v:fill type="solid"/>
            </v:rect>
            <v:rect style="position:absolute;left:1935;top:364;width:2304;height:6358" filled="false" stroked="true" strokeweight="2pt" strokecolor="#000000"/>
            <v:shape style="position:absolute;left:1956;top:457;width:2263;height:6173" type="#_x0000_t75" stroked="false">
              <v:imagedata r:id="rId23" o:title=""/>
            </v:shape>
            <v:shape style="position:absolute;left:2100;top:483;width:1978;height:512" type="#_x0000_t202" filled="false" stroked="false">
              <v:textbox inset="0,0,0,0">
                <w:txbxContent>
                  <w:p>
                    <w:pPr>
                      <w:tabs>
                        <w:tab w:pos="1683" w:val="left" w:leader="none"/>
                      </w:tabs>
                      <w:spacing w:line="226" w:lineRule="exact" w:before="0"/>
                      <w:ind w:left="0" w:right="0" w:firstLine="0"/>
                      <w:jc w:val="left"/>
                      <w:rPr>
                        <w:sz w:val="22"/>
                      </w:rPr>
                    </w:pPr>
                    <w:r>
                      <w:rPr>
                        <w:sz w:val="22"/>
                      </w:rPr>
                      <w:t>Identificación</w:t>
                      <w:tab/>
                    </w:r>
                    <w:r>
                      <w:rPr>
                        <w:spacing w:val="-1"/>
                        <w:sz w:val="22"/>
                      </w:rPr>
                      <w:t>del</w:t>
                    </w:r>
                  </w:p>
                  <w:p>
                    <w:pPr>
                      <w:spacing w:line="248" w:lineRule="exact" w:before="37"/>
                      <w:ind w:left="0" w:right="0" w:firstLine="0"/>
                      <w:jc w:val="left"/>
                      <w:rPr>
                        <w:sz w:val="22"/>
                      </w:rPr>
                    </w:pPr>
                    <w:r>
                      <w:rPr>
                        <w:sz w:val="22"/>
                      </w:rPr>
                      <w:t>problema.</w:t>
                    </w:r>
                  </w:p>
                </w:txbxContent>
              </v:textbox>
              <w10:wrap type="none"/>
            </v:shape>
            <v:shape style="position:absolute;left:2100;top:1263;width:1445;height:221" type="#_x0000_t202" filled="false" stroked="false">
              <v:textbox inset="0,0,0,0">
                <w:txbxContent>
                  <w:p>
                    <w:pPr>
                      <w:spacing w:line="221" w:lineRule="exact" w:before="0"/>
                      <w:ind w:left="0" w:right="-18" w:firstLine="0"/>
                      <w:jc w:val="left"/>
                      <w:rPr>
                        <w:sz w:val="22"/>
                      </w:rPr>
                    </w:pPr>
                    <w:r>
                      <w:rPr>
                        <w:sz w:val="22"/>
                      </w:rPr>
                      <w:t>-Confrontación</w:t>
                    </w:r>
                  </w:p>
                </w:txbxContent>
              </v:textbox>
              <w10:wrap type="none"/>
            </v:shape>
            <v:shape style="position:absolute;left:3955;top:1263;width:123;height:221" type="#_x0000_t202" filled="false" stroked="false">
              <v:textbox inset="0,0,0,0">
                <w:txbxContent>
                  <w:p>
                    <w:pPr>
                      <w:spacing w:line="221" w:lineRule="exact" w:before="0"/>
                      <w:ind w:left="0" w:right="0" w:firstLine="0"/>
                      <w:jc w:val="left"/>
                      <w:rPr>
                        <w:sz w:val="22"/>
                      </w:rPr>
                    </w:pPr>
                    <w:r>
                      <w:rPr>
                        <w:w w:val="100"/>
                        <w:sz w:val="22"/>
                      </w:rPr>
                      <w:t>o</w:t>
                    </w:r>
                  </w:p>
                </w:txbxContent>
              </v:textbox>
              <w10:wrap type="none"/>
            </v:shape>
            <v:shape style="position:absolute;left:2100;top:1556;width:1978;height:1093" type="#_x0000_t202" filled="false" stroked="false">
              <v:textbox inset="0,0,0,0">
                <w:txbxContent>
                  <w:p>
                    <w:pPr>
                      <w:spacing w:line="226" w:lineRule="exact" w:before="0"/>
                      <w:ind w:left="0" w:right="-12" w:firstLine="0"/>
                      <w:jc w:val="left"/>
                      <w:rPr>
                        <w:sz w:val="22"/>
                      </w:rPr>
                    </w:pPr>
                    <w:r>
                      <w:rPr>
                        <w:sz w:val="22"/>
                      </w:rPr>
                      <w:t>conflicto  que   debe</w:t>
                    </w:r>
                  </w:p>
                  <w:p>
                    <w:pPr>
                      <w:spacing w:before="37"/>
                      <w:ind w:left="0" w:right="0" w:firstLine="0"/>
                      <w:jc w:val="left"/>
                      <w:rPr>
                        <w:sz w:val="22"/>
                      </w:rPr>
                    </w:pPr>
                    <w:r>
                      <w:rPr>
                        <w:sz w:val="22"/>
                      </w:rPr>
                      <w:t>ser  atendido  y que</w:t>
                    </w:r>
                  </w:p>
                  <w:p>
                    <w:pPr>
                      <w:spacing w:before="37"/>
                      <w:ind w:left="0" w:right="-12" w:firstLine="0"/>
                      <w:jc w:val="left"/>
                      <w:rPr>
                        <w:sz w:val="22"/>
                      </w:rPr>
                    </w:pPr>
                    <w:r>
                      <w:rPr>
                        <w:sz w:val="22"/>
                      </w:rPr>
                      <w:t>concierne a asuntos</w:t>
                    </w:r>
                  </w:p>
                  <w:p>
                    <w:pPr>
                      <w:spacing w:line="248" w:lineRule="exact" w:before="38"/>
                      <w:ind w:left="0" w:right="0" w:firstLine="0"/>
                      <w:jc w:val="left"/>
                      <w:rPr>
                        <w:sz w:val="22"/>
                      </w:rPr>
                    </w:pPr>
                    <w:r>
                      <w:rPr>
                        <w:sz w:val="22"/>
                      </w:rPr>
                      <w:t>públicos-.</w:t>
                    </w:r>
                  </w:p>
                </w:txbxContent>
              </v:textbox>
              <w10:wrap type="none"/>
            </v:shape>
            <w10:wrap type="topAndBottom"/>
          </v:group>
        </w:pict>
      </w:r>
      <w:r>
        <w:rPr/>
        <w:pict>
          <v:group style="position:absolute;margin-left:219.080002pt;margin-top:154.039917pt;width:27.05pt;height:14.1pt;mso-position-horizontal-relative:page;mso-position-vertical-relative:paragraph;z-index:1672;mso-wrap-distance-left:0;mso-wrap-distance-right:0" coordorigin="4382,3081" coordsize="541,282">
            <v:shape style="position:absolute;left:4402;top:3101;width:501;height:242" coordorigin="4402,3101" coordsize="501,242" path="m4782,3101l4782,3161,4402,3161,4402,3282,4782,3282,4782,3342,4903,3221,4782,3101xe" filled="true" fillcolor="#000000" stroked="false">
              <v:path arrowok="t"/>
              <v:fill type="solid"/>
            </v:shape>
            <v:shape style="position:absolute;left:4402;top:3101;width:501;height:242" coordorigin="4402,3101" coordsize="501,242" path="m4402,3161l4782,3161,4782,3101,4903,3221,4782,3342,4782,3282,4402,3282,4402,3161xe" filled="false" stroked="true" strokeweight="2pt" strokecolor="#000000">
              <v:path arrowok="t"/>
            </v:shape>
            <w10:wrap type="topAndBottom"/>
          </v:group>
        </w:pict>
      </w:r>
      <w:r>
        <w:rPr/>
        <w:pict>
          <v:group style="position:absolute;margin-left:251.639999pt;margin-top:17.199911pt;width:117.2pt;height:319.9pt;mso-position-horizontal-relative:page;mso-position-vertical-relative:paragraph;z-index:1792;mso-wrap-distance-left:0;mso-wrap-distance-right:0" coordorigin="5033,344" coordsize="2344,6398">
            <v:rect style="position:absolute;left:5053;top:364;width:2304;height:6358" filled="true" fillcolor="#f79546" stroked="false">
              <v:fill type="solid"/>
            </v:rect>
            <v:rect style="position:absolute;left:5053;top:364;width:2304;height:6358" filled="false" stroked="true" strokeweight="2pt" strokecolor="#000000"/>
            <v:shape style="position:absolute;left:5074;top:457;width:2263;height:6173" type="#_x0000_t75" stroked="false">
              <v:imagedata r:id="rId23" o:title=""/>
            </v:shape>
            <v:shape style="position:absolute;left:5219;top:483;width:1978;height:1294" type="#_x0000_t202" filled="false" stroked="false">
              <v:textbox inset="0,0,0,0">
                <w:txbxContent>
                  <w:p>
                    <w:pPr>
                      <w:spacing w:line="226" w:lineRule="exact" w:before="0"/>
                      <w:ind w:left="0" w:right="0" w:firstLine="0"/>
                      <w:jc w:val="left"/>
                      <w:rPr>
                        <w:sz w:val="22"/>
                      </w:rPr>
                    </w:pPr>
                    <w:r>
                      <w:rPr>
                        <w:sz w:val="22"/>
                      </w:rPr>
                      <w:t>Reconocimiento  de</w:t>
                    </w:r>
                  </w:p>
                  <w:p>
                    <w:pPr>
                      <w:spacing w:before="37"/>
                      <w:ind w:left="0" w:right="0" w:firstLine="0"/>
                      <w:jc w:val="left"/>
                      <w:rPr>
                        <w:sz w:val="22"/>
                      </w:rPr>
                    </w:pPr>
                    <w:r>
                      <w:rPr>
                        <w:sz w:val="22"/>
                      </w:rPr>
                      <w:t>actores sociales</w:t>
                    </w:r>
                  </w:p>
                  <w:p>
                    <w:pPr>
                      <w:spacing w:line="240" w:lineRule="auto" w:before="4"/>
                      <w:rPr>
                        <w:b/>
                        <w:sz w:val="17"/>
                      </w:rPr>
                    </w:pPr>
                  </w:p>
                  <w:p>
                    <w:pPr>
                      <w:tabs>
                        <w:tab w:pos="683" w:val="left" w:leader="none"/>
                        <w:tab w:pos="938" w:val="left" w:leader="none"/>
                        <w:tab w:pos="1732" w:val="left" w:leader="none"/>
                      </w:tabs>
                      <w:spacing w:line="290" w:lineRule="atLeast" w:before="0"/>
                      <w:ind w:left="0" w:right="0" w:firstLine="0"/>
                      <w:jc w:val="left"/>
                      <w:rPr>
                        <w:sz w:val="22"/>
                      </w:rPr>
                    </w:pPr>
                    <w:r>
                      <w:rPr>
                        <w:sz w:val="22"/>
                      </w:rPr>
                      <w:t>-Con</w:t>
                      <w:tab/>
                      <w:t>recursos</w:t>
                      <w:tab/>
                      <w:t>de</w:t>
                    </w:r>
                    <w:r>
                      <w:rPr>
                        <w:w w:val="100"/>
                        <w:sz w:val="22"/>
                      </w:rPr>
                      <w:t> </w:t>
                    </w:r>
                    <w:r>
                      <w:rPr>
                        <w:sz w:val="22"/>
                      </w:rPr>
                      <w:t>poder</w:t>
                      <w:tab/>
                      <w:tab/>
                    </w:r>
                    <w:r>
                      <w:rPr>
                        <w:spacing w:val="-1"/>
                        <w:sz w:val="22"/>
                      </w:rPr>
                      <w:t>suficientes</w:t>
                    </w:r>
                  </w:p>
                </w:txbxContent>
              </v:textbox>
              <w10:wrap type="none"/>
            </v:shape>
            <v:shape style="position:absolute;left:5219;top:1846;width:1525;height:1386" type="#_x0000_t202" filled="false" stroked="false">
              <v:textbox inset="0,0,0,0">
                <w:txbxContent>
                  <w:p>
                    <w:pPr>
                      <w:spacing w:line="226" w:lineRule="exact" w:before="0"/>
                      <w:ind w:left="0" w:right="0" w:firstLine="0"/>
                      <w:jc w:val="both"/>
                      <w:rPr>
                        <w:sz w:val="22"/>
                      </w:rPr>
                    </w:pPr>
                    <w:r>
                      <w:rPr>
                        <w:sz w:val="22"/>
                      </w:rPr>
                      <w:t>para   la  </w:t>
                    </w:r>
                    <w:r>
                      <w:rPr>
                        <w:spacing w:val="52"/>
                        <w:sz w:val="22"/>
                      </w:rPr>
                      <w:t> </w:t>
                    </w:r>
                    <w:r>
                      <w:rPr>
                        <w:sz w:val="22"/>
                      </w:rPr>
                      <w:t>toma</w:t>
                    </w:r>
                  </w:p>
                  <w:p>
                    <w:pPr>
                      <w:spacing w:line="276" w:lineRule="auto" w:before="37"/>
                      <w:ind w:left="0" w:right="482" w:firstLine="0"/>
                      <w:jc w:val="both"/>
                      <w:rPr>
                        <w:sz w:val="22"/>
                      </w:rPr>
                    </w:pPr>
                    <w:r>
                      <w:rPr>
                        <w:sz w:val="22"/>
                      </w:rPr>
                      <w:t>decisiones soluciones conflictos</w:t>
                    </w:r>
                  </w:p>
                  <w:p>
                    <w:pPr>
                      <w:spacing w:line="248" w:lineRule="exact" w:before="3"/>
                      <w:ind w:left="0" w:right="0" w:firstLine="0"/>
                      <w:jc w:val="both"/>
                      <w:rPr>
                        <w:sz w:val="22"/>
                      </w:rPr>
                    </w:pPr>
                    <w:r>
                      <w:rPr>
                        <w:sz w:val="22"/>
                      </w:rPr>
                      <w:t>colectivos.</w:t>
                    </w:r>
                  </w:p>
                </w:txbxContent>
              </v:textbox>
              <w10:wrap type="none"/>
            </v:shape>
            <v:shape style="position:absolute;left:6550;top:2136;width:111;height:222" type="#_x0000_t202" filled="false" stroked="false">
              <v:textbox inset="0,0,0,0">
                <w:txbxContent>
                  <w:p>
                    <w:pPr>
                      <w:spacing w:line="221" w:lineRule="exact" w:before="0"/>
                      <w:ind w:left="0" w:right="0" w:firstLine="0"/>
                      <w:jc w:val="left"/>
                      <w:rPr>
                        <w:sz w:val="22"/>
                      </w:rPr>
                    </w:pPr>
                    <w:r>
                      <w:rPr>
                        <w:w w:val="100"/>
                        <w:sz w:val="22"/>
                      </w:rPr>
                      <w:t>y</w:t>
                    </w:r>
                  </w:p>
                </w:txbxContent>
              </v:textbox>
              <w10:wrap type="none"/>
            </v:shape>
            <v:shape style="position:absolute;left:6951;top:1846;width:247;height:802" type="#_x0000_t202" filled="false" stroked="false">
              <v:textbox inset="0,0,0,0">
                <w:txbxContent>
                  <w:p>
                    <w:pPr>
                      <w:spacing w:line="226" w:lineRule="exact" w:before="0"/>
                      <w:ind w:left="0" w:right="-18" w:firstLine="0"/>
                      <w:jc w:val="left"/>
                      <w:rPr>
                        <w:sz w:val="22"/>
                      </w:rPr>
                    </w:pPr>
                    <w:r>
                      <w:rPr>
                        <w:sz w:val="22"/>
                      </w:rPr>
                      <w:t>de</w:t>
                    </w:r>
                  </w:p>
                  <w:p>
                    <w:pPr>
                      <w:spacing w:before="37"/>
                      <w:ind w:left="0" w:right="-18" w:firstLine="0"/>
                      <w:jc w:val="left"/>
                      <w:rPr>
                        <w:sz w:val="22"/>
                      </w:rPr>
                    </w:pPr>
                    <w:r>
                      <w:rPr>
                        <w:sz w:val="22"/>
                      </w:rPr>
                      <w:t>de</w:t>
                    </w:r>
                  </w:p>
                  <w:p>
                    <w:pPr>
                      <w:spacing w:line="248" w:lineRule="exact" w:before="38"/>
                      <w:ind w:left="0" w:right="-18" w:firstLine="0"/>
                      <w:jc w:val="left"/>
                      <w:rPr>
                        <w:sz w:val="22"/>
                      </w:rPr>
                    </w:pPr>
                    <w:r>
                      <w:rPr>
                        <w:sz w:val="22"/>
                      </w:rPr>
                      <w:t>de</w:t>
                    </w:r>
                  </w:p>
                </w:txbxContent>
              </v:textbox>
              <w10:wrap type="none"/>
            </v:shape>
            <w10:wrap type="topAndBottom"/>
          </v:group>
        </w:pict>
      </w:r>
      <w:r>
        <w:rPr/>
        <w:pict>
          <v:group style="position:absolute;margin-left:372.470001pt;margin-top:150.009918pt;width:27pt;height:14.05pt;mso-position-horizontal-relative:page;mso-position-vertical-relative:paragraph;z-index:1816;mso-wrap-distance-left:0;mso-wrap-distance-right:0" coordorigin="7449,3000" coordsize="540,281">
            <v:shape style="position:absolute;left:7469;top:3020;width:500;height:241" coordorigin="7469,3020" coordsize="500,241" path="m7849,3020l7849,3080,7469,3080,7469,3201,7849,3201,7849,3261,7969,3141,7849,3020xe" filled="true" fillcolor="#000000" stroked="false">
              <v:path arrowok="t"/>
              <v:fill type="solid"/>
            </v:shape>
            <v:shape style="position:absolute;left:7469;top:3020;width:500;height:241" coordorigin="7469,3020" coordsize="500,241" path="m7469,3080l7849,3080,7849,3020,7969,3141,7849,3261,7849,3201,7469,3201,7469,3080xe" filled="false" stroked="true" strokeweight="2pt" strokecolor="#000000">
              <v:path arrowok="t"/>
            </v:shape>
            <w10:wrap type="topAndBottom"/>
          </v:group>
        </w:pict>
      </w:r>
      <w:r>
        <w:rPr/>
        <w:pict>
          <v:group style="position:absolute;margin-left:404.399994pt;margin-top:17.199911pt;width:122.2pt;height:319.95pt;mso-position-horizontal-relative:page;mso-position-vertical-relative:paragraph;z-index:1984;mso-wrap-distance-left:0;mso-wrap-distance-right:0" coordorigin="8088,344" coordsize="2444,6399">
            <v:rect style="position:absolute;left:8108;top:364;width:2404;height:6359" filled="true" fillcolor="#9bba58" stroked="false">
              <v:fill type="solid"/>
            </v:rect>
            <v:rect style="position:absolute;left:8108;top:364;width:2404;height:6359" filled="false" stroked="true" strokeweight="2pt" strokecolor="#000000"/>
            <v:shape style="position:absolute;left:8129;top:457;width:2364;height:6175" type="#_x0000_t75" stroked="false">
              <v:imagedata r:id="rId24" o:title=""/>
            </v:shape>
            <v:shape style="position:absolute;left:8274;top:483;width:2080;height:3913" type="#_x0000_t202" filled="false" stroked="false">
              <v:textbox inset="0,0,0,0">
                <w:txbxContent>
                  <w:p>
                    <w:pPr>
                      <w:spacing w:line="226" w:lineRule="exact" w:before="0"/>
                      <w:ind w:left="0" w:right="0" w:firstLine="0"/>
                      <w:jc w:val="both"/>
                      <w:rPr>
                        <w:sz w:val="22"/>
                      </w:rPr>
                    </w:pPr>
                    <w:r>
                      <w:rPr>
                        <w:sz w:val="22"/>
                      </w:rPr>
                      <w:t>Historia  y  evolución</w:t>
                    </w:r>
                  </w:p>
                  <w:p>
                    <w:pPr>
                      <w:spacing w:line="276" w:lineRule="auto" w:before="37"/>
                      <w:ind w:left="0" w:right="0" w:firstLine="0"/>
                      <w:jc w:val="both"/>
                      <w:rPr>
                        <w:sz w:val="22"/>
                      </w:rPr>
                    </w:pPr>
                    <w:r>
                      <w:rPr>
                        <w:sz w:val="22"/>
                      </w:rPr>
                      <w:t>de un conflicto o problema hacia factores favorables de cambio.</w:t>
                    </w:r>
                  </w:p>
                  <w:p>
                    <w:pPr>
                      <w:spacing w:line="240" w:lineRule="auto" w:before="6"/>
                      <w:rPr>
                        <w:b/>
                        <w:sz w:val="17"/>
                      </w:rPr>
                    </w:pPr>
                  </w:p>
                  <w:p>
                    <w:pPr>
                      <w:tabs>
                        <w:tab w:pos="1577" w:val="left" w:leader="none"/>
                      </w:tabs>
                      <w:spacing w:line="276" w:lineRule="auto" w:before="0"/>
                      <w:ind w:left="0" w:right="0" w:firstLine="0"/>
                      <w:jc w:val="both"/>
                      <w:rPr>
                        <w:sz w:val="22"/>
                      </w:rPr>
                    </w:pPr>
                    <w:r>
                      <w:rPr>
                        <w:sz w:val="22"/>
                      </w:rPr>
                      <w:t>-Las normas, es decir, la construcción de los arreglos y acuerdos</w:t>
                      <w:tab/>
                    </w:r>
                    <w:r>
                      <w:rPr>
                        <w:spacing w:val="-1"/>
                        <w:sz w:val="22"/>
                      </w:rPr>
                      <w:t>entre </w:t>
                    </w:r>
                    <w:r>
                      <w:rPr>
                        <w:sz w:val="22"/>
                      </w:rPr>
                      <w:t>actores. Las normas se pueden identificar en   distintos </w:t>
                    </w:r>
                    <w:r>
                      <w:rPr>
                        <w:spacing w:val="29"/>
                        <w:sz w:val="22"/>
                      </w:rPr>
                      <w:t> </w:t>
                    </w:r>
                    <w:r>
                      <w:rPr>
                        <w:sz w:val="22"/>
                      </w:rPr>
                      <w:t>niveles</w:t>
                    </w:r>
                  </w:p>
                  <w:p>
                    <w:pPr>
                      <w:spacing w:line="248" w:lineRule="exact" w:before="3"/>
                      <w:ind w:left="0" w:right="0" w:firstLine="0"/>
                      <w:jc w:val="both"/>
                      <w:rPr>
                        <w:sz w:val="22"/>
                      </w:rPr>
                    </w:pPr>
                    <w:r>
                      <w:rPr>
                        <w:sz w:val="22"/>
                      </w:rPr>
                      <w:t>(multiniveles),</w:t>
                    </w:r>
                    <w:r>
                      <w:rPr>
                        <w:spacing w:val="53"/>
                        <w:sz w:val="22"/>
                      </w:rPr>
                      <w:t> </w:t>
                    </w:r>
                    <w:r>
                      <w:rPr>
                        <w:sz w:val="22"/>
                      </w:rPr>
                      <w:t>desde</w:t>
                    </w:r>
                  </w:p>
                </w:txbxContent>
              </v:textbox>
              <w10:wrap type="none"/>
            </v:shape>
            <v:shape style="position:absolute;left:8274;top:4465;width:774;height:1092" type="#_x0000_t202" filled="false" stroked="false">
              <v:textbox inset="0,0,0,0">
                <w:txbxContent>
                  <w:p>
                    <w:pPr>
                      <w:spacing w:line="226" w:lineRule="exact" w:before="0"/>
                      <w:ind w:left="0" w:right="-17" w:firstLine="0"/>
                      <w:jc w:val="left"/>
                      <w:rPr>
                        <w:sz w:val="22"/>
                      </w:rPr>
                    </w:pPr>
                    <w:r>
                      <w:rPr>
                        <w:sz w:val="22"/>
                      </w:rPr>
                      <w:t>donde</w:t>
                    </w:r>
                  </w:p>
                  <w:p>
                    <w:pPr>
                      <w:spacing w:line="290" w:lineRule="atLeast" w:before="0"/>
                      <w:ind w:left="0" w:right="-17" w:firstLine="0"/>
                      <w:jc w:val="left"/>
                      <w:rPr>
                        <w:sz w:val="22"/>
                      </w:rPr>
                    </w:pPr>
                    <w:r>
                      <w:rPr>
                        <w:sz w:val="22"/>
                      </w:rPr>
                      <w:t>hasta aplican ámbitos</w:t>
                    </w:r>
                  </w:p>
                </w:txbxContent>
              </v:textbox>
              <w10:wrap type="none"/>
            </v:shape>
            <v:shape style="position:absolute;left:9112;top:4465;width:1241;height:221" type="#_x0000_t202" filled="false" stroked="false">
              <v:textbox inset="0,0,0,0">
                <w:txbxContent>
                  <w:p>
                    <w:pPr>
                      <w:tabs>
                        <w:tab w:pos="458" w:val="left" w:leader="none"/>
                      </w:tabs>
                      <w:spacing w:line="221" w:lineRule="exact" w:before="0"/>
                      <w:ind w:left="0" w:right="0" w:firstLine="0"/>
                      <w:jc w:val="left"/>
                      <w:rPr>
                        <w:sz w:val="22"/>
                      </w:rPr>
                    </w:pPr>
                    <w:r>
                      <w:rPr>
                        <w:sz w:val="22"/>
                      </w:rPr>
                      <w:t>se</w:t>
                      <w:tab/>
                    </w:r>
                    <w:r>
                      <w:rPr>
                        <w:spacing w:val="-1"/>
                        <w:sz w:val="22"/>
                      </w:rPr>
                      <w:t>originan</w:t>
                    </w:r>
                  </w:p>
                </w:txbxContent>
              </v:textbox>
              <w10:wrap type="none"/>
            </v:shape>
            <v:shape style="position:absolute;left:9162;top:4755;width:613;height:512" type="#_x0000_t202" filled="false" stroked="false">
              <v:textbox inset="0,0,0,0">
                <w:txbxContent>
                  <w:p>
                    <w:pPr>
                      <w:spacing w:line="226" w:lineRule="exact" w:before="0"/>
                      <w:ind w:left="0" w:right="0" w:firstLine="0"/>
                      <w:jc w:val="center"/>
                      <w:rPr>
                        <w:sz w:val="22"/>
                      </w:rPr>
                    </w:pPr>
                    <w:r>
                      <w:rPr>
                        <w:sz w:val="22"/>
                      </w:rPr>
                      <w:t>donde</w:t>
                    </w:r>
                  </w:p>
                  <w:p>
                    <w:pPr>
                      <w:spacing w:line="248" w:lineRule="exact" w:before="37"/>
                      <w:ind w:left="105" w:right="0" w:firstLine="0"/>
                      <w:jc w:val="center"/>
                      <w:rPr>
                        <w:sz w:val="22"/>
                      </w:rPr>
                    </w:pPr>
                    <w:r>
                      <w:rPr>
                        <w:sz w:val="22"/>
                      </w:rPr>
                      <w:t>(en</w:t>
                    </w:r>
                  </w:p>
                </w:txbxContent>
              </v:textbox>
              <w10:wrap type="none"/>
            </v:shape>
            <v:shape style="position:absolute;left:10071;top:4755;width:282;height:512" type="#_x0000_t202" filled="false" stroked="false">
              <v:textbox inset="0,0,0,0">
                <w:txbxContent>
                  <w:p>
                    <w:pPr>
                      <w:spacing w:line="226" w:lineRule="exact" w:before="0"/>
                      <w:ind w:left="0" w:right="-18" w:firstLine="47"/>
                      <w:jc w:val="left"/>
                      <w:rPr>
                        <w:sz w:val="22"/>
                      </w:rPr>
                    </w:pPr>
                    <w:r>
                      <w:rPr>
                        <w:sz w:val="22"/>
                      </w:rPr>
                      <w:t>se</w:t>
                    </w:r>
                  </w:p>
                  <w:p>
                    <w:pPr>
                      <w:spacing w:line="248" w:lineRule="exact" w:before="37"/>
                      <w:ind w:left="0" w:right="-20" w:firstLine="0"/>
                      <w:jc w:val="left"/>
                      <w:rPr>
                        <w:sz w:val="22"/>
                      </w:rPr>
                    </w:pPr>
                    <w:r>
                      <w:rPr>
                        <w:sz w:val="22"/>
                      </w:rPr>
                      <w:t>los</w:t>
                    </w:r>
                  </w:p>
                </w:txbxContent>
              </v:textbox>
              <w10:wrap type="none"/>
            </v:shape>
            <v:shape style="position:absolute;left:8274;top:5629;width:2078;height:802" type="#_x0000_t202" filled="false" stroked="false">
              <v:textbox inset="0,0,0,0">
                <w:txbxContent>
                  <w:p>
                    <w:pPr>
                      <w:spacing w:line="226" w:lineRule="exact" w:before="0"/>
                      <w:ind w:left="0" w:right="0" w:firstLine="0"/>
                      <w:jc w:val="left"/>
                      <w:rPr>
                        <w:sz w:val="22"/>
                      </w:rPr>
                    </w:pPr>
                    <w:r>
                      <w:rPr>
                        <w:sz w:val="22"/>
                      </w:rPr>
                      <w:t>internacional,</w:t>
                    </w:r>
                  </w:p>
                  <w:p>
                    <w:pPr>
                      <w:tabs>
                        <w:tab w:pos="1101" w:val="left" w:leader="none"/>
                        <w:tab w:pos="1967" w:val="left" w:leader="none"/>
                      </w:tabs>
                      <w:spacing w:line="290" w:lineRule="atLeast" w:before="0"/>
                      <w:ind w:left="0" w:right="0" w:firstLine="0"/>
                      <w:jc w:val="left"/>
                      <w:rPr>
                        <w:sz w:val="22"/>
                      </w:rPr>
                    </w:pPr>
                    <w:r>
                      <w:rPr>
                        <w:sz w:val="22"/>
                      </w:rPr>
                      <w:t>nacional,</w:t>
                      <w:tab/>
                      <w:t>estatal</w:t>
                      <w:tab/>
                      <w:t>y</w:t>
                    </w:r>
                    <w:r>
                      <w:rPr>
                        <w:w w:val="100"/>
                        <w:sz w:val="22"/>
                      </w:rPr>
                      <w:t> </w:t>
                    </w:r>
                    <w:r>
                      <w:rPr>
                        <w:sz w:val="22"/>
                      </w:rPr>
                      <w:t>local).</w:t>
                    </w:r>
                  </w:p>
                </w:txbxContent>
              </v:textbox>
              <w10:wrap type="none"/>
            </v:shape>
            <w10:wrap type="topAndBottom"/>
          </v:group>
        </w:pict>
      </w:r>
    </w:p>
    <w:p>
      <w:pPr>
        <w:pStyle w:val="BodyText"/>
        <w:spacing w:before="6"/>
        <w:rPr>
          <w:b/>
          <w:sz w:val="24"/>
        </w:rPr>
      </w:pPr>
    </w:p>
    <w:p>
      <w:pPr>
        <w:pStyle w:val="BodyText"/>
        <w:spacing w:line="276" w:lineRule="auto"/>
        <w:ind w:left="102" w:right="118"/>
        <w:jc w:val="both"/>
      </w:pPr>
      <w:r>
        <w:rPr/>
        <w:t>Elaboración propia de acuerdo con Warman, 1982; Centelles, 2006; Prats, 2006; Palerm, 1993; Moreau, 2003; CapNET, 2000; WETNet, 2012; Prats, 2003: 243; Hufty, 2004, 2006;</w:t>
      </w:r>
    </w:p>
    <w:p>
      <w:pPr>
        <w:pStyle w:val="BodyText"/>
        <w:spacing w:line="276" w:lineRule="auto" w:before="2"/>
        <w:ind w:left="102" w:right="114"/>
        <w:jc w:val="both"/>
      </w:pPr>
      <w:r>
        <w:rPr/>
        <w:t>Long, 2003; Centro Mexicano de Derecho Ambiental, A.C. (2011); Vacaflores, 2000</w:t>
      </w:r>
      <w:r>
        <w:rPr>
          <w:rFonts w:ascii="Calibri"/>
        </w:rPr>
        <w:t>; </w:t>
      </w:r>
      <w:r>
        <w:rPr/>
        <w:t>IDRC 2003.</w:t>
      </w:r>
    </w:p>
    <w:p>
      <w:pPr>
        <w:spacing w:after="0" w:line="276" w:lineRule="auto"/>
        <w:jc w:val="both"/>
        <w:sectPr>
          <w:pgSz w:w="12240" w:h="15840"/>
          <w:pgMar w:header="0" w:footer="1003" w:top="1360" w:bottom="1200" w:left="1600" w:right="1580"/>
        </w:sectPr>
      </w:pPr>
    </w:p>
    <w:p>
      <w:pPr>
        <w:pStyle w:val="BodyText"/>
        <w:spacing w:line="360" w:lineRule="auto" w:before="56"/>
        <w:ind w:left="102" w:right="114"/>
        <w:jc w:val="both"/>
      </w:pPr>
      <w:r>
        <w:rPr/>
        <w:t>En consecuencia, para este caso de estudio, la gobernanza es el elemento indispensable para lograr la intermunicipalidad, ya que permite la creación y gestión de redes o estructuras de interrelación cultural, autogestiva, democrática, voluntaria, de identidad y  de cooperación para involucrar a los diferentes tipos de actores socioeconómicos,  políticos y ambientales, cuya interacción es crucial para sumar esfuerzos y alcanzar el mismo objetivo ante la problemática común de la cuenca hidrosocial de la presa Huapango (Warman, 1982,  Centelles, 2006; Prats, 2006; Palerm, 1993;  Moreau,   </w:t>
      </w:r>
      <w:r>
        <w:rPr>
          <w:spacing w:val="49"/>
        </w:rPr>
        <w:t> </w:t>
      </w:r>
      <w:r>
        <w:rPr/>
        <w:t>2003;</w:t>
      </w:r>
    </w:p>
    <w:p>
      <w:pPr>
        <w:pStyle w:val="BodyText"/>
        <w:spacing w:before="3"/>
        <w:ind w:left="102"/>
        <w:jc w:val="both"/>
      </w:pPr>
      <w:r>
        <w:rPr/>
        <w:t>CapNET, 2000; WETNet, 2012).</w:t>
      </w:r>
    </w:p>
    <w:p>
      <w:pPr>
        <w:pStyle w:val="BodyText"/>
        <w:spacing w:before="3"/>
        <w:rPr>
          <w:sz w:val="28"/>
        </w:rPr>
      </w:pPr>
    </w:p>
    <w:p>
      <w:pPr>
        <w:pStyle w:val="BodyText"/>
        <w:spacing w:line="360" w:lineRule="auto"/>
        <w:ind w:left="102" w:right="117"/>
        <w:jc w:val="both"/>
      </w:pPr>
      <w:r>
        <w:rPr/>
        <w:t>En este sentido, otro concepto que complementa a la gobernanza y que juega un papel importante, es la gobernabilidad porque es el medio que permite el desarrollo de políticas; legislación; planificación y toma de decisiones para dar a la sociedad civil mayor  capacidad de impacto en las políticas públicas, ya que permite la creación de normas para regular los derechos y obligaciones de los</w:t>
      </w:r>
      <w:r>
        <w:rPr>
          <w:spacing w:val="-17"/>
        </w:rPr>
        <w:t> </w:t>
      </w:r>
      <w:r>
        <w:rPr/>
        <w:t>actores.</w:t>
      </w:r>
    </w:p>
    <w:p>
      <w:pPr>
        <w:pStyle w:val="BodyText"/>
        <w:spacing w:before="4"/>
        <w:rPr>
          <w:sz w:val="17"/>
        </w:rPr>
      </w:pPr>
    </w:p>
    <w:p>
      <w:pPr>
        <w:pStyle w:val="Heading6"/>
        <w:numPr>
          <w:ilvl w:val="2"/>
          <w:numId w:val="23"/>
        </w:numPr>
        <w:tabs>
          <w:tab w:pos="716" w:val="left" w:leader="none"/>
        </w:tabs>
        <w:spacing w:line="240" w:lineRule="auto" w:before="0" w:after="0"/>
        <w:ind w:left="715" w:right="0" w:hanging="613"/>
        <w:jc w:val="both"/>
      </w:pPr>
      <w:bookmarkStart w:name="_TOC_250053" w:id="21"/>
      <w:r>
        <w:rPr/>
        <w:t>La</w:t>
      </w:r>
      <w:r>
        <w:rPr>
          <w:spacing w:val="-8"/>
        </w:rPr>
        <w:t> </w:t>
      </w:r>
      <w:bookmarkEnd w:id="21"/>
      <w:r>
        <w:rPr/>
        <w:t>Gobernabilidad</w:t>
      </w:r>
    </w:p>
    <w:p>
      <w:pPr>
        <w:pStyle w:val="BodyText"/>
        <w:spacing w:before="5"/>
        <w:rPr>
          <w:b/>
          <w:sz w:val="28"/>
        </w:rPr>
      </w:pPr>
    </w:p>
    <w:p>
      <w:pPr>
        <w:spacing w:before="0"/>
        <w:ind w:left="102" w:right="0" w:firstLine="0"/>
        <w:jc w:val="both"/>
        <w:rPr>
          <w:i/>
          <w:sz w:val="22"/>
        </w:rPr>
      </w:pPr>
      <w:r>
        <w:rPr>
          <w:sz w:val="20"/>
        </w:rPr>
        <w:t>De acuerdo con el Manual de Capacitación sobre la Integridad del Agua (</w:t>
      </w:r>
      <w:r>
        <w:rPr>
          <w:rFonts w:ascii="Calibri" w:hAnsi="Calibri"/>
          <w:sz w:val="22"/>
        </w:rPr>
        <w:t>2009</w:t>
      </w:r>
      <w:r>
        <w:rPr>
          <w:sz w:val="20"/>
        </w:rPr>
        <w:t>), </w:t>
      </w:r>
      <w:r>
        <w:rPr>
          <w:sz w:val="22"/>
        </w:rPr>
        <w:t>la </w:t>
      </w:r>
      <w:r>
        <w:rPr>
          <w:i/>
          <w:sz w:val="22"/>
        </w:rPr>
        <w:t>gobernabilidad</w:t>
      </w:r>
    </w:p>
    <w:p>
      <w:pPr>
        <w:pStyle w:val="BodyText"/>
        <w:spacing w:before="135"/>
        <w:ind w:left="102"/>
        <w:jc w:val="both"/>
      </w:pPr>
      <w:r>
        <w:rPr/>
        <w:t>trata de los procesos por medio de los cuales se toman e implementan decisiones.</w:t>
      </w:r>
    </w:p>
    <w:p>
      <w:pPr>
        <w:pStyle w:val="BodyText"/>
        <w:spacing w:before="6"/>
        <w:rPr>
          <w:sz w:val="28"/>
        </w:rPr>
      </w:pPr>
    </w:p>
    <w:p>
      <w:pPr>
        <w:pStyle w:val="ListParagraph"/>
        <w:numPr>
          <w:ilvl w:val="0"/>
          <w:numId w:val="25"/>
        </w:numPr>
        <w:tabs>
          <w:tab w:pos="311" w:val="left" w:leader="none"/>
        </w:tabs>
        <w:spacing w:line="360" w:lineRule="auto" w:before="0" w:after="0"/>
        <w:ind w:left="102" w:right="115" w:firstLine="0"/>
        <w:jc w:val="both"/>
        <w:rPr>
          <w:sz w:val="22"/>
        </w:rPr>
      </w:pPr>
      <w:r>
        <w:rPr>
          <w:sz w:val="22"/>
        </w:rPr>
        <w:t>Es el resultado de interacciones, relaciones y redes entre los diferentes sectores (gobierno, sector público, sector privado y sociedad civil) que participan en la entrega de servicios.</w:t>
      </w:r>
    </w:p>
    <w:p>
      <w:pPr>
        <w:pStyle w:val="BodyText"/>
        <w:spacing w:before="7"/>
        <w:rPr>
          <w:sz w:val="17"/>
        </w:rPr>
      </w:pPr>
    </w:p>
    <w:p>
      <w:pPr>
        <w:pStyle w:val="ListParagraph"/>
        <w:numPr>
          <w:ilvl w:val="0"/>
          <w:numId w:val="25"/>
        </w:numPr>
        <w:tabs>
          <w:tab w:pos="280" w:val="left" w:leader="none"/>
        </w:tabs>
        <w:spacing w:line="240" w:lineRule="auto" w:before="0" w:after="0"/>
        <w:ind w:left="279" w:right="0" w:hanging="177"/>
        <w:jc w:val="both"/>
        <w:rPr>
          <w:sz w:val="22"/>
        </w:rPr>
      </w:pPr>
      <w:r>
        <w:rPr>
          <w:sz w:val="22"/>
        </w:rPr>
        <w:t>Implica</w:t>
      </w:r>
      <w:r>
        <w:rPr>
          <w:spacing w:val="37"/>
          <w:sz w:val="22"/>
        </w:rPr>
        <w:t> </w:t>
      </w:r>
      <w:r>
        <w:rPr>
          <w:sz w:val="22"/>
        </w:rPr>
        <w:t>decisiones,</w:t>
      </w:r>
      <w:r>
        <w:rPr>
          <w:spacing w:val="35"/>
          <w:sz w:val="22"/>
        </w:rPr>
        <w:t> </w:t>
      </w:r>
      <w:r>
        <w:rPr>
          <w:sz w:val="22"/>
        </w:rPr>
        <w:t>negociación</w:t>
      </w:r>
      <w:r>
        <w:rPr>
          <w:spacing w:val="36"/>
          <w:sz w:val="22"/>
        </w:rPr>
        <w:t> </w:t>
      </w:r>
      <w:r>
        <w:rPr>
          <w:sz w:val="22"/>
        </w:rPr>
        <w:t>y</w:t>
      </w:r>
      <w:r>
        <w:rPr>
          <w:spacing w:val="35"/>
          <w:sz w:val="22"/>
        </w:rPr>
        <w:t> </w:t>
      </w:r>
      <w:r>
        <w:rPr>
          <w:sz w:val="22"/>
        </w:rPr>
        <w:t>diferentes</w:t>
      </w:r>
      <w:r>
        <w:rPr>
          <w:spacing w:val="37"/>
          <w:sz w:val="22"/>
        </w:rPr>
        <w:t> </w:t>
      </w:r>
      <w:r>
        <w:rPr>
          <w:sz w:val="22"/>
        </w:rPr>
        <w:t>relaciones</w:t>
      </w:r>
      <w:r>
        <w:rPr>
          <w:spacing w:val="37"/>
          <w:sz w:val="22"/>
        </w:rPr>
        <w:t> </w:t>
      </w:r>
      <w:r>
        <w:rPr>
          <w:sz w:val="22"/>
        </w:rPr>
        <w:t>de</w:t>
      </w:r>
      <w:r>
        <w:rPr>
          <w:spacing w:val="36"/>
          <w:sz w:val="22"/>
        </w:rPr>
        <w:t> </w:t>
      </w:r>
      <w:r>
        <w:rPr>
          <w:sz w:val="22"/>
        </w:rPr>
        <w:t>poder</w:t>
      </w:r>
      <w:r>
        <w:rPr>
          <w:spacing w:val="38"/>
          <w:sz w:val="22"/>
        </w:rPr>
        <w:t> </w:t>
      </w:r>
      <w:r>
        <w:rPr>
          <w:sz w:val="22"/>
        </w:rPr>
        <w:t>entre</w:t>
      </w:r>
      <w:r>
        <w:rPr>
          <w:spacing w:val="37"/>
          <w:sz w:val="22"/>
        </w:rPr>
        <w:t> </w:t>
      </w:r>
      <w:r>
        <w:rPr>
          <w:sz w:val="22"/>
        </w:rPr>
        <w:t>los</w:t>
      </w:r>
      <w:r>
        <w:rPr>
          <w:spacing w:val="37"/>
          <w:sz w:val="22"/>
        </w:rPr>
        <w:t> </w:t>
      </w:r>
      <w:r>
        <w:rPr>
          <w:sz w:val="22"/>
        </w:rPr>
        <w:t>grupos</w:t>
      </w:r>
      <w:r>
        <w:rPr>
          <w:spacing w:val="36"/>
          <w:sz w:val="22"/>
        </w:rPr>
        <w:t> </w:t>
      </w:r>
      <w:r>
        <w:rPr>
          <w:sz w:val="22"/>
        </w:rPr>
        <w:t>de</w:t>
      </w:r>
    </w:p>
    <w:p>
      <w:pPr>
        <w:pStyle w:val="BodyText"/>
        <w:spacing w:before="126"/>
        <w:ind w:left="102"/>
        <w:jc w:val="both"/>
      </w:pPr>
      <w:r>
        <w:rPr/>
        <w:t>interés para determinar quién obtiene qué, cuándo y cómo.</w:t>
      </w:r>
    </w:p>
    <w:p>
      <w:pPr>
        <w:pStyle w:val="BodyText"/>
        <w:spacing w:before="5"/>
        <w:rPr>
          <w:sz w:val="28"/>
        </w:rPr>
      </w:pPr>
    </w:p>
    <w:p>
      <w:pPr>
        <w:pStyle w:val="ListParagraph"/>
        <w:numPr>
          <w:ilvl w:val="0"/>
          <w:numId w:val="25"/>
        </w:numPr>
        <w:tabs>
          <w:tab w:pos="263" w:val="left" w:leader="none"/>
        </w:tabs>
        <w:spacing w:line="360" w:lineRule="auto" w:before="1" w:after="0"/>
        <w:ind w:left="102" w:right="121" w:firstLine="0"/>
        <w:jc w:val="both"/>
        <w:rPr>
          <w:sz w:val="22"/>
        </w:rPr>
      </w:pPr>
      <w:r>
        <w:rPr>
          <w:sz w:val="22"/>
        </w:rPr>
        <w:t>La gobernabilidad incluye más actores que solo el gobierno; participan muchos grupos de</w:t>
      </w:r>
      <w:r>
        <w:rPr>
          <w:spacing w:val="-2"/>
          <w:sz w:val="22"/>
        </w:rPr>
        <w:t> </w:t>
      </w:r>
      <w:r>
        <w:rPr>
          <w:sz w:val="22"/>
        </w:rPr>
        <w:t>interés.</w:t>
      </w:r>
    </w:p>
    <w:p>
      <w:pPr>
        <w:pStyle w:val="BodyText"/>
        <w:spacing w:before="7"/>
        <w:rPr>
          <w:sz w:val="17"/>
        </w:rPr>
      </w:pPr>
    </w:p>
    <w:p>
      <w:pPr>
        <w:pStyle w:val="ListParagraph"/>
        <w:numPr>
          <w:ilvl w:val="0"/>
          <w:numId w:val="25"/>
        </w:numPr>
        <w:tabs>
          <w:tab w:pos="256" w:val="left" w:leader="none"/>
        </w:tabs>
        <w:spacing w:line="360" w:lineRule="auto" w:before="0" w:after="0"/>
        <w:ind w:left="102" w:right="115" w:firstLine="0"/>
        <w:jc w:val="both"/>
        <w:rPr>
          <w:sz w:val="22"/>
        </w:rPr>
      </w:pPr>
      <w:r>
        <w:rPr>
          <w:sz w:val="22"/>
        </w:rPr>
        <w:t>Pueden participar todos aquellos con un interés legítimo en el resultado del proceso de toma de decisiones; pero quiénes y qué tan poderosos son determinará el grado de influencia en los resultados de cualquier</w:t>
      </w:r>
      <w:r>
        <w:rPr>
          <w:spacing w:val="-16"/>
          <w:sz w:val="22"/>
        </w:rPr>
        <w:t> </w:t>
      </w:r>
      <w:r>
        <w:rPr>
          <w:sz w:val="22"/>
        </w:rPr>
        <w:t>decisión.</w:t>
      </w:r>
    </w:p>
    <w:p>
      <w:pPr>
        <w:pStyle w:val="BodyText"/>
        <w:spacing w:before="7"/>
        <w:rPr>
          <w:sz w:val="17"/>
        </w:rPr>
      </w:pPr>
    </w:p>
    <w:p>
      <w:pPr>
        <w:pStyle w:val="ListParagraph"/>
        <w:numPr>
          <w:ilvl w:val="0"/>
          <w:numId w:val="25"/>
        </w:numPr>
        <w:tabs>
          <w:tab w:pos="268" w:val="left" w:leader="none"/>
        </w:tabs>
        <w:spacing w:line="360" w:lineRule="auto" w:before="0" w:after="0"/>
        <w:ind w:left="102" w:right="119" w:firstLine="0"/>
        <w:jc w:val="both"/>
        <w:rPr>
          <w:sz w:val="22"/>
        </w:rPr>
      </w:pPr>
      <w:r>
        <w:rPr>
          <w:sz w:val="22"/>
        </w:rPr>
        <w:t>Los grupos de interés incluyen usuarios, organizaciones gubernamentales (tales como municipalidades), empresas de servicios, proveedores de servicios, ONG, financiadores y la sociedad</w:t>
      </w:r>
      <w:r>
        <w:rPr>
          <w:spacing w:val="-8"/>
          <w:sz w:val="22"/>
        </w:rPr>
        <w:t> </w:t>
      </w:r>
      <w:r>
        <w:rPr>
          <w:sz w:val="22"/>
        </w:rPr>
        <w:t>civil.</w:t>
      </w:r>
    </w:p>
    <w:p>
      <w:pPr>
        <w:spacing w:after="0" w:line="360" w:lineRule="auto"/>
        <w:jc w:val="both"/>
        <w:rPr>
          <w:sz w:val="22"/>
        </w:rPr>
        <w:sectPr>
          <w:pgSz w:w="12240" w:h="15840"/>
          <w:pgMar w:header="0" w:footer="1003" w:top="1360" w:bottom="1200" w:left="1600" w:right="1580"/>
        </w:sectPr>
      </w:pPr>
    </w:p>
    <w:p>
      <w:pPr>
        <w:pStyle w:val="BodyText"/>
        <w:spacing w:line="360" w:lineRule="auto" w:before="53"/>
        <w:ind w:left="102" w:right="116"/>
        <w:jc w:val="both"/>
      </w:pPr>
      <w:r>
        <w:rPr>
          <w:b/>
        </w:rPr>
        <w:t>Elementos de la gobernabilidad: </w:t>
      </w:r>
      <w:r>
        <w:rPr/>
        <w:t>Desarrollo de políticas; legislación principal y secundaria; regulación y supervisión; planificación; toma de decisiones; control: supervisión, cumplimiento y autorización. La pregunta central de todo esto es:</w:t>
      </w:r>
    </w:p>
    <w:p>
      <w:pPr>
        <w:pStyle w:val="BodyText"/>
        <w:spacing w:before="7"/>
        <w:rPr>
          <w:sz w:val="17"/>
        </w:rPr>
      </w:pPr>
    </w:p>
    <w:p>
      <w:pPr>
        <w:pStyle w:val="Heading6"/>
        <w:jc w:val="both"/>
      </w:pPr>
      <w:r>
        <w:rPr/>
        <w:t>¿Qué es una buena gobernabilidad?</w:t>
      </w:r>
    </w:p>
    <w:p>
      <w:pPr>
        <w:pStyle w:val="BodyText"/>
        <w:spacing w:before="5"/>
        <w:rPr>
          <w:b/>
          <w:sz w:val="28"/>
        </w:rPr>
      </w:pPr>
    </w:p>
    <w:p>
      <w:pPr>
        <w:pStyle w:val="ListParagraph"/>
        <w:numPr>
          <w:ilvl w:val="0"/>
          <w:numId w:val="25"/>
        </w:numPr>
        <w:tabs>
          <w:tab w:pos="314" w:val="left" w:leader="none"/>
        </w:tabs>
        <w:spacing w:line="240" w:lineRule="auto" w:before="1" w:after="0"/>
        <w:ind w:left="313" w:right="0" w:hanging="211"/>
        <w:jc w:val="both"/>
        <w:rPr>
          <w:sz w:val="22"/>
        </w:rPr>
      </w:pPr>
      <w:r>
        <w:rPr>
          <w:sz w:val="22"/>
        </w:rPr>
        <w:t>Una  buena  gobernabilidad  implica  la  cooperación  constructiva  entre  los </w:t>
      </w:r>
      <w:r>
        <w:rPr>
          <w:spacing w:val="60"/>
          <w:sz w:val="22"/>
        </w:rPr>
        <w:t> </w:t>
      </w:r>
      <w:r>
        <w:rPr>
          <w:sz w:val="22"/>
        </w:rPr>
        <w:t>diferentes</w:t>
      </w:r>
    </w:p>
    <w:p>
      <w:pPr>
        <w:pStyle w:val="BodyText"/>
        <w:spacing w:before="126"/>
        <w:ind w:left="102"/>
        <w:jc w:val="both"/>
      </w:pPr>
      <w:r>
        <w:rPr/>
        <w:t>sectores donde el resultado es un uso eficiente de los recursos.</w:t>
      </w:r>
    </w:p>
    <w:p>
      <w:pPr>
        <w:pStyle w:val="BodyText"/>
        <w:spacing w:before="5"/>
        <w:rPr>
          <w:sz w:val="28"/>
        </w:rPr>
      </w:pPr>
    </w:p>
    <w:p>
      <w:pPr>
        <w:pStyle w:val="ListParagraph"/>
        <w:numPr>
          <w:ilvl w:val="0"/>
          <w:numId w:val="25"/>
        </w:numPr>
        <w:tabs>
          <w:tab w:pos="318" w:val="left" w:leader="none"/>
        </w:tabs>
        <w:spacing w:line="360" w:lineRule="auto" w:before="1" w:after="0"/>
        <w:ind w:left="102" w:right="118" w:firstLine="0"/>
        <w:jc w:val="both"/>
        <w:rPr>
          <w:sz w:val="22"/>
        </w:rPr>
      </w:pPr>
      <w:r>
        <w:rPr>
          <w:sz w:val="22"/>
        </w:rPr>
        <w:t>La buena gobernabilidad surge cuando los grupos de interés se comprometen y participan entre sí, de manera inclusiva, transparente y responsable para alcanzar una mejor prestación del servicio libre de corrupción y abuso, y en el marco del Estado de Derecho.</w:t>
      </w:r>
    </w:p>
    <w:p>
      <w:pPr>
        <w:pStyle w:val="BodyText"/>
        <w:spacing w:before="7"/>
        <w:rPr>
          <w:sz w:val="17"/>
        </w:rPr>
      </w:pPr>
    </w:p>
    <w:p>
      <w:pPr>
        <w:pStyle w:val="BodyText"/>
        <w:spacing w:line="360" w:lineRule="auto"/>
        <w:ind w:left="102" w:right="112"/>
        <w:jc w:val="both"/>
      </w:pPr>
      <w:r>
        <w:rPr/>
        <w:t>El siguiente esquema o mapa mental muestra las cuatro dimensiones de la gobernabilidad del agua: social, ambiental, política y económica, ya que para que exista una buena gobernabilidad se deben tomar en cuenta las cuatro dimensiones antes mencionadas  para que se dé una interrelación de actores dentro de una buena Gestión Integrada de los Recursos Hídricos (SIWI, WIN, Cap-Net, Waternet,</w:t>
      </w:r>
      <w:r>
        <w:rPr>
          <w:spacing w:val="-17"/>
        </w:rPr>
        <w:t> </w:t>
      </w:r>
      <w:r>
        <w:rPr/>
        <w:t>2009).</w:t>
      </w:r>
    </w:p>
    <w:p>
      <w:pPr>
        <w:pStyle w:val="BodyText"/>
        <w:spacing w:before="4"/>
        <w:rPr>
          <w:sz w:val="17"/>
        </w:rPr>
      </w:pPr>
    </w:p>
    <w:p>
      <w:pPr>
        <w:pStyle w:val="Heading6"/>
        <w:ind w:left="220" w:right="239"/>
        <w:jc w:val="center"/>
      </w:pPr>
      <w:r>
        <w:rPr/>
        <w:t>Esquema. 2.3. Cuatro dimensiones de la gobernabilidad</w:t>
      </w:r>
    </w:p>
    <w:p>
      <w:pPr>
        <w:pStyle w:val="BodyText"/>
        <w:spacing w:before="7"/>
        <w:rPr>
          <w:b/>
          <w:sz w:val="23"/>
        </w:rPr>
      </w:pPr>
      <w:r>
        <w:rPr/>
        <w:pict>
          <v:group style="position:absolute;margin-left:175.25pt;margin-top:15.52896pt;width:259.5pt;height:154.5pt;mso-position-horizontal-relative:page;mso-position-vertical-relative:paragraph;z-index:2128;mso-wrap-distance-left:0;mso-wrap-distance-right:0" coordorigin="3505,311" coordsize="5190,3090">
            <v:rect style="position:absolute;left:3525;top:331;width:5150;height:3050" filled="false" stroked="true" strokeweight="2pt" strokecolor="#000000"/>
            <v:shape style="position:absolute;left:5160;top:1201;width:1770;height:950" type="#_x0000_t202" filled="false" stroked="true" strokeweight="1.5pt" strokecolor="#000000">
              <v:textbox inset="0,0,0,0">
                <w:txbxContent>
                  <w:p>
                    <w:pPr>
                      <w:spacing w:line="276" w:lineRule="auto" w:before="71"/>
                      <w:ind w:left="482" w:right="0" w:hanging="322"/>
                      <w:jc w:val="left"/>
                      <w:rPr>
                        <w:rFonts w:ascii="Calibri"/>
                        <w:b/>
                        <w:sz w:val="22"/>
                      </w:rPr>
                    </w:pPr>
                    <w:r>
                      <w:rPr>
                        <w:rFonts w:ascii="Calibri"/>
                        <w:b/>
                        <w:sz w:val="22"/>
                      </w:rPr>
                      <w:t>Gobernabilidad del agua</w:t>
                    </w:r>
                  </w:p>
                </w:txbxContent>
              </v:textbox>
              <w10:wrap type="none"/>
            </v:shape>
            <v:shape style="position:absolute;left:5269;top:449;width:1665;height:221" type="#_x0000_t202" filled="false" stroked="false">
              <v:textbox inset="0,0,0,0">
                <w:txbxContent>
                  <w:p>
                    <w:pPr>
                      <w:spacing w:line="221" w:lineRule="exact" w:before="0"/>
                      <w:ind w:left="0" w:right="-18" w:firstLine="0"/>
                      <w:jc w:val="left"/>
                      <w:rPr>
                        <w:sz w:val="22"/>
                      </w:rPr>
                    </w:pPr>
                    <w:r>
                      <w:rPr>
                        <w:sz w:val="22"/>
                      </w:rPr>
                      <w:t>Dimensión social</w:t>
                    </w:r>
                  </w:p>
                </w:txbxContent>
              </v:textbox>
              <w10:wrap type="none"/>
            </v:shape>
            <v:shape style="position:absolute;left:3689;top:1448;width:1040;height:514" type="#_x0000_t202" filled="false" stroked="false">
              <v:textbox inset="0,0,0,0">
                <w:txbxContent>
                  <w:p>
                    <w:pPr>
                      <w:spacing w:line="226" w:lineRule="exact" w:before="0"/>
                      <w:ind w:left="0" w:right="-20" w:firstLine="0"/>
                      <w:jc w:val="left"/>
                      <w:rPr>
                        <w:sz w:val="22"/>
                      </w:rPr>
                    </w:pPr>
                    <w:r>
                      <w:rPr>
                        <w:sz w:val="22"/>
                      </w:rPr>
                      <w:t>Dimensión</w:t>
                    </w:r>
                  </w:p>
                  <w:p>
                    <w:pPr>
                      <w:spacing w:line="248" w:lineRule="exact" w:before="40"/>
                      <w:ind w:left="0" w:right="-20" w:firstLine="0"/>
                      <w:jc w:val="left"/>
                      <w:rPr>
                        <w:sz w:val="22"/>
                      </w:rPr>
                    </w:pPr>
                    <w:r>
                      <w:rPr>
                        <w:sz w:val="22"/>
                      </w:rPr>
                      <w:t>ambiental</w:t>
                    </w:r>
                  </w:p>
                </w:txbxContent>
              </v:textbox>
              <w10:wrap type="none"/>
            </v:shape>
            <v:shape style="position:absolute;left:7336;top:1448;width:1066;height:514" type="#_x0000_t202" filled="false" stroked="false">
              <v:textbox inset="0,0,0,0">
                <w:txbxContent>
                  <w:p>
                    <w:pPr>
                      <w:spacing w:line="226" w:lineRule="exact" w:before="0"/>
                      <w:ind w:left="0" w:right="-18" w:firstLine="24"/>
                      <w:jc w:val="left"/>
                      <w:rPr>
                        <w:sz w:val="22"/>
                      </w:rPr>
                    </w:pPr>
                    <w:r>
                      <w:rPr>
                        <w:sz w:val="22"/>
                      </w:rPr>
                      <w:t>Dimensión</w:t>
                    </w:r>
                  </w:p>
                  <w:p>
                    <w:pPr>
                      <w:spacing w:line="248" w:lineRule="exact" w:before="40"/>
                      <w:ind w:left="0" w:right="-18" w:firstLine="0"/>
                      <w:jc w:val="left"/>
                      <w:rPr>
                        <w:sz w:val="22"/>
                      </w:rPr>
                    </w:pPr>
                    <w:r>
                      <w:rPr>
                        <w:sz w:val="22"/>
                      </w:rPr>
                      <w:t>económica</w:t>
                    </w:r>
                  </w:p>
                </w:txbxContent>
              </v:textbox>
              <w10:wrap type="none"/>
            </v:shape>
            <v:shape style="position:absolute;left:5202;top:2722;width:1795;height:221" type="#_x0000_t202" filled="false" stroked="false">
              <v:textbox inset="0,0,0,0">
                <w:txbxContent>
                  <w:p>
                    <w:pPr>
                      <w:spacing w:line="221" w:lineRule="exact" w:before="0"/>
                      <w:ind w:left="0" w:right="-13" w:firstLine="0"/>
                      <w:jc w:val="left"/>
                      <w:rPr>
                        <w:sz w:val="22"/>
                      </w:rPr>
                    </w:pPr>
                    <w:r>
                      <w:rPr>
                        <w:sz w:val="22"/>
                      </w:rPr>
                      <w:t>Dimensión</w:t>
                    </w:r>
                    <w:r>
                      <w:rPr>
                        <w:spacing w:val="-10"/>
                        <w:sz w:val="22"/>
                      </w:rPr>
                      <w:t> </w:t>
                    </w:r>
                    <w:r>
                      <w:rPr>
                        <w:sz w:val="22"/>
                      </w:rPr>
                      <w:t>política</w:t>
                    </w:r>
                  </w:p>
                </w:txbxContent>
              </v:textbox>
              <w10:wrap type="none"/>
            </v:shape>
            <w10:wrap type="topAndBottom"/>
          </v:group>
        </w:pict>
      </w:r>
    </w:p>
    <w:p>
      <w:pPr>
        <w:pStyle w:val="BodyText"/>
        <w:spacing w:before="7"/>
        <w:rPr>
          <w:b/>
          <w:sz w:val="20"/>
        </w:rPr>
      </w:pPr>
    </w:p>
    <w:p>
      <w:pPr>
        <w:spacing w:line="364" w:lineRule="auto" w:before="0"/>
        <w:ind w:left="102" w:right="122" w:firstLine="0"/>
        <w:jc w:val="both"/>
        <w:rPr>
          <w:sz w:val="20"/>
        </w:rPr>
      </w:pPr>
      <w:r>
        <w:rPr>
          <w:b/>
          <w:sz w:val="20"/>
        </w:rPr>
        <w:t>Fuente: </w:t>
      </w:r>
      <w:r>
        <w:rPr>
          <w:sz w:val="20"/>
        </w:rPr>
        <w:t>Elaboración propia con base en datos del Manual de Capacitación sobre la Integridad del Agua (</w:t>
      </w:r>
      <w:r>
        <w:rPr>
          <w:rFonts w:ascii="Calibri" w:hAnsi="Calibri"/>
          <w:sz w:val="22"/>
        </w:rPr>
        <w:t>2009</w:t>
      </w:r>
      <w:r>
        <w:rPr>
          <w:sz w:val="20"/>
        </w:rPr>
        <w:t>).</w:t>
      </w:r>
    </w:p>
    <w:p>
      <w:pPr>
        <w:pStyle w:val="BodyText"/>
        <w:spacing w:line="360" w:lineRule="auto" w:before="192"/>
        <w:ind w:left="102" w:right="116"/>
        <w:jc w:val="both"/>
      </w:pPr>
      <w:r>
        <w:rPr/>
        <w:t>Para la Fundación AVINA (2011), hablar de Gobernabilidad Democrática del Agua es fomentar la identidad y la participación responsable y activa de la ciudadanía organizada en la búsqueda de acuerdos entre actores diversos, para garantizar el acceso sostenible y equitativo a servicios de agua y saneamiento en América Latina.</w:t>
      </w:r>
    </w:p>
    <w:p>
      <w:pPr>
        <w:spacing w:after="0" w:line="360" w:lineRule="auto"/>
        <w:jc w:val="both"/>
        <w:sectPr>
          <w:pgSz w:w="12240" w:h="15840"/>
          <w:pgMar w:header="0" w:footer="1003" w:top="1360" w:bottom="1200" w:left="1600" w:right="1580"/>
        </w:sectPr>
      </w:pPr>
    </w:p>
    <w:p>
      <w:pPr>
        <w:pStyle w:val="BodyText"/>
        <w:spacing w:line="360" w:lineRule="auto" w:before="56"/>
        <w:ind w:left="102" w:right="116"/>
        <w:jc w:val="both"/>
      </w:pPr>
      <w:r>
        <w:rPr/>
        <w:t>Cuando Fundación AVINA (2011), habla de Gobernabilidad Democrática del Agua hace hincapié en la capacidad de una sociedad para determinar el carácter y el rumbo de los cambios que espera lograr y también en la manera en que lo hace, fomentando la identidad y la participación responsable y activa de la ciudadanía, organizada sobre la base de acuerdos entre actores diversos, para garantizar el acceso sostenible y equitativo a servicios de agua.</w:t>
      </w:r>
    </w:p>
    <w:p>
      <w:pPr>
        <w:pStyle w:val="BodyText"/>
        <w:spacing w:before="9"/>
        <w:rPr>
          <w:sz w:val="17"/>
        </w:rPr>
      </w:pPr>
    </w:p>
    <w:p>
      <w:pPr>
        <w:pStyle w:val="BodyText"/>
        <w:spacing w:line="360" w:lineRule="auto"/>
        <w:ind w:left="102" w:right="120"/>
        <w:jc w:val="both"/>
      </w:pPr>
      <w:r>
        <w:rPr/>
        <w:t>Por otro lado, la OCDE (2015), menciona que debido a sus características intrínsecas, el sector del agua suele presentar varias “brechas de gobernabilidad” en comparación con otros sectores de recursos naturales o infraestructura. El agua es una cuestión al mismo tiempo local y global, tanto un derecho humano como un bien económico. Inciden en ella, y ésta genera, derechos de propiedad. El agua requiere grandes costos no recuperables de inversión para construir, operar y mantener infraestructura; es un motor fundamental para el desarrollo sostenible, y genera múltiples externalidades en otras áreas de políticas (agricultura, salud, educación, economía y finanzas, igualdad de género, mitigación de la pobreza, etc.).</w:t>
      </w:r>
    </w:p>
    <w:p>
      <w:pPr>
        <w:pStyle w:val="BodyText"/>
        <w:spacing w:before="7"/>
        <w:rPr>
          <w:sz w:val="17"/>
        </w:rPr>
      </w:pPr>
    </w:p>
    <w:p>
      <w:pPr>
        <w:pStyle w:val="BodyText"/>
        <w:spacing w:line="360" w:lineRule="auto"/>
        <w:ind w:left="102" w:right="115"/>
        <w:jc w:val="both"/>
      </w:pPr>
      <w:r>
        <w:rPr/>
        <w:t>La mayoría de los países en América Latina se han rezagado en la gestión sostenible del agua por falta de liderazgo político, marcos legales inapropiados, estructuras débiles de gestión de instalaciones, participación insuficiente de los actores, limitaciones de recursos financieros para cumplir con las responsabilidades, así como un entorno inadecuado para resolver conflictos entre la oferta de agua y las necesidades e intereses de saneamiento. La falta de cohesión social también es un desafío, aparte de que se requieren acciones para superar las desigualdades sociales.</w:t>
      </w:r>
    </w:p>
    <w:p>
      <w:pPr>
        <w:pStyle w:val="BodyText"/>
        <w:spacing w:before="7"/>
        <w:rPr>
          <w:sz w:val="17"/>
        </w:rPr>
      </w:pPr>
    </w:p>
    <w:p>
      <w:pPr>
        <w:pStyle w:val="BodyText"/>
        <w:spacing w:line="360" w:lineRule="auto"/>
        <w:ind w:left="102" w:right="114"/>
        <w:jc w:val="both"/>
      </w:pPr>
      <w:r>
        <w:rPr/>
        <w:t>En el sector del agua participa un gran número de actores en los niveles de (sub)cuenca, municipal, regional, nacional e internacional. Ante la falta de una gobernabilidad pública efectiva para conducir las interdependencias dentro de las áreas de políticas y entre los órdenes de gobierno, es inevitable que los responsables de la formulación de políticas afronten obstáculos para diseñar e implementar de manera eficaz las reformas del agua. Los principales retos son la fragmentación institucional y territorial, la mala gestión de la gobernabilidad multinivel, así como la capacidad limitada en el nivel local, la asignación poco clara de funciones y responsabilidades, y la distribución cuestionable de recursos. Asimismo, la insuficiencia de medios para medir el desempeño ha contribuido a una rendición de cuentas y transparencia débiles. Tales obstáculos a menudo se originan en objetivos mal alineados y una gestión deficiente de las interacciones entre actores.</w:t>
      </w:r>
    </w:p>
    <w:p>
      <w:pPr>
        <w:spacing w:after="0" w:line="360" w:lineRule="auto"/>
        <w:jc w:val="both"/>
        <w:sectPr>
          <w:footerReference w:type="default" r:id="rId25"/>
          <w:pgSz w:w="12240" w:h="15840"/>
          <w:pgMar w:footer="1003" w:header="0" w:top="1360" w:bottom="1200" w:left="1600" w:right="1580"/>
        </w:sectPr>
      </w:pPr>
    </w:p>
    <w:p>
      <w:pPr>
        <w:pStyle w:val="BodyText"/>
        <w:spacing w:line="360" w:lineRule="auto" w:before="56"/>
        <w:ind w:left="102" w:right="117"/>
        <w:jc w:val="both"/>
      </w:pPr>
      <w:r>
        <w:rPr/>
        <w:t>A su vez, la gobernabilidad entendida como la capacidad de formular e implementar leyes permite adoptar el enfoque o aproximación de las capacidades elaborado por Sen (1984) y Sen (1999). Para estos autores, la capacidad es el espacio intermedio que vincula, a un nivel individual y de la persona, sus dotaciones con sus potenciales realizaciones en términos de bienestar. Y, aunque los estudios empíricos que validan esta aproximación se hayan situado más en la literatura sobre desarrollo, la capacidad de formular e implementar leyes desde la gobernabilidad permite analizar de mejor forma el rol de las instituciones. Así, las instituciones funcionarían como las dotaciones en términos de derechos y oportunidades de los individuos, confiriendo unas oportunidades de realización de políticas públicas efectivas al sistema político. En la medida en que las instituciones confieren unas propiedades (en términos de costes de transacción, de agencia, y demás) al sistema político, éstas determinan la capacidad del proceso político de transformar necesidades en políticas o, en un lenguaje más en la línea de Sen (1999), dotaciones iniciales (en términos de derechos o desigualdad) en realizaciones de bienestar. De esta forma, la gobernabilidad pasa a comprenderse como el espacio intermedio existente entre los patrones de interacción de los individuos y actores (determinados institucionalmente) y las oportunidades en términos de formulación y implantación efectiva de políticas que estos confieren. Esta es una buena forma de vincular gobernanza y políticas a través de  la gobernabilidad, que en último término hace referencia al refuerzo mediante el proceso político de las demandas y preferencias canalizadas institucionalmente y las políticas llevadas a cabo. Partiendo de esta definición de gobernabilidad, es posible advertir una doble dimensión: por un lado, la gobernabilidad tiene una dimensión analítica en cuanto  se fundamenta en reglas formales e informales cuyos efectos sobre la interacción de actores estratégicos (gobernanza) genera un grado observable mayor o menor de alineamiento entre necesidades y capacidades; por otro lado, al basarse en la satisfacción de necesidades mediante la formulación y la implementación de políticas públicas, la gobernabilidad posee una dimensión normativa en la medida en que requiere la identificación valorativa de cuáles son dichas necesidades básicas y los objetivos a cumplir por las políticas públicas. En su vertiente analítica, la gobernabilidad hace referencia a las condiciones necesarias y suficientes para que las instituciones políticas transformen de manera efectiva las demandas o necesidades en políticas o regulaciones. Desde esta perspectiva, un mayor grado de gobernabilidad vendrá asociado a un mejor alinieamiento entre demandas y políticas a través de las instituciones, que deberán resolver  los  ‘trade-offs’ existentes  entre diseños  alternativos.  Desde  un  punto  de</w:t>
      </w:r>
      <w:r>
        <w:rPr>
          <w:spacing w:val="-11"/>
        </w:rPr>
        <w:t> </w:t>
      </w:r>
      <w:r>
        <w:rPr/>
        <w:t>vista</w:t>
      </w:r>
    </w:p>
    <w:p>
      <w:pPr>
        <w:spacing w:after="0" w:line="360" w:lineRule="auto"/>
        <w:jc w:val="both"/>
        <w:sectPr>
          <w:footerReference w:type="default" r:id="rId26"/>
          <w:pgSz w:w="12240" w:h="15840"/>
          <w:pgMar w:footer="1003" w:header="0" w:top="1360" w:bottom="1200" w:left="1600" w:right="1580"/>
          <w:pgNumType w:start="61"/>
        </w:sectPr>
      </w:pPr>
    </w:p>
    <w:p>
      <w:pPr>
        <w:pStyle w:val="BodyText"/>
        <w:spacing w:line="360" w:lineRule="auto" w:before="56"/>
        <w:ind w:left="102" w:right="117"/>
        <w:jc w:val="both"/>
      </w:pPr>
      <w:r>
        <w:rPr/>
        <w:t>normativo, la gobernabilidad vendrá asociada con mayores niveles de democracia y bienestar, en tanto (a) serán las fórmulas democráticas las que mejor canalicen las necesidades y las demandas ciudadanas y (b) será en términos de bienestar entendido como desarrollo humano que se juzgue la bondad de las políticas públicas.</w:t>
      </w:r>
    </w:p>
    <w:p>
      <w:pPr>
        <w:pStyle w:val="BodyText"/>
        <w:spacing w:before="9"/>
        <w:rPr>
          <w:sz w:val="17"/>
        </w:rPr>
      </w:pPr>
    </w:p>
    <w:p>
      <w:pPr>
        <w:pStyle w:val="BodyText"/>
        <w:spacing w:line="360" w:lineRule="auto"/>
        <w:ind w:left="102" w:right="118"/>
        <w:jc w:val="both"/>
      </w:pPr>
      <w:r>
        <w:rPr/>
        <w:t>En este sentido, la gobernabilidad es el elemento que nos permite detectar el liderazgo político de los grupos de actores históricos para proponer un marco legal apropiado con una estructura fuerte de gestión con amplia participación de los actores, ya que permitió obtener el resultado final de las interacciones entre los distintos actores sociopolíticos  para proponer el Comité Intermunicipal con su Reglamento para el uso y manejo de la presa</w:t>
      </w:r>
      <w:r>
        <w:rPr>
          <w:spacing w:val="-4"/>
        </w:rPr>
        <w:t> </w:t>
      </w:r>
      <w:r>
        <w:rPr/>
        <w:t>Huapango.</w:t>
      </w:r>
    </w:p>
    <w:p>
      <w:pPr>
        <w:pStyle w:val="BodyText"/>
        <w:spacing w:before="9"/>
        <w:rPr>
          <w:sz w:val="17"/>
        </w:rPr>
      </w:pPr>
    </w:p>
    <w:p>
      <w:pPr>
        <w:pStyle w:val="BodyText"/>
        <w:spacing w:line="360" w:lineRule="auto"/>
        <w:ind w:left="102" w:right="114"/>
        <w:jc w:val="both"/>
      </w:pPr>
      <w:r>
        <w:rPr/>
        <w:t>Con los conceptos anteriores se identificaron una serie de principios de gobernanza y gobernabilidad en un marco de la GIRH que sirvieron como guía de análisis en el trabajo de campo y de gabinete en esta investigación.</w:t>
      </w:r>
    </w:p>
    <w:p>
      <w:pPr>
        <w:pStyle w:val="BodyText"/>
        <w:spacing w:before="4"/>
        <w:rPr>
          <w:sz w:val="17"/>
        </w:rPr>
      </w:pPr>
    </w:p>
    <w:p>
      <w:pPr>
        <w:pStyle w:val="Heading6"/>
        <w:numPr>
          <w:ilvl w:val="1"/>
          <w:numId w:val="26"/>
        </w:numPr>
        <w:tabs>
          <w:tab w:pos="532" w:val="left" w:leader="none"/>
        </w:tabs>
        <w:spacing w:line="240" w:lineRule="auto" w:before="0" w:after="0"/>
        <w:ind w:left="531" w:right="0" w:hanging="429"/>
        <w:jc w:val="both"/>
      </w:pPr>
      <w:bookmarkStart w:name="_TOC_250052" w:id="22"/>
      <w:r>
        <w:rPr/>
        <w:t>Los principios de gobernanza  y gobernabilidad en la</w:t>
      </w:r>
      <w:r>
        <w:rPr>
          <w:spacing w:val="-15"/>
        </w:rPr>
        <w:t> </w:t>
      </w:r>
      <w:bookmarkEnd w:id="22"/>
      <w:r>
        <w:rPr/>
        <w:t>GIRH</w:t>
      </w:r>
    </w:p>
    <w:p>
      <w:pPr>
        <w:pStyle w:val="BodyText"/>
        <w:spacing w:before="5"/>
        <w:rPr>
          <w:b/>
          <w:sz w:val="28"/>
        </w:rPr>
      </w:pPr>
    </w:p>
    <w:p>
      <w:pPr>
        <w:pStyle w:val="Heading6"/>
        <w:numPr>
          <w:ilvl w:val="2"/>
          <w:numId w:val="26"/>
        </w:numPr>
        <w:tabs>
          <w:tab w:pos="716" w:val="left" w:leader="none"/>
        </w:tabs>
        <w:spacing w:line="240" w:lineRule="auto" w:before="1" w:after="0"/>
        <w:ind w:left="715" w:right="0" w:hanging="613"/>
        <w:jc w:val="both"/>
      </w:pPr>
      <w:bookmarkStart w:name="_TOC_250051" w:id="23"/>
      <w:r>
        <w:rPr/>
        <w:t>Principio de Gobernanza: Democracia y voluntariedad de la</w:t>
      </w:r>
      <w:r>
        <w:rPr>
          <w:spacing w:val="-15"/>
        </w:rPr>
        <w:t> </w:t>
      </w:r>
      <w:bookmarkEnd w:id="23"/>
      <w:r>
        <w:rPr/>
        <w:t>sociedad</w:t>
      </w:r>
    </w:p>
    <w:p>
      <w:pPr>
        <w:pStyle w:val="BodyText"/>
        <w:spacing w:before="5"/>
        <w:rPr>
          <w:b/>
          <w:sz w:val="28"/>
        </w:rPr>
      </w:pPr>
    </w:p>
    <w:p>
      <w:pPr>
        <w:pStyle w:val="BodyText"/>
        <w:spacing w:line="360" w:lineRule="auto" w:before="1"/>
        <w:ind w:left="102" w:right="115"/>
        <w:jc w:val="both"/>
      </w:pPr>
      <w:r>
        <w:rPr/>
        <w:t>Palerm (1972), pone en alerta sobre un </w:t>
      </w:r>
      <w:r>
        <w:rPr>
          <w:i/>
        </w:rPr>
        <w:t>componente indispensable </w:t>
      </w:r>
      <w:r>
        <w:rPr/>
        <w:t>para llevar a cabo la planificación integrada, ésta es la existencia de la </w:t>
      </w:r>
      <w:r>
        <w:rPr>
          <w:i/>
        </w:rPr>
        <w:t>democracia </w:t>
      </w:r>
      <w:r>
        <w:rPr/>
        <w:t>para la aplicación de cualquier plan de desarrollo. Es decir, fueron las enseñanzas de fracaso y éxito los que dejaron claro en Palerm (1972), que eran </w:t>
      </w:r>
      <w:r>
        <w:rPr>
          <w:i/>
        </w:rPr>
        <w:t>indispensables los mecanismos democráticos  </w:t>
      </w:r>
      <w:r>
        <w:rPr>
          <w:i/>
        </w:rPr>
        <w:t>de la planificación</w:t>
      </w:r>
      <w:r>
        <w:rPr/>
        <w:t>, tanto desde el punto de vista del papel del Estado y su subordinación a la sociedad, como desde el punto de vista de la eficiencia y la eficacia mismas de la planificación.</w:t>
      </w:r>
    </w:p>
    <w:p>
      <w:pPr>
        <w:pStyle w:val="BodyText"/>
        <w:spacing w:before="7"/>
        <w:rPr>
          <w:sz w:val="17"/>
        </w:rPr>
      </w:pPr>
    </w:p>
    <w:p>
      <w:pPr>
        <w:spacing w:line="360" w:lineRule="auto" w:before="0"/>
        <w:ind w:left="102" w:right="117" w:firstLine="0"/>
        <w:jc w:val="both"/>
        <w:rPr>
          <w:sz w:val="22"/>
        </w:rPr>
      </w:pPr>
      <w:r>
        <w:rPr>
          <w:sz w:val="22"/>
        </w:rPr>
        <w:t>Estas experiencias de éxito y fracaso llevan a Palerm a advertir el siguiente concepto dentro de la Gobernanza: que es difícil, probablemente imposible, que un planeación pueda ser realizada con éxito </w:t>
      </w:r>
      <w:r>
        <w:rPr>
          <w:i/>
          <w:sz w:val="22"/>
        </w:rPr>
        <w:t>“si no es la expresión de los deseos y la voluntad de la </w:t>
      </w:r>
      <w:r>
        <w:rPr>
          <w:i/>
          <w:sz w:val="22"/>
        </w:rPr>
        <w:t>sociedad” </w:t>
      </w:r>
      <w:r>
        <w:rPr>
          <w:sz w:val="22"/>
        </w:rPr>
        <w:t>(</w:t>
      </w:r>
      <w:r>
        <w:rPr>
          <w:b/>
          <w:sz w:val="22"/>
        </w:rPr>
        <w:t>Voluntariedad</w:t>
      </w:r>
      <w:r>
        <w:rPr>
          <w:sz w:val="22"/>
        </w:rPr>
        <w:t>). Es decir, si no ha sido concebido, elaborado y discutido por los diversos grupos sociales, económicos y políticos involucrados en el desarrollo. Pero lo más interesante de esta expresión, es encontrar aquí uno de los principales componentes para la gobernanza: </w:t>
      </w:r>
      <w:r>
        <w:rPr>
          <w:i/>
          <w:sz w:val="22"/>
        </w:rPr>
        <w:t>la voluntariedad de realizar el cambio por parte de los implicados en </w:t>
      </w:r>
      <w:r>
        <w:rPr>
          <w:i/>
          <w:sz w:val="22"/>
        </w:rPr>
        <w:t>el plan </w:t>
      </w:r>
      <w:r>
        <w:rPr>
          <w:sz w:val="22"/>
        </w:rPr>
        <w:t>(Cfr. Martínez,</w:t>
      </w:r>
      <w:r>
        <w:rPr>
          <w:spacing w:val="-8"/>
          <w:sz w:val="22"/>
        </w:rPr>
        <w:t> </w:t>
      </w:r>
      <w:r>
        <w:rPr>
          <w:sz w:val="22"/>
        </w:rPr>
        <w:t>2015).</w:t>
      </w:r>
    </w:p>
    <w:p>
      <w:pPr>
        <w:spacing w:after="0" w:line="360" w:lineRule="auto"/>
        <w:jc w:val="both"/>
        <w:rPr>
          <w:sz w:val="22"/>
        </w:rPr>
        <w:sectPr>
          <w:pgSz w:w="12240" w:h="15840"/>
          <w:pgMar w:header="0" w:footer="1003" w:top="1360" w:bottom="1200" w:left="1600" w:right="1580"/>
        </w:sectPr>
      </w:pPr>
    </w:p>
    <w:p>
      <w:pPr>
        <w:pStyle w:val="BodyText"/>
        <w:spacing w:line="360" w:lineRule="auto" w:before="56"/>
        <w:ind w:left="102" w:right="112"/>
        <w:jc w:val="both"/>
      </w:pPr>
      <w:r>
        <w:rPr/>
        <w:t>De lo anterior, Palerm (1972), desprende la necesidad de capacitar para la planificación integrada, a partir de estudiar e identificar las </w:t>
      </w:r>
      <w:r>
        <w:rPr>
          <w:i/>
        </w:rPr>
        <w:t>experiencias significativas </w:t>
      </w:r>
      <w:r>
        <w:rPr/>
        <w:t>que llevan a reflexiones mayores, desde las cuales el planificador debe aprender no solo los resultados de las experiencias, sino la forma de aplicar las técnicas, procedimientos y mecanismos que hacen posible y factible la planificación, dominio que para Palerm (1972), sólo se  logra a través del ejercicio antropológico del estudio y recuento de las experiencias anteriores y contemporáneas sobre planificación del desarrollo a partir de la lectura, estudio y crítica del conjunto de experiencias que se han desarrollado en otros países y México.</w:t>
      </w:r>
    </w:p>
    <w:p>
      <w:pPr>
        <w:pStyle w:val="BodyText"/>
        <w:spacing w:before="7"/>
        <w:rPr>
          <w:sz w:val="17"/>
        </w:rPr>
      </w:pPr>
    </w:p>
    <w:p>
      <w:pPr>
        <w:pStyle w:val="BodyText"/>
        <w:ind w:left="102"/>
        <w:jc w:val="both"/>
      </w:pPr>
      <w:r>
        <w:rPr/>
        <w:t>En resumen, identificar y el conjunto de las “experiencias significativas” en planeación,</w:t>
      </w:r>
    </w:p>
    <w:p>
      <w:pPr>
        <w:pStyle w:val="BodyText"/>
        <w:spacing w:before="126"/>
        <w:ind w:left="102"/>
        <w:jc w:val="both"/>
      </w:pPr>
      <w:r>
        <w:rPr/>
        <w:t>son requisito y el mejor punto de partida para la planificación.</w:t>
      </w:r>
    </w:p>
    <w:p>
      <w:pPr>
        <w:pStyle w:val="BodyText"/>
        <w:spacing w:before="5"/>
        <w:rPr>
          <w:sz w:val="28"/>
        </w:rPr>
      </w:pPr>
    </w:p>
    <w:p>
      <w:pPr>
        <w:pStyle w:val="BodyText"/>
        <w:spacing w:before="1"/>
        <w:ind w:left="102"/>
        <w:jc w:val="both"/>
      </w:pPr>
      <w:r>
        <w:rPr/>
        <w:t>Palerm, identifica cinco experiencias significativas en la planificación mundial:</w:t>
      </w:r>
    </w:p>
    <w:p>
      <w:pPr>
        <w:pStyle w:val="BodyText"/>
        <w:spacing w:before="3"/>
        <w:rPr>
          <w:sz w:val="28"/>
        </w:rPr>
      </w:pPr>
    </w:p>
    <w:p>
      <w:pPr>
        <w:pStyle w:val="ListParagraph"/>
        <w:numPr>
          <w:ilvl w:val="0"/>
          <w:numId w:val="27"/>
        </w:numPr>
        <w:tabs>
          <w:tab w:pos="810" w:val="left" w:leader="none"/>
        </w:tabs>
        <w:spacing w:line="240" w:lineRule="auto" w:before="0" w:after="0"/>
        <w:ind w:left="810" w:right="0" w:hanging="708"/>
        <w:jc w:val="both"/>
        <w:rPr>
          <w:sz w:val="22"/>
        </w:rPr>
      </w:pPr>
      <w:r>
        <w:rPr>
          <w:sz w:val="22"/>
        </w:rPr>
        <w:t>El Tennessee Valley (Una región pobre en un país</w:t>
      </w:r>
      <w:r>
        <w:rPr>
          <w:spacing w:val="-13"/>
          <w:sz w:val="22"/>
        </w:rPr>
        <w:t> </w:t>
      </w:r>
      <w:r>
        <w:rPr>
          <w:sz w:val="22"/>
        </w:rPr>
        <w:t>rico)</w:t>
      </w:r>
    </w:p>
    <w:p>
      <w:pPr>
        <w:pStyle w:val="BodyText"/>
        <w:spacing w:before="5"/>
        <w:rPr>
          <w:sz w:val="28"/>
        </w:rPr>
      </w:pPr>
    </w:p>
    <w:p>
      <w:pPr>
        <w:pStyle w:val="ListParagraph"/>
        <w:numPr>
          <w:ilvl w:val="0"/>
          <w:numId w:val="27"/>
        </w:numPr>
        <w:tabs>
          <w:tab w:pos="810" w:val="left" w:leader="none"/>
        </w:tabs>
        <w:spacing w:line="240" w:lineRule="auto" w:before="1" w:after="0"/>
        <w:ind w:left="810" w:right="0" w:hanging="708"/>
        <w:jc w:val="both"/>
        <w:rPr>
          <w:sz w:val="22"/>
        </w:rPr>
      </w:pPr>
      <w:r>
        <w:rPr>
          <w:sz w:val="22"/>
        </w:rPr>
        <w:t>Planificación nacional y regional en Francia (El plan de emergencia</w:t>
      </w:r>
      <w:r>
        <w:rPr>
          <w:spacing w:val="-21"/>
          <w:sz w:val="22"/>
        </w:rPr>
        <w:t> </w:t>
      </w:r>
      <w:r>
        <w:rPr>
          <w:sz w:val="22"/>
        </w:rPr>
        <w:t>nacional)</w:t>
      </w:r>
    </w:p>
    <w:p>
      <w:pPr>
        <w:pStyle w:val="BodyText"/>
        <w:spacing w:before="3"/>
        <w:rPr>
          <w:sz w:val="28"/>
        </w:rPr>
      </w:pPr>
    </w:p>
    <w:p>
      <w:pPr>
        <w:pStyle w:val="ListParagraph"/>
        <w:numPr>
          <w:ilvl w:val="0"/>
          <w:numId w:val="27"/>
        </w:numPr>
        <w:tabs>
          <w:tab w:pos="810" w:val="left" w:leader="none"/>
        </w:tabs>
        <w:spacing w:line="240" w:lineRule="auto" w:before="0" w:after="0"/>
        <w:ind w:left="810" w:right="0" w:hanging="708"/>
        <w:jc w:val="both"/>
        <w:rPr>
          <w:sz w:val="22"/>
        </w:rPr>
      </w:pPr>
      <w:r>
        <w:rPr>
          <w:sz w:val="22"/>
        </w:rPr>
        <w:t>Yugoslavia (la Reforma</w:t>
      </w:r>
      <w:r>
        <w:rPr>
          <w:spacing w:val="-11"/>
          <w:sz w:val="22"/>
        </w:rPr>
        <w:t> </w:t>
      </w:r>
      <w:r>
        <w:rPr>
          <w:sz w:val="22"/>
        </w:rPr>
        <w:t>Agraria).</w:t>
      </w:r>
    </w:p>
    <w:p>
      <w:pPr>
        <w:pStyle w:val="BodyText"/>
        <w:spacing w:before="6"/>
        <w:rPr>
          <w:sz w:val="28"/>
        </w:rPr>
      </w:pPr>
    </w:p>
    <w:p>
      <w:pPr>
        <w:pStyle w:val="ListParagraph"/>
        <w:numPr>
          <w:ilvl w:val="0"/>
          <w:numId w:val="27"/>
        </w:numPr>
        <w:tabs>
          <w:tab w:pos="810" w:val="left" w:leader="none"/>
        </w:tabs>
        <w:spacing w:line="240" w:lineRule="auto" w:before="0" w:after="0"/>
        <w:ind w:left="810" w:right="0" w:hanging="708"/>
        <w:jc w:val="both"/>
        <w:rPr>
          <w:sz w:val="22"/>
        </w:rPr>
      </w:pPr>
      <w:r>
        <w:rPr>
          <w:sz w:val="22"/>
        </w:rPr>
        <w:t>Italia (Políticas de desarrollo y planes</w:t>
      </w:r>
      <w:r>
        <w:rPr>
          <w:spacing w:val="-14"/>
          <w:sz w:val="22"/>
        </w:rPr>
        <w:t> </w:t>
      </w:r>
      <w:r>
        <w:rPr>
          <w:sz w:val="22"/>
        </w:rPr>
        <w:t>regionales)</w:t>
      </w:r>
    </w:p>
    <w:p>
      <w:pPr>
        <w:pStyle w:val="BodyText"/>
        <w:spacing w:before="3"/>
        <w:rPr>
          <w:sz w:val="28"/>
        </w:rPr>
      </w:pPr>
    </w:p>
    <w:p>
      <w:pPr>
        <w:pStyle w:val="ListParagraph"/>
        <w:numPr>
          <w:ilvl w:val="0"/>
          <w:numId w:val="27"/>
        </w:numPr>
        <w:tabs>
          <w:tab w:pos="810" w:val="left" w:leader="none"/>
        </w:tabs>
        <w:spacing w:line="240" w:lineRule="auto" w:before="0" w:after="0"/>
        <w:ind w:left="810" w:right="0" w:hanging="708"/>
        <w:jc w:val="both"/>
        <w:rPr>
          <w:sz w:val="22"/>
        </w:rPr>
      </w:pPr>
      <w:r>
        <w:rPr>
          <w:sz w:val="22"/>
        </w:rPr>
        <w:t>Israel (colonización y polos de</w:t>
      </w:r>
      <w:r>
        <w:rPr>
          <w:spacing w:val="-12"/>
          <w:sz w:val="22"/>
        </w:rPr>
        <w:t> </w:t>
      </w:r>
      <w:r>
        <w:rPr>
          <w:sz w:val="22"/>
        </w:rPr>
        <w:t>desarrollo)</w:t>
      </w:r>
    </w:p>
    <w:p>
      <w:pPr>
        <w:pStyle w:val="BodyText"/>
        <w:spacing w:before="3"/>
        <w:rPr>
          <w:sz w:val="28"/>
        </w:rPr>
      </w:pPr>
    </w:p>
    <w:p>
      <w:pPr>
        <w:pStyle w:val="ListParagraph"/>
        <w:numPr>
          <w:ilvl w:val="0"/>
          <w:numId w:val="27"/>
        </w:numPr>
        <w:tabs>
          <w:tab w:pos="789" w:val="left" w:leader="none"/>
        </w:tabs>
        <w:spacing w:line="240" w:lineRule="auto" w:before="0" w:after="0"/>
        <w:ind w:left="788" w:right="0" w:hanging="686"/>
        <w:jc w:val="both"/>
        <w:rPr>
          <w:sz w:val="22"/>
        </w:rPr>
      </w:pPr>
      <w:r>
        <w:rPr>
          <w:sz w:val="22"/>
        </w:rPr>
        <w:t>Planificación y acción comunal en la India para el</w:t>
      </w:r>
      <w:r>
        <w:rPr>
          <w:spacing w:val="-14"/>
          <w:sz w:val="22"/>
        </w:rPr>
        <w:t> </w:t>
      </w:r>
      <w:r>
        <w:rPr>
          <w:sz w:val="22"/>
        </w:rPr>
        <w:t>desarrollo</w:t>
      </w:r>
    </w:p>
    <w:p>
      <w:pPr>
        <w:pStyle w:val="BodyText"/>
        <w:spacing w:before="5"/>
        <w:rPr>
          <w:sz w:val="28"/>
        </w:rPr>
      </w:pPr>
    </w:p>
    <w:p>
      <w:pPr>
        <w:pStyle w:val="BodyText"/>
        <w:spacing w:line="360" w:lineRule="auto" w:before="1"/>
        <w:ind w:left="102" w:right="123"/>
        <w:jc w:val="both"/>
      </w:pPr>
      <w:r>
        <w:rPr/>
        <w:t>De las experiencias significativas anteriores, se identifica como enseñanza y aprendizaje las siguientes formulaciones:</w:t>
      </w:r>
    </w:p>
    <w:p>
      <w:pPr>
        <w:pStyle w:val="BodyText"/>
        <w:spacing w:before="7"/>
        <w:rPr>
          <w:sz w:val="17"/>
        </w:rPr>
      </w:pPr>
    </w:p>
    <w:p>
      <w:pPr>
        <w:pStyle w:val="BodyText"/>
        <w:spacing w:line="360" w:lineRule="auto"/>
        <w:ind w:left="102" w:right="119"/>
        <w:jc w:val="both"/>
      </w:pPr>
      <w:r>
        <w:rPr/>
        <w:t>1.- El marco geográfico constituye un dato primordial e indispensable para la planificación. En otras palabras, al hablar del marco geográfico de la planificación se está hablando de la compleja trama de interrelaciones entre el hombre y el ambiente, relación concebida con la profundidad temporal (histórica) necesaria para la proyección posible hacia el futuro.</w:t>
      </w:r>
    </w:p>
    <w:p>
      <w:pPr>
        <w:pStyle w:val="BodyText"/>
        <w:spacing w:before="7"/>
        <w:rPr>
          <w:sz w:val="17"/>
        </w:rPr>
      </w:pPr>
    </w:p>
    <w:p>
      <w:pPr>
        <w:pStyle w:val="BodyText"/>
        <w:spacing w:line="360" w:lineRule="auto"/>
        <w:ind w:left="102" w:right="120"/>
        <w:jc w:val="both"/>
      </w:pPr>
      <w:r>
        <w:rPr/>
        <w:t>2.- Es evidente que la planificación regional se concibe como un remedio a la centralización excesiva. En términos concretos, la regionalización de la planificación equivale a su descentralización.</w:t>
      </w:r>
    </w:p>
    <w:p>
      <w:pPr>
        <w:spacing w:after="0" w:line="360" w:lineRule="auto"/>
        <w:jc w:val="both"/>
        <w:sectPr>
          <w:pgSz w:w="12240" w:h="15840"/>
          <w:pgMar w:header="0" w:footer="1003" w:top="1360" w:bottom="1200" w:left="1600" w:right="1580"/>
        </w:sectPr>
      </w:pPr>
    </w:p>
    <w:p>
      <w:pPr>
        <w:pStyle w:val="BodyText"/>
        <w:spacing w:line="360" w:lineRule="auto" w:before="56"/>
        <w:ind w:left="102" w:right="113"/>
        <w:jc w:val="both"/>
      </w:pPr>
      <w:r>
        <w:rPr/>
        <w:t>3.- La planificación regional (con marco antropológico) se acepta como un método para conseguir la participación de los grupos de base del país para el desarrollo.</w:t>
      </w:r>
    </w:p>
    <w:p>
      <w:pPr>
        <w:pStyle w:val="BodyText"/>
        <w:spacing w:before="7"/>
        <w:rPr>
          <w:sz w:val="17"/>
        </w:rPr>
      </w:pPr>
    </w:p>
    <w:p>
      <w:pPr>
        <w:spacing w:line="360" w:lineRule="auto" w:before="0"/>
        <w:ind w:left="102" w:right="115" w:firstLine="0"/>
        <w:jc w:val="both"/>
        <w:rPr>
          <w:sz w:val="22"/>
        </w:rPr>
      </w:pPr>
      <w:r>
        <w:rPr>
          <w:sz w:val="22"/>
        </w:rPr>
        <w:t>4.- La planificación regional opera como un mecanismo para la demostración del sistema de planeamiento, </w:t>
      </w:r>
      <w:r>
        <w:rPr>
          <w:i/>
          <w:sz w:val="22"/>
        </w:rPr>
        <w:t>donde la democracia ocupa un lugar de primer orden</w:t>
      </w:r>
      <w:r>
        <w:rPr>
          <w:sz w:val="22"/>
        </w:rPr>
        <w:t>, donde ello significa una participación popular.</w:t>
      </w:r>
    </w:p>
    <w:p>
      <w:pPr>
        <w:pStyle w:val="BodyText"/>
        <w:spacing w:before="7"/>
        <w:rPr>
          <w:sz w:val="17"/>
        </w:rPr>
      </w:pPr>
    </w:p>
    <w:p>
      <w:pPr>
        <w:pStyle w:val="BodyText"/>
        <w:spacing w:line="360" w:lineRule="auto"/>
        <w:ind w:left="102" w:right="122"/>
        <w:jc w:val="both"/>
      </w:pPr>
      <w:r>
        <w:rPr/>
        <w:t>5.- La regionalización significa, mayor y mejor eficacia operativa y administrativa en la ejecución de los planes de desarrollo.</w:t>
      </w:r>
    </w:p>
    <w:p>
      <w:pPr>
        <w:pStyle w:val="BodyText"/>
        <w:spacing w:before="9"/>
        <w:rPr>
          <w:sz w:val="17"/>
        </w:rPr>
      </w:pPr>
    </w:p>
    <w:p>
      <w:pPr>
        <w:pStyle w:val="BodyText"/>
        <w:spacing w:line="360" w:lineRule="auto"/>
        <w:ind w:left="102" w:right="114"/>
        <w:jc w:val="both"/>
      </w:pPr>
      <w:r>
        <w:rPr/>
        <w:t>6.- La planificación regional se concibe como el marco más idóneo para conseguir una planificación integrada, la cual para considerarse como integrada, parte de aquella forma de planificar con el medio geográfico y de las formas en que la población lo habita; que toma en cuenta tanto la organización de la ocupación humana como sus estructuras sociales y culturales, políticas y económicas, y que se desarrolla dando atención cuidadosa a las interrelaciones de todos estos factores.</w:t>
      </w:r>
    </w:p>
    <w:p>
      <w:pPr>
        <w:pStyle w:val="BodyText"/>
        <w:spacing w:before="9"/>
        <w:rPr>
          <w:sz w:val="17"/>
        </w:rPr>
      </w:pPr>
    </w:p>
    <w:p>
      <w:pPr>
        <w:pStyle w:val="BodyText"/>
        <w:spacing w:line="360" w:lineRule="auto"/>
        <w:ind w:left="102" w:right="116"/>
        <w:jc w:val="both"/>
      </w:pPr>
      <w:r>
        <w:rPr/>
        <w:t>En conclusión, las experiencias significativas señalan que la región no debe concebirse a </w:t>
      </w:r>
      <w:r>
        <w:rPr>
          <w:i/>
        </w:rPr>
        <w:t>priori </w:t>
      </w:r>
      <w:r>
        <w:rPr/>
        <w:t>como una zona natural o etnocultural, o como una división administrativa o política, un complejo metropolitano, o como cualquier otra forma, aunque en la práctica puede tomar cualquiera de ellas. </w:t>
      </w:r>
      <w:r>
        <w:rPr>
          <w:i/>
        </w:rPr>
        <w:t>La región debe ser efectivamente, una unidad de planeamiento</w:t>
      </w:r>
      <w:r>
        <w:rPr/>
        <w:t>, y como tal, sus límites y su naturaleza son flexibles, cambiantes en el tiempo y esencialmente relacionados con una problemática y una estrategia.</w:t>
      </w:r>
    </w:p>
    <w:p>
      <w:pPr>
        <w:pStyle w:val="BodyText"/>
        <w:spacing w:before="9"/>
        <w:rPr>
          <w:sz w:val="17"/>
        </w:rPr>
      </w:pPr>
    </w:p>
    <w:p>
      <w:pPr>
        <w:pStyle w:val="BodyText"/>
        <w:ind w:left="102"/>
        <w:jc w:val="both"/>
      </w:pPr>
      <w:r>
        <w:rPr/>
        <w:t>Para el caso mexicano, Palerm (1972) hace las siguientes sugerencias:</w:t>
      </w:r>
    </w:p>
    <w:p>
      <w:pPr>
        <w:pStyle w:val="BodyText"/>
        <w:spacing w:before="3"/>
        <w:rPr>
          <w:sz w:val="28"/>
        </w:rPr>
      </w:pPr>
    </w:p>
    <w:p>
      <w:pPr>
        <w:pStyle w:val="BodyText"/>
        <w:spacing w:line="360" w:lineRule="auto"/>
        <w:ind w:left="102" w:right="114"/>
        <w:jc w:val="both"/>
      </w:pPr>
      <w:r>
        <w:rPr/>
        <w:t>1.- La agricultura (y el campesinado) debe recibir atención urgente y preferente, en términos particulares de la intensificación de los cultivos por medio de mayores y mejores insumos de trabajo u otras medidas como tecnología y organización.</w:t>
      </w:r>
    </w:p>
    <w:p>
      <w:pPr>
        <w:pStyle w:val="BodyText"/>
        <w:spacing w:before="10"/>
        <w:rPr>
          <w:sz w:val="17"/>
        </w:rPr>
      </w:pPr>
    </w:p>
    <w:p>
      <w:pPr>
        <w:pStyle w:val="BodyText"/>
        <w:spacing w:line="360" w:lineRule="auto"/>
        <w:ind w:left="102" w:right="115"/>
        <w:jc w:val="both"/>
      </w:pPr>
      <w:r>
        <w:rPr/>
        <w:t>2.- Emplear adecuadamente la capacidad productiva de la región. Dicho de otra manera, la subocupación agrícola debe ser eliminada y preparada la transferencia gradual de la fuerza de trabajo agrícola hacia otras actividades. Una manera importante de utilizar la capacidad de trabajo subempleada, se encuentra en los trabajos de tipo comunal y cooperativo, aunque naturalmente la solución final está en la intensificación de la agricultura y en la expansión de la industria y los</w:t>
      </w:r>
      <w:r>
        <w:rPr>
          <w:spacing w:val="-19"/>
        </w:rPr>
        <w:t> </w:t>
      </w:r>
      <w:r>
        <w:rPr/>
        <w:t>servicios.</w:t>
      </w:r>
    </w:p>
    <w:p>
      <w:pPr>
        <w:spacing w:after="0" w:line="360" w:lineRule="auto"/>
        <w:jc w:val="both"/>
        <w:sectPr>
          <w:pgSz w:w="12240" w:h="15840"/>
          <w:pgMar w:header="0" w:footer="1003" w:top="1360" w:bottom="1200" w:left="1600" w:right="1580"/>
        </w:sectPr>
      </w:pPr>
    </w:p>
    <w:p>
      <w:pPr>
        <w:pStyle w:val="BodyText"/>
        <w:spacing w:line="360" w:lineRule="auto" w:before="56"/>
        <w:ind w:left="102" w:right="117"/>
        <w:jc w:val="both"/>
      </w:pPr>
      <w:r>
        <w:rPr/>
        <w:t>3.- La necesidad de facilitar a la región, una mayor igualdad de oportunidades individuales con respecto al resto del país. Es decir, facilidades adecuadas de educación general, superior y técnica, servicios de bienestar social, vivienda, etc.</w:t>
      </w:r>
    </w:p>
    <w:p>
      <w:pPr>
        <w:pStyle w:val="BodyText"/>
        <w:spacing w:before="9"/>
        <w:rPr>
          <w:sz w:val="17"/>
        </w:rPr>
      </w:pPr>
    </w:p>
    <w:p>
      <w:pPr>
        <w:pStyle w:val="BodyText"/>
        <w:spacing w:line="360" w:lineRule="auto"/>
        <w:ind w:left="102" w:right="117"/>
        <w:jc w:val="both"/>
      </w:pPr>
      <w:r>
        <w:rPr/>
        <w:t>4.- Las potencialidades inéditas o susceptibles de expansión de la región que pueden tener mayor incidencia en el cuadro macroscópico de la nación. Es decir, sobre todo, nuevas materias primas y formas de utilizarlas; nuevos bienes de consumo; nuevos tipos  y fuentes de energía. Se aspira a que la región </w:t>
      </w:r>
      <w:r>
        <w:rPr>
          <w:i/>
        </w:rPr>
        <w:t>ejerza un papel innovador</w:t>
      </w:r>
      <w:r>
        <w:rPr/>
        <w:t>, adquiriendo  con ello las ventajas</w:t>
      </w:r>
      <w:r>
        <w:rPr>
          <w:spacing w:val="-11"/>
        </w:rPr>
        <w:t> </w:t>
      </w:r>
      <w:r>
        <w:rPr/>
        <w:t>consiguientes.</w:t>
      </w:r>
    </w:p>
    <w:p>
      <w:pPr>
        <w:pStyle w:val="BodyText"/>
        <w:spacing w:before="7"/>
        <w:rPr>
          <w:sz w:val="17"/>
        </w:rPr>
      </w:pPr>
    </w:p>
    <w:p>
      <w:pPr>
        <w:pStyle w:val="BodyText"/>
        <w:spacing w:line="360" w:lineRule="auto"/>
        <w:ind w:left="102" w:right="117"/>
        <w:jc w:val="both"/>
      </w:pPr>
      <w:r>
        <w:rPr/>
        <w:t>5.- Las posibilidades de especialización funcional de la región dentro del país; es decir, dedicarse a aquello que la vocación de la región le permite hacer mejor que otras, sea por razones de sus recursos naturales y humanos, tradiciones culturales, tecnológicas u otras razones.</w:t>
      </w:r>
    </w:p>
    <w:p>
      <w:pPr>
        <w:pStyle w:val="BodyText"/>
        <w:spacing w:before="7"/>
        <w:rPr>
          <w:sz w:val="17"/>
        </w:rPr>
      </w:pPr>
    </w:p>
    <w:p>
      <w:pPr>
        <w:pStyle w:val="BodyText"/>
        <w:spacing w:line="360" w:lineRule="auto"/>
        <w:ind w:left="102" w:right="117"/>
        <w:jc w:val="both"/>
      </w:pPr>
      <w:r>
        <w:rPr/>
        <w:t>Del análisis de las anteriores experiencias, el caso de la India, suministra la experiencia más significativa de regionalización de la planificación, donde prácticamente es forzada por las circunstancias creadas al tratar de conseguir la participación popular a través de los programas de desarrollo de la comunidad. Probablemente se trata, a ojos de Palerm, del caso con mayores enseñanzas y similitudes para el ejercicio de la planificación en México, por lo que merece en este sentido, un mayor análisis para los estudiosos y responsables de la planificación en este país.</w:t>
      </w:r>
    </w:p>
    <w:p>
      <w:pPr>
        <w:pStyle w:val="BodyText"/>
        <w:spacing w:before="7"/>
        <w:rPr>
          <w:sz w:val="17"/>
        </w:rPr>
      </w:pPr>
    </w:p>
    <w:p>
      <w:pPr>
        <w:pStyle w:val="BodyText"/>
        <w:spacing w:line="360" w:lineRule="auto"/>
        <w:ind w:left="102" w:right="115"/>
        <w:jc w:val="both"/>
      </w:pPr>
      <w:r>
        <w:rPr/>
        <w:t>Palerm, identifica el caso de la India formada por múltiples grupos culturales, como el país más parecido al nuestro, donde existen gran cantidad de grupos culturales vivos de origen antiguo, y por lo tanto, con una gran influencia de los derechos y prácticas consuetudinarias (costumbres) en la vida cotidiana de la población. Reconocer lo anterior es muy importante. Palerm (1972) destaca en este sentido que:</w:t>
      </w:r>
    </w:p>
    <w:p>
      <w:pPr>
        <w:pStyle w:val="BodyText"/>
        <w:spacing w:before="4"/>
        <w:rPr>
          <w:sz w:val="17"/>
        </w:rPr>
      </w:pPr>
    </w:p>
    <w:p>
      <w:pPr>
        <w:pStyle w:val="BodyText"/>
        <w:spacing w:line="360" w:lineRule="auto"/>
        <w:ind w:left="102" w:right="112"/>
        <w:jc w:val="both"/>
      </w:pPr>
      <w:r>
        <w:rPr>
          <w:b/>
        </w:rPr>
        <w:t>La incapacidad de reconocer </w:t>
      </w:r>
      <w:r>
        <w:rPr/>
        <w:t>este hecho fundamental (la existencia de grupos antiguos y con derechos consuetudinarios), </w:t>
      </w:r>
      <w:r>
        <w:rPr>
          <w:b/>
        </w:rPr>
        <w:t>ha constituido una de las mayores fuentes de errores y fracasos</w:t>
      </w:r>
      <w:r>
        <w:rPr/>
        <w:t>. Asevera que con excesiva frecuencia, se han elaborado planes y aplicado políticas de desarrollo en países no-occidentales suponiendo que existe en ellos las mismas condiciones y motivaciones que encontramos en las naciones de culturas con tradición occidental (Palerm,</w:t>
      </w:r>
      <w:r>
        <w:rPr>
          <w:spacing w:val="-11"/>
        </w:rPr>
        <w:t> </w:t>
      </w:r>
      <w:r>
        <w:rPr/>
        <w:t>1972).</w:t>
      </w:r>
    </w:p>
    <w:p>
      <w:pPr>
        <w:spacing w:after="0" w:line="360" w:lineRule="auto"/>
        <w:jc w:val="both"/>
        <w:sectPr>
          <w:pgSz w:w="12240" w:h="15840"/>
          <w:pgMar w:header="0" w:footer="1003" w:top="1360" w:bottom="1200" w:left="1600" w:right="1580"/>
        </w:sectPr>
      </w:pPr>
    </w:p>
    <w:p>
      <w:pPr>
        <w:pStyle w:val="BodyText"/>
        <w:spacing w:line="360" w:lineRule="auto" w:before="56"/>
        <w:ind w:left="102" w:right="117"/>
        <w:jc w:val="both"/>
      </w:pPr>
      <w:r>
        <w:rPr/>
        <w:t>En otras palabras, las conductas en la organización social determinadas por patrones no occidentales (costumbres), se han considerado en la práctica como “aberrantes”, y los esfuerzos del Estado y de los planificadores, se han encaminado la mayor parte de las veces hacia tentativas de modificarlas de acuerdo con normas supuestamente racionales, en bien de “todo el país” (Cfr. Hewitt, 1988). Es por ello que el aprendizaje de la experiencia en la India de la aplicación de los llamados “programas de acción comunal”, son de suma importancia para México.</w:t>
      </w:r>
    </w:p>
    <w:p>
      <w:pPr>
        <w:pStyle w:val="BodyText"/>
        <w:spacing w:before="7"/>
        <w:rPr>
          <w:sz w:val="17"/>
        </w:rPr>
      </w:pPr>
    </w:p>
    <w:p>
      <w:pPr>
        <w:spacing w:line="360" w:lineRule="auto" w:before="0"/>
        <w:ind w:left="102" w:right="114" w:firstLine="0"/>
        <w:jc w:val="both"/>
        <w:rPr>
          <w:sz w:val="22"/>
        </w:rPr>
      </w:pPr>
      <w:r>
        <w:rPr>
          <w:i/>
          <w:sz w:val="22"/>
        </w:rPr>
        <w:t>Una de las enseñanzas significativas es que el planteamiento adecuado del cambio </w:t>
      </w:r>
      <w:r>
        <w:rPr>
          <w:i/>
          <w:sz w:val="22"/>
        </w:rPr>
        <w:t>sociocultural en México, resulta tan importante como la planificación del cambio tecnológico; el uno no puede proceder sin el otro</w:t>
      </w:r>
      <w:r>
        <w:rPr>
          <w:sz w:val="22"/>
        </w:rPr>
        <w:t>. La especial atención académica y técnica a los aspectos culturales para el caso mexicano, es fundamental en la  planificación de los programas donde existan grupos humanos de origen</w:t>
      </w:r>
      <w:r>
        <w:rPr>
          <w:spacing w:val="-19"/>
          <w:sz w:val="22"/>
        </w:rPr>
        <w:t> </w:t>
      </w:r>
      <w:r>
        <w:rPr>
          <w:sz w:val="22"/>
        </w:rPr>
        <w:t>antiguo.</w:t>
      </w:r>
    </w:p>
    <w:p>
      <w:pPr>
        <w:pStyle w:val="BodyText"/>
        <w:spacing w:before="9"/>
        <w:rPr>
          <w:sz w:val="17"/>
        </w:rPr>
      </w:pPr>
    </w:p>
    <w:p>
      <w:pPr>
        <w:spacing w:line="360" w:lineRule="auto" w:before="0"/>
        <w:ind w:left="1378" w:right="117" w:firstLine="0"/>
        <w:jc w:val="both"/>
        <w:rPr>
          <w:sz w:val="22"/>
        </w:rPr>
      </w:pPr>
      <w:r>
        <w:rPr>
          <w:sz w:val="22"/>
        </w:rPr>
        <w:t>La identificación y examen de estos factores culturales no puede reducirse solamente a criterios sobre su posible utilización para promover el desarrollo… También hay que examinarlos desde el punto de vista del contenido y de los objetivos inmediatos del Plan de Acción Comunal. El hecho es que dentro del Plan Nacional o regional de desarrollo, los objetivos más vitales, asequibles y convenientes, no siempre son los favorecidos por  la comunidad. </w:t>
      </w:r>
      <w:r>
        <w:rPr>
          <w:i/>
          <w:sz w:val="22"/>
        </w:rPr>
        <w:t>Es decir, el sistema de valores o sociocultural comunitario a </w:t>
      </w:r>
      <w:r>
        <w:rPr>
          <w:i/>
          <w:sz w:val="22"/>
        </w:rPr>
        <w:t>menudo indica otras preferencias, las cuales el plan comunitario debe incorporar, aunque para sus fines no parezca relevante, ya que así pondrá  en movimiento los mecanismos de la comunidad para que participen </w:t>
      </w:r>
      <w:r>
        <w:rPr>
          <w:sz w:val="22"/>
        </w:rPr>
        <w:t>(Palerm,</w:t>
      </w:r>
      <w:r>
        <w:rPr>
          <w:spacing w:val="-3"/>
          <w:sz w:val="22"/>
        </w:rPr>
        <w:t> </w:t>
      </w:r>
      <w:r>
        <w:rPr>
          <w:sz w:val="22"/>
        </w:rPr>
        <w:t>1972).</w:t>
      </w:r>
    </w:p>
    <w:p>
      <w:pPr>
        <w:pStyle w:val="BodyText"/>
        <w:spacing w:before="7"/>
        <w:rPr>
          <w:sz w:val="17"/>
        </w:rPr>
      </w:pPr>
    </w:p>
    <w:p>
      <w:pPr>
        <w:pStyle w:val="BodyText"/>
        <w:spacing w:line="360" w:lineRule="auto"/>
        <w:ind w:left="102" w:right="116"/>
        <w:jc w:val="both"/>
      </w:pPr>
      <w:r>
        <w:rPr/>
        <w:t>Estas necesidades culturales percibidas por el grupo, resultan en la práctica tan importantes como las necesidades identificadas en el Plan Nacional o regional de desarrollo. Es preferible incorporarlas que luchar contra ellas. La experiencia antropológica enseña que los costos de esta acción son muy pequeños en relación a los beneficios obtenidos, no sólo económicos, sino que ponen en movimiento toda una serie de mecanismos que favorecen al desarrollo y aplicación del plan de desarrollo  (Cfr. Hewitt,</w:t>
      </w:r>
      <w:r>
        <w:rPr>
          <w:spacing w:val="-5"/>
        </w:rPr>
        <w:t> </w:t>
      </w:r>
      <w:r>
        <w:rPr/>
        <w:t>1988).</w:t>
      </w:r>
    </w:p>
    <w:p>
      <w:pPr>
        <w:pStyle w:val="BodyText"/>
        <w:spacing w:before="9"/>
        <w:rPr>
          <w:sz w:val="17"/>
        </w:rPr>
      </w:pPr>
    </w:p>
    <w:p>
      <w:pPr>
        <w:pStyle w:val="BodyText"/>
        <w:spacing w:line="360" w:lineRule="auto"/>
        <w:ind w:left="102" w:right="115"/>
        <w:jc w:val="both"/>
      </w:pPr>
      <w:r>
        <w:rPr/>
        <w:t>Es decir, la acción comunal tiene caracteres que van más allá de los determinados en establecer coherencia y ajuste entre el plan de desarrollo y los factores socioculturales    a</w:t>
      </w:r>
    </w:p>
    <w:p>
      <w:pPr>
        <w:spacing w:after="0" w:line="360" w:lineRule="auto"/>
        <w:jc w:val="both"/>
        <w:sectPr>
          <w:pgSz w:w="12240" w:h="15840"/>
          <w:pgMar w:header="0" w:footer="1003" w:top="1360" w:bottom="1200" w:left="1600" w:right="1580"/>
        </w:sectPr>
      </w:pPr>
    </w:p>
    <w:p>
      <w:pPr>
        <w:spacing w:line="360" w:lineRule="auto" w:before="56"/>
        <w:ind w:left="102" w:right="118" w:firstLine="0"/>
        <w:jc w:val="both"/>
        <w:rPr>
          <w:i/>
          <w:sz w:val="22"/>
        </w:rPr>
      </w:pPr>
      <w:r>
        <w:rPr>
          <w:sz w:val="22"/>
        </w:rPr>
        <w:t>nivel local y regional; el principal de ellos es establecer el vínculo directo con la  comunidad y no de enfrentamiento. </w:t>
      </w:r>
      <w:r>
        <w:rPr>
          <w:i/>
          <w:sz w:val="22"/>
        </w:rPr>
        <w:t>Es decir, aquí el trabajo de campo es la parte </w:t>
      </w:r>
      <w:r>
        <w:rPr>
          <w:i/>
          <w:sz w:val="22"/>
        </w:rPr>
        <w:t>insustituible de la relación comunitaria, y no sólo de la construcción del</w:t>
      </w:r>
      <w:r>
        <w:rPr>
          <w:i/>
          <w:spacing w:val="-20"/>
          <w:sz w:val="22"/>
        </w:rPr>
        <w:t> </w:t>
      </w:r>
      <w:r>
        <w:rPr>
          <w:i/>
          <w:sz w:val="22"/>
        </w:rPr>
        <w:t>conocimiento.</w:t>
      </w:r>
    </w:p>
    <w:p>
      <w:pPr>
        <w:pStyle w:val="BodyText"/>
        <w:spacing w:before="9"/>
        <w:rPr>
          <w:i/>
          <w:sz w:val="17"/>
        </w:rPr>
      </w:pPr>
    </w:p>
    <w:p>
      <w:pPr>
        <w:spacing w:line="360" w:lineRule="auto" w:before="0"/>
        <w:ind w:left="102" w:right="118" w:firstLine="0"/>
        <w:jc w:val="both"/>
        <w:rPr>
          <w:i/>
          <w:sz w:val="22"/>
        </w:rPr>
      </w:pPr>
      <w:r>
        <w:rPr>
          <w:sz w:val="22"/>
        </w:rPr>
        <w:t>También de las anteriores experiencias significativas se identifican las tendencias de la planificación regional dentro de una gran variedad de contextos geográficos, políticos, sociales y económicos. </w:t>
      </w:r>
      <w:r>
        <w:rPr>
          <w:i/>
          <w:sz w:val="22"/>
        </w:rPr>
        <w:t>En esta variedad de experiencias se encuentra la otra importante </w:t>
      </w:r>
      <w:r>
        <w:rPr>
          <w:i/>
          <w:sz w:val="22"/>
        </w:rPr>
        <w:t>lección: la de que cada país puede y debe desarrollar su propio enfoque y estilo de planificación.</w:t>
      </w:r>
    </w:p>
    <w:p>
      <w:pPr>
        <w:pStyle w:val="BodyText"/>
        <w:spacing w:before="7"/>
        <w:rPr>
          <w:i/>
          <w:sz w:val="17"/>
        </w:rPr>
      </w:pPr>
    </w:p>
    <w:p>
      <w:pPr>
        <w:spacing w:line="360" w:lineRule="auto" w:before="0"/>
        <w:ind w:left="102" w:right="117" w:firstLine="0"/>
        <w:jc w:val="both"/>
        <w:rPr>
          <w:i/>
          <w:sz w:val="22"/>
        </w:rPr>
      </w:pPr>
      <w:r>
        <w:rPr>
          <w:sz w:val="22"/>
        </w:rPr>
        <w:t>El estudiar y discutir las experiencias en planificación de otros países, no es para proponer la imitación de cualquiera de ellos. Si bien es importante reconocer que hay que aprender mucho de sus experiencias, </w:t>
      </w:r>
      <w:r>
        <w:rPr>
          <w:i/>
          <w:sz w:val="22"/>
        </w:rPr>
        <w:t>la enseñanza es crear, aplicar y experimentar </w:t>
      </w:r>
      <w:r>
        <w:rPr>
          <w:i/>
          <w:sz w:val="22"/>
        </w:rPr>
        <w:t>soluciones</w:t>
      </w:r>
      <w:r>
        <w:rPr>
          <w:i/>
          <w:spacing w:val="-2"/>
          <w:sz w:val="22"/>
        </w:rPr>
        <w:t> </w:t>
      </w:r>
      <w:r>
        <w:rPr>
          <w:i/>
          <w:sz w:val="22"/>
        </w:rPr>
        <w:t>propias.</w:t>
      </w:r>
    </w:p>
    <w:p>
      <w:pPr>
        <w:pStyle w:val="BodyText"/>
        <w:spacing w:before="7"/>
        <w:rPr>
          <w:i/>
          <w:sz w:val="17"/>
        </w:rPr>
      </w:pPr>
    </w:p>
    <w:p>
      <w:pPr>
        <w:pStyle w:val="BodyText"/>
        <w:spacing w:line="360" w:lineRule="auto"/>
        <w:ind w:left="102" w:right="112"/>
        <w:jc w:val="both"/>
      </w:pPr>
      <w:r>
        <w:rPr/>
        <w:t>Para Palerm, no son entonces las imitaciones de modelos atractivos y deseables lo que  se necesita para México, sino creaciones propias que vayan surgiendo del examen de la historia y de la realidad presente, de repetidas experiencias regionales y locales debidamente evaluadas y criticadas en teoría y en campo, y finalmente, de la  comparación y confrontación con las experiencias de los otros</w:t>
      </w:r>
      <w:r>
        <w:rPr>
          <w:spacing w:val="-17"/>
        </w:rPr>
        <w:t> </w:t>
      </w:r>
      <w:r>
        <w:rPr/>
        <w:t>países.</w:t>
      </w:r>
    </w:p>
    <w:p>
      <w:pPr>
        <w:pStyle w:val="BodyText"/>
        <w:spacing w:before="7"/>
        <w:rPr>
          <w:sz w:val="17"/>
        </w:rPr>
      </w:pPr>
    </w:p>
    <w:p>
      <w:pPr>
        <w:pStyle w:val="BodyText"/>
        <w:spacing w:line="360" w:lineRule="auto"/>
        <w:ind w:left="102" w:right="115"/>
        <w:jc w:val="both"/>
      </w:pPr>
      <w:r>
        <w:rPr/>
        <w:t>La conclusión que desprende Palerm (1972) de esta discusión, es que no hay que dejarse aprisionar por definiciones a priori de lo que debe ser una región (Cfr. Viqueira. 1993). El esfuerzo principal debe encaminarse primero a definir una problemática y a elaborar una estrategia. Del claro planteamiento de los problemas existentes y de las medidas globales que pueden tomarse para resolverlos, tiene que surgir eventualmente la delimitación más o menos precisa de la región que debe abarcar el</w:t>
      </w:r>
      <w:r>
        <w:rPr>
          <w:spacing w:val="-15"/>
        </w:rPr>
        <w:t> </w:t>
      </w:r>
      <w:r>
        <w:rPr/>
        <w:t>plan.</w:t>
      </w:r>
    </w:p>
    <w:p>
      <w:pPr>
        <w:pStyle w:val="BodyText"/>
        <w:spacing w:before="7"/>
        <w:rPr>
          <w:sz w:val="17"/>
        </w:rPr>
      </w:pPr>
    </w:p>
    <w:p>
      <w:pPr>
        <w:spacing w:line="360" w:lineRule="auto" w:before="0"/>
        <w:ind w:left="102" w:right="117" w:firstLine="0"/>
        <w:jc w:val="both"/>
        <w:rPr>
          <w:sz w:val="22"/>
        </w:rPr>
      </w:pPr>
      <w:r>
        <w:rPr>
          <w:sz w:val="22"/>
        </w:rPr>
        <w:t>Por lo que, Palerm (1972), menciona que es difícil, probablemente imposible, que una gestión o plan pueda ser realizado con éxito “</w:t>
      </w:r>
      <w:r>
        <w:rPr>
          <w:i/>
          <w:sz w:val="22"/>
        </w:rPr>
        <w:t>si no es expresión de los deseos y la </w:t>
      </w:r>
      <w:r>
        <w:rPr>
          <w:i/>
          <w:sz w:val="22"/>
        </w:rPr>
        <w:t>voluntad de la sociedad” </w:t>
      </w:r>
      <w:r>
        <w:rPr>
          <w:sz w:val="22"/>
        </w:rPr>
        <w:t>(Romero, </w:t>
      </w:r>
      <w:r>
        <w:rPr>
          <w:i/>
          <w:sz w:val="22"/>
        </w:rPr>
        <w:t>et al., </w:t>
      </w:r>
      <w:r>
        <w:rPr>
          <w:sz w:val="22"/>
        </w:rPr>
        <w:t>2012).</w:t>
      </w:r>
    </w:p>
    <w:p>
      <w:pPr>
        <w:pStyle w:val="BodyText"/>
        <w:spacing w:before="9"/>
        <w:rPr>
          <w:sz w:val="17"/>
        </w:rPr>
      </w:pPr>
    </w:p>
    <w:p>
      <w:pPr>
        <w:pStyle w:val="BodyText"/>
        <w:spacing w:line="360" w:lineRule="auto"/>
        <w:ind w:left="102" w:right="111"/>
        <w:jc w:val="both"/>
      </w:pPr>
      <w:r>
        <w:rPr/>
        <w:t>En este sentido, Warman (1982), refiere que para planificar las políticas de desarrollo y para hacerlas racionales, eficaces y eficientes, debe existir primero una gestión democrática con la capacidad de dirigir el proceso lo cual es una tarea prioritaria, por tal motivo, la democracia verdadera y útil en la gestión, sólo puede partir desde la sociedad, la admisión de que esto es posible en cualquier lugar es muy importante: “no hay ni</w:t>
      </w:r>
      <w:r>
        <w:rPr>
          <w:spacing w:val="49"/>
        </w:rPr>
        <w:t> </w:t>
      </w:r>
      <w:r>
        <w:rPr/>
        <w:t>gente</w:t>
      </w:r>
    </w:p>
    <w:p>
      <w:pPr>
        <w:spacing w:after="0" w:line="360" w:lineRule="auto"/>
        <w:jc w:val="both"/>
        <w:sectPr>
          <w:pgSz w:w="12240" w:h="15840"/>
          <w:pgMar w:header="0" w:footer="1003" w:top="1360" w:bottom="1200" w:left="1600" w:right="1580"/>
        </w:sectPr>
      </w:pPr>
    </w:p>
    <w:p>
      <w:pPr>
        <w:pStyle w:val="BodyText"/>
        <w:spacing w:line="360" w:lineRule="auto" w:before="56"/>
        <w:ind w:left="102" w:right="116"/>
        <w:jc w:val="both"/>
      </w:pPr>
      <w:r>
        <w:rPr/>
        <w:t>ni sociedad que no esté preparada para el ejercicio de la democracia; para decidir sobre su propio destino. Siempre y nunca se está listo para la democracia. Este no es un proceso educativo. Lo marginal, lo rústico y campesino, no limita el ejercicio democrático. En el campo no están los restos de un país antiguo, ni en las ciudades la simiente del país futuro”.</w:t>
      </w:r>
    </w:p>
    <w:p>
      <w:pPr>
        <w:pStyle w:val="BodyText"/>
        <w:spacing w:before="9"/>
        <w:rPr>
          <w:sz w:val="17"/>
        </w:rPr>
      </w:pPr>
    </w:p>
    <w:p>
      <w:pPr>
        <w:pStyle w:val="BodyText"/>
        <w:spacing w:line="360" w:lineRule="auto"/>
        <w:ind w:left="102" w:right="116"/>
        <w:jc w:val="both"/>
      </w:pPr>
      <w:r>
        <w:rPr/>
        <w:t>Kooiman (2003), sostiene que la gobernanza no se opone en ningún sentido a la democracia, sino antes bien la favorece, siempre que se logre la amplia participación societal en la gobernanza. Sin embargo, las dudas persisten. Ni Kooiman ni ningún otro teórico o proponente de la gobernanza ha logrado demostrar que es posible lograr que la totalidad de los individuos-ciudadanos participen en ella, como no sea a través del voto universal, base normativa de la democracia y no de la gobernanza. Aun suponiendo que esto fuera posible, quedarían dudas sobre los diferenciales de recursos, capacidad de agencia o poder de acción entre los distintos actores de la sociedad civil, asimismo, sobre la posibilidad real de igualar la suma de los intereses específicos de los distintos actores  al interés general de la sociedad. Un rasgo común que se aprecia en la literatura sobre la gobernanza, acaso más acentuado en los autores iberoamericanos que en los del mundo anglosajón, es la defensa de la gobernanza sobre la base de una aguda y severa crítica a la política tradicional, a los partidos políticos, a los políticos y —sobre todo en América Latina— a los gobiernos ineficaces, ineficientes, llenos de corruptelas, derrochadores, autoritarios y un largo etcétera. La gobernanza es presentada como la alternativa viable  de superación de todo o de mucho de esto, ya que permitiría rescatar las grandes decisiones sobre los problemas públicos del río turbio de la política (Harriss,</w:t>
      </w:r>
      <w:r>
        <w:rPr>
          <w:spacing w:val="-19"/>
        </w:rPr>
        <w:t> </w:t>
      </w:r>
      <w:r>
        <w:rPr/>
        <w:t>2007).</w:t>
      </w:r>
    </w:p>
    <w:p>
      <w:pPr>
        <w:pStyle w:val="BodyText"/>
        <w:spacing w:before="7"/>
        <w:rPr>
          <w:sz w:val="17"/>
        </w:rPr>
      </w:pPr>
    </w:p>
    <w:p>
      <w:pPr>
        <w:pStyle w:val="BodyText"/>
        <w:spacing w:line="360" w:lineRule="auto"/>
        <w:ind w:left="102" w:right="112"/>
        <w:jc w:val="both"/>
      </w:pPr>
      <w:r>
        <w:rPr/>
        <w:t>En este sentido, de acuerdo con Robert Dahl (1991), la democracia social se concibe generalmente como la condición y el estilo propios de una sociedad determinada, por lo que hay que distinguirla de la democracia socialista, que es un programa impuesto por el Estado a la sociedad. La expresión alude normalmente a la democratización de la sociedad, de la que son expresión sus hábitos y costumbres, y, sobre todo, a la creencia en lo que Bryce llamó igualdad de estimación, es decir, igual trato e igual respeto para todos los hombres. La democracia social puede caracterizarse, pues, por un ethos y un estilo de vida definidos por una nivelación general de las diferencias de status. Puede también referirse, por derivación, a una sociedad multigrupal, en la cual una red vigorosa de microdemocracias sostiene y da realidad a la macrodemocracia política.</w:t>
      </w:r>
    </w:p>
    <w:p>
      <w:pPr>
        <w:spacing w:after="0" w:line="360" w:lineRule="auto"/>
        <w:jc w:val="both"/>
        <w:sectPr>
          <w:pgSz w:w="12240" w:h="15840"/>
          <w:pgMar w:header="0" w:footer="1003" w:top="1360" w:bottom="1200" w:left="1600" w:right="1580"/>
        </w:sectPr>
      </w:pPr>
    </w:p>
    <w:p>
      <w:pPr>
        <w:pStyle w:val="BodyText"/>
        <w:spacing w:line="360" w:lineRule="auto" w:before="56"/>
        <w:ind w:left="102" w:right="113"/>
        <w:jc w:val="both"/>
      </w:pPr>
      <w:r>
        <w:rPr/>
        <w:t>Es por ello que de acuerdo con Etzioni (1993); Habermas (2000) y Dryzek (2003), la gobernanza democrática aspira a trascender los estrechos límites del marco legal- institucional del estado como vía de realización de los anhelos democráticos de los pueblos y comunidades (ya no sólo de los ciudadanos-clientes) y avanzar hacia formas de democracia que trascienden al marco electoral; aun cuando tiene muchas variantes, algunos de sus modelos traen a la memoria el Contrato Social y también el concepto de voluntad general de Rousseau. Como en la pequeña república rousseauiana, el estado deja de ser el temido Leviatán de Hobbes para convertirse en un mero ejecutor de la voluntad general, conformada en el marco de la democracia directa y participativa. La sociedad deja de ser gobernada por parlamentarios y ejecutivos que, lejos de representarla, representan en realidad intereses particulares; en cambio, asume la búsqueda consciente de los verdaderos intereses de la colectividad.</w:t>
      </w:r>
    </w:p>
    <w:p>
      <w:pPr>
        <w:pStyle w:val="BodyText"/>
        <w:spacing w:before="9"/>
        <w:rPr>
          <w:sz w:val="17"/>
        </w:rPr>
      </w:pPr>
    </w:p>
    <w:p>
      <w:pPr>
        <w:pStyle w:val="BodyText"/>
        <w:spacing w:line="360" w:lineRule="auto"/>
        <w:ind w:left="102" w:right="115"/>
        <w:jc w:val="both"/>
      </w:pPr>
      <w:r>
        <w:rPr/>
        <w:t>Por su parte Blanco y Goma (2003), señalan que redes locales de múltiples actores independientes con relaciones más o menos conflictuales o de consenso y con  distribución más o menos asimétrica de poder, se convierten en los nuevos espacios predominantes de regulación social, de gobernanza, cuyo fin es regular el conflicto social. Las redes participativas de gobernanza comparten al menos tres rasgos: inexistencia de un centro jerárquico capaz de fijar procesos de gobierno de manera monopólica; interdependencia de los actores y no sólo pluralismo, y cierta institucionalización, en el sentido menos estructural del</w:t>
      </w:r>
      <w:r>
        <w:rPr>
          <w:spacing w:val="-12"/>
        </w:rPr>
        <w:t> </w:t>
      </w:r>
      <w:r>
        <w:rPr/>
        <w:t>término.</w:t>
      </w:r>
    </w:p>
    <w:p>
      <w:pPr>
        <w:pStyle w:val="BodyText"/>
        <w:spacing w:before="9"/>
        <w:rPr>
          <w:sz w:val="17"/>
        </w:rPr>
      </w:pPr>
    </w:p>
    <w:p>
      <w:pPr>
        <w:pStyle w:val="BodyText"/>
        <w:spacing w:line="360" w:lineRule="auto"/>
        <w:ind w:left="102" w:right="117"/>
        <w:jc w:val="both"/>
      </w:pPr>
      <w:r>
        <w:rPr/>
        <w:t>En este sentido Joan Prats (2003), menciona que frente a las limitaciones y falta de legitimidad de las democracias occidentales, propone un modelo de gobernanza basado en lo que denomina republicanismo cívico, en el que destaca fuertemente el elemento democrático en las redes de gobernanza. Para este autor, la exigencia irrenunciable de la naturaleza democrática de las redes de gobernanza exige la inclusión simétrica de los participantes e interesados en el tratamiento de un asunto público o en el rumbo de la sociedad en general.</w:t>
      </w:r>
    </w:p>
    <w:p>
      <w:pPr>
        <w:pStyle w:val="BodyText"/>
        <w:spacing w:before="9"/>
        <w:rPr>
          <w:sz w:val="17"/>
        </w:rPr>
      </w:pPr>
    </w:p>
    <w:p>
      <w:pPr>
        <w:pStyle w:val="BodyText"/>
        <w:spacing w:line="360" w:lineRule="auto"/>
        <w:ind w:left="102" w:right="114"/>
        <w:jc w:val="both"/>
      </w:pPr>
      <w:r>
        <w:rPr/>
        <w:t>Como resulta evidente para todo el mundo, los actores no gubernamentales difieren grandemente unos de otros en recursos, capacidades y poder, además de que tienen intereses habitualmente divergentes. Inevitablemente surge la pregunta: ¿Cómo orientar estratégicamente, con sentido de finalidad, una red de actores? Se plantea entonces el problema de la gestión de las redes: activar la red, fortalecer la densidad relacional, promover la intermediación, incidir sobre las distribuciones del poder y también sobre   los</w:t>
      </w:r>
    </w:p>
    <w:p>
      <w:pPr>
        <w:spacing w:after="0" w:line="360" w:lineRule="auto"/>
        <w:jc w:val="both"/>
        <w:sectPr>
          <w:pgSz w:w="12240" w:h="15840"/>
          <w:pgMar w:header="0" w:footer="1003" w:top="1360" w:bottom="1200" w:left="1600" w:right="1580"/>
        </w:sectPr>
      </w:pPr>
    </w:p>
    <w:p>
      <w:pPr>
        <w:pStyle w:val="BodyText"/>
        <w:spacing w:line="360" w:lineRule="auto" w:before="56"/>
        <w:ind w:left="102" w:right="114"/>
        <w:jc w:val="both"/>
      </w:pPr>
      <w:r>
        <w:rPr/>
        <w:t>valores y las percepciones de los actores. La respuesta a estas preguntas no trae necesariamente de vuelta al estado-centro. La gobernanza democrática confía en sus propias capacidades para gestionar y regular el conflicto social en el interior mismo de las redes. El gestor, de hecho, no tiene que ser el gobierno; bien pueden serlo otros actores  o, mejor, una constelación de</w:t>
      </w:r>
      <w:r>
        <w:rPr>
          <w:spacing w:val="-10"/>
        </w:rPr>
        <w:t> </w:t>
      </w:r>
      <w:r>
        <w:rPr/>
        <w:t>ellos.</w:t>
      </w:r>
    </w:p>
    <w:p>
      <w:pPr>
        <w:pStyle w:val="BodyText"/>
        <w:spacing w:before="9"/>
        <w:rPr>
          <w:sz w:val="17"/>
        </w:rPr>
      </w:pPr>
    </w:p>
    <w:p>
      <w:pPr>
        <w:pStyle w:val="BodyText"/>
        <w:spacing w:line="360" w:lineRule="auto"/>
        <w:ind w:left="102" w:right="116"/>
        <w:jc w:val="both"/>
      </w:pPr>
      <w:r>
        <w:rPr/>
        <w:t>En todo caso, el ámbito de gobierno indicado para desempeñar ese papel es el gobierno local. Hablamos entonces de gobernanza no sólo relacional o de redes sino también de proximidad que, sin embargo, no se limita al plano de lo local, porque las redes interactúan con todos los ámbitos de gobierno en la definición de problemas y de políticas sobre agendas temáticas amplias; la gobernanza también es multinivel (Blanco y Gomà, 2003). La gobernanza democrática se reconoce como una propuesta de naturaleza política, promotora de la cooperación entre actores, gestora del conflicto social, afirma alejarse de otras perspectivas de gobernanza de matriz más gerencial o de </w:t>
      </w:r>
      <w:r>
        <w:rPr>
          <w:i/>
        </w:rPr>
        <w:t>management, </w:t>
      </w:r>
      <w:r>
        <w:rPr/>
        <w:t>articuladas en torno al paradigma que aborda la gobernanza desde parámetros de carácter mucho más operativo que político-relacional (Blanco y Gomá,</w:t>
      </w:r>
      <w:r>
        <w:rPr>
          <w:spacing w:val="-18"/>
        </w:rPr>
        <w:t> </w:t>
      </w:r>
      <w:r>
        <w:rPr/>
        <w:t>2003).</w:t>
      </w:r>
    </w:p>
    <w:p>
      <w:pPr>
        <w:pStyle w:val="BodyText"/>
        <w:spacing w:before="4"/>
        <w:rPr>
          <w:sz w:val="17"/>
        </w:rPr>
      </w:pPr>
    </w:p>
    <w:p>
      <w:pPr>
        <w:pStyle w:val="Heading6"/>
        <w:numPr>
          <w:ilvl w:val="2"/>
          <w:numId w:val="26"/>
        </w:numPr>
        <w:tabs>
          <w:tab w:pos="717" w:val="left" w:leader="none"/>
        </w:tabs>
        <w:spacing w:line="240" w:lineRule="auto" w:before="0" w:after="0"/>
        <w:ind w:left="716" w:right="0" w:hanging="614"/>
        <w:jc w:val="both"/>
      </w:pPr>
      <w:bookmarkStart w:name="_TOC_250050" w:id="24"/>
      <w:r>
        <w:rPr/>
        <w:t>Principio de la gobernanza:</w:t>
      </w:r>
      <w:r>
        <w:rPr>
          <w:spacing w:val="-9"/>
        </w:rPr>
        <w:t> </w:t>
      </w:r>
      <w:bookmarkEnd w:id="24"/>
      <w:r>
        <w:rPr/>
        <w:t>Autogestión</w:t>
      </w:r>
    </w:p>
    <w:p>
      <w:pPr>
        <w:pStyle w:val="BodyText"/>
        <w:spacing w:before="8"/>
        <w:rPr>
          <w:b/>
          <w:sz w:val="28"/>
        </w:rPr>
      </w:pPr>
    </w:p>
    <w:p>
      <w:pPr>
        <w:pStyle w:val="BodyText"/>
        <w:spacing w:line="360" w:lineRule="auto"/>
        <w:ind w:left="102" w:right="112"/>
        <w:jc w:val="both"/>
      </w:pPr>
      <w:r>
        <w:rPr/>
        <w:t>Méndez y Vallota (2006), mencionan que si bien el término de “autogestión” aparece a mediados del siglo XX, el sentido más específico que ha adquirido, con el correr del tiempo, expresa dos ideas cardinales, en el afán de concretar la autonomía del individuo: El concepto de autogobierno, según el cual todos nosotros podemos prescindir de la burocracia y del Estado en la gestión social; y la propuesta de la colectivización, como mecanismo mediante el cual los trabajadores tomarían en sus manos el control directo de los medios de producción.</w:t>
      </w:r>
    </w:p>
    <w:p>
      <w:pPr>
        <w:pStyle w:val="BodyText"/>
        <w:spacing w:before="9"/>
        <w:rPr>
          <w:sz w:val="17"/>
        </w:rPr>
      </w:pPr>
    </w:p>
    <w:p>
      <w:pPr>
        <w:pStyle w:val="BodyText"/>
        <w:spacing w:line="360" w:lineRule="auto"/>
        <w:ind w:left="102" w:right="117"/>
        <w:jc w:val="both"/>
      </w:pPr>
      <w:r>
        <w:rPr/>
        <w:t>La autogestión es un proyecto o movimiento social que aspirando a la autonomía del individuo, tiene como método y objetivo que la empresa y la economía sean dirigidas por quienes están directamente vinculados a la producción, distribución y uso de bienes y servicios. Esta misma actitud no se limita a la actividad productiva de bienes y servicios sino que se extiende a la sociedad entera, propugnando la gestión y democracia directa como modelo de funcionamiento de las instituciones de participación colectiva.</w:t>
      </w:r>
    </w:p>
    <w:p>
      <w:pPr>
        <w:pStyle w:val="BodyText"/>
        <w:spacing w:before="9"/>
        <w:rPr>
          <w:sz w:val="17"/>
        </w:rPr>
      </w:pPr>
    </w:p>
    <w:p>
      <w:pPr>
        <w:pStyle w:val="BodyText"/>
        <w:ind w:left="102"/>
        <w:jc w:val="both"/>
      </w:pPr>
      <w:r>
        <w:rPr/>
        <w:t>La autogestión a la que nos referimos es social, no individual, pues aunque su meta es  el</w:t>
      </w:r>
    </w:p>
    <w:p>
      <w:pPr>
        <w:pStyle w:val="BodyText"/>
        <w:spacing w:before="126"/>
        <w:ind w:left="102"/>
        <w:jc w:val="both"/>
      </w:pPr>
      <w:r>
        <w:rPr/>
        <w:t>individuo, no lo entiende en su carácter aislado sino como un ente que “convive” con   sus</w:t>
      </w:r>
    </w:p>
    <w:p>
      <w:pPr>
        <w:spacing w:after="0"/>
        <w:jc w:val="both"/>
        <w:sectPr>
          <w:footerReference w:type="default" r:id="rId27"/>
          <w:pgSz w:w="12240" w:h="15840"/>
          <w:pgMar w:footer="1003" w:header="0" w:top="1360" w:bottom="1200" w:left="1600" w:right="1580"/>
        </w:sectPr>
      </w:pPr>
    </w:p>
    <w:p>
      <w:pPr>
        <w:pStyle w:val="BodyText"/>
        <w:spacing w:line="360" w:lineRule="auto" w:before="56"/>
        <w:ind w:left="102" w:right="119"/>
        <w:jc w:val="both"/>
      </w:pPr>
      <w:r>
        <w:rPr/>
        <w:t>iguales, de los que depende y que, a su vez, también dependen de él. En este sentido, la gestión la entendemos como la tramitación de diligencias para un asunto de interés individual y colectivo, lo que siempre implica la participación de más de una persona. Es claro ver que, si esta gestión se realiza en el seno de un grupo que persigue fines compartidos, mediante acuerdos internos y con otros grupos, sin coacciones exteriores, entonces para nada se afecta la libertad individual, permitiendo que un compromiso se alcance no sobre la base del sometimiento sino en autonomía responsable.</w:t>
      </w:r>
    </w:p>
    <w:p>
      <w:pPr>
        <w:pStyle w:val="BodyText"/>
        <w:spacing w:before="7"/>
        <w:rPr>
          <w:sz w:val="17"/>
        </w:rPr>
      </w:pPr>
    </w:p>
    <w:p>
      <w:pPr>
        <w:pStyle w:val="BodyText"/>
        <w:spacing w:line="360" w:lineRule="auto"/>
        <w:ind w:left="102" w:right="121"/>
        <w:jc w:val="both"/>
      </w:pPr>
      <w:r>
        <w:rPr/>
        <w:t>Este concepto, aunado al anterior, permite la democracia directa donde la autonomía del individuo va a permitir para el caso de la cuenca hidrosocial de la presa Huapngo, la toma de decisiones en función de las necesidades propias de los actores sociopolíticos y la identidad comunitaria.</w:t>
      </w:r>
    </w:p>
    <w:p>
      <w:pPr>
        <w:pStyle w:val="BodyText"/>
        <w:spacing w:before="7"/>
        <w:rPr>
          <w:sz w:val="17"/>
        </w:rPr>
      </w:pPr>
    </w:p>
    <w:p>
      <w:pPr>
        <w:pStyle w:val="Heading6"/>
        <w:numPr>
          <w:ilvl w:val="2"/>
          <w:numId w:val="26"/>
        </w:numPr>
        <w:tabs>
          <w:tab w:pos="717" w:val="left" w:leader="none"/>
        </w:tabs>
        <w:spacing w:line="240" w:lineRule="auto" w:before="0" w:after="0"/>
        <w:ind w:left="716" w:right="0" w:hanging="614"/>
        <w:jc w:val="both"/>
      </w:pPr>
      <w:bookmarkStart w:name="_TOC_250049" w:id="25"/>
      <w:r>
        <w:rPr/>
        <w:t>Principio de la gobernanza:</w:t>
      </w:r>
      <w:r>
        <w:rPr>
          <w:spacing w:val="-10"/>
        </w:rPr>
        <w:t> </w:t>
      </w:r>
      <w:bookmarkEnd w:id="25"/>
      <w:r>
        <w:rPr/>
        <w:t>Identidad</w:t>
      </w:r>
    </w:p>
    <w:p>
      <w:pPr>
        <w:pStyle w:val="BodyText"/>
        <w:spacing w:before="5"/>
        <w:rPr>
          <w:b/>
          <w:sz w:val="28"/>
        </w:rPr>
      </w:pPr>
    </w:p>
    <w:p>
      <w:pPr>
        <w:pStyle w:val="BodyText"/>
        <w:spacing w:line="360" w:lineRule="auto" w:before="1"/>
        <w:ind w:left="102" w:right="120"/>
        <w:jc w:val="both"/>
      </w:pPr>
      <w:r>
        <w:rPr/>
        <w:t>La identidad comunitaria es reconocida en el universo de la interacción local y esa pertenencia comunitaria genera lazos de confianza y estructuras de gobernanza. En las comunidades tienen lugar importantes interacciones al punto tal que actores locales pueden transformarse en referentes de procesos globales, por medio de la representación de las comunidades y de los sectores sociales de los cuales provienen.</w:t>
      </w:r>
    </w:p>
    <w:p>
      <w:pPr>
        <w:pStyle w:val="BodyText"/>
        <w:spacing w:before="7"/>
        <w:rPr>
          <w:sz w:val="17"/>
        </w:rPr>
      </w:pPr>
    </w:p>
    <w:p>
      <w:pPr>
        <w:pStyle w:val="BodyText"/>
        <w:spacing w:line="360" w:lineRule="auto"/>
        <w:ind w:left="102" w:right="113"/>
        <w:jc w:val="both"/>
      </w:pPr>
      <w:r>
        <w:rPr/>
        <w:t>Tajfel (1984), menciona que la identidad es considerada como un fenómeno subjetivo, de elaboración personal, que se construye simbólicamente en interacción con otros. La identidad personal también va ligada a un sentido de pertenencia a distintos grupos socio- culturales con los que consideramos que compartimos características en común. Ello, en correspondencia con un proceso dialéctico de formación de la propia identidad, a partir de la representación imaginaria o construcción simbólica de ella (autodefinición) y la identidad social que se elabora a partir del reconocimiento, en la propia identidad, de valores, de creencias, de rasgos característicos del grupo o los grupos de pertenencia, que también resultan definitorios de la propia personalidad. Es una especie de acuerdo interior entre la identidad personal que se centra en la diferencia con respecto a los otros  y la identidad social o colectiva que pone el acento en la igualdad con los demás. Entendida la identidad social como aquella parte del autoconcepto de un individuo que deriva del conocimiento de su pertenencia a un grupo social junto con el significado valorativo y emocional asociado a dicha pertenencia. Asimismo, asocia esta noción con</w:t>
      </w:r>
      <w:r>
        <w:rPr>
          <w:spacing w:val="45"/>
        </w:rPr>
        <w:t> </w:t>
      </w:r>
      <w:r>
        <w:rPr/>
        <w:t>la</w:t>
      </w:r>
    </w:p>
    <w:p>
      <w:pPr>
        <w:spacing w:after="0" w:line="360" w:lineRule="auto"/>
        <w:jc w:val="both"/>
        <w:sectPr>
          <w:footerReference w:type="default" r:id="rId28"/>
          <w:pgSz w:w="12240" w:h="15840"/>
          <w:pgMar w:footer="1003" w:header="0" w:top="1360" w:bottom="1200" w:left="1600" w:right="1580"/>
          <w:pgNumType w:start="71"/>
        </w:sectPr>
      </w:pPr>
    </w:p>
    <w:p>
      <w:pPr>
        <w:pStyle w:val="BodyText"/>
        <w:spacing w:line="360" w:lineRule="auto" w:before="56"/>
        <w:ind w:left="102" w:right="122"/>
        <w:jc w:val="both"/>
      </w:pPr>
      <w:r>
        <w:rPr/>
        <w:t>de movimiento social, en la que un grupo social o minoría étnica promueve el derecho a la diferencia cultural.</w:t>
      </w:r>
    </w:p>
    <w:p>
      <w:pPr>
        <w:pStyle w:val="BodyText"/>
        <w:spacing w:before="7"/>
        <w:rPr>
          <w:sz w:val="17"/>
        </w:rPr>
      </w:pPr>
    </w:p>
    <w:p>
      <w:pPr>
        <w:pStyle w:val="BodyText"/>
        <w:spacing w:line="360" w:lineRule="auto"/>
        <w:ind w:left="102" w:right="111"/>
        <w:jc w:val="both"/>
      </w:pPr>
      <w:r>
        <w:rPr/>
        <w:t>Por su parte, Carolina de la Torre (2001), plantea que cuando se habla de la identidad de un sujeto individual o colectivo hacemos referencia a procesos que nos permiten asumir que ese sujeto, en determinado momento y contexto, es y tiene conciencia de ser él mismo, y que esa conciencia de sí se expresa (con mayor o menor elaboración) en su capacidad para diferenciarse de otros, identificarse con determinadas categorías, desarrollar sentimientos de pertenencia, mirarse reflexivamente y establecer narrativamente su continuidad a través de transformaciones y cambios. La identidad es el conjunto de los rasgos propios de un individuo o de una comunidad. Estos rasgos caracterizan al sujeto o a la colectividad frente a los demás.</w:t>
      </w:r>
    </w:p>
    <w:p>
      <w:pPr>
        <w:pStyle w:val="BodyText"/>
        <w:spacing w:before="9"/>
        <w:rPr>
          <w:sz w:val="17"/>
        </w:rPr>
      </w:pPr>
    </w:p>
    <w:p>
      <w:pPr>
        <w:pStyle w:val="BodyText"/>
        <w:spacing w:line="360" w:lineRule="auto"/>
        <w:ind w:left="102" w:right="119"/>
        <w:jc w:val="both"/>
      </w:pPr>
      <w:r>
        <w:rPr/>
        <w:t>La identidad también es la conciencia que una persona tiene respecto de sí misma y que la convierte en alguien distinto a los demás. Aunque muchos de los rasgos que forman la identidad son hereditarios o innatos, el entorno ejerce una gran influencia en la conformación de la especificidad de cada sujeto.</w:t>
      </w:r>
    </w:p>
    <w:p>
      <w:pPr>
        <w:pStyle w:val="BodyText"/>
        <w:spacing w:before="9"/>
        <w:rPr>
          <w:sz w:val="17"/>
        </w:rPr>
      </w:pPr>
    </w:p>
    <w:p>
      <w:pPr>
        <w:pStyle w:val="BodyText"/>
        <w:spacing w:line="360" w:lineRule="auto"/>
        <w:ind w:left="102" w:right="121"/>
        <w:jc w:val="both"/>
      </w:pPr>
      <w:r>
        <w:rPr/>
        <w:t>La identidad, permite ver la pertenencia comunitaria y los lazos o redes que se generan entre los diversos actores en la cuenca hidrosocial de la presa Huapango para identificar las estructuras de poder en la gobernanza y nos permite ver una historia común.</w:t>
      </w:r>
    </w:p>
    <w:p>
      <w:pPr>
        <w:pStyle w:val="BodyText"/>
        <w:spacing w:before="4"/>
        <w:rPr>
          <w:sz w:val="17"/>
        </w:rPr>
      </w:pPr>
    </w:p>
    <w:p>
      <w:pPr>
        <w:pStyle w:val="Heading6"/>
        <w:numPr>
          <w:ilvl w:val="2"/>
          <w:numId w:val="26"/>
        </w:numPr>
        <w:tabs>
          <w:tab w:pos="717" w:val="left" w:leader="none"/>
        </w:tabs>
        <w:spacing w:line="240" w:lineRule="auto" w:before="0" w:after="0"/>
        <w:ind w:left="716" w:right="0" w:hanging="614"/>
        <w:jc w:val="both"/>
      </w:pPr>
      <w:bookmarkStart w:name="_TOC_250048" w:id="26"/>
      <w:r>
        <w:rPr/>
        <w:t>Principio de la gobernanza:</w:t>
      </w:r>
      <w:r>
        <w:rPr>
          <w:spacing w:val="-9"/>
        </w:rPr>
        <w:t> </w:t>
      </w:r>
      <w:bookmarkEnd w:id="26"/>
      <w:r>
        <w:rPr/>
        <w:t>Cooperación</w:t>
      </w:r>
    </w:p>
    <w:p>
      <w:pPr>
        <w:pStyle w:val="BodyText"/>
        <w:spacing w:before="8"/>
        <w:rPr>
          <w:b/>
          <w:sz w:val="28"/>
        </w:rPr>
      </w:pPr>
    </w:p>
    <w:p>
      <w:pPr>
        <w:pStyle w:val="BodyText"/>
        <w:spacing w:line="360" w:lineRule="auto"/>
        <w:ind w:left="102" w:right="118"/>
        <w:jc w:val="both"/>
      </w:pPr>
      <w:r>
        <w:rPr/>
        <w:t>Para explicar la “tragedia de los comunes”, Aristóteles observó que lo que es común para la mayoría es de hecho objeto del menor cuidado. Todo mundo piensa principalmente en sí mismo, raras veces en el interés común (Aristóteles, 1991), posteriormente Hardin (1968), manifestó que la expresión la tragedia de los comunes, simboliza que los individuos tienden a aumentar sus comportamientos egoístas cuando se enfrentan a situaciones de escasez en la explotación de cualquier recurso natural o bien común, de tal manera que se involucran en circunstancias no cooperativas y por lo mismo aceleran la degradación del bien que se encuentra en riesgo.</w:t>
      </w:r>
    </w:p>
    <w:p>
      <w:pPr>
        <w:pStyle w:val="BodyText"/>
        <w:spacing w:before="9"/>
        <w:rPr>
          <w:sz w:val="17"/>
        </w:rPr>
      </w:pPr>
    </w:p>
    <w:p>
      <w:pPr>
        <w:pStyle w:val="BodyText"/>
        <w:spacing w:line="360" w:lineRule="auto"/>
        <w:ind w:left="102" w:right="120"/>
        <w:jc w:val="both"/>
      </w:pPr>
      <w:r>
        <w:rPr/>
        <w:t>Por su parte Elinor Ostrom (2011), sugiere que la idea anterior no es del todo cierta, ya que las restricciones que se consideran inalterables en un juego del tipo de dilema del prisionero no siempre lo son.</w:t>
      </w:r>
    </w:p>
    <w:p>
      <w:pPr>
        <w:spacing w:after="0" w:line="360" w:lineRule="auto"/>
        <w:jc w:val="both"/>
        <w:sectPr>
          <w:pgSz w:w="12240" w:h="15840"/>
          <w:pgMar w:header="0" w:footer="1003" w:top="1360" w:bottom="1200" w:left="1600" w:right="1580"/>
        </w:sectPr>
      </w:pPr>
    </w:p>
    <w:p>
      <w:pPr>
        <w:pStyle w:val="BodyText"/>
        <w:spacing w:line="360" w:lineRule="auto" w:before="56"/>
        <w:ind w:left="102" w:right="114"/>
        <w:jc w:val="both"/>
      </w:pPr>
      <w:r>
        <w:rPr/>
        <w:t>Por tal motivo, la misma autora señala que hay que llegar a soluciones alternativas a las planteadas por los teóricos del Estado o de la privatización pues estas soluciones no son las únicas vías para resolver los problemas a los que se enfrentan quienes se apropian de recursos de uso común. Ostrom (2011), propone un juego donde es posible establecer contratos que vinculen a todos los jugadores y que los obliga a cumplir de manera estable con los acuerdos iniciales y con estrategias de cooperación formadas por ellos mismos. Para esto se requiere contar con una estructura institucional que permita la repartición equitativa de los niveles de rendimiento y los costos de explotación de recursos de uso común, lo cual llevará a un juego de ejecución autofinanciada del contrato que permite a los contratantes tener un mayor control sobre las decisiones de uso y apropiación del recurso, donde el interés propio de los que negociaron el contrato los conducirá a supervisarse mutuamente y a reportar las infracciones observadas, de modo que se hace cumplir el contrato.</w:t>
      </w:r>
    </w:p>
    <w:p>
      <w:pPr>
        <w:pStyle w:val="BodyText"/>
        <w:spacing w:before="9"/>
        <w:rPr>
          <w:sz w:val="17"/>
        </w:rPr>
      </w:pPr>
    </w:p>
    <w:p>
      <w:pPr>
        <w:spacing w:line="360" w:lineRule="auto" w:before="0"/>
        <w:ind w:left="102" w:right="116" w:firstLine="0"/>
        <w:jc w:val="both"/>
        <w:rPr>
          <w:sz w:val="22"/>
        </w:rPr>
      </w:pPr>
      <w:r>
        <w:rPr>
          <w:sz w:val="22"/>
        </w:rPr>
        <w:t>En este sentido, González (2003: 4), alude que </w:t>
      </w:r>
      <w:r>
        <w:rPr>
          <w:i/>
          <w:sz w:val="22"/>
        </w:rPr>
        <w:t>la cooperación consiste en el trabajo en </w:t>
      </w:r>
      <w:r>
        <w:rPr>
          <w:i/>
          <w:sz w:val="22"/>
        </w:rPr>
        <w:t>común llevado a cabo por parte de un grupo de personas o entidades mayores hacia un objetivo compartido, generalmente usando métodos también comunes, en lugar de trabajar de forma separada. La cooperación es una institución duradera de relaciones privilegiadas entre empresas, fundadas sobre la reciprocidad de ventajas, la concertación sistemática y la búsqueda en común de todos los progresos y avances que pueden contribuir a conseguir un objetivo conjunto, de carácter general o</w:t>
      </w:r>
      <w:r>
        <w:rPr>
          <w:i/>
          <w:spacing w:val="-17"/>
          <w:sz w:val="22"/>
        </w:rPr>
        <w:t> </w:t>
      </w:r>
      <w:r>
        <w:rPr>
          <w:i/>
          <w:sz w:val="22"/>
        </w:rPr>
        <w:t>específico</w:t>
      </w:r>
      <w:r>
        <w:rPr>
          <w:sz w:val="22"/>
        </w:rPr>
        <w:t>.</w:t>
      </w:r>
    </w:p>
    <w:p>
      <w:pPr>
        <w:pStyle w:val="BodyText"/>
        <w:spacing w:before="9"/>
        <w:rPr>
          <w:sz w:val="17"/>
        </w:rPr>
      </w:pPr>
    </w:p>
    <w:p>
      <w:pPr>
        <w:pStyle w:val="BodyText"/>
        <w:spacing w:line="360" w:lineRule="auto"/>
        <w:ind w:left="102" w:right="118"/>
        <w:jc w:val="both"/>
      </w:pPr>
      <w:r>
        <w:rPr/>
        <w:t>Por lo tanto, Salas (1997: 22), indica que el enfoque participativo en el desarrollo es una perspectiva que propone una relación entre conocimiento y poder. Como enfoque tiene al menos cuatro funciones:</w:t>
      </w:r>
    </w:p>
    <w:p>
      <w:pPr>
        <w:pStyle w:val="BodyText"/>
        <w:spacing w:before="7"/>
        <w:rPr>
          <w:sz w:val="17"/>
        </w:rPr>
      </w:pPr>
    </w:p>
    <w:p>
      <w:pPr>
        <w:pStyle w:val="ListParagraph"/>
        <w:numPr>
          <w:ilvl w:val="0"/>
          <w:numId w:val="28"/>
        </w:numPr>
        <w:tabs>
          <w:tab w:pos="810" w:val="left" w:leader="none"/>
        </w:tabs>
        <w:spacing w:line="362" w:lineRule="auto" w:before="0" w:after="0"/>
        <w:ind w:left="102" w:right="118" w:firstLine="0"/>
        <w:jc w:val="both"/>
        <w:rPr>
          <w:sz w:val="22"/>
        </w:rPr>
      </w:pPr>
      <w:r>
        <w:rPr>
          <w:sz w:val="22"/>
        </w:rPr>
        <w:t>Cognitiva: comprensión de la realidad, representaciones, valores, imágenes y significados con los que se construye el</w:t>
      </w:r>
      <w:r>
        <w:rPr>
          <w:spacing w:val="-13"/>
          <w:sz w:val="22"/>
        </w:rPr>
        <w:t> </w:t>
      </w:r>
      <w:r>
        <w:rPr>
          <w:sz w:val="22"/>
        </w:rPr>
        <w:t>desarrollo.</w:t>
      </w:r>
    </w:p>
    <w:p>
      <w:pPr>
        <w:pStyle w:val="BodyText"/>
        <w:spacing w:before="5"/>
        <w:rPr>
          <w:sz w:val="17"/>
        </w:rPr>
      </w:pPr>
    </w:p>
    <w:p>
      <w:pPr>
        <w:pStyle w:val="ListParagraph"/>
        <w:numPr>
          <w:ilvl w:val="0"/>
          <w:numId w:val="28"/>
        </w:numPr>
        <w:tabs>
          <w:tab w:pos="810" w:val="left" w:leader="none"/>
        </w:tabs>
        <w:spacing w:line="360" w:lineRule="auto" w:before="0" w:after="0"/>
        <w:ind w:left="102" w:right="121" w:firstLine="0"/>
        <w:jc w:val="both"/>
        <w:rPr>
          <w:sz w:val="22"/>
        </w:rPr>
      </w:pPr>
      <w:r>
        <w:rPr>
          <w:sz w:val="22"/>
        </w:rPr>
        <w:t>Social: como apuesta para que el desarrollo participativo satisfaga las necesidades básicas y destierre la</w:t>
      </w:r>
      <w:r>
        <w:rPr>
          <w:spacing w:val="-7"/>
          <w:sz w:val="22"/>
        </w:rPr>
        <w:t> </w:t>
      </w:r>
      <w:r>
        <w:rPr>
          <w:sz w:val="22"/>
        </w:rPr>
        <w:t>pobreza.</w:t>
      </w:r>
    </w:p>
    <w:p>
      <w:pPr>
        <w:pStyle w:val="BodyText"/>
        <w:spacing w:before="9"/>
        <w:rPr>
          <w:sz w:val="17"/>
        </w:rPr>
      </w:pPr>
    </w:p>
    <w:p>
      <w:pPr>
        <w:pStyle w:val="ListParagraph"/>
        <w:numPr>
          <w:ilvl w:val="0"/>
          <w:numId w:val="28"/>
        </w:numPr>
        <w:tabs>
          <w:tab w:pos="810" w:val="left" w:leader="none"/>
        </w:tabs>
        <w:spacing w:line="360" w:lineRule="auto" w:before="0" w:after="0"/>
        <w:ind w:left="102" w:right="118" w:firstLine="0"/>
        <w:jc w:val="both"/>
        <w:rPr>
          <w:sz w:val="22"/>
        </w:rPr>
      </w:pPr>
      <w:r>
        <w:rPr>
          <w:sz w:val="22"/>
        </w:rPr>
        <w:t>Instrumental: en la medida en que la población se involucre para que ella asuma la solución de sus</w:t>
      </w:r>
      <w:r>
        <w:rPr>
          <w:spacing w:val="-2"/>
          <w:sz w:val="22"/>
        </w:rPr>
        <w:t> </w:t>
      </w:r>
      <w:r>
        <w:rPr>
          <w:sz w:val="22"/>
        </w:rPr>
        <w:t>problemas.</w:t>
      </w:r>
    </w:p>
    <w:p>
      <w:pPr>
        <w:spacing w:after="0" w:line="360" w:lineRule="auto"/>
        <w:jc w:val="both"/>
        <w:rPr>
          <w:sz w:val="22"/>
        </w:rPr>
        <w:sectPr>
          <w:pgSz w:w="12240" w:h="15840"/>
          <w:pgMar w:header="0" w:footer="1003" w:top="1360" w:bottom="1200" w:left="1600" w:right="1580"/>
        </w:sectPr>
      </w:pPr>
    </w:p>
    <w:p>
      <w:pPr>
        <w:pStyle w:val="ListParagraph"/>
        <w:numPr>
          <w:ilvl w:val="0"/>
          <w:numId w:val="28"/>
        </w:numPr>
        <w:tabs>
          <w:tab w:pos="810" w:val="left" w:leader="none"/>
        </w:tabs>
        <w:spacing w:line="360" w:lineRule="auto" w:before="56" w:after="0"/>
        <w:ind w:left="102" w:right="117" w:firstLine="0"/>
        <w:jc w:val="both"/>
        <w:rPr>
          <w:sz w:val="22"/>
        </w:rPr>
      </w:pPr>
      <w:r>
        <w:rPr>
          <w:sz w:val="22"/>
        </w:rPr>
        <w:t>Política: la participación ofrece al desarrollo una nueva fuente de legitimación en la tarea de establecer un puente entre el orden establecido y los no escuchados en la población</w:t>
      </w:r>
      <w:r>
        <w:rPr>
          <w:spacing w:val="-10"/>
          <w:sz w:val="22"/>
        </w:rPr>
        <w:t> </w:t>
      </w:r>
      <w:r>
        <w:rPr>
          <w:sz w:val="22"/>
        </w:rPr>
        <w:t>(marginados).</w:t>
      </w:r>
    </w:p>
    <w:p>
      <w:pPr>
        <w:pStyle w:val="BodyText"/>
        <w:spacing w:before="9"/>
        <w:rPr>
          <w:sz w:val="17"/>
        </w:rPr>
      </w:pPr>
    </w:p>
    <w:p>
      <w:pPr>
        <w:pStyle w:val="BodyText"/>
        <w:spacing w:line="360" w:lineRule="auto"/>
        <w:ind w:left="102" w:right="116"/>
        <w:jc w:val="both"/>
      </w:pPr>
      <w:r>
        <w:rPr/>
        <w:t>En este sentido, Axelrod (1984), menciona que las etapas de la evolución de la cooperación son las siguientes: a) Puede iniciar entre pequeños grupos que fundamentan la cooperación en la reciprocidad; b) A partir de la estrategia de la cooperación recíproca en pequeños grupos, ésta puede desenvolverse con éxito, porque de esos grupos puede extenderse hacia el resto de la sociedad.</w:t>
      </w:r>
    </w:p>
    <w:p>
      <w:pPr>
        <w:pStyle w:val="BodyText"/>
        <w:spacing w:before="7"/>
        <w:rPr>
          <w:sz w:val="17"/>
        </w:rPr>
      </w:pPr>
    </w:p>
    <w:p>
      <w:pPr>
        <w:pStyle w:val="BodyText"/>
        <w:spacing w:line="360" w:lineRule="auto"/>
        <w:ind w:left="102" w:right="117"/>
        <w:jc w:val="both"/>
      </w:pPr>
      <w:r>
        <w:rPr/>
        <w:t>También menciona Axelrod (2004), que las normas sociales a menudo son medios bastante poderosos para sustentar la cooperación y tiene lugar de muchas maneras, incluyendo alianzas, sociedades estratégicas, negocios y coaliciones.</w:t>
      </w:r>
    </w:p>
    <w:p>
      <w:pPr>
        <w:pStyle w:val="BodyText"/>
        <w:spacing w:before="7"/>
        <w:rPr>
          <w:sz w:val="17"/>
        </w:rPr>
      </w:pPr>
    </w:p>
    <w:p>
      <w:pPr>
        <w:pStyle w:val="BodyText"/>
        <w:spacing w:line="360" w:lineRule="auto"/>
        <w:ind w:left="102" w:right="115"/>
        <w:jc w:val="both"/>
      </w:pPr>
      <w:r>
        <w:rPr/>
        <w:t>En el mismo sentido, Barnard (1998), menciona que para que la cooperación persista, se deben cumplir dos condiciones: que sea efectiva y eficiente. La efectividad se relaciona con el logro del propósito para el que se coopera, el cual es de carácter social y no personal; lo eficiente se relaciona con las satisfacciones de los motivos individuales, y es de carácter personal. La prueba de efectividad es alcanzar el propósito común con voluntad para cooperar.</w:t>
      </w:r>
    </w:p>
    <w:p>
      <w:pPr>
        <w:pStyle w:val="BodyText"/>
        <w:spacing w:before="7"/>
        <w:rPr>
          <w:sz w:val="17"/>
        </w:rPr>
      </w:pPr>
    </w:p>
    <w:p>
      <w:pPr>
        <w:pStyle w:val="BodyText"/>
        <w:spacing w:line="360" w:lineRule="auto"/>
        <w:ind w:left="102" w:right="119"/>
        <w:jc w:val="both"/>
      </w:pPr>
      <w:r>
        <w:rPr/>
        <w:t>Debido a que se busca que la cooperación sea eficiente y efectiva, se requiere que las personas (i) sean capaces de comunicarse, (ii) estén dispuestos a contribuir y (iii) tengan un objetivo común.</w:t>
      </w:r>
    </w:p>
    <w:p>
      <w:pPr>
        <w:pStyle w:val="BodyText"/>
        <w:spacing w:before="9"/>
        <w:rPr>
          <w:sz w:val="17"/>
        </w:rPr>
      </w:pPr>
    </w:p>
    <w:p>
      <w:pPr>
        <w:pStyle w:val="ListParagraph"/>
        <w:numPr>
          <w:ilvl w:val="0"/>
          <w:numId w:val="29"/>
        </w:numPr>
        <w:tabs>
          <w:tab w:pos="392" w:val="left" w:leader="none"/>
        </w:tabs>
        <w:spacing w:line="360" w:lineRule="auto" w:before="0" w:after="0"/>
        <w:ind w:left="102" w:right="121" w:firstLine="0"/>
        <w:jc w:val="both"/>
        <w:rPr>
          <w:sz w:val="22"/>
        </w:rPr>
      </w:pPr>
      <w:r>
        <w:rPr>
          <w:sz w:val="22"/>
        </w:rPr>
        <w:t>El propósito común debe ser de conocimiento colectivo, por lo que de alguna forma debe ser</w:t>
      </w:r>
      <w:r>
        <w:rPr>
          <w:spacing w:val="-2"/>
          <w:sz w:val="22"/>
        </w:rPr>
        <w:t> </w:t>
      </w:r>
      <w:r>
        <w:rPr>
          <w:sz w:val="22"/>
        </w:rPr>
        <w:t>comunicado.</w:t>
      </w:r>
    </w:p>
    <w:p>
      <w:pPr>
        <w:pStyle w:val="BodyText"/>
        <w:spacing w:before="7"/>
        <w:rPr>
          <w:sz w:val="17"/>
        </w:rPr>
      </w:pPr>
    </w:p>
    <w:p>
      <w:pPr>
        <w:pStyle w:val="ListParagraph"/>
        <w:numPr>
          <w:ilvl w:val="0"/>
          <w:numId w:val="29"/>
        </w:numPr>
        <w:tabs>
          <w:tab w:pos="411" w:val="left" w:leader="none"/>
        </w:tabs>
        <w:spacing w:line="360" w:lineRule="auto" w:before="0" w:after="0"/>
        <w:ind w:left="102" w:right="117" w:firstLine="0"/>
        <w:jc w:val="both"/>
        <w:rPr>
          <w:sz w:val="22"/>
        </w:rPr>
      </w:pPr>
      <w:r>
        <w:rPr>
          <w:sz w:val="22"/>
        </w:rPr>
        <w:t>La disposición para contribuir en un sistema de cooperación. La cohesión de esfuerzos en la cooperación depende de motivos e incentivos que la organización proporcione para satisfacerlos.</w:t>
      </w:r>
    </w:p>
    <w:p>
      <w:pPr>
        <w:pStyle w:val="BodyText"/>
        <w:spacing w:before="7"/>
        <w:rPr>
          <w:sz w:val="17"/>
        </w:rPr>
      </w:pPr>
    </w:p>
    <w:p>
      <w:pPr>
        <w:pStyle w:val="ListParagraph"/>
        <w:numPr>
          <w:ilvl w:val="0"/>
          <w:numId w:val="29"/>
        </w:numPr>
        <w:tabs>
          <w:tab w:pos="459" w:val="left" w:leader="none"/>
        </w:tabs>
        <w:spacing w:line="360" w:lineRule="auto" w:before="0" w:after="0"/>
        <w:ind w:left="102" w:right="122" w:firstLine="0"/>
        <w:jc w:val="both"/>
        <w:rPr>
          <w:sz w:val="22"/>
        </w:rPr>
      </w:pPr>
      <w:r>
        <w:rPr>
          <w:sz w:val="22"/>
        </w:rPr>
        <w:t>La disposición no puede desarrollarse sin un objetivo de cooperación, tal objetivo es el propósito de la</w:t>
      </w:r>
      <w:r>
        <w:rPr>
          <w:spacing w:val="-9"/>
          <w:sz w:val="22"/>
        </w:rPr>
        <w:t> </w:t>
      </w:r>
      <w:r>
        <w:rPr>
          <w:sz w:val="22"/>
        </w:rPr>
        <w:t>organización.</w:t>
      </w:r>
    </w:p>
    <w:p>
      <w:pPr>
        <w:pStyle w:val="BodyText"/>
        <w:spacing w:before="9"/>
        <w:rPr>
          <w:sz w:val="17"/>
        </w:rPr>
      </w:pPr>
    </w:p>
    <w:p>
      <w:pPr>
        <w:pStyle w:val="BodyText"/>
        <w:spacing w:line="360" w:lineRule="auto"/>
        <w:ind w:left="102" w:right="117"/>
        <w:jc w:val="both"/>
      </w:pPr>
      <w:r>
        <w:rPr/>
        <w:t>Finalmente, Axelrod (1984) y Ostrom (1994), mencionan que los sistemas socioambientales proporcionan ejemplos para llevar a cabo la cooperación con énfasis en</w:t>
      </w:r>
    </w:p>
    <w:p>
      <w:pPr>
        <w:pStyle w:val="BodyText"/>
        <w:spacing w:before="3"/>
        <w:ind w:left="102"/>
        <w:jc w:val="both"/>
      </w:pPr>
      <w:r>
        <w:rPr/>
        <w:t>1)  la  cooperación  para  la  acción  colectiva;  2)  a  través  de  los  sistemas    ecológicos</w:t>
      </w:r>
    </w:p>
    <w:p>
      <w:pPr>
        <w:spacing w:after="0"/>
        <w:jc w:val="both"/>
        <w:sectPr>
          <w:pgSz w:w="12240" w:h="15840"/>
          <w:pgMar w:header="0" w:footer="1003" w:top="1360" w:bottom="1200" w:left="1600" w:right="1580"/>
        </w:sectPr>
      </w:pPr>
    </w:p>
    <w:p>
      <w:pPr>
        <w:pStyle w:val="BodyText"/>
        <w:spacing w:line="360" w:lineRule="auto" w:before="56"/>
        <w:ind w:left="102" w:right="120"/>
        <w:jc w:val="both"/>
      </w:pPr>
      <w:r>
        <w:rPr/>
        <w:t>compartidos, por tal motivo la cuenca hidrosocial de la presa Huapango representó, sin duda, una oportunidad de análisis de un bien común, donde la cooperación de los actores es el medio indispensable para sostener este recurso natural, por lo que se requiere generar redes que consoliden la cultura de la región.</w:t>
      </w:r>
    </w:p>
    <w:p>
      <w:pPr>
        <w:pStyle w:val="BodyText"/>
        <w:spacing w:before="7"/>
        <w:rPr>
          <w:sz w:val="17"/>
        </w:rPr>
      </w:pPr>
    </w:p>
    <w:p>
      <w:pPr>
        <w:pStyle w:val="Heading6"/>
        <w:numPr>
          <w:ilvl w:val="2"/>
          <w:numId w:val="26"/>
        </w:numPr>
        <w:tabs>
          <w:tab w:pos="717" w:val="left" w:leader="none"/>
        </w:tabs>
        <w:spacing w:line="240" w:lineRule="auto" w:before="0" w:after="0"/>
        <w:ind w:left="716" w:right="0" w:hanging="614"/>
        <w:jc w:val="both"/>
      </w:pPr>
      <w:bookmarkStart w:name="_TOC_250047" w:id="27"/>
      <w:r>
        <w:rPr/>
        <w:t>Principio de la gobernanza:</w:t>
      </w:r>
      <w:r>
        <w:rPr>
          <w:spacing w:val="-9"/>
        </w:rPr>
        <w:t> </w:t>
      </w:r>
      <w:bookmarkEnd w:id="27"/>
      <w:r>
        <w:rPr/>
        <w:t>Cultura</w:t>
      </w:r>
    </w:p>
    <w:p>
      <w:pPr>
        <w:pStyle w:val="BodyText"/>
        <w:spacing w:before="5"/>
        <w:rPr>
          <w:b/>
          <w:sz w:val="28"/>
        </w:rPr>
      </w:pPr>
    </w:p>
    <w:p>
      <w:pPr>
        <w:pStyle w:val="BodyText"/>
        <w:spacing w:line="360" w:lineRule="auto" w:before="1"/>
        <w:ind w:left="102" w:right="114"/>
        <w:jc w:val="both"/>
      </w:pPr>
      <w:r>
        <w:rPr/>
        <w:t>Roberto Mendoza (2005), señala que la cultura configura el mundo interno de los individuos y grupos (como actores sociales) y es por ellos configurada (como autores culturales), según el tipo de relaciones y condiciones generales de existencia de los estratos y clases sociales a la que pertenecen. Constituye el hacer, el sentir, el pensar y el imaginario social de un pueblo y de los grupos que lo componen, su auto–concepto social e individual.</w:t>
      </w:r>
    </w:p>
    <w:p>
      <w:pPr>
        <w:pStyle w:val="BodyText"/>
        <w:spacing w:before="7"/>
        <w:rPr>
          <w:sz w:val="17"/>
        </w:rPr>
      </w:pPr>
    </w:p>
    <w:p>
      <w:pPr>
        <w:pStyle w:val="BodyText"/>
        <w:spacing w:line="360" w:lineRule="auto"/>
        <w:ind w:left="102" w:right="116"/>
        <w:jc w:val="both"/>
      </w:pPr>
      <w:r>
        <w:rPr/>
        <w:t>De igual forma, Newbold (1978), añade que la cultura es ese recurso adaptativo particular de la especie humana que produce un sinnúmero de artefactos que, a diferencia de las construcciones de muchas otras especies, son usados y vueltos a usar continuamente a través de distintas fases de la historia.</w:t>
      </w:r>
    </w:p>
    <w:p>
      <w:pPr>
        <w:pStyle w:val="BodyText"/>
        <w:spacing w:before="9"/>
        <w:rPr>
          <w:sz w:val="17"/>
        </w:rPr>
      </w:pPr>
    </w:p>
    <w:p>
      <w:pPr>
        <w:pStyle w:val="BodyText"/>
        <w:spacing w:line="360" w:lineRule="auto"/>
        <w:ind w:left="102" w:right="114"/>
        <w:jc w:val="both"/>
      </w:pPr>
      <w:r>
        <w:rPr/>
        <w:t>Por su parte Collins (1981), menciona que la construcción de la cultura se da por las rutinas de los individuos organizados alrededor de lugares y objetos que propician la interacción física y las conversaciones. Estas últimas generan creencias en realidades comunes, las cuales se convierten en símbolos de solidaridad grupal. Para que lo sean es necesario que reúnan dos condiciones: </w:t>
      </w:r>
      <w:r>
        <w:rPr>
          <w:i/>
        </w:rPr>
        <w:t>a) </w:t>
      </w:r>
      <w:r>
        <w:rPr/>
        <w:t>que los participantes en el ritual conversacional sean capaces de invocar una realidad cognitiva común, es decir, que tengan similares recursos conversacionales o culturales, y </w:t>
      </w:r>
      <w:r>
        <w:rPr>
          <w:i/>
        </w:rPr>
        <w:t>b) </w:t>
      </w:r>
      <w:r>
        <w:rPr/>
        <w:t>que los participantes sean capaces de sostener un tono emocional, que produzca al menos una energía momentánea (energía emocional). En esta forma las cadenas individuales de experiencias conversacionales a lo largo del tiempo producen sentimientos de solidaridad y estratificación entre y dentro de las coaliciones sociales, recreando al mismo tiempo las creencias cognitivas de la gente acerca de la estructura social. Por lo que la cultura es un instrumento de ajuste,  un sistema de adaptación generado por sociedades bajo condiciones ambientales, espaciales, temporales e históricas particulares. Es a partir de éste, cuando un grupo social se relaciona de manera directa e indirecta con su entorno natural inmediato y desde luego con los componentes de otras sociedades. La relación entre cultura y adaptación sociocultural proporciona a una sociedad los elementos básicos para identificar y</w:t>
      </w:r>
      <w:r>
        <w:rPr>
          <w:spacing w:val="58"/>
        </w:rPr>
        <w:t> </w:t>
      </w:r>
      <w:r>
        <w:rPr/>
        <w:t>manejar</w:t>
      </w:r>
    </w:p>
    <w:p>
      <w:pPr>
        <w:spacing w:after="0" w:line="360" w:lineRule="auto"/>
        <w:jc w:val="both"/>
        <w:sectPr>
          <w:pgSz w:w="12240" w:h="15840"/>
          <w:pgMar w:header="0" w:footer="1003" w:top="1360" w:bottom="1200" w:left="1600" w:right="1580"/>
        </w:sectPr>
      </w:pPr>
    </w:p>
    <w:p>
      <w:pPr>
        <w:pStyle w:val="BodyText"/>
        <w:spacing w:line="360" w:lineRule="auto" w:before="56"/>
        <w:ind w:left="102" w:right="120"/>
        <w:jc w:val="both"/>
      </w:pPr>
      <w:r>
        <w:rPr/>
        <w:t>los recursos disponibles en el ambiente. Esto permite la supervivencia de los pobladores estableciendo estrategias de adaptación que varían a lo largo del año.</w:t>
      </w:r>
    </w:p>
    <w:p>
      <w:pPr>
        <w:pStyle w:val="BodyText"/>
        <w:spacing w:before="5"/>
        <w:rPr>
          <w:sz w:val="24"/>
        </w:rPr>
      </w:pPr>
    </w:p>
    <w:p>
      <w:pPr>
        <w:pStyle w:val="BodyText"/>
        <w:spacing w:line="360" w:lineRule="auto"/>
        <w:ind w:left="102" w:right="116"/>
        <w:jc w:val="both"/>
      </w:pPr>
      <w:r>
        <w:rPr/>
        <w:t>Por su parte González (1997), señala que con las relaciones intrínsecas y extrínsecas que se establecen entre los integrantes de diversos grupos humanos, ya sea en condiciones ambientales similares o diferentes, se genera la adaptación sociocultural de determinados patrones de comportamiento y que en ciertas condiciones espaciales, temporales y sociales se pueden considerar como modelos. Simultáneamente al proceso de la adaptación existen otros elementos básicos que son relevantes dentro de una sociedad: recursos, energía, organización y trabajo que actúan de manera conjunta; es decir, interactúan entre sí y no se explican individualmente. Los riesgos deben entenderse  desde un enfoque holístico, pues no se generan de manera aislada, sino mediante la influencia de varios factores y bajo ciertas condiciones</w:t>
      </w:r>
      <w:r>
        <w:rPr>
          <w:spacing w:val="-17"/>
        </w:rPr>
        <w:t> </w:t>
      </w:r>
      <w:r>
        <w:rPr/>
        <w:t>ambientales</w:t>
      </w:r>
    </w:p>
    <w:p>
      <w:pPr>
        <w:pStyle w:val="BodyText"/>
        <w:spacing w:before="10"/>
        <w:rPr>
          <w:sz w:val="24"/>
        </w:rPr>
      </w:pPr>
    </w:p>
    <w:p>
      <w:pPr>
        <w:pStyle w:val="BodyText"/>
        <w:spacing w:line="360" w:lineRule="auto"/>
        <w:ind w:left="102" w:right="114"/>
        <w:jc w:val="both"/>
      </w:pPr>
      <w:r>
        <w:rPr/>
        <w:t>Por lo que Arjona (1986), menciona que el objetivo de la Cultura Ambiental Comunitaria  es promover, incentivar y conducir el desarrollo sostenible del hombre en perfecta armonía, equilibrio y equidad con la naturaleza, con otros sujetos de la comunidad y consigo mismo, bajo los principios de los valores humanos de justicia y libertad. Por tal motivo se consideran necesario precisar que el fin de la Cultura Ambiental Comunitaria es elevar la calidad de la vida de los comunitarios, mediante el desarrollo pleno de las potencialidades y el enriquecimiento de su espiritualidad como ser</w:t>
      </w:r>
      <w:r>
        <w:rPr>
          <w:spacing w:val="-26"/>
        </w:rPr>
        <w:t> </w:t>
      </w:r>
      <w:r>
        <w:rPr/>
        <w:t>social.</w:t>
      </w:r>
    </w:p>
    <w:p>
      <w:pPr>
        <w:pStyle w:val="BodyText"/>
        <w:spacing w:before="9"/>
        <w:rPr>
          <w:sz w:val="17"/>
        </w:rPr>
      </w:pPr>
    </w:p>
    <w:p>
      <w:pPr>
        <w:pStyle w:val="BodyText"/>
        <w:spacing w:line="360" w:lineRule="auto"/>
        <w:ind w:left="102" w:right="117"/>
        <w:jc w:val="both"/>
      </w:pPr>
      <w:r>
        <w:rPr/>
        <w:t>La cultura como concepto, permite analizar la evolución social de la cuenca hidrosocial de la presa Huapango para identificar los actores sociales con rasgos y características históricas de la región.</w:t>
      </w:r>
    </w:p>
    <w:p>
      <w:pPr>
        <w:pStyle w:val="BodyText"/>
        <w:spacing w:before="4"/>
        <w:rPr>
          <w:sz w:val="17"/>
        </w:rPr>
      </w:pPr>
    </w:p>
    <w:p>
      <w:pPr>
        <w:pStyle w:val="Heading6"/>
        <w:numPr>
          <w:ilvl w:val="2"/>
          <w:numId w:val="26"/>
        </w:numPr>
        <w:tabs>
          <w:tab w:pos="717" w:val="left" w:leader="none"/>
        </w:tabs>
        <w:spacing w:line="240" w:lineRule="auto" w:before="0" w:after="0"/>
        <w:ind w:left="716" w:right="0" w:hanging="614"/>
        <w:jc w:val="both"/>
      </w:pPr>
      <w:bookmarkStart w:name="_TOC_250046" w:id="28"/>
      <w:r>
        <w:rPr/>
        <w:t>Principio de gobernanza:</w:t>
      </w:r>
      <w:r>
        <w:rPr>
          <w:spacing w:val="-9"/>
        </w:rPr>
        <w:t> </w:t>
      </w:r>
      <w:bookmarkEnd w:id="28"/>
      <w:r>
        <w:rPr/>
        <w:t>Poder</w:t>
      </w:r>
    </w:p>
    <w:p>
      <w:pPr>
        <w:pStyle w:val="BodyText"/>
        <w:spacing w:before="8"/>
        <w:rPr>
          <w:b/>
          <w:sz w:val="28"/>
        </w:rPr>
      </w:pPr>
    </w:p>
    <w:p>
      <w:pPr>
        <w:pStyle w:val="BodyText"/>
        <w:spacing w:line="360" w:lineRule="auto"/>
        <w:ind w:left="102" w:right="114"/>
        <w:jc w:val="both"/>
      </w:pPr>
      <w:r>
        <w:rPr/>
        <w:t>Richard Newbold (1978), menciona que en la naturaleza del poder y del control los esfuerzos de un hombre por ejercer influencia sobre otro son simplemente parte de un esfuerzo global encaminado a enfrentarse con su medio ambiente y controlarlo a fin de hacer más efectivas sus posibilidades de supervivencia y no existe ninguna relación social sin la presencia del poder.</w:t>
      </w:r>
    </w:p>
    <w:p>
      <w:pPr>
        <w:pStyle w:val="BodyText"/>
        <w:spacing w:before="9"/>
        <w:rPr>
          <w:sz w:val="17"/>
        </w:rPr>
      </w:pPr>
    </w:p>
    <w:p>
      <w:pPr>
        <w:pStyle w:val="BodyText"/>
        <w:spacing w:line="360" w:lineRule="auto"/>
        <w:ind w:left="102" w:right="117"/>
        <w:jc w:val="both"/>
      </w:pPr>
      <w:r>
        <w:rPr/>
        <w:t>En este sentido, el poder social es visto como parte de los procesos que articulan al hombre con su medio ambiente y cuando hablamos de control del hombre, nos referimos específicamente a su capacidad física y energética para reordenar los elementos de su</w:t>
      </w:r>
    </w:p>
    <w:p>
      <w:pPr>
        <w:spacing w:after="0" w:line="360" w:lineRule="auto"/>
        <w:jc w:val="both"/>
        <w:sectPr>
          <w:pgSz w:w="12240" w:h="15840"/>
          <w:pgMar w:header="0" w:footer="1003" w:top="1360" w:bottom="1200" w:left="1600" w:right="1580"/>
        </w:sectPr>
      </w:pPr>
    </w:p>
    <w:p>
      <w:pPr>
        <w:pStyle w:val="BodyText"/>
        <w:spacing w:line="360" w:lineRule="auto" w:before="56"/>
        <w:ind w:left="102" w:right="117"/>
        <w:jc w:val="both"/>
      </w:pPr>
      <w:r>
        <w:rPr/>
        <w:t>medio ambiente, tanto en términos de sus posiciones físicas como de las conversiones y transformaciones energéticas a otras formas espacio-temporales.</w:t>
      </w:r>
    </w:p>
    <w:p>
      <w:pPr>
        <w:pStyle w:val="BodyText"/>
        <w:spacing w:before="7"/>
        <w:rPr>
          <w:sz w:val="17"/>
        </w:rPr>
      </w:pPr>
    </w:p>
    <w:p>
      <w:pPr>
        <w:spacing w:line="360" w:lineRule="auto" w:before="0"/>
        <w:ind w:left="102" w:right="114" w:firstLine="0"/>
        <w:jc w:val="both"/>
        <w:rPr>
          <w:sz w:val="22"/>
        </w:rPr>
      </w:pPr>
      <w:r>
        <w:rPr>
          <w:sz w:val="22"/>
        </w:rPr>
        <w:t>Es por ello que Weber (1993), en su libro </w:t>
      </w:r>
      <w:r>
        <w:rPr>
          <w:i/>
          <w:sz w:val="22"/>
        </w:rPr>
        <w:t>Economía y Sociedad</w:t>
      </w:r>
      <w:r>
        <w:rPr>
          <w:sz w:val="22"/>
        </w:rPr>
        <w:t>, define el poder como </w:t>
      </w:r>
      <w:r>
        <w:rPr>
          <w:i/>
          <w:sz w:val="22"/>
        </w:rPr>
        <w:t>la </w:t>
      </w:r>
      <w:r>
        <w:rPr>
          <w:i/>
          <w:sz w:val="22"/>
        </w:rPr>
        <w:t>probabilidad de imponer la propia voluntad dentro de una relación social, aun contra toda resistencia y cualquiera sea el fundamento de su probabilidad. </w:t>
      </w:r>
      <w:r>
        <w:rPr>
          <w:sz w:val="22"/>
        </w:rPr>
        <w:t>(Weber, 1993).</w:t>
      </w:r>
    </w:p>
    <w:p>
      <w:pPr>
        <w:pStyle w:val="BodyText"/>
        <w:spacing w:before="7"/>
        <w:rPr>
          <w:sz w:val="17"/>
        </w:rPr>
      </w:pPr>
    </w:p>
    <w:p>
      <w:pPr>
        <w:pStyle w:val="BodyText"/>
        <w:spacing w:line="360" w:lineRule="auto"/>
        <w:ind w:left="102" w:right="116"/>
        <w:jc w:val="both"/>
      </w:pPr>
      <w:r>
        <w:rPr/>
        <w:t>Para Dahl (1976), el poder político, evoca un carácter estructural de dominio, imperio, facultad o jurisdicción para mandar con autoridad, para hacer ejecutar una decisión es un sentido que condiciona la vida social mediante su carácter de desequilibrios.</w:t>
      </w:r>
    </w:p>
    <w:p>
      <w:pPr>
        <w:pStyle w:val="BodyText"/>
        <w:spacing w:before="10"/>
        <w:rPr>
          <w:sz w:val="17"/>
        </w:rPr>
      </w:pPr>
    </w:p>
    <w:p>
      <w:pPr>
        <w:pStyle w:val="BodyText"/>
        <w:spacing w:line="360" w:lineRule="auto"/>
        <w:ind w:left="102" w:right="112"/>
        <w:jc w:val="both"/>
      </w:pPr>
      <w:r>
        <w:rPr/>
        <w:t>Por su parte Rose (1970), define el poder económico como aquel que detenta la  propiedad de los medios de producción y tiene la capacidad de alcanzar una ganancia  que acumulada le permite influir en el proceso económico en</w:t>
      </w:r>
      <w:r>
        <w:rPr>
          <w:spacing w:val="-14"/>
        </w:rPr>
        <w:t> </w:t>
      </w:r>
      <w:r>
        <w:rPr/>
        <w:t>general.</w:t>
      </w:r>
    </w:p>
    <w:p>
      <w:pPr>
        <w:pStyle w:val="BodyText"/>
        <w:spacing w:before="7"/>
        <w:rPr>
          <w:sz w:val="17"/>
        </w:rPr>
      </w:pPr>
    </w:p>
    <w:p>
      <w:pPr>
        <w:pStyle w:val="BodyText"/>
        <w:spacing w:line="360" w:lineRule="auto"/>
        <w:ind w:left="102" w:right="121"/>
        <w:jc w:val="both"/>
      </w:pPr>
      <w:r>
        <w:rPr/>
        <w:t>Numerosos autores coinciden en remarcar el “interaccionismo” del poder, así por ejemplo David Easton (1968), define el poder como un fenómeno de relaciones, no es una cosa que alguien posea. En este mismo sentido, Lasswell y Kaplan (1950); Friedrich (1968), definen el poder como una relación interpersonal.</w:t>
      </w:r>
    </w:p>
    <w:p>
      <w:pPr>
        <w:pStyle w:val="BodyText"/>
        <w:spacing w:before="7"/>
        <w:rPr>
          <w:sz w:val="17"/>
        </w:rPr>
      </w:pPr>
    </w:p>
    <w:p>
      <w:pPr>
        <w:pStyle w:val="BodyText"/>
        <w:spacing w:line="360" w:lineRule="auto"/>
        <w:ind w:left="102" w:right="116"/>
        <w:jc w:val="both"/>
      </w:pPr>
      <w:r>
        <w:rPr/>
        <w:t>Por su parte, Oro Tapia (2003), menciona que el poder implica relación, “es” una relación, una cualidad engendrada de modo bilateral, lo cual debe ser entendido en dos sentidos. Por un lado debemos ver al poder como un tipo de relación social -y no como algo que pueda tenerse en propiedad-, y por otro, es importante tener en cuenta que las entidades que se utilizan para establecer dichas relaciones de poder adquieren el estatus de recursos sólo en la medida en que el “otro” las valora como tales, o sea, debe haber una valoración recíproca y no una estimación unilateral. En otras palabras, para que una entidad adquiera el estatus de recurso de poder, ésta debe ser concebida como algo valioso por los sujetos involucrados en la relación de poder.</w:t>
      </w:r>
    </w:p>
    <w:p>
      <w:pPr>
        <w:pStyle w:val="BodyText"/>
        <w:spacing w:before="10"/>
        <w:rPr>
          <w:sz w:val="17"/>
        </w:rPr>
      </w:pPr>
    </w:p>
    <w:p>
      <w:pPr>
        <w:pStyle w:val="BodyText"/>
        <w:spacing w:line="360" w:lineRule="auto"/>
        <w:ind w:left="102" w:right="119"/>
        <w:jc w:val="both"/>
      </w:pPr>
      <w:r>
        <w:rPr/>
        <w:t>En el mismo sentido, Norbert Elias (1994), menciona que el poder tiene algo que ver con el hecho de que existen grupos o individuos que pueden retener o monopolizar aquello que otros necesitan, como, por ejemplo, comida, amor, sentido de protección frente a ataques (es decir, seguridad), así como conocimiento u otras cosas. Y, cuanto mayores sean las necesidades de estos últimos, mayor es la proporción de poder que detentan los primeros, lo cual genera una relación de</w:t>
      </w:r>
      <w:r>
        <w:rPr>
          <w:spacing w:val="-9"/>
        </w:rPr>
        <w:t> </w:t>
      </w:r>
      <w:r>
        <w:rPr/>
        <w:t>ambos.</w:t>
      </w:r>
    </w:p>
    <w:p>
      <w:pPr>
        <w:spacing w:after="0" w:line="360" w:lineRule="auto"/>
        <w:jc w:val="both"/>
        <w:sectPr>
          <w:pgSz w:w="12240" w:h="15840"/>
          <w:pgMar w:header="0" w:footer="1003" w:top="1360" w:bottom="1200" w:left="1600" w:right="1580"/>
        </w:sectPr>
      </w:pPr>
    </w:p>
    <w:p>
      <w:pPr>
        <w:pStyle w:val="BodyText"/>
        <w:spacing w:line="360" w:lineRule="auto" w:before="56"/>
        <w:ind w:left="102" w:right="115"/>
        <w:jc w:val="both"/>
      </w:pPr>
      <w:r>
        <w:rPr/>
        <w:t>Estas definiciones señalan dos cosas: en primer lugar, que ciertos recursos, o mejor dicho las relaciones que en torno a ellos se originen, pueden ser fuentes de poder. Esto se debe a que presentan características –son necesarios y, por ende, valorados por numerosos actores- que los hacen capaces de atraer el interés, generando disputas en torno a su posesión. En segundo lugar, que el poder que se desprende de estos recursos tiene una fuerte carga de historicidad, ya que la mayor o menor “necesidad” que se tenga de ellos dependerá del contexto.</w:t>
      </w:r>
    </w:p>
    <w:p>
      <w:pPr>
        <w:pStyle w:val="BodyText"/>
        <w:spacing w:before="7"/>
        <w:rPr>
          <w:sz w:val="17"/>
        </w:rPr>
      </w:pPr>
    </w:p>
    <w:p>
      <w:pPr>
        <w:pStyle w:val="BodyText"/>
        <w:spacing w:line="360" w:lineRule="auto"/>
        <w:ind w:left="102" w:right="115"/>
        <w:jc w:val="both"/>
      </w:pPr>
      <w:r>
        <w:rPr/>
        <w:t>El hecho de que hoy los recursos naturales, especialmente el agua, sean considerados como valiosos, necesarios y, por tanto, “generadores de poder” surge de las acciones que el hombre tuvo y tiene hacia éstos en su explotación y posterior aprovechamiento para las más diversas actividades productivas.</w:t>
      </w:r>
    </w:p>
    <w:p>
      <w:pPr>
        <w:pStyle w:val="BodyText"/>
        <w:spacing w:before="9"/>
        <w:rPr>
          <w:sz w:val="17"/>
        </w:rPr>
      </w:pPr>
    </w:p>
    <w:p>
      <w:pPr>
        <w:pStyle w:val="BodyText"/>
        <w:spacing w:line="360" w:lineRule="auto"/>
        <w:ind w:left="102" w:right="112"/>
        <w:jc w:val="both"/>
      </w:pPr>
      <w:r>
        <w:rPr/>
        <w:t>Con todo esto se concluye que el fundamento de poder de un recurso no reside en el recurso mismo, por más valioso que éste sea (como el agua), sino en la relación de dependencia o superioridad que se origine como consecuencia de poseerlo o carecer de él. Es decir, el verdadero valor del recurso está en su “potencialidad,” ya que “el poder se sustenta, en última instancia, en los medios técnicos que permiten llevar a cabo la dominación.” (Oro Tapia, 2003). Es esta potencialidad la que va a explicar la relación  entre el agua y el poder, y a la que hace referencia la “recíproca bilateralidad” de Weber (1993), lo que en otras palabras sería el juego que se da entre los actores por el recurso agua.</w:t>
      </w:r>
    </w:p>
    <w:p>
      <w:pPr>
        <w:pStyle w:val="BodyText"/>
        <w:spacing w:before="7"/>
        <w:rPr>
          <w:sz w:val="17"/>
        </w:rPr>
      </w:pPr>
    </w:p>
    <w:p>
      <w:pPr>
        <w:pStyle w:val="BodyText"/>
        <w:spacing w:line="360" w:lineRule="auto"/>
        <w:ind w:left="102" w:right="116"/>
        <w:jc w:val="both"/>
      </w:pPr>
      <w:r>
        <w:rPr/>
        <w:t>El poder es un principio de la gobernanza fundamental para esta investigación, ya que permitió analizar los procesos que articulan al hombre con su medio ambiente en la cuenca hidrosocial de la presa Huapango, ya que existen actores de aguas abajo que monopolizan el agua de la presa para su desarrollo y merman el de los de aguas arriba, lo que genera un proceso de dominación y conflicto, en donde se requiere la participación social para mermar el conflicto y llegar acuerdos.</w:t>
      </w:r>
    </w:p>
    <w:p>
      <w:pPr>
        <w:pStyle w:val="BodyText"/>
        <w:spacing w:before="5"/>
        <w:rPr>
          <w:sz w:val="17"/>
        </w:rPr>
      </w:pPr>
    </w:p>
    <w:p>
      <w:pPr>
        <w:pStyle w:val="Heading6"/>
        <w:numPr>
          <w:ilvl w:val="2"/>
          <w:numId w:val="26"/>
        </w:numPr>
        <w:tabs>
          <w:tab w:pos="717" w:val="left" w:leader="none"/>
        </w:tabs>
        <w:spacing w:line="240" w:lineRule="auto" w:before="0" w:after="0"/>
        <w:ind w:left="716" w:right="0" w:hanging="614"/>
        <w:jc w:val="both"/>
      </w:pPr>
      <w:bookmarkStart w:name="_TOC_250045" w:id="29"/>
      <w:r>
        <w:rPr/>
        <w:t>Principio de la gobernanza: La Participación</w:t>
      </w:r>
      <w:r>
        <w:rPr>
          <w:spacing w:val="-15"/>
        </w:rPr>
        <w:t> </w:t>
      </w:r>
      <w:bookmarkEnd w:id="29"/>
      <w:r>
        <w:rPr/>
        <w:t>Social</w:t>
      </w:r>
    </w:p>
    <w:p>
      <w:pPr>
        <w:pStyle w:val="BodyText"/>
        <w:rPr>
          <w:b/>
        </w:rPr>
      </w:pPr>
    </w:p>
    <w:p>
      <w:pPr>
        <w:spacing w:line="360" w:lineRule="auto" w:before="154"/>
        <w:ind w:left="102" w:right="116" w:firstLine="0"/>
        <w:jc w:val="both"/>
        <w:rPr>
          <w:i/>
          <w:sz w:val="22"/>
        </w:rPr>
      </w:pPr>
      <w:r>
        <w:rPr>
          <w:sz w:val="22"/>
        </w:rPr>
        <w:t>De acuerdo con el Plan Nacional de Desarrollo (1995 – 2000), </w:t>
      </w:r>
      <w:r>
        <w:rPr>
          <w:i/>
          <w:sz w:val="22"/>
        </w:rPr>
        <w:t>La intervención de la </w:t>
      </w:r>
      <w:r>
        <w:rPr>
          <w:i/>
          <w:sz w:val="22"/>
        </w:rPr>
        <w:t>sociedad civil en demanda de mayores espacios de opinión y acción pública conduce a acuerdos e instituciones más representativas. El desarrollo democrático al que aspiramos comprende  la  participación  social  organizada  de  los  ciudadanos  como  un     aspecto</w:t>
      </w:r>
    </w:p>
    <w:p>
      <w:pPr>
        <w:spacing w:after="0" w:line="360" w:lineRule="auto"/>
        <w:jc w:val="both"/>
        <w:rPr>
          <w:sz w:val="22"/>
        </w:rPr>
        <w:sectPr>
          <w:pgSz w:w="12240" w:h="15840"/>
          <w:pgMar w:header="0" w:footer="1003" w:top="1360" w:bottom="1200" w:left="1600" w:right="1580"/>
        </w:sectPr>
      </w:pPr>
    </w:p>
    <w:p>
      <w:pPr>
        <w:spacing w:line="360" w:lineRule="auto" w:before="56"/>
        <w:ind w:left="102" w:right="114" w:firstLine="0"/>
        <w:jc w:val="both"/>
        <w:rPr>
          <w:sz w:val="22"/>
        </w:rPr>
      </w:pPr>
      <w:r>
        <w:rPr>
          <w:i/>
          <w:sz w:val="22"/>
        </w:rPr>
        <w:t>fundamental en la toma de decisiones. La sociedad y sus organizaciones deben tomar </w:t>
      </w:r>
      <w:r>
        <w:rPr>
          <w:i/>
          <w:sz w:val="22"/>
        </w:rPr>
        <w:t>parte en la formulación, ejecución y evaluación de las políticas públicas, así como en las tareas de contraloría social sobre el desempeño de los servidores públicos. De igual manera, propone establecer una política de firme aliento a la participación de los ciudadanos y de las organizaciones civiles en diversas áreas de la administración pública </w:t>
      </w:r>
      <w:r>
        <w:rPr>
          <w:sz w:val="22"/>
        </w:rPr>
        <w:t>(Gobierno de la República, 2013).</w:t>
      </w:r>
    </w:p>
    <w:p>
      <w:pPr>
        <w:pStyle w:val="BodyText"/>
        <w:spacing w:before="10"/>
        <w:rPr>
          <w:sz w:val="24"/>
        </w:rPr>
      </w:pPr>
    </w:p>
    <w:p>
      <w:pPr>
        <w:pStyle w:val="BodyText"/>
        <w:spacing w:line="360" w:lineRule="auto"/>
        <w:ind w:left="102" w:right="115"/>
        <w:jc w:val="both"/>
      </w:pPr>
      <w:r>
        <w:rPr/>
        <w:t>De acuerdo con el INAFED (2014), La sociedad está constituida por grupos de personas que actúan recíprocamente, que tienen actividades que se centran alrededor de una serie de objetivos comunes, que comparten creencias, actitudes y conductas colectivas: Cuando se pertenece a grupos organizados con intereses afines, la relación personal es más directa y existen mayores oportunidades de establecer vínculos estrechos y definitivos que logran un beneficio común. Para promover la participación social es básica su institucionalización –reglamentándola y estableciendo áreas de vinculación- acorde a las peculiaridades de cada municipio, localidad o materia de la administración; sin embargo, hay aspectos generales que deben tomarse en cuenta para</w:t>
      </w:r>
      <w:r>
        <w:rPr>
          <w:spacing w:val="-20"/>
        </w:rPr>
        <w:t> </w:t>
      </w:r>
      <w:r>
        <w:rPr/>
        <w:t>promoverla:</w:t>
      </w:r>
    </w:p>
    <w:p>
      <w:pPr>
        <w:pStyle w:val="BodyText"/>
        <w:spacing w:before="10"/>
        <w:rPr>
          <w:sz w:val="24"/>
        </w:rPr>
      </w:pPr>
    </w:p>
    <w:p>
      <w:pPr>
        <w:pStyle w:val="ListParagraph"/>
        <w:numPr>
          <w:ilvl w:val="0"/>
          <w:numId w:val="30"/>
        </w:numPr>
        <w:tabs>
          <w:tab w:pos="249" w:val="left" w:leader="none"/>
        </w:tabs>
        <w:spacing w:line="357" w:lineRule="auto" w:before="0" w:after="0"/>
        <w:ind w:left="102" w:right="118" w:firstLine="0"/>
        <w:jc w:val="both"/>
        <w:rPr>
          <w:sz w:val="22"/>
        </w:rPr>
      </w:pPr>
      <w:r>
        <w:rPr>
          <w:sz w:val="22"/>
        </w:rPr>
        <w:t>Reconocer el valor que tiene la participación social en la solución de las demandas más sentidas de la</w:t>
      </w:r>
      <w:r>
        <w:rPr>
          <w:spacing w:val="-6"/>
          <w:sz w:val="22"/>
        </w:rPr>
        <w:t> </w:t>
      </w:r>
      <w:r>
        <w:rPr>
          <w:sz w:val="22"/>
        </w:rPr>
        <w:t>comunidad.</w:t>
      </w:r>
    </w:p>
    <w:p>
      <w:pPr>
        <w:pStyle w:val="BodyText"/>
        <w:spacing w:before="1"/>
        <w:rPr>
          <w:sz w:val="25"/>
        </w:rPr>
      </w:pPr>
    </w:p>
    <w:p>
      <w:pPr>
        <w:pStyle w:val="ListParagraph"/>
        <w:numPr>
          <w:ilvl w:val="0"/>
          <w:numId w:val="30"/>
        </w:numPr>
        <w:tabs>
          <w:tab w:pos="304" w:val="left" w:leader="none"/>
        </w:tabs>
        <w:spacing w:line="357" w:lineRule="auto" w:before="1" w:after="0"/>
        <w:ind w:left="102" w:right="122" w:firstLine="0"/>
        <w:jc w:val="both"/>
        <w:rPr>
          <w:sz w:val="22"/>
        </w:rPr>
      </w:pPr>
      <w:r>
        <w:rPr>
          <w:sz w:val="22"/>
        </w:rPr>
        <w:t>Consultar a la sociedad respecto de sus principales requerimientos en materia de obras, servicios públicos y con relación a los reglamentos</w:t>
      </w:r>
      <w:r>
        <w:rPr>
          <w:spacing w:val="-16"/>
          <w:sz w:val="22"/>
        </w:rPr>
        <w:t> </w:t>
      </w:r>
      <w:r>
        <w:rPr>
          <w:sz w:val="22"/>
        </w:rPr>
        <w:t>municipales.</w:t>
      </w:r>
    </w:p>
    <w:p>
      <w:pPr>
        <w:pStyle w:val="BodyText"/>
        <w:spacing w:before="1"/>
        <w:rPr>
          <w:sz w:val="25"/>
        </w:rPr>
      </w:pPr>
    </w:p>
    <w:p>
      <w:pPr>
        <w:pStyle w:val="ListParagraph"/>
        <w:numPr>
          <w:ilvl w:val="0"/>
          <w:numId w:val="30"/>
        </w:numPr>
        <w:tabs>
          <w:tab w:pos="256" w:val="left" w:leader="none"/>
        </w:tabs>
        <w:spacing w:line="357" w:lineRule="auto" w:before="0" w:after="0"/>
        <w:ind w:left="102" w:right="112" w:firstLine="0"/>
        <w:jc w:val="both"/>
        <w:rPr>
          <w:sz w:val="22"/>
        </w:rPr>
      </w:pPr>
      <w:r>
        <w:rPr>
          <w:sz w:val="22"/>
        </w:rPr>
        <w:t>Reunir las demandas del municipio y jerarquizarlas en planes y programas de gobierno de acuerdo al mayor beneficio social y al presupuesto del</w:t>
      </w:r>
      <w:r>
        <w:rPr>
          <w:spacing w:val="-14"/>
          <w:sz w:val="22"/>
        </w:rPr>
        <w:t> </w:t>
      </w:r>
      <w:r>
        <w:rPr>
          <w:sz w:val="22"/>
        </w:rPr>
        <w:t>mismo.</w:t>
      </w:r>
    </w:p>
    <w:p>
      <w:pPr>
        <w:pStyle w:val="BodyText"/>
        <w:spacing w:before="1"/>
        <w:rPr>
          <w:sz w:val="25"/>
        </w:rPr>
      </w:pPr>
    </w:p>
    <w:p>
      <w:pPr>
        <w:pStyle w:val="ListParagraph"/>
        <w:numPr>
          <w:ilvl w:val="0"/>
          <w:numId w:val="30"/>
        </w:numPr>
        <w:tabs>
          <w:tab w:pos="304" w:val="left" w:leader="none"/>
        </w:tabs>
        <w:spacing w:line="357" w:lineRule="auto" w:before="0" w:after="0"/>
        <w:ind w:left="102" w:right="122" w:firstLine="0"/>
        <w:jc w:val="both"/>
        <w:rPr>
          <w:sz w:val="22"/>
        </w:rPr>
      </w:pPr>
      <w:r>
        <w:rPr>
          <w:sz w:val="22"/>
        </w:rPr>
        <w:t>Concertar con las organizaciones existentes, su participación en la solución de la problemática, respetando los principios que las</w:t>
      </w:r>
      <w:r>
        <w:rPr>
          <w:spacing w:val="-10"/>
          <w:sz w:val="22"/>
        </w:rPr>
        <w:t> </w:t>
      </w:r>
      <w:r>
        <w:rPr>
          <w:sz w:val="22"/>
        </w:rPr>
        <w:t>conforman.</w:t>
      </w:r>
    </w:p>
    <w:p>
      <w:pPr>
        <w:pStyle w:val="BodyText"/>
        <w:spacing w:before="11"/>
        <w:rPr>
          <w:sz w:val="24"/>
        </w:rPr>
      </w:pPr>
    </w:p>
    <w:p>
      <w:pPr>
        <w:pStyle w:val="ListParagraph"/>
        <w:numPr>
          <w:ilvl w:val="0"/>
          <w:numId w:val="30"/>
        </w:numPr>
        <w:tabs>
          <w:tab w:pos="326" w:val="left" w:leader="none"/>
        </w:tabs>
        <w:spacing w:line="360" w:lineRule="auto" w:before="0" w:after="0"/>
        <w:ind w:left="102" w:right="118" w:firstLine="0"/>
        <w:jc w:val="both"/>
        <w:rPr>
          <w:sz w:val="22"/>
        </w:rPr>
      </w:pPr>
      <w:r>
        <w:rPr>
          <w:sz w:val="22"/>
        </w:rPr>
        <w:t>Cumplir con los compromisos contraídos para no defraudar la confianza de las organizaciones. La confianza es lo más difícil de obtener pero lo más fácil de</w:t>
      </w:r>
      <w:r>
        <w:rPr>
          <w:spacing w:val="-22"/>
          <w:sz w:val="22"/>
        </w:rPr>
        <w:t> </w:t>
      </w:r>
      <w:r>
        <w:rPr>
          <w:sz w:val="22"/>
        </w:rPr>
        <w:t>perder.</w:t>
      </w:r>
    </w:p>
    <w:p>
      <w:pPr>
        <w:pStyle w:val="BodyText"/>
        <w:spacing w:before="8"/>
        <w:rPr>
          <w:sz w:val="24"/>
        </w:rPr>
      </w:pPr>
    </w:p>
    <w:p>
      <w:pPr>
        <w:pStyle w:val="BodyText"/>
        <w:spacing w:line="360" w:lineRule="auto"/>
        <w:ind w:left="102" w:right="116"/>
        <w:jc w:val="both"/>
      </w:pPr>
      <w:r>
        <w:rPr/>
        <w:t>De ahí la importancia de promover y organizar a la población para fortalecer nuestro sistema democrático, como elemento fundamental e indispensable en la comunidad. Con la participación social se establece una relación más estrecha entre los vecinos y las autoridades municipales, locales y federales para que la solución de las demandas y</w:t>
      </w:r>
    </w:p>
    <w:p>
      <w:pPr>
        <w:spacing w:after="0" w:line="360" w:lineRule="auto"/>
        <w:jc w:val="both"/>
        <w:sectPr>
          <w:pgSz w:w="12240" w:h="15840"/>
          <w:pgMar w:header="0" w:footer="1003" w:top="1360" w:bottom="1200" w:left="1600" w:right="1580"/>
        </w:sectPr>
      </w:pPr>
    </w:p>
    <w:p>
      <w:pPr>
        <w:pStyle w:val="BodyText"/>
        <w:spacing w:line="360" w:lineRule="auto" w:before="56"/>
        <w:ind w:left="102" w:right="117"/>
        <w:jc w:val="both"/>
      </w:pPr>
      <w:r>
        <w:rPr/>
        <w:t>necesidades sean acordes a la realidad social, logrando así, un gran ahorro en recursos financieros, humanos y materiales. Con su colaboración, la comunidad se hace responsable de su propio desarrollo y se origina una nueva actitud ante las autoridades, al no esperar a que éstas atiendan sus problemas, sino que la población mediante su participación colectiva procure resolver aquéllos que están dentro de sus posibilidades, tratando en todo caso de asegurar el bienestar general.</w:t>
      </w:r>
    </w:p>
    <w:p>
      <w:pPr>
        <w:pStyle w:val="BodyText"/>
        <w:spacing w:before="10"/>
        <w:rPr>
          <w:sz w:val="24"/>
        </w:rPr>
      </w:pPr>
    </w:p>
    <w:p>
      <w:pPr>
        <w:pStyle w:val="BodyText"/>
        <w:spacing w:line="360" w:lineRule="auto"/>
        <w:ind w:left="102" w:right="115"/>
        <w:jc w:val="both"/>
      </w:pPr>
      <w:r>
        <w:rPr/>
        <w:t>La participación comunitaria o regional es la organización racional y consciente de las personas que habitan la comunidad o región, con el propósito de proponer las iniciativas que satisfagan sus necesidades; definir intereses y valores comunes; colaborar en la realización de obras y prestación de servicios públicos; conocer sus responsabilidades como miembros de la comunidad o región.</w:t>
      </w:r>
    </w:p>
    <w:p>
      <w:pPr>
        <w:pStyle w:val="BodyText"/>
        <w:spacing w:before="8"/>
        <w:rPr>
          <w:sz w:val="24"/>
        </w:rPr>
      </w:pPr>
    </w:p>
    <w:p>
      <w:pPr>
        <w:spacing w:line="360" w:lineRule="auto" w:before="0"/>
        <w:ind w:left="102" w:right="118" w:firstLine="0"/>
        <w:jc w:val="both"/>
        <w:rPr>
          <w:i/>
          <w:sz w:val="22"/>
        </w:rPr>
      </w:pPr>
      <w:r>
        <w:rPr>
          <w:i/>
          <w:sz w:val="22"/>
        </w:rPr>
        <w:t>Los requisitos que la participación comunitaria o regional debe considerar para el logro de </w:t>
      </w:r>
      <w:r>
        <w:rPr>
          <w:i/>
          <w:sz w:val="22"/>
        </w:rPr>
        <w:t>sus objetivos, entre otros son:</w:t>
      </w:r>
    </w:p>
    <w:p>
      <w:pPr>
        <w:pStyle w:val="BodyText"/>
        <w:spacing w:before="3"/>
        <w:rPr>
          <w:i/>
          <w:sz w:val="24"/>
        </w:rPr>
      </w:pPr>
    </w:p>
    <w:p>
      <w:pPr>
        <w:pStyle w:val="ListParagraph"/>
        <w:numPr>
          <w:ilvl w:val="0"/>
          <w:numId w:val="31"/>
        </w:numPr>
        <w:tabs>
          <w:tab w:pos="242" w:val="left" w:leader="none"/>
        </w:tabs>
        <w:spacing w:line="240" w:lineRule="auto" w:before="0" w:after="0"/>
        <w:ind w:left="241" w:right="0" w:hanging="139"/>
        <w:jc w:val="both"/>
        <w:rPr>
          <w:sz w:val="22"/>
        </w:rPr>
      </w:pPr>
      <w:r>
        <w:rPr>
          <w:sz w:val="22"/>
        </w:rPr>
        <w:t>Cumplir con las responsabilidades y obligaciones ante la</w:t>
      </w:r>
      <w:r>
        <w:rPr>
          <w:spacing w:val="-22"/>
          <w:sz w:val="22"/>
        </w:rPr>
        <w:t> </w:t>
      </w:r>
      <w:r>
        <w:rPr>
          <w:sz w:val="22"/>
        </w:rPr>
        <w:t>comunidad.</w:t>
      </w:r>
    </w:p>
    <w:p>
      <w:pPr>
        <w:pStyle w:val="BodyText"/>
      </w:pPr>
    </w:p>
    <w:p>
      <w:pPr>
        <w:pStyle w:val="ListParagraph"/>
        <w:numPr>
          <w:ilvl w:val="0"/>
          <w:numId w:val="31"/>
        </w:numPr>
        <w:tabs>
          <w:tab w:pos="242" w:val="left" w:leader="none"/>
        </w:tabs>
        <w:spacing w:line="240" w:lineRule="auto" w:before="154" w:after="0"/>
        <w:ind w:left="241" w:right="0" w:hanging="139"/>
        <w:jc w:val="both"/>
        <w:rPr>
          <w:sz w:val="22"/>
        </w:rPr>
      </w:pPr>
      <w:r>
        <w:rPr>
          <w:sz w:val="22"/>
        </w:rPr>
        <w:t>Conocer a fondo el problema a resolver y las ventajas que se van a</w:t>
      </w:r>
      <w:r>
        <w:rPr>
          <w:spacing w:val="-21"/>
          <w:sz w:val="22"/>
        </w:rPr>
        <w:t> </w:t>
      </w:r>
      <w:r>
        <w:rPr>
          <w:sz w:val="22"/>
        </w:rPr>
        <w:t>lograr.</w:t>
      </w:r>
    </w:p>
    <w:p>
      <w:pPr>
        <w:pStyle w:val="BodyText"/>
      </w:pPr>
    </w:p>
    <w:p>
      <w:pPr>
        <w:pStyle w:val="ListParagraph"/>
        <w:numPr>
          <w:ilvl w:val="0"/>
          <w:numId w:val="31"/>
        </w:numPr>
        <w:tabs>
          <w:tab w:pos="242" w:val="left" w:leader="none"/>
        </w:tabs>
        <w:spacing w:line="240" w:lineRule="auto" w:before="154" w:after="0"/>
        <w:ind w:left="241" w:right="0" w:hanging="139"/>
        <w:jc w:val="both"/>
        <w:rPr>
          <w:sz w:val="22"/>
        </w:rPr>
      </w:pPr>
      <w:r>
        <w:rPr>
          <w:sz w:val="22"/>
        </w:rPr>
        <w:t>Unificar a los habitantes ante los problemas</w:t>
      </w:r>
      <w:r>
        <w:rPr>
          <w:spacing w:val="-18"/>
          <w:sz w:val="22"/>
        </w:rPr>
        <w:t> </w:t>
      </w:r>
      <w:r>
        <w:rPr>
          <w:sz w:val="22"/>
        </w:rPr>
        <w:t>comunes.</w:t>
      </w:r>
    </w:p>
    <w:p>
      <w:pPr>
        <w:pStyle w:val="BodyText"/>
      </w:pPr>
    </w:p>
    <w:p>
      <w:pPr>
        <w:pStyle w:val="ListParagraph"/>
        <w:numPr>
          <w:ilvl w:val="0"/>
          <w:numId w:val="31"/>
        </w:numPr>
        <w:tabs>
          <w:tab w:pos="242" w:val="left" w:leader="none"/>
        </w:tabs>
        <w:spacing w:line="240" w:lineRule="auto" w:before="154" w:after="0"/>
        <w:ind w:left="241" w:right="0" w:hanging="139"/>
        <w:jc w:val="both"/>
        <w:rPr>
          <w:sz w:val="22"/>
        </w:rPr>
      </w:pPr>
      <w:r>
        <w:rPr>
          <w:sz w:val="22"/>
        </w:rPr>
        <w:t>Distribuir equitativamente el trabajo y los</w:t>
      </w:r>
      <w:r>
        <w:rPr>
          <w:spacing w:val="-23"/>
          <w:sz w:val="22"/>
        </w:rPr>
        <w:t> </w:t>
      </w:r>
      <w:r>
        <w:rPr>
          <w:sz w:val="22"/>
        </w:rPr>
        <w:t>beneficios.</w:t>
      </w:r>
    </w:p>
    <w:p>
      <w:pPr>
        <w:pStyle w:val="BodyText"/>
      </w:pPr>
    </w:p>
    <w:p>
      <w:pPr>
        <w:pStyle w:val="ListParagraph"/>
        <w:numPr>
          <w:ilvl w:val="0"/>
          <w:numId w:val="31"/>
        </w:numPr>
        <w:tabs>
          <w:tab w:pos="242" w:val="left" w:leader="none"/>
        </w:tabs>
        <w:spacing w:line="240" w:lineRule="auto" w:before="151" w:after="0"/>
        <w:ind w:left="241" w:right="0" w:hanging="139"/>
        <w:jc w:val="both"/>
        <w:rPr>
          <w:sz w:val="22"/>
        </w:rPr>
      </w:pPr>
      <w:r>
        <w:rPr>
          <w:sz w:val="22"/>
        </w:rPr>
        <w:t>Promover la participación de la mayoría de la</w:t>
      </w:r>
      <w:r>
        <w:rPr>
          <w:spacing w:val="-17"/>
          <w:sz w:val="22"/>
        </w:rPr>
        <w:t> </w:t>
      </w:r>
      <w:r>
        <w:rPr>
          <w:sz w:val="22"/>
        </w:rPr>
        <w:t>comunidad.</w:t>
      </w:r>
    </w:p>
    <w:p>
      <w:pPr>
        <w:pStyle w:val="BodyText"/>
      </w:pPr>
    </w:p>
    <w:p>
      <w:pPr>
        <w:pStyle w:val="ListParagraph"/>
        <w:numPr>
          <w:ilvl w:val="0"/>
          <w:numId w:val="31"/>
        </w:numPr>
        <w:tabs>
          <w:tab w:pos="242" w:val="left" w:leader="none"/>
        </w:tabs>
        <w:spacing w:line="240" w:lineRule="auto" w:before="154" w:after="0"/>
        <w:ind w:left="241" w:right="0" w:hanging="139"/>
        <w:jc w:val="both"/>
        <w:rPr>
          <w:sz w:val="22"/>
        </w:rPr>
      </w:pPr>
      <w:r>
        <w:rPr>
          <w:sz w:val="22"/>
        </w:rPr>
        <w:t>Mantenerse en constante comunicación con las</w:t>
      </w:r>
      <w:r>
        <w:rPr>
          <w:spacing w:val="-10"/>
          <w:sz w:val="22"/>
        </w:rPr>
        <w:t> </w:t>
      </w:r>
      <w:r>
        <w:rPr>
          <w:sz w:val="22"/>
        </w:rPr>
        <w:t>autoridades.</w:t>
      </w:r>
    </w:p>
    <w:p>
      <w:pPr>
        <w:pStyle w:val="BodyText"/>
      </w:pPr>
    </w:p>
    <w:p>
      <w:pPr>
        <w:pStyle w:val="BodyText"/>
        <w:spacing w:line="360" w:lineRule="auto" w:before="159"/>
        <w:ind w:left="102" w:right="120"/>
        <w:jc w:val="both"/>
      </w:pPr>
      <w:r>
        <w:rPr/>
        <w:t>En México la participación social y comunitaria ha encontrado siempre una expresión continua de trabajo solidario y comprometido. Históricamente en las localidades se mantiene una rica tradición de las labores en grupo cuyo beneficio es para la comunidad.</w:t>
      </w:r>
    </w:p>
    <w:p>
      <w:pPr>
        <w:pStyle w:val="BodyText"/>
        <w:spacing w:before="10"/>
        <w:rPr>
          <w:sz w:val="24"/>
        </w:rPr>
      </w:pPr>
    </w:p>
    <w:p>
      <w:pPr>
        <w:pStyle w:val="BodyText"/>
        <w:spacing w:line="360" w:lineRule="auto"/>
        <w:ind w:left="102" w:right="117"/>
        <w:jc w:val="both"/>
      </w:pPr>
      <w:r>
        <w:rPr/>
        <w:t>La participación social y comunitaria debe ser considerada dentro de las políticas públicas de gobierno como la forma más viable para responder a las necesidades, por lo que las autoridades municipales, estatales y federales deben de tomar en cuenta que compartir el poder con los ciudadanos no es perderlo sino  ganar en gobernabilidad, lo que garantiza  el  desarrollo  integral  del  municipio.  La  participación   ciudadana  genera    </w:t>
      </w:r>
      <w:r>
        <w:rPr>
          <w:spacing w:val="36"/>
        </w:rPr>
        <w:t> </w:t>
      </w:r>
      <w:r>
        <w:rPr/>
        <w:t>consensos,</w:t>
      </w:r>
    </w:p>
    <w:p>
      <w:pPr>
        <w:spacing w:after="0" w:line="360" w:lineRule="auto"/>
        <w:jc w:val="both"/>
        <w:sectPr>
          <w:footerReference w:type="default" r:id="rId29"/>
          <w:pgSz w:w="12240" w:h="15840"/>
          <w:pgMar w:footer="1003" w:header="0" w:top="1360" w:bottom="1200" w:left="1600" w:right="1580"/>
        </w:sectPr>
      </w:pPr>
    </w:p>
    <w:p>
      <w:pPr>
        <w:pStyle w:val="BodyText"/>
        <w:spacing w:line="357" w:lineRule="auto" w:before="56"/>
        <w:ind w:left="102" w:right="117"/>
        <w:jc w:val="both"/>
      </w:pPr>
      <w:r>
        <w:rPr/>
        <w:t>elabora propuestas y contribuye en la toma de decisiones para alcanzar el bienestar social.</w:t>
      </w:r>
    </w:p>
    <w:p>
      <w:pPr>
        <w:pStyle w:val="BodyText"/>
        <w:spacing w:before="1"/>
        <w:rPr>
          <w:sz w:val="25"/>
        </w:rPr>
      </w:pPr>
    </w:p>
    <w:p>
      <w:pPr>
        <w:pStyle w:val="BodyText"/>
        <w:spacing w:line="360" w:lineRule="auto"/>
        <w:ind w:left="102" w:right="115"/>
        <w:jc w:val="both"/>
      </w:pPr>
      <w:r>
        <w:rPr/>
        <w:t>La participación social juega una función educadora, desarrolla la conciencia cívica de los vecinos, refuerza los lazos de solidaridad y hace más comprensible la noción de interés general, permite que los individuos y grupos más activos intervengan en la gestión pública municipal; la participación es a la vez, un medio y un objetivo democrático, que reconoce el derecho de intervención de todos los ciudadanos, produce conocimientos, nuevas modalidades de acción  y persigue fines igualitarios para la</w:t>
      </w:r>
      <w:r>
        <w:rPr>
          <w:spacing w:val="-19"/>
        </w:rPr>
        <w:t> </w:t>
      </w:r>
      <w:r>
        <w:rPr/>
        <w:t>sociedad.</w:t>
      </w:r>
    </w:p>
    <w:p>
      <w:pPr>
        <w:pStyle w:val="BodyText"/>
        <w:spacing w:before="11"/>
        <w:rPr>
          <w:sz w:val="24"/>
        </w:rPr>
      </w:pPr>
    </w:p>
    <w:p>
      <w:pPr>
        <w:pStyle w:val="BodyText"/>
        <w:spacing w:line="357" w:lineRule="auto"/>
        <w:ind w:left="102" w:right="120"/>
        <w:jc w:val="both"/>
      </w:pPr>
      <w:r>
        <w:rPr/>
        <w:t>Es expresión y defensa de la sociedad y cumple una función de crítica a la posible particularización de los asuntos públicos.</w:t>
      </w:r>
    </w:p>
    <w:p>
      <w:pPr>
        <w:pStyle w:val="BodyText"/>
        <w:spacing w:before="1"/>
        <w:rPr>
          <w:sz w:val="25"/>
        </w:rPr>
      </w:pPr>
    </w:p>
    <w:p>
      <w:pPr>
        <w:pStyle w:val="BodyText"/>
        <w:spacing w:line="360" w:lineRule="auto"/>
        <w:ind w:left="102" w:right="114"/>
        <w:jc w:val="both"/>
      </w:pPr>
      <w:r>
        <w:rPr/>
        <w:t>La participación social permite establecer una identificación entre necesidades y soluciones a los problemas que se enfrentan, el aprovechamiento mejor de los recursos de la comunidad; responsabiliza y compromete a los ciudadanos, desterrando el paternalismo e interesándolos en el mantenimiento de las obras construidas con su propio esfuerzo, favoreciendo el desarrollo individual y</w:t>
      </w:r>
      <w:r>
        <w:rPr>
          <w:spacing w:val="-14"/>
        </w:rPr>
        <w:t> </w:t>
      </w:r>
      <w:r>
        <w:rPr/>
        <w:t>comunitario.</w:t>
      </w:r>
    </w:p>
    <w:p>
      <w:pPr>
        <w:pStyle w:val="BodyText"/>
        <w:spacing w:before="10"/>
        <w:rPr>
          <w:sz w:val="24"/>
        </w:rPr>
      </w:pPr>
    </w:p>
    <w:p>
      <w:pPr>
        <w:pStyle w:val="BodyText"/>
        <w:spacing w:line="357" w:lineRule="auto" w:before="1"/>
        <w:ind w:left="102" w:right="123"/>
        <w:jc w:val="both"/>
      </w:pPr>
      <w:r>
        <w:rPr/>
        <w:t>Para acceder a una efectiva gestión en beneficio de la comunidad; la autoridad auxiliar ha de definir programas, objetivos, metas, acciones y alcances de la participación social.</w:t>
      </w:r>
    </w:p>
    <w:p>
      <w:pPr>
        <w:pStyle w:val="BodyText"/>
        <w:spacing w:before="1"/>
        <w:rPr>
          <w:sz w:val="25"/>
        </w:rPr>
      </w:pPr>
    </w:p>
    <w:p>
      <w:pPr>
        <w:pStyle w:val="BodyText"/>
        <w:spacing w:line="357" w:lineRule="auto"/>
        <w:ind w:left="102" w:right="117"/>
        <w:jc w:val="both"/>
      </w:pPr>
      <w:r>
        <w:rPr/>
        <w:t>Si este proceso de relaciones y comunicación entre autoridades y comunidad se lleva a cabo en forma adecuada, los resultados serán satisfactorios, en consecuencia las autoridades estarán actuando acorde a la solución de las necesidades de la comunidad.</w:t>
      </w:r>
    </w:p>
    <w:p>
      <w:pPr>
        <w:pStyle w:val="BodyText"/>
        <w:spacing w:before="1"/>
        <w:rPr>
          <w:sz w:val="25"/>
        </w:rPr>
      </w:pPr>
    </w:p>
    <w:p>
      <w:pPr>
        <w:pStyle w:val="BodyText"/>
        <w:spacing w:line="360" w:lineRule="auto"/>
        <w:ind w:left="102" w:right="115"/>
        <w:jc w:val="both"/>
      </w:pPr>
      <w:r>
        <w:rPr/>
        <w:t>La característica central de una sociedad es constituir una colectividad organizada de individuos que actúan recíprocamente, y cuyas actividades se encuentran alrededor de objetivos comunes, compartiendo creencias y conductas colectivas; cada sociedad tiene varios grupos y organizaciones, en las cuales el individuo crece y evoluciona.</w:t>
      </w:r>
    </w:p>
    <w:p>
      <w:pPr>
        <w:pStyle w:val="BodyText"/>
        <w:spacing w:before="10"/>
        <w:rPr>
          <w:sz w:val="24"/>
        </w:rPr>
      </w:pPr>
    </w:p>
    <w:p>
      <w:pPr>
        <w:pStyle w:val="BodyText"/>
        <w:spacing w:line="357" w:lineRule="auto"/>
        <w:ind w:left="102" w:right="112"/>
        <w:jc w:val="both"/>
      </w:pPr>
      <w:r>
        <w:rPr/>
        <w:t>Una organización social es un sistema integrado de grupos relacionados entre sí, estructurados para cumplir con el objetivo previamente establecido, así, los miembros que lo integran se comportan de acuerdo a la estructura formal.</w:t>
      </w:r>
    </w:p>
    <w:p>
      <w:pPr>
        <w:spacing w:after="0" w:line="357" w:lineRule="auto"/>
        <w:jc w:val="both"/>
        <w:sectPr>
          <w:footerReference w:type="default" r:id="rId30"/>
          <w:pgSz w:w="12240" w:h="15840"/>
          <w:pgMar w:footer="1003" w:header="0" w:top="1360" w:bottom="1200" w:left="1600" w:right="1580"/>
          <w:pgNumType w:start="81"/>
        </w:sectPr>
      </w:pPr>
    </w:p>
    <w:p>
      <w:pPr>
        <w:pStyle w:val="BodyText"/>
        <w:spacing w:line="360" w:lineRule="auto" w:before="56"/>
        <w:ind w:left="102" w:right="112"/>
        <w:jc w:val="both"/>
      </w:pPr>
      <w:r>
        <w:rPr/>
        <w:t>Para promover la participación ciudadana y crear las condiciones para su pleno  desarrollo, es indispensable que las autoridades gubernamentales estén en contacto con los grupos comunitarios, que exista un intercambio de ideas y experiencias, ya que los círculos participativos representan una importante fuente, innovadora y creativa, en la estructura social; que aportan soluciones a los asuntos que atañen a su localidad, debido a que el espacio de lo público ha dejado de ser un espacio del gobierno para ser un espacio de</w:t>
      </w:r>
      <w:r>
        <w:rPr>
          <w:spacing w:val="-1"/>
        </w:rPr>
        <w:t> </w:t>
      </w:r>
      <w:r>
        <w:rPr/>
        <w:t>todos.</w:t>
      </w:r>
    </w:p>
    <w:p>
      <w:pPr>
        <w:pStyle w:val="BodyText"/>
        <w:spacing w:before="8"/>
        <w:rPr>
          <w:sz w:val="24"/>
        </w:rPr>
      </w:pPr>
    </w:p>
    <w:p>
      <w:pPr>
        <w:pStyle w:val="BodyText"/>
        <w:spacing w:line="360" w:lineRule="auto"/>
        <w:ind w:left="102" w:right="117"/>
        <w:jc w:val="both"/>
      </w:pPr>
      <w:r>
        <w:rPr/>
        <w:t>Existen ciertos mecanismos de interacción social que permiten establecer un diálogo permanente entre autoridades y comunidad, en donde se manifiestan las inquietudes y necesidades de la comunidad; y permiten obtener mayores resultados, para la participación social, estos mecanismos son:</w:t>
      </w:r>
    </w:p>
    <w:p>
      <w:pPr>
        <w:pStyle w:val="BodyText"/>
        <w:spacing w:before="5"/>
        <w:rPr>
          <w:sz w:val="24"/>
        </w:rPr>
      </w:pPr>
    </w:p>
    <w:p>
      <w:pPr>
        <w:pStyle w:val="ListParagraph"/>
        <w:numPr>
          <w:ilvl w:val="0"/>
          <w:numId w:val="32"/>
        </w:numPr>
        <w:tabs>
          <w:tab w:pos="241" w:val="left" w:leader="none"/>
        </w:tabs>
        <w:spacing w:line="240" w:lineRule="auto" w:before="0" w:after="0"/>
        <w:ind w:left="102" w:right="0" w:firstLine="0"/>
        <w:jc w:val="both"/>
        <w:rPr>
          <w:sz w:val="22"/>
        </w:rPr>
      </w:pPr>
      <w:r>
        <w:rPr>
          <w:sz w:val="22"/>
        </w:rPr>
        <w:t>Respetar las formas y canales de comunicación propios de la</w:t>
      </w:r>
      <w:r>
        <w:rPr>
          <w:spacing w:val="-16"/>
          <w:sz w:val="22"/>
        </w:rPr>
        <w:t> </w:t>
      </w:r>
      <w:r>
        <w:rPr>
          <w:sz w:val="22"/>
        </w:rPr>
        <w:t>comunidad</w:t>
      </w:r>
    </w:p>
    <w:p>
      <w:pPr>
        <w:pStyle w:val="BodyText"/>
      </w:pPr>
    </w:p>
    <w:p>
      <w:pPr>
        <w:pStyle w:val="ListParagraph"/>
        <w:numPr>
          <w:ilvl w:val="0"/>
          <w:numId w:val="32"/>
        </w:numPr>
        <w:tabs>
          <w:tab w:pos="241" w:val="left" w:leader="none"/>
        </w:tabs>
        <w:spacing w:line="240" w:lineRule="auto" w:before="154" w:after="0"/>
        <w:ind w:left="240" w:right="0" w:hanging="138"/>
        <w:jc w:val="both"/>
        <w:rPr>
          <w:sz w:val="22"/>
        </w:rPr>
      </w:pPr>
      <w:r>
        <w:rPr>
          <w:sz w:val="22"/>
        </w:rPr>
        <w:t>Mantener un ambiente de confianza, respetando tradiciones, valores y</w:t>
      </w:r>
      <w:r>
        <w:rPr>
          <w:spacing w:val="-21"/>
          <w:sz w:val="22"/>
        </w:rPr>
        <w:t> </w:t>
      </w:r>
      <w:r>
        <w:rPr>
          <w:sz w:val="22"/>
        </w:rPr>
        <w:t>costumbres.</w:t>
      </w:r>
    </w:p>
    <w:p>
      <w:pPr>
        <w:pStyle w:val="BodyText"/>
      </w:pPr>
    </w:p>
    <w:p>
      <w:pPr>
        <w:pStyle w:val="ListParagraph"/>
        <w:numPr>
          <w:ilvl w:val="0"/>
          <w:numId w:val="32"/>
        </w:numPr>
        <w:tabs>
          <w:tab w:pos="241" w:val="left" w:leader="none"/>
        </w:tabs>
        <w:spacing w:line="240" w:lineRule="auto" w:before="154" w:after="0"/>
        <w:ind w:left="240" w:right="0" w:hanging="138"/>
        <w:jc w:val="both"/>
        <w:rPr>
          <w:sz w:val="22"/>
        </w:rPr>
      </w:pPr>
      <w:r>
        <w:rPr>
          <w:sz w:val="22"/>
        </w:rPr>
        <w:t>Establecer contacto con los líderes formales e</w:t>
      </w:r>
      <w:r>
        <w:rPr>
          <w:spacing w:val="-13"/>
          <w:sz w:val="22"/>
        </w:rPr>
        <w:t> </w:t>
      </w:r>
      <w:r>
        <w:rPr>
          <w:sz w:val="22"/>
        </w:rPr>
        <w:t>informarles.</w:t>
      </w:r>
    </w:p>
    <w:p>
      <w:pPr>
        <w:pStyle w:val="BodyText"/>
      </w:pPr>
    </w:p>
    <w:p>
      <w:pPr>
        <w:pStyle w:val="ListParagraph"/>
        <w:numPr>
          <w:ilvl w:val="0"/>
          <w:numId w:val="32"/>
        </w:numPr>
        <w:tabs>
          <w:tab w:pos="241" w:val="left" w:leader="none"/>
        </w:tabs>
        <w:spacing w:line="240" w:lineRule="auto" w:before="154" w:after="0"/>
        <w:ind w:left="240" w:right="0" w:hanging="138"/>
        <w:jc w:val="both"/>
        <w:rPr>
          <w:sz w:val="22"/>
        </w:rPr>
      </w:pPr>
      <w:r>
        <w:rPr>
          <w:sz w:val="22"/>
        </w:rPr>
        <w:t>Elaborar los mensajes con un lenguaje sencillo y</w:t>
      </w:r>
      <w:r>
        <w:rPr>
          <w:spacing w:val="-17"/>
          <w:sz w:val="22"/>
        </w:rPr>
        <w:t> </w:t>
      </w:r>
      <w:r>
        <w:rPr>
          <w:sz w:val="22"/>
        </w:rPr>
        <w:t>comprensible.</w:t>
      </w:r>
    </w:p>
    <w:p>
      <w:pPr>
        <w:pStyle w:val="BodyText"/>
      </w:pPr>
    </w:p>
    <w:p>
      <w:pPr>
        <w:pStyle w:val="ListParagraph"/>
        <w:numPr>
          <w:ilvl w:val="0"/>
          <w:numId w:val="32"/>
        </w:numPr>
        <w:tabs>
          <w:tab w:pos="241" w:val="left" w:leader="none"/>
        </w:tabs>
        <w:spacing w:line="240" w:lineRule="auto" w:before="154" w:after="0"/>
        <w:ind w:left="240" w:right="0" w:hanging="138"/>
        <w:jc w:val="both"/>
        <w:rPr>
          <w:sz w:val="22"/>
        </w:rPr>
      </w:pPr>
      <w:r>
        <w:rPr>
          <w:sz w:val="22"/>
        </w:rPr>
        <w:t>Realizar campañas, consultas públicas y asambleas</w:t>
      </w:r>
      <w:r>
        <w:rPr>
          <w:spacing w:val="-14"/>
          <w:sz w:val="22"/>
        </w:rPr>
        <w:t> </w:t>
      </w:r>
      <w:r>
        <w:rPr>
          <w:sz w:val="22"/>
        </w:rPr>
        <w:t>informativas.</w:t>
      </w:r>
    </w:p>
    <w:p>
      <w:pPr>
        <w:pStyle w:val="BodyText"/>
      </w:pPr>
    </w:p>
    <w:p>
      <w:pPr>
        <w:pStyle w:val="ListParagraph"/>
        <w:numPr>
          <w:ilvl w:val="0"/>
          <w:numId w:val="32"/>
        </w:numPr>
        <w:tabs>
          <w:tab w:pos="241" w:val="left" w:leader="none"/>
        </w:tabs>
        <w:spacing w:line="240" w:lineRule="auto" w:before="151" w:after="0"/>
        <w:ind w:left="240" w:right="0" w:hanging="138"/>
        <w:jc w:val="both"/>
        <w:rPr>
          <w:sz w:val="22"/>
        </w:rPr>
      </w:pPr>
      <w:r>
        <w:rPr>
          <w:sz w:val="22"/>
        </w:rPr>
        <w:t>Crear un área administrativa exclusiva de promoción</w:t>
      </w:r>
      <w:r>
        <w:rPr>
          <w:spacing w:val="-13"/>
          <w:sz w:val="22"/>
        </w:rPr>
        <w:t> </w:t>
      </w:r>
      <w:r>
        <w:rPr>
          <w:sz w:val="22"/>
        </w:rPr>
        <w:t>social.</w:t>
      </w:r>
    </w:p>
    <w:p>
      <w:pPr>
        <w:pStyle w:val="BodyText"/>
      </w:pPr>
    </w:p>
    <w:p>
      <w:pPr>
        <w:pStyle w:val="ListParagraph"/>
        <w:numPr>
          <w:ilvl w:val="0"/>
          <w:numId w:val="32"/>
        </w:numPr>
        <w:tabs>
          <w:tab w:pos="241" w:val="left" w:leader="none"/>
        </w:tabs>
        <w:spacing w:line="240" w:lineRule="auto" w:before="154" w:after="0"/>
        <w:ind w:left="240" w:right="0" w:hanging="138"/>
        <w:jc w:val="both"/>
        <w:rPr>
          <w:sz w:val="22"/>
        </w:rPr>
      </w:pPr>
      <w:r>
        <w:rPr>
          <w:sz w:val="22"/>
        </w:rPr>
        <w:t>Establecer módulos de información a la</w:t>
      </w:r>
      <w:r>
        <w:rPr>
          <w:spacing w:val="-15"/>
          <w:sz w:val="22"/>
        </w:rPr>
        <w:t> </w:t>
      </w:r>
      <w:r>
        <w:rPr>
          <w:sz w:val="22"/>
        </w:rPr>
        <w:t>ciudadanía.</w:t>
      </w:r>
    </w:p>
    <w:p>
      <w:pPr>
        <w:pStyle w:val="BodyText"/>
      </w:pPr>
    </w:p>
    <w:p>
      <w:pPr>
        <w:pStyle w:val="ListParagraph"/>
        <w:numPr>
          <w:ilvl w:val="0"/>
          <w:numId w:val="32"/>
        </w:numPr>
        <w:tabs>
          <w:tab w:pos="266" w:val="left" w:leader="none"/>
        </w:tabs>
        <w:spacing w:line="240" w:lineRule="auto" w:before="156" w:after="0"/>
        <w:ind w:left="265" w:right="0" w:hanging="163"/>
        <w:jc w:val="both"/>
        <w:rPr>
          <w:sz w:val="22"/>
        </w:rPr>
      </w:pPr>
      <w:r>
        <w:rPr>
          <w:sz w:val="22"/>
        </w:rPr>
        <w:t>Mantener</w:t>
      </w:r>
      <w:r>
        <w:rPr>
          <w:spacing w:val="21"/>
          <w:sz w:val="22"/>
        </w:rPr>
        <w:t> </w:t>
      </w:r>
      <w:r>
        <w:rPr>
          <w:sz w:val="22"/>
        </w:rPr>
        <w:t>informada</w:t>
      </w:r>
      <w:r>
        <w:rPr>
          <w:spacing w:val="20"/>
          <w:sz w:val="22"/>
        </w:rPr>
        <w:t> </w:t>
      </w:r>
      <w:r>
        <w:rPr>
          <w:sz w:val="22"/>
        </w:rPr>
        <w:t>a</w:t>
      </w:r>
      <w:r>
        <w:rPr>
          <w:spacing w:val="17"/>
          <w:sz w:val="22"/>
        </w:rPr>
        <w:t> </w:t>
      </w:r>
      <w:r>
        <w:rPr>
          <w:sz w:val="22"/>
        </w:rPr>
        <w:t>la</w:t>
      </w:r>
      <w:r>
        <w:rPr>
          <w:spacing w:val="22"/>
          <w:sz w:val="22"/>
        </w:rPr>
        <w:t> </w:t>
      </w:r>
      <w:r>
        <w:rPr>
          <w:sz w:val="22"/>
        </w:rPr>
        <w:t>comunidad</w:t>
      </w:r>
      <w:r>
        <w:rPr>
          <w:spacing w:val="22"/>
          <w:sz w:val="22"/>
        </w:rPr>
        <w:t> </w:t>
      </w:r>
      <w:r>
        <w:rPr>
          <w:sz w:val="22"/>
        </w:rPr>
        <w:t>de</w:t>
      </w:r>
      <w:r>
        <w:rPr>
          <w:spacing w:val="19"/>
          <w:sz w:val="22"/>
        </w:rPr>
        <w:t> </w:t>
      </w:r>
      <w:r>
        <w:rPr>
          <w:sz w:val="22"/>
        </w:rPr>
        <w:t>las</w:t>
      </w:r>
      <w:r>
        <w:rPr>
          <w:spacing w:val="20"/>
          <w:sz w:val="22"/>
        </w:rPr>
        <w:t> </w:t>
      </w:r>
      <w:r>
        <w:rPr>
          <w:sz w:val="22"/>
        </w:rPr>
        <w:t>acciones</w:t>
      </w:r>
      <w:r>
        <w:rPr>
          <w:spacing w:val="22"/>
          <w:sz w:val="22"/>
        </w:rPr>
        <w:t> </w:t>
      </w:r>
      <w:r>
        <w:rPr>
          <w:sz w:val="22"/>
        </w:rPr>
        <w:t>realizadas</w:t>
      </w:r>
      <w:r>
        <w:rPr>
          <w:spacing w:val="22"/>
          <w:sz w:val="22"/>
        </w:rPr>
        <w:t> </w:t>
      </w:r>
      <w:r>
        <w:rPr>
          <w:sz w:val="22"/>
        </w:rPr>
        <w:t>conjuntamente</w:t>
      </w:r>
      <w:r>
        <w:rPr>
          <w:spacing w:val="20"/>
          <w:sz w:val="22"/>
        </w:rPr>
        <w:t> </w:t>
      </w:r>
      <w:r>
        <w:rPr>
          <w:sz w:val="22"/>
        </w:rPr>
        <w:t>con</w:t>
      </w:r>
      <w:r>
        <w:rPr>
          <w:spacing w:val="19"/>
          <w:sz w:val="22"/>
        </w:rPr>
        <w:t> </w:t>
      </w:r>
      <w:r>
        <w:rPr>
          <w:sz w:val="22"/>
        </w:rPr>
        <w:t>las</w:t>
      </w:r>
    </w:p>
    <w:p>
      <w:pPr>
        <w:pStyle w:val="BodyText"/>
        <w:spacing w:before="124"/>
        <w:ind w:left="102"/>
        <w:jc w:val="both"/>
      </w:pPr>
      <w:r>
        <w:rPr/>
        <w:t>autoridades.</w:t>
      </w:r>
    </w:p>
    <w:p>
      <w:pPr>
        <w:pStyle w:val="BodyText"/>
      </w:pPr>
    </w:p>
    <w:p>
      <w:pPr>
        <w:pStyle w:val="ListParagraph"/>
        <w:numPr>
          <w:ilvl w:val="0"/>
          <w:numId w:val="32"/>
        </w:numPr>
        <w:tabs>
          <w:tab w:pos="241" w:val="left" w:leader="none"/>
        </w:tabs>
        <w:spacing w:line="240" w:lineRule="auto" w:before="154" w:after="0"/>
        <w:ind w:left="240" w:right="0" w:hanging="138"/>
        <w:jc w:val="both"/>
        <w:rPr>
          <w:sz w:val="22"/>
        </w:rPr>
      </w:pPr>
      <w:r>
        <w:rPr>
          <w:sz w:val="22"/>
        </w:rPr>
        <w:t>Aclarar siempre que sea posible, las dudas que se</w:t>
      </w:r>
      <w:r>
        <w:rPr>
          <w:spacing w:val="-16"/>
          <w:sz w:val="22"/>
        </w:rPr>
        <w:t> </w:t>
      </w:r>
      <w:r>
        <w:rPr>
          <w:sz w:val="22"/>
        </w:rPr>
        <w:t>presenten.</w:t>
      </w:r>
    </w:p>
    <w:p>
      <w:pPr>
        <w:pStyle w:val="BodyText"/>
      </w:pPr>
    </w:p>
    <w:p>
      <w:pPr>
        <w:pStyle w:val="ListParagraph"/>
        <w:numPr>
          <w:ilvl w:val="0"/>
          <w:numId w:val="32"/>
        </w:numPr>
        <w:tabs>
          <w:tab w:pos="241" w:val="left" w:leader="none"/>
        </w:tabs>
        <w:spacing w:line="240" w:lineRule="auto" w:before="154" w:after="0"/>
        <w:ind w:left="240" w:right="0" w:hanging="138"/>
        <w:jc w:val="both"/>
        <w:rPr>
          <w:sz w:val="22"/>
        </w:rPr>
      </w:pPr>
      <w:r>
        <w:rPr>
          <w:sz w:val="22"/>
        </w:rPr>
        <w:t>Instalar periódicos murales en lugares</w:t>
      </w:r>
      <w:r>
        <w:rPr>
          <w:spacing w:val="-16"/>
          <w:sz w:val="22"/>
        </w:rPr>
        <w:t> </w:t>
      </w:r>
      <w:r>
        <w:rPr>
          <w:sz w:val="22"/>
        </w:rPr>
        <w:t>estratégicos.</w:t>
      </w:r>
    </w:p>
    <w:p>
      <w:pPr>
        <w:pStyle w:val="BodyText"/>
      </w:pPr>
    </w:p>
    <w:p>
      <w:pPr>
        <w:pStyle w:val="BodyText"/>
        <w:spacing w:line="360" w:lineRule="auto" w:before="154"/>
        <w:ind w:left="102" w:right="116"/>
        <w:jc w:val="both"/>
      </w:pPr>
      <w:r>
        <w:rPr/>
        <w:t>Los múltiples problemas que enfrentan las comunidades no se pueden solucionar totalmente con esfuerzos individuales o aislados, es recomendable la participación organizada y consciente de la comunidad. Para ello, las autoridades auxiliares tienen  que</w:t>
      </w:r>
    </w:p>
    <w:p>
      <w:pPr>
        <w:spacing w:after="0" w:line="360" w:lineRule="auto"/>
        <w:jc w:val="both"/>
        <w:sectPr>
          <w:pgSz w:w="12240" w:h="15840"/>
          <w:pgMar w:header="0" w:footer="1003" w:top="1360" w:bottom="1200" w:left="1600" w:right="1580"/>
        </w:sectPr>
      </w:pPr>
    </w:p>
    <w:p>
      <w:pPr>
        <w:pStyle w:val="BodyText"/>
        <w:spacing w:line="357" w:lineRule="auto" w:before="56"/>
        <w:ind w:left="102" w:right="118"/>
        <w:jc w:val="both"/>
      </w:pPr>
      <w:r>
        <w:rPr/>
        <w:t>darse a la tarea de promover la formación y organización de grupos y asociaciones de vecinos, para que participen en acciones específicas y así avanzar en el logro de los objetivos del desarrollo regional.</w:t>
      </w:r>
    </w:p>
    <w:p>
      <w:pPr>
        <w:pStyle w:val="BodyText"/>
        <w:spacing w:before="1"/>
        <w:rPr>
          <w:sz w:val="25"/>
        </w:rPr>
      </w:pPr>
    </w:p>
    <w:p>
      <w:pPr>
        <w:pStyle w:val="BodyText"/>
        <w:spacing w:line="360" w:lineRule="auto"/>
        <w:ind w:left="102" w:right="121"/>
        <w:jc w:val="both"/>
      </w:pPr>
      <w:r>
        <w:rPr/>
        <w:t>Para que la participación social sea útil a la comunidad o región y debe caracterizarse por ser:</w:t>
      </w:r>
    </w:p>
    <w:p>
      <w:pPr>
        <w:pStyle w:val="BodyText"/>
        <w:spacing w:line="360" w:lineRule="auto" w:before="3"/>
        <w:ind w:left="102" w:right="119"/>
        <w:jc w:val="both"/>
      </w:pPr>
      <w:r>
        <w:rPr>
          <w:i/>
        </w:rPr>
        <w:t>Organizada</w:t>
      </w:r>
      <w:r>
        <w:rPr/>
        <w:t>.- La participación social, para tener éxito en sus acciones, debe tener dentro de su organismo, armonía, orden, respeto, así como demostrar que es eficiente y formal en toda acción comprometida.</w:t>
      </w:r>
    </w:p>
    <w:p>
      <w:pPr>
        <w:pStyle w:val="BodyText"/>
        <w:spacing w:line="362" w:lineRule="auto" w:before="3"/>
        <w:ind w:left="102" w:right="119"/>
        <w:jc w:val="both"/>
      </w:pPr>
      <w:r>
        <w:rPr/>
        <w:t>La participación de la comunidad organizada siempre ha brindado apoyo a los programas concretos y de bienestar común.</w:t>
      </w:r>
    </w:p>
    <w:p>
      <w:pPr>
        <w:pStyle w:val="BodyText"/>
      </w:pPr>
    </w:p>
    <w:p>
      <w:pPr>
        <w:pStyle w:val="BodyText"/>
        <w:spacing w:line="360" w:lineRule="auto" w:before="127"/>
        <w:ind w:left="102" w:right="118"/>
        <w:jc w:val="both"/>
      </w:pPr>
      <w:r>
        <w:rPr>
          <w:i/>
        </w:rPr>
        <w:t>Comprometida.- </w:t>
      </w:r>
      <w:r>
        <w:rPr/>
        <w:t>Comprometerse es aceptar libremente una obligación, comprometerse colectivamente, es conjuntar acciones individuales y familiares que redunden en beneficio de la comunidad.</w:t>
      </w:r>
    </w:p>
    <w:p>
      <w:pPr>
        <w:pStyle w:val="BodyText"/>
      </w:pPr>
    </w:p>
    <w:p>
      <w:pPr>
        <w:pStyle w:val="BodyText"/>
        <w:spacing w:line="360" w:lineRule="auto" w:before="129"/>
        <w:ind w:left="102" w:right="115"/>
        <w:jc w:val="both"/>
      </w:pPr>
      <w:r>
        <w:rPr>
          <w:i/>
        </w:rPr>
        <w:t>Consciente.- </w:t>
      </w:r>
      <w:r>
        <w:rPr/>
        <w:t>Cuando a las organizaciones se les explica la importancia de su participación, y que sin ellas -las obras, acciones, eventos, campañas, jornadas, etc.-, no se obtendrán los mismos logros, seguramente se comprometerán por estar conscientes  de que su participación es</w:t>
      </w:r>
      <w:r>
        <w:rPr>
          <w:spacing w:val="-10"/>
        </w:rPr>
        <w:t> </w:t>
      </w:r>
      <w:r>
        <w:rPr/>
        <w:t>relevante.</w:t>
      </w:r>
    </w:p>
    <w:p>
      <w:pPr>
        <w:pStyle w:val="BodyText"/>
      </w:pPr>
    </w:p>
    <w:p>
      <w:pPr>
        <w:pStyle w:val="BodyText"/>
        <w:spacing w:line="360" w:lineRule="auto" w:before="129"/>
        <w:ind w:left="102" w:right="117"/>
        <w:jc w:val="both"/>
      </w:pPr>
      <w:r>
        <w:rPr>
          <w:i/>
        </w:rPr>
        <w:t>Activa.- </w:t>
      </w:r>
      <w:r>
        <w:rPr/>
        <w:t>Siempre deberá tener un programa o acciones concretas a realizar; debe ser gestora, promotora y constante para que adquiera credibilidad y buen prestigio en la localidad.</w:t>
      </w:r>
    </w:p>
    <w:p>
      <w:pPr>
        <w:pStyle w:val="BodyText"/>
      </w:pPr>
    </w:p>
    <w:p>
      <w:pPr>
        <w:pStyle w:val="BodyText"/>
        <w:spacing w:line="360" w:lineRule="auto" w:before="129"/>
        <w:ind w:left="102" w:right="119"/>
        <w:jc w:val="both"/>
      </w:pPr>
      <w:r>
        <w:rPr>
          <w:i/>
        </w:rPr>
        <w:t>Eficiente.- </w:t>
      </w:r>
      <w:r>
        <w:rPr/>
        <w:t>En la medida que la participación organizada sea eficiente, los ciudadanos podrán aprovechar los recursos de la comunidad y de la región; así como la técnica y las tradiciones para la cooperación comunitaria, y el potencial de la mano de obra de los participantes.</w:t>
      </w:r>
    </w:p>
    <w:p>
      <w:pPr>
        <w:pStyle w:val="BodyText"/>
      </w:pPr>
    </w:p>
    <w:p>
      <w:pPr>
        <w:pStyle w:val="BodyText"/>
        <w:tabs>
          <w:tab w:pos="4602" w:val="left" w:leader="none"/>
          <w:tab w:pos="5719" w:val="left" w:leader="none"/>
        </w:tabs>
        <w:spacing w:line="360" w:lineRule="auto" w:before="129"/>
        <w:ind w:left="102" w:right="117"/>
      </w:pPr>
      <w:r>
        <w:rPr/>
        <w:t>Las personas se agrupan para resolver sus problemas, por lo que es de suma importancia conocer y saber de los grupos y organizaciones existentes en el territorio local o regional. La participación de la sociedad  </w:t>
      </w:r>
      <w:r>
        <w:rPr>
          <w:spacing w:val="14"/>
        </w:rPr>
        <w:t> </w:t>
      </w:r>
      <w:r>
        <w:rPr/>
        <w:t>puede</w:t>
      </w:r>
      <w:r>
        <w:rPr>
          <w:spacing w:val="26"/>
        </w:rPr>
        <w:t> </w:t>
      </w:r>
      <w:r>
        <w:rPr/>
        <w:t>ser</w:t>
        <w:tab/>
        <w:t>•</w:t>
      </w:r>
      <w:r>
        <w:rPr>
          <w:spacing w:val="26"/>
        </w:rPr>
        <w:t> </w:t>
      </w:r>
      <w:r>
        <w:rPr/>
        <w:t>Formal</w:t>
        <w:tab/>
        <w:t>• Espontánea   •</w:t>
      </w:r>
      <w:r>
        <w:rPr>
          <w:spacing w:val="45"/>
        </w:rPr>
        <w:t> </w:t>
      </w:r>
      <w:r>
        <w:rPr/>
        <w:t>Organizada.</w:t>
      </w:r>
      <w:r>
        <w:rPr>
          <w:spacing w:val="28"/>
        </w:rPr>
        <w:t> </w:t>
      </w:r>
      <w:r>
        <w:rPr/>
        <w:t>La</w:t>
      </w:r>
      <w:r>
        <w:rPr>
          <w:w w:val="100"/>
        </w:rPr>
        <w:t> </w:t>
      </w:r>
      <w:r>
        <w:rPr>
          <w:i/>
        </w:rPr>
        <w:t>Participación  Formal.-  </w:t>
      </w:r>
      <w:r>
        <w:rPr/>
        <w:t>Es  aquella  que  está  establecida  constitucionalmente  por    </w:t>
      </w:r>
      <w:r>
        <w:rPr>
          <w:spacing w:val="45"/>
        </w:rPr>
        <w:t> </w:t>
      </w:r>
      <w:r>
        <w:rPr/>
        <w:t>los</w:t>
      </w:r>
    </w:p>
    <w:p>
      <w:pPr>
        <w:spacing w:after="0" w:line="360" w:lineRule="auto"/>
        <w:sectPr>
          <w:pgSz w:w="12240" w:h="15840"/>
          <w:pgMar w:header="0" w:footer="1003" w:top="1360" w:bottom="1200" w:left="1600" w:right="1580"/>
        </w:sectPr>
      </w:pPr>
    </w:p>
    <w:p>
      <w:pPr>
        <w:pStyle w:val="BodyText"/>
        <w:spacing w:line="360" w:lineRule="auto" w:before="56"/>
        <w:ind w:left="102" w:right="117"/>
        <w:jc w:val="both"/>
      </w:pPr>
      <w:r>
        <w:rPr/>
        <w:t>derechos que tienen los ciudadanos para elegir a sus gobernantes, siendo el voto la muestra de la voluntad política y social, a través del cual se otorga la confianza a las autoridades que los representan. Por esta razón, los vínculos de la comunidad con el gobierno no se pierden después de la elección sino que,  por el contrario, se fortalecen.  La </w:t>
      </w:r>
      <w:r>
        <w:rPr>
          <w:i/>
        </w:rPr>
        <w:t>Participación Espontánea.- </w:t>
      </w:r>
      <w:r>
        <w:rPr/>
        <w:t>Es aquella que se presenta cuando los miembros de la localidad al sentir una necesidad o enfrentar un problema común, se organizan y tratan de resolverlo por sí</w:t>
      </w:r>
      <w:r>
        <w:rPr>
          <w:spacing w:val="-7"/>
        </w:rPr>
        <w:t> </w:t>
      </w:r>
      <w:r>
        <w:rPr/>
        <w:t>mismo.</w:t>
      </w:r>
    </w:p>
    <w:p>
      <w:pPr>
        <w:pStyle w:val="BodyText"/>
      </w:pPr>
    </w:p>
    <w:p>
      <w:pPr>
        <w:spacing w:line="360" w:lineRule="auto" w:before="127"/>
        <w:ind w:left="102" w:right="115" w:firstLine="0"/>
        <w:jc w:val="both"/>
        <w:rPr>
          <w:sz w:val="22"/>
        </w:rPr>
      </w:pPr>
      <w:r>
        <w:rPr>
          <w:b/>
          <w:sz w:val="22"/>
        </w:rPr>
        <w:t>La organización de las acciones para atender y solucionar el problema puede quedar a cargo de un comité integrado por las personas de mayor reconocimiento entre los vecinos de la localidad, </w:t>
      </w:r>
      <w:r>
        <w:rPr>
          <w:sz w:val="22"/>
        </w:rPr>
        <w:t>el cual trabaja de manera constante y coordinada hasta que el problema se solucione o resuelva</w:t>
      </w:r>
      <w:r>
        <w:rPr>
          <w:spacing w:val="-17"/>
          <w:sz w:val="22"/>
        </w:rPr>
        <w:t> </w:t>
      </w:r>
      <w:r>
        <w:rPr>
          <w:sz w:val="22"/>
        </w:rPr>
        <w:t>parcialmente.</w:t>
      </w:r>
    </w:p>
    <w:p>
      <w:pPr>
        <w:pStyle w:val="BodyText"/>
      </w:pPr>
    </w:p>
    <w:p>
      <w:pPr>
        <w:pStyle w:val="BodyText"/>
        <w:spacing w:line="360" w:lineRule="auto" w:before="129"/>
        <w:ind w:left="102" w:right="115"/>
        <w:jc w:val="both"/>
      </w:pPr>
      <w:r>
        <w:rPr/>
        <w:t>La participación espontánea se presenta en situaciones de emergencia, como son inundaciones, incendios, sismos, tornados, ciclones, heladas, epidemias, etc. Así como en acciones en que se requiere que la comunidad participe voluntariamente.</w:t>
      </w:r>
    </w:p>
    <w:p>
      <w:pPr>
        <w:pStyle w:val="BodyText"/>
      </w:pPr>
    </w:p>
    <w:p>
      <w:pPr>
        <w:pStyle w:val="BodyText"/>
        <w:spacing w:line="360" w:lineRule="auto" w:before="129"/>
        <w:ind w:left="102" w:right="117"/>
        <w:jc w:val="both"/>
      </w:pPr>
      <w:r>
        <w:rPr/>
        <w:t>Su participación regularmente es espontánea y se da en situaciones de emergencia con participación voluntaria, los miembros se organizan y tratan de resolver el problema por si mismos.</w:t>
      </w:r>
    </w:p>
    <w:p>
      <w:pPr>
        <w:pStyle w:val="BodyText"/>
      </w:pPr>
    </w:p>
    <w:p>
      <w:pPr>
        <w:pStyle w:val="BodyText"/>
        <w:spacing w:line="360" w:lineRule="auto" w:before="129"/>
        <w:ind w:left="102" w:right="118"/>
        <w:jc w:val="both"/>
      </w:pPr>
      <w:r>
        <w:rPr>
          <w:i/>
        </w:rPr>
        <w:t>Participación Organizada.- </w:t>
      </w:r>
      <w:r>
        <w:rPr/>
        <w:t>Es aquella que promueven las asociaciones de colonos, los clubes de servicios, los partidos políticos, los comités de manzana, las juntas de vecinos, los consejos de colaboración municipal y el propio gobierno municipal, para apoyar el cumplimiento de los planes y programas de gobierno o bien realizar obras y acciones de beneficio colectivo.</w:t>
      </w:r>
    </w:p>
    <w:p>
      <w:pPr>
        <w:pStyle w:val="BodyText"/>
      </w:pPr>
    </w:p>
    <w:p>
      <w:pPr>
        <w:pStyle w:val="BodyText"/>
        <w:spacing w:line="360" w:lineRule="auto" w:before="130"/>
        <w:ind w:left="102" w:right="114"/>
        <w:jc w:val="both"/>
      </w:pPr>
      <w:r>
        <w:rPr/>
        <w:t>Esta forma de participación tiene por objeto colaborar de manera ordenada y permanente en la solución de los problemas sentidos por los habitantes del municipio, así como  apoyar a las autoridades a lograr un desarrollo comunitario. De esta manera, permite al ayuntamiento una mejor coordinación y eficiencia en las acciones que</w:t>
      </w:r>
      <w:r>
        <w:rPr>
          <w:spacing w:val="-25"/>
        </w:rPr>
        <w:t> </w:t>
      </w:r>
      <w:r>
        <w:rPr/>
        <w:t>realiza.</w:t>
      </w:r>
    </w:p>
    <w:p>
      <w:pPr>
        <w:pStyle w:val="BodyText"/>
      </w:pPr>
    </w:p>
    <w:p>
      <w:pPr>
        <w:pStyle w:val="BodyText"/>
        <w:spacing w:line="362" w:lineRule="auto" w:before="129"/>
        <w:ind w:left="102" w:right="118"/>
        <w:jc w:val="both"/>
      </w:pPr>
      <w:r>
        <w:rPr/>
        <w:t>Para un mejor aprovechamiento de la participación que ofrecen estas diversas organizaciones, es recomendable sobre todo que sea auténtica y que los    ayuntamientos</w:t>
      </w:r>
    </w:p>
    <w:p>
      <w:pPr>
        <w:spacing w:after="0" w:line="362" w:lineRule="auto"/>
        <w:jc w:val="both"/>
        <w:sectPr>
          <w:pgSz w:w="12240" w:h="15840"/>
          <w:pgMar w:header="0" w:footer="1003" w:top="1360" w:bottom="1200" w:left="1600" w:right="1580"/>
        </w:sectPr>
      </w:pPr>
    </w:p>
    <w:p>
      <w:pPr>
        <w:pStyle w:val="BodyText"/>
        <w:spacing w:line="360" w:lineRule="auto" w:before="56"/>
        <w:ind w:left="102" w:right="120"/>
        <w:jc w:val="both"/>
      </w:pPr>
      <w:r>
        <w:rPr/>
        <w:t>la promuevan y reglamenten a efecto de institucionalizarla, y asegurar su colaboración permanente en las acciones de gobierno. La participación organizada requiere de:</w:t>
      </w:r>
    </w:p>
    <w:p>
      <w:pPr>
        <w:pStyle w:val="BodyText"/>
      </w:pPr>
    </w:p>
    <w:p>
      <w:pPr>
        <w:pStyle w:val="ListParagraph"/>
        <w:numPr>
          <w:ilvl w:val="0"/>
          <w:numId w:val="33"/>
        </w:numPr>
        <w:tabs>
          <w:tab w:pos="239" w:val="left" w:leader="none"/>
        </w:tabs>
        <w:spacing w:line="240" w:lineRule="auto" w:before="129" w:after="0"/>
        <w:ind w:left="102" w:right="0" w:firstLine="0"/>
        <w:jc w:val="both"/>
        <w:rPr>
          <w:sz w:val="22"/>
        </w:rPr>
      </w:pPr>
      <w:r>
        <w:rPr>
          <w:sz w:val="22"/>
        </w:rPr>
        <w:t>Programas bien estructurados, claros, precisos, de proyección y de beneficio</w:t>
      </w:r>
      <w:r>
        <w:rPr>
          <w:spacing w:val="-20"/>
          <w:sz w:val="22"/>
        </w:rPr>
        <w:t> </w:t>
      </w:r>
      <w:r>
        <w:rPr>
          <w:sz w:val="22"/>
        </w:rPr>
        <w:t>social.</w:t>
      </w:r>
    </w:p>
    <w:p>
      <w:pPr>
        <w:pStyle w:val="ListParagraph"/>
        <w:numPr>
          <w:ilvl w:val="0"/>
          <w:numId w:val="33"/>
        </w:numPr>
        <w:tabs>
          <w:tab w:pos="239" w:val="left" w:leader="none"/>
        </w:tabs>
        <w:spacing w:line="240" w:lineRule="auto" w:before="126" w:after="0"/>
        <w:ind w:left="238" w:right="0" w:hanging="136"/>
        <w:jc w:val="both"/>
        <w:rPr>
          <w:sz w:val="22"/>
        </w:rPr>
      </w:pPr>
      <w:r>
        <w:rPr>
          <w:sz w:val="22"/>
        </w:rPr>
        <w:t>Llevar el seguimiento y evaluación de la obra o programa a</w:t>
      </w:r>
      <w:r>
        <w:rPr>
          <w:spacing w:val="-26"/>
          <w:sz w:val="22"/>
        </w:rPr>
        <w:t> </w:t>
      </w:r>
      <w:r>
        <w:rPr>
          <w:sz w:val="22"/>
        </w:rPr>
        <w:t>realizar.</w:t>
      </w:r>
    </w:p>
    <w:p>
      <w:pPr>
        <w:pStyle w:val="BodyText"/>
      </w:pPr>
    </w:p>
    <w:p>
      <w:pPr>
        <w:pStyle w:val="BodyText"/>
        <w:spacing w:before="1"/>
      </w:pPr>
    </w:p>
    <w:p>
      <w:pPr>
        <w:pStyle w:val="ListParagraph"/>
        <w:numPr>
          <w:ilvl w:val="0"/>
          <w:numId w:val="33"/>
        </w:numPr>
        <w:tabs>
          <w:tab w:pos="247" w:val="left" w:leader="none"/>
        </w:tabs>
        <w:spacing w:line="360" w:lineRule="auto" w:before="1" w:after="0"/>
        <w:ind w:left="102" w:right="121" w:firstLine="0"/>
        <w:jc w:val="both"/>
        <w:rPr>
          <w:sz w:val="22"/>
        </w:rPr>
      </w:pPr>
      <w:r>
        <w:rPr>
          <w:sz w:val="22"/>
        </w:rPr>
        <w:t>Establecer mecanismos de información y comunicación para que no se pierda el diálogo de la autoridad con la</w:t>
      </w:r>
      <w:r>
        <w:rPr>
          <w:spacing w:val="-9"/>
          <w:sz w:val="22"/>
        </w:rPr>
        <w:t> </w:t>
      </w:r>
      <w:r>
        <w:rPr>
          <w:sz w:val="22"/>
        </w:rPr>
        <w:t>comunidad.</w:t>
      </w:r>
    </w:p>
    <w:p>
      <w:pPr>
        <w:pStyle w:val="ListParagraph"/>
        <w:numPr>
          <w:ilvl w:val="0"/>
          <w:numId w:val="33"/>
        </w:numPr>
        <w:tabs>
          <w:tab w:pos="311" w:val="left" w:leader="none"/>
        </w:tabs>
        <w:spacing w:line="360" w:lineRule="auto" w:before="3" w:after="0"/>
        <w:ind w:left="102" w:right="113" w:firstLine="0"/>
        <w:jc w:val="both"/>
        <w:rPr>
          <w:sz w:val="22"/>
        </w:rPr>
      </w:pPr>
      <w:r>
        <w:rPr>
          <w:sz w:val="22"/>
        </w:rPr>
        <w:t>Que el apoyo de las autoridades municipales sea oportuno y adecuado para no defraudar a la</w:t>
      </w:r>
      <w:r>
        <w:rPr>
          <w:spacing w:val="53"/>
          <w:sz w:val="22"/>
        </w:rPr>
        <w:t> </w:t>
      </w:r>
      <w:r>
        <w:rPr>
          <w:sz w:val="22"/>
        </w:rPr>
        <w:t>comunidad.</w:t>
      </w:r>
    </w:p>
    <w:p>
      <w:pPr>
        <w:pStyle w:val="BodyText"/>
      </w:pPr>
    </w:p>
    <w:p>
      <w:pPr>
        <w:pStyle w:val="ListParagraph"/>
        <w:numPr>
          <w:ilvl w:val="0"/>
          <w:numId w:val="33"/>
        </w:numPr>
        <w:tabs>
          <w:tab w:pos="239" w:val="left" w:leader="none"/>
        </w:tabs>
        <w:spacing w:line="240" w:lineRule="auto" w:before="129" w:after="0"/>
        <w:ind w:left="238" w:right="0" w:hanging="136"/>
        <w:jc w:val="both"/>
        <w:rPr>
          <w:sz w:val="22"/>
        </w:rPr>
      </w:pPr>
      <w:r>
        <w:rPr>
          <w:sz w:val="22"/>
        </w:rPr>
        <w:t>Ser escuchada en sus opiniones o sugerencias sobre la</w:t>
      </w:r>
      <w:r>
        <w:rPr>
          <w:spacing w:val="-12"/>
          <w:sz w:val="22"/>
        </w:rPr>
        <w:t> </w:t>
      </w:r>
      <w:r>
        <w:rPr>
          <w:sz w:val="22"/>
        </w:rPr>
        <w:t>localidad.</w:t>
      </w:r>
    </w:p>
    <w:p>
      <w:pPr>
        <w:pStyle w:val="BodyText"/>
      </w:pPr>
    </w:p>
    <w:p>
      <w:pPr>
        <w:pStyle w:val="BodyText"/>
        <w:spacing w:before="10"/>
        <w:rPr>
          <w:sz w:val="21"/>
        </w:rPr>
      </w:pPr>
    </w:p>
    <w:p>
      <w:pPr>
        <w:pStyle w:val="ListParagraph"/>
        <w:numPr>
          <w:ilvl w:val="0"/>
          <w:numId w:val="33"/>
        </w:numPr>
        <w:tabs>
          <w:tab w:pos="263" w:val="left" w:leader="none"/>
        </w:tabs>
        <w:spacing w:line="360" w:lineRule="auto" w:before="1" w:after="0"/>
        <w:ind w:left="102" w:right="119" w:firstLine="0"/>
        <w:jc w:val="both"/>
        <w:rPr>
          <w:sz w:val="22"/>
        </w:rPr>
      </w:pPr>
      <w:r>
        <w:rPr>
          <w:sz w:val="22"/>
        </w:rPr>
        <w:t>Veracidad y honestidad de las autoridades municipales para contar con la confianza y apoyo de las organizaciones (INAFED,</w:t>
      </w:r>
      <w:r>
        <w:rPr>
          <w:spacing w:val="-13"/>
          <w:sz w:val="22"/>
        </w:rPr>
        <w:t> </w:t>
      </w:r>
      <w:r>
        <w:rPr>
          <w:sz w:val="22"/>
        </w:rPr>
        <w:t>2014).</w:t>
      </w:r>
    </w:p>
    <w:p>
      <w:pPr>
        <w:pStyle w:val="BodyText"/>
      </w:pPr>
    </w:p>
    <w:p>
      <w:pPr>
        <w:pStyle w:val="BodyText"/>
        <w:spacing w:line="360" w:lineRule="auto" w:before="132"/>
        <w:ind w:left="102" w:right="114"/>
        <w:jc w:val="both"/>
      </w:pPr>
      <w:r>
        <w:rPr/>
        <w:t>Es por ello que actualmente diversos autores coinciden en que la participación ciudadana en los procesos de toma de decisiones contribuye a una mejor gestión del agua, y se considera una estrategia para lograr el desarrollo sustentable en el ámbito local (Ostrom, 1994; Córdova et al., 2006; Delgado et al., 2007; Galvin y Haller, 2008).</w:t>
      </w:r>
    </w:p>
    <w:p>
      <w:pPr>
        <w:pStyle w:val="BodyText"/>
      </w:pPr>
    </w:p>
    <w:p>
      <w:pPr>
        <w:pStyle w:val="BodyText"/>
        <w:spacing w:line="360" w:lineRule="auto" w:before="129"/>
        <w:ind w:left="102" w:right="112"/>
        <w:jc w:val="both"/>
      </w:pPr>
      <w:r>
        <w:rPr/>
        <w:t>Es por ello, que a partir de la reunión de las Naciones Unidas para el Desarrollo y Medio Ambiente realizado en Río de Janeiro, Brasil, en 1992, los gobiernos de diversos países incluyen en sus políticas hídricas la estrategia del manejo integrado de los recursos hídricos Como consecuencia de estas nuevas estrategias y principios planteados en los foros mundiales del agua, en 1996 se formó </w:t>
      </w:r>
      <w:r>
        <w:rPr>
          <w:i/>
        </w:rPr>
        <w:t>la Global Water Partnership </w:t>
      </w:r>
      <w:r>
        <w:rPr/>
        <w:t>(GWP) para brindar las herramientas y la capacitación necesarias para implementar estas nuevas políticas. El manejo integral de los recursos hídricos expone la necesidad de procesos intensos de descentralización y la integración de las poblaciones locales en el manejo, administración y aprovechamiento de sus recursos. En este contexto se plantea el tema  de la gobernanza del agua como la clave para lograr la sustentabilidad ambiental (Rogers, 2003; Iza y Rovere, 2006; GWP, 2009). Así, la gobernanza se entiende como el conjunto de  interacciones  entre actores públicos  y privados  orientados a  resolver sus</w:t>
      </w:r>
      <w:r>
        <w:rPr>
          <w:spacing w:val="24"/>
        </w:rPr>
        <w:t> </w:t>
      </w:r>
      <w:r>
        <w:rPr/>
        <w:t>problemas</w:t>
      </w:r>
    </w:p>
    <w:p>
      <w:pPr>
        <w:spacing w:after="0" w:line="360" w:lineRule="auto"/>
        <w:jc w:val="both"/>
        <w:sectPr>
          <w:pgSz w:w="12240" w:h="15840"/>
          <w:pgMar w:header="0" w:footer="1003" w:top="1360" w:bottom="1200" w:left="1600" w:right="1580"/>
        </w:sectPr>
      </w:pPr>
    </w:p>
    <w:p>
      <w:pPr>
        <w:pStyle w:val="BodyText"/>
        <w:spacing w:line="360" w:lineRule="auto" w:before="56"/>
        <w:ind w:left="102" w:right="121"/>
        <w:jc w:val="both"/>
      </w:pPr>
      <w:r>
        <w:rPr/>
        <w:t>sociales para crear oportunidades por medio de la planeación (Kooiman, 2003). Es por ello, que la planeación y la gobernanza deben asociarse para una buena GIRH.</w:t>
      </w:r>
    </w:p>
    <w:p>
      <w:pPr>
        <w:pStyle w:val="BodyText"/>
      </w:pPr>
    </w:p>
    <w:p>
      <w:pPr>
        <w:pStyle w:val="Heading6"/>
        <w:numPr>
          <w:ilvl w:val="1"/>
          <w:numId w:val="34"/>
        </w:numPr>
        <w:tabs>
          <w:tab w:pos="532" w:val="left" w:leader="none"/>
        </w:tabs>
        <w:spacing w:line="240" w:lineRule="auto" w:before="127" w:after="0"/>
        <w:ind w:left="531" w:right="0" w:hanging="429"/>
        <w:jc w:val="both"/>
      </w:pPr>
      <w:bookmarkStart w:name="_TOC_250044" w:id="30"/>
      <w:r>
        <w:rPr/>
        <w:t>Importancia de la gobernanza y la planeación en la</w:t>
      </w:r>
      <w:r>
        <w:rPr>
          <w:spacing w:val="-15"/>
        </w:rPr>
        <w:t> </w:t>
      </w:r>
      <w:bookmarkEnd w:id="30"/>
      <w:r>
        <w:rPr/>
        <w:t>GIRH</w:t>
      </w:r>
    </w:p>
    <w:p>
      <w:pPr>
        <w:pStyle w:val="BodyText"/>
        <w:spacing w:before="8"/>
        <w:rPr>
          <w:b/>
          <w:sz w:val="28"/>
        </w:rPr>
      </w:pPr>
    </w:p>
    <w:p>
      <w:pPr>
        <w:pStyle w:val="BodyText"/>
        <w:spacing w:line="360" w:lineRule="auto"/>
        <w:ind w:left="102" w:right="114"/>
        <w:jc w:val="both"/>
      </w:pPr>
      <w:r>
        <w:rPr/>
        <w:t>Bajo estas definiciones de gobernanza, Ángel Palerm (1972), destaca la importancia de la gobernanza y la planificación como herramientas de la Gestión Integrada de los Recursos Hídricos (GIRH). Dichos aportes operativos se encuentran en los documentos que dictó y escribió entre 1950 y 1980, reunidos y compilados por Carmen Viqueira en el texto denominado </w:t>
      </w:r>
      <w:r>
        <w:rPr>
          <w:i/>
        </w:rPr>
        <w:t>Planificación Regional y Reforma Agraria </w:t>
      </w:r>
      <w:r>
        <w:rPr/>
        <w:t>(1993) y analizados por Romero </w:t>
      </w:r>
      <w:r>
        <w:rPr>
          <w:i/>
        </w:rPr>
        <w:t>et. </w:t>
      </w:r>
      <w:r>
        <w:rPr>
          <w:i/>
        </w:rPr>
        <w:t>al., </w:t>
      </w:r>
      <w:r>
        <w:rPr/>
        <w:t>(2012).</w:t>
      </w:r>
    </w:p>
    <w:p>
      <w:pPr>
        <w:pStyle w:val="BodyText"/>
        <w:spacing w:before="9"/>
        <w:rPr>
          <w:sz w:val="17"/>
        </w:rPr>
      </w:pPr>
    </w:p>
    <w:p>
      <w:pPr>
        <w:spacing w:line="360" w:lineRule="auto" w:before="0"/>
        <w:ind w:left="102" w:right="119" w:firstLine="0"/>
        <w:jc w:val="both"/>
        <w:rPr>
          <w:sz w:val="22"/>
        </w:rPr>
      </w:pPr>
      <w:r>
        <w:rPr>
          <w:sz w:val="22"/>
        </w:rPr>
        <w:t>Romero, </w:t>
      </w:r>
      <w:r>
        <w:rPr>
          <w:i/>
          <w:sz w:val="22"/>
        </w:rPr>
        <w:t>et al., (</w:t>
      </w:r>
      <w:r>
        <w:rPr>
          <w:sz w:val="22"/>
        </w:rPr>
        <w:t>2012), considera que los escritos de Ángel Palerm sobre Planificación Regional, son una excelente herramienta para la Gestión Integrada de los Recursos </w:t>
      </w:r>
      <w:r>
        <w:rPr>
          <w:i/>
          <w:sz w:val="22"/>
        </w:rPr>
        <w:t>Hídricos (GIRH). De allí la identificación de las propuestas palermianas sobre los </w:t>
      </w:r>
      <w:r>
        <w:rPr>
          <w:sz w:val="22"/>
        </w:rPr>
        <w:t>conceptos de Gobernanza y de cómo llevar a cabo la operativización de la planificación y el desarrollo.</w:t>
      </w:r>
    </w:p>
    <w:p>
      <w:pPr>
        <w:pStyle w:val="BodyText"/>
        <w:spacing w:before="7"/>
        <w:rPr>
          <w:sz w:val="17"/>
        </w:rPr>
      </w:pPr>
    </w:p>
    <w:p>
      <w:pPr>
        <w:spacing w:line="362" w:lineRule="auto" w:before="0"/>
        <w:ind w:left="102" w:right="115" w:firstLine="0"/>
        <w:jc w:val="both"/>
        <w:rPr>
          <w:sz w:val="22"/>
        </w:rPr>
      </w:pPr>
      <w:r>
        <w:rPr>
          <w:b/>
          <w:sz w:val="22"/>
        </w:rPr>
        <w:t>El primer punto</w:t>
      </w:r>
      <w:r>
        <w:rPr>
          <w:sz w:val="22"/>
        </w:rPr>
        <w:t>, según Palerm (1972), es </w:t>
      </w:r>
      <w:r>
        <w:rPr>
          <w:i/>
          <w:sz w:val="22"/>
        </w:rPr>
        <w:t>tener claros los conceptos teóricos y después </w:t>
      </w:r>
      <w:r>
        <w:rPr>
          <w:i/>
          <w:sz w:val="22"/>
        </w:rPr>
        <w:t>los técnicos</w:t>
      </w:r>
      <w:r>
        <w:rPr>
          <w:sz w:val="22"/>
        </w:rPr>
        <w:t>. Aquí identifica de qué trata la planeación:</w:t>
      </w:r>
    </w:p>
    <w:p>
      <w:pPr>
        <w:pStyle w:val="BodyText"/>
        <w:spacing w:before="5"/>
        <w:rPr>
          <w:sz w:val="17"/>
        </w:rPr>
      </w:pPr>
    </w:p>
    <w:p>
      <w:pPr>
        <w:pStyle w:val="BodyText"/>
        <w:spacing w:line="360" w:lineRule="auto"/>
        <w:ind w:left="810" w:right="116"/>
        <w:jc w:val="both"/>
      </w:pPr>
      <w:r>
        <w:rPr/>
        <w:t>Esta es esencialmente un esfuerzo y una tentativa de racionalizar lo que existe. Es decir, ordenar y disponer la conducta de las comunidades humanas, para los fines que quieren conseguirse o que se anticipan al futuro. Es decir, advierte que la planificación tiene que llevarse a cabo utilizando técnicas cuyo contenido están determinadas por su adecuación al objeto al que se aplican… (pero) no puede haber planificación social con técnicas puramente económicas. Las técnicas deben adecuarse en cada caso al tema o sujeto de la acción planificadora (Palerm, 1993: 14-15).</w:t>
      </w:r>
    </w:p>
    <w:p>
      <w:pPr>
        <w:pStyle w:val="BodyText"/>
        <w:spacing w:before="7"/>
        <w:rPr>
          <w:sz w:val="17"/>
        </w:rPr>
      </w:pPr>
    </w:p>
    <w:p>
      <w:pPr>
        <w:pStyle w:val="BodyText"/>
        <w:spacing w:line="360" w:lineRule="auto"/>
        <w:ind w:left="102" w:right="114"/>
        <w:jc w:val="both"/>
      </w:pPr>
      <w:r>
        <w:rPr/>
        <w:t>Con esto, la acción planificadora se distingue por el creciente poder predictivo que le conceden las técnicas y su interpretación teórica, así como la creciente capacidad de modificar el ambiente social, así como las instituciones y los procesos sociales. Se puede señalar que la planificación es un conjunto de técnicas especializadas al servicio de ciertos propósitos y finalidades, expresadas en las políticas</w:t>
      </w:r>
      <w:r>
        <w:rPr>
          <w:spacing w:val="-17"/>
        </w:rPr>
        <w:t> </w:t>
      </w:r>
      <w:r>
        <w:rPr/>
        <w:t>públicas.</w:t>
      </w:r>
    </w:p>
    <w:p>
      <w:pPr>
        <w:spacing w:after="0" w:line="360" w:lineRule="auto"/>
        <w:jc w:val="both"/>
        <w:sectPr>
          <w:pgSz w:w="12240" w:h="15840"/>
          <w:pgMar w:header="0" w:footer="1003" w:top="1360" w:bottom="1200" w:left="1600" w:right="1580"/>
        </w:sectPr>
      </w:pPr>
    </w:p>
    <w:p>
      <w:pPr>
        <w:spacing w:line="360" w:lineRule="auto" w:before="53"/>
        <w:ind w:left="102" w:right="113" w:firstLine="0"/>
        <w:jc w:val="both"/>
        <w:rPr>
          <w:sz w:val="22"/>
        </w:rPr>
      </w:pPr>
      <w:r>
        <w:rPr>
          <w:b/>
          <w:sz w:val="22"/>
        </w:rPr>
        <w:t>El segundo punto </w:t>
      </w:r>
      <w:r>
        <w:rPr>
          <w:sz w:val="22"/>
        </w:rPr>
        <w:t>de análisis para Palerm (1972), es el de </w:t>
      </w:r>
      <w:r>
        <w:rPr>
          <w:i/>
          <w:sz w:val="22"/>
        </w:rPr>
        <w:t>planificación integral (o </w:t>
      </w:r>
      <w:r>
        <w:rPr>
          <w:i/>
          <w:sz w:val="22"/>
        </w:rPr>
        <w:t>integrada) </w:t>
      </w:r>
      <w:r>
        <w:rPr>
          <w:sz w:val="22"/>
        </w:rPr>
        <w:t>acompañada con los conceptos de </w:t>
      </w:r>
      <w:r>
        <w:rPr>
          <w:i/>
          <w:sz w:val="22"/>
        </w:rPr>
        <w:t>interdependencia y sistema</w:t>
      </w:r>
      <w:r>
        <w:rPr>
          <w:sz w:val="22"/>
        </w:rPr>
        <w:t>. Es decir, para lograr una planificación integral, primero hay que vencer los obstáculos que surgen de dos órdenes de categorías: las primeras son las conceptuales y las segundas son las  técnicas.</w:t>
      </w:r>
    </w:p>
    <w:p>
      <w:pPr>
        <w:pStyle w:val="BodyText"/>
        <w:spacing w:before="9"/>
        <w:rPr>
          <w:sz w:val="17"/>
        </w:rPr>
      </w:pPr>
    </w:p>
    <w:p>
      <w:pPr>
        <w:pStyle w:val="BodyText"/>
        <w:spacing w:line="360" w:lineRule="auto"/>
        <w:ind w:left="102" w:right="114"/>
        <w:jc w:val="both"/>
      </w:pPr>
      <w:r>
        <w:rPr/>
        <w:t>En la primera categoría, señala Palerm (1972), se trata de la afirmación de </w:t>
      </w:r>
      <w:r>
        <w:rPr>
          <w:i/>
        </w:rPr>
        <w:t>la </w:t>
      </w:r>
      <w:r>
        <w:rPr>
          <w:i/>
        </w:rPr>
        <w:t>interdependencia de los factores</w:t>
      </w:r>
      <w:r>
        <w:rPr/>
        <w:t>, donde “no significa que los componentes de un todo se conciban necesariamente como teniendo la misma importancia. Lo que se postula es la existencia de interrelaciones, no la naturaleza igualitaria de los componentes. En otras palabras, existen componentes que poseen mayor importancia que otros, especialmente en términos de su capacidad de producir modificaciones en el resto del sistema o estructura total” (Viqueira, 1993).</w:t>
      </w:r>
    </w:p>
    <w:p>
      <w:pPr>
        <w:pStyle w:val="BodyText"/>
        <w:spacing w:before="9"/>
        <w:rPr>
          <w:sz w:val="17"/>
        </w:rPr>
      </w:pPr>
    </w:p>
    <w:p>
      <w:pPr>
        <w:spacing w:line="360" w:lineRule="auto" w:before="0"/>
        <w:ind w:left="102" w:right="115" w:firstLine="0"/>
        <w:jc w:val="both"/>
        <w:rPr>
          <w:sz w:val="22"/>
        </w:rPr>
      </w:pPr>
      <w:r>
        <w:rPr>
          <w:sz w:val="22"/>
        </w:rPr>
        <w:t>El problema que presenta esta situación no es sólo de orden teórico, sino estratégico. Es decir, se plantea identificar dónde actuar primero y con mayor vigor, con la visión de que las acciones ejercidas en el punto estratégico puedan ser de efectos más eficaces y extensos, que si se empieza en un punto que tenga pocos o menos efectos sobre el sistema en general. Este asunto de dónde empezar en la planeación, es tan importante según Palerm (1972), que apunta a la necesidad de </w:t>
      </w:r>
      <w:r>
        <w:rPr>
          <w:i/>
          <w:sz w:val="22"/>
        </w:rPr>
        <w:t>estudiar individualmente cada </w:t>
      </w:r>
      <w:r>
        <w:rPr>
          <w:i/>
          <w:sz w:val="22"/>
        </w:rPr>
        <w:t>sociedad, con el propósito de descubrir cuáles son sus componentes de mayor importancia</w:t>
      </w:r>
      <w:r>
        <w:rPr>
          <w:i/>
          <w:spacing w:val="-6"/>
          <w:sz w:val="22"/>
        </w:rPr>
        <w:t> </w:t>
      </w:r>
      <w:r>
        <w:rPr>
          <w:i/>
          <w:sz w:val="22"/>
        </w:rPr>
        <w:t>estratégica</w:t>
      </w:r>
      <w:r>
        <w:rPr>
          <w:sz w:val="22"/>
        </w:rPr>
        <w:t>.</w:t>
      </w:r>
    </w:p>
    <w:p>
      <w:pPr>
        <w:pStyle w:val="BodyText"/>
        <w:spacing w:before="7"/>
        <w:rPr>
          <w:sz w:val="17"/>
        </w:rPr>
      </w:pPr>
    </w:p>
    <w:p>
      <w:pPr>
        <w:pStyle w:val="BodyText"/>
        <w:spacing w:line="360" w:lineRule="auto"/>
        <w:ind w:left="102" w:right="115"/>
        <w:jc w:val="both"/>
      </w:pPr>
      <w:r>
        <w:rPr/>
        <w:t>Por lo que hay que agregar una observación desde la antropología y desde la diacronía; según Palerm (1972), “los factores estratégicos en una estructura social dada, varían con el tiempo en ocasiones de forma acelerada. Por eso, en un momento dado del proceso de cambio, la acción de carácter educativa o económica puede ser requerida, mientras que en otro momento la estructura total puede ser más fácilmente impactada o transformada mediante acciones en el campo de la política” (Cfr.</w:t>
      </w:r>
      <w:r>
        <w:rPr>
          <w:spacing w:val="-20"/>
        </w:rPr>
        <w:t> </w:t>
      </w:r>
      <w:r>
        <w:rPr/>
        <w:t>Palerm.1972).</w:t>
      </w:r>
    </w:p>
    <w:p>
      <w:pPr>
        <w:pStyle w:val="BodyText"/>
        <w:spacing w:before="7"/>
        <w:rPr>
          <w:sz w:val="17"/>
        </w:rPr>
      </w:pPr>
    </w:p>
    <w:p>
      <w:pPr>
        <w:pStyle w:val="BodyText"/>
        <w:spacing w:line="360" w:lineRule="auto"/>
        <w:ind w:left="102" w:right="113"/>
        <w:jc w:val="both"/>
      </w:pPr>
      <w:r>
        <w:rPr/>
        <w:t>Identifica que los obstáculos a la planificación integrada no sólo son los de carácter conceptual, sino también lo son las dificultades de orden técnico de los instrumentos de medición del desarrollo, especialmente cuando la planeación se plantea a nivel nacional y en términos de una sociedad tan compleja como México, tanto por la antigüedad de su sociedad estratificada, como por su pluriculturalidad.</w:t>
      </w:r>
    </w:p>
    <w:p>
      <w:pPr>
        <w:spacing w:after="0" w:line="360" w:lineRule="auto"/>
        <w:jc w:val="both"/>
        <w:sectPr>
          <w:pgSz w:w="12240" w:h="15840"/>
          <w:pgMar w:header="0" w:footer="1003" w:top="1360" w:bottom="1200" w:left="1600" w:right="1580"/>
        </w:sectPr>
      </w:pPr>
    </w:p>
    <w:p>
      <w:pPr>
        <w:pStyle w:val="BodyText"/>
        <w:spacing w:line="360" w:lineRule="auto" w:before="56"/>
        <w:ind w:left="102" w:right="119"/>
        <w:jc w:val="both"/>
      </w:pPr>
      <w:r>
        <w:rPr/>
        <w:t>En este sentido, Palerm (1972), comenta que los instrumentos técnicos de medición del desarrollo, “o no existen, o no se han desarrollado lo suficiente las técnicas necesarias para tomar en su conjunto el problema de la planificación integral en escala nacional”; además que es “difícil que se creen esas técnicas, si antes no se consigue cambiar el marco conceptual que definen las actividades de planificación” (Viqueira, 1993: 20).</w:t>
      </w:r>
    </w:p>
    <w:p>
      <w:pPr>
        <w:pStyle w:val="BodyText"/>
        <w:spacing w:before="9"/>
        <w:rPr>
          <w:sz w:val="17"/>
        </w:rPr>
      </w:pPr>
    </w:p>
    <w:p>
      <w:pPr>
        <w:pStyle w:val="BodyText"/>
        <w:spacing w:line="360" w:lineRule="auto"/>
        <w:ind w:left="102" w:right="120"/>
        <w:jc w:val="both"/>
      </w:pPr>
      <w:r>
        <w:rPr/>
        <w:t>Sin embargo, Palerm (1972), advierte desde la antropología, que una de las principales dificultades que debe afrontar la planificación como sistema integral, es vencer la tentación de imponer o subyugar a una sociedad o cultura, hasta el punto de desaparecerla. Pero también da una alternativa de solución, al sugerir que esto puede evitarse incorporando desde el principio a los sujetos mismos del</w:t>
      </w:r>
      <w:r>
        <w:rPr>
          <w:spacing w:val="-23"/>
        </w:rPr>
        <w:t> </w:t>
      </w:r>
      <w:r>
        <w:rPr/>
        <w:t>desarrollo:</w:t>
      </w:r>
    </w:p>
    <w:p>
      <w:pPr>
        <w:pStyle w:val="BodyText"/>
        <w:spacing w:before="9"/>
        <w:rPr>
          <w:sz w:val="17"/>
        </w:rPr>
      </w:pPr>
    </w:p>
    <w:p>
      <w:pPr>
        <w:pStyle w:val="BodyText"/>
        <w:spacing w:line="360" w:lineRule="auto"/>
        <w:ind w:left="810" w:right="115"/>
        <w:jc w:val="both"/>
      </w:pPr>
      <w:r>
        <w:rPr/>
        <w:t>La maquinaria planificadora no debe ser impuesta sobre la población, sino que debe surgir desde sus capas más profundas; el contenido de la planificación no debe ser decidido por un grupo de técnicos, cualquiera que sea su estatura profesional e intelectual, sino que debe ser elaborado con quienes van a realizarla y con quienes va a beneficiar; las finalidades de la planificación no deben ser fijadas desde afuera y desde arriba de los diversos grupos sociales, políticos y económicos de un país, sino que deben ser establecidas, compartidas y apoyadas por ellos (Palerm, 1972). Por tal motivo el diseño de las políticas públicas debe ser desde abajo, es decir, desde el análisis de la problemática local y regional por medio del trabajo de campo y de las consideraciones teóricas que apoyen a éste. Sin embargo para llevar acabo el análisis de la problemática del caso de estudio  se requiere de elaborar un diagnóstico con base en el conocimiento acumulado de los habitantes de la región, como se especifica en el siguiente</w:t>
      </w:r>
      <w:r>
        <w:rPr>
          <w:spacing w:val="-22"/>
        </w:rPr>
        <w:t> </w:t>
      </w:r>
      <w:r>
        <w:rPr/>
        <w:t>apartado.</w:t>
      </w:r>
    </w:p>
    <w:p>
      <w:pPr>
        <w:pStyle w:val="BodyText"/>
        <w:spacing w:before="4"/>
        <w:rPr>
          <w:sz w:val="17"/>
        </w:rPr>
      </w:pPr>
    </w:p>
    <w:p>
      <w:pPr>
        <w:pStyle w:val="Heading6"/>
        <w:numPr>
          <w:ilvl w:val="1"/>
          <w:numId w:val="34"/>
        </w:numPr>
        <w:tabs>
          <w:tab w:pos="532" w:val="left" w:leader="none"/>
        </w:tabs>
        <w:spacing w:line="240" w:lineRule="auto" w:before="0" w:after="0"/>
        <w:ind w:left="531" w:right="0" w:hanging="429"/>
        <w:jc w:val="both"/>
      </w:pPr>
      <w:bookmarkStart w:name="_TOC_250043" w:id="31"/>
      <w:r>
        <w:rPr/>
        <w:t>La problemática regional y la planeación</w:t>
      </w:r>
      <w:r>
        <w:rPr>
          <w:spacing w:val="-9"/>
        </w:rPr>
        <w:t> </w:t>
      </w:r>
      <w:bookmarkEnd w:id="31"/>
      <w:r>
        <w:rPr/>
        <w:t>nacional</w:t>
      </w:r>
    </w:p>
    <w:p>
      <w:pPr>
        <w:pStyle w:val="BodyText"/>
        <w:spacing w:before="8"/>
        <w:rPr>
          <w:b/>
          <w:sz w:val="28"/>
        </w:rPr>
      </w:pPr>
    </w:p>
    <w:p>
      <w:pPr>
        <w:pStyle w:val="BodyText"/>
        <w:spacing w:line="360" w:lineRule="auto"/>
        <w:ind w:left="102" w:right="115"/>
        <w:jc w:val="both"/>
        <w:rPr>
          <w:i/>
        </w:rPr>
      </w:pPr>
      <w:r>
        <w:rPr/>
        <w:t>Se hace evidente que la recopilación de datos recurriendo a series estadísticas, indicadores, muestreos, encuestas y estudios especiales, no puede reducirse al marco de los medios de producción, mercados, recursos naturales, producto bruto, ingreso, etc. Es decir, la investigación de la planificación debe dirigirse con la misma intensidad que se hace con el clima, suelos, vegetación, etc., hacia las estructuras sociales, políticas y culturales, y a su funcionamiento, información que comúnmente no se encuentra en los censos u otros informes de tipo oficial, sino </w:t>
      </w:r>
      <w:r>
        <w:rPr>
          <w:i/>
        </w:rPr>
        <w:t>hay que generarla a partir del trabajo de</w:t>
      </w:r>
    </w:p>
    <w:p>
      <w:pPr>
        <w:spacing w:after="0" w:line="360" w:lineRule="auto"/>
        <w:jc w:val="both"/>
        <w:sectPr>
          <w:pgSz w:w="12240" w:h="15840"/>
          <w:pgMar w:header="0" w:footer="1003" w:top="1360" w:bottom="1200" w:left="1600" w:right="1580"/>
        </w:sectPr>
      </w:pPr>
    </w:p>
    <w:p>
      <w:pPr>
        <w:pStyle w:val="BodyText"/>
        <w:spacing w:line="360" w:lineRule="auto" w:before="56"/>
        <w:ind w:left="102" w:right="117"/>
        <w:jc w:val="both"/>
      </w:pPr>
      <w:r>
        <w:rPr>
          <w:i/>
        </w:rPr>
        <w:t>campo </w:t>
      </w:r>
      <w:r>
        <w:rPr/>
        <w:t>porque el establecimiento de la problemática y la elaboración del diagnóstico no pueden avanzar mucho sin realizar este esfuerzo.</w:t>
      </w:r>
    </w:p>
    <w:p>
      <w:pPr>
        <w:pStyle w:val="BodyText"/>
        <w:spacing w:before="7"/>
        <w:rPr>
          <w:sz w:val="17"/>
        </w:rPr>
      </w:pPr>
    </w:p>
    <w:p>
      <w:pPr>
        <w:pStyle w:val="BodyText"/>
        <w:spacing w:line="360" w:lineRule="auto"/>
        <w:ind w:left="102" w:right="114"/>
        <w:jc w:val="both"/>
        <w:rPr>
          <w:i/>
        </w:rPr>
      </w:pPr>
      <w:r>
        <w:rPr/>
        <w:t>Se hace evidente por la falta de información oficial sobre aspectos tan importantes sobre estructuras sociales, que las técnicas de investigación de la problemática regional deben completarse con un sistema de “consulta” con la población (trabajo de campo). Aquí se trata de aprovechar en forma crítica, pero también mentalmente abierta, el enorme caudal de conocimiento, experiencia y reflexión acumulado por los habitantes de la región. La importancia de este sistema de obtención de datos, es mayor cuanto más grande es la escasez de fuentes de información (censos, estadísticas, etc). </w:t>
      </w:r>
      <w:r>
        <w:rPr>
          <w:i/>
        </w:rPr>
        <w:t>La consulta a la población </w:t>
      </w:r>
      <w:r>
        <w:rPr>
          <w:i/>
        </w:rPr>
        <w:t>permite descubrir cuáles son sus aspiraciones y deseos.</w:t>
      </w:r>
    </w:p>
    <w:p>
      <w:pPr>
        <w:pStyle w:val="BodyText"/>
        <w:spacing w:before="9"/>
        <w:rPr>
          <w:i/>
          <w:sz w:val="17"/>
        </w:rPr>
      </w:pPr>
    </w:p>
    <w:p>
      <w:pPr>
        <w:pStyle w:val="BodyText"/>
        <w:spacing w:line="360" w:lineRule="auto"/>
        <w:ind w:left="102" w:right="114"/>
        <w:jc w:val="both"/>
      </w:pPr>
      <w:r>
        <w:rPr/>
        <w:t>Los antropólogos aprendieron por amargas experiencias, que las aspiraciones de la población no siempre coinciden o expresan necesidades de primer orden que los economistas o ingenieros consideran como tales. Es decir, se debe de ver en la consulta  a la población, un proceso vital y necesario en la planificación, en el transcurso de la cual todos los participantes aprenden, modifican y refinan sus puntos de vista y enfoque, y se preparan para llevar adelante con éxito una obra</w:t>
      </w:r>
      <w:r>
        <w:rPr>
          <w:spacing w:val="-10"/>
        </w:rPr>
        <w:t> </w:t>
      </w:r>
      <w:r>
        <w:rPr/>
        <w:t>común.</w:t>
      </w:r>
    </w:p>
    <w:p>
      <w:pPr>
        <w:pStyle w:val="BodyText"/>
        <w:spacing w:before="9"/>
        <w:rPr>
          <w:sz w:val="17"/>
        </w:rPr>
      </w:pPr>
    </w:p>
    <w:p>
      <w:pPr>
        <w:spacing w:line="360" w:lineRule="auto" w:before="0"/>
        <w:ind w:left="102" w:right="115" w:firstLine="0"/>
        <w:jc w:val="both"/>
        <w:rPr>
          <w:sz w:val="22"/>
        </w:rPr>
      </w:pPr>
      <w:r>
        <w:rPr>
          <w:sz w:val="22"/>
        </w:rPr>
        <w:t>Palerm (1972), ubica el establecimiento de la problemática colocando a la región en su contexto nacional. Debe recordarse constantemente que </w:t>
      </w:r>
      <w:r>
        <w:rPr>
          <w:i/>
          <w:sz w:val="22"/>
        </w:rPr>
        <w:t>uno de los propósitos centrales </w:t>
      </w:r>
      <w:r>
        <w:rPr>
          <w:i/>
          <w:sz w:val="22"/>
        </w:rPr>
        <w:t>del desarrollo, consiste en articular todo el espacio nacional, donde el proceso de desarrollo se concibe como la realización de este proceso de articulación</w:t>
      </w:r>
      <w:r>
        <w:rPr>
          <w:sz w:val="22"/>
        </w:rPr>
        <w:t>. La situación ideal para el planificador regional es aquella en la que puede contar con un plan nacional; y en ausencia de él, con claros lineamientos de una política nacional de desarrollo.</w:t>
      </w:r>
    </w:p>
    <w:p>
      <w:pPr>
        <w:pStyle w:val="BodyText"/>
        <w:spacing w:before="7"/>
        <w:rPr>
          <w:sz w:val="17"/>
        </w:rPr>
      </w:pPr>
    </w:p>
    <w:p>
      <w:pPr>
        <w:pStyle w:val="Heading6"/>
        <w:numPr>
          <w:ilvl w:val="2"/>
          <w:numId w:val="34"/>
        </w:numPr>
        <w:tabs>
          <w:tab w:pos="716" w:val="left" w:leader="none"/>
        </w:tabs>
        <w:spacing w:line="240" w:lineRule="auto" w:before="0" w:after="0"/>
        <w:ind w:left="102" w:right="0" w:firstLine="0"/>
        <w:jc w:val="both"/>
      </w:pPr>
      <w:bookmarkStart w:name="_TOC_250042" w:id="32"/>
      <w:r>
        <w:rPr/>
        <w:t>Diagnóstico y concepción estratégica para elaborar un</w:t>
      </w:r>
      <w:r>
        <w:rPr>
          <w:spacing w:val="-15"/>
        </w:rPr>
        <w:t> </w:t>
      </w:r>
      <w:bookmarkEnd w:id="32"/>
      <w:r>
        <w:rPr/>
        <w:t>plan</w:t>
      </w:r>
    </w:p>
    <w:p>
      <w:pPr>
        <w:pStyle w:val="BodyText"/>
        <w:spacing w:before="5"/>
        <w:rPr>
          <w:b/>
          <w:sz w:val="28"/>
        </w:rPr>
      </w:pPr>
    </w:p>
    <w:p>
      <w:pPr>
        <w:pStyle w:val="BodyText"/>
        <w:spacing w:line="360" w:lineRule="auto" w:before="1"/>
        <w:ind w:left="102" w:right="119"/>
        <w:jc w:val="both"/>
      </w:pPr>
      <w:r>
        <w:rPr/>
        <w:t>El siguiente punto identificado es la elaboración del diagnóstico, el cual constituye el principio o partida para la elaboración de la estrategia del desarrollo regional. La formulación del diagnóstico es una tarea extremadamente delicada; por una parte, debe sintetizar los datos esenciales de la problemática, y a la vez indicar, con la mayor claridad posible, las relaciones internas y los sistemas de influencias mutuas de los diversos sectores.</w:t>
      </w:r>
    </w:p>
    <w:p>
      <w:pPr>
        <w:pStyle w:val="BodyText"/>
        <w:spacing w:before="7"/>
        <w:rPr>
          <w:sz w:val="17"/>
        </w:rPr>
      </w:pPr>
    </w:p>
    <w:p>
      <w:pPr>
        <w:pStyle w:val="BodyText"/>
        <w:spacing w:line="360" w:lineRule="auto"/>
        <w:ind w:left="102" w:right="114"/>
        <w:jc w:val="both"/>
      </w:pPr>
      <w:r>
        <w:rPr/>
        <w:t>Es muy importante no olvidar que debe inscribirse el diagnóstico regional en el cuadro macroscópico de la nación, de la cual es dependiente. En otras palabras, el paso del</w:t>
      </w:r>
    </w:p>
    <w:p>
      <w:pPr>
        <w:spacing w:after="0" w:line="360" w:lineRule="auto"/>
        <w:jc w:val="both"/>
        <w:sectPr>
          <w:pgSz w:w="12240" w:h="15840"/>
          <w:pgMar w:header="0" w:footer="1003" w:top="1360" w:bottom="1200" w:left="1600" w:right="1580"/>
        </w:sectPr>
      </w:pPr>
    </w:p>
    <w:p>
      <w:pPr>
        <w:pStyle w:val="BodyText"/>
        <w:spacing w:line="360" w:lineRule="auto" w:before="56"/>
        <w:ind w:left="102" w:right="118"/>
        <w:jc w:val="both"/>
      </w:pPr>
      <w:r>
        <w:rPr/>
        <w:t>establecimiento de la problemática a la formulación del diagnóstico y de allí a la elaboración de la estrategia, constituye un proceso continuo, un proceso gradual hacia un objetivo que es el plan regional.</w:t>
      </w:r>
    </w:p>
    <w:p>
      <w:pPr>
        <w:pStyle w:val="BodyText"/>
        <w:spacing w:before="9"/>
        <w:rPr>
          <w:sz w:val="17"/>
        </w:rPr>
      </w:pPr>
    </w:p>
    <w:p>
      <w:pPr>
        <w:pStyle w:val="BodyText"/>
        <w:spacing w:line="360" w:lineRule="auto"/>
        <w:ind w:left="102" w:right="117"/>
        <w:jc w:val="both"/>
      </w:pPr>
      <w:r>
        <w:rPr/>
        <w:t>De manera general pero sistemática, Palerm señala que los propósitos centrales de la formulación estratégica son expresar la manera en que pueden atacarse los problemas, indicando en sus grandes líneas la forma que el plan debería adoptar; suministrar la idea de sus etapas principales y de los objetivos a alcanzar en cada una de ellas, seleccionando las direcciones de acción que parecen más prometedoras, sugerir los medios de acción y sus principales instrumentos. Así la estrategia se convierte en la concepción global que corona el establecimiento de la problemática y la formulación del diagnóstico, y que está destinada a regir la preparación concreta del plan de desarrollo. Desde este punto de vista, la estrategia se expresa en una serie de propuestas de decisión dirigidas a los organismos públicos. Una vez adoptadas las decisiones, éstas a su vez, crean el primer cuadro general de referencia y de información para la reparación de la acción del sector</w:t>
      </w:r>
      <w:r>
        <w:rPr>
          <w:spacing w:val="-11"/>
        </w:rPr>
        <w:t> </w:t>
      </w:r>
      <w:r>
        <w:rPr/>
        <w:t>privado.</w:t>
      </w:r>
    </w:p>
    <w:p>
      <w:pPr>
        <w:pStyle w:val="BodyText"/>
        <w:spacing w:before="7"/>
        <w:rPr>
          <w:sz w:val="17"/>
        </w:rPr>
      </w:pPr>
    </w:p>
    <w:p>
      <w:pPr>
        <w:pStyle w:val="BodyText"/>
        <w:spacing w:line="360" w:lineRule="auto"/>
        <w:ind w:left="102" w:right="113"/>
        <w:jc w:val="both"/>
      </w:pPr>
      <w:r>
        <w:rPr/>
        <w:t>Es con la concepción estratégica que culmina un largo periodo de estudios, consultas y análisis; convierte todo este material en fundamento para las decisiones del sector  público; rige la preparación concreta del plan, e inicia con ello realmente su periodo de ejecución (Cfr. Palerm,</w:t>
      </w:r>
      <w:r>
        <w:rPr>
          <w:spacing w:val="-7"/>
        </w:rPr>
        <w:t> </w:t>
      </w:r>
      <w:r>
        <w:rPr/>
        <w:t>1972).</w:t>
      </w:r>
    </w:p>
    <w:p>
      <w:pPr>
        <w:pStyle w:val="BodyText"/>
        <w:spacing w:before="4"/>
        <w:rPr>
          <w:sz w:val="17"/>
        </w:rPr>
      </w:pPr>
    </w:p>
    <w:p>
      <w:pPr>
        <w:pStyle w:val="Heading6"/>
        <w:numPr>
          <w:ilvl w:val="2"/>
          <w:numId w:val="34"/>
        </w:numPr>
        <w:tabs>
          <w:tab w:pos="762" w:val="left" w:leader="none"/>
        </w:tabs>
        <w:spacing w:line="360" w:lineRule="auto" w:before="0" w:after="0"/>
        <w:ind w:left="102" w:right="114" w:firstLine="0"/>
        <w:jc w:val="both"/>
      </w:pPr>
      <w:r>
        <w:rPr/>
        <w:t>De la formulación del diagnóstico al diseño de una política pública desde abajo</w:t>
      </w:r>
    </w:p>
    <w:p>
      <w:pPr>
        <w:pStyle w:val="BodyText"/>
        <w:rPr>
          <w:b/>
          <w:sz w:val="18"/>
        </w:rPr>
      </w:pPr>
    </w:p>
    <w:p>
      <w:pPr>
        <w:pStyle w:val="BodyText"/>
        <w:spacing w:line="360" w:lineRule="auto"/>
        <w:ind w:left="102" w:right="118"/>
        <w:jc w:val="both"/>
      </w:pPr>
      <w:r>
        <w:rPr/>
        <w:t>El siguiente paso identificado es la articulación del plan regional, el cual consiste de una serie de proyectos seleccionados de acuerdo con orden de prioridad y urgencia, siguiendo las guías fijadas por la concepción estratégica del desarrollo de la región, empezando por la de mayor impacto.</w:t>
      </w:r>
    </w:p>
    <w:p>
      <w:pPr>
        <w:pStyle w:val="BodyText"/>
        <w:spacing w:before="7"/>
        <w:rPr>
          <w:sz w:val="17"/>
        </w:rPr>
      </w:pPr>
    </w:p>
    <w:p>
      <w:pPr>
        <w:pStyle w:val="BodyText"/>
        <w:spacing w:line="360" w:lineRule="auto"/>
        <w:ind w:left="102" w:right="117"/>
        <w:jc w:val="both"/>
      </w:pPr>
      <w:r>
        <w:rPr/>
        <w:t>Dichos proyectos pueden haber sido elegidos entre los otros muchos ya existentes o bien preparados especialmente por los organismos de planificación y por otras instituciones públicas y privadas. El hecho importante, es que existen criterios específicos para la selección y preparación de los proyectos que integran el plan, y que estos criterios surgen de la concepción estratégica del desarrollo de la región.</w:t>
      </w:r>
    </w:p>
    <w:p>
      <w:pPr>
        <w:spacing w:after="0" w:line="360" w:lineRule="auto"/>
        <w:jc w:val="both"/>
        <w:sectPr>
          <w:footerReference w:type="default" r:id="rId31"/>
          <w:pgSz w:w="12240" w:h="15840"/>
          <w:pgMar w:footer="1003" w:header="0" w:top="1360" w:bottom="1200" w:left="1600" w:right="1580"/>
        </w:sectPr>
      </w:pPr>
    </w:p>
    <w:p>
      <w:pPr>
        <w:spacing w:line="360" w:lineRule="auto" w:before="56"/>
        <w:ind w:left="102" w:right="112" w:firstLine="0"/>
        <w:jc w:val="both"/>
        <w:rPr>
          <w:sz w:val="22"/>
        </w:rPr>
      </w:pPr>
      <w:r>
        <w:rPr>
          <w:sz w:val="22"/>
        </w:rPr>
        <w:t>En síntesis, el proceso que se ha tratado de identificar y describir en Palerm (1972), </w:t>
      </w:r>
      <w:r>
        <w:rPr>
          <w:i/>
          <w:sz w:val="22"/>
          <w:u w:val="single"/>
        </w:rPr>
        <w:t>va </w:t>
      </w:r>
      <w:r>
        <w:rPr>
          <w:i/>
          <w:sz w:val="22"/>
          <w:u w:val="single"/>
        </w:rPr>
        <w:t>desde el establecimiento de la problemática a la formulación del diagnóstico y a la elaboración de la estrategia, y de ahí a la confección del plan </w:t>
      </w:r>
      <w:r>
        <w:rPr>
          <w:sz w:val="22"/>
        </w:rPr>
        <w:t>como conjunto sin rígidos determinismos internos, donde se aprecia cada fase del proceso como un momento de profundización y extensión del conocimiento de la región, y como una coyuntura en la que se presentan una serie de opciones y alternativas entre las cuales hay que elegir y seleccionar.</w:t>
      </w:r>
    </w:p>
    <w:p>
      <w:pPr>
        <w:pStyle w:val="BodyText"/>
        <w:spacing w:before="7"/>
        <w:rPr>
          <w:sz w:val="17"/>
        </w:rPr>
      </w:pPr>
    </w:p>
    <w:p>
      <w:pPr>
        <w:pStyle w:val="BodyText"/>
        <w:spacing w:line="360" w:lineRule="auto"/>
        <w:ind w:left="102" w:right="119"/>
        <w:jc w:val="both"/>
      </w:pPr>
      <w:r>
        <w:rPr/>
        <w:t>De ninguna manera debe pensarse que la entrada en una nueva etapa elimina la necesidad de reconsiderar las anteriores, precisamente a la luz de los nuevos conocimientos y de las opciones que se han propuesto. Así, el producto final concreto, es decir, los proyectos englobados en el plan, contribuyen a darnos una visión nueva y reestructurada de la totalidad del proceso, cosa que con frecuencia nos obliga, a la vez, a modificar el contenido mismo del plan. Lo que el plan regional debe plantearse esencialmente, es el desarrollo de la región misma, y con él y por su medio, el crecimiento global de la nación.</w:t>
      </w:r>
    </w:p>
    <w:p>
      <w:pPr>
        <w:pStyle w:val="BodyText"/>
        <w:spacing w:before="7"/>
        <w:rPr>
          <w:sz w:val="17"/>
        </w:rPr>
      </w:pPr>
    </w:p>
    <w:p>
      <w:pPr>
        <w:pStyle w:val="BodyText"/>
        <w:spacing w:line="360" w:lineRule="auto"/>
        <w:ind w:left="102" w:right="112"/>
        <w:jc w:val="both"/>
      </w:pPr>
      <w:r>
        <w:rPr/>
        <w:t>El siguiente paso en Palerm (1972), es que de acuerdo con este principio, es posible formular criterios generales para la adopción o rechazo prioritario de los proyectos. Uno  de ellos es el determinado por la imperiosa y urgente necesidad de hacer el uso más completo y eficaz posible de los recursos naturales de la región, primordialmente del suelo.</w:t>
      </w:r>
    </w:p>
    <w:p>
      <w:pPr>
        <w:pStyle w:val="BodyText"/>
        <w:spacing w:before="7"/>
        <w:rPr>
          <w:sz w:val="17"/>
        </w:rPr>
      </w:pPr>
    </w:p>
    <w:p>
      <w:pPr>
        <w:pStyle w:val="BodyText"/>
        <w:spacing w:line="360" w:lineRule="auto"/>
        <w:ind w:left="102" w:right="114"/>
        <w:jc w:val="both"/>
      </w:pPr>
      <w:r>
        <w:rPr/>
        <w:t>En conclusión, para Palerm (1972) los criterios generales que guían la confección del plan de desarrollo a partir de la estrategia, deben basarse constantemente en la mejor utilización de los recursos naturales y humanos, en la aproximación a la igualdad de oportunidades, en el papel innovador que la región puede desempeñar y en sus posibilidades de especialización funcional. Es la selección de los proyectos que lleva al planificador regional a la última fase del trabajo previo a la ejecución misma del plan. O sea, a la coordinación e interrelación de los proyectos en términos de espacio y tiempo.</w:t>
      </w:r>
    </w:p>
    <w:p>
      <w:pPr>
        <w:pStyle w:val="BodyText"/>
        <w:spacing w:before="7"/>
        <w:rPr>
          <w:sz w:val="17"/>
        </w:rPr>
      </w:pPr>
    </w:p>
    <w:p>
      <w:pPr>
        <w:pStyle w:val="BodyText"/>
        <w:spacing w:line="360" w:lineRule="auto"/>
        <w:ind w:left="102" w:right="116"/>
        <w:jc w:val="both"/>
      </w:pPr>
      <w:r>
        <w:rPr/>
        <w:t>Dicho de otra manera, los proyectos deben ordenarse en una secuencia de realización y deben ubicarse en el marco físico de la región. A primera vista esto se nos aparece por un lado como un típico problema de ingeniería, y por otro, como una cuestión de análisis económico  utilizando  las  técnicas  usuales.  Sin  embargo,  indica  Palerm,  que  existen</w:t>
      </w:r>
    </w:p>
    <w:p>
      <w:pPr>
        <w:spacing w:after="0" w:line="360" w:lineRule="auto"/>
        <w:jc w:val="both"/>
        <w:sectPr>
          <w:footerReference w:type="default" r:id="rId32"/>
          <w:pgSz w:w="12240" w:h="15840"/>
          <w:pgMar w:footer="1003" w:header="0" w:top="1360" w:bottom="1200" w:left="1600" w:right="1580"/>
          <w:pgNumType w:start="91"/>
        </w:sectPr>
      </w:pPr>
    </w:p>
    <w:p>
      <w:pPr>
        <w:pStyle w:val="BodyText"/>
        <w:spacing w:line="360" w:lineRule="auto" w:before="56"/>
        <w:ind w:left="102" w:right="120"/>
        <w:jc w:val="both"/>
      </w:pPr>
      <w:r>
        <w:rPr/>
        <w:t>cuando menos cuatro enfoques principales, no excluyentes entre sí, para la coordinación interna del plan:</w:t>
      </w:r>
    </w:p>
    <w:p>
      <w:pPr>
        <w:pStyle w:val="BodyText"/>
        <w:spacing w:before="7"/>
        <w:rPr>
          <w:sz w:val="17"/>
        </w:rPr>
      </w:pPr>
    </w:p>
    <w:p>
      <w:pPr>
        <w:pStyle w:val="BodyText"/>
        <w:spacing w:line="362" w:lineRule="auto"/>
        <w:ind w:left="102" w:right="118"/>
        <w:jc w:val="both"/>
      </w:pPr>
      <w:r>
        <w:rPr/>
        <w:t>-1.- Los proyectos pueden distribuirse dentro de la región de acuerdo con las ventajas comparativas de su localización individual.</w:t>
      </w:r>
    </w:p>
    <w:p>
      <w:pPr>
        <w:pStyle w:val="BodyText"/>
        <w:spacing w:before="4"/>
        <w:rPr>
          <w:sz w:val="17"/>
        </w:rPr>
      </w:pPr>
    </w:p>
    <w:p>
      <w:pPr>
        <w:pStyle w:val="BodyText"/>
        <w:spacing w:line="360" w:lineRule="auto"/>
        <w:ind w:left="102" w:right="114"/>
        <w:jc w:val="both"/>
      </w:pPr>
      <w:r>
        <w:rPr/>
        <w:t>-2.- Los proyectos pueden organizarse y localizarse de acuerdo con proyecto principal que les sirva de eje. El enfoque responde, esencialmente, a las necesidades de una región cuya inercia hay que romper por medio de un esfuerzo muy enérgico y que, por otra parte, dispone de algún recurso de gran importancia sin explotar o insuficientemente utilizado.  En unos casos puede tratarse de un recurso hidráulico (riego, energía), en otros pueden ser depósitos minerales (hierro, carbón, gas natural, petróleo) u otros recursos. La concentración en un esfuerzo principal de “ruptura del equilibrio” resulta sumamente conveniente.</w:t>
      </w:r>
    </w:p>
    <w:p>
      <w:pPr>
        <w:pStyle w:val="BodyText"/>
        <w:spacing w:before="7"/>
        <w:rPr>
          <w:sz w:val="17"/>
        </w:rPr>
      </w:pPr>
    </w:p>
    <w:p>
      <w:pPr>
        <w:pStyle w:val="BodyText"/>
        <w:spacing w:line="360" w:lineRule="auto"/>
        <w:ind w:left="102" w:right="113"/>
        <w:jc w:val="both"/>
      </w:pPr>
      <w:r>
        <w:rPr/>
        <w:t>-3.- Los proyectos pueden organizarse en términos de varias subregiones, es decir, siguiendo la técnica de establecer diferentes áreas de concentración dentro de una misma región. Parece aconsejable hacerlo, cuando la región carece de un recurso abundante y poco explotado, y a la vez no ha conseguido todavía romper su inercia. En estos casos, y particularmente cuando existan problemas de migración, subocupación y desempleo, los proyectos deben seleccionarse y coordinarse en términos del establecimiento de complejos agro-industriales basados en la intensificación de la agricultura y en el aprovechamiento industrial de sus productos.</w:t>
      </w:r>
    </w:p>
    <w:p>
      <w:pPr>
        <w:pStyle w:val="BodyText"/>
        <w:spacing w:before="7"/>
        <w:rPr>
          <w:sz w:val="17"/>
        </w:rPr>
      </w:pPr>
    </w:p>
    <w:p>
      <w:pPr>
        <w:pStyle w:val="BodyText"/>
        <w:spacing w:line="360" w:lineRule="auto"/>
        <w:ind w:left="102" w:right="113"/>
        <w:jc w:val="both"/>
      </w:pPr>
      <w:r>
        <w:rPr/>
        <w:t>-4.- Los proyectos pueden organizarse y localizarse en términos de uno o varios polos de desarrollo y promoción. Se aplica así, en forma sistemática, la observación empírica de que el crecimiento nunca se efectúa de manera uniforme sobre toda una región. Sino que aparecen en ella, uno o varios puntos dinámicos desde los cuales se propaga el crecimiento. En otras palabras, el espacio económico resulta ser un espacio polarizado, cuyos puntos de crecimiento, están en tensión con el resto de la zona. Este enfoque trata de obtener la mayor utilidad posible de tres factores principales: a) el de las actividades económicas llamadas motrices, caracterizadas no sólo por su crecimiento individual, sino también por su capacidad de arrastrar en su expansión y de promover la aparición y desarrollo de otras actividades; b) el de las economías de aglomeración por medio de concentraciones juiciosas; y c) el de la intensa utilización de un recurso importante que se apreste a realizar una serie de actividades derivadas y complementarias.</w:t>
      </w:r>
    </w:p>
    <w:p>
      <w:pPr>
        <w:spacing w:after="0" w:line="360" w:lineRule="auto"/>
        <w:jc w:val="both"/>
        <w:sectPr>
          <w:pgSz w:w="12240" w:h="15840"/>
          <w:pgMar w:header="0" w:footer="1003" w:top="1360" w:bottom="1200" w:left="1600" w:right="1580"/>
        </w:sectPr>
      </w:pPr>
    </w:p>
    <w:p>
      <w:pPr>
        <w:pStyle w:val="Heading6"/>
        <w:numPr>
          <w:ilvl w:val="2"/>
          <w:numId w:val="34"/>
        </w:numPr>
        <w:tabs>
          <w:tab w:pos="764" w:val="left" w:leader="none"/>
        </w:tabs>
        <w:spacing w:line="360" w:lineRule="auto" w:before="53" w:after="0"/>
        <w:ind w:left="102" w:right="119" w:firstLine="0"/>
        <w:jc w:val="both"/>
      </w:pPr>
      <w:r>
        <w:rPr/>
        <w:t>El organismo regional de planificación y su capacidad de diseño para las políticas públicas desde</w:t>
      </w:r>
      <w:r>
        <w:rPr>
          <w:spacing w:val="-7"/>
        </w:rPr>
        <w:t> </w:t>
      </w:r>
      <w:r>
        <w:rPr/>
        <w:t>abajo</w:t>
      </w:r>
    </w:p>
    <w:p>
      <w:pPr>
        <w:pStyle w:val="BodyText"/>
        <w:spacing w:before="9"/>
        <w:rPr>
          <w:b/>
          <w:sz w:val="17"/>
        </w:rPr>
      </w:pPr>
    </w:p>
    <w:p>
      <w:pPr>
        <w:pStyle w:val="BodyText"/>
        <w:spacing w:line="360" w:lineRule="auto"/>
        <w:ind w:left="102" w:right="115"/>
        <w:jc w:val="both"/>
      </w:pPr>
      <w:r>
        <w:rPr/>
        <w:t>Palerm (1972), menciona algunas condiciones sobre el Organismo Regional de Planificación, dando por supuesto que la necesidad de un organismo semejante está implícita en la misma idea de planificación regional. En este sentido, advierte que el Organismo de Planificación debe ser capaz no sólo de formular un plan, sino de reunir y coordinar para ello varios sectores de una obra común: 1.- el sector técnico encargado de la dirección de los estudios y de la preparación del plan; es decir, el cuerpo propio del organismo de planeamiento. 2.- el sector público en sus tres niveles: el nacional, mediante sus agencias e instituciones en la región; el regional, o sea, los organismos propios del área; el local y subregional, por medio de los municipios y otras instituciones de base. 3.- el sector privado, representado asimismo en los tres niveles mencionados, por medio de las cámaras industriales y comerciales, bancos, sindicatos, asociaciones profesionales, ligas agrarias y universidades.</w:t>
      </w:r>
    </w:p>
    <w:p>
      <w:pPr>
        <w:pStyle w:val="BodyText"/>
        <w:spacing w:before="7"/>
        <w:rPr>
          <w:sz w:val="17"/>
        </w:rPr>
      </w:pPr>
    </w:p>
    <w:p>
      <w:pPr>
        <w:pStyle w:val="BodyText"/>
        <w:spacing w:line="360" w:lineRule="auto"/>
        <w:ind w:left="102" w:right="115"/>
        <w:jc w:val="both"/>
      </w:pPr>
      <w:r>
        <w:rPr/>
        <w:t>En última instancia, la planificación integrada no consiste solamente en tomar en cuenta la totalidad de los problemas y ver la cuestión del desarrollo como una cuestión global, sino también en hacer del proceso de planificación una tarea de todos los grupos sociales y un instrumento para conseguir su propia integración por sus caminos propios a la nación mediante políticas públicas diseñadas desde abajo, es decir desde el ámbito regional.</w:t>
      </w:r>
    </w:p>
    <w:p>
      <w:pPr>
        <w:pStyle w:val="BodyText"/>
        <w:spacing w:before="4"/>
        <w:rPr>
          <w:sz w:val="17"/>
        </w:rPr>
      </w:pPr>
    </w:p>
    <w:p>
      <w:pPr>
        <w:pStyle w:val="Heading6"/>
        <w:ind w:left="747"/>
      </w:pPr>
      <w:r>
        <w:rPr/>
        <w:t>Esquema 2.4. La planeación regional articulada a la planeación nacional</w:t>
      </w:r>
    </w:p>
    <w:p>
      <w:pPr>
        <w:pStyle w:val="BodyText"/>
        <w:rPr>
          <w:b/>
          <w:sz w:val="20"/>
        </w:rPr>
      </w:pPr>
    </w:p>
    <w:p>
      <w:pPr>
        <w:pStyle w:val="BodyText"/>
        <w:spacing w:before="3"/>
        <w:rPr>
          <w:b/>
          <w:sz w:val="11"/>
        </w:rPr>
      </w:pPr>
      <w:r>
        <w:rPr/>
        <w:pict>
          <v:group style="position:absolute;margin-left:197.330002pt;margin-top:8.469934pt;width:216.15pt;height:154.550pt;mso-position-horizontal-relative:page;mso-position-vertical-relative:paragraph;z-index:2296;mso-wrap-distance-left:0;mso-wrap-distance-right:0" coordorigin="3947,169" coordsize="4323,3091">
            <v:shape style="position:absolute;left:4773;top:189;width:2579;height:1854" coordorigin="4773,189" coordsize="2579,1854" path="m4773,1116l4776,1053,4785,990,4799,929,4819,870,4844,812,4874,755,4909,701,4949,648,4993,598,5042,550,5094,504,5151,461,5211,420,5274,382,5341,348,5412,316,5485,287,5560,262,5639,241,5720,222,5803,208,5887,198,5974,192,6062,189,6151,192,6237,198,6322,208,6405,222,6486,241,6564,262,6640,287,6713,316,6783,348,6850,382,6914,420,6974,461,7031,504,7083,550,7132,598,7176,648,7215,701,7250,755,7281,812,7306,870,7326,929,7340,990,7349,1053,7352,1116,7349,1179,7340,1242,7326,1303,7306,1362,7281,1420,7250,1477,7215,1531,7176,1584,7132,1634,7083,1682,7031,1728,6974,1771,6914,1812,6850,1850,6783,1884,6713,1916,6640,1945,6564,1970,6486,1991,6405,2010,6322,2024,6237,2034,6151,2040,6062,2043,5974,2040,5887,2034,5803,2024,5720,2010,5639,1991,5560,1970,5485,1945,5412,1916,5341,1884,5274,1850,5211,1812,5151,1771,5094,1728,5042,1682,4993,1634,4949,1584,4909,1531,4874,1477,4844,1420,4819,1362,4799,1303,4785,1242,4776,1179,4773,1116xe" filled="false" stroked="true" strokeweight="2.0pt" strokecolor="#000000">
              <v:path arrowok="t"/>
            </v:shape>
            <v:shape style="position:absolute;left:5164;top:1386;width:3085;height:1854" coordorigin="5164,1386" coordsize="3085,1854" path="m6707,1386l6613,1388,6520,1393,6429,1401,6340,1412,6253,1427,6168,1444,6086,1464,6006,1487,5928,1513,5853,1541,5782,1571,5713,1604,5647,1639,5585,1677,5527,1716,5472,1757,5422,1800,5375,1845,5332,1892,5294,1940,5232,2041,5189,2146,5167,2257,5164,2313,5167,2369,5189,2480,5232,2585,5294,2686,5332,2734,5375,2781,5422,2826,5472,2869,5527,2910,5585,2949,5647,2987,5713,3022,5782,3054,5853,3085,5928,3113,6006,3139,6086,3161,6168,3182,6253,3199,6340,3213,6429,3225,6520,3233,6613,3238,6707,3240,6801,3238,6893,3233,6984,3225,7073,3213,7160,3199,7245,3182,7327,3161,7408,3139,7485,3113,7560,3085,7632,3054,7700,3022,7766,2987,7828,2949,7886,2910,7941,2869,7992,2826,8038,2781,8081,2734,8119,2686,8181,2585,8224,2480,8246,2369,8249,2313,8246,2257,8224,2146,8181,2041,8119,1940,8081,1892,8038,1845,7992,1800,7941,1757,7886,1716,7828,1677,7766,1639,7700,1604,7632,1571,7560,1541,7485,1513,7408,1487,7327,1464,7245,1444,7160,1427,7073,1412,6984,1401,6893,1393,6801,1388,6707,1386xe" filled="true" fillcolor="#ffffff" stroked="false">
              <v:path arrowok="t"/>
              <v:fill opacity="32896f" type="solid"/>
            </v:shape>
            <v:shape style="position:absolute;left:5164;top:1386;width:3085;height:1854" coordorigin="5164,1386" coordsize="3085,1854" path="m5164,2313l5175,2201,5208,2093,5261,1990,5332,1892,5375,1845,5422,1800,5472,1757,5527,1716,5585,1677,5647,1639,5713,1604,5782,1571,5853,1541,5928,1513,6006,1487,6086,1464,6168,1444,6253,1427,6340,1412,6429,1401,6520,1393,6613,1388,6707,1386,6801,1388,6893,1393,6984,1401,7073,1412,7160,1427,7245,1444,7327,1464,7408,1487,7485,1513,7560,1541,7632,1571,7700,1604,7766,1639,7828,1677,7886,1716,7941,1757,7992,1800,8038,1845,8081,1892,8119,1940,8181,2041,8224,2146,8246,2257,8249,2313,8246,2369,8224,2480,8181,2585,8119,2686,8081,2734,8038,2781,7992,2826,7941,2869,7886,2910,7828,2949,7766,2987,7700,3022,7632,3054,7560,3085,7485,3113,7408,3139,7327,3161,7245,3182,7160,3199,7073,3213,6984,3225,6893,3233,6801,3238,6707,3240,6613,3238,6520,3233,6429,3225,6340,3213,6253,3199,6168,3182,6086,3161,6006,3139,5928,3113,5853,3085,5782,3054,5713,3022,5647,2987,5585,2949,5527,2910,5472,2869,5422,2826,5375,2781,5332,2734,5294,2686,5232,2585,5189,2480,5167,2369,5164,2313xe" filled="false" stroked="true" strokeweight="2pt" strokecolor="#000000">
              <v:path arrowok="t"/>
            </v:shape>
            <v:shape style="position:absolute;left:3967;top:1348;width:2855;height:1854" coordorigin="3967,1348" coordsize="2855,1854" path="m5394,1348l5303,1349,5215,1355,5127,1364,5042,1376,4959,1391,4878,1410,4799,1432,4723,1456,4649,1484,4578,1514,4510,1546,4446,1582,4385,1619,4327,1659,4273,1701,4222,1745,4176,1791,4134,1839,4096,1888,4063,1939,4010,2046,3978,2158,3967,2274,3969,2333,3991,2447,4034,2557,4096,2660,4134,2710,4176,2758,4222,2804,4273,2848,4327,2890,4385,2930,4446,2967,4510,3002,4578,3035,4649,3065,4723,3092,4799,3117,4878,3139,4959,3157,5042,3173,5127,3185,5215,3194,5303,3199,5394,3201,5484,3199,5573,3194,5660,3185,5745,3173,5828,3157,5909,3139,5988,3117,6065,3092,6138,3065,6209,3035,6277,3002,6341,2967,6403,2930,6461,2890,6515,2848,6565,2804,6611,2758,6654,2710,6691,2660,6725,2609,6777,2503,6810,2391,6821,2274,6818,2216,6796,2102,6753,1992,6691,1888,6654,1839,6611,1791,6565,1745,6515,1701,6461,1659,6403,1619,6341,1582,6277,1546,6209,1514,6138,1484,6065,1456,5988,1432,5909,1410,5828,1391,5745,1376,5660,1364,5573,1355,5484,1349,5394,1348xe" filled="true" fillcolor="#ffffff" stroked="false">
              <v:path arrowok="t"/>
              <v:fill opacity="32896f" type="solid"/>
            </v:shape>
            <v:shape style="position:absolute;left:3967;top:1348;width:2855;height:1854" coordorigin="3967,1348" coordsize="2855,1854" path="m3967,2274l3978,2158,4010,2046,4063,1939,4096,1888,4134,1839,4176,1791,4222,1745,4273,1701,4327,1659,4385,1619,4446,1582,4510,1546,4578,1514,4649,1484,4723,1456,4799,1432,4878,1410,4959,1391,5042,1376,5127,1364,5215,1355,5303,1349,5394,1348,5484,1349,5573,1355,5660,1364,5745,1376,5828,1391,5909,1410,5988,1432,6065,1456,6138,1484,6209,1514,6277,1546,6341,1582,6403,1619,6461,1659,6515,1701,6565,1745,6611,1791,6654,1839,6691,1888,6725,1939,6777,2046,6810,2158,6821,2274,6818,2333,6796,2447,6753,2557,6691,2660,6654,2710,6611,2758,6565,2804,6515,2848,6461,2890,6403,2930,6341,2967,6277,3002,6209,3035,6138,3065,6065,3092,5988,3117,5909,3139,5828,3157,5745,3173,5660,3185,5573,3194,5484,3199,5394,3201,5303,3199,5215,3194,5127,3185,5042,3173,4959,3157,4878,3139,4799,3117,4723,3092,4649,3065,4578,3035,4510,3002,4446,2967,4385,2930,4327,2890,4273,2848,4222,2804,4176,2758,4134,2710,4096,2660,4063,2609,4010,2503,3978,2391,3967,2274xe" filled="false" stroked="true" strokeweight="2pt" strokecolor="#000000">
              <v:path arrowok="t"/>
            </v:shape>
            <v:rect style="position:absolute;left:5400;top:2428;width:1245;height:675" filled="true" fillcolor="#ffffff" stroked="false">
              <v:fill type="solid"/>
            </v:rect>
            <v:rect style="position:absolute;left:5400;top:2428;width:1245;height:675" filled="false" stroked="true" strokeweight=".75pt" strokecolor="#ffffff"/>
            <v:shape style="position:absolute;left:5274;top:686;width:1576;height:490" type="#_x0000_t202" filled="false" stroked="false">
              <v:textbox inset="0,0,0,0">
                <w:txbxContent>
                  <w:p>
                    <w:pPr>
                      <w:spacing w:line="216" w:lineRule="auto" w:before="0"/>
                      <w:ind w:left="21" w:right="-17" w:hanging="22"/>
                      <w:jc w:val="left"/>
                      <w:rPr>
                        <w:b/>
                        <w:sz w:val="24"/>
                      </w:rPr>
                    </w:pPr>
                    <w:r>
                      <w:rPr>
                        <w:b/>
                        <w:sz w:val="24"/>
                      </w:rPr>
                      <w:t>Plan Nacional de Desarrollo</w:t>
                    </w:r>
                  </w:p>
                </w:txbxContent>
              </v:textbox>
              <w10:wrap type="none"/>
            </v:shape>
            <v:shape style="position:absolute;left:4325;top:1967;width:1456;height:737" type="#_x0000_t202" filled="false" stroked="false">
              <v:textbox inset="0,0,0,0">
                <w:txbxContent>
                  <w:p>
                    <w:pPr>
                      <w:spacing w:line="216" w:lineRule="auto" w:before="0"/>
                      <w:ind w:left="0" w:right="0" w:firstLine="379"/>
                      <w:jc w:val="left"/>
                      <w:rPr>
                        <w:b/>
                        <w:sz w:val="24"/>
                      </w:rPr>
                    </w:pPr>
                    <w:r>
                      <w:rPr>
                        <w:b/>
                        <w:sz w:val="24"/>
                      </w:rPr>
                      <w:t>Planes Municipales de Desar</w:t>
                    </w:r>
                  </w:p>
                </w:txbxContent>
              </v:textbox>
              <w10:wrap type="none"/>
            </v:shape>
            <v:shape style="position:absolute;left:6179;top:2130;width:1708;height:241" type="#_x0000_t202" filled="false" stroked="false">
              <v:textbox inset="0,0,0,0">
                <w:txbxContent>
                  <w:p>
                    <w:pPr>
                      <w:spacing w:line="240" w:lineRule="exact" w:before="0"/>
                      <w:ind w:left="0" w:right="-20" w:firstLine="0"/>
                      <w:jc w:val="left"/>
                      <w:rPr>
                        <w:b/>
                        <w:sz w:val="24"/>
                      </w:rPr>
                    </w:pPr>
                    <w:r>
                      <w:rPr>
                        <w:b/>
                        <w:sz w:val="24"/>
                      </w:rPr>
                      <w:t>Plan Estatal de</w:t>
                    </w:r>
                  </w:p>
                </w:txbxContent>
              </v:textbox>
              <w10:wrap type="none"/>
            </v:shape>
            <v:shape style="position:absolute;left:5790;top:2531;width:467;height:221" type="#_x0000_t202" filled="false" stroked="false">
              <v:textbox inset="0,0,0,0">
                <w:txbxContent>
                  <w:p>
                    <w:pPr>
                      <w:spacing w:line="221" w:lineRule="exact" w:before="0"/>
                      <w:ind w:left="0" w:right="-18" w:firstLine="0"/>
                      <w:jc w:val="left"/>
                      <w:rPr>
                        <w:b/>
                        <w:sz w:val="22"/>
                      </w:rPr>
                    </w:pPr>
                    <w:r>
                      <w:rPr>
                        <w:b/>
                        <w:sz w:val="22"/>
                      </w:rPr>
                      <w:t>Plan</w:t>
                    </w:r>
                  </w:p>
                </w:txbxContent>
              </v:textbox>
              <w10:wrap type="none"/>
            </v:shape>
            <v:shape style="position:absolute;left:6611;top:2380;width:1017;height:240" type="#_x0000_t202" filled="false" stroked="false">
              <v:textbox inset="0,0,0,0">
                <w:txbxContent>
                  <w:p>
                    <w:pPr>
                      <w:spacing w:line="240" w:lineRule="exact" w:before="0"/>
                      <w:ind w:left="0" w:right="-17" w:firstLine="0"/>
                      <w:jc w:val="left"/>
                      <w:rPr>
                        <w:b/>
                        <w:sz w:val="24"/>
                      </w:rPr>
                    </w:pPr>
                    <w:r>
                      <w:rPr>
                        <w:b/>
                        <w:sz w:val="24"/>
                      </w:rPr>
                      <w:t>esarrollo</w:t>
                    </w:r>
                  </w:p>
                </w:txbxContent>
              </v:textbox>
              <w10:wrap type="none"/>
            </v:shape>
            <v:shape style="position:absolute;left:5559;top:2821;width:931;height:221" type="#_x0000_t202" filled="false" stroked="false">
              <v:textbox inset="0,0,0,0">
                <w:txbxContent>
                  <w:p>
                    <w:pPr>
                      <w:spacing w:line="221" w:lineRule="exact" w:before="0"/>
                      <w:ind w:left="0" w:right="-18" w:firstLine="0"/>
                      <w:jc w:val="left"/>
                      <w:rPr>
                        <w:b/>
                        <w:sz w:val="22"/>
                      </w:rPr>
                    </w:pPr>
                    <w:r>
                      <w:rPr>
                        <w:b/>
                        <w:sz w:val="22"/>
                      </w:rPr>
                      <w:t>Regional</w:t>
                    </w:r>
                  </w:p>
                </w:txbxContent>
              </v:textbox>
              <w10:wrap type="none"/>
            </v:shape>
            <w10:wrap type="topAndBottom"/>
          </v:group>
        </w:pict>
      </w:r>
    </w:p>
    <w:p>
      <w:pPr>
        <w:pStyle w:val="BodyText"/>
        <w:spacing w:before="2"/>
        <w:rPr>
          <w:b/>
          <w:sz w:val="27"/>
        </w:rPr>
      </w:pPr>
    </w:p>
    <w:p>
      <w:pPr>
        <w:spacing w:line="364" w:lineRule="auto" w:before="1"/>
        <w:ind w:left="102" w:right="126" w:firstLine="0"/>
        <w:jc w:val="both"/>
        <w:rPr>
          <w:sz w:val="20"/>
        </w:rPr>
      </w:pPr>
      <w:r>
        <w:rPr/>
        <w:pict>
          <v:shape style="position:absolute;margin-left:266.951996pt;margin-top:-61.043896pt;width:65.3pt;height:36.15pt;mso-position-horizontal-relative:page;mso-position-vertical-relative:paragraph;z-index:-3341104" type="#_x0000_t202" filled="false" stroked="false">
            <v:textbox inset="0,0,0,0">
              <w:txbxContent>
                <w:p>
                  <w:pPr>
                    <w:tabs>
                      <w:tab w:pos="1098" w:val="left" w:leader="none"/>
                    </w:tabs>
                    <w:spacing w:line="329" w:lineRule="exact" w:before="0"/>
                    <w:ind w:left="0" w:right="0" w:firstLine="0"/>
                    <w:jc w:val="left"/>
                    <w:rPr>
                      <w:b/>
                      <w:sz w:val="24"/>
                    </w:rPr>
                  </w:pPr>
                  <w:r>
                    <w:rPr>
                      <w:b/>
                      <w:sz w:val="24"/>
                    </w:rPr>
                    <w:t>rollo</w:t>
                    <w:tab/>
                  </w:r>
                  <w:r>
                    <w:rPr>
                      <w:b/>
                      <w:position w:val="8"/>
                      <w:sz w:val="24"/>
                    </w:rPr>
                    <w:t>D</w:t>
                  </w:r>
                </w:p>
              </w:txbxContent>
            </v:textbox>
            <w10:wrap type="none"/>
          </v:shape>
        </w:pict>
      </w:r>
      <w:r>
        <w:rPr>
          <w:b/>
          <w:sz w:val="20"/>
        </w:rPr>
        <w:t>Fuente: </w:t>
      </w:r>
      <w:r>
        <w:rPr>
          <w:sz w:val="20"/>
        </w:rPr>
        <w:t>Elaboración propia (2014), con base en datos de Palerm (1993) y de los Planes de Desarrollo Nacional (2013- 2018), Estatal (2011- 2017) y Municipal (2013-2015).</w:t>
      </w:r>
    </w:p>
    <w:p>
      <w:pPr>
        <w:spacing w:after="0" w:line="364" w:lineRule="auto"/>
        <w:jc w:val="both"/>
        <w:rPr>
          <w:sz w:val="20"/>
        </w:rPr>
        <w:sectPr>
          <w:pgSz w:w="12240" w:h="15840"/>
          <w:pgMar w:header="0" w:footer="1003" w:top="1360" w:bottom="1200" w:left="1600" w:right="1580"/>
        </w:sectPr>
      </w:pPr>
    </w:p>
    <w:p>
      <w:pPr>
        <w:pStyle w:val="BodyText"/>
        <w:rPr>
          <w:sz w:val="20"/>
        </w:rPr>
      </w:pPr>
    </w:p>
    <w:p>
      <w:pPr>
        <w:pStyle w:val="BodyText"/>
        <w:spacing w:before="8"/>
        <w:rPr>
          <w:sz w:val="16"/>
        </w:rPr>
      </w:pPr>
    </w:p>
    <w:p>
      <w:pPr>
        <w:pStyle w:val="BodyText"/>
        <w:spacing w:line="360" w:lineRule="auto" w:before="73"/>
        <w:ind w:left="102" w:right="117"/>
        <w:jc w:val="both"/>
      </w:pPr>
      <w:r>
        <w:rPr/>
        <w:t>En el anterior esquema se puede apreciar la interrelación de la planeación regional con la estatal y la nacional. Palerm (1972) menciona que la planeación debe partir de la región porque es en esta circunscripción donde se puede apreciar la problemática con mayor claridad y a partir de este punto generar la planeación nacional.</w:t>
      </w:r>
    </w:p>
    <w:p>
      <w:pPr>
        <w:pStyle w:val="BodyText"/>
        <w:spacing w:before="7"/>
        <w:rPr>
          <w:sz w:val="17"/>
        </w:rPr>
      </w:pPr>
    </w:p>
    <w:p>
      <w:pPr>
        <w:pStyle w:val="BodyText"/>
        <w:spacing w:line="360" w:lineRule="auto"/>
        <w:ind w:left="102" w:right="114"/>
        <w:jc w:val="both"/>
      </w:pPr>
      <w:r>
        <w:rPr/>
        <w:t>Palerm (1972), indica que la desigual distribución geográfica de la pobreza, coincide con la desigual aplicación de los recursos disponibles de todo tipo, y ambas coinciden con la desigual distribución del poder. En este sentido, la estructura social y política creada por  la política económica presente ha ocasionado que los ricos no sólo sean más ricos, sino también excesivamente poderosos; los pobres son demasiado pobres e impotentes, por lo que el desarrollo regional debe ser planeado, realizado y evaluado, dentro contexto nacional que guarda la región con el país para diseñar políticas públicas regionales con base en las particularidades de cada lugar, sin dejar de considerar el contexto</w:t>
      </w:r>
      <w:r>
        <w:rPr>
          <w:spacing w:val="-21"/>
        </w:rPr>
        <w:t> </w:t>
      </w:r>
      <w:r>
        <w:rPr/>
        <w:t>nacional.</w:t>
      </w:r>
    </w:p>
    <w:p>
      <w:pPr>
        <w:pStyle w:val="BodyText"/>
        <w:spacing w:before="3"/>
        <w:rPr>
          <w:sz w:val="24"/>
        </w:rPr>
      </w:pPr>
    </w:p>
    <w:p>
      <w:pPr>
        <w:pStyle w:val="Heading6"/>
        <w:spacing w:line="360" w:lineRule="auto"/>
        <w:ind w:right="121"/>
        <w:jc w:val="both"/>
      </w:pPr>
      <w:r>
        <w:rPr/>
        <w:t>2.6. Las relaciones Intermunicipales para formular una política pública regional: presa Huapango</w:t>
      </w:r>
    </w:p>
    <w:p>
      <w:pPr>
        <w:pStyle w:val="BodyText"/>
        <w:spacing w:before="1"/>
        <w:rPr>
          <w:b/>
          <w:sz w:val="25"/>
        </w:rPr>
      </w:pPr>
    </w:p>
    <w:p>
      <w:pPr>
        <w:pStyle w:val="BodyText"/>
        <w:spacing w:line="360" w:lineRule="auto"/>
        <w:ind w:left="102" w:right="117"/>
        <w:jc w:val="both"/>
      </w:pPr>
      <w:r>
        <w:rPr/>
        <w:t>Es por ello, que la problemática de la presa Huapango debe ser atendida desde un enfoque GIRH de intermunicipalidad regional a través de políticas públicas diseñadas desde abajo, ya que como menciona Arnoletto (2010), Hernández (2003) y Florentino (2004), que:</w:t>
      </w:r>
    </w:p>
    <w:p>
      <w:pPr>
        <w:pStyle w:val="BodyText"/>
        <w:spacing w:before="10"/>
        <w:rPr>
          <w:sz w:val="24"/>
        </w:rPr>
      </w:pPr>
    </w:p>
    <w:p>
      <w:pPr>
        <w:pStyle w:val="BodyText"/>
        <w:spacing w:line="360" w:lineRule="auto"/>
        <w:ind w:left="810" w:right="122"/>
        <w:jc w:val="both"/>
      </w:pPr>
      <w:r>
        <w:rPr/>
        <w:t>El objetivo central de las relaciones intermunicipales es lograr una vinculación y gestión efectiva del municipio con los otros municipios de su área de influencia, para favorecer la realización de objetivos regionales por medio de la colaboración  y obtener un incremento de su influencia sobre los poderes provinciales y nacionales.</w:t>
      </w:r>
    </w:p>
    <w:p>
      <w:pPr>
        <w:pStyle w:val="BodyText"/>
        <w:spacing w:before="11"/>
        <w:rPr>
          <w:sz w:val="24"/>
        </w:rPr>
      </w:pPr>
    </w:p>
    <w:p>
      <w:pPr>
        <w:pStyle w:val="BodyText"/>
        <w:spacing w:line="360" w:lineRule="auto"/>
        <w:ind w:left="102" w:right="115"/>
        <w:jc w:val="both"/>
      </w:pPr>
      <w:r>
        <w:rPr/>
        <w:t>De igual forma, Dowbor (1992), menciona que con el volumen de problemas que se presentan en los municipios, </w:t>
      </w:r>
      <w:r>
        <w:rPr>
          <w:i/>
        </w:rPr>
        <w:t>ya no es más un nivel local de decisión</w:t>
      </w:r>
      <w:r>
        <w:rPr/>
        <w:t>. Se trata de un eje estratégico de transformación de la forma como tomamos las decisiones concernientes a nuestro desarrollo económico y social. Estos millares de pequeños proyectos exigen un esfuerzo capilar de organización y control que sólo son viables con la participación de las comunidades interesadas.</w:t>
      </w:r>
    </w:p>
    <w:p>
      <w:pPr>
        <w:spacing w:after="0" w:line="360" w:lineRule="auto"/>
        <w:jc w:val="both"/>
        <w:sectPr>
          <w:pgSz w:w="12240" w:h="15840"/>
          <w:pgMar w:header="0" w:footer="1003" w:top="1500" w:bottom="1200" w:left="1600" w:right="1580"/>
        </w:sectPr>
      </w:pPr>
    </w:p>
    <w:p>
      <w:pPr>
        <w:pStyle w:val="BodyText"/>
        <w:spacing w:line="360" w:lineRule="auto" w:before="56"/>
        <w:ind w:left="102" w:right="117"/>
        <w:jc w:val="both"/>
      </w:pPr>
      <w:r>
        <w:rPr/>
        <w:t>La región y su regionalización para el desarrollo integral, debe realizarse sobre la base de la participación de los municipios en la elaboración de las políticas provinciales en materia de ordenamiento territorial de los espacios interjurisdiccionales (como la presa  Huapango), o cuando los ejidos municipales se encuentran comprendidos y vinculados a planes y procesos de desarrollo económico a escala regional o subregional (Hernández, 2003).</w:t>
      </w:r>
    </w:p>
    <w:p>
      <w:pPr>
        <w:pStyle w:val="BodyText"/>
        <w:spacing w:before="9"/>
        <w:rPr>
          <w:sz w:val="17"/>
        </w:rPr>
      </w:pPr>
    </w:p>
    <w:p>
      <w:pPr>
        <w:pStyle w:val="BodyText"/>
        <w:spacing w:line="360" w:lineRule="auto"/>
        <w:ind w:left="102" w:right="116"/>
        <w:jc w:val="both"/>
      </w:pPr>
      <w:r>
        <w:rPr/>
        <w:t>Florentino (2004), menciona que dentro de los mecanismos de asociación que puede  tener un municipio como institución gubernamental, se pueden encontrar dos tipos: los de </w:t>
      </w:r>
      <w:r>
        <w:rPr>
          <w:i/>
        </w:rPr>
        <w:t>tipo vertical</w:t>
      </w:r>
      <w:r>
        <w:rPr/>
        <w:t>, que mantiene una interrelación con las diferentes instancias de gobierno; y las relaciones entre municipios que denominaremos </w:t>
      </w:r>
      <w:r>
        <w:rPr>
          <w:i/>
        </w:rPr>
        <w:t>relaciones intermunicipales, </w:t>
      </w:r>
      <w:r>
        <w:rPr/>
        <w:t>dentro  de las cuales se contemplan las relaciones entre municipios cuando se han rebasado los límites</w:t>
      </w:r>
      <w:r>
        <w:rPr>
          <w:spacing w:val="-10"/>
        </w:rPr>
        <w:t> </w:t>
      </w:r>
      <w:r>
        <w:rPr/>
        <w:t>territoriales.</w:t>
      </w:r>
    </w:p>
    <w:p>
      <w:pPr>
        <w:pStyle w:val="BodyText"/>
        <w:spacing w:before="9"/>
        <w:rPr>
          <w:sz w:val="17"/>
        </w:rPr>
      </w:pPr>
    </w:p>
    <w:p>
      <w:pPr>
        <w:pStyle w:val="BodyText"/>
        <w:spacing w:line="360" w:lineRule="auto"/>
        <w:ind w:left="102" w:right="115"/>
        <w:jc w:val="both"/>
      </w:pPr>
      <w:r>
        <w:rPr/>
        <w:t>Asimismo, la norma constitucional habilita a los ayuntamientos para coordinarse y asociarse en la prestación de servicios públicos y puntualiza que sólo podrán asociarse al interior de un mismo Estado, si una asociación persiguiera diversos fines a la prestación de servicios públicos sería inconstitucional. Esta opción crea la posibilidad de dotar a los municipios de mayor autonomía e independencia hacia las demás instancias de gobierno, además respeta la autoridad y libertad</w:t>
      </w:r>
      <w:r>
        <w:rPr>
          <w:spacing w:val="-16"/>
        </w:rPr>
        <w:t> </w:t>
      </w:r>
      <w:r>
        <w:rPr/>
        <w:t>municipal.</w:t>
      </w:r>
    </w:p>
    <w:p>
      <w:pPr>
        <w:pStyle w:val="BodyText"/>
        <w:spacing w:before="9"/>
        <w:rPr>
          <w:sz w:val="17"/>
        </w:rPr>
      </w:pPr>
    </w:p>
    <w:p>
      <w:pPr>
        <w:pStyle w:val="BodyText"/>
        <w:spacing w:line="360" w:lineRule="auto"/>
        <w:ind w:left="102" w:right="114"/>
        <w:jc w:val="both"/>
      </w:pPr>
      <w:r>
        <w:rPr/>
        <w:t>Por otro lado, el municipio está despuntando como un gran agente de justicia social. Es a nivel local donde se pueden identificar con claridad las principales acciones redistributivas (Florentino, 2004), por lo que la gobernanza regional a través de sus conceptos operativos permite proponer la asociación entre municipios a través de un Comité Intermunicipal con su Reglamento por las redes que se generan en la cuenca Hidrosocial de la presa Huapango.</w:t>
      </w:r>
    </w:p>
    <w:p>
      <w:pPr>
        <w:pStyle w:val="BodyText"/>
        <w:spacing w:before="9"/>
        <w:rPr>
          <w:sz w:val="17"/>
        </w:rPr>
      </w:pPr>
    </w:p>
    <w:p>
      <w:pPr>
        <w:pStyle w:val="BodyText"/>
        <w:spacing w:line="360" w:lineRule="auto"/>
        <w:ind w:left="102" w:right="115"/>
        <w:jc w:val="both"/>
      </w:pPr>
      <w:r>
        <w:rPr/>
        <w:t>Por lo que el diseño de una política pública de abajo hacia arriba, permite entender la estructura sociohistórica de la región de la presa Huapango como unidad de análisis particular para la interpretación de la información con trabajo de campo, detectando los principios de gobernanza y gobernabilidad a nivel local y regional para conformar el Comité Intermunicipal y su Reglamento entorno a el</w:t>
      </w:r>
      <w:r>
        <w:rPr>
          <w:spacing w:val="-16"/>
        </w:rPr>
        <w:t> </w:t>
      </w:r>
      <w:r>
        <w:rPr/>
        <w:t>agua.</w:t>
      </w:r>
    </w:p>
    <w:p>
      <w:pPr>
        <w:pStyle w:val="BodyText"/>
        <w:spacing w:before="9"/>
        <w:rPr>
          <w:sz w:val="17"/>
        </w:rPr>
      </w:pPr>
    </w:p>
    <w:p>
      <w:pPr>
        <w:pStyle w:val="BodyText"/>
        <w:spacing w:line="360" w:lineRule="auto"/>
        <w:ind w:left="102" w:right="120"/>
        <w:jc w:val="both"/>
      </w:pPr>
      <w:r>
        <w:rPr/>
        <w:t>Por tal motivo, en el esquema 2.5. se muestra la interrelación de los principios de gobernanza y gobernabilidad que en un marco de planeación se da para el diseño de la</w:t>
      </w:r>
    </w:p>
    <w:p>
      <w:pPr>
        <w:spacing w:after="0" w:line="360" w:lineRule="auto"/>
        <w:jc w:val="both"/>
        <w:sectPr>
          <w:pgSz w:w="12240" w:h="15840"/>
          <w:pgMar w:header="0" w:footer="1003" w:top="1360" w:bottom="1200" w:left="1600" w:right="1580"/>
        </w:sectPr>
      </w:pPr>
    </w:p>
    <w:p>
      <w:pPr>
        <w:pStyle w:val="BodyText"/>
        <w:spacing w:line="360" w:lineRule="auto" w:before="56"/>
        <w:ind w:left="102" w:right="117"/>
        <w:jc w:val="both"/>
      </w:pPr>
      <w:r>
        <w:rPr/>
        <w:t>propuesta de Comité Intermunicipal y su Reglamento como instrumentos para la formulación de planes, proyectos y programas en la región de la presa Huapango y dada la importancia del diseño de una política pública de abajo hacia arriba, en el siguiente apartado se describirá cómo hacerlo metodológicamente para este caso de estudio.</w:t>
      </w:r>
    </w:p>
    <w:p>
      <w:pPr>
        <w:spacing w:after="0" w:line="360" w:lineRule="auto"/>
        <w:jc w:val="both"/>
        <w:sectPr>
          <w:pgSz w:w="12240" w:h="15840"/>
          <w:pgMar w:header="0" w:footer="1003" w:top="1360" w:bottom="1200" w:left="1600" w:right="1580"/>
        </w:sectPr>
      </w:pPr>
    </w:p>
    <w:p>
      <w:pPr>
        <w:pStyle w:val="BodyText"/>
        <w:rPr>
          <w:sz w:val="20"/>
        </w:rPr>
      </w:pPr>
      <w:r>
        <w:rPr/>
        <w:pict>
          <v:shape style="position:absolute;margin-left:116.099998pt;margin-top:335.200012pt;width:75.1pt;height:22.5pt;mso-position-horizontal-relative:page;mso-position-vertical-relative:page;z-index:2608" type="#_x0000_t202" filled="false" stroked="true" strokeweight=".75pt" strokecolor="#000000">
            <v:textbox inset="0,0,0,0">
              <w:txbxContent>
                <w:p>
                  <w:pPr>
                    <w:pStyle w:val="BodyText"/>
                    <w:spacing w:before="70"/>
                    <w:ind w:left="387"/>
                  </w:pPr>
                  <w:r>
                    <w:rPr/>
                    <w:t>Cultura</w:t>
                  </w:r>
                </w:p>
              </w:txbxContent>
            </v:textbox>
            <w10:wrap type="none"/>
          </v:shape>
        </w:pict>
      </w:r>
    </w:p>
    <w:p>
      <w:pPr>
        <w:pStyle w:val="BodyText"/>
        <w:spacing w:before="1"/>
      </w:pPr>
    </w:p>
    <w:p>
      <w:pPr>
        <w:pStyle w:val="Heading6"/>
        <w:spacing w:line="360" w:lineRule="auto" w:before="73"/>
        <w:ind w:left="4580" w:right="159" w:hanging="4221"/>
      </w:pPr>
      <w:r>
        <w:rPr/>
        <w:t>Esquema 2.5. Consideraciones teóricas de la GIRH, gobernanza y gobernabilidad para la elaboración de una propuesta de Comité Intermunicipal con su Reglamento</w:t>
      </w:r>
    </w:p>
    <w:p>
      <w:pPr>
        <w:pStyle w:val="BodyText"/>
        <w:spacing w:before="1"/>
        <w:rPr>
          <w:b/>
          <w:sz w:val="12"/>
        </w:rPr>
      </w:pPr>
    </w:p>
    <w:p>
      <w:pPr>
        <w:pStyle w:val="Heading6"/>
        <w:spacing w:before="73"/>
        <w:ind w:left="4637" w:right="159"/>
      </w:pPr>
      <w:r>
        <w:rPr/>
        <w:pict>
          <v:shape style="position:absolute;margin-left:63.200001pt;margin-top:17.874863pt;width:688.05pt;height:415.45pt;mso-position-horizontal-relative:page;mso-position-vertical-relative:paragraph;z-index:-3340936" type="#_x0000_t202" filled="false" stroked="false">
            <v:textbox inset="0,0,0,0">
              <w:txbxContent>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6"/>
                    <w:rPr>
                      <w:b/>
                      <w:sz w:val="17"/>
                    </w:rPr>
                  </w:pPr>
                </w:p>
                <w:p>
                  <w:pPr>
                    <w:pStyle w:val="BodyText"/>
                    <w:spacing w:line="265" w:lineRule="exact"/>
                    <w:ind w:right="597"/>
                    <w:jc w:val="right"/>
                    <w:rPr>
                      <w:rFonts w:ascii="Calibri"/>
                    </w:rPr>
                  </w:pPr>
                  <w:r>
                    <w:rPr>
                      <w:rFonts w:ascii="Calibri"/>
                    </w:rPr>
                    <w:t>97</w:t>
                  </w:r>
                </w:p>
              </w:txbxContent>
            </v:textbox>
            <w10:wrap type="none"/>
          </v:shape>
        </w:pict>
      </w:r>
      <w:r>
        <w:rPr/>
        <w:pict>
          <v:group style="position:absolute;margin-left:62.200001pt;margin-top:-.497137pt;width:690.05pt;height:440.85pt;mso-position-horizontal-relative:page;mso-position-vertical-relative:paragraph;z-index:-3340912" coordorigin="1244,-10" coordsize="13801,8817">
            <v:rect style="position:absolute;left:1264;top:357;width:13761;height:8239" filled="true" fillcolor="#ffffff" stroked="false">
              <v:fill type="solid"/>
            </v:rect>
            <v:rect style="position:absolute;left:1264;top:357;width:13761;height:8239" filled="false" stroked="true" strokeweight="2pt" strokecolor="#000000">
              <v:stroke dashstyle="longDash"/>
            </v:rect>
            <v:shape style="position:absolute;left:1343;top:1286;width:3681;height:5383" coordorigin="1343,1286" coordsize="3681,5383" path="m3183,1286l3123,1288,3062,1292,3003,1299,2885,1322,2770,1355,2713,1375,2657,1398,2602,1424,2547,1451,2494,1482,2441,1514,2389,1549,2338,1587,2287,1626,2238,1668,2190,1712,2143,1758,2096,1806,2051,1856,2007,1908,1964,1961,1923,2017,1882,2075,1843,2134,1805,2195,1768,2258,1732,2322,1698,2388,1665,2456,1634,2525,1604,2596,1575,2668,1548,2741,1523,2816,1499,2892,1477,2969,1456,3047,1437,3127,1419,3208,1404,3290,1390,3373,1378,3456,1367,3541,1358,3627,1352,3713,1347,3801,1344,3889,1343,3978,1344,4067,1347,4155,1352,4242,1358,4329,1367,4414,1378,4499,1390,4583,1404,4666,1419,4748,1437,4829,1456,4908,1477,4987,1499,5064,1523,5140,1548,5215,1575,5288,1604,5360,1634,5431,1665,5500,1698,5567,1732,5633,1768,5698,1805,5761,1843,5822,1882,5881,1923,5939,1964,5994,2007,6048,2051,6100,2096,6150,2143,6198,2190,6244,2238,6288,2287,6329,2338,6369,2389,6406,2441,6441,2494,6474,2547,6504,2602,6532,2657,6558,2713,6581,2770,6601,2827,6619,2943,6647,3062,6664,3123,6668,3183,6669,3244,6668,3304,6664,3364,6657,3423,6647,3540,6619,3597,6601,3654,6581,3710,6558,3765,6532,3820,6504,3873,6474,3926,6441,3978,6406,4029,6369,4079,6329,4129,6288,4177,6244,4224,6198,4270,6150,4316,6100,4360,6048,4403,5994,4444,5939,4485,5881,4524,5822,4562,5761,4599,5698,4635,5633,4669,5567,4702,5500,4733,5431,4763,5360,4792,5288,4819,5215,4844,5140,4868,5064,4890,4987,4911,4908,4930,4829,4948,4748,4963,4666,4977,4583,4989,4499,5000,4414,5009,4329,5015,4242,5020,4155,5023,4067,5024,3978,5023,3889,5020,3801,5015,3713,5009,3627,5000,3541,4989,3456,4977,3373,4963,3290,4948,3208,4930,3127,4911,3047,4890,2969,4868,2892,4844,2816,4819,2741,4792,2668,4763,2596,4733,2525,4702,2456,4669,2388,4635,2322,4599,2258,4562,2195,4524,2134,4485,2075,4444,2017,4403,1961,4360,1908,4316,1856,4270,1806,4224,1758,4177,1712,4129,1668,4079,1626,4029,1587,3978,1549,3926,1514,3873,1482,3820,1451,3765,1424,3710,1398,3654,1375,3597,1355,3540,1337,3423,1309,3364,1299,3304,1292,3244,1288,3183,1286xe" filled="true" fillcolor="#ffffff" stroked="false">
              <v:path arrowok="t"/>
              <v:fill type="solid"/>
            </v:shape>
            <v:shape style="position:absolute;left:1343;top:1286;width:3681;height:5383" coordorigin="1343,1286" coordsize="3681,5383" path="m1343,3978l1344,3889,1347,3801,1352,3713,1358,3627,1367,3541,1378,3456,1390,3373,1404,3290,1419,3208,1437,3127,1456,3047,1477,2969,1499,2892,1523,2816,1548,2741,1575,2668,1604,2596,1634,2525,1665,2456,1698,2388,1732,2322,1768,2258,1805,2195,1843,2134,1882,2075,1923,2017,1964,1961,2007,1908,2051,1856,2096,1806,2143,1758,2190,1712,2238,1668,2287,1626,2338,1587,2389,1549,2441,1514,2494,1482,2547,1451,2602,1424,2657,1398,2713,1375,2770,1355,2827,1337,2943,1309,3062,1292,3123,1288,3183,1286,3244,1288,3304,1292,3364,1299,3423,1309,3540,1337,3597,1355,3654,1375,3710,1398,3765,1424,3820,1451,3873,1482,3926,1514,3978,1549,4029,1587,4079,1626,4129,1668,4177,1712,4224,1758,4270,1806,4316,1856,4360,1908,4403,1961,4444,2017,4485,2075,4524,2134,4562,2195,4599,2258,4635,2322,4669,2388,4702,2456,4733,2525,4763,2596,4792,2668,4819,2741,4844,2816,4868,2892,4890,2969,4911,3047,4930,3127,4948,3208,4963,3290,4977,3373,4989,3456,5000,3541,5009,3627,5015,3713,5020,3801,5023,3889,5024,3978,5023,4067,5020,4155,5015,4242,5009,4329,5000,4414,4989,4499,4977,4583,4963,4666,4948,4748,4930,4829,4911,4908,4890,4987,4868,5064,4844,5140,4819,5215,4792,5288,4763,5360,4733,5431,4702,5500,4669,5567,4635,5633,4599,5698,4562,5761,4524,5822,4485,5881,4444,5939,4403,5994,4360,6048,4316,6100,4270,6150,4224,6198,4177,6244,4129,6288,4079,6329,4029,6369,3978,6406,3926,6441,3873,6474,3820,6504,3765,6532,3710,6558,3654,6581,3597,6601,3540,6619,3423,6647,3364,6657,3304,6664,3244,6668,3183,6669,3123,6668,3062,6664,3003,6657,2885,6634,2770,6601,2713,6581,2657,6558,2602,6532,2547,6504,2494,6474,2441,6441,2389,6406,2338,6369,2287,6329,2238,6288,2190,6244,2143,6198,2096,6150,2051,6100,2007,6048,1964,5994,1923,5939,1882,5881,1843,5822,1805,5761,1768,5698,1732,5633,1698,5567,1665,5500,1634,5431,1604,5360,1575,5288,1548,5215,1523,5140,1499,5064,1477,4987,1456,4908,1437,4829,1419,4748,1404,4666,1390,4583,1378,4499,1367,4414,1358,4329,1352,4242,1347,4155,1344,4067,1343,3978xe" filled="false" stroked="true" strokeweight="2pt" strokecolor="#000000">
              <v:path arrowok="t"/>
              <v:stroke dashstyle="dash"/>
            </v:shape>
            <v:shape style="position:absolute;left:11095;top:1309;width:3681;height:5383" coordorigin="11095,1309" coordsize="3681,5383" path="m12935,1309l12875,1311,12814,1315,12755,1322,12637,1345,12522,1378,12465,1398,12409,1421,12354,1447,12299,1474,12246,1505,12193,1537,12141,1572,12090,1610,12039,1649,11990,1691,11942,1735,11895,1781,11848,1829,11803,1879,11759,1931,11716,1984,11675,2040,11634,2098,11595,2157,11557,2218,11520,2281,11484,2345,11450,2411,11417,2479,11386,2548,11356,2619,11327,2691,11300,2764,11275,2839,11251,2915,11229,2992,11208,3070,11189,3150,11171,3231,11156,3313,11142,3396,11130,3479,11119,3564,11110,3650,11104,3736,11099,3824,11096,3912,11095,4001,11096,4090,11099,4178,11104,4265,11110,4352,11119,4437,11130,4522,11142,4606,11156,4689,11171,4771,11189,4852,11208,4931,11229,5010,11251,5087,11275,5163,11300,5238,11327,5311,11356,5383,11386,5454,11417,5523,11450,5590,11484,5656,11520,5721,11557,5784,11595,5845,11634,5904,11675,5962,11716,6017,11759,6071,11803,6123,11848,6173,11895,6221,11942,6267,11990,6311,12039,6352,12090,6392,12141,6429,12193,6464,12246,6497,12299,6527,12354,6555,12409,6581,12465,6604,12522,6624,12579,6642,12695,6670,12814,6687,12875,6691,12935,6692,12996,6691,13056,6687,13116,6680,13175,6670,13292,6642,13349,6624,13406,6604,13462,6581,13517,6555,13572,6527,13625,6497,13678,6464,13730,6429,13781,6392,13831,6352,13881,6311,13929,6267,13976,6221,14022,6173,14068,6123,14112,6071,14155,6017,14196,5962,14237,5904,14276,5845,14314,5784,14351,5721,14387,5656,14421,5590,14454,5523,14485,5454,14515,5383,14544,5311,14571,5238,14596,5163,14620,5087,14642,5010,14663,4931,14682,4852,14700,4771,14715,4689,14729,4606,14741,4522,14752,4437,14761,4352,14767,4265,14772,4178,14775,4090,14776,4001,14775,3912,14772,3824,14767,3736,14761,3650,14752,3564,14741,3479,14729,3396,14715,3313,14700,3231,14682,3150,14663,3070,14642,2992,14620,2915,14596,2839,14571,2764,14544,2691,14515,2619,14485,2548,14454,2479,14421,2411,14387,2345,14351,2281,14314,2218,14276,2157,14237,2098,14196,2040,14155,1984,14112,1931,14068,1879,14022,1829,13976,1781,13929,1735,13881,1691,13831,1649,13781,1610,13730,1572,13678,1537,13625,1505,13572,1474,13517,1447,13462,1421,13406,1398,13349,1378,13292,1360,13175,1332,13116,1322,13056,1315,12996,1311,12935,1309xe" filled="true" fillcolor="#ffffff" stroked="false">
              <v:path arrowok="t"/>
              <v:fill type="solid"/>
            </v:shape>
            <v:shape style="position:absolute;left:11095;top:1309;width:3681;height:5383" coordorigin="11095,1309" coordsize="3681,5383" path="m11095,4001l11096,3912,11099,3824,11104,3736,11110,3650,11119,3564,11130,3479,11142,3396,11156,3313,11171,3231,11189,3150,11208,3070,11229,2992,11251,2915,11275,2839,11300,2764,11327,2691,11356,2619,11386,2548,11417,2479,11450,2411,11484,2345,11520,2281,11557,2218,11595,2157,11634,2098,11675,2040,11716,1984,11759,1931,11803,1879,11848,1829,11895,1781,11942,1735,11990,1691,12039,1649,12090,1610,12141,1572,12193,1537,12246,1505,12299,1474,12354,1447,12409,1421,12465,1398,12522,1378,12579,1360,12695,1332,12814,1315,12875,1311,12935,1309,12996,1311,13056,1315,13116,1322,13175,1332,13292,1360,13349,1378,13406,1398,13462,1421,13517,1447,13572,1474,13625,1505,13678,1537,13730,1572,13781,1610,13831,1649,13881,1691,13929,1735,13976,1781,14022,1829,14068,1879,14112,1931,14155,1984,14196,2040,14237,2098,14276,2157,14314,2218,14351,2281,14387,2345,14421,2411,14454,2479,14485,2548,14515,2619,14544,2691,14571,2764,14596,2839,14620,2915,14642,2992,14663,3070,14682,3150,14700,3231,14715,3313,14729,3396,14741,3479,14752,3564,14761,3650,14767,3736,14772,3824,14775,3912,14776,4001,14775,4090,14772,4178,14767,4265,14761,4352,14752,4437,14741,4522,14729,4606,14715,4689,14700,4771,14682,4852,14663,4931,14642,5010,14620,5087,14596,5163,14571,5238,14544,5311,14515,5383,14485,5454,14454,5523,14421,5590,14387,5656,14351,5721,14314,5784,14276,5845,14237,5904,14196,5962,14155,6017,14112,6071,14068,6123,14022,6173,13976,6221,13929,6267,13881,6311,13831,6352,13781,6392,13730,6429,13678,6464,13625,6497,13572,6527,13517,6555,13462,6581,13406,6604,13349,6624,13292,6642,13175,6670,13116,6680,13056,6687,12996,6691,12935,6692,12875,6691,12814,6687,12755,6680,12637,6657,12522,6624,12465,6604,12409,6581,12354,6555,12299,6527,12246,6497,12193,6464,12141,6429,12090,6392,12039,6352,11990,6311,11942,6267,11895,6221,11848,6173,11803,6123,11759,6071,11716,6017,11675,5962,11634,5904,11595,5845,11557,5784,11520,5721,11484,5656,11450,5590,11417,5523,11386,5454,11356,5383,11327,5311,11300,5238,11275,5163,11251,5087,11229,5010,11208,4931,11189,4852,11171,4771,11156,4689,11142,4606,11130,4522,11119,4437,11110,4352,11104,4265,11099,4178,11096,4090,11095,4001xe" filled="false" stroked="true" strokeweight="2pt" strokecolor="#000000">
              <v:path arrowok="t"/>
              <v:stroke dashstyle="dash"/>
            </v:shape>
            <v:shape style="position:absolute;left:10193;top:713;width:1077;height:158" coordorigin="10193,713" coordsize="1077,158" path="m11240,791l11131,855,11128,857,11127,862,11129,865,11131,869,11135,870,11139,868,11257,799,11255,799,11255,798,11251,798,11240,791xm11227,784l10193,784,10193,799,11227,799,11240,791,11227,784xm11257,784l11255,784,11255,799,11257,799,11270,791,11257,784xm11251,785l11240,791,11251,798,11251,785xm11255,785l11251,785,11251,798,11255,798,11255,785xm11135,713l11131,714,11129,718,11127,721,11128,726,11131,728,11240,791,11251,785,11255,785,11255,784,11257,784,11139,715,11135,713xe" filled="true" fillcolor="#000000" stroked="false">
              <v:path arrowok="t"/>
              <v:fill type="solid"/>
            </v:shape>
            <v:rect style="position:absolute;left:11270;top:362;width:2930;height:675" filled="true" fillcolor="#9bba58" stroked="false">
              <v:fill type="solid"/>
            </v:rect>
            <v:rect style="position:absolute;left:11270;top:362;width:2930;height:675" filled="false" stroked="true" strokeweight=".75pt" strokecolor="#000000"/>
            <v:shape style="position:absolute;left:3026;top:750;width:2597;height:818" coordorigin="3026,750" coordsize="2597,818" path="m3184,1433l3182,1428,3179,1426,3175,1424,3171,1425,3169,1429,3113,1525,3112,1525,3112,1128,3097,1128,3098,1525,3098,1553,3097,1525,3041,1429,3039,1425,3035,1424,3031,1426,3028,1428,3026,1433,3029,1436,3105,1567,3114,1553,3181,1436,3184,1433m5623,821l4727,821,4823,765,4826,763,4827,758,4825,755,4823,751,4819,750,4815,752,4684,828,4815,905,4819,907,4823,906,4825,902,4827,899,4826,894,4823,892,4727,836,5623,836,5623,821e" filled="true" fillcolor="#000000" stroked="false">
              <v:path arrowok="t"/>
              <v:fill type="solid"/>
            </v:shape>
            <v:rect style="position:absolute;left:2417;top:1572;width:1502;height:363" filled="true" fillcolor="#ffffff" stroked="false">
              <v:fill type="solid"/>
            </v:rect>
            <v:rect style="position:absolute;left:2417;top:1572;width:1502;height:363" filled="false" stroked="true" strokeweight=".75pt" strokecolor="#ffffff"/>
            <v:shape style="position:absolute;left:2978;top:1932;width:158;height:439" coordorigin="2978,1932" coordsize="158,439" path="m2987,2228l2983,2230,2980,2232,2978,2237,2981,2240,3057,2371,3066,2357,3049,2357,3049,2329,2993,2233,2991,2229,2987,2228xm3049,2329l3049,2357,3064,2357,3064,2353,3051,2353,3057,2342,3049,2329xm3127,2228l3123,2229,3121,2233,3065,2329,3064,2357,3066,2357,3133,2240,3136,2237,3134,2232,3131,2230,3127,2228xm3057,2342l3051,2353,3063,2353,3057,2342xm3064,2329l3057,2342,3063,2353,3064,2353,3064,2329xm3064,1932l3049,1932,3050,2329,3057,2342,3064,2329,3064,1932xe" filled="true" fillcolor="#000000" stroked="false">
              <v:path arrowok="t"/>
              <v:fill type="solid"/>
            </v:shape>
            <v:rect style="position:absolute;left:2317;top:2443;width:1377;height:450" filled="true" fillcolor="#ffffff" stroked="false">
              <v:fill type="solid"/>
            </v:rect>
            <v:shape style="position:absolute;left:2977;top:2897;width:158;height:407" coordorigin="2977,2897" coordsize="158,407" path="m2986,3160l2982,3162,2979,3164,2977,3169,2980,3173,3056,3304,3065,3289,3048,3289,3048,3261,2992,3165,2990,3161,2986,3160xm3048,3261l3048,3289,3063,3289,3063,3285,3050,3285,3056,3274,3048,3261xm3126,3160l3122,3161,3120,3165,3063,3261,3063,3289,3065,3289,3132,3173,3135,3169,3133,3164,3130,3162,3126,3160xm3056,3274l3050,3285,3062,3285,3056,3274xm3063,3261l3056,3274,3062,3285,3063,3285,3063,3261xm3063,2897l3048,2897,3048,3261,3056,3274,3063,3261,3063,2897xe" filled="true" fillcolor="#000000" stroked="false">
              <v:path arrowok="t"/>
              <v:fill type="solid"/>
            </v:shape>
            <v:rect style="position:absolute;left:2129;top:3308;width:1652;height:450" filled="true" fillcolor="#ffffff" stroked="false">
              <v:fill type="solid"/>
            </v:rect>
            <v:shape style="position:absolute;left:2977;top:3753;width:157;height:353" type="#_x0000_t75" stroked="false">
              <v:imagedata r:id="rId34" o:title=""/>
            </v:shape>
            <v:rect style="position:absolute;left:2322;top:4113;width:1502;height:450" filled="true" fillcolor="#ffffff" stroked="false">
              <v:fill type="solid"/>
            </v:rect>
            <v:shape style="position:absolute;left:12756;top:1037;width:158;height:439" coordorigin="12756,1037" coordsize="158,439" path="m12765,1333l12761,1335,12758,1337,12756,1342,12759,1345,12835,1476,12844,1462,12827,1462,12827,1434,12771,1338,12769,1334,12765,1333xm12827,1434l12827,1462,12842,1462,12842,1458,12829,1458,12835,1447,12827,1434xm12905,1333l12901,1334,12899,1338,12843,1434,12842,1462,12844,1462,12911,1345,12914,1342,12912,1337,12909,1335,12905,1333xm12835,1447l12829,1458,12841,1458,12835,1447xm12842,1434l12835,1447,12841,1458,12842,1458,12842,1434xm12842,1037l12827,1037,12828,1434,12835,1447,12842,1434,12842,1037xe" filled="true" fillcolor="#000000" stroked="false">
              <v:path arrowok="t"/>
              <v:fill type="solid"/>
            </v:shape>
            <v:rect style="position:absolute;left:12247;top:1560;width:1414;height:360" filled="true" fillcolor="#ffffff" stroked="false">
              <v:fill type="solid"/>
            </v:rect>
            <v:rect style="position:absolute;left:12247;top:1560;width:1414;height:360" filled="false" stroked="true" strokeweight=".75pt" strokecolor="#ffffff"/>
            <v:shape style="position:absolute;left:12864;top:1932;width:158;height:440" coordorigin="12864,1932" coordsize="158,440" path="m12873,2227l12869,2229,12866,2231,12864,2236,12867,2240,12943,2371,12952,2356,12935,2356,12935,2328,12879,2232,12877,2228,12873,2227xm12935,2328l12935,2356,12950,2356,12950,2352,12937,2352,12943,2341,12935,2328xm13013,2227l13009,2228,13007,2232,12950,2328,12950,2356,12952,2356,13019,2240,13022,2236,13020,2231,13017,2229,13013,2227xm12943,2341l12937,2352,12949,2352,12943,2341xm12950,2328l12943,2341,12949,2352,12950,2352,12950,2328xm12950,1932l12935,1932,12935,2328,12943,2341,12950,2328,12950,1932xe" filled="true" fillcolor="#000000" stroked="false">
              <v:path arrowok="t"/>
              <v:fill type="solid"/>
            </v:shape>
            <v:rect style="position:absolute;left:12096;top:2445;width:1565;height:450" filled="true" fillcolor="#ffffff" stroked="false">
              <v:fill type="solid"/>
            </v:rect>
            <v:shape style="position:absolute;left:12859;top:2897;width:158;height:439" coordorigin="12859,2897" coordsize="158,439" path="m12868,3193l12864,3195,12861,3197,12859,3202,12862,3205,12938,3336,12947,3322,12930,3322,12930,3294,12874,3198,12872,3194,12868,3193xm12930,3294l12930,3322,12945,3322,12945,3318,12932,3318,12938,3307,12930,3294xm13008,3193l13004,3194,13002,3198,12945,3294,12945,3322,12947,3322,13014,3205,13017,3202,13015,3197,13012,3195,13008,3193xm12938,3307l12932,3318,12944,3318,12938,3307xm12945,3294l12938,3307,12944,3318,12945,3318,12945,3294xm12945,2897l12930,2897,12930,3294,12938,3307,12945,3294,12945,2897xe" filled="true" fillcolor="#000000" stroked="false">
              <v:path arrowok="t"/>
              <v:fill type="solid"/>
            </v:shape>
            <v:rect style="position:absolute;left:11984;top:3371;width:1815;height:450" filled="true" fillcolor="#ffffff" stroked="false">
              <v:fill type="solid"/>
            </v:rect>
            <v:shape style="position:absolute;left:12861;top:3838;width:158;height:439" coordorigin="12861,3838" coordsize="158,439" path="m12870,4134l12866,4136,12863,4138,12861,4143,12864,4146,12940,4277,12949,4263,12932,4263,12932,4235,12876,4139,12874,4135,12870,4134xm12932,4235l12932,4263,12947,4263,12947,4259,12934,4259,12940,4248,12932,4235xm13010,4134l13006,4135,13004,4139,12948,4235,12947,4263,12949,4263,13016,4146,13019,4143,13017,4138,13014,4136,13010,4134xm12940,4248l12934,4259,12946,4259,12940,4248xm12947,4235l12940,4248,12946,4259,12947,4259,12947,4235xm12947,3838l12932,3838,12933,4235,12940,4248,12947,4235,12947,3838xe" filled="true" fillcolor="#000000" stroked="false">
              <v:path arrowok="t"/>
              <v:fill type="solid"/>
            </v:shape>
            <v:rect style="position:absolute;left:11520;top:4272;width:2804;height:1126" filled="true" fillcolor="#ffffff" stroked="false">
              <v:fill type="solid"/>
            </v:rect>
            <v:shape style="position:absolute;left:12850;top:5404;width:158;height:439" coordorigin="12850,5404" coordsize="158,439" path="m12859,5700l12855,5702,12852,5704,12850,5709,12853,5712,12929,5843,12938,5829,12921,5829,12921,5801,12865,5705,12863,5701,12859,5700xm12921,5801l12921,5829,12936,5829,12936,5825,12923,5825,12929,5814,12921,5801xm12999,5700l12995,5701,12993,5705,12937,5801,12936,5829,12938,5829,13005,5712,13008,5709,13006,5704,13003,5702,12999,5700xm12929,5814l12923,5825,12935,5825,12929,5814xm12936,5801l12929,5814,12935,5825,12936,5825,12936,5801xm12936,5404l12921,5404,12922,5801,12929,5814,12936,5801,12936,5404xe" filled="true" fillcolor="#000000" stroked="false">
              <v:path arrowok="t"/>
              <v:fill type="solid"/>
            </v:shape>
            <v:rect style="position:absolute;left:12097;top:5842;width:1702;height:450" filled="true" fillcolor="#ffffff" stroked="false">
              <v:fill type="solid"/>
            </v:rect>
            <v:shape style="position:absolute;left:3093;top:2604;width:9916;height:4745" coordorigin="3093,2604" coordsize="9916,4745" path="m3792,2675l3747,2675,3747,2690,3792,2690,3792,2675m3837,2612l3835,2609,3833,2605,3829,2604,3825,2606,3694,2682,3825,2759,3829,2761,3833,2760,3835,2756,3837,2753,3836,2748,3833,2746,3737,2690,3732,2687,3732,2677,3737,2675,3833,2619,3836,2617,3837,2612m3852,2675l3807,2675,3807,2690,3852,2690,3852,2675m3893,3577l3848,3577,3848,3592,3893,3592,3893,3577m3912,2675l3867,2675,3867,2690,3912,2690,3912,2675m3926,3515l3922,3507,3917,3506,3913,3508,3782,3584,3913,3661,3916,3663,3921,3662,3923,3659,3925,3655,3924,3650,3920,3648,3824,3592,3833,3592,3833,3577,3825,3577,3921,3521,3924,3519,3926,3515m3953,3577l3908,3577,3908,3592,3953,3592,3953,3577m3972,2675l3927,2675,3927,2690,3972,2690,3972,2675m4013,3578l3968,3578,3968,3593,4013,3593,4013,3578m4032,2675l3987,2675,3987,2690,4032,2690,4032,2675m4065,4470l4020,4470,4020,4485,4065,4485,4065,4470m4073,3578l4028,3578,4028,3593,4073,3593,4073,3578m4092,2675l4047,2675,4047,2690,4092,2690,4092,2675m4125,4470l4080,4470,4080,4485,4125,4485,4125,4470m4133,3578l4088,3578,4088,3593,4133,3593,4133,3578m4152,2675l4107,2675,4107,2690,4152,2690,4152,2675m4185,4470l4140,4470,4140,4485,4185,4485,4185,4470m4193,3578l4148,3578,4148,3593,4193,3593,4193,3578m4212,2675l4167,2675,4167,2690,4212,2690,4212,2675m4245,4470l4200,4470,4200,4485,4245,4485,4245,4470m4253,3578l4208,3578,4208,3593,4253,3593,4253,3578m4272,2675l4227,2675,4227,2690,4272,2690,4272,2675m4305,4470l4260,4470,4260,4485,4305,4485,4305,4470m4313,3579l4268,3579,4268,3594,4313,3594,4313,3579m4332,2675l4287,2675,4287,2690,4332,2690,4332,2675m4365,4470l4320,4470,4320,4485,4365,4485,4365,4470m4373,3579l4328,3579,4328,3594,4373,3594,4373,3579m4392,2675l4347,2675,4347,2690,4392,2690,4392,2675m4425,4470l4380,4470,4380,4485,4425,4485,4425,4470m4433,3579l4388,3579,4388,3594,4433,3594,4433,3579m4452,2675l4407,2675,4407,2690,4452,2690,4452,2675m4485,4470l4440,4470,4440,4485,4485,4485,4485,4470m4493,3579l4448,3579,4448,3594,4493,3594,4493,3579m4512,2675l4467,2675,4467,2690,4512,2690,4512,2675m4545,4470l4500,4470,4500,4485,4545,4485,4545,4470m4553,3579l4508,3579,4508,3594,4553,3594,4553,3579m4572,2675l4527,2675,4527,2690,4572,2690,4572,2675m4605,4470l4560,4470,4560,4485,4605,4485,4605,4470m4613,3580l4568,3580,4568,3595,4613,3595,4613,3580m4632,2675l4587,2675,4587,2690,4632,2690,4632,2675m4665,4470l4620,4470,4620,4485,4665,4485,4665,4470m4673,3580l4628,3580,4628,3595,4673,3595,4673,3580m4692,2675l4647,2675,4647,2690,4692,2690,4692,2675m4725,4470l4680,4470,4680,4485,4725,4485,4725,4470m4733,3580l4688,3580,4688,3595,4733,3595,4733,3580m4752,2675l4707,2675,4707,2690,4752,2690,4752,2675m4785,4470l4740,4470,4740,4485,4785,4485,4785,4470m4793,3580l4748,3580,4748,3595,4793,3595,4793,3580m4812,2675l4767,2675,4767,2690,4812,2690,4812,2675m4845,4470l4800,4470,4800,4485,4845,4485,4845,4470m4853,3581l4808,3580,4808,3595,4853,3596,4853,3581m4872,2675l4827,2675,4827,2690,4872,2690,4872,2675m4905,4470l4860,4470,4860,4485,4905,4485,4905,4470m4913,3581l4868,3581,4868,3596,4913,3596,4913,3581m4932,2675l4887,2675,4887,2690,4932,2690,4932,2675m4965,4470l4920,4470,4920,4485,4965,4485,4965,4470m4973,3581l4928,3581,4928,3596,4973,3596,4973,3581m4992,2675l4947,2675,4947,2690,4992,2690,4992,2675m5025,4470l4980,4470,4980,4485,5025,4485,5025,4470m5033,3581l4988,3581,4988,3596,5033,3596,5033,3581m5052,2675l5007,2675,5007,2690,5052,2690,5052,2675m5085,4470l5040,4470,5040,4485,5085,4485,5085,4470m5093,3581l5048,3581,5048,3596,5093,3596,5093,3581m5112,2675l5067,2675,5067,2690,5112,2690,5112,2675m5145,4470l5100,4470,5100,4485,5145,4485,5145,4470m5153,3582l5108,3581,5108,3596,5153,3597,5153,3582m5172,2675l5127,2675,5127,2690,5172,2690,5172,2675m5205,4470l5160,4470,5160,4485,5205,4485,5205,4470m5213,3582l5168,3582,5168,3597,5213,3597,5213,3582m5232,2675l5187,2675,5187,2690,5232,2690,5232,2675m5265,4470l5220,4470,5220,4485,5265,4485,5265,4470m5273,3582l5228,3582,5228,3597,5273,3597,5273,3582m5292,2675l5247,2675,5247,2690,5292,2690,5292,2675m5325,4470l5280,4470,5280,4485,5325,4485,5325,4470m5333,3582l5288,3582,5288,3597,5333,3597,5333,3582m5352,2675l5307,2675,5307,2690,5352,2690,5352,2675m5385,4470l5340,4470,5340,4485,5385,4485,5385,4470m5393,3582l5348,3582,5348,3597,5393,3597,5393,3582m5412,2675l5367,2675,5367,2690,5412,2690,5412,2675m5445,4470l5400,4470,5400,4485,5445,4485,5445,4470m5453,3583l5408,3582,5408,3597,5453,3598,5453,3583m5472,2675l5427,2675,5427,2690,5472,2690,5472,2675m5505,4470l5460,4470,5460,4485,5505,4485,5505,4470m5513,3583l5468,3583,5468,3598,5513,3598,5513,3583m5532,2675l5487,2675,5487,2690,5532,2690,5532,2675m5565,4470l5520,4470,5520,4485,5565,4485,5565,4470m5573,3583l5528,3583,5528,3598,5573,3598,5573,3583m5592,2675l5547,2675,5547,2690,5592,2690,5592,2675m5625,4470l5580,4470,5580,4485,5625,4485,5625,4470m5633,3583l5588,3583,5588,3598,5633,3598,5633,3583m5652,2675l5607,2675,5607,2690,5652,2690,5652,2675m5685,4470l5640,4470,5640,4485,5685,4485,5685,4470m5693,3583l5648,3583,5648,3598,5693,3598,5693,3583m5712,2675l5667,2675,5667,2690,5712,2690,5712,2675m5745,4470l5700,4470,5700,4485,5745,4485,5745,4470m5753,3584l5708,3583,5708,3598,5753,3599,5753,3584m5772,2675l5727,2675,5727,2690,5772,2690,5772,2675m5805,4470l5760,4470,5760,4485,5805,4485,5805,4470m5813,3584l5768,3584,5768,3599,5813,3599,5813,3584m5832,2675l5787,2675,5787,2690,5832,2690,5832,2675m5865,4470l5820,4470,5820,4485,5865,4485,5865,4470m5873,3584l5828,3584,5828,3599,5873,3599,5873,3584m5892,2675l5847,2675,5847,2690,5892,2690,5892,2675m5925,4470l5880,4470,5880,4485,5925,4485,5925,4470m5933,3584l5888,3584,5888,3599,5933,3599,5933,3584m5952,2675l5907,2675,5907,2690,5952,2690,5952,2675m5985,4470l5940,4470,5940,4485,5985,4485,5985,4470m5993,3584l5948,3584,5948,3599,5993,3599,5993,3584m6012,2675l5967,2675,5967,2690,6012,2690,6012,2675m6045,4470l6000,4470,6000,4485,6045,4485,6045,4470m6053,3585l6008,3584,6008,3599,6053,3600,6053,3585m6072,2675l6027,2675,6027,2690,6072,2690,6072,2675m6105,4470l6060,4470,6060,4485,6105,4485,6105,4470m6113,3585l6068,3585,6068,3600,6113,3600,6113,3585m6132,2675l6087,2675,6087,2690,6132,2690,6132,2675m6165,4470l6120,4470,6120,4485,6165,4485,6165,4470m6173,3585l6128,3585,6128,3600,6173,3600,6173,3585m6192,2675l6147,2675,6147,2690,6192,2690,6192,2675m6225,4470l6180,4470,6180,4485,6225,4485,6225,4470m6233,3585l6188,3585,6188,3600,6233,3600,6233,3585m6252,2675l6207,2675,6207,2690,6252,2690,6252,2675m6285,4470l6240,4470,6240,4485,6285,4485,6285,4470m6293,3585l6248,3585,6248,3600,6293,3600,6293,3585m6312,2675l6267,2675,6267,2690,6312,2690,6312,2675m6345,4470l6300,4470,6300,4485,6345,4485,6345,4470m6353,3586l6308,3585,6308,3600,6353,3601,6353,3586m6372,2675l6327,2675,6327,2690,6372,2690,6372,2675m6405,4470l6360,4470,6360,4485,6405,4485,6405,4470m6413,3586l6368,3586,6368,3601,6413,3601,6413,3586m6432,2675l6387,2675,6387,2690,6432,2690,6432,2675m6465,4470l6420,4470,6420,4485,6465,4485,6465,4470m6473,3586l6428,3586,6428,3601,6473,3601,6473,3586m6492,2675l6447,2675,6447,2690,6492,2690,6492,2675m6525,4470l6480,4470,6480,4485,6525,4485,6525,4470m6533,3586l6488,3586,6488,3601,6533,3601,6533,3586m6536,7269l6523,7262,6405,7193,6401,7191,6397,7192,6395,7196,6393,7199,6394,7204,6397,7206,6493,7262,4822,7262,4822,6701,4822,6693,4822,6689,4819,6686,3093,6686,3093,6701,4807,6701,4807,7274,4810,7277,6493,7277,6397,7333,6394,7335,6393,7340,6395,7343,6397,7347,6401,7348,6405,7346,6523,7277,6536,7269m6552,2675l6507,2675,6507,2690,6552,2690,6552,2675m6585,4470l6540,4470,6540,4485,6585,4485,6585,4470m6593,3586l6548,3586,6548,3601,6593,3601,6593,3586m6612,2675l6567,2675,6567,2690,6612,2690,6612,2675m6645,4470l6600,4470,6600,4485,6645,4485,6645,4470m6653,3587l6608,3586,6608,3601,6653,3602,6653,3587m6672,2675l6627,2675,6627,2690,6672,2690,6672,2675m6705,4470l6660,4470,6660,4485,6705,4485,6705,4470m6713,3587l6668,3587,6668,3602,6713,3602,6713,3587m6732,2675l6687,2675,6687,2690,6732,2690,6732,2675m6765,4470l6720,4470,6720,4485,6765,4485,6765,4470m6773,3587l6728,3587,6728,3602,6773,3602,6773,3587m6792,2675l6747,2675,6747,2690,6792,2690,6792,2675m6825,4470l6780,4470,6780,4485,6825,4485,6825,4470m6833,3587l6788,3587,6788,3602,6833,3602,6833,3587m6852,2675l6807,2675,6807,2690,6852,2690,6852,2675m6885,4470l6840,4470,6840,4485,6885,4485,6885,4470m6893,3587l6848,3587,6848,3602,6893,3602,6893,3587m6912,2675l6867,2675,6867,2690,6912,2690,6912,2675m6945,4470l6900,4470,6900,4485,6945,4485,6945,4470m6953,3588l6908,3587,6908,3602,6953,3603,6953,3588m7005,4470l6960,4470,6960,4485,7005,4485,7005,4470m7013,3588l6968,3588,6968,3603,7013,3603,7013,3588m7073,3588l7028,3588,7028,3603,7073,3603,7073,3588m7087,4477l7076,4471,7074,4470,6956,4401,6952,4399,6948,4400,6946,4404,6944,4407,6945,4412,6948,4414,7044,4470,7020,4470,7020,4485,7044,4485,6948,4541,6945,4543,6944,4548,6946,4551,6948,4555,6952,4556,6956,4554,7074,4485,7076,4484,7087,4477m7133,3588l7088,3588,7088,3603,7133,3603,7133,3588m7193,3588l7148,3588,7148,3603,7193,3603,7193,3588m7253,3589l7208,3589,7208,3604,7253,3604,7253,3589m7313,3589l7268,3589,7268,3604,7313,3604,7313,3589m8873,4521l8828,4521,8828,4536,8873,4536,8873,4521m8933,4521l8888,4521,8888,4536,8933,4536,8933,4521m8993,4521l8948,4521,8948,4536,8993,4536,8993,4521m9053,4521l9008,4521,9008,4536,9053,4536,9053,4521m9113,4521l9068,4521,9068,4536,9113,4536,9113,4521m9173,4521l9128,4521,9128,4536,9173,4536,9173,4521m9233,4521l9188,4521,9188,4536,9233,4536,9233,4521m9293,4521l9248,4521,9248,4536,9293,4536,9293,4521m9353,4521l9308,4521,9308,4536,9353,4536,9353,4521m9413,4521l9368,4521,9368,4536,9413,4536,9413,4521m9473,4521l9428,4521,9428,4536,9473,4536,9473,4521m9533,4521l9488,4521,9488,4536,9533,4536,9533,4521m9593,4521l9548,4521,9548,4536,9593,4536,9593,4521m9653,4521l9608,4521,9608,4536,9653,4536,9653,4521m9713,4521l9668,4521,9668,4536,9713,4536,9713,4521m9764,3577l9719,3577,9719,3592,9764,3592,9764,3577m9773,4521l9728,4521,9728,4536,9773,4536,9773,4521m9773,3514l9771,3511,9769,3507,9765,3506,9761,3508,9630,3584,9761,3661,9765,3663,9769,3662,9771,3658,9773,3655,9772,3650,9769,3648,9673,3592,9704,3592,9704,3577,9673,3577,9769,3521,9772,3519,9773,3514m9824,3577l9779,3577,9779,3592,9824,3592,9824,3577m9833,4521l9788,4521,9788,4536,9833,4536,9833,4521m9878,2677l9833,2677,9833,2692,9878,2692,9878,2677m9884,3577l9839,3577,9839,3592,9884,3592,9884,3577m9887,2614l9885,2611,9883,2607,9879,2606,9875,2608,9744,2684,9875,2761,9879,2763,9883,2762,9885,2758,9887,2755,9886,2750,9883,2748,9787,2692,9818,2692,9818,2677,9787,2677,9883,2621,9886,2619,9887,2614m9893,4521l9848,4521,9848,4536,9893,4536,9893,4521m9938,2677l9893,2677,9893,2692,9938,2692,9938,2677m9944,3577l9899,3577,9899,3592,9944,3592,9944,3577m9953,4521l9908,4521,9908,4536,9953,4536,9953,4521m9998,2677l9953,2677,9953,2692,9998,2692,9998,2677m10004,3577l9959,3577,9959,3592,10004,3592,10004,3577m10013,4521l9968,4521,9968,4536,10013,4536,10013,4521m10058,2677l10013,2677,10013,2692,10058,2692,10058,2677m10064,3577l10019,3577,10019,3592,10064,3592,10064,3577m10073,4521l10028,4521,10028,4536,10073,4536,10073,4521m10118,2677l10073,2677,10073,2692,10118,2692,10118,2677m10124,3577l10079,3577,10079,3592,10124,3592,10124,3577m10133,4521l10088,4521,10088,4536,10133,4536,10133,4521m10178,2677l10133,2677,10133,2692,10178,2692,10178,2677m10184,3577l10139,3577,10139,3592,10184,3592,10184,3577m10193,4521l10148,4521,10148,4536,10193,4536,10193,4521m10238,2677l10193,2677,10193,2692,10238,2692,10238,2677m10244,3577l10199,3577,10199,3592,10244,3592,10244,3577m10253,4521l10208,4521,10208,4536,10253,4536,10253,4521m10298,2677l10253,2677,10253,2692,10298,2692,10298,2677m10304,3577l10259,3577,10259,3592,10304,3592,10304,3577m10313,4521l10268,4521,10268,4536,10313,4536,10313,4521m10358,2677l10313,2677,10313,2692,10358,2692,10358,2677m10364,3577l10319,3577,10319,3592,10364,3592,10364,3577m10373,4521l10328,4521,10328,4536,10373,4536,10373,4521m10418,2677l10373,2677,10373,2692,10418,2692,10418,2677m10424,3577l10379,3577,10379,3592,10424,3592,10424,3577m10433,4521l10388,4521,10388,4536,10433,4536,10433,4521m10478,2677l10433,2677,10433,2692,10478,2692,10478,2677m10484,3577l10439,3577,10439,3592,10484,3592,10484,3577m10493,4521l10448,4521,10448,4536,10493,4536,10493,4521m10538,2677l10493,2677,10493,2692,10538,2692,10538,2677m10544,3577l10499,3577,10499,3592,10544,3592,10544,3577m10553,4521l10508,4521,10508,4536,10553,4536,10553,4521m10598,2677l10553,2677,10553,2692,10598,2692,10598,2677m10604,3577l10559,3577,10559,3592,10604,3592,10604,3577m10613,4521l10568,4521,10568,4536,10613,4536,10613,4521m10658,2677l10613,2677,10613,2692,10658,2692,10658,2677m10664,3577l10619,3577,10619,3592,10664,3592,10664,3577m10673,4521l10628,4521,10628,4536,10673,4536,10673,4521m10718,2677l10673,2677,10673,2692,10718,2692,10718,2677m10724,3577l10679,3577,10679,3592,10724,3592,10724,3577m10733,4521l10688,4521,10688,4536,10733,4536,10733,4521m10778,2677l10733,2677,10733,2692,10778,2692,10778,2677m10784,3577l10739,3577,10739,3592,10784,3592,10784,3577m10793,4521l10748,4521,10748,4536,10793,4536,10793,4521m10838,2677l10793,2677,10793,2692,10838,2692,10838,2677m10844,3577l10799,3577,10799,3592,10844,3592,10844,3577m10853,4521l10808,4521,10808,4536,10853,4536,10853,4521m10898,2677l10853,2677,10853,2692,10898,2692,10898,2677m10904,3577l10859,3577,10859,3592,10904,3592,10904,3577m10913,4521l10868,4521,10868,4536,10913,4536,10913,4521m10958,2677l10913,2677,10913,2692,10958,2692,10958,2677m10964,3577l10919,3577,10919,3592,10964,3592,10964,3577m10973,4521l10928,4521,10928,4536,10973,4536,10973,4521m11018,2677l10973,2677,10973,2692,11018,2692,11018,2677m11024,3577l10979,3577,10979,3592,11024,3592,11024,3577m11033,4521l10988,4521,10988,4536,11033,4536,11033,4521m11078,2677l11033,2677,11033,2692,11078,2692,11078,2677m11084,3577l11039,3577,11039,3592,11084,3592,11084,3577m11093,4521l11048,4521,11048,4536,11093,4536,11093,4521m11138,2677l11093,2677,11093,2692,11138,2692,11138,2677m11144,3577l11099,3577,11099,3592,11144,3592,11144,3577m11153,4521l11108,4521,11108,4536,11153,4536,11153,4521m11198,2677l11153,2677,11153,2692,11198,2692,11198,2677m11204,3577l11159,3577,11159,3592,11204,3592,11204,3577m11213,4521l11168,4521,11168,4536,11213,4536,11213,4521m11258,2677l11213,2677,11213,2692,11258,2692,11258,2677m11264,3577l11219,3577,11219,3592,11264,3592,11264,3577m11273,4521l11228,4521,11228,4536,11273,4536,11273,4521m11318,2677l11273,2677,11273,2692,11318,2692,11318,2677m11324,3577l11279,3577,11279,3592,11324,3592,11324,3577m11333,4521l11288,4521,11288,4536,11333,4536,11333,4521m11378,2677l11333,2677,11333,2692,11378,2692,11378,2677m11382,4529l11369,4521,11251,4452,11247,4450,11243,4451,11241,4455,11239,4458,11240,4463,11243,4465,11348,4526,11348,4531,11243,4592,11240,4594,11239,4599,11241,4602,11243,4606,11247,4607,11251,4605,11369,4536,11382,4529m11384,3577l11339,3577,11339,3592,11384,3592,11384,3577m11438,2677l11393,2677,11393,2692,11438,2692,11438,2677m11444,3577l11399,3577,11399,3592,11444,3592,11444,3577m11498,2677l11453,2677,11453,2692,11498,2692,11498,2677m11504,3577l11459,3577,11459,3592,11504,3592,11504,3577m11558,2677l11513,2677,11513,2692,11558,2692,11558,2677m11564,3577l11519,3577,11519,3592,11564,3592,11564,3577m11618,2677l11573,2677,11573,2692,11618,2692,11618,2677m11624,3577l11579,3577,11579,3592,11624,3592,11624,3577m11678,2677l11633,2677,11633,2692,11678,2692,11678,2677m11684,3577l11639,3577,11639,3592,11684,3592,11684,3577m11738,2677l11693,2677,11693,2692,11738,2692,11738,2677m11744,3577l11699,3577,11699,3592,11744,3592,11744,3577m11798,2677l11753,2677,11753,2692,11798,2692,11798,2677m11804,3577l11759,3577,11759,3592,11804,3592,11804,3577m11858,2677l11813,2677,11813,2692,11858,2692,11858,2677m11864,3577l11819,3577,11819,3592,11864,3592,11864,3577m11918,2677l11873,2677,11873,2692,11918,2692,11918,2677m11924,3577l11879,3577,11879,3592,11924,3592,11924,3577m11978,2677l11933,2677,11933,2692,11978,2692,11978,2677m11984,3577l11939,3577,11939,3592,11984,3592,11984,3577m12038,2677l11993,2677,11993,2692,12038,2692,12038,2677m12098,2677l12053,2677,12053,2692,12098,2692,12098,2677m13009,6686l11315,6686,11312,6689,11312,7262,9673,7262,9769,7206,9772,7204,9773,7199,9771,7196,9769,7192,9765,7191,9761,7193,9630,7269,9761,7346,9765,7348,9769,7347,9771,7343,9773,7340,9772,7335,9769,7333,9673,7277,11324,7277,11327,7274,11327,7269,11327,7262,11327,6701,13009,6701,13009,6693,13009,6686e" filled="true" fillcolor="#000000" stroked="false">
              <v:path arrowok="t"/>
              <v:fill type="solid"/>
            </v:shape>
            <v:rect style="position:absolute;left:6759;top:5715;width:2580;height:1918" filled="true" fillcolor="#ffffff" stroked="false">
              <v:fill type="solid"/>
            </v:rect>
            <v:rect style="position:absolute;left:5469;top:-2;width:5416;height:449" filled="true" fillcolor="#ffffff" stroked="false">
              <v:fill type="solid"/>
            </v:rect>
            <v:rect style="position:absolute;left:5469;top:-2;width:5416;height:449" filled="false" stroked="true" strokeweight=".75pt" strokecolor="#000000"/>
            <v:shape style="position:absolute;left:4022;top:4544;width:7414;height:194" coordorigin="4022,4544" coordsize="7414,194" path="m4133,4652l4088,4652,4088,4667,4133,4667,4133,4652m4166,4589l4164,4586,4161,4582,4157,4581,4153,4583,4022,4659,4153,4736,4156,4738,4161,4737,4163,4733,4165,4730,4164,4725,4160,4723,4064,4667,4073,4667,4073,4652,4065,4652,4161,4596,4164,4594,4166,4589m4193,4652l4148,4652,4148,4667,4193,4667,4193,4652m4253,4652l4208,4652,4208,4667,4253,4667,4253,4652m4313,4653l4268,4652,4268,4667,4313,4668,4313,4653m4373,4653l4328,4653,4328,4668,4373,4668,4373,4653m4433,4653l4388,4653,4388,4668,4433,4668,4433,4653m4493,4653l4448,4653,4448,4668,4493,4668,4493,4653m4553,4653l4508,4653,4508,4668,4553,4668,4553,4653m4613,4654l4568,4653,4568,4668,4613,4669,4613,4654m4673,4654l4628,4654,4628,4669,4673,4669,4673,4654m4733,4654l4688,4654,4688,4669,4733,4669,4733,4654m4793,4654l4748,4654,4748,4669,4793,4669,4793,4654m4853,4654l4808,4654,4808,4669,4853,4669,4853,4654m4913,4655l4868,4654,4868,4669,4913,4670,4913,4655m4973,4655l4928,4655,4928,4670,4973,4670,4973,4655m5033,4655l4988,4655,4988,4670,5033,4670,5033,4655m5093,4655l5048,4655,5048,4670,5093,4670,5093,4655m5153,4655l5108,4655,5108,4670,5153,4670,5153,4655m5213,4656l5168,4655,5168,4670,5213,4671,5213,4656m5273,4656l5228,4656,5228,4671,5273,4671,5273,4656m5333,4656l5288,4656,5288,4671,5333,4671,5333,4656m5393,4656l5348,4656,5348,4671,5393,4671,5393,4656m5453,4656l5408,4656,5408,4671,5453,4671,5453,4656m5513,4657l5468,4656,5468,4671,5513,4672,5513,4657m5573,4657l5528,4657,5528,4672,5573,4672,5573,4657m5633,4657l5588,4657,5588,4672,5633,4672,5633,4657m5693,4657l5648,4657,5648,4672,5693,4672,5693,4657m5753,4657l5708,4657,5708,4672,5753,4672,5753,4657m5813,4658l5768,4657,5768,4672,5813,4673,5813,4658m5873,4658l5828,4658,5828,4673,5873,4673,5873,4658m5933,4658l5888,4658,5888,4673,5933,4673,5933,4658m5993,4658l5948,4658,5948,4673,5993,4673,5993,4658m6053,4658l6008,4658,6008,4673,6053,4673,6053,4658m6113,4659l6068,4658,6068,4673,6113,4674,6113,4659m6173,4659l6128,4659,6128,4674,6173,4674,6173,4659m6233,4659l6188,4659,6188,4674,6233,4674,6233,4659m6293,4659l6248,4659,6248,4674,6293,4674,6293,4659m6353,4659l6308,4659,6308,4674,6353,4674,6353,4659m6413,4660l6368,4659,6368,4674,6413,4675,6413,4660m6473,4660l6428,4660,6428,4675,6473,4675,6473,4660m6533,4660l6488,4660,6488,4675,6533,4675,6533,4660m6593,4660l6548,4660,6548,4675,6593,4675,6593,4660m6653,4660l6608,4660,6608,4675,6653,4675,6653,4660m6713,4661l6668,4661,6668,4676,6713,4676,6713,4661m6773,4661l6728,4661,6728,4676,6773,4676,6773,4661m6833,4661l6788,4661,6788,4676,6833,4676,6833,4661m6893,4661l6848,4661,6848,4676,6893,4676,6893,4661m6953,4661l6908,4661,6908,4676,6953,4676,6953,4661m7013,4662l6968,4662,6968,4677,7013,4677,7013,4662m7073,4662l7028,4662,7028,4677,7073,4677,7073,4662m7133,4662l7088,4662,7088,4677,7133,4677,7133,4662m7193,4662l7148,4662,7148,4677,7193,4677,7193,4662m7253,4663l7208,4662,7208,4677,7253,4678,7253,4663m7313,4663l7268,4663,7268,4678,7313,4678,7313,4663m7373,4663l7328,4663,7328,4678,7373,4678,7373,4663m7433,4663l7388,4663,7388,4678,7433,4678,7433,4663m7493,4663l7448,4663,7448,4678,7493,4678,7493,4663m7553,4664l7508,4663,7508,4678,7553,4679,7553,4664m9216,4616l9171,4616,9171,4631,9216,4631,9216,4616m9225,4553l9223,4549,9221,4546,9217,4544,9213,4547,9082,4623,9213,4699,9217,4702,9221,4700,9223,4697,9225,4693,9224,4689,9221,4687,9125,4631,9156,4631,9156,4616,9124,4616,9221,4559,9224,4557,9225,4553m9276,4616l9231,4616,9231,4631,9276,4631,9276,4616m9336,4616l9291,4616,9291,4631,9336,4631,9336,4616m9396,4616l9351,4616,9351,4631,9396,4631,9396,4616m9456,4616l9411,4616,9411,4631,9456,4631,9456,4616m9516,4616l9471,4616,9471,4631,9516,4631,9516,4616m9576,4616l9531,4616,9531,4631,9576,4631,9576,4616m9636,4616l9591,4616,9591,4631,9636,4631,9636,4616m9696,4616l9651,4616,9651,4631,9696,4631,9696,4616m9756,4616l9711,4616,9711,4631,9756,4631,9756,4616m9816,4616l9771,4616,9771,4631,9816,4631,9816,4616m9876,4616l9831,4616,9831,4631,9876,4631,9876,4616m9936,4616l9891,4616,9891,4631,9936,4631,9936,4616m9996,4616l9951,4616,9951,4631,9996,4631,9996,4616m10056,4616l10011,4616,10011,4631,10056,4631,10056,4616m10116,4616l10071,4616,10071,4631,10116,4631,10116,4616m10176,4616l10131,4616,10131,4631,10176,4631,10176,4616m10236,4616l10191,4616,10191,4631,10236,4631,10236,4616m10296,4616l10251,4616,10251,4631,10296,4631,10296,4616m10356,4616l10311,4616,10311,4631,10356,4631,10356,4616m10416,4616l10371,4616,10371,4631,10416,4631,10416,4616m10476,4616l10431,4616,10431,4631,10476,4631,10476,4616m10536,4616l10491,4616,10491,4631,10536,4631,10536,4616m10596,4616l10551,4616,10551,4631,10596,4631,10596,4616m10656,4616l10611,4616,10611,4631,10656,4631,10656,4616m10716,4616l10671,4616,10671,4631,10716,4631,10716,4616m10776,4616l10731,4616,10731,4631,10776,4631,10776,4616m10836,4616l10791,4616,10791,4631,10836,4631,10836,4616m10896,4616l10851,4616,10851,4631,10896,4631,10896,4616m10956,4616l10911,4616,10911,4631,10956,4631,10956,4616m11016,4616l10971,4616,10971,4631,11016,4631,11016,4616m11076,4616l11031,4616,11031,4631,11076,4631,11076,4616m11136,4616l11091,4616,11091,4631,11136,4631,11136,4616m11196,4616l11151,4616,11151,4631,11196,4631,11196,4616m11256,4616l11211,4616,11211,4631,11256,4631,11256,4616m11316,4616l11271,4616,11271,4631,11316,4631,11316,4616m11376,4616l11331,4616,11331,4631,11376,4631,11376,4616m11436,4616l11391,4616,11391,4631,11436,4631,11436,4616e" filled="true" fillcolor="#000000" stroked="false">
              <v:path arrowok="t"/>
              <v:fill type="solid"/>
            </v:shape>
            <v:rect style="position:absolute;left:7077;top:1729;width:2558;height:1170" filled="true" fillcolor="#ffffff" stroked="false">
              <v:fill type="solid"/>
            </v:rect>
            <v:shape style="position:absolute;left:8083;top:3031;width:163;height:2665" coordorigin="8083,3031" coordsize="163,2665" path="m8094,5544l8084,5550,8083,5556,8164,5696,8176,5676,8154,5676,8154,5639,8100,5546,8094,5544xm8154,5639l8154,5676,8174,5676,8174,5671,8155,5671,8164,5656,8154,5639xm8234,5544l8228,5546,8174,5639,8174,5676,8176,5676,8245,5556,8244,5550,8234,5544xm8164,5656l8155,5671,8173,5671,8164,5656xm8174,5639l8164,5656,8173,5671,8174,5671,8174,5639xm8174,3031l8154,3031,8154,5639,8164,5656,8174,5639,8174,3031xe" filled="true" fillcolor="#000000" stroked="false">
              <v:path arrowok="t"/>
              <v:fill type="solid"/>
            </v:shape>
            <v:rect style="position:absolute;left:1901;top:4875;width:2553;height:421" filled="true" fillcolor="#ffffff" stroked="false">
              <v:fill type="solid"/>
            </v:rect>
            <v:shape style="position:absolute;left:2980;top:4560;width:157;height:321" type="#_x0000_t75" stroked="false">
              <v:imagedata r:id="rId35" o:title=""/>
            </v:shape>
            <v:rect style="position:absolute;left:12257;top:7090;width:2580;height:1225" filled="true" fillcolor="#ffffff" stroked="false">
              <v:fill type="solid"/>
            </v:rect>
            <v:shape style="position:absolute;left:2985;top:5301;width:157;height:230" type="#_x0000_t75" stroked="false">
              <v:imagedata r:id="rId36" o:title=""/>
            </v:shape>
            <v:shape style="position:absolute;left:2132;top:5532;width:9145;height:3268" coordorigin="2132,5532" coordsize="9145,3268" path="m4115,5532l2132,5532,2132,6197,4115,6197,4115,5532m11277,8350l5861,8350,5861,8799,11277,8799,11277,8350e" filled="true" fillcolor="#ffffff" stroked="false">
              <v:path arrowok="t"/>
              <v:fill type="solid"/>
            </v:shape>
            <v:rect style="position:absolute;left:5861;top:8350;width:5416;height:449" filled="false" stroked="true" strokeweight=".75pt" strokecolor="#000000"/>
            <w10:wrap type="none"/>
          </v:group>
        </w:pict>
      </w:r>
      <w:r>
        <w:rPr/>
        <w:t>Planeación/GIRH-Gobernanza-Gobernabilidad</w:t>
      </w:r>
    </w:p>
    <w:p>
      <w:pPr>
        <w:spacing w:before="114"/>
        <w:ind w:left="0" w:right="1734" w:firstLine="0"/>
        <w:jc w:val="right"/>
        <w:rPr>
          <w:sz w:val="24"/>
        </w:rPr>
      </w:pPr>
      <w:r>
        <w:rPr/>
        <w:pict>
          <v:shape style="position:absolute;margin-left:87.75pt;margin-top:5.685874pt;width:146.5pt;height:33.75pt;mso-position-horizontal-relative:page;mso-position-vertical-relative:paragraph;z-index:2536" type="#_x0000_t202" filled="true" fillcolor="#9bba58" stroked="true" strokeweight=".75pt" strokecolor="#000000">
            <v:textbox inset="0,0,0,0">
              <w:txbxContent>
                <w:p>
                  <w:pPr>
                    <w:spacing w:before="69"/>
                    <w:ind w:left="769" w:right="0" w:firstLine="0"/>
                    <w:jc w:val="left"/>
                    <w:rPr>
                      <w:sz w:val="24"/>
                    </w:rPr>
                  </w:pPr>
                  <w:r>
                    <w:rPr>
                      <w:sz w:val="24"/>
                    </w:rPr>
                    <w:t>Teoría social</w:t>
                  </w:r>
                </w:p>
              </w:txbxContent>
            </v:textbox>
            <v:fill type="solid"/>
            <w10:wrap type="none"/>
          </v:shape>
        </w:pict>
      </w:r>
      <w:r>
        <w:rPr/>
        <w:pict>
          <v:shape style="position:absolute;margin-left:281.25pt;margin-top:12.535874pt;width:228.5pt;height:22.5pt;mso-position-horizontal-relative:page;mso-position-vertical-relative:paragraph;z-index:2560" type="#_x0000_t202" filled="true" fillcolor="#4f81bc" stroked="true" strokeweight=".75pt" strokecolor="#000000">
            <v:textbox inset="0,0,0,0">
              <w:txbxContent>
                <w:p>
                  <w:pPr>
                    <w:spacing w:before="69"/>
                    <w:ind w:left="445" w:right="0" w:firstLine="0"/>
                    <w:jc w:val="left"/>
                    <w:rPr>
                      <w:b/>
                      <w:sz w:val="24"/>
                    </w:rPr>
                  </w:pPr>
                  <w:r>
                    <w:rPr>
                      <w:b/>
                      <w:sz w:val="24"/>
                    </w:rPr>
                    <w:t>CONSIDERACIONES TEÓRICAS</w:t>
                  </w:r>
                </w:p>
              </w:txbxContent>
            </v:textbox>
            <v:fill type="solid"/>
            <w10:wrap type="none"/>
          </v:shape>
        </w:pict>
      </w:r>
      <w:r>
        <w:rPr>
          <w:sz w:val="24"/>
        </w:rPr>
        <w:t>Teoría social</w:t>
      </w:r>
    </w:p>
    <w:p>
      <w:pPr>
        <w:pStyle w:val="BodyText"/>
        <w:rPr>
          <w:sz w:val="20"/>
        </w:rPr>
      </w:pPr>
    </w:p>
    <w:p>
      <w:pPr>
        <w:pStyle w:val="BodyText"/>
        <w:rPr>
          <w:sz w:val="20"/>
        </w:rPr>
      </w:pPr>
    </w:p>
    <w:p>
      <w:pPr>
        <w:pStyle w:val="BodyText"/>
        <w:rPr>
          <w:sz w:val="20"/>
        </w:rPr>
      </w:pPr>
    </w:p>
    <w:p>
      <w:pPr>
        <w:pStyle w:val="BodyText"/>
        <w:spacing w:before="3"/>
        <w:rPr>
          <w:sz w:val="20"/>
        </w:rPr>
      </w:pPr>
    </w:p>
    <w:p>
      <w:pPr>
        <w:pStyle w:val="BodyText"/>
        <w:tabs>
          <w:tab w:pos="11466" w:val="left" w:leader="none"/>
        </w:tabs>
        <w:spacing w:before="1"/>
        <w:ind w:left="1649" w:right="159"/>
      </w:pPr>
      <w:r>
        <w:rPr/>
        <w:pict>
          <v:shape style="position:absolute;margin-left:353.850006pt;margin-top:4.457868pt;width:127.9pt;height:58.5pt;mso-position-horizontal-relative:page;mso-position-vertical-relative:paragraph;z-index:-3340840" type="#_x0000_t202" filled="false" stroked="true" strokeweight="1.0pt" strokecolor="#000000">
            <v:textbox inset="0,0,0,0">
              <w:txbxContent>
                <w:p>
                  <w:pPr>
                    <w:spacing w:line="276" w:lineRule="auto" w:before="68"/>
                    <w:ind w:left="457" w:right="449" w:firstLine="0"/>
                    <w:jc w:val="center"/>
                    <w:rPr>
                      <w:b/>
                      <w:sz w:val="22"/>
                    </w:rPr>
                  </w:pPr>
                  <w:r>
                    <w:rPr>
                      <w:b/>
                      <w:sz w:val="22"/>
                    </w:rPr>
                    <w:t>Principios de la Gobernanza y Gobernabilidad</w:t>
                  </w:r>
                </w:p>
              </w:txbxContent>
            </v:textbox>
            <w10:wrap type="none"/>
          </v:shape>
        </w:pict>
      </w:r>
      <w:r>
        <w:rPr/>
        <w:t>Permite</w:t>
        <w:tab/>
      </w:r>
      <w:r>
        <w:rPr>
          <w:position w:val="1"/>
        </w:rPr>
        <w:t>Facilita</w:t>
      </w:r>
    </w:p>
    <w:p>
      <w:pPr>
        <w:pStyle w:val="BodyText"/>
        <w:rPr>
          <w:sz w:val="20"/>
        </w:rPr>
      </w:pPr>
    </w:p>
    <w:p>
      <w:pPr>
        <w:pStyle w:val="BodyText"/>
        <w:spacing w:before="10"/>
      </w:pPr>
      <w:r>
        <w:rPr/>
        <w:pict>
          <v:shape style="position:absolute;margin-left:115.849998pt;margin-top:15.499918pt;width:68.850pt;height:22.5pt;mso-position-horizontal-relative:page;mso-position-vertical-relative:paragraph;z-index:2344;mso-wrap-distance-left:0;mso-wrap-distance-right:0" type="#_x0000_t202" filled="false" stroked="true" strokeweight=".75pt" strokecolor="#000000">
            <v:textbox inset="0,0,0,0">
              <w:txbxContent>
                <w:p>
                  <w:pPr>
                    <w:pStyle w:val="BodyText"/>
                    <w:spacing w:before="70"/>
                    <w:ind w:left="227"/>
                  </w:pPr>
                  <w:r>
                    <w:rPr/>
                    <w:t>Identidad</w:t>
                  </w:r>
                </w:p>
              </w:txbxContent>
            </v:textbox>
            <w10:wrap type="topAndBottom"/>
          </v:shape>
        </w:pict>
      </w:r>
      <w:r>
        <w:rPr/>
        <w:pict>
          <v:shape style="position:absolute;margin-left:604.799988pt;margin-top:15.599918pt;width:78.25pt;height:22.5pt;mso-position-horizontal-relative:page;mso-position-vertical-relative:paragraph;z-index:2368;mso-wrap-distance-left:0;mso-wrap-distance-right:0" type="#_x0000_t202" filled="false" stroked="true" strokeweight=".75pt" strokecolor="#000000">
            <v:textbox inset="0,0,0,0">
              <w:txbxContent>
                <w:p>
                  <w:pPr>
                    <w:pStyle w:val="BodyText"/>
                    <w:spacing w:before="71"/>
                    <w:ind w:left="169"/>
                  </w:pPr>
                  <w:r>
                    <w:rPr/>
                    <w:t>Gobernanza</w:t>
                  </w:r>
                </w:p>
              </w:txbxContent>
            </v:textbox>
            <w10:wrap type="topAndBottom"/>
          </v:shape>
        </w:pict>
      </w:r>
      <w:r>
        <w:rPr/>
        <w:pict>
          <v:shape style="position:absolute;margin-left:106.449997pt;margin-top:58.74992pt;width:82.6pt;height:22.5pt;mso-position-horizontal-relative:page;mso-position-vertical-relative:paragraph;z-index:2392;mso-wrap-distance-left:0;mso-wrap-distance-right:0" type="#_x0000_t202" filled="false" stroked="true" strokeweight=".75pt" strokecolor="#000000">
            <v:textbox inset="0,0,0,0">
              <w:txbxContent>
                <w:p>
                  <w:pPr>
                    <w:pStyle w:val="BodyText"/>
                    <w:spacing w:before="69"/>
                    <w:ind w:left="194"/>
                  </w:pPr>
                  <w:r>
                    <w:rPr/>
                    <w:t>Cooperación</w:t>
                  </w:r>
                </w:p>
              </w:txbxContent>
            </v:textbox>
            <w10:wrap type="topAndBottom"/>
          </v:shape>
        </w:pict>
      </w:r>
      <w:r>
        <w:rPr/>
        <w:pict>
          <v:shape style="position:absolute;margin-left:599.200012pt;margin-top:61.899918pt;width:90.75pt;height:22.5pt;mso-position-horizontal-relative:page;mso-position-vertical-relative:paragraph;z-index:2416;mso-wrap-distance-left:0;mso-wrap-distance-right:0" type="#_x0000_t202" filled="false" stroked="true" strokeweight=".75pt" strokecolor="#000000">
            <v:textbox inset="0,0,0,0">
              <w:txbxContent>
                <w:p>
                  <w:pPr>
                    <w:pStyle w:val="BodyText"/>
                    <w:spacing w:before="71"/>
                    <w:ind w:left="153"/>
                  </w:pPr>
                  <w:r>
                    <w:rPr/>
                    <w:t>Gobernabilidad</w:t>
                  </w:r>
                </w:p>
              </w:txbxContent>
            </v:textbox>
            <w10:wrap type="topAndBottom"/>
          </v:shape>
        </w:pict>
      </w:r>
    </w:p>
    <w:p>
      <w:pPr>
        <w:pStyle w:val="BodyText"/>
        <w:spacing w:before="7"/>
        <w:rPr>
          <w:sz w:val="28"/>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r>
        <w:rPr/>
        <w:pict>
          <v:shape style="position:absolute;margin-left:106.599998pt;margin-top:14.68586pt;width:99.15pt;height:33.25pt;mso-position-horizontal-relative:page;mso-position-vertical-relative:paragraph;z-index:2440;mso-wrap-distance-left:0;mso-wrap-distance-right:0" type="#_x0000_t202" filled="false" stroked="true" strokeweight=".75pt" strokecolor="#000000">
            <v:textbox inset="0,0,0,0">
              <w:txbxContent>
                <w:p>
                  <w:pPr>
                    <w:pStyle w:val="BodyText"/>
                    <w:spacing w:line="276" w:lineRule="auto" w:before="71"/>
                    <w:ind w:left="181" w:right="180" w:firstLine="256"/>
                  </w:pPr>
                  <w:r>
                    <w:rPr/>
                    <w:t>Relaciones Intermunicipales</w:t>
                  </w:r>
                </w:p>
              </w:txbxContent>
            </v:textbox>
            <w10:wrap type="topAndBottom"/>
          </v:shape>
        </w:pict>
      </w:r>
      <w:r>
        <w:rPr/>
        <w:pict>
          <v:shape style="position:absolute;margin-left:604.849976pt;margin-top:30.20586pt;width:85.1pt;height:22.5pt;mso-position-horizontal-relative:page;mso-position-vertical-relative:paragraph;z-index:2464;mso-wrap-distance-left:0;mso-wrap-distance-right:0" type="#_x0000_t202" filled="false" stroked="true" strokeweight=".75pt" strokecolor="#000000">
            <v:textbox inset="0,0,0,0">
              <w:txbxContent>
                <w:p>
                  <w:pPr>
                    <w:pStyle w:val="BodyText"/>
                    <w:spacing w:before="70"/>
                    <w:ind w:left="261"/>
                  </w:pPr>
                  <w:r>
                    <w:rPr/>
                    <w:t>Autogestión</w:t>
                  </w:r>
                </w:p>
              </w:txbxContent>
            </v:textbox>
            <w10:wrap type="topAndBottom"/>
          </v:shape>
        </w:pict>
      </w:r>
    </w:p>
    <w:p>
      <w:pPr>
        <w:pStyle w:val="BodyText"/>
        <w:rPr>
          <w:sz w:val="20"/>
        </w:rPr>
      </w:pPr>
    </w:p>
    <w:p>
      <w:pPr>
        <w:pStyle w:val="BodyText"/>
        <w:rPr>
          <w:sz w:val="20"/>
        </w:rPr>
      </w:pPr>
    </w:p>
    <w:p>
      <w:pPr>
        <w:pStyle w:val="BodyText"/>
        <w:spacing w:before="6"/>
        <w:rPr>
          <w:sz w:val="26"/>
        </w:rPr>
      </w:pPr>
    </w:p>
    <w:p>
      <w:pPr>
        <w:spacing w:line="362" w:lineRule="auto" w:before="74"/>
        <w:ind w:left="11271" w:right="475" w:firstLine="0"/>
        <w:jc w:val="both"/>
        <w:rPr>
          <w:sz w:val="20"/>
        </w:rPr>
      </w:pPr>
      <w:r>
        <w:rPr/>
        <w:pict>
          <v:shape style="position:absolute;margin-left:576pt;margin-top:-141.110107pt;width:140.2pt;height:56.3pt;mso-position-horizontal-relative:page;mso-position-vertical-relative:paragraph;z-index:2632" type="#_x0000_t202" filled="false" stroked="true" strokeweight=".75pt" strokecolor="#000000">
            <v:textbox inset="0,0,0,0">
              <w:txbxContent>
                <w:p>
                  <w:pPr>
                    <w:pStyle w:val="BodyText"/>
                    <w:spacing w:line="276" w:lineRule="auto" w:before="71"/>
                    <w:ind w:left="447" w:right="439"/>
                    <w:jc w:val="center"/>
                  </w:pPr>
                  <w:r>
                    <w:rPr/>
                    <w:t>Democracia y Voluntariedad de la Sociedad</w:t>
                  </w:r>
                </w:p>
              </w:txbxContent>
            </v:textbox>
            <w10:wrap type="none"/>
          </v:shape>
        </w:pict>
      </w:r>
      <w:r>
        <w:rPr/>
        <w:pict>
          <v:shape style="position:absolute;margin-left:95.050003pt;margin-top:-110.980118pt;width:127.65pt;height:21.05pt;mso-position-horizontal-relative:page;mso-position-vertical-relative:paragraph;z-index:2656" type="#_x0000_t202" filled="false" stroked="true" strokeweight=".75pt" strokecolor="#000000">
            <v:textbox inset="0,0,0,0">
              <w:txbxContent>
                <w:p>
                  <w:pPr>
                    <w:pStyle w:val="BodyText"/>
                    <w:spacing w:before="70"/>
                    <w:ind w:left="309"/>
                  </w:pPr>
                  <w:r>
                    <w:rPr/>
                    <w:t>Participación Social</w:t>
                  </w:r>
                </w:p>
              </w:txbxContent>
            </v:textbox>
            <w10:wrap type="none"/>
          </v:shape>
        </w:pict>
      </w:r>
      <w:r>
        <w:rPr/>
        <w:pict>
          <v:shape style="position:absolute;margin-left:337.950012pt;margin-top:-68.980118pt;width:129pt;height:95.9pt;mso-position-horizontal-relative:page;mso-position-vertical-relative:paragraph;z-index:2680" type="#_x0000_t202" filled="false" stroked="true" strokeweight="1pt" strokecolor="#000000">
            <v:textbox inset="0,0,0,0">
              <w:txbxContent>
                <w:p>
                  <w:pPr>
                    <w:spacing w:line="276" w:lineRule="auto" w:before="68"/>
                    <w:ind w:left="302" w:right="297" w:hanging="3"/>
                    <w:jc w:val="center"/>
                    <w:rPr>
                      <w:b/>
                      <w:sz w:val="22"/>
                    </w:rPr>
                  </w:pPr>
                  <w:r>
                    <w:rPr>
                      <w:b/>
                      <w:sz w:val="22"/>
                    </w:rPr>
                    <w:t>Permiten la propuesta de un Comité Intermunicipal con su Reglamento</w:t>
                  </w:r>
                </w:p>
              </w:txbxContent>
            </v:textbox>
            <w10:wrap type="none"/>
          </v:shape>
        </w:pict>
      </w:r>
      <w:r>
        <w:rPr>
          <w:b/>
          <w:sz w:val="20"/>
        </w:rPr>
        <w:t>Fuente: </w:t>
      </w:r>
      <w:r>
        <w:rPr>
          <w:sz w:val="20"/>
        </w:rPr>
        <w:t>Elaboración propia con base en las consideraciones teóricas.</w:t>
      </w:r>
    </w:p>
    <w:p>
      <w:pPr>
        <w:pStyle w:val="BodyText"/>
        <w:spacing w:before="9"/>
        <w:rPr>
          <w:sz w:val="12"/>
        </w:rPr>
      </w:pPr>
    </w:p>
    <w:p>
      <w:pPr>
        <w:pStyle w:val="Heading6"/>
        <w:spacing w:before="73"/>
        <w:ind w:left="5029" w:right="159"/>
      </w:pPr>
      <w:r>
        <w:rPr/>
        <w:t>Planeación/GIRH-Gobernanza-Gobernabilidad</w:t>
      </w:r>
    </w:p>
    <w:p>
      <w:pPr>
        <w:spacing w:after="0"/>
        <w:sectPr>
          <w:footerReference w:type="default" r:id="rId33"/>
          <w:pgSz w:w="15840" w:h="12240" w:orient="landscape"/>
          <w:pgMar w:footer="0" w:header="0" w:top="1140" w:bottom="280" w:left="1140" w:right="6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6"/>
        </w:rPr>
      </w:pPr>
    </w:p>
    <w:p>
      <w:pPr>
        <w:pStyle w:val="Heading1"/>
        <w:spacing w:before="44"/>
        <w:ind w:left="1208"/>
      </w:pPr>
      <w:r>
        <w:rPr/>
        <w:t>OBJETIVOS Y METODOLOGÍA</w:t>
      </w:r>
    </w:p>
    <w:p>
      <w:pPr>
        <w:spacing w:after="0"/>
        <w:sectPr>
          <w:footerReference w:type="default" r:id="rId37"/>
          <w:pgSz w:w="12240" w:h="15840"/>
          <w:pgMar w:footer="1003" w:header="0" w:top="1500" w:bottom="1200" w:left="1720" w:right="1580"/>
          <w:pgNumType w:start="98"/>
        </w:sectPr>
      </w:pPr>
    </w:p>
    <w:p>
      <w:pPr>
        <w:pStyle w:val="Heading6"/>
        <w:numPr>
          <w:ilvl w:val="0"/>
          <w:numId w:val="17"/>
        </w:numPr>
        <w:tabs>
          <w:tab w:pos="409" w:val="left" w:leader="none"/>
        </w:tabs>
        <w:spacing w:line="240" w:lineRule="auto" w:before="53" w:after="0"/>
        <w:ind w:left="409" w:right="0" w:hanging="307"/>
        <w:jc w:val="both"/>
      </w:pPr>
      <w:bookmarkStart w:name="_TOC_250040" w:id="33"/>
      <w:r>
        <w:rPr/>
        <w:t>OBJETIVOS Y</w:t>
      </w:r>
      <w:r>
        <w:rPr>
          <w:spacing w:val="-8"/>
        </w:rPr>
        <w:t> </w:t>
      </w:r>
      <w:bookmarkEnd w:id="33"/>
      <w:r>
        <w:rPr/>
        <w:t>METODOLOGÍA</w:t>
      </w:r>
    </w:p>
    <w:p>
      <w:pPr>
        <w:pStyle w:val="BodyText"/>
        <w:spacing w:before="3"/>
        <w:rPr>
          <w:b/>
          <w:sz w:val="28"/>
        </w:rPr>
      </w:pPr>
    </w:p>
    <w:p>
      <w:pPr>
        <w:pStyle w:val="ListParagraph"/>
        <w:numPr>
          <w:ilvl w:val="1"/>
          <w:numId w:val="35"/>
        </w:numPr>
        <w:tabs>
          <w:tab w:pos="532" w:val="left" w:leader="none"/>
        </w:tabs>
        <w:spacing w:line="552" w:lineRule="auto" w:before="1" w:after="0"/>
        <w:ind w:left="102" w:right="5177" w:firstLine="0"/>
        <w:jc w:val="left"/>
        <w:rPr>
          <w:b/>
          <w:sz w:val="22"/>
        </w:rPr>
      </w:pPr>
      <w:r>
        <w:rPr>
          <w:b/>
          <w:sz w:val="22"/>
        </w:rPr>
        <w:t>Objetivos General y</w:t>
      </w:r>
      <w:r>
        <w:rPr>
          <w:b/>
          <w:spacing w:val="-9"/>
          <w:sz w:val="22"/>
        </w:rPr>
        <w:t> </w:t>
      </w:r>
      <w:r>
        <w:rPr>
          <w:b/>
          <w:sz w:val="22"/>
        </w:rPr>
        <w:t>Específicos OBJETIVO</w:t>
      </w:r>
      <w:r>
        <w:rPr>
          <w:b/>
          <w:spacing w:val="-10"/>
          <w:sz w:val="22"/>
        </w:rPr>
        <w:t> </w:t>
      </w:r>
      <w:r>
        <w:rPr>
          <w:b/>
          <w:sz w:val="22"/>
        </w:rPr>
        <w:t>GENERAL</w:t>
      </w:r>
    </w:p>
    <w:p>
      <w:pPr>
        <w:pStyle w:val="Heading7"/>
        <w:spacing w:line="360" w:lineRule="auto" w:before="8"/>
        <w:ind w:right="112"/>
      </w:pPr>
      <w:r>
        <w:rPr>
          <w:i/>
        </w:rPr>
        <w:t>Identificar los problemas de la Cuenca Hidrosocial Presa Huapango a través de la </w:t>
      </w:r>
      <w:r>
        <w:rPr/>
        <w:t>GIRH, la gobernanza y la gobernabilidad para la elaboración de una propuesta de un Comité Intermunicipal con su Reglamento como instrumentos de política pública para iniciar acciones, proyectos y programas mediante la participación de los actores políticos, sociales y económicos.</w:t>
      </w:r>
    </w:p>
    <w:p>
      <w:pPr>
        <w:pStyle w:val="BodyText"/>
        <w:spacing w:before="5"/>
        <w:rPr>
          <w:b/>
          <w:i/>
          <w:sz w:val="17"/>
        </w:rPr>
      </w:pPr>
    </w:p>
    <w:p>
      <w:pPr>
        <w:spacing w:before="0"/>
        <w:ind w:left="102" w:right="0" w:firstLine="0"/>
        <w:jc w:val="both"/>
        <w:rPr>
          <w:b/>
          <w:sz w:val="22"/>
        </w:rPr>
      </w:pPr>
      <w:r>
        <w:rPr>
          <w:b/>
          <w:sz w:val="22"/>
        </w:rPr>
        <w:t>OBJETIVOS ESPECÍFICOS O PARTICULARES</w:t>
      </w:r>
    </w:p>
    <w:p>
      <w:pPr>
        <w:pStyle w:val="BodyText"/>
        <w:spacing w:before="5"/>
        <w:rPr>
          <w:b/>
          <w:sz w:val="28"/>
        </w:rPr>
      </w:pPr>
    </w:p>
    <w:p>
      <w:pPr>
        <w:spacing w:line="360" w:lineRule="auto" w:before="1"/>
        <w:ind w:left="102" w:right="118" w:firstLine="0"/>
        <w:jc w:val="both"/>
        <w:rPr>
          <w:b/>
          <w:sz w:val="22"/>
        </w:rPr>
      </w:pPr>
      <w:r>
        <w:rPr>
          <w:b/>
          <w:sz w:val="22"/>
        </w:rPr>
        <w:t>1.- Definir las consideraciones teóricas sobre gestión intermunicipal mediante la gobernanza y la gobernabilidad con enfoque GIRH para interpretar la problemática de la Cuenca Hidrosocial Presa Huapango.</w:t>
      </w:r>
    </w:p>
    <w:p>
      <w:pPr>
        <w:pStyle w:val="BodyText"/>
        <w:spacing w:before="7"/>
        <w:rPr>
          <w:b/>
          <w:sz w:val="17"/>
        </w:rPr>
      </w:pPr>
    </w:p>
    <w:p>
      <w:pPr>
        <w:spacing w:line="360" w:lineRule="auto" w:before="0"/>
        <w:ind w:left="102" w:right="119" w:firstLine="0"/>
        <w:jc w:val="both"/>
        <w:rPr>
          <w:b/>
          <w:sz w:val="22"/>
        </w:rPr>
      </w:pPr>
      <w:r>
        <w:rPr>
          <w:b/>
          <w:sz w:val="22"/>
        </w:rPr>
        <w:t>2.- Identificar el mapa de actores para analizar sus redes y funciones en la Cuenca Hidrosocial Presa Huapango.</w:t>
      </w:r>
    </w:p>
    <w:p>
      <w:pPr>
        <w:pStyle w:val="BodyText"/>
        <w:spacing w:before="9"/>
        <w:rPr>
          <w:b/>
          <w:sz w:val="17"/>
        </w:rPr>
      </w:pPr>
    </w:p>
    <w:p>
      <w:pPr>
        <w:spacing w:line="360" w:lineRule="auto" w:before="0"/>
        <w:ind w:left="102" w:right="112" w:firstLine="0"/>
        <w:jc w:val="both"/>
        <w:rPr>
          <w:b/>
          <w:sz w:val="22"/>
        </w:rPr>
      </w:pPr>
      <w:r>
        <w:rPr>
          <w:b/>
          <w:sz w:val="22"/>
        </w:rPr>
        <w:t>3.- Caracterizar la problemática de la Cuenca Hidrosocial Presa Huapango con el trabajo de campo por grupo de actores, áreas estratégicas de planeación y articulación (AEPA: ambiental, social, económica y política), y los principios de gobernanza para definir los indicadores de Presión, Estado, Impacto y Respuesta (PEIR).</w:t>
      </w:r>
    </w:p>
    <w:p>
      <w:pPr>
        <w:pStyle w:val="BodyText"/>
        <w:spacing w:before="9"/>
        <w:rPr>
          <w:b/>
          <w:sz w:val="17"/>
        </w:rPr>
      </w:pPr>
    </w:p>
    <w:p>
      <w:pPr>
        <w:spacing w:line="360" w:lineRule="auto" w:before="0"/>
        <w:ind w:left="102" w:right="113" w:firstLine="0"/>
        <w:jc w:val="both"/>
        <w:rPr>
          <w:b/>
          <w:sz w:val="22"/>
        </w:rPr>
      </w:pPr>
      <w:r>
        <w:rPr>
          <w:b/>
          <w:sz w:val="22"/>
        </w:rPr>
        <w:t>4.- Analizar los resultados del trabajo de campo mediante los indicadores de Presión, Estado, Impacto y Respuesta (PEIR) con base en las consideraciones teóricas para proponer un Comité Intermunicipal con su Reglamento.</w:t>
      </w:r>
    </w:p>
    <w:p>
      <w:pPr>
        <w:pStyle w:val="BodyText"/>
        <w:spacing w:before="7"/>
        <w:rPr>
          <w:b/>
          <w:sz w:val="17"/>
        </w:rPr>
      </w:pPr>
    </w:p>
    <w:p>
      <w:pPr>
        <w:spacing w:line="360" w:lineRule="auto" w:before="0"/>
        <w:ind w:left="102" w:right="112" w:firstLine="0"/>
        <w:jc w:val="both"/>
        <w:rPr>
          <w:b/>
          <w:sz w:val="22"/>
        </w:rPr>
      </w:pPr>
      <w:r>
        <w:rPr>
          <w:b/>
          <w:sz w:val="22"/>
        </w:rPr>
        <w:t>5.- Identificar el marco jurídico vigente en la CHPH para justificar legalmente y políticamente el uso del derecho consuetudinario para proponer la creación de un Comité Intermunicipal con su Reglamento.</w:t>
      </w:r>
    </w:p>
    <w:p>
      <w:pPr>
        <w:pStyle w:val="BodyText"/>
        <w:spacing w:before="7"/>
        <w:rPr>
          <w:b/>
          <w:sz w:val="17"/>
        </w:rPr>
      </w:pPr>
    </w:p>
    <w:p>
      <w:pPr>
        <w:spacing w:line="360" w:lineRule="auto" w:before="0"/>
        <w:ind w:left="102" w:right="117" w:firstLine="0"/>
        <w:jc w:val="both"/>
        <w:rPr>
          <w:b/>
          <w:sz w:val="22"/>
        </w:rPr>
      </w:pPr>
      <w:r>
        <w:rPr>
          <w:b/>
          <w:sz w:val="22"/>
        </w:rPr>
        <w:t>6.- Identificar a través del trabajo de campo y de gabinete los elementos clave de la GIRH, la gobernanza y la gobernabilidad para elaborar la propuesta inicial de un Comité Intermunicipal con su Reglamento.</w:t>
      </w:r>
    </w:p>
    <w:p>
      <w:pPr>
        <w:spacing w:after="0" w:line="360" w:lineRule="auto"/>
        <w:jc w:val="both"/>
        <w:rPr>
          <w:sz w:val="22"/>
        </w:rPr>
        <w:sectPr>
          <w:pgSz w:w="12240" w:h="15840"/>
          <w:pgMar w:header="0" w:footer="1003" w:top="1360" w:bottom="1200" w:left="1600" w:right="1580"/>
        </w:sectPr>
      </w:pPr>
    </w:p>
    <w:p>
      <w:pPr>
        <w:pStyle w:val="Heading6"/>
        <w:numPr>
          <w:ilvl w:val="1"/>
          <w:numId w:val="35"/>
        </w:numPr>
        <w:tabs>
          <w:tab w:pos="552" w:val="left" w:leader="none"/>
        </w:tabs>
        <w:spacing w:line="240" w:lineRule="auto" w:before="53" w:after="0"/>
        <w:ind w:left="551" w:right="0" w:hanging="429"/>
        <w:jc w:val="both"/>
      </w:pPr>
      <w:bookmarkStart w:name="_TOC_250039" w:id="34"/>
      <w:r>
        <w:rPr/>
        <w:t>Metodología</w:t>
      </w:r>
      <w:r>
        <w:rPr>
          <w:spacing w:val="-7"/>
        </w:rPr>
        <w:t> </w:t>
      </w:r>
      <w:bookmarkEnd w:id="34"/>
      <w:r>
        <w:rPr/>
        <w:t>General</w:t>
      </w:r>
    </w:p>
    <w:p>
      <w:pPr>
        <w:pStyle w:val="BodyText"/>
        <w:spacing w:before="1"/>
        <w:rPr>
          <w:b/>
          <w:sz w:val="28"/>
        </w:rPr>
      </w:pPr>
    </w:p>
    <w:p>
      <w:pPr>
        <w:pStyle w:val="BodyText"/>
        <w:spacing w:line="360" w:lineRule="auto"/>
        <w:ind w:left="122" w:right="115"/>
        <w:jc w:val="both"/>
      </w:pPr>
      <w:r>
        <w:rPr/>
        <w:t>En este apartado se describe la metodología</w:t>
      </w:r>
      <w:r>
        <w:rPr>
          <w:position w:val="8"/>
          <w:sz w:val="14"/>
        </w:rPr>
        <w:t>5 </w:t>
      </w:r>
      <w:r>
        <w:rPr/>
        <w:t>para proponer la creación de un Comité Intermunicipal con su Reglamento para el cuidado de un cuerpo de agua compartido o de cualquier recurso natural; se mencionan los pasos y las estrategias que se siguieron para lograr la meta, así como la utilización de la teoría (conceptos) para la definición de los conceptos y explicación de los hechos.</w:t>
      </w:r>
    </w:p>
    <w:p>
      <w:pPr>
        <w:pStyle w:val="BodyText"/>
        <w:spacing w:before="7"/>
        <w:rPr>
          <w:sz w:val="17"/>
        </w:rPr>
      </w:pPr>
    </w:p>
    <w:p>
      <w:pPr>
        <w:pStyle w:val="BodyText"/>
        <w:spacing w:line="360" w:lineRule="auto"/>
        <w:ind w:left="122" w:right="115"/>
        <w:jc w:val="both"/>
      </w:pPr>
      <w:r>
        <w:rPr/>
        <w:t>La explicación científica (Manuel E. Cortés y Miriam Iglesias, 2004), está encaminada a profundizar el conocimiento de los procesos, ya sean teóricos, prácticos o teórico-práctico, y lo llevan a la solución de problemas que de una forma u otra no han sido investigados.  El carácter científico es creativo e innovador, conformado por toda una serie de pasos lógicamente estructurados y relacionados entre</w:t>
      </w:r>
      <w:r>
        <w:rPr>
          <w:spacing w:val="-13"/>
        </w:rPr>
        <w:t> </w:t>
      </w:r>
      <w:r>
        <w:rPr>
          <w:spacing w:val="-3"/>
        </w:rPr>
        <w:t>sí.</w:t>
      </w:r>
    </w:p>
    <w:p>
      <w:pPr>
        <w:pStyle w:val="BodyText"/>
        <w:spacing w:before="7"/>
        <w:rPr>
          <w:sz w:val="17"/>
        </w:rPr>
      </w:pPr>
    </w:p>
    <w:p>
      <w:pPr>
        <w:pStyle w:val="BodyText"/>
        <w:spacing w:line="360" w:lineRule="auto"/>
        <w:ind w:left="122" w:right="115"/>
        <w:jc w:val="both"/>
      </w:pPr>
      <w:r>
        <w:rPr/>
        <w:t>Sin embargo, el método científico en las ciencias sociales, está limitado por el libre albedrío y porque la sociedad está en constante cambio, lo cual no permite tener resultados exactos, porque no se puede experimentar con los seres humanos como se hace con algunos reactivos en las ciencias naturales y exactas en los laboratorios, por lo que se hace uso de la obtención del conocimiento a través del trabajo de campo (observación, descripción, análisis) y teoría para suplir los defectos de la experimentación que no se tienen.</w:t>
      </w:r>
    </w:p>
    <w:p>
      <w:pPr>
        <w:pStyle w:val="BodyText"/>
        <w:spacing w:before="7"/>
        <w:rPr>
          <w:sz w:val="17"/>
        </w:rPr>
      </w:pPr>
    </w:p>
    <w:p>
      <w:pPr>
        <w:pStyle w:val="BodyText"/>
        <w:spacing w:line="360" w:lineRule="auto"/>
        <w:ind w:left="122" w:right="115"/>
        <w:jc w:val="both"/>
      </w:pPr>
      <w:r>
        <w:rPr/>
        <w:t>Bajo estas premisas, se elaboró la metodología general que se siguió para proponer la creación de un Comité Intermunicipal con su Reglamento, ver los esquemas 3.1. y 3.2. y para el caso de estudio de la CHPH, los esquemas 3.3a. y 3.3b.</w:t>
      </w:r>
    </w:p>
    <w:p>
      <w:pPr>
        <w:pStyle w:val="BodyText"/>
        <w:spacing w:before="11"/>
        <w:rPr>
          <w:sz w:val="27"/>
        </w:rPr>
      </w:pPr>
      <w:r>
        <w:rPr/>
        <w:pict>
          <v:line style="position:absolute;mso-position-horizontal-relative:page;mso-position-vertical-relative:paragraph;z-index:2704;mso-wrap-distance-left:0;mso-wrap-distance-right:0" from="85.103996pt,18.404402pt" to="229.123996pt,18.404402pt" stroked="true" strokeweight=".72003pt" strokecolor="#000000">
            <w10:wrap type="topAndBottom"/>
          </v:line>
        </w:pict>
      </w:r>
    </w:p>
    <w:p>
      <w:pPr>
        <w:spacing w:line="362" w:lineRule="auto" w:before="69"/>
        <w:ind w:left="122" w:right="120" w:firstLine="0"/>
        <w:jc w:val="both"/>
        <w:rPr>
          <w:sz w:val="20"/>
        </w:rPr>
      </w:pPr>
      <w:r>
        <w:rPr>
          <w:rFonts w:ascii="Calibri" w:hAnsi="Calibri"/>
          <w:position w:val="7"/>
          <w:sz w:val="13"/>
        </w:rPr>
        <w:t>5 </w:t>
      </w:r>
      <w:r>
        <w:rPr>
          <w:sz w:val="20"/>
        </w:rPr>
        <w:t>Para Manuel E. Cortés y Miriam Iglesias (2004), la metodología de la investigación es la ciencia que estudia el método. Proviene del griego μέθοδος (méthodos), que significa ‘método’, y el sufijo logía, que deriva de λóγος (lógos) que significa ‘ciencia, estudio, tratado‘. Es una disciplina del conocimiento encargada de elaborar, definir y sistematizar el conjunto de técnicas, métodos y procedimientos que se deben seguir durante el desarrollo de un proceso de investigación para la producción de conocimiento. Orienta la manera en que realizamos una investigación y la forma en que recolectamos, analizamos y clasificamos los datos, con el objetivo de que nuestros resultados tengan validez y pertinencia, y cumplan con los estándares de exigencia científica.</w:t>
      </w:r>
    </w:p>
    <w:p>
      <w:pPr>
        <w:spacing w:after="0" w:line="362" w:lineRule="auto"/>
        <w:jc w:val="both"/>
        <w:rPr>
          <w:sz w:val="20"/>
        </w:rPr>
        <w:sectPr>
          <w:footerReference w:type="default" r:id="rId38"/>
          <w:pgSz w:w="12240" w:h="15840"/>
          <w:pgMar w:footer="1003" w:header="0" w:top="1360" w:bottom="1200" w:left="1580" w:right="1580"/>
          <w:pgNumType w:start="100"/>
        </w:sectPr>
      </w:pPr>
    </w:p>
    <w:p>
      <w:pPr>
        <w:pStyle w:val="BodyText"/>
        <w:rPr>
          <w:sz w:val="20"/>
        </w:rPr>
      </w:pPr>
    </w:p>
    <w:p>
      <w:pPr>
        <w:pStyle w:val="BodyText"/>
        <w:spacing w:before="1"/>
      </w:pPr>
    </w:p>
    <w:p>
      <w:pPr>
        <w:spacing w:before="73"/>
        <w:ind w:left="5360" w:right="5695" w:firstLine="0"/>
        <w:jc w:val="center"/>
        <w:rPr>
          <w:b/>
          <w:sz w:val="22"/>
        </w:rPr>
      </w:pPr>
      <w:r>
        <w:rPr/>
        <w:pict>
          <v:shape style="position:absolute;margin-left:119.669998pt;margin-top:73.587875pt;width:7.9pt;height:24.55pt;mso-position-horizontal-relative:page;mso-position-vertical-relative:paragraph;z-index:2728" coordorigin="2393,1472" coordsize="158,491" path="m2402,1819l2395,1823,2393,1828,2396,1832,2472,1963,2481,1948,2464,1948,2464,1920,2408,1824,2406,1821,2402,1819xm2464,1920l2464,1948,2479,1948,2479,1944,2466,1944,2472,1933,2464,1920xm2542,1819l2538,1821,2536,1824,2479,1921,2479,1948,2481,1948,2548,1832,2551,1828,2549,1823,2542,1819xm2472,1933l2466,1944,2478,1944,2472,1933xm2479,1921l2472,1933,2478,1944,2479,1944,2479,1921xm2479,1472l2464,1472,2464,1920,2472,1933,2479,1921,2479,1472xe" filled="true" fillcolor="#000000" stroked="false">
            <v:path arrowok="t"/>
            <v:fill type="solid"/>
            <w10:wrap type="none"/>
          </v:shape>
        </w:pict>
      </w:r>
      <w:r>
        <w:rPr/>
        <w:pict>
          <v:group style="position:absolute;margin-left:52.049999pt;margin-top:36.057877pt;width:217.3pt;height:405.35pt;mso-position-horizontal-relative:page;mso-position-vertical-relative:paragraph;z-index:2896" coordorigin="1041,721" coordsize="4346,8107">
            <v:shape style="position:absolute;left:2425;top:5588;width:158;height:645" coordorigin="2425,5588" coordsize="158,645" path="m2434,6090l2430,6092,2427,6094,2425,6098,2428,6102,2504,6233,2513,6218,2496,6218,2496,6190,2440,6094,2438,6091,2434,6090xm2496,6190l2496,6218,2511,6218,2511,6214,2498,6214,2504,6203,2496,6190xm2574,6090l2570,6091,2568,6094,2511,6191,2511,6218,2513,6218,2580,6102,2583,6098,2581,6094,2578,6092,2574,6090xm2504,6203l2498,6214,2510,6214,2504,6203xm2511,6191l2504,6203,2510,6214,2511,6214,2511,6191xm2511,5588l2496,5588,2496,6190,2504,6203,2511,6191,2511,5588xe" filled="true" fillcolor="#000000" stroked="false">
              <v:path arrowok="t"/>
              <v:fill type="solid"/>
            </v:shape>
            <v:rect style="position:absolute;left:1136;top:6236;width:3765;height:1135" filled="false" stroked="true" strokeweight=".5pt" strokecolor="#000000"/>
            <v:shape style="position:absolute;left:2513;top:877;width:2874;height:7841" coordorigin="2513,877" coordsize="2874,7841" path="m2671,7981l2669,7976,2666,7974,2662,7972,2658,7973,2656,7977,2600,8073,2599,8101,2599,8097,2599,8073,2599,7370,2584,7370,2585,8073,2584,8073,2528,7977,2526,7973,2522,7972,2518,7974,2515,7976,2513,7981,2516,7984,2592,8115,2601,8101,2668,7984,2671,7981m5387,955l5374,948,5256,879,5252,877,5248,878,5246,881,5244,885,5245,890,5248,892,5344,948,5098,948,5094,951,5094,8703,4817,8703,4817,8718,5106,8718,5109,8714,5109,8710,5109,8703,5109,963,5344,963,5248,1019,5245,1021,5244,1025,5246,1029,5248,1033,5252,1034,5256,1032,5374,963,5387,955e" filled="true" fillcolor="#000000" stroked="false">
              <v:path arrowok="t"/>
              <v:fill type="solid"/>
            </v:shape>
            <v:shape style="position:absolute;left:1562;top:6337;width:2912;height:514" type="#_x0000_t202" filled="false" stroked="false">
              <v:textbox inset="0,0,0,0">
                <w:txbxContent>
                  <w:p>
                    <w:pPr>
                      <w:spacing w:line="226" w:lineRule="exact" w:before="0"/>
                      <w:ind w:left="0" w:right="-18" w:firstLine="0"/>
                      <w:jc w:val="left"/>
                      <w:rPr>
                        <w:b/>
                        <w:sz w:val="22"/>
                      </w:rPr>
                    </w:pPr>
                    <w:r>
                      <w:rPr>
                        <w:b/>
                        <w:sz w:val="22"/>
                      </w:rPr>
                      <w:t>4. Conceptos Operativos de</w:t>
                    </w:r>
                  </w:p>
                  <w:p>
                    <w:pPr>
                      <w:spacing w:line="248" w:lineRule="exact" w:before="40"/>
                      <w:ind w:left="818" w:right="-18" w:firstLine="0"/>
                      <w:jc w:val="left"/>
                      <w:rPr>
                        <w:b/>
                        <w:sz w:val="22"/>
                      </w:rPr>
                    </w:pPr>
                    <w:r>
                      <w:rPr>
                        <w:b/>
                        <w:sz w:val="22"/>
                      </w:rPr>
                      <w:t>Gobernanza</w:t>
                    </w:r>
                  </w:p>
                </w:txbxContent>
              </v:textbox>
              <w10:wrap type="none"/>
            </v:shape>
            <v:shape style="position:absolute;left:1050;top:726;width:3765;height:750" type="#_x0000_t202" filled="false" stroked="true" strokeweight=".5pt" strokecolor="#000000">
              <v:textbox inset="0,0,0,0">
                <w:txbxContent>
                  <w:p>
                    <w:pPr>
                      <w:spacing w:line="276" w:lineRule="auto" w:before="66"/>
                      <w:ind w:left="865" w:right="324" w:firstLine="0"/>
                      <w:jc w:val="left"/>
                      <w:rPr>
                        <w:b/>
                        <w:sz w:val="22"/>
                      </w:rPr>
                    </w:pPr>
                    <w:r>
                      <w:rPr>
                        <w:b/>
                        <w:sz w:val="22"/>
                      </w:rPr>
                      <w:t>1. Revisión Bibliográfica y Antecedentes</w:t>
                    </w:r>
                  </w:p>
                </w:txbxContent>
              </v:textbox>
              <w10:wrap type="none"/>
            </v:shape>
            <v:shape style="position:absolute;left:1046;top:1967;width:3765;height:711" type="#_x0000_t202" filled="false" stroked="true" strokeweight=".5pt" strokecolor="#000000">
              <v:textbox inset="0,0,0,0">
                <w:txbxContent>
                  <w:p>
                    <w:pPr>
                      <w:spacing w:line="278" w:lineRule="auto" w:before="67"/>
                      <w:ind w:left="509" w:right="497" w:firstLine="194"/>
                      <w:jc w:val="left"/>
                      <w:rPr>
                        <w:b/>
                        <w:sz w:val="22"/>
                      </w:rPr>
                    </w:pPr>
                    <w:r>
                      <w:rPr>
                        <w:b/>
                        <w:sz w:val="22"/>
                      </w:rPr>
                      <w:t>2. Identificación de las Consideraciones Teóricas</w:t>
                    </w:r>
                  </w:p>
                </w:txbxContent>
              </v:textbox>
              <w10:wrap type="none"/>
            </v:shape>
            <v:shape style="position:absolute;left:1051;top:3153;width:3765;height:2439" type="#_x0000_t202" filled="false" stroked="true" strokeweight=".5pt" strokecolor="#000000">
              <v:textbox inset="0,0,0,0">
                <w:txbxContent>
                  <w:p>
                    <w:pPr>
                      <w:spacing w:before="66"/>
                      <w:ind w:left="144" w:right="142" w:firstLine="0"/>
                      <w:jc w:val="center"/>
                      <w:rPr>
                        <w:b/>
                        <w:i/>
                        <w:sz w:val="22"/>
                      </w:rPr>
                    </w:pPr>
                    <w:r>
                      <w:rPr>
                        <w:b/>
                        <w:sz w:val="22"/>
                      </w:rPr>
                      <w:t>3. Palerm (1989); Díaz </w:t>
                    </w:r>
                    <w:r>
                      <w:rPr>
                        <w:b/>
                        <w:i/>
                        <w:sz w:val="22"/>
                      </w:rPr>
                      <w:t>et al.</w:t>
                    </w:r>
                  </w:p>
                  <w:p>
                    <w:pPr>
                      <w:spacing w:before="40"/>
                      <w:ind w:left="144" w:right="144" w:firstLine="0"/>
                      <w:jc w:val="center"/>
                      <w:rPr>
                        <w:b/>
                        <w:sz w:val="22"/>
                      </w:rPr>
                    </w:pPr>
                    <w:r>
                      <w:rPr>
                        <w:b/>
                        <w:sz w:val="22"/>
                      </w:rPr>
                      <w:t>(2009); Romero, et al. (2012);</w:t>
                    </w:r>
                  </w:p>
                  <w:p>
                    <w:pPr>
                      <w:spacing w:before="37"/>
                      <w:ind w:left="144" w:right="143" w:firstLine="0"/>
                      <w:jc w:val="center"/>
                      <w:rPr>
                        <w:b/>
                        <w:sz w:val="22"/>
                      </w:rPr>
                    </w:pPr>
                    <w:r>
                      <w:rPr>
                        <w:b/>
                        <w:sz w:val="22"/>
                      </w:rPr>
                      <w:t>Warman (1982); Moreau (2003);</w:t>
                    </w:r>
                  </w:p>
                  <w:p>
                    <w:pPr>
                      <w:spacing w:before="37"/>
                      <w:ind w:left="144" w:right="142" w:firstLine="0"/>
                      <w:jc w:val="center"/>
                      <w:rPr>
                        <w:b/>
                        <w:sz w:val="22"/>
                      </w:rPr>
                    </w:pPr>
                    <w:r>
                      <w:rPr>
                        <w:b/>
                        <w:sz w:val="22"/>
                      </w:rPr>
                      <w:t>Hufty (2004); Arnoletto ( 2010);</w:t>
                    </w:r>
                  </w:p>
                  <w:p>
                    <w:pPr>
                      <w:spacing w:before="37"/>
                      <w:ind w:left="144" w:right="141" w:firstLine="0"/>
                      <w:jc w:val="center"/>
                      <w:rPr>
                        <w:b/>
                        <w:sz w:val="22"/>
                      </w:rPr>
                    </w:pPr>
                    <w:r>
                      <w:rPr>
                        <w:b/>
                        <w:sz w:val="22"/>
                      </w:rPr>
                      <w:t>Hernández (2003); Florentino</w:t>
                    </w:r>
                  </w:p>
                  <w:p>
                    <w:pPr>
                      <w:spacing w:before="42"/>
                      <w:ind w:left="144" w:right="144" w:firstLine="0"/>
                      <w:jc w:val="center"/>
                      <w:rPr>
                        <w:b/>
                        <w:sz w:val="22"/>
                      </w:rPr>
                    </w:pPr>
                    <w:r>
                      <w:rPr>
                        <w:b/>
                        <w:sz w:val="22"/>
                      </w:rPr>
                      <w:t>(2004)</w:t>
                    </w:r>
                    <w:r>
                      <w:rPr>
                        <w:rFonts w:ascii="Calibri"/>
                        <w:b/>
                        <w:sz w:val="22"/>
                      </w:rPr>
                      <w:t>; </w:t>
                    </w:r>
                    <w:r>
                      <w:rPr>
                        <w:b/>
                        <w:sz w:val="22"/>
                      </w:rPr>
                      <w:t>Rhodes (1996) y Kooiman</w:t>
                    </w:r>
                  </w:p>
                  <w:p>
                    <w:pPr>
                      <w:spacing w:before="37"/>
                      <w:ind w:left="144" w:right="141" w:firstLine="0"/>
                      <w:jc w:val="center"/>
                      <w:rPr>
                        <w:b/>
                        <w:sz w:val="22"/>
                      </w:rPr>
                    </w:pPr>
                    <w:r>
                      <w:rPr>
                        <w:b/>
                        <w:sz w:val="22"/>
                      </w:rPr>
                      <w:t>(2003, 2004).</w:t>
                    </w:r>
                  </w:p>
                </w:txbxContent>
              </v:textbox>
              <w10:wrap type="none"/>
            </v:shape>
            <v:shape style="position:absolute;left:1046;top:8112;width:3765;height:711" type="#_x0000_t202" filled="false" stroked="true" strokeweight=".5pt" strokecolor="#000000">
              <v:textbox inset="0,0,0,0">
                <w:txbxContent>
                  <w:p>
                    <w:pPr>
                      <w:spacing w:line="276" w:lineRule="auto" w:before="69"/>
                      <w:ind w:left="1474" w:right="560" w:hanging="906"/>
                      <w:jc w:val="left"/>
                      <w:rPr>
                        <w:b/>
                        <w:sz w:val="22"/>
                      </w:rPr>
                    </w:pPr>
                    <w:r>
                      <w:rPr>
                        <w:b/>
                        <w:sz w:val="22"/>
                      </w:rPr>
                      <w:t>5. Elección de la Zona de Estudio</w:t>
                    </w:r>
                  </w:p>
                </w:txbxContent>
              </v:textbox>
              <w10:wrap type="none"/>
            </v:shape>
            <w10:wrap type="none"/>
          </v:group>
        </w:pict>
      </w:r>
      <w:r>
        <w:rPr/>
        <w:pict>
          <v:shape style="position:absolute;margin-left:345.670013pt;margin-top:73.987877pt;width:7.9pt;height:32.25pt;mso-position-horizontal-relative:page;mso-position-vertical-relative:paragraph;z-index:2920" coordorigin="6913,1480" coordsize="158,645" path="m6922,1981l6915,1985,6913,1990,6916,1994,6992,2125,7001,2110,6984,2110,6984,2082,6928,1986,6926,1983,6922,1981xm6984,2082l6984,2110,6999,2110,6999,2106,6986,2106,6992,2095,6984,2082xm7062,1981l7058,1983,7056,1986,7000,2082,6999,2110,7001,2110,7068,1994,7071,1990,7069,1985,7062,1981xm6992,2095l6986,2106,6998,2106,6992,2095xm6999,2083l6992,2095,6998,2106,6999,2106,6999,2083xm6999,1480l6984,1480,6985,2083,6992,2095,6999,2083,6999,1480xe" filled="true" fillcolor="#000000" stroked="false">
            <v:path arrowok="t"/>
            <v:fill type="solid"/>
            <w10:wrap type="none"/>
          </v:shape>
        </w:pict>
      </w:r>
      <w:r>
        <w:rPr/>
        <w:pict>
          <v:shape style="position:absolute;margin-left:274.600006pt;margin-top:36.507877pt;width:188.25pt;height:37.5pt;mso-position-horizontal-relative:page;mso-position-vertical-relative:paragraph;z-index:3448" type="#_x0000_t202" filled="false" stroked="true" strokeweight=".5pt" strokecolor="#000000">
            <v:textbox inset="0,0,0,0">
              <w:txbxContent>
                <w:p>
                  <w:pPr>
                    <w:spacing w:line="276" w:lineRule="auto" w:before="67"/>
                    <w:ind w:left="170" w:right="164" w:firstLine="33"/>
                    <w:jc w:val="left"/>
                    <w:rPr>
                      <w:b/>
                      <w:sz w:val="22"/>
                    </w:rPr>
                  </w:pPr>
                  <w:r>
                    <w:rPr>
                      <w:b/>
                      <w:sz w:val="22"/>
                    </w:rPr>
                    <w:t>6. Método Etnográfico y Trabajo de Campo en el Caso de Estudio</w:t>
                  </w:r>
                </w:p>
              </w:txbxContent>
            </v:textbox>
            <w10:wrap type="none"/>
          </v:shape>
        </w:pict>
      </w:r>
      <w:r>
        <w:rPr/>
        <w:pict>
          <v:shape style="position:absolute;margin-left:278.649994pt;margin-top:106.007881pt;width:188.25pt;height:51.65pt;mso-position-horizontal-relative:page;mso-position-vertical-relative:paragraph;z-index:3472" type="#_x0000_t202" filled="false" stroked="true" strokeweight=".5pt" strokecolor="#000000">
            <v:textbox inset="0,0,0,0">
              <w:txbxContent>
                <w:p>
                  <w:pPr>
                    <w:spacing w:line="276" w:lineRule="auto" w:before="67"/>
                    <w:ind w:left="178" w:right="168" w:firstLine="213"/>
                    <w:jc w:val="left"/>
                    <w:rPr>
                      <w:b/>
                      <w:sz w:val="22"/>
                    </w:rPr>
                  </w:pPr>
                  <w:r>
                    <w:rPr>
                      <w:b/>
                      <w:sz w:val="22"/>
                    </w:rPr>
                    <w:t>7. Delimitación de la Cuenca Hidrosocial y reconocimiento de</w:t>
                  </w:r>
                </w:p>
                <w:p>
                  <w:pPr>
                    <w:spacing w:before="3"/>
                    <w:ind w:left="144" w:right="142" w:firstLine="0"/>
                    <w:jc w:val="center"/>
                    <w:rPr>
                      <w:b/>
                      <w:sz w:val="22"/>
                    </w:rPr>
                  </w:pPr>
                  <w:r>
                    <w:rPr>
                      <w:b/>
                      <w:sz w:val="22"/>
                    </w:rPr>
                    <w:t>actores</w:t>
                  </w:r>
                </w:p>
              </w:txbxContent>
            </v:textbox>
            <w10:wrap type="none"/>
          </v:shape>
        </w:pict>
      </w:r>
      <w:r>
        <w:rPr>
          <w:b/>
          <w:sz w:val="22"/>
        </w:rPr>
        <w:t>Esquema 3.1. Metodología General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after="0"/>
        <w:rPr>
          <w:sz w:val="20"/>
        </w:rPr>
        <w:sectPr>
          <w:footerReference w:type="default" r:id="rId39"/>
          <w:pgSz w:w="15840" w:h="12240" w:orient="landscape"/>
          <w:pgMar w:footer="0" w:header="0" w:top="1140" w:bottom="280" w:left="720" w:right="380"/>
        </w:sectPr>
      </w:pPr>
    </w:p>
    <w:p>
      <w:pPr>
        <w:pStyle w:val="BodyText"/>
        <w:rPr>
          <w:b/>
          <w:sz w:val="20"/>
        </w:rPr>
      </w:pPr>
      <w:r>
        <w:rPr/>
        <w:pict>
          <v:shape style="position:absolute;margin-left:119.099998pt;margin-top:215.080002pt;width:7.85pt;height:23.8pt;mso-position-horizontal-relative:page;mso-position-vertical-relative:page;z-index:2752" coordorigin="2382,4302" coordsize="157,476" path="m2391,4631l2383,4635,2382,4640,2384,4643,2456,4777,2465,4762,2464,4762,2449,4762,2450,4734,2397,4636,2395,4633,2391,4631xm2450,4734l2449,4762,2464,4762,2464,4758,2463,4758,2450,4758,2457,4747,2450,4734xm2531,4636l2526,4637,2524,4640,2465,4735,2464,4762,2465,4762,2537,4648,2539,4645,2538,4640,2534,4638,2531,4636xm2457,4747l2450,4758,2463,4758,2457,4747xm2465,4735l2457,4747,2463,4758,2464,4758,2465,4735xm2465,4302l2450,4734,2457,4747,2465,4735,2479,4302,2465,4302xe" filled="true" fillcolor="#000000" stroked="false">
            <v:path arrowok="t"/>
            <v:fill type="solid"/>
            <w10:wrap type="none"/>
          </v:shape>
        </w:pict>
      </w:r>
      <w:r>
        <w:rPr/>
        <w:pict>
          <v:shape style="position:absolute;margin-left:345.869995pt;margin-top:238.869995pt;width:7.9pt;height:26.3pt;mso-position-horizontal-relative:page;mso-position-vertical-relative:page;z-index:2944" coordorigin="6917,4777" coordsize="158,526" path="m6926,5160l6919,5164,6917,5169,6920,5172,6996,5303,7005,5288,6988,5288,6988,5261,6932,5165,6930,5161,6926,5160xm6988,5261l6988,5288,7003,5288,7003,5285,6990,5285,6996,5274,6988,5261xm7066,5160l7062,5161,7060,5165,7004,5261,7003,5288,7005,5288,7072,5172,7075,5169,7073,5164,7066,5160xm6996,5274l6990,5285,7002,5285,6996,5274xm7003,5261l6996,5274,7002,5285,7003,5285,7003,5261xm7003,4777l6988,4777,6989,5261,6996,5274,7003,5261,7003,4777xe" filled="true" fillcolor="#000000" stroked="false">
            <v:path arrowok="t"/>
            <v:fill type="solid"/>
            <w10:wrap type="none"/>
          </v:shape>
        </w:pict>
      </w:r>
      <w:r>
        <w:rPr/>
        <w:pict>
          <v:shape style="position:absolute;margin-left:347.570007pt;margin-top:329.440002pt;width:7.9pt;height:26.2pt;mso-position-horizontal-relative:page;mso-position-vertical-relative:page;z-index:2968" coordorigin="6951,6589" coordsize="158,524" path="m6960,6969l6956,6971,6953,6974,6951,6978,6954,6982,7030,7113,7039,7098,7022,7098,7022,7070,6966,6974,6964,6971,6960,6969xm7022,7070l7022,7098,7037,7098,7037,7094,7024,7094,7030,7083,7022,7070xm7100,6969l7096,6971,7094,6974,7038,7070,7037,7098,7039,7098,7106,6982,7109,6978,7107,6974,7104,6971,7100,6969xm7030,7083l7024,7094,7036,7094,7030,7083xm7037,7071l7030,7083,7036,7094,7037,7094,7037,7071xm7037,6589l7022,6589,7023,7071,7030,7083,7037,7071,7037,6589xe" filled="true" fillcolor="#000000" stroked="false">
            <v:path arrowok="t"/>
            <v:fill type="solid"/>
            <w10:wrap type="none"/>
          </v:shape>
        </w:pict>
      </w:r>
      <w:r>
        <w:rPr/>
        <w:drawing>
          <wp:anchor distT="0" distB="0" distL="0" distR="0" allowOverlap="1" layoutInCell="1" locked="0" behindDoc="1" simplePos="0" relativeHeight="265095095">
            <wp:simplePos x="0" y="0"/>
            <wp:positionH relativeFrom="page">
              <wp:posOffset>7307833</wp:posOffset>
            </wp:positionH>
            <wp:positionV relativeFrom="page">
              <wp:posOffset>2721482</wp:posOffset>
            </wp:positionV>
            <wp:extent cx="99147" cy="224027"/>
            <wp:effectExtent l="0" t="0" r="0" b="0"/>
            <wp:wrapNone/>
            <wp:docPr id="11" name="image13.png" descr=""/>
            <wp:cNvGraphicFramePr>
              <a:graphicFrameLocks noChangeAspect="1"/>
            </wp:cNvGraphicFramePr>
            <a:graphic>
              <a:graphicData uri="http://schemas.openxmlformats.org/drawingml/2006/picture">
                <pic:pic>
                  <pic:nvPicPr>
                    <pic:cNvPr id="12" name="image13.png"/>
                    <pic:cNvPicPr/>
                  </pic:nvPicPr>
                  <pic:blipFill>
                    <a:blip r:embed="rId40" cstate="print"/>
                    <a:stretch>
                      <a:fillRect/>
                    </a:stretch>
                  </pic:blipFill>
                  <pic:spPr>
                    <a:xfrm>
                      <a:off x="0" y="0"/>
                      <a:ext cx="99147" cy="224027"/>
                    </a:xfrm>
                    <a:prstGeom prst="rect">
                      <a:avLst/>
                    </a:prstGeom>
                  </pic:spPr>
                </pic:pic>
              </a:graphicData>
            </a:graphic>
          </wp:anchor>
        </w:drawing>
      </w:r>
      <w:r>
        <w:rPr/>
        <w:drawing>
          <wp:anchor distT="0" distB="0" distL="0" distR="0" allowOverlap="1" layoutInCell="1" locked="0" behindDoc="1" simplePos="0" relativeHeight="265095119">
            <wp:simplePos x="0" y="0"/>
            <wp:positionH relativeFrom="page">
              <wp:posOffset>7385939</wp:posOffset>
            </wp:positionH>
            <wp:positionV relativeFrom="page">
              <wp:posOffset>3579367</wp:posOffset>
            </wp:positionV>
            <wp:extent cx="99453" cy="171450"/>
            <wp:effectExtent l="0" t="0" r="0" b="0"/>
            <wp:wrapNone/>
            <wp:docPr id="13" name="image14.png" descr=""/>
            <wp:cNvGraphicFramePr>
              <a:graphicFrameLocks noChangeAspect="1"/>
            </wp:cNvGraphicFramePr>
            <a:graphic>
              <a:graphicData uri="http://schemas.openxmlformats.org/drawingml/2006/picture">
                <pic:pic>
                  <pic:nvPicPr>
                    <pic:cNvPr id="14" name="image14.png"/>
                    <pic:cNvPicPr/>
                  </pic:nvPicPr>
                  <pic:blipFill>
                    <a:blip r:embed="rId41" cstate="print"/>
                    <a:stretch>
                      <a:fillRect/>
                    </a:stretch>
                  </pic:blipFill>
                  <pic:spPr>
                    <a:xfrm>
                      <a:off x="0" y="0"/>
                      <a:ext cx="99453" cy="171450"/>
                    </a:xfrm>
                    <a:prstGeom prst="rect">
                      <a:avLst/>
                    </a:prstGeom>
                  </pic:spPr>
                </pic:pic>
              </a:graphicData>
            </a:graphic>
          </wp:anchor>
        </w:drawing>
      </w:r>
      <w:r>
        <w:rPr/>
        <w:drawing>
          <wp:anchor distT="0" distB="0" distL="0" distR="0" allowOverlap="1" layoutInCell="1" locked="0" behindDoc="1" simplePos="0" relativeHeight="265095143">
            <wp:simplePos x="0" y="0"/>
            <wp:positionH relativeFrom="page">
              <wp:posOffset>7385939</wp:posOffset>
            </wp:positionH>
            <wp:positionV relativeFrom="page">
              <wp:posOffset>4425441</wp:posOffset>
            </wp:positionV>
            <wp:extent cx="99384" cy="158686"/>
            <wp:effectExtent l="0" t="0" r="0" b="0"/>
            <wp:wrapNone/>
            <wp:docPr id="15" name="image15.png" descr=""/>
            <wp:cNvGraphicFramePr>
              <a:graphicFrameLocks noChangeAspect="1"/>
            </wp:cNvGraphicFramePr>
            <a:graphic>
              <a:graphicData uri="http://schemas.openxmlformats.org/drawingml/2006/picture">
                <pic:pic>
                  <pic:nvPicPr>
                    <pic:cNvPr id="16" name="image15.png"/>
                    <pic:cNvPicPr/>
                  </pic:nvPicPr>
                  <pic:blipFill>
                    <a:blip r:embed="rId42" cstate="print"/>
                    <a:stretch>
                      <a:fillRect/>
                    </a:stretch>
                  </pic:blipFill>
                  <pic:spPr>
                    <a:xfrm>
                      <a:off x="0" y="0"/>
                      <a:ext cx="99384" cy="158686"/>
                    </a:xfrm>
                    <a:prstGeom prst="rect">
                      <a:avLst/>
                    </a:prstGeom>
                  </pic:spPr>
                </pic:pic>
              </a:graphicData>
            </a:graphic>
          </wp:anchor>
        </w:drawing>
      </w:r>
      <w:r>
        <w:rPr/>
        <w:drawing>
          <wp:anchor distT="0" distB="0" distL="0" distR="0" allowOverlap="1" layoutInCell="1" locked="0" behindDoc="1" simplePos="0" relativeHeight="265095215">
            <wp:simplePos x="0" y="0"/>
            <wp:positionH relativeFrom="page">
              <wp:posOffset>7429118</wp:posOffset>
            </wp:positionH>
            <wp:positionV relativeFrom="page">
              <wp:posOffset>5218557</wp:posOffset>
            </wp:positionV>
            <wp:extent cx="100349" cy="199167"/>
            <wp:effectExtent l="0" t="0" r="0" b="0"/>
            <wp:wrapNone/>
            <wp:docPr id="17" name="image16.png" descr=""/>
            <wp:cNvGraphicFramePr>
              <a:graphicFrameLocks noChangeAspect="1"/>
            </wp:cNvGraphicFramePr>
            <a:graphic>
              <a:graphicData uri="http://schemas.openxmlformats.org/drawingml/2006/picture">
                <pic:pic>
                  <pic:nvPicPr>
                    <pic:cNvPr id="18" name="image16.png"/>
                    <pic:cNvPicPr/>
                  </pic:nvPicPr>
                  <pic:blipFill>
                    <a:blip r:embed="rId43" cstate="print"/>
                    <a:stretch>
                      <a:fillRect/>
                    </a:stretch>
                  </pic:blipFill>
                  <pic:spPr>
                    <a:xfrm>
                      <a:off x="0" y="0"/>
                      <a:ext cx="100349" cy="199167"/>
                    </a:xfrm>
                    <a:prstGeom prst="rect">
                      <a:avLst/>
                    </a:prstGeom>
                  </pic:spPr>
                </pic:pic>
              </a:graphicData>
            </a:graphic>
          </wp:anchor>
        </w:drawing>
      </w:r>
      <w:r>
        <w:rPr/>
        <w:pict>
          <v:shape style="position:absolute;margin-left:278.649994pt;margin-top:265.940002pt;width:188.25pt;height:63.5pt;mso-position-horizontal-relative:page;mso-position-vertical-relative:page;z-index:3496" type="#_x0000_t202" filled="false" stroked="true" strokeweight=".5pt" strokecolor="#000000">
            <v:textbox inset="0,0,0,0">
              <w:txbxContent>
                <w:p>
                  <w:pPr>
                    <w:spacing w:line="276" w:lineRule="auto" w:before="67"/>
                    <w:ind w:left="214" w:right="212" w:firstLine="115"/>
                    <w:jc w:val="both"/>
                    <w:rPr>
                      <w:b/>
                      <w:sz w:val="22"/>
                    </w:rPr>
                  </w:pPr>
                  <w:r>
                    <w:rPr>
                      <w:b/>
                      <w:sz w:val="22"/>
                    </w:rPr>
                    <w:t>8. Revisión bibliográfica de la conformación histórica de los grupos de actores de la Cuenca</w:t>
                  </w:r>
                </w:p>
                <w:p>
                  <w:pPr>
                    <w:spacing w:before="1"/>
                    <w:ind w:left="144" w:right="141" w:firstLine="0"/>
                    <w:jc w:val="center"/>
                    <w:rPr>
                      <w:b/>
                      <w:sz w:val="22"/>
                    </w:rPr>
                  </w:pPr>
                  <w:r>
                    <w:rPr>
                      <w:b/>
                      <w:sz w:val="22"/>
                    </w:rPr>
                    <w:t>Hidrosocial</w:t>
                  </w:r>
                </w:p>
              </w:txbxContent>
            </v:textbox>
            <w10:wrap type="none"/>
          </v:shape>
        </w:pict>
      </w:r>
      <w:r>
        <w:rPr/>
        <w:pict>
          <v:shape style="position:absolute;margin-left:736.554138pt;margin-top:235.258072pt;width:13.05pt;height:47.25pt;mso-position-horizontal-relative:page;mso-position-vertical-relative:page;z-index:3520" type="#_x0000_t202" filled="false" stroked="false">
            <v:textbox inset="0,0,0,0" style="layout-flow:vertical;mso-layout-flow-alt:bottom-to-top">
              <w:txbxContent>
                <w:p>
                  <w:pPr>
                    <w:pStyle w:val="BodyText"/>
                    <w:spacing w:line="246" w:lineRule="exact"/>
                    <w:ind w:left="20" w:right="-682"/>
                  </w:pPr>
                  <w:r>
                    <w:rPr>
                      <w:spacing w:val="-4"/>
                      <w:w w:val="100"/>
                    </w:rPr>
                    <w:t>M</w:t>
                  </w:r>
                  <w:r>
                    <w:rPr>
                      <w:w w:val="100"/>
                    </w:rPr>
                    <w:t>e</w:t>
                  </w:r>
                  <w:r>
                    <w:rPr>
                      <w:spacing w:val="1"/>
                      <w:w w:val="100"/>
                    </w:rPr>
                    <w:t>d</w:t>
                  </w:r>
                  <w:r>
                    <w:rPr>
                      <w:spacing w:val="-2"/>
                      <w:w w:val="100"/>
                    </w:rPr>
                    <w:t>i</w:t>
                  </w:r>
                  <w:r>
                    <w:rPr>
                      <w:w w:val="100"/>
                    </w:rPr>
                    <w:t>a</w:t>
                  </w:r>
                  <w:r>
                    <w:rPr>
                      <w:spacing w:val="-1"/>
                      <w:w w:val="100"/>
                    </w:rPr>
                    <w:t>n</w:t>
                  </w:r>
                  <w:r>
                    <w:rPr>
                      <w:w w:val="100"/>
                    </w:rPr>
                    <w:t>t</w:t>
                  </w:r>
                  <w:r>
                    <w:rPr>
                      <w:w w:val="100"/>
                    </w:rPr>
                    <w:t>e</w:t>
                  </w:r>
                </w:p>
              </w:txbxContent>
            </v:textbox>
            <w10:wrap type="none"/>
          </v:shape>
        </w:pict>
      </w:r>
    </w:p>
    <w:p>
      <w:pPr>
        <w:pStyle w:val="BodyText"/>
        <w:ind w:left="115" w:right="-14"/>
      </w:pPr>
      <w:r>
        <w:rPr/>
        <w:pict>
          <v:group style="position:absolute;margin-left:287.5pt;margin-top:-437.69812pt;width:217.05pt;height:416.5pt;mso-position-horizontal-relative:page;mso-position-vertical-relative:paragraph;z-index:3040" coordorigin="5750,-8754" coordsize="4341,8330">
            <v:shape style="position:absolute;left:9521;top:-8754;width:570;height:7841" coordorigin="9521,-8754" coordsize="570,7841" path="m9798,-928l9521,-928,9521,-913,9810,-913,9813,-916,9813,-921,9798,-921,9798,-928xm10048,-8683l9802,-8683,9798,-8680,9798,-921,9806,-928,9813,-928,9813,-8668,9806,-8668,9813,-8676,10061,-8676,10048,-8683xm9813,-928l9806,-928,9798,-921,9813,-921,9813,-928xm10061,-8675l9952,-8612,9949,-8610,9948,-8605,9950,-8602,9952,-8598,9956,-8597,9960,-8599,10078,-8668,10076,-8668,10076,-8669,10072,-8669,10061,-8675xm9813,-8676l9806,-8668,9813,-8668,9813,-8676xm10061,-8676l9813,-8676,9813,-8668,10048,-8668,10061,-8675,10061,-8676xm10078,-8683l10076,-8683,10076,-8668,10078,-8668,10091,-8676,10078,-8683xm10072,-8682l10061,-8675,10072,-8669,10072,-8682xm10076,-8682l10072,-8682,10072,-8669,10076,-8669,10076,-8682xm9956,-8754l9952,-8753,9950,-8749,9948,-8746,9949,-8741,9952,-8739,10061,-8675,10072,-8682,10076,-8682,10076,-8683,10078,-8683,9960,-8752,9956,-8754xe" filled="true" fillcolor="#000000" stroked="false">
              <v:path arrowok="t"/>
              <v:fill type="solid"/>
            </v:shape>
            <v:shape style="position:absolute;left:5758;top:-4037;width:3765;height:1558" type="#_x0000_t202" filled="false" stroked="true" strokeweight=".5pt" strokecolor="#000000">
              <v:textbox inset="0,0,0,0">
                <w:txbxContent>
                  <w:p>
                    <w:pPr>
                      <w:spacing w:line="276" w:lineRule="auto" w:before="69"/>
                      <w:ind w:left="166" w:right="155" w:firstLine="127"/>
                      <w:jc w:val="left"/>
                      <w:rPr>
                        <w:b/>
                        <w:sz w:val="22"/>
                      </w:rPr>
                    </w:pPr>
                    <w:r>
                      <w:rPr>
                        <w:b/>
                        <w:sz w:val="22"/>
                      </w:rPr>
                      <w:t>9. Identificación de los grupos de actores a través de grupos ya</w:t>
                    </w:r>
                  </w:p>
                  <w:p>
                    <w:pPr>
                      <w:spacing w:line="276" w:lineRule="auto" w:before="0"/>
                      <w:ind w:left="418" w:right="412" w:hanging="5"/>
                      <w:jc w:val="center"/>
                      <w:rPr>
                        <w:b/>
                        <w:sz w:val="22"/>
                      </w:rPr>
                    </w:pPr>
                    <w:r>
                      <w:rPr>
                        <w:b/>
                        <w:sz w:val="22"/>
                      </w:rPr>
                      <w:t>establecidos en la Cuenca Hidrosocial con sus redes y funciones</w:t>
                    </w:r>
                  </w:p>
                </w:txbxContent>
              </v:textbox>
              <w10:wrap type="none"/>
            </v:shape>
            <v:shape style="position:absolute;left:5755;top:-1953;width:3765;height:1524" type="#_x0000_t202" filled="false" stroked="true" strokeweight=".5pt" strokecolor="#000000">
              <v:textbox inset="0,0,0,0">
                <w:txbxContent>
                  <w:p>
                    <w:pPr>
                      <w:spacing w:line="276" w:lineRule="auto" w:before="69"/>
                      <w:ind w:left="569" w:right="422" w:hanging="132"/>
                      <w:jc w:val="left"/>
                      <w:rPr>
                        <w:b/>
                        <w:sz w:val="22"/>
                      </w:rPr>
                    </w:pPr>
                    <w:r>
                      <w:rPr>
                        <w:b/>
                        <w:sz w:val="22"/>
                      </w:rPr>
                      <w:t>10. Revisión de funciones y responsabilidades de las</w:t>
                    </w:r>
                  </w:p>
                  <w:p>
                    <w:pPr>
                      <w:spacing w:line="285" w:lineRule="auto" w:before="3"/>
                      <w:ind w:left="802" w:right="193" w:hanging="600"/>
                      <w:jc w:val="left"/>
                      <w:rPr>
                        <w:b/>
                        <w:sz w:val="22"/>
                      </w:rPr>
                    </w:pPr>
                    <w:r>
                      <w:rPr>
                        <w:b/>
                        <w:sz w:val="22"/>
                      </w:rPr>
                      <w:t>dependencias gubernamentales estatales y federales</w:t>
                    </w:r>
                  </w:p>
                </w:txbxContent>
              </v:textbox>
              <w10:wrap type="none"/>
            </v:shape>
            <w10:wrap type="none"/>
          </v:group>
        </w:pict>
      </w:r>
      <w:r>
        <w:rPr/>
        <w:drawing>
          <wp:anchor distT="0" distB="0" distL="0" distR="0" allowOverlap="1" layoutInCell="1" locked="0" behindDoc="1" simplePos="0" relativeHeight="265095167">
            <wp:simplePos x="0" y="0"/>
            <wp:positionH relativeFrom="page">
              <wp:posOffset>7434071</wp:posOffset>
            </wp:positionH>
            <wp:positionV relativeFrom="paragraph">
              <wp:posOffset>-1318744</wp:posOffset>
            </wp:positionV>
            <wp:extent cx="99179" cy="145732"/>
            <wp:effectExtent l="0" t="0" r="0" b="0"/>
            <wp:wrapNone/>
            <wp:docPr id="19" name="image17.png" descr=""/>
            <wp:cNvGraphicFramePr>
              <a:graphicFrameLocks noChangeAspect="1"/>
            </wp:cNvGraphicFramePr>
            <a:graphic>
              <a:graphicData uri="http://schemas.openxmlformats.org/drawingml/2006/picture">
                <pic:pic>
                  <pic:nvPicPr>
                    <pic:cNvPr id="20" name="image17.png"/>
                    <pic:cNvPicPr/>
                  </pic:nvPicPr>
                  <pic:blipFill>
                    <a:blip r:embed="rId44" cstate="print"/>
                    <a:stretch>
                      <a:fillRect/>
                    </a:stretch>
                  </pic:blipFill>
                  <pic:spPr>
                    <a:xfrm>
                      <a:off x="0" y="0"/>
                      <a:ext cx="99179" cy="145732"/>
                    </a:xfrm>
                    <a:prstGeom prst="rect">
                      <a:avLst/>
                    </a:prstGeom>
                  </pic:spPr>
                </pic:pic>
              </a:graphicData>
            </a:graphic>
          </wp:anchor>
        </w:drawing>
      </w:r>
      <w:r>
        <w:rPr/>
        <w:pict>
          <v:shape style="position:absolute;margin-left:348.470001pt;margin-top:-123.81813pt;width:7.9pt;height:26.2pt;mso-position-horizontal-relative:page;mso-position-vertical-relative:paragraph;z-index:3160" coordorigin="6969,-2476" coordsize="158,524" path="m6978,-2096l6974,-2094,6971,-2092,6969,-2087,6972,-2083,7048,-1952,7057,-1967,7040,-1967,7040,-1995,6984,-2091,6982,-2095,6978,-2096xm7040,-1995l7040,-1967,7055,-1967,7055,-1971,7042,-1971,7048,-1982,7040,-1995xm7118,-2096l7114,-2095,7112,-2091,7055,-1995,7055,-1967,7057,-1967,7124,-2083,7127,-2087,7125,-2092,7122,-2094,7118,-2096xm7048,-1982l7042,-1971,7054,-1971,7048,-1982xm7055,-1995l7048,-1982,7054,-1971,7055,-1971,7055,-1995xm7055,-2476l7040,-2476,7040,-1995,7048,-1982,7055,-1995,7055,-2476xe" filled="true" fillcolor="#000000" stroked="false">
            <v:path arrowok="t"/>
            <v:fill type="solid"/>
            <w10:wrap type="none"/>
          </v:shape>
        </w:pict>
      </w:r>
      <w:r>
        <w:rPr/>
        <w:pict>
          <v:group style="position:absolute;margin-left:508.799988pt;margin-top:-443.753143pt;width:258.25pt;height:464.8pt;mso-position-horizontal-relative:page;mso-position-vertical-relative:paragraph;z-index:-3340024" coordorigin="10176,-8875" coordsize="5165,9296">
            <v:shape style="position:absolute;left:14223;top:-8868;width:1110;height:9281" coordorigin="14223,-8868" coordsize="1110,9281" path="m14223,-8868l14335,-8865,14439,-8859,14533,-8849,14615,-8836,14683,-8820,14767,-8782,14778,-8760,14778,-4335,14789,-4313,14873,-4275,14941,-4259,15023,-4246,15117,-4236,15221,-4230,15333,-4228,15221,-4225,15117,-4219,15023,-4209,14941,-4196,14873,-4180,14789,-4142,14778,-4120,14778,305,14767,327,14683,365,14615,381,14533,394,14439,404,14335,410,14223,413e" filled="false" stroked="true" strokeweight=".75pt" strokecolor="#000000">
              <v:path arrowok="t"/>
            </v:shape>
            <v:shape style="position:absolute;left:14724;top:-7559;width:293;height:2182" type="#_x0000_t75" stroked="false">
              <v:imagedata r:id="rId45" o:title=""/>
            </v:shape>
            <v:shape style="position:absolute;left:14090;top:-113;width:335;height:221" type="#_x0000_t202" filled="false" stroked="false">
              <v:textbox inset="0,0,0,0">
                <w:txbxContent>
                  <w:p>
                    <w:pPr>
                      <w:spacing w:line="221" w:lineRule="exact" w:before="0"/>
                      <w:ind w:left="0" w:right="-20" w:firstLine="0"/>
                      <w:jc w:val="left"/>
                      <w:rPr>
                        <w:rFonts w:ascii="Calibri"/>
                        <w:sz w:val="22"/>
                      </w:rPr>
                    </w:pPr>
                    <w:r>
                      <w:rPr>
                        <w:rFonts w:ascii="Calibri"/>
                        <w:sz w:val="22"/>
                      </w:rPr>
                      <w:t>101</w:t>
                    </w:r>
                  </w:p>
                </w:txbxContent>
              </v:textbox>
              <w10:wrap type="none"/>
            </v:shape>
            <v:shape style="position:absolute;left:10181;top:-8796;width:3945;height:1948" type="#_x0000_t202" filled="false" stroked="true" strokeweight=".5pt" strokecolor="#000000">
              <v:textbox inset="0,0,0,0">
                <w:txbxContent>
                  <w:p>
                    <w:pPr>
                      <w:spacing w:line="276" w:lineRule="auto" w:before="67"/>
                      <w:ind w:left="574" w:right="563" w:firstLine="218"/>
                      <w:jc w:val="left"/>
                      <w:rPr>
                        <w:b/>
                        <w:sz w:val="22"/>
                      </w:rPr>
                    </w:pPr>
                    <w:r>
                      <w:rPr>
                        <w:b/>
                        <w:sz w:val="22"/>
                      </w:rPr>
                      <w:t>11. Identificación de la problemática de la Cuenca</w:t>
                    </w:r>
                  </w:p>
                  <w:p>
                    <w:pPr>
                      <w:spacing w:line="276" w:lineRule="auto" w:before="0"/>
                      <w:ind w:left="211" w:right="209" w:firstLine="0"/>
                      <w:jc w:val="center"/>
                      <w:rPr>
                        <w:b/>
                        <w:sz w:val="22"/>
                      </w:rPr>
                    </w:pPr>
                    <w:r>
                      <w:rPr>
                        <w:b/>
                        <w:sz w:val="22"/>
                      </w:rPr>
                      <w:t>Hidrosocial por Consideraciones Teóricas; por Grupo de Actores y por AEPA (Ambiental, social, económica y política)</w:t>
                    </w:r>
                  </w:p>
                </w:txbxContent>
              </v:textbox>
              <w10:wrap type="none"/>
            </v:shape>
            <v:shape style="position:absolute;left:10333;top:-6510;width:3675;height:999" type="#_x0000_t202" filled="false" stroked="true" strokeweight=".5pt" strokecolor="#000000">
              <v:textbox inset="0,0,0,0">
                <w:txbxContent>
                  <w:p>
                    <w:pPr>
                      <w:spacing w:line="278" w:lineRule="auto" w:before="67"/>
                      <w:ind w:left="163" w:right="154" w:firstLine="607"/>
                      <w:jc w:val="left"/>
                      <w:rPr>
                        <w:b/>
                        <w:sz w:val="22"/>
                      </w:rPr>
                    </w:pPr>
                    <w:r>
                      <w:rPr>
                        <w:b/>
                        <w:sz w:val="22"/>
                      </w:rPr>
                      <w:t>12. Definición de los Indicadores de Presión, Estado,</w:t>
                    </w:r>
                  </w:p>
                  <w:p>
                    <w:pPr>
                      <w:spacing w:line="251" w:lineRule="exact" w:before="0"/>
                      <w:ind w:left="343" w:right="154" w:firstLine="0"/>
                      <w:jc w:val="left"/>
                      <w:rPr>
                        <w:b/>
                        <w:sz w:val="22"/>
                      </w:rPr>
                    </w:pPr>
                    <w:r>
                      <w:rPr>
                        <w:b/>
                        <w:sz w:val="22"/>
                      </w:rPr>
                      <w:t>Impacto y Respuesta</w:t>
                    </w:r>
                    <w:r>
                      <w:rPr>
                        <w:b/>
                        <w:spacing w:val="52"/>
                        <w:sz w:val="22"/>
                      </w:rPr>
                      <w:t> </w:t>
                    </w:r>
                    <w:r>
                      <w:rPr>
                        <w:b/>
                        <w:sz w:val="22"/>
                      </w:rPr>
                      <w:t>(PEIR)</w:t>
                    </w:r>
                  </w:p>
                </w:txbxContent>
              </v:textbox>
              <w10:wrap type="none"/>
            </v:shape>
            <v:shape style="position:absolute;left:10342;top:-5247;width:3735;height:1067" type="#_x0000_t202" filled="false" stroked="true" strokeweight=".5pt" strokecolor="#000000">
              <v:textbox inset="0,0,0,0">
                <w:txbxContent>
                  <w:p>
                    <w:pPr>
                      <w:spacing w:line="276" w:lineRule="auto" w:before="69"/>
                      <w:ind w:left="295" w:right="290" w:firstLine="326"/>
                      <w:jc w:val="left"/>
                      <w:rPr>
                        <w:b/>
                        <w:sz w:val="22"/>
                      </w:rPr>
                    </w:pPr>
                    <w:r>
                      <w:rPr>
                        <w:b/>
                        <w:sz w:val="22"/>
                      </w:rPr>
                      <w:t>13. Identificación de los Factores Críticos de Éxito por</w:t>
                    </w:r>
                  </w:p>
                  <w:p>
                    <w:pPr>
                      <w:spacing w:before="10"/>
                      <w:ind w:left="157" w:right="157" w:firstLine="0"/>
                      <w:jc w:val="center"/>
                      <w:rPr>
                        <w:b/>
                        <w:sz w:val="22"/>
                      </w:rPr>
                    </w:pPr>
                    <w:r>
                      <w:rPr>
                        <w:b/>
                        <w:sz w:val="22"/>
                      </w:rPr>
                      <w:t>AEPA</w:t>
                    </w:r>
                  </w:p>
                </w:txbxContent>
              </v:textbox>
              <w10:wrap type="none"/>
            </v:shape>
            <v:shape style="position:absolute;left:10275;top:-3931;width:3735;height:999" type="#_x0000_t202" filled="false" stroked="true" strokeweight=".5pt" strokecolor="#000000">
              <v:textbox inset="0,0,0,0">
                <w:txbxContent>
                  <w:p>
                    <w:pPr>
                      <w:spacing w:line="276" w:lineRule="auto" w:before="68"/>
                      <w:ind w:left="144" w:right="135" w:firstLine="36"/>
                      <w:jc w:val="left"/>
                      <w:rPr>
                        <w:b/>
                        <w:sz w:val="22"/>
                      </w:rPr>
                    </w:pPr>
                    <w:r>
                      <w:rPr>
                        <w:b/>
                        <w:sz w:val="22"/>
                      </w:rPr>
                      <w:t>14. Revisión del Marco Jurídico: Internacional, Nacional, Estatal y</w:t>
                    </w:r>
                  </w:p>
                  <w:p>
                    <w:pPr>
                      <w:spacing w:before="0"/>
                      <w:ind w:left="157" w:right="157" w:firstLine="0"/>
                      <w:jc w:val="center"/>
                      <w:rPr>
                        <w:b/>
                        <w:sz w:val="22"/>
                      </w:rPr>
                    </w:pPr>
                    <w:r>
                      <w:rPr>
                        <w:b/>
                        <w:sz w:val="22"/>
                      </w:rPr>
                      <w:t>Local</w:t>
                    </w:r>
                  </w:p>
                </w:txbxContent>
              </v:textbox>
              <w10:wrap type="none"/>
            </v:shape>
            <v:shape style="position:absolute;left:10335;top:-2623;width:3735;height:541" type="#_x0000_t202" filled="false" stroked="true" strokeweight=".5pt" strokecolor="#000000">
              <v:textbox inset="0,0,0,0">
                <w:txbxContent>
                  <w:p>
                    <w:pPr>
                      <w:spacing w:before="78"/>
                      <w:ind w:left="867" w:right="290" w:firstLine="0"/>
                      <w:jc w:val="left"/>
                      <w:rPr>
                        <w:b/>
                        <w:sz w:val="22"/>
                      </w:rPr>
                    </w:pPr>
                    <w:r>
                      <w:rPr>
                        <w:b/>
                        <w:sz w:val="22"/>
                      </w:rPr>
                      <w:t>15. Discusión Final</w:t>
                    </w:r>
                  </w:p>
                </w:txbxContent>
              </v:textbox>
              <w10:wrap type="none"/>
            </v:shape>
            <v:shape style="position:absolute;left:10336;top:-1845;width:3735;height:999" type="#_x0000_t202" filled="false" stroked="true" strokeweight=".5pt" strokecolor="#000000">
              <v:textbox inset="0,0,0,0">
                <w:txbxContent>
                  <w:p>
                    <w:pPr>
                      <w:spacing w:line="276" w:lineRule="auto" w:before="68"/>
                      <w:ind w:left="726" w:right="307" w:hanging="411"/>
                      <w:jc w:val="left"/>
                      <w:rPr>
                        <w:b/>
                        <w:sz w:val="22"/>
                      </w:rPr>
                    </w:pPr>
                    <w:r>
                      <w:rPr>
                        <w:b/>
                        <w:sz w:val="22"/>
                      </w:rPr>
                      <w:t>16. Proposición de un Comité Intermunicipal con su</w:t>
                    </w:r>
                  </w:p>
                  <w:p>
                    <w:pPr>
                      <w:spacing w:before="3"/>
                      <w:ind w:left="1233" w:right="290" w:firstLine="0"/>
                      <w:jc w:val="left"/>
                      <w:rPr>
                        <w:b/>
                        <w:sz w:val="22"/>
                      </w:rPr>
                    </w:pPr>
                    <w:r>
                      <w:rPr>
                        <w:b/>
                        <w:sz w:val="22"/>
                      </w:rPr>
                      <w:t>Reglamento</w:t>
                    </w:r>
                  </w:p>
                </w:txbxContent>
              </v:textbox>
              <w10:wrap type="none"/>
            </v:shape>
            <v:shape style="position:absolute;left:10391;top:-628;width:3735;height:541" type="#_x0000_t202" filled="false" stroked="true" strokeweight=".5pt" strokecolor="#000000">
              <v:textbox inset="0,0,0,0">
                <w:txbxContent>
                  <w:p>
                    <w:pPr>
                      <w:spacing w:before="78"/>
                      <w:ind w:left="232" w:right="135" w:firstLine="0"/>
                      <w:jc w:val="left"/>
                      <w:rPr>
                        <w:b/>
                        <w:sz w:val="22"/>
                      </w:rPr>
                    </w:pPr>
                    <w:r>
                      <w:rPr>
                        <w:b/>
                        <w:sz w:val="22"/>
                      </w:rPr>
                      <w:t>17. Consideraciones Generales</w:t>
                    </w:r>
                  </w:p>
                </w:txbxContent>
              </v:textbox>
              <w10:wrap type="none"/>
            </v:shape>
            <w10:wrap type="none"/>
          </v:group>
        </w:pict>
      </w:r>
      <w:r>
        <w:rPr>
          <w:b/>
        </w:rPr>
        <w:t>Fuente: </w:t>
      </w:r>
      <w:r>
        <w:rPr/>
        <w:t>Elaboración propia con base en la revisión bibliográfica y trabajo de campo (2013-2015).</w:t>
      </w:r>
    </w:p>
    <w:p>
      <w:pPr>
        <w:pStyle w:val="BodyText"/>
      </w:pPr>
      <w:r>
        <w:rPr/>
        <w:br w:type="column"/>
      </w:r>
      <w:r>
        <w:rPr/>
      </w:r>
    </w:p>
    <w:p>
      <w:pPr>
        <w:pStyle w:val="Heading6"/>
        <w:spacing w:before="163"/>
        <w:ind w:left="115"/>
      </w:pPr>
      <w:r>
        <w:rPr/>
        <w:pict>
          <v:group style="position:absolute;margin-left:519.049988pt;margin-top:-43.706131pt;width:187.25pt;height:75pt;mso-position-horizontal-relative:page;mso-position-vertical-relative:paragraph;z-index:-3340000" coordorigin="10381,-874" coordsize="3745,1500">
            <v:shape style="position:absolute;left:11715;top:-874;width:157;height:230" type="#_x0000_t75" stroked="false">
              <v:imagedata r:id="rId46" o:title=""/>
            </v:shape>
            <v:rect style="position:absolute;left:10391;top:-651;width:3735;height:541" filled="true" fillcolor="#ffffff" stroked="false">
              <v:fill type="solid"/>
            </v:rect>
            <v:rect style="position:absolute;left:10386;top:79;width:3735;height:541" filled="false" stroked="true" strokeweight=".5pt" strokecolor="#000000"/>
            <v:shape style="position:absolute;left:11832;top:-89;width:157;height:230" type="#_x0000_t75" stroked="false">
              <v:imagedata r:id="rId47" o:title=""/>
            </v:shape>
            <w10:wrap type="none"/>
          </v:group>
        </w:pict>
      </w:r>
      <w:r>
        <w:rPr/>
        <w:t>18. Hallazgos y contribuciones</w:t>
      </w:r>
    </w:p>
    <w:p>
      <w:pPr>
        <w:spacing w:after="0"/>
        <w:sectPr>
          <w:type w:val="continuous"/>
          <w:pgSz w:w="15840" w:h="12240" w:orient="landscape"/>
          <w:pgMar w:top="1360" w:bottom="1200" w:left="720" w:right="380"/>
          <w:cols w:num="2" w:equalWidth="0">
            <w:col w:w="9611" w:space="202"/>
            <w:col w:w="4927"/>
          </w:cols>
        </w:sectPr>
      </w:pPr>
    </w:p>
    <w:p>
      <w:pPr>
        <w:pStyle w:val="BodyText"/>
        <w:rPr>
          <w:b/>
          <w:sz w:val="20"/>
        </w:rPr>
      </w:pPr>
      <w:r>
        <w:rPr/>
        <w:pict>
          <v:shape style="position:absolute;margin-left:679.5pt;margin-top:203.369995pt;width:31.5pt;height:197.6pt;mso-position-horizontal-relative:page;mso-position-vertical-relative:page;z-index:3688" type="#_x0000_t202" filled="false" stroked="true" strokeweight="1pt" strokecolor="#000000">
            <v:textbox inset="0,0,0,0" style="layout-flow:vertical;mso-layout-flow-alt:bottom-to-top">
              <w:txbxContent>
                <w:p>
                  <w:pPr>
                    <w:spacing w:before="149"/>
                    <w:ind w:left="71" w:right="-873" w:firstLine="0"/>
                    <w:jc w:val="left"/>
                    <w:rPr>
                      <w:b/>
                      <w:sz w:val="24"/>
                    </w:rPr>
                  </w:pPr>
                  <w:r>
                    <w:rPr>
                      <w:b/>
                      <w:spacing w:val="-1"/>
                      <w:w w:val="99"/>
                      <w:sz w:val="24"/>
                    </w:rPr>
                    <w:t>M</w:t>
                  </w:r>
                  <w:r>
                    <w:rPr>
                      <w:b/>
                      <w:w w:val="99"/>
                      <w:sz w:val="24"/>
                    </w:rPr>
                    <w:t>e</w:t>
                  </w:r>
                  <w:r>
                    <w:rPr>
                      <w:b/>
                      <w:w w:val="100"/>
                      <w:sz w:val="24"/>
                    </w:rPr>
                    <w:t>t</w:t>
                  </w:r>
                  <w:r>
                    <w:rPr>
                      <w:b/>
                      <w:spacing w:val="-1"/>
                      <w:w w:val="100"/>
                      <w:sz w:val="24"/>
                    </w:rPr>
                    <w:t>o</w:t>
                  </w:r>
                  <w:r>
                    <w:rPr>
                      <w:b/>
                      <w:w w:val="100"/>
                      <w:sz w:val="24"/>
                    </w:rPr>
                    <w:t>dología</w:t>
                  </w:r>
                  <w:r>
                    <w:rPr>
                      <w:b/>
                      <w:sz w:val="24"/>
                    </w:rPr>
                    <w:t> Si</w:t>
                  </w:r>
                  <w:r>
                    <w:rPr>
                      <w:b/>
                      <w:spacing w:val="1"/>
                      <w:sz w:val="24"/>
                    </w:rPr>
                    <w:t>e</w:t>
                  </w:r>
                  <w:r>
                    <w:rPr>
                      <w:b/>
                      <w:sz w:val="24"/>
                    </w:rPr>
                    <w:t>mp</w:t>
                  </w:r>
                  <w:r>
                    <w:rPr>
                      <w:b/>
                      <w:spacing w:val="-3"/>
                      <w:sz w:val="24"/>
                    </w:rPr>
                    <w:t>r</w:t>
                  </w:r>
                  <w:r>
                    <w:rPr>
                      <w:b/>
                      <w:w w:val="99"/>
                      <w:sz w:val="24"/>
                    </w:rPr>
                    <w:t>e</w:t>
                  </w:r>
                  <w:r>
                    <w:rPr>
                      <w:b/>
                      <w:spacing w:val="-2"/>
                      <w:sz w:val="24"/>
                    </w:rPr>
                    <w:t> </w:t>
                  </w:r>
                  <w:r>
                    <w:rPr>
                      <w:b/>
                      <w:spacing w:val="2"/>
                      <w:sz w:val="24"/>
                    </w:rPr>
                    <w:t>P</w:t>
                  </w:r>
                  <w:r>
                    <w:rPr>
                      <w:b/>
                      <w:w w:val="99"/>
                      <w:sz w:val="24"/>
                    </w:rPr>
                    <w:t>re</w:t>
                  </w:r>
                  <w:r>
                    <w:rPr>
                      <w:b/>
                      <w:spacing w:val="-2"/>
                      <w:w w:val="99"/>
                      <w:sz w:val="24"/>
                    </w:rPr>
                    <w:t>s</w:t>
                  </w:r>
                  <w:r>
                    <w:rPr>
                      <w:b/>
                      <w:w w:val="99"/>
                      <w:sz w:val="24"/>
                    </w:rPr>
                    <w:t>e</w:t>
                  </w:r>
                  <w:r>
                    <w:rPr>
                      <w:b/>
                      <w:w w:val="100"/>
                      <w:sz w:val="24"/>
                    </w:rPr>
                    <w:t>n</w:t>
                  </w:r>
                  <w:r>
                    <w:rPr>
                      <w:b/>
                      <w:spacing w:val="-1"/>
                      <w:w w:val="100"/>
                      <w:sz w:val="24"/>
                    </w:rPr>
                    <w:t>t</w:t>
                  </w:r>
                  <w:r>
                    <w:rPr>
                      <w:b/>
                      <w:w w:val="99"/>
                      <w:sz w:val="24"/>
                    </w:rPr>
                    <w:t>e</w:t>
                  </w:r>
                </w:p>
              </w:txbxContent>
            </v:textbox>
            <w10:wrap type="none"/>
          </v:shape>
        </w:pict>
      </w:r>
      <w:r>
        <w:rPr/>
        <w:pict>
          <v:shape style="position:absolute;margin-left:105.204124pt;margin-top:222.818085pt;width:13.05pt;height:47.25pt;mso-position-horizontal-relative:page;mso-position-vertical-relative:page;z-index:3736" type="#_x0000_t202" filled="false" stroked="false">
            <v:textbox inset="0,0,0,0" style="layout-flow:vertical;mso-layout-flow-alt:bottom-to-top">
              <w:txbxContent>
                <w:p>
                  <w:pPr>
                    <w:pStyle w:val="BodyText"/>
                    <w:spacing w:line="246" w:lineRule="exact"/>
                    <w:ind w:left="20" w:right="-682"/>
                  </w:pPr>
                  <w:r>
                    <w:rPr>
                      <w:spacing w:val="-4"/>
                      <w:w w:val="100"/>
                    </w:rPr>
                    <w:t>M</w:t>
                  </w:r>
                  <w:r>
                    <w:rPr>
                      <w:w w:val="100"/>
                    </w:rPr>
                    <w:t>e</w:t>
                  </w:r>
                  <w:r>
                    <w:rPr>
                      <w:spacing w:val="1"/>
                      <w:w w:val="100"/>
                    </w:rPr>
                    <w:t>d</w:t>
                  </w:r>
                  <w:r>
                    <w:rPr>
                      <w:spacing w:val="-2"/>
                      <w:w w:val="100"/>
                    </w:rPr>
                    <w:t>i</w:t>
                  </w:r>
                  <w:r>
                    <w:rPr>
                      <w:w w:val="100"/>
                    </w:rPr>
                    <w:t>a</w:t>
                  </w:r>
                  <w:r>
                    <w:rPr>
                      <w:spacing w:val="-1"/>
                      <w:w w:val="100"/>
                    </w:rPr>
                    <w:t>n</w:t>
                  </w:r>
                  <w:r>
                    <w:rPr>
                      <w:w w:val="100"/>
                    </w:rPr>
                    <w:t>t</w:t>
                  </w:r>
                  <w:r>
                    <w:rPr>
                      <w:w w:val="100"/>
                    </w:rPr>
                    <w:t>e</w:t>
                  </w:r>
                </w:p>
              </w:txbxContent>
            </v:textbox>
            <w10:wrap type="none"/>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1"/>
        </w:rPr>
      </w:pPr>
    </w:p>
    <w:p>
      <w:pPr>
        <w:pStyle w:val="Heading6"/>
        <w:spacing w:before="73"/>
        <w:ind w:left="1858"/>
      </w:pPr>
      <w:r>
        <w:rPr/>
        <w:pict>
          <v:group style="position:absolute;margin-left:217.899994pt;margin-top:96.317879pt;width:207.2pt;height:192.95pt;mso-position-horizontal-relative:page;mso-position-vertical-relative:paragraph;z-index:3640" coordorigin="4358,1926" coordsize="4144,3859">
            <v:rect style="position:absolute;left:5351;top:3073;width:2214;height:1470" filled="false" stroked="true" strokeweight="1pt" strokecolor="#000000"/>
            <v:shape style="position:absolute;left:4358;top:1926;width:1617;height:1143" type="#_x0000_t75" stroked="false">
              <v:imagedata r:id="rId49" o:title=""/>
            </v:shape>
            <v:shape style="position:absolute;left:4604;top:2279;width:3613;height:3507" coordorigin="4604,2279" coordsize="3613,3507" path="m4758,2835l4732,2815,4683,2777,4683,2803,4637,2830,4629,2781,4627,2770,4625,2760,4622,2750,4628,2756,4637,2764,4683,2803,4683,2777,4649,2750,4624,2730,4604,2741,4629,2908,4649,2898,4640,2847,4671,2830,4698,2815,4737,2847,4758,2835m4863,2776l4858,2769,4852,2762,4849,2764,4847,2766,4843,2768,4840,2769,4837,2769,4835,2768,4832,2766,4830,2763,4828,2759,4800,2710,4795,2700,4812,2691,4810,2687,4804,2678,4787,2687,4767,2652,4756,2672,4770,2697,4758,2704,4765,2717,4778,2710,4811,2767,4816,2777,4821,2784,4824,2786,4827,2788,4831,2790,4840,2790,4845,2788,4851,2784,4855,2782,4859,2779,4863,2776m4895,2758l4865,2706,4861,2699,4858,2691,4857,2684,4856,2680,4856,2676,4857,2674,4858,2672,4860,2668,4862,2665,4866,2663,4870,2660,4875,2659,4880,2659,4877,2640,4869,2640,4863,2642,4857,2645,4853,2647,4850,2650,4848,2654,4846,2658,4845,2663,4845,2674,4837,2659,4821,2668,4878,2767,4895,2758m5029,2682l5028,2681,5024,2679,5021,2676,5018,2672,5015,2669,5009,2659,5001,2645,4989,2623,4989,2676,4987,2681,4984,2687,4980,2693,4975,2698,4969,2701,4962,2705,4957,2706,4951,2705,4946,2704,4942,2701,4940,2697,4938,2694,4938,2692,4938,2684,4939,2681,4941,2678,4943,2675,4948,2672,4965,2658,4973,2651,4978,2645,4982,2651,4986,2658,4988,2664,4988,2669,4989,2672,4989,2676,4989,2623,4983,2614,4980,2608,4974,2601,4970,2599,4961,2595,4956,2595,4943,2597,4936,2600,4919,2610,4912,2615,4907,2621,4901,2627,4898,2633,4897,2640,4896,2646,4897,2653,4900,2661,4917,2654,4915,2646,4915,2639,4920,2629,4925,2625,4933,2620,4941,2615,4949,2614,4955,2615,4960,2616,4964,2620,4968,2627,4968,2627,4969,2629,4971,2631,4965,2637,4956,2645,4944,2654,4937,2659,4933,2663,4930,2665,4926,2669,4923,2673,4921,2678,4919,2682,4918,2687,4918,2698,4919,2703,4922,2708,4927,2716,4934,2721,4952,2725,4961,2723,4972,2717,4979,2713,4985,2708,4986,2706,4989,2703,4994,2697,4998,2690,5001,2681,5004,2686,5007,2689,5011,2692,5029,2682m5093,2646l5090,2630,5074,2525,5057,2534,5069,2608,5072,2624,5073,2630,5067,2624,5062,2619,5000,2566,4983,2576,5077,2655,5093,2646m5130,2442l5108,2454,5111,2487,5125,2479,5130,2442m5215,2550l5212,2538,5193,2546,5195,2555,5194,2562,5192,2568,5189,2573,5185,2578,5179,2582,5170,2586,5162,2587,5144,2582,5136,2575,5129,2565,5155,2550,5203,2523,5201,2519,5201,2518,5194,2507,5187,2500,5185,2498,5178,2492,5178,2519,5122,2550,5118,2541,5117,2533,5122,2516,5127,2510,5134,2506,5143,2501,5152,2500,5161,2504,5167,2506,5172,2511,5178,2519,5178,2492,5176,2491,5167,2487,5156,2485,5146,2485,5136,2487,5126,2492,5117,2498,5110,2506,5104,2515,5101,2525,5099,2536,5100,2547,5104,2559,5110,2571,5117,2582,5125,2591,5134,2597,5144,2602,5154,2604,5165,2603,5175,2600,5186,2595,5198,2589,5199,2587,5206,2581,5214,2561,5215,2550m5314,2496l5312,2490,5312,2490,5312,2489,5309,2484,5307,2480,5306,2478,5302,2474,5297,2472,5292,2470,5287,2469,5281,2469,5275,2470,5265,2472,5251,2476,5236,2480,5234,2480,5230,2480,5227,2480,5222,2478,5221,2477,5219,2474,5217,2471,5218,2467,5219,2463,5221,2458,5226,2454,5240,2446,5246,2444,5257,2446,5261,2449,5265,2453,5277,2444,5280,2442,5275,2436,5270,2432,5265,2430,5260,2427,5254,2427,5247,2428,5240,2429,5232,2432,5225,2436,5219,2439,5215,2442,5207,2450,5205,2454,5203,2457,5201,2462,5200,2467,5200,2477,5202,2481,5207,2490,5211,2494,5215,2497,5220,2500,5226,2501,5238,2500,5248,2498,5262,2494,5273,2491,5279,2489,5283,2490,5287,2490,5291,2492,5293,2496,5295,2500,5295,2501,5295,2505,5293,2510,5291,2515,5287,2520,5271,2529,5264,2531,5258,2529,5251,2528,5246,2525,5241,2519,5226,2531,5234,2540,5243,2546,5262,2549,5274,2546,5295,2534,5299,2531,5301,2529,5310,2516,5313,2510,5313,2503,5313,2498,5314,2496m5480,2426l5478,2422,5447,2368,5447,2409,5444,2427,5439,2434,5432,2438,5424,2442,5416,2442,5398,2436,5390,2428,5376,2402,5373,2391,5374,2380,5376,2373,5380,2366,5388,2362,5395,2358,5404,2357,5421,2364,5430,2373,5437,2386,5444,2399,5447,2409,5447,2368,5441,2357,5436,2347,5402,2288,5385,2298,5413,2347,5408,2345,5402,2344,5390,2344,5384,2346,5370,2354,5364,2360,5360,2368,5355,2376,5354,2385,5354,2386,5355,2396,5357,2405,5360,2415,5366,2425,5371,2435,5378,2443,5386,2449,5395,2455,5403,2458,5422,2459,5430,2457,5438,2453,5450,2446,5452,2442,5457,2436,5457,2422,5465,2435,5480,2426m5578,2346l5578,2344,5575,2332,5556,2340,5558,2349,5557,2356,5552,2367,5548,2372,5542,2375,5533,2380,5525,2381,5516,2379,5507,2376,5499,2369,5492,2359,5518,2344,5567,2317,5565,2313,5564,2312,5557,2301,5551,2294,5549,2292,5541,2286,5541,2313,5485,2344,5481,2335,5480,2327,5482,2318,5485,2310,5490,2304,5497,2300,5506,2295,5515,2294,5524,2298,5530,2300,5536,2305,5541,2313,5541,2286,5540,2285,5530,2281,5520,2279,5510,2279,5500,2281,5490,2286,5480,2292,5473,2300,5467,2309,5464,2319,5462,2330,5464,2341,5467,2353,5473,2365,5480,2376,5488,2385,5497,2391,5507,2396,5518,2398,5528,2397,5539,2394,5550,2389,5561,2383,5563,2381,5569,2375,5577,2355,5578,2346m8217,5785l8216,5778,8198,5635,8197,5630,8194,5628,8190,5628,8185,5629,8183,5632,8183,5636,8197,5747,7360,4655,7348,4664,8185,5756,8082,5714,8078,5712,8074,5714,8071,5722,8073,5726,8077,5728,8217,5785e" filled="true" fillcolor="#000000" stroked="false">
              <v:path arrowok="t"/>
              <v:fill type="solid"/>
            </v:shape>
            <v:shape style="position:absolute;left:6885;top:4455;width:1617;height:1143" type="#_x0000_t75" stroked="false">
              <v:imagedata r:id="rId50" o:title=""/>
            </v:shape>
            <v:shape style="position:absolute;left:7440;top:4884;width:531;height:341" coordorigin="7440,4884" coordsize="531,341" path="m7509,5061l7499,5063,7489,5066,7479,5071,7467,5078,7457,5087,7450,5098,7443,5109,7440,5121,7440,5127,7440,5136,7442,5146,7444,5156,7448,5167,7454,5178,7460,5187,7466,5196,7474,5203,7482,5210,7493,5219,7505,5224,7518,5225,7527,5224,7538,5222,7548,5219,7559,5213,7569,5207,7570,5205,7531,5205,7512,5205,7503,5201,7495,5195,7486,5188,7479,5179,7472,5167,7467,5158,7464,5148,7460,5128,7460,5127,7461,5118,7469,5100,7477,5093,7496,5081,7505,5079,7555,5079,7547,5073,7538,5067,7529,5064,7519,5062,7509,5061xm7590,5135l7569,5141,7573,5154,7573,5165,7570,5175,7566,5185,7559,5193,7540,5203,7531,5205,7570,5205,7577,5199,7584,5190,7589,5181,7592,5170,7593,5159,7593,5148,7592,5147,7590,5135xm7647,5035l7637,5036,7627,5038,7617,5043,7604,5050,7596,5059,7592,5072,7589,5081,7589,5086,7590,5095,7593,5108,7599,5121,7607,5133,7615,5142,7624,5148,7634,5153,7645,5154,7655,5154,7665,5152,7676,5147,7684,5142,7688,5139,7651,5139,7632,5132,7624,5124,7610,5099,7607,5088,7611,5069,7616,5062,7625,5057,7633,5052,7642,5051,7680,5051,7677,5048,7668,5041,7658,5037,7647,5035xm7680,5051l7642,5051,7660,5058,7668,5065,7675,5078,7683,5091,7685,5102,7683,5112,7681,5121,7676,5128,7659,5138,7651,5139,7688,5139,7691,5135,7696,5127,7701,5119,7704,5110,7703,5100,7703,5091,7699,5080,7692,5067,7685,5056,7680,5051xm7699,4999l7684,5008,7740,5107,7757,5098,7728,5046,7723,5037,7720,5029,7719,5024,7718,5018,7719,5013,7707,5013,7699,4999xm7555,5079l7505,5079,7514,5080,7523,5082,7531,5086,7540,5094,7556,5080,7555,5079xm7777,4992l7744,4992,7754,4997,7759,5001,7763,5009,7800,5074,7817,5064,7784,5006,7778,4996,7777,4992xm7835,4960l7799,4960,7807,4960,7810,4961,7816,4966,7819,4971,7839,5006,7859,5040,7875,5031,7835,4960xm7742,4974l7735,4975,7721,4983,7716,4988,7713,4994,7709,5000,7707,5006,7707,5013,7719,5013,7719,5012,7724,5003,7728,4999,7733,4996,7739,4993,7744,4992,7777,4992,7776,4987,7778,4981,7766,4981,7761,4977,7755,4974,7749,4974,7742,4974xm7915,4884l7904,4884,7894,4886,7884,4891,7872,4898,7863,4908,7859,4920,7856,4931,7857,4943,7860,4956,7867,4970,7874,4981,7882,4990,7892,4997,7901,5001,7912,5003,7922,5003,7932,5000,7943,4995,7952,4990,7955,4987,7918,4987,7899,4981,7891,4973,7884,4960,7877,4947,7874,4936,7878,4917,7883,4910,7892,4905,7900,4900,7909,4900,7947,4900,7944,4896,7935,4890,7925,4886,7915,4884xm7947,4900l7909,4900,7927,4906,7935,4914,7942,4926,7950,4939,7950,4939,7952,4950,7950,4962,7949,4969,7943,4977,7927,4986,7918,4987,7955,4987,7958,4984,7964,4975,7969,4967,7971,4958,7971,4950,7970,4939,7966,4928,7959,4915,7952,4905,7947,4900xm7806,4939l7797,4941,7787,4946,7778,4952,7772,4960,7768,4970,7766,4981,7778,4981,7780,4973,7784,4967,7795,4961,7799,4960,7835,4960,7830,4951,7823,4944,7814,4941,7806,4939xe" filled="true" fillcolor="#000000" stroked="false">
              <v:path arrowok="t"/>
              <v:fill type="solid"/>
            </v:shape>
            <v:shape style="position:absolute;left:4358;top:1926;width:4144;height:3859" type="#_x0000_t202" filled="false" stroked="false">
              <v:textbox inset="0,0,0,0">
                <w:txbxContent>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83" w:lineRule="auto" w:before="150"/>
                      <w:ind w:left="1287" w:right="1210" w:firstLine="189"/>
                      <w:jc w:val="left"/>
                      <w:rPr>
                        <w:b/>
                        <w:sz w:val="22"/>
                      </w:rPr>
                    </w:pPr>
                    <w:r>
                      <w:rPr>
                        <w:b/>
                        <w:sz w:val="22"/>
                      </w:rPr>
                      <w:t>Consultas a organizaciones ya establecidas</w:t>
                    </w:r>
                  </w:p>
                </w:txbxContent>
              </v:textbox>
              <w10:wrap type="none"/>
            </v:shape>
            <w10:wrap type="none"/>
          </v:group>
        </w:pict>
      </w:r>
      <w:r>
        <w:rPr/>
        <w:t>Esquema 3.2. Metodología General del Trabajo de Campo e Identificación Histórica de Actores</w:t>
      </w:r>
    </w:p>
    <w:p>
      <w:pPr>
        <w:pStyle w:val="BodyText"/>
        <w:spacing w:before="7"/>
        <w:rPr>
          <w:b/>
          <w:sz w:val="23"/>
        </w:rPr>
      </w:pPr>
      <w:r>
        <w:rPr/>
        <w:pict>
          <v:group style="position:absolute;margin-left:162.100006pt;margin-top:15.538953pt;width:111.1pt;height:59.55pt;mso-position-horizontal-relative:page;mso-position-vertical-relative:paragraph;z-index:3568;mso-wrap-distance-left:0;mso-wrap-distance-right:0" coordorigin="3242,311" coordsize="2222,1191">
            <v:shape style="position:absolute;left:3242;top:311;width:2222;height:1191" type="#_x0000_t75" stroked="false">
              <v:imagedata r:id="rId51" o:title=""/>
            </v:shape>
            <v:shape style="position:absolute;left:3242;top:311;width:2222;height:1191" type="#_x0000_t202" filled="false" stroked="false">
              <v:textbox inset="0,0,0,0">
                <w:txbxContent>
                  <w:p>
                    <w:pPr>
                      <w:spacing w:line="276" w:lineRule="auto" w:before="86"/>
                      <w:ind w:left="284" w:right="289" w:firstLine="7"/>
                      <w:jc w:val="center"/>
                      <w:rPr>
                        <w:b/>
                        <w:sz w:val="22"/>
                      </w:rPr>
                    </w:pPr>
                    <w:r>
                      <w:rPr>
                        <w:b/>
                        <w:sz w:val="22"/>
                      </w:rPr>
                      <w:t>TRABAJO DE CAMPO </w:t>
                    </w:r>
                    <w:r>
                      <w:rPr>
                        <w:b/>
                        <w:spacing w:val="-2"/>
                        <w:sz w:val="22"/>
                      </w:rPr>
                      <w:t>TRANSVERSAL</w:t>
                    </w:r>
                  </w:p>
                </w:txbxContent>
              </v:textbox>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17"/>
        </w:rPr>
      </w:pPr>
    </w:p>
    <w:p>
      <w:pPr>
        <w:pStyle w:val="BodyText"/>
        <w:spacing w:before="73"/>
        <w:ind w:left="894"/>
      </w:pPr>
      <w:r>
        <w:rPr/>
        <w:pict>
          <v:group style="position:absolute;margin-left:79.875pt;margin-top:-405.723145pt;width:56.25pt;height:396.75pt;mso-position-horizontal-relative:page;mso-position-vertical-relative:paragraph;z-index:3592" coordorigin="1598,-8114" coordsize="1125,7935">
            <v:shape style="position:absolute;left:1605;top:-8107;width:1110;height:7920" coordorigin="1605,-8107" coordsize="1110,7920" path="m1605,-8107l1717,-8105,1821,-8099,1915,-8089,1997,-8075,2065,-8060,2149,-8021,2160,-8000,2160,-4254,2171,-4233,2255,-4194,2323,-4178,2405,-4165,2499,-4155,2603,-4149,2715,-4147,2603,-4145,2499,-4139,2405,-4129,2323,-4115,2255,-4100,2171,-4061,2160,-4040,2160,-294,2149,-273,2065,-234,1997,-218,1915,-205,1821,-195,1717,-189,1605,-187e" filled="false" stroked="true" strokeweight=".75pt" strokecolor="#000000">
              <v:path arrowok="t"/>
            </v:shape>
            <v:shape style="position:absolute;left:2099;top:-7014;width:293;height:2182" type="#_x0000_t75" stroked="false">
              <v:imagedata r:id="rId45" o:title=""/>
            </v:shape>
            <w10:wrap type="none"/>
          </v:group>
        </w:pict>
      </w:r>
      <w:r>
        <w:rPr/>
        <w:pict>
          <v:shape style="position:absolute;margin-left:598.5pt;margin-top:-405.348145pt;width:55.5pt;height:400.5pt;mso-position-horizontal-relative:page;mso-position-vertical-relative:paragraph;z-index:3664" coordorigin="11970,-8107" coordsize="1110,8010" path="m11970,-8107l12082,-8105,12186,-8099,12280,-8089,12362,-8075,12430,-8060,12514,-8021,12525,-8000,12525,-4209,12536,-4188,12620,-4149,12688,-4133,12770,-4120,12864,-4110,12968,-4104,13080,-4102,12968,-4100,12864,-4094,12770,-4084,12688,-4070,12620,-4055,12536,-4016,12525,-3995,12525,-204,12514,-183,12430,-144,12362,-128,12280,-115,12186,-105,12082,-99,11970,-97e" filled="false" stroked="true" strokeweight=".75pt" strokecolor="#000000">
            <v:path arrowok="t"/>
            <w10:wrap type="none"/>
          </v:shape>
        </w:pict>
      </w:r>
      <w:r>
        <w:rPr/>
        <w:pict>
          <v:shape style="position:absolute;margin-left:432.75pt;margin-top:-194.488129pt;width:159.75pt;height:105.75pt;mso-position-horizontal-relative:page;mso-position-vertical-relative:paragraph;z-index:3712" type="#_x0000_t202" filled="false" stroked="true" strokeweight="1pt" strokecolor="#000000">
            <v:textbox inset="0,0,0,0">
              <w:txbxContent>
                <w:p>
                  <w:pPr>
                    <w:spacing w:line="278" w:lineRule="auto" w:before="69"/>
                    <w:ind w:left="148" w:right="149" w:firstLine="2"/>
                    <w:jc w:val="center"/>
                    <w:rPr>
                      <w:b/>
                      <w:sz w:val="22"/>
                    </w:rPr>
                  </w:pPr>
                  <w:r>
                    <w:rPr>
                      <w:b/>
                      <w:sz w:val="22"/>
                    </w:rPr>
                    <w:t>Comisariados Ejidales, Delegados, Asociaciones Civiles, Cooperativas Ganaderas, de Pescadores, Comité Hidráulico, El Municipio, La Conagua</w:t>
                  </w:r>
                </w:p>
              </w:txbxContent>
            </v:textbox>
            <w10:wrap type="none"/>
          </v:shape>
        </w:pict>
      </w:r>
      <w:r>
        <w:rPr>
          <w:b/>
        </w:rPr>
        <w:t>Fuente: </w:t>
      </w:r>
      <w:r>
        <w:rPr/>
        <w:t>Elaboración propia con base en Uphoff (1995), Palerm (1972); Quiroz, Durán,  Delgadillo (2012); Díaz et  al.</w:t>
      </w:r>
    </w:p>
    <w:p>
      <w:pPr>
        <w:pStyle w:val="BodyText"/>
        <w:spacing w:line="216" w:lineRule="exact" w:before="131"/>
        <w:ind w:left="894"/>
      </w:pPr>
      <w:r>
        <w:rPr/>
        <w:t>(2009) y García, trabajo de campo (2013-2015).</w:t>
      </w:r>
    </w:p>
    <w:p>
      <w:pPr>
        <w:pStyle w:val="BodyText"/>
        <w:spacing w:line="232" w:lineRule="exact"/>
        <w:ind w:right="113"/>
        <w:jc w:val="right"/>
        <w:rPr>
          <w:rFonts w:ascii="Calibri"/>
        </w:rPr>
      </w:pPr>
      <w:r>
        <w:rPr>
          <w:rFonts w:ascii="Calibri"/>
        </w:rPr>
        <w:t>102</w:t>
      </w:r>
    </w:p>
    <w:p>
      <w:pPr>
        <w:spacing w:after="0" w:line="232" w:lineRule="exact"/>
        <w:jc w:val="right"/>
        <w:rPr>
          <w:rFonts w:ascii="Calibri"/>
        </w:rPr>
        <w:sectPr>
          <w:footerReference w:type="default" r:id="rId48"/>
          <w:pgSz w:w="15840" w:h="12240" w:orient="landscape"/>
          <w:pgMar w:footer="0" w:header="0" w:top="0" w:bottom="280" w:left="1480" w:right="1300"/>
        </w:sectPr>
      </w:pPr>
    </w:p>
    <w:p>
      <w:pPr>
        <w:spacing w:line="360" w:lineRule="auto" w:before="56"/>
        <w:ind w:left="102" w:right="112" w:firstLine="0"/>
        <w:jc w:val="both"/>
        <w:rPr>
          <w:sz w:val="22"/>
        </w:rPr>
      </w:pPr>
      <w:r>
        <w:rPr>
          <w:sz w:val="22"/>
        </w:rPr>
        <w:t>De acuerdo a la estructura de los esquemas 3.1. y 3.2., </w:t>
      </w:r>
      <w:r>
        <w:rPr>
          <w:i/>
          <w:sz w:val="22"/>
        </w:rPr>
        <w:t>los pasos 1, 2, 3 y 4 de la </w:t>
      </w:r>
      <w:r>
        <w:rPr>
          <w:i/>
          <w:sz w:val="22"/>
        </w:rPr>
        <w:t>metodología, se pueden consultar en la Introducción y en el apartado de las Consideraciones Teóricas de este trabajo. </w:t>
      </w:r>
      <w:r>
        <w:rPr>
          <w:sz w:val="22"/>
        </w:rPr>
        <w:t>La revisión bibliográfica para los antecedentes y la elección del marco teórico, se realizó con base a los autores: Romero </w:t>
      </w:r>
      <w:r>
        <w:rPr>
          <w:i/>
          <w:sz w:val="22"/>
        </w:rPr>
        <w:t>et al. </w:t>
      </w:r>
      <w:r>
        <w:rPr>
          <w:sz w:val="22"/>
        </w:rPr>
        <w:t>(2012)</w:t>
      </w:r>
      <w:r>
        <w:rPr>
          <w:rFonts w:ascii="Calibri" w:hAnsi="Calibri"/>
          <w:sz w:val="22"/>
        </w:rPr>
        <w:t>; </w:t>
      </w:r>
      <w:r>
        <w:rPr>
          <w:sz w:val="22"/>
        </w:rPr>
        <w:t>La Global Water Partnership (GPW, 2000); Viqueira (1993);  Palerm (1972); Arnoletto</w:t>
      </w:r>
      <w:r>
        <w:rPr>
          <w:spacing w:val="32"/>
          <w:sz w:val="22"/>
        </w:rPr>
        <w:t> </w:t>
      </w:r>
      <w:r>
        <w:rPr>
          <w:sz w:val="22"/>
        </w:rPr>
        <w:t>(2010);</w:t>
      </w:r>
    </w:p>
    <w:p>
      <w:pPr>
        <w:pStyle w:val="BodyText"/>
        <w:spacing w:before="3"/>
        <w:ind w:left="102"/>
        <w:jc w:val="both"/>
      </w:pPr>
      <w:r>
        <w:rPr/>
        <w:t>Hernández (2003); Florentino (2004); Dowbor (1992); Hernández (2003); Palerm    (1993);</w:t>
      </w:r>
    </w:p>
    <w:p>
      <w:pPr>
        <w:pStyle w:val="BodyText"/>
        <w:spacing w:before="126"/>
        <w:ind w:left="102"/>
        <w:jc w:val="both"/>
      </w:pPr>
      <w:r>
        <w:rPr/>
        <w:t>Aguilar  (2006);  Oliveira  (2002);  Rhodes  (1997);  Kooiman  (2003);  Prats  (2003);  Hufty</w:t>
      </w:r>
    </w:p>
    <w:p>
      <w:pPr>
        <w:pStyle w:val="BodyText"/>
        <w:spacing w:line="360" w:lineRule="auto" w:before="125"/>
        <w:ind w:left="102" w:right="114"/>
        <w:jc w:val="both"/>
      </w:pPr>
      <w:r>
        <w:rPr/>
        <w:t>(2004)</w:t>
      </w:r>
      <w:r>
        <w:rPr>
          <w:rFonts w:ascii="Calibri" w:hAnsi="Calibri"/>
        </w:rPr>
        <w:t>; </w:t>
      </w:r>
      <w:r>
        <w:rPr/>
        <w:t>Canto (2012)</w:t>
      </w:r>
      <w:r>
        <w:rPr>
          <w:rFonts w:ascii="Calibri" w:hAnsi="Calibri"/>
        </w:rPr>
        <w:t>; </w:t>
      </w:r>
      <w:r>
        <w:rPr/>
        <w:t>Kooiman </w:t>
      </w:r>
      <w:r>
        <w:rPr>
          <w:i/>
        </w:rPr>
        <w:t>et al</w:t>
      </w:r>
      <w:r>
        <w:rPr/>
        <w:t>. (2008); Iza y Aguilar (2006); Vacaflores (2000); Warman (1982); Moreau (2003); entre otros; lo que permitió analizar la corriente del Neoevolucionismo cultural; la planeación regional como punto de partida para la GIRH y las relaciones intermunicipales, lo que nos llevó a identificar los principios de la gobernanza y gobernabilidad.</w:t>
      </w:r>
    </w:p>
    <w:p>
      <w:pPr>
        <w:pStyle w:val="BodyText"/>
      </w:pPr>
    </w:p>
    <w:p>
      <w:pPr>
        <w:pStyle w:val="BodyText"/>
        <w:spacing w:line="360" w:lineRule="auto" w:before="129"/>
        <w:ind w:left="102" w:right="113"/>
        <w:jc w:val="both"/>
      </w:pPr>
      <w:r>
        <w:rPr>
          <w:i/>
        </w:rPr>
        <w:t>Los pasos 5 y 6. La elección de la zona de estudio y el método etnográfico. </w:t>
      </w:r>
      <w:r>
        <w:rPr/>
        <w:t>La elección de la zona de estudio se hizo mediante </w:t>
      </w:r>
      <w:r>
        <w:rPr>
          <w:b/>
        </w:rPr>
        <w:t>el método etnográfico</w:t>
      </w:r>
      <w:r>
        <w:rPr/>
        <w:t>. De acuerdo con Malinowsky (1976), el método de la etnografía estudia a las culturas y sociedades para encontrar su lógica de estructura y funcionamiento. El método etnográfico se apoya en el trabajo de campo y registro </w:t>
      </w:r>
      <w:r>
        <w:rPr>
          <w:i/>
        </w:rPr>
        <w:t>in situ </w:t>
      </w:r>
      <w:r>
        <w:rPr/>
        <w:t>de roles, valores y normas a las que se hallan sujetas las comunidades para establecer relaciones con el ambiente y con otras estructuras sociales. se divide en 3 pasos: 1.- trabajo de campo </w:t>
      </w:r>
      <w:r>
        <w:rPr>
          <w:i/>
        </w:rPr>
        <w:t>in situ</w:t>
      </w:r>
      <w:r>
        <w:rPr/>
        <w:t>, 2.- identificación de sistemas sociales y 3.- historias de vida. Es decir, de entrevista y  fuentes de información de primera mano.</w:t>
      </w:r>
    </w:p>
    <w:p>
      <w:pPr>
        <w:pStyle w:val="BodyText"/>
        <w:spacing w:before="7"/>
        <w:rPr>
          <w:sz w:val="17"/>
        </w:rPr>
      </w:pPr>
    </w:p>
    <w:p>
      <w:pPr>
        <w:pStyle w:val="BodyText"/>
        <w:spacing w:line="360" w:lineRule="auto"/>
        <w:ind w:left="102" w:right="112"/>
        <w:jc w:val="both"/>
      </w:pPr>
      <w:r>
        <w:rPr/>
        <w:t>1.- En el trabajo de campo </w:t>
      </w:r>
      <w:r>
        <w:rPr>
          <w:b/>
          <w:i/>
        </w:rPr>
        <w:t>in situ, </w:t>
      </w:r>
      <w:r>
        <w:rPr/>
        <w:t>el investigador está en contacto directo con el objeto  de estudio; observa de forma directa y recoge la información del paisaje y su relación con la cultura. En el caso de estudio se realiza observación con diario de campo. En él se anota lo observado directamente en el campo y las entrevistas. </w:t>
      </w:r>
      <w:r>
        <w:rPr>
          <w:b/>
        </w:rPr>
        <w:t>La entrevista se realizó a través de la historia de vida </w:t>
      </w:r>
      <w:r>
        <w:rPr/>
        <w:t>a los llamados </w:t>
      </w:r>
      <w:r>
        <w:rPr>
          <w:i/>
        </w:rPr>
        <w:t>informantes clave</w:t>
      </w:r>
      <w:r>
        <w:rPr/>
        <w:t>, éstos son los actores que poseen información detallada y privilegiada sobre el asunto de investigación. Los argumentos vertidos por los informantes clave deben ser congruentes con la información recabada con las demás fuentes de información. No deberá haber graves inconsistencias; los hechos deben reforzar y reafirmar la información que se recaba a lo largo del proceso (Atkinson,</w:t>
      </w:r>
      <w:r>
        <w:rPr>
          <w:spacing w:val="-4"/>
        </w:rPr>
        <w:t> </w:t>
      </w:r>
      <w:r>
        <w:rPr/>
        <w:t>2001).</w:t>
      </w:r>
    </w:p>
    <w:p>
      <w:pPr>
        <w:spacing w:after="0" w:line="360" w:lineRule="auto"/>
        <w:jc w:val="both"/>
        <w:sectPr>
          <w:footerReference w:type="default" r:id="rId52"/>
          <w:pgSz w:w="12240" w:h="15840"/>
          <w:pgMar w:footer="1003" w:header="0" w:top="1360" w:bottom="1200" w:left="1600" w:right="1580"/>
          <w:pgNumType w:start="103"/>
        </w:sectPr>
      </w:pPr>
    </w:p>
    <w:p>
      <w:pPr>
        <w:pStyle w:val="BodyText"/>
        <w:spacing w:line="360" w:lineRule="auto" w:before="56"/>
        <w:ind w:left="102" w:right="112"/>
        <w:jc w:val="both"/>
      </w:pPr>
      <w:r>
        <w:rPr/>
        <w:t>Los datos generados en contacto directo con el objeto de estudio y los actores involucrados como fuentes directas de información, se complementaron con fuentes escritas de primera mano, como los archivos históricos locales.</w:t>
      </w:r>
    </w:p>
    <w:p>
      <w:pPr>
        <w:pStyle w:val="BodyText"/>
      </w:pPr>
    </w:p>
    <w:p>
      <w:pPr>
        <w:pStyle w:val="BodyText"/>
        <w:spacing w:line="360" w:lineRule="auto" w:before="127"/>
        <w:ind w:left="102" w:right="114"/>
        <w:jc w:val="both"/>
      </w:pPr>
      <w:r>
        <w:rPr>
          <w:b/>
        </w:rPr>
        <w:t>La caracterización de la estructura social, </w:t>
      </w:r>
      <w:r>
        <w:rPr/>
        <w:t>también es conocida por algunos especialistas como sistema social (Harris, 2001); ha demostrado ser el componente más importante para entender e identificar las formas de organización de las sociedades y de los grupos humanos (Radcliffe Brawn, 1972; Harris, 2001). Por lo tanto, caracterizar la estructura social se vuelve fundamental para identificar los componentes más importantes relacionados con el agua y su gestión social.</w:t>
      </w:r>
    </w:p>
    <w:p>
      <w:pPr>
        <w:pStyle w:val="BodyText"/>
      </w:pPr>
    </w:p>
    <w:p>
      <w:pPr>
        <w:pStyle w:val="BodyText"/>
        <w:spacing w:line="360" w:lineRule="auto" w:before="129"/>
        <w:ind w:left="102" w:right="115"/>
        <w:jc w:val="both"/>
      </w:pPr>
      <w:r>
        <w:rPr/>
        <w:t>Esta organización social, consta entre otras cosas de técnicas e ideologías relacionadas con el trabajo comunitario, que tienen un papel clave en la reproducción del nativo y de su identidad y su cultura. Es decir, de representaciones que explican las relaciones básicas entre los hombres, naturaleza (agua) y cosmovisión (autogobierno).</w:t>
      </w:r>
    </w:p>
    <w:p>
      <w:pPr>
        <w:pStyle w:val="BodyText"/>
      </w:pPr>
    </w:p>
    <w:p>
      <w:pPr>
        <w:pStyle w:val="BodyText"/>
        <w:spacing w:line="360" w:lineRule="auto" w:before="132"/>
        <w:ind w:left="102" w:right="113"/>
        <w:jc w:val="both"/>
      </w:pPr>
      <w:r>
        <w:rPr/>
        <w:t>Por tal motivo, Palerm (1972), delimita el instrumento básico de trabajo y lo señala como </w:t>
      </w:r>
      <w:r>
        <w:rPr>
          <w:b/>
        </w:rPr>
        <w:t>“región”</w:t>
      </w:r>
      <w:r>
        <w:rPr/>
        <w:t>, el cual es el punto de partida para la acción planificadora del desarrollo, sin ella no se puede entender ninguna acción concreta que, según se espera, tenga un resultado positivo. Del diagnóstico pasa a la estrategia y de ella se desprende el Plan regional, recalcando fuertemente que éste siempre debe estar articulado con la nación, que es la que debe orientar la armonía, dirección o especialidad que debe tomar la región (Romero et al. 2012).</w:t>
      </w:r>
    </w:p>
    <w:p>
      <w:pPr>
        <w:pStyle w:val="BodyText"/>
      </w:pPr>
    </w:p>
    <w:p>
      <w:pPr>
        <w:pStyle w:val="Heading6"/>
        <w:numPr>
          <w:ilvl w:val="0"/>
          <w:numId w:val="36"/>
        </w:numPr>
        <w:tabs>
          <w:tab w:pos="350" w:val="left" w:leader="none"/>
        </w:tabs>
        <w:spacing w:line="240" w:lineRule="auto" w:before="129" w:after="0"/>
        <w:ind w:left="102" w:right="0" w:firstLine="0"/>
        <w:jc w:val="both"/>
      </w:pPr>
      <w:r>
        <w:rPr/>
        <w:t>Delimitación de la Cuenca Hidrosocial e identificación de sus</w:t>
      </w:r>
      <w:r>
        <w:rPr>
          <w:spacing w:val="-22"/>
        </w:rPr>
        <w:t> </w:t>
      </w:r>
      <w:r>
        <w:rPr/>
        <w:t>actores</w:t>
      </w:r>
    </w:p>
    <w:p>
      <w:pPr>
        <w:pStyle w:val="BodyText"/>
        <w:spacing w:before="9"/>
        <w:rPr>
          <w:b/>
          <w:sz w:val="20"/>
        </w:rPr>
      </w:pPr>
    </w:p>
    <w:p>
      <w:pPr>
        <w:pStyle w:val="BodyText"/>
        <w:spacing w:line="360" w:lineRule="auto"/>
        <w:ind w:left="102" w:right="112"/>
        <w:jc w:val="both"/>
      </w:pPr>
      <w:r>
        <w:rPr/>
        <w:t>El recorrido de campo de la región inició con un recorrido de un transecto sur-norte; un transecto, es una técnica de observación de un punto a otro para la obtención de datos socioambientales, donde se identifican grupos humanos y ambientes.</w:t>
      </w:r>
    </w:p>
    <w:p>
      <w:pPr>
        <w:pStyle w:val="BodyText"/>
        <w:spacing w:before="9"/>
        <w:rPr>
          <w:sz w:val="17"/>
        </w:rPr>
      </w:pPr>
    </w:p>
    <w:p>
      <w:pPr>
        <w:pStyle w:val="BodyText"/>
        <w:spacing w:line="360" w:lineRule="auto"/>
        <w:ind w:left="102" w:right="112"/>
        <w:jc w:val="both"/>
      </w:pPr>
      <w:r>
        <w:rPr/>
        <w:t>Para delimitar el área de estudio, se revisaron textos de los autores Quiroz, Franz; Delgadillo, Oscar y Durán, Alfredo (2012); Cotler y Caire (2009), para definir el concepto de </w:t>
      </w:r>
      <w:r>
        <w:rPr>
          <w:i/>
        </w:rPr>
        <w:t>cuenca hidrosocial</w:t>
      </w:r>
      <w:r>
        <w:rPr/>
        <w:t>. Quiroz, Delgadillo y Durán (2012:114), definen que la cuenca hidrosocial es un concepto que espacialmente rebasa la cuenca hidrográfica (zona de producción de agua, zona de aprovechamiento, trasvase de aguas de cuencas</w:t>
      </w:r>
      <w:r>
        <w:rPr>
          <w:spacing w:val="37"/>
        </w:rPr>
        <w:t> </w:t>
      </w:r>
      <w:r>
        <w:rPr/>
        <w:t>aledañas),</w:t>
      </w:r>
    </w:p>
    <w:p>
      <w:pPr>
        <w:spacing w:after="0" w:line="360" w:lineRule="auto"/>
        <w:jc w:val="both"/>
        <w:sectPr>
          <w:pgSz w:w="12240" w:h="15840"/>
          <w:pgMar w:header="0" w:footer="1003" w:top="1360" w:bottom="1200" w:left="1600" w:right="1580"/>
        </w:sectPr>
      </w:pPr>
    </w:p>
    <w:p>
      <w:pPr>
        <w:pStyle w:val="BodyText"/>
        <w:spacing w:line="360" w:lineRule="auto" w:before="56"/>
        <w:ind w:left="102" w:right="113"/>
        <w:jc w:val="both"/>
      </w:pPr>
      <w:r>
        <w:rPr/>
        <w:t>y rebasa jurisdicciones político administrativas (departamento, provincia, municipio). Está más basado en las redes que se crean en torno al agua entre gente de las zonas altas y zonas bajas (redes hídricas) mediante procesos de desarrollo hídrico (iniciativas locales, intervenciones) con historias particulares que configuran esta cuenca hidrosocial, encontrando equilibrios temporales pero sujetos a situaciones de conflicto y resolución continuos, pudiéndose contraerse o expandirse en el tiempo. Una vez que se obtuvo la información de campo y bibliográfica, se procedió a delimitar la cuenca hidrosocial mediante el software IDRISI.</w:t>
      </w:r>
    </w:p>
    <w:p>
      <w:pPr>
        <w:pStyle w:val="BodyText"/>
        <w:spacing w:before="4"/>
        <w:rPr>
          <w:sz w:val="17"/>
        </w:rPr>
      </w:pPr>
    </w:p>
    <w:p>
      <w:pPr>
        <w:pStyle w:val="Heading6"/>
        <w:numPr>
          <w:ilvl w:val="0"/>
          <w:numId w:val="36"/>
        </w:numPr>
        <w:tabs>
          <w:tab w:pos="350" w:val="left" w:leader="none"/>
        </w:tabs>
        <w:spacing w:line="240" w:lineRule="auto" w:before="0" w:after="0"/>
        <w:ind w:left="349" w:right="0" w:hanging="247"/>
        <w:jc w:val="both"/>
      </w:pPr>
      <w:r>
        <w:rPr/>
        <w:t>Conformación-histórica de los grupos de actores en la Cuenca</w:t>
      </w:r>
      <w:r>
        <w:rPr>
          <w:spacing w:val="-23"/>
        </w:rPr>
        <w:t> </w:t>
      </w:r>
      <w:r>
        <w:rPr/>
        <w:t>Hidrosocial</w:t>
      </w:r>
    </w:p>
    <w:p>
      <w:pPr>
        <w:pStyle w:val="BodyText"/>
        <w:spacing w:before="8"/>
        <w:rPr>
          <w:b/>
          <w:sz w:val="28"/>
        </w:rPr>
      </w:pPr>
    </w:p>
    <w:p>
      <w:pPr>
        <w:pStyle w:val="BodyText"/>
        <w:spacing w:line="360" w:lineRule="auto" w:before="1"/>
        <w:ind w:left="102" w:right="113"/>
        <w:jc w:val="both"/>
      </w:pPr>
      <w:r>
        <w:rPr/>
        <w:t>Para identificar y analizar la formación y evolución histórica de los grupos de actores de la cuenca hidrosocial, se revisaron los textos: INEGI (2010); Conagua (2009); H. Ayuntamiento de Aculco (2009-2012); Gamiño (1997); Gallego, </w:t>
      </w:r>
      <w:r>
        <w:rPr>
          <w:i/>
        </w:rPr>
        <w:t>et al. </w:t>
      </w:r>
      <w:r>
        <w:rPr/>
        <w:t>(2012); Monografías Municipales   (2009);   INEGI   (2010);   Planes   de   Desarrollo   Municipal    (2013-2015);</w:t>
      </w:r>
    </w:p>
    <w:p>
      <w:pPr>
        <w:pStyle w:val="BodyText"/>
        <w:spacing w:line="360" w:lineRule="auto" w:before="3"/>
        <w:ind w:left="102" w:right="113"/>
        <w:jc w:val="both"/>
      </w:pPr>
      <w:r>
        <w:rPr/>
        <w:t>Tannenbaum (1952); Gibson (2007); Gerhard (1986); Leal (1986); Meyer (2007); Fabila y Fabila (1951); Álvarez et al. (1999); Martínez et al. (1999) para la Construcción del  paisaje hídrico y su relación con sus</w:t>
      </w:r>
      <w:r>
        <w:rPr>
          <w:spacing w:val="-8"/>
        </w:rPr>
        <w:t> </w:t>
      </w:r>
      <w:r>
        <w:rPr/>
        <w:t>actores.</w:t>
      </w:r>
    </w:p>
    <w:p>
      <w:pPr>
        <w:pStyle w:val="BodyText"/>
        <w:spacing w:before="7"/>
        <w:rPr>
          <w:sz w:val="17"/>
        </w:rPr>
      </w:pPr>
    </w:p>
    <w:p>
      <w:pPr>
        <w:pStyle w:val="Heading6"/>
        <w:numPr>
          <w:ilvl w:val="0"/>
          <w:numId w:val="36"/>
        </w:numPr>
        <w:tabs>
          <w:tab w:pos="386" w:val="left" w:leader="none"/>
        </w:tabs>
        <w:spacing w:line="360" w:lineRule="auto" w:before="0" w:after="0"/>
        <w:ind w:left="102" w:right="115" w:firstLine="0"/>
        <w:jc w:val="both"/>
      </w:pPr>
      <w:r>
        <w:rPr/>
        <w:t>Identificación de los actores a través de grupos </w:t>
      </w:r>
      <w:r>
        <w:rPr>
          <w:spacing w:val="-3"/>
        </w:rPr>
        <w:t>ya </w:t>
      </w:r>
      <w:r>
        <w:rPr/>
        <w:t>establecidos en la Cuenca Hidrosocial con sus redes y</w:t>
      </w:r>
      <w:r>
        <w:rPr>
          <w:spacing w:val="-9"/>
        </w:rPr>
        <w:t> </w:t>
      </w:r>
      <w:r>
        <w:rPr/>
        <w:t>funciones</w:t>
      </w:r>
    </w:p>
    <w:p>
      <w:pPr>
        <w:pStyle w:val="BodyText"/>
        <w:spacing w:before="9"/>
        <w:rPr>
          <w:b/>
          <w:sz w:val="17"/>
        </w:rPr>
      </w:pPr>
    </w:p>
    <w:p>
      <w:pPr>
        <w:pStyle w:val="BodyText"/>
        <w:spacing w:line="360" w:lineRule="auto"/>
        <w:ind w:left="102" w:right="114"/>
        <w:jc w:val="both"/>
      </w:pPr>
      <w:r>
        <w:rPr/>
        <w:t>Para la identificación de los principales actores de la cuenca hidrosocial de la presa Huapango y sus redes y funciones de cada grupo de actores se consultaron los autores Gerhard (1986); Monografía Municipales (2009), Bandos Municipales (2013); Planes de Desarrollo Municipales (2013-2015); Fabila y Fabila (1951); entre los principales.</w:t>
      </w:r>
    </w:p>
    <w:p>
      <w:pPr>
        <w:pStyle w:val="BodyText"/>
        <w:spacing w:before="7"/>
        <w:rPr>
          <w:sz w:val="17"/>
        </w:rPr>
      </w:pPr>
    </w:p>
    <w:p>
      <w:pPr>
        <w:pStyle w:val="BodyText"/>
        <w:spacing w:line="360" w:lineRule="auto"/>
        <w:ind w:left="102" w:right="113"/>
        <w:jc w:val="both"/>
      </w:pPr>
      <w:r>
        <w:rPr/>
        <w:t>En este apartado se optó por la estrategia metodológica de </w:t>
      </w:r>
      <w:r>
        <w:rPr>
          <w:i/>
        </w:rPr>
        <w:t>trabajar con grupos ya </w:t>
      </w:r>
      <w:r>
        <w:rPr>
          <w:i/>
        </w:rPr>
        <w:t>establecidos e identificados históricamente </w:t>
      </w:r>
      <w:r>
        <w:rPr/>
        <w:t>(Norman Uphoff, 1988,1995, 2000, Cernea, 1995 y Bonnal, 1996). Esta estrategia aplicada permitió la entrevista y el trabajo participativo de la mayoría de los actores de la cuenca hidrosocial, debido a su existencia previa y a su misma estructura histórica e incluyente (ejidos, cooperativas, asociaciones, etc).</w:t>
      </w:r>
    </w:p>
    <w:p>
      <w:pPr>
        <w:pStyle w:val="BodyText"/>
        <w:spacing w:before="4"/>
        <w:rPr>
          <w:sz w:val="17"/>
        </w:rPr>
      </w:pPr>
    </w:p>
    <w:p>
      <w:pPr>
        <w:pStyle w:val="Heading6"/>
        <w:numPr>
          <w:ilvl w:val="0"/>
          <w:numId w:val="36"/>
        </w:numPr>
        <w:tabs>
          <w:tab w:pos="690" w:val="left" w:leader="none"/>
        </w:tabs>
        <w:spacing w:line="276" w:lineRule="auto" w:before="0" w:after="0"/>
        <w:ind w:left="102" w:right="115" w:firstLine="0"/>
        <w:jc w:val="both"/>
      </w:pPr>
      <w:r>
        <w:rPr/>
        <w:t>Revisión de funciones y responsabilidades de las dependencias gubernamentales estatales y</w:t>
      </w:r>
      <w:r>
        <w:rPr>
          <w:spacing w:val="-5"/>
        </w:rPr>
        <w:t> </w:t>
      </w:r>
      <w:r>
        <w:rPr/>
        <w:t>federales</w:t>
      </w:r>
    </w:p>
    <w:p>
      <w:pPr>
        <w:spacing w:after="0" w:line="276" w:lineRule="auto"/>
        <w:jc w:val="both"/>
        <w:sectPr>
          <w:pgSz w:w="12240" w:h="15840"/>
          <w:pgMar w:header="0" w:footer="1003" w:top="1360" w:bottom="1200" w:left="1600" w:right="1580"/>
        </w:sectPr>
      </w:pPr>
    </w:p>
    <w:p>
      <w:pPr>
        <w:pStyle w:val="BodyText"/>
        <w:spacing w:line="360" w:lineRule="auto" w:before="56"/>
        <w:ind w:left="102" w:right="112"/>
        <w:jc w:val="both"/>
      </w:pPr>
      <w:r>
        <w:rPr/>
        <w:t>Se revisaron las páginas oficiales (internet) de dependencias federales y estatales, para identificar y analizar las funciones y responsabilidades respecto al caso de estudio; para construir una matriz y detectar la duplicidad de funciones y la omisión de responsabilidades que tienen con respecto a la cuenca hidrosocial.</w:t>
      </w:r>
    </w:p>
    <w:p>
      <w:pPr>
        <w:pStyle w:val="BodyText"/>
        <w:spacing w:before="7"/>
        <w:rPr>
          <w:sz w:val="17"/>
        </w:rPr>
      </w:pPr>
    </w:p>
    <w:p>
      <w:pPr>
        <w:pStyle w:val="Heading6"/>
        <w:numPr>
          <w:ilvl w:val="0"/>
          <w:numId w:val="36"/>
        </w:numPr>
        <w:tabs>
          <w:tab w:pos="517" w:val="left" w:leader="none"/>
        </w:tabs>
        <w:spacing w:line="360" w:lineRule="auto" w:before="0" w:after="0"/>
        <w:ind w:left="102" w:right="115" w:firstLine="0"/>
        <w:jc w:val="both"/>
      </w:pPr>
      <w:r>
        <w:rPr/>
        <w:t>Identificación de la problemática de la Cuenca Hidrosocial con el trabajo de campo por Consideraciones Teóricas; por Grupo de Actores y por  AEPA (Ambiental, social, económica y</w:t>
      </w:r>
      <w:r>
        <w:rPr>
          <w:spacing w:val="-15"/>
        </w:rPr>
        <w:t> </w:t>
      </w:r>
      <w:r>
        <w:rPr/>
        <w:t>política)</w:t>
      </w:r>
    </w:p>
    <w:p>
      <w:pPr>
        <w:pStyle w:val="BodyText"/>
        <w:spacing w:before="9"/>
        <w:rPr>
          <w:b/>
          <w:sz w:val="17"/>
        </w:rPr>
      </w:pPr>
    </w:p>
    <w:p>
      <w:pPr>
        <w:pStyle w:val="BodyText"/>
        <w:spacing w:line="360" w:lineRule="auto"/>
        <w:ind w:left="102" w:right="115"/>
        <w:jc w:val="both"/>
      </w:pPr>
      <w:r>
        <w:rPr/>
        <w:t>Una vez realizadas y transcritas las entrevistas se procedió a la identificación de la problemática mediante el análisis de la información por grupo de actores y por principios de gobernanza y gobernabilidad, para que a partir de allí, clasificarla por AEPA.</w:t>
      </w:r>
    </w:p>
    <w:p>
      <w:pPr>
        <w:pStyle w:val="BodyText"/>
        <w:spacing w:before="7"/>
        <w:rPr>
          <w:sz w:val="17"/>
        </w:rPr>
      </w:pPr>
    </w:p>
    <w:p>
      <w:pPr>
        <w:pStyle w:val="BodyText"/>
        <w:spacing w:line="360" w:lineRule="auto"/>
        <w:ind w:left="102" w:right="116"/>
        <w:jc w:val="both"/>
      </w:pPr>
      <w:r>
        <w:rPr/>
        <w:t>Uno de los propósitos de las AEPA, es comprender de forma global la problemática de la cuenca, identificando los principales temas que la caracterizan. De esta forma se contó con un instrumento útil que orientó y coordinó el proceso, conservando los mismos lineamientos generales de forma global en toda la cuenca, pero permitiendo a nivel local las especificaciones necesarias para abordar las particularidades de sus distintas subregiones (Díaz, </w:t>
      </w:r>
      <w:r>
        <w:rPr>
          <w:i/>
        </w:rPr>
        <w:t>et al.</w:t>
      </w:r>
      <w:r>
        <w:rPr/>
        <w:t>, 2012).</w:t>
      </w:r>
    </w:p>
    <w:p>
      <w:pPr>
        <w:pStyle w:val="BodyText"/>
        <w:spacing w:before="5"/>
        <w:rPr>
          <w:sz w:val="17"/>
        </w:rPr>
      </w:pPr>
    </w:p>
    <w:p>
      <w:pPr>
        <w:pStyle w:val="Heading6"/>
        <w:numPr>
          <w:ilvl w:val="0"/>
          <w:numId w:val="36"/>
        </w:numPr>
        <w:tabs>
          <w:tab w:pos="472" w:val="left" w:leader="none"/>
        </w:tabs>
        <w:spacing w:line="240" w:lineRule="auto" w:before="0" w:after="0"/>
        <w:ind w:left="471" w:right="0" w:hanging="369"/>
        <w:jc w:val="both"/>
      </w:pPr>
      <w:r>
        <w:rPr/>
        <w:t>Definición de los Indicadores de Presión, Estado, Impacto y Respuesta</w:t>
      </w:r>
      <w:r>
        <w:rPr>
          <w:spacing w:val="34"/>
        </w:rPr>
        <w:t> </w:t>
      </w:r>
      <w:r>
        <w:rPr/>
        <w:t>(PEIR)</w:t>
      </w:r>
    </w:p>
    <w:p>
      <w:pPr>
        <w:pStyle w:val="BodyText"/>
        <w:spacing w:before="5"/>
        <w:rPr>
          <w:b/>
          <w:sz w:val="28"/>
        </w:rPr>
      </w:pPr>
    </w:p>
    <w:p>
      <w:pPr>
        <w:pStyle w:val="BodyText"/>
        <w:spacing w:line="360" w:lineRule="auto" w:before="1"/>
        <w:ind w:left="102" w:right="112"/>
        <w:jc w:val="both"/>
      </w:pPr>
      <w:r>
        <w:rPr/>
        <w:t>Una vez identificada la problemática por grupo de actores, por principios de gobernanza y gobernabilidad, así como por AEPA, se procedió a la definición de los indicadores en el sistema PEIR (ver apartado VII) para realizar una matriz donde se cruzaron todos los indicadores de las cuatro AEPA: ambiental, social, económica y política (ver anexo 3) para la identificación de los factores críticos de éxito que sirvieron para elaborar la propuesta  de Comité Intermunicipal con su Reglamento; sin embargo, mediante este ejercicio se identificó la necesidad de conjugar las AEPA social y política en una sola AEPA </w:t>
      </w:r>
      <w:r>
        <w:rPr>
          <w:i/>
        </w:rPr>
        <w:t>sociopolítica, </w:t>
      </w:r>
      <w:r>
        <w:rPr/>
        <w:t>ya que la AEPA política dio como resultado en el sistema PEIR un peso específico poco representativo, por lo que se decidió simplificar a dichas AEPA en una  sola a través del cruce de los indicadores de las dos AEPA (social y política) mediante la pregunta: ¿Si mejora positivamente el indicador en la AEPA social, se mejora positivamente en la AEPA política? Sí=1, No=0. En esta matriz sólo cambiaron los ceros de la AEPA social en comparación con la AEPA política mediante dos conjugaciones: sí en las AEPA social y política el indicador tenía cero, el resultado fue cero porque no </w:t>
      </w:r>
      <w:r>
        <w:rPr>
          <w:spacing w:val="21"/>
        </w:rPr>
        <w:t> </w:t>
      </w:r>
      <w:r>
        <w:rPr/>
        <w:t>hubo</w:t>
      </w:r>
    </w:p>
    <w:p>
      <w:pPr>
        <w:spacing w:after="0" w:line="360" w:lineRule="auto"/>
        <w:jc w:val="both"/>
        <w:sectPr>
          <w:pgSz w:w="12240" w:h="15840"/>
          <w:pgMar w:header="0" w:footer="1003" w:top="1360" w:bottom="1200" w:left="1600" w:right="1580"/>
        </w:sectPr>
      </w:pPr>
    </w:p>
    <w:p>
      <w:pPr>
        <w:pStyle w:val="BodyText"/>
        <w:spacing w:line="360" w:lineRule="auto" w:before="56"/>
        <w:ind w:left="102" w:right="119"/>
        <w:jc w:val="both"/>
      </w:pPr>
      <w:r>
        <w:rPr/>
        <w:t>ningún impacto positivo y sí en la AEPA social el indicador tenía 0 y en la AEPA política tenía uno, el resultado fue 1 para la AEPA social porque sí hubo un impacto positivo en la relación de los indicadores de las dos AEPA. En síntesis las dos combinaciones que se dieron entre la AEPA social y política fueron: 0+0=0 y 0+1=1, dicho cruce sólo simplificó a éstas dos AEPA en el sistema PEIR (ver anexo 4). Sin embargo, aunque el cruce de indicadores sólo se dio en las AEPA social y política y no en las AEPA ambiental y económica, se tuvo que realizar una nueva matriz porque se afectó a todo el sistema por la interrelación de los indicadores, ya que el número de vínculos cambió y por ende la jerarquía y el peso específico de cada</w:t>
      </w:r>
      <w:r>
        <w:rPr>
          <w:spacing w:val="-12"/>
        </w:rPr>
        <w:t> </w:t>
      </w:r>
      <w:r>
        <w:rPr/>
        <w:t>indicador.</w:t>
      </w:r>
    </w:p>
    <w:p>
      <w:pPr>
        <w:pStyle w:val="BodyText"/>
        <w:spacing w:before="7"/>
        <w:rPr>
          <w:sz w:val="17"/>
        </w:rPr>
      </w:pPr>
    </w:p>
    <w:p>
      <w:pPr>
        <w:pStyle w:val="BodyText"/>
        <w:spacing w:line="360" w:lineRule="auto"/>
        <w:ind w:left="102" w:right="118"/>
        <w:jc w:val="both"/>
      </w:pPr>
      <w:r>
        <w:rPr/>
        <w:t>Por lo que se realizó una tercera matriz del sistema PEIR (ver anexo 5), donde se cruzaron los indicadores de las AEPA ambiental, sociopolítica y económica, con lo que se obtuvieron, finalmente, los Factores Críticos de</w:t>
      </w:r>
      <w:r>
        <w:rPr>
          <w:spacing w:val="-21"/>
        </w:rPr>
        <w:t> </w:t>
      </w:r>
      <w:r>
        <w:rPr/>
        <w:t>Éxito.</w:t>
      </w:r>
    </w:p>
    <w:p>
      <w:pPr>
        <w:pStyle w:val="BodyText"/>
        <w:spacing w:before="7"/>
        <w:rPr>
          <w:sz w:val="17"/>
        </w:rPr>
      </w:pPr>
    </w:p>
    <w:p>
      <w:pPr>
        <w:pStyle w:val="Heading6"/>
        <w:numPr>
          <w:ilvl w:val="0"/>
          <w:numId w:val="36"/>
        </w:numPr>
        <w:tabs>
          <w:tab w:pos="470" w:val="left" w:leader="none"/>
        </w:tabs>
        <w:spacing w:line="240" w:lineRule="auto" w:before="0" w:after="0"/>
        <w:ind w:left="469" w:right="0" w:hanging="367"/>
        <w:jc w:val="both"/>
      </w:pPr>
      <w:r>
        <w:rPr/>
        <w:t>Identificación de los Factores Críticos de Éxito por</w:t>
      </w:r>
      <w:r>
        <w:rPr>
          <w:spacing w:val="-12"/>
        </w:rPr>
        <w:t> </w:t>
      </w:r>
      <w:r>
        <w:rPr/>
        <w:t>AEPA</w:t>
      </w:r>
    </w:p>
    <w:p>
      <w:pPr>
        <w:pStyle w:val="BodyText"/>
        <w:spacing w:before="8"/>
        <w:rPr>
          <w:b/>
          <w:sz w:val="28"/>
        </w:rPr>
      </w:pPr>
    </w:p>
    <w:p>
      <w:pPr>
        <w:pStyle w:val="BodyText"/>
        <w:spacing w:line="360" w:lineRule="auto"/>
        <w:ind w:left="102" w:right="112"/>
        <w:jc w:val="both"/>
      </w:pPr>
      <w:r>
        <w:rPr/>
        <w:t>Los Factores Críticos de Éxito (FCE), son los indicadores de cada AEPA que tienen mayores vínculos en el sistema PEIR, mayor jerarquía y mayor peso específico, ya que mediante la suma del número de vínculos se obtiene la jerarquización y el peso  específico. Por lo que para este caso de estudio, los Factores Críticos de Éxito, se obtuvieron con base en el número de vínculos, la jerarquización y el peso específico de cada indicador en el sistema PEIR, pero además se hizo uso del Principio de Pareto, que señala, que el 20% del total de un sistema representa la parte más importante que se debe atender, ya que el resto, el 80%, representa a la parte menos importante, por lo que la atención debe centrarse en el 20%. Por tal motivo, los FCE representan el 20% más importante de cada AEPA con respecto al 100%. Para este caso de estudio, se obtuvieron 8 FCE para las AEPA ambiental y social, respectivamente, y 6 para la AEPA económica, dando un total de 22 FCE, con los cuales se pudo elaborar el mismo número de tarjetas  de valoración (scorecars) y tres mapas conceptuales (ver anexo 6a, 6b y</w:t>
      </w:r>
      <w:r>
        <w:rPr>
          <w:spacing w:val="-18"/>
        </w:rPr>
        <w:t> </w:t>
      </w:r>
      <w:r>
        <w:rPr/>
        <w:t>6c).</w:t>
      </w:r>
    </w:p>
    <w:p>
      <w:pPr>
        <w:pStyle w:val="BodyText"/>
        <w:spacing w:before="7"/>
        <w:rPr>
          <w:sz w:val="17"/>
        </w:rPr>
      </w:pPr>
    </w:p>
    <w:p>
      <w:pPr>
        <w:pStyle w:val="BodyText"/>
        <w:spacing w:line="360" w:lineRule="auto"/>
        <w:ind w:left="102" w:right="119"/>
        <w:jc w:val="both"/>
      </w:pPr>
      <w:r>
        <w:rPr/>
        <w:t>Con las tarjetas de valoración (scorecards), se obtuvo un diagnóstico general de la problemática de la Cuenca Hidrosocial Presa Huapango a través de los procesos históricos, con el cual, se pudo elaborar, de forma simplificada y satisfactoria, la propuesta de Comité Intermunicipal con su Reglamento.</w:t>
      </w:r>
    </w:p>
    <w:p>
      <w:pPr>
        <w:spacing w:after="0" w:line="360" w:lineRule="auto"/>
        <w:jc w:val="both"/>
        <w:sectPr>
          <w:pgSz w:w="12240" w:h="15840"/>
          <w:pgMar w:header="0" w:footer="1003" w:top="1360" w:bottom="1200" w:left="1600" w:right="1580"/>
        </w:sectPr>
      </w:pPr>
    </w:p>
    <w:p>
      <w:pPr>
        <w:pStyle w:val="BodyText"/>
        <w:spacing w:line="360" w:lineRule="auto" w:before="56"/>
        <w:ind w:left="102" w:right="117"/>
        <w:jc w:val="both"/>
      </w:pPr>
      <w:r>
        <w:rPr/>
        <w:t>En los tres mapas conceptuales (uno por AEPA: ambiental, sociopolítica y económica)  (ver anexo 6a, 6b y 6c), se pudieron representar los vínculos que existen entre los indicadores de cada AEPA en el sistema PEIR y destacar los indicadores que ejercen presión (los FCE) en el sistema PEIR para prestarles mayor</w:t>
      </w:r>
      <w:r>
        <w:rPr>
          <w:spacing w:val="-15"/>
        </w:rPr>
        <w:t> </w:t>
      </w:r>
      <w:r>
        <w:rPr/>
        <w:t>atención.</w:t>
      </w:r>
    </w:p>
    <w:p>
      <w:pPr>
        <w:pStyle w:val="BodyText"/>
        <w:spacing w:before="9"/>
        <w:rPr>
          <w:sz w:val="17"/>
        </w:rPr>
      </w:pPr>
    </w:p>
    <w:p>
      <w:pPr>
        <w:pStyle w:val="BodyText"/>
        <w:spacing w:line="360" w:lineRule="auto"/>
        <w:ind w:left="102" w:right="113"/>
        <w:jc w:val="both"/>
      </w:pPr>
      <w:r>
        <w:rPr/>
        <w:t>Por último, cabe destacar que el esquema de indicadores de Presión-Estado-Impacto- Respuesta (PEIR), permitió expresar los vínculos causa-efecto existentes entre los diferentes factores que intervienen en los procesos del sistema, proporcionando información útil para: i) Mejorar el conocimiento de la cuenca viéndola como un sistema; ii) Construcción de consensos en torno a objetivos y metas compartidas para intervenir en sus procesos; iii) Información para diagnosticar, evaluar y dar seguimiento a los  resultados derivados de dichas intervenciones (Díaz, </w:t>
      </w:r>
      <w:r>
        <w:rPr>
          <w:i/>
        </w:rPr>
        <w:t>et al.</w:t>
      </w:r>
      <w:r>
        <w:rPr/>
        <w:t>,</w:t>
      </w:r>
      <w:r>
        <w:rPr>
          <w:spacing w:val="-17"/>
        </w:rPr>
        <w:t> </w:t>
      </w:r>
      <w:r>
        <w:rPr/>
        <w:t>2012).</w:t>
      </w:r>
    </w:p>
    <w:p>
      <w:pPr>
        <w:pStyle w:val="BodyText"/>
        <w:spacing w:before="7"/>
        <w:rPr>
          <w:sz w:val="17"/>
        </w:rPr>
      </w:pPr>
    </w:p>
    <w:p>
      <w:pPr>
        <w:pStyle w:val="Heading6"/>
        <w:numPr>
          <w:ilvl w:val="0"/>
          <w:numId w:val="36"/>
        </w:numPr>
        <w:tabs>
          <w:tab w:pos="472" w:val="left" w:leader="none"/>
        </w:tabs>
        <w:spacing w:line="240" w:lineRule="auto" w:before="0" w:after="0"/>
        <w:ind w:left="471" w:right="0" w:hanging="369"/>
        <w:jc w:val="both"/>
      </w:pPr>
      <w:r>
        <w:rPr/>
        <w:t>Revisión del Marco Jurídico: Internacional, Nacional, Estatal y</w:t>
      </w:r>
      <w:r>
        <w:rPr>
          <w:spacing w:val="-22"/>
        </w:rPr>
        <w:t> </w:t>
      </w:r>
      <w:r>
        <w:rPr/>
        <w:t>Local</w:t>
      </w:r>
    </w:p>
    <w:p>
      <w:pPr>
        <w:pStyle w:val="BodyText"/>
        <w:spacing w:line="360" w:lineRule="auto" w:before="128"/>
        <w:ind w:left="102" w:right="113"/>
        <w:jc w:val="both"/>
      </w:pPr>
      <w:r>
        <w:rPr/>
        <w:t>La revisión del marco jurídico se realizó para justificar legalmente y políticamente la propuesta de la creación de un Comité Intermunicipal con su Reglamento en una cuenca hidrosocial, ya que el cuidado del ambiente y de los recursos naturales (agua), están plasmados en distintas leyes y acuerdos, tanto internacionales como nacionales. Sin embargo las relaciones intermunicipales están permitidas por la Constitución Política de los Estados Unidos Mexicanos (Artículo 115), </w:t>
      </w:r>
      <w:r>
        <w:rPr>
          <w:i/>
        </w:rPr>
        <w:t>pero sólo en los casos para atender asuntos </w:t>
      </w:r>
      <w:r>
        <w:rPr>
          <w:i/>
        </w:rPr>
        <w:t>relacionados a la prestación de servicios públicos</w:t>
      </w:r>
      <w:r>
        <w:rPr/>
        <w:t>, por lo que no queda claro en la Constitución de los Estados Unidos Mexicanos, sí los municipios poseen las facultades para asociarse o no entorno a asuntos de carácter ambiental. En este sentido, Carlos Francisco Quintana (2013), especialista en Derecho Municipal, señala que “la  Constitución Política de los Estados Unidos Mexicanos no deja del todo clara la cuestión de que si es admisible la asociación de municipios y sus autoridades para otros fines que no sean estrictamente la prestación de servicios públicos o el mejor ejercicio de las funciones que le</w:t>
      </w:r>
      <w:r>
        <w:rPr>
          <w:spacing w:val="-8"/>
        </w:rPr>
        <w:t> </w:t>
      </w:r>
      <w:r>
        <w:rPr/>
        <w:t>corresponden.</w:t>
      </w:r>
    </w:p>
    <w:p>
      <w:pPr>
        <w:pStyle w:val="BodyText"/>
        <w:spacing w:line="360" w:lineRule="auto" w:before="4"/>
        <w:ind w:left="102" w:right="114"/>
        <w:jc w:val="both"/>
      </w:pPr>
      <w:r>
        <w:rPr/>
        <w:t>Además, con la propuesta de creación del Comité Intermunicipal con su Reglamento, se busca articular a los actores de la Cuenca Hidrosocial para que hagan uso de sus estructuras sociopolíticas históricas para articularse en instituciones formales que garanticen sus derechos y obligaciones a través del derecho consuetudinario, es decir, mediante los usos y costumbres que les reconoce la Ley Agraria por ser actores ejidatarios, para no violentar la supremacía constitucional y no caer en controversias constitucionales que se vean reflejadas en la inconstitucionalidad de los actores.</w:t>
      </w:r>
    </w:p>
    <w:p>
      <w:pPr>
        <w:spacing w:after="0" w:line="360" w:lineRule="auto"/>
        <w:jc w:val="both"/>
        <w:sectPr>
          <w:pgSz w:w="12240" w:h="15840"/>
          <w:pgMar w:header="0" w:footer="1003" w:top="1360" w:bottom="1200" w:left="1600" w:right="1580"/>
        </w:sectPr>
      </w:pPr>
    </w:p>
    <w:p>
      <w:pPr>
        <w:pStyle w:val="Heading6"/>
        <w:numPr>
          <w:ilvl w:val="0"/>
          <w:numId w:val="36"/>
        </w:numPr>
        <w:tabs>
          <w:tab w:pos="472" w:val="left" w:leader="none"/>
        </w:tabs>
        <w:spacing w:line="240" w:lineRule="auto" w:before="53" w:after="0"/>
        <w:ind w:left="471" w:right="0" w:hanging="369"/>
        <w:jc w:val="both"/>
      </w:pPr>
      <w:r>
        <w:rPr/>
        <w:t>Discusión</w:t>
      </w:r>
    </w:p>
    <w:p>
      <w:pPr>
        <w:pStyle w:val="BodyText"/>
        <w:spacing w:before="8"/>
        <w:rPr>
          <w:b/>
          <w:sz w:val="28"/>
        </w:rPr>
      </w:pPr>
    </w:p>
    <w:p>
      <w:pPr>
        <w:pStyle w:val="BodyText"/>
        <w:spacing w:line="360" w:lineRule="auto"/>
        <w:ind w:left="102" w:right="119"/>
        <w:jc w:val="both"/>
      </w:pPr>
      <w:r>
        <w:rPr/>
        <w:t>La discusión e interpretación de los datos para hacerlos información útil, gira en torno de la propuesta de creación del Comité Intermunicipal y su reglamento para cuidar, defender y administrar los recursos naturales de la Cuenca Hidrosocial Presa</w:t>
      </w:r>
      <w:r>
        <w:rPr>
          <w:spacing w:val="-24"/>
        </w:rPr>
        <w:t> </w:t>
      </w:r>
      <w:r>
        <w:rPr/>
        <w:t>Huapango.</w:t>
      </w:r>
    </w:p>
    <w:p>
      <w:pPr>
        <w:pStyle w:val="BodyText"/>
      </w:pPr>
    </w:p>
    <w:p>
      <w:pPr>
        <w:pStyle w:val="Heading6"/>
        <w:numPr>
          <w:ilvl w:val="0"/>
          <w:numId w:val="36"/>
        </w:numPr>
        <w:tabs>
          <w:tab w:pos="472" w:val="left" w:leader="none"/>
        </w:tabs>
        <w:spacing w:line="240" w:lineRule="auto" w:before="129" w:after="0"/>
        <w:ind w:left="471" w:right="0" w:hanging="369"/>
        <w:jc w:val="both"/>
      </w:pPr>
      <w:r>
        <w:rPr/>
        <w:t>Propuesta de creación de un Comité Intermunicipal con su</w:t>
      </w:r>
      <w:r>
        <w:rPr>
          <w:spacing w:val="-15"/>
        </w:rPr>
        <w:t> </w:t>
      </w:r>
      <w:r>
        <w:rPr/>
        <w:t>Reglamento</w:t>
      </w:r>
    </w:p>
    <w:p>
      <w:pPr>
        <w:pStyle w:val="BodyText"/>
        <w:spacing w:line="360" w:lineRule="auto" w:before="128"/>
        <w:ind w:left="102" w:right="114"/>
        <w:jc w:val="both"/>
      </w:pPr>
      <w:r>
        <w:rPr/>
        <w:t>La propuesta del Comité Intermunicipal con su Reglamento, son el resultado de todo el trabajo anterior, con el cual se detectaron los argumentos, principios de gobernanza y gobernabilidad en torno a la GIRH que se consideraron en su elaboración.</w:t>
      </w:r>
    </w:p>
    <w:p>
      <w:pPr>
        <w:pStyle w:val="BodyText"/>
        <w:spacing w:before="7"/>
        <w:rPr>
          <w:sz w:val="17"/>
        </w:rPr>
      </w:pPr>
    </w:p>
    <w:p>
      <w:pPr>
        <w:pStyle w:val="BodyText"/>
        <w:spacing w:line="360" w:lineRule="auto"/>
        <w:ind w:left="102" w:right="111"/>
        <w:jc w:val="both"/>
      </w:pPr>
      <w:r>
        <w:rPr/>
        <w:t>Además, cabe resaltar que el trabajo de campo dio como resultado la propuesta del Comité Intermunicipal con su Reglamento, ya que los actores históricos de la CHPH, señalaron que desean articularse para conformar un Comité Intermunicipal con su reglamento para cuidar los recursos de dicha cuenca, ya que argumentan que las autoridades competentes no hacen nada al respecto y el deterioro de la cuenca es cada día mayor, por lo que, señalan que son ellos los que deben resolver su problemática a nivel regional. En este sentido, cabe resaltar la importancia del trabajo de campo, porque es éste el que sugiere qué hacer, cómo hacerlo y por qué.</w:t>
      </w:r>
    </w:p>
    <w:p>
      <w:pPr>
        <w:pStyle w:val="BodyText"/>
        <w:spacing w:before="7"/>
        <w:rPr>
          <w:sz w:val="17"/>
        </w:rPr>
      </w:pPr>
    </w:p>
    <w:p>
      <w:pPr>
        <w:pStyle w:val="Heading6"/>
        <w:numPr>
          <w:ilvl w:val="0"/>
          <w:numId w:val="36"/>
        </w:numPr>
        <w:tabs>
          <w:tab w:pos="472" w:val="left" w:leader="none"/>
        </w:tabs>
        <w:spacing w:line="240" w:lineRule="auto" w:before="0" w:after="0"/>
        <w:ind w:left="471" w:right="0" w:hanging="369"/>
        <w:jc w:val="both"/>
      </w:pPr>
      <w:r>
        <w:rPr/>
        <w:t>Consideraciones</w:t>
      </w:r>
      <w:r>
        <w:rPr>
          <w:spacing w:val="-7"/>
        </w:rPr>
        <w:t> </w:t>
      </w:r>
      <w:r>
        <w:rPr/>
        <w:t>Generales</w:t>
      </w:r>
    </w:p>
    <w:p>
      <w:pPr>
        <w:pStyle w:val="BodyText"/>
        <w:spacing w:before="5"/>
        <w:rPr>
          <w:b/>
          <w:sz w:val="28"/>
        </w:rPr>
      </w:pPr>
    </w:p>
    <w:p>
      <w:pPr>
        <w:pStyle w:val="BodyText"/>
        <w:spacing w:line="360" w:lineRule="auto" w:before="1"/>
        <w:ind w:left="102" w:right="117"/>
        <w:jc w:val="both"/>
      </w:pPr>
      <w:r>
        <w:rPr/>
        <w:t>Es la identificación de los elementos fundamentales que orientaron el desarrollo de la investigación.</w:t>
      </w:r>
    </w:p>
    <w:p>
      <w:pPr>
        <w:pStyle w:val="BodyText"/>
        <w:spacing w:before="7"/>
        <w:rPr>
          <w:sz w:val="17"/>
        </w:rPr>
      </w:pPr>
    </w:p>
    <w:p>
      <w:pPr>
        <w:pStyle w:val="Heading6"/>
        <w:numPr>
          <w:ilvl w:val="0"/>
          <w:numId w:val="36"/>
        </w:numPr>
        <w:tabs>
          <w:tab w:pos="472" w:val="left" w:leader="none"/>
        </w:tabs>
        <w:spacing w:line="240" w:lineRule="auto" w:before="0" w:after="0"/>
        <w:ind w:left="471" w:right="0" w:hanging="369"/>
        <w:jc w:val="both"/>
      </w:pPr>
      <w:r>
        <w:rPr/>
        <w:t>Hallazgos y</w:t>
      </w:r>
      <w:r>
        <w:rPr>
          <w:spacing w:val="-8"/>
        </w:rPr>
        <w:t> </w:t>
      </w:r>
      <w:r>
        <w:rPr/>
        <w:t>Contribuciones</w:t>
      </w:r>
    </w:p>
    <w:p>
      <w:pPr>
        <w:pStyle w:val="BodyText"/>
        <w:spacing w:before="5"/>
        <w:rPr>
          <w:b/>
          <w:sz w:val="28"/>
        </w:rPr>
      </w:pPr>
    </w:p>
    <w:p>
      <w:pPr>
        <w:pStyle w:val="BodyText"/>
        <w:spacing w:line="360" w:lineRule="auto" w:before="1"/>
        <w:ind w:left="102" w:right="121"/>
        <w:jc w:val="both"/>
      </w:pPr>
      <w:r>
        <w:rPr/>
        <w:t>Son los aportes y avances de la ciencia que permiten el desarrollo de otras investigaciones.</w:t>
      </w:r>
    </w:p>
    <w:p>
      <w:pPr>
        <w:pStyle w:val="BodyText"/>
        <w:spacing w:before="10"/>
        <w:rPr>
          <w:sz w:val="17"/>
        </w:rPr>
      </w:pPr>
    </w:p>
    <w:p>
      <w:pPr>
        <w:pStyle w:val="BodyText"/>
        <w:spacing w:line="360" w:lineRule="auto"/>
        <w:ind w:left="102" w:right="114"/>
        <w:jc w:val="both"/>
      </w:pPr>
      <w:r>
        <w:rPr/>
        <w:t>La anterior metodología general fue la que permitió el desarrollo de la metodología particular de este estudio de caso: la Cuenca Hidrosocial Presa Huapango, la cual se describe en los esquemas 3.3a. y 3.3b., sustentada a su vez, por la metodología general del trabajo de campo e identificación histórica de actores que se describe en los esquemas 3.4a. y</w:t>
      </w:r>
      <w:r>
        <w:rPr>
          <w:spacing w:val="-4"/>
        </w:rPr>
        <w:t> </w:t>
      </w:r>
      <w:r>
        <w:rPr/>
        <w:t>3.4b.</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1"/>
      </w:pPr>
    </w:p>
    <w:p>
      <w:pPr>
        <w:pStyle w:val="Heading6"/>
        <w:spacing w:before="73"/>
        <w:ind w:left="3980"/>
      </w:pPr>
      <w:r>
        <w:rPr/>
        <w:t>Esquema 3.3a. Metodología del Estudio de Caso (CHPH)</w:t>
      </w:r>
    </w:p>
    <w:p>
      <w:pPr>
        <w:pStyle w:val="BodyText"/>
        <w:spacing w:before="11"/>
        <w:rPr>
          <w:b/>
          <w:sz w:val="15"/>
        </w:rPr>
      </w:pPr>
    </w:p>
    <w:p>
      <w:pPr>
        <w:spacing w:after="0"/>
        <w:rPr>
          <w:sz w:val="15"/>
        </w:rPr>
        <w:sectPr>
          <w:footerReference w:type="default" r:id="rId53"/>
          <w:pgSz w:w="15840" w:h="12240" w:orient="landscape"/>
          <w:pgMar w:footer="0" w:header="0" w:top="1140" w:bottom="280" w:left="1000" w:right="500"/>
        </w:sectPr>
      </w:pPr>
    </w:p>
    <w:p>
      <w:pPr>
        <w:spacing w:line="276" w:lineRule="auto" w:before="74"/>
        <w:ind w:left="423" w:right="0" w:firstLine="0"/>
        <w:jc w:val="center"/>
        <w:rPr>
          <w:b/>
          <w:sz w:val="20"/>
        </w:rPr>
      </w:pPr>
      <w:r>
        <w:rPr>
          <w:b/>
          <w:sz w:val="20"/>
        </w:rPr>
        <w:t>Identificación de</w:t>
      </w:r>
      <w:r>
        <w:rPr>
          <w:b/>
          <w:spacing w:val="-8"/>
          <w:sz w:val="20"/>
        </w:rPr>
        <w:t> </w:t>
      </w:r>
      <w:r>
        <w:rPr>
          <w:b/>
          <w:sz w:val="20"/>
        </w:rPr>
        <w:t>la CHPH y su Problemática</w:t>
      </w:r>
    </w:p>
    <w:p>
      <w:pPr>
        <w:pStyle w:val="BodyText"/>
        <w:spacing w:before="3"/>
        <w:rPr>
          <w:b/>
          <w:sz w:val="17"/>
        </w:rPr>
      </w:pPr>
      <w:r>
        <w:rPr/>
        <w:br w:type="column"/>
      </w:r>
      <w:r>
        <w:rPr>
          <w:b/>
          <w:sz w:val="17"/>
        </w:rPr>
      </w:r>
    </w:p>
    <w:p>
      <w:pPr>
        <w:spacing w:line="278" w:lineRule="auto" w:before="0"/>
        <w:ind w:left="816" w:right="0" w:hanging="394"/>
        <w:jc w:val="left"/>
        <w:rPr>
          <w:b/>
          <w:sz w:val="20"/>
        </w:rPr>
      </w:pPr>
      <w:r>
        <w:rPr>
          <w:b/>
          <w:w w:val="95"/>
          <w:sz w:val="20"/>
        </w:rPr>
        <w:t>Consideraciones </w:t>
      </w:r>
      <w:r>
        <w:rPr>
          <w:b/>
          <w:sz w:val="20"/>
        </w:rPr>
        <w:t>Teóricas</w:t>
      </w:r>
    </w:p>
    <w:p>
      <w:pPr>
        <w:pStyle w:val="BodyText"/>
        <w:spacing w:before="10"/>
        <w:rPr>
          <w:b/>
          <w:sz w:val="17"/>
        </w:rPr>
      </w:pPr>
      <w:r>
        <w:rPr/>
        <w:br w:type="column"/>
      </w:r>
      <w:r>
        <w:rPr>
          <w:b/>
          <w:sz w:val="17"/>
        </w:rPr>
      </w:r>
    </w:p>
    <w:p>
      <w:pPr>
        <w:spacing w:before="1"/>
        <w:ind w:left="423" w:right="2697" w:hanging="1"/>
        <w:jc w:val="center"/>
        <w:rPr>
          <w:sz w:val="20"/>
        </w:rPr>
      </w:pPr>
      <w:r>
        <w:rPr>
          <w:sz w:val="20"/>
        </w:rPr>
        <w:t>Principios Teóricos GIRH: Gobernanza,</w:t>
      </w:r>
      <w:r>
        <w:rPr>
          <w:spacing w:val="-9"/>
          <w:sz w:val="20"/>
        </w:rPr>
        <w:t> </w:t>
      </w:r>
      <w:r>
        <w:rPr>
          <w:sz w:val="20"/>
        </w:rPr>
        <w:t>gobernabilidad y Política</w:t>
      </w:r>
      <w:r>
        <w:rPr>
          <w:spacing w:val="-7"/>
          <w:sz w:val="20"/>
        </w:rPr>
        <w:t> </w:t>
      </w:r>
      <w:r>
        <w:rPr>
          <w:sz w:val="20"/>
        </w:rPr>
        <w:t>Pública</w:t>
      </w:r>
    </w:p>
    <w:p>
      <w:pPr>
        <w:spacing w:after="0"/>
        <w:jc w:val="center"/>
        <w:rPr>
          <w:sz w:val="20"/>
        </w:rPr>
        <w:sectPr>
          <w:type w:val="continuous"/>
          <w:pgSz w:w="15840" w:h="12240" w:orient="landscape"/>
          <w:pgMar w:top="1360" w:bottom="1200" w:left="1000" w:right="500"/>
          <w:cols w:num="3" w:equalWidth="0">
            <w:col w:w="2222" w:space="3170"/>
            <w:col w:w="2033" w:space="1272"/>
            <w:col w:w="5643"/>
          </w:cols>
        </w:sectPr>
      </w:pPr>
    </w:p>
    <w:p>
      <w:pPr>
        <w:pStyle w:val="BodyText"/>
        <w:rPr>
          <w:sz w:val="20"/>
        </w:rPr>
      </w:pPr>
    </w:p>
    <w:p>
      <w:pPr>
        <w:pStyle w:val="BodyText"/>
        <w:spacing w:before="6"/>
        <w:rPr>
          <w:sz w:val="24"/>
        </w:rPr>
      </w:pPr>
    </w:p>
    <w:p>
      <w:pPr>
        <w:spacing w:after="0"/>
        <w:rPr>
          <w:sz w:val="24"/>
        </w:rPr>
        <w:sectPr>
          <w:type w:val="continuous"/>
          <w:pgSz w:w="15840" w:h="12240" w:orient="landscape"/>
          <w:pgMar w:top="1360" w:bottom="1200" w:left="1000" w:right="500"/>
        </w:sectPr>
      </w:pPr>
    </w:p>
    <w:p>
      <w:pPr>
        <w:pStyle w:val="BodyText"/>
        <w:rPr>
          <w:sz w:val="20"/>
        </w:rPr>
      </w:pPr>
    </w:p>
    <w:p>
      <w:pPr>
        <w:pStyle w:val="BodyText"/>
        <w:spacing w:before="1"/>
        <w:rPr>
          <w:sz w:val="16"/>
        </w:rPr>
      </w:pPr>
    </w:p>
    <w:p>
      <w:pPr>
        <w:spacing w:before="0"/>
        <w:ind w:left="2084" w:right="0" w:firstLine="0"/>
        <w:jc w:val="both"/>
        <w:rPr>
          <w:sz w:val="20"/>
        </w:rPr>
      </w:pPr>
      <w:r>
        <w:rPr/>
        <w:pict>
          <v:group style="position:absolute;margin-left:198pt;margin-top:-70.588127pt;width:79.1pt;height:57.55pt;mso-position-horizontal-relative:page;mso-position-vertical-relative:paragraph;z-index:3856" coordorigin="3960,-1412" coordsize="1582,1151">
            <v:shape style="position:absolute;left:4619;top:-793;width:158;height:532" coordorigin="4619,-793" coordsize="158,532" path="m4628,-404l4624,-402,4621,-400,4619,-395,4622,-392,4698,-261,4707,-276,4690,-276,4690,-303,4634,-399,4632,-403,4628,-404xm4690,-303l4690,-276,4705,-276,4705,-279,4692,-279,4698,-290,4690,-303xm4768,-404l4764,-403,4762,-399,4706,-303,4705,-276,4707,-276,4774,-392,4777,-395,4775,-400,4772,-402,4768,-404xm4698,-290l4692,-279,4704,-279,4698,-290xm4705,-303l4698,-290,4704,-279,4705,-279,4705,-303xm4705,-793l4690,-793,4691,-303,4698,-290,4705,-303,4705,-793xe" filled="true" fillcolor="#000000" stroked="false">
              <v:path arrowok="t"/>
              <v:fill type="solid"/>
            </v:shape>
            <v:shape style="position:absolute;left:3960;top:-1412;width:1582;height:718" type="#_x0000_t75" stroked="false">
              <v:imagedata r:id="rId54" o:title=""/>
            </v:shape>
            <v:shape style="position:absolute;left:4044;top:-1241;width:1416;height:375" type="#_x0000_t75" stroked="false">
              <v:imagedata r:id="rId55" o:title=""/>
            </v:shape>
            <v:shape style="position:absolute;left:4034;top:-1369;width:1439;height:575" type="#_x0000_t75" stroked="false">
              <v:imagedata r:id="rId56" o:title=""/>
            </v:shape>
            <v:shape style="position:absolute;left:4034;top:-1369;width:1439;height:575" coordorigin="4034,-1369" coordsize="1439,575" path="m4266,-1369l5242,-1369,5303,-1358,5359,-1329,5406,-1284,5442,-1226,5465,-1158,5473,-1081,5465,-1005,5442,-936,5406,-878,5359,-833,5303,-804,5242,-794,4266,-794,4204,-804,4149,-833,4102,-878,4066,-936,4043,-1005,4034,-1081,4043,-1158,4066,-1226,4102,-1284,4149,-1329,4204,-1358,4266,-1369xe" filled="false" stroked="true" strokeweight=".75pt" strokecolor="#000000">
              <v:path arrowok="t"/>
            </v:shape>
            <v:shape style="position:absolute;left:4111;top:-1205;width:1289;height:247" type="#_x0000_t75" stroked="false">
              <v:imagedata r:id="rId57" o:title=""/>
            </v:shape>
            <v:shape style="position:absolute;left:3960;top:-1412;width:1582;height:1151" type="#_x0000_t202" filled="false" stroked="false">
              <v:textbox inset="0,0,0,0">
                <w:txbxContent>
                  <w:p>
                    <w:pPr>
                      <w:spacing w:line="240" w:lineRule="auto" w:before="6"/>
                      <w:rPr>
                        <w:sz w:val="17"/>
                      </w:rPr>
                    </w:pPr>
                  </w:p>
                  <w:p>
                    <w:pPr>
                      <w:spacing w:before="0"/>
                      <w:ind w:left="506" w:right="0" w:firstLine="0"/>
                      <w:jc w:val="left"/>
                      <w:rPr>
                        <w:b/>
                        <w:sz w:val="22"/>
                      </w:rPr>
                    </w:pPr>
                    <w:r>
                      <w:rPr>
                        <w:b/>
                        <w:sz w:val="22"/>
                      </w:rPr>
                      <w:t>Inicio</w:t>
                    </w:r>
                  </w:p>
                </w:txbxContent>
              </v:textbox>
              <w10:wrap type="none"/>
            </v:shape>
            <w10:wrap type="none"/>
          </v:group>
        </w:pict>
      </w:r>
      <w:r>
        <w:rPr>
          <w:sz w:val="20"/>
        </w:rPr>
        <w:t>Se revisaron los antecedentes y se planteó la problemática de la cuenca hidrosocial de la presa Huapango: social, económica, ambiental y política.</w:t>
      </w:r>
    </w:p>
    <w:p>
      <w:pPr>
        <w:spacing w:before="74"/>
        <w:ind w:left="2986" w:right="0" w:firstLine="0"/>
        <w:jc w:val="left"/>
        <w:rPr>
          <w:sz w:val="20"/>
        </w:rPr>
      </w:pPr>
      <w:r>
        <w:rPr/>
        <w:br w:type="column"/>
      </w:r>
      <w:r>
        <w:rPr>
          <w:sz w:val="20"/>
        </w:rPr>
        <w:t>Poder</w:t>
      </w:r>
    </w:p>
    <w:p>
      <w:pPr>
        <w:pStyle w:val="BodyText"/>
        <w:rPr>
          <w:sz w:val="20"/>
        </w:rPr>
      </w:pPr>
    </w:p>
    <w:p>
      <w:pPr>
        <w:pStyle w:val="BodyText"/>
        <w:rPr>
          <w:sz w:val="20"/>
        </w:rPr>
      </w:pPr>
    </w:p>
    <w:p>
      <w:pPr>
        <w:pStyle w:val="BodyText"/>
        <w:rPr>
          <w:sz w:val="20"/>
        </w:rPr>
      </w:pPr>
    </w:p>
    <w:p>
      <w:pPr>
        <w:pStyle w:val="BodyText"/>
        <w:spacing w:before="10"/>
        <w:rPr>
          <w:sz w:val="16"/>
        </w:rPr>
      </w:pPr>
    </w:p>
    <w:p>
      <w:pPr>
        <w:spacing w:line="276" w:lineRule="auto" w:before="0"/>
        <w:ind w:left="2084" w:right="2736" w:firstLine="0"/>
        <w:jc w:val="center"/>
        <w:rPr>
          <w:sz w:val="20"/>
        </w:rPr>
      </w:pPr>
      <w:r>
        <w:rPr/>
        <w:pict>
          <v:shape style="position:absolute;margin-left:422.879272pt;margin-top:-4.877753pt;width:23.65pt;height:125.95pt;mso-position-horizontal-relative:page;mso-position-vertical-relative:paragraph;z-index:3904" type="#_x0000_t202" filled="false" stroked="false">
            <v:textbox inset="0,0,0,0" style="layout-flow:vertical;mso-layout-flow-alt:bottom-to-top">
              <w:txbxContent>
                <w:p>
                  <w:pPr>
                    <w:spacing w:line="242" w:lineRule="auto" w:before="0"/>
                    <w:ind w:left="20" w:right="-657" w:firstLine="456"/>
                    <w:jc w:val="left"/>
                    <w:rPr>
                      <w:sz w:val="20"/>
                    </w:rPr>
                  </w:pPr>
                  <w:r>
                    <w:rPr>
                      <w:w w:val="99"/>
                      <w:sz w:val="20"/>
                    </w:rPr>
                    <w:t>M</w:t>
                  </w:r>
                  <w:r>
                    <w:rPr>
                      <w:spacing w:val="-1"/>
                      <w:w w:val="99"/>
                      <w:sz w:val="20"/>
                    </w:rPr>
                    <w:t>e</w:t>
                  </w:r>
                  <w:r>
                    <w:rPr>
                      <w:spacing w:val="1"/>
                      <w:w w:val="99"/>
                      <w:sz w:val="20"/>
                    </w:rPr>
                    <w:t>d</w:t>
                  </w:r>
                  <w:r>
                    <w:rPr>
                      <w:spacing w:val="-1"/>
                      <w:w w:val="99"/>
                      <w:sz w:val="20"/>
                    </w:rPr>
                    <w:t>i</w:t>
                  </w:r>
                  <w:r>
                    <w:rPr>
                      <w:w w:val="99"/>
                      <w:sz w:val="20"/>
                    </w:rPr>
                    <w:t>a</w:t>
                  </w:r>
                  <w:r>
                    <w:rPr>
                      <w:spacing w:val="-1"/>
                      <w:w w:val="99"/>
                      <w:sz w:val="20"/>
                    </w:rPr>
                    <w:t>n</w:t>
                  </w:r>
                  <w:r>
                    <w:rPr>
                      <w:spacing w:val="2"/>
                      <w:w w:val="99"/>
                      <w:sz w:val="20"/>
                    </w:rPr>
                    <w:t>t</w:t>
                  </w:r>
                  <w:r>
                    <w:rPr>
                      <w:w w:val="99"/>
                      <w:sz w:val="20"/>
                    </w:rPr>
                    <w:t>e</w:t>
                  </w:r>
                  <w:r>
                    <w:rPr>
                      <w:spacing w:val="-1"/>
                      <w:sz w:val="20"/>
                    </w:rPr>
                    <w:t> </w:t>
                  </w:r>
                  <w:r>
                    <w:rPr>
                      <w:w w:val="99"/>
                      <w:sz w:val="20"/>
                    </w:rPr>
                    <w:t>r</w:t>
                  </w:r>
                  <w:r>
                    <w:rPr>
                      <w:spacing w:val="2"/>
                      <w:w w:val="99"/>
                      <w:sz w:val="20"/>
                    </w:rPr>
                    <w:t>e</w:t>
                  </w:r>
                  <w:r>
                    <w:rPr>
                      <w:spacing w:val="-2"/>
                      <w:w w:val="99"/>
                      <w:sz w:val="20"/>
                    </w:rPr>
                    <w:t>v</w:t>
                  </w:r>
                  <w:r>
                    <w:rPr>
                      <w:spacing w:val="-1"/>
                      <w:w w:val="99"/>
                      <w:sz w:val="20"/>
                    </w:rPr>
                    <w:t>i</w:t>
                  </w:r>
                  <w:r>
                    <w:rPr>
                      <w:spacing w:val="1"/>
                      <w:w w:val="99"/>
                      <w:sz w:val="20"/>
                    </w:rPr>
                    <w:t>s</w:t>
                  </w:r>
                  <w:r>
                    <w:rPr>
                      <w:spacing w:val="1"/>
                      <w:w w:val="99"/>
                      <w:sz w:val="20"/>
                    </w:rPr>
                    <w:t>i</w:t>
                  </w:r>
                  <w:r>
                    <w:rPr>
                      <w:w w:val="99"/>
                      <w:sz w:val="20"/>
                    </w:rPr>
                    <w:t>ón </w:t>
                  </w:r>
                  <w:r>
                    <w:rPr>
                      <w:w w:val="99"/>
                      <w:sz w:val="20"/>
                    </w:rPr>
                    <w:t>b</w:t>
                  </w:r>
                  <w:r>
                    <w:rPr>
                      <w:spacing w:val="-2"/>
                      <w:w w:val="99"/>
                      <w:sz w:val="20"/>
                    </w:rPr>
                    <w:t>i</w:t>
                  </w:r>
                  <w:r>
                    <w:rPr>
                      <w:spacing w:val="1"/>
                      <w:w w:val="99"/>
                      <w:sz w:val="20"/>
                    </w:rPr>
                    <w:t>b</w:t>
                  </w:r>
                  <w:r>
                    <w:rPr>
                      <w:spacing w:val="-1"/>
                      <w:w w:val="99"/>
                      <w:sz w:val="20"/>
                    </w:rPr>
                    <w:t>l</w:t>
                  </w:r>
                  <w:r>
                    <w:rPr>
                      <w:spacing w:val="1"/>
                      <w:w w:val="99"/>
                      <w:sz w:val="20"/>
                    </w:rPr>
                    <w:t>i</w:t>
                  </w:r>
                  <w:r>
                    <w:rPr>
                      <w:w w:val="99"/>
                      <w:sz w:val="20"/>
                    </w:rPr>
                    <w:t>o</w:t>
                  </w:r>
                  <w:r>
                    <w:rPr>
                      <w:spacing w:val="-1"/>
                      <w:w w:val="99"/>
                      <w:sz w:val="20"/>
                    </w:rPr>
                    <w:t>g</w:t>
                  </w:r>
                  <w:r>
                    <w:rPr>
                      <w:w w:val="99"/>
                      <w:sz w:val="20"/>
                    </w:rPr>
                    <w:t>rá</w:t>
                  </w:r>
                  <w:r>
                    <w:rPr>
                      <w:spacing w:val="1"/>
                      <w:w w:val="99"/>
                      <w:sz w:val="20"/>
                    </w:rPr>
                    <w:t>f</w:t>
                  </w:r>
                  <w:r>
                    <w:rPr>
                      <w:spacing w:val="-1"/>
                      <w:w w:val="99"/>
                      <w:sz w:val="20"/>
                    </w:rPr>
                    <w:t>i</w:t>
                  </w:r>
                  <w:r>
                    <w:rPr>
                      <w:spacing w:val="1"/>
                      <w:w w:val="99"/>
                      <w:sz w:val="20"/>
                    </w:rPr>
                    <w:t>c</w:t>
                  </w:r>
                  <w:r>
                    <w:rPr>
                      <w:w w:val="99"/>
                      <w:sz w:val="20"/>
                    </w:rPr>
                    <w:t>a</w:t>
                  </w:r>
                  <w:r>
                    <w:rPr>
                      <w:spacing w:val="-1"/>
                      <w:sz w:val="20"/>
                    </w:rPr>
                    <w:t> </w:t>
                  </w:r>
                  <w:r>
                    <w:rPr>
                      <w:spacing w:val="1"/>
                      <w:w w:val="99"/>
                      <w:sz w:val="20"/>
                    </w:rPr>
                    <w:t>s</w:t>
                  </w:r>
                  <w:r>
                    <w:rPr>
                      <w:w w:val="99"/>
                      <w:sz w:val="20"/>
                    </w:rPr>
                    <w:t>e</w:t>
                  </w:r>
                  <w:r>
                    <w:rPr>
                      <w:spacing w:val="-1"/>
                      <w:sz w:val="20"/>
                    </w:rPr>
                    <w:t> </w:t>
                  </w:r>
                  <w:r>
                    <w:rPr>
                      <w:spacing w:val="1"/>
                      <w:w w:val="99"/>
                      <w:sz w:val="20"/>
                    </w:rPr>
                    <w:t>I</w:t>
                  </w:r>
                  <w:r>
                    <w:rPr>
                      <w:w w:val="99"/>
                      <w:sz w:val="20"/>
                    </w:rPr>
                    <w:t>d</w:t>
                  </w:r>
                  <w:r>
                    <w:rPr>
                      <w:spacing w:val="-1"/>
                      <w:w w:val="99"/>
                      <w:sz w:val="20"/>
                    </w:rPr>
                    <w:t>e</w:t>
                  </w:r>
                  <w:r>
                    <w:rPr>
                      <w:w w:val="99"/>
                      <w:sz w:val="20"/>
                    </w:rPr>
                    <w:t>n</w:t>
                  </w:r>
                  <w:r>
                    <w:rPr>
                      <w:spacing w:val="1"/>
                      <w:w w:val="99"/>
                      <w:sz w:val="20"/>
                    </w:rPr>
                    <w:t>t</w:t>
                  </w:r>
                  <w:r>
                    <w:rPr>
                      <w:spacing w:val="-1"/>
                      <w:w w:val="99"/>
                      <w:sz w:val="20"/>
                    </w:rPr>
                    <w:t>i</w:t>
                  </w:r>
                  <w:r>
                    <w:rPr>
                      <w:spacing w:val="2"/>
                      <w:w w:val="99"/>
                      <w:sz w:val="20"/>
                    </w:rPr>
                    <w:t>f</w:t>
                  </w:r>
                  <w:r>
                    <w:rPr>
                      <w:spacing w:val="-1"/>
                      <w:w w:val="99"/>
                      <w:sz w:val="20"/>
                    </w:rPr>
                    <w:t>i</w:t>
                  </w:r>
                  <w:r>
                    <w:rPr>
                      <w:spacing w:val="1"/>
                      <w:w w:val="99"/>
                      <w:sz w:val="20"/>
                    </w:rPr>
                    <w:t>c</w:t>
                  </w:r>
                  <w:r>
                    <w:rPr>
                      <w:w w:val="99"/>
                      <w:sz w:val="20"/>
                    </w:rPr>
                    <w:t>ar</w:t>
                  </w:r>
                  <w:r>
                    <w:rPr>
                      <w:spacing w:val="2"/>
                      <w:w w:val="99"/>
                      <w:sz w:val="20"/>
                    </w:rPr>
                    <w:t>o</w:t>
                  </w:r>
                  <w:r>
                    <w:rPr>
                      <w:w w:val="99"/>
                      <w:sz w:val="20"/>
                    </w:rPr>
                    <w:t>n</w:t>
                  </w:r>
                </w:p>
              </w:txbxContent>
            </v:textbox>
            <w10:wrap type="none"/>
          </v:shape>
        </w:pict>
      </w:r>
      <w:r>
        <w:rPr>
          <w:sz w:val="20"/>
        </w:rPr>
        <w:t>Democracia y voluntariedad de la sociedad</w:t>
      </w:r>
    </w:p>
    <w:p>
      <w:pPr>
        <w:spacing w:after="0" w:line="276" w:lineRule="auto"/>
        <w:jc w:val="center"/>
        <w:rPr>
          <w:sz w:val="20"/>
        </w:rPr>
        <w:sectPr>
          <w:type w:val="continuous"/>
          <w:pgSz w:w="15840" w:h="12240" w:orient="landscape"/>
          <w:pgMar w:top="1360" w:bottom="1200" w:left="1000" w:right="500"/>
          <w:cols w:num="2" w:equalWidth="0">
            <w:col w:w="5472" w:space="1568"/>
            <w:col w:w="7300"/>
          </w:cols>
        </w:sectPr>
      </w:pPr>
    </w:p>
    <w:p>
      <w:pPr>
        <w:pStyle w:val="BodyText"/>
        <w:spacing w:before="10"/>
        <w:rPr>
          <w:sz w:val="4"/>
        </w:rPr>
      </w:pPr>
    </w:p>
    <w:p>
      <w:pPr>
        <w:pStyle w:val="BodyText"/>
        <w:ind w:left="3176"/>
        <w:rPr>
          <w:sz w:val="20"/>
        </w:rPr>
      </w:pPr>
      <w:r>
        <w:rPr>
          <w:sz w:val="20"/>
        </w:rPr>
        <w:pict>
          <v:shape style="width:47.75pt;height:20.05pt;mso-position-horizontal-relative:char;mso-position-vertical-relative:line" type="#_x0000_t202" filled="false" stroked="true" strokeweight=".5pt" strokecolor="#000000">
            <w10:anchorlock/>
            <v:textbox inset="0,0,0,0">
              <w:txbxContent>
                <w:p>
                  <w:pPr>
                    <w:spacing w:before="73"/>
                    <w:ind w:left="261" w:right="0" w:firstLine="0"/>
                    <w:jc w:val="left"/>
                    <w:rPr>
                      <w:sz w:val="20"/>
                    </w:rPr>
                  </w:pPr>
                  <w:r>
                    <w:rPr>
                      <w:sz w:val="20"/>
                    </w:rPr>
                    <w:t>Para</w:t>
                  </w:r>
                </w:p>
              </w:txbxContent>
            </v:textbox>
          </v:shape>
        </w:pict>
      </w:r>
      <w:r>
        <w:rPr>
          <w:sz w:val="20"/>
        </w:rPr>
      </w:r>
    </w:p>
    <w:p>
      <w:pPr>
        <w:pStyle w:val="BodyText"/>
        <w:spacing w:before="10"/>
        <w:rPr>
          <w:sz w:val="17"/>
        </w:rPr>
      </w:pPr>
    </w:p>
    <w:p>
      <w:pPr>
        <w:spacing w:after="0"/>
        <w:rPr>
          <w:sz w:val="17"/>
        </w:rPr>
        <w:sectPr>
          <w:type w:val="continuous"/>
          <w:pgSz w:w="15840" w:h="12240" w:orient="landscape"/>
          <w:pgMar w:top="1360" w:bottom="1200" w:left="1000" w:right="500"/>
        </w:sectPr>
      </w:pPr>
    </w:p>
    <w:p>
      <w:pPr>
        <w:spacing w:line="240" w:lineRule="auto" w:before="74"/>
        <w:ind w:left="2218" w:right="0" w:firstLine="0"/>
        <w:jc w:val="both"/>
        <w:rPr>
          <w:sz w:val="20"/>
        </w:rPr>
      </w:pPr>
      <w:r>
        <w:rPr>
          <w:sz w:val="20"/>
        </w:rPr>
        <w:t>Identificar y delimitar con IDRISI la cuenca hidrosocial de la presa Huapango (Acambay, Aculco, Jilotepec, Polotitlán y Timilpan) como caso de estudio.</w:t>
      </w:r>
    </w:p>
    <w:p>
      <w:pPr>
        <w:spacing w:before="91"/>
        <w:ind w:left="2198" w:right="3505" w:firstLine="0"/>
        <w:jc w:val="center"/>
        <w:rPr>
          <w:sz w:val="20"/>
        </w:rPr>
      </w:pPr>
      <w:r>
        <w:rPr/>
        <w:br w:type="column"/>
      </w:r>
      <w:r>
        <w:rPr>
          <w:sz w:val="20"/>
        </w:rPr>
        <w:t>Autogestión</w:t>
      </w:r>
    </w:p>
    <w:p>
      <w:pPr>
        <w:pStyle w:val="BodyText"/>
        <w:rPr>
          <w:sz w:val="20"/>
        </w:rPr>
      </w:pPr>
    </w:p>
    <w:p>
      <w:pPr>
        <w:pStyle w:val="BodyText"/>
        <w:rPr>
          <w:sz w:val="20"/>
        </w:rPr>
      </w:pPr>
    </w:p>
    <w:p>
      <w:pPr>
        <w:pStyle w:val="BodyText"/>
        <w:rPr>
          <w:sz w:val="20"/>
        </w:rPr>
      </w:pPr>
    </w:p>
    <w:p>
      <w:pPr>
        <w:spacing w:before="175"/>
        <w:ind w:left="2198" w:right="3488" w:firstLine="0"/>
        <w:jc w:val="center"/>
        <w:rPr>
          <w:sz w:val="20"/>
        </w:rPr>
      </w:pPr>
      <w:r>
        <w:rPr/>
        <w:pict>
          <v:shape style="position:absolute;margin-left:665.229248pt;margin-top:-2.089567pt;width:23.5pt;height:129.15pt;mso-position-horizontal-relative:page;mso-position-vertical-relative:paragraph;z-index:3928" type="#_x0000_t202" filled="false" stroked="false">
            <v:textbox inset="0,0,0,0" style="layout-flow:vertical;mso-layout-flow-alt:bottom-to-top">
              <w:txbxContent>
                <w:p>
                  <w:pPr>
                    <w:spacing w:line="240" w:lineRule="auto" w:before="0"/>
                    <w:ind w:left="163" w:right="-1401" w:hanging="144"/>
                    <w:jc w:val="left"/>
                    <w:rPr>
                      <w:b/>
                      <w:sz w:val="20"/>
                    </w:rPr>
                  </w:pPr>
                  <w:r>
                    <w:rPr>
                      <w:b/>
                      <w:w w:val="99"/>
                      <w:sz w:val="20"/>
                    </w:rPr>
                    <w:t>C</w:t>
                  </w:r>
                  <w:r>
                    <w:rPr>
                      <w:b/>
                      <w:spacing w:val="-2"/>
                      <w:w w:val="99"/>
                      <w:sz w:val="20"/>
                    </w:rPr>
                    <w:t>O</w:t>
                  </w:r>
                  <w:r>
                    <w:rPr>
                      <w:b/>
                      <w:spacing w:val="4"/>
                      <w:w w:val="99"/>
                      <w:sz w:val="20"/>
                    </w:rPr>
                    <w:t>M</w:t>
                  </w:r>
                  <w:r>
                    <w:rPr>
                      <w:b/>
                      <w:spacing w:val="-3"/>
                      <w:w w:val="99"/>
                      <w:sz w:val="20"/>
                    </w:rPr>
                    <w:t>I</w:t>
                  </w:r>
                  <w:r>
                    <w:rPr>
                      <w:b/>
                      <w:spacing w:val="3"/>
                      <w:w w:val="99"/>
                      <w:sz w:val="20"/>
                    </w:rPr>
                    <w:t>T</w:t>
                  </w:r>
                  <w:r>
                    <w:rPr>
                      <w:b/>
                      <w:w w:val="99"/>
                      <w:sz w:val="20"/>
                    </w:rPr>
                    <w:t>É</w:t>
                  </w:r>
                  <w:r>
                    <w:rPr>
                      <w:b/>
                      <w:spacing w:val="-1"/>
                      <w:sz w:val="20"/>
                    </w:rPr>
                    <w:t> </w:t>
                  </w:r>
                  <w:r>
                    <w:rPr>
                      <w:b/>
                      <w:w w:val="99"/>
                      <w:sz w:val="20"/>
                    </w:rPr>
                    <w:t>IN</w:t>
                  </w:r>
                  <w:r>
                    <w:rPr>
                      <w:b/>
                      <w:spacing w:val="2"/>
                      <w:w w:val="99"/>
                      <w:sz w:val="20"/>
                    </w:rPr>
                    <w:t>T</w:t>
                  </w:r>
                  <w:r>
                    <w:rPr>
                      <w:b/>
                      <w:spacing w:val="-1"/>
                      <w:w w:val="99"/>
                      <w:sz w:val="20"/>
                    </w:rPr>
                    <w:t>E</w:t>
                  </w:r>
                  <w:r>
                    <w:rPr>
                      <w:b/>
                      <w:w w:val="99"/>
                      <w:sz w:val="20"/>
                    </w:rPr>
                    <w:t>R</w:t>
                  </w:r>
                  <w:r>
                    <w:rPr>
                      <w:b/>
                      <w:spacing w:val="4"/>
                      <w:w w:val="99"/>
                      <w:sz w:val="20"/>
                    </w:rPr>
                    <w:t>M</w:t>
                  </w:r>
                  <w:r>
                    <w:rPr>
                      <w:b/>
                      <w:w w:val="99"/>
                      <w:sz w:val="20"/>
                    </w:rPr>
                    <w:t>UNICI</w:t>
                  </w:r>
                  <w:r>
                    <w:rPr>
                      <w:b/>
                      <w:spacing w:val="1"/>
                      <w:w w:val="99"/>
                      <w:sz w:val="20"/>
                    </w:rPr>
                    <w:t>P</w:t>
                  </w:r>
                  <w:r>
                    <w:rPr>
                      <w:b/>
                      <w:spacing w:val="-3"/>
                      <w:w w:val="99"/>
                      <w:sz w:val="20"/>
                    </w:rPr>
                    <w:t>A</w:t>
                  </w:r>
                  <w:r>
                    <w:rPr>
                      <w:b/>
                      <w:w w:val="99"/>
                      <w:sz w:val="20"/>
                    </w:rPr>
                    <w:t>L </w:t>
                  </w:r>
                  <w:r>
                    <w:rPr>
                      <w:b/>
                      <w:w w:val="99"/>
                      <w:sz w:val="20"/>
                    </w:rPr>
                    <w:t>C</w:t>
                  </w:r>
                  <w:r>
                    <w:rPr>
                      <w:b/>
                      <w:spacing w:val="1"/>
                      <w:w w:val="99"/>
                      <w:sz w:val="20"/>
                    </w:rPr>
                    <w:t>O</w:t>
                  </w:r>
                  <w:r>
                    <w:rPr>
                      <w:b/>
                      <w:w w:val="99"/>
                      <w:sz w:val="20"/>
                    </w:rPr>
                    <w:t>N</w:t>
                  </w:r>
                  <w:r>
                    <w:rPr>
                      <w:b/>
                      <w:spacing w:val="-1"/>
                      <w:sz w:val="20"/>
                    </w:rPr>
                    <w:t> </w:t>
                  </w:r>
                  <w:r>
                    <w:rPr>
                      <w:b/>
                      <w:spacing w:val="-1"/>
                      <w:w w:val="99"/>
                      <w:sz w:val="20"/>
                    </w:rPr>
                    <w:t>S</w:t>
                  </w:r>
                  <w:r>
                    <w:rPr>
                      <w:b/>
                      <w:w w:val="99"/>
                      <w:sz w:val="20"/>
                    </w:rPr>
                    <w:t>U</w:t>
                  </w:r>
                  <w:r>
                    <w:rPr>
                      <w:b/>
                      <w:spacing w:val="-1"/>
                      <w:sz w:val="20"/>
                    </w:rPr>
                    <w:t> </w:t>
                  </w:r>
                  <w:r>
                    <w:rPr>
                      <w:b/>
                      <w:spacing w:val="2"/>
                      <w:w w:val="99"/>
                      <w:sz w:val="20"/>
                    </w:rPr>
                    <w:t>R</w:t>
                  </w:r>
                  <w:r>
                    <w:rPr>
                      <w:b/>
                      <w:spacing w:val="-1"/>
                      <w:w w:val="99"/>
                      <w:sz w:val="20"/>
                    </w:rPr>
                    <w:t>E</w:t>
                  </w:r>
                  <w:r>
                    <w:rPr>
                      <w:b/>
                      <w:w w:val="99"/>
                      <w:sz w:val="20"/>
                    </w:rPr>
                    <w:t>G</w:t>
                  </w:r>
                  <w:r>
                    <w:rPr>
                      <w:b/>
                      <w:spacing w:val="5"/>
                      <w:w w:val="99"/>
                      <w:sz w:val="20"/>
                    </w:rPr>
                    <w:t>L</w:t>
                  </w:r>
                  <w:r>
                    <w:rPr>
                      <w:b/>
                      <w:spacing w:val="-7"/>
                      <w:w w:val="99"/>
                      <w:sz w:val="20"/>
                    </w:rPr>
                    <w:t>A</w:t>
                  </w:r>
                  <w:r>
                    <w:rPr>
                      <w:b/>
                      <w:spacing w:val="4"/>
                      <w:w w:val="99"/>
                      <w:sz w:val="20"/>
                    </w:rPr>
                    <w:t>M</w:t>
                  </w:r>
                  <w:r>
                    <w:rPr>
                      <w:b/>
                      <w:spacing w:val="-1"/>
                      <w:w w:val="99"/>
                      <w:sz w:val="20"/>
                    </w:rPr>
                    <w:t>E</w:t>
                  </w:r>
                  <w:r>
                    <w:rPr>
                      <w:b/>
                      <w:w w:val="99"/>
                      <w:sz w:val="20"/>
                    </w:rPr>
                    <w:t>N</w:t>
                  </w:r>
                  <w:r>
                    <w:rPr>
                      <w:b/>
                      <w:spacing w:val="3"/>
                      <w:w w:val="99"/>
                      <w:sz w:val="20"/>
                    </w:rPr>
                    <w:t>T</w:t>
                  </w:r>
                  <w:r>
                    <w:rPr>
                      <w:b/>
                      <w:w w:val="99"/>
                      <w:sz w:val="20"/>
                    </w:rPr>
                    <w:t>O</w:t>
                  </w:r>
                </w:p>
              </w:txbxContent>
            </v:textbox>
            <w10:wrap type="none"/>
          </v:shape>
        </w:pict>
      </w:r>
      <w:r>
        <w:rPr/>
        <w:pict>
          <v:shape style="position:absolute;margin-left:718.729248pt;margin-top:-29.122206pt;width:12pt;height:93.65pt;mso-position-horizontal-relative:page;mso-position-vertical-relative:paragraph;z-index:3952" type="#_x0000_t202" filled="false" stroked="false">
            <v:textbox inset="0,0,0,0" style="layout-flow:vertical;mso-layout-flow-alt:bottom-to-top">
              <w:txbxContent>
                <w:p>
                  <w:pPr>
                    <w:spacing w:line="224" w:lineRule="exact" w:before="0"/>
                    <w:ind w:left="20" w:right="-189" w:firstLine="0"/>
                    <w:jc w:val="left"/>
                    <w:rPr>
                      <w:sz w:val="20"/>
                    </w:rPr>
                  </w:pPr>
                  <w:r>
                    <w:rPr>
                      <w:w w:val="99"/>
                      <w:sz w:val="20"/>
                    </w:rPr>
                    <w:t>Lo</w:t>
                  </w:r>
                  <w:r>
                    <w:rPr>
                      <w:spacing w:val="-1"/>
                      <w:sz w:val="20"/>
                    </w:rPr>
                    <w:t> </w:t>
                  </w:r>
                  <w:r>
                    <w:rPr>
                      <w:spacing w:val="1"/>
                      <w:w w:val="99"/>
                      <w:sz w:val="20"/>
                    </w:rPr>
                    <w:t>q</w:t>
                  </w:r>
                  <w:r>
                    <w:rPr>
                      <w:w w:val="99"/>
                      <w:sz w:val="20"/>
                    </w:rPr>
                    <w:t>ue</w:t>
                  </w:r>
                  <w:r>
                    <w:rPr>
                      <w:spacing w:val="-1"/>
                      <w:sz w:val="20"/>
                    </w:rPr>
                    <w:t> </w:t>
                  </w:r>
                  <w:r>
                    <w:rPr>
                      <w:spacing w:val="1"/>
                      <w:w w:val="99"/>
                      <w:sz w:val="20"/>
                    </w:rPr>
                    <w:t>n</w:t>
                  </w:r>
                  <w:r>
                    <w:rPr>
                      <w:w w:val="99"/>
                      <w:sz w:val="20"/>
                    </w:rPr>
                    <w:t>os</w:t>
                  </w:r>
                  <w:r>
                    <w:rPr>
                      <w:sz w:val="20"/>
                    </w:rPr>
                    <w:t> </w:t>
                  </w:r>
                  <w:r>
                    <w:rPr>
                      <w:spacing w:val="1"/>
                      <w:w w:val="99"/>
                      <w:sz w:val="20"/>
                    </w:rPr>
                    <w:t>l</w:t>
                  </w:r>
                  <w:r>
                    <w:rPr>
                      <w:spacing w:val="-1"/>
                      <w:w w:val="99"/>
                      <w:sz w:val="20"/>
                    </w:rPr>
                    <w:t>l</w:t>
                  </w:r>
                  <w:r>
                    <w:rPr>
                      <w:spacing w:val="1"/>
                      <w:w w:val="99"/>
                      <w:sz w:val="20"/>
                    </w:rPr>
                    <w:t>e</w:t>
                  </w:r>
                  <w:r>
                    <w:rPr>
                      <w:spacing w:val="-2"/>
                      <w:w w:val="99"/>
                      <w:sz w:val="20"/>
                    </w:rPr>
                    <w:t>v</w:t>
                  </w:r>
                  <w:r>
                    <w:rPr>
                      <w:w w:val="99"/>
                      <w:sz w:val="20"/>
                    </w:rPr>
                    <w:t>ó</w:t>
                  </w:r>
                  <w:r>
                    <w:rPr>
                      <w:spacing w:val="-1"/>
                      <w:sz w:val="20"/>
                    </w:rPr>
                    <w:t> </w:t>
                  </w:r>
                  <w:r>
                    <w:rPr>
                      <w:w w:val="99"/>
                      <w:sz w:val="20"/>
                    </w:rPr>
                    <w:t>a</w:t>
                  </w:r>
                  <w:r>
                    <w:rPr>
                      <w:spacing w:val="1"/>
                      <w:sz w:val="20"/>
                    </w:rPr>
                    <w:t> </w:t>
                  </w:r>
                  <w:r>
                    <w:rPr>
                      <w:spacing w:val="1"/>
                      <w:w w:val="99"/>
                      <w:sz w:val="20"/>
                    </w:rPr>
                    <w:t>l</w:t>
                  </w:r>
                  <w:r>
                    <w:rPr>
                      <w:w w:val="99"/>
                      <w:sz w:val="20"/>
                    </w:rPr>
                    <w:t>a</w:t>
                  </w:r>
                </w:p>
              </w:txbxContent>
            </v:textbox>
            <w10:wrap type="none"/>
          </v:shape>
        </w:pict>
      </w:r>
      <w:r>
        <w:rPr>
          <w:sz w:val="20"/>
        </w:rPr>
        <w:t>Identidad</w:t>
      </w:r>
    </w:p>
    <w:p>
      <w:pPr>
        <w:spacing w:after="0"/>
        <w:jc w:val="center"/>
        <w:rPr>
          <w:sz w:val="20"/>
        </w:rPr>
        <w:sectPr>
          <w:type w:val="continuous"/>
          <w:pgSz w:w="15840" w:h="12240" w:orient="landscape"/>
          <w:pgMar w:top="1360" w:bottom="1200" w:left="1000" w:right="500"/>
          <w:cols w:num="2" w:equalWidth="0">
            <w:col w:w="5606" w:space="1934"/>
            <w:col w:w="6800"/>
          </w:cols>
        </w:sectPr>
      </w:pPr>
    </w:p>
    <w:p>
      <w:pPr>
        <w:pStyle w:val="BodyText"/>
        <w:spacing w:before="4"/>
        <w:rPr>
          <w:sz w:val="5"/>
        </w:rPr>
      </w:pPr>
    </w:p>
    <w:p>
      <w:pPr>
        <w:pStyle w:val="BodyText"/>
        <w:ind w:left="2968"/>
        <w:rPr>
          <w:sz w:val="20"/>
        </w:rPr>
      </w:pPr>
      <w:r>
        <w:rPr>
          <w:sz w:val="20"/>
        </w:rPr>
        <w:pict>
          <v:shape style="width:99.65pt;height:20.25pt;mso-position-horizontal-relative:char;mso-position-vertical-relative:line" type="#_x0000_t202" filled="false" stroked="true" strokeweight=".5pt" strokecolor="#000000">
            <w10:anchorlock/>
            <v:textbox inset="0,0,0,0">
              <w:txbxContent>
                <w:p>
                  <w:pPr>
                    <w:spacing w:before="72"/>
                    <w:ind w:left="308" w:right="0" w:firstLine="0"/>
                    <w:jc w:val="left"/>
                    <w:rPr>
                      <w:sz w:val="20"/>
                    </w:rPr>
                  </w:pPr>
                  <w:r>
                    <w:rPr>
                      <w:sz w:val="20"/>
                    </w:rPr>
                    <w:t>Y preguntarnos</w:t>
                  </w:r>
                </w:p>
              </w:txbxContent>
            </v:textbox>
          </v:shape>
        </w:pict>
      </w:r>
      <w:r>
        <w:rPr>
          <w:sz w:val="20"/>
        </w:rPr>
      </w:r>
    </w:p>
    <w:p>
      <w:pPr>
        <w:pStyle w:val="BodyText"/>
        <w:spacing w:before="3"/>
        <w:rPr>
          <w:sz w:val="12"/>
        </w:rPr>
      </w:pPr>
    </w:p>
    <w:p>
      <w:pPr>
        <w:spacing w:after="0"/>
        <w:rPr>
          <w:sz w:val="12"/>
        </w:rPr>
        <w:sectPr>
          <w:type w:val="continuous"/>
          <w:pgSz w:w="15840" w:h="12240" w:orient="landscape"/>
          <w:pgMar w:top="1360" w:bottom="1200" w:left="1000" w:right="500"/>
        </w:sectPr>
      </w:pPr>
    </w:p>
    <w:p>
      <w:pPr>
        <w:pStyle w:val="BodyText"/>
        <w:spacing w:before="73"/>
        <w:ind w:left="2410"/>
        <w:jc w:val="both"/>
      </w:pPr>
      <w:r>
        <w:rPr/>
        <w:t>¿Cuáles son los elementos  de un cuerpo de agua compartido que debemos identificar a través de la GIRH para proponer un Comité Intermunicipal con su Reglamento?</w:t>
      </w:r>
    </w:p>
    <w:p>
      <w:pPr>
        <w:pStyle w:val="BodyText"/>
        <w:spacing w:before="5"/>
        <w:rPr>
          <w:sz w:val="19"/>
        </w:rPr>
      </w:pPr>
      <w:r>
        <w:rPr/>
        <w:br w:type="column"/>
      </w:r>
      <w:r>
        <w:rPr>
          <w:sz w:val="19"/>
        </w:rPr>
      </w:r>
    </w:p>
    <w:p>
      <w:pPr>
        <w:spacing w:before="0"/>
        <w:ind w:left="2391" w:right="3499" w:firstLine="0"/>
        <w:jc w:val="center"/>
        <w:rPr>
          <w:sz w:val="20"/>
        </w:rPr>
      </w:pPr>
      <w:r>
        <w:rPr/>
        <w:pict>
          <v:shape style="position:absolute;margin-left:341.850006pt;margin-top:15.319878pt;width:76.95pt;height:20.25pt;mso-position-horizontal-relative:page;mso-position-vertical-relative:paragraph;z-index:3880" type="#_x0000_t202" filled="false" stroked="true" strokeweight=".5pt" strokecolor="#000000">
            <v:textbox inset="0,0,0,0">
              <w:txbxContent>
                <w:p>
                  <w:pPr>
                    <w:spacing w:before="72"/>
                    <w:ind w:left="308" w:right="0" w:firstLine="0"/>
                    <w:jc w:val="left"/>
                    <w:rPr>
                      <w:sz w:val="20"/>
                    </w:rPr>
                  </w:pPr>
                  <w:r>
                    <w:rPr>
                      <w:sz w:val="20"/>
                    </w:rPr>
                    <w:t>Por lo que</w:t>
                  </w:r>
                </w:p>
              </w:txbxContent>
            </v:textbox>
            <w10:wrap type="none"/>
          </v:shape>
        </w:pict>
      </w:r>
      <w:r>
        <w:rPr>
          <w:sz w:val="20"/>
        </w:rPr>
        <w:t>Cooperación</w:t>
      </w:r>
    </w:p>
    <w:p>
      <w:pPr>
        <w:pStyle w:val="BodyText"/>
        <w:rPr>
          <w:sz w:val="20"/>
        </w:rPr>
      </w:pPr>
    </w:p>
    <w:p>
      <w:pPr>
        <w:pStyle w:val="BodyText"/>
        <w:rPr>
          <w:sz w:val="20"/>
        </w:rPr>
      </w:pPr>
    </w:p>
    <w:p>
      <w:pPr>
        <w:pStyle w:val="BodyText"/>
        <w:spacing w:before="5"/>
        <w:rPr>
          <w:sz w:val="26"/>
        </w:rPr>
      </w:pPr>
    </w:p>
    <w:p>
      <w:pPr>
        <w:spacing w:before="0"/>
        <w:ind w:left="2391" w:right="3419" w:firstLine="0"/>
        <w:jc w:val="center"/>
        <w:rPr>
          <w:sz w:val="20"/>
        </w:rPr>
      </w:pPr>
      <w:r>
        <w:rPr>
          <w:sz w:val="20"/>
        </w:rPr>
        <w:t>Cultura</w:t>
      </w:r>
    </w:p>
    <w:p>
      <w:pPr>
        <w:spacing w:after="0"/>
        <w:jc w:val="center"/>
        <w:rPr>
          <w:sz w:val="20"/>
        </w:rPr>
        <w:sectPr>
          <w:type w:val="continuous"/>
          <w:pgSz w:w="15840" w:h="12240" w:orient="landscape"/>
          <w:pgMar w:top="1360" w:bottom="1200" w:left="1000" w:right="500"/>
          <w:cols w:num="2" w:equalWidth="0">
            <w:col w:w="5373" w:space="1902"/>
            <w:col w:w="7065"/>
          </w:cols>
        </w:sectPr>
      </w:pPr>
    </w:p>
    <w:p>
      <w:pPr>
        <w:pStyle w:val="BodyText"/>
        <w:spacing w:before="10"/>
      </w:pPr>
      <w:r>
        <w:rPr/>
        <w:pict>
          <v:group style="position:absolute;margin-left:55.025002pt;margin-top:103.25pt;width:706.6pt;height:446.8pt;mso-position-horizontal-relative:page;mso-position-vertical-relative:page;z-index:-3339616" coordorigin="1101,2065" coordsize="14132,8936">
            <v:rect style="position:absolute;left:9600;top:2075;width:3955;height:8916" filled="false" stroked="true" strokeweight="1pt" strokecolor="#000000"/>
            <v:shape style="position:absolute;left:2997;top:5890;width:3833;height:1453" coordorigin="2997,5890" coordsize="3833,1453" path="m2997,6132l3009,6056,3044,5989,3096,5937,3163,5902,3239,5890,6588,5890,6664,5902,6731,5937,6783,5989,6818,6056,6830,6132,6830,7101,6818,7177,6783,7244,6731,7296,6664,7331,6588,7343,3239,7343,3163,7331,3096,7296,3044,7244,3009,7177,2997,7101,2997,6132xe" filled="false" stroked="true" strokeweight=".75pt" strokecolor="#000000">
              <v:path arrowok="t"/>
            </v:shape>
            <v:shape style="position:absolute;left:4619;top:5268;width:287;height:2762" coordorigin="4619,5268" coordsize="287,2762" path="m4777,5768l4775,5764,4772,5762,4768,5760,4764,5761,4762,5764,4706,5860,4705,5888,4705,5884,4705,5861,4705,5268,4690,5268,4691,5861,4698,5873,4690,5860,4634,5764,4632,5761,4628,5760,4624,5762,4621,5764,4619,5768,4622,5772,4698,5903,4707,5888,4774,5772,4777,5768m4906,7894l4905,7889,4901,7887,4897,7885,4893,7886,4837,7987,4825,7397,4810,7397,4822,7987,4764,7892,4762,7889,4757,7888,4754,7890,4750,7892,4749,7897,4830,8030,4838,8015,4906,7894e" filled="true" fillcolor="#000000" stroked="false">
              <v:path arrowok="t"/>
              <v:fill type="solid"/>
            </v:shape>
            <v:shape style="position:absolute;left:3250;top:8011;width:3277;height:2005" type="#_x0000_t75" stroked="false">
              <v:imagedata r:id="rId58" o:title=""/>
            </v:shape>
            <v:shape style="position:absolute;left:6513;top:3097;width:3082;height:5655" coordorigin="6513,3097" coordsize="3082,5655" path="m8766,8737l6513,8737,6513,8752,8778,8752,8781,8749,8781,8744,8766,8744,8766,8737xm9552,3168l8770,3168,8766,3171,8766,8744,8774,8737,8781,8737,8781,3183,8774,3183,8781,3175,9565,3175,9552,3168xm8781,8737l8774,8737,8766,8744,8781,8744,8781,8737xm9565,3175l9456,3239,9453,3241,9452,3246,9454,3249,9456,3253,9460,3254,9464,3252,9582,3183,9580,3183,9580,3182,9576,3182,9565,3175xm8781,3175l8774,3183,8781,3183,8781,3175xm9565,3175l8781,3175,8781,3183,9552,3183,9565,3175,9565,3175xm9582,3168l9580,3168,9580,3183,9582,3183,9595,3175,9582,3168xm9576,3169l9565,3175,9576,3182,9576,3169xm9580,3169l9576,3169,9576,3182,9580,3182,9580,3169xm9460,3097l9456,3098,9454,3102,9452,3105,9453,3110,9456,3112,9565,3175,9576,3169,9580,3169,9580,3168,9582,3168,9464,3099,9460,3097xe" filled="true" fillcolor="#000000" stroked="false">
              <v:path arrowok="t"/>
              <v:fill type="solid"/>
            </v:shape>
            <v:shape style="position:absolute;left:1108;top:2079;width:2427;height:1080" coordorigin="1108,2079" coordsize="2427,1080" path="m3355,2079l1288,2079,1218,2093,1161,2132,1122,2189,1108,2259,1108,2979,1122,3049,1161,3106,1218,3145,1288,3159,3355,3159,3425,3145,3482,3106,3521,3049,3535,2979,3535,2259,3521,2189,3482,2132,3425,2093,3355,2079xe" filled="true" fillcolor="#a6a6a6" stroked="false">
              <v:path arrowok="t"/>
              <v:fill type="solid"/>
            </v:shape>
            <v:shape style="position:absolute;left:1108;top:2079;width:2427;height:1080" coordorigin="1108,2079" coordsize="2427,1080" path="m1108,2259l1122,2189,1161,2132,1218,2093,1288,2079,3355,2079,3425,2093,3482,2132,3521,2189,3535,2259,3535,2979,3521,3049,3482,3106,3425,3145,3355,3159,1288,3159,1218,3145,1161,3106,1122,3049,1108,2979,1108,2259xe" filled="false" stroked="true" strokeweight=".75pt" strokecolor="#000000">
              <v:path arrowok="t"/>
            </v:shape>
            <v:shape style="position:absolute;left:6446;top:2174;width:2335;height:958" type="#_x0000_t75" stroked="false">
              <v:imagedata r:id="rId59" o:title=""/>
            </v:shape>
            <v:shape style="position:absolute;left:6502;top:2299;width:2225;height:706" type="#_x0000_t75" stroked="false">
              <v:imagedata r:id="rId60" o:title=""/>
            </v:shape>
            <v:shape style="position:absolute;left:6521;top:2218;width:2193;height:816" coordorigin="6521,2218" coordsize="2193,816" path="m8578,2218l6657,2218,6604,2228,6561,2257,6531,2301,6521,2354,6521,2898,6531,2951,6561,2994,6604,3023,6657,3034,8578,3034,8631,3023,8674,2994,8703,2951,8714,2898,8714,2354,8703,2301,8674,2257,8631,2228,8578,2218xe" filled="true" fillcolor="#a6a6a6" stroked="false">
              <v:path arrowok="t"/>
              <v:fill type="solid"/>
            </v:shape>
            <v:shape style="position:absolute;left:6521;top:2218;width:2193;height:816" coordorigin="6521,2218" coordsize="2193,816" path="m6521,2354l6531,2301,6561,2257,6604,2228,6657,2218,8578,2218,8631,2228,8674,2257,8703,2301,8714,2354,8714,2898,8703,2951,8674,2994,8631,3023,8578,3034,6657,3034,6604,3023,6561,2994,6531,2951,6521,2898,6521,2354xe" filled="false" stroked="true" strokeweight=".75pt" strokecolor="#000000">
              <v:path arrowok="t"/>
            </v:shape>
            <v:shape style="position:absolute;left:6569;top:2335;width:2098;height:578" type="#_x0000_t75" stroked="false">
              <v:imagedata r:id="rId61" o:title=""/>
            </v:shape>
            <v:shape style="position:absolute;left:9822;top:2213;width:3113;height:3216" coordorigin="9822,2213" coordsize="3113,3216" path="m9822,2378l9835,2313,9870,2261,9922,2226,9986,2213,12770,2213,12835,2226,12887,2261,12922,2313,12935,2378,12935,3036,12922,3100,12887,3152,12835,3187,12770,3200,9986,3200,9922,3187,9870,3152,9835,3100,9822,3036,9822,2378xm9865,4745l9876,4692,9905,4648,9948,4619,10002,4608,12725,4608,12779,4619,12822,4648,12851,4692,12862,4745,12862,5292,12851,5345,12822,5388,12779,5417,12725,5428,10002,5428,9948,5417,9905,5388,9876,5345,9865,5292,9865,4745xe" filled="false" stroked="true" strokeweight="1pt" strokecolor="#000000">
              <v:path arrowok="t"/>
            </v:shape>
            <v:shape style="position:absolute;left:11247;top:4120;width:158;height:468" coordorigin="11247,4120" coordsize="158,468" path="m11256,4445l11252,4447,11249,4449,11247,4454,11250,4457,11326,4588,11335,4573,11318,4573,11318,4546,11262,4450,11260,4446,11256,4445xm11318,4546l11318,4573,11333,4573,11333,4570,11320,4570,11326,4559,11318,4546xm11396,4445l11392,4446,11390,4450,11333,4546,11333,4573,11335,4573,11402,4457,11405,4454,11403,4449,11400,4447,11396,4445xm11326,4559l11320,4570,11332,4570,11326,4559xm11333,4546l11326,4559,11332,4570,11333,4570,11333,4546xm11333,4120l11318,4120,11318,4546,11326,4559,11333,4546,11333,4120xe" filled="true" fillcolor="#000000" stroked="false">
              <v:path arrowok="t"/>
              <v:fill type="solid"/>
            </v:shape>
            <v:shape style="position:absolute;left:9862;top:5944;width:2846;height:622" coordorigin="9862,5944" coordsize="2846,622" path="m9862,6048l9870,6007,9892,5974,9925,5952,9966,5944,12604,5944,12645,5952,12678,5974,12700,6007,12708,6048,12708,6462,12700,6503,12678,6536,12645,6558,12604,6566,9966,6566,9925,6558,9892,6536,9870,6503,9862,6462,9862,6048xe" filled="false" stroked="true" strokeweight="1.0pt" strokecolor="#000000">
              <v:path arrowok="t"/>
            </v:shape>
            <v:shape style="position:absolute;left:11271;top:5473;width:158;height:468" coordorigin="11271,5473" coordsize="158,468" path="m11280,5798l11276,5800,11273,5802,11271,5806,11274,5810,11350,5941,11359,5926,11342,5926,11342,5898,11286,5802,11284,5799,11280,5798xm11342,5898l11342,5926,11357,5926,11357,5922,11344,5922,11350,5911,11342,5898xm11420,5798l11416,5799,11414,5802,11358,5898,11357,5926,11359,5926,11426,5810,11429,5806,11427,5802,11424,5800,11420,5798xm11350,5911l11344,5922,11356,5922,11350,5911xm11357,5899l11350,5911,11356,5922,11357,5922,11357,5899xm11357,5473l11342,5473,11343,5899,11350,5911,11357,5899,11357,5473xe" filled="true" fillcolor="#000000" stroked="false">
              <v:path arrowok="t"/>
              <v:fill type="solid"/>
            </v:shape>
            <v:shape style="position:absolute;left:9854;top:7038;width:2880;height:622" coordorigin="9854,7038" coordsize="2880,622" path="m9854,7141l9862,7101,9884,7068,9917,7046,9958,7038,12630,7038,12671,7046,12704,7068,12726,7101,12734,7141,12734,7556,12726,7597,12704,7629,12671,7652,12630,7660,9958,7660,9917,7652,9884,7629,9862,7597,9854,7556,9854,7141xe" filled="false" stroked="true" strokeweight="1.0pt" strokecolor="#000000">
              <v:path arrowok="t"/>
            </v:shape>
            <v:shape style="position:absolute;left:11234;top:6563;width:191;height:1563" coordorigin="11234,6563" coordsize="191,1563" path="m11392,6896l11390,6892,11387,6890,11383,6887,11379,6889,11377,6892,11320,6989,11320,6563,11305,6563,11305,6988,11249,6892,11247,6889,11243,6887,11239,6890,11236,6892,11234,6896,11237,6900,11313,7031,11322,7016,11389,6900,11392,6896m11425,7991l11423,7987,11420,7984,11416,7982,11412,7984,11410,7987,11353,8084,11353,7658,11338,7658,11338,8083,11282,7987,11280,7984,11276,7982,11272,7984,11269,7987,11267,7991,11270,7995,11346,8126,11355,8111,11422,7995,11425,7991e" filled="true" fillcolor="#000000" stroked="false">
              <v:path arrowok="t"/>
              <v:fill type="solid"/>
            </v:shape>
            <v:shape style="position:absolute;left:9803;top:8144;width:2896;height:526" coordorigin="9803,8144" coordsize="2896,526" path="m9803,8231l9810,8197,9829,8169,9856,8151,9891,8144,12611,8144,12646,8151,12673,8169,12692,8197,12699,8231,12699,8582,12692,8616,12673,8644,12646,8663,12611,8670,9891,8670,9856,8663,9829,8644,9810,8616,9803,8582,9803,8231xe" filled="false" stroked="true" strokeweight="1pt" strokecolor="#000000">
              <v:path arrowok="t"/>
            </v:shape>
            <v:shape style="position:absolute;left:11345;top:8674;width:158;height:468" coordorigin="11345,8674" coordsize="158,468" path="m11354,8998l11347,9002,11345,9007,11348,9010,11424,9142,11433,9127,11416,9127,11416,9099,11358,8999,11354,8998xm11416,9099l11416,9127,11431,9127,11431,9123,11418,9123,11424,9112,11416,9099xm11494,8998l11490,8999,11432,9099,11431,9127,11433,9127,11500,9010,11503,9007,11501,9002,11494,8998xm11424,9112l11418,9123,11430,9123,11424,9112xm11431,9099l11424,9112,11430,9123,11431,9123,11431,9099xm11431,8674l11416,8674,11417,9099,11424,9112,11431,9099,11431,8674xe" filled="true" fillcolor="#000000" stroked="false">
              <v:path arrowok="t"/>
              <v:fill type="solid"/>
            </v:shape>
            <v:shape style="position:absolute;left:9803;top:3506;width:2980;height:6116" coordorigin="9803,3506" coordsize="2980,6116" path="m9803,9218l9809,9187,9827,9161,9852,9144,9884,9138,12702,9138,12734,9144,12759,9161,12777,9187,12783,9218,12783,9541,12777,9572,12759,9598,12734,9615,12702,9622,9884,9622,9852,9615,9827,9598,9809,9572,9803,9541,9803,9218xm9870,3610l9878,3570,9900,3537,9933,3515,9974,3506,12612,3506,12653,3515,12686,3537,12708,3570,12716,3610,12716,4025,12708,4065,12686,4098,12653,4120,12612,4128,9974,4128,9933,4120,9900,4098,9878,4065,9870,4025,9870,3610xe" filled="false" stroked="true" strokeweight="1pt" strokecolor="#000000">
              <v:path arrowok="t"/>
            </v:shape>
            <v:shape style="position:absolute;left:11234;top:3236;width:157;height:284" type="#_x0000_t75" stroked="false">
              <v:imagedata r:id="rId62" o:title=""/>
            </v:shape>
            <v:shape style="position:absolute;left:13576;top:3679;width:1656;height:7320" coordorigin="13576,3679" coordsize="1656,7320" path="m14429,10983l13576,10983,13576,10998,14441,10998,14444,10994,14444,10990,14429,10990,14429,10983xm15189,3750l14433,3750,14429,3753,14429,10990,14437,10983,14444,10983,14444,3765,14437,3765,14444,3757,15202,3757,15189,3750xm14444,10983l14437,10983,14429,10990,14444,10990,14444,10983xm15202,3757l15093,3821,15090,3823,15089,3827,15091,3831,15093,3835,15097,3836,15101,3834,15219,3765,15217,3765,15217,3764,15213,3764,15202,3757xm14444,3757l14437,3765,14444,3765,14444,3757xm15202,3757l14444,3757,14444,3765,15189,3765,15202,3757,15202,3757xm15219,3750l15217,3750,15217,3765,15219,3765,15232,3757,15219,3750xm15213,3751l15202,3757,15213,3764,15213,3751xm15217,3751l15213,3751,15213,3764,15217,3764,15217,3751xm15097,3679l15093,3680,15091,3683,15089,3687,15090,3692,15093,3694,15202,3757,15213,3751,15217,3751,15217,3750,15219,3750,15101,3681,15097,3679xe" filled="true" fillcolor="#000000" stroked="false">
              <v:path arrowok="t"/>
              <v:fill type="solid"/>
            </v:shape>
            <v:shape style="position:absolute;left:13071;top:6118;width:1019;height:4207" coordorigin="13071,6118" coordsize="1019,4207" path="m13580,10324l13498,10296,13445,10249,13394,10179,13346,10089,13301,9980,13280,9918,13259,9852,13239,9782,13220,9708,13202,9630,13185,9548,13169,9463,13154,9374,13141,9282,13128,9187,13116,9089,13106,8989,13097,8885,13089,8780,13083,8672,13078,8562,13074,8450,13072,8336,13071,8221,13072,8105,13074,7991,13078,7879,13083,7769,13089,7662,13097,7556,13106,7453,13116,7352,13128,7254,13141,7159,13154,7067,13169,6979,13185,6893,13202,6812,13220,6734,13239,6659,13259,6589,13280,6523,13301,6462,13323,6405,13370,6305,13419,6225,13471,6166,13525,6130,13580,6118,13608,6121,13690,6166,13741,6225,13791,6305,13838,6405,13860,6462,13881,6523,13902,6589,13922,6659,13941,6734,13959,6812,13976,6893,13992,6979,14007,7067,14020,7159,14033,7254,14045,7352,14055,7453,14064,7556,14072,7662,14078,7769,14083,7879,14087,7991,14089,8105,14090,8221,14089,8336,14087,8450,14083,8562,14078,8672,14072,8780,14064,8885,14055,8989,14045,9089,14033,9187,14020,9282,14007,9374,13992,9463,13976,9548,13959,9630,13941,9708,13922,9782,13902,9852,13881,9918,13860,9980,13838,10037,13791,10137,13741,10216,13690,10275,13636,10311,13580,10324xe" filled="false" stroked="true" strokeweight="1pt" strokecolor="#000000">
              <v:path arrowok="t"/>
            </v:shape>
            <v:shape style="position:absolute;left:13302;top:6744;width:557;height:2954" type="#_x0000_t75" stroked="false">
              <v:imagedata r:id="rId63" o:title=""/>
            </v:shape>
            <v:shape style="position:absolute;left:2789;top:3768;width:3974;height:1596" type="#_x0000_t75" stroked="false">
              <v:imagedata r:id="rId64" o:title=""/>
            </v:shape>
            <v:shape style="position:absolute;left:2873;top:3924;width:3806;height:1279" type="#_x0000_t75" stroked="false">
              <v:imagedata r:id="rId65" o:title=""/>
            </v:shape>
            <v:shape style="position:absolute;left:2863;top:3811;width:3833;height:1453" coordorigin="2863,3811" coordsize="3833,1453" path="m2863,4053l2876,3977,2910,3910,2962,3858,3029,3824,3105,3811,6454,3811,6531,3824,6597,3858,6649,3910,6684,3977,6696,4053,6696,5022,6684,5099,6649,5165,6597,5217,6531,5252,6454,5264,3105,5264,3029,5252,2962,5217,2910,5165,2876,5099,2863,5022,2863,4053xe" filled="false" stroked="true" strokeweight=".75pt" strokecolor="#000000">
              <v:path arrowok="t"/>
            </v:shape>
            <v:shape style="position:absolute;left:2940;top:3960;width:3679;height:1152" type="#_x0000_t75" stroked="false">
              <v:imagedata r:id="rId66" o:title=""/>
            </v:shape>
            <v:shape style="position:absolute;left:11375;top:9628;width:158;height:468" coordorigin="11375,9628" coordsize="158,468" path="m11384,9953l11380,9955,11377,9957,11375,9962,11378,9965,11454,10096,11463,10082,11446,10082,11446,10054,11390,9958,11388,9954,11384,9953xm11446,10054l11446,10082,11461,10082,11461,10078,11448,10078,11454,10067,11446,10054xm11524,9953l11520,9954,11518,9958,11462,10054,11461,10082,11463,10082,11530,9965,11533,9962,11531,9957,11528,9955,11524,9953xm11454,10067l11448,10078,11460,10078,11454,10067xm11461,10054l11454,10067,11460,10078,11461,10078,11461,10054xm11461,9628l11446,9628,11447,10054,11454,10067,11461,10054,11461,9628xe" filled="true" fillcolor="#000000" stroked="false">
              <v:path arrowok="t"/>
              <v:fill type="solid"/>
            </v:shape>
            <v:shape style="position:absolute;left:8374;top:4428;width:744;height:2917" type="#_x0000_t75" stroked="false">
              <v:imagedata r:id="rId67" o:title=""/>
            </v:shape>
            <v:rect style="position:absolute;left:4181;top:5320;width:955;height:401" filled="true" fillcolor="#ffffff" stroked="false">
              <v:fill type="solid"/>
            </v:rect>
            <v:rect style="position:absolute;left:3973;top:7448;width:1993;height:405" filled="true" fillcolor="#ffffff" stroked="false">
              <v:fill type="solid"/>
            </v:rect>
            <v:shape style="position:absolute;left:14284;top:6153;width:415;height:2245" type="#_x0000_t75" stroked="false">
              <v:imagedata r:id="rId68" o:title=""/>
            </v:shape>
            <v:rect style="position:absolute;left:6837;top:8559;width:1539;height:405" filled="true" fillcolor="#ffffff" stroked="false">
              <v:fill type="solid"/>
            </v:rect>
            <v:shape style="position:absolute;left:9872;top:10101;width:2980;height:512" coordorigin="9872,10101" coordsize="2980,512" path="m9872,10187l9879,10154,9897,10126,9924,10108,9957,10101,12767,10101,12800,10108,12827,10126,12845,10154,12852,10187,12852,10528,12845,10561,12827,10588,12800,10607,12767,10613,9957,10613,9924,10607,9897,10588,9879,10561,9872,10528,9872,10187xe" filled="false" stroked="true" strokeweight="1pt" strokecolor="#000000">
              <v:path arrowok="t"/>
            </v:shape>
            <w10:wrap type="none"/>
          </v:group>
        </w:pict>
      </w:r>
    </w:p>
    <w:p>
      <w:pPr>
        <w:spacing w:before="74"/>
        <w:ind w:left="9508" w:right="0" w:firstLine="0"/>
        <w:jc w:val="left"/>
        <w:rPr>
          <w:sz w:val="20"/>
        </w:rPr>
      </w:pPr>
      <w:r>
        <w:rPr>
          <w:sz w:val="20"/>
        </w:rPr>
        <w:t>Participación social</w:t>
      </w:r>
    </w:p>
    <w:p>
      <w:pPr>
        <w:spacing w:after="0"/>
        <w:jc w:val="left"/>
        <w:rPr>
          <w:sz w:val="20"/>
        </w:rPr>
        <w:sectPr>
          <w:type w:val="continuous"/>
          <w:pgSz w:w="15840" w:h="12240" w:orient="landscape"/>
          <w:pgMar w:top="1360" w:bottom="1200" w:left="1000" w:right="5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6"/>
        <w:spacing w:before="73"/>
        <w:ind w:left="4779"/>
      </w:pPr>
      <w:r>
        <w:rPr/>
        <w:pict>
          <v:group style="position:absolute;margin-left:106.449997pt;margin-top:15.506879pt;width:659.55pt;height:470.15pt;mso-position-horizontal-relative:page;mso-position-vertical-relative:paragraph;z-index:-3339328" coordorigin="2129,310" coordsize="13191,9403">
            <v:shape style="position:absolute;left:7089;top:3180;width:2980;height:844" coordorigin="7089,3180" coordsize="2980,844" path="m7089,3321l7100,3266,7130,3221,7175,3191,7230,3180,9928,3180,9983,3191,10028,3221,10058,3266,10069,3321,10069,3883,10058,3938,10028,3983,9983,4013,9928,4024,7230,4024,7175,4013,7130,3983,7100,3938,7089,3883,7089,3321xe" filled="false" stroked="true" strokeweight="1pt" strokecolor="#000000">
              <v:path arrowok="t"/>
            </v:shape>
            <v:shape style="position:absolute;left:8342;top:2479;width:158;height:634" coordorigin="8342,2479" coordsize="158,634" path="m8351,2970l8344,2974,8342,2978,8345,2982,8421,3113,8430,3098,8413,3098,8413,3070,8355,2971,8351,2970xm8413,3070l8413,3098,8428,3098,8428,3094,8415,3094,8421,3083,8413,3070xm8491,2970l8487,2971,8429,3070,8428,3098,8430,3098,8497,2982,8500,2978,8498,2974,8491,2970xm8421,3083l8415,3094,8427,3094,8421,3083xm8428,3071l8421,3083,8427,3094,8428,3094,8428,3071xm8428,2479l8413,2479,8414,3071,8421,3083,8428,3071,8428,2479xe" filled="true" fillcolor="#000000" stroked="false">
              <v:path arrowok="t"/>
              <v:fill type="solid"/>
            </v:shape>
            <v:shape style="position:absolute;left:2150;top:1701;width:3114;height:2432" coordorigin="2150,1701" coordsize="3114,2432" path="m2151,1865l2164,1801,2199,1749,2251,1714,2315,1701,5099,1701,5164,1714,5216,1749,5251,1801,5264,1865,5264,2523,5251,2587,5216,2640,5164,2675,5099,2688,2315,2688,2251,2675,2199,2640,2164,2587,2151,2523,2151,1865xm2150,3449l2161,3395,2190,3352,2233,3323,2287,3312,5010,3312,5064,3323,5107,3352,5136,3395,5147,3449,5147,3995,5136,4049,5107,4092,5064,4121,5010,4132,2287,4132,2233,4121,2190,4092,2161,4049,2150,3995,2150,3449xe" filled="false" stroked="true" strokeweight="1pt" strokecolor="#000000">
              <v:path arrowok="t"/>
            </v:shape>
            <v:shape style="position:absolute;left:3576;top:2696;width:158;height:622" coordorigin="3576,2696" coordsize="158,622" path="m3585,3175l3578,3179,3576,3183,3579,3187,3655,3318,3664,3303,3648,3303,3647,3276,3591,3180,3589,3176,3585,3175xm3648,3276l3648,3303,3663,3303,3663,3300,3649,3300,3655,3289,3648,3276xm3725,3175l3721,3176,3719,3180,3663,3276,3663,3303,3664,3303,3731,3187,3734,3183,3732,3179,3725,3175xm3655,3289l3649,3300,3661,3300,3655,3289xm3663,3276l3655,3289,3661,3300,3663,3300,3663,3276xm3662,2696l3647,2696,3648,3276,3655,3289,3662,3276,3662,2696xe" filled="true" fillcolor="#000000" stroked="false">
              <v:path arrowok="t"/>
              <v:fill type="solid"/>
            </v:shape>
            <v:rect style="position:absolute;left:3156;top:2778;width:1176;height:401" filled="true" fillcolor="#ffffff" stroked="false">
              <v:fill type="solid"/>
            </v:rect>
            <v:shape style="position:absolute;left:2228;top:8473;width:2846;height:622" coordorigin="2228,8473" coordsize="2846,622" path="m2228,8576l2236,8536,2258,8503,2291,8481,2332,8473,4970,8473,5011,8481,5044,8503,5066,8536,5074,8576,5074,8991,5066,9031,5044,9064,5011,9086,4970,9095,2332,9095,2291,9086,2258,9064,2236,9031,2228,8991,2228,8576xe" filled="false" stroked="true" strokeweight="1pt" strokecolor="#000000">
              <v:path arrowok="t"/>
            </v:shape>
            <v:shape style="position:absolute;left:3576;top:4219;width:158;height:634" coordorigin="3576,4219" coordsize="158,634" path="m3585,4709l3581,4712,3578,4714,3576,4718,3579,4722,3655,4853,3664,4838,3648,4838,3647,4810,3589,4711,3585,4709xm3648,4810l3648,4838,3663,4838,3663,4834,3649,4834,3655,4823,3648,4810xm3725,4709l3721,4711,3663,4810,3663,4838,3664,4838,3731,4722,3734,4718,3732,4714,3729,4712,3725,4709xm3655,4823l3649,4834,3661,4834,3655,4823xm3663,4810l3655,4823,3661,4834,3663,4834,3663,4810xm3662,4219l3647,4219,3648,4810,3655,4823,3662,4810,3662,4219xe" filled="true" fillcolor="#000000" stroked="false">
              <v:path arrowok="t"/>
              <v:fill type="solid"/>
            </v:shape>
            <v:rect style="position:absolute;left:3160;top:4236;width:1176;height:401" filled="true" fillcolor="#ffffff" stroked="false">
              <v:fill type="solid"/>
            </v:rect>
            <v:shape style="position:absolute;left:2139;top:4897;width:3114;height:2725" coordorigin="2139,4897" coordsize="3114,2725" path="m2256,5134l2268,5059,2302,4994,2353,4943,2419,4909,2494,4897,5015,4897,5090,4909,5156,4943,5207,4994,5241,5059,5253,5134,5253,6084,5241,6159,5207,6224,5156,6276,5090,6310,5015,6322,2494,6322,2419,6310,2353,6276,2302,6224,2268,6159,2256,6084,2256,5134xm2139,7103l2147,7063,2169,7030,2202,7008,2243,7000,4881,7000,4922,7008,4955,7030,4977,7063,4985,7103,4985,7518,4977,7558,4955,7591,4922,7613,4881,7622,2243,7622,2202,7613,2169,7591,2147,7558,2139,7518,2139,7103xe" filled="false" stroked="true" strokeweight="1pt" strokecolor="#000000">
              <v:path arrowok="t"/>
            </v:shape>
            <v:shape style="position:absolute;left:3579;top:6338;width:175;height:2133" coordorigin="3579,6338" coordsize="175,2133" path="m3737,6837l3735,6832,3732,6830,3728,6828,3724,6829,3722,6833,3666,6929,3665,6957,3665,6953,3665,6929,3665,6338,3650,6338,3651,6929,3658,6942,3650,6929,3594,6833,3592,6829,3588,6828,3584,6830,3581,6832,3579,6837,3582,6841,3658,6972,3667,6957,3734,6841,3737,6837m3754,8336l3752,8331,3749,8329,3745,8327,3741,8328,3739,8332,3683,8428,3682,8428,3682,7601,3667,7601,3668,8428,3668,8456,3667,8428,3611,8332,3609,8328,3605,8327,3601,8329,3598,8331,3596,8336,3599,8340,3675,8471,3684,8456,3751,8340,3754,8336e" filled="true" fillcolor="#000000" stroked="false">
              <v:path arrowok="t"/>
              <v:fill type="solid"/>
            </v:shape>
            <v:rect style="position:absolute;left:3094;top:6463;width:1176;height:401" filled="true" fillcolor="#ffffff" stroked="false">
              <v:fill type="solid"/>
            </v:rect>
            <v:rect style="position:absolute;left:2631;top:7771;width:2145;height:401" filled="true" fillcolor="#ffffff" stroked="false">
              <v:fill type="solid"/>
            </v:rect>
            <v:shape style="position:absolute;left:5261;top:1794;width:1656;height:7320" coordorigin="5261,1794" coordsize="1656,7320" path="m6114,9098l5261,9098,5261,9113,6126,9113,6129,9109,6129,9105,6114,9105,6114,9098xm6875,1865l6118,1865,6114,1868,6114,9105,6122,9098,6129,9098,6129,1880,6122,1880,6129,1872,6887,1872,6875,1865xm6129,9098l6122,9098,6114,9105,6129,9105,6129,9098xm6887,1872l6778,1936,6775,1938,6774,1942,6776,1946,6778,1950,6782,1951,6786,1949,6904,1880,6902,1880,6902,1879,6898,1879,6887,1872xm6129,1872l6122,1880,6129,1880,6129,1872xm6887,1872l6129,1872,6129,1880,6874,1880,6887,1872xm6904,1865l6902,1865,6902,1880,6904,1880,6917,1872,6904,1865xm6898,1866l6887,1872,6898,1879,6898,1866xm6902,1866l6898,1866,6898,1879,6902,1879,6902,1866xm6782,1794l6778,1795,6776,1798,6774,1802,6775,1807,6778,1809,6887,1872,6898,1866,6902,1866,6902,1865,6904,1865,6786,1796,6782,1794xe" filled="true" fillcolor="#000000" stroked="false">
              <v:path arrowok="t"/>
              <v:fill type="solid"/>
            </v:shape>
            <v:shape style="position:absolute;left:5876;top:4892;width:415;height:2245" type="#_x0000_t75" stroked="false">
              <v:imagedata r:id="rId70" o:title=""/>
            </v:shape>
            <v:shape style="position:absolute;left:6964;top:1588;width:3113;height:844" coordorigin="6964,1588" coordsize="3113,844" path="m6964,1728l6975,1674,7005,1629,7050,1599,7105,1588,9936,1588,9991,1599,10036,1629,10066,1674,10077,1728,10077,2291,10066,2346,10036,2391,9991,2421,9936,2432,7105,2432,7050,2421,7005,2391,6975,2346,6964,2291,6964,1728xe" filled="false" stroked="true" strokeweight="1pt" strokecolor="#000000">
              <v:path arrowok="t"/>
            </v:shape>
            <v:rect style="position:absolute;left:7909;top:2589;width:1176;height:401" filled="true" fillcolor="#ffffff" stroked="false">
              <v:fill type="solid"/>
            </v:rect>
            <v:shape style="position:absolute;left:8346;top:4134;width:158;height:634" coordorigin="8346,4134" coordsize="158,634" path="m8355,4624l8351,4627,8348,4629,8346,4633,8349,4637,8425,4768,8434,4753,8417,4753,8417,4725,8359,4626,8355,4624xm8417,4725l8417,4753,8432,4753,8432,4749,8419,4749,8425,4738,8417,4725xm8495,4624l8491,4626,8433,4725,8432,4753,8434,4753,8501,4637,8504,4633,8502,4629,8499,4627,8495,4624xm8425,4738l8419,4749,8431,4749,8425,4738xm8432,4726l8425,4738,8431,4749,8432,4749,8432,4726xm8432,4134l8417,4134,8418,4726,8425,4738,8432,4726,8432,4134xe" filled="true" fillcolor="#000000" stroked="false">
              <v:path arrowok="t"/>
              <v:fill type="solid"/>
            </v:shape>
            <v:rect style="position:absolute;left:7857;top:4212;width:1176;height:401" filled="true" fillcolor="#ffffff" stroked="false">
              <v:fill type="solid"/>
            </v:rect>
            <v:shape style="position:absolute;left:6969;top:4771;width:2980;height:844" coordorigin="6969,4771" coordsize="2980,844" path="m6969,4911l6980,4857,7010,4812,7055,4782,7110,4771,9808,4771,9863,4782,9908,4812,9938,4857,9949,4911,9949,5474,9938,5529,9908,5574,9863,5604,9808,5615,7110,5615,7055,5604,7010,5574,6980,5529,6969,5474,6969,4911xe" filled="false" stroked="true" strokeweight="1.0pt" strokecolor="#000000">
              <v:path arrowok="t"/>
            </v:shape>
            <v:shape style="position:absolute;left:8322;top:5619;width:158;height:635" coordorigin="8322,5619" coordsize="158,635" path="m8331,6109l8327,6111,8324,6113,8322,6118,8325,6122,8401,6253,8410,6238,8393,6238,8393,6210,8337,6114,8335,6110,8331,6109xm8393,6210l8393,6238,8408,6238,8408,6234,8395,6234,8401,6223,8393,6210xm8471,6109l8467,6110,8465,6114,8409,6210,8408,6238,8410,6238,8477,6122,8480,6118,8478,6113,8475,6111,8471,6109xm8401,6223l8395,6234,8407,6234,8401,6223xm8408,6210l8401,6223,8407,6234,8408,6234,8408,6210xm8408,5619l8393,5619,8394,6210,8401,6223,8408,6210,8408,5619xe" filled="true" fillcolor="#000000" stroked="false">
              <v:path arrowok="t"/>
              <v:fill type="solid"/>
            </v:shape>
            <v:rect style="position:absolute;left:7847;top:5738;width:1176;height:401" filled="true" fillcolor="#ffffff" stroked="false">
              <v:fill type="solid"/>
            </v:rect>
            <v:shape style="position:absolute;left:7089;top:6282;width:2700;height:525" coordorigin="7089,6282" coordsize="2700,525" path="m7089,6369l7096,6335,7115,6307,7142,6288,7176,6282,9701,6282,9736,6288,9763,6307,9782,6335,9789,6369,9789,6719,9782,6753,9763,6781,9736,6800,9701,6807,7176,6807,7142,6800,7115,6781,7096,6753,7089,6719,7089,6369xe" filled="false" stroked="true" strokeweight="1pt" strokecolor="#000000">
              <v:path arrowok="t"/>
            </v:shape>
            <v:shape style="position:absolute;left:8353;top:6809;width:156;height:151" type="#_x0000_t75" stroked="false">
              <v:imagedata r:id="rId71" o:title=""/>
            </v:shape>
            <v:shape style="position:absolute;left:7241;top:6907;width:2700;height:705" coordorigin="7241,6907" coordsize="2700,705" path="m9823,6907l7358,6907,7313,6916,7275,6941,7250,6978,7241,7024,7241,7494,7250,7540,7275,7577,7313,7602,7358,7612,9823,7612,9869,7602,9907,7577,9932,7540,9941,7494,9941,7024,9932,6978,9907,6941,9869,6916,9823,6907xe" filled="true" fillcolor="#ffffff" stroked="false">
              <v:path arrowok="t"/>
              <v:fill type="solid"/>
            </v:shape>
            <v:shape style="position:absolute;left:7241;top:6907;width:2700;height:705" coordorigin="7241,6907" coordsize="2700,705" path="m7241,7024l7250,6978,7275,6941,7313,6916,7358,6907,9823,6907,9869,6916,9907,6941,9932,6978,9941,7024,9941,7494,9932,7540,9907,7577,9869,7602,9823,7612,7358,7612,7313,7602,7275,7577,7250,7540,7241,7494,7241,7024xe" filled="false" stroked="true" strokeweight="1pt" strokecolor="#000000">
              <v:path arrowok="t"/>
            </v:shape>
            <v:shape style="position:absolute;left:4687;top:449;width:2153;height:1102" type="#_x0000_t75" stroked="false">
              <v:imagedata r:id="rId72" o:title=""/>
            </v:shape>
            <v:shape style="position:absolute;left:4752;top:586;width:2021;height:823" type="#_x0000_t75" stroked="false">
              <v:imagedata r:id="rId73" o:title=""/>
            </v:shape>
            <v:shape style="position:absolute;left:4764;top:495;width:2007;height:954" coordorigin="4764,495" coordsize="2007,954" path="m6612,495l4923,495,4861,507,4811,542,4776,592,4764,654,4764,1290,4776,1352,4811,1402,4861,1436,4923,1449,6612,1449,6674,1436,6724,1402,6759,1352,6771,1290,6771,654,6759,592,6724,542,6674,507,6612,495xe" filled="true" fillcolor="#a6a6a6" stroked="false">
              <v:path arrowok="t"/>
              <v:fill type="solid"/>
            </v:shape>
            <v:shape style="position:absolute;left:4764;top:495;width:2007;height:954" coordorigin="4764,495" coordsize="2007,954" path="m4764,654l4776,592,4811,542,4861,507,4923,495,6612,495,6674,507,6724,542,6759,592,6771,654,6771,1290,6759,1352,6724,1402,6674,1436,6612,1449,4923,1449,4861,1436,4811,1402,4776,1352,4764,1290,4764,654xe" filled="false" stroked="true" strokeweight="1pt" strokecolor="#000000">
              <v:path arrowok="t"/>
            </v:shape>
            <v:shape style="position:absolute;left:4819;top:622;width:1894;height:696" type="#_x0000_t75" stroked="false">
              <v:imagedata r:id="rId74" o:title=""/>
            </v:shape>
            <v:shape style="position:absolute;left:8302;top:7608;width:158;height:634" coordorigin="8302,7608" coordsize="158,634" path="m8311,8098l8307,8100,8304,8102,8302,8107,8305,8111,8381,8242,8390,8227,8373,8227,8373,8199,8317,8103,8315,8099,8311,8098xm8373,8199l8373,8227,8388,8227,8388,8223,8375,8223,8381,8212,8373,8199xm8451,8098l8447,8099,8445,8103,8389,8199,8388,8227,8390,8227,8457,8111,8460,8107,8458,8102,8455,8100,8451,8098xm8381,8212l8375,8223,8387,8223,8381,8212xm8388,8199l8381,8212,8387,8223,8388,8223,8388,8199xm8388,7608l8373,7608,8374,8199,8381,8212,8388,8199,8388,7608xe" filled="true" fillcolor="#000000" stroked="false">
              <v:path arrowok="t"/>
              <v:fill type="solid"/>
            </v:shape>
            <v:rect style="position:absolute;left:7911;top:7712;width:1176;height:401" filled="true" fillcolor="#ffffff" stroked="false">
              <v:fill type="solid"/>
            </v:rect>
            <v:shape style="position:absolute;left:6964;top:8250;width:2700;height:872" coordorigin="6964,8250" coordsize="2700,872" path="m6964,8395l6975,8338,7007,8292,7053,8261,7109,8250,9519,8250,9575,8261,9621,8292,9653,8338,9664,8395,9664,8976,9653,9033,9621,9079,9575,9110,9519,9122,7109,9122,7053,9110,7007,9079,6975,9033,6964,8976,6964,8395xe" filled="false" stroked="true" strokeweight="1.0pt" strokecolor="#000000">
              <v:path arrowok="t"/>
            </v:shape>
            <v:shape style="position:absolute;left:9668;top:2394;width:1656;height:7320" coordorigin="9668,2394" coordsize="1656,7320" path="m10521,9698l9668,9698,9668,9713,10533,9713,10536,9709,10536,9705,10521,9705,10521,9698xm11281,2465l10525,2465,10521,2468,10521,9705,10529,9698,10536,9698,10536,2480,10529,2480,10536,2472,11294,2472,11294,2472,11281,2465xm10536,9698l10529,9698,10521,9705,10536,9705,10536,9698xm11294,2472l11185,2536,11182,2538,11181,2542,11183,2546,11185,2549,11189,2551,11193,2549,11311,2480,11309,2480,11309,2479,11305,2479,11294,2472xm10536,2472l10529,2480,10536,2480,10536,2472xm11294,2472l10536,2472,10536,2480,11281,2480,11294,2472xm11311,2465l11309,2465,11309,2480,11311,2480,11324,2472,11311,2465xm11305,2466l11294,2472,11305,2479,11305,2466xm11309,2466l11305,2466,11305,2479,11309,2479,11309,2466xm11189,2394l11185,2395,11183,2398,11181,2402,11182,2407,11185,2409,11294,2472,11305,2466,11309,2466,11309,2465,11311,2465,11193,2396,11189,2394xe" filled="true" fillcolor="#000000" stroked="false">
              <v:path arrowok="t"/>
              <v:fill type="solid"/>
            </v:shape>
            <v:shape style="position:absolute;left:10394;top:4226;width:415;height:2245" type="#_x0000_t75" stroked="false">
              <v:imagedata r:id="rId75" o:title=""/>
            </v:shape>
            <v:shape style="position:absolute;left:11326;top:1699;width:3113;height:1287" coordorigin="11326,1699" coordsize="3113,1287" path="m11326,1913l11337,1845,11367,1787,11414,1740,11473,1710,11541,1699,14224,1699,14292,1710,14351,1740,14398,1787,14428,1845,14439,1913,14439,2771,14428,2839,14398,2898,14351,2944,14292,2975,14224,2986,11541,2986,11473,2975,11414,2944,11367,2898,11337,2839,11326,2771,11326,1913xe" filled="false" stroked="true" strokeweight="1pt" strokecolor="#000000">
              <v:path arrowok="t"/>
            </v:shape>
            <v:shape style="position:absolute;left:12874;top:2993;width:158;height:634" coordorigin="12874,2993" coordsize="158,634" path="m12883,3484l12879,3486,12876,3488,12874,3492,12877,3496,12953,3627,12962,3612,12945,3612,12945,3584,12889,3488,12887,3485,12883,3484xm12945,3584l12945,3612,12960,3612,12960,3608,12947,3608,12953,3597,12945,3584xm13023,3484l13019,3485,13017,3488,12960,3585,12960,3612,12962,3612,13029,3496,13032,3492,13030,3488,13027,3486,13023,3484xm12953,3597l12947,3608,12959,3608,12953,3597xm12960,3585l12953,3597,12959,3608,12960,3608,12960,3585xm12960,2993l12945,2993,12945,3584,12953,3597,12960,3585,12960,2993xe" filled="true" fillcolor="#000000" stroked="false">
              <v:path arrowok="t"/>
              <v:fill type="solid"/>
            </v:shape>
            <v:rect style="position:absolute;left:12399;top:3101;width:1176;height:401" filled="true" fillcolor="#ffffff" stroked="false">
              <v:fill type="solid"/>
            </v:rect>
            <v:shape style="position:absolute;left:11409;top:3637;width:2980;height:1215" coordorigin="11409,3637" coordsize="2980,1215" path="m11409,3839l11425,3761,11468,3696,11533,3653,11612,3637,14186,3637,14265,3653,14330,3696,14373,3761,14389,3839,14389,4649,14373,4728,14330,4793,14265,4836,14186,4852,11612,4852,11533,4836,11468,4793,11425,4728,11409,4649,11409,3839xe" filled="false" stroked="true" strokeweight="1pt" strokecolor="#000000">
              <v:path arrowok="t"/>
            </v:shape>
            <v:shape style="position:absolute;left:9338;top:310;width:2902;height:1241" type="#_x0000_t75" stroked="false">
              <v:imagedata r:id="rId76" o:title=""/>
            </v:shape>
            <v:shape style="position:absolute;left:9410;top:454;width:2758;height:950" type="#_x0000_t75" stroked="false">
              <v:imagedata r:id="rId77" o:title=""/>
            </v:shape>
            <v:shape style="position:absolute;left:9415;top:356;width:2755;height:1093" coordorigin="9415,356" coordsize="2755,1093" path="m11988,356l9597,356,9526,370,9469,409,9430,467,9415,538,9415,1267,9430,1337,9469,1395,9526,1434,9597,1449,11988,1449,12059,1434,12117,1395,12156,1337,12170,1267,12170,538,12156,467,12117,409,12059,370,11988,356xe" filled="true" fillcolor="#a6a6a6" stroked="false">
              <v:path arrowok="t"/>
              <v:fill type="solid"/>
            </v:shape>
            <v:shape style="position:absolute;left:9415;top:356;width:2755;height:1093" coordorigin="9415,356" coordsize="2755,1093" path="m9415,538l9430,467,9469,409,9526,370,9597,356,11988,356,12059,370,12117,409,12156,467,12170,538,12170,1267,12156,1337,12117,1395,12059,1434,11988,1449,9597,1449,9526,1434,9469,1395,9430,1337,9415,1267,9415,538xe" filled="false" stroked="true" strokeweight="1pt" strokecolor="#000000">
              <v:path arrowok="t"/>
            </v:shape>
            <v:shape style="position:absolute;left:9478;top:490;width:2630;height:823" type="#_x0000_t75" stroked="false">
              <v:imagedata r:id="rId78" o:title=""/>
            </v:shape>
            <v:shape style="position:absolute;left:11298;top:4609;width:3489;height:734" coordorigin="11298,4609" coordsize="3489,734" path="m14787,4609l14784,4725,14775,4826,14762,4905,14726,4976,13104,4976,13084,4995,13067,5047,13054,5126,13046,5227,13042,5343,13039,5227,13031,5126,13017,5047,13001,4995,12981,4976,11359,4976,11340,4957,11323,4905,11310,4826,11301,4725,11298,4609e" filled="false" stroked="true" strokeweight="1.5pt" strokecolor="#000000">
              <v:path arrowok="t"/>
            </v:shape>
            <v:shape style="position:absolute;left:11115;top:5266;width:3820;height:872" type="#_x0000_t75" stroked="false">
              <v:imagedata r:id="rId79" o:title=""/>
            </v:shape>
            <v:shape style="position:absolute;left:11115;top:5266;width:3820;height:872" coordorigin="11115,5266" coordsize="3820,872" path="m11115,5411l11126,5354,11158,5308,11204,5277,11260,5266,14790,5266,14846,5277,14892,5308,14924,5354,14935,5411,14935,5992,14924,6049,14892,6095,14846,6126,14790,6138,11260,6138,11204,6126,11158,6095,11126,6049,11115,5992,11115,5411xe" filled="false" stroked="true" strokeweight="1pt" strokecolor="#000000">
              <v:path arrowok="t"/>
            </v:shape>
            <v:shape style="position:absolute;left:13030;top:6135;width:158;height:608" coordorigin="13030,6135" coordsize="158,608" path="m13039,6599l13035,6601,13032,6603,13030,6608,13033,6612,13109,6743,13118,6728,13101,6728,13101,6700,13045,6604,13043,6600,13039,6599xm13101,6700l13101,6728,13116,6728,13116,6724,13103,6724,13109,6713,13101,6700xm13179,6599l13175,6600,13173,6604,13117,6700,13116,6728,13118,6728,13185,6612,13188,6608,13186,6603,13183,6601,13179,6599xm13109,6713l13103,6724,13115,6724,13109,6713xm13116,6700l13109,6713,13115,6724,13116,6724,13116,6700xm13116,6135l13101,6135,13102,6700,13109,6713,13116,6700,13116,6135xe" filled="true" fillcolor="#000000" stroked="false">
              <v:path arrowok="t"/>
              <v:fill type="solid"/>
            </v:shape>
            <v:rect style="position:absolute;left:12240;top:6144;width:1869;height:401" filled="true" fillcolor="#ffffff" stroked="false">
              <v:fill type="solid"/>
            </v:rect>
            <v:rect style="position:absolute;left:12240;top:6144;width:1869;height:401" filled="false" stroked="true" strokeweight=".5pt" strokecolor="#000000"/>
            <v:shape style="position:absolute;left:10881;top:6744;width:4429;height:2241" type="#_x0000_t75" stroked="false">
              <v:imagedata r:id="rId80" o:title=""/>
            </v:shape>
            <v:shape style="position:absolute;left:10881;top:6744;width:4429;height:2241" coordorigin="10881,6744" coordsize="4429,2241" path="m10881,7117l10889,7042,10910,6972,10945,6908,10990,6853,11046,6807,11109,6773,11179,6751,11255,6744,14936,6744,15012,6751,15082,6773,15145,6807,15201,6853,15246,6908,15281,6972,15302,7042,15310,7117,15310,8611,15302,8686,15281,8756,15246,8820,15201,8875,15145,8921,15082,8955,15012,8977,14936,8985,11255,8985,11179,8977,11109,8955,11046,8921,10990,8875,10945,8820,10910,8756,10889,8686,10881,8611,10881,7117xe" filled="false" stroked="true" strokeweight="1pt" strokecolor="#000000">
              <v:path arrowok="t"/>
            </v:shape>
            <w10:wrap type="none"/>
          </v:group>
        </w:pict>
      </w:r>
      <w:r>
        <w:rPr/>
        <w:pict>
          <v:group style="position:absolute;margin-left:33.599998pt;margin-top:19.466879pt;width:107.65pt;height:62.05pt;mso-position-horizontal-relative:page;mso-position-vertical-relative:paragraph;z-index:4144" coordorigin="672,389" coordsize="2153,1241">
            <v:shape style="position:absolute;left:672;top:389;width:2153;height:1241" type="#_x0000_t75" stroked="false">
              <v:imagedata r:id="rId81" o:title=""/>
            </v:shape>
            <v:shape style="position:absolute;left:744;top:533;width:2009;height:950" type="#_x0000_t75" stroked="false">
              <v:imagedata r:id="rId82" o:title=""/>
            </v:shape>
            <v:shape style="position:absolute;left:749;top:435;width:2007;height:1093" coordorigin="749,435" coordsize="2007,1093" path="m2574,435l931,435,860,449,802,488,763,546,749,617,749,1346,763,1417,802,1475,860,1514,931,1528,2574,1528,2645,1514,2702,1475,2741,1417,2756,1346,2756,617,2741,546,2702,488,2645,449,2574,435xe" filled="true" fillcolor="#a6a6a6" stroked="false">
              <v:path arrowok="t"/>
              <v:fill type="solid"/>
            </v:shape>
            <v:shape style="position:absolute;left:749;top:435;width:2007;height:1093" coordorigin="749,435" coordsize="2007,1093" path="m749,617l763,546,802,488,860,449,931,435,2574,435,2645,449,2702,488,2741,546,2756,617,2756,1346,2741,1417,2702,1475,2645,1514,2574,1528,931,1528,860,1514,802,1475,763,1417,749,1346,749,617xe" filled="false" stroked="true" strokeweight="1pt" strokecolor="#000000">
              <v:path arrowok="t"/>
            </v:shape>
            <v:shape style="position:absolute;left:811;top:569;width:1882;height:823" type="#_x0000_t75" stroked="false">
              <v:imagedata r:id="rId83" o:title=""/>
            </v:shape>
            <v:shape style="position:absolute;left:672;top:389;width:2153;height:1241" type="#_x0000_t202" filled="false" stroked="false">
              <v:textbox inset="0,0,0,0">
                <w:txbxContent>
                  <w:p>
                    <w:pPr>
                      <w:spacing w:line="240" w:lineRule="auto" w:before="3"/>
                      <w:rPr>
                        <w:sz w:val="22"/>
                      </w:rPr>
                    </w:pPr>
                  </w:p>
                  <w:p>
                    <w:pPr>
                      <w:spacing w:line="244" w:lineRule="auto" w:before="1"/>
                      <w:ind w:left="708" w:right="264" w:hanging="418"/>
                      <w:jc w:val="left"/>
                      <w:rPr>
                        <w:b/>
                        <w:sz w:val="20"/>
                      </w:rPr>
                    </w:pPr>
                    <w:r>
                      <w:rPr>
                        <w:b/>
                        <w:sz w:val="20"/>
                      </w:rPr>
                      <w:t>Identificación de Actores</w:t>
                    </w:r>
                  </w:p>
                </w:txbxContent>
              </v:textbox>
              <w10:wrap type="none"/>
            </v:shape>
            <w10:wrap type="none"/>
          </v:group>
        </w:pict>
      </w:r>
      <w:r>
        <w:rPr/>
        <w:t>Esquema 3.3b. Metodología del Estudio de Caso (CHPH)</w:t>
      </w:r>
    </w:p>
    <w:p>
      <w:pPr>
        <w:spacing w:line="177" w:lineRule="exact" w:before="159"/>
        <w:ind w:left="9573" w:right="0" w:firstLine="0"/>
        <w:jc w:val="left"/>
        <w:rPr>
          <w:b/>
          <w:sz w:val="20"/>
        </w:rPr>
      </w:pPr>
      <w:r>
        <w:rPr>
          <w:b/>
          <w:sz w:val="20"/>
        </w:rPr>
        <w:t>Propuesta de Comité</w:t>
      </w:r>
    </w:p>
    <w:p>
      <w:pPr>
        <w:spacing w:after="0" w:line="177" w:lineRule="exact"/>
        <w:jc w:val="left"/>
        <w:rPr>
          <w:sz w:val="20"/>
        </w:rPr>
        <w:sectPr>
          <w:footerReference w:type="default" r:id="rId69"/>
          <w:pgSz w:w="15840" w:h="12240" w:orient="landscape"/>
          <w:pgMar w:footer="0" w:header="0" w:top="0" w:bottom="280" w:left="220" w:right="240"/>
        </w:sectPr>
      </w:pPr>
    </w:p>
    <w:p>
      <w:pPr>
        <w:spacing w:line="204" w:lineRule="exact" w:before="0"/>
        <w:ind w:left="4774" w:right="0" w:firstLine="0"/>
        <w:jc w:val="center"/>
        <w:rPr>
          <w:b/>
          <w:sz w:val="20"/>
        </w:rPr>
      </w:pPr>
      <w:r>
        <w:rPr>
          <w:b/>
          <w:sz w:val="20"/>
        </w:rPr>
        <w:t>Problemática</w:t>
      </w:r>
      <w:r>
        <w:rPr>
          <w:b/>
          <w:spacing w:val="-5"/>
          <w:sz w:val="20"/>
        </w:rPr>
        <w:t> </w:t>
      </w:r>
      <w:r>
        <w:rPr>
          <w:b/>
          <w:sz w:val="20"/>
        </w:rPr>
        <w:t>de</w:t>
      </w:r>
    </w:p>
    <w:p>
      <w:pPr>
        <w:spacing w:before="5"/>
        <w:ind w:left="0" w:right="375" w:firstLine="0"/>
        <w:jc w:val="right"/>
        <w:rPr>
          <w:b/>
          <w:sz w:val="20"/>
        </w:rPr>
      </w:pPr>
      <w:r>
        <w:rPr>
          <w:b/>
          <w:sz w:val="20"/>
        </w:rPr>
        <w:t>la CHPH</w:t>
      </w:r>
    </w:p>
    <w:p>
      <w:pPr>
        <w:spacing w:line="242" w:lineRule="auto" w:before="53"/>
        <w:ind w:left="3161" w:right="3755" w:firstLine="0"/>
        <w:jc w:val="center"/>
        <w:rPr>
          <w:b/>
          <w:sz w:val="20"/>
        </w:rPr>
      </w:pPr>
      <w:r>
        <w:rPr/>
        <w:br w:type="column"/>
      </w:r>
      <w:r>
        <w:rPr>
          <w:b/>
          <w:sz w:val="20"/>
        </w:rPr>
        <w:t>Intermunicipal con su reglamento</w:t>
      </w:r>
    </w:p>
    <w:p>
      <w:pPr>
        <w:spacing w:after="0" w:line="242" w:lineRule="auto"/>
        <w:jc w:val="center"/>
        <w:rPr>
          <w:sz w:val="20"/>
        </w:rPr>
        <w:sectPr>
          <w:type w:val="continuous"/>
          <w:pgSz w:w="15840" w:h="12240" w:orient="landscape"/>
          <w:pgMar w:top="1360" w:bottom="1200" w:left="220" w:right="240"/>
          <w:cols w:num="2" w:equalWidth="0">
            <w:col w:w="6318" w:space="40"/>
            <w:col w:w="9022"/>
          </w:cols>
        </w:sectPr>
      </w:pPr>
    </w:p>
    <w:p>
      <w:pPr>
        <w:pStyle w:val="BodyText"/>
        <w:rPr>
          <w:b/>
          <w:sz w:val="20"/>
        </w:rPr>
      </w:pPr>
    </w:p>
    <w:p>
      <w:pPr>
        <w:pStyle w:val="BodyText"/>
        <w:spacing w:before="8"/>
        <w:rPr>
          <w:b/>
          <w:sz w:val="19"/>
        </w:rPr>
      </w:pPr>
    </w:p>
    <w:p>
      <w:pPr>
        <w:spacing w:after="0"/>
        <w:rPr>
          <w:sz w:val="19"/>
        </w:rPr>
        <w:sectPr>
          <w:type w:val="continuous"/>
          <w:pgSz w:w="15840" w:h="12240" w:orient="landscape"/>
          <w:pgMar w:top="1360" w:bottom="1200" w:left="220" w:right="240"/>
        </w:sectPr>
      </w:pPr>
    </w:p>
    <w:p>
      <w:pPr>
        <w:pStyle w:val="BodyText"/>
        <w:spacing w:before="10"/>
        <w:rPr>
          <w:b/>
          <w:sz w:val="16"/>
        </w:rPr>
      </w:pPr>
    </w:p>
    <w:p>
      <w:pPr>
        <w:spacing w:line="276" w:lineRule="auto" w:before="0"/>
        <w:ind w:left="3159" w:right="-13" w:hanging="929"/>
        <w:jc w:val="left"/>
        <w:rPr>
          <w:sz w:val="20"/>
        </w:rPr>
      </w:pPr>
      <w:r>
        <w:rPr/>
        <w:pict>
          <v:group style="position:absolute;margin-left:16.5pt;margin-top:.639890pt;width:82.85pt;height:366pt;mso-position-horizontal-relative:page;mso-position-vertical-relative:paragraph;z-index:4168" coordorigin="330,13" coordsize="1657,7320">
            <v:shape style="position:absolute;left:330;top:13;width:1657;height:7320" coordorigin="330,13" coordsize="1657,7320" path="m1183,7317l330,7317,330,7332,1195,7332,1198,7329,1198,7324,1183,7324,1183,7317xm1944,84l1187,84,1183,87,1183,7324,1191,7317,1198,7317,1198,99,1191,99,1198,91,1956,91,1944,84xm1198,7317l1191,7317,1183,7324,1198,7324,1198,7317xm1956,91l1847,155,1844,157,1843,162,1847,169,1851,170,1855,168,1973,99,1971,99,1971,98,1967,98,1956,91xm1198,91l1191,99,1198,99,1198,91xm1956,91l1198,91,1198,99,1943,99,1956,91xm1973,84l1971,84,1971,99,1973,99,1986,91,1973,84xm1967,85l1956,91,1967,98,1967,85xm1971,85l1967,85,1967,98,1971,98,1971,85xm1851,13l1847,14,1843,21,1844,26,1847,28,1956,91,1967,85,1971,85,1971,84,1973,84,1855,15,1851,13xe" filled="true" fillcolor="#000000" stroked="false">
              <v:path arrowok="t"/>
              <v:fill type="solid"/>
            </v:shape>
            <v:shape style="position:absolute;left:929;top:3048;width:415;height:2245" type="#_x0000_t75" stroked="false">
              <v:imagedata r:id="rId68" o:title=""/>
            </v:shape>
            <w10:wrap type="none"/>
          </v:group>
        </w:pict>
      </w:r>
      <w:r>
        <w:rPr/>
        <w:pict>
          <v:shape style="position:absolute;margin-left:395.450012pt;margin-top:37.869888pt;width:58.8pt;height:20.05pt;mso-position-horizontal-relative:page;mso-position-vertical-relative:paragraph;z-index:4192" type="#_x0000_t202" filled="false" stroked="true" strokeweight=".5pt" strokecolor="#000000">
            <v:textbox inset="0,0,0,0">
              <w:txbxContent>
                <w:p>
                  <w:pPr>
                    <w:spacing w:before="73"/>
                    <w:ind w:left="170" w:right="0" w:firstLine="0"/>
                    <w:jc w:val="left"/>
                    <w:rPr>
                      <w:sz w:val="20"/>
                    </w:rPr>
                  </w:pPr>
                  <w:r>
                    <w:rPr>
                      <w:sz w:val="20"/>
                    </w:rPr>
                    <w:t>Mediante</w:t>
                  </w:r>
                </w:p>
              </w:txbxContent>
            </v:textbox>
            <w10:wrap type="none"/>
          </v:shape>
        </w:pict>
      </w:r>
      <w:r>
        <w:rPr>
          <w:sz w:val="20"/>
        </w:rPr>
        <w:t>La identificación histórica</w:t>
      </w:r>
      <w:r>
        <w:rPr>
          <w:spacing w:val="-8"/>
          <w:sz w:val="20"/>
        </w:rPr>
        <w:t> </w:t>
      </w:r>
      <w:r>
        <w:rPr>
          <w:sz w:val="20"/>
        </w:rPr>
        <w:t>de actores</w:t>
      </w:r>
    </w:p>
    <w:p>
      <w:pPr>
        <w:spacing w:line="276" w:lineRule="auto" w:before="74"/>
        <w:ind w:left="2780" w:right="-11" w:hanging="593"/>
        <w:jc w:val="left"/>
        <w:rPr>
          <w:sz w:val="20"/>
        </w:rPr>
      </w:pPr>
      <w:r>
        <w:rPr/>
        <w:br w:type="column"/>
      </w:r>
      <w:r>
        <w:rPr>
          <w:sz w:val="20"/>
        </w:rPr>
        <w:t>De la cuenca hidrosocial de</w:t>
      </w:r>
      <w:r>
        <w:rPr>
          <w:spacing w:val="-15"/>
          <w:sz w:val="20"/>
        </w:rPr>
        <w:t> </w:t>
      </w:r>
      <w:r>
        <w:rPr>
          <w:sz w:val="20"/>
        </w:rPr>
        <w:t>la presa</w:t>
      </w:r>
      <w:r>
        <w:rPr>
          <w:spacing w:val="-7"/>
          <w:sz w:val="20"/>
        </w:rPr>
        <w:t> </w:t>
      </w:r>
      <w:r>
        <w:rPr>
          <w:sz w:val="20"/>
        </w:rPr>
        <w:t>Huapango</w:t>
      </w:r>
    </w:p>
    <w:p>
      <w:pPr>
        <w:pStyle w:val="BodyText"/>
        <w:spacing w:before="1"/>
        <w:rPr>
          <w:sz w:val="18"/>
        </w:rPr>
      </w:pPr>
      <w:r>
        <w:rPr/>
        <w:br w:type="column"/>
      </w:r>
      <w:r>
        <w:rPr>
          <w:sz w:val="18"/>
        </w:rPr>
      </w:r>
    </w:p>
    <w:p>
      <w:pPr>
        <w:spacing w:line="273" w:lineRule="auto" w:before="1"/>
        <w:ind w:left="1692" w:right="1414" w:firstLine="0"/>
        <w:jc w:val="center"/>
        <w:rPr>
          <w:sz w:val="20"/>
        </w:rPr>
      </w:pPr>
      <w:r>
        <w:rPr>
          <w:sz w:val="20"/>
        </w:rPr>
        <w:t>La revisión del marco jurídico (Internacional, nacional, estatal, municipal y local)</w:t>
      </w:r>
    </w:p>
    <w:p>
      <w:pPr>
        <w:spacing w:after="0" w:line="273" w:lineRule="auto"/>
        <w:jc w:val="center"/>
        <w:rPr>
          <w:sz w:val="20"/>
        </w:rPr>
        <w:sectPr>
          <w:type w:val="continuous"/>
          <w:pgSz w:w="15840" w:h="12240" w:orient="landscape"/>
          <w:pgMar w:top="1360" w:bottom="1200" w:left="220" w:right="240"/>
          <w:cols w:num="3" w:equalWidth="0">
            <w:col w:w="4742" w:space="40"/>
            <w:col w:w="4850" w:space="40"/>
            <w:col w:w="5708"/>
          </w:cols>
        </w:sectPr>
      </w:pPr>
    </w:p>
    <w:p>
      <w:pPr>
        <w:pStyle w:val="BodyText"/>
        <w:spacing w:before="3" w:after="1"/>
        <w:rPr>
          <w:sz w:val="12"/>
        </w:rPr>
      </w:pPr>
    </w:p>
    <w:p>
      <w:pPr>
        <w:pStyle w:val="BodyText"/>
        <w:ind w:left="2931"/>
        <w:rPr>
          <w:sz w:val="20"/>
        </w:rPr>
      </w:pPr>
      <w:r>
        <w:rPr>
          <w:sz w:val="20"/>
        </w:rPr>
        <w:pict>
          <v:shape style="width:58.8pt;height:20.05pt;mso-position-horizontal-relative:char;mso-position-vertical-relative:line" type="#_x0000_t202" filled="false" stroked="true" strokeweight=".5pt" strokecolor="#000000">
            <w10:anchorlock/>
            <v:textbox inset="0,0,0,0">
              <w:txbxContent>
                <w:p>
                  <w:pPr>
                    <w:spacing w:before="71"/>
                    <w:ind w:left="170" w:right="0" w:firstLine="0"/>
                    <w:jc w:val="left"/>
                    <w:rPr>
                      <w:sz w:val="20"/>
                    </w:rPr>
                  </w:pPr>
                  <w:r>
                    <w:rPr>
                      <w:sz w:val="20"/>
                    </w:rPr>
                    <w:t>Mediante</w:t>
                  </w:r>
                </w:p>
              </w:txbxContent>
            </v:textbox>
          </v:shape>
        </w:pict>
      </w:r>
      <w:r>
        <w:rPr>
          <w:sz w:val="20"/>
        </w:rPr>
      </w:r>
    </w:p>
    <w:p>
      <w:pPr>
        <w:pStyle w:val="BodyText"/>
        <w:spacing w:before="1"/>
        <w:rPr>
          <w:sz w:val="6"/>
        </w:rPr>
      </w:pPr>
    </w:p>
    <w:p>
      <w:pPr>
        <w:spacing w:after="0"/>
        <w:rPr>
          <w:sz w:val="6"/>
        </w:rPr>
        <w:sectPr>
          <w:type w:val="continuous"/>
          <w:pgSz w:w="15840" w:h="12240" w:orient="landscape"/>
          <w:pgMar w:top="1360" w:bottom="1200" w:left="220" w:right="240"/>
        </w:sectPr>
      </w:pPr>
    </w:p>
    <w:p>
      <w:pPr>
        <w:spacing w:line="278" w:lineRule="auto" w:before="145"/>
        <w:ind w:left="2655" w:right="-20" w:hanging="248"/>
        <w:jc w:val="left"/>
        <w:rPr>
          <w:sz w:val="20"/>
        </w:rPr>
      </w:pPr>
      <w:r>
        <w:rPr/>
        <w:pict>
          <v:shape style="position:absolute;margin-left:158pt;margin-top:47.389881pt;width:58.8pt;height:20.05pt;mso-position-horizontal-relative:page;mso-position-vertical-relative:paragraph;z-index:4240" type="#_x0000_t202" filled="false" stroked="true" strokeweight=".5pt" strokecolor="#000000">
            <v:textbox inset="0,0,0,0">
              <w:txbxContent>
                <w:p>
                  <w:pPr>
                    <w:spacing w:before="73"/>
                    <w:ind w:left="288" w:right="0" w:firstLine="0"/>
                    <w:jc w:val="left"/>
                    <w:rPr>
                      <w:sz w:val="20"/>
                    </w:rPr>
                  </w:pPr>
                  <w:r>
                    <w:rPr>
                      <w:sz w:val="20"/>
                    </w:rPr>
                    <w:t>Donde</w:t>
                  </w:r>
                </w:p>
              </w:txbxContent>
            </v:textbox>
            <w10:wrap type="none"/>
          </v:shape>
        </w:pict>
      </w:r>
      <w:r>
        <w:rPr/>
        <w:pict>
          <v:shape style="position:absolute;margin-left:392.850006pt;margin-top:46.189884pt;width:58.8pt;height:20.05pt;mso-position-horizontal-relative:page;mso-position-vertical-relative:paragraph;z-index:4264" type="#_x0000_t202" filled="false" stroked="true" strokeweight=".5pt" strokecolor="#000000">
            <v:textbox inset="0,0,0,0">
              <w:txbxContent>
                <w:p>
                  <w:pPr>
                    <w:spacing w:before="73"/>
                    <w:ind w:left="383" w:right="383" w:firstLine="0"/>
                    <w:jc w:val="center"/>
                    <w:rPr>
                      <w:sz w:val="20"/>
                    </w:rPr>
                  </w:pPr>
                  <w:r>
                    <w:rPr>
                      <w:sz w:val="20"/>
                    </w:rPr>
                    <w:t>Por</w:t>
                  </w:r>
                </w:p>
              </w:txbxContent>
            </v:textbox>
            <w10:wrap type="none"/>
          </v:shape>
        </w:pict>
      </w:r>
      <w:r>
        <w:rPr>
          <w:sz w:val="20"/>
        </w:rPr>
        <w:t>Revisión bibliográfica y trabajo de campo</w:t>
      </w:r>
    </w:p>
    <w:p>
      <w:pPr>
        <w:spacing w:line="276" w:lineRule="auto" w:before="15"/>
        <w:ind w:left="2991" w:right="-15" w:hanging="584"/>
        <w:jc w:val="left"/>
        <w:rPr>
          <w:sz w:val="20"/>
        </w:rPr>
      </w:pPr>
      <w:r>
        <w:rPr/>
        <w:br w:type="column"/>
      </w:r>
      <w:r>
        <w:rPr>
          <w:sz w:val="20"/>
        </w:rPr>
        <w:t>Las</w:t>
      </w:r>
      <w:r>
        <w:rPr>
          <w:spacing w:val="-6"/>
          <w:sz w:val="20"/>
        </w:rPr>
        <w:t> </w:t>
      </w:r>
      <w:r>
        <w:rPr>
          <w:sz w:val="20"/>
        </w:rPr>
        <w:t>Consideraciones teóricas</w:t>
      </w:r>
    </w:p>
    <w:p>
      <w:pPr>
        <w:pStyle w:val="BodyText"/>
        <w:rPr>
          <w:sz w:val="20"/>
        </w:rPr>
      </w:pPr>
      <w:r>
        <w:rPr/>
        <w:br w:type="column"/>
      </w:r>
      <w:r>
        <w:rPr>
          <w:sz w:val="20"/>
        </w:rPr>
      </w:r>
    </w:p>
    <w:p>
      <w:pPr>
        <w:pStyle w:val="BodyText"/>
        <w:spacing w:before="7"/>
      </w:pPr>
    </w:p>
    <w:p>
      <w:pPr>
        <w:spacing w:line="276" w:lineRule="auto" w:before="0"/>
        <w:ind w:left="2405" w:right="1756" w:firstLine="2"/>
        <w:jc w:val="center"/>
        <w:rPr>
          <w:sz w:val="20"/>
        </w:rPr>
      </w:pPr>
      <w:r>
        <w:rPr/>
        <w:pict>
          <v:shape style="position:absolute;margin-left:619.950012pt;margin-top:-33.890118pt;width:58.8pt;height:20.05pt;mso-position-horizontal-relative:page;mso-position-vertical-relative:paragraph;z-index:4216" type="#_x0000_t202" filled="false" stroked="true" strokeweight=".5pt" strokecolor="#000000">
            <v:textbox inset="0,0,0,0">
              <w:txbxContent>
                <w:p>
                  <w:pPr>
                    <w:spacing w:before="73"/>
                    <w:ind w:left="145" w:right="0" w:firstLine="0"/>
                    <w:jc w:val="left"/>
                    <w:rPr>
                      <w:sz w:val="20"/>
                    </w:rPr>
                  </w:pPr>
                  <w:r>
                    <w:rPr>
                      <w:sz w:val="20"/>
                    </w:rPr>
                    <w:t>Se pudo</w:t>
                  </w:r>
                </w:p>
              </w:txbxContent>
            </v:textbox>
            <w10:wrap type="none"/>
          </v:shape>
        </w:pict>
      </w:r>
      <w:r>
        <w:rPr/>
        <w:pict>
          <v:shape style="position:absolute;margin-left:524.309265pt;margin-top:36.966961pt;width:12pt;height:90.95pt;mso-position-horizontal-relative:page;mso-position-vertical-relative:paragraph;z-index:4336" type="#_x0000_t202" filled="false" stroked="false">
            <v:textbox inset="0,0,0,0" style="layout-flow:vertical;mso-layout-flow-alt:bottom-to-top">
              <w:txbxContent>
                <w:p>
                  <w:pPr>
                    <w:spacing w:line="224" w:lineRule="exact" w:before="0"/>
                    <w:ind w:left="20" w:right="-220" w:firstLine="0"/>
                    <w:jc w:val="left"/>
                    <w:rPr>
                      <w:sz w:val="20"/>
                    </w:rPr>
                  </w:pPr>
                  <w:r>
                    <w:rPr>
                      <w:spacing w:val="-1"/>
                      <w:w w:val="99"/>
                      <w:sz w:val="20"/>
                    </w:rPr>
                    <w:t>P</w:t>
                  </w:r>
                  <w:r>
                    <w:rPr>
                      <w:w w:val="99"/>
                      <w:sz w:val="20"/>
                    </w:rPr>
                    <w:t>ara</w:t>
                  </w:r>
                  <w:r>
                    <w:rPr>
                      <w:spacing w:val="2"/>
                      <w:sz w:val="20"/>
                    </w:rPr>
                    <w:t> </w:t>
                  </w:r>
                  <w:r>
                    <w:rPr>
                      <w:w w:val="99"/>
                      <w:sz w:val="20"/>
                    </w:rPr>
                    <w:t>q</w:t>
                  </w:r>
                  <w:r>
                    <w:rPr>
                      <w:spacing w:val="-1"/>
                      <w:w w:val="99"/>
                      <w:sz w:val="20"/>
                    </w:rPr>
                    <w:t>u</w:t>
                  </w:r>
                  <w:r>
                    <w:rPr>
                      <w:w w:val="99"/>
                      <w:sz w:val="20"/>
                    </w:rPr>
                    <w:t>e</w:t>
                  </w:r>
                  <w:r>
                    <w:rPr>
                      <w:spacing w:val="-1"/>
                      <w:sz w:val="20"/>
                    </w:rPr>
                    <w:t> </w:t>
                  </w:r>
                  <w:r>
                    <w:rPr>
                      <w:w w:val="99"/>
                      <w:sz w:val="20"/>
                    </w:rPr>
                    <w:t>c</w:t>
                  </w:r>
                  <w:r>
                    <w:rPr>
                      <w:spacing w:val="1"/>
                      <w:w w:val="99"/>
                      <w:sz w:val="20"/>
                    </w:rPr>
                    <w:t>o</w:t>
                  </w:r>
                  <w:r>
                    <w:rPr>
                      <w:w w:val="99"/>
                      <w:sz w:val="20"/>
                    </w:rPr>
                    <w:t>n</w:t>
                  </w:r>
                  <w:r>
                    <w:rPr>
                      <w:spacing w:val="-1"/>
                      <w:sz w:val="20"/>
                    </w:rPr>
                    <w:t> </w:t>
                  </w:r>
                  <w:r>
                    <w:rPr>
                      <w:spacing w:val="-1"/>
                      <w:w w:val="99"/>
                      <w:sz w:val="20"/>
                    </w:rPr>
                    <w:t>e</w:t>
                  </w:r>
                  <w:r>
                    <w:rPr>
                      <w:spacing w:val="1"/>
                      <w:w w:val="99"/>
                      <w:sz w:val="20"/>
                    </w:rPr>
                    <w:t>s</w:t>
                  </w:r>
                  <w:r>
                    <w:rPr>
                      <w:w w:val="99"/>
                      <w:sz w:val="20"/>
                    </w:rPr>
                    <w:t>to</w:t>
                  </w:r>
                  <w:r>
                    <w:rPr>
                      <w:spacing w:val="3"/>
                      <w:sz w:val="20"/>
                    </w:rPr>
                    <w:t> </w:t>
                  </w:r>
                  <w:r>
                    <w:rPr>
                      <w:w w:val="99"/>
                      <w:sz w:val="20"/>
                    </w:rPr>
                    <w:t>y</w:t>
                  </w:r>
                </w:p>
              </w:txbxContent>
            </v:textbox>
            <w10:wrap type="none"/>
          </v:shape>
        </w:pict>
      </w:r>
      <w:r>
        <w:rPr>
          <w:sz w:val="20"/>
        </w:rPr>
        <w:t>Proponer El Comité Intermunicipal con</w:t>
      </w:r>
      <w:r>
        <w:rPr>
          <w:spacing w:val="-9"/>
          <w:sz w:val="20"/>
        </w:rPr>
        <w:t> </w:t>
      </w:r>
      <w:r>
        <w:rPr>
          <w:sz w:val="20"/>
        </w:rPr>
        <w:t>su Reglamento</w:t>
      </w:r>
    </w:p>
    <w:p>
      <w:pPr>
        <w:spacing w:after="0" w:line="276" w:lineRule="auto"/>
        <w:jc w:val="center"/>
        <w:rPr>
          <w:sz w:val="20"/>
        </w:rPr>
        <w:sectPr>
          <w:type w:val="continuous"/>
          <w:pgSz w:w="15840" w:h="12240" w:orient="landscape"/>
          <w:pgMar w:top="1360" w:bottom="1200" w:left="220" w:right="240"/>
          <w:cols w:num="3" w:equalWidth="0">
            <w:col w:w="4453" w:space="564"/>
            <w:col w:w="4274" w:space="40"/>
            <w:col w:w="6049"/>
          </w:cols>
        </w:sectPr>
      </w:pPr>
    </w:p>
    <w:p>
      <w:pPr>
        <w:pStyle w:val="BodyText"/>
        <w:spacing w:before="9"/>
        <w:rPr>
          <w:sz w:val="21"/>
        </w:rPr>
      </w:pPr>
    </w:p>
    <w:p>
      <w:pPr>
        <w:spacing w:after="0"/>
        <w:rPr>
          <w:sz w:val="21"/>
        </w:rPr>
        <w:sectPr>
          <w:type w:val="continuous"/>
          <w:pgSz w:w="15840" w:h="12240" w:orient="landscape"/>
          <w:pgMar w:top="1360" w:bottom="1200" w:left="220" w:right="240"/>
        </w:sectPr>
      </w:pPr>
    </w:p>
    <w:p>
      <w:pPr>
        <w:pStyle w:val="BodyText"/>
        <w:spacing w:before="9"/>
        <w:rPr>
          <w:sz w:val="19"/>
        </w:rPr>
      </w:pPr>
    </w:p>
    <w:p>
      <w:pPr>
        <w:spacing w:line="276" w:lineRule="auto" w:before="0"/>
        <w:ind w:left="2276" w:right="0" w:firstLine="0"/>
        <w:jc w:val="center"/>
        <w:rPr>
          <w:sz w:val="20"/>
        </w:rPr>
      </w:pPr>
      <w:r>
        <w:rPr/>
        <w:pict>
          <v:shape style="position:absolute;margin-left:50.66526pt;margin-top:3.423203pt;width:12pt;height:93.8pt;mso-position-horizontal-relative:page;mso-position-vertical-relative:paragraph;z-index:4288" type="#_x0000_t202" filled="false" stroked="false">
            <v:textbox inset="0,0,0,0" style="layout-flow:vertical;mso-layout-flow-alt:bottom-to-top">
              <w:txbxContent>
                <w:p>
                  <w:pPr>
                    <w:spacing w:line="224" w:lineRule="exact" w:before="0"/>
                    <w:ind w:left="20" w:right="-189" w:firstLine="0"/>
                    <w:jc w:val="left"/>
                    <w:rPr>
                      <w:sz w:val="20"/>
                    </w:rPr>
                  </w:pPr>
                  <w:r>
                    <w:rPr>
                      <w:w w:val="99"/>
                      <w:sz w:val="20"/>
                    </w:rPr>
                    <w:t>Lo</w:t>
                  </w:r>
                  <w:r>
                    <w:rPr>
                      <w:spacing w:val="-1"/>
                      <w:sz w:val="20"/>
                    </w:rPr>
                    <w:t> </w:t>
                  </w:r>
                  <w:r>
                    <w:rPr>
                      <w:spacing w:val="1"/>
                      <w:w w:val="99"/>
                      <w:sz w:val="20"/>
                    </w:rPr>
                    <w:t>q</w:t>
                  </w:r>
                  <w:r>
                    <w:rPr>
                      <w:w w:val="99"/>
                      <w:sz w:val="20"/>
                    </w:rPr>
                    <w:t>ue</w:t>
                  </w:r>
                  <w:r>
                    <w:rPr>
                      <w:spacing w:val="-1"/>
                      <w:sz w:val="20"/>
                    </w:rPr>
                    <w:t> </w:t>
                  </w:r>
                  <w:r>
                    <w:rPr>
                      <w:spacing w:val="1"/>
                      <w:w w:val="99"/>
                      <w:sz w:val="20"/>
                    </w:rPr>
                    <w:t>n</w:t>
                  </w:r>
                  <w:r>
                    <w:rPr>
                      <w:w w:val="99"/>
                      <w:sz w:val="20"/>
                    </w:rPr>
                    <w:t>os</w:t>
                  </w:r>
                  <w:r>
                    <w:rPr>
                      <w:sz w:val="20"/>
                    </w:rPr>
                    <w:t> </w:t>
                  </w:r>
                  <w:r>
                    <w:rPr>
                      <w:spacing w:val="1"/>
                      <w:w w:val="99"/>
                      <w:sz w:val="20"/>
                    </w:rPr>
                    <w:t>l</w:t>
                  </w:r>
                  <w:r>
                    <w:rPr>
                      <w:spacing w:val="-1"/>
                      <w:w w:val="99"/>
                      <w:sz w:val="20"/>
                    </w:rPr>
                    <w:t>l</w:t>
                  </w:r>
                  <w:r>
                    <w:rPr>
                      <w:spacing w:val="1"/>
                      <w:w w:val="99"/>
                      <w:sz w:val="20"/>
                    </w:rPr>
                    <w:t>e</w:t>
                  </w:r>
                  <w:r>
                    <w:rPr>
                      <w:spacing w:val="-2"/>
                      <w:w w:val="99"/>
                      <w:sz w:val="20"/>
                    </w:rPr>
                    <w:t>v</w:t>
                  </w:r>
                  <w:r>
                    <w:rPr>
                      <w:w w:val="99"/>
                      <w:sz w:val="20"/>
                    </w:rPr>
                    <w:t>ó</w:t>
                  </w:r>
                  <w:r>
                    <w:rPr>
                      <w:spacing w:val="-1"/>
                      <w:sz w:val="20"/>
                    </w:rPr>
                    <w:t> </w:t>
                  </w:r>
                  <w:r>
                    <w:rPr>
                      <w:w w:val="99"/>
                      <w:sz w:val="20"/>
                    </w:rPr>
                    <w:t>a</w:t>
                  </w:r>
                  <w:r>
                    <w:rPr>
                      <w:spacing w:val="2"/>
                      <w:sz w:val="20"/>
                    </w:rPr>
                    <w:t> </w:t>
                  </w:r>
                  <w:r>
                    <w:rPr>
                      <w:spacing w:val="1"/>
                      <w:w w:val="99"/>
                      <w:sz w:val="20"/>
                    </w:rPr>
                    <w:t>la</w:t>
                  </w:r>
                </w:p>
              </w:txbxContent>
            </v:textbox>
            <w10:wrap type="none"/>
          </v:shape>
        </w:pict>
      </w:r>
      <w:r>
        <w:rPr>
          <w:sz w:val="20"/>
        </w:rPr>
        <w:t>Se detectaron cuatro</w:t>
      </w:r>
      <w:r>
        <w:rPr>
          <w:spacing w:val="-8"/>
          <w:sz w:val="20"/>
        </w:rPr>
        <w:t> </w:t>
      </w:r>
      <w:r>
        <w:rPr>
          <w:sz w:val="20"/>
        </w:rPr>
        <w:t>mapas de actores: históricos, municipales, estatales y federales</w:t>
      </w:r>
    </w:p>
    <w:p>
      <w:pPr>
        <w:pStyle w:val="BodyText"/>
        <w:spacing w:before="1"/>
        <w:rPr>
          <w:sz w:val="27"/>
        </w:rPr>
      </w:pPr>
      <w:r>
        <w:rPr/>
        <w:pict>
          <v:shape style="position:absolute;margin-left:154.699997pt;margin-top:17.795078pt;width:58.8pt;height:20.05pt;mso-position-horizontal-relative:page;mso-position-vertical-relative:paragraph;z-index:4000;mso-wrap-distance-left:0;mso-wrap-distance-right:0" type="#_x0000_t202" filled="false" stroked="true" strokeweight=".5pt" strokecolor="#000000">
            <v:textbox inset="0,0,0,0">
              <w:txbxContent>
                <w:p>
                  <w:pPr>
                    <w:spacing w:before="74"/>
                    <w:ind w:left="383" w:right="385" w:firstLine="0"/>
                    <w:jc w:val="center"/>
                    <w:rPr>
                      <w:sz w:val="20"/>
                    </w:rPr>
                  </w:pPr>
                  <w:r>
                    <w:rPr>
                      <w:sz w:val="20"/>
                    </w:rPr>
                    <w:t>Con</w:t>
                  </w:r>
                </w:p>
              </w:txbxContent>
            </v:textbox>
            <w10:wrap type="topAndBottom"/>
          </v:shape>
        </w:pict>
      </w:r>
    </w:p>
    <w:p>
      <w:pPr>
        <w:pStyle w:val="BodyText"/>
        <w:spacing w:before="8"/>
        <w:rPr>
          <w:sz w:val="18"/>
        </w:rPr>
      </w:pPr>
    </w:p>
    <w:p>
      <w:pPr>
        <w:spacing w:before="0"/>
        <w:ind w:left="2358" w:right="0" w:firstLine="0"/>
        <w:jc w:val="left"/>
        <w:rPr>
          <w:sz w:val="20"/>
        </w:rPr>
      </w:pPr>
      <w:r>
        <w:rPr>
          <w:sz w:val="20"/>
        </w:rPr>
        <w:t>Sus redes y funciones</w:t>
      </w:r>
    </w:p>
    <w:p>
      <w:pPr>
        <w:pStyle w:val="BodyText"/>
        <w:rPr>
          <w:sz w:val="20"/>
        </w:rPr>
      </w:pPr>
    </w:p>
    <w:p>
      <w:pPr>
        <w:pStyle w:val="BodyText"/>
        <w:spacing w:before="4"/>
        <w:rPr>
          <w:sz w:val="13"/>
        </w:rPr>
      </w:pPr>
      <w:r>
        <w:rPr/>
        <w:pict>
          <v:shape style="position:absolute;margin-left:131.550003pt;margin-top:9.89184pt;width:107.25pt;height:20.05pt;mso-position-horizontal-relative:page;mso-position-vertical-relative:paragraph;z-index:4024;mso-wrap-distance-left:0;mso-wrap-distance-right:0" type="#_x0000_t202" filled="false" stroked="true" strokeweight=".5pt" strokecolor="#000000">
            <v:textbox inset="0,0,0,0">
              <w:txbxContent>
                <w:p>
                  <w:pPr>
                    <w:spacing w:before="74"/>
                    <w:ind w:left="350" w:right="0" w:firstLine="0"/>
                    <w:jc w:val="left"/>
                    <w:rPr>
                      <w:sz w:val="20"/>
                    </w:rPr>
                  </w:pPr>
                  <w:r>
                    <w:rPr>
                      <w:sz w:val="20"/>
                    </w:rPr>
                    <w:t>Que permitieron</w:t>
                  </w:r>
                </w:p>
              </w:txbxContent>
            </v:textbox>
            <w10:wrap type="topAndBottom"/>
          </v:shape>
        </w:pict>
      </w:r>
    </w:p>
    <w:p>
      <w:pPr>
        <w:pStyle w:val="BodyText"/>
        <w:rPr>
          <w:sz w:val="20"/>
        </w:rPr>
      </w:pPr>
    </w:p>
    <w:p>
      <w:pPr>
        <w:pStyle w:val="BodyText"/>
        <w:spacing w:before="149"/>
        <w:ind w:left="3032"/>
      </w:pPr>
      <w:r>
        <w:rPr/>
        <w:t>Analizar</w:t>
      </w:r>
    </w:p>
    <w:p>
      <w:pPr>
        <w:spacing w:line="276" w:lineRule="auto" w:before="74"/>
        <w:ind w:left="2434" w:right="0" w:hanging="159"/>
        <w:jc w:val="left"/>
        <w:rPr>
          <w:sz w:val="20"/>
        </w:rPr>
      </w:pPr>
      <w:r>
        <w:rPr/>
        <w:br w:type="column"/>
      </w:r>
      <w:r>
        <w:rPr>
          <w:sz w:val="20"/>
        </w:rPr>
        <w:t>AEPA (Ambiental, social, económica y política)</w:t>
      </w:r>
    </w:p>
    <w:p>
      <w:pPr>
        <w:pStyle w:val="BodyText"/>
        <w:spacing w:before="6"/>
        <w:rPr>
          <w:sz w:val="23"/>
        </w:rPr>
      </w:pPr>
      <w:r>
        <w:rPr/>
        <w:pict>
          <v:shape style="position:absolute;margin-left:392.350006pt;margin-top:15.74509pt;width:58.8pt;height:20.05pt;mso-position-horizontal-relative:page;mso-position-vertical-relative:paragraph;z-index:4048;mso-wrap-distance-left:0;mso-wrap-distance-right:0" type="#_x0000_t202" filled="false" stroked="true" strokeweight=".5pt" strokecolor="#000000">
            <v:textbox inset="0,0,0,0">
              <w:txbxContent>
                <w:p>
                  <w:pPr>
                    <w:spacing w:before="74"/>
                    <w:ind w:left="2" w:right="0" w:firstLine="0"/>
                    <w:jc w:val="center"/>
                    <w:rPr>
                      <w:sz w:val="20"/>
                    </w:rPr>
                  </w:pPr>
                  <w:r>
                    <w:rPr>
                      <w:w w:val="99"/>
                      <w:sz w:val="20"/>
                    </w:rPr>
                    <w:t>Y</w:t>
                  </w:r>
                </w:p>
              </w:txbxContent>
            </v:textbox>
            <w10:wrap type="topAndBottom"/>
          </v:shape>
        </w:pict>
      </w:r>
    </w:p>
    <w:p>
      <w:pPr>
        <w:pStyle w:val="BodyText"/>
        <w:spacing w:before="10"/>
        <w:rPr>
          <w:sz w:val="18"/>
        </w:rPr>
      </w:pPr>
    </w:p>
    <w:p>
      <w:pPr>
        <w:spacing w:line="681" w:lineRule="auto" w:before="1"/>
        <w:ind w:left="2343" w:right="0" w:firstLine="91"/>
        <w:jc w:val="left"/>
        <w:rPr>
          <w:sz w:val="20"/>
        </w:rPr>
      </w:pPr>
      <w:r>
        <w:rPr/>
        <w:pict>
          <v:shape style="position:absolute;margin-left:298.079254pt;margin-top:-55.14444pt;width:12pt;height:73.150pt;mso-position-horizontal-relative:page;mso-position-vertical-relative:paragraph;z-index:4312" type="#_x0000_t202" filled="false" stroked="false">
            <v:textbox inset="0,0,0,0" style="layout-flow:vertical;mso-layout-flow-alt:bottom-to-top">
              <w:txbxContent>
                <w:p>
                  <w:pPr>
                    <w:spacing w:line="224" w:lineRule="exact" w:before="0"/>
                    <w:ind w:left="20" w:right="-946" w:firstLine="0"/>
                    <w:jc w:val="left"/>
                    <w:rPr>
                      <w:sz w:val="20"/>
                    </w:rPr>
                  </w:pPr>
                  <w:r>
                    <w:rPr>
                      <w:w w:val="99"/>
                      <w:sz w:val="20"/>
                    </w:rPr>
                    <w:t>La</w:t>
                  </w:r>
                  <w:r>
                    <w:rPr>
                      <w:spacing w:val="-1"/>
                      <w:sz w:val="20"/>
                    </w:rPr>
                    <w:t> </w:t>
                  </w:r>
                  <w:r>
                    <w:rPr>
                      <w:w w:val="99"/>
                      <w:sz w:val="20"/>
                    </w:rPr>
                    <w:t>pr</w:t>
                  </w:r>
                  <w:r>
                    <w:rPr>
                      <w:spacing w:val="2"/>
                      <w:w w:val="99"/>
                      <w:sz w:val="20"/>
                    </w:rPr>
                    <w:t>o</w:t>
                  </w:r>
                  <w:r>
                    <w:rPr>
                      <w:w w:val="99"/>
                      <w:sz w:val="20"/>
                    </w:rPr>
                    <w:t>bl</w:t>
                  </w:r>
                  <w:r>
                    <w:rPr>
                      <w:w w:val="99"/>
                      <w:sz w:val="20"/>
                    </w:rPr>
                    <w:t>e</w:t>
                  </w:r>
                  <w:r>
                    <w:rPr>
                      <w:spacing w:val="4"/>
                      <w:w w:val="99"/>
                      <w:sz w:val="20"/>
                    </w:rPr>
                    <w:t>m</w:t>
                  </w:r>
                  <w:r>
                    <w:rPr>
                      <w:w w:val="99"/>
                      <w:sz w:val="20"/>
                    </w:rPr>
                    <w:t>át</w:t>
                  </w:r>
                  <w:r>
                    <w:rPr>
                      <w:spacing w:val="-2"/>
                      <w:w w:val="99"/>
                      <w:sz w:val="20"/>
                    </w:rPr>
                    <w:t>i</w:t>
                  </w:r>
                  <w:r>
                    <w:rPr>
                      <w:spacing w:val="1"/>
                      <w:w w:val="99"/>
                      <w:sz w:val="20"/>
                    </w:rPr>
                    <w:t>c</w:t>
                  </w:r>
                  <w:r>
                    <w:rPr>
                      <w:w w:val="99"/>
                      <w:sz w:val="20"/>
                    </w:rPr>
                    <w:t>a</w:t>
                  </w:r>
                </w:p>
              </w:txbxContent>
            </v:textbox>
            <w10:wrap type="none"/>
          </v:shape>
        </w:pict>
      </w:r>
      <w:r>
        <w:rPr>
          <w:sz w:val="20"/>
        </w:rPr>
        <w:t>Por grupo de actores Generó un sistema PEIR</w:t>
      </w:r>
    </w:p>
    <w:p>
      <w:pPr>
        <w:pStyle w:val="BodyText"/>
        <w:ind w:left="2835"/>
        <w:rPr>
          <w:sz w:val="20"/>
        </w:rPr>
      </w:pPr>
      <w:r>
        <w:rPr>
          <w:sz w:val="20"/>
        </w:rPr>
        <w:pict>
          <v:shape style="width:58.8pt;height:20.05pt;mso-position-horizontal-relative:char;mso-position-vertical-relative:line" type="#_x0000_t202" filled="false" stroked="true" strokeweight=".5pt" strokecolor="#000000">
            <w10:anchorlock/>
            <v:textbox inset="0,0,0,0">
              <w:txbxContent>
                <w:p>
                  <w:pPr>
                    <w:spacing w:before="73"/>
                    <w:ind w:left="372" w:right="0" w:firstLine="0"/>
                    <w:jc w:val="left"/>
                    <w:rPr>
                      <w:sz w:val="20"/>
                    </w:rPr>
                  </w:pPr>
                  <w:r>
                    <w:rPr>
                      <w:sz w:val="20"/>
                    </w:rPr>
                    <w:t>Para</w:t>
                  </w:r>
                </w:p>
              </w:txbxContent>
            </v:textbox>
          </v:shape>
        </w:pict>
      </w:r>
      <w:r>
        <w:rPr>
          <w:sz w:val="20"/>
        </w:rPr>
      </w:r>
    </w:p>
    <w:p>
      <w:pPr>
        <w:pStyle w:val="BodyText"/>
        <w:spacing w:before="5"/>
        <w:rPr>
          <w:sz w:val="21"/>
        </w:rPr>
      </w:pPr>
    </w:p>
    <w:p>
      <w:pPr>
        <w:spacing w:line="276" w:lineRule="auto" w:before="0"/>
        <w:ind w:left="2461" w:right="459" w:hanging="118"/>
        <w:jc w:val="left"/>
        <w:rPr>
          <w:sz w:val="20"/>
        </w:rPr>
      </w:pPr>
      <w:r>
        <w:rPr>
          <w:sz w:val="20"/>
        </w:rPr>
        <w:t>Obtener los factores críticos por AEPA</w:t>
      </w:r>
    </w:p>
    <w:p>
      <w:pPr>
        <w:pStyle w:val="BodyText"/>
        <w:rPr>
          <w:sz w:val="20"/>
        </w:rPr>
      </w:pPr>
      <w:r>
        <w:rPr/>
        <w:br w:type="column"/>
      </w:r>
      <w:r>
        <w:rPr>
          <w:sz w:val="20"/>
        </w:rPr>
      </w:r>
    </w:p>
    <w:p>
      <w:pPr>
        <w:pStyle w:val="BodyText"/>
        <w:spacing w:before="5"/>
        <w:rPr>
          <w:sz w:val="29"/>
        </w:rPr>
      </w:pPr>
    </w:p>
    <w:p>
      <w:pPr>
        <w:spacing w:line="276" w:lineRule="auto" w:before="0"/>
        <w:ind w:left="2064" w:right="1349" w:firstLine="0"/>
        <w:jc w:val="center"/>
        <w:rPr>
          <w:b/>
          <w:sz w:val="20"/>
        </w:rPr>
      </w:pPr>
      <w:r>
        <w:rPr>
          <w:b/>
          <w:sz w:val="20"/>
        </w:rPr>
        <w:t>Se hizo trabajo de campo transversal</w:t>
      </w:r>
    </w:p>
    <w:p>
      <w:pPr>
        <w:pStyle w:val="BodyText"/>
        <w:spacing w:before="6"/>
        <w:rPr>
          <w:b/>
          <w:sz w:val="26"/>
        </w:rPr>
      </w:pPr>
    </w:p>
    <w:p>
      <w:pPr>
        <w:spacing w:before="0"/>
        <w:ind w:left="2656" w:right="0" w:firstLine="0"/>
        <w:jc w:val="left"/>
        <w:rPr>
          <w:sz w:val="20"/>
        </w:rPr>
      </w:pPr>
      <w:r>
        <w:rPr>
          <w:sz w:val="20"/>
        </w:rPr>
        <w:t>Que consistió en</w:t>
      </w:r>
    </w:p>
    <w:p>
      <w:pPr>
        <w:pStyle w:val="BodyText"/>
        <w:rPr>
          <w:sz w:val="20"/>
        </w:rPr>
      </w:pPr>
    </w:p>
    <w:p>
      <w:pPr>
        <w:pStyle w:val="BodyText"/>
        <w:spacing w:before="7"/>
        <w:rPr>
          <w:sz w:val="21"/>
        </w:rPr>
      </w:pPr>
    </w:p>
    <w:p>
      <w:pPr>
        <w:pStyle w:val="Heading6"/>
        <w:spacing w:line="276" w:lineRule="auto"/>
        <w:ind w:left="1423" w:right="565" w:firstLine="2"/>
        <w:jc w:val="center"/>
      </w:pPr>
      <w:r>
        <w:rPr/>
        <w:t>Consultas a organizaciones ya establecidas</w:t>
      </w:r>
      <w:r>
        <w:rPr>
          <w:rFonts w:ascii="Times New Roman" w:hAnsi="Times New Roman"/>
        </w:rPr>
        <w:t>: </w:t>
      </w:r>
      <w:r>
        <w:rPr/>
        <w:t>Ejidatarios, Comisariados Ejidales, Delegados, Asociaciones Civiles, Cooperativas Ganaderas, de Pescadores, Comité Hidráulico, El Municipio, La Conagua</w:t>
      </w:r>
    </w:p>
    <w:p>
      <w:pPr>
        <w:spacing w:after="0" w:line="276" w:lineRule="auto"/>
        <w:jc w:val="center"/>
        <w:sectPr>
          <w:type w:val="continuous"/>
          <w:pgSz w:w="15840" w:h="12240" w:orient="landscape"/>
          <w:pgMar w:top="1360" w:bottom="1200" w:left="220" w:right="240"/>
          <w:cols w:num="3" w:equalWidth="0">
            <w:col w:w="4787" w:space="64"/>
            <w:col w:w="4623" w:space="40"/>
            <w:col w:w="5866"/>
          </w:cols>
        </w:sectPr>
      </w:pPr>
    </w:p>
    <w:p>
      <w:pPr>
        <w:pStyle w:val="BodyText"/>
        <w:spacing w:before="8"/>
        <w:rPr>
          <w:b/>
          <w:sz w:val="14"/>
        </w:rPr>
      </w:pPr>
    </w:p>
    <w:p>
      <w:pPr>
        <w:spacing w:line="240" w:lineRule="auto" w:before="74"/>
        <w:ind w:left="10588" w:right="104" w:firstLine="0"/>
        <w:jc w:val="both"/>
        <w:rPr>
          <w:sz w:val="20"/>
        </w:rPr>
      </w:pPr>
      <w:r>
        <w:rPr>
          <w:b/>
          <w:sz w:val="20"/>
        </w:rPr>
        <w:t>Fuente: </w:t>
      </w:r>
      <w:r>
        <w:rPr>
          <w:sz w:val="20"/>
        </w:rPr>
        <w:t>Elaboración propia con base en la revisión bibliográfica y trabajo de campo, García (2013- 2015).</w:t>
      </w:r>
    </w:p>
    <w:p>
      <w:pPr>
        <w:spacing w:after="0" w:line="240" w:lineRule="auto"/>
        <w:jc w:val="both"/>
        <w:rPr>
          <w:sz w:val="20"/>
        </w:rPr>
        <w:sectPr>
          <w:type w:val="continuous"/>
          <w:pgSz w:w="15840" w:h="12240" w:orient="landscape"/>
          <w:pgMar w:top="1360" w:bottom="1200" w:left="220" w:right="240"/>
        </w:sectPr>
      </w:pPr>
    </w:p>
    <w:p>
      <w:pPr>
        <w:pStyle w:val="BodyText"/>
        <w:rPr>
          <w:sz w:val="20"/>
        </w:rPr>
      </w:pPr>
      <w:r>
        <w:rPr/>
        <w:pict>
          <v:shape style="position:absolute;margin-left:218.344131pt;margin-top:325.15152pt;width:13.05pt;height:42.45pt;mso-position-horizontal-relative:page;mso-position-vertical-relative:page;z-index:5440" type="#_x0000_t202" filled="false" stroked="false">
            <v:textbox inset="0,0,0,0" style="layout-flow:vertical;mso-layout-flow-alt:bottom-to-top">
              <w:txbxContent>
                <w:p>
                  <w:pPr>
                    <w:pStyle w:val="BodyText"/>
                    <w:spacing w:line="246" w:lineRule="exact"/>
                    <w:ind w:left="20" w:right="-585"/>
                  </w:pPr>
                  <w:r>
                    <w:rPr>
                      <w:spacing w:val="-1"/>
                      <w:w w:val="100"/>
                    </w:rPr>
                    <w:t>P</w:t>
                  </w:r>
                  <w:r>
                    <w:rPr>
                      <w:w w:val="100"/>
                    </w:rPr>
                    <w:t>er</w:t>
                  </w:r>
                  <w:r>
                    <w:rPr>
                      <w:spacing w:val="1"/>
                      <w:w w:val="100"/>
                    </w:rPr>
                    <w:t>m</w:t>
                  </w:r>
                  <w:r>
                    <w:rPr>
                      <w:spacing w:val="-2"/>
                      <w:w w:val="100"/>
                    </w:rPr>
                    <w:t>i</w:t>
                  </w:r>
                  <w:r>
                    <w:rPr>
                      <w:w w:val="100"/>
                    </w:rPr>
                    <w:t>t</w:t>
                  </w:r>
                  <w:r>
                    <w:rPr>
                      <w:spacing w:val="-2"/>
                      <w:w w:val="100"/>
                    </w:rPr>
                    <w:t>i</w:t>
                  </w:r>
                  <w:r>
                    <w:rPr>
                      <w:w w:val="100"/>
                    </w:rPr>
                    <w:t>ó</w:t>
                  </w:r>
                </w:p>
              </w:txbxContent>
            </v:textbox>
            <w10:wrap type="none"/>
          </v:shape>
        </w:pict>
      </w:r>
      <w:r>
        <w:rPr/>
        <w:pict>
          <v:shape style="position:absolute;margin-left:450.444122pt;margin-top:300.567688pt;width:13.05pt;height:25.3pt;mso-position-horizontal-relative:page;mso-position-vertical-relative:page;z-index:5464" type="#_x0000_t202" filled="false" stroked="false">
            <v:textbox inset="0,0,0,0" style="layout-flow:vertical;mso-layout-flow-alt:bottom-to-top">
              <w:txbxContent>
                <w:p>
                  <w:pPr>
                    <w:pStyle w:val="BodyText"/>
                    <w:spacing w:line="246" w:lineRule="exact"/>
                    <w:ind w:left="20" w:right="-245"/>
                  </w:pPr>
                  <w:r>
                    <w:rPr>
                      <w:spacing w:val="-1"/>
                      <w:w w:val="100"/>
                    </w:rPr>
                    <w:t>P</w:t>
                  </w:r>
                  <w:r>
                    <w:rPr>
                      <w:w w:val="100"/>
                    </w:rPr>
                    <w:t>ara</w:t>
                  </w:r>
                </w:p>
              </w:txbxContent>
            </v:textbox>
            <w10:wrap type="none"/>
          </v:shape>
        </w:pict>
      </w:r>
      <w:r>
        <w:rPr/>
        <w:pict>
          <v:shape style="position:absolute;margin-left:593.00415pt;margin-top:283.527679pt;width:13.05pt;height:25.3pt;mso-position-horizontal-relative:page;mso-position-vertical-relative:page;z-index:5488" type="#_x0000_t202" filled="false" stroked="false">
            <v:textbox inset="0,0,0,0" style="layout-flow:vertical;mso-layout-flow-alt:bottom-to-top">
              <w:txbxContent>
                <w:p>
                  <w:pPr>
                    <w:pStyle w:val="BodyText"/>
                    <w:spacing w:line="246" w:lineRule="exact"/>
                    <w:ind w:left="20" w:right="-245"/>
                  </w:pPr>
                  <w:r>
                    <w:rPr>
                      <w:spacing w:val="-1"/>
                      <w:w w:val="100"/>
                    </w:rPr>
                    <w:t>P</w:t>
                  </w:r>
                  <w:r>
                    <w:rPr>
                      <w:w w:val="100"/>
                    </w:rPr>
                    <w:t>ara</w:t>
                  </w:r>
                </w:p>
              </w:txbxContent>
            </v:textbox>
            <w10:wrap type="none"/>
          </v:shape>
        </w:pict>
      </w:r>
      <w:r>
        <w:rPr/>
        <w:pict>
          <v:shape style="position:absolute;margin-left:746.994141pt;margin-top:221.218079pt;width:13.05pt;height:47.25pt;mso-position-horizontal-relative:page;mso-position-vertical-relative:page;z-index:5512" type="#_x0000_t202" filled="false" stroked="false">
            <v:textbox inset="0,0,0,0" style="layout-flow:vertical;mso-layout-flow-alt:bottom-to-top">
              <w:txbxContent>
                <w:p>
                  <w:pPr>
                    <w:pStyle w:val="BodyText"/>
                    <w:spacing w:line="246" w:lineRule="exact"/>
                    <w:ind w:left="20" w:right="-682"/>
                  </w:pPr>
                  <w:r>
                    <w:rPr>
                      <w:spacing w:val="-4"/>
                      <w:w w:val="100"/>
                    </w:rPr>
                    <w:t>M</w:t>
                  </w:r>
                  <w:r>
                    <w:rPr>
                      <w:w w:val="100"/>
                    </w:rPr>
                    <w:t>e</w:t>
                  </w:r>
                  <w:r>
                    <w:rPr>
                      <w:spacing w:val="1"/>
                      <w:w w:val="100"/>
                    </w:rPr>
                    <w:t>d</w:t>
                  </w:r>
                  <w:r>
                    <w:rPr>
                      <w:spacing w:val="-2"/>
                      <w:w w:val="100"/>
                    </w:rPr>
                    <w:t>i</w:t>
                  </w:r>
                  <w:r>
                    <w:rPr>
                      <w:w w:val="100"/>
                    </w:rPr>
                    <w:t>a</w:t>
                  </w:r>
                  <w:r>
                    <w:rPr>
                      <w:spacing w:val="-1"/>
                      <w:w w:val="100"/>
                    </w:rPr>
                    <w:t>n</w:t>
                  </w:r>
                  <w:r>
                    <w:rPr>
                      <w:w w:val="100"/>
                    </w:rPr>
                    <w:t>t</w:t>
                  </w:r>
                  <w:r>
                    <w:rPr>
                      <w:w w:val="100"/>
                    </w:rPr>
                    <w:t>e</w:t>
                  </w:r>
                </w:p>
              </w:txbxContent>
            </v:textbox>
            <w10:wrap type="none"/>
          </v:shape>
        </w:pict>
      </w:r>
    </w:p>
    <w:p>
      <w:pPr>
        <w:pStyle w:val="BodyText"/>
        <w:rPr>
          <w:sz w:val="20"/>
        </w:rPr>
      </w:pPr>
    </w:p>
    <w:p>
      <w:pPr>
        <w:pStyle w:val="BodyText"/>
        <w:rPr>
          <w:sz w:val="20"/>
        </w:rPr>
      </w:pPr>
    </w:p>
    <w:p>
      <w:pPr>
        <w:pStyle w:val="BodyText"/>
        <w:spacing w:before="5"/>
        <w:rPr>
          <w:sz w:val="21"/>
        </w:rPr>
      </w:pPr>
    </w:p>
    <w:p>
      <w:pPr>
        <w:pStyle w:val="Heading6"/>
        <w:spacing w:before="1"/>
        <w:ind w:left="1095"/>
      </w:pPr>
      <w:r>
        <w:rPr/>
        <w:pict>
          <v:group style="position:absolute;margin-left:253pt;margin-top:21.512878pt;width:530.5pt;height:443.1pt;mso-position-horizontal-relative:page;mso-position-vertical-relative:paragraph;z-index:-3338272" coordorigin="5060,430" coordsize="10610,8862">
            <v:rect style="position:absolute;left:5082;top:1830;width:3885;height:744" filled="false" stroked="true" strokeweight="1pt" strokecolor="#000000"/>
            <v:shape style="position:absolute;left:6369;top:1184;width:191;height:2035" coordorigin="6369,1184" coordsize="191,2035" path="m6527,1694l6525,1689,6522,1687,6518,1685,6514,1686,6512,1690,6455,1786,6455,1184,6440,1184,6440,1786,6384,1690,6382,1686,6378,1685,6374,1687,6371,1689,6369,1694,6372,1698,6448,1829,6457,1814,6524,1698,6527,1694m6560,3084l6558,3079,6555,3077,6551,3075,6547,3076,6489,3176,6488,3203,6488,3200,6488,3176,6488,2573,6473,2573,6474,3176,6481,3189,6473,3176,6415,3076,6411,3075,6407,3077,6404,3079,6402,3084,6405,3087,6481,3218,6490,3203,6557,3087,6560,3084e" filled="true" fillcolor="#000000" stroked="false">
              <v:path arrowok="t"/>
              <v:fill type="solid"/>
            </v:shape>
            <v:shape style="position:absolute;left:9356;top:727;width:2512;height:3372" coordorigin="9356,727" coordsize="2512,3372" path="m9356,4098l11771,4098,11771,2998,9356,2998,9356,4098xm9453,2251l11868,2251,11868,727,9453,727,9453,2251xe" filled="false" stroked="true" strokeweight="1pt" strokecolor="#000000">
              <v:path arrowok="t"/>
            </v:shape>
            <v:shape style="position:absolute;left:9856;top:2317;width:158;height:610" coordorigin="9856,2317" coordsize="158,610" path="m9865,2783l9861,2785,9858,2787,9856,2792,9859,2795,9935,2927,9944,2912,9927,2912,9927,2884,9871,2788,9869,2784,9865,2783xm9927,2884l9927,2912,9942,2912,9942,2908,9929,2908,9935,2897,9927,2884xm10005,2783l10001,2784,9999,2788,9943,2884,9942,2912,9944,2912,10011,2795,10014,2792,10012,2787,10009,2785,10005,2783xm9935,2897l9929,2908,9941,2908,9935,2897xm9942,2884l9935,2897,9941,2908,9942,2908,9942,2884xm9942,2317l9927,2317,9928,2884,9935,2897,9942,2884,9942,2317xe" filled="true" fillcolor="#000000" stroked="false">
              <v:path arrowok="t"/>
              <v:fill type="solid"/>
            </v:shape>
            <v:rect style="position:absolute;left:9453;top:4829;width:2325;height:897" filled="false" stroked="true" strokeweight="1pt" strokecolor="#000000"/>
            <v:shape style="position:absolute;left:9861;top:4244;width:158;height:567" coordorigin="9861,4244" coordsize="158,567" path="m9870,4667l9866,4669,9863,4672,9861,4676,9864,4680,9940,4811,9949,4796,9932,4796,9932,4768,9876,4672,9874,4669,9870,4667xm9932,4768l9932,4796,9947,4796,9947,4792,9934,4792,9940,4781,9932,4768xm10010,4667l10006,4669,10004,4672,9948,4768,9947,4796,9949,4796,10016,4680,10019,4676,10017,4672,10014,4669,10010,4667xm9940,4781l9934,4792,9946,4792,9940,4781xm9947,4769l9940,4781,9946,4792,9947,4792,9947,4769xm9947,4244l9932,4244,9933,4769,9940,4781,9947,4769,9947,4244xe" filled="true" fillcolor="#000000" stroked="false">
              <v:path arrowok="t"/>
              <v:fill type="solid"/>
            </v:shape>
            <v:rect style="position:absolute;left:9401;top:6302;width:2325;height:813" filled="false" stroked="true" strokeweight="1pt" strokecolor="#000000"/>
            <v:shape style="position:absolute;left:9872;top:5719;width:158;height:553" coordorigin="9872,5719" coordsize="158,553" path="m9881,6129l9874,6133,9872,6138,9875,6141,9951,6272,9960,6257,9943,6257,9943,6230,9887,6134,9885,6130,9881,6129xm9943,6230l9943,6257,9958,6257,9958,6254,9945,6254,9951,6243,9943,6230xm10021,6129l10017,6130,10015,6134,9959,6230,9958,6257,9960,6257,10027,6141,10030,6138,10028,6133,10021,6129xm9951,6243l9945,6254,9957,6254,9951,6243xm9958,6230l9951,6243,9957,6254,9958,6254,9958,6230xm9958,5719l9943,5719,9944,6230,9951,6243,9958,6230,9958,5719xe" filled="true" fillcolor="#000000" stroked="false">
              <v:path arrowok="t"/>
              <v:fill type="solid"/>
            </v:shape>
            <v:rect style="position:absolute;left:9402;top:7707;width:2236;height:1168" filled="false" stroked="true" strokeweight="1pt" strokecolor="#000000"/>
            <v:shape style="position:absolute;left:8873;top:1152;width:1152;height:7841" coordorigin="8873,1152" coordsize="1152,7841" path="m9443,1231l9430,1223,9312,1154,9308,1152,9304,1153,9302,1157,9300,1161,9301,1165,9304,1167,9400,1223,9154,1223,9150,1227,9150,8978,8873,8978,8873,8993,9162,8993,9165,8990,9165,8986,9165,8978,9165,1238,9400,1238,9304,1294,9301,1296,9300,1301,9302,1304,9304,1308,9308,1309,9312,1307,9430,1238,9443,1231m10025,7568l10023,7564,10020,7562,10016,7559,10012,7561,10010,7564,9954,7660,9953,7688,9953,7684,9953,7661,9953,7122,9938,7122,9939,7661,9946,7673,9938,7660,9882,7564,9880,7561,9876,7559,9872,7562,9869,7564,9867,7568,9870,7572,9946,7703,9955,7688,10022,7572,10025,7568e" filled="true" fillcolor="#000000" stroked="false">
              <v:path arrowok="t"/>
              <v:fill type="solid"/>
            </v:shape>
            <v:rect style="position:absolute;left:12214;top:575;width:2490;height:2354" filled="false" stroked="true" strokeweight="1pt" strokecolor="#000000"/>
            <v:shape style="position:absolute;left:12699;top:3003;width:158;height:581" coordorigin="12699,3003" coordsize="158,581" path="m12708,3441l12704,3443,12701,3445,12699,3450,12702,3453,12778,3584,12787,3569,12770,3569,12770,3542,12714,3446,12712,3442,12708,3441xm12770,3542l12770,3569,12785,3569,12785,3566,12772,3566,12778,3555,12770,3542xm12848,3441l12844,3442,12842,3446,12785,3542,12785,3569,12787,3569,12854,3453,12857,3450,12855,3445,12852,3443,12848,3441xm12778,3555l12772,3566,12784,3566,12778,3555xm12785,3542l12778,3555,12784,3566,12785,3566,12785,3542xm12785,3003l12770,3003,12770,3542,12778,3555,12785,3542,12785,3003xe" filled="true" fillcolor="#000000" stroked="false">
              <v:path arrowok="t"/>
              <v:fill type="solid"/>
            </v:shape>
            <v:rect style="position:absolute;left:12214;top:7148;width:2642;height:1620" filled="false" stroked="true" strokeweight="1pt" strokecolor="#000000"/>
            <v:shape style="position:absolute;left:11637;top:900;width:570;height:7841" coordorigin="11637,900" coordsize="570,7841" path="m11914,8726l11637,8726,11637,8741,11926,8741,11929,8738,11929,8734,11914,8734,11914,8726xm12164,971l11918,971,11914,975,11914,8734,11922,8726,11929,8726,11929,986,11922,986,11929,979,12177,979,12177,979,12164,971xm11929,8726l11922,8726,11914,8734,11929,8734,11929,8726xm12177,979l12068,1042,12065,1044,12064,1049,12066,1052,12068,1056,12072,1057,12076,1055,12194,986,12192,986,12192,985,12188,985,12177,979xm11929,979l11922,986,11929,986,11929,979xm12177,979l11929,979,11929,986,12164,986,12177,979xm12194,971l12192,971,12192,986,12194,986,12207,979,12194,971xm12188,972l12177,979,12188,985,12188,972xm12192,972l12188,972,12188,985,12192,985,12192,972xm12072,900l12068,901,12066,905,12064,909,12065,913,12068,915,12177,979,12188,972,12192,972,12192,971,12194,971,12076,902,12072,900xe" filled="true" fillcolor="#000000" stroked="false">
              <v:path arrowok="t"/>
              <v:fill type="solid"/>
            </v:shape>
            <v:shape style="position:absolute;left:12803;top:4614;width:158;height:581" coordorigin="12803,4614" coordsize="158,581" path="m12812,5051l12808,5053,12805,5055,12803,5060,12806,5064,12882,5195,12891,5180,12874,5180,12874,5152,12818,5056,12816,5052,12812,5051xm12874,5152l12874,5180,12889,5180,12889,5176,12876,5176,12882,5165,12874,5152xm12952,5051l12948,5052,12946,5056,12890,5152,12889,5180,12891,5180,12958,5064,12961,5060,12959,5055,12956,5053,12952,5051xm12882,5165l12876,5176,12888,5176,12882,5165xm12889,5152l12882,5165,12888,5176,12889,5176,12889,5152xm12889,4614l12874,4614,12875,5152,12882,5165,12889,5152,12889,4614xe" filled="true" fillcolor="#000000" stroked="false">
              <v:path arrowok="t"/>
              <v:fill type="solid"/>
            </v:shape>
            <v:rect style="position:absolute;left:12112;top:5284;width:2325;height:1168" filled="true" fillcolor="#ffffff" stroked="false">
              <v:fill type="solid"/>
            </v:rect>
            <v:shape style="position:absolute;left:12805;top:6445;width:158;height:581" coordorigin="12805,6445" coordsize="158,581" path="m12814,6883l12810,6885,12807,6887,12805,6892,12808,6895,12884,7026,12893,7011,12876,7011,12876,6984,12820,6888,12818,6884,12814,6883xm12876,6984l12876,7011,12891,7011,12891,7008,12878,7008,12884,6997,12876,6984xm12954,6883l12950,6884,12948,6888,12892,6984,12891,7011,12893,7011,12960,6895,12963,6892,12961,6887,12958,6885,12954,6883xm12884,6997l12878,7008,12890,7008,12884,6997xm12891,6984l12884,6997,12890,7008,12891,7008,12891,6984xm12891,6445l12876,6445,12877,6984,12884,6997,12891,6984,12891,6445xe" filled="true" fillcolor="#000000" stroked="false">
              <v:path arrowok="t"/>
              <v:fill type="solid"/>
            </v:shape>
            <v:shape style="position:absolute;left:11773;top:3354;width:393;height:1257" type="#_x0000_t75" stroked="false">
              <v:imagedata r:id="rId85" o:title=""/>
            </v:shape>
            <v:shape style="position:absolute;left:8922;top:3695;width:393;height:1257" type="#_x0000_t75" stroked="false">
              <v:imagedata r:id="rId86" o:title=""/>
            </v:shape>
            <v:shape style="position:absolute;left:6392;top:5097;width:158;height:421" coordorigin="6392,5097" coordsize="158,421" path="m6401,5374l6397,5376,6394,5378,6392,5383,6395,5386,6471,5518,6480,5503,6463,5503,6463,5475,6407,5379,6405,5375,6401,5374xm6463,5475l6463,5503,6478,5503,6478,5499,6465,5499,6471,5488,6463,5475xm6541,5374l6537,5375,6535,5379,6479,5475,6478,5503,6480,5503,6547,5386,6550,5383,6548,5378,6545,5376,6541,5374xm6471,5488l6465,5499,6477,5499,6471,5488xm6478,5475l6471,5488,6477,5499,6478,5499,6478,5475xm6478,5097l6463,5097,6464,5475,6471,5488,6478,5475,6478,5097xe" filled="true" fillcolor="#000000" stroked="false">
              <v:path arrowok="t"/>
              <v:fill type="solid"/>
            </v:shape>
            <v:shape style="position:absolute;left:14552;top:438;width:1110;height:8805" coordorigin="14552,438" coordsize="1110,8805" path="m14552,438l14664,440,14768,446,14862,456,14944,469,15012,485,15096,524,15107,545,15107,4733,15118,4754,15202,4793,15270,4809,15352,4822,15446,4832,15550,4838,15662,4840,15550,4842,15446,4849,15352,4859,15270,4872,15202,4888,15118,4926,15107,4948,15107,9135,15096,9157,15012,9195,14944,9211,14862,9224,14768,9234,14664,9241,14552,9243e" filled="false" stroked="true" strokeweight=".75pt" strokecolor="#000000">
              <v:path arrowok="t"/>
            </v:shape>
            <v:shape style="position:absolute;left:14933;top:1614;width:293;height:2182" type="#_x0000_t75" stroked="false">
              <v:imagedata r:id="rId45" o:title=""/>
            </v:shape>
            <v:shape style="position:absolute;left:6978;top:1389;width:466;height:221" type="#_x0000_t202" filled="false" stroked="false">
              <v:textbox inset="0,0,0,0">
                <w:txbxContent>
                  <w:p>
                    <w:pPr>
                      <w:spacing w:line="221" w:lineRule="exact" w:before="0"/>
                      <w:ind w:left="0" w:right="-19" w:firstLine="0"/>
                      <w:jc w:val="left"/>
                      <w:rPr>
                        <w:sz w:val="22"/>
                      </w:rPr>
                    </w:pPr>
                    <w:r>
                      <w:rPr>
                        <w:sz w:val="22"/>
                      </w:rPr>
                      <w:t>Para</w:t>
                    </w:r>
                  </w:p>
                </w:txbxContent>
              </v:textbox>
              <w10:wrap type="none"/>
            </v:shape>
            <v:shape style="position:absolute;left:9726;top:832;width:1872;height:1092" type="#_x0000_t202" filled="false" stroked="false">
              <v:textbox inset="0,0,0,0">
                <w:txbxContent>
                  <w:p>
                    <w:pPr>
                      <w:spacing w:line="226" w:lineRule="exact" w:before="0"/>
                      <w:ind w:left="0" w:right="0" w:firstLine="0"/>
                      <w:jc w:val="center"/>
                      <w:rPr>
                        <w:b/>
                        <w:sz w:val="22"/>
                      </w:rPr>
                    </w:pPr>
                    <w:r>
                      <w:rPr>
                        <w:b/>
                        <w:sz w:val="22"/>
                      </w:rPr>
                      <w:t>Elaboración de la</w:t>
                    </w:r>
                  </w:p>
                  <w:p>
                    <w:pPr>
                      <w:spacing w:line="290" w:lineRule="atLeast" w:before="0"/>
                      <w:ind w:left="0" w:right="0" w:firstLine="0"/>
                      <w:jc w:val="center"/>
                      <w:rPr>
                        <w:b/>
                        <w:sz w:val="22"/>
                      </w:rPr>
                    </w:pPr>
                    <w:r>
                      <w:rPr>
                        <w:b/>
                        <w:sz w:val="22"/>
                      </w:rPr>
                      <w:t>guía de entrevista por grupo de actores</w:t>
                    </w:r>
                  </w:p>
                </w:txbxContent>
              </v:textbox>
              <w10:wrap type="none"/>
            </v:shape>
            <v:shape style="position:absolute;left:5571;top:1934;width:2909;height:515" type="#_x0000_t202" filled="false" stroked="false">
              <v:textbox inset="0,0,0,0">
                <w:txbxContent>
                  <w:p>
                    <w:pPr>
                      <w:spacing w:line="226" w:lineRule="exact" w:before="0"/>
                      <w:ind w:left="0" w:right="0" w:firstLine="0"/>
                      <w:jc w:val="center"/>
                      <w:rPr>
                        <w:b/>
                        <w:sz w:val="22"/>
                      </w:rPr>
                    </w:pPr>
                    <w:r>
                      <w:rPr>
                        <w:b/>
                        <w:sz w:val="22"/>
                      </w:rPr>
                      <w:t>Conformación de la</w:t>
                    </w:r>
                    <w:r>
                      <w:rPr>
                        <w:b/>
                        <w:spacing w:val="-9"/>
                        <w:sz w:val="22"/>
                      </w:rPr>
                      <w:t> </w:t>
                    </w:r>
                    <w:r>
                      <w:rPr>
                        <w:b/>
                        <w:sz w:val="22"/>
                      </w:rPr>
                      <w:t>Cuenca</w:t>
                    </w:r>
                  </w:p>
                  <w:p>
                    <w:pPr>
                      <w:spacing w:line="248" w:lineRule="exact" w:before="40"/>
                      <w:ind w:left="0" w:right="0" w:firstLine="0"/>
                      <w:jc w:val="center"/>
                      <w:rPr>
                        <w:b/>
                        <w:sz w:val="22"/>
                      </w:rPr>
                    </w:pPr>
                    <w:r>
                      <w:rPr>
                        <w:b/>
                        <w:sz w:val="22"/>
                      </w:rPr>
                      <w:t>Hidrosocial</w:t>
                    </w:r>
                  </w:p>
                </w:txbxContent>
              </v:textbox>
              <w10:wrap type="none"/>
            </v:shape>
            <v:shape style="position:absolute;left:10329;top:2539;width:466;height:221" type="#_x0000_t202" filled="false" stroked="false">
              <v:textbox inset="0,0,0,0">
                <w:txbxContent>
                  <w:p>
                    <w:pPr>
                      <w:spacing w:line="221" w:lineRule="exact" w:before="0"/>
                      <w:ind w:left="0" w:right="-19" w:firstLine="0"/>
                      <w:jc w:val="left"/>
                      <w:rPr>
                        <w:sz w:val="22"/>
                      </w:rPr>
                    </w:pPr>
                    <w:r>
                      <w:rPr>
                        <w:sz w:val="22"/>
                      </w:rPr>
                      <w:t>Para</w:t>
                    </w:r>
                  </w:p>
                </w:txbxContent>
              </v:textbox>
              <w10:wrap type="none"/>
            </v:shape>
            <v:shape style="position:absolute;left:12383;top:679;width:2156;height:1979" type="#_x0000_t202" filled="false" stroked="false">
              <v:textbox inset="0,0,0,0">
                <w:txbxContent>
                  <w:p>
                    <w:pPr>
                      <w:spacing w:line="226" w:lineRule="exact" w:before="0"/>
                      <w:ind w:left="0" w:right="0" w:firstLine="0"/>
                      <w:jc w:val="center"/>
                      <w:rPr>
                        <w:b/>
                        <w:sz w:val="22"/>
                      </w:rPr>
                    </w:pPr>
                    <w:r>
                      <w:rPr>
                        <w:b/>
                        <w:sz w:val="22"/>
                      </w:rPr>
                      <w:t>Analizar la</w:t>
                    </w:r>
                  </w:p>
                  <w:p>
                    <w:pPr>
                      <w:spacing w:line="276" w:lineRule="auto" w:before="40"/>
                      <w:ind w:left="0" w:right="0" w:firstLine="0"/>
                      <w:jc w:val="center"/>
                      <w:rPr>
                        <w:b/>
                        <w:sz w:val="22"/>
                      </w:rPr>
                    </w:pPr>
                    <w:r>
                      <w:rPr>
                        <w:b/>
                        <w:sz w:val="22"/>
                      </w:rPr>
                      <w:t>problemática de la cuenca hidrosocial por consideraciones teóricas, por</w:t>
                    </w:r>
                  </w:p>
                  <w:p>
                    <w:pPr>
                      <w:spacing w:before="3"/>
                      <w:ind w:left="2" w:right="0" w:firstLine="0"/>
                      <w:jc w:val="center"/>
                      <w:rPr>
                        <w:b/>
                        <w:sz w:val="22"/>
                      </w:rPr>
                    </w:pPr>
                    <w:r>
                      <w:rPr>
                        <w:b/>
                        <w:sz w:val="22"/>
                      </w:rPr>
                      <w:t>grupo de actores y</w:t>
                    </w:r>
                  </w:p>
                  <w:p>
                    <w:pPr>
                      <w:spacing w:line="248" w:lineRule="exact" w:before="47"/>
                      <w:ind w:left="74" w:right="77" w:firstLine="0"/>
                      <w:jc w:val="center"/>
                      <w:rPr>
                        <w:b/>
                        <w:sz w:val="22"/>
                      </w:rPr>
                    </w:pPr>
                    <w:r>
                      <w:rPr>
                        <w:b/>
                        <w:sz w:val="22"/>
                      </w:rPr>
                      <w:t>por AEPA.</w:t>
                    </w:r>
                  </w:p>
                </w:txbxContent>
              </v:textbox>
              <w10:wrap type="none"/>
            </v:shape>
            <v:shape style="position:absolute;left:6978;top:2919;width:649;height:221" type="#_x0000_t202" filled="false" stroked="false">
              <v:textbox inset="0,0,0,0">
                <w:txbxContent>
                  <w:p>
                    <w:pPr>
                      <w:spacing w:line="221" w:lineRule="exact" w:before="0"/>
                      <w:ind w:left="0" w:right="-20" w:firstLine="0"/>
                      <w:jc w:val="left"/>
                      <w:rPr>
                        <w:sz w:val="22"/>
                      </w:rPr>
                    </w:pPr>
                    <w:r>
                      <w:rPr>
                        <w:sz w:val="22"/>
                      </w:rPr>
                      <w:t>Donde</w:t>
                    </w:r>
                  </w:p>
                </w:txbxContent>
              </v:textbox>
              <w10:wrap type="none"/>
            </v:shape>
            <v:shape style="position:absolute;left:9887;top:3103;width:1361;height:802" type="#_x0000_t202" filled="false" stroked="false">
              <v:textbox inset="0,0,0,0">
                <w:txbxContent>
                  <w:p>
                    <w:pPr>
                      <w:spacing w:line="226" w:lineRule="exact" w:before="0"/>
                      <w:ind w:left="31" w:right="-16" w:hanging="32"/>
                      <w:jc w:val="left"/>
                      <w:rPr>
                        <w:b/>
                        <w:sz w:val="22"/>
                      </w:rPr>
                    </w:pPr>
                    <w:r>
                      <w:rPr>
                        <w:b/>
                        <w:sz w:val="22"/>
                      </w:rPr>
                      <w:t>Aplicación  y</w:t>
                    </w:r>
                  </w:p>
                  <w:p>
                    <w:pPr>
                      <w:spacing w:line="290" w:lineRule="atLeast" w:before="0"/>
                      <w:ind w:left="158" w:right="15" w:hanging="128"/>
                      <w:jc w:val="left"/>
                      <w:rPr>
                        <w:b/>
                        <w:sz w:val="22"/>
                      </w:rPr>
                    </w:pPr>
                    <w:r>
                      <w:rPr>
                        <w:b/>
                        <w:sz w:val="22"/>
                      </w:rPr>
                      <w:t>Piloteó de la entrevista</w:t>
                    </w:r>
                  </w:p>
                </w:txbxContent>
              </v:textbox>
              <w10:wrap type="none"/>
            </v:shape>
            <v:shape style="position:absolute;left:13209;top:3291;width:466;height:221" type="#_x0000_t202" filled="false" stroked="false">
              <v:textbox inset="0,0,0,0">
                <w:txbxContent>
                  <w:p>
                    <w:pPr>
                      <w:spacing w:line="221" w:lineRule="exact" w:before="0"/>
                      <w:ind w:left="0" w:right="-19" w:firstLine="0"/>
                      <w:jc w:val="left"/>
                      <w:rPr>
                        <w:sz w:val="22"/>
                      </w:rPr>
                    </w:pPr>
                    <w:r>
                      <w:rPr>
                        <w:sz w:val="22"/>
                      </w:rPr>
                      <w:t>Para</w:t>
                    </w:r>
                  </w:p>
                </w:txbxContent>
              </v:textbox>
              <w10:wrap type="none"/>
            </v:shape>
            <v:shape style="position:absolute;left:6901;top:3960;width:733;height:221" type="#_x0000_t202" filled="false" stroked="false">
              <v:textbox inset="0,0,0,0">
                <w:txbxContent>
                  <w:p>
                    <w:pPr>
                      <w:spacing w:line="221" w:lineRule="exact" w:before="0"/>
                      <w:ind w:left="0" w:right="-18" w:firstLine="0"/>
                      <w:jc w:val="left"/>
                      <w:rPr>
                        <w:sz w:val="22"/>
                      </w:rPr>
                    </w:pPr>
                    <w:r>
                      <w:rPr>
                        <w:sz w:val="22"/>
                      </w:rPr>
                      <w:t>Se</w:t>
                    </w:r>
                    <w:r>
                      <w:rPr>
                        <w:spacing w:val="-3"/>
                        <w:sz w:val="22"/>
                      </w:rPr>
                      <w:t> </w:t>
                    </w:r>
                    <w:r>
                      <w:rPr>
                        <w:sz w:val="22"/>
                      </w:rPr>
                      <w:t>hizo</w:t>
                    </w:r>
                  </w:p>
                </w:txbxContent>
              </v:textbox>
              <w10:wrap type="none"/>
            </v:shape>
            <v:shape style="position:absolute;left:10437;top:4380;width:466;height:221" type="#_x0000_t202" filled="false" stroked="false">
              <v:textbox inset="0,0,0,0">
                <w:txbxContent>
                  <w:p>
                    <w:pPr>
                      <w:spacing w:line="221" w:lineRule="exact" w:before="0"/>
                      <w:ind w:left="0" w:right="-19" w:firstLine="0"/>
                      <w:jc w:val="left"/>
                      <w:rPr>
                        <w:sz w:val="22"/>
                      </w:rPr>
                    </w:pPr>
                    <w:r>
                      <w:rPr>
                        <w:sz w:val="22"/>
                      </w:rPr>
                      <w:t>Para</w:t>
                    </w:r>
                  </w:p>
                </w:txbxContent>
              </v:textbox>
              <w10:wrap type="none"/>
            </v:shape>
            <v:shape style="position:absolute;left:6978;top:5223;width:466;height:221" type="#_x0000_t202" filled="false" stroked="false">
              <v:textbox inset="0,0,0,0">
                <w:txbxContent>
                  <w:p>
                    <w:pPr>
                      <w:spacing w:line="221" w:lineRule="exact" w:before="0"/>
                      <w:ind w:left="0" w:right="-19" w:firstLine="0"/>
                      <w:jc w:val="left"/>
                      <w:rPr>
                        <w:sz w:val="22"/>
                      </w:rPr>
                    </w:pPr>
                    <w:r>
                      <w:rPr>
                        <w:sz w:val="22"/>
                      </w:rPr>
                      <w:t>Para</w:t>
                    </w:r>
                  </w:p>
                </w:txbxContent>
              </v:textbox>
              <w10:wrap type="none"/>
            </v:shape>
            <v:shape style="position:absolute;left:9753;top:4935;width:1726;height:521" type="#_x0000_t202" filled="false" stroked="false">
              <v:textbox inset="0,0,0,0">
                <w:txbxContent>
                  <w:p>
                    <w:pPr>
                      <w:spacing w:line="226" w:lineRule="exact" w:before="0"/>
                      <w:ind w:left="86" w:right="-17" w:hanging="87"/>
                      <w:jc w:val="left"/>
                      <w:rPr>
                        <w:b/>
                        <w:sz w:val="22"/>
                      </w:rPr>
                    </w:pPr>
                    <w:r>
                      <w:rPr>
                        <w:b/>
                        <w:sz w:val="22"/>
                      </w:rPr>
                      <w:t>Corrección de la</w:t>
                    </w:r>
                  </w:p>
                  <w:p>
                    <w:pPr>
                      <w:spacing w:line="248" w:lineRule="exact" w:before="47"/>
                      <w:ind w:left="86" w:right="-17" w:firstLine="0"/>
                      <w:jc w:val="left"/>
                      <w:rPr>
                        <w:b/>
                        <w:sz w:val="22"/>
                      </w:rPr>
                    </w:pPr>
                    <w:r>
                      <w:rPr>
                        <w:b/>
                        <w:sz w:val="22"/>
                      </w:rPr>
                      <w:t>entrevista final</w:t>
                    </w:r>
                  </w:p>
                </w:txbxContent>
              </v:textbox>
              <w10:wrap type="none"/>
            </v:shape>
            <v:shape style="position:absolute;left:6903;top:4863;width:6774;height:2132" type="#_x0000_t202" filled="false" stroked="false">
              <v:textbox inset="0,0,0,0">
                <w:txbxContent>
                  <w:p>
                    <w:pPr>
                      <w:spacing w:line="226" w:lineRule="exact" w:before="0"/>
                      <w:ind w:left="6308" w:right="-19" w:firstLine="0"/>
                      <w:jc w:val="left"/>
                      <w:rPr>
                        <w:sz w:val="22"/>
                      </w:rPr>
                    </w:pPr>
                    <w:r>
                      <w:rPr>
                        <w:sz w:val="22"/>
                      </w:rPr>
                      <w:t>Para</w:t>
                    </w: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8" w:lineRule="exact" w:before="139"/>
                      <w:ind w:left="0" w:right="-19" w:firstLine="0"/>
                      <w:jc w:val="left"/>
                      <w:rPr>
                        <w:sz w:val="22"/>
                      </w:rPr>
                    </w:pPr>
                    <w:r>
                      <w:rPr>
                        <w:sz w:val="22"/>
                      </w:rPr>
                      <w:t>Y mediante</w:t>
                    </w:r>
                  </w:p>
                </w:txbxContent>
              </v:textbox>
              <w10:wrap type="none"/>
            </v:shape>
            <v:shape style="position:absolute;left:9609;top:5969;width:1911;height:960" type="#_x0000_t202" filled="false" stroked="false">
              <v:textbox inset="0,0,0,0">
                <w:txbxContent>
                  <w:p>
                    <w:pPr>
                      <w:spacing w:line="226" w:lineRule="exact" w:before="0"/>
                      <w:ind w:left="600" w:right="-17" w:firstLine="0"/>
                      <w:jc w:val="left"/>
                      <w:rPr>
                        <w:sz w:val="22"/>
                      </w:rPr>
                    </w:pPr>
                    <w:r>
                      <w:rPr>
                        <w:sz w:val="22"/>
                      </w:rPr>
                      <w:t>Para</w:t>
                    </w:r>
                  </w:p>
                  <w:p>
                    <w:pPr>
                      <w:spacing w:line="300" w:lineRule="atLeast" w:before="139"/>
                      <w:ind w:left="0" w:right="-17" w:firstLine="117"/>
                      <w:jc w:val="left"/>
                      <w:rPr>
                        <w:b/>
                        <w:sz w:val="22"/>
                      </w:rPr>
                    </w:pPr>
                    <w:r>
                      <w:rPr>
                        <w:b/>
                        <w:sz w:val="22"/>
                      </w:rPr>
                      <w:t>Aplicación a los grupos de actores</w:t>
                    </w:r>
                  </w:p>
                </w:txbxContent>
              </v:textbox>
              <w10:wrap type="none"/>
            </v:shape>
            <v:shape style="position:absolute;left:13128;top:6675;width:466;height:221" type="#_x0000_t202" filled="false" stroked="false">
              <v:textbox inset="0,0,0,0">
                <w:txbxContent>
                  <w:p>
                    <w:pPr>
                      <w:spacing w:line="221" w:lineRule="exact" w:before="0"/>
                      <w:ind w:left="0" w:right="-19" w:firstLine="0"/>
                      <w:jc w:val="left"/>
                      <w:rPr>
                        <w:sz w:val="22"/>
                      </w:rPr>
                    </w:pPr>
                    <w:r>
                      <w:rPr>
                        <w:sz w:val="22"/>
                      </w:rPr>
                      <w:t>Para</w:t>
                    </w:r>
                  </w:p>
                </w:txbxContent>
              </v:textbox>
              <w10:wrap type="none"/>
            </v:shape>
            <v:shape style="position:absolute;left:10216;top:7264;width:466;height:221" type="#_x0000_t202" filled="false" stroked="false">
              <v:textbox inset="0,0,0,0">
                <w:txbxContent>
                  <w:p>
                    <w:pPr>
                      <w:spacing w:line="221" w:lineRule="exact" w:before="0"/>
                      <w:ind w:left="0" w:right="-19" w:firstLine="0"/>
                      <w:jc w:val="left"/>
                      <w:rPr>
                        <w:sz w:val="22"/>
                      </w:rPr>
                    </w:pPr>
                    <w:r>
                      <w:rPr>
                        <w:sz w:val="22"/>
                      </w:rPr>
                      <w:t>Para</w:t>
                    </w:r>
                  </w:p>
                </w:txbxContent>
              </v:textbox>
              <w10:wrap type="none"/>
            </v:shape>
            <v:shape style="position:absolute;left:6831;top:8267;width:733;height:221" type="#_x0000_t202" filled="false" stroked="false">
              <v:textbox inset="0,0,0,0">
                <w:txbxContent>
                  <w:p>
                    <w:pPr>
                      <w:spacing w:line="221" w:lineRule="exact" w:before="0"/>
                      <w:ind w:left="0" w:right="-18" w:firstLine="0"/>
                      <w:jc w:val="left"/>
                      <w:rPr>
                        <w:sz w:val="22"/>
                      </w:rPr>
                    </w:pPr>
                    <w:r>
                      <w:rPr>
                        <w:sz w:val="22"/>
                      </w:rPr>
                      <w:t>Se</w:t>
                    </w:r>
                    <w:r>
                      <w:rPr>
                        <w:spacing w:val="-3"/>
                        <w:sz w:val="22"/>
                      </w:rPr>
                      <w:t> </w:t>
                    </w:r>
                    <w:r>
                      <w:rPr>
                        <w:sz w:val="22"/>
                      </w:rPr>
                      <w:t>hizo</w:t>
                    </w:r>
                  </w:p>
                </w:txbxContent>
              </v:textbox>
              <w10:wrap type="none"/>
            </v:shape>
            <v:shape style="position:absolute;left:9561;top:7813;width:1923;height:804" type="#_x0000_t202" filled="false" stroked="false">
              <v:textbox inset="0,0,0,0">
                <w:txbxContent>
                  <w:p>
                    <w:pPr>
                      <w:spacing w:line="226" w:lineRule="exact" w:before="0"/>
                      <w:ind w:left="0" w:right="-7" w:firstLine="14"/>
                      <w:jc w:val="left"/>
                      <w:rPr>
                        <w:b/>
                        <w:sz w:val="22"/>
                      </w:rPr>
                    </w:pPr>
                    <w:r>
                      <w:rPr>
                        <w:b/>
                        <w:sz w:val="22"/>
                      </w:rPr>
                      <w:t>La transcripción y</w:t>
                    </w:r>
                  </w:p>
                  <w:p>
                    <w:pPr>
                      <w:spacing w:line="292" w:lineRule="exact" w:before="10"/>
                      <w:ind w:left="331" w:right="-16" w:hanging="332"/>
                      <w:jc w:val="left"/>
                      <w:rPr>
                        <w:b/>
                        <w:sz w:val="22"/>
                      </w:rPr>
                    </w:pPr>
                    <w:r>
                      <w:rPr>
                        <w:b/>
                        <w:sz w:val="22"/>
                      </w:rPr>
                      <w:t>organización de la información</w:t>
                    </w:r>
                  </w:p>
                </w:txbxContent>
              </v:textbox>
              <w10:wrap type="none"/>
            </v:shape>
            <v:shape style="position:absolute;left:12556;top:7254;width:1959;height:1385" type="#_x0000_t202" filled="false" stroked="false">
              <v:textbox inset="0,0,0,0">
                <w:txbxContent>
                  <w:p>
                    <w:pPr>
                      <w:spacing w:line="226" w:lineRule="exact" w:before="0"/>
                      <w:ind w:left="171" w:right="171" w:firstLine="0"/>
                      <w:jc w:val="center"/>
                      <w:rPr>
                        <w:b/>
                        <w:sz w:val="22"/>
                      </w:rPr>
                    </w:pPr>
                    <w:r>
                      <w:rPr>
                        <w:b/>
                        <w:sz w:val="22"/>
                      </w:rPr>
                      <w:t>Generación de</w:t>
                    </w:r>
                  </w:p>
                  <w:p>
                    <w:pPr>
                      <w:spacing w:line="276" w:lineRule="auto" w:before="37"/>
                      <w:ind w:left="0" w:right="0" w:hanging="1"/>
                      <w:jc w:val="center"/>
                      <w:rPr>
                        <w:b/>
                        <w:sz w:val="22"/>
                      </w:rPr>
                    </w:pPr>
                    <w:r>
                      <w:rPr>
                        <w:b/>
                        <w:sz w:val="22"/>
                      </w:rPr>
                      <w:t>propuesta de un Comité Intermunicipal con</w:t>
                    </w:r>
                  </w:p>
                  <w:p>
                    <w:pPr>
                      <w:spacing w:line="248" w:lineRule="exact" w:before="0"/>
                      <w:ind w:left="171" w:right="171" w:firstLine="0"/>
                      <w:jc w:val="center"/>
                      <w:rPr>
                        <w:b/>
                        <w:sz w:val="22"/>
                      </w:rPr>
                    </w:pPr>
                    <w:r>
                      <w:rPr>
                        <w:b/>
                        <w:sz w:val="22"/>
                      </w:rPr>
                      <w:t>su Reglamento</w:t>
                    </w:r>
                  </w:p>
                </w:txbxContent>
              </v:textbox>
              <w10:wrap type="none"/>
            </v:shape>
            <v:shape style="position:absolute;left:5251;top:693;width:3870;height:491" type="#_x0000_t202" filled="false" stroked="true" strokeweight="1pt" strokecolor="#000000">
              <v:textbox inset="0,0,0,0">
                <w:txbxContent>
                  <w:p>
                    <w:pPr>
                      <w:spacing w:before="68"/>
                      <w:ind w:left="303" w:right="0" w:firstLine="0"/>
                      <w:jc w:val="left"/>
                      <w:rPr>
                        <w:b/>
                        <w:sz w:val="22"/>
                      </w:rPr>
                    </w:pPr>
                    <w:r>
                      <w:rPr>
                        <w:b/>
                        <w:sz w:val="22"/>
                      </w:rPr>
                      <w:t>Localización de los municipios</w:t>
                    </w:r>
                  </w:p>
                </w:txbxContent>
              </v:textbox>
              <w10:wrap type="none"/>
            </v:shape>
            <v:shape style="position:absolute;left:5087;top:3307;width:3660;height:540" type="#_x0000_t202" filled="false" stroked="true" strokeweight="1pt" strokecolor="#000000">
              <v:textbox inset="0,0,0,0">
                <w:txbxContent>
                  <w:p>
                    <w:pPr>
                      <w:spacing w:before="80"/>
                      <w:ind w:left="282" w:right="50" w:firstLine="0"/>
                      <w:jc w:val="left"/>
                      <w:rPr>
                        <w:b/>
                        <w:sz w:val="22"/>
                      </w:rPr>
                    </w:pPr>
                    <w:r>
                      <w:rPr>
                        <w:b/>
                        <w:sz w:val="22"/>
                      </w:rPr>
                      <w:t>Mediante el trabajo de campo</w:t>
                    </w:r>
                  </w:p>
                </w:txbxContent>
              </v:textbox>
              <w10:wrap type="none"/>
            </v:shape>
            <v:shape style="position:absolute;left:12217;top:3714;width:2325;height:897" type="#_x0000_t202" filled="false" stroked="true" strokeweight="1.0pt" strokecolor="#000000">
              <v:textbox inset="0,0,0,0">
                <w:txbxContent>
                  <w:p>
                    <w:pPr>
                      <w:spacing w:line="288" w:lineRule="auto" w:before="67"/>
                      <w:ind w:left="456" w:right="0" w:hanging="24"/>
                      <w:jc w:val="left"/>
                      <w:rPr>
                        <w:b/>
                        <w:sz w:val="22"/>
                      </w:rPr>
                    </w:pPr>
                    <w:r>
                      <w:rPr>
                        <w:b/>
                        <w:sz w:val="22"/>
                      </w:rPr>
                      <w:t>Definición del sistema PEIR</w:t>
                    </w:r>
                  </w:p>
                </w:txbxContent>
              </v:textbox>
              <w10:wrap type="none"/>
            </v:shape>
            <v:shape style="position:absolute;left:5070;top:4331;width:3660;height:765" type="#_x0000_t202" filled="false" stroked="true" strokeweight="1pt" strokecolor="#000000">
              <v:textbox inset="0,0,0,0">
                <w:txbxContent>
                  <w:p>
                    <w:pPr>
                      <w:spacing w:line="278" w:lineRule="auto" w:before="67"/>
                      <w:ind w:left="484" w:right="50" w:hanging="204"/>
                      <w:jc w:val="left"/>
                      <w:rPr>
                        <w:b/>
                        <w:sz w:val="22"/>
                      </w:rPr>
                    </w:pPr>
                    <w:r>
                      <w:rPr>
                        <w:b/>
                        <w:sz w:val="22"/>
                      </w:rPr>
                      <w:t>Identificación de los actores con continuidad histórica</w:t>
                    </w:r>
                  </w:p>
                </w:txbxContent>
              </v:textbox>
              <w10:wrap type="none"/>
            </v:shape>
            <v:shape style="position:absolute;left:12112;top:5284;width:2325;height:1168" type="#_x0000_t202" filled="false" stroked="true" strokeweight="1pt" strokecolor="#000000">
              <v:textbox inset="0,0,0,0">
                <w:txbxContent>
                  <w:p>
                    <w:pPr>
                      <w:spacing w:line="280" w:lineRule="auto" w:before="70"/>
                      <w:ind w:left="285" w:right="280" w:firstLine="0"/>
                      <w:jc w:val="center"/>
                      <w:rPr>
                        <w:b/>
                        <w:sz w:val="22"/>
                      </w:rPr>
                    </w:pPr>
                    <w:r>
                      <w:rPr>
                        <w:b/>
                        <w:sz w:val="22"/>
                      </w:rPr>
                      <w:t>Identificación de los factores críticos de éxito</w:t>
                    </w:r>
                  </w:p>
                </w:txbxContent>
              </v:textbox>
              <w10:wrap type="none"/>
            </v:shape>
            <v:shape style="position:absolute;left:5184;top:5517;width:3555;height:1055" type="#_x0000_t202" filled="false" stroked="true" strokeweight="1pt" strokecolor="#000000">
              <v:textbox inset="0,0,0,0">
                <w:txbxContent>
                  <w:p>
                    <w:pPr>
                      <w:spacing w:line="276" w:lineRule="auto" w:before="69"/>
                      <w:ind w:left="146" w:right="146" w:firstLine="0"/>
                      <w:jc w:val="center"/>
                      <w:rPr>
                        <w:b/>
                        <w:sz w:val="22"/>
                      </w:rPr>
                    </w:pPr>
                    <w:r>
                      <w:rPr>
                        <w:b/>
                        <w:sz w:val="22"/>
                      </w:rPr>
                      <w:t>Identificación de los grupos de actores con sus redes y funciones</w:t>
                    </w:r>
                  </w:p>
                </w:txbxContent>
              </v:textbox>
              <w10:wrap type="none"/>
            </v:shape>
            <v:shape style="position:absolute;left:5185;top:7063;width:3645;height:990" type="#_x0000_t202" filled="false" stroked="true" strokeweight="1pt" strokecolor="#000000">
              <v:textbox inset="0,0,0,0">
                <w:txbxContent>
                  <w:p>
                    <w:pPr>
                      <w:spacing w:line="276" w:lineRule="auto" w:before="70"/>
                      <w:ind w:left="609" w:right="602" w:firstLine="0"/>
                      <w:jc w:val="center"/>
                      <w:rPr>
                        <w:b/>
                        <w:sz w:val="22"/>
                      </w:rPr>
                    </w:pPr>
                    <w:r>
                      <w:rPr>
                        <w:b/>
                        <w:sz w:val="22"/>
                      </w:rPr>
                      <w:t>Visitas cotidianas a las localidades y revisión bibliográfica</w:t>
                    </w:r>
                  </w:p>
                </w:txbxContent>
              </v:textbox>
              <w10:wrap type="none"/>
            </v:shape>
            <v:shape style="position:absolute;left:5082;top:8587;width:3780;height:694" type="#_x0000_t202" filled="false" stroked="true" strokeweight="1pt" strokecolor="#000000">
              <v:textbox inset="0,0,0,0">
                <w:txbxContent>
                  <w:p>
                    <w:pPr>
                      <w:spacing w:before="69"/>
                      <w:ind w:left="433" w:right="0" w:hanging="173"/>
                      <w:jc w:val="left"/>
                      <w:rPr>
                        <w:b/>
                        <w:sz w:val="22"/>
                      </w:rPr>
                    </w:pPr>
                    <w:r>
                      <w:rPr>
                        <w:b/>
                        <w:sz w:val="22"/>
                      </w:rPr>
                      <w:t>Definición del mapa de actores con grupos ya establecidos</w:t>
                    </w:r>
                  </w:p>
                </w:txbxContent>
              </v:textbox>
              <w10:wrap type="none"/>
            </v:shape>
            <w10:wrap type="none"/>
          </v:group>
        </w:pict>
      </w:r>
      <w:r>
        <w:rPr/>
        <w:pict>
          <v:group style="position:absolute;margin-left:28.799999pt;margin-top:35.837879pt;width:208.05pt;height:420.35pt;mso-position-horizontal-relative:page;mso-position-vertical-relative:paragraph;z-index:-3338008" coordorigin="576,717" coordsize="4161,8407">
            <v:rect style="position:absolute;left:586;top:5813;width:3660;height:1155" filled="false" stroked="true" strokeweight="1pt" strokecolor="#000000"/>
            <v:shape style="position:absolute;left:1788;top:912;width:2926;height:7841" coordorigin="1788,912" coordsize="2926,7841" path="m1946,7572l1944,7568,1941,7566,1937,7564,1933,7565,1875,7664,1867,7677,1874,7664,1875,6961,1860,6961,1860,7664,1860,7692,1859,7664,1801,7565,1797,7564,1793,7566,1790,7568,1788,7572,1867,7707,1876,7692,1946,7572m2317,5680l2315,5675,2312,5673,2308,5671,2304,5672,2302,5676,2245,5772,2245,5257,2230,5257,2230,5772,2174,5676,2172,5672,2168,5671,2164,5673,2161,5675,2159,5680,2162,5683,2238,5815,2247,5800,2314,5683,2317,5680m4714,991l4701,983,4583,914,4579,912,4575,913,4573,917,4571,921,4572,925,4575,927,4671,983,4425,983,4422,987,4422,8738,4144,8738,4144,8753,4433,8753,4437,8750,4437,8746,4437,8738,4437,998,4671,998,4575,1054,4572,1056,4571,1061,4573,1064,4575,1068,4579,1069,4583,1067,4701,998,4714,991e" filled="true" fillcolor="#000000" stroked="false">
              <v:path arrowok="t"/>
              <v:fill type="solid"/>
            </v:shape>
            <v:shape style="position:absolute;left:4280;top:3582;width:457;height:2202" type="#_x0000_t75" stroked="false">
              <v:imagedata r:id="rId87" o:title=""/>
            </v:shape>
            <v:shape style="position:absolute;left:2520;top:1399;width:466;height:221" type="#_x0000_t202" filled="false" stroked="false">
              <v:textbox inset="0,0,0,0">
                <w:txbxContent>
                  <w:p>
                    <w:pPr>
                      <w:spacing w:line="221" w:lineRule="exact" w:before="0"/>
                      <w:ind w:left="0" w:right="-19" w:firstLine="0"/>
                      <w:jc w:val="left"/>
                      <w:rPr>
                        <w:sz w:val="22"/>
                      </w:rPr>
                    </w:pPr>
                    <w:r>
                      <w:rPr>
                        <w:sz w:val="22"/>
                      </w:rPr>
                      <w:t>Para</w:t>
                    </w:r>
                  </w:p>
                </w:txbxContent>
              </v:textbox>
              <w10:wrap type="none"/>
            </v:shape>
            <v:shape style="position:absolute;left:2688;top:2388;width:466;height:221" type="#_x0000_t202" filled="false" stroked="false">
              <v:textbox inset="0,0,0,0">
                <w:txbxContent>
                  <w:p>
                    <w:pPr>
                      <w:spacing w:line="221" w:lineRule="exact" w:before="0"/>
                      <w:ind w:left="0" w:right="-19" w:firstLine="0"/>
                      <w:jc w:val="left"/>
                      <w:rPr>
                        <w:sz w:val="22"/>
                      </w:rPr>
                    </w:pPr>
                    <w:r>
                      <w:rPr>
                        <w:sz w:val="22"/>
                      </w:rPr>
                      <w:t>Para</w:t>
                    </w:r>
                  </w:p>
                </w:txbxContent>
              </v:textbox>
              <w10:wrap type="none"/>
            </v:shape>
            <v:shape style="position:absolute;left:2540;top:4027;width:905;height:221" type="#_x0000_t202" filled="false" stroked="false">
              <v:textbox inset="0,0,0,0">
                <w:txbxContent>
                  <w:p>
                    <w:pPr>
                      <w:spacing w:line="221" w:lineRule="exact" w:before="0"/>
                      <w:ind w:left="0" w:right="-13" w:firstLine="0"/>
                      <w:jc w:val="left"/>
                      <w:rPr>
                        <w:sz w:val="22"/>
                      </w:rPr>
                    </w:pPr>
                    <w:r>
                      <w:rPr>
                        <w:spacing w:val="-1"/>
                        <w:sz w:val="22"/>
                      </w:rPr>
                      <w:t>Mediante</w:t>
                    </w:r>
                  </w:p>
                </w:txbxContent>
              </v:textbox>
              <w10:wrap type="none"/>
            </v:shape>
            <v:shape style="position:absolute;left:878;top:5432;width:3071;height:1292" type="#_x0000_t202" filled="false" stroked="false">
              <v:textbox inset="0,0,0,0">
                <w:txbxContent>
                  <w:p>
                    <w:pPr>
                      <w:spacing w:line="226" w:lineRule="exact" w:before="0"/>
                      <w:ind w:left="1536" w:right="-18" w:firstLine="0"/>
                      <w:jc w:val="left"/>
                      <w:rPr>
                        <w:sz w:val="22"/>
                      </w:rPr>
                    </w:pPr>
                    <w:r>
                      <w:rPr>
                        <w:sz w:val="22"/>
                      </w:rPr>
                      <w:t>Donde</w:t>
                    </w:r>
                  </w:p>
                  <w:p>
                    <w:pPr>
                      <w:spacing w:line="240" w:lineRule="auto" w:before="4"/>
                      <w:rPr>
                        <w:b/>
                        <w:sz w:val="20"/>
                      </w:rPr>
                    </w:pPr>
                  </w:p>
                  <w:p>
                    <w:pPr>
                      <w:spacing w:before="0"/>
                      <w:ind w:left="50" w:right="-18" w:hanging="51"/>
                      <w:jc w:val="left"/>
                      <w:rPr>
                        <w:b/>
                        <w:sz w:val="22"/>
                      </w:rPr>
                    </w:pPr>
                    <w:r>
                      <w:rPr>
                        <w:b/>
                        <w:sz w:val="22"/>
                      </w:rPr>
                      <w:t>Se establece que debe existir</w:t>
                    </w:r>
                  </w:p>
                  <w:p>
                    <w:pPr>
                      <w:spacing w:line="290" w:lineRule="atLeast" w:before="2"/>
                      <w:ind w:left="124" w:right="31" w:hanging="75"/>
                      <w:jc w:val="left"/>
                      <w:rPr>
                        <w:b/>
                        <w:sz w:val="22"/>
                      </w:rPr>
                    </w:pPr>
                    <w:r>
                      <w:rPr>
                        <w:b/>
                        <w:sz w:val="22"/>
                      </w:rPr>
                      <w:t>una relación sociohídrica de aguas arriba y aguas abajo</w:t>
                    </w:r>
                  </w:p>
                </w:txbxContent>
              </v:textbox>
              <w10:wrap type="none"/>
            </v:shape>
            <v:shape style="position:absolute;left:2216;top:7158;width:1260;height:221" type="#_x0000_t202" filled="false" stroked="false">
              <v:textbox inset="0,0,0,0">
                <w:txbxContent>
                  <w:p>
                    <w:pPr>
                      <w:spacing w:line="221" w:lineRule="exact" w:before="0"/>
                      <w:ind w:left="0" w:right="-20" w:firstLine="0"/>
                      <w:jc w:val="left"/>
                      <w:rPr>
                        <w:sz w:val="22"/>
                      </w:rPr>
                    </w:pPr>
                    <w:r>
                      <w:rPr>
                        <w:sz w:val="22"/>
                      </w:rPr>
                      <w:t>Que permitió</w:t>
                    </w:r>
                  </w:p>
                </w:txbxContent>
              </v:textbox>
              <w10:wrap type="none"/>
            </v:shape>
            <v:shape style="position:absolute;left:609;top:727;width:3540;height:457" type="#_x0000_t202" filled="false" stroked="true" strokeweight="1pt" strokecolor="#000000">
              <v:textbox inset="0,0,0,0">
                <w:txbxContent>
                  <w:p>
                    <w:pPr>
                      <w:spacing w:before="80"/>
                      <w:ind w:left="444" w:right="0" w:firstLine="0"/>
                      <w:jc w:val="left"/>
                      <w:rPr>
                        <w:b/>
                        <w:sz w:val="22"/>
                      </w:rPr>
                    </w:pPr>
                    <w:r>
                      <w:rPr>
                        <w:b/>
                        <w:sz w:val="22"/>
                      </w:rPr>
                      <w:t>Elaboración de transecto</w:t>
                    </w:r>
                  </w:p>
                </w:txbxContent>
              </v:textbox>
              <w10:wrap type="none"/>
            </v:shape>
            <v:shape style="position:absolute;left:593;top:1778;width:3540;height:476" type="#_x0000_t202" filled="false" stroked="true" strokeweight="1pt" strokecolor="#000000">
              <v:textbox inset="0,0,0,0">
                <w:txbxContent>
                  <w:p>
                    <w:pPr>
                      <w:spacing w:before="68"/>
                      <w:ind w:left="309" w:right="0" w:firstLine="0"/>
                      <w:jc w:val="left"/>
                      <w:rPr>
                        <w:b/>
                        <w:sz w:val="22"/>
                      </w:rPr>
                    </w:pPr>
                    <w:r>
                      <w:rPr>
                        <w:b/>
                        <w:sz w:val="22"/>
                      </w:rPr>
                      <w:t>Recorrer y observar la zona</w:t>
                    </w:r>
                  </w:p>
                </w:txbxContent>
              </v:textbox>
              <w10:wrap type="none"/>
            </v:shape>
            <v:shape style="position:absolute;left:617;top:2787;width:3510;height:1002" type="#_x0000_t202" filled="false" stroked="true" strokeweight="1pt" strokecolor="#000000">
              <v:textbox inset="0,0,0,0">
                <w:txbxContent>
                  <w:p>
                    <w:pPr>
                      <w:spacing w:line="276" w:lineRule="auto" w:before="70"/>
                      <w:ind w:left="167" w:right="164" w:hanging="3"/>
                      <w:jc w:val="center"/>
                      <w:rPr>
                        <w:b/>
                        <w:sz w:val="22"/>
                      </w:rPr>
                    </w:pPr>
                    <w:r>
                      <w:rPr>
                        <w:b/>
                        <w:sz w:val="22"/>
                      </w:rPr>
                      <w:t>Definición de la cuenca hidrosocial e identificación de actores</w:t>
                    </w:r>
                  </w:p>
                </w:txbxContent>
              </v:textbox>
              <w10:wrap type="none"/>
            </v:shape>
            <v:shape style="position:absolute;left:745;top:4489;width:3315;height:759" type="#_x0000_t202" filled="false" stroked="true" strokeweight="1pt" strokecolor="#000000">
              <v:textbox inset="0,0,0,0">
                <w:txbxContent>
                  <w:p>
                    <w:pPr>
                      <w:spacing w:line="276" w:lineRule="auto" w:before="68"/>
                      <w:ind w:left="1062" w:right="0" w:hanging="608"/>
                      <w:jc w:val="left"/>
                      <w:rPr>
                        <w:b/>
                        <w:sz w:val="22"/>
                      </w:rPr>
                    </w:pPr>
                    <w:r>
                      <w:rPr>
                        <w:b/>
                        <w:sz w:val="22"/>
                      </w:rPr>
                      <w:t>El concepto de cuenca hidrosocial</w:t>
                    </w:r>
                  </w:p>
                </w:txbxContent>
              </v:textbox>
              <w10:wrap type="none"/>
            </v:shape>
            <v:shape style="position:absolute;left:692;top:7764;width:3435;height:1350" type="#_x0000_t202" filled="false" stroked="true" strokeweight="1pt" strokecolor="#000000">
              <v:textbox inset="0,0,0,0">
                <w:txbxContent>
                  <w:p>
                    <w:pPr>
                      <w:spacing w:line="276" w:lineRule="auto" w:before="69"/>
                      <w:ind w:left="313" w:right="310" w:firstLine="5"/>
                      <w:jc w:val="center"/>
                      <w:rPr>
                        <w:b/>
                        <w:sz w:val="22"/>
                      </w:rPr>
                    </w:pPr>
                    <w:r>
                      <w:rPr>
                        <w:b/>
                        <w:sz w:val="22"/>
                      </w:rPr>
                      <w:t>Identificación de redes socio-históricas que crean iniciativas locales (intermunicipales)</w:t>
                    </w:r>
                  </w:p>
                </w:txbxContent>
              </v:textbox>
              <w10:wrap type="none"/>
            </v:shape>
            <w10:wrap type="none"/>
          </v:group>
        </w:pict>
      </w:r>
      <w:r>
        <w:rPr/>
        <w:t>Esquema 3.4a. Metodología General del Trabajo de Campo (2013-2015) e Identificación Histórica de Actores (Ver Anexo 2)</w:t>
      </w:r>
    </w:p>
    <w:p>
      <w:pPr>
        <w:pStyle w:val="BodyText"/>
        <w:rPr>
          <w:b/>
          <w:sz w:val="20"/>
        </w:rPr>
      </w:pPr>
    </w:p>
    <w:p>
      <w:pPr>
        <w:pStyle w:val="BodyText"/>
        <w:rPr>
          <w:b/>
          <w:sz w:val="20"/>
        </w:rPr>
      </w:pPr>
    </w:p>
    <w:p>
      <w:pPr>
        <w:pStyle w:val="BodyText"/>
        <w:rPr>
          <w:b/>
          <w:sz w:val="20"/>
        </w:rPr>
      </w:pPr>
    </w:p>
    <w:p>
      <w:pPr>
        <w:pStyle w:val="BodyText"/>
        <w:spacing w:before="10"/>
        <w:rPr>
          <w:b/>
          <w:sz w:val="17"/>
        </w:rPr>
      </w:pPr>
      <w:r>
        <w:rPr/>
        <w:pict>
          <v:shape style="position:absolute;margin-left:107.470001pt;margin-top:12.241882pt;width:7.9pt;height:23.5pt;mso-position-horizontal-relative:page;mso-position-vertical-relative:paragraph;z-index:4360;mso-wrap-distance-left:0;mso-wrap-distance-right:0" coordorigin="2149,245" coordsize="158,470" path="m2158,571l2154,573,2151,575,2149,580,2152,584,2228,715,2237,700,2220,700,2220,672,2164,576,2162,572,2158,571xm2220,672l2220,700,2235,700,2235,696,2222,696,2228,685,2220,672xm2298,571l2294,572,2292,576,2235,672,2235,700,2237,700,2304,584,2307,580,2305,575,2302,573,2298,571xm2228,685l2222,696,2234,696,2228,685xm2235,672l2228,685,2234,696,2235,696,2235,672xm2235,245l2220,245,2220,672,2228,685,2235,672,2235,245xe" filled="true" fillcolor="#000000" stroked="false">
            <v:path arrowok="t"/>
            <v:fill type="solid"/>
            <w10:wrap type="topAndBottom"/>
          </v:shape>
        </w:pict>
      </w:r>
    </w:p>
    <w:p>
      <w:pPr>
        <w:pStyle w:val="BodyText"/>
        <w:rPr>
          <w:b/>
          <w:sz w:val="20"/>
        </w:rPr>
      </w:pPr>
    </w:p>
    <w:p>
      <w:pPr>
        <w:pStyle w:val="BodyText"/>
        <w:spacing w:before="3"/>
        <w:rPr>
          <w:b/>
          <w:sz w:val="25"/>
        </w:rPr>
      </w:pPr>
      <w:r>
        <w:rPr/>
        <w:pict>
          <v:shape style="position:absolute;margin-left:109.57pt;margin-top:16.480976pt;width:7.9pt;height:27.2pt;mso-position-horizontal-relative:page;mso-position-vertical-relative:paragraph;z-index:4384;mso-wrap-distance-left:0;mso-wrap-distance-right:0" coordorigin="2191,330" coordsize="158,544" path="m2200,729l2196,731,2193,733,2191,738,2194,742,2270,873,2279,858,2263,858,2262,830,2206,734,2204,730,2200,729xm2263,830l2263,858,2278,858,2278,854,2264,854,2270,843,2263,830xm2340,729l2336,730,2334,734,2278,830,2278,858,2279,858,2346,742,2349,738,2347,733,2344,731,2340,729xm2270,843l2264,854,2276,854,2270,843xm2278,830l2270,843,2276,854,2278,854,2278,830xm2277,330l2262,330,2263,830,2270,843,2277,830,2277,330xe" filled="true" fillcolor="#000000" stroked="false">
            <v:path arrowok="t"/>
            <v:fill type="solid"/>
            <w10:wrap type="topAndBottom"/>
          </v:shape>
        </w:pict>
      </w:r>
    </w:p>
    <w:p>
      <w:pPr>
        <w:pStyle w:val="BodyText"/>
        <w:rPr>
          <w:b/>
          <w:sz w:val="20"/>
        </w:rPr>
      </w:pPr>
    </w:p>
    <w:p>
      <w:pPr>
        <w:pStyle w:val="BodyText"/>
        <w:rPr>
          <w:b/>
          <w:sz w:val="20"/>
        </w:rPr>
      </w:pPr>
    </w:p>
    <w:p>
      <w:pPr>
        <w:pStyle w:val="BodyText"/>
        <w:rPr>
          <w:b/>
          <w:sz w:val="20"/>
        </w:rPr>
      </w:pPr>
    </w:p>
    <w:p>
      <w:pPr>
        <w:pStyle w:val="BodyText"/>
        <w:spacing w:before="2"/>
        <w:rPr>
          <w:b/>
        </w:rPr>
      </w:pPr>
      <w:r>
        <w:rPr/>
        <w:pict>
          <v:shape style="position:absolute;margin-left:109.169998pt;margin-top:14.72293pt;width:7.9pt;height:25.6pt;mso-position-horizontal-relative:page;mso-position-vertical-relative:paragraph;z-index:4408;mso-wrap-distance-left:0;mso-wrap-distance-right:0" coordorigin="2183,294" coordsize="158,512" path="m2192,663l2188,665,2185,667,2183,672,2186,675,2262,806,2271,792,2254,792,2254,764,2198,668,2196,664,2192,663xm2254,764l2254,792,2269,792,2269,788,2256,788,2262,777,2254,764xm2332,663l2328,664,2326,668,2269,764,2269,792,2271,792,2338,675,2341,672,2339,667,2336,665,2332,663xm2262,777l2256,788,2268,788,2262,777xm2269,764l2262,777,2268,788,2269,788,2269,764xm2269,294l2254,294,2254,764,2262,777,2269,764,2269,294xe" filled="true" fillcolor="#000000" stroked="false">
            <v:path arrowok="t"/>
            <v:fill type="solid"/>
            <w10:wrap type="topAndBottom"/>
          </v:shape>
        </w:pict>
      </w:r>
      <w:r>
        <w:rPr/>
        <w:pict>
          <v:shape style="position:absolute;margin-left:319pt;margin-top:16.712929pt;width:7.85pt;height:23.75pt;mso-position-horizontal-relative:page;mso-position-vertical-relative:paragraph;z-index:4432;mso-wrap-distance-left:0;mso-wrap-distance-right:0" coordorigin="6380,334" coordsize="157,475" path="m6389,663l6381,667,6380,671,6382,675,6454,808,6463,794,6462,794,6447,793,6448,765,6395,667,6393,664,6389,663xm6448,765l6447,793,6462,794,6462,790,6461,790,6448,790,6455,779,6448,765xm6529,667l6524,668,6522,672,6463,766,6462,794,6463,794,6535,680,6537,676,6536,672,6533,670,6529,667xm6455,779l6448,790,6461,790,6455,779xm6463,766l6455,779,6461,790,6462,790,6463,766xm6463,334l6448,765,6455,779,6463,766,6477,335,6463,334xe" filled="true" fillcolor="#000000" stroked="false">
            <v:path arrowok="t"/>
            <v:fill type="solid"/>
            <w10:wrap type="topAndBottom"/>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1"/>
        </w:rPr>
      </w:pPr>
      <w:r>
        <w:rPr/>
        <w:pict>
          <v:shape style="position:absolute;margin-left:317.920013pt;margin-top:8.508789pt;width:7.9pt;height:22.95pt;mso-position-horizontal-relative:page;mso-position-vertical-relative:paragraph;z-index:4456;mso-wrap-distance-left:0;mso-wrap-distance-right:0" coordorigin="6358,170" coordsize="158,459" path="m6367,486l6363,488,6360,490,6358,495,6361,498,6437,629,6446,614,6429,614,6429,587,6373,491,6371,487,6367,486xm6429,587l6429,614,6444,614,6444,611,6431,611,6437,600,6429,587xm6507,486l6503,487,6501,491,6445,587,6444,614,6446,614,6513,498,6516,495,6514,490,6511,488,6507,486xm6437,600l6431,611,6443,611,6437,600xm6444,587l6437,600,6443,611,6444,611,6444,587xm6444,170l6429,170,6430,587,6437,600,6444,587,6444,170xe" filled="true" fillcolor="#000000" stroked="false">
            <v:path arrowok="t"/>
            <v:fill type="solid"/>
            <w10:wrap type="topAndBottom"/>
          </v:shape>
        </w:pict>
      </w:r>
    </w:p>
    <w:p>
      <w:pPr>
        <w:pStyle w:val="BodyText"/>
        <w:rPr>
          <w:b/>
          <w:sz w:val="20"/>
        </w:rPr>
      </w:pPr>
    </w:p>
    <w:p>
      <w:pPr>
        <w:pStyle w:val="BodyText"/>
        <w:rPr>
          <w:b/>
          <w:sz w:val="20"/>
        </w:rPr>
      </w:pPr>
    </w:p>
    <w:p>
      <w:pPr>
        <w:pStyle w:val="BodyText"/>
        <w:rPr>
          <w:b/>
          <w:sz w:val="20"/>
        </w:rPr>
      </w:pPr>
    </w:p>
    <w:p>
      <w:pPr>
        <w:pStyle w:val="BodyText"/>
        <w:spacing w:before="3"/>
        <w:rPr>
          <w:b/>
          <w:sz w:val="21"/>
        </w:rPr>
      </w:pPr>
      <w:r>
        <w:rPr/>
        <w:pict>
          <v:shape style="position:absolute;margin-left:319.170013pt;margin-top:14.18293pt;width:7.9pt;height:27.65pt;mso-position-horizontal-relative:page;mso-position-vertical-relative:paragraph;z-index:4480;mso-wrap-distance-left:0;mso-wrap-distance-right:0" coordorigin="6383,284" coordsize="158,553" path="m6392,693l6385,697,6383,702,6386,705,6462,837,6471,822,6454,822,6454,794,6396,694,6392,693xm6454,794l6454,822,6469,822,6469,818,6456,818,6462,807,6454,794xm6532,693l6528,694,6470,794,6469,822,6471,822,6538,705,6541,702,6539,697,6532,693xm6462,807l6456,818,6468,818,6462,807xm6469,794l6462,807,6468,818,6469,818,6469,794xm6469,284l6454,284,6455,794,6462,807,6469,794,6469,284xe" filled="true" fillcolor="#000000" stroked="false">
            <v:path arrowok="t"/>
            <v:fill type="solid"/>
            <w10:wrap type="topAndBottom"/>
          </v:shape>
        </w:pict>
      </w:r>
    </w:p>
    <w:p>
      <w:pPr>
        <w:spacing w:after="0"/>
        <w:rPr>
          <w:sz w:val="21"/>
        </w:rPr>
        <w:sectPr>
          <w:footerReference w:type="default" r:id="rId84"/>
          <w:pgSz w:w="15840" w:h="12240" w:orient="landscape"/>
          <w:pgMar w:footer="0" w:header="0" w:top="760" w:bottom="280" w:left="460" w:right="60"/>
        </w:sectPr>
      </w:pPr>
    </w:p>
    <w:p>
      <w:pPr>
        <w:pStyle w:val="BodyText"/>
        <w:rPr>
          <w:b/>
          <w:sz w:val="20"/>
        </w:rPr>
      </w:pPr>
      <w:r>
        <w:rPr/>
        <w:pict>
          <v:shape style="position:absolute;margin-left:679.5pt;margin-top:203.369995pt;width:31.5pt;height:197.6pt;mso-position-horizontal-relative:page;mso-position-vertical-relative:page;z-index:5704" type="#_x0000_t202" filled="false" stroked="true" strokeweight="1pt" strokecolor="#000000">
            <v:textbox inset="0,0,0,0" style="layout-flow:vertical;mso-layout-flow-alt:bottom-to-top">
              <w:txbxContent>
                <w:p>
                  <w:pPr>
                    <w:spacing w:before="149"/>
                    <w:ind w:left="71" w:right="-873" w:firstLine="0"/>
                    <w:jc w:val="left"/>
                    <w:rPr>
                      <w:b/>
                      <w:sz w:val="24"/>
                    </w:rPr>
                  </w:pPr>
                  <w:r>
                    <w:rPr>
                      <w:b/>
                      <w:spacing w:val="-1"/>
                      <w:w w:val="99"/>
                      <w:sz w:val="24"/>
                    </w:rPr>
                    <w:t>M</w:t>
                  </w:r>
                  <w:r>
                    <w:rPr>
                      <w:b/>
                      <w:w w:val="99"/>
                      <w:sz w:val="24"/>
                    </w:rPr>
                    <w:t>e</w:t>
                  </w:r>
                  <w:r>
                    <w:rPr>
                      <w:b/>
                      <w:w w:val="100"/>
                      <w:sz w:val="24"/>
                    </w:rPr>
                    <w:t>t</w:t>
                  </w:r>
                  <w:r>
                    <w:rPr>
                      <w:b/>
                      <w:spacing w:val="-1"/>
                      <w:w w:val="100"/>
                      <w:sz w:val="24"/>
                    </w:rPr>
                    <w:t>o</w:t>
                  </w:r>
                  <w:r>
                    <w:rPr>
                      <w:b/>
                      <w:w w:val="100"/>
                      <w:sz w:val="24"/>
                    </w:rPr>
                    <w:t>dología</w:t>
                  </w:r>
                  <w:r>
                    <w:rPr>
                      <w:b/>
                      <w:sz w:val="24"/>
                    </w:rPr>
                    <w:t> Si</w:t>
                  </w:r>
                  <w:r>
                    <w:rPr>
                      <w:b/>
                      <w:spacing w:val="1"/>
                      <w:sz w:val="24"/>
                    </w:rPr>
                    <w:t>e</w:t>
                  </w:r>
                  <w:r>
                    <w:rPr>
                      <w:b/>
                      <w:sz w:val="24"/>
                    </w:rPr>
                    <w:t>mp</w:t>
                  </w:r>
                  <w:r>
                    <w:rPr>
                      <w:b/>
                      <w:spacing w:val="-3"/>
                      <w:sz w:val="24"/>
                    </w:rPr>
                    <w:t>r</w:t>
                  </w:r>
                  <w:r>
                    <w:rPr>
                      <w:b/>
                      <w:w w:val="99"/>
                      <w:sz w:val="24"/>
                    </w:rPr>
                    <w:t>e</w:t>
                  </w:r>
                  <w:r>
                    <w:rPr>
                      <w:b/>
                      <w:spacing w:val="-2"/>
                      <w:sz w:val="24"/>
                    </w:rPr>
                    <w:t> </w:t>
                  </w:r>
                  <w:r>
                    <w:rPr>
                      <w:b/>
                      <w:spacing w:val="2"/>
                      <w:sz w:val="24"/>
                    </w:rPr>
                    <w:t>P</w:t>
                  </w:r>
                  <w:r>
                    <w:rPr>
                      <w:b/>
                      <w:w w:val="99"/>
                      <w:sz w:val="24"/>
                    </w:rPr>
                    <w:t>re</w:t>
                  </w:r>
                  <w:r>
                    <w:rPr>
                      <w:b/>
                      <w:spacing w:val="-2"/>
                      <w:w w:val="99"/>
                      <w:sz w:val="24"/>
                    </w:rPr>
                    <w:t>s</w:t>
                  </w:r>
                  <w:r>
                    <w:rPr>
                      <w:b/>
                      <w:w w:val="99"/>
                      <w:sz w:val="24"/>
                    </w:rPr>
                    <w:t>e</w:t>
                  </w:r>
                  <w:r>
                    <w:rPr>
                      <w:b/>
                      <w:w w:val="100"/>
                      <w:sz w:val="24"/>
                    </w:rPr>
                    <w:t>n</w:t>
                  </w:r>
                  <w:r>
                    <w:rPr>
                      <w:b/>
                      <w:spacing w:val="-1"/>
                      <w:w w:val="100"/>
                      <w:sz w:val="24"/>
                    </w:rPr>
                    <w:t>t</w:t>
                  </w:r>
                  <w:r>
                    <w:rPr>
                      <w:b/>
                      <w:w w:val="99"/>
                      <w:sz w:val="24"/>
                    </w:rPr>
                    <w:t>e</w:t>
                  </w:r>
                </w:p>
              </w:txbxContent>
            </v:textbox>
            <w10:wrap type="none"/>
          </v:shape>
        </w:pict>
      </w:r>
      <w:r>
        <w:rPr/>
        <w:pict>
          <v:shape style="position:absolute;margin-left:105.204124pt;margin-top:222.818085pt;width:13.05pt;height:47.25pt;mso-position-horizontal-relative:page;mso-position-vertical-relative:page;z-index:5728" type="#_x0000_t202" filled="false" stroked="false">
            <v:textbox inset="0,0,0,0" style="layout-flow:vertical;mso-layout-flow-alt:bottom-to-top">
              <w:txbxContent>
                <w:p>
                  <w:pPr>
                    <w:pStyle w:val="BodyText"/>
                    <w:spacing w:line="246" w:lineRule="exact"/>
                    <w:ind w:left="20" w:right="-682"/>
                  </w:pPr>
                  <w:r>
                    <w:rPr>
                      <w:spacing w:val="-4"/>
                      <w:w w:val="100"/>
                    </w:rPr>
                    <w:t>M</w:t>
                  </w:r>
                  <w:r>
                    <w:rPr>
                      <w:w w:val="100"/>
                    </w:rPr>
                    <w:t>e</w:t>
                  </w:r>
                  <w:r>
                    <w:rPr>
                      <w:spacing w:val="1"/>
                      <w:w w:val="100"/>
                    </w:rPr>
                    <w:t>d</w:t>
                  </w:r>
                  <w:r>
                    <w:rPr>
                      <w:spacing w:val="-2"/>
                      <w:w w:val="100"/>
                    </w:rPr>
                    <w:t>i</w:t>
                  </w:r>
                  <w:r>
                    <w:rPr>
                      <w:w w:val="100"/>
                    </w:rPr>
                    <w:t>a</w:t>
                  </w:r>
                  <w:r>
                    <w:rPr>
                      <w:spacing w:val="-1"/>
                      <w:w w:val="100"/>
                    </w:rPr>
                    <w:t>n</w:t>
                  </w:r>
                  <w:r>
                    <w:rPr>
                      <w:w w:val="100"/>
                    </w:rPr>
                    <w:t>t</w:t>
                  </w:r>
                  <w:r>
                    <w:rPr>
                      <w:w w:val="100"/>
                    </w:rPr>
                    <w:t>e</w:t>
                  </w:r>
                </w:p>
              </w:txbxContent>
            </v:textbox>
            <w10:wrap type="none"/>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1"/>
        </w:rPr>
      </w:pPr>
    </w:p>
    <w:p>
      <w:pPr>
        <w:pStyle w:val="Heading6"/>
        <w:spacing w:before="73"/>
        <w:ind w:left="119"/>
      </w:pPr>
      <w:r>
        <w:rPr/>
        <w:t>Esquema 3.4b. Metodología General del Trabajo de Campo (2013-2015) e Identificación Histórica de Actores (Ver Anexo 2)</w:t>
      </w:r>
    </w:p>
    <w:p>
      <w:pPr>
        <w:pStyle w:val="BodyText"/>
        <w:spacing w:before="7"/>
        <w:rPr>
          <w:b/>
          <w:sz w:val="23"/>
        </w:rPr>
      </w:pPr>
      <w:r>
        <w:rPr/>
        <w:pict>
          <v:group style="position:absolute;margin-left:162.100006pt;margin-top:15.538953pt;width:111.1pt;height:59.55pt;mso-position-horizontal-relative:page;mso-position-vertical-relative:paragraph;z-index:5560;mso-wrap-distance-left:0;mso-wrap-distance-right:0" coordorigin="3242,311" coordsize="2222,1191">
            <v:shape style="position:absolute;left:3242;top:311;width:2222;height:1191" type="#_x0000_t75" stroked="false">
              <v:imagedata r:id="rId51" o:title=""/>
            </v:shape>
            <v:shape style="position:absolute;left:3242;top:311;width:2222;height:1191" type="#_x0000_t202" filled="false" stroked="false">
              <v:textbox inset="0,0,0,0">
                <w:txbxContent>
                  <w:p>
                    <w:pPr>
                      <w:spacing w:line="276" w:lineRule="auto" w:before="86"/>
                      <w:ind w:left="284" w:right="289" w:firstLine="7"/>
                      <w:jc w:val="center"/>
                      <w:rPr>
                        <w:b/>
                        <w:sz w:val="22"/>
                      </w:rPr>
                    </w:pPr>
                    <w:r>
                      <w:rPr>
                        <w:b/>
                        <w:sz w:val="22"/>
                      </w:rPr>
                      <w:t>TRABAJO DE CAMPO </w:t>
                    </w:r>
                    <w:r>
                      <w:rPr>
                        <w:b/>
                        <w:spacing w:val="-2"/>
                        <w:sz w:val="22"/>
                      </w:rPr>
                      <w:t>TRANSVERSAL</w:t>
                    </w:r>
                  </w:p>
                </w:txbxContent>
              </v:textbox>
              <w10:wrap type="none"/>
            </v:shape>
            <w10:wrap type="topAndBottom"/>
          </v:group>
        </w:pict>
      </w:r>
    </w:p>
    <w:p>
      <w:pPr>
        <w:pStyle w:val="BodyText"/>
        <w:rPr>
          <w:b/>
          <w:sz w:val="6"/>
        </w:rPr>
      </w:pPr>
    </w:p>
    <w:p>
      <w:pPr>
        <w:spacing w:line="240" w:lineRule="auto"/>
        <w:ind w:left="2898" w:right="0" w:firstLine="0"/>
        <w:rPr>
          <w:sz w:val="20"/>
        </w:rPr>
      </w:pPr>
      <w:r>
        <w:rPr>
          <w:position w:val="118"/>
          <w:sz w:val="20"/>
        </w:rPr>
        <w:pict>
          <v:group style="width:207.2pt;height:192.95pt;mso-position-horizontal-relative:char;mso-position-vertical-relative:line" coordorigin="0,0" coordsize="4144,3859">
            <v:rect style="position:absolute;left:1231;top:1068;width:1770;height:1470" filled="false" stroked="true" strokeweight="1pt" strokecolor="#000000"/>
            <v:shape style="position:absolute;left:0;top:0;width:1617;height:1143" type="#_x0000_t75" stroked="false">
              <v:imagedata r:id="rId49" o:title=""/>
            </v:shape>
            <v:shape style="position:absolute;left:246;top:352;width:974;height:630" coordorigin="246,352" coordsize="974,630" path="m266,804l246,815,271,982,291,971,282,921,313,903,279,903,271,854,269,844,267,834,264,824,291,824,266,804xm374,888l340,888,379,921,400,909,374,888xm291,824l264,824,270,830,279,838,325,877,279,903,313,903,340,888,374,888,291,824xm442,783l420,783,453,841,458,851,463,857,466,860,469,862,473,863,482,863,487,861,493,858,497,856,501,853,505,849,500,843,479,843,477,842,474,840,472,837,470,832,442,783xm494,836l491,838,489,839,485,842,482,843,500,843,494,836xm479,733l463,741,520,841,537,831,507,779,503,772,500,765,499,758,498,753,498,749,499,748,487,748,479,733xm409,726l398,746,412,770,400,777,407,791,420,783,442,783,437,774,454,764,452,761,429,761,409,726xm446,751l429,761,452,761,446,751xm511,714l505,715,499,718,495,721,492,724,490,728,488,732,487,736,487,748,499,748,500,745,502,741,504,738,508,736,512,734,517,733,522,733,519,714,511,714xm625,687l591,687,597,689,602,690,606,694,610,700,610,701,611,703,613,705,607,711,598,718,586,728,579,732,575,736,572,739,568,743,565,747,563,751,561,756,560,761,560,771,561,776,564,781,569,790,576,795,594,799,603,797,614,790,621,787,627,782,628,780,599,780,593,779,588,778,584,775,582,771,580,768,580,765,580,758,581,755,583,752,585,749,590,745,607,731,615,724,620,718,643,718,625,687xm643,718l620,718,624,724,628,732,630,738,630,743,631,745,631,750,629,755,626,761,622,766,617,771,611,775,604,779,599,780,628,780,631,776,636,771,640,764,643,755,670,755,666,753,663,750,660,746,657,742,651,732,643,718xm670,755l643,755,646,759,649,763,653,765,671,755,670,755xm598,669l585,671,578,674,561,683,554,689,549,695,543,701,540,707,539,713,538,720,539,727,542,735,559,728,557,720,557,713,562,703,567,698,575,694,583,689,591,687,625,687,622,682,616,675,612,672,603,669,598,669xm642,640l625,650,719,728,735,719,732,704,715,704,709,698,704,693,642,640xm716,598l699,608,711,682,714,698,715,704,732,704,716,598xm798,558l788,559,778,561,768,565,759,572,752,580,746,588,743,598,741,609,742,621,746,632,752,645,759,656,767,665,776,671,786,675,796,677,807,677,817,674,828,669,840,662,841,661,804,661,786,656,778,649,771,638,797,624,764,624,760,615,759,606,764,590,769,584,776,579,785,574,794,574,829,574,827,572,818,565,809,561,798,558xm854,612l835,620,837,628,836,636,834,641,831,647,827,652,821,655,812,660,804,661,841,661,848,654,856,635,857,624,854,612xm829,574l794,574,803,577,809,579,814,584,820,592,764,624,797,624,845,596,843,592,843,592,836,580,829,574xm883,592l868,604,876,614,885,619,904,622,916,619,937,608,941,604,906,604,900,603,893,602,888,598,883,592xm954,563l921,563,925,563,929,564,933,566,935,570,937,573,937,574,937,578,935,584,933,589,929,594,913,603,906,604,941,604,943,602,952,590,955,583,955,576,955,571,956,569,954,564,954,563,954,563xm896,500l889,501,882,503,874,505,867,510,861,513,857,516,849,524,847,528,845,531,843,536,842,540,842,550,844,555,849,564,853,568,857,570,862,573,868,574,880,573,890,571,904,567,915,564,921,563,954,563,951,558,949,554,872,554,869,554,864,552,863,550,861,548,859,545,860,540,861,536,863,532,868,527,882,519,888,518,919,518,922,515,917,509,912,505,907,503,902,501,896,500xm772,515l750,528,753,561,767,553,772,515xm929,542l923,543,917,544,907,546,893,549,878,553,876,554,872,554,949,554,948,552,944,548,939,546,934,543,929,542xm919,518l888,518,899,519,903,522,907,527,919,518xm1044,417l1032,417,1026,419,1012,427,1006,434,1002,442,997,450,996,459,996,460,997,469,999,479,1002,489,1008,499,1013,509,1020,517,1028,523,1037,528,1045,532,1064,533,1072,531,1080,526,1092,519,1094,516,1058,516,1040,510,1032,502,1018,476,1015,465,1016,454,1018,447,1022,440,1030,436,1037,431,1046,431,1083,431,1078,421,1055,421,1050,418,1044,417xm1083,431l1046,431,1063,438,1072,446,1079,460,1086,472,1089,483,1086,501,1081,507,1074,511,1066,516,1058,516,1094,516,1099,509,1099,496,1120,496,1083,431xm1120,496l1099,496,1107,508,1122,499,1120,496xm1162,352l1152,353,1142,355,1132,359,1122,366,1115,374,1109,382,1106,392,1104,403,1106,415,1109,426,1115,439,1122,450,1130,459,1139,465,1149,469,1160,471,1170,471,1181,468,1192,463,1203,456,1205,455,1167,455,1158,452,1149,449,1141,443,1134,432,1160,418,1127,418,1123,409,1122,400,1124,392,1127,384,1132,378,1139,373,1148,368,1157,368,1193,368,1191,366,1182,359,1172,355,1162,352xm1217,406l1198,414,1200,422,1199,429,1194,441,1190,446,1184,449,1175,454,1167,455,1205,455,1211,448,1219,429,1220,419,1220,417,1217,406xm1044,362l1027,371,1055,421,1078,421,1044,362xm1193,368l1157,368,1166,371,1172,373,1178,378,1183,386,1127,418,1160,418,1209,390,1207,386,1206,386,1199,374,1193,368xe" filled="true" fillcolor="#000000" stroked="false">
              <v:path arrowok="t"/>
              <v:fill type="solid"/>
            </v:shape>
            <v:shape style="position:absolute;left:2990;top:2728;width:869;height:1131" coordorigin="2990,2728" coordsize="869,1131" path="m3720,3786l3716,3788,3713,3795,3715,3800,3719,3801,3859,3859,3858,3851,3844,3851,3827,3830,3724,3787,3720,3786xm3827,3830l3844,3851,3849,3848,3843,3848,3841,3835,3827,3830xm3836,3701l3832,3702,3827,3702,3825,3706,3825,3710,3839,3820,3856,3842,3844,3851,3858,3851,3840,3708,3839,3704,3836,3701xm3841,3835l3843,3848,3853,3840,3841,3835xm3839,3820l3841,3835,3853,3840,3843,3848,3849,3848,3856,3842,3839,3820xm3002,2728l2990,2737,3827,3830,3841,3835,3839,3820,3002,2728xe" filled="true" fillcolor="#000000" stroked="false">
              <v:path arrowok="t"/>
              <v:fill type="solid"/>
            </v:shape>
            <v:shape style="position:absolute;left:2527;top:2529;width:1617;height:1143" type="#_x0000_t75" stroked="false">
              <v:imagedata r:id="rId50" o:title=""/>
            </v:shape>
            <v:shape style="position:absolute;left:3082;top:2957;width:531;height:341" coordorigin="3082,2957" coordsize="531,341" path="m3151,3135l3141,3136,3131,3139,3121,3144,3109,3151,3099,3160,3092,3172,3085,3183,3082,3195,3082,3201,3082,3209,3084,3220,3086,3230,3090,3241,3096,3251,3102,3261,3108,3269,3116,3277,3124,3284,3135,3293,3147,3297,3160,3298,3169,3298,3180,3296,3190,3292,3201,3287,3211,3280,3212,3279,3173,3279,3154,3279,3145,3275,3137,3268,3128,3261,3121,3252,3114,3241,3109,3231,3106,3222,3102,3202,3102,3201,3103,3192,3111,3174,3119,3166,3138,3155,3147,3153,3197,3153,3189,3147,3180,3141,3171,3137,3161,3135,3151,3135xm3232,3208l3211,3214,3215,3227,3215,3239,3212,3249,3208,3258,3201,3266,3182,3277,3173,3279,3212,3279,3219,3273,3226,3264,3231,3254,3234,3244,3235,3233,3235,3222,3234,3220,3232,3208xm3289,3109l3279,3109,3269,3112,3259,3116,3246,3123,3238,3133,3234,3145,3231,3155,3231,3160,3232,3169,3235,3181,3241,3195,3249,3206,3257,3215,3266,3222,3276,3226,3287,3228,3297,3228,3307,3225,3318,3220,3326,3216,3330,3212,3293,3212,3274,3206,3266,3198,3252,3172,3249,3161,3253,3142,3258,3135,3267,3130,3275,3126,3284,3125,3322,3125,3319,3121,3310,3115,3300,3111,3289,3109xm3322,3125l3284,3125,3302,3131,3310,3139,3317,3151,3325,3164,3327,3176,3325,3185,3323,3195,3318,3202,3301,3211,3293,3212,3330,3212,3333,3209,3338,3201,3343,3192,3346,3184,3345,3174,3345,3165,3341,3153,3334,3141,3327,3130,3322,3125xm3341,3073l3326,3081,3382,3181,3399,3171,3370,3119,3365,3110,3362,3103,3361,3097,3360,3091,3361,3087,3349,3087,3341,3073xm3197,3153l3147,3153,3156,3154,3165,3155,3173,3160,3182,3168,3198,3154,3197,3153xm3419,3066l3386,3066,3396,3070,3401,3075,3405,3082,3442,3147,3459,3138,3426,3080,3420,3069,3419,3066xm3477,3033l3441,3033,3449,3034,3452,3035,3458,3040,3461,3044,3481,3080,3501,3114,3517,3104,3477,3033xm3384,3047l3377,3049,3363,3057,3358,3062,3355,3068,3351,3074,3349,3080,3349,3087,3361,3087,3361,3086,3366,3076,3370,3073,3375,3070,3381,3066,3386,3066,3419,3066,3418,3061,3420,3055,3408,3055,3403,3050,3397,3048,3391,3047,3384,3047xm3557,2957l3546,2958,3536,2960,3526,2965,3514,2972,3505,2981,3501,2994,3498,3005,3499,3017,3502,3030,3509,3043,3516,3055,3524,3064,3534,3070,3543,3075,3554,3077,3564,3076,3574,3074,3585,3069,3594,3064,3597,3061,3560,3061,3541,3054,3533,3046,3526,3033,3519,3021,3516,3010,3520,2991,3525,2984,3534,2979,3542,2974,3551,2973,3589,2973,3586,2970,3577,2963,3567,2959,3557,2957xm3589,2973l3551,2973,3569,2980,3577,2987,3584,3000,3592,3013,3592,3013,3594,3024,3592,3036,3591,3043,3585,3050,3569,3060,3560,3061,3597,3061,3600,3057,3606,3049,3611,3041,3613,3032,3613,3024,3612,3013,3608,3002,3601,2989,3594,2978,3589,2973xm3448,3013l3439,3014,3429,3020,3420,3026,3414,3034,3410,3043,3408,3055,3420,3055,3422,3046,3426,3041,3437,3034,3441,3033,3477,3033,3472,3024,3465,3018,3456,3015,3448,3013xe" filled="true" fillcolor="#000000" stroked="false">
              <v:path arrowok="t"/>
              <v:fill type="solid"/>
            </v:shape>
            <v:shape style="position:absolute;left:0;top:0;width:4144;height:3859" type="#_x0000_t202" filled="false" stroked="false">
              <v:textbox inset="0,0,0,0">
                <w:txbxContent>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76" w:lineRule="auto" w:before="133"/>
                      <w:ind w:left="1438" w:right="1343" w:hanging="4"/>
                      <w:jc w:val="center"/>
                      <w:rPr>
                        <w:b/>
                        <w:sz w:val="22"/>
                      </w:rPr>
                    </w:pPr>
                    <w:r>
                      <w:rPr>
                        <w:b/>
                        <w:sz w:val="22"/>
                      </w:rPr>
                      <w:t>Consultas a organizacion es ya establecidas</w:t>
                    </w:r>
                  </w:p>
                </w:txbxContent>
              </v:textbox>
              <w10:wrap type="none"/>
            </v:shape>
          </v:group>
        </w:pict>
      </w:r>
      <w:r>
        <w:rPr>
          <w:position w:val="118"/>
          <w:sz w:val="20"/>
        </w:rPr>
      </w:r>
      <w:r>
        <w:rPr>
          <w:rFonts w:ascii="Times New Roman"/>
          <w:spacing w:val="82"/>
          <w:position w:val="118"/>
          <w:sz w:val="20"/>
        </w:rPr>
        <w:t> </w:t>
      </w:r>
      <w:r>
        <w:rPr>
          <w:spacing w:val="82"/>
          <w:sz w:val="20"/>
        </w:rPr>
        <w:pict>
          <v:shape style="width:159.75pt;height:105.75pt;mso-position-horizontal-relative:char;mso-position-vertical-relative:line" type="#_x0000_t202" filled="false" stroked="true" strokeweight="1pt" strokecolor="#000000">
            <w10:anchorlock/>
            <v:textbox inset="0,0,0,0">
              <w:txbxContent>
                <w:p>
                  <w:pPr>
                    <w:spacing w:line="278" w:lineRule="auto" w:before="69"/>
                    <w:ind w:left="148" w:right="149" w:firstLine="2"/>
                    <w:jc w:val="center"/>
                    <w:rPr>
                      <w:b/>
                      <w:sz w:val="22"/>
                    </w:rPr>
                  </w:pPr>
                  <w:r>
                    <w:rPr>
                      <w:b/>
                      <w:sz w:val="22"/>
                    </w:rPr>
                    <w:t>Comisariados Ejidales, Delegados, Asociaciones Civiles, Cooperativas Ganaderas, de Pescadores, Comité Hidráulico, El Municipio, La Conagua</w:t>
                  </w:r>
                </w:p>
              </w:txbxContent>
            </v:textbox>
          </v:shape>
        </w:pict>
      </w:r>
      <w:r>
        <w:rPr>
          <w:spacing w:val="82"/>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8"/>
        </w:rPr>
      </w:pPr>
    </w:p>
    <w:p>
      <w:pPr>
        <w:pStyle w:val="BodyText"/>
        <w:spacing w:line="362" w:lineRule="auto" w:before="73"/>
        <w:ind w:left="914" w:right="187"/>
      </w:pPr>
      <w:r>
        <w:rPr/>
        <w:pict>
          <v:group style="position:absolute;margin-left:79.875pt;margin-top:-386.883118pt;width:56.25pt;height:396.75pt;mso-position-horizontal-relative:page;mso-position-vertical-relative:paragraph;z-index:-3337768" coordorigin="1598,-7738" coordsize="1125,7935">
            <v:shape style="position:absolute;left:1605;top:-7730;width:1110;height:7920" coordorigin="1605,-7730" coordsize="1110,7920" path="m1605,-7730l1717,-7728,1821,-7722,1915,-7712,1997,-7699,2065,-7683,2149,-7644,2160,-7623,2160,-3878,2171,-3856,2255,-3818,2323,-3802,2405,-3789,2499,-3779,2603,-3772,2715,-3770,2603,-3768,2499,-3762,2405,-3752,2323,-3739,2255,-3723,2171,-3684,2160,-3663,2160,82,2149,104,2065,142,1997,158,1915,171,1821,181,1717,188,1605,190e" filled="false" stroked="true" strokeweight=".75pt" strokecolor="#000000">
              <v:path arrowok="t"/>
            </v:shape>
            <v:shape style="position:absolute;left:2099;top:-6638;width:293;height:2182" type="#_x0000_t75" stroked="false">
              <v:imagedata r:id="rId45" o:title=""/>
            </v:shape>
            <w10:wrap type="none"/>
          </v:group>
        </w:pict>
      </w:r>
      <w:r>
        <w:rPr/>
        <w:pict>
          <v:shape style="position:absolute;margin-left:598.5pt;margin-top:-386.508118pt;width:55.5pt;height:400.5pt;mso-position-horizontal-relative:page;mso-position-vertical-relative:paragraph;z-index:-3337744" coordorigin="11970,-7730" coordsize="1110,8010" path="m11970,-7730l12082,-7728,12186,-7722,12280,-7712,12362,-7699,12430,-7683,12514,-7644,12525,-7623,12525,-3833,12536,-3811,12620,-3773,12688,-3757,12770,-3744,12864,-3734,12968,-3727,13080,-3725,12968,-3723,12864,-3717,12770,-3707,12688,-3694,12620,-3678,12536,-3639,12525,-3618,12525,172,12514,194,12430,232,12362,248,12280,261,12186,271,12082,278,11970,280e" filled="false" stroked="true" strokeweight=".75pt" strokecolor="#000000">
            <v:path arrowok="t"/>
            <w10:wrap type="none"/>
          </v:shape>
        </w:pict>
      </w:r>
      <w:r>
        <w:rPr>
          <w:b/>
        </w:rPr>
        <w:t>Fuente: </w:t>
      </w:r>
      <w:r>
        <w:rPr/>
        <w:t>Elaboración propia con base en Uphoff (1995), Palerm (1972); Quiroz, Durán, Delgadillo (2012); Díaz et al. (2009) y García, trabajo de campo (2013-2015).</w:t>
      </w:r>
    </w:p>
    <w:p>
      <w:pPr>
        <w:spacing w:after="0" w:line="362" w:lineRule="auto"/>
        <w:sectPr>
          <w:footerReference w:type="default" r:id="rId88"/>
          <w:pgSz w:w="15840" w:h="12240" w:orient="landscape"/>
          <w:pgMar w:footer="0" w:header="0" w:top="0" w:bottom="280" w:left="1460" w:right="1400"/>
        </w:sectPr>
      </w:pPr>
    </w:p>
    <w:p>
      <w:pPr>
        <w:pStyle w:val="Heading6"/>
        <w:numPr>
          <w:ilvl w:val="1"/>
          <w:numId w:val="35"/>
        </w:numPr>
        <w:tabs>
          <w:tab w:pos="532" w:val="left" w:leader="none"/>
        </w:tabs>
        <w:spacing w:line="360" w:lineRule="auto" w:before="53" w:after="0"/>
        <w:ind w:left="102" w:right="478" w:firstLine="0"/>
        <w:jc w:val="left"/>
      </w:pPr>
      <w:r>
        <w:rPr/>
        <w:t>Etnografía del Trabajo de Campo (2013-2015) en la Cuenca Hidrosocial Presa Huapango</w:t>
      </w:r>
    </w:p>
    <w:p>
      <w:pPr>
        <w:pStyle w:val="BodyText"/>
        <w:spacing w:before="9"/>
        <w:rPr>
          <w:b/>
          <w:sz w:val="17"/>
        </w:rPr>
      </w:pPr>
    </w:p>
    <w:p>
      <w:pPr>
        <w:pStyle w:val="BodyText"/>
        <w:spacing w:line="360" w:lineRule="auto"/>
        <w:ind w:left="102" w:right="113"/>
        <w:jc w:val="both"/>
      </w:pPr>
      <w:r>
        <w:rPr/>
        <w:t>El trabajo de campo fue transversal, es decir, a lo largo de toda la investigación (2013- 2015), sustentado con la visión teórica de Palerm (1972), donde menciona que el primer principio para la planeación regional “es tener claros los conceptos teóricos y después los técnicos, la planificación tiene que llevarse a cabo utilizando técnicas cuyo contenido están determinadas por su adecuación al objeto al que se</w:t>
      </w:r>
      <w:r>
        <w:rPr>
          <w:spacing w:val="-15"/>
        </w:rPr>
        <w:t> </w:t>
      </w:r>
      <w:r>
        <w:rPr/>
        <w:t>aplican”.</w:t>
      </w:r>
    </w:p>
    <w:p>
      <w:pPr>
        <w:pStyle w:val="BodyText"/>
        <w:spacing w:before="7"/>
        <w:rPr>
          <w:sz w:val="17"/>
        </w:rPr>
      </w:pPr>
    </w:p>
    <w:p>
      <w:pPr>
        <w:pStyle w:val="BodyText"/>
        <w:spacing w:line="360" w:lineRule="auto"/>
        <w:ind w:left="102" w:right="115"/>
        <w:jc w:val="both"/>
      </w:pPr>
      <w:r>
        <w:rPr/>
        <w:t>El sentido de la planificación regional reside en la posibilidad de crear nuevas tendencias  y de modificar la dirección de las existentes mediante un orden estratégico. Para lograr una planificación integral, hay que hacer uso de dos categorías: las conceptuales y las técnicas. Existe la interdependencia de los factores, y hay componentes que poseen mayor importancia que otros, especialmente en términos de su capacidad de producir modificaciones sobre el resto del sistema o estructura</w:t>
      </w:r>
      <w:r>
        <w:rPr>
          <w:spacing w:val="-17"/>
        </w:rPr>
        <w:t> </w:t>
      </w:r>
      <w:r>
        <w:rPr/>
        <w:t>total.</w:t>
      </w:r>
    </w:p>
    <w:p>
      <w:pPr>
        <w:pStyle w:val="BodyText"/>
        <w:spacing w:before="7"/>
        <w:rPr>
          <w:sz w:val="17"/>
        </w:rPr>
      </w:pPr>
    </w:p>
    <w:p>
      <w:pPr>
        <w:pStyle w:val="BodyText"/>
        <w:spacing w:line="360" w:lineRule="auto"/>
        <w:ind w:left="102" w:right="114"/>
        <w:jc w:val="both"/>
      </w:pPr>
      <w:r>
        <w:rPr/>
        <w:t>Se tomó de la teoría de Palerm (1989), la idea de que las causas y los principios que rigen las transformaciones sociales pueden también ser identificados, abordados y explicados,  a condición de que partamos del hecho de la diversidad; pero para conocer y comprender la complejidad sociocultural y para formular una explicación teórica convincente debemos poner énfasis en un instrumento adecuado a la praxis antropológica: el trabajo de</w:t>
      </w:r>
      <w:r>
        <w:rPr>
          <w:spacing w:val="-22"/>
        </w:rPr>
        <w:t> </w:t>
      </w:r>
      <w:r>
        <w:rPr/>
        <w:t>campo.</w:t>
      </w:r>
    </w:p>
    <w:p>
      <w:pPr>
        <w:pStyle w:val="BodyText"/>
        <w:spacing w:before="7"/>
        <w:rPr>
          <w:sz w:val="17"/>
        </w:rPr>
      </w:pPr>
    </w:p>
    <w:p>
      <w:pPr>
        <w:pStyle w:val="BodyText"/>
        <w:spacing w:line="360" w:lineRule="auto"/>
        <w:ind w:left="102" w:right="112"/>
        <w:jc w:val="both"/>
      </w:pPr>
      <w:r>
        <w:rPr/>
        <w:t>El trabajo de campo </w:t>
      </w:r>
      <w:r>
        <w:rPr>
          <w:i/>
        </w:rPr>
        <w:t>in situ</w:t>
      </w:r>
      <w:r>
        <w:rPr/>
        <w:t>, consistió en identificar y describir la lógica de función y estructura sociopolítica (derecho consuetudinario) en que se auto organiza la región (Malinowski, 1976)</w:t>
      </w:r>
      <w:r>
        <w:rPr>
          <w:b/>
        </w:rPr>
        <w:t>, </w:t>
      </w:r>
      <w:r>
        <w:rPr/>
        <w:t>donde destaca la relevancia de la generación de información de primera mano para la gestión integrada (GIRH) a través de la constante consulta a la población afectada, es decir, la importancia intransferible del trabajo de campo, tanto para la obtención de datos, como para la comunicación y seguimiento de los planes. (Palerm, 1972; citado en Romero, </w:t>
      </w:r>
      <w:r>
        <w:rPr>
          <w:i/>
        </w:rPr>
        <w:t>et al. </w:t>
      </w:r>
      <w:r>
        <w:rPr/>
        <w:t>2012).</w:t>
      </w:r>
    </w:p>
    <w:p>
      <w:pPr>
        <w:pStyle w:val="BodyText"/>
        <w:spacing w:before="7"/>
        <w:rPr>
          <w:sz w:val="17"/>
        </w:rPr>
      </w:pPr>
    </w:p>
    <w:p>
      <w:pPr>
        <w:pStyle w:val="BodyText"/>
        <w:spacing w:line="360" w:lineRule="auto"/>
        <w:ind w:left="102" w:right="114"/>
        <w:jc w:val="both"/>
      </w:pPr>
      <w:r>
        <w:rPr/>
        <w:t>El trabajo de campo de la región de la presa Huapango, se inició en marzo del 2013, con el recorrido de un transecto sur-norte; con observación y obtención de datos, socio ambientales (identificación de actores y su relación con la presa). Dicho transecto se dividió en recorridos que permitieron la obtención de datos importantes en la cuenca hidrosocial de la presa Huapango para detectar los actores clave que dieron la información de la</w:t>
      </w:r>
      <w:r>
        <w:rPr>
          <w:spacing w:val="-8"/>
        </w:rPr>
        <w:t> </w:t>
      </w:r>
      <w:r>
        <w:rPr/>
        <w:t>investigación.</w:t>
      </w:r>
    </w:p>
    <w:p>
      <w:pPr>
        <w:spacing w:after="0" w:line="360" w:lineRule="auto"/>
        <w:jc w:val="both"/>
        <w:sectPr>
          <w:footerReference w:type="default" r:id="rId89"/>
          <w:pgSz w:w="12240" w:h="15840"/>
          <w:pgMar w:footer="0" w:header="0" w:top="1360" w:bottom="280" w:left="1600" w:right="1580"/>
        </w:sectPr>
      </w:pPr>
    </w:p>
    <w:p>
      <w:pPr>
        <w:pStyle w:val="Heading6"/>
        <w:spacing w:before="54"/>
        <w:ind w:left="0" w:right="1257"/>
        <w:jc w:val="right"/>
      </w:pPr>
      <w:r>
        <w:rPr/>
        <w:t>DÍA 2</w:t>
      </w:r>
    </w:p>
    <w:p>
      <w:pPr>
        <w:pStyle w:val="BodyText"/>
        <w:spacing w:before="3"/>
        <w:rPr>
          <w:b/>
          <w:sz w:val="14"/>
        </w:rPr>
      </w:pPr>
    </w:p>
    <w:p>
      <w:pPr>
        <w:spacing w:after="0"/>
        <w:rPr>
          <w:sz w:val="14"/>
        </w:rPr>
        <w:sectPr>
          <w:footerReference w:type="default" r:id="rId90"/>
          <w:pgSz w:w="15840" w:h="12240" w:orient="landscape"/>
          <w:pgMar w:footer="0" w:header="0" w:top="860" w:bottom="280" w:left="1300" w:right="1520"/>
        </w:sectPr>
      </w:pPr>
    </w:p>
    <w:p>
      <w:pPr>
        <w:pStyle w:val="BodyText"/>
        <w:rPr>
          <w:b/>
          <w:sz w:val="32"/>
        </w:rPr>
      </w:pPr>
    </w:p>
    <w:p>
      <w:pPr>
        <w:spacing w:before="0"/>
        <w:ind w:left="5245" w:right="-18" w:firstLine="0"/>
        <w:jc w:val="left"/>
        <w:rPr>
          <w:b/>
          <w:sz w:val="24"/>
        </w:rPr>
      </w:pPr>
      <w:r>
        <w:rPr>
          <w:b/>
          <w:sz w:val="24"/>
        </w:rPr>
        <w:t>Esquema 3.5. Transecto</w:t>
      </w:r>
    </w:p>
    <w:p>
      <w:pPr>
        <w:spacing w:line="280" w:lineRule="auto" w:before="73"/>
        <w:ind w:left="2028" w:right="116" w:firstLine="0"/>
        <w:jc w:val="center"/>
        <w:rPr>
          <w:sz w:val="22"/>
        </w:rPr>
      </w:pPr>
      <w:r>
        <w:rPr/>
        <w:br w:type="column"/>
      </w:r>
      <w:r>
        <w:rPr>
          <w:b/>
          <w:sz w:val="22"/>
        </w:rPr>
        <w:t>Acambay: </w:t>
      </w:r>
      <w:r>
        <w:rPr>
          <w:sz w:val="22"/>
        </w:rPr>
        <w:t>Orilla de la presa, centro de acambay</w:t>
      </w:r>
    </w:p>
    <w:p>
      <w:pPr>
        <w:pStyle w:val="BodyText"/>
        <w:spacing w:line="276" w:lineRule="auto" w:before="192"/>
        <w:ind w:left="2026" w:right="116"/>
        <w:jc w:val="center"/>
      </w:pPr>
      <w:r>
        <w:rPr/>
        <w:pict>
          <v:group style="position:absolute;margin-left:70.899994pt;margin-top:26.227867pt;width:614.65pt;height:237.45pt;mso-position-horizontal-relative:page;mso-position-vertical-relative:paragraph;z-index:-3337672" coordorigin="1418,525" coordsize="12293,4749">
            <v:shape style="position:absolute;left:1455;top:4487;width:786;height:602" coordorigin="1455,4487" coordsize="786,602" path="m2241,5048l2083,5048,2083,4723,2165,4723,2046,4487,1635,4487,1527,4723,1600,4723,1600,5048,1455,5048,1455,5088,2241,5088,2241,5048e" filled="true" fillcolor="#000000" stroked="false">
              <v:path arrowok="t"/>
              <v:fill type="solid"/>
            </v:shape>
            <v:line style="position:absolute" from="1701,4881" to="1731,4881" stroked="true" strokeweight="2.399364pt" strokecolor="#ffffff"/>
            <v:line style="position:absolute" from="1701,4942" to="1731,4942" stroked="true" strokeweight="2.354049pt" strokecolor="#ffffff"/>
            <v:line style="position:absolute" from="1660,4881" to="1690,4881" stroked="true" strokeweight="2.399364pt" strokecolor="#ffffff"/>
            <v:line style="position:absolute" from="1660,4942" to="1690,4942" stroked="true" strokeweight="2.354049pt" strokecolor="#ffffff"/>
            <v:line style="position:absolute" from="1992,4881" to="2021,4881" stroked="true" strokeweight="2.399364pt" strokecolor="#ffffff"/>
            <v:line style="position:absolute" from="1992,4942" to="2021,4942" stroked="true" strokeweight="2.354049pt" strokecolor="#ffffff"/>
            <v:line style="position:absolute" from="1949,4881" to="1980,4881" stroked="true" strokeweight="2.399364pt" strokecolor="#ffffff"/>
            <v:line style="position:absolute" from="1949,4942" to="1980,4942" stroked="true" strokeweight="2.354049pt" strokecolor="#ffffff"/>
            <v:line style="position:absolute" from="1697,4447" to="1697,4624" stroked="true" strokeweight="2.886296pt" strokecolor="#000000"/>
            <v:line style="position:absolute" from="1656,4447" to="1735,4447" stroked="true" strokeweight="1.267562pt" strokecolor="#000000"/>
            <v:shape style="position:absolute;left:1779;top:4872;width:119;height:173" type="#_x0000_t75" stroked="false">
              <v:imagedata r:id="rId91" o:title=""/>
            </v:shape>
            <v:shape style="position:absolute;left:1484;top:4881;width:100;height:179" type="#_x0000_t75" stroked="false">
              <v:imagedata r:id="rId92" o:title=""/>
            </v:shape>
            <v:shape style="position:absolute;left:2104;top:4881;width:100;height:179" type="#_x0000_t75" stroked="false">
              <v:imagedata r:id="rId93" o:title=""/>
            </v:shape>
            <v:rect style="position:absolute;left:1451;top:5072;width:778;height:172" filled="true" fillcolor="#000000" stroked="false">
              <v:fill type="solid"/>
            </v:rect>
            <v:shape style="position:absolute;left:1497;top:5105;width:696;height:88" coordorigin="1497,5105" coordsize="696,88" path="m1515,5183l1514,5180,1512,5176,1510,5174,1506,5173,1503,5174,1499,5176,1498,5180,1497,5183,1498,5187,1499,5190,1503,5192,1506,5192,1510,5192,1512,5190,1514,5187,1515,5183m1515,5114l1514,5110,1512,5107,1510,5106,1506,5105,1503,5106,1499,5107,1498,5110,1497,5114,1498,5117,1499,5121,1503,5123,1506,5124,1510,5123,1512,5121,1514,5117,1515,5114m1559,5143l1558,5139,1556,5135,1554,5134,1550,5133,1547,5134,1544,5135,1542,5139,1541,5143,1542,5146,1544,5149,1547,5151,1550,5152,1554,5151,1556,5149,1558,5146,1559,5143m1612,5183l1611,5180,1610,5176,1606,5174,1603,5173,1600,5174,1597,5176,1595,5180,1594,5183,1595,5187,1597,5190,1600,5192,1603,5192,1606,5192,1610,5190,1611,5187,1612,5183m1612,5114l1611,5110,1610,5107,1606,5106,1603,5105,1600,5106,1597,5107,1595,5110,1594,5114,1595,5117,1597,5121,1600,5123,1603,5124,1606,5123,1610,5121,1611,5117,1612,5114m1656,5143l1656,5139,1654,5135,1651,5134,1647,5133,1644,5134,1641,5135,1639,5139,1639,5143,1639,5146,1641,5149,1644,5151,1647,5152,1651,5151,1654,5149,1656,5146,1656,5143m1708,5183l1707,5180,1706,5176,1703,5174,1700,5173,1696,5174,1693,5176,1691,5180,1690,5183,1691,5187,1693,5190,1696,5192,1700,5192,1703,5192,1706,5190,1707,5187,1708,5183m1708,5114l1707,5110,1706,5107,1703,5106,1700,5105,1696,5106,1693,5107,1691,5110,1690,5114,1691,5117,1693,5121,1696,5123,1700,5124,1703,5123,1706,5121,1707,5117,1708,5114m1752,5143l1752,5139,1750,5135,1747,5134,1744,5133,1741,5134,1738,5135,1736,5139,1735,5143,1736,5146,1738,5149,1741,5151,1744,5152,1747,5151,1750,5149,1752,5146,1752,5143m1806,5183l1805,5180,1803,5176,1800,5174,1797,5173,1793,5174,1791,5176,1789,5180,1788,5183,1789,5187,1791,5190,1793,5192,1797,5192,1800,5192,1803,5190,1805,5187,1806,5183m1806,5114l1805,5110,1803,5107,1800,5106,1797,5105,1793,5106,1791,5107,1789,5110,1788,5114,1789,5117,1791,5121,1793,5123,1797,5124,1800,5123,1803,5121,1805,5117,1806,5114m1850,5143l1849,5139,1847,5135,1845,5134,1842,5133,1838,5134,1835,5135,1833,5139,1832,5143,1833,5146,1835,5149,1838,5151,1842,5152,1845,5151,1847,5149,1849,5146,1850,5143m1900,5183l1899,5180,1898,5176,1895,5174,1892,5173,1888,5174,1885,5176,1883,5180,1882,5183,1883,5187,1885,5190,1888,5192,1892,5192,1895,5192,1898,5190,1899,5187,1900,5183m1900,5114l1899,5110,1898,5107,1895,5106,1892,5105,1888,5106,1885,5107,1883,5110,1882,5114,1883,5117,1885,5121,1888,5123,1892,5124,1895,5123,1898,5121,1899,5117,1900,5114m1944,5143l1943,5139,1942,5135,1939,5134,1936,5133,1932,5134,1929,5135,1927,5139,1926,5143,1927,5146,1929,5149,1932,5151,1936,5152,1939,5151,1942,5149,1943,5146,1944,5143m1998,5183l1997,5180,1995,5176,1992,5174,1988,5173,1985,5174,1982,5176,1981,5180,1980,5183,1981,5187,1982,5190,1985,5192,1988,5192,1992,5192,1995,5190,1997,5187,1998,5183m1998,5114l1997,5110,1995,5107,1992,5106,1988,5105,1985,5106,1982,5107,1981,5110,1980,5114,1981,5117,1982,5121,1985,5123,1988,5124,1992,5123,1995,5121,1997,5117,1998,5114m2042,5143l2041,5139,2039,5135,2036,5134,2033,5133,2029,5134,2027,5135,2025,5139,2024,5143,2025,5146,2027,5149,2029,5151,2033,5152,2036,5151,2039,5149,2041,5146,2042,5143m2095,5183l2094,5180,2092,5176,2089,5174,2086,5173,2083,5174,2079,5176,2078,5180,2077,5183,2078,5187,2079,5190,2083,5192,2086,5192,2089,5192,2092,5190,2094,5187,2095,5183m2095,5114l2094,5110,2092,5107,2089,5106,2086,5105,2083,5106,2079,5107,2078,5110,2077,5114,2078,5117,2079,5121,2083,5123,2086,5124,2089,5123,2092,5121,2094,5117,2095,5114m2139,5143l2138,5139,2136,5135,2134,5134,2130,5133,2127,5134,2123,5135,2122,5139,2121,5143,2122,5146,2123,5149,2127,5151,2130,5152,2134,5151,2136,5149,2138,5146,2139,5143m2192,5183l2191,5180,2190,5176,2186,5174,2183,5173,2179,5174,2177,5176,2175,5180,2174,5183,2175,5187,2177,5190,2179,5192,2183,5192,2186,5192,2190,5190,2191,5187,2192,5183m2192,5114l2191,5110,2190,5107,2186,5106,2183,5105,2179,5106,2177,5107,2175,5110,2174,5114,2175,5117,2177,5121,2179,5123,2183,5124,2186,5123,2190,5121,2191,5117,2192,5114e" filled="true" fillcolor="#ffffff" stroked="false">
              <v:path arrowok="t"/>
              <v:fill type="solid"/>
            </v:shape>
            <v:shape style="position:absolute;left:1904;top:4562;width:104;height:173" type="#_x0000_t75" stroked="false">
              <v:imagedata r:id="rId94" o:title=""/>
            </v:shape>
            <v:shape style="position:absolute;left:1681;top:4565;width:104;height:170" type="#_x0000_t75" stroked="false">
              <v:imagedata r:id="rId95" o:title=""/>
            </v:shape>
            <v:shape style="position:absolute;left:1418;top:4363;width:854;height:911" coordorigin="1418,4363" coordsize="854,911" path="m2195,4363l1495,4363,1479,4368,1461,4378,1446,4392,1432,4408,1423,4427,1418,4446,1418,5190,1419,5193,1427,5213,1432,5223,1439,5232,1446,5240,1454,5248,1462,5254,1471,5259,1480,5265,1490,5268,1500,5271,1521,5273,2166,5273,2186,5271,2196,5268,2206,5265,2224,5254,2233,5248,2241,5240,2247,5232,2253,5223,2255,5220,1515,5220,1510,5219,1499,5215,1494,5212,1490,5210,1482,5202,1475,5193,1470,5183,1466,5173,1465,5161,1465,4472,1466,4460,1470,4449,1475,4439,1482,4430,1486,4426,1490,4423,1494,4419,1510,4414,1515,4413,2255,4413,2253,4409,2247,4400,2241,4392,2233,4385,2224,4378,2206,4367,2196,4363,2195,4363xm2255,4413l2171,4413,2177,4414,2192,4419,2196,4423,2201,4426,2205,4430,2212,4439,2217,4449,2220,4460,2221,4472,2221,5161,2220,5173,2217,5183,2212,5193,2205,5202,2196,5210,2187,5215,2177,5219,2166,5220,2255,5220,2263,5203,2267,5193,2269,5182,2271,5161,2271,4472,2269,4450,2267,4439,2263,4428,2258,4418,2255,4413xe" filled="true" fillcolor="#000000" stroked="false">
              <v:path arrowok="t"/>
              <v:fill type="solid"/>
            </v:shape>
            <v:shape style="position:absolute;left:2266;top:2623;width:6870;height:2290" coordorigin="2266,2623" coordsize="6870,2290" path="m9093,2693l8975,2694,8814,2699,8654,2707,8495,2717,8337,2731,8180,2747,8026,2766,7874,2788,7724,2811,7577,2838,7433,2866,7293,2896,7156,2929,7024,2963,6896,3000,6772,3038,6654,3077,6541,3118,6433,3161,6332,3205,6237,3250,6148,3296,6066,3344,5992,3392,5925,3441,5866,3491,5815,3542,5772,3593,5738,3645,5714,3697,5705,3724,5699,3750,5695,3777,5692,3827,5689,3853,5683,3878,5675,3903,5651,3953,5618,4004,5577,4054,5526,4103,5468,4153,5402,4201,5328,4249,5247,4296,5159,4342,5064,4387,4963,4431,4856,4473,4743,4514,4625,4553,4502,4591,4375,4627,4242,4662,4106,4694,3966,4725,3822,4753,3676,4779,3526,4803,3374,4824,3220,4843,3064,4859,2906,4873,2747,4884,2587,4891,2427,4896,2266,4898,2266,4913,2427,4911,2588,4906,2748,4899,2907,4888,3065,4874,3222,4858,3376,4839,3528,4818,3678,4794,3825,4768,3969,4740,4109,4709,4246,4677,4378,4642,4506,4606,4630,4568,4748,4528,4861,4487,4969,4445,5070,4401,5165,4356,5254,4309,5336,4262,5410,4214,5477,4165,5536,4115,5587,4064,5630,4013,5664,3961,5688,3909,5697,3882,5703,3856,5707,3830,5709,3803,5710,3777,5713,3752,5719,3727,5728,3702,5752,3651,5784,3601,5826,3551,5876,3502,5934,3452,6001,3404,6074,3356,6156,3309,6244,3263,6338,3218,6439,3175,6546,3132,6659,3091,6777,3052,6900,3014,7028,2978,7160,2943,7296,2911,7436,2880,7580,2852,7726,2826,7876,2802,8028,2781,8182,2762,8338,2746,8496,2732,8655,2722,8815,2714,8975,2709,9094,2708,9106,2701,9093,2693xm9123,2693l9121,2693,9121,2708,9094,2708,8995,2767,8993,2772,8995,2775,8998,2779,9002,2780,9006,2778,9136,2700,9123,2693xm9106,2701l9094,2708,9121,2708,9121,2707,9117,2707,9106,2701xm9117,2694l9106,2701,9117,2707,9117,2694xm9121,2694l9117,2694,9117,2707,9121,2707,9121,2694xm9121,2693l9093,2693,9106,2701,9117,2694,9121,2694,9121,2693xm9001,2623l8996,2624,8992,2631,8993,2636,8997,2638,9093,2693,9121,2693,9123,2693,9004,2625,9001,2623xe" filled="true" fillcolor="#497dba" stroked="false">
              <v:path arrowok="t"/>
              <v:fill type="solid"/>
            </v:shape>
            <v:shape style="position:absolute;left:2896;top:2470;width:2860;height:2058" type="#_x0000_t75" stroked="false">
              <v:imagedata r:id="rId96" o:title=""/>
            </v:shape>
            <v:shape style="position:absolute;left:3125;top:2786;width:2271;height:1479" type="#_x0000_t75" stroked="false">
              <v:imagedata r:id="rId97" o:title=""/>
            </v:shape>
            <v:shape style="position:absolute;left:6031;top:3368;width:5100;height:700" coordorigin="6031,3368" coordsize="5100,700" path="m11088,3998l10992,4053,10988,4055,10987,4060,10991,4067,10996,4068,10999,4066,11118,3998,11088,3998xm11101,3991l11088,3998,11116,3998,11116,3997,11112,3997,11101,3991xm10997,3911l10992,3913,10990,3916,10988,3920,10989,3924,10993,3926,11089,3983,11116,3983,11116,3998,11118,3998,11131,3991,11001,3913,10997,3911xm8570,3672l8578,3701,8578,3702,8590,3717,8590,3717,8591,3718,8591,3718,8609,3732,8609,3733,8610,3733,8635,3747,8666,3762,8704,3776,8748,3790,8798,3804,8853,3817,8914,3830,8980,3843,9050,3856,9126,3868,9205,3880,9289,3891,9377,3902,9564,3923,9763,3942,9867,3950,10194,3972,10422,3983,10655,3992,10892,3997,11088,3998,11101,3991,11089,3983,10892,3982,10656,3977,10423,3968,10195,3957,9975,3943,9765,3927,9565,3908,9470,3898,9291,3876,9128,3853,9053,3841,8983,3828,8917,3816,8857,3802,8802,3789,8753,3776,8710,3762,8673,3748,8642,3734,8618,3721,8618,3721,8618,3720,8617,3720,8602,3708,8602,3708,8600,3706,8601,3706,8593,3696,8592,3696,8591,3693,8591,3693,8588,3682,8586,3674,8571,3674,8570,3672xm11112,3984l11101,3991,11112,3997,11112,3984xm11116,3984l11112,3984,11112,3997,11116,3997,11116,3984xm11089,3983l11101,3991,11112,3984,11116,3984,11116,3983,11089,3983xm8617,3720l8618,3721,8618,3720,8617,3720xm8618,3720l8618,3721,8618,3721,8618,3720xm8617,3720l8617,3720,8618,3720,8617,3720xm8600,3706l8602,3708,8601,3707,8600,3706xm8601,3707l8602,3708,8602,3708,8601,3707xm8601,3706l8600,3706,8601,3707,8601,3706xm8591,3693l8592,3696,8592,3694,8591,3693xm8592,3694l8592,3696,8593,3696,8592,3694xm8591,3693l8591,3693,8592,3694,8591,3693xm8570,3671l8570,3672,8571,3674,8570,3671xm8586,3671l8570,3671,8571,3674,8586,3674,8586,3671xm8579,3659l8560,3659,8562,3661,8561,3661,8570,3672,8570,3671,8586,3671,8585,3667,8584,3666,8584,3665,8583,3665,8579,3659xm8561,3660l8561,3661,8562,3661,8561,3660xm8560,3659l8561,3660,8562,3661,8560,3659xm8544,3646l8561,3660,8560,3659,8579,3659,8572,3650,8572,3650,8572,3649,8571,3649,8568,3647,8545,3647,8544,3646xm8544,3646l8544,3646,8545,3647,8544,3646xm8568,3646l8544,3646,8545,3647,8568,3647,8568,3646xm6031,3368l6031,3383,6270,3385,6507,3390,6740,3399,6967,3410,7187,3424,7499,3449,7692,3469,7871,3490,8034,3514,8109,3526,8180,3539,8245,3551,8305,3564,8360,3578,8409,3591,8453,3605,8490,3619,8521,3633,8544,3646,8544,3646,8568,3646,8553,3635,8553,3634,8553,3634,8552,3634,8527,3619,8495,3605,8457,3591,8413,3577,8364,3563,8308,3550,8248,3537,8182,3524,8112,3511,8036,3499,7957,3487,7873,3476,7694,3454,7500,3434,7399,3425,7188,3409,6968,3395,6740,3384,6507,3375,6270,3370,6031,3368xe" filled="true" fillcolor="#497dba" stroked="false">
              <v:path arrowok="t"/>
              <v:fill type="solid"/>
            </v:shape>
            <v:shape style="position:absolute;left:5744;top:1007;width:2989;height:2151" type="#_x0000_t75" stroked="false">
              <v:imagedata r:id="rId98" o:title=""/>
            </v:shape>
            <v:shape style="position:absolute;left:5973;top:1263;width:2442;height:1612" type="#_x0000_t75" stroked="false">
              <v:imagedata r:id="rId99" o:title=""/>
            </v:shape>
            <v:shape style="position:absolute;left:6272;top:3423;width:3129;height:1834" type="#_x0000_t75" stroked="false">
              <v:imagedata r:id="rId100" o:title=""/>
            </v:shape>
            <v:shape style="position:absolute;left:6529;top:3627;width:2598;height:1358" type="#_x0000_t75" stroked="false">
              <v:imagedata r:id="rId101" o:title=""/>
            </v:shape>
            <v:rect style="position:absolute;left:10411;top:1380;width:3300;height:2040" filled="true" fillcolor="#ffffff" stroked="false">
              <v:fill type="solid"/>
            </v:rect>
            <v:shape style="position:absolute;left:10562;top:1777;width:2998;height:1564" type="#_x0000_t75" stroked="false">
              <v:imagedata r:id="rId102" o:title=""/>
            </v:shape>
            <v:shape style="position:absolute;left:6675;top:525;width:3645;height:2497" coordorigin="6675,525" coordsize="3645,2497" path="m10277,594l10233,595,10148,600,10063,608,9978,620,9894,635,9811,653,9729,674,9648,697,9568,723,9490,752,9414,783,9339,817,9267,852,9196,890,9128,930,9063,971,9000,1015,8940,1060,8883,1107,8829,1155,8778,1204,8754,1230,8731,1255,8709,1281,8687,1307,8667,1333,8648,1360,8630,1387,8612,1414,8596,1441,8581,1468,8567,1496,8554,1524,8542,1552,8531,1580,8522,1608,8513,1636,8506,1664,8501,1693,8496,1722,8493,1750,8491,1779,8490,1807,8489,1835,8487,1863,8484,1891,8480,1919,8474,1946,8467,1974,8459,2002,8450,2029,8439,2057,8427,2084,8415,2112,8401,2139,8386,2166,8370,2193,8353,2219,8335,2246,8316,2272,8296,2298,8275,2324,8253,2349,8230,2374,8206,2399,8156,2448,8103,2496,8046,2542,7986,2587,7924,2630,7859,2672,7791,2711,7721,2749,7649,2784,7575,2817,7499,2848,7421,2877,7342,2903,7262,2926,7180,2947,7097,2964,7014,2979,6930,2991,6845,2999,6760,3004,6675,3006,6675,3021,6761,3019,6846,3014,6931,3006,7016,2994,7100,2979,7183,2961,7265,2941,7346,2917,7426,2891,7504,2862,7581,2831,7655,2798,7728,2762,7798,2724,7866,2685,7932,2643,7995,2600,8055,2554,8112,2508,8166,2460,8217,2410,8241,2385,8264,2359,8286,2334,8307,2307,8328,2281,8347,2255,8365,2228,8382,2201,8399,2174,8414,2146,8428,2118,8441,2091,8453,2063,8464,2035,8473,2007,8481,1978,8488,1950,8494,1922,8499,1893,8502,1865,8504,1836,8505,1807,8506,1779,8508,1751,8511,1723,8515,1695,8521,1667,8528,1640,8536,1612,8546,1585,8556,1557,8568,1530,8580,1502,8594,1475,8609,1448,8625,1421,8642,1395,8660,1368,8679,1342,8699,1316,8720,1290,8742,1265,8765,1240,8789,1215,8839,1166,8892,1118,8949,1072,9009,1027,9071,984,9136,943,9204,903,9274,865,9346,830,9420,797,9496,766,9574,737,9653,711,9733,688,9815,667,9897,650,9981,635,10065,623,10149,615,10234,610,10277,609,10289,601,10277,594xm10306,593l10304,593,10305,608,10277,609,10178,669,10177,674,10180,677,10182,681,10186,682,10319,600,10306,593xm10289,601l10277,609,10305,608,10305,607,10301,607,10289,601xm10300,594l10289,601,10301,607,10300,594xm10304,594l10300,594,10301,607,10305,607,10304,594xm10304,593l10277,594,10289,601,10300,594,10304,594,10304,593xm10183,525l10178,526,10174,533,10176,538,10179,540,10277,594,10304,593,10306,593,10183,525xe" filled="true" fillcolor="#497dba" stroked="false">
              <v:path arrowok="t"/>
              <v:fill type="solid"/>
            </v:shape>
            <w10:wrap type="none"/>
          </v:group>
        </w:pict>
      </w:r>
      <w:r>
        <w:rPr>
          <w:b/>
        </w:rPr>
        <w:t>Aculco: </w:t>
      </w:r>
      <w:r>
        <w:rPr/>
        <w:t>Cortina de la presa en El Azafran y centro turístico, Hacienda de Arroyo Zarco, centro de Aculco</w:t>
      </w:r>
    </w:p>
    <w:p>
      <w:pPr>
        <w:spacing w:before="99"/>
        <w:ind w:left="1781" w:right="0" w:firstLine="0"/>
        <w:jc w:val="left"/>
        <w:rPr>
          <w:b/>
          <w:sz w:val="24"/>
        </w:rPr>
      </w:pPr>
      <w:bookmarkStart w:name="_TOC_250041" w:id="35"/>
      <w:bookmarkEnd w:id="35"/>
      <w:r>
        <w:rPr>
          <w:b/>
          <w:sz w:val="24"/>
        </w:rPr>
        <w:t>Presa Huapango</w:t>
      </w:r>
    </w:p>
    <w:p>
      <w:pPr>
        <w:spacing w:after="0"/>
        <w:jc w:val="left"/>
        <w:rPr>
          <w:sz w:val="24"/>
        </w:rPr>
        <w:sectPr>
          <w:type w:val="continuous"/>
          <w:pgSz w:w="15840" w:h="12240" w:orient="landscape"/>
          <w:pgMar w:top="1360" w:bottom="1200" w:left="1300" w:right="1520"/>
          <w:cols w:num="2" w:equalWidth="0">
            <w:col w:w="7995" w:space="40"/>
            <w:col w:w="4985"/>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7"/>
        </w:rPr>
      </w:pPr>
    </w:p>
    <w:p>
      <w:pPr>
        <w:spacing w:after="0"/>
        <w:rPr>
          <w:sz w:val="17"/>
        </w:rPr>
        <w:sectPr>
          <w:type w:val="continuous"/>
          <w:pgSz w:w="15840" w:h="12240" w:orient="landscape"/>
          <w:pgMar w:top="1360" w:bottom="1200" w:left="1300" w:right="1520"/>
        </w:sectPr>
      </w:pPr>
    </w:p>
    <w:p>
      <w:pPr>
        <w:spacing w:before="70"/>
        <w:ind w:left="118" w:right="-18" w:firstLine="0"/>
        <w:jc w:val="left"/>
        <w:rPr>
          <w:b/>
          <w:sz w:val="24"/>
        </w:rPr>
      </w:pPr>
      <w:r>
        <w:rPr>
          <w:b/>
          <w:sz w:val="24"/>
        </w:rPr>
        <w:t>CIRA</w:t>
      </w:r>
    </w:p>
    <w:p>
      <w:pPr>
        <w:pStyle w:val="BodyText"/>
        <w:rPr>
          <w:b/>
        </w:rPr>
      </w:pPr>
      <w:r>
        <w:rPr/>
        <w:br w:type="column"/>
      </w:r>
      <w:r>
        <w:rPr>
          <w:b/>
        </w:rPr>
      </w:r>
    </w:p>
    <w:p>
      <w:pPr>
        <w:pStyle w:val="Heading6"/>
        <w:spacing w:before="159"/>
        <w:ind w:left="115" w:right="537"/>
        <w:jc w:val="center"/>
      </w:pPr>
      <w:r>
        <w:rPr/>
        <w:t>DÍA 1</w:t>
      </w:r>
    </w:p>
    <w:p>
      <w:pPr>
        <w:pStyle w:val="BodyText"/>
        <w:spacing w:before="7"/>
        <w:rPr>
          <w:b/>
          <w:sz w:val="20"/>
        </w:rPr>
      </w:pPr>
    </w:p>
    <w:p>
      <w:pPr>
        <w:pStyle w:val="BodyText"/>
        <w:spacing w:line="278" w:lineRule="auto"/>
        <w:ind w:left="118" w:right="537"/>
        <w:jc w:val="center"/>
      </w:pPr>
      <w:r>
        <w:rPr>
          <w:b/>
        </w:rPr>
        <w:t>Timilpan: </w:t>
      </w:r>
      <w:r>
        <w:rPr/>
        <w:t>Centro de Timilpan, Orilla de la presa, Carretera Arco Norte, Iglesia Huapango,</w:t>
      </w:r>
    </w:p>
    <w:p>
      <w:pPr>
        <w:pStyle w:val="BodyText"/>
        <w:spacing w:line="278" w:lineRule="auto" w:before="195"/>
        <w:ind w:left="123" w:right="542" w:hanging="1"/>
        <w:jc w:val="center"/>
      </w:pPr>
      <w:r>
        <w:rPr>
          <w:b/>
        </w:rPr>
        <w:t>Jilotepec: </w:t>
      </w:r>
      <w:r>
        <w:rPr/>
        <w:t>Orilla de la presa, Iglesia del Cerrito de Canalejas, Tianguis (Viernes), Iglesia Jilotepec,</w:t>
      </w:r>
    </w:p>
    <w:p>
      <w:pPr>
        <w:spacing w:after="0" w:line="278" w:lineRule="auto"/>
        <w:jc w:val="center"/>
        <w:sectPr>
          <w:type w:val="continuous"/>
          <w:pgSz w:w="15840" w:h="12240" w:orient="landscape"/>
          <w:pgMar w:top="1360" w:bottom="1200" w:left="1300" w:right="1520"/>
          <w:cols w:num="2" w:equalWidth="0">
            <w:col w:w="707" w:space="8697"/>
            <w:col w:w="3616"/>
          </w:cols>
        </w:sectPr>
      </w:pPr>
    </w:p>
    <w:p>
      <w:pPr>
        <w:pStyle w:val="BodyText"/>
        <w:rPr>
          <w:sz w:val="20"/>
        </w:rPr>
      </w:pPr>
    </w:p>
    <w:p>
      <w:pPr>
        <w:pStyle w:val="BodyText"/>
        <w:spacing w:before="7"/>
      </w:pPr>
    </w:p>
    <w:p>
      <w:pPr>
        <w:pStyle w:val="Heading4"/>
        <w:spacing w:before="70"/>
        <w:ind w:left="4840" w:right="4858"/>
        <w:jc w:val="center"/>
      </w:pPr>
      <w:r>
        <w:rPr/>
        <w:t>Tabla 3.1. Transecto/Actividades</w:t>
      </w:r>
    </w:p>
    <w:p>
      <w:pPr>
        <w:pStyle w:val="BodyText"/>
        <w:rPr>
          <w:b/>
          <w:sz w:val="20"/>
        </w:rPr>
      </w:pPr>
    </w:p>
    <w:p>
      <w:pPr>
        <w:pStyle w:val="BodyText"/>
        <w:rPr>
          <w:b/>
          <w:sz w:val="20"/>
        </w:rPr>
      </w:pPr>
    </w:p>
    <w:p>
      <w:pPr>
        <w:pStyle w:val="BodyText"/>
        <w:spacing w:before="1"/>
        <w:rPr>
          <w:b/>
          <w:sz w:val="2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6"/>
        <w:gridCol w:w="3183"/>
        <w:gridCol w:w="3684"/>
        <w:gridCol w:w="5458"/>
      </w:tblGrid>
      <w:tr>
        <w:trPr>
          <w:trHeight w:val="286" w:hRule="exact"/>
        </w:trPr>
        <w:tc>
          <w:tcPr>
            <w:tcW w:w="896" w:type="dxa"/>
            <w:shd w:val="clear" w:color="auto" w:fill="C2D59B"/>
          </w:tcPr>
          <w:p>
            <w:pPr>
              <w:pStyle w:val="TableParagraph"/>
              <w:spacing w:line="272" w:lineRule="exact"/>
              <w:ind w:left="216" w:right="216"/>
              <w:jc w:val="center"/>
              <w:rPr>
                <w:b/>
                <w:sz w:val="24"/>
              </w:rPr>
            </w:pPr>
            <w:r>
              <w:rPr>
                <w:b/>
                <w:sz w:val="24"/>
              </w:rPr>
              <w:t>DÍA</w:t>
            </w:r>
          </w:p>
        </w:tc>
        <w:tc>
          <w:tcPr>
            <w:tcW w:w="3183" w:type="dxa"/>
            <w:shd w:val="clear" w:color="auto" w:fill="C2D59B"/>
          </w:tcPr>
          <w:p>
            <w:pPr>
              <w:pStyle w:val="TableParagraph"/>
              <w:spacing w:line="272" w:lineRule="exact"/>
              <w:ind w:left="932" w:right="933"/>
              <w:jc w:val="center"/>
              <w:rPr>
                <w:b/>
                <w:sz w:val="24"/>
              </w:rPr>
            </w:pPr>
            <w:r>
              <w:rPr>
                <w:b/>
                <w:sz w:val="24"/>
              </w:rPr>
              <w:t>MUNICIPIO</w:t>
            </w:r>
          </w:p>
        </w:tc>
        <w:tc>
          <w:tcPr>
            <w:tcW w:w="3684" w:type="dxa"/>
            <w:shd w:val="clear" w:color="auto" w:fill="C2D59B"/>
          </w:tcPr>
          <w:p>
            <w:pPr>
              <w:pStyle w:val="TableParagraph"/>
              <w:spacing w:line="272" w:lineRule="exact"/>
              <w:ind w:left="412" w:right="417"/>
              <w:jc w:val="center"/>
              <w:rPr>
                <w:b/>
                <w:sz w:val="24"/>
              </w:rPr>
            </w:pPr>
            <w:r>
              <w:rPr>
                <w:b/>
                <w:sz w:val="24"/>
              </w:rPr>
              <w:t>LUGAR</w:t>
            </w:r>
          </w:p>
        </w:tc>
        <w:tc>
          <w:tcPr>
            <w:tcW w:w="5458" w:type="dxa"/>
            <w:shd w:val="clear" w:color="auto" w:fill="C2D59B"/>
          </w:tcPr>
          <w:p>
            <w:pPr>
              <w:pStyle w:val="TableParagraph"/>
              <w:spacing w:line="272" w:lineRule="exact"/>
              <w:ind w:left="2050" w:right="2051"/>
              <w:jc w:val="center"/>
              <w:rPr>
                <w:b/>
                <w:sz w:val="24"/>
              </w:rPr>
            </w:pPr>
            <w:r>
              <w:rPr>
                <w:b/>
                <w:sz w:val="24"/>
              </w:rPr>
              <w:t>ACTIVIDAD</w:t>
            </w:r>
          </w:p>
        </w:tc>
      </w:tr>
      <w:tr>
        <w:trPr>
          <w:trHeight w:val="562" w:hRule="exact"/>
        </w:trPr>
        <w:tc>
          <w:tcPr>
            <w:tcW w:w="896" w:type="dxa"/>
            <w:shd w:val="clear" w:color="auto" w:fill="E4B8B7"/>
          </w:tcPr>
          <w:p>
            <w:pPr>
              <w:pStyle w:val="TableParagraph"/>
              <w:spacing w:line="272" w:lineRule="exact"/>
              <w:ind w:left="0" w:right="1"/>
              <w:jc w:val="center"/>
              <w:rPr>
                <w:sz w:val="24"/>
              </w:rPr>
            </w:pPr>
            <w:r>
              <w:rPr>
                <w:w w:val="99"/>
                <w:sz w:val="24"/>
              </w:rPr>
              <w:t>1</w:t>
            </w:r>
          </w:p>
        </w:tc>
        <w:tc>
          <w:tcPr>
            <w:tcW w:w="3183" w:type="dxa"/>
            <w:shd w:val="clear" w:color="auto" w:fill="E4B8B7"/>
          </w:tcPr>
          <w:p>
            <w:pPr>
              <w:pStyle w:val="TableParagraph"/>
              <w:spacing w:line="272" w:lineRule="exact"/>
              <w:ind w:left="932" w:right="932"/>
              <w:jc w:val="center"/>
              <w:rPr>
                <w:sz w:val="24"/>
              </w:rPr>
            </w:pPr>
            <w:r>
              <w:rPr>
                <w:sz w:val="24"/>
              </w:rPr>
              <w:t>Timilpan</w:t>
            </w:r>
          </w:p>
        </w:tc>
        <w:tc>
          <w:tcPr>
            <w:tcW w:w="3684" w:type="dxa"/>
            <w:shd w:val="clear" w:color="auto" w:fill="E4B8B7"/>
          </w:tcPr>
          <w:p>
            <w:pPr>
              <w:pStyle w:val="TableParagraph"/>
              <w:spacing w:line="251" w:lineRule="exact"/>
              <w:ind w:left="417" w:right="417"/>
              <w:jc w:val="center"/>
              <w:rPr>
                <w:sz w:val="22"/>
              </w:rPr>
            </w:pPr>
            <w:r>
              <w:rPr>
                <w:sz w:val="22"/>
              </w:rPr>
              <w:t>Centro de Timilpan</w:t>
            </w:r>
          </w:p>
        </w:tc>
        <w:tc>
          <w:tcPr>
            <w:tcW w:w="5458" w:type="dxa"/>
            <w:shd w:val="clear" w:color="auto" w:fill="E4B8B7"/>
          </w:tcPr>
          <w:p>
            <w:pPr>
              <w:pStyle w:val="TableParagraph"/>
              <w:ind w:right="163"/>
              <w:rPr>
                <w:sz w:val="24"/>
              </w:rPr>
            </w:pPr>
            <w:r>
              <w:rPr>
                <w:sz w:val="24"/>
              </w:rPr>
              <w:t>Buscar cronista y visitar la iglesia y la presidencia municipal</w:t>
            </w:r>
          </w:p>
        </w:tc>
      </w:tr>
      <w:tr>
        <w:trPr>
          <w:trHeight w:val="287" w:hRule="exact"/>
        </w:trPr>
        <w:tc>
          <w:tcPr>
            <w:tcW w:w="896" w:type="dxa"/>
            <w:shd w:val="clear" w:color="auto" w:fill="E4B8B7"/>
          </w:tcPr>
          <w:p>
            <w:pPr>
              <w:pStyle w:val="TableParagraph"/>
              <w:spacing w:line="272" w:lineRule="exact"/>
              <w:ind w:left="0" w:right="1"/>
              <w:jc w:val="center"/>
              <w:rPr>
                <w:sz w:val="24"/>
              </w:rPr>
            </w:pPr>
            <w:r>
              <w:rPr>
                <w:w w:val="99"/>
                <w:sz w:val="24"/>
              </w:rPr>
              <w:t>1</w:t>
            </w:r>
          </w:p>
        </w:tc>
        <w:tc>
          <w:tcPr>
            <w:tcW w:w="3183" w:type="dxa"/>
            <w:shd w:val="clear" w:color="auto" w:fill="E4B8B7"/>
          </w:tcPr>
          <w:p>
            <w:pPr>
              <w:pStyle w:val="TableParagraph"/>
              <w:spacing w:line="272" w:lineRule="exact"/>
              <w:ind w:left="932" w:right="932"/>
              <w:jc w:val="center"/>
              <w:rPr>
                <w:sz w:val="24"/>
              </w:rPr>
            </w:pPr>
            <w:r>
              <w:rPr>
                <w:sz w:val="24"/>
              </w:rPr>
              <w:t>Timilpan</w:t>
            </w:r>
          </w:p>
        </w:tc>
        <w:tc>
          <w:tcPr>
            <w:tcW w:w="3684" w:type="dxa"/>
            <w:shd w:val="clear" w:color="auto" w:fill="E4B8B7"/>
          </w:tcPr>
          <w:p>
            <w:pPr>
              <w:pStyle w:val="TableParagraph"/>
              <w:spacing w:line="251" w:lineRule="exact"/>
              <w:ind w:left="416" w:right="417"/>
              <w:jc w:val="center"/>
              <w:rPr>
                <w:sz w:val="22"/>
              </w:rPr>
            </w:pPr>
            <w:r>
              <w:rPr>
                <w:sz w:val="22"/>
              </w:rPr>
              <w:t>Orilla de la presa Huapango</w:t>
            </w:r>
          </w:p>
        </w:tc>
        <w:tc>
          <w:tcPr>
            <w:tcW w:w="5458" w:type="dxa"/>
            <w:shd w:val="clear" w:color="auto" w:fill="E4B8B7"/>
          </w:tcPr>
          <w:p>
            <w:pPr>
              <w:pStyle w:val="TableParagraph"/>
              <w:spacing w:line="272" w:lineRule="exact"/>
              <w:ind w:right="163"/>
              <w:rPr>
                <w:sz w:val="24"/>
              </w:rPr>
            </w:pPr>
            <w:r>
              <w:rPr>
                <w:sz w:val="24"/>
              </w:rPr>
              <w:t>Observación y registro en diario de campo</w:t>
            </w:r>
          </w:p>
        </w:tc>
      </w:tr>
      <w:tr>
        <w:trPr>
          <w:trHeight w:val="287" w:hRule="exact"/>
        </w:trPr>
        <w:tc>
          <w:tcPr>
            <w:tcW w:w="896" w:type="dxa"/>
            <w:shd w:val="clear" w:color="auto" w:fill="E4B8B7"/>
          </w:tcPr>
          <w:p>
            <w:pPr>
              <w:pStyle w:val="TableParagraph"/>
              <w:spacing w:line="273" w:lineRule="exact"/>
              <w:ind w:left="0" w:right="1"/>
              <w:jc w:val="center"/>
              <w:rPr>
                <w:sz w:val="24"/>
              </w:rPr>
            </w:pPr>
            <w:r>
              <w:rPr>
                <w:w w:val="99"/>
                <w:sz w:val="24"/>
              </w:rPr>
              <w:t>1</w:t>
            </w:r>
          </w:p>
        </w:tc>
        <w:tc>
          <w:tcPr>
            <w:tcW w:w="3183" w:type="dxa"/>
            <w:shd w:val="clear" w:color="auto" w:fill="E4B8B7"/>
          </w:tcPr>
          <w:p>
            <w:pPr>
              <w:pStyle w:val="TableParagraph"/>
              <w:spacing w:line="273" w:lineRule="exact"/>
              <w:ind w:left="932" w:right="932"/>
              <w:jc w:val="center"/>
              <w:rPr>
                <w:sz w:val="24"/>
              </w:rPr>
            </w:pPr>
            <w:r>
              <w:rPr>
                <w:sz w:val="24"/>
              </w:rPr>
              <w:t>Timilpan</w:t>
            </w:r>
          </w:p>
        </w:tc>
        <w:tc>
          <w:tcPr>
            <w:tcW w:w="3684" w:type="dxa"/>
            <w:shd w:val="clear" w:color="auto" w:fill="E4B8B7"/>
          </w:tcPr>
          <w:p>
            <w:pPr>
              <w:pStyle w:val="TableParagraph"/>
              <w:spacing w:line="252" w:lineRule="exact"/>
              <w:ind w:left="417" w:right="416"/>
              <w:jc w:val="center"/>
              <w:rPr>
                <w:sz w:val="22"/>
              </w:rPr>
            </w:pPr>
            <w:r>
              <w:rPr>
                <w:sz w:val="22"/>
              </w:rPr>
              <w:t>Carretera Arco Norte</w:t>
            </w:r>
          </w:p>
        </w:tc>
        <w:tc>
          <w:tcPr>
            <w:tcW w:w="5458" w:type="dxa"/>
            <w:shd w:val="clear" w:color="auto" w:fill="E4B8B7"/>
          </w:tcPr>
          <w:p>
            <w:pPr>
              <w:pStyle w:val="TableParagraph"/>
              <w:spacing w:line="273" w:lineRule="exact"/>
              <w:ind w:right="163"/>
              <w:rPr>
                <w:sz w:val="24"/>
              </w:rPr>
            </w:pPr>
            <w:r>
              <w:rPr>
                <w:sz w:val="24"/>
              </w:rPr>
              <w:t>Observación y registro en diario de campo</w:t>
            </w:r>
          </w:p>
        </w:tc>
      </w:tr>
      <w:tr>
        <w:trPr>
          <w:trHeight w:val="286" w:hRule="exact"/>
        </w:trPr>
        <w:tc>
          <w:tcPr>
            <w:tcW w:w="896" w:type="dxa"/>
            <w:shd w:val="clear" w:color="auto" w:fill="E4B8B7"/>
          </w:tcPr>
          <w:p>
            <w:pPr>
              <w:pStyle w:val="TableParagraph"/>
              <w:spacing w:line="272" w:lineRule="exact"/>
              <w:ind w:left="0" w:right="1"/>
              <w:jc w:val="center"/>
              <w:rPr>
                <w:sz w:val="24"/>
              </w:rPr>
            </w:pPr>
            <w:r>
              <w:rPr>
                <w:w w:val="99"/>
                <w:sz w:val="24"/>
              </w:rPr>
              <w:t>1</w:t>
            </w:r>
          </w:p>
        </w:tc>
        <w:tc>
          <w:tcPr>
            <w:tcW w:w="3183" w:type="dxa"/>
            <w:shd w:val="clear" w:color="auto" w:fill="E4B8B7"/>
          </w:tcPr>
          <w:p>
            <w:pPr>
              <w:pStyle w:val="TableParagraph"/>
              <w:spacing w:line="272" w:lineRule="exact"/>
              <w:ind w:left="932" w:right="932"/>
              <w:jc w:val="center"/>
              <w:rPr>
                <w:sz w:val="24"/>
              </w:rPr>
            </w:pPr>
            <w:r>
              <w:rPr>
                <w:sz w:val="24"/>
              </w:rPr>
              <w:t>Timilpan</w:t>
            </w:r>
          </w:p>
        </w:tc>
        <w:tc>
          <w:tcPr>
            <w:tcW w:w="3684" w:type="dxa"/>
            <w:shd w:val="clear" w:color="auto" w:fill="E4B8B7"/>
          </w:tcPr>
          <w:p>
            <w:pPr>
              <w:pStyle w:val="TableParagraph"/>
              <w:spacing w:line="251" w:lineRule="exact"/>
              <w:ind w:left="417" w:right="417"/>
              <w:jc w:val="center"/>
              <w:rPr>
                <w:sz w:val="22"/>
              </w:rPr>
            </w:pPr>
            <w:r>
              <w:rPr>
                <w:sz w:val="22"/>
              </w:rPr>
              <w:t>Iglesia Huapango</w:t>
            </w:r>
          </w:p>
        </w:tc>
        <w:tc>
          <w:tcPr>
            <w:tcW w:w="5458" w:type="dxa"/>
            <w:shd w:val="clear" w:color="auto" w:fill="E4B8B7"/>
          </w:tcPr>
          <w:p>
            <w:pPr>
              <w:pStyle w:val="TableParagraph"/>
              <w:spacing w:line="272" w:lineRule="exact"/>
              <w:ind w:right="163"/>
              <w:rPr>
                <w:sz w:val="24"/>
              </w:rPr>
            </w:pPr>
            <w:r>
              <w:rPr>
                <w:sz w:val="24"/>
              </w:rPr>
              <w:t>Observación y registro en diario de campo</w:t>
            </w:r>
          </w:p>
        </w:tc>
      </w:tr>
      <w:tr>
        <w:trPr>
          <w:trHeight w:val="286" w:hRule="exact"/>
        </w:trPr>
        <w:tc>
          <w:tcPr>
            <w:tcW w:w="896" w:type="dxa"/>
            <w:shd w:val="clear" w:color="auto" w:fill="C2D59B"/>
          </w:tcPr>
          <w:p>
            <w:pPr>
              <w:pStyle w:val="TableParagraph"/>
              <w:spacing w:line="272" w:lineRule="exact"/>
              <w:ind w:left="0" w:right="1"/>
              <w:jc w:val="center"/>
              <w:rPr>
                <w:sz w:val="24"/>
              </w:rPr>
            </w:pPr>
            <w:r>
              <w:rPr>
                <w:w w:val="99"/>
                <w:sz w:val="24"/>
              </w:rPr>
              <w:t>1</w:t>
            </w:r>
          </w:p>
        </w:tc>
        <w:tc>
          <w:tcPr>
            <w:tcW w:w="3183" w:type="dxa"/>
            <w:shd w:val="clear" w:color="auto" w:fill="C2D59B"/>
          </w:tcPr>
          <w:p>
            <w:pPr>
              <w:pStyle w:val="TableParagraph"/>
              <w:spacing w:line="272" w:lineRule="exact"/>
              <w:ind w:left="932" w:right="933"/>
              <w:jc w:val="center"/>
              <w:rPr>
                <w:sz w:val="24"/>
              </w:rPr>
            </w:pPr>
            <w:r>
              <w:rPr>
                <w:sz w:val="24"/>
              </w:rPr>
              <w:t>Jilotepec</w:t>
            </w:r>
          </w:p>
        </w:tc>
        <w:tc>
          <w:tcPr>
            <w:tcW w:w="3684" w:type="dxa"/>
            <w:shd w:val="clear" w:color="auto" w:fill="C2D59B"/>
          </w:tcPr>
          <w:p>
            <w:pPr>
              <w:pStyle w:val="TableParagraph"/>
              <w:spacing w:line="251" w:lineRule="exact"/>
              <w:ind w:left="417" w:right="417"/>
              <w:jc w:val="center"/>
              <w:rPr>
                <w:sz w:val="22"/>
              </w:rPr>
            </w:pPr>
            <w:r>
              <w:rPr>
                <w:sz w:val="22"/>
              </w:rPr>
              <w:t>Tianguis Jilotepec (Viernes)</w:t>
            </w:r>
          </w:p>
        </w:tc>
        <w:tc>
          <w:tcPr>
            <w:tcW w:w="5458" w:type="dxa"/>
            <w:shd w:val="clear" w:color="auto" w:fill="C2D59B"/>
          </w:tcPr>
          <w:p>
            <w:pPr>
              <w:pStyle w:val="TableParagraph"/>
              <w:spacing w:line="272" w:lineRule="exact"/>
              <w:ind w:right="163"/>
              <w:rPr>
                <w:sz w:val="24"/>
              </w:rPr>
            </w:pPr>
            <w:r>
              <w:rPr>
                <w:sz w:val="24"/>
              </w:rPr>
              <w:t>Observación y registro en diario de campo</w:t>
            </w:r>
          </w:p>
        </w:tc>
      </w:tr>
      <w:tr>
        <w:trPr>
          <w:trHeight w:val="286" w:hRule="exact"/>
        </w:trPr>
        <w:tc>
          <w:tcPr>
            <w:tcW w:w="896" w:type="dxa"/>
            <w:shd w:val="clear" w:color="auto" w:fill="C2D59B"/>
          </w:tcPr>
          <w:p>
            <w:pPr>
              <w:pStyle w:val="TableParagraph"/>
              <w:spacing w:line="272" w:lineRule="exact"/>
              <w:ind w:left="0" w:right="1"/>
              <w:jc w:val="center"/>
              <w:rPr>
                <w:sz w:val="24"/>
              </w:rPr>
            </w:pPr>
            <w:r>
              <w:rPr>
                <w:w w:val="99"/>
                <w:sz w:val="24"/>
              </w:rPr>
              <w:t>1</w:t>
            </w:r>
          </w:p>
        </w:tc>
        <w:tc>
          <w:tcPr>
            <w:tcW w:w="3183" w:type="dxa"/>
            <w:shd w:val="clear" w:color="auto" w:fill="C2D59B"/>
          </w:tcPr>
          <w:p>
            <w:pPr>
              <w:pStyle w:val="TableParagraph"/>
              <w:spacing w:line="272" w:lineRule="exact"/>
              <w:ind w:left="932" w:right="933"/>
              <w:jc w:val="center"/>
              <w:rPr>
                <w:sz w:val="24"/>
              </w:rPr>
            </w:pPr>
            <w:r>
              <w:rPr>
                <w:sz w:val="24"/>
              </w:rPr>
              <w:t>Jilotepec</w:t>
            </w:r>
          </w:p>
        </w:tc>
        <w:tc>
          <w:tcPr>
            <w:tcW w:w="3684" w:type="dxa"/>
            <w:shd w:val="clear" w:color="auto" w:fill="C2D59B"/>
          </w:tcPr>
          <w:p>
            <w:pPr>
              <w:pStyle w:val="TableParagraph"/>
              <w:spacing w:line="251" w:lineRule="exact"/>
              <w:ind w:left="417" w:right="417"/>
              <w:jc w:val="center"/>
              <w:rPr>
                <w:sz w:val="22"/>
              </w:rPr>
            </w:pPr>
            <w:r>
              <w:rPr>
                <w:sz w:val="22"/>
              </w:rPr>
              <w:t>Iglesia de Jilotepec</w:t>
            </w:r>
          </w:p>
        </w:tc>
        <w:tc>
          <w:tcPr>
            <w:tcW w:w="5458" w:type="dxa"/>
            <w:shd w:val="clear" w:color="auto" w:fill="C2D59B"/>
          </w:tcPr>
          <w:p>
            <w:pPr>
              <w:pStyle w:val="TableParagraph"/>
              <w:spacing w:line="272" w:lineRule="exact"/>
              <w:ind w:right="163"/>
              <w:rPr>
                <w:sz w:val="24"/>
              </w:rPr>
            </w:pPr>
            <w:r>
              <w:rPr>
                <w:sz w:val="24"/>
              </w:rPr>
              <w:t>Observación y registro en diario de campo</w:t>
            </w:r>
          </w:p>
        </w:tc>
      </w:tr>
      <w:tr>
        <w:trPr>
          <w:trHeight w:val="286" w:hRule="exact"/>
        </w:trPr>
        <w:tc>
          <w:tcPr>
            <w:tcW w:w="896" w:type="dxa"/>
            <w:shd w:val="clear" w:color="auto" w:fill="C2D59B"/>
          </w:tcPr>
          <w:p>
            <w:pPr>
              <w:pStyle w:val="TableParagraph"/>
              <w:spacing w:line="272" w:lineRule="exact"/>
              <w:ind w:left="0" w:right="1"/>
              <w:jc w:val="center"/>
              <w:rPr>
                <w:sz w:val="24"/>
              </w:rPr>
            </w:pPr>
            <w:r>
              <w:rPr>
                <w:w w:val="99"/>
                <w:sz w:val="24"/>
              </w:rPr>
              <w:t>1</w:t>
            </w:r>
          </w:p>
        </w:tc>
        <w:tc>
          <w:tcPr>
            <w:tcW w:w="3183" w:type="dxa"/>
            <w:shd w:val="clear" w:color="auto" w:fill="C2D59B"/>
          </w:tcPr>
          <w:p>
            <w:pPr>
              <w:pStyle w:val="TableParagraph"/>
              <w:spacing w:line="272" w:lineRule="exact"/>
              <w:ind w:left="932" w:right="933"/>
              <w:jc w:val="center"/>
              <w:rPr>
                <w:sz w:val="24"/>
              </w:rPr>
            </w:pPr>
            <w:r>
              <w:rPr>
                <w:sz w:val="24"/>
              </w:rPr>
              <w:t>Jilotepec</w:t>
            </w:r>
          </w:p>
        </w:tc>
        <w:tc>
          <w:tcPr>
            <w:tcW w:w="3684" w:type="dxa"/>
            <w:shd w:val="clear" w:color="auto" w:fill="C2D59B"/>
          </w:tcPr>
          <w:p>
            <w:pPr>
              <w:pStyle w:val="TableParagraph"/>
              <w:spacing w:line="251" w:lineRule="exact"/>
              <w:ind w:left="417" w:right="417"/>
              <w:jc w:val="center"/>
              <w:rPr>
                <w:sz w:val="22"/>
              </w:rPr>
            </w:pPr>
            <w:r>
              <w:rPr>
                <w:sz w:val="22"/>
              </w:rPr>
              <w:t>Cerrito de canalejas (Iglesia)</w:t>
            </w:r>
          </w:p>
        </w:tc>
        <w:tc>
          <w:tcPr>
            <w:tcW w:w="5458" w:type="dxa"/>
            <w:shd w:val="clear" w:color="auto" w:fill="C2D59B"/>
          </w:tcPr>
          <w:p>
            <w:pPr>
              <w:pStyle w:val="TableParagraph"/>
              <w:spacing w:line="272" w:lineRule="exact"/>
              <w:ind w:right="163"/>
              <w:rPr>
                <w:sz w:val="24"/>
              </w:rPr>
            </w:pPr>
            <w:r>
              <w:rPr>
                <w:sz w:val="24"/>
              </w:rPr>
              <w:t>Observación y registro en diario de campo</w:t>
            </w:r>
          </w:p>
        </w:tc>
      </w:tr>
      <w:tr>
        <w:trPr>
          <w:trHeight w:val="286" w:hRule="exact"/>
        </w:trPr>
        <w:tc>
          <w:tcPr>
            <w:tcW w:w="896" w:type="dxa"/>
            <w:shd w:val="clear" w:color="auto" w:fill="CCC0D9"/>
          </w:tcPr>
          <w:p>
            <w:pPr>
              <w:pStyle w:val="TableParagraph"/>
              <w:spacing w:line="272" w:lineRule="exact"/>
              <w:ind w:left="0" w:right="1"/>
              <w:jc w:val="center"/>
              <w:rPr>
                <w:sz w:val="24"/>
              </w:rPr>
            </w:pPr>
            <w:r>
              <w:rPr>
                <w:w w:val="99"/>
                <w:sz w:val="24"/>
              </w:rPr>
              <w:t>2</w:t>
            </w:r>
          </w:p>
        </w:tc>
        <w:tc>
          <w:tcPr>
            <w:tcW w:w="3183" w:type="dxa"/>
            <w:shd w:val="clear" w:color="auto" w:fill="CCC0D9"/>
          </w:tcPr>
          <w:p>
            <w:pPr>
              <w:pStyle w:val="TableParagraph"/>
              <w:spacing w:line="272" w:lineRule="exact"/>
              <w:ind w:left="932" w:right="932"/>
              <w:jc w:val="center"/>
              <w:rPr>
                <w:sz w:val="24"/>
              </w:rPr>
            </w:pPr>
            <w:r>
              <w:rPr>
                <w:sz w:val="24"/>
              </w:rPr>
              <w:t>Aculco</w:t>
            </w:r>
          </w:p>
        </w:tc>
        <w:tc>
          <w:tcPr>
            <w:tcW w:w="3684" w:type="dxa"/>
            <w:shd w:val="clear" w:color="auto" w:fill="CCC0D9"/>
          </w:tcPr>
          <w:p>
            <w:pPr>
              <w:pStyle w:val="TableParagraph"/>
              <w:spacing w:line="251" w:lineRule="exact"/>
              <w:ind w:left="417" w:right="356"/>
              <w:jc w:val="center"/>
              <w:rPr>
                <w:sz w:val="22"/>
              </w:rPr>
            </w:pPr>
            <w:r>
              <w:rPr>
                <w:sz w:val="22"/>
              </w:rPr>
              <w:t>Cortina de la presa</w:t>
            </w:r>
          </w:p>
        </w:tc>
        <w:tc>
          <w:tcPr>
            <w:tcW w:w="5458" w:type="dxa"/>
            <w:shd w:val="clear" w:color="auto" w:fill="CCC0D9"/>
          </w:tcPr>
          <w:p>
            <w:pPr>
              <w:pStyle w:val="TableParagraph"/>
              <w:spacing w:line="272" w:lineRule="exact"/>
              <w:ind w:right="163"/>
              <w:rPr>
                <w:sz w:val="24"/>
              </w:rPr>
            </w:pPr>
            <w:r>
              <w:rPr>
                <w:sz w:val="24"/>
              </w:rPr>
              <w:t>Entrevistar al encargado de CNA</w:t>
            </w:r>
          </w:p>
        </w:tc>
      </w:tr>
      <w:tr>
        <w:trPr>
          <w:trHeight w:val="516" w:hRule="exact"/>
        </w:trPr>
        <w:tc>
          <w:tcPr>
            <w:tcW w:w="896" w:type="dxa"/>
            <w:shd w:val="clear" w:color="auto" w:fill="CCC0D9"/>
          </w:tcPr>
          <w:p>
            <w:pPr>
              <w:pStyle w:val="TableParagraph"/>
              <w:spacing w:line="272" w:lineRule="exact"/>
              <w:ind w:left="0" w:right="1"/>
              <w:jc w:val="center"/>
              <w:rPr>
                <w:sz w:val="24"/>
              </w:rPr>
            </w:pPr>
            <w:r>
              <w:rPr>
                <w:w w:val="99"/>
                <w:sz w:val="24"/>
              </w:rPr>
              <w:t>2</w:t>
            </w:r>
          </w:p>
        </w:tc>
        <w:tc>
          <w:tcPr>
            <w:tcW w:w="3183" w:type="dxa"/>
            <w:shd w:val="clear" w:color="auto" w:fill="CCC0D9"/>
          </w:tcPr>
          <w:p>
            <w:pPr>
              <w:pStyle w:val="TableParagraph"/>
              <w:spacing w:line="272" w:lineRule="exact"/>
              <w:ind w:left="932" w:right="932"/>
              <w:jc w:val="center"/>
              <w:rPr>
                <w:sz w:val="24"/>
              </w:rPr>
            </w:pPr>
            <w:r>
              <w:rPr>
                <w:sz w:val="24"/>
              </w:rPr>
              <w:t>Aculco</w:t>
            </w:r>
          </w:p>
        </w:tc>
        <w:tc>
          <w:tcPr>
            <w:tcW w:w="3684" w:type="dxa"/>
            <w:shd w:val="clear" w:color="auto" w:fill="CCC0D9"/>
          </w:tcPr>
          <w:p>
            <w:pPr>
              <w:pStyle w:val="TableParagraph"/>
              <w:spacing w:line="242" w:lineRule="auto"/>
              <w:ind w:left="1291" w:right="261" w:hanging="1016"/>
              <w:rPr>
                <w:sz w:val="22"/>
              </w:rPr>
            </w:pPr>
            <w:r>
              <w:rPr>
                <w:sz w:val="22"/>
              </w:rPr>
              <w:t>Centro turístico “Las Delicias de Huapango”</w:t>
            </w:r>
          </w:p>
        </w:tc>
        <w:tc>
          <w:tcPr>
            <w:tcW w:w="5458" w:type="dxa"/>
            <w:shd w:val="clear" w:color="auto" w:fill="CCC0D9"/>
          </w:tcPr>
          <w:p>
            <w:pPr>
              <w:pStyle w:val="TableParagraph"/>
              <w:spacing w:line="272" w:lineRule="exact"/>
              <w:ind w:right="163"/>
              <w:rPr>
                <w:sz w:val="24"/>
              </w:rPr>
            </w:pPr>
            <w:r>
              <w:rPr>
                <w:sz w:val="24"/>
              </w:rPr>
              <w:t>Observación y registro en diario de campo</w:t>
            </w:r>
          </w:p>
        </w:tc>
      </w:tr>
      <w:tr>
        <w:trPr>
          <w:trHeight w:val="287" w:hRule="exact"/>
        </w:trPr>
        <w:tc>
          <w:tcPr>
            <w:tcW w:w="896" w:type="dxa"/>
            <w:tcBorders>
              <w:bottom w:val="single" w:sz="4" w:space="0" w:color="000000"/>
            </w:tcBorders>
            <w:shd w:val="clear" w:color="auto" w:fill="CCC0D9"/>
          </w:tcPr>
          <w:p>
            <w:pPr>
              <w:pStyle w:val="TableParagraph"/>
              <w:spacing w:line="272" w:lineRule="exact"/>
              <w:ind w:left="0" w:right="1"/>
              <w:jc w:val="center"/>
              <w:rPr>
                <w:sz w:val="24"/>
              </w:rPr>
            </w:pPr>
            <w:r>
              <w:rPr>
                <w:w w:val="99"/>
                <w:sz w:val="24"/>
              </w:rPr>
              <w:t>2</w:t>
            </w:r>
          </w:p>
        </w:tc>
        <w:tc>
          <w:tcPr>
            <w:tcW w:w="3183" w:type="dxa"/>
            <w:tcBorders>
              <w:bottom w:val="single" w:sz="4" w:space="0" w:color="000000"/>
            </w:tcBorders>
            <w:shd w:val="clear" w:color="auto" w:fill="CCC0D9"/>
          </w:tcPr>
          <w:p>
            <w:pPr>
              <w:pStyle w:val="TableParagraph"/>
              <w:spacing w:line="272" w:lineRule="exact"/>
              <w:ind w:left="932" w:right="932"/>
              <w:jc w:val="center"/>
              <w:rPr>
                <w:sz w:val="24"/>
              </w:rPr>
            </w:pPr>
            <w:r>
              <w:rPr>
                <w:sz w:val="24"/>
              </w:rPr>
              <w:t>Aculco</w:t>
            </w:r>
          </w:p>
        </w:tc>
        <w:tc>
          <w:tcPr>
            <w:tcW w:w="3684" w:type="dxa"/>
            <w:tcBorders>
              <w:bottom w:val="single" w:sz="4" w:space="0" w:color="000000"/>
            </w:tcBorders>
            <w:shd w:val="clear" w:color="auto" w:fill="CCC0D9"/>
          </w:tcPr>
          <w:p>
            <w:pPr>
              <w:pStyle w:val="TableParagraph"/>
              <w:spacing w:line="251" w:lineRule="exact"/>
              <w:ind w:left="417" w:right="417"/>
              <w:jc w:val="center"/>
              <w:rPr>
                <w:sz w:val="22"/>
              </w:rPr>
            </w:pPr>
            <w:r>
              <w:rPr>
                <w:sz w:val="22"/>
              </w:rPr>
              <w:t>Hacienda de Arrollo Zarco</w:t>
            </w:r>
          </w:p>
        </w:tc>
        <w:tc>
          <w:tcPr>
            <w:tcW w:w="5458" w:type="dxa"/>
            <w:tcBorders>
              <w:bottom w:val="single" w:sz="4" w:space="0" w:color="000000"/>
            </w:tcBorders>
            <w:shd w:val="clear" w:color="auto" w:fill="CCC0D9"/>
          </w:tcPr>
          <w:p>
            <w:pPr>
              <w:pStyle w:val="TableParagraph"/>
              <w:spacing w:line="272" w:lineRule="exact"/>
              <w:ind w:right="163"/>
              <w:rPr>
                <w:sz w:val="24"/>
              </w:rPr>
            </w:pPr>
            <w:r>
              <w:rPr>
                <w:sz w:val="24"/>
              </w:rPr>
              <w:t>Observación y registro en diario de campo</w:t>
            </w:r>
          </w:p>
        </w:tc>
      </w:tr>
      <w:tr>
        <w:trPr>
          <w:trHeight w:val="287" w:hRule="exact"/>
        </w:trPr>
        <w:tc>
          <w:tcPr>
            <w:tcW w:w="896" w:type="dxa"/>
            <w:tcBorders>
              <w:top w:val="single" w:sz="4" w:space="0" w:color="000000"/>
            </w:tcBorders>
            <w:shd w:val="clear" w:color="auto" w:fill="CCC0D9"/>
          </w:tcPr>
          <w:p>
            <w:pPr>
              <w:pStyle w:val="TableParagraph"/>
              <w:spacing w:line="273" w:lineRule="exact"/>
              <w:ind w:left="0" w:right="1"/>
              <w:jc w:val="center"/>
              <w:rPr>
                <w:sz w:val="24"/>
              </w:rPr>
            </w:pPr>
            <w:r>
              <w:rPr>
                <w:w w:val="99"/>
                <w:sz w:val="24"/>
              </w:rPr>
              <w:t>2</w:t>
            </w:r>
          </w:p>
        </w:tc>
        <w:tc>
          <w:tcPr>
            <w:tcW w:w="3183" w:type="dxa"/>
            <w:tcBorders>
              <w:top w:val="single" w:sz="4" w:space="0" w:color="000000"/>
            </w:tcBorders>
            <w:shd w:val="clear" w:color="auto" w:fill="CCC0D9"/>
          </w:tcPr>
          <w:p>
            <w:pPr>
              <w:pStyle w:val="TableParagraph"/>
              <w:spacing w:line="273" w:lineRule="exact"/>
              <w:ind w:left="932" w:right="932"/>
              <w:jc w:val="center"/>
              <w:rPr>
                <w:sz w:val="24"/>
              </w:rPr>
            </w:pPr>
            <w:r>
              <w:rPr>
                <w:sz w:val="24"/>
              </w:rPr>
              <w:t>Aculco</w:t>
            </w:r>
          </w:p>
        </w:tc>
        <w:tc>
          <w:tcPr>
            <w:tcW w:w="3684" w:type="dxa"/>
            <w:tcBorders>
              <w:top w:val="single" w:sz="4" w:space="0" w:color="000000"/>
            </w:tcBorders>
            <w:shd w:val="clear" w:color="auto" w:fill="CCC0D9"/>
          </w:tcPr>
          <w:p>
            <w:pPr>
              <w:pStyle w:val="TableParagraph"/>
              <w:spacing w:line="252" w:lineRule="exact"/>
              <w:ind w:left="417" w:right="416"/>
              <w:jc w:val="center"/>
              <w:rPr>
                <w:sz w:val="22"/>
              </w:rPr>
            </w:pPr>
            <w:r>
              <w:rPr>
                <w:sz w:val="22"/>
              </w:rPr>
              <w:t>Centro de Aculco</w:t>
            </w:r>
          </w:p>
        </w:tc>
        <w:tc>
          <w:tcPr>
            <w:tcW w:w="5458" w:type="dxa"/>
            <w:tcBorders>
              <w:top w:val="single" w:sz="4" w:space="0" w:color="000000"/>
            </w:tcBorders>
            <w:shd w:val="clear" w:color="auto" w:fill="CCC0D9"/>
          </w:tcPr>
          <w:p>
            <w:pPr>
              <w:pStyle w:val="TableParagraph"/>
              <w:spacing w:line="273" w:lineRule="exact"/>
              <w:ind w:right="163"/>
              <w:rPr>
                <w:sz w:val="24"/>
              </w:rPr>
            </w:pPr>
            <w:r>
              <w:rPr>
                <w:sz w:val="24"/>
              </w:rPr>
              <w:t>Observación y registro en diario de campo</w:t>
            </w:r>
          </w:p>
        </w:tc>
      </w:tr>
      <w:tr>
        <w:trPr>
          <w:trHeight w:val="286" w:hRule="exact"/>
        </w:trPr>
        <w:tc>
          <w:tcPr>
            <w:tcW w:w="896" w:type="dxa"/>
            <w:shd w:val="clear" w:color="auto" w:fill="F9BE8F"/>
          </w:tcPr>
          <w:p>
            <w:pPr>
              <w:pStyle w:val="TableParagraph"/>
              <w:spacing w:line="272" w:lineRule="exact"/>
              <w:ind w:left="0" w:right="1"/>
              <w:jc w:val="center"/>
              <w:rPr>
                <w:sz w:val="24"/>
              </w:rPr>
            </w:pPr>
            <w:r>
              <w:rPr>
                <w:w w:val="99"/>
                <w:sz w:val="24"/>
              </w:rPr>
              <w:t>2</w:t>
            </w:r>
          </w:p>
        </w:tc>
        <w:tc>
          <w:tcPr>
            <w:tcW w:w="3183" w:type="dxa"/>
            <w:shd w:val="clear" w:color="auto" w:fill="F9BE8F"/>
          </w:tcPr>
          <w:p>
            <w:pPr>
              <w:pStyle w:val="TableParagraph"/>
              <w:spacing w:line="272" w:lineRule="exact"/>
              <w:ind w:left="932" w:right="933"/>
              <w:jc w:val="center"/>
              <w:rPr>
                <w:sz w:val="24"/>
              </w:rPr>
            </w:pPr>
            <w:r>
              <w:rPr>
                <w:sz w:val="24"/>
              </w:rPr>
              <w:t>Acambay</w:t>
            </w:r>
          </w:p>
        </w:tc>
        <w:tc>
          <w:tcPr>
            <w:tcW w:w="3684" w:type="dxa"/>
            <w:shd w:val="clear" w:color="auto" w:fill="F9BE8F"/>
          </w:tcPr>
          <w:p>
            <w:pPr>
              <w:pStyle w:val="TableParagraph"/>
              <w:spacing w:line="251" w:lineRule="exact"/>
              <w:ind w:left="417" w:right="416"/>
              <w:jc w:val="center"/>
              <w:rPr>
                <w:sz w:val="22"/>
              </w:rPr>
            </w:pPr>
            <w:r>
              <w:rPr>
                <w:sz w:val="22"/>
              </w:rPr>
              <w:t>Orilla de la presa</w:t>
            </w:r>
          </w:p>
        </w:tc>
        <w:tc>
          <w:tcPr>
            <w:tcW w:w="5458" w:type="dxa"/>
            <w:shd w:val="clear" w:color="auto" w:fill="F9BE8F"/>
          </w:tcPr>
          <w:p>
            <w:pPr>
              <w:pStyle w:val="TableParagraph"/>
              <w:spacing w:line="272" w:lineRule="exact"/>
              <w:ind w:right="163"/>
              <w:rPr>
                <w:sz w:val="24"/>
              </w:rPr>
            </w:pPr>
            <w:r>
              <w:rPr>
                <w:sz w:val="24"/>
              </w:rPr>
              <w:t>Observación y registro en diario de campo</w:t>
            </w:r>
          </w:p>
        </w:tc>
      </w:tr>
      <w:tr>
        <w:trPr>
          <w:trHeight w:val="286" w:hRule="exact"/>
        </w:trPr>
        <w:tc>
          <w:tcPr>
            <w:tcW w:w="896" w:type="dxa"/>
            <w:shd w:val="clear" w:color="auto" w:fill="F9BE8F"/>
          </w:tcPr>
          <w:p>
            <w:pPr>
              <w:pStyle w:val="TableParagraph"/>
              <w:spacing w:line="272" w:lineRule="exact"/>
              <w:ind w:left="0" w:right="1"/>
              <w:jc w:val="center"/>
              <w:rPr>
                <w:sz w:val="24"/>
              </w:rPr>
            </w:pPr>
            <w:r>
              <w:rPr>
                <w:w w:val="99"/>
                <w:sz w:val="24"/>
              </w:rPr>
              <w:t>2</w:t>
            </w:r>
          </w:p>
        </w:tc>
        <w:tc>
          <w:tcPr>
            <w:tcW w:w="3183" w:type="dxa"/>
            <w:shd w:val="clear" w:color="auto" w:fill="F9BE8F"/>
          </w:tcPr>
          <w:p>
            <w:pPr>
              <w:pStyle w:val="TableParagraph"/>
              <w:spacing w:line="272" w:lineRule="exact"/>
              <w:ind w:left="932" w:right="932"/>
              <w:jc w:val="center"/>
              <w:rPr>
                <w:sz w:val="24"/>
              </w:rPr>
            </w:pPr>
            <w:r>
              <w:rPr>
                <w:sz w:val="24"/>
              </w:rPr>
              <w:t>Acamabay</w:t>
            </w:r>
          </w:p>
        </w:tc>
        <w:tc>
          <w:tcPr>
            <w:tcW w:w="3684" w:type="dxa"/>
            <w:shd w:val="clear" w:color="auto" w:fill="F9BE8F"/>
          </w:tcPr>
          <w:p>
            <w:pPr>
              <w:pStyle w:val="TableParagraph"/>
              <w:spacing w:line="251" w:lineRule="exact"/>
              <w:ind w:left="417" w:right="417"/>
              <w:jc w:val="center"/>
              <w:rPr>
                <w:sz w:val="22"/>
              </w:rPr>
            </w:pPr>
            <w:r>
              <w:rPr>
                <w:sz w:val="22"/>
              </w:rPr>
              <w:t>Valle de los Espejos</w:t>
            </w:r>
          </w:p>
        </w:tc>
        <w:tc>
          <w:tcPr>
            <w:tcW w:w="5458" w:type="dxa"/>
            <w:shd w:val="clear" w:color="auto" w:fill="F9BE8F"/>
          </w:tcPr>
          <w:p>
            <w:pPr>
              <w:pStyle w:val="TableParagraph"/>
              <w:spacing w:line="272" w:lineRule="exact"/>
              <w:ind w:right="163"/>
              <w:rPr>
                <w:sz w:val="24"/>
              </w:rPr>
            </w:pPr>
            <w:r>
              <w:rPr>
                <w:sz w:val="24"/>
              </w:rPr>
              <w:t>Observación y registro en diario de campo</w:t>
            </w:r>
          </w:p>
        </w:tc>
      </w:tr>
      <w:tr>
        <w:trPr>
          <w:trHeight w:val="286" w:hRule="exact"/>
        </w:trPr>
        <w:tc>
          <w:tcPr>
            <w:tcW w:w="896" w:type="dxa"/>
            <w:shd w:val="clear" w:color="auto" w:fill="F9BE8F"/>
          </w:tcPr>
          <w:p>
            <w:pPr>
              <w:pStyle w:val="TableParagraph"/>
              <w:spacing w:line="272" w:lineRule="exact"/>
              <w:ind w:left="0" w:right="1"/>
              <w:jc w:val="center"/>
              <w:rPr>
                <w:sz w:val="24"/>
              </w:rPr>
            </w:pPr>
            <w:r>
              <w:rPr>
                <w:w w:val="99"/>
                <w:sz w:val="24"/>
              </w:rPr>
              <w:t>2</w:t>
            </w:r>
          </w:p>
        </w:tc>
        <w:tc>
          <w:tcPr>
            <w:tcW w:w="3183" w:type="dxa"/>
            <w:shd w:val="clear" w:color="auto" w:fill="F9BE8F"/>
          </w:tcPr>
          <w:p>
            <w:pPr>
              <w:pStyle w:val="TableParagraph"/>
              <w:spacing w:line="272" w:lineRule="exact"/>
              <w:ind w:left="932" w:right="933"/>
              <w:jc w:val="center"/>
              <w:rPr>
                <w:sz w:val="24"/>
              </w:rPr>
            </w:pPr>
            <w:r>
              <w:rPr>
                <w:sz w:val="24"/>
              </w:rPr>
              <w:t>Acambay</w:t>
            </w:r>
          </w:p>
        </w:tc>
        <w:tc>
          <w:tcPr>
            <w:tcW w:w="3684" w:type="dxa"/>
            <w:shd w:val="clear" w:color="auto" w:fill="F9BE8F"/>
          </w:tcPr>
          <w:p>
            <w:pPr>
              <w:pStyle w:val="TableParagraph"/>
              <w:spacing w:line="251" w:lineRule="exact"/>
              <w:ind w:left="417" w:right="417"/>
              <w:jc w:val="center"/>
              <w:rPr>
                <w:sz w:val="22"/>
              </w:rPr>
            </w:pPr>
            <w:r>
              <w:rPr>
                <w:sz w:val="22"/>
              </w:rPr>
              <w:t>Centro Acamabay</w:t>
            </w:r>
          </w:p>
        </w:tc>
        <w:tc>
          <w:tcPr>
            <w:tcW w:w="5458" w:type="dxa"/>
            <w:shd w:val="clear" w:color="auto" w:fill="F9BE8F"/>
          </w:tcPr>
          <w:p>
            <w:pPr>
              <w:pStyle w:val="TableParagraph"/>
              <w:spacing w:line="272" w:lineRule="exact"/>
              <w:ind w:right="163"/>
              <w:rPr>
                <w:sz w:val="24"/>
              </w:rPr>
            </w:pPr>
            <w:r>
              <w:rPr>
                <w:sz w:val="24"/>
              </w:rPr>
              <w:t>Observación y registro en diario de campo</w:t>
            </w:r>
          </w:p>
        </w:tc>
      </w:tr>
    </w:tbl>
    <w:p>
      <w:pPr>
        <w:spacing w:after="0" w:line="272" w:lineRule="exact"/>
        <w:rPr>
          <w:sz w:val="24"/>
        </w:rPr>
        <w:sectPr>
          <w:footerReference w:type="default" r:id="rId103"/>
          <w:pgSz w:w="15840" w:h="12240" w:orient="landscape"/>
          <w:pgMar w:footer="0" w:header="0" w:top="1140" w:bottom="280" w:left="1200" w:right="1180"/>
        </w:sectPr>
      </w:pPr>
    </w:p>
    <w:p>
      <w:pPr>
        <w:pStyle w:val="BodyText"/>
        <w:rPr>
          <w:b/>
          <w:sz w:val="20"/>
        </w:rPr>
      </w:pPr>
    </w:p>
    <w:p>
      <w:pPr>
        <w:pStyle w:val="BodyText"/>
        <w:spacing w:before="7"/>
        <w:rPr>
          <w:b/>
        </w:rPr>
      </w:pPr>
    </w:p>
    <w:p>
      <w:pPr>
        <w:spacing w:before="70"/>
        <w:ind w:left="213" w:right="209" w:firstLine="0"/>
        <w:jc w:val="center"/>
        <w:rPr>
          <w:b/>
          <w:sz w:val="24"/>
        </w:rPr>
      </w:pPr>
      <w:r>
        <w:rPr>
          <w:b/>
          <w:sz w:val="24"/>
        </w:rPr>
        <w:t>Mapa 3.1. Ruta 1 del Transecto</w:t>
      </w:r>
    </w:p>
    <w:p>
      <w:pPr>
        <w:pStyle w:val="BodyText"/>
        <w:spacing w:before="7"/>
        <w:rPr>
          <w:b/>
          <w:sz w:val="17"/>
        </w:rPr>
      </w:pPr>
      <w:r>
        <w:rPr/>
        <w:drawing>
          <wp:anchor distT="0" distB="0" distL="0" distR="0" allowOverlap="1" layoutInCell="1" locked="0" behindDoc="0" simplePos="0" relativeHeight="5776">
            <wp:simplePos x="0" y="0"/>
            <wp:positionH relativeFrom="page">
              <wp:posOffset>1581150</wp:posOffset>
            </wp:positionH>
            <wp:positionV relativeFrom="paragraph">
              <wp:posOffset>153886</wp:posOffset>
            </wp:positionV>
            <wp:extent cx="6851222" cy="4614862"/>
            <wp:effectExtent l="0" t="0" r="0" b="0"/>
            <wp:wrapTopAndBottom/>
            <wp:docPr id="21" name="image68.jpeg" descr=""/>
            <wp:cNvGraphicFramePr>
              <a:graphicFrameLocks noChangeAspect="1"/>
            </wp:cNvGraphicFramePr>
            <a:graphic>
              <a:graphicData uri="http://schemas.openxmlformats.org/drawingml/2006/picture">
                <pic:pic>
                  <pic:nvPicPr>
                    <pic:cNvPr id="22" name="image68.jpeg"/>
                    <pic:cNvPicPr/>
                  </pic:nvPicPr>
                  <pic:blipFill>
                    <a:blip r:embed="rId105" cstate="print"/>
                    <a:stretch>
                      <a:fillRect/>
                    </a:stretch>
                  </pic:blipFill>
                  <pic:spPr>
                    <a:xfrm>
                      <a:off x="0" y="0"/>
                      <a:ext cx="6851222" cy="4614862"/>
                    </a:xfrm>
                    <a:prstGeom prst="rect">
                      <a:avLst/>
                    </a:prstGeom>
                  </pic:spPr>
                </pic:pic>
              </a:graphicData>
            </a:graphic>
          </wp:anchor>
        </w:drawing>
      </w:r>
    </w:p>
    <w:p>
      <w:pPr>
        <w:pStyle w:val="BodyText"/>
        <w:rPr>
          <w:b/>
          <w:sz w:val="23"/>
        </w:rPr>
      </w:pPr>
    </w:p>
    <w:p>
      <w:pPr>
        <w:spacing w:before="0"/>
        <w:ind w:left="213" w:right="206" w:firstLine="0"/>
        <w:jc w:val="center"/>
        <w:rPr>
          <w:b/>
          <w:sz w:val="24"/>
        </w:rPr>
      </w:pPr>
      <w:r>
        <w:rPr>
          <w:b/>
          <w:sz w:val="24"/>
        </w:rPr>
        <w:t>Ruta: CIRA-Timilpan (69 km, 1 hora)-Presa Huapango (29 Km, 45 minutos)-Jilotepec (20 Km, 35 minutos) –CIRA</w:t>
      </w:r>
    </w:p>
    <w:p>
      <w:pPr>
        <w:spacing w:before="40"/>
        <w:ind w:left="118" w:right="0" w:firstLine="0"/>
        <w:jc w:val="left"/>
        <w:rPr>
          <w:b/>
          <w:i/>
          <w:sz w:val="24"/>
        </w:rPr>
      </w:pPr>
      <w:r>
        <w:rPr>
          <w:b/>
          <w:sz w:val="24"/>
        </w:rPr>
        <w:t>(105 km. 1 hora 20 minutos) </w:t>
      </w:r>
      <w:r>
        <w:rPr>
          <w:b/>
          <w:i/>
          <w:sz w:val="24"/>
        </w:rPr>
        <w:t>(Total: 244 km, 3 horas 47 minutos).</w:t>
      </w:r>
    </w:p>
    <w:p>
      <w:pPr>
        <w:spacing w:after="0"/>
        <w:jc w:val="left"/>
        <w:rPr>
          <w:sz w:val="24"/>
        </w:rPr>
        <w:sectPr>
          <w:footerReference w:type="default" r:id="rId104"/>
          <w:pgSz w:w="15840" w:h="12240" w:orient="landscape"/>
          <w:pgMar w:footer="0" w:header="0" w:top="1140" w:bottom="280" w:left="1300" w:right="1300"/>
        </w:sectPr>
      </w:pPr>
    </w:p>
    <w:p>
      <w:pPr>
        <w:pStyle w:val="BodyText"/>
        <w:rPr>
          <w:b/>
          <w:i/>
          <w:sz w:val="20"/>
        </w:rPr>
      </w:pPr>
    </w:p>
    <w:p>
      <w:pPr>
        <w:pStyle w:val="BodyText"/>
        <w:spacing w:before="7"/>
        <w:rPr>
          <w:b/>
          <w:i/>
        </w:rPr>
      </w:pPr>
    </w:p>
    <w:p>
      <w:pPr>
        <w:pStyle w:val="Heading4"/>
        <w:spacing w:before="70"/>
        <w:ind w:left="4847" w:right="4245"/>
        <w:jc w:val="center"/>
      </w:pPr>
      <w:r>
        <w:rPr/>
        <w:t>Mapa 3.2. Ruta 2 del Transecto</w:t>
      </w:r>
    </w:p>
    <w:p>
      <w:pPr>
        <w:pStyle w:val="BodyText"/>
        <w:spacing w:before="7"/>
        <w:rPr>
          <w:b/>
          <w:sz w:val="17"/>
        </w:rPr>
      </w:pPr>
      <w:r>
        <w:rPr/>
        <w:drawing>
          <wp:anchor distT="0" distB="0" distL="0" distR="0" allowOverlap="1" layoutInCell="1" locked="0" behindDoc="0" simplePos="0" relativeHeight="5800">
            <wp:simplePos x="0" y="0"/>
            <wp:positionH relativeFrom="page">
              <wp:posOffset>1304925</wp:posOffset>
            </wp:positionH>
            <wp:positionV relativeFrom="paragraph">
              <wp:posOffset>153886</wp:posOffset>
            </wp:positionV>
            <wp:extent cx="7411774" cy="4530471"/>
            <wp:effectExtent l="0" t="0" r="0" b="0"/>
            <wp:wrapTopAndBottom/>
            <wp:docPr id="23" name="image69.jpeg" descr=""/>
            <wp:cNvGraphicFramePr>
              <a:graphicFrameLocks noChangeAspect="1"/>
            </wp:cNvGraphicFramePr>
            <a:graphic>
              <a:graphicData uri="http://schemas.openxmlformats.org/drawingml/2006/picture">
                <pic:pic>
                  <pic:nvPicPr>
                    <pic:cNvPr id="24" name="image69.jpeg"/>
                    <pic:cNvPicPr/>
                  </pic:nvPicPr>
                  <pic:blipFill>
                    <a:blip r:embed="rId107" cstate="print"/>
                    <a:stretch>
                      <a:fillRect/>
                    </a:stretch>
                  </pic:blipFill>
                  <pic:spPr>
                    <a:xfrm>
                      <a:off x="0" y="0"/>
                      <a:ext cx="7411774" cy="4530471"/>
                    </a:xfrm>
                    <a:prstGeom prst="rect">
                      <a:avLst/>
                    </a:prstGeom>
                  </pic:spPr>
                </pic:pic>
              </a:graphicData>
            </a:graphic>
          </wp:anchor>
        </w:drawing>
      </w:r>
    </w:p>
    <w:p>
      <w:pPr>
        <w:pStyle w:val="BodyText"/>
        <w:spacing w:before="5"/>
        <w:rPr>
          <w:b/>
          <w:sz w:val="21"/>
        </w:rPr>
      </w:pPr>
    </w:p>
    <w:p>
      <w:pPr>
        <w:spacing w:before="0"/>
        <w:ind w:left="118" w:right="0" w:firstLine="0"/>
        <w:jc w:val="left"/>
        <w:rPr>
          <w:b/>
          <w:sz w:val="24"/>
        </w:rPr>
      </w:pPr>
      <w:r>
        <w:rPr>
          <w:b/>
          <w:sz w:val="24"/>
        </w:rPr>
        <w:t>Ruta: CIRA –Acambay (73.7 km, 1 hora 20 minutos)-Acambay-Aculco (23.9 km, 23 minutos)- Presa Huapango</w:t>
      </w:r>
    </w:p>
    <w:p>
      <w:pPr>
        <w:spacing w:before="43"/>
        <w:ind w:left="118" w:right="0" w:firstLine="0"/>
        <w:jc w:val="left"/>
        <w:rPr>
          <w:b/>
          <w:i/>
          <w:sz w:val="24"/>
        </w:rPr>
      </w:pPr>
      <w:r>
        <w:rPr>
          <w:b/>
          <w:sz w:val="24"/>
        </w:rPr>
        <w:t>(36.6 km, 45 minutos)-CIRA (104 km, 1 hora, 22 minutos) (</w:t>
      </w:r>
      <w:r>
        <w:rPr>
          <w:b/>
          <w:i/>
          <w:sz w:val="24"/>
        </w:rPr>
        <w:t>Total: 259 km. 3 horas 35 minutos).</w:t>
      </w:r>
    </w:p>
    <w:p>
      <w:pPr>
        <w:spacing w:after="0"/>
        <w:jc w:val="left"/>
        <w:rPr>
          <w:sz w:val="24"/>
        </w:rPr>
        <w:sectPr>
          <w:footerReference w:type="default" r:id="rId106"/>
          <w:pgSz w:w="15840" w:h="12240" w:orient="landscape"/>
          <w:pgMar w:footer="0" w:header="0" w:top="1140" w:bottom="280" w:left="1300" w:right="1900"/>
        </w:sectPr>
      </w:pPr>
    </w:p>
    <w:p>
      <w:pPr>
        <w:pStyle w:val="BodyText"/>
        <w:spacing w:line="360" w:lineRule="auto" w:before="56"/>
        <w:ind w:left="102" w:right="114"/>
        <w:jc w:val="both"/>
      </w:pPr>
      <w:r>
        <w:rPr/>
        <w:t>Dicho recorrido en la zona de estudio, permitió delimitar la cuenca socio territorialmente como una región, donde el uso del concepto de </w:t>
      </w:r>
      <w:r>
        <w:rPr>
          <w:i/>
        </w:rPr>
        <w:t>cuenca hidrosocial</w:t>
      </w:r>
      <w:r>
        <w:rPr/>
        <w:t>, permitió identificar las relaciones que hay entre los municipios que integran la presa Huapango, creando redes en torno al agua, así como entre sus actores de las zonas altas y zonas bajas (redes hídricas), mediante procesos de desarrollo hídrico (iniciativas locales, intervenciones), con historias particulares que configuran la cuenca</w:t>
      </w:r>
      <w:r>
        <w:rPr>
          <w:spacing w:val="-17"/>
        </w:rPr>
        <w:t> </w:t>
      </w:r>
      <w:r>
        <w:rPr/>
        <w:t>hidrosocial.</w:t>
      </w:r>
    </w:p>
    <w:p>
      <w:pPr>
        <w:pStyle w:val="BodyText"/>
        <w:spacing w:before="9"/>
        <w:rPr>
          <w:sz w:val="17"/>
        </w:rPr>
      </w:pPr>
    </w:p>
    <w:p>
      <w:pPr>
        <w:spacing w:line="360" w:lineRule="auto" w:before="0"/>
        <w:ind w:left="102" w:right="118" w:firstLine="0"/>
        <w:jc w:val="both"/>
        <w:rPr>
          <w:sz w:val="22"/>
        </w:rPr>
      </w:pPr>
      <w:r>
        <w:rPr>
          <w:sz w:val="22"/>
        </w:rPr>
        <w:t>Para la selección de los grupos de actores históricos en el trabajo de campo, se optó por la estrategia metodológica de trabajar con grupos ya establecidos e identificados históricamente (Norman Uphoff, 1988,1995, 2000, Cernea, 1995 y Bonnal, 1996). Esta estrategia aplicada </w:t>
      </w:r>
      <w:r>
        <w:rPr>
          <w:i/>
          <w:sz w:val="22"/>
        </w:rPr>
        <w:t>permitió la entrevista y el trabajo participativo de la mayoría de los </w:t>
      </w:r>
      <w:r>
        <w:rPr>
          <w:i/>
          <w:sz w:val="22"/>
        </w:rPr>
        <w:t>actores de la cuenca hidrosocial, debido a su existencia previa y a su misma estructura histórica e incluyente, que permitió la entrevista y la participación de los actores, así como la identificación de sus redes y</w:t>
      </w:r>
      <w:r>
        <w:rPr>
          <w:i/>
          <w:spacing w:val="-13"/>
          <w:sz w:val="22"/>
        </w:rPr>
        <w:t> </w:t>
      </w:r>
      <w:r>
        <w:rPr>
          <w:i/>
          <w:sz w:val="22"/>
        </w:rPr>
        <w:t>funciones</w:t>
      </w:r>
      <w:r>
        <w:rPr>
          <w:sz w:val="22"/>
        </w:rPr>
        <w:t>.</w:t>
      </w:r>
    </w:p>
    <w:p>
      <w:pPr>
        <w:pStyle w:val="BodyText"/>
        <w:spacing w:before="7"/>
        <w:rPr>
          <w:sz w:val="17"/>
        </w:rPr>
      </w:pPr>
    </w:p>
    <w:p>
      <w:pPr>
        <w:pStyle w:val="BodyText"/>
        <w:spacing w:line="360" w:lineRule="auto"/>
        <w:ind w:left="102" w:right="115"/>
        <w:jc w:val="both"/>
      </w:pPr>
      <w:r>
        <w:rPr/>
        <w:t>En este sentido, el trabajo de campo jugó un papel fundamental en nuestra investigación, como lo señaló anteriormente Palerm (1972), ya que para lograr nuestro cometido, se  tuvo que obtener información de primera mano en las comunidades de los municipios que integran la cuenca hidrosocial de la presa</w:t>
      </w:r>
      <w:r>
        <w:rPr>
          <w:spacing w:val="-11"/>
        </w:rPr>
        <w:t> </w:t>
      </w:r>
      <w:r>
        <w:rPr/>
        <w:t>Huapango.</w:t>
      </w:r>
    </w:p>
    <w:p>
      <w:pPr>
        <w:pStyle w:val="BodyText"/>
        <w:spacing w:before="9"/>
        <w:rPr>
          <w:sz w:val="17"/>
        </w:rPr>
      </w:pPr>
    </w:p>
    <w:p>
      <w:pPr>
        <w:pStyle w:val="BodyText"/>
        <w:spacing w:line="360" w:lineRule="auto" w:before="1"/>
        <w:ind w:left="102" w:right="114"/>
        <w:jc w:val="both"/>
      </w:pPr>
      <w:r>
        <w:rPr/>
        <w:t>Las localidades que fueron identificadas y elegidas para el trabajo de campo ( tabla 3.2 ), son las que articulan fundamentalmente el espacio geográfico de la cuenca hidrosocial de la presa Huapango, ya que existen allí más grupos de actores en términos de presencia actual y que guardan las estructuras sociales a través de la historia, las cuales permitieron identificar las relaciones de gobernanza y de poder.</w:t>
      </w:r>
    </w:p>
    <w:p>
      <w:pPr>
        <w:spacing w:after="0" w:line="360" w:lineRule="auto"/>
        <w:jc w:val="both"/>
        <w:sectPr>
          <w:footerReference w:type="default" r:id="rId108"/>
          <w:pgSz w:w="12240" w:h="15840"/>
          <w:pgMar w:footer="1003" w:header="0" w:top="1360" w:bottom="1200" w:left="1600" w:right="1580"/>
          <w:pgNumType w:start="11"/>
        </w:sectPr>
      </w:pPr>
    </w:p>
    <w:p>
      <w:pPr>
        <w:pStyle w:val="Heading6"/>
        <w:spacing w:before="53"/>
        <w:ind w:left="1143"/>
      </w:pPr>
      <w:r>
        <w:rPr/>
        <w:t>Tabla 3.2. Localidades donde se llevó acabo el trabajo de campo</w:t>
      </w:r>
    </w:p>
    <w:p>
      <w:pPr>
        <w:pStyle w:val="BodyText"/>
        <w:spacing w:before="9" w:after="1"/>
        <w:rPr>
          <w:b/>
          <w:sz w:val="28"/>
        </w:rPr>
      </w:pPr>
    </w:p>
    <w:tbl>
      <w:tblPr>
        <w:tblW w:w="0" w:type="auto"/>
        <w:jc w:val="left"/>
        <w:tblInd w:w="19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84"/>
        <w:gridCol w:w="1349"/>
        <w:gridCol w:w="3195"/>
      </w:tblGrid>
      <w:tr>
        <w:trPr>
          <w:trHeight w:val="510" w:hRule="exact"/>
        </w:trPr>
        <w:tc>
          <w:tcPr>
            <w:tcW w:w="584" w:type="dxa"/>
            <w:shd w:val="clear" w:color="auto" w:fill="938953"/>
          </w:tcPr>
          <w:p>
            <w:pPr/>
          </w:p>
        </w:tc>
        <w:tc>
          <w:tcPr>
            <w:tcW w:w="1349" w:type="dxa"/>
            <w:shd w:val="clear" w:color="auto" w:fill="938953"/>
          </w:tcPr>
          <w:p>
            <w:pPr>
              <w:pStyle w:val="TableParagraph"/>
              <w:spacing w:before="11"/>
              <w:ind w:left="81"/>
              <w:rPr>
                <w:b/>
                <w:sz w:val="22"/>
              </w:rPr>
            </w:pPr>
            <w:r>
              <w:rPr>
                <w:b/>
                <w:sz w:val="22"/>
              </w:rPr>
              <w:t>MUNICIPIO</w:t>
            </w:r>
          </w:p>
        </w:tc>
        <w:tc>
          <w:tcPr>
            <w:tcW w:w="3195" w:type="dxa"/>
            <w:shd w:val="clear" w:color="auto" w:fill="938953"/>
          </w:tcPr>
          <w:p>
            <w:pPr>
              <w:pStyle w:val="TableParagraph"/>
              <w:spacing w:before="11"/>
              <w:ind w:left="81"/>
              <w:rPr>
                <w:b/>
                <w:sz w:val="22"/>
              </w:rPr>
            </w:pPr>
            <w:r>
              <w:rPr>
                <w:b/>
                <w:sz w:val="22"/>
              </w:rPr>
              <w:t>LOCALIDAD</w:t>
            </w:r>
          </w:p>
        </w:tc>
      </w:tr>
      <w:tr>
        <w:trPr>
          <w:trHeight w:val="510" w:hRule="exact"/>
        </w:trPr>
        <w:tc>
          <w:tcPr>
            <w:tcW w:w="584" w:type="dxa"/>
            <w:vMerge w:val="restart"/>
            <w:shd w:val="clear" w:color="auto" w:fill="1F487C"/>
            <w:textDirection w:val="btLr"/>
          </w:tcPr>
          <w:p>
            <w:pPr>
              <w:pStyle w:val="TableParagraph"/>
              <w:spacing w:before="87"/>
              <w:ind w:left="790"/>
              <w:rPr>
                <w:b/>
                <w:sz w:val="22"/>
              </w:rPr>
            </w:pPr>
            <w:r>
              <w:rPr>
                <w:b/>
                <w:spacing w:val="-2"/>
                <w:w w:val="100"/>
                <w:sz w:val="22"/>
              </w:rPr>
              <w:t>A</w:t>
            </w:r>
            <w:r>
              <w:rPr>
                <w:b/>
                <w:w w:val="100"/>
                <w:sz w:val="22"/>
              </w:rPr>
              <w:t>g</w:t>
            </w:r>
            <w:r>
              <w:rPr>
                <w:b/>
                <w:spacing w:val="-2"/>
                <w:w w:val="100"/>
                <w:sz w:val="22"/>
              </w:rPr>
              <w:t>u</w:t>
            </w:r>
            <w:r>
              <w:rPr>
                <w:b/>
                <w:w w:val="100"/>
                <w:sz w:val="22"/>
              </w:rPr>
              <w:t>as</w:t>
            </w:r>
            <w:r>
              <w:rPr>
                <w:b/>
                <w:sz w:val="22"/>
              </w:rPr>
              <w:t> </w:t>
            </w:r>
            <w:r>
              <w:rPr>
                <w:b/>
                <w:spacing w:val="-2"/>
                <w:w w:val="100"/>
                <w:sz w:val="22"/>
              </w:rPr>
              <w:t>A</w:t>
            </w:r>
            <w:r>
              <w:rPr>
                <w:b/>
                <w:spacing w:val="-2"/>
                <w:w w:val="100"/>
                <w:sz w:val="22"/>
              </w:rPr>
              <w:t>r</w:t>
            </w:r>
            <w:r>
              <w:rPr>
                <w:b/>
                <w:w w:val="100"/>
                <w:sz w:val="22"/>
              </w:rPr>
              <w:t>r</w:t>
            </w:r>
            <w:r>
              <w:rPr>
                <w:b/>
                <w:spacing w:val="1"/>
                <w:w w:val="100"/>
                <w:sz w:val="22"/>
              </w:rPr>
              <w:t>i</w:t>
            </w:r>
            <w:r>
              <w:rPr>
                <w:b/>
                <w:w w:val="100"/>
                <w:sz w:val="22"/>
              </w:rPr>
              <w:t>ba</w:t>
            </w:r>
          </w:p>
        </w:tc>
        <w:tc>
          <w:tcPr>
            <w:tcW w:w="1349" w:type="dxa"/>
            <w:shd w:val="clear" w:color="auto" w:fill="C0504D"/>
          </w:tcPr>
          <w:p>
            <w:pPr>
              <w:pStyle w:val="TableParagraph"/>
              <w:spacing w:before="9"/>
              <w:ind w:left="81"/>
              <w:rPr>
                <w:b/>
                <w:sz w:val="22"/>
              </w:rPr>
            </w:pPr>
            <w:r>
              <w:rPr>
                <w:b/>
                <w:sz w:val="22"/>
              </w:rPr>
              <w:t>Acambay</w:t>
            </w:r>
          </w:p>
        </w:tc>
        <w:tc>
          <w:tcPr>
            <w:tcW w:w="3195" w:type="dxa"/>
            <w:shd w:val="clear" w:color="auto" w:fill="C0504D"/>
          </w:tcPr>
          <w:p>
            <w:pPr>
              <w:pStyle w:val="TableParagraph"/>
              <w:spacing w:before="12"/>
              <w:ind w:left="81"/>
              <w:rPr>
                <w:sz w:val="22"/>
              </w:rPr>
            </w:pPr>
            <w:r>
              <w:rPr>
                <w:sz w:val="22"/>
              </w:rPr>
              <w:t>Acambay</w:t>
            </w:r>
          </w:p>
        </w:tc>
      </w:tr>
      <w:tr>
        <w:trPr>
          <w:trHeight w:val="510" w:hRule="exact"/>
        </w:trPr>
        <w:tc>
          <w:tcPr>
            <w:tcW w:w="584" w:type="dxa"/>
            <w:vMerge/>
            <w:shd w:val="clear" w:color="auto" w:fill="1F487C"/>
            <w:textDirection w:val="btLr"/>
          </w:tcPr>
          <w:p>
            <w:pPr/>
          </w:p>
        </w:tc>
        <w:tc>
          <w:tcPr>
            <w:tcW w:w="1349" w:type="dxa"/>
            <w:shd w:val="clear" w:color="auto" w:fill="C0504D"/>
          </w:tcPr>
          <w:p>
            <w:pPr/>
          </w:p>
        </w:tc>
        <w:tc>
          <w:tcPr>
            <w:tcW w:w="3195" w:type="dxa"/>
            <w:shd w:val="clear" w:color="auto" w:fill="C0504D"/>
          </w:tcPr>
          <w:p>
            <w:pPr>
              <w:pStyle w:val="TableParagraph"/>
              <w:spacing w:before="13"/>
              <w:ind w:left="81"/>
              <w:rPr>
                <w:sz w:val="22"/>
              </w:rPr>
            </w:pPr>
            <w:r>
              <w:rPr>
                <w:sz w:val="22"/>
              </w:rPr>
              <w:t>Las Arenas</w:t>
            </w:r>
          </w:p>
        </w:tc>
      </w:tr>
      <w:tr>
        <w:trPr>
          <w:trHeight w:val="510" w:hRule="exact"/>
        </w:trPr>
        <w:tc>
          <w:tcPr>
            <w:tcW w:w="584" w:type="dxa"/>
            <w:vMerge/>
            <w:shd w:val="clear" w:color="auto" w:fill="1F487C"/>
            <w:textDirection w:val="btLr"/>
          </w:tcPr>
          <w:p>
            <w:pPr/>
          </w:p>
        </w:tc>
        <w:tc>
          <w:tcPr>
            <w:tcW w:w="1349" w:type="dxa"/>
            <w:shd w:val="clear" w:color="auto" w:fill="C0504D"/>
          </w:tcPr>
          <w:p>
            <w:pPr/>
          </w:p>
        </w:tc>
        <w:tc>
          <w:tcPr>
            <w:tcW w:w="3195" w:type="dxa"/>
            <w:shd w:val="clear" w:color="auto" w:fill="C0504D"/>
          </w:tcPr>
          <w:p>
            <w:pPr>
              <w:pStyle w:val="TableParagraph"/>
              <w:spacing w:before="12"/>
              <w:ind w:left="81"/>
              <w:rPr>
                <w:sz w:val="22"/>
              </w:rPr>
            </w:pPr>
            <w:r>
              <w:rPr>
                <w:sz w:val="22"/>
              </w:rPr>
              <w:t>San Juanico</w:t>
            </w:r>
          </w:p>
        </w:tc>
      </w:tr>
      <w:tr>
        <w:trPr>
          <w:trHeight w:val="510" w:hRule="exact"/>
        </w:trPr>
        <w:tc>
          <w:tcPr>
            <w:tcW w:w="584" w:type="dxa"/>
            <w:vMerge/>
            <w:shd w:val="clear" w:color="auto" w:fill="1F487C"/>
            <w:textDirection w:val="btLr"/>
          </w:tcPr>
          <w:p>
            <w:pPr/>
          </w:p>
        </w:tc>
        <w:tc>
          <w:tcPr>
            <w:tcW w:w="1349" w:type="dxa"/>
            <w:shd w:val="clear" w:color="auto" w:fill="9BBA58"/>
          </w:tcPr>
          <w:p>
            <w:pPr>
              <w:pStyle w:val="TableParagraph"/>
              <w:spacing w:before="11"/>
              <w:ind w:left="81"/>
              <w:rPr>
                <w:b/>
                <w:sz w:val="22"/>
              </w:rPr>
            </w:pPr>
            <w:r>
              <w:rPr>
                <w:b/>
                <w:sz w:val="22"/>
              </w:rPr>
              <w:t>Jilotepec</w:t>
            </w:r>
          </w:p>
        </w:tc>
        <w:tc>
          <w:tcPr>
            <w:tcW w:w="3195" w:type="dxa"/>
            <w:shd w:val="clear" w:color="auto" w:fill="9BBA58"/>
          </w:tcPr>
          <w:p>
            <w:pPr>
              <w:pStyle w:val="TableParagraph"/>
              <w:spacing w:before="13"/>
              <w:ind w:left="81"/>
              <w:rPr>
                <w:sz w:val="22"/>
              </w:rPr>
            </w:pPr>
            <w:r>
              <w:rPr>
                <w:sz w:val="22"/>
              </w:rPr>
              <w:t>Jilotepec</w:t>
            </w:r>
          </w:p>
        </w:tc>
      </w:tr>
      <w:tr>
        <w:trPr>
          <w:trHeight w:val="511" w:hRule="exact"/>
        </w:trPr>
        <w:tc>
          <w:tcPr>
            <w:tcW w:w="584" w:type="dxa"/>
            <w:vMerge/>
            <w:shd w:val="clear" w:color="auto" w:fill="1F487C"/>
            <w:textDirection w:val="btLr"/>
          </w:tcPr>
          <w:p>
            <w:pPr/>
          </w:p>
        </w:tc>
        <w:tc>
          <w:tcPr>
            <w:tcW w:w="1349" w:type="dxa"/>
            <w:shd w:val="clear" w:color="auto" w:fill="9BBA58"/>
          </w:tcPr>
          <w:p>
            <w:pPr/>
          </w:p>
        </w:tc>
        <w:tc>
          <w:tcPr>
            <w:tcW w:w="3195" w:type="dxa"/>
            <w:shd w:val="clear" w:color="auto" w:fill="9BBA58"/>
          </w:tcPr>
          <w:p>
            <w:pPr>
              <w:pStyle w:val="TableParagraph"/>
              <w:spacing w:before="12"/>
              <w:ind w:left="81"/>
              <w:rPr>
                <w:sz w:val="22"/>
              </w:rPr>
            </w:pPr>
            <w:r>
              <w:rPr>
                <w:sz w:val="22"/>
              </w:rPr>
              <w:t>Aldama</w:t>
            </w:r>
          </w:p>
        </w:tc>
      </w:tr>
      <w:tr>
        <w:trPr>
          <w:trHeight w:val="510" w:hRule="exact"/>
        </w:trPr>
        <w:tc>
          <w:tcPr>
            <w:tcW w:w="584" w:type="dxa"/>
            <w:vMerge/>
            <w:shd w:val="clear" w:color="auto" w:fill="1F487C"/>
            <w:textDirection w:val="btLr"/>
          </w:tcPr>
          <w:p>
            <w:pPr/>
          </w:p>
        </w:tc>
        <w:tc>
          <w:tcPr>
            <w:tcW w:w="1349" w:type="dxa"/>
            <w:shd w:val="clear" w:color="auto" w:fill="9BBA58"/>
          </w:tcPr>
          <w:p>
            <w:pPr/>
          </w:p>
        </w:tc>
        <w:tc>
          <w:tcPr>
            <w:tcW w:w="3195" w:type="dxa"/>
            <w:shd w:val="clear" w:color="auto" w:fill="9BBA58"/>
          </w:tcPr>
          <w:p>
            <w:pPr>
              <w:pStyle w:val="TableParagraph"/>
              <w:spacing w:before="13"/>
              <w:ind w:left="81"/>
              <w:rPr>
                <w:sz w:val="22"/>
              </w:rPr>
            </w:pPr>
            <w:r>
              <w:rPr>
                <w:sz w:val="22"/>
              </w:rPr>
              <w:t>El Saltillo</w:t>
            </w:r>
          </w:p>
        </w:tc>
      </w:tr>
      <w:tr>
        <w:trPr>
          <w:trHeight w:val="510" w:hRule="exact"/>
        </w:trPr>
        <w:tc>
          <w:tcPr>
            <w:tcW w:w="584" w:type="dxa"/>
            <w:vMerge/>
            <w:shd w:val="clear" w:color="auto" w:fill="1F487C"/>
            <w:textDirection w:val="btLr"/>
          </w:tcPr>
          <w:p>
            <w:pPr/>
          </w:p>
        </w:tc>
        <w:tc>
          <w:tcPr>
            <w:tcW w:w="1349" w:type="dxa"/>
            <w:shd w:val="clear" w:color="auto" w:fill="4F81BC"/>
          </w:tcPr>
          <w:p>
            <w:pPr>
              <w:pStyle w:val="TableParagraph"/>
              <w:spacing w:before="9"/>
              <w:ind w:left="81"/>
              <w:rPr>
                <w:b/>
                <w:sz w:val="22"/>
              </w:rPr>
            </w:pPr>
            <w:r>
              <w:rPr>
                <w:b/>
                <w:sz w:val="22"/>
              </w:rPr>
              <w:t>Timilpan</w:t>
            </w:r>
          </w:p>
        </w:tc>
        <w:tc>
          <w:tcPr>
            <w:tcW w:w="3195" w:type="dxa"/>
            <w:shd w:val="clear" w:color="auto" w:fill="4F81BC"/>
          </w:tcPr>
          <w:p>
            <w:pPr>
              <w:pStyle w:val="TableParagraph"/>
              <w:spacing w:before="12"/>
              <w:ind w:left="81"/>
              <w:rPr>
                <w:sz w:val="22"/>
              </w:rPr>
            </w:pPr>
            <w:r>
              <w:rPr>
                <w:sz w:val="22"/>
              </w:rPr>
              <w:t>San Andrés Timilpan</w:t>
            </w:r>
          </w:p>
        </w:tc>
      </w:tr>
      <w:tr>
        <w:trPr>
          <w:trHeight w:val="510" w:hRule="exact"/>
        </w:trPr>
        <w:tc>
          <w:tcPr>
            <w:tcW w:w="584" w:type="dxa"/>
            <w:vMerge/>
            <w:shd w:val="clear" w:color="auto" w:fill="1F487C"/>
            <w:textDirection w:val="btLr"/>
          </w:tcPr>
          <w:p>
            <w:pPr/>
          </w:p>
        </w:tc>
        <w:tc>
          <w:tcPr>
            <w:tcW w:w="1349" w:type="dxa"/>
            <w:shd w:val="clear" w:color="auto" w:fill="4F81BC"/>
          </w:tcPr>
          <w:p>
            <w:pPr/>
          </w:p>
        </w:tc>
        <w:tc>
          <w:tcPr>
            <w:tcW w:w="3195" w:type="dxa"/>
            <w:shd w:val="clear" w:color="auto" w:fill="4F81BC"/>
          </w:tcPr>
          <w:p>
            <w:pPr>
              <w:pStyle w:val="TableParagraph"/>
              <w:spacing w:before="13"/>
              <w:ind w:left="81"/>
              <w:rPr>
                <w:sz w:val="22"/>
              </w:rPr>
            </w:pPr>
            <w:r>
              <w:rPr>
                <w:sz w:val="22"/>
              </w:rPr>
              <w:t>Huapango</w:t>
            </w:r>
          </w:p>
        </w:tc>
      </w:tr>
      <w:tr>
        <w:trPr>
          <w:trHeight w:val="510" w:hRule="exact"/>
        </w:trPr>
        <w:tc>
          <w:tcPr>
            <w:tcW w:w="584" w:type="dxa"/>
            <w:vMerge/>
            <w:shd w:val="clear" w:color="auto" w:fill="1F487C"/>
            <w:textDirection w:val="btLr"/>
          </w:tcPr>
          <w:p>
            <w:pPr/>
          </w:p>
        </w:tc>
        <w:tc>
          <w:tcPr>
            <w:tcW w:w="1349" w:type="dxa"/>
            <w:shd w:val="clear" w:color="auto" w:fill="4F81BC"/>
          </w:tcPr>
          <w:p>
            <w:pPr/>
          </w:p>
        </w:tc>
        <w:tc>
          <w:tcPr>
            <w:tcW w:w="3195" w:type="dxa"/>
            <w:shd w:val="clear" w:color="auto" w:fill="4F81BC"/>
          </w:tcPr>
          <w:p>
            <w:pPr>
              <w:pStyle w:val="TableParagraph"/>
              <w:spacing w:before="12"/>
              <w:ind w:left="81"/>
              <w:rPr>
                <w:sz w:val="22"/>
              </w:rPr>
            </w:pPr>
            <w:r>
              <w:rPr>
                <w:sz w:val="22"/>
              </w:rPr>
              <w:t>Barrio Iturbide (La Campesina)</w:t>
            </w:r>
          </w:p>
        </w:tc>
      </w:tr>
      <w:tr>
        <w:trPr>
          <w:trHeight w:val="510" w:hRule="exact"/>
        </w:trPr>
        <w:tc>
          <w:tcPr>
            <w:tcW w:w="584" w:type="dxa"/>
            <w:vMerge w:val="restart"/>
            <w:shd w:val="clear" w:color="auto" w:fill="92CDDC"/>
            <w:textDirection w:val="btLr"/>
          </w:tcPr>
          <w:p>
            <w:pPr>
              <w:pStyle w:val="TableParagraph"/>
              <w:spacing w:before="87"/>
              <w:ind w:left="423"/>
              <w:rPr>
                <w:b/>
                <w:sz w:val="22"/>
              </w:rPr>
            </w:pPr>
            <w:r>
              <w:rPr>
                <w:b/>
                <w:spacing w:val="-2"/>
                <w:w w:val="100"/>
                <w:sz w:val="22"/>
              </w:rPr>
              <w:t>A</w:t>
            </w:r>
            <w:r>
              <w:rPr>
                <w:b/>
                <w:w w:val="100"/>
                <w:sz w:val="22"/>
              </w:rPr>
              <w:t>g</w:t>
            </w:r>
            <w:r>
              <w:rPr>
                <w:b/>
                <w:spacing w:val="-2"/>
                <w:w w:val="100"/>
                <w:sz w:val="22"/>
              </w:rPr>
              <w:t>u</w:t>
            </w:r>
            <w:r>
              <w:rPr>
                <w:b/>
                <w:w w:val="100"/>
                <w:sz w:val="22"/>
              </w:rPr>
              <w:t>as</w:t>
            </w:r>
            <w:r>
              <w:rPr>
                <w:b/>
                <w:sz w:val="22"/>
              </w:rPr>
              <w:t> </w:t>
            </w:r>
            <w:r>
              <w:rPr>
                <w:b/>
                <w:spacing w:val="-2"/>
                <w:w w:val="100"/>
                <w:sz w:val="22"/>
              </w:rPr>
              <w:t>A</w:t>
            </w:r>
            <w:r>
              <w:rPr>
                <w:b/>
                <w:w w:val="100"/>
                <w:sz w:val="22"/>
              </w:rPr>
              <w:t>b</w:t>
            </w:r>
            <w:r>
              <w:rPr>
                <w:b/>
                <w:spacing w:val="-1"/>
                <w:w w:val="100"/>
                <w:sz w:val="22"/>
              </w:rPr>
              <w:t>a</w:t>
            </w:r>
            <w:r>
              <w:rPr>
                <w:b/>
                <w:w w:val="100"/>
                <w:sz w:val="22"/>
              </w:rPr>
              <w:t>j</w:t>
            </w:r>
            <w:r>
              <w:rPr>
                <w:b/>
                <w:w w:val="100"/>
                <w:sz w:val="22"/>
              </w:rPr>
              <w:t>o</w:t>
            </w:r>
          </w:p>
        </w:tc>
        <w:tc>
          <w:tcPr>
            <w:tcW w:w="1349" w:type="dxa"/>
            <w:shd w:val="clear" w:color="auto" w:fill="00AF50"/>
          </w:tcPr>
          <w:p>
            <w:pPr>
              <w:pStyle w:val="TableParagraph"/>
              <w:spacing w:before="11"/>
              <w:ind w:left="81"/>
              <w:rPr>
                <w:b/>
                <w:sz w:val="22"/>
              </w:rPr>
            </w:pPr>
            <w:r>
              <w:rPr>
                <w:b/>
                <w:sz w:val="22"/>
              </w:rPr>
              <w:t>Aculco</w:t>
            </w:r>
          </w:p>
        </w:tc>
        <w:tc>
          <w:tcPr>
            <w:tcW w:w="3195" w:type="dxa"/>
            <w:shd w:val="clear" w:color="auto" w:fill="00AF50"/>
          </w:tcPr>
          <w:p>
            <w:pPr>
              <w:pStyle w:val="TableParagraph"/>
              <w:spacing w:before="13"/>
              <w:ind w:left="81"/>
              <w:rPr>
                <w:sz w:val="22"/>
              </w:rPr>
            </w:pPr>
            <w:r>
              <w:rPr>
                <w:sz w:val="22"/>
              </w:rPr>
              <w:t>Aculco</w:t>
            </w:r>
          </w:p>
        </w:tc>
      </w:tr>
      <w:tr>
        <w:trPr>
          <w:trHeight w:val="510" w:hRule="exact"/>
        </w:trPr>
        <w:tc>
          <w:tcPr>
            <w:tcW w:w="584" w:type="dxa"/>
            <w:vMerge/>
            <w:shd w:val="clear" w:color="auto" w:fill="92CDDC"/>
            <w:textDirection w:val="btLr"/>
          </w:tcPr>
          <w:p>
            <w:pPr/>
          </w:p>
        </w:tc>
        <w:tc>
          <w:tcPr>
            <w:tcW w:w="1349" w:type="dxa"/>
            <w:shd w:val="clear" w:color="auto" w:fill="00AF50"/>
          </w:tcPr>
          <w:p>
            <w:pPr/>
          </w:p>
        </w:tc>
        <w:tc>
          <w:tcPr>
            <w:tcW w:w="3195" w:type="dxa"/>
            <w:shd w:val="clear" w:color="auto" w:fill="00AF50"/>
          </w:tcPr>
          <w:p>
            <w:pPr>
              <w:pStyle w:val="TableParagraph"/>
              <w:spacing w:before="12"/>
              <w:ind w:left="81"/>
              <w:rPr>
                <w:sz w:val="22"/>
              </w:rPr>
            </w:pPr>
            <w:r>
              <w:rPr>
                <w:sz w:val="22"/>
              </w:rPr>
              <w:t>San Martín</w:t>
            </w:r>
          </w:p>
        </w:tc>
      </w:tr>
      <w:tr>
        <w:trPr>
          <w:trHeight w:val="510" w:hRule="exact"/>
        </w:trPr>
        <w:tc>
          <w:tcPr>
            <w:tcW w:w="584" w:type="dxa"/>
            <w:vMerge/>
            <w:shd w:val="clear" w:color="auto" w:fill="92CDDC"/>
            <w:textDirection w:val="btLr"/>
          </w:tcPr>
          <w:p>
            <w:pPr/>
          </w:p>
        </w:tc>
        <w:tc>
          <w:tcPr>
            <w:tcW w:w="1349" w:type="dxa"/>
            <w:shd w:val="clear" w:color="auto" w:fill="00AF50"/>
          </w:tcPr>
          <w:p>
            <w:pPr/>
          </w:p>
        </w:tc>
        <w:tc>
          <w:tcPr>
            <w:tcW w:w="3195" w:type="dxa"/>
            <w:shd w:val="clear" w:color="auto" w:fill="00AF50"/>
          </w:tcPr>
          <w:p>
            <w:pPr>
              <w:pStyle w:val="TableParagraph"/>
              <w:spacing w:before="13"/>
              <w:ind w:left="81"/>
              <w:rPr>
                <w:sz w:val="22"/>
              </w:rPr>
            </w:pPr>
            <w:r>
              <w:rPr>
                <w:sz w:val="22"/>
              </w:rPr>
              <w:t>El Azafrán</w:t>
            </w:r>
          </w:p>
        </w:tc>
      </w:tr>
      <w:tr>
        <w:trPr>
          <w:trHeight w:val="510" w:hRule="exact"/>
        </w:trPr>
        <w:tc>
          <w:tcPr>
            <w:tcW w:w="584" w:type="dxa"/>
            <w:vMerge/>
            <w:shd w:val="clear" w:color="auto" w:fill="92CDDC"/>
            <w:textDirection w:val="btLr"/>
          </w:tcPr>
          <w:p>
            <w:pPr/>
          </w:p>
        </w:tc>
        <w:tc>
          <w:tcPr>
            <w:tcW w:w="1349" w:type="dxa"/>
            <w:shd w:val="clear" w:color="auto" w:fill="F79546"/>
          </w:tcPr>
          <w:p>
            <w:pPr>
              <w:pStyle w:val="TableParagraph"/>
              <w:spacing w:before="9"/>
              <w:ind w:left="81"/>
              <w:rPr>
                <w:b/>
                <w:sz w:val="22"/>
              </w:rPr>
            </w:pPr>
            <w:r>
              <w:rPr>
                <w:b/>
                <w:sz w:val="22"/>
              </w:rPr>
              <w:t>Polotitlán</w:t>
            </w:r>
          </w:p>
        </w:tc>
        <w:tc>
          <w:tcPr>
            <w:tcW w:w="3195" w:type="dxa"/>
            <w:shd w:val="clear" w:color="auto" w:fill="F79546"/>
          </w:tcPr>
          <w:p>
            <w:pPr>
              <w:pStyle w:val="TableParagraph"/>
              <w:spacing w:before="12"/>
              <w:ind w:left="81"/>
              <w:rPr>
                <w:sz w:val="22"/>
              </w:rPr>
            </w:pPr>
            <w:r>
              <w:rPr>
                <w:sz w:val="22"/>
              </w:rPr>
              <w:t>Polotitlán</w:t>
            </w:r>
          </w:p>
        </w:tc>
      </w:tr>
      <w:tr>
        <w:trPr>
          <w:trHeight w:val="510" w:hRule="exact"/>
        </w:trPr>
        <w:tc>
          <w:tcPr>
            <w:tcW w:w="584" w:type="dxa"/>
            <w:vMerge/>
            <w:shd w:val="clear" w:color="auto" w:fill="92CDDC"/>
            <w:textDirection w:val="btLr"/>
          </w:tcPr>
          <w:p>
            <w:pPr/>
          </w:p>
        </w:tc>
        <w:tc>
          <w:tcPr>
            <w:tcW w:w="1349" w:type="dxa"/>
            <w:shd w:val="clear" w:color="auto" w:fill="F79546"/>
          </w:tcPr>
          <w:p>
            <w:pPr/>
          </w:p>
        </w:tc>
        <w:tc>
          <w:tcPr>
            <w:tcW w:w="3195" w:type="dxa"/>
            <w:shd w:val="clear" w:color="auto" w:fill="F79546"/>
          </w:tcPr>
          <w:p>
            <w:pPr>
              <w:pStyle w:val="TableParagraph"/>
              <w:spacing w:before="13"/>
              <w:ind w:left="81"/>
              <w:rPr>
                <w:sz w:val="22"/>
              </w:rPr>
            </w:pPr>
            <w:r>
              <w:rPr>
                <w:sz w:val="22"/>
              </w:rPr>
              <w:t>Ruano</w:t>
            </w:r>
          </w:p>
        </w:tc>
      </w:tr>
      <w:tr>
        <w:trPr>
          <w:trHeight w:val="510" w:hRule="exact"/>
        </w:trPr>
        <w:tc>
          <w:tcPr>
            <w:tcW w:w="584" w:type="dxa"/>
            <w:vMerge/>
            <w:shd w:val="clear" w:color="auto" w:fill="92CDDC"/>
            <w:textDirection w:val="btLr"/>
          </w:tcPr>
          <w:p>
            <w:pPr/>
          </w:p>
        </w:tc>
        <w:tc>
          <w:tcPr>
            <w:tcW w:w="1349" w:type="dxa"/>
            <w:shd w:val="clear" w:color="auto" w:fill="F79546"/>
          </w:tcPr>
          <w:p>
            <w:pPr/>
          </w:p>
        </w:tc>
        <w:tc>
          <w:tcPr>
            <w:tcW w:w="3195" w:type="dxa"/>
            <w:shd w:val="clear" w:color="auto" w:fill="F79546"/>
          </w:tcPr>
          <w:p>
            <w:pPr>
              <w:pStyle w:val="TableParagraph"/>
              <w:spacing w:before="12"/>
              <w:ind w:left="81"/>
              <w:rPr>
                <w:sz w:val="22"/>
              </w:rPr>
            </w:pPr>
            <w:r>
              <w:rPr>
                <w:sz w:val="22"/>
              </w:rPr>
              <w:t>Encinillas</w:t>
            </w:r>
          </w:p>
        </w:tc>
      </w:tr>
    </w:tbl>
    <w:p>
      <w:pPr>
        <w:pStyle w:val="BodyText"/>
        <w:spacing w:line="249" w:lineRule="exact"/>
        <w:ind w:left="102"/>
        <w:jc w:val="both"/>
      </w:pPr>
      <w:r>
        <w:rPr>
          <w:b/>
        </w:rPr>
        <w:t>Fuente: </w:t>
      </w:r>
      <w:r>
        <w:rPr/>
        <w:t>Elaboración propia con base en el trabajo de campo, García (2013-2015).</w:t>
      </w:r>
    </w:p>
    <w:p>
      <w:pPr>
        <w:pStyle w:val="BodyText"/>
        <w:spacing w:before="5"/>
        <w:rPr>
          <w:sz w:val="28"/>
        </w:rPr>
      </w:pPr>
    </w:p>
    <w:p>
      <w:pPr>
        <w:pStyle w:val="BodyText"/>
        <w:spacing w:line="360" w:lineRule="auto" w:before="1"/>
        <w:ind w:left="102" w:right="115"/>
        <w:jc w:val="both"/>
      </w:pPr>
      <w:r>
        <w:rPr/>
        <w:t>El trabajo de campo transversal que se realizó durante la investigación (como lo establece la metodología GIRH), consistió en las entrevistas abiertas y directas (ver anexo 2) a grupos de actores ya establecidos (ejidatarios; autoridades auxiliares: Comisariados Ejidales y Delegado; Asociaciones Civiles; Cooperativas Ganaderas; de Pescadores; Representantes de los Ayuntamientos de los municipios integrantes de la cuenca Hidrososcial de la presa Huapango y Directores de Área; funcionarios de la Conagua y al presidente de la Asociación de Usuarios del Sistema de Riego Huapango Arroyo Zarco, México, S.A)., Además se asistió a eventos socioculturales en los que participa toda la región,  como son  las fiestas  patronales,  mercados,  cabalgatas,  etc,  que  tienen  como</w:t>
      </w:r>
    </w:p>
    <w:p>
      <w:pPr>
        <w:spacing w:after="0" w:line="360" w:lineRule="auto"/>
        <w:jc w:val="both"/>
        <w:sectPr>
          <w:footerReference w:type="default" r:id="rId109"/>
          <w:pgSz w:w="12240" w:h="15840"/>
          <w:pgMar w:footer="1003" w:header="0" w:top="1360" w:bottom="1200" w:left="1600" w:right="1580"/>
          <w:pgNumType w:start="12"/>
        </w:sectPr>
      </w:pPr>
    </w:p>
    <w:p>
      <w:pPr>
        <w:pStyle w:val="BodyText"/>
        <w:spacing w:line="360" w:lineRule="auto" w:before="56"/>
        <w:ind w:left="102" w:right="114"/>
        <w:jc w:val="both"/>
      </w:pPr>
      <w:r>
        <w:rPr/>
        <w:t>función, integrar socialmente a los actores de la presa Huapango; con lo cual se generan relaciones que ayudan a solucionar conflictos entre actores.</w:t>
      </w:r>
    </w:p>
    <w:p>
      <w:pPr>
        <w:pStyle w:val="BodyText"/>
        <w:spacing w:before="7"/>
        <w:rPr>
          <w:sz w:val="17"/>
        </w:rPr>
      </w:pPr>
    </w:p>
    <w:p>
      <w:pPr>
        <w:pStyle w:val="BodyText"/>
        <w:spacing w:line="360" w:lineRule="auto"/>
        <w:ind w:left="102" w:right="114"/>
        <w:jc w:val="both"/>
      </w:pPr>
      <w:r>
        <w:rPr/>
        <w:t>Los grupos de actores tienen la ventaja de conocer su estructura social y que a partir de ella, se proponen soluciones que evitan conflictos, o que los disminuyen. Esta  metodología se optó en lugar de la propuesta por la </w:t>
      </w:r>
      <w:r>
        <w:rPr>
          <w:i/>
        </w:rPr>
        <w:t>Guía de Planeación Estratégica </w:t>
      </w:r>
      <w:r>
        <w:rPr>
          <w:i/>
        </w:rPr>
        <w:t>Participativa (Díaz et. al. 2012)</w:t>
      </w:r>
      <w:r>
        <w:rPr/>
        <w:t>, donde se pide la formación de talleres de trabajo, ya que cuando se trató de aplicarla en Timilpan y luego en Polotitlán, se detectó que la participación fue muy sesgada, debido a que los actores que detentan mayor poder, negaron su participación en el taller de manera recurrente (Municipales y Federales, así como</w:t>
      </w:r>
      <w:r>
        <w:rPr>
          <w:spacing w:val="-3"/>
        </w:rPr>
        <w:t> </w:t>
      </w:r>
      <w:r>
        <w:rPr/>
        <w:t>empresarios).</w:t>
      </w:r>
    </w:p>
    <w:p>
      <w:pPr>
        <w:pStyle w:val="BodyText"/>
        <w:spacing w:before="9"/>
        <w:rPr>
          <w:sz w:val="17"/>
        </w:rPr>
      </w:pPr>
    </w:p>
    <w:p>
      <w:pPr>
        <w:pStyle w:val="BodyText"/>
        <w:spacing w:line="360" w:lineRule="auto"/>
        <w:ind w:left="102" w:right="115"/>
        <w:jc w:val="both"/>
      </w:pPr>
      <w:r>
        <w:rPr/>
        <w:t>Se realizaron un total de 77 entrevistas a los grupos de actores ya establecido (históricos) y a los actores gubernamentales:</w:t>
      </w:r>
    </w:p>
    <w:p>
      <w:pPr>
        <w:pStyle w:val="BodyText"/>
        <w:spacing w:before="4"/>
        <w:rPr>
          <w:sz w:val="17"/>
        </w:rPr>
      </w:pPr>
    </w:p>
    <w:p>
      <w:pPr>
        <w:pStyle w:val="Heading6"/>
        <w:ind w:left="1138"/>
      </w:pPr>
      <w:r>
        <w:rPr/>
        <w:t>Tabla 3.3. Número de entrevistas realizadas en trabajo de campo</w:t>
      </w:r>
    </w:p>
    <w:p>
      <w:pPr>
        <w:pStyle w:val="BodyText"/>
        <w:spacing w:before="10"/>
        <w:rPr>
          <w:b/>
          <w:sz w:val="28"/>
        </w:rPr>
      </w:pPr>
    </w:p>
    <w:tbl>
      <w:tblPr>
        <w:tblW w:w="0" w:type="auto"/>
        <w:jc w:val="left"/>
        <w:tblInd w:w="19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241"/>
        <w:gridCol w:w="1980"/>
      </w:tblGrid>
      <w:tr>
        <w:trPr>
          <w:trHeight w:val="612" w:hRule="exact"/>
        </w:trPr>
        <w:tc>
          <w:tcPr>
            <w:tcW w:w="5221" w:type="dxa"/>
            <w:gridSpan w:val="2"/>
            <w:shd w:val="clear" w:color="auto" w:fill="BEBEBE"/>
          </w:tcPr>
          <w:p>
            <w:pPr>
              <w:pStyle w:val="TableParagraph"/>
              <w:spacing w:before="7"/>
              <w:ind w:left="1328" w:right="1328"/>
              <w:jc w:val="center"/>
              <w:rPr>
                <w:b/>
                <w:sz w:val="22"/>
              </w:rPr>
            </w:pPr>
            <w:r>
              <w:rPr>
                <w:b/>
                <w:sz w:val="22"/>
              </w:rPr>
              <w:t>ACTORES HISTÓRICOS</w:t>
            </w:r>
          </w:p>
          <w:p>
            <w:pPr>
              <w:pStyle w:val="TableParagraph"/>
              <w:spacing w:before="40"/>
              <w:ind w:left="1327" w:right="1328"/>
              <w:jc w:val="center"/>
              <w:rPr>
                <w:sz w:val="22"/>
              </w:rPr>
            </w:pPr>
            <w:r>
              <w:rPr>
                <w:sz w:val="22"/>
              </w:rPr>
              <w:t>(Multiactores)</w:t>
            </w:r>
          </w:p>
        </w:tc>
      </w:tr>
      <w:tr>
        <w:trPr>
          <w:trHeight w:val="617" w:hRule="exact"/>
        </w:trPr>
        <w:tc>
          <w:tcPr>
            <w:tcW w:w="3241" w:type="dxa"/>
            <w:tcBorders>
              <w:bottom w:val="single" w:sz="8" w:space="0" w:color="000000"/>
            </w:tcBorders>
          </w:tcPr>
          <w:p>
            <w:pPr>
              <w:pStyle w:val="TableParagraph"/>
              <w:spacing w:line="276" w:lineRule="auto" w:before="14"/>
              <w:ind w:left="367" w:right="352" w:firstLine="24"/>
              <w:rPr>
                <w:sz w:val="22"/>
              </w:rPr>
            </w:pPr>
            <w:r>
              <w:rPr>
                <w:sz w:val="22"/>
              </w:rPr>
              <w:t>Pescadores, Ganaderos, Industria Láctea, Turismo</w:t>
            </w:r>
          </w:p>
        </w:tc>
        <w:tc>
          <w:tcPr>
            <w:tcW w:w="1980" w:type="dxa"/>
            <w:tcBorders>
              <w:bottom w:val="single" w:sz="8" w:space="0" w:color="000000"/>
            </w:tcBorders>
          </w:tcPr>
          <w:p>
            <w:pPr>
              <w:pStyle w:val="TableParagraph"/>
              <w:spacing w:before="14"/>
              <w:ind w:left="838" w:right="838"/>
              <w:jc w:val="center"/>
              <w:rPr>
                <w:sz w:val="22"/>
              </w:rPr>
            </w:pPr>
            <w:r>
              <w:rPr>
                <w:sz w:val="22"/>
              </w:rPr>
              <w:t>25</w:t>
            </w:r>
          </w:p>
        </w:tc>
      </w:tr>
      <w:tr>
        <w:trPr>
          <w:trHeight w:val="910" w:hRule="exact"/>
        </w:trPr>
        <w:tc>
          <w:tcPr>
            <w:tcW w:w="3241" w:type="dxa"/>
            <w:tcBorders>
              <w:top w:val="single" w:sz="8" w:space="0" w:color="000000"/>
            </w:tcBorders>
          </w:tcPr>
          <w:p>
            <w:pPr>
              <w:pStyle w:val="TableParagraph"/>
              <w:spacing w:line="276" w:lineRule="auto" w:before="14"/>
              <w:ind w:left="399" w:right="398" w:hanging="4"/>
              <w:jc w:val="center"/>
              <w:rPr>
                <w:sz w:val="22"/>
              </w:rPr>
            </w:pPr>
            <w:r>
              <w:rPr>
                <w:sz w:val="22"/>
              </w:rPr>
              <w:t>Autoridades Auxiliares (Comisariados Ejidales y Delegados Municipales)</w:t>
            </w:r>
          </w:p>
        </w:tc>
        <w:tc>
          <w:tcPr>
            <w:tcW w:w="1980" w:type="dxa"/>
            <w:tcBorders>
              <w:top w:val="single" w:sz="8" w:space="0" w:color="000000"/>
            </w:tcBorders>
          </w:tcPr>
          <w:p>
            <w:pPr>
              <w:pStyle w:val="TableParagraph"/>
              <w:spacing w:before="14"/>
              <w:ind w:left="838" w:right="838"/>
              <w:jc w:val="center"/>
              <w:rPr>
                <w:sz w:val="22"/>
              </w:rPr>
            </w:pPr>
            <w:r>
              <w:rPr>
                <w:sz w:val="22"/>
              </w:rPr>
              <w:t>22</w:t>
            </w:r>
          </w:p>
        </w:tc>
      </w:tr>
      <w:tr>
        <w:trPr>
          <w:trHeight w:val="521" w:hRule="exact"/>
        </w:trPr>
        <w:tc>
          <w:tcPr>
            <w:tcW w:w="3241" w:type="dxa"/>
          </w:tcPr>
          <w:p>
            <w:pPr>
              <w:pStyle w:val="TableParagraph"/>
              <w:spacing w:before="9"/>
              <w:ind w:left="654" w:right="655"/>
              <w:jc w:val="center"/>
              <w:rPr>
                <w:b/>
                <w:sz w:val="22"/>
              </w:rPr>
            </w:pPr>
            <w:r>
              <w:rPr>
                <w:b/>
                <w:sz w:val="22"/>
              </w:rPr>
              <w:t>Total</w:t>
            </w:r>
          </w:p>
        </w:tc>
        <w:tc>
          <w:tcPr>
            <w:tcW w:w="1980" w:type="dxa"/>
          </w:tcPr>
          <w:p>
            <w:pPr>
              <w:pStyle w:val="TableParagraph"/>
              <w:spacing w:before="9"/>
              <w:ind w:left="838" w:right="838"/>
              <w:jc w:val="center"/>
              <w:rPr>
                <w:b/>
                <w:sz w:val="22"/>
              </w:rPr>
            </w:pPr>
            <w:r>
              <w:rPr>
                <w:b/>
                <w:sz w:val="22"/>
              </w:rPr>
              <w:t>47</w:t>
            </w:r>
          </w:p>
        </w:tc>
      </w:tr>
      <w:tr>
        <w:trPr>
          <w:trHeight w:val="518" w:hRule="exact"/>
        </w:trPr>
        <w:tc>
          <w:tcPr>
            <w:tcW w:w="5221" w:type="dxa"/>
            <w:gridSpan w:val="2"/>
            <w:shd w:val="clear" w:color="auto" w:fill="BEBEBE"/>
          </w:tcPr>
          <w:p>
            <w:pPr>
              <w:pStyle w:val="TableParagraph"/>
              <w:spacing w:before="7"/>
              <w:ind w:left="869"/>
              <w:rPr>
                <w:b/>
                <w:sz w:val="22"/>
              </w:rPr>
            </w:pPr>
            <w:r>
              <w:rPr>
                <w:b/>
                <w:sz w:val="22"/>
              </w:rPr>
              <w:t>ACTORES GUBERNAMENTALES</w:t>
            </w:r>
          </w:p>
        </w:tc>
      </w:tr>
      <w:tr>
        <w:trPr>
          <w:trHeight w:val="523" w:hRule="exact"/>
        </w:trPr>
        <w:tc>
          <w:tcPr>
            <w:tcW w:w="3241" w:type="dxa"/>
          </w:tcPr>
          <w:p>
            <w:pPr>
              <w:pStyle w:val="TableParagraph"/>
              <w:spacing w:before="14"/>
              <w:ind w:left="654" w:right="654"/>
              <w:jc w:val="center"/>
              <w:rPr>
                <w:sz w:val="22"/>
              </w:rPr>
            </w:pPr>
            <w:r>
              <w:rPr>
                <w:sz w:val="22"/>
              </w:rPr>
              <w:t>Municipales</w:t>
            </w:r>
          </w:p>
        </w:tc>
        <w:tc>
          <w:tcPr>
            <w:tcW w:w="1980" w:type="dxa"/>
          </w:tcPr>
          <w:p>
            <w:pPr>
              <w:pStyle w:val="TableParagraph"/>
              <w:spacing w:before="14"/>
              <w:ind w:left="838" w:right="838"/>
              <w:jc w:val="center"/>
              <w:rPr>
                <w:sz w:val="22"/>
              </w:rPr>
            </w:pPr>
            <w:r>
              <w:rPr>
                <w:sz w:val="22"/>
              </w:rPr>
              <w:t>27</w:t>
            </w:r>
          </w:p>
        </w:tc>
      </w:tr>
      <w:tr>
        <w:trPr>
          <w:trHeight w:val="521" w:hRule="exact"/>
        </w:trPr>
        <w:tc>
          <w:tcPr>
            <w:tcW w:w="3241" w:type="dxa"/>
          </w:tcPr>
          <w:p>
            <w:pPr>
              <w:pStyle w:val="TableParagraph"/>
              <w:spacing w:before="12"/>
              <w:ind w:left="654" w:right="656"/>
              <w:jc w:val="center"/>
              <w:rPr>
                <w:sz w:val="22"/>
              </w:rPr>
            </w:pPr>
            <w:r>
              <w:rPr>
                <w:sz w:val="22"/>
              </w:rPr>
              <w:t>Federales</w:t>
            </w:r>
          </w:p>
        </w:tc>
        <w:tc>
          <w:tcPr>
            <w:tcW w:w="1980" w:type="dxa"/>
          </w:tcPr>
          <w:p>
            <w:pPr>
              <w:pStyle w:val="TableParagraph"/>
              <w:spacing w:before="12"/>
              <w:ind w:left="0"/>
              <w:jc w:val="center"/>
              <w:rPr>
                <w:sz w:val="22"/>
              </w:rPr>
            </w:pPr>
            <w:r>
              <w:rPr>
                <w:w w:val="100"/>
                <w:sz w:val="22"/>
              </w:rPr>
              <w:t>3</w:t>
            </w:r>
          </w:p>
        </w:tc>
      </w:tr>
      <w:tr>
        <w:trPr>
          <w:trHeight w:val="525" w:hRule="exact"/>
        </w:trPr>
        <w:tc>
          <w:tcPr>
            <w:tcW w:w="3241" w:type="dxa"/>
          </w:tcPr>
          <w:p>
            <w:pPr>
              <w:pStyle w:val="TableParagraph"/>
              <w:spacing w:before="12"/>
              <w:ind w:left="654" w:right="655"/>
              <w:jc w:val="center"/>
              <w:rPr>
                <w:b/>
                <w:sz w:val="22"/>
              </w:rPr>
            </w:pPr>
            <w:r>
              <w:rPr>
                <w:b/>
                <w:sz w:val="22"/>
              </w:rPr>
              <w:t>Total</w:t>
            </w:r>
          </w:p>
        </w:tc>
        <w:tc>
          <w:tcPr>
            <w:tcW w:w="1980" w:type="dxa"/>
          </w:tcPr>
          <w:p>
            <w:pPr>
              <w:pStyle w:val="TableParagraph"/>
              <w:spacing w:before="12"/>
              <w:ind w:left="838" w:right="838"/>
              <w:jc w:val="center"/>
              <w:rPr>
                <w:b/>
                <w:sz w:val="22"/>
              </w:rPr>
            </w:pPr>
            <w:r>
              <w:rPr>
                <w:b/>
                <w:sz w:val="22"/>
              </w:rPr>
              <w:t>30</w:t>
            </w:r>
          </w:p>
        </w:tc>
      </w:tr>
      <w:tr>
        <w:trPr>
          <w:trHeight w:val="521" w:hRule="exact"/>
        </w:trPr>
        <w:tc>
          <w:tcPr>
            <w:tcW w:w="3241" w:type="dxa"/>
            <w:shd w:val="clear" w:color="auto" w:fill="BEBEBE"/>
          </w:tcPr>
          <w:p>
            <w:pPr>
              <w:pStyle w:val="TableParagraph"/>
              <w:spacing w:before="8"/>
              <w:ind w:left="654" w:right="656"/>
              <w:jc w:val="center"/>
              <w:rPr>
                <w:b/>
                <w:sz w:val="22"/>
              </w:rPr>
            </w:pPr>
            <w:r>
              <w:rPr>
                <w:b/>
                <w:sz w:val="22"/>
              </w:rPr>
              <w:t>TOTAL GENERAL</w:t>
            </w:r>
          </w:p>
        </w:tc>
        <w:tc>
          <w:tcPr>
            <w:tcW w:w="1980" w:type="dxa"/>
            <w:shd w:val="clear" w:color="auto" w:fill="BEBEBE"/>
          </w:tcPr>
          <w:p>
            <w:pPr>
              <w:pStyle w:val="TableParagraph"/>
              <w:spacing w:before="8"/>
              <w:ind w:left="838" w:right="838"/>
              <w:jc w:val="center"/>
              <w:rPr>
                <w:b/>
                <w:sz w:val="22"/>
              </w:rPr>
            </w:pPr>
            <w:r>
              <w:rPr>
                <w:b/>
                <w:sz w:val="22"/>
              </w:rPr>
              <w:t>77</w:t>
            </w:r>
          </w:p>
        </w:tc>
      </w:tr>
    </w:tbl>
    <w:p>
      <w:pPr>
        <w:pStyle w:val="BodyText"/>
        <w:spacing w:before="6"/>
        <w:rPr>
          <w:b/>
          <w:sz w:val="17"/>
        </w:rPr>
      </w:pPr>
    </w:p>
    <w:p>
      <w:pPr>
        <w:pStyle w:val="BodyText"/>
        <w:spacing w:before="73"/>
        <w:ind w:left="102"/>
        <w:jc w:val="both"/>
      </w:pPr>
      <w:r>
        <w:rPr>
          <w:b/>
        </w:rPr>
        <w:t>Fuente: </w:t>
      </w:r>
      <w:r>
        <w:rPr/>
        <w:t>Elaboración propia con base en el trabajo de campo, García (2013- 2015).</w:t>
      </w:r>
    </w:p>
    <w:p>
      <w:pPr>
        <w:pStyle w:val="BodyText"/>
      </w:pPr>
    </w:p>
    <w:p>
      <w:pPr>
        <w:pStyle w:val="BodyText"/>
        <w:spacing w:line="360" w:lineRule="auto" w:before="156"/>
        <w:ind w:left="102" w:right="115"/>
        <w:jc w:val="both"/>
      </w:pPr>
      <w:r>
        <w:rPr/>
        <w:t>Las respuestas de dichas entrevistas (ver anexo 2) permitieron analizar la problemática de la cuenca hidrosocial por principios de gobernanza y gobernabilidad, señalados en las consideraciones  teóricas,  por  grupo  de  actores,  y  por  AEPA  para  la  generación  del</w:t>
      </w:r>
    </w:p>
    <w:p>
      <w:pPr>
        <w:spacing w:after="0" w:line="360" w:lineRule="auto"/>
        <w:jc w:val="both"/>
        <w:sectPr>
          <w:footerReference w:type="default" r:id="rId110"/>
          <w:pgSz w:w="12240" w:h="15840"/>
          <w:pgMar w:footer="1003" w:header="0" w:top="1360" w:bottom="1200" w:left="1600" w:right="1580"/>
          <w:pgNumType w:start="121"/>
        </w:sectPr>
      </w:pPr>
    </w:p>
    <w:p>
      <w:pPr>
        <w:pStyle w:val="BodyText"/>
        <w:spacing w:line="360" w:lineRule="auto" w:before="56"/>
        <w:ind w:left="102" w:right="116"/>
        <w:jc w:val="both"/>
      </w:pPr>
      <w:r>
        <w:rPr/>
        <w:t>sistema PEIR e identificar los factores críticos de éxito, que junto con el trabajo de campo fueron utilizados para realizar la propuesta de un Comité Intermunicipal con su Reglamento. Esta metodología se aplicó al caso de estudio que se describe en nuestro siguiente apartado: La Cuenca Hidrosocial Presa Huapango.</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60" w:lineRule="auto" w:before="196"/>
        <w:ind w:left="694" w:right="840" w:firstLine="2"/>
        <w:jc w:val="center"/>
      </w:pPr>
      <w:r>
        <w:rPr/>
        <w:t>APLICACIÓN Y RESULTADOS DEL ESTUDIO DE CASO: CUENCA HIDROSOCIAL PRESA</w:t>
      </w:r>
      <w:r>
        <w:rPr>
          <w:spacing w:val="-10"/>
        </w:rPr>
        <w:t> </w:t>
      </w:r>
      <w:r>
        <w:rPr/>
        <w:t>HUAPANGO</w:t>
      </w:r>
    </w:p>
    <w:p>
      <w:pPr>
        <w:spacing w:after="0" w:line="360" w:lineRule="auto"/>
        <w:jc w:val="center"/>
        <w:sectPr>
          <w:pgSz w:w="12240" w:h="15840"/>
          <w:pgMar w:header="0" w:footer="1003" w:top="1500" w:bottom="1200" w:left="1720" w:right="1580"/>
        </w:sectPr>
      </w:pPr>
    </w:p>
    <w:p>
      <w:pPr>
        <w:pStyle w:val="Heading6"/>
        <w:numPr>
          <w:ilvl w:val="0"/>
          <w:numId w:val="17"/>
        </w:numPr>
        <w:tabs>
          <w:tab w:pos="446" w:val="left" w:leader="none"/>
        </w:tabs>
        <w:spacing w:line="360" w:lineRule="auto" w:before="53" w:after="0"/>
        <w:ind w:left="102" w:right="125" w:firstLine="0"/>
        <w:jc w:val="both"/>
      </w:pPr>
      <w:r>
        <w:rPr/>
        <w:t>APLICACIÓN Y RESULTADOS DEL ESTUDIO DE CASO: CUENCA HIDROSOCIAL PRESA</w:t>
      </w:r>
      <w:r>
        <w:rPr>
          <w:spacing w:val="-9"/>
        </w:rPr>
        <w:t> </w:t>
      </w:r>
      <w:r>
        <w:rPr/>
        <w:t>HUAPANGO</w:t>
      </w:r>
    </w:p>
    <w:p>
      <w:pPr>
        <w:pStyle w:val="BodyText"/>
        <w:spacing w:before="9"/>
        <w:rPr>
          <w:b/>
          <w:sz w:val="17"/>
        </w:rPr>
      </w:pPr>
    </w:p>
    <w:p>
      <w:pPr>
        <w:pStyle w:val="BodyText"/>
        <w:spacing w:line="360" w:lineRule="auto"/>
        <w:ind w:left="102" w:right="114"/>
        <w:jc w:val="both"/>
      </w:pPr>
      <w:r>
        <w:rPr/>
        <w:t>En este apartado se describe la región de estudio y la construcción del sistema socio cultural (histórico, agrario, hídrico) de la región, para entender la conformación de los grupos sociales en la Cuenca Hidrosocial Presa Huapango, donde el ejido como  estructura social de grupos, aparece con identidad y organización social histórica, lo cual permite identificar a grupos sociales (para la GIRH) y concibe la operatividad de los conceptos que permiten detectar una identidad e historia</w:t>
      </w:r>
      <w:r>
        <w:rPr>
          <w:spacing w:val="-13"/>
        </w:rPr>
        <w:t> </w:t>
      </w:r>
      <w:r>
        <w:rPr/>
        <w:t>común.</w:t>
      </w:r>
    </w:p>
    <w:p>
      <w:pPr>
        <w:pStyle w:val="BodyText"/>
        <w:spacing w:before="5"/>
        <w:rPr>
          <w:sz w:val="17"/>
        </w:rPr>
      </w:pPr>
    </w:p>
    <w:p>
      <w:pPr>
        <w:pStyle w:val="Heading6"/>
        <w:numPr>
          <w:ilvl w:val="1"/>
          <w:numId w:val="37"/>
        </w:numPr>
        <w:tabs>
          <w:tab w:pos="532" w:val="left" w:leader="none"/>
        </w:tabs>
        <w:spacing w:line="240" w:lineRule="auto" w:before="0" w:after="0"/>
        <w:ind w:left="102" w:right="0" w:firstLine="0"/>
        <w:jc w:val="both"/>
      </w:pPr>
      <w:bookmarkStart w:name="_TOC_250037" w:id="36"/>
      <w:r>
        <w:rPr/>
        <w:t>Delimitación del área de estudio: Cuenca Hidrosocial Presa</w:t>
      </w:r>
      <w:r>
        <w:rPr>
          <w:spacing w:val="-20"/>
        </w:rPr>
        <w:t> </w:t>
      </w:r>
      <w:bookmarkEnd w:id="36"/>
      <w:r>
        <w:rPr/>
        <w:t>Huapango</w:t>
      </w:r>
    </w:p>
    <w:p>
      <w:pPr>
        <w:pStyle w:val="BodyText"/>
        <w:rPr>
          <w:b/>
        </w:rPr>
      </w:pPr>
    </w:p>
    <w:p>
      <w:pPr>
        <w:pStyle w:val="BodyText"/>
        <w:spacing w:line="357" w:lineRule="auto" w:before="156"/>
        <w:ind w:left="102" w:right="117"/>
        <w:jc w:val="both"/>
      </w:pPr>
      <w:r>
        <w:rPr/>
        <w:t>La región de estudio se delimitó mediante el concepto de cuenca hidrosocial que está principalmente orientado a:</w:t>
      </w:r>
    </w:p>
    <w:p>
      <w:pPr>
        <w:pStyle w:val="BodyText"/>
        <w:spacing w:before="1"/>
        <w:rPr>
          <w:sz w:val="25"/>
        </w:rPr>
      </w:pPr>
    </w:p>
    <w:p>
      <w:pPr>
        <w:pStyle w:val="ListParagraph"/>
        <w:numPr>
          <w:ilvl w:val="2"/>
          <w:numId w:val="37"/>
        </w:numPr>
        <w:tabs>
          <w:tab w:pos="882" w:val="left" w:leader="none"/>
        </w:tabs>
        <w:spacing w:line="357" w:lineRule="auto" w:before="0" w:after="0"/>
        <w:ind w:left="882" w:right="118" w:hanging="360"/>
        <w:jc w:val="both"/>
        <w:rPr>
          <w:sz w:val="22"/>
        </w:rPr>
      </w:pPr>
      <w:r>
        <w:rPr>
          <w:sz w:val="22"/>
        </w:rPr>
        <w:t>La definición clara del ámbito geográfico de influencia de la gestión y uso del agua en el ámbito de cuencas hidrográficas, considerando los trasvases de agua y las áreas de influencia inmediatas de la cuenca hidrográfica, no sólo en términos hídricos sino políticos y</w:t>
      </w:r>
      <w:r>
        <w:rPr>
          <w:spacing w:val="-8"/>
          <w:sz w:val="22"/>
        </w:rPr>
        <w:t> </w:t>
      </w:r>
      <w:r>
        <w:rPr>
          <w:sz w:val="22"/>
        </w:rPr>
        <w:t>sociales.</w:t>
      </w:r>
    </w:p>
    <w:p>
      <w:pPr>
        <w:pStyle w:val="ListParagraph"/>
        <w:numPr>
          <w:ilvl w:val="2"/>
          <w:numId w:val="37"/>
        </w:numPr>
        <w:tabs>
          <w:tab w:pos="882" w:val="left" w:leader="none"/>
        </w:tabs>
        <w:spacing w:line="357" w:lineRule="auto" w:before="5" w:after="0"/>
        <w:ind w:left="882" w:right="119" w:hanging="360"/>
        <w:jc w:val="both"/>
        <w:rPr>
          <w:sz w:val="22"/>
        </w:rPr>
      </w:pPr>
      <w:r>
        <w:rPr>
          <w:sz w:val="22"/>
        </w:rPr>
        <w:t>A partir de la definición de éste ámbito geográfico así como de la visualización de las relaciones de (inter) dependencia (hídricas y sociales), entre usuarios de agua arriba y aguas abajo, el concepto permite analizar las históricas relaciones hidrosociales, así como las proyecciones futuras y sus implicaciones sobre la gestión del agua, su disponibilidad y sus usos</w:t>
      </w:r>
      <w:r>
        <w:rPr>
          <w:spacing w:val="-16"/>
          <w:sz w:val="22"/>
        </w:rPr>
        <w:t> </w:t>
      </w:r>
      <w:r>
        <w:rPr>
          <w:sz w:val="22"/>
        </w:rPr>
        <w:t>potenciales.</w:t>
      </w:r>
    </w:p>
    <w:p>
      <w:pPr>
        <w:pStyle w:val="ListParagraph"/>
        <w:numPr>
          <w:ilvl w:val="2"/>
          <w:numId w:val="37"/>
        </w:numPr>
        <w:tabs>
          <w:tab w:pos="882" w:val="left" w:leader="none"/>
        </w:tabs>
        <w:spacing w:line="357" w:lineRule="auto" w:before="5" w:after="0"/>
        <w:ind w:left="882" w:right="116" w:hanging="360"/>
        <w:jc w:val="both"/>
        <w:rPr>
          <w:sz w:val="22"/>
        </w:rPr>
      </w:pPr>
      <w:r>
        <w:rPr>
          <w:sz w:val="22"/>
        </w:rPr>
        <w:t>Al estar incorporados en la “cuenca hidrosocial” los actores, sus espacios territoriales y jurisdiccionales, el concepto se convierte en una poderosa herramienta de análisis como de negociación, ya que permite visualizar más claramente los problemas críticos, sus causas y sus efectos, facilitando la toma de decisiones sobre determinadas acciones concretas (como lo es nuestro caso de estudio: la cuenca de la presa Huapango, que se describe más</w:t>
      </w:r>
      <w:r>
        <w:rPr>
          <w:spacing w:val="-17"/>
          <w:sz w:val="22"/>
        </w:rPr>
        <w:t> </w:t>
      </w:r>
      <w:r>
        <w:rPr>
          <w:sz w:val="22"/>
        </w:rPr>
        <w:t>adelante).</w:t>
      </w:r>
    </w:p>
    <w:p>
      <w:pPr>
        <w:pStyle w:val="ListParagraph"/>
        <w:numPr>
          <w:ilvl w:val="2"/>
          <w:numId w:val="37"/>
        </w:numPr>
        <w:tabs>
          <w:tab w:pos="882" w:val="left" w:leader="none"/>
        </w:tabs>
        <w:spacing w:line="357" w:lineRule="auto" w:before="5" w:after="0"/>
        <w:ind w:left="882" w:right="118" w:hanging="360"/>
        <w:jc w:val="both"/>
        <w:rPr>
          <w:sz w:val="22"/>
        </w:rPr>
      </w:pPr>
      <w:r>
        <w:rPr>
          <w:sz w:val="22"/>
        </w:rPr>
        <w:t>El concepto de cuenca hidrosocial permite generar una visión más integral del espacio en el cual se pretende planificar, intervenir, gestionar, investigar, etc. permite una priorización de las acciones estratégicas, los planes de acción a seguir,  y ayuda  a definir  las responsabilidades,  tareas y metas de los   </w:t>
      </w:r>
      <w:r>
        <w:rPr>
          <w:spacing w:val="4"/>
          <w:sz w:val="22"/>
        </w:rPr>
        <w:t> </w:t>
      </w:r>
      <w:r>
        <w:rPr>
          <w:sz w:val="22"/>
        </w:rPr>
        <w:t>diversos</w:t>
      </w:r>
    </w:p>
    <w:p>
      <w:pPr>
        <w:spacing w:after="0" w:line="357" w:lineRule="auto"/>
        <w:jc w:val="both"/>
        <w:rPr>
          <w:sz w:val="22"/>
        </w:rPr>
        <w:sectPr>
          <w:pgSz w:w="12240" w:h="15840"/>
          <w:pgMar w:header="0" w:footer="1003" w:top="1360" w:bottom="1200" w:left="1600" w:right="1580"/>
        </w:sectPr>
      </w:pPr>
    </w:p>
    <w:p>
      <w:pPr>
        <w:pStyle w:val="BodyText"/>
        <w:spacing w:line="360" w:lineRule="auto" w:before="56"/>
        <w:ind w:left="881"/>
      </w:pPr>
      <w:r>
        <w:rPr/>
        <w:t>actores, dando en conjunto mucha más coherencia a procesos de planificación, desarrollo y gestión de recursos hídricos (Quiroz, Delgadillo y Durán, 2012).</w:t>
      </w:r>
    </w:p>
    <w:p>
      <w:pPr>
        <w:pStyle w:val="BodyText"/>
      </w:pPr>
    </w:p>
    <w:p>
      <w:pPr>
        <w:pStyle w:val="BodyText"/>
      </w:pPr>
    </w:p>
    <w:p>
      <w:pPr>
        <w:pStyle w:val="BodyText"/>
        <w:spacing w:line="357" w:lineRule="auto" w:before="157"/>
        <w:ind w:left="102" w:right="114"/>
        <w:jc w:val="both"/>
      </w:pPr>
      <w:r>
        <w:rPr/>
        <w:t>Bajo estas premisas, en el marco de la GIRH, los conceptos que necesitaron ser definidos fueron a) cuenca hidrográfica, b) cuenca hidrosocial y c) cuenca hidrosocial presa Huapango.</w:t>
      </w:r>
    </w:p>
    <w:p>
      <w:pPr>
        <w:pStyle w:val="BodyText"/>
        <w:spacing w:before="10"/>
        <w:rPr>
          <w:sz w:val="24"/>
        </w:rPr>
      </w:pPr>
    </w:p>
    <w:p>
      <w:pPr>
        <w:pStyle w:val="Heading7"/>
        <w:numPr>
          <w:ilvl w:val="0"/>
          <w:numId w:val="38"/>
        </w:numPr>
        <w:tabs>
          <w:tab w:pos="822" w:val="left" w:leader="none"/>
        </w:tabs>
        <w:spacing w:line="240" w:lineRule="auto" w:before="0" w:after="0"/>
        <w:ind w:left="822" w:right="0" w:hanging="360"/>
        <w:jc w:val="left"/>
        <w:rPr>
          <w:i/>
        </w:rPr>
      </w:pPr>
      <w:r>
        <w:rPr>
          <w:i/>
        </w:rPr>
        <w:t>Cuenca Hidrográfica</w:t>
      </w:r>
    </w:p>
    <w:p>
      <w:pPr>
        <w:pStyle w:val="BodyText"/>
        <w:rPr>
          <w:b/>
          <w:i/>
        </w:rPr>
      </w:pPr>
    </w:p>
    <w:p>
      <w:pPr>
        <w:pStyle w:val="BodyText"/>
        <w:spacing w:line="360" w:lineRule="auto" w:before="157"/>
        <w:ind w:left="102" w:right="114"/>
        <w:jc w:val="both"/>
      </w:pPr>
      <w:r>
        <w:rPr/>
        <w:t>El Instituto Centro Agua (2012), define cuenca hidrográfica o cuenca de drenaje, como el área de aguas superficiales o subterráneas que vierten a una red hidrográfica natural con uno o varios cauces naturales, de caudal continuo o intermitente, que confluyen en un curso mayor que, a su vez, puede desembocar en un río principal, en un depósito natural de aguas (lago, presa), en un pantano o bien directamente en el mar.</w:t>
      </w:r>
    </w:p>
    <w:p>
      <w:pPr>
        <w:pStyle w:val="BodyText"/>
        <w:spacing w:before="10"/>
        <w:rPr>
          <w:sz w:val="24"/>
        </w:rPr>
      </w:pPr>
    </w:p>
    <w:p>
      <w:pPr>
        <w:pStyle w:val="BodyText"/>
        <w:spacing w:line="360" w:lineRule="auto"/>
        <w:ind w:left="102" w:right="115"/>
        <w:jc w:val="both"/>
      </w:pPr>
      <w:r>
        <w:rPr/>
        <w:t>En esta área viven seres humanos, animales y plantas, en interrelación. Los límites de la cuenca o divisoria de aguas se definen naturalmente y en forma práctica corresponden a las partes más altas del área que encierra un río. Se señala que una cuenca no solamente abarca la superficie, a lo largo y ancho, sino también la profundidad, comprendida desde el extremo superior de la vegetación hasta los estratos geológicos limitantes bajo la tierra. Dentro de una cuenca se pueden distinguir: la parte alta, la parte media y la parte baja. En las partes altas, la topografía normalmente es empinada y generalmente están cubiertas de bosque. Tanto en la parte alta como en la parte media se encuentran la gran mayoría de las nacientes de los ríos; las partes bajas, a menudo tienen más importancia para la agricultura y los asentamientos humanos, porque ahí se encuentran las áreas más planas. Se presenta la cuenca como un verdadero sistema, ya que está formada por un conjunto de elementos que se interrelacionan (el agua, el bosque, el suelo y los estratos geológicos).</w:t>
      </w:r>
    </w:p>
    <w:p>
      <w:pPr>
        <w:pStyle w:val="BodyText"/>
        <w:spacing w:before="10"/>
        <w:rPr>
          <w:sz w:val="24"/>
        </w:rPr>
      </w:pPr>
    </w:p>
    <w:p>
      <w:pPr>
        <w:pStyle w:val="BodyText"/>
        <w:spacing w:line="360" w:lineRule="auto"/>
        <w:ind w:left="102" w:right="118"/>
        <w:jc w:val="both"/>
      </w:pPr>
      <w:r>
        <w:rPr/>
        <w:t>Por otra parte, Cotler y Caire (2009; 16), definen a la cuenca como territorio de análisis y gestión. Por ser un territorio delimitado naturalmente por una divisoria de aguas, llamada “parteaguas”, que determina que el agua que recorre todo el territorio confluya y desemboque en un punto común, ya sea un océano (cuenca exorreica) o un lago interno (cuenca  endorreica).  En  este  territorio,  delimitado  por  límites  naturales,  sus  paisajes</w:t>
      </w:r>
    </w:p>
    <w:p>
      <w:pPr>
        <w:spacing w:after="0" w:line="360" w:lineRule="auto"/>
        <w:jc w:val="both"/>
        <w:sectPr>
          <w:pgSz w:w="12240" w:h="15840"/>
          <w:pgMar w:header="0" w:footer="1003" w:top="1360" w:bottom="1200" w:left="1600" w:right="1580"/>
        </w:sectPr>
      </w:pPr>
    </w:p>
    <w:p>
      <w:pPr>
        <w:pStyle w:val="BodyText"/>
        <w:spacing w:line="357" w:lineRule="auto" w:before="56"/>
        <w:ind w:left="102" w:right="116"/>
        <w:jc w:val="both"/>
      </w:pPr>
      <w:r>
        <w:rPr/>
        <w:t>constituyen la manifestación espacial de la relación entre las sociedades, rurales y urbanas y su</w:t>
      </w:r>
      <w:r>
        <w:rPr>
          <w:spacing w:val="-3"/>
        </w:rPr>
        <w:t> </w:t>
      </w:r>
      <w:r>
        <w:rPr/>
        <w:t>ambiente.</w:t>
      </w:r>
    </w:p>
    <w:p>
      <w:pPr>
        <w:pStyle w:val="BodyText"/>
        <w:spacing w:before="1"/>
        <w:rPr>
          <w:sz w:val="25"/>
        </w:rPr>
      </w:pPr>
    </w:p>
    <w:p>
      <w:pPr>
        <w:pStyle w:val="BodyText"/>
        <w:spacing w:line="360" w:lineRule="auto"/>
        <w:ind w:left="102" w:right="116"/>
        <w:jc w:val="both"/>
      </w:pPr>
      <w:r>
        <w:rPr/>
        <w:t>En el contexto de una cuenca, lo anterior posibilita una visión global y sistémica del territorio, en el cual se pueden determinar las principales fuentes contaminantes, sus intensidades e impactos en la dinámica eco-hidrológica de la cuenca, permitiendo priorizar zonas de trabajo, lo cual facilitaría la colaboración entre instituciones y aumentaría la coherencia de las acciones. En ese sentido, el manejo integral de cuencas, como  proceso, proporciona un nuevo rumbo para relacionar ciencia, política y participación pública, lo que nos conlleva a una nueva relación de actores que no tiene que ver sólo  con la delimitación territorial de la cuenca, sino con las redes que se crean en torno al agua entre gente de las zonas altas y zonas bajas, como lo veremos en el siguiente concepto.</w:t>
      </w:r>
    </w:p>
    <w:p>
      <w:pPr>
        <w:pStyle w:val="BodyText"/>
        <w:spacing w:before="8"/>
        <w:rPr>
          <w:sz w:val="24"/>
        </w:rPr>
      </w:pPr>
    </w:p>
    <w:p>
      <w:pPr>
        <w:pStyle w:val="Heading7"/>
        <w:numPr>
          <w:ilvl w:val="0"/>
          <w:numId w:val="38"/>
        </w:numPr>
        <w:tabs>
          <w:tab w:pos="371" w:val="left" w:leader="none"/>
        </w:tabs>
        <w:spacing w:line="240" w:lineRule="auto" w:before="0" w:after="0"/>
        <w:ind w:left="370" w:right="0" w:hanging="268"/>
        <w:jc w:val="both"/>
        <w:rPr>
          <w:i/>
        </w:rPr>
      </w:pPr>
      <w:r>
        <w:rPr>
          <w:i/>
        </w:rPr>
        <w:t>Cuenca</w:t>
      </w:r>
      <w:r>
        <w:rPr>
          <w:i/>
          <w:spacing w:val="-1"/>
        </w:rPr>
        <w:t> </w:t>
      </w:r>
      <w:r>
        <w:rPr>
          <w:i/>
        </w:rPr>
        <w:t>Hidrosocial</w:t>
      </w:r>
    </w:p>
    <w:p>
      <w:pPr>
        <w:pStyle w:val="BodyText"/>
        <w:rPr>
          <w:b/>
          <w:i/>
        </w:rPr>
      </w:pPr>
    </w:p>
    <w:p>
      <w:pPr>
        <w:spacing w:line="360" w:lineRule="auto" w:before="154"/>
        <w:ind w:left="102" w:right="115" w:firstLine="0"/>
        <w:jc w:val="both"/>
        <w:rPr>
          <w:i/>
          <w:sz w:val="22"/>
        </w:rPr>
      </w:pPr>
      <w:r>
        <w:rPr>
          <w:sz w:val="22"/>
        </w:rPr>
        <w:t>Quiroz, Delgadillo y Durán (2012: 114), mencionan que la cuenca hidrosocial es un concepto que espacialmente rebasa la cuenca hidrográfica (zona de producción de agua, zona de aprovechamiento, trasvase de aguas de cuencas aledañas), rebasa  jurisdicciones político administrativas (departamento, provincia, municipio). </w:t>
      </w:r>
      <w:r>
        <w:rPr>
          <w:i/>
          <w:sz w:val="22"/>
        </w:rPr>
        <w:t>Está más bien </w:t>
      </w:r>
      <w:r>
        <w:rPr>
          <w:i/>
          <w:sz w:val="22"/>
        </w:rPr>
        <w:t>basado en las redes que se crean en torno al agua entre gente de las zonas altas y zonas bajas (redes hídricas) mediante procesos de desarrollo hídrico (iniciativas locales, intervenciones) con historias particulares que configuran esta cuenca hidrosocial, encontrando equilibrios temporales pero sujetos a situaciones de conflicto y resolución continuos, pudiéndose contraerse o expandirse en el</w:t>
      </w:r>
      <w:r>
        <w:rPr>
          <w:i/>
          <w:spacing w:val="-14"/>
          <w:sz w:val="22"/>
        </w:rPr>
        <w:t> </w:t>
      </w:r>
      <w:r>
        <w:rPr>
          <w:i/>
          <w:sz w:val="22"/>
        </w:rPr>
        <w:t>tiempo.</w:t>
      </w:r>
    </w:p>
    <w:p>
      <w:pPr>
        <w:pStyle w:val="BodyText"/>
        <w:spacing w:before="10"/>
        <w:rPr>
          <w:i/>
          <w:sz w:val="24"/>
        </w:rPr>
      </w:pPr>
    </w:p>
    <w:p>
      <w:pPr>
        <w:pStyle w:val="BodyText"/>
        <w:spacing w:line="360" w:lineRule="auto"/>
        <w:ind w:left="102" w:right="120"/>
        <w:jc w:val="both"/>
      </w:pPr>
      <w:r>
        <w:rPr/>
        <w:t>La cuenca hidrosocial es limitada tanto por los límites físicos (fuentes de agua, infraestructura de aprovechamiento, áreas de influencia de los sistemas, etc.) como sociales (acuerdos entre usuarios aguas arriba y usuarios aguas abajo).</w:t>
      </w:r>
    </w:p>
    <w:p>
      <w:pPr>
        <w:pStyle w:val="BodyText"/>
        <w:spacing w:before="10"/>
        <w:rPr>
          <w:sz w:val="24"/>
        </w:rPr>
      </w:pPr>
    </w:p>
    <w:p>
      <w:pPr>
        <w:pStyle w:val="BodyText"/>
        <w:spacing w:line="360" w:lineRule="auto"/>
        <w:ind w:left="102" w:right="114"/>
        <w:jc w:val="both"/>
      </w:pPr>
      <w:r>
        <w:rPr/>
        <w:t>Es por ello, que a partir de la definición de éste ámbito geográfico y de la visualización de las relaciones de (inter) dependencia (hídricas y sociales), entre usuarios de aguas arriba y aguas abajo, permite analizar las históricas relaciones hidrosociales, así como las proyecciones futuras y sus implicaciones sobre la gestión del agua, su disponibilidad y sus usos</w:t>
      </w:r>
      <w:r>
        <w:rPr>
          <w:spacing w:val="-4"/>
        </w:rPr>
        <w:t> </w:t>
      </w:r>
      <w:r>
        <w:rPr/>
        <w:t>potenciales.</w:t>
      </w:r>
    </w:p>
    <w:p>
      <w:pPr>
        <w:spacing w:after="0" w:line="360" w:lineRule="auto"/>
        <w:jc w:val="both"/>
        <w:sectPr>
          <w:pgSz w:w="12240" w:h="15840"/>
          <w:pgMar w:header="0" w:footer="1003" w:top="1360" w:bottom="1200" w:left="1600" w:right="1580"/>
        </w:sectPr>
      </w:pPr>
    </w:p>
    <w:p>
      <w:pPr>
        <w:pStyle w:val="BodyText"/>
        <w:spacing w:before="56"/>
        <w:ind w:left="102"/>
        <w:jc w:val="both"/>
      </w:pPr>
      <w:r>
        <w:rPr/>
        <w:t>El concepto “cuenca hidrosocial” engloba tres términos: cuenca, hidro y social cada cual</w:t>
      </w:r>
    </w:p>
    <w:p>
      <w:pPr>
        <w:pStyle w:val="BodyText"/>
        <w:spacing w:before="124"/>
        <w:ind w:left="102"/>
        <w:jc w:val="both"/>
      </w:pPr>
      <w:r>
        <w:rPr/>
        <w:t>con un significado concreto:</w:t>
      </w:r>
    </w:p>
    <w:p>
      <w:pPr>
        <w:pStyle w:val="BodyText"/>
      </w:pPr>
    </w:p>
    <w:p>
      <w:pPr>
        <w:pStyle w:val="BodyText"/>
        <w:spacing w:line="360" w:lineRule="auto" w:before="154"/>
        <w:ind w:left="102" w:right="121"/>
        <w:jc w:val="both"/>
      </w:pPr>
      <w:r>
        <w:rPr>
          <w:b/>
        </w:rPr>
        <w:t>Cuenca: </w:t>
      </w:r>
      <w:r>
        <w:rPr/>
        <w:t>hace referencia al espacio geográfico para los propósitos específicos de planificación, desarrollo y gestión de recursos hídricos que se pretenda. Por tanto incluye, pero no exclusivamente a la cuenca hidrográfica.</w:t>
      </w:r>
    </w:p>
    <w:p>
      <w:pPr>
        <w:pStyle w:val="BodyText"/>
        <w:spacing w:before="8"/>
        <w:rPr>
          <w:sz w:val="24"/>
        </w:rPr>
      </w:pPr>
    </w:p>
    <w:p>
      <w:pPr>
        <w:pStyle w:val="BodyText"/>
        <w:spacing w:line="360" w:lineRule="auto"/>
        <w:ind w:left="102" w:right="119"/>
        <w:jc w:val="both"/>
      </w:pPr>
      <w:r>
        <w:rPr>
          <w:b/>
        </w:rPr>
        <w:t>Hidro: </w:t>
      </w:r>
      <w:r>
        <w:rPr/>
        <w:t>se refiere a las características de las fuentes de agua que son trasvasadas, las aguas subterráneas, así como la evolución histórica y condiciones actuales de desarrollo de recursos hídricos, los procesos de intervención existentes, el diagnóstico de los sistemas existentes y sus formas de gestión; los usos y demandas de agua, el balance hídrico y en general, el análisis de la problemática del agua.</w:t>
      </w:r>
    </w:p>
    <w:p>
      <w:pPr>
        <w:pStyle w:val="BodyText"/>
        <w:spacing w:before="8"/>
        <w:rPr>
          <w:sz w:val="24"/>
        </w:rPr>
      </w:pPr>
    </w:p>
    <w:p>
      <w:pPr>
        <w:pStyle w:val="BodyText"/>
        <w:spacing w:line="360" w:lineRule="auto"/>
        <w:ind w:left="102" w:right="116"/>
        <w:jc w:val="both"/>
      </w:pPr>
      <w:r>
        <w:rPr>
          <w:b/>
        </w:rPr>
        <w:t>Social: </w:t>
      </w:r>
      <w:r>
        <w:rPr/>
        <w:t>alude a la naturaleza sociotécnica y política de la gestión del agua, e incluye los aspectos históricos socioculturales y su expresión en la gestión del agua; el análisis de actores, sus intereses y dispositivos de poder y negociación; los aspectos políticos, administrativos y normativos de la gestión local del agua.</w:t>
      </w:r>
    </w:p>
    <w:p>
      <w:pPr>
        <w:pStyle w:val="BodyText"/>
        <w:spacing w:before="5"/>
        <w:rPr>
          <w:sz w:val="24"/>
        </w:rPr>
      </w:pPr>
    </w:p>
    <w:p>
      <w:pPr>
        <w:pStyle w:val="Heading6"/>
        <w:numPr>
          <w:ilvl w:val="0"/>
          <w:numId w:val="38"/>
        </w:numPr>
        <w:tabs>
          <w:tab w:pos="362" w:val="left" w:leader="none"/>
        </w:tabs>
        <w:spacing w:line="240" w:lineRule="auto" w:before="0" w:after="0"/>
        <w:ind w:left="361" w:right="0" w:hanging="259"/>
        <w:jc w:val="both"/>
      </w:pPr>
      <w:r>
        <w:rPr/>
        <w:t>Cuenca hidrosocial presa</w:t>
      </w:r>
      <w:r>
        <w:rPr>
          <w:spacing w:val="-6"/>
        </w:rPr>
        <w:t> </w:t>
      </w:r>
      <w:r>
        <w:rPr/>
        <w:t>Huapango</w:t>
      </w:r>
    </w:p>
    <w:p>
      <w:pPr>
        <w:pStyle w:val="BodyText"/>
        <w:rPr>
          <w:b/>
        </w:rPr>
      </w:pPr>
    </w:p>
    <w:p>
      <w:pPr>
        <w:pStyle w:val="BodyText"/>
        <w:spacing w:line="360" w:lineRule="auto" w:before="159"/>
        <w:ind w:left="102" w:right="114"/>
        <w:jc w:val="both"/>
      </w:pPr>
      <w:r>
        <w:rPr/>
        <w:t>Con base en estos conceptos y con el sofwere IDRISI, se delimitó el área de estudio: </w:t>
      </w:r>
      <w:r>
        <w:rPr>
          <w:i/>
        </w:rPr>
        <w:t>la </w:t>
      </w:r>
      <w:r>
        <w:rPr>
          <w:i/>
        </w:rPr>
        <w:t>Cuenca Hidrosocial Presa Huapango </w:t>
      </w:r>
      <w:r>
        <w:rPr/>
        <w:t>que contempla los actores de cinco municipios del Estado de México: Aculco, Polotitlán, Acambay, Jilotepec y Timilpan, como se muestra en los siguientes mapas; donde los dos primeros se encuentran aguas abajo y los tres restantes aguas arriba.</w:t>
      </w:r>
    </w:p>
    <w:p>
      <w:pPr>
        <w:spacing w:after="0" w:line="360" w:lineRule="auto"/>
        <w:jc w:val="both"/>
        <w:sectPr>
          <w:pgSz w:w="12240" w:h="15840"/>
          <w:pgMar w:header="0" w:footer="1003" w:top="1360" w:bottom="1200" w:left="1600" w:right="1580"/>
        </w:sectPr>
      </w:pPr>
    </w:p>
    <w:p>
      <w:pPr>
        <w:pStyle w:val="Heading6"/>
        <w:spacing w:line="360" w:lineRule="auto" w:before="53"/>
        <w:ind w:left="195" w:right="534"/>
        <w:jc w:val="center"/>
      </w:pPr>
      <w:r>
        <w:rPr/>
        <w:t>Mapa 4.1. Localización de la cuenca de la presa Huapango en la región hidrológica del Pánuco</w:t>
      </w:r>
    </w:p>
    <w:p>
      <w:pPr>
        <w:pStyle w:val="BodyText"/>
        <w:spacing w:before="7"/>
        <w:rPr>
          <w:b/>
          <w:sz w:val="14"/>
        </w:rPr>
      </w:pPr>
      <w:r>
        <w:rPr/>
        <w:drawing>
          <wp:anchor distT="0" distB="0" distL="0" distR="0" allowOverlap="1" layoutInCell="1" locked="0" behindDoc="0" simplePos="0" relativeHeight="5824">
            <wp:simplePos x="0" y="0"/>
            <wp:positionH relativeFrom="page">
              <wp:posOffset>1080135</wp:posOffset>
            </wp:positionH>
            <wp:positionV relativeFrom="paragraph">
              <wp:posOffset>131882</wp:posOffset>
            </wp:positionV>
            <wp:extent cx="5809389" cy="6116859"/>
            <wp:effectExtent l="0" t="0" r="0" b="0"/>
            <wp:wrapTopAndBottom/>
            <wp:docPr id="25" name="image70.jpeg" descr=""/>
            <wp:cNvGraphicFramePr>
              <a:graphicFrameLocks noChangeAspect="1"/>
            </wp:cNvGraphicFramePr>
            <a:graphic>
              <a:graphicData uri="http://schemas.openxmlformats.org/drawingml/2006/picture">
                <pic:pic>
                  <pic:nvPicPr>
                    <pic:cNvPr id="26" name="image70.jpeg"/>
                    <pic:cNvPicPr/>
                  </pic:nvPicPr>
                  <pic:blipFill>
                    <a:blip r:embed="rId111" cstate="print"/>
                    <a:stretch>
                      <a:fillRect/>
                    </a:stretch>
                  </pic:blipFill>
                  <pic:spPr>
                    <a:xfrm>
                      <a:off x="0" y="0"/>
                      <a:ext cx="5809389" cy="6116859"/>
                    </a:xfrm>
                    <a:prstGeom prst="rect">
                      <a:avLst/>
                    </a:prstGeom>
                  </pic:spPr>
                </pic:pic>
              </a:graphicData>
            </a:graphic>
          </wp:anchor>
        </w:drawing>
      </w:r>
    </w:p>
    <w:p>
      <w:pPr>
        <w:pStyle w:val="BodyText"/>
        <w:spacing w:before="1"/>
        <w:rPr>
          <w:b/>
          <w:sz w:val="28"/>
        </w:rPr>
      </w:pPr>
    </w:p>
    <w:p>
      <w:pPr>
        <w:spacing w:before="0"/>
        <w:ind w:left="195" w:right="529" w:firstLine="0"/>
        <w:jc w:val="center"/>
        <w:rPr>
          <w:sz w:val="22"/>
        </w:rPr>
      </w:pPr>
      <w:r>
        <w:rPr>
          <w:b/>
          <w:sz w:val="22"/>
        </w:rPr>
        <w:t>Fuente: INEGI </w:t>
      </w:r>
      <w:r>
        <w:rPr>
          <w:sz w:val="22"/>
        </w:rPr>
        <w:t>(2004).</w:t>
      </w:r>
    </w:p>
    <w:p>
      <w:pPr>
        <w:spacing w:after="0"/>
        <w:jc w:val="center"/>
        <w:rPr>
          <w:sz w:val="22"/>
        </w:rPr>
        <w:sectPr>
          <w:pgSz w:w="12240" w:h="15840"/>
          <w:pgMar w:header="0" w:footer="1003" w:top="1360" w:bottom="1200" w:left="1600" w:right="1260"/>
        </w:sectPr>
      </w:pPr>
    </w:p>
    <w:p>
      <w:pPr>
        <w:pStyle w:val="Heading6"/>
        <w:spacing w:before="51"/>
        <w:ind w:left="231" w:right="1007"/>
        <w:jc w:val="center"/>
      </w:pPr>
      <w:r>
        <w:rPr/>
        <w:t>Mapa 4.2. Cuenca  de la presa Huapango como área de estudio</w:t>
      </w:r>
    </w:p>
    <w:p>
      <w:pPr>
        <w:pStyle w:val="BodyText"/>
        <w:rPr>
          <w:b/>
          <w:sz w:val="20"/>
        </w:rPr>
      </w:pPr>
    </w:p>
    <w:p>
      <w:pPr>
        <w:pStyle w:val="BodyText"/>
        <w:spacing w:before="7"/>
        <w:rPr>
          <w:b/>
          <w:sz w:val="12"/>
        </w:rPr>
      </w:pPr>
      <w:r>
        <w:rPr/>
        <w:drawing>
          <wp:anchor distT="0" distB="0" distL="0" distR="0" allowOverlap="1" layoutInCell="1" locked="0" behindDoc="0" simplePos="0" relativeHeight="5848">
            <wp:simplePos x="0" y="0"/>
            <wp:positionH relativeFrom="page">
              <wp:posOffset>1080135</wp:posOffset>
            </wp:positionH>
            <wp:positionV relativeFrom="paragraph">
              <wp:posOffset>116965</wp:posOffset>
            </wp:positionV>
            <wp:extent cx="6107020" cy="3413760"/>
            <wp:effectExtent l="0" t="0" r="0" b="0"/>
            <wp:wrapTopAndBottom/>
            <wp:docPr id="27" name="image71.jpeg" descr=""/>
            <wp:cNvGraphicFramePr>
              <a:graphicFrameLocks noChangeAspect="1"/>
            </wp:cNvGraphicFramePr>
            <a:graphic>
              <a:graphicData uri="http://schemas.openxmlformats.org/drawingml/2006/picture">
                <pic:pic>
                  <pic:nvPicPr>
                    <pic:cNvPr id="28" name="image71.jpeg"/>
                    <pic:cNvPicPr/>
                  </pic:nvPicPr>
                  <pic:blipFill>
                    <a:blip r:embed="rId112" cstate="print"/>
                    <a:stretch>
                      <a:fillRect/>
                    </a:stretch>
                  </pic:blipFill>
                  <pic:spPr>
                    <a:xfrm>
                      <a:off x="0" y="0"/>
                      <a:ext cx="6107020" cy="3413760"/>
                    </a:xfrm>
                    <a:prstGeom prst="rect">
                      <a:avLst/>
                    </a:prstGeom>
                  </pic:spPr>
                </pic:pic>
              </a:graphicData>
            </a:graphic>
          </wp:anchor>
        </w:drawing>
      </w:r>
    </w:p>
    <w:p>
      <w:pPr>
        <w:pStyle w:val="BodyText"/>
        <w:rPr>
          <w:b/>
        </w:rPr>
      </w:pPr>
    </w:p>
    <w:p>
      <w:pPr>
        <w:pStyle w:val="BodyText"/>
        <w:spacing w:line="340" w:lineRule="auto" w:before="133"/>
        <w:ind w:left="102" w:right="880" w:hanging="2"/>
      </w:pPr>
      <w:r>
        <w:rPr/>
        <w:drawing>
          <wp:inline distT="0" distB="0" distL="0" distR="0">
            <wp:extent cx="264972" cy="190373"/>
            <wp:effectExtent l="0" t="0" r="0" b="0"/>
            <wp:docPr id="29" name="image72.jpeg" descr=""/>
            <wp:cNvGraphicFramePr>
              <a:graphicFrameLocks noChangeAspect="1"/>
            </wp:cNvGraphicFramePr>
            <a:graphic>
              <a:graphicData uri="http://schemas.openxmlformats.org/drawingml/2006/picture">
                <pic:pic>
                  <pic:nvPicPr>
                    <pic:cNvPr id="30" name="image72.jpeg"/>
                    <pic:cNvPicPr/>
                  </pic:nvPicPr>
                  <pic:blipFill>
                    <a:blip r:embed="rId113" cstate="print"/>
                    <a:stretch>
                      <a:fillRect/>
                    </a:stretch>
                  </pic:blipFill>
                  <pic:spPr>
                    <a:xfrm>
                      <a:off x="0" y="0"/>
                      <a:ext cx="264972" cy="190373"/>
                    </a:xfrm>
                    <a:prstGeom prst="rect">
                      <a:avLst/>
                    </a:prstGeom>
                  </pic:spPr>
                </pic:pic>
              </a:graphicData>
            </a:graphic>
          </wp:inline>
        </w:drawing>
      </w:r>
      <w:r>
        <w:rPr/>
      </w:r>
      <w:r>
        <w:rPr/>
        <w:t>Según Estación Hidrométrica Taxhié (26020). Se encuentra ubicada sobre el río Arroyo Zarco (aguas abajo de la presa Huapango) en el municipio de Polotitlán, Estado de México.</w:t>
      </w:r>
    </w:p>
    <w:p>
      <w:pPr>
        <w:pStyle w:val="BodyText"/>
        <w:spacing w:before="4"/>
        <w:rPr>
          <w:sz w:val="26"/>
        </w:rPr>
      </w:pPr>
    </w:p>
    <w:p>
      <w:pPr>
        <w:pStyle w:val="BodyText"/>
        <w:spacing w:line="360" w:lineRule="auto" w:before="1"/>
        <w:ind w:left="231" w:right="1010"/>
        <w:jc w:val="center"/>
      </w:pPr>
      <w:r>
        <w:rPr>
          <w:b/>
        </w:rPr>
        <w:t>Fuente: </w:t>
      </w:r>
      <w:r>
        <w:rPr/>
        <w:t>Elaborado por Miguel Ángel Gómez y Marivel Hernández, mediante el software SIG IDRISI (2014) y con base en el trabajo de campo, García (2013-2015).</w:t>
      </w:r>
    </w:p>
    <w:p>
      <w:pPr>
        <w:spacing w:after="0" w:line="360" w:lineRule="auto"/>
        <w:jc w:val="center"/>
        <w:sectPr>
          <w:pgSz w:w="12240" w:h="15840"/>
          <w:pgMar w:header="0" w:footer="1003" w:top="1360" w:bottom="1200" w:left="1600" w:right="820"/>
        </w:sectPr>
      </w:pPr>
    </w:p>
    <w:p>
      <w:pPr>
        <w:pStyle w:val="Heading6"/>
        <w:spacing w:before="53"/>
        <w:ind w:left="231" w:right="870"/>
        <w:jc w:val="center"/>
      </w:pPr>
      <w:r>
        <w:rPr/>
        <w:t>Mapa 4.3. Cuenca Hidrosocial Presa Huapango y sus fronteras municipales</w:t>
      </w:r>
    </w:p>
    <w:p>
      <w:pPr>
        <w:pStyle w:val="BodyText"/>
        <w:spacing w:before="5"/>
        <w:rPr>
          <w:b/>
          <w:sz w:val="14"/>
        </w:rPr>
      </w:pPr>
      <w:r>
        <w:rPr/>
        <w:drawing>
          <wp:anchor distT="0" distB="0" distL="0" distR="0" allowOverlap="1" layoutInCell="1" locked="0" behindDoc="0" simplePos="0" relativeHeight="5872">
            <wp:simplePos x="0" y="0"/>
            <wp:positionH relativeFrom="page">
              <wp:posOffset>1080135</wp:posOffset>
            </wp:positionH>
            <wp:positionV relativeFrom="paragraph">
              <wp:posOffset>130415</wp:posOffset>
            </wp:positionV>
            <wp:extent cx="5985647" cy="4236148"/>
            <wp:effectExtent l="0" t="0" r="0" b="0"/>
            <wp:wrapTopAndBottom/>
            <wp:docPr id="31" name="image73.jpeg" descr=""/>
            <wp:cNvGraphicFramePr>
              <a:graphicFrameLocks noChangeAspect="1"/>
            </wp:cNvGraphicFramePr>
            <a:graphic>
              <a:graphicData uri="http://schemas.openxmlformats.org/drawingml/2006/picture">
                <pic:pic>
                  <pic:nvPicPr>
                    <pic:cNvPr id="32" name="image73.jpeg"/>
                    <pic:cNvPicPr/>
                  </pic:nvPicPr>
                  <pic:blipFill>
                    <a:blip r:embed="rId115" cstate="print"/>
                    <a:stretch>
                      <a:fillRect/>
                    </a:stretch>
                  </pic:blipFill>
                  <pic:spPr>
                    <a:xfrm>
                      <a:off x="0" y="0"/>
                      <a:ext cx="5985647" cy="4236148"/>
                    </a:xfrm>
                    <a:prstGeom prst="rect">
                      <a:avLst/>
                    </a:prstGeom>
                  </pic:spPr>
                </pic:pic>
              </a:graphicData>
            </a:graphic>
          </wp:anchor>
        </w:drawing>
      </w:r>
    </w:p>
    <w:p>
      <w:pPr>
        <w:pStyle w:val="BodyText"/>
        <w:spacing w:before="6"/>
        <w:rPr>
          <w:b/>
          <w:sz w:val="23"/>
        </w:rPr>
      </w:pPr>
    </w:p>
    <w:p>
      <w:pPr>
        <w:pStyle w:val="BodyText"/>
        <w:spacing w:line="362" w:lineRule="auto"/>
        <w:ind w:left="231" w:right="870"/>
        <w:jc w:val="center"/>
      </w:pPr>
      <w:r>
        <w:rPr>
          <w:b/>
        </w:rPr>
        <w:t>Fuente: </w:t>
      </w:r>
      <w:r>
        <w:rPr/>
        <w:t>Elaborado por Miguel Ángel Gómez y Marivel Hernández, mediante el software SIG IDRISI (2014) y con base en el trabajo de campo, García (2013-2015).</w:t>
      </w:r>
    </w:p>
    <w:p>
      <w:pPr>
        <w:pStyle w:val="BodyText"/>
        <w:spacing w:before="8"/>
        <w:rPr>
          <w:sz w:val="24"/>
        </w:rPr>
      </w:pPr>
    </w:p>
    <w:p>
      <w:pPr>
        <w:pStyle w:val="BodyText"/>
        <w:spacing w:line="360" w:lineRule="auto"/>
        <w:ind w:left="102" w:right="734"/>
        <w:jc w:val="both"/>
      </w:pPr>
      <w:r>
        <w:rPr/>
        <w:t>Como se observa en el mapa anterior, los municipios que conforman la Cuenca Hidrosocial Presa Huapango son cinco: Acamabay, Aculco, Jilotepec, Polotitlán y Timilpan, los cuales tienen las siguientes</w:t>
      </w:r>
      <w:r>
        <w:rPr>
          <w:spacing w:val="-22"/>
        </w:rPr>
        <w:t> </w:t>
      </w:r>
      <w:r>
        <w:rPr/>
        <w:t>características:</w:t>
      </w:r>
    </w:p>
    <w:p>
      <w:pPr>
        <w:pStyle w:val="BodyText"/>
        <w:spacing w:before="4"/>
        <w:rPr>
          <w:sz w:val="17"/>
        </w:rPr>
      </w:pPr>
    </w:p>
    <w:p>
      <w:pPr>
        <w:pStyle w:val="Heading6"/>
        <w:numPr>
          <w:ilvl w:val="0"/>
          <w:numId w:val="39"/>
        </w:numPr>
        <w:tabs>
          <w:tab w:pos="347" w:val="left" w:leader="none"/>
        </w:tabs>
        <w:spacing w:line="240" w:lineRule="auto" w:before="0" w:after="0"/>
        <w:ind w:left="346" w:right="0" w:hanging="244"/>
        <w:jc w:val="both"/>
      </w:pPr>
      <w:r>
        <w:rPr/>
        <w:t>MUNICIPIO DE</w:t>
      </w:r>
      <w:r>
        <w:rPr>
          <w:spacing w:val="-15"/>
        </w:rPr>
        <w:t> </w:t>
      </w:r>
      <w:r>
        <w:rPr/>
        <w:t>ACAMBAY</w:t>
      </w:r>
    </w:p>
    <w:p>
      <w:pPr>
        <w:pStyle w:val="BodyText"/>
        <w:spacing w:line="360" w:lineRule="auto" w:before="129"/>
        <w:ind w:left="102" w:right="737"/>
        <w:jc w:val="both"/>
      </w:pPr>
      <w:r>
        <w:rPr/>
        <w:t>Al municipio se le denominaba Cambay o Cabaye, cuya traducción del otomí es okha “Dios” y mbaye “Peña” que significa “Peñascos de Dios”. El municipio cuenta con muchos pueblos que le proveen identidad y riqueza cultural (69 Delegaciones, 20 Subdelegaciones, 12 Barrios y 13 Colonias en la Cabecera Municipal. Sobre todo porque estos fueron esenciales para que españoles e indígenas dieran pie al mestizaje; observable no sólo en la apariencia de sus habitantes, sino en sus costumbres y tradiciones, enlazando así la sabiduría indígena con las ideas europeas.</w:t>
      </w:r>
    </w:p>
    <w:p>
      <w:pPr>
        <w:spacing w:after="0" w:line="360" w:lineRule="auto"/>
        <w:jc w:val="both"/>
        <w:sectPr>
          <w:footerReference w:type="default" r:id="rId114"/>
          <w:pgSz w:w="12240" w:h="15840"/>
          <w:pgMar w:footer="1003" w:header="0" w:top="1360" w:bottom="1200" w:left="1600" w:right="960"/>
          <w:pgNumType w:start="130"/>
        </w:sectPr>
      </w:pPr>
    </w:p>
    <w:p>
      <w:pPr>
        <w:pStyle w:val="BodyText"/>
        <w:spacing w:before="4"/>
        <w:rPr>
          <w:sz w:val="19"/>
        </w:rPr>
      </w:pPr>
    </w:p>
    <w:p>
      <w:pPr>
        <w:pStyle w:val="BodyText"/>
        <w:spacing w:line="360" w:lineRule="auto" w:before="73"/>
        <w:ind w:left="102" w:right="115"/>
        <w:jc w:val="both"/>
      </w:pPr>
      <w:r>
        <w:rPr/>
        <w:t>El municipio de Acambay tiene una población de 60,918 habitantes, de los cuales 29,449 son hombres y 31,469 mujeres. Cuenta con una población indígena de 8,563 habitantes (INEGI, 2010). Se localiza al Noroccidente del Estado de México a una altura de 2,552 metros sobre el nivel del mar, con una extensión territorial aproximada 492.13 Km</w:t>
      </w:r>
      <w:r>
        <w:rPr>
          <w:position w:val="8"/>
          <w:sz w:val="14"/>
        </w:rPr>
        <w:t>2</w:t>
      </w:r>
      <w:r>
        <w:rPr/>
        <w:t>,  colinda al Norte: con el Estado de Querétaro y el Municipio de Aculco; al Este: con los Municipios de Aculco y Timilpan, Sur: Timilpan, Atlacomulco y Temascalcingo; al Oeste Municipio de Temascalcingo y el Estado de Querétaro (INEGI, 2010 y PDM,</w:t>
      </w:r>
      <w:r>
        <w:rPr>
          <w:spacing w:val="-24"/>
        </w:rPr>
        <w:t> </w:t>
      </w:r>
      <w:r>
        <w:rPr/>
        <w:t>2013).</w:t>
      </w:r>
    </w:p>
    <w:p>
      <w:pPr>
        <w:pStyle w:val="BodyText"/>
      </w:pPr>
    </w:p>
    <w:p>
      <w:pPr>
        <w:pStyle w:val="Heading6"/>
        <w:numPr>
          <w:ilvl w:val="0"/>
          <w:numId w:val="39"/>
        </w:numPr>
        <w:tabs>
          <w:tab w:pos="347" w:val="left" w:leader="none"/>
        </w:tabs>
        <w:spacing w:line="240" w:lineRule="auto" w:before="127" w:after="0"/>
        <w:ind w:left="346" w:right="0" w:hanging="244"/>
        <w:jc w:val="both"/>
      </w:pPr>
      <w:r>
        <w:rPr/>
        <w:t>MUNICIPIO DE</w:t>
      </w:r>
      <w:r>
        <w:rPr>
          <w:spacing w:val="-14"/>
        </w:rPr>
        <w:t> </w:t>
      </w:r>
      <w:r>
        <w:rPr/>
        <w:t>ACULCO</w:t>
      </w:r>
    </w:p>
    <w:p>
      <w:pPr>
        <w:pStyle w:val="BodyText"/>
        <w:spacing w:line="360" w:lineRule="auto" w:before="128"/>
        <w:ind w:left="102" w:right="118"/>
        <w:jc w:val="both"/>
      </w:pPr>
      <w:r>
        <w:rPr/>
        <w:t>Aculco se compone de Atl “agua”; cóltic “torcido” y co “en”, que significa "en el agua torcida”. Las colindancias del municipio son: al norte con el Estado de Querétaro y el municipio de Polotitlán; al sur con las municipalidades de Acambay y Timilpan; al este con el municipio de Jilotepec; y al oeste con el Estado de Querétaro. El municipio tiene una extensión territorial de 453.26 Km</w:t>
      </w:r>
      <w:r>
        <w:rPr>
          <w:position w:val="8"/>
          <w:sz w:val="14"/>
        </w:rPr>
        <w:t>2</w:t>
      </w:r>
      <w:r>
        <w:rPr/>
        <w:t>, el municipio se divide en 62 comunidades y la cabecera municipal.</w:t>
      </w:r>
    </w:p>
    <w:p>
      <w:pPr>
        <w:pStyle w:val="BodyText"/>
      </w:pPr>
    </w:p>
    <w:p>
      <w:pPr>
        <w:pStyle w:val="BodyText"/>
        <w:spacing w:line="360" w:lineRule="auto" w:before="129"/>
        <w:ind w:left="102" w:right="114"/>
        <w:jc w:val="both"/>
        <w:rPr>
          <w:sz w:val="24"/>
        </w:rPr>
      </w:pPr>
      <w:r>
        <w:rPr/>
        <w:t>Aculco tiene un total de 44,823 habitantes, de los cuales 22,043 son hombres y 22,780 son mujeres. La población indígena asciende a 3,141 personas. El municipio tiene el nombramiento de “Patrimonio Cultural de la Humanidad” en su vertiente de camino real de tierra adentro, mismo que se logró en sesión solemne el día 01 de agosto del 2010 en la ciudad de Brasilia, Brasil. Es considerado como el más extenso y antiguo camino, trazado por los españoles en el continente americano durante el siglo XVI. Este eje facilitó el intercambio comercial, el transporte de mineral bruto y procesado, así como el avance de la conquista hacia el norte de México </w:t>
      </w:r>
      <w:r>
        <w:rPr>
          <w:sz w:val="24"/>
        </w:rPr>
        <w:t>(INEGI, 2010 y PDM,</w:t>
      </w:r>
      <w:r>
        <w:rPr>
          <w:spacing w:val="-19"/>
          <w:sz w:val="24"/>
        </w:rPr>
        <w:t> </w:t>
      </w:r>
      <w:r>
        <w:rPr>
          <w:sz w:val="24"/>
        </w:rPr>
        <w:t>2013).</w:t>
      </w:r>
    </w:p>
    <w:p>
      <w:pPr>
        <w:pStyle w:val="BodyText"/>
        <w:spacing w:before="11"/>
        <w:rPr>
          <w:sz w:val="32"/>
        </w:rPr>
      </w:pPr>
    </w:p>
    <w:p>
      <w:pPr>
        <w:pStyle w:val="Heading6"/>
        <w:numPr>
          <w:ilvl w:val="0"/>
          <w:numId w:val="39"/>
        </w:numPr>
        <w:tabs>
          <w:tab w:pos="347" w:val="left" w:leader="none"/>
        </w:tabs>
        <w:spacing w:line="240" w:lineRule="auto" w:before="0" w:after="0"/>
        <w:ind w:left="346" w:right="0" w:hanging="244"/>
        <w:jc w:val="both"/>
      </w:pPr>
      <w:r>
        <w:rPr/>
        <w:t>MUNICIPIO DE</w:t>
      </w:r>
      <w:r>
        <w:rPr>
          <w:spacing w:val="-13"/>
        </w:rPr>
        <w:t> </w:t>
      </w:r>
      <w:r>
        <w:rPr/>
        <w:t>JILOTEPEC</w:t>
      </w:r>
    </w:p>
    <w:p>
      <w:pPr>
        <w:pStyle w:val="BodyText"/>
        <w:spacing w:line="360" w:lineRule="auto" w:before="129"/>
        <w:ind w:left="102" w:right="114"/>
        <w:jc w:val="both"/>
      </w:pPr>
      <w:r>
        <w:rPr/>
        <w:t>Jilotepec proviene del náhuatl. Sus radicales xilotl, “jilote” (mazorca tierna), “tepetl” “cerro” y el sufijo c “en”, se interpretan como “En el cerro de los jilotes”. El municipio está situado al Noroeste del Estado de México y colinda al norte con el estado de Hidalgo, al sur con el Municipio de Chapa de Mota, al oeste con los municipios de Aculco y Timilpan,  al noroeste con los municipios de Soyaniquilpan y Polotitlán y al suroeste con los municipios de Villa del Carbón y Timilpan. Tiene una superficie de 588.53 Km</w:t>
      </w:r>
      <w:r>
        <w:rPr>
          <w:position w:val="8"/>
          <w:sz w:val="14"/>
        </w:rPr>
        <w:t>2  </w:t>
      </w:r>
      <w:r>
        <w:rPr/>
        <w:t>y geopolíticamente,</w:t>
      </w:r>
    </w:p>
    <w:p>
      <w:pPr>
        <w:spacing w:after="0" w:line="360" w:lineRule="auto"/>
        <w:jc w:val="both"/>
        <w:sectPr>
          <w:pgSz w:w="12240" w:h="15840"/>
          <w:pgMar w:header="0" w:footer="1003" w:top="1500" w:bottom="1200" w:left="1600" w:right="1580"/>
        </w:sectPr>
      </w:pPr>
    </w:p>
    <w:p>
      <w:pPr>
        <w:pStyle w:val="BodyText"/>
        <w:spacing w:line="360" w:lineRule="auto" w:before="56"/>
        <w:ind w:left="102" w:right="115"/>
        <w:jc w:val="both"/>
      </w:pPr>
      <w:r>
        <w:rPr/>
        <w:t>Jilotepec se encuentra integrado de la siguiente forma: 1 ciudad con 6 colonias, 1 villa, 23 pueblos y 24 rancherías.</w:t>
      </w:r>
    </w:p>
    <w:p>
      <w:pPr>
        <w:pStyle w:val="BodyText"/>
        <w:spacing w:line="360" w:lineRule="auto" w:before="3"/>
        <w:ind w:left="102" w:right="113"/>
        <w:jc w:val="both"/>
      </w:pPr>
      <w:r>
        <w:rPr/>
        <w:t>La población de Jilotepec para el año 2010 sumó 83,755 habitantes, de ellos 42,667 son mujeres y 41,088 hombres; de los cuales sólo 325 hablan lengua indígena (INEGI, 2010 y PDM, 2013).</w:t>
      </w:r>
    </w:p>
    <w:p>
      <w:pPr>
        <w:pStyle w:val="BodyText"/>
      </w:pPr>
    </w:p>
    <w:p>
      <w:pPr>
        <w:pStyle w:val="Heading6"/>
        <w:numPr>
          <w:ilvl w:val="0"/>
          <w:numId w:val="39"/>
        </w:numPr>
        <w:tabs>
          <w:tab w:pos="347" w:val="left" w:leader="none"/>
        </w:tabs>
        <w:spacing w:line="240" w:lineRule="auto" w:before="129" w:after="0"/>
        <w:ind w:left="346" w:right="0" w:hanging="244"/>
        <w:jc w:val="both"/>
      </w:pPr>
      <w:r>
        <w:rPr/>
        <w:t>MUNICIPIO DE</w:t>
      </w:r>
      <w:r>
        <w:rPr>
          <w:spacing w:val="-16"/>
        </w:rPr>
        <w:t> </w:t>
      </w:r>
      <w:r>
        <w:rPr/>
        <w:t>POLOTITLÁN</w:t>
      </w:r>
    </w:p>
    <w:p>
      <w:pPr>
        <w:pStyle w:val="BodyText"/>
        <w:spacing w:line="360" w:lineRule="auto" w:before="128"/>
        <w:ind w:left="102" w:right="117"/>
        <w:jc w:val="both"/>
      </w:pPr>
      <w:r>
        <w:rPr/>
        <w:t>Polotitlán es un nombre compuesto por el apelativo español Polo y la posposición náhuatl, titlán,que significa “Lugar de los Polo”, en memoria de los individuos de este apellido que combatieron por la Independencia. Se distinguieron desde la Colonia por su acción rural y se destacaron finalmente, por haber gestionado la erección del pueblo que hoy lleva su nombre.</w:t>
      </w:r>
    </w:p>
    <w:p>
      <w:pPr>
        <w:pStyle w:val="BodyText"/>
      </w:pPr>
    </w:p>
    <w:p>
      <w:pPr>
        <w:pStyle w:val="BodyText"/>
        <w:spacing w:before="129"/>
        <w:ind w:left="102"/>
        <w:jc w:val="both"/>
      </w:pPr>
      <w:r>
        <w:rPr/>
        <w:t>Polotitlán se localiza en la parte noreste del Estado de México; tiene una superficie de</w:t>
      </w:r>
    </w:p>
    <w:p>
      <w:pPr>
        <w:pStyle w:val="BodyText"/>
        <w:spacing w:line="360" w:lineRule="auto" w:before="121"/>
        <w:ind w:left="102" w:right="118"/>
        <w:jc w:val="both"/>
      </w:pPr>
      <w:r>
        <w:rPr/>
        <w:t>132.69 Km</w:t>
      </w:r>
      <w:r>
        <w:rPr>
          <w:position w:val="8"/>
          <w:sz w:val="14"/>
        </w:rPr>
        <w:t>2 </w:t>
      </w:r>
      <w:r>
        <w:rPr/>
        <w:t>y colinda al norte con los Municipios de San Juan del Río (Querétaro) y Nopala de Villagran (Hidalgo); al sur con el municipio de Aculco; al este con los municipios de Nopala de Villagran (Hidalgo) y Jilotepec; y al oeste con los municipios de San Juan  del </w:t>
      </w:r>
      <w:r>
        <w:rPr>
          <w:spacing w:val="-2"/>
        </w:rPr>
        <w:t>Río </w:t>
      </w:r>
      <w:r>
        <w:rPr/>
        <w:t>(Querétaro) y</w:t>
      </w:r>
      <w:r>
        <w:rPr>
          <w:spacing w:val="1"/>
        </w:rPr>
        <w:t> </w:t>
      </w:r>
      <w:r>
        <w:rPr/>
        <w:t>Aculco.</w:t>
      </w:r>
    </w:p>
    <w:p>
      <w:pPr>
        <w:pStyle w:val="BodyText"/>
      </w:pPr>
    </w:p>
    <w:p>
      <w:pPr>
        <w:pStyle w:val="BodyText"/>
        <w:spacing w:line="360" w:lineRule="auto" w:before="130"/>
        <w:ind w:left="102" w:right="116"/>
        <w:jc w:val="both"/>
      </w:pPr>
      <w:r>
        <w:rPr/>
        <w:t>El municipio está integrado por una villa, seis pueblos, ocho rancherías y seis caseríos (ver anexo 1). En el año de 2010, el municipio de Polotitlán contaba con una población de 13 mil 2 habitantes, de los cuales 6 mil 364 son hombres y 6 mil 638 mujeres; del total sólo 32 habitantes hablan lengua indígena (INEGI, 2010 y PDM,</w:t>
      </w:r>
      <w:r>
        <w:rPr>
          <w:spacing w:val="-18"/>
        </w:rPr>
        <w:t> </w:t>
      </w:r>
      <w:r>
        <w:rPr/>
        <w:t>2013).</w:t>
      </w:r>
    </w:p>
    <w:p>
      <w:pPr>
        <w:pStyle w:val="BodyText"/>
      </w:pPr>
    </w:p>
    <w:p>
      <w:pPr>
        <w:pStyle w:val="Heading6"/>
        <w:numPr>
          <w:ilvl w:val="0"/>
          <w:numId w:val="39"/>
        </w:numPr>
        <w:tabs>
          <w:tab w:pos="347" w:val="left" w:leader="none"/>
        </w:tabs>
        <w:spacing w:line="240" w:lineRule="auto" w:before="129" w:after="0"/>
        <w:ind w:left="346" w:right="0" w:hanging="244"/>
        <w:jc w:val="both"/>
      </w:pPr>
      <w:r>
        <w:rPr/>
        <w:t>MUNICIPIO DE</w:t>
      </w:r>
      <w:r>
        <w:rPr>
          <w:spacing w:val="-17"/>
        </w:rPr>
        <w:t> </w:t>
      </w:r>
      <w:r>
        <w:rPr/>
        <w:t>TIMILPAN</w:t>
      </w:r>
    </w:p>
    <w:p>
      <w:pPr>
        <w:pStyle w:val="BodyText"/>
        <w:spacing w:line="357" w:lineRule="auto" w:before="128"/>
        <w:ind w:left="102" w:right="114"/>
        <w:jc w:val="both"/>
      </w:pPr>
      <w:r>
        <w:rPr/>
        <w:t>Timilpan se deriva de los vocablos Temilpa, que se compone, de Tetl: "piedra"; milli: " sementera" y pa: "en" o "sobre" que significa "En la milpa o sementera de piedras". El municipio tiene una superficie de 179.82 km</w:t>
      </w:r>
      <w:r>
        <w:rPr>
          <w:position w:val="8"/>
          <w:sz w:val="14"/>
        </w:rPr>
        <w:t>2</w:t>
      </w:r>
      <w:r>
        <w:rPr/>
        <w:t>, colinda al norte con los municipios de Aculco y Jilotepec; al sur con Morelos y Atlacomulco; al este con Chapa de Mota y Jilotepec; al oeste con Acambay y</w:t>
      </w:r>
      <w:r>
        <w:rPr>
          <w:spacing w:val="-9"/>
        </w:rPr>
        <w:t> </w:t>
      </w:r>
      <w:r>
        <w:rPr/>
        <w:t>Atlacomulco.</w:t>
      </w:r>
    </w:p>
    <w:p>
      <w:pPr>
        <w:pStyle w:val="BodyText"/>
      </w:pPr>
    </w:p>
    <w:p>
      <w:pPr>
        <w:pStyle w:val="BodyText"/>
        <w:spacing w:line="360" w:lineRule="auto" w:before="132"/>
        <w:ind w:left="102" w:right="118"/>
        <w:jc w:val="both"/>
      </w:pPr>
      <w:r>
        <w:rPr/>
        <w:t>Timilpan está dividido en una cabecera municipal, cuatro barrios, cuatro pueblos, cinco rancherías y un caserío. El municipio tiene un total de 15,391 habitantes, de los cuales</w:t>
      </w:r>
    </w:p>
    <w:p>
      <w:pPr>
        <w:spacing w:after="0" w:line="360" w:lineRule="auto"/>
        <w:jc w:val="both"/>
        <w:sectPr>
          <w:pgSz w:w="12240" w:h="15840"/>
          <w:pgMar w:header="0" w:footer="1003" w:top="1360" w:bottom="1200" w:left="1600" w:right="1580"/>
        </w:sectPr>
      </w:pPr>
    </w:p>
    <w:p>
      <w:pPr>
        <w:pStyle w:val="BodyText"/>
        <w:spacing w:line="360" w:lineRule="auto" w:before="56"/>
        <w:ind w:left="102" w:right="120"/>
        <w:jc w:val="both"/>
      </w:pPr>
      <w:r>
        <w:rPr/>
        <w:t>7,389 son hombres y 8,002 son mujeres; del total de población 2,394 hablan legua indígena (INEGI, 2010 y PDM, 2013).</w:t>
      </w:r>
    </w:p>
    <w:p>
      <w:pPr>
        <w:pStyle w:val="BodyText"/>
      </w:pPr>
    </w:p>
    <w:p>
      <w:pPr>
        <w:pStyle w:val="BodyText"/>
        <w:spacing w:line="360" w:lineRule="auto" w:before="129"/>
        <w:ind w:left="102" w:right="114"/>
        <w:jc w:val="both"/>
      </w:pPr>
      <w:r>
        <w:rPr/>
        <w:t>Una vez descritas las características de los municipios que integran la Cuenca Hidrosocial Presa Huapango, pasamos a describir las características del cuerpo de agua: la presa Huapango.</w:t>
      </w:r>
    </w:p>
    <w:p>
      <w:pPr>
        <w:pStyle w:val="BodyText"/>
      </w:pPr>
    </w:p>
    <w:p>
      <w:pPr>
        <w:pStyle w:val="Heading6"/>
        <w:numPr>
          <w:ilvl w:val="1"/>
          <w:numId w:val="37"/>
        </w:numPr>
        <w:tabs>
          <w:tab w:pos="532" w:val="left" w:leader="none"/>
        </w:tabs>
        <w:spacing w:line="240" w:lineRule="auto" w:before="129" w:after="0"/>
        <w:ind w:left="531" w:right="0" w:hanging="429"/>
        <w:jc w:val="both"/>
      </w:pPr>
      <w:bookmarkStart w:name="_TOC_250036" w:id="37"/>
      <w:r>
        <w:rPr/>
        <w:t>Características generales de la presa</w:t>
      </w:r>
      <w:r>
        <w:rPr>
          <w:spacing w:val="-13"/>
        </w:rPr>
        <w:t> </w:t>
      </w:r>
      <w:bookmarkEnd w:id="37"/>
      <w:r>
        <w:rPr/>
        <w:t>Huapango</w:t>
      </w:r>
    </w:p>
    <w:p>
      <w:pPr>
        <w:pStyle w:val="BodyText"/>
        <w:rPr>
          <w:b/>
        </w:rPr>
      </w:pPr>
    </w:p>
    <w:p>
      <w:pPr>
        <w:pStyle w:val="BodyText"/>
        <w:spacing w:before="2"/>
        <w:rPr>
          <w:b/>
        </w:rPr>
      </w:pPr>
    </w:p>
    <w:p>
      <w:pPr>
        <w:pStyle w:val="BodyText"/>
        <w:spacing w:line="360" w:lineRule="auto"/>
        <w:ind w:left="102" w:right="114"/>
        <w:jc w:val="both"/>
      </w:pPr>
      <w:r>
        <w:rPr/>
        <w:t>De acuerdo con datos del INEGI (2010), en México existen más de 4 mil 462 presas; 667 de ellas están consideradas como grandes, por su capacidad de almacenamiento, dentro de las cuales la Conagua (2009), destaca las 100 presas más importantes del país en donde menciona la presa Huapango para el caso del Estado de México.</w:t>
      </w:r>
    </w:p>
    <w:p>
      <w:pPr>
        <w:pStyle w:val="BodyText"/>
        <w:spacing w:before="9"/>
        <w:rPr>
          <w:sz w:val="17"/>
        </w:rPr>
      </w:pPr>
    </w:p>
    <w:p>
      <w:pPr>
        <w:spacing w:line="360" w:lineRule="auto" w:before="0"/>
        <w:ind w:left="102" w:right="112" w:firstLine="0"/>
        <w:jc w:val="both"/>
        <w:rPr>
          <w:sz w:val="22"/>
        </w:rPr>
      </w:pPr>
      <w:r>
        <w:rPr>
          <w:i/>
          <w:sz w:val="22"/>
        </w:rPr>
        <w:t>La presa de Huapango es la más grande en extensión del Estado de México, </w:t>
      </w:r>
      <w:r>
        <w:rPr>
          <w:sz w:val="22"/>
        </w:rPr>
        <w:t>ya que cuenta con una longitud de aproximadamente 22 km y un ancho de 3.5 km y la parte más angosta oscila entre 70 y 120 m la longitud de su cortina es de 110 m (H. Ayuntamiento  de Aculco,</w:t>
      </w:r>
      <w:r>
        <w:rPr>
          <w:spacing w:val="-5"/>
          <w:sz w:val="22"/>
        </w:rPr>
        <w:t> </w:t>
      </w:r>
      <w:r>
        <w:rPr>
          <w:sz w:val="22"/>
        </w:rPr>
        <w:t>2009-2012).</w:t>
      </w:r>
    </w:p>
    <w:p>
      <w:pPr>
        <w:pStyle w:val="BodyText"/>
        <w:spacing w:line="357" w:lineRule="auto" w:before="198"/>
        <w:ind w:left="102" w:right="113"/>
        <w:jc w:val="both"/>
      </w:pPr>
      <w:r>
        <w:rPr/>
        <w:t>La presa Huapango tiene una capacidad de 121,300 millones de m</w:t>
      </w:r>
      <w:r>
        <w:rPr>
          <w:position w:val="8"/>
          <w:sz w:val="14"/>
        </w:rPr>
        <w:t>3 </w:t>
      </w:r>
      <w:r>
        <w:rPr/>
        <w:t>y un almacenamiento de 37,859 millones de m</w:t>
      </w:r>
      <w:r>
        <w:rPr>
          <w:position w:val="8"/>
          <w:sz w:val="14"/>
        </w:rPr>
        <w:t>3</w:t>
      </w:r>
      <w:r>
        <w:rPr/>
        <w:t>, se encuentra dentro de la cuenca del río Pánuco, como se puede apreciar en el mapa 3.1, que es una de las regiones hidrográficas más importantes del país tanto por la superficie que ocupa 84, 956 km</w:t>
      </w:r>
      <w:r>
        <w:rPr>
          <w:position w:val="8"/>
          <w:sz w:val="14"/>
        </w:rPr>
        <w:t>2 </w:t>
      </w:r>
      <w:r>
        <w:rPr/>
        <w:t>que la sitúa en cuarto lugar en la República, como por el volumen de sus escurrimientos, que le confieren el quinto lugar a nivel nacional con 73, 549 hm</w:t>
      </w:r>
      <w:r>
        <w:rPr>
          <w:position w:val="8"/>
          <w:sz w:val="14"/>
        </w:rPr>
        <w:t>3 </w:t>
      </w:r>
      <w:r>
        <w:rPr/>
        <w:t>al año. La cuenca del río Pánuco pertenece a la vertiente del Golfo de México y se localiza entre los 19º y 24º de latitud norte y los 97º 45’ y 101º  20’ de longitud oeste (INEGI,</w:t>
      </w:r>
      <w:r>
        <w:rPr>
          <w:spacing w:val="-12"/>
        </w:rPr>
        <w:t> </w:t>
      </w:r>
      <w:r>
        <w:rPr/>
        <w:t>2010).</w:t>
      </w:r>
    </w:p>
    <w:p>
      <w:pPr>
        <w:pStyle w:val="BodyText"/>
        <w:rPr>
          <w:sz w:val="18"/>
        </w:rPr>
      </w:pPr>
    </w:p>
    <w:p>
      <w:pPr>
        <w:pStyle w:val="BodyText"/>
        <w:spacing w:line="360" w:lineRule="auto"/>
        <w:ind w:left="102" w:right="115"/>
        <w:jc w:val="both"/>
      </w:pPr>
      <w:r>
        <w:rPr/>
        <w:t>La presa Huapango tiene su origen de construcción en la época novohispana, se construyó en el antiguo lago de la sabana de Huapango, donde actualmente están las presas Huapango y Huaracha (Inafed, 2013) y era considerada una "laguna hermosa" (como la llamó fray Agustín de Vetancurt a fines del siglo XVIII) rodeada por terrenos cenagosos en los que llegaba a hundirse el ganado (elaculcoautentico.blogspot.com/2010/06/el-embarcadero-de-el-azafran.html).</w:t>
      </w:r>
    </w:p>
    <w:p>
      <w:pPr>
        <w:spacing w:after="0" w:line="360" w:lineRule="auto"/>
        <w:jc w:val="both"/>
        <w:sectPr>
          <w:pgSz w:w="12240" w:h="15840"/>
          <w:pgMar w:header="0" w:footer="1003" w:top="1360" w:bottom="1200" w:left="1600" w:right="1580"/>
        </w:sectPr>
      </w:pPr>
    </w:p>
    <w:p>
      <w:pPr>
        <w:pStyle w:val="BodyText"/>
        <w:spacing w:line="360" w:lineRule="auto" w:before="56"/>
        <w:ind w:left="102" w:right="112"/>
        <w:jc w:val="both"/>
      </w:pPr>
      <w:r>
        <w:rPr/>
        <w:t>El cronista Gamiño (1997: 12), menciona que cuando se asentaron las diligencias para la composición de tierras y agua del pueblo de San Juan del </w:t>
      </w:r>
      <w:r>
        <w:rPr>
          <w:spacing w:val="-2"/>
        </w:rPr>
        <w:t>Río </w:t>
      </w:r>
      <w:r>
        <w:rPr/>
        <w:t>(Querétaro) para precisar límites, extensiones, haciendas, labores, estancias de ganado, casas y huertas de españoles, los testigos declaran que el pueblo de San Juan del Río, “ha gozado de toda el agua que nace en la presa de Guapango en virtud de los títulos firmados por el Virrey Don Luis de Velasco, donde constaban las dimensiones y linderos de San Juan del Río”. La construcción de la presa Huapango, fue financiada con los fondos de los religiosos, probablemente franciscanos y luego jesuitas, y realizada su cortina durante un trabajo de  3 años, comenzada en 1785, y terminada en 1788. A lo largo de su existencia ha tenido reparaciones, mantenimiento, etc, pero fundamentalmente sigue siendo la misma cortina que dio origen al cuerpo de</w:t>
      </w:r>
      <w:r>
        <w:rPr>
          <w:spacing w:val="-9"/>
        </w:rPr>
        <w:t> </w:t>
      </w:r>
      <w:r>
        <w:rPr/>
        <w:t>agua.</w:t>
      </w:r>
    </w:p>
    <w:p>
      <w:pPr>
        <w:pStyle w:val="BodyText"/>
        <w:spacing w:before="7"/>
        <w:rPr>
          <w:sz w:val="17"/>
        </w:rPr>
      </w:pPr>
    </w:p>
    <w:p>
      <w:pPr>
        <w:pStyle w:val="BodyText"/>
        <w:spacing w:line="360" w:lineRule="auto"/>
        <w:ind w:left="102" w:right="114"/>
        <w:jc w:val="both"/>
      </w:pPr>
      <w:r>
        <w:rPr/>
        <w:t>En las siguientes tablas se aprecia la importancia general que tiene la presa Huapango en la vida cotidiana de los pueblos y municipios que la conforman, ya que a partir de su construcción en el siglo XVIII, ésta generó un modo de vida regional que relaciona a los habitantes a través de sus agricultura, ganadería y pesca, y fiestas principalmente.</w:t>
      </w:r>
    </w:p>
    <w:p>
      <w:pPr>
        <w:pStyle w:val="BodyText"/>
        <w:spacing w:before="4"/>
        <w:rPr>
          <w:sz w:val="17"/>
        </w:rPr>
      </w:pPr>
    </w:p>
    <w:p>
      <w:pPr>
        <w:pStyle w:val="Heading6"/>
        <w:ind w:left="1479"/>
      </w:pPr>
      <w:r>
        <w:rPr/>
        <w:t>Tabla 4.1. Características generales de la presa Huapango</w:t>
      </w:r>
    </w:p>
    <w:p>
      <w:pPr>
        <w:pStyle w:val="BodyText"/>
        <w:spacing w:before="10"/>
        <w:rPr>
          <w:b/>
          <w:sz w:val="28"/>
        </w:rPr>
      </w:pPr>
    </w:p>
    <w:tbl>
      <w:tblPr>
        <w:tblW w:w="0" w:type="auto"/>
        <w:jc w:val="left"/>
        <w:tblInd w:w="9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02"/>
        <w:gridCol w:w="4890"/>
      </w:tblGrid>
      <w:tr>
        <w:trPr>
          <w:trHeight w:val="500" w:hRule="exact"/>
        </w:trPr>
        <w:tc>
          <w:tcPr>
            <w:tcW w:w="7192" w:type="dxa"/>
            <w:gridSpan w:val="2"/>
            <w:shd w:val="clear" w:color="auto" w:fill="BEBEBE"/>
          </w:tcPr>
          <w:p>
            <w:pPr>
              <w:pStyle w:val="TableParagraph"/>
              <w:spacing w:line="248" w:lineRule="exact"/>
              <w:ind w:left="379"/>
              <w:rPr>
                <w:b/>
                <w:sz w:val="22"/>
              </w:rPr>
            </w:pPr>
            <w:r>
              <w:rPr>
                <w:b/>
                <w:sz w:val="22"/>
              </w:rPr>
              <w:t>CARACTERÍSTICAS GENERALES DE LA PRESA HUAPANGO</w:t>
            </w:r>
          </w:p>
        </w:tc>
      </w:tr>
      <w:tr>
        <w:trPr>
          <w:trHeight w:val="994" w:hRule="exact"/>
        </w:trPr>
        <w:tc>
          <w:tcPr>
            <w:tcW w:w="2302" w:type="dxa"/>
          </w:tcPr>
          <w:p>
            <w:pPr>
              <w:pStyle w:val="TableParagraph"/>
              <w:spacing w:line="276" w:lineRule="auto"/>
              <w:ind w:right="788"/>
              <w:rPr>
                <w:b/>
                <w:sz w:val="22"/>
              </w:rPr>
            </w:pPr>
            <w:r>
              <w:rPr>
                <w:b/>
                <w:sz w:val="22"/>
              </w:rPr>
              <w:t>Año de construcción</w:t>
            </w:r>
          </w:p>
        </w:tc>
        <w:tc>
          <w:tcPr>
            <w:tcW w:w="4890" w:type="dxa"/>
          </w:tcPr>
          <w:p>
            <w:pPr>
              <w:pStyle w:val="TableParagraph"/>
              <w:ind w:left="0"/>
              <w:rPr>
                <w:b/>
                <w:sz w:val="22"/>
              </w:rPr>
            </w:pPr>
          </w:p>
          <w:p>
            <w:pPr>
              <w:pStyle w:val="TableParagraph"/>
              <w:spacing w:before="6"/>
              <w:ind w:left="0"/>
              <w:rPr>
                <w:b/>
                <w:sz w:val="20"/>
              </w:rPr>
            </w:pPr>
          </w:p>
          <w:p>
            <w:pPr>
              <w:pStyle w:val="TableParagraph"/>
              <w:ind w:right="159"/>
              <w:rPr>
                <w:sz w:val="22"/>
              </w:rPr>
            </w:pPr>
            <w:r>
              <w:rPr>
                <w:sz w:val="22"/>
              </w:rPr>
              <w:t>1785 y 1788</w:t>
            </w:r>
          </w:p>
        </w:tc>
      </w:tr>
      <w:tr>
        <w:trPr>
          <w:trHeight w:val="499" w:hRule="exact"/>
        </w:trPr>
        <w:tc>
          <w:tcPr>
            <w:tcW w:w="2302" w:type="dxa"/>
          </w:tcPr>
          <w:p>
            <w:pPr>
              <w:pStyle w:val="TableParagraph"/>
              <w:spacing w:line="248" w:lineRule="exact"/>
              <w:ind w:right="788"/>
              <w:rPr>
                <w:b/>
                <w:sz w:val="22"/>
              </w:rPr>
            </w:pPr>
            <w:r>
              <w:rPr>
                <w:b/>
                <w:sz w:val="22"/>
              </w:rPr>
              <w:t>Ingenieros</w:t>
            </w:r>
          </w:p>
        </w:tc>
        <w:tc>
          <w:tcPr>
            <w:tcW w:w="4890" w:type="dxa"/>
          </w:tcPr>
          <w:p>
            <w:pPr>
              <w:pStyle w:val="TableParagraph"/>
              <w:spacing w:line="251" w:lineRule="exact"/>
              <w:ind w:right="159"/>
              <w:rPr>
                <w:sz w:val="22"/>
              </w:rPr>
            </w:pPr>
            <w:r>
              <w:rPr>
                <w:sz w:val="22"/>
              </w:rPr>
              <w:t>Religiosos (Franciscanos)</w:t>
            </w:r>
          </w:p>
        </w:tc>
      </w:tr>
      <w:tr>
        <w:trPr>
          <w:trHeight w:val="502" w:hRule="exact"/>
        </w:trPr>
        <w:tc>
          <w:tcPr>
            <w:tcW w:w="2302" w:type="dxa"/>
          </w:tcPr>
          <w:p>
            <w:pPr>
              <w:pStyle w:val="TableParagraph"/>
              <w:spacing w:line="248" w:lineRule="exact"/>
              <w:ind w:right="666"/>
              <w:rPr>
                <w:b/>
                <w:sz w:val="22"/>
              </w:rPr>
            </w:pPr>
            <w:r>
              <w:rPr>
                <w:b/>
                <w:sz w:val="22"/>
              </w:rPr>
              <w:t>Uso principal</w:t>
            </w:r>
          </w:p>
        </w:tc>
        <w:tc>
          <w:tcPr>
            <w:tcW w:w="4890" w:type="dxa"/>
          </w:tcPr>
          <w:p>
            <w:pPr>
              <w:pStyle w:val="TableParagraph"/>
              <w:spacing w:line="251" w:lineRule="exact"/>
              <w:ind w:right="159"/>
              <w:rPr>
                <w:sz w:val="22"/>
              </w:rPr>
            </w:pPr>
            <w:r>
              <w:rPr>
                <w:sz w:val="22"/>
              </w:rPr>
              <w:t>Irrigación</w:t>
            </w:r>
          </w:p>
        </w:tc>
      </w:tr>
      <w:tr>
        <w:trPr>
          <w:trHeight w:val="502" w:hRule="exact"/>
        </w:trPr>
        <w:tc>
          <w:tcPr>
            <w:tcW w:w="2302" w:type="dxa"/>
          </w:tcPr>
          <w:p>
            <w:pPr>
              <w:pStyle w:val="TableParagraph"/>
              <w:spacing w:line="248" w:lineRule="exact"/>
              <w:ind w:right="788"/>
              <w:rPr>
                <w:b/>
                <w:sz w:val="22"/>
              </w:rPr>
            </w:pPr>
            <w:r>
              <w:rPr>
                <w:b/>
                <w:sz w:val="22"/>
              </w:rPr>
              <w:t>Capacidad</w:t>
            </w:r>
          </w:p>
        </w:tc>
        <w:tc>
          <w:tcPr>
            <w:tcW w:w="4890" w:type="dxa"/>
          </w:tcPr>
          <w:p>
            <w:pPr>
              <w:pStyle w:val="TableParagraph"/>
              <w:spacing w:line="251" w:lineRule="exact"/>
              <w:ind w:right="159"/>
              <w:rPr>
                <w:sz w:val="14"/>
              </w:rPr>
            </w:pPr>
            <w:r>
              <w:rPr>
                <w:sz w:val="22"/>
              </w:rPr>
              <w:t>121, 300 millones de m</w:t>
            </w:r>
            <w:r>
              <w:rPr>
                <w:position w:val="8"/>
                <w:sz w:val="14"/>
              </w:rPr>
              <w:t>3</w:t>
            </w:r>
          </w:p>
        </w:tc>
      </w:tr>
      <w:tr>
        <w:trPr>
          <w:trHeight w:val="499" w:hRule="exact"/>
        </w:trPr>
        <w:tc>
          <w:tcPr>
            <w:tcW w:w="2302" w:type="dxa"/>
          </w:tcPr>
          <w:p>
            <w:pPr>
              <w:pStyle w:val="TableParagraph"/>
              <w:spacing w:line="248" w:lineRule="exact"/>
              <w:ind w:right="788"/>
              <w:rPr>
                <w:b/>
                <w:sz w:val="22"/>
              </w:rPr>
            </w:pPr>
            <w:r>
              <w:rPr>
                <w:b/>
                <w:sz w:val="22"/>
              </w:rPr>
              <w:t>Cuenca</w:t>
            </w:r>
          </w:p>
        </w:tc>
        <w:tc>
          <w:tcPr>
            <w:tcW w:w="4890" w:type="dxa"/>
          </w:tcPr>
          <w:p>
            <w:pPr>
              <w:pStyle w:val="TableParagraph"/>
              <w:spacing w:line="251" w:lineRule="exact"/>
              <w:ind w:right="159"/>
              <w:rPr>
                <w:sz w:val="22"/>
              </w:rPr>
            </w:pPr>
            <w:r>
              <w:rPr>
                <w:sz w:val="22"/>
              </w:rPr>
              <w:t>Río Pánuco</w:t>
            </w:r>
          </w:p>
        </w:tc>
      </w:tr>
      <w:tr>
        <w:trPr>
          <w:trHeight w:val="502" w:hRule="exact"/>
        </w:trPr>
        <w:tc>
          <w:tcPr>
            <w:tcW w:w="2302" w:type="dxa"/>
          </w:tcPr>
          <w:p>
            <w:pPr>
              <w:pStyle w:val="TableParagraph"/>
              <w:spacing w:line="251" w:lineRule="exact"/>
              <w:ind w:right="788"/>
              <w:rPr>
                <w:b/>
                <w:sz w:val="22"/>
              </w:rPr>
            </w:pPr>
            <w:r>
              <w:rPr>
                <w:b/>
                <w:sz w:val="22"/>
              </w:rPr>
              <w:t>Subcuenca</w:t>
            </w:r>
          </w:p>
        </w:tc>
        <w:tc>
          <w:tcPr>
            <w:tcW w:w="4890" w:type="dxa"/>
          </w:tcPr>
          <w:p>
            <w:pPr>
              <w:pStyle w:val="TableParagraph"/>
              <w:ind w:right="159"/>
              <w:rPr>
                <w:sz w:val="22"/>
              </w:rPr>
            </w:pPr>
            <w:r>
              <w:rPr>
                <w:sz w:val="22"/>
              </w:rPr>
              <w:t>Arroyo Zarco</w:t>
            </w:r>
          </w:p>
        </w:tc>
      </w:tr>
      <w:tr>
        <w:trPr>
          <w:trHeight w:val="502" w:hRule="exact"/>
        </w:trPr>
        <w:tc>
          <w:tcPr>
            <w:tcW w:w="2302" w:type="dxa"/>
          </w:tcPr>
          <w:p>
            <w:pPr>
              <w:pStyle w:val="TableParagraph"/>
              <w:spacing w:line="248" w:lineRule="exact"/>
              <w:ind w:right="788"/>
              <w:rPr>
                <w:b/>
                <w:sz w:val="22"/>
              </w:rPr>
            </w:pPr>
            <w:r>
              <w:rPr>
                <w:b/>
                <w:sz w:val="22"/>
              </w:rPr>
              <w:t>Vertiente</w:t>
            </w:r>
          </w:p>
        </w:tc>
        <w:tc>
          <w:tcPr>
            <w:tcW w:w="4890" w:type="dxa"/>
          </w:tcPr>
          <w:p>
            <w:pPr>
              <w:pStyle w:val="TableParagraph"/>
              <w:spacing w:line="251" w:lineRule="exact"/>
              <w:ind w:right="159"/>
              <w:rPr>
                <w:sz w:val="22"/>
              </w:rPr>
            </w:pPr>
            <w:r>
              <w:rPr>
                <w:sz w:val="22"/>
              </w:rPr>
              <w:t>Vertiente del Golfo de México</w:t>
            </w:r>
          </w:p>
        </w:tc>
      </w:tr>
      <w:tr>
        <w:trPr>
          <w:trHeight w:val="792" w:hRule="exact"/>
        </w:trPr>
        <w:tc>
          <w:tcPr>
            <w:tcW w:w="2302" w:type="dxa"/>
          </w:tcPr>
          <w:p>
            <w:pPr>
              <w:pStyle w:val="TableParagraph"/>
              <w:spacing w:line="248" w:lineRule="exact"/>
              <w:ind w:right="788"/>
              <w:rPr>
                <w:b/>
                <w:sz w:val="22"/>
              </w:rPr>
            </w:pPr>
            <w:r>
              <w:rPr>
                <w:b/>
                <w:sz w:val="22"/>
              </w:rPr>
              <w:t>Longitud</w:t>
            </w:r>
          </w:p>
        </w:tc>
        <w:tc>
          <w:tcPr>
            <w:tcW w:w="4890" w:type="dxa"/>
          </w:tcPr>
          <w:p>
            <w:pPr>
              <w:pStyle w:val="TableParagraph"/>
              <w:spacing w:line="276" w:lineRule="auto"/>
              <w:ind w:right="159"/>
              <w:rPr>
                <w:sz w:val="22"/>
              </w:rPr>
            </w:pPr>
            <w:r>
              <w:rPr>
                <w:sz w:val="22"/>
              </w:rPr>
              <w:t>22 km Ancho de 3.5 km y la parte más angosta oscila entre 70 y 120 m.</w:t>
            </w:r>
          </w:p>
        </w:tc>
      </w:tr>
      <w:tr>
        <w:trPr>
          <w:trHeight w:val="792" w:hRule="exact"/>
        </w:trPr>
        <w:tc>
          <w:tcPr>
            <w:tcW w:w="2302" w:type="dxa"/>
          </w:tcPr>
          <w:p>
            <w:pPr>
              <w:pStyle w:val="TableParagraph"/>
              <w:spacing w:line="276" w:lineRule="auto"/>
              <w:ind w:right="666"/>
              <w:rPr>
                <w:b/>
                <w:sz w:val="22"/>
              </w:rPr>
            </w:pPr>
            <w:r>
              <w:rPr>
                <w:b/>
                <w:sz w:val="22"/>
              </w:rPr>
              <w:t>Longitud de la cortina</w:t>
            </w:r>
          </w:p>
        </w:tc>
        <w:tc>
          <w:tcPr>
            <w:tcW w:w="4890" w:type="dxa"/>
          </w:tcPr>
          <w:p>
            <w:pPr>
              <w:pStyle w:val="TableParagraph"/>
              <w:spacing w:line="251" w:lineRule="exact"/>
              <w:ind w:right="159"/>
              <w:rPr>
                <w:sz w:val="22"/>
              </w:rPr>
            </w:pPr>
            <w:r>
              <w:rPr>
                <w:sz w:val="22"/>
              </w:rPr>
              <w:t>110 m</w:t>
            </w:r>
          </w:p>
        </w:tc>
      </w:tr>
    </w:tbl>
    <w:p>
      <w:pPr>
        <w:spacing w:after="0" w:line="251" w:lineRule="exact"/>
        <w:rPr>
          <w:sz w:val="22"/>
        </w:rPr>
        <w:sectPr>
          <w:pgSz w:w="12240" w:h="15840"/>
          <w:pgMar w:header="0" w:footer="1003" w:top="1360" w:bottom="1200" w:left="1600" w:right="1580"/>
        </w:sectPr>
      </w:pPr>
    </w:p>
    <w:p>
      <w:pPr>
        <w:pStyle w:val="BodyText"/>
        <w:ind w:left="920"/>
        <w:rPr>
          <w:sz w:val="20"/>
        </w:rPr>
      </w:pPr>
      <w:r>
        <w:rPr>
          <w:sz w:val="20"/>
        </w:rPr>
        <w:pict>
          <v:group style="width:360.1pt;height:26.1pt;mso-position-horizontal-relative:char;mso-position-vertical-relative:line" coordorigin="0,0" coordsize="7202,522">
            <v:line style="position:absolute" from="10,10" to="2302,10" stroked="true" strokeweight=".48pt" strokecolor="#000000"/>
            <v:line style="position:absolute" from="2312,10" to="7192,10" stroked="true" strokeweight=".48pt" strokecolor="#000000"/>
            <v:line style="position:absolute" from="5,5" to="5,517" stroked="true" strokeweight=".48pt" strokecolor="#000000"/>
            <v:line style="position:absolute" from="10,512" to="2302,512" stroked="true" strokeweight=".48pt" strokecolor="#000000"/>
            <v:line style="position:absolute" from="2307,5" to="2307,517" stroked="true" strokeweight=".48pt" strokecolor="#000000"/>
            <v:line style="position:absolute" from="2312,512" to="7192,512" stroked="true" strokeweight=".48pt" strokecolor="#000000"/>
            <v:line style="position:absolute" from="7197,5" to="7197,517" stroked="true" strokeweight=".48001pt" strokecolor="#000000"/>
            <v:shape style="position:absolute;left:5;top:10;width:2303;height:502" type="#_x0000_t202" filled="false" stroked="false">
              <v:textbox inset="0,0,0,0">
                <w:txbxContent>
                  <w:p>
                    <w:pPr>
                      <w:spacing w:before="0"/>
                      <w:ind w:left="108" w:right="0" w:firstLine="0"/>
                      <w:jc w:val="left"/>
                      <w:rPr>
                        <w:b/>
                        <w:sz w:val="22"/>
                      </w:rPr>
                    </w:pPr>
                    <w:r>
                      <w:rPr>
                        <w:b/>
                        <w:sz w:val="22"/>
                      </w:rPr>
                      <w:t>Altura de la cortina</w:t>
                    </w:r>
                  </w:p>
                </w:txbxContent>
              </v:textbox>
              <w10:wrap type="none"/>
            </v:shape>
            <v:shape style="position:absolute;left:2415;top:40;width:492;height:221" type="#_x0000_t202" filled="false" stroked="false">
              <v:textbox inset="0,0,0,0">
                <w:txbxContent>
                  <w:p>
                    <w:pPr>
                      <w:spacing w:line="221" w:lineRule="exact" w:before="0"/>
                      <w:ind w:left="0" w:right="-18" w:firstLine="0"/>
                      <w:jc w:val="left"/>
                      <w:rPr>
                        <w:sz w:val="22"/>
                      </w:rPr>
                    </w:pPr>
                    <w:r>
                      <w:rPr>
                        <w:sz w:val="22"/>
                      </w:rPr>
                      <w:t>14 m</w:t>
                    </w:r>
                  </w:p>
                </w:txbxContent>
              </v:textbox>
              <w10:wrap type="none"/>
            </v:shape>
          </v:group>
        </w:pict>
      </w:r>
      <w:r>
        <w:rPr>
          <w:sz w:val="20"/>
        </w:rPr>
      </w:r>
    </w:p>
    <w:p>
      <w:pPr>
        <w:pStyle w:val="BodyText"/>
        <w:spacing w:line="208" w:lineRule="exact"/>
        <w:ind w:left="102"/>
      </w:pPr>
      <w:r>
        <w:rPr>
          <w:b/>
        </w:rPr>
        <w:t>Fuente: </w:t>
      </w:r>
      <w:r>
        <w:rPr/>
        <w:t>Elaboración propia con datos del INEGI, 2010 y del H. Ayuntamiento de  </w:t>
      </w:r>
      <w:r>
        <w:rPr>
          <w:spacing w:val="60"/>
        </w:rPr>
        <w:t> </w:t>
      </w:r>
      <w:r>
        <w:rPr/>
        <w:t>Aculco,</w:t>
      </w:r>
    </w:p>
    <w:p>
      <w:pPr>
        <w:pStyle w:val="BodyText"/>
        <w:spacing w:before="128"/>
        <w:ind w:left="102"/>
      </w:pPr>
      <w:r>
        <w:rPr/>
        <w:t>2009.</w:t>
      </w:r>
    </w:p>
    <w:p>
      <w:pPr>
        <w:pStyle w:val="BodyText"/>
        <w:spacing w:before="1"/>
        <w:rPr>
          <w:sz w:val="28"/>
        </w:rPr>
      </w:pPr>
    </w:p>
    <w:p>
      <w:pPr>
        <w:pStyle w:val="Heading6"/>
        <w:ind w:left="274"/>
      </w:pPr>
      <w:r>
        <w:rPr/>
        <w:t>Tabla 4.2. Características hidrológicas de la Cuenca Hidrosocial Presa Huapango</w:t>
      </w:r>
    </w:p>
    <w:p>
      <w:pPr>
        <w:pStyle w:val="BodyText"/>
        <w:spacing w:before="9" w:after="1"/>
        <w:rPr>
          <w:b/>
          <w:sz w:val="17"/>
        </w:rPr>
      </w:pPr>
    </w:p>
    <w:tbl>
      <w:tblPr>
        <w:tblW w:w="0" w:type="auto"/>
        <w:jc w:val="left"/>
        <w:tblInd w:w="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3843"/>
      </w:tblGrid>
      <w:tr>
        <w:trPr>
          <w:trHeight w:val="792" w:hRule="exact"/>
        </w:trPr>
        <w:tc>
          <w:tcPr>
            <w:tcW w:w="8332" w:type="dxa"/>
            <w:gridSpan w:val="2"/>
            <w:shd w:val="clear" w:color="auto" w:fill="BEBEBE"/>
          </w:tcPr>
          <w:p>
            <w:pPr>
              <w:pStyle w:val="TableParagraph"/>
              <w:spacing w:line="276" w:lineRule="auto"/>
              <w:ind w:left="3518" w:right="134" w:hanging="3368"/>
              <w:rPr>
                <w:b/>
                <w:sz w:val="22"/>
              </w:rPr>
            </w:pPr>
            <w:r>
              <w:rPr>
                <w:b/>
                <w:sz w:val="22"/>
              </w:rPr>
              <w:t>CARACTERÍSTICAS HIDROLÓGICAS DE LA CUENCA HIDROSOCIAL PRESA HUAPANGO</w:t>
            </w:r>
          </w:p>
        </w:tc>
      </w:tr>
      <w:tr>
        <w:trPr>
          <w:trHeight w:val="992" w:hRule="exact"/>
        </w:trPr>
        <w:tc>
          <w:tcPr>
            <w:tcW w:w="4489" w:type="dxa"/>
          </w:tcPr>
          <w:p>
            <w:pPr>
              <w:pStyle w:val="TableParagraph"/>
              <w:spacing w:line="248" w:lineRule="exact"/>
              <w:ind w:right="223"/>
              <w:rPr>
                <w:b/>
                <w:sz w:val="22"/>
              </w:rPr>
            </w:pPr>
            <w:r>
              <w:rPr>
                <w:b/>
                <w:sz w:val="22"/>
              </w:rPr>
              <w:t>Área de la cuenca</w:t>
            </w:r>
          </w:p>
        </w:tc>
        <w:tc>
          <w:tcPr>
            <w:tcW w:w="3843" w:type="dxa"/>
          </w:tcPr>
          <w:p>
            <w:pPr>
              <w:pStyle w:val="TableParagraph"/>
              <w:ind w:left="0"/>
              <w:rPr>
                <w:b/>
                <w:sz w:val="22"/>
              </w:rPr>
            </w:pPr>
          </w:p>
          <w:p>
            <w:pPr>
              <w:pStyle w:val="TableParagraph"/>
              <w:spacing w:before="6"/>
              <w:ind w:left="0"/>
              <w:rPr>
                <w:b/>
                <w:sz w:val="20"/>
              </w:rPr>
            </w:pPr>
          </w:p>
          <w:p>
            <w:pPr>
              <w:pStyle w:val="TableParagraph"/>
              <w:ind w:right="127"/>
              <w:rPr>
                <w:sz w:val="22"/>
              </w:rPr>
            </w:pPr>
            <w:r>
              <w:rPr>
                <w:sz w:val="22"/>
              </w:rPr>
              <w:t>625.8 km² ó 62,588 hectáreas</w:t>
            </w:r>
          </w:p>
        </w:tc>
      </w:tr>
      <w:tr>
        <w:trPr>
          <w:trHeight w:val="1375" w:hRule="exact"/>
        </w:trPr>
        <w:tc>
          <w:tcPr>
            <w:tcW w:w="4489" w:type="dxa"/>
          </w:tcPr>
          <w:p>
            <w:pPr>
              <w:pStyle w:val="TableParagraph"/>
              <w:spacing w:line="465" w:lineRule="auto"/>
              <w:ind w:right="223"/>
              <w:rPr>
                <w:b/>
                <w:sz w:val="22"/>
              </w:rPr>
            </w:pPr>
            <w:r>
              <w:rPr>
                <w:b/>
                <w:sz w:val="22"/>
              </w:rPr>
              <w:t>Elevaciones principales que dan origen a la cuenca</w:t>
            </w:r>
          </w:p>
        </w:tc>
        <w:tc>
          <w:tcPr>
            <w:tcW w:w="3843" w:type="dxa"/>
          </w:tcPr>
          <w:p>
            <w:pPr>
              <w:pStyle w:val="TableParagraph"/>
              <w:spacing w:line="276" w:lineRule="auto"/>
              <w:ind w:right="100"/>
              <w:jc w:val="both"/>
              <w:rPr>
                <w:sz w:val="22"/>
              </w:rPr>
            </w:pPr>
            <w:r>
              <w:rPr>
                <w:sz w:val="22"/>
              </w:rPr>
              <w:t>Cerro El Pelón de más de 3,420 msnm, peña Redonda y peña Picuda de 3,230 msnm (Acambay). Cerro El Ñadó (Aculco, Timilpan),</w:t>
            </w:r>
          </w:p>
        </w:tc>
      </w:tr>
      <w:tr>
        <w:trPr>
          <w:trHeight w:val="499" w:hRule="exact"/>
        </w:trPr>
        <w:tc>
          <w:tcPr>
            <w:tcW w:w="4489" w:type="dxa"/>
          </w:tcPr>
          <w:p>
            <w:pPr>
              <w:pStyle w:val="TableParagraph"/>
              <w:spacing w:line="248" w:lineRule="exact"/>
              <w:ind w:right="223"/>
              <w:rPr>
                <w:b/>
                <w:sz w:val="22"/>
              </w:rPr>
            </w:pPr>
            <w:r>
              <w:rPr>
                <w:b/>
                <w:sz w:val="22"/>
              </w:rPr>
              <w:t>Precipitación anual</w:t>
            </w:r>
          </w:p>
        </w:tc>
        <w:tc>
          <w:tcPr>
            <w:tcW w:w="3843" w:type="dxa"/>
          </w:tcPr>
          <w:p>
            <w:pPr>
              <w:pStyle w:val="TableParagraph"/>
              <w:spacing w:line="251" w:lineRule="exact"/>
              <w:ind w:right="127"/>
              <w:rPr>
                <w:sz w:val="22"/>
              </w:rPr>
            </w:pPr>
            <w:r>
              <w:rPr>
                <w:sz w:val="22"/>
              </w:rPr>
              <w:t>600-1200 mm</w:t>
            </w:r>
          </w:p>
        </w:tc>
      </w:tr>
      <w:tr>
        <w:trPr>
          <w:trHeight w:val="528" w:hRule="exact"/>
        </w:trPr>
        <w:tc>
          <w:tcPr>
            <w:tcW w:w="4489" w:type="dxa"/>
          </w:tcPr>
          <w:p>
            <w:pPr>
              <w:pStyle w:val="TableParagraph"/>
              <w:spacing w:line="248" w:lineRule="exact"/>
              <w:ind w:right="223"/>
              <w:rPr>
                <w:b/>
                <w:sz w:val="22"/>
              </w:rPr>
            </w:pPr>
            <w:r>
              <w:rPr>
                <w:b/>
                <w:sz w:val="22"/>
              </w:rPr>
              <w:t>Temperatura</w:t>
            </w:r>
          </w:p>
        </w:tc>
        <w:tc>
          <w:tcPr>
            <w:tcW w:w="3843" w:type="dxa"/>
          </w:tcPr>
          <w:p>
            <w:pPr>
              <w:pStyle w:val="TableParagraph"/>
              <w:spacing w:line="270" w:lineRule="exact"/>
              <w:ind w:right="127"/>
              <w:rPr>
                <w:rFonts w:ascii="Times New Roman" w:hAnsi="Times New Roman"/>
                <w:sz w:val="24"/>
              </w:rPr>
            </w:pPr>
            <w:r>
              <w:rPr>
                <w:sz w:val="22"/>
              </w:rPr>
              <w:t>8-18</w:t>
            </w:r>
            <w:r>
              <w:rPr>
                <w:rFonts w:ascii="Times New Roman" w:hAnsi="Times New Roman"/>
                <w:sz w:val="24"/>
              </w:rPr>
              <w:t>°C</w:t>
            </w:r>
          </w:p>
        </w:tc>
      </w:tr>
      <w:tr>
        <w:trPr>
          <w:trHeight w:val="792" w:hRule="exact"/>
        </w:trPr>
        <w:tc>
          <w:tcPr>
            <w:tcW w:w="4489" w:type="dxa"/>
          </w:tcPr>
          <w:p>
            <w:pPr>
              <w:pStyle w:val="TableParagraph"/>
              <w:spacing w:line="248" w:lineRule="exact"/>
              <w:ind w:right="223"/>
              <w:rPr>
                <w:b/>
                <w:sz w:val="22"/>
              </w:rPr>
            </w:pPr>
            <w:r>
              <w:rPr>
                <w:b/>
                <w:sz w:val="22"/>
              </w:rPr>
              <w:t>Clima</w:t>
            </w:r>
          </w:p>
        </w:tc>
        <w:tc>
          <w:tcPr>
            <w:tcW w:w="3843" w:type="dxa"/>
          </w:tcPr>
          <w:p>
            <w:pPr>
              <w:pStyle w:val="TableParagraph"/>
              <w:spacing w:line="276" w:lineRule="auto"/>
              <w:ind w:right="127"/>
              <w:rPr>
                <w:sz w:val="22"/>
              </w:rPr>
            </w:pPr>
            <w:r>
              <w:rPr>
                <w:sz w:val="22"/>
              </w:rPr>
              <w:t>Templado subhúmedo con lluvias en verano</w:t>
            </w:r>
          </w:p>
        </w:tc>
      </w:tr>
      <w:tr>
        <w:trPr>
          <w:trHeight w:val="502" w:hRule="exact"/>
        </w:trPr>
        <w:tc>
          <w:tcPr>
            <w:tcW w:w="4489" w:type="dxa"/>
          </w:tcPr>
          <w:p>
            <w:pPr>
              <w:pStyle w:val="TableParagraph"/>
              <w:spacing w:line="249" w:lineRule="exact"/>
              <w:ind w:right="223"/>
              <w:rPr>
                <w:b/>
                <w:sz w:val="22"/>
              </w:rPr>
            </w:pPr>
            <w:r>
              <w:rPr>
                <w:b/>
                <w:sz w:val="22"/>
              </w:rPr>
              <w:t>Latitud</w:t>
            </w:r>
          </w:p>
        </w:tc>
        <w:tc>
          <w:tcPr>
            <w:tcW w:w="3843" w:type="dxa"/>
          </w:tcPr>
          <w:p>
            <w:pPr>
              <w:pStyle w:val="TableParagraph"/>
              <w:spacing w:line="251" w:lineRule="exact"/>
              <w:ind w:right="127"/>
              <w:rPr>
                <w:sz w:val="22"/>
              </w:rPr>
            </w:pPr>
            <w:r>
              <w:rPr>
                <w:sz w:val="22"/>
              </w:rPr>
              <w:t>20° 03´16´´</w:t>
            </w:r>
          </w:p>
        </w:tc>
      </w:tr>
      <w:tr>
        <w:trPr>
          <w:trHeight w:val="499" w:hRule="exact"/>
        </w:trPr>
        <w:tc>
          <w:tcPr>
            <w:tcW w:w="4489" w:type="dxa"/>
          </w:tcPr>
          <w:p>
            <w:pPr>
              <w:pStyle w:val="TableParagraph"/>
              <w:spacing w:line="248" w:lineRule="exact"/>
              <w:ind w:right="223"/>
              <w:rPr>
                <w:b/>
                <w:sz w:val="22"/>
              </w:rPr>
            </w:pPr>
            <w:r>
              <w:rPr>
                <w:b/>
                <w:sz w:val="22"/>
              </w:rPr>
              <w:t>Longitud</w:t>
            </w:r>
          </w:p>
        </w:tc>
        <w:tc>
          <w:tcPr>
            <w:tcW w:w="3843" w:type="dxa"/>
          </w:tcPr>
          <w:p>
            <w:pPr>
              <w:pStyle w:val="TableParagraph"/>
              <w:spacing w:line="251" w:lineRule="exact"/>
              <w:ind w:right="127"/>
              <w:rPr>
                <w:sz w:val="22"/>
              </w:rPr>
            </w:pPr>
            <w:r>
              <w:rPr>
                <w:sz w:val="22"/>
              </w:rPr>
              <w:t>99° 41´25´´</w:t>
            </w:r>
          </w:p>
        </w:tc>
      </w:tr>
      <w:tr>
        <w:trPr>
          <w:trHeight w:val="502" w:hRule="exact"/>
        </w:trPr>
        <w:tc>
          <w:tcPr>
            <w:tcW w:w="4489" w:type="dxa"/>
          </w:tcPr>
          <w:p>
            <w:pPr>
              <w:pStyle w:val="TableParagraph"/>
              <w:spacing w:line="251" w:lineRule="exact"/>
              <w:ind w:right="223"/>
              <w:rPr>
                <w:b/>
                <w:sz w:val="22"/>
              </w:rPr>
            </w:pPr>
            <w:r>
              <w:rPr>
                <w:b/>
                <w:sz w:val="22"/>
              </w:rPr>
              <w:t>Tipo de suelos</w:t>
            </w:r>
          </w:p>
        </w:tc>
        <w:tc>
          <w:tcPr>
            <w:tcW w:w="3843" w:type="dxa"/>
          </w:tcPr>
          <w:p>
            <w:pPr>
              <w:pStyle w:val="TableParagraph"/>
              <w:ind w:right="127"/>
              <w:rPr>
                <w:sz w:val="22"/>
              </w:rPr>
            </w:pPr>
            <w:r>
              <w:rPr>
                <w:sz w:val="22"/>
              </w:rPr>
              <w:t>Litosol, Feozem, vertizol y planozon.</w:t>
            </w:r>
          </w:p>
        </w:tc>
      </w:tr>
      <w:tr>
        <w:trPr>
          <w:trHeight w:val="502" w:hRule="exact"/>
        </w:trPr>
        <w:tc>
          <w:tcPr>
            <w:tcW w:w="4489" w:type="dxa"/>
          </w:tcPr>
          <w:p>
            <w:pPr>
              <w:pStyle w:val="TableParagraph"/>
              <w:spacing w:line="248" w:lineRule="exact"/>
              <w:ind w:right="223"/>
              <w:rPr>
                <w:b/>
                <w:sz w:val="22"/>
              </w:rPr>
            </w:pPr>
            <w:r>
              <w:rPr>
                <w:b/>
                <w:sz w:val="22"/>
              </w:rPr>
              <w:t>Evaporación</w:t>
            </w:r>
          </w:p>
        </w:tc>
        <w:tc>
          <w:tcPr>
            <w:tcW w:w="3843" w:type="dxa"/>
          </w:tcPr>
          <w:p>
            <w:pPr>
              <w:pStyle w:val="TableParagraph"/>
              <w:spacing w:line="251" w:lineRule="exact"/>
              <w:ind w:right="127"/>
              <w:rPr>
                <w:sz w:val="22"/>
              </w:rPr>
            </w:pPr>
            <w:r>
              <w:rPr>
                <w:sz w:val="22"/>
              </w:rPr>
              <w:t>1,775.0</w:t>
            </w:r>
          </w:p>
        </w:tc>
      </w:tr>
      <w:tr>
        <w:trPr>
          <w:trHeight w:val="3029" w:hRule="exact"/>
        </w:trPr>
        <w:tc>
          <w:tcPr>
            <w:tcW w:w="4489" w:type="dxa"/>
          </w:tcPr>
          <w:p>
            <w:pPr>
              <w:pStyle w:val="TableParagraph"/>
              <w:spacing w:line="248" w:lineRule="exact"/>
              <w:ind w:right="223"/>
              <w:rPr>
                <w:b/>
                <w:sz w:val="22"/>
              </w:rPr>
            </w:pPr>
            <w:r>
              <w:rPr>
                <w:b/>
                <w:sz w:val="22"/>
              </w:rPr>
              <w:t>Vegetación general</w:t>
            </w:r>
          </w:p>
        </w:tc>
        <w:tc>
          <w:tcPr>
            <w:tcW w:w="3843" w:type="dxa"/>
          </w:tcPr>
          <w:p>
            <w:pPr>
              <w:pStyle w:val="TableParagraph"/>
              <w:spacing w:line="276" w:lineRule="auto"/>
              <w:ind w:right="99"/>
              <w:jc w:val="both"/>
              <w:rPr>
                <w:sz w:val="22"/>
              </w:rPr>
            </w:pPr>
            <w:r>
              <w:rPr>
                <w:sz w:val="22"/>
              </w:rPr>
              <w:t>Pino, cedro, ocote, encino, fresno, eucalipto, y sauce, además de frutales como: Manzanos, perales capulín, higo, tuna, ciruelo y  tejocote.</w:t>
            </w:r>
          </w:p>
          <w:p>
            <w:pPr>
              <w:pStyle w:val="TableParagraph"/>
              <w:spacing w:before="4"/>
              <w:ind w:left="0"/>
              <w:rPr>
                <w:b/>
                <w:sz w:val="17"/>
              </w:rPr>
            </w:pPr>
          </w:p>
          <w:p>
            <w:pPr>
              <w:pStyle w:val="TableParagraph"/>
              <w:spacing w:line="276" w:lineRule="auto" w:before="1"/>
              <w:ind w:right="101"/>
              <w:jc w:val="both"/>
              <w:rPr>
                <w:sz w:val="22"/>
              </w:rPr>
            </w:pPr>
            <w:r>
              <w:rPr>
                <w:sz w:val="22"/>
              </w:rPr>
              <w:t>Se tiene también: Agave, berros, carrizo, verdolaga, tule, toloache, yerbabuena, manzanilla, gordolobo, cedrón y ajenjo.</w:t>
            </w:r>
          </w:p>
        </w:tc>
      </w:tr>
    </w:tbl>
    <w:p>
      <w:pPr>
        <w:pStyle w:val="BodyText"/>
        <w:spacing w:line="242" w:lineRule="auto"/>
        <w:ind w:left="2961" w:right="237" w:hanging="2730"/>
      </w:pPr>
      <w:r>
        <w:rPr>
          <w:b/>
        </w:rPr>
        <w:t>Fuente: </w:t>
      </w:r>
      <w:r>
        <w:rPr/>
        <w:t>Elaboración propia con base en el software SIG IDRISI, Gallego, </w:t>
      </w:r>
      <w:r>
        <w:rPr>
          <w:i/>
        </w:rPr>
        <w:t>et al. </w:t>
      </w:r>
      <w:r>
        <w:rPr/>
        <w:t>(2012) y Monografías Municipales, 2009.</w:t>
      </w:r>
    </w:p>
    <w:p>
      <w:pPr>
        <w:spacing w:after="0" w:line="242" w:lineRule="auto"/>
        <w:sectPr>
          <w:pgSz w:w="12240" w:h="15840"/>
          <w:pgMar w:header="0" w:footer="1003" w:top="1420" w:bottom="1200" w:left="1600" w:right="1580"/>
        </w:sectPr>
      </w:pPr>
    </w:p>
    <w:p>
      <w:pPr>
        <w:pStyle w:val="Heading6"/>
        <w:spacing w:before="53"/>
        <w:ind w:left="1561"/>
      </w:pPr>
      <w:r>
        <w:rPr/>
        <w:t>Tabla 4.3. Características sociales de la presa Huapango</w:t>
      </w:r>
    </w:p>
    <w:p>
      <w:pPr>
        <w:pStyle w:val="BodyText"/>
        <w:spacing w:before="10"/>
        <w:rPr>
          <w:b/>
          <w:sz w:val="17"/>
        </w:rPr>
      </w:pPr>
    </w:p>
    <w:tbl>
      <w:tblPr>
        <w:tblW w:w="0" w:type="auto"/>
        <w:jc w:val="left"/>
        <w:tblInd w:w="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3843"/>
      </w:tblGrid>
      <w:tr>
        <w:trPr>
          <w:trHeight w:val="792" w:hRule="exact"/>
        </w:trPr>
        <w:tc>
          <w:tcPr>
            <w:tcW w:w="8332" w:type="dxa"/>
            <w:gridSpan w:val="2"/>
            <w:shd w:val="clear" w:color="auto" w:fill="BEBEBE"/>
          </w:tcPr>
          <w:p>
            <w:pPr>
              <w:pStyle w:val="TableParagraph"/>
              <w:spacing w:line="276" w:lineRule="auto"/>
              <w:ind w:left="3518" w:right="427" w:hanging="3075"/>
              <w:rPr>
                <w:b/>
                <w:sz w:val="22"/>
              </w:rPr>
            </w:pPr>
            <w:r>
              <w:rPr>
                <w:b/>
                <w:sz w:val="22"/>
              </w:rPr>
              <w:t>CARACTERÍSTICAS SOCIALES DE LA CUENCA HIDROSOCIAL PRESA HUAPANGO</w:t>
            </w:r>
          </w:p>
        </w:tc>
      </w:tr>
      <w:tr>
        <w:trPr>
          <w:trHeight w:val="790" w:hRule="exact"/>
        </w:trPr>
        <w:tc>
          <w:tcPr>
            <w:tcW w:w="4489" w:type="dxa"/>
          </w:tcPr>
          <w:p>
            <w:pPr>
              <w:pStyle w:val="TableParagraph"/>
              <w:spacing w:line="276" w:lineRule="auto"/>
              <w:ind w:right="505"/>
              <w:rPr>
                <w:b/>
                <w:sz w:val="22"/>
              </w:rPr>
            </w:pPr>
            <w:r>
              <w:rPr>
                <w:b/>
                <w:sz w:val="22"/>
              </w:rPr>
              <w:t>Municipios que comparten la cuenca hidrosocial</w:t>
            </w:r>
          </w:p>
        </w:tc>
        <w:tc>
          <w:tcPr>
            <w:tcW w:w="3843" w:type="dxa"/>
          </w:tcPr>
          <w:p>
            <w:pPr>
              <w:pStyle w:val="TableParagraph"/>
              <w:spacing w:line="276" w:lineRule="auto"/>
              <w:ind w:right="739"/>
              <w:rPr>
                <w:b/>
                <w:sz w:val="22"/>
              </w:rPr>
            </w:pPr>
            <w:r>
              <w:rPr>
                <w:b/>
                <w:sz w:val="22"/>
              </w:rPr>
              <w:t>Acambay, Aculco, Jilotepec, Timilpan y Polotitlán</w:t>
            </w:r>
          </w:p>
        </w:tc>
      </w:tr>
      <w:tr>
        <w:trPr>
          <w:trHeight w:val="502" w:hRule="exact"/>
        </w:trPr>
        <w:tc>
          <w:tcPr>
            <w:tcW w:w="4489" w:type="dxa"/>
            <w:vMerge w:val="restart"/>
          </w:tcPr>
          <w:p>
            <w:pPr>
              <w:pStyle w:val="TableParagraph"/>
              <w:ind w:left="0"/>
              <w:rPr>
                <w:b/>
                <w:sz w:val="22"/>
              </w:rPr>
            </w:pPr>
          </w:p>
          <w:p>
            <w:pPr>
              <w:pStyle w:val="TableParagraph"/>
              <w:spacing w:before="4"/>
              <w:ind w:left="0"/>
              <w:rPr>
                <w:b/>
                <w:sz w:val="20"/>
              </w:rPr>
            </w:pPr>
          </w:p>
          <w:p>
            <w:pPr>
              <w:pStyle w:val="TableParagraph"/>
              <w:ind w:right="223"/>
              <w:rPr>
                <w:b/>
                <w:sz w:val="22"/>
              </w:rPr>
            </w:pPr>
            <w:r>
              <w:rPr>
                <w:b/>
                <w:sz w:val="22"/>
              </w:rPr>
              <w:t>Población por municipio</w:t>
            </w:r>
          </w:p>
        </w:tc>
        <w:tc>
          <w:tcPr>
            <w:tcW w:w="3843" w:type="dxa"/>
          </w:tcPr>
          <w:p>
            <w:pPr>
              <w:pStyle w:val="TableParagraph"/>
              <w:spacing w:line="251" w:lineRule="exact"/>
              <w:ind w:right="127"/>
              <w:rPr>
                <w:sz w:val="22"/>
              </w:rPr>
            </w:pPr>
            <w:r>
              <w:rPr>
                <w:b/>
                <w:sz w:val="22"/>
              </w:rPr>
              <w:t>Acambay: </w:t>
            </w:r>
            <w:r>
              <w:rPr>
                <w:sz w:val="22"/>
              </w:rPr>
              <w:t>60,918</w:t>
            </w:r>
          </w:p>
        </w:tc>
      </w:tr>
      <w:tr>
        <w:trPr>
          <w:trHeight w:val="502" w:hRule="exact"/>
        </w:trPr>
        <w:tc>
          <w:tcPr>
            <w:tcW w:w="4489" w:type="dxa"/>
            <w:vMerge/>
          </w:tcPr>
          <w:p>
            <w:pPr/>
          </w:p>
        </w:tc>
        <w:tc>
          <w:tcPr>
            <w:tcW w:w="3843" w:type="dxa"/>
          </w:tcPr>
          <w:p>
            <w:pPr>
              <w:pStyle w:val="TableParagraph"/>
              <w:spacing w:line="248" w:lineRule="exact"/>
              <w:ind w:right="127"/>
              <w:rPr>
                <w:sz w:val="22"/>
              </w:rPr>
            </w:pPr>
            <w:r>
              <w:rPr>
                <w:b/>
                <w:sz w:val="22"/>
              </w:rPr>
              <w:t>Aculco: </w:t>
            </w:r>
            <w:r>
              <w:rPr>
                <w:sz w:val="22"/>
              </w:rPr>
              <w:t>44,823</w:t>
            </w:r>
          </w:p>
        </w:tc>
      </w:tr>
      <w:tr>
        <w:trPr>
          <w:trHeight w:val="502" w:hRule="exact"/>
        </w:trPr>
        <w:tc>
          <w:tcPr>
            <w:tcW w:w="4489" w:type="dxa"/>
            <w:vMerge/>
          </w:tcPr>
          <w:p>
            <w:pPr/>
          </w:p>
        </w:tc>
        <w:tc>
          <w:tcPr>
            <w:tcW w:w="3843" w:type="dxa"/>
          </w:tcPr>
          <w:p>
            <w:pPr>
              <w:pStyle w:val="TableParagraph"/>
              <w:spacing w:line="248" w:lineRule="exact"/>
              <w:ind w:right="127"/>
              <w:rPr>
                <w:sz w:val="22"/>
              </w:rPr>
            </w:pPr>
            <w:r>
              <w:rPr>
                <w:b/>
                <w:sz w:val="22"/>
              </w:rPr>
              <w:t>Jilotepec: </w:t>
            </w:r>
            <w:r>
              <w:rPr>
                <w:sz w:val="22"/>
              </w:rPr>
              <w:t>83,755</w:t>
            </w:r>
          </w:p>
        </w:tc>
      </w:tr>
      <w:tr>
        <w:trPr>
          <w:trHeight w:val="500" w:hRule="exact"/>
        </w:trPr>
        <w:tc>
          <w:tcPr>
            <w:tcW w:w="4489" w:type="dxa"/>
            <w:vMerge/>
          </w:tcPr>
          <w:p>
            <w:pPr/>
          </w:p>
        </w:tc>
        <w:tc>
          <w:tcPr>
            <w:tcW w:w="3843" w:type="dxa"/>
          </w:tcPr>
          <w:p>
            <w:pPr>
              <w:pStyle w:val="TableParagraph"/>
              <w:spacing w:line="249" w:lineRule="exact"/>
              <w:ind w:right="127"/>
              <w:rPr>
                <w:sz w:val="22"/>
              </w:rPr>
            </w:pPr>
            <w:r>
              <w:rPr>
                <w:b/>
                <w:sz w:val="22"/>
              </w:rPr>
              <w:t>Timilpan: </w:t>
            </w:r>
            <w:r>
              <w:rPr>
                <w:sz w:val="22"/>
              </w:rPr>
              <w:t>15,391</w:t>
            </w:r>
          </w:p>
        </w:tc>
      </w:tr>
      <w:tr>
        <w:trPr>
          <w:trHeight w:val="502" w:hRule="exact"/>
        </w:trPr>
        <w:tc>
          <w:tcPr>
            <w:tcW w:w="4489" w:type="dxa"/>
            <w:vMerge/>
          </w:tcPr>
          <w:p>
            <w:pPr/>
          </w:p>
        </w:tc>
        <w:tc>
          <w:tcPr>
            <w:tcW w:w="3843" w:type="dxa"/>
          </w:tcPr>
          <w:p>
            <w:pPr>
              <w:pStyle w:val="TableParagraph"/>
              <w:spacing w:line="248" w:lineRule="exact"/>
              <w:ind w:right="127"/>
              <w:rPr>
                <w:sz w:val="22"/>
              </w:rPr>
            </w:pPr>
            <w:r>
              <w:rPr>
                <w:b/>
                <w:sz w:val="22"/>
              </w:rPr>
              <w:t>Polotitlán: </w:t>
            </w:r>
            <w:r>
              <w:rPr>
                <w:sz w:val="22"/>
              </w:rPr>
              <w:t>13,002</w:t>
            </w:r>
          </w:p>
        </w:tc>
      </w:tr>
      <w:tr>
        <w:trPr>
          <w:trHeight w:val="502" w:hRule="exact"/>
        </w:trPr>
        <w:tc>
          <w:tcPr>
            <w:tcW w:w="4489" w:type="dxa"/>
            <w:vMerge w:val="restart"/>
          </w:tcPr>
          <w:p>
            <w:pPr>
              <w:pStyle w:val="TableParagraph"/>
              <w:ind w:left="0"/>
              <w:rPr>
                <w:b/>
                <w:sz w:val="22"/>
              </w:rPr>
            </w:pPr>
          </w:p>
          <w:p>
            <w:pPr>
              <w:pStyle w:val="TableParagraph"/>
              <w:spacing w:before="4"/>
              <w:ind w:left="0"/>
              <w:rPr>
                <w:b/>
                <w:sz w:val="20"/>
              </w:rPr>
            </w:pPr>
          </w:p>
          <w:p>
            <w:pPr>
              <w:pStyle w:val="TableParagraph"/>
              <w:ind w:right="223"/>
              <w:rPr>
                <w:b/>
                <w:sz w:val="22"/>
              </w:rPr>
            </w:pPr>
            <w:r>
              <w:rPr>
                <w:b/>
                <w:sz w:val="22"/>
              </w:rPr>
              <w:t>Extensión territorial de cada municipio</w:t>
            </w:r>
          </w:p>
        </w:tc>
        <w:tc>
          <w:tcPr>
            <w:tcW w:w="3843" w:type="dxa"/>
          </w:tcPr>
          <w:p>
            <w:pPr>
              <w:pStyle w:val="TableParagraph"/>
              <w:spacing w:line="248" w:lineRule="exact"/>
              <w:ind w:right="127"/>
              <w:rPr>
                <w:sz w:val="22"/>
              </w:rPr>
            </w:pPr>
            <w:r>
              <w:rPr>
                <w:b/>
                <w:sz w:val="22"/>
              </w:rPr>
              <w:t>Acambay: </w:t>
            </w:r>
            <w:r>
              <w:rPr>
                <w:sz w:val="22"/>
              </w:rPr>
              <w:t>492.13 km²</w:t>
            </w:r>
          </w:p>
        </w:tc>
      </w:tr>
      <w:tr>
        <w:trPr>
          <w:trHeight w:val="499" w:hRule="exact"/>
        </w:trPr>
        <w:tc>
          <w:tcPr>
            <w:tcW w:w="4489" w:type="dxa"/>
            <w:vMerge/>
          </w:tcPr>
          <w:p>
            <w:pPr/>
          </w:p>
        </w:tc>
        <w:tc>
          <w:tcPr>
            <w:tcW w:w="3843" w:type="dxa"/>
          </w:tcPr>
          <w:p>
            <w:pPr>
              <w:pStyle w:val="TableParagraph"/>
              <w:spacing w:line="248" w:lineRule="exact"/>
              <w:ind w:right="127"/>
              <w:rPr>
                <w:sz w:val="22"/>
              </w:rPr>
            </w:pPr>
            <w:r>
              <w:rPr>
                <w:b/>
                <w:sz w:val="22"/>
              </w:rPr>
              <w:t>Aculco: </w:t>
            </w:r>
            <w:r>
              <w:rPr>
                <w:sz w:val="22"/>
              </w:rPr>
              <w:t>465.7 km²</w:t>
            </w:r>
          </w:p>
        </w:tc>
      </w:tr>
      <w:tr>
        <w:trPr>
          <w:trHeight w:val="502" w:hRule="exact"/>
        </w:trPr>
        <w:tc>
          <w:tcPr>
            <w:tcW w:w="4489" w:type="dxa"/>
            <w:vMerge/>
          </w:tcPr>
          <w:p>
            <w:pPr/>
          </w:p>
        </w:tc>
        <w:tc>
          <w:tcPr>
            <w:tcW w:w="3843" w:type="dxa"/>
          </w:tcPr>
          <w:p>
            <w:pPr>
              <w:pStyle w:val="TableParagraph"/>
              <w:spacing w:line="251" w:lineRule="exact"/>
              <w:ind w:right="127"/>
              <w:rPr>
                <w:sz w:val="22"/>
              </w:rPr>
            </w:pPr>
            <w:r>
              <w:rPr>
                <w:b/>
                <w:sz w:val="22"/>
              </w:rPr>
              <w:t>Jilotepec: </w:t>
            </w:r>
            <w:r>
              <w:rPr>
                <w:sz w:val="22"/>
              </w:rPr>
              <w:t>586.53 km²</w:t>
            </w:r>
          </w:p>
        </w:tc>
      </w:tr>
      <w:tr>
        <w:trPr>
          <w:trHeight w:val="502" w:hRule="exact"/>
        </w:trPr>
        <w:tc>
          <w:tcPr>
            <w:tcW w:w="4489" w:type="dxa"/>
            <w:vMerge/>
          </w:tcPr>
          <w:p>
            <w:pPr/>
          </w:p>
        </w:tc>
        <w:tc>
          <w:tcPr>
            <w:tcW w:w="3843" w:type="dxa"/>
          </w:tcPr>
          <w:p>
            <w:pPr>
              <w:pStyle w:val="TableParagraph"/>
              <w:spacing w:line="248" w:lineRule="exact"/>
              <w:ind w:right="127"/>
              <w:rPr>
                <w:sz w:val="22"/>
              </w:rPr>
            </w:pPr>
            <w:r>
              <w:rPr>
                <w:b/>
                <w:sz w:val="22"/>
              </w:rPr>
              <w:t>Timilpan: </w:t>
            </w:r>
            <w:r>
              <w:rPr>
                <w:sz w:val="22"/>
              </w:rPr>
              <w:t>179.82 km²</w:t>
            </w:r>
          </w:p>
        </w:tc>
      </w:tr>
      <w:tr>
        <w:trPr>
          <w:trHeight w:val="502" w:hRule="exact"/>
        </w:trPr>
        <w:tc>
          <w:tcPr>
            <w:tcW w:w="4489" w:type="dxa"/>
          </w:tcPr>
          <w:p>
            <w:pPr/>
          </w:p>
        </w:tc>
        <w:tc>
          <w:tcPr>
            <w:tcW w:w="3843" w:type="dxa"/>
          </w:tcPr>
          <w:p>
            <w:pPr>
              <w:pStyle w:val="TableParagraph"/>
              <w:spacing w:line="248" w:lineRule="exact"/>
              <w:ind w:right="127"/>
              <w:rPr>
                <w:sz w:val="22"/>
              </w:rPr>
            </w:pPr>
            <w:r>
              <w:rPr>
                <w:b/>
                <w:sz w:val="22"/>
              </w:rPr>
              <w:t>Polotitlán: </w:t>
            </w:r>
            <w:r>
              <w:rPr>
                <w:sz w:val="22"/>
              </w:rPr>
              <w:t>132.69 km²</w:t>
            </w:r>
          </w:p>
        </w:tc>
      </w:tr>
      <w:tr>
        <w:trPr>
          <w:trHeight w:val="792" w:hRule="exact"/>
        </w:trPr>
        <w:tc>
          <w:tcPr>
            <w:tcW w:w="4489" w:type="dxa"/>
          </w:tcPr>
          <w:p>
            <w:pPr>
              <w:pStyle w:val="TableParagraph"/>
              <w:spacing w:line="276" w:lineRule="auto"/>
              <w:ind w:right="1287"/>
              <w:rPr>
                <w:b/>
                <w:sz w:val="22"/>
              </w:rPr>
            </w:pPr>
            <w:r>
              <w:rPr>
                <w:b/>
                <w:sz w:val="22"/>
              </w:rPr>
              <w:t>Actividades económicas más importantes</w:t>
            </w:r>
          </w:p>
        </w:tc>
        <w:tc>
          <w:tcPr>
            <w:tcW w:w="3843" w:type="dxa"/>
          </w:tcPr>
          <w:p>
            <w:pPr>
              <w:pStyle w:val="TableParagraph"/>
              <w:spacing w:line="251" w:lineRule="exact"/>
              <w:ind w:right="127"/>
              <w:rPr>
                <w:sz w:val="22"/>
              </w:rPr>
            </w:pPr>
            <w:r>
              <w:rPr>
                <w:sz w:val="22"/>
              </w:rPr>
              <w:t>Agricultura, ganadería y pesca</w:t>
            </w:r>
          </w:p>
        </w:tc>
      </w:tr>
      <w:tr>
        <w:trPr>
          <w:trHeight w:val="499" w:hRule="exact"/>
        </w:trPr>
        <w:tc>
          <w:tcPr>
            <w:tcW w:w="4489" w:type="dxa"/>
          </w:tcPr>
          <w:p>
            <w:pPr>
              <w:pStyle w:val="TableParagraph"/>
              <w:spacing w:line="248" w:lineRule="exact"/>
              <w:ind w:right="223"/>
              <w:rPr>
                <w:b/>
                <w:sz w:val="22"/>
              </w:rPr>
            </w:pPr>
            <w:r>
              <w:rPr>
                <w:b/>
                <w:sz w:val="22"/>
              </w:rPr>
              <w:t>Etnias y cultura</w:t>
            </w:r>
          </w:p>
        </w:tc>
        <w:tc>
          <w:tcPr>
            <w:tcW w:w="3843" w:type="dxa"/>
          </w:tcPr>
          <w:p>
            <w:pPr>
              <w:pStyle w:val="TableParagraph"/>
              <w:spacing w:line="251" w:lineRule="exact"/>
              <w:rPr>
                <w:sz w:val="22"/>
              </w:rPr>
            </w:pPr>
            <w:r>
              <w:rPr>
                <w:sz w:val="22"/>
              </w:rPr>
              <w:t>Población otomí, ranchera y mestiza.</w:t>
            </w:r>
          </w:p>
        </w:tc>
      </w:tr>
      <w:tr>
        <w:trPr>
          <w:trHeight w:val="502" w:hRule="exact"/>
        </w:trPr>
        <w:tc>
          <w:tcPr>
            <w:tcW w:w="4489" w:type="dxa"/>
          </w:tcPr>
          <w:p>
            <w:pPr>
              <w:pStyle w:val="TableParagraph"/>
              <w:spacing w:line="248" w:lineRule="exact"/>
              <w:ind w:right="223"/>
              <w:rPr>
                <w:b/>
                <w:sz w:val="22"/>
              </w:rPr>
            </w:pPr>
            <w:r>
              <w:rPr>
                <w:b/>
                <w:sz w:val="22"/>
              </w:rPr>
              <w:t>Fiestas regionales</w:t>
            </w:r>
          </w:p>
        </w:tc>
        <w:tc>
          <w:tcPr>
            <w:tcW w:w="3843" w:type="dxa"/>
          </w:tcPr>
          <w:p>
            <w:pPr>
              <w:pStyle w:val="TableParagraph"/>
              <w:spacing w:line="251" w:lineRule="exact"/>
              <w:ind w:right="127"/>
              <w:rPr>
                <w:sz w:val="22"/>
              </w:rPr>
            </w:pPr>
            <w:r>
              <w:rPr>
                <w:sz w:val="22"/>
              </w:rPr>
              <w:t>Fiestas patronales y cabalgatas</w:t>
            </w:r>
          </w:p>
        </w:tc>
      </w:tr>
    </w:tbl>
    <w:p>
      <w:pPr>
        <w:pStyle w:val="BodyText"/>
        <w:spacing w:line="244" w:lineRule="auto"/>
        <w:ind w:left="4245" w:right="313" w:hanging="3932"/>
      </w:pPr>
      <w:r>
        <w:rPr>
          <w:b/>
        </w:rPr>
        <w:t>Fuente: </w:t>
      </w:r>
      <w:r>
        <w:rPr/>
        <w:t>Elaboración propia con datos del INEGI, 2010 y las Monografías Municipales, 2009.</w:t>
      </w:r>
    </w:p>
    <w:p>
      <w:pPr>
        <w:pStyle w:val="Heading6"/>
        <w:numPr>
          <w:ilvl w:val="1"/>
          <w:numId w:val="37"/>
        </w:numPr>
        <w:tabs>
          <w:tab w:pos="532" w:val="left" w:leader="none"/>
        </w:tabs>
        <w:spacing w:line="240" w:lineRule="auto" w:before="191" w:after="0"/>
        <w:ind w:left="531" w:right="0" w:hanging="429"/>
        <w:jc w:val="both"/>
      </w:pPr>
      <w:bookmarkStart w:name="_TOC_250035" w:id="38"/>
      <w:r>
        <w:rPr/>
        <w:t>Formación histórica de los actores de la Cuenca Hidrosocial Presa</w:t>
      </w:r>
      <w:r>
        <w:rPr>
          <w:spacing w:val="-12"/>
        </w:rPr>
        <w:t> </w:t>
      </w:r>
      <w:bookmarkEnd w:id="38"/>
      <w:r>
        <w:rPr/>
        <w:t>Huapango</w:t>
      </w:r>
    </w:p>
    <w:p>
      <w:pPr>
        <w:pStyle w:val="BodyText"/>
        <w:spacing w:before="8"/>
        <w:rPr>
          <w:b/>
          <w:sz w:val="28"/>
        </w:rPr>
      </w:pPr>
    </w:p>
    <w:p>
      <w:pPr>
        <w:pStyle w:val="BodyText"/>
        <w:spacing w:line="360" w:lineRule="auto" w:before="1"/>
        <w:ind w:left="102" w:right="115"/>
        <w:jc w:val="both"/>
      </w:pPr>
      <w:r>
        <w:rPr/>
        <w:t>Una vez descritas las características de la presa Huapango, se describe la formación histórica de los actores de la Cuenca Hidrosocial Presa Huapango, para identificar su origen, sus redes y estructuras sociales, así como su antigua presencia.</w:t>
      </w:r>
    </w:p>
    <w:p>
      <w:pPr>
        <w:spacing w:after="0" w:line="360" w:lineRule="auto"/>
        <w:jc w:val="both"/>
        <w:sectPr>
          <w:pgSz w:w="12240" w:h="15840"/>
          <w:pgMar w:header="0" w:footer="1003" w:top="1360" w:bottom="1200" w:left="1600" w:right="1580"/>
        </w:sectPr>
      </w:pPr>
    </w:p>
    <w:p>
      <w:pPr>
        <w:pStyle w:val="Heading6"/>
        <w:spacing w:before="53"/>
        <w:jc w:val="both"/>
      </w:pPr>
      <w:bookmarkStart w:name="_TOC_250034" w:id="39"/>
      <w:bookmarkEnd w:id="39"/>
      <w:r>
        <w:rPr/>
        <w:t>4.3.1. Identificación de actores</w:t>
      </w:r>
    </w:p>
    <w:p>
      <w:pPr>
        <w:pStyle w:val="BodyText"/>
        <w:spacing w:before="6"/>
        <w:rPr>
          <w:b/>
          <w:sz w:val="28"/>
        </w:rPr>
      </w:pPr>
    </w:p>
    <w:p>
      <w:pPr>
        <w:pStyle w:val="BodyText"/>
        <w:spacing w:line="360" w:lineRule="auto"/>
        <w:ind w:left="102" w:right="119"/>
        <w:jc w:val="both"/>
      </w:pPr>
      <w:r>
        <w:rPr/>
        <w:t>Para identificar y seleccionar los grupos de actores históricos, se hizo uso de la metodología de </w:t>
      </w:r>
      <w:r>
        <w:rPr>
          <w:i/>
        </w:rPr>
        <w:t>grupos ya establecidos </w:t>
      </w:r>
      <w:r>
        <w:rPr/>
        <w:t>(ver mapa mental), planteada por Norman Uphoff (1995: 555), quien manifiesta que:</w:t>
      </w:r>
    </w:p>
    <w:p>
      <w:pPr>
        <w:pStyle w:val="BodyText"/>
      </w:pPr>
    </w:p>
    <w:p>
      <w:pPr>
        <w:pStyle w:val="BodyText"/>
        <w:spacing w:line="360" w:lineRule="auto" w:before="129"/>
        <w:ind w:left="954" w:right="113"/>
        <w:jc w:val="both"/>
      </w:pPr>
      <w:r>
        <w:rPr/>
        <w:t>El marco que se traza para planificar </w:t>
      </w:r>
      <w:r>
        <w:rPr>
          <w:i/>
        </w:rPr>
        <w:t>desde abajo</w:t>
      </w:r>
      <w:r>
        <w:rPr/>
        <w:t>, estipula mayor  contacto directo y personal con toda la gama de actores miembros de la comunidad, por lo que es necesario realizar un diagnóstico cabal de cada comunidad en sus  propios términos. Norman Uphoff (1995), añade que recomienda las reuniones comunitarias organizadas por los mismos actores históricos, y no las reuniones organizadas por equipos externos, ya que éstas últimas son transitorias y efímeras, donde no existe una estructura permanente de acción grupal generada en las comunidades, por lo que no se mantiene ni se sostiene después de que el equipo de externos se</w:t>
      </w:r>
      <w:r>
        <w:rPr>
          <w:spacing w:val="-3"/>
        </w:rPr>
        <w:t> </w:t>
      </w:r>
      <w:r>
        <w:rPr/>
        <w:t>marcha.</w:t>
      </w:r>
    </w:p>
    <w:p>
      <w:pPr>
        <w:pStyle w:val="BodyText"/>
      </w:pPr>
    </w:p>
    <w:p>
      <w:pPr>
        <w:pStyle w:val="BodyText"/>
        <w:spacing w:line="360" w:lineRule="auto" w:before="129"/>
        <w:ind w:left="102" w:right="112"/>
        <w:jc w:val="both"/>
      </w:pPr>
      <w:r>
        <w:rPr/>
        <w:t>Por su utilidad en campo, se optó por identificar a los grupos de actores </w:t>
      </w:r>
      <w:r>
        <w:rPr>
          <w:i/>
        </w:rPr>
        <w:t>ya establecidos </w:t>
      </w:r>
      <w:r>
        <w:rPr/>
        <w:t>históricamente en lugar de conformar grupos de trabajo, los cuales son más efímeros. Es decir, para sostener la participación a largo plazo de los actores, se trabajó con las </w:t>
      </w:r>
      <w:r>
        <w:rPr>
          <w:i/>
        </w:rPr>
        <w:t>estructuras históricas más estables de organización social </w:t>
      </w:r>
      <w:r>
        <w:rPr/>
        <w:t>dentro de las comunidades visitadas (grupos ya conformados). Estas estructuras sociales son medios poderosos de participación en las acciones de planeación (Cfr. Uphoff, 1995).</w:t>
      </w:r>
    </w:p>
    <w:p>
      <w:pPr>
        <w:pStyle w:val="BodyText"/>
      </w:pPr>
    </w:p>
    <w:p>
      <w:pPr>
        <w:pStyle w:val="BodyText"/>
        <w:spacing w:line="360" w:lineRule="auto" w:before="132"/>
        <w:ind w:left="102" w:right="118"/>
        <w:jc w:val="both"/>
      </w:pPr>
      <w:r>
        <w:rPr/>
        <w:t>Esta observación también la apoya Cernea (1995), para quien existe una desafortunada tendencia de ver a la población local como “el problema” y a los técnicos, burócratas y planificadores como “la solución”. Semejante actitud refleja una perspectiva preconcebida sobre la población beneficiaria del proyecto que hace que el propio plan excluya a priori el conocimiento y, por tanto, la aportación de las personas más desfavorecidas.</w:t>
      </w:r>
    </w:p>
    <w:p>
      <w:pPr>
        <w:pStyle w:val="BodyText"/>
        <w:spacing w:before="10"/>
        <w:rPr>
          <w:sz w:val="17"/>
        </w:rPr>
      </w:pPr>
    </w:p>
    <w:p>
      <w:pPr>
        <w:pStyle w:val="BodyText"/>
        <w:spacing w:line="360" w:lineRule="auto"/>
        <w:ind w:left="102" w:right="113"/>
        <w:jc w:val="both"/>
      </w:pPr>
      <w:r>
        <w:rPr/>
        <w:t>El reconocimiento (identificación) de la diversidad de actores que intervienen en relación con los recursos naturales, constituye un requisito para el éxito de un plan de desarrollo sostenible. Dichos actores tienen acceso de formas diferentes a los recursos naturales, algunos tienen el derecho de su custodia (o se la arrogan), otros intervienen en la gestión, mientras que otros influyen sobre los modos de aprovechamiento del medio (Cfr. Bonnal, 1996).</w:t>
      </w:r>
    </w:p>
    <w:p>
      <w:pPr>
        <w:spacing w:after="0" w:line="360" w:lineRule="auto"/>
        <w:jc w:val="both"/>
        <w:sectPr>
          <w:pgSz w:w="12240" w:h="15840"/>
          <w:pgMar w:header="0" w:footer="1003" w:top="1360" w:bottom="1200" w:left="1600" w:right="1580"/>
        </w:sectPr>
      </w:pPr>
    </w:p>
    <w:p>
      <w:pPr>
        <w:pStyle w:val="BodyText"/>
        <w:spacing w:line="360" w:lineRule="auto" w:before="56"/>
        <w:ind w:left="102" w:right="112"/>
        <w:jc w:val="both"/>
      </w:pPr>
      <w:r>
        <w:rPr/>
        <w:t>Es por ello que Norman Uphoff (1988), menciona que el trabajo y fortalecimiento con las organizaciones ya establecidas por los propios actores históricos, resulta altamente esencial. Las organizaciones campesinas, asociaciones de ganaderos, grupos crediticios y organizaciones de usuarios del agua, por ejemplo, son esenciales para el desarrollo, pero los métodos y los conocimientos necesarios para ayudar a su establecimiento a gran escala no han sido codificados ni se ha difundido su publicación. Las organizaciones que existen en las sociedades tradicionales pueden servir a veces de matriz para establecer organizaciones formales más</w:t>
      </w:r>
      <w:r>
        <w:rPr>
          <w:spacing w:val="-13"/>
        </w:rPr>
        <w:t> </w:t>
      </w:r>
      <w:r>
        <w:rPr/>
        <w:t>vigorosas.</w:t>
      </w:r>
    </w:p>
    <w:p>
      <w:pPr>
        <w:pStyle w:val="BodyText"/>
        <w:spacing w:before="7"/>
        <w:rPr>
          <w:sz w:val="17"/>
        </w:rPr>
      </w:pPr>
    </w:p>
    <w:p>
      <w:pPr>
        <w:pStyle w:val="BodyText"/>
        <w:spacing w:line="360" w:lineRule="auto"/>
        <w:ind w:left="102" w:right="112"/>
        <w:jc w:val="both"/>
      </w:pPr>
      <w:r>
        <w:rPr/>
        <w:t>Por ello Cernea (1995:533), menciona que si la “participación popular” en los programas de desarrollo inducidos por las instituciones financieras pretende ser algo más que una frase de moda, los planificadores y administradores deberán enfrentar la tarea de organizar la participación: identificar y movilizar a los protagonistas sociales específicos cuya participación se procura, y crear los medios prácticos por los que podrán participar en el diseño, ejecución, monitoreo y evaluación de los</w:t>
      </w:r>
      <w:r>
        <w:rPr>
          <w:spacing w:val="-16"/>
        </w:rPr>
        <w:t> </w:t>
      </w:r>
      <w:r>
        <w:rPr/>
        <w:t>proyectos.</w:t>
      </w:r>
    </w:p>
    <w:p>
      <w:pPr>
        <w:spacing w:after="0" w:line="360" w:lineRule="auto"/>
        <w:jc w:val="both"/>
        <w:sectPr>
          <w:pgSz w:w="12240" w:h="15840"/>
          <w:pgMar w:header="0" w:footer="1003" w:top="1360" w:bottom="1200" w:left="1600" w:right="1580"/>
        </w:sectPr>
      </w:pPr>
    </w:p>
    <w:p>
      <w:pPr>
        <w:pStyle w:val="BodyText"/>
        <w:rPr>
          <w:sz w:val="20"/>
        </w:rPr>
      </w:pPr>
      <w:r>
        <w:rPr/>
        <w:pict>
          <v:shape style="position:absolute;margin-left:119.169998pt;margin-top:214.440002pt;width:7.9pt;height:32.3pt;mso-position-horizontal-relative:page;mso-position-vertical-relative:page;z-index:5992" coordorigin="2383,4289" coordsize="158,646" path="m2392,4790l2388,4793,2385,4795,2383,4799,2386,4803,2462,4934,2471,4919,2454,4919,2454,4891,2398,4795,2396,4792,2392,4790xm2454,4891l2454,4919,2469,4919,2469,4915,2456,4915,2462,4904,2454,4891xm2532,4790l2528,4792,2526,4795,2469,4892,2469,4919,2471,4919,2538,4803,2541,4799,2539,4795,2536,4793,2532,4790xm2462,4904l2456,4915,2468,4915,2462,4904xm2469,4892l2462,4904,2468,4915,2469,4915,2469,4892xm2469,4289l2454,4289,2454,4891,2462,4904,2469,4892,2469,4289xe" filled="true" fillcolor="#000000" stroked="false">
            <v:path arrowok="t"/>
            <v:fill type="solid"/>
            <w10:wrap type="none"/>
          </v:shape>
        </w:pict>
      </w:r>
      <w:r>
        <w:rPr/>
        <w:pict>
          <v:shape style="position:absolute;margin-left:124.419998pt;margin-top:300.709991pt;width:7.9pt;height:32.3pt;mso-position-horizontal-relative:page;mso-position-vertical-relative:page;z-index:6016" coordorigin="2488,6014" coordsize="158,646" path="m2497,6516l2493,6518,2490,6520,2488,6525,2491,6528,2567,6659,2576,6644,2559,6644,2559,6617,2503,6521,2501,6517,2497,6516xm2559,6617l2559,6644,2574,6644,2574,6641,2561,6641,2567,6630,2559,6617xm2637,6516l2633,6517,2631,6521,2575,6617,2574,6644,2576,6644,2643,6528,2646,6525,2644,6520,2641,6518,2637,6516xm2567,6630l2561,6641,2573,6641,2567,6630xm2574,6617l2567,6630,2573,6641,2574,6641,2574,6617xm2574,6014l2559,6014,2559,6617,2567,6630,2574,6617,2574,6014xe" filled="true" fillcolor="#000000" stroked="false">
            <v:path arrowok="t"/>
            <v:fill type="solid"/>
            <w10:wrap type="none"/>
          </v:shape>
        </w:pict>
      </w:r>
      <w:r>
        <w:rPr/>
        <w:pict>
          <v:shape style="position:absolute;margin-left:345.670013pt;margin-top:266.940002pt;width:7.9pt;height:32.25pt;mso-position-horizontal-relative:page;mso-position-vertical-relative:page;z-index:6400" coordorigin="6913,5339" coordsize="158,645" path="m6922,5840l6918,5842,6915,5845,6913,5849,6916,5853,6992,5984,7001,5969,6984,5969,6984,5941,6928,5845,6926,5842,6922,5840xm6984,5941l6984,5969,6999,5969,6999,5965,6986,5965,6992,5954,6984,5941xm7062,5840l7058,5842,7056,5845,7000,5941,6999,5969,7001,5969,7068,5853,7071,5849,7069,5845,7066,5842,7062,5840xm6992,5954l6986,5965,6998,5965,6992,5954xm6999,5942l6992,5954,6998,5965,6999,5965,6999,5942xm6999,5339l6984,5339,6985,5942,6992,5954,6999,5942,6999,5339xe" filled="true" fillcolor="#000000" stroked="false">
            <v:path arrowok="t"/>
            <v:fill type="solid"/>
            <w10:wrap type="none"/>
          </v:shape>
        </w:pict>
      </w:r>
      <w:r>
        <w:rPr/>
        <w:pict>
          <v:shape style="position:absolute;margin-left:578.169983pt;margin-top:313.410004pt;width:7.9pt;height:32.3pt;mso-position-horizontal-relative:page;mso-position-vertical-relative:page;z-index:6664" coordorigin="11563,6268" coordsize="158,646" path="m11572,6770l11568,6772,11565,6774,11563,6779,11566,6782,11642,6913,11651,6898,11634,6898,11634,6871,11578,6775,11576,6771,11572,6770xm11634,6871l11634,6898,11649,6898,11649,6895,11636,6895,11642,6884,11634,6871xm11712,6770l11708,6771,11706,6775,11650,6871,11649,6898,11651,6898,11718,6782,11721,6779,11719,6774,11716,6772,11712,6770xm11642,6884l11636,6895,11648,6895,11642,6884xm11649,6871l11642,6884,11648,6895,11649,6895,11649,6871xm11649,6268l11634,6268,11635,6871,11642,6884,11649,6871,11649,6268xe" filled="true" fillcolor="#000000" stroked="false">
            <v:path arrowok="t"/>
            <v:fill type="solid"/>
            <w10:wrap type="none"/>
          </v:shape>
        </w:pict>
      </w:r>
      <w:r>
        <w:rPr/>
        <w:pict>
          <v:shape style="position:absolute;margin-left:359.350006pt;margin-top:272.190002pt;width:53.25pt;height:20.25pt;mso-position-horizontal-relative:page;mso-position-vertical-relative:page;z-index:6784" type="#_x0000_t202" filled="false" stroked="true" strokeweight=".5pt" strokecolor="#000000">
            <v:textbox inset="0,0,0,0">
              <w:txbxContent>
                <w:p>
                  <w:pPr>
                    <w:pStyle w:val="BodyText"/>
                    <w:spacing w:before="70"/>
                    <w:ind w:left="145"/>
                  </w:pPr>
                  <w:r>
                    <w:rPr/>
                    <w:t>Porque</w:t>
                  </w:r>
                </w:p>
              </w:txbxContent>
            </v:textbox>
            <w10:wrap type="none"/>
          </v:shape>
        </w:pict>
      </w:r>
      <w:r>
        <w:rPr/>
        <w:pict>
          <v:shape style="position:absolute;margin-left:522.650024pt;margin-top:275.989990pt;width:183.75pt;height:36.75pt;mso-position-horizontal-relative:page;mso-position-vertical-relative:page;z-index:6808" type="#_x0000_t202" filled="false" stroked="true" strokeweight=".5pt" strokecolor="#000000">
            <v:textbox inset="0,0,0,0">
              <w:txbxContent>
                <w:p>
                  <w:pPr>
                    <w:spacing w:line="276" w:lineRule="auto" w:before="68"/>
                    <w:ind w:left="1437" w:right="312" w:hanging="1114"/>
                    <w:jc w:val="left"/>
                    <w:rPr>
                      <w:b/>
                      <w:sz w:val="22"/>
                    </w:rPr>
                  </w:pPr>
                  <w:r>
                    <w:rPr>
                      <w:b/>
                      <w:sz w:val="22"/>
                    </w:rPr>
                    <w:t>Una razón para considerar la historia</w:t>
                  </w:r>
                </w:p>
              </w:txbxContent>
            </v:textbox>
            <w10:wrap type="none"/>
          </v:shape>
        </w:pict>
      </w:r>
      <w:r>
        <w:rPr/>
        <w:pict>
          <v:shape style="position:absolute;margin-left:599.349976pt;margin-top:317.940002pt;width:57.75pt;height:21pt;mso-position-horizontal-relative:page;mso-position-vertical-relative:page;z-index:6856" type="#_x0000_t202" filled="false" stroked="true" strokeweight=".5pt" strokecolor="#000000">
            <v:textbox inset="0,0,0,0">
              <w:txbxContent>
                <w:p>
                  <w:pPr>
                    <w:pStyle w:val="BodyText"/>
                    <w:spacing w:before="72"/>
                    <w:ind w:left="146"/>
                  </w:pPr>
                  <w:r>
                    <w:rPr/>
                    <w:t>Es que</w:t>
                  </w:r>
                </w:p>
              </w:txbxContent>
            </v:textbox>
            <w10:wrap type="none"/>
          </v:shape>
        </w:pict>
      </w:r>
      <w:r>
        <w:rPr/>
        <w:pict>
          <v:shape style="position:absolute;margin-left:251.774124pt;margin-top:305.847198pt;width:13.05pt;height:34.550pt;mso-position-horizontal-relative:page;mso-position-vertical-relative:page;z-index:6928" type="#_x0000_t202" filled="false" stroked="false">
            <v:textbox inset="0,0,0,0" style="layout-flow:vertical;mso-layout-flow-alt:bottom-to-top">
              <w:txbxContent>
                <w:p>
                  <w:pPr>
                    <w:pStyle w:val="BodyText"/>
                    <w:spacing w:line="246" w:lineRule="exact"/>
                    <w:ind w:left="20" w:right="-220"/>
                  </w:pPr>
                  <w:r>
                    <w:rPr>
                      <w:w w:val="100"/>
                    </w:rPr>
                    <w:t>Y</w:t>
                  </w:r>
                  <w:r>
                    <w:rPr/>
                    <w:t> </w:t>
                  </w:r>
                  <w:r>
                    <w:rPr>
                      <w:spacing w:val="-1"/>
                      <w:w w:val="100"/>
                    </w:rPr>
                    <w:t>p</w:t>
                  </w:r>
                  <w:r>
                    <w:rPr>
                      <w:w w:val="100"/>
                    </w:rPr>
                    <w:t>ara</w:t>
                  </w:r>
                </w:p>
              </w:txbxContent>
            </v:textbox>
            <w10:wrap type="none"/>
          </v:shape>
        </w:pict>
      </w:r>
      <w:r>
        <w:rPr/>
        <w:pict>
          <v:shape style="position:absolute;margin-left:482.874115pt;margin-top:222.459763pt;width:13.05pt;height:37.7pt;mso-position-horizontal-relative:page;mso-position-vertical-relative:page;z-index:6952" type="#_x0000_t202" filled="false" stroked="false">
            <v:textbox inset="0,0,0,0" style="layout-flow:vertical;mso-layout-flow-alt:bottom-to-top">
              <w:txbxContent>
                <w:p>
                  <w:pPr>
                    <w:pStyle w:val="BodyText"/>
                    <w:spacing w:line="246" w:lineRule="exact"/>
                    <w:ind w:left="20" w:right="-492"/>
                  </w:pPr>
                  <w:r>
                    <w:rPr>
                      <w:spacing w:val="-1"/>
                      <w:w w:val="100"/>
                    </w:rPr>
                    <w:t>P</w:t>
                  </w:r>
                  <w:r>
                    <w:rPr>
                      <w:w w:val="100"/>
                    </w:rPr>
                    <w:t>or</w:t>
                  </w:r>
                  <w:r>
                    <w:rPr>
                      <w:spacing w:val="2"/>
                      <w:w w:val="100"/>
                    </w:rPr>
                    <w:t>q</w:t>
                  </w:r>
                  <w:r>
                    <w:rPr>
                      <w:w w:val="100"/>
                    </w:rPr>
                    <w:t>ue</w:t>
                  </w:r>
                </w:p>
              </w:txbxContent>
            </v:textbox>
            <w10:wrap type="none"/>
          </v:shape>
        </w:pict>
      </w:r>
    </w:p>
    <w:p>
      <w:pPr>
        <w:pStyle w:val="BodyText"/>
        <w:spacing w:before="1"/>
      </w:pPr>
    </w:p>
    <w:p>
      <w:pPr>
        <w:spacing w:before="73"/>
        <w:ind w:left="3491" w:right="409" w:firstLine="0"/>
        <w:jc w:val="left"/>
        <w:rPr>
          <w:b/>
          <w:sz w:val="22"/>
        </w:rPr>
      </w:pPr>
      <w:r>
        <w:rPr/>
        <w:pict>
          <v:shape style="position:absolute;margin-left:119.169998pt;margin-top:68.737877pt;width:7.9pt;height:32.25pt;mso-position-horizontal-relative:page;mso-position-vertical-relative:paragraph;z-index:5968" coordorigin="2383,1375" coordsize="158,645" path="m2392,1876l2385,1880,2383,1885,2386,1889,2462,2020,2471,2005,2454,2005,2454,1977,2398,1881,2396,1878,2392,1876xm2454,1977l2454,2005,2469,2005,2469,2001,2456,2001,2462,1990,2454,1977xm2532,1876l2528,1878,2526,1881,2469,1978,2469,2005,2471,2005,2538,1889,2541,1885,2539,1880,2532,1876xm2462,1990l2456,2001,2468,2001,2462,1990xm2469,1978l2462,1990,2468,2001,2469,2001,2469,1978xm2469,1375l2454,1375,2454,1977,2462,1990,2469,1978,2469,1375xe" filled="true" fillcolor="#000000" stroked="false">
            <v:path arrowok="t"/>
            <v:fill type="solid"/>
            <w10:wrap type="none"/>
          </v:shape>
        </w:pict>
      </w:r>
      <w:r>
        <w:rPr/>
        <w:pict>
          <v:shape style="position:absolute;margin-left:345.670013pt;margin-top:73.987877pt;width:7.9pt;height:32.25pt;mso-position-horizontal-relative:page;mso-position-vertical-relative:paragraph;z-index:6376" coordorigin="6913,1480" coordsize="158,645" path="m6922,1981l6915,1985,6913,1990,6916,1994,6992,2125,7001,2110,6984,2110,6984,2082,6928,1986,6926,1983,6922,1981xm6984,2082l6984,2110,6999,2110,6999,2106,6986,2106,6992,2095,6984,2082xm7062,1981l7058,1983,7056,1986,7000,2082,6999,2110,7001,2110,7068,1994,7071,1990,7069,1985,7062,1981xm6992,2095l6986,2106,6998,2106,6992,2095xm6999,2083l6992,2095,6998,2106,6999,2106,6999,2083xm6999,1480l6984,1480,6985,2083,6992,2095,6999,2083,6999,1480xe" filled="true" fillcolor="#000000" stroked="false">
            <v:path arrowok="t"/>
            <v:fill type="solid"/>
            <w10:wrap type="none"/>
          </v:shape>
        </w:pict>
      </w:r>
      <w:r>
        <w:rPr/>
        <w:pict>
          <v:group style="position:absolute;margin-left:515.049988pt;margin-top:89.237877pt;width:191.75pt;height:104.75pt;mso-position-horizontal-relative:page;mso-position-vertical-relative:paragraph;z-index:6640" coordorigin="10301,1785" coordsize="3835,2095">
            <v:shape style="position:absolute;left:11458;top:1785;width:158;height:645" coordorigin="11458,1785" coordsize="158,645" path="m11467,2286l11460,2290,11458,2295,11461,2299,11537,2430,11546,2415,11529,2415,11529,2387,11473,2291,11471,2288,11467,2286xm11529,2387l11529,2415,11544,2415,11544,2411,11531,2411,11537,2400,11529,2387xm11607,2286l11603,2288,11601,2291,11545,2387,11544,2415,11546,2415,11613,2299,11616,2295,11614,2290,11607,2286xm11537,2400l11531,2411,11543,2411,11537,2400xm11544,2388l11537,2400,11543,2411,11544,2411,11544,2388xm11544,1785l11529,1785,11530,2388,11537,2400,11544,2388,11544,1785xe" filled="true" fillcolor="#000000" stroked="false">
              <v:path arrowok="t"/>
              <v:fill type="solid"/>
            </v:shape>
            <v:rect style="position:absolute;left:10306;top:2411;width:3825;height:825" filled="true" fillcolor="#ffffff" stroked="false">
              <v:fill type="solid"/>
            </v:rect>
            <v:shape style="position:absolute;left:11503;top:3234;width:158;height:645" coordorigin="11503,3234" coordsize="158,645" path="m11512,3736l11505,3740,11503,3744,11506,3748,11582,3879,11591,3864,11574,3864,11574,3837,11518,3741,11516,3737,11512,3736xm11574,3837l11574,3864,11589,3864,11589,3861,11576,3861,11582,3850,11574,3837xm11652,3736l11648,3737,11646,3741,11590,3837,11589,3864,11591,3864,11658,3748,11661,3744,11659,3740,11652,3736xm11582,3850l11576,3861,11588,3861,11582,3850xm11589,3837l11582,3850,11588,3861,11589,3861,11589,3837xm11589,3234l11574,3234,11575,3837,11582,3850,11589,3837,11589,3234xe" filled="true" fillcolor="#000000" stroked="false">
              <v:path arrowok="t"/>
              <v:fill type="solid"/>
            </v:shape>
            <v:shape style="position:absolute;left:11867;top:1885;width:855;height:405" type="#_x0000_t202" filled="false" stroked="true" strokeweight=".5pt" strokecolor="#000000">
              <v:textbox inset="0,0,0,0">
                <w:txbxContent>
                  <w:p>
                    <w:pPr>
                      <w:spacing w:before="69"/>
                      <w:ind w:left="146" w:right="0" w:firstLine="0"/>
                      <w:jc w:val="left"/>
                      <w:rPr>
                        <w:sz w:val="22"/>
                      </w:rPr>
                    </w:pPr>
                    <w:r>
                      <w:rPr>
                        <w:w w:val="100"/>
                        <w:sz w:val="22"/>
                      </w:rPr>
                      <w:t>Y</w:t>
                    </w:r>
                  </w:p>
                </w:txbxContent>
              </v:textbox>
              <w10:wrap type="none"/>
            </v:shape>
            <v:shape style="position:absolute;left:10306;top:2411;width:3825;height:825" type="#_x0000_t202" filled="false" stroked="true" strokeweight=".5pt" strokecolor="#000000">
              <v:textbox inset="0,0,0,0">
                <w:txbxContent>
                  <w:p>
                    <w:pPr>
                      <w:spacing w:line="278" w:lineRule="auto" w:before="67"/>
                      <w:ind w:left="1205" w:right="524" w:hanging="675"/>
                      <w:jc w:val="left"/>
                      <w:rPr>
                        <w:b/>
                        <w:sz w:val="22"/>
                      </w:rPr>
                    </w:pPr>
                    <w:r>
                      <w:rPr>
                        <w:b/>
                        <w:sz w:val="22"/>
                      </w:rPr>
                      <w:t>Siempre hay de por medio antecedentes</w:t>
                    </w:r>
                  </w:p>
                </w:txbxContent>
              </v:textbox>
              <w10:wrap type="none"/>
            </v:shape>
            <v:shape style="position:absolute;left:11827;top:3310;width:1320;height:420" type="#_x0000_t202" filled="false" stroked="true" strokeweight=".5pt" strokecolor="#000000">
              <v:textbox inset="0,0,0,0">
                <w:txbxContent>
                  <w:p>
                    <w:pPr>
                      <w:spacing w:before="70"/>
                      <w:ind w:left="145" w:right="0" w:firstLine="0"/>
                      <w:jc w:val="left"/>
                      <w:rPr>
                        <w:sz w:val="22"/>
                      </w:rPr>
                    </w:pPr>
                    <w:r>
                      <w:rPr>
                        <w:sz w:val="22"/>
                      </w:rPr>
                      <w:t>Por lo que</w:t>
                    </w:r>
                  </w:p>
                </w:txbxContent>
              </v:textbox>
              <w10:wrap type="none"/>
            </v:shape>
            <w10:wrap type="none"/>
          </v:group>
        </w:pict>
      </w:r>
      <w:r>
        <w:rPr/>
        <w:pict>
          <v:shape style="position:absolute;margin-left:274.600006pt;margin-top:36.507877pt;width:188.25pt;height:37.5pt;mso-position-horizontal-relative:page;mso-position-vertical-relative:paragraph;z-index:6688" type="#_x0000_t202" filled="false" stroked="true" strokeweight=".5pt" strokecolor="#000000">
            <v:textbox inset="0,0,0,0">
              <w:txbxContent>
                <w:p>
                  <w:pPr>
                    <w:spacing w:line="276" w:lineRule="auto" w:before="67"/>
                    <w:ind w:left="1595" w:right="170" w:hanging="1419"/>
                    <w:jc w:val="left"/>
                    <w:rPr>
                      <w:b/>
                      <w:sz w:val="22"/>
                    </w:rPr>
                  </w:pPr>
                  <w:r>
                    <w:rPr>
                      <w:b/>
                      <w:sz w:val="22"/>
                    </w:rPr>
                    <w:t>Sostener la participación a largo plazo</w:t>
                  </w:r>
                </w:p>
              </w:txbxContent>
            </v:textbox>
            <w10:wrap type="none"/>
          </v:shape>
        </w:pict>
      </w:r>
      <w:r>
        <w:rPr/>
        <w:pict>
          <v:shape style="position:absolute;margin-left:509.299988pt;margin-top:36.557877pt;width:197.25pt;height:52.5pt;mso-position-horizontal-relative:page;mso-position-vertical-relative:paragraph;z-index:6712" type="#_x0000_t202" filled="false" stroked="true" strokeweight=".5pt" strokecolor="#000000">
            <v:textbox inset="0,0,0,0">
              <w:txbxContent>
                <w:p>
                  <w:pPr>
                    <w:spacing w:line="276" w:lineRule="auto" w:before="66"/>
                    <w:ind w:left="211" w:right="209" w:firstLine="0"/>
                    <w:jc w:val="center"/>
                    <w:rPr>
                      <w:b/>
                      <w:sz w:val="22"/>
                    </w:rPr>
                  </w:pPr>
                  <w:r>
                    <w:rPr>
                      <w:b/>
                      <w:sz w:val="22"/>
                    </w:rPr>
                    <w:t>Muchos actores tienen acceso de formas diferentes a los recursos naturales</w:t>
                  </w:r>
                </w:p>
              </w:txbxContent>
            </v:textbox>
            <w10:wrap type="none"/>
          </v:shape>
        </w:pict>
      </w:r>
      <w:r>
        <w:rPr/>
        <w:pict>
          <v:shape style="position:absolute;margin-left:359.350006pt;margin-top:79.987877pt;width:42.75pt;height:20.25pt;mso-position-horizontal-relative:page;mso-position-vertical-relative:paragraph;z-index:6736" type="#_x0000_t202" filled="false" stroked="true" strokeweight=".5pt" strokecolor="#000000">
            <v:textbox inset="0,0,0,0">
              <w:txbxContent>
                <w:p>
                  <w:pPr>
                    <w:pStyle w:val="BodyText"/>
                    <w:spacing w:before="69"/>
                    <w:ind w:left="145"/>
                  </w:pPr>
                  <w:r>
                    <w:rPr/>
                    <w:t>Se</w:t>
                  </w:r>
                </w:p>
              </w:txbxContent>
            </v:textbox>
            <w10:wrap type="none"/>
          </v:shape>
        </w:pict>
      </w:r>
      <w:r>
        <w:rPr/>
        <w:pict>
          <v:shape style="position:absolute;margin-left:278.350006pt;margin-top:106.257881pt;width:188.25pt;height:79.5pt;mso-position-horizontal-relative:page;mso-position-vertical-relative:paragraph;z-index:6760" type="#_x0000_t202" filled="false" stroked="true" strokeweight=".5pt" strokecolor="#000000">
            <v:textbox inset="0,0,0,0">
              <w:txbxContent>
                <w:p>
                  <w:pPr>
                    <w:spacing w:line="276" w:lineRule="auto" w:before="67"/>
                    <w:ind w:left="144" w:right="138" w:firstLine="0"/>
                    <w:jc w:val="center"/>
                    <w:rPr>
                      <w:b/>
                      <w:sz w:val="22"/>
                    </w:rPr>
                  </w:pPr>
                  <w:r>
                    <w:rPr>
                      <w:b/>
                      <w:sz w:val="22"/>
                    </w:rPr>
                    <w:t>Deben explorar estructuras más estables de organización social dentro de las comunidades campesinas (Grupos ya establecidos)</w:t>
                  </w:r>
                </w:p>
              </w:txbxContent>
            </v:textbox>
            <w10:wrap type="none"/>
          </v:shape>
        </w:pict>
      </w:r>
      <w:r>
        <w:rPr>
          <w:b/>
          <w:sz w:val="22"/>
        </w:rPr>
        <w:t>Esquema 4.1.  Metodología de Trabajo con Grupos ya Establecidos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280" w:lineRule="auto" w:before="195"/>
        <w:ind w:left="10085" w:right="409" w:firstLine="0"/>
        <w:jc w:val="left"/>
        <w:rPr>
          <w:sz w:val="22"/>
        </w:rPr>
      </w:pPr>
      <w:r>
        <w:rPr/>
        <w:pict>
          <v:shape style="position:absolute;margin-left:128.169998pt;margin-top:-55.58213pt;width:7.9pt;height:32.3pt;mso-position-horizontal-relative:page;mso-position-vertical-relative:paragraph;z-index:6040" coordorigin="2563,-1112" coordsize="158,646" path="m2572,-610l2568,-608,2565,-606,2563,-601,2566,-598,2642,-466,2651,-481,2634,-481,2634,-509,2578,-605,2576,-609,2572,-610xm2634,-509l2634,-481,2649,-481,2649,-485,2636,-485,2642,-496,2634,-509xm2712,-610l2708,-609,2706,-605,2650,-509,2649,-481,2651,-481,2718,-598,2721,-601,2719,-606,2716,-608,2712,-610xm2642,-496l2636,-485,2648,-485,2642,-496xm2649,-509l2642,-496,2648,-485,2649,-485,2649,-509xm2649,-1112l2634,-1112,2635,-509,2642,-496,2649,-509,2649,-1112xe" filled="true" fillcolor="#000000" stroked="false">
            <v:path arrowok="t"/>
            <v:fill type="solid"/>
            <w10:wrap type="none"/>
          </v:shape>
        </w:pict>
      </w:r>
      <w:r>
        <w:rPr/>
        <w:pict>
          <v:shape style="position:absolute;margin-left:128.169998pt;margin-top:5.917869pt;width:7.9pt;height:32.25pt;mso-position-horizontal-relative:page;mso-position-vertical-relative:paragraph;z-index:6064" coordorigin="2563,118" coordsize="158,645" path="m2572,620l2568,622,2565,624,2563,629,2566,632,2642,763,2651,749,2634,749,2634,721,2578,625,2576,621,2572,620xm2634,721l2634,749,2649,749,2649,745,2636,745,2642,734,2634,721xm2712,620l2708,621,2706,625,2650,721,2649,749,2651,749,2718,632,2721,629,2719,624,2716,622,2712,620xm2642,734l2636,745,2648,745,2642,734xm2649,721l2642,734,2648,745,2649,745,2649,721xm2649,118l2634,118,2635,721,2642,734,2649,721,2649,118xe" filled="true" fillcolor="#000000" stroked="false">
            <v:path arrowok="t"/>
            <v:fill type="solid"/>
            <w10:wrap type="none"/>
          </v:shape>
        </w:pict>
      </w:r>
      <w:r>
        <w:rPr/>
        <w:pict>
          <v:group style="position:absolute;margin-left:51.099998pt;margin-top:-325.042145pt;width:218.25pt;height:424.55pt;mso-position-horizontal-relative:page;mso-position-vertical-relative:paragraph;z-index:6352" coordorigin="1022,-6501" coordsize="4365,8491">
            <v:shape style="position:absolute;left:4817;top:-6349;width:570;height:7841" coordorigin="4817,-6349" coordsize="570,7841" path="m5094,1477l4817,1477,4817,1492,5106,1492,5109,1488,5109,1484,5094,1484,5094,1477xm5344,-6278l5098,-6278,5094,-6275,5094,1484,5102,1477,5109,1477,5109,-6263,5102,-6263,5109,-6271,5357,-6271,5344,-6278xm5109,1477l5102,1477,5094,1484,5109,1484,5109,1477xm5357,-6271l5248,-6207,5245,-6205,5244,-6201,5246,-6197,5248,-6193,5252,-6192,5256,-6194,5374,-6263,5372,-6263,5372,-6264,5368,-6264,5357,-6271xm5109,-6271l5102,-6263,5109,-6263,5109,-6271xm5357,-6271l5109,-6271,5109,-6263,5344,-6263,5357,-6271,5357,-6271xm5374,-6278l5372,-6278,5372,-6263,5374,-6263,5387,-6271,5374,-6278xm5368,-6277l5357,-6271,5368,-6264,5368,-6277xm5372,-6277l5368,-6277,5368,-6264,5372,-6264,5372,-6277xm5252,-6349l5248,-6348,5246,-6345,5244,-6341,5245,-6336,5248,-6334,5357,-6271,5368,-6277,5372,-6277,5372,-6278,5374,-6278,5256,-6347,5252,-6349xe" filled="true" fillcolor="#000000" stroked="false">
              <v:path arrowok="t"/>
              <v:fill type="solid"/>
            </v:shape>
            <v:shape style="position:absolute;left:4950;top:-3006;width:415;height:1093" type="#_x0000_t75" stroked="false">
              <v:imagedata r:id="rId117" o:title=""/>
            </v:shape>
            <v:shape style="position:absolute;left:1052;top:-6496;width:3765;height:645" type="#_x0000_t202" filled="false" stroked="true" strokeweight=".5pt" strokecolor="#000000">
              <v:textbox inset="0,0,0,0">
                <w:txbxContent>
                  <w:p>
                    <w:pPr>
                      <w:spacing w:line="276" w:lineRule="auto" w:before="67"/>
                      <w:ind w:left="1014" w:right="370" w:hanging="634"/>
                      <w:jc w:val="left"/>
                      <w:rPr>
                        <w:b/>
                        <w:sz w:val="22"/>
                      </w:rPr>
                    </w:pPr>
                    <w:r>
                      <w:rPr>
                        <w:b/>
                        <w:sz w:val="22"/>
                      </w:rPr>
                      <w:t>TRABAJO CON GRUPOS YA ESTABLECIDOS</w:t>
                    </w:r>
                  </w:p>
                </w:txbxContent>
              </v:textbox>
              <w10:wrap type="none"/>
            </v:shape>
            <v:shape style="position:absolute;left:2791;top:-5746;width:1125;height:405" type="#_x0000_t202" filled="false" stroked="true" strokeweight=".5pt" strokecolor="#000000">
              <v:textbox inset="0,0,0,0">
                <w:txbxContent>
                  <w:p>
                    <w:pPr>
                      <w:spacing w:before="69"/>
                      <w:ind w:left="144" w:right="0" w:firstLine="0"/>
                      <w:jc w:val="left"/>
                      <w:rPr>
                        <w:sz w:val="22"/>
                      </w:rPr>
                    </w:pPr>
                    <w:r>
                      <w:rPr>
                        <w:sz w:val="22"/>
                      </w:rPr>
                      <w:t>Permite</w:t>
                    </w:r>
                  </w:p>
                </w:txbxContent>
              </v:textbox>
              <w10:wrap type="none"/>
            </v:shape>
            <v:shape style="position:absolute;left:1052;top:-5206;width:3765;height:645" type="#_x0000_t202" filled="false" stroked="true" strokeweight=".5pt" strokecolor="#000000">
              <v:textbox inset="0,0,0,0">
                <w:txbxContent>
                  <w:p>
                    <w:pPr>
                      <w:spacing w:before="67"/>
                      <w:ind w:left="714" w:right="324" w:firstLine="0"/>
                      <w:jc w:val="left"/>
                      <w:rPr>
                        <w:b/>
                        <w:sz w:val="22"/>
                      </w:rPr>
                    </w:pPr>
                    <w:r>
                      <w:rPr>
                        <w:b/>
                        <w:sz w:val="22"/>
                      </w:rPr>
                      <w:t>Planificar desde abajo</w:t>
                    </w:r>
                  </w:p>
                </w:txbxContent>
              </v:textbox>
              <w10:wrap type="none"/>
            </v:shape>
            <v:shape style="position:absolute;left:2792;top:-4396;width:1305;height:405" type="#_x0000_t202" filled="false" stroked="true" strokeweight=".5pt" strokecolor="#000000">
              <v:textbox inset="0,0,0,0">
                <w:txbxContent>
                  <w:p>
                    <w:pPr>
                      <w:spacing w:before="71"/>
                      <w:ind w:left="143" w:right="0" w:firstLine="0"/>
                      <w:jc w:val="left"/>
                      <w:rPr>
                        <w:sz w:val="22"/>
                      </w:rPr>
                    </w:pPr>
                    <w:r>
                      <w:rPr>
                        <w:sz w:val="22"/>
                      </w:rPr>
                      <w:t>Porque</w:t>
                    </w:r>
                  </w:p>
                </w:txbxContent>
              </v:textbox>
              <w10:wrap type="none"/>
            </v:shape>
            <v:shape style="position:absolute;left:1052;top:-3916;width:3765;height:1080" type="#_x0000_t202" filled="false" stroked="true" strokeweight=".5pt" strokecolor="#000000">
              <v:textbox inset="0,0,0,0">
                <w:txbxContent>
                  <w:p>
                    <w:pPr>
                      <w:spacing w:line="276" w:lineRule="auto" w:before="68"/>
                      <w:ind w:left="200" w:right="200" w:firstLine="0"/>
                      <w:jc w:val="center"/>
                      <w:rPr>
                        <w:b/>
                        <w:sz w:val="22"/>
                      </w:rPr>
                    </w:pPr>
                    <w:r>
                      <w:rPr>
                        <w:b/>
                        <w:sz w:val="22"/>
                      </w:rPr>
                      <w:t>Estipula mayor contacto directo y personal con miembros de la comunidad</w:t>
                    </w:r>
                  </w:p>
                </w:txbxContent>
              </v:textbox>
              <w10:wrap type="none"/>
            </v:shape>
            <v:shape style="position:absolute;left:2792;top:-2746;width:1020;height:405" type="#_x0000_t202" filled="false" stroked="true" strokeweight=".5pt" strokecolor="#000000">
              <v:textbox inset="0,0,0,0">
                <w:txbxContent>
                  <w:p>
                    <w:pPr>
                      <w:spacing w:before="69"/>
                      <w:ind w:left="143" w:right="0" w:firstLine="0"/>
                      <w:jc w:val="left"/>
                      <w:rPr>
                        <w:sz w:val="22"/>
                      </w:rPr>
                    </w:pPr>
                    <w:r>
                      <w:rPr>
                        <w:sz w:val="22"/>
                      </w:rPr>
                      <w:t>Ya que</w:t>
                    </w:r>
                  </w:p>
                </w:txbxContent>
              </v:textbox>
              <w10:wrap type="none"/>
            </v:shape>
            <v:shape style="position:absolute;left:1054;top:-2182;width:3765;height:1080" type="#_x0000_t202" filled="false" stroked="true" strokeweight=".5pt" strokecolor="#000000">
              <v:textbox inset="0,0,0,0">
                <w:txbxContent>
                  <w:p>
                    <w:pPr>
                      <w:spacing w:line="276" w:lineRule="auto" w:before="68"/>
                      <w:ind w:left="227" w:right="223" w:hanging="5"/>
                      <w:jc w:val="center"/>
                      <w:rPr>
                        <w:b/>
                        <w:sz w:val="22"/>
                      </w:rPr>
                    </w:pPr>
                    <w:r>
                      <w:rPr>
                        <w:b/>
                        <w:sz w:val="22"/>
                      </w:rPr>
                      <w:t>Las reuniones comunitarias organizadas por los equipos de programación (talleres)</w:t>
                    </w:r>
                  </w:p>
                </w:txbxContent>
              </v:textbox>
              <w10:wrap type="none"/>
            </v:shape>
            <v:shape style="position:absolute;left:2867;top:-977;width:1020;height:405" type="#_x0000_t202" filled="false" stroked="true" strokeweight=".5pt" strokecolor="#000000">
              <v:textbox inset="0,0,0,0">
                <w:txbxContent>
                  <w:p>
                    <w:pPr>
                      <w:spacing w:before="71"/>
                      <w:ind w:left="145" w:right="0" w:firstLine="0"/>
                      <w:jc w:val="left"/>
                      <w:rPr>
                        <w:sz w:val="22"/>
                      </w:rPr>
                    </w:pPr>
                    <w:r>
                      <w:rPr>
                        <w:sz w:val="22"/>
                      </w:rPr>
                      <w:t>Son</w:t>
                    </w:r>
                  </w:p>
                </w:txbxContent>
              </v:textbox>
              <w10:wrap type="none"/>
            </v:shape>
            <v:shape style="position:absolute;left:1052;top:-466;width:3765;height:585" type="#_x0000_t202" filled="false" stroked="true" strokeweight=".5pt" strokecolor="#000000">
              <v:textbox inset="0,0,0,0">
                <w:txbxContent>
                  <w:p>
                    <w:pPr>
                      <w:spacing w:before="67"/>
                      <w:ind w:left="671" w:right="324" w:firstLine="0"/>
                      <w:jc w:val="left"/>
                      <w:rPr>
                        <w:b/>
                        <w:sz w:val="22"/>
                      </w:rPr>
                    </w:pPr>
                    <w:r>
                      <w:rPr>
                        <w:b/>
                        <w:sz w:val="22"/>
                      </w:rPr>
                      <w:t>Transitorias y efímeras</w:t>
                    </w:r>
                  </w:p>
                </w:txbxContent>
              </v:textbox>
              <w10:wrap type="none"/>
            </v:shape>
            <v:shape style="position:absolute;left:2897;top:253;width:1020;height:405" type="#_x0000_t202" filled="false" stroked="true" strokeweight=".5pt" strokecolor="#000000">
              <v:textbox inset="0,0,0,0">
                <w:txbxContent>
                  <w:p>
                    <w:pPr>
                      <w:spacing w:before="71"/>
                      <w:ind w:left="144" w:right="0" w:firstLine="0"/>
                      <w:jc w:val="left"/>
                      <w:rPr>
                        <w:sz w:val="22"/>
                      </w:rPr>
                    </w:pPr>
                    <w:r>
                      <w:rPr>
                        <w:sz w:val="22"/>
                      </w:rPr>
                      <w:t>Donde</w:t>
                    </w:r>
                  </w:p>
                </w:txbxContent>
              </v:textbox>
              <w10:wrap type="none"/>
            </v:shape>
            <v:shape style="position:absolute;left:1027;top:845;width:3765;height:1140" type="#_x0000_t202" filled="false" stroked="true" strokeweight=".5pt" strokecolor="#000000">
              <v:textbox inset="0,0,0,0">
                <w:txbxContent>
                  <w:p>
                    <w:pPr>
                      <w:spacing w:line="276" w:lineRule="auto" w:before="70"/>
                      <w:ind w:left="307" w:right="301" w:hanging="6"/>
                      <w:jc w:val="center"/>
                      <w:rPr>
                        <w:b/>
                        <w:sz w:val="22"/>
                      </w:rPr>
                    </w:pPr>
                    <w:r>
                      <w:rPr>
                        <w:b/>
                        <w:sz w:val="22"/>
                      </w:rPr>
                      <w:t>No existe una estructura permanente de acción grupal generada en las comunidades</w:t>
                    </w:r>
                  </w:p>
                </w:txbxContent>
              </v:textbox>
              <w10:wrap type="none"/>
            </v:shape>
            <w10:wrap type="none"/>
          </v:group>
        </w:pict>
      </w:r>
      <w:r>
        <w:rPr/>
        <w:pict>
          <v:shape style="position:absolute;margin-left:346.420013pt;margin-top:-74.302132pt;width:7.9pt;height:32.25pt;mso-position-horizontal-relative:page;mso-position-vertical-relative:paragraph;z-index:6424" coordorigin="6928,-1486" coordsize="158,645" path="m6937,-984l6933,-982,6930,-980,6928,-976,6931,-972,7007,-841,7016,-856,6999,-856,6999,-884,6943,-980,6941,-983,6937,-984xm6999,-884l6999,-856,7014,-856,7014,-860,7001,-860,7007,-871,6999,-884xm7077,-984l7073,-983,7071,-980,7015,-884,7014,-856,7016,-856,7083,-972,7086,-976,7084,-980,7081,-982,7077,-984xm7007,-871l7001,-860,7013,-860,7007,-871xm7014,-883l7007,-871,7013,-860,7014,-860,7014,-883xm7014,-1486l6999,-1486,7000,-883,7007,-871,7014,-883,7014,-1486xe" filled="true" fillcolor="#000000" stroked="false">
            <v:path arrowok="t"/>
            <v:fill type="solid"/>
            <w10:wrap type="none"/>
          </v:shape>
        </w:pict>
      </w:r>
      <w:r>
        <w:rPr/>
        <w:pict>
          <v:shape style="position:absolute;margin-left:353.920013pt;margin-top:27.68787pt;width:7.9pt;height:32.3pt;mso-position-horizontal-relative:page;mso-position-vertical-relative:paragraph;z-index:6448" coordorigin="7078,554" coordsize="158,646" path="m7087,1055l7083,1058,7080,1060,7078,1064,7081,1068,7157,1199,7166,1184,7149,1184,7149,1156,7093,1060,7091,1057,7087,1055xm7149,1156l7149,1184,7164,1184,7164,1180,7151,1180,7157,1169,7149,1156xm7227,1055l7223,1057,7221,1060,7165,1156,7164,1184,7166,1184,7233,1068,7236,1064,7234,1060,7231,1058,7227,1055xm7157,1169l7151,1180,7163,1180,7157,1169xm7164,1157l7157,1169,7163,1180,7164,1180,7164,1157xm7164,554l7149,554,7150,1157,7157,1169,7164,1157,7164,554xe" filled="true" fillcolor="#000000" stroked="false">
            <v:path arrowok="t"/>
            <v:fill type="solid"/>
            <w10:wrap type="none"/>
          </v:shape>
        </w:pict>
      </w:r>
      <w:r>
        <w:rPr/>
        <w:pict>
          <v:group style="position:absolute;margin-left:287.850006pt;margin-top:-322.712128pt;width:216.7pt;height:421.9pt;mso-position-horizontal-relative:page;mso-position-vertical-relative:paragraph;z-index:6544" coordorigin="5757,-6454" coordsize="4334,8438">
            <v:shape style="position:absolute;left:9521;top:-6454;width:570;height:7841" coordorigin="9521,-6454" coordsize="570,7841" path="m9798,1372l9521,1372,9521,1387,9810,1387,9813,1383,9813,1379,9798,1379,9798,1372xm10048,-6383l9802,-6383,9798,-6380,9798,1379,9806,1372,9813,1372,9813,-6368,9806,-6368,9813,-6376,10061,-6376,10048,-6383xm9813,1372l9806,1372,9798,1379,9813,1379,9813,1372xm10061,-6376l9952,-6312,9949,-6310,9948,-6306,9950,-6302,9952,-6298,9956,-6297,9960,-6299,10078,-6368,10076,-6368,10076,-6369,10072,-6369,10061,-6376xm9813,-6376l9806,-6368,9813,-6368,9813,-6376xm10061,-6376l9813,-6376,9813,-6368,10048,-6368,10061,-6376,10061,-6376xm10078,-6383l10076,-6383,10076,-6368,10078,-6368,10091,-6376,10078,-6383xm10072,-6382l10061,-6376,10072,-6369,10072,-6382xm10076,-6382l10072,-6382,10072,-6369,10076,-6369,10076,-6382xm9956,-6454l9952,-6453,9950,-6450,9948,-6446,9949,-6441,9952,-6439,10061,-6376,10072,-6382,10076,-6382,10076,-6383,10078,-6383,9960,-6452,9956,-6454xe" filled="true" fillcolor="#000000" stroked="false">
              <v:path arrowok="t"/>
              <v:fill type="solid"/>
            </v:shape>
            <v:shape style="position:absolute;left:9568;top:-4608;width:415;height:1093" type="#_x0000_t75" stroked="false">
              <v:imagedata r:id="rId118" o:title=""/>
            </v:shape>
            <v:shape style="position:absolute;left:5762;top:-827;width:3765;height:1380" type="#_x0000_t202" filled="false" stroked="true" strokeweight=".5pt" strokecolor="#000000">
              <v:textbox inset="0,0,0,0">
                <w:txbxContent>
                  <w:p>
                    <w:pPr>
                      <w:spacing w:line="276" w:lineRule="auto" w:before="68"/>
                      <w:ind w:left="262" w:right="259" w:firstLine="1"/>
                      <w:jc w:val="center"/>
                      <w:rPr>
                        <w:b/>
                        <w:sz w:val="22"/>
                      </w:rPr>
                    </w:pPr>
                    <w:r>
                      <w:rPr>
                        <w:b/>
                        <w:sz w:val="22"/>
                      </w:rPr>
                      <w:t>El reconocimiento de la diversidad de actores que intervienen en relación con los recursos naturales</w:t>
                    </w:r>
                  </w:p>
                </w:txbxContent>
              </v:textbox>
              <w10:wrap type="none"/>
            </v:shape>
            <v:shape style="position:absolute;left:7472;top:659;width:1515;height:405" type="#_x0000_t202" filled="false" stroked="true" strokeweight=".5pt" strokecolor="#000000">
              <v:textbox inset="0,0,0,0">
                <w:txbxContent>
                  <w:p>
                    <w:pPr>
                      <w:spacing w:before="71"/>
                      <w:ind w:left="143" w:right="0" w:firstLine="0"/>
                      <w:jc w:val="left"/>
                      <w:rPr>
                        <w:sz w:val="22"/>
                      </w:rPr>
                    </w:pPr>
                    <w:r>
                      <w:rPr>
                        <w:sz w:val="22"/>
                      </w:rPr>
                      <w:t>Constituye</w:t>
                    </w:r>
                  </w:p>
                </w:txbxContent>
              </v:textbox>
              <w10:wrap type="none"/>
            </v:shape>
            <v:shape style="position:absolute;left:5762;top:1198;width:3765;height:780" type="#_x0000_t202" filled="false" stroked="true" strokeweight=".5pt" strokecolor="#000000">
              <v:textbox inset="0,0,0,0">
                <w:txbxContent>
                  <w:p>
                    <w:pPr>
                      <w:spacing w:line="276" w:lineRule="auto" w:before="69"/>
                      <w:ind w:left="356" w:right="230" w:hanging="118"/>
                      <w:jc w:val="left"/>
                      <w:rPr>
                        <w:b/>
                        <w:sz w:val="22"/>
                      </w:rPr>
                    </w:pPr>
                    <w:r>
                      <w:rPr>
                        <w:b/>
                        <w:sz w:val="22"/>
                      </w:rPr>
                      <w:t>Un requisito para el éxito de un plan de desarrollo sostenible</w:t>
                    </w:r>
                  </w:p>
                </w:txbxContent>
              </v:textbox>
              <w10:wrap type="none"/>
            </v:shape>
            <w10:wrap type="none"/>
          </v:group>
        </w:pict>
      </w:r>
      <w:r>
        <w:rPr/>
        <w:pict>
          <v:shape style="position:absolute;margin-left:282.850006pt;margin-top:-143.302124pt;width:188.25pt;height:69pt;mso-position-horizontal-relative:page;mso-position-vertical-relative:paragraph;z-index:6832" type="#_x0000_t202" filled="false" stroked="true" strokeweight=".5pt" strokecolor="#000000">
            <v:textbox inset="0,0,0,0">
              <w:txbxContent>
                <w:p>
                  <w:pPr>
                    <w:spacing w:line="276" w:lineRule="auto" w:before="67"/>
                    <w:ind w:left="305" w:right="303" w:hanging="1"/>
                    <w:jc w:val="center"/>
                    <w:rPr>
                      <w:b/>
                      <w:sz w:val="22"/>
                    </w:rPr>
                  </w:pPr>
                  <w:r>
                    <w:rPr>
                      <w:b/>
                      <w:sz w:val="22"/>
                    </w:rPr>
                    <w:t>Son medios poderosos para fomentar la participación campesina en las acciones de planeación</w:t>
                  </w:r>
                </w:p>
              </w:txbxContent>
            </v:textbox>
            <w10:wrap type="none"/>
          </v:shape>
        </w:pict>
      </w:r>
      <w:r>
        <w:rPr/>
        <w:pict>
          <v:shape style="position:absolute;margin-left:527.299988pt;margin-top:-95.352127pt;width:186.75pt;height:57pt;mso-position-horizontal-relative:page;mso-position-vertical-relative:paragraph;z-index:6880" type="#_x0000_t202" filled="false" stroked="true" strokeweight=".5pt" strokecolor="#000000">
            <v:textbox inset="0,0,0,0">
              <w:txbxContent>
                <w:p>
                  <w:pPr>
                    <w:spacing w:line="280" w:lineRule="auto" w:before="68"/>
                    <w:ind w:left="161" w:right="157" w:firstLine="0"/>
                    <w:jc w:val="center"/>
                    <w:rPr>
                      <w:b/>
                      <w:sz w:val="22"/>
                    </w:rPr>
                  </w:pPr>
                  <w:r>
                    <w:rPr>
                      <w:b/>
                      <w:sz w:val="22"/>
                    </w:rPr>
                    <w:t>Permite la buena disposición de los actores para participar en un proyecto</w:t>
                  </w:r>
                </w:p>
              </w:txbxContent>
            </v:textbox>
            <w10:wrap type="none"/>
          </v:shape>
        </w:pict>
      </w:r>
      <w:r>
        <w:rPr/>
        <w:pict>
          <v:shape style="position:absolute;margin-left:366.100006pt;margin-top:-69.052132pt;width:53.25pt;height:20.25pt;mso-position-horizontal-relative:page;mso-position-vertical-relative:paragraph;z-index:6904" type="#_x0000_t202" filled="false" stroked="true" strokeweight=".5pt" strokecolor="#000000">
            <v:textbox inset="0,0,0,0">
              <w:txbxContent>
                <w:p>
                  <w:pPr>
                    <w:pStyle w:val="BodyText"/>
                    <w:spacing w:before="70"/>
                    <w:ind w:left="145"/>
                  </w:pPr>
                  <w:r>
                    <w:rPr>
                      <w:w w:val="100"/>
                    </w:rPr>
                    <w:t>Y</w:t>
                  </w:r>
                </w:p>
              </w:txbxContent>
            </v:textbox>
            <w10:wrap type="none"/>
          </v:shape>
        </w:pict>
      </w:r>
      <w:r>
        <w:rPr>
          <w:b/>
          <w:sz w:val="22"/>
        </w:rPr>
        <w:t>Fuente: </w:t>
      </w:r>
      <w:r>
        <w:rPr>
          <w:sz w:val="22"/>
        </w:rPr>
        <w:t>Elaboración propia con base en </w:t>
      </w:r>
      <w:r>
        <w:rPr>
          <w:sz w:val="24"/>
        </w:rPr>
        <w:t>Uphoff, </w:t>
      </w:r>
      <w:r>
        <w:rPr>
          <w:sz w:val="22"/>
        </w:rPr>
        <w:t>1988, 1995 y</w:t>
      </w:r>
    </w:p>
    <w:p>
      <w:pPr>
        <w:pStyle w:val="BodyText"/>
        <w:spacing w:line="271" w:lineRule="exact"/>
        <w:ind w:right="598"/>
        <w:jc w:val="right"/>
      </w:pPr>
      <w:r>
        <w:rPr/>
        <w:t>2000</w:t>
      </w:r>
      <w:r>
        <w:rPr>
          <w:sz w:val="24"/>
        </w:rPr>
        <w:t>; </w:t>
      </w:r>
      <w:r>
        <w:rPr/>
        <w:t>Cernea, 1995 y Bonnal,</w:t>
      </w:r>
    </w:p>
    <w:p>
      <w:pPr>
        <w:pStyle w:val="BodyText"/>
        <w:spacing w:before="40"/>
        <w:ind w:right="2981"/>
        <w:jc w:val="right"/>
      </w:pPr>
      <w:r>
        <w:rPr/>
        <w:t>1996.</w:t>
      </w:r>
    </w:p>
    <w:p>
      <w:pPr>
        <w:pStyle w:val="BodyText"/>
        <w:rPr>
          <w:sz w:val="20"/>
        </w:rPr>
      </w:pPr>
    </w:p>
    <w:p>
      <w:pPr>
        <w:pStyle w:val="BodyText"/>
        <w:rPr>
          <w:sz w:val="20"/>
        </w:rPr>
      </w:pPr>
    </w:p>
    <w:p>
      <w:pPr>
        <w:pStyle w:val="BodyText"/>
        <w:spacing w:before="8"/>
        <w:rPr>
          <w:sz w:val="21"/>
        </w:rPr>
      </w:pPr>
    </w:p>
    <w:p>
      <w:pPr>
        <w:pStyle w:val="BodyText"/>
        <w:spacing w:before="56"/>
        <w:ind w:right="113"/>
        <w:jc w:val="right"/>
        <w:rPr>
          <w:rFonts w:ascii="Calibri"/>
        </w:rPr>
      </w:pPr>
      <w:r>
        <w:rPr>
          <w:rFonts w:ascii="Calibri"/>
        </w:rPr>
        <w:t>139</w:t>
      </w:r>
    </w:p>
    <w:p>
      <w:pPr>
        <w:spacing w:after="0"/>
        <w:jc w:val="right"/>
        <w:rPr>
          <w:rFonts w:ascii="Calibri"/>
        </w:rPr>
        <w:sectPr>
          <w:footerReference w:type="default" r:id="rId116"/>
          <w:pgSz w:w="15840" w:h="12240" w:orient="landscape"/>
          <w:pgMar w:footer="0" w:header="0" w:top="1140" w:bottom="280" w:left="920" w:right="1300"/>
        </w:sectPr>
      </w:pPr>
    </w:p>
    <w:p>
      <w:pPr>
        <w:pStyle w:val="BodyText"/>
        <w:spacing w:line="360" w:lineRule="auto" w:before="56"/>
        <w:ind w:left="102" w:right="112"/>
        <w:jc w:val="both"/>
      </w:pPr>
      <w:r>
        <w:rPr/>
        <w:t>Esta metodología permitió trabajar con la identificación de los actores históricos establecidos en el área. El trabajo de campo por grupo de actores, tuvo la ventaja de identificar su estructura social la cual, a partir de ella, se proponen las soluciones que evitan conflictos, o que los disminuyen. Esto permitió la entrevista y el trabajo participativo de la mayoría de los actores de la cuenca hidrosocial, debido a su existencia previa y a su misma estructura histórica e incluyente, que permitió la entrevista y la participación de los actores, lo que nos permitió identificar la formación histórica de la Cuenca Hidrosocial Presa Huapango y la identificación de actores.</w:t>
      </w:r>
    </w:p>
    <w:p>
      <w:pPr>
        <w:pStyle w:val="BodyText"/>
        <w:spacing w:before="4"/>
        <w:rPr>
          <w:sz w:val="17"/>
        </w:rPr>
      </w:pPr>
    </w:p>
    <w:p>
      <w:pPr>
        <w:pStyle w:val="Heading6"/>
        <w:numPr>
          <w:ilvl w:val="1"/>
          <w:numId w:val="37"/>
        </w:numPr>
        <w:tabs>
          <w:tab w:pos="606" w:val="left" w:leader="none"/>
        </w:tabs>
        <w:spacing w:line="360" w:lineRule="auto" w:before="0" w:after="0"/>
        <w:ind w:left="102" w:right="115" w:firstLine="0"/>
        <w:jc w:val="both"/>
      </w:pPr>
      <w:bookmarkStart w:name="_TOC_250033" w:id="40"/>
      <w:r>
        <w:rPr/>
        <w:t>La formación histórica de la Cuenca Hidrosocial Presa Huapango para la identificación de</w:t>
      </w:r>
      <w:r>
        <w:rPr>
          <w:spacing w:val="-6"/>
        </w:rPr>
        <w:t> </w:t>
      </w:r>
      <w:bookmarkEnd w:id="40"/>
      <w:r>
        <w:rPr/>
        <w:t>actores</w:t>
      </w:r>
    </w:p>
    <w:p>
      <w:pPr>
        <w:pStyle w:val="BodyText"/>
        <w:spacing w:before="10"/>
        <w:rPr>
          <w:b/>
          <w:sz w:val="24"/>
        </w:rPr>
      </w:pPr>
    </w:p>
    <w:p>
      <w:pPr>
        <w:pStyle w:val="Heading7"/>
        <w:numPr>
          <w:ilvl w:val="2"/>
          <w:numId w:val="40"/>
        </w:numPr>
        <w:tabs>
          <w:tab w:pos="717" w:val="left" w:leader="none"/>
        </w:tabs>
        <w:spacing w:line="240" w:lineRule="auto" w:before="0" w:after="0"/>
        <w:ind w:left="102" w:right="0" w:firstLine="0"/>
        <w:jc w:val="both"/>
        <w:rPr>
          <w:i/>
        </w:rPr>
      </w:pPr>
      <w:bookmarkStart w:name="_TOC_250032" w:id="41"/>
      <w:r>
        <w:rPr>
          <w:i/>
        </w:rPr>
        <w:t>Época prehispánica: Provincia de Xilotepec,</w:t>
      </w:r>
      <w:r>
        <w:rPr>
          <w:i/>
          <w:spacing w:val="-16"/>
        </w:rPr>
        <w:t> </w:t>
      </w:r>
      <w:bookmarkEnd w:id="41"/>
      <w:r>
        <w:rPr>
          <w:i/>
        </w:rPr>
        <w:t>(S.XIV-XVI)</w:t>
      </w:r>
    </w:p>
    <w:p>
      <w:pPr>
        <w:pStyle w:val="BodyText"/>
        <w:rPr>
          <w:b/>
          <w:i/>
        </w:rPr>
      </w:pPr>
    </w:p>
    <w:p>
      <w:pPr>
        <w:pStyle w:val="BodyText"/>
        <w:spacing w:line="360" w:lineRule="auto" w:before="154"/>
        <w:ind w:left="102" w:right="113"/>
        <w:jc w:val="both"/>
      </w:pPr>
      <w:r>
        <w:rPr/>
        <w:t>El historiador y sociólogo Frank Tannenbaum, (1952: 15), menciona que el  sistema agrario indígena estaba íntimamente relacionado con la organización social. Los  españoles los encontraron en la región, sociedades ya organizadas y estatizadas, divididas en grupos consanguíneos, es por eso que, Charles Gibson (2007: 27), identifica que los españoles tomaron esta base social para la clasificación de cabeceras y sujetos dentro de las sociedad indígena, en donde las principales comunidades estaban tradicionalmente gobernadas por jefes indígenas llamados </w:t>
      </w:r>
      <w:r>
        <w:rPr>
          <w:i/>
        </w:rPr>
        <w:t>tlatoque </w:t>
      </w:r>
      <w:r>
        <w:rPr/>
        <w:t>(en singular </w:t>
      </w:r>
      <w:r>
        <w:rPr>
          <w:i/>
        </w:rPr>
        <w:t>tlatoani</w:t>
      </w:r>
      <w:r>
        <w:rPr/>
        <w:t>) y se subdividían según el sistema indígena, siendo la unidad el </w:t>
      </w:r>
      <w:r>
        <w:rPr>
          <w:i/>
        </w:rPr>
        <w:t>tlaxilacalli, </w:t>
      </w:r>
      <w:r>
        <w:rPr/>
        <w:t>que era un grupo de familias que vivía en una sola localidad. En general, el </w:t>
      </w:r>
      <w:r>
        <w:rPr>
          <w:i/>
        </w:rPr>
        <w:t>tlaxilacalli </w:t>
      </w:r>
      <w:r>
        <w:rPr/>
        <w:t>indígena se convirtió en el sujeto español, ya fuera barrio o estancia, y se subordinó a la cabecera donde residía el</w:t>
      </w:r>
      <w:r>
        <w:rPr>
          <w:spacing w:val="-6"/>
        </w:rPr>
        <w:t> </w:t>
      </w:r>
      <w:r>
        <w:rPr/>
        <w:t>tlatoani.</w:t>
      </w:r>
    </w:p>
    <w:p>
      <w:pPr>
        <w:pStyle w:val="BodyText"/>
        <w:spacing w:before="10"/>
        <w:rPr>
          <w:sz w:val="24"/>
        </w:rPr>
      </w:pPr>
    </w:p>
    <w:p>
      <w:pPr>
        <w:pStyle w:val="Heading7"/>
        <w:numPr>
          <w:ilvl w:val="2"/>
          <w:numId w:val="40"/>
        </w:numPr>
        <w:tabs>
          <w:tab w:pos="760" w:val="left" w:leader="none"/>
        </w:tabs>
        <w:spacing w:line="357" w:lineRule="auto" w:before="0" w:after="0"/>
        <w:ind w:left="102" w:right="117" w:firstLine="0"/>
        <w:jc w:val="both"/>
      </w:pPr>
      <w:r>
        <w:rPr>
          <w:i/>
        </w:rPr>
        <w:t>Dominación Española: Provincia de Xilotepec, 1521-1821 (Construcción del </w:t>
      </w:r>
      <w:r>
        <w:rPr/>
        <w:t>paisaje</w:t>
      </w:r>
      <w:r>
        <w:rPr>
          <w:spacing w:val="-2"/>
        </w:rPr>
        <w:t> </w:t>
      </w:r>
      <w:r>
        <w:rPr/>
        <w:t>hídrico)</w:t>
      </w:r>
    </w:p>
    <w:p>
      <w:pPr>
        <w:pStyle w:val="BodyText"/>
        <w:spacing w:before="2"/>
        <w:rPr>
          <w:b/>
          <w:i/>
          <w:sz w:val="25"/>
        </w:rPr>
      </w:pPr>
    </w:p>
    <w:p>
      <w:pPr>
        <w:pStyle w:val="BodyText"/>
        <w:spacing w:line="360" w:lineRule="auto"/>
        <w:ind w:left="102" w:right="115"/>
        <w:jc w:val="both"/>
      </w:pPr>
      <w:r>
        <w:rPr/>
        <w:t>Peter Gerhard (1986:7), menciona que el avance de la exploración y la conquista española en la parte del territorio aquí estudiado fue rápido. Entre el momento en que Hernán Cortés y sus hombres desembarcaron en la Vera Cruz (abril de 1519) y la caída de Tenochtitlan (agosto de 1521) los europeos exploraron gran parte de las regiones tributarias de los</w:t>
      </w:r>
      <w:r>
        <w:rPr>
          <w:spacing w:val="-11"/>
        </w:rPr>
        <w:t> </w:t>
      </w:r>
      <w:r>
        <w:rPr/>
        <w:t>mexicanos.</w:t>
      </w:r>
    </w:p>
    <w:p>
      <w:pPr>
        <w:spacing w:after="0" w:line="360" w:lineRule="auto"/>
        <w:jc w:val="both"/>
        <w:sectPr>
          <w:footerReference w:type="default" r:id="rId119"/>
          <w:pgSz w:w="12240" w:h="15840"/>
          <w:pgMar w:footer="1003" w:header="0" w:top="1360" w:bottom="1200" w:left="1600" w:right="1580"/>
          <w:pgNumType w:start="140"/>
        </w:sectPr>
      </w:pPr>
    </w:p>
    <w:p>
      <w:pPr>
        <w:pStyle w:val="BodyText"/>
        <w:spacing w:line="360" w:lineRule="auto" w:before="56"/>
        <w:ind w:left="102" w:right="116"/>
        <w:jc w:val="both"/>
      </w:pPr>
      <w:r>
        <w:rPr/>
        <w:t>Los indios fueron distribuidos en encomiendas después de una serie de estudios rápidos en 1523-1525 para determinar la población y los recursos de cada rincón del país. En general, el periodo comprendido entre 1524 y 1530 fue de conflicto entre los antiguos dirigentes indígenas, que en su mayoría conservaban el poder, y los encomenderos españoles; ambos grupos insistían en sus derechos al trabajo y el tributo de los indios.</w:t>
      </w:r>
    </w:p>
    <w:p>
      <w:pPr>
        <w:pStyle w:val="BodyText"/>
        <w:spacing w:before="10"/>
        <w:rPr>
          <w:sz w:val="24"/>
        </w:rPr>
      </w:pPr>
    </w:p>
    <w:p>
      <w:pPr>
        <w:pStyle w:val="BodyText"/>
        <w:spacing w:line="360" w:lineRule="auto"/>
        <w:ind w:left="102" w:right="117"/>
        <w:jc w:val="both"/>
      </w:pPr>
      <w:r>
        <w:rPr/>
        <w:t>Juan Felipe Leal (1986: 5,6), indica que el reparto de tierras a través de la constitución de haciendas, surge a mediados del siglo XVII, una vez que el episodio de la encomienda se había eclipsado y que el repartimiento forzoso de los indios había entrado también en decadencia. Para entonces la población indígena había disminuido notablemente y la política de congregación de indios había conducido a la reestructuración económica y política de sus pueblos, con base en patrones castellanos. Estos acontecimientos permitieron una redistribución general de recursos entre indios y españoles. Unos y otros recibieron mercedes reales que amparaban sus respectivas posesiones y les  garantizaban su</w:t>
      </w:r>
      <w:r>
        <w:rPr>
          <w:spacing w:val="-9"/>
        </w:rPr>
        <w:t> </w:t>
      </w:r>
      <w:r>
        <w:rPr/>
        <w:t>usufructo.</w:t>
      </w:r>
    </w:p>
    <w:p>
      <w:pPr>
        <w:pStyle w:val="BodyText"/>
        <w:spacing w:before="10"/>
        <w:rPr>
          <w:sz w:val="24"/>
        </w:rPr>
      </w:pPr>
    </w:p>
    <w:p>
      <w:pPr>
        <w:pStyle w:val="BodyText"/>
        <w:spacing w:line="360" w:lineRule="auto"/>
        <w:ind w:left="102" w:right="112"/>
        <w:jc w:val="both"/>
      </w:pPr>
      <w:r>
        <w:rPr/>
        <w:t>Esto suscitó la formación de un incipiente mercado que propició la concentración de la propiedad española. Con todo, las haciendas no se consolidaron como tales, sino hasta el momento en que lograron crear un sistema propio de atracción, fijación y reposición de trabajadores: el peonaje por deudas. Este sistema les permitió contar con trabajadores permanentes y redujo su dependencia de la mano de obra de los pueblos, que se conservó, pero ya sólo con un carácter eventual o estacional.</w:t>
      </w:r>
    </w:p>
    <w:p>
      <w:pPr>
        <w:pStyle w:val="BodyText"/>
        <w:spacing w:before="10"/>
        <w:rPr>
          <w:sz w:val="24"/>
        </w:rPr>
      </w:pPr>
    </w:p>
    <w:p>
      <w:pPr>
        <w:pStyle w:val="BodyText"/>
        <w:spacing w:line="357" w:lineRule="auto"/>
        <w:ind w:left="102" w:right="118"/>
        <w:jc w:val="both"/>
      </w:pPr>
      <w:r>
        <w:rPr/>
        <w:t>Esta información permitió analizar y comenzar la identificación de actores y lugares en la cuenca hidrosocial presa Huapango, como se aprecia en el siguiente apartado.</w:t>
      </w:r>
    </w:p>
    <w:p>
      <w:pPr>
        <w:pStyle w:val="BodyText"/>
        <w:spacing w:before="10"/>
        <w:rPr>
          <w:sz w:val="24"/>
        </w:rPr>
      </w:pPr>
    </w:p>
    <w:p>
      <w:pPr>
        <w:pStyle w:val="Heading6"/>
        <w:numPr>
          <w:ilvl w:val="1"/>
          <w:numId w:val="41"/>
        </w:numPr>
        <w:tabs>
          <w:tab w:pos="573" w:val="left" w:leader="none"/>
        </w:tabs>
        <w:spacing w:line="357" w:lineRule="auto" w:before="0" w:after="0"/>
        <w:ind w:left="102" w:right="112" w:firstLine="0"/>
        <w:jc w:val="both"/>
      </w:pPr>
      <w:r>
        <w:rPr/>
        <w:t>La conformación-evolución de los grupos sociales (ACTORES) en la Cuenca Hidrosocial Presa</w:t>
      </w:r>
      <w:r>
        <w:rPr>
          <w:spacing w:val="-8"/>
        </w:rPr>
        <w:t> </w:t>
      </w:r>
      <w:r>
        <w:rPr/>
        <w:t>Huapango</w:t>
      </w:r>
    </w:p>
    <w:p>
      <w:pPr>
        <w:pStyle w:val="BodyText"/>
        <w:spacing w:before="4"/>
        <w:rPr>
          <w:b/>
          <w:sz w:val="25"/>
        </w:rPr>
      </w:pPr>
    </w:p>
    <w:p>
      <w:pPr>
        <w:pStyle w:val="BodyText"/>
        <w:spacing w:line="360" w:lineRule="auto"/>
        <w:ind w:left="102" w:right="112"/>
        <w:jc w:val="both"/>
      </w:pPr>
      <w:r>
        <w:rPr/>
        <w:t>Según Peter Gerhard (1986: 392), la Cuenca Hidrosocial Presa Huapango está contenida dentro de la antigua provincia de Xilotepec, (ver figura 1.4.), que se extendía desde la alta montaña (3 800 metros) llamada Sierra de las Cruces (sur), y que consta de una serie de volcanes y elevaciones erosionadas que desaguan hacia el norte por afluentes del  sistema del Pánuco (1600 metros), es éste un territorio frio, seco y árido. En la </w:t>
      </w:r>
      <w:r>
        <w:rPr>
          <w:spacing w:val="33"/>
        </w:rPr>
        <w:t> </w:t>
      </w:r>
      <w:r>
        <w:rPr/>
        <w:t>actualidad</w:t>
      </w:r>
    </w:p>
    <w:p>
      <w:pPr>
        <w:spacing w:after="0" w:line="360" w:lineRule="auto"/>
        <w:jc w:val="both"/>
        <w:sectPr>
          <w:pgSz w:w="12240" w:h="15840"/>
          <w:pgMar w:header="0" w:footer="1003" w:top="1360" w:bottom="1200" w:left="1600" w:right="1580"/>
        </w:sectPr>
      </w:pPr>
    </w:p>
    <w:p>
      <w:pPr>
        <w:pStyle w:val="BodyText"/>
        <w:spacing w:line="357" w:lineRule="auto" w:before="56"/>
        <w:ind w:left="102" w:right="118"/>
        <w:jc w:val="both"/>
      </w:pPr>
      <w:r>
        <w:rPr/>
        <w:t>abarca una parte del noroeste del Estado de México y suroeste de Hidalgo, además de una sección del suroeste de Querétaro (Gerhard, Op. Cit., 1986).</w:t>
      </w:r>
    </w:p>
    <w:p>
      <w:pPr>
        <w:pStyle w:val="BodyText"/>
        <w:spacing w:before="8"/>
        <w:rPr>
          <w:sz w:val="24"/>
        </w:rPr>
      </w:pPr>
    </w:p>
    <w:p>
      <w:pPr>
        <w:pStyle w:val="Heading6"/>
        <w:ind w:left="1493"/>
      </w:pPr>
      <w:r>
        <w:rPr/>
        <w:t>Figura 4.1. Provincia de Xilotepec y Huapango (Siglo XVI).</w:t>
      </w:r>
    </w:p>
    <w:p>
      <w:pPr>
        <w:pStyle w:val="BodyText"/>
        <w:rPr>
          <w:b/>
          <w:sz w:val="20"/>
        </w:rPr>
      </w:pPr>
    </w:p>
    <w:p>
      <w:pPr>
        <w:pStyle w:val="BodyText"/>
        <w:spacing w:before="6"/>
        <w:rPr>
          <w:b/>
          <w:sz w:val="12"/>
        </w:rPr>
      </w:pPr>
      <w:r>
        <w:rPr/>
        <w:drawing>
          <wp:anchor distT="0" distB="0" distL="0" distR="0" allowOverlap="1" layoutInCell="1" locked="0" behindDoc="0" simplePos="0" relativeHeight="6976">
            <wp:simplePos x="0" y="0"/>
            <wp:positionH relativeFrom="page">
              <wp:posOffset>1590675</wp:posOffset>
            </wp:positionH>
            <wp:positionV relativeFrom="paragraph">
              <wp:posOffset>116712</wp:posOffset>
            </wp:positionV>
            <wp:extent cx="4586462" cy="2474976"/>
            <wp:effectExtent l="0" t="0" r="0" b="0"/>
            <wp:wrapTopAndBottom/>
            <wp:docPr id="33" name="image76.jpeg" descr=""/>
            <wp:cNvGraphicFramePr>
              <a:graphicFrameLocks noChangeAspect="1"/>
            </wp:cNvGraphicFramePr>
            <a:graphic>
              <a:graphicData uri="http://schemas.openxmlformats.org/drawingml/2006/picture">
                <pic:pic>
                  <pic:nvPicPr>
                    <pic:cNvPr id="34" name="image76.jpeg"/>
                    <pic:cNvPicPr/>
                  </pic:nvPicPr>
                  <pic:blipFill>
                    <a:blip r:embed="rId120" cstate="print"/>
                    <a:stretch>
                      <a:fillRect/>
                    </a:stretch>
                  </pic:blipFill>
                  <pic:spPr>
                    <a:xfrm>
                      <a:off x="0" y="0"/>
                      <a:ext cx="4586462" cy="2474976"/>
                    </a:xfrm>
                    <a:prstGeom prst="rect">
                      <a:avLst/>
                    </a:prstGeom>
                  </pic:spPr>
                </pic:pic>
              </a:graphicData>
            </a:graphic>
          </wp:anchor>
        </w:drawing>
      </w:r>
    </w:p>
    <w:p>
      <w:pPr>
        <w:pStyle w:val="BodyText"/>
        <w:spacing w:before="7"/>
        <w:rPr>
          <w:b/>
          <w:sz w:val="32"/>
        </w:rPr>
      </w:pPr>
    </w:p>
    <w:p>
      <w:pPr>
        <w:spacing w:line="278" w:lineRule="auto" w:before="0"/>
        <w:ind w:left="102" w:right="113" w:firstLine="0"/>
        <w:jc w:val="both"/>
        <w:rPr>
          <w:sz w:val="22"/>
        </w:rPr>
      </w:pPr>
      <w:r>
        <w:rPr>
          <w:b/>
          <w:sz w:val="22"/>
        </w:rPr>
        <w:t>Fuente: </w:t>
      </w:r>
      <w:r>
        <w:rPr>
          <w:sz w:val="22"/>
        </w:rPr>
        <w:t>Gerhard, Peter (1986) </w:t>
      </w:r>
      <w:r>
        <w:rPr>
          <w:b/>
          <w:sz w:val="22"/>
        </w:rPr>
        <w:t>Geografía Histórica de la Nueva España 1519-1821</w:t>
      </w:r>
      <w:r>
        <w:rPr>
          <w:sz w:val="22"/>
        </w:rPr>
        <w:t>, Universidad Nacional Autónoma de México, México.</w:t>
      </w:r>
    </w:p>
    <w:p>
      <w:pPr>
        <w:pStyle w:val="BodyText"/>
        <w:spacing w:before="3"/>
        <w:rPr>
          <w:sz w:val="24"/>
        </w:rPr>
      </w:pPr>
    </w:p>
    <w:p>
      <w:pPr>
        <w:pStyle w:val="BodyText"/>
        <w:spacing w:line="360" w:lineRule="auto"/>
        <w:ind w:left="102" w:right="112"/>
        <w:jc w:val="both"/>
      </w:pPr>
      <w:r>
        <w:rPr/>
        <w:t>En la anterior figura que abarca el territorio de lo que será la presa Huapango, se puede apreciar que el origen de la cuenca hidrosocial tiene una identidad antigua y común, que pertenecía a la antigua provincia de Xilotepec, y que enmarca los municipios actuales de Acambay, Aculco, Jilotepec, Timilpan y Polotitlán.</w:t>
      </w:r>
    </w:p>
    <w:p>
      <w:pPr>
        <w:pStyle w:val="BodyText"/>
        <w:spacing w:before="10"/>
        <w:rPr>
          <w:sz w:val="24"/>
        </w:rPr>
      </w:pPr>
    </w:p>
    <w:p>
      <w:pPr>
        <w:pStyle w:val="BodyText"/>
        <w:spacing w:line="360" w:lineRule="auto"/>
        <w:ind w:left="102" w:right="116"/>
        <w:jc w:val="both"/>
      </w:pPr>
      <w:r>
        <w:rPr/>
        <w:t>En este sentido, los pobladores actuales de la antigua provincia de Xilotepec se identifican territorialmente con ese antiguo territorio otomí. Si bien los habitantes predominantes eran otomíes, había también grupos de mazahuas en el sur y chichimecas (pames) en el norte, así como una minoría hablante de náhuatl.</w:t>
      </w:r>
    </w:p>
    <w:p>
      <w:pPr>
        <w:pStyle w:val="BodyText"/>
        <w:spacing w:before="11"/>
        <w:rPr>
          <w:sz w:val="24"/>
        </w:rPr>
      </w:pPr>
    </w:p>
    <w:p>
      <w:pPr>
        <w:pStyle w:val="BodyText"/>
        <w:spacing w:line="360" w:lineRule="auto"/>
        <w:ind w:left="102" w:right="112"/>
        <w:jc w:val="both"/>
      </w:pPr>
      <w:r>
        <w:rPr/>
        <w:t>Según Peter Gerhard (1986: 392), este territorio fue dado en encomienda a fines del siglo XVI, y como entidad tributaria se extendió más allá de su antigua jurisdicción política prehispánica, pero el territorio y sus habitantes fueron respetados como una entidad, lo cual identifica una larga interacción entre habitantes y ambiente de varios siglos. La encomienda parece haber estado dividida en cuartos, uno de los cuales tocó a Hernando de Cantillana; en los primeros años la reclamaban también Francisco de Quevedo y Juan Núñez Sedeño.</w:t>
      </w:r>
    </w:p>
    <w:p>
      <w:pPr>
        <w:spacing w:after="0" w:line="360" w:lineRule="auto"/>
        <w:jc w:val="both"/>
        <w:sectPr>
          <w:pgSz w:w="12240" w:h="15840"/>
          <w:pgMar w:header="0" w:footer="1003" w:top="1360" w:bottom="1200" w:left="1600" w:right="1580"/>
        </w:sectPr>
      </w:pPr>
    </w:p>
    <w:p>
      <w:pPr>
        <w:pStyle w:val="BodyText"/>
        <w:spacing w:line="360" w:lineRule="auto" w:before="56"/>
        <w:ind w:left="102" w:right="115"/>
        <w:jc w:val="both"/>
      </w:pPr>
      <w:r>
        <w:rPr/>
        <w:t>El mismo autor, Peter Gerhard (1986: 394,395), señala que la cifra más antigua para Xilotepec es la de 18,335 tributarios en 1565. Cinco años después existían tres conventos franciscanos que tenían 12,900 tributarios, de donde se deduce que alrededor de 5,000 tributarios vivían en lo que más tarde fueron las jurisdicciones de Querétaro, San Miguel, San Luis de la Paz y Cimapán. En el área que nos interesa aquí (la jurisdicción final del alcalde mayor de Xilotepec) debemos agregar 3,300 tributarios en Chiapa, 1,580 en Chiapantongo y 680 en Zayanaquilpa, lo que da un total de 18,460 tributarios hacia 1570. Además en aquel momento debía haber posiblemente 500 familias de chichimecas. Los tributos eran casi todos otomíes, pero había hablantes de náhuatl en las cabeceras e Xilotepec y Chiapa, y en Alfaxayuca. La población indígena se redujo drásticamente después de 1570, debido en parte a la emigración continuada, pero mucho más a la mortandad debida a las enfermedades epidémicas, especialmente en 1576-1581y 1604- 1607.</w:t>
      </w:r>
    </w:p>
    <w:p>
      <w:pPr>
        <w:pStyle w:val="BodyText"/>
        <w:spacing w:before="10"/>
        <w:rPr>
          <w:sz w:val="24"/>
        </w:rPr>
      </w:pPr>
    </w:p>
    <w:p>
      <w:pPr>
        <w:pStyle w:val="BodyText"/>
        <w:spacing w:line="360" w:lineRule="auto"/>
        <w:ind w:left="102" w:right="118"/>
        <w:jc w:val="both"/>
      </w:pPr>
      <w:r>
        <w:rPr/>
        <w:t>Una interpolación de datos diversos nos da estimaciones de 9,100 tributarios en 1588, 6,130 en 1597, 3,490 en 1623 y apenas 1,470 en 1643. En esta última fecha había muy pocos chichimecas no asimilados. A continuación hubo un aumento notable, auxiliado aparentemente por la inmigración. En 1688 se registran 6,530 tributarios, 7,179 familias indias en 1743 y 15,851 tributarios indios  en 1799.</w:t>
      </w:r>
    </w:p>
    <w:p>
      <w:pPr>
        <w:pStyle w:val="BodyText"/>
        <w:spacing w:before="6"/>
        <w:rPr>
          <w:sz w:val="24"/>
        </w:rPr>
      </w:pPr>
    </w:p>
    <w:p>
      <w:pPr>
        <w:pStyle w:val="Heading6"/>
        <w:ind w:left="2173"/>
      </w:pPr>
      <w:r>
        <w:rPr/>
        <w:t>Tabla 4.4. La región Xilotepec y su población</w:t>
      </w:r>
    </w:p>
    <w:p>
      <w:pPr>
        <w:pStyle w:val="BodyText"/>
        <w:rPr>
          <w:b/>
          <w:sz w:val="20"/>
        </w:rPr>
      </w:pPr>
    </w:p>
    <w:p>
      <w:pPr>
        <w:pStyle w:val="BodyText"/>
        <w:rPr>
          <w:b/>
          <w:sz w:val="16"/>
        </w:rPr>
      </w:pPr>
    </w:p>
    <w:tbl>
      <w:tblPr>
        <w:tblW w:w="0" w:type="auto"/>
        <w:jc w:val="left"/>
        <w:tblInd w:w="22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9"/>
        <w:gridCol w:w="3828"/>
      </w:tblGrid>
      <w:tr>
        <w:trPr>
          <w:trHeight w:val="389" w:hRule="exact"/>
        </w:trPr>
        <w:tc>
          <w:tcPr>
            <w:tcW w:w="749" w:type="dxa"/>
            <w:tcBorders>
              <w:left w:val="single" w:sz="4" w:space="0" w:color="000000"/>
            </w:tcBorders>
            <w:shd w:val="clear" w:color="auto" w:fill="585858"/>
          </w:tcPr>
          <w:p>
            <w:pPr>
              <w:pStyle w:val="TableParagraph"/>
              <w:spacing w:line="248" w:lineRule="exact"/>
              <w:ind w:left="153"/>
              <w:rPr>
                <w:b/>
                <w:sz w:val="22"/>
              </w:rPr>
            </w:pPr>
            <w:r>
              <w:rPr>
                <w:b/>
                <w:sz w:val="22"/>
              </w:rPr>
              <w:t>Año</w:t>
            </w:r>
          </w:p>
        </w:tc>
        <w:tc>
          <w:tcPr>
            <w:tcW w:w="3828" w:type="dxa"/>
            <w:shd w:val="clear" w:color="auto" w:fill="585858"/>
          </w:tcPr>
          <w:p>
            <w:pPr>
              <w:pStyle w:val="TableParagraph"/>
              <w:spacing w:line="248" w:lineRule="exact"/>
              <w:rPr>
                <w:b/>
                <w:sz w:val="22"/>
              </w:rPr>
            </w:pPr>
            <w:r>
              <w:rPr>
                <w:b/>
                <w:sz w:val="22"/>
              </w:rPr>
              <w:t>Tributarios</w:t>
            </w:r>
          </w:p>
        </w:tc>
      </w:tr>
      <w:tr>
        <w:trPr>
          <w:trHeight w:val="391" w:hRule="exact"/>
        </w:trPr>
        <w:tc>
          <w:tcPr>
            <w:tcW w:w="749" w:type="dxa"/>
            <w:tcBorders>
              <w:left w:val="single" w:sz="4" w:space="0" w:color="000000"/>
            </w:tcBorders>
          </w:tcPr>
          <w:p>
            <w:pPr>
              <w:pStyle w:val="TableParagraph"/>
              <w:spacing w:line="251" w:lineRule="exact"/>
              <w:ind w:left="100"/>
              <w:rPr>
                <w:sz w:val="22"/>
              </w:rPr>
            </w:pPr>
            <w:r>
              <w:rPr>
                <w:sz w:val="22"/>
              </w:rPr>
              <w:t>1565</w:t>
            </w:r>
          </w:p>
        </w:tc>
        <w:tc>
          <w:tcPr>
            <w:tcW w:w="3828" w:type="dxa"/>
          </w:tcPr>
          <w:p>
            <w:pPr>
              <w:pStyle w:val="TableParagraph"/>
              <w:spacing w:line="251" w:lineRule="exact"/>
              <w:rPr>
                <w:sz w:val="22"/>
              </w:rPr>
            </w:pPr>
            <w:r>
              <w:rPr>
                <w:sz w:val="22"/>
              </w:rPr>
              <w:t>18,335</w:t>
            </w:r>
          </w:p>
        </w:tc>
      </w:tr>
      <w:tr>
        <w:trPr>
          <w:trHeight w:val="389" w:hRule="exact"/>
        </w:trPr>
        <w:tc>
          <w:tcPr>
            <w:tcW w:w="749" w:type="dxa"/>
            <w:tcBorders>
              <w:left w:val="single" w:sz="4" w:space="0" w:color="000000"/>
            </w:tcBorders>
          </w:tcPr>
          <w:p>
            <w:pPr>
              <w:pStyle w:val="TableParagraph"/>
              <w:spacing w:line="251" w:lineRule="exact"/>
              <w:ind w:left="100"/>
              <w:rPr>
                <w:sz w:val="22"/>
              </w:rPr>
            </w:pPr>
            <w:r>
              <w:rPr>
                <w:sz w:val="22"/>
              </w:rPr>
              <w:t>1570</w:t>
            </w:r>
          </w:p>
        </w:tc>
        <w:tc>
          <w:tcPr>
            <w:tcW w:w="3828" w:type="dxa"/>
          </w:tcPr>
          <w:p>
            <w:pPr>
              <w:pStyle w:val="TableParagraph"/>
              <w:spacing w:line="248" w:lineRule="exact"/>
              <w:rPr>
                <w:b/>
                <w:sz w:val="22"/>
              </w:rPr>
            </w:pPr>
            <w:r>
              <w:rPr>
                <w:sz w:val="22"/>
              </w:rPr>
              <w:t>18,460</w:t>
            </w:r>
            <w:r>
              <w:rPr>
                <w:b/>
                <w:sz w:val="22"/>
              </w:rPr>
              <w:t>*</w:t>
            </w:r>
          </w:p>
        </w:tc>
      </w:tr>
      <w:tr>
        <w:trPr>
          <w:trHeight w:val="389" w:hRule="exact"/>
        </w:trPr>
        <w:tc>
          <w:tcPr>
            <w:tcW w:w="749" w:type="dxa"/>
            <w:tcBorders>
              <w:left w:val="single" w:sz="4" w:space="0" w:color="000000"/>
            </w:tcBorders>
          </w:tcPr>
          <w:p>
            <w:pPr>
              <w:pStyle w:val="TableParagraph"/>
              <w:spacing w:line="251" w:lineRule="exact"/>
              <w:ind w:left="100"/>
              <w:rPr>
                <w:sz w:val="22"/>
              </w:rPr>
            </w:pPr>
            <w:r>
              <w:rPr>
                <w:sz w:val="22"/>
              </w:rPr>
              <w:t>1588</w:t>
            </w:r>
          </w:p>
        </w:tc>
        <w:tc>
          <w:tcPr>
            <w:tcW w:w="3828" w:type="dxa"/>
          </w:tcPr>
          <w:p>
            <w:pPr>
              <w:pStyle w:val="TableParagraph"/>
              <w:spacing w:line="251" w:lineRule="exact"/>
              <w:rPr>
                <w:sz w:val="22"/>
              </w:rPr>
            </w:pPr>
            <w:r>
              <w:rPr>
                <w:sz w:val="22"/>
              </w:rPr>
              <w:t>9,100</w:t>
            </w:r>
          </w:p>
        </w:tc>
      </w:tr>
      <w:tr>
        <w:trPr>
          <w:trHeight w:val="389" w:hRule="exact"/>
        </w:trPr>
        <w:tc>
          <w:tcPr>
            <w:tcW w:w="749" w:type="dxa"/>
            <w:tcBorders>
              <w:left w:val="single" w:sz="4" w:space="0" w:color="000000"/>
            </w:tcBorders>
          </w:tcPr>
          <w:p>
            <w:pPr>
              <w:pStyle w:val="TableParagraph"/>
              <w:spacing w:line="251" w:lineRule="exact"/>
              <w:ind w:left="100"/>
              <w:rPr>
                <w:sz w:val="22"/>
              </w:rPr>
            </w:pPr>
            <w:r>
              <w:rPr>
                <w:sz w:val="22"/>
              </w:rPr>
              <w:t>1597</w:t>
            </w:r>
          </w:p>
        </w:tc>
        <w:tc>
          <w:tcPr>
            <w:tcW w:w="3828" w:type="dxa"/>
          </w:tcPr>
          <w:p>
            <w:pPr>
              <w:pStyle w:val="TableParagraph"/>
              <w:spacing w:line="251" w:lineRule="exact"/>
              <w:rPr>
                <w:sz w:val="22"/>
              </w:rPr>
            </w:pPr>
            <w:r>
              <w:rPr>
                <w:sz w:val="22"/>
              </w:rPr>
              <w:t>6,130</w:t>
            </w:r>
          </w:p>
        </w:tc>
      </w:tr>
      <w:tr>
        <w:trPr>
          <w:trHeight w:val="392" w:hRule="exact"/>
        </w:trPr>
        <w:tc>
          <w:tcPr>
            <w:tcW w:w="749" w:type="dxa"/>
            <w:tcBorders>
              <w:left w:val="single" w:sz="4" w:space="0" w:color="000000"/>
            </w:tcBorders>
          </w:tcPr>
          <w:p>
            <w:pPr>
              <w:pStyle w:val="TableParagraph"/>
              <w:ind w:left="100"/>
              <w:rPr>
                <w:sz w:val="22"/>
              </w:rPr>
            </w:pPr>
            <w:r>
              <w:rPr>
                <w:sz w:val="22"/>
              </w:rPr>
              <w:t>1623</w:t>
            </w:r>
          </w:p>
        </w:tc>
        <w:tc>
          <w:tcPr>
            <w:tcW w:w="3828" w:type="dxa"/>
          </w:tcPr>
          <w:p>
            <w:pPr>
              <w:pStyle w:val="TableParagraph"/>
              <w:rPr>
                <w:sz w:val="22"/>
              </w:rPr>
            </w:pPr>
            <w:r>
              <w:rPr>
                <w:sz w:val="22"/>
              </w:rPr>
              <w:t>3,490</w:t>
            </w:r>
          </w:p>
        </w:tc>
      </w:tr>
      <w:tr>
        <w:trPr>
          <w:trHeight w:val="389" w:hRule="exact"/>
        </w:trPr>
        <w:tc>
          <w:tcPr>
            <w:tcW w:w="749" w:type="dxa"/>
            <w:tcBorders>
              <w:left w:val="single" w:sz="4" w:space="0" w:color="000000"/>
            </w:tcBorders>
          </w:tcPr>
          <w:p>
            <w:pPr>
              <w:pStyle w:val="TableParagraph"/>
              <w:spacing w:line="251" w:lineRule="exact"/>
              <w:ind w:left="100"/>
              <w:rPr>
                <w:sz w:val="22"/>
              </w:rPr>
            </w:pPr>
            <w:r>
              <w:rPr>
                <w:sz w:val="22"/>
              </w:rPr>
              <w:t>1643</w:t>
            </w:r>
          </w:p>
        </w:tc>
        <w:tc>
          <w:tcPr>
            <w:tcW w:w="3828" w:type="dxa"/>
          </w:tcPr>
          <w:p>
            <w:pPr>
              <w:pStyle w:val="TableParagraph"/>
              <w:spacing w:line="251" w:lineRule="exact"/>
              <w:rPr>
                <w:sz w:val="22"/>
              </w:rPr>
            </w:pPr>
            <w:r>
              <w:rPr>
                <w:sz w:val="22"/>
              </w:rPr>
              <w:t>1,470</w:t>
            </w:r>
          </w:p>
        </w:tc>
      </w:tr>
      <w:tr>
        <w:trPr>
          <w:trHeight w:val="389" w:hRule="exact"/>
        </w:trPr>
        <w:tc>
          <w:tcPr>
            <w:tcW w:w="749" w:type="dxa"/>
            <w:tcBorders>
              <w:left w:val="single" w:sz="4" w:space="0" w:color="000000"/>
            </w:tcBorders>
            <w:shd w:val="clear" w:color="auto" w:fill="76923B"/>
          </w:tcPr>
          <w:p>
            <w:pPr>
              <w:pStyle w:val="TableParagraph"/>
              <w:spacing w:line="251" w:lineRule="exact"/>
              <w:ind w:left="100"/>
              <w:rPr>
                <w:sz w:val="22"/>
              </w:rPr>
            </w:pPr>
            <w:r>
              <w:rPr>
                <w:sz w:val="22"/>
              </w:rPr>
              <w:t>1688</w:t>
            </w:r>
          </w:p>
        </w:tc>
        <w:tc>
          <w:tcPr>
            <w:tcW w:w="3828" w:type="dxa"/>
            <w:shd w:val="clear" w:color="auto" w:fill="76923B"/>
          </w:tcPr>
          <w:p>
            <w:pPr>
              <w:pStyle w:val="TableParagraph"/>
              <w:spacing w:line="251" w:lineRule="exact"/>
              <w:rPr>
                <w:sz w:val="22"/>
              </w:rPr>
            </w:pPr>
            <w:r>
              <w:rPr>
                <w:sz w:val="22"/>
              </w:rPr>
              <w:t>6,530 (inmigración)</w:t>
            </w:r>
          </w:p>
        </w:tc>
      </w:tr>
      <w:tr>
        <w:trPr>
          <w:trHeight w:val="389" w:hRule="exact"/>
        </w:trPr>
        <w:tc>
          <w:tcPr>
            <w:tcW w:w="749" w:type="dxa"/>
            <w:tcBorders>
              <w:left w:val="single" w:sz="4" w:space="0" w:color="000000"/>
            </w:tcBorders>
          </w:tcPr>
          <w:p>
            <w:pPr>
              <w:pStyle w:val="TableParagraph"/>
              <w:spacing w:line="251" w:lineRule="exact"/>
              <w:ind w:left="100"/>
              <w:rPr>
                <w:sz w:val="22"/>
              </w:rPr>
            </w:pPr>
            <w:r>
              <w:rPr>
                <w:sz w:val="22"/>
              </w:rPr>
              <w:t>1743</w:t>
            </w:r>
          </w:p>
        </w:tc>
        <w:tc>
          <w:tcPr>
            <w:tcW w:w="3828" w:type="dxa"/>
          </w:tcPr>
          <w:p>
            <w:pPr>
              <w:pStyle w:val="TableParagraph"/>
              <w:spacing w:line="251" w:lineRule="exact"/>
              <w:rPr>
                <w:sz w:val="22"/>
              </w:rPr>
            </w:pPr>
            <w:r>
              <w:rPr>
                <w:sz w:val="22"/>
              </w:rPr>
              <w:t>7,179 familias indias</w:t>
            </w:r>
          </w:p>
        </w:tc>
      </w:tr>
      <w:tr>
        <w:trPr>
          <w:trHeight w:val="391" w:hRule="exact"/>
        </w:trPr>
        <w:tc>
          <w:tcPr>
            <w:tcW w:w="749" w:type="dxa"/>
            <w:tcBorders>
              <w:left w:val="single" w:sz="4" w:space="0" w:color="000000"/>
            </w:tcBorders>
          </w:tcPr>
          <w:p>
            <w:pPr>
              <w:pStyle w:val="TableParagraph"/>
              <w:ind w:left="100"/>
              <w:rPr>
                <w:sz w:val="22"/>
              </w:rPr>
            </w:pPr>
            <w:r>
              <w:rPr>
                <w:sz w:val="22"/>
              </w:rPr>
              <w:t>1799</w:t>
            </w:r>
          </w:p>
        </w:tc>
        <w:tc>
          <w:tcPr>
            <w:tcW w:w="3828" w:type="dxa"/>
          </w:tcPr>
          <w:p>
            <w:pPr>
              <w:pStyle w:val="TableParagraph"/>
              <w:rPr>
                <w:sz w:val="22"/>
              </w:rPr>
            </w:pPr>
            <w:r>
              <w:rPr>
                <w:sz w:val="22"/>
              </w:rPr>
              <w:t>15,851 tributarios indios</w:t>
            </w:r>
          </w:p>
        </w:tc>
      </w:tr>
    </w:tbl>
    <w:p>
      <w:pPr>
        <w:pStyle w:val="BodyText"/>
        <w:spacing w:before="5"/>
        <w:rPr>
          <w:b/>
          <w:sz w:val="17"/>
        </w:rPr>
      </w:pPr>
    </w:p>
    <w:p>
      <w:pPr>
        <w:pStyle w:val="BodyText"/>
        <w:spacing w:before="73"/>
        <w:ind w:left="985"/>
      </w:pPr>
      <w:r>
        <w:rPr>
          <w:b/>
        </w:rPr>
        <w:t>Fuente: </w:t>
      </w:r>
      <w:r>
        <w:rPr/>
        <w:t>Elaboración propia con base en datos de Peter Gerhard (1986).</w:t>
      </w:r>
    </w:p>
    <w:p>
      <w:pPr>
        <w:spacing w:after="0"/>
        <w:sectPr>
          <w:pgSz w:w="12240" w:h="15840"/>
          <w:pgMar w:header="0" w:footer="1003" w:top="1360" w:bottom="1200" w:left="1600" w:right="1580"/>
        </w:sectPr>
      </w:pPr>
    </w:p>
    <w:p>
      <w:pPr>
        <w:pStyle w:val="BodyText"/>
        <w:spacing w:line="360" w:lineRule="auto" w:before="56"/>
        <w:ind w:left="102" w:right="112"/>
        <w:jc w:val="both"/>
      </w:pPr>
      <w:r>
        <w:rPr/>
        <w:t>En la tabla 1.4., podemos apreciar que la población nativa se redujo drásticamente después de 1570, debido en parte a la emigración continua, pero más por la mortandad debido a las enfermedades epidémicas (sarampión, tifoidea, influenza), donde quedo de un 100% a 10% aproximadamente (Gerhard,1986).</w:t>
      </w:r>
    </w:p>
    <w:p>
      <w:pPr>
        <w:pStyle w:val="BodyText"/>
        <w:spacing w:before="10"/>
        <w:rPr>
          <w:sz w:val="24"/>
        </w:rPr>
      </w:pPr>
    </w:p>
    <w:p>
      <w:pPr>
        <w:pStyle w:val="BodyText"/>
        <w:spacing w:line="360" w:lineRule="auto"/>
        <w:ind w:left="102" w:right="117"/>
        <w:jc w:val="both"/>
      </w:pPr>
      <w:r>
        <w:rPr/>
        <w:t>En la tabla 1.5., podemos ver la conformación de haciendas de ganado mayor y menor en 1580 y para 1794 existían 25 haciendas y 95 ranchos ganaderos y productores de leche; donde los religiosos franciscanos de la provincia de Xilotepec, empezaron a construir obras hidráulicas para sus haciendas y rentar el agua a pueblos y ranchos.</w:t>
      </w:r>
    </w:p>
    <w:p>
      <w:pPr>
        <w:pStyle w:val="BodyText"/>
        <w:spacing w:before="6"/>
        <w:rPr>
          <w:sz w:val="24"/>
        </w:rPr>
      </w:pPr>
    </w:p>
    <w:p>
      <w:pPr>
        <w:pStyle w:val="Heading6"/>
        <w:ind w:left="1813"/>
      </w:pPr>
      <w:r>
        <w:rPr/>
        <w:t>Tabla 4.5. Las haciendas y los ranchos de Xilotepec</w:t>
      </w:r>
    </w:p>
    <w:p>
      <w:pPr>
        <w:pStyle w:val="BodyText"/>
        <w:rPr>
          <w:b/>
          <w:sz w:val="20"/>
        </w:rPr>
      </w:pPr>
    </w:p>
    <w:p>
      <w:pPr>
        <w:pStyle w:val="BodyText"/>
        <w:rPr>
          <w:b/>
          <w:sz w:val="16"/>
        </w:rPr>
      </w:pPr>
    </w:p>
    <w:tbl>
      <w:tblPr>
        <w:tblW w:w="0" w:type="auto"/>
        <w:jc w:val="left"/>
        <w:tblInd w:w="13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21"/>
        <w:gridCol w:w="5233"/>
      </w:tblGrid>
      <w:tr>
        <w:trPr>
          <w:trHeight w:val="1373" w:hRule="exact"/>
        </w:trPr>
        <w:tc>
          <w:tcPr>
            <w:tcW w:w="1121" w:type="dxa"/>
            <w:shd w:val="clear" w:color="auto" w:fill="FFC000"/>
          </w:tcPr>
          <w:p>
            <w:pPr>
              <w:pStyle w:val="TableParagraph"/>
              <w:spacing w:before="12"/>
              <w:ind w:left="98"/>
              <w:rPr>
                <w:sz w:val="22"/>
              </w:rPr>
            </w:pPr>
            <w:r>
              <w:rPr>
                <w:sz w:val="22"/>
              </w:rPr>
              <w:t>1580</w:t>
            </w:r>
          </w:p>
        </w:tc>
        <w:tc>
          <w:tcPr>
            <w:tcW w:w="5233" w:type="dxa"/>
            <w:shd w:val="clear" w:color="auto" w:fill="FFC000"/>
          </w:tcPr>
          <w:p>
            <w:pPr>
              <w:pStyle w:val="TableParagraph"/>
              <w:spacing w:line="360" w:lineRule="auto" w:before="12"/>
              <w:ind w:left="96" w:right="98"/>
              <w:jc w:val="both"/>
              <w:rPr>
                <w:sz w:val="22"/>
              </w:rPr>
            </w:pPr>
            <w:r>
              <w:rPr>
                <w:sz w:val="22"/>
              </w:rPr>
              <w:t>Conformación de haciendas de ganado mayor y menor en las que trabajaba un número creciente  de españoles y</w:t>
            </w:r>
            <w:r>
              <w:rPr>
                <w:spacing w:val="-3"/>
                <w:sz w:val="22"/>
              </w:rPr>
              <w:t> </w:t>
            </w:r>
            <w:r>
              <w:rPr>
                <w:sz w:val="22"/>
              </w:rPr>
              <w:t>mulatos.</w:t>
            </w:r>
          </w:p>
        </w:tc>
      </w:tr>
      <w:tr>
        <w:trPr>
          <w:trHeight w:val="994" w:hRule="exact"/>
        </w:trPr>
        <w:tc>
          <w:tcPr>
            <w:tcW w:w="1121" w:type="dxa"/>
          </w:tcPr>
          <w:p>
            <w:pPr>
              <w:pStyle w:val="TableParagraph"/>
              <w:spacing w:line="360" w:lineRule="auto" w:before="14"/>
              <w:ind w:left="98" w:right="495"/>
              <w:rPr>
                <w:sz w:val="22"/>
              </w:rPr>
            </w:pPr>
            <w:r>
              <w:rPr>
                <w:sz w:val="22"/>
              </w:rPr>
              <w:t>Siglo XVII</w:t>
            </w:r>
          </w:p>
        </w:tc>
        <w:tc>
          <w:tcPr>
            <w:tcW w:w="5233" w:type="dxa"/>
          </w:tcPr>
          <w:p>
            <w:pPr>
              <w:pStyle w:val="TableParagraph"/>
              <w:spacing w:line="360" w:lineRule="auto" w:before="14"/>
              <w:ind w:left="96"/>
              <w:rPr>
                <w:sz w:val="22"/>
              </w:rPr>
            </w:pPr>
            <w:r>
              <w:rPr>
                <w:sz w:val="22"/>
              </w:rPr>
              <w:t>Los indígenas dejan de constituir la mayor parte de la población.</w:t>
            </w:r>
          </w:p>
        </w:tc>
      </w:tr>
      <w:tr>
        <w:trPr>
          <w:trHeight w:val="1373" w:hRule="exact"/>
        </w:trPr>
        <w:tc>
          <w:tcPr>
            <w:tcW w:w="1121" w:type="dxa"/>
          </w:tcPr>
          <w:p>
            <w:pPr>
              <w:pStyle w:val="TableParagraph"/>
              <w:spacing w:before="14"/>
              <w:ind w:left="98"/>
              <w:rPr>
                <w:sz w:val="22"/>
              </w:rPr>
            </w:pPr>
            <w:r>
              <w:rPr>
                <w:sz w:val="22"/>
              </w:rPr>
              <w:t>1600</w:t>
            </w:r>
          </w:p>
        </w:tc>
        <w:tc>
          <w:tcPr>
            <w:tcW w:w="5233" w:type="dxa"/>
          </w:tcPr>
          <w:p>
            <w:pPr>
              <w:pStyle w:val="TableParagraph"/>
              <w:spacing w:line="360" w:lineRule="auto" w:before="14"/>
              <w:ind w:left="96" w:right="98"/>
              <w:jc w:val="both"/>
              <w:rPr>
                <w:sz w:val="22"/>
              </w:rPr>
            </w:pPr>
            <w:r>
              <w:rPr>
                <w:sz w:val="22"/>
              </w:rPr>
              <w:t>Se tomaron más tierras para haciendas y la  cuenca hidrosocial de transformo en un enorme campo de  pastoreo y riego para</w:t>
            </w:r>
            <w:r>
              <w:rPr>
                <w:spacing w:val="-11"/>
                <w:sz w:val="22"/>
              </w:rPr>
              <w:t> </w:t>
            </w:r>
            <w:r>
              <w:rPr>
                <w:sz w:val="22"/>
              </w:rPr>
              <w:t>agostadero.</w:t>
            </w:r>
          </w:p>
        </w:tc>
      </w:tr>
      <w:tr>
        <w:trPr>
          <w:trHeight w:val="1375" w:hRule="exact"/>
        </w:trPr>
        <w:tc>
          <w:tcPr>
            <w:tcW w:w="1121" w:type="dxa"/>
          </w:tcPr>
          <w:p>
            <w:pPr>
              <w:pStyle w:val="TableParagraph"/>
              <w:spacing w:before="14"/>
              <w:ind w:left="98"/>
              <w:rPr>
                <w:sz w:val="22"/>
              </w:rPr>
            </w:pPr>
            <w:r>
              <w:rPr>
                <w:sz w:val="22"/>
              </w:rPr>
              <w:t>1794</w:t>
            </w:r>
          </w:p>
        </w:tc>
        <w:tc>
          <w:tcPr>
            <w:tcW w:w="5233" w:type="dxa"/>
          </w:tcPr>
          <w:p>
            <w:pPr>
              <w:pStyle w:val="TableParagraph"/>
              <w:spacing w:line="360" w:lineRule="auto" w:before="14"/>
              <w:ind w:left="96" w:right="99"/>
              <w:jc w:val="both"/>
              <w:rPr>
                <w:sz w:val="22"/>
              </w:rPr>
            </w:pPr>
            <w:r>
              <w:rPr>
                <w:sz w:val="22"/>
              </w:rPr>
              <w:t>Existían 25 haciendas y 95 ranchos ganaderos y productores de leche (excluyendo a los que estaban fuera de la jurisdicción política.</w:t>
            </w:r>
          </w:p>
        </w:tc>
      </w:tr>
    </w:tbl>
    <w:p>
      <w:pPr>
        <w:pStyle w:val="BodyText"/>
        <w:spacing w:before="5"/>
        <w:rPr>
          <w:b/>
          <w:sz w:val="17"/>
        </w:rPr>
      </w:pPr>
    </w:p>
    <w:p>
      <w:pPr>
        <w:pStyle w:val="BodyText"/>
        <w:spacing w:before="73"/>
        <w:ind w:left="985"/>
      </w:pPr>
      <w:r>
        <w:rPr>
          <w:b/>
        </w:rPr>
        <w:t>Fuente: </w:t>
      </w:r>
      <w:r>
        <w:rPr/>
        <w:t>Elaboración propia con base en datos de Peter Gerhard (1986).</w:t>
      </w:r>
    </w:p>
    <w:p>
      <w:pPr>
        <w:pStyle w:val="BodyText"/>
      </w:pPr>
    </w:p>
    <w:p>
      <w:pPr>
        <w:pStyle w:val="BodyText"/>
        <w:spacing w:line="360" w:lineRule="auto" w:before="159"/>
        <w:ind w:left="102" w:right="117"/>
        <w:jc w:val="both"/>
      </w:pPr>
      <w:r>
        <w:rPr/>
        <w:t>Para 1794 pueden identificarse alrededor de cuarenta y siete pueblos como antiguas estancias de Xilotepec, donde se encuentran San Miguel Acambay, San Gerónimo Aculco y San Andrés Timilpan; pueblos donde están actualmente ubicados los municipios que conforman nuestra cuenca hidrosocial (Acambay, Aculco, Jilotepec, Timilpan y Polotitlán).</w:t>
      </w:r>
    </w:p>
    <w:p>
      <w:pPr>
        <w:spacing w:after="0" w:line="360" w:lineRule="auto"/>
        <w:jc w:val="both"/>
        <w:sectPr>
          <w:pgSz w:w="12240" w:h="15840"/>
          <w:pgMar w:header="0" w:footer="1003" w:top="1360" w:bottom="1200" w:left="1600" w:right="1580"/>
        </w:sectPr>
      </w:pPr>
    </w:p>
    <w:p>
      <w:pPr>
        <w:pStyle w:val="BodyText"/>
        <w:spacing w:line="357" w:lineRule="auto" w:before="56"/>
        <w:ind w:left="102" w:right="116"/>
        <w:jc w:val="both"/>
      </w:pPr>
      <w:r>
        <w:rPr/>
        <w:t>Uno de los principales fundamentos de identidad de los pobladores de Xilotepec se identifica con las prácticas religiosas implantadas por los franciscanos, quienes fundaron la doctrina (1529) de San Pedro y San Pablo</w:t>
      </w:r>
      <w:r>
        <w:rPr>
          <w:spacing w:val="-15"/>
        </w:rPr>
        <w:t> </w:t>
      </w:r>
      <w:r>
        <w:rPr/>
        <w:t>Xilotepec.</w:t>
      </w:r>
    </w:p>
    <w:p>
      <w:pPr>
        <w:pStyle w:val="BodyText"/>
        <w:spacing w:before="1"/>
        <w:rPr>
          <w:sz w:val="25"/>
        </w:rPr>
      </w:pPr>
    </w:p>
    <w:p>
      <w:pPr>
        <w:pStyle w:val="BodyText"/>
        <w:spacing w:line="360" w:lineRule="auto"/>
        <w:ind w:left="102" w:right="115"/>
        <w:jc w:val="both"/>
      </w:pPr>
      <w:r>
        <w:rPr/>
        <w:t>En el siglo XVII se fundaron las doctrinas franciscanas de Santiago Tecozautla y San Jerónimo Aculco y una asistencia en San Miguel Acambay, elevada más tarde a categoría de doctrina. La llegada de los religiosos franciscanos a esta región, se vio reflejada en la construcción de obras hidráulicas. En Jilotepec impulsaron el manejo del agua con la construcción de la presa Huapango (1785-1788), la cual da agua para la agricultura intensiva, los agostaderos, abrevaderos y la producción pecuaria (carnes, lácteos y derivados). Es decir, la construcción de la presa, impulsó el uso y manejo del agua para grandes extensiones de regadío, pesca y recolección, dando por resultado el origen de los grupos sociales (ACTORES) relacionados con la presa, la producción y el trabajo:</w:t>
      </w:r>
    </w:p>
    <w:p>
      <w:pPr>
        <w:pStyle w:val="BodyText"/>
        <w:spacing w:before="8"/>
        <w:rPr>
          <w:sz w:val="24"/>
        </w:rPr>
      </w:pPr>
    </w:p>
    <w:p>
      <w:pPr>
        <w:pStyle w:val="Heading6"/>
        <w:tabs>
          <w:tab w:pos="821" w:val="left" w:leader="none"/>
        </w:tabs>
        <w:ind w:left="461"/>
      </w:pPr>
      <w:r>
        <w:rPr>
          <w:rFonts w:ascii="Microsoft Sans Serif" w:hAnsi="Microsoft Sans Serif"/>
          <w:b w:val="0"/>
          <w:w w:val="90"/>
        </w:rPr>
        <w:t></w:t>
        <w:tab/>
      </w:r>
      <w:r>
        <w:rPr/>
        <w:t>Campesino</w:t>
      </w:r>
      <w:r>
        <w:rPr>
          <w:spacing w:val="-4"/>
        </w:rPr>
        <w:t> </w:t>
      </w:r>
      <w:r>
        <w:rPr/>
        <w:t>agricultor;</w:t>
      </w:r>
    </w:p>
    <w:p>
      <w:pPr>
        <w:tabs>
          <w:tab w:pos="821" w:val="left" w:leader="none"/>
        </w:tabs>
        <w:spacing w:before="126"/>
        <w:ind w:left="461" w:right="0" w:firstLine="0"/>
        <w:jc w:val="left"/>
        <w:rPr>
          <w:b/>
          <w:sz w:val="22"/>
        </w:rPr>
      </w:pPr>
      <w:r>
        <w:rPr>
          <w:rFonts w:ascii="Microsoft Sans Serif" w:hAnsi="Microsoft Sans Serif"/>
          <w:w w:val="90"/>
          <w:sz w:val="22"/>
        </w:rPr>
        <w:t></w:t>
        <w:tab/>
      </w:r>
      <w:r>
        <w:rPr>
          <w:b/>
          <w:sz w:val="22"/>
        </w:rPr>
        <w:t>Campesino ganadero;</w:t>
      </w:r>
    </w:p>
    <w:p>
      <w:pPr>
        <w:tabs>
          <w:tab w:pos="821" w:val="left" w:leader="none"/>
        </w:tabs>
        <w:spacing w:before="124"/>
        <w:ind w:left="461" w:right="0" w:firstLine="0"/>
        <w:jc w:val="left"/>
        <w:rPr>
          <w:b/>
          <w:sz w:val="22"/>
        </w:rPr>
      </w:pPr>
      <w:r>
        <w:rPr>
          <w:rFonts w:ascii="Microsoft Sans Serif" w:hAnsi="Microsoft Sans Serif"/>
          <w:w w:val="90"/>
          <w:sz w:val="22"/>
        </w:rPr>
        <w:t></w:t>
        <w:tab/>
      </w:r>
      <w:r>
        <w:rPr>
          <w:b/>
          <w:sz w:val="22"/>
        </w:rPr>
        <w:t>Campesino pescador;</w:t>
      </w:r>
    </w:p>
    <w:p>
      <w:pPr>
        <w:pStyle w:val="BodyText"/>
        <w:rPr>
          <w:b/>
        </w:rPr>
      </w:pPr>
    </w:p>
    <w:p>
      <w:pPr>
        <w:pStyle w:val="BodyText"/>
        <w:spacing w:line="357" w:lineRule="auto" w:before="159"/>
        <w:ind w:left="102" w:right="115"/>
        <w:jc w:val="both"/>
      </w:pPr>
      <w:r>
        <w:rPr/>
        <w:t>Posteriormente, en el siglo XIX surgen los municipios con los principios de independencia y autonomía, se crea la burocracia nacional y florecen los pueblos de la cuenca hidrosocial.</w:t>
      </w:r>
    </w:p>
    <w:p>
      <w:pPr>
        <w:pStyle w:val="BodyText"/>
        <w:spacing w:before="1"/>
        <w:rPr>
          <w:sz w:val="25"/>
        </w:rPr>
      </w:pPr>
    </w:p>
    <w:p>
      <w:pPr>
        <w:pStyle w:val="BodyText"/>
        <w:spacing w:line="360" w:lineRule="auto"/>
        <w:ind w:left="102" w:right="114"/>
        <w:jc w:val="both"/>
      </w:pPr>
      <w:r>
        <w:rPr/>
        <w:t>De acuerdo con el historiador Meyer (2007), el municipio se consolidó como la unidad básica de gobierno, tanto en las regiones indígenas como en las poblaciones de españoles, quienes hicieron del municipio su baluarte y forma primigenia de organización política.</w:t>
      </w:r>
    </w:p>
    <w:p>
      <w:pPr>
        <w:pStyle w:val="BodyText"/>
        <w:spacing w:before="10"/>
        <w:rPr>
          <w:sz w:val="24"/>
        </w:rPr>
      </w:pPr>
    </w:p>
    <w:p>
      <w:pPr>
        <w:pStyle w:val="BodyText"/>
        <w:spacing w:line="360" w:lineRule="auto"/>
        <w:ind w:left="102" w:right="113"/>
        <w:jc w:val="both"/>
      </w:pPr>
      <w:r>
        <w:rPr/>
        <w:t>Los hermanos Fabila (1951), señalan que las antiguas villas españolas se convirtieron en cabeceras municipales y después los barrios que por sus carácter rural predominante y por no tener sus habitantes suficientes recursos agrarios para vivir, resultaron dotadas o restituidas de ejidos; ya que estaban enclavadas en la extensión propiedad de las haciendas, de las que tales cabeceras eran tributarias en todo. Por lo que la distribución de la tierra tiene su motivo principal en la condición que prevalecía con anterioridad a la Revolución Agraria, iniciada en 1915 que era de concentración de tierras y una población rural en condiciones miserables. Para 1909 en la cuenca hidrosocial</w:t>
      </w:r>
      <w:r>
        <w:rPr>
          <w:spacing w:val="-24"/>
        </w:rPr>
        <w:t> </w:t>
      </w:r>
      <w:r>
        <w:rPr/>
        <w:t>existían:</w:t>
      </w:r>
    </w:p>
    <w:p>
      <w:pPr>
        <w:spacing w:after="0" w:line="360" w:lineRule="auto"/>
        <w:jc w:val="both"/>
        <w:sectPr>
          <w:pgSz w:w="12240" w:h="15840"/>
          <w:pgMar w:header="0" w:footer="1003" w:top="1360" w:bottom="1200" w:left="1600" w:right="1580"/>
        </w:sectPr>
      </w:pPr>
    </w:p>
    <w:p>
      <w:pPr>
        <w:pStyle w:val="Heading6"/>
        <w:spacing w:before="51"/>
        <w:ind w:left="1388"/>
      </w:pPr>
      <w:r>
        <w:rPr/>
        <w:t>Tabla 4.6. Concentración de la tierra en el Estado de México</w:t>
      </w:r>
    </w:p>
    <w:p>
      <w:pPr>
        <w:pStyle w:val="BodyText"/>
        <w:rPr>
          <w:b/>
          <w:sz w:val="20"/>
        </w:rPr>
      </w:pPr>
    </w:p>
    <w:p>
      <w:pPr>
        <w:pStyle w:val="BodyText"/>
        <w:rPr>
          <w:b/>
          <w:sz w:val="16"/>
        </w:rPr>
      </w:pPr>
    </w:p>
    <w:tbl>
      <w:tblPr>
        <w:tblW w:w="0" w:type="auto"/>
        <w:jc w:val="left"/>
        <w:tblInd w:w="17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83"/>
        <w:gridCol w:w="3545"/>
      </w:tblGrid>
      <w:tr>
        <w:trPr>
          <w:trHeight w:val="502" w:hRule="exact"/>
        </w:trPr>
        <w:tc>
          <w:tcPr>
            <w:tcW w:w="1983" w:type="dxa"/>
            <w:shd w:val="clear" w:color="auto" w:fill="585858"/>
          </w:tcPr>
          <w:p>
            <w:pPr>
              <w:pStyle w:val="TableParagraph"/>
              <w:spacing w:before="67"/>
              <w:ind w:left="131"/>
              <w:rPr>
                <w:b/>
                <w:sz w:val="22"/>
              </w:rPr>
            </w:pPr>
            <w:r>
              <w:rPr>
                <w:b/>
                <w:sz w:val="22"/>
              </w:rPr>
              <w:t>Categoría</w:t>
            </w:r>
          </w:p>
        </w:tc>
        <w:tc>
          <w:tcPr>
            <w:tcW w:w="3545" w:type="dxa"/>
            <w:shd w:val="clear" w:color="auto" w:fill="585858"/>
          </w:tcPr>
          <w:p>
            <w:pPr>
              <w:pStyle w:val="TableParagraph"/>
              <w:spacing w:before="67"/>
              <w:ind w:left="134" w:right="608"/>
              <w:rPr>
                <w:b/>
                <w:sz w:val="22"/>
              </w:rPr>
            </w:pPr>
            <w:r>
              <w:rPr>
                <w:b/>
                <w:sz w:val="22"/>
              </w:rPr>
              <w:t>Número</w:t>
            </w:r>
          </w:p>
        </w:tc>
      </w:tr>
      <w:tr>
        <w:trPr>
          <w:trHeight w:val="418" w:hRule="exact"/>
        </w:trPr>
        <w:tc>
          <w:tcPr>
            <w:tcW w:w="1983" w:type="dxa"/>
            <w:tcBorders>
              <w:top w:val="single" w:sz="36" w:space="0" w:color="585858"/>
            </w:tcBorders>
          </w:tcPr>
          <w:p>
            <w:pPr>
              <w:pStyle w:val="TableParagraph"/>
              <w:spacing w:before="33"/>
              <w:ind w:left="131"/>
              <w:rPr>
                <w:sz w:val="22"/>
              </w:rPr>
            </w:pPr>
            <w:r>
              <w:rPr>
                <w:sz w:val="22"/>
              </w:rPr>
              <w:t>Villas</w:t>
            </w:r>
          </w:p>
        </w:tc>
        <w:tc>
          <w:tcPr>
            <w:tcW w:w="3545" w:type="dxa"/>
            <w:tcBorders>
              <w:top w:val="single" w:sz="36" w:space="0" w:color="585858"/>
            </w:tcBorders>
          </w:tcPr>
          <w:p>
            <w:pPr>
              <w:pStyle w:val="TableParagraph"/>
              <w:spacing w:before="33"/>
              <w:ind w:left="134"/>
              <w:rPr>
                <w:sz w:val="22"/>
              </w:rPr>
            </w:pPr>
            <w:r>
              <w:rPr>
                <w:w w:val="100"/>
                <w:sz w:val="22"/>
              </w:rPr>
              <w:t>5</w:t>
            </w:r>
          </w:p>
        </w:tc>
      </w:tr>
      <w:tr>
        <w:trPr>
          <w:trHeight w:val="430" w:hRule="exact"/>
        </w:trPr>
        <w:tc>
          <w:tcPr>
            <w:tcW w:w="1983" w:type="dxa"/>
          </w:tcPr>
          <w:p>
            <w:pPr>
              <w:pStyle w:val="TableParagraph"/>
              <w:spacing w:before="69"/>
              <w:ind w:left="131"/>
              <w:rPr>
                <w:sz w:val="22"/>
              </w:rPr>
            </w:pPr>
            <w:r>
              <w:rPr>
                <w:sz w:val="22"/>
              </w:rPr>
              <w:t>Pueblos</w:t>
            </w:r>
          </w:p>
        </w:tc>
        <w:tc>
          <w:tcPr>
            <w:tcW w:w="3545" w:type="dxa"/>
          </w:tcPr>
          <w:p>
            <w:pPr>
              <w:pStyle w:val="TableParagraph"/>
              <w:spacing w:before="69"/>
              <w:ind w:left="134" w:right="608"/>
              <w:rPr>
                <w:sz w:val="22"/>
              </w:rPr>
            </w:pPr>
            <w:r>
              <w:rPr>
                <w:sz w:val="22"/>
              </w:rPr>
              <w:t>200</w:t>
            </w:r>
          </w:p>
        </w:tc>
      </w:tr>
      <w:tr>
        <w:trPr>
          <w:trHeight w:val="485" w:hRule="exact"/>
        </w:trPr>
        <w:tc>
          <w:tcPr>
            <w:tcW w:w="1983" w:type="dxa"/>
          </w:tcPr>
          <w:p>
            <w:pPr>
              <w:pStyle w:val="TableParagraph"/>
              <w:spacing w:before="69"/>
              <w:ind w:left="131"/>
              <w:rPr>
                <w:sz w:val="22"/>
              </w:rPr>
            </w:pPr>
            <w:r>
              <w:rPr>
                <w:sz w:val="22"/>
              </w:rPr>
              <w:t>Barrios</w:t>
            </w:r>
          </w:p>
        </w:tc>
        <w:tc>
          <w:tcPr>
            <w:tcW w:w="3545" w:type="dxa"/>
          </w:tcPr>
          <w:p>
            <w:pPr>
              <w:pStyle w:val="TableParagraph"/>
              <w:spacing w:before="69"/>
              <w:ind w:left="134" w:right="608"/>
              <w:rPr>
                <w:sz w:val="22"/>
              </w:rPr>
            </w:pPr>
            <w:r>
              <w:rPr>
                <w:sz w:val="22"/>
              </w:rPr>
              <w:t>310</w:t>
            </w:r>
          </w:p>
        </w:tc>
      </w:tr>
      <w:tr>
        <w:trPr>
          <w:trHeight w:val="670" w:hRule="exact"/>
        </w:trPr>
        <w:tc>
          <w:tcPr>
            <w:tcW w:w="1983" w:type="dxa"/>
          </w:tcPr>
          <w:p>
            <w:pPr>
              <w:pStyle w:val="TableParagraph"/>
              <w:spacing w:before="72"/>
              <w:ind w:left="131"/>
              <w:rPr>
                <w:sz w:val="22"/>
              </w:rPr>
            </w:pPr>
            <w:r>
              <w:rPr>
                <w:sz w:val="22"/>
              </w:rPr>
              <w:t>Haciendas</w:t>
            </w:r>
          </w:p>
        </w:tc>
        <w:tc>
          <w:tcPr>
            <w:tcW w:w="3545" w:type="dxa"/>
          </w:tcPr>
          <w:p>
            <w:pPr>
              <w:pStyle w:val="TableParagraph"/>
              <w:spacing w:before="72"/>
              <w:ind w:left="134" w:right="608"/>
              <w:rPr>
                <w:sz w:val="22"/>
              </w:rPr>
            </w:pPr>
            <w:r>
              <w:rPr>
                <w:sz w:val="22"/>
              </w:rPr>
              <w:t>25 (Arroyozarco, Huapango, Cofradía)</w:t>
            </w:r>
          </w:p>
        </w:tc>
      </w:tr>
      <w:tr>
        <w:trPr>
          <w:trHeight w:val="437" w:hRule="exact"/>
        </w:trPr>
        <w:tc>
          <w:tcPr>
            <w:tcW w:w="1983" w:type="dxa"/>
            <w:tcBorders>
              <w:bottom w:val="single" w:sz="8" w:space="0" w:color="000000"/>
            </w:tcBorders>
          </w:tcPr>
          <w:p>
            <w:pPr>
              <w:pStyle w:val="TableParagraph"/>
              <w:spacing w:before="72"/>
              <w:ind w:left="131"/>
              <w:rPr>
                <w:sz w:val="22"/>
              </w:rPr>
            </w:pPr>
            <w:r>
              <w:rPr>
                <w:sz w:val="22"/>
              </w:rPr>
              <w:t>Ranchos</w:t>
            </w:r>
          </w:p>
        </w:tc>
        <w:tc>
          <w:tcPr>
            <w:tcW w:w="3545" w:type="dxa"/>
            <w:tcBorders>
              <w:bottom w:val="single" w:sz="8" w:space="0" w:color="000000"/>
            </w:tcBorders>
          </w:tcPr>
          <w:p>
            <w:pPr>
              <w:pStyle w:val="TableParagraph"/>
              <w:spacing w:before="72"/>
              <w:ind w:left="134" w:right="608"/>
              <w:rPr>
                <w:sz w:val="22"/>
              </w:rPr>
            </w:pPr>
            <w:r>
              <w:rPr>
                <w:sz w:val="22"/>
              </w:rPr>
              <w:t>95</w:t>
            </w:r>
          </w:p>
        </w:tc>
      </w:tr>
    </w:tbl>
    <w:p>
      <w:pPr>
        <w:pStyle w:val="BodyText"/>
        <w:spacing w:before="5"/>
        <w:rPr>
          <w:b/>
          <w:sz w:val="17"/>
        </w:rPr>
      </w:pPr>
    </w:p>
    <w:p>
      <w:pPr>
        <w:spacing w:line="360" w:lineRule="auto" w:before="73"/>
        <w:ind w:left="102" w:right="118" w:firstLine="0"/>
        <w:jc w:val="both"/>
        <w:rPr>
          <w:sz w:val="22"/>
        </w:rPr>
      </w:pPr>
      <w:r>
        <w:rPr>
          <w:b/>
          <w:sz w:val="22"/>
        </w:rPr>
        <w:t>Fuente: </w:t>
      </w:r>
      <w:r>
        <w:rPr>
          <w:sz w:val="22"/>
        </w:rPr>
        <w:t>Fabila, Alfonso y Fabila, Gilberto (1958) </w:t>
      </w:r>
      <w:r>
        <w:rPr>
          <w:b/>
          <w:sz w:val="22"/>
        </w:rPr>
        <w:t>México (Ensayo Socioeconómico del Estado)</w:t>
      </w:r>
      <w:r>
        <w:rPr>
          <w:sz w:val="22"/>
        </w:rPr>
        <w:t>, Gobierno del Estado de México, México.</w:t>
      </w:r>
    </w:p>
    <w:p>
      <w:pPr>
        <w:pStyle w:val="BodyText"/>
        <w:spacing w:before="10"/>
        <w:rPr>
          <w:sz w:val="24"/>
        </w:rPr>
      </w:pPr>
    </w:p>
    <w:p>
      <w:pPr>
        <w:pStyle w:val="BodyText"/>
        <w:spacing w:line="360" w:lineRule="auto"/>
        <w:ind w:left="102" w:right="117"/>
        <w:jc w:val="both"/>
      </w:pPr>
      <w:r>
        <w:rPr/>
        <w:t>En la tabla 1.6., podemos ver que la concentración de la tierra trajo consigo que las villas se convirtieron en cabeceras municipales, los barrios se dotaron de ejidos, se extinguieron las haciendas y los ranchos o pequeños propietarios continuaron y en ocasiones se dotaron de ejido.</w:t>
      </w:r>
    </w:p>
    <w:p>
      <w:pPr>
        <w:pStyle w:val="BodyText"/>
        <w:spacing w:before="10"/>
        <w:rPr>
          <w:sz w:val="24"/>
        </w:rPr>
      </w:pPr>
    </w:p>
    <w:p>
      <w:pPr>
        <w:pStyle w:val="BodyText"/>
        <w:spacing w:line="360" w:lineRule="auto"/>
        <w:ind w:left="102" w:right="120"/>
        <w:jc w:val="both"/>
      </w:pPr>
      <w:r>
        <w:rPr/>
        <w:t>Por lo que los mismos autores, señalan que el Estado de México es uno de los más ejidalizados de la República, en donde la institución ejido tiene que influir mucho sobre otras modalidades de la vida y la economía de la entidad, por lo que al realizarse la reforma en la distribución de la tierra no podía esperarse sino que el Estado de México fuera de los más significativos. La revolución se manifestó en el Estado en formas sumamente activas y violentas, como en pocas otras entidades.</w:t>
      </w:r>
    </w:p>
    <w:p>
      <w:pPr>
        <w:pStyle w:val="BodyText"/>
        <w:spacing w:before="8"/>
        <w:rPr>
          <w:sz w:val="24"/>
        </w:rPr>
      </w:pPr>
    </w:p>
    <w:p>
      <w:pPr>
        <w:pStyle w:val="BodyText"/>
        <w:spacing w:line="626" w:lineRule="auto"/>
        <w:ind w:left="102" w:right="194"/>
      </w:pPr>
      <w:r>
        <w:rPr/>
        <w:t>Para 1940 se deshacen las haciendas y había casi 1000 ejidos en el Estado de México. En la Cuenca Hidrosocial Presa Huapango empezaron a surgir los siguientes ejidos:</w:t>
      </w:r>
    </w:p>
    <w:p>
      <w:pPr>
        <w:spacing w:after="0" w:line="626" w:lineRule="auto"/>
        <w:sectPr>
          <w:pgSz w:w="12240" w:h="15840"/>
          <w:pgMar w:header="0" w:footer="1003" w:top="1360" w:bottom="1200" w:left="1600" w:right="1580"/>
        </w:sectPr>
      </w:pPr>
    </w:p>
    <w:p>
      <w:pPr>
        <w:pStyle w:val="BodyText"/>
        <w:rPr>
          <w:sz w:val="20"/>
        </w:rPr>
      </w:pPr>
    </w:p>
    <w:p>
      <w:pPr>
        <w:pStyle w:val="BodyText"/>
        <w:spacing w:before="4"/>
        <w:rPr>
          <w:sz w:val="23"/>
        </w:rPr>
      </w:pPr>
    </w:p>
    <w:p>
      <w:pPr>
        <w:pStyle w:val="Heading6"/>
        <w:spacing w:before="73"/>
        <w:ind w:left="219" w:right="239"/>
        <w:jc w:val="center"/>
      </w:pPr>
      <w:r>
        <w:rPr/>
        <w:t>Figura 4.2. Ejido de San Juanico (Acambay)</w:t>
      </w:r>
    </w:p>
    <w:p>
      <w:pPr>
        <w:pStyle w:val="BodyText"/>
        <w:rPr>
          <w:b/>
          <w:sz w:val="20"/>
        </w:rPr>
      </w:pPr>
    </w:p>
    <w:p>
      <w:pPr>
        <w:pStyle w:val="BodyText"/>
        <w:spacing w:before="5"/>
        <w:rPr>
          <w:b/>
          <w:sz w:val="12"/>
        </w:rPr>
      </w:pPr>
      <w:r>
        <w:rPr/>
        <w:drawing>
          <wp:anchor distT="0" distB="0" distL="0" distR="0" allowOverlap="1" layoutInCell="1" locked="0" behindDoc="0" simplePos="0" relativeHeight="7000">
            <wp:simplePos x="0" y="0"/>
            <wp:positionH relativeFrom="page">
              <wp:posOffset>1581150</wp:posOffset>
            </wp:positionH>
            <wp:positionV relativeFrom="paragraph">
              <wp:posOffset>115822</wp:posOffset>
            </wp:positionV>
            <wp:extent cx="4606361" cy="2346960"/>
            <wp:effectExtent l="0" t="0" r="0" b="0"/>
            <wp:wrapTopAndBottom/>
            <wp:docPr id="35" name="image77.jpeg" descr=""/>
            <wp:cNvGraphicFramePr>
              <a:graphicFrameLocks noChangeAspect="1"/>
            </wp:cNvGraphicFramePr>
            <a:graphic>
              <a:graphicData uri="http://schemas.openxmlformats.org/drawingml/2006/picture">
                <pic:pic>
                  <pic:nvPicPr>
                    <pic:cNvPr id="36" name="image77.jpeg"/>
                    <pic:cNvPicPr/>
                  </pic:nvPicPr>
                  <pic:blipFill>
                    <a:blip r:embed="rId121" cstate="print"/>
                    <a:stretch>
                      <a:fillRect/>
                    </a:stretch>
                  </pic:blipFill>
                  <pic:spPr>
                    <a:xfrm>
                      <a:off x="0" y="0"/>
                      <a:ext cx="4606361" cy="2346960"/>
                    </a:xfrm>
                    <a:prstGeom prst="rect">
                      <a:avLst/>
                    </a:prstGeom>
                  </pic:spPr>
                </pic:pic>
              </a:graphicData>
            </a:graphic>
          </wp:anchor>
        </w:drawing>
      </w:r>
    </w:p>
    <w:p>
      <w:pPr>
        <w:pStyle w:val="BodyText"/>
        <w:spacing w:before="8"/>
        <w:rPr>
          <w:b/>
          <w:sz w:val="32"/>
        </w:rPr>
      </w:pPr>
    </w:p>
    <w:p>
      <w:pPr>
        <w:spacing w:line="360" w:lineRule="auto" w:before="0"/>
        <w:ind w:left="102" w:right="0" w:firstLine="0"/>
        <w:jc w:val="left"/>
        <w:rPr>
          <w:sz w:val="22"/>
        </w:rPr>
      </w:pPr>
      <w:r>
        <w:rPr>
          <w:b/>
          <w:sz w:val="22"/>
        </w:rPr>
        <w:t>Fuente: </w:t>
      </w:r>
      <w:r>
        <w:rPr>
          <w:sz w:val="22"/>
        </w:rPr>
        <w:t>Fabila, Gilberto y Fabila, Manuel (1958) </w:t>
      </w:r>
      <w:r>
        <w:rPr>
          <w:b/>
          <w:sz w:val="22"/>
        </w:rPr>
        <w:t>Los Ejidos del Estado de México</w:t>
      </w:r>
      <w:r>
        <w:rPr>
          <w:sz w:val="22"/>
        </w:rPr>
        <w:t>, Gobierno del Estado de México, México.</w:t>
      </w:r>
    </w:p>
    <w:p>
      <w:pPr>
        <w:pStyle w:val="BodyText"/>
      </w:pPr>
    </w:p>
    <w:p>
      <w:pPr>
        <w:pStyle w:val="BodyText"/>
      </w:pPr>
    </w:p>
    <w:p>
      <w:pPr>
        <w:pStyle w:val="BodyText"/>
      </w:pPr>
    </w:p>
    <w:p>
      <w:pPr>
        <w:pStyle w:val="Heading6"/>
        <w:spacing w:before="183"/>
        <w:ind w:left="217" w:right="239"/>
        <w:jc w:val="center"/>
      </w:pPr>
      <w:r>
        <w:rPr/>
        <w:t>Figura 4.3. Ejido de El Cerro (Acambay)</w:t>
      </w:r>
    </w:p>
    <w:p>
      <w:pPr>
        <w:pStyle w:val="BodyText"/>
        <w:rPr>
          <w:b/>
          <w:sz w:val="20"/>
        </w:rPr>
      </w:pPr>
    </w:p>
    <w:p>
      <w:pPr>
        <w:pStyle w:val="BodyText"/>
        <w:spacing w:before="4"/>
        <w:rPr>
          <w:b/>
          <w:sz w:val="12"/>
        </w:rPr>
      </w:pPr>
      <w:r>
        <w:rPr/>
        <w:drawing>
          <wp:anchor distT="0" distB="0" distL="0" distR="0" allowOverlap="1" layoutInCell="1" locked="0" behindDoc="0" simplePos="0" relativeHeight="7024">
            <wp:simplePos x="0" y="0"/>
            <wp:positionH relativeFrom="page">
              <wp:posOffset>1628775</wp:posOffset>
            </wp:positionH>
            <wp:positionV relativeFrom="paragraph">
              <wp:posOffset>115188</wp:posOffset>
            </wp:positionV>
            <wp:extent cx="4518391" cy="1944624"/>
            <wp:effectExtent l="0" t="0" r="0" b="0"/>
            <wp:wrapTopAndBottom/>
            <wp:docPr id="37" name="image78.jpeg" descr=""/>
            <wp:cNvGraphicFramePr>
              <a:graphicFrameLocks noChangeAspect="1"/>
            </wp:cNvGraphicFramePr>
            <a:graphic>
              <a:graphicData uri="http://schemas.openxmlformats.org/drawingml/2006/picture">
                <pic:pic>
                  <pic:nvPicPr>
                    <pic:cNvPr id="38" name="image78.jpeg"/>
                    <pic:cNvPicPr/>
                  </pic:nvPicPr>
                  <pic:blipFill>
                    <a:blip r:embed="rId122" cstate="print"/>
                    <a:stretch>
                      <a:fillRect/>
                    </a:stretch>
                  </pic:blipFill>
                  <pic:spPr>
                    <a:xfrm>
                      <a:off x="0" y="0"/>
                      <a:ext cx="4518391" cy="1944624"/>
                    </a:xfrm>
                    <a:prstGeom prst="rect">
                      <a:avLst/>
                    </a:prstGeom>
                  </pic:spPr>
                </pic:pic>
              </a:graphicData>
            </a:graphic>
          </wp:anchor>
        </w:drawing>
      </w:r>
    </w:p>
    <w:p>
      <w:pPr>
        <w:pStyle w:val="BodyText"/>
        <w:spacing w:before="4"/>
        <w:rPr>
          <w:b/>
          <w:sz w:val="32"/>
        </w:rPr>
      </w:pPr>
    </w:p>
    <w:p>
      <w:pPr>
        <w:spacing w:line="360" w:lineRule="auto" w:before="1"/>
        <w:ind w:left="102" w:right="0" w:firstLine="0"/>
        <w:jc w:val="left"/>
        <w:rPr>
          <w:sz w:val="22"/>
        </w:rPr>
      </w:pPr>
      <w:r>
        <w:rPr>
          <w:b/>
          <w:sz w:val="22"/>
        </w:rPr>
        <w:t>Fuente: </w:t>
      </w:r>
      <w:r>
        <w:rPr>
          <w:sz w:val="22"/>
        </w:rPr>
        <w:t>Fabila, Gilberto y Fabila, Manuel (1958) </w:t>
      </w:r>
      <w:r>
        <w:rPr>
          <w:b/>
          <w:sz w:val="22"/>
        </w:rPr>
        <w:t>Los Ejidos del Estado de México</w:t>
      </w:r>
      <w:r>
        <w:rPr>
          <w:sz w:val="22"/>
        </w:rPr>
        <w:t>, Gobierno del Estado de México, México.</w:t>
      </w:r>
    </w:p>
    <w:p>
      <w:pPr>
        <w:spacing w:after="0" w:line="360" w:lineRule="auto"/>
        <w:jc w:val="left"/>
        <w:rPr>
          <w:sz w:val="22"/>
        </w:rPr>
        <w:sectPr>
          <w:pgSz w:w="12240" w:h="15840"/>
          <w:pgMar w:header="0" w:footer="1003" w:top="1500" w:bottom="1200" w:left="1600" w:right="1580"/>
        </w:sectPr>
      </w:pPr>
    </w:p>
    <w:p>
      <w:pPr>
        <w:pStyle w:val="BodyText"/>
        <w:rPr>
          <w:sz w:val="20"/>
        </w:rPr>
      </w:pPr>
    </w:p>
    <w:p>
      <w:pPr>
        <w:pStyle w:val="BodyText"/>
        <w:spacing w:before="4"/>
        <w:rPr>
          <w:sz w:val="23"/>
        </w:rPr>
      </w:pPr>
    </w:p>
    <w:p>
      <w:pPr>
        <w:pStyle w:val="Heading6"/>
        <w:spacing w:before="73"/>
        <w:ind w:left="217" w:right="239"/>
        <w:jc w:val="center"/>
      </w:pPr>
      <w:r>
        <w:rPr/>
        <w:t>Figura 4.4. Ejido de Madó (Acambay)</w:t>
      </w:r>
    </w:p>
    <w:p>
      <w:pPr>
        <w:pStyle w:val="BodyText"/>
        <w:rPr>
          <w:b/>
          <w:sz w:val="20"/>
        </w:rPr>
      </w:pPr>
    </w:p>
    <w:p>
      <w:pPr>
        <w:pStyle w:val="BodyText"/>
        <w:spacing w:before="5"/>
        <w:rPr>
          <w:b/>
          <w:sz w:val="12"/>
        </w:rPr>
      </w:pPr>
      <w:r>
        <w:rPr/>
        <w:drawing>
          <wp:anchor distT="0" distB="0" distL="0" distR="0" allowOverlap="1" layoutInCell="1" locked="0" behindDoc="0" simplePos="0" relativeHeight="7048">
            <wp:simplePos x="0" y="0"/>
            <wp:positionH relativeFrom="page">
              <wp:posOffset>1520825</wp:posOffset>
            </wp:positionH>
            <wp:positionV relativeFrom="paragraph">
              <wp:posOffset>115822</wp:posOffset>
            </wp:positionV>
            <wp:extent cx="4729186" cy="2304288"/>
            <wp:effectExtent l="0" t="0" r="0" b="0"/>
            <wp:wrapTopAndBottom/>
            <wp:docPr id="39" name="image79.jpeg" descr=""/>
            <wp:cNvGraphicFramePr>
              <a:graphicFrameLocks noChangeAspect="1"/>
            </wp:cNvGraphicFramePr>
            <a:graphic>
              <a:graphicData uri="http://schemas.openxmlformats.org/drawingml/2006/picture">
                <pic:pic>
                  <pic:nvPicPr>
                    <pic:cNvPr id="40" name="image79.jpeg"/>
                    <pic:cNvPicPr/>
                  </pic:nvPicPr>
                  <pic:blipFill>
                    <a:blip r:embed="rId123" cstate="print"/>
                    <a:stretch>
                      <a:fillRect/>
                    </a:stretch>
                  </pic:blipFill>
                  <pic:spPr>
                    <a:xfrm>
                      <a:off x="0" y="0"/>
                      <a:ext cx="4729186" cy="2304288"/>
                    </a:xfrm>
                    <a:prstGeom prst="rect">
                      <a:avLst/>
                    </a:prstGeom>
                  </pic:spPr>
                </pic:pic>
              </a:graphicData>
            </a:graphic>
          </wp:anchor>
        </w:drawing>
      </w:r>
    </w:p>
    <w:p>
      <w:pPr>
        <w:pStyle w:val="BodyText"/>
        <w:spacing w:before="6"/>
        <w:rPr>
          <w:b/>
          <w:sz w:val="32"/>
        </w:rPr>
      </w:pPr>
    </w:p>
    <w:p>
      <w:pPr>
        <w:spacing w:line="360" w:lineRule="auto" w:before="0"/>
        <w:ind w:left="102" w:right="0" w:firstLine="0"/>
        <w:jc w:val="left"/>
        <w:rPr>
          <w:sz w:val="22"/>
        </w:rPr>
      </w:pPr>
      <w:r>
        <w:rPr>
          <w:b/>
          <w:sz w:val="22"/>
        </w:rPr>
        <w:t>Fuente: </w:t>
      </w:r>
      <w:r>
        <w:rPr>
          <w:sz w:val="22"/>
        </w:rPr>
        <w:t>Fabila, Gilberto y Fabila, Manuel (1958) </w:t>
      </w:r>
      <w:r>
        <w:rPr>
          <w:b/>
          <w:sz w:val="22"/>
        </w:rPr>
        <w:t>Los Ejidos del Estado de México</w:t>
      </w:r>
      <w:r>
        <w:rPr>
          <w:sz w:val="22"/>
        </w:rPr>
        <w:t>, Gobierno del Estado de México, México.</w:t>
      </w:r>
    </w:p>
    <w:p>
      <w:pPr>
        <w:pStyle w:val="BodyText"/>
        <w:spacing w:before="5"/>
        <w:rPr>
          <w:sz w:val="24"/>
        </w:rPr>
      </w:pPr>
    </w:p>
    <w:p>
      <w:pPr>
        <w:pStyle w:val="Heading6"/>
        <w:ind w:left="220" w:right="239"/>
        <w:jc w:val="center"/>
      </w:pPr>
      <w:r>
        <w:rPr/>
        <w:t>Figura 4.5. Ejido de Huapango (Timilpan)</w:t>
      </w:r>
    </w:p>
    <w:p>
      <w:pPr>
        <w:pStyle w:val="BodyText"/>
        <w:rPr>
          <w:b/>
          <w:sz w:val="20"/>
        </w:rPr>
      </w:pPr>
    </w:p>
    <w:p>
      <w:pPr>
        <w:pStyle w:val="BodyText"/>
        <w:spacing w:before="6"/>
        <w:rPr>
          <w:b/>
          <w:sz w:val="12"/>
        </w:rPr>
      </w:pPr>
      <w:r>
        <w:rPr/>
        <w:drawing>
          <wp:anchor distT="0" distB="0" distL="0" distR="0" allowOverlap="1" layoutInCell="1" locked="0" behindDoc="0" simplePos="0" relativeHeight="7072">
            <wp:simplePos x="0" y="0"/>
            <wp:positionH relativeFrom="page">
              <wp:posOffset>1952625</wp:posOffset>
            </wp:positionH>
            <wp:positionV relativeFrom="paragraph">
              <wp:posOffset>116331</wp:posOffset>
            </wp:positionV>
            <wp:extent cx="3866633" cy="1767839"/>
            <wp:effectExtent l="0" t="0" r="0" b="0"/>
            <wp:wrapTopAndBottom/>
            <wp:docPr id="41" name="image80.jpeg" descr=""/>
            <wp:cNvGraphicFramePr>
              <a:graphicFrameLocks noChangeAspect="1"/>
            </wp:cNvGraphicFramePr>
            <a:graphic>
              <a:graphicData uri="http://schemas.openxmlformats.org/drawingml/2006/picture">
                <pic:pic>
                  <pic:nvPicPr>
                    <pic:cNvPr id="42" name="image80.jpeg"/>
                    <pic:cNvPicPr/>
                  </pic:nvPicPr>
                  <pic:blipFill>
                    <a:blip r:embed="rId124" cstate="print"/>
                    <a:stretch>
                      <a:fillRect/>
                    </a:stretch>
                  </pic:blipFill>
                  <pic:spPr>
                    <a:xfrm>
                      <a:off x="0" y="0"/>
                      <a:ext cx="3866633" cy="1767839"/>
                    </a:xfrm>
                    <a:prstGeom prst="rect">
                      <a:avLst/>
                    </a:prstGeom>
                  </pic:spPr>
                </pic:pic>
              </a:graphicData>
            </a:graphic>
          </wp:anchor>
        </w:drawing>
      </w:r>
    </w:p>
    <w:p>
      <w:pPr>
        <w:pStyle w:val="BodyText"/>
        <w:spacing w:before="1"/>
        <w:rPr>
          <w:b/>
          <w:sz w:val="32"/>
        </w:rPr>
      </w:pPr>
    </w:p>
    <w:p>
      <w:pPr>
        <w:spacing w:line="360" w:lineRule="auto" w:before="0"/>
        <w:ind w:left="102" w:right="0" w:firstLine="0"/>
        <w:jc w:val="left"/>
        <w:rPr>
          <w:sz w:val="22"/>
        </w:rPr>
      </w:pPr>
      <w:r>
        <w:rPr>
          <w:b/>
          <w:sz w:val="22"/>
        </w:rPr>
        <w:t>Fuente: </w:t>
      </w:r>
      <w:r>
        <w:rPr>
          <w:sz w:val="22"/>
        </w:rPr>
        <w:t>Fabila, Gilberto y Fabila, Manuel (1958) </w:t>
      </w:r>
      <w:r>
        <w:rPr>
          <w:b/>
          <w:sz w:val="22"/>
        </w:rPr>
        <w:t>Los Ejidos del Estado de México</w:t>
      </w:r>
      <w:r>
        <w:rPr>
          <w:sz w:val="22"/>
        </w:rPr>
        <w:t>, Gobierno del Estado de México, México.</w:t>
      </w:r>
    </w:p>
    <w:p>
      <w:pPr>
        <w:spacing w:after="0" w:line="360" w:lineRule="auto"/>
        <w:jc w:val="left"/>
        <w:rPr>
          <w:sz w:val="22"/>
        </w:rPr>
        <w:sectPr>
          <w:pgSz w:w="12240" w:h="15840"/>
          <w:pgMar w:header="0" w:footer="1003" w:top="1500" w:bottom="1200" w:left="1600" w:right="1580"/>
        </w:sectPr>
      </w:pPr>
    </w:p>
    <w:p>
      <w:pPr>
        <w:pStyle w:val="Heading6"/>
        <w:spacing w:before="51"/>
        <w:ind w:left="2407"/>
      </w:pPr>
      <w:r>
        <w:rPr/>
        <w:t>Figura 4.6. Ejido de Canalejas (Jilotepec)</w:t>
      </w:r>
    </w:p>
    <w:p>
      <w:pPr>
        <w:pStyle w:val="BodyText"/>
        <w:rPr>
          <w:b/>
          <w:sz w:val="20"/>
        </w:rPr>
      </w:pPr>
    </w:p>
    <w:p>
      <w:pPr>
        <w:pStyle w:val="BodyText"/>
        <w:spacing w:before="7"/>
        <w:rPr>
          <w:b/>
          <w:sz w:val="12"/>
        </w:rPr>
      </w:pPr>
      <w:r>
        <w:rPr/>
        <w:drawing>
          <wp:anchor distT="0" distB="0" distL="0" distR="0" allowOverlap="1" layoutInCell="1" locked="0" behindDoc="0" simplePos="0" relativeHeight="7096">
            <wp:simplePos x="0" y="0"/>
            <wp:positionH relativeFrom="page">
              <wp:posOffset>1808860</wp:posOffset>
            </wp:positionH>
            <wp:positionV relativeFrom="paragraph">
              <wp:posOffset>116965</wp:posOffset>
            </wp:positionV>
            <wp:extent cx="4155123" cy="2328672"/>
            <wp:effectExtent l="0" t="0" r="0" b="0"/>
            <wp:wrapTopAndBottom/>
            <wp:docPr id="43" name="image81.jpeg" descr=""/>
            <wp:cNvGraphicFramePr>
              <a:graphicFrameLocks noChangeAspect="1"/>
            </wp:cNvGraphicFramePr>
            <a:graphic>
              <a:graphicData uri="http://schemas.openxmlformats.org/drawingml/2006/picture">
                <pic:pic>
                  <pic:nvPicPr>
                    <pic:cNvPr id="44" name="image81.jpeg"/>
                    <pic:cNvPicPr/>
                  </pic:nvPicPr>
                  <pic:blipFill>
                    <a:blip r:embed="rId125" cstate="print"/>
                    <a:stretch>
                      <a:fillRect/>
                    </a:stretch>
                  </pic:blipFill>
                  <pic:spPr>
                    <a:xfrm>
                      <a:off x="0" y="0"/>
                      <a:ext cx="4155123" cy="2328672"/>
                    </a:xfrm>
                    <a:prstGeom prst="rect">
                      <a:avLst/>
                    </a:prstGeom>
                  </pic:spPr>
                </pic:pic>
              </a:graphicData>
            </a:graphic>
          </wp:anchor>
        </w:drawing>
      </w:r>
    </w:p>
    <w:p>
      <w:pPr>
        <w:pStyle w:val="BodyText"/>
        <w:spacing w:before="7"/>
        <w:rPr>
          <w:b/>
          <w:sz w:val="32"/>
        </w:rPr>
      </w:pPr>
    </w:p>
    <w:p>
      <w:pPr>
        <w:spacing w:line="360" w:lineRule="auto" w:before="0"/>
        <w:ind w:left="122" w:right="0" w:firstLine="0"/>
        <w:jc w:val="left"/>
        <w:rPr>
          <w:sz w:val="22"/>
        </w:rPr>
      </w:pPr>
      <w:r>
        <w:rPr>
          <w:b/>
          <w:sz w:val="22"/>
        </w:rPr>
        <w:t>Fuente: </w:t>
      </w:r>
      <w:r>
        <w:rPr>
          <w:sz w:val="22"/>
        </w:rPr>
        <w:t>Fabila, Gilberto y Fabila, Manuel (1958). </w:t>
      </w:r>
      <w:r>
        <w:rPr>
          <w:b/>
          <w:sz w:val="22"/>
        </w:rPr>
        <w:t>Los Ejidos del Estado de México</w:t>
      </w:r>
      <w:r>
        <w:rPr>
          <w:sz w:val="22"/>
        </w:rPr>
        <w:t>, Gobierno del Estado de México, México.</w:t>
      </w:r>
    </w:p>
    <w:p>
      <w:pPr>
        <w:pStyle w:val="BodyText"/>
        <w:spacing w:before="10"/>
        <w:rPr>
          <w:sz w:val="24"/>
        </w:rPr>
      </w:pPr>
    </w:p>
    <w:p>
      <w:pPr>
        <w:pStyle w:val="BodyText"/>
        <w:spacing w:line="360" w:lineRule="auto"/>
        <w:ind w:left="122" w:right="117"/>
        <w:jc w:val="both"/>
      </w:pPr>
      <w:r>
        <w:rPr/>
        <w:t>En consecuencia, cabe resaltar que es en el reparto de los ejidos donde se conforma el grupo social más importante de la cuenca que son los ejidatarios en sus diversas modalidades, los cuales serán copropietarios de la presa Huapango y surge el ejido como estructura social de grupos. Aparece el ejidatario con identidad y organización social histórica. Esto permite identificar grupos sociales (ACTORES) para la GIRH:</w:t>
      </w:r>
    </w:p>
    <w:p>
      <w:pPr>
        <w:pStyle w:val="BodyText"/>
        <w:rPr>
          <w:sz w:val="24"/>
        </w:rPr>
      </w:pPr>
    </w:p>
    <w:p>
      <w:pPr>
        <w:pStyle w:val="ListParagraph"/>
        <w:numPr>
          <w:ilvl w:val="0"/>
          <w:numId w:val="42"/>
        </w:numPr>
        <w:tabs>
          <w:tab w:pos="382" w:val="left" w:leader="none"/>
        </w:tabs>
        <w:spacing w:line="240" w:lineRule="auto" w:before="0" w:after="0"/>
        <w:ind w:left="381" w:right="0" w:hanging="259"/>
        <w:jc w:val="both"/>
        <w:rPr>
          <w:sz w:val="22"/>
        </w:rPr>
      </w:pPr>
      <w:r>
        <w:rPr>
          <w:sz w:val="22"/>
        </w:rPr>
        <w:t>Ejidatarios agricultores (Asamblea</w:t>
      </w:r>
      <w:r>
        <w:rPr>
          <w:position w:val="8"/>
          <w:sz w:val="14"/>
        </w:rPr>
        <w:t>6 </w:t>
      </w:r>
      <w:r>
        <w:rPr>
          <w:sz w:val="22"/>
        </w:rPr>
        <w:t>de</w:t>
      </w:r>
      <w:r>
        <w:rPr>
          <w:spacing w:val="4"/>
          <w:sz w:val="22"/>
        </w:rPr>
        <w:t> </w:t>
      </w:r>
      <w:r>
        <w:rPr>
          <w:sz w:val="22"/>
        </w:rPr>
        <w:t>Ejidatarios);</w:t>
      </w:r>
    </w:p>
    <w:p>
      <w:pPr>
        <w:pStyle w:val="BodyText"/>
      </w:pPr>
    </w:p>
    <w:p>
      <w:pPr>
        <w:pStyle w:val="ListParagraph"/>
        <w:numPr>
          <w:ilvl w:val="0"/>
          <w:numId w:val="42"/>
        </w:numPr>
        <w:tabs>
          <w:tab w:pos="394" w:val="left" w:leader="none"/>
        </w:tabs>
        <w:spacing w:line="240" w:lineRule="auto" w:before="154" w:after="0"/>
        <w:ind w:left="393" w:right="0" w:hanging="271"/>
        <w:jc w:val="both"/>
        <w:rPr>
          <w:sz w:val="22"/>
        </w:rPr>
      </w:pPr>
      <w:r>
        <w:rPr>
          <w:sz w:val="22"/>
        </w:rPr>
        <w:t>Ejidatarios ganaderos (Cooperativas de</w:t>
      </w:r>
      <w:r>
        <w:rPr>
          <w:spacing w:val="-18"/>
          <w:sz w:val="22"/>
        </w:rPr>
        <w:t> </w:t>
      </w:r>
      <w:r>
        <w:rPr>
          <w:sz w:val="22"/>
        </w:rPr>
        <w:t>ganaderos);</w:t>
      </w:r>
    </w:p>
    <w:p>
      <w:pPr>
        <w:pStyle w:val="BodyText"/>
      </w:pPr>
    </w:p>
    <w:p>
      <w:pPr>
        <w:pStyle w:val="ListParagraph"/>
        <w:numPr>
          <w:ilvl w:val="0"/>
          <w:numId w:val="42"/>
        </w:numPr>
        <w:tabs>
          <w:tab w:pos="382" w:val="left" w:leader="none"/>
        </w:tabs>
        <w:spacing w:line="240" w:lineRule="auto" w:before="154" w:after="0"/>
        <w:ind w:left="381" w:right="0" w:hanging="259"/>
        <w:jc w:val="both"/>
        <w:rPr>
          <w:sz w:val="22"/>
        </w:rPr>
      </w:pPr>
      <w:r>
        <w:rPr>
          <w:sz w:val="22"/>
        </w:rPr>
        <w:t>Ejidatarios pescadores (Cooperativas de</w:t>
      </w:r>
      <w:r>
        <w:rPr>
          <w:spacing w:val="-12"/>
          <w:sz w:val="22"/>
        </w:rPr>
        <w:t> </w:t>
      </w:r>
      <w:r>
        <w:rPr>
          <w:sz w:val="22"/>
        </w:rPr>
        <w:t>pescadores);</w:t>
      </w:r>
    </w:p>
    <w:p>
      <w:pPr>
        <w:pStyle w:val="BodyText"/>
      </w:pPr>
    </w:p>
    <w:p>
      <w:pPr>
        <w:pStyle w:val="ListParagraph"/>
        <w:numPr>
          <w:ilvl w:val="0"/>
          <w:numId w:val="42"/>
        </w:numPr>
        <w:tabs>
          <w:tab w:pos="394" w:val="left" w:leader="none"/>
        </w:tabs>
        <w:spacing w:line="240" w:lineRule="auto" w:before="154" w:after="0"/>
        <w:ind w:left="393" w:right="0" w:hanging="271"/>
        <w:jc w:val="both"/>
        <w:rPr>
          <w:sz w:val="22"/>
        </w:rPr>
      </w:pPr>
      <w:r>
        <w:rPr>
          <w:sz w:val="22"/>
        </w:rPr>
        <w:t>Ejidatarios comerciantes (Asociación de</w:t>
      </w:r>
      <w:r>
        <w:rPr>
          <w:spacing w:val="-15"/>
          <w:sz w:val="22"/>
        </w:rPr>
        <w:t> </w:t>
      </w:r>
      <w:r>
        <w:rPr>
          <w:sz w:val="22"/>
        </w:rPr>
        <w:t>comerciantes);</w:t>
      </w: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7120;mso-wrap-distance-left:0;mso-wrap-distance-right:0" from="85.103996pt,8.180919pt" to="229.123996pt,8.180919pt" stroked="true" strokeweight=".71997pt" strokecolor="#000000">
            <w10:wrap type="topAndBottom"/>
          </v:line>
        </w:pict>
      </w:r>
    </w:p>
    <w:p>
      <w:pPr>
        <w:spacing w:line="240" w:lineRule="auto" w:before="67"/>
        <w:ind w:left="122" w:right="124" w:firstLine="0"/>
        <w:jc w:val="both"/>
        <w:rPr>
          <w:sz w:val="20"/>
        </w:rPr>
      </w:pPr>
      <w:r>
        <w:rPr>
          <w:rFonts w:ascii="Calibri" w:hAnsi="Calibri"/>
          <w:position w:val="8"/>
          <w:sz w:val="14"/>
        </w:rPr>
        <w:t>6 </w:t>
      </w:r>
      <w:r>
        <w:rPr>
          <w:rFonts w:ascii="Calibri" w:hAnsi="Calibri"/>
          <w:sz w:val="22"/>
        </w:rPr>
        <w:t>La </w:t>
      </w:r>
      <w:r>
        <w:rPr>
          <w:sz w:val="20"/>
        </w:rPr>
        <w:t>Asamblea. Es el órgano supremo del ejido, en el que participan todos los ejidatarios. Por ello con el objeto de llevar un control actualizado y confiable en su conformación, se establece la obligatoriedad de llevar un libro de registro de los integrantes del núcleo de población bajo la responsabilidad directa de comisariado ejidal y la supervisión de la propia asamblea. Esta  exigencia obedeció a la intención de prevenir los conflictos que se producían sobre la existencia o no del quórum legal de las asambleas, determinante para tomar decisiones trascendentales en la vida del</w:t>
      </w:r>
      <w:r>
        <w:rPr>
          <w:spacing w:val="-6"/>
          <w:sz w:val="20"/>
        </w:rPr>
        <w:t> </w:t>
      </w:r>
      <w:r>
        <w:rPr>
          <w:sz w:val="20"/>
        </w:rPr>
        <w:t>ejido.</w:t>
      </w:r>
    </w:p>
    <w:p>
      <w:pPr>
        <w:spacing w:after="0" w:line="240" w:lineRule="auto"/>
        <w:jc w:val="both"/>
        <w:rPr>
          <w:sz w:val="20"/>
        </w:rPr>
        <w:sectPr>
          <w:pgSz w:w="12240" w:h="15840"/>
          <w:pgMar w:header="0" w:footer="1003" w:top="1360" w:bottom="1200" w:left="1580" w:right="1580"/>
        </w:sectPr>
      </w:pPr>
    </w:p>
    <w:p>
      <w:pPr>
        <w:pStyle w:val="ListParagraph"/>
        <w:numPr>
          <w:ilvl w:val="0"/>
          <w:numId w:val="42"/>
        </w:numPr>
        <w:tabs>
          <w:tab w:pos="442" w:val="left" w:leader="none"/>
        </w:tabs>
        <w:spacing w:line="240" w:lineRule="auto" w:before="51" w:after="0"/>
        <w:ind w:left="441" w:right="0" w:hanging="259"/>
        <w:jc w:val="left"/>
        <w:rPr>
          <w:sz w:val="22"/>
        </w:rPr>
      </w:pPr>
      <w:r>
        <w:rPr>
          <w:sz w:val="22"/>
        </w:rPr>
        <w:t>Ejidatarios con turismo; (Asociación)</w:t>
      </w:r>
      <w:r>
        <w:rPr>
          <w:spacing w:val="-10"/>
          <w:sz w:val="22"/>
        </w:rPr>
        <w:t> </w:t>
      </w:r>
      <w:r>
        <w:rPr>
          <w:sz w:val="22"/>
        </w:rPr>
        <w:t>y</w:t>
      </w:r>
    </w:p>
    <w:p>
      <w:pPr>
        <w:pStyle w:val="BodyText"/>
      </w:pPr>
    </w:p>
    <w:p>
      <w:pPr>
        <w:pStyle w:val="ListParagraph"/>
        <w:numPr>
          <w:ilvl w:val="0"/>
          <w:numId w:val="42"/>
        </w:numPr>
        <w:tabs>
          <w:tab w:pos="454" w:val="left" w:leader="none"/>
        </w:tabs>
        <w:spacing w:line="240" w:lineRule="auto" w:before="154" w:after="0"/>
        <w:ind w:left="453" w:right="0" w:hanging="271"/>
        <w:jc w:val="left"/>
        <w:rPr>
          <w:sz w:val="22"/>
        </w:rPr>
      </w:pPr>
      <w:r>
        <w:rPr>
          <w:sz w:val="22"/>
        </w:rPr>
        <w:t>Ejidatarios con Industria</w:t>
      </w:r>
      <w:r>
        <w:rPr>
          <w:spacing w:val="-12"/>
          <w:sz w:val="22"/>
        </w:rPr>
        <w:t> </w:t>
      </w:r>
      <w:r>
        <w:rPr>
          <w:sz w:val="22"/>
        </w:rPr>
        <w:t>(Asociación).</w:t>
      </w:r>
    </w:p>
    <w:p>
      <w:pPr>
        <w:pStyle w:val="BodyText"/>
      </w:pPr>
    </w:p>
    <w:p>
      <w:pPr>
        <w:pStyle w:val="BodyText"/>
        <w:spacing w:before="156"/>
        <w:ind w:left="182" w:right="162"/>
      </w:pPr>
      <w:r>
        <w:rPr/>
        <w:t>Además, la cuenca hidrosocial y el ejido como estructura social de grupos dan paso a los</w:t>
      </w:r>
    </w:p>
    <w:p>
      <w:pPr>
        <w:pStyle w:val="Heading6"/>
        <w:spacing w:before="124"/>
        <w:ind w:left="182" w:right="162"/>
        <w:rPr>
          <w:b w:val="0"/>
        </w:rPr>
      </w:pPr>
      <w:r>
        <w:rPr/>
        <w:t>ACTORES de presencia estatal</w:t>
      </w:r>
      <w:r>
        <w:rPr>
          <w:b w:val="0"/>
        </w:rPr>
        <w:t>:</w:t>
      </w:r>
    </w:p>
    <w:p>
      <w:pPr>
        <w:pStyle w:val="BodyText"/>
      </w:pPr>
    </w:p>
    <w:p>
      <w:pPr>
        <w:pStyle w:val="ListParagraph"/>
        <w:numPr>
          <w:ilvl w:val="0"/>
          <w:numId w:val="43"/>
        </w:numPr>
        <w:tabs>
          <w:tab w:pos="442" w:val="left" w:leader="none"/>
        </w:tabs>
        <w:spacing w:line="240" w:lineRule="auto" w:before="151" w:after="0"/>
        <w:ind w:left="441" w:right="0" w:hanging="259"/>
        <w:jc w:val="left"/>
        <w:rPr>
          <w:sz w:val="22"/>
        </w:rPr>
      </w:pPr>
      <w:r>
        <w:rPr>
          <w:sz w:val="22"/>
        </w:rPr>
        <w:t>El Municipio (Burócratas y</w:t>
      </w:r>
      <w:r>
        <w:rPr>
          <w:spacing w:val="-12"/>
          <w:sz w:val="22"/>
        </w:rPr>
        <w:t> </w:t>
      </w:r>
      <w:r>
        <w:rPr>
          <w:sz w:val="22"/>
        </w:rPr>
        <w:t>Regidores);</w:t>
      </w:r>
    </w:p>
    <w:p>
      <w:pPr>
        <w:pStyle w:val="BodyText"/>
      </w:pPr>
    </w:p>
    <w:p>
      <w:pPr>
        <w:pStyle w:val="ListParagraph"/>
        <w:numPr>
          <w:ilvl w:val="0"/>
          <w:numId w:val="43"/>
        </w:numPr>
        <w:tabs>
          <w:tab w:pos="454" w:val="left" w:leader="none"/>
        </w:tabs>
        <w:spacing w:line="240" w:lineRule="auto" w:before="154" w:after="0"/>
        <w:ind w:left="453" w:right="0" w:hanging="271"/>
        <w:jc w:val="left"/>
        <w:rPr>
          <w:sz w:val="22"/>
        </w:rPr>
      </w:pPr>
      <w:r>
        <w:rPr>
          <w:sz w:val="22"/>
        </w:rPr>
        <w:t>La Comisión Nacional del Agua</w:t>
      </w:r>
      <w:r>
        <w:rPr>
          <w:spacing w:val="-15"/>
          <w:sz w:val="22"/>
        </w:rPr>
        <w:t> </w:t>
      </w:r>
      <w:r>
        <w:rPr>
          <w:sz w:val="22"/>
        </w:rPr>
        <w:t>(Conagua);</w:t>
      </w:r>
    </w:p>
    <w:p>
      <w:pPr>
        <w:pStyle w:val="BodyText"/>
      </w:pPr>
    </w:p>
    <w:p>
      <w:pPr>
        <w:pStyle w:val="ListParagraph"/>
        <w:numPr>
          <w:ilvl w:val="0"/>
          <w:numId w:val="43"/>
        </w:numPr>
        <w:tabs>
          <w:tab w:pos="442" w:val="left" w:leader="none"/>
        </w:tabs>
        <w:spacing w:line="240" w:lineRule="auto" w:before="154" w:after="0"/>
        <w:ind w:left="441" w:right="0" w:hanging="259"/>
        <w:jc w:val="left"/>
        <w:rPr>
          <w:sz w:val="22"/>
        </w:rPr>
      </w:pPr>
      <w:r>
        <w:rPr>
          <w:sz w:val="22"/>
        </w:rPr>
        <w:t>El Comité Hidráulico de la presa Huapango (Dependiente de la</w:t>
      </w:r>
      <w:r>
        <w:rPr>
          <w:spacing w:val="-21"/>
          <w:sz w:val="22"/>
        </w:rPr>
        <w:t> </w:t>
      </w:r>
      <w:r>
        <w:rPr>
          <w:sz w:val="22"/>
        </w:rPr>
        <w:t>Conagua);</w:t>
      </w:r>
    </w:p>
    <w:p>
      <w:pPr>
        <w:pStyle w:val="BodyText"/>
      </w:pPr>
    </w:p>
    <w:p>
      <w:pPr>
        <w:pStyle w:val="ListParagraph"/>
        <w:numPr>
          <w:ilvl w:val="0"/>
          <w:numId w:val="43"/>
        </w:numPr>
        <w:tabs>
          <w:tab w:pos="454" w:val="left" w:leader="none"/>
        </w:tabs>
        <w:spacing w:line="240" w:lineRule="auto" w:before="154" w:after="0"/>
        <w:ind w:left="453" w:right="0" w:hanging="271"/>
        <w:jc w:val="left"/>
        <w:rPr>
          <w:sz w:val="22"/>
        </w:rPr>
      </w:pPr>
      <w:r>
        <w:rPr>
          <w:sz w:val="22"/>
        </w:rPr>
        <w:t>El Registro Agrario</w:t>
      </w:r>
      <w:r>
        <w:rPr>
          <w:spacing w:val="-13"/>
          <w:sz w:val="22"/>
        </w:rPr>
        <w:t> </w:t>
      </w:r>
      <w:r>
        <w:rPr>
          <w:sz w:val="22"/>
        </w:rPr>
        <w:t>Nacional;</w:t>
      </w:r>
    </w:p>
    <w:p>
      <w:pPr>
        <w:pStyle w:val="BodyText"/>
      </w:pPr>
    </w:p>
    <w:p>
      <w:pPr>
        <w:pStyle w:val="ListParagraph"/>
        <w:numPr>
          <w:ilvl w:val="0"/>
          <w:numId w:val="43"/>
        </w:numPr>
        <w:tabs>
          <w:tab w:pos="442" w:val="left" w:leader="none"/>
        </w:tabs>
        <w:spacing w:line="240" w:lineRule="auto" w:before="151" w:after="0"/>
        <w:ind w:left="441" w:right="0" w:hanging="259"/>
        <w:jc w:val="left"/>
        <w:rPr>
          <w:sz w:val="22"/>
        </w:rPr>
      </w:pPr>
      <w:r>
        <w:rPr>
          <w:sz w:val="22"/>
        </w:rPr>
        <w:t>La Procuraduría Agraria;</w:t>
      </w:r>
      <w:r>
        <w:rPr>
          <w:spacing w:val="-7"/>
          <w:sz w:val="22"/>
        </w:rPr>
        <w:t> </w:t>
      </w:r>
      <w:r>
        <w:rPr>
          <w:sz w:val="22"/>
        </w:rPr>
        <w:t>y</w:t>
      </w:r>
    </w:p>
    <w:p>
      <w:pPr>
        <w:pStyle w:val="BodyText"/>
      </w:pPr>
    </w:p>
    <w:p>
      <w:pPr>
        <w:pStyle w:val="ListParagraph"/>
        <w:numPr>
          <w:ilvl w:val="0"/>
          <w:numId w:val="43"/>
        </w:numPr>
        <w:tabs>
          <w:tab w:pos="394" w:val="left" w:leader="none"/>
        </w:tabs>
        <w:spacing w:line="240" w:lineRule="auto" w:before="154" w:after="0"/>
        <w:ind w:left="393" w:right="0" w:hanging="211"/>
        <w:jc w:val="left"/>
        <w:rPr>
          <w:sz w:val="22"/>
        </w:rPr>
      </w:pPr>
      <w:r>
        <w:rPr>
          <w:sz w:val="22"/>
        </w:rPr>
        <w:t>Los Tribunales</w:t>
      </w:r>
      <w:r>
        <w:rPr>
          <w:spacing w:val="-10"/>
          <w:sz w:val="22"/>
        </w:rPr>
        <w:t> </w:t>
      </w:r>
      <w:r>
        <w:rPr>
          <w:sz w:val="22"/>
        </w:rPr>
        <w:t>Agrarios.</w:t>
      </w:r>
    </w:p>
    <w:p>
      <w:pPr>
        <w:pStyle w:val="BodyText"/>
      </w:pPr>
    </w:p>
    <w:p>
      <w:pPr>
        <w:pStyle w:val="Heading6"/>
        <w:numPr>
          <w:ilvl w:val="1"/>
          <w:numId w:val="41"/>
        </w:numPr>
        <w:tabs>
          <w:tab w:pos="612" w:val="left" w:leader="none"/>
        </w:tabs>
        <w:spacing w:line="626" w:lineRule="auto" w:before="154" w:after="18"/>
        <w:ind w:left="1566" w:right="1584" w:hanging="1384"/>
        <w:jc w:val="left"/>
      </w:pPr>
      <w:r>
        <w:rPr/>
        <w:t>Discusión y análisis sobre actores y la región presa Huapango Tabla 4.7. Los principales grupos constituidos en la</w:t>
      </w:r>
      <w:r>
        <w:rPr>
          <w:spacing w:val="-12"/>
        </w:rPr>
        <w:t> </w:t>
      </w:r>
      <w:r>
        <w:rPr/>
        <w:t>presa</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78"/>
        <w:gridCol w:w="4902"/>
      </w:tblGrid>
      <w:tr>
        <w:trPr>
          <w:trHeight w:val="768" w:hRule="exact"/>
        </w:trPr>
        <w:tc>
          <w:tcPr>
            <w:tcW w:w="4078" w:type="dxa"/>
            <w:shd w:val="clear" w:color="auto" w:fill="BEBEBE"/>
          </w:tcPr>
          <w:p>
            <w:pPr>
              <w:pStyle w:val="TableParagraph"/>
              <w:spacing w:line="248" w:lineRule="exact"/>
              <w:ind w:left="1115" w:right="1116"/>
              <w:jc w:val="center"/>
              <w:rPr>
                <w:b/>
                <w:sz w:val="22"/>
              </w:rPr>
            </w:pPr>
            <w:r>
              <w:rPr>
                <w:b/>
                <w:sz w:val="22"/>
              </w:rPr>
              <w:t>AGRUPACIONES</w:t>
            </w:r>
          </w:p>
        </w:tc>
        <w:tc>
          <w:tcPr>
            <w:tcW w:w="4902" w:type="dxa"/>
            <w:shd w:val="clear" w:color="auto" w:fill="BEBEBE"/>
          </w:tcPr>
          <w:p>
            <w:pPr>
              <w:pStyle w:val="TableParagraph"/>
              <w:spacing w:line="360" w:lineRule="auto"/>
              <w:ind w:left="475" w:right="461" w:firstLine="341"/>
              <w:rPr>
                <w:b/>
                <w:sz w:val="22"/>
              </w:rPr>
            </w:pPr>
            <w:r>
              <w:rPr>
                <w:b/>
                <w:sz w:val="22"/>
              </w:rPr>
              <w:t>EPOCA APROXIMADA EN QUE APARECIERON COMO AGRUPACIÓN</w:t>
            </w:r>
          </w:p>
        </w:tc>
      </w:tr>
      <w:tr>
        <w:trPr>
          <w:trHeight w:val="389" w:hRule="exact"/>
        </w:trPr>
        <w:tc>
          <w:tcPr>
            <w:tcW w:w="4078" w:type="dxa"/>
          </w:tcPr>
          <w:p>
            <w:pPr>
              <w:pStyle w:val="TableParagraph"/>
              <w:spacing w:line="251" w:lineRule="exact"/>
              <w:ind w:left="1115" w:right="1116"/>
              <w:jc w:val="center"/>
              <w:rPr>
                <w:sz w:val="22"/>
              </w:rPr>
            </w:pPr>
            <w:r>
              <w:rPr>
                <w:sz w:val="22"/>
              </w:rPr>
              <w:t>Agricultura</w:t>
            </w:r>
          </w:p>
        </w:tc>
        <w:tc>
          <w:tcPr>
            <w:tcW w:w="4902" w:type="dxa"/>
          </w:tcPr>
          <w:p>
            <w:pPr>
              <w:pStyle w:val="TableParagraph"/>
              <w:spacing w:line="251" w:lineRule="exact"/>
              <w:ind w:left="1347" w:right="1349"/>
              <w:jc w:val="center"/>
              <w:rPr>
                <w:sz w:val="22"/>
              </w:rPr>
            </w:pPr>
            <w:r>
              <w:rPr>
                <w:sz w:val="22"/>
              </w:rPr>
              <w:t>Época prehispánica</w:t>
            </w:r>
          </w:p>
        </w:tc>
      </w:tr>
      <w:tr>
        <w:trPr>
          <w:trHeight w:val="389" w:hRule="exact"/>
        </w:trPr>
        <w:tc>
          <w:tcPr>
            <w:tcW w:w="4078" w:type="dxa"/>
          </w:tcPr>
          <w:p>
            <w:pPr>
              <w:pStyle w:val="TableParagraph"/>
              <w:spacing w:line="251" w:lineRule="exact"/>
              <w:ind w:left="1115" w:right="1115"/>
              <w:jc w:val="center"/>
              <w:rPr>
                <w:sz w:val="22"/>
              </w:rPr>
            </w:pPr>
            <w:r>
              <w:rPr>
                <w:sz w:val="22"/>
              </w:rPr>
              <w:t>Pescadores</w:t>
            </w:r>
          </w:p>
        </w:tc>
        <w:tc>
          <w:tcPr>
            <w:tcW w:w="4902" w:type="dxa"/>
          </w:tcPr>
          <w:p>
            <w:pPr>
              <w:pStyle w:val="TableParagraph"/>
              <w:spacing w:line="251" w:lineRule="exact"/>
              <w:ind w:left="1347" w:right="1351"/>
              <w:jc w:val="center"/>
              <w:rPr>
                <w:sz w:val="22"/>
              </w:rPr>
            </w:pPr>
            <w:r>
              <w:rPr>
                <w:sz w:val="22"/>
              </w:rPr>
              <w:t>XVIII</w:t>
            </w:r>
          </w:p>
        </w:tc>
      </w:tr>
      <w:tr>
        <w:trPr>
          <w:trHeight w:val="391" w:hRule="exact"/>
        </w:trPr>
        <w:tc>
          <w:tcPr>
            <w:tcW w:w="4078" w:type="dxa"/>
          </w:tcPr>
          <w:p>
            <w:pPr>
              <w:pStyle w:val="TableParagraph"/>
              <w:ind w:left="1115" w:right="1115"/>
              <w:jc w:val="center"/>
              <w:rPr>
                <w:sz w:val="22"/>
              </w:rPr>
            </w:pPr>
            <w:r>
              <w:rPr>
                <w:sz w:val="22"/>
              </w:rPr>
              <w:t>Ganaderos</w:t>
            </w:r>
          </w:p>
        </w:tc>
        <w:tc>
          <w:tcPr>
            <w:tcW w:w="4902" w:type="dxa"/>
          </w:tcPr>
          <w:p>
            <w:pPr>
              <w:pStyle w:val="TableParagraph"/>
              <w:ind w:left="1346" w:right="1351"/>
              <w:jc w:val="center"/>
              <w:rPr>
                <w:sz w:val="22"/>
              </w:rPr>
            </w:pPr>
            <w:r>
              <w:rPr>
                <w:sz w:val="22"/>
              </w:rPr>
              <w:t>Después del siglo XIX</w:t>
            </w:r>
          </w:p>
        </w:tc>
      </w:tr>
      <w:tr>
        <w:trPr>
          <w:trHeight w:val="389" w:hRule="exact"/>
        </w:trPr>
        <w:tc>
          <w:tcPr>
            <w:tcW w:w="4078" w:type="dxa"/>
          </w:tcPr>
          <w:p>
            <w:pPr>
              <w:pStyle w:val="TableParagraph"/>
              <w:spacing w:line="251" w:lineRule="exact"/>
              <w:ind w:left="1115" w:right="1115"/>
              <w:jc w:val="center"/>
              <w:rPr>
                <w:sz w:val="22"/>
              </w:rPr>
            </w:pPr>
            <w:r>
              <w:rPr>
                <w:sz w:val="22"/>
              </w:rPr>
              <w:t>Comerciantes</w:t>
            </w:r>
          </w:p>
        </w:tc>
        <w:tc>
          <w:tcPr>
            <w:tcW w:w="4902" w:type="dxa"/>
          </w:tcPr>
          <w:p>
            <w:pPr>
              <w:pStyle w:val="TableParagraph"/>
              <w:spacing w:line="251" w:lineRule="exact"/>
              <w:ind w:left="1347" w:right="1351"/>
              <w:jc w:val="center"/>
              <w:rPr>
                <w:sz w:val="22"/>
              </w:rPr>
            </w:pPr>
            <w:r>
              <w:rPr>
                <w:sz w:val="22"/>
              </w:rPr>
              <w:t>Después del siglo XIX</w:t>
            </w:r>
          </w:p>
        </w:tc>
      </w:tr>
      <w:tr>
        <w:trPr>
          <w:trHeight w:val="389" w:hRule="exact"/>
        </w:trPr>
        <w:tc>
          <w:tcPr>
            <w:tcW w:w="4078" w:type="dxa"/>
          </w:tcPr>
          <w:p>
            <w:pPr>
              <w:pStyle w:val="TableParagraph"/>
              <w:spacing w:line="251" w:lineRule="exact"/>
              <w:ind w:left="1115" w:right="1116"/>
              <w:jc w:val="center"/>
              <w:rPr>
                <w:sz w:val="22"/>
              </w:rPr>
            </w:pPr>
            <w:r>
              <w:rPr>
                <w:sz w:val="22"/>
              </w:rPr>
              <w:t>Turismo</w:t>
            </w:r>
          </w:p>
        </w:tc>
        <w:tc>
          <w:tcPr>
            <w:tcW w:w="4902" w:type="dxa"/>
          </w:tcPr>
          <w:p>
            <w:pPr>
              <w:pStyle w:val="TableParagraph"/>
              <w:spacing w:line="251" w:lineRule="exact"/>
              <w:ind w:left="1347" w:right="1349"/>
              <w:jc w:val="center"/>
              <w:rPr>
                <w:sz w:val="22"/>
              </w:rPr>
            </w:pPr>
            <w:r>
              <w:rPr>
                <w:sz w:val="22"/>
              </w:rPr>
              <w:t>Siglo XX</w:t>
            </w:r>
          </w:p>
        </w:tc>
      </w:tr>
    </w:tbl>
    <w:p>
      <w:pPr>
        <w:pStyle w:val="BodyText"/>
        <w:spacing w:before="8"/>
        <w:rPr>
          <w:b/>
          <w:sz w:val="17"/>
        </w:rPr>
      </w:pPr>
    </w:p>
    <w:p>
      <w:pPr>
        <w:pStyle w:val="BodyText"/>
        <w:spacing w:before="72"/>
        <w:ind w:left="182"/>
        <w:jc w:val="both"/>
      </w:pPr>
      <w:r>
        <w:rPr/>
        <w:t>Fuente: Elaboración propia con base en el trabajo de gabinete y campo (2013-2015).</w:t>
      </w:r>
    </w:p>
    <w:p>
      <w:pPr>
        <w:pStyle w:val="BodyText"/>
      </w:pPr>
    </w:p>
    <w:p>
      <w:pPr>
        <w:pStyle w:val="BodyText"/>
        <w:spacing w:line="360" w:lineRule="auto" w:before="156"/>
        <w:ind w:left="182" w:right="196"/>
        <w:jc w:val="both"/>
      </w:pPr>
      <w:r>
        <w:rPr/>
        <w:t>Estas agrupaciones o grupos humanos, construyeron redes sociales en torno a la presa Huapango, expresadas a través del parentesco, mercados regionales, fiestas patronales y familiares. Sin embargo, al consumarse la independencia nacional, surgen los  municipios</w:t>
      </w:r>
    </w:p>
    <w:p>
      <w:pPr>
        <w:spacing w:after="0" w:line="360" w:lineRule="auto"/>
        <w:jc w:val="both"/>
        <w:sectPr>
          <w:footerReference w:type="default" r:id="rId126"/>
          <w:pgSz w:w="12240" w:h="15840"/>
          <w:pgMar w:footer="1003" w:header="0" w:top="1360" w:bottom="1200" w:left="1520" w:right="1500"/>
          <w:pgNumType w:start="150"/>
        </w:sectPr>
      </w:pPr>
    </w:p>
    <w:p>
      <w:pPr>
        <w:pStyle w:val="BodyText"/>
        <w:spacing w:line="357" w:lineRule="auto" w:before="56"/>
        <w:ind w:left="122" w:right="112"/>
        <w:jc w:val="both"/>
      </w:pPr>
      <w:r>
        <w:rPr/>
        <w:t>alrededor de la presa Huapango, lo cual desarticuló en parte lo que se basaba en las  leyes consuetudinarias antes</w:t>
      </w:r>
      <w:r>
        <w:rPr>
          <w:spacing w:val="-8"/>
        </w:rPr>
        <w:t> </w:t>
      </w:r>
      <w:r>
        <w:rPr/>
        <w:t>dichas.</w:t>
      </w:r>
    </w:p>
    <w:p>
      <w:pPr>
        <w:pStyle w:val="BodyText"/>
        <w:spacing w:before="1"/>
        <w:rPr>
          <w:sz w:val="25"/>
        </w:rPr>
      </w:pPr>
    </w:p>
    <w:p>
      <w:pPr>
        <w:pStyle w:val="BodyText"/>
        <w:spacing w:line="360" w:lineRule="auto"/>
        <w:ind w:left="122" w:right="113"/>
        <w:jc w:val="both"/>
      </w:pPr>
      <w:r>
        <w:rPr/>
        <w:t>En el siglo XX estos desequilibrios se hicieron más patentes con el reparto  agrario (ejidos), enfrentando a los pobladores o grupos (actores) de aguas abajo (Aculco y Polotitlán), contra los de aguas arriba (Jilotepec, Acamba y Timilpan), agudizando los problemas de aprovechamiento del agua de la presa, sobre todo en la irrigación (ganaderos vs agricultores).</w:t>
      </w:r>
    </w:p>
    <w:p>
      <w:pPr>
        <w:pStyle w:val="BodyText"/>
        <w:spacing w:before="10"/>
        <w:rPr>
          <w:sz w:val="24"/>
        </w:rPr>
      </w:pPr>
    </w:p>
    <w:p>
      <w:pPr>
        <w:pStyle w:val="BodyText"/>
        <w:spacing w:line="357" w:lineRule="auto"/>
        <w:ind w:left="122" w:right="114"/>
        <w:jc w:val="both"/>
      </w:pPr>
      <w:r>
        <w:rPr/>
        <w:t>Es decir, la Reforma Agraria favoreció un reparto distinto del agua de la presa Huapango, ya no basado en el derecho consuetudinario, sino en la ley, al apoyar una irrigación para el desarrollo ganadero de los municipios de Aculco y Polotitlán (debido a su posición </w:t>
      </w:r>
      <w:r>
        <w:rPr>
          <w:spacing w:val="-3"/>
        </w:rPr>
        <w:t>de </w:t>
      </w:r>
      <w:r>
        <w:rPr/>
        <w:t>aguas abajo), dando por resultado el surgimiento de grupos sociales ganaderos</w:t>
      </w:r>
      <w:r>
        <w:rPr>
          <w:position w:val="8"/>
          <w:sz w:val="14"/>
        </w:rPr>
        <w:t>7 </w:t>
      </w:r>
      <w:r>
        <w:rPr/>
        <w:t>y su ramificación en agrupaciones de queseros, lecheros e industria</w:t>
      </w:r>
      <w:r>
        <w:rPr>
          <w:spacing w:val="-14"/>
        </w:rPr>
        <w:t> </w:t>
      </w:r>
      <w:r>
        <w:rPr/>
        <w:t>láctea.</w:t>
      </w:r>
    </w:p>
    <w:p>
      <w:pPr>
        <w:pStyle w:val="BodyText"/>
        <w:spacing w:before="1"/>
        <w:rPr>
          <w:sz w:val="25"/>
        </w:rPr>
      </w:pPr>
    </w:p>
    <w:p>
      <w:pPr>
        <w:pStyle w:val="BodyText"/>
        <w:spacing w:line="357" w:lineRule="auto"/>
        <w:ind w:left="122" w:right="114"/>
        <w:jc w:val="both"/>
      </w:pPr>
      <w:r>
        <w:rPr/>
        <w:t>Los otros municipios (Acambay, Jilotepec y Timilpan) al quedar aguas arriba de la presa, tuvieron que conformar un uso diferente de la presa y conformar grupos de pescadores, recolectores, turísmo y ganadería en pequeña escala.</w:t>
      </w:r>
    </w:p>
    <w:p>
      <w:pPr>
        <w:pStyle w:val="BodyText"/>
        <w:spacing w:before="1"/>
        <w:rPr>
          <w:sz w:val="25"/>
        </w:rPr>
      </w:pPr>
    </w:p>
    <w:p>
      <w:pPr>
        <w:pStyle w:val="BodyText"/>
        <w:spacing w:line="360" w:lineRule="auto" w:before="1"/>
        <w:ind w:left="122" w:right="115"/>
        <w:jc w:val="both"/>
      </w:pPr>
      <w:r>
        <w:rPr/>
        <w:t>En síntesis, el surgimiento e </w:t>
      </w:r>
      <w:r>
        <w:rPr>
          <w:i/>
        </w:rPr>
        <w:t>identificación de actores </w:t>
      </w:r>
      <w:r>
        <w:rPr/>
        <w:t>de la presa Huapango, se observa que fue en el reparto agrario (creación de ejidos) en los municipios colindantes y donde surgen los principales problemas interlagunares entre municipios, lo que generó los conflictos actuales del aprovechamiento y reparto del agua, beneficiando a los municipios de aguas abajo y afectando a los de aguas arriba. Además esta identificación de los grupos de actores en la CHPH permitirá el análisis de la conformación de mapas de actores con sus redes y funciones en nuestro siguiente apartado.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4"/>
        </w:rPr>
      </w:pPr>
      <w:r>
        <w:rPr/>
        <w:pict>
          <v:line style="position:absolute;mso-position-horizontal-relative:page;mso-position-vertical-relative:paragraph;z-index:7144;mso-wrap-distance-left:0;mso-wrap-distance-right:0" from="85.103996pt,10.739302pt" to="229.123996pt,10.739302pt" stroked="true" strokeweight=".71997pt" strokecolor="#000000">
            <w10:wrap type="topAndBottom"/>
          </v:line>
        </w:pict>
      </w:r>
    </w:p>
    <w:p>
      <w:pPr>
        <w:spacing w:line="278" w:lineRule="auto" w:before="69"/>
        <w:ind w:left="122" w:right="120" w:firstLine="0"/>
        <w:jc w:val="both"/>
        <w:rPr>
          <w:sz w:val="20"/>
        </w:rPr>
      </w:pPr>
      <w:r>
        <w:rPr>
          <w:rFonts w:ascii="Calibri" w:hAnsi="Calibri"/>
          <w:position w:val="8"/>
          <w:sz w:val="14"/>
        </w:rPr>
        <w:t>7 </w:t>
      </w:r>
      <w:r>
        <w:rPr>
          <w:sz w:val="20"/>
        </w:rPr>
        <w:t>Para Álvarez </w:t>
      </w:r>
      <w:r>
        <w:rPr>
          <w:i/>
          <w:sz w:val="20"/>
        </w:rPr>
        <w:t>et al. </w:t>
      </w:r>
      <w:r>
        <w:rPr>
          <w:sz w:val="20"/>
        </w:rPr>
        <w:t>(1999:18) y Martínez et al.(1999:9), un sistema nacional lechero se define  como el conjunto de actores individuales regionales (productores, comerciantes y consumidores) colectivos (organizaciones de productores, agroindustrias, instituciones públicas y privadas) que, por medio de sus estrategias individuales y las interacciones que establecen, determinan una dinámica productiva, delimitada por el territorio nacional, pero insertada en la lógica de la economía nacional y del mercado internacional de productos</w:t>
      </w:r>
      <w:r>
        <w:rPr>
          <w:spacing w:val="-12"/>
          <w:sz w:val="20"/>
        </w:rPr>
        <w:t> </w:t>
      </w:r>
      <w:r>
        <w:rPr>
          <w:sz w:val="20"/>
        </w:rPr>
        <w:t>lácteos.</w:t>
      </w:r>
    </w:p>
    <w:p>
      <w:pPr>
        <w:spacing w:after="0" w:line="278" w:lineRule="auto"/>
        <w:jc w:val="both"/>
        <w:rPr>
          <w:sz w:val="20"/>
        </w:rPr>
        <w:sectPr>
          <w:pgSz w:w="12240" w:h="15840"/>
          <w:pgMar w:header="0" w:footer="1003" w:top="1360" w:bottom="120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p>
    <w:p>
      <w:pPr>
        <w:pStyle w:val="Heading1"/>
        <w:spacing w:line="360" w:lineRule="auto"/>
        <w:ind w:left="622" w:right="765" w:firstLine="1"/>
        <w:jc w:val="center"/>
      </w:pPr>
      <w:r>
        <w:rPr/>
        <w:t>LOS ACTORES DE LA CUENCA HIDROSOCIAL PRESA</w:t>
      </w:r>
      <w:r>
        <w:rPr>
          <w:spacing w:val="-10"/>
        </w:rPr>
        <w:t> </w:t>
      </w:r>
      <w:r>
        <w:rPr/>
        <w:t>HUAPANGO: REDES Y</w:t>
      </w:r>
      <w:r>
        <w:rPr>
          <w:spacing w:val="-8"/>
        </w:rPr>
        <w:t> </w:t>
      </w:r>
      <w:r>
        <w:rPr/>
        <w:t>FUNCIONES</w:t>
      </w:r>
    </w:p>
    <w:p>
      <w:pPr>
        <w:spacing w:after="0" w:line="360" w:lineRule="auto"/>
        <w:jc w:val="center"/>
        <w:sectPr>
          <w:pgSz w:w="12240" w:h="15840"/>
          <w:pgMar w:header="0" w:footer="1003" w:top="1500" w:bottom="1200" w:left="1720" w:right="1580"/>
        </w:sectPr>
      </w:pPr>
    </w:p>
    <w:p>
      <w:pPr>
        <w:pStyle w:val="Heading6"/>
        <w:numPr>
          <w:ilvl w:val="0"/>
          <w:numId w:val="17"/>
        </w:numPr>
        <w:tabs>
          <w:tab w:pos="692" w:val="left" w:leader="none"/>
        </w:tabs>
        <w:spacing w:line="360" w:lineRule="auto" w:before="53" w:after="0"/>
        <w:ind w:left="382" w:right="996" w:firstLine="0"/>
        <w:jc w:val="both"/>
      </w:pPr>
      <w:r>
        <w:rPr/>
        <w:t>LOS ACTORES DE LA CUENCA HIDROSOCIAL PRESA HUAPANGO: REDES Y FUNCIONES</w:t>
      </w:r>
    </w:p>
    <w:p>
      <w:pPr>
        <w:spacing w:line="360" w:lineRule="auto" w:before="5"/>
        <w:ind w:left="382" w:right="995" w:firstLine="0"/>
        <w:jc w:val="both"/>
        <w:rPr>
          <w:i/>
          <w:sz w:val="22"/>
        </w:rPr>
      </w:pPr>
      <w:r>
        <w:rPr>
          <w:sz w:val="22"/>
        </w:rPr>
        <w:t>En este apartado, se </w:t>
      </w:r>
      <w:r>
        <w:rPr>
          <w:i/>
          <w:sz w:val="22"/>
        </w:rPr>
        <w:t>identificaron los mapas de actores (d</w:t>
      </w:r>
      <w:r>
        <w:rPr>
          <w:sz w:val="22"/>
        </w:rPr>
        <w:t>onde la historia se toma como un elemento teórico social y no como antecedente para explicar el uso y manejo del agua) y se </w:t>
      </w:r>
      <w:r>
        <w:rPr>
          <w:i/>
          <w:sz w:val="22"/>
        </w:rPr>
        <w:t>detectaron las redes y funciones de los actores de dicha Cuenca.</w:t>
      </w:r>
    </w:p>
    <w:p>
      <w:pPr>
        <w:pStyle w:val="BodyText"/>
        <w:rPr>
          <w:i/>
        </w:rPr>
      </w:pPr>
    </w:p>
    <w:p>
      <w:pPr>
        <w:pStyle w:val="Heading6"/>
        <w:spacing w:line="360" w:lineRule="auto" w:before="129"/>
        <w:ind w:left="382" w:right="999"/>
        <w:jc w:val="both"/>
      </w:pPr>
      <w:r>
        <w:rPr/>
        <w:t>5.1. Identificación y Conformación del Mapa de Actores en la Cuenca Hidrosocial Presa Huapango</w:t>
      </w:r>
    </w:p>
    <w:p>
      <w:pPr>
        <w:pStyle w:val="BodyText"/>
        <w:spacing w:line="360" w:lineRule="auto" w:before="5"/>
        <w:ind w:left="382" w:right="993"/>
        <w:jc w:val="both"/>
      </w:pPr>
      <w:r>
        <w:rPr/>
        <w:t>Históricamente hay actores permanentes (+ de 500 años: agricultores nativos) y otros grupos sociales han surgido en tiempos más recientes (- de 400 años: ganaderos- rancheros, etc). Se identificó que los actores más antiguos (agricultores nativos y rancheros), tienen más relaciones o redes con otros actores (y con el ambiente). Mientras que los actores más recientes, poseen menos relaciones en la red y menos conocimiento ambiental.</w:t>
      </w:r>
    </w:p>
    <w:p>
      <w:pPr>
        <w:pStyle w:val="BodyText"/>
        <w:spacing w:before="5"/>
        <w:rPr>
          <w:sz w:val="24"/>
        </w:rPr>
      </w:pPr>
    </w:p>
    <w:p>
      <w:pPr>
        <w:pStyle w:val="BodyText"/>
        <w:spacing w:line="360" w:lineRule="auto"/>
        <w:ind w:left="382" w:right="995"/>
        <w:jc w:val="both"/>
      </w:pPr>
      <w:r>
        <w:rPr/>
        <w:t>Los actores con continuidad histórica son: campesinos, ejidatarios y rancheros ganaderos, ellos tienen las redes sociales ancestrales en torno al manejo del agua y del riego reforzada con la construcción de la presa Huapango (S. XVIII). Mientras que los actores recientes, ganaderos, industria láctea, etc. tienen sus relaciones en mayor medida con el capital y el Estado.</w:t>
      </w:r>
    </w:p>
    <w:p>
      <w:pPr>
        <w:pStyle w:val="BodyText"/>
        <w:spacing w:before="5"/>
        <w:rPr>
          <w:sz w:val="24"/>
        </w:rPr>
      </w:pPr>
    </w:p>
    <w:p>
      <w:pPr>
        <w:pStyle w:val="Heading6"/>
        <w:ind w:left="2617"/>
      </w:pPr>
      <w:r>
        <w:rPr/>
        <w:t>Esquema 5.1. Mapa de Actores Históricos</w:t>
      </w:r>
    </w:p>
    <w:p>
      <w:pPr>
        <w:pStyle w:val="BodyText"/>
        <w:spacing w:before="3"/>
        <w:rPr>
          <w:b/>
          <w:sz w:val="14"/>
        </w:rPr>
      </w:pPr>
      <w:r>
        <w:rPr/>
        <w:pict>
          <v:group style="position:absolute;margin-left:71.650002pt;margin-top:10.178936pt;width:499.6pt;height:246.2pt;mso-position-horizontal-relative:page;mso-position-vertical-relative:paragraph;z-index:7528;mso-wrap-distance-left:0;mso-wrap-distance-right:0" coordorigin="1433,204" coordsize="9992,4924">
            <v:rect style="position:absolute;left:4075;top:224;width:3097;height:489" filled="false" stroked="true" strokeweight="2pt" strokecolor="#000000"/>
            <v:line style="position:absolute" from="5496,707" to="5496,1158" stroked="true" strokeweight="1.25pt" strokecolor="#000000"/>
            <v:line style="position:absolute" from="4686,1153" to="6275,1155" stroked="true" strokeweight="1.25pt" strokecolor="#000000"/>
            <v:line style="position:absolute" from="4684,1156" to="4684,1607" stroked="true" strokeweight="1.25pt" strokecolor="#000000"/>
            <v:line style="position:absolute" from="6272,1149" to="6272,1600" stroked="true" strokeweight="1.25pt" strokecolor="#000000"/>
            <v:rect style="position:absolute;left:2839;top:1583;width:2539;height:775" filled="true" fillcolor="#ffffff" stroked="false">
              <v:fill type="solid"/>
            </v:rect>
            <v:rect style="position:absolute;left:2839;top:1583;width:2539;height:775" filled="false" stroked="true" strokeweight="2pt" strokecolor="#000000"/>
            <v:rect style="position:absolute;left:5583;top:1583;width:2132;height:778" filled="false" stroked="true" strokeweight="2pt" strokecolor="#000000"/>
            <v:line style="position:absolute" from="4129,2363" to="4129,2797" stroked="true" strokeweight="1.25pt" strokecolor="#000000"/>
            <v:line style="position:absolute" from="2621,2739" to="5377,2739" stroked="true" strokeweight="1.25pt" strokecolor="#000000"/>
            <v:line style="position:absolute" from="6982,2363" to="6982,2773" stroked="true" strokeweight="1.25pt" strokecolor="#000000"/>
            <v:rect style="position:absolute;left:1631;top:3170;width:1533;height:461" filled="false" stroked="true" strokeweight="2pt" strokecolor="#000000"/>
            <v:rect style="position:absolute;left:3233;top:3170;width:1453;height:434" filled="false" stroked="true" strokeweight="2pt" strokecolor="#000000"/>
            <v:rect style="position:absolute;left:4768;top:3197;width:1670;height:434" filled="false" stroked="true" strokeweight="2pt" strokecolor="#000000"/>
            <v:line style="position:absolute" from="2617,2740" to="2617,3191" stroked="true" strokeweight="1.25pt" strokecolor="#000000"/>
            <v:line style="position:absolute" from="5383,2743" to="5383,3194" stroked="true" strokeweight="1.25pt" strokecolor="#000000"/>
            <v:line style="position:absolute" from="4125,2760" to="4125,3211" stroked="true" strokeweight="1.25pt" strokecolor="#000000"/>
            <v:line style="position:absolute" from="5841,2751" to="9834,2778" stroked="true" strokeweight="1.25pt" strokecolor="#000000"/>
            <v:rect style="position:absolute;left:6534;top:3197;width:1453;height:434" filled="false" stroked="true" strokeweight="2pt" strokecolor="#000000"/>
            <v:rect style="position:absolute;left:8055;top:3170;width:1222;height:665" filled="false" stroked="true" strokeweight="2pt" strokecolor="#000000"/>
            <v:rect style="position:absolute;left:9332;top:3183;width:1236;height:448" filled="false" stroked="true" strokeweight="2pt" strokecolor="#000000"/>
            <v:line style="position:absolute" from="9834,2767" to="9834,3190" stroked="true" strokeweight="1.25pt" strokecolor="#000000"/>
            <v:line style="position:absolute" from="6978,2769" to="6978,3220" stroked="true" strokeweight="1.25pt" strokecolor="#000000"/>
            <v:line style="position:absolute" from="8599,2770" to="8599,3193" stroked="true" strokeweight="1.25pt" strokecolor="#000000"/>
            <v:line style="position:absolute" from="5842,2758" to="5842,3209" stroked="true" strokeweight="1.25pt" strokecolor="#000000"/>
            <v:line style="position:absolute" from="2388,3653" to="2388,4104" stroked="true" strokeweight="1.25pt" strokecolor="#000000"/>
            <v:rect style="position:absolute;left:1453;top:4089;width:1643;height:1018" filled="true" fillcolor="#7e7e7e" stroked="false">
              <v:fill type="solid"/>
            </v:rect>
            <v:rect style="position:absolute;left:1453;top:4089;width:1643;height:1018" filled="false" stroked="true" strokeweight="2pt" strokecolor="#000000"/>
            <v:line style="position:absolute" from="7160,3634" to="7160,3953" stroked="true" strokeweight="1.25pt" strokecolor="#000000"/>
            <v:line style="position:absolute" from="5583,3659" to="5583,4028" stroked="true" strokeweight="1.25pt" strokecolor="#000000"/>
            <v:line style="position:absolute" from="3948,3597" to="3948,4008" stroked="true" strokeweight="1.25pt" strokecolor="#000000"/>
            <v:line style="position:absolute" from="8816,3830" to="8816,4100" stroked="true" strokeweight="1.25pt" strokecolor="#000000"/>
            <v:line style="position:absolute" from="10303,3644" to="10303,4095" stroked="true" strokeweight="1.25pt" strokecolor="#000000"/>
            <v:rect style="position:absolute;left:3165;top:4008;width:1603;height:410" filled="false" stroked="true" strokeweight="2pt" strokecolor="#000000"/>
            <v:rect style="position:absolute;left:4904;top:4021;width:1534;height:410" filled="false" stroked="true" strokeweight="2pt" strokecolor="#000000"/>
            <v:rect style="position:absolute;left:6534;top:3953;width:1698;height:815" filled="false" stroked="true" strokeweight="2pt" strokecolor="#000000"/>
            <v:rect style="position:absolute;left:8341;top:4103;width:1562;height:448" filled="false" stroked="true" strokeweight="2pt" strokecolor="#000000"/>
            <v:rect style="position:absolute;left:9993;top:4078;width:1412;height:525" filled="false" stroked="true" strokeweight="2pt" strokecolor="#000000"/>
            <v:line style="position:absolute" from="3953,4424" to="3953,5039" stroked="true" strokeweight="2pt" strokecolor="#000000">
              <v:stroke dashstyle="longDash"/>
            </v:line>
            <v:line style="position:absolute" from="5568,4411" to="5568,5022" stroked="true" strokeweight="2pt" strokecolor="#000000">
              <v:stroke dashstyle="longDash"/>
            </v:line>
            <v:line style="position:absolute" from="7391,4775" to="7391,5037" stroked="true" strokeweight="2pt" strokecolor="#000000">
              <v:stroke dashstyle="longDash"/>
            </v:line>
            <v:line style="position:absolute" from="9142,4578" to="9142,5026" stroked="true" strokeweight="2pt" strokecolor="#000000">
              <v:stroke dashstyle="longDash"/>
            </v:line>
            <v:line style="position:absolute" from="10564,4579" to="10564,5055" stroked="true" strokeweight="2pt" strokecolor="#000000">
              <v:stroke dashstyle="longDash"/>
            </v:line>
            <v:shape style="position:absolute;left:3157;top:4934;width:7411;height:186" coordorigin="3157,4934" coordsize="7411,186" path="m10568,5007l10448,5007,10448,5047,10568,5047,10568,5007xm10408,5007l10288,5007,10288,5047,10408,5047,10408,5007xm10248,5007l10128,5007,10128,5047,10248,5047,10248,5007xm10088,5007l9968,5007,9968,5047,10088,5047,10088,5007xm9928,5007l9808,5007,9808,5047,9928,5047,9928,5007xm9768,5007l9648,5007,9648,5047,9768,5047,9768,5007xm9608,5007l9488,5007,9488,5047,9608,5047,9608,5007xm9448,5007l9328,5007,9328,5047,9448,5047,9448,5007xm9288,5007l9168,5007,9168,5047,9288,5047,9288,5007xm9128,5007l9008,5007,9008,5047,9128,5047,9128,5007xm8968,5007l8848,5007,8848,5047,8968,5047,8968,5007xm8808,5007l8688,5007,8688,5047,8808,5047,8808,5007xm8648,5007l8528,5007,8528,5047,8648,5047,8648,5007xm8488,5007l8368,5007,8368,5047,8488,5047,8488,5007xm8328,5007l8208,5007,8208,5047,8328,5047,8328,5007xm8168,5007l8048,5007,8048,5047,8168,5047,8168,5007xm8008,5007l7888,5007,7888,5047,8008,5047,8008,5007xm7848,5007l7728,5007,7728,5047,7848,5047,7848,5007xm7688,5007l7568,5007,7568,5047,7688,5047,7688,5007xm7528,5007l7408,5007,7408,5047,7528,5047,7528,5007xm7368,5007l7248,5007,7248,5047,7368,5047,7368,5007xm7208,5007l7088,5007,7088,5047,7208,5047,7208,5007xm7048,5007l6928,5007,6928,5047,7048,5047,7048,5007xm6888,5007l6768,5007,6768,5047,6888,5047,6888,5007xm6728,5007l6608,5007,6608,5047,6728,5047,6728,5007xm6568,5007l6448,5007,6448,5047,6568,5047,6568,5007xm6408,5007l6288,5007,6288,5047,6408,5047,6408,5007xm6248,5007l6128,5007,6128,5047,6248,5047,6248,5007xm6088,5007l5968,5007,5968,5047,6088,5047,6088,5007xm5928,5007l5808,5007,5808,5047,5928,5047,5928,5007xm5768,5007l5648,5007,5648,5047,5768,5047,5768,5007xm5608,5007l5488,5007,5488,5047,5608,5047,5608,5007xm5448,5007l5328,5007,5328,5047,5448,5047,5448,5007xm5288,5007l5168,5007,5168,5047,5288,5047,5288,5007xm5128,5007l5008,5007,5008,5047,5128,5047,5128,5007xm4968,5007l4848,5007,4848,5047,4968,5047,4968,5007xm4808,5007l4688,5007,4688,5047,4808,5047,4808,5007xm4648,5007l4528,5007,4528,5047,4648,5047,4648,5007xm4488,5007l4368,5007,4368,5047,4488,5047,4488,5007xm4328,5007l4208,5007,4208,5047,4328,5047,4328,5007xm4168,5007l4048,5007,4048,5047,4168,5047,4168,5007xm4008,5007l3888,5007,3888,5047,4008,5047,4008,5007xm3848,5007l3728,5007,3728,5047,3848,5047,3848,5007xm3688,5007l3568,5007,3568,5047,3688,5047,3688,5007xm3528,5007l3408,5007,3408,5047,3528,5047,3528,5007xm3316,4934l3157,5027,3316,5120,3328,5116,3334,5107,3339,5097,3336,5085,3270,5047,3196,5047,3196,5007,3271,5007,3336,4968,3339,4956,3334,4947,3328,4937,3316,4934xm3208,5007l3196,5007,3196,5047,3208,5047,3208,5044,3207,5044,3207,5009,3208,5009,3208,5007xm3236,5027l3208,5043,3208,5047,3248,5047,3248,5034,3236,5027xm3248,5034l3248,5047,3270,5047,3248,5034xm3368,5007l3271,5007,3248,5020,3248,5034,3270,5047,3368,5047,3368,5007xm3207,5009l3207,5044,3208,5043,3208,5010,3207,5009xm3208,5043l3207,5044,3208,5044,3208,5043xm3208,5010l3208,5043,3236,5027,3208,5010xm3248,5007l3208,5007,3208,5010,3236,5027,3248,5020,3248,5007xm3271,5007l3248,5007,3248,5020,3271,5007xm3208,5009l3207,5009,3208,5010,3208,5009xe" filled="true" fillcolor="#000000" stroked="false">
              <v:path arrowok="t"/>
              <v:fill type="solid"/>
            </v:shape>
            <v:shape style="position:absolute;left:4101;top:224;width:3065;height:489" type="#_x0000_t202" filled="false" stroked="false">
              <v:textbox inset="0,0,0,0">
                <w:txbxContent>
                  <w:p>
                    <w:pPr>
                      <w:spacing w:before="91"/>
                      <w:ind w:left="265" w:right="0" w:firstLine="0"/>
                      <w:jc w:val="left"/>
                      <w:rPr>
                        <w:rFonts w:ascii="Times New Roman" w:hAnsi="Times New Roman"/>
                        <w:b/>
                        <w:sz w:val="22"/>
                      </w:rPr>
                    </w:pPr>
                    <w:r>
                      <w:rPr>
                        <w:rFonts w:ascii="Times New Roman" w:hAnsi="Times New Roman"/>
                        <w:b/>
                        <w:sz w:val="22"/>
                      </w:rPr>
                      <w:t>ACTORES HISTÓRICOS</w:t>
                    </w:r>
                  </w:p>
                </w:txbxContent>
              </v:textbox>
              <w10:wrap type="none"/>
            </v:shape>
            <v:shape style="position:absolute;left:2839;top:1583;width:2542;height:777" type="#_x0000_t202" filled="false" stroked="false">
              <v:textbox inset="0,0,0,0">
                <w:txbxContent>
                  <w:p>
                    <w:pPr>
                      <w:spacing w:before="92"/>
                      <w:ind w:left="154" w:right="159" w:firstLine="0"/>
                      <w:jc w:val="center"/>
                      <w:rPr>
                        <w:rFonts w:ascii="Times New Roman"/>
                        <w:b/>
                        <w:sz w:val="22"/>
                      </w:rPr>
                    </w:pPr>
                    <w:r>
                      <w:rPr>
                        <w:rFonts w:ascii="Times New Roman"/>
                        <w:b/>
                        <w:sz w:val="22"/>
                      </w:rPr>
                      <w:t>DE ORIGEN NATIVO</w:t>
                    </w:r>
                  </w:p>
                  <w:p>
                    <w:pPr>
                      <w:spacing w:before="42"/>
                      <w:ind w:left="154" w:right="156" w:firstLine="0"/>
                      <w:jc w:val="center"/>
                      <w:rPr>
                        <w:rFonts w:ascii="Times New Roman" w:hAnsi="Times New Roman"/>
                        <w:b/>
                        <w:sz w:val="22"/>
                      </w:rPr>
                    </w:pPr>
                    <w:r>
                      <w:rPr>
                        <w:rFonts w:ascii="Times New Roman" w:hAnsi="Times New Roman"/>
                        <w:b/>
                        <w:sz w:val="22"/>
                      </w:rPr>
                      <w:t>(+500 años)</w:t>
                    </w:r>
                  </w:p>
                </w:txbxContent>
              </v:textbox>
              <w10:wrap type="none"/>
            </v:shape>
            <v:shape style="position:absolute;left:5558;top:1583;width:2158;height:777" type="#_x0000_t202" filled="false" stroked="false">
              <v:textbox inset="0,0,0,0">
                <w:txbxContent>
                  <w:p>
                    <w:pPr>
                      <w:spacing w:before="92"/>
                      <w:ind w:left="370" w:right="341" w:firstLine="0"/>
                      <w:jc w:val="center"/>
                      <w:rPr>
                        <w:rFonts w:ascii="Times New Roman"/>
                        <w:b/>
                        <w:sz w:val="22"/>
                      </w:rPr>
                    </w:pPr>
                    <w:r>
                      <w:rPr>
                        <w:rFonts w:ascii="Times New Roman"/>
                        <w:b/>
                        <w:sz w:val="22"/>
                      </w:rPr>
                      <w:t>RANCHEROS</w:t>
                    </w:r>
                  </w:p>
                  <w:p>
                    <w:pPr>
                      <w:spacing w:before="42"/>
                      <w:ind w:left="370" w:right="338" w:firstLine="0"/>
                      <w:jc w:val="center"/>
                      <w:rPr>
                        <w:rFonts w:ascii="Times New Roman" w:hAnsi="Times New Roman"/>
                        <w:b/>
                        <w:sz w:val="22"/>
                      </w:rPr>
                    </w:pPr>
                    <w:r>
                      <w:rPr>
                        <w:rFonts w:ascii="Times New Roman" w:hAnsi="Times New Roman"/>
                        <w:b/>
                        <w:sz w:val="22"/>
                      </w:rPr>
                      <w:t>(+400 años)</w:t>
                    </w:r>
                  </w:p>
                </w:txbxContent>
              </v:textbox>
              <w10:wrap type="none"/>
            </v:shape>
            <v:shape style="position:absolute;left:1631;top:3176;width:1511;height:448" type="#_x0000_t202" filled="false" stroked="false">
              <v:textbox inset="0,0,0,0">
                <w:txbxContent>
                  <w:p>
                    <w:pPr>
                      <w:spacing w:before="85"/>
                      <w:ind w:left="179" w:right="0" w:firstLine="0"/>
                      <w:jc w:val="left"/>
                      <w:rPr>
                        <w:rFonts w:ascii="Times New Roman"/>
                        <w:b/>
                        <w:sz w:val="22"/>
                      </w:rPr>
                    </w:pPr>
                    <w:r>
                      <w:rPr>
                        <w:rFonts w:ascii="Times New Roman"/>
                        <w:b/>
                        <w:sz w:val="22"/>
                      </w:rPr>
                      <w:t>Agricultores</w:t>
                    </w:r>
                  </w:p>
                </w:txbxContent>
              </v:textbox>
              <w10:wrap type="none"/>
            </v:shape>
            <v:shape style="position:absolute;left:3233;top:3176;width:1494;height:448" type="#_x0000_t202" filled="false" stroked="false">
              <v:textbox inset="0,0,0,0">
                <w:txbxContent>
                  <w:p>
                    <w:pPr>
                      <w:spacing w:before="85"/>
                      <w:ind w:left="206" w:right="0" w:firstLine="0"/>
                      <w:jc w:val="left"/>
                      <w:rPr>
                        <w:rFonts w:ascii="Times New Roman"/>
                        <w:b/>
                        <w:sz w:val="22"/>
                      </w:rPr>
                    </w:pPr>
                    <w:r>
                      <w:rPr>
                        <w:rFonts w:ascii="Times New Roman"/>
                        <w:b/>
                        <w:sz w:val="22"/>
                      </w:rPr>
                      <w:t>Pescadores</w:t>
                    </w:r>
                  </w:p>
                </w:txbxContent>
              </v:textbox>
              <w10:wrap type="none"/>
            </v:shape>
            <v:shape style="position:absolute;left:4727;top:3176;width:1712;height:448" type="#_x0000_t202" filled="false" stroked="false">
              <v:textbox inset="0,0,0,0">
                <w:txbxContent>
                  <w:p>
                    <w:pPr>
                      <w:spacing w:before="114"/>
                      <w:ind w:left="228" w:right="0" w:firstLine="0"/>
                      <w:jc w:val="left"/>
                      <w:rPr>
                        <w:rFonts w:ascii="Times New Roman"/>
                        <w:b/>
                        <w:sz w:val="22"/>
                      </w:rPr>
                    </w:pPr>
                    <w:r>
                      <w:rPr>
                        <w:rFonts w:ascii="Times New Roman"/>
                        <w:b/>
                        <w:sz w:val="22"/>
                      </w:rPr>
                      <w:t>Comerciantes</w:t>
                    </w:r>
                  </w:p>
                </w:txbxContent>
              </v:textbox>
              <w10:wrap type="none"/>
            </v:shape>
            <v:shape style="position:absolute;left:6534;top:3176;width:1487;height:448" type="#_x0000_t202" filled="false" stroked="false">
              <v:textbox inset="0,0,0,0">
                <w:txbxContent>
                  <w:p>
                    <w:pPr>
                      <w:spacing w:before="114"/>
                      <w:ind w:left="213" w:right="0" w:firstLine="0"/>
                      <w:jc w:val="left"/>
                      <w:rPr>
                        <w:rFonts w:ascii="Times New Roman"/>
                        <w:b/>
                        <w:sz w:val="22"/>
                      </w:rPr>
                    </w:pPr>
                    <w:r>
                      <w:rPr>
                        <w:rFonts w:ascii="Times New Roman"/>
                        <w:b/>
                        <w:sz w:val="22"/>
                      </w:rPr>
                      <w:t>Ganaderos</w:t>
                    </w:r>
                  </w:p>
                </w:txbxContent>
              </v:textbox>
              <w10:wrap type="none"/>
            </v:shape>
            <v:shape style="position:absolute;left:9305;top:3176;width:1262;height:448" type="#_x0000_t202" filled="false" stroked="false">
              <v:textbox inset="0,0,0,0">
                <w:txbxContent>
                  <w:p>
                    <w:pPr>
                      <w:spacing w:before="100"/>
                      <w:ind w:left="244" w:right="0" w:firstLine="0"/>
                      <w:jc w:val="left"/>
                      <w:rPr>
                        <w:rFonts w:ascii="Times New Roman"/>
                        <w:b/>
                        <w:sz w:val="22"/>
                      </w:rPr>
                    </w:pPr>
                    <w:r>
                      <w:rPr>
                        <w:rFonts w:ascii="Times New Roman"/>
                        <w:b/>
                        <w:sz w:val="22"/>
                      </w:rPr>
                      <w:t>Turismo</w:t>
                    </w:r>
                  </w:p>
                </w:txbxContent>
              </v:textbox>
              <w10:wrap type="none"/>
            </v:shape>
            <v:shape style="position:absolute;left:3142;top:3987;width:1585;height:438" type="#_x0000_t202" filled="false" stroked="false">
              <v:textbox inset="0,0,0,0">
                <w:txbxContent>
                  <w:p>
                    <w:pPr>
                      <w:spacing w:before="113"/>
                      <w:ind w:left="201" w:right="0" w:firstLine="0"/>
                      <w:jc w:val="left"/>
                      <w:rPr>
                        <w:rFonts w:ascii="Times New Roman"/>
                        <w:b/>
                        <w:sz w:val="22"/>
                      </w:rPr>
                    </w:pPr>
                    <w:r>
                      <w:rPr>
                        <w:rFonts w:ascii="Times New Roman"/>
                        <w:b/>
                        <w:sz w:val="22"/>
                      </w:rPr>
                      <w:t>Cooperativas</w:t>
                    </w:r>
                  </w:p>
                </w:txbxContent>
              </v:textbox>
              <w10:wrap type="none"/>
            </v:shape>
            <v:shape style="position:absolute;left:4904;top:3987;width:1534;height:438" type="#_x0000_t202" filled="false" stroked="false">
              <v:textbox inset="0,0,0,0">
                <w:txbxContent>
                  <w:p>
                    <w:pPr>
                      <w:spacing w:before="127"/>
                      <w:ind w:left="170" w:right="0" w:firstLine="0"/>
                      <w:jc w:val="left"/>
                      <w:rPr>
                        <w:rFonts w:ascii="Times New Roman"/>
                        <w:b/>
                        <w:sz w:val="22"/>
                      </w:rPr>
                    </w:pPr>
                    <w:r>
                      <w:rPr>
                        <w:rFonts w:ascii="Times New Roman"/>
                        <w:b/>
                        <w:sz w:val="22"/>
                      </w:rPr>
                      <w:t>Asociaciones</w:t>
                    </w:r>
                  </w:p>
                </w:txbxContent>
              </v:textbox>
              <w10:wrap type="none"/>
            </v:shape>
            <v:shape style="position:absolute;left:6534;top:3987;width:1698;height:781" type="#_x0000_t202" filled="false" stroked="false">
              <v:textbox inset="0,0,0,0">
                <w:txbxContent>
                  <w:p>
                    <w:pPr>
                      <w:spacing w:line="276" w:lineRule="auto" w:before="60"/>
                      <w:ind w:left="168" w:right="147" w:firstLine="57"/>
                      <w:jc w:val="left"/>
                      <w:rPr>
                        <w:rFonts w:ascii="Times New Roman"/>
                        <w:b/>
                        <w:sz w:val="22"/>
                      </w:rPr>
                    </w:pPr>
                    <w:r>
                      <w:rPr>
                        <w:rFonts w:ascii="Times New Roman"/>
                        <w:b/>
                        <w:sz w:val="22"/>
                      </w:rPr>
                      <w:t>Cooperativas y Asociaciones</w:t>
                    </w:r>
                  </w:p>
                </w:txbxContent>
              </v:textbox>
              <w10:wrap type="none"/>
            </v:shape>
            <v:shape style="position:absolute;left:9993;top:3987;width:1412;height:590" type="#_x0000_t202" filled="false" stroked="false">
              <v:textbox inset="0,0,0,0">
                <w:txbxContent>
                  <w:p>
                    <w:pPr>
                      <w:spacing w:before="185"/>
                      <w:ind w:left="199" w:right="0" w:firstLine="0"/>
                      <w:jc w:val="left"/>
                      <w:rPr>
                        <w:rFonts w:ascii="Times New Roman" w:hAnsi="Times New Roman"/>
                        <w:b/>
                        <w:sz w:val="22"/>
                      </w:rPr>
                    </w:pPr>
                    <w:r>
                      <w:rPr>
                        <w:rFonts w:ascii="Times New Roman" w:hAnsi="Times New Roman"/>
                        <w:b/>
                        <w:sz w:val="22"/>
                      </w:rPr>
                      <w:t>Asociación</w:t>
                    </w:r>
                  </w:p>
                </w:txbxContent>
              </v:textbox>
              <w10:wrap type="none"/>
            </v:shape>
            <v:shape style="position:absolute;left:8226;top:3290;width:883;height:476" type="#_x0000_t202" filled="false" stroked="false">
              <v:textbox inset="0,0,0,0">
                <w:txbxContent>
                  <w:p>
                    <w:pPr>
                      <w:spacing w:line="225" w:lineRule="exact" w:before="0"/>
                      <w:ind w:left="-1" w:right="0" w:firstLine="0"/>
                      <w:jc w:val="center"/>
                      <w:rPr>
                        <w:rFonts w:ascii="Times New Roman"/>
                        <w:b/>
                        <w:sz w:val="22"/>
                      </w:rPr>
                    </w:pPr>
                    <w:r>
                      <w:rPr>
                        <w:rFonts w:ascii="Times New Roman"/>
                        <w:b/>
                        <w:spacing w:val="-1"/>
                        <w:sz w:val="22"/>
                      </w:rPr>
                      <w:t>Industria</w:t>
                    </w:r>
                  </w:p>
                  <w:p>
                    <w:pPr>
                      <w:spacing w:line="249" w:lineRule="exact" w:before="1"/>
                      <w:ind w:left="0" w:right="0" w:firstLine="0"/>
                      <w:jc w:val="center"/>
                      <w:rPr>
                        <w:rFonts w:ascii="Times New Roman" w:hAnsi="Times New Roman"/>
                        <w:b/>
                        <w:sz w:val="22"/>
                      </w:rPr>
                    </w:pPr>
                    <w:r>
                      <w:rPr>
                        <w:rFonts w:ascii="Times New Roman" w:hAnsi="Times New Roman"/>
                        <w:b/>
                        <w:sz w:val="22"/>
                      </w:rPr>
                      <w:t>Láctea</w:t>
                    </w:r>
                  </w:p>
                </w:txbxContent>
              </v:textbox>
              <w10:wrap type="none"/>
            </v:shape>
            <v:shape style="position:absolute;left:1620;top:4213;width:1311;height:557" type="#_x0000_t202" filled="false" stroked="false">
              <v:textbox inset="0,0,0,0">
                <w:txbxContent>
                  <w:p>
                    <w:pPr>
                      <w:spacing w:line="245" w:lineRule="exact" w:before="0"/>
                      <w:ind w:left="81" w:right="-17" w:hanging="82"/>
                      <w:jc w:val="left"/>
                      <w:rPr>
                        <w:rFonts w:ascii="Times New Roman"/>
                        <w:b/>
                        <w:sz w:val="24"/>
                      </w:rPr>
                    </w:pPr>
                    <w:r>
                      <w:rPr>
                        <w:rFonts w:ascii="Times New Roman"/>
                        <w:b/>
                        <w:sz w:val="24"/>
                      </w:rPr>
                      <w:t>Asamblea</w:t>
                    </w:r>
                    <w:r>
                      <w:rPr>
                        <w:rFonts w:ascii="Times New Roman"/>
                        <w:b/>
                        <w:spacing w:val="-5"/>
                        <w:sz w:val="24"/>
                      </w:rPr>
                      <w:t> </w:t>
                    </w:r>
                    <w:r>
                      <w:rPr>
                        <w:rFonts w:ascii="Times New Roman"/>
                        <w:b/>
                        <w:sz w:val="24"/>
                      </w:rPr>
                      <w:t>de</w:t>
                    </w:r>
                  </w:p>
                  <w:p>
                    <w:pPr>
                      <w:spacing w:line="271" w:lineRule="exact" w:before="41"/>
                      <w:ind w:left="81" w:right="-17" w:firstLine="0"/>
                      <w:jc w:val="left"/>
                      <w:rPr>
                        <w:rFonts w:ascii="Times New Roman"/>
                        <w:b/>
                        <w:sz w:val="24"/>
                      </w:rPr>
                    </w:pPr>
                    <w:r>
                      <w:rPr>
                        <w:rFonts w:ascii="Times New Roman"/>
                        <w:b/>
                        <w:sz w:val="24"/>
                      </w:rPr>
                      <w:t>Ejidatarios</w:t>
                    </w:r>
                  </w:p>
                </w:txbxContent>
              </v:textbox>
              <w10:wrap type="none"/>
            </v:shape>
            <v:shape style="position:absolute;left:8524;top:4224;width:1199;height:221" type="#_x0000_t202" filled="false" stroked="false">
              <v:textbox inset="0,0,0,0">
                <w:txbxContent>
                  <w:p>
                    <w:pPr>
                      <w:spacing w:line="221" w:lineRule="exact" w:before="0"/>
                      <w:ind w:left="0" w:right="-19" w:firstLine="0"/>
                      <w:jc w:val="left"/>
                      <w:rPr>
                        <w:rFonts w:ascii="Times New Roman"/>
                        <w:b/>
                        <w:sz w:val="22"/>
                      </w:rPr>
                    </w:pPr>
                    <w:r>
                      <w:rPr>
                        <w:rFonts w:ascii="Times New Roman"/>
                        <w:b/>
                        <w:sz w:val="22"/>
                      </w:rPr>
                      <w:t>Asociaciones</w:t>
                    </w:r>
                  </w:p>
                </w:txbxContent>
              </v:textbox>
              <w10:wrap type="none"/>
            </v:shape>
            <w10:wrap type="topAndBottom"/>
          </v:group>
        </w:pict>
      </w:r>
    </w:p>
    <w:p>
      <w:pPr>
        <w:spacing w:after="0"/>
        <w:rPr>
          <w:sz w:val="14"/>
        </w:rPr>
        <w:sectPr>
          <w:pgSz w:w="12240" w:h="15840"/>
          <w:pgMar w:header="0" w:footer="1003" w:top="1360" w:bottom="1200" w:left="1320" w:right="700"/>
        </w:sectPr>
      </w:pPr>
    </w:p>
    <w:p>
      <w:pPr>
        <w:pStyle w:val="BodyText"/>
        <w:spacing w:line="362" w:lineRule="auto" w:before="53"/>
        <w:ind w:left="102" w:right="119" w:firstLine="60"/>
        <w:jc w:val="both"/>
      </w:pPr>
      <w:r>
        <w:rPr>
          <w:b/>
        </w:rPr>
        <w:t>Fuente: </w:t>
      </w:r>
      <w:r>
        <w:rPr/>
        <w:t>Elaboración propia con base en la revisión bibliográfica y el Trabajo de Campo, García (2013-2015).</w:t>
      </w:r>
    </w:p>
    <w:p>
      <w:pPr>
        <w:pStyle w:val="BodyText"/>
        <w:spacing w:line="360" w:lineRule="auto" w:before="1"/>
        <w:ind w:left="102" w:right="117"/>
        <w:jc w:val="both"/>
      </w:pPr>
      <w:r>
        <w:rPr/>
        <w:t>En el mapa anterior de actores históricos, El Ejido se identifica como el mecanismo institucional con mayores relaciones con la Cuenca Hidrosocial Presa Huapango y con mayores redes sociales.</w:t>
      </w:r>
    </w:p>
    <w:p>
      <w:pPr>
        <w:pStyle w:val="BodyText"/>
        <w:spacing w:before="5"/>
        <w:rPr>
          <w:sz w:val="24"/>
        </w:rPr>
      </w:pPr>
    </w:p>
    <w:p>
      <w:pPr>
        <w:pStyle w:val="BodyText"/>
        <w:spacing w:line="360" w:lineRule="auto"/>
        <w:ind w:left="102" w:right="119"/>
        <w:jc w:val="both"/>
      </w:pPr>
      <w:r>
        <w:rPr/>
        <w:t>Los ejidatarios de la cuenca hidrosocial fueron dotados de tierra cuando se fraccionó la Hacienda Arroyo Zarco a partir de 1920 (municipio de Aculco); ellos tienen múltiples trabajos o </w:t>
      </w:r>
      <w:r>
        <w:rPr>
          <w:b/>
        </w:rPr>
        <w:t>funciones</w:t>
      </w:r>
      <w:r>
        <w:rPr/>
        <w:t>: agricultores, ganaderos, pescadores, comerciantes, turismo e industria láctea en pequeña escala. La máxima autoridad dentro de El Ejido es la </w:t>
      </w:r>
      <w:r>
        <w:rPr>
          <w:i/>
        </w:rPr>
        <w:t>Asamblea General</w:t>
      </w:r>
      <w:r>
        <w:rPr/>
        <w:t>, que agrupa principalmente a los agricultores donde los ejidatarios están facultados por la ley para asociarse en cooperativas o asociaciones que compartan una misma actividad o un mismo interés.</w:t>
      </w:r>
    </w:p>
    <w:p>
      <w:pPr>
        <w:pStyle w:val="BodyText"/>
        <w:spacing w:before="10"/>
        <w:rPr>
          <w:sz w:val="24"/>
        </w:rPr>
      </w:pPr>
    </w:p>
    <w:p>
      <w:pPr>
        <w:pStyle w:val="BodyText"/>
        <w:spacing w:line="360" w:lineRule="auto"/>
        <w:ind w:left="102" w:right="116"/>
        <w:jc w:val="both"/>
      </w:pPr>
      <w:r>
        <w:rPr/>
        <w:t>Los ejidatarios se relacionan entre ellos a través de los trabajos multifacéticos que realizan a lo largo del año, ya que sus actividades están en función de la temporada (lluvia-sequía) y de la disponibilidad de recursos financieros y de mano de obra para hacerlo. Por ejemplo, en los tres primeros meses del año se dedican a preparar la tierra para sembrar, fungiendo aquí como agricultores, pero al mismo tiempo tienen ganado,  que los convierte en ganaderos, pero además en Semana Santa, se dedican a la pesca  de temporada, que les permite introducir éste recurso al mercado regional, convirtiéndose así en</w:t>
      </w:r>
      <w:r>
        <w:rPr>
          <w:spacing w:val="-4"/>
        </w:rPr>
        <w:t> </w:t>
      </w:r>
      <w:r>
        <w:rPr/>
        <w:t>comerciantes.</w:t>
      </w:r>
    </w:p>
    <w:p>
      <w:pPr>
        <w:pStyle w:val="BodyText"/>
        <w:spacing w:before="8"/>
        <w:rPr>
          <w:sz w:val="24"/>
        </w:rPr>
      </w:pPr>
    </w:p>
    <w:p>
      <w:pPr>
        <w:pStyle w:val="BodyText"/>
        <w:spacing w:line="360" w:lineRule="auto"/>
        <w:ind w:left="102" w:right="116"/>
        <w:jc w:val="both"/>
      </w:pPr>
      <w:r>
        <w:rPr/>
        <w:t>En este sentido, cuando surge el </w:t>
      </w:r>
      <w:r>
        <w:rPr>
          <w:b/>
        </w:rPr>
        <w:t>Municipio </w:t>
      </w:r>
      <w:r>
        <w:rPr/>
        <w:t>en el siglo XIX con los principios de </w:t>
      </w:r>
      <w:r>
        <w:rPr>
          <w:i/>
        </w:rPr>
        <w:t>independencia y autonomía</w:t>
      </w:r>
      <w:r>
        <w:rPr/>
        <w:t>, aparecen los municipios de la cuenca hidrosocial presa Huapango, que de acuerdo con la fracción I, del artículo 115 de la Constitución Política de los Estados Unidos Mexicanos:</w:t>
      </w:r>
    </w:p>
    <w:p>
      <w:pPr>
        <w:pStyle w:val="BodyText"/>
        <w:spacing w:before="11"/>
        <w:rPr>
          <w:sz w:val="24"/>
        </w:rPr>
      </w:pPr>
    </w:p>
    <w:p>
      <w:pPr>
        <w:pStyle w:val="BodyText"/>
        <w:spacing w:line="360" w:lineRule="auto"/>
        <w:ind w:left="954" w:right="118"/>
        <w:jc w:val="both"/>
      </w:pPr>
      <w:r>
        <w:rPr/>
        <w:t>Cada Municipio será gobernado por un Ayuntamiento de elección popular directa, integrado por un Presidente Municipal y el número de regidores y síndicos que la ley determine. La competencia que esta Constitución otorga al gobierno  municipal se ejercerá por el Ayuntamiento de manera exclusiva y no habrá autoridad intermedia alguna entre éste y el gobierno del</w:t>
      </w:r>
      <w:r>
        <w:rPr>
          <w:spacing w:val="-16"/>
        </w:rPr>
        <w:t> </w:t>
      </w:r>
      <w:r>
        <w:rPr/>
        <w:t>Estado.</w:t>
      </w:r>
    </w:p>
    <w:p>
      <w:pPr>
        <w:spacing w:after="0" w:line="360" w:lineRule="auto"/>
        <w:jc w:val="both"/>
        <w:sectPr>
          <w:pgSz w:w="12240" w:h="15840"/>
          <w:pgMar w:header="0" w:footer="1003" w:top="1360" w:bottom="1200" w:left="1600" w:right="1580"/>
        </w:sectPr>
      </w:pPr>
    </w:p>
    <w:p>
      <w:pPr>
        <w:pStyle w:val="BodyText"/>
        <w:spacing w:line="360" w:lineRule="auto" w:before="56"/>
        <w:ind w:left="102" w:right="116"/>
        <w:jc w:val="both"/>
      </w:pPr>
      <w:r>
        <w:rPr/>
        <w:t>Al Ayuntamiento también se le conoce como Cabildo. En términos políticos, el Ayuntamiento es un órgano de representación y gobierno, para lo cual tiene investidura legal y autoridad pública para ejercer actos gubernativos y administrativos que ejercen diferentes funciones y trabajan a partir del análisis, dictamen y votación de asuntos mediante el principio de mayoría.</w:t>
      </w:r>
    </w:p>
    <w:p>
      <w:pPr>
        <w:pStyle w:val="BodyText"/>
        <w:spacing w:before="10"/>
        <w:rPr>
          <w:sz w:val="24"/>
        </w:rPr>
      </w:pPr>
    </w:p>
    <w:p>
      <w:pPr>
        <w:pStyle w:val="BodyText"/>
        <w:spacing w:line="360" w:lineRule="auto"/>
        <w:ind w:left="102" w:right="117"/>
        <w:jc w:val="both"/>
      </w:pPr>
      <w:r>
        <w:rPr/>
        <w:t>Uno de los fundamentos básicos del gobierno que ejercen los ayuntamientos es el carácter deliberativo de su cabildo, en virtud de que sus asuntos son sometidos a un procedimiento de análisis, discusión y formación de consensos para, una vez deliberados y desahogados todos los puntos de vista de los munícipes, sea votado por ellos mismos y se conviertan en la voluntad del gobierno</w:t>
      </w:r>
      <w:r>
        <w:rPr>
          <w:spacing w:val="-16"/>
        </w:rPr>
        <w:t> </w:t>
      </w:r>
      <w:r>
        <w:rPr/>
        <w:t>municipal.</w:t>
      </w:r>
    </w:p>
    <w:p>
      <w:pPr>
        <w:pStyle w:val="BodyText"/>
        <w:spacing w:before="8"/>
        <w:rPr>
          <w:sz w:val="24"/>
        </w:rPr>
      </w:pPr>
    </w:p>
    <w:p>
      <w:pPr>
        <w:pStyle w:val="BodyText"/>
        <w:spacing w:line="360" w:lineRule="auto"/>
        <w:ind w:left="102" w:right="116"/>
        <w:jc w:val="both"/>
      </w:pPr>
      <w:r>
        <w:rPr/>
        <w:t>En los ayuntamientos se organiza y divide el trabajo de análisis, valoración y dictamen de asuntos, según su naturaleza, por comisiones permanentes y especiales, estas comisiones son órganos de vigilancia, dictamen y representación del Ayuntamiento en las diferentes ramas del gobierno y la administración</w:t>
      </w:r>
      <w:r>
        <w:rPr>
          <w:spacing w:val="-23"/>
        </w:rPr>
        <w:t> </w:t>
      </w:r>
      <w:r>
        <w:rPr/>
        <w:t>municipal.</w:t>
      </w:r>
    </w:p>
    <w:p>
      <w:pPr>
        <w:pStyle w:val="BodyText"/>
        <w:spacing w:before="8"/>
        <w:rPr>
          <w:sz w:val="24"/>
        </w:rPr>
      </w:pPr>
    </w:p>
    <w:p>
      <w:pPr>
        <w:pStyle w:val="BodyText"/>
        <w:spacing w:line="360" w:lineRule="auto"/>
        <w:ind w:left="102" w:right="112"/>
        <w:jc w:val="both"/>
      </w:pPr>
      <w:r>
        <w:rPr/>
        <w:t>Para el caso de la cuenca hidrosocial presa Huapango, las comisiones permanentes para los regidores en cada uno de los municipios que la integran tiene una estructura orgánica diferente, ya que las comisiones y responsabilidades de los regidores respecto al agua y medio ambiente, son distintas en cada uno de los municipios, además en el caso de Acambay, Aculco y Jilotepec, se auxilian de direcciones que tienen que ver con el medio ambiente, como se aprecia en el siguiente mapa de actores municipales.</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4"/>
        <w:rPr>
          <w:sz w:val="23"/>
        </w:rPr>
      </w:pPr>
    </w:p>
    <w:p>
      <w:pPr>
        <w:pStyle w:val="Heading6"/>
        <w:spacing w:before="73"/>
        <w:ind w:left="1085"/>
      </w:pPr>
      <w:r>
        <w:rPr/>
        <w:t>Esquema 5.2. Mapa de Actores Municipales (agua y medio ambiente)</w:t>
      </w:r>
    </w:p>
    <w:p>
      <w:pPr>
        <w:pStyle w:val="BodyText"/>
        <w:spacing w:before="7"/>
        <w:rPr>
          <w:b/>
          <w:sz w:val="25"/>
        </w:rPr>
      </w:pPr>
    </w:p>
    <w:p>
      <w:pPr>
        <w:spacing w:before="72"/>
        <w:ind w:left="3003" w:right="0" w:firstLine="0"/>
        <w:jc w:val="left"/>
        <w:rPr>
          <w:rFonts w:ascii="Times New Roman"/>
          <w:b/>
          <w:sz w:val="22"/>
        </w:rPr>
      </w:pPr>
      <w:r>
        <w:rPr>
          <w:rFonts w:ascii="Times New Roman"/>
          <w:b/>
          <w:sz w:val="22"/>
        </w:rPr>
        <w:t>ACTORES MUNICIPALES</w:t>
      </w:r>
    </w:p>
    <w:p>
      <w:pPr>
        <w:pStyle w:val="BodyText"/>
        <w:rPr>
          <w:rFonts w:ascii="Times New Roman"/>
          <w:b/>
          <w:sz w:val="20"/>
        </w:rPr>
      </w:pPr>
    </w:p>
    <w:p>
      <w:pPr>
        <w:pStyle w:val="BodyText"/>
        <w:rPr>
          <w:rFonts w:ascii="Times New Roman"/>
          <w:b/>
          <w:sz w:val="20"/>
        </w:rPr>
      </w:pPr>
    </w:p>
    <w:p>
      <w:pPr>
        <w:pStyle w:val="BodyText"/>
        <w:spacing w:before="2"/>
        <w:rPr>
          <w:rFonts w:ascii="Times New Roman"/>
          <w:b/>
          <w:sz w:val="25"/>
        </w:rPr>
      </w:pPr>
    </w:p>
    <w:p>
      <w:pPr>
        <w:tabs>
          <w:tab w:pos="2420" w:val="left" w:leader="none"/>
          <w:tab w:pos="3836" w:val="left" w:leader="none"/>
          <w:tab w:pos="5550" w:val="left" w:leader="none"/>
          <w:tab w:pos="7458" w:val="left" w:leader="none"/>
        </w:tabs>
        <w:spacing w:before="71"/>
        <w:ind w:left="804" w:right="0" w:firstLine="0"/>
        <w:jc w:val="left"/>
        <w:rPr>
          <w:rFonts w:ascii="Times New Roman" w:hAnsi="Times New Roman"/>
          <w:b/>
          <w:sz w:val="22"/>
        </w:rPr>
      </w:pPr>
      <w:r>
        <w:rPr>
          <w:rFonts w:ascii="Times New Roman" w:hAnsi="Times New Roman"/>
          <w:b/>
          <w:position w:val="1"/>
          <w:sz w:val="22"/>
        </w:rPr>
        <w:t>ACAMBAY</w:t>
        <w:tab/>
      </w:r>
      <w:r>
        <w:rPr>
          <w:rFonts w:ascii="Times New Roman" w:hAnsi="Times New Roman"/>
          <w:b/>
          <w:sz w:val="22"/>
        </w:rPr>
        <w:t>ACULCO</w:t>
        <w:tab/>
      </w:r>
      <w:r>
        <w:rPr>
          <w:rFonts w:ascii="Times New Roman" w:hAnsi="Times New Roman"/>
          <w:b/>
          <w:position w:val="3"/>
          <w:sz w:val="22"/>
        </w:rPr>
        <w:t>JILOTEPEC</w:t>
        <w:tab/>
      </w:r>
      <w:r>
        <w:rPr>
          <w:rFonts w:ascii="Times New Roman" w:hAnsi="Times New Roman"/>
          <w:b/>
          <w:position w:val="1"/>
          <w:sz w:val="22"/>
        </w:rPr>
        <w:t>POLOTITLÁN</w:t>
        <w:tab/>
      </w:r>
      <w:r>
        <w:rPr>
          <w:rFonts w:ascii="Times New Roman" w:hAnsi="Times New Roman"/>
          <w:b/>
          <w:sz w:val="22"/>
        </w:rPr>
        <w:t>TIMILPAN</w:t>
      </w:r>
    </w:p>
    <w:p>
      <w:pPr>
        <w:pStyle w:val="BodyText"/>
        <w:rPr>
          <w:rFonts w:ascii="Times New Roman"/>
          <w:b/>
          <w:sz w:val="20"/>
        </w:rPr>
      </w:pPr>
    </w:p>
    <w:p>
      <w:pPr>
        <w:spacing w:after="0"/>
        <w:rPr>
          <w:rFonts w:ascii="Times New Roman"/>
          <w:sz w:val="20"/>
        </w:rPr>
        <w:sectPr>
          <w:pgSz w:w="12240" w:h="15840"/>
          <w:pgMar w:header="0" w:footer="1003" w:top="1500" w:bottom="1200" w:left="1440" w:right="1280"/>
        </w:sectPr>
      </w:pPr>
    </w:p>
    <w:p>
      <w:pPr>
        <w:pStyle w:val="BodyText"/>
        <w:spacing w:before="1"/>
        <w:rPr>
          <w:rFonts w:ascii="Times New Roman"/>
          <w:b/>
          <w:sz w:val="19"/>
        </w:rPr>
      </w:pPr>
    </w:p>
    <w:p>
      <w:pPr>
        <w:spacing w:line="285" w:lineRule="auto" w:before="0"/>
        <w:ind w:left="881" w:right="-19" w:hanging="12"/>
        <w:jc w:val="left"/>
        <w:rPr>
          <w:rFonts w:ascii="Times New Roman"/>
          <w:b/>
          <w:sz w:val="22"/>
        </w:rPr>
      </w:pPr>
      <w:r>
        <w:rPr>
          <w:rFonts w:ascii="Times New Roman"/>
          <w:b/>
          <w:sz w:val="22"/>
        </w:rPr>
        <w:t>Presidente Municipal</w:t>
      </w:r>
    </w:p>
    <w:p>
      <w:pPr>
        <w:pStyle w:val="BodyText"/>
        <w:spacing w:before="11"/>
        <w:rPr>
          <w:rFonts w:ascii="Times New Roman"/>
          <w:b/>
          <w:sz w:val="19"/>
        </w:rPr>
      </w:pPr>
      <w:r>
        <w:rPr/>
        <w:br w:type="column"/>
      </w:r>
      <w:r>
        <w:rPr>
          <w:rFonts w:ascii="Times New Roman"/>
          <w:b/>
          <w:sz w:val="19"/>
        </w:rPr>
      </w:r>
    </w:p>
    <w:p>
      <w:pPr>
        <w:spacing w:line="283" w:lineRule="auto" w:before="0"/>
        <w:ind w:left="621" w:right="-19" w:hanging="12"/>
        <w:jc w:val="left"/>
        <w:rPr>
          <w:rFonts w:ascii="Times New Roman"/>
          <w:b/>
          <w:sz w:val="22"/>
        </w:rPr>
      </w:pPr>
      <w:r>
        <w:rPr>
          <w:rFonts w:ascii="Times New Roman"/>
          <w:b/>
          <w:sz w:val="22"/>
        </w:rPr>
        <w:t>Presidente Municipal</w:t>
      </w:r>
    </w:p>
    <w:p>
      <w:pPr>
        <w:pStyle w:val="BodyText"/>
        <w:rPr>
          <w:rFonts w:ascii="Times New Roman"/>
          <w:b/>
          <w:sz w:val="21"/>
        </w:rPr>
      </w:pPr>
      <w:r>
        <w:rPr/>
        <w:br w:type="column"/>
      </w:r>
      <w:r>
        <w:rPr>
          <w:rFonts w:ascii="Times New Roman"/>
          <w:b/>
          <w:sz w:val="21"/>
        </w:rPr>
      </w:r>
    </w:p>
    <w:p>
      <w:pPr>
        <w:spacing w:line="280" w:lineRule="auto" w:before="0"/>
        <w:ind w:left="678" w:right="-19" w:hanging="12"/>
        <w:jc w:val="left"/>
        <w:rPr>
          <w:rFonts w:ascii="Times New Roman"/>
          <w:b/>
          <w:sz w:val="22"/>
        </w:rPr>
      </w:pPr>
      <w:r>
        <w:rPr>
          <w:rFonts w:ascii="Times New Roman"/>
          <w:b/>
          <w:sz w:val="22"/>
        </w:rPr>
        <w:t>Presidente Municipal</w:t>
      </w:r>
    </w:p>
    <w:p>
      <w:pPr>
        <w:pStyle w:val="BodyText"/>
        <w:spacing w:before="4"/>
        <w:rPr>
          <w:rFonts w:ascii="Times New Roman"/>
          <w:b/>
          <w:sz w:val="20"/>
        </w:rPr>
      </w:pPr>
      <w:r>
        <w:rPr/>
        <w:br w:type="column"/>
      </w:r>
      <w:r>
        <w:rPr>
          <w:rFonts w:ascii="Times New Roman"/>
          <w:b/>
          <w:sz w:val="20"/>
        </w:rPr>
      </w:r>
    </w:p>
    <w:p>
      <w:pPr>
        <w:spacing w:line="280" w:lineRule="auto" w:before="0"/>
        <w:ind w:left="664" w:right="-19" w:hanging="12"/>
        <w:jc w:val="left"/>
        <w:rPr>
          <w:rFonts w:ascii="Times New Roman"/>
          <w:b/>
          <w:sz w:val="22"/>
        </w:rPr>
      </w:pPr>
      <w:r>
        <w:rPr>
          <w:rFonts w:ascii="Times New Roman"/>
          <w:b/>
          <w:sz w:val="22"/>
        </w:rPr>
        <w:t>Presidente Municipal</w:t>
      </w:r>
    </w:p>
    <w:p>
      <w:pPr>
        <w:pStyle w:val="BodyText"/>
        <w:spacing w:before="7"/>
        <w:rPr>
          <w:rFonts w:ascii="Times New Roman"/>
          <w:b/>
          <w:sz w:val="17"/>
        </w:rPr>
      </w:pPr>
      <w:r>
        <w:rPr/>
        <w:br w:type="column"/>
      </w:r>
      <w:r>
        <w:rPr>
          <w:rFonts w:ascii="Times New Roman"/>
          <w:b/>
          <w:sz w:val="17"/>
        </w:rPr>
      </w:r>
    </w:p>
    <w:p>
      <w:pPr>
        <w:spacing w:line="283" w:lineRule="auto" w:before="1"/>
        <w:ind w:left="599" w:right="1003" w:hanging="12"/>
        <w:jc w:val="left"/>
        <w:rPr>
          <w:rFonts w:ascii="Times New Roman"/>
          <w:b/>
          <w:sz w:val="22"/>
        </w:rPr>
      </w:pPr>
      <w:r>
        <w:rPr>
          <w:rFonts w:ascii="Times New Roman"/>
          <w:b/>
          <w:sz w:val="22"/>
        </w:rPr>
        <w:t>Presidente Municipal</w:t>
      </w:r>
    </w:p>
    <w:p>
      <w:pPr>
        <w:spacing w:after="0" w:line="283" w:lineRule="auto"/>
        <w:jc w:val="left"/>
        <w:rPr>
          <w:rFonts w:ascii="Times New Roman"/>
          <w:sz w:val="22"/>
        </w:rPr>
        <w:sectPr>
          <w:type w:val="continuous"/>
          <w:pgSz w:w="12240" w:h="15840"/>
          <w:pgMar w:top="1360" w:bottom="1200" w:left="1440" w:right="1280"/>
          <w:cols w:num="5" w:equalWidth="0">
            <w:col w:w="1860" w:space="40"/>
            <w:col w:w="1600" w:space="40"/>
            <w:col w:w="1657" w:space="40"/>
            <w:col w:w="1643" w:space="40"/>
            <w:col w:w="2600"/>
          </w:cols>
        </w:sectPr>
      </w:pPr>
    </w:p>
    <w:p>
      <w:pPr>
        <w:pStyle w:val="BodyText"/>
        <w:rPr>
          <w:rFonts w:ascii="Times New Roman"/>
          <w:b/>
          <w:sz w:val="20"/>
        </w:rPr>
      </w:pPr>
    </w:p>
    <w:p>
      <w:pPr>
        <w:spacing w:after="0"/>
        <w:rPr>
          <w:rFonts w:ascii="Times New Roman"/>
          <w:sz w:val="20"/>
        </w:rPr>
        <w:sectPr>
          <w:type w:val="continuous"/>
          <w:pgSz w:w="12240" w:h="15840"/>
          <w:pgMar w:top="1360" w:bottom="1200" w:left="1440" w:right="1280"/>
        </w:sectPr>
      </w:pPr>
    </w:p>
    <w:p>
      <w:pPr>
        <w:pStyle w:val="BodyText"/>
        <w:rPr>
          <w:rFonts w:ascii="Times New Roman"/>
          <w:b/>
          <w:sz w:val="18"/>
        </w:rPr>
      </w:pPr>
    </w:p>
    <w:p>
      <w:pPr>
        <w:spacing w:line="276" w:lineRule="auto" w:before="0"/>
        <w:ind w:left="367" w:right="0" w:firstLine="31"/>
        <w:jc w:val="center"/>
        <w:rPr>
          <w:rFonts w:ascii="Times New Roman"/>
          <w:b/>
          <w:sz w:val="20"/>
        </w:rPr>
      </w:pPr>
      <w:r>
        <w:rPr>
          <w:rFonts w:ascii="Times New Roman"/>
          <w:b/>
          <w:sz w:val="20"/>
        </w:rPr>
        <w:t>Tercer Regidor Encargado de preservar, conservar y restaurar el medio ambiente</w:t>
      </w:r>
    </w:p>
    <w:p>
      <w:pPr>
        <w:pStyle w:val="BodyText"/>
        <w:rPr>
          <w:rFonts w:ascii="Times New Roman"/>
          <w:b/>
          <w:sz w:val="20"/>
        </w:rPr>
      </w:pPr>
    </w:p>
    <w:p>
      <w:pPr>
        <w:pStyle w:val="BodyText"/>
        <w:spacing w:before="9"/>
        <w:rPr>
          <w:rFonts w:ascii="Times New Roman"/>
          <w:b/>
          <w:sz w:val="21"/>
        </w:rPr>
      </w:pPr>
    </w:p>
    <w:p>
      <w:pPr>
        <w:spacing w:line="276" w:lineRule="auto" w:before="0"/>
        <w:ind w:left="365" w:right="3" w:firstLine="0"/>
        <w:jc w:val="center"/>
        <w:rPr>
          <w:rFonts w:ascii="Times New Roman" w:hAnsi="Times New Roman"/>
          <w:b/>
          <w:sz w:val="20"/>
        </w:rPr>
      </w:pPr>
      <w:r>
        <w:rPr>
          <w:rFonts w:ascii="Times New Roman" w:hAnsi="Times New Roman"/>
          <w:b/>
          <w:sz w:val="20"/>
        </w:rPr>
        <w:t>Décimo Regidor Encargado de preservar, conservar y restaurar el medio ambiente</w:t>
      </w:r>
    </w:p>
    <w:p>
      <w:pPr>
        <w:pStyle w:val="BodyText"/>
        <w:rPr>
          <w:rFonts w:ascii="Times New Roman"/>
          <w:b/>
          <w:sz w:val="20"/>
        </w:rPr>
      </w:pPr>
    </w:p>
    <w:p>
      <w:pPr>
        <w:pStyle w:val="BodyText"/>
        <w:spacing w:before="10"/>
        <w:rPr>
          <w:rFonts w:ascii="Times New Roman"/>
          <w:b/>
          <w:sz w:val="28"/>
        </w:rPr>
      </w:pPr>
    </w:p>
    <w:p>
      <w:pPr>
        <w:spacing w:line="276" w:lineRule="auto" w:before="0"/>
        <w:ind w:left="331" w:right="0" w:firstLine="5"/>
        <w:jc w:val="center"/>
        <w:rPr>
          <w:rFonts w:ascii="Times New Roman"/>
          <w:b/>
          <w:sz w:val="20"/>
        </w:rPr>
      </w:pPr>
      <w:r>
        <w:rPr>
          <w:rFonts w:ascii="Times New Roman"/>
          <w:b/>
          <w:sz w:val="20"/>
        </w:rPr>
        <w:t>Director del Medio</w:t>
      </w:r>
      <w:r>
        <w:rPr>
          <w:rFonts w:ascii="Times New Roman"/>
          <w:b/>
          <w:spacing w:val="-5"/>
          <w:sz w:val="20"/>
        </w:rPr>
        <w:t> </w:t>
      </w:r>
      <w:r>
        <w:rPr>
          <w:rFonts w:ascii="Times New Roman"/>
          <w:b/>
          <w:sz w:val="20"/>
        </w:rPr>
        <w:t>Ambiente</w:t>
      </w:r>
    </w:p>
    <w:p>
      <w:pPr>
        <w:pStyle w:val="BodyText"/>
        <w:spacing w:before="3"/>
        <w:rPr>
          <w:rFonts w:ascii="Times New Roman"/>
          <w:b/>
          <w:sz w:val="19"/>
        </w:rPr>
      </w:pPr>
      <w:r>
        <w:rPr/>
        <w:br w:type="column"/>
      </w:r>
      <w:r>
        <w:rPr>
          <w:rFonts w:ascii="Times New Roman"/>
          <w:b/>
          <w:sz w:val="19"/>
        </w:rPr>
      </w:r>
    </w:p>
    <w:p>
      <w:pPr>
        <w:spacing w:line="276" w:lineRule="auto" w:before="0"/>
        <w:ind w:left="337" w:right="3" w:firstLine="0"/>
        <w:jc w:val="center"/>
        <w:rPr>
          <w:rFonts w:ascii="Times New Roman" w:hAnsi="Times New Roman"/>
          <w:b/>
          <w:sz w:val="20"/>
        </w:rPr>
      </w:pPr>
      <w:r>
        <w:rPr>
          <w:rFonts w:ascii="Times New Roman" w:hAnsi="Times New Roman"/>
          <w:b/>
          <w:sz w:val="20"/>
        </w:rPr>
        <w:t>Tercer Regidor Encargada de ecología y asuntos</w:t>
      </w:r>
    </w:p>
    <w:p>
      <w:pPr>
        <w:pStyle w:val="BodyText"/>
        <w:rPr>
          <w:rFonts w:ascii="Times New Roman"/>
          <w:b/>
          <w:sz w:val="20"/>
        </w:rPr>
      </w:pPr>
    </w:p>
    <w:p>
      <w:pPr>
        <w:pStyle w:val="BodyText"/>
        <w:rPr>
          <w:rFonts w:ascii="Times New Roman"/>
          <w:b/>
          <w:sz w:val="18"/>
        </w:rPr>
      </w:pPr>
    </w:p>
    <w:p>
      <w:pPr>
        <w:spacing w:line="276" w:lineRule="auto" w:before="0"/>
        <w:ind w:left="401" w:right="3" w:firstLine="0"/>
        <w:jc w:val="center"/>
        <w:rPr>
          <w:rFonts w:ascii="Times New Roman" w:hAnsi="Times New Roman"/>
          <w:b/>
          <w:sz w:val="20"/>
        </w:rPr>
      </w:pPr>
      <w:r>
        <w:rPr>
          <w:rFonts w:ascii="Times New Roman" w:hAnsi="Times New Roman"/>
          <w:b/>
          <w:sz w:val="20"/>
        </w:rPr>
        <w:t>Cuarto Regidor Encargada de turismo, desarrollo económico, mercados y tianguis</w:t>
      </w:r>
    </w:p>
    <w:p>
      <w:pPr>
        <w:pStyle w:val="BodyText"/>
        <w:rPr>
          <w:rFonts w:ascii="Times New Roman"/>
          <w:b/>
          <w:sz w:val="20"/>
        </w:rPr>
      </w:pPr>
    </w:p>
    <w:p>
      <w:pPr>
        <w:pStyle w:val="BodyText"/>
        <w:spacing w:before="10"/>
        <w:rPr>
          <w:rFonts w:ascii="Times New Roman"/>
          <w:b/>
          <w:sz w:val="19"/>
        </w:rPr>
      </w:pPr>
    </w:p>
    <w:p>
      <w:pPr>
        <w:spacing w:line="276" w:lineRule="auto" w:before="0"/>
        <w:ind w:left="331" w:right="0" w:firstLine="2"/>
        <w:jc w:val="center"/>
        <w:rPr>
          <w:rFonts w:ascii="Times New Roman"/>
          <w:b/>
          <w:sz w:val="20"/>
        </w:rPr>
      </w:pPr>
      <w:r>
        <w:rPr>
          <w:rFonts w:ascii="Times New Roman"/>
          <w:b/>
          <w:sz w:val="20"/>
        </w:rPr>
        <w:t>Director del Medio</w:t>
      </w:r>
      <w:r>
        <w:rPr>
          <w:rFonts w:ascii="Times New Roman"/>
          <w:b/>
          <w:spacing w:val="-5"/>
          <w:sz w:val="20"/>
        </w:rPr>
        <w:t> </w:t>
      </w:r>
      <w:r>
        <w:rPr>
          <w:rFonts w:ascii="Times New Roman"/>
          <w:b/>
          <w:sz w:val="20"/>
        </w:rPr>
        <w:t>Ambiente</w:t>
      </w:r>
    </w:p>
    <w:p>
      <w:pPr>
        <w:pStyle w:val="BodyText"/>
        <w:spacing w:before="3"/>
        <w:rPr>
          <w:rFonts w:ascii="Times New Roman"/>
          <w:b/>
          <w:sz w:val="19"/>
        </w:rPr>
      </w:pPr>
      <w:r>
        <w:rPr/>
        <w:br w:type="column"/>
      </w:r>
      <w:r>
        <w:rPr>
          <w:rFonts w:ascii="Times New Roman"/>
          <w:b/>
          <w:sz w:val="19"/>
        </w:rPr>
      </w:r>
    </w:p>
    <w:p>
      <w:pPr>
        <w:spacing w:line="276" w:lineRule="auto" w:before="0"/>
        <w:ind w:left="343" w:right="18" w:hanging="55"/>
        <w:jc w:val="center"/>
        <w:rPr>
          <w:rFonts w:ascii="Times New Roman" w:hAnsi="Times New Roman"/>
          <w:b/>
          <w:sz w:val="20"/>
        </w:rPr>
      </w:pPr>
      <w:r>
        <w:rPr>
          <w:rFonts w:ascii="Times New Roman" w:hAnsi="Times New Roman"/>
          <w:b/>
          <w:sz w:val="20"/>
        </w:rPr>
        <w:t>Tercer Regidor Encargado de la Comisión de Desarrollo Agropecuario</w:t>
      </w:r>
    </w:p>
    <w:p>
      <w:pPr>
        <w:pStyle w:val="BodyText"/>
        <w:rPr>
          <w:rFonts w:ascii="Times New Roman"/>
          <w:b/>
          <w:sz w:val="20"/>
        </w:rPr>
      </w:pPr>
    </w:p>
    <w:p>
      <w:pPr>
        <w:pStyle w:val="BodyText"/>
        <w:spacing w:before="2"/>
        <w:rPr>
          <w:rFonts w:ascii="Times New Roman"/>
          <w:b/>
        </w:rPr>
      </w:pPr>
    </w:p>
    <w:p>
      <w:pPr>
        <w:spacing w:line="276" w:lineRule="auto" w:before="0"/>
        <w:ind w:left="331" w:right="0" w:firstLine="0"/>
        <w:jc w:val="center"/>
        <w:rPr>
          <w:rFonts w:ascii="Times New Roman" w:hAnsi="Times New Roman"/>
          <w:b/>
          <w:sz w:val="20"/>
        </w:rPr>
      </w:pPr>
      <w:r>
        <w:rPr>
          <w:rFonts w:ascii="Times New Roman" w:hAnsi="Times New Roman"/>
          <w:b/>
          <w:sz w:val="20"/>
        </w:rPr>
        <w:t>Séptimo Regidor Encargado de la Comisión de Ecología y Medio</w:t>
      </w:r>
      <w:r>
        <w:rPr>
          <w:rFonts w:ascii="Times New Roman" w:hAnsi="Times New Roman"/>
          <w:b/>
          <w:w w:val="99"/>
          <w:sz w:val="20"/>
        </w:rPr>
        <w:t> </w:t>
      </w:r>
      <w:r>
        <w:rPr>
          <w:rFonts w:ascii="Times New Roman" w:hAnsi="Times New Roman"/>
          <w:b/>
          <w:sz w:val="20"/>
        </w:rPr>
        <w:t>Ambiente</w:t>
      </w:r>
    </w:p>
    <w:p>
      <w:pPr>
        <w:pStyle w:val="BodyText"/>
        <w:rPr>
          <w:rFonts w:ascii="Times New Roman"/>
          <w:b/>
          <w:sz w:val="20"/>
        </w:rPr>
      </w:pPr>
    </w:p>
    <w:p>
      <w:pPr>
        <w:pStyle w:val="BodyText"/>
        <w:spacing w:before="9"/>
        <w:rPr>
          <w:rFonts w:ascii="Times New Roman"/>
          <w:b/>
          <w:sz w:val="26"/>
        </w:rPr>
      </w:pPr>
    </w:p>
    <w:p>
      <w:pPr>
        <w:spacing w:line="276" w:lineRule="auto" w:before="0"/>
        <w:ind w:left="362" w:right="57" w:firstLine="2"/>
        <w:jc w:val="center"/>
        <w:rPr>
          <w:rFonts w:ascii="Times New Roman" w:hAnsi="Times New Roman"/>
          <w:b/>
          <w:sz w:val="20"/>
        </w:rPr>
      </w:pPr>
      <w:r>
        <w:rPr>
          <w:rFonts w:ascii="Times New Roman" w:hAnsi="Times New Roman"/>
          <w:b/>
          <w:sz w:val="20"/>
        </w:rPr>
        <w:t>Décimo Regidor Encargado de la Comisión de Turismo</w:t>
      </w:r>
    </w:p>
    <w:p>
      <w:pPr>
        <w:pStyle w:val="BodyText"/>
        <w:rPr>
          <w:rFonts w:ascii="Times New Roman"/>
          <w:b/>
          <w:sz w:val="20"/>
        </w:rPr>
      </w:pPr>
    </w:p>
    <w:p>
      <w:pPr>
        <w:pStyle w:val="BodyText"/>
        <w:spacing w:before="9"/>
        <w:rPr>
          <w:rFonts w:ascii="Times New Roman"/>
          <w:b/>
        </w:rPr>
      </w:pPr>
    </w:p>
    <w:p>
      <w:pPr>
        <w:spacing w:line="276" w:lineRule="auto" w:before="1"/>
        <w:ind w:left="442" w:right="138" w:firstLine="1"/>
        <w:jc w:val="center"/>
        <w:rPr>
          <w:rFonts w:ascii="Times New Roman" w:hAnsi="Times New Roman"/>
          <w:b/>
          <w:sz w:val="20"/>
        </w:rPr>
      </w:pPr>
      <w:r>
        <w:rPr>
          <w:rFonts w:ascii="Times New Roman" w:hAnsi="Times New Roman"/>
          <w:b/>
          <w:sz w:val="20"/>
        </w:rPr>
        <w:t>Jefe del </w:t>
      </w:r>
      <w:r>
        <w:rPr>
          <w:rFonts w:ascii="Times New Roman" w:hAnsi="Times New Roman"/>
          <w:b/>
          <w:w w:val="95"/>
          <w:sz w:val="20"/>
        </w:rPr>
        <w:t>Departamento </w:t>
      </w:r>
      <w:r>
        <w:rPr>
          <w:rFonts w:ascii="Times New Roman" w:hAnsi="Times New Roman"/>
          <w:b/>
          <w:sz w:val="20"/>
        </w:rPr>
        <w:t>de Ecología</w:t>
      </w:r>
    </w:p>
    <w:p>
      <w:pPr>
        <w:pStyle w:val="BodyText"/>
        <w:rPr>
          <w:rFonts w:ascii="Times New Roman"/>
          <w:b/>
          <w:sz w:val="18"/>
        </w:rPr>
      </w:pPr>
      <w:r>
        <w:rPr/>
        <w:br w:type="column"/>
      </w:r>
      <w:r>
        <w:rPr>
          <w:rFonts w:ascii="Times New Roman"/>
          <w:b/>
          <w:sz w:val="18"/>
        </w:rPr>
      </w:r>
    </w:p>
    <w:p>
      <w:pPr>
        <w:spacing w:line="276" w:lineRule="auto" w:before="0"/>
        <w:ind w:left="327" w:right="0" w:hanging="3"/>
        <w:jc w:val="center"/>
        <w:rPr>
          <w:rFonts w:ascii="Times New Roman" w:hAnsi="Times New Roman"/>
          <w:b/>
          <w:sz w:val="20"/>
        </w:rPr>
      </w:pPr>
      <w:r>
        <w:rPr>
          <w:rFonts w:ascii="Times New Roman" w:hAnsi="Times New Roman"/>
          <w:b/>
          <w:sz w:val="20"/>
        </w:rPr>
        <w:t>Primer Regidor Encargado</w:t>
      </w:r>
      <w:r>
        <w:rPr>
          <w:rFonts w:ascii="Times New Roman" w:hAnsi="Times New Roman"/>
          <w:b/>
          <w:spacing w:val="-2"/>
          <w:sz w:val="20"/>
        </w:rPr>
        <w:t> </w:t>
      </w:r>
      <w:r>
        <w:rPr>
          <w:rFonts w:ascii="Times New Roman" w:hAnsi="Times New Roman"/>
          <w:b/>
          <w:sz w:val="20"/>
        </w:rPr>
        <w:t>de</w:t>
      </w:r>
      <w:r>
        <w:rPr>
          <w:rFonts w:ascii="Times New Roman" w:hAnsi="Times New Roman"/>
          <w:b/>
          <w:spacing w:val="-2"/>
          <w:sz w:val="20"/>
        </w:rPr>
        <w:t> </w:t>
      </w:r>
      <w:r>
        <w:rPr>
          <w:rFonts w:ascii="Times New Roman" w:hAnsi="Times New Roman"/>
          <w:b/>
          <w:sz w:val="20"/>
        </w:rPr>
        <w:t>la</w:t>
      </w:r>
      <w:r>
        <w:rPr>
          <w:rFonts w:ascii="Times New Roman" w:hAnsi="Times New Roman"/>
          <w:b/>
          <w:w w:val="99"/>
          <w:sz w:val="20"/>
        </w:rPr>
        <w:t> </w:t>
      </w:r>
      <w:r>
        <w:rPr>
          <w:rFonts w:ascii="Times New Roman" w:hAnsi="Times New Roman"/>
          <w:b/>
          <w:sz w:val="20"/>
        </w:rPr>
        <w:t>Comisión de Desarrollo Agropecuario y Ecología</w:t>
      </w:r>
    </w:p>
    <w:p>
      <w:pPr>
        <w:pStyle w:val="BodyText"/>
        <w:rPr>
          <w:rFonts w:ascii="Times New Roman"/>
          <w:b/>
          <w:sz w:val="20"/>
        </w:rPr>
      </w:pPr>
    </w:p>
    <w:p>
      <w:pPr>
        <w:pStyle w:val="BodyText"/>
        <w:spacing w:before="7"/>
        <w:rPr>
          <w:rFonts w:ascii="Times New Roman"/>
          <w:b/>
          <w:sz w:val="26"/>
        </w:rPr>
      </w:pPr>
    </w:p>
    <w:p>
      <w:pPr>
        <w:spacing w:line="276" w:lineRule="auto" w:before="0"/>
        <w:ind w:left="349" w:right="4" w:firstLine="36"/>
        <w:jc w:val="center"/>
        <w:rPr>
          <w:rFonts w:ascii="Times New Roman" w:hAnsi="Times New Roman"/>
          <w:b/>
          <w:sz w:val="20"/>
        </w:rPr>
      </w:pPr>
      <w:r>
        <w:rPr>
          <w:rFonts w:ascii="Times New Roman" w:hAnsi="Times New Roman"/>
          <w:b/>
          <w:sz w:val="20"/>
        </w:rPr>
        <w:t>Tercer Regidor Encargada de la Comisión de Desarrollo Económico y Desarrollo Urbano</w:t>
      </w:r>
    </w:p>
    <w:p>
      <w:pPr>
        <w:pStyle w:val="BodyText"/>
        <w:rPr>
          <w:rFonts w:ascii="Times New Roman"/>
          <w:b/>
          <w:sz w:val="20"/>
        </w:rPr>
      </w:pPr>
    </w:p>
    <w:p>
      <w:pPr>
        <w:pStyle w:val="BodyText"/>
        <w:spacing w:before="2"/>
        <w:rPr>
          <w:rFonts w:ascii="Times New Roman"/>
          <w:b/>
          <w:sz w:val="21"/>
        </w:rPr>
      </w:pPr>
    </w:p>
    <w:p>
      <w:pPr>
        <w:spacing w:line="276" w:lineRule="auto" w:before="0"/>
        <w:ind w:left="349" w:right="4" w:firstLine="0"/>
        <w:jc w:val="center"/>
        <w:rPr>
          <w:rFonts w:ascii="Times New Roman"/>
          <w:b/>
          <w:sz w:val="20"/>
        </w:rPr>
      </w:pPr>
      <w:r>
        <w:rPr>
          <w:rFonts w:ascii="Times New Roman"/>
          <w:b/>
          <w:sz w:val="20"/>
        </w:rPr>
        <w:t>Coordinador de</w:t>
      </w:r>
      <w:r>
        <w:rPr>
          <w:rFonts w:ascii="Times New Roman"/>
          <w:b/>
          <w:w w:val="99"/>
          <w:sz w:val="20"/>
        </w:rPr>
        <w:t> </w:t>
      </w:r>
      <w:r>
        <w:rPr>
          <w:rFonts w:ascii="Times New Roman"/>
          <w:b/>
          <w:sz w:val="20"/>
        </w:rPr>
        <w:t>Desarrollo Agropecuario</w:t>
      </w:r>
    </w:p>
    <w:p>
      <w:pPr>
        <w:pStyle w:val="BodyText"/>
        <w:rPr>
          <w:rFonts w:ascii="Times New Roman"/>
          <w:b/>
          <w:sz w:val="18"/>
        </w:rPr>
      </w:pPr>
      <w:r>
        <w:rPr/>
        <w:br w:type="column"/>
      </w:r>
      <w:r>
        <w:rPr>
          <w:rFonts w:ascii="Times New Roman"/>
          <w:b/>
          <w:sz w:val="18"/>
        </w:rPr>
      </w:r>
    </w:p>
    <w:p>
      <w:pPr>
        <w:spacing w:line="276" w:lineRule="auto" w:before="0"/>
        <w:ind w:left="334" w:right="362" w:firstLine="3"/>
        <w:jc w:val="center"/>
        <w:rPr>
          <w:rFonts w:ascii="Times New Roman" w:hAnsi="Times New Roman"/>
          <w:b/>
          <w:sz w:val="20"/>
        </w:rPr>
      </w:pPr>
      <w:r>
        <w:rPr>
          <w:rFonts w:ascii="Times New Roman" w:hAnsi="Times New Roman"/>
          <w:b/>
          <w:sz w:val="20"/>
        </w:rPr>
        <w:t>Quinto Regidor Encargado de</w:t>
      </w:r>
      <w:r>
        <w:rPr>
          <w:rFonts w:ascii="Times New Roman" w:hAnsi="Times New Roman"/>
          <w:b/>
          <w:spacing w:val="-4"/>
          <w:sz w:val="20"/>
        </w:rPr>
        <w:t> </w:t>
      </w:r>
      <w:r>
        <w:rPr>
          <w:rFonts w:ascii="Times New Roman" w:hAnsi="Times New Roman"/>
          <w:b/>
          <w:sz w:val="20"/>
        </w:rPr>
        <w:t>la Comisión de Salud Pública, Preservación y Restauración del</w:t>
      </w:r>
      <w:r>
        <w:rPr>
          <w:rFonts w:ascii="Times New Roman" w:hAnsi="Times New Roman"/>
          <w:b/>
          <w:spacing w:val="-1"/>
          <w:sz w:val="20"/>
        </w:rPr>
        <w:t> </w:t>
      </w:r>
      <w:r>
        <w:rPr>
          <w:rFonts w:ascii="Times New Roman" w:hAnsi="Times New Roman"/>
          <w:b/>
          <w:sz w:val="20"/>
        </w:rPr>
        <w:t>Medio</w:t>
      </w:r>
    </w:p>
    <w:p>
      <w:pPr>
        <w:pStyle w:val="BodyText"/>
        <w:rPr>
          <w:rFonts w:ascii="Times New Roman"/>
          <w:b/>
          <w:sz w:val="20"/>
        </w:rPr>
      </w:pPr>
    </w:p>
    <w:p>
      <w:pPr>
        <w:spacing w:line="276" w:lineRule="auto" w:before="176"/>
        <w:ind w:left="331" w:right="303" w:hanging="1"/>
        <w:jc w:val="center"/>
        <w:rPr>
          <w:rFonts w:ascii="Times New Roman"/>
          <w:b/>
          <w:sz w:val="20"/>
        </w:rPr>
      </w:pPr>
      <w:r>
        <w:rPr>
          <w:rFonts w:ascii="Times New Roman"/>
          <w:b/>
          <w:sz w:val="20"/>
        </w:rPr>
        <w:t>Tercer Regidor Encargado de Desarrollo Rural</w:t>
      </w:r>
    </w:p>
    <w:p>
      <w:pPr>
        <w:pStyle w:val="BodyText"/>
        <w:rPr>
          <w:rFonts w:ascii="Times New Roman"/>
          <w:b/>
          <w:sz w:val="20"/>
        </w:rPr>
      </w:pPr>
    </w:p>
    <w:p>
      <w:pPr>
        <w:pStyle w:val="BodyText"/>
        <w:spacing w:before="5"/>
        <w:rPr>
          <w:rFonts w:ascii="Times New Roman"/>
          <w:b/>
          <w:sz w:val="23"/>
        </w:rPr>
      </w:pPr>
    </w:p>
    <w:p>
      <w:pPr>
        <w:spacing w:line="276" w:lineRule="auto" w:before="0"/>
        <w:ind w:left="382" w:right="352" w:firstLine="0"/>
        <w:jc w:val="center"/>
        <w:rPr>
          <w:rFonts w:ascii="Times New Roman"/>
          <w:b/>
          <w:sz w:val="20"/>
        </w:rPr>
      </w:pPr>
      <w:r>
        <w:rPr>
          <w:rFonts w:ascii="Times New Roman"/>
          <w:b/>
          <w:sz w:val="20"/>
        </w:rPr>
        <w:t>Cuarto Regidor Encargado de Empleo y Turismo</w:t>
      </w:r>
    </w:p>
    <w:p>
      <w:pPr>
        <w:spacing w:after="0" w:line="276" w:lineRule="auto"/>
        <w:jc w:val="center"/>
        <w:rPr>
          <w:rFonts w:ascii="Times New Roman"/>
          <w:sz w:val="20"/>
        </w:rPr>
        <w:sectPr>
          <w:type w:val="continuous"/>
          <w:pgSz w:w="12240" w:h="15840"/>
          <w:pgMar w:top="1360" w:bottom="1200" w:left="1440" w:right="1280"/>
          <w:cols w:num="5" w:equalWidth="0">
            <w:col w:w="1756" w:space="180"/>
            <w:col w:w="1756" w:space="85"/>
            <w:col w:w="1811" w:space="40"/>
            <w:col w:w="1715" w:space="91"/>
            <w:col w:w="2086"/>
          </w:cols>
        </w:sectPr>
      </w:pPr>
    </w:p>
    <w:p>
      <w:pPr>
        <w:pStyle w:val="BodyText"/>
        <w:rPr>
          <w:rFonts w:ascii="Times New Roman"/>
          <w:b/>
          <w:sz w:val="20"/>
        </w:rPr>
      </w:pPr>
      <w:r>
        <w:rPr/>
        <w:pict>
          <v:group style="position:absolute;margin-left:77.150002pt;margin-top:129.070007pt;width:465.15pt;height:550.75pt;mso-position-horizontal-relative:page;mso-position-vertical-relative:page;z-index:-3335872" coordorigin="1543,2581" coordsize="9303,11015">
            <v:rect style="position:absolute;left:4021;top:2601;width:3524;height:448" filled="false" stroked="true" strokeweight="2pt" strokecolor="#000000"/>
            <v:shape style="position:absolute;left:2798;top:3052;width:6533;height:363" coordorigin="2798,3052" coordsize="6533,363" path="m5916,3052l5916,3415m2798,3405l9331,3405e" filled="false" stroked="true" strokeweight="1.25pt" strokecolor="#000000">
              <v:path arrowok="t"/>
            </v:shape>
            <v:rect style="position:absolute;left:2051;top:3690;width:1534;height:448" filled="false" stroked="true" strokeweight="2pt" strokecolor="#000000"/>
            <v:line style="position:absolute" from="2798,3405" to="2798,3690" stroked="true" strokeweight="1.25pt" strokecolor="#000000"/>
            <v:rect style="position:absolute;left:3694;top:3704;width:1289;height:434" filled="false" stroked="true" strokeweight="2pt" strokecolor="#000000"/>
            <v:line style="position:absolute" from="4265,3419" to="4265,3704" stroked="true" strokeweight="1.25pt" strokecolor="#000000"/>
            <v:rect style="position:absolute;left:5107;top:3677;width:1588;height:448" filled="false" stroked="true" strokeweight="2pt" strokecolor="#000000"/>
            <v:line style="position:absolute" from="5909,3419" to="5909,3704" stroked="true" strokeweight="1.25pt" strokecolor="#000000"/>
            <v:shape style="position:absolute;left:6819;top:3690;width:3408;height:434" coordorigin="6819,3690" coordsize="3408,434" path="m6819,4124l8624,4124,8624,3690,6819,3690,6819,4124xm8693,4111l10227,4111,10227,3704,8693,3704,8693,4111xe" filled="false" stroked="true" strokeweight="2pt" strokecolor="#000000">
              <v:path arrowok="t"/>
            </v:shape>
            <v:shape style="position:absolute;left:7729;top:3405;width:1589;height:299" coordorigin="7729,3405" coordsize="1589,299" path="m7729,3405l7729,3690m9318,3419l9318,3704e" filled="false" stroked="true" strokeweight="1.25pt" strokecolor="#000000">
              <v:path arrowok="t"/>
            </v:shape>
            <v:rect style="position:absolute;left:2051;top:4409;width:1507;height:774" filled="false" stroked="true" strokeweight="2pt" strokecolor="#000000"/>
            <v:shape style="position:absolute;left:2793;top:4120;width:6533;height:299" coordorigin="2793,4120" coordsize="6533,299" path="m2793,4120l2793,4405m4260,4133l4260,4418m5972,4134l5972,4419m7738,4134l7738,4419m9326,4134l9326,4419e" filled="false" stroked="true" strokeweight="1.25pt" strokecolor="#000000">
              <v:path arrowok="t"/>
            </v:shape>
            <v:shape style="position:absolute;left:3691;top:4417;width:4919;height:787" coordorigin="3691,4417" coordsize="4919,787" path="m3691,5191l5198,5191,5198,4417,3691,4417,3691,5191xm5388,5204l6895,5204,6895,4430,5388,4430,5388,5204xm7036,5197l8610,5197,8610,4423,7036,4423,7036,5197xe" filled="false" stroked="true" strokeweight="2pt" strokecolor="#000000">
              <v:path arrowok="t"/>
            </v:shape>
            <v:rect style="position:absolute;left:8688;top:4390;width:1507;height:774" filled="true" fillcolor="#ffffff" stroked="false">
              <v:fill type="solid"/>
            </v:rect>
            <v:shape style="position:absolute;left:1589;top:4390;width:9237;height:7334" coordorigin="1589,4390" coordsize="9237,7334" path="m8688,5164l10195,5164,10195,4390,8688,4390,8688,5164xm1589,7234l3450,7234,3450,5455,1589,5455,1589,7234xm3532,6678l5311,6678,5311,5469,3532,5469,3532,6678xm3532,8986l5311,8986,5311,6964,3532,6964,3532,8986xm5392,6990l7122,6990,7122,5469,5392,5469,5392,6990xm5379,8852l7199,8852,7199,7277,5379,7277,5379,8852xm7213,7288l8965,7288,8965,5455,7213,5455,7213,7288xm7266,9616l8964,9616,8964,7575,7266,7575,7266,9616xm9034,7433l10772,7433,10772,5455,9034,5455,9034,7433xm9033,8688l10826,8688,10826,7710,9033,7710,9033,8688xm7227,10935l8965,10935,8965,9898,7227,9898,7227,10935xm5379,10399l7172,10399,7172,9137,5379,9137,5379,10399xm9033,10264l10826,10264,10826,9001,9033,9001,9033,10264xm5379,11724l7171,11724,7171,10687,5379,10687,5379,11724xe" filled="false" stroked="true" strokeweight="2pt" strokecolor="#000000">
              <v:path arrowok="t"/>
            </v:shape>
            <v:shape style="position:absolute;left:2802;top:5173;width:6723;height:313" coordorigin="2802,5173" coordsize="6723,313" path="m2802,5173l2802,5458m4364,5200l4364,5485m6076,5201l6076,5486m7760,5201l7760,5486m9525,5201l9525,5486e" filled="false" stroked="true" strokeweight="1.25pt" strokecolor="#000000">
              <v:path arrowok="t"/>
            </v:shape>
            <v:rect style="position:absolute;left:1590;top:7520;width:1819;height:1861" filled="false" stroked="true" strokeweight="2.0pt" strokecolor="#000000"/>
            <v:shape style="position:absolute;left:2729;top:5413;width:7263;height:3594" coordorigin="2729,5413" coordsize="7263,3594" path="m2729,7233l2729,7518m4495,6677l4495,6962m6288,7002l6288,7287m8082,7288l8082,7573m9875,7431l9875,7716m3042,5413l3042,5698m9992,8722l9992,9007e" filled="false" stroked="true" strokeweight="1.25pt" strokecolor="#000000">
              <v:path arrowok="t"/>
            </v:shape>
            <v:rect style="position:absolute;left:1563;top:9668;width:1846;height:733" filled="false" stroked="true" strokeweight="2pt" strokecolor="#000000"/>
            <v:shape style="position:absolute;left:2643;top:8994;width:1848;height:667" coordorigin="2643,8994" coordsize="1848,667" path="m2643,9376l2643,9661m4491,8994l4491,9279e" filled="false" stroked="true" strokeweight="1.25pt" strokecolor="#000000">
              <v:path arrowok="t"/>
            </v:shape>
            <v:rect style="position:absolute;left:3532;top:9273;width:1779;height:760" filled="false" stroked="true" strokeweight="2pt" strokecolor="#000000"/>
            <v:shape style="position:absolute;left:6388;top:8852;width:1779;height:1834" coordorigin="6388,8852" coordsize="1779,1834" path="m6388,8852l6388,9137m8167,9618l8167,9903m6455,10401l6455,10686e" filled="false" stroked="true" strokeweight="1.25pt" strokecolor="#000000">
              <v:path arrowok="t"/>
            </v:shape>
            <v:rect style="position:absolute;left:5393;top:12003;width:1806;height:1573" filled="false" stroked="true" strokeweight="2pt" strokecolor="#000000"/>
            <v:line style="position:absolute" from="6450,11717" to="6450,12002" stroked="true" strokeweight="1.25pt" strokecolor="#000000"/>
            <w10:wrap type="none"/>
          </v:group>
        </w:pict>
      </w:r>
    </w:p>
    <w:p>
      <w:pPr>
        <w:pStyle w:val="BodyText"/>
        <w:spacing w:before="2"/>
        <w:rPr>
          <w:rFonts w:ascii="Times New Roman"/>
          <w:b/>
          <w:sz w:val="19"/>
        </w:rPr>
      </w:pPr>
    </w:p>
    <w:p>
      <w:pPr>
        <w:spacing w:line="276" w:lineRule="auto" w:before="74"/>
        <w:ind w:left="4239" w:right="4049" w:firstLine="1"/>
        <w:jc w:val="center"/>
        <w:rPr>
          <w:rFonts w:ascii="Times New Roman" w:hAnsi="Times New Roman"/>
          <w:b/>
          <w:sz w:val="20"/>
        </w:rPr>
      </w:pPr>
      <w:r>
        <w:rPr>
          <w:rFonts w:ascii="Times New Roman" w:hAnsi="Times New Roman"/>
          <w:b/>
          <w:sz w:val="20"/>
        </w:rPr>
        <w:t>Jefe del </w:t>
      </w:r>
      <w:r>
        <w:rPr>
          <w:rFonts w:ascii="Times New Roman" w:hAnsi="Times New Roman"/>
          <w:b/>
          <w:w w:val="95"/>
          <w:sz w:val="20"/>
        </w:rPr>
        <w:t>Departamento </w:t>
      </w:r>
      <w:r>
        <w:rPr>
          <w:rFonts w:ascii="Times New Roman" w:hAnsi="Times New Roman"/>
          <w:b/>
          <w:sz w:val="20"/>
        </w:rPr>
        <w:t>de Fomento Económico y Turismo</w:t>
      </w:r>
    </w:p>
    <w:p>
      <w:pPr>
        <w:spacing w:after="0" w:line="276" w:lineRule="auto"/>
        <w:jc w:val="center"/>
        <w:rPr>
          <w:rFonts w:ascii="Times New Roman" w:hAnsi="Times New Roman"/>
          <w:sz w:val="20"/>
        </w:rPr>
        <w:sectPr>
          <w:type w:val="continuous"/>
          <w:pgSz w:w="12240" w:h="15840"/>
          <w:pgMar w:top="1360" w:bottom="1200" w:left="1440" w:right="1280"/>
        </w:sectPr>
      </w:pPr>
    </w:p>
    <w:p>
      <w:pPr>
        <w:pStyle w:val="BodyText"/>
        <w:spacing w:line="360" w:lineRule="auto" w:before="53"/>
        <w:ind w:left="102" w:right="121"/>
        <w:jc w:val="both"/>
      </w:pPr>
      <w:r>
        <w:rPr>
          <w:b/>
        </w:rPr>
        <w:t>Fuente: </w:t>
      </w:r>
      <w:r>
        <w:rPr/>
        <w:t>Elaboración propia con base en la revisión bibliográfica y el Trabajo de Campo, García (2013-2015).</w:t>
      </w:r>
    </w:p>
    <w:p>
      <w:pPr>
        <w:pStyle w:val="BodyText"/>
        <w:spacing w:before="10"/>
        <w:rPr>
          <w:sz w:val="24"/>
        </w:rPr>
      </w:pPr>
    </w:p>
    <w:p>
      <w:pPr>
        <w:pStyle w:val="BodyText"/>
        <w:spacing w:line="360" w:lineRule="auto"/>
        <w:ind w:left="102" w:right="112"/>
        <w:jc w:val="both"/>
      </w:pPr>
      <w:r>
        <w:rPr/>
        <w:t>En el anterior mapa de actores municipales (junto con las entrevistas), se pudo detectar que los cabildos y jefes de medio ambiente que tienen a su cargo el tema del agua, tienen </w:t>
      </w:r>
      <w:r>
        <w:rPr>
          <w:i/>
        </w:rPr>
        <w:t>poca o nula identidad </w:t>
      </w:r>
      <w:r>
        <w:rPr/>
        <w:t>con la cuenca hidrosocial y con los actores de la presa Huapango, ya que proceden de otros municipios. A lo anterior que es un defecto de falta de conocimiento e interés por los actores, se suma que el periodo de gobierno municipal solo dura tres años, lo que es poco tiemo para entender, detectar y resolver los problemas de la cuenca.</w:t>
      </w:r>
    </w:p>
    <w:p>
      <w:pPr>
        <w:pStyle w:val="BodyText"/>
        <w:spacing w:before="11"/>
        <w:rPr>
          <w:sz w:val="24"/>
        </w:rPr>
      </w:pPr>
    </w:p>
    <w:p>
      <w:pPr>
        <w:spacing w:line="360" w:lineRule="auto" w:before="0"/>
        <w:ind w:left="102" w:right="112" w:firstLine="0"/>
        <w:jc w:val="both"/>
        <w:rPr>
          <w:sz w:val="22"/>
        </w:rPr>
      </w:pPr>
      <w:r>
        <w:rPr>
          <w:sz w:val="22"/>
        </w:rPr>
        <w:t>Cuando se constituyen los Ejidos y los Municipios como instituciones, </w:t>
      </w:r>
      <w:r>
        <w:rPr>
          <w:i/>
          <w:sz w:val="22"/>
        </w:rPr>
        <w:t>surgen las </w:t>
      </w:r>
      <w:r>
        <w:rPr>
          <w:i/>
          <w:sz w:val="22"/>
        </w:rPr>
        <w:t>autoridades auxiliares, </w:t>
      </w:r>
      <w:r>
        <w:rPr>
          <w:sz w:val="22"/>
        </w:rPr>
        <w:t>que en contraste con el anterior mapa de actores municipales, donde existe una estructura orgánica diferente para cada uno de los municipios,  se detectó una misma estructura integrada por </w:t>
      </w:r>
      <w:r>
        <w:rPr>
          <w:i/>
          <w:sz w:val="22"/>
        </w:rPr>
        <w:t>delegados municipales </w:t>
      </w:r>
      <w:r>
        <w:rPr>
          <w:sz w:val="22"/>
        </w:rPr>
        <w:t>(representantes del ayuntamiento) y </w:t>
      </w:r>
      <w:r>
        <w:rPr>
          <w:i/>
          <w:sz w:val="22"/>
        </w:rPr>
        <w:t>comisariados ejidales </w:t>
      </w:r>
      <w:r>
        <w:rPr>
          <w:sz w:val="22"/>
        </w:rPr>
        <w:t>(representantes de El Ejido) y sólo para el caso del municipio de Timilpan un </w:t>
      </w:r>
      <w:r>
        <w:rPr>
          <w:i/>
          <w:sz w:val="22"/>
        </w:rPr>
        <w:t>presidente de unión de ejidos </w:t>
      </w:r>
      <w:r>
        <w:rPr>
          <w:sz w:val="22"/>
        </w:rPr>
        <w:t>(representante de todos los ejidos del municipio).</w:t>
      </w:r>
    </w:p>
    <w:p>
      <w:pPr>
        <w:pStyle w:val="BodyText"/>
        <w:spacing w:before="10"/>
        <w:rPr>
          <w:sz w:val="24"/>
        </w:rPr>
      </w:pPr>
    </w:p>
    <w:p>
      <w:pPr>
        <w:pStyle w:val="BodyText"/>
        <w:spacing w:line="360" w:lineRule="auto" w:before="1"/>
        <w:ind w:left="102" w:right="116"/>
        <w:jc w:val="both"/>
      </w:pPr>
      <w:r>
        <w:rPr/>
        <w:t>Los </w:t>
      </w:r>
      <w:r>
        <w:rPr>
          <w:i/>
        </w:rPr>
        <w:t>delegados </w:t>
      </w:r>
      <w:r>
        <w:rPr/>
        <w:t>son representantes del Ayuntamiento y vínculo con la ciudadanía en el territorio municipal, además de constituirse en gestores de servicios para sus respectivas localidades. El cargo de delegado se designa mediante procedimientos de elección  directa o indirecta a propuesta del Ayuntamiento en asambleas vecinales o por aplicación de procedimientos electorales que organiza la propia autoridad municipal y tienen una duración de tres años, periodo que coincide con la duración del Ayuntamiento. Son ciudadanos que las comunidades eligen y son reconocidos oficialmente por el Ayuntamiento. No tienen facultades ejecutivas, pero tienen a su cargo funciones auxiliares de seguridad pública; organizan a la comunidad para la prestación de servicios públicos; se desempeñan como auxiliares de recaudación de contribuciones especiales; representan a la comunidad ante el ayuntamiento; tienen a su cargo la expedición de constancias de residencia, entre</w:t>
      </w:r>
      <w:r>
        <w:rPr>
          <w:spacing w:val="-9"/>
        </w:rPr>
        <w:t> </w:t>
      </w:r>
      <w:r>
        <w:rPr/>
        <w:t>otras.</w:t>
      </w:r>
    </w:p>
    <w:p>
      <w:pPr>
        <w:pStyle w:val="BodyText"/>
        <w:spacing w:before="10"/>
        <w:rPr>
          <w:sz w:val="24"/>
        </w:rPr>
      </w:pPr>
    </w:p>
    <w:p>
      <w:pPr>
        <w:pStyle w:val="BodyText"/>
        <w:spacing w:line="357" w:lineRule="auto"/>
        <w:ind w:left="102" w:right="116"/>
        <w:jc w:val="both"/>
      </w:pPr>
      <w:r>
        <w:rPr/>
        <w:t>Por otro lado, de acuerdo con la Procuraduría Agraria (2015), El Ejido o la comunidad cuentan con tres órganos fundamentales:</w:t>
      </w:r>
    </w:p>
    <w:p>
      <w:pPr>
        <w:spacing w:after="0" w:line="357" w:lineRule="auto"/>
        <w:jc w:val="both"/>
        <w:sectPr>
          <w:pgSz w:w="12240" w:h="15840"/>
          <w:pgMar w:header="0" w:footer="1003" w:top="1360" w:bottom="1200" w:left="1600" w:right="1580"/>
        </w:sectPr>
      </w:pPr>
    </w:p>
    <w:p>
      <w:pPr>
        <w:pStyle w:val="BodyText"/>
        <w:rPr>
          <w:sz w:val="20"/>
        </w:rPr>
      </w:pPr>
    </w:p>
    <w:p>
      <w:pPr>
        <w:pStyle w:val="BodyText"/>
        <w:spacing w:before="7"/>
        <w:rPr>
          <w:sz w:val="23"/>
        </w:rPr>
      </w:pPr>
    </w:p>
    <w:p>
      <w:pPr>
        <w:pStyle w:val="ListParagraph"/>
        <w:numPr>
          <w:ilvl w:val="0"/>
          <w:numId w:val="44"/>
        </w:numPr>
        <w:tabs>
          <w:tab w:pos="409" w:val="left" w:leader="none"/>
        </w:tabs>
        <w:spacing w:line="360" w:lineRule="auto" w:before="72" w:after="0"/>
        <w:ind w:left="102" w:right="119" w:firstLine="0"/>
        <w:jc w:val="both"/>
        <w:rPr>
          <w:sz w:val="22"/>
        </w:rPr>
      </w:pPr>
      <w:r>
        <w:rPr>
          <w:b/>
          <w:sz w:val="22"/>
        </w:rPr>
        <w:t>La Asamblea</w:t>
      </w:r>
      <w:r>
        <w:rPr>
          <w:sz w:val="22"/>
        </w:rPr>
        <w:t>, órgano supremo del núcleo agrario en la que participan todos los ejidatarios y comuneros legalmente reconocidos, en ella se toman acuerdos y sus resoluciones son obligatorias para todos los integrantes del ejido o la</w:t>
      </w:r>
      <w:r>
        <w:rPr>
          <w:spacing w:val="-21"/>
          <w:sz w:val="22"/>
        </w:rPr>
        <w:t> </w:t>
      </w:r>
      <w:r>
        <w:rPr>
          <w:sz w:val="22"/>
        </w:rPr>
        <w:t>comunidad.</w:t>
      </w:r>
    </w:p>
    <w:p>
      <w:pPr>
        <w:pStyle w:val="BodyText"/>
        <w:spacing w:before="8"/>
        <w:rPr>
          <w:sz w:val="24"/>
        </w:rPr>
      </w:pPr>
    </w:p>
    <w:p>
      <w:pPr>
        <w:pStyle w:val="ListParagraph"/>
        <w:numPr>
          <w:ilvl w:val="0"/>
          <w:numId w:val="44"/>
        </w:numPr>
        <w:tabs>
          <w:tab w:pos="412" w:val="left" w:leader="none"/>
        </w:tabs>
        <w:spacing w:line="360" w:lineRule="auto" w:before="0" w:after="0"/>
        <w:ind w:left="102" w:right="115" w:firstLine="0"/>
        <w:jc w:val="both"/>
        <w:rPr>
          <w:sz w:val="22"/>
        </w:rPr>
      </w:pPr>
      <w:r>
        <w:rPr>
          <w:b/>
          <w:i/>
          <w:sz w:val="22"/>
        </w:rPr>
        <w:t>El Comisariado Ejidal o de Bienes Comunales</w:t>
      </w:r>
      <w:r>
        <w:rPr>
          <w:sz w:val="22"/>
        </w:rPr>
        <w:t>, es el órgano encargado de la ejecución de los acuerdos de la asamblea, de ejercer la representación legal del núcleo ante instancias judiciales, administrativas o particulares, así como de la gestión administrativa del ejido o la comunidad. Está integrado por un Presidente, un Secretario y un Tesorero, propietarios y sus respectivos suplentes que son electos en Asamblea cada tres años, mediante voto secreto y recuento de votos público e inmediato, de acuerdo con lo establecido en los artículos 23 fracción III y 37 de la Ley</w:t>
      </w:r>
      <w:r>
        <w:rPr>
          <w:spacing w:val="-16"/>
          <w:sz w:val="22"/>
        </w:rPr>
        <w:t> </w:t>
      </w:r>
      <w:r>
        <w:rPr>
          <w:sz w:val="22"/>
        </w:rPr>
        <w:t>Agraria.</w:t>
      </w:r>
    </w:p>
    <w:p>
      <w:pPr>
        <w:pStyle w:val="BodyText"/>
        <w:spacing w:before="8"/>
        <w:rPr>
          <w:sz w:val="24"/>
        </w:rPr>
      </w:pPr>
    </w:p>
    <w:p>
      <w:pPr>
        <w:pStyle w:val="ListParagraph"/>
        <w:numPr>
          <w:ilvl w:val="0"/>
          <w:numId w:val="44"/>
        </w:numPr>
        <w:tabs>
          <w:tab w:pos="364" w:val="left" w:leader="none"/>
        </w:tabs>
        <w:spacing w:line="360" w:lineRule="auto" w:before="0" w:after="0"/>
        <w:ind w:left="102" w:right="115" w:firstLine="0"/>
        <w:jc w:val="both"/>
        <w:rPr>
          <w:sz w:val="22"/>
        </w:rPr>
      </w:pPr>
      <w:r>
        <w:rPr>
          <w:b/>
          <w:sz w:val="22"/>
        </w:rPr>
        <w:t>El Consejo de Vigilancia</w:t>
      </w:r>
      <w:r>
        <w:rPr>
          <w:sz w:val="22"/>
        </w:rPr>
        <w:t>, es el órgano encargado de supervisar los actos del órgano de representación, de conformidad con lo dispuesto por la Ley Agraria, el Reglamento Interno o Estatuto Comunal y los acuerdos de asamblea. Está integrado por un Presidente y dos Secretarios, propietarios y sus respectivos suplentes que son electos en Asamblea cada tres</w:t>
      </w:r>
      <w:r>
        <w:rPr>
          <w:spacing w:val="-1"/>
          <w:sz w:val="22"/>
        </w:rPr>
        <w:t> </w:t>
      </w:r>
      <w:r>
        <w:rPr>
          <w:sz w:val="22"/>
        </w:rPr>
        <w:t>años.</w:t>
      </w:r>
    </w:p>
    <w:p>
      <w:pPr>
        <w:pStyle w:val="BodyText"/>
        <w:spacing w:before="8"/>
        <w:rPr>
          <w:sz w:val="24"/>
        </w:rPr>
      </w:pPr>
    </w:p>
    <w:p>
      <w:pPr>
        <w:pStyle w:val="BodyText"/>
        <w:spacing w:line="360" w:lineRule="auto"/>
        <w:ind w:left="102" w:right="119"/>
        <w:jc w:val="both"/>
      </w:pPr>
      <w:r>
        <w:rPr/>
        <w:t>La remoción de los órganos de representación y de vigilancia, es la facultad de la asamblea de ejidatarios o comuneros para remover de sus cargos, por voto secreto o abierto en cualquier momento, a los integrantes del comisariado ejidal o de bienes comunales y del consejo de vigilancia.</w:t>
      </w:r>
    </w:p>
    <w:p>
      <w:pPr>
        <w:pStyle w:val="BodyText"/>
        <w:spacing w:before="8"/>
        <w:rPr>
          <w:sz w:val="24"/>
        </w:rPr>
      </w:pPr>
    </w:p>
    <w:p>
      <w:pPr>
        <w:pStyle w:val="BodyText"/>
        <w:spacing w:line="360" w:lineRule="auto"/>
        <w:ind w:left="102" w:right="114"/>
        <w:jc w:val="both"/>
      </w:pPr>
      <w:r>
        <w:rPr/>
        <w:t>En este sentido, para el caso de la cuenca hidrosocial presa Huapango, se identificó el siguiente mapa de actores, donde los </w:t>
      </w:r>
      <w:r>
        <w:rPr>
          <w:i/>
        </w:rPr>
        <w:t>Comisariados Ejidales </w:t>
      </w:r>
      <w:r>
        <w:rPr/>
        <w:t>son los representantes de El Ejido y los </w:t>
      </w:r>
      <w:r>
        <w:rPr>
          <w:i/>
        </w:rPr>
        <w:t>Delegados </w:t>
      </w:r>
      <w:r>
        <w:rPr/>
        <w:t>representan a la ciudadanía frente al Ayuntamiento.</w:t>
      </w:r>
    </w:p>
    <w:p>
      <w:pPr>
        <w:spacing w:after="0" w:line="360" w:lineRule="auto"/>
        <w:jc w:val="both"/>
        <w:sectPr>
          <w:pgSz w:w="12240" w:h="15840"/>
          <w:pgMar w:header="0" w:footer="1003" w:top="1500" w:bottom="1200" w:left="1600" w:right="1580"/>
        </w:sectPr>
      </w:pPr>
    </w:p>
    <w:p>
      <w:pPr>
        <w:pStyle w:val="Heading6"/>
        <w:spacing w:before="51"/>
        <w:ind w:left="1333"/>
      </w:pPr>
      <w:r>
        <w:rPr/>
        <w:t>Esquema 5.3. Mapa de Actores de las Autoridades Auxiliares</w:t>
      </w:r>
    </w:p>
    <w:p>
      <w:pPr>
        <w:pStyle w:val="BodyText"/>
        <w:spacing w:before="1"/>
        <w:rPr>
          <w:b/>
          <w:sz w:val="26"/>
        </w:rPr>
      </w:pPr>
      <w:r>
        <w:rPr/>
        <w:pict>
          <v:group style="position:absolute;margin-left:100.25pt;margin-top:16.988941pt;width:436.55pt;height:233.95pt;mso-position-horizontal-relative:page;mso-position-vertical-relative:paragraph;z-index:7984;mso-wrap-distance-left:0;mso-wrap-distance-right:0" coordorigin="2005,340" coordsize="8731,4679">
            <v:rect style="position:absolute;left:3885;top:360;width:3748;height:529" filled="false" stroked="true" strokeweight="2pt" strokecolor="#000000"/>
            <v:line style="position:absolute" from="5895,856" to="5895,1307" stroked="true" strokeweight="1.25pt" strokecolor="#000000"/>
            <v:line style="position:absolute" from="2784,1291" to="9318,1291" stroked="true" strokeweight="1.25pt" strokecolor="#000000"/>
            <v:rect style="position:absolute;left:2037;top:1576;width:1535;height:448" filled="false" stroked="true" strokeweight="2pt" strokecolor="#000000"/>
            <v:line style="position:absolute" from="2784,1291" to="2784,1576" stroked="true" strokeweight="1.25pt" strokecolor="#000000"/>
            <v:rect style="position:absolute;left:3681;top:1590;width:1290;height:434" filled="false" stroked="true" strokeweight="2.0pt" strokecolor="#000000"/>
            <v:line style="position:absolute" from="4252,1304" to="4252,1589" stroked="true" strokeweight="1.25pt" strokecolor="#000000"/>
            <v:rect style="position:absolute;left:5094;top:1562;width:1589;height:448" filled="false" stroked="true" strokeweight="2pt" strokecolor="#000000"/>
            <v:line style="position:absolute" from="5895,1304" to="5895,1589" stroked="true" strokeweight="1.25pt" strokecolor="#000000"/>
            <v:rect style="position:absolute;left:6806;top:1576;width:1806;height:434" filled="false" stroked="true" strokeweight="2pt" strokecolor="#000000"/>
            <v:rect style="position:absolute;left:8680;top:1590;width:1534;height:407" filled="false" stroked="true" strokeweight="2.0pt" strokecolor="#000000"/>
            <v:line style="position:absolute" from="7716,1291" to="7716,1576" stroked="true" strokeweight="1.25pt" strokecolor="#000000"/>
            <v:line style="position:absolute" from="9305,1304" to="9305,1589" stroked="true" strokeweight="1.25pt" strokecolor="#000000"/>
            <v:rect style="position:absolute;left:2079;top:2295;width:1494;height:706" filled="false" stroked="true" strokeweight="2pt" strokecolor="#000000"/>
            <v:line style="position:absolute" from="2847,2019" to="2847,2304" stroked="true" strokeweight="1.25pt" strokecolor="#000000"/>
            <v:line style="position:absolute" from="4314,2020" to="4314,2305" stroked="true" strokeweight="1.25pt" strokecolor="#000000"/>
            <v:line style="position:absolute" from="5890,2020" to="5890,2275" stroked="true" strokeweight="1.25pt" strokecolor="#000000"/>
            <v:line style="position:absolute" from="7778,2020" to="7778,2262" stroked="true" strokeweight="1.25pt" strokecolor="#000000"/>
            <v:line style="position:absolute" from="9380,1991" to="9380,2276" stroked="true" strokeweight="1.25pt" strokecolor="#000000"/>
            <v:rect style="position:absolute;left:2025;top:3286;width:1657;height:751" filled="false" stroked="true" strokeweight="2pt" strokecolor="#000000"/>
            <v:line style="position:absolute" from="2847,2996" to="2847,3281" stroked="true" strokeweight="1.25pt" strokecolor="#000000"/>
            <v:rect style="position:absolute;left:3745;top:2303;width:1494;height:706" filled="false" stroked="true" strokeweight="2pt" strokecolor="#000000"/>
            <v:rect style="position:absolute;left:5388;top:2275;width:1494;height:706" filled="false" stroked="true" strokeweight="2pt" strokecolor="#000000"/>
            <v:rect style="position:absolute;left:7113;top:2262;width:1494;height:706" filled="false" stroked="true" strokeweight="2pt" strokecolor="#000000"/>
            <v:rect style="position:absolute;left:8721;top:2255;width:1562;height:706" filled="true" fillcolor="#ffffff" stroked="false">
              <v:fill type="solid"/>
            </v:rect>
            <v:rect style="position:absolute;left:8721;top:2255;width:1562;height:706" filled="false" stroked="true" strokeweight="2pt" strokecolor="#000000"/>
            <v:line style="position:absolute" from="4418,3005" to="4418,3290" stroked="true" strokeweight="1.25pt" strokecolor="#000000"/>
            <v:line style="position:absolute" from="5994,3004" to="5994,3289" stroked="true" strokeweight="1.25pt" strokecolor="#000000"/>
            <v:line style="position:absolute" from="7868,2962" to="7868,3247" stroked="true" strokeweight="1.25pt" strokecolor="#000000"/>
            <v:line style="position:absolute" from="9444,2962" to="9444,3247" stroked="true" strokeweight="1.25pt" strokecolor="#000000"/>
            <v:rect style="position:absolute;left:8842;top:4251;width:1874;height:747" filled="false" stroked="true" strokeweight="2pt" strokecolor="#000000"/>
            <v:line style="position:absolute" from="9593,3986" to="9593,4271" stroked="true" strokeweight="1.25pt" strokecolor="#000000"/>
            <v:rect style="position:absolute;left:3745;top:3281;width:1657;height:751" filled="false" stroked="true" strokeweight="2.0pt" strokecolor="#000000"/>
            <v:rect style="position:absolute;left:5457;top:3281;width:1657;height:751" filled="false" stroked="true" strokeweight="2.0pt" strokecolor="#000000"/>
            <v:rect style="position:absolute;left:7182;top:3254;width:1657;height:751" filled="false" stroked="true" strokeweight="2pt" strokecolor="#000000"/>
            <v:rect style="position:absolute;left:8911;top:3232;width:1657;height:751" filled="false" stroked="true" strokeweight="2pt" strokecolor="#000000"/>
            <v:shape style="position:absolute;left:3885;top:360;width:3790;height:529" type="#_x0000_t202" filled="false" stroked="false">
              <v:textbox inset="0,0,0,0">
                <w:txbxContent>
                  <w:p>
                    <w:pPr>
                      <w:spacing w:before="92"/>
                      <w:ind w:left="342" w:right="0" w:firstLine="0"/>
                      <w:jc w:val="left"/>
                      <w:rPr>
                        <w:rFonts w:ascii="Times New Roman"/>
                        <w:b/>
                        <w:sz w:val="22"/>
                      </w:rPr>
                    </w:pPr>
                    <w:r>
                      <w:rPr>
                        <w:rFonts w:ascii="Times New Roman"/>
                        <w:b/>
                        <w:sz w:val="22"/>
                      </w:rPr>
                      <w:t>AUTORIDADES AUXILIARES</w:t>
                    </w:r>
                  </w:p>
                </w:txbxContent>
              </v:textbox>
              <w10:wrap type="none"/>
            </v:shape>
            <v:shape style="position:absolute;left:2047;top:1578;width:1526;height:437" type="#_x0000_t202" filled="false" stroked="false">
              <v:textbox inset="0,0,0,0">
                <w:txbxContent>
                  <w:p>
                    <w:pPr>
                      <w:spacing w:before="88"/>
                      <w:ind w:left="182" w:right="153" w:firstLine="0"/>
                      <w:jc w:val="left"/>
                      <w:rPr>
                        <w:rFonts w:ascii="Times New Roman"/>
                        <w:b/>
                        <w:sz w:val="22"/>
                      </w:rPr>
                    </w:pPr>
                    <w:r>
                      <w:rPr>
                        <w:rFonts w:ascii="Times New Roman"/>
                        <w:b/>
                        <w:sz w:val="22"/>
                      </w:rPr>
                      <w:t>ACAMBAY</w:t>
                    </w:r>
                  </w:p>
                </w:txbxContent>
              </v:textbox>
              <w10:wrap type="none"/>
            </v:shape>
            <v:shape style="position:absolute;left:3713;top:1578;width:1258;height:437" type="#_x0000_t202" filled="false" stroked="false">
              <v:textbox inset="0,0,0,0">
                <w:txbxContent>
                  <w:p>
                    <w:pPr>
                      <w:spacing w:before="102"/>
                      <w:ind w:left="137" w:right="0" w:firstLine="0"/>
                      <w:jc w:val="left"/>
                      <w:rPr>
                        <w:rFonts w:ascii="Times New Roman"/>
                        <w:b/>
                        <w:sz w:val="22"/>
                      </w:rPr>
                    </w:pPr>
                    <w:r>
                      <w:rPr>
                        <w:rFonts w:ascii="Times New Roman"/>
                        <w:b/>
                        <w:sz w:val="22"/>
                      </w:rPr>
                      <w:t>ACULCO</w:t>
                    </w:r>
                  </w:p>
                </w:txbxContent>
              </v:textbox>
              <w10:wrap type="none"/>
            </v:shape>
            <v:shape style="position:absolute;left:5094;top:1578;width:1589;height:437" type="#_x0000_t202" filled="false" stroked="false">
              <v:textbox inset="0,0,0,0">
                <w:txbxContent>
                  <w:p>
                    <w:pPr>
                      <w:spacing w:before="74"/>
                      <w:ind w:left="170" w:right="0" w:firstLine="0"/>
                      <w:jc w:val="left"/>
                      <w:rPr>
                        <w:rFonts w:ascii="Times New Roman"/>
                        <w:b/>
                        <w:sz w:val="22"/>
                      </w:rPr>
                    </w:pPr>
                    <w:r>
                      <w:rPr>
                        <w:rFonts w:ascii="Times New Roman"/>
                        <w:b/>
                        <w:sz w:val="22"/>
                      </w:rPr>
                      <w:t>JILOTEPEC</w:t>
                    </w:r>
                  </w:p>
                </w:txbxContent>
              </v:textbox>
              <w10:wrap type="none"/>
            </v:shape>
            <v:shape style="position:absolute;left:6844;top:1578;width:1811;height:437" type="#_x0000_t202" filled="false" stroked="false">
              <v:textbox inset="0,0,0,0">
                <w:txbxContent>
                  <w:p>
                    <w:pPr>
                      <w:spacing w:before="88"/>
                      <w:ind w:left="131" w:right="0" w:firstLine="0"/>
                      <w:jc w:val="left"/>
                      <w:rPr>
                        <w:rFonts w:ascii="Times New Roman" w:hAnsi="Times New Roman"/>
                        <w:b/>
                        <w:sz w:val="22"/>
                      </w:rPr>
                    </w:pPr>
                    <w:r>
                      <w:rPr>
                        <w:rFonts w:ascii="Times New Roman" w:hAnsi="Times New Roman"/>
                        <w:b/>
                        <w:sz w:val="22"/>
                      </w:rPr>
                      <w:t>POLOTITLÁN</w:t>
                    </w:r>
                  </w:p>
                </w:txbxContent>
              </v:textbox>
              <w10:wrap type="none"/>
            </v:shape>
            <v:shape style="position:absolute;left:8655;top:1578;width:1594;height:437" type="#_x0000_t202" filled="false" stroked="false">
              <v:textbox inset="0,0,0,0">
                <w:txbxContent>
                  <w:p>
                    <w:pPr>
                      <w:spacing w:before="102"/>
                      <w:ind w:left="231" w:right="153" w:firstLine="0"/>
                      <w:jc w:val="left"/>
                      <w:rPr>
                        <w:rFonts w:ascii="Times New Roman"/>
                        <w:b/>
                        <w:sz w:val="22"/>
                      </w:rPr>
                    </w:pPr>
                    <w:r>
                      <w:rPr>
                        <w:rFonts w:ascii="Times New Roman"/>
                        <w:b/>
                        <w:sz w:val="22"/>
                      </w:rPr>
                      <w:t>TIMILPAN</w:t>
                    </w:r>
                  </w:p>
                </w:txbxContent>
              </v:textbox>
              <w10:wrap type="none"/>
            </v:shape>
            <v:shape style="position:absolute;left:2047;top:2270;width:1526;height:706" type="#_x0000_t202" filled="false" stroked="false">
              <v:textbox inset="0,0,0,0">
                <w:txbxContent>
                  <w:p>
                    <w:pPr>
                      <w:spacing w:line="244" w:lineRule="auto" w:before="116"/>
                      <w:ind w:left="204" w:right="153" w:firstLine="98"/>
                      <w:jc w:val="left"/>
                      <w:rPr>
                        <w:rFonts w:ascii="Times New Roman"/>
                        <w:b/>
                        <w:sz w:val="22"/>
                      </w:rPr>
                    </w:pPr>
                    <w:r>
                      <w:rPr>
                        <w:rFonts w:ascii="Times New Roman"/>
                        <w:b/>
                        <w:sz w:val="22"/>
                      </w:rPr>
                      <w:t>Delegados Municipales</w:t>
                    </w:r>
                  </w:p>
                </w:txbxContent>
              </v:textbox>
              <w10:wrap type="none"/>
            </v:shape>
            <v:shape style="position:absolute;left:3713;top:2270;width:1526;height:706" type="#_x0000_t202" filled="false" stroked="false">
              <v:textbox inset="0,0,0,0">
                <w:txbxContent>
                  <w:p>
                    <w:pPr>
                      <w:spacing w:line="247" w:lineRule="auto" w:before="123"/>
                      <w:ind w:left="204" w:right="153" w:firstLine="98"/>
                      <w:jc w:val="left"/>
                      <w:rPr>
                        <w:rFonts w:ascii="Times New Roman"/>
                        <w:b/>
                        <w:sz w:val="22"/>
                      </w:rPr>
                    </w:pPr>
                    <w:r>
                      <w:rPr>
                        <w:rFonts w:ascii="Times New Roman"/>
                        <w:b/>
                        <w:sz w:val="22"/>
                      </w:rPr>
                      <w:t>Delegados Municipales</w:t>
                    </w:r>
                  </w:p>
                </w:txbxContent>
              </v:textbox>
              <w10:wrap type="none"/>
            </v:shape>
            <v:shape style="position:absolute;left:5409;top:2270;width:1436;height:706" type="#_x0000_t202" filled="false" stroked="false">
              <v:textbox inset="0,0,0,0">
                <w:txbxContent>
                  <w:p>
                    <w:pPr>
                      <w:spacing w:line="244" w:lineRule="auto" w:before="96"/>
                      <w:ind w:left="150" w:right="117" w:firstLine="98"/>
                      <w:jc w:val="left"/>
                      <w:rPr>
                        <w:rFonts w:ascii="Times New Roman"/>
                        <w:b/>
                        <w:sz w:val="22"/>
                      </w:rPr>
                    </w:pPr>
                    <w:r>
                      <w:rPr>
                        <w:rFonts w:ascii="Times New Roman"/>
                        <w:b/>
                        <w:sz w:val="22"/>
                      </w:rPr>
                      <w:t>Delegados Municipales</w:t>
                    </w:r>
                  </w:p>
                </w:txbxContent>
              </v:textbox>
              <w10:wrap type="none"/>
            </v:shape>
            <v:shape style="position:absolute;left:7136;top:2270;width:1519;height:706" type="#_x0000_t202" filled="false" stroked="false">
              <v:textbox inset="0,0,0,0">
                <w:txbxContent>
                  <w:p>
                    <w:pPr>
                      <w:spacing w:line="247" w:lineRule="auto" w:before="82"/>
                      <w:ind w:left="149" w:right="201" w:firstLine="98"/>
                      <w:jc w:val="left"/>
                      <w:rPr>
                        <w:rFonts w:ascii="Times New Roman"/>
                        <w:b/>
                        <w:sz w:val="22"/>
                      </w:rPr>
                    </w:pPr>
                    <w:r>
                      <w:rPr>
                        <w:rFonts w:ascii="Times New Roman"/>
                        <w:b/>
                        <w:sz w:val="22"/>
                      </w:rPr>
                      <w:t>Delegados Municipales</w:t>
                    </w:r>
                  </w:p>
                </w:txbxContent>
              </v:textbox>
              <w10:wrap type="none"/>
            </v:shape>
            <v:shape style="position:absolute;left:8655;top:2270;width:1594;height:706" type="#_x0000_t202" filled="false" stroked="false">
              <v:textbox inset="0,0,0,0">
                <w:txbxContent>
                  <w:p>
                    <w:pPr>
                      <w:spacing w:line="247" w:lineRule="auto" w:before="75"/>
                      <w:ind w:left="272" w:right="153" w:firstLine="99"/>
                      <w:jc w:val="left"/>
                      <w:rPr>
                        <w:rFonts w:ascii="Times New Roman"/>
                        <w:b/>
                        <w:sz w:val="22"/>
                      </w:rPr>
                    </w:pPr>
                    <w:r>
                      <w:rPr>
                        <w:rFonts w:ascii="Times New Roman"/>
                        <w:b/>
                        <w:sz w:val="22"/>
                      </w:rPr>
                      <w:t>Delegados Municipales</w:t>
                    </w:r>
                  </w:p>
                </w:txbxContent>
              </v:textbox>
              <w10:wrap type="none"/>
            </v:shape>
            <v:shape style="position:absolute;left:2047;top:3257;width:1667;height:776" type="#_x0000_t202" filled="false" stroked="false">
              <v:textbox inset="0,0,0,0">
                <w:txbxContent>
                  <w:p>
                    <w:pPr>
                      <w:spacing w:line="247" w:lineRule="auto" w:before="121"/>
                      <w:ind w:left="427" w:right="196" w:hanging="272"/>
                      <w:jc w:val="left"/>
                      <w:rPr>
                        <w:rFonts w:ascii="Times New Roman"/>
                        <w:b/>
                        <w:sz w:val="22"/>
                      </w:rPr>
                    </w:pPr>
                    <w:r>
                      <w:rPr>
                        <w:rFonts w:ascii="Times New Roman"/>
                        <w:b/>
                        <w:sz w:val="22"/>
                      </w:rPr>
                      <w:t>Comisariados Ejidales</w:t>
                    </w:r>
                  </w:p>
                </w:txbxContent>
              </v:textbox>
              <w10:wrap type="none"/>
            </v:shape>
            <v:shape style="position:absolute;left:3713;top:3257;width:1696;height:776" type="#_x0000_t202" filled="false" stroked="false">
              <v:textbox inset="0,0,0,0">
                <w:txbxContent>
                  <w:p>
                    <w:pPr>
                      <w:spacing w:line="247" w:lineRule="auto" w:before="116"/>
                      <w:ind w:left="482" w:right="170" w:hanging="272"/>
                      <w:jc w:val="left"/>
                      <w:rPr>
                        <w:rFonts w:ascii="Times New Roman"/>
                        <w:b/>
                        <w:sz w:val="22"/>
                      </w:rPr>
                    </w:pPr>
                    <w:r>
                      <w:rPr>
                        <w:rFonts w:ascii="Times New Roman"/>
                        <w:b/>
                        <w:sz w:val="22"/>
                      </w:rPr>
                      <w:t>Comisariados Ejidales</w:t>
                    </w:r>
                  </w:p>
                </w:txbxContent>
              </v:textbox>
              <w10:wrap type="none"/>
            </v:shape>
            <v:shape style="position:absolute;left:5409;top:3257;width:1728;height:776" type="#_x0000_t202" filled="false" stroked="false">
              <v:textbox inset="0,0,0,0">
                <w:txbxContent>
                  <w:p>
                    <w:pPr>
                      <w:spacing w:line="247" w:lineRule="auto" w:before="116"/>
                      <w:ind w:left="498" w:right="186" w:hanging="272"/>
                      <w:jc w:val="left"/>
                      <w:rPr>
                        <w:rFonts w:ascii="Times New Roman"/>
                        <w:b/>
                        <w:sz w:val="22"/>
                      </w:rPr>
                    </w:pPr>
                    <w:r>
                      <w:rPr>
                        <w:rFonts w:ascii="Times New Roman"/>
                        <w:b/>
                        <w:sz w:val="22"/>
                      </w:rPr>
                      <w:t>Comisariados Ejidales</w:t>
                    </w:r>
                  </w:p>
                </w:txbxContent>
              </v:textbox>
              <w10:wrap type="none"/>
            </v:shape>
            <v:shape style="position:absolute;left:7136;top:3257;width:1728;height:776" type="#_x0000_t202" filled="false" stroked="false">
              <v:textbox inset="0,0,0,0">
                <w:txbxContent>
                  <w:p>
                    <w:pPr>
                      <w:spacing w:line="244" w:lineRule="auto" w:before="89"/>
                      <w:ind w:left="497" w:right="187" w:hanging="272"/>
                      <w:jc w:val="left"/>
                      <w:rPr>
                        <w:rFonts w:ascii="Times New Roman"/>
                        <w:b/>
                        <w:sz w:val="22"/>
                      </w:rPr>
                    </w:pPr>
                    <w:r>
                      <w:rPr>
                        <w:rFonts w:ascii="Times New Roman"/>
                        <w:b/>
                        <w:sz w:val="22"/>
                      </w:rPr>
                      <w:t>Comisariados Ejidales</w:t>
                    </w:r>
                  </w:p>
                </w:txbxContent>
              </v:textbox>
              <w10:wrap type="none"/>
            </v:shape>
            <v:shape style="position:absolute;left:8864;top:3257;width:1704;height:776" type="#_x0000_t202" filled="false" stroked="false">
              <v:textbox inset="0,0,0,0">
                <w:txbxContent>
                  <w:p>
                    <w:pPr>
                      <w:spacing w:line="244" w:lineRule="auto" w:before="68"/>
                      <w:ind w:left="497" w:right="163" w:hanging="272"/>
                      <w:jc w:val="left"/>
                      <w:rPr>
                        <w:rFonts w:ascii="Times New Roman"/>
                        <w:b/>
                        <w:sz w:val="22"/>
                      </w:rPr>
                    </w:pPr>
                    <w:r>
                      <w:rPr>
                        <w:rFonts w:ascii="Times New Roman"/>
                        <w:b/>
                        <w:sz w:val="22"/>
                      </w:rPr>
                      <w:t>Comisariados Ejidales</w:t>
                    </w:r>
                  </w:p>
                </w:txbxContent>
              </v:textbox>
              <w10:wrap type="none"/>
            </v:shape>
            <v:shape style="position:absolute;left:8864;top:4251;width:1852;height:747" type="#_x0000_t202" filled="false" stroked="false">
              <v:textbox inset="0,0,0,0">
                <w:txbxContent>
                  <w:p>
                    <w:pPr>
                      <w:spacing w:line="244" w:lineRule="auto" w:before="91"/>
                      <w:ind w:left="164" w:right="164" w:firstLine="120"/>
                      <w:jc w:val="left"/>
                      <w:rPr>
                        <w:rFonts w:ascii="Times New Roman" w:hAnsi="Times New Roman"/>
                        <w:b/>
                        <w:sz w:val="22"/>
                      </w:rPr>
                    </w:pPr>
                    <w:r>
                      <w:rPr>
                        <w:rFonts w:ascii="Times New Roman" w:hAnsi="Times New Roman"/>
                        <w:b/>
                        <w:sz w:val="22"/>
                      </w:rPr>
                      <w:t>Presidente de Unión de Ejidos</w:t>
                    </w:r>
                  </w:p>
                </w:txbxContent>
              </v:textbox>
              <w10:wrap type="none"/>
            </v:shape>
            <w10:wrap type="topAndBottom"/>
          </v:group>
        </w:pict>
      </w:r>
    </w:p>
    <w:p>
      <w:pPr>
        <w:pStyle w:val="BodyText"/>
        <w:rPr>
          <w:b/>
        </w:rPr>
      </w:pPr>
    </w:p>
    <w:p>
      <w:pPr>
        <w:pStyle w:val="BodyText"/>
        <w:spacing w:before="2"/>
        <w:rPr>
          <w:b/>
          <w:sz w:val="26"/>
        </w:rPr>
      </w:pPr>
    </w:p>
    <w:p>
      <w:pPr>
        <w:pStyle w:val="BodyText"/>
        <w:spacing w:line="360" w:lineRule="auto"/>
        <w:ind w:left="102" w:right="302"/>
        <w:jc w:val="both"/>
      </w:pPr>
      <w:r>
        <w:rPr>
          <w:b/>
        </w:rPr>
        <w:t>Fuente: </w:t>
      </w:r>
      <w:r>
        <w:rPr/>
        <w:t>Elaboración propia con base en la revisión bibliográfica y Trabajo de Campo, García (2013-2015).</w:t>
      </w:r>
    </w:p>
    <w:p>
      <w:pPr>
        <w:pStyle w:val="BodyText"/>
        <w:spacing w:before="10"/>
        <w:rPr>
          <w:sz w:val="24"/>
        </w:rPr>
      </w:pPr>
    </w:p>
    <w:p>
      <w:pPr>
        <w:pStyle w:val="BodyText"/>
        <w:spacing w:line="360" w:lineRule="auto" w:before="1"/>
        <w:ind w:left="102" w:right="292"/>
        <w:jc w:val="both"/>
      </w:pPr>
      <w:r>
        <w:rPr/>
        <w:t>En el anterior mapa de actores de autoridades auxiliares, se identifica que existen para todos los municipios las figuras de delegados municipales y comisariados ejidales. Estos actores representan el contacto directo entre los tres niveles de gobierno y la sociedad.  Se aprecia por su origen, que estos actores </w:t>
      </w:r>
      <w:r>
        <w:rPr>
          <w:i/>
        </w:rPr>
        <w:t>guardan una gran identidad regional </w:t>
      </w:r>
      <w:r>
        <w:rPr/>
        <w:t>que comparten con los otros actores de la cuenca, entendido esto como una estructura social de origen</w:t>
      </w:r>
      <w:r>
        <w:rPr>
          <w:spacing w:val="-6"/>
        </w:rPr>
        <w:t> </w:t>
      </w:r>
      <w:r>
        <w:rPr/>
        <w:t>antiguo.</w:t>
      </w:r>
    </w:p>
    <w:p>
      <w:pPr>
        <w:pStyle w:val="BodyText"/>
        <w:spacing w:before="7"/>
        <w:rPr>
          <w:sz w:val="17"/>
        </w:rPr>
      </w:pPr>
    </w:p>
    <w:p>
      <w:pPr>
        <w:pStyle w:val="BodyText"/>
        <w:spacing w:line="360" w:lineRule="auto"/>
        <w:ind w:left="102" w:right="299"/>
        <w:jc w:val="both"/>
      </w:pPr>
      <w:r>
        <w:rPr/>
        <w:t>Por otro, lado la conformación de la administración pública centralizada tanto federal  como local, en primera instancia se ve conformada de acuerdo a los órganos  centralizados denominados Secretarías de Estado, si bien después de estas Secretarías existen otros órganos y dependencias públicas, la jerarquía de estos órganos públicos, conlleva el manejo de los más importantes asuntos clasificados en distintas</w:t>
      </w:r>
      <w:r>
        <w:rPr>
          <w:spacing w:val="-22"/>
        </w:rPr>
        <w:t> </w:t>
      </w:r>
      <w:r>
        <w:rPr/>
        <w:t>ramas.</w:t>
      </w:r>
    </w:p>
    <w:p>
      <w:pPr>
        <w:pStyle w:val="BodyText"/>
        <w:spacing w:before="9"/>
        <w:rPr>
          <w:sz w:val="17"/>
        </w:rPr>
      </w:pPr>
    </w:p>
    <w:p>
      <w:pPr>
        <w:pStyle w:val="BodyText"/>
        <w:spacing w:line="360" w:lineRule="auto"/>
        <w:ind w:left="102" w:right="296" w:firstLine="62"/>
        <w:jc w:val="both"/>
      </w:pPr>
      <w:r>
        <w:rPr/>
        <w:t>Es así, que si bien a nivel federal se encuentran conformadas las principales Secretarias que a nivel nacional y habrán de tener injerencia directa en los distintos rubros en los que deben ejecutarse las leyes aprobadas por el Congreso de la Unión, así como el  determinar y llevar a cabo las distintas actividades en sus ramos. A nivel local, en</w:t>
      </w:r>
      <w:r>
        <w:rPr>
          <w:spacing w:val="31"/>
        </w:rPr>
        <w:t> </w:t>
      </w:r>
      <w:r>
        <w:rPr/>
        <w:t>muchos</w:t>
      </w:r>
    </w:p>
    <w:p>
      <w:pPr>
        <w:spacing w:after="0" w:line="360" w:lineRule="auto"/>
        <w:jc w:val="both"/>
        <w:sectPr>
          <w:pgSz w:w="12240" w:h="15840"/>
          <w:pgMar w:header="0" w:footer="1003" w:top="1360" w:bottom="1200" w:left="1600" w:right="1400"/>
        </w:sectPr>
      </w:pPr>
    </w:p>
    <w:p>
      <w:pPr>
        <w:pStyle w:val="BodyText"/>
        <w:spacing w:line="360" w:lineRule="auto" w:before="56"/>
        <w:ind w:left="102" w:right="120"/>
        <w:jc w:val="both"/>
      </w:pPr>
      <w:r>
        <w:rPr/>
        <w:t>de los casos deben de verse reflejadas la mayoría de estos órganos de gobierno  federales para dar seguimiento a los grandes lineamientos establecidos desde la federación, y así poder resolver los problemas desde las tres instancias de</w:t>
      </w:r>
      <w:r>
        <w:rPr>
          <w:spacing w:val="-20"/>
        </w:rPr>
        <w:t> </w:t>
      </w:r>
      <w:r>
        <w:rPr/>
        <w:t>gobierno.</w:t>
      </w:r>
    </w:p>
    <w:p>
      <w:pPr>
        <w:pStyle w:val="BodyText"/>
        <w:spacing w:before="8"/>
        <w:rPr>
          <w:sz w:val="24"/>
        </w:rPr>
      </w:pPr>
    </w:p>
    <w:p>
      <w:pPr>
        <w:pStyle w:val="BodyText"/>
        <w:spacing w:line="360" w:lineRule="auto"/>
        <w:ind w:left="102" w:right="116"/>
        <w:jc w:val="both"/>
      </w:pPr>
      <w:r>
        <w:rPr/>
        <w:t>En este sentido, para el caso y contexto de la cuenca hidrosocial presa Huapango, se identificaron tres Secretarías en el gobierno del Estado de México: 1.- Secretaría del Agua y Obra Pública; 2.- Secretaría del Medio Ambiente y 3.- Secretaría de Desarrollo Agropecuario; las anteriores tienen que ver con asuntos relacionados al medio ambiente, agua y cuestiones agrarias como se aprecia en el siguiente mapa de actores.</w:t>
      </w:r>
    </w:p>
    <w:p>
      <w:pPr>
        <w:spacing w:after="0" w:line="360" w:lineRule="auto"/>
        <w:jc w:val="both"/>
        <w:sectPr>
          <w:footerReference w:type="default" r:id="rId127"/>
          <w:pgSz w:w="12240" w:h="15840"/>
          <w:pgMar w:footer="1003" w:header="0" w:top="1360" w:bottom="1200" w:left="1600" w:right="1580"/>
          <w:pgNumType w:start="160"/>
        </w:sectPr>
      </w:pPr>
    </w:p>
    <w:p>
      <w:pPr>
        <w:pStyle w:val="Heading6"/>
        <w:spacing w:before="53"/>
        <w:ind w:left="2532"/>
      </w:pPr>
      <w:r>
        <w:rPr/>
        <w:t>Esquema 5.4. Mapa de Actores Estatales</w:t>
      </w:r>
    </w:p>
    <w:p>
      <w:pPr>
        <w:pStyle w:val="BodyText"/>
        <w:rPr>
          <w:b/>
          <w:sz w:val="20"/>
        </w:rPr>
      </w:pPr>
    </w:p>
    <w:p>
      <w:pPr>
        <w:pStyle w:val="BodyText"/>
        <w:rPr>
          <w:b/>
          <w:sz w:val="20"/>
        </w:rPr>
      </w:pPr>
    </w:p>
    <w:p>
      <w:pPr>
        <w:pStyle w:val="BodyText"/>
        <w:spacing w:before="2"/>
        <w:rPr>
          <w:b/>
          <w:sz w:val="11"/>
        </w:rPr>
      </w:pPr>
      <w:r>
        <w:rPr/>
        <w:pict>
          <v:group style="position:absolute;margin-left:78.5pt;margin-top:8.410918pt;width:433.85pt;height:224.8pt;mso-position-horizontal-relative:page;mso-position-vertical-relative:paragraph;z-index:8152;mso-wrap-distance-left:0;mso-wrap-distance-right:0" coordorigin="1570,168" coordsize="8677,4496">
            <v:rect style="position:absolute;left:4442;top:188;width:3355;height:463" filled="false" stroked="true" strokeweight="2pt" strokecolor="#000000"/>
            <v:line style="position:absolute" from="6135,646" to="6135,1097" stroked="true" strokeweight="1.25pt" strokecolor="#000000"/>
            <v:line style="position:absolute" from="2866,1098" to="9196,1085" stroked="true" strokeweight="1.25pt" strokecolor="#000000"/>
            <v:rect style="position:absolute;left:4861;top:1547;width:2078;height:819" filled="false" stroked="true" strokeweight="2pt" strokecolor="#000000"/>
            <v:line style="position:absolute" from="5912,1092" to="5912,1543" stroked="true" strokeweight="1.25pt" strokecolor="#000000"/>
            <v:rect style="position:absolute;left:1590;top:1532;width:1806;height:1100" filled="false" stroked="true" strokeweight="2pt" strokecolor="#000000"/>
            <v:rect style="position:absolute;left:1590;top:3082;width:1806;height:1562" filled="false" stroked="true" strokeweight="2pt" strokecolor="#000000"/>
            <v:line style="position:absolute" from="2865,2632" to="2865,3083" stroked="true" strokeweight="1.25pt" strokecolor="#000000"/>
            <v:line style="position:absolute" from="2870,1103" to="2870,1554" stroked="true" strokeweight="1.25pt" strokecolor="#000000"/>
            <v:rect style="position:absolute;left:8095;top:1547;width:1915;height:1359" filled="true" fillcolor="#7e7e7e" stroked="false">
              <v:fill type="solid"/>
            </v:rect>
            <v:rect style="position:absolute;left:8095;top:1547;width:1915;height:1359" filled="false" stroked="true" strokeweight="2pt" strokecolor="#000000"/>
            <v:line style="position:absolute" from="9183,1099" to="9183,1550" stroked="true" strokeweight="1.25pt" strokecolor="#000000"/>
            <v:rect style="position:absolute;left:8095;top:3383;width:2132;height:463" filled="true" fillcolor="#7e7e7e" stroked="false">
              <v:fill type="solid"/>
            </v:rect>
            <v:rect style="position:absolute;left:8095;top:3383;width:2132;height:463" filled="false" stroked="true" strokeweight="2.0pt" strokecolor="#000000"/>
            <v:line style="position:absolute" from="9113,2927" to="9113,3378" stroked="true" strokeweight="1.25pt" strokecolor="#000000"/>
            <v:shape style="position:absolute;left:4442;top:188;width:3355;height:463" type="#_x0000_t202" filled="false" stroked="false">
              <v:textbox inset="0,0,0,0">
                <w:txbxContent>
                  <w:p>
                    <w:pPr>
                      <w:spacing w:before="91"/>
                      <w:ind w:left="469" w:right="0" w:firstLine="0"/>
                      <w:jc w:val="left"/>
                      <w:rPr>
                        <w:rFonts w:ascii="Times New Roman"/>
                        <w:b/>
                        <w:sz w:val="22"/>
                      </w:rPr>
                    </w:pPr>
                    <w:r>
                      <w:rPr>
                        <w:rFonts w:ascii="Times New Roman"/>
                        <w:b/>
                        <w:sz w:val="22"/>
                      </w:rPr>
                      <w:t>ACTORES ESTATALES</w:t>
                    </w:r>
                  </w:p>
                </w:txbxContent>
              </v:textbox>
              <w10:wrap type="none"/>
            </v:shape>
            <v:shape style="position:absolute;left:1590;top:1542;width:1806;height:1091" type="#_x0000_t202" filled="false" stroked="false">
              <v:textbox inset="0,0,0,0">
                <w:txbxContent>
                  <w:p>
                    <w:pPr>
                      <w:spacing w:line="276" w:lineRule="auto" w:before="81"/>
                      <w:ind w:left="251" w:right="251" w:firstLine="0"/>
                      <w:jc w:val="center"/>
                      <w:rPr>
                        <w:rFonts w:ascii="Times New Roman" w:hAnsi="Times New Roman"/>
                        <w:b/>
                        <w:sz w:val="22"/>
                      </w:rPr>
                    </w:pPr>
                    <w:r>
                      <w:rPr>
                        <w:rFonts w:ascii="Times New Roman" w:hAnsi="Times New Roman"/>
                        <w:b/>
                        <w:sz w:val="22"/>
                      </w:rPr>
                      <w:t>Secretaría del Agua y Obra Pública</w:t>
                    </w:r>
                  </w:p>
                </w:txbxContent>
              </v:textbox>
              <w10:wrap type="none"/>
            </v:shape>
            <v:shape style="position:absolute;left:4861;top:1542;width:2078;height:825" type="#_x0000_t202" filled="false" stroked="false">
              <v:textbox inset="0,0,0,0">
                <w:txbxContent>
                  <w:p>
                    <w:pPr>
                      <w:spacing w:line="276" w:lineRule="auto" w:before="96"/>
                      <w:ind w:left="254" w:right="233" w:firstLine="134"/>
                      <w:jc w:val="left"/>
                      <w:rPr>
                        <w:rFonts w:ascii="Times New Roman" w:hAnsi="Times New Roman"/>
                        <w:b/>
                        <w:sz w:val="22"/>
                      </w:rPr>
                    </w:pPr>
                    <w:r>
                      <w:rPr>
                        <w:rFonts w:ascii="Times New Roman" w:hAnsi="Times New Roman"/>
                        <w:b/>
                        <w:sz w:val="22"/>
                      </w:rPr>
                      <w:t>Secretaría del Medio Ambiente</w:t>
                    </w:r>
                  </w:p>
                </w:txbxContent>
              </v:textbox>
              <w10:wrap type="none"/>
            </v:shape>
            <v:shape style="position:absolute;left:8095;top:1542;width:1915;height:1365" type="#_x0000_t202" filled="false" stroked="false">
              <v:textbox inset="0,0,0,0">
                <w:txbxContent>
                  <w:p>
                    <w:pPr>
                      <w:spacing w:line="276" w:lineRule="auto" w:before="96"/>
                      <w:ind w:left="308" w:right="306" w:hanging="3"/>
                      <w:jc w:val="center"/>
                      <w:rPr>
                        <w:rFonts w:ascii="Times New Roman" w:hAnsi="Times New Roman"/>
                        <w:b/>
                        <w:sz w:val="22"/>
                      </w:rPr>
                    </w:pPr>
                    <w:r>
                      <w:rPr>
                        <w:rFonts w:ascii="Times New Roman" w:hAnsi="Times New Roman"/>
                        <w:b/>
                        <w:sz w:val="22"/>
                      </w:rPr>
                      <w:t>Secretaría de Desarrollo Agropecuario (Sedagro)</w:t>
                    </w:r>
                  </w:p>
                </w:txbxContent>
              </v:textbox>
              <w10:wrap type="none"/>
            </v:shape>
            <v:shape style="position:absolute;left:1590;top:3082;width:1806;height:1562" type="#_x0000_t202" filled="false" stroked="false">
              <v:textbox inset="0,0,0,0">
                <w:txbxContent>
                  <w:p>
                    <w:pPr>
                      <w:spacing w:line="276" w:lineRule="auto" w:before="92"/>
                      <w:ind w:left="251" w:right="251" w:firstLine="0"/>
                      <w:jc w:val="center"/>
                      <w:rPr>
                        <w:rFonts w:ascii="Times New Roman" w:hAnsi="Times New Roman"/>
                        <w:b/>
                        <w:sz w:val="22"/>
                      </w:rPr>
                    </w:pPr>
                    <w:r>
                      <w:rPr>
                        <w:rFonts w:ascii="Times New Roman" w:hAnsi="Times New Roman"/>
                        <w:b/>
                        <w:sz w:val="22"/>
                      </w:rPr>
                      <w:t>Comisión del Agua del Estado de México (CAEM)</w:t>
                    </w:r>
                  </w:p>
                </w:txbxContent>
              </v:textbox>
              <w10:wrap type="none"/>
            </v:shape>
            <v:shape style="position:absolute;left:8095;top:3383;width:2132;height:463" type="#_x0000_t202" filled="false" stroked="false">
              <v:textbox inset="0,0,0,0">
                <w:txbxContent>
                  <w:p>
                    <w:pPr>
                      <w:spacing w:before="91"/>
                      <w:ind w:left="239" w:right="0" w:firstLine="0"/>
                      <w:jc w:val="left"/>
                      <w:rPr>
                        <w:rFonts w:ascii="Times New Roman"/>
                        <w:b/>
                        <w:sz w:val="22"/>
                      </w:rPr>
                    </w:pPr>
                    <w:r>
                      <w:rPr>
                        <w:rFonts w:ascii="Times New Roman"/>
                        <w:b/>
                        <w:sz w:val="22"/>
                      </w:rPr>
                      <w:t>Sedagro Jilotepec</w:t>
                    </w:r>
                  </w:p>
                </w:txbxContent>
              </v:textbox>
              <w10:wrap type="none"/>
            </v:shape>
            <w10:wrap type="topAndBottom"/>
          </v:group>
        </w:pict>
      </w:r>
    </w:p>
    <w:p>
      <w:pPr>
        <w:pStyle w:val="BodyText"/>
        <w:spacing w:before="5"/>
        <w:rPr>
          <w:b/>
          <w:sz w:val="17"/>
        </w:rPr>
      </w:pPr>
    </w:p>
    <w:p>
      <w:pPr>
        <w:pStyle w:val="BodyText"/>
        <w:spacing w:line="360" w:lineRule="auto" w:before="1"/>
        <w:ind w:left="242" w:right="121"/>
        <w:jc w:val="both"/>
      </w:pPr>
      <w:r>
        <w:rPr>
          <w:b/>
        </w:rPr>
        <w:t>Fuente: </w:t>
      </w:r>
      <w:r>
        <w:rPr/>
        <w:t>Elaboración propia con base en la revisión bibliográfica y el Trabajo de Campo, García (2013-2015).</w:t>
      </w:r>
    </w:p>
    <w:p>
      <w:pPr>
        <w:pStyle w:val="BodyText"/>
        <w:spacing w:before="10"/>
        <w:rPr>
          <w:sz w:val="24"/>
        </w:rPr>
      </w:pPr>
    </w:p>
    <w:p>
      <w:pPr>
        <w:pStyle w:val="BodyText"/>
        <w:spacing w:line="360" w:lineRule="auto"/>
        <w:ind w:left="242" w:right="113"/>
        <w:jc w:val="both"/>
      </w:pPr>
      <w:r>
        <w:rPr/>
        <w:t>En el anterior mapa de actores estatales, se aprecian los actores de gobierno estatal y su relación con el gobierno del Estado de México. Dicha relación está expresada a través de tres Secretarías: Secretaría de Medio Ambiente, Secretaría del Agua y Obra Pública, y la secretaría de Desarrollo Agropecuario. Destaca ésta última por la vocación agrícola y ganadera que tiene la región.</w:t>
      </w:r>
    </w:p>
    <w:p>
      <w:pPr>
        <w:pStyle w:val="BodyText"/>
        <w:spacing w:before="7"/>
        <w:rPr>
          <w:sz w:val="17"/>
        </w:rPr>
      </w:pPr>
    </w:p>
    <w:p>
      <w:pPr>
        <w:pStyle w:val="BodyText"/>
        <w:spacing w:line="360" w:lineRule="auto"/>
        <w:ind w:left="242" w:right="118"/>
        <w:jc w:val="both"/>
      </w:pPr>
      <w:r>
        <w:rPr/>
        <w:t>Sin embargo, en las entrevistas se detectó poca la relación del gobierno estatal con la cuenca hidrosocial, ya que las Secretarías de Medio Ambiente y del Agua y Obra Pública, evaden sus responsabilidades con los actores de la cuenca. Esto queda evidenciado por la situación general de los problemas de la presa huapango, de que a pesar de que el 19 de marzo de 2004 se publicó en la Gaceta de Gobierno Número 109, que era definida como área natural protegida con la categoría de Parque Estatal Santuario de Agua, destinada a la protección, conservación, restauración y aprovechamiento sustentable del entorno. Esta declaratoria quedó solo en buenas intenciones a decir de los actores entrevistados, ya que la zona de la presa Huapango, nadie de las anteriores secretarías se responsabiliza de su deterioro, y día a día se agudizan más los problemas ambientales y sociales que tienen que ver con el cuidado ecológico y el reparto del</w:t>
      </w:r>
      <w:r>
        <w:rPr>
          <w:spacing w:val="-17"/>
        </w:rPr>
        <w:t> </w:t>
      </w:r>
      <w:r>
        <w:rPr/>
        <w:t>agua.</w:t>
      </w:r>
    </w:p>
    <w:p>
      <w:pPr>
        <w:spacing w:after="0" w:line="360" w:lineRule="auto"/>
        <w:jc w:val="both"/>
        <w:sectPr>
          <w:pgSz w:w="12240" w:h="15840"/>
          <w:pgMar w:header="0" w:footer="1003" w:top="1440" w:bottom="1200" w:left="1460" w:right="1580"/>
        </w:sectPr>
      </w:pPr>
    </w:p>
    <w:p>
      <w:pPr>
        <w:pStyle w:val="BodyText"/>
        <w:spacing w:line="360" w:lineRule="auto" w:before="56"/>
        <w:ind w:left="102" w:right="117"/>
        <w:jc w:val="both"/>
      </w:pPr>
      <w:r>
        <w:rPr/>
        <w:t>Respecto a la Comisión del Agua del Estado de México (CAEM) que depende de la Secretaría de Medio Ambiente, se puede apreciar su poca actividad e injerencia en la presa, ya que sólo han hecho escasos estudios respecto a la calidad del agua y problemas ambientales en la presa Huapango. Estos son resultados muy nimios respecto a la gran cantidad de problemas ambientales de la cuenca, sobre todo por sus amplias responsabilidades respecto al ambiente, es decir, son evadidas y esta actitud agudizan  las problemáticas del embalse cada día más. Esto puede ser el resultado de un esquema de duplicidad de funciones con las Secretarías de Estado federales (Ver tabla 5.2 y matriz 5.2).</w:t>
      </w:r>
    </w:p>
    <w:p>
      <w:pPr>
        <w:pStyle w:val="BodyText"/>
        <w:spacing w:before="6"/>
        <w:rPr>
          <w:sz w:val="24"/>
        </w:rPr>
      </w:pPr>
    </w:p>
    <w:p>
      <w:pPr>
        <w:pStyle w:val="BodyText"/>
        <w:spacing w:line="360" w:lineRule="auto"/>
        <w:ind w:left="102" w:right="113"/>
        <w:jc w:val="both"/>
      </w:pPr>
      <w:r>
        <w:rPr/>
        <w:t>En el siguiente mapa de actores, se identifican los principales actores federales en la cuenca hidrosocial presa Huapango que están dadas por tres Secretarías de Estado: 1.-  la Secretaría de Medio Ambiente y Recursos Naturales (Semarnat); 2.- la Secretaría de Agricultura, Ganadería, Desarrollo Rural, Pesca y Alimentación (Sagarpa) y 3.- la Secretaría de Desarrollo Agrario, Territorial y Urbano (Sedatu), así como con la Cámara de Diputados Federal y los Tribunales</w:t>
      </w:r>
      <w:r>
        <w:rPr>
          <w:spacing w:val="-13"/>
        </w:rPr>
        <w:t> </w:t>
      </w:r>
      <w:r>
        <w:rPr/>
        <w:t>Agrarios.</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spacing w:before="4"/>
        <w:rPr>
          <w:sz w:val="26"/>
        </w:rPr>
      </w:pPr>
    </w:p>
    <w:p>
      <w:pPr>
        <w:pStyle w:val="Heading6"/>
        <w:spacing w:before="72"/>
        <w:ind w:left="3941"/>
      </w:pPr>
      <w:r>
        <w:rPr/>
        <w:t>Esquema 5.5. Mapa Mental de Actores Federales</w:t>
      </w:r>
    </w:p>
    <w:p>
      <w:pPr>
        <w:pStyle w:val="BodyText"/>
        <w:spacing w:before="10"/>
        <w:rPr>
          <w:b/>
          <w:sz w:val="16"/>
        </w:rPr>
      </w:pPr>
    </w:p>
    <w:p>
      <w:pPr>
        <w:spacing w:before="72"/>
        <w:ind w:left="5062" w:right="5558" w:firstLine="0"/>
        <w:jc w:val="center"/>
        <w:rPr>
          <w:rFonts w:ascii="Times New Roman"/>
          <w:b/>
          <w:sz w:val="22"/>
        </w:rPr>
      </w:pPr>
      <w:r>
        <w:rPr/>
        <w:pict>
          <v:group style="position:absolute;margin-left:77.75pt;margin-top:-1.950458pt;width:610.550pt;height:365.95pt;mso-position-horizontal-relative:page;mso-position-vertical-relative:paragraph;z-index:-3335248" coordorigin="1555,-39" coordsize="12211,7319">
            <v:shape style="position:absolute;left:2915;top:5647;width:3388;height:953" coordorigin="2915,5647" coordsize="3388,953" path="m5886,6600l6298,6600m6303,5647l6303,6597m2916,6600l3246,6600m2915,6398l2915,6592e" filled="false" stroked="true" strokeweight="1.25pt" strokecolor="#000000">
              <v:path arrowok="t"/>
            </v:shape>
            <v:rect style="position:absolute;left:3246;top:5793;width:2640;height:1467" filled="true" fillcolor="#7e7e7e" stroked="false">
              <v:fill type="solid"/>
            </v:rect>
            <v:rect style="position:absolute;left:3246;top:5793;width:2640;height:1467" filled="false" stroked="true" strokeweight="2pt" strokecolor="#000000"/>
            <v:shape style="position:absolute;left:2915;top:4704;width:3388;height:481" coordorigin="2915,4704" coordsize="3388,481" path="m2920,4708l6302,4708m6303,4709l6303,5184m2915,4704l2915,4871e" filled="false" stroked="true" strokeweight="1.25pt" strokecolor="#000000">
              <v:path arrowok="t"/>
            </v:shape>
            <v:rect style="position:absolute;left:3504;top:3404;width:2241;height:1304" filled="true" fillcolor="#7e7e7e" stroked="false">
              <v:fill type="solid"/>
            </v:rect>
            <v:rect style="position:absolute;left:3504;top:3404;width:2241;height:1304" filled="false" stroked="true" strokeweight="2pt" strokecolor="#000000"/>
            <v:rect style="position:absolute;left:5270;top:5184;width:1276;height:463" filled="true" fillcolor="#7e7e7e" stroked="false">
              <v:fill type="solid"/>
            </v:rect>
            <v:rect style="position:absolute;left:5270;top:5184;width:1276;height:463" filled="false" stroked="true" strokeweight="2.0pt" strokecolor="#000000"/>
            <v:line style="position:absolute" from="2915,5334" to="2915,5935" stroked="true" strokeweight="1.25pt" strokecolor="#000000"/>
            <v:rect style="position:absolute;left:2009;top:4871;width:1100;height:463" filled="true" fillcolor="#7e7e7e" stroked="false">
              <v:fill type="solid"/>
            </v:rect>
            <v:rect style="position:absolute;left:2009;top:4871;width:1100;height:463" filled="false" stroked="true" strokeweight="2pt" strokecolor="#000000"/>
            <v:rect style="position:absolute;left:1900;top:5935;width:1236;height:463" filled="true" fillcolor="#7e7e7e" stroked="false">
              <v:fill type="solid"/>
            </v:rect>
            <v:shape style="position:absolute;left:1900;top:-19;width:7437;height:6418" coordorigin="1900,-19" coordsize="7437,6418" path="m1900,6398l3136,6398,3136,5935,1900,5935,1900,6398xm6144,444l9337,444,9337,-19,6144,-19,6144,444xe" filled="false" stroked="true" strokeweight="2pt" strokecolor="#000000">
              <v:path arrowok="t"/>
            </v:shape>
            <v:shape style="position:absolute;left:2676;top:419;width:9944;height:472" coordorigin="2676,419" coordsize="9944,472" path="m7738,419l7738,869m2676,891l12620,878e" filled="false" stroked="true" strokeweight="1.25pt" strokecolor="#000000">
              <v:path arrowok="t"/>
            </v:shape>
            <v:rect style="position:absolute;left:11885;top:1344;width:1276;height:463" filled="true" fillcolor="#7e7e7e" stroked="false">
              <v:fill type="solid"/>
            </v:rect>
            <v:rect style="position:absolute;left:11885;top:1344;width:1276;height:463" filled="false" stroked="true" strokeweight="2pt" strokecolor="#000000"/>
            <v:line style="position:absolute" from="12603,894" to="12603,1345" stroked="true" strokeweight="1.25pt" strokecolor="#000000"/>
            <v:rect style="position:absolute;left:3776;top:1340;width:1317;height:463" filled="true" fillcolor="#7e7e7e" stroked="false">
              <v:fill type="solid"/>
            </v:rect>
            <v:rect style="position:absolute;left:3776;top:1340;width:1317;height:463" filled="false" stroked="true" strokeweight="2pt" strokecolor="#000000"/>
            <v:rect style="position:absolute;left:3626;top:2236;width:2051;height:733" filled="true" fillcolor="#7e7e7e" stroked="false">
              <v:fill type="solid"/>
            </v:rect>
            <v:rect style="position:absolute;left:3626;top:2236;width:2051;height:733" filled="false" stroked="true" strokeweight="2pt" strokecolor="#000000"/>
            <v:line style="position:absolute" from="4562,1789" to="4562,2240" stroked="true" strokeweight="1.25pt" strokecolor="#000000"/>
            <v:rect style="position:absolute;left:1575;top:2236;width:1928;height:1059" filled="false" stroked="true" strokeweight="2pt" strokecolor="#000000"/>
            <v:rect style="position:absolute;left:1820;top:1326;width:1372;height:463" filled="true" fillcolor="#7e7e7e" stroked="false">
              <v:fill type="solid"/>
            </v:rect>
            <v:rect style="position:absolute;left:1820;top:1326;width:1372;height:463" filled="false" stroked="true" strokeweight="2pt" strokecolor="#000000"/>
            <v:shape style="position:absolute;left:2670;top:888;width:1105;height:1349" coordorigin="2670,888" coordsize="1105,1349" path="m2670,1785l2670,2236m3191,1530l3775,1530m2683,888l2683,1339e" filled="false" stroked="true" strokeweight="1.25pt" strokecolor="#000000">
              <v:path arrowok="t"/>
            </v:shape>
            <v:rect style="position:absolute;left:6060;top:1333;width:2769;height:782" filled="false" stroked="true" strokeweight="2pt" strokecolor="#000000"/>
            <v:shape style="position:absolute;left:4562;top:873;width:3174;height:2539" coordorigin="4562,873" coordsize="3174,2539" path="m7736,873l7736,1324m4562,2960l4562,3411e" filled="false" stroked="true" strokeweight="1.25pt" strokecolor="#000000">
              <v:path arrowok="t"/>
            </v:shape>
            <v:rect style="position:absolute;left:5936;top:2421;width:3206;height:735" filled="false" stroked="true" strokeweight="2pt" strokecolor="#000000"/>
            <v:line style="position:absolute" from="7749,2109" to="7749,2434" stroked="true" strokeweight="1.25pt" strokecolor="#000000"/>
            <v:rect style="position:absolute;left:9020;top:1340;width:1222;height:463" filled="true" fillcolor="#7e7e7e" stroked="false">
              <v:fill type="solid"/>
            </v:rect>
            <v:rect style="position:absolute;left:9020;top:1340;width:1222;height:463" filled="false" stroked="true" strokeweight="2pt" strokecolor="#000000"/>
            <v:shape style="position:absolute;left:7648;top:890;width:2594;height:2405" coordorigin="7648,890" coordsize="2594,2405" path="m9691,890l9691,1341m9686,1801l9686,3294m7648,3295l10242,3295e" filled="false" stroked="true" strokeweight="1.25pt" strokecolor="#000000">
              <v:path arrowok="t"/>
            </v:shape>
            <v:rect style="position:absolute;left:9370;top:3746;width:1426;height:463" filled="true" fillcolor="#7e7e7e" stroked="false">
              <v:fill type="solid"/>
            </v:rect>
            <v:rect style="position:absolute;left:9370;top:3746;width:1426;height:463" filled="false" stroked="true" strokeweight="2pt" strokecolor="#000000"/>
            <v:line style="position:absolute" from="10225,3290" to="10225,3741" stroked="true" strokeweight="1.25pt" strokecolor="#000000"/>
            <v:rect style="position:absolute;left:6546;top:3744;width:2024;height:729" filled="true" fillcolor="#7e7e7e" stroked="false">
              <v:fill type="solid"/>
            </v:rect>
            <v:rect style="position:absolute;left:6546;top:3744;width:2024;height:729" filled="false" stroked="true" strokeweight="2pt" strokecolor="#000000"/>
            <v:line style="position:absolute" from="7644,3292" to="7644,3743" stroked="true" strokeweight="1.25pt" strokecolor="#000000"/>
            <v:rect style="position:absolute;left:9142;top:4654;width:1996;height:826" filled="true" fillcolor="#7e7e7e" stroked="false">
              <v:fill type="solid"/>
            </v:rect>
            <v:rect style="position:absolute;left:9142;top:4654;width:1996;height:826" filled="false" stroked="true" strokeweight="2pt" strokecolor="#000000"/>
            <v:line style="position:absolute" from="10247,4210" to="10247,4661" stroked="true" strokeweight="1.25pt" strokecolor="#000000"/>
            <v:rect style="position:absolute;left:6778;top:4915;width:1918;height:732" filled="true" fillcolor="#7e7e7e" stroked="false">
              <v:fill type="solid"/>
            </v:rect>
            <v:rect style="position:absolute;left:6778;top:4915;width:1918;height:732" filled="false" stroked="true" strokeweight="2pt" strokecolor="#000000"/>
            <v:line style="position:absolute" from="7716,4471" to="7716,4922" stroked="true" strokeweight="1.25pt" strokecolor="#000000"/>
            <v:rect style="position:absolute;left:10391;top:1326;width:1385;height:795" filled="true" fillcolor="#7e7e7e" stroked="false">
              <v:fill type="solid"/>
            </v:rect>
            <v:rect style="position:absolute;left:10391;top:1326;width:1385;height:795" filled="false" stroked="true" strokeweight="2pt" strokecolor="#000000"/>
            <v:line style="position:absolute" from="11143,889" to="11143,1340" stroked="true" strokeweight="1.25pt" strokecolor="#000000"/>
            <v:rect style="position:absolute;left:12701;top:2440;width:869;height:463" filled="true" fillcolor="#7e7e7e" stroked="false">
              <v:fill type="solid"/>
            </v:rect>
            <v:rect style="position:absolute;left:12701;top:2440;width:869;height:463" filled="false" stroked="true" strokeweight="2pt" strokecolor="#000000"/>
            <v:line style="position:absolute" from="13014,1829" to="13014,2453" stroked="true" strokeweight="1.25pt" strokecolor="#000000"/>
            <v:rect style="position:absolute;left:11401;top:3743;width:2345;height:825" filled="true" fillcolor="#7e7e7e" stroked="false">
              <v:fill type="solid"/>
            </v:rect>
            <v:rect style="position:absolute;left:11401;top:3743;width:2345;height:825" filled="false" stroked="true" strokeweight="2pt" strokecolor="#000000"/>
            <v:line style="position:absolute" from="12620,1829" to="12620,3744" stroked="true" strokeweight="1.25pt" strokecolor="#000000"/>
            <v:rect style="position:absolute;left:10691;top:2453;width:1698;height:771" filled="true" fillcolor="#7e7e7e" stroked="false">
              <v:fill type="solid"/>
            </v:rect>
            <v:rect style="position:absolute;left:10691;top:2453;width:1698;height:771" filled="false" stroked="true" strokeweight="2pt" strokecolor="#000000"/>
            <v:line style="position:absolute" from="12036,1801" to="12036,2453" stroked="true" strokeweight="1.25pt" strokecolor="#000000"/>
            <w10:wrap type="none"/>
          </v:group>
        </w:pict>
      </w:r>
      <w:r>
        <w:rPr>
          <w:rFonts w:ascii="Times New Roman"/>
          <w:b/>
          <w:sz w:val="22"/>
        </w:rPr>
        <w:t>ACTORES FEDERALES</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7"/>
        <w:rPr>
          <w:rFonts w:ascii="Times New Roman"/>
          <w:b/>
          <w:sz w:val="28"/>
        </w:rPr>
      </w:pPr>
    </w:p>
    <w:p>
      <w:pPr>
        <w:spacing w:after="0"/>
        <w:rPr>
          <w:rFonts w:ascii="Times New Roman"/>
          <w:sz w:val="28"/>
        </w:rPr>
        <w:sectPr>
          <w:footerReference w:type="default" r:id="rId128"/>
          <w:pgSz w:w="15840" w:h="12240" w:orient="landscape"/>
          <w:pgMar w:footer="0" w:header="0" w:top="1140" w:bottom="280" w:left="1440" w:right="1300"/>
        </w:sectPr>
      </w:pPr>
    </w:p>
    <w:p>
      <w:pPr>
        <w:spacing w:before="72"/>
        <w:ind w:left="607" w:right="-18" w:firstLine="0"/>
        <w:jc w:val="left"/>
        <w:rPr>
          <w:rFonts w:ascii="Times New Roman"/>
          <w:b/>
          <w:sz w:val="22"/>
        </w:rPr>
      </w:pPr>
      <w:r>
        <w:rPr>
          <w:rFonts w:ascii="Times New Roman"/>
          <w:b/>
          <w:sz w:val="22"/>
        </w:rPr>
        <w:t>Semarnat</w:t>
      </w:r>
    </w:p>
    <w:p>
      <w:pPr>
        <w:spacing w:before="87"/>
        <w:ind w:left="607" w:right="-18" w:firstLine="0"/>
        <w:jc w:val="left"/>
        <w:rPr>
          <w:rFonts w:ascii="Times New Roman"/>
          <w:b/>
          <w:sz w:val="22"/>
        </w:rPr>
      </w:pPr>
      <w:r>
        <w:rPr/>
        <w:br w:type="column"/>
      </w:r>
      <w:r>
        <w:rPr>
          <w:rFonts w:ascii="Times New Roman"/>
          <w:b/>
          <w:sz w:val="22"/>
        </w:rPr>
        <w:t>Conagua</w:t>
      </w:r>
    </w:p>
    <w:p>
      <w:pPr>
        <w:spacing w:line="278" w:lineRule="auto" w:before="80"/>
        <w:ind w:left="1282" w:right="-17" w:hanging="675"/>
        <w:jc w:val="left"/>
        <w:rPr>
          <w:rFonts w:ascii="Times New Roman" w:hAnsi="Times New Roman"/>
          <w:b/>
          <w:sz w:val="22"/>
        </w:rPr>
      </w:pPr>
      <w:r>
        <w:rPr/>
        <w:br w:type="column"/>
      </w:r>
      <w:r>
        <w:rPr>
          <w:rFonts w:ascii="Times New Roman" w:hAnsi="Times New Roman"/>
          <w:b/>
          <w:sz w:val="22"/>
        </w:rPr>
        <w:t>Cámara de Diputados Federal</w:t>
      </w:r>
    </w:p>
    <w:p>
      <w:pPr>
        <w:spacing w:before="87"/>
        <w:ind w:left="607" w:right="-17" w:firstLine="0"/>
        <w:jc w:val="left"/>
        <w:rPr>
          <w:rFonts w:ascii="Times New Roman"/>
          <w:b/>
          <w:sz w:val="22"/>
        </w:rPr>
      </w:pPr>
      <w:r>
        <w:rPr/>
        <w:br w:type="column"/>
      </w:r>
      <w:r>
        <w:rPr>
          <w:rFonts w:ascii="Times New Roman"/>
          <w:b/>
          <w:sz w:val="22"/>
        </w:rPr>
        <w:t>Sagarpa</w:t>
      </w:r>
    </w:p>
    <w:p>
      <w:pPr>
        <w:spacing w:line="278" w:lineRule="auto" w:before="72"/>
        <w:ind w:left="602" w:right="-17" w:hanging="101"/>
        <w:jc w:val="left"/>
        <w:rPr>
          <w:rFonts w:ascii="Times New Roman"/>
          <w:b/>
          <w:sz w:val="22"/>
        </w:rPr>
      </w:pPr>
      <w:r>
        <w:rPr/>
        <w:br w:type="column"/>
      </w:r>
      <w:r>
        <w:rPr>
          <w:rFonts w:ascii="Times New Roman"/>
          <w:b/>
          <w:sz w:val="22"/>
        </w:rPr>
        <w:t>Tribunales Agrarios</w:t>
      </w:r>
    </w:p>
    <w:p>
      <w:pPr>
        <w:spacing w:before="92"/>
        <w:ind w:left="561" w:right="0" w:firstLine="0"/>
        <w:jc w:val="left"/>
        <w:rPr>
          <w:rFonts w:ascii="Times New Roman"/>
          <w:b/>
          <w:sz w:val="22"/>
        </w:rPr>
      </w:pPr>
      <w:r>
        <w:rPr/>
        <w:br w:type="column"/>
      </w:r>
      <w:r>
        <w:rPr>
          <w:rFonts w:ascii="Times New Roman"/>
          <w:b/>
          <w:sz w:val="22"/>
        </w:rPr>
        <w:t>Sedatu</w:t>
      </w:r>
    </w:p>
    <w:p>
      <w:pPr>
        <w:spacing w:after="0"/>
        <w:jc w:val="left"/>
        <w:rPr>
          <w:rFonts w:ascii="Times New Roman"/>
          <w:sz w:val="22"/>
        </w:rPr>
        <w:sectPr>
          <w:type w:val="continuous"/>
          <w:pgSz w:w="15840" w:h="12240" w:orient="landscape"/>
          <w:pgMar w:top="1360" w:bottom="1200" w:left="1440" w:right="1300"/>
          <w:cols w:num="6" w:equalWidth="0">
            <w:col w:w="1526" w:space="439"/>
            <w:col w:w="1453" w:space="943"/>
            <w:col w:w="2676" w:space="156"/>
            <w:col w:w="1393" w:space="40"/>
            <w:col w:w="1531" w:space="40"/>
            <w:col w:w="2903"/>
          </w:cols>
        </w:sectPr>
      </w:pPr>
    </w:p>
    <w:p>
      <w:pPr>
        <w:pStyle w:val="BodyText"/>
        <w:spacing w:before="6"/>
        <w:rPr>
          <w:rFonts w:ascii="Times New Roman"/>
          <w:b/>
          <w:sz w:val="21"/>
        </w:rPr>
      </w:pPr>
    </w:p>
    <w:p>
      <w:pPr>
        <w:spacing w:after="0"/>
        <w:rPr>
          <w:rFonts w:ascii="Times New Roman"/>
          <w:sz w:val="21"/>
        </w:rPr>
        <w:sectPr>
          <w:type w:val="continuous"/>
          <w:pgSz w:w="15840" w:h="12240" w:orient="landscape"/>
          <w:pgMar w:top="1360" w:bottom="1200" w:left="1440" w:right="1300"/>
        </w:sectPr>
      </w:pPr>
    </w:p>
    <w:p>
      <w:pPr>
        <w:spacing w:line="276" w:lineRule="auto" w:before="72"/>
        <w:ind w:left="340" w:right="0" w:firstLine="0"/>
        <w:jc w:val="center"/>
        <w:rPr>
          <w:rFonts w:ascii="Times New Roman" w:hAnsi="Times New Roman"/>
          <w:b/>
          <w:sz w:val="22"/>
        </w:rPr>
      </w:pPr>
      <w:r>
        <w:rPr>
          <w:rFonts w:ascii="Times New Roman" w:hAnsi="Times New Roman"/>
          <w:b/>
          <w:sz w:val="22"/>
        </w:rPr>
        <w:t>Delegación en el</w:t>
      </w:r>
      <w:r>
        <w:rPr>
          <w:rFonts w:ascii="Times New Roman" w:hAnsi="Times New Roman"/>
          <w:b/>
          <w:w w:val="100"/>
          <w:sz w:val="22"/>
        </w:rPr>
        <w:t> </w:t>
      </w:r>
      <w:r>
        <w:rPr>
          <w:rFonts w:ascii="Times New Roman" w:hAnsi="Times New Roman"/>
          <w:b/>
          <w:sz w:val="22"/>
        </w:rPr>
        <w:t>Estado de México</w:t>
      </w:r>
    </w:p>
    <w:p>
      <w:pPr>
        <w:spacing w:line="276" w:lineRule="auto" w:before="72"/>
        <w:ind w:left="340" w:right="-17" w:firstLine="74"/>
        <w:jc w:val="left"/>
        <w:rPr>
          <w:rFonts w:ascii="Times New Roman" w:hAnsi="Times New Roman"/>
          <w:b/>
          <w:sz w:val="22"/>
        </w:rPr>
      </w:pPr>
      <w:r>
        <w:rPr/>
        <w:br w:type="column"/>
      </w:r>
      <w:r>
        <w:rPr>
          <w:rFonts w:ascii="Times New Roman" w:hAnsi="Times New Roman"/>
          <w:b/>
          <w:sz w:val="22"/>
        </w:rPr>
        <w:t>Delegación en el Estado de México</w:t>
      </w:r>
    </w:p>
    <w:p>
      <w:pPr>
        <w:pStyle w:val="BodyText"/>
        <w:spacing w:before="4"/>
        <w:rPr>
          <w:rFonts w:ascii="Times New Roman"/>
          <w:b/>
        </w:rPr>
      </w:pPr>
      <w:r>
        <w:rPr/>
        <w:br w:type="column"/>
      </w:r>
      <w:r>
        <w:rPr>
          <w:rFonts w:ascii="Times New Roman"/>
          <w:b/>
        </w:rPr>
      </w:r>
    </w:p>
    <w:p>
      <w:pPr>
        <w:spacing w:line="276" w:lineRule="auto" w:before="0"/>
        <w:ind w:left="340" w:right="-18" w:firstLine="19"/>
        <w:jc w:val="left"/>
        <w:rPr>
          <w:rFonts w:ascii="Times New Roman"/>
          <w:b/>
          <w:sz w:val="22"/>
        </w:rPr>
      </w:pPr>
      <w:r>
        <w:rPr>
          <w:rFonts w:ascii="Times New Roman"/>
          <w:b/>
          <w:sz w:val="22"/>
        </w:rPr>
        <w:t>*Comisiones: ASR, DM, DR, DS, G, MARN, RH, RA y TA</w:t>
      </w:r>
    </w:p>
    <w:p>
      <w:pPr>
        <w:pStyle w:val="BodyText"/>
        <w:spacing w:before="1"/>
        <w:rPr>
          <w:rFonts w:ascii="Times New Roman"/>
          <w:b/>
          <w:sz w:val="25"/>
        </w:rPr>
      </w:pPr>
      <w:r>
        <w:rPr/>
        <w:br w:type="column"/>
      </w:r>
      <w:r>
        <w:rPr>
          <w:rFonts w:ascii="Times New Roman"/>
          <w:b/>
          <w:sz w:val="25"/>
        </w:rPr>
      </w:r>
    </w:p>
    <w:p>
      <w:pPr>
        <w:spacing w:line="276" w:lineRule="auto" w:before="0"/>
        <w:ind w:left="611" w:right="-16" w:hanging="272"/>
        <w:jc w:val="left"/>
        <w:rPr>
          <w:rFonts w:ascii="Times New Roman" w:hAnsi="Times New Roman"/>
          <w:b/>
          <w:sz w:val="22"/>
        </w:rPr>
      </w:pPr>
      <w:r>
        <w:rPr>
          <w:rFonts w:ascii="Times New Roman" w:hAnsi="Times New Roman"/>
          <w:b/>
          <w:sz w:val="22"/>
        </w:rPr>
        <w:t>Procuraduría Agraria</w:t>
      </w:r>
    </w:p>
    <w:p>
      <w:pPr>
        <w:pStyle w:val="BodyText"/>
        <w:rPr>
          <w:rFonts w:ascii="Times New Roman"/>
          <w:b/>
          <w:sz w:val="24"/>
        </w:rPr>
      </w:pPr>
      <w:r>
        <w:rPr/>
        <w:br w:type="column"/>
      </w:r>
      <w:r>
        <w:rPr>
          <w:rFonts w:ascii="Times New Roman"/>
          <w:b/>
          <w:sz w:val="24"/>
        </w:rPr>
      </w:r>
    </w:p>
    <w:p>
      <w:pPr>
        <w:spacing w:before="0"/>
        <w:ind w:left="340" w:right="0" w:firstLine="0"/>
        <w:jc w:val="left"/>
        <w:rPr>
          <w:rFonts w:ascii="Times New Roman"/>
          <w:b/>
          <w:sz w:val="22"/>
        </w:rPr>
      </w:pPr>
      <w:r>
        <w:rPr>
          <w:rFonts w:ascii="Times New Roman"/>
          <w:b/>
          <w:sz w:val="22"/>
        </w:rPr>
        <w:t>RAN</w:t>
      </w:r>
    </w:p>
    <w:p>
      <w:pPr>
        <w:spacing w:after="0"/>
        <w:jc w:val="left"/>
        <w:rPr>
          <w:rFonts w:ascii="Times New Roman"/>
          <w:sz w:val="22"/>
        </w:rPr>
        <w:sectPr>
          <w:type w:val="continuous"/>
          <w:pgSz w:w="15840" w:h="12240" w:orient="landscape"/>
          <w:pgMar w:top="1360" w:bottom="1200" w:left="1440" w:right="1300"/>
          <w:cols w:num="5" w:equalWidth="0">
            <w:col w:w="1856" w:space="182"/>
            <w:col w:w="2006" w:space="339"/>
            <w:col w:w="3092" w:space="1641"/>
            <w:col w:w="1627" w:space="373"/>
            <w:col w:w="1984"/>
          </w:cols>
        </w:sectPr>
      </w:pPr>
    </w:p>
    <w:p>
      <w:pPr>
        <w:pStyle w:val="BodyText"/>
        <w:spacing w:before="5"/>
        <w:rPr>
          <w:rFonts w:ascii="Times New Roman"/>
          <w:b/>
          <w:sz w:val="19"/>
        </w:rPr>
      </w:pPr>
    </w:p>
    <w:p>
      <w:pPr>
        <w:spacing w:after="0"/>
        <w:rPr>
          <w:rFonts w:ascii="Times New Roman"/>
          <w:sz w:val="19"/>
        </w:rPr>
        <w:sectPr>
          <w:type w:val="continuous"/>
          <w:pgSz w:w="15840" w:h="12240" w:orient="landscape"/>
          <w:pgMar w:top="1360" w:bottom="1200" w:left="1440" w:right="1300"/>
        </w:sect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sz w:val="24"/>
        </w:rPr>
      </w:pPr>
    </w:p>
    <w:p>
      <w:pPr>
        <w:spacing w:before="1"/>
        <w:ind w:left="794" w:right="-17" w:firstLine="0"/>
        <w:jc w:val="left"/>
        <w:rPr>
          <w:rFonts w:ascii="Times New Roman"/>
          <w:b/>
          <w:sz w:val="22"/>
        </w:rPr>
      </w:pPr>
      <w:r>
        <w:rPr>
          <w:rFonts w:ascii="Times New Roman"/>
          <w:b/>
          <w:sz w:val="22"/>
        </w:rPr>
        <w:t>Aculco</w:t>
      </w:r>
    </w:p>
    <w:p>
      <w:pPr>
        <w:spacing w:line="276" w:lineRule="auto" w:before="72"/>
        <w:ind w:left="794" w:right="889" w:firstLine="302"/>
        <w:jc w:val="left"/>
        <w:rPr>
          <w:rFonts w:ascii="Times New Roman"/>
          <w:b/>
          <w:sz w:val="22"/>
        </w:rPr>
      </w:pPr>
      <w:r>
        <w:rPr/>
        <w:br w:type="column"/>
      </w:r>
      <w:r>
        <w:rPr>
          <w:rFonts w:ascii="Times New Roman"/>
          <w:b/>
          <w:sz w:val="22"/>
        </w:rPr>
        <w:t>Jefatura de Distritos de Riego (Distrito de Riego 096 Arroyozarco)</w:t>
      </w:r>
    </w:p>
    <w:p>
      <w:pPr>
        <w:pStyle w:val="BodyText"/>
        <w:rPr>
          <w:rFonts w:ascii="Times New Roman"/>
          <w:b/>
        </w:rPr>
      </w:pPr>
    </w:p>
    <w:p>
      <w:pPr>
        <w:pStyle w:val="BodyText"/>
        <w:spacing w:before="8"/>
        <w:rPr>
          <w:rFonts w:ascii="Times New Roman"/>
          <w:b/>
          <w:sz w:val="31"/>
        </w:rPr>
      </w:pPr>
    </w:p>
    <w:p>
      <w:pPr>
        <w:spacing w:before="0"/>
        <w:ind w:left="0" w:right="0" w:firstLine="0"/>
        <w:jc w:val="right"/>
        <w:rPr>
          <w:rFonts w:ascii="Times New Roman" w:hAnsi="Times New Roman"/>
          <w:b/>
          <w:sz w:val="22"/>
        </w:rPr>
      </w:pPr>
      <w:r>
        <w:rPr>
          <w:rFonts w:ascii="Times New Roman" w:hAnsi="Times New Roman"/>
          <w:b/>
          <w:sz w:val="22"/>
        </w:rPr>
        <w:t>Polotitlán</w:t>
      </w:r>
    </w:p>
    <w:p>
      <w:pPr>
        <w:pStyle w:val="BodyText"/>
        <w:rPr>
          <w:rFonts w:ascii="Times New Roman"/>
          <w:b/>
        </w:rPr>
      </w:pPr>
      <w:r>
        <w:rPr/>
        <w:br w:type="column"/>
      </w:r>
      <w:r>
        <w:rPr>
          <w:rFonts w:ascii="Times New Roman"/>
          <w:b/>
        </w:rPr>
      </w:r>
    </w:p>
    <w:p>
      <w:pPr>
        <w:spacing w:line="276" w:lineRule="auto" w:before="161"/>
        <w:ind w:left="320" w:right="84" w:firstLine="72"/>
        <w:jc w:val="left"/>
        <w:rPr>
          <w:rFonts w:ascii="Times New Roman" w:hAnsi="Times New Roman"/>
          <w:b/>
          <w:sz w:val="22"/>
        </w:rPr>
      </w:pPr>
      <w:r>
        <w:rPr>
          <w:rFonts w:ascii="Times New Roman" w:hAnsi="Times New Roman"/>
          <w:b/>
          <w:sz w:val="22"/>
        </w:rPr>
        <w:t>Delegación en el Estado de México</w:t>
      </w:r>
    </w:p>
    <w:p>
      <w:pPr>
        <w:pStyle w:val="BodyText"/>
        <w:rPr>
          <w:rFonts w:ascii="Times New Roman"/>
          <w:b/>
        </w:rPr>
      </w:pPr>
    </w:p>
    <w:p>
      <w:pPr>
        <w:pStyle w:val="BodyText"/>
        <w:spacing w:before="4"/>
        <w:rPr>
          <w:rFonts w:ascii="Times New Roman"/>
          <w:b/>
          <w:sz w:val="29"/>
        </w:rPr>
      </w:pPr>
    </w:p>
    <w:p>
      <w:pPr>
        <w:spacing w:line="276" w:lineRule="auto" w:before="1"/>
        <w:ind w:left="915" w:right="0" w:hanging="341"/>
        <w:jc w:val="left"/>
        <w:rPr>
          <w:rFonts w:ascii="Times New Roman"/>
          <w:b/>
          <w:sz w:val="22"/>
        </w:rPr>
      </w:pPr>
      <w:r>
        <w:rPr>
          <w:rFonts w:ascii="Times New Roman"/>
          <w:b/>
          <w:sz w:val="22"/>
        </w:rPr>
        <w:t>Cader Aculco y Jilotepec</w:t>
      </w:r>
    </w:p>
    <w:p>
      <w:pPr>
        <w:pStyle w:val="BodyText"/>
        <w:rPr>
          <w:rFonts w:ascii="Times New Roman"/>
          <w:b/>
        </w:rPr>
      </w:pPr>
      <w:r>
        <w:rPr/>
        <w:br w:type="column"/>
      </w:r>
      <w:r>
        <w:rPr>
          <w:rFonts w:ascii="Times New Roman"/>
          <w:b/>
        </w:rPr>
      </w:r>
    </w:p>
    <w:p>
      <w:pPr>
        <w:spacing w:before="163"/>
        <w:ind w:left="1022" w:right="365" w:firstLine="0"/>
        <w:jc w:val="center"/>
        <w:rPr>
          <w:rFonts w:ascii="Times New Roman"/>
          <w:b/>
          <w:sz w:val="22"/>
        </w:rPr>
      </w:pPr>
      <w:r>
        <w:rPr>
          <w:rFonts w:ascii="Times New Roman"/>
          <w:b/>
          <w:sz w:val="22"/>
        </w:rPr>
        <w:t>Conapesca</w:t>
      </w:r>
    </w:p>
    <w:p>
      <w:pPr>
        <w:pStyle w:val="BodyText"/>
        <w:rPr>
          <w:rFonts w:ascii="Times New Roman"/>
          <w:b/>
        </w:rPr>
      </w:pPr>
    </w:p>
    <w:p>
      <w:pPr>
        <w:pStyle w:val="BodyText"/>
        <w:rPr>
          <w:rFonts w:ascii="Times New Roman"/>
          <w:b/>
        </w:rPr>
      </w:pPr>
    </w:p>
    <w:p>
      <w:pPr>
        <w:spacing w:line="276" w:lineRule="auto" w:before="148"/>
        <w:ind w:left="776" w:right="0" w:hanging="4"/>
        <w:jc w:val="center"/>
        <w:rPr>
          <w:rFonts w:ascii="Times New Roman" w:hAnsi="Times New Roman"/>
          <w:b/>
          <w:sz w:val="22"/>
        </w:rPr>
      </w:pPr>
      <w:r>
        <w:rPr>
          <w:rFonts w:ascii="Times New Roman" w:hAnsi="Times New Roman"/>
          <w:b/>
          <w:sz w:val="22"/>
        </w:rPr>
        <w:t>Subdelegación Estado de México</w:t>
      </w:r>
    </w:p>
    <w:p>
      <w:pPr>
        <w:pStyle w:val="BodyText"/>
        <w:rPr>
          <w:rFonts w:ascii="Times New Roman"/>
          <w:b/>
        </w:rPr>
      </w:pPr>
      <w:r>
        <w:rPr/>
        <w:br w:type="column"/>
      </w:r>
      <w:r>
        <w:rPr>
          <w:rFonts w:ascii="Times New Roman"/>
          <w:b/>
        </w:rPr>
      </w:r>
    </w:p>
    <w:p>
      <w:pPr>
        <w:spacing w:line="278" w:lineRule="auto" w:before="158"/>
        <w:ind w:left="726" w:right="1114" w:firstLine="45"/>
        <w:jc w:val="left"/>
        <w:rPr>
          <w:rFonts w:ascii="Times New Roman" w:hAnsi="Times New Roman"/>
          <w:b/>
          <w:sz w:val="22"/>
        </w:rPr>
      </w:pPr>
      <w:r>
        <w:rPr>
          <w:rFonts w:ascii="Times New Roman" w:hAnsi="Times New Roman"/>
          <w:b/>
          <w:sz w:val="22"/>
        </w:rPr>
        <w:t>Delegación en el Estado de México</w:t>
      </w:r>
    </w:p>
    <w:p>
      <w:pPr>
        <w:spacing w:after="0" w:line="278" w:lineRule="auto"/>
        <w:jc w:val="left"/>
        <w:rPr>
          <w:rFonts w:ascii="Times New Roman" w:hAnsi="Times New Roman"/>
          <w:sz w:val="22"/>
        </w:rPr>
        <w:sectPr>
          <w:type w:val="continuous"/>
          <w:pgSz w:w="15840" w:h="12240" w:orient="landscape"/>
          <w:pgMar w:top="1360" w:bottom="1200" w:left="1440" w:right="1300"/>
          <w:cols w:num="5" w:equalWidth="0">
            <w:col w:w="1445" w:space="105"/>
            <w:col w:w="3378" w:space="40"/>
            <w:col w:w="2087" w:space="40"/>
            <w:col w:w="2442" w:space="40"/>
            <w:col w:w="3523"/>
          </w:cols>
        </w:sectPr>
      </w:pPr>
    </w:p>
    <w:p>
      <w:pPr>
        <w:pStyle w:val="BodyText"/>
        <w:spacing w:before="10"/>
        <w:rPr>
          <w:rFonts w:ascii="Times New Roman"/>
          <w:b/>
          <w:sz w:val="17"/>
        </w:rPr>
      </w:pPr>
    </w:p>
    <w:p>
      <w:pPr>
        <w:spacing w:after="0"/>
        <w:rPr>
          <w:rFonts w:ascii="Times New Roman"/>
          <w:sz w:val="17"/>
        </w:rPr>
        <w:sectPr>
          <w:type w:val="continuous"/>
          <w:pgSz w:w="15840" w:h="12240" w:orient="landscape"/>
          <w:pgMar w:top="1360" w:bottom="1200" w:left="1440" w:right="1300"/>
        </w:sectPr>
      </w:pPr>
    </w:p>
    <w:p>
      <w:pPr>
        <w:pStyle w:val="BodyText"/>
        <w:spacing w:before="4"/>
        <w:rPr>
          <w:rFonts w:ascii="Times New Roman"/>
          <w:b/>
          <w:sz w:val="20"/>
        </w:rPr>
      </w:pPr>
    </w:p>
    <w:p>
      <w:pPr>
        <w:spacing w:before="0"/>
        <w:ind w:left="662" w:right="-18" w:firstLine="0"/>
        <w:jc w:val="left"/>
        <w:rPr>
          <w:rFonts w:ascii="Times New Roman"/>
          <w:b/>
          <w:sz w:val="22"/>
        </w:rPr>
      </w:pPr>
      <w:r>
        <w:rPr>
          <w:rFonts w:ascii="Times New Roman"/>
          <w:b/>
          <w:sz w:val="22"/>
        </w:rPr>
        <w:t>Jilotepec</w:t>
      </w:r>
    </w:p>
    <w:p>
      <w:pPr>
        <w:spacing w:line="276" w:lineRule="auto" w:before="93"/>
        <w:ind w:left="503" w:right="0" w:firstLine="0"/>
        <w:jc w:val="center"/>
        <w:rPr>
          <w:rFonts w:ascii="Times New Roman" w:hAnsi="Times New Roman"/>
          <w:b/>
          <w:sz w:val="22"/>
        </w:rPr>
      </w:pPr>
      <w:r>
        <w:rPr/>
        <w:br w:type="column"/>
      </w:r>
      <w:r>
        <w:rPr>
          <w:rFonts w:ascii="Times New Roman" w:hAnsi="Times New Roman"/>
          <w:b/>
          <w:sz w:val="22"/>
        </w:rPr>
        <w:t>Asociación de Usuarios del Sistema de Riego Huapango Arroyo Zarco México S. A.</w:t>
      </w:r>
    </w:p>
    <w:p>
      <w:pPr>
        <w:pStyle w:val="BodyText"/>
        <w:spacing w:line="276" w:lineRule="auto" w:before="73"/>
        <w:ind w:left="662" w:right="599"/>
        <w:jc w:val="both"/>
      </w:pPr>
      <w:r>
        <w:rPr/>
        <w:br w:type="column"/>
      </w:r>
      <w:r>
        <w:rPr/>
        <w:t>*</w:t>
      </w:r>
      <w:r>
        <w:rPr>
          <w:b/>
        </w:rPr>
        <w:t>ASR: </w:t>
      </w:r>
      <w:r>
        <w:rPr/>
        <w:t>Agricultura y Sistemas de Riego; </w:t>
      </w:r>
      <w:r>
        <w:rPr>
          <w:b/>
        </w:rPr>
        <w:t>DM: </w:t>
      </w:r>
      <w:r>
        <w:rPr/>
        <w:t>Desarrollo Municipal; </w:t>
      </w:r>
      <w:r>
        <w:rPr>
          <w:b/>
        </w:rPr>
        <w:t>DR: </w:t>
      </w:r>
      <w:r>
        <w:rPr/>
        <w:t>Desarrollo Rural; </w:t>
      </w:r>
      <w:r>
        <w:rPr>
          <w:b/>
        </w:rPr>
        <w:t>DS: </w:t>
      </w:r>
      <w:r>
        <w:rPr/>
        <w:t>Desarrollo Social; </w:t>
      </w:r>
      <w:r>
        <w:rPr>
          <w:b/>
        </w:rPr>
        <w:t>G: </w:t>
      </w:r>
      <w:r>
        <w:rPr/>
        <w:t>Ganadería; </w:t>
      </w:r>
      <w:r>
        <w:rPr>
          <w:b/>
        </w:rPr>
        <w:t>MARN: </w:t>
      </w:r>
      <w:r>
        <w:rPr/>
        <w:t>Medio Ambiente y Recursos Naturales; </w:t>
      </w:r>
      <w:r>
        <w:rPr>
          <w:b/>
        </w:rPr>
        <w:t>P: </w:t>
      </w:r>
      <w:r>
        <w:rPr/>
        <w:t>Pesca; </w:t>
      </w:r>
      <w:r>
        <w:rPr>
          <w:b/>
        </w:rPr>
        <w:t>RH: </w:t>
      </w:r>
      <w:r>
        <w:rPr/>
        <w:t>Recursos Hidráulicos; </w:t>
      </w:r>
      <w:r>
        <w:rPr>
          <w:b/>
        </w:rPr>
        <w:t>RA: </w:t>
      </w:r>
      <w:r>
        <w:rPr/>
        <w:t>Reforma Agraria; y </w:t>
      </w:r>
      <w:r>
        <w:rPr>
          <w:b/>
        </w:rPr>
        <w:t>TA: </w:t>
      </w:r>
      <w:r>
        <w:rPr/>
        <w:t>Transparencia y Anticorrupción.</w:t>
      </w:r>
    </w:p>
    <w:p>
      <w:pPr>
        <w:spacing w:after="0" w:line="276" w:lineRule="auto"/>
        <w:jc w:val="both"/>
        <w:sectPr>
          <w:type w:val="continuous"/>
          <w:pgSz w:w="15840" w:h="12240" w:orient="landscape"/>
          <w:pgMar w:top="1360" w:bottom="1200" w:left="1440" w:right="1300"/>
          <w:cols w:num="3" w:equalWidth="0">
            <w:col w:w="1495" w:space="40"/>
            <w:col w:w="2682" w:space="793"/>
            <w:col w:w="8090"/>
          </w:cols>
        </w:sectPr>
      </w:pPr>
    </w:p>
    <w:p>
      <w:pPr>
        <w:pStyle w:val="BodyText"/>
        <w:spacing w:before="151"/>
        <w:ind w:left="686"/>
      </w:pPr>
      <w:r>
        <w:rPr>
          <w:b/>
        </w:rPr>
        <w:t>Fuente: </w:t>
      </w:r>
      <w:r>
        <w:rPr/>
        <w:t>Elaboración propia con base en la revisión bibliográfica y el Trabajo de Campo, García (2013-2015).</w:t>
      </w:r>
    </w:p>
    <w:p>
      <w:pPr>
        <w:pStyle w:val="BodyText"/>
        <w:rPr>
          <w:sz w:val="20"/>
        </w:rPr>
      </w:pPr>
    </w:p>
    <w:p>
      <w:pPr>
        <w:pStyle w:val="BodyText"/>
        <w:rPr>
          <w:sz w:val="20"/>
        </w:rPr>
      </w:pPr>
    </w:p>
    <w:p>
      <w:pPr>
        <w:pStyle w:val="BodyText"/>
        <w:spacing w:before="7"/>
        <w:rPr>
          <w:sz w:val="28"/>
        </w:rPr>
      </w:pPr>
    </w:p>
    <w:p>
      <w:pPr>
        <w:pStyle w:val="BodyText"/>
        <w:spacing w:before="56"/>
        <w:ind w:right="113"/>
        <w:jc w:val="right"/>
        <w:rPr>
          <w:rFonts w:ascii="Calibri"/>
        </w:rPr>
      </w:pPr>
      <w:r>
        <w:rPr>
          <w:rFonts w:ascii="Calibri"/>
        </w:rPr>
        <w:t>163</w:t>
      </w:r>
    </w:p>
    <w:p>
      <w:pPr>
        <w:spacing w:after="0"/>
        <w:jc w:val="right"/>
        <w:rPr>
          <w:rFonts w:ascii="Calibri"/>
        </w:rPr>
        <w:sectPr>
          <w:type w:val="continuous"/>
          <w:pgSz w:w="15840" w:h="12240" w:orient="landscape"/>
          <w:pgMar w:top="1360" w:bottom="1200" w:left="1440" w:right="1300"/>
        </w:sectPr>
      </w:pPr>
    </w:p>
    <w:p>
      <w:pPr>
        <w:pStyle w:val="BodyText"/>
        <w:spacing w:line="360" w:lineRule="auto" w:before="56"/>
        <w:ind w:left="122" w:right="114"/>
        <w:jc w:val="both"/>
      </w:pPr>
      <w:r>
        <w:rPr/>
        <w:t>En el mapa anterior de actores federales, se identifican una amplia gama de relaciones de los actores de la cuenca hidrosocial presa Huapango con las tres secretarías de Estado (Semarnat, Sagarpa y Sedatu) y con los Tribunales Agrarios, ya que es una zona constituida en núcleos agrarios a través de los Ejidos. Destaca la relación con la primera Secretaría, Semarnat, que está dada mediante la Comisión Nacional del Agua (Conagua) a través del Distrito de Riego 096 y la Asociación de Usuarios de Riego. Dicha presencia de Semarnat sólo existen en tres municipios de la cuenca hidrosocial: Aculco, Jilotepec y Polotitlán, siendo inexistente en Timilpan y Acambay, lo que deja entender que hay una falta de representación importante en 2 municipios. Esto se hace más grave si se conoce que la mayor parte del cuerpo de agua o presa, se encuentra en territorio del municipio de Timilpan. La situación anterior puede ser debido al esquema de producción de la región, donde solo se atiende a los productores de los municipios que usan el agua de la presa cuenca abajo, los cuales se benefician de ella para su desarrollo en torno al uso y manejo del agua, dejando al margen a Timilpan y Acambay del resto de los municipios que  rodean de la presa, lo que dificulta una buena gestión integrada del</w:t>
      </w:r>
      <w:r>
        <w:rPr>
          <w:spacing w:val="-27"/>
        </w:rPr>
        <w:t> </w:t>
      </w:r>
      <w:r>
        <w:rPr/>
        <w:t>agua.</w:t>
      </w:r>
    </w:p>
    <w:p>
      <w:pPr>
        <w:pStyle w:val="BodyText"/>
        <w:spacing w:before="10"/>
        <w:rPr>
          <w:sz w:val="24"/>
        </w:rPr>
      </w:pPr>
    </w:p>
    <w:p>
      <w:pPr>
        <w:pStyle w:val="BodyText"/>
        <w:spacing w:line="360" w:lineRule="auto"/>
        <w:ind w:left="122" w:right="115"/>
        <w:jc w:val="both"/>
      </w:pPr>
      <w:r>
        <w:rPr/>
        <w:t>También se detecta en el anterior mapa de actores federales, una amplia relación en la cuenca con los Tribunales Agrarios, lo que demuestra la concentración de poder del Federalismo, obedeciendo esto a los procesos históricos del reparto agrario y a las reglas impuestas por el Estado y el Mercado en un entorno de sistema neoliberal, más que con  la lógica del gobierno</w:t>
      </w:r>
      <w:r>
        <w:rPr>
          <w:spacing w:val="-8"/>
        </w:rPr>
        <w:t> </w:t>
      </w:r>
      <w:r>
        <w:rPr/>
        <w:t>Estatal.</w:t>
      </w:r>
    </w:p>
    <w:p>
      <w:pPr>
        <w:pStyle w:val="BodyText"/>
        <w:spacing w:before="8"/>
        <w:rPr>
          <w:sz w:val="24"/>
        </w:rPr>
      </w:pPr>
    </w:p>
    <w:p>
      <w:pPr>
        <w:pStyle w:val="BodyText"/>
        <w:spacing w:line="360" w:lineRule="auto"/>
        <w:ind w:left="122" w:right="116"/>
        <w:jc w:val="both"/>
      </w:pPr>
      <w:r>
        <w:rPr/>
        <w:t>Sin embargo con la Cámara de Diputados Federal, hay poca relación con la cuenca hidrosocial presa Huapango a pesar de que existen una serie de Comisiones Ordinarias</w:t>
      </w:r>
      <w:r>
        <w:rPr>
          <w:position w:val="8"/>
          <w:sz w:val="14"/>
        </w:rPr>
        <w:t>8</w:t>
      </w:r>
      <w:r>
        <w:rPr/>
        <w:t>: Agricultura y Sistemas de Riego; Desarrollo Municipal; Desarrollo Rural; Desarrollo Social; Ganadería; Medio Ambiente y Recursos Naturales; Pesca; Recursos Hidráulicos; Reforma Agraria; y Transparencia y Anticorrupción, que les compete el trabajo legislativo en  </w:t>
      </w:r>
      <w:r>
        <w:rPr>
          <w:spacing w:val="52"/>
        </w:rPr>
        <w:t> </w:t>
      </w:r>
      <w:r>
        <w:rPr/>
        <w:t>favor</w:t>
      </w:r>
    </w:p>
    <w:p>
      <w:pPr>
        <w:pStyle w:val="BodyText"/>
        <w:rPr>
          <w:sz w:val="20"/>
        </w:rPr>
      </w:pPr>
    </w:p>
    <w:p>
      <w:pPr>
        <w:pStyle w:val="BodyText"/>
        <w:spacing w:before="1"/>
        <w:rPr>
          <w:sz w:val="24"/>
        </w:rPr>
      </w:pPr>
      <w:r>
        <w:rPr/>
        <w:pict>
          <v:line style="position:absolute;mso-position-horizontal-relative:page;mso-position-vertical-relative:paragraph;z-index:8200;mso-wrap-distance-left:0;mso-wrap-distance-right:0" from="85.103996pt,16.175373pt" to="229.123996pt,16.175373pt" stroked="true" strokeweight=".72003pt" strokecolor="#000000">
            <w10:wrap type="topAndBottom"/>
          </v:line>
        </w:pict>
      </w:r>
    </w:p>
    <w:p>
      <w:pPr>
        <w:spacing w:before="71"/>
        <w:ind w:left="122" w:right="118" w:firstLine="0"/>
        <w:jc w:val="both"/>
        <w:rPr>
          <w:sz w:val="20"/>
        </w:rPr>
      </w:pPr>
      <w:r>
        <w:rPr>
          <w:position w:val="6"/>
          <w:sz w:val="13"/>
        </w:rPr>
        <w:t>8 </w:t>
      </w:r>
      <w:r>
        <w:rPr>
          <w:sz w:val="20"/>
        </w:rPr>
        <w:t>Las Comisiones Ordinarias son órganos constituidos por el Pleno, que a través de la elaboración de dictámenes, informes, opiniones o resoluciones, contribuyen a que la Cámara cumpla sus atribuciones constitucionales y legales. Las comisiones ordinarias se constituyen durante el primer mes de ejercicio de la legislatura, tendrán hasta treinta miembros de los diversos grupos parlamentarios y el encargado de sus integrantes será por el terminó de la misma. Los diputados podrán pertenecer hasta tres de ellas; para estos efectos, no se computará la pertenencia a las comisiones jurisdiccional y las de investigación. Actualmente en la LX Legislatura existen 39 Comisiones Ordinarias (</w:t>
      </w:r>
      <w:hyperlink r:id="rId130">
        <w:r>
          <w:rPr>
            <w:sz w:val="20"/>
          </w:rPr>
          <w:t>http://www.diputados.gob.mx/comisiones_ordinarias_lx.htm).</w:t>
        </w:r>
      </w:hyperlink>
    </w:p>
    <w:p>
      <w:pPr>
        <w:spacing w:after="0"/>
        <w:jc w:val="both"/>
        <w:rPr>
          <w:sz w:val="20"/>
        </w:rPr>
        <w:sectPr>
          <w:footerReference w:type="default" r:id="rId129"/>
          <w:pgSz w:w="12240" w:h="15840"/>
          <w:pgMar w:footer="1003" w:header="0" w:top="1360" w:bottom="1200" w:left="1580" w:right="1580"/>
          <w:pgNumType w:start="164"/>
        </w:sectPr>
      </w:pPr>
    </w:p>
    <w:p>
      <w:pPr>
        <w:pStyle w:val="BodyText"/>
        <w:spacing w:line="357" w:lineRule="auto" w:before="56"/>
        <w:ind w:left="122" w:right="879"/>
        <w:jc w:val="both"/>
      </w:pPr>
      <w:r>
        <w:rPr/>
        <w:t>de dicha cuenca por la ventaja comparativa o la vocación de trabajo que se tiene en la región.</w:t>
      </w:r>
    </w:p>
    <w:p>
      <w:pPr>
        <w:pStyle w:val="BodyText"/>
        <w:spacing w:before="1"/>
        <w:rPr>
          <w:sz w:val="25"/>
        </w:rPr>
      </w:pPr>
    </w:p>
    <w:p>
      <w:pPr>
        <w:pStyle w:val="BodyText"/>
        <w:spacing w:line="360" w:lineRule="auto"/>
        <w:ind w:left="122" w:right="878"/>
        <w:jc w:val="both"/>
      </w:pPr>
      <w:r>
        <w:rPr/>
        <w:t>Después de elaborados los mapas anteriores e identificados los actores, se detectan a continuación las redes y funciones que vinculan a dichos actores entre ellos mismos y también con el gobierno y con la sociedad, lo que permitió describir las estructuras sociales y los actores con mayores redes y funciones.</w:t>
      </w:r>
    </w:p>
    <w:p>
      <w:pPr>
        <w:pStyle w:val="BodyText"/>
        <w:spacing w:before="8"/>
        <w:rPr>
          <w:sz w:val="24"/>
        </w:rPr>
      </w:pPr>
    </w:p>
    <w:p>
      <w:pPr>
        <w:pStyle w:val="Heading6"/>
        <w:numPr>
          <w:ilvl w:val="1"/>
          <w:numId w:val="45"/>
        </w:numPr>
        <w:tabs>
          <w:tab w:pos="552" w:val="left" w:leader="none"/>
        </w:tabs>
        <w:spacing w:line="240" w:lineRule="auto" w:before="0" w:after="0"/>
        <w:ind w:left="551" w:right="0" w:hanging="429"/>
        <w:jc w:val="both"/>
      </w:pPr>
      <w:bookmarkStart w:name="_TOC_250031" w:id="42"/>
      <w:r>
        <w:rPr/>
        <w:t>Los Mapas de Actores: Redes y</w:t>
      </w:r>
      <w:r>
        <w:rPr>
          <w:spacing w:val="-11"/>
        </w:rPr>
        <w:t> </w:t>
      </w:r>
      <w:bookmarkEnd w:id="42"/>
      <w:r>
        <w:rPr/>
        <w:t>Funciones</w:t>
      </w:r>
    </w:p>
    <w:p>
      <w:pPr>
        <w:pStyle w:val="BodyText"/>
        <w:rPr>
          <w:b/>
        </w:rPr>
      </w:pPr>
    </w:p>
    <w:p>
      <w:pPr>
        <w:pStyle w:val="BodyText"/>
        <w:rPr>
          <w:b/>
        </w:rPr>
      </w:pPr>
    </w:p>
    <w:p>
      <w:pPr>
        <w:spacing w:line="360" w:lineRule="auto" w:before="0"/>
        <w:ind w:left="3592" w:right="918" w:hanging="3419"/>
        <w:jc w:val="left"/>
        <w:rPr>
          <w:b/>
          <w:sz w:val="22"/>
        </w:rPr>
      </w:pPr>
      <w:r>
        <w:rPr>
          <w:b/>
          <w:sz w:val="22"/>
        </w:rPr>
        <w:t>Esquema 5.6. Mapa de Actores Históricos: REDES Y FUNCIONES DE EJIDATARIOS (MULTIACTORES)</w:t>
      </w:r>
    </w:p>
    <w:p>
      <w:pPr>
        <w:pStyle w:val="BodyText"/>
        <w:rPr>
          <w:b/>
          <w:sz w:val="20"/>
        </w:rPr>
      </w:pPr>
    </w:p>
    <w:p>
      <w:pPr>
        <w:pStyle w:val="BodyText"/>
        <w:spacing w:before="6"/>
        <w:rPr>
          <w:b/>
          <w:sz w:val="14"/>
        </w:rPr>
      </w:pPr>
      <w:r>
        <w:rPr/>
        <w:pict>
          <v:group style="position:absolute;margin-left:84.800003pt;margin-top:10.315372pt;width:480.25pt;height:303.1pt;mso-position-horizontal-relative:page;mso-position-vertical-relative:paragraph;z-index:8464;mso-wrap-distance-left:0;mso-wrap-distance-right:0" coordorigin="1696,206" coordsize="9605,6062">
            <v:shape style="position:absolute;left:2259;top:524;width:8470;height:5744" type="#_x0000_t75" stroked="false">
              <v:imagedata r:id="rId131" o:title=""/>
            </v:shape>
            <v:shape style="position:absolute;left:9827;top:2960;width:1473;height:1027" type="#_x0000_t75" stroked="false">
              <v:imagedata r:id="rId132" o:title=""/>
            </v:shape>
            <v:shape style="position:absolute;left:1696;top:2960;width:1555;height:1026" type="#_x0000_t75" stroked="false">
              <v:imagedata r:id="rId133" o:title=""/>
            </v:shape>
            <v:shape style="position:absolute;left:3204;top:545;width:6120;height:5443" type="#_x0000_t75" stroked="false">
              <v:imagedata r:id="rId134" o:title=""/>
            </v:shape>
            <v:rect style="position:absolute;left:3412;top:755;width:5711;height:5032" filled="true" fillcolor="#dc9f0c" stroked="false">
              <v:fill type="solid"/>
            </v:rect>
            <v:shape style="position:absolute;left:3407;top:750;width:5721;height:5042" coordorigin="3407,750" coordsize="5721,5042" path="m3413,5747l3407,5747,3407,5787,3413,5787,3413,5747xm3417,5747l3415,5747,3415,5787,3417,5787,3417,5747xm3413,5677l3407,5677,3407,5717,3413,5717,3413,5677xm3417,5677l3415,5677,3415,5717,3417,5717,3417,5677xm3413,5607l3407,5607,3407,5647,3413,5647,3413,5607xm3417,5607l3415,5607,3415,5647,3417,5647,3417,5607xm3413,5537l3407,5537,3407,5577,3413,5577,3413,5537xm3417,5537l3415,5537,3415,5577,3417,5577,3417,5537xm3413,5467l3407,5467,3407,5507,3413,5507,3413,5467xm3417,5467l3415,5467,3415,5507,3417,5507,3417,5467xm3413,5397l3407,5397,3407,5437,3413,5437,3413,5397xm3417,5397l3415,5397,3415,5437,3417,5437,3417,5397xm3413,5327l3407,5327,3407,5367,3413,5367,3413,5327xm3417,5327l3415,5327,3415,5367,3417,5367,3417,5327xm3413,5257l3407,5257,3407,5297,3413,5297,3413,5257xm3417,5257l3415,5257,3415,5297,3417,5297,3417,5257xm3413,5187l3407,5187,3407,5227,3413,5227,3413,5187xm3417,5187l3415,5187,3415,5227,3417,5227,3417,5187xm3413,5117l3407,5117,3407,5157,3413,5157,3413,5117xm3417,5117l3415,5117,3415,5157,3417,5157,3417,5117xm3413,5047l3407,5047,3407,5087,3413,5087,3413,5047xm3417,5047l3415,5047,3415,5087,3417,5087,3417,5047xm3413,4977l3407,4977,3407,5017,3413,5017,3413,4977xm3417,4977l3415,4977,3415,5017,3417,5017,3417,4977xm3413,4907l3407,4907,3407,4947,3413,4947,3413,4907xm3417,4907l3415,4907,3415,4947,3417,4947,3417,4907xm3413,4837l3407,4837,3407,4877,3413,4877,3413,4837xm3417,4837l3415,4837,3415,4877,3417,4877,3417,4837xm3413,4767l3407,4767,3407,4807,3413,4807,3413,4767xm3417,4767l3415,4767,3415,4807,3417,4807,3417,4767xm3413,4697l3407,4697,3407,4737,3413,4737,3413,4697xm3417,4697l3415,4697,3415,4737,3417,4737,3417,4697xm3413,4627l3407,4627,3407,4667,3413,4667,3413,4627xm3417,4627l3415,4627,3415,4667,3417,4667,3417,4627xm3413,4557l3407,4557,3407,4597,3413,4597,3413,4557xm3417,4557l3415,4557,3415,4597,3417,4597,3417,4557xm3413,4487l3407,4487,3407,4527,3413,4527,3413,4487xm3417,4487l3415,4487,3415,4527,3417,4527,3417,4487xm3413,4417l3407,4417,3407,4457,3413,4457,3413,4417xm3417,4417l3415,4417,3415,4457,3417,4457,3417,4417xm3413,4347l3407,4347,3407,4387,3413,4387,3413,4347xm3417,4347l3415,4347,3415,4387,3417,4387,3417,4347xm3413,4277l3407,4277,3407,4317,3413,4317,3413,4277xm3417,4277l3415,4277,3415,4317,3417,4317,3417,4277xm3413,4207l3407,4207,3407,4247,3413,4247,3413,4207xm3417,4207l3415,4207,3415,4247,3417,4247,3417,4207xm3413,4137l3407,4137,3407,4177,3413,4177,3413,4137xm3417,4137l3415,4137,3415,4177,3417,4177,3417,4137xm3413,4067l3407,4067,3407,4107,3413,4107,3413,4067xm3417,4067l3415,4067,3415,4107,3417,4107,3417,4067xm3413,3997l3407,3997,3407,4037,3413,4037,3413,3997xm3417,3997l3415,3997,3415,4037,3417,4037,3417,3997xm3413,3927l3407,3927,3407,3967,3413,3967,3413,3927xm3417,3927l3415,3927,3415,3967,3417,3967,3417,3927xm3413,3857l3407,3857,3407,3897,3413,3897,3413,3857xm3417,3857l3415,3857,3415,3897,3417,3897,3417,3857xm3413,3787l3407,3787,3407,3827,3413,3827,3413,3787xm3417,3787l3415,3787,3415,3827,3417,3827,3417,3787xm3413,3717l3407,3717,3407,3757,3413,3757,3413,3717xm3417,3717l3415,3717,3415,3757,3417,3757,3417,3717xm3413,3647l3407,3647,3407,3687,3413,3687,3413,3647xm3417,3647l3415,3647,3415,3687,3417,3687,3417,3647xm3413,3577l3407,3577,3407,3617,3413,3617,3413,3577xm3417,3577l3415,3577,3415,3617,3417,3617,3417,3577xm3413,3507l3407,3507,3407,3547,3413,3547,3413,3507xm3417,3507l3415,3507,3415,3547,3417,3547,3417,3507xm3413,3437l3407,3437,3407,3477,3413,3477,3413,3437xm3417,3437l3415,3437,3415,3477,3417,3477,3417,3437xm3413,3367l3407,3367,3407,3407,3413,3407,3413,3367xm3417,3367l3415,3367,3415,3407,3417,3407,3417,3367xm3413,3297l3407,3297,3407,3337,3413,3337,3413,3297xm3417,3297l3415,3297,3415,3337,3417,3337,3417,3297xm3413,3227l3407,3227,3407,3267,3413,3267,3413,3227xm3417,3227l3415,3227,3415,3267,3417,3267,3417,3227xm3413,3157l3407,3157,3407,3197,3413,3197,3413,3157xm3417,3157l3415,3157,3415,3197,3417,3197,3417,3157xm3413,3087l3407,3087,3407,3127,3413,3127,3413,3087xm3417,3087l3415,3087,3415,3127,3417,3127,3417,3087xm3413,3017l3407,3017,3407,3057,3413,3057,3413,3017xm3417,3017l3415,3017,3415,3057,3417,3057,3417,3017xm3413,2947l3407,2947,3407,2987,3413,2987,3413,2947xm3417,2947l3415,2947,3415,2987,3417,2987,3417,2947xm3413,2877l3407,2877,3407,2917,3413,2917,3413,2877xm3417,2877l3415,2877,3415,2917,3417,2917,3417,2877xm3413,2807l3407,2807,3407,2847,3413,2847,3413,2807xm3417,2807l3415,2807,3415,2847,3417,2847,3417,2807xm3413,2737l3407,2737,3407,2777,3413,2777,3413,2737xm3417,2737l3415,2737,3415,2777,3417,2777,3417,2737xm3413,2667l3407,2667,3407,2707,3413,2707,3413,2667xm3417,2667l3415,2667,3415,2707,3417,2707,3417,2667xm3413,2597l3407,2597,3407,2637,3413,2637,3413,2597xm3417,2597l3415,2597,3415,2637,3417,2637,3417,2597xm3413,2527l3407,2527,3407,2567,3413,2567,3413,2527xm3417,2527l3415,2527,3415,2567,3417,2567,3417,2527xm3413,2457l3407,2457,3407,2497,3413,2497,3413,2457xm3417,2457l3415,2457,3415,2497,3417,2497,3417,2457xm3413,2387l3407,2387,3407,2427,3413,2427,3413,2387xm3417,2387l3415,2387,3415,2427,3417,2427,3417,2387xm3413,2317l3407,2317,3407,2357,3413,2357,3413,2317xm3417,2317l3415,2317,3415,2357,3417,2357,3417,2317xm3413,2247l3407,2247,3407,2287,3413,2287,3413,2247xm3417,2247l3415,2247,3415,2287,3417,2287,3417,2247xm3413,2177l3407,2177,3407,2217,3413,2217,3413,2177xm3417,2177l3415,2177,3415,2217,3417,2217,3417,2177xm3413,2107l3407,2107,3407,2147,3413,2147,3413,2107xm3417,2107l3415,2107,3415,2147,3417,2147,3417,2107xm3413,2037l3407,2037,3407,2077,3413,2077,3413,2037xm3417,2037l3415,2037,3415,2077,3417,2077,3417,2037xm3413,1967l3407,1967,3407,2007,3413,2007,3413,1967xm3417,1967l3415,1967,3415,2007,3417,2007,3417,1967xm3413,1897l3407,1897,3407,1937,3413,1937,3413,1897xm3417,1897l3415,1897,3415,1937,3417,1937,3417,1897xm3413,1827l3407,1827,3407,1867,3413,1867,3413,1827xm3417,1827l3415,1827,3415,1867,3417,1867,3417,1827xm3413,1757l3407,1757,3407,1797,3413,1797,3413,1757xm3417,1757l3415,1757,3415,1797,3417,1797,3417,1757xm3413,1687l3407,1687,3407,1727,3413,1727,3413,1687xm3417,1687l3415,1687,3415,1727,3417,1727,3417,1687xm3413,1617l3407,1617,3407,1657,3413,1657,3413,1617xm3417,1617l3415,1617,3415,1657,3417,1657,3417,1617xm3413,1547l3407,1547,3407,1587,3413,1587,3413,1547xm3417,1547l3415,1547,3415,1587,3417,1587,3417,1547xm3413,1477l3407,1477,3407,1517,3413,1517,3413,1477xm3417,1477l3415,1477,3415,1517,3417,1517,3417,1477xm3413,1407l3407,1407,3407,1447,3413,1447,3413,1407xm3417,1407l3415,1407,3415,1447,3417,1447,3417,1407xm3413,1337l3407,1337,3407,1377,3413,1377,3413,1337xm3417,1337l3415,1337,3415,1377,3417,1377,3417,1337xm3413,1267l3407,1267,3407,1307,3413,1307,3413,1267xm3417,1267l3415,1267,3415,1307,3417,1307,3417,1267xm3413,1197l3407,1197,3407,1237,3413,1237,3413,1197xm3417,1197l3415,1197,3415,1237,3417,1237,3417,1197xm3413,1127l3407,1127,3407,1167,3413,1167,3413,1127xm3417,1127l3415,1127,3415,1167,3417,1167,3417,1127xm3413,1057l3407,1057,3407,1097,3413,1097,3413,1057xm3417,1057l3415,1057,3415,1097,3417,1097,3417,1057xm3413,987l3407,987,3407,1027,3413,1027,3413,987xm3417,987l3415,987,3415,1027,3417,1027,3417,987xm3413,917l3407,917,3407,957,3413,957,3413,917xm3417,917l3415,917,3415,957,3417,957,3417,917xm3413,847l3407,847,3407,887,3413,887,3413,847xm3417,847l3415,847,3415,887,3417,887,3417,847xm3413,777l3407,777,3407,817,3413,817,3413,777xm3417,777l3415,777,3415,817,3417,817,3417,777xm3460,750l3420,750,3420,756,3460,756,3460,750xm3460,758l3420,758,3420,760,3460,760,3460,758xm3530,750l3490,750,3490,756,3530,756,3530,750xm3530,758l3490,758,3490,760,3530,760,3530,758xm3600,750l3560,750,3560,756,3600,756,3600,750xm3600,758l3560,758,3560,760,3600,760,3600,758xm3670,750l3630,750,3630,756,3670,756,3670,750xm3670,758l3630,758,3630,760,3670,760,3670,758xm3740,750l3700,750,3700,756,3740,756,3740,750xm3740,758l3700,758,3700,760,3740,760,3740,758xm3810,750l3770,750,3770,756,3810,756,3810,750xm3810,758l3770,758,3770,760,3810,760,3810,758xm3880,750l3840,750,3840,756,3880,756,3880,750xm3880,758l3840,758,3840,760,3880,760,3880,758xm3950,750l3910,750,3910,756,3950,756,3950,750xm3950,758l3910,758,3910,760,3950,760,3950,758xm4020,750l3980,750,3980,756,4020,756,4020,750xm4020,758l3980,758,3980,760,4020,760,4020,758xm4090,750l4050,750,4050,756,4090,756,4090,750xm4090,758l4050,758,4050,760,4090,760,4090,758xm4160,750l4120,750,4120,756,4160,756,4160,750xm4160,758l4120,758,4120,760,4160,760,4160,758xm4230,750l4190,750,4190,756,4230,756,4230,750xm4230,758l4190,758,4190,760,4230,760,4230,758xm4300,750l4260,750,4260,756,4300,756,4300,750xm4300,758l4260,758,4260,760,4300,760,4300,758xm4370,750l4330,750,4330,756,4370,756,4370,750xm4370,758l4330,758,4330,760,4370,760,4370,758xm4440,750l4400,750,4400,756,4440,756,4440,750xm4440,758l4400,758,4400,760,4440,760,4440,758xm4510,750l4470,750,4470,756,4510,756,4510,750xm4510,758l4470,758,4470,760,4510,760,4510,758xm4580,750l4540,750,4540,756,4580,756,4580,750xm4580,758l4540,758,4540,760,4580,760,4580,758xm4650,750l4610,750,4610,756,4650,756,4650,750xm4650,758l4610,758,4610,760,4650,760,4650,758xm4720,750l4680,750,4680,756,4720,756,4720,750xm4720,758l4680,758,4680,760,4720,760,4720,758xm4790,750l4750,750,4750,756,4790,756,4790,750xm4790,758l4750,758,4750,760,4790,760,4790,758xm4860,750l4820,750,4820,756,4860,756,4860,750xm4860,758l4820,758,4820,760,4860,760,4860,758xm4930,750l4890,750,4890,756,4930,756,4930,750xm4930,758l4890,758,4890,760,4930,760,4930,758xm5000,750l4960,750,4960,756,5000,756,5000,750xm5000,758l4960,758,4960,760,5000,760,5000,758xm5070,750l5030,750,5030,756,5070,756,5070,750xm5070,758l5030,758,5030,760,5070,760,5070,758xm5140,750l5100,750,5100,756,5140,756,5140,750xm5140,758l5100,758,5100,760,5140,760,5140,758xm5210,750l5170,750,5170,756,5210,756,5210,750xm5210,758l5170,758,5170,760,5210,760,5210,758xm5280,750l5240,750,5240,756,5280,756,5280,750xm5280,758l5240,758,5240,760,5280,760,5280,758xm5350,750l5310,750,5310,756,5350,756,5350,750xm5350,758l5310,758,5310,760,5350,760,5350,758xm5420,750l5380,750,5380,756,5420,756,5420,750xm5420,758l5380,758,5380,760,5420,760,5420,758xm5490,750l5450,750,5450,756,5490,756,5490,750xm5490,758l5450,758,5450,760,5490,760,5490,758xm5560,750l5520,750,5520,756,5560,756,5560,750xm5560,758l5520,758,5520,760,5560,760,5560,758xm5630,750l5590,750,5590,756,5630,756,5630,750xm5630,758l5590,758,5590,760,5630,760,5630,758xm5700,750l5660,750,5660,756,5700,756,5700,750xm5700,758l5660,758,5660,760,5700,760,5700,758xm5770,750l5730,750,5730,756,5770,756,5770,750xm5770,758l5730,758,5730,760,5770,760,5770,758xm5840,750l5800,750,5800,756,5840,756,5840,750xm5840,758l5800,758,5800,760,5840,760,5840,758xm5910,750l5870,750,5870,756,5910,756,5910,750xm5910,758l5870,758,5870,760,5910,760,5910,758xm5980,750l5940,750,5940,756,5980,756,5980,750xm5980,758l5940,758,5940,760,5980,760,5980,758xm6050,750l6010,750,6010,756,6050,756,6050,750xm6050,758l6010,758,6010,760,6050,760,6050,758xm6120,750l6080,750,6080,756,6120,756,6120,750xm6120,758l6080,758,6080,760,6120,760,6120,758xm6190,750l6150,750,6150,756,6190,756,6190,750xm6190,758l6150,758,6150,760,6190,760,6190,758xm6260,750l6220,750,6220,756,6260,756,6260,750xm6260,758l6220,758,6220,760,6260,760,6260,758xm6330,750l6290,750,6290,756,6330,756,6330,750xm6330,758l6290,758,6290,760,6330,760,6330,758xm6400,750l6360,750,6360,756,6400,756,6400,750xm6400,758l6360,758,6360,760,6400,760,6400,758xm6470,750l6430,750,6430,756,6470,756,6470,750xm6470,758l6430,758,6430,760,6470,760,6470,758xm6540,750l6500,750,6500,756,6540,756,6540,750xm6540,758l6500,758,6500,760,6540,760,6540,758xm6610,750l6570,750,6570,756,6610,756,6610,750xm6610,758l6570,758,6570,760,6610,760,6610,758xm6680,750l6640,750,6640,756,6680,756,6680,750xm6680,758l6640,758,6640,760,6680,760,6680,758xm6750,750l6710,750,6710,756,6750,756,6750,750xm6750,758l6710,758,6710,760,6750,760,6750,758xm6820,750l6780,750,6780,756,6820,756,6820,750xm6820,758l6780,758,6780,760,6820,760,6820,758xm6890,750l6850,750,6850,756,6890,756,6890,750xm6890,758l6850,758,6850,760,6890,760,6890,758xm6960,750l6920,750,6920,756,6960,756,6960,750xm6960,758l6920,758,6920,760,6960,760,6960,758xm7030,750l6990,750,6990,756,7030,756,7030,750xm7030,758l6990,758,6990,760,7030,760,7030,758xm7100,750l7060,750,7060,756,7100,756,7100,750xm7100,758l7060,758,7060,760,7100,760,7100,758xm7170,750l7130,750,7130,756,7170,756,7170,750xm7170,758l7130,758,7130,760,7170,760,7170,758xm7240,750l7200,750,7200,756,7240,756,7240,750xm7240,758l7200,758,7200,760,7240,760,7240,758xm7310,750l7270,750,7270,756,7310,756,7310,750xm7310,758l7270,758,7270,760,7310,760,7310,758xm7380,750l7340,750,7340,756,7380,756,7380,750xm7380,758l7340,758,7340,760,7380,760,7380,758xm7450,750l7410,750,7410,756,7450,756,7450,750xm7450,758l7410,758,7410,760,7450,760,7450,758xm7520,750l7480,750,7480,756,7520,756,7520,750xm7520,758l7480,758,7480,760,7520,760,7520,758xm7590,750l7550,750,7550,756,7590,756,7590,750xm7590,758l7550,758,7550,760,7590,760,7590,758xm7660,750l7620,750,7620,756,7660,756,7660,750xm7660,758l7620,758,7620,760,7660,760,7660,758xm7730,750l7690,750,7690,756,7730,756,7730,750xm7730,758l7690,758,7690,760,7730,760,7730,758xm7800,750l7760,750,7760,756,7800,756,7800,750xm7800,758l7760,758,7760,760,7800,760,7800,758xm7870,750l7830,750,7830,756,7870,756,7870,750xm7870,758l7830,758,7830,760,7870,760,7870,758xm7940,750l7900,750,7900,756,7940,756,7940,750xm7940,758l7900,758,7900,760,7940,760,7940,758xm8010,750l7970,750,7970,756,8010,756,8010,750xm8010,758l7970,758,7970,760,8010,760,8010,758xm8080,750l8040,750,8040,756,8080,756,8080,750xm8080,758l8040,758,8040,760,8080,760,8080,758xm8150,750l8110,750,8110,756,8150,756,8150,750xm8150,758l8110,758,8110,760,8150,760,8150,758xm8220,750l8180,750,8180,756,8220,756,8220,750xm8220,758l8180,758,8180,760,8220,760,8220,758xm8290,750l8250,750,8250,756,8290,756,8290,750xm8290,758l8250,758,8250,760,8290,760,8290,758xm8360,750l8320,750,8320,756,8360,756,8360,750xm8360,758l8320,758,8320,760,8360,760,8360,758xm8430,750l8390,750,8390,756,8430,756,8430,750xm8430,758l8390,758,8390,760,8430,760,8430,758xm8500,750l8460,750,8460,756,8500,756,8500,750xm8500,758l8460,758,8460,760,8500,760,8500,758xm8570,750l8530,750,8530,756,8570,756,8570,750xm8570,758l8530,758,8530,760,8570,760,8570,758xm8640,750l8600,750,8600,756,8640,756,8640,750xm8640,758l8600,758,8600,760,8640,760,8640,758xm8710,750l8670,750,8670,756,8710,756,8710,750xm8710,758l8670,758,8670,760,8710,760,8710,758xm8780,750l8740,750,8740,756,8780,756,8780,750xm8780,758l8740,758,8740,760,8780,760,8780,758xm8850,750l8810,750,8810,756,8850,756,8850,750xm8850,758l8810,758,8810,760,8850,760,8850,758xm8920,750l8880,750,8880,756,8920,756,8920,750xm8920,758l8880,758,8880,760,8920,760,8920,758xm8990,750l8950,750,8950,756,8990,756,8990,750xm8990,758l8950,758,8950,760,8990,760,8990,758xm9060,750l9020,750,9020,756,9060,756,9060,750xm9060,758l9020,758,9020,760,9060,760,9060,758xm9120,758l9090,758,9090,760,9118,760,9118,762,9120,762,9120,758xm9126,750l9090,750,9090,756,9122,756,9122,762,9128,762,9128,752,9126,750xm9128,792l9122,792,9122,832,9128,832,9128,792xm9120,792l9118,792,9118,832,9120,832,9120,792xm9128,862l9122,862,9122,902,9128,902,9128,862xm9120,862l9118,862,9118,902,9120,902,9120,862xm9128,932l9122,932,9122,972,9128,972,9128,932xm9120,932l9118,932,9118,972,9120,972,9120,932xm9128,1002l9122,1002,9122,1042,9128,1042,9128,1002xm9120,1002l9118,1002,9118,1042,9120,1042,9120,1002xm9128,1072l9122,1072,9122,1112,9128,1112,9128,1072xm9120,1072l9118,1072,9118,1112,9120,1112,9120,1072xm9128,1142l9122,1142,9122,1182,9128,1182,9128,1142xm9120,1142l9118,1142,9118,1182,9120,1182,9120,1142xm9128,1212l9122,1212,9122,1252,9128,1252,9128,1212xm9120,1212l9118,1212,9118,1252,9120,1252,9120,1212xm9128,1282l9122,1282,9122,1322,9128,1322,9128,1282xm9120,1282l9118,1282,9118,1322,9120,1322,9120,1282xm9128,1352l9122,1352,9122,1392,9128,1392,9128,1352xm9120,1352l9118,1352,9118,1392,9120,1392,9120,1352xm9128,1422l9122,1422,9122,1462,9128,1462,9128,1422xm9120,1422l9118,1422,9118,1462,9120,1462,9120,1422xm9128,1492l9122,1492,9122,1532,9128,1532,9128,1492xm9120,1492l9118,1492,9118,1532,9120,1532,9120,1492xm9128,1562l9122,1562,9122,1602,9128,1602,9128,1562xm9120,1562l9118,1562,9118,1602,9120,1602,9120,1562xm9128,1632l9122,1632,9122,1672,9128,1672,9128,1632xm9120,1632l9118,1632,9118,1672,9120,1672,9120,1632xm9128,1702l9122,1702,9122,1742,9128,1742,9128,1702xm9120,1702l9118,1702,9118,1742,9120,1742,9120,1702xm9128,1772l9122,1772,9122,1812,9128,1812,9128,1772xm9120,1772l9118,1772,9118,1812,9120,1812,9120,1772xm9128,1842l9122,1842,9122,1882,9128,1882,9128,1842xm9120,1842l9118,1842,9118,1882,9120,1882,9120,1842xm9128,1912l9122,1912,9122,1952,9128,1952,9128,1912xm9120,1912l9118,1912,9118,1952,9120,1952,9120,1912xm9128,1982l9122,1982,9122,2022,9128,2022,9128,1982xm9120,1982l9118,1982,9118,2022,9120,2022,9120,1982xm9128,2052l9122,2052,9122,2092,9128,2092,9128,2052xm9120,2052l9118,2052,9118,2092,9120,2092,9120,2052xm9128,2122l9122,2122,9122,2162,9128,2162,9128,2122xm9120,2122l9118,2122,9118,2162,9120,2162,9120,2122xm9128,2192l9122,2192,9122,2232,9128,2232,9128,2192xm9120,2192l9118,2192,9118,2232,9120,2232,9120,2192xm9128,2262l9122,2262,9122,2302,9128,2302,9128,2262xm9120,2262l9118,2262,9118,2302,9120,2302,9120,2262xm9128,2332l9122,2332,9122,2372,9128,2372,9128,2332xm9120,2332l9118,2332,9118,2372,9120,2372,9120,2332xm9128,2402l9122,2402,9122,2442,9128,2442,9128,2402xm9120,2402l9118,2402,9118,2442,9120,2442,9120,2402xm9128,2472l9122,2472,9122,2512,9128,2512,9128,2472xm9120,2472l9118,2472,9118,2512,9120,2512,9120,2472xm9128,2542l9122,2542,9122,2582,9128,2582,9128,2542xm9120,2542l9118,2542,9118,2582,9120,2582,9120,2542xm9128,2612l9122,2612,9122,2652,9128,2652,9128,2612xm9120,2612l9118,2612,9118,2652,9120,2652,9120,2612xm9128,2682l9122,2682,9122,2722,9128,2722,9128,2682xm9120,2682l9118,2682,9118,2722,9120,2722,9120,2682xm9128,2752l9122,2752,9122,2792,9128,2792,9128,2752xm9120,2752l9118,2752,9118,2792,9120,2792,9120,2752xm9128,2822l9122,2822,9122,2862,9128,2862,9128,2822xm9120,2822l9118,2822,9118,2862,9120,2862,9120,2822xm9128,2892l9122,2892,9122,2932,9128,2932,9128,2892xm9120,2892l9118,2892,9118,2932,9120,2932,9120,2892xm9128,2962l9122,2962,9122,3002,9128,3002,9128,2962xm9120,2962l9118,2962,9118,3002,9120,3002,9120,2962xm9128,3032l9122,3032,9122,3072,9128,3072,9128,3032xm9120,3032l9118,3032,9118,3072,9120,3072,9120,3032xm9128,3102l9122,3102,9122,3142,9128,3142,9128,3102xm9120,3102l9118,3102,9118,3142,9120,3142,9120,3102xm9128,3172l9122,3172,9122,3212,9128,3212,9128,3172xm9120,3172l9118,3172,9118,3212,9120,3212,9120,3172xm9128,3242l9122,3242,9122,3282,9128,3282,9128,3242xm9120,3242l9118,3242,9118,3282,9120,3282,9120,3242xm9128,3312l9122,3312,9122,3352,9128,3352,9128,3312xm9120,3312l9118,3312,9118,3352,9120,3352,9120,3312xm9128,3382l9122,3382,9122,3422,9128,3422,9128,3382xm9120,3382l9118,3382,9118,3422,9120,3422,9120,3382xm9128,3452l9122,3452,9122,3492,9128,3492,9128,3452xm9120,3452l9118,3452,9118,3492,9120,3492,9120,3452xm9128,3522l9122,3522,9122,3562,9128,3562,9128,3522xm9120,3522l9118,3522,9118,3562,9120,3562,9120,3522xm9128,3592l9122,3592,9122,3632,9128,3632,9128,3592xm9120,3592l9118,3592,9118,3632,9120,3632,9120,3592xm9128,3662l9122,3662,9122,3702,9128,3702,9128,3662xm9120,3662l9118,3662,9118,3702,9120,3702,9120,3662xm9128,3732l9122,3732,9122,3772,9128,3772,9128,3732xm9120,3732l9118,3732,9118,3772,9120,3772,9120,3732xm9128,3802l9122,3802,9122,3842,9128,3842,9128,3802xm9120,3802l9118,3802,9118,3842,9120,3842,9120,3802xm9128,3872l9122,3872,9122,3912,9128,3912,9128,3872xm9120,3872l9118,3872,9118,3912,9120,3912,9120,3872xm9128,3942l9122,3942,9122,3982,9128,3982,9128,3942xm9120,3942l9118,3942,9118,3982,9120,3982,9120,3942xm9128,4012l9122,4012,9122,4052,9128,4052,9128,4012xm9120,4012l9118,4012,9118,4052,9120,4052,9120,4012xm9128,4082l9122,4082,9122,4122,9128,4122,9128,4082xm9120,4082l9118,4082,9118,4122,9120,4122,9120,4082xm9128,4152l9122,4152,9122,4192,9128,4192,9128,4152xm9120,4152l9118,4152,9118,4192,9120,4192,9120,4152xm9128,4222l9122,4222,9122,4262,9128,4262,9128,4222xm9120,4222l9118,4222,9118,4262,9120,4262,9120,4222xm9128,4292l9122,4292,9122,4332,9128,4332,9128,4292xm9120,4292l9118,4292,9118,4332,9120,4332,9120,4292xm9128,4362l9122,4362,9122,4402,9128,4402,9128,4362xm9120,4362l9118,4362,9118,4402,9120,4402,9120,4362xm9128,4432l9122,4432,9122,4472,9128,4472,9128,4432xm9120,4432l9118,4432,9118,4472,9120,4472,9120,4432xm9128,4502l9122,4502,9122,4542,9128,4542,9128,4502xm9120,4502l9118,4502,9118,4542,9120,4542,9120,4502xm9128,4572l9122,4572,9122,4612,9128,4612,9128,4572xm9120,4572l9118,4572,9118,4612,9120,4612,9120,4572xm9128,4642l9122,4642,9122,4682,9128,4682,9128,4642xm9120,4642l9118,4642,9118,4682,9120,4682,9120,4642xm9128,4712l9122,4712,9122,4752,9128,4752,9128,4712xm9120,4712l9118,4712,9118,4752,9120,4752,9120,4712xm9128,4782l9122,4782,9122,4822,9128,4822,9128,4782xm9120,4782l9118,4782,9118,4822,9120,4822,9120,4782xm9128,4852l9122,4852,9122,4892,9128,4892,9128,4852xm9120,4852l9118,4852,9118,4892,9120,4892,9120,4852xm9128,4922l9122,4922,9122,4962,9128,4962,9128,4922xm9120,4922l9118,4922,9118,4962,9120,4962,9120,4922xm9128,4992l9122,4992,9122,5032,9128,5032,9128,4992xm9120,4992l9118,4992,9118,5032,9120,5032,9120,4992xm9128,5062l9122,5062,9122,5102,9128,5102,9128,5062xm9120,5062l9118,5062,9118,5102,9120,5102,9120,5062xm9128,5132l9122,5132,9122,5172,9128,5172,9128,5132xm9120,5132l9118,5132,9118,5172,9120,5172,9120,5132xm9128,5202l9122,5202,9122,5242,9128,5242,9128,5202xm9120,5202l9118,5202,9118,5242,9120,5242,9120,5202xm9128,5272l9122,5272,9122,5312,9128,5312,9128,5272xm9120,5272l9118,5272,9118,5312,9120,5312,9120,5272xm9128,5342l9122,5342,9122,5382,9128,5382,9128,5342xm9120,5342l9118,5342,9118,5382,9120,5382,9120,5342xm9128,5412l9122,5412,9122,5452,9128,5452,9128,5412xm9120,5412l9118,5412,9118,5452,9120,5452,9120,5412xm9128,5482l9122,5482,9122,5522,9128,5522,9128,5482xm9120,5482l9118,5482,9118,5522,9120,5522,9120,5482xm9128,5552l9122,5552,9122,5592,9128,5592,9128,5552xm9120,5552l9118,5552,9118,5592,9120,5592,9120,5552xm9128,5622l9122,5622,9122,5662,9128,5662,9128,5622xm9120,5622l9118,5622,9118,5662,9120,5662,9120,5622xm9128,5692l9122,5692,9122,5732,9128,5732,9128,5692xm9120,5692l9118,5692,9118,5732,9120,5732,9120,5692xm9128,5762l9122,5762,9122,5786,9108,5786,9108,5792,9126,5792,9128,5790,9128,5762xm9120,5762l9118,5762,9118,5782,9108,5782,9108,5784,9120,5784,9120,5762xm9078,5786l9038,5786,9038,5792,9078,5792,9078,5786xm9078,5782l9038,5782,9038,5784,9078,5784,9078,5782xm9008,5786l8968,5786,8968,5792,9008,5792,9008,5786xm9008,5782l8968,5782,8968,5784,9008,5784,9008,5782xm8938,5786l8898,5786,8898,5792,8938,5792,8938,5786xm8938,5782l8898,5782,8898,5784,8938,5784,8938,5782xm8868,5786l8828,5786,8828,5792,8868,5792,8868,5786xm8868,5782l8828,5782,8828,5784,8868,5784,8868,5782xm8798,5786l8758,5786,8758,5792,8798,5792,8798,5786xm8798,5782l8758,5782,8758,5784,8798,5784,8798,5782xm8728,5786l8688,5786,8688,5792,8728,5792,8728,5786xm8728,5782l8688,5782,8688,5784,8728,5784,8728,5782xm8658,5786l8618,5786,8618,5792,8658,5792,8658,5786xm8658,5782l8618,5782,8618,5784,8658,5784,8658,5782xm8588,5786l8548,5786,8548,5792,8588,5792,8588,5786xm8588,5782l8548,5782,8548,5784,8588,5784,8588,5782xm8518,5786l8478,5786,8478,5792,8518,5792,8518,5786xm8518,5782l8478,5782,8478,5784,8518,5784,8518,5782xm8448,5786l8408,5786,8408,5792,8448,5792,8448,5786xm8448,5782l8408,5782,8408,5784,8448,5784,8448,5782xm8378,5786l8338,5786,8338,5792,8378,5792,8378,5786xm8378,5782l8338,5782,8338,5784,8378,5784,8378,5782xm8308,5786l8268,5786,8268,5792,8308,5792,8308,5786xm8308,5782l8268,5782,8268,5784,8308,5784,8308,5782xm8238,5786l8198,5786,8198,5792,8238,5792,8238,5786xm8238,5782l8198,5782,8198,5784,8238,5784,8238,5782xm8168,5786l8128,5786,8128,5792,8168,5792,8168,5786xm8168,5782l8128,5782,8128,5784,8168,5784,8168,5782xm8098,5786l8058,5786,8058,5792,8098,5792,8098,5786xm8098,5782l8058,5782,8058,5784,8098,5784,8098,5782xm8028,5786l7988,5786,7988,5792,8028,5792,8028,5786xm8028,5782l7988,5782,7988,5784,8028,5784,8028,5782xm7958,5786l7918,5786,7918,5792,7958,5792,7958,5786xm7958,5782l7918,5782,7918,5784,7958,5784,7958,5782xm7888,5786l7848,5786,7848,5792,7888,5792,7888,5786xm7888,5782l7848,5782,7848,5784,7888,5784,7888,5782xm7818,5786l7778,5786,7778,5792,7818,5792,7818,5786xm7818,5782l7778,5782,7778,5784,7818,5784,7818,5782xm7748,5786l7708,5786,7708,5792,7748,5792,7748,5786xm7748,5782l7708,5782,7708,5784,7748,5784,7748,5782xm7678,5786l7638,5786,7638,5792,7678,5792,7678,5786xm7678,5782l7638,5782,7638,5784,7678,5784,7678,5782xm7608,5786l7568,5786,7568,5792,7608,5792,7608,5786xm7608,5782l7568,5782,7568,5784,7608,5784,7608,5782xm7538,5786l7498,5786,7498,5792,7538,5792,7538,5786xm7538,5782l7498,5782,7498,5784,7538,5784,7538,5782xm7468,5786l7428,5786,7428,5792,7468,5792,7468,5786xm7468,5782l7428,5782,7428,5784,7468,5784,7468,5782xm7398,5786l7358,5786,7358,5792,7398,5792,7398,5786xm7398,5782l7358,5782,7358,5784,7398,5784,7398,5782xm7328,5786l7288,5786,7288,5792,7328,5792,7328,5786xm7328,5782l7288,5782,7288,5784,7328,5784,7328,5782xm7258,5786l7218,5786,7218,5792,7258,5792,7258,5786xm7258,5782l7218,5782,7218,5784,7258,5784,7258,5782xm7188,5786l7148,5786,7148,5792,7188,5792,7188,5786xm7188,5782l7148,5782,7148,5784,7188,5784,7188,5782xm7118,5786l7078,5786,7078,5792,7118,5792,7118,5786xm7118,5782l7078,5782,7078,5784,7118,5784,7118,5782xm7048,5786l7008,5786,7008,5792,7048,5792,7048,5786xm7048,5782l7008,5782,7008,5784,7048,5784,7048,5782xm6978,5786l6938,5786,6938,5792,6978,5792,6978,5786xm6978,5782l6938,5782,6938,5784,6978,5784,6978,5782xm6908,5786l6868,5786,6868,5792,6908,5792,6908,5786xm6908,5782l6868,5782,6868,5784,6908,5784,6908,5782xm6838,5786l6798,5786,6798,5792,6838,5792,6838,5786xm6838,5782l6798,5782,6798,5784,6838,5784,6838,5782xm6768,5786l6728,5786,6728,5792,6768,5792,6768,5786xm6768,5782l6728,5782,6728,5784,6768,5784,6768,5782xm6698,5786l6658,5786,6658,5792,6698,5792,6698,5786xm6698,5782l6658,5782,6658,5784,6698,5784,6698,5782xm6628,5786l6588,5786,6588,5792,6628,5792,6628,5786xm6628,5782l6588,5782,6588,5784,6628,5784,6628,5782xm6558,5786l6518,5786,6518,5792,6558,5792,6558,5786xm6558,5782l6518,5782,6518,5784,6558,5784,6558,5782xm6488,5786l6448,5786,6448,5792,6488,5792,6488,5786xm6488,5782l6448,5782,6448,5784,6488,5784,6488,5782xm6418,5786l6378,5786,6378,5792,6418,5792,6418,5786xm6418,5782l6378,5782,6378,5784,6418,5784,6418,5782xm6348,5786l6308,5786,6308,5792,6348,5792,6348,5786xm6348,5782l6308,5782,6308,5784,6348,5784,6348,5782xm6278,5786l6238,5786,6238,5792,6278,5792,6278,5786xm6278,5782l6238,5782,6238,5784,6278,5784,6278,5782xm6208,5786l6168,5786,6168,5792,6208,5792,6208,5786xm6208,5782l6168,5782,6168,5784,6208,5784,6208,5782xm6138,5786l6098,5786,6098,5792,6138,5792,6138,5786xm6138,5782l6098,5782,6098,5784,6138,5784,6138,5782xm6068,5786l6028,5786,6028,5792,6068,5792,6068,5786xm6068,5782l6028,5782,6028,5784,6068,5784,6068,5782xm5998,5786l5958,5786,5958,5792,5998,5792,5998,5786xm5998,5782l5958,5782,5958,5784,5998,5784,5998,5782xm5928,5786l5888,5786,5888,5792,5928,5792,5928,5786xm5928,5782l5888,5782,5888,5784,5928,5784,5928,5782xm5858,5786l5818,5786,5818,5792,5858,5792,5858,5786xm5858,5782l5818,5782,5818,5784,5858,5784,5858,5782xm5788,5786l5748,5786,5748,5792,5788,5792,5788,5786xm5788,5782l5748,5782,5748,5784,5788,5784,5788,5782xm5718,5786l5678,5786,5678,5792,5718,5792,5718,5786xm5718,5782l5678,5782,5678,5784,5718,5784,5718,5782xm5648,5786l5608,5786,5608,5792,5648,5792,5648,5786xm5648,5782l5608,5782,5608,5784,5648,5784,5648,5782xm5578,5786l5538,5786,5538,5792,5578,5792,5578,5786xm5578,5782l5538,5782,5538,5784,5578,5784,5578,5782xm5508,5786l5468,5786,5468,5792,5508,5792,5508,5786xm5508,5782l5468,5782,5468,5784,5508,5784,5508,5782xm5438,5786l5398,5786,5398,5792,5438,5792,5438,5786xm5438,5782l5398,5782,5398,5784,5438,5784,5438,5782xm5368,5786l5328,5786,5328,5792,5368,5792,5368,5786xm5368,5782l5328,5782,5328,5784,5368,5784,5368,5782xm5298,5786l5258,5786,5258,5792,5298,5792,5298,5786xm5298,5782l5258,5782,5258,5784,5298,5784,5298,5782xm5228,5786l5188,5786,5188,5792,5228,5792,5228,5786xm5228,5782l5188,5782,5188,5784,5228,5784,5228,5782xm5158,5786l5118,5786,5118,5792,5158,5792,5158,5786xm5158,5782l5118,5782,5118,5784,5158,5784,5158,5782xm5088,5786l5048,5786,5048,5792,5088,5792,5088,5786xm5088,5782l5048,5782,5048,5784,5088,5784,5088,5782xm5018,5786l4978,5786,4978,5792,5018,5792,5018,5786xm5018,5782l4978,5782,4978,5784,5018,5784,5018,5782xm4948,5786l4908,5786,4908,5792,4948,5792,4948,5786xm4948,5782l4908,5782,4908,5784,4948,5784,4948,5782xm4878,5786l4838,5786,4838,5792,4878,5792,4878,5786xm4878,5782l4838,5782,4838,5784,4878,5784,4878,5782xm4808,5786l4768,5786,4768,5792,4808,5792,4808,5786xm4808,5782l4768,5782,4768,5784,4808,5784,4808,5782xm4738,5786l4698,5786,4698,5792,4738,5792,4738,5786xm4738,5782l4698,5782,4698,5784,4738,5784,4738,5782xm4668,5786l4628,5786,4628,5792,4668,5792,4668,5786xm4668,5782l4628,5782,4628,5784,4668,5784,4668,5782xm4598,5786l4558,5786,4558,5792,4598,5792,4598,5786xm4598,5782l4558,5782,4558,5784,4598,5784,4598,5782xm4528,5786l4488,5786,4488,5792,4528,5792,4528,5786xm4528,5782l4488,5782,4488,5784,4528,5784,4528,5782xm4458,5786l4418,5786,4418,5792,4458,5792,4458,5786xm4458,5782l4418,5782,4418,5784,4458,5784,4458,5782xm4388,5786l4348,5786,4348,5792,4388,5792,4388,5786xm4388,5782l4348,5782,4348,5784,4388,5784,4388,5782xm4318,5786l4278,5786,4278,5792,4318,5792,4318,5786xm4318,5782l4278,5782,4278,5784,4318,5784,4318,5782xm4248,5786l4208,5786,4208,5792,4248,5792,4248,5786xm4248,5782l4208,5782,4208,5784,4248,5784,4248,5782xm4178,5786l4138,5786,4138,5792,4178,5792,4178,5786xm4178,5782l4138,5782,4138,5784,4178,5784,4178,5782xm4108,5786l4068,5786,4068,5792,4108,5792,4108,5786xm4108,5782l4068,5782,4068,5784,4108,5784,4108,5782xm4038,5786l3998,5786,3998,5792,4038,5792,4038,5786xm4038,5782l3998,5782,3998,5784,4038,5784,4038,5782xm3968,5786l3928,5786,3928,5792,3968,5792,3968,5786xm3968,5782l3928,5782,3928,5784,3968,5784,3968,5782xm3898,5786l3858,5786,3858,5792,3898,5792,3898,5786xm3898,5782l3858,5782,3858,5784,3898,5784,3898,5782xm3828,5786l3788,5786,3788,5792,3828,5792,3828,5786xm3828,5782l3788,5782,3788,5784,3828,5784,3828,5782xm3758,5786l3718,5786,3718,5792,3758,5792,3758,5786xm3758,5782l3718,5782,3718,5784,3758,5784,3758,5782xm3688,5786l3648,5786,3648,5792,3688,5792,3688,5786xm3688,5782l3648,5782,3648,5784,3688,5784,3688,5782xm3618,5786l3578,5786,3578,5792,3618,5792,3618,5786xm3618,5782l3578,5782,3578,5784,3618,5784,3618,5782xm3548,5786l3508,5786,3508,5792,3548,5792,3548,5786xm3548,5782l3508,5782,3508,5784,3548,5784,3548,5782xm3478,5786l3438,5786,3438,5792,3478,5792,3478,5786xm3478,5782l3438,5782,3438,5784,3478,5784,3478,5782xe" filled="true" fillcolor="#000000" stroked="false">
              <v:path arrowok="t"/>
              <v:fill type="solid"/>
            </v:shape>
            <v:rect style="position:absolute;left:3569;top:1590;width:1512;height:459" filled="false" stroked="true" strokeweight=".5pt" strokecolor="#000000"/>
            <v:shape style="position:absolute;left:5082;top:1790;width:2407;height:158" coordorigin="5082,1790" coordsize="2407,158" path="m5217,1790l5213,1792,5082,1869,5213,1945,5217,1947,5221,1946,5223,1943,5225,1939,5224,1934,5221,1932,5125,1876,5097,1876,5097,1861,5124,1861,5221,1805,5224,1803,5225,1799,5223,1795,5221,1791,5217,1790xm7459,1869l7350,1932,7347,1934,7346,1939,7348,1943,7350,1946,7354,1947,7358,1945,7476,1876,7474,1876,7474,1875,7470,1875,7459,1869xm5124,1861l5097,1861,5097,1876,5125,1876,5123,1875,5101,1875,5101,1862,5123,1862,5124,1861xm7447,1861l5124,1861,5112,1869,5125,1876,7446,1876,7459,1869,7447,1861xm7476,1861l7474,1861,7474,1876,7476,1876,7489,1869,7476,1861xm5101,1862l5101,1875,5112,1869,5101,1862xm5112,1869l5101,1875,5123,1875,5112,1869xm7470,1862l7459,1869,7470,1875,7470,1862xm7474,1862l7470,1862,7470,1875,7474,1875,7474,1862xm5123,1862l5101,1862,5112,1869,5123,1862xm7354,1790l7350,1791,7348,1795,7346,1799,7347,1803,7350,1805,7459,1869,7470,1862,7474,1862,7474,1861,7476,1861,7358,1792,7354,1790xe" filled="true" fillcolor="#000000" stroked="false">
              <v:path arrowok="t"/>
              <v:fill type="solid"/>
            </v:shape>
            <v:rect style="position:absolute;left:7490;top:1626;width:1440;height:423" filled="false" stroked="true" strokeweight=".5pt" strokecolor="#000000"/>
            <v:shape style="position:absolute;left:8185;top:2050;width:158;height:1173" coordorigin="8185,2050" coordsize="158,1173" path="m8194,3079l8190,3081,8187,3084,8185,3088,8188,3092,8264,3223,8273,3208,8256,3208,8256,3180,8200,3084,8198,3081,8194,3079xm8256,3180l8256,3208,8271,3208,8271,3204,8258,3204,8264,3193,8256,3180xm8334,3079l8330,3081,8328,3084,8272,3180,8271,3208,8273,3208,8340,3092,8343,3088,8341,3084,8338,3081,8334,3079xm8264,3193l8258,3204,8270,3204,8264,3193xm8271,3180l8264,3193,8270,3204,8271,3204,8271,3180xm8264,2079l8257,2092,8257,3180,8264,3193,8271,3180,8271,2092,8264,2079xm8264,2050l8188,2181,8185,2184,8187,2189,8190,2191,8194,2193,8198,2192,8200,2188,8256,2092,8256,2065,8273,2065,8264,2050xm8273,2065l8271,2065,8272,2092,8328,2188,8330,2192,8334,2193,8338,2191,8341,2189,8343,2184,8340,2181,8273,2065xm8271,2065l8256,2065,8256,2092,8264,2079,8258,2068,8271,2068,8271,2065xm8271,2068l8270,2068,8264,2079,8271,2092,8271,2068xm8270,2068l8258,2068,8264,2079,8270,2068xe" filled="true" fillcolor="#000000" stroked="false">
              <v:path arrowok="t"/>
              <v:fill type="solid"/>
            </v:shape>
            <v:rect style="position:absolute;left:7369;top:3224;width:1681;height:423" filled="false" stroked="true" strokeweight=".5pt" strokecolor="#000000"/>
            <v:rect style="position:absolute;left:3472;top:3236;width:1476;height:459" filled="false" stroked="true" strokeweight=".5pt" strokecolor="#000000"/>
            <v:shape style="position:absolute;left:8185;top:3648;width:158;height:1294" coordorigin="8185,3648" coordsize="158,1294" path="m8194,4798l8190,4800,8187,4803,8185,4807,8188,4811,8264,4942,8273,4927,8256,4927,8256,4899,8200,4803,8198,4800,8194,4798xm8256,4899l8256,4927,8271,4927,8271,4923,8258,4923,8264,4912,8256,4899xm8334,4798l8330,4800,8328,4803,8272,4899,8271,4927,8273,4927,8340,4811,8343,4807,8341,4803,8338,4800,8334,4798xm8264,4912l8258,4923,8270,4923,8264,4912xm8271,4899l8264,4912,8270,4923,8271,4923,8271,4899xm8264,3677l8257,3690,8257,4899,8264,4912,8271,4899,8271,3690,8264,3677xm8264,3648l8188,3779,8185,3782,8187,3787,8190,3789,8194,3791,8198,3790,8200,3786,8256,3690,8256,3663,8273,3663,8264,3648xm8273,3663l8271,3663,8272,3690,8328,3786,8330,3790,8334,3791,8338,3789,8341,3787,8343,3782,8340,3779,8273,3663xm8271,3663l8256,3663,8256,3690,8264,3677,8258,3666,8271,3666,8271,3663xm8271,3666l8270,3666,8264,3677,8271,3690,8271,3666xm8270,3666l8258,3666,8264,3677,8270,3666xe" filled="true" fillcolor="#000000" stroked="false">
              <v:path arrowok="t"/>
              <v:fill type="solid"/>
            </v:shape>
            <v:rect style="position:absolute;left:7489;top:4939;width:1476;height:665" filled="false" stroked="true" strokeweight=".5pt" strokecolor="#000000"/>
            <v:rect style="position:absolute;left:3575;top:5043;width:1512;height:459" filled="true" fillcolor="#f8d98b" stroked="false">
              <v:fill type="solid"/>
            </v:rect>
            <v:rect style="position:absolute;left:3575;top:5043;width:1512;height:459" filled="false" stroked="true" strokeweight=".5pt" strokecolor="#000000"/>
            <v:shape style="position:absolute;left:5082;top:5190;width:2408;height:158" coordorigin="5082,5190" coordsize="2408,158" path="m5217,5190l5213,5192,5082,5269,5213,5345,5217,5347,5221,5346,5223,5343,5225,5339,5224,5334,5221,5332,5125,5276,5097,5276,5097,5261,5124,5261,5221,5205,5224,5203,5225,5199,5223,5195,5221,5191,5217,5190xm7460,5269l7351,5332,7348,5334,7347,5339,7349,5343,7351,5346,7355,5347,7359,5345,7477,5276,7475,5276,7475,5275,7471,5275,7460,5269xm5124,5261l5097,5261,5097,5276,5125,5276,5123,5275,5101,5275,5101,5262,5123,5262,5124,5261xm7448,5261l5124,5261,5112,5269,5125,5276,7447,5276,7460,5269,7448,5261xm7477,5261l7475,5261,7475,5276,7477,5276,7490,5269,7477,5261xm5101,5262l5101,5275,5112,5269,5101,5262xm5112,5269l5101,5275,5123,5275,5112,5269xm7471,5262l7460,5269,7471,5275,7471,5262xm7475,5262l7471,5262,7471,5275,7475,5275,7475,5262xm5123,5262l5101,5262,5112,5269,5123,5262xm7355,5190l7351,5191,7349,5195,7347,5199,7348,5203,7351,5205,7460,5269,7471,5262,7475,5262,7475,5261,7477,5261,7359,5192,7355,5190xe" filled="true" fillcolor="#000000" stroked="false">
              <v:path arrowok="t"/>
              <v:fill type="solid"/>
            </v:shape>
            <v:shape style="position:absolute;left:4997;top:2129;width:2356;height:2996" type="#_x0000_t75" stroked="false">
              <v:imagedata r:id="rId135" o:title=""/>
            </v:shape>
            <v:shape style="position:absolute;left:4156;top:2038;width:158;height:1197" coordorigin="4156,2038" coordsize="158,1197" path="m4165,3091l4161,3093,4158,3096,4156,3100,4159,3104,4235,3235,4244,3220,4228,3220,4227,3192,4171,3096,4169,3093,4165,3091xm4228,3192l4228,3220,4243,3220,4243,3216,4229,3216,4235,3205,4228,3192xm4305,3091l4301,3093,4299,3096,4243,3192,4243,3220,4244,3220,4311,3104,4314,3100,4312,3096,4309,3093,4305,3091xm4235,3205l4229,3216,4241,3216,4235,3205xm4243,3192l4235,3205,4241,3216,4243,3216,4243,3192xm4235,2067l4228,2080,4228,3192,4235,3205,4242,3192,4242,2080,4235,2067xm4235,2038l4159,2169,4156,2172,4158,2177,4161,2179,4165,2181,4169,2180,4171,2176,4227,2080,4227,2053,4244,2053,4235,2038xm4244,2053l4242,2053,4243,2080,4299,2176,4301,2180,4305,2181,4309,2179,4312,2177,4314,2172,4311,2169,4244,2053xm4242,2053l4227,2053,4227,2080,4235,2067,4229,2056,4242,2056,4242,2053xm4242,2056l4241,2056,4235,2067,4242,2080,4242,2056xm4241,2056l4229,2056,4235,2067,4241,2056xe" filled="true" fillcolor="#000000" stroked="false">
              <v:path arrowok="t"/>
              <v:fill type="solid"/>
            </v:shape>
            <v:shape style="position:absolute;left:4156;top:3695;width:158;height:1338" coordorigin="4156,3695" coordsize="158,1338" path="m4165,4889l4161,4891,4158,4894,4156,4898,4159,4902,4235,5033,4244,5018,4228,5018,4227,4990,4171,4894,4169,4891,4165,4889xm4228,4990l4228,5018,4243,5018,4243,5014,4229,5014,4235,5003,4228,4990xm4305,4889l4301,4891,4299,4894,4243,4990,4243,5018,4244,5018,4311,4902,4314,4898,4312,4894,4309,4891,4305,4889xm4235,5003l4229,5014,4241,5014,4235,5003xm4243,4990l4235,5003,4241,5014,4243,5014,4243,4990xm4235,3724l4228,3737,4228,4990,4235,5003,4242,4990,4242,3737,4235,3724xm4235,3695l4159,3826,4156,3829,4158,3834,4161,3836,4165,3838,4169,3837,4171,3833,4227,3737,4227,3710,4244,3710,4235,3695xm4244,3710l4242,3710,4243,3737,4299,3833,4301,3837,4305,3838,4309,3836,4312,3834,4314,3829,4311,3826,4244,3710xm4242,3710l4227,3710,4227,3737,4235,3724,4229,3713,4242,3713,4242,3710xm4242,3713l4241,3713,4235,3724,4242,3737,4242,3713xm4241,3713l4229,3713,4235,3724,4241,3713xe" filled="true" fillcolor="#000000" stroked="false">
              <v:path arrowok="t"/>
              <v:fill type="solid"/>
            </v:shape>
            <v:shape style="position:absolute;left:4852;top:2017;width:232;height:146" type="#_x0000_t75" stroked="false">
              <v:imagedata r:id="rId136" o:title=""/>
            </v:shape>
            <v:shape style="position:absolute;left:7245;top:2014;width:245;height:147" type="#_x0000_t75" stroked="false">
              <v:imagedata r:id="rId137" o:title=""/>
            </v:shape>
            <v:shape style="position:absolute;left:4948;top:3351;width:151;height:157" type="#_x0000_t75" stroked="false">
              <v:imagedata r:id="rId138" o:title=""/>
            </v:shape>
            <v:shape style="position:absolute;left:7238;top:3351;width:143;height:157" type="#_x0000_t75" stroked="false">
              <v:imagedata r:id="rId139" o:title=""/>
            </v:shape>
            <v:shape style="position:absolute;left:7171;top:4935;width:318;height:181" type="#_x0000_t75" stroked="false">
              <v:imagedata r:id="rId140" o:title=""/>
            </v:shape>
            <v:shape style="position:absolute;left:4949;top:4893;width:158;height:144" type="#_x0000_t75" stroked="false">
              <v:imagedata r:id="rId141" o:title=""/>
            </v:shape>
            <v:shape style="position:absolute;left:1906;top:3065;width:1141;height:804" type="#_x0000_t202" filled="false" stroked="false">
              <v:textbox inset="0,0,0,0">
                <w:txbxContent>
                  <w:p>
                    <w:pPr>
                      <w:spacing w:line="226" w:lineRule="exact" w:before="0"/>
                      <w:ind w:left="0" w:right="-16" w:firstLine="48"/>
                      <w:jc w:val="left"/>
                      <w:rPr>
                        <w:b/>
                        <w:sz w:val="22"/>
                      </w:rPr>
                    </w:pPr>
                    <w:r>
                      <w:rPr>
                        <w:b/>
                        <w:sz w:val="22"/>
                      </w:rPr>
                      <w:t>Asamblea</w:t>
                    </w:r>
                  </w:p>
                  <w:p>
                    <w:pPr>
                      <w:spacing w:line="290" w:lineRule="atLeast" w:before="2"/>
                      <w:ind w:left="4" w:right="-16" w:hanging="5"/>
                      <w:jc w:val="left"/>
                      <w:rPr>
                        <w:b/>
                        <w:sz w:val="22"/>
                      </w:rPr>
                    </w:pPr>
                    <w:r>
                      <w:rPr>
                        <w:b/>
                        <w:sz w:val="22"/>
                      </w:rPr>
                      <w:t>General de Ejidatarios</w:t>
                    </w:r>
                  </w:p>
                </w:txbxContent>
              </v:textbox>
              <w10:wrap type="none"/>
            </v:shape>
            <v:shape style="position:absolute;left:5264;top:2250;width:1819;height:2585" type="#_x0000_t202" filled="false" stroked="false">
              <v:textbox inset="0,0,0,0">
                <w:txbxContent>
                  <w:p>
                    <w:pPr>
                      <w:spacing w:line="204" w:lineRule="exact" w:before="0"/>
                      <w:ind w:left="406" w:right="403" w:firstLine="0"/>
                      <w:jc w:val="center"/>
                      <w:rPr>
                        <w:sz w:val="20"/>
                      </w:rPr>
                    </w:pPr>
                    <w:r>
                      <w:rPr>
                        <w:color w:val="FF0000"/>
                        <w:sz w:val="20"/>
                      </w:rPr>
                      <w:t>REDES:</w:t>
                    </w:r>
                  </w:p>
                  <w:p>
                    <w:pPr>
                      <w:spacing w:line="276" w:lineRule="auto" w:before="31"/>
                      <w:ind w:left="-1" w:right="0" w:firstLine="2"/>
                      <w:jc w:val="center"/>
                      <w:rPr>
                        <w:b/>
                        <w:sz w:val="20"/>
                      </w:rPr>
                    </w:pPr>
                    <w:r>
                      <w:rPr>
                        <w:b/>
                        <w:sz w:val="20"/>
                      </w:rPr>
                      <w:t>Parentesco, compadrazgo, tianguis,</w:t>
                    </w:r>
                    <w:r>
                      <w:rPr>
                        <w:b/>
                        <w:spacing w:val="-7"/>
                        <w:sz w:val="20"/>
                      </w:rPr>
                      <w:t> </w:t>
                    </w:r>
                    <w:r>
                      <w:rPr>
                        <w:b/>
                        <w:sz w:val="20"/>
                      </w:rPr>
                      <w:t>comercio,</w:t>
                    </w:r>
                    <w:r>
                      <w:rPr>
                        <w:b/>
                        <w:w w:val="99"/>
                        <w:sz w:val="20"/>
                      </w:rPr>
                      <w:t> </w:t>
                    </w:r>
                    <w:r>
                      <w:rPr>
                        <w:b/>
                        <w:sz w:val="20"/>
                      </w:rPr>
                      <w:t>comida lacustre y láctea, charreadas y cabalgatas, fiestas patronales, fiestas</w:t>
                    </w:r>
                    <w:r>
                      <w:rPr>
                        <w:b/>
                        <w:spacing w:val="-6"/>
                        <w:sz w:val="20"/>
                      </w:rPr>
                      <w:t> </w:t>
                    </w:r>
                    <w:r>
                      <w:rPr>
                        <w:b/>
                        <w:sz w:val="20"/>
                      </w:rPr>
                      <w:t>familiares.</w:t>
                    </w:r>
                  </w:p>
                  <w:p>
                    <w:pPr>
                      <w:spacing w:line="225" w:lineRule="exact" w:before="10"/>
                      <w:ind w:left="408" w:right="403" w:firstLine="0"/>
                      <w:jc w:val="center"/>
                      <w:rPr>
                        <w:b/>
                        <w:sz w:val="20"/>
                      </w:rPr>
                    </w:pPr>
                    <w:r>
                      <w:rPr>
                        <w:b/>
                        <w:color w:val="FF0000"/>
                        <w:sz w:val="20"/>
                      </w:rPr>
                      <w:t>CULTURA</w:t>
                    </w:r>
                  </w:p>
                </w:txbxContent>
              </v:textbox>
              <w10:wrap type="none"/>
            </v:shape>
            <v:shape style="position:absolute;left:9996;top:3065;width:1141;height:804" type="#_x0000_t202" filled="false" stroked="false">
              <v:textbox inset="0,0,0,0">
                <w:txbxContent>
                  <w:p>
                    <w:pPr>
                      <w:spacing w:line="226" w:lineRule="exact" w:before="0"/>
                      <w:ind w:left="0" w:right="-16" w:firstLine="50"/>
                      <w:jc w:val="left"/>
                      <w:rPr>
                        <w:b/>
                        <w:sz w:val="22"/>
                      </w:rPr>
                    </w:pPr>
                    <w:r>
                      <w:rPr>
                        <w:b/>
                        <w:sz w:val="22"/>
                      </w:rPr>
                      <w:t>Asamblea</w:t>
                    </w:r>
                  </w:p>
                  <w:p>
                    <w:pPr>
                      <w:spacing w:line="290" w:lineRule="atLeast" w:before="2"/>
                      <w:ind w:left="7" w:right="-16" w:hanging="8"/>
                      <w:jc w:val="left"/>
                      <w:rPr>
                        <w:b/>
                        <w:sz w:val="22"/>
                      </w:rPr>
                    </w:pPr>
                    <w:r>
                      <w:rPr>
                        <w:b/>
                        <w:sz w:val="22"/>
                      </w:rPr>
                      <w:t>General de Ejidatarios</w:t>
                    </w:r>
                  </w:p>
                </w:txbxContent>
              </v:textbox>
              <w10:wrap type="none"/>
            </v:shape>
            <v:shape style="position:absolute;left:4634;top:211;width:3182;height:1149" type="#_x0000_t202" filled="true" fillcolor="#00afef" stroked="true" strokeweight=".5pt" strokecolor="#000000">
              <v:textbox inset="0,0,0,0">
                <w:txbxContent>
                  <w:p>
                    <w:pPr>
                      <w:spacing w:line="276" w:lineRule="auto" w:before="71"/>
                      <w:ind w:left="205" w:right="205" w:firstLine="21"/>
                      <w:jc w:val="center"/>
                      <w:rPr>
                        <w:b/>
                        <w:sz w:val="24"/>
                      </w:rPr>
                    </w:pPr>
                    <w:r>
                      <w:rPr>
                        <w:b/>
                        <w:spacing w:val="-4"/>
                        <w:sz w:val="24"/>
                      </w:rPr>
                      <w:t>EJIDATARIOS </w:t>
                    </w:r>
                    <w:r>
                      <w:rPr>
                        <w:b/>
                        <w:sz w:val="24"/>
                      </w:rPr>
                      <w:t>DE LA CUENCA</w:t>
                    </w:r>
                    <w:r>
                      <w:rPr>
                        <w:b/>
                        <w:spacing w:val="-18"/>
                        <w:sz w:val="24"/>
                      </w:rPr>
                      <w:t> </w:t>
                    </w:r>
                    <w:r>
                      <w:rPr>
                        <w:b/>
                        <w:sz w:val="24"/>
                      </w:rPr>
                      <w:t>HIDROSOCIAL</w:t>
                    </w:r>
                  </w:p>
                  <w:p>
                    <w:pPr>
                      <w:spacing w:line="321" w:lineRule="exact" w:before="0"/>
                      <w:ind w:left="654" w:right="652" w:firstLine="0"/>
                      <w:jc w:val="center"/>
                      <w:rPr>
                        <w:b/>
                        <w:sz w:val="28"/>
                      </w:rPr>
                    </w:pPr>
                    <w:r>
                      <w:rPr>
                        <w:b/>
                        <w:sz w:val="28"/>
                      </w:rPr>
                      <w:t>(Multiactores)</w:t>
                    </w:r>
                  </w:p>
                </w:txbxContent>
              </v:textbox>
              <v:fill type="solid"/>
              <w10:wrap type="none"/>
            </v:shape>
            <v:shape style="position:absolute;left:3569;top:1590;width:1512;height:459" type="#_x0000_t202" filled="true" fillcolor="#f8d98b" stroked="false">
              <v:textbox inset="0,0,0,0">
                <w:txbxContent>
                  <w:p>
                    <w:pPr>
                      <w:spacing w:before="77"/>
                      <w:ind w:left="175" w:right="0" w:firstLine="0"/>
                      <w:jc w:val="left"/>
                      <w:rPr>
                        <w:sz w:val="22"/>
                      </w:rPr>
                    </w:pPr>
                    <w:r>
                      <w:rPr>
                        <w:sz w:val="22"/>
                      </w:rPr>
                      <w:t>Agricultores</w:t>
                    </w:r>
                  </w:p>
                </w:txbxContent>
              </v:textbox>
              <v:fill type="solid"/>
              <w10:wrap type="none"/>
            </v:shape>
            <v:shape style="position:absolute;left:7490;top:1626;width:1440;height:423" type="#_x0000_t202" filled="true" fillcolor="#f8d98b" stroked="false">
              <v:textbox inset="0,0,0,0">
                <w:txbxContent>
                  <w:p>
                    <w:pPr>
                      <w:spacing w:before="75"/>
                      <w:ind w:left="177" w:right="0" w:firstLine="0"/>
                      <w:jc w:val="left"/>
                      <w:rPr>
                        <w:sz w:val="22"/>
                      </w:rPr>
                    </w:pPr>
                    <w:r>
                      <w:rPr>
                        <w:sz w:val="22"/>
                      </w:rPr>
                      <w:t>Ganaderos</w:t>
                    </w:r>
                  </w:p>
                </w:txbxContent>
              </v:textbox>
              <v:fill type="solid"/>
              <w10:wrap type="none"/>
            </v:shape>
            <v:shape style="position:absolute;left:3472;top:3236;width:1476;height:459" type="#_x0000_t202" filled="true" fillcolor="#f8d98b" stroked="false">
              <v:textbox inset="0,0,0,0">
                <w:txbxContent>
                  <w:p>
                    <w:pPr>
                      <w:spacing w:before="75"/>
                      <w:ind w:left="157" w:right="0" w:firstLine="0"/>
                      <w:jc w:val="left"/>
                      <w:rPr>
                        <w:sz w:val="22"/>
                      </w:rPr>
                    </w:pPr>
                    <w:r>
                      <w:rPr>
                        <w:sz w:val="22"/>
                      </w:rPr>
                      <w:t>Pescadores</w:t>
                    </w:r>
                  </w:p>
                </w:txbxContent>
              </v:textbox>
              <v:fill type="solid"/>
              <w10:wrap type="none"/>
            </v:shape>
            <v:shape style="position:absolute;left:7369;top:3224;width:1681;height:423" type="#_x0000_t202" filled="true" fillcolor="#f8d98b" stroked="false">
              <v:textbox inset="0,0,0,0">
                <w:txbxContent>
                  <w:p>
                    <w:pPr>
                      <w:spacing w:before="75"/>
                      <w:ind w:left="161" w:right="0" w:firstLine="0"/>
                      <w:jc w:val="left"/>
                      <w:rPr>
                        <w:sz w:val="22"/>
                      </w:rPr>
                    </w:pPr>
                    <w:r>
                      <w:rPr>
                        <w:sz w:val="22"/>
                      </w:rPr>
                      <w:t>Comerciantes</w:t>
                    </w:r>
                  </w:p>
                </w:txbxContent>
              </v:textbox>
              <v:fill type="solid"/>
              <w10:wrap type="none"/>
            </v:shape>
            <v:shape style="position:absolute;left:7489;top:4939;width:1476;height:665" type="#_x0000_t202" filled="true" fillcolor="#f8d98b" stroked="false">
              <v:textbox inset="0,0,0,0">
                <w:txbxContent>
                  <w:p>
                    <w:pPr>
                      <w:spacing w:line="276" w:lineRule="auto" w:before="76"/>
                      <w:ind w:left="444" w:right="298" w:hanging="130"/>
                      <w:jc w:val="left"/>
                      <w:rPr>
                        <w:sz w:val="22"/>
                      </w:rPr>
                    </w:pPr>
                    <w:r>
                      <w:rPr>
                        <w:sz w:val="22"/>
                      </w:rPr>
                      <w:t>Industria láctea</w:t>
                    </w:r>
                  </w:p>
                </w:txbxContent>
              </v:textbox>
              <v:fill type="solid"/>
              <w10:wrap type="none"/>
            </v:shape>
            <v:shape style="position:absolute;left:3575;top:5043;width:1512;height:459" type="#_x0000_t202" filled="false" stroked="false">
              <v:textbox inset="0,0,0,0">
                <w:txbxContent>
                  <w:p>
                    <w:pPr>
                      <w:spacing w:before="76"/>
                      <w:ind w:left="359" w:right="0" w:firstLine="0"/>
                      <w:jc w:val="left"/>
                      <w:rPr>
                        <w:sz w:val="22"/>
                      </w:rPr>
                    </w:pPr>
                    <w:r>
                      <w:rPr>
                        <w:sz w:val="22"/>
                      </w:rPr>
                      <w:t>Turismo</w:t>
                    </w:r>
                  </w:p>
                </w:txbxContent>
              </v:textbox>
              <w10:wrap type="none"/>
            </v:shape>
            <w10:wrap type="topAndBottom"/>
          </v:group>
        </w:pict>
      </w:r>
    </w:p>
    <w:p>
      <w:pPr>
        <w:pStyle w:val="BodyText"/>
        <w:rPr>
          <w:b/>
        </w:rPr>
      </w:pPr>
    </w:p>
    <w:p>
      <w:pPr>
        <w:pStyle w:val="BodyText"/>
        <w:spacing w:line="362" w:lineRule="auto" w:before="148"/>
        <w:ind w:left="122" w:right="881"/>
        <w:jc w:val="both"/>
      </w:pPr>
      <w:r>
        <w:rPr>
          <w:b/>
        </w:rPr>
        <w:t>Fuente: </w:t>
      </w:r>
      <w:r>
        <w:rPr/>
        <w:t>Elaboración propia con base en la revisión bibliográfica y el Trabajo de Campo, García (2013-2015).</w:t>
      </w:r>
    </w:p>
    <w:p>
      <w:pPr>
        <w:pStyle w:val="BodyText"/>
        <w:spacing w:before="8"/>
        <w:rPr>
          <w:sz w:val="24"/>
        </w:rPr>
      </w:pPr>
    </w:p>
    <w:p>
      <w:pPr>
        <w:pStyle w:val="BodyText"/>
        <w:spacing w:line="360" w:lineRule="auto"/>
        <w:ind w:left="122" w:right="878"/>
        <w:jc w:val="both"/>
      </w:pPr>
      <w:r>
        <w:rPr/>
        <w:t>En el anterior mapa de actores históricos sobre sus redes y funciones, se pudo detectar que   los   actores   de   la   cuenca   hidrosocial   son   en   su   gran   mayoría  ejidatarios,</w:t>
      </w:r>
    </w:p>
    <w:p>
      <w:pPr>
        <w:spacing w:after="0" w:line="360" w:lineRule="auto"/>
        <w:jc w:val="both"/>
        <w:sectPr>
          <w:pgSz w:w="12240" w:h="15840"/>
          <w:pgMar w:header="0" w:footer="1003" w:top="1360" w:bottom="1200" w:left="1580" w:right="820"/>
        </w:sectPr>
      </w:pPr>
    </w:p>
    <w:p>
      <w:pPr>
        <w:pStyle w:val="BodyText"/>
        <w:spacing w:line="360" w:lineRule="auto" w:before="56"/>
        <w:ind w:left="102" w:right="797"/>
        <w:jc w:val="both"/>
      </w:pPr>
      <w:r>
        <w:rPr/>
        <w:t>representados por una Asamblea General como máxima autoridad de El Ejido. De igual forma se detecta que en gran parte son multiactores, ya que desarrollan múltiples funciones, es decir son a la vez, agricultores, ganaderos, pescadores, comerciantes, y también se dedican al servicio turístico y a la industria láctea.</w:t>
      </w:r>
    </w:p>
    <w:p>
      <w:pPr>
        <w:pStyle w:val="BodyText"/>
      </w:pPr>
    </w:p>
    <w:p>
      <w:pPr>
        <w:pStyle w:val="BodyText"/>
        <w:spacing w:line="360" w:lineRule="auto" w:before="129"/>
        <w:ind w:left="102" w:right="794"/>
        <w:jc w:val="both"/>
      </w:pPr>
      <w:r>
        <w:rPr/>
        <w:t>Además se identificó que poseen una estructura social interactores, basada en un conjunto de redes a través del parentesco, compadrazgo, mercado-tianguis, comercio, comida lacustre y láctea, charreadas y cabalgatas, fiestas patronales y familiares, redes y funciones que les ha permitido solucionar conflictos entre actores a nivel de la cuenca hidrosocial presa</w:t>
      </w:r>
      <w:r>
        <w:rPr>
          <w:spacing w:val="-4"/>
        </w:rPr>
        <w:t> </w:t>
      </w:r>
      <w:r>
        <w:rPr/>
        <w:t>Huapango.</w:t>
      </w:r>
    </w:p>
    <w:p>
      <w:pPr>
        <w:pStyle w:val="BodyText"/>
      </w:pPr>
    </w:p>
    <w:p>
      <w:pPr>
        <w:pStyle w:val="Heading6"/>
        <w:spacing w:line="360" w:lineRule="auto" w:before="127"/>
        <w:ind w:left="2079" w:right="824" w:hanging="1937"/>
      </w:pPr>
      <w:r>
        <w:rPr/>
        <w:pict>
          <v:group style="position:absolute;margin-left:98pt;margin-top:49.187859pt;width:463.7pt;height:341.85pt;mso-position-horizontal-relative:page;mso-position-vertical-relative:paragraph;z-index:8824;mso-wrap-distance-left:0;mso-wrap-distance-right:0" coordorigin="1960,984" coordsize="9274,6837">
            <v:rect style="position:absolute;left:1980;top:1004;width:8310;height:6797" filled="true" fillcolor="#00afef" stroked="false">
              <v:fill type="solid"/>
            </v:rect>
            <v:rect style="position:absolute;left:1980;top:1004;width:8310;height:6797" filled="false" stroked="true" strokeweight="2pt" strokecolor="#000000"/>
            <v:rect style="position:absolute;left:9572;top:1274;width:1657;height:883" filled="true" fillcolor="#00afef" stroked="false">
              <v:fill type="solid"/>
            </v:rect>
            <v:rect style="position:absolute;left:9572;top:1274;width:1657;height:883" filled="false" stroked="true" strokeweight=".5pt" strokecolor="#000000"/>
            <v:shape style="position:absolute;left:2477;top:1247;width:7200;height:6084" type="#_x0000_t75" stroked="false">
              <v:imagedata r:id="rId142" o:title=""/>
            </v:shape>
            <v:rect style="position:absolute;left:2686;top:1455;width:6788;height:5674" filled="true" fillcolor="#92d050" stroked="false">
              <v:fill type="solid"/>
            </v:rect>
            <v:shape style="position:absolute;left:2681;top:1450;width:6798;height:5684" coordorigin="2681,1450" coordsize="6798,5684" path="m2687,7128l2686,7128,2686,7134,2690,7134,2690,7129,2687,7129,2687,7128xm2687,7089l2681,7089,2681,7129,2686,7129,2686,7128,2687,7128,2687,7126,2686,7126,2686,7124,2687,7124,2687,7089xm2689,7128l2687,7128,2687,7129,2689,7129,2689,7128xm2691,7089l2689,7089,2689,7129,2690,7129,2690,7128,2691,7128,2691,7126,2690,7126,2690,7124,2691,7124,2691,7089xm2691,7128l2690,7128,2690,7129,2691,7129,2691,7128xm2687,7124l2686,7124,2686,7126,2687,7126,2687,7124xm2689,7124l2687,7124,2687,7126,2689,7126,2689,7124xm2691,7124l2690,7124,2690,7126,2691,7126,2691,7124xm2687,7019l2681,7019,2681,7059,2687,7059,2687,7019xm2691,7019l2689,7019,2689,7059,2691,7059,2691,7019xm2687,6949l2681,6949,2681,6989,2687,6989,2687,6949xm2691,6949l2689,6949,2689,6989,2691,6989,2691,6949xm2687,6879l2681,6879,2681,6919,2687,6919,2687,6879xm2691,6879l2689,6879,2689,6919,2691,6919,2691,6879xm2687,6809l2681,6809,2681,6849,2687,6849,2687,6809xm2691,6809l2689,6809,2689,6849,2691,6849,2691,6809xm2687,6739l2681,6739,2681,6779,2687,6779,2687,6739xm2691,6739l2689,6739,2689,6779,2691,6779,2691,6739xm2687,6669l2681,6669,2681,6709,2687,6709,2687,6669xm2691,6669l2689,6669,2689,6709,2691,6709,2691,6669xm2687,6599l2681,6599,2681,6639,2687,6639,2687,6599xm2691,6599l2689,6599,2689,6639,2691,6639,2691,6599xm2687,6529l2681,6529,2681,6569,2687,6569,2687,6529xm2691,6529l2689,6529,2689,6569,2691,6569,2691,6529xm2687,6459l2681,6459,2681,6499,2687,6499,2687,6459xm2691,6459l2689,6459,2689,6499,2691,6499,2691,6459xm2687,6389l2681,6389,2681,6429,2687,6429,2687,6389xm2691,6389l2689,6389,2689,6429,2691,6429,2691,6389xm2687,6319l2681,6319,2681,6359,2687,6359,2687,6319xm2691,6319l2689,6319,2689,6359,2691,6359,2691,6319xm2687,6249l2681,6249,2681,6289,2687,6289,2687,6249xm2691,6249l2689,6249,2689,6289,2691,6289,2691,6249xm2687,6179l2681,6179,2681,6219,2687,6219,2687,6179xm2691,6179l2689,6179,2689,6219,2691,6219,2691,6179xm2687,6109l2681,6109,2681,6149,2687,6149,2687,6109xm2691,6109l2689,6109,2689,6149,2691,6149,2691,6109xm2687,6039l2681,6039,2681,6079,2687,6079,2687,6039xm2691,6039l2689,6039,2689,6079,2691,6079,2691,6039xm2687,5969l2681,5969,2681,6009,2687,6009,2687,5969xm2691,5969l2689,5969,2689,6009,2691,6009,2691,5969xm2687,5899l2681,5899,2681,5939,2687,5939,2687,5899xm2691,5899l2689,5899,2689,5939,2691,5939,2691,5899xm2687,5829l2681,5829,2681,5869,2687,5869,2687,5829xm2691,5829l2689,5829,2689,5869,2691,5869,2691,5829xm2687,5759l2681,5759,2681,5799,2687,5799,2687,5759xm2691,5759l2689,5759,2689,5799,2691,5799,2691,5759xm2687,5689l2681,5689,2681,5729,2687,5729,2687,5689xm2691,5689l2689,5689,2689,5729,2691,5729,2691,5689xm2687,5619l2681,5619,2681,5659,2687,5659,2687,5619xm2691,5619l2689,5619,2689,5659,2691,5659,2691,5619xm2687,5549l2681,5549,2681,5589,2687,5589,2687,5549xm2691,5549l2689,5549,2689,5589,2691,5589,2691,5549xm2687,5479l2681,5479,2681,5519,2687,5519,2687,5479xm2691,5479l2689,5479,2689,5519,2691,5519,2691,5479xm2687,5409l2681,5409,2681,5449,2687,5449,2687,5409xm2691,5409l2689,5409,2689,5449,2691,5449,2691,5409xm2687,5339l2681,5339,2681,5379,2687,5379,2687,5339xm2691,5339l2689,5339,2689,5379,2691,5379,2691,5339xm2687,5269l2681,5269,2681,5309,2687,5309,2687,5269xm2691,5269l2689,5269,2689,5309,2691,5309,2691,5269xm2687,5199l2681,5199,2681,5239,2687,5239,2687,5199xm2691,5199l2689,5199,2689,5239,2691,5239,2691,5199xm2687,5129l2681,5129,2681,5169,2687,5169,2687,5129xm2691,5129l2689,5129,2689,5169,2691,5169,2691,5129xm2687,5059l2681,5059,2681,5099,2687,5099,2687,5059xm2691,5059l2689,5059,2689,5099,2691,5099,2691,5059xm2687,4989l2681,4989,2681,5029,2687,5029,2687,4989xm2691,4989l2689,4989,2689,5029,2691,5029,2691,4989xm2687,4919l2681,4919,2681,4959,2687,4959,2687,4919xm2691,4919l2689,4919,2689,4959,2691,4959,2691,4919xm2687,4849l2681,4849,2681,4889,2687,4889,2687,4849xm2691,4849l2689,4849,2689,4889,2691,4889,2691,4849xm2687,4779l2681,4779,2681,4819,2687,4819,2687,4779xm2691,4779l2689,4779,2689,4819,2691,4819,2691,4779xm2687,4709l2681,4709,2681,4749,2687,4749,2687,4709xm2691,4709l2689,4709,2689,4749,2691,4749,2691,4709xm2687,4639l2681,4639,2681,4679,2687,4679,2687,4639xm2691,4639l2689,4639,2689,4679,2691,4679,2691,4639xm2687,4569l2681,4569,2681,4609,2687,4609,2687,4569xm2691,4569l2689,4569,2689,4609,2691,4609,2691,4569xm2687,4499l2681,4499,2681,4539,2687,4539,2687,4499xm2691,4499l2689,4499,2689,4539,2691,4539,2691,4499xm2687,4429l2681,4429,2681,4469,2687,4469,2687,4429xm2691,4429l2689,4429,2689,4469,2691,4469,2691,4429xm2687,4359l2681,4359,2681,4399,2687,4399,2687,4359xm2691,4359l2689,4359,2689,4399,2691,4399,2691,4359xm2687,4289l2681,4289,2681,4329,2687,4329,2687,4289xm2691,4289l2689,4289,2689,4329,2691,4329,2691,4289xm2687,4219l2681,4219,2681,4259,2687,4259,2687,4219xm2691,4219l2689,4219,2689,4259,2691,4259,2691,4219xm2687,4149l2681,4149,2681,4189,2687,4189,2687,4149xm2691,4149l2689,4149,2689,4189,2691,4189,2691,4149xm2687,4079l2681,4079,2681,4119,2687,4119,2687,4079xm2691,4079l2689,4079,2689,4119,2691,4119,2691,4079xm2687,4009l2681,4009,2681,4049,2687,4049,2687,4009xm2691,4009l2689,4009,2689,4049,2691,4049,2691,4009xm2687,3939l2681,3939,2681,3979,2687,3979,2687,3939xm2691,3939l2689,3939,2689,3979,2691,3979,2691,3939xm2687,3869l2681,3869,2681,3909,2687,3909,2687,3869xm2691,3869l2689,3869,2689,3909,2691,3909,2691,3869xm2687,3799l2681,3799,2681,3839,2687,3839,2687,3799xm2691,3799l2689,3799,2689,3839,2691,3839,2691,3799xm2687,3729l2681,3729,2681,3769,2687,3769,2687,3729xm2691,3729l2689,3729,2689,3769,2691,3769,2691,3729xm2687,3659l2681,3659,2681,3699,2687,3699,2687,3659xm2691,3659l2689,3659,2689,3699,2691,3699,2691,3659xm2687,3589l2681,3589,2681,3629,2687,3629,2687,3589xm2691,3589l2689,3589,2689,3629,2691,3629,2691,3589xm2687,3519l2681,3519,2681,3559,2687,3559,2687,3519xm2691,3519l2689,3519,2689,3559,2691,3559,2691,3519xm2687,3449l2681,3449,2681,3489,2687,3489,2687,3449xm2691,3449l2689,3449,2689,3489,2691,3489,2691,3449xm2687,3379l2681,3379,2681,3419,2687,3419,2687,3379xm2691,3379l2689,3379,2689,3419,2691,3419,2691,3379xm2687,3309l2681,3309,2681,3349,2687,3349,2687,3309xm2691,3309l2689,3309,2689,3349,2691,3349,2691,3309xm2687,3239l2681,3239,2681,3279,2687,3279,2687,3239xm2691,3239l2689,3239,2689,3279,2691,3279,2691,3239xm2687,3169l2681,3169,2681,3209,2687,3209,2687,3169xm2691,3169l2689,3169,2689,3209,2691,3209,2691,3169xm2687,3099l2681,3099,2681,3139,2687,3139,2687,3099xm2691,3099l2689,3099,2689,3139,2691,3139,2691,3099xm2687,3029l2681,3029,2681,3069,2687,3069,2687,3029xm2691,3029l2689,3029,2689,3069,2691,3069,2691,3029xm2687,2959l2681,2959,2681,2999,2687,2999,2687,2959xm2691,2959l2689,2959,2689,2999,2691,2999,2691,2959xm2687,2889l2681,2889,2681,2929,2687,2929,2687,2889xm2691,2889l2689,2889,2689,2929,2691,2929,2691,2889xm2687,2819l2681,2819,2681,2859,2687,2859,2687,2819xm2691,2819l2689,2819,2689,2859,2691,2859,2691,2819xm2687,2749l2681,2749,2681,2789,2687,2789,2687,2749xm2691,2749l2689,2749,2689,2789,2691,2789,2691,2749xm2687,2679l2681,2679,2681,2719,2687,2719,2687,2679xm2691,2679l2689,2679,2689,2719,2691,2719,2691,2679xm2687,2609l2681,2609,2681,2649,2687,2649,2687,2609xm2691,2609l2689,2609,2689,2649,2691,2649,2691,2609xm2687,2539l2681,2539,2681,2579,2687,2579,2687,2539xm2691,2539l2689,2539,2689,2579,2691,2579,2691,2539xm2687,2469l2681,2469,2681,2509,2687,2509,2687,2469xm2691,2469l2689,2469,2689,2509,2691,2509,2691,2469xm2687,2399l2681,2399,2681,2439,2687,2439,2687,2399xm2691,2399l2689,2399,2689,2439,2691,2439,2691,2399xm2687,2329l2681,2329,2681,2369,2687,2369,2687,2329xm2691,2329l2689,2329,2689,2369,2691,2369,2691,2329xm2687,2259l2681,2259,2681,2299,2687,2299,2687,2259xm2691,2259l2689,2259,2689,2299,2691,2299,2691,2259xm2687,2189l2681,2189,2681,2229,2687,2229,2687,2189xm2691,2189l2689,2189,2689,2229,2691,2229,2691,2189xm2687,2119l2681,2119,2681,2159,2687,2159,2687,2119xm2691,2119l2689,2119,2689,2159,2691,2159,2691,2119xm2687,2049l2681,2049,2681,2089,2687,2089,2687,2049xm2691,2049l2689,2049,2689,2089,2691,2089,2691,2049xm2687,1979l2681,1979,2681,2019,2687,2019,2687,1979xm2691,1979l2689,1979,2689,2019,2691,2019,2691,1979xm2687,1909l2681,1909,2681,1949,2687,1949,2687,1909xm2691,1909l2689,1909,2689,1949,2691,1949,2691,1909xm2687,1839l2681,1839,2681,1879,2687,1879,2687,1839xm2691,1839l2689,1839,2689,1879,2691,1879,2691,1839xm2687,1769l2681,1769,2681,1809,2687,1809,2687,1769xm2691,1769l2689,1769,2689,1809,2691,1809,2691,1769xm2687,1699l2681,1699,2681,1739,2687,1739,2687,1699xm2691,1699l2689,1699,2689,1739,2691,1739,2691,1699xm2687,1629l2681,1629,2681,1669,2687,1669,2687,1629xm2691,1629l2689,1629,2689,1669,2691,1669,2691,1629xm2687,1559l2681,1559,2681,1599,2687,1599,2687,1559xm2691,1559l2689,1559,2689,1599,2691,1599,2691,1559xm2687,1489l2681,1489,2681,1529,2687,1529,2687,1489xm2691,1489l2689,1489,2689,1529,2691,1529,2691,1489xm2722,1458l2689,1458,2689,1459,2691,1460,2722,1460,2722,1458xm2722,1450l2683,1450,2681,1453,2681,1459,2687,1459,2687,1456,2722,1456,2722,1450xm2792,1450l2752,1450,2752,1456,2792,1456,2792,1450xm2792,1458l2752,1458,2752,1460,2792,1460,2792,1458xm2862,1450l2822,1450,2822,1456,2862,1456,2862,1450xm2862,1458l2822,1458,2822,1460,2862,1460,2862,1458xm2932,1450l2892,1450,2892,1456,2932,1456,2932,1450xm2932,1458l2892,1458,2892,1460,2932,1460,2932,1458xm3002,1450l2962,1450,2962,1456,3002,1456,3002,1450xm3002,1458l2962,1458,2962,1460,3002,1460,3002,1458xm3072,1450l3032,1450,3032,1456,3072,1456,3072,1450xm3072,1458l3032,1458,3032,1460,3072,1460,3072,1458xm3142,1450l3102,1450,3102,1456,3142,1456,3142,1450xm3142,1458l3102,1458,3102,1460,3142,1460,3142,1458xm3212,1450l3172,1450,3172,1456,3212,1456,3212,1450xm3212,1458l3172,1458,3172,1460,3212,1460,3212,1458xm3282,1450l3242,1450,3242,1456,3282,1456,3282,1450xm3282,1458l3242,1458,3242,1460,3282,1460,3282,1458xm3352,1450l3312,1450,3312,1456,3352,1456,3352,1450xm3352,1458l3312,1458,3312,1460,3352,1460,3352,1458xm3422,1450l3382,1450,3382,1456,3422,1456,3422,1450xm3422,1458l3382,1458,3382,1460,3422,1460,3422,1458xm3492,1450l3452,1450,3452,1456,3492,1456,3492,1450xm3492,1458l3452,1458,3452,1460,3492,1460,3492,1458xm3562,1450l3522,1450,3522,1456,3562,1456,3562,1450xm3562,1458l3522,1458,3522,1460,3562,1460,3562,1458xm3632,1450l3592,1450,3592,1456,3632,1456,3632,1450xm3632,1458l3592,1458,3592,1460,3632,1460,3632,1458xm3702,1450l3662,1450,3662,1456,3702,1456,3702,1450xm3702,1458l3662,1458,3662,1460,3702,1460,3702,1458xm3772,1450l3732,1450,3732,1456,3772,1456,3772,1450xm3772,1458l3732,1458,3732,1460,3772,1460,3772,1458xm3842,1450l3802,1450,3802,1456,3842,1456,3842,1450xm3842,1458l3802,1458,3802,1460,3842,1460,3842,1458xm3912,1450l3872,1450,3872,1456,3912,1456,3912,1450xm3912,1458l3872,1458,3872,1460,3912,1460,3912,1458xm3982,1450l3942,1450,3942,1456,3982,1456,3982,1450xm3982,1458l3942,1458,3942,1460,3982,1460,3982,1458xm4052,1450l4012,1450,4012,1456,4052,1456,4052,1450xm4052,1458l4012,1458,4012,1460,4052,1460,4052,1458xm4122,1450l4082,1450,4082,1456,4122,1456,4122,1450xm4122,1458l4082,1458,4082,1460,4122,1460,4122,1458xm4192,1450l4152,1450,4152,1456,4192,1456,4192,1450xm4192,1458l4152,1458,4152,1460,4192,1460,4192,1458xm4262,1450l4222,1450,4222,1456,4262,1456,4262,1450xm4262,1458l4222,1458,4222,1460,4262,1460,4262,1458xm4332,1450l4292,1450,4292,1456,4332,1456,4332,1450xm4332,1458l4292,1458,4292,1460,4332,1460,4332,1458xm4402,1450l4362,1450,4362,1456,4402,1456,4402,1450xm4402,1458l4362,1458,4362,1460,4402,1460,4402,1458xm4472,1450l4432,1450,4432,1456,4472,1456,4472,1450xm4472,1458l4432,1458,4432,1460,4472,1460,4472,1458xm4542,1450l4502,1450,4502,1456,4542,1456,4542,1450xm4542,1458l4502,1458,4502,1460,4542,1460,4542,1458xm4612,1450l4572,1450,4572,1456,4612,1456,4612,1450xm4612,1458l4572,1458,4572,1460,4612,1460,4612,1458xm4682,1450l4642,1450,4642,1456,4682,1456,4682,1450xm4682,1458l4642,1458,4642,1460,4682,1460,4682,1458xm4752,1450l4712,1450,4712,1456,4752,1456,4752,1450xm4752,1458l4712,1458,4712,1460,4752,1460,4752,1458xm4822,1450l4782,1450,4782,1456,4822,1456,4822,1450xm4822,1458l4782,1458,4782,1460,4822,1460,4822,1458xm4892,1450l4852,1450,4852,1456,4892,1456,4892,1450xm4892,1458l4852,1458,4852,1460,4892,1460,4892,1458xm4962,1450l4922,1450,4922,1456,4962,1456,4962,1450xm4962,1458l4922,1458,4922,1460,4962,1460,4962,1458xm5032,1450l4992,1450,4992,1456,5032,1456,5032,1450xm5032,1458l4992,1458,4992,1460,5032,1460,5032,1458xm5102,1450l5062,1450,5062,1456,5102,1456,5102,1450xm5102,1458l5062,1458,5062,1460,5102,1460,5102,1458xm5172,1450l5132,1450,5132,1456,5172,1456,5172,1450xm5172,1458l5132,1458,5132,1460,5172,1460,5172,1458xm5242,1450l5202,1450,5202,1456,5242,1456,5242,1450xm5242,1458l5202,1458,5202,1460,5242,1460,5242,1458xm5312,1450l5272,1450,5272,1456,5312,1456,5312,1450xm5312,1458l5272,1458,5272,1460,5312,1460,5312,1458xm5382,1450l5342,1450,5342,1456,5382,1456,5382,1450xm5382,1458l5342,1458,5342,1460,5382,1460,5382,1458xm5452,1450l5412,1450,5412,1456,5452,1456,5452,1450xm5452,1458l5412,1458,5412,1460,5452,1460,5452,1458xm5522,1450l5482,1450,5482,1456,5522,1456,5522,1450xm5522,1458l5482,1458,5482,1460,5522,1460,5522,1458xm5592,1450l5552,1450,5552,1456,5592,1456,5592,1450xm5592,1458l5552,1458,5552,1460,5592,1460,5592,1458xm5662,1450l5622,1450,5622,1456,5662,1456,5662,1450xm5662,1458l5622,1458,5622,1460,5662,1460,5662,1458xm5732,1450l5692,1450,5692,1456,5732,1456,5732,1450xm5732,1458l5692,1458,5692,1460,5732,1460,5732,1458xm5802,1450l5762,1450,5762,1456,5802,1456,5802,1450xm5802,1458l5762,1458,5762,1460,5802,1460,5802,1458xm5872,1450l5832,1450,5832,1456,5872,1456,5872,1450xm5872,1458l5832,1458,5832,1460,5872,1460,5872,1458xm5942,1450l5902,1450,5902,1456,5942,1456,5942,1450xm5942,1458l5902,1458,5902,1460,5942,1460,5942,1458xm6012,1450l5972,1450,5972,1456,6012,1456,6012,1450xm6012,1458l5972,1458,5972,1460,6012,1460,6012,1458xm6082,1450l6042,1450,6042,1456,6082,1456,6082,1450xm6082,1458l6042,1458,6042,1460,6082,1460,6082,1458xm6152,1450l6112,1450,6112,1456,6152,1456,6152,1450xm6152,1458l6112,1458,6112,1460,6152,1460,6152,1458xm6222,1450l6182,1450,6182,1456,6222,1456,6222,1450xm6222,1458l6182,1458,6182,1460,6222,1460,6222,1458xm6292,1450l6252,1450,6252,1456,6292,1456,6292,1450xm6292,1458l6252,1458,6252,1460,6292,1460,6292,1458xm6362,1450l6322,1450,6322,1456,6362,1456,6362,1450xm6362,1458l6322,1458,6322,1460,6362,1460,6362,1458xm6432,1450l6392,1450,6392,1456,6432,1456,6432,1450xm6432,1458l6392,1458,6392,1460,6432,1460,6432,1458xm6502,1450l6462,1450,6462,1456,6502,1456,6502,1450xm6502,1458l6462,1458,6462,1460,6502,1460,6502,1458xm6572,1450l6532,1450,6532,1456,6572,1456,6572,1450xm6572,1458l6532,1458,6532,1460,6572,1460,6572,1458xm6642,1450l6602,1450,6602,1456,6642,1456,6642,1450xm6642,1458l6602,1458,6602,1460,6642,1460,6642,1458xm6712,1450l6672,1450,6672,1456,6712,1456,6712,1450xm6712,1458l6672,1458,6672,1460,6712,1460,6712,1458xm6782,1450l6742,1450,6742,1456,6782,1456,6782,1450xm6782,1458l6742,1458,6742,1460,6782,1460,6782,1458xm6852,1450l6812,1450,6812,1456,6852,1456,6852,1450xm6852,1458l6812,1458,6812,1460,6852,1460,6852,1458xm6922,1450l6882,1450,6882,1456,6922,1456,6922,1450xm6922,1458l6882,1458,6882,1460,6922,1460,6922,1458xm6992,1450l6952,1450,6952,1456,6992,1456,6992,1450xm6992,1458l6952,1458,6952,1460,6992,1460,6992,1458xm7062,1450l7022,1450,7022,1456,7062,1456,7062,1450xm7062,1458l7022,1458,7022,1460,7062,1460,7062,1458xm7132,1450l7092,1450,7092,1456,7132,1456,7132,1450xm7132,1458l7092,1458,7092,1460,7132,1460,7132,1458xm7202,1450l7162,1450,7162,1456,7202,1456,7202,1450xm7202,1458l7162,1458,7162,1460,7202,1460,7202,1458xm7272,1450l7232,1450,7232,1456,7272,1456,7272,1450xm7272,1458l7232,1458,7232,1460,7272,1460,7272,1458xm7342,1450l7302,1450,7302,1456,7342,1456,7342,1450xm7342,1458l7302,1458,7302,1460,7342,1460,7342,1458xm7412,1450l7372,1450,7372,1456,7412,1456,7412,1450xm7412,1458l7372,1458,7372,1460,7412,1460,7412,1458xm7482,1450l7442,1450,7442,1456,7482,1456,7482,1450xm7482,1458l7442,1458,7442,1460,7482,1460,7482,1458xm7552,1450l7512,1450,7512,1456,7552,1456,7552,1450xm7552,1458l7512,1458,7512,1460,7552,1460,7552,1458xm7622,1450l7582,1450,7582,1456,7622,1456,7622,1450xm7622,1458l7582,1458,7582,1460,7622,1460,7622,1458xm7692,1450l7652,1450,7652,1456,7692,1456,7692,1450xm7692,1458l7652,1458,7652,1460,7692,1460,7692,1458xm7762,1450l7722,1450,7722,1456,7762,1456,7762,1450xm7762,1458l7722,1458,7722,1460,7762,1460,7762,1458xm7832,1450l7792,1450,7792,1456,7832,1456,7832,1450xm7832,1458l7792,1458,7792,1460,7832,1460,7832,1458xm7902,1450l7862,1450,7862,1456,7902,1456,7902,1450xm7902,1458l7862,1458,7862,1460,7902,1460,7902,1458xm7972,1450l7932,1450,7932,1456,7972,1456,7972,1450xm7972,1458l7932,1458,7932,1460,7972,1460,7972,1458xm8042,1450l8002,1450,8002,1456,8042,1456,8042,1450xm8042,1458l8002,1458,8002,1460,8042,1460,8042,1458xm8112,1450l8072,1450,8072,1456,8112,1456,8112,1450xm8112,1458l8072,1458,8072,1460,8112,1460,8112,1458xm8182,1450l8142,1450,8142,1456,8182,1456,8182,1450xm8182,1458l8142,1458,8142,1460,8182,1460,8182,1458xm8252,1450l8212,1450,8212,1456,8252,1456,8252,1450xm8252,1458l8212,1458,8212,1460,8252,1460,8252,1458xm8322,1450l8282,1450,8282,1456,8322,1456,8322,1450xm8322,1458l8282,1458,8282,1460,8322,1460,8322,1458xm8392,1450l8352,1450,8352,1456,8392,1456,8392,1450xm8392,1458l8352,1458,8352,1460,8392,1460,8392,1458xm8462,1450l8422,1450,8422,1456,8462,1456,8462,1450xm8462,1458l8422,1458,8422,1460,8462,1460,8462,1458xm8532,1450l8492,1450,8492,1456,8532,1456,8532,1450xm8532,1458l8492,1458,8492,1460,8532,1460,8532,1458xm8602,1450l8562,1450,8562,1456,8602,1456,8602,1450xm8602,1458l8562,1458,8562,1460,8602,1460,8602,1458xm8672,1450l8632,1450,8632,1456,8672,1456,8672,1450xm8672,1458l8632,1458,8632,1460,8672,1460,8672,1458xm8742,1450l8702,1450,8702,1456,8742,1456,8742,1450xm8742,1458l8702,1458,8702,1460,8742,1460,8742,1458xm8812,1450l8772,1450,8772,1456,8812,1456,8812,1450xm8812,1458l8772,1458,8772,1460,8812,1460,8812,1458xm8882,1450l8842,1450,8842,1456,8882,1456,8882,1450xm8882,1458l8842,1458,8842,1460,8882,1460,8882,1458xm8952,1450l8912,1450,8912,1456,8952,1456,8952,1450xm8952,1458l8912,1458,8912,1460,8952,1460,8952,1458xm9022,1450l8982,1450,8982,1456,9022,1456,9022,1450xm9022,1458l8982,1458,8982,1460,9022,1460,9022,1458xm9092,1450l9052,1450,9052,1456,9092,1456,9092,1450xm9092,1458l9052,1458,9052,1460,9092,1460,9092,1458xm9162,1450l9122,1450,9122,1456,9162,1456,9162,1450xm9162,1458l9122,1458,9122,1460,9162,1460,9162,1458xm9232,1450l9192,1450,9192,1456,9232,1456,9232,1450xm9232,1458l9192,1458,9192,1460,9232,1460,9232,1458xm9302,1450l9262,1450,9262,1456,9302,1456,9302,1450xm9302,1458l9262,1458,9262,1460,9302,1460,9302,1458xm9372,1450l9332,1450,9332,1456,9372,1456,9372,1450xm9372,1458l9332,1458,9332,1460,9372,1460,9372,1458xm9442,1450l9402,1450,9402,1456,9442,1456,9442,1450xm9442,1458l9402,1458,9402,1460,9442,1460,9442,1458xm9477,1450l9472,1450,9472,1456,9473,1456,9473,1493,9479,1493,9479,1453,9477,1450xm9471,1458l9469,1460,9469,1493,9471,1493,9471,1458xm9479,1523l9473,1523,9473,1563,9479,1563,9479,1523xm9471,1523l9469,1523,9469,1563,9471,1563,9471,1523xm9479,1593l9473,1593,9473,1633,9479,1633,9479,1593xm9471,1593l9469,1593,9469,1633,9471,1633,9471,1593xm9479,1663l9473,1663,9473,1703,9479,1703,9479,1663xm9471,1663l9469,1663,9469,1703,9471,1703,9471,1663xm9479,1733l9473,1733,9473,1773,9479,1773,9479,1733xm9471,1733l9469,1733,9469,1773,9471,1773,9471,1733xm9479,1803l9473,1803,9473,1843,9479,1843,9479,1803xm9471,1803l9469,1803,9469,1843,9471,1843,9471,1803xm9479,1873l9473,1873,9473,1913,9479,1913,9479,1873xm9471,1873l9469,1873,9469,1913,9471,1913,9471,1873xm9479,1943l9473,1943,9473,1983,9479,1983,9479,1943xm9471,1943l9469,1943,9469,1983,9471,1983,9471,1943xm9479,2013l9473,2013,9473,2053,9479,2053,9479,2013xm9471,2013l9469,2013,9469,2053,9471,2053,9471,2013xm9479,2083l9473,2083,9473,2123,9479,2123,9479,2083xm9471,2083l9469,2083,9469,2123,9471,2123,9471,2083xm9479,2153l9473,2153,9473,2193,9479,2193,9479,2153xm9471,2153l9469,2153,9469,2193,9471,2193,9471,2153xm9479,2223l9473,2223,9473,2263,9479,2263,9479,2223xm9471,2223l9469,2223,9469,2263,9471,2263,9471,2223xm9479,2293l9473,2293,9473,2333,9479,2333,9479,2293xm9471,2293l9469,2293,9469,2333,9471,2333,9471,2293xm9479,2363l9473,2363,9473,2403,9479,2403,9479,2363xm9471,2363l9469,2363,9469,2403,9471,2403,9471,2363xm9479,2433l9473,2433,9473,2473,9479,2473,9479,2433xm9471,2433l9469,2433,9469,2473,9471,2473,9471,2433xm9479,2503l9473,2503,9473,2543,9479,2543,9479,2503xm9471,2503l9469,2503,9469,2543,9471,2543,9471,2503xm9479,2573l9473,2573,9473,2613,9479,2613,9479,2573xm9471,2573l9469,2573,9469,2613,9471,2613,9471,2573xm9479,2643l9473,2643,9473,2683,9479,2683,9479,2643xm9471,2643l9469,2643,9469,2683,9471,2683,9471,2643xm9479,2713l9473,2713,9473,2753,9479,2753,9479,2713xm9471,2713l9469,2713,9469,2753,9471,2753,9471,2713xm9479,2783l9473,2783,9473,2823,9479,2823,9479,2783xm9471,2783l9469,2783,9469,2823,9471,2823,9471,2783xm9479,2853l9473,2853,9473,2893,9479,2893,9479,2853xm9471,2853l9469,2853,9469,2893,9471,2893,9471,2853xm9479,2923l9473,2923,9473,2963,9479,2963,9479,2923xm9471,2923l9469,2923,9469,2963,9471,2963,9471,2923xm9479,2993l9473,2993,9473,3033,9479,3033,9479,2993xm9471,2993l9469,2993,9469,3033,9471,3033,9471,2993xm9479,3063l9473,3063,9473,3103,9479,3103,9479,3063xm9471,3063l9469,3063,9469,3103,9471,3103,9471,3063xm9479,3133l9473,3133,9473,3173,9479,3173,9479,3133xm9471,3133l9469,3133,9469,3173,9471,3173,9471,3133xm9479,3203l9473,3203,9473,3243,9479,3243,9479,3203xm9471,3203l9469,3203,9469,3243,9471,3243,9471,3203xm9479,3273l9473,3273,9473,3313,9479,3313,9479,3273xm9471,3273l9469,3273,9469,3313,9471,3313,9471,3273xm9479,3343l9473,3343,9473,3383,9479,3383,9479,3343xm9471,3343l9469,3343,9469,3383,9471,3383,9471,3343xm9479,3413l9473,3413,9473,3453,9479,3453,9479,3413xm9471,3413l9469,3413,9469,3453,9471,3453,9471,3413xm9479,3483l9473,3483,9473,3523,9479,3523,9479,3483xm9471,3483l9469,3483,9469,3523,9471,3523,9471,3483xm9479,3553l9473,3553,9473,3593,9479,3593,9479,3553xm9471,3553l9469,3553,9469,3593,9471,3593,9471,3553xm9479,3623l9473,3623,9473,3663,9479,3663,9479,3623xm9471,3623l9469,3623,9469,3663,9471,3663,9471,3623xm9479,3693l9473,3693,9473,3733,9479,3733,9479,3693xm9471,3693l9469,3693,9469,3733,9471,3733,9471,3693xm9479,3763l9473,3763,9473,3803,9479,3803,9479,3763xm9471,3763l9469,3763,9469,3803,9471,3803,9471,3763xm9479,3833l9473,3833,9473,3873,9479,3873,9479,3833xm9471,3833l9469,3833,9469,3873,9471,3873,9471,3833xm9479,3903l9473,3903,9473,3943,9479,3943,9479,3903xm9471,3903l9469,3903,9469,3943,9471,3943,9471,3903xm9479,3973l9473,3973,9473,4013,9479,4013,9479,3973xm9471,3973l9469,3973,9469,4013,9471,4013,9471,3973xm9479,4043l9473,4043,9473,4083,9479,4083,9479,4043xm9471,4043l9469,4043,9469,4083,9471,4083,9471,4043xm9479,4113l9473,4113,9473,4153,9479,4153,9479,4113xm9471,4113l9469,4113,9469,4153,9471,4153,9471,4113xm9479,4183l9473,4183,9473,4223,9479,4223,9479,4183xm9471,4183l9469,4183,9469,4223,9471,4223,9471,4183xm9479,4253l9473,4253,9473,4293,9479,4293,9479,4253xm9471,4253l9469,4253,9469,4293,9471,4293,9471,4253xm9479,4323l9473,4323,9473,4363,9479,4363,9479,4323xm9471,4323l9469,4323,9469,4363,9471,4363,9471,4323xm9479,4393l9473,4393,9473,4433,9479,4433,9479,4393xm9471,4393l9469,4393,9469,4433,9471,4433,9471,4393xm9479,4463l9473,4463,9473,4503,9479,4503,9479,4463xm9471,4463l9469,4463,9469,4503,9471,4503,9471,4463xm9479,4533l9473,4533,9473,4573,9479,4573,9479,4533xm9471,4533l9469,4533,9469,4573,9471,4573,9471,4533xm9479,4603l9473,4603,9473,4643,9479,4643,9479,4603xm9471,4603l9469,4603,9469,4643,9471,4643,9471,4603xm9479,4673l9473,4673,9473,4713,9479,4713,9479,4673xm9471,4673l9469,4673,9469,4713,9471,4713,9471,4673xm9479,4743l9473,4743,9473,4783,9479,4783,9479,4743xm9471,4743l9469,4743,9469,4783,9471,4783,9471,4743xm9479,4813l9473,4813,9473,4853,9479,4853,9479,4813xm9471,4813l9469,4813,9469,4853,9471,4853,9471,4813xm9479,4883l9473,4883,9473,4923,9479,4923,9479,4883xm9471,4883l9469,4883,9469,4923,9471,4923,9471,4883xm9479,4953l9473,4953,9473,4993,9479,4993,9479,4953xm9471,4953l9469,4953,9469,4993,9471,4993,9471,4953xm9479,5023l9473,5023,9473,5063,9479,5063,9479,5023xm9471,5023l9469,5023,9469,5063,9471,5063,9471,5023xm9479,5093l9473,5093,9473,5133,9479,5133,9479,5093xm9471,5093l9469,5093,9469,5133,9471,5133,9471,5093xm9479,5163l9473,5163,9473,5203,9479,5203,9479,5163xm9471,5163l9469,5163,9469,5203,9471,5203,9471,5163xm9479,5233l9473,5233,9473,5273,9479,5273,9479,5233xm9471,5233l9469,5233,9469,5273,9471,5273,9471,5233xm9479,5303l9473,5303,9473,5343,9479,5343,9479,5303xm9471,5303l9469,5303,9469,5343,9471,5343,9471,5303xm9479,5373l9473,5373,9473,5413,9479,5413,9479,5373xm9471,5373l9469,5373,9469,5413,9471,5413,9471,5373xm9479,5443l9473,5443,9473,5483,9479,5483,9479,5443xm9471,5443l9469,5443,9469,5483,9471,5483,9471,5443xm9479,5513l9473,5513,9473,5553,9479,5553,9479,5513xm9471,5513l9469,5513,9469,5553,9471,5553,9471,5513xm9479,5583l9473,5583,9473,5623,9479,5623,9479,5583xm9471,5583l9469,5583,9469,5623,9471,5623,9471,5583xm9479,5653l9473,5653,9473,5693,9479,5693,9479,5653xm9471,5653l9469,5653,9469,5693,9471,5693,9471,5653xm9479,5723l9473,5723,9473,5763,9479,5763,9479,5723xm9471,5723l9469,5723,9469,5763,9471,5763,9471,5723xm9479,5793l9473,5793,9473,5833,9479,5833,9479,5793xm9471,5793l9469,5793,9469,5833,9471,5833,9471,5793xm9479,5863l9473,5863,9473,5903,9479,5903,9479,5863xm9471,5863l9469,5863,9469,5903,9471,5903,9471,5863xm9479,5933l9473,5933,9473,5973,9479,5973,9479,5933xm9471,5933l9469,5933,9469,5973,9471,5973,9471,5933xm9479,6003l9473,6003,9473,6043,9479,6043,9479,6003xm9471,6003l9469,6003,9469,6043,9471,6043,9471,6003xm9479,6073l9473,6073,9473,6113,9479,6113,9479,6073xm9471,6073l9469,6073,9469,6113,9471,6113,9471,6073xm9479,6143l9473,6143,9473,6183,9479,6183,9479,6143xm9471,6143l9469,6143,9469,6183,9471,6183,9471,6143xm9479,6213l9473,6213,9473,6253,9479,6253,9479,6213xm9471,6213l9469,6213,9469,6253,9471,6253,9471,6213xm9479,6283l9473,6283,9473,6323,9479,6323,9479,6283xm9471,6283l9469,6283,9469,6323,9471,6323,9471,6283xm9479,6353l9473,6353,9473,6393,9479,6393,9479,6353xm9471,6353l9469,6353,9469,6393,9471,6393,9471,6353xm9479,6423l9473,6423,9473,6463,9479,6463,9479,6423xm9471,6423l9469,6423,9469,6463,9471,6463,9471,6423xm9479,6493l9473,6493,9473,6533,9479,6533,9479,6493xm9471,6493l9469,6493,9469,6533,9471,6533,9471,6493xm9479,6563l9473,6563,9473,6603,9479,6603,9479,6563xm9471,6563l9469,6563,9469,6603,9471,6603,9471,6563xm9479,6633l9473,6633,9473,6673,9479,6673,9479,6633xm9471,6633l9469,6633,9469,6673,9471,6673,9471,6633xm9479,6703l9473,6703,9473,6743,9479,6743,9479,6703xm9471,6703l9469,6703,9469,6743,9471,6743,9471,6703xm9479,6773l9473,6773,9473,6813,9479,6813,9479,6773xm9471,6773l9469,6773,9469,6813,9471,6813,9471,6773xm9479,6843l9473,6843,9473,6883,9479,6883,9479,6843xm9471,6843l9469,6843,9469,6883,9471,6883,9471,6843xm9479,6913l9473,6913,9473,6953,9479,6953,9479,6913xm9471,6913l9469,6913,9469,6953,9471,6953,9471,6913xm9479,6983l9473,6983,9473,7023,9479,7023,9479,6983xm9471,6983l9469,6983,9469,7023,9471,7023,9471,6983xm9479,7053l9473,7053,9473,7093,9479,7093,9479,7053xm9471,7053l9469,7053,9469,7093,9471,7093,9471,7053xm9479,7123l9473,7123,9473,7128,9440,7128,9440,7134,9477,7134,9479,7132,9479,7123xm9471,7123l9469,7123,9469,7124,9440,7124,9440,7126,9471,7126,9471,7123xm9410,7128l9370,7128,9370,7134,9410,7134,9410,7128xm9410,7124l9370,7124,9370,7126,9410,7126,9410,7124xm9340,7128l9300,7128,9300,7134,9340,7134,9340,7128xm9340,7124l9300,7124,9300,7126,9340,7126,9340,7124xm9270,7128l9230,7128,9230,7134,9270,7134,9270,7128xm9270,7124l9230,7124,9230,7126,9270,7126,9270,7124xm9200,7128l9160,7128,9160,7134,9200,7134,9200,7128xm9200,7124l9160,7124,9160,7126,9200,7126,9200,7124xm9130,7128l9090,7128,9090,7134,9130,7134,9130,7128xm9130,7124l9090,7124,9090,7126,9130,7126,9130,7124xm9060,7128l9020,7128,9020,7134,9060,7134,9060,7128xm9060,7124l9020,7124,9020,7126,9060,7126,9060,7124xm8990,7128l8950,7128,8950,7134,8990,7134,8990,7128xm8990,7124l8950,7124,8950,7126,8990,7126,8990,7124xm8920,7128l8880,7128,8880,7134,8920,7134,8920,7128xm8920,7124l8880,7124,8880,7126,8920,7126,8920,7124xm8850,7128l8810,7128,8810,7134,8850,7134,8850,7128xm8850,7124l8810,7124,8810,7126,8850,7126,8850,7124xm8780,7128l8740,7128,8740,7134,8780,7134,8780,7128xm8780,7124l8740,7124,8740,7126,8780,7126,8780,7124xm8710,7128l8670,7128,8670,7134,8710,7134,8710,7128xm8710,7124l8670,7124,8670,7126,8710,7126,8710,7124xm8640,7128l8600,7128,8600,7134,8640,7134,8640,7128xm8640,7124l8600,7124,8600,7126,8640,7126,8640,7124xm8570,7128l8530,7128,8530,7134,8570,7134,8570,7128xm8570,7124l8530,7124,8530,7126,8570,7126,8570,7124xm8500,7128l8460,7128,8460,7134,8500,7134,8500,7128xm8500,7124l8460,7124,8460,7126,8500,7126,8500,7124xm8430,7128l8390,7128,8390,7134,8430,7134,8430,7128xm8430,7124l8390,7124,8390,7126,8430,7126,8430,7124xm8360,7128l8320,7128,8320,7134,8360,7134,8360,7128xm8360,7124l8320,7124,8320,7126,8360,7126,8360,7124xm8290,7128l8250,7128,8250,7134,8290,7134,8290,7128xm8290,7124l8250,7124,8250,7126,8290,7126,8290,7124xm8220,7128l8180,7128,8180,7134,8220,7134,8220,7128xm8220,7124l8180,7124,8180,7126,8220,7126,8220,7124xm8150,7128l8110,7128,8110,7134,8150,7134,8150,7128xm8150,7124l8110,7124,8110,7126,8150,7126,8150,7124xm8080,7128l8040,7128,8040,7134,8080,7134,8080,7128xm8080,7124l8040,7124,8040,7126,8080,7126,8080,7124xm8010,7128l7970,7128,7970,7134,8010,7134,8010,7128xm8010,7124l7970,7124,7970,7126,8010,7126,8010,7124xm7940,7128l7900,7128,7900,7134,7940,7134,7940,7128xm7940,7124l7900,7124,7900,7126,7940,7126,7940,7124xm7870,7128l7830,7128,7830,7134,7870,7134,7870,7128xm7870,7124l7830,7124,7830,7126,7870,7126,7870,7124xm7800,7128l7760,7128,7760,7134,7800,7134,7800,7128xm7800,7124l7760,7124,7760,7126,7800,7126,7800,7124xm7730,7128l7690,7128,7690,7134,7730,7134,7730,7128xm7730,7124l7690,7124,7690,7126,7730,7126,7730,7124xm7660,7128l7620,7128,7620,7134,7660,7134,7660,7128xm7660,7124l7620,7124,7620,7126,7660,7126,7660,7124xm7590,7128l7550,7128,7550,7134,7590,7134,7590,7128xm7590,7124l7550,7124,7550,7126,7590,7126,7590,7124xm7520,7128l7480,7128,7480,7134,7520,7134,7520,7128xm7520,7124l7480,7124,7480,7126,7520,7126,7520,7124xm7450,7128l7410,7128,7410,7134,7450,7134,7450,7128xm7450,7124l7410,7124,7410,7126,7450,7126,7450,7124xm7380,7128l7340,7128,7340,7134,7380,7134,7380,7128xm7380,7124l7340,7124,7340,7126,7380,7126,7380,7124xm7310,7128l7270,7128,7270,7134,7310,7134,7310,7128xm7310,7124l7270,7124,7270,7126,7310,7126,7310,7124xm7240,7128l7200,7128,7200,7134,7240,7134,7240,7128xm7240,7124l7200,7124,7200,7126,7240,7126,7240,7124xm7170,7128l7130,7128,7130,7134,7170,7134,7170,7128xm7170,7124l7130,7124,7130,7126,7170,7126,7170,7124xm7100,7128l7060,7128,7060,7134,7100,7134,7100,7128xm7100,7124l7060,7124,7060,7126,7100,7126,7100,7124xm7030,7128l6990,7128,6990,7134,7030,7134,7030,7128xm7030,7124l6990,7124,6990,7126,7030,7126,7030,7124xm6960,7128l6920,7128,6920,7134,6960,7134,6960,7128xm6960,7124l6920,7124,6920,7126,6960,7126,6960,7124xm6890,7128l6850,7128,6850,7134,6890,7134,6890,7128xm6890,7124l6850,7124,6850,7126,6890,7126,6890,7124xm6820,7128l6780,7128,6780,7134,6820,7134,6820,7128xm6820,7124l6780,7124,6780,7126,6820,7126,6820,7124xm6750,7128l6710,7128,6710,7134,6750,7134,6750,7128xm6750,7124l6710,7124,6710,7126,6750,7126,6750,7124xm6680,7128l6640,7128,6640,7134,6680,7134,6680,7128xm6680,7124l6640,7124,6640,7126,6680,7126,6680,7124xm6610,7128l6570,7128,6570,7134,6610,7134,6610,7128xm6610,7124l6570,7124,6570,7126,6610,7126,6610,7124xm6540,7128l6500,7128,6500,7134,6540,7134,6540,7128xm6540,7124l6500,7124,6500,7126,6540,7126,6540,7124xm6470,7128l6430,7128,6430,7134,6470,7134,6470,7128xm6470,7124l6430,7124,6430,7126,6470,7126,6470,7124xm6400,7128l6360,7128,6360,7134,6400,7134,6400,7128xm6400,7124l6360,7124,6360,7126,6400,7126,6400,7124xm6330,7128l6290,7128,6290,7134,6330,7134,6330,7128xm6330,7124l6290,7124,6290,7126,6330,7126,6330,7124xm6260,7128l6220,7128,6220,7134,6260,7134,6260,7128xm6260,7124l6220,7124,6220,7126,6260,7126,6260,7124xm6190,7128l6150,7128,6150,7134,6190,7134,6190,7128xm6190,7124l6150,7124,6150,7126,6190,7126,6190,7124xm6120,7128l6080,7128,6080,7134,6120,7134,6120,7128xm6120,7124l6080,7124,6080,7126,6120,7126,6120,7124xm6050,7128l6010,7128,6010,7134,6050,7134,6050,7128xm6050,7124l6010,7124,6010,7126,6050,7126,6050,7124xm5980,7128l5940,7128,5940,7134,5980,7134,5980,7128xm5980,7124l5940,7124,5940,7126,5980,7126,5980,7124xm5910,7128l5870,7128,5870,7134,5910,7134,5910,7128xm5910,7124l5870,7124,5870,7126,5910,7126,5910,7124xm5840,7128l5800,7128,5800,7134,5840,7134,5840,7128xm5840,7124l5800,7124,5800,7126,5840,7126,5840,7124xm5770,7128l5730,7128,5730,7134,5770,7134,5770,7128xm5770,7124l5730,7124,5730,7126,5770,7126,5770,7124xm5700,7128l5660,7128,5660,7134,5700,7134,5700,7128xm5700,7124l5660,7124,5660,7126,5700,7126,5700,7124xm5630,7128l5590,7128,5590,7134,5630,7134,5630,7128xm5630,7124l5590,7124,5590,7126,5630,7126,5630,7124xm5560,7128l5520,7128,5520,7134,5560,7134,5560,7128xm5560,7124l5520,7124,5520,7126,5560,7126,5560,7124xm5490,7128l5450,7128,5450,7134,5490,7134,5490,7128xm5490,7124l5450,7124,5450,7126,5490,7126,5490,7124xm5420,7128l5380,7128,5380,7134,5420,7134,5420,7128xm5420,7124l5380,7124,5380,7126,5420,7126,5420,7124xm5350,7128l5310,7128,5310,7134,5350,7134,5350,7128xm5350,7124l5310,7124,5310,7126,5350,7126,5350,7124xm5280,7128l5240,7128,5240,7134,5280,7134,5280,7128xm5280,7124l5240,7124,5240,7126,5280,7126,5280,7124xm5210,7128l5170,7128,5170,7134,5210,7134,5210,7128xm5210,7124l5170,7124,5170,7126,5210,7126,5210,7124xm5140,7128l5100,7128,5100,7134,5140,7134,5140,7128xm5140,7124l5100,7124,5100,7126,5140,7126,5140,7124xm5070,7128l5030,7128,5030,7134,5070,7134,5070,7128xm5070,7124l5030,7124,5030,7126,5070,7126,5070,7124xm5000,7128l4960,7128,4960,7134,5000,7134,5000,7128xm5000,7124l4960,7124,4960,7126,5000,7126,5000,7124xm4930,7128l4890,7128,4890,7134,4930,7134,4930,7128xm4930,7124l4890,7124,4890,7126,4930,7126,4930,7124xm4860,7128l4820,7128,4820,7134,4860,7134,4860,7128xm4860,7124l4820,7124,4820,7126,4860,7126,4860,7124xm4790,7128l4750,7128,4750,7134,4790,7134,4790,7128xm4790,7124l4750,7124,4750,7126,4790,7126,4790,7124xm4720,7128l4680,7128,4680,7134,4720,7134,4720,7128xm4720,7124l4680,7124,4680,7126,4720,7126,4720,7124xm4650,7128l4610,7128,4610,7134,4650,7134,4650,7128xm4650,7124l4610,7124,4610,7126,4650,7126,4650,7124xm4580,7128l4540,7128,4540,7134,4580,7134,4580,7128xm4580,7124l4540,7124,4540,7126,4580,7126,4580,7124xm4510,7128l4470,7128,4470,7134,4510,7134,4510,7128xm4510,7124l4470,7124,4470,7126,4510,7126,4510,7124xm4440,7128l4400,7128,4400,7134,4440,7134,4440,7128xm4440,7124l4400,7124,4400,7126,4440,7126,4440,7124xm4370,7128l4330,7128,4330,7134,4370,7134,4370,7128xm4370,7124l4330,7124,4330,7126,4370,7126,4370,7124xm4300,7128l4260,7128,4260,7134,4300,7134,4300,7128xm4300,7124l4260,7124,4260,7126,4300,7126,4300,7124xm4230,7128l4190,7128,4190,7134,4230,7134,4230,7128xm4230,7124l4190,7124,4190,7126,4230,7126,4230,7124xm4160,7128l4120,7128,4120,7134,4160,7134,4160,7128xm4160,7124l4120,7124,4120,7126,4160,7126,4160,7124xm4090,7128l4050,7128,4050,7134,4090,7134,4090,7128xm4090,7124l4050,7124,4050,7126,4090,7126,4090,7124xm4020,7128l3980,7128,3980,7134,4020,7134,4020,7128xm4020,7124l3980,7124,3980,7126,4020,7126,4020,7124xm3950,7128l3910,7128,3910,7134,3950,7134,3950,7128xm3950,7124l3910,7124,3910,7126,3950,7126,3950,7124xm3880,7128l3840,7128,3840,7134,3880,7134,3880,7128xm3880,7124l3840,7124,3840,7126,3880,7126,3880,7124xm3810,7128l3770,7128,3770,7134,3810,7134,3810,7128xm3810,7124l3770,7124,3770,7126,3810,7126,3810,7124xm3740,7128l3700,7128,3700,7134,3740,7134,3740,7128xm3740,7124l3700,7124,3700,7126,3740,7126,3740,7124xm3670,7128l3630,7128,3630,7134,3670,7134,3670,7128xm3670,7124l3630,7124,3630,7126,3670,7126,3670,7124xm3600,7128l3560,7128,3560,7134,3600,7134,3600,7128xm3600,7124l3560,7124,3560,7126,3600,7126,3600,7124xm3530,7128l3490,7128,3490,7134,3530,7134,3530,7128xm3530,7124l3490,7124,3490,7126,3530,7126,3530,7124xm3460,7128l3420,7128,3420,7134,3460,7134,3460,7128xm3460,7124l3420,7124,3420,7126,3460,7126,3460,7124xm3390,7128l3350,7128,3350,7134,3390,7134,3390,7128xm3390,7124l3350,7124,3350,7126,3390,7126,3390,7124xm3320,7128l3280,7128,3280,7134,3320,7134,3320,7128xm3320,7124l3280,7124,3280,7126,3320,7126,3320,7124xm3250,7128l3210,7128,3210,7134,3250,7134,3250,7128xm3250,7124l3210,7124,3210,7126,3250,7126,3250,7124xm3180,7128l3140,7128,3140,7134,3180,7134,3180,7128xm3180,7124l3140,7124,3140,7126,3180,7126,3180,7124xm3110,7128l3070,7128,3070,7134,3110,7134,3110,7128xm3110,7124l3070,7124,3070,7126,3110,7126,3110,7124xm3040,7128l3000,7128,3000,7134,3040,7134,3040,7128xm3040,7124l3000,7124,3000,7126,3040,7126,3040,7124xm2970,7128l2930,7128,2930,7134,2970,7134,2970,7128xm2970,7124l2930,7124,2930,7126,2970,7126,2970,7124xm2900,7128l2860,7128,2860,7134,2900,7134,2900,7128xm2900,7124l2860,7124,2860,7126,2900,7126,2900,7124xm2830,7128l2790,7128,2790,7134,2830,7134,2830,7128xm2830,7124l2790,7124,2790,7126,2830,7126,2830,7124xm2760,7128l2720,7128,2720,7134,2760,7134,2760,7128xm2760,7124l2720,7124,2720,7126,2760,7126,2760,7124xe" filled="true" fillcolor="#000000" stroked="false">
              <v:path arrowok="t"/>
              <v:fill type="solid"/>
            </v:shape>
            <v:rect style="position:absolute;left:3957;top:1528;width:4259;height:471" filled="false" stroked="true" strokeweight=".5pt" strokecolor="#000000"/>
            <v:rect style="position:absolute;left:2855;top:2179;width:1803;height:762" filled="false" stroked="true" strokeweight=".5pt" strokecolor="#000000">
              <v:stroke dashstyle="dash"/>
            </v:rect>
            <v:rect style="position:absolute;left:7696;top:2133;width:1669;height:774" filled="false" stroked="true" strokeweight=".5pt" strokecolor="#000000"/>
            <v:shape style="position:absolute;left:4709;top:3796;width:2560;height:1398" type="#_x0000_t75" stroked="false">
              <v:imagedata r:id="rId143" o:title=""/>
            </v:shape>
            <v:shape style="position:absolute;left:4658;top:2429;width:3037;height:158" coordorigin="4658,2429" coordsize="3037,158" path="m4793,2429l4789,2431,4658,2508,4789,2584,4793,2586,4797,2585,4799,2582,4801,2578,4800,2573,4797,2571,4701,2515,4673,2515,4673,2500,4701,2500,4797,2444,4800,2442,4801,2438,4799,2434,4797,2430,4793,2429xm7665,2508l7556,2571,7553,2573,7552,2578,7554,2582,7556,2585,7560,2586,7564,2584,7682,2515,7680,2515,7680,2514,7676,2514,7665,2508xm4701,2500l4673,2500,4673,2515,4701,2515,4699,2514,4677,2514,4677,2501,4699,2501,4701,2500xm7652,2500l4701,2500,4688,2508,4701,2515,7652,2515,7665,2508,7652,2500xm7682,2500l7680,2500,7680,2515,7682,2515,7695,2508,7682,2500xm4677,2501l4677,2514,4688,2508,4677,2501xm4688,2508l4677,2514,4699,2514,4688,2508xm7676,2501l7665,2508,7676,2514,7676,2501xm7680,2501l7676,2501,7676,2514,7680,2514,7680,2501xm4699,2501l4677,2501,4688,2508,4699,2501xm7560,2429l7556,2430,7554,2434,7552,2438,7553,2442,7556,2444,7665,2508,7676,2501,7680,2501,7680,2500,7682,2500,7564,2431,7560,2429xe" filled="true" fillcolor="#000000" stroked="false">
              <v:path arrowok="t"/>
              <v:fill type="solid"/>
            </v:shape>
            <v:rect style="position:absolute;left:5143;top:2169;width:2032;height:665" filled="false" stroked="true" strokeweight=".5pt" strokecolor="#000000"/>
            <v:shape style="position:absolute;left:5959;top:2834;width:158;height:968" coordorigin="5959,2834" coordsize="158,968" path="m5968,3659l5964,3661,5961,3663,5959,3668,5962,3671,6038,3802,6047,3787,6031,3787,6030,3760,5974,3664,5972,3660,5968,3659xm6031,3760l6031,3787,6046,3787,6046,3784,6032,3784,6038,3773,6031,3760xm6108,3659l6104,3660,6102,3664,6046,3760,6046,3787,6047,3787,6114,3671,6117,3668,6115,3663,6112,3661,6108,3659xm6038,3773l6032,3784,6044,3784,6038,3773xm6046,3760l6038,3773,6044,3784,6046,3784,6046,3760xm6046,2834l6031,2834,6031,3760,6038,3773,6045,3760,6046,2834xe" filled="true" fillcolor="#000000" stroked="false">
              <v:path arrowok="t"/>
              <v:fill type="solid"/>
            </v:shape>
            <v:rect style="position:absolute;left:3255;top:6234;width:5456;height:411" filled="false" stroked="true" strokeweight=".5pt" strokecolor="#000000"/>
            <v:rect style="position:absolute;left:5372;top:3064;width:1246;height:467" filled="false" stroked="true" strokeweight=".5pt" strokecolor="#000000"/>
            <v:shape style="position:absolute;left:8170;top:2902;width:158;height:3357" coordorigin="8170,2902" coordsize="158,3357" path="m8179,6116l8175,6118,8172,6120,8170,6125,8173,6128,8249,6259,8258,6244,8241,6244,8241,6217,8185,6121,8183,6117,8179,6116xm8241,6217l8241,6244,8256,6244,8256,6241,8243,6241,8249,6230,8241,6217xm8319,6116l8315,6117,8313,6121,8257,6217,8256,6244,8258,6244,8325,6128,8328,6125,8326,6120,8323,6118,8319,6116xm8249,6230l8243,6241,8255,6241,8249,6230xm8256,6217l8249,6230,8255,6241,8256,6241,8256,6217xm8249,2932l8242,2944,8242,6217,8249,6230,8256,6217,8256,2944,8249,2932xm8249,2902l8173,3033,8170,3037,8172,3041,8175,3044,8179,3046,8183,3044,8185,3041,8241,2945,8241,2917,8258,2917,8249,2902xm8258,2917l8256,2917,8257,2945,8313,3041,8315,3044,8319,3046,8323,3044,8326,3041,8328,3037,8325,3033,8258,2917xm8256,2917l8241,2917,8241,2945,8249,2932,8243,2921,8256,2921,8256,2917xm8256,2921l8255,2921,8249,2932,8256,2944,8256,2921xm8255,2921l8243,2921,8249,2932,8255,2921xe" filled="true" fillcolor="#000000" stroked="false">
              <v:path arrowok="t"/>
              <v:fill type="solid"/>
            </v:shape>
            <v:shape style="position:absolute;left:3732;top:2937;width:158;height:3327" coordorigin="3732,2937" coordsize="158,3327" path="m3741,6121l3737,6123,3734,6125,3732,6130,3735,6133,3811,6264,3820,6249,3804,6249,3804,6222,3747,6126,3745,6122,3741,6121xm3804,6222l3804,6249,3819,6249,3819,6246,3805,6246,3811,6235,3804,6222xm3881,6121l3877,6122,3875,6126,3819,6222,3819,6249,3820,6249,3887,6133,3890,6130,3888,6125,3885,6123,3881,6121xm3811,6235l3805,6246,3817,6246,3811,6235xm3819,6222l3811,6235,3817,6246,3819,6246,3819,6222xm3811,2967l3804,2979,3804,6222,3811,6235,3819,6222,3818,2979,3811,2967xm3811,2937l3735,3068,3732,3072,3734,3076,3737,3079,3741,3081,3745,3079,3747,3076,3804,2979,3804,2952,3820,2952,3811,2937xm3820,2952l3819,2952,3819,2980,3875,3076,3877,3079,3881,3081,3885,3079,3888,3076,3890,3072,3887,3068,3820,2952xm3819,2956l3817,2956,3811,2967,3819,2980,3819,2956xm3819,2952l3804,2952,3804,2979,3811,2967,3805,2956,3819,2956,3819,2952xm3817,2956l3805,2956,3811,2967,3817,2956xe" filled="true" fillcolor="#000000" stroked="false">
              <v:path arrowok="t"/>
              <v:fill type="solid"/>
            </v:shape>
            <v:rect style="position:absolute;left:7550;top:3789;width:1694;height:1028" filled="false" stroked="true" strokeweight=".5pt" strokecolor="#000000"/>
            <v:rect style="position:absolute;left:2852;top:3859;width:1694;height:1028" filled="false" stroked="true" strokeweight=".5pt" strokecolor="#000000"/>
            <v:shape style="position:absolute;left:9572;top:1274;width:718;height:883" type="#_x0000_t202" filled="false" stroked="false">
              <v:textbox inset="0,0,0,0">
                <w:txbxContent>
                  <w:p>
                    <w:pPr>
                      <w:spacing w:line="276" w:lineRule="auto" w:before="77"/>
                      <w:ind w:left="233" w:right="-22" w:firstLine="180"/>
                      <w:jc w:val="left"/>
                      <w:rPr>
                        <w:sz w:val="24"/>
                      </w:rPr>
                    </w:pPr>
                    <w:r>
                      <w:rPr>
                        <w:sz w:val="24"/>
                      </w:rPr>
                      <w:t>Cu</w:t>
                    </w:r>
                    <w:r>
                      <w:rPr>
                        <w:w w:val="99"/>
                        <w:sz w:val="24"/>
                      </w:rPr>
                      <w:t> </w:t>
                    </w:r>
                    <w:r>
                      <w:rPr>
                        <w:sz w:val="24"/>
                      </w:rPr>
                      <w:t>Hidr</w:t>
                    </w:r>
                  </w:p>
                </w:txbxContent>
              </v:textbox>
              <w10:wrap type="none"/>
            </v:shape>
            <v:shape style="position:absolute;left:10290;top:1274;width:939;height:883" type="#_x0000_t202" filled="false" stroked="false">
              <v:textbox inset="0,0,0,0">
                <w:txbxContent>
                  <w:p>
                    <w:pPr>
                      <w:spacing w:line="276" w:lineRule="auto" w:before="77"/>
                      <w:ind w:left="89" w:right="216" w:hanging="87"/>
                      <w:jc w:val="left"/>
                      <w:rPr>
                        <w:sz w:val="24"/>
                      </w:rPr>
                    </w:pPr>
                    <w:r>
                      <w:rPr>
                        <w:sz w:val="24"/>
                      </w:rPr>
                      <w:t>enca social</w:t>
                    </w:r>
                  </w:p>
                </w:txbxContent>
              </v:textbox>
              <w10:wrap type="none"/>
            </v:shape>
            <v:shape style="position:absolute;left:10246;top:1699;width:134;height:240" type="#_x0000_t202" filled="false" stroked="false">
              <v:textbox inset="0,0,0,0">
                <w:txbxContent>
                  <w:p>
                    <w:pPr>
                      <w:spacing w:line="240" w:lineRule="exact" w:before="0"/>
                      <w:ind w:left="0" w:right="0" w:firstLine="0"/>
                      <w:jc w:val="left"/>
                      <w:rPr>
                        <w:sz w:val="24"/>
                      </w:rPr>
                    </w:pPr>
                    <w:r>
                      <w:rPr>
                        <w:w w:val="99"/>
                        <w:sz w:val="24"/>
                      </w:rPr>
                      <w:t>o</w:t>
                    </w:r>
                  </w:p>
                </w:txbxContent>
              </v:textbox>
              <w10:wrap type="none"/>
            </v:shape>
            <v:shape style="position:absolute;left:5046;top:3919;width:1882;height:874" type="#_x0000_t202" filled="false" stroked="false">
              <v:textbox inset="0,0,0,0">
                <w:txbxContent>
                  <w:p>
                    <w:pPr>
                      <w:spacing w:line="245" w:lineRule="exact" w:before="0"/>
                      <w:ind w:left="0" w:right="0" w:firstLine="0"/>
                      <w:jc w:val="center"/>
                      <w:rPr>
                        <w:sz w:val="24"/>
                      </w:rPr>
                    </w:pPr>
                    <w:r>
                      <w:rPr>
                        <w:sz w:val="24"/>
                      </w:rPr>
                      <w:t>Asuntos</w:t>
                    </w:r>
                  </w:p>
                  <w:p>
                    <w:pPr>
                      <w:spacing w:line="310" w:lineRule="atLeast" w:before="6"/>
                      <w:ind w:left="0" w:right="0" w:firstLine="0"/>
                      <w:jc w:val="center"/>
                      <w:rPr>
                        <w:sz w:val="24"/>
                      </w:rPr>
                    </w:pPr>
                    <w:r>
                      <w:rPr>
                        <w:sz w:val="24"/>
                      </w:rPr>
                      <w:t>comunitarios y de El Ejido</w:t>
                    </w:r>
                  </w:p>
                </w:txbxContent>
              </v:textbox>
              <w10:wrap type="none"/>
            </v:shape>
            <v:shape style="position:absolute;left:2100;top:5473;width:1581;height:471" type="#_x0000_t202" filled="true" fillcolor="#ffc000" stroked="true" strokeweight=".5pt" strokecolor="#000000">
              <v:textbox inset="0,0,0,0">
                <w:txbxContent>
                  <w:p>
                    <w:pPr>
                      <w:spacing w:before="68"/>
                      <w:ind w:left="180" w:right="0" w:firstLine="0"/>
                      <w:jc w:val="left"/>
                      <w:rPr>
                        <w:b/>
                        <w:sz w:val="22"/>
                      </w:rPr>
                    </w:pPr>
                    <w:r>
                      <w:rPr>
                        <w:b/>
                        <w:sz w:val="22"/>
                      </w:rPr>
                      <w:t>Comunidad</w:t>
                    </w:r>
                  </w:p>
                </w:txbxContent>
              </v:textbox>
              <v:fill type="solid"/>
              <w10:wrap type="none"/>
            </v:shape>
            <v:shape style="position:absolute;left:8610;top:5473;width:1581;height:471" type="#_x0000_t202" filled="true" fillcolor="#ffc000" stroked="true" strokeweight=".5pt" strokecolor="#000000">
              <v:textbox inset="0,0,0,0">
                <w:txbxContent>
                  <w:p>
                    <w:pPr>
                      <w:spacing w:before="68"/>
                      <w:ind w:left="182" w:right="0" w:firstLine="0"/>
                      <w:jc w:val="left"/>
                      <w:rPr>
                        <w:b/>
                        <w:sz w:val="22"/>
                      </w:rPr>
                    </w:pPr>
                    <w:r>
                      <w:rPr>
                        <w:b/>
                        <w:sz w:val="22"/>
                      </w:rPr>
                      <w:t>Comunidad</w:t>
                    </w:r>
                  </w:p>
                </w:txbxContent>
              </v:textbox>
              <v:fill type="solid"/>
              <w10:wrap type="none"/>
            </v:shape>
            <v:shape style="position:absolute;left:3957;top:1528;width:4259;height:471" type="#_x0000_t202" filled="true" fillcolor="#00afef" stroked="false">
              <v:textbox inset="0,0,0,0">
                <w:txbxContent>
                  <w:p>
                    <w:pPr>
                      <w:spacing w:before="77"/>
                      <w:ind w:left="496" w:right="0" w:firstLine="0"/>
                      <w:jc w:val="left"/>
                      <w:rPr>
                        <w:b/>
                        <w:sz w:val="24"/>
                      </w:rPr>
                    </w:pPr>
                    <w:r>
                      <w:rPr>
                        <w:b/>
                        <w:sz w:val="24"/>
                      </w:rPr>
                      <w:t>AUTORIDADES AUXILIARES</w:t>
                    </w:r>
                  </w:p>
                </w:txbxContent>
              </v:textbox>
              <v:fill type="solid"/>
              <w10:wrap type="none"/>
            </v:shape>
            <v:shape style="position:absolute;left:7696;top:2133;width:1669;height:774" type="#_x0000_t202" filled="true" fillcolor="#ffc000" stroked="false">
              <v:textbox inset="0,0,0,0">
                <w:txbxContent>
                  <w:p>
                    <w:pPr>
                      <w:spacing w:line="276" w:lineRule="auto" w:before="75"/>
                      <w:ind w:left="201" w:right="180" w:firstLine="60"/>
                      <w:jc w:val="left"/>
                      <w:rPr>
                        <w:sz w:val="24"/>
                      </w:rPr>
                    </w:pPr>
                    <w:r>
                      <w:rPr>
                        <w:sz w:val="24"/>
                      </w:rPr>
                      <w:t>Delegados Municipales</w:t>
                    </w:r>
                  </w:p>
                </w:txbxContent>
              </v:textbox>
              <v:fill type="solid"/>
              <w10:wrap type="none"/>
            </v:shape>
            <v:shape style="position:absolute;left:2855;top:2179;width:1803;height:762" type="#_x0000_t202" filled="true" fillcolor="#ffc000" stroked="false">
              <v:textbox inset="0,0,0,0">
                <w:txbxContent>
                  <w:p>
                    <w:pPr>
                      <w:spacing w:line="278" w:lineRule="auto" w:before="74"/>
                      <w:ind w:left="481" w:right="149" w:hanging="315"/>
                      <w:jc w:val="left"/>
                      <w:rPr>
                        <w:sz w:val="24"/>
                      </w:rPr>
                    </w:pPr>
                    <w:r>
                      <w:rPr>
                        <w:sz w:val="24"/>
                      </w:rPr>
                      <w:t>Comisariados Ejidales</w:t>
                    </w:r>
                  </w:p>
                </w:txbxContent>
              </v:textbox>
              <v:fill type="solid"/>
              <w10:wrap type="none"/>
            </v:shape>
            <v:shape style="position:absolute;left:5143;top:2169;width:2032;height:665" type="#_x0000_t202" filled="true" fillcolor="#ffffff" stroked="false">
              <v:textbox inset="0,0,0,0">
                <w:txbxContent>
                  <w:p>
                    <w:pPr>
                      <w:spacing w:line="276" w:lineRule="auto" w:before="74"/>
                      <w:ind w:left="178" w:right="158" w:firstLine="554"/>
                      <w:jc w:val="left"/>
                      <w:rPr>
                        <w:sz w:val="22"/>
                      </w:rPr>
                    </w:pPr>
                    <w:r>
                      <w:rPr>
                        <w:sz w:val="22"/>
                      </w:rPr>
                      <w:t>Están interrelacionados</w:t>
                    </w:r>
                  </w:p>
                </w:txbxContent>
              </v:textbox>
              <v:fill type="solid"/>
              <w10:wrap type="none"/>
            </v:shape>
            <v:shape style="position:absolute;left:5372;top:3064;width:1246;height:467" type="#_x0000_t202" filled="true" fillcolor="#ffffff" stroked="false">
              <v:textbox inset="0,0,0,0">
                <w:txbxContent>
                  <w:p>
                    <w:pPr>
                      <w:spacing w:before="75"/>
                      <w:ind w:left="237" w:right="0" w:firstLine="0"/>
                      <w:jc w:val="left"/>
                      <w:rPr>
                        <w:sz w:val="22"/>
                      </w:rPr>
                    </w:pPr>
                    <w:r>
                      <w:rPr>
                        <w:sz w:val="22"/>
                      </w:rPr>
                      <w:t>Atender</w:t>
                    </w:r>
                  </w:p>
                </w:txbxContent>
              </v:textbox>
              <v:fill type="solid"/>
              <w10:wrap type="none"/>
            </v:shape>
            <v:shape style="position:absolute;left:7550;top:3789;width:1694;height:1028" type="#_x0000_t202" filled="true" fillcolor="#ffffff" stroked="false">
              <v:textbox inset="0,0,0,0">
                <w:txbxContent>
                  <w:p>
                    <w:pPr>
                      <w:spacing w:line="276" w:lineRule="auto" w:before="75"/>
                      <w:ind w:left="227" w:right="221" w:firstLine="0"/>
                      <w:jc w:val="center"/>
                      <w:rPr>
                        <w:sz w:val="22"/>
                      </w:rPr>
                    </w:pPr>
                    <w:r>
                      <w:rPr>
                        <w:sz w:val="22"/>
                      </w:rPr>
                      <w:t>Demandas y peticiones sociales</w:t>
                    </w:r>
                  </w:p>
                </w:txbxContent>
              </v:textbox>
              <v:fill type="solid"/>
              <w10:wrap type="none"/>
            </v:shape>
            <v:shape style="position:absolute;left:2852;top:3859;width:1694;height:1028" type="#_x0000_t202" filled="true" fillcolor="#ffffff" stroked="false">
              <v:textbox inset="0,0,0,0">
                <w:txbxContent>
                  <w:p>
                    <w:pPr>
                      <w:spacing w:line="276" w:lineRule="auto" w:before="74"/>
                      <w:ind w:left="224" w:right="223" w:firstLine="0"/>
                      <w:jc w:val="center"/>
                      <w:rPr>
                        <w:sz w:val="22"/>
                      </w:rPr>
                    </w:pPr>
                    <w:r>
                      <w:rPr>
                        <w:sz w:val="22"/>
                      </w:rPr>
                      <w:t>Demandas y</w:t>
                    </w:r>
                    <w:r>
                      <w:rPr>
                        <w:w w:val="100"/>
                        <w:sz w:val="22"/>
                      </w:rPr>
                      <w:t> </w:t>
                    </w:r>
                    <w:r>
                      <w:rPr>
                        <w:sz w:val="22"/>
                      </w:rPr>
                      <w:t>peticiones sociales</w:t>
                    </w:r>
                  </w:p>
                </w:txbxContent>
              </v:textbox>
              <v:fill type="solid"/>
              <w10:wrap type="none"/>
            </v:shape>
            <v:shape style="position:absolute;left:3255;top:6234;width:5456;height:411" type="#_x0000_t202" filled="true" fillcolor="#00af50" stroked="false">
              <v:textbox inset="0,0,0,0">
                <w:txbxContent>
                  <w:p>
                    <w:pPr>
                      <w:spacing w:before="76"/>
                      <w:ind w:left="725" w:right="0" w:firstLine="0"/>
                      <w:jc w:val="left"/>
                      <w:rPr>
                        <w:sz w:val="24"/>
                      </w:rPr>
                    </w:pPr>
                    <w:r>
                      <w:rPr>
                        <w:sz w:val="24"/>
                      </w:rPr>
                      <w:t>Gobierno Municipal, Estatal y Federal</w:t>
                    </w:r>
                  </w:p>
                </w:txbxContent>
              </v:textbox>
              <v:fill type="solid"/>
              <w10:wrap type="none"/>
            </v:shape>
            <w10:wrap type="topAndBottom"/>
          </v:group>
        </w:pict>
      </w:r>
      <w:r>
        <w:rPr/>
        <w:t>Esquema 5.7. Mapa de Actores de Autoridades Auxiliares (Delegados Municipales y Comisariados Ejidales): REDES Y FUNCIONES</w:t>
      </w:r>
    </w:p>
    <w:p>
      <w:pPr>
        <w:pStyle w:val="BodyText"/>
        <w:rPr>
          <w:b/>
        </w:rPr>
      </w:pPr>
    </w:p>
    <w:p>
      <w:pPr>
        <w:pStyle w:val="BodyText"/>
        <w:spacing w:line="362" w:lineRule="auto" w:before="139"/>
        <w:ind w:left="102" w:right="1033"/>
      </w:pPr>
      <w:r>
        <w:rPr>
          <w:b/>
        </w:rPr>
        <w:t>Fuente: </w:t>
      </w:r>
      <w:r>
        <w:rPr/>
        <w:t>Elaboración propia con base en la revisión bibliográfica y el Trabajo de Campo, García</w:t>
      </w:r>
      <w:r>
        <w:rPr>
          <w:spacing w:val="57"/>
        </w:rPr>
        <w:t> </w:t>
      </w:r>
      <w:r>
        <w:rPr/>
        <w:t>(2013-2015).</w:t>
      </w:r>
    </w:p>
    <w:p>
      <w:pPr>
        <w:spacing w:after="0" w:line="362" w:lineRule="auto"/>
        <w:sectPr>
          <w:pgSz w:w="12240" w:h="15840"/>
          <w:pgMar w:header="0" w:footer="1003" w:top="1360" w:bottom="1200" w:left="1600" w:right="900"/>
        </w:sectPr>
      </w:pPr>
    </w:p>
    <w:p>
      <w:pPr>
        <w:pStyle w:val="BodyText"/>
        <w:spacing w:line="360" w:lineRule="auto" w:before="53"/>
        <w:ind w:left="102" w:right="112"/>
        <w:jc w:val="both"/>
      </w:pPr>
      <w:r>
        <w:rPr/>
        <w:t>En el anterior mapa de actores de redes y funciones de </w:t>
      </w:r>
      <w:r>
        <w:rPr>
          <w:b/>
        </w:rPr>
        <w:t>las Autoridades Auxiliares, </w:t>
      </w:r>
      <w:r>
        <w:rPr/>
        <w:t>se detectan a los Comisariados Ejidales y Delegados Municipales como representantes de la comunidad ante ésta misma y ante los tres ámbitos de gobierno para atender sus demandas y peticiones sociales. Los primeros (Comisarios ejidales) son los representantes de El Ejido y los segundos (Delegados) del Municipio. Se detecta y destaca que en la práctica, estas dos autoridades se interrelacionan para llegar a acuerdos (formales e informales) y solucionar las demandas de sus representados a través del poder que les confiere la misma ciudadanía, traducido en la participación social, la democracia, la cooperación y mediante arreglos institucionales que les permiten ejercer la gobernanza y la</w:t>
      </w:r>
      <w:r>
        <w:rPr>
          <w:spacing w:val="-13"/>
        </w:rPr>
        <w:t> </w:t>
      </w:r>
      <w:r>
        <w:rPr/>
        <w:t>gobernabilidad.</w:t>
      </w:r>
    </w:p>
    <w:p>
      <w:pPr>
        <w:pStyle w:val="BodyText"/>
        <w:spacing w:before="10"/>
        <w:rPr>
          <w:sz w:val="24"/>
        </w:rPr>
      </w:pPr>
    </w:p>
    <w:p>
      <w:pPr>
        <w:pStyle w:val="BodyText"/>
        <w:spacing w:line="360" w:lineRule="auto"/>
        <w:ind w:left="102" w:right="112"/>
        <w:jc w:val="both"/>
      </w:pPr>
      <w:r>
        <w:rPr/>
        <w:t>Cabe destacar, que se identifica que las autoridades auxiliares juegan un papel muy importante en la cuenca hidrosocial presa Huapango, ya que son los representantes más cercanos a la comunidad y por su forma de elección (democráticamente con la participación de todos en Asamblea). En el caso de los Delegados  Municipales  son electos por los ciudadanos de la comunidad y para el caso de los Comisariados Ejidales, son electos por los ejidatarios; lo cual, si bien obedece a los mandatos de ley porque así  lo establece el Ayuntamiento y la Ley Agraria, son también el resultado de las estructuras sociales que buscan en estas dos figuras su representación. Para ser electos deben cubrir una serie de características que los haga dignos de ostentar dicho cargo a ojos de la comunidad, pero al cubrirlos, los convierte en unos de los representantes más legítimos y legales de los ejidatarios y de la comunidad. Además se pudo detectar que son actores que tienen una identidad antigua y muy arraigada, lo que les permite intervenir en la problemática de la cuenca, ya que la conocen de origen y a través de la historia y porque padecen la problemática muchas veces de forma</w:t>
      </w:r>
      <w:r>
        <w:rPr>
          <w:spacing w:val="-13"/>
        </w:rPr>
        <w:t> </w:t>
      </w:r>
      <w:r>
        <w:rPr/>
        <w:t>directa.</w:t>
      </w:r>
    </w:p>
    <w:p>
      <w:pPr>
        <w:pStyle w:val="BodyText"/>
        <w:spacing w:before="10"/>
        <w:rPr>
          <w:sz w:val="24"/>
        </w:rPr>
      </w:pPr>
    </w:p>
    <w:p>
      <w:pPr>
        <w:pStyle w:val="BodyText"/>
        <w:spacing w:line="360" w:lineRule="auto"/>
        <w:ind w:left="102" w:right="112"/>
        <w:jc w:val="both"/>
      </w:pPr>
      <w:r>
        <w:rPr/>
        <w:t>Además se identificó el mapa de redes y funciones de los actores municipales con sus redes y funciones que se caracterizan por ser el vínculo entre las autoridades auxiliares y el gobierno estatal y federal:</w:t>
      </w:r>
    </w:p>
    <w:p>
      <w:pPr>
        <w:spacing w:after="0" w:line="360" w:lineRule="auto"/>
        <w:jc w:val="both"/>
        <w:sectPr>
          <w:pgSz w:w="12240" w:h="15840"/>
          <w:pgMar w:header="0" w:footer="1003" w:top="1360" w:bottom="1200" w:left="1600" w:right="1580"/>
        </w:sectPr>
      </w:pPr>
    </w:p>
    <w:p>
      <w:pPr>
        <w:pStyle w:val="BodyText"/>
        <w:spacing w:before="2"/>
        <w:rPr>
          <w:sz w:val="19"/>
        </w:rPr>
      </w:pPr>
    </w:p>
    <w:p>
      <w:pPr>
        <w:pStyle w:val="Heading6"/>
        <w:spacing w:line="360" w:lineRule="auto" w:before="72"/>
        <w:ind w:left="2617" w:right="1548" w:hanging="2015"/>
      </w:pPr>
      <w:r>
        <w:rPr/>
        <w:t>Esquema 5.8. Mapa de Actores Municipales (Presidentes Municipales, Regidores, Directores de Área): REDES Y FUNCIONES</w:t>
      </w:r>
    </w:p>
    <w:p>
      <w:pPr>
        <w:pStyle w:val="BodyText"/>
        <w:rPr>
          <w:b/>
          <w:sz w:val="20"/>
        </w:rPr>
      </w:pPr>
    </w:p>
    <w:p>
      <w:pPr>
        <w:pStyle w:val="BodyText"/>
        <w:spacing w:before="1"/>
        <w:rPr>
          <w:b/>
          <w:sz w:val="19"/>
        </w:rPr>
      </w:pPr>
      <w:r>
        <w:rPr/>
        <w:pict>
          <v:group style="position:absolute;margin-left:68pt;margin-top:12.925388pt;width:524pt;height:378.5pt;mso-position-horizontal-relative:page;mso-position-vertical-relative:paragraph;z-index:9088;mso-wrap-distance-left:0;mso-wrap-distance-right:0" coordorigin="1360,259" coordsize="10480,7570">
            <v:rect style="position:absolute;left:1380;top:279;width:9255;height:7530" filled="true" fillcolor="#00afef" stroked="false">
              <v:fill type="solid"/>
            </v:rect>
            <v:rect style="position:absolute;left:1380;top:279;width:9255;height:7530" filled="false" stroked="true" strokeweight="2pt" strokecolor="#000000"/>
            <v:rect style="position:absolute;left:10140;top:834;width:1695;height:975" filled="true" fillcolor="#00afef" stroked="false">
              <v:fill type="solid"/>
            </v:rect>
            <v:rect style="position:absolute;left:10140;top:834;width:1695;height:975" filled="false" stroked="true" strokeweight=".5pt" strokecolor="#000000"/>
            <v:shape style="position:absolute;left:2234;top:654;width:7951;height:6773" type="#_x0000_t75" stroked="false">
              <v:imagedata r:id="rId144" o:title=""/>
            </v:shape>
            <v:rect style="position:absolute;left:2444;top:864;width:7539;height:6362" filled="true" fillcolor="#4584d2" stroked="false">
              <v:fill type="solid"/>
            </v:rect>
            <v:shape style="position:absolute;left:2439;top:859;width:7549;height:6372" coordorigin="2439,859" coordsize="7549,6372" path="m2445,7225l2444,7225,2444,7231,2456,7231,2456,7226,2445,7226,2445,7225xm2445,7186l2439,7186,2439,7226,2444,7226,2444,7225,2445,7225,2445,7223,2444,7223,2444,7221,2445,7221,2445,7186xm2447,7225l2445,7225,2445,7226,2447,7226,2447,7225xm2449,7186l2447,7186,2447,7226,2449,7226,2449,7186xm2456,7225l2449,7225,2449,7226,2456,7226,2456,7225xm2445,7221l2444,7221,2444,7223,2445,7223,2445,7221xm2447,7221l2445,7221,2445,7223,2447,7223,2447,7221xm2456,7221l2449,7221,2449,7223,2456,7223,2456,7221xm2445,7116l2439,7116,2439,7156,2445,7156,2445,7116xm2449,7116l2447,7116,2447,7156,2449,7156,2449,7116xm2445,7046l2439,7046,2439,7086,2445,7086,2445,7046xm2449,7046l2447,7046,2447,7086,2449,7086,2449,7046xm2445,6976l2439,6976,2439,7016,2445,7016,2445,6976xm2449,6976l2447,6976,2447,7016,2449,7016,2449,6976xm2445,6906l2439,6906,2439,6946,2445,6946,2445,6906xm2449,6906l2447,6906,2447,6946,2449,6946,2449,6906xm2445,6836l2439,6836,2439,6876,2445,6876,2445,6836xm2449,6836l2447,6836,2447,6876,2449,6876,2449,6836xm2445,6766l2439,6766,2439,6806,2445,6806,2445,6766xm2449,6766l2447,6766,2447,6806,2449,6806,2449,6766xm2445,6696l2439,6696,2439,6736,2445,6736,2445,6696xm2449,6696l2447,6696,2447,6736,2449,6736,2449,6696xm2445,6626l2439,6626,2439,6666,2445,6666,2445,6626xm2449,6626l2447,6626,2447,6666,2449,6666,2449,6626xm2445,6556l2439,6556,2439,6596,2445,6596,2445,6556xm2449,6556l2447,6556,2447,6596,2449,6596,2449,6556xm2445,6486l2439,6486,2439,6526,2445,6526,2445,6486xm2449,6486l2447,6486,2447,6526,2449,6526,2449,6486xm2445,6416l2439,6416,2439,6456,2445,6456,2445,6416xm2449,6416l2447,6416,2447,6456,2449,6456,2449,6416xm2445,6346l2439,6346,2439,6386,2445,6386,2445,6346xm2449,6346l2447,6346,2447,6386,2449,6386,2449,6346xm2445,6276l2439,6276,2439,6316,2445,6316,2445,6276xm2449,6276l2447,6276,2447,6316,2449,6316,2449,6276xm2445,6206l2439,6206,2439,6246,2445,6246,2445,6206xm2449,6206l2447,6206,2447,6246,2449,6246,2449,6206xm2445,6136l2439,6136,2439,6176,2445,6176,2445,6136xm2449,6136l2447,6136,2447,6176,2449,6176,2449,6136xm2445,6066l2439,6066,2439,6106,2445,6106,2445,6066xm2449,6066l2447,6066,2447,6106,2449,6106,2449,6066xm2445,5996l2439,5996,2439,6036,2445,6036,2445,5996xm2449,5996l2447,5996,2447,6036,2449,6036,2449,5996xm2445,5926l2439,5926,2439,5966,2445,5966,2445,5926xm2449,5926l2447,5926,2447,5966,2449,5966,2449,5926xm2445,5856l2439,5856,2439,5896,2445,5896,2445,5856xm2449,5856l2447,5856,2447,5896,2449,5896,2449,5856xm2445,5786l2439,5786,2439,5826,2445,5826,2445,5786xm2449,5786l2447,5786,2447,5826,2449,5826,2449,5786xm2445,5716l2439,5716,2439,5756,2445,5756,2445,5716xm2449,5716l2447,5716,2447,5756,2449,5756,2449,5716xm2445,5646l2439,5646,2439,5686,2445,5686,2445,5646xm2449,5646l2447,5646,2447,5686,2449,5686,2449,5646xm2445,5576l2439,5576,2439,5616,2445,5616,2445,5576xm2449,5576l2447,5576,2447,5616,2449,5616,2449,5576xm2445,5506l2439,5506,2439,5546,2445,5546,2445,5506xm2449,5506l2447,5506,2447,5546,2449,5546,2449,5506xm2445,5436l2439,5436,2439,5476,2445,5476,2445,5436xm2449,5436l2447,5436,2447,5476,2449,5476,2449,5436xm2445,5366l2439,5366,2439,5406,2445,5406,2445,5366xm2449,5366l2447,5366,2447,5406,2449,5406,2449,5366xm2445,5296l2439,5296,2439,5336,2445,5336,2445,5296xm2449,5296l2447,5296,2447,5336,2449,5336,2449,5296xm2445,5226l2439,5226,2439,5266,2445,5266,2445,5226xm2449,5226l2447,5226,2447,5266,2449,5266,2449,5226xm2445,5156l2439,5156,2439,5196,2445,5196,2445,5156xm2449,5156l2447,5156,2447,5196,2449,5196,2449,5156xm2445,5086l2439,5086,2439,5126,2445,5126,2445,5086xm2449,5086l2447,5086,2447,5126,2449,5126,2449,5086xm2445,5016l2439,5016,2439,5056,2445,5056,2445,5016xm2449,5016l2447,5016,2447,5056,2449,5056,2449,5016xm2445,4946l2439,4946,2439,4986,2445,4986,2445,4946xm2449,4946l2447,4946,2447,4986,2449,4986,2449,4946xm2445,4876l2439,4876,2439,4916,2445,4916,2445,4876xm2449,4876l2447,4876,2447,4916,2449,4916,2449,4876xm2445,4806l2439,4806,2439,4846,2445,4846,2445,4806xm2449,4806l2447,4806,2447,4846,2449,4846,2449,4806xm2445,4736l2439,4736,2439,4776,2445,4776,2445,4736xm2449,4736l2447,4736,2447,4776,2449,4776,2449,4736xm2445,4666l2439,4666,2439,4706,2445,4706,2445,4666xm2449,4666l2447,4666,2447,4706,2449,4706,2449,4666xm2445,4596l2439,4596,2439,4636,2445,4636,2445,4596xm2449,4596l2447,4596,2447,4636,2449,4636,2449,4596xm2445,4526l2439,4526,2439,4566,2445,4566,2445,4526xm2449,4526l2447,4526,2447,4566,2449,4566,2449,4526xm2445,4456l2439,4456,2439,4496,2445,4496,2445,4456xm2449,4456l2447,4456,2447,4496,2449,4496,2449,4456xm2445,4386l2439,4386,2439,4426,2445,4426,2445,4386xm2449,4386l2447,4386,2447,4426,2449,4426,2449,4386xm2445,4316l2439,4316,2439,4356,2445,4356,2445,4316xm2449,4316l2447,4316,2447,4356,2449,4356,2449,4316xm2445,4246l2439,4246,2439,4286,2445,4286,2445,4246xm2449,4246l2447,4246,2447,4286,2449,4286,2449,4246xm2445,4176l2439,4176,2439,4216,2445,4216,2445,4176xm2449,4176l2447,4176,2447,4216,2449,4216,2449,4176xm2445,4106l2439,4106,2439,4146,2445,4146,2445,4106xm2449,4106l2447,4106,2447,4146,2449,4146,2449,4106xm2445,4036l2439,4036,2439,4076,2445,4076,2445,4036xm2449,4036l2447,4036,2447,4076,2449,4076,2449,4036xm2445,3966l2439,3966,2439,4006,2445,4006,2445,3966xm2449,3966l2447,3966,2447,4006,2449,4006,2449,3966xm2445,3896l2439,3896,2439,3936,2445,3936,2445,3896xm2449,3896l2447,3896,2447,3936,2449,3936,2449,3896xm2445,3826l2439,3826,2439,3866,2445,3866,2445,3826xm2449,3826l2447,3826,2447,3866,2449,3866,2449,3826xm2445,3756l2439,3756,2439,3796,2445,3796,2445,3756xm2449,3756l2447,3756,2447,3796,2449,3796,2449,3756xm2445,3686l2439,3686,2439,3726,2445,3726,2445,3686xm2449,3686l2447,3686,2447,3726,2449,3726,2449,3686xm2445,3616l2439,3616,2439,3656,2445,3656,2445,3616xm2449,3616l2447,3616,2447,3656,2449,3656,2449,3616xm2445,3546l2439,3546,2439,3586,2445,3586,2445,3546xm2449,3546l2447,3546,2447,3586,2449,3586,2449,3546xm2445,3476l2439,3476,2439,3516,2445,3516,2445,3476xm2449,3476l2447,3476,2447,3516,2449,3516,2449,3476xm2445,3406l2439,3406,2439,3446,2445,3446,2445,3406xm2449,3406l2447,3406,2447,3446,2449,3446,2449,3406xm2445,3336l2439,3336,2439,3376,2445,3376,2445,3336xm2449,3336l2447,3336,2447,3376,2449,3376,2449,3336xm2445,3266l2439,3266,2439,3306,2445,3306,2445,3266xm2449,3266l2447,3266,2447,3306,2449,3306,2449,3266xm2445,3196l2439,3196,2439,3236,2445,3236,2445,3196xm2449,3196l2447,3196,2447,3236,2449,3236,2449,3196xm2445,3126l2439,3126,2439,3166,2445,3166,2445,3126xm2449,3126l2447,3126,2447,3166,2449,3166,2449,3126xm2445,3056l2439,3056,2439,3096,2445,3096,2445,3056xm2449,3056l2447,3056,2447,3096,2449,3096,2449,3056xm2445,2986l2439,2986,2439,3026,2445,3026,2445,2986xm2449,2986l2447,2986,2447,3026,2449,3026,2449,2986xm2445,2916l2439,2916,2439,2956,2445,2956,2445,2916xm2449,2916l2447,2916,2447,2956,2449,2956,2449,2916xm2445,2846l2439,2846,2439,2886,2445,2886,2445,2846xm2449,2846l2447,2846,2447,2886,2449,2886,2449,2846xm2445,2776l2439,2776,2439,2816,2445,2816,2445,2776xm2449,2776l2447,2776,2447,2816,2449,2816,2449,2776xm2445,2706l2439,2706,2439,2746,2445,2746,2445,2706xm2449,2706l2447,2706,2447,2746,2449,2746,2449,2706xm2445,2636l2439,2636,2439,2676,2445,2676,2445,2636xm2449,2636l2447,2636,2447,2676,2449,2676,2449,2636xm2445,2566l2439,2566,2439,2606,2445,2606,2445,2566xm2449,2566l2447,2566,2447,2606,2449,2606,2449,2566xm2445,2496l2439,2496,2439,2536,2445,2536,2445,2496xm2449,2496l2447,2496,2447,2536,2449,2536,2449,2496xm2445,2426l2439,2426,2439,2466,2445,2466,2445,2426xm2449,2426l2447,2426,2447,2466,2449,2466,2449,2426xm2445,2356l2439,2356,2439,2396,2445,2396,2445,2356xm2449,2356l2447,2356,2447,2396,2449,2396,2449,2356xm2445,2286l2439,2286,2439,2326,2445,2326,2445,2286xm2449,2286l2447,2286,2447,2326,2449,2326,2449,2286xm2445,2216l2439,2216,2439,2256,2445,2256,2445,2216xm2449,2216l2447,2216,2447,2256,2449,2256,2449,2216xm2445,2146l2439,2146,2439,2186,2445,2186,2445,2146xm2449,2146l2447,2146,2447,2186,2449,2186,2449,2146xm2445,2076l2439,2076,2439,2116,2445,2116,2445,2076xm2449,2076l2447,2076,2447,2116,2449,2116,2449,2076xm2445,2006l2439,2006,2439,2046,2445,2046,2445,2006xm2449,2006l2447,2006,2447,2046,2449,2046,2449,2006xm2445,1936l2439,1936,2439,1976,2445,1976,2445,1936xm2449,1936l2447,1936,2447,1976,2449,1976,2449,1936xm2445,1866l2439,1866,2439,1906,2445,1906,2445,1866xm2449,1866l2447,1866,2447,1906,2449,1906,2449,1866xm2445,1796l2439,1796,2439,1836,2445,1836,2445,1796xm2449,1796l2447,1796,2447,1836,2449,1836,2449,1796xm2445,1726l2439,1726,2439,1766,2445,1766,2445,1726xm2449,1726l2447,1726,2447,1766,2449,1766,2449,1726xm2445,1656l2439,1656,2439,1696,2445,1696,2445,1656xm2449,1656l2447,1656,2447,1696,2449,1696,2449,1656xm2445,1586l2439,1586,2439,1626,2445,1626,2445,1586xm2449,1586l2447,1586,2447,1626,2449,1626,2449,1586xm2445,1516l2439,1516,2439,1556,2445,1556,2445,1516xm2449,1516l2447,1516,2447,1556,2449,1556,2449,1516xm2445,1446l2439,1446,2439,1486,2445,1486,2445,1446xm2449,1446l2447,1446,2447,1486,2449,1486,2449,1446xm2445,1376l2439,1376,2439,1416,2445,1416,2445,1376xm2449,1376l2447,1376,2447,1416,2449,1416,2449,1376xm2445,1306l2439,1306,2439,1346,2445,1346,2445,1306xm2449,1306l2447,1306,2447,1346,2449,1346,2449,1306xm2445,1236l2439,1236,2439,1276,2445,1276,2445,1236xm2449,1236l2447,1236,2447,1276,2449,1276,2449,1236xm2445,1166l2439,1166,2439,1206,2445,1206,2445,1166xm2449,1166l2447,1166,2447,1206,2449,1206,2449,1166xm2445,1096l2439,1096,2439,1136,2445,1136,2445,1096xm2449,1096l2447,1096,2447,1136,2449,1136,2449,1096xm2445,1026l2439,1026,2439,1066,2445,1066,2445,1026xm2449,1026l2447,1026,2447,1066,2449,1066,2449,1026xm2445,956l2439,956,2439,996,2445,996,2445,956xm2449,956l2447,956,2447,996,2449,996,2449,956xm2445,886l2439,886,2439,926,2445,926,2445,886xm2449,886l2447,886,2447,926,2449,926,2449,886xm2492,859l2452,859,2452,865,2492,865,2492,859xm2492,867l2452,867,2452,869,2492,869,2492,867xm2562,859l2522,859,2522,865,2562,865,2562,859xm2562,867l2522,867,2522,869,2562,869,2562,867xm2632,859l2592,859,2592,865,2632,865,2632,859xm2632,867l2592,867,2592,869,2632,869,2632,867xm2702,859l2662,859,2662,865,2702,865,2702,859xm2702,867l2662,867,2662,869,2702,869,2702,867xm2772,859l2732,859,2732,865,2772,865,2772,859xm2772,867l2732,867,2732,869,2772,869,2772,867xm2842,859l2802,859,2802,865,2842,865,2842,859xm2842,867l2802,867,2802,869,2842,869,2842,867xm2912,859l2872,859,2872,865,2912,865,2912,859xm2912,867l2872,867,2872,869,2912,869,2912,867xm2982,859l2942,859,2942,865,2982,865,2982,859xm2982,867l2942,867,2942,869,2982,869,2982,867xm3052,859l3012,859,3012,865,3052,865,3052,859xm3052,867l3012,867,3012,869,3052,869,3052,867xm3122,859l3082,859,3082,865,3122,865,3122,859xm3122,867l3082,867,3082,869,3122,869,3122,867xm3192,859l3152,859,3152,865,3192,865,3192,859xm3192,867l3152,867,3152,869,3192,869,3192,867xm3262,859l3222,859,3222,865,3262,865,3262,859xm3262,867l3222,867,3222,869,3262,869,3262,867xm3332,859l3292,859,3292,865,3332,865,3332,859xm3332,867l3292,867,3292,869,3332,869,3332,867xm3402,859l3362,859,3362,865,3402,865,3402,859xm3402,867l3362,867,3362,869,3402,869,3402,867xm3472,859l3432,859,3432,865,3472,865,3472,859xm3472,867l3432,867,3432,869,3472,869,3472,867xm3542,859l3502,859,3502,865,3542,865,3542,859xm3542,867l3502,867,3502,869,3542,869,3542,867xm3612,859l3572,859,3572,865,3612,865,3612,859xm3612,867l3572,867,3572,869,3612,869,3612,867xm3682,859l3642,859,3642,865,3682,865,3682,859xm3682,867l3642,867,3642,869,3682,869,3682,867xm3752,859l3712,859,3712,865,3752,865,3752,859xm3752,867l3712,867,3712,869,3752,869,3752,867xm3822,859l3782,859,3782,865,3822,865,3822,859xm3822,867l3782,867,3782,869,3822,869,3822,867xm3892,859l3852,859,3852,865,3892,865,3892,859xm3892,867l3852,867,3852,869,3892,869,3892,867xm3962,859l3922,859,3922,865,3962,865,3962,859xm3962,867l3922,867,3922,869,3962,869,3962,867xm4032,859l3992,859,3992,865,4032,865,4032,859xm4032,867l3992,867,3992,869,4032,869,4032,867xm4102,859l4062,859,4062,865,4102,865,4102,859xm4102,867l4062,867,4062,869,4102,869,4102,867xm4172,859l4132,859,4132,865,4172,865,4172,859xm4172,867l4132,867,4132,869,4172,869,4172,867xm4242,859l4202,859,4202,865,4242,865,4242,859xm4242,867l4202,867,4202,869,4242,869,4242,867xm4312,859l4272,859,4272,865,4312,865,4312,859xm4312,867l4272,867,4272,869,4312,869,4312,867xm4382,859l4342,859,4342,865,4382,865,4382,859xm4382,867l4342,867,4342,869,4382,869,4382,867xm4452,859l4412,859,4412,865,4452,865,4452,859xm4452,867l4412,867,4412,869,4452,869,4452,867xm4522,859l4482,859,4482,865,4522,865,4522,859xm4522,867l4482,867,4482,869,4522,869,4522,867xm4592,859l4552,859,4552,865,4592,865,4592,859xm4592,867l4552,867,4552,869,4592,869,4592,867xm4662,859l4622,859,4622,865,4662,865,4662,859xm4662,867l4622,867,4622,869,4662,869,4662,867xm4732,859l4692,859,4692,865,4732,865,4732,859xm4732,867l4692,867,4692,869,4732,869,4732,867xm4802,859l4762,859,4762,865,4802,865,4802,859xm4802,867l4762,867,4762,869,4802,869,4802,867xm4872,859l4832,859,4832,865,4872,865,4872,859xm4872,867l4832,867,4832,869,4872,869,4872,867xm4942,859l4902,859,4902,865,4942,865,4942,859xm4942,867l4902,867,4902,869,4942,869,4942,867xm5012,859l4972,859,4972,865,5012,865,5012,859xm5012,867l4972,867,4972,869,5012,869,5012,867xm5082,859l5042,859,5042,865,5082,865,5082,859xm5082,867l5042,867,5042,869,5082,869,5082,867xm5152,859l5112,859,5112,865,5152,865,5152,859xm5152,867l5112,867,5112,869,5152,869,5152,867xm5222,859l5182,859,5182,865,5222,865,5222,859xm5222,867l5182,867,5182,869,5222,869,5222,867xm5292,859l5252,859,5252,865,5292,865,5292,859xm5292,867l5252,867,5252,869,5292,869,5292,867xm5362,859l5322,859,5322,865,5362,865,5362,859xm5362,867l5322,867,5322,869,5362,869,5362,867xm5432,859l5392,859,5392,865,5432,865,5432,859xm5432,867l5392,867,5392,869,5432,869,5432,867xm5502,859l5462,859,5462,865,5502,865,5502,859xm5502,867l5462,867,5462,869,5502,869,5502,867xm5572,859l5532,859,5532,865,5572,865,5572,859xm5572,867l5532,867,5532,869,5572,869,5572,867xm5642,859l5602,859,5602,865,5642,865,5642,859xm5642,867l5602,867,5602,869,5642,869,5642,867xm5712,859l5672,859,5672,865,5712,865,5712,859xm5712,867l5672,867,5672,869,5712,869,5712,867xm5782,859l5742,859,5742,865,5782,865,5782,859xm5782,867l5742,867,5742,869,5782,869,5782,867xm5852,859l5812,859,5812,865,5852,865,5852,859xm5852,867l5812,867,5812,869,5852,869,5852,867xm5922,859l5882,859,5882,865,5922,865,5922,859xm5922,867l5882,867,5882,869,5922,869,5922,867xm5992,859l5952,859,5952,865,5992,865,5992,859xm5992,867l5952,867,5952,869,5992,869,5992,867xm6062,859l6022,859,6022,865,6062,865,6062,859xm6062,867l6022,867,6022,869,6062,869,6062,867xm6132,859l6092,859,6092,865,6132,865,6132,859xm6132,867l6092,867,6092,869,6132,869,6132,867xm6202,859l6162,859,6162,865,6202,865,6202,859xm6202,867l6162,867,6162,869,6202,869,6202,867xm6272,859l6232,859,6232,865,6272,865,6272,859xm6272,867l6232,867,6232,869,6272,869,6272,867xm6342,859l6302,859,6302,865,6342,865,6342,859xm6342,867l6302,867,6302,869,6342,869,6342,867xm6412,859l6372,859,6372,865,6412,865,6412,859xm6412,867l6372,867,6372,869,6412,869,6412,867xm6482,859l6442,859,6442,865,6482,865,6482,859xm6482,867l6442,867,6442,869,6482,869,6482,867xm6552,859l6512,859,6512,865,6552,865,6552,859xm6552,867l6512,867,6512,869,6552,869,6552,867xm6622,859l6582,859,6582,865,6622,865,6622,859xm6622,867l6582,867,6582,869,6622,869,6622,867xm6692,859l6652,859,6652,865,6692,865,6692,859xm6692,867l6652,867,6652,869,6692,869,6692,867xm6762,859l6722,859,6722,865,6762,865,6762,859xm6762,867l6722,867,6722,869,6762,869,6762,867xm6832,859l6792,859,6792,865,6832,865,6832,859xm6832,867l6792,867,6792,869,6832,869,6832,867xm6902,859l6862,859,6862,865,6902,865,6902,859xm6902,867l6862,867,6862,869,6902,869,6902,867xm6972,859l6932,859,6932,865,6972,865,6972,859xm6972,867l6932,867,6932,869,6972,869,6972,867xm7042,859l7002,859,7002,865,7042,865,7042,859xm7042,867l7002,867,7002,869,7042,869,7042,867xm7112,859l7072,859,7072,865,7112,865,7112,859xm7112,867l7072,867,7072,869,7112,869,7112,867xm7182,859l7142,859,7142,865,7182,865,7182,859xm7182,867l7142,867,7142,869,7182,869,7182,867xm7252,859l7212,859,7212,865,7252,865,7252,859xm7252,867l7212,867,7212,869,7252,869,7252,867xm7322,859l7282,859,7282,865,7322,865,7322,859xm7322,867l7282,867,7282,869,7322,869,7322,867xm7392,859l7352,859,7352,865,7392,865,7392,859xm7392,867l7352,867,7352,869,7392,869,7392,867xm7462,859l7422,859,7422,865,7462,865,7462,859xm7462,867l7422,867,7422,869,7462,869,7462,867xm7532,859l7492,859,7492,865,7532,865,7532,859xm7532,867l7492,867,7492,869,7532,869,7532,867xm7602,859l7562,859,7562,865,7602,865,7602,859xm7602,867l7562,867,7562,869,7602,869,7602,867xm7672,859l7632,859,7632,865,7672,865,7672,859xm7672,867l7632,867,7632,869,7672,869,7672,867xm7742,859l7702,859,7702,865,7742,865,7742,859xm7742,867l7702,867,7702,869,7742,869,7742,867xm7812,859l7772,859,7772,865,7812,865,7812,859xm7812,867l7772,867,7772,869,7812,869,7812,867xm7882,859l7842,859,7842,865,7882,865,7882,859xm7882,867l7842,867,7842,869,7882,869,7882,867xm7952,859l7912,859,7912,865,7952,865,7952,859xm7952,867l7912,867,7912,869,7952,869,7952,867xm8022,859l7982,859,7982,865,8022,865,8022,859xm8022,867l7982,867,7982,869,8022,869,8022,867xm8092,859l8052,859,8052,865,8092,865,8092,859xm8092,867l8052,867,8052,869,8092,869,8092,867xm8162,859l8122,859,8122,865,8162,865,8162,859xm8162,867l8122,867,8122,869,8162,869,8162,867xm8232,859l8192,859,8192,865,8232,865,8232,859xm8232,867l8192,867,8192,869,8232,869,8232,867xm8302,859l8262,859,8262,865,8302,865,8302,859xm8302,867l8262,867,8262,869,8302,869,8302,867xm8372,859l8332,859,8332,865,8372,865,8372,859xm8372,867l8332,867,8332,869,8372,869,8372,867xm8442,859l8402,859,8402,865,8442,865,8442,859xm8442,867l8402,867,8402,869,8442,869,8442,867xm8512,859l8472,859,8472,865,8512,865,8512,859xm8512,867l8472,867,8472,869,8512,869,8512,867xm8582,859l8542,859,8542,865,8582,865,8582,859xm8582,867l8542,867,8542,869,8582,869,8582,867xm8652,859l8612,859,8612,865,8652,865,8652,859xm8652,867l8612,867,8612,869,8652,869,8652,867xm8722,859l8682,859,8682,865,8722,865,8722,859xm8722,867l8682,867,8682,869,8722,869,8722,867xm8792,859l8752,859,8752,865,8792,865,8792,859xm8792,867l8752,867,8752,869,8792,869,8792,867xm8862,859l8822,859,8822,865,8862,865,8862,859xm8862,867l8822,867,8822,869,8862,869,8862,867xm8932,859l8892,859,8892,865,8932,865,8932,859xm8932,867l8892,867,8892,869,8932,869,8932,867xm9002,859l8962,859,8962,865,9002,865,9002,859xm9002,867l8962,867,8962,869,9002,869,9002,867xm9072,859l9032,859,9032,865,9072,865,9072,859xm9072,867l9032,867,9032,869,9072,869,9072,867xm9142,859l9102,859,9102,865,9142,865,9142,859xm9142,867l9102,867,9102,869,9142,869,9142,867xm9212,859l9172,859,9172,865,9212,865,9212,859xm9212,867l9172,867,9172,869,9212,869,9212,867xm9282,859l9242,859,9242,865,9282,865,9282,859xm9282,867l9242,867,9242,869,9282,869,9282,867xm9352,859l9312,859,9312,865,9352,865,9352,859xm9352,867l9312,867,9312,869,9352,869,9352,867xm9422,859l9382,859,9382,865,9422,865,9422,859xm9422,867l9382,867,9382,869,9422,869,9422,867xm9492,859l9452,859,9452,865,9492,865,9492,859xm9492,867l9452,867,9452,869,9492,869,9492,867xm9562,859l9522,859,9522,865,9562,865,9562,859xm9562,867l9522,867,9522,869,9562,869,9562,867xm9632,859l9592,859,9592,865,9632,865,9632,859xm9632,867l9592,867,9592,869,9632,869,9632,867xm9702,859l9662,859,9662,865,9702,865,9702,859xm9702,867l9662,867,9662,869,9702,869,9702,867xm9772,859l9732,859,9732,865,9772,865,9772,859xm9772,867l9732,867,9732,869,9772,869,9772,867xm9842,859l9802,859,9802,865,9842,865,9842,859xm9842,867l9802,867,9802,869,9842,869,9842,867xm9912,859l9872,859,9872,865,9912,865,9912,859xm9912,867l9872,867,9872,869,9912,869,9912,867xm9982,859l9942,859,9942,865,9982,865,9982,859xm9982,867l9942,867,9942,869,9982,869,9982,867xm9988,893l9982,893,9982,933,9988,933,9988,893xm9980,893l9978,893,9978,933,9980,933,9980,893xm9988,963l9982,963,9982,1003,9988,1003,9988,963xm9980,963l9978,963,9978,1003,9980,1003,9980,963xm9988,1033l9982,1033,9982,1073,9988,1073,9988,1033xm9980,1033l9978,1033,9978,1073,9980,1073,9980,1033xm9988,1103l9982,1103,9982,1143,9988,1143,9988,1103xm9980,1103l9978,1103,9978,1143,9980,1143,9980,1103xm9988,1173l9982,1173,9982,1213,9988,1213,9988,1173xm9980,1173l9978,1173,9978,1213,9980,1213,9980,1173xm9988,1243l9982,1243,9982,1283,9988,1283,9988,1243xm9980,1243l9978,1243,9978,1283,9980,1283,9980,1243xm9988,1313l9982,1313,9982,1353,9988,1353,9988,1313xm9980,1313l9978,1313,9978,1353,9980,1353,9980,1313xm9988,1383l9982,1383,9982,1423,9988,1423,9988,1383xm9980,1383l9978,1383,9978,1423,9980,1423,9980,1383xm9988,1453l9982,1453,9982,1493,9988,1493,9988,1453xm9980,1453l9978,1453,9978,1493,9980,1493,9980,1453xm9988,1523l9982,1523,9982,1563,9988,1563,9988,1523xm9980,1523l9978,1523,9978,1563,9980,1563,9980,1523xm9988,1593l9982,1593,9982,1633,9988,1633,9988,1593xm9980,1593l9978,1593,9978,1633,9980,1633,9980,1593xm9988,1663l9982,1663,9982,1703,9988,1703,9988,1663xm9980,1663l9978,1663,9978,1703,9980,1703,9980,1663xm9988,1733l9982,1733,9982,1773,9988,1773,9988,1733xm9980,1733l9978,1733,9978,1773,9980,1773,9980,1733xm9988,1803l9982,1803,9982,1843,9988,1843,9988,1803xm9980,1803l9978,1803,9978,1843,9980,1843,9980,1803xm9988,1873l9982,1873,9982,1913,9988,1913,9988,1873xm9980,1873l9978,1873,9978,1913,9980,1913,9980,1873xm9988,1943l9982,1943,9982,1983,9988,1983,9988,1943xm9980,1943l9978,1943,9978,1983,9980,1983,9980,1943xm9988,2013l9982,2013,9982,2053,9988,2053,9988,2013xm9980,2013l9978,2013,9978,2053,9980,2053,9980,2013xm9988,2083l9982,2083,9982,2123,9988,2123,9988,2083xm9980,2083l9978,2083,9978,2123,9980,2123,9980,2083xm9988,2153l9982,2153,9982,2193,9988,2193,9988,2153xm9980,2153l9978,2153,9978,2193,9980,2193,9980,2153xm9988,2223l9982,2223,9982,2263,9988,2263,9988,2223xm9980,2223l9978,2223,9978,2263,9980,2263,9980,2223xm9988,2293l9982,2293,9982,2333,9988,2333,9988,2293xm9980,2293l9978,2293,9978,2333,9980,2333,9980,2293xm9988,2363l9982,2363,9982,2403,9988,2403,9988,2363xm9980,2363l9978,2363,9978,2403,9980,2403,9980,2363xm9988,2433l9982,2433,9982,2473,9988,2473,9988,2433xm9980,2433l9978,2433,9978,2473,9980,2473,9980,2433xm9988,2503l9982,2503,9982,2543,9988,2543,9988,2503xm9980,2503l9978,2503,9978,2543,9980,2543,9980,2503xm9988,2573l9982,2573,9982,2613,9988,2613,9988,2573xm9980,2573l9978,2573,9978,2613,9980,2613,9980,2573xm9988,2643l9982,2643,9982,2683,9988,2683,9988,2643xm9980,2643l9978,2643,9978,2683,9980,2683,9980,2643xm9988,2713l9982,2713,9982,2753,9988,2753,9988,2713xm9980,2713l9978,2713,9978,2753,9980,2753,9980,2713xm9988,2783l9982,2783,9982,2823,9988,2823,9988,2783xm9980,2783l9978,2783,9978,2823,9980,2823,9980,2783xm9988,2853l9982,2853,9982,2893,9988,2893,9988,2853xm9980,2853l9978,2853,9978,2893,9980,2893,9980,2853xm9988,2923l9982,2923,9982,2963,9988,2963,9988,2923xm9980,2923l9978,2923,9978,2963,9980,2963,9980,2923xm9988,2993l9982,2993,9982,3033,9988,3033,9988,2993xm9980,2993l9978,2993,9978,3033,9980,3033,9980,2993xm9988,3063l9982,3063,9982,3103,9988,3103,9988,3063xm9980,3063l9978,3063,9978,3103,9980,3103,9980,3063xm9988,3133l9982,3133,9982,3173,9988,3173,9988,3133xm9980,3133l9978,3133,9978,3173,9980,3173,9980,3133xm9988,3203l9982,3203,9982,3243,9988,3243,9988,3203xm9980,3203l9978,3203,9978,3243,9980,3243,9980,3203xm9988,3273l9982,3273,9982,3313,9988,3313,9988,3273xm9980,3273l9978,3273,9978,3313,9980,3313,9980,3273xm9988,3343l9982,3343,9982,3383,9988,3383,9988,3343xm9980,3343l9978,3343,9978,3383,9980,3383,9980,3343xm9988,3413l9982,3413,9982,3453,9988,3453,9988,3413xm9980,3413l9978,3413,9978,3453,9980,3453,9980,3413xm9988,3483l9982,3483,9982,3523,9988,3523,9988,3483xm9980,3483l9978,3483,9978,3523,9980,3523,9980,3483xm9988,3553l9982,3553,9982,3593,9988,3593,9988,3553xm9980,3553l9978,3553,9978,3593,9980,3593,9980,3553xm9988,3623l9982,3623,9982,3663,9988,3663,9988,3623xm9980,3623l9978,3623,9978,3663,9980,3663,9980,3623xm9988,3693l9982,3693,9982,3733,9988,3733,9988,3693xm9980,3693l9978,3693,9978,3733,9980,3733,9980,3693xm9988,3763l9982,3763,9982,3803,9988,3803,9988,3763xm9980,3763l9978,3763,9978,3803,9980,3803,9980,3763xm9988,3833l9982,3833,9982,3873,9988,3873,9988,3833xm9980,3833l9978,3833,9978,3873,9980,3873,9980,3833xm9988,3903l9982,3903,9982,3943,9988,3943,9988,3903xm9980,3903l9978,3903,9978,3943,9980,3943,9980,3903xm9988,3973l9982,3973,9982,4013,9988,4013,9988,3973xm9980,3973l9978,3973,9978,4013,9980,4013,9980,3973xm9988,4043l9982,4043,9982,4083,9988,4083,9988,4043xm9980,4043l9978,4043,9978,4083,9980,4083,9980,4043xm9988,4113l9982,4113,9982,4153,9988,4153,9988,4113xm9980,4113l9978,4113,9978,4153,9980,4153,9980,4113xm9988,4183l9982,4183,9982,4223,9988,4223,9988,4183xm9980,4183l9978,4183,9978,4223,9980,4223,9980,4183xm9988,4253l9982,4253,9982,4293,9988,4293,9988,4253xm9980,4253l9978,4253,9978,4293,9980,4293,9980,4253xm9988,4323l9982,4323,9982,4363,9988,4363,9988,4323xm9980,4323l9978,4323,9978,4363,9980,4363,9980,4323xm9988,4393l9982,4393,9982,4433,9988,4433,9988,4393xm9980,4393l9978,4393,9978,4433,9980,4433,9980,4393xm9988,4463l9982,4463,9982,4503,9988,4503,9988,4463xm9980,4463l9978,4463,9978,4503,9980,4503,9980,4463xm9988,4533l9982,4533,9982,4573,9988,4573,9988,4533xm9980,4533l9978,4533,9978,4573,9980,4573,9980,4533xm9988,4603l9982,4603,9982,4643,9988,4643,9988,4603xm9980,4603l9978,4603,9978,4643,9980,4643,9980,4603xm9988,4673l9982,4673,9982,4713,9988,4713,9988,4673xm9980,4673l9978,4673,9978,4713,9980,4713,9980,4673xm9988,4743l9982,4743,9982,4783,9988,4783,9988,4743xm9980,4743l9978,4743,9978,4783,9980,4783,9980,4743xm9988,4813l9982,4813,9982,4853,9988,4853,9988,4813xm9980,4813l9978,4813,9978,4853,9980,4853,9980,4813xm9988,4883l9982,4883,9982,4923,9988,4923,9988,4883xm9980,4883l9978,4883,9978,4923,9980,4923,9980,4883xm9988,4953l9982,4953,9982,4993,9988,4993,9988,4953xm9980,4953l9978,4953,9978,4993,9980,4993,9980,4953xm9988,5023l9982,5023,9982,5063,9988,5063,9988,5023xm9980,5023l9978,5023,9978,5063,9980,5063,9980,5023xm9988,5093l9982,5093,9982,5133,9988,5133,9988,5093xm9980,5093l9978,5093,9978,5133,9980,5133,9980,5093xm9988,5163l9982,5163,9982,5203,9988,5203,9988,5163xm9980,5163l9978,5163,9978,5203,9980,5203,9980,5163xm9988,5233l9982,5233,9982,5273,9988,5273,9988,5233xm9980,5233l9978,5233,9978,5273,9980,5273,9980,5233xm9988,5303l9982,5303,9982,5343,9988,5343,9988,5303xm9980,5303l9978,5303,9978,5343,9980,5343,9980,5303xm9988,5373l9982,5373,9982,5413,9988,5413,9988,5373xm9980,5373l9978,5373,9978,5413,9980,5413,9980,5373xm9988,5443l9982,5443,9982,5483,9988,5483,9988,5443xm9980,5443l9978,5443,9978,5483,9980,5483,9980,5443xm9988,5513l9982,5513,9982,5553,9988,5553,9988,5513xm9980,5513l9978,5513,9978,5553,9980,5553,9980,5513xm9988,5583l9982,5583,9982,5623,9988,5623,9988,5583xm9980,5583l9978,5583,9978,5623,9980,5623,9980,5583xm9988,5653l9982,5653,9982,5693,9988,5693,9988,5653xm9980,5653l9978,5653,9978,5693,9980,5693,9980,5653xm9988,5723l9982,5723,9982,5763,9988,5763,9988,5723xm9980,5723l9978,5723,9978,5763,9980,5763,9980,5723xm9988,5793l9982,5793,9982,5833,9988,5833,9988,5793xm9980,5793l9978,5793,9978,5833,9980,5833,9980,5793xm9988,5863l9982,5863,9982,5903,9988,5903,9988,5863xm9980,5863l9978,5863,9978,5903,9980,5903,9980,5863xm9988,5933l9982,5933,9982,5973,9988,5973,9988,5933xm9980,5933l9978,5933,9978,5973,9980,5973,9980,5933xm9988,6003l9982,6003,9982,6043,9988,6043,9988,6003xm9980,6003l9978,6003,9978,6043,9980,6043,9980,6003xm9988,6073l9982,6073,9982,6113,9988,6113,9988,6073xm9980,6073l9978,6073,9978,6113,9980,6113,9980,6073xm9988,6143l9982,6143,9982,6183,9988,6183,9988,6143xm9980,6143l9978,6143,9978,6183,9980,6183,9980,6143xm9988,6213l9982,6213,9982,6253,9988,6253,9988,6213xm9980,6213l9978,6213,9978,6253,9980,6253,9980,6213xm9988,6283l9982,6283,9982,6323,9988,6323,9988,6283xm9980,6283l9978,6283,9978,6323,9980,6323,9980,6283xm9988,6353l9982,6353,9982,6393,9988,6393,9988,6353xm9980,6353l9978,6353,9978,6393,9980,6393,9980,6353xm9988,6423l9982,6423,9982,6463,9988,6463,9988,6423xm9980,6423l9978,6423,9978,6463,9980,6463,9980,6423xm9988,6493l9982,6493,9982,6533,9988,6533,9988,6493xm9980,6493l9978,6493,9978,6533,9980,6533,9980,6493xm9988,6563l9982,6563,9982,6603,9988,6603,9988,6563xm9980,6563l9978,6563,9978,6603,9980,6603,9980,6563xm9988,6633l9982,6633,9982,6673,9988,6673,9988,6633xm9980,6633l9978,6633,9978,6673,9980,6673,9980,6633xm9988,6703l9982,6703,9982,6743,9988,6743,9988,6703xm9980,6703l9978,6703,9978,6743,9980,6743,9980,6703xm9988,6773l9982,6773,9982,6813,9988,6813,9988,6773xm9980,6773l9978,6773,9978,6813,9980,6813,9980,6773xm9988,6843l9982,6843,9982,6883,9988,6883,9988,6843xm9980,6843l9978,6843,9978,6883,9980,6883,9980,6843xm9988,6913l9982,6913,9982,6953,9988,6953,9988,6913xm9980,6913l9978,6913,9978,6953,9980,6953,9980,6913xm9988,6983l9982,6983,9982,7023,9988,7023,9988,6983xm9980,6983l9978,6983,9978,7023,9980,7023,9980,6983xm9988,7053l9982,7053,9982,7093,9988,7093,9988,7053xm9980,7053l9978,7053,9978,7093,9980,7093,9980,7053xm9988,7123l9982,7123,9982,7163,9988,7163,9988,7123xm9980,7123l9978,7123,9978,7163,9980,7163,9980,7123xm9988,7193l9982,7193,9982,7225,9976,7225,9976,7231,9986,7231,9988,7228,9988,7193xm9980,7193l9978,7193,9978,7221,9976,7221,9976,7223,9980,7223,9980,7193xm9946,7225l9906,7225,9906,7231,9946,7231,9946,7225xm9946,7221l9906,7221,9906,7223,9946,7223,9946,7221xm9876,7225l9836,7225,9836,7231,9876,7231,9876,7225xm9876,7221l9836,7221,9836,7223,9876,7223,9876,7221xm9806,7225l9766,7225,9766,7231,9806,7231,9806,7225xm9806,7221l9766,7221,9766,7223,9806,7223,9806,7221xm9736,7225l9696,7225,9696,7231,9736,7231,9736,7225xm9736,7221l9696,7221,9696,7223,9736,7223,9736,7221xm9666,7225l9626,7225,9626,7231,9666,7231,9666,7225xm9666,7221l9626,7221,9626,7223,9666,7223,9666,7221xm9596,7225l9556,7225,9556,7231,9596,7231,9596,7225xm9596,7221l9556,7221,9556,7223,9596,7223,9596,7221xm9526,7225l9486,7225,9486,7231,9526,7231,9526,7225xm9526,7221l9486,7221,9486,7223,9526,7223,9526,7221xm9456,7225l9416,7225,9416,7231,9456,7231,9456,7225xm9456,7221l9416,7221,9416,7223,9456,7223,9456,7221xm9386,7225l9346,7225,9346,7231,9386,7231,9386,7225xm9386,7221l9346,7221,9346,7223,9386,7223,9386,7221xm9316,7225l9276,7225,9276,7231,9316,7231,9316,7225xm9316,7221l9276,7221,9276,7223,9316,7223,9316,7221xm9246,7225l9206,7225,9206,7231,9246,7231,9246,7225xm9246,7221l9206,7221,9206,7223,9246,7223,9246,7221xm9176,7225l9136,7225,9136,7231,9176,7231,9176,7225xm9176,7221l9136,7221,9136,7223,9176,7223,9176,7221xm9106,7225l9066,7225,9066,7231,9106,7231,9106,7225xm9106,7221l9066,7221,9066,7223,9106,7223,9106,7221xm9036,7225l8996,7225,8996,7231,9036,7231,9036,7225xm9036,7221l8996,7221,8996,7223,9036,7223,9036,7221xm8966,7225l8926,7225,8926,7231,8966,7231,8966,7225xm8966,7221l8926,7221,8926,7223,8966,7223,8966,7221xm8896,7225l8856,7225,8856,7231,8896,7231,8896,7225xm8896,7221l8856,7221,8856,7223,8896,7223,8896,7221xm8826,7225l8786,7225,8786,7231,8826,7231,8826,7225xm8826,7221l8786,7221,8786,7223,8826,7223,8826,7221xm8756,7225l8716,7225,8716,7231,8756,7231,8756,7225xm8756,7221l8716,7221,8716,7223,8756,7223,8756,7221xm8686,7225l8646,7225,8646,7231,8686,7231,8686,7225xm8686,7221l8646,7221,8646,7223,8686,7223,8686,7221xm8616,7225l8576,7225,8576,7231,8616,7231,8616,7225xm8616,7221l8576,7221,8576,7223,8616,7223,8616,7221xm8546,7225l8506,7225,8506,7231,8546,7231,8546,7225xm8546,7221l8506,7221,8506,7223,8546,7223,8546,7221xm8476,7225l8436,7225,8436,7231,8476,7231,8476,7225xm8476,7221l8436,7221,8436,7223,8476,7223,8476,7221xm8406,7225l8366,7225,8366,7231,8406,7231,8406,7225xm8406,7221l8366,7221,8366,7223,8406,7223,8406,7221xm8336,7225l8296,7225,8296,7231,8336,7231,8336,7225xm8336,7221l8296,7221,8296,7223,8336,7223,8336,7221xm8266,7225l8226,7225,8226,7231,8266,7231,8266,7225xm8266,7221l8226,7221,8226,7223,8266,7223,8266,7221xm8196,7225l8156,7225,8156,7231,8196,7231,8196,7225xm8196,7221l8156,7221,8156,7223,8196,7223,8196,7221xm8126,7225l8086,7225,8086,7231,8126,7231,8126,7225xm8126,7221l8086,7221,8086,7223,8126,7223,8126,7221xm8056,7225l8016,7225,8016,7231,8056,7231,8056,7225xm8056,7221l8016,7221,8016,7223,8056,7223,8056,7221xm7986,7225l7946,7225,7946,7231,7986,7231,7986,7225xm7986,7221l7946,7221,7946,7223,7986,7223,7986,7221xm7916,7225l7876,7225,7876,7231,7916,7231,7916,7225xm7916,7221l7876,7221,7876,7223,7916,7223,7916,7221xm7846,7225l7806,7225,7806,7231,7846,7231,7846,7225xm7846,7221l7806,7221,7806,7223,7846,7223,7846,7221xm7776,7225l7736,7225,7736,7231,7776,7231,7776,7225xm7776,7221l7736,7221,7736,7223,7776,7223,7776,7221xm7706,7225l7666,7225,7666,7231,7706,7231,7706,7225xm7706,7221l7666,7221,7666,7223,7706,7223,7706,7221xm7636,7225l7596,7225,7596,7231,7636,7231,7636,7225xm7636,7221l7596,7221,7596,7223,7636,7223,7636,7221xm7566,7225l7526,7225,7526,7231,7566,7231,7566,7225xm7566,7221l7526,7221,7526,7223,7566,7223,7566,7221xm7496,7225l7456,7225,7456,7231,7496,7231,7496,7225xm7496,7221l7456,7221,7456,7223,7496,7223,7496,7221xm7426,7225l7386,7225,7386,7231,7426,7231,7426,7225xm7426,7221l7386,7221,7386,7223,7426,7223,7426,7221xm7356,7225l7316,7225,7316,7231,7356,7231,7356,7225xm7356,7221l7316,7221,7316,7223,7356,7223,7356,7221xm7286,7225l7246,7225,7246,7231,7286,7231,7286,7225xm7286,7221l7246,7221,7246,7223,7286,7223,7286,7221xm7216,7225l7176,7225,7176,7231,7216,7231,7216,7225xm7216,7221l7176,7221,7176,7223,7216,7223,7216,7221xm7146,7225l7106,7225,7106,7231,7146,7231,7146,7225xm7146,7221l7106,7221,7106,7223,7146,7223,7146,7221xm7076,7225l7036,7225,7036,7231,7076,7231,7076,7225xm7076,7221l7036,7221,7036,7223,7076,7223,7076,7221xm7006,7225l6966,7225,6966,7231,7006,7231,7006,7225xm7006,7221l6966,7221,6966,7223,7006,7223,7006,7221xm6936,7225l6896,7225,6896,7231,6936,7231,6936,7225xm6936,7221l6896,7221,6896,7223,6936,7223,6936,7221xm6866,7225l6826,7225,6826,7231,6866,7231,6866,7225xm6866,7221l6826,7221,6826,7223,6866,7223,6866,7221xm6796,7225l6756,7225,6756,7231,6796,7231,6796,7225xm6796,7221l6756,7221,6756,7223,6796,7223,6796,7221xm6726,7225l6686,7225,6686,7231,6726,7231,6726,7225xm6726,7221l6686,7221,6686,7223,6726,7223,6726,7221xm6656,7225l6616,7225,6616,7231,6656,7231,6656,7225xm6656,7221l6616,7221,6616,7223,6656,7223,6656,7221xm6586,7225l6546,7225,6546,7231,6586,7231,6586,7225xm6586,7221l6546,7221,6546,7223,6586,7223,6586,7221xm6516,7225l6476,7225,6476,7231,6516,7231,6516,7225xm6516,7221l6476,7221,6476,7223,6516,7223,6516,7221xm6446,7225l6406,7225,6406,7231,6446,7231,6446,7225xm6446,7221l6406,7221,6406,7223,6446,7223,6446,7221xm6376,7225l6336,7225,6336,7231,6376,7231,6376,7225xm6376,7221l6336,7221,6336,7223,6376,7223,6376,7221xm6306,7225l6266,7225,6266,7231,6306,7231,6306,7225xm6306,7221l6266,7221,6266,7223,6306,7223,6306,7221xm6236,7225l6196,7225,6196,7231,6236,7231,6236,7225xm6236,7221l6196,7221,6196,7223,6236,7223,6236,7221xm6166,7225l6126,7225,6126,7231,6166,7231,6166,7225xm6166,7221l6126,7221,6126,7223,6166,7223,6166,7221xm6096,7225l6056,7225,6056,7231,6096,7231,6096,7225xm6096,7221l6056,7221,6056,7223,6096,7223,6096,7221xm6026,7225l5986,7225,5986,7231,6026,7231,6026,7225xm6026,7221l5986,7221,5986,7223,6026,7223,6026,7221xm5956,7225l5916,7225,5916,7231,5956,7231,5956,7225xm5956,7221l5916,7221,5916,7223,5956,7223,5956,7221xm5886,7225l5846,7225,5846,7231,5886,7231,5886,7225xm5886,7221l5846,7221,5846,7223,5886,7223,5886,7221xm5816,7225l5776,7225,5776,7231,5816,7231,5816,7225xm5816,7221l5776,7221,5776,7223,5816,7223,5816,7221xm5746,7225l5706,7225,5706,7231,5746,7231,5746,7225xm5746,7221l5706,7221,5706,7223,5746,7223,5746,7221xm5676,7225l5636,7225,5636,7231,5676,7231,5676,7225xm5676,7221l5636,7221,5636,7223,5676,7223,5676,7221xm5606,7225l5566,7225,5566,7231,5606,7231,5606,7225xm5606,7221l5566,7221,5566,7223,5606,7223,5606,7221xm5536,7225l5496,7225,5496,7231,5536,7231,5536,7225xm5536,7221l5496,7221,5496,7223,5536,7223,5536,7221xm5466,7225l5426,7225,5426,7231,5466,7231,5466,7225xm5466,7221l5426,7221,5426,7223,5466,7223,5466,7221xm5396,7225l5356,7225,5356,7231,5396,7231,5396,7225xm5396,7221l5356,7221,5356,7223,5396,7223,5396,7221xm5326,7225l5286,7225,5286,7231,5326,7231,5326,7225xm5326,7221l5286,7221,5286,7223,5326,7223,5326,7221xm5256,7225l5216,7225,5216,7231,5256,7231,5256,7225xm5256,7221l5216,7221,5216,7223,5256,7223,5256,7221xm5186,7225l5146,7225,5146,7231,5186,7231,5186,7225xm5186,7221l5146,7221,5146,7223,5186,7223,5186,7221xm5116,7225l5076,7225,5076,7231,5116,7231,5116,7225xm5116,7221l5076,7221,5076,7223,5116,7223,5116,7221xm5046,7225l5006,7225,5006,7231,5046,7231,5046,7225xm5046,7221l5006,7221,5006,7223,5046,7223,5046,7221xm4976,7225l4936,7225,4936,7231,4976,7231,4976,7225xm4976,7221l4936,7221,4936,7223,4976,7223,4976,7221xm4906,7225l4866,7225,4866,7231,4906,7231,4906,7225xm4906,7221l4866,7221,4866,7223,4906,7223,4906,7221xm4836,7225l4796,7225,4796,7231,4836,7231,4836,7225xm4836,7221l4796,7221,4796,7223,4836,7223,4836,7221xm4766,7225l4726,7225,4726,7231,4766,7231,4766,7225xm4766,7221l4726,7221,4726,7223,4766,7223,4766,7221xm4696,7225l4656,7225,4656,7231,4696,7231,4696,7225xm4696,7221l4656,7221,4656,7223,4696,7223,4696,7221xm4626,7225l4586,7225,4586,7231,4626,7231,4626,7225xm4626,7221l4586,7221,4586,7223,4626,7223,4626,7221xm4556,7225l4516,7225,4516,7231,4556,7231,4556,7225xm4556,7221l4516,7221,4516,7223,4556,7223,4556,7221xm4486,7225l4446,7225,4446,7231,4486,7231,4486,7225xm4486,7221l4446,7221,4446,7223,4486,7223,4486,7221xm4416,7225l4376,7225,4376,7231,4416,7231,4416,7225xm4416,7221l4376,7221,4376,7223,4416,7223,4416,7221xm4346,7225l4306,7225,4306,7231,4346,7231,4346,7225xm4346,7221l4306,7221,4306,7223,4346,7223,4346,7221xm4276,7225l4236,7225,4236,7231,4276,7231,4276,7225xm4276,7221l4236,7221,4236,7223,4276,7223,4276,7221xm4206,7225l4166,7225,4166,7231,4206,7231,4206,7225xm4206,7221l4166,7221,4166,7223,4206,7223,4206,7221xm4136,7225l4096,7225,4096,7231,4136,7231,4136,7225xm4136,7221l4096,7221,4096,7223,4136,7223,4136,7221xm4066,7225l4026,7225,4026,7231,4066,7231,4066,7225xm4066,7221l4026,7221,4026,7223,4066,7223,4066,7221xm3996,7225l3956,7225,3956,7231,3996,7231,3996,7225xm3996,7221l3956,7221,3956,7223,3996,7223,3996,7221xm3926,7225l3886,7225,3886,7231,3926,7231,3926,7225xm3926,7221l3886,7221,3886,7223,3926,7223,3926,7221xm3856,7225l3816,7225,3816,7231,3856,7231,3856,7225xm3856,7221l3816,7221,3816,7223,3856,7223,3856,7221xm3786,7225l3746,7225,3746,7231,3786,7231,3786,7225xm3786,7221l3746,7221,3746,7223,3786,7223,3786,7221xm3716,7225l3676,7225,3676,7231,3716,7231,3716,7225xm3716,7221l3676,7221,3676,7223,3716,7223,3716,7221xm3646,7225l3606,7225,3606,7231,3646,7231,3646,7225xm3646,7221l3606,7221,3606,7223,3646,7223,3646,7221xm3576,7225l3536,7225,3536,7231,3576,7231,3576,7225xm3576,7221l3536,7221,3536,7223,3576,7223,3576,7221xm3506,7225l3466,7225,3466,7231,3506,7231,3506,7225xm3506,7221l3466,7221,3466,7223,3506,7223,3506,7221xm3436,7225l3396,7225,3396,7231,3436,7231,3436,7225xm3436,7221l3396,7221,3396,7223,3436,7223,3436,7221xm3366,7225l3326,7225,3326,7231,3366,7231,3366,7225xm3366,7221l3326,7221,3326,7223,3366,7223,3366,7221xm3296,7225l3256,7225,3256,7231,3296,7231,3296,7225xm3296,7221l3256,7221,3256,7223,3296,7223,3296,7221xm3226,7225l3186,7225,3186,7231,3226,7231,3226,7225xm3226,7221l3186,7221,3186,7223,3226,7223,3226,7221xm3156,7225l3116,7225,3116,7231,3156,7231,3156,7225xm3156,7221l3116,7221,3116,7223,3156,7223,3156,7221xm3086,7225l3046,7225,3046,7231,3086,7231,3086,7225xm3086,7221l3046,7221,3046,7223,3086,7223,3086,7221xm3016,7225l2976,7225,2976,7231,3016,7231,3016,7225xm3016,7221l2976,7221,2976,7223,3016,7223,3016,7221xm2946,7225l2906,7225,2906,7231,2946,7231,2946,7225xm2946,7221l2906,7221,2906,7223,2946,7223,2946,7221xm2876,7225l2836,7225,2836,7231,2876,7231,2876,7225xm2876,7221l2836,7221,2836,7223,2876,7223,2876,7221xm2806,7225l2766,7225,2766,7231,2806,7231,2806,7225xm2806,7221l2766,7221,2766,7223,2806,7223,2806,7221xm2736,7225l2696,7225,2696,7231,2736,7231,2736,7225xm2736,7221l2696,7221,2696,7223,2736,7223,2736,7221xm2666,7225l2626,7225,2626,7231,2666,7231,2666,7225xm2666,7221l2626,7221,2626,7223,2666,7223,2666,7221xm2596,7225l2556,7225,2556,7231,2596,7231,2596,7225xm2596,7221l2556,7221,2556,7223,2596,7223,2596,7221xm2526,7225l2486,7225,2486,7231,2526,7231,2526,7225xm2526,7221l2486,7221,2486,7223,2526,7223,2526,7221xe" filled="true" fillcolor="#000000" stroked="false">
              <v:path arrowok="t"/>
              <v:fill type="solid"/>
            </v:shape>
            <v:rect style="position:absolute;left:3990;top:549;width:4260;height:675" filled="true" fillcolor="#4584d2" stroked="false">
              <v:fill type="solid"/>
            </v:rect>
            <v:shape style="position:absolute;left:3564;top:1494;width:5017;height:728" type="#_x0000_t75" stroked="false">
              <v:imagedata r:id="rId145" o:title=""/>
            </v:shape>
            <v:shape style="position:absolute;left:4555;top:2617;width:2948;height:1525" type="#_x0000_t75" stroked="false">
              <v:imagedata r:id="rId146" o:title=""/>
            </v:shape>
            <v:shape style="position:absolute;left:3564;top:4688;width:5017;height:728" type="#_x0000_t75" stroked="false">
              <v:imagedata r:id="rId145" o:title=""/>
            </v:shape>
            <v:shape style="position:absolute;left:8171;top:2034;width:158;height:2655" coordorigin="8171,2034" coordsize="158,2655" path="m8180,4545l8173,4549,8171,4554,8174,4557,8250,4689,8259,4674,8242,4674,8242,4646,8186,4550,8184,4546,8180,4545xm8242,4646l8242,4674,8257,4674,8257,4670,8244,4670,8250,4659,8242,4646xm8320,4545l8316,4546,8314,4550,8258,4646,8257,4674,8259,4674,8326,4557,8329,4554,8327,4549,8320,4545xm8250,4659l8244,4670,8256,4670,8250,4659xm8257,4646l8250,4659,8256,4670,8257,4670,8257,4646xm8250,2063l8243,2076,8243,4646,8250,4659,8257,4646,8257,2076,8250,2063xm8250,2034l8174,2165,8171,2168,8173,2173,8176,2175,8180,2177,8184,2176,8186,2172,8242,2076,8242,2048,8259,2048,8250,2034xm8259,2048l8257,2048,8258,2076,8314,2172,8316,2176,8320,2177,8324,2175,8327,2173,8329,2168,8326,2165,8259,2048xm8257,2048l8242,2048,8242,2076,8250,2063,8244,2052,8257,2052,8257,2048xm8257,2052l8256,2052,8250,2063,8257,2076,8257,2052xm8256,2052l8244,2052,8250,2063,8256,2052xe" filled="true" fillcolor="#000000" stroked="false">
              <v:path arrowok="t"/>
              <v:fill type="solid"/>
            </v:shape>
            <v:rect style="position:absolute;left:3096;top:6410;width:6420;height:540" filled="false" stroked="true" strokeweight=".5pt" strokecolor="#000000"/>
            <v:shape style="position:absolute;left:3806;top:2034;width:158;height:2655" coordorigin="3806,2034" coordsize="158,2655" path="m3815,4545l3808,4549,3806,4554,3809,4557,3885,4689,3894,4674,3878,4674,3877,4646,3821,4550,3819,4546,3815,4545xm3878,4646l3878,4674,3893,4674,3893,4670,3879,4670,3885,4659,3878,4646xm3955,4545l3951,4546,3949,4550,3893,4646,3893,4674,3894,4674,3961,4557,3964,4554,3962,4549,3955,4545xm3885,4659l3879,4670,3891,4670,3885,4659xm3893,4646l3885,4659,3891,4670,3893,4670,3893,4646xm3885,2063l3878,2076,3878,4646,3885,4659,3892,4646,3892,2076,3885,2063xm3885,2034l3809,2165,3806,2168,3808,2173,3811,2175,3815,2177,3819,2176,3821,2172,3877,2076,3877,2048,3894,2048,3885,2034xm3894,2048l3892,2048,3893,2076,3949,2172,3951,2176,3955,2177,3959,2175,3962,2173,3964,2168,3961,2165,3894,2048xm3892,2048l3877,2048,3877,2076,3885,2063,3879,2052,3892,2052,3892,2048xm3892,2052l3891,2052,3885,2063,3892,2076,3892,2052xm3891,2052l3879,2052,3885,2063,3891,2052xe" filled="true" fillcolor="#000000" stroked="false">
              <v:path arrowok="t"/>
              <v:fill type="solid"/>
            </v:shape>
            <v:rect style="position:absolute;left:3242;top:3025;width:1246;height:467" filled="false" stroked="true" strokeweight=".5pt" strokecolor="#000000"/>
            <v:rect style="position:absolute;left:7652;top:3023;width:1246;height:467" filled="false" stroked="true" strokeweight=".5pt" strokecolor="#000000"/>
            <v:shape style="position:absolute;left:6041;top:5334;width:158;height:1020" coordorigin="6041,5334" coordsize="158,1020" path="m6050,6210l6046,6212,6043,6215,6041,6219,6044,6223,6120,6354,6129,6339,6112,6339,6112,6311,6056,6215,6054,6212,6050,6210xm6112,6311l6112,6339,6127,6339,6127,6335,6114,6335,6120,6324,6112,6311xm6190,6210l6186,6212,6184,6215,6128,6311,6127,6339,6129,6339,6196,6223,6199,6219,6197,6215,6194,6212,6190,6210xm6120,6324l6114,6335,6126,6335,6120,6324xm6127,6311l6120,6324,6126,6335,6127,6335,6127,6311xm6127,5334l6112,5334,6113,6311,6120,6324,6127,6311,6127,5334xe" filled="true" fillcolor="#000000" stroked="false">
              <v:path arrowok="t"/>
              <v:fill type="solid"/>
            </v:shape>
            <v:rect style="position:absolute;left:5567;top:5602;width:1246;height:467" filled="false" stroked="true" strokeweight=".5pt" strokecolor="#000000"/>
            <v:shape style="position:absolute;left:10140;top:834;width:495;height:975" type="#_x0000_t202" filled="false" stroked="false">
              <v:textbox inset="0,0,0,0">
                <w:txbxContent>
                  <w:p>
                    <w:pPr>
                      <w:spacing w:before="75"/>
                      <w:ind w:left="0" w:right="-113" w:firstLine="0"/>
                      <w:jc w:val="right"/>
                      <w:rPr>
                        <w:sz w:val="24"/>
                      </w:rPr>
                    </w:pPr>
                    <w:r>
                      <w:rPr>
                        <w:w w:val="99"/>
                        <w:sz w:val="24"/>
                      </w:rPr>
                      <w:t>C</w:t>
                    </w:r>
                  </w:p>
                  <w:p>
                    <w:pPr>
                      <w:spacing w:before="41"/>
                      <w:ind w:left="254" w:right="-6" w:firstLine="0"/>
                      <w:jc w:val="left"/>
                      <w:rPr>
                        <w:sz w:val="24"/>
                      </w:rPr>
                    </w:pPr>
                    <w:r>
                      <w:rPr>
                        <w:sz w:val="24"/>
                      </w:rPr>
                      <w:t>Hi</w:t>
                    </w:r>
                  </w:p>
                </w:txbxContent>
              </v:textbox>
              <w10:wrap type="none"/>
            </v:shape>
            <v:shape style="position:absolute;left:10635;top:834;width:1200;height:975" type="#_x0000_t202" filled="false" stroked="false">
              <v:textbox inset="0,0,0,0">
                <w:txbxContent>
                  <w:p>
                    <w:pPr>
                      <w:spacing w:line="276" w:lineRule="auto" w:before="75"/>
                      <w:ind w:left="-16" w:right="235" w:firstLine="127"/>
                      <w:jc w:val="left"/>
                      <w:rPr>
                        <w:sz w:val="24"/>
                      </w:rPr>
                    </w:pPr>
                    <w:r>
                      <w:rPr>
                        <w:sz w:val="24"/>
                      </w:rPr>
                      <w:t>uenca drosocial</w:t>
                    </w:r>
                  </w:p>
                </w:txbxContent>
              </v:textbox>
              <w10:wrap type="none"/>
            </v:shape>
            <v:shape style="position:absolute;left:4772;top:1614;width:2604;height:240" type="#_x0000_t202" filled="false" stroked="false">
              <v:textbox inset="0,0,0,0">
                <w:txbxContent>
                  <w:p>
                    <w:pPr>
                      <w:spacing w:line="240" w:lineRule="exact" w:before="0"/>
                      <w:ind w:left="0" w:right="-12" w:firstLine="0"/>
                      <w:jc w:val="left"/>
                      <w:rPr>
                        <w:b/>
                        <w:sz w:val="24"/>
                      </w:rPr>
                    </w:pPr>
                    <w:r>
                      <w:rPr>
                        <w:b/>
                        <w:sz w:val="24"/>
                      </w:rPr>
                      <w:t>Autoridades</w:t>
                    </w:r>
                    <w:r>
                      <w:rPr>
                        <w:b/>
                        <w:spacing w:val="-19"/>
                        <w:sz w:val="24"/>
                      </w:rPr>
                      <w:t> </w:t>
                    </w:r>
                    <w:r>
                      <w:rPr>
                        <w:b/>
                        <w:sz w:val="24"/>
                      </w:rPr>
                      <w:t>Auxiliares</w:t>
                    </w:r>
                  </w:p>
                </w:txbxContent>
              </v:textbox>
              <w10:wrap type="none"/>
            </v:shape>
            <v:shape style="position:absolute;left:4931;top:2743;width:2204;height:658" type="#_x0000_t202" filled="false" stroked="false">
              <v:textbox inset="0,0,0,0">
                <w:txbxContent>
                  <w:p>
                    <w:pPr>
                      <w:spacing w:line="287" w:lineRule="exact" w:before="0"/>
                      <w:ind w:left="0" w:right="0" w:firstLine="0"/>
                      <w:jc w:val="center"/>
                      <w:rPr>
                        <w:b/>
                        <w:sz w:val="28"/>
                      </w:rPr>
                    </w:pPr>
                    <w:r>
                      <w:rPr>
                        <w:b/>
                        <w:sz w:val="28"/>
                      </w:rPr>
                      <w:t>EL</w:t>
                    </w:r>
                  </w:p>
                  <w:p>
                    <w:pPr>
                      <w:spacing w:line="316" w:lineRule="exact" w:before="55"/>
                      <w:ind w:left="0" w:right="0" w:firstLine="0"/>
                      <w:jc w:val="center"/>
                      <w:rPr>
                        <w:b/>
                        <w:sz w:val="28"/>
                      </w:rPr>
                    </w:pPr>
                    <w:r>
                      <w:rPr>
                        <w:b/>
                        <w:spacing w:val="-6"/>
                        <w:sz w:val="28"/>
                      </w:rPr>
                      <w:t>AYUNTAMIENTO</w:t>
                    </w:r>
                  </w:p>
                </w:txbxContent>
              </v:textbox>
              <w10:wrap type="none"/>
            </v:shape>
            <v:shape style="position:absolute;left:4554;top:4819;width:3041;height:240" type="#_x0000_t202" filled="false" stroked="false">
              <v:textbox inset="0,0,0,0">
                <w:txbxContent>
                  <w:p>
                    <w:pPr>
                      <w:spacing w:line="240" w:lineRule="exact" w:before="0"/>
                      <w:ind w:left="0" w:right="-20" w:firstLine="0"/>
                      <w:jc w:val="left"/>
                      <w:rPr>
                        <w:b/>
                        <w:sz w:val="24"/>
                      </w:rPr>
                    </w:pPr>
                    <w:r>
                      <w:rPr>
                        <w:b/>
                        <w:sz w:val="24"/>
                      </w:rPr>
                      <w:t>Gobierno Estatal y Federal</w:t>
                    </w:r>
                  </w:p>
                </w:txbxContent>
              </v:textbox>
              <w10:wrap type="none"/>
            </v:shape>
            <v:shape style="position:absolute;left:3990;top:549;width:4260;height:675" type="#_x0000_t202" filled="true" fillcolor="#4584d2" stroked="true" strokeweight=".5pt" strokecolor="#000000">
              <v:textbox inset="0,0,0,0">
                <w:txbxContent>
                  <w:p>
                    <w:pPr>
                      <w:spacing w:before="75"/>
                      <w:ind w:left="450" w:right="0" w:firstLine="0"/>
                      <w:jc w:val="left"/>
                      <w:rPr>
                        <w:b/>
                        <w:sz w:val="28"/>
                      </w:rPr>
                    </w:pPr>
                    <w:r>
                      <w:rPr>
                        <w:b/>
                        <w:sz w:val="28"/>
                      </w:rPr>
                      <w:t>ACTORES MUNICIPALES</w:t>
                    </w:r>
                  </w:p>
                </w:txbxContent>
              </v:textbox>
              <v:fill type="solid"/>
              <w10:wrap type="none"/>
            </v:shape>
            <v:shape style="position:absolute;left:3242;top:3025;width:1246;height:467" type="#_x0000_t202" filled="true" fillcolor="#4f81bc" stroked="false">
              <v:textbox inset="0,0,0,0">
                <w:txbxContent>
                  <w:p>
                    <w:pPr>
                      <w:spacing w:before="75"/>
                      <w:ind w:left="255" w:right="0" w:firstLine="0"/>
                      <w:jc w:val="left"/>
                      <w:rPr>
                        <w:sz w:val="22"/>
                      </w:rPr>
                    </w:pPr>
                    <w:r>
                      <w:rPr>
                        <w:sz w:val="22"/>
                      </w:rPr>
                      <w:t>Vínculo</w:t>
                    </w:r>
                  </w:p>
                </w:txbxContent>
              </v:textbox>
              <v:fill type="solid"/>
              <w10:wrap type="none"/>
            </v:shape>
            <v:shape style="position:absolute;left:7652;top:3023;width:1246;height:467" type="#_x0000_t202" filled="true" fillcolor="#4f81bc" stroked="false">
              <v:textbox inset="0,0,0,0">
                <w:txbxContent>
                  <w:p>
                    <w:pPr>
                      <w:spacing w:before="75"/>
                      <w:ind w:left="255" w:right="0" w:firstLine="0"/>
                      <w:jc w:val="left"/>
                      <w:rPr>
                        <w:sz w:val="22"/>
                      </w:rPr>
                    </w:pPr>
                    <w:r>
                      <w:rPr>
                        <w:sz w:val="22"/>
                      </w:rPr>
                      <w:t>Vínculo</w:t>
                    </w:r>
                  </w:p>
                </w:txbxContent>
              </v:textbox>
              <v:fill type="solid"/>
              <w10:wrap type="none"/>
            </v:shape>
            <v:shape style="position:absolute;left:5567;top:5602;width:1246;height:467" type="#_x0000_t202" filled="true" fillcolor="#4f81bc" stroked="false">
              <v:textbox inset="0,0,0,0">
                <w:txbxContent>
                  <w:p>
                    <w:pPr>
                      <w:spacing w:before="76"/>
                      <w:ind w:left="390" w:right="0" w:firstLine="0"/>
                      <w:jc w:val="left"/>
                      <w:rPr>
                        <w:sz w:val="22"/>
                      </w:rPr>
                    </w:pPr>
                    <w:r>
                      <w:rPr>
                        <w:sz w:val="22"/>
                      </w:rPr>
                      <w:t>Para</w:t>
                    </w:r>
                  </w:p>
                </w:txbxContent>
              </v:textbox>
              <v:fill type="solid"/>
              <w10:wrap type="none"/>
            </v:shape>
            <v:shape style="position:absolute;left:3096;top:6410;width:6420;height:540" type="#_x0000_t202" filled="true" fillcolor="#8fb5e4" stroked="false">
              <v:textbox inset="0,0,0,0">
                <w:txbxContent>
                  <w:p>
                    <w:pPr>
                      <w:spacing w:before="75"/>
                      <w:ind w:left="528" w:right="0" w:firstLine="0"/>
                      <w:jc w:val="left"/>
                      <w:rPr>
                        <w:b/>
                        <w:sz w:val="24"/>
                      </w:rPr>
                    </w:pPr>
                    <w:r>
                      <w:rPr>
                        <w:b/>
                        <w:sz w:val="24"/>
                      </w:rPr>
                      <w:t>Gestionar la solución de los problemas locales</w:t>
                    </w:r>
                  </w:p>
                </w:txbxContent>
              </v:textbox>
              <v:fill type="solid"/>
              <w10:wrap type="none"/>
            </v:shape>
            <w10:wrap type="topAndBottom"/>
          </v:group>
        </w:pict>
      </w:r>
    </w:p>
    <w:p>
      <w:pPr>
        <w:pStyle w:val="BodyText"/>
        <w:spacing w:line="360" w:lineRule="auto" w:before="165"/>
        <w:ind w:left="442" w:right="1633"/>
      </w:pPr>
      <w:r>
        <w:rPr>
          <w:b/>
        </w:rPr>
        <w:t>Fuente: </w:t>
      </w:r>
      <w:r>
        <w:rPr/>
        <w:t>Elaboración propia con base en la revisión bibliográfica y el Trabajo de Campo, García (2013-2015).</w:t>
      </w:r>
    </w:p>
    <w:p>
      <w:pPr>
        <w:pStyle w:val="BodyText"/>
        <w:spacing w:before="11"/>
        <w:rPr>
          <w:sz w:val="24"/>
        </w:rPr>
      </w:pPr>
    </w:p>
    <w:p>
      <w:pPr>
        <w:pStyle w:val="BodyText"/>
        <w:spacing w:line="360" w:lineRule="auto"/>
        <w:ind w:left="442" w:right="1399"/>
        <w:jc w:val="both"/>
      </w:pPr>
      <w:r>
        <w:rPr/>
        <w:t>En el mapa anterior de redes y funciones de los actores municipales, se identificó al Gobierno Municipal mediante El Ayuntamiento como el vínculo entre las autoridades auxiliares y el gobierno estatal y federal en términos de gestión para atender los problemas de la cuenca hidrosocial presa Huapango, y para el caso de esta investigación, se seleccionaron a los presidentes municipales y regidores, los cuales son los presidentes de las comisiones del medio ambiente y directores de este mismo rubro de los municipios que integran dicha cuenca (Acambay, Aculco, Jilotepec, Polotitlán y</w:t>
      </w:r>
      <w:r>
        <w:rPr>
          <w:spacing w:val="-16"/>
        </w:rPr>
        <w:t> </w:t>
      </w:r>
      <w:r>
        <w:rPr/>
        <w:t>Timilpan).</w:t>
      </w:r>
    </w:p>
    <w:p>
      <w:pPr>
        <w:spacing w:after="0" w:line="360" w:lineRule="auto"/>
        <w:jc w:val="both"/>
        <w:sectPr>
          <w:pgSz w:w="12240" w:h="15840"/>
          <w:pgMar w:header="0" w:footer="1003" w:top="1500" w:bottom="1200" w:left="1260" w:right="300"/>
        </w:sectPr>
      </w:pPr>
    </w:p>
    <w:p>
      <w:pPr>
        <w:pStyle w:val="BodyText"/>
        <w:spacing w:line="360" w:lineRule="auto" w:before="56"/>
        <w:ind w:left="102" w:right="112"/>
        <w:jc w:val="both"/>
      </w:pPr>
      <w:r>
        <w:rPr/>
        <w:t>Al realizar las entrevistas en campo, se pudo detectar una gran limitación por parte de la mayoría de los integrantes de los cabildos y de los funcionarios administrativos de los municipios. Esto se debe en parte a una falta de identidad con la región a la que representan, ya que nacieron en otro estado o municipio, lo cual no les permite tener conocimiento de la problemática que se vive en dicha cuenca. Otra explicación puede ser el periodo de gobierno que que atienden, el cual es por ley de solo tres años, lo cual los limita para entender los problemas de la cuenca y proponer soluciones que impacten en el corto, mediano y largo plazos.</w:t>
      </w:r>
    </w:p>
    <w:p>
      <w:pPr>
        <w:pStyle w:val="BodyText"/>
        <w:spacing w:before="8"/>
        <w:rPr>
          <w:sz w:val="24"/>
        </w:rPr>
      </w:pPr>
    </w:p>
    <w:p>
      <w:pPr>
        <w:pStyle w:val="BodyText"/>
        <w:spacing w:line="360" w:lineRule="auto"/>
        <w:ind w:left="102" w:right="118"/>
        <w:jc w:val="both"/>
      </w:pPr>
      <w:r>
        <w:rPr/>
        <w:t>La falta de identidad de estos representantes, también obedece a la gran movilidad que tienen cada tres años por fin de la administración. Lo anterior genera vacíos de atención y de poder en la administración, lo cuales son cubiertos por los ciudadanos a través de sus autoridades auxiliares, las cuales gozan de una enorme legitimidad que les permite ser reemplazados dentro de su estructura social, por lo que pueden dar continuidad a su planes y programas con sus sucesores, a diferencia de los integrantes del Cabildo.</w:t>
      </w:r>
    </w:p>
    <w:p>
      <w:pPr>
        <w:pStyle w:val="BodyText"/>
        <w:spacing w:before="10"/>
        <w:rPr>
          <w:sz w:val="24"/>
        </w:rPr>
      </w:pPr>
    </w:p>
    <w:p>
      <w:pPr>
        <w:pStyle w:val="BodyText"/>
        <w:spacing w:line="360" w:lineRule="auto"/>
        <w:ind w:left="102" w:right="115"/>
        <w:jc w:val="both"/>
      </w:pPr>
      <w:r>
        <w:rPr/>
        <w:t>Por otro lado, se detectó la relación con la cuenca hidrosocial presa Huapango mediante tres secretarías de Estado a través de sus funciones y responsabilidades: La Secretaría del Agua y Obra Pública a donde está adscrita la Comisión del Agua del Estado de  México (CAEM); Secretaría del Medio Ambiente y la Secretaría de desarrollo Agropecuario, como se aprecia en el siguiente mapa de actores</w:t>
      </w:r>
      <w:r>
        <w:rPr>
          <w:spacing w:val="-21"/>
        </w:rPr>
        <w:t> </w:t>
      </w:r>
      <w:r>
        <w:rPr/>
        <w:t>estatales:</w:t>
      </w:r>
    </w:p>
    <w:p>
      <w:pPr>
        <w:spacing w:after="0" w:line="360" w:lineRule="auto"/>
        <w:jc w:val="both"/>
        <w:sectPr>
          <w:pgSz w:w="12240" w:h="15840"/>
          <w:pgMar w:header="0" w:footer="1003" w:top="1360" w:bottom="1200" w:left="1600" w:right="1580"/>
        </w:sectPr>
      </w:pPr>
    </w:p>
    <w:p>
      <w:pPr>
        <w:pStyle w:val="Heading6"/>
        <w:spacing w:line="360" w:lineRule="auto" w:before="53"/>
        <w:ind w:left="4812" w:right="1573" w:hanging="3287"/>
      </w:pPr>
      <w:r>
        <w:rPr/>
        <w:pict>
          <v:group style="position:absolute;margin-left:38.75pt;margin-top:33.267872pt;width:538.25pt;height:366.25pt;mso-position-horizontal-relative:page;mso-position-vertical-relative:paragraph;z-index:-3334000" coordorigin="775,665" coordsize="10765,7325">
            <v:rect style="position:absolute;left:1441;top:1075;width:9630;height:6895" filled="true" fillcolor="#00afef" stroked="false">
              <v:fill type="solid"/>
            </v:rect>
            <v:rect style="position:absolute;left:1441;top:1075;width:9630;height:6895" filled="false" stroked="true" strokeweight="2pt" strokecolor="#000000"/>
            <v:rect style="position:absolute;left:9090;top:670;width:1830;height:870" filled="true" fillcolor="#00afef" stroked="false">
              <v:fill type="solid"/>
            </v:rect>
            <v:rect style="position:absolute;left:9090;top:670;width:1830;height:870" filled="false" stroked="true" strokeweight=".5pt" strokecolor="#000000"/>
            <v:rect style="position:absolute;left:2040;top:1689;width:8490;height:6045" filled="true" fillcolor="#4584d2" stroked="false">
              <v:fill type="solid"/>
            </v:rect>
            <v:rect style="position:absolute;left:2040;top:1689;width:8490;height:6045" filled="false" stroked="true" strokeweight="2pt" strokecolor="#000000"/>
            <v:rect style="position:absolute;left:3301;top:1420;width:5490;height:630" filled="true" fillcolor="#4584d2" stroked="false">
              <v:fill type="solid"/>
            </v:rect>
            <v:rect style="position:absolute;left:3301;top:1420;width:5490;height:630" filled="false" stroked="true" strokeweight=".5pt" strokecolor="#000000"/>
            <v:rect style="position:absolute;left:2925;top:2365;width:6480;height:4800" filled="true" fillcolor="#8fb5e4" stroked="false">
              <v:fill type="solid"/>
            </v:rect>
            <v:rect style="position:absolute;left:2925;top:2365;width:6480;height:4800" filled="false" stroked="true" strokeweight="2pt" strokecolor="#000000"/>
            <v:rect style="position:absolute;left:4950;top:2141;width:2520;height:510" filled="true" fillcolor="#92d050" stroked="false">
              <v:fill type="solid"/>
            </v:rect>
            <v:rect style="position:absolute;left:4950;top:2141;width:2520;height:510" filled="false" stroked="true" strokeweight=".5pt" strokecolor="#000000"/>
            <v:rect style="position:absolute;left:9585;top:2545;width:1950;height:1065" filled="true" fillcolor="#c00000" stroked="false">
              <v:fill type="solid"/>
            </v:rect>
            <v:rect style="position:absolute;left:9585;top:2545;width:1950;height:1065" filled="false" stroked="true" strokeweight=".5pt" strokecolor="#000000"/>
            <v:rect style="position:absolute;left:780;top:2485;width:2025;height:1470" filled="true" fillcolor="#c00000" stroked="false">
              <v:fill type="solid"/>
            </v:rect>
            <v:rect style="position:absolute;left:780;top:2485;width:2025;height:1470" filled="false" stroked="true" strokeweight=".5pt" strokecolor="#000000"/>
            <v:shape style="position:absolute;left:3761;top:3022;width:4793;height:3282" coordorigin="3761,3022" coordsize="4793,3282" path="m3919,3482l3916,3478,3849,3362,3840,3347,3764,3478,3761,3482,3763,3486,3766,3488,3770,3491,3774,3489,3776,3486,3832,3390,3833,3389,3833,4235,3833,4262,3832,4235,3776,4139,3774,4135,3770,4134,3763,4138,3761,4142,3764,4146,3840,4277,3849,4262,3916,4146,3919,4142,3917,4138,3910,4134,3906,4135,3904,4139,3848,4235,3847,4235,3847,3389,3847,3366,3847,3362,3848,3390,3904,3486,3906,3489,3910,3491,3914,3488,3917,3486,3919,3482m3934,4960l3931,4956,3864,4840,3855,4825,3779,4956,3776,4960,3778,4964,3781,4966,3785,4968,3789,4967,3791,4964,3847,4868,3848,4867,3848,5923,3848,5950,3847,5922,3791,5826,3789,5823,3785,5822,3781,5824,3778,5826,3776,5830,3779,5834,3855,5965,3864,5950,3931,5834,3934,5830,3932,5826,3929,5824,3925,5822,3921,5823,3919,5826,3863,5922,3862,5923,3862,4867,3862,4844,3862,4840,3863,4868,3919,4964,3921,4967,3925,4968,3929,4966,3932,4964,3934,4960m7635,3100l7622,3093,7504,3024,7500,3022,7496,3023,7494,3026,7492,3030,7493,3035,7496,3037,7592,3093,4768,3093,4864,3037,4867,3035,4868,3030,4866,3026,4864,3023,4860,3022,4856,3024,4725,3100,4856,3177,4860,3179,4864,3177,4866,3174,4868,3170,4867,3166,4864,3164,4768,3108,7592,3108,7496,3164,7493,3166,7492,3170,7494,3174,7496,3177,7500,3179,7504,3177,7622,3108,7635,3100m7646,6224l7633,6217,7515,6148,7511,6146,7507,6147,7505,6151,7503,6154,7504,6159,7507,6161,7604,6217,4778,6217,4875,6161,4878,6159,4879,6154,4877,6151,4875,6147,4871,6146,4867,6148,4736,6224,4867,6301,4871,6303,4875,6302,4877,6298,4879,6295,4878,6290,4875,6288,4779,6232,7603,6232,7507,6288,7504,6290,7503,6295,7505,6298,7507,6302,7511,6303,7515,6301,7633,6232,7646,6224m8554,4960l8551,4956,8484,4840,8475,4825,8399,4956,8396,4960,8398,4964,8401,4966,8405,4968,8409,4967,8411,4964,8467,4868,8468,4867,8468,5713,8475,5725,8467,5712,8411,5616,8409,5613,8405,5612,8401,5614,8398,5616,8396,5620,8399,5624,8475,5755,8484,5740,8551,5624,8554,5620,8552,5616,8549,5614,8545,5612,8541,5613,8539,5616,8483,5712,8482,5740,8482,5736,8482,5713,8482,4867,8482,4844,8482,4840,8483,4868,8539,4964,8541,4967,8545,4968,8549,4966,8552,4964,8554,4960m8554,3490l8551,3486,8484,3370,8475,3355,8399,3486,8396,3490,8398,3494,8401,3496,8405,3499,8409,3497,8411,3494,8467,3398,8468,3397,8468,4243,8467,4243,8411,4147,8409,4143,8405,4142,8398,4146,8396,4150,8399,4154,8475,4285,8484,4270,8551,4154,8554,4150,8552,4146,8545,4142,8541,4143,8539,4147,8483,4243,8482,4270,8482,4267,8482,4243,8482,3397,8482,3374,8482,3370,8483,3398,8539,3494,8541,3497,8545,3499,8549,3496,8552,3494,8554,3490e" filled="true" fillcolor="#000000" stroked="false">
              <v:path arrowok="t"/>
              <v:fill type="solid"/>
            </v:shape>
            <v:shape style="position:absolute;left:9090;top:670;width:1830;height:405" type="#_x0000_t202" filled="false" stroked="false">
              <v:textbox inset="0,0,0,0">
                <w:txbxContent>
                  <w:p>
                    <w:pPr>
                      <w:spacing w:before="74"/>
                      <w:ind w:left="502" w:right="0" w:firstLine="0"/>
                      <w:jc w:val="left"/>
                      <w:rPr>
                        <w:sz w:val="24"/>
                      </w:rPr>
                    </w:pPr>
                    <w:r>
                      <w:rPr>
                        <w:sz w:val="24"/>
                      </w:rPr>
                      <w:t>Cuenca</w:t>
                    </w:r>
                  </w:p>
                </w:txbxContent>
              </v:textbox>
              <w10:wrap type="none"/>
            </v:shape>
            <v:shape style="position:absolute;left:9090;top:1075;width:1830;height:345" type="#_x0000_t202" filled="false" stroked="false">
              <v:textbox inset="0,0,0,0">
                <w:txbxContent>
                  <w:p>
                    <w:pPr>
                      <w:spacing w:line="265" w:lineRule="exact" w:before="0"/>
                      <w:ind w:left="322" w:right="0" w:firstLine="0"/>
                      <w:jc w:val="left"/>
                      <w:rPr>
                        <w:sz w:val="24"/>
                      </w:rPr>
                    </w:pPr>
                    <w:r>
                      <w:rPr>
                        <w:sz w:val="24"/>
                      </w:rPr>
                      <w:t>Hidrosocial</w:t>
                    </w:r>
                  </w:p>
                </w:txbxContent>
              </v:textbox>
              <w10:wrap type="none"/>
            </v:shape>
            <v:shape style="position:absolute;left:3301;top:1420;width:5490;height:270" type="#_x0000_t202" filled="false" stroked="false">
              <v:textbox inset="0,0,0,0">
                <w:txbxContent>
                  <w:p>
                    <w:pPr>
                      <w:spacing w:line="197" w:lineRule="exact" w:before="72"/>
                      <w:ind w:left="796" w:right="0" w:firstLine="0"/>
                      <w:jc w:val="left"/>
                      <w:rPr>
                        <w:b/>
                        <w:sz w:val="28"/>
                      </w:rPr>
                    </w:pPr>
                    <w:r>
                      <w:rPr>
                        <w:b/>
                        <w:sz w:val="28"/>
                      </w:rPr>
                      <w:t>REPRESENTACIÓN ESTATAL</w:t>
                    </w:r>
                  </w:p>
                </w:txbxContent>
              </v:textbox>
              <w10:wrap type="none"/>
            </v:shape>
            <v:shape style="position:absolute;left:9585;top:2515;width:945;height:1095" type="#_x0000_t202" filled="false" stroked="false">
              <v:textbox inset="0,0,0,0">
                <w:txbxContent>
                  <w:p>
                    <w:pPr>
                      <w:spacing w:before="106"/>
                      <w:ind w:left="187" w:right="-37" w:firstLine="0"/>
                      <w:jc w:val="left"/>
                      <w:rPr>
                        <w:b/>
                        <w:sz w:val="24"/>
                      </w:rPr>
                    </w:pPr>
                    <w:r>
                      <w:rPr>
                        <w:b/>
                        <w:sz w:val="24"/>
                      </w:rPr>
                      <w:t>Secret</w:t>
                    </w:r>
                  </w:p>
                  <w:p>
                    <w:pPr>
                      <w:spacing w:line="276" w:lineRule="auto" w:before="41"/>
                      <w:ind w:left="429" w:right="-37" w:firstLine="199"/>
                      <w:jc w:val="left"/>
                      <w:rPr>
                        <w:b/>
                        <w:sz w:val="24"/>
                      </w:rPr>
                    </w:pPr>
                    <w:r>
                      <w:rPr>
                        <w:b/>
                        <w:sz w:val="24"/>
                      </w:rPr>
                      <w:t>Me</w:t>
                    </w:r>
                    <w:r>
                      <w:rPr>
                        <w:b/>
                        <w:w w:val="99"/>
                        <w:sz w:val="24"/>
                      </w:rPr>
                      <w:t> </w:t>
                    </w:r>
                    <w:r>
                      <w:rPr>
                        <w:b/>
                        <w:spacing w:val="-1"/>
                        <w:sz w:val="24"/>
                      </w:rPr>
                      <w:t>Amb</w:t>
                    </w:r>
                  </w:p>
                </w:txbxContent>
              </v:textbox>
              <w10:wrap type="none"/>
            </v:shape>
            <v:shape style="position:absolute;left:5732;top:2247;width:962;height:240" type="#_x0000_t202" filled="false" stroked="false">
              <v:textbox inset="0,0,0,0">
                <w:txbxContent>
                  <w:p>
                    <w:pPr>
                      <w:spacing w:line="240" w:lineRule="exact" w:before="0"/>
                      <w:ind w:left="0" w:right="-19" w:firstLine="0"/>
                      <w:jc w:val="left"/>
                      <w:rPr>
                        <w:b/>
                        <w:sz w:val="24"/>
                      </w:rPr>
                    </w:pPr>
                    <w:r>
                      <w:rPr>
                        <w:b/>
                        <w:sz w:val="24"/>
                      </w:rPr>
                      <w:t>Sedagro</w:t>
                    </w:r>
                  </w:p>
                </w:txbxContent>
              </v:textbox>
              <w10:wrap type="none"/>
            </v:shape>
            <v:shape style="position:absolute;left:1003;top:2592;width:1575;height:1191" type="#_x0000_t202" filled="false" stroked="false">
              <v:textbox inset="0,0,0,0">
                <w:txbxContent>
                  <w:p>
                    <w:pPr>
                      <w:spacing w:line="245" w:lineRule="exact" w:before="0"/>
                      <w:ind w:left="0" w:right="0" w:firstLine="0"/>
                      <w:jc w:val="center"/>
                      <w:rPr>
                        <w:b/>
                        <w:sz w:val="24"/>
                      </w:rPr>
                    </w:pPr>
                    <w:r>
                      <w:rPr>
                        <w:b/>
                        <w:sz w:val="24"/>
                      </w:rPr>
                      <w:t>Secretaría del</w:t>
                    </w:r>
                  </w:p>
                  <w:p>
                    <w:pPr>
                      <w:spacing w:line="276" w:lineRule="auto" w:before="41"/>
                      <w:ind w:left="4" w:right="0" w:firstLine="0"/>
                      <w:jc w:val="center"/>
                      <w:rPr>
                        <w:b/>
                        <w:sz w:val="24"/>
                      </w:rPr>
                    </w:pPr>
                    <w:r>
                      <w:rPr>
                        <w:b/>
                        <w:sz w:val="24"/>
                      </w:rPr>
                      <w:t>Agua y Obra Pública</w:t>
                    </w:r>
                  </w:p>
                  <w:p>
                    <w:pPr>
                      <w:spacing w:line="271" w:lineRule="exact" w:before="1"/>
                      <w:ind w:left="6" w:right="0" w:firstLine="0"/>
                      <w:jc w:val="center"/>
                      <w:rPr>
                        <w:b/>
                        <w:i/>
                        <w:sz w:val="24"/>
                      </w:rPr>
                    </w:pPr>
                    <w:r>
                      <w:rPr>
                        <w:b/>
                        <w:i/>
                        <w:sz w:val="24"/>
                      </w:rPr>
                      <w:t>(CAEM)</w:t>
                    </w:r>
                  </w:p>
                </w:txbxContent>
              </v:textbox>
              <w10:wrap type="none"/>
            </v:shape>
            <v:shape style="position:absolute;left:10507;top:2652;width:841;height:874" type="#_x0000_t202" filled="false" stroked="false">
              <v:textbox inset="0,0,0,0">
                <w:txbxContent>
                  <w:p>
                    <w:pPr>
                      <w:spacing w:line="245" w:lineRule="exact" w:before="0"/>
                      <w:ind w:left="0" w:right="-20" w:firstLine="0"/>
                      <w:jc w:val="left"/>
                      <w:rPr>
                        <w:b/>
                        <w:sz w:val="24"/>
                      </w:rPr>
                    </w:pPr>
                    <w:r>
                      <w:rPr>
                        <w:b/>
                        <w:sz w:val="24"/>
                      </w:rPr>
                      <w:t>aría del</w:t>
                    </w:r>
                  </w:p>
                  <w:p>
                    <w:pPr>
                      <w:spacing w:line="310" w:lineRule="atLeast" w:before="6"/>
                      <w:ind w:left="38" w:right="222" w:firstLine="2"/>
                      <w:jc w:val="left"/>
                      <w:rPr>
                        <w:b/>
                        <w:sz w:val="24"/>
                      </w:rPr>
                    </w:pPr>
                    <w:r>
                      <w:rPr>
                        <w:b/>
                        <w:sz w:val="24"/>
                      </w:rPr>
                      <w:t>dio iente</w:t>
                    </w:r>
                  </w:p>
                </w:txbxContent>
              </v:textbox>
              <w10:wrap type="none"/>
            </v:shape>
            <v:shape style="position:absolute;left:3135;top:2831;width:1590;height:532" type="#_x0000_t202" filled="true" fillcolor="#f8d98b" stroked="true" strokeweight=".5pt" strokecolor="#000000">
              <v:textbox inset="0,0,0,0">
                <w:txbxContent>
                  <w:p>
                    <w:pPr>
                      <w:spacing w:before="69"/>
                      <w:ind w:left="208" w:right="0" w:firstLine="0"/>
                      <w:jc w:val="left"/>
                      <w:rPr>
                        <w:sz w:val="22"/>
                      </w:rPr>
                    </w:pPr>
                    <w:r>
                      <w:rPr>
                        <w:sz w:val="22"/>
                      </w:rPr>
                      <w:t>Agricultores</w:t>
                    </w:r>
                  </w:p>
                </w:txbxContent>
              </v:textbox>
              <v:fill type="solid"/>
              <w10:wrap type="none"/>
            </v:shape>
            <v:shape style="position:absolute;left:7635;top:2816;width:1590;height:532" type="#_x0000_t202" filled="true" fillcolor="#f8d98b" stroked="true" strokeweight=".5pt" strokecolor="#000000">
              <v:textbox inset="0,0,0,0">
                <w:txbxContent>
                  <w:p>
                    <w:pPr>
                      <w:spacing w:before="69"/>
                      <w:ind w:left="245" w:right="0" w:firstLine="0"/>
                      <w:jc w:val="left"/>
                      <w:rPr>
                        <w:sz w:val="22"/>
                      </w:rPr>
                    </w:pPr>
                    <w:r>
                      <w:rPr>
                        <w:sz w:val="22"/>
                      </w:rPr>
                      <w:t>Ganaderos</w:t>
                    </w:r>
                  </w:p>
                </w:txbxContent>
              </v:textbox>
              <v:fill type="solid"/>
              <w10:wrap type="none"/>
            </v:shape>
            <v:shape style="position:absolute;left:3135;top:4271;width:1590;height:532" type="#_x0000_t202" filled="true" fillcolor="#f8d98b" stroked="true" strokeweight=".5pt" strokecolor="#000000">
              <v:textbox inset="0,0,0,0">
                <w:txbxContent>
                  <w:p>
                    <w:pPr>
                      <w:spacing w:before="69"/>
                      <w:ind w:left="208" w:right="0" w:firstLine="0"/>
                      <w:jc w:val="left"/>
                      <w:rPr>
                        <w:sz w:val="22"/>
                      </w:rPr>
                    </w:pPr>
                    <w:r>
                      <w:rPr>
                        <w:sz w:val="22"/>
                      </w:rPr>
                      <w:t>Pescadores</w:t>
                    </w:r>
                  </w:p>
                </w:txbxContent>
              </v:textbox>
              <v:fill type="solid"/>
              <w10:wrap type="none"/>
            </v:shape>
            <v:shape style="position:absolute;left:7470;top:4286;width:1755;height:532" type="#_x0000_t202" filled="true" fillcolor="#f8d98b" stroked="true" strokeweight=".5pt" strokecolor="#000000">
              <v:textbox inset="0,0,0,0">
                <w:txbxContent>
                  <w:p>
                    <w:pPr>
                      <w:spacing w:before="71"/>
                      <w:ind w:left="194" w:right="0" w:firstLine="0"/>
                      <w:jc w:val="left"/>
                      <w:rPr>
                        <w:sz w:val="22"/>
                      </w:rPr>
                    </w:pPr>
                    <w:r>
                      <w:rPr>
                        <w:sz w:val="22"/>
                      </w:rPr>
                      <w:t>Comerciantes</w:t>
                    </w:r>
                  </w:p>
                </w:txbxContent>
              </v:textbox>
              <v:fill type="solid"/>
              <w10:wrap type="none"/>
            </v:shape>
            <v:shape style="position:absolute;left:7635;top:5755;width:1590;height:915" type="#_x0000_t202" filled="true" fillcolor="#f8d98b" stroked="true" strokeweight=".5pt" strokecolor="#000000">
              <v:textbox inset="0,0,0,0">
                <w:txbxContent>
                  <w:p>
                    <w:pPr>
                      <w:spacing w:line="276" w:lineRule="auto" w:before="70"/>
                      <w:ind w:left="495" w:right="359" w:hanging="128"/>
                      <w:jc w:val="left"/>
                      <w:rPr>
                        <w:sz w:val="22"/>
                      </w:rPr>
                    </w:pPr>
                    <w:r>
                      <w:rPr>
                        <w:sz w:val="22"/>
                      </w:rPr>
                      <w:t>Industria láctea</w:t>
                    </w:r>
                  </w:p>
                </w:txbxContent>
              </v:textbox>
              <v:fill type="solid"/>
              <w10:wrap type="none"/>
            </v:shape>
            <v:shape style="position:absolute;left:3135;top:5965;width:1590;height:532" type="#_x0000_t202" filled="true" fillcolor="#f8d98b" stroked="true" strokeweight=".5pt" strokecolor="#000000">
              <v:textbox inset="0,0,0,0">
                <w:txbxContent>
                  <w:p>
                    <w:pPr>
                      <w:spacing w:before="71"/>
                      <w:ind w:left="390" w:right="0" w:firstLine="0"/>
                      <w:jc w:val="left"/>
                      <w:rPr>
                        <w:sz w:val="22"/>
                      </w:rPr>
                    </w:pPr>
                    <w:r>
                      <w:rPr>
                        <w:sz w:val="22"/>
                      </w:rPr>
                      <w:t>Turismo</w:t>
                    </w:r>
                  </w:p>
                </w:txbxContent>
              </v:textbox>
              <v:fill type="solid"/>
              <w10:wrap type="none"/>
            </v:shape>
            <w10:wrap type="none"/>
          </v:group>
        </w:pict>
      </w:r>
      <w:r>
        <w:rPr/>
        <w:t>Esquema 5.9. Mapa de Actores Estatales (Secretarías de Estado): REDES Y FUNCIONES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3"/>
        <w:rPr>
          <w:b/>
        </w:rPr>
      </w:pPr>
    </w:p>
    <w:p>
      <w:pPr>
        <w:pStyle w:val="BodyText"/>
        <w:spacing w:line="362" w:lineRule="auto"/>
        <w:ind w:left="1042" w:right="1101"/>
        <w:jc w:val="both"/>
      </w:pPr>
      <w:r>
        <w:rPr>
          <w:b/>
        </w:rPr>
        <w:t>Fuente: </w:t>
      </w:r>
      <w:r>
        <w:rPr/>
        <w:t>Elaboración propia con base en la revisión bibliográfica y el Trabajo de Campo, García (2013-2015).</w:t>
      </w:r>
    </w:p>
    <w:p>
      <w:pPr>
        <w:pStyle w:val="BodyText"/>
        <w:spacing w:before="5"/>
        <w:rPr>
          <w:sz w:val="24"/>
        </w:rPr>
      </w:pPr>
    </w:p>
    <w:p>
      <w:pPr>
        <w:pStyle w:val="BodyText"/>
        <w:spacing w:line="360" w:lineRule="auto"/>
        <w:ind w:left="1042" w:right="1094"/>
        <w:jc w:val="both"/>
      </w:pPr>
      <w:r>
        <w:rPr/>
        <w:t>Con el anterior mapa de redes y funciones de los actores estatales, se puede identificar que la Secretaría de Desarrollo Agropecuario es la que tiene mayores relaciones con los actores históricos de la cuenca, debido a que ha sido una región agrícola y lechera. Las otras dos Secretarías (CAEM y Medio Ambiente) casi no tienen vínculos con los actores de la cuenca hidrosocial, por lo que su participación en los asuntos de la cuenca es marginal y no acatan sus responsabilidades y funciones que se mencionan en la siguiente tabla:</w:t>
      </w:r>
    </w:p>
    <w:p>
      <w:pPr>
        <w:spacing w:after="0" w:line="360" w:lineRule="auto"/>
        <w:jc w:val="both"/>
        <w:sectPr>
          <w:footerReference w:type="default" r:id="rId147"/>
          <w:pgSz w:w="12240" w:h="15840"/>
          <w:pgMar w:footer="943" w:header="0" w:top="1360" w:bottom="1140" w:left="660" w:right="600"/>
          <w:pgNumType w:start="170"/>
        </w:sectPr>
      </w:pPr>
    </w:p>
    <w:p>
      <w:pPr>
        <w:pStyle w:val="Heading6"/>
        <w:spacing w:before="51"/>
        <w:ind w:left="2290" w:right="193"/>
      </w:pPr>
      <w:r>
        <w:rPr/>
        <w:t>Tabla 5.1. Actores Estatales y sus Funciones</w:t>
      </w:r>
    </w:p>
    <w:p>
      <w:pPr>
        <w:pStyle w:val="BodyText"/>
        <w:rPr>
          <w:b/>
          <w:sz w:val="20"/>
        </w:rPr>
      </w:pPr>
    </w:p>
    <w:p>
      <w:pPr>
        <w:pStyle w:val="BodyText"/>
        <w:rPr>
          <w:b/>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45"/>
        <w:gridCol w:w="5925"/>
      </w:tblGrid>
      <w:tr>
        <w:trPr>
          <w:trHeight w:val="262" w:hRule="exact"/>
        </w:trPr>
        <w:tc>
          <w:tcPr>
            <w:tcW w:w="2045" w:type="dxa"/>
          </w:tcPr>
          <w:p>
            <w:pPr>
              <w:pStyle w:val="TableParagraph"/>
              <w:spacing w:line="248" w:lineRule="exact"/>
              <w:ind w:right="469"/>
              <w:rPr>
                <w:b/>
                <w:sz w:val="22"/>
              </w:rPr>
            </w:pPr>
            <w:r>
              <w:rPr>
                <w:b/>
                <w:sz w:val="22"/>
              </w:rPr>
              <w:t>ACTORES</w:t>
            </w:r>
          </w:p>
        </w:tc>
        <w:tc>
          <w:tcPr>
            <w:tcW w:w="5925" w:type="dxa"/>
          </w:tcPr>
          <w:p>
            <w:pPr>
              <w:pStyle w:val="TableParagraph"/>
              <w:spacing w:line="248" w:lineRule="exact"/>
              <w:ind w:left="100" w:right="169"/>
              <w:rPr>
                <w:b/>
                <w:sz w:val="22"/>
              </w:rPr>
            </w:pPr>
            <w:r>
              <w:rPr>
                <w:b/>
                <w:sz w:val="22"/>
              </w:rPr>
              <w:t>FUNCIONES</w:t>
            </w:r>
          </w:p>
        </w:tc>
      </w:tr>
      <w:tr>
        <w:trPr>
          <w:trHeight w:val="9878" w:hRule="exact"/>
        </w:trPr>
        <w:tc>
          <w:tcPr>
            <w:tcW w:w="2045" w:type="dxa"/>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8"/>
              <w:ind w:left="0"/>
              <w:rPr>
                <w:b/>
                <w:sz w:val="21"/>
              </w:rPr>
            </w:pPr>
          </w:p>
          <w:p>
            <w:pPr>
              <w:pStyle w:val="TableParagraph"/>
              <w:ind w:right="469"/>
              <w:rPr>
                <w:b/>
                <w:sz w:val="22"/>
              </w:rPr>
            </w:pPr>
            <w:r>
              <w:rPr>
                <w:b/>
                <w:sz w:val="22"/>
              </w:rPr>
              <w:t>Secretaría del Agua y Obra Pública</w:t>
            </w:r>
          </w:p>
        </w:tc>
        <w:tc>
          <w:tcPr>
            <w:tcW w:w="5925" w:type="dxa"/>
          </w:tcPr>
          <w:p>
            <w:pPr>
              <w:pStyle w:val="TableParagraph"/>
              <w:spacing w:before="10"/>
              <w:ind w:left="0"/>
              <w:rPr>
                <w:b/>
                <w:sz w:val="21"/>
              </w:rPr>
            </w:pPr>
          </w:p>
          <w:p>
            <w:pPr>
              <w:pStyle w:val="TableParagraph"/>
              <w:ind w:left="100" w:right="103"/>
              <w:jc w:val="both"/>
              <w:rPr>
                <w:sz w:val="22"/>
              </w:rPr>
            </w:pPr>
            <w:r>
              <w:rPr>
                <w:sz w:val="22"/>
              </w:rPr>
              <w:t>Tiene como misión el desarrollo de la infraestructura hidráulica, así como obra pública en general; en pro del bienestar y el mejoramiento continuo en la calidad de vida de la población Mexiquense.</w:t>
            </w:r>
          </w:p>
          <w:p>
            <w:pPr>
              <w:pStyle w:val="TableParagraph"/>
              <w:ind w:left="0"/>
              <w:rPr>
                <w:b/>
                <w:sz w:val="22"/>
              </w:rPr>
            </w:pPr>
          </w:p>
          <w:p>
            <w:pPr>
              <w:pStyle w:val="TableParagraph"/>
              <w:ind w:left="100" w:right="103"/>
              <w:jc w:val="both"/>
              <w:rPr>
                <w:sz w:val="22"/>
              </w:rPr>
            </w:pPr>
            <w:r>
              <w:rPr>
                <w:sz w:val="22"/>
              </w:rPr>
              <w:t>Su objetivo general es Dirigir todas aquellas funciones encaminadas a la planeación, coordinación e instrumentación de las obras públicas a su cargo y de promover el desarrollo de la infraestructura hidráulica.</w:t>
            </w:r>
          </w:p>
          <w:p>
            <w:pPr>
              <w:pStyle w:val="TableParagraph"/>
              <w:spacing w:before="1"/>
              <w:ind w:left="0"/>
              <w:rPr>
                <w:b/>
                <w:sz w:val="22"/>
              </w:rPr>
            </w:pPr>
          </w:p>
          <w:p>
            <w:pPr>
              <w:pStyle w:val="TableParagraph"/>
              <w:ind w:left="100" w:right="169"/>
              <w:rPr>
                <w:sz w:val="22"/>
              </w:rPr>
            </w:pPr>
            <w:r>
              <w:rPr>
                <w:sz w:val="22"/>
              </w:rPr>
              <w:t>Revisar y autorizar el anteproyecto del presupuesto anual de egresos de la Secretaria, así como de las comisiones que presida, remitiendo a la Secretaría de Finanzas y Planeación para su aprobación.</w:t>
            </w:r>
          </w:p>
          <w:p>
            <w:pPr>
              <w:pStyle w:val="TableParagraph"/>
              <w:ind w:left="0"/>
              <w:rPr>
                <w:b/>
                <w:sz w:val="22"/>
              </w:rPr>
            </w:pPr>
          </w:p>
          <w:p>
            <w:pPr>
              <w:pStyle w:val="TableParagraph"/>
              <w:ind w:left="100" w:right="279"/>
              <w:rPr>
                <w:sz w:val="22"/>
              </w:rPr>
            </w:pPr>
            <w:r>
              <w:rPr>
                <w:sz w:val="22"/>
              </w:rPr>
              <w:t>Proponer al Ejecutivo del Estado los Proyectos de leyes, reglamentos, decretos, acuerdos y convenios sobre asuntos de su competencia.</w:t>
            </w:r>
          </w:p>
          <w:p>
            <w:pPr>
              <w:pStyle w:val="TableParagraph"/>
              <w:ind w:left="0"/>
              <w:rPr>
                <w:b/>
                <w:sz w:val="22"/>
              </w:rPr>
            </w:pPr>
          </w:p>
          <w:p>
            <w:pPr>
              <w:pStyle w:val="TableParagraph"/>
              <w:ind w:left="100" w:right="218"/>
              <w:rPr>
                <w:sz w:val="22"/>
              </w:rPr>
            </w:pPr>
            <w:r>
              <w:rPr>
                <w:sz w:val="22"/>
              </w:rPr>
              <w:t>Verificar el cumplimiento oportuno del Programa Hidráulico Estatal; así como la creación y consolidación de los organismos operadores de agua municipales, a fin de ampliar la cobertura de las obras y los servicios hidráulicos en el Estado.</w:t>
            </w:r>
          </w:p>
          <w:p>
            <w:pPr>
              <w:pStyle w:val="TableParagraph"/>
              <w:ind w:left="0"/>
              <w:rPr>
                <w:b/>
                <w:sz w:val="22"/>
              </w:rPr>
            </w:pPr>
          </w:p>
          <w:p>
            <w:pPr>
              <w:pStyle w:val="TableParagraph"/>
              <w:ind w:left="100" w:right="182"/>
              <w:rPr>
                <w:sz w:val="22"/>
              </w:rPr>
            </w:pPr>
            <w:r>
              <w:rPr>
                <w:sz w:val="22"/>
              </w:rPr>
              <w:t>Proponer ejecutar, en el ámbito de su competencia, las acciones comprometidas en los Programas Generales de Modernización y Mejoramiento Integral de la Administración Pública y de Simplificación Administrativa, respectivamente.</w:t>
            </w:r>
          </w:p>
          <w:p>
            <w:pPr>
              <w:pStyle w:val="TableParagraph"/>
              <w:spacing w:before="9"/>
              <w:ind w:left="0"/>
              <w:rPr>
                <w:b/>
                <w:sz w:val="21"/>
              </w:rPr>
            </w:pPr>
          </w:p>
          <w:p>
            <w:pPr>
              <w:pStyle w:val="TableParagraph"/>
              <w:ind w:left="100" w:right="133"/>
              <w:rPr>
                <w:sz w:val="22"/>
              </w:rPr>
            </w:pPr>
            <w:r>
              <w:rPr>
                <w:sz w:val="22"/>
              </w:rPr>
              <w:t>Conformar y mantener en operación el Programa Interno de Protección Civil del sector, con el propósito de ejecutar las tareas de prevención y auxilio en caso de siniestro o desastre, para procurar la seguridad de la sociedad y bienes.</w:t>
            </w:r>
          </w:p>
        </w:tc>
      </w:tr>
      <w:tr>
        <w:trPr>
          <w:trHeight w:val="2035" w:hRule="exact"/>
        </w:trPr>
        <w:tc>
          <w:tcPr>
            <w:tcW w:w="2045" w:type="dxa"/>
          </w:tcPr>
          <w:p>
            <w:pPr>
              <w:pStyle w:val="TableParagraph"/>
              <w:ind w:right="188"/>
              <w:rPr>
                <w:b/>
                <w:i/>
                <w:sz w:val="22"/>
              </w:rPr>
            </w:pPr>
            <w:r>
              <w:rPr>
                <w:b/>
                <w:i/>
                <w:sz w:val="22"/>
              </w:rPr>
              <w:t>Comisión del </w:t>
            </w:r>
            <w:r>
              <w:rPr>
                <w:b/>
                <w:i/>
                <w:sz w:val="22"/>
              </w:rPr>
              <w:t>Agua del Estado de México (CAEM)</w:t>
            </w:r>
          </w:p>
        </w:tc>
        <w:tc>
          <w:tcPr>
            <w:tcW w:w="5925" w:type="dxa"/>
          </w:tcPr>
          <w:p>
            <w:pPr>
              <w:pStyle w:val="TableParagraph"/>
              <w:spacing w:line="242" w:lineRule="auto"/>
              <w:ind w:left="100" w:right="916"/>
              <w:rPr>
                <w:sz w:val="22"/>
              </w:rPr>
            </w:pPr>
            <w:r>
              <w:rPr>
                <w:sz w:val="22"/>
              </w:rPr>
              <w:t>Elaborar, aplicar, evaluar y actualizar el Programa Hidráulico Estatal.</w:t>
            </w:r>
          </w:p>
          <w:p>
            <w:pPr>
              <w:pStyle w:val="TableParagraph"/>
              <w:spacing w:before="9"/>
              <w:ind w:left="0"/>
              <w:rPr>
                <w:b/>
                <w:sz w:val="21"/>
              </w:rPr>
            </w:pPr>
          </w:p>
          <w:p>
            <w:pPr>
              <w:pStyle w:val="TableParagraph"/>
              <w:ind w:left="100" w:right="267"/>
              <w:rPr>
                <w:sz w:val="22"/>
              </w:rPr>
            </w:pPr>
            <w:r>
              <w:rPr>
                <w:sz w:val="22"/>
              </w:rPr>
              <w:t>Planear coordinadamente con las dependencias gubernamentales, federales, estatales y municipales, las obras de agua potable, drenaje, tratamiento, reuso de aguas residuales tratadas y control y disposición final de lodos productos del tratamiento de aguas residuales.</w:t>
            </w:r>
          </w:p>
        </w:tc>
      </w:tr>
    </w:tbl>
    <w:p>
      <w:pPr>
        <w:spacing w:after="0"/>
        <w:rPr>
          <w:sz w:val="22"/>
        </w:rPr>
        <w:sectPr>
          <w:pgSz w:w="12240" w:h="15840"/>
          <w:pgMar w:header="0" w:footer="943" w:top="1360" w:bottom="120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45"/>
        <w:gridCol w:w="5925"/>
      </w:tblGrid>
      <w:tr>
        <w:trPr>
          <w:trHeight w:val="1275" w:hRule="exact"/>
        </w:trPr>
        <w:tc>
          <w:tcPr>
            <w:tcW w:w="2045" w:type="dxa"/>
          </w:tcPr>
          <w:p>
            <w:pPr/>
          </w:p>
        </w:tc>
        <w:tc>
          <w:tcPr>
            <w:tcW w:w="5925" w:type="dxa"/>
          </w:tcPr>
          <w:p>
            <w:pPr>
              <w:pStyle w:val="TableParagraph"/>
              <w:spacing w:before="8"/>
              <w:ind w:left="0"/>
              <w:rPr>
                <w:b/>
                <w:sz w:val="21"/>
              </w:rPr>
            </w:pPr>
          </w:p>
          <w:p>
            <w:pPr>
              <w:pStyle w:val="TableParagraph"/>
              <w:ind w:left="100" w:right="279"/>
              <w:rPr>
                <w:sz w:val="22"/>
              </w:rPr>
            </w:pPr>
            <w:r>
              <w:rPr>
                <w:sz w:val="22"/>
              </w:rPr>
              <w:t>Promover el uso eficiente del agua y su conservación en todas las fases del ciclo hidrológico e impulsar una cultura, que considere a este elemento como un recurso vital y escaso.</w:t>
            </w:r>
          </w:p>
        </w:tc>
      </w:tr>
      <w:tr>
        <w:trPr>
          <w:trHeight w:val="11649" w:hRule="exact"/>
        </w:trPr>
        <w:tc>
          <w:tcPr>
            <w:tcW w:w="2045" w:type="dxa"/>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8"/>
              <w:ind w:left="0"/>
              <w:rPr>
                <w:b/>
                <w:sz w:val="21"/>
              </w:rPr>
            </w:pPr>
          </w:p>
          <w:p>
            <w:pPr>
              <w:pStyle w:val="TableParagraph"/>
              <w:spacing w:before="1"/>
              <w:ind w:right="213"/>
              <w:rPr>
                <w:b/>
                <w:sz w:val="22"/>
              </w:rPr>
            </w:pPr>
            <w:r>
              <w:rPr>
                <w:b/>
                <w:sz w:val="22"/>
              </w:rPr>
              <w:t>Secretaría del Medio Ambiente</w:t>
            </w:r>
          </w:p>
        </w:tc>
        <w:tc>
          <w:tcPr>
            <w:tcW w:w="5925" w:type="dxa"/>
          </w:tcPr>
          <w:p>
            <w:pPr>
              <w:pStyle w:val="TableParagraph"/>
              <w:numPr>
                <w:ilvl w:val="0"/>
                <w:numId w:val="46"/>
              </w:numPr>
              <w:tabs>
                <w:tab w:pos="258" w:val="left" w:leader="none"/>
              </w:tabs>
              <w:spacing w:line="240" w:lineRule="auto" w:before="0" w:after="0"/>
              <w:ind w:left="100" w:right="104" w:firstLine="0"/>
              <w:jc w:val="both"/>
              <w:rPr>
                <w:sz w:val="22"/>
              </w:rPr>
            </w:pPr>
            <w:r>
              <w:rPr>
                <w:sz w:val="22"/>
              </w:rPr>
              <w:t>Tiene como misión crear, coordinar y aplicar la política ambiental en una perspectiva integral que promueva la cultura ecológica en los mexiquenses, a fin de proteger, aprovechar y conservar de manera sustentable los recursos naturales de la</w:t>
            </w:r>
            <w:r>
              <w:rPr>
                <w:spacing w:val="-7"/>
                <w:sz w:val="22"/>
              </w:rPr>
              <w:t> </w:t>
            </w:r>
            <w:r>
              <w:rPr>
                <w:sz w:val="22"/>
              </w:rPr>
              <w:t>entidad.</w:t>
            </w:r>
          </w:p>
          <w:p>
            <w:pPr>
              <w:pStyle w:val="TableParagraph"/>
              <w:numPr>
                <w:ilvl w:val="0"/>
                <w:numId w:val="46"/>
              </w:numPr>
              <w:tabs>
                <w:tab w:pos="243" w:val="left" w:leader="none"/>
              </w:tabs>
              <w:spacing w:line="240" w:lineRule="auto" w:before="0" w:after="0"/>
              <w:ind w:left="100" w:right="102" w:firstLine="0"/>
              <w:jc w:val="both"/>
              <w:rPr>
                <w:sz w:val="22"/>
              </w:rPr>
            </w:pPr>
            <w:r>
              <w:rPr>
                <w:sz w:val="22"/>
              </w:rPr>
              <w:t>Sus objetivos son Planear, coordinar, dirigir y evaluar los asuntos relativos a la política estatal en materia de protección al ambiente y de preservación y restauración del equilibrio ecológico, de conformidad con lo establecido en la Ley Orgánica de la Administración Pública del Estado de México, el Código para la Biodiversidad del Estado de México y demás ordenamientos en la</w:t>
            </w:r>
            <w:r>
              <w:rPr>
                <w:spacing w:val="-18"/>
                <w:sz w:val="22"/>
              </w:rPr>
              <w:t> </w:t>
            </w:r>
            <w:r>
              <w:rPr>
                <w:sz w:val="22"/>
              </w:rPr>
              <w:t>materia.</w:t>
            </w:r>
          </w:p>
          <w:p>
            <w:pPr>
              <w:pStyle w:val="TableParagraph"/>
              <w:numPr>
                <w:ilvl w:val="0"/>
                <w:numId w:val="46"/>
              </w:numPr>
              <w:tabs>
                <w:tab w:pos="239" w:val="left" w:leader="none"/>
              </w:tabs>
              <w:spacing w:line="240" w:lineRule="auto" w:before="0" w:after="0"/>
              <w:ind w:left="100" w:right="368" w:firstLine="0"/>
              <w:jc w:val="left"/>
              <w:rPr>
                <w:sz w:val="22"/>
              </w:rPr>
            </w:pPr>
            <w:r>
              <w:rPr>
                <w:sz w:val="22"/>
              </w:rPr>
              <w:t>Aplicar y vigilar el cumplimiento de las disposiciones legales en materia de ecología y protección al ambiente atribuidas al Ejecutivo</w:t>
            </w:r>
            <w:r>
              <w:rPr>
                <w:spacing w:val="-9"/>
                <w:sz w:val="22"/>
              </w:rPr>
              <w:t> </w:t>
            </w:r>
            <w:r>
              <w:rPr>
                <w:sz w:val="22"/>
              </w:rPr>
              <w:t>Estatal;</w:t>
            </w:r>
          </w:p>
          <w:p>
            <w:pPr>
              <w:pStyle w:val="TableParagraph"/>
              <w:numPr>
                <w:ilvl w:val="0"/>
                <w:numId w:val="47"/>
              </w:numPr>
              <w:tabs>
                <w:tab w:pos="729" w:val="left" w:leader="none"/>
                <w:tab w:pos="730" w:val="left" w:leader="none"/>
              </w:tabs>
              <w:spacing w:line="252" w:lineRule="exact" w:before="0" w:after="0"/>
              <w:ind w:left="100" w:right="0" w:firstLine="0"/>
              <w:jc w:val="left"/>
              <w:rPr>
                <w:sz w:val="22"/>
              </w:rPr>
            </w:pPr>
            <w:r>
              <w:rPr>
                <w:sz w:val="22"/>
              </w:rPr>
              <w:t>Formular, ejecutar y evaluar el Programa Estatal</w:t>
            </w:r>
            <w:r>
              <w:rPr>
                <w:spacing w:val="-13"/>
                <w:sz w:val="22"/>
              </w:rPr>
              <w:t> </w:t>
            </w:r>
            <w:r>
              <w:rPr>
                <w:sz w:val="22"/>
              </w:rPr>
              <w:t>de</w:t>
            </w:r>
          </w:p>
          <w:p>
            <w:pPr>
              <w:pStyle w:val="TableParagraph"/>
              <w:spacing w:line="252" w:lineRule="exact" w:before="1"/>
              <w:ind w:left="100" w:right="169"/>
              <w:rPr>
                <w:sz w:val="22"/>
              </w:rPr>
            </w:pPr>
            <w:r>
              <w:rPr>
                <w:sz w:val="22"/>
              </w:rPr>
              <w:t>Protección al Ambiente;</w:t>
            </w:r>
          </w:p>
          <w:p>
            <w:pPr>
              <w:pStyle w:val="TableParagraph"/>
              <w:numPr>
                <w:ilvl w:val="0"/>
                <w:numId w:val="47"/>
              </w:numPr>
              <w:tabs>
                <w:tab w:pos="729" w:val="left" w:leader="none"/>
                <w:tab w:pos="730" w:val="left" w:leader="none"/>
              </w:tabs>
              <w:spacing w:line="252" w:lineRule="exact" w:before="0" w:after="0"/>
              <w:ind w:left="729" w:right="0" w:hanging="629"/>
              <w:jc w:val="left"/>
              <w:rPr>
                <w:sz w:val="22"/>
              </w:rPr>
            </w:pPr>
            <w:r>
              <w:rPr>
                <w:sz w:val="22"/>
              </w:rPr>
              <w:t>Emitir los lineamientos destinados a preservar</w:t>
            </w:r>
            <w:r>
              <w:rPr>
                <w:spacing w:val="-16"/>
                <w:sz w:val="22"/>
              </w:rPr>
              <w:t> </w:t>
            </w:r>
            <w:r>
              <w:rPr>
                <w:sz w:val="22"/>
              </w:rPr>
              <w:t>y</w:t>
            </w:r>
          </w:p>
          <w:p>
            <w:pPr>
              <w:pStyle w:val="TableParagraph"/>
              <w:spacing w:line="252" w:lineRule="exact" w:before="1"/>
              <w:ind w:left="100" w:right="169"/>
              <w:rPr>
                <w:sz w:val="22"/>
              </w:rPr>
            </w:pPr>
            <w:r>
              <w:rPr>
                <w:sz w:val="22"/>
              </w:rPr>
              <w:t>restaurar el equilibrio ecológico y proteger el ambiente;</w:t>
            </w:r>
          </w:p>
          <w:p>
            <w:pPr>
              <w:pStyle w:val="TableParagraph"/>
              <w:numPr>
                <w:ilvl w:val="0"/>
                <w:numId w:val="47"/>
              </w:numPr>
              <w:tabs>
                <w:tab w:pos="729" w:val="left" w:leader="none"/>
                <w:tab w:pos="730" w:val="left" w:leader="none"/>
              </w:tabs>
              <w:spacing w:line="240" w:lineRule="auto" w:before="0" w:after="0"/>
              <w:ind w:left="100" w:right="183" w:firstLine="0"/>
              <w:jc w:val="left"/>
              <w:rPr>
                <w:sz w:val="22"/>
              </w:rPr>
            </w:pPr>
            <w:r>
              <w:rPr>
                <w:sz w:val="22"/>
              </w:rPr>
              <w:t>Convenir con los Gobierno Federal, de las Entidades Federativas y de los Municipios del Estado, así como con los particulares, la realización conjunta y coordinada de acciones de protección</w:t>
            </w:r>
            <w:r>
              <w:rPr>
                <w:spacing w:val="-10"/>
                <w:sz w:val="22"/>
              </w:rPr>
              <w:t> </w:t>
            </w:r>
            <w:r>
              <w:rPr>
                <w:sz w:val="22"/>
              </w:rPr>
              <w:t>ambiental;</w:t>
            </w:r>
          </w:p>
          <w:p>
            <w:pPr>
              <w:pStyle w:val="TableParagraph"/>
              <w:numPr>
                <w:ilvl w:val="0"/>
                <w:numId w:val="47"/>
              </w:numPr>
              <w:tabs>
                <w:tab w:pos="729" w:val="left" w:leader="none"/>
                <w:tab w:pos="730" w:val="left" w:leader="none"/>
              </w:tabs>
              <w:spacing w:line="240" w:lineRule="auto" w:before="1" w:after="0"/>
              <w:ind w:left="100" w:right="205" w:firstLine="0"/>
              <w:jc w:val="left"/>
              <w:rPr>
                <w:sz w:val="22"/>
              </w:rPr>
            </w:pPr>
            <w:r>
              <w:rPr>
                <w:sz w:val="22"/>
              </w:rPr>
              <w:t>Establecer medidas y criterios para la prevención y control de residuos y emisiones generadas por fuentes contaminantes;</w:t>
            </w:r>
          </w:p>
          <w:p>
            <w:pPr>
              <w:pStyle w:val="TableParagraph"/>
              <w:numPr>
                <w:ilvl w:val="0"/>
                <w:numId w:val="47"/>
              </w:numPr>
              <w:tabs>
                <w:tab w:pos="729" w:val="left" w:leader="none"/>
                <w:tab w:pos="730" w:val="left" w:leader="none"/>
              </w:tabs>
              <w:spacing w:line="252" w:lineRule="exact" w:before="1" w:after="0"/>
              <w:ind w:left="729" w:right="0" w:hanging="629"/>
              <w:jc w:val="left"/>
              <w:rPr>
                <w:sz w:val="22"/>
              </w:rPr>
            </w:pPr>
            <w:r>
              <w:rPr>
                <w:sz w:val="22"/>
              </w:rPr>
              <w:t>Establecer sistemas de verificación ambiental</w:t>
            </w:r>
            <w:r>
              <w:rPr>
                <w:spacing w:val="-14"/>
                <w:sz w:val="22"/>
              </w:rPr>
              <w:t> </w:t>
            </w:r>
            <w:r>
              <w:rPr>
                <w:sz w:val="22"/>
              </w:rPr>
              <w:t>y</w:t>
            </w:r>
          </w:p>
          <w:p>
            <w:pPr>
              <w:pStyle w:val="TableParagraph"/>
              <w:spacing w:line="252" w:lineRule="exact"/>
              <w:ind w:left="100" w:right="169"/>
              <w:rPr>
                <w:sz w:val="22"/>
              </w:rPr>
            </w:pPr>
            <w:r>
              <w:rPr>
                <w:sz w:val="22"/>
              </w:rPr>
              <w:t>monitoreo de contaminantes;</w:t>
            </w:r>
          </w:p>
          <w:p>
            <w:pPr>
              <w:pStyle w:val="TableParagraph"/>
              <w:numPr>
                <w:ilvl w:val="0"/>
                <w:numId w:val="47"/>
              </w:numPr>
              <w:tabs>
                <w:tab w:pos="729" w:val="left" w:leader="none"/>
                <w:tab w:pos="730" w:val="left" w:leader="none"/>
              </w:tabs>
              <w:spacing w:line="240" w:lineRule="auto" w:before="1" w:after="0"/>
              <w:ind w:left="100" w:right="198" w:firstLine="0"/>
              <w:jc w:val="left"/>
              <w:rPr>
                <w:sz w:val="22"/>
              </w:rPr>
            </w:pPr>
            <w:r>
              <w:rPr>
                <w:sz w:val="22"/>
              </w:rPr>
              <w:t>Implantar medidas y mecanismos para prevenir, restaurar y corregir la contaminación del aire, suelo, agua y del ambiente en</w:t>
            </w:r>
            <w:r>
              <w:rPr>
                <w:spacing w:val="-5"/>
                <w:sz w:val="22"/>
              </w:rPr>
              <w:t> </w:t>
            </w:r>
            <w:r>
              <w:rPr>
                <w:sz w:val="22"/>
              </w:rPr>
              <w:t>general;</w:t>
            </w:r>
          </w:p>
          <w:p>
            <w:pPr>
              <w:pStyle w:val="TableParagraph"/>
              <w:numPr>
                <w:ilvl w:val="0"/>
                <w:numId w:val="47"/>
              </w:numPr>
              <w:tabs>
                <w:tab w:pos="729" w:val="left" w:leader="none"/>
                <w:tab w:pos="730" w:val="left" w:leader="none"/>
              </w:tabs>
              <w:spacing w:line="252" w:lineRule="exact" w:before="1" w:after="0"/>
              <w:ind w:left="729" w:right="0" w:hanging="629"/>
              <w:jc w:val="left"/>
              <w:rPr>
                <w:sz w:val="22"/>
              </w:rPr>
            </w:pPr>
            <w:r>
              <w:rPr>
                <w:sz w:val="22"/>
              </w:rPr>
              <w:t>Difundir los programas y estrategias</w:t>
            </w:r>
            <w:r>
              <w:rPr>
                <w:spacing w:val="-19"/>
                <w:sz w:val="22"/>
              </w:rPr>
              <w:t> </w:t>
            </w:r>
            <w:r>
              <w:rPr>
                <w:sz w:val="22"/>
              </w:rPr>
              <w:t>relacionadas</w:t>
            </w:r>
          </w:p>
          <w:p>
            <w:pPr>
              <w:pStyle w:val="TableParagraph"/>
              <w:spacing w:line="252" w:lineRule="exact"/>
              <w:ind w:left="100" w:right="169"/>
              <w:rPr>
                <w:sz w:val="22"/>
              </w:rPr>
            </w:pPr>
            <w:r>
              <w:rPr>
                <w:sz w:val="22"/>
              </w:rPr>
              <w:t>con el equilibrio ecológico y la protección al ambiente;</w:t>
            </w:r>
          </w:p>
          <w:p>
            <w:pPr>
              <w:pStyle w:val="TableParagraph"/>
              <w:numPr>
                <w:ilvl w:val="0"/>
                <w:numId w:val="47"/>
              </w:numPr>
              <w:tabs>
                <w:tab w:pos="729" w:val="left" w:leader="none"/>
                <w:tab w:pos="730" w:val="left" w:leader="none"/>
              </w:tabs>
              <w:spacing w:line="240" w:lineRule="auto" w:before="1" w:after="0"/>
              <w:ind w:left="100" w:right="370" w:firstLine="0"/>
              <w:jc w:val="left"/>
              <w:rPr>
                <w:sz w:val="22"/>
              </w:rPr>
            </w:pPr>
            <w:r>
              <w:rPr>
                <w:sz w:val="22"/>
              </w:rPr>
              <w:t>Promover la educación y la participación comunitaria, social y privada, para la preservación y restauración de los recursos naturales y la protección al ambiente;</w:t>
            </w:r>
          </w:p>
          <w:p>
            <w:pPr>
              <w:pStyle w:val="TableParagraph"/>
              <w:numPr>
                <w:ilvl w:val="0"/>
                <w:numId w:val="47"/>
              </w:numPr>
              <w:tabs>
                <w:tab w:pos="729" w:val="left" w:leader="none"/>
                <w:tab w:pos="730" w:val="left" w:leader="none"/>
              </w:tabs>
              <w:spacing w:line="240" w:lineRule="auto" w:before="0" w:after="0"/>
              <w:ind w:left="100" w:right="125" w:firstLine="0"/>
              <w:jc w:val="left"/>
              <w:rPr>
                <w:sz w:val="22"/>
              </w:rPr>
            </w:pPr>
            <w:r>
              <w:rPr>
                <w:sz w:val="22"/>
              </w:rPr>
              <w:t>Aplicar la normatividad para el manejo y</w:t>
            </w:r>
            <w:r>
              <w:rPr>
                <w:spacing w:val="-20"/>
                <w:sz w:val="22"/>
              </w:rPr>
              <w:t> </w:t>
            </w:r>
            <w:r>
              <w:rPr>
                <w:sz w:val="22"/>
              </w:rPr>
              <w:t>disposición final de los residuos industriales, así como para la construcción de los sistemas de tratamiento de aguas residuales;</w:t>
            </w:r>
          </w:p>
          <w:p>
            <w:pPr>
              <w:pStyle w:val="TableParagraph"/>
              <w:numPr>
                <w:ilvl w:val="0"/>
                <w:numId w:val="47"/>
              </w:numPr>
              <w:tabs>
                <w:tab w:pos="729" w:val="left" w:leader="none"/>
                <w:tab w:pos="730" w:val="left" w:leader="none"/>
              </w:tabs>
              <w:spacing w:line="240" w:lineRule="auto" w:before="0" w:after="0"/>
              <w:ind w:left="100" w:right="172" w:firstLine="0"/>
              <w:jc w:val="left"/>
              <w:rPr>
                <w:sz w:val="22"/>
              </w:rPr>
            </w:pPr>
            <w:r>
              <w:rPr>
                <w:sz w:val="22"/>
              </w:rPr>
              <w:t>Promover y ejecutar directamente o por terceros,</w:t>
            </w:r>
            <w:r>
              <w:rPr>
                <w:spacing w:val="-16"/>
                <w:sz w:val="22"/>
              </w:rPr>
              <w:t> </w:t>
            </w:r>
            <w:r>
              <w:rPr>
                <w:sz w:val="22"/>
              </w:rPr>
              <w:t>la construcción y operación de instalaciones para el tratamiento de residuos industriales, desechos sólidos y tóxicos y aguas</w:t>
            </w:r>
            <w:r>
              <w:rPr>
                <w:spacing w:val="-7"/>
                <w:sz w:val="22"/>
              </w:rPr>
              <w:t> </w:t>
            </w:r>
            <w:r>
              <w:rPr>
                <w:sz w:val="22"/>
              </w:rPr>
              <w:t>residuales;</w:t>
            </w:r>
          </w:p>
          <w:p>
            <w:pPr>
              <w:pStyle w:val="TableParagraph"/>
              <w:numPr>
                <w:ilvl w:val="0"/>
                <w:numId w:val="47"/>
              </w:numPr>
              <w:tabs>
                <w:tab w:pos="729" w:val="left" w:leader="none"/>
                <w:tab w:pos="730" w:val="left" w:leader="none"/>
              </w:tabs>
              <w:spacing w:line="240" w:lineRule="auto" w:before="1" w:after="0"/>
              <w:ind w:left="729" w:right="0" w:hanging="629"/>
              <w:jc w:val="left"/>
              <w:rPr>
                <w:sz w:val="22"/>
              </w:rPr>
            </w:pPr>
            <w:r>
              <w:rPr>
                <w:sz w:val="22"/>
              </w:rPr>
              <w:t>Concesionar la construcción,</w:t>
            </w:r>
            <w:r>
              <w:rPr>
                <w:spacing w:val="-15"/>
                <w:sz w:val="22"/>
              </w:rPr>
              <w:t> </w:t>
            </w:r>
            <w:r>
              <w:rPr>
                <w:sz w:val="22"/>
              </w:rPr>
              <w:t>administración,</w:t>
            </w:r>
          </w:p>
        </w:tc>
      </w:tr>
    </w:tbl>
    <w:p>
      <w:pPr>
        <w:spacing w:after="0" w:line="240" w:lineRule="auto"/>
        <w:jc w:val="left"/>
        <w:rPr>
          <w:sz w:val="22"/>
        </w:rPr>
        <w:sectPr>
          <w:pgSz w:w="12240" w:h="15840"/>
          <w:pgMar w:header="0" w:footer="943" w:top="1420" w:bottom="114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45"/>
        <w:gridCol w:w="5925"/>
      </w:tblGrid>
      <w:tr>
        <w:trPr>
          <w:trHeight w:val="5576" w:hRule="exact"/>
        </w:trPr>
        <w:tc>
          <w:tcPr>
            <w:tcW w:w="2045" w:type="dxa"/>
          </w:tcPr>
          <w:p>
            <w:pPr/>
          </w:p>
        </w:tc>
        <w:tc>
          <w:tcPr>
            <w:tcW w:w="5925" w:type="dxa"/>
          </w:tcPr>
          <w:p>
            <w:pPr>
              <w:pStyle w:val="TableParagraph"/>
              <w:spacing w:line="252" w:lineRule="exact" w:before="2"/>
              <w:ind w:left="100" w:right="414"/>
              <w:rPr>
                <w:sz w:val="22"/>
              </w:rPr>
            </w:pPr>
            <w:r>
              <w:rPr>
                <w:sz w:val="22"/>
              </w:rPr>
              <w:t>operación y conservación de las instalaciones a que se refiere la fracción anterior;</w:t>
            </w:r>
          </w:p>
          <w:p>
            <w:pPr>
              <w:pStyle w:val="TableParagraph"/>
              <w:numPr>
                <w:ilvl w:val="0"/>
                <w:numId w:val="48"/>
              </w:numPr>
              <w:tabs>
                <w:tab w:pos="729" w:val="left" w:leader="none"/>
                <w:tab w:pos="730" w:val="left" w:leader="none"/>
              </w:tabs>
              <w:spacing w:line="240" w:lineRule="auto" w:before="0" w:after="0"/>
              <w:ind w:left="100" w:right="515" w:firstLine="0"/>
              <w:jc w:val="left"/>
              <w:rPr>
                <w:sz w:val="22"/>
              </w:rPr>
            </w:pPr>
            <w:r>
              <w:rPr>
                <w:sz w:val="22"/>
              </w:rPr>
              <w:t>Promover, coordinar y participar en acciones</w:t>
            </w:r>
            <w:r>
              <w:rPr>
                <w:spacing w:val="-14"/>
                <w:sz w:val="22"/>
              </w:rPr>
              <w:t> </w:t>
            </w:r>
            <w:r>
              <w:rPr>
                <w:sz w:val="22"/>
              </w:rPr>
              <w:t>de protección, conservación, reforestación, fomento y vigilancia de los recursos forestales en la</w:t>
            </w:r>
            <w:r>
              <w:rPr>
                <w:spacing w:val="-16"/>
                <w:sz w:val="22"/>
              </w:rPr>
              <w:t> </w:t>
            </w:r>
            <w:r>
              <w:rPr>
                <w:sz w:val="22"/>
              </w:rPr>
              <w:t>Entidad;</w:t>
            </w:r>
          </w:p>
          <w:p>
            <w:pPr>
              <w:pStyle w:val="TableParagraph"/>
              <w:numPr>
                <w:ilvl w:val="0"/>
                <w:numId w:val="48"/>
              </w:numPr>
              <w:tabs>
                <w:tab w:pos="729" w:val="left" w:leader="none"/>
                <w:tab w:pos="730" w:val="left" w:leader="none"/>
              </w:tabs>
              <w:spacing w:line="240" w:lineRule="auto" w:before="0" w:after="0"/>
              <w:ind w:left="100" w:right="150" w:firstLine="0"/>
              <w:jc w:val="left"/>
              <w:rPr>
                <w:sz w:val="22"/>
              </w:rPr>
            </w:pPr>
            <w:r>
              <w:rPr>
                <w:sz w:val="22"/>
              </w:rPr>
              <w:t>Regular y promover la protección y preservación</w:t>
            </w:r>
            <w:r>
              <w:rPr>
                <w:spacing w:val="-18"/>
                <w:sz w:val="22"/>
              </w:rPr>
              <w:t> </w:t>
            </w:r>
            <w:r>
              <w:rPr>
                <w:sz w:val="22"/>
              </w:rPr>
              <w:t>de los recursos de fauna y flora silvestres en territorio del Estado;</w:t>
            </w:r>
          </w:p>
          <w:p>
            <w:pPr>
              <w:pStyle w:val="TableParagraph"/>
              <w:numPr>
                <w:ilvl w:val="0"/>
                <w:numId w:val="48"/>
              </w:numPr>
              <w:tabs>
                <w:tab w:pos="729" w:val="left" w:leader="none"/>
                <w:tab w:pos="730" w:val="left" w:leader="none"/>
              </w:tabs>
              <w:spacing w:line="252" w:lineRule="exact" w:before="0" w:after="0"/>
              <w:ind w:left="729" w:right="0" w:hanging="629"/>
              <w:jc w:val="left"/>
              <w:rPr>
                <w:sz w:val="22"/>
              </w:rPr>
            </w:pPr>
            <w:r>
              <w:rPr>
                <w:sz w:val="22"/>
              </w:rPr>
              <w:t>Declarar las áreas naturales protegidas de</w:t>
            </w:r>
            <w:r>
              <w:rPr>
                <w:spacing w:val="-18"/>
                <w:sz w:val="22"/>
              </w:rPr>
              <w:t> </w:t>
            </w:r>
            <w:r>
              <w:rPr>
                <w:sz w:val="22"/>
              </w:rPr>
              <w:t>interés</w:t>
            </w:r>
          </w:p>
          <w:p>
            <w:pPr>
              <w:pStyle w:val="TableParagraph"/>
              <w:spacing w:line="252" w:lineRule="exact" w:before="1"/>
              <w:ind w:left="100" w:right="169"/>
              <w:rPr>
                <w:sz w:val="22"/>
              </w:rPr>
            </w:pPr>
            <w:r>
              <w:rPr>
                <w:sz w:val="22"/>
              </w:rPr>
              <w:t>estatal;</w:t>
            </w:r>
          </w:p>
          <w:p>
            <w:pPr>
              <w:pStyle w:val="TableParagraph"/>
              <w:numPr>
                <w:ilvl w:val="0"/>
                <w:numId w:val="48"/>
              </w:numPr>
              <w:tabs>
                <w:tab w:pos="729" w:val="left" w:leader="none"/>
                <w:tab w:pos="730" w:val="left" w:leader="none"/>
              </w:tabs>
              <w:spacing w:line="240" w:lineRule="auto" w:before="0" w:after="0"/>
              <w:ind w:left="100" w:right="256" w:firstLine="0"/>
              <w:jc w:val="left"/>
              <w:rPr>
                <w:sz w:val="22"/>
              </w:rPr>
            </w:pPr>
            <w:r>
              <w:rPr>
                <w:sz w:val="22"/>
              </w:rPr>
              <w:t>Fomentar, ejecutar y en su caso, operar parques y áreas</w:t>
            </w:r>
            <w:r>
              <w:rPr>
                <w:spacing w:val="-2"/>
                <w:sz w:val="22"/>
              </w:rPr>
              <w:t> </w:t>
            </w:r>
            <w:r>
              <w:rPr>
                <w:sz w:val="22"/>
              </w:rPr>
              <w:t>verdes;</w:t>
            </w:r>
          </w:p>
          <w:p>
            <w:pPr>
              <w:pStyle w:val="TableParagraph"/>
              <w:numPr>
                <w:ilvl w:val="0"/>
                <w:numId w:val="48"/>
              </w:numPr>
              <w:tabs>
                <w:tab w:pos="729" w:val="left" w:leader="none"/>
                <w:tab w:pos="730" w:val="left" w:leader="none"/>
              </w:tabs>
              <w:spacing w:line="252" w:lineRule="exact" w:before="1" w:after="0"/>
              <w:ind w:left="729" w:right="0" w:hanging="629"/>
              <w:jc w:val="left"/>
              <w:rPr>
                <w:sz w:val="22"/>
              </w:rPr>
            </w:pPr>
            <w:r>
              <w:rPr>
                <w:sz w:val="22"/>
              </w:rPr>
              <w:t>Administrar, vigilar y controlar los parques</w:t>
            </w:r>
            <w:r>
              <w:rPr>
                <w:spacing w:val="-19"/>
                <w:sz w:val="22"/>
              </w:rPr>
              <w:t> </w:t>
            </w:r>
            <w:r>
              <w:rPr>
                <w:sz w:val="22"/>
              </w:rPr>
              <w:t>naturales</w:t>
            </w:r>
          </w:p>
          <w:p>
            <w:pPr>
              <w:pStyle w:val="TableParagraph"/>
              <w:spacing w:line="252" w:lineRule="exact"/>
              <w:ind w:left="100" w:right="169"/>
              <w:rPr>
                <w:sz w:val="22"/>
              </w:rPr>
            </w:pPr>
            <w:r>
              <w:rPr>
                <w:sz w:val="22"/>
              </w:rPr>
              <w:t>que tenga a su cargo;</w:t>
            </w:r>
          </w:p>
          <w:p>
            <w:pPr>
              <w:pStyle w:val="TableParagraph"/>
              <w:numPr>
                <w:ilvl w:val="0"/>
                <w:numId w:val="48"/>
              </w:numPr>
              <w:tabs>
                <w:tab w:pos="729" w:val="left" w:leader="none"/>
                <w:tab w:pos="730" w:val="left" w:leader="none"/>
              </w:tabs>
              <w:spacing w:line="252" w:lineRule="exact" w:before="2" w:after="0"/>
              <w:ind w:left="729" w:right="0" w:hanging="629"/>
              <w:jc w:val="left"/>
              <w:rPr>
                <w:sz w:val="22"/>
              </w:rPr>
            </w:pPr>
            <w:r>
              <w:rPr>
                <w:sz w:val="22"/>
              </w:rPr>
              <w:t>Promover y fomentar las</w:t>
            </w:r>
            <w:r>
              <w:rPr>
                <w:spacing w:val="-10"/>
                <w:sz w:val="22"/>
              </w:rPr>
              <w:t> </w:t>
            </w:r>
            <w:r>
              <w:rPr>
                <w:sz w:val="22"/>
              </w:rPr>
              <w:t>investigaciones</w:t>
            </w:r>
          </w:p>
          <w:p>
            <w:pPr>
              <w:pStyle w:val="TableParagraph"/>
              <w:spacing w:line="252" w:lineRule="exact"/>
              <w:ind w:left="100" w:right="169"/>
              <w:rPr>
                <w:sz w:val="22"/>
              </w:rPr>
            </w:pPr>
            <w:r>
              <w:rPr>
                <w:sz w:val="22"/>
              </w:rPr>
              <w:t>ecológicas;</w:t>
            </w:r>
          </w:p>
          <w:p>
            <w:pPr>
              <w:pStyle w:val="TableParagraph"/>
              <w:numPr>
                <w:ilvl w:val="0"/>
                <w:numId w:val="48"/>
              </w:numPr>
              <w:tabs>
                <w:tab w:pos="729" w:val="left" w:leader="none"/>
                <w:tab w:pos="730" w:val="left" w:leader="none"/>
              </w:tabs>
              <w:spacing w:line="240" w:lineRule="auto" w:before="1" w:after="0"/>
              <w:ind w:left="100" w:right="219" w:firstLine="0"/>
              <w:jc w:val="left"/>
              <w:rPr>
                <w:sz w:val="22"/>
              </w:rPr>
            </w:pPr>
            <w:r>
              <w:rPr>
                <w:sz w:val="22"/>
              </w:rPr>
              <w:t>Emitir dictámenes técnicos para cuantificar el daño causado al</w:t>
            </w:r>
            <w:r>
              <w:rPr>
                <w:spacing w:val="-5"/>
                <w:sz w:val="22"/>
              </w:rPr>
              <w:t> </w:t>
            </w:r>
            <w:r>
              <w:rPr>
                <w:sz w:val="22"/>
              </w:rPr>
              <w:t>ambiente.</w:t>
            </w:r>
          </w:p>
          <w:p>
            <w:pPr>
              <w:pStyle w:val="TableParagraph"/>
              <w:ind w:left="100" w:right="255"/>
              <w:rPr>
                <w:sz w:val="22"/>
              </w:rPr>
            </w:pPr>
            <w:r>
              <w:rPr>
                <w:sz w:val="22"/>
              </w:rPr>
              <w:t>Aplicar las sanciones previstas en las disposiciones legales de la materia y promover la aplicación de las que correspondan a otras autoridades; Las demás que le señalen las leyes y reglamentos vigentes en el Estado.</w:t>
            </w:r>
          </w:p>
        </w:tc>
      </w:tr>
      <w:tr>
        <w:trPr>
          <w:trHeight w:val="7347" w:hRule="exact"/>
        </w:trPr>
        <w:tc>
          <w:tcPr>
            <w:tcW w:w="2045" w:type="dxa"/>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6"/>
              <w:ind w:left="0"/>
              <w:rPr>
                <w:b/>
                <w:sz w:val="21"/>
              </w:rPr>
            </w:pPr>
          </w:p>
          <w:p>
            <w:pPr>
              <w:pStyle w:val="TableParagraph"/>
              <w:ind w:right="481"/>
              <w:rPr>
                <w:b/>
                <w:sz w:val="22"/>
              </w:rPr>
            </w:pPr>
            <w:r>
              <w:rPr>
                <w:b/>
                <w:sz w:val="22"/>
              </w:rPr>
              <w:t>Secretaría de Desarrollo Agropecuario (Sedagro)</w:t>
            </w:r>
          </w:p>
        </w:tc>
        <w:tc>
          <w:tcPr>
            <w:tcW w:w="5925" w:type="dxa"/>
          </w:tcPr>
          <w:p>
            <w:pPr>
              <w:pStyle w:val="TableParagraph"/>
              <w:numPr>
                <w:ilvl w:val="0"/>
                <w:numId w:val="49"/>
              </w:numPr>
              <w:tabs>
                <w:tab w:pos="311" w:val="left" w:leader="none"/>
              </w:tabs>
              <w:spacing w:line="240" w:lineRule="auto" w:before="0" w:after="0"/>
              <w:ind w:left="100" w:right="104" w:firstLine="0"/>
              <w:jc w:val="both"/>
              <w:rPr>
                <w:sz w:val="22"/>
              </w:rPr>
            </w:pPr>
            <w:r>
              <w:rPr>
                <w:sz w:val="22"/>
              </w:rPr>
              <w:t>Tiene como misión planear e impulsar el desarrollo integral y sustentable de las actividades agropecuarias y forestales, con visión empresarial y  responsabilidad social, para contribuir al mejoramiento de las condiciones de vida de los productores del campo mexiquense y a la seguridad</w:t>
            </w:r>
            <w:r>
              <w:rPr>
                <w:spacing w:val="-7"/>
                <w:sz w:val="22"/>
              </w:rPr>
              <w:t> </w:t>
            </w:r>
            <w:r>
              <w:rPr>
                <w:sz w:val="22"/>
              </w:rPr>
              <w:t>alimentaria.</w:t>
            </w:r>
          </w:p>
          <w:p>
            <w:pPr>
              <w:pStyle w:val="TableParagraph"/>
              <w:spacing w:before="1"/>
              <w:ind w:left="100" w:right="100"/>
              <w:jc w:val="both"/>
              <w:rPr>
                <w:sz w:val="22"/>
              </w:rPr>
            </w:pPr>
            <w:r>
              <w:rPr>
                <w:sz w:val="22"/>
              </w:rPr>
              <w:t>-Su objetivo general es promover y regular el desarrollo agropecuario, acuícola, infraestructura hidroagrícola, desarrollo rural e investigación, así como el establecimiento de agroindustrias y la comercialización de la producción, a fin de coadyuvar en la atención y solución de los problemas del campo en beneficio de los productores en la entidad.</w:t>
            </w:r>
          </w:p>
          <w:p>
            <w:pPr>
              <w:pStyle w:val="TableParagraph"/>
              <w:ind w:left="100" w:right="100"/>
              <w:jc w:val="both"/>
              <w:rPr>
                <w:sz w:val="22"/>
              </w:rPr>
            </w:pPr>
            <w:r>
              <w:rPr>
                <w:sz w:val="22"/>
              </w:rPr>
              <w:t>-Planear e impulsar el desarrollo integral y sustentable de las actividades agropecuarias y forestales.</w:t>
            </w:r>
          </w:p>
          <w:p>
            <w:pPr>
              <w:pStyle w:val="TableParagraph"/>
              <w:numPr>
                <w:ilvl w:val="0"/>
                <w:numId w:val="49"/>
              </w:numPr>
              <w:tabs>
                <w:tab w:pos="239" w:val="left" w:leader="none"/>
              </w:tabs>
              <w:spacing w:line="240" w:lineRule="auto" w:before="0" w:after="0"/>
              <w:ind w:left="100" w:right="102" w:firstLine="0"/>
              <w:jc w:val="both"/>
              <w:rPr>
                <w:sz w:val="22"/>
              </w:rPr>
            </w:pPr>
            <w:r>
              <w:rPr>
                <w:sz w:val="22"/>
              </w:rPr>
              <w:t>Planear y coordinar las actividades que tienen asignadas los organismos auxiliares adscritos sectorialmente a la Secretaría de Desarrollo Agropecuario, en los términos de la legislación vigente; así como autorizar sus planes y programas conforme a los objetivos, metas y políticas que determine el Ejecutivo del</w:t>
            </w:r>
            <w:r>
              <w:rPr>
                <w:spacing w:val="-11"/>
                <w:sz w:val="22"/>
              </w:rPr>
              <w:t> </w:t>
            </w:r>
            <w:r>
              <w:rPr>
                <w:sz w:val="22"/>
              </w:rPr>
              <w:t>Estado.</w:t>
            </w:r>
          </w:p>
          <w:p>
            <w:pPr>
              <w:pStyle w:val="TableParagraph"/>
              <w:numPr>
                <w:ilvl w:val="0"/>
                <w:numId w:val="49"/>
              </w:numPr>
              <w:tabs>
                <w:tab w:pos="279" w:val="left" w:leader="none"/>
              </w:tabs>
              <w:spacing w:line="240" w:lineRule="auto" w:before="1" w:after="0"/>
              <w:ind w:left="100" w:right="104" w:firstLine="0"/>
              <w:jc w:val="both"/>
              <w:rPr>
                <w:sz w:val="22"/>
              </w:rPr>
            </w:pPr>
            <w:r>
              <w:rPr>
                <w:sz w:val="22"/>
              </w:rPr>
              <w:t>Someter a la aprobación del Ejecutivo del Estado, los proyectos, planes y programas tendientes a fortalecer e incrementar el desarrollo de las actividades encomendadas a la</w:t>
            </w:r>
            <w:r>
              <w:rPr>
                <w:spacing w:val="-5"/>
                <w:sz w:val="22"/>
              </w:rPr>
              <w:t> </w:t>
            </w:r>
            <w:r>
              <w:rPr>
                <w:sz w:val="22"/>
              </w:rPr>
              <w:t>Secretaría.</w:t>
            </w:r>
          </w:p>
          <w:p>
            <w:pPr>
              <w:pStyle w:val="TableParagraph"/>
              <w:numPr>
                <w:ilvl w:val="0"/>
                <w:numId w:val="49"/>
              </w:numPr>
              <w:tabs>
                <w:tab w:pos="248" w:val="left" w:leader="none"/>
              </w:tabs>
              <w:spacing w:line="240" w:lineRule="auto" w:before="0" w:after="0"/>
              <w:ind w:left="100" w:right="106" w:firstLine="0"/>
              <w:jc w:val="both"/>
              <w:rPr>
                <w:sz w:val="22"/>
              </w:rPr>
            </w:pPr>
            <w:r>
              <w:rPr>
                <w:sz w:val="22"/>
              </w:rPr>
              <w:t>Proponer al Ejecutivo del Estado los proyectos de leyes, reglamentos, decretos, acuerdos y demás disposiciones sobre los asuntos que sean competencia de la Secretaría y de los organismos auxiliares bajo su</w:t>
            </w:r>
            <w:r>
              <w:rPr>
                <w:spacing w:val="-13"/>
                <w:sz w:val="22"/>
              </w:rPr>
              <w:t> </w:t>
            </w:r>
            <w:r>
              <w:rPr>
                <w:sz w:val="22"/>
              </w:rPr>
              <w:t>coordinación.</w:t>
            </w:r>
          </w:p>
        </w:tc>
      </w:tr>
    </w:tbl>
    <w:p>
      <w:pPr>
        <w:spacing w:after="0" w:line="240" w:lineRule="auto"/>
        <w:jc w:val="both"/>
        <w:rPr>
          <w:sz w:val="22"/>
        </w:rPr>
        <w:sectPr>
          <w:pgSz w:w="12240" w:h="15840"/>
          <w:pgMar w:header="0" w:footer="943" w:top="1420" w:bottom="1140" w:left="1480" w:right="1580"/>
        </w:sectPr>
      </w:pPr>
    </w:p>
    <w:p>
      <w:pPr>
        <w:pStyle w:val="BodyText"/>
        <w:ind w:left="109"/>
        <w:rPr>
          <w:sz w:val="20"/>
        </w:rPr>
      </w:pPr>
      <w:r>
        <w:rPr>
          <w:sz w:val="20"/>
        </w:rPr>
        <w:pict>
          <v:group style="width:399pt;height:355.8pt;mso-position-horizontal-relative:char;mso-position-vertical-relative:line" coordorigin="0,0" coordsize="7980,7116">
            <v:line style="position:absolute" from="10,10" to="2045,10" stroked="true" strokeweight=".48pt" strokecolor="#000000"/>
            <v:line style="position:absolute" from="2055,10" to="7970,10" stroked="true" strokeweight=".48pt" strokecolor="#000000"/>
            <v:line style="position:absolute" from="5,5" to="5,7110" stroked="true" strokeweight=".48pt" strokecolor="#000000"/>
            <v:line style="position:absolute" from="10,7106" to="2045,7106" stroked="true" strokeweight=".48001pt" strokecolor="#000000"/>
            <v:line style="position:absolute" from="2050,5" to="2050,7110" stroked="true" strokeweight=".48001pt" strokecolor="#000000"/>
            <v:line style="position:absolute" from="2055,7106" to="7970,7106" stroked="true" strokeweight=".48001pt" strokecolor="#000000"/>
            <v:line style="position:absolute" from="7975,5" to="7975,7110" stroked="true" strokeweight=".48001pt" strokecolor="#000000"/>
            <v:shape style="position:absolute;left:2050;top:10;width:5925;height:7096" type="#_x0000_t202" filled="false" stroked="false">
              <v:textbox inset="0,0,0,0">
                <w:txbxContent>
                  <w:p>
                    <w:pPr>
                      <w:numPr>
                        <w:ilvl w:val="0"/>
                        <w:numId w:val="50"/>
                      </w:numPr>
                      <w:tabs>
                        <w:tab w:pos="275" w:val="left" w:leader="none"/>
                      </w:tabs>
                      <w:spacing w:before="2"/>
                      <w:ind w:left="105" w:right="107" w:firstLine="0"/>
                      <w:jc w:val="both"/>
                      <w:rPr>
                        <w:sz w:val="22"/>
                      </w:rPr>
                    </w:pPr>
                    <w:r>
                      <w:rPr>
                        <w:sz w:val="22"/>
                      </w:rPr>
                      <w:t>Autorizar el proyecto de presupuesto de egresos de la Secretaría, de las comisiones que presida, así como de los organismos auxiliares del Sector, remitiéndolos para su revisión y aprobación a la Secretaría de</w:t>
                    </w:r>
                    <w:r>
                      <w:rPr>
                        <w:spacing w:val="-15"/>
                        <w:sz w:val="22"/>
                      </w:rPr>
                      <w:t> </w:t>
                    </w:r>
                    <w:r>
                      <w:rPr>
                        <w:sz w:val="22"/>
                      </w:rPr>
                      <w:t>Finanzas.</w:t>
                    </w:r>
                  </w:p>
                  <w:p>
                    <w:pPr>
                      <w:numPr>
                        <w:ilvl w:val="0"/>
                        <w:numId w:val="50"/>
                      </w:numPr>
                      <w:tabs>
                        <w:tab w:pos="311" w:val="left" w:leader="none"/>
                      </w:tabs>
                      <w:spacing w:before="1"/>
                      <w:ind w:left="105" w:right="109" w:firstLine="0"/>
                      <w:jc w:val="both"/>
                      <w:rPr>
                        <w:sz w:val="22"/>
                      </w:rPr>
                    </w:pPr>
                    <w:r>
                      <w:rPr>
                        <w:sz w:val="22"/>
                      </w:rPr>
                      <w:t>Refrendar, para su validez y observancia, las leyes, reglamentos, decretos, acuerdos y órdenes expedidas por el Ejecutivo del Estado, cuando éstas se refieran a asuntos que sean competencia de la</w:t>
                    </w:r>
                    <w:r>
                      <w:rPr>
                        <w:spacing w:val="-11"/>
                        <w:sz w:val="22"/>
                      </w:rPr>
                      <w:t> </w:t>
                    </w:r>
                    <w:r>
                      <w:rPr>
                        <w:sz w:val="22"/>
                      </w:rPr>
                      <w:t>Secretaría.</w:t>
                    </w:r>
                  </w:p>
                  <w:p>
                    <w:pPr>
                      <w:numPr>
                        <w:ilvl w:val="0"/>
                        <w:numId w:val="50"/>
                      </w:numPr>
                      <w:tabs>
                        <w:tab w:pos="253" w:val="left" w:leader="none"/>
                      </w:tabs>
                      <w:spacing w:before="0"/>
                      <w:ind w:left="105" w:right="108" w:firstLine="0"/>
                      <w:jc w:val="both"/>
                      <w:rPr>
                        <w:sz w:val="22"/>
                      </w:rPr>
                    </w:pPr>
                    <w:r>
                      <w:rPr>
                        <w:sz w:val="22"/>
                      </w:rPr>
                      <w:t>Aprobar, en coordinación con la Secretaría de Finanzas, los reglamentos interiores, manuales de organización, de procedimientos y las guías de servicios al público de la Secretaría y de sus organismos</w:t>
                    </w:r>
                    <w:r>
                      <w:rPr>
                        <w:spacing w:val="-11"/>
                        <w:sz w:val="22"/>
                      </w:rPr>
                      <w:t> </w:t>
                    </w:r>
                    <w:r>
                      <w:rPr>
                        <w:sz w:val="22"/>
                      </w:rPr>
                      <w:t>auxiliares.</w:t>
                    </w:r>
                  </w:p>
                  <w:p>
                    <w:pPr>
                      <w:numPr>
                        <w:ilvl w:val="0"/>
                        <w:numId w:val="50"/>
                      </w:numPr>
                      <w:tabs>
                        <w:tab w:pos="332" w:val="left" w:leader="none"/>
                      </w:tabs>
                      <w:spacing w:line="240" w:lineRule="auto" w:before="1"/>
                      <w:ind w:left="105" w:right="109" w:firstLine="0"/>
                      <w:jc w:val="both"/>
                      <w:rPr>
                        <w:sz w:val="22"/>
                      </w:rPr>
                    </w:pPr>
                    <w:r>
                      <w:rPr>
                        <w:sz w:val="22"/>
                      </w:rPr>
                      <w:t>Conocer y, en su caso, aprobar la organización y funcionamiento interno de la Secretaría y de los organismos auxiliares</w:t>
                    </w:r>
                    <w:r>
                      <w:rPr>
                        <w:spacing w:val="-9"/>
                        <w:sz w:val="22"/>
                      </w:rPr>
                      <w:t> </w:t>
                    </w:r>
                    <w:r>
                      <w:rPr>
                        <w:sz w:val="22"/>
                      </w:rPr>
                      <w:t>sectorizados.</w:t>
                    </w:r>
                  </w:p>
                  <w:p>
                    <w:pPr>
                      <w:numPr>
                        <w:ilvl w:val="0"/>
                        <w:numId w:val="50"/>
                      </w:numPr>
                      <w:tabs>
                        <w:tab w:pos="294" w:val="left" w:leader="none"/>
                      </w:tabs>
                      <w:spacing w:before="0"/>
                      <w:ind w:left="105" w:right="113" w:firstLine="0"/>
                      <w:jc w:val="both"/>
                      <w:rPr>
                        <w:sz w:val="22"/>
                      </w:rPr>
                    </w:pPr>
                    <w:r>
                      <w:rPr>
                        <w:sz w:val="22"/>
                      </w:rPr>
                      <w:t>Dirigir y controlar la política general de la Secretaría, conforme a las directrices dispuestas por el Ejecutivo del Estado.</w:t>
                    </w:r>
                  </w:p>
                  <w:p>
                    <w:pPr>
                      <w:numPr>
                        <w:ilvl w:val="0"/>
                        <w:numId w:val="50"/>
                      </w:numPr>
                      <w:tabs>
                        <w:tab w:pos="361" w:val="left" w:leader="none"/>
                      </w:tabs>
                      <w:spacing w:before="0"/>
                      <w:ind w:left="105" w:right="106" w:firstLine="0"/>
                      <w:jc w:val="both"/>
                      <w:rPr>
                        <w:sz w:val="22"/>
                      </w:rPr>
                    </w:pPr>
                    <w:r>
                      <w:rPr>
                        <w:sz w:val="22"/>
                      </w:rPr>
                      <w:t>Dirigir y evaluar las actividades de las unidades administrativas adscritas a la Secretaría, así como de los organismos auxiliares</w:t>
                    </w:r>
                    <w:r>
                      <w:rPr>
                        <w:spacing w:val="-10"/>
                        <w:sz w:val="22"/>
                      </w:rPr>
                      <w:t> </w:t>
                    </w:r>
                    <w:r>
                      <w:rPr>
                        <w:sz w:val="22"/>
                      </w:rPr>
                      <w:t>sectorizados.</w:t>
                    </w:r>
                  </w:p>
                  <w:p>
                    <w:pPr>
                      <w:numPr>
                        <w:ilvl w:val="0"/>
                        <w:numId w:val="50"/>
                      </w:numPr>
                      <w:tabs>
                        <w:tab w:pos="277" w:val="left" w:leader="none"/>
                      </w:tabs>
                      <w:spacing w:before="1"/>
                      <w:ind w:left="105" w:right="107" w:firstLine="0"/>
                      <w:jc w:val="both"/>
                      <w:rPr>
                        <w:sz w:val="22"/>
                      </w:rPr>
                    </w:pPr>
                    <w:r>
                      <w:rPr>
                        <w:sz w:val="22"/>
                      </w:rPr>
                      <w:t>Verificar que se proporcione, cuando le sea requerida, información de las labores realizadas por la Secretaría, la cual será empleada en la formulación de los informes anuales del Ejecutivo del Estado y en la integración de la memoria de</w:t>
                    </w:r>
                    <w:r>
                      <w:rPr>
                        <w:spacing w:val="-6"/>
                        <w:sz w:val="22"/>
                      </w:rPr>
                      <w:t> </w:t>
                    </w:r>
                    <w:r>
                      <w:rPr>
                        <w:sz w:val="22"/>
                      </w:rPr>
                      <w:t>Gobierno,</w:t>
                    </w:r>
                  </w:p>
                  <w:p>
                    <w:pPr>
                      <w:numPr>
                        <w:ilvl w:val="0"/>
                        <w:numId w:val="50"/>
                      </w:numPr>
                      <w:tabs>
                        <w:tab w:pos="243" w:val="left" w:leader="none"/>
                      </w:tabs>
                      <w:spacing w:before="1"/>
                      <w:ind w:left="105" w:right="115" w:firstLine="0"/>
                      <w:jc w:val="both"/>
                      <w:rPr>
                        <w:sz w:val="22"/>
                      </w:rPr>
                    </w:pPr>
                    <w:r>
                      <w:rPr>
                        <w:sz w:val="22"/>
                      </w:rPr>
                      <w:t>Desarrollar las demás funciones inherentes al área de su competencia.</w:t>
                    </w:r>
                  </w:p>
                </w:txbxContent>
              </v:textbox>
              <w10:wrap type="none"/>
            </v:shape>
          </v:group>
        </w:pict>
      </w:r>
      <w:r>
        <w:rPr>
          <w:sz w:val="20"/>
        </w:rPr>
      </w:r>
    </w:p>
    <w:p>
      <w:pPr>
        <w:pStyle w:val="BodyText"/>
        <w:spacing w:line="202" w:lineRule="exact"/>
        <w:ind w:left="222" w:right="193"/>
      </w:pPr>
      <w:r>
        <w:rPr>
          <w:b/>
          <w:spacing w:val="-1"/>
        </w:rPr>
        <w:t>Fuentes:</w:t>
      </w:r>
      <w:r>
        <w:rPr>
          <w:b/>
          <w:spacing w:val="56"/>
        </w:rPr>
        <w:t> </w:t>
      </w:r>
      <w:hyperlink r:id="rId148">
        <w:r>
          <w:rPr>
            <w:spacing w:val="-1"/>
          </w:rPr>
          <w:t>http://qacontent.edomex.gob.mx/caem/acercadelacaem/funciones/index.htm</w:t>
        </w:r>
      </w:hyperlink>
      <w:r>
        <w:rPr>
          <w:spacing w:val="-1"/>
        </w:rPr>
        <w:t>,</w:t>
      </w:r>
    </w:p>
    <w:p>
      <w:pPr>
        <w:pStyle w:val="BodyText"/>
        <w:spacing w:line="276" w:lineRule="auto" w:before="40"/>
        <w:ind w:left="222" w:right="193"/>
      </w:pPr>
      <w:hyperlink r:id="rId149">
        <w:r>
          <w:rPr/>
          <w:t>http://www.edomex.gob.mx/saop</w:t>
        </w:r>
      </w:hyperlink>
      <w:r>
        <w:rPr/>
        <w:t> </w:t>
      </w:r>
      <w:hyperlink r:id="rId150">
        <w:r>
          <w:rPr/>
          <w:t>http://portal2.edomex.gob.mx/sma/acerca_secretaria/funciones/index.htm</w:t>
        </w:r>
      </w:hyperlink>
      <w:r>
        <w:rPr/>
        <w:t> </w:t>
      </w:r>
      <w:hyperlink r:id="rId151">
        <w:r>
          <w:rPr/>
          <w:t>http://portal2.edomex.gob.mx/sedagro/acerca_secretaria/funciones./index.htm</w:t>
        </w:r>
      </w:hyperlink>
      <w:r>
        <w:rPr/>
        <w:t> </w:t>
      </w:r>
      <w:hyperlink r:id="rId152">
        <w:r>
          <w:rPr>
            <w:color w:val="0000FF"/>
            <w:u w:val="single" w:color="0000FF"/>
          </w:rPr>
          <w:t>http://sedagro.edomex.gob.mx/mision_vision_objetivo</w:t>
        </w:r>
      </w:hyperlink>
      <w:r>
        <w:rPr>
          <w:color w:val="0000FF"/>
          <w:u w:val="single" w:color="0000FF"/>
        </w:rPr>
        <w:t> </w:t>
      </w:r>
      <w:hyperlink r:id="rId153">
        <w:r>
          <w:rPr>
            <w:color w:val="0000FF"/>
            <w:u w:val="single" w:color="0000FF"/>
          </w:rPr>
          <w:t>http://portal2.edomex.gob.mx/sma/acerca_secretaria/mision_vision_objetivo/index.htm</w:t>
        </w:r>
      </w:hyperlink>
      <w:r>
        <w:rPr>
          <w:color w:val="0000FF"/>
          <w:u w:val="single" w:color="0000FF"/>
        </w:rPr>
        <w:t> </w:t>
      </w:r>
      <w:hyperlink r:id="rId154">
        <w:r>
          <w:rPr/>
          <w:t>http://qacontent.edomex.gob.mx/saop/inicio/acerca_de_la_secretaria/mision_vision_y_obj</w:t>
        </w:r>
      </w:hyperlink>
      <w:r>
        <w:rPr/>
        <w:t> etivo/index.htm</w:t>
      </w:r>
    </w:p>
    <w:p>
      <w:pPr>
        <w:pStyle w:val="BodyText"/>
        <w:spacing w:before="11"/>
        <w:rPr>
          <w:sz w:val="26"/>
        </w:rPr>
      </w:pPr>
    </w:p>
    <w:p>
      <w:pPr>
        <w:pStyle w:val="BodyText"/>
        <w:spacing w:line="360" w:lineRule="auto"/>
        <w:ind w:left="222" w:right="116"/>
        <w:jc w:val="both"/>
      </w:pPr>
      <w:r>
        <w:rPr/>
        <w:t>Con la tabla anterior, se desarrolla una matriz de funciones y responsabilidades de las dependencias gubernamentales estatales para con la Cuenca Hidrosocial  Presa Huapango a partir de las funciones publicadas en sus páginas oficiales en la internet, donde se identifica la duplicidad de funciones en las dependencias, así como la omisión de</w:t>
      </w:r>
      <w:r>
        <w:rPr>
          <w:spacing w:val="-4"/>
        </w:rPr>
        <w:t> </w:t>
      </w:r>
      <w:r>
        <w:rPr/>
        <w:t>responsabilidades.</w:t>
      </w:r>
    </w:p>
    <w:p>
      <w:pPr>
        <w:spacing w:after="0" w:line="360" w:lineRule="auto"/>
        <w:jc w:val="both"/>
        <w:sectPr>
          <w:pgSz w:w="12240" w:h="15840"/>
          <w:pgMar w:header="0" w:footer="943" w:top="1420" w:bottom="1140" w:left="1480" w:right="1580"/>
        </w:sectPr>
      </w:pPr>
    </w:p>
    <w:p>
      <w:pPr>
        <w:pStyle w:val="Heading6"/>
        <w:spacing w:line="360" w:lineRule="auto" w:before="53"/>
        <w:ind w:left="658" w:right="642" w:firstLine="564"/>
      </w:pPr>
      <w:r>
        <w:rPr/>
        <w:t>Matriz 5.1. De funciones y responsabilidades de las dependencias gubernamentales estatales para con la Cuenca Hidrosocial Presa Huapango</w:t>
      </w:r>
    </w:p>
    <w:p>
      <w:pPr>
        <w:pStyle w:val="BodyText"/>
        <w:spacing w:before="1"/>
        <w:rPr>
          <w:b/>
          <w:sz w:val="1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9"/>
        <w:gridCol w:w="1297"/>
        <w:gridCol w:w="1354"/>
        <w:gridCol w:w="917"/>
        <w:gridCol w:w="1080"/>
        <w:gridCol w:w="1376"/>
        <w:gridCol w:w="1273"/>
      </w:tblGrid>
      <w:tr>
        <w:trPr>
          <w:trHeight w:val="263" w:hRule="exact"/>
        </w:trPr>
        <w:tc>
          <w:tcPr>
            <w:tcW w:w="7782" w:type="dxa"/>
            <w:gridSpan w:val="6"/>
            <w:shd w:val="clear" w:color="auto" w:fill="585858"/>
          </w:tcPr>
          <w:p>
            <w:pPr>
              <w:pStyle w:val="TableParagraph"/>
              <w:spacing w:line="249" w:lineRule="exact"/>
              <w:ind w:left="2210"/>
              <w:rPr>
                <w:b/>
                <w:sz w:val="22"/>
              </w:rPr>
            </w:pPr>
            <w:r>
              <w:rPr>
                <w:b/>
                <w:sz w:val="22"/>
              </w:rPr>
              <w:t>Funciones y Responsabilidades</w:t>
            </w:r>
          </w:p>
        </w:tc>
        <w:tc>
          <w:tcPr>
            <w:tcW w:w="1273" w:type="dxa"/>
            <w:shd w:val="clear" w:color="auto" w:fill="585858"/>
          </w:tcPr>
          <w:p>
            <w:pPr/>
          </w:p>
        </w:tc>
      </w:tr>
      <w:tr>
        <w:trPr>
          <w:trHeight w:val="6589" w:hRule="exact"/>
        </w:trPr>
        <w:tc>
          <w:tcPr>
            <w:tcW w:w="1759" w:type="dxa"/>
            <w:shd w:val="clear" w:color="auto" w:fill="585858"/>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7"/>
              <w:ind w:left="0"/>
              <w:rPr>
                <w:b/>
                <w:sz w:val="21"/>
              </w:rPr>
            </w:pPr>
          </w:p>
          <w:p>
            <w:pPr>
              <w:pStyle w:val="TableParagraph"/>
              <w:ind w:right="151"/>
              <w:jc w:val="both"/>
              <w:rPr>
                <w:b/>
                <w:sz w:val="22"/>
              </w:rPr>
            </w:pPr>
            <w:r>
              <w:rPr>
                <w:b/>
                <w:sz w:val="22"/>
              </w:rPr>
              <w:t>Dependencias Gubernament ales</w:t>
            </w:r>
          </w:p>
        </w:tc>
        <w:tc>
          <w:tcPr>
            <w:tcW w:w="1297" w:type="dxa"/>
            <w:shd w:val="clear" w:color="auto" w:fill="585858"/>
          </w:tcPr>
          <w:p>
            <w:pPr>
              <w:pStyle w:val="TableParagraph"/>
              <w:tabs>
                <w:tab w:pos="827" w:val="left" w:leader="none"/>
              </w:tabs>
              <w:spacing w:line="242" w:lineRule="auto"/>
              <w:ind w:right="101"/>
              <w:rPr>
                <w:sz w:val="22"/>
              </w:rPr>
            </w:pPr>
            <w:r>
              <w:rPr>
                <w:sz w:val="22"/>
              </w:rPr>
              <w:t>Promover el</w:t>
              <w:tab/>
              <w:t>uso</w:t>
            </w:r>
          </w:p>
          <w:p>
            <w:pPr>
              <w:pStyle w:val="TableParagraph"/>
              <w:tabs>
                <w:tab w:pos="938" w:val="left" w:leader="none"/>
              </w:tabs>
              <w:ind w:right="101"/>
              <w:rPr>
                <w:sz w:val="22"/>
              </w:rPr>
            </w:pPr>
            <w:r>
              <w:rPr>
                <w:sz w:val="22"/>
              </w:rPr>
              <w:t>eficiente del agua y su conservaci ón</w:t>
              <w:tab/>
              <w:t>en</w:t>
            </w:r>
          </w:p>
          <w:p>
            <w:pPr>
              <w:pStyle w:val="TableParagraph"/>
              <w:tabs>
                <w:tab w:pos="901" w:val="left" w:leader="none"/>
              </w:tabs>
              <w:spacing w:line="252" w:lineRule="exact"/>
              <w:rPr>
                <w:sz w:val="22"/>
              </w:rPr>
            </w:pPr>
            <w:r>
              <w:rPr>
                <w:sz w:val="22"/>
              </w:rPr>
              <w:t>todas</w:t>
              <w:tab/>
              <w:t>las</w:t>
            </w:r>
          </w:p>
          <w:p>
            <w:pPr>
              <w:pStyle w:val="TableParagraph"/>
              <w:tabs>
                <w:tab w:pos="890" w:val="left" w:leader="none"/>
              </w:tabs>
              <w:ind w:right="102"/>
              <w:rPr>
                <w:sz w:val="22"/>
              </w:rPr>
            </w:pPr>
            <w:r>
              <w:rPr>
                <w:sz w:val="22"/>
              </w:rPr>
              <w:t>fases</w:t>
              <w:tab/>
            </w:r>
            <w:r>
              <w:rPr>
                <w:spacing w:val="-1"/>
                <w:sz w:val="22"/>
              </w:rPr>
              <w:t>del </w:t>
            </w:r>
            <w:r>
              <w:rPr>
                <w:sz w:val="22"/>
              </w:rPr>
              <w:t>ciclo hidrológico</w:t>
            </w:r>
          </w:p>
          <w:p>
            <w:pPr>
              <w:pStyle w:val="TableParagraph"/>
              <w:spacing w:before="1"/>
              <w:rPr>
                <w:sz w:val="22"/>
              </w:rPr>
            </w:pPr>
            <w:r>
              <w:rPr>
                <w:w w:val="100"/>
                <w:sz w:val="22"/>
              </w:rPr>
              <w:t>.</w:t>
            </w:r>
          </w:p>
        </w:tc>
        <w:tc>
          <w:tcPr>
            <w:tcW w:w="1354" w:type="dxa"/>
            <w:shd w:val="clear" w:color="auto" w:fill="585858"/>
          </w:tcPr>
          <w:p>
            <w:pPr>
              <w:pStyle w:val="TableParagraph"/>
              <w:ind w:left="100" w:right="103"/>
              <w:rPr>
                <w:sz w:val="22"/>
              </w:rPr>
            </w:pPr>
            <w:r>
              <w:rPr>
                <w:sz w:val="22"/>
              </w:rPr>
              <w:t>Planear con las </w:t>
            </w:r>
            <w:r>
              <w:rPr>
                <w:spacing w:val="-1"/>
                <w:sz w:val="22"/>
              </w:rPr>
              <w:t>dependenci </w:t>
            </w:r>
            <w:r>
              <w:rPr>
                <w:sz w:val="22"/>
              </w:rPr>
              <w:t>as municipale s el reuso de aguas residuales tratadas y control y disposición final de lodos productos del tratamiento de aguas residuales.</w:t>
            </w:r>
          </w:p>
        </w:tc>
        <w:tc>
          <w:tcPr>
            <w:tcW w:w="917" w:type="dxa"/>
            <w:shd w:val="clear" w:color="auto" w:fill="585858"/>
          </w:tcPr>
          <w:p>
            <w:pPr>
              <w:pStyle w:val="TableParagraph"/>
              <w:tabs>
                <w:tab w:pos="635" w:val="left" w:leader="none"/>
              </w:tabs>
              <w:ind w:right="99"/>
              <w:rPr>
                <w:sz w:val="22"/>
              </w:rPr>
            </w:pPr>
            <w:r>
              <w:rPr>
                <w:sz w:val="22"/>
              </w:rPr>
              <w:t>Impuls ar</w:t>
              <w:tab/>
              <w:t>la cultura del agua</w:t>
            </w:r>
          </w:p>
        </w:tc>
        <w:tc>
          <w:tcPr>
            <w:tcW w:w="1080" w:type="dxa"/>
            <w:shd w:val="clear" w:color="auto" w:fill="585858"/>
          </w:tcPr>
          <w:p>
            <w:pPr>
              <w:pStyle w:val="TableParagraph"/>
              <w:ind w:right="152"/>
              <w:rPr>
                <w:sz w:val="22"/>
              </w:rPr>
            </w:pPr>
            <w:r>
              <w:rPr>
                <w:sz w:val="22"/>
              </w:rPr>
              <w:t>Protecci ón ambient al</w:t>
            </w:r>
          </w:p>
        </w:tc>
        <w:tc>
          <w:tcPr>
            <w:tcW w:w="1376" w:type="dxa"/>
            <w:shd w:val="clear" w:color="auto" w:fill="585858"/>
          </w:tcPr>
          <w:p>
            <w:pPr>
              <w:pStyle w:val="TableParagraph"/>
              <w:ind w:right="117"/>
              <w:rPr>
                <w:sz w:val="22"/>
              </w:rPr>
            </w:pPr>
            <w:r>
              <w:rPr>
                <w:sz w:val="22"/>
              </w:rPr>
              <w:t>Planear e impulsar el desarrollo integral y sustentable de las actividades agropecuar ias y forestales.</w:t>
            </w:r>
          </w:p>
        </w:tc>
        <w:tc>
          <w:tcPr>
            <w:tcW w:w="1273" w:type="dxa"/>
            <w:shd w:val="clear" w:color="auto" w:fill="585858"/>
          </w:tcPr>
          <w:p>
            <w:pPr>
              <w:pStyle w:val="TableParagraph"/>
              <w:tabs>
                <w:tab w:pos="928" w:val="left" w:leader="none"/>
              </w:tabs>
              <w:spacing w:line="242" w:lineRule="auto"/>
              <w:ind w:right="100"/>
              <w:rPr>
                <w:sz w:val="22"/>
              </w:rPr>
            </w:pPr>
            <w:r>
              <w:rPr>
                <w:sz w:val="22"/>
              </w:rPr>
              <w:t>Refrendar, para</w:t>
              <w:tab/>
              <w:t>su</w:t>
            </w:r>
          </w:p>
          <w:p>
            <w:pPr>
              <w:pStyle w:val="TableParagraph"/>
              <w:ind w:right="100"/>
              <w:jc w:val="both"/>
              <w:rPr>
                <w:sz w:val="22"/>
              </w:rPr>
            </w:pPr>
            <w:r>
              <w:rPr>
                <w:sz w:val="22"/>
              </w:rPr>
              <w:t>validez y observanc ia,       </w:t>
            </w:r>
            <w:r>
              <w:rPr>
                <w:spacing w:val="53"/>
                <w:sz w:val="22"/>
              </w:rPr>
              <w:t> </w:t>
            </w:r>
            <w:r>
              <w:rPr>
                <w:sz w:val="22"/>
              </w:rPr>
              <w:t>las</w:t>
            </w:r>
          </w:p>
          <w:p>
            <w:pPr>
              <w:pStyle w:val="TableParagraph"/>
              <w:tabs>
                <w:tab w:pos="990" w:val="left" w:leader="none"/>
              </w:tabs>
              <w:ind w:right="99"/>
              <w:rPr>
                <w:sz w:val="22"/>
              </w:rPr>
            </w:pPr>
            <w:r>
              <w:rPr>
                <w:sz w:val="22"/>
              </w:rPr>
              <w:t>leyes, reglament os, decretos, acuerdos y órdenes expedidas por</w:t>
              <w:tab/>
              <w:t>el</w:t>
            </w:r>
          </w:p>
          <w:p>
            <w:pPr>
              <w:pStyle w:val="TableParagraph"/>
              <w:tabs>
                <w:tab w:pos="683" w:val="left" w:leader="none"/>
                <w:tab w:pos="928" w:val="left" w:leader="none"/>
              </w:tabs>
              <w:ind w:right="99"/>
              <w:rPr>
                <w:sz w:val="22"/>
              </w:rPr>
            </w:pPr>
            <w:r>
              <w:rPr>
                <w:sz w:val="22"/>
              </w:rPr>
              <w:t>Ejecutivo del Estado, cuando éstas</w:t>
              <w:tab/>
              <w:tab/>
              <w:t>se refieran a asuntos que</w:t>
              <w:tab/>
              <w:t>sean competen cia de la Secretaría</w:t>
            </w:r>
          </w:p>
          <w:p>
            <w:pPr>
              <w:pStyle w:val="TableParagraph"/>
              <w:spacing w:line="252" w:lineRule="exact"/>
              <w:rPr>
                <w:sz w:val="22"/>
              </w:rPr>
            </w:pPr>
            <w:r>
              <w:rPr>
                <w:w w:val="100"/>
                <w:sz w:val="22"/>
              </w:rPr>
              <w:t>.</w:t>
            </w:r>
          </w:p>
        </w:tc>
      </w:tr>
      <w:tr>
        <w:trPr>
          <w:trHeight w:val="768" w:hRule="exact"/>
        </w:trPr>
        <w:tc>
          <w:tcPr>
            <w:tcW w:w="1759" w:type="dxa"/>
          </w:tcPr>
          <w:p>
            <w:pPr>
              <w:pStyle w:val="TableParagraph"/>
              <w:ind w:right="99"/>
              <w:jc w:val="both"/>
              <w:rPr>
                <w:sz w:val="22"/>
              </w:rPr>
            </w:pPr>
            <w:r>
              <w:rPr>
                <w:sz w:val="22"/>
              </w:rPr>
              <w:t>Secretaría del Agua y Obra Pública</w:t>
            </w:r>
          </w:p>
        </w:tc>
        <w:tc>
          <w:tcPr>
            <w:tcW w:w="1297" w:type="dxa"/>
          </w:tcPr>
          <w:p>
            <w:pPr>
              <w:pStyle w:val="TableParagraph"/>
              <w:spacing w:before="9"/>
              <w:ind w:left="0"/>
              <w:rPr>
                <w:b/>
                <w:sz w:val="19"/>
              </w:rPr>
            </w:pPr>
          </w:p>
          <w:p>
            <w:pPr>
              <w:pStyle w:val="TableParagraph"/>
              <w:ind w:left="0" w:right="3"/>
              <w:jc w:val="center"/>
              <w:rPr>
                <w:sz w:val="20"/>
              </w:rPr>
            </w:pPr>
            <w:r>
              <w:rPr>
                <w:w w:val="99"/>
                <w:sz w:val="20"/>
              </w:rPr>
              <w:t>√</w:t>
            </w:r>
          </w:p>
        </w:tc>
        <w:tc>
          <w:tcPr>
            <w:tcW w:w="1354" w:type="dxa"/>
          </w:tcPr>
          <w:p>
            <w:pPr/>
          </w:p>
        </w:tc>
        <w:tc>
          <w:tcPr>
            <w:tcW w:w="917" w:type="dxa"/>
          </w:tcPr>
          <w:p>
            <w:pPr/>
          </w:p>
        </w:tc>
        <w:tc>
          <w:tcPr>
            <w:tcW w:w="1080" w:type="dxa"/>
          </w:tcPr>
          <w:p>
            <w:pPr/>
          </w:p>
        </w:tc>
        <w:tc>
          <w:tcPr>
            <w:tcW w:w="1376" w:type="dxa"/>
          </w:tcPr>
          <w:p>
            <w:pPr/>
          </w:p>
        </w:tc>
        <w:tc>
          <w:tcPr>
            <w:tcW w:w="1273" w:type="dxa"/>
          </w:tcPr>
          <w:p>
            <w:pPr>
              <w:pStyle w:val="TableParagraph"/>
              <w:spacing w:before="9"/>
              <w:ind w:left="0"/>
              <w:rPr>
                <w:b/>
                <w:sz w:val="19"/>
              </w:rPr>
            </w:pPr>
          </w:p>
          <w:p>
            <w:pPr>
              <w:pStyle w:val="TableParagraph"/>
              <w:ind w:left="0"/>
              <w:jc w:val="center"/>
              <w:rPr>
                <w:sz w:val="20"/>
              </w:rPr>
            </w:pPr>
            <w:r>
              <w:rPr>
                <w:w w:val="99"/>
                <w:sz w:val="20"/>
              </w:rPr>
              <w:t>√</w:t>
            </w:r>
          </w:p>
        </w:tc>
      </w:tr>
      <w:tr>
        <w:trPr>
          <w:trHeight w:val="1022" w:hRule="exact"/>
        </w:trPr>
        <w:tc>
          <w:tcPr>
            <w:tcW w:w="1759" w:type="dxa"/>
          </w:tcPr>
          <w:p>
            <w:pPr>
              <w:pStyle w:val="TableParagraph"/>
              <w:tabs>
                <w:tab w:pos="1353" w:val="left" w:leader="none"/>
              </w:tabs>
              <w:spacing w:line="251" w:lineRule="exact"/>
              <w:rPr>
                <w:i/>
                <w:sz w:val="22"/>
              </w:rPr>
            </w:pPr>
            <w:r>
              <w:rPr>
                <w:i/>
                <w:sz w:val="22"/>
              </w:rPr>
              <w:t>Comisión</w:t>
              <w:tab/>
              <w:t>del</w:t>
            </w:r>
          </w:p>
          <w:p>
            <w:pPr>
              <w:pStyle w:val="TableParagraph"/>
              <w:tabs>
                <w:tab w:pos="1353" w:val="left" w:leader="none"/>
              </w:tabs>
              <w:spacing w:line="252" w:lineRule="exact" w:before="1"/>
              <w:rPr>
                <w:i/>
                <w:sz w:val="22"/>
              </w:rPr>
            </w:pPr>
            <w:r>
              <w:rPr>
                <w:i/>
                <w:sz w:val="22"/>
              </w:rPr>
              <w:t>Agua</w:t>
              <w:tab/>
              <w:t>del</w:t>
            </w:r>
          </w:p>
          <w:p>
            <w:pPr>
              <w:pStyle w:val="TableParagraph"/>
              <w:tabs>
                <w:tab w:pos="1403" w:val="left" w:leader="none"/>
              </w:tabs>
              <w:ind w:right="98"/>
              <w:rPr>
                <w:i/>
                <w:sz w:val="22"/>
              </w:rPr>
            </w:pPr>
            <w:r>
              <w:rPr>
                <w:i/>
                <w:sz w:val="22"/>
              </w:rPr>
              <w:t>Estado</w:t>
              <w:tab/>
              <w:t>de </w:t>
            </w:r>
            <w:r>
              <w:rPr>
                <w:i/>
                <w:sz w:val="22"/>
              </w:rPr>
              <w:t>México</w:t>
            </w:r>
            <w:r>
              <w:rPr>
                <w:i/>
                <w:spacing w:val="-4"/>
                <w:sz w:val="22"/>
              </w:rPr>
              <w:t> </w:t>
            </w:r>
            <w:r>
              <w:rPr>
                <w:i/>
                <w:sz w:val="22"/>
              </w:rPr>
              <w:t>(CAEM)</w:t>
            </w:r>
          </w:p>
        </w:tc>
        <w:tc>
          <w:tcPr>
            <w:tcW w:w="1297" w:type="dxa"/>
          </w:tcPr>
          <w:p>
            <w:pPr>
              <w:pStyle w:val="TableParagraph"/>
              <w:spacing w:before="10"/>
              <w:ind w:left="0"/>
              <w:rPr>
                <w:b/>
                <w:sz w:val="21"/>
              </w:rPr>
            </w:pPr>
          </w:p>
          <w:p>
            <w:pPr>
              <w:pStyle w:val="TableParagraph"/>
              <w:ind w:left="0" w:right="3"/>
              <w:jc w:val="center"/>
              <w:rPr>
                <w:sz w:val="20"/>
              </w:rPr>
            </w:pPr>
            <w:r>
              <w:rPr>
                <w:w w:val="99"/>
                <w:sz w:val="20"/>
              </w:rPr>
              <w:t>√</w:t>
            </w:r>
          </w:p>
        </w:tc>
        <w:tc>
          <w:tcPr>
            <w:tcW w:w="1354" w:type="dxa"/>
          </w:tcPr>
          <w:p>
            <w:pPr>
              <w:pStyle w:val="TableParagraph"/>
              <w:spacing w:before="10"/>
              <w:ind w:left="0"/>
              <w:rPr>
                <w:b/>
                <w:sz w:val="21"/>
              </w:rPr>
            </w:pPr>
          </w:p>
          <w:p>
            <w:pPr>
              <w:pStyle w:val="TableParagraph"/>
              <w:ind w:left="0" w:right="3"/>
              <w:jc w:val="center"/>
              <w:rPr>
                <w:sz w:val="20"/>
              </w:rPr>
            </w:pPr>
            <w:r>
              <w:rPr>
                <w:w w:val="99"/>
                <w:sz w:val="20"/>
              </w:rPr>
              <w:t>√</w:t>
            </w:r>
          </w:p>
        </w:tc>
        <w:tc>
          <w:tcPr>
            <w:tcW w:w="917" w:type="dxa"/>
          </w:tcPr>
          <w:p>
            <w:pPr>
              <w:pStyle w:val="TableParagraph"/>
              <w:spacing w:before="9"/>
              <w:ind w:left="0"/>
              <w:rPr>
                <w:b/>
                <w:sz w:val="19"/>
              </w:rPr>
            </w:pPr>
          </w:p>
          <w:p>
            <w:pPr>
              <w:pStyle w:val="TableParagraph"/>
              <w:ind w:left="398"/>
              <w:rPr>
                <w:sz w:val="20"/>
              </w:rPr>
            </w:pPr>
            <w:r>
              <w:rPr>
                <w:w w:val="99"/>
                <w:sz w:val="20"/>
              </w:rPr>
              <w:t>√</w:t>
            </w:r>
          </w:p>
        </w:tc>
        <w:tc>
          <w:tcPr>
            <w:tcW w:w="1080" w:type="dxa"/>
          </w:tcPr>
          <w:p>
            <w:pPr/>
          </w:p>
        </w:tc>
        <w:tc>
          <w:tcPr>
            <w:tcW w:w="1376" w:type="dxa"/>
          </w:tcPr>
          <w:p>
            <w:pPr/>
          </w:p>
        </w:tc>
        <w:tc>
          <w:tcPr>
            <w:tcW w:w="1273" w:type="dxa"/>
          </w:tcPr>
          <w:p>
            <w:pPr/>
          </w:p>
        </w:tc>
      </w:tr>
      <w:tr>
        <w:trPr>
          <w:trHeight w:val="769" w:hRule="exact"/>
        </w:trPr>
        <w:tc>
          <w:tcPr>
            <w:tcW w:w="1759" w:type="dxa"/>
          </w:tcPr>
          <w:p>
            <w:pPr>
              <w:pStyle w:val="TableParagraph"/>
              <w:tabs>
                <w:tab w:pos="1352" w:val="left" w:leader="none"/>
              </w:tabs>
              <w:ind w:right="100"/>
              <w:rPr>
                <w:sz w:val="22"/>
              </w:rPr>
            </w:pPr>
            <w:r>
              <w:rPr>
                <w:sz w:val="22"/>
              </w:rPr>
              <w:t>Secretaría</w:t>
              <w:tab/>
              <w:t>del Medio Ambiente</w:t>
            </w:r>
          </w:p>
        </w:tc>
        <w:tc>
          <w:tcPr>
            <w:tcW w:w="1297" w:type="dxa"/>
          </w:tcPr>
          <w:p>
            <w:pPr>
              <w:pStyle w:val="TableParagraph"/>
              <w:spacing w:line="227" w:lineRule="exact"/>
              <w:ind w:left="0" w:right="3"/>
              <w:jc w:val="center"/>
              <w:rPr>
                <w:sz w:val="20"/>
              </w:rPr>
            </w:pPr>
            <w:r>
              <w:rPr>
                <w:w w:val="99"/>
                <w:sz w:val="20"/>
              </w:rPr>
              <w:t>√</w:t>
            </w:r>
          </w:p>
        </w:tc>
        <w:tc>
          <w:tcPr>
            <w:tcW w:w="1354" w:type="dxa"/>
          </w:tcPr>
          <w:p>
            <w:pPr>
              <w:pStyle w:val="TableParagraph"/>
              <w:spacing w:line="227" w:lineRule="exact"/>
              <w:ind w:left="0" w:right="3"/>
              <w:jc w:val="center"/>
              <w:rPr>
                <w:sz w:val="20"/>
              </w:rPr>
            </w:pPr>
            <w:r>
              <w:rPr>
                <w:w w:val="99"/>
                <w:sz w:val="20"/>
              </w:rPr>
              <w:t>√</w:t>
            </w:r>
          </w:p>
        </w:tc>
        <w:tc>
          <w:tcPr>
            <w:tcW w:w="917" w:type="dxa"/>
          </w:tcPr>
          <w:p>
            <w:pPr>
              <w:pStyle w:val="TableParagraph"/>
              <w:spacing w:line="227" w:lineRule="exact"/>
              <w:ind w:left="398"/>
              <w:rPr>
                <w:sz w:val="20"/>
              </w:rPr>
            </w:pPr>
            <w:r>
              <w:rPr>
                <w:w w:val="99"/>
                <w:sz w:val="20"/>
              </w:rPr>
              <w:t>√</w:t>
            </w:r>
          </w:p>
        </w:tc>
        <w:tc>
          <w:tcPr>
            <w:tcW w:w="1080" w:type="dxa"/>
          </w:tcPr>
          <w:p>
            <w:pPr>
              <w:pStyle w:val="TableParagraph"/>
              <w:spacing w:line="227" w:lineRule="exact"/>
              <w:ind w:left="0" w:right="1"/>
              <w:jc w:val="center"/>
              <w:rPr>
                <w:sz w:val="20"/>
              </w:rPr>
            </w:pPr>
            <w:r>
              <w:rPr>
                <w:w w:val="99"/>
                <w:sz w:val="20"/>
              </w:rPr>
              <w:t>√</w:t>
            </w:r>
          </w:p>
        </w:tc>
        <w:tc>
          <w:tcPr>
            <w:tcW w:w="1376" w:type="dxa"/>
          </w:tcPr>
          <w:p>
            <w:pPr/>
          </w:p>
        </w:tc>
        <w:tc>
          <w:tcPr>
            <w:tcW w:w="1273" w:type="dxa"/>
          </w:tcPr>
          <w:p>
            <w:pPr>
              <w:pStyle w:val="TableParagraph"/>
              <w:spacing w:before="9"/>
              <w:ind w:left="0"/>
              <w:rPr>
                <w:b/>
                <w:sz w:val="19"/>
              </w:rPr>
            </w:pPr>
          </w:p>
          <w:p>
            <w:pPr>
              <w:pStyle w:val="TableParagraph"/>
              <w:ind w:left="0"/>
              <w:jc w:val="center"/>
              <w:rPr>
                <w:sz w:val="20"/>
              </w:rPr>
            </w:pPr>
            <w:r>
              <w:rPr>
                <w:w w:val="99"/>
                <w:sz w:val="20"/>
              </w:rPr>
              <w:t>√</w:t>
            </w:r>
          </w:p>
        </w:tc>
      </w:tr>
      <w:tr>
        <w:trPr>
          <w:trHeight w:val="1022" w:hRule="exact"/>
        </w:trPr>
        <w:tc>
          <w:tcPr>
            <w:tcW w:w="1759" w:type="dxa"/>
          </w:tcPr>
          <w:p>
            <w:pPr>
              <w:pStyle w:val="TableParagraph"/>
              <w:tabs>
                <w:tab w:pos="1400" w:val="left" w:leader="none"/>
              </w:tabs>
              <w:ind w:right="101"/>
              <w:rPr>
                <w:sz w:val="22"/>
              </w:rPr>
            </w:pPr>
            <w:r>
              <w:rPr>
                <w:sz w:val="22"/>
              </w:rPr>
              <w:t>Secretaría</w:t>
              <w:tab/>
              <w:t>de Desarrollo Agropecuario (Sedagro)</w:t>
            </w:r>
          </w:p>
        </w:tc>
        <w:tc>
          <w:tcPr>
            <w:tcW w:w="1297" w:type="dxa"/>
          </w:tcPr>
          <w:p>
            <w:pPr/>
          </w:p>
        </w:tc>
        <w:tc>
          <w:tcPr>
            <w:tcW w:w="1354" w:type="dxa"/>
          </w:tcPr>
          <w:p>
            <w:pPr/>
          </w:p>
        </w:tc>
        <w:tc>
          <w:tcPr>
            <w:tcW w:w="917" w:type="dxa"/>
          </w:tcPr>
          <w:p>
            <w:pPr/>
          </w:p>
        </w:tc>
        <w:tc>
          <w:tcPr>
            <w:tcW w:w="1080" w:type="dxa"/>
          </w:tcPr>
          <w:p>
            <w:pPr/>
          </w:p>
        </w:tc>
        <w:tc>
          <w:tcPr>
            <w:tcW w:w="1376" w:type="dxa"/>
          </w:tcPr>
          <w:p>
            <w:pPr>
              <w:pStyle w:val="TableParagraph"/>
              <w:spacing w:before="9"/>
              <w:ind w:left="0"/>
              <w:rPr>
                <w:b/>
                <w:sz w:val="19"/>
              </w:rPr>
            </w:pPr>
          </w:p>
          <w:p>
            <w:pPr>
              <w:pStyle w:val="TableParagraph"/>
              <w:ind w:left="0" w:right="2"/>
              <w:jc w:val="center"/>
              <w:rPr>
                <w:sz w:val="20"/>
              </w:rPr>
            </w:pPr>
            <w:r>
              <w:rPr>
                <w:w w:val="99"/>
                <w:sz w:val="20"/>
              </w:rPr>
              <w:t>√</w:t>
            </w:r>
          </w:p>
        </w:tc>
        <w:tc>
          <w:tcPr>
            <w:tcW w:w="1273" w:type="dxa"/>
          </w:tcPr>
          <w:p>
            <w:pPr>
              <w:pStyle w:val="TableParagraph"/>
              <w:spacing w:before="9"/>
              <w:ind w:left="0"/>
              <w:rPr>
                <w:b/>
                <w:sz w:val="19"/>
              </w:rPr>
            </w:pPr>
          </w:p>
          <w:p>
            <w:pPr>
              <w:pStyle w:val="TableParagraph"/>
              <w:ind w:left="0"/>
              <w:jc w:val="center"/>
              <w:rPr>
                <w:sz w:val="20"/>
              </w:rPr>
            </w:pPr>
            <w:r>
              <w:rPr>
                <w:w w:val="99"/>
                <w:sz w:val="20"/>
              </w:rPr>
              <w:t>√</w:t>
            </w:r>
          </w:p>
        </w:tc>
      </w:tr>
    </w:tbl>
    <w:p>
      <w:pPr>
        <w:pStyle w:val="BodyText"/>
        <w:spacing w:before="7"/>
        <w:rPr>
          <w:b/>
          <w:sz w:val="20"/>
        </w:rPr>
      </w:pPr>
    </w:p>
    <w:p>
      <w:pPr>
        <w:pStyle w:val="BodyText"/>
        <w:spacing w:line="278" w:lineRule="auto" w:before="72"/>
        <w:ind w:left="195" w:right="137"/>
      </w:pPr>
      <w:r>
        <w:rPr>
          <w:b/>
        </w:rPr>
        <w:t>Fuente: </w:t>
      </w:r>
      <w:r>
        <w:rPr/>
        <w:t>Elaboración propia con base en información obtenida de las páginas oficiales en la internet de las Secretarías y Dependencias Gubernamentales del Estado  de México.</w:t>
      </w:r>
    </w:p>
    <w:p>
      <w:pPr>
        <w:spacing w:after="0" w:line="278" w:lineRule="auto"/>
        <w:sectPr>
          <w:pgSz w:w="12240" w:h="15840"/>
          <w:pgMar w:header="0" w:footer="943" w:top="1360" w:bottom="1200" w:left="1480" w:right="1480"/>
        </w:sectPr>
      </w:pPr>
    </w:p>
    <w:p>
      <w:pPr>
        <w:spacing w:line="360" w:lineRule="auto" w:before="56"/>
        <w:ind w:left="102" w:right="117" w:firstLine="0"/>
        <w:jc w:val="both"/>
        <w:rPr>
          <w:sz w:val="22"/>
        </w:rPr>
      </w:pPr>
      <w:r>
        <w:rPr>
          <w:sz w:val="22"/>
        </w:rPr>
        <w:t>En este sentido, en la matriz elaborada sobre las </w:t>
      </w:r>
      <w:r>
        <w:rPr>
          <w:i/>
          <w:sz w:val="22"/>
        </w:rPr>
        <w:t>funciones y responsabilidades de las </w:t>
      </w:r>
      <w:r>
        <w:rPr>
          <w:i/>
          <w:sz w:val="22"/>
        </w:rPr>
        <w:t>dependencias gubernamentales estatales para con la Cuenca Hidrosocial Presa Huapango</w:t>
      </w:r>
      <w:r>
        <w:rPr>
          <w:sz w:val="22"/>
        </w:rPr>
        <w:t>, se identificaron las siguientes omisiones de reponsabilidades y duplicidades  de funciones, lo que imposibilita asignar con precisión las responsabilidades en dichas dependencias, debilitando también sus</w:t>
      </w:r>
      <w:r>
        <w:rPr>
          <w:spacing w:val="-28"/>
          <w:sz w:val="22"/>
        </w:rPr>
        <w:t> </w:t>
      </w:r>
      <w:r>
        <w:rPr>
          <w:sz w:val="22"/>
        </w:rPr>
        <w:t>funciones:</w:t>
      </w:r>
    </w:p>
    <w:p>
      <w:pPr>
        <w:pStyle w:val="BodyText"/>
        <w:spacing w:before="9"/>
        <w:rPr>
          <w:sz w:val="17"/>
        </w:rPr>
      </w:pPr>
    </w:p>
    <w:p>
      <w:pPr>
        <w:pStyle w:val="BodyText"/>
        <w:spacing w:line="360" w:lineRule="auto"/>
        <w:ind w:left="102" w:right="115"/>
        <w:jc w:val="both"/>
      </w:pPr>
      <w:r>
        <w:rPr/>
        <w:t>1.- La Secretaría del Agua y Obra Pública mediante la </w:t>
      </w:r>
      <w:r>
        <w:rPr>
          <w:i/>
        </w:rPr>
        <w:t>Comisión del Agua del Estado de </w:t>
      </w:r>
      <w:r>
        <w:rPr>
          <w:i/>
        </w:rPr>
        <w:t>México (CAEM) </w:t>
      </w:r>
      <w:r>
        <w:rPr/>
        <w:t>adscrita a ésta y a la Secretaría del Medio Ambiente les corresponde promover el uso eficiente del agua y su conservación en todas las fases del ciclo hidrológico. Sin embargo, en el trabajo de campo (2013-2015) se identificó que la presencia de estas dos Secretarias es nula, excepto que han realizado estudios por parte de la CAEM de la calidad del agua, además que se reconoció a la presa Huapango como “Santuario del Agua” (2004). Pero el uso eficiente del agua que debe ser promovido por parte de las dos Secretarías no se hace, por lo que queda manifiesta su omisión de responsabilidades de ambas. Corresponde también a dichas Secretarías con las dependencias municipales, elaborar la planeación del reuso de aguas residuales tratadas, así como el control y disposición final de lodos, productos del tratamiento de aguas residuales, además promover la cultura del agua, obligación que no sucede en los municipios que conforman la Cuenca Hidrosocial Presa Huapango. Dichos problemas de contaminación de la presa por aguas residuales, es el principal foco de atención de los pobladores de la región.</w:t>
      </w:r>
    </w:p>
    <w:p>
      <w:pPr>
        <w:pStyle w:val="BodyText"/>
        <w:spacing w:before="9"/>
        <w:rPr>
          <w:sz w:val="17"/>
        </w:rPr>
      </w:pPr>
    </w:p>
    <w:p>
      <w:pPr>
        <w:pStyle w:val="BodyText"/>
        <w:spacing w:line="360" w:lineRule="auto"/>
        <w:ind w:left="102" w:right="121"/>
        <w:jc w:val="both"/>
      </w:pPr>
      <w:r>
        <w:rPr/>
        <w:t>2.- La protección ambiental es, en términos generales, una responsabilidad de la Secretaría del Medio Ambiente. Esta Secretaría no se hace presente en la zona de ninguna manera, con lo que una vez más evade sus responsabilidades.</w:t>
      </w:r>
    </w:p>
    <w:p>
      <w:pPr>
        <w:pStyle w:val="BodyText"/>
        <w:spacing w:before="7"/>
        <w:rPr>
          <w:sz w:val="17"/>
        </w:rPr>
      </w:pPr>
    </w:p>
    <w:p>
      <w:pPr>
        <w:pStyle w:val="BodyText"/>
        <w:spacing w:line="360" w:lineRule="auto"/>
        <w:ind w:left="102" w:right="116"/>
        <w:jc w:val="both"/>
      </w:pPr>
      <w:r>
        <w:rPr/>
        <w:t>3.- La única Secretaría que tiene alguna injerencia en la región, es la de Desarrollo Agropecuario (Sedagro), la cual ofrece apoyos al campo de diversas maneras (créditos, apoyo de programas y proyectos productivos); en este sentido si se cumple con su función, pero hay omisión en su responsabilidad de planear e impulsar el desarrollo integral y sustentable de las actividades agropecuarias y forestales, ya que el desarrollo agrícola no es integral. Es decir, se detectó en campo uso de transgénicos, descuido a la protección e impulso de plantas nativas y una alta deforestación de los bosques en los municipios de la cuenca hidrosocial, la cual se aprecia más en el municipio de Acambay, por lo que existe omisión de</w:t>
      </w:r>
      <w:r>
        <w:rPr>
          <w:spacing w:val="-13"/>
        </w:rPr>
        <w:t> </w:t>
      </w:r>
      <w:r>
        <w:rPr/>
        <w:t>responsabiliades.</w:t>
      </w:r>
    </w:p>
    <w:p>
      <w:pPr>
        <w:spacing w:after="0" w:line="360" w:lineRule="auto"/>
        <w:jc w:val="both"/>
        <w:sectPr>
          <w:pgSz w:w="12240" w:h="15840"/>
          <w:pgMar w:header="0" w:footer="943" w:top="1360" w:bottom="1200" w:left="1600" w:right="1580"/>
        </w:sectPr>
      </w:pPr>
    </w:p>
    <w:p>
      <w:pPr>
        <w:pStyle w:val="BodyText"/>
        <w:spacing w:line="360" w:lineRule="auto" w:before="56"/>
        <w:ind w:left="102" w:right="114"/>
        <w:jc w:val="both"/>
      </w:pPr>
      <w:r>
        <w:rPr/>
        <w:t>Es decir, cuando existen omisiones por parte de las secretarías estatales, al no practicar la observancia de las leyes, reglamentos, decretos, acuerdos y órdenes expedidas por el Ejecutivo del Estado, hay una falta grave de responsabilidad. En este nivel de  operatividad legislativa, se puede afirmar que dichas leyes y reglamentos, dejan vacíos y sin ocupar, los problemas que son cubiertos y atendidos limitadamente por los actores afectados, ya que al no asumir las responsabilidades las instituciones, </w:t>
      </w:r>
      <w:r>
        <w:rPr>
          <w:spacing w:val="2"/>
        </w:rPr>
        <w:t>se </w:t>
      </w:r>
      <w:r>
        <w:rPr/>
        <w:t>agudizan los problemas, y tienen que ser atendidos mediante propuestas ciudadanas, como es el caso de la preesa Huapango, mediante la conformación de un Comité intermucipal con su reglamento para el uso y cuidado de ésta, ya que una parte responsable de su deterioro, es por la falta de responsabilidades del sector</w:t>
      </w:r>
      <w:r>
        <w:rPr>
          <w:spacing w:val="-16"/>
        </w:rPr>
        <w:t> </w:t>
      </w:r>
      <w:r>
        <w:rPr/>
        <w:t>gubernamental.</w:t>
      </w:r>
    </w:p>
    <w:p>
      <w:pPr>
        <w:pStyle w:val="BodyText"/>
        <w:spacing w:before="7"/>
        <w:rPr>
          <w:sz w:val="17"/>
        </w:rPr>
      </w:pPr>
    </w:p>
    <w:p>
      <w:pPr>
        <w:pStyle w:val="BodyText"/>
        <w:spacing w:line="360" w:lineRule="auto"/>
        <w:ind w:left="102" w:right="115"/>
        <w:jc w:val="both"/>
      </w:pPr>
      <w:r>
        <w:rPr/>
        <w:t>Se detectó que sucede diferente para el caso de los actores del Gobierno Federal, es decir, ocurre lo contrario que en los actores del Gobierno Estatal. Se pudo identificar una amplia relación de redes y funciones del Gobierno Federal en la cuenca hidrosocial presa Huapango, sobre todo a través de tres Secretarías de Estado; Tribunales Agrarios y con  la Cámara de Diputados Federal a través de sus funciones y responsabilidades: Secretaría de Agricultura, Ganadería, Desarrollo Rural, Pesca y Alimentación (Sagarpa); Secretaría de Medio Ambiente y Recursos Naturales (Semarnat) y la Secretaría de Desarrollo Agrario, Territorial y Urbano (Sedatu). Esta situación se correlaciona con la  gran concentración de funciones que existen en el sistema federal mexicano, cuestión que se generó desde la reforma agraria en detrimento del municipio, como se puede apreciar en el siguiente mapa de redes y funciones de los actores</w:t>
      </w:r>
      <w:r>
        <w:rPr>
          <w:spacing w:val="-15"/>
        </w:rPr>
        <w:t> </w:t>
      </w:r>
      <w:r>
        <w:rPr/>
        <w:t>federales:</w:t>
      </w:r>
    </w:p>
    <w:p>
      <w:pPr>
        <w:spacing w:after="0" w:line="360" w:lineRule="auto"/>
        <w:jc w:val="both"/>
        <w:sectPr>
          <w:pgSz w:w="12240" w:h="15840"/>
          <w:pgMar w:header="0" w:footer="943" w:top="1360" w:bottom="1200" w:left="1600" w:right="1580"/>
        </w:sectPr>
      </w:pPr>
    </w:p>
    <w:p>
      <w:pPr>
        <w:pStyle w:val="Heading6"/>
        <w:spacing w:line="357" w:lineRule="auto" w:before="53"/>
        <w:ind w:left="1610" w:right="1851"/>
        <w:jc w:val="center"/>
      </w:pPr>
      <w:r>
        <w:rPr/>
        <w:t>Esquema 5.10. Mapa de Actores Federales (Distrito de Riego 096 y Asociación de Usuarios del Sistema de Riego Huapango Arroyo Zarco México A.C.): REDES Y FUNCIONES</w:t>
      </w:r>
    </w:p>
    <w:p>
      <w:pPr>
        <w:pStyle w:val="BodyText"/>
        <w:rPr>
          <w:b/>
          <w:sz w:val="20"/>
        </w:rPr>
      </w:pPr>
    </w:p>
    <w:p>
      <w:pPr>
        <w:pStyle w:val="BodyText"/>
        <w:spacing w:before="8"/>
        <w:rPr>
          <w:b/>
          <w:sz w:val="17"/>
        </w:rPr>
      </w:pPr>
    </w:p>
    <w:p>
      <w:pPr>
        <w:spacing w:line="276" w:lineRule="auto" w:before="69"/>
        <w:ind w:left="9232" w:right="1560" w:firstLine="180"/>
        <w:jc w:val="left"/>
        <w:rPr>
          <w:sz w:val="24"/>
        </w:rPr>
      </w:pPr>
      <w:r>
        <w:rPr/>
        <w:pict>
          <v:shape style="position:absolute;margin-left:72pt;margin-top:25.115843pt;width:479.25pt;height:391.5pt;mso-position-horizontal-relative:page;mso-position-vertical-relative:paragraph;z-index:-3333904"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60" w:lineRule="auto" w:before="157"/>
                    <w:ind w:left="262" w:right="919"/>
                  </w:pPr>
                  <w:r>
                    <w:rPr>
                      <w:b/>
                    </w:rPr>
                    <w:t>Fuente: </w:t>
                  </w:r>
                  <w:r>
                    <w:rPr/>
                    <w:t>Elaboración propia con base en la revisión bibliográfica y el trabajo de campo 2013-2015.</w:t>
                  </w:r>
                </w:p>
              </w:txbxContent>
            </v:textbox>
            <w10:wrap type="none"/>
          </v:shape>
        </w:pict>
      </w:r>
      <w:r>
        <w:rPr/>
        <w:pict>
          <v:group style="position:absolute;margin-left:17pt;margin-top:-.604158pt;width:589.25pt;height:418.25pt;mso-position-horizontal-relative:page;mso-position-vertical-relative:paragraph;z-index:-3333880" coordorigin="340,-12" coordsize="11785,8365">
            <v:rect style="position:absolute;left:1440;top:502;width:9585;height:7830" filled="true" fillcolor="#00afef" stroked="false">
              <v:fill type="solid"/>
            </v:rect>
            <v:rect style="position:absolute;left:1440;top:502;width:9585;height:7830" filled="false" stroked="true" strokeweight="2pt" strokecolor="#000000"/>
            <v:rect style="position:absolute;left:9150;top:-7;width:1830;height:870" filled="true" fillcolor="#00afef" stroked="false">
              <v:fill type="solid"/>
            </v:rect>
            <v:rect style="position:absolute;left:9150;top:-7;width:1830;height:870" filled="false" stroked="true" strokeweight=".5pt" strokecolor="#000000"/>
            <v:rect style="position:absolute;left:2070;top:1148;width:8490;height:6660" filled="true" fillcolor="#4584d2" stroked="false">
              <v:fill type="solid"/>
            </v:rect>
            <v:rect style="position:absolute;left:2070;top:1148;width:8490;height:6660" filled="false" stroked="true" strokeweight="2pt" strokecolor="#000000"/>
            <v:rect style="position:absolute;left:3361;top:878;width:5490;height:630" filled="true" fillcolor="#4584d2" stroked="false">
              <v:fill type="solid"/>
            </v:rect>
            <v:rect style="position:absolute;left:3361;top:878;width:5490;height:630" filled="false" stroked="true" strokeweight=".5pt" strokecolor="#000000"/>
            <v:shape style="position:absolute;left:2851;top:1643;width:6785;height:6036" type="#_x0000_t75" stroked="false">
              <v:imagedata r:id="rId155" o:title=""/>
            </v:shape>
            <v:shape style="position:absolute;left:3060;top:1851;width:6375;height:5625" type="#_x0000_t75" stroked="false">
              <v:imagedata r:id="rId156" o:title=""/>
            </v:shape>
            <v:shape style="position:absolute;left:3055;top:1846;width:6385;height:5635" coordorigin="3055,1846" coordsize="6385,5635" path="m3061,7436l3055,7436,3055,7476,3061,7476,3061,7436xm3065,7436l3063,7436,3063,7476,3065,7476,3065,7436xm3061,7366l3055,7366,3055,7406,3061,7406,3061,7366xm3065,7366l3063,7366,3063,7406,3065,7406,3065,7366xm3061,7296l3055,7296,3055,7336,3061,7336,3061,7296xm3065,7296l3063,7296,3063,7336,3065,7336,3065,7296xm3061,7226l3055,7226,3055,7266,3061,7266,3061,7226xm3065,7226l3063,7226,3063,7266,3065,7266,3065,7226xm3061,7156l3055,7156,3055,7196,3061,7196,3061,7156xm3065,7156l3063,7156,3063,7196,3065,7196,3065,7156xm3061,7086l3055,7086,3055,7126,3061,7126,3061,7086xm3065,7086l3063,7086,3063,7126,3065,7126,3065,7086xm3061,7016l3055,7016,3055,7056,3061,7056,3061,7016xm3065,7016l3063,7016,3063,7056,3065,7056,3065,7016xm3061,6946l3055,6946,3055,6986,3061,6986,3061,6946xm3065,6946l3063,6946,3063,6986,3065,6986,3065,6946xm3061,6876l3055,6876,3055,6916,3061,6916,3061,6876xm3065,6876l3063,6876,3063,6916,3065,6916,3065,6876xm3061,6806l3055,6806,3055,6846,3061,6846,3061,6806xm3065,6806l3063,6806,3063,6846,3065,6846,3065,6806xm3061,6736l3055,6736,3055,6776,3061,6776,3061,6736xm3065,6736l3063,6736,3063,6776,3065,6776,3065,6736xm3061,6666l3055,6666,3055,6706,3061,6706,3061,6666xm3065,6666l3063,6666,3063,6706,3065,6706,3065,6666xm3061,6596l3055,6596,3055,6636,3061,6636,3061,6596xm3065,6596l3063,6596,3063,6636,3065,6636,3065,6596xm3061,6526l3055,6526,3055,6566,3061,6566,3061,6526xm3065,6526l3063,6526,3063,6566,3065,6566,3065,6526xm3061,6456l3055,6456,3055,6496,3061,6496,3061,6456xm3065,6456l3063,6456,3063,6496,3065,6496,3065,6456xm3061,6386l3055,6386,3055,6426,3061,6426,3061,6386xm3065,6386l3063,6386,3063,6426,3065,6426,3065,6386xm3061,6316l3055,6316,3055,6356,3061,6356,3061,6316xm3065,6316l3063,6316,3063,6356,3065,6356,3065,6316xm3061,6246l3055,6246,3055,6286,3061,6286,3061,6246xm3065,6246l3063,6246,3063,6286,3065,6286,3065,6246xm3061,6176l3055,6176,3055,6216,3061,6216,3061,6176xm3065,6176l3063,6176,3063,6216,3065,6216,3065,6176xm3061,6106l3055,6106,3055,6146,3061,6146,3061,6106xm3065,6106l3063,6106,3063,6146,3065,6146,3065,6106xm3061,6036l3055,6036,3055,6076,3061,6076,3061,6036xm3065,6036l3063,6036,3063,6076,3065,6076,3065,6036xm3061,5966l3055,5966,3055,6006,3061,6006,3061,5966xm3065,5966l3063,5966,3063,6006,3065,6006,3065,5966xm3061,5896l3055,5896,3055,5936,3061,5936,3061,5896xm3065,5896l3063,5896,3063,5936,3065,5936,3065,5896xm3061,5826l3055,5826,3055,5866,3061,5866,3061,5826xm3065,5826l3063,5826,3063,5866,3065,5866,3065,5826xm3061,5756l3055,5756,3055,5796,3061,5796,3061,5756xm3065,5756l3063,5756,3063,5796,3065,5796,3065,5756xm3061,5686l3055,5686,3055,5726,3061,5726,3061,5686xm3065,5686l3063,5686,3063,5726,3065,5726,3065,5686xm3061,5616l3055,5616,3055,5656,3061,5656,3061,5616xm3065,5616l3063,5616,3063,5656,3065,5656,3065,5616xm3061,5546l3055,5546,3055,5586,3061,5586,3061,5546xm3065,5546l3063,5546,3063,5586,3065,5586,3065,5546xm3061,5476l3055,5476,3055,5516,3061,5516,3061,5476xm3065,5476l3063,5476,3063,5516,3065,5516,3065,5476xm3061,5406l3055,5406,3055,5446,3061,5446,3061,5406xm3065,5406l3063,5406,3063,5446,3065,5446,3065,5406xm3061,5336l3055,5336,3055,5376,3061,5376,3061,5336xm3065,5336l3063,5336,3063,5376,3065,5376,3065,5336xm3061,5266l3055,5266,3055,5306,3061,5306,3061,5266xm3065,5266l3063,5266,3063,5306,3065,5306,3065,5266xm3061,5196l3055,5196,3055,5236,3061,5236,3061,5196xm3065,5196l3063,5196,3063,5236,3065,5236,3065,5196xm3061,5126l3055,5126,3055,5166,3061,5166,3061,5126xm3065,5126l3063,5126,3063,5166,3065,5166,3065,5126xm3061,5056l3055,5056,3055,5096,3061,5096,3061,5056xm3065,5056l3063,5056,3063,5096,3065,5096,3065,5056xm3061,4986l3055,4986,3055,5026,3061,5026,3061,4986xm3065,4986l3063,4986,3063,5026,3065,5026,3065,4986xm3061,4916l3055,4916,3055,4956,3061,4956,3061,4916xm3065,4916l3063,4916,3063,4956,3065,4956,3065,4916xm3061,4846l3055,4846,3055,4886,3061,4886,3061,4846xm3065,4846l3063,4846,3063,4886,3065,4886,3065,4846xm3061,4776l3055,4776,3055,4816,3061,4816,3061,4776xm3065,4776l3063,4776,3063,4816,3065,4816,3065,4776xm3061,4706l3055,4706,3055,4746,3061,4746,3061,4706xm3065,4706l3063,4706,3063,4746,3065,4746,3065,4706xm3061,4636l3055,4636,3055,4676,3061,4676,3061,4636xm3065,4636l3063,4636,3063,4676,3065,4676,3065,4636xm3061,4566l3055,4566,3055,4606,3061,4606,3061,4566xm3065,4566l3063,4566,3063,4606,3065,4606,3065,4566xm3061,4496l3055,4496,3055,4536,3061,4536,3061,4496xm3065,4496l3063,4496,3063,4536,3065,4536,3065,4496xm3061,4426l3055,4426,3055,4466,3061,4466,3061,4426xm3065,4426l3063,4426,3063,4466,3065,4466,3065,4426xm3061,4356l3055,4356,3055,4396,3061,4396,3061,4356xm3065,4356l3063,4356,3063,4396,3065,4396,3065,4356xm3061,4286l3055,4286,3055,4326,3061,4326,3061,4286xm3065,4286l3063,4286,3063,4326,3065,4326,3065,4286xm3061,4216l3055,4216,3055,4256,3061,4256,3061,4216xm3065,4216l3063,4216,3063,4256,3065,4256,3065,4216xm3061,4146l3055,4146,3055,4186,3061,4186,3061,4146xm3065,4146l3063,4146,3063,4186,3065,4186,3065,4146xm3061,4076l3055,4076,3055,4116,3061,4116,3061,4076xm3065,4076l3063,4076,3063,4116,3065,4116,3065,4076xm3061,4006l3055,4006,3055,4046,3061,4046,3061,4006xm3065,4006l3063,4006,3063,4046,3065,4046,3065,4006xm3061,3936l3055,3936,3055,3976,3061,3976,3061,3936xm3065,3936l3063,3936,3063,3976,3065,3976,3065,3936xm3061,3866l3055,3866,3055,3906,3061,3906,3061,3866xm3065,3866l3063,3866,3063,3906,3065,3906,3065,3866xm3061,3796l3055,3796,3055,3836,3061,3836,3061,3796xm3065,3796l3063,3796,3063,3836,3065,3836,3065,3796xm3061,3726l3055,3726,3055,3766,3061,3766,3061,3726xm3065,3726l3063,3726,3063,3766,3065,3766,3065,3726xm3061,3656l3055,3656,3055,3696,3061,3696,3061,3656xm3065,3656l3063,3656,3063,3696,3065,3696,3065,3656xm3061,3586l3055,3586,3055,3626,3061,3626,3061,3586xm3065,3586l3063,3586,3063,3626,3065,3626,3065,3586xm3061,3516l3055,3516,3055,3556,3061,3556,3061,3516xm3065,3516l3063,3516,3063,3556,3065,3556,3065,3516xm3061,3446l3055,3446,3055,3486,3061,3486,3061,3446xm3065,3446l3063,3446,3063,3486,3065,3486,3065,3446xm3061,3376l3055,3376,3055,3416,3061,3416,3061,3376xm3065,3376l3063,3376,3063,3416,3065,3416,3065,3376xm3061,3306l3055,3306,3055,3346,3061,3346,3061,3306xm3065,3306l3063,3306,3063,3346,3065,3346,3065,3306xm3061,3236l3055,3236,3055,3276,3061,3276,3061,3236xm3065,3236l3063,3236,3063,3276,3065,3276,3065,3236xm3061,3166l3055,3166,3055,3206,3061,3206,3061,3166xm3065,3166l3063,3166,3063,3206,3065,3206,3065,3166xm3061,3096l3055,3096,3055,3136,3061,3136,3061,3096xm3065,3096l3063,3096,3063,3136,3065,3136,3065,3096xm3061,3026l3055,3026,3055,3066,3061,3066,3061,3026xm3065,3026l3063,3026,3063,3066,3065,3066,3065,3026xm3061,2956l3055,2956,3055,2996,3061,2996,3061,2956xm3065,2956l3063,2956,3063,2996,3065,2996,3065,2956xm3061,2886l3055,2886,3055,2926,3061,2926,3061,2886xm3065,2886l3063,2886,3063,2926,3065,2926,3065,2886xm3061,2816l3055,2816,3055,2856,3061,2856,3061,2816xm3065,2816l3063,2816,3063,2856,3065,2856,3065,2816xm3061,2746l3055,2746,3055,2786,3061,2786,3061,2746xm3065,2746l3063,2746,3063,2786,3065,2786,3065,2746xm3061,2676l3055,2676,3055,2716,3061,2716,3061,2676xm3065,2676l3063,2676,3063,2716,3065,2716,3065,2676xm3061,2606l3055,2606,3055,2646,3061,2646,3061,2606xm3065,2606l3063,2606,3063,2646,3065,2646,3065,2606xm3061,2536l3055,2536,3055,2576,3061,2576,3061,2536xm3065,2536l3063,2536,3063,2576,3065,2576,3065,2536xm3061,2466l3055,2466,3055,2506,3061,2506,3061,2466xm3065,2466l3063,2466,3063,2506,3065,2506,3065,2466xm3061,2396l3055,2396,3055,2436,3061,2436,3061,2396xm3065,2396l3063,2396,3063,2436,3065,2436,3065,2396xm3061,2326l3055,2326,3055,2366,3061,2366,3061,2326xm3065,2326l3063,2326,3063,2366,3065,2366,3065,2326xm3061,2256l3055,2256,3055,2296,3061,2296,3061,2256xm3065,2256l3063,2256,3063,2296,3065,2296,3065,2256xm3061,2186l3055,2186,3055,2226,3061,2226,3061,2186xm3065,2186l3063,2186,3063,2226,3065,2226,3065,2186xm3061,2116l3055,2116,3055,2156,3061,2156,3061,2116xm3065,2116l3063,2116,3063,2156,3065,2156,3065,2116xm3061,2046l3055,2046,3055,2086,3061,2086,3061,2046xm3065,2046l3063,2046,3063,2086,3065,2086,3065,2046xm3061,1976l3055,1976,3055,2016,3061,2016,3061,1976xm3065,1976l3063,1976,3063,2016,3065,2016,3065,1976xm3061,1906l3055,1906,3055,1946,3061,1946,3061,1906xm3065,1906l3063,1906,3063,1946,3065,1946,3065,1906xm3075,1846l3057,1846,3055,1849,3055,1876,3061,1876,3061,1852,3075,1852,3075,1846xm3075,1854l3063,1854,3063,1876,3065,1876,3065,1856,3075,1856,3075,1854xm3145,1846l3105,1846,3105,1852,3145,1852,3145,1846xm3145,1854l3105,1854,3105,1856,3145,1856,3145,1854xm3215,1846l3175,1846,3175,1852,3215,1852,3215,1846xm3215,1854l3175,1854,3175,1856,3215,1856,3215,1854xm3285,1846l3245,1846,3245,1852,3285,1852,3285,1846xm3285,1854l3245,1854,3245,1856,3285,1856,3285,1854xm3355,1846l3315,1846,3315,1852,3355,1852,3355,1846xm3355,1854l3315,1854,3315,1856,3355,1856,3355,1854xm3425,1846l3385,1846,3385,1852,3425,1852,3425,1846xm3425,1854l3385,1854,3385,1856,3425,1856,3425,1854xm3495,1846l3455,1846,3455,1852,3495,1852,3495,1846xm3495,1854l3455,1854,3455,1856,3495,1856,3495,1854xm3565,1846l3525,1846,3525,1852,3565,1852,3565,1846xm3565,1854l3525,1854,3525,1856,3565,1856,3565,1854xm3635,1846l3595,1846,3595,1852,3635,1852,3635,1846xm3635,1854l3595,1854,3595,1856,3635,1856,3635,1854xm3705,1846l3665,1846,3665,1852,3705,1852,3705,1846xm3705,1854l3665,1854,3665,1856,3705,1856,3705,1854xm3775,1846l3735,1846,3735,1852,3775,1852,3775,1846xm3775,1854l3735,1854,3735,1856,3775,1856,3775,1854xm3845,1846l3805,1846,3805,1852,3845,1852,3845,1846xm3845,1854l3805,1854,3805,1856,3845,1856,3845,1854xm3915,1846l3875,1846,3875,1852,3915,1852,3915,1846xm3915,1854l3875,1854,3875,1856,3915,1856,3915,1854xm3985,1846l3945,1846,3945,1852,3985,1852,3985,1846xm3985,1854l3945,1854,3945,1856,3985,1856,3985,1854xm4055,1846l4015,1846,4015,1852,4055,1852,4055,1846xm4055,1854l4015,1854,4015,1856,4055,1856,4055,1854xm4125,1846l4085,1846,4085,1852,4125,1852,4125,1846xm4125,1854l4085,1854,4085,1856,4125,1856,4125,1854xm4195,1846l4155,1846,4155,1852,4195,1852,4195,1846xm4195,1854l4155,1854,4155,1856,4195,1856,4195,1854xm4265,1846l4225,1846,4225,1852,4265,1852,4265,1846xm4265,1854l4225,1854,4225,1856,4265,1856,4265,1854xm4335,1846l4295,1846,4295,1852,4335,1852,4335,1846xm4335,1854l4295,1854,4295,1856,4335,1856,4335,1854xm4405,1846l4365,1846,4365,1852,4405,1852,4405,1846xm4405,1854l4365,1854,4365,1856,4405,1856,4405,1854xm4475,1846l4435,1846,4435,1852,4475,1852,4475,1846xm4475,1854l4435,1854,4435,1856,4475,1856,4475,1854xm4545,1846l4505,1846,4505,1852,4545,1852,4545,1846xm4545,1854l4505,1854,4505,1856,4545,1856,4545,1854xm4615,1846l4575,1846,4575,1852,4615,1852,4615,1846xm4615,1854l4575,1854,4575,1856,4615,1856,4615,1854xm4685,1846l4645,1846,4645,1852,4685,1852,4685,1846xm4685,1854l4645,1854,4645,1856,4685,1856,4685,1854xm4755,1846l4715,1846,4715,1852,4755,1852,4755,1846xm4755,1854l4715,1854,4715,1856,4755,1856,4755,1854xm4825,1846l4785,1846,4785,1852,4825,1852,4825,1846xm4825,1854l4785,1854,4785,1856,4825,1856,4825,1854xm4895,1846l4855,1846,4855,1852,4895,1852,4895,1846xm4895,1854l4855,1854,4855,1856,4895,1856,4895,1854xm4965,1846l4925,1846,4925,1852,4965,1852,4965,1846xm4965,1854l4925,1854,4925,1856,4965,1856,4965,1854xm5035,1846l4995,1846,4995,1852,5035,1852,5035,1846xm5035,1854l4995,1854,4995,1856,5035,1856,5035,1854xm5105,1846l5065,1846,5065,1852,5105,1852,5105,1846xm5105,1854l5065,1854,5065,1856,5105,1856,5105,1854xm5175,1846l5135,1846,5135,1852,5175,1852,5175,1846xm5175,1854l5135,1854,5135,1856,5175,1856,5175,1854xm5245,1846l5205,1846,5205,1852,5245,1852,5245,1846xm5245,1854l5205,1854,5205,1856,5245,1856,5245,1854xm5315,1846l5275,1846,5275,1852,5315,1852,5315,1846xm5315,1854l5275,1854,5275,1856,5315,1856,5315,1854xm5385,1846l5345,1846,5345,1852,5385,1852,5385,1846xm5385,1854l5345,1854,5345,1856,5385,1856,5385,1854xm5455,1846l5415,1846,5415,1852,5455,1852,5455,1846xm5455,1854l5415,1854,5415,1856,5455,1856,5455,1854xm5525,1846l5485,1846,5485,1852,5525,1852,5525,1846xm5525,1854l5485,1854,5485,1856,5525,1856,5525,1854xm5595,1846l5555,1846,5555,1852,5595,1852,5595,1846xm5595,1854l5555,1854,5555,1856,5595,1856,5595,1854xm5665,1846l5625,1846,5625,1852,5665,1852,5665,1846xm5665,1854l5625,1854,5625,1856,5665,1856,5665,1854xm5735,1846l5695,1846,5695,1852,5735,1852,5735,1846xm5735,1854l5695,1854,5695,1856,5735,1856,5735,1854xm5805,1846l5765,1846,5765,1852,5805,1852,5805,1846xm5805,1854l5765,1854,5765,1856,5805,1856,5805,1854xm5875,1846l5835,1846,5835,1852,5875,1852,5875,1846xm5875,1854l5835,1854,5835,1856,5875,1856,5875,1854xm5945,1846l5905,1846,5905,1852,5945,1852,5945,1846xm5945,1854l5905,1854,5905,1856,5945,1856,5945,1854xm6015,1846l5975,1846,5975,1852,6015,1852,6015,1846xm6015,1854l5975,1854,5975,1856,6015,1856,6015,1854xm6085,1846l6045,1846,6045,1852,6085,1852,6085,1846xm6085,1854l6045,1854,6045,1856,6085,1856,6085,1854xm6155,1846l6115,1846,6115,1852,6155,1852,6155,1846xm6155,1854l6115,1854,6115,1856,6155,1856,6155,1854xm6225,1846l6185,1846,6185,1852,6225,1852,6225,1846xm6225,1854l6185,1854,6185,1856,6225,1856,6225,1854xm6295,1846l6255,1846,6255,1852,6295,1852,6295,1846xm6295,1854l6255,1854,6255,1856,6295,1856,6295,1854xm6365,1846l6325,1846,6325,1852,6365,1852,6365,1846xm6365,1854l6325,1854,6325,1856,6365,1856,6365,1854xm6435,1846l6395,1846,6395,1852,6435,1852,6435,1846xm6435,1854l6395,1854,6395,1856,6435,1856,6435,1854xm6505,1846l6465,1846,6465,1852,6505,1852,6505,1846xm6505,1854l6465,1854,6465,1856,6505,1856,6505,1854xm6575,1846l6535,1846,6535,1852,6575,1852,6575,1846xm6575,1854l6535,1854,6535,1856,6575,1856,6575,1854xm6645,1846l6605,1846,6605,1852,6645,1852,6645,1846xm6645,1854l6605,1854,6605,1856,6645,1856,6645,1854xm6715,1846l6675,1846,6675,1852,6715,1852,6715,1846xm6715,1854l6675,1854,6675,1856,6715,1856,6715,1854xm6785,1846l6745,1846,6745,1852,6785,1852,6785,1846xm6785,1854l6745,1854,6745,1856,6785,1856,6785,1854xm6855,1846l6815,1846,6815,1852,6855,1852,6855,1846xm6855,1854l6815,1854,6815,1856,6855,1856,6855,1854xm6925,1846l6885,1846,6885,1852,6925,1852,6925,1846xm6925,1854l6885,1854,6885,1856,6925,1856,6925,1854xm6995,1846l6955,1846,6955,1852,6995,1852,6995,1846xm6995,1854l6955,1854,6955,1856,6995,1856,6995,1854xm7065,1846l7025,1846,7025,1852,7065,1852,7065,1846xm7065,1854l7025,1854,7025,1856,7065,1856,7065,1854xm7135,1846l7095,1846,7095,1852,7135,1852,7135,1846xm7135,1854l7095,1854,7095,1856,7135,1856,7135,1854xm7205,1846l7165,1846,7165,1852,7205,1852,7205,1846xm7205,1854l7165,1854,7165,1856,7205,1856,7205,1854xm7275,1846l7235,1846,7235,1852,7275,1852,7275,1846xm7275,1854l7235,1854,7235,1856,7275,1856,7275,1854xm7345,1846l7305,1846,7305,1852,7345,1852,7345,1846xm7345,1854l7305,1854,7305,1856,7345,1856,7345,1854xm7415,1846l7375,1846,7375,1852,7415,1852,7415,1846xm7415,1854l7375,1854,7375,1856,7415,1856,7415,1854xm7485,1846l7445,1846,7445,1852,7485,1852,7485,1846xm7485,1854l7445,1854,7445,1856,7485,1856,7485,1854xm7555,1846l7515,1846,7515,1852,7555,1852,7555,1846xm7555,1854l7515,1854,7515,1856,7555,1856,7555,1854xm7625,1846l7585,1846,7585,1852,7625,1852,7625,1846xm7625,1854l7585,1854,7585,1856,7625,1856,7625,1854xm7695,1846l7655,1846,7655,1852,7695,1852,7695,1846xm7695,1854l7655,1854,7655,1856,7695,1856,7695,1854xm7765,1846l7725,1846,7725,1852,7765,1852,7765,1846xm7765,1854l7725,1854,7725,1856,7765,1856,7765,1854xm7835,1846l7795,1846,7795,1852,7835,1852,7835,1846xm7835,1854l7795,1854,7795,1856,7835,1856,7835,1854xm7905,1846l7865,1846,7865,1852,7905,1852,7905,1846xm7905,1854l7865,1854,7865,1856,7905,1856,7905,1854xm7975,1846l7935,1846,7935,1852,7975,1852,7975,1846xm7975,1854l7935,1854,7935,1856,7975,1856,7975,1854xm8045,1846l8005,1846,8005,1852,8045,1852,8045,1846xm8045,1854l8005,1854,8005,1856,8045,1856,8045,1854xm8115,1846l8075,1846,8075,1852,8115,1852,8115,1846xm8115,1854l8075,1854,8075,1856,8115,1856,8115,1854xm8185,1846l8145,1846,8145,1852,8185,1852,8185,1846xm8185,1854l8145,1854,8145,1856,8185,1856,8185,1854xm8255,1846l8215,1846,8215,1852,8255,1852,8255,1846xm8255,1854l8215,1854,8215,1856,8255,1856,8255,1854xm8325,1846l8285,1846,8285,1852,8325,1852,8325,1846xm8325,1854l8285,1854,8285,1856,8325,1856,8325,1854xm8395,1846l8355,1846,8355,1852,8395,1852,8395,1846xm8395,1854l8355,1854,8355,1856,8395,1856,8395,1854xm8465,1846l8425,1846,8425,1852,8465,1852,8465,1846xm8465,1854l8425,1854,8425,1856,8465,1856,8465,1854xm8535,1846l8495,1846,8495,1852,8535,1852,8535,1846xm8535,1854l8495,1854,8495,1856,8535,1856,8535,1854xm8605,1846l8565,1846,8565,1852,8605,1852,8605,1846xm8605,1854l8565,1854,8565,1856,8605,1856,8605,1854xm8675,1846l8635,1846,8635,1852,8675,1852,8675,1846xm8675,1854l8635,1854,8635,1856,8675,1856,8675,1854xm8745,1846l8705,1846,8705,1852,8745,1852,8745,1846xm8745,1854l8705,1854,8705,1856,8745,1856,8745,1854xm8815,1846l8775,1846,8775,1852,8815,1852,8815,1846xm8815,1854l8775,1854,8775,1856,8815,1856,8815,1854xm8885,1846l8845,1846,8845,1852,8885,1852,8885,1846xm8885,1854l8845,1854,8845,1856,8885,1856,8885,1854xm8955,1846l8915,1846,8915,1852,8955,1852,8955,1846xm8955,1854l8915,1854,8915,1856,8955,1856,8955,1854xm9025,1846l8985,1846,8985,1852,9025,1852,9025,1846xm9025,1854l8985,1854,8985,1856,9025,1856,9025,1854xm9095,1846l9055,1846,9055,1852,9095,1852,9095,1846xm9095,1854l9055,1854,9055,1856,9095,1856,9095,1854xm9165,1846l9125,1846,9125,1852,9165,1852,9165,1846xm9165,1854l9125,1854,9125,1856,9165,1856,9165,1854xm9235,1846l9195,1846,9195,1852,9235,1852,9235,1846xm9235,1854l9195,1854,9195,1856,9235,1856,9235,1854xm9305,1846l9265,1846,9265,1852,9305,1852,9305,1846xm9305,1854l9265,1854,9265,1856,9305,1856,9305,1854xm9375,1846l9335,1846,9335,1852,9375,1852,9375,1846xm9375,1854l9335,1854,9335,1856,9375,1856,9375,1854xm9432,1854l9405,1854,9405,1856,9430,1856,9430,1861,9432,1861,9432,1854xm9438,1846l9405,1846,9405,1852,9434,1852,9434,1861,9440,1861,9440,1849,9438,1846xm9440,1891l9434,1891,9434,1931,9440,1931,9440,1891xm9432,1891l9430,1891,9430,1931,9432,1931,9432,1891xm9440,1961l9434,1961,9434,2001,9440,2001,9440,1961xm9432,1961l9430,1961,9430,2001,9432,2001,9432,1961xm9440,2031l9434,2031,9434,2071,9440,2071,9440,2031xm9432,2031l9430,2031,9430,2071,9432,2071,9432,2031xm9440,2101l9434,2101,9434,2141,9440,2141,9440,2101xm9432,2101l9430,2101,9430,2141,9432,2141,9432,2101xm9440,2171l9434,2171,9434,2211,9440,2211,9440,2171xm9432,2171l9430,2171,9430,2211,9432,2211,9432,2171xm9440,2241l9434,2241,9434,2281,9440,2281,9440,2241xm9432,2241l9430,2241,9430,2281,9432,2281,9432,2241xm9440,2311l9434,2311,9434,2351,9440,2351,9440,2311xm9432,2311l9430,2311,9430,2351,9432,2351,9432,2311xm9440,2381l9434,2381,9434,2421,9440,2421,9440,2381xm9432,2381l9430,2381,9430,2421,9432,2421,9432,2381xm9440,2451l9434,2451,9434,2491,9440,2491,9440,2451xm9432,2451l9430,2451,9430,2491,9432,2491,9432,2451xm9440,2521l9434,2521,9434,2561,9440,2561,9440,2521xm9432,2521l9430,2521,9430,2561,9432,2561,9432,2521xm9440,2591l9434,2591,9434,2631,9440,2631,9440,2591xm9432,2591l9430,2591,9430,2631,9432,2631,9432,2591xm9440,2661l9434,2661,9434,2701,9440,2701,9440,2661xm9432,2661l9430,2661,9430,2701,9432,2701,9432,2661xm9440,2731l9434,2731,9434,2771,9440,2771,9440,2731xm9432,2731l9430,2731,9430,2771,9432,2771,9432,2731xm9440,2801l9434,2801,9434,2841,9440,2841,9440,2801xm9432,2801l9430,2801,9430,2841,9432,2841,9432,2801xm9440,2871l9434,2871,9434,2911,9440,2911,9440,2871xm9432,2871l9430,2871,9430,2911,9432,2911,9432,2871xm9440,2941l9434,2941,9434,2981,9440,2981,9440,2941xm9432,2941l9430,2941,9430,2981,9432,2981,9432,2941xm9440,3011l9434,3011,9434,3051,9440,3051,9440,3011xm9432,3011l9430,3011,9430,3051,9432,3051,9432,3011xm9440,3081l9434,3081,9434,3121,9440,3121,9440,3081xm9432,3081l9430,3081,9430,3121,9432,3121,9432,3081xm9440,3151l9434,3151,9434,3191,9440,3191,9440,3151xm9432,3151l9430,3151,9430,3191,9432,3191,9432,3151xm9440,3221l9434,3221,9434,3261,9440,3261,9440,3221xm9432,3221l9430,3221,9430,3261,9432,3261,9432,3221xm9440,3291l9434,3291,9434,3331,9440,3331,9440,3291xm9432,3291l9430,3291,9430,3331,9432,3331,9432,3291xm9440,3361l9434,3361,9434,3401,9440,3401,9440,3361xm9432,3361l9430,3361,9430,3401,9432,3401,9432,3361xm9440,3431l9434,3431,9434,3471,9440,3471,9440,3431xm9432,3431l9430,3431,9430,3471,9432,3471,9432,3431xm9440,3501l9434,3501,9434,3541,9440,3541,9440,3501xm9432,3501l9430,3501,9430,3541,9432,3541,9432,3501xm9440,3571l9434,3571,9434,3611,9440,3611,9440,3571xm9432,3571l9430,3571,9430,3611,9432,3611,9432,3571xm9440,3641l9434,3641,9434,3681,9440,3681,9440,3641xm9432,3641l9430,3641,9430,3681,9432,3681,9432,3641xm9440,3711l9434,3711,9434,3751,9440,3751,9440,3711xm9432,3711l9430,3711,9430,3751,9432,3751,9432,3711xm9440,3781l9434,3781,9434,3821,9440,3821,9440,3781xm9432,3781l9430,3781,9430,3821,9432,3821,9432,3781xm9440,3851l9434,3851,9434,3891,9440,3891,9440,3851xm9432,3851l9430,3851,9430,3891,9432,3891,9432,3851xm9440,3921l9434,3921,9434,3961,9440,3961,9440,3921xm9432,3921l9430,3921,9430,3961,9432,3961,9432,3921xm9440,3991l9434,3991,9434,4031,9440,4031,9440,3991xm9432,3991l9430,3991,9430,4031,9432,4031,9432,3991xm9440,4061l9434,4061,9434,4101,9440,4101,9440,4061xm9432,4061l9430,4061,9430,4101,9432,4101,9432,4061xm9440,4131l9434,4131,9434,4171,9440,4171,9440,4131xm9432,4131l9430,4131,9430,4171,9432,4171,9432,4131xm9440,4201l9434,4201,9434,4241,9440,4241,9440,4201xm9432,4201l9430,4201,9430,4241,9432,4241,9432,4201xm9440,4271l9434,4271,9434,4311,9440,4311,9440,4271xm9432,4271l9430,4271,9430,4311,9432,4311,9432,4271xm9440,4341l9434,4341,9434,4381,9440,4381,9440,4341xm9432,4341l9430,4341,9430,4381,9432,4381,9432,4341xm9440,4411l9434,4411,9434,4451,9440,4451,9440,4411xm9432,4411l9430,4411,9430,4451,9432,4451,9432,4411xm9440,4481l9434,4481,9434,4521,9440,4521,9440,4481xm9432,4481l9430,4481,9430,4521,9432,4521,9432,4481xm9440,4551l9434,4551,9434,4591,9440,4591,9440,4551xm9432,4551l9430,4551,9430,4591,9432,4591,9432,4551xm9440,4621l9434,4621,9434,4661,9440,4661,9440,4621xm9432,4621l9430,4621,9430,4661,9432,4661,9432,4621xm9440,4691l9434,4691,9434,4731,9440,4731,9440,4691xm9432,4691l9430,4691,9430,4731,9432,4731,9432,4691xm9440,4761l9434,4761,9434,4801,9440,4801,9440,4761xm9432,4761l9430,4761,9430,4801,9432,4801,9432,4761xm9440,4831l9434,4831,9434,4871,9440,4871,9440,4831xm9432,4831l9430,4831,9430,4871,9432,4871,9432,4831xm9440,4901l9434,4901,9434,4941,9440,4941,9440,4901xm9432,4901l9430,4901,9430,4941,9432,4941,9432,4901xm9440,4971l9434,4971,9434,5011,9440,5011,9440,4971xm9432,4971l9430,4971,9430,5011,9432,5011,9432,4971xm9440,5041l9434,5041,9434,5081,9440,5081,9440,5041xm9432,5041l9430,5041,9430,5081,9432,5081,9432,5041xm9440,5111l9434,5111,9434,5151,9440,5151,9440,5111xm9432,5111l9430,5111,9430,5151,9432,5151,9432,5111xm9440,5181l9434,5181,9434,5221,9440,5221,9440,5181xm9432,5181l9430,5181,9430,5221,9432,5221,9432,5181xm9440,5251l9434,5251,9434,5291,9440,5291,9440,5251xm9432,5251l9430,5251,9430,5291,9432,5291,9432,5251xm9440,5321l9434,5321,9434,5361,9440,5361,9440,5321xm9432,5321l9430,5321,9430,5361,9432,5361,9432,5321xm9440,5391l9434,5391,9434,5431,9440,5431,9440,5391xm9432,5391l9430,5391,9430,5431,9432,5431,9432,5391xm9440,5461l9434,5461,9434,5501,9440,5501,9440,5461xm9432,5461l9430,5461,9430,5501,9432,5501,9432,5461xm9440,5531l9434,5531,9434,5571,9440,5571,9440,5531xm9432,5531l9430,5531,9430,5571,9432,5571,9432,5531xm9440,5601l9434,5601,9434,5641,9440,5641,9440,5601xm9432,5601l9430,5601,9430,5641,9432,5641,9432,5601xm9440,5671l9434,5671,9434,5711,9440,5711,9440,5671xm9432,5671l9430,5671,9430,5711,9432,5711,9432,5671xm9440,5741l9434,5741,9434,5781,9440,5781,9440,5741xm9432,5741l9430,5741,9430,5781,9432,5781,9432,5741xm9440,5811l9434,5811,9434,5851,9440,5851,9440,5811xm9432,5811l9430,5811,9430,5851,9432,5851,9432,5811xm9440,5881l9434,5881,9434,5921,9440,5921,9440,5881xm9432,5881l9430,5881,9430,5921,9432,5921,9432,5881xm9440,5951l9434,5951,9434,5991,9440,5991,9440,5951xm9432,5951l9430,5951,9430,5991,9432,5991,9432,5951xm9440,6021l9434,6021,9434,6061,9440,6061,9440,6021xm9432,6021l9430,6021,9430,6061,9432,6061,9432,6021xm9440,6091l9434,6091,9434,6131,9440,6131,9440,6091xm9432,6091l9430,6091,9430,6131,9432,6131,9432,6091xm9440,6161l9434,6161,9434,6201,9440,6201,9440,6161xm9432,6161l9430,6161,9430,6201,9432,6201,9432,6161xm9440,6231l9434,6231,9434,6271,9440,6271,9440,6231xm9432,6231l9430,6231,9430,6271,9432,6271,9432,6231xm9440,6301l9434,6301,9434,6341,9440,6341,9440,6301xm9432,6301l9430,6301,9430,6341,9432,6341,9432,6301xm9440,6371l9434,6371,9434,6411,9440,6411,9440,6371xm9432,6371l9430,6371,9430,6411,9432,6411,9432,6371xm9440,6441l9434,6441,9434,6481,9440,6481,9440,6441xm9432,6441l9430,6441,9430,6481,9432,6481,9432,6441xm9440,6511l9434,6511,9434,6551,9440,6551,9440,6511xm9432,6511l9430,6511,9430,6551,9432,6551,9432,6511xm9440,6581l9434,6581,9434,6621,9440,6621,9440,6581xm9432,6581l9430,6581,9430,6621,9432,6621,9432,6581xm9440,6651l9434,6651,9434,6691,9440,6691,9440,6651xm9432,6651l9430,6651,9430,6691,9432,6691,9432,6651xm9440,6721l9434,6721,9434,6761,9440,6761,9440,6721xm9432,6721l9430,6721,9430,6761,9432,6761,9432,6721xm9440,6791l9434,6791,9434,6831,9440,6831,9440,6791xm9432,6791l9430,6791,9430,6831,9432,6831,9432,6791xm9440,6861l9434,6861,9434,6901,9440,6901,9440,6861xm9432,6861l9430,6861,9430,6901,9432,6901,9432,6861xm9440,6931l9434,6931,9434,6971,9440,6971,9440,6931xm9432,6931l9430,6931,9430,6971,9432,6971,9432,6931xm9440,7001l9434,7001,9434,7041,9440,7041,9440,7001xm9432,7001l9430,7001,9430,7041,9432,7041,9432,7001xm9440,7071l9434,7071,9434,7111,9440,7111,9440,7071xm9432,7071l9430,7071,9430,7111,9432,7111,9432,7071xm9440,7141l9434,7141,9434,7181,9440,7181,9440,7141xm9432,7141l9430,7141,9430,7181,9432,7181,9432,7141xm9440,7211l9434,7211,9434,7251,9440,7251,9440,7211xm9432,7211l9430,7211,9430,7251,9432,7251,9432,7211xm9440,7281l9434,7281,9434,7321,9440,7321,9440,7281xm9432,7281l9430,7281,9430,7321,9432,7321,9432,7281xm9440,7351l9434,7351,9434,7391,9440,7391,9440,7351xm9432,7351l9430,7351,9430,7391,9432,7391,9432,7351xm9440,7421l9434,7421,9434,7461,9440,7461,9440,7421xm9432,7421l9430,7421,9430,7461,9432,7461,9432,7421xm9420,7475l9380,7475,9380,7481,9420,7481,9420,7475xm9420,7471l9380,7471,9380,7473,9420,7473,9420,7471xm9350,7475l9310,7475,9310,7481,9350,7481,9350,7475xm9350,7471l9310,7471,9310,7473,9350,7473,9350,7471xm9280,7475l9240,7475,9240,7481,9280,7481,9280,7475xm9280,7471l9240,7471,9240,7473,9280,7473,9280,7471xm9210,7475l9170,7475,9170,7481,9210,7481,9210,7475xm9210,7471l9170,7471,9170,7473,9210,7473,9210,7471xm9140,7475l9100,7475,9100,7481,9140,7481,9140,7475xm9140,7471l9100,7471,9100,7473,9140,7473,9140,7471xm9070,7475l9030,7475,9030,7481,9070,7481,9070,7475xm9070,7471l9030,7471,9030,7473,9070,7473,9070,7471xm9000,7475l8960,7475,8960,7481,9000,7481,9000,7475xm9000,7471l8960,7471,8960,7473,9000,7473,9000,7471xm8930,7475l8890,7475,8890,7481,8930,7481,8930,7475xm8930,7471l8890,7471,8890,7473,8930,7473,8930,7471xm8860,7475l8820,7475,8820,7481,8860,7481,8860,7475xm8860,7471l8820,7471,8820,7473,8860,7473,8860,7471xm8790,7475l8750,7475,8750,7481,8790,7481,8790,7475xm8790,7471l8750,7471,8750,7473,8790,7473,8790,7471xm8720,7475l8680,7475,8680,7481,8720,7481,8720,7475xm8720,7471l8680,7471,8680,7473,8720,7473,8720,7471xm8650,7475l8610,7475,8610,7481,8650,7481,8650,7475xm8650,7471l8610,7471,8610,7473,8650,7473,8650,7471xm8580,7475l8540,7475,8540,7481,8580,7481,8580,7475xm8580,7471l8540,7471,8540,7473,8580,7473,8580,7471xm8510,7475l8470,7475,8470,7481,8510,7481,8510,7475xm8510,7471l8470,7471,8470,7473,8510,7473,8510,7471xm8440,7475l8400,7475,8400,7481,8440,7481,8440,7475xm8440,7471l8400,7471,8400,7473,8440,7473,8440,7471xm8370,7475l8330,7475,8330,7481,8370,7481,8370,7475xm8370,7471l8330,7471,8330,7473,8370,7473,8370,7471xm8300,7475l8260,7475,8260,7481,8300,7481,8300,7475xm8300,7471l8260,7471,8260,7473,8300,7473,8300,7471xm8230,7475l8190,7475,8190,7481,8230,7481,8230,7475xm8230,7471l8190,7471,8190,7473,8230,7473,8230,7471xm8160,7475l8120,7475,8120,7481,8160,7481,8160,7475xm8160,7471l8120,7471,8120,7473,8160,7473,8160,7471xm8090,7475l8050,7475,8050,7481,8090,7481,8090,7475xm8090,7471l8050,7471,8050,7473,8090,7473,8090,7471xm8020,7475l7980,7475,7980,7481,8020,7481,8020,7475xm8020,7471l7980,7471,7980,7473,8020,7473,8020,7471xm7950,7475l7910,7475,7910,7481,7950,7481,7950,7475xm7950,7471l7910,7471,7910,7473,7950,7473,7950,7471xm7880,7475l7840,7475,7840,7481,7880,7481,7880,7475xm7880,7471l7840,7471,7840,7473,7880,7473,7880,7471xm7810,7475l7770,7475,7770,7481,7810,7481,7810,7475xm7810,7471l7770,7471,7770,7473,7810,7473,7810,7471xm7740,7475l7700,7475,7700,7481,7740,7481,7740,7475xm7740,7471l7700,7471,7700,7473,7740,7473,7740,7471xm7670,7475l7630,7475,7630,7481,7670,7481,7670,7475xm7670,7471l7630,7471,7630,7473,7670,7473,7670,7471xm7600,7475l7560,7475,7560,7481,7600,7481,7600,7475xm7600,7471l7560,7471,7560,7473,7600,7473,7600,7471xm7530,7475l7490,7475,7490,7481,7530,7481,7530,7475xm7530,7471l7490,7471,7490,7473,7530,7473,7530,7471xm7460,7475l7420,7475,7420,7481,7460,7481,7460,7475xm7460,7471l7420,7471,7420,7473,7460,7473,7460,7471xm7390,7475l7350,7475,7350,7481,7390,7481,7390,7475xm7390,7471l7350,7471,7350,7473,7390,7473,7390,7471xm7320,7475l7280,7475,7280,7481,7320,7481,7320,7475xm7320,7471l7280,7471,7280,7473,7320,7473,7320,7471xm7250,7475l7210,7475,7210,7481,7250,7481,7250,7475xm7250,7471l7210,7471,7210,7473,7250,7473,7250,7471xm7180,7475l7140,7475,7140,7481,7180,7481,7180,7475xm7180,7471l7140,7471,7140,7473,7180,7473,7180,7471xm7110,7475l7070,7475,7070,7481,7110,7481,7110,7475xm7110,7471l7070,7471,7070,7473,7110,7473,7110,7471xm7040,7475l7000,7475,7000,7481,7040,7481,7040,7475xm7040,7471l7000,7471,7000,7473,7040,7473,7040,7471xm6970,7475l6930,7475,6930,7481,6970,7481,6970,7475xm6970,7471l6930,7471,6930,7473,6970,7473,6970,7471xm6900,7475l6860,7475,6860,7481,6900,7481,6900,7475xm6900,7471l6860,7471,6860,7473,6900,7473,6900,7471xm6830,7475l6790,7475,6790,7481,6830,7481,6830,7475xm6830,7471l6790,7471,6790,7473,6830,7473,6830,7471xm6760,7475l6720,7475,6720,7481,6760,7481,6760,7475xm6760,7471l6720,7471,6720,7473,6760,7473,6760,7471xm6690,7475l6650,7475,6650,7481,6690,7481,6690,7475xm6690,7471l6650,7471,6650,7473,6690,7473,6690,7471xm6620,7475l6580,7475,6580,7481,6620,7481,6620,7475xm6620,7471l6580,7471,6580,7473,6620,7473,6620,7471xm6550,7475l6510,7475,6510,7481,6550,7481,6550,7475xm6550,7471l6510,7471,6510,7473,6550,7473,6550,7471xm6480,7475l6440,7475,6440,7481,6480,7481,6480,7475xm6480,7471l6440,7471,6440,7473,6480,7473,6480,7471xm6410,7475l6370,7475,6370,7481,6410,7481,6410,7475xm6410,7471l6370,7471,6370,7473,6410,7473,6410,7471xm6340,7475l6300,7475,6300,7481,6340,7481,6340,7475xm6340,7471l6300,7471,6300,7473,6340,7473,6340,7471xm6270,7475l6230,7475,6230,7481,6270,7481,6270,7475xm6270,7471l6230,7471,6230,7473,6270,7473,6270,7471xm6200,7475l6160,7475,6160,7481,6200,7481,6200,7475xm6200,7471l6160,7471,6160,7473,6200,7473,6200,7471xm6130,7475l6090,7475,6090,7481,6130,7481,6130,7475xm6130,7471l6090,7471,6090,7473,6130,7473,6130,7471xm6060,7475l6020,7475,6020,7481,6060,7481,6060,7475xm6060,7471l6020,7471,6020,7473,6060,7473,6060,7471xm5990,7475l5950,7475,5950,7481,5990,7481,5990,7475xm5990,7471l5950,7471,5950,7473,5990,7473,5990,7471xm5920,7475l5880,7475,5880,7481,5920,7481,5920,7475xm5920,7471l5880,7471,5880,7473,5920,7473,5920,7471xm5850,7475l5810,7475,5810,7481,5850,7481,5850,7475xm5850,7471l5810,7471,5810,7473,5850,7473,5850,7471xm5780,7475l5740,7475,5740,7481,5780,7481,5780,7475xm5780,7471l5740,7471,5740,7473,5780,7473,5780,7471xm5710,7475l5670,7475,5670,7481,5710,7481,5710,7475xm5710,7471l5670,7471,5670,7473,5710,7473,5710,7471xm5640,7475l5600,7475,5600,7481,5640,7481,5640,7475xm5640,7471l5600,7471,5600,7473,5640,7473,5640,7471xm5570,7475l5530,7475,5530,7481,5570,7481,5570,7475xm5570,7471l5530,7471,5530,7473,5570,7473,5570,7471xm5500,7475l5460,7475,5460,7481,5500,7481,5500,7475xm5500,7471l5460,7471,5460,7473,5500,7473,5500,7471xm5430,7475l5390,7475,5390,7481,5430,7481,5430,7475xm5430,7471l5390,7471,5390,7473,5430,7473,5430,7471xm5360,7475l5320,7475,5320,7481,5360,7481,5360,7475xm5360,7471l5320,7471,5320,7473,5360,7473,5360,7471xm5290,7475l5250,7475,5250,7481,5290,7481,5290,7475xm5290,7471l5250,7471,5250,7473,5290,7473,5290,7471xm5220,7475l5180,7475,5180,7481,5220,7481,5220,7475xm5220,7471l5180,7471,5180,7473,5220,7473,5220,7471xm5150,7475l5110,7475,5110,7481,5150,7481,5150,7475xm5150,7471l5110,7471,5110,7473,5150,7473,5150,7471xm5080,7475l5040,7475,5040,7481,5080,7481,5080,7475xm5080,7471l5040,7471,5040,7473,5080,7473,5080,7471xm5010,7475l4970,7475,4970,7481,5010,7481,5010,7475xm5010,7471l4970,7471,4970,7473,5010,7473,5010,7471xm4940,7475l4900,7475,4900,7481,4940,7481,4940,7475xm4940,7471l4900,7471,4900,7473,4940,7473,4940,7471xm4870,7475l4830,7475,4830,7481,4870,7481,4870,7475xm4870,7471l4830,7471,4830,7473,4870,7473,4870,7471xm4800,7475l4760,7475,4760,7481,4800,7481,4800,7475xm4800,7471l4760,7471,4760,7473,4800,7473,4800,7471xm4730,7475l4690,7475,4690,7481,4730,7481,4730,7475xm4730,7471l4690,7471,4690,7473,4730,7473,4730,7471xm4660,7475l4620,7475,4620,7481,4660,7481,4660,7475xm4660,7471l4620,7471,4620,7473,4660,7473,4660,7471xm4590,7475l4550,7475,4550,7481,4590,7481,4590,7475xm4590,7471l4550,7471,4550,7473,4590,7473,4590,7471xm4520,7475l4480,7475,4480,7481,4520,7481,4520,7475xm4520,7471l4480,7471,4480,7473,4520,7473,4520,7471xm4450,7475l4410,7475,4410,7481,4450,7481,4450,7475xm4450,7471l4410,7471,4410,7473,4450,7473,4450,7471xm4380,7475l4340,7475,4340,7481,4380,7481,4380,7475xm4380,7471l4340,7471,4340,7473,4380,7473,4380,7471xm4310,7475l4270,7475,4270,7481,4310,7481,4310,7475xm4310,7471l4270,7471,4270,7473,4310,7473,4310,7471xm4240,7475l4200,7475,4200,7481,4240,7481,4240,7475xm4240,7471l4200,7471,4200,7473,4240,7473,4240,7471xm4170,7475l4130,7475,4130,7481,4170,7481,4170,7475xm4170,7471l4130,7471,4130,7473,4170,7473,4170,7471xm4100,7475l4060,7475,4060,7481,4100,7481,4100,7475xm4100,7471l4060,7471,4060,7473,4100,7473,4100,7471xm4030,7475l3990,7475,3990,7481,4030,7481,4030,7475xm4030,7471l3990,7471,3990,7473,4030,7473,4030,7471xm3960,7475l3920,7475,3920,7481,3960,7481,3960,7475xm3960,7471l3920,7471,3920,7473,3960,7473,3960,7471xm3890,7475l3850,7475,3850,7481,3890,7481,3890,7475xm3890,7471l3850,7471,3850,7473,3890,7473,3890,7471xm3820,7475l3780,7475,3780,7481,3820,7481,3820,7475xm3820,7471l3780,7471,3780,7473,3820,7473,3820,7471xm3750,7475l3710,7475,3710,7481,3750,7481,3750,7475xm3750,7471l3710,7471,3710,7473,3750,7473,3750,7471xm3680,7475l3640,7475,3640,7481,3680,7481,3680,7475xm3680,7471l3640,7471,3640,7473,3680,7473,3680,7471xm3610,7475l3570,7475,3570,7481,3610,7481,3610,7475xm3610,7471l3570,7471,3570,7473,3610,7473,3610,7471xm3540,7475l3500,7475,3500,7481,3540,7481,3540,7475xm3540,7471l3500,7471,3500,7473,3540,7473,3540,7471xm3470,7475l3430,7475,3430,7481,3470,7481,3470,7475xm3470,7471l3430,7471,3430,7473,3470,7473,3470,7471xm3400,7475l3360,7475,3360,7481,3400,7481,3400,7475xm3400,7471l3360,7471,3360,7473,3400,7473,3400,7471xm3330,7475l3290,7475,3290,7481,3330,7481,3330,7475xm3330,7471l3290,7471,3290,7473,3330,7473,3330,7471xm3260,7475l3220,7475,3220,7481,3260,7481,3260,7475xm3260,7471l3220,7471,3220,7473,3260,7473,3260,7471xm3190,7475l3150,7475,3150,7481,3190,7481,3190,7475xm3190,7471l3150,7471,3150,7473,3190,7473,3190,7471xm3120,7475l3080,7475,3080,7481,3120,7481,3120,7475xm3120,7471l3080,7471,3080,7473,3120,7473,3120,7471xe" filled="true" fillcolor="#000000" stroked="false">
              <v:path arrowok="t"/>
              <v:fill type="solid"/>
            </v:shape>
            <v:rect style="position:absolute;left:345;top:1373;width:2505;height:2835" filled="true" fillcolor="#92d050" stroked="false">
              <v:fill type="solid"/>
            </v:rect>
            <v:rect style="position:absolute;left:345;top:1373;width:2505;height:2835" filled="false" stroked="true" strokeweight=".5pt" strokecolor="#000000"/>
            <v:rect style="position:absolute;left:9615;top:1343;width:2505;height:2235" filled="true" fillcolor="#92d050" stroked="false">
              <v:fill type="solid"/>
            </v:rect>
            <v:rect style="position:absolute;left:9615;top:1343;width:2505;height:2235" filled="false" stroked="true" strokeweight=".5pt" strokecolor="#000000"/>
            <v:rect style="position:absolute;left:9556;top:5110;width:2505;height:1335" filled="true" fillcolor="#92d050" stroked="false">
              <v:fill type="solid"/>
            </v:rect>
            <v:rect style="position:absolute;left:9556;top:5110;width:2505;height:1335" filled="false" stroked="true" strokeweight=".5pt" strokecolor="#000000"/>
            <v:shape style="position:absolute;left:3165;top:2738;width:6060;height:435" type="#_x0000_t75" stroked="false">
              <v:imagedata r:id="rId157" o:title=""/>
            </v:shape>
            <v:shape style="position:absolute;left:3165;top:2738;width:6060;height:2190" coordorigin="3165,2738" coordsize="6060,2190" path="m3165,3173l9225,3173,9225,2738,3165,2738,3165,3173xm3165,4927l5385,4927,5385,3352,3165,3352,3165,4927xe" filled="false" stroked="true" strokeweight=".5pt" strokecolor="#000000">
              <v:path arrowok="t"/>
            </v:shape>
            <v:shape style="position:absolute;left:5385;top:3784;width:495;height:158" coordorigin="5385,3784" coordsize="495,158" path="m5520,3784l5516,3786,5385,3863,5516,3939,5520,3941,5524,3940,5526,3937,5528,3933,5527,3928,5524,3926,5428,3870,5400,3870,5400,3855,5427,3855,5524,3799,5527,3797,5528,3793,5526,3789,5524,3785,5520,3784xm5850,3863l5741,3926,5738,3928,5737,3933,5739,3937,5741,3940,5745,3941,5749,3939,5867,3870,5865,3870,5865,3869,5861,3869,5850,3863xm5427,3855l5400,3855,5400,3870,5428,3870,5426,3869,5404,3869,5404,3856,5426,3856,5427,3855xm5838,3855l5427,3855,5415,3863,5428,3870,5837,3870,5850,3863,5838,3855xm5867,3855l5865,3855,5865,3870,5867,3870,5880,3863,5867,3855xm5404,3856l5404,3869,5415,3863,5404,3856xm5415,3863l5404,3869,5426,3869,5415,3863xm5861,3856l5850,3863,5861,3869,5861,3856xm5865,3856l5861,3856,5861,3869,5865,3869,5865,3856xm5426,3856l5404,3856,5415,3863,5426,3856xm5745,3784l5741,3785,5739,3789,5737,3793,5738,3797,5741,3799,5850,3863,5861,3856,5865,3856,5865,3855,5867,3855,5749,3786,5745,3784xe" filled="true" fillcolor="#000000" stroked="false">
              <v:path arrowok="t"/>
              <v:fill type="solid"/>
            </v:shape>
            <v:rect style="position:absolute;left:5880;top:3472;width:1350;height:750" filled="false" stroked="true" strokeweight=".5pt" strokecolor="#000000"/>
            <v:shape style="position:absolute;left:7230;top:3784;width:495;height:158" coordorigin="7230,3784" coordsize="495,158" path="m7365,3784l7361,3786,7230,3863,7361,3939,7365,3941,7369,3940,7371,3937,7373,3933,7372,3928,7369,3926,7273,3870,7245,3870,7245,3855,7272,3855,7369,3799,7372,3797,7373,3793,7371,3789,7369,3785,7365,3784xm7695,3863l7586,3926,7583,3928,7582,3933,7584,3937,7586,3940,7590,3941,7594,3939,7712,3870,7710,3870,7710,3869,7706,3869,7695,3863xm7272,3855l7245,3855,7245,3870,7273,3870,7271,3869,7249,3869,7249,3856,7271,3856,7272,3855xm7683,3855l7272,3855,7260,3863,7273,3870,7682,3870,7695,3863,7683,3855xm7712,3855l7710,3855,7710,3870,7712,3870,7725,3863,7712,3855xm7249,3856l7249,3869,7260,3863,7249,3856xm7260,3863l7249,3869,7271,3869,7260,3863xm7706,3856l7695,3863,7706,3869,7706,3856xm7710,3856l7706,3856,7706,3869,7710,3869,7710,3856xm7271,3856l7249,3856,7260,3863,7271,3856xm7590,3784l7586,3785,7584,3789,7582,3793,7583,3797,7586,3799,7695,3863,7706,3856,7710,3856,7710,3855,7712,3855,7594,3786,7590,3784xe" filled="true" fillcolor="#000000" stroked="false">
              <v:path arrowok="t"/>
              <v:fill type="solid"/>
            </v:shape>
            <v:shape style="position:absolute;left:3195;top:3457;width:6030;height:3706" coordorigin="3195,3457" coordsize="6030,3706" path="m7725,4762l9225,4762,9225,3457,7725,3457,7725,4762xm3195,7163l9150,7163,9150,6353,3195,6353,3195,7163xe" filled="false" stroked="true" strokeweight=".5pt" strokecolor="#000000">
              <v:path arrowok="t"/>
            </v:shape>
            <v:shape style="position:absolute;left:3986;top:4222;width:4491;height:2131" coordorigin="3986,4222" coordsize="4491,2131" path="m4144,5062l4141,5059,4074,4943,4065,4928,3989,5059,3986,5062,3988,5067,3991,5069,3995,5071,3999,5070,4001,5066,4057,4970,4058,4970,4058,6310,4058,6338,4057,6310,4001,6214,3999,6211,3995,6209,3988,6213,3986,6218,3989,6222,4065,6353,4074,6338,4141,6222,4144,6218,4142,6213,4135,6209,4131,6211,4129,6214,4073,6310,4072,6310,4072,4970,4072,4946,4072,4943,4073,4970,4129,5066,4131,5070,4135,5071,4139,5069,4142,5067,4144,5062m6529,4357l6526,4353,6459,4237,6450,4222,6374,4353,6371,4357,6373,4362,6380,4366,6384,4364,6442,4265,6443,4265,6443,6310,6442,6310,6386,6214,6384,6210,6380,6209,6376,6211,6373,6213,6371,6218,6374,6221,6450,6352,6459,6337,6526,6221,6529,6218,6527,6213,6524,6211,6520,6209,6516,6210,6514,6214,6458,6310,6457,6337,6457,6334,6457,6310,6457,4265,6457,4241,6457,4237,6458,4265,6516,4364,6520,4366,6527,4362,6529,4357m8477,6217l8476,6212,8472,6210,8469,6208,8464,6209,8462,6213,8407,6310,8407,6310,8400,6322,8407,6310,8393,4805,8450,4900,8452,4904,8457,4905,8460,4903,8464,4901,8465,4896,8463,4893,8394,4777,8385,4762,8310,4894,8308,4898,8309,4902,8313,4904,8316,4906,8321,4905,8323,4901,8378,4805,8392,6310,8335,6214,8333,6211,8328,6210,8325,6212,8321,6214,8320,6218,8322,6222,8400,6352,8408,6338,8475,6220,8477,6217e" filled="true" fillcolor="#000000" stroked="false">
              <v:path arrowok="t"/>
              <v:fill type="solid"/>
            </v:shape>
            <v:shape style="position:absolute;left:3435;top:5468;width:5490;height:435" coordorigin="3435,5468" coordsize="5490,435" path="m3435,5888l4725,5888,4725,5468,3435,5468,3435,5888xm5880,5903l7170,5903,7170,5483,5880,5483,5880,5903xm7635,5888l8925,5888,8925,5468,7635,5468,7635,5888xe" filled="false" stroked="true" strokeweight=".5pt" strokecolor="#000000">
              <v:path arrowok="t"/>
            </v:shape>
            <v:rect style="position:absolute;left:380;top:5312;width:2505;height:1335" filled="true" fillcolor="#92d050" stroked="false">
              <v:fill type="solid"/>
            </v:rect>
            <v:rect style="position:absolute;left:380;top:5312;width:2505;height:1335" filled="false" stroked="true" strokeweight=".5pt" strokecolor="#000000"/>
            <w10:wrap type="none"/>
          </v:group>
        </w:pict>
      </w:r>
      <w:r>
        <w:rPr>
          <w:sz w:val="24"/>
        </w:rPr>
        <w:t>Cuenca Hidrosocial</w:t>
      </w:r>
    </w:p>
    <w:p>
      <w:pPr>
        <w:pStyle w:val="BodyText"/>
        <w:spacing w:before="11"/>
        <w:rPr>
          <w:sz w:val="15"/>
        </w:rPr>
      </w:pPr>
    </w:p>
    <w:p>
      <w:pPr>
        <w:spacing w:after="0"/>
        <w:rPr>
          <w:sz w:val="15"/>
        </w:rPr>
        <w:sectPr>
          <w:pgSz w:w="12240" w:h="15840"/>
          <w:pgMar w:header="0" w:footer="943" w:top="1360" w:bottom="1200" w:left="240" w:right="0"/>
        </w:sectPr>
      </w:pPr>
    </w:p>
    <w:p>
      <w:pPr>
        <w:pStyle w:val="BodyText"/>
      </w:pPr>
    </w:p>
    <w:p>
      <w:pPr>
        <w:pStyle w:val="BodyText"/>
        <w:spacing w:before="8"/>
        <w:rPr>
          <w:sz w:val="26"/>
        </w:rPr>
      </w:pPr>
    </w:p>
    <w:p>
      <w:pPr>
        <w:pStyle w:val="Heading6"/>
        <w:spacing w:line="276" w:lineRule="auto"/>
        <w:ind w:left="470" w:firstLine="3"/>
        <w:jc w:val="center"/>
      </w:pPr>
      <w:r>
        <w:rPr/>
        <w:t>Secretaría de Agricultura, Ganadería, Desarrollo Rural, Pesca y Alimentación (Sagarpa)</w:t>
      </w:r>
    </w:p>
    <w:p>
      <w:pPr>
        <w:pStyle w:val="BodyText"/>
        <w:spacing w:before="6"/>
        <w:rPr>
          <w:b/>
          <w:sz w:val="17"/>
        </w:rPr>
      </w:pPr>
    </w:p>
    <w:p>
      <w:pPr>
        <w:pStyle w:val="Heading7"/>
        <w:ind w:left="709" w:right="174"/>
        <w:jc w:val="center"/>
        <w:rPr>
          <w:i/>
        </w:rPr>
      </w:pPr>
      <w:r>
        <w:rPr>
          <w:i/>
        </w:rPr>
        <w:t>(Conapesca)</w:t>
      </w:r>
    </w:p>
    <w:p>
      <w:pPr>
        <w:spacing w:before="65"/>
        <w:ind w:left="287" w:right="0" w:firstLine="0"/>
        <w:jc w:val="center"/>
        <w:rPr>
          <w:b/>
          <w:sz w:val="28"/>
        </w:rPr>
      </w:pPr>
      <w:r>
        <w:rPr/>
        <w:br w:type="column"/>
      </w:r>
      <w:r>
        <w:rPr>
          <w:b/>
          <w:sz w:val="28"/>
        </w:rPr>
        <w:t>REPRESENTACIÓN FEDERAL</w:t>
      </w:r>
    </w:p>
    <w:p>
      <w:pPr>
        <w:pStyle w:val="BodyText"/>
        <w:rPr>
          <w:b/>
          <w:sz w:val="28"/>
        </w:rPr>
      </w:pPr>
    </w:p>
    <w:p>
      <w:pPr>
        <w:pStyle w:val="BodyText"/>
        <w:rPr>
          <w:b/>
          <w:sz w:val="28"/>
        </w:rPr>
      </w:pPr>
    </w:p>
    <w:p>
      <w:pPr>
        <w:pStyle w:val="BodyText"/>
        <w:rPr>
          <w:b/>
          <w:sz w:val="28"/>
        </w:rPr>
      </w:pPr>
    </w:p>
    <w:p>
      <w:pPr>
        <w:pStyle w:val="BodyText"/>
        <w:rPr>
          <w:b/>
          <w:sz w:val="28"/>
        </w:rPr>
      </w:pPr>
    </w:p>
    <w:p>
      <w:pPr>
        <w:spacing w:before="249"/>
        <w:ind w:left="470" w:right="0" w:firstLine="0"/>
        <w:jc w:val="center"/>
        <w:rPr>
          <w:b/>
          <w:sz w:val="22"/>
        </w:rPr>
      </w:pPr>
      <w:r>
        <w:rPr/>
        <w:pict>
          <v:shape style="position:absolute;margin-left:203.25pt;margin-top:-48.182133pt;width:216.75pt;height:50.25pt;mso-position-horizontal-relative:page;mso-position-vertical-relative:paragraph;z-index:9568" type="#_x0000_t202" filled="true" fillcolor="#92d050" stroked="true" strokeweight=".5pt" strokecolor="#000000">
            <v:textbox inset="0,0,0,0">
              <w:txbxContent>
                <w:p>
                  <w:pPr>
                    <w:spacing w:line="276" w:lineRule="auto" w:before="67"/>
                    <w:ind w:left="500" w:right="495" w:firstLine="0"/>
                    <w:jc w:val="center"/>
                    <w:rPr>
                      <w:b/>
                      <w:i/>
                      <w:sz w:val="22"/>
                    </w:rPr>
                  </w:pPr>
                  <w:r>
                    <w:rPr>
                      <w:b/>
                      <w:sz w:val="22"/>
                    </w:rPr>
                    <w:t>Secretaría de Medio Ambiente y Recursos Naturales (Semarnat) (</w:t>
                  </w:r>
                  <w:r>
                    <w:rPr>
                      <w:b/>
                      <w:i/>
                      <w:sz w:val="22"/>
                    </w:rPr>
                    <w:t>Conagua)</w:t>
                  </w:r>
                </w:p>
              </w:txbxContent>
            </v:textbox>
            <v:fill type="solid"/>
            <w10:wrap type="none"/>
          </v:shape>
        </w:pict>
      </w:r>
      <w:r>
        <w:rPr>
          <w:b/>
          <w:sz w:val="22"/>
        </w:rPr>
        <w:t>Municipios (Aculco, Jilotepec y Polotitlán)</w:t>
      </w:r>
    </w:p>
    <w:p>
      <w:pPr>
        <w:pStyle w:val="BodyText"/>
        <w:rPr>
          <w:b/>
        </w:rPr>
      </w:pPr>
      <w:r>
        <w:rPr/>
        <w:br w:type="column"/>
      </w:r>
      <w:r>
        <w:rPr>
          <w:b/>
        </w:rPr>
      </w:r>
    </w:p>
    <w:p>
      <w:pPr>
        <w:pStyle w:val="BodyText"/>
        <w:rPr>
          <w:b/>
          <w:sz w:val="24"/>
        </w:rPr>
      </w:pPr>
    </w:p>
    <w:p>
      <w:pPr>
        <w:spacing w:line="276" w:lineRule="auto" w:before="0"/>
        <w:ind w:left="532" w:right="349" w:firstLine="2"/>
        <w:jc w:val="center"/>
        <w:rPr>
          <w:b/>
          <w:sz w:val="22"/>
        </w:rPr>
      </w:pPr>
      <w:r>
        <w:rPr>
          <w:b/>
          <w:sz w:val="22"/>
        </w:rPr>
        <w:t>Secretaría de Desarrollo Agrario, Territorial y Urbano (Sedatu)</w:t>
      </w:r>
    </w:p>
    <w:p>
      <w:pPr>
        <w:pStyle w:val="BodyText"/>
        <w:spacing w:before="6"/>
        <w:rPr>
          <w:b/>
          <w:sz w:val="17"/>
        </w:rPr>
      </w:pPr>
    </w:p>
    <w:p>
      <w:pPr>
        <w:pStyle w:val="Heading7"/>
        <w:spacing w:line="278" w:lineRule="auto"/>
        <w:ind w:left="470" w:right="283"/>
        <w:jc w:val="center"/>
      </w:pPr>
      <w:r>
        <w:rPr/>
        <w:pict>
          <v:shape style="position:absolute;margin-left:158.25pt;margin-top:28.557871pt;width:111pt;height:78.75pt;mso-position-horizontal-relative:page;mso-position-vertical-relative:paragraph;z-index:9592" type="#_x0000_t202" filled="true" fillcolor="#006fc0" stroked="false">
            <v:textbox inset="0,0,0,0">
              <w:txbxContent>
                <w:p>
                  <w:pPr>
                    <w:pStyle w:val="BodyText"/>
                    <w:spacing w:line="276" w:lineRule="auto" w:before="77"/>
                    <w:ind w:left="149" w:right="146"/>
                    <w:jc w:val="center"/>
                  </w:pPr>
                  <w:r>
                    <w:rPr/>
                    <w:t>Jefe de los Distritos de Riego en el Estado de México (Distrito de Riego 096)</w:t>
                  </w:r>
                </w:p>
              </w:txbxContent>
            </v:textbox>
            <v:fill type="solid"/>
            <w10:wrap type="none"/>
          </v:shape>
        </w:pict>
      </w:r>
      <w:r>
        <w:rPr/>
        <w:pict>
          <v:shape style="position:absolute;margin-left:294pt;margin-top:34.557873pt;width:67.5pt;height:37.5pt;mso-position-horizontal-relative:page;mso-position-vertical-relative:paragraph;z-index:9616" type="#_x0000_t202" filled="true" fillcolor="#006fc0" stroked="false">
            <v:textbox inset="0,0,0,0">
              <w:txbxContent>
                <w:p>
                  <w:pPr>
                    <w:pStyle w:val="BodyText"/>
                    <w:spacing w:line="276" w:lineRule="auto" w:before="77"/>
                    <w:ind w:left="166" w:right="148" w:firstLine="146"/>
                  </w:pPr>
                  <w:r>
                    <w:rPr/>
                    <w:t>Jefe de Operación</w:t>
                  </w:r>
                </w:p>
              </w:txbxContent>
            </v:textbox>
            <v:fill type="solid"/>
            <w10:wrap type="none"/>
          </v:shape>
        </w:pict>
      </w:r>
      <w:r>
        <w:rPr/>
        <w:pict>
          <v:shape style="position:absolute;margin-left:386.25pt;margin-top:33.807873pt;width:75pt;height:65.25pt;mso-position-horizontal-relative:page;mso-position-vertical-relative:paragraph;z-index:9640" type="#_x0000_t202" filled="true" fillcolor="#006fc0" stroked="false">
            <v:textbox inset="0,0,0,0">
              <w:txbxContent>
                <w:p>
                  <w:pPr>
                    <w:pStyle w:val="BodyText"/>
                    <w:spacing w:line="276" w:lineRule="auto" w:before="75"/>
                    <w:ind w:left="206" w:right="199" w:hanging="3"/>
                    <w:jc w:val="center"/>
                  </w:pPr>
                  <w:r>
                    <w:rPr/>
                    <w:t>Encargado del Riego en la presa Huapango</w:t>
                  </w:r>
                </w:p>
              </w:txbxContent>
            </v:textbox>
            <v:fill type="solid"/>
            <w10:wrap type="none"/>
          </v:shape>
        </w:pict>
      </w:r>
      <w:r>
        <w:rPr>
          <w:i/>
        </w:rPr>
        <w:t>(RAN y Procuraduría </w:t>
      </w:r>
      <w:r>
        <w:rPr/>
        <w:t>Agraria)</w:t>
      </w:r>
    </w:p>
    <w:p>
      <w:pPr>
        <w:spacing w:after="0" w:line="278" w:lineRule="auto"/>
        <w:jc w:val="center"/>
        <w:sectPr>
          <w:type w:val="continuous"/>
          <w:pgSz w:w="12240" w:h="15840"/>
          <w:pgMar w:top="1360" w:bottom="1200" w:left="240" w:right="0"/>
          <w:cols w:num="3" w:equalWidth="0">
            <w:col w:w="2245" w:space="1034"/>
            <w:col w:w="4884" w:space="913"/>
            <w:col w:w="2924"/>
          </w:cols>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1"/>
        <w:rPr>
          <w:b/>
          <w:i/>
          <w:sz w:val="28"/>
        </w:rPr>
      </w:pPr>
    </w:p>
    <w:p>
      <w:pPr>
        <w:spacing w:after="0"/>
        <w:rPr>
          <w:sz w:val="28"/>
        </w:rPr>
        <w:sectPr>
          <w:type w:val="continuous"/>
          <w:pgSz w:w="12240" w:h="15840"/>
          <w:pgMar w:top="1360" w:bottom="1200" w:left="240" w:right="0"/>
        </w:sectPr>
      </w:pPr>
    </w:p>
    <w:p>
      <w:pPr>
        <w:pStyle w:val="BodyText"/>
        <w:spacing w:before="9"/>
        <w:rPr>
          <w:b/>
          <w:i/>
        </w:rPr>
      </w:pPr>
    </w:p>
    <w:p>
      <w:pPr>
        <w:pStyle w:val="Heading6"/>
        <w:spacing w:line="278" w:lineRule="auto"/>
        <w:ind w:left="432" w:right="-19" w:firstLine="396"/>
      </w:pPr>
      <w:r>
        <w:rPr/>
        <w:pict>
          <v:shape style="position:absolute;margin-left:171.75pt;margin-top:-21.692118pt;width:64.5pt;height:21pt;mso-position-horizontal-relative:page;mso-position-vertical-relative:paragraph;z-index:9664" type="#_x0000_t202" filled="true" fillcolor="#ffffff" stroked="false">
            <v:textbox inset="0,0,0,0">
              <w:txbxContent>
                <w:p>
                  <w:pPr>
                    <w:pStyle w:val="BodyText"/>
                    <w:spacing w:before="76"/>
                    <w:ind w:left="355"/>
                  </w:pPr>
                  <w:r>
                    <w:rPr/>
                    <w:t>Riego</w:t>
                  </w:r>
                </w:p>
              </w:txbxContent>
            </v:textbox>
            <v:fill type="solid"/>
            <w10:wrap type="none"/>
          </v:shape>
        </w:pict>
      </w:r>
      <w:r>
        <w:rPr/>
        <w:pict>
          <v:shape style="position:absolute;margin-left:294pt;margin-top:-20.942118pt;width:64.5pt;height:21pt;mso-position-horizontal-relative:page;mso-position-vertical-relative:paragraph;z-index:9688" type="#_x0000_t202" filled="true" fillcolor="#ffffff" stroked="false">
            <v:textbox inset="0,0,0,0">
              <w:txbxContent>
                <w:p>
                  <w:pPr>
                    <w:pStyle w:val="BodyText"/>
                    <w:spacing w:before="75"/>
                    <w:ind w:left="356"/>
                  </w:pPr>
                  <w:r>
                    <w:rPr/>
                    <w:t>Riego</w:t>
                  </w:r>
                </w:p>
              </w:txbxContent>
            </v:textbox>
            <v:fill type="solid"/>
            <w10:wrap type="none"/>
          </v:shape>
        </w:pict>
      </w:r>
      <w:r>
        <w:rPr/>
        <w:pict>
          <v:shape style="position:absolute;margin-left:381.75pt;margin-top:-21.692118pt;width:64.5pt;height:21pt;mso-position-horizontal-relative:page;mso-position-vertical-relative:paragraph;z-index:9712" type="#_x0000_t202" filled="true" fillcolor="#ffffff" stroked="false">
            <v:textbox inset="0,0,0,0">
              <w:txbxContent>
                <w:p>
                  <w:pPr>
                    <w:pStyle w:val="BodyText"/>
                    <w:spacing w:before="76"/>
                    <w:ind w:left="356"/>
                  </w:pPr>
                  <w:r>
                    <w:rPr/>
                    <w:t>Riego</w:t>
                  </w:r>
                </w:p>
              </w:txbxContent>
            </v:textbox>
            <v:fill type="solid"/>
            <w10:wrap type="none"/>
          </v:shape>
        </w:pict>
      </w:r>
      <w:r>
        <w:rPr/>
        <w:pict>
          <v:shape style="position:absolute;margin-left:159.75pt;margin-top:22.547882pt;width:297.75pt;height:40.5pt;mso-position-horizontal-relative:page;mso-position-vertical-relative:paragraph;z-index:9736" type="#_x0000_t202" filled="true" fillcolor="#006fc0" stroked="false">
            <v:textbox inset="0,0,0,0">
              <w:txbxContent>
                <w:p>
                  <w:pPr>
                    <w:pStyle w:val="BodyText"/>
                    <w:spacing w:line="276" w:lineRule="auto" w:before="77"/>
                    <w:ind w:left="1716" w:right="194" w:hanging="1503"/>
                  </w:pPr>
                  <w:r>
                    <w:rPr/>
                    <w:t>Asociación de Usuarios del Sistema de Riego Huapango Arroyo Zarco México A.C.</w:t>
                  </w:r>
                </w:p>
              </w:txbxContent>
            </v:textbox>
            <v:fill type="solid"/>
            <w10:wrap type="none"/>
          </v:shape>
        </w:pict>
      </w:r>
      <w:r>
        <w:rPr/>
        <w:t>Cámara de Diputados Federal</w:t>
      </w:r>
    </w:p>
    <w:p>
      <w:pPr>
        <w:spacing w:before="72"/>
        <w:ind w:left="432" w:right="0" w:firstLine="0"/>
        <w:jc w:val="left"/>
        <w:rPr>
          <w:b/>
          <w:sz w:val="22"/>
        </w:rPr>
      </w:pPr>
      <w:r>
        <w:rPr/>
        <w:br w:type="column"/>
      </w:r>
      <w:r>
        <w:rPr>
          <w:b/>
          <w:sz w:val="22"/>
        </w:rPr>
        <w:t>Tribunales Agrarios</w:t>
      </w:r>
    </w:p>
    <w:p>
      <w:pPr>
        <w:spacing w:after="0"/>
        <w:jc w:val="left"/>
        <w:rPr>
          <w:sz w:val="22"/>
        </w:rPr>
        <w:sectPr>
          <w:type w:val="continuous"/>
          <w:pgSz w:w="12240" w:h="15840"/>
          <w:pgMar w:top="1360" w:bottom="1200" w:left="240" w:right="0"/>
          <w:cols w:num="2" w:equalWidth="0">
            <w:col w:w="2353" w:space="6747"/>
            <w:col w:w="2900"/>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7"/>
        </w:rPr>
      </w:pPr>
    </w:p>
    <w:p>
      <w:pPr>
        <w:pStyle w:val="BodyText"/>
        <w:spacing w:line="364" w:lineRule="auto"/>
        <w:ind w:left="1462" w:right="1701"/>
        <w:jc w:val="both"/>
      </w:pPr>
      <w:r>
        <w:rPr>
          <w:b/>
        </w:rPr>
        <w:t>Fuente: </w:t>
      </w:r>
      <w:r>
        <w:rPr/>
        <w:t>Elaboración propia con base en la revisión bibliográfica y el Trabajo de Campo, García (2013-2015).</w:t>
      </w:r>
    </w:p>
    <w:p>
      <w:pPr>
        <w:spacing w:line="352" w:lineRule="auto" w:before="197"/>
        <w:ind w:left="1462" w:right="1694" w:firstLine="0"/>
        <w:jc w:val="both"/>
        <w:rPr>
          <w:sz w:val="22"/>
        </w:rPr>
      </w:pPr>
      <w:r>
        <w:rPr>
          <w:sz w:val="22"/>
        </w:rPr>
        <w:t>En el mapa anterior de </w:t>
      </w:r>
      <w:r>
        <w:rPr>
          <w:i/>
          <w:sz w:val="22"/>
        </w:rPr>
        <w:t>Redes y funciones de los actores federales</w:t>
      </w:r>
      <w:r>
        <w:rPr>
          <w:sz w:val="22"/>
        </w:rPr>
        <w:t>, se identifica que una parte de éstas relaciones con la en cuenca hidrosocial, se dan a través de </w:t>
      </w:r>
      <w:r>
        <w:rPr>
          <w:i/>
          <w:sz w:val="22"/>
        </w:rPr>
        <w:t>la Comisión </w:t>
      </w:r>
      <w:r>
        <w:rPr>
          <w:i/>
          <w:sz w:val="22"/>
        </w:rPr>
        <w:t>Nacional  de  Acuacultura y  Pesca (Conapesca)</w:t>
      </w:r>
      <w:r>
        <w:rPr>
          <w:i/>
          <w:position w:val="9"/>
          <w:sz w:val="14"/>
        </w:rPr>
        <w:t>9  </w:t>
      </w:r>
      <w:r>
        <w:rPr>
          <w:sz w:val="22"/>
        </w:rPr>
        <w:t>por  ser  una cuenca pesquera;  de igual</w:t>
      </w:r>
    </w:p>
    <w:p>
      <w:pPr>
        <w:pStyle w:val="BodyText"/>
        <w:spacing w:before="7"/>
        <w:rPr>
          <w:sz w:val="16"/>
        </w:rPr>
      </w:pPr>
      <w:r>
        <w:rPr/>
        <w:pict>
          <v:line style="position:absolute;mso-position-horizontal-relative:page;mso-position-vertical-relative:paragraph;z-index:9496;mso-wrap-distance-left:0;mso-wrap-distance-right:0" from="85.103996pt,11.876012pt" to="229.123996pt,11.876012pt" stroked="true" strokeweight=".71997pt" strokecolor="#000000">
            <w10:wrap type="topAndBottom"/>
          </v:line>
        </w:pict>
      </w:r>
    </w:p>
    <w:p>
      <w:pPr>
        <w:spacing w:line="247" w:lineRule="auto" w:before="69"/>
        <w:ind w:left="1462" w:right="1560" w:firstLine="0"/>
        <w:jc w:val="left"/>
        <w:rPr>
          <w:sz w:val="20"/>
        </w:rPr>
      </w:pPr>
      <w:r>
        <w:rPr>
          <w:rFonts w:ascii="Calibri" w:hAnsi="Calibri"/>
          <w:position w:val="7"/>
          <w:sz w:val="13"/>
        </w:rPr>
        <w:t>9 </w:t>
      </w:r>
      <w:r>
        <w:rPr>
          <w:sz w:val="20"/>
        </w:rPr>
        <w:t>Órgano desconcentrado de la SAGARPA comprometido con la legalidad, la calidad y la transparencia, encargado de fomentar y desarrollar mecanismos de coordinación con diferentes</w:t>
      </w:r>
    </w:p>
    <w:p>
      <w:pPr>
        <w:spacing w:after="0" w:line="247" w:lineRule="auto"/>
        <w:jc w:val="left"/>
        <w:rPr>
          <w:sz w:val="20"/>
        </w:rPr>
        <w:sectPr>
          <w:type w:val="continuous"/>
          <w:pgSz w:w="12240" w:h="15840"/>
          <w:pgMar w:top="1360" w:bottom="1200" w:left="240" w:right="0"/>
        </w:sectPr>
      </w:pPr>
    </w:p>
    <w:p>
      <w:pPr>
        <w:pStyle w:val="BodyText"/>
        <w:spacing w:line="357" w:lineRule="auto" w:before="56"/>
        <w:ind w:left="122" w:right="113"/>
        <w:jc w:val="both"/>
      </w:pPr>
      <w:r>
        <w:rPr/>
        <w:t>forma la presencia federal y sus relaciones con los actores, están dadas a través de los programas de apoyo al campo, los cuales consisten en el subsidio de compra de instrumentos agrícolas, pie de cría de animales ovinos y bovinos e infraestructura ganadera. Pero el principal vínculo está dado a través del Programa de Apoyos Directos  al Campo, actualmente denominado PROCAMPO</w:t>
      </w:r>
      <w:r>
        <w:rPr>
          <w:spacing w:val="-14"/>
        </w:rPr>
        <w:t> </w:t>
      </w:r>
      <w:r>
        <w:rPr/>
        <w:t>Productivo</w:t>
      </w:r>
      <w:r>
        <w:rPr>
          <w:position w:val="8"/>
          <w:sz w:val="14"/>
        </w:rPr>
        <w:t>10</w:t>
      </w:r>
      <w:r>
        <w:rPr/>
        <w:t>.</w:t>
      </w:r>
    </w:p>
    <w:p>
      <w:pPr>
        <w:pStyle w:val="BodyText"/>
        <w:spacing w:before="8"/>
        <w:rPr>
          <w:sz w:val="17"/>
        </w:rPr>
      </w:pPr>
    </w:p>
    <w:p>
      <w:pPr>
        <w:pStyle w:val="BodyText"/>
        <w:spacing w:line="360" w:lineRule="auto"/>
        <w:ind w:left="122" w:right="114"/>
        <w:jc w:val="both"/>
      </w:pPr>
      <w:r>
        <w:rPr/>
        <w:t>Por otro lado, se identifica la presencia y relaciones con la Secretaría de Medio Ambiente y Recursos Naturales (Semarnat), a través de la Comisión Nacional del Agua, que se da a través del Jefe de Distritos de Riego del Estado de México (Distrito de Riego 096), y la Asociación de Usuarios del Sistema de Riego Huapango Arroyo Zarco México A.C.; aunque ésta última es independiente, tiene vínculos importantes con la Conagua, ya que ésta impulsó su creación para regular el riego de la presa Huapango para los municipios de Aculco y Polotitlán, y en menor medida para Jilotepec, sin embargo quedaron al margen de ésta Asociación los actores históricos de los municipios de Acambay y Timilpan, al no tener riego directo de la presa (actores de aguas</w:t>
      </w:r>
      <w:r>
        <w:rPr>
          <w:spacing w:val="-22"/>
        </w:rPr>
        <w:t> </w:t>
      </w:r>
      <w:r>
        <w:rPr/>
        <w:t>arriba).</w:t>
      </w:r>
    </w:p>
    <w:p>
      <w:pPr>
        <w:pStyle w:val="BodyText"/>
        <w:spacing w:before="7"/>
        <w:rPr>
          <w:sz w:val="17"/>
        </w:rPr>
      </w:pPr>
    </w:p>
    <w:p>
      <w:pPr>
        <w:pStyle w:val="BodyText"/>
        <w:spacing w:line="360" w:lineRule="auto"/>
        <w:ind w:left="122" w:right="112"/>
        <w:jc w:val="both"/>
      </w:pPr>
      <w:r>
        <w:rPr/>
        <w:t>Respecto a la presencia de la Secretaría (Federal) de Desarrollo Agrario, Territorial y Urbano (Sedatu), las relaciones en la cuenca hidrosocial están dadas a través del  Registro Agrario Nacional (RAN), que es un órgano desconcentrado de esta Secretaría, y que se encarga del control de la tenencia de la tierra ejidal y comunal, además de brindar la seguridad jurídica documental, derivada de la aplicación de la Ley Agraria (RAN, 2014); y también están dadas las relaciones con la Procuraduría Agraria, que es la institución dedicada a la defensa de los derechos de los sujetos agrarios, la cual brinda servicios de asesoría jurídica, arbitraje agrario y representación legal, promoviendo la conciliación de intereses, la regularización de la propiedad rural y el fortalecimiento de la seguridad jurídica en el campo, además de fomentar la organización agraria básica para la producción</w:t>
      </w:r>
      <w:r>
        <w:rPr>
          <w:spacing w:val="18"/>
        </w:rPr>
        <w:t> </w:t>
      </w:r>
      <w:r>
        <w:rPr/>
        <w:t>y</w:t>
      </w:r>
      <w:r>
        <w:rPr>
          <w:spacing w:val="16"/>
        </w:rPr>
        <w:t> </w:t>
      </w:r>
      <w:r>
        <w:rPr/>
        <w:t>mejor</w:t>
      </w:r>
      <w:r>
        <w:rPr>
          <w:spacing w:val="17"/>
        </w:rPr>
        <w:t> </w:t>
      </w:r>
      <w:r>
        <w:rPr/>
        <w:t>aprovechamiento</w:t>
      </w:r>
      <w:r>
        <w:rPr>
          <w:spacing w:val="19"/>
        </w:rPr>
        <w:t> </w:t>
      </w:r>
      <w:r>
        <w:rPr/>
        <w:t>de</w:t>
      </w:r>
      <w:r>
        <w:rPr>
          <w:spacing w:val="18"/>
        </w:rPr>
        <w:t> </w:t>
      </w:r>
      <w:r>
        <w:rPr/>
        <w:t>sus</w:t>
      </w:r>
      <w:r>
        <w:rPr>
          <w:spacing w:val="16"/>
        </w:rPr>
        <w:t> </w:t>
      </w:r>
      <w:r>
        <w:rPr/>
        <w:t>tierras</w:t>
      </w:r>
      <w:r>
        <w:rPr>
          <w:spacing w:val="18"/>
        </w:rPr>
        <w:t> </w:t>
      </w:r>
      <w:r>
        <w:rPr/>
        <w:t>y</w:t>
      </w:r>
      <w:r>
        <w:rPr>
          <w:spacing w:val="16"/>
        </w:rPr>
        <w:t> </w:t>
      </w:r>
      <w:r>
        <w:rPr/>
        <w:t>recursos</w:t>
      </w:r>
      <w:r>
        <w:rPr>
          <w:spacing w:val="19"/>
        </w:rPr>
        <w:t> </w:t>
      </w:r>
      <w:r>
        <w:rPr/>
        <w:t>naturales,</w:t>
      </w:r>
      <w:r>
        <w:rPr>
          <w:spacing w:val="17"/>
        </w:rPr>
        <w:t> </w:t>
      </w:r>
      <w:r>
        <w:rPr/>
        <w:t>a</w:t>
      </w:r>
      <w:r>
        <w:rPr>
          <w:spacing w:val="18"/>
        </w:rPr>
        <w:t> </w:t>
      </w:r>
      <w:r>
        <w:rPr/>
        <w:t>través</w:t>
      </w:r>
      <w:r>
        <w:rPr>
          <w:spacing w:val="18"/>
        </w:rPr>
        <w:t> </w:t>
      </w:r>
      <w:r>
        <w:rPr/>
        <w:t>de</w:t>
      </w:r>
      <w:r>
        <w:rPr>
          <w:spacing w:val="18"/>
        </w:rPr>
        <w:t> </w:t>
      </w:r>
      <w:r>
        <w:rPr/>
        <w:t>las</w:t>
      </w: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9760;mso-wrap-distance-left:0;mso-wrap-distance-right:0" from="85.103996pt,11.996387pt" to="527.133996pt,11.996387pt" stroked="true" strokeweight=".71997pt" strokecolor="#000000">
            <w10:wrap type="topAndBottom"/>
          </v:line>
        </w:pict>
      </w:r>
    </w:p>
    <w:p>
      <w:pPr>
        <w:spacing w:before="71"/>
        <w:ind w:left="122" w:right="116" w:firstLine="0"/>
        <w:jc w:val="both"/>
        <w:rPr>
          <w:sz w:val="20"/>
        </w:rPr>
      </w:pPr>
      <w:r>
        <w:rPr>
          <w:sz w:val="20"/>
        </w:rPr>
        <w:t>instancias para implementar políticas, programas y normatividad que conduzcan y faciliten el desarrollo competitivo y sustentable del sector pesquero y acuícola del país para incrementar el bienestar de los mexicanos (http://www.conapesca.gob.mx).</w:t>
      </w:r>
    </w:p>
    <w:p>
      <w:pPr>
        <w:spacing w:line="242" w:lineRule="auto" w:before="0"/>
        <w:ind w:left="122" w:right="120" w:firstLine="0"/>
        <w:jc w:val="both"/>
        <w:rPr>
          <w:sz w:val="20"/>
        </w:rPr>
      </w:pPr>
      <w:r>
        <w:rPr>
          <w:rFonts w:ascii="Calibri" w:hAnsi="Calibri"/>
          <w:position w:val="7"/>
          <w:sz w:val="13"/>
        </w:rPr>
        <w:t>10 </w:t>
      </w:r>
      <w:r>
        <w:rPr>
          <w:sz w:val="20"/>
        </w:rPr>
        <w:t>El objetivo del Programa de Apoyos Directos al Campo es complementar el ingreso económico de los productores del campo mexicano, ya sean de autoconsumo o de abastecimiento, para contribuir a su crecimiento económico individual y al del país en su conjunto; así como incentivar la producción de cultivos lícitos, mediante el otorgamiento de apoyos monetarios por superficie inscrita al Programa, de acuerdo a lo que establece la normatividad vigente; coadyuvando así a la atención de las necesidades respecto al derecho a la alimentación, planteadas en el Pacto por México</w:t>
      </w:r>
      <w:r>
        <w:rPr>
          <w:spacing w:val="-10"/>
          <w:sz w:val="20"/>
        </w:rPr>
        <w:t> </w:t>
      </w:r>
      <w:hyperlink r:id="rId158">
        <w:r>
          <w:rPr>
            <w:sz w:val="20"/>
          </w:rPr>
          <w:t>(http://www.sagarpa.gob.mx/agricultura/Programas/proagro/procampo).</w:t>
        </w:r>
      </w:hyperlink>
    </w:p>
    <w:p>
      <w:pPr>
        <w:spacing w:after="0" w:line="242" w:lineRule="auto"/>
        <w:jc w:val="both"/>
        <w:rPr>
          <w:sz w:val="20"/>
        </w:rPr>
        <w:sectPr>
          <w:pgSz w:w="12240" w:h="15840"/>
          <w:pgMar w:header="0" w:footer="943" w:top="1360" w:bottom="1200" w:left="1580" w:right="1580"/>
        </w:sectPr>
      </w:pPr>
    </w:p>
    <w:p>
      <w:pPr>
        <w:pStyle w:val="BodyText"/>
        <w:spacing w:line="360" w:lineRule="auto" w:before="56"/>
        <w:ind w:left="222" w:right="119"/>
        <w:jc w:val="both"/>
      </w:pPr>
      <w:r>
        <w:rPr/>
        <w:t>acciones que coadyuvan al desarrollo rural sustentable y al bienestar social (Procuraduría Agraria, 2014).</w:t>
      </w:r>
    </w:p>
    <w:p>
      <w:pPr>
        <w:pStyle w:val="BodyText"/>
        <w:spacing w:before="7"/>
        <w:rPr>
          <w:sz w:val="17"/>
        </w:rPr>
      </w:pPr>
    </w:p>
    <w:p>
      <w:pPr>
        <w:pStyle w:val="BodyText"/>
        <w:spacing w:line="360" w:lineRule="auto"/>
        <w:ind w:left="222" w:right="116"/>
        <w:jc w:val="both"/>
      </w:pPr>
      <w:r>
        <w:rPr/>
        <w:t>En este sentido, la relación con los Tribunales Agrarios está dada porque son los órganos federales dotados de plena jurisdicción y autonomía para dictar sus fallos, para la impartición de justicia agraria, mediante las resoluciones y sentencias correspondientes. Los tribunales agrarios están integrados por un Tribunal Superior Agrario y por Tribunales Unitarios Agrarios, distribuidos estos últimos por distritos agrarios (UNAM, 2014).</w:t>
      </w:r>
    </w:p>
    <w:p>
      <w:pPr>
        <w:pStyle w:val="BodyText"/>
        <w:spacing w:before="7"/>
        <w:rPr>
          <w:sz w:val="17"/>
        </w:rPr>
      </w:pPr>
    </w:p>
    <w:p>
      <w:pPr>
        <w:pStyle w:val="BodyText"/>
        <w:spacing w:line="360" w:lineRule="auto"/>
        <w:ind w:left="222" w:right="115"/>
        <w:jc w:val="both"/>
      </w:pPr>
      <w:r>
        <w:rPr/>
        <w:t>Con la Cámara de Diputados Federal, que es la encargada de legislar el medio ambiente, existen múltiples Comisiones Ordinarias: 1.- Agricultura y Sistemas de Riego; 2.- Desarrollo Municipal; 3.- Desarrollo Rural; 4.- Desarrollo Social; 5.- Ganadería; 6.- Medio Ambiente y Recursos Naturales; 7.- Pesca; 8.- Recursos Hidráulicos; 9.- Reforma Agraria; y 10.- Transparencia y Anticorrupción; sin embargo, se detecta que no hay un trabajo legislativo encaminado particularmente a la protección del medio ambiente de la cuenca hidrosocial, por lo que hay omisión de ésta responsabilidad, dejando muy amplio o ambiguo su responsabilidad en las anteriores Comisiones.</w:t>
      </w:r>
    </w:p>
    <w:p>
      <w:pPr>
        <w:pStyle w:val="BodyText"/>
        <w:spacing w:before="9"/>
        <w:rPr>
          <w:sz w:val="17"/>
        </w:rPr>
      </w:pPr>
    </w:p>
    <w:p>
      <w:pPr>
        <w:pStyle w:val="BodyText"/>
        <w:spacing w:line="360" w:lineRule="auto"/>
        <w:ind w:left="222" w:right="118"/>
        <w:jc w:val="both"/>
      </w:pPr>
      <w:r>
        <w:rPr/>
        <w:t>Las funciones de las instituciones antes señaladas quedan señaladas en la siguiente tabla, donde se enlistan a cada una de ellas de acuerdo a la información obtenida en sus páginas oficiales a través de</w:t>
      </w:r>
      <w:r>
        <w:rPr>
          <w:spacing w:val="-12"/>
        </w:rPr>
        <w:t> </w:t>
      </w:r>
      <w:r>
        <w:rPr/>
        <w:t>internet.</w:t>
      </w:r>
    </w:p>
    <w:p>
      <w:pPr>
        <w:pStyle w:val="BodyText"/>
        <w:spacing w:before="3"/>
        <w:rPr>
          <w:sz w:val="24"/>
        </w:rPr>
      </w:pPr>
    </w:p>
    <w:p>
      <w:pPr>
        <w:pStyle w:val="Heading6"/>
        <w:ind w:left="1981" w:right="193"/>
      </w:pPr>
      <w:r>
        <w:rPr/>
        <w:t>Tabla 5.2. ACTORES FEDERALES y sus Funciones</w:t>
      </w:r>
    </w:p>
    <w:p>
      <w:pPr>
        <w:pStyle w:val="BodyText"/>
        <w:rPr>
          <w:b/>
          <w:sz w:val="20"/>
        </w:rPr>
      </w:pPr>
    </w:p>
    <w:p>
      <w:pPr>
        <w:pStyle w:val="BodyText"/>
        <w:spacing w:before="9"/>
        <w:rPr>
          <w:b/>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2"/>
        <w:gridCol w:w="5099"/>
      </w:tblGrid>
      <w:tr>
        <w:trPr>
          <w:trHeight w:val="264" w:hRule="exact"/>
        </w:trPr>
        <w:tc>
          <w:tcPr>
            <w:tcW w:w="3092" w:type="dxa"/>
          </w:tcPr>
          <w:p>
            <w:pPr>
              <w:pStyle w:val="TableParagraph"/>
              <w:spacing w:line="248" w:lineRule="exact"/>
              <w:ind w:left="1000" w:right="397"/>
              <w:rPr>
                <w:b/>
                <w:sz w:val="22"/>
              </w:rPr>
            </w:pPr>
            <w:r>
              <w:rPr>
                <w:b/>
                <w:sz w:val="22"/>
              </w:rPr>
              <w:t>ACTORES</w:t>
            </w:r>
          </w:p>
        </w:tc>
        <w:tc>
          <w:tcPr>
            <w:tcW w:w="5099" w:type="dxa"/>
          </w:tcPr>
          <w:p>
            <w:pPr>
              <w:pStyle w:val="TableParagraph"/>
              <w:spacing w:line="248" w:lineRule="exact"/>
              <w:ind w:left="1178"/>
              <w:rPr>
                <w:b/>
                <w:sz w:val="22"/>
              </w:rPr>
            </w:pPr>
            <w:r>
              <w:rPr>
                <w:b/>
                <w:sz w:val="22"/>
              </w:rPr>
              <w:t>FUNCIONES GENERALES</w:t>
            </w:r>
          </w:p>
        </w:tc>
      </w:tr>
      <w:tr>
        <w:trPr>
          <w:trHeight w:val="4311" w:hRule="exact"/>
        </w:trPr>
        <w:tc>
          <w:tcPr>
            <w:tcW w:w="3092" w:type="dxa"/>
          </w:tcPr>
          <w:p>
            <w:pPr>
              <w:pStyle w:val="TableParagraph"/>
              <w:ind w:left="415" w:right="397" w:firstLine="84"/>
              <w:rPr>
                <w:b/>
                <w:sz w:val="22"/>
              </w:rPr>
            </w:pPr>
            <w:r>
              <w:rPr>
                <w:b/>
                <w:sz w:val="22"/>
              </w:rPr>
              <w:t>Secretaría de Medio Ambiente y Recursos Naturales (Semarnat)</w:t>
            </w:r>
          </w:p>
        </w:tc>
        <w:tc>
          <w:tcPr>
            <w:tcW w:w="5099" w:type="dxa"/>
          </w:tcPr>
          <w:p>
            <w:pPr>
              <w:pStyle w:val="TableParagraph"/>
              <w:ind w:left="100" w:right="104"/>
              <w:jc w:val="both"/>
              <w:rPr>
                <w:sz w:val="22"/>
              </w:rPr>
            </w:pPr>
            <w:r>
              <w:rPr>
                <w:sz w:val="22"/>
              </w:rPr>
              <w:t>Tiene como propósito fomentar la protección, restauración y conservación de los ecosistemas y recursos naturales, y bienes y servicios ambientales, con el fin de propiciar su aprovechamiento y desarrollo sustentable.</w:t>
            </w:r>
          </w:p>
          <w:p>
            <w:pPr>
              <w:pStyle w:val="TableParagraph"/>
              <w:spacing w:before="10"/>
              <w:ind w:left="0"/>
              <w:rPr>
                <w:b/>
                <w:sz w:val="21"/>
              </w:rPr>
            </w:pPr>
          </w:p>
          <w:p>
            <w:pPr>
              <w:pStyle w:val="TableParagraph"/>
              <w:ind w:left="100" w:right="104"/>
              <w:jc w:val="both"/>
              <w:rPr>
                <w:sz w:val="22"/>
              </w:rPr>
            </w:pPr>
            <w:r>
              <w:rPr>
                <w:sz w:val="22"/>
              </w:rPr>
              <w:t>Promover el ordenamiento ecológico del territorio nacional, en coordinación con las autoridades federales, estatales y municipales, y con la participación de los particulares.</w:t>
            </w:r>
          </w:p>
          <w:p>
            <w:pPr>
              <w:pStyle w:val="TableParagraph"/>
              <w:ind w:left="0"/>
              <w:rPr>
                <w:b/>
                <w:sz w:val="22"/>
              </w:rPr>
            </w:pPr>
          </w:p>
          <w:p>
            <w:pPr>
              <w:pStyle w:val="TableParagraph"/>
              <w:ind w:left="100" w:right="106"/>
              <w:jc w:val="both"/>
              <w:rPr>
                <w:sz w:val="22"/>
              </w:rPr>
            </w:pPr>
            <w:r>
              <w:rPr>
                <w:sz w:val="22"/>
              </w:rPr>
              <w:t>Regular y vigilar la conservación de las  corrientes, lagos y lagunas de jurisdicción federal, en la protección de cuencas y proteger el medio ambiente.</w:t>
            </w:r>
          </w:p>
        </w:tc>
      </w:tr>
    </w:tbl>
    <w:p>
      <w:pPr>
        <w:spacing w:after="0"/>
        <w:jc w:val="both"/>
        <w:rPr>
          <w:sz w:val="22"/>
        </w:rPr>
        <w:sectPr>
          <w:footerReference w:type="default" r:id="rId159"/>
          <w:pgSz w:w="12240" w:h="15840"/>
          <w:pgMar w:footer="943" w:header="0" w:top="1360" w:bottom="1140" w:left="1480" w:right="1580"/>
          <w:pgNumType w:start="1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2"/>
        <w:gridCol w:w="5099"/>
      </w:tblGrid>
      <w:tr>
        <w:trPr>
          <w:trHeight w:val="1781" w:hRule="exact"/>
        </w:trPr>
        <w:tc>
          <w:tcPr>
            <w:tcW w:w="3092" w:type="dxa"/>
          </w:tcPr>
          <w:p>
            <w:pPr/>
          </w:p>
        </w:tc>
        <w:tc>
          <w:tcPr>
            <w:tcW w:w="5099" w:type="dxa"/>
          </w:tcPr>
          <w:p>
            <w:pPr>
              <w:pStyle w:val="TableParagraph"/>
              <w:ind w:left="100" w:right="104"/>
              <w:jc w:val="both"/>
              <w:rPr>
                <w:sz w:val="22"/>
              </w:rPr>
            </w:pPr>
            <w:r>
              <w:rPr>
                <w:sz w:val="22"/>
              </w:rPr>
              <w:t>Otorgar contratos, concesiones, licencias, permisos, autorizaciones, asignaciones, y reconocer derechos, según corresponda, en materia de aguas, forestal, ecológica, explotación de la flora y fauna silvestres.</w:t>
            </w:r>
          </w:p>
        </w:tc>
      </w:tr>
      <w:tr>
        <w:trPr>
          <w:trHeight w:val="11142" w:hRule="exact"/>
        </w:trPr>
        <w:tc>
          <w:tcPr>
            <w:tcW w:w="3092" w:type="dxa"/>
          </w:tcPr>
          <w:p>
            <w:pPr>
              <w:pStyle w:val="TableParagraph"/>
              <w:spacing w:line="252" w:lineRule="exact" w:before="2"/>
              <w:ind w:left="688" w:right="346" w:hanging="332"/>
              <w:rPr>
                <w:b/>
                <w:i/>
                <w:sz w:val="22"/>
              </w:rPr>
            </w:pPr>
            <w:r>
              <w:rPr>
                <w:b/>
                <w:i/>
                <w:sz w:val="22"/>
              </w:rPr>
              <w:t>Comisión Nacional del </w:t>
            </w:r>
            <w:r>
              <w:rPr>
                <w:b/>
                <w:i/>
                <w:sz w:val="22"/>
              </w:rPr>
              <w:t>Agua (Conagua)</w:t>
            </w:r>
          </w:p>
        </w:tc>
        <w:tc>
          <w:tcPr>
            <w:tcW w:w="5099" w:type="dxa"/>
          </w:tcPr>
          <w:p>
            <w:pPr>
              <w:pStyle w:val="TableParagraph"/>
              <w:ind w:left="100" w:right="104"/>
              <w:jc w:val="both"/>
              <w:rPr>
                <w:sz w:val="22"/>
              </w:rPr>
            </w:pPr>
            <w:r>
              <w:rPr>
                <w:sz w:val="22"/>
              </w:rPr>
              <w:t>Administrar y preservar las aguas nacionales y sus bienes inherentes, para lograr su uso sustentable, con la corresponsabilidad de los tres órdenes de gobierno y la sociedad en general.</w:t>
            </w:r>
          </w:p>
          <w:p>
            <w:pPr>
              <w:pStyle w:val="TableParagraph"/>
              <w:ind w:left="0"/>
              <w:rPr>
                <w:b/>
                <w:sz w:val="22"/>
              </w:rPr>
            </w:pPr>
          </w:p>
          <w:p>
            <w:pPr>
              <w:pStyle w:val="TableParagraph"/>
              <w:ind w:left="100" w:right="102"/>
              <w:jc w:val="both"/>
              <w:rPr>
                <w:sz w:val="22"/>
              </w:rPr>
            </w:pPr>
            <w:r>
              <w:rPr>
                <w:sz w:val="22"/>
              </w:rPr>
              <w:t>Elaborar la política hídrica nacional y el Programa Nacional Hídrico y proponerlos al Ejecutivo Federal, así como dar seguimiento y evaluación a los mismos.</w:t>
            </w:r>
          </w:p>
          <w:p>
            <w:pPr>
              <w:pStyle w:val="TableParagraph"/>
              <w:ind w:left="0"/>
              <w:rPr>
                <w:b/>
                <w:sz w:val="22"/>
              </w:rPr>
            </w:pPr>
          </w:p>
          <w:p>
            <w:pPr>
              <w:pStyle w:val="TableParagraph"/>
              <w:ind w:left="100" w:right="105"/>
              <w:jc w:val="both"/>
              <w:rPr>
                <w:sz w:val="22"/>
              </w:rPr>
            </w:pPr>
            <w:r>
              <w:rPr>
                <w:sz w:val="22"/>
              </w:rPr>
              <w:t>Programar, estudiar, construir, operar, conservar y mantener las obras hidráulicas</w:t>
            </w:r>
            <w:r>
              <w:rPr>
                <w:spacing w:val="-10"/>
                <w:sz w:val="22"/>
              </w:rPr>
              <w:t> </w:t>
            </w:r>
            <w:r>
              <w:rPr>
                <w:sz w:val="22"/>
              </w:rPr>
              <w:t>federales.</w:t>
            </w:r>
          </w:p>
          <w:p>
            <w:pPr>
              <w:pStyle w:val="TableParagraph"/>
              <w:spacing w:before="9"/>
              <w:ind w:left="0"/>
              <w:rPr>
                <w:b/>
                <w:sz w:val="21"/>
              </w:rPr>
            </w:pPr>
          </w:p>
          <w:p>
            <w:pPr>
              <w:pStyle w:val="TableParagraph"/>
              <w:ind w:left="100" w:right="103"/>
              <w:jc w:val="both"/>
              <w:rPr>
                <w:sz w:val="22"/>
              </w:rPr>
            </w:pPr>
            <w:r>
              <w:rPr>
                <w:sz w:val="22"/>
              </w:rPr>
              <w:t>Proponer al Presidente de la República el establecimiento de Distritos de Riego y en su caso, la expropiación de los bienes inmuebles correspondientes.</w:t>
            </w:r>
          </w:p>
          <w:p>
            <w:pPr>
              <w:pStyle w:val="TableParagraph"/>
              <w:spacing w:before="9"/>
              <w:ind w:left="0"/>
              <w:rPr>
                <w:b/>
                <w:sz w:val="21"/>
              </w:rPr>
            </w:pPr>
          </w:p>
          <w:p>
            <w:pPr>
              <w:pStyle w:val="TableParagraph"/>
              <w:ind w:left="100" w:right="103"/>
              <w:jc w:val="both"/>
              <w:rPr>
                <w:sz w:val="22"/>
              </w:rPr>
            </w:pPr>
            <w:r>
              <w:rPr>
                <w:sz w:val="22"/>
              </w:rPr>
              <w:t>Regular los servicios de riego en distritos y unidades de riego en el territorio nacional, e integrar los censos de infraestructura, los volúmenes entregados y aprovechados, así como los padrones de usuarios, el estado que guarda la infraestructura y los servicios.</w:t>
            </w:r>
          </w:p>
          <w:p>
            <w:pPr>
              <w:pStyle w:val="TableParagraph"/>
              <w:ind w:left="0"/>
              <w:rPr>
                <w:b/>
                <w:sz w:val="22"/>
              </w:rPr>
            </w:pPr>
          </w:p>
          <w:p>
            <w:pPr>
              <w:pStyle w:val="TableParagraph"/>
              <w:ind w:left="100"/>
              <w:jc w:val="both"/>
              <w:rPr>
                <w:sz w:val="22"/>
              </w:rPr>
            </w:pPr>
            <w:r>
              <w:rPr>
                <w:sz w:val="22"/>
              </w:rPr>
              <w:t>Establecer las prioridades en</w:t>
            </w:r>
          </w:p>
          <w:p>
            <w:pPr>
              <w:pStyle w:val="TableParagraph"/>
              <w:spacing w:before="1"/>
              <w:ind w:left="100" w:right="104"/>
              <w:jc w:val="both"/>
              <w:rPr>
                <w:sz w:val="22"/>
              </w:rPr>
            </w:pPr>
            <w:r>
              <w:rPr>
                <w:sz w:val="22"/>
              </w:rPr>
              <w:t>lo concerniente a la administración y gestión de las aguas nacionales y de sus bienes nacionales inherentes.</w:t>
            </w:r>
          </w:p>
          <w:p>
            <w:pPr>
              <w:pStyle w:val="TableParagraph"/>
              <w:ind w:left="0"/>
              <w:rPr>
                <w:b/>
                <w:sz w:val="22"/>
              </w:rPr>
            </w:pPr>
          </w:p>
          <w:p>
            <w:pPr>
              <w:pStyle w:val="TableParagraph"/>
              <w:ind w:left="100" w:right="104"/>
              <w:jc w:val="both"/>
              <w:rPr>
                <w:sz w:val="22"/>
              </w:rPr>
            </w:pPr>
            <w:r>
              <w:rPr>
                <w:sz w:val="22"/>
              </w:rPr>
              <w:t>Expedir títulos de concesión, asignación o permiso de descarga, reconocer derechos y llevar el Registro Público de Derechos de Agua.</w:t>
            </w:r>
          </w:p>
          <w:p>
            <w:pPr>
              <w:pStyle w:val="TableParagraph"/>
              <w:spacing w:before="1"/>
              <w:ind w:left="0"/>
              <w:rPr>
                <w:b/>
                <w:sz w:val="22"/>
              </w:rPr>
            </w:pPr>
          </w:p>
          <w:p>
            <w:pPr>
              <w:pStyle w:val="TableParagraph"/>
              <w:ind w:left="100" w:right="104"/>
              <w:jc w:val="both"/>
              <w:rPr>
                <w:sz w:val="22"/>
              </w:rPr>
            </w:pPr>
            <w:r>
              <w:rPr>
                <w:sz w:val="22"/>
              </w:rPr>
              <w:t>Analizar y resolver los problemas y conflictos derivados de la explotación, uso, aprovechamiento o conservación de las aguas nacionales.</w:t>
            </w:r>
          </w:p>
          <w:p>
            <w:pPr>
              <w:pStyle w:val="TableParagraph"/>
              <w:ind w:left="0"/>
              <w:rPr>
                <w:b/>
                <w:sz w:val="22"/>
              </w:rPr>
            </w:pPr>
          </w:p>
          <w:p>
            <w:pPr>
              <w:pStyle w:val="TableParagraph"/>
              <w:ind w:left="100" w:right="103"/>
              <w:jc w:val="both"/>
              <w:rPr>
                <w:sz w:val="22"/>
              </w:rPr>
            </w:pPr>
            <w:r>
              <w:rPr>
                <w:sz w:val="22"/>
              </w:rPr>
              <w:t>Promover el uso eficiente del agua y su conservación en todas las fases del ciclo hidrológico.</w:t>
            </w:r>
          </w:p>
          <w:p>
            <w:pPr>
              <w:pStyle w:val="TableParagraph"/>
              <w:ind w:left="0"/>
              <w:rPr>
                <w:b/>
                <w:sz w:val="22"/>
              </w:rPr>
            </w:pPr>
          </w:p>
          <w:p>
            <w:pPr>
              <w:pStyle w:val="TableParagraph"/>
              <w:ind w:left="100"/>
              <w:jc w:val="both"/>
              <w:rPr>
                <w:sz w:val="22"/>
              </w:rPr>
            </w:pPr>
            <w:r>
              <w:rPr>
                <w:sz w:val="22"/>
              </w:rPr>
              <w:t>Impulsar  el  desarrollo  de  una  cultura  del agua</w:t>
            </w:r>
          </w:p>
        </w:tc>
      </w:tr>
    </w:tbl>
    <w:p>
      <w:pPr>
        <w:spacing w:after="0"/>
        <w:jc w:val="both"/>
        <w:rPr>
          <w:sz w:val="22"/>
        </w:rPr>
        <w:sectPr>
          <w:pgSz w:w="12240" w:h="15840"/>
          <w:pgMar w:header="0" w:footer="943" w:top="1420" w:bottom="114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2"/>
        <w:gridCol w:w="5099"/>
      </w:tblGrid>
      <w:tr>
        <w:trPr>
          <w:trHeight w:val="5070" w:hRule="exact"/>
        </w:trPr>
        <w:tc>
          <w:tcPr>
            <w:tcW w:w="3092" w:type="dxa"/>
          </w:tcPr>
          <w:p>
            <w:pPr/>
          </w:p>
        </w:tc>
        <w:tc>
          <w:tcPr>
            <w:tcW w:w="5099" w:type="dxa"/>
          </w:tcPr>
          <w:p>
            <w:pPr>
              <w:pStyle w:val="TableParagraph"/>
              <w:spacing w:line="252" w:lineRule="exact" w:before="2"/>
              <w:ind w:left="100" w:right="107"/>
              <w:jc w:val="both"/>
              <w:rPr>
                <w:sz w:val="22"/>
              </w:rPr>
            </w:pPr>
            <w:r>
              <w:rPr>
                <w:sz w:val="22"/>
              </w:rPr>
              <w:t>que la considere como recurso vital, escaso y de alto valor económico, social y ambiental.</w:t>
            </w:r>
          </w:p>
          <w:p>
            <w:pPr>
              <w:pStyle w:val="TableParagraph"/>
              <w:spacing w:before="8"/>
              <w:ind w:left="0"/>
              <w:rPr>
                <w:b/>
                <w:sz w:val="21"/>
              </w:rPr>
            </w:pPr>
          </w:p>
          <w:p>
            <w:pPr>
              <w:pStyle w:val="TableParagraph"/>
              <w:ind w:left="100" w:right="100"/>
              <w:jc w:val="both"/>
              <w:rPr>
                <w:sz w:val="22"/>
              </w:rPr>
            </w:pPr>
            <w:r>
              <w:rPr>
                <w:sz w:val="22"/>
              </w:rPr>
              <w:t>Estudiar los montos recomendables para el cobro de derechos de agua, incluyendo el cobro por extracción de aguas nacionales, descarga de aguas residuales y servicios ambientales vinculados con el agua y su gestión.</w:t>
            </w:r>
          </w:p>
          <w:p>
            <w:pPr>
              <w:pStyle w:val="TableParagraph"/>
              <w:ind w:left="0"/>
              <w:rPr>
                <w:b/>
                <w:sz w:val="22"/>
              </w:rPr>
            </w:pPr>
          </w:p>
          <w:p>
            <w:pPr>
              <w:pStyle w:val="TableParagraph"/>
              <w:ind w:left="100" w:right="102"/>
              <w:jc w:val="both"/>
              <w:rPr>
                <w:sz w:val="22"/>
              </w:rPr>
            </w:pPr>
            <w:r>
              <w:rPr>
                <w:sz w:val="22"/>
              </w:rPr>
              <w:t>Difundir conocimientos en materia de gestión de los recursos hídricos, con el propósito de fortalecer sus acciones y mejorar la calidad de sus servicios, coordinado con el Instituto Mexicano de Tecnología del</w:t>
            </w:r>
            <w:r>
              <w:rPr>
                <w:spacing w:val="-9"/>
                <w:sz w:val="22"/>
              </w:rPr>
              <w:t> </w:t>
            </w:r>
            <w:r>
              <w:rPr>
                <w:sz w:val="22"/>
              </w:rPr>
              <w:t>Agua.</w:t>
            </w:r>
          </w:p>
          <w:p>
            <w:pPr>
              <w:pStyle w:val="TableParagraph"/>
              <w:spacing w:before="1"/>
              <w:ind w:left="0"/>
              <w:rPr>
                <w:b/>
                <w:sz w:val="22"/>
              </w:rPr>
            </w:pPr>
          </w:p>
          <w:p>
            <w:pPr>
              <w:pStyle w:val="TableParagraph"/>
              <w:ind w:left="100" w:right="104"/>
              <w:jc w:val="both"/>
              <w:rPr>
                <w:sz w:val="22"/>
              </w:rPr>
            </w:pPr>
            <w:r>
              <w:rPr>
                <w:sz w:val="22"/>
              </w:rPr>
              <w:t>Integrar el Sistema Nacional de Información  sobre cantidad, calidad, usos y conservación del agua.</w:t>
            </w:r>
          </w:p>
        </w:tc>
      </w:tr>
      <w:tr>
        <w:trPr>
          <w:trHeight w:val="7854" w:hRule="exact"/>
        </w:trPr>
        <w:tc>
          <w:tcPr>
            <w:tcW w:w="3092" w:type="dxa"/>
          </w:tcPr>
          <w:p>
            <w:pPr>
              <w:pStyle w:val="TableParagraph"/>
              <w:ind w:right="281"/>
              <w:rPr>
                <w:b/>
                <w:sz w:val="22"/>
              </w:rPr>
            </w:pPr>
            <w:r>
              <w:rPr>
                <w:b/>
                <w:sz w:val="22"/>
              </w:rPr>
              <w:t>Secretaría de Agricultura, Ganadería, Desarrollo Rural, Pesca y Alimentación (Sagarpa)</w:t>
            </w:r>
          </w:p>
        </w:tc>
        <w:tc>
          <w:tcPr>
            <w:tcW w:w="5099" w:type="dxa"/>
          </w:tcPr>
          <w:p>
            <w:pPr>
              <w:pStyle w:val="TableParagraph"/>
              <w:ind w:left="100" w:right="101"/>
              <w:jc w:val="both"/>
              <w:rPr>
                <w:sz w:val="22"/>
              </w:rPr>
            </w:pPr>
            <w:r>
              <w:rPr>
                <w:sz w:val="22"/>
              </w:rPr>
              <w:t>Promover, concretar y desarrollar proyectos estratégicos para México en los sectores  agrícola, ganadero, pesquero, alimentario y de desarrollo</w:t>
            </w:r>
            <w:r>
              <w:rPr>
                <w:spacing w:val="-3"/>
                <w:sz w:val="22"/>
              </w:rPr>
              <w:t> </w:t>
            </w:r>
            <w:r>
              <w:rPr>
                <w:sz w:val="22"/>
              </w:rPr>
              <w:t>rural.</w:t>
            </w:r>
          </w:p>
          <w:p>
            <w:pPr>
              <w:pStyle w:val="TableParagraph"/>
              <w:spacing w:before="9"/>
              <w:ind w:left="0"/>
              <w:rPr>
                <w:b/>
                <w:sz w:val="21"/>
              </w:rPr>
            </w:pPr>
          </w:p>
          <w:p>
            <w:pPr>
              <w:pStyle w:val="TableParagraph"/>
              <w:ind w:left="100" w:right="103"/>
              <w:jc w:val="both"/>
              <w:rPr>
                <w:sz w:val="22"/>
              </w:rPr>
            </w:pPr>
            <w:r>
              <w:rPr>
                <w:sz w:val="22"/>
              </w:rPr>
              <w:t>Promover el desarrollo integral del campo del  país que permita el aprovechamiento sustentable de sus</w:t>
            </w:r>
            <w:r>
              <w:rPr>
                <w:spacing w:val="-1"/>
                <w:sz w:val="22"/>
              </w:rPr>
              <w:t> </w:t>
            </w:r>
            <w:r>
              <w:rPr>
                <w:sz w:val="22"/>
              </w:rPr>
              <w:t>recursos.</w:t>
            </w:r>
          </w:p>
          <w:p>
            <w:pPr>
              <w:pStyle w:val="TableParagraph"/>
              <w:ind w:left="0"/>
              <w:rPr>
                <w:b/>
                <w:sz w:val="22"/>
              </w:rPr>
            </w:pPr>
          </w:p>
          <w:p>
            <w:pPr>
              <w:pStyle w:val="TableParagraph"/>
              <w:ind w:left="100" w:right="101"/>
              <w:jc w:val="both"/>
              <w:rPr>
                <w:sz w:val="22"/>
              </w:rPr>
            </w:pPr>
            <w:r>
              <w:rPr>
                <w:sz w:val="22"/>
              </w:rPr>
              <w:t>Servir como enlace entre el Gobierno de México y las autoridades de los países que conforman la Unión Europea, el Espacio Económico Europeo, la Federación Rusa, Turquía y Medio Oriente  para la promoción y fomento de las relaciones comerciales, en cuanto a exportaciones de productos agropecuarios se</w:t>
            </w:r>
            <w:r>
              <w:rPr>
                <w:spacing w:val="-9"/>
                <w:sz w:val="22"/>
              </w:rPr>
              <w:t> </w:t>
            </w:r>
            <w:r>
              <w:rPr>
                <w:sz w:val="22"/>
              </w:rPr>
              <w:t>refiere.</w:t>
            </w:r>
          </w:p>
          <w:p>
            <w:pPr>
              <w:pStyle w:val="TableParagraph"/>
              <w:ind w:left="0"/>
              <w:rPr>
                <w:b/>
                <w:sz w:val="22"/>
              </w:rPr>
            </w:pPr>
          </w:p>
          <w:p>
            <w:pPr>
              <w:pStyle w:val="TableParagraph"/>
              <w:ind w:left="100" w:right="101"/>
              <w:jc w:val="both"/>
              <w:rPr>
                <w:sz w:val="22"/>
              </w:rPr>
            </w:pPr>
            <w:r>
              <w:rPr>
                <w:sz w:val="22"/>
              </w:rPr>
              <w:t>Dar seguimiento a los compromisos internacionales adquiridos por México en  el marco del Tratado de Libre Comercio entre México y la Unión Europea (TLCUEM), así como ante la Comisión Europea (CE), la Organización para la Cooperación</w:t>
            </w:r>
          </w:p>
          <w:p>
            <w:pPr>
              <w:pStyle w:val="TableParagraph"/>
              <w:ind w:left="0"/>
              <w:rPr>
                <w:b/>
                <w:sz w:val="22"/>
              </w:rPr>
            </w:pPr>
          </w:p>
          <w:p>
            <w:pPr>
              <w:pStyle w:val="TableParagraph"/>
              <w:ind w:left="100" w:right="102"/>
              <w:jc w:val="both"/>
              <w:rPr>
                <w:sz w:val="22"/>
              </w:rPr>
            </w:pPr>
            <w:r>
              <w:rPr>
                <w:sz w:val="22"/>
              </w:rPr>
              <w:t>Desarrollo Económico (OCDE) y la Organización de Naciones Unidas para la Agricultura y Alimentación (FAO) entre otras organizaciones internacionales, así como ante los Ministerios de Agricultura y Servicios Veterinarios de los países miembros de la UE, la Federación de Rusia y países    del    Medio    Oriente    representando y</w:t>
            </w:r>
          </w:p>
        </w:tc>
      </w:tr>
    </w:tbl>
    <w:p>
      <w:pPr>
        <w:spacing w:after="0"/>
        <w:jc w:val="both"/>
        <w:rPr>
          <w:sz w:val="22"/>
        </w:rPr>
        <w:sectPr>
          <w:pgSz w:w="12240" w:h="15840"/>
          <w:pgMar w:header="0" w:footer="943" w:top="1420" w:bottom="114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2"/>
        <w:gridCol w:w="5099"/>
      </w:tblGrid>
      <w:tr>
        <w:trPr>
          <w:trHeight w:val="12156" w:hRule="exact"/>
        </w:trPr>
        <w:tc>
          <w:tcPr>
            <w:tcW w:w="3092" w:type="dxa"/>
          </w:tcPr>
          <w:p>
            <w:pPr/>
          </w:p>
        </w:tc>
        <w:tc>
          <w:tcPr>
            <w:tcW w:w="5099" w:type="dxa"/>
          </w:tcPr>
          <w:p>
            <w:pPr>
              <w:pStyle w:val="TableParagraph"/>
              <w:spacing w:line="252" w:lineRule="exact" w:before="2"/>
              <w:ind w:left="100" w:right="102"/>
              <w:jc w:val="both"/>
              <w:rPr>
                <w:sz w:val="22"/>
              </w:rPr>
            </w:pPr>
            <w:r>
              <w:rPr>
                <w:sz w:val="22"/>
              </w:rPr>
              <w:t>protegiendo los intereses de los productores mexicanos del sector agrícola mexicano.</w:t>
            </w:r>
          </w:p>
          <w:p>
            <w:pPr>
              <w:pStyle w:val="TableParagraph"/>
              <w:spacing w:before="8"/>
              <w:ind w:left="0"/>
              <w:rPr>
                <w:b/>
                <w:sz w:val="21"/>
              </w:rPr>
            </w:pPr>
          </w:p>
          <w:p>
            <w:pPr>
              <w:pStyle w:val="TableParagraph"/>
              <w:ind w:left="100" w:right="102" w:firstLine="62"/>
              <w:jc w:val="both"/>
              <w:rPr>
                <w:sz w:val="22"/>
              </w:rPr>
            </w:pPr>
            <w:r>
              <w:rPr>
                <w:sz w:val="22"/>
              </w:rPr>
              <w:t>El crecimiento sostenido y equilibrado de las regiones, la generación de empleos atractivos  que propicien el arraigo en el medio rural y el fortalecimiento de la productividad y competitividad de los productos para consolidar el posicionamiento y la conquista de nuevos mercados, atendiendo a los requerimientos y exigencias de los</w:t>
            </w:r>
            <w:r>
              <w:rPr>
                <w:spacing w:val="-8"/>
                <w:sz w:val="22"/>
              </w:rPr>
              <w:t> </w:t>
            </w:r>
            <w:r>
              <w:rPr>
                <w:sz w:val="22"/>
              </w:rPr>
              <w:t>consumidores.</w:t>
            </w:r>
          </w:p>
          <w:p>
            <w:pPr>
              <w:pStyle w:val="TableParagraph"/>
              <w:ind w:left="0"/>
              <w:rPr>
                <w:b/>
                <w:sz w:val="22"/>
              </w:rPr>
            </w:pPr>
          </w:p>
          <w:p>
            <w:pPr>
              <w:pStyle w:val="TableParagraph"/>
              <w:spacing w:line="252" w:lineRule="exact"/>
              <w:ind w:left="100"/>
              <w:jc w:val="both"/>
              <w:rPr>
                <w:sz w:val="22"/>
              </w:rPr>
            </w:pPr>
            <w:r>
              <w:rPr>
                <w:sz w:val="22"/>
              </w:rPr>
              <w:t>Objetivos:</w:t>
            </w:r>
          </w:p>
          <w:p>
            <w:pPr>
              <w:pStyle w:val="TableParagraph"/>
              <w:ind w:left="100" w:right="104"/>
              <w:jc w:val="both"/>
              <w:rPr>
                <w:sz w:val="22"/>
              </w:rPr>
            </w:pPr>
            <w:r>
              <w:rPr>
                <w:sz w:val="22"/>
                <w:shd w:fill="F9F9F9" w:color="auto" w:val="clear"/>
              </w:rPr>
              <w:t>Elevar el nivel de desarrollo humano y patrimonial de los mexicanos que viven en las zonas rurales  y</w:t>
            </w:r>
            <w:r>
              <w:rPr>
                <w:spacing w:val="-2"/>
                <w:sz w:val="22"/>
                <w:shd w:fill="F9F9F9" w:color="auto" w:val="clear"/>
              </w:rPr>
              <w:t> </w:t>
            </w:r>
            <w:r>
              <w:rPr>
                <w:sz w:val="22"/>
                <w:shd w:fill="F9F9F9" w:color="auto" w:val="clear"/>
              </w:rPr>
              <w:t>costeras.</w:t>
            </w:r>
          </w:p>
          <w:p>
            <w:pPr>
              <w:pStyle w:val="TableParagraph"/>
              <w:ind w:left="0"/>
              <w:rPr>
                <w:b/>
                <w:sz w:val="22"/>
              </w:rPr>
            </w:pPr>
          </w:p>
          <w:p>
            <w:pPr>
              <w:pStyle w:val="TableParagraph"/>
              <w:ind w:left="100" w:right="102"/>
              <w:jc w:val="both"/>
              <w:rPr>
                <w:sz w:val="22"/>
              </w:rPr>
            </w:pPr>
            <w:r>
              <w:rPr>
                <w:sz w:val="22"/>
              </w:rPr>
              <w:t>Abastecer el mercado interno con alimentos de calidad, sanos y accesibles provenientes de nuestros campos y mares.</w:t>
            </w:r>
          </w:p>
          <w:p>
            <w:pPr>
              <w:pStyle w:val="TableParagraph"/>
              <w:ind w:left="0"/>
              <w:rPr>
                <w:b/>
                <w:sz w:val="22"/>
              </w:rPr>
            </w:pPr>
          </w:p>
          <w:p>
            <w:pPr>
              <w:pStyle w:val="TableParagraph"/>
              <w:ind w:left="100" w:right="103"/>
              <w:jc w:val="both"/>
              <w:rPr>
                <w:sz w:val="22"/>
              </w:rPr>
            </w:pPr>
            <w:r>
              <w:rPr>
                <w:sz w:val="22"/>
              </w:rPr>
              <w:t>Mejorar los ingresos de los productores incrementando nuestra presencia en los mercados globales, promoviendo los procesos de agregación de valor y la producción de energéticos.</w:t>
            </w:r>
          </w:p>
          <w:p>
            <w:pPr>
              <w:pStyle w:val="TableParagraph"/>
              <w:ind w:left="0"/>
              <w:rPr>
                <w:b/>
                <w:sz w:val="22"/>
              </w:rPr>
            </w:pPr>
          </w:p>
          <w:p>
            <w:pPr>
              <w:pStyle w:val="TableParagraph"/>
              <w:spacing w:before="1"/>
              <w:ind w:left="100" w:right="106"/>
              <w:jc w:val="both"/>
              <w:rPr>
                <w:sz w:val="22"/>
              </w:rPr>
            </w:pPr>
            <w:r>
              <w:rPr>
                <w:sz w:val="22"/>
              </w:rPr>
              <w:t>Revertir el deterioro de los ecosistemas, a través de acciones para preservar el agua, el suelo y la biodiversidad.</w:t>
            </w:r>
          </w:p>
          <w:p>
            <w:pPr>
              <w:pStyle w:val="TableParagraph"/>
              <w:ind w:left="0"/>
              <w:rPr>
                <w:b/>
                <w:sz w:val="22"/>
              </w:rPr>
            </w:pPr>
          </w:p>
          <w:p>
            <w:pPr>
              <w:pStyle w:val="TableParagraph"/>
              <w:ind w:left="100" w:right="100"/>
              <w:jc w:val="both"/>
              <w:rPr>
                <w:sz w:val="22"/>
              </w:rPr>
            </w:pPr>
            <w:r>
              <w:rPr>
                <w:sz w:val="22"/>
              </w:rPr>
              <w:t>Conducir el desarrollo armónico del medio rural mediante acciones concertadas, tomando acuerdos con todos los actores de la sociedad rural. Además de promover acciones que propicien la certidumbre legal en el medio rural.</w:t>
            </w:r>
          </w:p>
          <w:p>
            <w:pPr>
              <w:pStyle w:val="TableParagraph"/>
              <w:ind w:left="0"/>
              <w:rPr>
                <w:b/>
                <w:sz w:val="22"/>
              </w:rPr>
            </w:pPr>
          </w:p>
          <w:p>
            <w:pPr>
              <w:pStyle w:val="TableParagraph"/>
              <w:ind w:left="100" w:right="102"/>
              <w:jc w:val="both"/>
              <w:rPr>
                <w:sz w:val="22"/>
              </w:rPr>
            </w:pPr>
            <w:r>
              <w:rPr>
                <w:sz w:val="22"/>
              </w:rPr>
              <w:t>Propiciar  el ejercicio de una política de apoyo  que permita producir mejor, aprovechar mejor las ventajas comparativas de nuestro sector agropecuario, integrar las actividades del medio rural a las cadenas productivas del resto de la economía, y estimular la colaboración de las organizaciones de productores con programas y proyectos propios, así como con las metas y objetivos propuestos, para el sector agropecuario, en el Plan Nacional de</w:t>
            </w:r>
            <w:r>
              <w:rPr>
                <w:spacing w:val="-9"/>
                <w:sz w:val="22"/>
              </w:rPr>
              <w:t> </w:t>
            </w:r>
            <w:r>
              <w:rPr>
                <w:sz w:val="22"/>
              </w:rPr>
              <w:t>Desarrollo.</w:t>
            </w:r>
          </w:p>
        </w:tc>
      </w:tr>
      <w:tr>
        <w:trPr>
          <w:trHeight w:val="768" w:hRule="exact"/>
        </w:trPr>
        <w:tc>
          <w:tcPr>
            <w:tcW w:w="3092" w:type="dxa"/>
          </w:tcPr>
          <w:p>
            <w:pPr>
              <w:pStyle w:val="TableParagraph"/>
              <w:ind w:right="660"/>
              <w:rPr>
                <w:b/>
                <w:i/>
                <w:sz w:val="22"/>
              </w:rPr>
            </w:pPr>
            <w:r>
              <w:rPr>
                <w:b/>
                <w:i/>
                <w:sz w:val="22"/>
              </w:rPr>
              <w:t>Comisión Nacional de </w:t>
            </w:r>
            <w:r>
              <w:rPr>
                <w:b/>
                <w:i/>
                <w:sz w:val="22"/>
              </w:rPr>
              <w:t>Acuacultura y Pesca (Conapesca)</w:t>
            </w:r>
          </w:p>
        </w:tc>
        <w:tc>
          <w:tcPr>
            <w:tcW w:w="5099" w:type="dxa"/>
          </w:tcPr>
          <w:p>
            <w:pPr>
              <w:pStyle w:val="TableParagraph"/>
              <w:ind w:left="100" w:right="103"/>
              <w:jc w:val="both"/>
              <w:rPr>
                <w:sz w:val="22"/>
              </w:rPr>
            </w:pPr>
            <w:r>
              <w:rPr>
                <w:sz w:val="22"/>
              </w:rPr>
              <w:t>Desarrollar programas para apoyar al productor, pescador o ciudadano interesado en realizar actividades pesqueras y acuícolas.</w:t>
            </w:r>
          </w:p>
        </w:tc>
      </w:tr>
    </w:tbl>
    <w:p>
      <w:pPr>
        <w:spacing w:after="0"/>
        <w:jc w:val="both"/>
        <w:rPr>
          <w:sz w:val="22"/>
        </w:rPr>
        <w:sectPr>
          <w:pgSz w:w="12240" w:h="15840"/>
          <w:pgMar w:header="0" w:footer="943" w:top="1420" w:bottom="114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2"/>
        <w:gridCol w:w="5099"/>
      </w:tblGrid>
      <w:tr>
        <w:trPr>
          <w:trHeight w:val="262" w:hRule="exact"/>
        </w:trPr>
        <w:tc>
          <w:tcPr>
            <w:tcW w:w="3092" w:type="dxa"/>
          </w:tcPr>
          <w:p>
            <w:pPr/>
          </w:p>
        </w:tc>
        <w:tc>
          <w:tcPr>
            <w:tcW w:w="5099" w:type="dxa"/>
          </w:tcPr>
          <w:p>
            <w:pPr/>
          </w:p>
        </w:tc>
      </w:tr>
      <w:tr>
        <w:trPr>
          <w:trHeight w:val="1781" w:hRule="exact"/>
        </w:trPr>
        <w:tc>
          <w:tcPr>
            <w:tcW w:w="3092" w:type="dxa"/>
          </w:tcPr>
          <w:p>
            <w:pPr>
              <w:pStyle w:val="TableParagraph"/>
              <w:spacing w:line="252" w:lineRule="exact" w:before="2"/>
              <w:ind w:right="99"/>
              <w:jc w:val="both"/>
              <w:rPr>
                <w:b/>
                <w:sz w:val="22"/>
              </w:rPr>
            </w:pPr>
            <w:r>
              <w:rPr>
                <w:b/>
                <w:sz w:val="22"/>
              </w:rPr>
              <w:t>Secretaría de Desarrollo Agrario, Territorial y Urbano (Sedatu)</w:t>
            </w:r>
          </w:p>
        </w:tc>
        <w:tc>
          <w:tcPr>
            <w:tcW w:w="5099" w:type="dxa"/>
          </w:tcPr>
          <w:p>
            <w:pPr>
              <w:pStyle w:val="TableParagraph"/>
              <w:ind w:left="100" w:right="104"/>
              <w:jc w:val="both"/>
              <w:rPr>
                <w:sz w:val="22"/>
              </w:rPr>
            </w:pPr>
            <w:r>
              <w:rPr>
                <w:sz w:val="22"/>
              </w:rPr>
              <w:t>Proporcionar certeza jurídica en la tenencia de la tierra a la población objetivo, a través del impulso al ordenamiento territorial y la regularización de la propiedad rural.</w:t>
            </w:r>
          </w:p>
          <w:p>
            <w:pPr>
              <w:pStyle w:val="TableParagraph"/>
              <w:ind w:left="0"/>
              <w:rPr>
                <w:b/>
                <w:sz w:val="22"/>
              </w:rPr>
            </w:pPr>
          </w:p>
          <w:p>
            <w:pPr>
              <w:pStyle w:val="TableParagraph"/>
              <w:ind w:left="100" w:right="103"/>
              <w:jc w:val="both"/>
              <w:rPr>
                <w:sz w:val="22"/>
              </w:rPr>
            </w:pPr>
            <w:r>
              <w:rPr>
                <w:sz w:val="22"/>
              </w:rPr>
              <w:t>Elaborar políticas públicas que fomenten el acceso a la justicia y el desarrollo agrario integral.</w:t>
            </w:r>
          </w:p>
        </w:tc>
      </w:tr>
      <w:tr>
        <w:trPr>
          <w:trHeight w:val="1022" w:hRule="exact"/>
        </w:trPr>
        <w:tc>
          <w:tcPr>
            <w:tcW w:w="3092" w:type="dxa"/>
          </w:tcPr>
          <w:p>
            <w:pPr>
              <w:pStyle w:val="TableParagraph"/>
              <w:rPr>
                <w:b/>
                <w:i/>
                <w:sz w:val="22"/>
              </w:rPr>
            </w:pPr>
            <w:r>
              <w:rPr>
                <w:b/>
                <w:i/>
                <w:sz w:val="22"/>
              </w:rPr>
              <w:t>Registro Agrario Nacional </w:t>
            </w:r>
            <w:r>
              <w:rPr>
                <w:b/>
                <w:i/>
                <w:sz w:val="22"/>
              </w:rPr>
              <w:t>(RAN)</w:t>
            </w:r>
          </w:p>
        </w:tc>
        <w:tc>
          <w:tcPr>
            <w:tcW w:w="5099" w:type="dxa"/>
          </w:tcPr>
          <w:p>
            <w:pPr>
              <w:pStyle w:val="TableParagraph"/>
              <w:ind w:left="100" w:right="103"/>
              <w:jc w:val="both"/>
              <w:rPr>
                <w:sz w:val="22"/>
              </w:rPr>
            </w:pPr>
            <w:r>
              <w:rPr>
                <w:sz w:val="22"/>
              </w:rPr>
              <w:t>Se encarga del control de la tenencia de la tierra ejidal y comunal, y de brindar la seguridad  jurídica documental, derivada de la aplicación de la Ley</w:t>
            </w:r>
            <w:r>
              <w:rPr>
                <w:spacing w:val="-5"/>
                <w:sz w:val="22"/>
              </w:rPr>
              <w:t> </w:t>
            </w:r>
            <w:r>
              <w:rPr>
                <w:sz w:val="22"/>
              </w:rPr>
              <w:t>Agraria.</w:t>
            </w:r>
          </w:p>
        </w:tc>
      </w:tr>
      <w:tr>
        <w:trPr>
          <w:trHeight w:val="3301" w:hRule="exact"/>
        </w:trPr>
        <w:tc>
          <w:tcPr>
            <w:tcW w:w="3092" w:type="dxa"/>
          </w:tcPr>
          <w:p>
            <w:pPr>
              <w:pStyle w:val="TableParagraph"/>
              <w:spacing w:line="251" w:lineRule="exact"/>
              <w:ind w:right="397"/>
              <w:rPr>
                <w:b/>
                <w:i/>
                <w:sz w:val="22"/>
              </w:rPr>
            </w:pPr>
            <w:r>
              <w:rPr>
                <w:b/>
                <w:i/>
                <w:sz w:val="22"/>
              </w:rPr>
              <w:t>Procuraduría Agraria</w:t>
            </w:r>
          </w:p>
        </w:tc>
        <w:tc>
          <w:tcPr>
            <w:tcW w:w="5099" w:type="dxa"/>
          </w:tcPr>
          <w:p>
            <w:pPr>
              <w:pStyle w:val="TableParagraph"/>
              <w:ind w:left="100" w:right="102"/>
              <w:jc w:val="both"/>
              <w:rPr>
                <w:sz w:val="22"/>
              </w:rPr>
            </w:pPr>
            <w:r>
              <w:rPr>
                <w:sz w:val="22"/>
              </w:rPr>
              <w:t>Asesorar a los sujetos agrarios en los actos jurídicos que celebren entre sí o con terceros en materia agraria, así como llevar a cabo su control y seguimiento.</w:t>
            </w:r>
          </w:p>
          <w:p>
            <w:pPr>
              <w:pStyle w:val="TableParagraph"/>
              <w:spacing w:before="9"/>
              <w:ind w:left="0"/>
              <w:rPr>
                <w:b/>
                <w:sz w:val="21"/>
              </w:rPr>
            </w:pPr>
          </w:p>
          <w:p>
            <w:pPr>
              <w:pStyle w:val="TableParagraph"/>
              <w:ind w:left="100" w:right="104"/>
              <w:jc w:val="both"/>
              <w:rPr>
                <w:sz w:val="22"/>
              </w:rPr>
            </w:pPr>
            <w:r>
              <w:rPr>
                <w:sz w:val="22"/>
              </w:rPr>
              <w:t>Interponer demandas y formular las denuncias que procedan en defensa de los intereses de los sujetos agrarios en la materia.</w:t>
            </w:r>
          </w:p>
          <w:p>
            <w:pPr>
              <w:pStyle w:val="TableParagraph"/>
              <w:ind w:left="0"/>
              <w:rPr>
                <w:b/>
                <w:sz w:val="22"/>
              </w:rPr>
            </w:pPr>
          </w:p>
          <w:p>
            <w:pPr>
              <w:pStyle w:val="TableParagraph"/>
              <w:ind w:left="100" w:right="104"/>
              <w:jc w:val="both"/>
              <w:rPr>
                <w:sz w:val="22"/>
              </w:rPr>
            </w:pPr>
            <w:r>
              <w:rPr>
                <w:sz w:val="22"/>
              </w:rPr>
              <w:t>Promover a petición de los sujetos agrarios ante los tribunales agrarios la expedita ejecución de las sentencias</w:t>
            </w:r>
            <w:r>
              <w:rPr>
                <w:spacing w:val="-7"/>
                <w:sz w:val="22"/>
              </w:rPr>
              <w:t> </w:t>
            </w:r>
            <w:r>
              <w:rPr>
                <w:sz w:val="22"/>
              </w:rPr>
              <w:t>correspondientes.</w:t>
            </w:r>
          </w:p>
        </w:tc>
      </w:tr>
      <w:tr>
        <w:trPr>
          <w:trHeight w:val="2540" w:hRule="exact"/>
        </w:trPr>
        <w:tc>
          <w:tcPr>
            <w:tcW w:w="3092" w:type="dxa"/>
          </w:tcPr>
          <w:p>
            <w:pPr>
              <w:pStyle w:val="TableParagraph"/>
              <w:spacing w:line="248" w:lineRule="exact"/>
              <w:ind w:right="397"/>
              <w:rPr>
                <w:b/>
                <w:sz w:val="22"/>
              </w:rPr>
            </w:pPr>
            <w:r>
              <w:rPr>
                <w:b/>
                <w:sz w:val="22"/>
              </w:rPr>
              <w:t>Tribunales Agrarios</w:t>
            </w:r>
          </w:p>
        </w:tc>
        <w:tc>
          <w:tcPr>
            <w:tcW w:w="5099" w:type="dxa"/>
          </w:tcPr>
          <w:p>
            <w:pPr>
              <w:pStyle w:val="TableParagraph"/>
              <w:ind w:left="100" w:right="104"/>
              <w:jc w:val="both"/>
              <w:rPr>
                <w:sz w:val="22"/>
              </w:rPr>
            </w:pPr>
            <w:r>
              <w:rPr>
                <w:sz w:val="22"/>
              </w:rPr>
              <w:t>En los términos de la fracción XIX del Artículo 27 de la Constitución Política de los Estados Unidos Mexicanos, corresponde la administración de justicia agraria en todo el territorio nacional.</w:t>
            </w:r>
          </w:p>
          <w:p>
            <w:pPr>
              <w:pStyle w:val="TableParagraph"/>
              <w:ind w:left="0"/>
              <w:rPr>
                <w:b/>
                <w:sz w:val="22"/>
              </w:rPr>
            </w:pPr>
          </w:p>
          <w:p>
            <w:pPr>
              <w:pStyle w:val="TableParagraph"/>
              <w:ind w:left="100" w:right="102"/>
              <w:jc w:val="both"/>
              <w:rPr>
                <w:sz w:val="22"/>
              </w:rPr>
            </w:pPr>
            <w:r>
              <w:rPr>
                <w:sz w:val="22"/>
              </w:rPr>
              <w:t>Garantizar la seguridad jurídica, en la tenencia de la tierra ejidal, comunal y de la pequeña propiedad, y apoyar la asesoría legal de los campesinos.</w:t>
            </w:r>
          </w:p>
        </w:tc>
      </w:tr>
      <w:tr>
        <w:trPr>
          <w:trHeight w:val="3553" w:hRule="exact"/>
        </w:trPr>
        <w:tc>
          <w:tcPr>
            <w:tcW w:w="3092" w:type="dxa"/>
          </w:tcPr>
          <w:p>
            <w:pPr>
              <w:pStyle w:val="TableParagraph"/>
              <w:spacing w:line="242" w:lineRule="auto"/>
              <w:ind w:right="101"/>
              <w:jc w:val="both"/>
              <w:rPr>
                <w:b/>
                <w:sz w:val="22"/>
              </w:rPr>
            </w:pPr>
            <w:r>
              <w:rPr>
                <w:b/>
                <w:sz w:val="22"/>
              </w:rPr>
              <w:t>Cámara de Diputados Federal</w:t>
            </w:r>
          </w:p>
          <w:p>
            <w:pPr>
              <w:pStyle w:val="TableParagraph"/>
              <w:tabs>
                <w:tab w:pos="1890" w:val="left" w:leader="none"/>
              </w:tabs>
              <w:ind w:right="99"/>
              <w:jc w:val="both"/>
              <w:rPr>
                <w:b/>
                <w:sz w:val="22"/>
              </w:rPr>
            </w:pPr>
            <w:r>
              <w:rPr>
                <w:b/>
                <w:sz w:val="22"/>
              </w:rPr>
              <w:t>Comisiones Ordinarias: Agricultura y Sistemas de Riego;</w:t>
              <w:tab/>
            </w:r>
            <w:r>
              <w:rPr>
                <w:b/>
                <w:spacing w:val="-1"/>
                <w:sz w:val="22"/>
              </w:rPr>
              <w:t>Desarrollo</w:t>
            </w:r>
          </w:p>
          <w:p>
            <w:pPr>
              <w:pStyle w:val="TableParagraph"/>
              <w:tabs>
                <w:tab w:pos="1890" w:val="left" w:leader="none"/>
                <w:tab w:pos="2269" w:val="left" w:leader="none"/>
                <w:tab w:pos="2341" w:val="left" w:leader="none"/>
              </w:tabs>
              <w:ind w:right="100"/>
              <w:jc w:val="both"/>
              <w:rPr>
                <w:b/>
                <w:sz w:val="22"/>
              </w:rPr>
            </w:pPr>
            <w:r>
              <w:rPr>
                <w:b/>
                <w:sz w:val="22"/>
              </w:rPr>
              <w:t>Municipal;</w:t>
              <w:tab/>
            </w:r>
            <w:r>
              <w:rPr>
                <w:b/>
                <w:spacing w:val="-1"/>
                <w:sz w:val="22"/>
              </w:rPr>
              <w:t>Desarrollo </w:t>
            </w:r>
            <w:r>
              <w:rPr>
                <w:b/>
                <w:sz w:val="22"/>
              </w:rPr>
              <w:t>Rural; Desarrollo Social; Ganadería;</w:t>
              <w:tab/>
              <w:tab/>
              <w:tab/>
              <w:t>Medio Ambiente y Recursos Naturales;</w:t>
              <w:tab/>
              <w:tab/>
            </w:r>
            <w:r>
              <w:rPr>
                <w:b/>
                <w:spacing w:val="-1"/>
                <w:sz w:val="22"/>
              </w:rPr>
              <w:t>Pesca;</w:t>
            </w:r>
          </w:p>
          <w:p>
            <w:pPr>
              <w:pStyle w:val="TableParagraph"/>
              <w:tabs>
                <w:tab w:pos="2858" w:val="left" w:leader="none"/>
              </w:tabs>
              <w:ind w:right="99"/>
              <w:jc w:val="both"/>
              <w:rPr>
                <w:b/>
                <w:sz w:val="22"/>
              </w:rPr>
            </w:pPr>
            <w:r>
              <w:rPr>
                <w:b/>
                <w:sz w:val="22"/>
              </w:rPr>
              <w:t>Recursos Hidráulicos; Reforma Agraria; y Transparencia</w:t>
              <w:tab/>
              <w:t>y Anticorrupción.</w:t>
            </w:r>
          </w:p>
        </w:tc>
        <w:tc>
          <w:tcPr>
            <w:tcW w:w="5099" w:type="dxa"/>
          </w:tcPr>
          <w:p>
            <w:pPr>
              <w:pStyle w:val="TableParagraph"/>
              <w:ind w:left="100" w:right="103"/>
              <w:jc w:val="both"/>
              <w:rPr>
                <w:sz w:val="22"/>
              </w:rPr>
            </w:pPr>
            <w:r>
              <w:rPr>
                <w:sz w:val="22"/>
              </w:rPr>
              <w:t>Corresponde la elaboración de dictámenes, informes, opiniones o resoluciones que contribuyan a que la Cámara del Poder  Legislativo cumpla con sus atribuciones constitucionales y</w:t>
            </w:r>
            <w:r>
              <w:rPr>
                <w:spacing w:val="-7"/>
                <w:sz w:val="22"/>
              </w:rPr>
              <w:t> </w:t>
            </w:r>
            <w:r>
              <w:rPr>
                <w:sz w:val="22"/>
              </w:rPr>
              <w:t>legales.</w:t>
            </w:r>
          </w:p>
        </w:tc>
      </w:tr>
    </w:tbl>
    <w:p>
      <w:pPr>
        <w:pStyle w:val="BodyText"/>
        <w:spacing w:line="242" w:lineRule="auto"/>
        <w:ind w:left="222" w:right="3467"/>
      </w:pPr>
      <w:r>
        <w:rPr>
          <w:b/>
        </w:rPr>
        <w:t>Fuentes:</w:t>
      </w:r>
      <w:hyperlink r:id="rId160">
        <w:r>
          <w:rPr/>
          <w:t>http://www.conagua.gob.mx/inicio.aspx</w:t>
        </w:r>
      </w:hyperlink>
      <w:r>
        <w:rPr/>
        <w:t>, </w:t>
      </w:r>
      <w:hyperlink r:id="rId161">
        <w:r>
          <w:rPr/>
          <w:t>http://www.semarnat.gob.mx/conocenos/mision-y-vision</w:t>
        </w:r>
      </w:hyperlink>
      <w:r>
        <w:rPr/>
        <w:t>,</w:t>
      </w:r>
    </w:p>
    <w:p>
      <w:pPr>
        <w:spacing w:after="0" w:line="242" w:lineRule="auto"/>
        <w:sectPr>
          <w:pgSz w:w="12240" w:h="15840"/>
          <w:pgMar w:header="0" w:footer="943" w:top="1420" w:bottom="1140" w:left="1480" w:right="1580"/>
        </w:sectPr>
      </w:pPr>
    </w:p>
    <w:p>
      <w:pPr>
        <w:pStyle w:val="BodyText"/>
        <w:spacing w:before="55"/>
        <w:ind w:left="102" w:right="538"/>
      </w:pPr>
      <w:hyperlink r:id="rId162">
        <w:r>
          <w:rPr/>
          <w:t>http://www.conapesca.sagarpa.gob.mx/wb/cona/programas_conapesca</w:t>
        </w:r>
        <w:r>
          <w:rPr>
            <w:rFonts w:ascii="Calibri"/>
          </w:rPr>
          <w:t>,</w:t>
        </w:r>
      </w:hyperlink>
      <w:r>
        <w:rPr>
          <w:rFonts w:ascii="Calibri"/>
        </w:rPr>
        <w:t> </w:t>
      </w:r>
      <w:hyperlink r:id="rId163">
        <w:r>
          <w:rPr/>
          <w:t>http://www.sagarpa.gob.mx/quienesomos/introduccion/Paginas/VisionyObjetivos.aspx</w:t>
        </w:r>
      </w:hyperlink>
      <w:r>
        <w:rPr/>
        <w:t>, </w:t>
      </w:r>
      <w:hyperlink r:id="rId164">
        <w:r>
          <w:rPr/>
          <w:t>http://www.ran.gob.mx/ran/index.php/conoce-el-ran/que-es-el-ran</w:t>
        </w:r>
      </w:hyperlink>
      <w:r>
        <w:rPr/>
        <w:t>, </w:t>
      </w:r>
      <w:hyperlink r:id="rId165">
        <w:r>
          <w:rPr/>
          <w:t>http://www.sra.gob.mx/sraweb/conoce-la-secretaria/mis-vis-obj/</w:t>
        </w:r>
      </w:hyperlink>
      <w:r>
        <w:rPr/>
        <w:t>, </w:t>
      </w:r>
      <w:hyperlink r:id="rId166">
        <w:r>
          <w:rPr/>
          <w:t>http://www.pa.gob.mx/paweb/conoce_la_pa/mision_dec.html</w:t>
        </w:r>
      </w:hyperlink>
      <w:r>
        <w:rPr/>
        <w:t>, </w:t>
      </w:r>
      <w:hyperlink r:id="rId167">
        <w:r>
          <w:rPr/>
          <w:t>http://www.tribunalesagrarios.gob.mx/wp/?page_id=270</w:t>
        </w:r>
      </w:hyperlink>
    </w:p>
    <w:p>
      <w:pPr>
        <w:pStyle w:val="BodyText"/>
        <w:spacing w:before="1"/>
        <w:ind w:left="102"/>
      </w:pPr>
      <w:hyperlink r:id="rId168">
        <w:r>
          <w:rPr/>
          <w:t>http://www.diputados.gob.mx</w:t>
        </w:r>
      </w:hyperlink>
    </w:p>
    <w:p>
      <w:pPr>
        <w:pStyle w:val="BodyText"/>
        <w:spacing w:before="3"/>
        <w:rPr>
          <w:sz w:val="23"/>
        </w:rPr>
      </w:pPr>
    </w:p>
    <w:p>
      <w:pPr>
        <w:pStyle w:val="BodyText"/>
        <w:spacing w:line="360" w:lineRule="auto"/>
        <w:ind w:left="102" w:right="118"/>
        <w:jc w:val="both"/>
      </w:pPr>
      <w:r>
        <w:rPr/>
        <w:t>Con la tabla anterior, se construyó una matriz de funciones y responsabilidades de las dependencias gubernamentales federales para con la Cuenca Hidrosocial Presa Huapango, donde se detectaron casos de duplicidad de funciones y en otros, la omisión de</w:t>
      </w:r>
      <w:r>
        <w:rPr>
          <w:spacing w:val="-4"/>
        </w:rPr>
        <w:t> </w:t>
      </w:r>
      <w:r>
        <w:rPr/>
        <w:t>responsabilidades.</w:t>
      </w:r>
    </w:p>
    <w:p>
      <w:pPr>
        <w:spacing w:after="0" w:line="360" w:lineRule="auto"/>
        <w:jc w:val="both"/>
        <w:sectPr>
          <w:pgSz w:w="12240" w:h="15840"/>
          <w:pgMar w:header="0" w:footer="943" w:top="1360" w:bottom="1200" w:left="1600" w:right="1580"/>
        </w:sectPr>
      </w:pPr>
    </w:p>
    <w:p>
      <w:pPr>
        <w:pStyle w:val="BodyText"/>
        <w:rPr>
          <w:sz w:val="20"/>
        </w:rPr>
      </w:pPr>
    </w:p>
    <w:p>
      <w:pPr>
        <w:pStyle w:val="BodyText"/>
        <w:spacing w:before="1"/>
      </w:pPr>
    </w:p>
    <w:p>
      <w:pPr>
        <w:pStyle w:val="Heading6"/>
        <w:spacing w:line="276" w:lineRule="auto" w:before="73"/>
        <w:ind w:left="5223" w:right="778" w:hanging="4446"/>
      </w:pPr>
      <w:r>
        <w:rPr/>
        <w:t>Matriz 5.2. De funciones y responsabilidades de las dependencias gubernamentales federales para con la Cuenca Hidrosocial Presa Huapango</w:t>
      </w:r>
    </w:p>
    <w:p>
      <w:pPr>
        <w:pStyle w:val="BodyText"/>
        <w:spacing w:before="11"/>
        <w:rPr>
          <w:b/>
          <w:sz w:val="1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12"/>
        <w:gridCol w:w="1903"/>
        <w:gridCol w:w="1815"/>
        <w:gridCol w:w="1649"/>
        <w:gridCol w:w="2261"/>
        <w:gridCol w:w="1418"/>
        <w:gridCol w:w="2062"/>
      </w:tblGrid>
      <w:tr>
        <w:trPr>
          <w:trHeight w:val="1020" w:hRule="exact"/>
        </w:trPr>
        <w:tc>
          <w:tcPr>
            <w:tcW w:w="2112" w:type="dxa"/>
          </w:tcPr>
          <w:p>
            <w:pPr>
              <w:pStyle w:val="TableParagraph"/>
              <w:ind w:right="100" w:hanging="3"/>
              <w:jc w:val="center"/>
              <w:rPr>
                <w:b/>
                <w:sz w:val="22"/>
              </w:rPr>
            </w:pPr>
            <w:r>
              <w:rPr>
                <w:b/>
                <w:sz w:val="22"/>
              </w:rPr>
              <w:t>Actores (Secretarías y dependencias gubernamentales)</w:t>
            </w:r>
          </w:p>
        </w:tc>
        <w:tc>
          <w:tcPr>
            <w:tcW w:w="11109" w:type="dxa"/>
            <w:gridSpan w:val="6"/>
          </w:tcPr>
          <w:p>
            <w:pPr>
              <w:pStyle w:val="TableParagraph"/>
              <w:spacing w:line="248" w:lineRule="exact"/>
              <w:ind w:left="4527" w:right="4527"/>
              <w:jc w:val="center"/>
              <w:rPr>
                <w:b/>
                <w:sz w:val="22"/>
              </w:rPr>
            </w:pPr>
            <w:r>
              <w:rPr>
                <w:b/>
                <w:sz w:val="22"/>
              </w:rPr>
              <w:t>Responsabilidades</w:t>
            </w:r>
          </w:p>
        </w:tc>
      </w:tr>
      <w:tr>
        <w:trPr>
          <w:trHeight w:val="3807" w:hRule="exact"/>
        </w:trPr>
        <w:tc>
          <w:tcPr>
            <w:tcW w:w="2112" w:type="dxa"/>
          </w:tcPr>
          <w:p>
            <w:pPr/>
          </w:p>
        </w:tc>
        <w:tc>
          <w:tcPr>
            <w:tcW w:w="1903" w:type="dxa"/>
            <w:shd w:val="clear" w:color="auto" w:fill="F79546"/>
          </w:tcPr>
          <w:p>
            <w:pPr>
              <w:pStyle w:val="TableParagraph"/>
              <w:tabs>
                <w:tab w:pos="714" w:val="left" w:leader="none"/>
                <w:tab w:pos="822" w:val="left" w:leader="none"/>
                <w:tab w:pos="945" w:val="left" w:leader="none"/>
                <w:tab w:pos="1681" w:val="left" w:leader="none"/>
              </w:tabs>
              <w:ind w:left="100" w:right="99"/>
              <w:rPr>
                <w:sz w:val="22"/>
              </w:rPr>
            </w:pPr>
            <w:r>
              <w:rPr>
                <w:sz w:val="22"/>
              </w:rPr>
              <w:t>La</w:t>
              <w:tab/>
            </w:r>
            <w:r>
              <w:rPr>
                <w:spacing w:val="-1"/>
                <w:sz w:val="22"/>
              </w:rPr>
              <w:t>protección, </w:t>
            </w:r>
            <w:r>
              <w:rPr>
                <w:sz w:val="22"/>
              </w:rPr>
              <w:t>restauración</w:t>
              <w:tab/>
              <w:t>y conservación de los  ecosistemas y</w:t>
              <w:tab/>
              <w:tab/>
              <w:tab/>
              <w:t>recursos naturales con el fin de  propiciar su </w:t>
            </w:r>
            <w:r>
              <w:rPr>
                <w:spacing w:val="-1"/>
                <w:sz w:val="22"/>
              </w:rPr>
              <w:t>aprovechamiento </w:t>
            </w:r>
            <w:r>
              <w:rPr>
                <w:sz w:val="22"/>
              </w:rPr>
              <w:t>y</w:t>
              <w:tab/>
              <w:tab/>
              <w:t>desarrollo sustentable.</w:t>
            </w:r>
          </w:p>
        </w:tc>
        <w:tc>
          <w:tcPr>
            <w:tcW w:w="1815" w:type="dxa"/>
            <w:shd w:val="clear" w:color="auto" w:fill="F79546"/>
          </w:tcPr>
          <w:p>
            <w:pPr>
              <w:pStyle w:val="TableParagraph"/>
              <w:ind w:right="141"/>
              <w:rPr>
                <w:sz w:val="22"/>
              </w:rPr>
            </w:pPr>
            <w:r>
              <w:rPr>
                <w:sz w:val="22"/>
              </w:rPr>
              <w:t>Promover el ordenamiento ecológico del territorio nacional, en coordinación con las autoridades federales, estatales y municipales, y con la participación de los particulares.</w:t>
            </w:r>
          </w:p>
        </w:tc>
        <w:tc>
          <w:tcPr>
            <w:tcW w:w="1649" w:type="dxa"/>
            <w:shd w:val="clear" w:color="auto" w:fill="F79546"/>
          </w:tcPr>
          <w:p>
            <w:pPr>
              <w:pStyle w:val="TableParagraph"/>
              <w:tabs>
                <w:tab w:pos="1429" w:val="left" w:leader="none"/>
              </w:tabs>
              <w:spacing w:line="251" w:lineRule="exact"/>
              <w:rPr>
                <w:sz w:val="22"/>
              </w:rPr>
            </w:pPr>
            <w:r>
              <w:rPr>
                <w:sz w:val="22"/>
              </w:rPr>
              <w:t>Regular</w:t>
              <w:tab/>
              <w:t>y</w:t>
            </w:r>
          </w:p>
          <w:p>
            <w:pPr>
              <w:pStyle w:val="TableParagraph"/>
              <w:tabs>
                <w:tab w:pos="1257" w:val="left" w:leader="none"/>
                <w:tab w:pos="1364" w:val="left" w:leader="none"/>
              </w:tabs>
              <w:spacing w:before="2"/>
              <w:ind w:right="98"/>
              <w:rPr>
                <w:sz w:val="22"/>
              </w:rPr>
            </w:pPr>
            <w:r>
              <w:rPr>
                <w:sz w:val="22"/>
              </w:rPr>
              <w:t>vigilar</w:t>
              <w:tab/>
              <w:tab/>
              <w:t>la conservación de</w:t>
              <w:tab/>
              <w:t>las</w:t>
            </w:r>
          </w:p>
          <w:p>
            <w:pPr>
              <w:pStyle w:val="TableParagraph"/>
              <w:tabs>
                <w:tab w:pos="1429" w:val="left" w:leader="none"/>
              </w:tabs>
              <w:ind w:right="96"/>
              <w:rPr>
                <w:sz w:val="22"/>
              </w:rPr>
            </w:pPr>
            <w:r>
              <w:rPr>
                <w:sz w:val="22"/>
              </w:rPr>
              <w:t>corrientes, lagos</w:t>
              <w:tab/>
              <w:t>y</w:t>
            </w:r>
          </w:p>
          <w:p>
            <w:pPr>
              <w:pStyle w:val="TableParagraph"/>
              <w:tabs>
                <w:tab w:pos="1295" w:val="left" w:leader="none"/>
                <w:tab w:pos="1430" w:val="left" w:leader="none"/>
              </w:tabs>
              <w:ind w:right="95"/>
              <w:rPr>
                <w:sz w:val="22"/>
              </w:rPr>
            </w:pPr>
            <w:r>
              <w:rPr>
                <w:sz w:val="22"/>
              </w:rPr>
              <w:t>lagunas</w:t>
              <w:tab/>
              <w:t>de jurisdicción federal, en la protección de cuencas</w:t>
              <w:tab/>
              <w:tab/>
              <w:t>y</w:t>
            </w:r>
          </w:p>
          <w:p>
            <w:pPr>
              <w:pStyle w:val="TableParagraph"/>
              <w:tabs>
                <w:tab w:pos="1366" w:val="left" w:leader="none"/>
              </w:tabs>
              <w:ind w:right="98"/>
              <w:rPr>
                <w:sz w:val="22"/>
              </w:rPr>
            </w:pPr>
            <w:r>
              <w:rPr>
                <w:sz w:val="22"/>
              </w:rPr>
              <w:t>proteger</w:t>
              <w:tab/>
              <w:t>el medio ambiente.</w:t>
            </w:r>
          </w:p>
        </w:tc>
        <w:tc>
          <w:tcPr>
            <w:tcW w:w="2261" w:type="dxa"/>
            <w:shd w:val="clear" w:color="auto" w:fill="F79546"/>
          </w:tcPr>
          <w:p>
            <w:pPr>
              <w:pStyle w:val="TableParagraph"/>
              <w:tabs>
                <w:tab w:pos="760" w:val="left" w:leader="none"/>
                <w:tab w:pos="1011" w:val="left" w:leader="none"/>
                <w:tab w:pos="1182" w:val="left" w:leader="none"/>
                <w:tab w:pos="1364" w:val="left" w:leader="none"/>
                <w:tab w:pos="1473" w:val="left" w:leader="none"/>
                <w:tab w:pos="1597" w:val="left" w:leader="none"/>
                <w:tab w:pos="1904" w:val="left" w:leader="none"/>
                <w:tab w:pos="1977" w:val="left" w:leader="none"/>
                <w:tab w:pos="2039" w:val="left" w:leader="none"/>
              </w:tabs>
              <w:ind w:right="99"/>
              <w:rPr>
                <w:sz w:val="22"/>
              </w:rPr>
            </w:pPr>
            <w:r>
              <w:rPr>
                <w:sz w:val="22"/>
              </w:rPr>
              <w:t>Otorgar</w:t>
              <w:tab/>
              <w:tab/>
            </w:r>
            <w:r>
              <w:rPr>
                <w:spacing w:val="-1"/>
                <w:sz w:val="22"/>
              </w:rPr>
              <w:t>contratos, </w:t>
            </w:r>
            <w:r>
              <w:rPr>
                <w:sz w:val="22"/>
              </w:rPr>
              <w:t>concesiones, licencias, permisos, autorizaciones, asignaciones,</w:t>
              <w:tab/>
              <w:tab/>
              <w:tab/>
              <w:tab/>
              <w:tab/>
              <w:t>y reconocer derechos en</w:t>
              <w:tab/>
              <w:t>materia</w:t>
              <w:tab/>
              <w:tab/>
              <w:t>de aguas,</w:t>
              <w:tab/>
              <w:tab/>
              <w:tab/>
              <w:t>forestal, ecológica, explotación</w:t>
              <w:tab/>
              <w:tab/>
              <w:t>de</w:t>
              <w:tab/>
              <w:tab/>
              <w:t>la flora</w:t>
              <w:tab/>
              <w:tab/>
              <w:t>y</w:t>
              <w:tab/>
              <w:tab/>
              <w:tab/>
              <w:tab/>
              <w:t>fauna silvestres.</w:t>
            </w:r>
          </w:p>
        </w:tc>
        <w:tc>
          <w:tcPr>
            <w:tcW w:w="1418" w:type="dxa"/>
            <w:shd w:val="clear" w:color="auto" w:fill="4AACC5"/>
          </w:tcPr>
          <w:p>
            <w:pPr>
              <w:pStyle w:val="TableParagraph"/>
              <w:tabs>
                <w:tab w:pos="1194" w:val="left" w:leader="none"/>
              </w:tabs>
              <w:ind w:right="101"/>
              <w:rPr>
                <w:sz w:val="22"/>
              </w:rPr>
            </w:pPr>
            <w:r>
              <w:rPr>
                <w:sz w:val="22"/>
              </w:rPr>
              <w:t>Elaborar la política hídrica nacional</w:t>
              <w:tab/>
              <w:t>y el Programa Nacional Hídrico</w:t>
              <w:tab/>
              <w:t>y proponerlos al Ejecutivo Federal</w:t>
            </w:r>
          </w:p>
        </w:tc>
        <w:tc>
          <w:tcPr>
            <w:tcW w:w="2062" w:type="dxa"/>
            <w:shd w:val="clear" w:color="auto" w:fill="4AACC5"/>
          </w:tcPr>
          <w:p>
            <w:pPr>
              <w:pStyle w:val="TableParagraph"/>
              <w:spacing w:line="251" w:lineRule="exact"/>
              <w:jc w:val="both"/>
              <w:rPr>
                <w:sz w:val="22"/>
              </w:rPr>
            </w:pPr>
            <w:r>
              <w:rPr>
                <w:sz w:val="22"/>
              </w:rPr>
              <w:t>Administrar          y</w:t>
            </w:r>
          </w:p>
          <w:p>
            <w:pPr>
              <w:pStyle w:val="TableParagraph"/>
              <w:spacing w:before="2"/>
              <w:ind w:right="96"/>
              <w:jc w:val="both"/>
              <w:rPr>
                <w:sz w:val="22"/>
              </w:rPr>
            </w:pPr>
            <w:r>
              <w:rPr>
                <w:sz w:val="22"/>
              </w:rPr>
              <w:t>preservar las aguas  nacionales y sus bienes inherentes, para lograr su uso sustentable, con la corresponsabilidad de        los       tres</w:t>
            </w:r>
          </w:p>
          <w:p>
            <w:pPr>
              <w:pStyle w:val="TableParagraph"/>
              <w:tabs>
                <w:tab w:pos="1706" w:val="left" w:leader="none"/>
              </w:tabs>
              <w:ind w:right="95"/>
              <w:jc w:val="both"/>
              <w:rPr>
                <w:sz w:val="22"/>
              </w:rPr>
            </w:pPr>
            <w:r>
              <w:rPr>
                <w:sz w:val="22"/>
              </w:rPr>
              <w:t>órdenes</w:t>
              <w:tab/>
              <w:t>de gobierno y la sociedad</w:t>
              <w:tab/>
              <w:t>en general.</w:t>
            </w:r>
          </w:p>
        </w:tc>
      </w:tr>
      <w:tr>
        <w:trPr>
          <w:trHeight w:val="1274" w:hRule="exact"/>
        </w:trPr>
        <w:tc>
          <w:tcPr>
            <w:tcW w:w="2112" w:type="dxa"/>
            <w:shd w:val="clear" w:color="auto" w:fill="F79546"/>
          </w:tcPr>
          <w:p>
            <w:pPr>
              <w:pStyle w:val="TableParagraph"/>
              <w:ind w:left="110" w:right="107" w:firstLine="1"/>
              <w:jc w:val="center"/>
              <w:rPr>
                <w:b/>
                <w:sz w:val="22"/>
              </w:rPr>
            </w:pPr>
            <w:r>
              <w:rPr>
                <w:b/>
                <w:sz w:val="22"/>
              </w:rPr>
              <w:t>Secretaría de Medio Ambiente y Recursos Naturales (Semarnat)</w:t>
            </w:r>
          </w:p>
        </w:tc>
        <w:tc>
          <w:tcPr>
            <w:tcW w:w="1903" w:type="dxa"/>
            <w:shd w:val="clear" w:color="auto" w:fill="F79546"/>
          </w:tcPr>
          <w:p>
            <w:pPr>
              <w:pStyle w:val="TableParagraph"/>
              <w:spacing w:before="6"/>
              <w:ind w:left="0"/>
              <w:rPr>
                <w:b/>
                <w:sz w:val="19"/>
              </w:rPr>
            </w:pPr>
          </w:p>
          <w:p>
            <w:pPr>
              <w:pStyle w:val="TableParagraph"/>
              <w:ind w:left="0" w:right="6"/>
              <w:jc w:val="center"/>
              <w:rPr>
                <w:b/>
                <w:sz w:val="20"/>
              </w:rPr>
            </w:pPr>
            <w:r>
              <w:rPr>
                <w:b/>
                <w:w w:val="99"/>
                <w:sz w:val="20"/>
              </w:rPr>
              <w:t>√</w:t>
            </w:r>
          </w:p>
        </w:tc>
        <w:tc>
          <w:tcPr>
            <w:tcW w:w="1815" w:type="dxa"/>
            <w:shd w:val="clear" w:color="auto" w:fill="F79546"/>
          </w:tcPr>
          <w:p>
            <w:pPr>
              <w:pStyle w:val="TableParagraph"/>
              <w:spacing w:before="6"/>
              <w:ind w:left="0"/>
              <w:rPr>
                <w:b/>
                <w:sz w:val="19"/>
              </w:rPr>
            </w:pPr>
          </w:p>
          <w:p>
            <w:pPr>
              <w:pStyle w:val="TableParagraph"/>
              <w:ind w:left="0"/>
              <w:jc w:val="center"/>
              <w:rPr>
                <w:b/>
                <w:sz w:val="20"/>
              </w:rPr>
            </w:pPr>
            <w:r>
              <w:rPr>
                <w:b/>
                <w:w w:val="99"/>
                <w:sz w:val="20"/>
              </w:rPr>
              <w:t>√</w:t>
            </w:r>
          </w:p>
        </w:tc>
        <w:tc>
          <w:tcPr>
            <w:tcW w:w="1649" w:type="dxa"/>
            <w:shd w:val="clear" w:color="auto" w:fill="F79546"/>
          </w:tcPr>
          <w:p>
            <w:pPr>
              <w:pStyle w:val="TableParagraph"/>
              <w:spacing w:before="6"/>
              <w:ind w:left="0"/>
              <w:rPr>
                <w:b/>
                <w:sz w:val="19"/>
              </w:rPr>
            </w:pPr>
          </w:p>
          <w:p>
            <w:pPr>
              <w:pStyle w:val="TableParagraph"/>
              <w:ind w:left="0" w:right="1"/>
              <w:jc w:val="center"/>
              <w:rPr>
                <w:b/>
                <w:sz w:val="20"/>
              </w:rPr>
            </w:pPr>
            <w:r>
              <w:rPr>
                <w:b/>
                <w:w w:val="99"/>
                <w:sz w:val="20"/>
              </w:rPr>
              <w:t>√</w:t>
            </w:r>
          </w:p>
        </w:tc>
        <w:tc>
          <w:tcPr>
            <w:tcW w:w="2261" w:type="dxa"/>
            <w:shd w:val="clear" w:color="auto" w:fill="F79546"/>
          </w:tcPr>
          <w:p>
            <w:pPr>
              <w:pStyle w:val="TableParagraph"/>
              <w:spacing w:before="6"/>
              <w:ind w:left="0"/>
              <w:rPr>
                <w:b/>
                <w:sz w:val="19"/>
              </w:rPr>
            </w:pPr>
          </w:p>
          <w:p>
            <w:pPr>
              <w:pStyle w:val="TableParagraph"/>
              <w:ind w:left="0"/>
              <w:jc w:val="center"/>
              <w:rPr>
                <w:b/>
                <w:sz w:val="20"/>
              </w:rPr>
            </w:pPr>
            <w:r>
              <w:rPr>
                <w:b/>
                <w:w w:val="99"/>
                <w:sz w:val="20"/>
              </w:rPr>
              <w:t>√</w:t>
            </w:r>
          </w:p>
        </w:tc>
        <w:tc>
          <w:tcPr>
            <w:tcW w:w="1418" w:type="dxa"/>
          </w:tcPr>
          <w:p>
            <w:pPr/>
          </w:p>
        </w:tc>
        <w:tc>
          <w:tcPr>
            <w:tcW w:w="2062" w:type="dxa"/>
          </w:tcPr>
          <w:p>
            <w:pPr/>
          </w:p>
        </w:tc>
      </w:tr>
      <w:tr>
        <w:trPr>
          <w:trHeight w:val="769" w:hRule="exact"/>
        </w:trPr>
        <w:tc>
          <w:tcPr>
            <w:tcW w:w="2112" w:type="dxa"/>
            <w:shd w:val="clear" w:color="auto" w:fill="4AACC5"/>
          </w:tcPr>
          <w:p>
            <w:pPr>
              <w:pStyle w:val="TableParagraph"/>
              <w:ind w:left="201" w:right="199" w:firstLine="2"/>
              <w:jc w:val="center"/>
              <w:rPr>
                <w:b/>
                <w:i/>
                <w:sz w:val="22"/>
              </w:rPr>
            </w:pPr>
            <w:r>
              <w:rPr>
                <w:b/>
                <w:i/>
                <w:sz w:val="22"/>
              </w:rPr>
              <w:t>Comisión </w:t>
            </w:r>
            <w:r>
              <w:rPr>
                <w:b/>
                <w:i/>
                <w:sz w:val="22"/>
              </w:rPr>
              <w:t>Nacional del Agua (Conagua)</w:t>
            </w:r>
          </w:p>
        </w:tc>
        <w:tc>
          <w:tcPr>
            <w:tcW w:w="1903" w:type="dxa"/>
          </w:tcPr>
          <w:p>
            <w:pPr/>
          </w:p>
        </w:tc>
        <w:tc>
          <w:tcPr>
            <w:tcW w:w="1815" w:type="dxa"/>
          </w:tcPr>
          <w:p>
            <w:pPr/>
          </w:p>
        </w:tc>
        <w:tc>
          <w:tcPr>
            <w:tcW w:w="1649" w:type="dxa"/>
          </w:tcPr>
          <w:p>
            <w:pPr/>
          </w:p>
        </w:tc>
        <w:tc>
          <w:tcPr>
            <w:tcW w:w="2261" w:type="dxa"/>
          </w:tcPr>
          <w:p>
            <w:pPr/>
          </w:p>
        </w:tc>
        <w:tc>
          <w:tcPr>
            <w:tcW w:w="1418" w:type="dxa"/>
            <w:shd w:val="clear" w:color="auto" w:fill="4AACC5"/>
          </w:tcPr>
          <w:p>
            <w:pPr>
              <w:pStyle w:val="TableParagraph"/>
              <w:spacing w:before="7"/>
              <w:ind w:left="0"/>
              <w:rPr>
                <w:b/>
                <w:sz w:val="19"/>
              </w:rPr>
            </w:pPr>
          </w:p>
          <w:p>
            <w:pPr>
              <w:pStyle w:val="TableParagraph"/>
              <w:ind w:left="0" w:right="1"/>
              <w:jc w:val="center"/>
              <w:rPr>
                <w:b/>
                <w:sz w:val="20"/>
              </w:rPr>
            </w:pPr>
            <w:r>
              <w:rPr>
                <w:b/>
                <w:w w:val="99"/>
                <w:sz w:val="20"/>
              </w:rPr>
              <w:t>√</w:t>
            </w:r>
          </w:p>
        </w:tc>
        <w:tc>
          <w:tcPr>
            <w:tcW w:w="2062" w:type="dxa"/>
            <w:shd w:val="clear" w:color="auto" w:fill="4AACC5"/>
          </w:tcPr>
          <w:p>
            <w:pPr>
              <w:pStyle w:val="TableParagraph"/>
              <w:spacing w:before="7"/>
              <w:ind w:left="0"/>
              <w:rPr>
                <w:b/>
                <w:sz w:val="19"/>
              </w:rPr>
            </w:pPr>
          </w:p>
          <w:p>
            <w:pPr>
              <w:pStyle w:val="TableParagraph"/>
              <w:ind w:left="1"/>
              <w:jc w:val="center"/>
              <w:rPr>
                <w:b/>
                <w:sz w:val="20"/>
              </w:rPr>
            </w:pPr>
            <w:r>
              <w:rPr>
                <w:b/>
                <w:w w:val="99"/>
                <w:sz w:val="20"/>
              </w:rPr>
              <w:t>√</w:t>
            </w:r>
          </w:p>
        </w:tc>
      </w:tr>
    </w:tbl>
    <w:p>
      <w:pPr>
        <w:spacing w:after="0"/>
        <w:jc w:val="center"/>
        <w:rPr>
          <w:sz w:val="20"/>
        </w:rPr>
        <w:sectPr>
          <w:footerReference w:type="default" r:id="rId169"/>
          <w:pgSz w:w="15840" w:h="12240" w:orient="landscape"/>
          <w:pgMar w:footer="943" w:header="0" w:top="1140" w:bottom="1140" w:left="1200" w:right="1180"/>
          <w:pgNumType w:start="186"/>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4"/>
        <w:gridCol w:w="1301"/>
        <w:gridCol w:w="1940"/>
        <w:gridCol w:w="1661"/>
        <w:gridCol w:w="1613"/>
        <w:gridCol w:w="1253"/>
        <w:gridCol w:w="1877"/>
        <w:gridCol w:w="1493"/>
      </w:tblGrid>
      <w:tr>
        <w:trPr>
          <w:trHeight w:val="1274" w:hRule="exact"/>
        </w:trPr>
        <w:tc>
          <w:tcPr>
            <w:tcW w:w="2084" w:type="dxa"/>
          </w:tcPr>
          <w:p>
            <w:pPr>
              <w:pStyle w:val="TableParagraph"/>
              <w:ind w:left="124" w:right="122" w:hanging="2"/>
              <w:jc w:val="center"/>
              <w:rPr>
                <w:b/>
                <w:sz w:val="22"/>
              </w:rPr>
            </w:pPr>
            <w:r>
              <w:rPr>
                <w:b/>
                <w:sz w:val="22"/>
              </w:rPr>
              <w:t>Actores (Secretarías y dependencias gubernamentales</w:t>
            </w:r>
          </w:p>
          <w:p>
            <w:pPr>
              <w:pStyle w:val="TableParagraph"/>
              <w:spacing w:before="1"/>
              <w:ind w:left="0"/>
              <w:jc w:val="center"/>
              <w:rPr>
                <w:b/>
                <w:sz w:val="22"/>
              </w:rPr>
            </w:pPr>
            <w:r>
              <w:rPr>
                <w:b/>
                <w:w w:val="100"/>
                <w:sz w:val="22"/>
              </w:rPr>
              <w:t>)</w:t>
            </w:r>
          </w:p>
        </w:tc>
        <w:tc>
          <w:tcPr>
            <w:tcW w:w="11138" w:type="dxa"/>
            <w:gridSpan w:val="7"/>
          </w:tcPr>
          <w:p>
            <w:pPr>
              <w:pStyle w:val="TableParagraph"/>
              <w:spacing w:line="248" w:lineRule="exact"/>
              <w:ind w:left="4541" w:right="4541"/>
              <w:jc w:val="center"/>
              <w:rPr>
                <w:b/>
                <w:sz w:val="22"/>
              </w:rPr>
            </w:pPr>
            <w:r>
              <w:rPr>
                <w:b/>
                <w:sz w:val="22"/>
              </w:rPr>
              <w:t>Responsabilidades</w:t>
            </w:r>
          </w:p>
        </w:tc>
      </w:tr>
      <w:tr>
        <w:trPr>
          <w:trHeight w:val="6083" w:hRule="exact"/>
        </w:trPr>
        <w:tc>
          <w:tcPr>
            <w:tcW w:w="2084" w:type="dxa"/>
          </w:tcPr>
          <w:p>
            <w:pPr/>
          </w:p>
        </w:tc>
        <w:tc>
          <w:tcPr>
            <w:tcW w:w="1301" w:type="dxa"/>
            <w:shd w:val="clear" w:color="auto" w:fill="4AACC5"/>
          </w:tcPr>
          <w:p>
            <w:pPr>
              <w:pStyle w:val="TableParagraph"/>
              <w:spacing w:line="251" w:lineRule="exact"/>
              <w:ind w:right="98"/>
              <w:rPr>
                <w:sz w:val="22"/>
              </w:rPr>
            </w:pPr>
            <w:r>
              <w:rPr>
                <w:sz w:val="22"/>
              </w:rPr>
              <w:t>Programar</w:t>
            </w:r>
          </w:p>
          <w:p>
            <w:pPr>
              <w:pStyle w:val="TableParagraph"/>
              <w:tabs>
                <w:tab w:pos="638" w:val="left" w:leader="none"/>
              </w:tabs>
              <w:spacing w:before="1"/>
              <w:ind w:right="98"/>
              <w:rPr>
                <w:sz w:val="22"/>
              </w:rPr>
            </w:pPr>
            <w:r>
              <w:rPr>
                <w:sz w:val="22"/>
              </w:rPr>
              <w:t>, estudiar, construir, operar, conservar y mantener las</w:t>
              <w:tab/>
              <w:t>obras hidráulicas federales.</w:t>
            </w:r>
          </w:p>
        </w:tc>
        <w:tc>
          <w:tcPr>
            <w:tcW w:w="1940" w:type="dxa"/>
            <w:shd w:val="clear" w:color="auto" w:fill="4AACC5"/>
          </w:tcPr>
          <w:p>
            <w:pPr>
              <w:pStyle w:val="TableParagraph"/>
              <w:tabs>
                <w:tab w:pos="568" w:val="left" w:leader="none"/>
                <w:tab w:pos="1582" w:val="left" w:leader="none"/>
                <w:tab w:pos="1653" w:val="left" w:leader="none"/>
              </w:tabs>
              <w:ind w:right="99"/>
              <w:rPr>
                <w:sz w:val="22"/>
              </w:rPr>
            </w:pPr>
            <w:r>
              <w:rPr>
                <w:sz w:val="22"/>
              </w:rPr>
              <w:t>Proponer</w:t>
              <w:tab/>
              <w:tab/>
              <w:t>al Presidente de la República</w:t>
              <w:tab/>
              <w:tab/>
              <w:t>el establecimiento de</w:t>
              <w:tab/>
              <w:t>Distritos</w:t>
              <w:tab/>
              <w:t>de Riego y en su caso,</w:t>
              <w:tab/>
              <w:tab/>
              <w:t>la</w:t>
            </w:r>
          </w:p>
          <w:p>
            <w:pPr>
              <w:pStyle w:val="TableParagraph"/>
              <w:tabs>
                <w:tab w:pos="1177" w:val="left" w:leader="none"/>
                <w:tab w:pos="1578" w:val="left" w:leader="none"/>
              </w:tabs>
              <w:ind w:right="101"/>
              <w:rPr>
                <w:sz w:val="22"/>
              </w:rPr>
            </w:pPr>
            <w:r>
              <w:rPr>
                <w:sz w:val="22"/>
              </w:rPr>
              <w:t>expropiación</w:t>
              <w:tab/>
              <w:t>de los</w:t>
              <w:tab/>
              <w:t>bienes inmuebles correspondientes</w:t>
            </w:r>
          </w:p>
          <w:p>
            <w:pPr>
              <w:pStyle w:val="TableParagraph"/>
              <w:spacing w:before="1"/>
              <w:rPr>
                <w:sz w:val="22"/>
              </w:rPr>
            </w:pPr>
            <w:r>
              <w:rPr>
                <w:w w:val="100"/>
                <w:sz w:val="22"/>
              </w:rPr>
              <w:t>.</w:t>
            </w:r>
          </w:p>
        </w:tc>
        <w:tc>
          <w:tcPr>
            <w:tcW w:w="1661" w:type="dxa"/>
            <w:shd w:val="clear" w:color="auto" w:fill="4AACC5"/>
          </w:tcPr>
          <w:p>
            <w:pPr>
              <w:pStyle w:val="TableParagraph"/>
              <w:tabs>
                <w:tab w:pos="1266" w:val="left" w:leader="none"/>
              </w:tabs>
              <w:spacing w:line="251" w:lineRule="exact"/>
              <w:ind w:left="100"/>
              <w:rPr>
                <w:sz w:val="22"/>
              </w:rPr>
            </w:pPr>
            <w:r>
              <w:rPr>
                <w:sz w:val="22"/>
              </w:rPr>
              <w:t>Regular</w:t>
              <w:tab/>
              <w:t>los</w:t>
            </w:r>
          </w:p>
          <w:p>
            <w:pPr>
              <w:pStyle w:val="TableParagraph"/>
              <w:tabs>
                <w:tab w:pos="1302" w:val="left" w:leader="none"/>
              </w:tabs>
              <w:spacing w:line="252" w:lineRule="exact" w:before="1"/>
              <w:ind w:left="100"/>
              <w:rPr>
                <w:sz w:val="22"/>
              </w:rPr>
            </w:pPr>
            <w:r>
              <w:rPr>
                <w:sz w:val="22"/>
              </w:rPr>
              <w:t>servicios</w:t>
              <w:tab/>
              <w:t>de</w:t>
            </w:r>
          </w:p>
          <w:p>
            <w:pPr>
              <w:pStyle w:val="TableParagraph"/>
              <w:tabs>
                <w:tab w:pos="1304" w:val="left" w:leader="none"/>
              </w:tabs>
              <w:spacing w:line="252" w:lineRule="exact"/>
              <w:ind w:left="100"/>
              <w:rPr>
                <w:sz w:val="22"/>
              </w:rPr>
            </w:pPr>
            <w:r>
              <w:rPr>
                <w:sz w:val="22"/>
              </w:rPr>
              <w:t>riego</w:t>
              <w:tab/>
              <w:t>en</w:t>
            </w:r>
          </w:p>
          <w:p>
            <w:pPr>
              <w:pStyle w:val="TableParagraph"/>
              <w:tabs>
                <w:tab w:pos="1439" w:val="left" w:leader="none"/>
              </w:tabs>
              <w:ind w:left="100"/>
              <w:rPr>
                <w:sz w:val="22"/>
              </w:rPr>
            </w:pPr>
            <w:r>
              <w:rPr>
                <w:sz w:val="22"/>
              </w:rPr>
              <w:t>distritos</w:t>
              <w:tab/>
              <w:t>y</w:t>
            </w:r>
          </w:p>
          <w:p>
            <w:pPr>
              <w:pStyle w:val="TableParagraph"/>
              <w:tabs>
                <w:tab w:pos="863" w:val="left" w:leader="none"/>
                <w:tab w:pos="1302" w:val="left" w:leader="none"/>
                <w:tab w:pos="1376" w:val="left" w:leader="none"/>
                <w:tab w:pos="1425" w:val="left" w:leader="none"/>
              </w:tabs>
              <w:spacing w:before="1"/>
              <w:ind w:left="100" w:right="100"/>
              <w:rPr>
                <w:sz w:val="22"/>
              </w:rPr>
            </w:pPr>
            <w:r>
              <w:rPr>
                <w:sz w:val="22"/>
              </w:rPr>
              <w:t>unidades</w:t>
              <w:tab/>
              <w:t>de riego</w:t>
              <w:tab/>
              <w:t>en</w:t>
              <w:tab/>
              <w:tab/>
              <w:t>el territorio nacional,</w:t>
              <w:tab/>
              <w:tab/>
              <w:tab/>
              <w:t>e</w:t>
            </w:r>
          </w:p>
          <w:p>
            <w:pPr>
              <w:pStyle w:val="TableParagraph"/>
              <w:tabs>
                <w:tab w:pos="1266" w:val="left" w:leader="none"/>
              </w:tabs>
              <w:spacing w:line="252" w:lineRule="exact"/>
              <w:ind w:left="100"/>
              <w:rPr>
                <w:sz w:val="22"/>
              </w:rPr>
            </w:pPr>
            <w:r>
              <w:rPr>
                <w:sz w:val="22"/>
              </w:rPr>
              <w:t>integrar</w:t>
              <w:tab/>
              <w:t>los</w:t>
            </w:r>
          </w:p>
          <w:p>
            <w:pPr>
              <w:pStyle w:val="TableParagraph"/>
              <w:tabs>
                <w:tab w:pos="1305" w:val="left" w:leader="none"/>
              </w:tabs>
              <w:spacing w:before="1"/>
              <w:ind w:left="100" w:right="98"/>
              <w:rPr>
                <w:sz w:val="22"/>
              </w:rPr>
            </w:pPr>
            <w:r>
              <w:rPr>
                <w:sz w:val="22"/>
              </w:rPr>
              <w:t>censos</w:t>
              <w:tab/>
              <w:t>de infraestructura</w:t>
            </w:r>
          </w:p>
          <w:p>
            <w:pPr>
              <w:pStyle w:val="TableParagraph"/>
              <w:tabs>
                <w:tab w:pos="1266" w:val="left" w:leader="none"/>
              </w:tabs>
              <w:spacing w:line="252" w:lineRule="exact" w:before="1"/>
              <w:ind w:left="100"/>
              <w:rPr>
                <w:sz w:val="22"/>
              </w:rPr>
            </w:pPr>
            <w:r>
              <w:rPr>
                <w:sz w:val="22"/>
              </w:rPr>
              <w:t>,</w:t>
              <w:tab/>
              <w:t>los</w:t>
            </w:r>
          </w:p>
          <w:p>
            <w:pPr>
              <w:pStyle w:val="TableParagraph"/>
              <w:tabs>
                <w:tab w:pos="1305" w:val="left" w:leader="none"/>
                <w:tab w:pos="1377" w:val="left" w:leader="none"/>
                <w:tab w:pos="1438" w:val="left" w:leader="none"/>
              </w:tabs>
              <w:ind w:left="100" w:right="98"/>
              <w:rPr>
                <w:sz w:val="22"/>
              </w:rPr>
            </w:pPr>
            <w:r>
              <w:rPr>
                <w:sz w:val="22"/>
              </w:rPr>
              <w:t>volúmenes entregados</w:t>
              <w:tab/>
              <w:tab/>
              <w:tab/>
              <w:t>y aprovechados, así como los padrones</w:t>
              <w:tab/>
              <w:t>de usuarios,</w:t>
              <w:tab/>
              <w:tab/>
              <w:t>el</w:t>
            </w:r>
          </w:p>
          <w:p>
            <w:pPr>
              <w:pStyle w:val="TableParagraph"/>
              <w:tabs>
                <w:tab w:pos="1180" w:val="left" w:leader="none"/>
              </w:tabs>
              <w:spacing w:line="252" w:lineRule="exact"/>
              <w:ind w:left="100"/>
              <w:rPr>
                <w:sz w:val="22"/>
              </w:rPr>
            </w:pPr>
            <w:r>
              <w:rPr>
                <w:sz w:val="22"/>
              </w:rPr>
              <w:t>estado</w:t>
              <w:tab/>
              <w:t>que</w:t>
            </w:r>
          </w:p>
          <w:p>
            <w:pPr>
              <w:pStyle w:val="TableParagraph"/>
              <w:spacing w:before="1"/>
              <w:ind w:left="100" w:right="101"/>
              <w:jc w:val="both"/>
              <w:rPr>
                <w:sz w:val="22"/>
              </w:rPr>
            </w:pPr>
            <w:r>
              <w:rPr>
                <w:sz w:val="22"/>
              </w:rPr>
              <w:t>guarda la infraestructura y los servicios.</w:t>
            </w:r>
          </w:p>
        </w:tc>
        <w:tc>
          <w:tcPr>
            <w:tcW w:w="1613" w:type="dxa"/>
            <w:shd w:val="clear" w:color="auto" w:fill="4AACC5"/>
          </w:tcPr>
          <w:p>
            <w:pPr>
              <w:pStyle w:val="TableParagraph"/>
              <w:tabs>
                <w:tab w:pos="1329" w:val="left" w:leader="none"/>
              </w:tabs>
              <w:ind w:right="99"/>
              <w:rPr>
                <w:sz w:val="22"/>
              </w:rPr>
            </w:pPr>
            <w:r>
              <w:rPr>
                <w:sz w:val="22"/>
              </w:rPr>
              <w:t>Establecer las prioridades en lo concerniente a</w:t>
              <w:tab/>
              <w:t>la</w:t>
            </w:r>
          </w:p>
          <w:p>
            <w:pPr>
              <w:pStyle w:val="TableParagraph"/>
              <w:tabs>
                <w:tab w:pos="901" w:val="left" w:leader="none"/>
                <w:tab w:pos="1391" w:val="left" w:leader="none"/>
              </w:tabs>
              <w:ind w:right="98"/>
              <w:rPr>
                <w:sz w:val="22"/>
              </w:rPr>
            </w:pPr>
            <w:r>
              <w:rPr>
                <w:sz w:val="22"/>
              </w:rPr>
              <w:t>administració n y gestión de las</w:t>
              <w:tab/>
              <w:t>aguas nacionales</w:t>
              <w:tab/>
              <w:t>y de sus bienes nacionales inherentes.</w:t>
            </w:r>
          </w:p>
        </w:tc>
        <w:tc>
          <w:tcPr>
            <w:tcW w:w="1253" w:type="dxa"/>
            <w:shd w:val="clear" w:color="auto" w:fill="4AACC5"/>
          </w:tcPr>
          <w:p>
            <w:pPr>
              <w:pStyle w:val="TableParagraph"/>
              <w:tabs>
                <w:tab w:pos="894" w:val="left" w:leader="none"/>
              </w:tabs>
              <w:ind w:right="100"/>
              <w:rPr>
                <w:sz w:val="22"/>
              </w:rPr>
            </w:pPr>
            <w:r>
              <w:rPr>
                <w:sz w:val="22"/>
              </w:rPr>
              <w:t>Expedir títulos</w:t>
              <w:tab/>
              <w:t>de concesión</w:t>
            </w:r>
          </w:p>
          <w:p>
            <w:pPr>
              <w:pStyle w:val="TableParagraph"/>
              <w:spacing w:line="253" w:lineRule="exact"/>
              <w:rPr>
                <w:sz w:val="22"/>
              </w:rPr>
            </w:pPr>
            <w:r>
              <w:rPr>
                <w:w w:val="100"/>
                <w:sz w:val="22"/>
              </w:rPr>
              <w:t>,</w:t>
            </w:r>
          </w:p>
          <w:p>
            <w:pPr>
              <w:pStyle w:val="TableParagraph"/>
              <w:tabs>
                <w:tab w:pos="1017" w:val="left" w:leader="none"/>
              </w:tabs>
              <w:spacing w:before="1"/>
              <w:ind w:right="101"/>
              <w:rPr>
                <w:sz w:val="22"/>
              </w:rPr>
            </w:pPr>
            <w:r>
              <w:rPr>
                <w:sz w:val="22"/>
              </w:rPr>
              <w:t>asignació n</w:t>
              <w:tab/>
              <w:t>o</w:t>
            </w:r>
          </w:p>
          <w:p>
            <w:pPr>
              <w:pStyle w:val="TableParagraph"/>
              <w:spacing w:before="1"/>
              <w:ind w:right="100"/>
              <w:rPr>
                <w:sz w:val="22"/>
              </w:rPr>
            </w:pPr>
            <w:r>
              <w:rPr>
                <w:sz w:val="22"/>
              </w:rPr>
              <w:t>permiso de descarga, reconocer derechos y llevar el Registro Público de Derechos de</w:t>
            </w:r>
            <w:r>
              <w:rPr>
                <w:spacing w:val="-2"/>
                <w:sz w:val="22"/>
              </w:rPr>
              <w:t> </w:t>
            </w:r>
            <w:r>
              <w:rPr>
                <w:sz w:val="22"/>
              </w:rPr>
              <w:t>Agua.</w:t>
            </w:r>
          </w:p>
        </w:tc>
        <w:tc>
          <w:tcPr>
            <w:tcW w:w="1877" w:type="dxa"/>
            <w:shd w:val="clear" w:color="auto" w:fill="4AACC5"/>
          </w:tcPr>
          <w:p>
            <w:pPr>
              <w:pStyle w:val="TableParagraph"/>
              <w:tabs>
                <w:tab w:pos="1655" w:val="left" w:leader="none"/>
              </w:tabs>
              <w:spacing w:line="251" w:lineRule="exact"/>
              <w:rPr>
                <w:sz w:val="22"/>
              </w:rPr>
            </w:pPr>
            <w:r>
              <w:rPr>
                <w:sz w:val="22"/>
              </w:rPr>
              <w:t>Analizar</w:t>
              <w:tab/>
              <w:t>y</w:t>
            </w:r>
          </w:p>
          <w:p>
            <w:pPr>
              <w:pStyle w:val="TableParagraph"/>
              <w:tabs>
                <w:tab w:pos="1485" w:val="left" w:leader="none"/>
              </w:tabs>
              <w:spacing w:line="252" w:lineRule="exact" w:before="1"/>
              <w:rPr>
                <w:sz w:val="22"/>
              </w:rPr>
            </w:pPr>
            <w:r>
              <w:rPr>
                <w:sz w:val="22"/>
              </w:rPr>
              <w:t>resolver</w:t>
              <w:tab/>
              <w:t>los</w:t>
            </w:r>
          </w:p>
          <w:p>
            <w:pPr>
              <w:pStyle w:val="TableParagraph"/>
              <w:tabs>
                <w:tab w:pos="1643" w:val="left" w:leader="none"/>
              </w:tabs>
              <w:ind w:right="97"/>
              <w:rPr>
                <w:sz w:val="22"/>
              </w:rPr>
            </w:pPr>
            <w:r>
              <w:rPr>
                <w:sz w:val="22"/>
              </w:rPr>
              <w:t>problemas</w:t>
              <w:tab/>
              <w:t>y conflictos derivados de la explotación, uso, aprovechamient o</w:t>
              <w:tab/>
              <w:t>o</w:t>
            </w:r>
          </w:p>
          <w:p>
            <w:pPr>
              <w:pStyle w:val="TableParagraph"/>
              <w:tabs>
                <w:tab w:pos="1166" w:val="left" w:leader="none"/>
              </w:tabs>
              <w:ind w:right="97"/>
              <w:jc w:val="both"/>
              <w:rPr>
                <w:sz w:val="22"/>
              </w:rPr>
            </w:pPr>
            <w:r>
              <w:rPr>
                <w:sz w:val="22"/>
              </w:rPr>
              <w:t>conservación de las</w:t>
              <w:tab/>
              <w:t>aguas nacionales.</w:t>
            </w:r>
          </w:p>
        </w:tc>
        <w:tc>
          <w:tcPr>
            <w:tcW w:w="1493" w:type="dxa"/>
            <w:shd w:val="clear" w:color="auto" w:fill="4AACC5"/>
          </w:tcPr>
          <w:p>
            <w:pPr>
              <w:pStyle w:val="TableParagraph"/>
              <w:ind w:right="97"/>
              <w:rPr>
                <w:sz w:val="22"/>
              </w:rPr>
            </w:pPr>
            <w:r>
              <w:rPr>
                <w:sz w:val="22"/>
              </w:rPr>
              <w:t>Promover el uso eficiente del agua  y su conservació n en todas las fases del ciclo hidrológico.</w:t>
            </w:r>
          </w:p>
        </w:tc>
      </w:tr>
      <w:tr>
        <w:trPr>
          <w:trHeight w:val="768" w:hRule="exact"/>
        </w:trPr>
        <w:tc>
          <w:tcPr>
            <w:tcW w:w="2084" w:type="dxa"/>
            <w:shd w:val="clear" w:color="auto" w:fill="4AACC5"/>
          </w:tcPr>
          <w:p>
            <w:pPr>
              <w:pStyle w:val="TableParagraph"/>
              <w:ind w:left="187" w:right="184" w:firstLine="2"/>
              <w:jc w:val="center"/>
              <w:rPr>
                <w:b/>
                <w:i/>
                <w:sz w:val="22"/>
              </w:rPr>
            </w:pPr>
            <w:r>
              <w:rPr>
                <w:b/>
                <w:i/>
                <w:sz w:val="22"/>
              </w:rPr>
              <w:t>Comisión </w:t>
            </w:r>
            <w:r>
              <w:rPr>
                <w:b/>
                <w:i/>
                <w:sz w:val="22"/>
              </w:rPr>
              <w:t>Nacional del Agua (Conagua)</w:t>
            </w:r>
          </w:p>
        </w:tc>
        <w:tc>
          <w:tcPr>
            <w:tcW w:w="1301" w:type="dxa"/>
            <w:shd w:val="clear" w:color="auto" w:fill="4AACC5"/>
          </w:tcPr>
          <w:p>
            <w:pPr>
              <w:pStyle w:val="TableParagraph"/>
              <w:spacing w:before="6"/>
              <w:ind w:left="0"/>
              <w:rPr>
                <w:rFonts w:ascii="Times New Roman"/>
                <w:sz w:val="19"/>
              </w:rPr>
            </w:pPr>
          </w:p>
          <w:p>
            <w:pPr>
              <w:pStyle w:val="TableParagraph"/>
              <w:ind w:left="0" w:right="1"/>
              <w:jc w:val="center"/>
              <w:rPr>
                <w:b/>
                <w:sz w:val="20"/>
              </w:rPr>
            </w:pPr>
            <w:r>
              <w:rPr>
                <w:b/>
                <w:w w:val="99"/>
                <w:sz w:val="20"/>
              </w:rPr>
              <w:t>√</w:t>
            </w:r>
          </w:p>
        </w:tc>
        <w:tc>
          <w:tcPr>
            <w:tcW w:w="1940" w:type="dxa"/>
            <w:shd w:val="clear" w:color="auto" w:fill="4AACC5"/>
          </w:tcPr>
          <w:p>
            <w:pPr>
              <w:pStyle w:val="TableParagraph"/>
              <w:spacing w:before="6"/>
              <w:ind w:left="0"/>
              <w:rPr>
                <w:rFonts w:ascii="Times New Roman"/>
                <w:sz w:val="19"/>
              </w:rPr>
            </w:pPr>
          </w:p>
          <w:p>
            <w:pPr>
              <w:pStyle w:val="TableParagraph"/>
              <w:ind w:left="0"/>
              <w:jc w:val="center"/>
              <w:rPr>
                <w:b/>
                <w:sz w:val="20"/>
              </w:rPr>
            </w:pPr>
            <w:r>
              <w:rPr>
                <w:b/>
                <w:w w:val="99"/>
                <w:sz w:val="20"/>
              </w:rPr>
              <w:t>√</w:t>
            </w:r>
          </w:p>
        </w:tc>
        <w:tc>
          <w:tcPr>
            <w:tcW w:w="1661" w:type="dxa"/>
            <w:shd w:val="clear" w:color="auto" w:fill="4AACC5"/>
          </w:tcPr>
          <w:p>
            <w:pPr>
              <w:pStyle w:val="TableParagraph"/>
              <w:spacing w:before="6"/>
              <w:ind w:left="0"/>
              <w:rPr>
                <w:rFonts w:ascii="Times New Roman"/>
                <w:sz w:val="19"/>
              </w:rPr>
            </w:pPr>
          </w:p>
          <w:p>
            <w:pPr>
              <w:pStyle w:val="TableParagraph"/>
              <w:ind w:left="0" w:right="3"/>
              <w:jc w:val="center"/>
              <w:rPr>
                <w:b/>
                <w:sz w:val="20"/>
              </w:rPr>
            </w:pPr>
            <w:r>
              <w:rPr>
                <w:b/>
                <w:w w:val="99"/>
                <w:sz w:val="20"/>
              </w:rPr>
              <w:t>√</w:t>
            </w:r>
          </w:p>
        </w:tc>
        <w:tc>
          <w:tcPr>
            <w:tcW w:w="1613" w:type="dxa"/>
            <w:shd w:val="clear" w:color="auto" w:fill="4AACC5"/>
          </w:tcPr>
          <w:p>
            <w:pPr>
              <w:pStyle w:val="TableParagraph"/>
              <w:spacing w:before="6"/>
              <w:ind w:left="0"/>
              <w:rPr>
                <w:rFonts w:ascii="Times New Roman"/>
                <w:sz w:val="19"/>
              </w:rPr>
            </w:pPr>
          </w:p>
          <w:p>
            <w:pPr>
              <w:pStyle w:val="TableParagraph"/>
              <w:ind w:left="0"/>
              <w:jc w:val="center"/>
              <w:rPr>
                <w:b/>
                <w:sz w:val="20"/>
              </w:rPr>
            </w:pPr>
            <w:r>
              <w:rPr>
                <w:b/>
                <w:w w:val="99"/>
                <w:sz w:val="20"/>
              </w:rPr>
              <w:t>√</w:t>
            </w:r>
          </w:p>
        </w:tc>
        <w:tc>
          <w:tcPr>
            <w:tcW w:w="1253" w:type="dxa"/>
            <w:shd w:val="clear" w:color="auto" w:fill="4AACC5"/>
          </w:tcPr>
          <w:p>
            <w:pPr>
              <w:pStyle w:val="TableParagraph"/>
              <w:spacing w:before="6"/>
              <w:ind w:left="0"/>
              <w:rPr>
                <w:rFonts w:ascii="Times New Roman"/>
                <w:sz w:val="19"/>
              </w:rPr>
            </w:pPr>
          </w:p>
          <w:p>
            <w:pPr>
              <w:pStyle w:val="TableParagraph"/>
              <w:ind w:left="0" w:right="1"/>
              <w:jc w:val="center"/>
              <w:rPr>
                <w:b/>
                <w:sz w:val="20"/>
              </w:rPr>
            </w:pPr>
            <w:r>
              <w:rPr>
                <w:b/>
                <w:w w:val="99"/>
                <w:sz w:val="20"/>
              </w:rPr>
              <w:t>√</w:t>
            </w:r>
          </w:p>
        </w:tc>
        <w:tc>
          <w:tcPr>
            <w:tcW w:w="1877" w:type="dxa"/>
            <w:shd w:val="clear" w:color="auto" w:fill="4AACC5"/>
          </w:tcPr>
          <w:p>
            <w:pPr>
              <w:pStyle w:val="TableParagraph"/>
              <w:spacing w:before="6"/>
              <w:ind w:left="0"/>
              <w:rPr>
                <w:rFonts w:ascii="Times New Roman"/>
                <w:sz w:val="19"/>
              </w:rPr>
            </w:pPr>
          </w:p>
          <w:p>
            <w:pPr>
              <w:pStyle w:val="TableParagraph"/>
              <w:ind w:left="0" w:right="1"/>
              <w:jc w:val="center"/>
              <w:rPr>
                <w:b/>
                <w:sz w:val="20"/>
              </w:rPr>
            </w:pPr>
            <w:r>
              <w:rPr>
                <w:b/>
                <w:w w:val="99"/>
                <w:sz w:val="20"/>
              </w:rPr>
              <w:t>√</w:t>
            </w:r>
          </w:p>
        </w:tc>
        <w:tc>
          <w:tcPr>
            <w:tcW w:w="1493" w:type="dxa"/>
            <w:shd w:val="clear" w:color="auto" w:fill="4AACC5"/>
          </w:tcPr>
          <w:p>
            <w:pPr>
              <w:pStyle w:val="TableParagraph"/>
              <w:spacing w:before="6"/>
              <w:ind w:left="0"/>
              <w:rPr>
                <w:rFonts w:ascii="Times New Roman"/>
                <w:sz w:val="19"/>
              </w:rPr>
            </w:pPr>
          </w:p>
          <w:p>
            <w:pPr>
              <w:pStyle w:val="TableParagraph"/>
              <w:ind w:left="0" w:right="1"/>
              <w:jc w:val="center"/>
              <w:rPr>
                <w:b/>
                <w:sz w:val="20"/>
              </w:rPr>
            </w:pPr>
            <w:r>
              <w:rPr>
                <w:b/>
                <w:w w:val="99"/>
                <w:sz w:val="20"/>
              </w:rPr>
              <w:t>√</w:t>
            </w:r>
          </w:p>
        </w:tc>
      </w:tr>
    </w:tbl>
    <w:p>
      <w:pPr>
        <w:spacing w:after="0"/>
        <w:jc w:val="center"/>
        <w:rPr>
          <w:sz w:val="20"/>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2"/>
        <w:gridCol w:w="1313"/>
        <w:gridCol w:w="233"/>
        <w:gridCol w:w="1455"/>
        <w:gridCol w:w="1586"/>
        <w:gridCol w:w="1258"/>
        <w:gridCol w:w="1274"/>
        <w:gridCol w:w="1418"/>
        <w:gridCol w:w="1277"/>
        <w:gridCol w:w="1344"/>
      </w:tblGrid>
      <w:tr>
        <w:trPr>
          <w:trHeight w:val="1274" w:hRule="exact"/>
        </w:trPr>
        <w:tc>
          <w:tcPr>
            <w:tcW w:w="2062" w:type="dxa"/>
          </w:tcPr>
          <w:p>
            <w:pPr>
              <w:pStyle w:val="TableParagraph"/>
              <w:ind w:left="115" w:right="110" w:hanging="2"/>
              <w:jc w:val="center"/>
              <w:rPr>
                <w:b/>
                <w:sz w:val="22"/>
              </w:rPr>
            </w:pPr>
            <w:r>
              <w:rPr>
                <w:b/>
                <w:sz w:val="22"/>
              </w:rPr>
              <w:t>Actores (Secretarías y dependencias gubernamentales</w:t>
            </w:r>
          </w:p>
          <w:p>
            <w:pPr>
              <w:pStyle w:val="TableParagraph"/>
              <w:spacing w:before="1"/>
              <w:ind w:left="0"/>
              <w:jc w:val="center"/>
              <w:rPr>
                <w:b/>
                <w:sz w:val="22"/>
              </w:rPr>
            </w:pPr>
            <w:r>
              <w:rPr>
                <w:b/>
                <w:w w:val="100"/>
                <w:sz w:val="22"/>
              </w:rPr>
              <w:t>)</w:t>
            </w:r>
          </w:p>
        </w:tc>
        <w:tc>
          <w:tcPr>
            <w:tcW w:w="1546" w:type="dxa"/>
            <w:gridSpan w:val="2"/>
          </w:tcPr>
          <w:p>
            <w:pPr/>
          </w:p>
        </w:tc>
        <w:tc>
          <w:tcPr>
            <w:tcW w:w="9614" w:type="dxa"/>
            <w:gridSpan w:val="7"/>
          </w:tcPr>
          <w:p>
            <w:pPr>
              <w:pStyle w:val="TableParagraph"/>
              <w:spacing w:line="248" w:lineRule="exact"/>
              <w:ind w:left="3780" w:right="3779"/>
              <w:jc w:val="center"/>
              <w:rPr>
                <w:b/>
                <w:sz w:val="22"/>
              </w:rPr>
            </w:pPr>
            <w:r>
              <w:rPr>
                <w:b/>
                <w:sz w:val="22"/>
              </w:rPr>
              <w:t>Responsabilidades</w:t>
            </w:r>
          </w:p>
        </w:tc>
      </w:tr>
      <w:tr>
        <w:trPr>
          <w:trHeight w:val="6842" w:hRule="exact"/>
        </w:trPr>
        <w:tc>
          <w:tcPr>
            <w:tcW w:w="2062" w:type="dxa"/>
            <w:shd w:val="clear" w:color="auto" w:fill="4AACC5"/>
          </w:tcPr>
          <w:p>
            <w:pPr/>
          </w:p>
        </w:tc>
        <w:tc>
          <w:tcPr>
            <w:tcW w:w="1313" w:type="dxa"/>
            <w:shd w:val="clear" w:color="auto" w:fill="4AACC5"/>
          </w:tcPr>
          <w:p>
            <w:pPr>
              <w:pStyle w:val="TableParagraph"/>
              <w:tabs>
                <w:tab w:pos="832" w:val="left" w:leader="none"/>
                <w:tab w:pos="1091" w:val="left" w:leader="none"/>
              </w:tabs>
              <w:ind w:right="97"/>
              <w:rPr>
                <w:sz w:val="22"/>
              </w:rPr>
            </w:pPr>
            <w:r>
              <w:rPr>
                <w:sz w:val="22"/>
              </w:rPr>
              <w:t>Impulsar el desarrollo de</w:t>
              <w:tab/>
              <w:t>una cultura del agua</w:t>
              <w:tab/>
              <w:t>que la considere como recurso vital, escaso</w:t>
              <w:tab/>
              <w:tab/>
              <w:t>y de</w:t>
              <w:tab/>
              <w:t>alto valor económico</w:t>
            </w:r>
          </w:p>
          <w:p>
            <w:pPr>
              <w:pStyle w:val="TableParagraph"/>
              <w:spacing w:before="1"/>
              <w:rPr>
                <w:sz w:val="22"/>
              </w:rPr>
            </w:pPr>
            <w:r>
              <w:rPr>
                <w:sz w:val="22"/>
              </w:rPr>
              <w:t>, social y ambiental.</w:t>
            </w:r>
          </w:p>
        </w:tc>
        <w:tc>
          <w:tcPr>
            <w:tcW w:w="1688" w:type="dxa"/>
            <w:gridSpan w:val="2"/>
            <w:shd w:val="clear" w:color="auto" w:fill="4AACC5"/>
          </w:tcPr>
          <w:p>
            <w:pPr>
              <w:pStyle w:val="TableParagraph"/>
              <w:tabs>
                <w:tab w:pos="671" w:val="left" w:leader="none"/>
                <w:tab w:pos="1295" w:val="left" w:leader="none"/>
              </w:tabs>
              <w:ind w:right="99"/>
              <w:rPr>
                <w:sz w:val="22"/>
              </w:rPr>
            </w:pPr>
            <w:r>
              <w:rPr>
                <w:sz w:val="22"/>
              </w:rPr>
              <w:t>Estudiar</w:t>
              <w:tab/>
              <w:t>los montos recomendable s para el cobro de</w:t>
              <w:tab/>
            </w:r>
            <w:r>
              <w:rPr>
                <w:spacing w:val="-1"/>
                <w:sz w:val="22"/>
              </w:rPr>
              <w:t>derechos</w:t>
            </w:r>
          </w:p>
          <w:p>
            <w:pPr>
              <w:pStyle w:val="TableParagraph"/>
              <w:tabs>
                <w:tab w:pos="1026" w:val="left" w:leader="none"/>
                <w:tab w:pos="1259" w:val="left" w:leader="none"/>
                <w:tab w:pos="1331" w:val="left" w:leader="none"/>
                <w:tab w:pos="1401" w:val="left" w:leader="none"/>
                <w:tab w:pos="1466" w:val="left" w:leader="none"/>
              </w:tabs>
              <w:ind w:right="99"/>
              <w:rPr>
                <w:sz w:val="22"/>
              </w:rPr>
            </w:pPr>
            <w:r>
              <w:rPr>
                <w:sz w:val="22"/>
              </w:rPr>
              <w:t>de</w:t>
              <w:tab/>
            </w:r>
            <w:r>
              <w:rPr>
                <w:spacing w:val="-1"/>
                <w:sz w:val="22"/>
              </w:rPr>
              <w:t>agua, </w:t>
            </w:r>
            <w:r>
              <w:rPr>
                <w:sz w:val="22"/>
              </w:rPr>
              <w:t>incluyendo</w:t>
              <w:tab/>
              <w:tab/>
              <w:tab/>
              <w:t>el cobro</w:t>
              <w:tab/>
              <w:tab/>
            </w:r>
            <w:r>
              <w:rPr>
                <w:spacing w:val="-1"/>
                <w:sz w:val="22"/>
              </w:rPr>
              <w:t>por </w:t>
            </w:r>
            <w:r>
              <w:rPr>
                <w:sz w:val="22"/>
              </w:rPr>
              <w:t>extracción</w:t>
              <w:tab/>
              <w:tab/>
              <w:t>de aguas nacionales, descarga</w:t>
              <w:tab/>
              <w:tab/>
              <w:tab/>
              <w:t>de aguas residuales</w:t>
              <w:tab/>
              <w:tab/>
              <w:tab/>
              <w:tab/>
              <w:t>y servicios ambientales vinculados con el agua y su gestión.</w:t>
            </w:r>
          </w:p>
        </w:tc>
        <w:tc>
          <w:tcPr>
            <w:tcW w:w="1586" w:type="dxa"/>
            <w:shd w:val="clear" w:color="auto" w:fill="4AACC5"/>
          </w:tcPr>
          <w:p>
            <w:pPr>
              <w:pStyle w:val="TableParagraph"/>
              <w:tabs>
                <w:tab w:pos="554" w:val="left" w:leader="none"/>
                <w:tab w:pos="630" w:val="left" w:leader="none"/>
                <w:tab w:pos="1228" w:val="left" w:leader="none"/>
                <w:tab w:pos="1302" w:val="left" w:leader="none"/>
              </w:tabs>
              <w:ind w:right="98"/>
              <w:rPr>
                <w:sz w:val="22"/>
              </w:rPr>
            </w:pPr>
            <w:r>
              <w:rPr>
                <w:sz w:val="22"/>
              </w:rPr>
              <w:t>Difundir conocimiento s en materia de gestión de los</w:t>
              <w:tab/>
              <w:tab/>
              <w:t>recursos hídricos, con el</w:t>
              <w:tab/>
              <w:t>propósito de</w:t>
              <w:tab/>
              <w:t>fortalecer sus acciones y mejorar la calidad</w:t>
              <w:tab/>
              <w:t>de sus servicios, coordinado con</w:t>
              <w:tab/>
              <w:tab/>
              <w:tab/>
              <w:tab/>
              <w:t>el</w:t>
            </w:r>
          </w:p>
          <w:p>
            <w:pPr>
              <w:pStyle w:val="TableParagraph"/>
              <w:spacing w:before="1"/>
              <w:ind w:right="101"/>
              <w:rPr>
                <w:sz w:val="22"/>
              </w:rPr>
            </w:pPr>
            <w:r>
              <w:rPr>
                <w:sz w:val="22"/>
              </w:rPr>
              <w:t>Instituto Mexicano de Tecnología del Agua.</w:t>
            </w:r>
          </w:p>
        </w:tc>
        <w:tc>
          <w:tcPr>
            <w:tcW w:w="1258" w:type="dxa"/>
            <w:shd w:val="clear" w:color="auto" w:fill="4AACC5"/>
          </w:tcPr>
          <w:p>
            <w:pPr>
              <w:pStyle w:val="TableParagraph"/>
              <w:tabs>
                <w:tab w:pos="594" w:val="left" w:leader="none"/>
                <w:tab w:pos="851" w:val="left" w:leader="none"/>
                <w:tab w:pos="1036" w:val="left" w:leader="none"/>
              </w:tabs>
              <w:ind w:right="99"/>
              <w:rPr>
                <w:sz w:val="22"/>
              </w:rPr>
            </w:pPr>
            <w:r>
              <w:rPr>
                <w:sz w:val="22"/>
              </w:rPr>
              <w:t>Integrar el Sistema Nacional de Informació n</w:t>
              <w:tab/>
              <w:t>sobre cantidad, calidad, usos</w:t>
              <w:tab/>
              <w:tab/>
              <w:tab/>
              <w:t>y conservac ión</w:t>
              <w:tab/>
              <w:tab/>
              <w:t>del agua.</w:t>
            </w:r>
          </w:p>
        </w:tc>
        <w:tc>
          <w:tcPr>
            <w:tcW w:w="1274" w:type="dxa"/>
            <w:shd w:val="clear" w:color="auto" w:fill="76923B"/>
          </w:tcPr>
          <w:p>
            <w:pPr>
              <w:pStyle w:val="TableParagraph"/>
              <w:tabs>
                <w:tab w:pos="518" w:val="left" w:leader="none"/>
                <w:tab w:pos="724" w:val="left" w:leader="none"/>
                <w:tab w:pos="918" w:val="left" w:leader="none"/>
              </w:tabs>
              <w:ind w:right="98"/>
              <w:rPr>
                <w:sz w:val="22"/>
              </w:rPr>
            </w:pPr>
            <w:r>
              <w:rPr>
                <w:sz w:val="22"/>
              </w:rPr>
              <w:t>Promover, concretar y desarrollar proyectos estratégic os</w:t>
              <w:tab/>
              <w:tab/>
            </w:r>
            <w:r>
              <w:rPr>
                <w:spacing w:val="-1"/>
                <w:sz w:val="22"/>
              </w:rPr>
              <w:t>para </w:t>
            </w:r>
            <w:r>
              <w:rPr>
                <w:sz w:val="22"/>
              </w:rPr>
              <w:t>México en los sectores agrícola, ganadero, pesquero, alimentari o</w:t>
              <w:tab/>
              <w:t>y</w:t>
              <w:tab/>
              <w:tab/>
              <w:t>de desarrollo rural.</w:t>
            </w:r>
          </w:p>
        </w:tc>
        <w:tc>
          <w:tcPr>
            <w:tcW w:w="1418" w:type="dxa"/>
            <w:shd w:val="clear" w:color="auto" w:fill="76923B"/>
          </w:tcPr>
          <w:p>
            <w:pPr>
              <w:pStyle w:val="TableParagraph"/>
              <w:ind w:left="0"/>
              <w:rPr>
                <w:rFonts w:ascii="Times New Roman"/>
                <w:sz w:val="22"/>
              </w:rPr>
            </w:pPr>
          </w:p>
          <w:p>
            <w:pPr>
              <w:pStyle w:val="TableParagraph"/>
              <w:spacing w:before="9"/>
              <w:ind w:left="0"/>
              <w:rPr>
                <w:rFonts w:ascii="Times New Roman"/>
                <w:sz w:val="21"/>
              </w:rPr>
            </w:pPr>
          </w:p>
          <w:p>
            <w:pPr>
              <w:pStyle w:val="TableParagraph"/>
              <w:tabs>
                <w:tab w:pos="1014" w:val="left" w:leader="none"/>
              </w:tabs>
              <w:ind w:right="97"/>
              <w:rPr>
                <w:sz w:val="22"/>
              </w:rPr>
            </w:pPr>
            <w:r>
              <w:rPr>
                <w:sz w:val="22"/>
              </w:rPr>
              <w:t>Promover el desarrollo integral del campo</w:t>
              <w:tab/>
              <w:t>del</w:t>
            </w:r>
          </w:p>
          <w:p>
            <w:pPr>
              <w:pStyle w:val="TableParagraph"/>
              <w:tabs>
                <w:tab w:pos="935" w:val="left" w:leader="none"/>
                <w:tab w:pos="1136" w:val="left" w:leader="none"/>
              </w:tabs>
              <w:spacing w:before="1"/>
              <w:ind w:right="98"/>
              <w:rPr>
                <w:sz w:val="22"/>
              </w:rPr>
            </w:pPr>
            <w:r>
              <w:rPr>
                <w:sz w:val="22"/>
              </w:rPr>
              <w:t>país</w:t>
              <w:tab/>
              <w:t>que permita</w:t>
              <w:tab/>
              <w:tab/>
              <w:t>el aprovecha miento sustentable de</w:t>
              <w:tab/>
              <w:t>sus</w:t>
            </w:r>
          </w:p>
          <w:p>
            <w:pPr>
              <w:pStyle w:val="TableParagraph"/>
              <w:spacing w:line="252" w:lineRule="exact"/>
              <w:ind w:right="101"/>
              <w:rPr>
                <w:sz w:val="22"/>
              </w:rPr>
            </w:pPr>
            <w:r>
              <w:rPr>
                <w:sz w:val="22"/>
              </w:rPr>
              <w:t>recursos.</w:t>
            </w:r>
          </w:p>
        </w:tc>
        <w:tc>
          <w:tcPr>
            <w:tcW w:w="1277" w:type="dxa"/>
            <w:shd w:val="clear" w:color="auto" w:fill="76923B"/>
          </w:tcPr>
          <w:p>
            <w:pPr>
              <w:pStyle w:val="TableParagraph"/>
              <w:tabs>
                <w:tab w:pos="882" w:val="left" w:leader="none"/>
              </w:tabs>
              <w:ind w:right="101"/>
              <w:rPr>
                <w:sz w:val="22"/>
              </w:rPr>
            </w:pPr>
            <w:r>
              <w:rPr>
                <w:sz w:val="22"/>
              </w:rPr>
              <w:t>Revertir el deterioro de</w:t>
              <w:tab/>
              <w:t>los</w:t>
            </w:r>
          </w:p>
          <w:p>
            <w:pPr>
              <w:pStyle w:val="TableParagraph"/>
              <w:tabs>
                <w:tab w:pos="1043" w:val="left" w:leader="none"/>
              </w:tabs>
              <w:ind w:right="99"/>
              <w:rPr>
                <w:sz w:val="22"/>
              </w:rPr>
            </w:pPr>
            <w:r>
              <w:rPr>
                <w:sz w:val="22"/>
              </w:rPr>
              <w:t>ecosistem as,</w:t>
              <w:tab/>
              <w:t>a</w:t>
            </w:r>
          </w:p>
          <w:p>
            <w:pPr>
              <w:pStyle w:val="TableParagraph"/>
              <w:tabs>
                <w:tab w:pos="920" w:val="left" w:leader="none"/>
              </w:tabs>
              <w:ind w:right="99"/>
              <w:rPr>
                <w:sz w:val="22"/>
              </w:rPr>
            </w:pPr>
            <w:r>
              <w:rPr>
                <w:sz w:val="22"/>
              </w:rPr>
              <w:t>través</w:t>
              <w:tab/>
              <w:t>de acciones para preservar el agua, el suelo y la biodiversid ad.</w:t>
            </w:r>
          </w:p>
        </w:tc>
        <w:tc>
          <w:tcPr>
            <w:tcW w:w="1344" w:type="dxa"/>
            <w:shd w:val="clear" w:color="auto" w:fill="76923B"/>
          </w:tcPr>
          <w:p>
            <w:pPr>
              <w:pStyle w:val="TableParagraph"/>
              <w:spacing w:before="10"/>
              <w:ind w:left="0"/>
              <w:rPr>
                <w:rFonts w:ascii="Times New Roman"/>
                <w:sz w:val="21"/>
              </w:rPr>
            </w:pPr>
          </w:p>
          <w:p>
            <w:pPr>
              <w:pStyle w:val="TableParagraph"/>
              <w:tabs>
                <w:tab w:pos="630" w:val="left" w:leader="none"/>
                <w:tab w:pos="693" w:val="left" w:leader="none"/>
                <w:tab w:pos="1060" w:val="left" w:leader="none"/>
              </w:tabs>
              <w:ind w:left="100" w:right="98"/>
              <w:rPr>
                <w:sz w:val="22"/>
              </w:rPr>
            </w:pPr>
            <w:r>
              <w:rPr>
                <w:sz w:val="22"/>
              </w:rPr>
              <w:t>Conducir el desarrollo armónico del</w:t>
              <w:tab/>
              <w:t>medio rural mediante acciones concertada s, tomando acuerdos con</w:t>
              <w:tab/>
              <w:tab/>
              <w:t>todos los actores de</w:t>
              <w:tab/>
              <w:tab/>
              <w:tab/>
              <w:t>la</w:t>
            </w:r>
          </w:p>
          <w:p>
            <w:pPr>
              <w:pStyle w:val="TableParagraph"/>
              <w:spacing w:before="1"/>
              <w:ind w:left="100" w:right="333"/>
              <w:rPr>
                <w:sz w:val="22"/>
              </w:rPr>
            </w:pPr>
            <w:r>
              <w:rPr>
                <w:sz w:val="22"/>
              </w:rPr>
              <w:t>sociedad rural.</w:t>
            </w:r>
          </w:p>
          <w:p>
            <w:pPr>
              <w:pStyle w:val="TableParagraph"/>
              <w:tabs>
                <w:tab w:pos="630" w:val="left" w:leader="none"/>
              </w:tabs>
              <w:spacing w:before="1"/>
              <w:ind w:left="100" w:right="98"/>
              <w:rPr>
                <w:sz w:val="22"/>
              </w:rPr>
            </w:pPr>
            <w:r>
              <w:rPr>
                <w:sz w:val="22"/>
              </w:rPr>
              <w:t>Además de promover acciones que propicien la certidumbr e legal en el</w:t>
              <w:tab/>
              <w:t>medio rural.</w:t>
            </w:r>
          </w:p>
        </w:tc>
      </w:tr>
      <w:tr>
        <w:trPr>
          <w:trHeight w:val="701" w:hRule="exact"/>
        </w:trPr>
        <w:tc>
          <w:tcPr>
            <w:tcW w:w="2062" w:type="dxa"/>
            <w:shd w:val="clear" w:color="auto" w:fill="4AACC5"/>
          </w:tcPr>
          <w:p>
            <w:pPr>
              <w:pStyle w:val="TableParagraph"/>
              <w:spacing w:line="242" w:lineRule="auto"/>
              <w:ind w:left="376" w:right="360" w:firstLine="146"/>
              <w:rPr>
                <w:b/>
                <w:i/>
                <w:sz w:val="22"/>
              </w:rPr>
            </w:pPr>
            <w:r>
              <w:rPr>
                <w:b/>
                <w:i/>
                <w:sz w:val="22"/>
              </w:rPr>
              <w:t>Comisión </w:t>
            </w:r>
            <w:r>
              <w:rPr>
                <w:b/>
                <w:i/>
                <w:sz w:val="22"/>
              </w:rPr>
              <w:t>Nacional del</w:t>
            </w:r>
          </w:p>
        </w:tc>
        <w:tc>
          <w:tcPr>
            <w:tcW w:w="1313" w:type="dxa"/>
            <w:shd w:val="clear" w:color="auto" w:fill="4AACC5"/>
          </w:tcPr>
          <w:p>
            <w:pPr>
              <w:pStyle w:val="TableParagraph"/>
              <w:spacing w:before="6"/>
              <w:ind w:left="0"/>
              <w:rPr>
                <w:rFonts w:ascii="Times New Roman"/>
                <w:sz w:val="19"/>
              </w:rPr>
            </w:pPr>
          </w:p>
          <w:p>
            <w:pPr>
              <w:pStyle w:val="TableParagraph"/>
              <w:ind w:left="0" w:right="1"/>
              <w:jc w:val="center"/>
              <w:rPr>
                <w:b/>
                <w:sz w:val="20"/>
              </w:rPr>
            </w:pPr>
            <w:r>
              <w:rPr>
                <w:b/>
                <w:w w:val="99"/>
                <w:sz w:val="20"/>
              </w:rPr>
              <w:t>√</w:t>
            </w:r>
          </w:p>
        </w:tc>
        <w:tc>
          <w:tcPr>
            <w:tcW w:w="1688" w:type="dxa"/>
            <w:gridSpan w:val="2"/>
            <w:shd w:val="clear" w:color="auto" w:fill="4AACC5"/>
          </w:tcPr>
          <w:p>
            <w:pPr>
              <w:pStyle w:val="TableParagraph"/>
              <w:spacing w:before="6"/>
              <w:ind w:left="0"/>
              <w:rPr>
                <w:rFonts w:ascii="Times New Roman"/>
                <w:sz w:val="19"/>
              </w:rPr>
            </w:pPr>
          </w:p>
          <w:p>
            <w:pPr>
              <w:pStyle w:val="TableParagraph"/>
              <w:ind w:left="0"/>
              <w:jc w:val="center"/>
              <w:rPr>
                <w:b/>
                <w:sz w:val="20"/>
              </w:rPr>
            </w:pPr>
            <w:r>
              <w:rPr>
                <w:b/>
                <w:w w:val="99"/>
                <w:sz w:val="20"/>
              </w:rPr>
              <w:t>√</w:t>
            </w:r>
          </w:p>
        </w:tc>
        <w:tc>
          <w:tcPr>
            <w:tcW w:w="1586" w:type="dxa"/>
            <w:shd w:val="clear" w:color="auto" w:fill="4AACC5"/>
          </w:tcPr>
          <w:p>
            <w:pPr>
              <w:pStyle w:val="TableParagraph"/>
              <w:spacing w:before="6"/>
              <w:ind w:left="0"/>
              <w:rPr>
                <w:rFonts w:ascii="Times New Roman"/>
                <w:sz w:val="19"/>
              </w:rPr>
            </w:pPr>
          </w:p>
          <w:p>
            <w:pPr>
              <w:pStyle w:val="TableParagraph"/>
              <w:ind w:left="0" w:right="1"/>
              <w:jc w:val="center"/>
              <w:rPr>
                <w:b/>
                <w:sz w:val="20"/>
              </w:rPr>
            </w:pPr>
            <w:r>
              <w:rPr>
                <w:b/>
                <w:w w:val="99"/>
                <w:sz w:val="20"/>
              </w:rPr>
              <w:t>√</w:t>
            </w:r>
          </w:p>
        </w:tc>
        <w:tc>
          <w:tcPr>
            <w:tcW w:w="1258" w:type="dxa"/>
            <w:shd w:val="clear" w:color="auto" w:fill="4AACC5"/>
          </w:tcPr>
          <w:p>
            <w:pPr>
              <w:pStyle w:val="TableParagraph"/>
              <w:spacing w:before="6"/>
              <w:ind w:left="0"/>
              <w:rPr>
                <w:rFonts w:ascii="Times New Roman"/>
                <w:sz w:val="19"/>
              </w:rPr>
            </w:pPr>
          </w:p>
          <w:p>
            <w:pPr>
              <w:pStyle w:val="TableParagraph"/>
              <w:ind w:left="0" w:right="1"/>
              <w:jc w:val="center"/>
              <w:rPr>
                <w:b/>
                <w:sz w:val="20"/>
              </w:rPr>
            </w:pPr>
            <w:r>
              <w:rPr>
                <w:b/>
                <w:w w:val="99"/>
                <w:sz w:val="20"/>
              </w:rPr>
              <w:t>√</w:t>
            </w:r>
          </w:p>
        </w:tc>
        <w:tc>
          <w:tcPr>
            <w:tcW w:w="1274" w:type="dxa"/>
            <w:shd w:val="clear" w:color="auto" w:fill="76923B"/>
          </w:tcPr>
          <w:p>
            <w:pPr/>
          </w:p>
        </w:tc>
        <w:tc>
          <w:tcPr>
            <w:tcW w:w="1418" w:type="dxa"/>
            <w:shd w:val="clear" w:color="auto" w:fill="76923B"/>
          </w:tcPr>
          <w:p>
            <w:pPr/>
          </w:p>
        </w:tc>
        <w:tc>
          <w:tcPr>
            <w:tcW w:w="1277" w:type="dxa"/>
            <w:shd w:val="clear" w:color="auto" w:fill="76923B"/>
          </w:tcPr>
          <w:p>
            <w:pPr/>
          </w:p>
        </w:tc>
        <w:tc>
          <w:tcPr>
            <w:tcW w:w="1344" w:type="dxa"/>
            <w:shd w:val="clear" w:color="auto" w:fill="76923B"/>
          </w:tcPr>
          <w:p>
            <w:pPr/>
          </w:p>
        </w:tc>
      </w:tr>
    </w:tbl>
    <w:p>
      <w:pPr>
        <w:spacing w:after="0"/>
        <w:sectPr>
          <w:pgSz w:w="15840" w:h="12240" w:orient="landscape"/>
          <w:pgMar w:header="0" w:footer="943" w:top="1140" w:bottom="1140" w:left="1200" w:right="1180"/>
        </w:sectPr>
      </w:pPr>
    </w:p>
    <w:p>
      <w:pPr>
        <w:pStyle w:val="BodyText"/>
        <w:rPr>
          <w:rFonts w:ascii="Times New Roman"/>
          <w:sz w:val="20"/>
        </w:rPr>
      </w:pPr>
    </w:p>
    <w:p>
      <w:pPr>
        <w:pStyle w:val="BodyText"/>
        <w:spacing w:before="5"/>
        <w:rPr>
          <w:rFonts w:ascii="Times New Roman"/>
          <w:sz w:val="28"/>
        </w:rPr>
      </w:pPr>
    </w:p>
    <w:p>
      <w:pPr>
        <w:pStyle w:val="BodyText"/>
        <w:ind w:left="105"/>
        <w:rPr>
          <w:rFonts w:ascii="Times New Roman"/>
          <w:sz w:val="20"/>
        </w:rPr>
      </w:pPr>
      <w:r>
        <w:rPr>
          <w:rFonts w:ascii="Times New Roman"/>
          <w:sz w:val="20"/>
        </w:rPr>
        <w:pict>
          <v:group style="width:661.6pt;height:128.9500pt;mso-position-horizontal-relative:char;mso-position-vertical-relative:line" coordorigin="0,0" coordsize="13232,2579">
            <v:rect style="position:absolute;left:1959;top:15;width:103;height:252" filled="true" fillcolor="#4aacc5" stroked="false">
              <v:fill type="solid"/>
            </v:rect>
            <v:rect style="position:absolute;left:10;top:15;width:103;height:252" filled="true" fillcolor="#4aacc5" stroked="false">
              <v:fill type="solid"/>
            </v:rect>
            <v:rect style="position:absolute;left:113;top:15;width:1846;height:252" filled="true" fillcolor="#4aacc5" stroked="false">
              <v:fill type="solid"/>
            </v:rect>
            <v:rect style="position:absolute;left:2072;top:15;width:1303;height:252" filled="true" fillcolor="#4aacc5" stroked="false">
              <v:fill type="solid"/>
            </v:rect>
            <v:rect style="position:absolute;left:3385;top:15;width:1678;height:252" filled="true" fillcolor="#4aacc5" stroked="false">
              <v:fill type="solid"/>
            </v:rect>
            <v:rect style="position:absolute;left:5072;top:15;width:1577;height:252" filled="true" fillcolor="#4aacc5" stroked="false">
              <v:fill type="solid"/>
            </v:rect>
            <v:rect style="position:absolute;left:6659;top:15;width:1248;height:252" filled="true" fillcolor="#4aacc5" stroked="false">
              <v:fill type="solid"/>
            </v:rect>
            <v:rect style="position:absolute;left:7917;top:15;width:1265;height:252" filled="true" fillcolor="#76923b" stroked="false">
              <v:fill type="solid"/>
            </v:rect>
            <v:rect style="position:absolute;left:9191;top:15;width:1409;height:252" filled="true" fillcolor="#76923b" stroked="false">
              <v:fill type="solid"/>
            </v:rect>
            <v:rect style="position:absolute;left:10610;top:15;width:1265;height:252" filled="true" fillcolor="#76923b" stroked="false">
              <v:fill type="solid"/>
            </v:rect>
            <v:rect style="position:absolute;left:11885;top:15;width:1337;height:252" filled="true" fillcolor="#76923b" stroked="false">
              <v:fill type="solid"/>
            </v:rect>
            <v:line style="position:absolute" from="10,10" to="2062,10" stroked="true" strokeweight=".48pt" strokecolor="#000000"/>
            <v:line style="position:absolute" from="2072,10" to="3375,10" stroked="true" strokeweight=".48pt" strokecolor="#000000"/>
            <v:line style="position:absolute" from="3385,10" to="5063,10" stroked="true" strokeweight=".48pt" strokecolor="#000000"/>
            <v:line style="position:absolute" from="5072,10" to="6649,10" stroked="true" strokeweight=".48pt" strokecolor="#000000"/>
            <v:line style="position:absolute" from="6659,10" to="7907,10" stroked="true" strokeweight=".48pt" strokecolor="#000000"/>
            <v:line style="position:absolute" from="7917,10" to="9182,10" stroked="true" strokeweight=".48pt" strokecolor="#000000"/>
            <v:line style="position:absolute" from="9191,10" to="10600,10" stroked="true" strokeweight=".48pt" strokecolor="#000000"/>
            <v:line style="position:absolute" from="10610,10" to="11877,10" stroked="true" strokeweight=".48pt" strokecolor="#000000"/>
            <v:line style="position:absolute" from="11887,10" to="13221,10" stroked="true" strokeweight=".48pt" strokecolor="#000000"/>
            <v:rect style="position:absolute;left:10;top:276;width:2052;height:2026" filled="true" fillcolor="#76923b" stroked="false">
              <v:fill type="solid"/>
            </v:rect>
            <v:rect style="position:absolute;left:84;top:276;width:29;height:254" filled="true" fillcolor="#76923b" stroked="false">
              <v:fill type="solid"/>
            </v:rect>
            <v:rect style="position:absolute;left:113;top:2048;width:1846;height:255" filled="true" fillcolor="#76923b" stroked="false">
              <v:fill type="solid"/>
            </v:rect>
            <v:rect style="position:absolute;left:7917;top:276;width:1265;height:2026" filled="true" fillcolor="#76923b" stroked="false">
              <v:fill type="solid"/>
            </v:rect>
            <v:rect style="position:absolute;left:8020;top:276;width:1058;height:230" filled="true" fillcolor="#76923b" stroked="false">
              <v:fill type="solid"/>
            </v:rect>
            <v:rect style="position:absolute;left:8020;top:507;width:1058;height:230" filled="true" fillcolor="#76923b" stroked="false">
              <v:fill type="solid"/>
            </v:rect>
            <v:rect style="position:absolute;left:8020;top:737;width:1058;height:230" filled="true" fillcolor="#76923b" stroked="false">
              <v:fill type="solid"/>
            </v:rect>
            <v:rect style="position:absolute;left:9191;top:276;width:1409;height:2026" filled="true" fillcolor="#76923b" stroked="false">
              <v:fill type="solid"/>
            </v:rect>
            <v:rect style="position:absolute;left:9294;top:276;width:1202;height:230" filled="true" fillcolor="#76923b" stroked="false">
              <v:fill type="solid"/>
            </v:rect>
            <v:rect style="position:absolute;left:9294;top:507;width:1202;height:230" filled="true" fillcolor="#76923b" stroked="false">
              <v:fill type="solid"/>
            </v:rect>
            <v:rect style="position:absolute;left:9294;top:737;width:1202;height:254" filled="true" fillcolor="#76923b" stroked="false">
              <v:fill type="solid"/>
            </v:rect>
            <v:rect style="position:absolute;left:10610;top:276;width:1265;height:2026" filled="true" fillcolor="#76923b" stroked="false">
              <v:fill type="solid"/>
            </v:rect>
            <v:rect style="position:absolute;left:10713;top:276;width:1059;height:230" filled="true" fillcolor="#76923b" stroked="false">
              <v:fill type="solid"/>
            </v:rect>
            <v:rect style="position:absolute;left:10713;top:507;width:1059;height:230" filled="true" fillcolor="#76923b" stroked="false">
              <v:fill type="solid"/>
            </v:rect>
            <v:rect style="position:absolute;left:10713;top:737;width:1059;height:230" filled="true" fillcolor="#76923b" stroked="false">
              <v:fill type="solid"/>
            </v:rect>
            <v:rect style="position:absolute;left:11885;top:276;width:1337;height:2026" filled="true" fillcolor="#76923b" stroked="false">
              <v:fill type="solid"/>
            </v:rect>
            <v:rect style="position:absolute;left:11988;top:276;width:1130;height:230" filled="true" fillcolor="#76923b" stroked="false">
              <v:fill type="solid"/>
            </v:rect>
            <v:rect style="position:absolute;left:11988;top:507;width:1130;height:230" filled="true" fillcolor="#76923b" stroked="false">
              <v:fill type="solid"/>
            </v:rect>
            <v:rect style="position:absolute;left:11988;top:737;width:1130;height:254" filled="true" fillcolor="#76923b" stroked="false">
              <v:fill type="solid"/>
            </v:rect>
            <v:line style="position:absolute" from="10,271" to="2062,271" stroked="true" strokeweight=".48pt" strokecolor="#000000"/>
            <v:line style="position:absolute" from="2072,271" to="3375,271" stroked="true" strokeweight=".48pt" strokecolor="#000000"/>
            <v:line style="position:absolute" from="3385,271" to="5063,271" stroked="true" strokeweight=".48pt" strokecolor="#000000"/>
            <v:line style="position:absolute" from="5072,271" to="6649,271" stroked="true" strokeweight=".48pt" strokecolor="#000000"/>
            <v:line style="position:absolute" from="6659,271" to="7907,271" stroked="true" strokeweight=".48pt" strokecolor="#000000"/>
            <v:line style="position:absolute" from="7917,271" to="9182,271" stroked="true" strokeweight=".48pt" strokecolor="#000000"/>
            <v:line style="position:absolute" from="9191,271" to="10600,271" stroked="true" strokeweight=".48pt" strokecolor="#000000"/>
            <v:line style="position:absolute" from="10610,271" to="11877,271" stroked="true" strokeweight=".48pt" strokecolor="#000000"/>
            <v:line style="position:absolute" from="11887,271" to="13221,271" stroked="true" strokeweight=".48pt" strokecolor="#000000"/>
            <v:line style="position:absolute" from="10,2307" to="2062,2307" stroked="true" strokeweight=".48pt" strokecolor="#000000"/>
            <v:line style="position:absolute" from="2072,2307" to="3375,2307" stroked="true" strokeweight=".48pt" strokecolor="#000000"/>
            <v:line style="position:absolute" from="3385,2307" to="5063,2307" stroked="true" strokeweight=".48pt" strokecolor="#000000"/>
            <v:line style="position:absolute" from="5072,2307" to="6649,2307" stroked="true" strokeweight=".48pt" strokecolor="#000000"/>
            <v:line style="position:absolute" from="6659,2307" to="7907,2307" stroked="true" strokeweight=".48pt" strokecolor="#000000"/>
            <v:line style="position:absolute" from="7917,2307" to="9182,2307" stroked="true" strokeweight=".48pt" strokecolor="#000000"/>
            <v:line style="position:absolute" from="9191,2307" to="10600,2307" stroked="true" strokeweight=".48pt" strokecolor="#000000"/>
            <v:line style="position:absolute" from="10610,2307" to="11877,2307" stroked="true" strokeweight=".48pt" strokecolor="#000000"/>
            <v:line style="position:absolute" from="11887,2307" to="13221,2307" stroked="true" strokeweight=".48pt" strokecolor="#000000"/>
            <v:line style="position:absolute" from="5,5" to="5,2574" stroked="true" strokeweight=".48pt" strokecolor="#000000"/>
            <v:line style="position:absolute" from="10,2569" to="2062,2569" stroked="true" strokeweight=".48pt" strokecolor="#000000"/>
            <v:line style="position:absolute" from="2067,5" to="2067,2574" stroked="true" strokeweight=".48pt" strokecolor="#000000"/>
            <v:line style="position:absolute" from="2072,2569" to="3375,2569" stroked="true" strokeweight=".48pt" strokecolor="#000000"/>
            <v:line style="position:absolute" from="3380,5" to="3380,2574" stroked="true" strokeweight=".48pt" strokecolor="#000000"/>
            <v:line style="position:absolute" from="3385,2569" to="5063,2569" stroked="true" strokeweight=".48pt" strokecolor="#000000"/>
            <v:line style="position:absolute" from="5068,5" to="5068,2574" stroked="true" strokeweight=".48001pt" strokecolor="#000000"/>
            <v:line style="position:absolute" from="5072,2569" to="6649,2569" stroked="true" strokeweight=".48pt" strokecolor="#000000"/>
            <v:line style="position:absolute" from="6654,5" to="6654,2574" stroked="true" strokeweight=".48001pt" strokecolor="#000000"/>
            <v:line style="position:absolute" from="6659,2569" to="7907,2569" stroked="true" strokeweight=".48pt" strokecolor="#000000"/>
            <v:line style="position:absolute" from="7912,5" to="7912,2574" stroked="true" strokeweight=".47998pt" strokecolor="#000000"/>
            <v:line style="position:absolute" from="7917,2569" to="9182,2569" stroked="true" strokeweight=".48pt" strokecolor="#000000"/>
            <v:line style="position:absolute" from="9186,5" to="9186,2574" stroked="true" strokeweight=".48004pt" strokecolor="#000000"/>
            <v:line style="position:absolute" from="9191,2569" to="10600,2569" stroked="true" strokeweight=".48pt" strokecolor="#000000"/>
            <v:line style="position:absolute" from="10605,5" to="10605,2574" stroked="true" strokeweight=".47998pt" strokecolor="#000000"/>
            <v:line style="position:absolute" from="10610,2569" to="11877,2569" stroked="true" strokeweight=".48pt" strokecolor="#000000"/>
            <v:line style="position:absolute" from="11882,5" to="11882,2574" stroked="true" strokeweight=".48004pt" strokecolor="#000000"/>
            <v:line style="position:absolute" from="11887,2569" to="13221,2569" stroked="true" strokeweight=".48pt" strokecolor="#000000"/>
            <v:line style="position:absolute" from="13226,5" to="13226,2574" stroked="true" strokeweight=".47998pt" strokecolor="#000000"/>
            <v:shape style="position:absolute;left:5;top:10;width:2062;height:262" type="#_x0000_t202" filled="false" stroked="false">
              <v:textbox inset="0,0,0,0">
                <w:txbxContent>
                  <w:p>
                    <w:pPr>
                      <w:spacing w:before="2"/>
                      <w:ind w:left="179" w:right="0" w:firstLine="0"/>
                      <w:jc w:val="left"/>
                      <w:rPr>
                        <w:b/>
                        <w:i/>
                        <w:sz w:val="22"/>
                      </w:rPr>
                    </w:pPr>
                    <w:r>
                      <w:rPr>
                        <w:b/>
                        <w:i/>
                        <w:sz w:val="22"/>
                      </w:rPr>
                      <w:t>Agua (Conagua)</w:t>
                    </w:r>
                  </w:p>
                </w:txbxContent>
              </v:textbox>
              <w10:wrap type="none"/>
            </v:shape>
            <v:shape style="position:absolute;left:8493;top:528;width:110;height:200" type="#_x0000_t202" filled="false" stroked="false">
              <v:textbox inset="0,0,0,0">
                <w:txbxContent>
                  <w:p>
                    <w:pPr>
                      <w:spacing w:line="199" w:lineRule="exact" w:before="0"/>
                      <w:ind w:left="0" w:right="0" w:firstLine="0"/>
                      <w:jc w:val="left"/>
                      <w:rPr>
                        <w:b/>
                        <w:sz w:val="20"/>
                      </w:rPr>
                    </w:pPr>
                    <w:r>
                      <w:rPr>
                        <w:b/>
                        <w:w w:val="99"/>
                        <w:sz w:val="20"/>
                      </w:rPr>
                      <w:t>√</w:t>
                    </w:r>
                  </w:p>
                </w:txbxContent>
              </v:textbox>
              <w10:wrap type="none"/>
            </v:shape>
            <v:shape style="position:absolute;left:9839;top:528;width:110;height:200" type="#_x0000_t202" filled="false" stroked="false">
              <v:textbox inset="0,0,0,0">
                <w:txbxContent>
                  <w:p>
                    <w:pPr>
                      <w:spacing w:line="199" w:lineRule="exact" w:before="0"/>
                      <w:ind w:left="0" w:right="0" w:firstLine="0"/>
                      <w:jc w:val="left"/>
                      <w:rPr>
                        <w:b/>
                        <w:sz w:val="20"/>
                      </w:rPr>
                    </w:pPr>
                    <w:r>
                      <w:rPr>
                        <w:b/>
                        <w:w w:val="99"/>
                        <w:sz w:val="20"/>
                      </w:rPr>
                      <w:t>√</w:t>
                    </w:r>
                  </w:p>
                </w:txbxContent>
              </v:textbox>
              <w10:wrap type="none"/>
            </v:shape>
            <v:shape style="position:absolute;left:11189;top:528;width:110;height:200" type="#_x0000_t202" filled="false" stroked="false">
              <v:textbox inset="0,0,0,0">
                <w:txbxContent>
                  <w:p>
                    <w:pPr>
                      <w:spacing w:line="199" w:lineRule="exact" w:before="0"/>
                      <w:ind w:left="0" w:right="0" w:firstLine="0"/>
                      <w:jc w:val="left"/>
                      <w:rPr>
                        <w:b/>
                        <w:sz w:val="20"/>
                      </w:rPr>
                    </w:pPr>
                    <w:r>
                      <w:rPr>
                        <w:b/>
                        <w:w w:val="99"/>
                        <w:sz w:val="20"/>
                      </w:rPr>
                      <w:t>√</w:t>
                    </w:r>
                  </w:p>
                </w:txbxContent>
              </v:textbox>
              <w10:wrap type="none"/>
            </v:shape>
            <v:shape style="position:absolute;left:12497;top:528;width:110;height:200" type="#_x0000_t202" filled="false" stroked="false">
              <v:textbox inset="0,0,0,0">
                <w:txbxContent>
                  <w:p>
                    <w:pPr>
                      <w:spacing w:line="199" w:lineRule="exact" w:before="0"/>
                      <w:ind w:left="0" w:right="0" w:firstLine="0"/>
                      <w:jc w:val="left"/>
                      <w:rPr>
                        <w:b/>
                        <w:sz w:val="20"/>
                      </w:rPr>
                    </w:pPr>
                    <w:r>
                      <w:rPr>
                        <w:b/>
                        <w:w w:val="99"/>
                        <w:sz w:val="20"/>
                      </w:rPr>
                      <w:t>√</w:t>
                    </w:r>
                  </w:p>
                </w:txbxContent>
              </v:textbox>
              <w10:wrap type="none"/>
            </v:shape>
            <v:shape style="position:absolute;left:84;top:276;width:1904;height:1772" type="#_x0000_t202" filled="true" fillcolor="#9bba58" stroked="false">
              <v:textbox inset="0,0,0,0">
                <w:txbxContent>
                  <w:p>
                    <w:pPr>
                      <w:spacing w:line="240" w:lineRule="auto" w:before="0"/>
                      <w:ind w:left="28" w:right="83" w:firstLine="0"/>
                      <w:jc w:val="left"/>
                      <w:rPr>
                        <w:b/>
                        <w:sz w:val="22"/>
                      </w:rPr>
                    </w:pPr>
                    <w:r>
                      <w:rPr>
                        <w:b/>
                        <w:sz w:val="22"/>
                      </w:rPr>
                      <w:t>Secretaría de Agricultura, Ganadería, Desarrollo Rural, Pesca y Alimentación (Sagarpa)</w:t>
                    </w:r>
                  </w:p>
                </w:txbxContent>
              </v:textbox>
              <v:fill type="solid"/>
              <w10:wrap type="none"/>
            </v:shape>
          </v:group>
        </w:pict>
      </w:r>
      <w:r>
        <w:rPr>
          <w:rFonts w:ascii="Times New Roman"/>
          <w:sz w:val="20"/>
        </w:rPr>
      </w:r>
    </w:p>
    <w:p>
      <w:pPr>
        <w:pStyle w:val="BodyText"/>
        <w:rPr>
          <w:rFonts w:ascii="Times New Roman"/>
          <w:sz w:val="20"/>
        </w:rPr>
      </w:pPr>
    </w:p>
    <w:p>
      <w:pPr>
        <w:pStyle w:val="BodyText"/>
        <w:rPr>
          <w:rFonts w:ascii="Times New Roman"/>
          <w:sz w:val="2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2"/>
        <w:gridCol w:w="1448"/>
        <w:gridCol w:w="1552"/>
        <w:gridCol w:w="1586"/>
        <w:gridCol w:w="1258"/>
        <w:gridCol w:w="1274"/>
        <w:gridCol w:w="1418"/>
        <w:gridCol w:w="1276"/>
        <w:gridCol w:w="1345"/>
      </w:tblGrid>
      <w:tr>
        <w:trPr>
          <w:trHeight w:val="1274" w:hRule="exact"/>
        </w:trPr>
        <w:tc>
          <w:tcPr>
            <w:tcW w:w="2062" w:type="dxa"/>
          </w:tcPr>
          <w:p>
            <w:pPr>
              <w:pStyle w:val="TableParagraph"/>
              <w:ind w:left="115" w:right="110" w:hanging="2"/>
              <w:jc w:val="center"/>
              <w:rPr>
                <w:b/>
                <w:sz w:val="22"/>
              </w:rPr>
            </w:pPr>
            <w:r>
              <w:rPr>
                <w:b/>
                <w:sz w:val="22"/>
              </w:rPr>
              <w:t>Actores (Secretarías y dependencias gubernamentales</w:t>
            </w:r>
          </w:p>
          <w:p>
            <w:pPr>
              <w:pStyle w:val="TableParagraph"/>
              <w:spacing w:before="1"/>
              <w:ind w:left="0"/>
              <w:jc w:val="center"/>
              <w:rPr>
                <w:b/>
                <w:sz w:val="22"/>
              </w:rPr>
            </w:pPr>
            <w:r>
              <w:rPr>
                <w:b/>
                <w:w w:val="100"/>
                <w:sz w:val="22"/>
              </w:rPr>
              <w:t>)</w:t>
            </w:r>
          </w:p>
        </w:tc>
        <w:tc>
          <w:tcPr>
            <w:tcW w:w="11159" w:type="dxa"/>
            <w:gridSpan w:val="8"/>
          </w:tcPr>
          <w:p>
            <w:pPr>
              <w:pStyle w:val="TableParagraph"/>
              <w:spacing w:line="248" w:lineRule="exact"/>
              <w:ind w:left="4552" w:right="4551"/>
              <w:jc w:val="center"/>
              <w:rPr>
                <w:b/>
                <w:sz w:val="22"/>
              </w:rPr>
            </w:pPr>
            <w:r>
              <w:rPr>
                <w:b/>
                <w:sz w:val="22"/>
              </w:rPr>
              <w:t>Responsabilidades</w:t>
            </w:r>
          </w:p>
        </w:tc>
      </w:tr>
      <w:tr>
        <w:trPr>
          <w:trHeight w:val="268" w:hRule="exact"/>
        </w:trPr>
        <w:tc>
          <w:tcPr>
            <w:tcW w:w="2062" w:type="dxa"/>
            <w:vMerge w:val="restart"/>
          </w:tcPr>
          <w:p>
            <w:pPr/>
          </w:p>
        </w:tc>
        <w:tc>
          <w:tcPr>
            <w:tcW w:w="1448" w:type="dxa"/>
            <w:tcBorders>
              <w:bottom w:val="nil"/>
            </w:tcBorders>
            <w:shd w:val="clear" w:color="auto" w:fill="C0504D"/>
          </w:tcPr>
          <w:p>
            <w:pPr>
              <w:pStyle w:val="TableParagraph"/>
              <w:spacing w:line="251" w:lineRule="exact"/>
              <w:ind w:left="86" w:right="86"/>
              <w:jc w:val="center"/>
              <w:rPr>
                <w:sz w:val="22"/>
              </w:rPr>
            </w:pPr>
            <w:r>
              <w:rPr>
                <w:sz w:val="22"/>
              </w:rPr>
              <w:t>Desarrollar</w:t>
            </w:r>
          </w:p>
        </w:tc>
        <w:tc>
          <w:tcPr>
            <w:tcW w:w="1552" w:type="dxa"/>
            <w:tcBorders>
              <w:bottom w:val="nil"/>
            </w:tcBorders>
            <w:shd w:val="clear" w:color="auto" w:fill="8063A1"/>
          </w:tcPr>
          <w:p>
            <w:pPr>
              <w:pStyle w:val="TableParagraph"/>
              <w:spacing w:line="251" w:lineRule="exact"/>
              <w:ind w:left="101"/>
              <w:rPr>
                <w:sz w:val="22"/>
              </w:rPr>
            </w:pPr>
            <w:r>
              <w:rPr>
                <w:sz w:val="22"/>
              </w:rPr>
              <w:t>Proporcionar</w:t>
            </w:r>
          </w:p>
        </w:tc>
        <w:tc>
          <w:tcPr>
            <w:tcW w:w="1586" w:type="dxa"/>
            <w:tcBorders>
              <w:bottom w:val="nil"/>
            </w:tcBorders>
            <w:shd w:val="clear" w:color="auto" w:fill="8063A1"/>
          </w:tcPr>
          <w:p>
            <w:pPr>
              <w:pStyle w:val="TableParagraph"/>
              <w:spacing w:line="251" w:lineRule="exact"/>
              <w:ind w:left="148" w:right="149"/>
              <w:jc w:val="center"/>
              <w:rPr>
                <w:sz w:val="22"/>
              </w:rPr>
            </w:pPr>
            <w:r>
              <w:rPr>
                <w:sz w:val="22"/>
              </w:rPr>
              <w:t>Elaborar</w:t>
            </w:r>
          </w:p>
        </w:tc>
        <w:tc>
          <w:tcPr>
            <w:tcW w:w="1258" w:type="dxa"/>
            <w:tcBorders>
              <w:bottom w:val="nil"/>
            </w:tcBorders>
            <w:shd w:val="clear" w:color="auto" w:fill="D99493"/>
          </w:tcPr>
          <w:p>
            <w:pPr>
              <w:pStyle w:val="TableParagraph"/>
              <w:spacing w:line="251" w:lineRule="exact"/>
              <w:ind w:left="84" w:right="84"/>
              <w:jc w:val="center"/>
              <w:rPr>
                <w:sz w:val="22"/>
              </w:rPr>
            </w:pPr>
            <w:r>
              <w:rPr>
                <w:sz w:val="22"/>
              </w:rPr>
              <w:t>Se</w:t>
            </w:r>
          </w:p>
        </w:tc>
        <w:tc>
          <w:tcPr>
            <w:tcW w:w="1274" w:type="dxa"/>
            <w:tcBorders>
              <w:bottom w:val="nil"/>
            </w:tcBorders>
            <w:shd w:val="clear" w:color="auto" w:fill="92D050"/>
          </w:tcPr>
          <w:p>
            <w:pPr>
              <w:pStyle w:val="TableParagraph"/>
              <w:spacing w:line="251" w:lineRule="exact"/>
              <w:ind w:right="98"/>
              <w:rPr>
                <w:sz w:val="22"/>
              </w:rPr>
            </w:pPr>
            <w:r>
              <w:rPr>
                <w:sz w:val="22"/>
              </w:rPr>
              <w:t>Asesorar</w:t>
            </w:r>
          </w:p>
        </w:tc>
        <w:tc>
          <w:tcPr>
            <w:tcW w:w="1418" w:type="dxa"/>
            <w:tcBorders>
              <w:bottom w:val="nil"/>
            </w:tcBorders>
            <w:shd w:val="clear" w:color="auto" w:fill="92D050"/>
          </w:tcPr>
          <w:p>
            <w:pPr>
              <w:pStyle w:val="TableParagraph"/>
              <w:spacing w:line="251" w:lineRule="exact"/>
              <w:ind w:right="101"/>
              <w:rPr>
                <w:sz w:val="22"/>
              </w:rPr>
            </w:pPr>
            <w:r>
              <w:rPr>
                <w:sz w:val="22"/>
              </w:rPr>
              <w:t>Interponer</w:t>
            </w:r>
          </w:p>
        </w:tc>
        <w:tc>
          <w:tcPr>
            <w:tcW w:w="1276" w:type="dxa"/>
            <w:tcBorders>
              <w:bottom w:val="nil"/>
            </w:tcBorders>
            <w:shd w:val="clear" w:color="auto" w:fill="92D050"/>
          </w:tcPr>
          <w:p>
            <w:pPr>
              <w:pStyle w:val="TableParagraph"/>
              <w:spacing w:line="251" w:lineRule="exact"/>
              <w:rPr>
                <w:sz w:val="22"/>
              </w:rPr>
            </w:pPr>
            <w:r>
              <w:rPr>
                <w:sz w:val="22"/>
              </w:rPr>
              <w:t>Promover</w:t>
            </w:r>
          </w:p>
        </w:tc>
        <w:tc>
          <w:tcPr>
            <w:tcW w:w="1345" w:type="dxa"/>
            <w:tcBorders>
              <w:bottom w:val="nil"/>
            </w:tcBorders>
            <w:shd w:val="clear" w:color="auto" w:fill="938953"/>
          </w:tcPr>
          <w:p>
            <w:pPr>
              <w:pStyle w:val="TableParagraph"/>
              <w:tabs>
                <w:tab w:pos="951" w:val="left" w:leader="none"/>
              </w:tabs>
              <w:spacing w:line="251" w:lineRule="exact"/>
              <w:ind w:left="102"/>
              <w:rPr>
                <w:sz w:val="22"/>
              </w:rPr>
            </w:pPr>
            <w:r>
              <w:rPr>
                <w:sz w:val="22"/>
              </w:rPr>
              <w:t>En</w:t>
              <w:tab/>
              <w:t>los</w:t>
            </w:r>
          </w:p>
        </w:tc>
      </w:tr>
      <w:tr>
        <w:trPr>
          <w:trHeight w:val="253" w:hRule="exact"/>
        </w:trPr>
        <w:tc>
          <w:tcPr>
            <w:tcW w:w="2062" w:type="dxa"/>
            <w:vMerge/>
          </w:tcPr>
          <w:p>
            <w:pPr/>
          </w:p>
        </w:tc>
        <w:tc>
          <w:tcPr>
            <w:tcW w:w="1448" w:type="dxa"/>
            <w:tcBorders>
              <w:top w:val="nil"/>
              <w:bottom w:val="nil"/>
            </w:tcBorders>
            <w:shd w:val="clear" w:color="auto" w:fill="C0504D"/>
          </w:tcPr>
          <w:p>
            <w:pPr>
              <w:pStyle w:val="TableParagraph"/>
              <w:spacing w:line="243" w:lineRule="exact"/>
              <w:ind w:left="85" w:right="86"/>
              <w:jc w:val="center"/>
              <w:rPr>
                <w:sz w:val="22"/>
              </w:rPr>
            </w:pPr>
            <w:r>
              <w:rPr>
                <w:sz w:val="22"/>
              </w:rPr>
              <w:t>programas</w:t>
            </w:r>
          </w:p>
        </w:tc>
        <w:tc>
          <w:tcPr>
            <w:tcW w:w="1552" w:type="dxa"/>
            <w:tcBorders>
              <w:top w:val="nil"/>
              <w:bottom w:val="nil"/>
            </w:tcBorders>
            <w:shd w:val="clear" w:color="auto" w:fill="8063A1"/>
          </w:tcPr>
          <w:p>
            <w:pPr>
              <w:pStyle w:val="TableParagraph"/>
              <w:spacing w:line="243" w:lineRule="exact"/>
              <w:ind w:left="101"/>
              <w:rPr>
                <w:sz w:val="22"/>
              </w:rPr>
            </w:pPr>
            <w:r>
              <w:rPr>
                <w:sz w:val="22"/>
              </w:rPr>
              <w:t>certeza</w:t>
            </w:r>
          </w:p>
        </w:tc>
        <w:tc>
          <w:tcPr>
            <w:tcW w:w="1586" w:type="dxa"/>
            <w:tcBorders>
              <w:top w:val="nil"/>
              <w:bottom w:val="nil"/>
            </w:tcBorders>
            <w:shd w:val="clear" w:color="auto" w:fill="8063A1"/>
          </w:tcPr>
          <w:p>
            <w:pPr>
              <w:pStyle w:val="TableParagraph"/>
              <w:spacing w:line="243" w:lineRule="exact"/>
              <w:ind w:left="149" w:right="149"/>
              <w:jc w:val="center"/>
              <w:rPr>
                <w:sz w:val="22"/>
              </w:rPr>
            </w:pPr>
            <w:r>
              <w:rPr>
                <w:sz w:val="22"/>
              </w:rPr>
              <w:t>políticas</w:t>
            </w:r>
          </w:p>
        </w:tc>
        <w:tc>
          <w:tcPr>
            <w:tcW w:w="1258" w:type="dxa"/>
            <w:tcBorders>
              <w:top w:val="nil"/>
              <w:bottom w:val="nil"/>
            </w:tcBorders>
            <w:shd w:val="clear" w:color="auto" w:fill="D99493"/>
          </w:tcPr>
          <w:p>
            <w:pPr>
              <w:pStyle w:val="TableParagraph"/>
              <w:spacing w:line="243" w:lineRule="exact"/>
              <w:ind w:left="84" w:right="84"/>
              <w:jc w:val="center"/>
              <w:rPr>
                <w:sz w:val="22"/>
              </w:rPr>
            </w:pPr>
            <w:r>
              <w:rPr>
                <w:sz w:val="22"/>
              </w:rPr>
              <w:t>encarga</w:t>
            </w:r>
          </w:p>
        </w:tc>
        <w:tc>
          <w:tcPr>
            <w:tcW w:w="1274" w:type="dxa"/>
            <w:tcBorders>
              <w:top w:val="nil"/>
              <w:bottom w:val="nil"/>
            </w:tcBorders>
            <w:shd w:val="clear" w:color="auto" w:fill="92D050"/>
          </w:tcPr>
          <w:p>
            <w:pPr>
              <w:pStyle w:val="TableParagraph"/>
              <w:tabs>
                <w:tab w:pos="882" w:val="left" w:leader="none"/>
              </w:tabs>
              <w:spacing w:line="243" w:lineRule="exact"/>
              <w:rPr>
                <w:sz w:val="22"/>
              </w:rPr>
            </w:pPr>
            <w:r>
              <w:rPr>
                <w:sz w:val="22"/>
              </w:rPr>
              <w:t>a</w:t>
              <w:tab/>
              <w:t>los</w:t>
            </w:r>
          </w:p>
        </w:tc>
        <w:tc>
          <w:tcPr>
            <w:tcW w:w="1418" w:type="dxa"/>
            <w:tcBorders>
              <w:top w:val="nil"/>
              <w:bottom w:val="nil"/>
            </w:tcBorders>
            <w:shd w:val="clear" w:color="auto" w:fill="92D050"/>
          </w:tcPr>
          <w:p>
            <w:pPr>
              <w:pStyle w:val="TableParagraph"/>
              <w:spacing w:line="243" w:lineRule="exact"/>
              <w:rPr>
                <w:sz w:val="22"/>
              </w:rPr>
            </w:pPr>
            <w:r>
              <w:rPr>
                <w:sz w:val="22"/>
              </w:rPr>
              <w:t>demandas y</w:t>
            </w:r>
          </w:p>
        </w:tc>
        <w:tc>
          <w:tcPr>
            <w:tcW w:w="1276" w:type="dxa"/>
            <w:tcBorders>
              <w:top w:val="nil"/>
              <w:bottom w:val="nil"/>
            </w:tcBorders>
            <w:shd w:val="clear" w:color="auto" w:fill="92D050"/>
          </w:tcPr>
          <w:p>
            <w:pPr>
              <w:pStyle w:val="TableParagraph"/>
              <w:spacing w:line="243" w:lineRule="exact"/>
              <w:rPr>
                <w:sz w:val="22"/>
              </w:rPr>
            </w:pPr>
            <w:r>
              <w:rPr>
                <w:sz w:val="22"/>
              </w:rPr>
              <w:t>a </w:t>
            </w:r>
            <w:r>
              <w:rPr>
                <w:spacing w:val="55"/>
                <w:sz w:val="22"/>
              </w:rPr>
              <w:t> </w:t>
            </w:r>
            <w:r>
              <w:rPr>
                <w:sz w:val="22"/>
              </w:rPr>
              <w:t>petición</w:t>
            </w:r>
          </w:p>
        </w:tc>
        <w:tc>
          <w:tcPr>
            <w:tcW w:w="1345" w:type="dxa"/>
            <w:tcBorders>
              <w:top w:val="nil"/>
              <w:bottom w:val="nil"/>
            </w:tcBorders>
            <w:shd w:val="clear" w:color="auto" w:fill="938953"/>
          </w:tcPr>
          <w:p>
            <w:pPr>
              <w:pStyle w:val="TableParagraph"/>
              <w:spacing w:line="243" w:lineRule="exact"/>
              <w:ind w:left="102"/>
              <w:rPr>
                <w:sz w:val="22"/>
              </w:rPr>
            </w:pPr>
            <w:r>
              <w:rPr>
                <w:sz w:val="22"/>
              </w:rPr>
              <w:t>términos</w:t>
            </w:r>
          </w:p>
        </w:tc>
      </w:tr>
      <w:tr>
        <w:trPr>
          <w:trHeight w:val="253" w:hRule="exact"/>
        </w:trPr>
        <w:tc>
          <w:tcPr>
            <w:tcW w:w="2062" w:type="dxa"/>
            <w:vMerge/>
          </w:tcPr>
          <w:p>
            <w:pPr/>
          </w:p>
        </w:tc>
        <w:tc>
          <w:tcPr>
            <w:tcW w:w="1448" w:type="dxa"/>
            <w:tcBorders>
              <w:top w:val="nil"/>
              <w:bottom w:val="nil"/>
            </w:tcBorders>
            <w:shd w:val="clear" w:color="auto" w:fill="C0504D"/>
          </w:tcPr>
          <w:p>
            <w:pPr>
              <w:pStyle w:val="TableParagraph"/>
              <w:spacing w:line="241" w:lineRule="exact"/>
              <w:ind w:left="86" w:right="86"/>
              <w:jc w:val="center"/>
              <w:rPr>
                <w:sz w:val="22"/>
              </w:rPr>
            </w:pPr>
            <w:r>
              <w:rPr>
                <w:sz w:val="22"/>
              </w:rPr>
              <w:t>para apoyar</w:t>
            </w:r>
          </w:p>
        </w:tc>
        <w:tc>
          <w:tcPr>
            <w:tcW w:w="1552" w:type="dxa"/>
            <w:tcBorders>
              <w:top w:val="nil"/>
              <w:bottom w:val="nil"/>
            </w:tcBorders>
            <w:shd w:val="clear" w:color="auto" w:fill="8063A1"/>
          </w:tcPr>
          <w:p>
            <w:pPr>
              <w:pStyle w:val="TableParagraph"/>
              <w:spacing w:line="241" w:lineRule="exact"/>
              <w:ind w:left="101"/>
              <w:rPr>
                <w:sz w:val="22"/>
              </w:rPr>
            </w:pPr>
            <w:r>
              <w:rPr>
                <w:sz w:val="22"/>
              </w:rPr>
              <w:t>jurídica  en la</w:t>
            </w:r>
          </w:p>
        </w:tc>
        <w:tc>
          <w:tcPr>
            <w:tcW w:w="1586" w:type="dxa"/>
            <w:tcBorders>
              <w:top w:val="nil"/>
              <w:bottom w:val="nil"/>
            </w:tcBorders>
            <w:shd w:val="clear" w:color="auto" w:fill="8063A1"/>
          </w:tcPr>
          <w:p>
            <w:pPr>
              <w:pStyle w:val="TableParagraph"/>
              <w:spacing w:line="241" w:lineRule="exact"/>
              <w:ind w:left="151" w:right="149"/>
              <w:jc w:val="center"/>
              <w:rPr>
                <w:sz w:val="22"/>
              </w:rPr>
            </w:pPr>
            <w:r>
              <w:rPr>
                <w:sz w:val="22"/>
              </w:rPr>
              <w:t>públicas que</w:t>
            </w:r>
          </w:p>
        </w:tc>
        <w:tc>
          <w:tcPr>
            <w:tcW w:w="1258" w:type="dxa"/>
            <w:tcBorders>
              <w:top w:val="nil"/>
              <w:bottom w:val="nil"/>
            </w:tcBorders>
            <w:shd w:val="clear" w:color="auto" w:fill="D99493"/>
          </w:tcPr>
          <w:p>
            <w:pPr>
              <w:pStyle w:val="TableParagraph"/>
              <w:spacing w:line="241" w:lineRule="exact"/>
              <w:ind w:left="84" w:right="84"/>
              <w:jc w:val="center"/>
              <w:rPr>
                <w:sz w:val="22"/>
              </w:rPr>
            </w:pPr>
            <w:r>
              <w:rPr>
                <w:sz w:val="22"/>
              </w:rPr>
              <w:t>del control</w:t>
            </w:r>
          </w:p>
        </w:tc>
        <w:tc>
          <w:tcPr>
            <w:tcW w:w="1274" w:type="dxa"/>
            <w:tcBorders>
              <w:top w:val="nil"/>
              <w:bottom w:val="nil"/>
            </w:tcBorders>
            <w:shd w:val="clear" w:color="auto" w:fill="92D050"/>
          </w:tcPr>
          <w:p>
            <w:pPr>
              <w:pStyle w:val="TableParagraph"/>
              <w:spacing w:line="241" w:lineRule="exact"/>
              <w:ind w:right="98"/>
              <w:rPr>
                <w:sz w:val="22"/>
              </w:rPr>
            </w:pPr>
            <w:r>
              <w:rPr>
                <w:sz w:val="22"/>
              </w:rPr>
              <w:t>sujetos</w:t>
            </w:r>
          </w:p>
        </w:tc>
        <w:tc>
          <w:tcPr>
            <w:tcW w:w="1418" w:type="dxa"/>
            <w:tcBorders>
              <w:top w:val="nil"/>
              <w:bottom w:val="nil"/>
            </w:tcBorders>
            <w:shd w:val="clear" w:color="auto" w:fill="92D050"/>
          </w:tcPr>
          <w:p>
            <w:pPr>
              <w:pStyle w:val="TableParagraph"/>
              <w:spacing w:line="241" w:lineRule="exact"/>
              <w:rPr>
                <w:sz w:val="22"/>
              </w:rPr>
            </w:pPr>
            <w:r>
              <w:rPr>
                <w:sz w:val="22"/>
              </w:rPr>
              <w:t>formular</w:t>
            </w:r>
            <w:r>
              <w:rPr>
                <w:spacing w:val="51"/>
                <w:sz w:val="22"/>
              </w:rPr>
              <w:t> </w:t>
            </w:r>
            <w:r>
              <w:rPr>
                <w:sz w:val="22"/>
              </w:rPr>
              <w:t>las</w:t>
            </w:r>
          </w:p>
        </w:tc>
        <w:tc>
          <w:tcPr>
            <w:tcW w:w="1276" w:type="dxa"/>
            <w:tcBorders>
              <w:top w:val="nil"/>
              <w:bottom w:val="nil"/>
            </w:tcBorders>
            <w:shd w:val="clear" w:color="auto" w:fill="92D050"/>
          </w:tcPr>
          <w:p>
            <w:pPr>
              <w:pStyle w:val="TableParagraph"/>
              <w:tabs>
                <w:tab w:pos="882" w:val="left" w:leader="none"/>
              </w:tabs>
              <w:spacing w:line="241" w:lineRule="exact"/>
              <w:rPr>
                <w:sz w:val="22"/>
              </w:rPr>
            </w:pPr>
            <w:r>
              <w:rPr>
                <w:sz w:val="22"/>
              </w:rPr>
              <w:t>de</w:t>
              <w:tab/>
              <w:t>los</w:t>
            </w:r>
          </w:p>
        </w:tc>
        <w:tc>
          <w:tcPr>
            <w:tcW w:w="1345" w:type="dxa"/>
            <w:tcBorders>
              <w:top w:val="nil"/>
              <w:bottom w:val="nil"/>
            </w:tcBorders>
            <w:shd w:val="clear" w:color="auto" w:fill="938953"/>
          </w:tcPr>
          <w:p>
            <w:pPr>
              <w:pStyle w:val="TableParagraph"/>
              <w:tabs>
                <w:tab w:pos="1061" w:val="left" w:leader="none"/>
              </w:tabs>
              <w:spacing w:line="241" w:lineRule="exact"/>
              <w:ind w:left="102"/>
              <w:rPr>
                <w:sz w:val="22"/>
              </w:rPr>
            </w:pPr>
            <w:r>
              <w:rPr>
                <w:sz w:val="22"/>
              </w:rPr>
              <w:t>de</w:t>
              <w:tab/>
              <w:t>la</w:t>
            </w:r>
          </w:p>
        </w:tc>
      </w:tr>
      <w:tr>
        <w:trPr>
          <w:trHeight w:val="253" w:hRule="exact"/>
        </w:trPr>
        <w:tc>
          <w:tcPr>
            <w:tcW w:w="2062" w:type="dxa"/>
            <w:vMerge/>
          </w:tcPr>
          <w:p>
            <w:pPr/>
          </w:p>
        </w:tc>
        <w:tc>
          <w:tcPr>
            <w:tcW w:w="1448" w:type="dxa"/>
            <w:tcBorders>
              <w:top w:val="nil"/>
              <w:bottom w:val="nil"/>
            </w:tcBorders>
            <w:shd w:val="clear" w:color="auto" w:fill="C0504D"/>
          </w:tcPr>
          <w:p>
            <w:pPr>
              <w:pStyle w:val="TableParagraph"/>
              <w:spacing w:line="242" w:lineRule="exact"/>
              <w:ind w:left="88" w:right="86"/>
              <w:jc w:val="center"/>
              <w:rPr>
                <w:sz w:val="22"/>
              </w:rPr>
            </w:pPr>
            <w:r>
              <w:rPr>
                <w:sz w:val="22"/>
              </w:rPr>
              <w:t>al productor,</w:t>
            </w:r>
          </w:p>
        </w:tc>
        <w:tc>
          <w:tcPr>
            <w:tcW w:w="1552" w:type="dxa"/>
            <w:tcBorders>
              <w:top w:val="nil"/>
              <w:bottom w:val="nil"/>
            </w:tcBorders>
            <w:shd w:val="clear" w:color="auto" w:fill="8063A1"/>
          </w:tcPr>
          <w:p>
            <w:pPr>
              <w:pStyle w:val="TableParagraph"/>
              <w:tabs>
                <w:tab w:pos="1195" w:val="left" w:leader="none"/>
              </w:tabs>
              <w:spacing w:line="242" w:lineRule="exact"/>
              <w:ind w:left="101"/>
              <w:rPr>
                <w:sz w:val="22"/>
              </w:rPr>
            </w:pPr>
            <w:r>
              <w:rPr>
                <w:sz w:val="22"/>
              </w:rPr>
              <w:t>tenencia</w:t>
              <w:tab/>
              <w:t>de</w:t>
            </w:r>
          </w:p>
        </w:tc>
        <w:tc>
          <w:tcPr>
            <w:tcW w:w="1586" w:type="dxa"/>
            <w:tcBorders>
              <w:top w:val="nil"/>
              <w:bottom w:val="nil"/>
            </w:tcBorders>
            <w:shd w:val="clear" w:color="auto" w:fill="8063A1"/>
          </w:tcPr>
          <w:p>
            <w:pPr>
              <w:pStyle w:val="TableParagraph"/>
              <w:spacing w:line="242" w:lineRule="exact"/>
              <w:ind w:left="148" w:right="149"/>
              <w:jc w:val="center"/>
              <w:rPr>
                <w:sz w:val="22"/>
              </w:rPr>
            </w:pPr>
            <w:r>
              <w:rPr>
                <w:sz w:val="22"/>
              </w:rPr>
              <w:t>fomenten el</w:t>
            </w:r>
          </w:p>
        </w:tc>
        <w:tc>
          <w:tcPr>
            <w:tcW w:w="1258" w:type="dxa"/>
            <w:tcBorders>
              <w:top w:val="nil"/>
              <w:bottom w:val="nil"/>
            </w:tcBorders>
            <w:shd w:val="clear" w:color="auto" w:fill="D99493"/>
          </w:tcPr>
          <w:p>
            <w:pPr>
              <w:pStyle w:val="TableParagraph"/>
              <w:spacing w:line="242" w:lineRule="exact"/>
              <w:ind w:left="84" w:right="84"/>
              <w:jc w:val="center"/>
              <w:rPr>
                <w:sz w:val="22"/>
              </w:rPr>
            </w:pPr>
            <w:r>
              <w:rPr>
                <w:sz w:val="22"/>
              </w:rPr>
              <w:t>de la</w:t>
            </w:r>
          </w:p>
        </w:tc>
        <w:tc>
          <w:tcPr>
            <w:tcW w:w="1274" w:type="dxa"/>
            <w:tcBorders>
              <w:top w:val="nil"/>
              <w:bottom w:val="nil"/>
            </w:tcBorders>
            <w:shd w:val="clear" w:color="auto" w:fill="92D050"/>
          </w:tcPr>
          <w:p>
            <w:pPr>
              <w:pStyle w:val="TableParagraph"/>
              <w:spacing w:line="242" w:lineRule="exact"/>
              <w:ind w:right="98"/>
              <w:rPr>
                <w:sz w:val="22"/>
              </w:rPr>
            </w:pPr>
            <w:r>
              <w:rPr>
                <w:sz w:val="22"/>
              </w:rPr>
              <w:t>agrarios</w:t>
            </w:r>
          </w:p>
        </w:tc>
        <w:tc>
          <w:tcPr>
            <w:tcW w:w="1418" w:type="dxa"/>
            <w:tcBorders>
              <w:top w:val="nil"/>
              <w:bottom w:val="nil"/>
            </w:tcBorders>
            <w:shd w:val="clear" w:color="auto" w:fill="92D050"/>
          </w:tcPr>
          <w:p>
            <w:pPr>
              <w:pStyle w:val="TableParagraph"/>
              <w:spacing w:line="242" w:lineRule="exact"/>
              <w:ind w:right="101"/>
              <w:rPr>
                <w:sz w:val="22"/>
              </w:rPr>
            </w:pPr>
            <w:r>
              <w:rPr>
                <w:sz w:val="22"/>
              </w:rPr>
              <w:t>denuncias</w:t>
            </w:r>
          </w:p>
        </w:tc>
        <w:tc>
          <w:tcPr>
            <w:tcW w:w="1276" w:type="dxa"/>
            <w:tcBorders>
              <w:top w:val="nil"/>
              <w:bottom w:val="nil"/>
            </w:tcBorders>
            <w:shd w:val="clear" w:color="auto" w:fill="92D050"/>
          </w:tcPr>
          <w:p>
            <w:pPr>
              <w:pStyle w:val="TableParagraph"/>
              <w:spacing w:line="242" w:lineRule="exact"/>
              <w:rPr>
                <w:sz w:val="22"/>
              </w:rPr>
            </w:pPr>
            <w:r>
              <w:rPr>
                <w:sz w:val="22"/>
              </w:rPr>
              <w:t>sujetos</w:t>
            </w:r>
          </w:p>
        </w:tc>
        <w:tc>
          <w:tcPr>
            <w:tcW w:w="1345" w:type="dxa"/>
            <w:tcBorders>
              <w:top w:val="nil"/>
              <w:bottom w:val="nil"/>
            </w:tcBorders>
            <w:shd w:val="clear" w:color="auto" w:fill="938953"/>
          </w:tcPr>
          <w:p>
            <w:pPr>
              <w:pStyle w:val="TableParagraph"/>
              <w:spacing w:line="242" w:lineRule="exact"/>
              <w:ind w:left="102"/>
              <w:rPr>
                <w:sz w:val="22"/>
              </w:rPr>
            </w:pPr>
            <w:r>
              <w:rPr>
                <w:sz w:val="22"/>
              </w:rPr>
              <w:t>fracción</w:t>
            </w:r>
          </w:p>
        </w:tc>
      </w:tr>
      <w:tr>
        <w:trPr>
          <w:trHeight w:val="252" w:hRule="exact"/>
        </w:trPr>
        <w:tc>
          <w:tcPr>
            <w:tcW w:w="2062" w:type="dxa"/>
            <w:vMerge/>
          </w:tcPr>
          <w:p>
            <w:pPr/>
          </w:p>
        </w:tc>
        <w:tc>
          <w:tcPr>
            <w:tcW w:w="1448" w:type="dxa"/>
            <w:tcBorders>
              <w:top w:val="nil"/>
              <w:bottom w:val="nil"/>
            </w:tcBorders>
            <w:shd w:val="clear" w:color="auto" w:fill="C0504D"/>
          </w:tcPr>
          <w:p>
            <w:pPr>
              <w:pStyle w:val="TableParagraph"/>
              <w:spacing w:line="241" w:lineRule="exact"/>
              <w:ind w:left="88" w:right="85"/>
              <w:jc w:val="center"/>
              <w:rPr>
                <w:sz w:val="22"/>
              </w:rPr>
            </w:pPr>
            <w:r>
              <w:rPr>
                <w:sz w:val="22"/>
              </w:rPr>
              <w:t>pescador o</w:t>
            </w:r>
          </w:p>
        </w:tc>
        <w:tc>
          <w:tcPr>
            <w:tcW w:w="1552" w:type="dxa"/>
            <w:tcBorders>
              <w:top w:val="nil"/>
              <w:bottom w:val="nil"/>
            </w:tcBorders>
            <w:shd w:val="clear" w:color="auto" w:fill="8063A1"/>
          </w:tcPr>
          <w:p>
            <w:pPr>
              <w:pStyle w:val="TableParagraph"/>
              <w:spacing w:line="241" w:lineRule="exact"/>
              <w:ind w:left="101"/>
              <w:rPr>
                <w:sz w:val="22"/>
              </w:rPr>
            </w:pPr>
            <w:r>
              <w:rPr>
                <w:sz w:val="22"/>
              </w:rPr>
              <w:t>la  tierra  a</w:t>
            </w:r>
            <w:r>
              <w:rPr>
                <w:spacing w:val="59"/>
                <w:sz w:val="22"/>
              </w:rPr>
              <w:t> </w:t>
            </w:r>
            <w:r>
              <w:rPr>
                <w:sz w:val="22"/>
              </w:rPr>
              <w:t>la</w:t>
            </w:r>
          </w:p>
        </w:tc>
        <w:tc>
          <w:tcPr>
            <w:tcW w:w="1586" w:type="dxa"/>
            <w:tcBorders>
              <w:top w:val="nil"/>
              <w:bottom w:val="nil"/>
            </w:tcBorders>
            <w:shd w:val="clear" w:color="auto" w:fill="8063A1"/>
          </w:tcPr>
          <w:p>
            <w:pPr>
              <w:pStyle w:val="TableParagraph"/>
              <w:spacing w:line="241" w:lineRule="exact"/>
              <w:ind w:left="149" w:right="149"/>
              <w:jc w:val="center"/>
              <w:rPr>
                <w:sz w:val="22"/>
              </w:rPr>
            </w:pPr>
            <w:r>
              <w:rPr>
                <w:sz w:val="22"/>
              </w:rPr>
              <w:t>acceso a la</w:t>
            </w:r>
          </w:p>
        </w:tc>
        <w:tc>
          <w:tcPr>
            <w:tcW w:w="1258" w:type="dxa"/>
            <w:tcBorders>
              <w:top w:val="nil"/>
              <w:bottom w:val="nil"/>
            </w:tcBorders>
            <w:shd w:val="clear" w:color="auto" w:fill="D99493"/>
          </w:tcPr>
          <w:p>
            <w:pPr>
              <w:pStyle w:val="TableParagraph"/>
              <w:spacing w:line="241" w:lineRule="exact"/>
              <w:ind w:left="84" w:right="84"/>
              <w:jc w:val="center"/>
              <w:rPr>
                <w:sz w:val="22"/>
              </w:rPr>
            </w:pPr>
            <w:r>
              <w:rPr>
                <w:sz w:val="22"/>
              </w:rPr>
              <w:t>tenencia</w:t>
            </w:r>
          </w:p>
        </w:tc>
        <w:tc>
          <w:tcPr>
            <w:tcW w:w="1274" w:type="dxa"/>
            <w:tcBorders>
              <w:top w:val="nil"/>
              <w:bottom w:val="nil"/>
            </w:tcBorders>
            <w:shd w:val="clear" w:color="auto" w:fill="92D050"/>
          </w:tcPr>
          <w:p>
            <w:pPr>
              <w:pStyle w:val="TableParagraph"/>
              <w:tabs>
                <w:tab w:pos="882" w:val="left" w:leader="none"/>
              </w:tabs>
              <w:spacing w:line="241" w:lineRule="exact"/>
              <w:rPr>
                <w:sz w:val="22"/>
              </w:rPr>
            </w:pPr>
            <w:r>
              <w:rPr>
                <w:sz w:val="22"/>
              </w:rPr>
              <w:t>en</w:t>
              <w:tab/>
              <w:t>los</w:t>
            </w:r>
          </w:p>
        </w:tc>
        <w:tc>
          <w:tcPr>
            <w:tcW w:w="1418" w:type="dxa"/>
            <w:tcBorders>
              <w:top w:val="nil"/>
              <w:bottom w:val="nil"/>
            </w:tcBorders>
            <w:shd w:val="clear" w:color="auto" w:fill="92D050"/>
          </w:tcPr>
          <w:p>
            <w:pPr>
              <w:pStyle w:val="TableParagraph"/>
              <w:spacing w:line="241" w:lineRule="exact"/>
              <w:ind w:right="101"/>
              <w:rPr>
                <w:sz w:val="22"/>
              </w:rPr>
            </w:pPr>
            <w:r>
              <w:rPr>
                <w:sz w:val="22"/>
              </w:rPr>
              <w:t>que</w:t>
            </w:r>
          </w:p>
        </w:tc>
        <w:tc>
          <w:tcPr>
            <w:tcW w:w="1276" w:type="dxa"/>
            <w:tcBorders>
              <w:top w:val="nil"/>
              <w:bottom w:val="nil"/>
            </w:tcBorders>
            <w:shd w:val="clear" w:color="auto" w:fill="92D050"/>
          </w:tcPr>
          <w:p>
            <w:pPr>
              <w:pStyle w:val="TableParagraph"/>
              <w:spacing w:line="241" w:lineRule="exact"/>
              <w:rPr>
                <w:sz w:val="22"/>
              </w:rPr>
            </w:pPr>
            <w:r>
              <w:rPr>
                <w:sz w:val="22"/>
              </w:rPr>
              <w:t>agrarios</w:t>
            </w:r>
          </w:p>
        </w:tc>
        <w:tc>
          <w:tcPr>
            <w:tcW w:w="1345" w:type="dxa"/>
            <w:tcBorders>
              <w:top w:val="nil"/>
              <w:bottom w:val="nil"/>
            </w:tcBorders>
            <w:shd w:val="clear" w:color="auto" w:fill="938953"/>
          </w:tcPr>
          <w:p>
            <w:pPr>
              <w:pStyle w:val="TableParagraph"/>
              <w:tabs>
                <w:tab w:pos="941" w:val="left" w:leader="none"/>
              </w:tabs>
              <w:spacing w:line="241" w:lineRule="exact"/>
              <w:ind w:left="102"/>
              <w:rPr>
                <w:sz w:val="22"/>
              </w:rPr>
            </w:pPr>
            <w:r>
              <w:rPr>
                <w:sz w:val="22"/>
              </w:rPr>
              <w:t>XIX</w:t>
              <w:tab/>
              <w:t>del</w:t>
            </w:r>
          </w:p>
        </w:tc>
      </w:tr>
      <w:tr>
        <w:trPr>
          <w:trHeight w:val="253" w:hRule="exact"/>
        </w:trPr>
        <w:tc>
          <w:tcPr>
            <w:tcW w:w="2062" w:type="dxa"/>
            <w:vMerge/>
          </w:tcPr>
          <w:p>
            <w:pPr/>
          </w:p>
        </w:tc>
        <w:tc>
          <w:tcPr>
            <w:tcW w:w="1448" w:type="dxa"/>
            <w:tcBorders>
              <w:top w:val="nil"/>
              <w:bottom w:val="nil"/>
            </w:tcBorders>
            <w:shd w:val="clear" w:color="auto" w:fill="C0504D"/>
          </w:tcPr>
          <w:p>
            <w:pPr>
              <w:pStyle w:val="TableParagraph"/>
              <w:spacing w:line="241" w:lineRule="exact"/>
              <w:ind w:left="86" w:right="86"/>
              <w:jc w:val="center"/>
              <w:rPr>
                <w:sz w:val="22"/>
              </w:rPr>
            </w:pPr>
            <w:r>
              <w:rPr>
                <w:sz w:val="22"/>
              </w:rPr>
              <w:t>ciudadano</w:t>
            </w:r>
          </w:p>
        </w:tc>
        <w:tc>
          <w:tcPr>
            <w:tcW w:w="1552" w:type="dxa"/>
            <w:tcBorders>
              <w:top w:val="nil"/>
              <w:bottom w:val="nil"/>
            </w:tcBorders>
            <w:shd w:val="clear" w:color="auto" w:fill="8063A1"/>
          </w:tcPr>
          <w:p>
            <w:pPr>
              <w:pStyle w:val="TableParagraph"/>
              <w:spacing w:line="241" w:lineRule="exact"/>
              <w:ind w:left="101"/>
              <w:rPr>
                <w:sz w:val="22"/>
              </w:rPr>
            </w:pPr>
            <w:r>
              <w:rPr>
                <w:sz w:val="22"/>
              </w:rPr>
              <w:t>población</w:t>
            </w:r>
          </w:p>
        </w:tc>
        <w:tc>
          <w:tcPr>
            <w:tcW w:w="1586" w:type="dxa"/>
            <w:tcBorders>
              <w:top w:val="nil"/>
              <w:bottom w:val="nil"/>
            </w:tcBorders>
            <w:shd w:val="clear" w:color="auto" w:fill="8063A1"/>
          </w:tcPr>
          <w:p>
            <w:pPr>
              <w:pStyle w:val="TableParagraph"/>
              <w:spacing w:line="241" w:lineRule="exact"/>
              <w:ind w:left="150" w:right="149"/>
              <w:jc w:val="center"/>
              <w:rPr>
                <w:sz w:val="22"/>
              </w:rPr>
            </w:pPr>
            <w:r>
              <w:rPr>
                <w:sz w:val="22"/>
              </w:rPr>
              <w:t>justicia y el</w:t>
            </w:r>
          </w:p>
        </w:tc>
        <w:tc>
          <w:tcPr>
            <w:tcW w:w="1258" w:type="dxa"/>
            <w:tcBorders>
              <w:top w:val="nil"/>
              <w:bottom w:val="nil"/>
            </w:tcBorders>
            <w:shd w:val="clear" w:color="auto" w:fill="D99493"/>
          </w:tcPr>
          <w:p>
            <w:pPr>
              <w:pStyle w:val="TableParagraph"/>
              <w:spacing w:line="241" w:lineRule="exact"/>
              <w:ind w:left="84" w:right="84"/>
              <w:jc w:val="center"/>
              <w:rPr>
                <w:sz w:val="22"/>
              </w:rPr>
            </w:pPr>
            <w:r>
              <w:rPr>
                <w:sz w:val="22"/>
              </w:rPr>
              <w:t>de la tierra</w:t>
            </w:r>
          </w:p>
        </w:tc>
        <w:tc>
          <w:tcPr>
            <w:tcW w:w="1274" w:type="dxa"/>
            <w:tcBorders>
              <w:top w:val="nil"/>
              <w:bottom w:val="nil"/>
            </w:tcBorders>
            <w:shd w:val="clear" w:color="auto" w:fill="92D050"/>
          </w:tcPr>
          <w:p>
            <w:pPr>
              <w:pStyle w:val="TableParagraph"/>
              <w:spacing w:line="241" w:lineRule="exact"/>
              <w:ind w:right="98"/>
              <w:rPr>
                <w:sz w:val="22"/>
              </w:rPr>
            </w:pPr>
            <w:r>
              <w:rPr>
                <w:sz w:val="22"/>
              </w:rPr>
              <w:t>actos</w:t>
            </w:r>
          </w:p>
        </w:tc>
        <w:tc>
          <w:tcPr>
            <w:tcW w:w="1418" w:type="dxa"/>
            <w:tcBorders>
              <w:top w:val="nil"/>
              <w:bottom w:val="nil"/>
            </w:tcBorders>
            <w:shd w:val="clear" w:color="auto" w:fill="92D050"/>
          </w:tcPr>
          <w:p>
            <w:pPr>
              <w:pStyle w:val="TableParagraph"/>
              <w:spacing w:line="241" w:lineRule="exact"/>
              <w:ind w:right="101"/>
              <w:rPr>
                <w:sz w:val="22"/>
              </w:rPr>
            </w:pPr>
            <w:r>
              <w:rPr>
                <w:sz w:val="22"/>
              </w:rPr>
              <w:t>procedan</w:t>
            </w:r>
          </w:p>
        </w:tc>
        <w:tc>
          <w:tcPr>
            <w:tcW w:w="1276" w:type="dxa"/>
            <w:tcBorders>
              <w:top w:val="nil"/>
              <w:bottom w:val="nil"/>
            </w:tcBorders>
            <w:shd w:val="clear" w:color="auto" w:fill="92D050"/>
          </w:tcPr>
          <w:p>
            <w:pPr>
              <w:pStyle w:val="TableParagraph"/>
              <w:tabs>
                <w:tab w:pos="885" w:val="left" w:leader="none"/>
              </w:tabs>
              <w:spacing w:line="241" w:lineRule="exact"/>
              <w:rPr>
                <w:sz w:val="22"/>
              </w:rPr>
            </w:pPr>
            <w:r>
              <w:rPr>
                <w:sz w:val="22"/>
              </w:rPr>
              <w:t>ante</w:t>
              <w:tab/>
              <w:t>los</w:t>
            </w:r>
          </w:p>
        </w:tc>
        <w:tc>
          <w:tcPr>
            <w:tcW w:w="1345" w:type="dxa"/>
            <w:tcBorders>
              <w:top w:val="nil"/>
              <w:bottom w:val="nil"/>
            </w:tcBorders>
            <w:shd w:val="clear" w:color="auto" w:fill="938953"/>
          </w:tcPr>
          <w:p>
            <w:pPr>
              <w:pStyle w:val="TableParagraph"/>
              <w:spacing w:line="241" w:lineRule="exact"/>
              <w:ind w:left="102"/>
              <w:rPr>
                <w:sz w:val="22"/>
              </w:rPr>
            </w:pPr>
            <w:r>
              <w:rPr>
                <w:sz w:val="22"/>
              </w:rPr>
              <w:t>Artículo  27</w:t>
            </w:r>
          </w:p>
        </w:tc>
      </w:tr>
      <w:tr>
        <w:trPr>
          <w:trHeight w:val="253" w:hRule="exact"/>
        </w:trPr>
        <w:tc>
          <w:tcPr>
            <w:tcW w:w="2062" w:type="dxa"/>
            <w:vMerge/>
          </w:tcPr>
          <w:p>
            <w:pPr/>
          </w:p>
        </w:tc>
        <w:tc>
          <w:tcPr>
            <w:tcW w:w="1448" w:type="dxa"/>
            <w:tcBorders>
              <w:top w:val="nil"/>
              <w:bottom w:val="nil"/>
            </w:tcBorders>
            <w:shd w:val="clear" w:color="auto" w:fill="C0504D"/>
          </w:tcPr>
          <w:p>
            <w:pPr>
              <w:pStyle w:val="TableParagraph"/>
              <w:spacing w:line="242" w:lineRule="exact"/>
              <w:ind w:left="86" w:right="86"/>
              <w:jc w:val="center"/>
              <w:rPr>
                <w:sz w:val="22"/>
              </w:rPr>
            </w:pPr>
            <w:r>
              <w:rPr>
                <w:sz w:val="22"/>
              </w:rPr>
              <w:t>interesado</w:t>
            </w:r>
          </w:p>
        </w:tc>
        <w:tc>
          <w:tcPr>
            <w:tcW w:w="1552" w:type="dxa"/>
            <w:tcBorders>
              <w:top w:val="nil"/>
              <w:bottom w:val="nil"/>
            </w:tcBorders>
            <w:shd w:val="clear" w:color="auto" w:fill="8063A1"/>
          </w:tcPr>
          <w:p>
            <w:pPr>
              <w:pStyle w:val="TableParagraph"/>
              <w:tabs>
                <w:tab w:pos="1318" w:val="left" w:leader="none"/>
              </w:tabs>
              <w:spacing w:line="242" w:lineRule="exact"/>
              <w:ind w:left="101"/>
              <w:rPr>
                <w:sz w:val="22"/>
              </w:rPr>
            </w:pPr>
            <w:r>
              <w:rPr>
                <w:sz w:val="22"/>
              </w:rPr>
              <w:t>objetivo,</w:t>
              <w:tab/>
              <w:t>a</w:t>
            </w:r>
          </w:p>
        </w:tc>
        <w:tc>
          <w:tcPr>
            <w:tcW w:w="1586" w:type="dxa"/>
            <w:tcBorders>
              <w:top w:val="nil"/>
              <w:bottom w:val="nil"/>
            </w:tcBorders>
            <w:shd w:val="clear" w:color="auto" w:fill="8063A1"/>
          </w:tcPr>
          <w:p>
            <w:pPr>
              <w:pStyle w:val="TableParagraph"/>
              <w:spacing w:line="242" w:lineRule="exact"/>
              <w:ind w:left="149" w:right="149"/>
              <w:jc w:val="center"/>
              <w:rPr>
                <w:sz w:val="22"/>
              </w:rPr>
            </w:pPr>
            <w:r>
              <w:rPr>
                <w:sz w:val="22"/>
              </w:rPr>
              <w:t>desarrollo</w:t>
            </w:r>
          </w:p>
        </w:tc>
        <w:tc>
          <w:tcPr>
            <w:tcW w:w="1258" w:type="dxa"/>
            <w:tcBorders>
              <w:top w:val="nil"/>
              <w:bottom w:val="nil"/>
            </w:tcBorders>
            <w:shd w:val="clear" w:color="auto" w:fill="D99493"/>
          </w:tcPr>
          <w:p>
            <w:pPr>
              <w:pStyle w:val="TableParagraph"/>
              <w:spacing w:line="242" w:lineRule="exact"/>
              <w:ind w:left="84" w:right="84"/>
              <w:jc w:val="center"/>
              <w:rPr>
                <w:sz w:val="22"/>
              </w:rPr>
            </w:pPr>
            <w:r>
              <w:rPr>
                <w:sz w:val="22"/>
              </w:rPr>
              <w:t>ejidal y</w:t>
            </w:r>
          </w:p>
        </w:tc>
        <w:tc>
          <w:tcPr>
            <w:tcW w:w="1274" w:type="dxa"/>
            <w:tcBorders>
              <w:top w:val="nil"/>
              <w:bottom w:val="nil"/>
            </w:tcBorders>
            <w:shd w:val="clear" w:color="auto" w:fill="92D050"/>
          </w:tcPr>
          <w:p>
            <w:pPr>
              <w:pStyle w:val="TableParagraph"/>
              <w:spacing w:line="242" w:lineRule="exact"/>
              <w:ind w:right="98"/>
              <w:rPr>
                <w:sz w:val="22"/>
              </w:rPr>
            </w:pPr>
            <w:r>
              <w:rPr>
                <w:sz w:val="22"/>
              </w:rPr>
              <w:t>jurídicos</w:t>
            </w:r>
          </w:p>
        </w:tc>
        <w:tc>
          <w:tcPr>
            <w:tcW w:w="1418" w:type="dxa"/>
            <w:tcBorders>
              <w:top w:val="nil"/>
              <w:bottom w:val="nil"/>
            </w:tcBorders>
            <w:shd w:val="clear" w:color="auto" w:fill="92D050"/>
          </w:tcPr>
          <w:p>
            <w:pPr>
              <w:pStyle w:val="TableParagraph"/>
              <w:spacing w:line="242" w:lineRule="exact"/>
              <w:rPr>
                <w:sz w:val="22"/>
              </w:rPr>
            </w:pPr>
            <w:r>
              <w:rPr>
                <w:sz w:val="22"/>
              </w:rPr>
              <w:t>en </w:t>
            </w:r>
            <w:r>
              <w:rPr>
                <w:spacing w:val="52"/>
                <w:sz w:val="22"/>
              </w:rPr>
              <w:t> </w:t>
            </w:r>
            <w:r>
              <w:rPr>
                <w:sz w:val="22"/>
              </w:rPr>
              <w:t>defensa</w:t>
            </w:r>
          </w:p>
        </w:tc>
        <w:tc>
          <w:tcPr>
            <w:tcW w:w="1276" w:type="dxa"/>
            <w:tcBorders>
              <w:top w:val="nil"/>
              <w:bottom w:val="nil"/>
            </w:tcBorders>
            <w:shd w:val="clear" w:color="auto" w:fill="92D050"/>
          </w:tcPr>
          <w:p>
            <w:pPr>
              <w:pStyle w:val="TableParagraph"/>
              <w:spacing w:line="242" w:lineRule="exact"/>
              <w:rPr>
                <w:sz w:val="22"/>
              </w:rPr>
            </w:pPr>
            <w:r>
              <w:rPr>
                <w:sz w:val="22"/>
              </w:rPr>
              <w:t>tribunales</w:t>
            </w:r>
          </w:p>
        </w:tc>
        <w:tc>
          <w:tcPr>
            <w:tcW w:w="1345" w:type="dxa"/>
            <w:tcBorders>
              <w:top w:val="nil"/>
              <w:bottom w:val="nil"/>
            </w:tcBorders>
            <w:shd w:val="clear" w:color="auto" w:fill="938953"/>
          </w:tcPr>
          <w:p>
            <w:pPr>
              <w:pStyle w:val="TableParagraph"/>
              <w:tabs>
                <w:tab w:pos="1061" w:val="left" w:leader="none"/>
              </w:tabs>
              <w:spacing w:line="242" w:lineRule="exact"/>
              <w:ind w:left="102"/>
              <w:rPr>
                <w:sz w:val="22"/>
              </w:rPr>
            </w:pPr>
            <w:r>
              <w:rPr>
                <w:sz w:val="22"/>
              </w:rPr>
              <w:t>de</w:t>
              <w:tab/>
              <w:t>la</w:t>
            </w:r>
          </w:p>
        </w:tc>
      </w:tr>
      <w:tr>
        <w:trPr>
          <w:trHeight w:val="253" w:hRule="exact"/>
        </w:trPr>
        <w:tc>
          <w:tcPr>
            <w:tcW w:w="2062" w:type="dxa"/>
            <w:vMerge/>
          </w:tcPr>
          <w:p>
            <w:pPr/>
          </w:p>
        </w:tc>
        <w:tc>
          <w:tcPr>
            <w:tcW w:w="1448" w:type="dxa"/>
            <w:tcBorders>
              <w:top w:val="nil"/>
              <w:bottom w:val="nil"/>
            </w:tcBorders>
            <w:shd w:val="clear" w:color="auto" w:fill="C0504D"/>
          </w:tcPr>
          <w:p>
            <w:pPr>
              <w:pStyle w:val="TableParagraph"/>
              <w:spacing w:line="241" w:lineRule="exact"/>
              <w:ind w:left="86" w:right="86"/>
              <w:jc w:val="center"/>
              <w:rPr>
                <w:sz w:val="22"/>
              </w:rPr>
            </w:pPr>
            <w:r>
              <w:rPr>
                <w:sz w:val="22"/>
              </w:rPr>
              <w:t>en realizar</w:t>
            </w:r>
          </w:p>
        </w:tc>
        <w:tc>
          <w:tcPr>
            <w:tcW w:w="1552" w:type="dxa"/>
            <w:tcBorders>
              <w:top w:val="nil"/>
              <w:bottom w:val="nil"/>
            </w:tcBorders>
            <w:shd w:val="clear" w:color="auto" w:fill="8063A1"/>
          </w:tcPr>
          <w:p>
            <w:pPr>
              <w:pStyle w:val="TableParagraph"/>
              <w:tabs>
                <w:tab w:pos="1145" w:val="left" w:leader="none"/>
              </w:tabs>
              <w:spacing w:line="241" w:lineRule="exact"/>
              <w:ind w:left="101"/>
              <w:rPr>
                <w:sz w:val="22"/>
              </w:rPr>
            </w:pPr>
            <w:r>
              <w:rPr>
                <w:sz w:val="22"/>
              </w:rPr>
              <w:t>través</w:t>
              <w:tab/>
              <w:t>del</w:t>
            </w:r>
          </w:p>
        </w:tc>
        <w:tc>
          <w:tcPr>
            <w:tcW w:w="1586" w:type="dxa"/>
            <w:tcBorders>
              <w:top w:val="nil"/>
              <w:bottom w:val="nil"/>
            </w:tcBorders>
            <w:shd w:val="clear" w:color="auto" w:fill="8063A1"/>
          </w:tcPr>
          <w:p>
            <w:pPr>
              <w:pStyle w:val="TableParagraph"/>
              <w:spacing w:line="241" w:lineRule="exact"/>
              <w:ind w:left="148" w:right="149"/>
              <w:jc w:val="center"/>
              <w:rPr>
                <w:sz w:val="22"/>
              </w:rPr>
            </w:pPr>
            <w:r>
              <w:rPr>
                <w:sz w:val="22"/>
              </w:rPr>
              <w:t>agrario</w:t>
            </w:r>
          </w:p>
        </w:tc>
        <w:tc>
          <w:tcPr>
            <w:tcW w:w="1258" w:type="dxa"/>
            <w:tcBorders>
              <w:top w:val="nil"/>
              <w:bottom w:val="nil"/>
            </w:tcBorders>
            <w:shd w:val="clear" w:color="auto" w:fill="D99493"/>
          </w:tcPr>
          <w:p>
            <w:pPr>
              <w:pStyle w:val="TableParagraph"/>
              <w:spacing w:line="241" w:lineRule="exact"/>
              <w:ind w:left="84" w:right="83"/>
              <w:jc w:val="center"/>
              <w:rPr>
                <w:sz w:val="22"/>
              </w:rPr>
            </w:pPr>
            <w:r>
              <w:rPr>
                <w:sz w:val="22"/>
              </w:rPr>
              <w:t>comunal,</w:t>
            </w:r>
          </w:p>
        </w:tc>
        <w:tc>
          <w:tcPr>
            <w:tcW w:w="1274" w:type="dxa"/>
            <w:tcBorders>
              <w:top w:val="nil"/>
              <w:bottom w:val="nil"/>
            </w:tcBorders>
            <w:shd w:val="clear" w:color="auto" w:fill="92D050"/>
          </w:tcPr>
          <w:p>
            <w:pPr>
              <w:pStyle w:val="TableParagraph"/>
              <w:spacing w:line="241" w:lineRule="exact"/>
              <w:ind w:right="98"/>
              <w:rPr>
                <w:sz w:val="22"/>
              </w:rPr>
            </w:pPr>
            <w:r>
              <w:rPr>
                <w:sz w:val="22"/>
              </w:rPr>
              <w:t>que</w:t>
            </w:r>
          </w:p>
        </w:tc>
        <w:tc>
          <w:tcPr>
            <w:tcW w:w="1418" w:type="dxa"/>
            <w:tcBorders>
              <w:top w:val="nil"/>
              <w:bottom w:val="nil"/>
            </w:tcBorders>
            <w:shd w:val="clear" w:color="auto" w:fill="92D050"/>
          </w:tcPr>
          <w:p>
            <w:pPr>
              <w:pStyle w:val="TableParagraph"/>
              <w:tabs>
                <w:tab w:pos="1024" w:val="left" w:leader="none"/>
              </w:tabs>
              <w:spacing w:line="241" w:lineRule="exact"/>
              <w:rPr>
                <w:sz w:val="22"/>
              </w:rPr>
            </w:pPr>
            <w:r>
              <w:rPr>
                <w:sz w:val="22"/>
              </w:rPr>
              <w:t>de</w:t>
              <w:tab/>
              <w:t>los</w:t>
            </w:r>
          </w:p>
        </w:tc>
        <w:tc>
          <w:tcPr>
            <w:tcW w:w="1276" w:type="dxa"/>
            <w:tcBorders>
              <w:top w:val="nil"/>
              <w:bottom w:val="nil"/>
            </w:tcBorders>
            <w:shd w:val="clear" w:color="auto" w:fill="92D050"/>
          </w:tcPr>
          <w:p>
            <w:pPr>
              <w:pStyle w:val="TableParagraph"/>
              <w:spacing w:line="241" w:lineRule="exact"/>
              <w:rPr>
                <w:sz w:val="22"/>
              </w:rPr>
            </w:pPr>
            <w:r>
              <w:rPr>
                <w:sz w:val="22"/>
              </w:rPr>
              <w:t>agrarios la</w:t>
            </w:r>
          </w:p>
        </w:tc>
        <w:tc>
          <w:tcPr>
            <w:tcW w:w="1345" w:type="dxa"/>
            <w:tcBorders>
              <w:top w:val="nil"/>
              <w:bottom w:val="nil"/>
            </w:tcBorders>
            <w:shd w:val="clear" w:color="auto" w:fill="938953"/>
          </w:tcPr>
          <w:p>
            <w:pPr>
              <w:pStyle w:val="TableParagraph"/>
              <w:spacing w:line="241" w:lineRule="exact"/>
              <w:ind w:left="102"/>
              <w:rPr>
                <w:sz w:val="22"/>
              </w:rPr>
            </w:pPr>
            <w:r>
              <w:rPr>
                <w:sz w:val="22"/>
              </w:rPr>
              <w:t>Constitució</w:t>
            </w:r>
          </w:p>
        </w:tc>
      </w:tr>
      <w:tr>
        <w:trPr>
          <w:trHeight w:val="253" w:hRule="exact"/>
        </w:trPr>
        <w:tc>
          <w:tcPr>
            <w:tcW w:w="2062" w:type="dxa"/>
            <w:vMerge/>
          </w:tcPr>
          <w:p>
            <w:pPr/>
          </w:p>
        </w:tc>
        <w:tc>
          <w:tcPr>
            <w:tcW w:w="1448" w:type="dxa"/>
            <w:tcBorders>
              <w:top w:val="nil"/>
              <w:bottom w:val="nil"/>
            </w:tcBorders>
            <w:shd w:val="clear" w:color="auto" w:fill="C0504D"/>
          </w:tcPr>
          <w:p>
            <w:pPr>
              <w:pStyle w:val="TableParagraph"/>
              <w:spacing w:line="242" w:lineRule="exact"/>
              <w:ind w:left="87" w:right="86"/>
              <w:jc w:val="center"/>
              <w:rPr>
                <w:sz w:val="22"/>
              </w:rPr>
            </w:pPr>
            <w:r>
              <w:rPr>
                <w:sz w:val="22"/>
              </w:rPr>
              <w:t>actividades</w:t>
            </w:r>
          </w:p>
        </w:tc>
        <w:tc>
          <w:tcPr>
            <w:tcW w:w="1552" w:type="dxa"/>
            <w:tcBorders>
              <w:top w:val="nil"/>
              <w:bottom w:val="nil"/>
            </w:tcBorders>
            <w:shd w:val="clear" w:color="auto" w:fill="8063A1"/>
          </w:tcPr>
          <w:p>
            <w:pPr>
              <w:pStyle w:val="TableParagraph"/>
              <w:tabs>
                <w:tab w:pos="1267" w:val="left" w:leader="none"/>
              </w:tabs>
              <w:spacing w:line="242" w:lineRule="exact"/>
              <w:ind w:left="101"/>
              <w:rPr>
                <w:sz w:val="22"/>
              </w:rPr>
            </w:pPr>
            <w:r>
              <w:rPr>
                <w:sz w:val="22"/>
              </w:rPr>
              <w:t>impulso</w:t>
              <w:tab/>
              <w:t>al</w:t>
            </w:r>
          </w:p>
        </w:tc>
        <w:tc>
          <w:tcPr>
            <w:tcW w:w="1586" w:type="dxa"/>
            <w:tcBorders>
              <w:top w:val="nil"/>
              <w:bottom w:val="nil"/>
            </w:tcBorders>
            <w:shd w:val="clear" w:color="auto" w:fill="8063A1"/>
          </w:tcPr>
          <w:p>
            <w:pPr>
              <w:pStyle w:val="TableParagraph"/>
              <w:spacing w:line="242" w:lineRule="exact"/>
              <w:ind w:left="148" w:right="149"/>
              <w:jc w:val="center"/>
              <w:rPr>
                <w:sz w:val="22"/>
              </w:rPr>
            </w:pPr>
            <w:r>
              <w:rPr>
                <w:sz w:val="22"/>
              </w:rPr>
              <w:t>integral.</w:t>
            </w:r>
          </w:p>
        </w:tc>
        <w:tc>
          <w:tcPr>
            <w:tcW w:w="1258" w:type="dxa"/>
            <w:tcBorders>
              <w:top w:val="nil"/>
              <w:bottom w:val="nil"/>
            </w:tcBorders>
            <w:shd w:val="clear" w:color="auto" w:fill="D99493"/>
          </w:tcPr>
          <w:p>
            <w:pPr>
              <w:pStyle w:val="TableParagraph"/>
              <w:spacing w:line="242" w:lineRule="exact"/>
              <w:ind w:left="84" w:right="84"/>
              <w:jc w:val="center"/>
              <w:rPr>
                <w:sz w:val="22"/>
              </w:rPr>
            </w:pPr>
            <w:r>
              <w:rPr>
                <w:sz w:val="22"/>
              </w:rPr>
              <w:t>y de</w:t>
            </w:r>
          </w:p>
        </w:tc>
        <w:tc>
          <w:tcPr>
            <w:tcW w:w="1274" w:type="dxa"/>
            <w:tcBorders>
              <w:top w:val="nil"/>
              <w:bottom w:val="nil"/>
            </w:tcBorders>
            <w:shd w:val="clear" w:color="auto" w:fill="92D050"/>
          </w:tcPr>
          <w:p>
            <w:pPr>
              <w:pStyle w:val="TableParagraph"/>
              <w:spacing w:line="242" w:lineRule="exact"/>
              <w:ind w:right="98"/>
              <w:rPr>
                <w:sz w:val="22"/>
              </w:rPr>
            </w:pPr>
            <w:r>
              <w:rPr>
                <w:sz w:val="22"/>
              </w:rPr>
              <w:t>celebren</w:t>
            </w:r>
          </w:p>
        </w:tc>
        <w:tc>
          <w:tcPr>
            <w:tcW w:w="1418" w:type="dxa"/>
            <w:tcBorders>
              <w:top w:val="nil"/>
              <w:bottom w:val="nil"/>
            </w:tcBorders>
            <w:shd w:val="clear" w:color="auto" w:fill="92D050"/>
          </w:tcPr>
          <w:p>
            <w:pPr>
              <w:pStyle w:val="TableParagraph"/>
              <w:spacing w:line="242" w:lineRule="exact"/>
              <w:rPr>
                <w:sz w:val="22"/>
              </w:rPr>
            </w:pPr>
            <w:r>
              <w:rPr>
                <w:sz w:val="22"/>
              </w:rPr>
              <w:t>intereses de</w:t>
            </w:r>
          </w:p>
        </w:tc>
        <w:tc>
          <w:tcPr>
            <w:tcW w:w="1276" w:type="dxa"/>
            <w:tcBorders>
              <w:top w:val="nil"/>
              <w:bottom w:val="nil"/>
            </w:tcBorders>
            <w:shd w:val="clear" w:color="auto" w:fill="92D050"/>
          </w:tcPr>
          <w:p>
            <w:pPr>
              <w:pStyle w:val="TableParagraph"/>
              <w:spacing w:line="242" w:lineRule="exact"/>
              <w:rPr>
                <w:sz w:val="22"/>
              </w:rPr>
            </w:pPr>
            <w:r>
              <w:rPr>
                <w:sz w:val="22"/>
              </w:rPr>
              <w:t>expedita</w:t>
            </w:r>
          </w:p>
        </w:tc>
        <w:tc>
          <w:tcPr>
            <w:tcW w:w="1345" w:type="dxa"/>
            <w:tcBorders>
              <w:top w:val="nil"/>
              <w:bottom w:val="nil"/>
            </w:tcBorders>
            <w:shd w:val="clear" w:color="auto" w:fill="938953"/>
          </w:tcPr>
          <w:p>
            <w:pPr>
              <w:pStyle w:val="TableParagraph"/>
              <w:tabs>
                <w:tab w:pos="512" w:val="left" w:leader="none"/>
              </w:tabs>
              <w:spacing w:line="242" w:lineRule="exact"/>
              <w:ind w:left="102"/>
              <w:rPr>
                <w:sz w:val="22"/>
              </w:rPr>
            </w:pPr>
            <w:r>
              <w:rPr>
                <w:sz w:val="22"/>
              </w:rPr>
              <w:t>n</w:t>
              <w:tab/>
              <w:t>Política</w:t>
            </w:r>
          </w:p>
        </w:tc>
      </w:tr>
      <w:tr>
        <w:trPr>
          <w:trHeight w:val="252" w:hRule="exact"/>
        </w:trPr>
        <w:tc>
          <w:tcPr>
            <w:tcW w:w="2062" w:type="dxa"/>
            <w:vMerge/>
          </w:tcPr>
          <w:p>
            <w:pPr/>
          </w:p>
        </w:tc>
        <w:tc>
          <w:tcPr>
            <w:tcW w:w="1448" w:type="dxa"/>
            <w:tcBorders>
              <w:top w:val="nil"/>
              <w:bottom w:val="nil"/>
            </w:tcBorders>
            <w:shd w:val="clear" w:color="auto" w:fill="C0504D"/>
          </w:tcPr>
          <w:p>
            <w:pPr>
              <w:pStyle w:val="TableParagraph"/>
              <w:spacing w:line="241" w:lineRule="exact"/>
              <w:ind w:left="88" w:right="86"/>
              <w:jc w:val="center"/>
              <w:rPr>
                <w:sz w:val="22"/>
              </w:rPr>
            </w:pPr>
            <w:r>
              <w:rPr>
                <w:sz w:val="22"/>
              </w:rPr>
              <w:t>pesqueras y</w:t>
            </w:r>
          </w:p>
        </w:tc>
        <w:tc>
          <w:tcPr>
            <w:tcW w:w="1552" w:type="dxa"/>
            <w:tcBorders>
              <w:top w:val="nil"/>
              <w:bottom w:val="nil"/>
            </w:tcBorders>
            <w:shd w:val="clear" w:color="auto" w:fill="8063A1"/>
          </w:tcPr>
          <w:p>
            <w:pPr>
              <w:pStyle w:val="TableParagraph"/>
              <w:spacing w:line="241" w:lineRule="exact"/>
              <w:ind w:left="101"/>
              <w:rPr>
                <w:sz w:val="22"/>
              </w:rPr>
            </w:pPr>
            <w:r>
              <w:rPr>
                <w:sz w:val="22"/>
              </w:rPr>
              <w:t>ordenamient</w:t>
            </w:r>
          </w:p>
        </w:tc>
        <w:tc>
          <w:tcPr>
            <w:tcW w:w="1586" w:type="dxa"/>
            <w:tcBorders>
              <w:top w:val="nil"/>
              <w:bottom w:val="nil"/>
            </w:tcBorders>
            <w:shd w:val="clear" w:color="auto" w:fill="8063A1"/>
          </w:tcPr>
          <w:p>
            <w:pPr/>
          </w:p>
        </w:tc>
        <w:tc>
          <w:tcPr>
            <w:tcW w:w="1258" w:type="dxa"/>
            <w:tcBorders>
              <w:top w:val="nil"/>
              <w:bottom w:val="nil"/>
            </w:tcBorders>
            <w:shd w:val="clear" w:color="auto" w:fill="D99493"/>
          </w:tcPr>
          <w:p>
            <w:pPr>
              <w:pStyle w:val="TableParagraph"/>
              <w:spacing w:line="241" w:lineRule="exact"/>
              <w:ind w:left="84" w:right="84"/>
              <w:jc w:val="center"/>
              <w:rPr>
                <w:sz w:val="22"/>
              </w:rPr>
            </w:pPr>
            <w:r>
              <w:rPr>
                <w:sz w:val="22"/>
              </w:rPr>
              <w:t>brindar la</w:t>
            </w:r>
          </w:p>
        </w:tc>
        <w:tc>
          <w:tcPr>
            <w:tcW w:w="1274" w:type="dxa"/>
            <w:tcBorders>
              <w:top w:val="nil"/>
              <w:bottom w:val="nil"/>
            </w:tcBorders>
            <w:shd w:val="clear" w:color="auto" w:fill="92D050"/>
          </w:tcPr>
          <w:p>
            <w:pPr>
              <w:pStyle w:val="TableParagraph"/>
              <w:spacing w:line="241" w:lineRule="exact"/>
              <w:rPr>
                <w:sz w:val="22"/>
              </w:rPr>
            </w:pPr>
            <w:r>
              <w:rPr>
                <w:sz w:val="22"/>
              </w:rPr>
              <w:t>entre  sí  o</w:t>
            </w:r>
          </w:p>
        </w:tc>
        <w:tc>
          <w:tcPr>
            <w:tcW w:w="1418" w:type="dxa"/>
            <w:tcBorders>
              <w:top w:val="nil"/>
              <w:bottom w:val="nil"/>
            </w:tcBorders>
            <w:shd w:val="clear" w:color="auto" w:fill="92D050"/>
          </w:tcPr>
          <w:p>
            <w:pPr>
              <w:pStyle w:val="TableParagraph"/>
              <w:tabs>
                <w:tab w:pos="609" w:val="left" w:leader="none"/>
              </w:tabs>
              <w:spacing w:line="241" w:lineRule="exact"/>
              <w:rPr>
                <w:sz w:val="22"/>
              </w:rPr>
            </w:pPr>
            <w:r>
              <w:rPr>
                <w:sz w:val="22"/>
              </w:rPr>
              <w:t>los</w:t>
              <w:tab/>
              <w:t>sujetos</w:t>
            </w:r>
          </w:p>
        </w:tc>
        <w:tc>
          <w:tcPr>
            <w:tcW w:w="1276" w:type="dxa"/>
            <w:tcBorders>
              <w:top w:val="nil"/>
              <w:bottom w:val="nil"/>
            </w:tcBorders>
            <w:shd w:val="clear" w:color="auto" w:fill="92D050"/>
          </w:tcPr>
          <w:p>
            <w:pPr>
              <w:pStyle w:val="TableParagraph"/>
              <w:spacing w:line="241" w:lineRule="exact"/>
              <w:rPr>
                <w:sz w:val="22"/>
              </w:rPr>
            </w:pPr>
            <w:r>
              <w:rPr>
                <w:sz w:val="22"/>
              </w:rPr>
              <w:t>ejecución</w:t>
            </w:r>
          </w:p>
        </w:tc>
        <w:tc>
          <w:tcPr>
            <w:tcW w:w="1345" w:type="dxa"/>
            <w:tcBorders>
              <w:top w:val="nil"/>
              <w:bottom w:val="nil"/>
            </w:tcBorders>
            <w:shd w:val="clear" w:color="auto" w:fill="938953"/>
          </w:tcPr>
          <w:p>
            <w:pPr>
              <w:pStyle w:val="TableParagraph"/>
              <w:tabs>
                <w:tab w:pos="951" w:val="left" w:leader="none"/>
              </w:tabs>
              <w:spacing w:line="241" w:lineRule="exact"/>
              <w:ind w:left="102"/>
              <w:rPr>
                <w:sz w:val="22"/>
              </w:rPr>
            </w:pPr>
            <w:r>
              <w:rPr>
                <w:sz w:val="22"/>
              </w:rPr>
              <w:t>de</w:t>
              <w:tab/>
              <w:t>los</w:t>
            </w:r>
          </w:p>
        </w:tc>
      </w:tr>
      <w:tr>
        <w:trPr>
          <w:trHeight w:val="254" w:hRule="exact"/>
        </w:trPr>
        <w:tc>
          <w:tcPr>
            <w:tcW w:w="2062" w:type="dxa"/>
            <w:vMerge/>
          </w:tcPr>
          <w:p>
            <w:pPr/>
          </w:p>
        </w:tc>
        <w:tc>
          <w:tcPr>
            <w:tcW w:w="1448" w:type="dxa"/>
            <w:tcBorders>
              <w:top w:val="nil"/>
              <w:bottom w:val="nil"/>
            </w:tcBorders>
            <w:shd w:val="clear" w:color="auto" w:fill="C0504D"/>
          </w:tcPr>
          <w:p>
            <w:pPr>
              <w:pStyle w:val="TableParagraph"/>
              <w:spacing w:line="241" w:lineRule="exact"/>
              <w:ind w:left="84" w:right="86"/>
              <w:jc w:val="center"/>
              <w:rPr>
                <w:sz w:val="22"/>
              </w:rPr>
            </w:pPr>
            <w:r>
              <w:rPr>
                <w:sz w:val="22"/>
              </w:rPr>
              <w:t>acuícolas.</w:t>
            </w:r>
          </w:p>
        </w:tc>
        <w:tc>
          <w:tcPr>
            <w:tcW w:w="1552" w:type="dxa"/>
            <w:tcBorders>
              <w:top w:val="nil"/>
              <w:bottom w:val="nil"/>
            </w:tcBorders>
            <w:shd w:val="clear" w:color="auto" w:fill="8063A1"/>
          </w:tcPr>
          <w:p>
            <w:pPr>
              <w:pStyle w:val="TableParagraph"/>
              <w:spacing w:line="241" w:lineRule="exact"/>
              <w:ind w:left="101"/>
              <w:rPr>
                <w:sz w:val="22"/>
              </w:rPr>
            </w:pPr>
            <w:r>
              <w:rPr>
                <w:sz w:val="22"/>
              </w:rPr>
              <w:t>o  territorial  y</w:t>
            </w:r>
          </w:p>
        </w:tc>
        <w:tc>
          <w:tcPr>
            <w:tcW w:w="1586" w:type="dxa"/>
            <w:tcBorders>
              <w:top w:val="nil"/>
              <w:bottom w:val="nil"/>
            </w:tcBorders>
            <w:shd w:val="clear" w:color="auto" w:fill="8063A1"/>
          </w:tcPr>
          <w:p>
            <w:pPr/>
          </w:p>
        </w:tc>
        <w:tc>
          <w:tcPr>
            <w:tcW w:w="1258" w:type="dxa"/>
            <w:tcBorders>
              <w:top w:val="nil"/>
              <w:bottom w:val="nil"/>
            </w:tcBorders>
            <w:shd w:val="clear" w:color="auto" w:fill="D99493"/>
          </w:tcPr>
          <w:p>
            <w:pPr>
              <w:pStyle w:val="TableParagraph"/>
              <w:spacing w:line="241" w:lineRule="exact"/>
              <w:ind w:left="84" w:right="84"/>
              <w:jc w:val="center"/>
              <w:rPr>
                <w:sz w:val="22"/>
              </w:rPr>
            </w:pPr>
            <w:r>
              <w:rPr>
                <w:sz w:val="22"/>
              </w:rPr>
              <w:t>seguridad</w:t>
            </w:r>
          </w:p>
        </w:tc>
        <w:tc>
          <w:tcPr>
            <w:tcW w:w="1274" w:type="dxa"/>
            <w:tcBorders>
              <w:top w:val="nil"/>
              <w:bottom w:val="nil"/>
            </w:tcBorders>
            <w:shd w:val="clear" w:color="auto" w:fill="92D050"/>
          </w:tcPr>
          <w:p>
            <w:pPr>
              <w:pStyle w:val="TableParagraph"/>
              <w:spacing w:line="241" w:lineRule="exact"/>
              <w:ind w:right="98"/>
              <w:rPr>
                <w:sz w:val="22"/>
              </w:rPr>
            </w:pPr>
            <w:r>
              <w:rPr>
                <w:sz w:val="22"/>
              </w:rPr>
              <w:t>con</w:t>
            </w:r>
          </w:p>
        </w:tc>
        <w:tc>
          <w:tcPr>
            <w:tcW w:w="1418" w:type="dxa"/>
            <w:tcBorders>
              <w:top w:val="nil"/>
              <w:bottom w:val="nil"/>
            </w:tcBorders>
            <w:shd w:val="clear" w:color="auto" w:fill="92D050"/>
          </w:tcPr>
          <w:p>
            <w:pPr>
              <w:pStyle w:val="TableParagraph"/>
              <w:spacing w:line="241" w:lineRule="exact"/>
              <w:ind w:right="101"/>
              <w:rPr>
                <w:sz w:val="22"/>
              </w:rPr>
            </w:pPr>
            <w:r>
              <w:rPr>
                <w:sz w:val="22"/>
              </w:rPr>
              <w:t>agrarios  en</w:t>
            </w:r>
          </w:p>
        </w:tc>
        <w:tc>
          <w:tcPr>
            <w:tcW w:w="1276" w:type="dxa"/>
            <w:tcBorders>
              <w:top w:val="nil"/>
              <w:bottom w:val="nil"/>
            </w:tcBorders>
            <w:shd w:val="clear" w:color="auto" w:fill="92D050"/>
          </w:tcPr>
          <w:p>
            <w:pPr>
              <w:pStyle w:val="TableParagraph"/>
              <w:tabs>
                <w:tab w:pos="882" w:val="left" w:leader="none"/>
              </w:tabs>
              <w:spacing w:line="241" w:lineRule="exact"/>
              <w:rPr>
                <w:sz w:val="22"/>
              </w:rPr>
            </w:pPr>
            <w:r>
              <w:rPr>
                <w:sz w:val="22"/>
              </w:rPr>
              <w:t>de</w:t>
              <w:tab/>
              <w:t>las</w:t>
            </w:r>
          </w:p>
        </w:tc>
        <w:tc>
          <w:tcPr>
            <w:tcW w:w="1345" w:type="dxa"/>
            <w:tcBorders>
              <w:top w:val="nil"/>
              <w:bottom w:val="nil"/>
            </w:tcBorders>
            <w:shd w:val="clear" w:color="auto" w:fill="938953"/>
          </w:tcPr>
          <w:p>
            <w:pPr>
              <w:pStyle w:val="TableParagraph"/>
              <w:spacing w:line="241" w:lineRule="exact"/>
              <w:ind w:left="102"/>
              <w:rPr>
                <w:sz w:val="22"/>
              </w:rPr>
            </w:pPr>
            <w:r>
              <w:rPr>
                <w:sz w:val="22"/>
              </w:rPr>
              <w:t>Estados</w:t>
            </w:r>
          </w:p>
        </w:tc>
      </w:tr>
      <w:tr>
        <w:trPr>
          <w:trHeight w:val="253" w:hRule="exact"/>
        </w:trPr>
        <w:tc>
          <w:tcPr>
            <w:tcW w:w="2062" w:type="dxa"/>
            <w:vMerge/>
          </w:tcPr>
          <w:p>
            <w:pPr/>
          </w:p>
        </w:tc>
        <w:tc>
          <w:tcPr>
            <w:tcW w:w="1448" w:type="dxa"/>
            <w:tcBorders>
              <w:top w:val="nil"/>
              <w:bottom w:val="nil"/>
            </w:tcBorders>
            <w:shd w:val="clear" w:color="auto" w:fill="C0504D"/>
          </w:tcPr>
          <w:p>
            <w:pPr/>
          </w:p>
        </w:tc>
        <w:tc>
          <w:tcPr>
            <w:tcW w:w="1552" w:type="dxa"/>
            <w:tcBorders>
              <w:top w:val="nil"/>
              <w:bottom w:val="nil"/>
            </w:tcBorders>
            <w:shd w:val="clear" w:color="auto" w:fill="8063A1"/>
          </w:tcPr>
          <w:p>
            <w:pPr>
              <w:pStyle w:val="TableParagraph"/>
              <w:spacing w:line="243" w:lineRule="exact"/>
              <w:ind w:left="101"/>
              <w:rPr>
                <w:sz w:val="22"/>
              </w:rPr>
            </w:pPr>
            <w:r>
              <w:rPr>
                <w:sz w:val="22"/>
              </w:rPr>
              <w:t>la</w:t>
            </w:r>
          </w:p>
        </w:tc>
        <w:tc>
          <w:tcPr>
            <w:tcW w:w="1586" w:type="dxa"/>
            <w:tcBorders>
              <w:top w:val="nil"/>
              <w:bottom w:val="nil"/>
            </w:tcBorders>
            <w:shd w:val="clear" w:color="auto" w:fill="8063A1"/>
          </w:tcPr>
          <w:p>
            <w:pPr/>
          </w:p>
        </w:tc>
        <w:tc>
          <w:tcPr>
            <w:tcW w:w="1258" w:type="dxa"/>
            <w:tcBorders>
              <w:top w:val="nil"/>
              <w:bottom w:val="nil"/>
            </w:tcBorders>
            <w:shd w:val="clear" w:color="auto" w:fill="D99493"/>
          </w:tcPr>
          <w:p>
            <w:pPr>
              <w:pStyle w:val="TableParagraph"/>
              <w:spacing w:line="243" w:lineRule="exact"/>
              <w:ind w:left="84" w:right="84"/>
              <w:jc w:val="center"/>
              <w:rPr>
                <w:sz w:val="22"/>
              </w:rPr>
            </w:pPr>
            <w:r>
              <w:rPr>
                <w:sz w:val="22"/>
              </w:rPr>
              <w:t>jurídica</w:t>
            </w:r>
          </w:p>
        </w:tc>
        <w:tc>
          <w:tcPr>
            <w:tcW w:w="1274" w:type="dxa"/>
            <w:tcBorders>
              <w:top w:val="nil"/>
              <w:bottom w:val="nil"/>
            </w:tcBorders>
            <w:shd w:val="clear" w:color="auto" w:fill="92D050"/>
          </w:tcPr>
          <w:p>
            <w:pPr>
              <w:pStyle w:val="TableParagraph"/>
              <w:spacing w:line="243" w:lineRule="exact"/>
              <w:ind w:right="98"/>
              <w:rPr>
                <w:sz w:val="22"/>
              </w:rPr>
            </w:pPr>
            <w:r>
              <w:rPr>
                <w:sz w:val="22"/>
              </w:rPr>
              <w:t>terceros</w:t>
            </w:r>
          </w:p>
        </w:tc>
        <w:tc>
          <w:tcPr>
            <w:tcW w:w="1418" w:type="dxa"/>
            <w:tcBorders>
              <w:top w:val="nil"/>
              <w:bottom w:val="nil"/>
            </w:tcBorders>
            <w:shd w:val="clear" w:color="auto" w:fill="92D050"/>
          </w:tcPr>
          <w:p>
            <w:pPr>
              <w:pStyle w:val="TableParagraph"/>
              <w:spacing w:line="243" w:lineRule="exact"/>
              <w:ind w:right="101"/>
              <w:rPr>
                <w:sz w:val="22"/>
              </w:rPr>
            </w:pPr>
            <w:r>
              <w:rPr>
                <w:sz w:val="22"/>
              </w:rPr>
              <w:t>la materia.</w:t>
            </w:r>
          </w:p>
        </w:tc>
        <w:tc>
          <w:tcPr>
            <w:tcW w:w="1276" w:type="dxa"/>
            <w:tcBorders>
              <w:top w:val="nil"/>
              <w:bottom w:val="nil"/>
            </w:tcBorders>
            <w:shd w:val="clear" w:color="auto" w:fill="92D050"/>
          </w:tcPr>
          <w:p>
            <w:pPr>
              <w:pStyle w:val="TableParagraph"/>
              <w:spacing w:line="243" w:lineRule="exact"/>
              <w:rPr>
                <w:sz w:val="22"/>
              </w:rPr>
            </w:pPr>
            <w:r>
              <w:rPr>
                <w:sz w:val="22"/>
              </w:rPr>
              <w:t>sentencias</w:t>
            </w:r>
          </w:p>
        </w:tc>
        <w:tc>
          <w:tcPr>
            <w:tcW w:w="1345" w:type="dxa"/>
            <w:tcBorders>
              <w:top w:val="nil"/>
              <w:bottom w:val="nil"/>
            </w:tcBorders>
            <w:shd w:val="clear" w:color="auto" w:fill="938953"/>
          </w:tcPr>
          <w:p>
            <w:pPr>
              <w:pStyle w:val="TableParagraph"/>
              <w:spacing w:line="243" w:lineRule="exact"/>
              <w:ind w:left="102"/>
              <w:rPr>
                <w:sz w:val="22"/>
              </w:rPr>
            </w:pPr>
            <w:r>
              <w:rPr>
                <w:sz w:val="22"/>
              </w:rPr>
              <w:t>Unidos</w:t>
            </w:r>
          </w:p>
        </w:tc>
      </w:tr>
      <w:tr>
        <w:trPr>
          <w:trHeight w:val="253" w:hRule="exact"/>
        </w:trPr>
        <w:tc>
          <w:tcPr>
            <w:tcW w:w="2062" w:type="dxa"/>
            <w:vMerge/>
          </w:tcPr>
          <w:p>
            <w:pPr/>
          </w:p>
        </w:tc>
        <w:tc>
          <w:tcPr>
            <w:tcW w:w="1448" w:type="dxa"/>
            <w:tcBorders>
              <w:top w:val="nil"/>
              <w:bottom w:val="nil"/>
            </w:tcBorders>
            <w:shd w:val="clear" w:color="auto" w:fill="C0504D"/>
          </w:tcPr>
          <w:p>
            <w:pPr/>
          </w:p>
        </w:tc>
        <w:tc>
          <w:tcPr>
            <w:tcW w:w="1552" w:type="dxa"/>
            <w:tcBorders>
              <w:top w:val="nil"/>
              <w:bottom w:val="nil"/>
            </w:tcBorders>
            <w:shd w:val="clear" w:color="auto" w:fill="8063A1"/>
          </w:tcPr>
          <w:p>
            <w:pPr>
              <w:pStyle w:val="TableParagraph"/>
              <w:spacing w:line="241" w:lineRule="exact"/>
              <w:ind w:left="101"/>
              <w:rPr>
                <w:sz w:val="22"/>
              </w:rPr>
            </w:pPr>
            <w:r>
              <w:rPr>
                <w:sz w:val="22"/>
              </w:rPr>
              <w:t>regularizació</w:t>
            </w:r>
          </w:p>
        </w:tc>
        <w:tc>
          <w:tcPr>
            <w:tcW w:w="1586" w:type="dxa"/>
            <w:tcBorders>
              <w:top w:val="nil"/>
              <w:bottom w:val="nil"/>
            </w:tcBorders>
            <w:shd w:val="clear" w:color="auto" w:fill="8063A1"/>
          </w:tcPr>
          <w:p>
            <w:pPr/>
          </w:p>
        </w:tc>
        <w:tc>
          <w:tcPr>
            <w:tcW w:w="1258" w:type="dxa"/>
            <w:tcBorders>
              <w:top w:val="nil"/>
              <w:bottom w:val="nil"/>
            </w:tcBorders>
            <w:shd w:val="clear" w:color="auto" w:fill="D99493"/>
          </w:tcPr>
          <w:p>
            <w:pPr>
              <w:pStyle w:val="TableParagraph"/>
              <w:spacing w:line="241" w:lineRule="exact"/>
              <w:ind w:left="83" w:right="84"/>
              <w:jc w:val="center"/>
              <w:rPr>
                <w:sz w:val="22"/>
              </w:rPr>
            </w:pPr>
            <w:r>
              <w:rPr>
                <w:sz w:val="22"/>
              </w:rPr>
              <w:t>document</w:t>
            </w:r>
          </w:p>
        </w:tc>
        <w:tc>
          <w:tcPr>
            <w:tcW w:w="1274" w:type="dxa"/>
            <w:tcBorders>
              <w:top w:val="nil"/>
              <w:bottom w:val="nil"/>
            </w:tcBorders>
            <w:shd w:val="clear" w:color="auto" w:fill="92D050"/>
          </w:tcPr>
          <w:p>
            <w:pPr>
              <w:pStyle w:val="TableParagraph"/>
              <w:spacing w:line="241" w:lineRule="exact"/>
              <w:rPr>
                <w:sz w:val="22"/>
              </w:rPr>
            </w:pPr>
            <w:r>
              <w:rPr>
                <w:sz w:val="22"/>
              </w:rPr>
              <w:t>en materia</w:t>
            </w:r>
          </w:p>
        </w:tc>
        <w:tc>
          <w:tcPr>
            <w:tcW w:w="1418" w:type="dxa"/>
            <w:tcBorders>
              <w:top w:val="nil"/>
              <w:bottom w:val="nil"/>
            </w:tcBorders>
            <w:shd w:val="clear" w:color="auto" w:fill="92D050"/>
          </w:tcPr>
          <w:p>
            <w:pPr/>
          </w:p>
        </w:tc>
        <w:tc>
          <w:tcPr>
            <w:tcW w:w="1276" w:type="dxa"/>
            <w:tcBorders>
              <w:top w:val="nil"/>
              <w:bottom w:val="nil"/>
            </w:tcBorders>
            <w:shd w:val="clear" w:color="auto" w:fill="92D050"/>
          </w:tcPr>
          <w:p>
            <w:pPr>
              <w:pStyle w:val="TableParagraph"/>
              <w:spacing w:line="241" w:lineRule="exact"/>
              <w:rPr>
                <w:sz w:val="22"/>
              </w:rPr>
            </w:pPr>
            <w:r>
              <w:rPr>
                <w:sz w:val="22"/>
              </w:rPr>
              <w:t>correspon</w:t>
            </w:r>
          </w:p>
        </w:tc>
        <w:tc>
          <w:tcPr>
            <w:tcW w:w="1345" w:type="dxa"/>
            <w:tcBorders>
              <w:top w:val="nil"/>
              <w:bottom w:val="nil"/>
            </w:tcBorders>
            <w:shd w:val="clear" w:color="auto" w:fill="938953"/>
          </w:tcPr>
          <w:p>
            <w:pPr>
              <w:pStyle w:val="TableParagraph"/>
              <w:spacing w:line="241" w:lineRule="exact"/>
              <w:ind w:left="102"/>
              <w:rPr>
                <w:sz w:val="22"/>
              </w:rPr>
            </w:pPr>
            <w:r>
              <w:rPr>
                <w:sz w:val="22"/>
              </w:rPr>
              <w:t>Mexicanos,</w:t>
            </w:r>
          </w:p>
        </w:tc>
      </w:tr>
      <w:tr>
        <w:trPr>
          <w:trHeight w:val="253" w:hRule="exact"/>
        </w:trPr>
        <w:tc>
          <w:tcPr>
            <w:tcW w:w="2062" w:type="dxa"/>
            <w:vMerge/>
          </w:tcPr>
          <w:p>
            <w:pPr/>
          </w:p>
        </w:tc>
        <w:tc>
          <w:tcPr>
            <w:tcW w:w="1448" w:type="dxa"/>
            <w:tcBorders>
              <w:top w:val="nil"/>
              <w:bottom w:val="nil"/>
            </w:tcBorders>
            <w:shd w:val="clear" w:color="auto" w:fill="C0504D"/>
          </w:tcPr>
          <w:p>
            <w:pPr/>
          </w:p>
        </w:tc>
        <w:tc>
          <w:tcPr>
            <w:tcW w:w="1552" w:type="dxa"/>
            <w:tcBorders>
              <w:top w:val="nil"/>
              <w:bottom w:val="nil"/>
            </w:tcBorders>
            <w:shd w:val="clear" w:color="auto" w:fill="8063A1"/>
          </w:tcPr>
          <w:p>
            <w:pPr>
              <w:pStyle w:val="TableParagraph"/>
              <w:tabs>
                <w:tab w:pos="624" w:val="left" w:leader="none"/>
                <w:tab w:pos="1267" w:val="left" w:leader="none"/>
              </w:tabs>
              <w:spacing w:line="242" w:lineRule="exact"/>
              <w:ind w:left="101"/>
              <w:rPr>
                <w:sz w:val="22"/>
              </w:rPr>
            </w:pPr>
            <w:r>
              <w:rPr>
                <w:sz w:val="22"/>
              </w:rPr>
              <w:t>n</w:t>
              <w:tab/>
              <w:t>de</w:t>
              <w:tab/>
              <w:t>la</w:t>
            </w:r>
          </w:p>
        </w:tc>
        <w:tc>
          <w:tcPr>
            <w:tcW w:w="1586" w:type="dxa"/>
            <w:tcBorders>
              <w:top w:val="nil"/>
              <w:bottom w:val="nil"/>
            </w:tcBorders>
            <w:shd w:val="clear" w:color="auto" w:fill="8063A1"/>
          </w:tcPr>
          <w:p>
            <w:pPr/>
          </w:p>
        </w:tc>
        <w:tc>
          <w:tcPr>
            <w:tcW w:w="1258" w:type="dxa"/>
            <w:tcBorders>
              <w:top w:val="nil"/>
              <w:bottom w:val="nil"/>
            </w:tcBorders>
            <w:shd w:val="clear" w:color="auto" w:fill="D99493"/>
          </w:tcPr>
          <w:p>
            <w:pPr>
              <w:pStyle w:val="TableParagraph"/>
              <w:spacing w:line="242" w:lineRule="exact"/>
              <w:ind w:left="83" w:right="84"/>
              <w:jc w:val="center"/>
              <w:rPr>
                <w:sz w:val="22"/>
              </w:rPr>
            </w:pPr>
            <w:r>
              <w:rPr>
                <w:sz w:val="22"/>
              </w:rPr>
              <w:t>al,</w:t>
            </w:r>
          </w:p>
        </w:tc>
        <w:tc>
          <w:tcPr>
            <w:tcW w:w="1274" w:type="dxa"/>
            <w:tcBorders>
              <w:top w:val="nil"/>
              <w:bottom w:val="nil"/>
            </w:tcBorders>
            <w:shd w:val="clear" w:color="auto" w:fill="92D050"/>
          </w:tcPr>
          <w:p>
            <w:pPr>
              <w:pStyle w:val="TableParagraph"/>
              <w:spacing w:line="242" w:lineRule="exact"/>
              <w:ind w:right="98"/>
              <w:rPr>
                <w:sz w:val="22"/>
              </w:rPr>
            </w:pPr>
            <w:r>
              <w:rPr>
                <w:sz w:val="22"/>
              </w:rPr>
              <w:t>agraria,</w:t>
            </w:r>
          </w:p>
        </w:tc>
        <w:tc>
          <w:tcPr>
            <w:tcW w:w="1418" w:type="dxa"/>
            <w:tcBorders>
              <w:top w:val="nil"/>
              <w:bottom w:val="nil"/>
            </w:tcBorders>
            <w:shd w:val="clear" w:color="auto" w:fill="92D050"/>
          </w:tcPr>
          <w:p>
            <w:pPr/>
          </w:p>
        </w:tc>
        <w:tc>
          <w:tcPr>
            <w:tcW w:w="1276" w:type="dxa"/>
            <w:tcBorders>
              <w:top w:val="nil"/>
              <w:bottom w:val="nil"/>
            </w:tcBorders>
            <w:shd w:val="clear" w:color="auto" w:fill="92D050"/>
          </w:tcPr>
          <w:p>
            <w:pPr>
              <w:pStyle w:val="TableParagraph"/>
              <w:spacing w:line="242" w:lineRule="exact"/>
              <w:rPr>
                <w:sz w:val="22"/>
              </w:rPr>
            </w:pPr>
            <w:r>
              <w:rPr>
                <w:sz w:val="22"/>
              </w:rPr>
              <w:t>dientes.</w:t>
            </w:r>
          </w:p>
        </w:tc>
        <w:tc>
          <w:tcPr>
            <w:tcW w:w="1345" w:type="dxa"/>
            <w:tcBorders>
              <w:top w:val="nil"/>
              <w:bottom w:val="nil"/>
            </w:tcBorders>
            <w:shd w:val="clear" w:color="auto" w:fill="938953"/>
          </w:tcPr>
          <w:p>
            <w:pPr>
              <w:pStyle w:val="TableParagraph"/>
              <w:spacing w:line="242" w:lineRule="exact"/>
              <w:ind w:left="102"/>
              <w:rPr>
                <w:sz w:val="22"/>
              </w:rPr>
            </w:pPr>
            <w:r>
              <w:rPr>
                <w:sz w:val="22"/>
              </w:rPr>
              <w:t>correspond</w:t>
            </w:r>
          </w:p>
        </w:tc>
      </w:tr>
      <w:tr>
        <w:trPr>
          <w:trHeight w:val="253" w:hRule="exact"/>
        </w:trPr>
        <w:tc>
          <w:tcPr>
            <w:tcW w:w="2062" w:type="dxa"/>
            <w:vMerge/>
          </w:tcPr>
          <w:p>
            <w:pPr/>
          </w:p>
        </w:tc>
        <w:tc>
          <w:tcPr>
            <w:tcW w:w="1448" w:type="dxa"/>
            <w:tcBorders>
              <w:top w:val="nil"/>
              <w:bottom w:val="nil"/>
            </w:tcBorders>
            <w:shd w:val="clear" w:color="auto" w:fill="C0504D"/>
          </w:tcPr>
          <w:p>
            <w:pPr/>
          </w:p>
        </w:tc>
        <w:tc>
          <w:tcPr>
            <w:tcW w:w="1552" w:type="dxa"/>
            <w:tcBorders>
              <w:top w:val="nil"/>
              <w:bottom w:val="nil"/>
            </w:tcBorders>
            <w:shd w:val="clear" w:color="auto" w:fill="8063A1"/>
          </w:tcPr>
          <w:p>
            <w:pPr>
              <w:pStyle w:val="TableParagraph"/>
              <w:spacing w:line="241" w:lineRule="exact"/>
              <w:ind w:left="101"/>
              <w:rPr>
                <w:sz w:val="22"/>
              </w:rPr>
            </w:pPr>
            <w:r>
              <w:rPr>
                <w:sz w:val="22"/>
              </w:rPr>
              <w:t>propiedad</w:t>
            </w:r>
          </w:p>
        </w:tc>
        <w:tc>
          <w:tcPr>
            <w:tcW w:w="1586" w:type="dxa"/>
            <w:tcBorders>
              <w:top w:val="nil"/>
              <w:bottom w:val="nil"/>
            </w:tcBorders>
            <w:shd w:val="clear" w:color="auto" w:fill="8063A1"/>
          </w:tcPr>
          <w:p>
            <w:pPr/>
          </w:p>
        </w:tc>
        <w:tc>
          <w:tcPr>
            <w:tcW w:w="1258" w:type="dxa"/>
            <w:tcBorders>
              <w:top w:val="nil"/>
              <w:bottom w:val="nil"/>
            </w:tcBorders>
            <w:shd w:val="clear" w:color="auto" w:fill="D99493"/>
          </w:tcPr>
          <w:p>
            <w:pPr>
              <w:pStyle w:val="TableParagraph"/>
              <w:spacing w:line="241" w:lineRule="exact"/>
              <w:ind w:left="84" w:right="84"/>
              <w:jc w:val="center"/>
              <w:rPr>
                <w:sz w:val="22"/>
              </w:rPr>
            </w:pPr>
            <w:r>
              <w:rPr>
                <w:sz w:val="22"/>
              </w:rPr>
              <w:t>derivada</w:t>
            </w:r>
          </w:p>
        </w:tc>
        <w:tc>
          <w:tcPr>
            <w:tcW w:w="1274" w:type="dxa"/>
            <w:tcBorders>
              <w:top w:val="nil"/>
              <w:bottom w:val="nil"/>
            </w:tcBorders>
            <w:shd w:val="clear" w:color="auto" w:fill="92D050"/>
          </w:tcPr>
          <w:p>
            <w:pPr>
              <w:pStyle w:val="TableParagraph"/>
              <w:tabs>
                <w:tab w:pos="621" w:val="left" w:leader="none"/>
              </w:tabs>
              <w:spacing w:line="241" w:lineRule="exact"/>
              <w:rPr>
                <w:sz w:val="22"/>
              </w:rPr>
            </w:pPr>
            <w:r>
              <w:rPr>
                <w:sz w:val="22"/>
              </w:rPr>
              <w:t>así</w:t>
              <w:tab/>
              <w:t>como</w:t>
            </w:r>
          </w:p>
        </w:tc>
        <w:tc>
          <w:tcPr>
            <w:tcW w:w="1418" w:type="dxa"/>
            <w:tcBorders>
              <w:top w:val="nil"/>
              <w:bottom w:val="nil"/>
            </w:tcBorders>
            <w:shd w:val="clear" w:color="auto" w:fill="92D050"/>
          </w:tcPr>
          <w:p>
            <w:pPr/>
          </w:p>
        </w:tc>
        <w:tc>
          <w:tcPr>
            <w:tcW w:w="1276" w:type="dxa"/>
            <w:tcBorders>
              <w:top w:val="nil"/>
              <w:bottom w:val="nil"/>
            </w:tcBorders>
            <w:shd w:val="clear" w:color="auto" w:fill="92D050"/>
          </w:tcPr>
          <w:p>
            <w:pPr/>
          </w:p>
        </w:tc>
        <w:tc>
          <w:tcPr>
            <w:tcW w:w="1345" w:type="dxa"/>
            <w:tcBorders>
              <w:top w:val="nil"/>
              <w:bottom w:val="nil"/>
            </w:tcBorders>
            <w:shd w:val="clear" w:color="auto" w:fill="938953"/>
          </w:tcPr>
          <w:p>
            <w:pPr>
              <w:pStyle w:val="TableParagraph"/>
              <w:tabs>
                <w:tab w:pos="1061" w:val="left" w:leader="none"/>
              </w:tabs>
              <w:spacing w:line="241" w:lineRule="exact"/>
              <w:ind w:left="102"/>
              <w:rPr>
                <w:sz w:val="22"/>
              </w:rPr>
            </w:pPr>
            <w:r>
              <w:rPr>
                <w:sz w:val="22"/>
              </w:rPr>
              <w:t>e</w:t>
              <w:tab/>
              <w:t>la</w:t>
            </w:r>
          </w:p>
        </w:tc>
      </w:tr>
      <w:tr>
        <w:trPr>
          <w:trHeight w:val="253" w:hRule="exact"/>
        </w:trPr>
        <w:tc>
          <w:tcPr>
            <w:tcW w:w="2062" w:type="dxa"/>
            <w:vMerge/>
          </w:tcPr>
          <w:p>
            <w:pPr/>
          </w:p>
        </w:tc>
        <w:tc>
          <w:tcPr>
            <w:tcW w:w="1448" w:type="dxa"/>
            <w:tcBorders>
              <w:top w:val="nil"/>
              <w:bottom w:val="nil"/>
            </w:tcBorders>
            <w:shd w:val="clear" w:color="auto" w:fill="C0504D"/>
          </w:tcPr>
          <w:p>
            <w:pPr/>
          </w:p>
        </w:tc>
        <w:tc>
          <w:tcPr>
            <w:tcW w:w="1552" w:type="dxa"/>
            <w:tcBorders>
              <w:top w:val="nil"/>
              <w:bottom w:val="nil"/>
            </w:tcBorders>
            <w:shd w:val="clear" w:color="auto" w:fill="8063A1"/>
          </w:tcPr>
          <w:p>
            <w:pPr>
              <w:pStyle w:val="TableParagraph"/>
              <w:spacing w:line="242" w:lineRule="exact"/>
              <w:ind w:left="101"/>
              <w:rPr>
                <w:sz w:val="22"/>
              </w:rPr>
            </w:pPr>
            <w:r>
              <w:rPr>
                <w:sz w:val="22"/>
              </w:rPr>
              <w:t>rural.</w:t>
            </w:r>
          </w:p>
        </w:tc>
        <w:tc>
          <w:tcPr>
            <w:tcW w:w="1586" w:type="dxa"/>
            <w:tcBorders>
              <w:top w:val="nil"/>
              <w:bottom w:val="nil"/>
            </w:tcBorders>
            <w:shd w:val="clear" w:color="auto" w:fill="8063A1"/>
          </w:tcPr>
          <w:p>
            <w:pPr/>
          </w:p>
        </w:tc>
        <w:tc>
          <w:tcPr>
            <w:tcW w:w="1258" w:type="dxa"/>
            <w:tcBorders>
              <w:top w:val="nil"/>
              <w:bottom w:val="nil"/>
            </w:tcBorders>
            <w:shd w:val="clear" w:color="auto" w:fill="D99493"/>
          </w:tcPr>
          <w:p>
            <w:pPr>
              <w:pStyle w:val="TableParagraph"/>
              <w:spacing w:line="242" w:lineRule="exact"/>
              <w:ind w:left="84" w:right="84"/>
              <w:jc w:val="center"/>
              <w:rPr>
                <w:sz w:val="22"/>
              </w:rPr>
            </w:pPr>
            <w:r>
              <w:rPr>
                <w:sz w:val="22"/>
              </w:rPr>
              <w:t>de la</w:t>
            </w:r>
          </w:p>
        </w:tc>
        <w:tc>
          <w:tcPr>
            <w:tcW w:w="1274" w:type="dxa"/>
            <w:tcBorders>
              <w:top w:val="nil"/>
              <w:bottom w:val="nil"/>
            </w:tcBorders>
            <w:shd w:val="clear" w:color="auto" w:fill="92D050"/>
          </w:tcPr>
          <w:p>
            <w:pPr>
              <w:pStyle w:val="TableParagraph"/>
              <w:tabs>
                <w:tab w:pos="1040" w:val="left" w:leader="none"/>
              </w:tabs>
              <w:spacing w:line="242" w:lineRule="exact"/>
              <w:rPr>
                <w:sz w:val="22"/>
              </w:rPr>
            </w:pPr>
            <w:r>
              <w:rPr>
                <w:sz w:val="22"/>
              </w:rPr>
              <w:t>llevar</w:t>
              <w:tab/>
              <w:t>a</w:t>
            </w:r>
          </w:p>
        </w:tc>
        <w:tc>
          <w:tcPr>
            <w:tcW w:w="1418" w:type="dxa"/>
            <w:tcBorders>
              <w:top w:val="nil"/>
              <w:bottom w:val="nil"/>
            </w:tcBorders>
            <w:shd w:val="clear" w:color="auto" w:fill="92D050"/>
          </w:tcPr>
          <w:p>
            <w:pPr/>
          </w:p>
        </w:tc>
        <w:tc>
          <w:tcPr>
            <w:tcW w:w="1276" w:type="dxa"/>
            <w:tcBorders>
              <w:top w:val="nil"/>
              <w:bottom w:val="nil"/>
            </w:tcBorders>
            <w:shd w:val="clear" w:color="auto" w:fill="92D050"/>
          </w:tcPr>
          <w:p>
            <w:pPr/>
          </w:p>
        </w:tc>
        <w:tc>
          <w:tcPr>
            <w:tcW w:w="1345" w:type="dxa"/>
            <w:tcBorders>
              <w:top w:val="nil"/>
              <w:bottom w:val="nil"/>
            </w:tcBorders>
            <w:shd w:val="clear" w:color="auto" w:fill="938953"/>
          </w:tcPr>
          <w:p>
            <w:pPr>
              <w:pStyle w:val="TableParagraph"/>
              <w:spacing w:line="242" w:lineRule="exact"/>
              <w:ind w:left="102"/>
              <w:rPr>
                <w:sz w:val="22"/>
              </w:rPr>
            </w:pPr>
            <w:r>
              <w:rPr>
                <w:sz w:val="22"/>
              </w:rPr>
              <w:t>administrac</w:t>
            </w:r>
          </w:p>
        </w:tc>
      </w:tr>
      <w:tr>
        <w:trPr>
          <w:trHeight w:val="250" w:hRule="exact"/>
        </w:trPr>
        <w:tc>
          <w:tcPr>
            <w:tcW w:w="2062" w:type="dxa"/>
            <w:vMerge/>
          </w:tcPr>
          <w:p>
            <w:pPr/>
          </w:p>
        </w:tc>
        <w:tc>
          <w:tcPr>
            <w:tcW w:w="1448" w:type="dxa"/>
            <w:tcBorders>
              <w:top w:val="nil"/>
            </w:tcBorders>
            <w:shd w:val="clear" w:color="auto" w:fill="C0504D"/>
          </w:tcPr>
          <w:p>
            <w:pPr/>
          </w:p>
        </w:tc>
        <w:tc>
          <w:tcPr>
            <w:tcW w:w="1552" w:type="dxa"/>
            <w:tcBorders>
              <w:top w:val="nil"/>
            </w:tcBorders>
            <w:shd w:val="clear" w:color="auto" w:fill="8063A1"/>
          </w:tcPr>
          <w:p>
            <w:pPr/>
          </w:p>
        </w:tc>
        <w:tc>
          <w:tcPr>
            <w:tcW w:w="1586" w:type="dxa"/>
            <w:tcBorders>
              <w:top w:val="nil"/>
            </w:tcBorders>
            <w:shd w:val="clear" w:color="auto" w:fill="8063A1"/>
          </w:tcPr>
          <w:p>
            <w:pPr/>
          </w:p>
        </w:tc>
        <w:tc>
          <w:tcPr>
            <w:tcW w:w="1258" w:type="dxa"/>
            <w:tcBorders>
              <w:top w:val="nil"/>
            </w:tcBorders>
            <w:shd w:val="clear" w:color="auto" w:fill="D99493"/>
          </w:tcPr>
          <w:p>
            <w:pPr>
              <w:pStyle w:val="TableParagraph"/>
              <w:spacing w:line="241" w:lineRule="exact"/>
              <w:ind w:left="84" w:right="84"/>
              <w:jc w:val="center"/>
              <w:rPr>
                <w:sz w:val="22"/>
              </w:rPr>
            </w:pPr>
            <w:r>
              <w:rPr>
                <w:sz w:val="22"/>
              </w:rPr>
              <w:t>aplicación</w:t>
            </w:r>
          </w:p>
        </w:tc>
        <w:tc>
          <w:tcPr>
            <w:tcW w:w="1274" w:type="dxa"/>
            <w:tcBorders>
              <w:top w:val="nil"/>
            </w:tcBorders>
            <w:shd w:val="clear" w:color="auto" w:fill="92D050"/>
          </w:tcPr>
          <w:p>
            <w:pPr>
              <w:pStyle w:val="TableParagraph"/>
              <w:tabs>
                <w:tab w:pos="930" w:val="left" w:leader="none"/>
              </w:tabs>
              <w:spacing w:line="241" w:lineRule="exact"/>
              <w:rPr>
                <w:sz w:val="22"/>
              </w:rPr>
            </w:pPr>
            <w:r>
              <w:rPr>
                <w:sz w:val="22"/>
              </w:rPr>
              <w:t>cabo</w:t>
              <w:tab/>
              <w:t>su</w:t>
            </w:r>
          </w:p>
        </w:tc>
        <w:tc>
          <w:tcPr>
            <w:tcW w:w="1418" w:type="dxa"/>
            <w:tcBorders>
              <w:top w:val="nil"/>
            </w:tcBorders>
            <w:shd w:val="clear" w:color="auto" w:fill="92D050"/>
          </w:tcPr>
          <w:p>
            <w:pPr/>
          </w:p>
        </w:tc>
        <w:tc>
          <w:tcPr>
            <w:tcW w:w="1276" w:type="dxa"/>
            <w:tcBorders>
              <w:top w:val="nil"/>
            </w:tcBorders>
            <w:shd w:val="clear" w:color="auto" w:fill="92D050"/>
          </w:tcPr>
          <w:p>
            <w:pPr/>
          </w:p>
        </w:tc>
        <w:tc>
          <w:tcPr>
            <w:tcW w:w="1345" w:type="dxa"/>
            <w:tcBorders>
              <w:top w:val="nil"/>
            </w:tcBorders>
            <w:shd w:val="clear" w:color="auto" w:fill="938953"/>
          </w:tcPr>
          <w:p>
            <w:pPr>
              <w:pStyle w:val="TableParagraph"/>
              <w:tabs>
                <w:tab w:pos="987" w:val="left" w:leader="none"/>
              </w:tabs>
              <w:spacing w:line="241" w:lineRule="exact"/>
              <w:ind w:left="102"/>
              <w:rPr>
                <w:sz w:val="22"/>
              </w:rPr>
            </w:pPr>
            <w:r>
              <w:rPr>
                <w:sz w:val="22"/>
              </w:rPr>
              <w:t>ión</w:t>
              <w:tab/>
              <w:t>de</w:t>
            </w:r>
          </w:p>
        </w:tc>
      </w:tr>
    </w:tbl>
    <w:p>
      <w:pPr>
        <w:spacing w:after="0" w:line="241" w:lineRule="exact"/>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2"/>
        <w:gridCol w:w="1450"/>
        <w:gridCol w:w="1551"/>
        <w:gridCol w:w="1586"/>
        <w:gridCol w:w="1258"/>
        <w:gridCol w:w="1274"/>
        <w:gridCol w:w="1418"/>
        <w:gridCol w:w="1276"/>
        <w:gridCol w:w="1345"/>
      </w:tblGrid>
      <w:tr>
        <w:trPr>
          <w:trHeight w:val="1528" w:hRule="exact"/>
        </w:trPr>
        <w:tc>
          <w:tcPr>
            <w:tcW w:w="2062" w:type="dxa"/>
          </w:tcPr>
          <w:p>
            <w:pPr/>
          </w:p>
        </w:tc>
        <w:tc>
          <w:tcPr>
            <w:tcW w:w="1450" w:type="dxa"/>
            <w:shd w:val="clear" w:color="auto" w:fill="C0504D"/>
          </w:tcPr>
          <w:p>
            <w:pPr/>
          </w:p>
        </w:tc>
        <w:tc>
          <w:tcPr>
            <w:tcW w:w="1551" w:type="dxa"/>
            <w:shd w:val="clear" w:color="auto" w:fill="8063A1"/>
          </w:tcPr>
          <w:p>
            <w:pPr/>
          </w:p>
        </w:tc>
        <w:tc>
          <w:tcPr>
            <w:tcW w:w="1586" w:type="dxa"/>
            <w:shd w:val="clear" w:color="auto" w:fill="8063A1"/>
          </w:tcPr>
          <w:p>
            <w:pPr/>
          </w:p>
        </w:tc>
        <w:tc>
          <w:tcPr>
            <w:tcW w:w="1258" w:type="dxa"/>
            <w:shd w:val="clear" w:color="auto" w:fill="D99493"/>
          </w:tcPr>
          <w:p>
            <w:pPr>
              <w:pStyle w:val="TableParagraph"/>
              <w:spacing w:line="252" w:lineRule="exact" w:before="2"/>
              <w:ind w:left="237" w:right="158" w:hanging="60"/>
              <w:rPr>
                <w:sz w:val="22"/>
              </w:rPr>
            </w:pPr>
            <w:r>
              <w:rPr>
                <w:sz w:val="22"/>
              </w:rPr>
              <w:t>de la Ley Agraria.</w:t>
            </w:r>
          </w:p>
        </w:tc>
        <w:tc>
          <w:tcPr>
            <w:tcW w:w="1274" w:type="dxa"/>
            <w:shd w:val="clear" w:color="auto" w:fill="92D050"/>
          </w:tcPr>
          <w:p>
            <w:pPr>
              <w:pStyle w:val="TableParagraph"/>
              <w:ind w:right="99"/>
              <w:jc w:val="both"/>
              <w:rPr>
                <w:sz w:val="22"/>
              </w:rPr>
            </w:pPr>
            <w:r>
              <w:rPr>
                <w:sz w:val="22"/>
              </w:rPr>
              <w:t>control y seguimien to.</w:t>
            </w:r>
          </w:p>
        </w:tc>
        <w:tc>
          <w:tcPr>
            <w:tcW w:w="1418" w:type="dxa"/>
            <w:shd w:val="clear" w:color="auto" w:fill="92D050"/>
          </w:tcPr>
          <w:p>
            <w:pPr/>
          </w:p>
        </w:tc>
        <w:tc>
          <w:tcPr>
            <w:tcW w:w="1276" w:type="dxa"/>
            <w:shd w:val="clear" w:color="auto" w:fill="92D050"/>
          </w:tcPr>
          <w:p>
            <w:pPr/>
          </w:p>
        </w:tc>
        <w:tc>
          <w:tcPr>
            <w:tcW w:w="1345" w:type="dxa"/>
            <w:shd w:val="clear" w:color="auto" w:fill="938953"/>
          </w:tcPr>
          <w:p>
            <w:pPr>
              <w:pStyle w:val="TableParagraph"/>
              <w:tabs>
                <w:tab w:pos="989" w:val="left" w:leader="none"/>
                <w:tab w:pos="1064" w:val="left" w:leader="none"/>
              </w:tabs>
              <w:ind w:left="102" w:right="97"/>
              <w:rPr>
                <w:sz w:val="22"/>
              </w:rPr>
            </w:pPr>
            <w:r>
              <w:rPr>
                <w:sz w:val="22"/>
              </w:rPr>
              <w:t>justicia agraria</w:t>
              <w:tab/>
              <w:t>en todo</w:t>
              <w:tab/>
              <w:tab/>
              <w:t>el territorio nacional.</w:t>
            </w:r>
          </w:p>
        </w:tc>
      </w:tr>
      <w:tr>
        <w:trPr>
          <w:trHeight w:val="1528" w:hRule="exact"/>
        </w:trPr>
        <w:tc>
          <w:tcPr>
            <w:tcW w:w="2062" w:type="dxa"/>
            <w:shd w:val="clear" w:color="auto" w:fill="C0504D"/>
          </w:tcPr>
          <w:p>
            <w:pPr>
              <w:pStyle w:val="TableParagraph"/>
              <w:ind w:right="474"/>
              <w:rPr>
                <w:b/>
                <w:i/>
                <w:sz w:val="22"/>
              </w:rPr>
            </w:pPr>
            <w:r>
              <w:rPr>
                <w:b/>
                <w:i/>
                <w:sz w:val="22"/>
              </w:rPr>
              <w:t>Comisión </w:t>
            </w:r>
            <w:r>
              <w:rPr>
                <w:b/>
                <w:i/>
                <w:sz w:val="22"/>
              </w:rPr>
              <w:t>Nacional de Acuacultura y Pesca (Conapesca)</w:t>
            </w:r>
          </w:p>
        </w:tc>
        <w:tc>
          <w:tcPr>
            <w:tcW w:w="1450" w:type="dxa"/>
            <w:shd w:val="clear" w:color="auto" w:fill="C0504D"/>
          </w:tcPr>
          <w:p>
            <w:pPr>
              <w:pStyle w:val="TableParagraph"/>
              <w:ind w:left="0"/>
              <w:rPr>
                <w:rFonts w:ascii="Times New Roman"/>
                <w:sz w:val="20"/>
              </w:rPr>
            </w:pPr>
          </w:p>
          <w:p>
            <w:pPr>
              <w:pStyle w:val="TableParagraph"/>
              <w:spacing w:before="6"/>
              <w:ind w:left="0"/>
              <w:rPr>
                <w:rFonts w:ascii="Times New Roman"/>
                <w:sz w:val="19"/>
              </w:rPr>
            </w:pPr>
          </w:p>
          <w:p>
            <w:pPr>
              <w:pStyle w:val="TableParagraph"/>
              <w:ind w:left="0" w:right="1"/>
              <w:jc w:val="center"/>
              <w:rPr>
                <w:b/>
                <w:sz w:val="20"/>
              </w:rPr>
            </w:pPr>
            <w:r>
              <w:rPr>
                <w:b/>
                <w:w w:val="99"/>
                <w:sz w:val="20"/>
              </w:rPr>
              <w:t>√</w:t>
            </w:r>
          </w:p>
        </w:tc>
        <w:tc>
          <w:tcPr>
            <w:tcW w:w="1551" w:type="dxa"/>
            <w:shd w:val="clear" w:color="auto" w:fill="8063A1"/>
          </w:tcPr>
          <w:p>
            <w:pPr/>
          </w:p>
        </w:tc>
        <w:tc>
          <w:tcPr>
            <w:tcW w:w="1586" w:type="dxa"/>
            <w:shd w:val="clear" w:color="auto" w:fill="8063A1"/>
          </w:tcPr>
          <w:p>
            <w:pPr/>
          </w:p>
        </w:tc>
        <w:tc>
          <w:tcPr>
            <w:tcW w:w="1258" w:type="dxa"/>
            <w:shd w:val="clear" w:color="auto" w:fill="D99493"/>
          </w:tcPr>
          <w:p>
            <w:pPr/>
          </w:p>
        </w:tc>
        <w:tc>
          <w:tcPr>
            <w:tcW w:w="1274" w:type="dxa"/>
            <w:shd w:val="clear" w:color="auto" w:fill="92D050"/>
          </w:tcPr>
          <w:p>
            <w:pPr/>
          </w:p>
        </w:tc>
        <w:tc>
          <w:tcPr>
            <w:tcW w:w="1418" w:type="dxa"/>
            <w:shd w:val="clear" w:color="auto" w:fill="92D050"/>
          </w:tcPr>
          <w:p>
            <w:pPr/>
          </w:p>
        </w:tc>
        <w:tc>
          <w:tcPr>
            <w:tcW w:w="1276" w:type="dxa"/>
            <w:shd w:val="clear" w:color="auto" w:fill="92D050"/>
          </w:tcPr>
          <w:p>
            <w:pPr/>
          </w:p>
        </w:tc>
        <w:tc>
          <w:tcPr>
            <w:tcW w:w="1345" w:type="dxa"/>
            <w:shd w:val="clear" w:color="auto" w:fill="938953"/>
          </w:tcPr>
          <w:p>
            <w:pPr/>
          </w:p>
        </w:tc>
      </w:tr>
      <w:tr>
        <w:trPr>
          <w:trHeight w:val="1274" w:hRule="exact"/>
        </w:trPr>
        <w:tc>
          <w:tcPr>
            <w:tcW w:w="2062" w:type="dxa"/>
            <w:shd w:val="clear" w:color="auto" w:fill="8063A1"/>
          </w:tcPr>
          <w:p>
            <w:pPr>
              <w:pStyle w:val="TableParagraph"/>
              <w:ind w:left="170" w:right="167" w:hanging="2"/>
              <w:jc w:val="center"/>
              <w:rPr>
                <w:b/>
                <w:sz w:val="22"/>
              </w:rPr>
            </w:pPr>
            <w:r>
              <w:rPr>
                <w:b/>
                <w:sz w:val="22"/>
              </w:rPr>
              <w:t>Secretaría de Desarrollo Agrario, Territorial y Urbano (Sedatu)</w:t>
            </w:r>
          </w:p>
        </w:tc>
        <w:tc>
          <w:tcPr>
            <w:tcW w:w="1450" w:type="dxa"/>
          </w:tcPr>
          <w:p>
            <w:pPr/>
          </w:p>
        </w:tc>
        <w:tc>
          <w:tcPr>
            <w:tcW w:w="1551" w:type="dxa"/>
            <w:shd w:val="clear" w:color="auto" w:fill="8063A1"/>
          </w:tcPr>
          <w:p>
            <w:pPr>
              <w:pStyle w:val="TableParagraph"/>
              <w:ind w:left="0"/>
              <w:rPr>
                <w:rFonts w:ascii="Times New Roman"/>
                <w:sz w:val="20"/>
              </w:rPr>
            </w:pPr>
          </w:p>
          <w:p>
            <w:pPr>
              <w:pStyle w:val="TableParagraph"/>
              <w:spacing w:before="7"/>
              <w:ind w:left="0"/>
              <w:rPr>
                <w:rFonts w:ascii="Times New Roman"/>
                <w:sz w:val="19"/>
              </w:rPr>
            </w:pPr>
          </w:p>
          <w:p>
            <w:pPr>
              <w:pStyle w:val="TableParagraph"/>
              <w:ind w:left="0" w:right="3"/>
              <w:jc w:val="center"/>
              <w:rPr>
                <w:b/>
                <w:sz w:val="20"/>
              </w:rPr>
            </w:pPr>
            <w:r>
              <w:rPr>
                <w:b/>
                <w:w w:val="99"/>
                <w:sz w:val="20"/>
              </w:rPr>
              <w:t>√</w:t>
            </w:r>
          </w:p>
        </w:tc>
        <w:tc>
          <w:tcPr>
            <w:tcW w:w="1586" w:type="dxa"/>
            <w:shd w:val="clear" w:color="auto" w:fill="8063A1"/>
          </w:tcPr>
          <w:p>
            <w:pPr>
              <w:pStyle w:val="TableParagraph"/>
              <w:ind w:left="0"/>
              <w:rPr>
                <w:rFonts w:ascii="Times New Roman"/>
                <w:sz w:val="20"/>
              </w:rPr>
            </w:pPr>
          </w:p>
          <w:p>
            <w:pPr>
              <w:pStyle w:val="TableParagraph"/>
              <w:spacing w:before="7"/>
              <w:ind w:left="0"/>
              <w:rPr>
                <w:rFonts w:ascii="Times New Roman"/>
                <w:sz w:val="19"/>
              </w:rPr>
            </w:pPr>
          </w:p>
          <w:p>
            <w:pPr>
              <w:pStyle w:val="TableParagraph"/>
              <w:ind w:left="0" w:right="1"/>
              <w:jc w:val="center"/>
              <w:rPr>
                <w:b/>
                <w:sz w:val="20"/>
              </w:rPr>
            </w:pPr>
            <w:r>
              <w:rPr>
                <w:b/>
                <w:w w:val="99"/>
                <w:sz w:val="20"/>
              </w:rPr>
              <w:t>√</w:t>
            </w:r>
          </w:p>
        </w:tc>
        <w:tc>
          <w:tcPr>
            <w:tcW w:w="1258" w:type="dxa"/>
            <w:shd w:val="clear" w:color="auto" w:fill="D99493"/>
          </w:tcPr>
          <w:p>
            <w:pPr/>
          </w:p>
        </w:tc>
        <w:tc>
          <w:tcPr>
            <w:tcW w:w="1274" w:type="dxa"/>
            <w:shd w:val="clear" w:color="auto" w:fill="92D050"/>
          </w:tcPr>
          <w:p>
            <w:pPr/>
          </w:p>
        </w:tc>
        <w:tc>
          <w:tcPr>
            <w:tcW w:w="1418" w:type="dxa"/>
            <w:shd w:val="clear" w:color="auto" w:fill="92D050"/>
          </w:tcPr>
          <w:p>
            <w:pPr/>
          </w:p>
        </w:tc>
        <w:tc>
          <w:tcPr>
            <w:tcW w:w="1276" w:type="dxa"/>
            <w:shd w:val="clear" w:color="auto" w:fill="92D050"/>
          </w:tcPr>
          <w:p>
            <w:pPr/>
          </w:p>
        </w:tc>
        <w:tc>
          <w:tcPr>
            <w:tcW w:w="1345" w:type="dxa"/>
            <w:shd w:val="clear" w:color="auto" w:fill="938953"/>
          </w:tcPr>
          <w:p>
            <w:pPr/>
          </w:p>
        </w:tc>
      </w:tr>
      <w:tr>
        <w:trPr>
          <w:trHeight w:val="771" w:hRule="exact"/>
        </w:trPr>
        <w:tc>
          <w:tcPr>
            <w:tcW w:w="2062" w:type="dxa"/>
            <w:shd w:val="clear" w:color="auto" w:fill="D99493"/>
          </w:tcPr>
          <w:p>
            <w:pPr>
              <w:pStyle w:val="TableParagraph"/>
              <w:spacing w:line="242" w:lineRule="auto"/>
              <w:rPr>
                <w:b/>
                <w:sz w:val="22"/>
              </w:rPr>
            </w:pPr>
            <w:r>
              <w:rPr>
                <w:b/>
                <w:sz w:val="22"/>
              </w:rPr>
              <w:t>Registro Agrario Nacional (RAN)</w:t>
            </w:r>
          </w:p>
        </w:tc>
        <w:tc>
          <w:tcPr>
            <w:tcW w:w="1450" w:type="dxa"/>
          </w:tcPr>
          <w:p>
            <w:pPr/>
          </w:p>
        </w:tc>
        <w:tc>
          <w:tcPr>
            <w:tcW w:w="1551" w:type="dxa"/>
          </w:tcPr>
          <w:p>
            <w:pPr/>
          </w:p>
        </w:tc>
        <w:tc>
          <w:tcPr>
            <w:tcW w:w="1586" w:type="dxa"/>
          </w:tcPr>
          <w:p>
            <w:pPr/>
          </w:p>
        </w:tc>
        <w:tc>
          <w:tcPr>
            <w:tcW w:w="1258" w:type="dxa"/>
            <w:shd w:val="clear" w:color="auto" w:fill="D99493"/>
          </w:tcPr>
          <w:p>
            <w:pPr>
              <w:pStyle w:val="TableParagraph"/>
              <w:spacing w:before="7"/>
              <w:ind w:left="0"/>
              <w:rPr>
                <w:rFonts w:ascii="Times New Roman"/>
                <w:sz w:val="19"/>
              </w:rPr>
            </w:pPr>
          </w:p>
          <w:p>
            <w:pPr>
              <w:pStyle w:val="TableParagraph"/>
              <w:ind w:left="0" w:right="1"/>
              <w:jc w:val="center"/>
              <w:rPr>
                <w:b/>
                <w:sz w:val="20"/>
              </w:rPr>
            </w:pPr>
            <w:r>
              <w:rPr>
                <w:b/>
                <w:w w:val="99"/>
                <w:sz w:val="20"/>
              </w:rPr>
              <w:t>√</w:t>
            </w:r>
          </w:p>
        </w:tc>
        <w:tc>
          <w:tcPr>
            <w:tcW w:w="1274" w:type="dxa"/>
            <w:shd w:val="clear" w:color="auto" w:fill="92D050"/>
          </w:tcPr>
          <w:p>
            <w:pPr/>
          </w:p>
        </w:tc>
        <w:tc>
          <w:tcPr>
            <w:tcW w:w="1418" w:type="dxa"/>
            <w:shd w:val="clear" w:color="auto" w:fill="92D050"/>
          </w:tcPr>
          <w:p>
            <w:pPr/>
          </w:p>
        </w:tc>
        <w:tc>
          <w:tcPr>
            <w:tcW w:w="1276" w:type="dxa"/>
            <w:shd w:val="clear" w:color="auto" w:fill="92D050"/>
          </w:tcPr>
          <w:p>
            <w:pPr/>
          </w:p>
        </w:tc>
        <w:tc>
          <w:tcPr>
            <w:tcW w:w="1345" w:type="dxa"/>
            <w:shd w:val="clear" w:color="auto" w:fill="938953"/>
          </w:tcPr>
          <w:p>
            <w:pPr/>
          </w:p>
        </w:tc>
      </w:tr>
      <w:tr>
        <w:trPr>
          <w:trHeight w:val="768" w:hRule="exact"/>
        </w:trPr>
        <w:tc>
          <w:tcPr>
            <w:tcW w:w="2062" w:type="dxa"/>
            <w:shd w:val="clear" w:color="auto" w:fill="92D050"/>
          </w:tcPr>
          <w:p>
            <w:pPr>
              <w:pStyle w:val="TableParagraph"/>
              <w:spacing w:line="252" w:lineRule="exact" w:before="2"/>
              <w:ind w:right="560"/>
              <w:rPr>
                <w:b/>
                <w:i/>
                <w:sz w:val="22"/>
              </w:rPr>
            </w:pPr>
            <w:r>
              <w:rPr>
                <w:b/>
                <w:i/>
                <w:sz w:val="22"/>
              </w:rPr>
              <w:t>Procuraduría </w:t>
            </w:r>
            <w:r>
              <w:rPr>
                <w:b/>
                <w:i/>
                <w:sz w:val="22"/>
              </w:rPr>
              <w:t>Agraria</w:t>
            </w:r>
          </w:p>
        </w:tc>
        <w:tc>
          <w:tcPr>
            <w:tcW w:w="1450" w:type="dxa"/>
          </w:tcPr>
          <w:p>
            <w:pPr/>
          </w:p>
        </w:tc>
        <w:tc>
          <w:tcPr>
            <w:tcW w:w="1551" w:type="dxa"/>
          </w:tcPr>
          <w:p>
            <w:pPr/>
          </w:p>
        </w:tc>
        <w:tc>
          <w:tcPr>
            <w:tcW w:w="1586" w:type="dxa"/>
          </w:tcPr>
          <w:p>
            <w:pPr/>
          </w:p>
        </w:tc>
        <w:tc>
          <w:tcPr>
            <w:tcW w:w="1258" w:type="dxa"/>
          </w:tcPr>
          <w:p>
            <w:pPr/>
          </w:p>
        </w:tc>
        <w:tc>
          <w:tcPr>
            <w:tcW w:w="1274" w:type="dxa"/>
            <w:shd w:val="clear" w:color="auto" w:fill="92D050"/>
          </w:tcPr>
          <w:p>
            <w:pPr>
              <w:pStyle w:val="TableParagraph"/>
              <w:spacing w:before="6"/>
              <w:ind w:left="0"/>
              <w:rPr>
                <w:rFonts w:ascii="Times New Roman"/>
                <w:sz w:val="19"/>
              </w:rPr>
            </w:pPr>
          </w:p>
          <w:p>
            <w:pPr>
              <w:pStyle w:val="TableParagraph"/>
              <w:ind w:left="0" w:right="1"/>
              <w:jc w:val="center"/>
              <w:rPr>
                <w:b/>
                <w:sz w:val="20"/>
              </w:rPr>
            </w:pPr>
            <w:r>
              <w:rPr>
                <w:b/>
                <w:w w:val="99"/>
                <w:sz w:val="20"/>
              </w:rPr>
              <w:t>√</w:t>
            </w:r>
          </w:p>
        </w:tc>
        <w:tc>
          <w:tcPr>
            <w:tcW w:w="1418" w:type="dxa"/>
            <w:shd w:val="clear" w:color="auto" w:fill="92D050"/>
          </w:tcPr>
          <w:p>
            <w:pPr>
              <w:pStyle w:val="TableParagraph"/>
              <w:spacing w:before="6"/>
              <w:ind w:left="0"/>
              <w:rPr>
                <w:rFonts w:ascii="Times New Roman"/>
                <w:sz w:val="19"/>
              </w:rPr>
            </w:pPr>
          </w:p>
          <w:p>
            <w:pPr>
              <w:pStyle w:val="TableParagraph"/>
              <w:ind w:left="0" w:right="1"/>
              <w:jc w:val="center"/>
              <w:rPr>
                <w:b/>
                <w:sz w:val="20"/>
              </w:rPr>
            </w:pPr>
            <w:r>
              <w:rPr>
                <w:b/>
                <w:w w:val="99"/>
                <w:sz w:val="20"/>
              </w:rPr>
              <w:t>√</w:t>
            </w:r>
          </w:p>
        </w:tc>
        <w:tc>
          <w:tcPr>
            <w:tcW w:w="1276" w:type="dxa"/>
            <w:shd w:val="clear" w:color="auto" w:fill="92D050"/>
          </w:tcPr>
          <w:p>
            <w:pPr>
              <w:pStyle w:val="TableParagraph"/>
              <w:spacing w:before="6"/>
              <w:ind w:left="0"/>
              <w:rPr>
                <w:rFonts w:ascii="Times New Roman"/>
                <w:sz w:val="19"/>
              </w:rPr>
            </w:pPr>
          </w:p>
          <w:p>
            <w:pPr>
              <w:pStyle w:val="TableParagraph"/>
              <w:ind w:left="0"/>
              <w:jc w:val="center"/>
              <w:rPr>
                <w:b/>
                <w:sz w:val="20"/>
              </w:rPr>
            </w:pPr>
            <w:r>
              <w:rPr>
                <w:b/>
                <w:w w:val="99"/>
                <w:sz w:val="20"/>
              </w:rPr>
              <w:t>√</w:t>
            </w:r>
          </w:p>
        </w:tc>
        <w:tc>
          <w:tcPr>
            <w:tcW w:w="1345" w:type="dxa"/>
            <w:shd w:val="clear" w:color="auto" w:fill="938953"/>
          </w:tcPr>
          <w:p>
            <w:pPr/>
          </w:p>
        </w:tc>
      </w:tr>
      <w:tr>
        <w:trPr>
          <w:trHeight w:val="722" w:hRule="exact"/>
        </w:trPr>
        <w:tc>
          <w:tcPr>
            <w:tcW w:w="2062" w:type="dxa"/>
            <w:shd w:val="clear" w:color="auto" w:fill="938953"/>
          </w:tcPr>
          <w:p>
            <w:pPr>
              <w:pStyle w:val="TableParagraph"/>
              <w:spacing w:line="242" w:lineRule="auto"/>
              <w:ind w:right="816"/>
              <w:rPr>
                <w:b/>
                <w:sz w:val="22"/>
              </w:rPr>
            </w:pPr>
            <w:r>
              <w:rPr>
                <w:b/>
                <w:sz w:val="22"/>
              </w:rPr>
              <w:t>Tribunales Agrarios</w:t>
            </w:r>
          </w:p>
        </w:tc>
        <w:tc>
          <w:tcPr>
            <w:tcW w:w="1450" w:type="dxa"/>
          </w:tcPr>
          <w:p>
            <w:pPr/>
          </w:p>
        </w:tc>
        <w:tc>
          <w:tcPr>
            <w:tcW w:w="1551" w:type="dxa"/>
          </w:tcPr>
          <w:p>
            <w:pPr/>
          </w:p>
        </w:tc>
        <w:tc>
          <w:tcPr>
            <w:tcW w:w="1586" w:type="dxa"/>
          </w:tcPr>
          <w:p>
            <w:pPr/>
          </w:p>
        </w:tc>
        <w:tc>
          <w:tcPr>
            <w:tcW w:w="1258" w:type="dxa"/>
          </w:tcPr>
          <w:p>
            <w:pPr/>
          </w:p>
        </w:tc>
        <w:tc>
          <w:tcPr>
            <w:tcW w:w="1274" w:type="dxa"/>
          </w:tcPr>
          <w:p>
            <w:pPr/>
          </w:p>
        </w:tc>
        <w:tc>
          <w:tcPr>
            <w:tcW w:w="1418" w:type="dxa"/>
          </w:tcPr>
          <w:p>
            <w:pPr/>
          </w:p>
        </w:tc>
        <w:tc>
          <w:tcPr>
            <w:tcW w:w="1276" w:type="dxa"/>
          </w:tcPr>
          <w:p>
            <w:pPr/>
          </w:p>
        </w:tc>
        <w:tc>
          <w:tcPr>
            <w:tcW w:w="1345" w:type="dxa"/>
            <w:shd w:val="clear" w:color="auto" w:fill="938953"/>
          </w:tcPr>
          <w:p>
            <w:pPr>
              <w:pStyle w:val="TableParagraph"/>
              <w:spacing w:before="6"/>
              <w:ind w:left="0"/>
              <w:rPr>
                <w:rFonts w:ascii="Times New Roman"/>
                <w:sz w:val="19"/>
              </w:rPr>
            </w:pPr>
          </w:p>
          <w:p>
            <w:pPr>
              <w:pStyle w:val="TableParagraph"/>
              <w:ind w:left="0" w:right="2"/>
              <w:jc w:val="center"/>
              <w:rPr>
                <w:b/>
                <w:sz w:val="20"/>
              </w:rPr>
            </w:pPr>
            <w:r>
              <w:rPr>
                <w:b/>
                <w:w w:val="99"/>
                <w:sz w:val="20"/>
              </w:rPr>
              <w:t>√</w:t>
            </w:r>
          </w:p>
        </w:tc>
      </w:tr>
    </w:tbl>
    <w:p>
      <w:pPr>
        <w:pStyle w:val="BodyText"/>
        <w:spacing w:line="280" w:lineRule="auto"/>
        <w:ind w:left="218" w:right="778"/>
      </w:pPr>
      <w:r>
        <w:rPr>
          <w:b/>
        </w:rPr>
        <w:t>Fuente: </w:t>
      </w:r>
      <w:r>
        <w:rPr/>
        <w:t>Elaboración propia con base en información obtenida de las páginas oficiales en la internet de las Secretarías y Dependencias Gubernamentales.</w:t>
      </w:r>
    </w:p>
    <w:p>
      <w:pPr>
        <w:spacing w:after="0" w:line="280" w:lineRule="auto"/>
        <w:sectPr>
          <w:footerReference w:type="default" r:id="rId170"/>
          <w:pgSz w:w="15840" w:h="12240" w:orient="landscape"/>
          <w:pgMar w:footer="1003" w:header="0" w:top="1140" w:bottom="1200" w:left="1200" w:right="1180"/>
          <w:pgNumType w:start="190"/>
        </w:sectPr>
      </w:pPr>
    </w:p>
    <w:p>
      <w:pPr>
        <w:pStyle w:val="BodyText"/>
        <w:spacing w:line="360" w:lineRule="auto" w:before="56"/>
        <w:ind w:left="102" w:right="115"/>
        <w:jc w:val="both"/>
      </w:pPr>
      <w:r>
        <w:rPr/>
        <w:t>En este sentido, se detectan las omisiones y duplicidad de responsabilidades a través de la matriz de las dependencias gubernamentales federales para con la Cuenca Hidrosocial Presa Huapango:</w:t>
      </w:r>
    </w:p>
    <w:p>
      <w:pPr>
        <w:pStyle w:val="BodyText"/>
        <w:spacing w:before="9"/>
        <w:rPr>
          <w:sz w:val="17"/>
        </w:rPr>
      </w:pPr>
    </w:p>
    <w:p>
      <w:pPr>
        <w:pStyle w:val="ListParagraph"/>
        <w:numPr>
          <w:ilvl w:val="2"/>
          <w:numId w:val="45"/>
        </w:numPr>
        <w:tabs>
          <w:tab w:pos="822" w:val="left" w:leader="none"/>
        </w:tabs>
        <w:spacing w:line="360" w:lineRule="auto" w:before="0" w:after="0"/>
        <w:ind w:left="822" w:right="114" w:hanging="360"/>
        <w:jc w:val="both"/>
        <w:rPr>
          <w:sz w:val="22"/>
        </w:rPr>
      </w:pPr>
      <w:r>
        <w:rPr>
          <w:sz w:val="22"/>
        </w:rPr>
        <w:t>A la Secretaría de Medio Ambiente y Recursos Naturales (Semarnat), le corresponde la protección, restauración y conservación de los ecosistemas y recursos naturales con el fin de propiciar su aprovechamiento y desarrollo sustentable; promover el ordenamiento ecológico del territorio nacional en coordinación con las autoridades federales, estatales y municipales, y con la participación de los particulares; regular y vigilar la conservación de las corrientes, lagos y lagunas de jurisdicción federal, en la protección de cuencas y proteger el medio ambiente; otorgar contratos, concesiones, licencias, permisos, autorizaciones, asignaciones, y reconocer derechos en materia de aguas, forestal, ecológica, explotación de la flora y fauna silvestres; dichas responsabilidades se cumplen parciamente en la región de la presa Huapango, ya que el deterioro ambiental en la zona es evidente y el ordenamiento ecológico no se hace en coordinación con los municipios que integran la cuenca hidrosocial, ni con las instituciones del gobierno estatal del Estado de México. Además las concesiones de los derechos de agua fueron y son en beneficio sólo de los actores de aguas abajo, dejando al margen a los actores de aguas</w:t>
      </w:r>
      <w:r>
        <w:rPr>
          <w:spacing w:val="-15"/>
          <w:sz w:val="22"/>
        </w:rPr>
        <w:t> </w:t>
      </w:r>
      <w:r>
        <w:rPr>
          <w:sz w:val="22"/>
        </w:rPr>
        <w:t>arriba.</w:t>
      </w:r>
    </w:p>
    <w:p>
      <w:pPr>
        <w:pStyle w:val="ListParagraph"/>
        <w:numPr>
          <w:ilvl w:val="2"/>
          <w:numId w:val="45"/>
        </w:numPr>
        <w:tabs>
          <w:tab w:pos="405" w:val="left" w:leader="none"/>
        </w:tabs>
        <w:spacing w:line="360" w:lineRule="auto" w:before="3" w:after="0"/>
        <w:ind w:left="102" w:right="115" w:firstLine="0"/>
        <w:jc w:val="both"/>
        <w:rPr>
          <w:sz w:val="22"/>
        </w:rPr>
      </w:pPr>
      <w:r>
        <w:rPr>
          <w:sz w:val="22"/>
        </w:rPr>
        <w:t>A la Secretaría de Medio Ambiente y Recursos Naturales (Semarnat) mediante la Comisión Nacional del Agua (Conagua) corresponde en términos generales, elaborar la política hídrica nacional y el Programa Nacional Hídrico para proponerlos al Ejecutivo Federal y administrar y preservar las aguas nacionales y sus bienes inherentes, para lograr su uso sustentable, con la corresponsabilidad de los tres órdenes de gobierno y la sociedad en general; establecer las prioridades en lo concerniente a la administración y gestión de las aguas nacionales y de sus bienes nacionales inherentes; analizar y resolver los problemas y conflictos derivados de la explotación, uso, aprovechamiento o conservación de las aguas nacionales. En este punto cabe destacar, que si bien, tiene como atribución la Conagua la gestión integrada de los recursos hídricos, en la práctica ocurre otra cosa, se identificó para el caso de la Cuenca Hidrosocial Presa Huapango,  que falta precisamente una gestión integrada de los recursos hídricos, ya que los actores sociales no son prioridad, sino, por el contrario, son los más afectados de las políticas hídricas que benefician a los actores de aguas abajo, unos en detrimento de los actores de</w:t>
      </w:r>
      <w:r>
        <w:rPr>
          <w:spacing w:val="17"/>
          <w:sz w:val="22"/>
        </w:rPr>
        <w:t> </w:t>
      </w:r>
      <w:r>
        <w:rPr>
          <w:sz w:val="22"/>
        </w:rPr>
        <w:t>aguas</w:t>
      </w:r>
      <w:r>
        <w:rPr>
          <w:spacing w:val="15"/>
          <w:sz w:val="22"/>
        </w:rPr>
        <w:t> </w:t>
      </w:r>
      <w:r>
        <w:rPr>
          <w:sz w:val="22"/>
        </w:rPr>
        <w:t>arriba,</w:t>
      </w:r>
      <w:r>
        <w:rPr>
          <w:spacing w:val="17"/>
          <w:sz w:val="22"/>
        </w:rPr>
        <w:t> </w:t>
      </w:r>
      <w:r>
        <w:rPr>
          <w:sz w:val="22"/>
        </w:rPr>
        <w:t>porque</w:t>
      </w:r>
      <w:r>
        <w:rPr>
          <w:spacing w:val="15"/>
          <w:sz w:val="22"/>
        </w:rPr>
        <w:t> </w:t>
      </w:r>
      <w:r>
        <w:rPr>
          <w:sz w:val="22"/>
        </w:rPr>
        <w:t>los</w:t>
      </w:r>
      <w:r>
        <w:rPr>
          <w:spacing w:val="15"/>
          <w:sz w:val="22"/>
        </w:rPr>
        <w:t> </w:t>
      </w:r>
      <w:r>
        <w:rPr>
          <w:sz w:val="22"/>
        </w:rPr>
        <w:t>derechos</w:t>
      </w:r>
      <w:r>
        <w:rPr>
          <w:spacing w:val="15"/>
          <w:sz w:val="22"/>
        </w:rPr>
        <w:t> </w:t>
      </w:r>
      <w:r>
        <w:rPr>
          <w:sz w:val="22"/>
        </w:rPr>
        <w:t>de</w:t>
      </w:r>
      <w:r>
        <w:rPr>
          <w:spacing w:val="15"/>
          <w:sz w:val="22"/>
        </w:rPr>
        <w:t> </w:t>
      </w:r>
      <w:r>
        <w:rPr>
          <w:sz w:val="22"/>
        </w:rPr>
        <w:t>agua</w:t>
      </w:r>
      <w:r>
        <w:rPr>
          <w:spacing w:val="12"/>
          <w:sz w:val="22"/>
        </w:rPr>
        <w:t> </w:t>
      </w:r>
      <w:r>
        <w:rPr>
          <w:sz w:val="22"/>
        </w:rPr>
        <w:t>fueron</w:t>
      </w:r>
      <w:r>
        <w:rPr>
          <w:spacing w:val="17"/>
          <w:sz w:val="22"/>
        </w:rPr>
        <w:t> </w:t>
      </w:r>
      <w:r>
        <w:rPr>
          <w:sz w:val="22"/>
        </w:rPr>
        <w:t>otorgados</w:t>
      </w:r>
      <w:r>
        <w:rPr>
          <w:spacing w:val="15"/>
          <w:sz w:val="22"/>
        </w:rPr>
        <w:t> </w:t>
      </w:r>
      <w:r>
        <w:rPr>
          <w:sz w:val="22"/>
        </w:rPr>
        <w:t>en</w:t>
      </w:r>
      <w:r>
        <w:rPr>
          <w:spacing w:val="17"/>
          <w:sz w:val="22"/>
        </w:rPr>
        <w:t> </w:t>
      </w:r>
      <w:r>
        <w:rPr>
          <w:sz w:val="22"/>
        </w:rPr>
        <w:t>base</w:t>
      </w:r>
      <w:r>
        <w:rPr>
          <w:spacing w:val="17"/>
          <w:sz w:val="22"/>
        </w:rPr>
        <w:t> </w:t>
      </w:r>
      <w:r>
        <w:rPr>
          <w:sz w:val="22"/>
        </w:rPr>
        <w:t>al</w:t>
      </w:r>
      <w:r>
        <w:rPr>
          <w:spacing w:val="17"/>
          <w:sz w:val="22"/>
        </w:rPr>
        <w:t> </w:t>
      </w:r>
      <w:r>
        <w:rPr>
          <w:sz w:val="22"/>
        </w:rPr>
        <w:t>Ejido,</w:t>
      </w:r>
      <w:r>
        <w:rPr>
          <w:spacing w:val="17"/>
          <w:sz w:val="22"/>
        </w:rPr>
        <w:t> </w:t>
      </w:r>
      <w:r>
        <w:rPr>
          <w:sz w:val="22"/>
        </w:rPr>
        <w:t>con</w:t>
      </w:r>
      <w:r>
        <w:rPr>
          <w:spacing w:val="15"/>
          <w:sz w:val="22"/>
        </w:rPr>
        <w:t> </w:t>
      </w:r>
      <w:r>
        <w:rPr>
          <w:sz w:val="22"/>
        </w:rPr>
        <w:t>lo</w:t>
      </w:r>
    </w:p>
    <w:p>
      <w:pPr>
        <w:spacing w:after="0" w:line="360" w:lineRule="auto"/>
        <w:jc w:val="both"/>
        <w:rPr>
          <w:sz w:val="22"/>
        </w:rPr>
        <w:sectPr>
          <w:footerReference w:type="default" r:id="rId171"/>
          <w:pgSz w:w="12240" w:h="15840"/>
          <w:pgMar w:footer="1003" w:header="0" w:top="1360" w:bottom="1200" w:left="1600" w:right="1580"/>
          <w:pgNumType w:start="191"/>
        </w:sectPr>
      </w:pPr>
    </w:p>
    <w:p>
      <w:pPr>
        <w:pStyle w:val="BodyText"/>
        <w:spacing w:line="360" w:lineRule="auto" w:before="56"/>
        <w:ind w:left="102" w:right="122"/>
        <w:jc w:val="both"/>
      </w:pPr>
      <w:r>
        <w:rPr/>
        <w:t>que promueven los conflictos por el uso y aprovechamiento de los recursos hídricos en vez de ayudar a</w:t>
      </w:r>
      <w:r>
        <w:rPr>
          <w:spacing w:val="-6"/>
        </w:rPr>
        <w:t> </w:t>
      </w:r>
      <w:r>
        <w:rPr/>
        <w:t>solucionarlos.</w:t>
      </w:r>
    </w:p>
    <w:p>
      <w:pPr>
        <w:pStyle w:val="BodyText"/>
        <w:spacing w:before="7"/>
        <w:rPr>
          <w:sz w:val="17"/>
        </w:rPr>
      </w:pPr>
    </w:p>
    <w:p>
      <w:pPr>
        <w:pStyle w:val="ListParagraph"/>
        <w:numPr>
          <w:ilvl w:val="2"/>
          <w:numId w:val="45"/>
        </w:numPr>
        <w:tabs>
          <w:tab w:pos="438" w:val="left" w:leader="none"/>
        </w:tabs>
        <w:spacing w:line="360" w:lineRule="auto" w:before="0" w:after="0"/>
        <w:ind w:left="102" w:right="113" w:firstLine="0"/>
        <w:jc w:val="both"/>
        <w:rPr>
          <w:sz w:val="22"/>
        </w:rPr>
      </w:pPr>
      <w:r>
        <w:rPr>
          <w:sz w:val="22"/>
        </w:rPr>
        <w:t>Respecto a la Secretaría de Agricultura, Ganadería, Desarrollo Rural, Pesca y Alimentación (Sagarpa), le corresponde promover, concretar y desarrollar proyectos estratégicos para México en los sectores agrícola, ganadero, pesquero y alimentario mediante la Comisión Nacional de Acuacultura y Pesca (Conapesca), la cual busca desarrollar programas para apoyar al productor, pescador o ciudadano interesado en realizar actividades pesqueras y</w:t>
      </w:r>
      <w:r>
        <w:rPr>
          <w:spacing w:val="-10"/>
          <w:sz w:val="22"/>
        </w:rPr>
        <w:t> </w:t>
      </w:r>
      <w:r>
        <w:rPr>
          <w:sz w:val="22"/>
        </w:rPr>
        <w:t>acuícolas.</w:t>
      </w:r>
    </w:p>
    <w:p>
      <w:pPr>
        <w:pStyle w:val="BodyText"/>
        <w:spacing w:before="7"/>
        <w:rPr>
          <w:sz w:val="17"/>
        </w:rPr>
      </w:pPr>
    </w:p>
    <w:p>
      <w:pPr>
        <w:pStyle w:val="BodyText"/>
        <w:spacing w:line="360" w:lineRule="auto"/>
        <w:ind w:left="102" w:right="112"/>
        <w:jc w:val="both"/>
      </w:pPr>
      <w:r>
        <w:rPr/>
        <w:t>Si bien se identifica que la Sagarpa tiene una amplia presencia e injerencia en la región  de la cuenca hidrosocial (por ser una cuenca agrícola y ganadera), se detecta su falta de cobertura en los apoyos dirigidos al campo. Por otro lado, la Conapesca, adscrita también a la Sagarpa, se identifica su presencia pero su falta de eficiencia, ya que los pescadores originarios de la presa Huapango, señalan que con su intervención han surgido cooperativas que están integradas por actores que no son pescadores, por ejemplo, en el caso de la cooperativa Pescamex, se detectaron actores que no son de la región y que además el número de pescadores que la integran rebasa incluso el padrón de pescadores de la zona, todo avalado por Sagarpa (falta de integridad). Además, los requisitos solicitados para poder pescar son muy estrictos, y rebasan la capacidad económica de los pescadores, ya que les piden herramientas de determinadas características a las cuales no pueden acceder, y los permisos son muy costosos y engorrosos, lo que facilita una serie de prácticas de corrupción, lo que incentiva las prácticas irregulares de pesca en la zona.</w:t>
      </w:r>
    </w:p>
    <w:p>
      <w:pPr>
        <w:pStyle w:val="BodyText"/>
        <w:spacing w:before="7"/>
        <w:rPr>
          <w:sz w:val="17"/>
        </w:rPr>
      </w:pPr>
    </w:p>
    <w:p>
      <w:pPr>
        <w:pStyle w:val="ListParagraph"/>
        <w:numPr>
          <w:ilvl w:val="2"/>
          <w:numId w:val="45"/>
        </w:numPr>
        <w:tabs>
          <w:tab w:pos="412" w:val="left" w:leader="none"/>
        </w:tabs>
        <w:spacing w:line="360" w:lineRule="auto" w:before="0" w:after="0"/>
        <w:ind w:left="102" w:right="117" w:firstLine="0"/>
        <w:jc w:val="both"/>
        <w:rPr>
          <w:sz w:val="22"/>
        </w:rPr>
      </w:pPr>
      <w:r>
        <w:rPr>
          <w:sz w:val="22"/>
        </w:rPr>
        <w:t>A la Secretaría de Desarrollo Agrario, Territorial y Urbano (Sedatu), le compete proporcionar certeza jurídica en la tenencia de la tierra a la población objetivo, a través del impulso al ordenamiento territorial y la regularización de la propiedad rural; elaborar políticas públicas que fomenten el acceso a la justicia y el desarrollo agrario</w:t>
      </w:r>
      <w:r>
        <w:rPr>
          <w:spacing w:val="-31"/>
          <w:sz w:val="22"/>
        </w:rPr>
        <w:t> </w:t>
      </w:r>
      <w:r>
        <w:rPr>
          <w:sz w:val="22"/>
        </w:rPr>
        <w:t>integral.</w:t>
      </w:r>
    </w:p>
    <w:p>
      <w:pPr>
        <w:pStyle w:val="BodyText"/>
        <w:spacing w:before="7"/>
        <w:rPr>
          <w:sz w:val="17"/>
        </w:rPr>
      </w:pPr>
    </w:p>
    <w:p>
      <w:pPr>
        <w:pStyle w:val="BodyText"/>
        <w:spacing w:line="360" w:lineRule="auto"/>
        <w:ind w:left="102" w:right="118"/>
        <w:jc w:val="both"/>
      </w:pPr>
      <w:r>
        <w:rPr/>
        <w:t>En este sentido, la tenencia de la tierra (rural) en nuestro país sigue siendo un gran problema, ya que desde su inicio se hizo mal (hay casos de que un mismo territorio se ha repartido hasta 4 veces a distintos actores), obedecido esto a intereses políticos posrevolucionarios, sin embargo, a esto hay que sumar que en la reforma de 1992, El Tratado de Libre Comercio y el Banco Mundial exigieron el diseño de políticas neoliberales  para  aumentar  la  competitividad,  fomentar  la  privatización  y  promover</w:t>
      </w:r>
      <w:r>
        <w:rPr>
          <w:spacing w:val="-18"/>
        </w:rPr>
        <w:t> </w:t>
      </w:r>
      <w:r>
        <w:rPr/>
        <w:t>el</w:t>
      </w:r>
    </w:p>
    <w:p>
      <w:pPr>
        <w:spacing w:after="0" w:line="360" w:lineRule="auto"/>
        <w:jc w:val="both"/>
        <w:sectPr>
          <w:pgSz w:w="12240" w:h="15840"/>
          <w:pgMar w:header="0" w:footer="1003" w:top="1360" w:bottom="1200" w:left="1600" w:right="1580"/>
        </w:sectPr>
      </w:pPr>
    </w:p>
    <w:p>
      <w:pPr>
        <w:pStyle w:val="BodyText"/>
        <w:spacing w:line="360" w:lineRule="auto" w:before="56"/>
        <w:ind w:left="102" w:right="114"/>
        <w:jc w:val="both"/>
      </w:pPr>
      <w:r>
        <w:rPr/>
        <w:t>individualismo, reformas que se diseñaron con el propósito de conducir al sector agropecuario hacia un contexto de economía de mercado, mediante la creación de instituciones, políticas y programas públicos. Es por ello que el gobierno, accediendo a las recomendaciones de los organismos neoliberales, elabora en 1992 una nueva ley agraria, creando los Tribunales Agrarios y la Procuraduría Agraria para la solución de conflictos, que por medio del PROCEDE (Programa de Certificación de Derechos Agrarios y Titulación de Solares Urbanos), pretende disminuir las desigualdades sociales en el sector rural. Sin embargo en El PROCEDE también se generaron irregularidades donde se les quitó ejido a determinados campesinos y a otros se les adhirió, tal es caso de algunos ejidatarios del municipio de Acambay, a quienes se les despojó de tierra para el vaso de agua de la presa Huapango, con la justificación de que eran terrenos federales y eran necesarios para que la presa retuviera más agua. El conflicto sigue.</w:t>
      </w:r>
    </w:p>
    <w:p>
      <w:pPr>
        <w:pStyle w:val="BodyText"/>
        <w:spacing w:before="9"/>
        <w:rPr>
          <w:sz w:val="17"/>
        </w:rPr>
      </w:pPr>
    </w:p>
    <w:p>
      <w:pPr>
        <w:pStyle w:val="BodyText"/>
        <w:spacing w:line="360" w:lineRule="auto"/>
        <w:ind w:left="102" w:right="119"/>
        <w:jc w:val="both"/>
      </w:pPr>
      <w:r>
        <w:rPr/>
        <w:t>Finalmente, se identificaron las redes y funciones de todos los grupos de actores, donde destacan los ejidatarios como eje central de la interrelación social con los otros actores.</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6"/>
        <w:ind w:left="3654"/>
      </w:pPr>
      <w:r>
        <w:rPr/>
        <w:t>Esquema 5.11. Mapa General de Actores: REDES Y FUNCIONES</w:t>
      </w:r>
    </w:p>
    <w:p>
      <w:pPr>
        <w:pStyle w:val="BodyText"/>
        <w:spacing w:before="5"/>
        <w:rPr>
          <w:b/>
          <w:sz w:val="21"/>
        </w:rPr>
      </w:pPr>
    </w:p>
    <w:p>
      <w:pPr>
        <w:spacing w:line="276" w:lineRule="auto" w:before="69"/>
        <w:ind w:left="6223" w:right="5897" w:firstLine="19"/>
        <w:jc w:val="center"/>
        <w:rPr>
          <w:b/>
          <w:sz w:val="24"/>
        </w:rPr>
      </w:pPr>
      <w:r>
        <w:rPr/>
        <w:pict>
          <v:shape style="position:absolute;margin-left:60.75pt;margin-top:25.92186pt;width:668.75pt;height:398.2pt;mso-position-horizontal-relative:page;mso-position-vertical-relative:paragraph;z-index:-3333352"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31"/>
                    </w:rPr>
                  </w:pPr>
                </w:p>
                <w:p>
                  <w:pPr>
                    <w:pStyle w:val="BodyText"/>
                    <w:spacing w:line="265" w:lineRule="exact"/>
                    <w:ind w:right="163"/>
                    <w:jc w:val="right"/>
                    <w:rPr>
                      <w:rFonts w:ascii="Calibri"/>
                    </w:rPr>
                  </w:pPr>
                  <w:r>
                    <w:rPr>
                      <w:rFonts w:ascii="Calibri"/>
                    </w:rPr>
                    <w:t>194</w:t>
                  </w:r>
                </w:p>
              </w:txbxContent>
            </v:textbox>
            <w10:wrap type="none"/>
          </v:shape>
        </w:pict>
      </w:r>
      <w:r>
        <w:rPr/>
        <w:pict>
          <v:group style="position:absolute;margin-left:51.5pt;margin-top:-.574141pt;width:679pt;height:425pt;mso-position-horizontal-relative:page;mso-position-vertical-relative:paragraph;z-index:-3333328" coordorigin="1030,-11" coordsize="13580,8500">
            <v:rect style="position:absolute;left:1215;top:518;width:13375;height:7950" filled="true" fillcolor="#00afef" stroked="false">
              <v:fill type="solid"/>
            </v:rect>
            <v:rect style="position:absolute;left:1215;top:518;width:13375;height:7950" filled="false" stroked="true" strokeweight="2pt" strokecolor="#000000"/>
            <v:rect style="position:absolute;left:6375;top:3874;width:3597;height:2097" filled="true" fillcolor="#ffc000" stroked="false">
              <v:fill type="solid"/>
            </v:rect>
            <v:rect style="position:absolute;left:6375;top:3874;width:3597;height:2097" filled="false" stroked="true" strokeweight=".5pt" strokecolor="#000000"/>
            <v:rect style="position:absolute;left:6765;top:-6;width:2437;height:968" filled="true" fillcolor="#00afef" stroked="false">
              <v:fill type="solid"/>
            </v:rect>
            <v:rect style="position:absolute;left:6765;top:-6;width:2437;height:968" filled="false" stroked="true" strokeweight=".5pt" strokecolor="#000000"/>
            <v:rect style="position:absolute;left:10725;top:1789;width:3061;height:1247" filled="true" fillcolor="#92d050" stroked="false">
              <v:fill type="solid"/>
            </v:rect>
            <v:rect style="position:absolute;left:10725;top:1789;width:3061;height:1247" filled="false" stroked="true" strokeweight=".5pt" strokecolor="#000000"/>
            <v:rect style="position:absolute;left:9960;top:5989;width:3379;height:1378" filled="true" fillcolor="#92d050" stroked="false">
              <v:fill type="solid"/>
            </v:rect>
            <v:rect style="position:absolute;left:9960;top:5989;width:3379;height:1378" filled="false" stroked="true" strokeweight=".5pt" strokecolor="#000000"/>
            <v:rect style="position:absolute;left:6165;top:1579;width:3288;height:1216" filled="true" fillcolor="#92d050" stroked="false">
              <v:fill type="solid"/>
            </v:rect>
            <v:rect style="position:absolute;left:6165;top:1579;width:3288;height:1216" filled="false" stroked="true" strokeweight=".5pt" strokecolor="#000000"/>
            <v:shape style="position:absolute;left:2951;top:2341;width:10148;height:4418" coordorigin="2951,2341" coordsize="10148,4418" path="m3109,3199l3106,3195,3039,3079,3030,3064,2954,3195,2951,3199,2953,3204,2956,3206,2960,3208,2964,3207,2966,3203,3022,3107,3023,3079,3023,3107,3023,5952,3022,5952,2966,5856,2964,5852,2960,5851,2956,5853,2953,5855,2951,5860,2954,5863,3030,5994,3039,5980,3106,5863,3109,5860,3107,5855,3104,5853,3100,5851,3096,5852,3094,5856,3038,5952,3037,5980,3037,5976,3037,5952,3037,3107,3038,3107,3094,3203,3096,3207,3100,3208,3104,3206,3107,3204,3109,3199m6194,2419l6181,2412,6063,2343,6059,2341,6055,2342,6053,2346,6051,2349,6052,2354,6055,2356,6151,2412,5128,2412,5224,2356,5227,2354,5228,2349,5226,2346,5224,2342,5220,2341,5216,2343,5085,2419,5216,2496,5220,2498,5224,2497,5226,2493,5228,2490,5227,2485,5224,2483,5127,2427,6152,2427,6055,2483,6052,2485,6051,2490,6053,2493,6055,2497,6059,2498,6063,2496,6181,2427,6194,2419m9949,6679l9936,6672,9818,6603,9814,6601,9810,6602,9808,6606,9806,6609,9807,6614,9810,6616,9906,6672,5683,6672,5779,6616,5782,6614,5783,6609,5781,6606,5779,6602,5775,6601,5771,6603,5640,6679,5771,6756,5775,6758,5779,6757,5781,6753,5783,6750,5782,6745,5779,6743,5682,6687,9906,6687,9810,6743,9807,6745,9806,6750,9808,6753,9810,6757,9814,6758,9818,6756,9936,6687,9949,6679m10714,2420l10583,2344,10579,2342,10575,2343,10573,2346,10571,2350,10572,2355,10575,2357,10671,2413,9508,2412,9495,2419,9495,2419,9484,2413,9495,2419,9506,2413,9508,2412,9508,2412,9604,2356,9607,2354,9608,2349,9606,2346,9604,2342,9600,2341,9596,2343,9465,2419,9596,2496,9600,2498,9604,2497,9606,2493,9608,2490,9607,2485,9604,2483,9507,2427,10671,2428,10699,2428,10671,2428,10575,2484,10572,2486,10571,2490,10575,2498,10579,2499,10583,2497,10701,2428,10701,2428,10714,2420m13099,3169l13096,3165,13029,3049,13020,3034,12944,3165,12941,3169,12943,3174,12946,3176,12950,3178,12954,3177,12956,3173,13012,3077,13013,3077,13013,5922,13012,5922,12956,5826,12954,5822,12950,5821,12946,5823,12943,5825,12941,5830,12944,5833,13020,5964,13029,5950,13096,5833,13099,5830,13097,5825,13094,5823,13090,5821,13086,5822,13084,5826,13028,5922,13027,5950,13027,5946,13027,5922,13027,3077,13027,3053,13027,3049,13028,3077,13084,3173,13086,3177,13090,3178,13094,3176,13097,3174,13099,3169e" filled="true" fillcolor="#000000" stroked="false">
              <v:path arrowok="t"/>
              <v:fill type="solid"/>
            </v:shape>
            <v:shape style="position:absolute;left:4890;top:4279;width:6544;height:2" coordorigin="4890,4279" coordsize="6544,0" path="m9960,4279l11434,4279m4890,4279l6364,4279e" filled="false" stroked="true" strokeweight=".75pt" strokecolor="#000000">
              <v:path arrowok="t"/>
            </v:shape>
            <v:shape style="position:absolute;left:4826;top:3064;width:6668;height:1217" coordorigin="4826,3064" coordsize="6668,1217" path="m4984,3199l4981,3195,4914,3079,4905,3064,4829,3195,4826,3199,4828,3204,4831,3206,4835,3208,4839,3207,4841,3203,4897,3107,4898,3107,4897,4281,4912,4281,4912,3107,4912,3083,4912,3079,4913,3107,4969,3203,4971,3207,4975,3208,4979,3206,4982,3204,4984,3199m11494,3199l11491,3195,11424,3079,11415,3064,11339,3195,11336,3199,11338,3204,11341,3206,11345,3208,11349,3207,11351,3203,11407,3107,11408,3107,11407,4281,11422,4281,11422,3107,11422,3083,11422,3079,11423,3107,11479,3203,11481,3207,11485,3208,11489,3206,11492,3204,11494,3199e" filled="true" fillcolor="#000000" stroked="false">
              <v:path arrowok="t"/>
              <v:fill type="solid"/>
            </v:shape>
            <v:shape style="position:absolute;left:4905;top:5014;width:6514;height:165" coordorigin="4905,5014" coordsize="6514,165" path="m9945,5179l11419,5179m4905,5014l6379,5014e" filled="false" stroked="true" strokeweight=".75pt" strokecolor="#000000">
              <v:path arrowok="t"/>
            </v:shape>
            <v:shape style="position:absolute;left:4814;top:5014;width:6680;height:979" coordorigin="4814,5014" coordsize="6680,979" path="m4971,5859l4970,5854,4966,5852,4963,5850,4958,5851,4898,5950,4913,5015,4899,5014,4883,5950,4827,5849,4822,5848,4815,5852,4814,5856,4890,5992,4899,5978,4971,5859m11494,5855l11492,5850,11489,5848,11485,5846,11481,5847,11479,5851,11423,5947,11422,5975,11422,5971,11422,5947,11422,5179,11407,5179,11408,5947,11407,5947,11351,5851,11349,5847,11345,5846,11341,5848,11338,5850,11336,5855,11339,5858,11415,5989,11424,5975,11491,5858,11494,5855e" filled="true" fillcolor="#000000" stroked="false">
              <v:path arrowok="t"/>
              <v:fill type="solid"/>
            </v:shape>
            <v:shape style="position:absolute;left:7901;top:2794;width:158;height:1118" coordorigin="7901,2794" coordsize="158,1118" path="m7980,2824l7973,2837,7972,3912,7987,3912,7987,2837,7980,2824xm7980,2794l7904,2925,7901,2929,7903,2934,7906,2936,7910,2938,7914,2937,7916,2933,7972,2837,7972,2809,7989,2809,7980,2794xm7989,2809l7987,2809,7988,2837,8044,2933,8046,2937,8050,2938,8054,2936,8057,2934,8059,2929,8056,2925,7989,2809xm7987,2809l7972,2809,7972,2837,7980,2824,7974,2813,7987,2813,7987,2809xm7987,2813l7986,2813,7980,2824,7987,2837,7987,2813xm7986,2813l7974,2813,7980,2824,7986,2813xe" filled="true" fillcolor="#000000" stroked="false">
              <v:path arrowok="t"/>
              <v:fill type="solid"/>
            </v:shape>
            <v:shape style="position:absolute;left:1845;top:1219;width:12745;height:5682" coordorigin="1845,1219" coordsize="12745,5682" path="m9420,1234l14568,1234m1845,1219l6205,1219m13785,2404l14380,2404m14580,1219l14590,6901e" filled="false" stroked="true" strokeweight=".75pt" strokecolor="#000000">
              <v:path arrowok="t"/>
            </v:shape>
            <v:shape style="position:absolute;left:13320;top:6826;width:1270;height:158" coordorigin="13320,6826" coordsize="1270,158" path="m13455,6826l13451,6828,13320,6904,13451,6981,13455,6983,13459,6982,13461,6978,13463,6975,13462,6970,13459,6968,13363,6912,13335,6912,13335,6897,13363,6897,13459,6841,13462,6839,13463,6834,13461,6831,13459,6827,13455,6826xm13363,6897l13335,6897,13335,6912,13363,6912,13361,6911,13339,6911,13339,6898,13361,6898,13363,6897xm14590,6897l13363,6897,13350,6904,13363,6912,14590,6912,14590,6897xm13339,6898l13339,6911,13350,6904,13339,6898xm13350,6904l13339,6911,13361,6911,13350,6904xm13361,6898l13339,6898,13350,6904,13361,6898xe" filled="true" fillcolor="#000000" stroked="false">
              <v:path arrowok="t"/>
              <v:fill type="solid"/>
            </v:shape>
            <v:shape style="position:absolute;left:1793;top:3466;width:52;height:3296" coordorigin="1793,3466" coordsize="52,3296" path="m1793,3466l1845,3466m1793,6761l1845,6761e" filled="false" stroked="true" strokeweight=".75pt" strokecolor="#000000">
              <v:path arrowok="t"/>
            </v:shape>
            <v:shape style="position:absolute;left:1785;top:6864;width:920;height:157" coordorigin="1785,6864" coordsize="920,157" path="m2661,6951l2565,7006,2561,7008,2560,7013,2562,7017,2564,7020,2569,7021,2572,7019,2691,6952,2689,6952,2661,6951xm2674,6944l2661,6951,2689,6952,2689,6951,2685,6951,2674,6944xm2570,6864l2566,6866,2563,6869,2561,6873,2563,6877,2566,6879,2662,6936,2689,6937,2689,6952,2691,6952,2704,6944,2574,6866,2570,6864xm1785,6927l1785,6942,2661,6951,2674,6944,2662,6936,1785,6927xm2685,6938l2674,6944,2685,6951,2685,6938xm2689,6938l2685,6938,2685,6951,2689,6951,2689,6938xm2662,6936l2674,6944,2685,6938,2689,6938,2689,6937,2662,6936xe" filled="true" fillcolor="#000000" stroked="false">
              <v:path arrowok="t"/>
              <v:fill type="solid"/>
            </v:shape>
            <v:rect style="position:absolute;left:1035;top:5719;width:1537;height:869" filled="true" fillcolor="#ffffff" stroked="false">
              <v:fill type="solid"/>
            </v:rect>
            <v:rect style="position:absolute;left:1035;top:5719;width:1537;height:869" filled="false" stroked="true" strokeweight=".5pt" strokecolor="#000000"/>
            <v:shape style="position:absolute;left:4155;top:7774;width:10217;height:2" coordorigin="4155,7774" coordsize="10217,0" path="m8655,7774l14372,7774m4155,7774l6975,7774e" filled="false" stroked="true" strokeweight=".75pt" strokecolor="#000000">
              <v:path arrowok="t"/>
            </v:shape>
            <v:shape style="position:absolute;left:4076;top:7324;width:158;height:453" coordorigin="4076,7324" coordsize="158,453" path="m4155,7354l4148,7367,4147,7777,4162,7777,4162,7367,4155,7354xm4155,7324l4079,7455,4076,7459,4078,7464,4085,7468,4089,7466,4091,7463,4147,7367,4148,7339,4164,7339,4155,7324xm4164,7339l4163,7339,4163,7367,4219,7463,4221,7466,4225,7468,4232,7464,4234,7459,4231,7455,4164,7339xm4163,7343l4161,7343,4155,7354,4163,7367,4163,7343xm4163,7339l4148,7339,4148,7367,4155,7354,4149,7343,4163,7343,4163,7339xm4161,7343l4149,7343,4155,7354,4161,7343xe" filled="true" fillcolor="#000000" stroked="false">
              <v:path arrowok="t"/>
              <v:fill type="solid"/>
            </v:shape>
            <v:rect style="position:absolute;left:6975;top:7114;width:1680;height:851" filled="true" fillcolor="#ffffff" stroked="false">
              <v:fill type="solid"/>
            </v:rect>
            <v:rect style="position:absolute;left:6975;top:7114;width:1680;height:851" filled="false" stroked="true" strokeweight=".5pt" strokecolor="#000000"/>
            <v:shape style="position:absolute;left:6195;top:1234;width:8189;height:6539" coordorigin="6195,1234" coordsize="8189,6539" path="m9420,1586l9420,1234m6195,1601l6195,1249m14384,2404l14372,7773e" filled="false" stroked="true" strokeweight=".75pt" strokecolor="#000000">
              <v:path arrowok="t"/>
            </v:shape>
            <v:shape style="position:absolute;left:11651;top:7371;width:158;height:410" coordorigin="11651,7371" coordsize="158,410" path="m11730,7401l11723,7414,11722,7781,11737,7781,11737,7414,11730,7401xm11730,7371l11654,7502,11651,7506,11653,7511,11660,7515,11664,7513,11666,7510,11722,7414,11722,7386,11739,7386,11730,7371xm11739,7386l11737,7386,11738,7414,11794,7510,11796,7513,11800,7515,11807,7511,11809,7506,11806,7502,11739,7386xm11737,7386l11722,7386,11722,7414,11730,7401,11724,7390,11737,7390,11737,7386xm11737,7390l11736,7390,11730,7401,11737,7414,11737,7390xm11736,7390l11724,7390,11730,7401,11736,7390xe" filled="true" fillcolor="#000000" stroked="false">
              <v:path arrowok="t"/>
              <v:fill type="solid"/>
            </v:shape>
            <w10:wrap type="none"/>
          </v:group>
        </w:pict>
      </w:r>
      <w:r>
        <w:rPr>
          <w:b/>
          <w:sz w:val="24"/>
        </w:rPr>
        <w:t>CUENCA </w:t>
      </w:r>
      <w:r>
        <w:rPr>
          <w:b/>
          <w:spacing w:val="-1"/>
          <w:sz w:val="24"/>
        </w:rPr>
        <w:t>HIDROSOCIAL</w:t>
      </w:r>
    </w:p>
    <w:p>
      <w:pPr>
        <w:pStyle w:val="BodyText"/>
        <w:rPr>
          <w:b/>
          <w:sz w:val="20"/>
        </w:rPr>
      </w:pPr>
    </w:p>
    <w:p>
      <w:pPr>
        <w:pStyle w:val="BodyText"/>
        <w:rPr>
          <w:b/>
          <w:sz w:val="20"/>
        </w:rPr>
      </w:pPr>
    </w:p>
    <w:p>
      <w:pPr>
        <w:pStyle w:val="BodyText"/>
        <w:rPr>
          <w:b/>
          <w:sz w:val="20"/>
        </w:rPr>
      </w:pPr>
    </w:p>
    <w:p>
      <w:pPr>
        <w:pStyle w:val="BodyText"/>
        <w:spacing w:before="2"/>
        <w:rPr>
          <w:b/>
          <w:sz w:val="17"/>
        </w:rPr>
      </w:pPr>
    </w:p>
    <w:p>
      <w:pPr>
        <w:spacing w:after="0"/>
        <w:rPr>
          <w:sz w:val="17"/>
        </w:rPr>
        <w:sectPr>
          <w:footerReference w:type="default" r:id="rId172"/>
          <w:pgSz w:w="15840" w:h="12240" w:orient="landscape"/>
          <w:pgMar w:footer="0" w:header="0" w:top="1140" w:bottom="280" w:left="920" w:right="1120"/>
        </w:sectPr>
      </w:pPr>
    </w:p>
    <w:p>
      <w:pPr>
        <w:spacing w:line="280" w:lineRule="auto" w:before="65"/>
        <w:ind w:left="6221" w:right="-20" w:hanging="149"/>
        <w:jc w:val="left"/>
        <w:rPr>
          <w:b/>
          <w:sz w:val="28"/>
        </w:rPr>
      </w:pPr>
      <w:r>
        <w:rPr/>
        <w:pict>
          <v:shape style="position:absolute;margin-left:123pt;margin-top:9.991842pt;width:131.6pt;height:63.45pt;mso-position-horizontal-relative:page;mso-position-vertical-relative:paragraph;z-index:10120" type="#_x0000_t202" filled="true" fillcolor="#92d050" stroked="true" strokeweight=".5pt" strokecolor="#000000">
            <v:textbox inset="0,0,0,0">
              <w:txbxContent>
                <w:p>
                  <w:pPr>
                    <w:spacing w:line="280" w:lineRule="auto" w:before="69"/>
                    <w:ind w:left="624" w:right="618" w:firstLine="165"/>
                    <w:jc w:val="left"/>
                    <w:rPr>
                      <w:b/>
                      <w:sz w:val="28"/>
                    </w:rPr>
                  </w:pPr>
                  <w:r>
                    <w:rPr>
                      <w:b/>
                      <w:sz w:val="28"/>
                    </w:rPr>
                    <w:t>Actores Históricos</w:t>
                  </w:r>
                </w:p>
              </w:txbxContent>
            </v:textbox>
            <v:fill type="solid"/>
            <w10:wrap type="none"/>
          </v:shape>
        </w:pict>
      </w:r>
      <w:r>
        <w:rPr>
          <w:b/>
          <w:sz w:val="28"/>
        </w:rPr>
        <w:t>Autoridades Auxiliares</w:t>
      </w:r>
    </w:p>
    <w:p>
      <w:pPr>
        <w:pStyle w:val="BodyText"/>
        <w:spacing w:before="7"/>
        <w:rPr>
          <w:b/>
          <w:sz w:val="24"/>
        </w:rPr>
      </w:pPr>
      <w:r>
        <w:rPr/>
        <w:br w:type="column"/>
      </w:r>
      <w:r>
        <w:rPr>
          <w:b/>
          <w:sz w:val="24"/>
        </w:rPr>
      </w:r>
    </w:p>
    <w:p>
      <w:pPr>
        <w:spacing w:before="0"/>
        <w:ind w:left="2229" w:right="0" w:firstLine="0"/>
        <w:jc w:val="left"/>
        <w:rPr>
          <w:b/>
          <w:sz w:val="28"/>
        </w:rPr>
      </w:pPr>
      <w:r>
        <w:rPr>
          <w:b/>
          <w:sz w:val="28"/>
        </w:rPr>
        <w:t>Actores Municipales</w:t>
      </w:r>
    </w:p>
    <w:p>
      <w:pPr>
        <w:spacing w:after="0"/>
        <w:jc w:val="left"/>
        <w:rPr>
          <w:sz w:val="28"/>
        </w:rPr>
        <w:sectPr>
          <w:type w:val="continuous"/>
          <w:pgSz w:w="15840" w:h="12240" w:orient="landscape"/>
          <w:pgMar w:top="1360" w:bottom="1200" w:left="920" w:right="1120"/>
          <w:cols w:num="2" w:equalWidth="0">
            <w:col w:w="7706" w:space="40"/>
            <w:col w:w="6054"/>
          </w:cols>
        </w:sectPr>
      </w:pPr>
    </w:p>
    <w:p>
      <w:pPr>
        <w:pStyle w:val="BodyText"/>
        <w:rPr>
          <w:b/>
          <w:sz w:val="20"/>
        </w:rPr>
      </w:pPr>
    </w:p>
    <w:p>
      <w:pPr>
        <w:pStyle w:val="BodyText"/>
        <w:rPr>
          <w:b/>
          <w:sz w:val="20"/>
        </w:rPr>
      </w:pPr>
    </w:p>
    <w:p>
      <w:pPr>
        <w:pStyle w:val="BodyText"/>
        <w:spacing w:before="5" w:after="1"/>
        <w:rPr>
          <w:b/>
          <w:sz w:val="28"/>
        </w:rPr>
      </w:pPr>
    </w:p>
    <w:p>
      <w:pPr>
        <w:tabs>
          <w:tab w:pos="5555" w:val="left" w:leader="none"/>
          <w:tab w:pos="9425" w:val="left" w:leader="none"/>
        </w:tabs>
        <w:spacing w:line="240" w:lineRule="auto"/>
        <w:ind w:left="2600" w:right="0" w:firstLine="0"/>
        <w:rPr>
          <w:sz w:val="20"/>
        </w:rPr>
      </w:pPr>
      <w:r>
        <w:rPr>
          <w:sz w:val="20"/>
        </w:rPr>
        <w:pict>
          <v:shape style="width:133.85pt;height:42.55pt;mso-position-horizontal-relative:char;mso-position-vertical-relative:line" type="#_x0000_t202" filled="true" fillcolor="#ffffff" stroked="true" strokeweight=".5pt" strokecolor="#000000">
            <w10:anchorlock/>
            <v:textbox inset="0,0,0,0">
              <w:txbxContent>
                <w:p>
                  <w:pPr>
                    <w:pStyle w:val="BodyText"/>
                    <w:spacing w:line="278" w:lineRule="auto" w:before="69"/>
                    <w:ind w:left="740" w:right="168" w:hanging="562"/>
                  </w:pPr>
                  <w:r>
                    <w:rPr/>
                    <w:t>Son ellos mismos y son multiactores</w:t>
                  </w:r>
                </w:p>
              </w:txbxContent>
            </v:textbox>
            <v:fill type="solid"/>
          </v:shape>
        </w:pict>
      </w:r>
      <w:r>
        <w:rPr>
          <w:sz w:val="20"/>
        </w:rPr>
      </w:r>
      <w:r>
        <w:rPr>
          <w:sz w:val="20"/>
        </w:rPr>
        <w:tab/>
      </w:r>
      <w:r>
        <w:rPr>
          <w:position w:val="42"/>
          <w:sz w:val="20"/>
        </w:rPr>
        <w:pict>
          <v:shape style="width:149.8pt;height:23.8pt;mso-position-horizontal-relative:char;mso-position-vertical-relative:line" type="#_x0000_t202" filled="true" fillcolor="#ffffff" stroked="true" strokeweight=".5pt" strokecolor="#000000">
            <w10:anchorlock/>
            <v:textbox inset="0,0,0,0">
              <w:txbxContent>
                <w:p>
                  <w:pPr>
                    <w:pStyle w:val="BodyText"/>
                    <w:spacing w:before="71"/>
                    <w:ind w:left="300"/>
                  </w:pPr>
                  <w:r>
                    <w:rPr/>
                    <w:t>Representantes directos</w:t>
                  </w:r>
                </w:p>
              </w:txbxContent>
            </v:textbox>
            <v:fill type="solid"/>
          </v:shape>
        </w:pict>
      </w:r>
      <w:r>
        <w:rPr>
          <w:position w:val="42"/>
          <w:sz w:val="20"/>
        </w:rPr>
      </w:r>
      <w:r>
        <w:rPr>
          <w:position w:val="42"/>
          <w:sz w:val="20"/>
        </w:rPr>
        <w:tab/>
      </w:r>
      <w:r>
        <w:rPr>
          <w:sz w:val="20"/>
        </w:rPr>
        <w:pict>
          <v:shape style="width:84pt;height:42.55pt;mso-position-horizontal-relative:char;mso-position-vertical-relative:line" type="#_x0000_t202" filled="true" fillcolor="#ffffff" stroked="true" strokeweight=".5pt" strokecolor="#000000">
            <w10:anchorlock/>
            <v:textbox inset="0,0,0,0">
              <w:txbxContent>
                <w:p>
                  <w:pPr>
                    <w:pStyle w:val="BodyText"/>
                    <w:spacing w:line="278" w:lineRule="auto" w:before="69"/>
                    <w:ind w:left="439" w:right="292" w:hanging="135"/>
                  </w:pPr>
                  <w:r>
                    <w:rPr/>
                    <w:t>Demandas sociales</w:t>
                  </w:r>
                </w:p>
              </w:txbxContent>
            </v:textbox>
            <v:fill type="solid"/>
          </v:shape>
        </w:pict>
      </w:r>
      <w:r>
        <w:rPr>
          <w:sz w:val="20"/>
        </w:rPr>
      </w:r>
    </w:p>
    <w:p>
      <w:pPr>
        <w:pStyle w:val="BodyText"/>
        <w:rPr>
          <w:b/>
          <w:sz w:val="20"/>
        </w:rPr>
      </w:pPr>
    </w:p>
    <w:p>
      <w:pPr>
        <w:pStyle w:val="BodyText"/>
        <w:spacing w:before="4"/>
        <w:rPr>
          <w:b/>
          <w:sz w:val="23"/>
        </w:rPr>
      </w:pPr>
    </w:p>
    <w:p>
      <w:pPr>
        <w:spacing w:before="59"/>
        <w:ind w:left="6156" w:right="5452" w:firstLine="0"/>
        <w:jc w:val="center"/>
        <w:rPr>
          <w:b/>
          <w:sz w:val="32"/>
        </w:rPr>
      </w:pPr>
      <w:r>
        <w:rPr/>
        <w:pict>
          <v:shape style="position:absolute;margin-left:582pt;margin-top:-4.922187pt;width:117.6pt;height:24.3pt;mso-position-horizontal-relative:page;mso-position-vertical-relative:paragraph;z-index:10168" type="#_x0000_t202" filled="true" fillcolor="#ffffff" stroked="true" strokeweight=".5pt" strokecolor="#000000">
            <v:textbox inset="0,0,0,0">
              <w:txbxContent>
                <w:p>
                  <w:pPr>
                    <w:pStyle w:val="BodyText"/>
                    <w:spacing w:before="71"/>
                    <w:ind w:left="327"/>
                  </w:pPr>
                  <w:r>
                    <w:rPr/>
                    <w:t>Interrelacionados</w:t>
                  </w:r>
                </w:p>
              </w:txbxContent>
            </v:textbox>
            <v:fill type="solid"/>
            <w10:wrap type="none"/>
          </v:shape>
        </w:pict>
      </w:r>
      <w:r>
        <w:rPr/>
        <w:pict>
          <v:shape style="position:absolute;margin-left:118.5pt;margin-top:-4.922187pt;width:124.6pt;height:20.5pt;mso-position-horizontal-relative:page;mso-position-vertical-relative:paragraph;z-index:10192" type="#_x0000_t202" filled="true" fillcolor="#ffffff" stroked="true" strokeweight=".5pt" strokecolor="#000000">
            <v:textbox inset="0,0,0,0">
              <w:txbxContent>
                <w:p>
                  <w:pPr>
                    <w:pStyle w:val="BodyText"/>
                    <w:spacing w:before="71"/>
                    <w:ind w:left="397"/>
                  </w:pPr>
                  <w:r>
                    <w:rPr/>
                    <w:t>Interrelacionados</w:t>
                  </w:r>
                </w:p>
              </w:txbxContent>
            </v:textbox>
            <v:fill type="solid"/>
            <w10:wrap type="none"/>
          </v:shape>
        </w:pict>
      </w:r>
      <w:r>
        <w:rPr>
          <w:b/>
          <w:sz w:val="32"/>
        </w:rPr>
        <w:t>EJIDATARIOS</w:t>
      </w:r>
    </w:p>
    <w:p>
      <w:pPr>
        <w:pStyle w:val="BodyText"/>
        <w:spacing w:before="8"/>
        <w:rPr>
          <w:b/>
          <w:sz w:val="15"/>
        </w:rPr>
      </w:pPr>
      <w:r>
        <w:rPr/>
        <w:pict>
          <v:shape style="position:absolute;margin-left:179.25pt;margin-top:11.229376pt;width:127.65pt;height:21.25pt;mso-position-horizontal-relative:page;mso-position-vertical-relative:paragraph;z-index:10024;mso-wrap-distance-left:0;mso-wrap-distance-right:0" type="#_x0000_t202" filled="true" fillcolor="#ffffff" stroked="true" strokeweight=".5pt" strokecolor="#000000">
            <v:textbox inset="0,0,0,0">
              <w:txbxContent>
                <w:p>
                  <w:pPr>
                    <w:pStyle w:val="BodyText"/>
                    <w:spacing w:before="70"/>
                    <w:ind w:left="312"/>
                  </w:pPr>
                  <w:r>
                    <w:rPr/>
                    <w:t>Demandas sociales</w:t>
                  </w:r>
                </w:p>
              </w:txbxContent>
            </v:textbox>
            <v:fill type="solid"/>
            <w10:wrap type="topAndBottom"/>
          </v:shape>
        </w:pict>
      </w:r>
      <w:r>
        <w:rPr/>
        <w:pict>
          <v:shape style="position:absolute;margin-left:507.75pt;margin-top:15.729376pt;width:127.65pt;height:21.25pt;mso-position-horizontal-relative:page;mso-position-vertical-relative:paragraph;z-index:10048;mso-wrap-distance-left:0;mso-wrap-distance-right:0" type="#_x0000_t202" filled="true" fillcolor="#ffffff" stroked="true" strokeweight=".5pt" strokecolor="#000000">
            <v:textbox inset="0,0,0,0">
              <w:txbxContent>
                <w:p>
                  <w:pPr>
                    <w:pStyle w:val="BodyText"/>
                    <w:spacing w:before="71"/>
                    <w:ind w:left="312"/>
                  </w:pPr>
                  <w:r>
                    <w:rPr/>
                    <w:t>Demandas sociales</w:t>
                  </w:r>
                </w:p>
              </w:txbxContent>
            </v:textbox>
            <v:fill type="solid"/>
            <w10:wrap type="topAndBottom"/>
          </v:shape>
        </w:pict>
      </w:r>
    </w:p>
    <w:p>
      <w:pPr>
        <w:pStyle w:val="BodyText"/>
        <w:spacing w:line="216" w:lineRule="exact"/>
        <w:ind w:left="331" w:right="12364"/>
        <w:jc w:val="center"/>
      </w:pPr>
      <w:r>
        <w:rPr/>
        <w:t>Demandas</w:t>
      </w:r>
    </w:p>
    <w:p>
      <w:pPr>
        <w:pStyle w:val="BodyText"/>
        <w:spacing w:before="38"/>
        <w:ind w:left="329" w:right="12364"/>
        <w:jc w:val="center"/>
      </w:pPr>
      <w:r>
        <w:rPr/>
        <w:pict>
          <v:shape style="position:absolute;margin-left:321.75pt;margin-top:18.017864pt;width:122.7pt;height:27.9pt;mso-position-horizontal-relative:page;mso-position-vertical-relative:paragraph;z-index:10144" type="#_x0000_t202" filled="true" fillcolor="#ffffff" stroked="true" strokeweight=".5pt" strokecolor="#000000">
            <v:textbox inset="0,0,0,0">
              <w:txbxContent>
                <w:p>
                  <w:pPr>
                    <w:pStyle w:val="BodyText"/>
                    <w:spacing w:before="71"/>
                    <w:ind w:left="377"/>
                  </w:pPr>
                  <w:r>
                    <w:rPr/>
                    <w:t>Interrelacionados</w:t>
                  </w:r>
                </w:p>
              </w:txbxContent>
            </v:textbox>
            <v:fill type="solid"/>
            <w10:wrap type="none"/>
          </v:shape>
        </w:pict>
      </w:r>
      <w:r>
        <w:rPr/>
        <w:pict>
          <v:shape style="position:absolute;margin-left:133.5pt;margin-top:-2.982136pt;width:148.6pt;height:68.9pt;mso-position-horizontal-relative:page;mso-position-vertical-relative:paragraph;z-index:10216" type="#_x0000_t202" filled="true" fillcolor="#92d050" stroked="true" strokeweight=".5pt" strokecolor="#000000">
            <v:textbox inset="0,0,0,0">
              <w:txbxContent>
                <w:p>
                  <w:pPr>
                    <w:pStyle w:val="BodyText"/>
                    <w:rPr>
                      <w:sz w:val="28"/>
                    </w:rPr>
                  </w:pPr>
                </w:p>
                <w:p>
                  <w:pPr>
                    <w:pStyle w:val="BodyText"/>
                    <w:spacing w:before="4"/>
                    <w:rPr>
                      <w:sz w:val="28"/>
                    </w:rPr>
                  </w:pPr>
                </w:p>
                <w:p>
                  <w:pPr>
                    <w:spacing w:before="0"/>
                    <w:ind w:left="306" w:right="0" w:firstLine="0"/>
                    <w:jc w:val="left"/>
                    <w:rPr>
                      <w:b/>
                      <w:sz w:val="28"/>
                    </w:rPr>
                  </w:pPr>
                  <w:r>
                    <w:rPr>
                      <w:b/>
                      <w:sz w:val="28"/>
                    </w:rPr>
                    <w:t>Actores Estatales</w:t>
                  </w:r>
                </w:p>
              </w:txbxContent>
            </v:textbox>
            <v:fill type="solid"/>
            <w10:wrap type="none"/>
          </v:shape>
        </w:pict>
      </w:r>
      <w:r>
        <w:rPr/>
        <w:t>sociales</w:t>
      </w:r>
    </w:p>
    <w:p>
      <w:pPr>
        <w:pStyle w:val="BodyText"/>
        <w:spacing w:before="3"/>
        <w:rPr>
          <w:sz w:val="26"/>
        </w:rPr>
      </w:pPr>
    </w:p>
    <w:p>
      <w:pPr>
        <w:pStyle w:val="Heading3"/>
        <w:ind w:right="1851"/>
        <w:jc w:val="right"/>
      </w:pPr>
      <w:r>
        <w:rPr/>
        <w:t>Actores Federales</w:t>
      </w:r>
    </w:p>
    <w:p>
      <w:pPr>
        <w:pStyle w:val="BodyText"/>
        <w:spacing w:before="4"/>
        <w:rPr>
          <w:b/>
          <w:sz w:val="13"/>
        </w:rPr>
      </w:pPr>
    </w:p>
    <w:p>
      <w:pPr>
        <w:pStyle w:val="BodyText"/>
        <w:spacing w:line="276" w:lineRule="auto" w:before="73"/>
        <w:ind w:left="6156" w:right="6163"/>
        <w:jc w:val="center"/>
      </w:pPr>
      <w:r>
        <w:rPr/>
        <w:t>Enlace de gestión</w:t>
      </w:r>
    </w:p>
    <w:p>
      <w:pPr>
        <w:spacing w:after="0" w:line="276" w:lineRule="auto"/>
        <w:jc w:val="center"/>
        <w:sectPr>
          <w:type w:val="continuous"/>
          <w:pgSz w:w="15840" w:h="12240" w:orient="landscape"/>
          <w:pgMar w:top="1360" w:bottom="1200" w:left="920" w:right="1120"/>
        </w:sectPr>
      </w:pPr>
    </w:p>
    <w:p>
      <w:pPr>
        <w:pStyle w:val="BodyText"/>
        <w:spacing w:line="360" w:lineRule="auto" w:before="53"/>
        <w:ind w:left="102" w:right="121"/>
        <w:jc w:val="both"/>
      </w:pPr>
      <w:r>
        <w:rPr>
          <w:b/>
        </w:rPr>
        <w:t>Fuente: </w:t>
      </w:r>
      <w:r>
        <w:rPr/>
        <w:t>Elaboración propia con base en la revisión bibliográfica y el Trabajo de Campo, García (2013-2015).</w:t>
      </w:r>
    </w:p>
    <w:p>
      <w:pPr>
        <w:pStyle w:val="BodyText"/>
        <w:spacing w:before="10"/>
        <w:rPr>
          <w:sz w:val="24"/>
        </w:rPr>
      </w:pPr>
    </w:p>
    <w:p>
      <w:pPr>
        <w:pStyle w:val="BodyText"/>
        <w:spacing w:line="360" w:lineRule="auto"/>
        <w:ind w:left="102" w:right="113"/>
        <w:jc w:val="both"/>
      </w:pPr>
      <w:r>
        <w:rPr/>
        <w:t>Con base en el anterior mapa de </w:t>
      </w:r>
      <w:r>
        <w:rPr>
          <w:i/>
        </w:rPr>
        <w:t>redes y funciones de todos los actores</w:t>
      </w:r>
      <w:r>
        <w:rPr/>
        <w:t>, se pudo identificar que los que tienen mayores relaciones en la Cuenca Hidrosocial Presa Huapango son los ejidatarios, que a través de las autoridades auxiliares (delegados municipales y comisariados ejidales), son electos cada tres años. Estos se encuentran representados y se interrelacionan con otros actores: históricos, actores municipales, actores estatales y federales, por lo que fungen como el principal enlace de gestión entre todos los actores para presentar sus demandas sociales ante distintas dependencias gubernamentales y para solucionar los problemas en comunidad.</w:t>
      </w:r>
    </w:p>
    <w:p>
      <w:pPr>
        <w:pStyle w:val="BodyText"/>
        <w:spacing w:before="10"/>
        <w:rPr>
          <w:sz w:val="24"/>
        </w:rPr>
      </w:pPr>
    </w:p>
    <w:p>
      <w:pPr>
        <w:pStyle w:val="BodyText"/>
        <w:spacing w:line="360" w:lineRule="auto"/>
        <w:ind w:left="102" w:right="118"/>
        <w:jc w:val="both"/>
      </w:pPr>
      <w:r>
        <w:rPr/>
        <w:t>Cabe señalar que la región de la cuenca hidrosocial presa Huapango es netamente ejidal, donde la figura del Ejidatario es sin duda la más importante, ya que el Ejidatario es un actor que posee la tenencia de la tierra desde antiguo, y que junto con ella ha adquirido una serie de valores socioculturales que le permiten identificarse y pertenecer al grupo de actores históricos que por su identidad y compromiso social, poseen la representación más amplia de la cuenca mediante la figura de autoridades auxiliares (Comisariado Ejidal y Delegado Municipal), lo cual les permite tener injerencia en la resolución de sus propios problemas, y mediante la autogestión de sus recursos les ha permitido relacionarse con otros actores de carácter gubernamental (federal) para lograr una cogestión en la resolución de algunas problemáticas (soluciones</w:t>
      </w:r>
      <w:r>
        <w:rPr>
          <w:spacing w:val="-13"/>
        </w:rPr>
        <w:t> </w:t>
      </w:r>
      <w:r>
        <w:rPr/>
        <w:t>parciales).</w:t>
      </w:r>
    </w:p>
    <w:p>
      <w:pPr>
        <w:pStyle w:val="BodyText"/>
        <w:spacing w:before="8"/>
        <w:rPr>
          <w:sz w:val="24"/>
        </w:rPr>
      </w:pPr>
    </w:p>
    <w:p>
      <w:pPr>
        <w:pStyle w:val="BodyText"/>
        <w:spacing w:line="360" w:lineRule="auto"/>
        <w:ind w:left="102" w:right="117"/>
        <w:jc w:val="both"/>
      </w:pPr>
      <w:r>
        <w:rPr/>
        <w:t>De igual forma destaca que los Ejidatarios tienen mayores vínculos con los actores del gobierno federal, más que con el estatal, ya que El Ejido es una institución creada por la federación y las instituciones que tienen que ver con éste dependen directamente del gobierno federal (la Sedatu, el RAN, la Procuraduría Agraria, los Tribunales Agrarios) por lo que cualquier trámite referente a El Ejido tiene que ser directamente en estas instituciones.</w:t>
      </w:r>
    </w:p>
    <w:p>
      <w:pPr>
        <w:pStyle w:val="BodyText"/>
        <w:spacing w:before="10"/>
        <w:rPr>
          <w:sz w:val="24"/>
        </w:rPr>
      </w:pPr>
    </w:p>
    <w:p>
      <w:pPr>
        <w:pStyle w:val="BodyText"/>
        <w:spacing w:line="360" w:lineRule="auto"/>
        <w:ind w:left="102" w:right="118"/>
        <w:jc w:val="both"/>
      </w:pPr>
      <w:r>
        <w:rPr/>
        <w:t>Por otro lado, los Ejidatarios, son actores que representan a la comunidad mediante la figura de Delegados Municipales, lo que hace que tengan contacto con las instituciones del gobierno municipal y estatal para gestionar recursos para su comunidad, es decir, los actores municipales y estatales también están presentes en la vida del ejidatario, aunque en</w:t>
      </w:r>
      <w:r>
        <w:rPr>
          <w:spacing w:val="28"/>
        </w:rPr>
        <w:t> </w:t>
      </w:r>
      <w:r>
        <w:rPr/>
        <w:t>muchas</w:t>
      </w:r>
      <w:r>
        <w:rPr>
          <w:spacing w:val="28"/>
        </w:rPr>
        <w:t> </w:t>
      </w:r>
      <w:r>
        <w:rPr/>
        <w:t>ocasiones</w:t>
      </w:r>
      <w:r>
        <w:rPr>
          <w:spacing w:val="25"/>
        </w:rPr>
        <w:t> </w:t>
      </w:r>
      <w:r>
        <w:rPr/>
        <w:t>no</w:t>
      </w:r>
      <w:r>
        <w:rPr>
          <w:spacing w:val="28"/>
        </w:rPr>
        <w:t> </w:t>
      </w:r>
      <w:r>
        <w:rPr/>
        <w:t>logran</w:t>
      </w:r>
      <w:r>
        <w:rPr>
          <w:spacing w:val="25"/>
        </w:rPr>
        <w:t> </w:t>
      </w:r>
      <w:r>
        <w:rPr/>
        <w:t>resolverles</w:t>
      </w:r>
      <w:r>
        <w:rPr>
          <w:spacing w:val="28"/>
        </w:rPr>
        <w:t> </w:t>
      </w:r>
      <w:r>
        <w:rPr/>
        <w:t>sus</w:t>
      </w:r>
      <w:r>
        <w:rPr>
          <w:spacing w:val="25"/>
        </w:rPr>
        <w:t> </w:t>
      </w:r>
      <w:r>
        <w:rPr/>
        <w:t>demandas.</w:t>
      </w:r>
      <w:r>
        <w:rPr>
          <w:spacing w:val="29"/>
        </w:rPr>
        <w:t> </w:t>
      </w:r>
      <w:r>
        <w:rPr/>
        <w:t>Aquí</w:t>
      </w:r>
      <w:r>
        <w:rPr>
          <w:spacing w:val="24"/>
        </w:rPr>
        <w:t> </w:t>
      </w:r>
      <w:r>
        <w:rPr/>
        <w:t>se</w:t>
      </w:r>
      <w:r>
        <w:rPr>
          <w:spacing w:val="28"/>
        </w:rPr>
        <w:t> </w:t>
      </w:r>
      <w:r>
        <w:rPr/>
        <w:t>detecta</w:t>
      </w:r>
      <w:r>
        <w:rPr>
          <w:spacing w:val="29"/>
        </w:rPr>
        <w:t> </w:t>
      </w:r>
      <w:r>
        <w:rPr/>
        <w:t>una</w:t>
      </w:r>
      <w:r>
        <w:rPr>
          <w:spacing w:val="23"/>
        </w:rPr>
        <w:t> </w:t>
      </w:r>
      <w:r>
        <w:rPr/>
        <w:t>falta</w:t>
      </w:r>
      <w:r>
        <w:rPr>
          <w:spacing w:val="28"/>
        </w:rPr>
        <w:t> </w:t>
      </w:r>
      <w:r>
        <w:rPr/>
        <w:t>u</w:t>
      </w:r>
    </w:p>
    <w:p>
      <w:pPr>
        <w:spacing w:after="0" w:line="360" w:lineRule="auto"/>
        <w:jc w:val="both"/>
        <w:sectPr>
          <w:footerReference w:type="default" r:id="rId173"/>
          <w:pgSz w:w="12240" w:h="15840"/>
          <w:pgMar w:footer="1003" w:header="0" w:top="1440" w:bottom="1200" w:left="1600" w:right="1580"/>
          <w:pgNumType w:start="195"/>
        </w:sectPr>
      </w:pPr>
    </w:p>
    <w:p>
      <w:pPr>
        <w:pStyle w:val="BodyText"/>
        <w:spacing w:line="357" w:lineRule="auto" w:before="56"/>
        <w:ind w:left="102" w:right="119"/>
        <w:jc w:val="both"/>
      </w:pPr>
      <w:r>
        <w:rPr/>
        <w:t>omisión de parte de estas dependencias en sus obligaciones, sin embargo, es posible que esto se deba a la histórica limitación que el municipio ha estado sujeto por parte del Estado Federal.</w:t>
      </w:r>
    </w:p>
    <w:p>
      <w:pPr>
        <w:pStyle w:val="BodyText"/>
        <w:spacing w:before="1"/>
        <w:rPr>
          <w:sz w:val="25"/>
        </w:rPr>
      </w:pPr>
    </w:p>
    <w:p>
      <w:pPr>
        <w:pStyle w:val="BodyText"/>
        <w:spacing w:line="360" w:lineRule="auto"/>
        <w:ind w:left="102" w:right="114"/>
        <w:jc w:val="both"/>
      </w:pPr>
      <w:r>
        <w:rPr/>
        <w:t>Por otro lado destaca que el vínculo más importante entre todos los actores, es precisamente entre actores históricos, ya que sus redes y funciones se han consolidado a través de la historia y esto hace que tengan instituciones muy antiguas que han ayudado  a solucuionar problemas de gestión de toda índole. Funjen como institución social a la hora de resolver sus problemas comunitarios, por ejemplo es recurrente la práctica de asociación entre el Delegado Municipal, el Comisariado Ejidal y entre otras autoridades locales, para atender problemáticas de interés general o</w:t>
      </w:r>
      <w:r>
        <w:rPr>
          <w:spacing w:val="-20"/>
        </w:rPr>
        <w:t> </w:t>
      </w:r>
      <w:r>
        <w:rPr/>
        <w:t>común.</w:t>
      </w:r>
    </w:p>
    <w:p>
      <w:pPr>
        <w:pStyle w:val="BodyText"/>
        <w:spacing w:before="3"/>
        <w:rPr>
          <w:sz w:val="24"/>
        </w:rPr>
      </w:pPr>
    </w:p>
    <w:p>
      <w:pPr>
        <w:pStyle w:val="Heading6"/>
        <w:jc w:val="both"/>
      </w:pPr>
      <w:r>
        <w:rPr/>
        <w:t>Consideraciones</w:t>
      </w:r>
    </w:p>
    <w:p>
      <w:pPr>
        <w:pStyle w:val="BodyText"/>
        <w:rPr>
          <w:b/>
        </w:rPr>
      </w:pPr>
    </w:p>
    <w:p>
      <w:pPr>
        <w:pStyle w:val="BodyText"/>
        <w:spacing w:line="360" w:lineRule="auto" w:before="159"/>
        <w:ind w:left="102" w:right="113"/>
        <w:jc w:val="both"/>
      </w:pPr>
      <w:r>
        <w:rPr/>
        <w:t>Se identificaron cuatro mapas de actores en la cuenca hidrosocial presa Huapango: 1.- Actores históricos, dentro de los cuales se encuentran las autoridades auxiliares; 2.- Actores municipales (agua y medio ambiente); 3.- Actores estatales y 4. Actores  federales, con sus redes y funciones, donde pudo detectarse que los actores históricos, principalmente los ejidatarios, juegan un papel primordial en la interrelación entre todos los demás actores, ya que desde la construcción de la presa Huapango (1785-1788) y a través del reparto agrario donde se crea El Ejido como institución, y con la creación del municipio en el siglo XIX, han adquirido una serie de características identitarias con su territorio, que se han visto reflejadas en la construcción </w:t>
      </w:r>
      <w:r>
        <w:rPr>
          <w:spacing w:val="2"/>
        </w:rPr>
        <w:t>de </w:t>
      </w:r>
      <w:r>
        <w:rPr/>
        <w:t>una estructura social que ha permitido que se generen principios de gobernanza y gobernabilidad, que conllevan a la generación de acuerdos entre actores para el uso, cuidado y defensa de sus recursos hídricos, a través del derecho consuetudinario, aun con la presencia de instituciones federales, estatales y municipales, que en ocasiones dificultan la gestión entre actores en lugar de</w:t>
      </w:r>
      <w:r>
        <w:rPr>
          <w:spacing w:val="-5"/>
        </w:rPr>
        <w:t> </w:t>
      </w:r>
      <w:r>
        <w:rPr/>
        <w:t>facilitarlas.</w:t>
      </w:r>
    </w:p>
    <w:p>
      <w:pPr>
        <w:pStyle w:val="BodyText"/>
        <w:spacing w:before="8"/>
        <w:rPr>
          <w:sz w:val="24"/>
        </w:rPr>
      </w:pPr>
    </w:p>
    <w:p>
      <w:pPr>
        <w:pStyle w:val="BodyText"/>
        <w:spacing w:line="360" w:lineRule="auto"/>
        <w:ind w:left="102" w:right="117"/>
        <w:jc w:val="both"/>
      </w:pPr>
      <w:r>
        <w:rPr/>
        <w:t>También se pudo detectar polarización de los actores locales, municipales, estatales y federales, sobre todo en el nodo del control y el poder sobre el agua, ya que lo tiene el Estado Federal, en favor de solo algunos actores y en detrimento del gobierno municipal y estatal. Aunque el gobierno municipal y estatal están más cerca de la ciudadanía, éstos  se encuentran limitados por sus propias facultades que les establece la ley, por ejemplo el municipio no tiene facultades expresas en el artículo 115 constitucional para manejar </w:t>
      </w:r>
      <w:r>
        <w:rPr>
          <w:spacing w:val="53"/>
        </w:rPr>
        <w:t> </w:t>
      </w:r>
      <w:r>
        <w:rPr/>
        <w:t>sus</w:t>
      </w:r>
    </w:p>
    <w:p>
      <w:pPr>
        <w:spacing w:after="0" w:line="360" w:lineRule="auto"/>
        <w:jc w:val="both"/>
        <w:sectPr>
          <w:pgSz w:w="12240" w:h="15840"/>
          <w:pgMar w:header="0" w:footer="1003" w:top="1360" w:bottom="1200" w:left="1600" w:right="1580"/>
        </w:sectPr>
      </w:pPr>
    </w:p>
    <w:p>
      <w:pPr>
        <w:pStyle w:val="BodyText"/>
        <w:spacing w:line="360" w:lineRule="auto" w:before="56"/>
        <w:ind w:left="102" w:right="113"/>
        <w:jc w:val="both"/>
      </w:pPr>
      <w:r>
        <w:rPr/>
        <w:t>recursos naturales, sólo se le delega la prestación de determinados servicios públicos, pero el uso y manejo de sus recursos naturales está delegado a otras instituciones de carácter federal y estatal que omiten sus responsabilidades y funciones, lo cual ha ocasionado un problema ambiental que afecta directamente a los actores locales y municipales, porque por ser éstos la primera instancia de gobierno es a quien se recurre primero, pero al encontrarse limitados por la ley, dejan que la problemática avance hasta que los propios afectados, es decir la población tome cartas en el asunto, más por necesidad que por planeación.</w:t>
      </w:r>
    </w:p>
    <w:p>
      <w:pPr>
        <w:pStyle w:val="BodyText"/>
        <w:spacing w:before="8"/>
        <w:rPr>
          <w:sz w:val="24"/>
        </w:rPr>
      </w:pPr>
    </w:p>
    <w:p>
      <w:pPr>
        <w:pStyle w:val="BodyText"/>
        <w:spacing w:line="360" w:lineRule="auto"/>
        <w:ind w:left="102" w:right="116"/>
        <w:jc w:val="both"/>
      </w:pPr>
      <w:r>
        <w:rPr/>
        <w:t>Es por ello, que el deterioro de la Cuenca Hidrosocial Presa Huapango debe ser atendido por todos los actores de ella, pero principalmente por los actores históricos, ya que ellos están articulados con la mayoría de los otros actores, y su influencia es mayor en todos los asuntos y problemáticas. Es decir, si sus efectos de gestión se hacen con ellos, los resultados se aprecian en muchas de las áreas estratégicas (AEPA). No solo porque son ellos los que conocen mejor y directamente la problemática, sino que estratégicamente son los actores con mayores vínculos y estructuras sociales más consolidadas y con mayor</w:t>
      </w:r>
      <w:r>
        <w:rPr>
          <w:spacing w:val="-6"/>
        </w:rPr>
        <w:t> </w:t>
      </w:r>
      <w:r>
        <w:rPr/>
        <w:t>legitimidad.</w:t>
      </w:r>
    </w:p>
    <w:p>
      <w:pPr>
        <w:pStyle w:val="BodyText"/>
        <w:spacing w:before="10"/>
        <w:rPr>
          <w:sz w:val="24"/>
        </w:rPr>
      </w:pPr>
    </w:p>
    <w:p>
      <w:pPr>
        <w:pStyle w:val="BodyText"/>
        <w:spacing w:line="357" w:lineRule="auto"/>
        <w:ind w:left="102" w:right="120"/>
        <w:jc w:val="both"/>
      </w:pPr>
      <w:r>
        <w:rPr/>
        <w:t>Si se deja el mayor peso a las instituciones estatales o federales, el sesgo es mayor como actualmente está reflejado en el uso del poder para beneficiar a los actores de aguas abajo, excluyendo los municipios de Acambay y Timilpan principalmente.</w:t>
      </w:r>
    </w:p>
    <w:p>
      <w:pPr>
        <w:pStyle w:val="BodyText"/>
        <w:spacing w:before="1"/>
        <w:rPr>
          <w:sz w:val="25"/>
        </w:rPr>
      </w:pPr>
    </w:p>
    <w:p>
      <w:pPr>
        <w:pStyle w:val="BodyText"/>
        <w:spacing w:line="360" w:lineRule="auto"/>
        <w:ind w:left="102" w:right="118"/>
        <w:jc w:val="both"/>
      </w:pPr>
      <w:r>
        <w:rPr/>
        <w:t>Finalmente, sí bien la GIRH tiene una noble intención de coordinar a todos los actores de tipo económico, político y social, esto no es posible en la práctica de las condiciones actuales de la Cuenca Hidrosocial Presa Huapango, porque se tiene un grave  desequilibrio por instituciones y grupos de poder que son la principal limitante. Aún así, la metodología GIRH hasta aquí, ha demostrado ser una herramienta muy útil para  identificar de forma precisa a los actores, sus limitaciones y sus responsabilidades; lo que facilita la identificación de propuestas de solución a los problemas que afectan a dicha cuenca, dónde empezar, con quién empezar, y qué estrategia debe seguirse. Además de sugerir que proyectos son los más importantes para empezar una gestión integrada para hacer una buena gobernanza y gobernabilidad, por lo que en el siguiente apartado se analiza la problemática de la CHPH por grupos de actores, principios de gobernanza y gobernabilidad, así como por Áreas Estratégicas de Planeación y Articulación (AEPA) a través del trabajo de</w:t>
      </w:r>
      <w:r>
        <w:rPr>
          <w:spacing w:val="-7"/>
        </w:rPr>
        <w:t> </w:t>
      </w:r>
      <w:r>
        <w:rPr/>
        <w:t>campo.</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76" w:lineRule="auto" w:before="208"/>
        <w:ind w:left="102" w:right="121"/>
        <w:jc w:val="both"/>
      </w:pPr>
      <w:r>
        <w:rPr/>
        <w:t>TRABAJO DE CAMPO, ENTREVISTAS E HISTORIAS DE VIDA: PROBLEMAS E INTERPRETACIÓN DE LOS GRUPOS DE ACTORES POR PRINCIPIOS DE GOBERNANZA Y POR ÁREA ESTRATÉGICA DE PLANEACIÓN Y ARTICULACIÓN</w:t>
      </w:r>
    </w:p>
    <w:p>
      <w:pPr>
        <w:spacing w:after="0" w:line="276" w:lineRule="auto"/>
        <w:jc w:val="both"/>
        <w:sectPr>
          <w:pgSz w:w="12240" w:h="15840"/>
          <w:pgMar w:header="0" w:footer="1003" w:top="1500" w:bottom="1200" w:left="1600" w:right="1580"/>
        </w:sectPr>
      </w:pPr>
    </w:p>
    <w:p>
      <w:pPr>
        <w:pStyle w:val="Heading6"/>
        <w:numPr>
          <w:ilvl w:val="0"/>
          <w:numId w:val="17"/>
        </w:numPr>
        <w:tabs>
          <w:tab w:pos="472" w:val="left" w:leader="none"/>
        </w:tabs>
        <w:spacing w:line="357" w:lineRule="auto" w:before="53" w:after="0"/>
        <w:ind w:left="102" w:right="114" w:firstLine="0"/>
        <w:jc w:val="both"/>
      </w:pPr>
      <w:r>
        <w:rPr/>
        <w:t>TRABAJO DE CAMPO, ENTREVISTAS E HISTORIAS DE VIDA: PROBLEMAS E INTERPRETACIÓN DE LOS GRUPOS DE ACTORES POR PRINCIPIOS DE GOBERNANZA Y POR ÁREA ESTRATÉGICA DE PLANEACIÓN Y</w:t>
      </w:r>
      <w:r>
        <w:rPr>
          <w:spacing w:val="-35"/>
        </w:rPr>
        <w:t> </w:t>
      </w:r>
      <w:r>
        <w:rPr/>
        <w:t>ARTICULACIÓN</w:t>
      </w:r>
    </w:p>
    <w:p>
      <w:pPr>
        <w:pStyle w:val="BodyText"/>
        <w:spacing w:before="3"/>
        <w:rPr>
          <w:b/>
          <w:sz w:val="25"/>
        </w:rPr>
      </w:pPr>
    </w:p>
    <w:p>
      <w:pPr>
        <w:pStyle w:val="BodyText"/>
        <w:spacing w:line="360" w:lineRule="auto" w:before="1"/>
        <w:ind w:left="102" w:right="116"/>
        <w:jc w:val="both"/>
      </w:pPr>
      <w:r>
        <w:rPr/>
        <w:t>Una vez identificados en los mapas las redes y funciones de los actores, a continuación  se identifican y caracterizan las opiniones de los grupos de actores sobre los problemas de la cuenca hidrosocial y el cuerpo de agua presa Huapango, recabadas a través del trabajo de campo in situ, el cual consistió en recorridos sobre la CHPH haciendo un transecto de campo para identificar el territorio y obtener datos importantes. Se realizaron 77 entrevistas e historias de vida (ver anexo 2) a representantes de agrupaciones ya establecidas en la región sobre los cuatro temas de las AEPA; también se caracterizaron las instituciones sociales más importantes de carácter regional, tales como fiestas patronales, fiestas culturales (cabalgatas), mercados y tianguis, todo lo cual sirvió para elaborar la estructura social, e identificar los problemas de la cuenca hidrosocial a través de los principios de gobernanza y por las 4 áreas estratégicas de planeación y articulación (AEPA): ambiental, social, económica y política; lo cual permitió sugerir los indicadores de Presión, Estado, Impacto y Respuesta (PEIR) para detectar los factores críticos de éxito por AEPA en nuestro siguiente</w:t>
      </w:r>
      <w:r>
        <w:rPr>
          <w:spacing w:val="-6"/>
        </w:rPr>
        <w:t> </w:t>
      </w:r>
      <w:r>
        <w:rPr/>
        <w:t>apartado.</w:t>
      </w:r>
    </w:p>
    <w:p>
      <w:pPr>
        <w:pStyle w:val="BodyText"/>
        <w:spacing w:before="8"/>
        <w:rPr>
          <w:sz w:val="24"/>
        </w:rPr>
      </w:pPr>
    </w:p>
    <w:p>
      <w:pPr>
        <w:pStyle w:val="BodyText"/>
        <w:ind w:left="102"/>
        <w:jc w:val="both"/>
      </w:pPr>
      <w:r>
        <w:rPr/>
        <w:t>El trabajo de campo se realizó de la siguiente forma y cronología:</w:t>
      </w:r>
    </w:p>
    <w:p>
      <w:pPr>
        <w:pStyle w:val="BodyText"/>
      </w:pPr>
    </w:p>
    <w:p>
      <w:pPr>
        <w:pStyle w:val="ListParagraph"/>
        <w:numPr>
          <w:ilvl w:val="1"/>
          <w:numId w:val="17"/>
        </w:numPr>
        <w:tabs>
          <w:tab w:pos="821" w:val="left" w:leader="none"/>
          <w:tab w:pos="822" w:val="left" w:leader="none"/>
        </w:tabs>
        <w:spacing w:line="240" w:lineRule="auto" w:before="156" w:after="0"/>
        <w:ind w:left="822" w:right="0" w:hanging="360"/>
        <w:jc w:val="left"/>
        <w:rPr>
          <w:sz w:val="22"/>
        </w:rPr>
      </w:pPr>
      <w:r>
        <w:rPr>
          <w:sz w:val="22"/>
        </w:rPr>
        <w:t>Realización de los recorridos del Transecto en el mes de febrero del</w:t>
      </w:r>
      <w:r>
        <w:rPr>
          <w:spacing w:val="-17"/>
          <w:sz w:val="22"/>
        </w:rPr>
        <w:t> </w:t>
      </w:r>
      <w:r>
        <w:rPr>
          <w:sz w:val="22"/>
        </w:rPr>
        <w:t>2013</w:t>
      </w:r>
    </w:p>
    <w:p>
      <w:pPr>
        <w:pStyle w:val="ListParagraph"/>
        <w:numPr>
          <w:ilvl w:val="1"/>
          <w:numId w:val="17"/>
        </w:numPr>
        <w:tabs>
          <w:tab w:pos="822" w:val="left" w:leader="none"/>
        </w:tabs>
        <w:spacing w:line="360" w:lineRule="auto" w:before="126" w:after="0"/>
        <w:ind w:left="822" w:right="114" w:hanging="360"/>
        <w:jc w:val="both"/>
        <w:rPr>
          <w:sz w:val="22"/>
        </w:rPr>
      </w:pPr>
      <w:r>
        <w:rPr>
          <w:sz w:val="22"/>
        </w:rPr>
        <w:t>De marzo de 2013 a marzo de 2015, se realizaron 77 entrevistas e historias de vida a los actores identificados: históricos, municipales y</w:t>
      </w:r>
      <w:r>
        <w:rPr>
          <w:spacing w:val="-11"/>
          <w:sz w:val="22"/>
        </w:rPr>
        <w:t> </w:t>
      </w:r>
      <w:r>
        <w:rPr>
          <w:sz w:val="22"/>
        </w:rPr>
        <w:t>federales.</w:t>
      </w:r>
    </w:p>
    <w:p>
      <w:pPr>
        <w:pStyle w:val="ListParagraph"/>
        <w:numPr>
          <w:ilvl w:val="1"/>
          <w:numId w:val="17"/>
        </w:numPr>
        <w:tabs>
          <w:tab w:pos="822" w:val="left" w:leader="none"/>
        </w:tabs>
        <w:spacing w:line="360" w:lineRule="auto" w:before="3" w:after="0"/>
        <w:ind w:left="822" w:right="112" w:hanging="360"/>
        <w:jc w:val="both"/>
        <w:rPr>
          <w:sz w:val="22"/>
        </w:rPr>
      </w:pPr>
      <w:r>
        <w:rPr>
          <w:sz w:val="22"/>
        </w:rPr>
        <w:t>Se identificaron y registraron los eventos sociales importantes en la cuenca hidrosocial (y sus instituciones culturales): Recorridos en la presa Huapango el Sábado de Gloria (2013); Cabalgatas en Jilotepec y Aculco (16 y 21 de septiembre de 2014); Fiesta del </w:t>
      </w:r>
      <w:r>
        <w:rPr>
          <w:i/>
          <w:sz w:val="22"/>
        </w:rPr>
        <w:t>Señor del Pasito </w:t>
      </w:r>
      <w:r>
        <w:rPr>
          <w:sz w:val="22"/>
        </w:rPr>
        <w:t>en Arroyo Zarco, Aculco (Peregrinación Arroyo Zarco-Compuerta de la Presa) (12 de octubre de 2014); Feria del Pescado en El Saltillo, Jilotepec (Abril de 2014 y</w:t>
      </w:r>
      <w:r>
        <w:rPr>
          <w:spacing w:val="-14"/>
          <w:sz w:val="22"/>
        </w:rPr>
        <w:t> </w:t>
      </w:r>
      <w:r>
        <w:rPr>
          <w:sz w:val="22"/>
        </w:rPr>
        <w:t>2015).</w:t>
      </w:r>
    </w:p>
    <w:p>
      <w:pPr>
        <w:pStyle w:val="ListParagraph"/>
        <w:numPr>
          <w:ilvl w:val="1"/>
          <w:numId w:val="17"/>
        </w:numPr>
        <w:tabs>
          <w:tab w:pos="822" w:val="left" w:leader="none"/>
        </w:tabs>
        <w:spacing w:line="357" w:lineRule="auto" w:before="3" w:after="0"/>
        <w:ind w:left="822" w:right="116" w:hanging="360"/>
        <w:jc w:val="both"/>
        <w:rPr>
          <w:sz w:val="22"/>
        </w:rPr>
      </w:pPr>
      <w:r>
        <w:rPr>
          <w:sz w:val="22"/>
        </w:rPr>
        <w:t>Visitas a mercados y tianguis regionales (De Febrero de 2013 a Diciembre de 2015).</w:t>
      </w:r>
    </w:p>
    <w:p>
      <w:pPr>
        <w:spacing w:after="0" w:line="357" w:lineRule="auto"/>
        <w:jc w:val="both"/>
        <w:rPr>
          <w:sz w:val="22"/>
        </w:rPr>
        <w:sectPr>
          <w:pgSz w:w="12240" w:h="15840"/>
          <w:pgMar w:header="0" w:footer="1003" w:top="1360" w:bottom="1200" w:left="1600" w:right="1580"/>
        </w:sectPr>
      </w:pPr>
    </w:p>
    <w:p>
      <w:pPr>
        <w:pStyle w:val="Heading6"/>
        <w:numPr>
          <w:ilvl w:val="1"/>
          <w:numId w:val="51"/>
        </w:numPr>
        <w:tabs>
          <w:tab w:pos="534" w:val="left" w:leader="none"/>
        </w:tabs>
        <w:spacing w:line="240" w:lineRule="auto" w:before="51" w:after="0"/>
        <w:ind w:left="218" w:right="0" w:hanging="116"/>
        <w:jc w:val="both"/>
      </w:pPr>
      <w:bookmarkStart w:name="_TOC_250030" w:id="43"/>
      <w:r>
        <w:rPr/>
        <w:t>Actores y</w:t>
      </w:r>
      <w:r>
        <w:rPr>
          <w:spacing w:val="-8"/>
        </w:rPr>
        <w:t> </w:t>
      </w:r>
      <w:bookmarkEnd w:id="43"/>
      <w:r>
        <w:rPr/>
        <w:t>Localidades</w:t>
      </w:r>
    </w:p>
    <w:p>
      <w:pPr>
        <w:pStyle w:val="BodyText"/>
        <w:rPr>
          <w:b/>
        </w:rPr>
      </w:pPr>
    </w:p>
    <w:p>
      <w:pPr>
        <w:pStyle w:val="BodyText"/>
        <w:spacing w:line="360" w:lineRule="auto" w:before="159"/>
        <w:ind w:left="102" w:right="114"/>
        <w:jc w:val="both"/>
      </w:pPr>
      <w:r>
        <w:rPr/>
        <w:t>Los actores entrevistados fueron elegidos de acuerdo a la </w:t>
      </w:r>
      <w:r>
        <w:rPr>
          <w:i/>
        </w:rPr>
        <w:t>metodología de grupos ya </w:t>
      </w:r>
      <w:r>
        <w:rPr>
          <w:i/>
        </w:rPr>
        <w:t>establecidos</w:t>
      </w:r>
      <w:r>
        <w:rPr/>
        <w:t>, la cual se describe en el apartado de metodología de este trabajo. El resultado de dicha elección fueron los siguientes actores, donde se identificaron tres grupos:</w:t>
      </w:r>
    </w:p>
    <w:p>
      <w:pPr>
        <w:pStyle w:val="BodyText"/>
        <w:spacing w:before="10"/>
        <w:rPr>
          <w:sz w:val="24"/>
        </w:rPr>
      </w:pPr>
    </w:p>
    <w:p>
      <w:pPr>
        <w:pStyle w:val="BodyText"/>
        <w:spacing w:line="357" w:lineRule="auto"/>
        <w:ind w:left="102" w:right="116"/>
        <w:jc w:val="both"/>
      </w:pPr>
      <w:r>
        <w:rPr/>
        <w:t>1.- Actores históricos (multiactores: pescadores, agricultores y ganaderos), dentro de los cuales se encuentran las autoridades auxiliares (Delegados Municipales y Comisariados Ejidales);</w:t>
      </w:r>
    </w:p>
    <w:p>
      <w:pPr>
        <w:pStyle w:val="BodyText"/>
        <w:spacing w:before="2"/>
        <w:rPr>
          <w:sz w:val="25"/>
        </w:rPr>
      </w:pPr>
    </w:p>
    <w:p>
      <w:pPr>
        <w:pStyle w:val="BodyText"/>
        <w:spacing w:line="357" w:lineRule="auto"/>
        <w:ind w:left="102" w:right="118"/>
        <w:jc w:val="both"/>
      </w:pPr>
      <w:r>
        <w:rPr/>
        <w:t>2.- Aactores del gobierno municipal (Presidentes Municipales y Regidores Presidentes de las Comisiones de Medio Ambiente y Recursos Naturales (agua), así como los Directores de Medio Ambiente y Ecología) y</w:t>
      </w:r>
    </w:p>
    <w:p>
      <w:pPr>
        <w:pStyle w:val="BodyText"/>
        <w:spacing w:before="1"/>
        <w:rPr>
          <w:sz w:val="25"/>
        </w:rPr>
      </w:pPr>
    </w:p>
    <w:p>
      <w:pPr>
        <w:pStyle w:val="BodyText"/>
        <w:spacing w:line="357" w:lineRule="auto"/>
        <w:ind w:left="102" w:right="114"/>
        <w:jc w:val="both"/>
      </w:pPr>
      <w:r>
        <w:rPr/>
        <w:t>3.- Actores del gobierno federal (Funcionarios de la Comisión Nacional del Agua (Conagua) del Distrito de Riego 096 y la Asociación de Usuarios del Sistema de Riego Huapango Arroyo Zarco México S.A. ).</w:t>
      </w:r>
    </w:p>
    <w:p>
      <w:pPr>
        <w:pStyle w:val="BodyText"/>
        <w:spacing w:before="1"/>
        <w:rPr>
          <w:sz w:val="25"/>
        </w:rPr>
      </w:pPr>
    </w:p>
    <w:p>
      <w:pPr>
        <w:pStyle w:val="BodyText"/>
        <w:spacing w:line="357" w:lineRule="auto"/>
        <w:ind w:left="102" w:right="121"/>
        <w:jc w:val="both"/>
      </w:pPr>
      <w:r>
        <w:rPr/>
        <w:t>Cabe destacar que aunque se realizó un mapa de actores del gobierno estatal, se decidió no hacer entrevistas a éstos, porque su presencia y contacto de trabajo en la cuenca hidrosocial es casi nulo.</w:t>
      </w:r>
    </w:p>
    <w:p>
      <w:pPr>
        <w:pStyle w:val="BodyText"/>
        <w:spacing w:before="10"/>
        <w:rPr>
          <w:sz w:val="24"/>
        </w:rPr>
      </w:pPr>
    </w:p>
    <w:p>
      <w:pPr>
        <w:pStyle w:val="BodyText"/>
        <w:ind w:left="102"/>
        <w:jc w:val="both"/>
      </w:pPr>
      <w:r>
        <w:rPr/>
        <w:t>El número de entrevistados por grupo de actores fue el siguiente:</w:t>
      </w:r>
    </w:p>
    <w:p>
      <w:pPr>
        <w:pStyle w:val="BodyText"/>
      </w:pPr>
    </w:p>
    <w:p>
      <w:pPr>
        <w:pStyle w:val="Heading6"/>
        <w:spacing w:before="151"/>
        <w:ind w:left="1534"/>
      </w:pPr>
      <w:r>
        <w:rPr/>
        <w:t>Tabla 6.1. Número de entrevistados por grupo de actores</w:t>
      </w:r>
    </w:p>
    <w:p>
      <w:pPr>
        <w:pStyle w:val="BodyText"/>
        <w:rPr>
          <w:b/>
          <w:sz w:val="20"/>
        </w:rPr>
      </w:pPr>
    </w:p>
    <w:p>
      <w:pPr>
        <w:pStyle w:val="BodyText"/>
        <w:spacing w:before="10"/>
        <w:rPr>
          <w:b/>
          <w:sz w:val="15"/>
        </w:rPr>
      </w:pPr>
    </w:p>
    <w:tbl>
      <w:tblPr>
        <w:tblW w:w="0" w:type="auto"/>
        <w:jc w:val="left"/>
        <w:tblInd w:w="19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241"/>
        <w:gridCol w:w="1980"/>
      </w:tblGrid>
      <w:tr>
        <w:trPr>
          <w:trHeight w:val="613" w:hRule="exact"/>
        </w:trPr>
        <w:tc>
          <w:tcPr>
            <w:tcW w:w="5221" w:type="dxa"/>
            <w:gridSpan w:val="2"/>
            <w:shd w:val="clear" w:color="auto" w:fill="BEBEBE"/>
          </w:tcPr>
          <w:p>
            <w:pPr>
              <w:pStyle w:val="TableParagraph"/>
              <w:spacing w:before="8"/>
              <w:ind w:left="1328" w:right="1328"/>
              <w:jc w:val="center"/>
              <w:rPr>
                <w:b/>
                <w:sz w:val="22"/>
              </w:rPr>
            </w:pPr>
            <w:r>
              <w:rPr>
                <w:b/>
                <w:sz w:val="22"/>
              </w:rPr>
              <w:t>ACTORES HISTÓRICOS</w:t>
            </w:r>
          </w:p>
          <w:p>
            <w:pPr>
              <w:pStyle w:val="TableParagraph"/>
              <w:spacing w:before="40"/>
              <w:ind w:left="1327" w:right="1328"/>
              <w:jc w:val="center"/>
              <w:rPr>
                <w:sz w:val="22"/>
              </w:rPr>
            </w:pPr>
            <w:r>
              <w:rPr>
                <w:sz w:val="22"/>
              </w:rPr>
              <w:t>(Multiactores)</w:t>
            </w:r>
          </w:p>
        </w:tc>
      </w:tr>
      <w:tr>
        <w:trPr>
          <w:trHeight w:val="617" w:hRule="exact"/>
        </w:trPr>
        <w:tc>
          <w:tcPr>
            <w:tcW w:w="3241" w:type="dxa"/>
          </w:tcPr>
          <w:p>
            <w:pPr>
              <w:pStyle w:val="TableParagraph"/>
              <w:spacing w:line="276" w:lineRule="auto" w:before="14"/>
              <w:ind w:left="367" w:right="352" w:firstLine="24"/>
              <w:rPr>
                <w:sz w:val="22"/>
              </w:rPr>
            </w:pPr>
            <w:r>
              <w:rPr>
                <w:sz w:val="22"/>
              </w:rPr>
              <w:t>Pescadores, Ganaderos, Industria Láctea, Turismo</w:t>
            </w:r>
          </w:p>
        </w:tc>
        <w:tc>
          <w:tcPr>
            <w:tcW w:w="1980" w:type="dxa"/>
          </w:tcPr>
          <w:p>
            <w:pPr>
              <w:pStyle w:val="TableParagraph"/>
              <w:spacing w:before="14"/>
              <w:ind w:left="838" w:right="838"/>
              <w:jc w:val="center"/>
              <w:rPr>
                <w:sz w:val="22"/>
              </w:rPr>
            </w:pPr>
            <w:r>
              <w:rPr>
                <w:sz w:val="22"/>
              </w:rPr>
              <w:t>25</w:t>
            </w:r>
          </w:p>
        </w:tc>
      </w:tr>
      <w:tr>
        <w:trPr>
          <w:trHeight w:val="907" w:hRule="exact"/>
        </w:trPr>
        <w:tc>
          <w:tcPr>
            <w:tcW w:w="3241" w:type="dxa"/>
          </w:tcPr>
          <w:p>
            <w:pPr>
              <w:pStyle w:val="TableParagraph"/>
              <w:spacing w:line="276" w:lineRule="auto" w:before="14"/>
              <w:ind w:left="399" w:right="398" w:hanging="4"/>
              <w:jc w:val="center"/>
              <w:rPr>
                <w:sz w:val="22"/>
              </w:rPr>
            </w:pPr>
            <w:r>
              <w:rPr>
                <w:sz w:val="22"/>
              </w:rPr>
              <w:t>Autoridades Auxiliares (Comisariados Ejidales y Delegados Municipales)</w:t>
            </w:r>
          </w:p>
        </w:tc>
        <w:tc>
          <w:tcPr>
            <w:tcW w:w="1980" w:type="dxa"/>
          </w:tcPr>
          <w:p>
            <w:pPr>
              <w:pStyle w:val="TableParagraph"/>
              <w:spacing w:before="14"/>
              <w:ind w:left="838" w:right="838"/>
              <w:jc w:val="center"/>
              <w:rPr>
                <w:sz w:val="22"/>
              </w:rPr>
            </w:pPr>
            <w:r>
              <w:rPr>
                <w:sz w:val="22"/>
              </w:rPr>
              <w:t>22</w:t>
            </w:r>
          </w:p>
        </w:tc>
      </w:tr>
      <w:tr>
        <w:trPr>
          <w:trHeight w:val="523" w:hRule="exact"/>
        </w:trPr>
        <w:tc>
          <w:tcPr>
            <w:tcW w:w="3241" w:type="dxa"/>
            <w:tcBorders>
              <w:bottom w:val="single" w:sz="12" w:space="0" w:color="000000"/>
            </w:tcBorders>
          </w:tcPr>
          <w:p>
            <w:pPr>
              <w:pStyle w:val="TableParagraph"/>
              <w:spacing w:before="12"/>
              <w:ind w:left="654" w:right="655"/>
              <w:jc w:val="center"/>
              <w:rPr>
                <w:b/>
                <w:sz w:val="22"/>
              </w:rPr>
            </w:pPr>
            <w:r>
              <w:rPr>
                <w:b/>
                <w:sz w:val="22"/>
              </w:rPr>
              <w:t>Total</w:t>
            </w:r>
          </w:p>
        </w:tc>
        <w:tc>
          <w:tcPr>
            <w:tcW w:w="1980" w:type="dxa"/>
            <w:tcBorders>
              <w:bottom w:val="single" w:sz="12" w:space="0" w:color="000000"/>
            </w:tcBorders>
          </w:tcPr>
          <w:p>
            <w:pPr>
              <w:pStyle w:val="TableParagraph"/>
              <w:spacing w:before="12"/>
              <w:ind w:left="838" w:right="838"/>
              <w:jc w:val="center"/>
              <w:rPr>
                <w:b/>
                <w:sz w:val="22"/>
              </w:rPr>
            </w:pPr>
            <w:r>
              <w:rPr>
                <w:b/>
                <w:sz w:val="22"/>
              </w:rPr>
              <w:t>47</w:t>
            </w:r>
          </w:p>
        </w:tc>
      </w:tr>
      <w:tr>
        <w:trPr>
          <w:trHeight w:val="518" w:hRule="exact"/>
        </w:trPr>
        <w:tc>
          <w:tcPr>
            <w:tcW w:w="5221" w:type="dxa"/>
            <w:gridSpan w:val="2"/>
            <w:shd w:val="clear" w:color="auto" w:fill="BEBEBE"/>
          </w:tcPr>
          <w:p>
            <w:pPr>
              <w:pStyle w:val="TableParagraph"/>
              <w:spacing w:before="7"/>
              <w:ind w:left="869"/>
              <w:rPr>
                <w:b/>
                <w:sz w:val="22"/>
              </w:rPr>
            </w:pPr>
            <w:r>
              <w:rPr>
                <w:b/>
                <w:sz w:val="22"/>
              </w:rPr>
              <w:t>ACTORES GUBERNAMENTALES</w:t>
            </w:r>
          </w:p>
        </w:tc>
      </w:tr>
    </w:tbl>
    <w:p>
      <w:pPr>
        <w:spacing w:after="0"/>
        <w:rPr>
          <w:sz w:val="22"/>
        </w:rPr>
        <w:sectPr>
          <w:footerReference w:type="default" r:id="rId174"/>
          <w:pgSz w:w="12240" w:h="15840"/>
          <w:pgMar w:footer="1003" w:header="0" w:top="1360" w:bottom="1200" w:left="1600" w:right="1580"/>
          <w:pgNumType w:start="200"/>
        </w:sectPr>
      </w:pPr>
    </w:p>
    <w:tbl>
      <w:tblPr>
        <w:tblW w:w="0" w:type="auto"/>
        <w:jc w:val="left"/>
        <w:tblInd w:w="19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241"/>
        <w:gridCol w:w="1980"/>
      </w:tblGrid>
      <w:tr>
        <w:trPr>
          <w:trHeight w:val="521" w:hRule="exact"/>
        </w:trPr>
        <w:tc>
          <w:tcPr>
            <w:tcW w:w="3241" w:type="dxa"/>
          </w:tcPr>
          <w:p>
            <w:pPr>
              <w:pStyle w:val="TableParagraph"/>
              <w:spacing w:before="12"/>
              <w:ind w:left="654" w:right="654"/>
              <w:jc w:val="center"/>
              <w:rPr>
                <w:sz w:val="22"/>
              </w:rPr>
            </w:pPr>
            <w:r>
              <w:rPr>
                <w:sz w:val="22"/>
              </w:rPr>
              <w:t>Municipales</w:t>
            </w:r>
          </w:p>
        </w:tc>
        <w:tc>
          <w:tcPr>
            <w:tcW w:w="1980" w:type="dxa"/>
          </w:tcPr>
          <w:p>
            <w:pPr>
              <w:pStyle w:val="TableParagraph"/>
              <w:spacing w:before="12"/>
              <w:ind w:left="838" w:right="838"/>
              <w:jc w:val="center"/>
              <w:rPr>
                <w:sz w:val="22"/>
              </w:rPr>
            </w:pPr>
            <w:r>
              <w:rPr>
                <w:sz w:val="22"/>
              </w:rPr>
              <w:t>27</w:t>
            </w:r>
          </w:p>
        </w:tc>
      </w:tr>
      <w:tr>
        <w:trPr>
          <w:trHeight w:val="523" w:hRule="exact"/>
        </w:trPr>
        <w:tc>
          <w:tcPr>
            <w:tcW w:w="3241" w:type="dxa"/>
          </w:tcPr>
          <w:p>
            <w:pPr>
              <w:pStyle w:val="TableParagraph"/>
              <w:spacing w:before="14"/>
              <w:ind w:left="654" w:right="656"/>
              <w:jc w:val="center"/>
              <w:rPr>
                <w:sz w:val="22"/>
              </w:rPr>
            </w:pPr>
            <w:r>
              <w:rPr>
                <w:sz w:val="22"/>
              </w:rPr>
              <w:t>Federales</w:t>
            </w:r>
          </w:p>
        </w:tc>
        <w:tc>
          <w:tcPr>
            <w:tcW w:w="1980" w:type="dxa"/>
          </w:tcPr>
          <w:p>
            <w:pPr>
              <w:pStyle w:val="TableParagraph"/>
              <w:spacing w:before="14"/>
              <w:ind w:left="0"/>
              <w:jc w:val="center"/>
              <w:rPr>
                <w:sz w:val="22"/>
              </w:rPr>
            </w:pPr>
            <w:r>
              <w:rPr>
                <w:w w:val="100"/>
                <w:sz w:val="22"/>
              </w:rPr>
              <w:t>3</w:t>
            </w:r>
          </w:p>
        </w:tc>
      </w:tr>
      <w:tr>
        <w:trPr>
          <w:trHeight w:val="523" w:hRule="exact"/>
        </w:trPr>
        <w:tc>
          <w:tcPr>
            <w:tcW w:w="3241" w:type="dxa"/>
          </w:tcPr>
          <w:p>
            <w:pPr>
              <w:pStyle w:val="TableParagraph"/>
              <w:spacing w:before="9"/>
              <w:ind w:left="654" w:right="655"/>
              <w:jc w:val="center"/>
              <w:rPr>
                <w:b/>
                <w:sz w:val="22"/>
              </w:rPr>
            </w:pPr>
            <w:r>
              <w:rPr>
                <w:b/>
                <w:sz w:val="22"/>
              </w:rPr>
              <w:t>Total</w:t>
            </w:r>
          </w:p>
        </w:tc>
        <w:tc>
          <w:tcPr>
            <w:tcW w:w="1980" w:type="dxa"/>
          </w:tcPr>
          <w:p>
            <w:pPr>
              <w:pStyle w:val="TableParagraph"/>
              <w:spacing w:before="9"/>
              <w:ind w:left="838" w:right="838"/>
              <w:jc w:val="center"/>
              <w:rPr>
                <w:b/>
                <w:sz w:val="22"/>
              </w:rPr>
            </w:pPr>
            <w:r>
              <w:rPr>
                <w:b/>
                <w:sz w:val="22"/>
              </w:rPr>
              <w:t>30</w:t>
            </w:r>
          </w:p>
        </w:tc>
      </w:tr>
      <w:tr>
        <w:trPr>
          <w:trHeight w:val="521" w:hRule="exact"/>
        </w:trPr>
        <w:tc>
          <w:tcPr>
            <w:tcW w:w="3241" w:type="dxa"/>
            <w:shd w:val="clear" w:color="auto" w:fill="BEBEBE"/>
          </w:tcPr>
          <w:p>
            <w:pPr>
              <w:pStyle w:val="TableParagraph"/>
              <w:spacing w:before="9"/>
              <w:ind w:left="654" w:right="656"/>
              <w:jc w:val="center"/>
              <w:rPr>
                <w:b/>
                <w:sz w:val="22"/>
              </w:rPr>
            </w:pPr>
            <w:r>
              <w:rPr>
                <w:b/>
                <w:sz w:val="22"/>
              </w:rPr>
              <w:t>TOTAL GENERAL</w:t>
            </w:r>
          </w:p>
        </w:tc>
        <w:tc>
          <w:tcPr>
            <w:tcW w:w="1980" w:type="dxa"/>
            <w:shd w:val="clear" w:color="auto" w:fill="BEBEBE"/>
          </w:tcPr>
          <w:p>
            <w:pPr>
              <w:pStyle w:val="TableParagraph"/>
              <w:spacing w:before="9"/>
              <w:ind w:left="838" w:right="838"/>
              <w:jc w:val="center"/>
              <w:rPr>
                <w:b/>
                <w:sz w:val="22"/>
              </w:rPr>
            </w:pPr>
            <w:r>
              <w:rPr>
                <w:b/>
                <w:sz w:val="22"/>
              </w:rPr>
              <w:t>77</w:t>
            </w:r>
          </w:p>
        </w:tc>
      </w:tr>
    </w:tbl>
    <w:p>
      <w:pPr>
        <w:pStyle w:val="BodyText"/>
        <w:spacing w:before="4"/>
        <w:rPr>
          <w:b/>
          <w:sz w:val="17"/>
        </w:rPr>
      </w:pPr>
    </w:p>
    <w:p>
      <w:pPr>
        <w:pStyle w:val="BodyText"/>
        <w:spacing w:before="72"/>
        <w:ind w:left="102"/>
        <w:jc w:val="both"/>
      </w:pPr>
      <w:r>
        <w:rPr>
          <w:b/>
        </w:rPr>
        <w:t>Fuente: </w:t>
      </w:r>
      <w:r>
        <w:rPr/>
        <w:t>Elaboración propia con base en el Trabajo de Campo, García (2013- 2015).</w:t>
      </w:r>
    </w:p>
    <w:p>
      <w:pPr>
        <w:pStyle w:val="BodyText"/>
      </w:pPr>
    </w:p>
    <w:p>
      <w:pPr>
        <w:pStyle w:val="BodyText"/>
        <w:spacing w:line="360" w:lineRule="auto" w:before="159"/>
        <w:ind w:left="102" w:right="114"/>
        <w:jc w:val="both"/>
      </w:pPr>
      <w:r>
        <w:rPr/>
        <w:t>En la siguiente gráfica se puede apreciar que del total de 77 actores, 47 corresponden a los </w:t>
      </w:r>
      <w:r>
        <w:rPr>
          <w:i/>
        </w:rPr>
        <w:t>actores históricos </w:t>
      </w:r>
      <w:r>
        <w:rPr/>
        <w:t>(pescadores, ganaderos, turismo, industriales y comerciantes de lácteos y autoridades auxiliares); 27 a los </w:t>
      </w:r>
      <w:r>
        <w:rPr>
          <w:i/>
        </w:rPr>
        <w:t>actores municipales </w:t>
      </w:r>
      <w:r>
        <w:rPr/>
        <w:t>(presidentes municipales, regidores de las comisiones relacionadas con el medio ambiente y directores del medio ambiente o afines a éste); y 3 a los </w:t>
      </w:r>
      <w:r>
        <w:rPr>
          <w:i/>
        </w:rPr>
        <w:t>actores federales </w:t>
      </w:r>
      <w:r>
        <w:rPr/>
        <w:t>(Jefe del Distrito de Riego en el Estado de México, Subjefe de Operación y el Presidente de la Asociación de Usuarios del Sistema de Riego Huapango Arroyo Zarco México S.A.).</w:t>
      </w:r>
    </w:p>
    <w:p>
      <w:pPr>
        <w:pStyle w:val="BodyText"/>
        <w:spacing w:before="7"/>
        <w:rPr>
          <w:sz w:val="17"/>
        </w:rPr>
      </w:pPr>
    </w:p>
    <w:p>
      <w:pPr>
        <w:pStyle w:val="Heading6"/>
        <w:ind w:left="219" w:right="239"/>
        <w:jc w:val="center"/>
      </w:pPr>
      <w:r>
        <w:rPr/>
        <w:t>Gráfica 6.1. Total de actores entrevistados (77)</w:t>
      </w:r>
    </w:p>
    <w:p>
      <w:pPr>
        <w:pStyle w:val="BodyText"/>
        <w:spacing w:before="7"/>
        <w:rPr>
          <w:b/>
          <w:sz w:val="24"/>
        </w:rPr>
      </w:pPr>
      <w:r>
        <w:rPr/>
        <w:pict>
          <v:group style="position:absolute;margin-left:124.875pt;margin-top:16.103945pt;width:360.75pt;height:216.75pt;mso-position-horizontal-relative:page;mso-position-vertical-relative:paragraph;z-index:10384;mso-wrap-distance-left:0;mso-wrap-distance-right:0" coordorigin="2498,322" coordsize="7215,4335">
            <v:shape style="position:absolute;left:4225;top:1040;width:2836;height:3460" coordorigin="4225,1040" coordsize="2836,3460" path="m5331,1040l5331,2770,4225,4100,4289,4150,4354,4197,4421,4241,4490,4281,4560,4318,4633,4352,4706,4383,4781,4410,4857,4433,4934,4453,5012,4470,5091,4483,5171,4492,5251,4498,5331,4500,5406,4498,5481,4493,5554,4485,5626,4475,5698,4461,5768,4444,5837,4424,5905,4402,5972,4377,6037,4349,6101,4319,6164,4287,6225,4251,6284,4214,6342,4174,6398,4132,6452,4088,6504,4041,6555,3993,6603,3942,6649,3890,6694,3836,6736,3780,6776,3722,6813,3663,6848,3602,6881,3539,6911,3475,6939,3410,6964,3343,6986,3275,7006,3206,7023,3136,7036,3065,7047,2992,7055,2919,7060,2845,7061,2770,7060,2695,7055,2620,7047,2547,7036,2475,7023,2403,7006,2333,6986,2264,6964,2196,6939,2129,6911,2064,6881,2000,6848,1937,6813,1876,6776,1817,6736,1759,6694,1703,6649,1649,6603,1597,6555,1546,6504,1498,6452,1451,6398,1407,6342,1365,6284,1325,6225,1288,6164,1253,6101,1220,6037,1190,5972,1162,5905,1137,5837,1115,5768,1095,5698,1078,5626,1065,5554,1054,5481,1046,5406,1041,5331,1040xe" filled="true" fillcolor="#30859c" stroked="false">
              <v:path arrowok="t"/>
              <v:fill type="solid"/>
            </v:shape>
            <v:shape style="position:absolute;left:4225;top:1040;width:2836;height:3460" coordorigin="4225,1040" coordsize="2836,3460" path="m5331,1040l5406,1041,5481,1046,5554,1054,5626,1065,5698,1078,5768,1095,5837,1115,5905,1137,5972,1162,6037,1190,6101,1220,6164,1253,6225,1288,6284,1325,6342,1365,6398,1407,6452,1451,6504,1498,6555,1546,6603,1597,6649,1649,6694,1703,6736,1759,6776,1817,6813,1876,6848,1937,6881,2000,6911,2064,6939,2129,6964,2196,6986,2264,7006,2333,7023,2403,7036,2475,7047,2547,7055,2620,7060,2695,7061,2770,7060,2845,7055,2919,7047,2992,7036,3065,7023,3136,7006,3206,6986,3275,6964,3343,6939,3410,6911,3475,6881,3539,6848,3602,6813,3663,6776,3722,6736,3780,6694,3836,6649,3890,6603,3942,6555,3993,6504,4041,6452,4088,6398,4132,6342,4174,6284,4214,6225,4251,6164,4287,6101,4319,6037,4349,5972,4377,5905,4402,5837,4424,5768,4444,5698,4461,5626,4475,5554,4485,5481,4493,5406,4498,5331,4500,5251,4498,5171,4492,5091,4483,5012,4470,4934,4453,4857,4433,4781,4410,4706,4383,4633,4352,4560,4318,4490,4281,4421,4241,4354,4197,4289,4150,4225,4100,5331,2770,5331,1040xe" filled="false" stroked="true" strokeweight="2.04pt" strokecolor="#000000">
              <v:path arrowok="t"/>
            </v:shape>
            <v:shape style="position:absolute;left:3601;top:1091;width:1730;height:3009" coordorigin="3601,1091" coordsize="1730,3009" path="m4912,1091l4836,1112,4762,1136,4688,1164,4617,1194,4546,1228,4478,1265,4411,1305,4346,1348,4283,1393,4222,1442,4163,1493,4107,1548,4053,1604,4001,1664,3954,1722,3911,1782,3870,1844,3832,1906,3797,1970,3765,2035,3735,2101,3709,2167,3686,2234,3665,2302,3648,2371,3633,2440,3621,2509,3612,2579,3605,2649,3602,2719,3601,2789,3604,2858,3609,2928,3616,2998,3627,3067,3640,3135,3657,3204,3675,3271,3697,3338,3721,3404,3749,3469,3778,3533,3811,3596,3846,3658,3884,3719,3925,3778,3968,3836,4015,3892,4063,3947,4115,3999,4169,4051,4225,4100,5331,2770,4912,1091xe" filled="true" fillcolor="#77923b" stroked="false">
              <v:path arrowok="t"/>
              <v:fill type="solid"/>
            </v:shape>
            <v:shape style="position:absolute;left:3601;top:1091;width:1730;height:3009" coordorigin="3601,1091" coordsize="1730,3009" path="m4225,4100l4169,4051,4115,3999,4063,3947,4015,3892,3968,3836,3925,3778,3884,3719,3846,3658,3811,3596,3778,3533,3749,3469,3721,3404,3697,3338,3675,3271,3657,3204,3640,3135,3627,3067,3616,2998,3609,2928,3604,2858,3601,2789,3602,2719,3605,2649,3612,2579,3621,2509,3633,2440,3648,2371,3665,2302,3686,2234,3709,2167,3735,2101,3765,2035,3797,1970,3832,1906,3870,1844,3911,1782,3954,1722,4001,1664,4053,1604,4107,1548,4163,1493,4222,1442,4283,1393,4346,1348,4411,1305,4478,1265,4546,1228,4617,1194,4688,1164,4762,1136,4836,1112,4912,1091,5331,2770,4225,4100xe" filled="false" stroked="true" strokeweight="2.04pt" strokecolor="#000000">
              <v:path arrowok="t"/>
            </v:shape>
            <v:shape style="position:absolute;left:4912;top:1040;width:420;height:1730" coordorigin="4912,1040" coordsize="420,1730" path="m5331,1040l5247,1042,5162,1048,5078,1058,4995,1073,4912,1091,5331,2770,5331,1040xe" filled="true" fillcolor="#c0504d" stroked="false">
              <v:path arrowok="t"/>
              <v:fill type="solid"/>
            </v:shape>
            <v:shape style="position:absolute;left:4912;top:1040;width:420;height:1730" coordorigin="4912,1040" coordsize="420,1730" path="m4912,1091l4995,1073,5078,1058,5162,1048,5247,1042,5331,1040,5331,2770,4912,1091xe" filled="false" stroked="true" strokeweight="2.04pt" strokecolor="#000000">
              <v:path arrowok="t"/>
            </v:shape>
            <v:rect style="position:absolute;left:7380;top:2132;width:111;height:111" filled="true" fillcolor="#30859c" stroked="false">
              <v:fill type="solid"/>
            </v:rect>
            <v:rect style="position:absolute;left:7380;top:2132;width:111;height:111" filled="false" stroked="true" strokeweight="2pt" strokecolor="#000000"/>
            <v:rect style="position:absolute;left:7380;top:2675;width:111;height:111" filled="true" fillcolor="#77923b" stroked="false">
              <v:fill type="solid"/>
            </v:rect>
            <v:rect style="position:absolute;left:7380;top:2675;width:111;height:111" filled="false" stroked="true" strokeweight="2pt" strokecolor="#000000"/>
            <v:rect style="position:absolute;left:7380;top:3219;width:111;height:111" filled="true" fillcolor="#c0504d" stroked="false">
              <v:fill type="solid"/>
            </v:rect>
            <v:rect style="position:absolute;left:7380;top:3219;width:111;height:111" filled="false" stroked="true" strokeweight="2pt" strokecolor="#000000"/>
            <v:rect style="position:absolute;left:2505;top:330;width:7200;height:4320" filled="false" stroked="true" strokeweight=".75pt" strokecolor="#000000"/>
            <v:shape style="position:absolute;left:3770;top:515;width:4667;height:987" type="#_x0000_t202" filled="false" stroked="false">
              <v:textbox inset="0,0,0,0">
                <w:txbxContent>
                  <w:p>
                    <w:pPr>
                      <w:spacing w:line="287" w:lineRule="exact" w:before="0"/>
                      <w:ind w:left="0" w:right="-10" w:firstLine="0"/>
                      <w:jc w:val="left"/>
                      <w:rPr>
                        <w:b/>
                        <w:sz w:val="28"/>
                      </w:rPr>
                    </w:pPr>
                    <w:r>
                      <w:rPr>
                        <w:b/>
                        <w:spacing w:val="-5"/>
                        <w:sz w:val="28"/>
                      </w:rPr>
                      <w:t>Total </w:t>
                    </w:r>
                    <w:r>
                      <w:rPr>
                        <w:b/>
                        <w:sz w:val="28"/>
                      </w:rPr>
                      <w:t>de Actores Entrevistados</w:t>
                    </w:r>
                    <w:r>
                      <w:rPr>
                        <w:b/>
                        <w:spacing w:val="-13"/>
                        <w:sz w:val="28"/>
                      </w:rPr>
                      <w:t> </w:t>
                    </w:r>
                    <w:r>
                      <w:rPr>
                        <w:b/>
                        <w:sz w:val="28"/>
                      </w:rPr>
                      <w:t>(77)</w:t>
                    </w:r>
                  </w:p>
                  <w:p>
                    <w:pPr>
                      <w:spacing w:line="240" w:lineRule="auto" w:before="5"/>
                      <w:rPr>
                        <w:b/>
                        <w:sz w:val="29"/>
                      </w:rPr>
                    </w:pPr>
                  </w:p>
                  <w:p>
                    <w:pPr>
                      <w:spacing w:line="361" w:lineRule="exact" w:before="0"/>
                      <w:ind w:left="1300" w:right="0" w:firstLine="0"/>
                      <w:jc w:val="left"/>
                      <w:rPr>
                        <w:sz w:val="32"/>
                      </w:rPr>
                    </w:pPr>
                    <w:r>
                      <w:rPr>
                        <w:w w:val="99"/>
                        <w:sz w:val="32"/>
                      </w:rPr>
                      <w:t>3</w:t>
                    </w:r>
                  </w:p>
                </w:txbxContent>
              </v:textbox>
              <w10:wrap type="none"/>
            </v:shape>
            <v:shape style="position:absolute;left:7540;top:2079;width:1774;height:222" type="#_x0000_t202" filled="false" stroked="false">
              <v:textbox inset="0,0,0,0">
                <w:txbxContent>
                  <w:p>
                    <w:pPr>
                      <w:spacing w:line="221" w:lineRule="exact" w:before="0"/>
                      <w:ind w:left="0" w:right="-19" w:firstLine="0"/>
                      <w:jc w:val="left"/>
                      <w:rPr>
                        <w:sz w:val="22"/>
                      </w:rPr>
                    </w:pPr>
                    <w:r>
                      <w:rPr>
                        <w:sz w:val="22"/>
                      </w:rPr>
                      <w:t>Actores Históricos</w:t>
                    </w:r>
                  </w:p>
                </w:txbxContent>
              </v:textbox>
              <w10:wrap type="none"/>
            </v:shape>
            <v:shape style="position:absolute;left:3781;top:2293;width:356;height:320" type="#_x0000_t202" filled="false" stroked="false">
              <v:textbox inset="0,0,0,0">
                <w:txbxContent>
                  <w:p>
                    <w:pPr>
                      <w:spacing w:line="319" w:lineRule="exact" w:before="0"/>
                      <w:ind w:left="0" w:right="-3" w:firstLine="0"/>
                      <w:jc w:val="left"/>
                      <w:rPr>
                        <w:sz w:val="32"/>
                      </w:rPr>
                    </w:pPr>
                    <w:r>
                      <w:rPr>
                        <w:w w:val="95"/>
                        <w:sz w:val="32"/>
                      </w:rPr>
                      <w:t>27</w:t>
                    </w:r>
                  </w:p>
                </w:txbxContent>
              </v:textbox>
              <w10:wrap type="none"/>
            </v:shape>
            <v:shape style="position:absolute;left:7540;top:2623;width:1971;height:221" type="#_x0000_t202" filled="false" stroked="false">
              <v:textbox inset="0,0,0,0">
                <w:txbxContent>
                  <w:p>
                    <w:pPr>
                      <w:spacing w:line="221" w:lineRule="exact" w:before="0"/>
                      <w:ind w:left="0" w:right="-18" w:firstLine="0"/>
                      <w:jc w:val="left"/>
                      <w:rPr>
                        <w:sz w:val="22"/>
                      </w:rPr>
                    </w:pPr>
                    <w:r>
                      <w:rPr>
                        <w:sz w:val="22"/>
                      </w:rPr>
                      <w:t>Actores Municipales</w:t>
                    </w:r>
                  </w:p>
                </w:txbxContent>
              </v:textbox>
              <w10:wrap type="none"/>
            </v:shape>
            <v:shape style="position:absolute;left:6407;top:3207;width:356;height:320" type="#_x0000_t202" filled="false" stroked="false">
              <v:textbox inset="0,0,0,0">
                <w:txbxContent>
                  <w:p>
                    <w:pPr>
                      <w:spacing w:line="319" w:lineRule="exact" w:before="0"/>
                      <w:ind w:left="0" w:right="-3" w:firstLine="0"/>
                      <w:jc w:val="left"/>
                      <w:rPr>
                        <w:sz w:val="32"/>
                      </w:rPr>
                    </w:pPr>
                    <w:r>
                      <w:rPr>
                        <w:w w:val="95"/>
                        <w:sz w:val="32"/>
                      </w:rPr>
                      <w:t>47</w:t>
                    </w:r>
                  </w:p>
                </w:txbxContent>
              </v:textbox>
              <w10:wrap type="none"/>
            </v:shape>
            <v:shape style="position:absolute;left:7540;top:3167;width:1786;height:221" type="#_x0000_t202" filled="false" stroked="false">
              <v:textbox inset="0,0,0,0">
                <w:txbxContent>
                  <w:p>
                    <w:pPr>
                      <w:spacing w:line="221" w:lineRule="exact" w:before="0"/>
                      <w:ind w:left="0" w:right="-20" w:firstLine="0"/>
                      <w:jc w:val="left"/>
                      <w:rPr>
                        <w:sz w:val="22"/>
                      </w:rPr>
                    </w:pPr>
                    <w:r>
                      <w:rPr>
                        <w:sz w:val="22"/>
                      </w:rPr>
                      <w:t>Actores Federales</w:t>
                    </w:r>
                  </w:p>
                </w:txbxContent>
              </v:textbox>
              <w10:wrap type="none"/>
            </v:shape>
            <w10:wrap type="topAndBottom"/>
          </v:group>
        </w:pict>
      </w:r>
    </w:p>
    <w:p>
      <w:pPr>
        <w:pStyle w:val="BodyText"/>
        <w:spacing w:before="7"/>
        <w:rPr>
          <w:b/>
          <w:sz w:val="27"/>
        </w:rPr>
      </w:pPr>
    </w:p>
    <w:p>
      <w:pPr>
        <w:pStyle w:val="BodyText"/>
        <w:spacing w:line="362" w:lineRule="auto"/>
        <w:ind w:left="102" w:right="119"/>
        <w:jc w:val="both"/>
      </w:pPr>
      <w:r>
        <w:rPr>
          <w:b/>
        </w:rPr>
        <w:t>Fuente: </w:t>
      </w:r>
      <w:r>
        <w:rPr/>
        <w:t>Elaboración propia con base en los datos obtenidos en el Trabajo de Campo, García (2013-2015).</w:t>
      </w:r>
    </w:p>
    <w:p>
      <w:pPr>
        <w:pStyle w:val="BodyText"/>
        <w:spacing w:before="4"/>
        <w:rPr>
          <w:sz w:val="17"/>
        </w:rPr>
      </w:pPr>
    </w:p>
    <w:p>
      <w:pPr>
        <w:pStyle w:val="BodyText"/>
        <w:spacing w:line="360" w:lineRule="auto"/>
        <w:ind w:left="102" w:right="119"/>
        <w:jc w:val="both"/>
      </w:pPr>
      <w:r>
        <w:rPr/>
        <w:t>Las localidades donde se realizaron las entrevistas e historias de vida, fueron elegidas debido  a  que  articulan el  espacio  geográfico  entre  aguas arriba  y aguas  abajo  de  la</w:t>
      </w:r>
    </w:p>
    <w:p>
      <w:pPr>
        <w:spacing w:after="0" w:line="360" w:lineRule="auto"/>
        <w:jc w:val="both"/>
        <w:sectPr>
          <w:pgSz w:w="12240" w:h="15840"/>
          <w:pgMar w:header="0" w:footer="1003" w:top="1420" w:bottom="1200" w:left="1600" w:right="1580"/>
        </w:sectPr>
      </w:pPr>
    </w:p>
    <w:p>
      <w:pPr>
        <w:pStyle w:val="BodyText"/>
        <w:spacing w:line="360" w:lineRule="auto" w:before="56"/>
        <w:ind w:left="102" w:right="114"/>
        <w:jc w:val="both"/>
      </w:pPr>
      <w:r>
        <w:rPr/>
        <w:t>Cuenca Hidrosocial Presa Huapango, además que allí y coinciden los grupos de actores y funcionan sus estructuras sociales históricas que han permitido la convivencia entre todos los grupos; pero también identificar las </w:t>
      </w:r>
      <w:r>
        <w:rPr>
          <w:i/>
        </w:rPr>
        <w:t>relaciones de poder </w:t>
      </w:r>
      <w:r>
        <w:rPr/>
        <w:t>entre ellos, lo cual permite percibir sus principios de gobernanza y gobernabilidad.</w:t>
      </w:r>
    </w:p>
    <w:p>
      <w:pPr>
        <w:pStyle w:val="BodyText"/>
        <w:spacing w:before="9"/>
        <w:rPr>
          <w:sz w:val="17"/>
        </w:rPr>
      </w:pPr>
    </w:p>
    <w:p>
      <w:pPr>
        <w:pStyle w:val="BodyText"/>
        <w:ind w:left="102"/>
        <w:jc w:val="both"/>
      </w:pPr>
      <w:r>
        <w:rPr/>
        <w:t>Las localidades y su ubicación son las siguientes:</w:t>
      </w:r>
    </w:p>
    <w:p>
      <w:pPr>
        <w:pStyle w:val="BodyText"/>
      </w:pPr>
    </w:p>
    <w:p>
      <w:pPr>
        <w:pStyle w:val="Heading6"/>
        <w:spacing w:line="360" w:lineRule="auto" w:before="149"/>
        <w:ind w:left="3023" w:right="436" w:hanging="2588"/>
      </w:pPr>
      <w:r>
        <w:rPr/>
        <w:t>Tabla. 6.2. Localidades elegidas para las entrevistas con actores de la Cuenca Hidrosocial Presa Huapango</w:t>
      </w:r>
    </w:p>
    <w:p>
      <w:pPr>
        <w:pStyle w:val="BodyText"/>
        <w:spacing w:before="2"/>
        <w:rPr>
          <w:b/>
          <w:sz w:val="25"/>
        </w:rPr>
      </w:pPr>
    </w:p>
    <w:tbl>
      <w:tblPr>
        <w:tblW w:w="0" w:type="auto"/>
        <w:jc w:val="left"/>
        <w:tblInd w:w="2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82"/>
        <w:gridCol w:w="1348"/>
        <w:gridCol w:w="2460"/>
        <w:gridCol w:w="1296"/>
        <w:gridCol w:w="1337"/>
        <w:gridCol w:w="1426"/>
      </w:tblGrid>
      <w:tr>
        <w:trPr>
          <w:trHeight w:val="795" w:hRule="exact"/>
        </w:trPr>
        <w:tc>
          <w:tcPr>
            <w:tcW w:w="582" w:type="dxa"/>
            <w:shd w:val="clear" w:color="auto" w:fill="938953"/>
          </w:tcPr>
          <w:p>
            <w:pPr/>
          </w:p>
        </w:tc>
        <w:tc>
          <w:tcPr>
            <w:tcW w:w="1348" w:type="dxa"/>
            <w:tcBorders>
              <w:right w:val="single" w:sz="8" w:space="0" w:color="000000"/>
            </w:tcBorders>
            <w:shd w:val="clear" w:color="auto" w:fill="938953"/>
          </w:tcPr>
          <w:p>
            <w:pPr>
              <w:pStyle w:val="TableParagraph"/>
              <w:spacing w:before="11"/>
              <w:ind w:left="82"/>
              <w:rPr>
                <w:b/>
                <w:sz w:val="22"/>
              </w:rPr>
            </w:pPr>
            <w:r>
              <w:rPr>
                <w:b/>
                <w:sz w:val="22"/>
              </w:rPr>
              <w:t>MUNICIPIO</w:t>
            </w:r>
          </w:p>
        </w:tc>
        <w:tc>
          <w:tcPr>
            <w:tcW w:w="2460" w:type="dxa"/>
            <w:tcBorders>
              <w:left w:val="single" w:sz="8" w:space="0" w:color="000000"/>
            </w:tcBorders>
            <w:shd w:val="clear" w:color="auto" w:fill="938953"/>
          </w:tcPr>
          <w:p>
            <w:pPr>
              <w:pStyle w:val="TableParagraph"/>
              <w:spacing w:before="11"/>
              <w:ind w:left="84" w:right="80"/>
              <w:rPr>
                <w:b/>
                <w:sz w:val="22"/>
              </w:rPr>
            </w:pPr>
            <w:r>
              <w:rPr>
                <w:b/>
                <w:sz w:val="22"/>
              </w:rPr>
              <w:t>LOCALIDAD</w:t>
            </w:r>
          </w:p>
        </w:tc>
        <w:tc>
          <w:tcPr>
            <w:tcW w:w="1296" w:type="dxa"/>
            <w:shd w:val="clear" w:color="auto" w:fill="938953"/>
          </w:tcPr>
          <w:p>
            <w:pPr>
              <w:pStyle w:val="TableParagraph"/>
              <w:spacing w:before="11"/>
              <w:ind w:left="-1"/>
              <w:rPr>
                <w:b/>
                <w:sz w:val="22"/>
              </w:rPr>
            </w:pPr>
            <w:r>
              <w:rPr>
                <w:b/>
                <w:sz w:val="22"/>
              </w:rPr>
              <w:t>LATITUD</w:t>
            </w:r>
          </w:p>
        </w:tc>
        <w:tc>
          <w:tcPr>
            <w:tcW w:w="1337" w:type="dxa"/>
            <w:shd w:val="clear" w:color="auto" w:fill="938953"/>
          </w:tcPr>
          <w:p>
            <w:pPr>
              <w:pStyle w:val="TableParagraph"/>
              <w:spacing w:before="11"/>
              <w:ind w:left="0"/>
              <w:rPr>
                <w:b/>
                <w:sz w:val="22"/>
              </w:rPr>
            </w:pPr>
            <w:r>
              <w:rPr>
                <w:b/>
                <w:sz w:val="22"/>
              </w:rPr>
              <w:t>LONGITUD</w:t>
            </w:r>
          </w:p>
        </w:tc>
        <w:tc>
          <w:tcPr>
            <w:tcW w:w="1426" w:type="dxa"/>
            <w:shd w:val="clear" w:color="auto" w:fill="938953"/>
          </w:tcPr>
          <w:p>
            <w:pPr>
              <w:pStyle w:val="TableParagraph"/>
              <w:tabs>
                <w:tab w:pos="1098" w:val="left" w:leader="none"/>
              </w:tabs>
              <w:spacing w:line="360" w:lineRule="auto" w:before="11"/>
              <w:ind w:left="-1"/>
              <w:rPr>
                <w:b/>
                <w:sz w:val="22"/>
              </w:rPr>
            </w:pPr>
            <w:r>
              <w:rPr>
                <w:b/>
                <w:sz w:val="22"/>
              </w:rPr>
              <w:t>CLAVE</w:t>
              <w:tab/>
              <w:t>DE CARTA</w:t>
            </w:r>
          </w:p>
        </w:tc>
      </w:tr>
      <w:tr>
        <w:trPr>
          <w:trHeight w:val="793" w:hRule="exact"/>
        </w:trPr>
        <w:tc>
          <w:tcPr>
            <w:tcW w:w="582" w:type="dxa"/>
            <w:vMerge w:val="restart"/>
            <w:shd w:val="clear" w:color="auto" w:fill="1F487C"/>
            <w:textDirection w:val="btLr"/>
          </w:tcPr>
          <w:p>
            <w:pPr>
              <w:pStyle w:val="TableParagraph"/>
              <w:spacing w:before="86"/>
              <w:ind w:left="2311" w:right="2322"/>
              <w:jc w:val="center"/>
              <w:rPr>
                <w:b/>
                <w:sz w:val="22"/>
              </w:rPr>
            </w:pPr>
            <w:r>
              <w:rPr>
                <w:b/>
                <w:spacing w:val="-2"/>
                <w:w w:val="100"/>
                <w:sz w:val="22"/>
              </w:rPr>
              <w:t>A</w:t>
            </w:r>
            <w:r>
              <w:rPr>
                <w:b/>
                <w:w w:val="100"/>
                <w:sz w:val="22"/>
              </w:rPr>
              <w:t>g</w:t>
            </w:r>
            <w:r>
              <w:rPr>
                <w:b/>
                <w:spacing w:val="-2"/>
                <w:w w:val="100"/>
                <w:sz w:val="22"/>
              </w:rPr>
              <w:t>u</w:t>
            </w:r>
            <w:r>
              <w:rPr>
                <w:b/>
                <w:w w:val="100"/>
                <w:sz w:val="22"/>
              </w:rPr>
              <w:t>as</w:t>
            </w:r>
            <w:r>
              <w:rPr>
                <w:b/>
                <w:sz w:val="22"/>
              </w:rPr>
              <w:t> </w:t>
            </w:r>
            <w:r>
              <w:rPr>
                <w:b/>
                <w:spacing w:val="-2"/>
                <w:w w:val="100"/>
                <w:sz w:val="22"/>
              </w:rPr>
              <w:t>A</w:t>
            </w:r>
            <w:r>
              <w:rPr>
                <w:b/>
                <w:w w:val="100"/>
                <w:sz w:val="22"/>
              </w:rPr>
              <w:t>rr</w:t>
            </w:r>
            <w:r>
              <w:rPr>
                <w:b/>
                <w:w w:val="100"/>
                <w:sz w:val="22"/>
              </w:rPr>
              <w:t>i</w:t>
            </w:r>
            <w:r>
              <w:rPr>
                <w:b/>
                <w:w w:val="100"/>
                <w:sz w:val="22"/>
              </w:rPr>
              <w:t>ba</w:t>
            </w:r>
          </w:p>
        </w:tc>
        <w:tc>
          <w:tcPr>
            <w:tcW w:w="1348" w:type="dxa"/>
            <w:tcBorders>
              <w:right w:val="single" w:sz="8" w:space="0" w:color="000000"/>
            </w:tcBorders>
            <w:shd w:val="clear" w:color="auto" w:fill="C0504D"/>
          </w:tcPr>
          <w:p>
            <w:pPr>
              <w:pStyle w:val="TableParagraph"/>
              <w:spacing w:before="11"/>
              <w:ind w:left="82"/>
              <w:rPr>
                <w:b/>
                <w:sz w:val="22"/>
              </w:rPr>
            </w:pPr>
            <w:r>
              <w:rPr>
                <w:b/>
                <w:sz w:val="22"/>
              </w:rPr>
              <w:t>Acambay</w:t>
            </w:r>
          </w:p>
        </w:tc>
        <w:tc>
          <w:tcPr>
            <w:tcW w:w="2460" w:type="dxa"/>
            <w:tcBorders>
              <w:left w:val="single" w:sz="8" w:space="0" w:color="000000"/>
            </w:tcBorders>
            <w:shd w:val="clear" w:color="auto" w:fill="C0504D"/>
          </w:tcPr>
          <w:p>
            <w:pPr>
              <w:pStyle w:val="TableParagraph"/>
              <w:tabs>
                <w:tab w:pos="1441" w:val="left" w:leader="none"/>
                <w:tab w:pos="1907" w:val="left" w:leader="none"/>
              </w:tabs>
              <w:spacing w:line="360" w:lineRule="auto" w:before="13"/>
              <w:ind w:left="84" w:right="80"/>
              <w:rPr>
                <w:sz w:val="22"/>
              </w:rPr>
            </w:pPr>
            <w:r>
              <w:rPr>
                <w:sz w:val="22"/>
              </w:rPr>
              <w:t>Acambay</w:t>
              <w:tab/>
              <w:t>de</w:t>
              <w:tab/>
            </w:r>
            <w:r>
              <w:rPr>
                <w:spacing w:val="-1"/>
                <w:sz w:val="22"/>
              </w:rPr>
              <w:t>Ruíz </w:t>
            </w:r>
            <w:r>
              <w:rPr>
                <w:sz w:val="22"/>
              </w:rPr>
              <w:t>Castañeda</w:t>
            </w:r>
          </w:p>
        </w:tc>
        <w:tc>
          <w:tcPr>
            <w:tcW w:w="1296" w:type="dxa"/>
            <w:shd w:val="clear" w:color="auto" w:fill="C0504D"/>
          </w:tcPr>
          <w:p>
            <w:pPr>
              <w:pStyle w:val="TableParagraph"/>
              <w:spacing w:before="13"/>
              <w:ind w:left="-1"/>
              <w:rPr>
                <w:sz w:val="22"/>
              </w:rPr>
            </w:pPr>
            <w:r>
              <w:rPr>
                <w:sz w:val="22"/>
              </w:rPr>
              <w:t>19°57'22"N</w:t>
            </w:r>
          </w:p>
        </w:tc>
        <w:tc>
          <w:tcPr>
            <w:tcW w:w="1337" w:type="dxa"/>
            <w:shd w:val="clear" w:color="auto" w:fill="C0504D"/>
          </w:tcPr>
          <w:p>
            <w:pPr>
              <w:pStyle w:val="TableParagraph"/>
              <w:spacing w:before="13"/>
              <w:ind w:left="0"/>
              <w:rPr>
                <w:sz w:val="22"/>
              </w:rPr>
            </w:pPr>
            <w:r>
              <w:rPr>
                <w:sz w:val="22"/>
              </w:rPr>
              <w:t>099°50'38"O</w:t>
            </w:r>
          </w:p>
        </w:tc>
        <w:tc>
          <w:tcPr>
            <w:tcW w:w="1426" w:type="dxa"/>
            <w:shd w:val="clear" w:color="auto" w:fill="C0504D"/>
          </w:tcPr>
          <w:p>
            <w:pPr>
              <w:pStyle w:val="TableParagraph"/>
              <w:spacing w:before="147"/>
              <w:ind w:left="-1"/>
              <w:rPr>
                <w:sz w:val="22"/>
              </w:rPr>
            </w:pPr>
            <w:r>
              <w:rPr>
                <w:sz w:val="22"/>
              </w:rPr>
              <w:t>E14A17</w:t>
            </w:r>
          </w:p>
        </w:tc>
      </w:tr>
      <w:tr>
        <w:trPr>
          <w:trHeight w:val="794" w:hRule="exact"/>
        </w:trPr>
        <w:tc>
          <w:tcPr>
            <w:tcW w:w="582" w:type="dxa"/>
            <w:vMerge/>
            <w:shd w:val="clear" w:color="auto" w:fill="1F487C"/>
            <w:textDirection w:val="btLr"/>
          </w:tcPr>
          <w:p>
            <w:pPr/>
          </w:p>
        </w:tc>
        <w:tc>
          <w:tcPr>
            <w:tcW w:w="1348" w:type="dxa"/>
            <w:tcBorders>
              <w:right w:val="single" w:sz="8" w:space="0" w:color="000000"/>
            </w:tcBorders>
            <w:shd w:val="clear" w:color="auto" w:fill="C0504D"/>
          </w:tcPr>
          <w:p>
            <w:pPr/>
          </w:p>
        </w:tc>
        <w:tc>
          <w:tcPr>
            <w:tcW w:w="2460" w:type="dxa"/>
            <w:tcBorders>
              <w:left w:val="single" w:sz="8" w:space="0" w:color="000000"/>
            </w:tcBorders>
            <w:shd w:val="clear" w:color="auto" w:fill="C0504D"/>
          </w:tcPr>
          <w:p>
            <w:pPr>
              <w:pStyle w:val="TableParagraph"/>
              <w:tabs>
                <w:tab w:pos="818" w:val="left" w:leader="none"/>
                <w:tab w:pos="1893" w:val="left" w:leader="none"/>
              </w:tabs>
              <w:spacing w:line="362" w:lineRule="auto" w:before="12"/>
              <w:ind w:left="84" w:right="79"/>
              <w:rPr>
                <w:sz w:val="22"/>
              </w:rPr>
            </w:pPr>
            <w:r>
              <w:rPr>
                <w:sz w:val="22"/>
              </w:rPr>
              <w:t>Las</w:t>
              <w:tab/>
              <w:t>Arenas</w:t>
              <w:tab/>
              <w:t>(San Agustín)</w:t>
            </w:r>
          </w:p>
        </w:tc>
        <w:tc>
          <w:tcPr>
            <w:tcW w:w="1296" w:type="dxa"/>
            <w:shd w:val="clear" w:color="auto" w:fill="C0504D"/>
          </w:tcPr>
          <w:p>
            <w:pPr>
              <w:pStyle w:val="TableParagraph"/>
              <w:spacing w:before="12"/>
              <w:ind w:left="-1"/>
              <w:rPr>
                <w:sz w:val="22"/>
              </w:rPr>
            </w:pPr>
            <w:r>
              <w:rPr>
                <w:sz w:val="22"/>
              </w:rPr>
              <w:t>19°59'25"N</w:t>
            </w:r>
          </w:p>
        </w:tc>
        <w:tc>
          <w:tcPr>
            <w:tcW w:w="1337" w:type="dxa"/>
            <w:shd w:val="clear" w:color="auto" w:fill="C0504D"/>
          </w:tcPr>
          <w:p>
            <w:pPr>
              <w:pStyle w:val="TableParagraph"/>
              <w:spacing w:before="12"/>
              <w:ind w:left="0"/>
              <w:rPr>
                <w:sz w:val="22"/>
              </w:rPr>
            </w:pPr>
            <w:r>
              <w:rPr>
                <w:sz w:val="22"/>
              </w:rPr>
              <w:t>099°43'46"O</w:t>
            </w:r>
          </w:p>
        </w:tc>
        <w:tc>
          <w:tcPr>
            <w:tcW w:w="1426" w:type="dxa"/>
            <w:shd w:val="clear" w:color="auto" w:fill="C0504D"/>
          </w:tcPr>
          <w:p>
            <w:pPr>
              <w:pStyle w:val="TableParagraph"/>
              <w:spacing w:before="12"/>
              <w:ind w:left="-1"/>
              <w:rPr>
                <w:sz w:val="22"/>
              </w:rPr>
            </w:pPr>
            <w:r>
              <w:rPr>
                <w:sz w:val="22"/>
              </w:rPr>
              <w:t>E14A17</w:t>
            </w:r>
          </w:p>
        </w:tc>
      </w:tr>
      <w:tr>
        <w:trPr>
          <w:trHeight w:val="794" w:hRule="exact"/>
        </w:trPr>
        <w:tc>
          <w:tcPr>
            <w:tcW w:w="582" w:type="dxa"/>
            <w:vMerge/>
            <w:shd w:val="clear" w:color="auto" w:fill="1F487C"/>
            <w:textDirection w:val="btLr"/>
          </w:tcPr>
          <w:p>
            <w:pPr/>
          </w:p>
        </w:tc>
        <w:tc>
          <w:tcPr>
            <w:tcW w:w="1348" w:type="dxa"/>
            <w:tcBorders>
              <w:right w:val="single" w:sz="8" w:space="0" w:color="000000"/>
            </w:tcBorders>
            <w:shd w:val="clear" w:color="auto" w:fill="C0504D"/>
          </w:tcPr>
          <w:p>
            <w:pPr/>
          </w:p>
        </w:tc>
        <w:tc>
          <w:tcPr>
            <w:tcW w:w="2460" w:type="dxa"/>
            <w:tcBorders>
              <w:left w:val="single" w:sz="8" w:space="0" w:color="000000"/>
            </w:tcBorders>
            <w:shd w:val="clear" w:color="auto" w:fill="C0504D"/>
          </w:tcPr>
          <w:p>
            <w:pPr>
              <w:pStyle w:val="TableParagraph"/>
              <w:tabs>
                <w:tab w:pos="719" w:val="left" w:leader="none"/>
                <w:tab w:pos="1723" w:val="left" w:leader="none"/>
              </w:tabs>
              <w:spacing w:line="360" w:lineRule="auto" w:before="12"/>
              <w:ind w:left="84" w:right="78"/>
              <w:rPr>
                <w:sz w:val="22"/>
              </w:rPr>
            </w:pPr>
            <w:r>
              <w:rPr>
                <w:sz w:val="22"/>
              </w:rPr>
              <w:t>San</w:t>
              <w:tab/>
              <w:t>Juanico</w:t>
              <w:tab/>
              <w:t>Sector Uno</w:t>
            </w:r>
          </w:p>
        </w:tc>
        <w:tc>
          <w:tcPr>
            <w:tcW w:w="1296" w:type="dxa"/>
            <w:shd w:val="clear" w:color="auto" w:fill="C0504D"/>
          </w:tcPr>
          <w:p>
            <w:pPr>
              <w:pStyle w:val="TableParagraph"/>
              <w:spacing w:before="12"/>
              <w:ind w:left="-1"/>
              <w:rPr>
                <w:sz w:val="22"/>
              </w:rPr>
            </w:pPr>
            <w:r>
              <w:rPr>
                <w:sz w:val="22"/>
              </w:rPr>
              <w:t>19°56'18"N</w:t>
            </w:r>
          </w:p>
        </w:tc>
        <w:tc>
          <w:tcPr>
            <w:tcW w:w="1337" w:type="dxa"/>
            <w:shd w:val="clear" w:color="auto" w:fill="C0504D"/>
          </w:tcPr>
          <w:p>
            <w:pPr>
              <w:pStyle w:val="TableParagraph"/>
              <w:spacing w:before="12"/>
              <w:ind w:left="0"/>
              <w:rPr>
                <w:sz w:val="22"/>
              </w:rPr>
            </w:pPr>
            <w:r>
              <w:rPr>
                <w:sz w:val="22"/>
              </w:rPr>
              <w:t>099°46'04"O</w:t>
            </w:r>
          </w:p>
        </w:tc>
        <w:tc>
          <w:tcPr>
            <w:tcW w:w="1426" w:type="dxa"/>
            <w:shd w:val="clear" w:color="auto" w:fill="C0504D"/>
          </w:tcPr>
          <w:p>
            <w:pPr>
              <w:pStyle w:val="TableParagraph"/>
              <w:spacing w:before="146"/>
              <w:ind w:left="-1"/>
              <w:rPr>
                <w:sz w:val="22"/>
              </w:rPr>
            </w:pPr>
            <w:r>
              <w:rPr>
                <w:sz w:val="22"/>
              </w:rPr>
              <w:t>E14A17</w:t>
            </w:r>
          </w:p>
        </w:tc>
      </w:tr>
      <w:tr>
        <w:trPr>
          <w:trHeight w:val="794" w:hRule="exact"/>
        </w:trPr>
        <w:tc>
          <w:tcPr>
            <w:tcW w:w="582" w:type="dxa"/>
            <w:vMerge/>
            <w:shd w:val="clear" w:color="auto" w:fill="1F487C"/>
            <w:textDirection w:val="btLr"/>
          </w:tcPr>
          <w:p>
            <w:pPr/>
          </w:p>
        </w:tc>
        <w:tc>
          <w:tcPr>
            <w:tcW w:w="1348" w:type="dxa"/>
            <w:tcBorders>
              <w:right w:val="single" w:sz="8" w:space="0" w:color="000000"/>
            </w:tcBorders>
            <w:shd w:val="clear" w:color="auto" w:fill="9BBA58"/>
          </w:tcPr>
          <w:p>
            <w:pPr>
              <w:pStyle w:val="TableParagraph"/>
              <w:spacing w:before="9"/>
              <w:ind w:left="82"/>
              <w:rPr>
                <w:b/>
                <w:sz w:val="22"/>
              </w:rPr>
            </w:pPr>
            <w:r>
              <w:rPr>
                <w:b/>
                <w:sz w:val="22"/>
              </w:rPr>
              <w:t>Jilotepec</w:t>
            </w:r>
          </w:p>
        </w:tc>
        <w:tc>
          <w:tcPr>
            <w:tcW w:w="2460" w:type="dxa"/>
            <w:tcBorders>
              <w:left w:val="single" w:sz="8" w:space="0" w:color="000000"/>
            </w:tcBorders>
            <w:shd w:val="clear" w:color="auto" w:fill="9BBA58"/>
          </w:tcPr>
          <w:p>
            <w:pPr>
              <w:pStyle w:val="TableParagraph"/>
              <w:tabs>
                <w:tab w:pos="1209" w:val="left" w:leader="none"/>
                <w:tab w:pos="1710" w:val="left" w:leader="none"/>
              </w:tabs>
              <w:spacing w:line="360" w:lineRule="auto" w:before="12"/>
              <w:ind w:left="84" w:right="82"/>
              <w:rPr>
                <w:sz w:val="22"/>
              </w:rPr>
            </w:pPr>
            <w:r>
              <w:rPr>
                <w:sz w:val="22"/>
              </w:rPr>
              <w:t>Jilotepec</w:t>
              <w:tab/>
              <w:t>de</w:t>
              <w:tab/>
            </w:r>
            <w:r>
              <w:rPr>
                <w:spacing w:val="-1"/>
                <w:sz w:val="22"/>
              </w:rPr>
              <w:t>Molina </w:t>
            </w:r>
            <w:r>
              <w:rPr>
                <w:sz w:val="22"/>
              </w:rPr>
              <w:t>Enríquez</w:t>
            </w:r>
          </w:p>
        </w:tc>
        <w:tc>
          <w:tcPr>
            <w:tcW w:w="1296" w:type="dxa"/>
            <w:shd w:val="clear" w:color="auto" w:fill="9BBA58"/>
          </w:tcPr>
          <w:p>
            <w:pPr>
              <w:pStyle w:val="TableParagraph"/>
              <w:spacing w:before="146"/>
              <w:ind w:left="-1"/>
              <w:rPr>
                <w:sz w:val="22"/>
              </w:rPr>
            </w:pPr>
            <w:r>
              <w:rPr>
                <w:sz w:val="22"/>
              </w:rPr>
              <w:t>19°57'07"N</w:t>
            </w:r>
          </w:p>
        </w:tc>
        <w:tc>
          <w:tcPr>
            <w:tcW w:w="1337" w:type="dxa"/>
            <w:shd w:val="clear" w:color="auto" w:fill="9BBA58"/>
          </w:tcPr>
          <w:p>
            <w:pPr>
              <w:pStyle w:val="TableParagraph"/>
              <w:spacing w:before="146"/>
              <w:ind w:left="0"/>
              <w:rPr>
                <w:sz w:val="22"/>
              </w:rPr>
            </w:pPr>
            <w:r>
              <w:rPr>
                <w:sz w:val="22"/>
              </w:rPr>
              <w:t>099°31'58"O</w:t>
            </w:r>
          </w:p>
        </w:tc>
        <w:tc>
          <w:tcPr>
            <w:tcW w:w="1426" w:type="dxa"/>
            <w:shd w:val="clear" w:color="auto" w:fill="9BBA58"/>
          </w:tcPr>
          <w:p>
            <w:pPr>
              <w:pStyle w:val="TableParagraph"/>
              <w:spacing w:before="146"/>
              <w:ind w:left="-1"/>
              <w:rPr>
                <w:sz w:val="22"/>
              </w:rPr>
            </w:pPr>
            <w:r>
              <w:rPr>
                <w:sz w:val="22"/>
              </w:rPr>
              <w:t>E14A18</w:t>
            </w:r>
          </w:p>
        </w:tc>
      </w:tr>
      <w:tr>
        <w:trPr>
          <w:trHeight w:val="526" w:hRule="exact"/>
        </w:trPr>
        <w:tc>
          <w:tcPr>
            <w:tcW w:w="582" w:type="dxa"/>
            <w:vMerge/>
            <w:shd w:val="clear" w:color="auto" w:fill="1F487C"/>
            <w:textDirection w:val="btLr"/>
          </w:tcPr>
          <w:p>
            <w:pPr/>
          </w:p>
        </w:tc>
        <w:tc>
          <w:tcPr>
            <w:tcW w:w="1348" w:type="dxa"/>
            <w:tcBorders>
              <w:right w:val="single" w:sz="8" w:space="0" w:color="000000"/>
            </w:tcBorders>
            <w:shd w:val="clear" w:color="auto" w:fill="9BBA58"/>
          </w:tcPr>
          <w:p>
            <w:pPr/>
          </w:p>
        </w:tc>
        <w:tc>
          <w:tcPr>
            <w:tcW w:w="2460" w:type="dxa"/>
            <w:tcBorders>
              <w:left w:val="single" w:sz="8" w:space="0" w:color="000000"/>
            </w:tcBorders>
            <w:shd w:val="clear" w:color="auto" w:fill="9BBA58"/>
          </w:tcPr>
          <w:p>
            <w:pPr>
              <w:pStyle w:val="TableParagraph"/>
              <w:spacing w:before="13"/>
              <w:ind w:left="84" w:right="80"/>
              <w:rPr>
                <w:sz w:val="22"/>
              </w:rPr>
            </w:pPr>
            <w:r>
              <w:rPr>
                <w:sz w:val="22"/>
              </w:rPr>
              <w:t>Aldama</w:t>
            </w:r>
          </w:p>
        </w:tc>
        <w:tc>
          <w:tcPr>
            <w:tcW w:w="1296" w:type="dxa"/>
            <w:shd w:val="clear" w:color="auto" w:fill="9BBA58"/>
          </w:tcPr>
          <w:p>
            <w:pPr>
              <w:pStyle w:val="TableParagraph"/>
              <w:spacing w:before="13"/>
              <w:ind w:left="-1"/>
              <w:rPr>
                <w:sz w:val="22"/>
              </w:rPr>
            </w:pPr>
            <w:r>
              <w:rPr>
                <w:sz w:val="22"/>
              </w:rPr>
              <w:t>19°59'33"N</w:t>
            </w:r>
          </w:p>
        </w:tc>
        <w:tc>
          <w:tcPr>
            <w:tcW w:w="1337" w:type="dxa"/>
            <w:shd w:val="clear" w:color="auto" w:fill="9BBA58"/>
          </w:tcPr>
          <w:p>
            <w:pPr>
              <w:pStyle w:val="TableParagraph"/>
              <w:spacing w:before="13"/>
              <w:ind w:left="0"/>
              <w:rPr>
                <w:sz w:val="22"/>
              </w:rPr>
            </w:pPr>
            <w:r>
              <w:rPr>
                <w:sz w:val="22"/>
              </w:rPr>
              <w:t>099°40'06"O</w:t>
            </w:r>
          </w:p>
        </w:tc>
        <w:tc>
          <w:tcPr>
            <w:tcW w:w="1426" w:type="dxa"/>
            <w:shd w:val="clear" w:color="auto" w:fill="9BBA58"/>
          </w:tcPr>
          <w:p>
            <w:pPr>
              <w:pStyle w:val="TableParagraph"/>
              <w:spacing w:before="13"/>
              <w:ind w:left="-1"/>
              <w:rPr>
                <w:sz w:val="22"/>
              </w:rPr>
            </w:pPr>
            <w:r>
              <w:rPr>
                <w:sz w:val="22"/>
              </w:rPr>
              <w:t>E14A17</w:t>
            </w:r>
          </w:p>
        </w:tc>
      </w:tr>
      <w:tr>
        <w:trPr>
          <w:trHeight w:val="527" w:hRule="exact"/>
        </w:trPr>
        <w:tc>
          <w:tcPr>
            <w:tcW w:w="582" w:type="dxa"/>
            <w:vMerge/>
            <w:shd w:val="clear" w:color="auto" w:fill="1F487C"/>
            <w:textDirection w:val="btLr"/>
          </w:tcPr>
          <w:p>
            <w:pPr/>
          </w:p>
        </w:tc>
        <w:tc>
          <w:tcPr>
            <w:tcW w:w="1348" w:type="dxa"/>
            <w:tcBorders>
              <w:right w:val="single" w:sz="8" w:space="0" w:color="000000"/>
            </w:tcBorders>
            <w:shd w:val="clear" w:color="auto" w:fill="9BBA58"/>
          </w:tcPr>
          <w:p>
            <w:pPr/>
          </w:p>
        </w:tc>
        <w:tc>
          <w:tcPr>
            <w:tcW w:w="2460" w:type="dxa"/>
            <w:tcBorders>
              <w:left w:val="single" w:sz="8" w:space="0" w:color="000000"/>
            </w:tcBorders>
            <w:shd w:val="clear" w:color="auto" w:fill="9BBA58"/>
          </w:tcPr>
          <w:p>
            <w:pPr>
              <w:pStyle w:val="TableParagraph"/>
              <w:spacing w:before="13"/>
              <w:ind w:left="84" w:right="80"/>
              <w:rPr>
                <w:sz w:val="22"/>
              </w:rPr>
            </w:pPr>
            <w:r>
              <w:rPr>
                <w:sz w:val="22"/>
              </w:rPr>
              <w:t>El Saltillo</w:t>
            </w:r>
          </w:p>
        </w:tc>
        <w:tc>
          <w:tcPr>
            <w:tcW w:w="1296" w:type="dxa"/>
            <w:shd w:val="clear" w:color="auto" w:fill="9BBA58"/>
          </w:tcPr>
          <w:p>
            <w:pPr>
              <w:pStyle w:val="TableParagraph"/>
              <w:spacing w:before="13"/>
              <w:ind w:left="-1"/>
              <w:rPr>
                <w:sz w:val="22"/>
              </w:rPr>
            </w:pPr>
            <w:r>
              <w:rPr>
                <w:sz w:val="22"/>
              </w:rPr>
              <w:t>20°01'19"N</w:t>
            </w:r>
          </w:p>
        </w:tc>
        <w:tc>
          <w:tcPr>
            <w:tcW w:w="1337" w:type="dxa"/>
            <w:shd w:val="clear" w:color="auto" w:fill="9BBA58"/>
          </w:tcPr>
          <w:p>
            <w:pPr>
              <w:pStyle w:val="TableParagraph"/>
              <w:spacing w:before="13"/>
              <w:ind w:left="0"/>
              <w:rPr>
                <w:sz w:val="22"/>
              </w:rPr>
            </w:pPr>
            <w:r>
              <w:rPr>
                <w:sz w:val="22"/>
              </w:rPr>
              <w:t>099°40'09"O</w:t>
            </w:r>
          </w:p>
        </w:tc>
        <w:tc>
          <w:tcPr>
            <w:tcW w:w="1426" w:type="dxa"/>
            <w:shd w:val="clear" w:color="auto" w:fill="9BBA58"/>
          </w:tcPr>
          <w:p>
            <w:pPr>
              <w:pStyle w:val="TableParagraph"/>
              <w:spacing w:before="13"/>
              <w:ind w:left="-1"/>
              <w:rPr>
                <w:sz w:val="22"/>
              </w:rPr>
            </w:pPr>
            <w:r>
              <w:rPr>
                <w:sz w:val="22"/>
              </w:rPr>
              <w:t>F14C87</w:t>
            </w:r>
          </w:p>
        </w:tc>
      </w:tr>
      <w:tr>
        <w:trPr>
          <w:trHeight w:val="526" w:hRule="exact"/>
        </w:trPr>
        <w:tc>
          <w:tcPr>
            <w:tcW w:w="582" w:type="dxa"/>
            <w:vMerge/>
            <w:shd w:val="clear" w:color="auto" w:fill="1F487C"/>
            <w:textDirection w:val="btLr"/>
          </w:tcPr>
          <w:p>
            <w:pPr/>
          </w:p>
        </w:tc>
        <w:tc>
          <w:tcPr>
            <w:tcW w:w="1348" w:type="dxa"/>
            <w:tcBorders>
              <w:right w:val="single" w:sz="8" w:space="0" w:color="000000"/>
            </w:tcBorders>
            <w:shd w:val="clear" w:color="auto" w:fill="4F81BC"/>
          </w:tcPr>
          <w:p>
            <w:pPr>
              <w:pStyle w:val="TableParagraph"/>
              <w:spacing w:before="9"/>
              <w:ind w:left="82"/>
              <w:rPr>
                <w:b/>
                <w:sz w:val="22"/>
              </w:rPr>
            </w:pPr>
            <w:r>
              <w:rPr>
                <w:b/>
                <w:sz w:val="22"/>
              </w:rPr>
              <w:t>Timilpan</w:t>
            </w:r>
          </w:p>
        </w:tc>
        <w:tc>
          <w:tcPr>
            <w:tcW w:w="2460" w:type="dxa"/>
            <w:tcBorders>
              <w:left w:val="single" w:sz="8" w:space="0" w:color="000000"/>
            </w:tcBorders>
            <w:shd w:val="clear" w:color="auto" w:fill="4F81BC"/>
          </w:tcPr>
          <w:p>
            <w:pPr>
              <w:pStyle w:val="TableParagraph"/>
              <w:spacing w:before="12"/>
              <w:ind w:left="84" w:right="80"/>
              <w:rPr>
                <w:sz w:val="22"/>
              </w:rPr>
            </w:pPr>
            <w:r>
              <w:rPr>
                <w:sz w:val="22"/>
              </w:rPr>
              <w:t>San Andrés Timilpan</w:t>
            </w:r>
          </w:p>
        </w:tc>
        <w:tc>
          <w:tcPr>
            <w:tcW w:w="1296" w:type="dxa"/>
            <w:shd w:val="clear" w:color="auto" w:fill="4F81BC"/>
          </w:tcPr>
          <w:p>
            <w:pPr>
              <w:pStyle w:val="TableParagraph"/>
              <w:spacing w:before="12"/>
              <w:ind w:left="-1"/>
              <w:rPr>
                <w:sz w:val="22"/>
              </w:rPr>
            </w:pPr>
            <w:r>
              <w:rPr>
                <w:sz w:val="22"/>
              </w:rPr>
              <w:t>19°52'22"N</w:t>
            </w:r>
          </w:p>
        </w:tc>
        <w:tc>
          <w:tcPr>
            <w:tcW w:w="1337" w:type="dxa"/>
            <w:shd w:val="clear" w:color="auto" w:fill="4F81BC"/>
          </w:tcPr>
          <w:p>
            <w:pPr>
              <w:pStyle w:val="TableParagraph"/>
              <w:spacing w:before="12"/>
              <w:ind w:left="0"/>
              <w:rPr>
                <w:sz w:val="22"/>
              </w:rPr>
            </w:pPr>
            <w:r>
              <w:rPr>
                <w:sz w:val="22"/>
              </w:rPr>
              <w:t>099°44'09"O</w:t>
            </w:r>
          </w:p>
        </w:tc>
        <w:tc>
          <w:tcPr>
            <w:tcW w:w="1426" w:type="dxa"/>
            <w:shd w:val="clear" w:color="auto" w:fill="4F81BC"/>
          </w:tcPr>
          <w:p>
            <w:pPr>
              <w:pStyle w:val="TableParagraph"/>
              <w:spacing w:before="12"/>
              <w:ind w:left="-1"/>
              <w:rPr>
                <w:sz w:val="22"/>
              </w:rPr>
            </w:pPr>
            <w:r>
              <w:rPr>
                <w:sz w:val="22"/>
              </w:rPr>
              <w:t>E14A17</w:t>
            </w:r>
          </w:p>
        </w:tc>
      </w:tr>
      <w:tr>
        <w:trPr>
          <w:trHeight w:val="526" w:hRule="exact"/>
        </w:trPr>
        <w:tc>
          <w:tcPr>
            <w:tcW w:w="582" w:type="dxa"/>
            <w:vMerge/>
            <w:shd w:val="clear" w:color="auto" w:fill="1F487C"/>
            <w:textDirection w:val="btLr"/>
          </w:tcPr>
          <w:p>
            <w:pPr/>
          </w:p>
        </w:tc>
        <w:tc>
          <w:tcPr>
            <w:tcW w:w="1348" w:type="dxa"/>
            <w:tcBorders>
              <w:right w:val="single" w:sz="8" w:space="0" w:color="000000"/>
            </w:tcBorders>
            <w:shd w:val="clear" w:color="auto" w:fill="4F81BC"/>
          </w:tcPr>
          <w:p>
            <w:pPr/>
          </w:p>
        </w:tc>
        <w:tc>
          <w:tcPr>
            <w:tcW w:w="2460" w:type="dxa"/>
            <w:tcBorders>
              <w:left w:val="single" w:sz="8" w:space="0" w:color="000000"/>
            </w:tcBorders>
            <w:shd w:val="clear" w:color="auto" w:fill="4F81BC"/>
          </w:tcPr>
          <w:p>
            <w:pPr>
              <w:pStyle w:val="TableParagraph"/>
              <w:spacing w:before="12"/>
              <w:ind w:left="84" w:right="80"/>
              <w:rPr>
                <w:sz w:val="22"/>
              </w:rPr>
            </w:pPr>
            <w:r>
              <w:rPr>
                <w:sz w:val="22"/>
              </w:rPr>
              <w:t>Huapango</w:t>
            </w:r>
          </w:p>
        </w:tc>
        <w:tc>
          <w:tcPr>
            <w:tcW w:w="1296" w:type="dxa"/>
            <w:shd w:val="clear" w:color="auto" w:fill="4F81BC"/>
          </w:tcPr>
          <w:p>
            <w:pPr>
              <w:pStyle w:val="TableParagraph"/>
              <w:spacing w:before="12"/>
              <w:ind w:left="-1"/>
              <w:rPr>
                <w:sz w:val="22"/>
              </w:rPr>
            </w:pPr>
            <w:r>
              <w:rPr>
                <w:sz w:val="22"/>
              </w:rPr>
              <w:t>19°58'32"N</w:t>
            </w:r>
          </w:p>
        </w:tc>
        <w:tc>
          <w:tcPr>
            <w:tcW w:w="1337" w:type="dxa"/>
            <w:shd w:val="clear" w:color="auto" w:fill="4F81BC"/>
          </w:tcPr>
          <w:p>
            <w:pPr>
              <w:pStyle w:val="TableParagraph"/>
              <w:spacing w:before="12"/>
              <w:ind w:left="0"/>
              <w:rPr>
                <w:sz w:val="22"/>
              </w:rPr>
            </w:pPr>
            <w:r>
              <w:rPr>
                <w:sz w:val="22"/>
              </w:rPr>
              <w:t>099°41'07"O</w:t>
            </w:r>
          </w:p>
        </w:tc>
        <w:tc>
          <w:tcPr>
            <w:tcW w:w="1426" w:type="dxa"/>
            <w:shd w:val="clear" w:color="auto" w:fill="4F81BC"/>
          </w:tcPr>
          <w:p>
            <w:pPr>
              <w:pStyle w:val="TableParagraph"/>
              <w:spacing w:before="12"/>
              <w:ind w:left="-1"/>
              <w:rPr>
                <w:sz w:val="22"/>
              </w:rPr>
            </w:pPr>
            <w:r>
              <w:rPr>
                <w:sz w:val="22"/>
              </w:rPr>
              <w:t>E14A17</w:t>
            </w:r>
          </w:p>
        </w:tc>
      </w:tr>
      <w:tr>
        <w:trPr>
          <w:trHeight w:val="794" w:hRule="exact"/>
        </w:trPr>
        <w:tc>
          <w:tcPr>
            <w:tcW w:w="582" w:type="dxa"/>
            <w:vMerge/>
            <w:shd w:val="clear" w:color="auto" w:fill="1F487C"/>
            <w:textDirection w:val="btLr"/>
          </w:tcPr>
          <w:p>
            <w:pPr/>
          </w:p>
        </w:tc>
        <w:tc>
          <w:tcPr>
            <w:tcW w:w="1348" w:type="dxa"/>
            <w:tcBorders>
              <w:right w:val="single" w:sz="8" w:space="0" w:color="000000"/>
            </w:tcBorders>
            <w:shd w:val="clear" w:color="auto" w:fill="4F81BC"/>
          </w:tcPr>
          <w:p>
            <w:pPr/>
          </w:p>
        </w:tc>
        <w:tc>
          <w:tcPr>
            <w:tcW w:w="2460" w:type="dxa"/>
            <w:tcBorders>
              <w:left w:val="single" w:sz="8" w:space="0" w:color="000000"/>
            </w:tcBorders>
            <w:shd w:val="clear" w:color="auto" w:fill="4F81BC"/>
          </w:tcPr>
          <w:p>
            <w:pPr>
              <w:pStyle w:val="TableParagraph"/>
              <w:spacing w:line="362" w:lineRule="auto" w:before="12"/>
              <w:ind w:left="84" w:right="80"/>
              <w:rPr>
                <w:sz w:val="22"/>
              </w:rPr>
            </w:pPr>
            <w:r>
              <w:rPr>
                <w:sz w:val="22"/>
              </w:rPr>
              <w:t>La Campesina (Barrio Iturbide)</w:t>
            </w:r>
          </w:p>
        </w:tc>
        <w:tc>
          <w:tcPr>
            <w:tcW w:w="1296" w:type="dxa"/>
            <w:shd w:val="clear" w:color="auto" w:fill="4F81BC"/>
          </w:tcPr>
          <w:p>
            <w:pPr>
              <w:pStyle w:val="TableParagraph"/>
              <w:spacing w:before="146"/>
              <w:ind w:left="-1"/>
              <w:rPr>
                <w:sz w:val="22"/>
              </w:rPr>
            </w:pPr>
            <w:r>
              <w:rPr>
                <w:sz w:val="22"/>
              </w:rPr>
              <w:t>19°53'41"N</w:t>
            </w:r>
          </w:p>
        </w:tc>
        <w:tc>
          <w:tcPr>
            <w:tcW w:w="1337" w:type="dxa"/>
            <w:shd w:val="clear" w:color="auto" w:fill="4F81BC"/>
          </w:tcPr>
          <w:p>
            <w:pPr>
              <w:pStyle w:val="TableParagraph"/>
              <w:spacing w:before="146"/>
              <w:ind w:left="0"/>
              <w:rPr>
                <w:sz w:val="22"/>
              </w:rPr>
            </w:pPr>
            <w:r>
              <w:rPr>
                <w:sz w:val="22"/>
              </w:rPr>
              <w:t>099°44'15"O</w:t>
            </w:r>
          </w:p>
        </w:tc>
        <w:tc>
          <w:tcPr>
            <w:tcW w:w="1426" w:type="dxa"/>
            <w:shd w:val="clear" w:color="auto" w:fill="4F81BC"/>
          </w:tcPr>
          <w:p>
            <w:pPr>
              <w:pStyle w:val="TableParagraph"/>
              <w:spacing w:before="146"/>
              <w:ind w:left="-1"/>
              <w:rPr>
                <w:sz w:val="22"/>
              </w:rPr>
            </w:pPr>
            <w:r>
              <w:rPr>
                <w:sz w:val="22"/>
              </w:rPr>
              <w:t>E14A17</w:t>
            </w:r>
          </w:p>
        </w:tc>
      </w:tr>
      <w:tr>
        <w:trPr>
          <w:trHeight w:val="526" w:hRule="exact"/>
        </w:trPr>
        <w:tc>
          <w:tcPr>
            <w:tcW w:w="582" w:type="dxa"/>
            <w:vMerge w:val="restart"/>
            <w:shd w:val="clear" w:color="auto" w:fill="92CDDC"/>
            <w:textDirection w:val="btLr"/>
          </w:tcPr>
          <w:p>
            <w:pPr>
              <w:pStyle w:val="TableParagraph"/>
              <w:spacing w:before="86"/>
              <w:ind w:left="631"/>
              <w:rPr>
                <w:b/>
                <w:sz w:val="22"/>
              </w:rPr>
            </w:pPr>
            <w:r>
              <w:rPr>
                <w:b/>
                <w:spacing w:val="-2"/>
                <w:w w:val="100"/>
                <w:sz w:val="22"/>
              </w:rPr>
              <w:t>A</w:t>
            </w:r>
            <w:r>
              <w:rPr>
                <w:b/>
                <w:w w:val="100"/>
                <w:sz w:val="22"/>
              </w:rPr>
              <w:t>g</w:t>
            </w:r>
            <w:r>
              <w:rPr>
                <w:b/>
                <w:spacing w:val="-2"/>
                <w:w w:val="100"/>
                <w:sz w:val="22"/>
              </w:rPr>
              <w:t>u</w:t>
            </w:r>
            <w:r>
              <w:rPr>
                <w:b/>
                <w:w w:val="100"/>
                <w:sz w:val="22"/>
              </w:rPr>
              <w:t>as</w:t>
            </w:r>
            <w:r>
              <w:rPr>
                <w:b/>
                <w:sz w:val="22"/>
              </w:rPr>
              <w:t> </w:t>
            </w:r>
            <w:r>
              <w:rPr>
                <w:b/>
                <w:spacing w:val="-2"/>
                <w:w w:val="100"/>
                <w:sz w:val="22"/>
              </w:rPr>
              <w:t>A</w:t>
            </w:r>
            <w:r>
              <w:rPr>
                <w:b/>
                <w:w w:val="100"/>
                <w:sz w:val="22"/>
              </w:rPr>
              <w:t>b</w:t>
            </w:r>
            <w:r>
              <w:rPr>
                <w:b/>
                <w:spacing w:val="-1"/>
                <w:w w:val="100"/>
                <w:sz w:val="22"/>
              </w:rPr>
              <w:t>a</w:t>
            </w:r>
            <w:r>
              <w:rPr>
                <w:b/>
                <w:w w:val="100"/>
                <w:sz w:val="22"/>
              </w:rPr>
              <w:t>j</w:t>
            </w:r>
            <w:r>
              <w:rPr>
                <w:b/>
                <w:w w:val="100"/>
                <w:sz w:val="22"/>
              </w:rPr>
              <w:t>o</w:t>
            </w:r>
          </w:p>
        </w:tc>
        <w:tc>
          <w:tcPr>
            <w:tcW w:w="1348" w:type="dxa"/>
            <w:tcBorders>
              <w:right w:val="single" w:sz="8" w:space="0" w:color="000000"/>
            </w:tcBorders>
            <w:shd w:val="clear" w:color="auto" w:fill="00AF50"/>
          </w:tcPr>
          <w:p>
            <w:pPr>
              <w:pStyle w:val="TableParagraph"/>
              <w:spacing w:before="10"/>
              <w:ind w:left="82"/>
              <w:rPr>
                <w:b/>
                <w:sz w:val="22"/>
              </w:rPr>
            </w:pPr>
            <w:r>
              <w:rPr>
                <w:b/>
                <w:sz w:val="22"/>
              </w:rPr>
              <w:t>Aculco</w:t>
            </w:r>
          </w:p>
        </w:tc>
        <w:tc>
          <w:tcPr>
            <w:tcW w:w="2460" w:type="dxa"/>
            <w:tcBorders>
              <w:left w:val="single" w:sz="8" w:space="0" w:color="000000"/>
            </w:tcBorders>
            <w:shd w:val="clear" w:color="auto" w:fill="00AF50"/>
          </w:tcPr>
          <w:p>
            <w:pPr>
              <w:pStyle w:val="TableParagraph"/>
              <w:spacing w:before="12"/>
              <w:ind w:left="84" w:right="80"/>
              <w:rPr>
                <w:sz w:val="22"/>
              </w:rPr>
            </w:pPr>
            <w:r>
              <w:rPr>
                <w:sz w:val="22"/>
              </w:rPr>
              <w:t>Aculco de Espinoza</w:t>
            </w:r>
          </w:p>
        </w:tc>
        <w:tc>
          <w:tcPr>
            <w:tcW w:w="1296" w:type="dxa"/>
            <w:shd w:val="clear" w:color="auto" w:fill="00AF50"/>
          </w:tcPr>
          <w:p>
            <w:pPr>
              <w:pStyle w:val="TableParagraph"/>
              <w:spacing w:before="12"/>
              <w:ind w:left="-1"/>
              <w:rPr>
                <w:sz w:val="22"/>
              </w:rPr>
            </w:pPr>
            <w:r>
              <w:rPr>
                <w:sz w:val="22"/>
              </w:rPr>
              <w:t>20°05'57"N</w:t>
            </w:r>
          </w:p>
        </w:tc>
        <w:tc>
          <w:tcPr>
            <w:tcW w:w="1337" w:type="dxa"/>
            <w:shd w:val="clear" w:color="auto" w:fill="00AF50"/>
          </w:tcPr>
          <w:p>
            <w:pPr>
              <w:pStyle w:val="TableParagraph"/>
              <w:spacing w:before="12"/>
              <w:ind w:left="0"/>
              <w:rPr>
                <w:sz w:val="22"/>
              </w:rPr>
            </w:pPr>
            <w:r>
              <w:rPr>
                <w:sz w:val="22"/>
              </w:rPr>
              <w:t>099°49'40"O</w:t>
            </w:r>
          </w:p>
        </w:tc>
        <w:tc>
          <w:tcPr>
            <w:tcW w:w="1426" w:type="dxa"/>
            <w:shd w:val="clear" w:color="auto" w:fill="00AF50"/>
          </w:tcPr>
          <w:p>
            <w:pPr>
              <w:pStyle w:val="TableParagraph"/>
              <w:spacing w:before="12"/>
              <w:ind w:left="-1"/>
              <w:rPr>
                <w:sz w:val="22"/>
              </w:rPr>
            </w:pPr>
            <w:r>
              <w:rPr>
                <w:sz w:val="22"/>
              </w:rPr>
              <w:t>F14C87</w:t>
            </w:r>
          </w:p>
        </w:tc>
      </w:tr>
      <w:tr>
        <w:trPr>
          <w:trHeight w:val="527" w:hRule="exact"/>
        </w:trPr>
        <w:tc>
          <w:tcPr>
            <w:tcW w:w="582" w:type="dxa"/>
            <w:vMerge/>
            <w:shd w:val="clear" w:color="auto" w:fill="92CDDC"/>
            <w:textDirection w:val="btLr"/>
          </w:tcPr>
          <w:p>
            <w:pPr/>
          </w:p>
        </w:tc>
        <w:tc>
          <w:tcPr>
            <w:tcW w:w="1348" w:type="dxa"/>
            <w:tcBorders>
              <w:right w:val="single" w:sz="8" w:space="0" w:color="000000"/>
            </w:tcBorders>
            <w:shd w:val="clear" w:color="auto" w:fill="00AF50"/>
          </w:tcPr>
          <w:p>
            <w:pPr/>
          </w:p>
        </w:tc>
        <w:tc>
          <w:tcPr>
            <w:tcW w:w="2460" w:type="dxa"/>
            <w:tcBorders>
              <w:left w:val="single" w:sz="8" w:space="0" w:color="000000"/>
            </w:tcBorders>
            <w:shd w:val="clear" w:color="auto" w:fill="00AF50"/>
          </w:tcPr>
          <w:p>
            <w:pPr>
              <w:pStyle w:val="TableParagraph"/>
              <w:spacing w:before="12"/>
              <w:ind w:left="84" w:right="80"/>
              <w:rPr>
                <w:sz w:val="22"/>
              </w:rPr>
            </w:pPr>
            <w:r>
              <w:rPr>
                <w:sz w:val="22"/>
              </w:rPr>
              <w:t>San Martín Ejido</w:t>
            </w:r>
          </w:p>
        </w:tc>
        <w:tc>
          <w:tcPr>
            <w:tcW w:w="1296" w:type="dxa"/>
            <w:shd w:val="clear" w:color="auto" w:fill="00AF50"/>
          </w:tcPr>
          <w:p>
            <w:pPr>
              <w:pStyle w:val="TableParagraph"/>
              <w:spacing w:before="12"/>
              <w:ind w:left="-1"/>
              <w:rPr>
                <w:sz w:val="22"/>
              </w:rPr>
            </w:pPr>
            <w:r>
              <w:rPr>
                <w:sz w:val="22"/>
              </w:rPr>
              <w:t>20°04'28"N</w:t>
            </w:r>
          </w:p>
        </w:tc>
        <w:tc>
          <w:tcPr>
            <w:tcW w:w="1337" w:type="dxa"/>
            <w:shd w:val="clear" w:color="auto" w:fill="00AF50"/>
          </w:tcPr>
          <w:p>
            <w:pPr>
              <w:pStyle w:val="TableParagraph"/>
              <w:spacing w:before="12"/>
              <w:ind w:left="0"/>
              <w:rPr>
                <w:sz w:val="22"/>
              </w:rPr>
            </w:pPr>
            <w:r>
              <w:rPr>
                <w:sz w:val="22"/>
              </w:rPr>
              <w:t>099°41'54"O</w:t>
            </w:r>
          </w:p>
        </w:tc>
        <w:tc>
          <w:tcPr>
            <w:tcW w:w="1426" w:type="dxa"/>
            <w:shd w:val="clear" w:color="auto" w:fill="00AF50"/>
          </w:tcPr>
          <w:p>
            <w:pPr>
              <w:pStyle w:val="TableParagraph"/>
              <w:spacing w:before="12"/>
              <w:ind w:left="-1"/>
              <w:rPr>
                <w:sz w:val="22"/>
              </w:rPr>
            </w:pPr>
            <w:r>
              <w:rPr>
                <w:sz w:val="22"/>
              </w:rPr>
              <w:t>F14C87</w:t>
            </w:r>
          </w:p>
        </w:tc>
      </w:tr>
      <w:tr>
        <w:trPr>
          <w:trHeight w:val="793" w:hRule="exact"/>
        </w:trPr>
        <w:tc>
          <w:tcPr>
            <w:tcW w:w="582" w:type="dxa"/>
            <w:vMerge/>
            <w:shd w:val="clear" w:color="auto" w:fill="92CDDC"/>
            <w:textDirection w:val="btLr"/>
          </w:tcPr>
          <w:p>
            <w:pPr/>
          </w:p>
        </w:tc>
        <w:tc>
          <w:tcPr>
            <w:tcW w:w="1348" w:type="dxa"/>
            <w:tcBorders>
              <w:right w:val="single" w:sz="8" w:space="0" w:color="000000"/>
            </w:tcBorders>
            <w:shd w:val="clear" w:color="auto" w:fill="00AF50"/>
          </w:tcPr>
          <w:p>
            <w:pPr/>
          </w:p>
        </w:tc>
        <w:tc>
          <w:tcPr>
            <w:tcW w:w="2460" w:type="dxa"/>
            <w:tcBorders>
              <w:left w:val="single" w:sz="8" w:space="0" w:color="000000"/>
            </w:tcBorders>
            <w:shd w:val="clear" w:color="auto" w:fill="00AF50"/>
          </w:tcPr>
          <w:p>
            <w:pPr>
              <w:pStyle w:val="TableParagraph"/>
              <w:tabs>
                <w:tab w:pos="518" w:val="left" w:leader="none"/>
                <w:tab w:pos="1515" w:val="left" w:leader="none"/>
              </w:tabs>
              <w:spacing w:line="360" w:lineRule="auto" w:before="13"/>
              <w:ind w:left="84" w:right="79"/>
              <w:rPr>
                <w:sz w:val="22"/>
              </w:rPr>
            </w:pPr>
            <w:r>
              <w:rPr>
                <w:sz w:val="22"/>
              </w:rPr>
              <w:t>El</w:t>
              <w:tab/>
              <w:t>Azafrán</w:t>
              <w:tab/>
            </w:r>
            <w:r>
              <w:rPr>
                <w:spacing w:val="-1"/>
                <w:sz w:val="22"/>
              </w:rPr>
              <w:t>(Primera </w:t>
            </w:r>
            <w:r>
              <w:rPr>
                <w:sz w:val="22"/>
              </w:rPr>
              <w:t>Manzana)</w:t>
            </w:r>
          </w:p>
        </w:tc>
        <w:tc>
          <w:tcPr>
            <w:tcW w:w="1296" w:type="dxa"/>
            <w:shd w:val="clear" w:color="auto" w:fill="00AF50"/>
          </w:tcPr>
          <w:p>
            <w:pPr>
              <w:pStyle w:val="TableParagraph"/>
              <w:spacing w:before="13"/>
              <w:ind w:left="-1"/>
              <w:rPr>
                <w:sz w:val="22"/>
              </w:rPr>
            </w:pPr>
            <w:r>
              <w:rPr>
                <w:sz w:val="22"/>
              </w:rPr>
              <w:t>20°02'15"N</w:t>
            </w:r>
          </w:p>
        </w:tc>
        <w:tc>
          <w:tcPr>
            <w:tcW w:w="1337" w:type="dxa"/>
            <w:shd w:val="clear" w:color="auto" w:fill="00AF50"/>
          </w:tcPr>
          <w:p>
            <w:pPr>
              <w:pStyle w:val="TableParagraph"/>
              <w:spacing w:before="13"/>
              <w:ind w:left="0"/>
              <w:rPr>
                <w:sz w:val="22"/>
              </w:rPr>
            </w:pPr>
            <w:r>
              <w:rPr>
                <w:sz w:val="22"/>
              </w:rPr>
              <w:t>099°43'08"O</w:t>
            </w:r>
          </w:p>
        </w:tc>
        <w:tc>
          <w:tcPr>
            <w:tcW w:w="1426" w:type="dxa"/>
            <w:shd w:val="clear" w:color="auto" w:fill="00AF50"/>
          </w:tcPr>
          <w:p>
            <w:pPr>
              <w:pStyle w:val="TableParagraph"/>
              <w:spacing w:before="145"/>
              <w:ind w:left="-1"/>
              <w:rPr>
                <w:sz w:val="22"/>
              </w:rPr>
            </w:pPr>
            <w:r>
              <w:rPr>
                <w:sz w:val="22"/>
              </w:rPr>
              <w:t>F14C87</w:t>
            </w:r>
          </w:p>
        </w:tc>
      </w:tr>
      <w:tr>
        <w:trPr>
          <w:trHeight w:val="794" w:hRule="exact"/>
        </w:trPr>
        <w:tc>
          <w:tcPr>
            <w:tcW w:w="582" w:type="dxa"/>
            <w:vMerge/>
            <w:shd w:val="clear" w:color="auto" w:fill="92CDDC"/>
            <w:textDirection w:val="btLr"/>
          </w:tcPr>
          <w:p>
            <w:pPr/>
          </w:p>
        </w:tc>
        <w:tc>
          <w:tcPr>
            <w:tcW w:w="1348" w:type="dxa"/>
            <w:tcBorders>
              <w:right w:val="single" w:sz="8" w:space="0" w:color="000000"/>
            </w:tcBorders>
            <w:shd w:val="clear" w:color="auto" w:fill="00AF50"/>
          </w:tcPr>
          <w:p>
            <w:pPr/>
          </w:p>
        </w:tc>
        <w:tc>
          <w:tcPr>
            <w:tcW w:w="2460" w:type="dxa"/>
            <w:tcBorders>
              <w:left w:val="single" w:sz="8" w:space="0" w:color="000000"/>
            </w:tcBorders>
            <w:shd w:val="clear" w:color="auto" w:fill="00AF50"/>
          </w:tcPr>
          <w:p>
            <w:pPr>
              <w:pStyle w:val="TableParagraph"/>
              <w:spacing w:line="360" w:lineRule="auto" w:before="12"/>
              <w:ind w:left="84" w:right="80"/>
              <w:rPr>
                <w:sz w:val="22"/>
              </w:rPr>
            </w:pPr>
            <w:r>
              <w:rPr>
                <w:sz w:val="22"/>
              </w:rPr>
              <w:t>El Azafrán (Segunda Manzana)</w:t>
            </w:r>
          </w:p>
        </w:tc>
        <w:tc>
          <w:tcPr>
            <w:tcW w:w="1296" w:type="dxa"/>
            <w:shd w:val="clear" w:color="auto" w:fill="00AF50"/>
          </w:tcPr>
          <w:p>
            <w:pPr>
              <w:pStyle w:val="TableParagraph"/>
              <w:spacing w:before="12"/>
              <w:ind w:left="-1"/>
              <w:rPr>
                <w:sz w:val="22"/>
              </w:rPr>
            </w:pPr>
            <w:r>
              <w:rPr>
                <w:sz w:val="22"/>
              </w:rPr>
              <w:t>20°02'54"N</w:t>
            </w:r>
          </w:p>
        </w:tc>
        <w:tc>
          <w:tcPr>
            <w:tcW w:w="1337" w:type="dxa"/>
            <w:shd w:val="clear" w:color="auto" w:fill="00AF50"/>
          </w:tcPr>
          <w:p>
            <w:pPr>
              <w:pStyle w:val="TableParagraph"/>
              <w:spacing w:before="12"/>
              <w:ind w:left="0"/>
              <w:rPr>
                <w:sz w:val="22"/>
              </w:rPr>
            </w:pPr>
            <w:r>
              <w:rPr>
                <w:sz w:val="22"/>
              </w:rPr>
              <w:t>099°43'02"O</w:t>
            </w:r>
          </w:p>
        </w:tc>
        <w:tc>
          <w:tcPr>
            <w:tcW w:w="1426" w:type="dxa"/>
            <w:shd w:val="clear" w:color="auto" w:fill="00AF50"/>
          </w:tcPr>
          <w:p>
            <w:pPr>
              <w:pStyle w:val="TableParagraph"/>
              <w:spacing w:before="146"/>
              <w:ind w:left="-1"/>
              <w:rPr>
                <w:sz w:val="22"/>
              </w:rPr>
            </w:pPr>
            <w:r>
              <w:rPr>
                <w:sz w:val="22"/>
              </w:rPr>
              <w:t>F14C87</w:t>
            </w:r>
          </w:p>
        </w:tc>
      </w:tr>
    </w:tbl>
    <w:p>
      <w:pPr>
        <w:spacing w:after="0"/>
        <w:rPr>
          <w:sz w:val="22"/>
        </w:rPr>
        <w:sectPr>
          <w:pgSz w:w="12240" w:h="15840"/>
          <w:pgMar w:header="0" w:footer="1003" w:top="1360" w:bottom="1200" w:left="1600" w:right="1580"/>
        </w:sectPr>
      </w:pPr>
    </w:p>
    <w:tbl>
      <w:tblPr>
        <w:tblW w:w="0" w:type="auto"/>
        <w:jc w:val="left"/>
        <w:tblInd w:w="2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82"/>
        <w:gridCol w:w="1348"/>
        <w:gridCol w:w="2460"/>
        <w:gridCol w:w="1296"/>
        <w:gridCol w:w="1337"/>
        <w:gridCol w:w="1426"/>
      </w:tblGrid>
      <w:tr>
        <w:trPr>
          <w:trHeight w:val="795" w:hRule="exact"/>
        </w:trPr>
        <w:tc>
          <w:tcPr>
            <w:tcW w:w="582" w:type="dxa"/>
            <w:vMerge w:val="restart"/>
            <w:shd w:val="clear" w:color="auto" w:fill="92CDDC"/>
          </w:tcPr>
          <w:p>
            <w:pPr/>
          </w:p>
        </w:tc>
        <w:tc>
          <w:tcPr>
            <w:tcW w:w="1348" w:type="dxa"/>
            <w:tcBorders>
              <w:right w:val="single" w:sz="8" w:space="0" w:color="000000"/>
            </w:tcBorders>
            <w:shd w:val="clear" w:color="auto" w:fill="00AF50"/>
          </w:tcPr>
          <w:p>
            <w:pPr/>
          </w:p>
        </w:tc>
        <w:tc>
          <w:tcPr>
            <w:tcW w:w="2460" w:type="dxa"/>
            <w:tcBorders>
              <w:left w:val="single" w:sz="8" w:space="0" w:color="000000"/>
            </w:tcBorders>
            <w:shd w:val="clear" w:color="auto" w:fill="00AF50"/>
          </w:tcPr>
          <w:p>
            <w:pPr>
              <w:pStyle w:val="TableParagraph"/>
              <w:tabs>
                <w:tab w:pos="522" w:val="left" w:leader="none"/>
                <w:tab w:pos="1528" w:val="left" w:leader="none"/>
              </w:tabs>
              <w:spacing w:line="362" w:lineRule="auto" w:before="12"/>
              <w:ind w:left="84" w:right="78"/>
              <w:rPr>
                <w:sz w:val="22"/>
              </w:rPr>
            </w:pPr>
            <w:r>
              <w:rPr>
                <w:sz w:val="22"/>
              </w:rPr>
              <w:t>El</w:t>
              <w:tab/>
              <w:t>Azafrán</w:t>
              <w:tab/>
            </w:r>
            <w:r>
              <w:rPr>
                <w:spacing w:val="-1"/>
                <w:sz w:val="22"/>
              </w:rPr>
              <w:t>(Tercera </w:t>
            </w:r>
            <w:r>
              <w:rPr>
                <w:sz w:val="22"/>
              </w:rPr>
              <w:t>Manzana)</w:t>
            </w:r>
          </w:p>
        </w:tc>
        <w:tc>
          <w:tcPr>
            <w:tcW w:w="1296" w:type="dxa"/>
            <w:shd w:val="clear" w:color="auto" w:fill="00AF50"/>
          </w:tcPr>
          <w:p>
            <w:pPr>
              <w:pStyle w:val="TableParagraph"/>
              <w:spacing w:before="12"/>
              <w:ind w:left="-1"/>
              <w:rPr>
                <w:sz w:val="22"/>
              </w:rPr>
            </w:pPr>
            <w:r>
              <w:rPr>
                <w:sz w:val="22"/>
              </w:rPr>
              <w:t>20°02'16"N</w:t>
            </w:r>
          </w:p>
        </w:tc>
        <w:tc>
          <w:tcPr>
            <w:tcW w:w="1337" w:type="dxa"/>
            <w:shd w:val="clear" w:color="auto" w:fill="00AF50"/>
          </w:tcPr>
          <w:p>
            <w:pPr>
              <w:pStyle w:val="TableParagraph"/>
              <w:spacing w:before="12"/>
              <w:ind w:left="0"/>
              <w:rPr>
                <w:sz w:val="22"/>
              </w:rPr>
            </w:pPr>
            <w:r>
              <w:rPr>
                <w:sz w:val="22"/>
              </w:rPr>
              <w:t>099°43'53"O</w:t>
            </w:r>
          </w:p>
        </w:tc>
        <w:tc>
          <w:tcPr>
            <w:tcW w:w="1426" w:type="dxa"/>
            <w:shd w:val="clear" w:color="auto" w:fill="00AF50"/>
          </w:tcPr>
          <w:p>
            <w:pPr>
              <w:pStyle w:val="TableParagraph"/>
              <w:spacing w:before="147"/>
              <w:ind w:left="-1"/>
              <w:rPr>
                <w:sz w:val="22"/>
              </w:rPr>
            </w:pPr>
            <w:r>
              <w:rPr>
                <w:sz w:val="22"/>
              </w:rPr>
              <w:t>F14C87</w:t>
            </w:r>
          </w:p>
        </w:tc>
      </w:tr>
      <w:tr>
        <w:trPr>
          <w:trHeight w:val="793" w:hRule="exact"/>
        </w:trPr>
        <w:tc>
          <w:tcPr>
            <w:tcW w:w="582" w:type="dxa"/>
            <w:vMerge/>
            <w:shd w:val="clear" w:color="auto" w:fill="92CDDC"/>
          </w:tcPr>
          <w:p>
            <w:pPr/>
          </w:p>
        </w:tc>
        <w:tc>
          <w:tcPr>
            <w:tcW w:w="1348" w:type="dxa"/>
            <w:tcBorders>
              <w:right w:val="single" w:sz="8" w:space="0" w:color="000000"/>
            </w:tcBorders>
            <w:shd w:val="clear" w:color="auto" w:fill="F79546"/>
          </w:tcPr>
          <w:p>
            <w:pPr>
              <w:pStyle w:val="TableParagraph"/>
              <w:spacing w:before="9"/>
              <w:ind w:left="82"/>
              <w:rPr>
                <w:b/>
                <w:sz w:val="22"/>
              </w:rPr>
            </w:pPr>
            <w:r>
              <w:rPr>
                <w:b/>
                <w:sz w:val="22"/>
              </w:rPr>
              <w:t>Polotitlán</w:t>
            </w:r>
          </w:p>
        </w:tc>
        <w:tc>
          <w:tcPr>
            <w:tcW w:w="2460" w:type="dxa"/>
            <w:tcBorders>
              <w:left w:val="single" w:sz="8" w:space="0" w:color="000000"/>
            </w:tcBorders>
            <w:shd w:val="clear" w:color="auto" w:fill="F79546"/>
          </w:tcPr>
          <w:p>
            <w:pPr>
              <w:pStyle w:val="TableParagraph"/>
              <w:tabs>
                <w:tab w:pos="1466" w:val="left" w:leader="none"/>
                <w:tab w:pos="2188" w:val="left" w:leader="none"/>
              </w:tabs>
              <w:spacing w:line="360" w:lineRule="auto" w:before="12"/>
              <w:ind w:left="84" w:right="79"/>
              <w:rPr>
                <w:sz w:val="22"/>
              </w:rPr>
            </w:pPr>
            <w:r>
              <w:rPr>
                <w:sz w:val="22"/>
              </w:rPr>
              <w:t>Polotitlán</w:t>
              <w:tab/>
              <w:t>de</w:t>
              <w:tab/>
              <w:t>la Ilustración</w:t>
            </w:r>
          </w:p>
        </w:tc>
        <w:tc>
          <w:tcPr>
            <w:tcW w:w="1296" w:type="dxa"/>
            <w:shd w:val="clear" w:color="auto" w:fill="F79546"/>
          </w:tcPr>
          <w:p>
            <w:pPr>
              <w:pStyle w:val="TableParagraph"/>
              <w:spacing w:before="146"/>
              <w:ind w:left="-1"/>
              <w:rPr>
                <w:sz w:val="22"/>
              </w:rPr>
            </w:pPr>
            <w:r>
              <w:rPr>
                <w:sz w:val="22"/>
              </w:rPr>
              <w:t>20°13'25"N</w:t>
            </w:r>
          </w:p>
        </w:tc>
        <w:tc>
          <w:tcPr>
            <w:tcW w:w="1337" w:type="dxa"/>
            <w:shd w:val="clear" w:color="auto" w:fill="F79546"/>
          </w:tcPr>
          <w:p>
            <w:pPr>
              <w:pStyle w:val="TableParagraph"/>
              <w:spacing w:before="146"/>
              <w:ind w:left="0"/>
              <w:rPr>
                <w:sz w:val="22"/>
              </w:rPr>
            </w:pPr>
            <w:r>
              <w:rPr>
                <w:sz w:val="22"/>
              </w:rPr>
              <w:t>099°48'53"O</w:t>
            </w:r>
          </w:p>
        </w:tc>
        <w:tc>
          <w:tcPr>
            <w:tcW w:w="1426" w:type="dxa"/>
            <w:shd w:val="clear" w:color="auto" w:fill="F79546"/>
          </w:tcPr>
          <w:p>
            <w:pPr>
              <w:pStyle w:val="TableParagraph"/>
              <w:spacing w:before="146"/>
              <w:ind w:left="-1"/>
              <w:rPr>
                <w:sz w:val="22"/>
              </w:rPr>
            </w:pPr>
            <w:r>
              <w:rPr>
                <w:sz w:val="22"/>
              </w:rPr>
              <w:t>F14C87</w:t>
            </w:r>
          </w:p>
        </w:tc>
      </w:tr>
      <w:tr>
        <w:trPr>
          <w:trHeight w:val="527" w:hRule="exact"/>
        </w:trPr>
        <w:tc>
          <w:tcPr>
            <w:tcW w:w="582" w:type="dxa"/>
            <w:vMerge/>
            <w:shd w:val="clear" w:color="auto" w:fill="92CDDC"/>
          </w:tcPr>
          <w:p>
            <w:pPr/>
          </w:p>
        </w:tc>
        <w:tc>
          <w:tcPr>
            <w:tcW w:w="1348" w:type="dxa"/>
            <w:tcBorders>
              <w:right w:val="single" w:sz="8" w:space="0" w:color="000000"/>
            </w:tcBorders>
            <w:shd w:val="clear" w:color="auto" w:fill="F79546"/>
          </w:tcPr>
          <w:p>
            <w:pPr/>
          </w:p>
        </w:tc>
        <w:tc>
          <w:tcPr>
            <w:tcW w:w="2460" w:type="dxa"/>
            <w:tcBorders>
              <w:left w:val="single" w:sz="8" w:space="0" w:color="000000"/>
            </w:tcBorders>
            <w:shd w:val="clear" w:color="auto" w:fill="F79546"/>
          </w:tcPr>
          <w:p>
            <w:pPr>
              <w:pStyle w:val="TableParagraph"/>
              <w:spacing w:before="13"/>
              <w:ind w:left="84" w:right="80"/>
              <w:rPr>
                <w:sz w:val="22"/>
              </w:rPr>
            </w:pPr>
            <w:r>
              <w:rPr>
                <w:sz w:val="22"/>
              </w:rPr>
              <w:t>Ruano</w:t>
            </w:r>
          </w:p>
        </w:tc>
        <w:tc>
          <w:tcPr>
            <w:tcW w:w="1296" w:type="dxa"/>
            <w:shd w:val="clear" w:color="auto" w:fill="F79546"/>
          </w:tcPr>
          <w:p>
            <w:pPr>
              <w:pStyle w:val="TableParagraph"/>
              <w:spacing w:before="13"/>
              <w:ind w:left="-1"/>
              <w:rPr>
                <w:sz w:val="22"/>
              </w:rPr>
            </w:pPr>
            <w:r>
              <w:rPr>
                <w:sz w:val="22"/>
              </w:rPr>
              <w:t>20°10'43"N</w:t>
            </w:r>
          </w:p>
        </w:tc>
        <w:tc>
          <w:tcPr>
            <w:tcW w:w="1337" w:type="dxa"/>
            <w:shd w:val="clear" w:color="auto" w:fill="F79546"/>
          </w:tcPr>
          <w:p>
            <w:pPr>
              <w:pStyle w:val="TableParagraph"/>
              <w:spacing w:before="13"/>
              <w:ind w:left="0"/>
              <w:rPr>
                <w:sz w:val="22"/>
              </w:rPr>
            </w:pPr>
            <w:r>
              <w:rPr>
                <w:sz w:val="22"/>
              </w:rPr>
              <w:t>099°45'38"O</w:t>
            </w:r>
          </w:p>
        </w:tc>
        <w:tc>
          <w:tcPr>
            <w:tcW w:w="1426" w:type="dxa"/>
            <w:shd w:val="clear" w:color="auto" w:fill="F79546"/>
          </w:tcPr>
          <w:p>
            <w:pPr>
              <w:pStyle w:val="TableParagraph"/>
              <w:spacing w:before="13"/>
              <w:ind w:left="-1"/>
              <w:rPr>
                <w:sz w:val="22"/>
              </w:rPr>
            </w:pPr>
            <w:r>
              <w:rPr>
                <w:sz w:val="22"/>
              </w:rPr>
              <w:t>F14C87</w:t>
            </w:r>
          </w:p>
        </w:tc>
      </w:tr>
      <w:tr>
        <w:trPr>
          <w:trHeight w:val="526" w:hRule="exact"/>
        </w:trPr>
        <w:tc>
          <w:tcPr>
            <w:tcW w:w="582" w:type="dxa"/>
            <w:vMerge/>
            <w:shd w:val="clear" w:color="auto" w:fill="92CDDC"/>
          </w:tcPr>
          <w:p>
            <w:pPr/>
          </w:p>
        </w:tc>
        <w:tc>
          <w:tcPr>
            <w:tcW w:w="1348" w:type="dxa"/>
            <w:tcBorders>
              <w:right w:val="single" w:sz="8" w:space="0" w:color="000000"/>
            </w:tcBorders>
            <w:shd w:val="clear" w:color="auto" w:fill="F79546"/>
          </w:tcPr>
          <w:p>
            <w:pPr/>
          </w:p>
        </w:tc>
        <w:tc>
          <w:tcPr>
            <w:tcW w:w="2460" w:type="dxa"/>
            <w:tcBorders>
              <w:left w:val="single" w:sz="8" w:space="0" w:color="000000"/>
            </w:tcBorders>
            <w:shd w:val="clear" w:color="auto" w:fill="F79546"/>
          </w:tcPr>
          <w:p>
            <w:pPr>
              <w:pStyle w:val="TableParagraph"/>
              <w:spacing w:before="12"/>
              <w:ind w:left="84" w:right="80"/>
              <w:rPr>
                <w:sz w:val="22"/>
              </w:rPr>
            </w:pPr>
            <w:r>
              <w:rPr>
                <w:sz w:val="22"/>
              </w:rPr>
              <w:t>Encinillas</w:t>
            </w:r>
          </w:p>
        </w:tc>
        <w:tc>
          <w:tcPr>
            <w:tcW w:w="1296" w:type="dxa"/>
            <w:shd w:val="clear" w:color="auto" w:fill="F79546"/>
          </w:tcPr>
          <w:p>
            <w:pPr>
              <w:pStyle w:val="TableParagraph"/>
              <w:spacing w:before="12"/>
              <w:ind w:left="-1"/>
              <w:rPr>
                <w:sz w:val="22"/>
              </w:rPr>
            </w:pPr>
            <w:r>
              <w:rPr>
                <w:sz w:val="22"/>
              </w:rPr>
              <w:t>20°09'07"N</w:t>
            </w:r>
          </w:p>
        </w:tc>
        <w:tc>
          <w:tcPr>
            <w:tcW w:w="1337" w:type="dxa"/>
            <w:shd w:val="clear" w:color="auto" w:fill="F79546"/>
          </w:tcPr>
          <w:p>
            <w:pPr>
              <w:pStyle w:val="TableParagraph"/>
              <w:spacing w:before="12"/>
              <w:ind w:left="0"/>
              <w:rPr>
                <w:sz w:val="22"/>
              </w:rPr>
            </w:pPr>
            <w:r>
              <w:rPr>
                <w:sz w:val="22"/>
              </w:rPr>
              <w:t>099°44'29"O</w:t>
            </w:r>
          </w:p>
        </w:tc>
        <w:tc>
          <w:tcPr>
            <w:tcW w:w="1426" w:type="dxa"/>
            <w:shd w:val="clear" w:color="auto" w:fill="F79546"/>
          </w:tcPr>
          <w:p>
            <w:pPr>
              <w:pStyle w:val="TableParagraph"/>
              <w:spacing w:before="12"/>
              <w:ind w:left="-1"/>
              <w:rPr>
                <w:sz w:val="22"/>
              </w:rPr>
            </w:pPr>
            <w:r>
              <w:rPr>
                <w:sz w:val="22"/>
              </w:rPr>
              <w:t>F14C87</w:t>
            </w:r>
          </w:p>
        </w:tc>
      </w:tr>
    </w:tbl>
    <w:p>
      <w:pPr>
        <w:pStyle w:val="BodyText"/>
        <w:spacing w:line="360" w:lineRule="auto"/>
        <w:ind w:left="102" w:right="377"/>
        <w:jc w:val="both"/>
      </w:pPr>
      <w:r>
        <w:rPr>
          <w:b/>
        </w:rPr>
        <w:t>Fuente: </w:t>
      </w:r>
      <w:r>
        <w:rPr/>
        <w:t>Instituto Nacional de Estadística y Geografía (INEGI) (2011): Catálogo Único de Claves de Áreas Geoestadísticas Estatales, Municipales y Localidades y Trabajo de campo, García (2013-2015).</w:t>
      </w:r>
    </w:p>
    <w:p>
      <w:pPr>
        <w:pStyle w:val="BodyText"/>
        <w:spacing w:before="9"/>
        <w:rPr>
          <w:sz w:val="17"/>
        </w:rPr>
      </w:pPr>
    </w:p>
    <w:p>
      <w:pPr>
        <w:pStyle w:val="BodyText"/>
        <w:ind w:left="102"/>
        <w:jc w:val="both"/>
      </w:pPr>
      <w:r>
        <w:rPr/>
        <w:t>La ubicación cartográfica de las anteriores localidades se plasmó en el siguiente mapa:</w:t>
      </w:r>
    </w:p>
    <w:p>
      <w:pPr>
        <w:pStyle w:val="BodyText"/>
        <w:spacing w:before="1"/>
        <w:rPr>
          <w:sz w:val="28"/>
        </w:rPr>
      </w:pPr>
    </w:p>
    <w:p>
      <w:pPr>
        <w:pStyle w:val="Heading6"/>
        <w:spacing w:line="360" w:lineRule="auto"/>
        <w:ind w:left="2593" w:right="521" w:hanging="2336"/>
      </w:pPr>
      <w:r>
        <w:rPr/>
        <w:t>Mapa 6.1. Ubicación de las localidades donde se realizó el trabajo de campo en la Cuenca Hidrosocial Presa Huapango</w:t>
      </w:r>
    </w:p>
    <w:p>
      <w:pPr>
        <w:pStyle w:val="BodyText"/>
        <w:spacing w:before="7"/>
        <w:rPr>
          <w:b/>
          <w:sz w:val="21"/>
        </w:rPr>
      </w:pPr>
      <w:r>
        <w:rPr/>
        <w:drawing>
          <wp:anchor distT="0" distB="0" distL="0" distR="0" allowOverlap="1" layoutInCell="1" locked="0" behindDoc="0" simplePos="0" relativeHeight="10408">
            <wp:simplePos x="0" y="0"/>
            <wp:positionH relativeFrom="page">
              <wp:posOffset>1080135</wp:posOffset>
            </wp:positionH>
            <wp:positionV relativeFrom="paragraph">
              <wp:posOffset>182935</wp:posOffset>
            </wp:positionV>
            <wp:extent cx="5779036" cy="4005072"/>
            <wp:effectExtent l="0" t="0" r="0" b="0"/>
            <wp:wrapTopAndBottom/>
            <wp:docPr id="45" name="image101.jpeg" descr=""/>
            <wp:cNvGraphicFramePr>
              <a:graphicFrameLocks noChangeAspect="1"/>
            </wp:cNvGraphicFramePr>
            <a:graphic>
              <a:graphicData uri="http://schemas.openxmlformats.org/drawingml/2006/picture">
                <pic:pic>
                  <pic:nvPicPr>
                    <pic:cNvPr id="46" name="image101.jpeg"/>
                    <pic:cNvPicPr/>
                  </pic:nvPicPr>
                  <pic:blipFill>
                    <a:blip r:embed="rId175" cstate="print"/>
                    <a:stretch>
                      <a:fillRect/>
                    </a:stretch>
                  </pic:blipFill>
                  <pic:spPr>
                    <a:xfrm>
                      <a:off x="0" y="0"/>
                      <a:ext cx="5779036" cy="4005072"/>
                    </a:xfrm>
                    <a:prstGeom prst="rect">
                      <a:avLst/>
                    </a:prstGeom>
                  </pic:spPr>
                </pic:pic>
              </a:graphicData>
            </a:graphic>
          </wp:anchor>
        </w:drawing>
      </w:r>
    </w:p>
    <w:p>
      <w:pPr>
        <w:pStyle w:val="BodyText"/>
        <w:spacing w:line="360" w:lineRule="auto"/>
        <w:ind w:left="102" w:right="379"/>
        <w:jc w:val="both"/>
      </w:pPr>
      <w:r>
        <w:rPr>
          <w:b/>
        </w:rPr>
        <w:t>Fuente: </w:t>
      </w:r>
      <w:r>
        <w:rPr/>
        <w:t>Elaboró Mtro. Raymundo Ordoñez Sierra, con base en el Trabajo de Campo, García (2013-. 2015).</w:t>
      </w:r>
    </w:p>
    <w:p>
      <w:pPr>
        <w:spacing w:after="0" w:line="360" w:lineRule="auto"/>
        <w:jc w:val="both"/>
        <w:sectPr>
          <w:pgSz w:w="12240" w:h="15840"/>
          <w:pgMar w:header="0" w:footer="1003" w:top="1420" w:bottom="1200" w:left="1600" w:right="1320"/>
        </w:sectPr>
      </w:pPr>
    </w:p>
    <w:p>
      <w:pPr>
        <w:pStyle w:val="BodyText"/>
        <w:spacing w:line="360" w:lineRule="auto" w:before="56"/>
        <w:ind w:left="102" w:right="113"/>
        <w:jc w:val="both"/>
      </w:pPr>
      <w:r>
        <w:rPr/>
        <w:t>De las entrevistas e historias de vida hechas a estos grupos de actores, se obtuvo la priorización de la problemática de la Cuenca Hidrosocial Presa Huapango mediante la identificación de los problemas por principios de gobernanza: 1.- poder; 2.- cultura; 3.- democracia y voluntariedad; 4.- participación social; 5.- relaciones intermunicipales; 6.- cooperación; 7.- identidad; 8.- gobernabilidad y 9.- autogestión y Áreas Estratégicas de Planeación y Articulación.</w:t>
      </w:r>
    </w:p>
    <w:p>
      <w:pPr>
        <w:pStyle w:val="BodyText"/>
        <w:spacing w:before="9"/>
        <w:rPr>
          <w:sz w:val="17"/>
        </w:rPr>
      </w:pPr>
    </w:p>
    <w:p>
      <w:pPr>
        <w:pStyle w:val="BodyText"/>
        <w:spacing w:line="360" w:lineRule="auto"/>
        <w:ind w:left="102" w:right="116"/>
        <w:jc w:val="both"/>
      </w:pPr>
      <w:r>
        <w:rPr/>
        <w:t>Además la información obtenida en trabajo de campo fue clasificada en cuatro Áreas Estratégicas de Planeación y Articulación (AEPA): la ambiental, social, económica y política por cada grupo de actores bajo un contexto de gobernanza que se describe en las siguientes tablas de la identificación de la problemática de la Cuenca Hidrosocial Presa Huapango mediante los resultados de las entrevistas por principios de gobernanza y por grupo de actores a través del trabajo de campo.</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1"/>
      </w:pPr>
    </w:p>
    <w:p>
      <w:pPr>
        <w:pStyle w:val="Heading6"/>
        <w:numPr>
          <w:ilvl w:val="1"/>
          <w:numId w:val="51"/>
        </w:numPr>
        <w:tabs>
          <w:tab w:pos="661" w:val="left" w:leader="none"/>
        </w:tabs>
        <w:spacing w:line="276" w:lineRule="auto" w:before="73" w:after="0"/>
        <w:ind w:left="218" w:right="118" w:firstLine="0"/>
        <w:jc w:val="left"/>
      </w:pPr>
      <w:bookmarkStart w:name="_TOC_250029" w:id="44"/>
      <w:r>
        <w:rPr/>
        <w:t>Identificación de la problemática de la Cuenca Hidrosocial Presa Huapango mediante los resultados de las entrevistas por principios de gobernanza y gobernabilidad y por grupo de actores (Trabajo de</w:t>
      </w:r>
      <w:r>
        <w:rPr>
          <w:spacing w:val="-23"/>
        </w:rPr>
        <w:t> </w:t>
      </w:r>
      <w:bookmarkEnd w:id="44"/>
      <w:r>
        <w:rPr/>
        <w:t>Campo).</w:t>
      </w:r>
    </w:p>
    <w:p>
      <w:pPr>
        <w:pStyle w:val="BodyText"/>
        <w:spacing w:before="6"/>
        <w:rPr>
          <w:b/>
          <w:sz w:val="17"/>
        </w:rPr>
      </w:pPr>
    </w:p>
    <w:p>
      <w:pPr>
        <w:pStyle w:val="Heading6"/>
        <w:numPr>
          <w:ilvl w:val="2"/>
          <w:numId w:val="51"/>
        </w:numPr>
        <w:tabs>
          <w:tab w:pos="4801" w:val="left" w:leader="none"/>
        </w:tabs>
        <w:spacing w:line="240" w:lineRule="auto" w:before="0" w:after="0"/>
        <w:ind w:left="4800" w:right="0" w:hanging="616"/>
        <w:jc w:val="left"/>
      </w:pPr>
      <w:bookmarkStart w:name="_TOC_250028" w:id="45"/>
      <w:r>
        <w:rPr>
          <w:u w:val="thick"/>
        </w:rPr>
        <w:t>ACTORES HISTÓRICOS</w:t>
      </w:r>
      <w:r>
        <w:rPr>
          <w:spacing w:val="-23"/>
          <w:u w:val="thick"/>
        </w:rPr>
        <w:t> </w:t>
      </w:r>
      <w:bookmarkEnd w:id="45"/>
      <w:r>
        <w:rPr>
          <w:u w:val="thick"/>
        </w:rPr>
        <w:t>(MULTIACTORES)</w:t>
      </w:r>
    </w:p>
    <w:p>
      <w:pPr>
        <w:pStyle w:val="BodyText"/>
        <w:spacing w:before="3"/>
        <w:rPr>
          <w:b/>
          <w:sz w:val="14"/>
        </w:rPr>
      </w:pPr>
    </w:p>
    <w:p>
      <w:pPr>
        <w:spacing w:before="72" w:after="4"/>
        <w:ind w:left="2398" w:right="397" w:firstLine="0"/>
        <w:jc w:val="left"/>
        <w:rPr>
          <w:b/>
          <w:sz w:val="22"/>
        </w:rPr>
      </w:pPr>
      <w:r>
        <w:rPr>
          <w:b/>
          <w:sz w:val="22"/>
        </w:rPr>
        <w:t>Tabla 6.3. Pescadores en los Municipios de Acambay, Aculco, Jilotepec y Timilpan</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5"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 y cultura</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Cooperativa de</w:t>
            </w:r>
          </w:p>
        </w:tc>
        <w:tc>
          <w:tcPr>
            <w:tcW w:w="1135" w:type="dxa"/>
            <w:tcBorders>
              <w:bottom w:val="nil"/>
            </w:tcBorders>
            <w:shd w:val="clear" w:color="auto" w:fill="F9BE8F"/>
          </w:tcPr>
          <w:p>
            <w:pPr>
              <w:pStyle w:val="TableParagraph"/>
              <w:spacing w:line="248" w:lineRule="exact"/>
              <w:rPr>
                <w:b/>
                <w:sz w:val="22"/>
              </w:rPr>
            </w:pPr>
            <w:r>
              <w:rPr>
                <w:b/>
                <w:sz w:val="22"/>
              </w:rPr>
              <w:t>Cargo</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1702" w:type="dxa"/>
            <w:tcBorders>
              <w:bottom w:val="nil"/>
            </w:tcBorders>
            <w:shd w:val="clear" w:color="auto" w:fill="92CDDC"/>
          </w:tcPr>
          <w:p>
            <w:pPr>
              <w:pStyle w:val="TableParagraph"/>
              <w:tabs>
                <w:tab w:pos="1199" w:val="left" w:leader="none"/>
              </w:tabs>
              <w:spacing w:line="248" w:lineRule="exact"/>
              <w:rPr>
                <w:b/>
                <w:sz w:val="22"/>
              </w:rPr>
            </w:pPr>
            <w:r>
              <w:rPr>
                <w:b/>
                <w:sz w:val="22"/>
              </w:rPr>
              <w:t>¿Cuáles</w:t>
              <w:tab/>
              <w:t>son</w:t>
            </w:r>
          </w:p>
        </w:tc>
        <w:tc>
          <w:tcPr>
            <w:tcW w:w="1985" w:type="dxa"/>
            <w:tcBorders>
              <w:bottom w:val="nil"/>
            </w:tcBorders>
            <w:shd w:val="clear" w:color="auto" w:fill="92CDDC"/>
          </w:tcPr>
          <w:p>
            <w:pPr>
              <w:pStyle w:val="TableParagraph"/>
              <w:spacing w:line="248" w:lineRule="exact"/>
              <w:rPr>
                <w:b/>
                <w:sz w:val="22"/>
              </w:rPr>
            </w:pPr>
            <w:r>
              <w:rPr>
                <w:b/>
                <w:sz w:val="22"/>
              </w:rPr>
              <w:t>¿Por   qué </w:t>
            </w:r>
            <w:r>
              <w:rPr>
                <w:b/>
                <w:spacing w:val="55"/>
                <w:sz w:val="22"/>
              </w:rPr>
              <w:t> </w:t>
            </w:r>
            <w:r>
              <w:rPr>
                <w:b/>
                <w:sz w:val="22"/>
              </w:rPr>
              <w:t>tiene</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Pescadores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los</w:t>
            </w:r>
          </w:p>
        </w:tc>
        <w:tc>
          <w:tcPr>
            <w:tcW w:w="1985" w:type="dxa"/>
            <w:tcBorders>
              <w:top w:val="nil"/>
              <w:bottom w:val="nil"/>
            </w:tcBorders>
            <w:shd w:val="clear" w:color="auto" w:fill="92CDDC"/>
          </w:tcPr>
          <w:p>
            <w:pPr>
              <w:pStyle w:val="TableParagraph"/>
              <w:tabs>
                <w:tab w:pos="1688" w:val="left" w:leader="none"/>
              </w:tabs>
              <w:spacing w:line="241" w:lineRule="exact"/>
              <w:rPr>
                <w:b/>
                <w:sz w:val="22"/>
              </w:rPr>
            </w:pPr>
            <w:r>
              <w:rPr>
                <w:b/>
                <w:sz w:val="22"/>
              </w:rPr>
              <w:t>problemas</w:t>
              <w:tab/>
              <w:t>la</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problemas</w:t>
            </w: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laguna</w:t>
              <w:tab/>
              <w:t>de</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que   tiene   la</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3" w:val="left" w:leader="none"/>
              </w:tabs>
              <w:spacing w:line="242" w:lineRule="exact"/>
              <w:rPr>
                <w:b/>
                <w:sz w:val="22"/>
              </w:rPr>
            </w:pPr>
            <w:r>
              <w:rPr>
                <w:b/>
                <w:sz w:val="22"/>
              </w:rPr>
              <w:t>laguna</w:t>
              <w:tab/>
              <w:t>de</w:t>
            </w:r>
          </w:p>
        </w:tc>
        <w:tc>
          <w:tcPr>
            <w:tcW w:w="1985" w:type="dxa"/>
            <w:tcBorders>
              <w:top w:val="nil"/>
              <w:bottom w:val="nil"/>
            </w:tcBorders>
            <w:shd w:val="clear" w:color="auto" w:fill="92CDDC"/>
          </w:tcPr>
          <w:p>
            <w:pPr/>
          </w:p>
        </w:tc>
      </w:tr>
      <w:tr>
        <w:trPr>
          <w:trHeight w:val="250"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1" w:lineRule="exact"/>
              <w:rPr>
                <w:b/>
                <w:sz w:val="22"/>
              </w:rPr>
            </w:pPr>
            <w:r>
              <w:rPr>
                <w:b/>
                <w:sz w:val="22"/>
              </w:rPr>
              <w:t>Huapango?</w:t>
            </w:r>
          </w:p>
        </w:tc>
        <w:tc>
          <w:tcPr>
            <w:tcW w:w="1985" w:type="dxa"/>
            <w:tcBorders>
              <w:top w:val="nil"/>
            </w:tcBorders>
            <w:shd w:val="clear" w:color="auto" w:fill="92CDDC"/>
          </w:tcPr>
          <w:p>
            <w:pPr/>
          </w:p>
        </w:tc>
      </w:tr>
      <w:tr>
        <w:trPr>
          <w:trHeight w:val="269" w:hRule="exact"/>
        </w:trPr>
        <w:tc>
          <w:tcPr>
            <w:tcW w:w="1385" w:type="dxa"/>
            <w:tcBorders>
              <w:bottom w:val="nil"/>
            </w:tcBorders>
          </w:tcPr>
          <w:p>
            <w:pPr>
              <w:pStyle w:val="TableParagraph"/>
              <w:ind w:right="127"/>
              <w:rPr>
                <w:sz w:val="22"/>
              </w:rPr>
            </w:pPr>
            <w:r>
              <w:rPr>
                <w:sz w:val="22"/>
              </w:rPr>
              <w:t>Salvador</w:t>
            </w:r>
          </w:p>
        </w:tc>
        <w:tc>
          <w:tcPr>
            <w:tcW w:w="1418" w:type="dxa"/>
            <w:tcBorders>
              <w:bottom w:val="nil"/>
            </w:tcBorders>
          </w:tcPr>
          <w:p>
            <w:pPr>
              <w:pStyle w:val="TableParagraph"/>
              <w:ind w:left="100" w:right="101"/>
              <w:rPr>
                <w:sz w:val="22"/>
              </w:rPr>
            </w:pPr>
            <w:r>
              <w:rPr>
                <w:sz w:val="22"/>
              </w:rPr>
              <w:t>Pescador,</w:t>
            </w:r>
          </w:p>
        </w:tc>
        <w:tc>
          <w:tcPr>
            <w:tcW w:w="1841" w:type="dxa"/>
            <w:vMerge w:val="restart"/>
          </w:tcPr>
          <w:p>
            <w:pPr>
              <w:pStyle w:val="TableParagraph"/>
              <w:ind w:left="100" w:right="142"/>
              <w:rPr>
                <w:sz w:val="22"/>
              </w:rPr>
            </w:pPr>
            <w:r>
              <w:rPr>
                <w:sz w:val="22"/>
              </w:rPr>
              <w:t>“Los Pescadores de la Vía del Tren” (17</w:t>
            </w:r>
            <w:r>
              <w:rPr>
                <w:spacing w:val="-8"/>
                <w:sz w:val="22"/>
              </w:rPr>
              <w:t> </w:t>
            </w:r>
            <w:r>
              <w:rPr>
                <w:sz w:val="22"/>
              </w:rPr>
              <w:t>integrantes,</w:t>
            </w:r>
          </w:p>
          <w:p>
            <w:pPr>
              <w:pStyle w:val="TableParagraph"/>
              <w:ind w:left="100" w:right="171"/>
              <w:rPr>
                <w:sz w:val="22"/>
              </w:rPr>
            </w:pPr>
            <w:r>
              <w:rPr>
                <w:sz w:val="22"/>
              </w:rPr>
              <w:t>4 pescadores son de San Martín, Aculco).</w:t>
            </w:r>
          </w:p>
        </w:tc>
        <w:tc>
          <w:tcPr>
            <w:tcW w:w="1135" w:type="dxa"/>
            <w:tcBorders>
              <w:bottom w:val="nil"/>
            </w:tcBorders>
          </w:tcPr>
          <w:p>
            <w:pPr>
              <w:pStyle w:val="TableParagraph"/>
              <w:rPr>
                <w:sz w:val="22"/>
              </w:rPr>
            </w:pPr>
            <w:r>
              <w:rPr>
                <w:sz w:val="22"/>
              </w:rPr>
              <w:t>Presiden</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Zaragoza,</w:t>
            </w:r>
          </w:p>
        </w:tc>
        <w:tc>
          <w:tcPr>
            <w:tcW w:w="1133" w:type="dxa"/>
            <w:tcBorders>
              <w:bottom w:val="nil"/>
            </w:tcBorders>
          </w:tcPr>
          <w:p>
            <w:pPr>
              <w:pStyle w:val="TableParagraph"/>
              <w:ind w:left="100" w:right="52"/>
              <w:rPr>
                <w:sz w:val="22"/>
              </w:rPr>
            </w:pPr>
            <w:r>
              <w:rPr>
                <w:sz w:val="22"/>
              </w:rPr>
              <w:t>El</w:t>
            </w:r>
          </w:p>
        </w:tc>
        <w:tc>
          <w:tcPr>
            <w:tcW w:w="1702" w:type="dxa"/>
            <w:tcBorders>
              <w:bottom w:val="nil"/>
            </w:tcBorders>
          </w:tcPr>
          <w:p>
            <w:pPr>
              <w:pStyle w:val="TableParagraph"/>
              <w:rPr>
                <w:sz w:val="22"/>
              </w:rPr>
            </w:pPr>
            <w:r>
              <w:rPr>
                <w:sz w:val="22"/>
              </w:rPr>
              <w:t>La</w:t>
            </w:r>
          </w:p>
        </w:tc>
        <w:tc>
          <w:tcPr>
            <w:tcW w:w="1985" w:type="dxa"/>
            <w:tcBorders>
              <w:bottom w:val="nil"/>
            </w:tcBorders>
          </w:tcPr>
          <w:p>
            <w:pPr>
              <w:pStyle w:val="TableParagraph"/>
              <w:tabs>
                <w:tab w:pos="1593" w:val="left" w:leader="none"/>
              </w:tabs>
              <w:rPr>
                <w:sz w:val="22"/>
              </w:rPr>
            </w:pPr>
            <w:r>
              <w:rPr>
                <w:sz w:val="22"/>
              </w:rPr>
              <w:t>Porque</w:t>
              <w:tab/>
              <w:t>los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100" w:right="101"/>
              <w:rPr>
                <w:sz w:val="22"/>
              </w:rPr>
            </w:pPr>
            <w:r>
              <w:rPr>
                <w:sz w:val="22"/>
              </w:rPr>
              <w:t>agricultor y</w:t>
            </w:r>
          </w:p>
        </w:tc>
        <w:tc>
          <w:tcPr>
            <w:tcW w:w="1841" w:type="dxa"/>
            <w:vMerge/>
          </w:tcPr>
          <w:p>
            <w:pP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spacing w:line="241" w:lineRule="exact"/>
              <w:rPr>
                <w:sz w:val="22"/>
              </w:rPr>
            </w:pPr>
            <w:r>
              <w:rPr>
                <w:sz w:val="22"/>
              </w:rPr>
              <w:t>contaminación.</w:t>
            </w:r>
          </w:p>
        </w:tc>
        <w:tc>
          <w:tcPr>
            <w:tcW w:w="1985" w:type="dxa"/>
            <w:tcBorders>
              <w:top w:val="nil"/>
              <w:bottom w:val="nil"/>
            </w:tcBorders>
          </w:tcPr>
          <w:p>
            <w:pPr>
              <w:pStyle w:val="TableParagraph"/>
              <w:spacing w:line="241" w:lineRule="exact"/>
              <w:rPr>
                <w:sz w:val="22"/>
              </w:rPr>
            </w:pPr>
            <w:r>
              <w:rPr>
                <w:sz w:val="22"/>
              </w:rPr>
              <w:t>municipios vierten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ganadero</w:t>
            </w: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sus  desagües 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3" w:lineRule="exact"/>
              <w:rPr>
                <w:sz w:val="22"/>
              </w:rPr>
            </w:pPr>
            <w:r>
              <w:rPr>
                <w:sz w:val="22"/>
              </w:rPr>
              <w:t>la laguna.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(4/I/2014)</w:t>
            </w: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La   mortandad</w:t>
            </w:r>
          </w:p>
        </w:tc>
        <w:tc>
          <w:tcPr>
            <w:tcW w:w="1985" w:type="dxa"/>
            <w:tcBorders>
              <w:top w:val="nil"/>
              <w:bottom w:val="nil"/>
            </w:tcBorders>
          </w:tcPr>
          <w:p>
            <w:pPr>
              <w:pStyle w:val="TableParagraph"/>
              <w:tabs>
                <w:tab w:pos="1190" w:val="left" w:leader="none"/>
                <w:tab w:pos="1703" w:val="left" w:leader="none"/>
              </w:tabs>
              <w:spacing w:line="242" w:lineRule="exact"/>
              <w:rPr>
                <w:sz w:val="22"/>
              </w:rPr>
            </w:pPr>
            <w:r>
              <w:rPr>
                <w:sz w:val="22"/>
              </w:rPr>
              <w:t>Debido</w:t>
              <w:tab/>
              <w:t>a</w:t>
              <w:tab/>
              <w:t>la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de especies.</w:t>
            </w:r>
          </w:p>
        </w:tc>
        <w:tc>
          <w:tcPr>
            <w:tcW w:w="1985" w:type="dxa"/>
            <w:tcBorders>
              <w:top w:val="nil"/>
              <w:bottom w:val="nil"/>
            </w:tcBorders>
          </w:tcPr>
          <w:p>
            <w:pPr>
              <w:pStyle w:val="TableParagraph"/>
              <w:tabs>
                <w:tab w:pos="1628" w:val="left" w:leader="none"/>
              </w:tabs>
              <w:spacing w:line="241" w:lineRule="exact"/>
              <w:rPr>
                <w:sz w:val="22"/>
              </w:rPr>
            </w:pPr>
            <w:r>
              <w:rPr>
                <w:sz w:val="22"/>
              </w:rPr>
              <w:t>descarga</w:t>
              <w:tab/>
              <w:t>de</w:t>
            </w:r>
          </w:p>
        </w:tc>
      </w:tr>
      <w:tr>
        <w:trPr>
          <w:trHeight w:val="250" w:hRule="exact"/>
        </w:trPr>
        <w:tc>
          <w:tcPr>
            <w:tcW w:w="1385" w:type="dxa"/>
            <w:tcBorders>
              <w:top w:val="nil"/>
            </w:tcBorders>
          </w:tcPr>
          <w:p>
            <w:pPr/>
          </w:p>
        </w:tc>
        <w:tc>
          <w:tcPr>
            <w:tcW w:w="1418" w:type="dxa"/>
            <w:tcBorders>
              <w:top w:val="nil"/>
            </w:tcBorders>
          </w:tcPr>
          <w:p>
            <w:pPr/>
          </w:p>
        </w:tc>
        <w:tc>
          <w:tcPr>
            <w:tcW w:w="1841" w:type="dxa"/>
            <w:vMerge/>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contaminantes.</w:t>
            </w:r>
          </w:p>
        </w:tc>
      </w:tr>
      <w:tr>
        <w:trPr>
          <w:trHeight w:val="266" w:hRule="exact"/>
        </w:trPr>
        <w:tc>
          <w:tcPr>
            <w:tcW w:w="1385" w:type="dxa"/>
            <w:tcBorders>
              <w:bottom w:val="nil"/>
            </w:tcBorders>
          </w:tcPr>
          <w:p>
            <w:pPr>
              <w:pStyle w:val="TableParagraph"/>
              <w:spacing w:line="251" w:lineRule="exact"/>
              <w:ind w:right="127"/>
              <w:rPr>
                <w:sz w:val="22"/>
              </w:rPr>
            </w:pPr>
            <w:r>
              <w:rPr>
                <w:sz w:val="22"/>
              </w:rPr>
              <w:t>Jorge</w:t>
            </w:r>
          </w:p>
        </w:tc>
        <w:tc>
          <w:tcPr>
            <w:tcW w:w="1418" w:type="dxa"/>
            <w:tcBorders>
              <w:bottom w:val="nil"/>
            </w:tcBorders>
          </w:tcPr>
          <w:p>
            <w:pPr>
              <w:pStyle w:val="TableParagraph"/>
              <w:spacing w:line="251" w:lineRule="exact"/>
              <w:ind w:left="100"/>
              <w:rPr>
                <w:sz w:val="22"/>
              </w:rPr>
            </w:pPr>
            <w:r>
              <w:rPr>
                <w:sz w:val="22"/>
              </w:rPr>
              <w:t>Campesino,</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Secretari</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spacing w:line="251" w:lineRule="exact"/>
              <w:rPr>
                <w:sz w:val="22"/>
              </w:rPr>
            </w:pPr>
            <w:r>
              <w:rPr>
                <w:sz w:val="22"/>
              </w:rPr>
              <w:t>La</w:t>
            </w:r>
          </w:p>
        </w:tc>
        <w:tc>
          <w:tcPr>
            <w:tcW w:w="1985" w:type="dxa"/>
            <w:tcBorders>
              <w:bottom w:val="nil"/>
            </w:tcBorders>
          </w:tcPr>
          <w:p>
            <w:pPr>
              <w:pStyle w:val="TableParagraph"/>
              <w:tabs>
                <w:tab w:pos="1043" w:val="left" w:leader="none"/>
                <w:tab w:pos="1518" w:val="left" w:leader="none"/>
              </w:tabs>
              <w:spacing w:line="251" w:lineRule="exact"/>
              <w:rPr>
                <w:sz w:val="22"/>
              </w:rPr>
            </w:pPr>
            <w:r>
              <w:rPr>
                <w:sz w:val="22"/>
              </w:rPr>
              <w:t>Porque</w:t>
              <w:tab/>
              <w:t>no</w:t>
              <w:tab/>
              <w:t>hay</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Pichardo</w:t>
            </w:r>
          </w:p>
        </w:tc>
        <w:tc>
          <w:tcPr>
            <w:tcW w:w="1418" w:type="dxa"/>
            <w:tcBorders>
              <w:top w:val="nil"/>
              <w:bottom w:val="nil"/>
            </w:tcBorders>
          </w:tcPr>
          <w:p>
            <w:pPr>
              <w:pStyle w:val="TableParagraph"/>
              <w:spacing w:line="241" w:lineRule="exact"/>
              <w:ind w:left="100" w:right="101"/>
              <w:rPr>
                <w:sz w:val="22"/>
              </w:rPr>
            </w:pPr>
            <w:r>
              <w:rPr>
                <w:sz w:val="22"/>
              </w:rPr>
              <w:t>ganadero y</w:t>
            </w:r>
          </w:p>
        </w:tc>
        <w:tc>
          <w:tcPr>
            <w:tcW w:w="1841" w:type="dxa"/>
            <w:tcBorders>
              <w:top w:val="nil"/>
              <w:bottom w:val="nil"/>
            </w:tcBorders>
          </w:tcPr>
          <w:p>
            <w:pPr>
              <w:pStyle w:val="TableParagraph"/>
              <w:spacing w:line="241" w:lineRule="exact"/>
              <w:ind w:left="100"/>
              <w:rPr>
                <w:sz w:val="22"/>
              </w:rPr>
            </w:pPr>
            <w:r>
              <w:rPr>
                <w:sz w:val="22"/>
              </w:rPr>
              <w:t>“Pichardo”</w:t>
            </w:r>
          </w:p>
        </w:tc>
        <w:tc>
          <w:tcPr>
            <w:tcW w:w="1135" w:type="dxa"/>
            <w:tcBorders>
              <w:top w:val="nil"/>
              <w:bottom w:val="nil"/>
            </w:tcBorders>
          </w:tcPr>
          <w:p>
            <w:pPr>
              <w:pStyle w:val="TableParagraph"/>
              <w:spacing w:line="241" w:lineRule="exact"/>
              <w:rPr>
                <w:sz w:val="22"/>
              </w:rPr>
            </w:pPr>
            <w:r>
              <w:rPr>
                <w:w w:val="100"/>
                <w:sz w:val="22"/>
              </w:rPr>
              <w:t>o</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Pr>
                <w:sz w:val="22"/>
              </w:rPr>
            </w:pPr>
            <w:r>
              <w:rPr>
                <w:w w:val="100"/>
                <w:sz w:val="22"/>
              </w:rPr>
              <w:t>o</w:t>
            </w:r>
          </w:p>
        </w:tc>
        <w:tc>
          <w:tcPr>
            <w:tcW w:w="1702" w:type="dxa"/>
            <w:tcBorders>
              <w:top w:val="nil"/>
              <w:bottom w:val="nil"/>
            </w:tcBorders>
          </w:tcPr>
          <w:p>
            <w:pPr>
              <w:pStyle w:val="TableParagraph"/>
              <w:spacing w:line="241" w:lineRule="exact"/>
              <w:rPr>
                <w:sz w:val="22"/>
              </w:rPr>
            </w:pPr>
            <w:r>
              <w:rPr>
                <w:sz w:val="22"/>
              </w:rPr>
              <w:t>contaminación</w:t>
            </w:r>
          </w:p>
        </w:tc>
        <w:tc>
          <w:tcPr>
            <w:tcW w:w="1985" w:type="dxa"/>
            <w:tcBorders>
              <w:top w:val="nil"/>
              <w:bottom w:val="nil"/>
            </w:tcBorders>
          </w:tcPr>
          <w:p>
            <w:pPr>
              <w:pStyle w:val="TableParagraph"/>
              <w:tabs>
                <w:tab w:pos="1232" w:val="left" w:leader="none"/>
                <w:tab w:pos="1626" w:val="left" w:leader="none"/>
              </w:tabs>
              <w:spacing w:line="241" w:lineRule="exact"/>
              <w:rPr>
                <w:sz w:val="22"/>
              </w:rPr>
            </w:pPr>
            <w:r>
              <w:rPr>
                <w:sz w:val="22"/>
              </w:rPr>
              <w:t>drenajes</w:t>
              <w:tab/>
              <w:t>y</w:t>
              <w:tab/>
              <w:t>en</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pescador</w:t>
            </w: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62" w:val="left" w:leader="none"/>
                <w:tab w:pos="1628" w:val="left" w:leader="none"/>
              </w:tabs>
              <w:spacing w:line="242" w:lineRule="exact"/>
              <w:rPr>
                <w:sz w:val="22"/>
              </w:rPr>
            </w:pPr>
            <w:r>
              <w:rPr>
                <w:sz w:val="22"/>
              </w:rPr>
              <w:t>Aldama</w:t>
              <w:tab/>
              <w:t>hay</w:t>
              <w:tab/>
              <w:t>un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(7/7/2014)</w:t>
            </w: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41" w:val="left" w:leader="none"/>
                <w:tab w:pos="1640" w:val="left" w:leader="none"/>
              </w:tabs>
              <w:spacing w:line="241" w:lineRule="exact"/>
              <w:rPr>
                <w:sz w:val="22"/>
              </w:rPr>
            </w:pPr>
            <w:r>
              <w:rPr>
                <w:sz w:val="22"/>
              </w:rPr>
              <w:t>establo</w:t>
              <w:tab/>
              <w:t>que</w:t>
              <w:tab/>
              <w:t>se</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llama “Rancho las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Golondrinas”  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tiene  como 2,000</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626" w:val="left" w:leader="none"/>
              </w:tabs>
              <w:spacing w:line="242" w:lineRule="exact"/>
              <w:rPr>
                <w:sz w:val="22"/>
              </w:rPr>
            </w:pPr>
            <w:r>
              <w:rPr>
                <w:sz w:val="22"/>
              </w:rPr>
              <w:t>cabezas</w:t>
              <w:tab/>
              <w:t>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77" w:val="left" w:leader="none"/>
              </w:tabs>
              <w:spacing w:line="241" w:lineRule="exact"/>
              <w:rPr>
                <w:sz w:val="22"/>
              </w:rPr>
            </w:pPr>
            <w:r>
              <w:rPr>
                <w:sz w:val="22"/>
              </w:rPr>
              <w:t>ganado</w:t>
              <w:tab/>
              <w:t>(bovino)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262" w:val="left" w:leader="none"/>
              </w:tabs>
              <w:spacing w:line="242" w:lineRule="exact"/>
              <w:rPr>
                <w:sz w:val="22"/>
              </w:rPr>
            </w:pPr>
            <w:r>
              <w:rPr>
                <w:sz w:val="22"/>
              </w:rPr>
              <w:t>en</w:t>
              <w:tab/>
              <w:t>donde</w:t>
            </w: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fumigaron para</w:t>
            </w:r>
            <w:r>
              <w:rPr>
                <w:spacing w:val="55"/>
                <w:sz w:val="22"/>
              </w:rPr>
              <w:t> </w:t>
            </w:r>
            <w:r>
              <w:rPr>
                <w:sz w:val="22"/>
              </w:rPr>
              <w:t>el</w:t>
            </w:r>
          </w:p>
        </w:tc>
      </w:tr>
    </w:tbl>
    <w:p>
      <w:pPr>
        <w:spacing w:after="0" w:line="241" w:lineRule="exact"/>
        <w:rPr>
          <w:sz w:val="22"/>
        </w:rPr>
        <w:sectPr>
          <w:footerReference w:type="default" r:id="rId176"/>
          <w:pgSz w:w="15840" w:h="12240" w:orient="landscape"/>
          <w:pgMar w:footer="943" w:header="0" w:top="1140" w:bottom="1140" w:left="1200" w:right="1300"/>
          <w:pgNumType w:start="205"/>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4563"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
        </w:tc>
        <w:tc>
          <w:tcPr>
            <w:tcW w:w="1985" w:type="dxa"/>
          </w:tcPr>
          <w:p>
            <w:pPr>
              <w:pStyle w:val="TableParagraph"/>
              <w:tabs>
                <w:tab w:pos="551" w:val="left" w:leader="none"/>
                <w:tab w:pos="805" w:val="left" w:leader="none"/>
                <w:tab w:pos="932" w:val="left" w:leader="none"/>
                <w:tab w:pos="1069" w:val="left" w:leader="none"/>
                <w:tab w:pos="1124" w:val="left" w:leader="none"/>
                <w:tab w:pos="1211" w:val="left" w:leader="none"/>
                <w:tab w:pos="1321" w:val="left" w:leader="none"/>
                <w:tab w:pos="1504" w:val="left" w:leader="none"/>
                <w:tab w:pos="1592" w:val="left" w:leader="none"/>
                <w:tab w:pos="1702" w:val="left" w:leader="none"/>
              </w:tabs>
              <w:ind w:right="98"/>
              <w:rPr>
                <w:sz w:val="22"/>
              </w:rPr>
            </w:pPr>
            <w:r>
              <w:rPr>
                <w:sz w:val="22"/>
              </w:rPr>
              <w:t>huevecillo de la mosca y el agua que baja se llevó el</w:t>
              <w:tab/>
            </w:r>
            <w:r>
              <w:rPr>
                <w:spacing w:val="-1"/>
                <w:sz w:val="22"/>
              </w:rPr>
              <w:t>contaminante </w:t>
            </w:r>
            <w:r>
              <w:rPr>
                <w:sz w:val="22"/>
              </w:rPr>
              <w:t>que ocasionó que se murieran los peces, ajolotes y tortugas</w:t>
              <w:tab/>
              <w:tab/>
              <w:tab/>
              <w:t>de</w:t>
              <w:tab/>
              <w:tab/>
              <w:t>los bordos, afortunadamente hay una laguna más</w:t>
              <w:tab/>
              <w:tab/>
              <w:t>o</w:t>
              <w:tab/>
              <w:tab/>
              <w:tab/>
              <w:tab/>
              <w:t>menos grande</w:t>
              <w:tab/>
              <w:tab/>
              <w:tab/>
              <w:tab/>
              <w:tab/>
              <w:tab/>
              <w:tab/>
              <w:t>que retuvo</w:t>
              <w:tab/>
              <w:tab/>
              <w:t>el</w:t>
              <w:tab/>
              <w:tab/>
              <w:tab/>
              <w:t>agua, sino</w:t>
              <w:tab/>
              <w:tab/>
              <w:tab/>
              <w:tab/>
              <w:tab/>
              <w:t>hubiera llegado</w:t>
              <w:tab/>
              <w:tab/>
              <w:t>a</w:t>
              <w:tab/>
              <w:tab/>
              <w:tab/>
              <w:tab/>
              <w:tab/>
              <w:t>la laguna</w:t>
              <w:tab/>
              <w:tab/>
              <w:tab/>
              <w:tab/>
              <w:t>(laguna Huapango).</w:t>
            </w:r>
          </w:p>
        </w:tc>
      </w:tr>
      <w:tr>
        <w:trPr>
          <w:trHeight w:val="268" w:hRule="exact"/>
        </w:trPr>
        <w:tc>
          <w:tcPr>
            <w:tcW w:w="1385" w:type="dxa"/>
            <w:tcBorders>
              <w:bottom w:val="nil"/>
            </w:tcBorders>
          </w:tcPr>
          <w:p>
            <w:pPr>
              <w:pStyle w:val="TableParagraph"/>
              <w:spacing w:line="251" w:lineRule="exact"/>
              <w:ind w:right="127"/>
              <w:rPr>
                <w:sz w:val="22"/>
              </w:rPr>
            </w:pPr>
            <w:r>
              <w:rPr>
                <w:sz w:val="22"/>
              </w:rPr>
              <w:t>Juan</w:t>
            </w:r>
          </w:p>
        </w:tc>
        <w:tc>
          <w:tcPr>
            <w:tcW w:w="1418" w:type="dxa"/>
            <w:tcBorders>
              <w:bottom w:val="nil"/>
            </w:tcBorders>
          </w:tcPr>
          <w:p>
            <w:pPr>
              <w:pStyle w:val="TableParagraph"/>
              <w:spacing w:line="251" w:lineRule="exact"/>
              <w:ind w:left="100" w:right="101"/>
              <w:rPr>
                <w:sz w:val="22"/>
              </w:rPr>
            </w:pPr>
            <w:r>
              <w:rPr>
                <w:sz w:val="22"/>
              </w:rPr>
              <w:t>Tenemos</w:t>
            </w:r>
          </w:p>
        </w:tc>
        <w:tc>
          <w:tcPr>
            <w:tcW w:w="1841" w:type="dxa"/>
            <w:tcBorders>
              <w:bottom w:val="nil"/>
            </w:tcBorders>
          </w:tcPr>
          <w:p>
            <w:pPr>
              <w:pStyle w:val="TableParagraph"/>
              <w:spacing w:line="251" w:lineRule="exact"/>
              <w:ind w:left="100"/>
              <w:rPr>
                <w:sz w:val="22"/>
              </w:rPr>
            </w:pPr>
            <w:r>
              <w:rPr>
                <w:sz w:val="22"/>
              </w:rPr>
              <w:t>Cooperativa  “El</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Aldama</w:t>
            </w:r>
          </w:p>
        </w:tc>
        <w:tc>
          <w:tcPr>
            <w:tcW w:w="1133" w:type="dxa"/>
            <w:tcBorders>
              <w:bottom w:val="nil"/>
            </w:tcBorders>
          </w:tcPr>
          <w:p>
            <w:pPr>
              <w:pStyle w:val="TableParagraph"/>
              <w:spacing w:line="251" w:lineRule="exact"/>
              <w:ind w:left="100" w:right="52"/>
              <w:rPr>
                <w:sz w:val="22"/>
              </w:rPr>
            </w:pPr>
            <w:r>
              <w:rPr>
                <w:sz w:val="22"/>
              </w:rPr>
              <w:t>Aldama</w:t>
            </w:r>
          </w:p>
        </w:tc>
        <w:tc>
          <w:tcPr>
            <w:tcW w:w="1702" w:type="dxa"/>
            <w:tcBorders>
              <w:bottom w:val="nil"/>
            </w:tcBorders>
          </w:tcPr>
          <w:p>
            <w:pPr>
              <w:pStyle w:val="TableParagraph"/>
              <w:spacing w:line="251" w:lineRule="exact"/>
              <w:rPr>
                <w:sz w:val="22"/>
              </w:rPr>
            </w:pPr>
            <w:r>
              <w:rPr>
                <w:sz w:val="22"/>
              </w:rPr>
              <w:t>La</w:t>
            </w:r>
          </w:p>
        </w:tc>
        <w:tc>
          <w:tcPr>
            <w:tcW w:w="1985" w:type="dxa"/>
            <w:tcBorders>
              <w:bottom w:val="nil"/>
            </w:tcBorders>
          </w:tcPr>
          <w:p>
            <w:pPr>
              <w:pStyle w:val="TableParagraph"/>
              <w:tabs>
                <w:tab w:pos="1334" w:val="left" w:leader="none"/>
              </w:tabs>
              <w:spacing w:line="251" w:lineRule="exact"/>
              <w:rPr>
                <w:sz w:val="22"/>
              </w:rPr>
            </w:pPr>
            <w:r>
              <w:rPr>
                <w:sz w:val="22"/>
              </w:rPr>
              <w:t>Porque</w:t>
              <w:tab/>
              <w:t>todos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418" w:type="dxa"/>
            <w:tcBorders>
              <w:top w:val="nil"/>
              <w:bottom w:val="nil"/>
            </w:tcBorders>
          </w:tcPr>
          <w:p>
            <w:pPr>
              <w:pStyle w:val="TableParagraph"/>
              <w:spacing w:line="242" w:lineRule="exact"/>
              <w:ind w:left="100" w:right="101"/>
              <w:rPr>
                <w:sz w:val="22"/>
              </w:rPr>
            </w:pPr>
            <w:r>
              <w:rPr>
                <w:sz w:val="22"/>
              </w:rPr>
              <w:t>muchas</w:t>
            </w:r>
          </w:p>
        </w:tc>
        <w:tc>
          <w:tcPr>
            <w:tcW w:w="1841" w:type="dxa"/>
            <w:tcBorders>
              <w:top w:val="nil"/>
              <w:bottom w:val="nil"/>
            </w:tcBorders>
          </w:tcPr>
          <w:p>
            <w:pPr>
              <w:pStyle w:val="TableParagraph"/>
              <w:tabs>
                <w:tab w:pos="1189" w:val="left" w:leader="none"/>
              </w:tabs>
              <w:spacing w:line="242" w:lineRule="exact"/>
              <w:ind w:left="100"/>
              <w:rPr>
                <w:sz w:val="22"/>
              </w:rPr>
            </w:pPr>
            <w:r>
              <w:rPr>
                <w:sz w:val="22"/>
              </w:rPr>
              <w:t>Mogote”</w:t>
              <w:tab/>
              <w:t>(Para</w:t>
            </w:r>
          </w:p>
        </w:tc>
        <w:tc>
          <w:tcPr>
            <w:tcW w:w="1135" w:type="dxa"/>
            <w:tcBorders>
              <w:top w:val="nil"/>
              <w:bottom w:val="nil"/>
            </w:tcBorders>
          </w:tcPr>
          <w:p>
            <w:pPr>
              <w:pStyle w:val="TableParagraph"/>
              <w:spacing w:line="242" w:lineRule="exact"/>
              <w:rPr>
                <w:sz w:val="22"/>
              </w:rPr>
            </w:pPr>
            <w:r>
              <w:rPr>
                <w:sz w:val="22"/>
              </w:rPr>
              <w:t>te</w:t>
            </w:r>
          </w:p>
        </w:tc>
        <w:tc>
          <w:tcPr>
            <w:tcW w:w="991" w:type="dxa"/>
            <w:tcBorders>
              <w:top w:val="nil"/>
              <w:bottom w:val="nil"/>
            </w:tcBorders>
          </w:tcPr>
          <w:p>
            <w:pPr>
              <w:pStyle w:val="TableParagraph"/>
              <w:spacing w:line="242" w:lineRule="exact"/>
              <w:ind w:left="100"/>
              <w:rPr>
                <w:sz w:val="22"/>
              </w:rPr>
            </w:pPr>
            <w:r>
              <w:rPr>
                <w:w w:val="100"/>
                <w:sz w:val="22"/>
              </w:rPr>
              <w:t>c</w:t>
            </w:r>
          </w:p>
        </w:tc>
        <w:tc>
          <w:tcPr>
            <w:tcW w:w="1277" w:type="dxa"/>
            <w:tcBorders>
              <w:top w:val="nil"/>
              <w:bottom w:val="nil"/>
            </w:tcBorders>
          </w:tcPr>
          <w:p>
            <w:pPr>
              <w:pStyle w:val="TableParagraph"/>
              <w:spacing w:line="242" w:lineRule="exact"/>
              <w:ind w:right="92"/>
              <w:rPr>
                <w:sz w:val="22"/>
              </w:rPr>
            </w:pPr>
            <w:r>
              <w:rPr>
                <w:sz w:val="22"/>
              </w:rPr>
              <w:t>(Tercera</w:t>
            </w:r>
          </w:p>
        </w:tc>
        <w:tc>
          <w:tcPr>
            <w:tcW w:w="1133" w:type="dxa"/>
            <w:tcBorders>
              <w:top w:val="nil"/>
              <w:bottom w:val="nil"/>
            </w:tcBorders>
          </w:tcPr>
          <w:p>
            <w:pPr>
              <w:pStyle w:val="TableParagraph"/>
              <w:spacing w:line="242" w:lineRule="exact"/>
              <w:ind w:left="100" w:right="52"/>
              <w:rPr>
                <w:sz w:val="22"/>
              </w:rPr>
            </w:pPr>
            <w:r>
              <w:rPr>
                <w:sz w:val="22"/>
              </w:rPr>
              <w:t>(Tercera</w:t>
            </w:r>
          </w:p>
        </w:tc>
        <w:tc>
          <w:tcPr>
            <w:tcW w:w="1702" w:type="dxa"/>
            <w:tcBorders>
              <w:top w:val="nil"/>
              <w:bottom w:val="nil"/>
            </w:tcBorders>
          </w:tcPr>
          <w:p>
            <w:pPr>
              <w:pStyle w:val="TableParagraph"/>
              <w:spacing w:line="242" w:lineRule="exact"/>
              <w:rPr>
                <w:sz w:val="22"/>
              </w:rPr>
            </w:pPr>
            <w:r>
              <w:rPr>
                <w:sz w:val="22"/>
              </w:rPr>
              <w:t>contaminación</w:t>
            </w:r>
          </w:p>
        </w:tc>
        <w:tc>
          <w:tcPr>
            <w:tcW w:w="1985" w:type="dxa"/>
            <w:tcBorders>
              <w:top w:val="nil"/>
              <w:bottom w:val="nil"/>
            </w:tcBorders>
          </w:tcPr>
          <w:p>
            <w:pPr>
              <w:pStyle w:val="TableParagraph"/>
              <w:tabs>
                <w:tab w:pos="1506" w:val="left" w:leader="none"/>
              </w:tabs>
              <w:spacing w:line="242" w:lineRule="exact"/>
              <w:rPr>
                <w:sz w:val="22"/>
              </w:rPr>
            </w:pPr>
            <w:r>
              <w:rPr>
                <w:sz w:val="22"/>
              </w:rPr>
              <w:t>descargan</w:t>
              <w:tab/>
              <w:t>ahí,</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Huitrón</w:t>
            </w:r>
          </w:p>
        </w:tc>
        <w:tc>
          <w:tcPr>
            <w:tcW w:w="1418" w:type="dxa"/>
            <w:tcBorders>
              <w:top w:val="nil"/>
              <w:bottom w:val="nil"/>
            </w:tcBorders>
          </w:tcPr>
          <w:p>
            <w:pPr>
              <w:pStyle w:val="TableParagraph"/>
              <w:spacing w:line="241" w:lineRule="exact"/>
              <w:ind w:left="100" w:right="101"/>
              <w:rPr>
                <w:sz w:val="22"/>
              </w:rPr>
            </w:pPr>
            <w:r>
              <w:rPr>
                <w:sz w:val="22"/>
              </w:rPr>
              <w:t>ocupacione</w:t>
            </w:r>
          </w:p>
        </w:tc>
        <w:tc>
          <w:tcPr>
            <w:tcW w:w="1841" w:type="dxa"/>
            <w:tcBorders>
              <w:top w:val="nil"/>
              <w:bottom w:val="nil"/>
            </w:tcBorders>
          </w:tcPr>
          <w:p>
            <w:pPr>
              <w:pStyle w:val="TableParagraph"/>
              <w:spacing w:line="241" w:lineRule="exact"/>
              <w:ind w:left="100"/>
              <w:rPr>
                <w:sz w:val="22"/>
              </w:rPr>
            </w:pPr>
            <w:r>
              <w:rPr>
                <w:sz w:val="22"/>
              </w:rPr>
              <w:t>Gobernación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Manzana</w:t>
            </w:r>
          </w:p>
        </w:tc>
        <w:tc>
          <w:tcPr>
            <w:tcW w:w="1133" w:type="dxa"/>
            <w:tcBorders>
              <w:top w:val="nil"/>
              <w:bottom w:val="nil"/>
            </w:tcBorders>
          </w:tcPr>
          <w:p>
            <w:pPr>
              <w:pStyle w:val="TableParagraph"/>
              <w:spacing w:line="241" w:lineRule="exact"/>
              <w:ind w:left="100" w:right="52"/>
              <w:rPr>
                <w:sz w:val="22"/>
              </w:rPr>
            </w:pPr>
            <w:r>
              <w:rPr>
                <w:sz w:val="22"/>
              </w:rPr>
              <w:t>Manzana</w:t>
            </w:r>
          </w:p>
        </w:tc>
        <w:tc>
          <w:tcPr>
            <w:tcW w:w="1702" w:type="dxa"/>
            <w:tcBorders>
              <w:top w:val="nil"/>
              <w:bottom w:val="nil"/>
            </w:tcBorders>
          </w:tcPr>
          <w:p>
            <w:pPr/>
          </w:p>
        </w:tc>
        <w:tc>
          <w:tcPr>
            <w:tcW w:w="1985" w:type="dxa"/>
            <w:tcBorders>
              <w:top w:val="nil"/>
              <w:bottom w:val="nil"/>
            </w:tcBorders>
          </w:tcPr>
          <w:p>
            <w:pPr>
              <w:pStyle w:val="TableParagraph"/>
              <w:tabs>
                <w:tab w:pos="1396" w:val="left" w:leader="none"/>
              </w:tabs>
              <w:spacing w:line="241" w:lineRule="exact"/>
              <w:rPr>
                <w:sz w:val="22"/>
              </w:rPr>
            </w:pPr>
            <w:r>
              <w:rPr>
                <w:sz w:val="22"/>
              </w:rPr>
              <w:t>todo</w:t>
              <w:tab/>
              <w:t>baja.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(7/7/2014)</w:t>
            </w:r>
          </w:p>
        </w:tc>
        <w:tc>
          <w:tcPr>
            <w:tcW w:w="1418" w:type="dxa"/>
            <w:tcBorders>
              <w:top w:val="nil"/>
              <w:bottom w:val="nil"/>
            </w:tcBorders>
          </w:tcPr>
          <w:p>
            <w:pPr>
              <w:pStyle w:val="TableParagraph"/>
              <w:tabs>
                <w:tab w:pos="582" w:val="left" w:leader="none"/>
              </w:tabs>
              <w:spacing w:line="242" w:lineRule="exact"/>
              <w:ind w:left="100"/>
              <w:rPr>
                <w:sz w:val="22"/>
              </w:rPr>
            </w:pPr>
            <w:r>
              <w:rPr>
                <w:sz w:val="22"/>
              </w:rPr>
              <w:t>s:</w:t>
              <w:tab/>
              <w:t>campo,</w:t>
            </w:r>
          </w:p>
        </w:tc>
        <w:tc>
          <w:tcPr>
            <w:tcW w:w="1841" w:type="dxa"/>
            <w:tcBorders>
              <w:top w:val="nil"/>
              <w:bottom w:val="nil"/>
            </w:tcBorders>
          </w:tcPr>
          <w:p>
            <w:pPr>
              <w:pStyle w:val="TableParagraph"/>
              <w:tabs>
                <w:tab w:pos="1619" w:val="left" w:leader="none"/>
              </w:tabs>
              <w:spacing w:line="242" w:lineRule="exact"/>
              <w:ind w:left="100"/>
              <w:rPr>
                <w:sz w:val="22"/>
              </w:rPr>
            </w:pPr>
            <w:r>
              <w:rPr>
                <w:sz w:val="22"/>
              </w:rPr>
              <w:t>Estado)</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de El</w:t>
            </w:r>
          </w:p>
        </w:tc>
        <w:tc>
          <w:tcPr>
            <w:tcW w:w="1133" w:type="dxa"/>
            <w:tcBorders>
              <w:top w:val="nil"/>
              <w:bottom w:val="nil"/>
            </w:tcBorders>
          </w:tcPr>
          <w:p>
            <w:pPr>
              <w:pStyle w:val="TableParagraph"/>
              <w:spacing w:line="242" w:lineRule="exact"/>
              <w:ind w:left="100" w:right="52"/>
              <w:rPr>
                <w:sz w:val="22"/>
              </w:rPr>
            </w:pPr>
            <w:r>
              <w:rPr>
                <w:sz w:val="22"/>
              </w:rPr>
              <w:t>de El</w:t>
            </w:r>
          </w:p>
        </w:tc>
        <w:tc>
          <w:tcPr>
            <w:tcW w:w="1702" w:type="dxa"/>
            <w:tcBorders>
              <w:top w:val="nil"/>
              <w:bottom w:val="nil"/>
            </w:tcBorders>
          </w:tcPr>
          <w:p>
            <w:pPr/>
          </w:p>
        </w:tc>
        <w:tc>
          <w:tcPr>
            <w:tcW w:w="1985" w:type="dxa"/>
            <w:tcBorders>
              <w:top w:val="nil"/>
              <w:bottom w:val="nil"/>
            </w:tcBorders>
          </w:tcPr>
          <w:p>
            <w:pPr>
              <w:pStyle w:val="TableParagraph"/>
              <w:tabs>
                <w:tab w:pos="1298" w:val="left" w:leader="none"/>
              </w:tabs>
              <w:spacing w:line="242" w:lineRule="exact"/>
              <w:rPr>
                <w:sz w:val="22"/>
              </w:rPr>
            </w:pPr>
            <w:r>
              <w:rPr>
                <w:sz w:val="22"/>
              </w:rPr>
              <w:t>Cuando</w:t>
              <w:tab/>
              <w:t>llueve</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tabs>
                <w:tab w:pos="1194" w:val="left" w:leader="none"/>
              </w:tabs>
              <w:spacing w:line="241" w:lineRule="exact"/>
              <w:ind w:left="100"/>
              <w:rPr>
                <w:sz w:val="22"/>
              </w:rPr>
            </w:pPr>
            <w:r>
              <w:rPr>
                <w:sz w:val="22"/>
              </w:rPr>
              <w:t>ganado</w:t>
              <w:tab/>
              <w:t>y</w:t>
            </w:r>
          </w:p>
        </w:tc>
        <w:tc>
          <w:tcPr>
            <w:tcW w:w="1841" w:type="dxa"/>
            <w:tcBorders>
              <w:top w:val="nil"/>
              <w:bottom w:val="nil"/>
            </w:tcBorders>
          </w:tcPr>
          <w:p>
            <w:pPr>
              <w:pStyle w:val="TableParagraph"/>
              <w:spacing w:line="241" w:lineRule="exact"/>
              <w:ind w:left="100"/>
              <w:rPr>
                <w:sz w:val="22"/>
              </w:rPr>
            </w:pPr>
            <w:r>
              <w:rPr>
                <w:sz w:val="22"/>
              </w:rPr>
              <w:t>Cooperativa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Trojillo),</w:t>
            </w:r>
          </w:p>
        </w:tc>
        <w:tc>
          <w:tcPr>
            <w:tcW w:w="1133" w:type="dxa"/>
            <w:tcBorders>
              <w:top w:val="nil"/>
              <w:bottom w:val="nil"/>
            </w:tcBorders>
          </w:tcPr>
          <w:p>
            <w:pPr>
              <w:pStyle w:val="TableParagraph"/>
              <w:spacing w:line="241" w:lineRule="exact"/>
              <w:ind w:left="100" w:right="52"/>
              <w:rPr>
                <w:sz w:val="22"/>
              </w:rPr>
            </w:pPr>
            <w:r>
              <w:rPr>
                <w:sz w:val="22"/>
              </w:rPr>
              <w:t>Trojillo),</w:t>
            </w:r>
          </w:p>
        </w:tc>
        <w:tc>
          <w:tcPr>
            <w:tcW w:w="1702" w:type="dxa"/>
            <w:tcBorders>
              <w:top w:val="nil"/>
              <w:bottom w:val="nil"/>
            </w:tcBorders>
          </w:tcPr>
          <w:p>
            <w:pPr/>
          </w:p>
        </w:tc>
        <w:tc>
          <w:tcPr>
            <w:tcW w:w="1985" w:type="dxa"/>
            <w:tcBorders>
              <w:top w:val="nil"/>
              <w:bottom w:val="nil"/>
            </w:tcBorders>
          </w:tcPr>
          <w:p>
            <w:pPr>
              <w:pStyle w:val="TableParagraph"/>
              <w:tabs>
                <w:tab w:pos="1383" w:val="left" w:leader="none"/>
              </w:tabs>
              <w:spacing w:line="241" w:lineRule="exact"/>
              <w:rPr>
                <w:sz w:val="22"/>
              </w:rPr>
            </w:pPr>
            <w:r>
              <w:rPr>
                <w:sz w:val="22"/>
              </w:rPr>
              <w:t>arrastra</w:t>
              <w:tab/>
              <w:t>todo,</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pesca.</w:t>
            </w:r>
          </w:p>
        </w:tc>
        <w:tc>
          <w:tcPr>
            <w:tcW w:w="1841" w:type="dxa"/>
            <w:tcBorders>
              <w:top w:val="nil"/>
              <w:bottom w:val="nil"/>
            </w:tcBorders>
          </w:tcPr>
          <w:p>
            <w:pPr>
              <w:pStyle w:val="TableParagraph"/>
              <w:spacing w:line="241" w:lineRule="exact"/>
              <w:ind w:left="100"/>
              <w:rPr>
                <w:sz w:val="22"/>
              </w:rPr>
            </w:pPr>
            <w:r>
              <w:rPr>
                <w:sz w:val="22"/>
              </w:rPr>
              <w:t>Rinconcito”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
        </w:tc>
        <w:tc>
          <w:tcPr>
            <w:tcW w:w="1985" w:type="dxa"/>
            <w:tcBorders>
              <w:top w:val="nil"/>
              <w:bottom w:val="nil"/>
            </w:tcBorders>
          </w:tcPr>
          <w:p>
            <w:pPr>
              <w:pStyle w:val="TableParagraph"/>
              <w:tabs>
                <w:tab w:pos="1593" w:val="left" w:leader="none"/>
              </w:tabs>
              <w:spacing w:line="241" w:lineRule="exact"/>
              <w:rPr>
                <w:sz w:val="22"/>
              </w:rPr>
            </w:pPr>
            <w:r>
              <w:rPr>
                <w:sz w:val="22"/>
              </w:rPr>
              <w:t>todos</w:t>
              <w:tab/>
              <w:t>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556" w:val="left" w:leader="none"/>
              </w:tabs>
              <w:spacing w:line="242" w:lineRule="exact"/>
              <w:ind w:left="100"/>
              <w:rPr>
                <w:sz w:val="22"/>
              </w:rPr>
            </w:pPr>
            <w:r>
              <w:rPr>
                <w:sz w:val="22"/>
              </w:rPr>
              <w:t>(para</w:t>
              <w:tab/>
              <w:t>la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Pr>
                <w:sz w:val="22"/>
              </w:rPr>
            </w:pPr>
            <w:r>
              <w:rPr>
                <w:w w:val="100"/>
                <w:sz w:val="22"/>
              </w:rPr>
              <w:t>.</w:t>
            </w: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desechos;   en  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31" w:val="left" w:leader="none"/>
              </w:tabs>
              <w:spacing w:line="241" w:lineRule="exact"/>
              <w:ind w:left="100"/>
              <w:rPr>
                <w:sz w:val="22"/>
              </w:rPr>
            </w:pPr>
            <w:r>
              <w:rPr>
                <w:sz w:val="22"/>
              </w:rPr>
              <w:t>Secretaría</w:t>
              <w:tab/>
              <w:t>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09" w:val="left" w:leader="none"/>
                <w:tab w:pos="1503" w:val="left" w:leader="none"/>
              </w:tabs>
              <w:spacing w:line="241" w:lineRule="exact"/>
              <w:rPr>
                <w:sz w:val="22"/>
              </w:rPr>
            </w:pPr>
            <w:r>
              <w:rPr>
                <w:sz w:val="22"/>
              </w:rPr>
              <w:t>Saltillo</w:t>
              <w:tab/>
              <w:t>se</w:t>
              <w:tab/>
              <w:t>han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Trabajo).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136" w:val="left" w:leader="none"/>
                <w:tab w:pos="1628" w:val="left" w:leader="none"/>
              </w:tabs>
              <w:spacing w:line="242" w:lineRule="exact"/>
              <w:rPr>
                <w:sz w:val="22"/>
              </w:rPr>
            </w:pPr>
            <w:r>
              <w:rPr>
                <w:sz w:val="22"/>
              </w:rPr>
              <w:t>quejado</w:t>
              <w:tab/>
              <w:t>de</w:t>
              <w:tab/>
              <w:t>un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504" w:val="left" w:leader="none"/>
              </w:tabs>
              <w:spacing w:line="241" w:lineRule="exact"/>
              <w:rPr>
                <w:sz w:val="22"/>
              </w:rPr>
            </w:pPr>
            <w:r>
              <w:rPr>
                <w:sz w:val="22"/>
              </w:rPr>
              <w:t>rancho</w:t>
              <w:tab/>
              <w:t>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593" w:val="left" w:leader="none"/>
              </w:tabs>
              <w:spacing w:line="241" w:lineRule="exact"/>
              <w:rPr>
                <w:sz w:val="22"/>
              </w:rPr>
            </w:pPr>
            <w:r>
              <w:rPr>
                <w:sz w:val="22"/>
              </w:rPr>
              <w:t>contaminó</w:t>
              <w:tab/>
              <w:t>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bordos.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5" w:val="left" w:leader="none"/>
              </w:tabs>
              <w:spacing w:line="241" w:lineRule="exact"/>
              <w:rPr>
                <w:sz w:val="22"/>
              </w:rPr>
            </w:pPr>
            <w:r>
              <w:rPr>
                <w:sz w:val="22"/>
              </w:rPr>
              <w:t>También</w:t>
              <w:tab/>
              <w:t>ha</w:t>
            </w:r>
          </w:p>
        </w:tc>
        <w:tc>
          <w:tcPr>
            <w:tcW w:w="1985" w:type="dxa"/>
            <w:tcBorders>
              <w:top w:val="nil"/>
              <w:bottom w:val="nil"/>
            </w:tcBorders>
          </w:tcPr>
          <w:p>
            <w:pPr>
              <w:pStyle w:val="TableParagraph"/>
              <w:spacing w:line="241" w:lineRule="exact"/>
              <w:rPr>
                <w:sz w:val="22"/>
              </w:rPr>
            </w:pPr>
            <w:r>
              <w:rPr>
                <w:sz w:val="22"/>
              </w:rPr>
              <w:t>Porque  tengo  un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habido</w:t>
            </w:r>
          </w:p>
        </w:tc>
        <w:tc>
          <w:tcPr>
            <w:tcW w:w="1985" w:type="dxa"/>
            <w:tcBorders>
              <w:top w:val="nil"/>
              <w:bottom w:val="nil"/>
            </w:tcBorders>
          </w:tcPr>
          <w:p>
            <w:pPr>
              <w:pStyle w:val="TableParagraph"/>
              <w:tabs>
                <w:tab w:pos="851" w:val="left" w:leader="none"/>
                <w:tab w:pos="1381" w:val="left" w:leader="none"/>
              </w:tabs>
              <w:spacing w:line="242" w:lineRule="exact"/>
              <w:rPr>
                <w:sz w:val="22"/>
              </w:rPr>
            </w:pPr>
            <w:r>
              <w:rPr>
                <w:sz w:val="22"/>
              </w:rPr>
              <w:t>vaso</w:t>
              <w:tab/>
              <w:t>de</w:t>
              <w:tab/>
              <w:t>agua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algunos</w:t>
            </w:r>
          </w:p>
        </w:tc>
        <w:tc>
          <w:tcPr>
            <w:tcW w:w="1985" w:type="dxa"/>
            <w:tcBorders>
              <w:top w:val="nil"/>
              <w:bottom w:val="nil"/>
            </w:tcBorders>
          </w:tcPr>
          <w:p>
            <w:pPr>
              <w:pStyle w:val="TableParagraph"/>
              <w:tabs>
                <w:tab w:pos="885" w:val="left" w:leader="none"/>
                <w:tab w:pos="1763" w:val="left" w:leader="none"/>
              </w:tabs>
              <w:spacing w:line="241" w:lineRule="exact"/>
              <w:rPr>
                <w:sz w:val="22"/>
              </w:rPr>
            </w:pPr>
            <w:r>
              <w:rPr>
                <w:sz w:val="22"/>
              </w:rPr>
              <w:t>para</w:t>
              <w:tab/>
              <w:t>todos</w:t>
              <w:tab/>
              <w:t>y</w:t>
            </w: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inconvenientes</w:t>
            </w:r>
          </w:p>
        </w:tc>
        <w:tc>
          <w:tcPr>
            <w:tcW w:w="1985" w:type="dxa"/>
            <w:tcBorders>
              <w:top w:val="nil"/>
            </w:tcBorders>
          </w:tcPr>
          <w:p>
            <w:pPr>
              <w:pStyle w:val="TableParagraph"/>
              <w:tabs>
                <w:tab w:pos="995" w:val="left" w:leader="none"/>
                <w:tab w:pos="1703" w:val="left" w:leader="none"/>
              </w:tabs>
              <w:spacing w:line="242" w:lineRule="exact"/>
              <w:rPr>
                <w:sz w:val="22"/>
              </w:rPr>
            </w:pPr>
            <w:r>
              <w:rPr>
                <w:sz w:val="22"/>
              </w:rPr>
              <w:t>como</w:t>
              <w:tab/>
              <w:t>nos</w:t>
              <w:tab/>
              <w:t>lo</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1022"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ind w:right="98"/>
              <w:jc w:val="both"/>
              <w:rPr>
                <w:sz w:val="22"/>
              </w:rPr>
            </w:pPr>
            <w:r>
              <w:rPr>
                <w:sz w:val="22"/>
              </w:rPr>
              <w:t>porque pescan de un pueblo a otro.</w:t>
            </w:r>
          </w:p>
        </w:tc>
        <w:tc>
          <w:tcPr>
            <w:tcW w:w="1985" w:type="dxa"/>
          </w:tcPr>
          <w:p>
            <w:pPr>
              <w:pStyle w:val="TableParagraph"/>
              <w:tabs>
                <w:tab w:pos="1763" w:val="left" w:leader="none"/>
              </w:tabs>
              <w:ind w:right="99"/>
              <w:jc w:val="both"/>
              <w:rPr>
                <w:sz w:val="22"/>
              </w:rPr>
            </w:pPr>
            <w:r>
              <w:rPr>
                <w:sz w:val="22"/>
              </w:rPr>
              <w:t>compartimos, que pesquen en su pueblo</w:t>
              <w:tab/>
              <w:t>y</w:t>
            </w:r>
          </w:p>
          <w:p>
            <w:pPr>
              <w:pStyle w:val="TableParagraph"/>
              <w:spacing w:line="252" w:lineRule="exact"/>
              <w:jc w:val="both"/>
              <w:rPr>
                <w:sz w:val="22"/>
              </w:rPr>
            </w:pPr>
            <w:r>
              <w:rPr>
                <w:sz w:val="22"/>
              </w:rPr>
              <w:t>respetarnos.</w:t>
            </w:r>
          </w:p>
        </w:tc>
      </w:tr>
      <w:tr>
        <w:trPr>
          <w:trHeight w:val="3298" w:hRule="exact"/>
        </w:trPr>
        <w:tc>
          <w:tcPr>
            <w:tcW w:w="1385" w:type="dxa"/>
          </w:tcPr>
          <w:p>
            <w:pPr>
              <w:pStyle w:val="TableParagraph"/>
              <w:ind w:right="127"/>
              <w:rPr>
                <w:sz w:val="22"/>
              </w:rPr>
            </w:pPr>
            <w:r>
              <w:rPr>
                <w:sz w:val="22"/>
              </w:rPr>
              <w:t>Gumecindo Rivas Rodríguez (18/7/2014)</w:t>
            </w:r>
          </w:p>
        </w:tc>
        <w:tc>
          <w:tcPr>
            <w:tcW w:w="1418" w:type="dxa"/>
          </w:tcPr>
          <w:p>
            <w:pPr>
              <w:pStyle w:val="TableParagraph"/>
              <w:spacing w:line="252" w:lineRule="exact" w:before="2"/>
              <w:ind w:left="100" w:right="101"/>
              <w:rPr>
                <w:sz w:val="22"/>
              </w:rPr>
            </w:pPr>
            <w:r>
              <w:rPr>
                <w:sz w:val="22"/>
              </w:rPr>
              <w:t>Pescar y el campo</w:t>
            </w:r>
          </w:p>
        </w:tc>
        <w:tc>
          <w:tcPr>
            <w:tcW w:w="1841" w:type="dxa"/>
          </w:tcPr>
          <w:p>
            <w:pPr>
              <w:pStyle w:val="TableParagraph"/>
              <w:ind w:left="100" w:right="309"/>
              <w:rPr>
                <w:sz w:val="22"/>
              </w:rPr>
            </w:pPr>
            <w:r>
              <w:rPr>
                <w:sz w:val="22"/>
              </w:rPr>
              <w:t>Cooperativa “Rivas Islas” (7</w:t>
            </w:r>
            <w:r>
              <w:rPr>
                <w:spacing w:val="-3"/>
                <w:sz w:val="22"/>
              </w:rPr>
              <w:t> </w:t>
            </w:r>
            <w:r>
              <w:rPr>
                <w:sz w:val="22"/>
              </w:rPr>
              <w:t>integrantes)</w:t>
            </w:r>
          </w:p>
        </w:tc>
        <w:tc>
          <w:tcPr>
            <w:tcW w:w="1135" w:type="dxa"/>
          </w:tcPr>
          <w:p>
            <w:pPr>
              <w:pStyle w:val="TableParagraph"/>
              <w:spacing w:line="252" w:lineRule="exact" w:before="2"/>
              <w:ind w:right="134"/>
              <w:rPr>
                <w:sz w:val="22"/>
              </w:rPr>
            </w:pPr>
            <w:r>
              <w:rPr>
                <w:sz w:val="22"/>
              </w:rPr>
              <w:t>Presiden te</w:t>
            </w:r>
          </w:p>
        </w:tc>
        <w:tc>
          <w:tcPr>
            <w:tcW w:w="991" w:type="dxa"/>
          </w:tcPr>
          <w:p>
            <w:pPr>
              <w:pStyle w:val="TableParagraph"/>
              <w:spacing w:line="252" w:lineRule="exact" w:before="2"/>
              <w:ind w:left="100" w:right="103"/>
              <w:rPr>
                <w:sz w:val="22"/>
              </w:rPr>
            </w:pPr>
            <w:r>
              <w:rPr>
                <w:sz w:val="22"/>
              </w:rPr>
              <w:t>Jilotepe c</w:t>
            </w:r>
          </w:p>
        </w:tc>
        <w:tc>
          <w:tcPr>
            <w:tcW w:w="1277" w:type="dxa"/>
          </w:tcPr>
          <w:p>
            <w:pPr>
              <w:pStyle w:val="TableParagraph"/>
              <w:spacing w:line="252" w:lineRule="exact" w:before="2"/>
              <w:ind w:right="178"/>
              <w:rPr>
                <w:sz w:val="22"/>
              </w:rPr>
            </w:pPr>
            <w:r>
              <w:rPr>
                <w:sz w:val="22"/>
              </w:rPr>
              <w:t>El Saltillo, Jilotepec</w:t>
            </w:r>
          </w:p>
        </w:tc>
        <w:tc>
          <w:tcPr>
            <w:tcW w:w="1133" w:type="dxa"/>
          </w:tcPr>
          <w:p>
            <w:pPr>
              <w:pStyle w:val="TableParagraph"/>
              <w:ind w:left="100" w:right="134"/>
              <w:rPr>
                <w:sz w:val="22"/>
              </w:rPr>
            </w:pPr>
            <w:r>
              <w:rPr>
                <w:sz w:val="22"/>
              </w:rPr>
              <w:t>El Saltillo, Jilotepec</w:t>
            </w:r>
          </w:p>
        </w:tc>
        <w:tc>
          <w:tcPr>
            <w:tcW w:w="1702" w:type="dxa"/>
          </w:tcPr>
          <w:p>
            <w:pPr>
              <w:pStyle w:val="TableParagraph"/>
              <w:tabs>
                <w:tab w:pos="1110" w:val="left" w:leader="none"/>
              </w:tabs>
              <w:ind w:right="98"/>
              <w:jc w:val="both"/>
              <w:rPr>
                <w:sz w:val="22"/>
              </w:rPr>
            </w:pPr>
            <w:r>
              <w:rPr>
                <w:sz w:val="22"/>
              </w:rPr>
              <w:t>No</w:t>
              <w:tab/>
              <w:t>tiene pescado, el año pasado se acabó.</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
              <w:ind w:right="99"/>
              <w:jc w:val="both"/>
              <w:rPr>
                <w:sz w:val="22"/>
              </w:rPr>
            </w:pPr>
            <w:r>
              <w:rPr>
                <w:sz w:val="22"/>
              </w:rPr>
              <w:t>También se está muriendo el pescado</w:t>
            </w:r>
          </w:p>
        </w:tc>
        <w:tc>
          <w:tcPr>
            <w:tcW w:w="1985" w:type="dxa"/>
          </w:tcPr>
          <w:p>
            <w:pPr>
              <w:pStyle w:val="TableParagraph"/>
              <w:ind w:right="98"/>
              <w:jc w:val="both"/>
              <w:rPr>
                <w:sz w:val="22"/>
              </w:rPr>
            </w:pPr>
            <w:r>
              <w:rPr>
                <w:sz w:val="22"/>
              </w:rPr>
              <w:t>Porque según la iban a arreglar y se registraron alrededor de 230 pescadores  de los cuales sólo quedaron 170 y sólo se otorgaran 90 permisos.</w:t>
            </w:r>
          </w:p>
          <w:p>
            <w:pPr>
              <w:pStyle w:val="TableParagraph"/>
              <w:ind w:left="0"/>
              <w:rPr>
                <w:rFonts w:ascii="Times New Roman"/>
                <w:sz w:val="22"/>
              </w:rPr>
            </w:pPr>
          </w:p>
          <w:p>
            <w:pPr>
              <w:pStyle w:val="TableParagraph"/>
              <w:jc w:val="both"/>
              <w:rPr>
                <w:sz w:val="22"/>
              </w:rPr>
            </w:pPr>
            <w:r>
              <w:rPr>
                <w:sz w:val="22"/>
              </w:rPr>
              <w:t>No sé por qué.</w:t>
            </w:r>
          </w:p>
        </w:tc>
      </w:tr>
      <w:tr>
        <w:trPr>
          <w:trHeight w:val="268" w:hRule="exact"/>
        </w:trPr>
        <w:tc>
          <w:tcPr>
            <w:tcW w:w="1385" w:type="dxa"/>
            <w:tcBorders>
              <w:bottom w:val="nil"/>
            </w:tcBorders>
          </w:tcPr>
          <w:p>
            <w:pPr>
              <w:pStyle w:val="TableParagraph"/>
              <w:spacing w:line="251" w:lineRule="exact"/>
              <w:ind w:right="127"/>
              <w:rPr>
                <w:sz w:val="22"/>
              </w:rPr>
            </w:pPr>
            <w:r>
              <w:rPr>
                <w:sz w:val="22"/>
              </w:rPr>
              <w:t>Fortino</w:t>
            </w:r>
          </w:p>
        </w:tc>
        <w:tc>
          <w:tcPr>
            <w:tcW w:w="1418" w:type="dxa"/>
            <w:tcBorders>
              <w:bottom w:val="nil"/>
            </w:tcBorders>
          </w:tcPr>
          <w:p>
            <w:pPr>
              <w:pStyle w:val="TableParagraph"/>
              <w:spacing w:line="251" w:lineRule="exact"/>
              <w:ind w:left="100"/>
              <w:rPr>
                <w:sz w:val="22"/>
              </w:rPr>
            </w:pPr>
            <w:r>
              <w:rPr>
                <w:sz w:val="22"/>
              </w:rPr>
              <w:t>El  campo</w:t>
            </w:r>
            <w:r>
              <w:rPr>
                <w:spacing w:val="53"/>
                <w:sz w:val="22"/>
              </w:rPr>
              <w:t> </w:t>
            </w:r>
            <w:r>
              <w:rPr>
                <w:sz w:val="22"/>
              </w:rPr>
              <w:t>y</w:t>
            </w:r>
          </w:p>
        </w:tc>
        <w:tc>
          <w:tcPr>
            <w:tcW w:w="1841" w:type="dxa"/>
            <w:tcBorders>
              <w:bottom w:val="nil"/>
            </w:tcBorders>
          </w:tcPr>
          <w:p>
            <w:pPr>
              <w:pStyle w:val="TableParagraph"/>
              <w:spacing w:line="251" w:lineRule="exact"/>
              <w:ind w:left="100"/>
              <w:rPr>
                <w:sz w:val="22"/>
              </w:rPr>
            </w:pPr>
            <w:r>
              <w:rPr>
                <w:sz w:val="22"/>
              </w:rPr>
              <w:t>Cooperatica</w:t>
            </w:r>
          </w:p>
        </w:tc>
        <w:tc>
          <w:tcPr>
            <w:tcW w:w="1135" w:type="dxa"/>
            <w:tcBorders>
              <w:bottom w:val="nil"/>
            </w:tcBorders>
          </w:tcPr>
          <w:p>
            <w:pPr>
              <w:pStyle w:val="TableParagraph"/>
              <w:spacing w:line="251" w:lineRule="exact"/>
              <w:rPr>
                <w:sz w:val="22"/>
              </w:rPr>
            </w:pPr>
            <w:r>
              <w:rPr>
                <w:sz w:val="22"/>
              </w:rPr>
              <w:t>Tesorero</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El</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La</w:t>
            </w:r>
          </w:p>
        </w:tc>
        <w:tc>
          <w:tcPr>
            <w:tcW w:w="1985" w:type="dxa"/>
            <w:tcBorders>
              <w:bottom w:val="nil"/>
            </w:tcBorders>
          </w:tcPr>
          <w:p>
            <w:pPr>
              <w:pStyle w:val="TableParagraph"/>
              <w:spacing w:line="251" w:lineRule="exact"/>
              <w:rPr>
                <w:sz w:val="22"/>
              </w:rPr>
            </w:pPr>
            <w:r>
              <w:rPr>
                <w:sz w:val="22"/>
              </w:rPr>
              <w:t>Por  los </w:t>
            </w:r>
            <w:r>
              <w:rPr>
                <w:spacing w:val="56"/>
                <w:sz w:val="22"/>
              </w:rPr>
              <w:t> </w:t>
            </w:r>
            <w:r>
              <w:rPr>
                <w:sz w:val="22"/>
              </w:rPr>
              <w:t>drenajes</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Martínez</w:t>
            </w:r>
          </w:p>
        </w:tc>
        <w:tc>
          <w:tcPr>
            <w:tcW w:w="1418" w:type="dxa"/>
            <w:tcBorders>
              <w:top w:val="nil"/>
              <w:bottom w:val="nil"/>
            </w:tcBorders>
          </w:tcPr>
          <w:p>
            <w:pPr>
              <w:pStyle w:val="TableParagraph"/>
              <w:spacing w:line="243" w:lineRule="exact"/>
              <w:ind w:left="100" w:right="101"/>
              <w:rPr>
                <w:sz w:val="22"/>
              </w:rPr>
            </w:pPr>
            <w:r>
              <w:rPr>
                <w:sz w:val="22"/>
              </w:rPr>
              <w:t>la pesca</w:t>
            </w:r>
          </w:p>
        </w:tc>
        <w:tc>
          <w:tcPr>
            <w:tcW w:w="1841" w:type="dxa"/>
            <w:tcBorders>
              <w:top w:val="nil"/>
              <w:bottom w:val="nil"/>
            </w:tcBorders>
          </w:tcPr>
          <w:p>
            <w:pPr>
              <w:pStyle w:val="TableParagraph"/>
              <w:spacing w:line="243" w:lineRule="exact"/>
              <w:ind w:left="100"/>
              <w:rPr>
                <w:sz w:val="22"/>
              </w:rPr>
            </w:pPr>
            <w:r>
              <w:rPr>
                <w:sz w:val="22"/>
              </w:rPr>
              <w:t>“Pescamex”</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3" w:lineRule="exact"/>
              <w:ind w:right="92"/>
              <w:rPr>
                <w:sz w:val="22"/>
              </w:rPr>
            </w:pPr>
            <w:r>
              <w:rPr>
                <w:sz w:val="22"/>
              </w:rPr>
              <w:t>Azafrán,</w:t>
            </w:r>
          </w:p>
        </w:tc>
        <w:tc>
          <w:tcPr>
            <w:tcW w:w="1133" w:type="dxa"/>
            <w:tcBorders>
              <w:top w:val="nil"/>
              <w:bottom w:val="nil"/>
            </w:tcBorders>
          </w:tcPr>
          <w:p>
            <w:pPr>
              <w:pStyle w:val="TableParagraph"/>
              <w:spacing w:line="243" w:lineRule="exact"/>
              <w:ind w:left="100" w:right="52"/>
              <w:rPr>
                <w:sz w:val="22"/>
              </w:rPr>
            </w:pPr>
            <w:r>
              <w:rPr>
                <w:sz w:val="22"/>
              </w:rPr>
              <w:t>Azafrán,</w:t>
            </w:r>
          </w:p>
        </w:tc>
        <w:tc>
          <w:tcPr>
            <w:tcW w:w="1702" w:type="dxa"/>
            <w:tcBorders>
              <w:top w:val="nil"/>
              <w:bottom w:val="nil"/>
            </w:tcBorders>
          </w:tcPr>
          <w:p>
            <w:pPr>
              <w:pStyle w:val="TableParagraph"/>
              <w:spacing w:line="243" w:lineRule="exact"/>
              <w:rPr>
                <w:sz w:val="22"/>
              </w:rPr>
            </w:pPr>
            <w:r>
              <w:rPr>
                <w:sz w:val="22"/>
              </w:rPr>
              <w:t>contaminación</w:t>
            </w:r>
          </w:p>
        </w:tc>
        <w:tc>
          <w:tcPr>
            <w:tcW w:w="1985" w:type="dxa"/>
            <w:tcBorders>
              <w:top w:val="nil"/>
              <w:bottom w:val="nil"/>
            </w:tcBorders>
          </w:tcPr>
          <w:p>
            <w:pPr>
              <w:pStyle w:val="TableParagraph"/>
              <w:tabs>
                <w:tab w:pos="566" w:val="left" w:leader="none"/>
                <w:tab w:pos="1175" w:val="left" w:leader="none"/>
              </w:tabs>
              <w:spacing w:line="243" w:lineRule="exact"/>
              <w:rPr>
                <w:sz w:val="22"/>
              </w:rPr>
            </w:pPr>
            <w:r>
              <w:rPr>
                <w:sz w:val="22"/>
              </w:rPr>
              <w:t>de</w:t>
              <w:tab/>
              <w:t>San</w:t>
              <w:tab/>
              <w:t>Andrés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Cristobal</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(estaba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
        </w:tc>
        <w:tc>
          <w:tcPr>
            <w:tcW w:w="1985" w:type="dxa"/>
            <w:tcBorders>
              <w:top w:val="nil"/>
              <w:bottom w:val="nil"/>
            </w:tcBorders>
          </w:tcPr>
          <w:p>
            <w:pPr>
              <w:pStyle w:val="TableParagraph"/>
              <w:tabs>
                <w:tab w:pos="1165" w:val="left" w:leader="none"/>
                <w:tab w:pos="1503" w:val="left" w:leader="none"/>
              </w:tabs>
              <w:spacing w:line="241" w:lineRule="exact"/>
              <w:rPr>
                <w:sz w:val="22"/>
              </w:rPr>
            </w:pPr>
            <w:r>
              <w:rPr>
                <w:sz w:val="22"/>
              </w:rPr>
              <w:t>Timilpan</w:t>
              <w:tab/>
              <w:t>y</w:t>
              <w:tab/>
              <w:t>una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1" w:lineRule="exact"/>
              <w:ind w:left="100"/>
              <w:rPr>
                <w:sz w:val="22"/>
              </w:rPr>
            </w:pPr>
            <w:r>
              <w:rPr>
                <w:sz w:val="22"/>
              </w:rPr>
              <w:t>integrada</w:t>
              <w:tab/>
              <w:t>por</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fábrica que no  sé</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822" w:val="left" w:leader="none"/>
              </w:tabs>
              <w:spacing w:line="242" w:lineRule="exact"/>
              <w:ind w:left="100"/>
              <w:rPr>
                <w:sz w:val="22"/>
              </w:rPr>
            </w:pPr>
            <w:r>
              <w:rPr>
                <w:sz w:val="22"/>
              </w:rPr>
              <w:t>300</w:t>
              <w:tab/>
              <w:t>personas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849" w:val="left" w:leader="none"/>
                <w:tab w:pos="1288" w:val="left" w:leader="none"/>
              </w:tabs>
              <w:spacing w:line="242" w:lineRule="exact"/>
              <w:rPr>
                <w:sz w:val="22"/>
              </w:rPr>
            </w:pPr>
            <w:r>
              <w:rPr>
                <w:sz w:val="22"/>
              </w:rPr>
              <w:t>cómo</w:t>
              <w:tab/>
              <w:t>se</w:t>
              <w:tab/>
              <w:t>llama,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en  un  principio,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137" w:val="left" w:leader="none"/>
                <w:tab w:pos="1703" w:val="left" w:leader="none"/>
              </w:tabs>
              <w:spacing w:line="241" w:lineRule="exact"/>
              <w:rPr>
                <w:sz w:val="22"/>
              </w:rPr>
            </w:pPr>
            <w:r>
              <w:rPr>
                <w:sz w:val="22"/>
              </w:rPr>
              <w:t>también</w:t>
              <w:tab/>
              <w:t>por</w:t>
              <w:tab/>
              <w:t>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97" w:val="left" w:leader="none"/>
              </w:tabs>
              <w:spacing w:line="242" w:lineRule="exact"/>
              <w:ind w:left="100"/>
              <w:rPr>
                <w:sz w:val="22"/>
              </w:rPr>
            </w:pPr>
            <w:r>
              <w:rPr>
                <w:sz w:val="22"/>
              </w:rPr>
              <w:t>pero</w:t>
              <w:tab/>
              <w:t>se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hierba, había lirio,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anotaron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pero ya se limpió.</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muchos  que  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eran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No hay agua.</w:t>
            </w:r>
          </w:p>
        </w:tc>
        <w:tc>
          <w:tcPr>
            <w:tcW w:w="1985" w:type="dxa"/>
            <w:tcBorders>
              <w:top w:val="nil"/>
              <w:bottom w:val="nil"/>
            </w:tcBorders>
          </w:tcPr>
          <w:p>
            <w:pPr>
              <w:pStyle w:val="TableParagraph"/>
              <w:tabs>
                <w:tab w:pos="1105" w:val="left" w:leader="none"/>
                <w:tab w:pos="1628" w:val="left" w:leader="none"/>
              </w:tabs>
              <w:spacing w:line="242" w:lineRule="exact"/>
              <w:rPr>
                <w:sz w:val="22"/>
              </w:rPr>
            </w:pPr>
            <w:r>
              <w:rPr>
                <w:sz w:val="22"/>
              </w:rPr>
              <w:t>Porque</w:t>
              <w:tab/>
              <w:t>ya</w:t>
              <w:tab/>
              <w:t>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19" w:val="left" w:leader="none"/>
              </w:tabs>
              <w:spacing w:line="241" w:lineRule="exact"/>
              <w:ind w:left="100"/>
              <w:rPr>
                <w:sz w:val="22"/>
              </w:rPr>
            </w:pPr>
            <w:r>
              <w:rPr>
                <w:sz w:val="22"/>
              </w:rPr>
              <w:t>pescadores</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llueve mucho.</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324" w:val="left" w:leader="none"/>
              </w:tabs>
              <w:spacing w:line="243" w:lineRule="exact"/>
              <w:ind w:left="100"/>
              <w:rPr>
                <w:sz w:val="22"/>
              </w:rPr>
            </w:pPr>
            <w:r>
              <w:rPr>
                <w:sz w:val="22"/>
              </w:rPr>
              <w:t>ahora</w:t>
              <w:tab/>
              <w:t>sólo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quedamos 70).</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9" w:hRule="exact"/>
        </w:trPr>
        <w:tc>
          <w:tcPr>
            <w:tcW w:w="1385" w:type="dxa"/>
            <w:tcBorders>
              <w:bottom w:val="nil"/>
            </w:tcBorders>
          </w:tcPr>
          <w:p>
            <w:pPr>
              <w:pStyle w:val="TableParagraph"/>
              <w:ind w:left="165" w:right="127"/>
              <w:rPr>
                <w:sz w:val="22"/>
              </w:rPr>
            </w:pPr>
            <w:r>
              <w:rPr>
                <w:sz w:val="22"/>
              </w:rPr>
              <w:t>Malaquías</w:t>
            </w:r>
          </w:p>
        </w:tc>
        <w:tc>
          <w:tcPr>
            <w:tcW w:w="1418" w:type="dxa"/>
            <w:tcBorders>
              <w:bottom w:val="nil"/>
            </w:tcBorders>
          </w:tcPr>
          <w:p>
            <w:pPr>
              <w:pStyle w:val="TableParagraph"/>
              <w:ind w:left="151" w:right="101"/>
              <w:rPr>
                <w:sz w:val="22"/>
              </w:rPr>
            </w:pPr>
            <w:r>
              <w:rPr>
                <w:sz w:val="22"/>
              </w:rPr>
              <w:t>Agricultor y</w:t>
            </w:r>
          </w:p>
        </w:tc>
        <w:tc>
          <w:tcPr>
            <w:tcW w:w="1841" w:type="dxa"/>
            <w:tcBorders>
              <w:bottom w:val="nil"/>
            </w:tcBorders>
          </w:tcPr>
          <w:p>
            <w:pPr>
              <w:pStyle w:val="TableParagraph"/>
              <w:ind w:left="100"/>
              <w:rPr>
                <w:sz w:val="22"/>
              </w:rPr>
            </w:pPr>
            <w:r>
              <w:rPr>
                <w:sz w:val="22"/>
              </w:rPr>
              <w:t>No   recuerdo</w:t>
            </w:r>
            <w:r>
              <w:rPr>
                <w:spacing w:val="59"/>
                <w:sz w:val="22"/>
              </w:rPr>
              <w:t> </w:t>
            </w:r>
            <w:r>
              <w:rPr>
                <w:sz w:val="22"/>
              </w:rPr>
              <w:t>el</w:t>
            </w:r>
          </w:p>
        </w:tc>
        <w:tc>
          <w:tcPr>
            <w:tcW w:w="1135" w:type="dxa"/>
            <w:tcBorders>
              <w:bottom w:val="nil"/>
            </w:tcBorders>
          </w:tcPr>
          <w:p>
            <w:pPr>
              <w:pStyle w:val="TableParagraph"/>
              <w:rPr>
                <w:sz w:val="22"/>
              </w:rPr>
            </w:pPr>
            <w:r>
              <w:rPr>
                <w:sz w:val="22"/>
              </w:rPr>
              <w:t>Inegrant</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Zaragoza,</w:t>
            </w:r>
          </w:p>
        </w:tc>
        <w:tc>
          <w:tcPr>
            <w:tcW w:w="1133" w:type="dxa"/>
            <w:tcBorders>
              <w:bottom w:val="nil"/>
            </w:tcBorders>
          </w:tcPr>
          <w:p>
            <w:pPr>
              <w:pStyle w:val="TableParagraph"/>
              <w:ind w:left="100" w:right="52"/>
              <w:rPr>
                <w:sz w:val="22"/>
              </w:rPr>
            </w:pPr>
            <w:r>
              <w:rPr>
                <w:sz w:val="22"/>
              </w:rPr>
              <w:t>Zaragoz</w:t>
            </w:r>
          </w:p>
        </w:tc>
        <w:tc>
          <w:tcPr>
            <w:tcW w:w="1702" w:type="dxa"/>
            <w:tcBorders>
              <w:bottom w:val="nil"/>
            </w:tcBorders>
          </w:tcPr>
          <w:p>
            <w:pPr>
              <w:pStyle w:val="TableParagraph"/>
              <w:rPr>
                <w:sz w:val="22"/>
              </w:rPr>
            </w:pPr>
            <w:r>
              <w:rPr>
                <w:sz w:val="22"/>
              </w:rPr>
              <w:t>Lirios   que  no</w:t>
            </w:r>
          </w:p>
        </w:tc>
        <w:tc>
          <w:tcPr>
            <w:tcW w:w="1985" w:type="dxa"/>
            <w:tcBorders>
              <w:bottom w:val="nil"/>
            </w:tcBorders>
          </w:tcPr>
          <w:p>
            <w:pPr>
              <w:pStyle w:val="TableParagraph"/>
              <w:rPr>
                <w:sz w:val="22"/>
              </w:rPr>
            </w:pPr>
            <w:r>
              <w:rPr>
                <w:sz w:val="22"/>
              </w:rPr>
              <w:t>Porque  antes  no</w:t>
            </w:r>
          </w:p>
        </w:tc>
      </w:tr>
      <w:tr>
        <w:trPr>
          <w:trHeight w:val="252" w:hRule="exact"/>
        </w:trPr>
        <w:tc>
          <w:tcPr>
            <w:tcW w:w="1385" w:type="dxa"/>
            <w:tcBorders>
              <w:top w:val="nil"/>
              <w:bottom w:val="nil"/>
            </w:tcBorders>
          </w:tcPr>
          <w:p>
            <w:pPr>
              <w:pStyle w:val="TableParagraph"/>
              <w:spacing w:line="241" w:lineRule="exact"/>
              <w:rPr>
                <w:sz w:val="22"/>
              </w:rPr>
            </w:pPr>
            <w:r>
              <w:rPr>
                <w:sz w:val="22"/>
              </w:rPr>
              <w:t>de  la  Cruz</w:t>
            </w:r>
          </w:p>
        </w:tc>
        <w:tc>
          <w:tcPr>
            <w:tcW w:w="1418" w:type="dxa"/>
            <w:tcBorders>
              <w:top w:val="nil"/>
              <w:bottom w:val="nil"/>
            </w:tcBorders>
          </w:tcPr>
          <w:p>
            <w:pPr>
              <w:pStyle w:val="TableParagraph"/>
              <w:spacing w:line="241" w:lineRule="exact"/>
              <w:ind w:left="100"/>
              <w:rPr>
                <w:sz w:val="22"/>
              </w:rPr>
            </w:pPr>
            <w:r>
              <w:rPr>
                <w:sz w:val="22"/>
              </w:rPr>
              <w:t>era la pesca</w:t>
            </w:r>
          </w:p>
        </w:tc>
        <w:tc>
          <w:tcPr>
            <w:tcW w:w="1841" w:type="dxa"/>
            <w:tcBorders>
              <w:top w:val="nil"/>
              <w:bottom w:val="nil"/>
            </w:tcBorders>
          </w:tcPr>
          <w:p>
            <w:pPr>
              <w:pStyle w:val="TableParagraph"/>
              <w:spacing w:line="241" w:lineRule="exact"/>
              <w:ind w:left="100"/>
              <w:rPr>
                <w:sz w:val="22"/>
              </w:rPr>
            </w:pPr>
            <w:r>
              <w:rPr>
                <w:sz w:val="22"/>
              </w:rPr>
              <w:t>nombre   porque</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w:t>
            </w:r>
          </w:p>
        </w:tc>
        <w:tc>
          <w:tcPr>
            <w:tcW w:w="1702" w:type="dxa"/>
            <w:tcBorders>
              <w:top w:val="nil"/>
              <w:bottom w:val="nil"/>
            </w:tcBorders>
          </w:tcPr>
          <w:p>
            <w:pPr>
              <w:pStyle w:val="TableParagraph"/>
              <w:spacing w:line="241" w:lineRule="exact"/>
              <w:rPr>
                <w:sz w:val="22"/>
              </w:rPr>
            </w:pPr>
            <w:r>
              <w:rPr>
                <w:sz w:val="22"/>
              </w:rPr>
              <w:t>dejan  capturar</w:t>
            </w:r>
          </w:p>
        </w:tc>
        <w:tc>
          <w:tcPr>
            <w:tcW w:w="1985" w:type="dxa"/>
            <w:tcBorders>
              <w:top w:val="nil"/>
              <w:bottom w:val="nil"/>
            </w:tcBorders>
          </w:tcPr>
          <w:p>
            <w:pPr>
              <w:pStyle w:val="TableParagraph"/>
              <w:spacing w:line="241" w:lineRule="exact"/>
              <w:rPr>
                <w:sz w:val="22"/>
              </w:rPr>
            </w:pPr>
            <w:r>
              <w:rPr>
                <w:sz w:val="22"/>
              </w:rPr>
              <w:t>había   lirio  ahora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Nicolás</w:t>
            </w:r>
          </w:p>
        </w:tc>
        <w:tc>
          <w:tcPr>
            <w:tcW w:w="1418" w:type="dxa"/>
            <w:tcBorders>
              <w:top w:val="nil"/>
              <w:bottom w:val="nil"/>
            </w:tcBorders>
          </w:tcPr>
          <w:p>
            <w:pPr>
              <w:pStyle w:val="TableParagraph"/>
              <w:spacing w:line="241" w:lineRule="exact"/>
              <w:ind w:left="211" w:right="101"/>
              <w:rPr>
                <w:sz w:val="22"/>
              </w:rPr>
            </w:pPr>
            <w:r>
              <w:rPr>
                <w:sz w:val="22"/>
              </w:rPr>
              <w:t>porque ya</w:t>
            </w:r>
          </w:p>
        </w:tc>
        <w:tc>
          <w:tcPr>
            <w:tcW w:w="1841" w:type="dxa"/>
            <w:tcBorders>
              <w:top w:val="nil"/>
              <w:bottom w:val="nil"/>
            </w:tcBorders>
          </w:tcPr>
          <w:p>
            <w:pPr>
              <w:pStyle w:val="TableParagraph"/>
              <w:spacing w:line="241" w:lineRule="exact"/>
              <w:ind w:left="100"/>
              <w:rPr>
                <w:sz w:val="22"/>
              </w:rPr>
            </w:pPr>
            <w:r>
              <w:rPr>
                <w:sz w:val="22"/>
              </w:rPr>
              <w:t>ya tiene tiempo.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tabs>
                <w:tab w:pos="940" w:val="left" w:leader="none"/>
              </w:tabs>
              <w:spacing w:line="241" w:lineRule="exact"/>
              <w:rPr>
                <w:sz w:val="22"/>
              </w:rPr>
            </w:pPr>
            <w:r>
              <w:rPr>
                <w:sz w:val="22"/>
              </w:rPr>
              <w:t>los</w:t>
              <w:tab/>
              <w:t>peces.</w:t>
            </w:r>
          </w:p>
        </w:tc>
        <w:tc>
          <w:tcPr>
            <w:tcW w:w="1985" w:type="dxa"/>
            <w:tcBorders>
              <w:top w:val="nil"/>
              <w:bottom w:val="nil"/>
            </w:tcBorders>
          </w:tcPr>
          <w:p>
            <w:pPr>
              <w:pStyle w:val="TableParagraph"/>
              <w:spacing w:line="241" w:lineRule="exact"/>
              <w:rPr>
                <w:sz w:val="22"/>
              </w:rPr>
            </w:pPr>
            <w:r>
              <w:rPr>
                <w:sz w:val="22"/>
              </w:rPr>
              <w:t>se llenó.</w:t>
            </w:r>
          </w:p>
        </w:tc>
      </w:tr>
      <w:tr>
        <w:trPr>
          <w:trHeight w:val="248" w:hRule="exact"/>
        </w:trPr>
        <w:tc>
          <w:tcPr>
            <w:tcW w:w="1385" w:type="dxa"/>
            <w:tcBorders>
              <w:top w:val="nil"/>
            </w:tcBorders>
          </w:tcPr>
          <w:p>
            <w:pPr>
              <w:pStyle w:val="TableParagraph"/>
              <w:spacing w:line="242" w:lineRule="exact"/>
              <w:ind w:right="127"/>
              <w:rPr>
                <w:sz w:val="22"/>
              </w:rPr>
            </w:pPr>
            <w:r>
              <w:rPr>
                <w:sz w:val="22"/>
              </w:rPr>
              <w:t>(24/I/2015)</w:t>
            </w:r>
          </w:p>
        </w:tc>
        <w:tc>
          <w:tcPr>
            <w:tcW w:w="1418" w:type="dxa"/>
            <w:tcBorders>
              <w:top w:val="nil"/>
            </w:tcBorders>
          </w:tcPr>
          <w:p>
            <w:pPr>
              <w:pStyle w:val="TableParagraph"/>
              <w:spacing w:line="242" w:lineRule="exact"/>
              <w:ind w:left="372" w:right="101"/>
              <w:rPr>
                <w:sz w:val="22"/>
              </w:rPr>
            </w:pPr>
            <w:r>
              <w:rPr>
                <w:sz w:val="22"/>
              </w:rPr>
              <w:t>no hay</w:t>
            </w:r>
          </w:p>
        </w:tc>
        <w:tc>
          <w:tcPr>
            <w:tcW w:w="1841" w:type="dxa"/>
            <w:tcBorders>
              <w:top w:val="nil"/>
            </w:tcBorders>
          </w:tcPr>
          <w:p>
            <w:pPr>
              <w:pStyle w:val="TableParagraph"/>
              <w:spacing w:line="242" w:lineRule="exact"/>
              <w:ind w:left="100"/>
              <w:rPr>
                <w:sz w:val="22"/>
              </w:rPr>
            </w:pPr>
            <w:r>
              <w:rPr>
                <w:sz w:val="22"/>
              </w:rPr>
              <w:t>(10 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Deje de pescar</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vMerge w:val="restart"/>
          </w:tcPr>
          <w:p>
            <w:pPr/>
          </w:p>
        </w:tc>
        <w:tc>
          <w:tcPr>
            <w:tcW w:w="1418" w:type="dxa"/>
            <w:tcBorders>
              <w:bottom w:val="nil"/>
            </w:tcBorders>
          </w:tcPr>
          <w:p>
            <w:pPr>
              <w:pStyle w:val="TableParagraph"/>
              <w:spacing w:line="251" w:lineRule="exact"/>
              <w:ind w:left="102" w:right="104"/>
              <w:jc w:val="center"/>
              <w:rPr>
                <w:sz w:val="22"/>
              </w:rPr>
            </w:pPr>
            <w:r>
              <w:rPr>
                <w:sz w:val="22"/>
              </w:rPr>
              <w:t>pescado</w:t>
            </w:r>
          </w:p>
        </w:tc>
        <w:tc>
          <w:tcPr>
            <w:tcW w:w="1841" w:type="dxa"/>
            <w:vMerge w:val="restart"/>
          </w:tcPr>
          <w:p>
            <w:pPr/>
          </w:p>
        </w:tc>
        <w:tc>
          <w:tcPr>
            <w:tcW w:w="1135" w:type="dxa"/>
            <w:vMerge w:val="restart"/>
          </w:tcPr>
          <w:p>
            <w:pPr/>
          </w:p>
        </w:tc>
        <w:tc>
          <w:tcPr>
            <w:tcW w:w="991" w:type="dxa"/>
            <w:vMerge w:val="restart"/>
          </w:tcPr>
          <w:p>
            <w:pPr/>
          </w:p>
        </w:tc>
        <w:tc>
          <w:tcPr>
            <w:tcW w:w="1277" w:type="dxa"/>
            <w:vMerge w:val="restart"/>
          </w:tcPr>
          <w:p>
            <w:pPr/>
          </w:p>
        </w:tc>
        <w:tc>
          <w:tcPr>
            <w:tcW w:w="1133" w:type="dxa"/>
            <w:vMerge w:val="restart"/>
          </w:tcPr>
          <w:p>
            <w:pPr/>
          </w:p>
        </w:tc>
        <w:tc>
          <w:tcPr>
            <w:tcW w:w="1702" w:type="dxa"/>
            <w:tcBorders>
              <w:bottom w:val="nil"/>
            </w:tcBorders>
          </w:tcPr>
          <w:p>
            <w:pPr>
              <w:pStyle w:val="TableParagraph"/>
              <w:spacing w:line="251" w:lineRule="exact"/>
              <w:rPr>
                <w:sz w:val="22"/>
              </w:rPr>
            </w:pPr>
            <w:r>
              <w:rPr>
                <w:sz w:val="22"/>
              </w:rPr>
              <w:t>hace dos</w:t>
            </w:r>
            <w:r>
              <w:rPr>
                <w:spacing w:val="55"/>
                <w:sz w:val="22"/>
              </w:rPr>
              <w:t> </w:t>
            </w:r>
            <w:r>
              <w:rPr>
                <w:sz w:val="22"/>
              </w:rPr>
              <w:t>años</w:t>
            </w:r>
          </w:p>
        </w:tc>
        <w:tc>
          <w:tcPr>
            <w:tcW w:w="1985" w:type="dxa"/>
            <w:tcBorders>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por   la   hierba</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(lirio acuático),</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661" w:val="left" w:leader="none"/>
                <w:tab w:pos="1235" w:val="left" w:leader="none"/>
              </w:tabs>
              <w:spacing w:line="241" w:lineRule="exact"/>
              <w:rPr>
                <w:sz w:val="22"/>
              </w:rPr>
            </w:pPr>
            <w:r>
              <w:rPr>
                <w:sz w:val="22"/>
              </w:rPr>
              <w:t>ya</w:t>
              <w:tab/>
              <w:t>no</w:t>
              <w:tab/>
              <w:t>hay</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358" w:val="left" w:leader="none"/>
              </w:tabs>
              <w:spacing w:line="242" w:lineRule="exact"/>
              <w:rPr>
                <w:sz w:val="22"/>
              </w:rPr>
            </w:pPr>
            <w:r>
              <w:rPr>
                <w:sz w:val="22"/>
              </w:rPr>
              <w:t>pescado,</w:t>
              <w:tab/>
              <w:t>ya</w:t>
            </w:r>
          </w:p>
        </w:tc>
        <w:tc>
          <w:tcPr>
            <w:tcW w:w="1985" w:type="dxa"/>
            <w:tcBorders>
              <w:top w:val="nil"/>
              <w:bottom w:val="nil"/>
            </w:tcBorders>
          </w:tcPr>
          <w:p>
            <w:pPr/>
          </w:p>
        </w:tc>
      </w:tr>
      <w:tr>
        <w:trPr>
          <w:trHeight w:val="252"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hasta  lo  traen</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de   Pátzcuaro.</w:t>
            </w:r>
          </w:p>
        </w:tc>
        <w:tc>
          <w:tcPr>
            <w:tcW w:w="1985" w:type="dxa"/>
            <w:tcBorders>
              <w:top w:val="nil"/>
              <w:bottom w:val="nil"/>
            </w:tcBorders>
          </w:tcPr>
          <w:p>
            <w:pPr/>
          </w:p>
        </w:tc>
      </w:tr>
      <w:tr>
        <w:trPr>
          <w:trHeight w:val="254"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Hace dos años</w:t>
            </w:r>
          </w:p>
        </w:tc>
        <w:tc>
          <w:tcPr>
            <w:tcW w:w="1985" w:type="dxa"/>
            <w:tcBorders>
              <w:top w:val="nil"/>
              <w:bottom w:val="nil"/>
            </w:tcBorders>
          </w:tcPr>
          <w:p>
            <w:pPr/>
          </w:p>
        </w:tc>
      </w:tr>
      <w:tr>
        <w:trPr>
          <w:trHeight w:val="254"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539" w:val="left" w:leader="none"/>
                <w:tab w:pos="1220" w:val="left" w:leader="none"/>
              </w:tabs>
              <w:spacing w:line="241" w:lineRule="exact"/>
              <w:rPr>
                <w:sz w:val="22"/>
              </w:rPr>
            </w:pPr>
            <w:r>
              <w:rPr>
                <w:sz w:val="22"/>
              </w:rPr>
              <w:t>lo</w:t>
              <w:tab/>
              <w:t>más</w:t>
              <w:tab/>
              <w:t>que</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468" w:val="left" w:leader="none"/>
              </w:tabs>
              <w:spacing w:line="242" w:lineRule="exact"/>
              <w:rPr>
                <w:sz w:val="22"/>
              </w:rPr>
            </w:pPr>
            <w:r>
              <w:rPr>
                <w:sz w:val="22"/>
              </w:rPr>
              <w:t>llegue</w:t>
              <w:tab/>
              <w:t>a</w:t>
            </w:r>
          </w:p>
        </w:tc>
        <w:tc>
          <w:tcPr>
            <w:tcW w:w="1985" w:type="dxa"/>
            <w:tcBorders>
              <w:top w:val="nil"/>
              <w:bottom w:val="nil"/>
            </w:tcBorders>
          </w:tcPr>
          <w:p>
            <w:pPr/>
          </w:p>
        </w:tc>
      </w:tr>
      <w:tr>
        <w:trPr>
          <w:trHeight w:val="252"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pescar   fueron</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400</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kilogramos,</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343" w:val="left" w:leader="none"/>
              </w:tabs>
              <w:spacing w:line="241" w:lineRule="exact"/>
              <w:rPr>
                <w:sz w:val="22"/>
              </w:rPr>
            </w:pPr>
            <w:r>
              <w:rPr>
                <w:sz w:val="22"/>
              </w:rPr>
              <w:t>llenaba</w:t>
              <w:tab/>
              <w:t>un</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tambo  de  200</w:t>
            </w:r>
          </w:p>
        </w:tc>
        <w:tc>
          <w:tcPr>
            <w:tcW w:w="1985" w:type="dxa"/>
            <w:tcBorders>
              <w:top w:val="nil"/>
              <w:bottom w:val="nil"/>
            </w:tcBorders>
          </w:tcPr>
          <w:p>
            <w:pPr/>
          </w:p>
        </w:tc>
      </w:tr>
      <w:tr>
        <w:trPr>
          <w:trHeight w:val="252"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148" w:val="left" w:leader="none"/>
              </w:tabs>
              <w:spacing w:line="241" w:lineRule="exact"/>
              <w:rPr>
                <w:sz w:val="22"/>
              </w:rPr>
            </w:pPr>
            <w:r>
              <w:rPr>
                <w:sz w:val="22"/>
              </w:rPr>
              <w:t>litros,</w:t>
              <w:tab/>
              <w:t>pero</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hace  25  años</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traía</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camionetada</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221" w:val="left" w:leader="none"/>
              </w:tabs>
              <w:spacing w:line="242" w:lineRule="exact"/>
              <w:rPr>
                <w:sz w:val="22"/>
              </w:rPr>
            </w:pPr>
            <w:r>
              <w:rPr>
                <w:sz w:val="22"/>
              </w:rPr>
              <w:t>de</w:t>
              <w:tab/>
              <w:t>una</w:t>
            </w:r>
          </w:p>
        </w:tc>
        <w:tc>
          <w:tcPr>
            <w:tcW w:w="1985" w:type="dxa"/>
            <w:tcBorders>
              <w:top w:val="nil"/>
              <w:bottom w:val="nil"/>
            </w:tcBorders>
          </w:tcPr>
          <w:p>
            <w:pPr/>
          </w:p>
        </w:tc>
      </w:tr>
      <w:tr>
        <w:trPr>
          <w:trHeight w:val="252"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tonelada, tenía</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mucha mojarra</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484" w:val="left" w:leader="none"/>
                <w:tab w:pos="928" w:val="left" w:leader="none"/>
              </w:tabs>
              <w:spacing w:line="242" w:lineRule="exact"/>
              <w:rPr>
                <w:sz w:val="22"/>
              </w:rPr>
            </w:pPr>
            <w:r>
              <w:rPr>
                <w:sz w:val="22"/>
              </w:rPr>
              <w:t>y</w:t>
              <w:tab/>
              <w:t>la</w:t>
              <w:tab/>
              <w:t>vendía</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aquí   entre   la</w:t>
            </w:r>
          </w:p>
        </w:tc>
        <w:tc>
          <w:tcPr>
            <w:tcW w:w="1985" w:type="dxa"/>
            <w:tcBorders>
              <w:top w:val="nil"/>
              <w:bottom w:val="nil"/>
            </w:tcBorders>
          </w:tcPr>
          <w:p>
            <w:pPr/>
          </w:p>
        </w:tc>
      </w:tr>
      <w:tr>
        <w:trPr>
          <w:trHeight w:val="380"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gente.</w:t>
            </w:r>
          </w:p>
        </w:tc>
        <w:tc>
          <w:tcPr>
            <w:tcW w:w="1985" w:type="dxa"/>
            <w:tcBorders>
              <w:top w:val="nil"/>
              <w:bottom w:val="nil"/>
            </w:tcBorders>
          </w:tcPr>
          <w:p>
            <w:pPr/>
          </w:p>
        </w:tc>
      </w:tr>
      <w:tr>
        <w:trPr>
          <w:trHeight w:val="379"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before="115"/>
              <w:rPr>
                <w:sz w:val="22"/>
              </w:rPr>
            </w:pPr>
            <w:r>
              <w:rPr>
                <w:sz w:val="22"/>
              </w:rPr>
              <w:t>La</w:t>
            </w:r>
          </w:p>
        </w:tc>
        <w:tc>
          <w:tcPr>
            <w:tcW w:w="1985" w:type="dxa"/>
            <w:tcBorders>
              <w:top w:val="nil"/>
              <w:bottom w:val="nil"/>
            </w:tcBorders>
          </w:tcPr>
          <w:p>
            <w:pPr>
              <w:pStyle w:val="TableParagraph"/>
              <w:spacing w:before="115"/>
              <w:rPr>
                <w:sz w:val="22"/>
              </w:rPr>
            </w:pPr>
            <w:r>
              <w:rPr>
                <w:sz w:val="22"/>
              </w:rPr>
              <w:t>Porque ya no hay</w:t>
            </w:r>
          </w:p>
        </w:tc>
      </w:tr>
      <w:tr>
        <w:trPr>
          <w:trHeight w:val="252"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desaparición</w:t>
            </w:r>
          </w:p>
        </w:tc>
        <w:tc>
          <w:tcPr>
            <w:tcW w:w="1985" w:type="dxa"/>
            <w:tcBorders>
              <w:top w:val="nil"/>
              <w:bottom w:val="nil"/>
            </w:tcBorders>
          </w:tcPr>
          <w:p>
            <w:pPr>
              <w:pStyle w:val="TableParagraph"/>
              <w:tabs>
                <w:tab w:pos="1372" w:val="left" w:leader="none"/>
              </w:tabs>
              <w:spacing w:line="241" w:lineRule="exact"/>
              <w:rPr>
                <w:sz w:val="22"/>
              </w:rPr>
            </w:pPr>
            <w:r>
              <w:rPr>
                <w:sz w:val="22"/>
              </w:rPr>
              <w:t>acosil,</w:t>
              <w:tab/>
              <w:t>rana,</w:t>
            </w: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de especies en</w:t>
            </w:r>
          </w:p>
        </w:tc>
        <w:tc>
          <w:tcPr>
            <w:tcW w:w="1985" w:type="dxa"/>
            <w:tcBorders>
              <w:top w:val="nil"/>
              <w:bottom w:val="nil"/>
            </w:tcBorders>
          </w:tcPr>
          <w:p>
            <w:pPr>
              <w:pStyle w:val="TableParagraph"/>
              <w:spacing w:line="241" w:lineRule="exact"/>
              <w:rPr>
                <w:sz w:val="22"/>
              </w:rPr>
            </w:pPr>
            <w:r>
              <w:rPr>
                <w:sz w:val="22"/>
              </w:rPr>
              <w:t>ajolote.</w:t>
            </w:r>
          </w:p>
        </w:tc>
      </w:tr>
      <w:tr>
        <w:trPr>
          <w:trHeight w:val="249" w:hRule="exact"/>
        </w:trPr>
        <w:tc>
          <w:tcPr>
            <w:tcW w:w="1385" w:type="dxa"/>
            <w:vMerge/>
          </w:tcPr>
          <w:p>
            <w:pPr/>
          </w:p>
        </w:tc>
        <w:tc>
          <w:tcPr>
            <w:tcW w:w="1418" w:type="dxa"/>
            <w:tcBorders>
              <w:top w:val="nil"/>
            </w:tcBorders>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tcBorders>
          </w:tcPr>
          <w:p>
            <w:pPr>
              <w:pStyle w:val="TableParagraph"/>
              <w:spacing w:line="242" w:lineRule="exact"/>
              <w:rPr>
                <w:sz w:val="22"/>
              </w:rPr>
            </w:pPr>
            <w:r>
              <w:rPr>
                <w:sz w:val="22"/>
              </w:rPr>
              <w:t>la laguna.</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left="85" w:right="85"/>
              <w:jc w:val="center"/>
              <w:rPr>
                <w:sz w:val="22"/>
              </w:rPr>
            </w:pPr>
            <w:r>
              <w:rPr>
                <w:sz w:val="22"/>
              </w:rPr>
              <w:t>Anónimo</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No   recuerdo</w:t>
            </w:r>
            <w:r>
              <w:rPr>
                <w:spacing w:val="59"/>
                <w:sz w:val="22"/>
              </w:rPr>
              <w:t> </w:t>
            </w:r>
            <w:r>
              <w:rPr>
                <w:sz w:val="22"/>
              </w:rPr>
              <w:t>el</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1702" w:type="dxa"/>
            <w:tcBorders>
              <w:bottom w:val="nil"/>
            </w:tcBorders>
          </w:tcPr>
          <w:p>
            <w:pPr>
              <w:pStyle w:val="TableParagraph"/>
              <w:spacing w:line="251" w:lineRule="exact"/>
              <w:rPr>
                <w:sz w:val="22"/>
              </w:rPr>
            </w:pPr>
            <w:r>
              <w:rPr>
                <w:sz w:val="22"/>
              </w:rPr>
              <w:t>La</w:t>
            </w:r>
          </w:p>
        </w:tc>
        <w:tc>
          <w:tcPr>
            <w:tcW w:w="1985" w:type="dxa"/>
            <w:tcBorders>
              <w:bottom w:val="nil"/>
            </w:tcBorders>
          </w:tcPr>
          <w:p>
            <w:pPr>
              <w:pStyle w:val="TableParagraph"/>
              <w:tabs>
                <w:tab w:pos="1703" w:val="left" w:leader="none"/>
              </w:tabs>
              <w:spacing w:line="251" w:lineRule="exact"/>
              <w:rPr>
                <w:sz w:val="22"/>
              </w:rPr>
            </w:pPr>
            <w:r>
              <w:rPr>
                <w:sz w:val="22"/>
              </w:rPr>
              <w:t>Porque</w:t>
              <w:tab/>
              <w:t>la</w:t>
            </w: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(24/I/2015)</w:t>
            </w:r>
          </w:p>
        </w:tc>
        <w:tc>
          <w:tcPr>
            <w:tcW w:w="1418" w:type="dxa"/>
            <w:tcBorders>
              <w:top w:val="nil"/>
              <w:bottom w:val="nil"/>
            </w:tcBorders>
          </w:tcPr>
          <w:p>
            <w:pPr>
              <w:pStyle w:val="TableParagraph"/>
              <w:spacing w:line="242" w:lineRule="exact"/>
              <w:ind w:left="102" w:right="102"/>
              <w:jc w:val="center"/>
              <w:rPr>
                <w:sz w:val="22"/>
              </w:rPr>
            </w:pPr>
            <w:r>
              <w:rPr>
                <w:sz w:val="22"/>
              </w:rPr>
              <w:t>la pesca</w:t>
            </w:r>
          </w:p>
        </w:tc>
        <w:tc>
          <w:tcPr>
            <w:tcW w:w="1841" w:type="dxa"/>
            <w:tcBorders>
              <w:top w:val="nil"/>
              <w:bottom w:val="nil"/>
            </w:tcBorders>
          </w:tcPr>
          <w:p>
            <w:pPr>
              <w:pStyle w:val="TableParagraph"/>
              <w:tabs>
                <w:tab w:pos="1117" w:val="left" w:leader="none"/>
                <w:tab w:pos="1556" w:val="left" w:leader="none"/>
              </w:tabs>
              <w:spacing w:line="242" w:lineRule="exact"/>
              <w:ind w:left="100"/>
              <w:rPr>
                <w:sz w:val="22"/>
              </w:rPr>
            </w:pPr>
            <w:r>
              <w:rPr>
                <w:sz w:val="22"/>
              </w:rPr>
              <w:t>nombre</w:t>
              <w:tab/>
              <w:t>ni</w:t>
              <w:tab/>
              <w:t>el</w:t>
            </w:r>
          </w:p>
        </w:tc>
        <w:tc>
          <w:tcPr>
            <w:tcW w:w="1135" w:type="dxa"/>
            <w:tcBorders>
              <w:top w:val="nil"/>
              <w:bottom w:val="nil"/>
            </w:tcBorders>
          </w:tcPr>
          <w:p>
            <w:pPr>
              <w:pStyle w:val="TableParagraph"/>
              <w:spacing w:line="242" w:lineRule="exact"/>
              <w:rPr>
                <w:sz w:val="22"/>
              </w:rPr>
            </w:pPr>
            <w:r>
              <w:rPr>
                <w:w w:val="100"/>
                <w:sz w:val="22"/>
              </w:rPr>
              <w:t>e</w:t>
            </w: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Style w:val="TableParagraph"/>
              <w:spacing w:line="242" w:lineRule="exact"/>
              <w:ind w:right="92"/>
              <w:rPr>
                <w:sz w:val="22"/>
              </w:rPr>
            </w:pPr>
            <w:r>
              <w:rPr>
                <w:sz w:val="22"/>
              </w:rPr>
              <w:t>campesin</w:t>
            </w:r>
          </w:p>
        </w:tc>
        <w:tc>
          <w:tcPr>
            <w:tcW w:w="1133" w:type="dxa"/>
            <w:tcBorders>
              <w:top w:val="nil"/>
              <w:bottom w:val="nil"/>
            </w:tcBorders>
          </w:tcPr>
          <w:p>
            <w:pPr>
              <w:pStyle w:val="TableParagraph"/>
              <w:spacing w:line="242" w:lineRule="exact"/>
              <w:ind w:left="100" w:right="52"/>
              <w:rPr>
                <w:sz w:val="22"/>
              </w:rPr>
            </w:pPr>
            <w:r>
              <w:rPr>
                <w:sz w:val="22"/>
              </w:rPr>
              <w:t>campesi</w:t>
            </w:r>
          </w:p>
        </w:tc>
        <w:tc>
          <w:tcPr>
            <w:tcW w:w="1702" w:type="dxa"/>
            <w:tcBorders>
              <w:top w:val="nil"/>
              <w:bottom w:val="nil"/>
            </w:tcBorders>
          </w:tcPr>
          <w:p>
            <w:pPr>
              <w:pStyle w:val="TableParagraph"/>
              <w:spacing w:line="242" w:lineRule="exact"/>
              <w:rPr>
                <w:sz w:val="22"/>
              </w:rPr>
            </w:pPr>
            <w:r>
              <w:rPr>
                <w:sz w:val="22"/>
              </w:rPr>
              <w:t>contaminación</w:t>
            </w:r>
          </w:p>
        </w:tc>
        <w:tc>
          <w:tcPr>
            <w:tcW w:w="1985" w:type="dxa"/>
            <w:tcBorders>
              <w:top w:val="nil"/>
              <w:bottom w:val="nil"/>
            </w:tcBorders>
          </w:tcPr>
          <w:p>
            <w:pPr>
              <w:pStyle w:val="TableParagraph"/>
              <w:tabs>
                <w:tab w:pos="1444" w:val="left" w:leader="none"/>
              </w:tabs>
              <w:spacing w:line="242" w:lineRule="exact"/>
              <w:rPr>
                <w:sz w:val="22"/>
              </w:rPr>
            </w:pPr>
            <w:r>
              <w:rPr>
                <w:sz w:val="22"/>
              </w:rPr>
              <w:t>tratadora</w:t>
              <w:tab/>
              <w:t>todo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1" w:lineRule="exact"/>
              <w:ind w:left="100"/>
              <w:rPr>
                <w:sz w:val="22"/>
              </w:rPr>
            </w:pPr>
            <w:r>
              <w:rPr>
                <w:sz w:val="22"/>
              </w:rPr>
              <w:t>número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echa a la laguna.</w:t>
            </w: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2" w:lineRule="exact"/>
              <w:ind w:left="100"/>
              <w:rPr>
                <w:sz w:val="22"/>
              </w:rPr>
            </w:pPr>
            <w:r>
              <w:rPr>
                <w:sz w:val="22"/>
              </w:rPr>
              <w:t>integrantes</w:t>
            </w:r>
          </w:p>
        </w:tc>
        <w:tc>
          <w:tcPr>
            <w:tcW w:w="1135" w:type="dxa"/>
            <w:tcBorders>
              <w:top w:val="nil"/>
            </w:tcBorders>
          </w:tcPr>
          <w:p>
            <w:pPr/>
          </w:p>
        </w:tc>
        <w:tc>
          <w:tcPr>
            <w:tcW w:w="991" w:type="dxa"/>
            <w:tcBorders>
              <w:top w:val="nil"/>
            </w:tcBorders>
          </w:tcPr>
          <w:p>
            <w:pPr/>
          </w:p>
        </w:tc>
        <w:tc>
          <w:tcPr>
            <w:tcW w:w="1277" w:type="dxa"/>
            <w:tcBorders>
              <w:top w:val="nil"/>
            </w:tcBorders>
          </w:tcPr>
          <w:p>
            <w:pPr>
              <w:pStyle w:val="TableParagraph"/>
              <w:spacing w:line="242" w:lineRule="exact"/>
              <w:ind w:right="92"/>
              <w:rPr>
                <w:sz w:val="22"/>
              </w:rPr>
            </w:pPr>
            <w:r>
              <w:rPr>
                <w:sz w:val="22"/>
              </w:rPr>
              <w:t>Timilpan</w:t>
            </w:r>
          </w:p>
        </w:tc>
        <w:tc>
          <w:tcPr>
            <w:tcW w:w="1133" w:type="dxa"/>
            <w:tcBorders>
              <w:top w:val="nil"/>
            </w:tcBorders>
          </w:tcPr>
          <w:p>
            <w:pPr>
              <w:pStyle w:val="TableParagraph"/>
              <w:spacing w:line="242" w:lineRule="exact"/>
              <w:ind w:left="100" w:right="52"/>
              <w:rPr>
                <w:sz w:val="22"/>
              </w:rPr>
            </w:pPr>
            <w:r>
              <w:rPr>
                <w:sz w:val="22"/>
              </w:rPr>
              <w:t>Timilpan</w:t>
            </w:r>
          </w:p>
        </w:tc>
        <w:tc>
          <w:tcPr>
            <w:tcW w:w="1702" w:type="dxa"/>
            <w:tcBorders>
              <w:top w:val="nil"/>
            </w:tcBorders>
          </w:tcPr>
          <w:p>
            <w:pP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1526"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tabs>
                <w:tab w:pos="1417" w:val="left" w:leader="none"/>
              </w:tabs>
              <w:ind w:right="98"/>
              <w:jc w:val="both"/>
              <w:rPr>
                <w:sz w:val="22"/>
              </w:rPr>
            </w:pPr>
            <w:r>
              <w:rPr>
                <w:sz w:val="22"/>
              </w:rPr>
              <w:t>A los que vivimos cerca de la planta tratadora nos llega</w:t>
              <w:tab/>
              <w:t>la</w:t>
            </w:r>
          </w:p>
          <w:p>
            <w:pPr>
              <w:pStyle w:val="TableParagraph"/>
              <w:spacing w:line="252" w:lineRule="exact"/>
              <w:jc w:val="both"/>
              <w:rPr>
                <w:sz w:val="22"/>
              </w:rPr>
            </w:pPr>
            <w:r>
              <w:rPr>
                <w:sz w:val="22"/>
              </w:rPr>
              <w:t>pestilencia.</w:t>
            </w:r>
          </w:p>
        </w:tc>
        <w:tc>
          <w:tcPr>
            <w:tcW w:w="1985" w:type="dxa"/>
          </w:tcPr>
          <w:p>
            <w:pPr>
              <w:pStyle w:val="TableParagraph"/>
              <w:tabs>
                <w:tab w:pos="1703" w:val="left" w:leader="none"/>
              </w:tabs>
              <w:spacing w:line="250" w:lineRule="exact"/>
              <w:jc w:val="both"/>
              <w:rPr>
                <w:sz w:val="22"/>
              </w:rPr>
            </w:pPr>
            <w:r>
              <w:rPr>
                <w:sz w:val="22"/>
              </w:rPr>
              <w:t>Porque</w:t>
              <w:tab/>
              <w:t>el</w:t>
            </w:r>
          </w:p>
          <w:p>
            <w:pPr>
              <w:pStyle w:val="TableParagraph"/>
              <w:ind w:right="101"/>
              <w:jc w:val="both"/>
              <w:rPr>
                <w:sz w:val="22"/>
              </w:rPr>
            </w:pPr>
            <w:r>
              <w:rPr>
                <w:sz w:val="22"/>
              </w:rPr>
              <w:t>municipio no atiende bien la planta.</w:t>
            </w:r>
          </w:p>
        </w:tc>
      </w:tr>
      <w:tr>
        <w:trPr>
          <w:trHeight w:val="2542" w:hRule="exact"/>
        </w:trPr>
        <w:tc>
          <w:tcPr>
            <w:tcW w:w="1385" w:type="dxa"/>
          </w:tcPr>
          <w:p>
            <w:pPr>
              <w:pStyle w:val="TableParagraph"/>
              <w:ind w:right="127"/>
              <w:rPr>
                <w:sz w:val="22"/>
              </w:rPr>
            </w:pPr>
            <w:r>
              <w:rPr>
                <w:sz w:val="22"/>
              </w:rPr>
              <w:t>Elizabeth Valencia Martínez (esposa de un pescador) (31/I/2015)</w:t>
            </w:r>
          </w:p>
        </w:tc>
        <w:tc>
          <w:tcPr>
            <w:tcW w:w="1418" w:type="dxa"/>
          </w:tcPr>
          <w:p>
            <w:pPr>
              <w:pStyle w:val="TableParagraph"/>
              <w:ind w:left="167" w:right="171" w:firstLine="2"/>
              <w:jc w:val="center"/>
              <w:rPr>
                <w:sz w:val="22"/>
              </w:rPr>
            </w:pPr>
            <w:r>
              <w:rPr>
                <w:sz w:val="22"/>
              </w:rPr>
              <w:t>El hogar y preparar el pescado para ir a vender en el tianguis de   Acambay los  domingos</w:t>
            </w:r>
          </w:p>
        </w:tc>
        <w:tc>
          <w:tcPr>
            <w:tcW w:w="1841" w:type="dxa"/>
          </w:tcPr>
          <w:p>
            <w:pPr>
              <w:pStyle w:val="TableParagraph"/>
              <w:ind w:left="100" w:right="99"/>
              <w:jc w:val="both"/>
              <w:rPr>
                <w:sz w:val="22"/>
              </w:rPr>
            </w:pPr>
            <w:r>
              <w:rPr>
                <w:sz w:val="22"/>
              </w:rPr>
              <w:t>Su esposo es integrante de una</w:t>
            </w:r>
          </w:p>
          <w:p>
            <w:pPr>
              <w:pStyle w:val="TableParagraph"/>
              <w:tabs>
                <w:tab w:pos="1485" w:val="left" w:leader="none"/>
              </w:tabs>
              <w:spacing w:before="1"/>
              <w:ind w:left="100" w:right="99"/>
              <w:jc w:val="both"/>
              <w:rPr>
                <w:sz w:val="22"/>
              </w:rPr>
            </w:pPr>
            <w:r>
              <w:rPr>
                <w:sz w:val="22"/>
              </w:rPr>
              <w:t>cooperativa, pero</w:t>
              <w:tab/>
              <w:t>no</w:t>
            </w:r>
          </w:p>
          <w:p>
            <w:pPr>
              <w:pStyle w:val="TableParagraph"/>
              <w:spacing w:before="1"/>
              <w:ind w:left="100" w:right="99"/>
              <w:jc w:val="both"/>
              <w:rPr>
                <w:sz w:val="22"/>
              </w:rPr>
            </w:pPr>
            <w:r>
              <w:rPr>
                <w:sz w:val="22"/>
              </w:rPr>
              <w:t>recuerdo el nombre, ni el número de integrantes.</w:t>
            </w:r>
          </w:p>
        </w:tc>
        <w:tc>
          <w:tcPr>
            <w:tcW w:w="1135" w:type="dxa"/>
          </w:tcPr>
          <w:p>
            <w:pPr>
              <w:pStyle w:val="TableParagraph"/>
              <w:ind w:right="134"/>
              <w:rPr>
                <w:sz w:val="22"/>
              </w:rPr>
            </w:pPr>
            <w:r>
              <w:rPr>
                <w:sz w:val="22"/>
              </w:rPr>
              <w:t>Integrant e</w:t>
            </w:r>
          </w:p>
        </w:tc>
        <w:tc>
          <w:tcPr>
            <w:tcW w:w="991" w:type="dxa"/>
          </w:tcPr>
          <w:p>
            <w:pPr>
              <w:pStyle w:val="TableParagraph"/>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1702" w:type="dxa"/>
          </w:tcPr>
          <w:p>
            <w:pPr>
              <w:pStyle w:val="TableParagraph"/>
              <w:tabs>
                <w:tab w:pos="990" w:val="left" w:leader="none"/>
              </w:tabs>
              <w:ind w:right="99"/>
              <w:rPr>
                <w:sz w:val="22"/>
              </w:rPr>
            </w:pPr>
            <w:r>
              <w:rPr>
                <w:sz w:val="22"/>
              </w:rPr>
              <w:t>Dicen que se está contaminando con</w:t>
              <w:tab/>
              <w:t>aguas</w:t>
            </w:r>
          </w:p>
          <w:p>
            <w:pPr>
              <w:pStyle w:val="TableParagraph"/>
              <w:ind w:right="98"/>
              <w:jc w:val="both"/>
              <w:rPr>
                <w:sz w:val="22"/>
              </w:rPr>
            </w:pPr>
            <w:r>
              <w:rPr>
                <w:sz w:val="22"/>
              </w:rPr>
              <w:t>negras,  pero no sé si es cierto.</w:t>
            </w:r>
          </w:p>
        </w:tc>
        <w:tc>
          <w:tcPr>
            <w:tcW w:w="1985" w:type="dxa"/>
          </w:tcPr>
          <w:p>
            <w:pPr>
              <w:pStyle w:val="TableParagraph"/>
              <w:ind w:right="99"/>
              <w:jc w:val="both"/>
              <w:rPr>
                <w:sz w:val="22"/>
              </w:rPr>
            </w:pPr>
            <w:r>
              <w:rPr>
                <w:sz w:val="22"/>
              </w:rPr>
              <w:t>Porque dicen que echan el agua sucia de las casas.</w:t>
            </w:r>
          </w:p>
        </w:tc>
      </w:tr>
      <w:tr>
        <w:trPr>
          <w:trHeight w:val="1020" w:hRule="exact"/>
        </w:trPr>
        <w:tc>
          <w:tcPr>
            <w:tcW w:w="1385" w:type="dxa"/>
          </w:tcPr>
          <w:p>
            <w:pPr>
              <w:pStyle w:val="TableParagraph"/>
              <w:ind w:right="188"/>
              <w:rPr>
                <w:sz w:val="22"/>
              </w:rPr>
            </w:pPr>
            <w:r>
              <w:rPr>
                <w:sz w:val="22"/>
              </w:rPr>
              <w:t>Agustín Santiago Valentín (31/I/2015)</w:t>
            </w:r>
          </w:p>
        </w:tc>
        <w:tc>
          <w:tcPr>
            <w:tcW w:w="1418" w:type="dxa"/>
          </w:tcPr>
          <w:p>
            <w:pPr>
              <w:pStyle w:val="TableParagraph"/>
              <w:spacing w:line="252" w:lineRule="exact" w:before="2"/>
              <w:ind w:left="292" w:right="145" w:hanging="137"/>
              <w:rPr>
                <w:sz w:val="22"/>
              </w:rPr>
            </w:pPr>
            <w:r>
              <w:rPr>
                <w:sz w:val="22"/>
              </w:rPr>
              <w:t>El campo y la pesca</w:t>
            </w:r>
          </w:p>
        </w:tc>
        <w:tc>
          <w:tcPr>
            <w:tcW w:w="1841" w:type="dxa"/>
          </w:tcPr>
          <w:p>
            <w:pPr>
              <w:pStyle w:val="TableParagraph"/>
              <w:spacing w:line="250" w:lineRule="exact"/>
              <w:ind w:left="100"/>
              <w:rPr>
                <w:sz w:val="22"/>
              </w:rPr>
            </w:pPr>
            <w:r>
              <w:rPr>
                <w:sz w:val="22"/>
              </w:rPr>
              <w:t>Cooperativa</w:t>
            </w:r>
          </w:p>
          <w:p>
            <w:pPr>
              <w:pStyle w:val="TableParagraph"/>
              <w:spacing w:line="252" w:lineRule="exact"/>
              <w:ind w:left="100"/>
              <w:rPr>
                <w:sz w:val="22"/>
              </w:rPr>
            </w:pPr>
            <w:r>
              <w:rPr>
                <w:sz w:val="22"/>
              </w:rPr>
              <w:t>“Pescarenas”</w:t>
            </w:r>
          </w:p>
        </w:tc>
        <w:tc>
          <w:tcPr>
            <w:tcW w:w="1135" w:type="dxa"/>
          </w:tcPr>
          <w:p>
            <w:pPr>
              <w:pStyle w:val="TableParagraph"/>
              <w:spacing w:line="252" w:lineRule="exact" w:before="2"/>
              <w:ind w:right="134"/>
              <w:rPr>
                <w:sz w:val="22"/>
              </w:rPr>
            </w:pPr>
            <w:r>
              <w:rPr>
                <w:sz w:val="22"/>
              </w:rPr>
              <w:t>Integrant e</w:t>
            </w:r>
          </w:p>
        </w:tc>
        <w:tc>
          <w:tcPr>
            <w:tcW w:w="991" w:type="dxa"/>
          </w:tcPr>
          <w:p>
            <w:pPr>
              <w:pStyle w:val="TableParagraph"/>
              <w:spacing w:line="252" w:lineRule="exact" w:before="2"/>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1702" w:type="dxa"/>
          </w:tcPr>
          <w:p>
            <w:pPr>
              <w:pStyle w:val="TableParagraph"/>
              <w:spacing w:line="252" w:lineRule="exact" w:before="2"/>
              <w:ind w:right="89"/>
              <w:rPr>
                <w:sz w:val="22"/>
              </w:rPr>
            </w:pPr>
            <w:r>
              <w:rPr>
                <w:sz w:val="22"/>
              </w:rPr>
              <w:t>La contaminación.</w:t>
            </w:r>
          </w:p>
        </w:tc>
        <w:tc>
          <w:tcPr>
            <w:tcW w:w="1985" w:type="dxa"/>
          </w:tcPr>
          <w:p>
            <w:pPr>
              <w:pStyle w:val="TableParagraph"/>
              <w:tabs>
                <w:tab w:pos="1629" w:val="left" w:leader="none"/>
              </w:tabs>
              <w:ind w:right="98"/>
              <w:rPr>
                <w:sz w:val="22"/>
              </w:rPr>
            </w:pPr>
            <w:r>
              <w:rPr>
                <w:sz w:val="22"/>
              </w:rPr>
              <w:t>Porque echan el drenaje</w:t>
              <w:tab/>
              <w:t>de Zaragoza, Timilpan.</w:t>
            </w:r>
          </w:p>
        </w:tc>
      </w:tr>
      <w:tr>
        <w:trPr>
          <w:trHeight w:val="2035" w:hRule="exact"/>
        </w:trPr>
        <w:tc>
          <w:tcPr>
            <w:tcW w:w="1385" w:type="dxa"/>
          </w:tcPr>
          <w:p>
            <w:pPr>
              <w:pStyle w:val="TableParagraph"/>
              <w:ind w:right="127"/>
              <w:rPr>
                <w:sz w:val="22"/>
              </w:rPr>
            </w:pPr>
            <w:r>
              <w:rPr>
                <w:sz w:val="22"/>
              </w:rPr>
              <w:t>Felix Rivas Huitrón (7/II/2015)</w:t>
            </w:r>
          </w:p>
        </w:tc>
        <w:tc>
          <w:tcPr>
            <w:tcW w:w="1418" w:type="dxa"/>
          </w:tcPr>
          <w:p>
            <w:pPr>
              <w:pStyle w:val="TableParagraph"/>
              <w:ind w:left="292" w:right="145" w:hanging="137"/>
              <w:rPr>
                <w:sz w:val="22"/>
              </w:rPr>
            </w:pPr>
            <w:r>
              <w:rPr>
                <w:sz w:val="22"/>
              </w:rPr>
              <w:t>El campo y la pesca</w:t>
            </w:r>
          </w:p>
        </w:tc>
        <w:tc>
          <w:tcPr>
            <w:tcW w:w="1841" w:type="dxa"/>
          </w:tcPr>
          <w:p>
            <w:pPr>
              <w:pStyle w:val="TableParagraph"/>
              <w:ind w:left="100" w:right="99"/>
              <w:jc w:val="both"/>
              <w:rPr>
                <w:sz w:val="22"/>
              </w:rPr>
            </w:pPr>
            <w:r>
              <w:rPr>
                <w:sz w:val="22"/>
              </w:rPr>
              <w:t>Cooperativa “El Tezontle” (5 integrantes)</w:t>
            </w:r>
          </w:p>
        </w:tc>
        <w:tc>
          <w:tcPr>
            <w:tcW w:w="1135" w:type="dxa"/>
          </w:tcPr>
          <w:p>
            <w:pPr>
              <w:pStyle w:val="TableParagraph"/>
              <w:ind w:right="134"/>
              <w:rPr>
                <w:sz w:val="22"/>
              </w:rPr>
            </w:pPr>
            <w:r>
              <w:rPr>
                <w:sz w:val="22"/>
              </w:rPr>
              <w:t>Presiden te</w:t>
            </w:r>
          </w:p>
        </w:tc>
        <w:tc>
          <w:tcPr>
            <w:tcW w:w="991" w:type="dxa"/>
          </w:tcPr>
          <w:p>
            <w:pPr>
              <w:pStyle w:val="TableParagraph"/>
              <w:ind w:left="100" w:right="103"/>
              <w:rPr>
                <w:sz w:val="22"/>
              </w:rPr>
            </w:pPr>
            <w:r>
              <w:rPr>
                <w:sz w:val="22"/>
              </w:rPr>
              <w:t>Jilotepe c</w:t>
            </w:r>
          </w:p>
        </w:tc>
        <w:tc>
          <w:tcPr>
            <w:tcW w:w="1277" w:type="dxa"/>
          </w:tcPr>
          <w:p>
            <w:pPr>
              <w:pStyle w:val="TableParagraph"/>
              <w:ind w:right="178"/>
              <w:rPr>
                <w:sz w:val="22"/>
              </w:rPr>
            </w:pPr>
            <w:r>
              <w:rPr>
                <w:sz w:val="22"/>
              </w:rPr>
              <w:t>El Saltillo, Jilotepec</w:t>
            </w:r>
          </w:p>
        </w:tc>
        <w:tc>
          <w:tcPr>
            <w:tcW w:w="1133" w:type="dxa"/>
          </w:tcPr>
          <w:p>
            <w:pPr>
              <w:pStyle w:val="TableParagraph"/>
              <w:ind w:left="100" w:right="134"/>
              <w:rPr>
                <w:sz w:val="22"/>
              </w:rPr>
            </w:pPr>
            <w:r>
              <w:rPr>
                <w:sz w:val="22"/>
              </w:rPr>
              <w:t>El Saltillo, Jilotepec</w:t>
            </w:r>
          </w:p>
          <w:p>
            <w:pPr>
              <w:pStyle w:val="TableParagraph"/>
              <w:spacing w:before="1"/>
              <w:ind w:left="100"/>
              <w:rPr>
                <w:sz w:val="22"/>
              </w:rPr>
            </w:pPr>
            <w:r>
              <w:rPr>
                <w:w w:val="100"/>
                <w:sz w:val="22"/>
              </w:rPr>
              <w:t>.</w:t>
            </w:r>
          </w:p>
        </w:tc>
        <w:tc>
          <w:tcPr>
            <w:tcW w:w="1702" w:type="dxa"/>
          </w:tcPr>
          <w:p>
            <w:pPr>
              <w:pStyle w:val="TableParagraph"/>
              <w:ind w:right="89"/>
              <w:rPr>
                <w:sz w:val="22"/>
              </w:rPr>
            </w:pPr>
            <w:r>
              <w:rPr>
                <w:sz w:val="22"/>
              </w:rPr>
              <w:t>La contaminación.</w:t>
            </w:r>
          </w:p>
        </w:tc>
        <w:tc>
          <w:tcPr>
            <w:tcW w:w="1985" w:type="dxa"/>
          </w:tcPr>
          <w:p>
            <w:pPr>
              <w:pStyle w:val="TableParagraph"/>
              <w:ind w:right="99"/>
              <w:jc w:val="both"/>
              <w:rPr>
                <w:sz w:val="22"/>
              </w:rPr>
            </w:pPr>
            <w:r>
              <w:rPr>
                <w:sz w:val="22"/>
              </w:rPr>
              <w:t>Porque el agua está como verde, tiene nata y hiede bien feo, ya mejor hacemos pocitos a un lado de la orilla para tomar agua.</w:t>
            </w:r>
          </w:p>
        </w:tc>
      </w:tr>
      <w:tr>
        <w:trPr>
          <w:trHeight w:val="1023" w:hRule="exact"/>
        </w:trPr>
        <w:tc>
          <w:tcPr>
            <w:tcW w:w="1385" w:type="dxa"/>
          </w:tcPr>
          <w:p>
            <w:pPr>
              <w:pStyle w:val="TableParagraph"/>
              <w:ind w:right="176"/>
              <w:rPr>
                <w:sz w:val="22"/>
              </w:rPr>
            </w:pPr>
            <w:r>
              <w:rPr>
                <w:sz w:val="22"/>
              </w:rPr>
              <w:t>Emigdio Rodríguez Hernández (7/II/2015)</w:t>
            </w:r>
          </w:p>
        </w:tc>
        <w:tc>
          <w:tcPr>
            <w:tcW w:w="1418" w:type="dxa"/>
          </w:tcPr>
          <w:p>
            <w:pPr>
              <w:pStyle w:val="TableParagraph"/>
              <w:ind w:left="163" w:right="133" w:hanging="20"/>
              <w:rPr>
                <w:sz w:val="22"/>
              </w:rPr>
            </w:pPr>
            <w:r>
              <w:rPr>
                <w:sz w:val="22"/>
              </w:rPr>
              <w:t>Campesino y pescador</w:t>
            </w:r>
          </w:p>
        </w:tc>
        <w:tc>
          <w:tcPr>
            <w:tcW w:w="1841" w:type="dxa"/>
          </w:tcPr>
          <w:p>
            <w:pPr>
              <w:pStyle w:val="TableParagraph"/>
              <w:ind w:left="100" w:right="99"/>
              <w:jc w:val="both"/>
              <w:rPr>
                <w:sz w:val="22"/>
              </w:rPr>
            </w:pPr>
            <w:r>
              <w:rPr>
                <w:sz w:val="22"/>
              </w:rPr>
              <w:t>Cooperativa “El Rinconcito” (13 integrantes)</w:t>
            </w:r>
          </w:p>
        </w:tc>
        <w:tc>
          <w:tcPr>
            <w:tcW w:w="1135" w:type="dxa"/>
          </w:tcPr>
          <w:p>
            <w:pPr>
              <w:pStyle w:val="TableParagraph"/>
              <w:ind w:right="134"/>
              <w:rPr>
                <w:sz w:val="22"/>
              </w:rPr>
            </w:pPr>
            <w:r>
              <w:rPr>
                <w:sz w:val="22"/>
              </w:rPr>
              <w:t>Presiden te</w:t>
            </w:r>
          </w:p>
        </w:tc>
        <w:tc>
          <w:tcPr>
            <w:tcW w:w="991" w:type="dxa"/>
          </w:tcPr>
          <w:p>
            <w:pPr>
              <w:pStyle w:val="TableParagraph"/>
              <w:ind w:left="100" w:right="103"/>
              <w:rPr>
                <w:sz w:val="22"/>
              </w:rPr>
            </w:pPr>
            <w:r>
              <w:rPr>
                <w:sz w:val="22"/>
              </w:rPr>
              <w:t>Jilotepe c</w:t>
            </w:r>
          </w:p>
        </w:tc>
        <w:tc>
          <w:tcPr>
            <w:tcW w:w="1277" w:type="dxa"/>
          </w:tcPr>
          <w:p>
            <w:pPr>
              <w:pStyle w:val="TableParagraph"/>
              <w:ind w:right="276"/>
              <w:rPr>
                <w:sz w:val="22"/>
              </w:rPr>
            </w:pPr>
            <w:r>
              <w:rPr>
                <w:sz w:val="22"/>
              </w:rPr>
              <w:t>Aldama (El Trojillo), Jilotepec</w:t>
            </w:r>
          </w:p>
        </w:tc>
        <w:tc>
          <w:tcPr>
            <w:tcW w:w="1133" w:type="dxa"/>
          </w:tcPr>
          <w:p>
            <w:pPr>
              <w:pStyle w:val="TableParagraph"/>
              <w:ind w:left="100" w:right="134"/>
              <w:rPr>
                <w:sz w:val="22"/>
              </w:rPr>
            </w:pPr>
            <w:r>
              <w:rPr>
                <w:sz w:val="22"/>
              </w:rPr>
              <w:t>Aldama (El Trojillo), Jilotepec</w:t>
            </w:r>
          </w:p>
        </w:tc>
        <w:tc>
          <w:tcPr>
            <w:tcW w:w="1702" w:type="dxa"/>
          </w:tcPr>
          <w:p>
            <w:pPr>
              <w:pStyle w:val="TableParagraph"/>
              <w:ind w:right="89"/>
              <w:rPr>
                <w:sz w:val="22"/>
              </w:rPr>
            </w:pPr>
            <w:r>
              <w:rPr>
                <w:sz w:val="22"/>
              </w:rPr>
              <w:t>La contaminación.</w:t>
            </w:r>
          </w:p>
        </w:tc>
        <w:tc>
          <w:tcPr>
            <w:tcW w:w="1985" w:type="dxa"/>
          </w:tcPr>
          <w:p>
            <w:pPr>
              <w:pStyle w:val="TableParagraph"/>
              <w:ind w:right="91"/>
              <w:rPr>
                <w:sz w:val="22"/>
              </w:rPr>
            </w:pPr>
            <w:r>
              <w:rPr>
                <w:sz w:val="22"/>
              </w:rPr>
              <w:t>Porque el agua está de otro color.</w:t>
            </w:r>
          </w:p>
        </w:tc>
      </w:tr>
      <w:tr>
        <w:trPr>
          <w:trHeight w:val="516" w:hRule="exact"/>
        </w:trPr>
        <w:tc>
          <w:tcPr>
            <w:tcW w:w="1385" w:type="dxa"/>
          </w:tcPr>
          <w:p>
            <w:pPr>
              <w:pStyle w:val="TableParagraph"/>
              <w:spacing w:line="252" w:lineRule="exact" w:before="2"/>
              <w:ind w:right="408"/>
              <w:rPr>
                <w:sz w:val="22"/>
              </w:rPr>
            </w:pPr>
            <w:r>
              <w:rPr>
                <w:sz w:val="22"/>
              </w:rPr>
              <w:t>José Valencia</w:t>
            </w:r>
          </w:p>
        </w:tc>
        <w:tc>
          <w:tcPr>
            <w:tcW w:w="1418" w:type="dxa"/>
          </w:tcPr>
          <w:p>
            <w:pPr>
              <w:pStyle w:val="TableParagraph"/>
              <w:spacing w:line="252" w:lineRule="exact" w:before="2"/>
              <w:ind w:left="139" w:right="125" w:firstLine="28"/>
              <w:rPr>
                <w:sz w:val="22"/>
              </w:rPr>
            </w:pPr>
            <w:r>
              <w:rPr>
                <w:sz w:val="22"/>
              </w:rPr>
              <w:t>La pesca y el comercio</w:t>
            </w:r>
          </w:p>
        </w:tc>
        <w:tc>
          <w:tcPr>
            <w:tcW w:w="1841" w:type="dxa"/>
          </w:tcPr>
          <w:p>
            <w:pPr>
              <w:pStyle w:val="TableParagraph"/>
              <w:spacing w:line="250" w:lineRule="exact"/>
              <w:ind w:left="100"/>
              <w:rPr>
                <w:sz w:val="22"/>
              </w:rPr>
            </w:pPr>
            <w:r>
              <w:rPr>
                <w:sz w:val="22"/>
              </w:rPr>
              <w:t>Cooperativa</w:t>
            </w:r>
          </w:p>
          <w:p>
            <w:pPr>
              <w:pStyle w:val="TableParagraph"/>
              <w:spacing w:line="252" w:lineRule="exact"/>
              <w:ind w:left="100"/>
              <w:rPr>
                <w:sz w:val="22"/>
              </w:rPr>
            </w:pPr>
            <w:r>
              <w:rPr>
                <w:sz w:val="22"/>
              </w:rPr>
              <w:t>“Pescarenas</w:t>
            </w:r>
          </w:p>
        </w:tc>
        <w:tc>
          <w:tcPr>
            <w:tcW w:w="1135" w:type="dxa"/>
          </w:tcPr>
          <w:p>
            <w:pPr>
              <w:pStyle w:val="TableParagraph"/>
              <w:spacing w:line="252" w:lineRule="exact" w:before="2"/>
              <w:ind w:right="134"/>
              <w:rPr>
                <w:sz w:val="22"/>
              </w:rPr>
            </w:pPr>
            <w:r>
              <w:rPr>
                <w:sz w:val="22"/>
              </w:rPr>
              <w:t>Integrant e</w:t>
            </w:r>
          </w:p>
        </w:tc>
        <w:tc>
          <w:tcPr>
            <w:tcW w:w="991" w:type="dxa"/>
          </w:tcPr>
          <w:p>
            <w:pPr>
              <w:pStyle w:val="TableParagraph"/>
              <w:spacing w:line="252" w:lineRule="exact" w:before="2"/>
              <w:ind w:left="100" w:right="176"/>
              <w:rPr>
                <w:sz w:val="22"/>
              </w:rPr>
            </w:pPr>
            <w:r>
              <w:rPr>
                <w:sz w:val="22"/>
              </w:rPr>
              <w:t>Acamb ay</w:t>
            </w:r>
          </w:p>
        </w:tc>
        <w:tc>
          <w:tcPr>
            <w:tcW w:w="1277" w:type="dxa"/>
          </w:tcPr>
          <w:p>
            <w:pPr>
              <w:pStyle w:val="TableParagraph"/>
              <w:spacing w:line="252" w:lineRule="exact" w:before="2"/>
              <w:ind w:right="386"/>
              <w:rPr>
                <w:sz w:val="22"/>
              </w:rPr>
            </w:pPr>
            <w:r>
              <w:rPr>
                <w:sz w:val="22"/>
              </w:rPr>
              <w:t>Las Arenas,</w:t>
            </w:r>
          </w:p>
        </w:tc>
        <w:tc>
          <w:tcPr>
            <w:tcW w:w="1133" w:type="dxa"/>
          </w:tcPr>
          <w:p>
            <w:pPr>
              <w:pStyle w:val="TableParagraph"/>
              <w:spacing w:line="252" w:lineRule="exact" w:before="2"/>
              <w:ind w:left="100" w:right="245"/>
              <w:rPr>
                <w:sz w:val="22"/>
              </w:rPr>
            </w:pPr>
            <w:r>
              <w:rPr>
                <w:sz w:val="22"/>
              </w:rPr>
              <w:t>Las Arenas,</w:t>
            </w:r>
          </w:p>
        </w:tc>
        <w:tc>
          <w:tcPr>
            <w:tcW w:w="1702" w:type="dxa"/>
          </w:tcPr>
          <w:p>
            <w:pPr>
              <w:pStyle w:val="TableParagraph"/>
              <w:spacing w:line="252" w:lineRule="exact" w:before="2"/>
              <w:ind w:right="150"/>
              <w:rPr>
                <w:sz w:val="22"/>
              </w:rPr>
            </w:pPr>
            <w:r>
              <w:rPr>
                <w:sz w:val="22"/>
              </w:rPr>
              <w:t>La contaminación</w:t>
            </w:r>
          </w:p>
        </w:tc>
        <w:tc>
          <w:tcPr>
            <w:tcW w:w="1985" w:type="dxa"/>
          </w:tcPr>
          <w:p>
            <w:pPr>
              <w:pStyle w:val="TableParagraph"/>
              <w:spacing w:line="252" w:lineRule="exact" w:before="2"/>
              <w:rPr>
                <w:sz w:val="22"/>
              </w:rPr>
            </w:pPr>
            <w:r>
              <w:rPr>
                <w:sz w:val="22"/>
              </w:rPr>
              <w:t>Porque todos los pueblos aledaños</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right="127"/>
              <w:rPr>
                <w:sz w:val="22"/>
              </w:rPr>
            </w:pPr>
            <w:r>
              <w:rPr>
                <w:sz w:val="22"/>
              </w:rPr>
              <w:t>García</w:t>
            </w:r>
          </w:p>
        </w:tc>
        <w:tc>
          <w:tcPr>
            <w:tcW w:w="1418" w:type="dxa"/>
            <w:tcBorders>
              <w:bottom w:val="nil"/>
            </w:tcBorders>
          </w:tcPr>
          <w:p>
            <w:pPr>
              <w:pStyle w:val="TableParagraph"/>
              <w:spacing w:line="251" w:lineRule="exact"/>
              <w:ind w:left="102" w:right="104"/>
              <w:jc w:val="center"/>
              <w:rPr>
                <w:sz w:val="22"/>
              </w:rPr>
            </w:pPr>
            <w:r>
              <w:rPr>
                <w:sz w:val="22"/>
              </w:rPr>
              <w:t>de eventos</w:t>
            </w:r>
          </w:p>
        </w:tc>
        <w:tc>
          <w:tcPr>
            <w:tcW w:w="1841" w:type="dxa"/>
            <w:tcBorders>
              <w:bottom w:val="nil"/>
            </w:tcBorders>
          </w:tcPr>
          <w:p>
            <w:pPr>
              <w:pStyle w:val="TableParagraph"/>
              <w:spacing w:line="251" w:lineRule="exact"/>
              <w:ind w:left="100"/>
              <w:rPr>
                <w:sz w:val="22"/>
              </w:rPr>
            </w:pPr>
            <w:r>
              <w:rPr>
                <w:sz w:val="22"/>
              </w:rPr>
              <w:t>Procesado</w:t>
            </w:r>
          </w:p>
        </w:tc>
        <w:tc>
          <w:tcPr>
            <w:tcW w:w="1135" w:type="dxa"/>
            <w:tcBorders>
              <w:bottom w:val="nil"/>
            </w:tcBorders>
          </w:tcPr>
          <w:p>
            <w:pPr/>
          </w:p>
        </w:tc>
        <w:tc>
          <w:tcPr>
            <w:tcW w:w="991" w:type="dxa"/>
            <w:vMerge w:val="restart"/>
          </w:tcPr>
          <w:p>
            <w:pPr/>
          </w:p>
        </w:tc>
        <w:tc>
          <w:tcPr>
            <w:tcW w:w="1277" w:type="dxa"/>
            <w:tcBorders>
              <w:bottom w:val="nil"/>
            </w:tcBorders>
          </w:tcPr>
          <w:p>
            <w:pPr>
              <w:pStyle w:val="TableParagraph"/>
              <w:spacing w:line="251" w:lineRule="exact"/>
              <w:ind w:right="92"/>
              <w:rPr>
                <w:sz w:val="22"/>
              </w:rPr>
            </w:pPr>
            <w:r>
              <w:rPr>
                <w:sz w:val="22"/>
              </w:rPr>
              <w:t>Acambay</w:t>
            </w:r>
          </w:p>
        </w:tc>
        <w:tc>
          <w:tcPr>
            <w:tcW w:w="1133" w:type="dxa"/>
            <w:tcBorders>
              <w:bottom w:val="nil"/>
            </w:tcBorders>
          </w:tcPr>
          <w:p>
            <w:pPr>
              <w:pStyle w:val="TableParagraph"/>
              <w:spacing w:line="251" w:lineRule="exact"/>
              <w:ind w:left="100" w:right="52"/>
              <w:rPr>
                <w:sz w:val="22"/>
              </w:rPr>
            </w:pPr>
            <w:r>
              <w:rPr>
                <w:sz w:val="22"/>
              </w:rPr>
              <w:t>Acambay</w:t>
            </w:r>
          </w:p>
        </w:tc>
        <w:tc>
          <w:tcPr>
            <w:tcW w:w="1702" w:type="dxa"/>
            <w:tcBorders>
              <w:bottom w:val="nil"/>
            </w:tcBorders>
          </w:tcPr>
          <w:p>
            <w:pPr/>
          </w:p>
        </w:tc>
        <w:tc>
          <w:tcPr>
            <w:tcW w:w="1985" w:type="dxa"/>
            <w:tcBorders>
              <w:bottom w:val="nil"/>
            </w:tcBorders>
          </w:tcPr>
          <w:p>
            <w:pPr>
              <w:pStyle w:val="TableParagraph"/>
              <w:spacing w:line="251" w:lineRule="exact"/>
              <w:rPr>
                <w:sz w:val="22"/>
              </w:rPr>
            </w:pPr>
            <w:r>
              <w:rPr>
                <w:sz w:val="22"/>
              </w:rPr>
              <w:t>arrojan sus aguas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(24/I/2015)</w:t>
            </w:r>
          </w:p>
        </w:tc>
        <w:tc>
          <w:tcPr>
            <w:tcW w:w="1418" w:type="dxa"/>
            <w:tcBorders>
              <w:top w:val="nil"/>
              <w:bottom w:val="nil"/>
            </w:tcBorders>
          </w:tcPr>
          <w:p>
            <w:pPr>
              <w:pStyle w:val="TableParagraph"/>
              <w:spacing w:line="241" w:lineRule="exact"/>
              <w:ind w:left="102" w:right="104"/>
              <w:jc w:val="center"/>
              <w:rPr>
                <w:sz w:val="22"/>
              </w:rPr>
            </w:pPr>
            <w:r>
              <w:rPr>
                <w:sz w:val="22"/>
              </w:rPr>
              <w:t>sociales</w:t>
            </w:r>
          </w:p>
        </w:tc>
        <w:tc>
          <w:tcPr>
            <w:tcW w:w="1841" w:type="dxa"/>
            <w:tcBorders>
              <w:top w:val="nil"/>
              <w:bottom w:val="nil"/>
            </w:tcBorders>
          </w:tcPr>
          <w:p>
            <w:pPr>
              <w:pStyle w:val="TableParagraph"/>
              <w:spacing w:line="241" w:lineRule="exact"/>
              <w:ind w:left="100"/>
              <w:rPr>
                <w:sz w:val="22"/>
              </w:rPr>
            </w:pPr>
            <w:r>
              <w:rPr>
                <w:sz w:val="22"/>
              </w:rPr>
              <w:t>Fresco”</w:t>
            </w:r>
          </w:p>
        </w:tc>
        <w:tc>
          <w:tcPr>
            <w:tcW w:w="1135" w:type="dxa"/>
            <w:tcBorders>
              <w:top w:val="nil"/>
              <w:bottom w:val="nil"/>
            </w:tcBorders>
          </w:tcPr>
          <w:p>
            <w:pPr>
              <w:pStyle w:val="TableParagraph"/>
              <w:spacing w:line="241" w:lineRule="exact"/>
              <w:rPr>
                <w:b/>
                <w:i/>
                <w:sz w:val="22"/>
              </w:rPr>
            </w:pPr>
            <w:r>
              <w:rPr>
                <w:b/>
                <w:i/>
                <w:sz w:val="22"/>
              </w:rPr>
              <w:t>Preside</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sucias y basura.</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2" w:right="102"/>
              <w:jc w:val="center"/>
              <w:rPr>
                <w:sz w:val="22"/>
              </w:rPr>
            </w:pPr>
            <w:r>
              <w:rPr>
                <w:sz w:val="22"/>
              </w:rPr>
              <w:t>(renta de</w:t>
            </w:r>
          </w:p>
        </w:tc>
        <w:tc>
          <w:tcPr>
            <w:tcW w:w="1841" w:type="dxa"/>
            <w:tcBorders>
              <w:top w:val="nil"/>
              <w:bottom w:val="nil"/>
            </w:tcBorders>
          </w:tcPr>
          <w:p>
            <w:pPr/>
          </w:p>
        </w:tc>
        <w:tc>
          <w:tcPr>
            <w:tcW w:w="1135" w:type="dxa"/>
            <w:tcBorders>
              <w:top w:val="nil"/>
              <w:bottom w:val="nil"/>
            </w:tcBorders>
          </w:tcPr>
          <w:p>
            <w:pPr>
              <w:pStyle w:val="TableParagraph"/>
              <w:spacing w:line="242" w:lineRule="exact"/>
              <w:rPr>
                <w:b/>
                <w:i/>
                <w:sz w:val="22"/>
              </w:rPr>
            </w:pPr>
            <w:r>
              <w:rPr>
                <w:b/>
                <w:i/>
                <w:sz w:val="22"/>
              </w:rPr>
              <w:t>nte de</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2" w:right="104"/>
              <w:jc w:val="center"/>
              <w:rPr>
                <w:sz w:val="22"/>
              </w:rPr>
            </w:pPr>
            <w:r>
              <w:rPr>
                <w:sz w:val="22"/>
              </w:rPr>
              <w:t>equipo para</w:t>
            </w:r>
          </w:p>
        </w:tc>
        <w:tc>
          <w:tcPr>
            <w:tcW w:w="1841" w:type="dxa"/>
            <w:tcBorders>
              <w:top w:val="nil"/>
              <w:bottom w:val="nil"/>
            </w:tcBorders>
          </w:tcPr>
          <w:p>
            <w:pPr/>
          </w:p>
        </w:tc>
        <w:tc>
          <w:tcPr>
            <w:tcW w:w="1135" w:type="dxa"/>
            <w:tcBorders>
              <w:top w:val="nil"/>
              <w:bottom w:val="nil"/>
            </w:tcBorders>
          </w:tcPr>
          <w:p>
            <w:pPr>
              <w:pStyle w:val="TableParagraph"/>
              <w:spacing w:line="241" w:lineRule="exact"/>
              <w:rPr>
                <w:b/>
                <w:i/>
                <w:sz w:val="22"/>
              </w:rPr>
            </w:pPr>
            <w:r>
              <w:rPr>
                <w:b/>
                <w:i/>
                <w:sz w:val="22"/>
              </w:rPr>
              <w:t>todas</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La  escases de</w:t>
            </w:r>
          </w:p>
        </w:tc>
        <w:tc>
          <w:tcPr>
            <w:tcW w:w="1985" w:type="dxa"/>
            <w:tcBorders>
              <w:top w:val="nil"/>
              <w:bottom w:val="nil"/>
            </w:tcBorders>
          </w:tcPr>
          <w:p>
            <w:pPr>
              <w:pStyle w:val="TableParagraph"/>
              <w:spacing w:line="241" w:lineRule="exact"/>
              <w:rPr>
                <w:sz w:val="22"/>
              </w:rPr>
            </w:pPr>
            <w:r>
              <w:rPr>
                <w:sz w:val="22"/>
              </w:rPr>
              <w:t>Porque ya no hay</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2" w:right="104"/>
              <w:jc w:val="center"/>
              <w:rPr>
                <w:sz w:val="22"/>
              </w:rPr>
            </w:pPr>
            <w:r>
              <w:rPr>
                <w:sz w:val="22"/>
              </w:rPr>
              <w:t>fiestas)</w:t>
            </w:r>
          </w:p>
        </w:tc>
        <w:tc>
          <w:tcPr>
            <w:tcW w:w="1841" w:type="dxa"/>
            <w:tcBorders>
              <w:top w:val="nil"/>
              <w:bottom w:val="nil"/>
            </w:tcBorders>
          </w:tcPr>
          <w:p>
            <w:pPr/>
          </w:p>
        </w:tc>
        <w:tc>
          <w:tcPr>
            <w:tcW w:w="1135" w:type="dxa"/>
            <w:tcBorders>
              <w:top w:val="nil"/>
              <w:bottom w:val="nil"/>
            </w:tcBorders>
          </w:tcPr>
          <w:p>
            <w:pPr>
              <w:pStyle w:val="TableParagraph"/>
              <w:spacing w:line="242" w:lineRule="exact"/>
              <w:rPr>
                <w:b/>
                <w:i/>
                <w:sz w:val="22"/>
              </w:rPr>
            </w:pPr>
            <w:r>
              <w:rPr>
                <w:b/>
                <w:i/>
                <w:sz w:val="22"/>
              </w:rPr>
              <w:t>las</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especies</w:t>
            </w:r>
          </w:p>
        </w:tc>
        <w:tc>
          <w:tcPr>
            <w:tcW w:w="1985" w:type="dxa"/>
            <w:tcBorders>
              <w:top w:val="nil"/>
              <w:bottom w:val="nil"/>
            </w:tcBorders>
          </w:tcPr>
          <w:p>
            <w:pPr>
              <w:pStyle w:val="TableParagraph"/>
              <w:spacing w:line="242" w:lineRule="exact"/>
              <w:rPr>
                <w:sz w:val="22"/>
              </w:rPr>
            </w:pPr>
            <w:r>
              <w:rPr>
                <w:sz w:val="22"/>
              </w:rPr>
              <w:t>ajolotes, acociles,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i/>
                <w:sz w:val="22"/>
              </w:rPr>
            </w:pPr>
            <w:r>
              <w:rPr>
                <w:b/>
                <w:i/>
                <w:sz w:val="22"/>
              </w:rPr>
              <w:t>coopera</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285" w:val="left" w:leader="none"/>
              </w:tabs>
              <w:spacing w:line="241" w:lineRule="exact"/>
              <w:rPr>
                <w:sz w:val="22"/>
              </w:rPr>
            </w:pPr>
            <w:r>
              <w:rPr>
                <w:sz w:val="22"/>
              </w:rPr>
              <w:t>charales,</w:t>
              <w:tab/>
              <w:t>peces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i/>
                <w:sz w:val="22"/>
              </w:rPr>
            </w:pPr>
            <w:r>
              <w:rPr>
                <w:b/>
                <w:i/>
                <w:sz w:val="22"/>
              </w:rPr>
              <w:t>tivas de</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como antes.</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2" w:lineRule="exact"/>
              <w:rPr>
                <w:b/>
                <w:i/>
                <w:sz w:val="22"/>
              </w:rPr>
            </w:pPr>
            <w:r>
              <w:rPr>
                <w:b/>
                <w:i/>
                <w:sz w:val="22"/>
              </w:rPr>
              <w:t>pescado</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i/>
                <w:sz w:val="22"/>
              </w:rPr>
            </w:pPr>
            <w:r>
              <w:rPr>
                <w:b/>
                <w:i/>
                <w:sz w:val="22"/>
              </w:rPr>
              <w:t>res de la</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2" w:lineRule="exact"/>
              <w:rPr>
                <w:b/>
                <w:i/>
                <w:sz w:val="22"/>
              </w:rPr>
            </w:pPr>
            <w:r>
              <w:rPr>
                <w:b/>
                <w:i/>
                <w:sz w:val="22"/>
              </w:rPr>
              <w:t>laguna</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i/>
                <w:sz w:val="22"/>
              </w:rPr>
            </w:pPr>
            <w:r>
              <w:rPr>
                <w:b/>
                <w:i/>
                <w:sz w:val="22"/>
              </w:rPr>
              <w:t>huapang</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Style w:val="TableParagraph"/>
              <w:spacing w:line="241" w:lineRule="exact"/>
              <w:rPr>
                <w:b/>
                <w:i/>
                <w:sz w:val="22"/>
              </w:rPr>
            </w:pPr>
            <w:r>
              <w:rPr>
                <w:b/>
                <w:i/>
                <w:w w:val="100"/>
                <w:sz w:val="22"/>
              </w:rPr>
              <w:t>o</w:t>
            </w:r>
          </w:p>
        </w:tc>
        <w:tc>
          <w:tcPr>
            <w:tcW w:w="991" w:type="dxa"/>
            <w:vMerge/>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1101" w:right="397"/>
      </w:pPr>
      <w:r>
        <w:rPr/>
        <w:t>Tabla 6.3. Pescadores en los Municipios de Acambay, Aculco, Jilotepec y Timilpan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2"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9" w:lineRule="exact"/>
              <w:ind w:left="100"/>
              <w:rPr>
                <w:b/>
                <w:sz w:val="22"/>
              </w:rPr>
            </w:pPr>
            <w:r>
              <w:rPr>
                <w:b/>
                <w:sz w:val="22"/>
              </w:rPr>
              <w:t>Cooperativa de</w:t>
            </w:r>
          </w:p>
        </w:tc>
        <w:tc>
          <w:tcPr>
            <w:tcW w:w="1135" w:type="dxa"/>
            <w:tcBorders>
              <w:bottom w:val="nil"/>
            </w:tcBorders>
            <w:shd w:val="clear" w:color="auto" w:fill="F9BE8F"/>
          </w:tcPr>
          <w:p>
            <w:pPr>
              <w:pStyle w:val="TableParagraph"/>
              <w:spacing w:line="249" w:lineRule="exact"/>
              <w:rPr>
                <w:b/>
                <w:sz w:val="22"/>
              </w:rPr>
            </w:pPr>
            <w:r>
              <w:rPr>
                <w:b/>
                <w:sz w:val="22"/>
              </w:rPr>
              <w:t>Cargo</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9" w:lineRule="exact"/>
              <w:rPr>
                <w:b/>
                <w:sz w:val="22"/>
              </w:rPr>
            </w:pPr>
            <w:r>
              <w:rPr>
                <w:b/>
                <w:sz w:val="22"/>
              </w:rPr>
              <w:t>¿Qué</w:t>
            </w:r>
          </w:p>
        </w:tc>
        <w:tc>
          <w:tcPr>
            <w:tcW w:w="1985" w:type="dxa"/>
            <w:tcBorders>
              <w:bottom w:val="nil"/>
            </w:tcBorders>
            <w:shd w:val="clear" w:color="auto" w:fill="92CDDC"/>
          </w:tcPr>
          <w:p>
            <w:pPr>
              <w:pStyle w:val="TableParagraph"/>
              <w:spacing w:line="249" w:lineRule="exact"/>
              <w:rPr>
                <w:b/>
                <w:sz w:val="22"/>
              </w:rPr>
            </w:pPr>
            <w:r>
              <w:rPr>
                <w:b/>
                <w:sz w:val="22"/>
              </w:rPr>
              <w:t>¿Quiénes</w:t>
            </w:r>
            <w:r>
              <w:rPr>
                <w:b/>
                <w:spacing w:val="58"/>
                <w:sz w:val="22"/>
              </w:rPr>
              <w:t> </w:t>
            </w:r>
            <w:r>
              <w:rPr>
                <w:b/>
                <w:sz w:val="22"/>
              </w:rPr>
              <w:t>deben</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2"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2" w:lineRule="exact"/>
              <w:ind w:left="100"/>
              <w:rPr>
                <w:b/>
                <w:sz w:val="22"/>
              </w:rPr>
            </w:pPr>
            <w:r>
              <w:rPr>
                <w:b/>
                <w:sz w:val="22"/>
              </w:rPr>
              <w:t>Pescadores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2"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2"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2"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2" w:lineRule="exact"/>
              <w:rPr>
                <w:b/>
                <w:sz w:val="22"/>
              </w:rPr>
            </w:pPr>
            <w:r>
              <w:rPr>
                <w:b/>
                <w:sz w:val="22"/>
              </w:rPr>
              <w:t>solución</w:t>
            </w:r>
          </w:p>
        </w:tc>
        <w:tc>
          <w:tcPr>
            <w:tcW w:w="1985" w:type="dxa"/>
            <w:tcBorders>
              <w:top w:val="nil"/>
              <w:bottom w:val="nil"/>
            </w:tcBorders>
            <w:shd w:val="clear" w:color="auto" w:fill="92CDDC"/>
          </w:tcPr>
          <w:p>
            <w:pPr>
              <w:pStyle w:val="TableParagraph"/>
              <w:tabs>
                <w:tab w:pos="1554" w:val="left" w:leader="none"/>
              </w:tabs>
              <w:spacing w:line="242" w:lineRule="exact"/>
              <w:rPr>
                <w:b/>
                <w:sz w:val="22"/>
              </w:rPr>
            </w:pPr>
            <w:r>
              <w:rPr>
                <w:b/>
                <w:sz w:val="22"/>
              </w:rPr>
              <w:t>solucionar</w:t>
              <w:tab/>
              <w:t>los</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propone  para</w:t>
            </w:r>
          </w:p>
        </w:tc>
        <w:tc>
          <w:tcPr>
            <w:tcW w:w="1985" w:type="dxa"/>
            <w:tcBorders>
              <w:top w:val="nil"/>
              <w:bottom w:val="nil"/>
            </w:tcBorders>
            <w:shd w:val="clear" w:color="auto" w:fill="92CDDC"/>
          </w:tcPr>
          <w:p>
            <w:pPr>
              <w:pStyle w:val="TableParagraph"/>
              <w:spacing w:line="241" w:lineRule="exact"/>
              <w:rPr>
                <w:b/>
                <w:sz w:val="22"/>
              </w:rPr>
            </w:pPr>
            <w:r>
              <w:rPr>
                <w:b/>
                <w:sz w:val="22"/>
              </w:rPr>
              <w:t>problemas  de 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los</w:t>
            </w: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laguna</w:t>
              <w:tab/>
              <w:t>de</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problemas</w:t>
            </w:r>
            <w:r>
              <w:rPr>
                <w:b/>
                <w:spacing w:val="56"/>
                <w:sz w:val="22"/>
              </w:rPr>
              <w:t> </w:t>
            </w:r>
            <w:r>
              <w:rPr>
                <w:b/>
                <w:sz w:val="22"/>
              </w:rPr>
              <w:t>de</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1" w:lineRule="exact"/>
              <w:rPr>
                <w:b/>
                <w:sz w:val="22"/>
              </w:rPr>
            </w:pPr>
            <w:r>
              <w:rPr>
                <w:b/>
                <w:sz w:val="22"/>
              </w:rPr>
              <w:t>la laguna?</w:t>
            </w:r>
          </w:p>
        </w:tc>
        <w:tc>
          <w:tcPr>
            <w:tcW w:w="1985"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Salvador</w:t>
            </w:r>
          </w:p>
        </w:tc>
        <w:tc>
          <w:tcPr>
            <w:tcW w:w="1418" w:type="dxa"/>
            <w:tcBorders>
              <w:bottom w:val="nil"/>
            </w:tcBorders>
          </w:tcPr>
          <w:p>
            <w:pPr>
              <w:pStyle w:val="TableParagraph"/>
              <w:spacing w:line="251" w:lineRule="exact"/>
              <w:ind w:left="100" w:right="101"/>
              <w:rPr>
                <w:sz w:val="22"/>
              </w:rPr>
            </w:pPr>
            <w:r>
              <w:rPr>
                <w:sz w:val="22"/>
              </w:rPr>
              <w:t>Pescador,</w:t>
            </w:r>
          </w:p>
        </w:tc>
        <w:tc>
          <w:tcPr>
            <w:tcW w:w="1841" w:type="dxa"/>
            <w:vMerge w:val="restart"/>
          </w:tcPr>
          <w:p>
            <w:pPr>
              <w:pStyle w:val="TableParagraph"/>
              <w:ind w:left="100" w:right="142"/>
              <w:rPr>
                <w:sz w:val="22"/>
              </w:rPr>
            </w:pPr>
            <w:r>
              <w:rPr>
                <w:sz w:val="22"/>
              </w:rPr>
              <w:t>“Los Pescadores de la Vía del Tren” (17</w:t>
            </w:r>
            <w:r>
              <w:rPr>
                <w:spacing w:val="-8"/>
                <w:sz w:val="22"/>
              </w:rPr>
              <w:t> </w:t>
            </w:r>
            <w:r>
              <w:rPr>
                <w:sz w:val="22"/>
              </w:rPr>
              <w:t>integrantes,</w:t>
            </w:r>
          </w:p>
          <w:p>
            <w:pPr>
              <w:pStyle w:val="TableParagraph"/>
              <w:spacing w:before="2"/>
              <w:ind w:left="100" w:right="171"/>
              <w:rPr>
                <w:sz w:val="22"/>
              </w:rPr>
            </w:pPr>
            <w:r>
              <w:rPr>
                <w:sz w:val="22"/>
              </w:rPr>
              <w:t>4 pescadores son de San Martín, Aculco).</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Zaragoza,</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Para</w:t>
            </w:r>
          </w:p>
        </w:tc>
        <w:tc>
          <w:tcPr>
            <w:tcW w:w="1985" w:type="dxa"/>
            <w:tcBorders>
              <w:bottom w:val="nil"/>
            </w:tcBorders>
          </w:tcPr>
          <w:p>
            <w:pPr>
              <w:pStyle w:val="TableParagraph"/>
              <w:spacing w:line="251" w:lineRule="exact"/>
              <w:rPr>
                <w:sz w:val="22"/>
              </w:rPr>
            </w:pPr>
            <w:r>
              <w:rPr>
                <w:sz w:val="22"/>
              </w:rPr>
              <w:t>El  municipio  y</w:t>
            </w:r>
            <w:r>
              <w:rPr>
                <w:spacing w:val="50"/>
                <w:sz w:val="22"/>
              </w:rPr>
              <w:t> </w:t>
            </w:r>
            <w:r>
              <w:rPr>
                <w:sz w:val="22"/>
              </w:rPr>
              <w:t>la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100" w:right="101"/>
              <w:rPr>
                <w:sz w:val="22"/>
              </w:rPr>
            </w:pPr>
            <w:r>
              <w:rPr>
                <w:sz w:val="22"/>
              </w:rPr>
              <w:t>Agricultura,</w:t>
            </w:r>
          </w:p>
        </w:tc>
        <w:tc>
          <w:tcPr>
            <w:tcW w:w="1841" w:type="dxa"/>
            <w:vMerge/>
          </w:tcPr>
          <w:p>
            <w:pP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tabs>
                <w:tab w:pos="1307" w:val="left" w:leader="none"/>
              </w:tabs>
              <w:spacing w:line="241" w:lineRule="exact"/>
              <w:rPr>
                <w:sz w:val="22"/>
              </w:rPr>
            </w:pPr>
            <w:r>
              <w:rPr>
                <w:sz w:val="22"/>
              </w:rPr>
              <w:t>solucionar</w:t>
              <w:tab/>
              <w:t>los</w:t>
            </w:r>
          </w:p>
        </w:tc>
        <w:tc>
          <w:tcPr>
            <w:tcW w:w="1985" w:type="dxa"/>
            <w:tcBorders>
              <w:top w:val="nil"/>
              <w:bottom w:val="nil"/>
            </w:tcBorders>
          </w:tcPr>
          <w:p>
            <w:pPr>
              <w:pStyle w:val="TableParagraph"/>
              <w:spacing w:line="241" w:lineRule="exact"/>
              <w:rPr>
                <w:sz w:val="22"/>
              </w:rPr>
            </w:pPr>
            <w:r>
              <w:rPr>
                <w:sz w:val="22"/>
              </w:rPr>
              <w:t>Conagua.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Ganadería</w:t>
            </w: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Aculco</w:t>
            </w:r>
          </w:p>
        </w:tc>
        <w:tc>
          <w:tcPr>
            <w:tcW w:w="1702" w:type="dxa"/>
            <w:tcBorders>
              <w:top w:val="nil"/>
              <w:bottom w:val="nil"/>
            </w:tcBorders>
          </w:tcPr>
          <w:p>
            <w:pPr>
              <w:pStyle w:val="TableParagraph"/>
              <w:tabs>
                <w:tab w:pos="1357" w:val="left" w:leader="none"/>
              </w:tabs>
              <w:spacing w:line="242" w:lineRule="exact"/>
              <w:rPr>
                <w:sz w:val="22"/>
              </w:rPr>
            </w:pPr>
            <w:r>
              <w:rPr>
                <w:sz w:val="22"/>
              </w:rPr>
              <w:t>problemas</w:t>
              <w:tab/>
              <w:t>se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necesita</w:t>
            </w:r>
            <w:r>
              <w:rPr>
                <w:spacing w:val="53"/>
                <w:sz w:val="22"/>
              </w:rPr>
              <w:t> </w:t>
            </w:r>
            <w:r>
              <w:rPr>
                <w:sz w:val="22"/>
              </w:rPr>
              <w:t>hacer</w:t>
            </w:r>
          </w:p>
        </w:tc>
        <w:tc>
          <w:tcPr>
            <w:tcW w:w="1985" w:type="dxa"/>
            <w:tcBorders>
              <w:top w:val="nil"/>
              <w:bottom w:val="nil"/>
            </w:tcBorders>
          </w:tcPr>
          <w:p>
            <w:pP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(4/I/2014)</w:t>
            </w: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3" w:lineRule="exact"/>
              <w:rPr>
                <w:sz w:val="22"/>
              </w:rPr>
            </w:pPr>
            <w:r>
              <w:rPr>
                <w:sz w:val="22"/>
              </w:rPr>
              <w:t>fosas</w:t>
              <w:tab/>
              <w:t>de</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oxidación</w:t>
            </w:r>
            <w:r>
              <w:rPr>
                <w:spacing w:val="50"/>
                <w:sz w:val="22"/>
              </w:rPr>
              <w:t> </w:t>
            </w:r>
            <w:r>
              <w:rPr>
                <w:sz w:val="22"/>
              </w:rPr>
              <w:t>para</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vMerge/>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tratar el agua.</w:t>
            </w:r>
          </w:p>
        </w:tc>
        <w:tc>
          <w:tcPr>
            <w:tcW w:w="1985" w:type="dxa"/>
            <w:tcBorders>
              <w:top w:val="nil"/>
            </w:tcBorders>
          </w:tcPr>
          <w:p>
            <w:pPr/>
          </w:p>
        </w:tc>
      </w:tr>
    </w:tbl>
    <w:p>
      <w:pPr>
        <w:spacing w:after="0"/>
        <w:sectPr>
          <w:footerReference w:type="default" r:id="rId177"/>
          <w:pgSz w:w="15840" w:h="12240" w:orient="landscape"/>
          <w:pgMar w:footer="943" w:header="0" w:top="1140" w:bottom="1140" w:left="1200" w:right="1300"/>
          <w:pgNumType w:start="21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540" w:hRule="exact"/>
        </w:trPr>
        <w:tc>
          <w:tcPr>
            <w:tcW w:w="1385" w:type="dxa"/>
          </w:tcPr>
          <w:p>
            <w:pPr>
              <w:pStyle w:val="TableParagraph"/>
              <w:spacing w:line="252" w:lineRule="exact" w:before="2"/>
              <w:ind w:left="184" w:right="184" w:hanging="2"/>
              <w:jc w:val="center"/>
              <w:rPr>
                <w:sz w:val="22"/>
              </w:rPr>
            </w:pPr>
            <w:r>
              <w:rPr>
                <w:sz w:val="22"/>
              </w:rPr>
              <w:t>Jorge Pichardo</w:t>
            </w:r>
          </w:p>
          <w:p>
            <w:pPr>
              <w:pStyle w:val="TableParagraph"/>
              <w:spacing w:before="8"/>
              <w:ind w:left="0"/>
              <w:rPr>
                <w:rFonts w:ascii="Times New Roman"/>
                <w:sz w:val="21"/>
              </w:rPr>
            </w:pPr>
          </w:p>
          <w:p>
            <w:pPr>
              <w:pStyle w:val="TableParagraph"/>
              <w:ind w:left="85" w:right="86"/>
              <w:jc w:val="center"/>
              <w:rPr>
                <w:sz w:val="22"/>
              </w:rPr>
            </w:pPr>
            <w:r>
              <w:rPr>
                <w:sz w:val="22"/>
              </w:rPr>
              <w:t>(7/7/2014)</w:t>
            </w:r>
          </w:p>
        </w:tc>
        <w:tc>
          <w:tcPr>
            <w:tcW w:w="1418" w:type="dxa"/>
          </w:tcPr>
          <w:p>
            <w:pPr>
              <w:pStyle w:val="TableParagraph"/>
              <w:ind w:left="100" w:right="114"/>
              <w:rPr>
                <w:sz w:val="22"/>
              </w:rPr>
            </w:pPr>
            <w:r>
              <w:rPr>
                <w:sz w:val="22"/>
              </w:rPr>
              <w:t>Campesino, ganadero y pescador</w:t>
            </w:r>
          </w:p>
        </w:tc>
        <w:tc>
          <w:tcPr>
            <w:tcW w:w="1841" w:type="dxa"/>
          </w:tcPr>
          <w:p>
            <w:pPr>
              <w:pStyle w:val="TableParagraph"/>
              <w:spacing w:line="250" w:lineRule="exact"/>
              <w:ind w:left="100"/>
              <w:rPr>
                <w:sz w:val="22"/>
              </w:rPr>
            </w:pPr>
            <w:r>
              <w:rPr>
                <w:sz w:val="22"/>
              </w:rPr>
              <w:t>Cooperativa</w:t>
            </w:r>
          </w:p>
          <w:p>
            <w:pPr>
              <w:pStyle w:val="TableParagraph"/>
              <w:spacing w:line="252" w:lineRule="exact"/>
              <w:ind w:left="100"/>
              <w:rPr>
                <w:sz w:val="22"/>
              </w:rPr>
            </w:pPr>
            <w:r>
              <w:rPr>
                <w:sz w:val="22"/>
              </w:rPr>
              <w:t>“Pichardo”</w:t>
            </w:r>
          </w:p>
        </w:tc>
        <w:tc>
          <w:tcPr>
            <w:tcW w:w="1135" w:type="dxa"/>
          </w:tcPr>
          <w:p>
            <w:pPr>
              <w:pStyle w:val="TableParagraph"/>
              <w:spacing w:line="252" w:lineRule="exact" w:before="2"/>
              <w:ind w:right="122"/>
              <w:rPr>
                <w:sz w:val="22"/>
              </w:rPr>
            </w:pPr>
            <w:r>
              <w:rPr>
                <w:sz w:val="22"/>
              </w:rPr>
              <w:t>Secretari o</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spacing w:line="251" w:lineRule="exact"/>
              <w:ind w:right="92"/>
              <w:rPr>
                <w:sz w:val="22"/>
              </w:rPr>
            </w:pPr>
            <w:r>
              <w:rPr>
                <w:sz w:val="22"/>
              </w:rPr>
              <w:t>Huapango</w:t>
            </w:r>
          </w:p>
        </w:tc>
        <w:tc>
          <w:tcPr>
            <w:tcW w:w="1133" w:type="dxa"/>
          </w:tcPr>
          <w:p>
            <w:pPr>
              <w:pStyle w:val="TableParagraph"/>
              <w:spacing w:line="252" w:lineRule="exact" w:before="2"/>
              <w:ind w:left="100" w:right="110"/>
              <w:rPr>
                <w:sz w:val="22"/>
              </w:rPr>
            </w:pPr>
            <w:r>
              <w:rPr>
                <w:sz w:val="22"/>
              </w:rPr>
              <w:t>Huapang o</w:t>
            </w:r>
          </w:p>
        </w:tc>
        <w:tc>
          <w:tcPr>
            <w:tcW w:w="1702" w:type="dxa"/>
          </w:tcPr>
          <w:p>
            <w:pPr>
              <w:pStyle w:val="TableParagraph"/>
              <w:tabs>
                <w:tab w:pos="880" w:val="left" w:leader="none"/>
              </w:tabs>
              <w:ind w:right="98"/>
              <w:rPr>
                <w:sz w:val="22"/>
              </w:rPr>
            </w:pPr>
            <w:r>
              <w:rPr>
                <w:sz w:val="22"/>
              </w:rPr>
              <w:t>Estos problemas podrían solucionarse con</w:t>
              <w:tab/>
              <w:t>plantas tratadoras.</w:t>
            </w:r>
          </w:p>
        </w:tc>
        <w:tc>
          <w:tcPr>
            <w:tcW w:w="1985" w:type="dxa"/>
          </w:tcPr>
          <w:p>
            <w:pPr>
              <w:pStyle w:val="TableParagraph"/>
              <w:ind w:right="99"/>
              <w:jc w:val="both"/>
              <w:rPr>
                <w:sz w:val="22"/>
              </w:rPr>
            </w:pPr>
            <w:r>
              <w:rPr>
                <w:sz w:val="22"/>
              </w:rPr>
              <w:t>Quienes deberían solucionar el problema son los municipios,       es</w:t>
            </w:r>
          </w:p>
          <w:p>
            <w:pPr>
              <w:pStyle w:val="TableParagraph"/>
              <w:tabs>
                <w:tab w:pos="1679" w:val="left" w:leader="none"/>
              </w:tabs>
              <w:spacing w:line="252" w:lineRule="exact" w:before="1"/>
              <w:rPr>
                <w:sz w:val="22"/>
              </w:rPr>
            </w:pPr>
            <w:r>
              <w:rPr>
                <w:sz w:val="22"/>
              </w:rPr>
              <w:t>decir,</w:t>
              <w:tab/>
              <w:t>El</w:t>
            </w:r>
          </w:p>
          <w:p>
            <w:pPr>
              <w:pStyle w:val="TableParagraph"/>
              <w:tabs>
                <w:tab w:pos="867" w:val="left" w:leader="none"/>
                <w:tab w:pos="1703" w:val="left" w:leader="none"/>
              </w:tabs>
              <w:ind w:right="99"/>
              <w:rPr>
                <w:sz w:val="22"/>
              </w:rPr>
            </w:pPr>
            <w:r>
              <w:rPr>
                <w:sz w:val="22"/>
              </w:rPr>
              <w:t>Ayuntamiento, en parte,</w:t>
              <w:tab/>
              <w:t>pero  </w:t>
            </w:r>
            <w:r>
              <w:rPr>
                <w:spacing w:val="11"/>
                <w:sz w:val="22"/>
              </w:rPr>
              <w:t> </w:t>
            </w:r>
            <w:r>
              <w:rPr>
                <w:sz w:val="22"/>
              </w:rPr>
              <w:t>que</w:t>
            </w:r>
            <w:r>
              <w:rPr>
                <w:w w:val="100"/>
                <w:sz w:val="22"/>
              </w:rPr>
              <w:t> </w:t>
            </w:r>
            <w:r>
              <w:rPr>
                <w:sz w:val="22"/>
              </w:rPr>
              <w:t>también</w:t>
              <w:tab/>
              <w:t>la comunidad participe.</w:t>
            </w:r>
          </w:p>
        </w:tc>
      </w:tr>
      <w:tr>
        <w:trPr>
          <w:trHeight w:val="267" w:hRule="exact"/>
        </w:trPr>
        <w:tc>
          <w:tcPr>
            <w:tcW w:w="1385" w:type="dxa"/>
            <w:tcBorders>
              <w:bottom w:val="nil"/>
            </w:tcBorders>
          </w:tcPr>
          <w:p>
            <w:pPr>
              <w:pStyle w:val="TableParagraph"/>
              <w:spacing w:line="251" w:lineRule="exact"/>
              <w:ind w:right="127"/>
              <w:rPr>
                <w:sz w:val="22"/>
              </w:rPr>
            </w:pPr>
            <w:r>
              <w:rPr>
                <w:sz w:val="22"/>
              </w:rPr>
              <w:t>Juan</w:t>
            </w:r>
          </w:p>
        </w:tc>
        <w:tc>
          <w:tcPr>
            <w:tcW w:w="1418" w:type="dxa"/>
            <w:tcBorders>
              <w:bottom w:val="nil"/>
            </w:tcBorders>
          </w:tcPr>
          <w:p>
            <w:pPr>
              <w:pStyle w:val="TableParagraph"/>
              <w:spacing w:line="251" w:lineRule="exact"/>
              <w:ind w:left="100" w:right="101"/>
              <w:rPr>
                <w:sz w:val="22"/>
              </w:rPr>
            </w:pPr>
            <w:r>
              <w:rPr>
                <w:sz w:val="22"/>
              </w:rPr>
              <w:t>Tenemos</w:t>
            </w:r>
          </w:p>
        </w:tc>
        <w:tc>
          <w:tcPr>
            <w:tcW w:w="1841" w:type="dxa"/>
            <w:tcBorders>
              <w:bottom w:val="nil"/>
            </w:tcBorders>
          </w:tcPr>
          <w:p>
            <w:pPr>
              <w:pStyle w:val="TableParagraph"/>
              <w:spacing w:line="251" w:lineRule="exact"/>
              <w:ind w:left="100"/>
              <w:rPr>
                <w:sz w:val="22"/>
              </w:rPr>
            </w:pPr>
            <w:r>
              <w:rPr>
                <w:sz w:val="22"/>
              </w:rPr>
              <w:t>Cooperativa  “El</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Aldama</w:t>
            </w:r>
          </w:p>
        </w:tc>
        <w:tc>
          <w:tcPr>
            <w:tcW w:w="1133" w:type="dxa"/>
            <w:tcBorders>
              <w:bottom w:val="nil"/>
            </w:tcBorders>
          </w:tcPr>
          <w:p>
            <w:pPr>
              <w:pStyle w:val="TableParagraph"/>
              <w:spacing w:line="251" w:lineRule="exact"/>
              <w:ind w:left="100" w:right="52"/>
              <w:rPr>
                <w:sz w:val="22"/>
              </w:rPr>
            </w:pPr>
            <w:r>
              <w:rPr>
                <w:sz w:val="22"/>
              </w:rPr>
              <w:t>Aldama</w:t>
            </w:r>
          </w:p>
        </w:tc>
        <w:tc>
          <w:tcPr>
            <w:tcW w:w="1702" w:type="dxa"/>
            <w:tcBorders>
              <w:bottom w:val="nil"/>
            </w:tcBorders>
          </w:tcPr>
          <w:p>
            <w:pPr>
              <w:pStyle w:val="TableParagraph"/>
              <w:tabs>
                <w:tab w:pos="671" w:val="left" w:leader="none"/>
              </w:tabs>
              <w:spacing w:line="251" w:lineRule="exact"/>
              <w:rPr>
                <w:sz w:val="22"/>
              </w:rPr>
            </w:pPr>
            <w:r>
              <w:rPr>
                <w:sz w:val="22"/>
              </w:rPr>
              <w:t>El</w:t>
              <w:tab/>
              <w:t>problema</w:t>
            </w:r>
          </w:p>
        </w:tc>
        <w:tc>
          <w:tcPr>
            <w:tcW w:w="1985" w:type="dxa"/>
            <w:tcBorders>
              <w:bottom w:val="nil"/>
            </w:tcBorders>
          </w:tcPr>
          <w:p>
            <w:pPr>
              <w:pStyle w:val="TableParagraph"/>
              <w:spacing w:line="251" w:lineRule="exact"/>
              <w:rPr>
                <w:sz w:val="22"/>
              </w:rPr>
            </w:pPr>
            <w:r>
              <w:rPr>
                <w:sz w:val="22"/>
              </w:rPr>
              <w:t>El problema de</w:t>
            </w:r>
            <w:r>
              <w:rPr>
                <w:spacing w:val="56"/>
                <w:sz w:val="22"/>
              </w:rPr>
              <w:t> </w:t>
            </w:r>
            <w:r>
              <w:rPr>
                <w:sz w:val="22"/>
              </w:rPr>
              <w:t>la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418" w:type="dxa"/>
            <w:tcBorders>
              <w:top w:val="nil"/>
              <w:bottom w:val="nil"/>
            </w:tcBorders>
          </w:tcPr>
          <w:p>
            <w:pPr>
              <w:pStyle w:val="TableParagraph"/>
              <w:spacing w:line="242" w:lineRule="exact"/>
              <w:ind w:left="100" w:right="101"/>
              <w:rPr>
                <w:sz w:val="22"/>
              </w:rPr>
            </w:pPr>
            <w:r>
              <w:rPr>
                <w:sz w:val="22"/>
              </w:rPr>
              <w:t>muchas</w:t>
            </w:r>
          </w:p>
        </w:tc>
        <w:tc>
          <w:tcPr>
            <w:tcW w:w="1841" w:type="dxa"/>
            <w:tcBorders>
              <w:top w:val="nil"/>
              <w:bottom w:val="nil"/>
            </w:tcBorders>
          </w:tcPr>
          <w:p>
            <w:pPr>
              <w:pStyle w:val="TableParagraph"/>
              <w:tabs>
                <w:tab w:pos="1189" w:val="left" w:leader="none"/>
              </w:tabs>
              <w:spacing w:line="242" w:lineRule="exact"/>
              <w:ind w:left="100"/>
              <w:rPr>
                <w:sz w:val="22"/>
              </w:rPr>
            </w:pPr>
            <w:r>
              <w:rPr>
                <w:sz w:val="22"/>
              </w:rPr>
              <w:t>Mogote”</w:t>
              <w:tab/>
              <w:t>(Para</w:t>
            </w:r>
          </w:p>
        </w:tc>
        <w:tc>
          <w:tcPr>
            <w:tcW w:w="1135" w:type="dxa"/>
            <w:tcBorders>
              <w:top w:val="nil"/>
              <w:bottom w:val="nil"/>
            </w:tcBorders>
          </w:tcPr>
          <w:p>
            <w:pPr>
              <w:pStyle w:val="TableParagraph"/>
              <w:spacing w:line="242" w:lineRule="exact"/>
              <w:rPr>
                <w:sz w:val="22"/>
              </w:rPr>
            </w:pPr>
            <w:r>
              <w:rPr>
                <w:sz w:val="22"/>
              </w:rPr>
              <w:t>te</w:t>
            </w:r>
          </w:p>
        </w:tc>
        <w:tc>
          <w:tcPr>
            <w:tcW w:w="991" w:type="dxa"/>
            <w:tcBorders>
              <w:top w:val="nil"/>
              <w:bottom w:val="nil"/>
            </w:tcBorders>
          </w:tcPr>
          <w:p>
            <w:pPr>
              <w:pStyle w:val="TableParagraph"/>
              <w:spacing w:line="242" w:lineRule="exact"/>
              <w:ind w:left="100"/>
              <w:rPr>
                <w:sz w:val="22"/>
              </w:rPr>
            </w:pPr>
            <w:r>
              <w:rPr>
                <w:w w:val="100"/>
                <w:sz w:val="22"/>
              </w:rPr>
              <w:t>c</w:t>
            </w:r>
          </w:p>
        </w:tc>
        <w:tc>
          <w:tcPr>
            <w:tcW w:w="1277" w:type="dxa"/>
            <w:tcBorders>
              <w:top w:val="nil"/>
              <w:bottom w:val="nil"/>
            </w:tcBorders>
          </w:tcPr>
          <w:p>
            <w:pPr>
              <w:pStyle w:val="TableParagraph"/>
              <w:spacing w:line="242" w:lineRule="exact"/>
              <w:ind w:right="92"/>
              <w:rPr>
                <w:sz w:val="22"/>
              </w:rPr>
            </w:pPr>
            <w:r>
              <w:rPr>
                <w:sz w:val="22"/>
              </w:rPr>
              <w:t>(Tercera</w:t>
            </w:r>
          </w:p>
        </w:tc>
        <w:tc>
          <w:tcPr>
            <w:tcW w:w="1133" w:type="dxa"/>
            <w:tcBorders>
              <w:top w:val="nil"/>
              <w:bottom w:val="nil"/>
            </w:tcBorders>
          </w:tcPr>
          <w:p>
            <w:pPr>
              <w:pStyle w:val="TableParagraph"/>
              <w:spacing w:line="242" w:lineRule="exact"/>
              <w:ind w:left="100" w:right="52"/>
              <w:rPr>
                <w:sz w:val="22"/>
              </w:rPr>
            </w:pPr>
            <w:r>
              <w:rPr>
                <w:sz w:val="22"/>
              </w:rPr>
              <w:t>(Tercera</w:t>
            </w:r>
          </w:p>
        </w:tc>
        <w:tc>
          <w:tcPr>
            <w:tcW w:w="1702" w:type="dxa"/>
            <w:tcBorders>
              <w:top w:val="nil"/>
              <w:bottom w:val="nil"/>
            </w:tcBorders>
          </w:tcPr>
          <w:p>
            <w:pPr>
              <w:pStyle w:val="TableParagraph"/>
              <w:spacing w:line="242" w:lineRule="exact"/>
              <w:rPr>
                <w:sz w:val="22"/>
              </w:rPr>
            </w:pPr>
            <w:r>
              <w:rPr>
                <w:sz w:val="22"/>
              </w:rPr>
              <w:t>compete</w:t>
            </w:r>
          </w:p>
        </w:tc>
        <w:tc>
          <w:tcPr>
            <w:tcW w:w="1985" w:type="dxa"/>
            <w:tcBorders>
              <w:top w:val="nil"/>
              <w:bottom w:val="nil"/>
            </w:tcBorders>
          </w:tcPr>
          <w:p>
            <w:pPr>
              <w:pStyle w:val="TableParagraph"/>
              <w:spacing w:line="242" w:lineRule="exact"/>
              <w:rPr>
                <w:sz w:val="22"/>
              </w:rPr>
            </w:pPr>
            <w:r>
              <w:rPr>
                <w:sz w:val="22"/>
              </w:rPr>
              <w:t>contaminación</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Huitrón</w:t>
            </w:r>
          </w:p>
        </w:tc>
        <w:tc>
          <w:tcPr>
            <w:tcW w:w="1418" w:type="dxa"/>
            <w:tcBorders>
              <w:top w:val="nil"/>
              <w:bottom w:val="nil"/>
            </w:tcBorders>
          </w:tcPr>
          <w:p>
            <w:pPr>
              <w:pStyle w:val="TableParagraph"/>
              <w:spacing w:line="241" w:lineRule="exact"/>
              <w:ind w:left="100" w:right="101"/>
              <w:rPr>
                <w:sz w:val="22"/>
              </w:rPr>
            </w:pPr>
            <w:r>
              <w:rPr>
                <w:sz w:val="22"/>
              </w:rPr>
              <w:t>ocupacione</w:t>
            </w:r>
          </w:p>
        </w:tc>
        <w:tc>
          <w:tcPr>
            <w:tcW w:w="1841" w:type="dxa"/>
            <w:tcBorders>
              <w:top w:val="nil"/>
              <w:bottom w:val="nil"/>
            </w:tcBorders>
          </w:tcPr>
          <w:p>
            <w:pPr>
              <w:pStyle w:val="TableParagraph"/>
              <w:spacing w:line="241" w:lineRule="exact"/>
              <w:ind w:left="100"/>
              <w:rPr>
                <w:sz w:val="22"/>
              </w:rPr>
            </w:pPr>
            <w:r>
              <w:rPr>
                <w:sz w:val="22"/>
              </w:rPr>
              <w:t>Gobernación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Manzana</w:t>
            </w:r>
          </w:p>
        </w:tc>
        <w:tc>
          <w:tcPr>
            <w:tcW w:w="1133" w:type="dxa"/>
            <w:tcBorders>
              <w:top w:val="nil"/>
              <w:bottom w:val="nil"/>
            </w:tcBorders>
          </w:tcPr>
          <w:p>
            <w:pPr>
              <w:pStyle w:val="TableParagraph"/>
              <w:spacing w:line="241" w:lineRule="exact"/>
              <w:ind w:left="100" w:right="52"/>
              <w:rPr>
                <w:sz w:val="22"/>
              </w:rPr>
            </w:pPr>
            <w:r>
              <w:rPr>
                <w:sz w:val="22"/>
              </w:rPr>
              <w:t>Manzana</w:t>
            </w:r>
          </w:p>
        </w:tc>
        <w:tc>
          <w:tcPr>
            <w:tcW w:w="1702" w:type="dxa"/>
            <w:tcBorders>
              <w:top w:val="nil"/>
              <w:bottom w:val="nil"/>
            </w:tcBorders>
          </w:tcPr>
          <w:p>
            <w:pPr>
              <w:pStyle w:val="TableParagraph"/>
              <w:spacing w:line="241" w:lineRule="exact"/>
              <w:rPr>
                <w:sz w:val="22"/>
              </w:rPr>
            </w:pPr>
            <w:r>
              <w:rPr>
                <w:sz w:val="22"/>
              </w:rPr>
              <w:t>solucionarlo  al</w:t>
            </w:r>
          </w:p>
        </w:tc>
        <w:tc>
          <w:tcPr>
            <w:tcW w:w="1985" w:type="dxa"/>
            <w:tcBorders>
              <w:top w:val="nil"/>
              <w:bottom w:val="nil"/>
            </w:tcBorders>
          </w:tcPr>
          <w:p>
            <w:pPr>
              <w:pStyle w:val="TableParagraph"/>
              <w:spacing w:line="241" w:lineRule="exact"/>
              <w:rPr>
                <w:sz w:val="22"/>
              </w:rPr>
            </w:pPr>
            <w:r>
              <w:rPr>
                <w:sz w:val="22"/>
              </w:rPr>
              <w:t>deberían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(7/7/2014)</w:t>
            </w:r>
          </w:p>
        </w:tc>
        <w:tc>
          <w:tcPr>
            <w:tcW w:w="1418" w:type="dxa"/>
            <w:tcBorders>
              <w:top w:val="nil"/>
              <w:bottom w:val="nil"/>
            </w:tcBorders>
          </w:tcPr>
          <w:p>
            <w:pPr>
              <w:pStyle w:val="TableParagraph"/>
              <w:tabs>
                <w:tab w:pos="582" w:val="left" w:leader="none"/>
              </w:tabs>
              <w:spacing w:line="241" w:lineRule="exact"/>
              <w:ind w:left="100"/>
              <w:rPr>
                <w:sz w:val="22"/>
              </w:rPr>
            </w:pPr>
            <w:r>
              <w:rPr>
                <w:sz w:val="22"/>
              </w:rPr>
              <w:t>s:</w:t>
              <w:tab/>
              <w:t>campo,</w:t>
            </w:r>
          </w:p>
        </w:tc>
        <w:tc>
          <w:tcPr>
            <w:tcW w:w="1841" w:type="dxa"/>
            <w:tcBorders>
              <w:top w:val="nil"/>
              <w:bottom w:val="nil"/>
            </w:tcBorders>
          </w:tcPr>
          <w:p>
            <w:pPr>
              <w:pStyle w:val="TableParagraph"/>
              <w:tabs>
                <w:tab w:pos="1619" w:val="left" w:leader="none"/>
              </w:tabs>
              <w:spacing w:line="241" w:lineRule="exact"/>
              <w:ind w:left="100"/>
              <w:rPr>
                <w:sz w:val="22"/>
              </w:rPr>
            </w:pPr>
            <w:r>
              <w:rPr>
                <w:sz w:val="22"/>
              </w:rPr>
              <w:t>Estado)</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de El</w:t>
            </w:r>
          </w:p>
        </w:tc>
        <w:tc>
          <w:tcPr>
            <w:tcW w:w="1133" w:type="dxa"/>
            <w:tcBorders>
              <w:top w:val="nil"/>
              <w:bottom w:val="nil"/>
            </w:tcBorders>
          </w:tcPr>
          <w:p>
            <w:pPr>
              <w:pStyle w:val="TableParagraph"/>
              <w:spacing w:line="241" w:lineRule="exact"/>
              <w:ind w:left="100" w:right="52"/>
              <w:rPr>
                <w:sz w:val="22"/>
              </w:rPr>
            </w:pPr>
            <w:r>
              <w:rPr>
                <w:sz w:val="22"/>
              </w:rPr>
              <w:t>de El</w:t>
            </w:r>
          </w:p>
        </w:tc>
        <w:tc>
          <w:tcPr>
            <w:tcW w:w="1702" w:type="dxa"/>
            <w:tcBorders>
              <w:top w:val="nil"/>
              <w:bottom w:val="nil"/>
            </w:tcBorders>
          </w:tcPr>
          <w:p>
            <w:pPr>
              <w:pStyle w:val="TableParagraph"/>
              <w:spacing w:line="241" w:lineRule="exact"/>
              <w:rPr>
                <w:sz w:val="22"/>
              </w:rPr>
            </w:pPr>
            <w:r>
              <w:rPr>
                <w:sz w:val="22"/>
              </w:rPr>
              <w:t>que  pesca,</w:t>
            </w:r>
            <w:r>
              <w:rPr>
                <w:spacing w:val="54"/>
                <w:sz w:val="22"/>
              </w:rPr>
              <w:t> </w:t>
            </w:r>
            <w:r>
              <w:rPr>
                <w:sz w:val="22"/>
              </w:rPr>
              <w:t>es</w:t>
            </w:r>
          </w:p>
        </w:tc>
        <w:tc>
          <w:tcPr>
            <w:tcW w:w="1985" w:type="dxa"/>
            <w:tcBorders>
              <w:top w:val="nil"/>
              <w:bottom w:val="nil"/>
            </w:tcBorders>
          </w:tcPr>
          <w:p>
            <w:pPr>
              <w:pStyle w:val="TableParagraph"/>
              <w:tabs>
                <w:tab w:pos="1591" w:val="left" w:leader="none"/>
              </w:tabs>
              <w:spacing w:line="241" w:lineRule="exact"/>
              <w:rPr>
                <w:sz w:val="22"/>
              </w:rPr>
            </w:pPr>
            <w:r>
              <w:rPr>
                <w:sz w:val="22"/>
              </w:rPr>
              <w:t>solucionarlo</w:t>
              <w:tab/>
              <w:t>las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tabs>
                <w:tab w:pos="1194" w:val="left" w:leader="none"/>
              </w:tabs>
              <w:spacing w:line="242" w:lineRule="exact"/>
              <w:ind w:left="100"/>
              <w:rPr>
                <w:sz w:val="22"/>
              </w:rPr>
            </w:pPr>
            <w:r>
              <w:rPr>
                <w:sz w:val="22"/>
              </w:rPr>
              <w:t>ganado</w:t>
              <w:tab/>
              <w:t>y</w:t>
            </w:r>
          </w:p>
        </w:tc>
        <w:tc>
          <w:tcPr>
            <w:tcW w:w="1841" w:type="dxa"/>
            <w:tcBorders>
              <w:top w:val="nil"/>
              <w:bottom w:val="nil"/>
            </w:tcBorders>
          </w:tcPr>
          <w:p>
            <w:pPr>
              <w:pStyle w:val="TableParagraph"/>
              <w:spacing w:line="242" w:lineRule="exact"/>
              <w:ind w:left="100"/>
              <w:rPr>
                <w:sz w:val="22"/>
              </w:rPr>
            </w:pPr>
            <w:r>
              <w:rPr>
                <w:sz w:val="22"/>
              </w:rPr>
              <w:t>Cooperativa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Trojillo),</w:t>
            </w:r>
          </w:p>
        </w:tc>
        <w:tc>
          <w:tcPr>
            <w:tcW w:w="1133" w:type="dxa"/>
            <w:tcBorders>
              <w:top w:val="nil"/>
              <w:bottom w:val="nil"/>
            </w:tcBorders>
          </w:tcPr>
          <w:p>
            <w:pPr>
              <w:pStyle w:val="TableParagraph"/>
              <w:spacing w:line="242" w:lineRule="exact"/>
              <w:ind w:left="100" w:right="52"/>
              <w:rPr>
                <w:sz w:val="22"/>
              </w:rPr>
            </w:pPr>
            <w:r>
              <w:rPr>
                <w:sz w:val="22"/>
              </w:rPr>
              <w:t>Trojillo),</w:t>
            </w:r>
          </w:p>
        </w:tc>
        <w:tc>
          <w:tcPr>
            <w:tcW w:w="1702" w:type="dxa"/>
            <w:tcBorders>
              <w:top w:val="nil"/>
              <w:bottom w:val="nil"/>
            </w:tcBorders>
          </w:tcPr>
          <w:p>
            <w:pPr>
              <w:pStyle w:val="TableParagraph"/>
              <w:tabs>
                <w:tab w:pos="882" w:val="left" w:leader="none"/>
                <w:tab w:pos="1307" w:val="left" w:leader="none"/>
              </w:tabs>
              <w:spacing w:line="242" w:lineRule="exact"/>
              <w:rPr>
                <w:sz w:val="22"/>
              </w:rPr>
            </w:pPr>
            <w:r>
              <w:rPr>
                <w:sz w:val="22"/>
              </w:rPr>
              <w:t>decir</w:t>
              <w:tab/>
              <w:t>a</w:t>
              <w:tab/>
              <w:t>los</w:t>
            </w:r>
          </w:p>
        </w:tc>
        <w:tc>
          <w:tcPr>
            <w:tcW w:w="1985" w:type="dxa"/>
            <w:tcBorders>
              <w:top w:val="nil"/>
              <w:bottom w:val="nil"/>
            </w:tcBorders>
          </w:tcPr>
          <w:p>
            <w:pPr>
              <w:pStyle w:val="TableParagraph"/>
              <w:tabs>
                <w:tab w:pos="1504" w:val="left" w:leader="none"/>
              </w:tabs>
              <w:spacing w:line="242" w:lineRule="exact"/>
              <w:rPr>
                <w:sz w:val="22"/>
              </w:rPr>
            </w:pPr>
            <w:r>
              <w:rPr>
                <w:sz w:val="22"/>
              </w:rPr>
              <w:t>autoridades</w:t>
              <w:tab/>
              <w:t>que</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pesca.</w:t>
            </w:r>
          </w:p>
        </w:tc>
        <w:tc>
          <w:tcPr>
            <w:tcW w:w="1841" w:type="dxa"/>
            <w:tcBorders>
              <w:top w:val="nil"/>
              <w:bottom w:val="nil"/>
            </w:tcBorders>
          </w:tcPr>
          <w:p>
            <w:pPr>
              <w:pStyle w:val="TableParagraph"/>
              <w:spacing w:line="241" w:lineRule="exact"/>
              <w:ind w:left="100"/>
              <w:rPr>
                <w:sz w:val="22"/>
              </w:rPr>
            </w:pPr>
            <w:r>
              <w:rPr>
                <w:sz w:val="22"/>
              </w:rPr>
              <w:t>Rinconcito”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Style w:val="TableParagraph"/>
              <w:spacing w:line="241" w:lineRule="exact"/>
              <w:rPr>
                <w:sz w:val="22"/>
              </w:rPr>
            </w:pPr>
            <w:r>
              <w:rPr>
                <w:sz w:val="22"/>
              </w:rPr>
              <w:t>usuarios.</w:t>
            </w:r>
          </w:p>
        </w:tc>
        <w:tc>
          <w:tcPr>
            <w:tcW w:w="1985" w:type="dxa"/>
            <w:tcBorders>
              <w:top w:val="nil"/>
              <w:bottom w:val="nil"/>
            </w:tcBorders>
          </w:tcPr>
          <w:p>
            <w:pPr>
              <w:pStyle w:val="TableParagraph"/>
              <w:spacing w:line="241" w:lineRule="exact"/>
              <w:rPr>
                <w:sz w:val="22"/>
              </w:rPr>
            </w:pPr>
            <w:r>
              <w:rPr>
                <w:sz w:val="22"/>
              </w:rPr>
              <w:t>pongan depósitos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556" w:val="left" w:leader="none"/>
              </w:tabs>
              <w:spacing w:line="242" w:lineRule="exact"/>
              <w:ind w:left="100"/>
              <w:rPr>
                <w:sz w:val="22"/>
              </w:rPr>
            </w:pPr>
            <w:r>
              <w:rPr>
                <w:sz w:val="22"/>
              </w:rPr>
              <w:t>(para</w:t>
              <w:tab/>
              <w:t>la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Pr>
                <w:sz w:val="22"/>
              </w:rPr>
            </w:pPr>
            <w:r>
              <w:rPr>
                <w:w w:val="100"/>
                <w:sz w:val="22"/>
              </w:rPr>
              <w:t>.</w:t>
            </w: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de basura y lo  de</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31" w:val="left" w:leader="none"/>
              </w:tabs>
              <w:spacing w:line="241" w:lineRule="exact"/>
              <w:ind w:left="100"/>
              <w:rPr>
                <w:sz w:val="22"/>
              </w:rPr>
            </w:pPr>
            <w:r>
              <w:rPr>
                <w:sz w:val="22"/>
              </w:rPr>
              <w:t>Secretaría</w:t>
              <w:tab/>
              <w:t>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la pesca nosotros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Trabajo).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593" w:val="left" w:leader="none"/>
              </w:tabs>
              <w:spacing w:line="241" w:lineRule="exact"/>
              <w:rPr>
                <w:sz w:val="22"/>
              </w:rPr>
            </w:pPr>
            <w:r>
              <w:rPr>
                <w:sz w:val="22"/>
              </w:rPr>
              <w:t>porque</w:t>
              <w:tab/>
              <w:t>las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629" w:val="left" w:leader="none"/>
              </w:tabs>
              <w:spacing w:line="242" w:lineRule="exact"/>
              <w:rPr>
                <w:sz w:val="22"/>
              </w:rPr>
            </w:pPr>
            <w:r>
              <w:rPr>
                <w:sz w:val="22"/>
              </w:rPr>
              <w:t>autoridades</w:t>
              <w:tab/>
              <w:t>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vez  de  organizar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593" w:val="left" w:leader="none"/>
              </w:tabs>
              <w:spacing w:line="242" w:lineRule="exact"/>
              <w:rPr>
                <w:sz w:val="22"/>
              </w:rPr>
            </w:pPr>
            <w:r>
              <w:rPr>
                <w:sz w:val="22"/>
              </w:rPr>
              <w:t>empeoraron</w:t>
              <w:tab/>
              <w:t>las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629" w:val="left" w:leader="none"/>
              </w:tabs>
              <w:spacing w:line="241" w:lineRule="exact"/>
              <w:rPr>
                <w:sz w:val="22"/>
              </w:rPr>
            </w:pPr>
            <w:r>
              <w:rPr>
                <w:sz w:val="22"/>
              </w:rPr>
              <w:t>cosas,</w:t>
              <w:tab/>
              <w:t>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213" w:val="left" w:leader="none"/>
              </w:tabs>
              <w:spacing w:line="241" w:lineRule="exact"/>
              <w:rPr>
                <w:sz w:val="22"/>
              </w:rPr>
            </w:pPr>
            <w:r>
              <w:rPr>
                <w:sz w:val="22"/>
              </w:rPr>
              <w:t>podemos</w:t>
              <w:tab/>
              <w:t>pescar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952" w:val="left" w:leader="none"/>
                <w:tab w:pos="1628" w:val="left" w:leader="none"/>
              </w:tabs>
              <w:spacing w:line="242" w:lineRule="exact"/>
              <w:rPr>
                <w:sz w:val="22"/>
              </w:rPr>
            </w:pPr>
            <w:r>
              <w:rPr>
                <w:sz w:val="22"/>
              </w:rPr>
              <w:t>más</w:t>
              <w:tab/>
              <w:t>de</w:t>
              <w:tab/>
              <w:t>10</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kilogramos  y  por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223" w:val="left" w:leader="none"/>
              </w:tabs>
              <w:spacing w:line="242" w:lineRule="exact"/>
              <w:rPr>
                <w:sz w:val="22"/>
              </w:rPr>
            </w:pPr>
            <w:r>
              <w:rPr>
                <w:sz w:val="22"/>
              </w:rPr>
              <w:t>ningún</w:t>
              <w:tab/>
              <w:t>motivo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estoy de acuerdo,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es  un robo y  nos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hacen pelear,</w:t>
            </w:r>
            <w:r>
              <w:rPr>
                <w:spacing w:val="53"/>
                <w:sz w:val="22"/>
              </w:rPr>
              <w:t> </w:t>
            </w:r>
            <w:r>
              <w:rPr>
                <w:sz w:val="22"/>
              </w:rPr>
              <w:t>por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928" w:val="left" w:leader="none"/>
                <w:tab w:pos="1629" w:val="left" w:leader="none"/>
              </w:tabs>
              <w:spacing w:line="241" w:lineRule="exact"/>
              <w:rPr>
                <w:sz w:val="22"/>
              </w:rPr>
            </w:pPr>
            <w:r>
              <w:rPr>
                <w:sz w:val="22"/>
              </w:rPr>
              <w:t>eso</w:t>
              <w:tab/>
              <w:t>ya</w:t>
              <w:tab/>
              <w:t>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sabemos si ir</w:t>
            </w:r>
            <w:r>
              <w:rPr>
                <w:spacing w:val="57"/>
                <w:sz w:val="22"/>
              </w:rPr>
              <w:t> </w:t>
            </w:r>
            <w:r>
              <w:rPr>
                <w:sz w:val="22"/>
              </w:rPr>
              <w:t>con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el  gobierno  o  en</w:t>
            </w: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2" w:lineRule="exact"/>
              <w:rPr>
                <w:sz w:val="22"/>
              </w:rPr>
            </w:pPr>
            <w:r>
              <w:rPr>
                <w:sz w:val="22"/>
              </w:rPr>
              <w:t>contra de él.</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tcBorders>
              <w:bottom w:val="nil"/>
            </w:tcBorders>
          </w:tcPr>
          <w:p>
            <w:pPr>
              <w:pStyle w:val="TableParagraph"/>
              <w:spacing w:line="251" w:lineRule="exact"/>
              <w:rPr>
                <w:sz w:val="22"/>
              </w:rPr>
            </w:pPr>
            <w:r>
              <w:rPr>
                <w:sz w:val="22"/>
              </w:rPr>
              <w:t>Gumecindo</w:t>
            </w:r>
          </w:p>
        </w:tc>
        <w:tc>
          <w:tcPr>
            <w:tcW w:w="1418" w:type="dxa"/>
            <w:tcBorders>
              <w:bottom w:val="nil"/>
            </w:tcBorders>
          </w:tcPr>
          <w:p>
            <w:pPr>
              <w:pStyle w:val="TableParagraph"/>
              <w:spacing w:line="251" w:lineRule="exact"/>
              <w:ind w:left="100"/>
              <w:rPr>
                <w:sz w:val="22"/>
              </w:rPr>
            </w:pPr>
            <w:r>
              <w:rPr>
                <w:sz w:val="22"/>
              </w:rPr>
              <w:t>Pescar  y</w:t>
            </w:r>
            <w:r>
              <w:rPr>
                <w:spacing w:val="55"/>
                <w:sz w:val="22"/>
              </w:rPr>
              <w:t> </w:t>
            </w:r>
            <w:r>
              <w:rPr>
                <w:sz w:val="22"/>
              </w:rPr>
              <w:t>el</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Estos</w:t>
            </w:r>
          </w:p>
        </w:tc>
        <w:tc>
          <w:tcPr>
            <w:tcW w:w="1985" w:type="dxa"/>
            <w:tcBorders>
              <w:bottom w:val="nil"/>
            </w:tcBorders>
          </w:tcPr>
          <w:p>
            <w:pPr>
              <w:pStyle w:val="TableParagraph"/>
              <w:spacing w:line="251" w:lineRule="exact"/>
              <w:rPr>
                <w:sz w:val="22"/>
              </w:rPr>
            </w:pPr>
            <w:r>
              <w:rPr>
                <w:sz w:val="22"/>
              </w:rPr>
              <w:t>Quienes debieran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Rivas</w:t>
            </w:r>
          </w:p>
        </w:tc>
        <w:tc>
          <w:tcPr>
            <w:tcW w:w="1418" w:type="dxa"/>
            <w:tcBorders>
              <w:top w:val="nil"/>
              <w:bottom w:val="nil"/>
            </w:tcBorders>
          </w:tcPr>
          <w:p>
            <w:pPr>
              <w:pStyle w:val="TableParagraph"/>
              <w:spacing w:line="241" w:lineRule="exact"/>
              <w:ind w:left="100" w:right="101"/>
              <w:rPr>
                <w:sz w:val="22"/>
              </w:rPr>
            </w:pPr>
            <w:r>
              <w:rPr>
                <w:sz w:val="22"/>
              </w:rPr>
              <w:t>campo</w:t>
            </w:r>
          </w:p>
        </w:tc>
        <w:tc>
          <w:tcPr>
            <w:tcW w:w="1841" w:type="dxa"/>
            <w:tcBorders>
              <w:top w:val="nil"/>
              <w:bottom w:val="nil"/>
            </w:tcBorders>
          </w:tcPr>
          <w:p>
            <w:pPr>
              <w:pStyle w:val="TableParagraph"/>
              <w:spacing w:line="241" w:lineRule="exact"/>
              <w:ind w:left="100"/>
              <w:rPr>
                <w:sz w:val="22"/>
              </w:rPr>
            </w:pPr>
            <w:r>
              <w:rPr>
                <w:sz w:val="22"/>
              </w:rPr>
              <w:t>“Rivas Islas”</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spacing w:line="241" w:lineRule="exact"/>
              <w:rPr>
                <w:sz w:val="22"/>
              </w:rPr>
            </w:pPr>
            <w:r>
              <w:rPr>
                <w:sz w:val="22"/>
              </w:rPr>
              <w:t>problemas</w:t>
            </w:r>
          </w:p>
        </w:tc>
        <w:tc>
          <w:tcPr>
            <w:tcW w:w="1985" w:type="dxa"/>
            <w:tcBorders>
              <w:top w:val="nil"/>
              <w:bottom w:val="nil"/>
            </w:tcBorders>
          </w:tcPr>
          <w:p>
            <w:pPr>
              <w:pStyle w:val="TableParagraph"/>
              <w:tabs>
                <w:tab w:pos="1593" w:val="left" w:leader="none"/>
              </w:tabs>
              <w:spacing w:line="241" w:lineRule="exact"/>
              <w:rPr>
                <w:sz w:val="22"/>
              </w:rPr>
            </w:pPr>
            <w:r>
              <w:rPr>
                <w:sz w:val="22"/>
              </w:rPr>
              <w:t>solucionar</w:t>
              <w:tab/>
              <w:t>los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Rodríguez</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(7 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spacing w:line="242" w:lineRule="exact"/>
              <w:rPr>
                <w:sz w:val="22"/>
              </w:rPr>
            </w:pPr>
            <w:r>
              <w:rPr>
                <w:sz w:val="22"/>
              </w:rPr>
              <w:t>podrían</w:t>
            </w:r>
          </w:p>
        </w:tc>
        <w:tc>
          <w:tcPr>
            <w:tcW w:w="1985" w:type="dxa"/>
            <w:tcBorders>
              <w:top w:val="nil"/>
              <w:bottom w:val="nil"/>
            </w:tcBorders>
          </w:tcPr>
          <w:p>
            <w:pPr>
              <w:pStyle w:val="TableParagraph"/>
              <w:tabs>
                <w:tab w:pos="1518" w:val="left" w:leader="none"/>
              </w:tabs>
              <w:spacing w:line="242" w:lineRule="exact"/>
              <w:rPr>
                <w:sz w:val="22"/>
              </w:rPr>
            </w:pPr>
            <w:r>
              <w:rPr>
                <w:sz w:val="22"/>
              </w:rPr>
              <w:t>problemas</w:t>
              <w:tab/>
              <w:t>son</w:t>
            </w: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solucionarse</w:t>
            </w:r>
          </w:p>
        </w:tc>
        <w:tc>
          <w:tcPr>
            <w:tcW w:w="1985" w:type="dxa"/>
            <w:tcBorders>
              <w:top w:val="nil"/>
              <w:bottom w:val="nil"/>
            </w:tcBorders>
          </w:tcPr>
          <w:p>
            <w:pPr>
              <w:pStyle w:val="TableParagraph"/>
              <w:tabs>
                <w:tab w:pos="736" w:val="left" w:leader="none"/>
              </w:tabs>
              <w:spacing w:line="241" w:lineRule="exact"/>
              <w:rPr>
                <w:sz w:val="22"/>
              </w:rPr>
            </w:pPr>
            <w:r>
              <w:rPr>
                <w:sz w:val="22"/>
              </w:rPr>
              <w:t>los</w:t>
              <w:tab/>
              <w:t>presidentes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sembrando</w:t>
            </w:r>
          </w:p>
        </w:tc>
        <w:tc>
          <w:tcPr>
            <w:tcW w:w="1985" w:type="dxa"/>
            <w:tcBorders>
              <w:top w:val="nil"/>
              <w:bottom w:val="nil"/>
            </w:tcBorders>
          </w:tcPr>
          <w:p>
            <w:pPr>
              <w:pStyle w:val="TableParagraph"/>
              <w:spacing w:line="242" w:lineRule="exact"/>
              <w:rPr>
                <w:sz w:val="22"/>
              </w:rPr>
            </w:pPr>
            <w:r>
              <w:rPr>
                <w:sz w:val="22"/>
              </w:rPr>
              <w:t>municipales.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pescado,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53" w:val="left" w:leader="none"/>
              </w:tabs>
              <w:spacing w:line="241" w:lineRule="exact"/>
              <w:rPr>
                <w:sz w:val="22"/>
              </w:rPr>
            </w:pPr>
            <w:r>
              <w:rPr>
                <w:sz w:val="22"/>
              </w:rPr>
              <w:t>porque</w:t>
              <w:tab/>
              <w:t>hasta</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ahora   sólo  el</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presidente</w:t>
              <w:tab/>
              <w:t>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Acambay</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sembró.</w:t>
            </w: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Fortino</w:t>
            </w:r>
          </w:p>
        </w:tc>
        <w:tc>
          <w:tcPr>
            <w:tcW w:w="1418" w:type="dxa"/>
            <w:tcBorders>
              <w:bottom w:val="nil"/>
            </w:tcBorders>
          </w:tcPr>
          <w:p>
            <w:pPr>
              <w:pStyle w:val="TableParagraph"/>
              <w:ind w:left="100"/>
              <w:rPr>
                <w:sz w:val="22"/>
              </w:rPr>
            </w:pPr>
            <w:r>
              <w:rPr>
                <w:sz w:val="22"/>
              </w:rPr>
              <w:t>El  campo</w:t>
            </w:r>
            <w:r>
              <w:rPr>
                <w:spacing w:val="53"/>
                <w:sz w:val="22"/>
              </w:rPr>
              <w:t> </w:t>
            </w:r>
            <w:r>
              <w:rPr>
                <w:sz w:val="22"/>
              </w:rPr>
              <w:t>y</w:t>
            </w:r>
          </w:p>
        </w:tc>
        <w:tc>
          <w:tcPr>
            <w:tcW w:w="1841" w:type="dxa"/>
            <w:tcBorders>
              <w:bottom w:val="nil"/>
            </w:tcBorders>
          </w:tcPr>
          <w:p>
            <w:pPr>
              <w:pStyle w:val="TableParagraph"/>
              <w:ind w:left="100"/>
              <w:rPr>
                <w:sz w:val="22"/>
              </w:rPr>
            </w:pPr>
            <w:r>
              <w:rPr>
                <w:sz w:val="22"/>
              </w:rPr>
              <w:t>Cooperatica</w:t>
            </w:r>
          </w:p>
        </w:tc>
        <w:tc>
          <w:tcPr>
            <w:tcW w:w="1135" w:type="dxa"/>
            <w:tcBorders>
              <w:bottom w:val="nil"/>
            </w:tcBorders>
          </w:tcPr>
          <w:p>
            <w:pPr>
              <w:pStyle w:val="TableParagraph"/>
              <w:rPr>
                <w:sz w:val="22"/>
              </w:rPr>
            </w:pPr>
            <w:r>
              <w:rPr>
                <w:sz w:val="22"/>
              </w:rPr>
              <w:t>Tesorero</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El</w:t>
            </w:r>
          </w:p>
        </w:tc>
        <w:tc>
          <w:tcPr>
            <w:tcW w:w="1133" w:type="dxa"/>
            <w:tcBorders>
              <w:bottom w:val="nil"/>
            </w:tcBorders>
          </w:tcPr>
          <w:p>
            <w:pPr>
              <w:pStyle w:val="TableParagraph"/>
              <w:ind w:left="100" w:right="52"/>
              <w:rPr>
                <w:sz w:val="22"/>
              </w:rPr>
            </w:pPr>
            <w:r>
              <w:rPr>
                <w:sz w:val="22"/>
              </w:rPr>
              <w:t>El</w:t>
            </w:r>
          </w:p>
        </w:tc>
        <w:tc>
          <w:tcPr>
            <w:tcW w:w="1702" w:type="dxa"/>
            <w:tcBorders>
              <w:bottom w:val="nil"/>
            </w:tcBorders>
          </w:tcPr>
          <w:p>
            <w:pPr>
              <w:pStyle w:val="TableParagraph"/>
              <w:tabs>
                <w:tab w:pos="1307" w:val="left" w:leader="none"/>
              </w:tabs>
              <w:rPr>
                <w:sz w:val="22"/>
              </w:rPr>
            </w:pPr>
            <w:r>
              <w:rPr>
                <w:sz w:val="22"/>
              </w:rPr>
              <w:t>Vinieron</w:t>
              <w:tab/>
              <w:t>los</w:t>
            </w:r>
          </w:p>
        </w:tc>
        <w:tc>
          <w:tcPr>
            <w:tcW w:w="1985" w:type="dxa"/>
            <w:tcBorders>
              <w:bottom w:val="nil"/>
            </w:tcBorders>
          </w:tcPr>
          <w:p>
            <w:pPr>
              <w:pStyle w:val="TableParagraph"/>
              <w:rPr>
                <w:sz w:val="22"/>
              </w:rPr>
            </w:pPr>
            <w:r>
              <w:rPr>
                <w:sz w:val="22"/>
              </w:rPr>
              <w:t>Los  que debieran</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la pesca</w:t>
            </w:r>
          </w:p>
        </w:tc>
        <w:tc>
          <w:tcPr>
            <w:tcW w:w="1841" w:type="dxa"/>
            <w:tcBorders>
              <w:top w:val="nil"/>
              <w:bottom w:val="nil"/>
            </w:tcBorders>
          </w:tcPr>
          <w:p>
            <w:pPr>
              <w:pStyle w:val="TableParagraph"/>
              <w:spacing w:line="241" w:lineRule="exact"/>
              <w:ind w:left="100"/>
              <w:rPr>
                <w:sz w:val="22"/>
              </w:rPr>
            </w:pPr>
            <w:r>
              <w:rPr>
                <w:sz w:val="22"/>
              </w:rPr>
              <w:t>“Pescamex”</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Azafrán,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spacing w:line="241" w:lineRule="exact"/>
              <w:rPr>
                <w:sz w:val="22"/>
              </w:rPr>
            </w:pPr>
            <w:r>
              <w:rPr>
                <w:sz w:val="22"/>
              </w:rPr>
              <w:t>biólogos  de  la</w:t>
            </w:r>
          </w:p>
        </w:tc>
        <w:tc>
          <w:tcPr>
            <w:tcW w:w="1985" w:type="dxa"/>
            <w:tcBorders>
              <w:top w:val="nil"/>
              <w:bottom w:val="nil"/>
            </w:tcBorders>
          </w:tcPr>
          <w:p>
            <w:pPr>
              <w:pStyle w:val="TableParagraph"/>
              <w:tabs>
                <w:tab w:pos="1593" w:val="left" w:leader="none"/>
              </w:tabs>
              <w:spacing w:line="241" w:lineRule="exact"/>
              <w:rPr>
                <w:sz w:val="22"/>
              </w:rPr>
            </w:pPr>
            <w:r>
              <w:rPr>
                <w:sz w:val="22"/>
              </w:rPr>
              <w:t>solucionar</w:t>
              <w:tab/>
              <w:t>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Cristobal</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(estaba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spacing w:line="241" w:lineRule="exact"/>
              <w:rPr>
                <w:sz w:val="22"/>
              </w:rPr>
            </w:pPr>
            <w:r>
              <w:rPr>
                <w:sz w:val="22"/>
              </w:rPr>
              <w:t>Conagua</w:t>
            </w:r>
          </w:p>
        </w:tc>
        <w:tc>
          <w:tcPr>
            <w:tcW w:w="1985" w:type="dxa"/>
            <w:tcBorders>
              <w:top w:val="nil"/>
              <w:bottom w:val="nil"/>
            </w:tcBorders>
          </w:tcPr>
          <w:p>
            <w:pPr>
              <w:pStyle w:val="TableParagraph"/>
              <w:tabs>
                <w:tab w:pos="1518" w:val="left" w:leader="none"/>
              </w:tabs>
              <w:spacing w:line="241" w:lineRule="exact"/>
              <w:rPr>
                <w:sz w:val="22"/>
              </w:rPr>
            </w:pPr>
            <w:r>
              <w:rPr>
                <w:sz w:val="22"/>
              </w:rPr>
              <w:t>problemas</w:t>
              <w:tab/>
              <w:t>son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2" w:lineRule="exact"/>
              <w:ind w:left="100"/>
              <w:rPr>
                <w:sz w:val="22"/>
              </w:rPr>
            </w:pPr>
            <w:r>
              <w:rPr>
                <w:sz w:val="22"/>
              </w:rPr>
              <w:t>integrada</w:t>
              <w:tab/>
              <w:t>por</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10" w:val="left" w:leader="none"/>
              </w:tabs>
              <w:spacing w:line="242" w:lineRule="exact"/>
              <w:rPr>
                <w:sz w:val="22"/>
              </w:rPr>
            </w:pPr>
            <w:r>
              <w:rPr>
                <w:sz w:val="22"/>
              </w:rPr>
              <w:t>porque</w:t>
              <w:tab/>
              <w:t>los</w:t>
            </w:r>
          </w:p>
        </w:tc>
        <w:tc>
          <w:tcPr>
            <w:tcW w:w="1985" w:type="dxa"/>
            <w:tcBorders>
              <w:top w:val="nil"/>
              <w:bottom w:val="nil"/>
            </w:tcBorders>
          </w:tcPr>
          <w:p>
            <w:pPr>
              <w:pStyle w:val="TableParagraph"/>
              <w:tabs>
                <w:tab w:pos="736" w:val="left" w:leader="none"/>
              </w:tabs>
              <w:spacing w:line="242" w:lineRule="exact"/>
              <w:rPr>
                <w:sz w:val="22"/>
              </w:rPr>
            </w:pPr>
            <w:r>
              <w:rPr>
                <w:sz w:val="22"/>
              </w:rPr>
              <w:t>los</w:t>
              <w:tab/>
              <w:t>presidentes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822" w:val="left" w:leader="none"/>
              </w:tabs>
              <w:spacing w:line="241" w:lineRule="exact"/>
              <w:ind w:left="100"/>
              <w:rPr>
                <w:sz w:val="22"/>
              </w:rPr>
            </w:pPr>
            <w:r>
              <w:rPr>
                <w:sz w:val="22"/>
              </w:rPr>
              <w:t>300</w:t>
              <w:tab/>
              <w:t>personas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peces</w:t>
            </w:r>
            <w:r>
              <w:rPr>
                <w:spacing w:val="56"/>
                <w:sz w:val="22"/>
              </w:rPr>
              <w:t> </w:t>
            </w:r>
            <w:r>
              <w:rPr>
                <w:sz w:val="22"/>
              </w:rPr>
              <w:t>estaban</w:t>
            </w:r>
          </w:p>
        </w:tc>
        <w:tc>
          <w:tcPr>
            <w:tcW w:w="1985" w:type="dxa"/>
            <w:tcBorders>
              <w:top w:val="nil"/>
              <w:bottom w:val="nil"/>
            </w:tcBorders>
          </w:tcPr>
          <w:p>
            <w:pPr>
              <w:pStyle w:val="TableParagraph"/>
              <w:tabs>
                <w:tab w:pos="894" w:val="left" w:leader="none"/>
              </w:tabs>
              <w:spacing w:line="241" w:lineRule="exact"/>
              <w:rPr>
                <w:sz w:val="22"/>
              </w:rPr>
            </w:pPr>
            <w:r>
              <w:rPr>
                <w:sz w:val="22"/>
              </w:rPr>
              <w:t>de</w:t>
              <w:tab/>
              <w:t>Acambay,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en  un  principio,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mordidos, pero</w:t>
            </w:r>
          </w:p>
        </w:tc>
        <w:tc>
          <w:tcPr>
            <w:tcW w:w="1985" w:type="dxa"/>
            <w:tcBorders>
              <w:top w:val="nil"/>
              <w:bottom w:val="nil"/>
            </w:tcBorders>
          </w:tcPr>
          <w:p>
            <w:pPr>
              <w:pStyle w:val="TableParagraph"/>
              <w:tabs>
                <w:tab w:pos="1763" w:val="left" w:leader="none"/>
              </w:tabs>
              <w:spacing w:line="242" w:lineRule="exact"/>
              <w:rPr>
                <w:sz w:val="22"/>
              </w:rPr>
            </w:pPr>
            <w:r>
              <w:rPr>
                <w:sz w:val="22"/>
              </w:rPr>
              <w:t>Timilpan</w:t>
              <w:tab/>
              <w:t>y</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97" w:val="left" w:leader="none"/>
              </w:tabs>
              <w:spacing w:line="241" w:lineRule="exact"/>
              <w:ind w:left="100"/>
              <w:rPr>
                <w:sz w:val="22"/>
              </w:rPr>
            </w:pPr>
            <w:r>
              <w:rPr>
                <w:sz w:val="22"/>
              </w:rPr>
              <w:t>pero</w:t>
              <w:tab/>
              <w:t>se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resulto que era</w:t>
            </w:r>
          </w:p>
        </w:tc>
        <w:tc>
          <w:tcPr>
            <w:tcW w:w="1985" w:type="dxa"/>
            <w:tcBorders>
              <w:top w:val="nil"/>
              <w:bottom w:val="nil"/>
            </w:tcBorders>
          </w:tcPr>
          <w:p>
            <w:pPr>
              <w:pStyle w:val="TableParagraph"/>
              <w:spacing w:line="241" w:lineRule="exact"/>
              <w:rPr>
                <w:sz w:val="22"/>
              </w:rPr>
            </w:pPr>
            <w:r>
              <w:rPr>
                <w:sz w:val="22"/>
              </w:rPr>
              <w:t>Aculco.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anotaron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una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muchos  que  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enfermedad,</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eran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60" w:val="left" w:leader="none"/>
                <w:tab w:pos="1357" w:val="left" w:leader="none"/>
              </w:tabs>
              <w:spacing w:line="241" w:lineRule="exact"/>
              <w:rPr>
                <w:sz w:val="22"/>
              </w:rPr>
            </w:pPr>
            <w:r>
              <w:rPr>
                <w:sz w:val="22"/>
              </w:rPr>
              <w:t>creo</w:t>
              <w:tab/>
              <w:t>que</w:t>
              <w:tab/>
              <w:t>se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19" w:val="left" w:leader="none"/>
              </w:tabs>
              <w:spacing w:line="242" w:lineRule="exact"/>
              <w:ind w:left="100"/>
              <w:rPr>
                <w:sz w:val="22"/>
              </w:rPr>
            </w:pPr>
            <w:r>
              <w:rPr>
                <w:sz w:val="22"/>
              </w:rPr>
              <w:t>pescadores</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llama   etapí </w:t>
            </w:r>
            <w:r>
              <w:rPr>
                <w:spacing w:val="51"/>
                <w:sz w:val="22"/>
              </w:rPr>
              <w:t> </w:t>
            </w:r>
            <w:r>
              <w:rPr>
                <w:sz w:val="22"/>
              </w:rPr>
              <w:t>y</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324" w:val="left" w:leader="none"/>
              </w:tabs>
              <w:spacing w:line="241" w:lineRule="exact"/>
              <w:ind w:left="100"/>
              <w:rPr>
                <w:sz w:val="22"/>
              </w:rPr>
            </w:pPr>
            <w:r>
              <w:rPr>
                <w:sz w:val="22"/>
              </w:rPr>
              <w:t>ahora</w:t>
              <w:tab/>
              <w:t>sólo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18" w:val="left" w:leader="none"/>
              </w:tabs>
              <w:spacing w:line="241" w:lineRule="exact"/>
              <w:rPr>
                <w:sz w:val="22"/>
              </w:rPr>
            </w:pPr>
            <w:r>
              <w:rPr>
                <w:sz w:val="22"/>
              </w:rPr>
              <w:t>no</w:t>
              <w:tab/>
              <w:t>hicieron</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quedamos 70).</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nada.</w:t>
            </w: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ind w:left="165" w:right="127"/>
              <w:rPr>
                <w:sz w:val="22"/>
              </w:rPr>
            </w:pPr>
            <w:r>
              <w:rPr>
                <w:sz w:val="22"/>
              </w:rPr>
              <w:t>Malaquías</w:t>
            </w:r>
          </w:p>
        </w:tc>
        <w:tc>
          <w:tcPr>
            <w:tcW w:w="1418" w:type="dxa"/>
            <w:tcBorders>
              <w:bottom w:val="nil"/>
            </w:tcBorders>
          </w:tcPr>
          <w:p>
            <w:pPr>
              <w:pStyle w:val="TableParagraph"/>
              <w:spacing w:line="251" w:lineRule="exact"/>
              <w:ind w:left="151" w:right="101"/>
              <w:rPr>
                <w:sz w:val="22"/>
              </w:rPr>
            </w:pPr>
            <w:r>
              <w:rPr>
                <w:sz w:val="22"/>
              </w:rPr>
              <w:t>Agricultor y</w:t>
            </w:r>
          </w:p>
        </w:tc>
        <w:tc>
          <w:tcPr>
            <w:tcW w:w="1841" w:type="dxa"/>
            <w:tcBorders>
              <w:bottom w:val="nil"/>
            </w:tcBorders>
          </w:tcPr>
          <w:p>
            <w:pPr>
              <w:pStyle w:val="TableParagraph"/>
              <w:spacing w:line="251" w:lineRule="exact"/>
              <w:ind w:left="100"/>
              <w:rPr>
                <w:sz w:val="22"/>
              </w:rPr>
            </w:pPr>
            <w:r>
              <w:rPr>
                <w:sz w:val="22"/>
              </w:rPr>
              <w:t>No   recuerdo</w:t>
            </w:r>
            <w:r>
              <w:rPr>
                <w:spacing w:val="59"/>
                <w:sz w:val="22"/>
              </w:rPr>
              <w:t> </w:t>
            </w:r>
            <w:r>
              <w:rPr>
                <w:sz w:val="22"/>
              </w:rPr>
              <w:t>el</w:t>
            </w:r>
          </w:p>
        </w:tc>
        <w:tc>
          <w:tcPr>
            <w:tcW w:w="1135" w:type="dxa"/>
            <w:tcBorders>
              <w:bottom w:val="nil"/>
            </w:tcBorders>
          </w:tcPr>
          <w:p>
            <w:pPr>
              <w:pStyle w:val="TableParagraph"/>
              <w:spacing w:line="251" w:lineRule="exact"/>
              <w:rPr>
                <w:sz w:val="22"/>
              </w:rPr>
            </w:pPr>
            <w:r>
              <w:rPr>
                <w:sz w:val="22"/>
              </w:rPr>
              <w:t>Inegrant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Zaragoza,</w:t>
            </w:r>
          </w:p>
        </w:tc>
        <w:tc>
          <w:tcPr>
            <w:tcW w:w="1133" w:type="dxa"/>
            <w:tcBorders>
              <w:bottom w:val="nil"/>
            </w:tcBorders>
          </w:tcPr>
          <w:p>
            <w:pPr>
              <w:pStyle w:val="TableParagraph"/>
              <w:spacing w:line="251" w:lineRule="exact"/>
              <w:ind w:left="100" w:right="52"/>
              <w:rPr>
                <w:sz w:val="22"/>
              </w:rPr>
            </w:pPr>
            <w:r>
              <w:rPr>
                <w:sz w:val="22"/>
              </w:rPr>
              <w:t>Zaragoz</w:t>
            </w:r>
          </w:p>
        </w:tc>
        <w:tc>
          <w:tcPr>
            <w:tcW w:w="1702" w:type="dxa"/>
            <w:tcBorders>
              <w:bottom w:val="nil"/>
            </w:tcBorders>
          </w:tcPr>
          <w:p>
            <w:pPr>
              <w:pStyle w:val="TableParagraph"/>
              <w:tabs>
                <w:tab w:pos="770" w:val="left" w:leader="none"/>
              </w:tabs>
              <w:spacing w:line="251" w:lineRule="exact"/>
              <w:rPr>
                <w:sz w:val="22"/>
              </w:rPr>
            </w:pPr>
            <w:r>
              <w:rPr>
                <w:sz w:val="22"/>
              </w:rPr>
              <w:t>Se</w:t>
              <w:tab/>
              <w:t>necesita</w:t>
            </w:r>
          </w:p>
        </w:tc>
        <w:tc>
          <w:tcPr>
            <w:tcW w:w="1985" w:type="dxa"/>
            <w:tcBorders>
              <w:bottom w:val="nil"/>
            </w:tcBorders>
          </w:tcPr>
          <w:p>
            <w:pPr>
              <w:pStyle w:val="TableParagraph"/>
              <w:spacing w:line="251" w:lineRule="exact"/>
              <w:rPr>
                <w:sz w:val="22"/>
              </w:rPr>
            </w:pPr>
            <w:r>
              <w:rPr>
                <w:sz w:val="22"/>
              </w:rPr>
              <w:t>Se debe hacer un</w:t>
            </w:r>
          </w:p>
        </w:tc>
      </w:tr>
      <w:tr>
        <w:trPr>
          <w:trHeight w:val="253" w:hRule="exact"/>
        </w:trPr>
        <w:tc>
          <w:tcPr>
            <w:tcW w:w="1385" w:type="dxa"/>
            <w:tcBorders>
              <w:top w:val="nil"/>
              <w:bottom w:val="nil"/>
            </w:tcBorders>
          </w:tcPr>
          <w:p>
            <w:pPr>
              <w:pStyle w:val="TableParagraph"/>
              <w:spacing w:line="241" w:lineRule="exact"/>
              <w:rPr>
                <w:sz w:val="22"/>
              </w:rPr>
            </w:pPr>
            <w:r>
              <w:rPr>
                <w:sz w:val="22"/>
              </w:rPr>
              <w:t>de  la  Cruz</w:t>
            </w:r>
          </w:p>
        </w:tc>
        <w:tc>
          <w:tcPr>
            <w:tcW w:w="1418" w:type="dxa"/>
            <w:tcBorders>
              <w:top w:val="nil"/>
              <w:bottom w:val="nil"/>
            </w:tcBorders>
          </w:tcPr>
          <w:p>
            <w:pPr>
              <w:pStyle w:val="TableParagraph"/>
              <w:spacing w:line="241" w:lineRule="exact"/>
              <w:ind w:left="100"/>
              <w:rPr>
                <w:sz w:val="22"/>
              </w:rPr>
            </w:pPr>
            <w:r>
              <w:rPr>
                <w:sz w:val="22"/>
              </w:rPr>
              <w:t>era la pesca</w:t>
            </w:r>
          </w:p>
        </w:tc>
        <w:tc>
          <w:tcPr>
            <w:tcW w:w="1841" w:type="dxa"/>
            <w:tcBorders>
              <w:top w:val="nil"/>
              <w:bottom w:val="nil"/>
            </w:tcBorders>
          </w:tcPr>
          <w:p>
            <w:pPr>
              <w:pStyle w:val="TableParagraph"/>
              <w:spacing w:line="241" w:lineRule="exact"/>
              <w:ind w:left="100"/>
              <w:rPr>
                <w:sz w:val="22"/>
              </w:rPr>
            </w:pPr>
            <w:r>
              <w:rPr>
                <w:sz w:val="22"/>
              </w:rPr>
              <w:t>nombre   porque</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w:t>
            </w:r>
          </w:p>
        </w:tc>
        <w:tc>
          <w:tcPr>
            <w:tcW w:w="1702" w:type="dxa"/>
            <w:tcBorders>
              <w:top w:val="nil"/>
              <w:bottom w:val="nil"/>
            </w:tcBorders>
          </w:tcPr>
          <w:p>
            <w:pPr>
              <w:pStyle w:val="TableParagraph"/>
              <w:spacing w:line="241" w:lineRule="exact"/>
              <w:rPr>
                <w:sz w:val="22"/>
              </w:rPr>
            </w:pPr>
            <w:r>
              <w:rPr>
                <w:sz w:val="22"/>
              </w:rPr>
              <w:t>maquinaria</w:t>
            </w:r>
          </w:p>
        </w:tc>
        <w:tc>
          <w:tcPr>
            <w:tcW w:w="1985" w:type="dxa"/>
            <w:tcBorders>
              <w:top w:val="nil"/>
              <w:bottom w:val="nil"/>
            </w:tcBorders>
          </w:tcPr>
          <w:p>
            <w:pPr>
              <w:pStyle w:val="TableParagraph"/>
              <w:tabs>
                <w:tab w:pos="1434" w:val="left" w:leader="none"/>
              </w:tabs>
              <w:spacing w:line="241" w:lineRule="exact"/>
              <w:rPr>
                <w:sz w:val="22"/>
              </w:rPr>
            </w:pPr>
            <w:r>
              <w:rPr>
                <w:sz w:val="22"/>
              </w:rPr>
              <w:t>Comité</w:t>
              <w:tab/>
              <w:t>para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Nicolás</w:t>
            </w:r>
          </w:p>
        </w:tc>
        <w:tc>
          <w:tcPr>
            <w:tcW w:w="1418" w:type="dxa"/>
            <w:tcBorders>
              <w:top w:val="nil"/>
              <w:bottom w:val="nil"/>
            </w:tcBorders>
          </w:tcPr>
          <w:p>
            <w:pPr>
              <w:pStyle w:val="TableParagraph"/>
              <w:spacing w:line="242" w:lineRule="exact"/>
              <w:ind w:left="211" w:right="101"/>
              <w:rPr>
                <w:sz w:val="22"/>
              </w:rPr>
            </w:pPr>
            <w:r>
              <w:rPr>
                <w:sz w:val="22"/>
              </w:rPr>
              <w:t>porque ya</w:t>
            </w:r>
          </w:p>
        </w:tc>
        <w:tc>
          <w:tcPr>
            <w:tcW w:w="1841" w:type="dxa"/>
            <w:tcBorders>
              <w:top w:val="nil"/>
              <w:bottom w:val="nil"/>
            </w:tcBorders>
          </w:tcPr>
          <w:p>
            <w:pPr>
              <w:pStyle w:val="TableParagraph"/>
              <w:spacing w:line="242" w:lineRule="exact"/>
              <w:ind w:left="100"/>
              <w:rPr>
                <w:sz w:val="22"/>
              </w:rPr>
            </w:pPr>
            <w:r>
              <w:rPr>
                <w:sz w:val="22"/>
              </w:rPr>
              <w:t>ya tiene tiempo.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Style w:val="TableParagraph"/>
              <w:tabs>
                <w:tab w:pos="765" w:val="left" w:leader="none"/>
                <w:tab w:pos="1357" w:val="left" w:leader="none"/>
              </w:tabs>
              <w:spacing w:line="242" w:lineRule="exact"/>
              <w:rPr>
                <w:sz w:val="22"/>
              </w:rPr>
            </w:pPr>
            <w:r>
              <w:rPr>
                <w:sz w:val="22"/>
              </w:rPr>
              <w:t>para</w:t>
              <w:tab/>
              <w:t>que</w:t>
              <w:tab/>
              <w:t>se</w:t>
            </w:r>
          </w:p>
        </w:tc>
        <w:tc>
          <w:tcPr>
            <w:tcW w:w="1985" w:type="dxa"/>
            <w:tcBorders>
              <w:top w:val="nil"/>
              <w:bottom w:val="nil"/>
            </w:tcBorders>
          </w:tcPr>
          <w:p>
            <w:pPr>
              <w:pStyle w:val="TableParagraph"/>
              <w:spacing w:line="242" w:lineRule="exact"/>
              <w:rPr>
                <w:sz w:val="22"/>
              </w:rPr>
            </w:pPr>
            <w:r>
              <w:rPr>
                <w:sz w:val="22"/>
              </w:rPr>
              <w:t>mover y gestionar</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(24/I/2015)</w:t>
            </w:r>
          </w:p>
        </w:tc>
        <w:tc>
          <w:tcPr>
            <w:tcW w:w="1418" w:type="dxa"/>
            <w:tcBorders>
              <w:top w:val="nil"/>
              <w:bottom w:val="nil"/>
            </w:tcBorders>
          </w:tcPr>
          <w:p>
            <w:pPr>
              <w:pStyle w:val="TableParagraph"/>
              <w:spacing w:line="241" w:lineRule="exact"/>
              <w:ind w:left="372" w:right="101"/>
              <w:rPr>
                <w:sz w:val="22"/>
              </w:rPr>
            </w:pPr>
            <w:r>
              <w:rPr>
                <w:sz w:val="22"/>
              </w:rPr>
              <w:t>no hay</w:t>
            </w:r>
          </w:p>
        </w:tc>
        <w:tc>
          <w:tcPr>
            <w:tcW w:w="1841" w:type="dxa"/>
            <w:tcBorders>
              <w:top w:val="nil"/>
              <w:bottom w:val="nil"/>
            </w:tcBorders>
          </w:tcPr>
          <w:p>
            <w:pPr>
              <w:pStyle w:val="TableParagraph"/>
              <w:spacing w:line="241" w:lineRule="exact"/>
              <w:ind w:left="100"/>
              <w:rPr>
                <w:sz w:val="22"/>
              </w:rPr>
            </w:pPr>
            <w:r>
              <w:rPr>
                <w:sz w:val="22"/>
              </w:rPr>
              <w:t>(10 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29" w:val="left" w:leader="none"/>
                <w:tab w:pos="1246" w:val="left" w:leader="none"/>
              </w:tabs>
              <w:spacing w:line="241" w:lineRule="exact"/>
              <w:rPr>
                <w:sz w:val="22"/>
              </w:rPr>
            </w:pPr>
            <w:r>
              <w:rPr>
                <w:sz w:val="22"/>
              </w:rPr>
              <w:t>quite</w:t>
              <w:tab/>
              <w:t>el</w:t>
              <w:tab/>
              <w:t>lirio</w:t>
            </w:r>
          </w:p>
        </w:tc>
        <w:tc>
          <w:tcPr>
            <w:tcW w:w="1985" w:type="dxa"/>
            <w:tcBorders>
              <w:top w:val="nil"/>
              <w:bottom w:val="nil"/>
            </w:tcBorders>
          </w:tcPr>
          <w:p>
            <w:pPr>
              <w:pStyle w:val="TableParagraph"/>
              <w:tabs>
                <w:tab w:pos="1434" w:val="left" w:leader="none"/>
              </w:tabs>
              <w:spacing w:line="241" w:lineRule="exact"/>
              <w:rPr>
                <w:sz w:val="22"/>
              </w:rPr>
            </w:pPr>
            <w:r>
              <w:rPr>
                <w:sz w:val="22"/>
              </w:rPr>
              <w:t>maquinaria</w:t>
              <w:tab/>
              <w:t>para</w:t>
            </w:r>
          </w:p>
        </w:tc>
      </w:tr>
      <w:tr>
        <w:trPr>
          <w:trHeight w:val="249" w:hRule="exact"/>
        </w:trPr>
        <w:tc>
          <w:tcPr>
            <w:tcW w:w="1385" w:type="dxa"/>
            <w:tcBorders>
              <w:top w:val="nil"/>
            </w:tcBorders>
          </w:tcPr>
          <w:p>
            <w:pPr/>
          </w:p>
        </w:tc>
        <w:tc>
          <w:tcPr>
            <w:tcW w:w="1418" w:type="dxa"/>
            <w:tcBorders>
              <w:top w:val="nil"/>
            </w:tcBorders>
          </w:tcPr>
          <w:p>
            <w:pPr>
              <w:pStyle w:val="TableParagraph"/>
              <w:spacing w:line="243" w:lineRule="exact"/>
              <w:ind w:left="285" w:right="101"/>
              <w:rPr>
                <w:sz w:val="22"/>
              </w:rPr>
            </w:pPr>
            <w:r>
              <w:rPr>
                <w:sz w:val="22"/>
              </w:rPr>
              <w:t>pescado</w:t>
            </w: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3" w:lineRule="exact"/>
              <w:rPr>
                <w:sz w:val="22"/>
              </w:rPr>
            </w:pPr>
            <w:r>
              <w:rPr>
                <w:sz w:val="22"/>
              </w:rPr>
              <w:t>desde raíz.</w:t>
            </w:r>
          </w:p>
        </w:tc>
        <w:tc>
          <w:tcPr>
            <w:tcW w:w="1985" w:type="dxa"/>
            <w:tcBorders>
              <w:top w:val="nil"/>
            </w:tcBorders>
          </w:tcPr>
          <w:p>
            <w:pPr>
              <w:pStyle w:val="TableParagraph"/>
              <w:spacing w:line="243" w:lineRule="exact"/>
              <w:rPr>
                <w:sz w:val="22"/>
              </w:rPr>
            </w:pPr>
            <w:r>
              <w:rPr>
                <w:sz w:val="22"/>
              </w:rPr>
              <w:t>acabarlo.</w:t>
            </w:r>
          </w:p>
        </w:tc>
      </w:tr>
      <w:tr>
        <w:trPr>
          <w:trHeight w:val="267" w:hRule="exact"/>
        </w:trPr>
        <w:tc>
          <w:tcPr>
            <w:tcW w:w="1385" w:type="dxa"/>
            <w:tcBorders>
              <w:bottom w:val="nil"/>
            </w:tcBorders>
          </w:tcPr>
          <w:p>
            <w:pPr>
              <w:pStyle w:val="TableParagraph"/>
              <w:spacing w:line="251" w:lineRule="exact"/>
              <w:ind w:left="251" w:right="127"/>
              <w:rPr>
                <w:sz w:val="22"/>
              </w:rPr>
            </w:pPr>
            <w:r>
              <w:rPr>
                <w:sz w:val="22"/>
              </w:rPr>
              <w:t>Anónimo</w:t>
            </w:r>
          </w:p>
        </w:tc>
        <w:tc>
          <w:tcPr>
            <w:tcW w:w="1418" w:type="dxa"/>
            <w:tcBorders>
              <w:bottom w:val="nil"/>
            </w:tcBorders>
          </w:tcPr>
          <w:p>
            <w:pPr>
              <w:pStyle w:val="TableParagraph"/>
              <w:spacing w:line="251" w:lineRule="exact"/>
              <w:ind w:left="156" w:right="101"/>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No   recuerdo</w:t>
            </w:r>
            <w:r>
              <w:rPr>
                <w:spacing w:val="59"/>
                <w:sz w:val="22"/>
              </w:rPr>
              <w:t> </w:t>
            </w:r>
            <w:r>
              <w:rPr>
                <w:sz w:val="22"/>
              </w:rPr>
              <w:t>el</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1702" w:type="dxa"/>
            <w:tcBorders>
              <w:bottom w:val="nil"/>
            </w:tcBorders>
          </w:tcPr>
          <w:p>
            <w:pPr>
              <w:pStyle w:val="TableParagraph"/>
              <w:spacing w:line="251" w:lineRule="exact"/>
              <w:rPr>
                <w:sz w:val="22"/>
              </w:rPr>
            </w:pPr>
            <w:r>
              <w:rPr>
                <w:sz w:val="22"/>
              </w:rPr>
              <w:t>Con  ayuda del</w:t>
            </w:r>
          </w:p>
        </w:tc>
        <w:tc>
          <w:tcPr>
            <w:tcW w:w="1985" w:type="dxa"/>
            <w:tcBorders>
              <w:bottom w:val="nil"/>
            </w:tcBorders>
          </w:tcPr>
          <w:p>
            <w:pPr>
              <w:pStyle w:val="TableParagraph"/>
              <w:tabs>
                <w:tab w:pos="1701" w:val="left" w:leader="none"/>
              </w:tabs>
              <w:spacing w:line="251" w:lineRule="exact"/>
              <w:rPr>
                <w:sz w:val="22"/>
              </w:rPr>
            </w:pPr>
            <w:r>
              <w:rPr>
                <w:sz w:val="22"/>
              </w:rPr>
              <w:t>Pues</w:t>
              <w:tab/>
              <w:t>el</w:t>
            </w:r>
          </w:p>
        </w:tc>
      </w:tr>
      <w:tr>
        <w:trPr>
          <w:trHeight w:val="253" w:hRule="exact"/>
        </w:trPr>
        <w:tc>
          <w:tcPr>
            <w:tcW w:w="1385" w:type="dxa"/>
            <w:tcBorders>
              <w:top w:val="nil"/>
              <w:bottom w:val="nil"/>
            </w:tcBorders>
          </w:tcPr>
          <w:p>
            <w:pPr>
              <w:pStyle w:val="TableParagraph"/>
              <w:spacing w:line="242" w:lineRule="exact"/>
              <w:ind w:left="155"/>
              <w:rPr>
                <w:sz w:val="22"/>
              </w:rPr>
            </w:pPr>
            <w:r>
              <w:rPr>
                <w:sz w:val="22"/>
              </w:rPr>
              <w:t>(24/I/2015)</w:t>
            </w:r>
          </w:p>
        </w:tc>
        <w:tc>
          <w:tcPr>
            <w:tcW w:w="1418" w:type="dxa"/>
            <w:tcBorders>
              <w:top w:val="nil"/>
              <w:bottom w:val="nil"/>
            </w:tcBorders>
          </w:tcPr>
          <w:p>
            <w:pPr>
              <w:pStyle w:val="TableParagraph"/>
              <w:spacing w:line="242" w:lineRule="exact"/>
              <w:ind w:left="292" w:right="101"/>
              <w:rPr>
                <w:sz w:val="22"/>
              </w:rPr>
            </w:pPr>
            <w:r>
              <w:rPr>
                <w:sz w:val="22"/>
              </w:rPr>
              <w:t>la pesca</w:t>
            </w:r>
          </w:p>
        </w:tc>
        <w:tc>
          <w:tcPr>
            <w:tcW w:w="1841" w:type="dxa"/>
            <w:tcBorders>
              <w:top w:val="nil"/>
              <w:bottom w:val="nil"/>
            </w:tcBorders>
          </w:tcPr>
          <w:p>
            <w:pPr>
              <w:pStyle w:val="TableParagraph"/>
              <w:tabs>
                <w:tab w:pos="1117" w:val="left" w:leader="none"/>
                <w:tab w:pos="1556" w:val="left" w:leader="none"/>
              </w:tabs>
              <w:spacing w:line="242" w:lineRule="exact"/>
              <w:ind w:left="100"/>
              <w:rPr>
                <w:sz w:val="22"/>
              </w:rPr>
            </w:pPr>
            <w:r>
              <w:rPr>
                <w:sz w:val="22"/>
              </w:rPr>
              <w:t>nombre</w:t>
              <w:tab/>
              <w:t>ni</w:t>
              <w:tab/>
              <w:t>el</w:t>
            </w:r>
          </w:p>
        </w:tc>
        <w:tc>
          <w:tcPr>
            <w:tcW w:w="1135" w:type="dxa"/>
            <w:tcBorders>
              <w:top w:val="nil"/>
              <w:bottom w:val="nil"/>
            </w:tcBorders>
          </w:tcPr>
          <w:p>
            <w:pPr>
              <w:pStyle w:val="TableParagraph"/>
              <w:spacing w:line="242" w:lineRule="exact"/>
              <w:rPr>
                <w:sz w:val="22"/>
              </w:rPr>
            </w:pPr>
            <w:r>
              <w:rPr>
                <w:w w:val="100"/>
                <w:sz w:val="22"/>
              </w:rPr>
              <w:t>e</w:t>
            </w: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Style w:val="TableParagraph"/>
              <w:spacing w:line="242" w:lineRule="exact"/>
              <w:ind w:right="92"/>
              <w:rPr>
                <w:sz w:val="22"/>
              </w:rPr>
            </w:pPr>
            <w:r>
              <w:rPr>
                <w:sz w:val="22"/>
              </w:rPr>
              <w:t>campesin</w:t>
            </w:r>
          </w:p>
        </w:tc>
        <w:tc>
          <w:tcPr>
            <w:tcW w:w="1133" w:type="dxa"/>
            <w:tcBorders>
              <w:top w:val="nil"/>
              <w:bottom w:val="nil"/>
            </w:tcBorders>
          </w:tcPr>
          <w:p>
            <w:pPr>
              <w:pStyle w:val="TableParagraph"/>
              <w:spacing w:line="242" w:lineRule="exact"/>
              <w:ind w:left="100" w:right="52"/>
              <w:rPr>
                <w:sz w:val="22"/>
              </w:rPr>
            </w:pPr>
            <w:r>
              <w:rPr>
                <w:sz w:val="22"/>
              </w:rPr>
              <w:t>campesi</w:t>
            </w:r>
          </w:p>
        </w:tc>
        <w:tc>
          <w:tcPr>
            <w:tcW w:w="1702" w:type="dxa"/>
            <w:tcBorders>
              <w:top w:val="nil"/>
              <w:bottom w:val="nil"/>
            </w:tcBorders>
          </w:tcPr>
          <w:p>
            <w:pPr>
              <w:pStyle w:val="TableParagraph"/>
              <w:spacing w:line="242" w:lineRule="exact"/>
              <w:rPr>
                <w:sz w:val="22"/>
              </w:rPr>
            </w:pPr>
            <w:r>
              <w:rPr>
                <w:sz w:val="22"/>
              </w:rPr>
              <w:t>presidente</w:t>
            </w:r>
          </w:p>
        </w:tc>
        <w:tc>
          <w:tcPr>
            <w:tcW w:w="1985" w:type="dxa"/>
            <w:tcBorders>
              <w:top w:val="nil"/>
              <w:bottom w:val="nil"/>
            </w:tcBorders>
          </w:tcPr>
          <w:p>
            <w:pPr>
              <w:pStyle w:val="TableParagraph"/>
              <w:spacing w:line="242" w:lineRule="exact"/>
              <w:rPr>
                <w:sz w:val="22"/>
              </w:rPr>
            </w:pPr>
            <w:r>
              <w:rPr>
                <w:sz w:val="22"/>
              </w:rPr>
              <w:t>presidente</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1" w:lineRule="exact"/>
              <w:ind w:left="100"/>
              <w:rPr>
                <w:sz w:val="22"/>
              </w:rPr>
            </w:pPr>
            <w:r>
              <w:rPr>
                <w:sz w:val="22"/>
              </w:rPr>
              <w:t>número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Style w:val="TableParagraph"/>
              <w:tabs>
                <w:tab w:pos="1477" w:val="left" w:leader="none"/>
              </w:tabs>
              <w:spacing w:line="241" w:lineRule="exact"/>
              <w:rPr>
                <w:sz w:val="22"/>
              </w:rPr>
            </w:pPr>
            <w:r>
              <w:rPr>
                <w:sz w:val="22"/>
              </w:rPr>
              <w:t>municipal</w:t>
              <w:tab/>
              <w:t>y</w:t>
            </w:r>
          </w:p>
        </w:tc>
        <w:tc>
          <w:tcPr>
            <w:tcW w:w="1985" w:type="dxa"/>
            <w:tcBorders>
              <w:top w:val="nil"/>
              <w:bottom w:val="nil"/>
            </w:tcBorders>
          </w:tcPr>
          <w:p>
            <w:pPr>
              <w:pStyle w:val="TableParagraph"/>
              <w:spacing w:line="241" w:lineRule="exact"/>
              <w:rPr>
                <w:sz w:val="22"/>
              </w:rPr>
            </w:pPr>
            <w:r>
              <w:rPr>
                <w:sz w:val="22"/>
              </w:rPr>
              <w:t>municipal.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que   ponga   a</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gente</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90"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spacing w:line="251" w:lineRule="exact"/>
              <w:rPr>
                <w:sz w:val="22"/>
              </w:rPr>
            </w:pPr>
            <w:r>
              <w:rPr>
                <w:sz w:val="22"/>
              </w:rPr>
              <w:t>adecuada.</w:t>
            </w:r>
          </w:p>
        </w:tc>
        <w:tc>
          <w:tcPr>
            <w:tcW w:w="1985" w:type="dxa"/>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Elizabeth</w:t>
            </w:r>
          </w:p>
        </w:tc>
        <w:tc>
          <w:tcPr>
            <w:tcW w:w="1418" w:type="dxa"/>
            <w:tcBorders>
              <w:bottom w:val="nil"/>
            </w:tcBorders>
          </w:tcPr>
          <w:p>
            <w:pPr>
              <w:pStyle w:val="TableParagraph"/>
              <w:spacing w:line="251" w:lineRule="exact"/>
              <w:ind w:left="0" w:right="207"/>
              <w:jc w:val="right"/>
              <w:rPr>
                <w:sz w:val="22"/>
              </w:rPr>
            </w:pPr>
            <w:r>
              <w:rPr>
                <w:sz w:val="22"/>
              </w:rPr>
              <w:t>El hogar y</w:t>
            </w:r>
          </w:p>
        </w:tc>
        <w:tc>
          <w:tcPr>
            <w:tcW w:w="1841" w:type="dxa"/>
            <w:tcBorders>
              <w:bottom w:val="nil"/>
            </w:tcBorders>
          </w:tcPr>
          <w:p>
            <w:pPr>
              <w:pStyle w:val="TableParagraph"/>
              <w:tabs>
                <w:tab w:pos="578" w:val="left" w:leader="none"/>
                <w:tab w:pos="1497" w:val="left" w:leader="none"/>
              </w:tabs>
              <w:spacing w:line="251" w:lineRule="exact"/>
              <w:ind w:left="100"/>
              <w:rPr>
                <w:sz w:val="22"/>
              </w:rPr>
            </w:pPr>
            <w:r>
              <w:rPr>
                <w:sz w:val="22"/>
              </w:rPr>
              <w:t>Su</w:t>
              <w:tab/>
              <w:t>esposo</w:t>
              <w:tab/>
              <w:t>es</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spacing w:line="251" w:lineRule="exact"/>
              <w:rPr>
                <w:sz w:val="22"/>
              </w:rPr>
            </w:pPr>
            <w:r>
              <w:rPr>
                <w:sz w:val="22"/>
              </w:rPr>
              <w:t>Que   se  haga</w:t>
            </w:r>
          </w:p>
        </w:tc>
        <w:tc>
          <w:tcPr>
            <w:tcW w:w="1985" w:type="dxa"/>
            <w:tcBorders>
              <w:bottom w:val="nil"/>
            </w:tcBorders>
          </w:tcPr>
          <w:p>
            <w:pPr>
              <w:pStyle w:val="TableParagraph"/>
              <w:tabs>
                <w:tab w:pos="736" w:val="left" w:leader="none"/>
              </w:tabs>
              <w:spacing w:line="251" w:lineRule="exact"/>
              <w:rPr>
                <w:sz w:val="22"/>
              </w:rPr>
            </w:pPr>
            <w:r>
              <w:rPr>
                <w:sz w:val="22"/>
              </w:rPr>
              <w:t>Los</w:t>
              <w:tab/>
              <w:t>presidentes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Valencia</w:t>
            </w:r>
          </w:p>
        </w:tc>
        <w:tc>
          <w:tcPr>
            <w:tcW w:w="1418" w:type="dxa"/>
            <w:tcBorders>
              <w:top w:val="nil"/>
              <w:bottom w:val="nil"/>
            </w:tcBorders>
          </w:tcPr>
          <w:p>
            <w:pPr>
              <w:pStyle w:val="TableParagraph"/>
              <w:spacing w:line="242" w:lineRule="exact"/>
              <w:ind w:left="0" w:right="171"/>
              <w:jc w:val="right"/>
              <w:rPr>
                <w:sz w:val="22"/>
              </w:rPr>
            </w:pPr>
            <w:r>
              <w:rPr>
                <w:sz w:val="22"/>
              </w:rPr>
              <w:t>preparar el</w:t>
            </w:r>
          </w:p>
        </w:tc>
        <w:tc>
          <w:tcPr>
            <w:tcW w:w="1841" w:type="dxa"/>
            <w:tcBorders>
              <w:top w:val="nil"/>
              <w:bottom w:val="nil"/>
            </w:tcBorders>
          </w:tcPr>
          <w:p>
            <w:pPr>
              <w:pStyle w:val="TableParagraph"/>
              <w:tabs>
                <w:tab w:pos="1484" w:val="left" w:leader="none"/>
              </w:tabs>
              <w:spacing w:line="242" w:lineRule="exact"/>
              <w:ind w:left="100"/>
              <w:rPr>
                <w:sz w:val="22"/>
              </w:rPr>
            </w:pPr>
            <w:r>
              <w:rPr>
                <w:sz w:val="22"/>
              </w:rPr>
              <w:t>integrante</w:t>
              <w:tab/>
              <w:t>de</w:t>
            </w:r>
          </w:p>
        </w:tc>
        <w:tc>
          <w:tcPr>
            <w:tcW w:w="1135" w:type="dxa"/>
            <w:tcBorders>
              <w:top w:val="nil"/>
              <w:bottom w:val="nil"/>
            </w:tcBorders>
          </w:tcPr>
          <w:p>
            <w:pPr>
              <w:pStyle w:val="TableParagraph"/>
              <w:spacing w:line="242" w:lineRule="exact"/>
              <w:rPr>
                <w:sz w:val="22"/>
              </w:rPr>
            </w:pPr>
            <w:r>
              <w:rPr>
                <w:w w:val="100"/>
                <w:sz w:val="22"/>
              </w:rPr>
              <w:t>e</w:t>
            </w:r>
          </w:p>
        </w:tc>
        <w:tc>
          <w:tcPr>
            <w:tcW w:w="991" w:type="dxa"/>
            <w:tcBorders>
              <w:top w:val="nil"/>
              <w:bottom w:val="nil"/>
            </w:tcBorders>
          </w:tcPr>
          <w:p>
            <w:pPr>
              <w:pStyle w:val="TableParagraph"/>
              <w:spacing w:line="242" w:lineRule="exact"/>
              <w:ind w:left="100"/>
              <w:rPr>
                <w:sz w:val="22"/>
              </w:rPr>
            </w:pPr>
            <w:r>
              <w:rPr>
                <w:sz w:val="22"/>
              </w:rPr>
              <w:t>ay</w:t>
            </w:r>
          </w:p>
        </w:tc>
        <w:tc>
          <w:tcPr>
            <w:tcW w:w="1277" w:type="dxa"/>
            <w:tcBorders>
              <w:top w:val="nil"/>
              <w:bottom w:val="nil"/>
            </w:tcBorders>
          </w:tcPr>
          <w:p>
            <w:pPr>
              <w:pStyle w:val="TableParagraph"/>
              <w:spacing w:line="242" w:lineRule="exact"/>
              <w:ind w:right="92"/>
              <w:rPr>
                <w:sz w:val="22"/>
              </w:rPr>
            </w:pPr>
            <w:r>
              <w:rPr>
                <w:sz w:val="22"/>
              </w:rPr>
              <w:t>Arenas,</w:t>
            </w:r>
          </w:p>
        </w:tc>
        <w:tc>
          <w:tcPr>
            <w:tcW w:w="1133" w:type="dxa"/>
            <w:tcBorders>
              <w:top w:val="nil"/>
              <w:bottom w:val="nil"/>
            </w:tcBorders>
          </w:tcPr>
          <w:p>
            <w:pPr>
              <w:pStyle w:val="TableParagraph"/>
              <w:spacing w:line="242" w:lineRule="exact"/>
              <w:ind w:left="100" w:right="52"/>
              <w:rPr>
                <w:sz w:val="22"/>
              </w:rPr>
            </w:pPr>
            <w:r>
              <w:rPr>
                <w:sz w:val="22"/>
              </w:rPr>
              <w:t>Arenas,</w:t>
            </w:r>
          </w:p>
        </w:tc>
        <w:tc>
          <w:tcPr>
            <w:tcW w:w="1702" w:type="dxa"/>
            <w:tcBorders>
              <w:top w:val="nil"/>
              <w:bottom w:val="nil"/>
            </w:tcBorders>
          </w:tcPr>
          <w:p>
            <w:pPr>
              <w:pStyle w:val="TableParagraph"/>
              <w:tabs>
                <w:tab w:pos="856" w:val="left" w:leader="none"/>
              </w:tabs>
              <w:spacing w:line="242" w:lineRule="exact"/>
              <w:rPr>
                <w:sz w:val="22"/>
              </w:rPr>
            </w:pPr>
            <w:r>
              <w:rPr>
                <w:sz w:val="22"/>
              </w:rPr>
              <w:t>un</w:t>
              <w:tab/>
              <w:t>registro</w:t>
            </w:r>
          </w:p>
        </w:tc>
        <w:tc>
          <w:tcPr>
            <w:tcW w:w="1985" w:type="dxa"/>
            <w:tcBorders>
              <w:top w:val="nil"/>
              <w:bottom w:val="nil"/>
            </w:tcBorders>
          </w:tcPr>
          <w:p>
            <w:pPr>
              <w:pStyle w:val="TableParagraph"/>
              <w:spacing w:line="242" w:lineRule="exact"/>
              <w:rPr>
                <w:sz w:val="22"/>
              </w:rPr>
            </w:pPr>
            <w:r>
              <w:rPr>
                <w:sz w:val="22"/>
              </w:rPr>
              <w:t>municipales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285" w:right="101"/>
              <w:rPr>
                <w:sz w:val="22"/>
              </w:rPr>
            </w:pPr>
            <w:r>
              <w:rPr>
                <w:sz w:val="22"/>
              </w:rPr>
              <w:t>pescado</w:t>
            </w:r>
          </w:p>
        </w:tc>
        <w:tc>
          <w:tcPr>
            <w:tcW w:w="1841" w:type="dxa"/>
            <w:tcBorders>
              <w:top w:val="nil"/>
              <w:bottom w:val="nil"/>
            </w:tcBorders>
          </w:tcPr>
          <w:p>
            <w:pPr>
              <w:pStyle w:val="TableParagraph"/>
              <w:spacing w:line="241" w:lineRule="exact"/>
              <w:ind w:left="100"/>
              <w:rPr>
                <w:sz w:val="22"/>
              </w:rPr>
            </w:pPr>
            <w:r>
              <w:rPr>
                <w:sz w:val="22"/>
              </w:rPr>
              <w:t>una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Acambay</w:t>
            </w:r>
          </w:p>
        </w:tc>
        <w:tc>
          <w:tcPr>
            <w:tcW w:w="1702" w:type="dxa"/>
            <w:tcBorders>
              <w:top w:val="nil"/>
              <w:bottom w:val="nil"/>
            </w:tcBorders>
          </w:tcPr>
          <w:p>
            <w:pPr>
              <w:pStyle w:val="TableParagraph"/>
              <w:spacing w:line="241" w:lineRule="exact"/>
              <w:rPr>
                <w:sz w:val="22"/>
              </w:rPr>
            </w:pPr>
            <w:r>
              <w:rPr>
                <w:sz w:val="22"/>
              </w:rPr>
              <w:t>para   tratar </w:t>
            </w:r>
            <w:r>
              <w:rPr>
                <w:spacing w:val="51"/>
                <w:sz w:val="22"/>
              </w:rPr>
              <w:t> </w:t>
            </w:r>
            <w:r>
              <w:rPr>
                <w:sz w:val="22"/>
              </w:rPr>
              <w:t>el</w:t>
            </w:r>
          </w:p>
        </w:tc>
        <w:tc>
          <w:tcPr>
            <w:tcW w:w="1985" w:type="dxa"/>
            <w:tcBorders>
              <w:top w:val="nil"/>
              <w:bottom w:val="nil"/>
            </w:tcBorders>
          </w:tcPr>
          <w:p>
            <w:pPr>
              <w:pStyle w:val="TableParagraph"/>
              <w:tabs>
                <w:tab w:pos="1014" w:val="left" w:leader="none"/>
                <w:tab w:pos="1593" w:val="left" w:leader="none"/>
              </w:tabs>
              <w:spacing w:line="241" w:lineRule="exact"/>
              <w:rPr>
                <w:sz w:val="22"/>
              </w:rPr>
            </w:pPr>
            <w:r>
              <w:rPr>
                <w:sz w:val="22"/>
              </w:rPr>
              <w:t>porque</w:t>
              <w:tab/>
              <w:t>son</w:t>
              <w:tab/>
              <w:t>los</w:t>
            </w:r>
          </w:p>
        </w:tc>
      </w:tr>
      <w:tr>
        <w:trPr>
          <w:trHeight w:val="253" w:hRule="exact"/>
        </w:trPr>
        <w:tc>
          <w:tcPr>
            <w:tcW w:w="1385" w:type="dxa"/>
            <w:tcBorders>
              <w:top w:val="nil"/>
              <w:bottom w:val="nil"/>
            </w:tcBorders>
          </w:tcPr>
          <w:p>
            <w:pPr>
              <w:pStyle w:val="TableParagraph"/>
              <w:spacing w:line="241" w:lineRule="exact"/>
              <w:rPr>
                <w:sz w:val="22"/>
              </w:rPr>
            </w:pPr>
            <w:r>
              <w:rPr>
                <w:sz w:val="22"/>
              </w:rPr>
              <w:t>(esposa  de</w:t>
            </w:r>
          </w:p>
        </w:tc>
        <w:tc>
          <w:tcPr>
            <w:tcW w:w="1418" w:type="dxa"/>
            <w:tcBorders>
              <w:top w:val="nil"/>
              <w:bottom w:val="nil"/>
            </w:tcBorders>
          </w:tcPr>
          <w:p>
            <w:pPr>
              <w:pStyle w:val="TableParagraph"/>
              <w:spacing w:line="241" w:lineRule="exact"/>
              <w:ind w:left="297" w:right="101"/>
              <w:rPr>
                <w:sz w:val="22"/>
              </w:rPr>
            </w:pPr>
            <w:r>
              <w:rPr>
                <w:sz w:val="22"/>
              </w:rPr>
              <w:t>para ir a</w:t>
            </w:r>
          </w:p>
        </w:tc>
        <w:tc>
          <w:tcPr>
            <w:tcW w:w="1841" w:type="dxa"/>
            <w:tcBorders>
              <w:top w:val="nil"/>
              <w:bottom w:val="nil"/>
            </w:tcBorders>
          </w:tcPr>
          <w:p>
            <w:pPr>
              <w:pStyle w:val="TableParagraph"/>
              <w:spacing w:line="241" w:lineRule="exact"/>
              <w:ind w:left="100"/>
              <w:rPr>
                <w:sz w:val="22"/>
              </w:rPr>
            </w:pPr>
            <w:r>
              <w:rPr>
                <w:sz w:val="22"/>
              </w:rPr>
              <w:t>cooperativa,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agua  y que no</w:t>
            </w:r>
          </w:p>
        </w:tc>
        <w:tc>
          <w:tcPr>
            <w:tcW w:w="1985" w:type="dxa"/>
            <w:tcBorders>
              <w:top w:val="nil"/>
              <w:bottom w:val="nil"/>
            </w:tcBorders>
          </w:tcPr>
          <w:p>
            <w:pPr>
              <w:pStyle w:val="TableParagraph"/>
              <w:spacing w:line="241" w:lineRule="exact"/>
              <w:rPr>
                <w:sz w:val="22"/>
              </w:rPr>
            </w:pPr>
            <w:r>
              <w:rPr>
                <w:sz w:val="22"/>
              </w:rPr>
              <w:t>más   cercanos  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un</w:t>
            </w:r>
          </w:p>
        </w:tc>
        <w:tc>
          <w:tcPr>
            <w:tcW w:w="1418" w:type="dxa"/>
            <w:tcBorders>
              <w:top w:val="nil"/>
              <w:bottom w:val="nil"/>
            </w:tcBorders>
          </w:tcPr>
          <w:p>
            <w:pPr>
              <w:pStyle w:val="TableParagraph"/>
              <w:spacing w:line="242" w:lineRule="exact"/>
              <w:ind w:left="0" w:right="215"/>
              <w:jc w:val="right"/>
              <w:rPr>
                <w:sz w:val="22"/>
              </w:rPr>
            </w:pPr>
            <w:r>
              <w:rPr>
                <w:sz w:val="22"/>
              </w:rPr>
              <w:t>vender en</w:t>
            </w:r>
          </w:p>
        </w:tc>
        <w:tc>
          <w:tcPr>
            <w:tcW w:w="1841" w:type="dxa"/>
            <w:tcBorders>
              <w:top w:val="nil"/>
              <w:bottom w:val="nil"/>
            </w:tcBorders>
          </w:tcPr>
          <w:p>
            <w:pPr>
              <w:pStyle w:val="TableParagraph"/>
              <w:tabs>
                <w:tab w:pos="1485" w:val="left" w:leader="none"/>
              </w:tabs>
              <w:spacing w:line="242" w:lineRule="exact"/>
              <w:ind w:left="100"/>
              <w:rPr>
                <w:sz w:val="22"/>
              </w:rPr>
            </w:pPr>
            <w:r>
              <w:rPr>
                <w:sz w:val="22"/>
              </w:rPr>
              <w:t>pero</w:t>
              <w:tab/>
              <w:t>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se   eche   a</w:t>
            </w:r>
            <w:r>
              <w:rPr>
                <w:spacing w:val="50"/>
                <w:sz w:val="22"/>
              </w:rPr>
              <w:t> </w:t>
            </w:r>
            <w:r>
              <w:rPr>
                <w:sz w:val="22"/>
              </w:rPr>
              <w:t>la</w:t>
            </w:r>
          </w:p>
        </w:tc>
        <w:tc>
          <w:tcPr>
            <w:tcW w:w="1985" w:type="dxa"/>
            <w:tcBorders>
              <w:top w:val="nil"/>
              <w:bottom w:val="nil"/>
            </w:tcBorders>
          </w:tcPr>
          <w:p>
            <w:pPr>
              <w:pStyle w:val="TableParagraph"/>
              <w:spacing w:line="242" w:lineRule="exact"/>
              <w:rPr>
                <w:sz w:val="22"/>
              </w:rPr>
            </w:pPr>
            <w:r>
              <w:rPr>
                <w:sz w:val="22"/>
              </w:rPr>
              <w:t>la comunidad.</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pescador)</w:t>
            </w:r>
          </w:p>
        </w:tc>
        <w:tc>
          <w:tcPr>
            <w:tcW w:w="1418" w:type="dxa"/>
            <w:tcBorders>
              <w:top w:val="nil"/>
              <w:bottom w:val="nil"/>
            </w:tcBorders>
          </w:tcPr>
          <w:p>
            <w:pPr>
              <w:pStyle w:val="TableParagraph"/>
              <w:spacing w:line="241" w:lineRule="exact"/>
              <w:ind w:left="0" w:right="207"/>
              <w:jc w:val="right"/>
              <w:rPr>
                <w:sz w:val="22"/>
              </w:rPr>
            </w:pPr>
            <w:r>
              <w:rPr>
                <w:sz w:val="22"/>
              </w:rPr>
              <w:t>el tianguis</w:t>
            </w:r>
          </w:p>
        </w:tc>
        <w:tc>
          <w:tcPr>
            <w:tcW w:w="1841" w:type="dxa"/>
            <w:tcBorders>
              <w:top w:val="nil"/>
              <w:bottom w:val="nil"/>
            </w:tcBorders>
          </w:tcPr>
          <w:p>
            <w:pPr>
              <w:pStyle w:val="TableParagraph"/>
              <w:tabs>
                <w:tab w:pos="1557" w:val="left" w:leader="none"/>
              </w:tabs>
              <w:spacing w:line="241" w:lineRule="exact"/>
              <w:ind w:left="100"/>
              <w:rPr>
                <w:sz w:val="22"/>
              </w:rPr>
            </w:pPr>
            <w:r>
              <w:rPr>
                <w:sz w:val="22"/>
              </w:rPr>
              <w:t>recuerdo</w:t>
              <w:tab/>
              <w:t>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laguna.</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(31/I/2015)</w:t>
            </w:r>
          </w:p>
        </w:tc>
        <w:tc>
          <w:tcPr>
            <w:tcW w:w="1418" w:type="dxa"/>
            <w:tcBorders>
              <w:top w:val="nil"/>
              <w:bottom w:val="nil"/>
            </w:tcBorders>
          </w:tcPr>
          <w:p>
            <w:pPr>
              <w:pStyle w:val="TableParagraph"/>
              <w:spacing w:line="242" w:lineRule="exact"/>
              <w:ind w:left="99" w:right="104"/>
              <w:jc w:val="center"/>
              <w:rPr>
                <w:sz w:val="22"/>
              </w:rPr>
            </w:pPr>
            <w:r>
              <w:rPr>
                <w:sz w:val="22"/>
              </w:rPr>
              <w:t>de</w:t>
            </w:r>
          </w:p>
        </w:tc>
        <w:tc>
          <w:tcPr>
            <w:tcW w:w="1841" w:type="dxa"/>
            <w:tcBorders>
              <w:top w:val="nil"/>
              <w:bottom w:val="nil"/>
            </w:tcBorders>
          </w:tcPr>
          <w:p>
            <w:pPr>
              <w:pStyle w:val="TableParagraph"/>
              <w:tabs>
                <w:tab w:pos="1149" w:val="left" w:leader="none"/>
                <w:tab w:pos="1556" w:val="left" w:leader="none"/>
              </w:tabs>
              <w:spacing w:line="242" w:lineRule="exact"/>
              <w:ind w:left="100"/>
              <w:rPr>
                <w:sz w:val="22"/>
              </w:rPr>
            </w:pPr>
            <w:r>
              <w:rPr>
                <w:sz w:val="22"/>
              </w:rPr>
              <w:t>nombre,</w:t>
              <w:tab/>
              <w:t>ni</w:t>
              <w:tab/>
              <w:t>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242" w:right="101"/>
              <w:rPr>
                <w:sz w:val="22"/>
              </w:rPr>
            </w:pPr>
            <w:r>
              <w:rPr>
                <w:sz w:val="22"/>
              </w:rPr>
              <w:t>Acambay</w:t>
            </w:r>
          </w:p>
        </w:tc>
        <w:tc>
          <w:tcPr>
            <w:tcW w:w="1841" w:type="dxa"/>
            <w:tcBorders>
              <w:top w:val="nil"/>
              <w:bottom w:val="nil"/>
            </w:tcBorders>
          </w:tcPr>
          <w:p>
            <w:pPr>
              <w:pStyle w:val="TableParagraph"/>
              <w:tabs>
                <w:tab w:pos="1485" w:val="left" w:leader="none"/>
              </w:tabs>
              <w:spacing w:line="241" w:lineRule="exact"/>
              <w:ind w:left="100"/>
              <w:rPr>
                <w:sz w:val="22"/>
              </w:rPr>
            </w:pPr>
            <w:r>
              <w:rPr>
                <w:sz w:val="22"/>
              </w:rPr>
              <w:t>número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2" w:right="104"/>
              <w:jc w:val="center"/>
              <w:rPr>
                <w:sz w:val="22"/>
              </w:rPr>
            </w:pPr>
            <w:r>
              <w:rPr>
                <w:sz w:val="22"/>
              </w:rPr>
              <w:t>los</w:t>
            </w:r>
          </w:p>
        </w:tc>
        <w:tc>
          <w:tcPr>
            <w:tcW w:w="1841" w:type="dxa"/>
            <w:tcBorders>
              <w:top w:val="nil"/>
              <w:bottom w:val="nil"/>
            </w:tcBorders>
          </w:tcPr>
          <w:p>
            <w:pPr>
              <w:pStyle w:val="TableParagraph"/>
              <w:spacing w:line="241" w:lineRule="exact"/>
              <w:ind w:left="100"/>
              <w:rPr>
                <w:sz w:val="22"/>
              </w:rPr>
            </w:pPr>
            <w:r>
              <w:rPr>
                <w:sz w:val="22"/>
              </w:rPr>
              <w:t>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Style w:val="TableParagraph"/>
              <w:spacing w:line="242" w:lineRule="exact"/>
              <w:ind w:left="0" w:right="226"/>
              <w:jc w:val="right"/>
              <w:rPr>
                <w:sz w:val="22"/>
              </w:rPr>
            </w:pPr>
            <w:r>
              <w:rPr>
                <w:sz w:val="22"/>
              </w:rPr>
              <w:t>domingos</w:t>
            </w: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Agustín</w:t>
            </w:r>
          </w:p>
        </w:tc>
        <w:tc>
          <w:tcPr>
            <w:tcW w:w="1418" w:type="dxa"/>
            <w:tcBorders>
              <w:bottom w:val="nil"/>
            </w:tcBorders>
          </w:tcPr>
          <w:p>
            <w:pPr>
              <w:pStyle w:val="TableParagraph"/>
              <w:spacing w:line="251" w:lineRule="exact"/>
              <w:ind w:left="0" w:right="159"/>
              <w:jc w:val="right"/>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tabs>
                <w:tab w:pos="856" w:val="left" w:leader="none"/>
              </w:tabs>
              <w:spacing w:line="251" w:lineRule="exact"/>
              <w:rPr>
                <w:sz w:val="22"/>
              </w:rPr>
            </w:pPr>
            <w:r>
              <w:rPr>
                <w:sz w:val="22"/>
              </w:rPr>
              <w:t>Que</w:t>
              <w:tab/>
              <w:t>hubiera</w:t>
            </w:r>
          </w:p>
        </w:tc>
        <w:tc>
          <w:tcPr>
            <w:tcW w:w="1985" w:type="dxa"/>
            <w:tcBorders>
              <w:bottom w:val="nil"/>
            </w:tcBorders>
          </w:tcPr>
          <w:p>
            <w:pPr>
              <w:pStyle w:val="TableParagraph"/>
              <w:tabs>
                <w:tab w:pos="844" w:val="left" w:leader="none"/>
              </w:tabs>
              <w:spacing w:line="251" w:lineRule="exact"/>
              <w:rPr>
                <w:sz w:val="22"/>
              </w:rPr>
            </w:pPr>
            <w:r>
              <w:rPr>
                <w:sz w:val="22"/>
              </w:rPr>
              <w:t>El</w:t>
              <w:tab/>
              <w:t>presidente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Santiago</w:t>
            </w:r>
          </w:p>
        </w:tc>
        <w:tc>
          <w:tcPr>
            <w:tcW w:w="1418" w:type="dxa"/>
            <w:tcBorders>
              <w:top w:val="nil"/>
              <w:bottom w:val="nil"/>
            </w:tcBorders>
          </w:tcPr>
          <w:p>
            <w:pPr>
              <w:pStyle w:val="TableParagraph"/>
              <w:spacing w:line="242" w:lineRule="exact"/>
              <w:ind w:left="292" w:right="101"/>
              <w:rPr>
                <w:sz w:val="22"/>
              </w:rPr>
            </w:pPr>
            <w:r>
              <w:rPr>
                <w:sz w:val="22"/>
              </w:rPr>
              <w:t>la pesca</w:t>
            </w:r>
          </w:p>
        </w:tc>
        <w:tc>
          <w:tcPr>
            <w:tcW w:w="1841" w:type="dxa"/>
            <w:tcBorders>
              <w:top w:val="nil"/>
              <w:bottom w:val="nil"/>
            </w:tcBorders>
          </w:tcPr>
          <w:p>
            <w:pPr>
              <w:pStyle w:val="TableParagraph"/>
              <w:spacing w:line="242" w:lineRule="exact"/>
              <w:ind w:left="100"/>
              <w:rPr>
                <w:sz w:val="22"/>
              </w:rPr>
            </w:pPr>
            <w:r>
              <w:rPr>
                <w:sz w:val="22"/>
              </w:rPr>
              <w:t>“Pescarenas”</w:t>
            </w:r>
          </w:p>
        </w:tc>
        <w:tc>
          <w:tcPr>
            <w:tcW w:w="1135" w:type="dxa"/>
            <w:tcBorders>
              <w:top w:val="nil"/>
              <w:bottom w:val="nil"/>
            </w:tcBorders>
          </w:tcPr>
          <w:p>
            <w:pPr>
              <w:pStyle w:val="TableParagraph"/>
              <w:spacing w:line="242" w:lineRule="exact"/>
              <w:rPr>
                <w:sz w:val="22"/>
              </w:rPr>
            </w:pPr>
            <w:r>
              <w:rPr>
                <w:w w:val="100"/>
                <w:sz w:val="22"/>
              </w:rPr>
              <w:t>e</w:t>
            </w:r>
          </w:p>
        </w:tc>
        <w:tc>
          <w:tcPr>
            <w:tcW w:w="991" w:type="dxa"/>
            <w:tcBorders>
              <w:top w:val="nil"/>
              <w:bottom w:val="nil"/>
            </w:tcBorders>
          </w:tcPr>
          <w:p>
            <w:pPr>
              <w:pStyle w:val="TableParagraph"/>
              <w:spacing w:line="242" w:lineRule="exact"/>
              <w:ind w:left="100"/>
              <w:rPr>
                <w:sz w:val="22"/>
              </w:rPr>
            </w:pPr>
            <w:r>
              <w:rPr>
                <w:sz w:val="22"/>
              </w:rPr>
              <w:t>ay</w:t>
            </w:r>
          </w:p>
        </w:tc>
        <w:tc>
          <w:tcPr>
            <w:tcW w:w="1277" w:type="dxa"/>
            <w:tcBorders>
              <w:top w:val="nil"/>
              <w:bottom w:val="nil"/>
            </w:tcBorders>
          </w:tcPr>
          <w:p>
            <w:pPr>
              <w:pStyle w:val="TableParagraph"/>
              <w:spacing w:line="242" w:lineRule="exact"/>
              <w:ind w:right="92"/>
              <w:rPr>
                <w:sz w:val="22"/>
              </w:rPr>
            </w:pPr>
            <w:r>
              <w:rPr>
                <w:sz w:val="22"/>
              </w:rPr>
              <w:t>Arenas,</w:t>
            </w:r>
          </w:p>
        </w:tc>
        <w:tc>
          <w:tcPr>
            <w:tcW w:w="1133" w:type="dxa"/>
            <w:tcBorders>
              <w:top w:val="nil"/>
              <w:bottom w:val="nil"/>
            </w:tcBorders>
          </w:tcPr>
          <w:p>
            <w:pPr>
              <w:pStyle w:val="TableParagraph"/>
              <w:spacing w:line="242" w:lineRule="exact"/>
              <w:ind w:left="100" w:right="52"/>
              <w:rPr>
                <w:sz w:val="22"/>
              </w:rPr>
            </w:pPr>
            <w:r>
              <w:rPr>
                <w:sz w:val="22"/>
              </w:rPr>
              <w:t>Arenas,</w:t>
            </w:r>
          </w:p>
        </w:tc>
        <w:tc>
          <w:tcPr>
            <w:tcW w:w="1702" w:type="dxa"/>
            <w:tcBorders>
              <w:top w:val="nil"/>
              <w:bottom w:val="nil"/>
            </w:tcBorders>
          </w:tcPr>
          <w:p>
            <w:pPr>
              <w:pStyle w:val="TableParagraph"/>
              <w:spacing w:line="242" w:lineRule="exact"/>
              <w:rPr>
                <w:sz w:val="22"/>
              </w:rPr>
            </w:pPr>
            <w:r>
              <w:rPr>
                <w:sz w:val="22"/>
              </w:rPr>
              <w:t>una  planta  de</w:t>
            </w:r>
          </w:p>
        </w:tc>
        <w:tc>
          <w:tcPr>
            <w:tcW w:w="1985" w:type="dxa"/>
            <w:tcBorders>
              <w:top w:val="nil"/>
              <w:bottom w:val="nil"/>
            </w:tcBorders>
          </w:tcPr>
          <w:p>
            <w:pPr>
              <w:pStyle w:val="TableParagraph"/>
              <w:tabs>
                <w:tab w:pos="1257" w:val="left" w:leader="none"/>
                <w:tab w:pos="1590" w:val="left" w:leader="none"/>
              </w:tabs>
              <w:spacing w:line="242" w:lineRule="exact"/>
              <w:rPr>
                <w:sz w:val="22"/>
              </w:rPr>
            </w:pPr>
            <w:r>
              <w:rPr>
                <w:sz w:val="22"/>
              </w:rPr>
              <w:t>municipal</w:t>
              <w:tab/>
              <w:t>y</w:t>
              <w:tab/>
              <w:t>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Valentín</w:t>
            </w: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Acambay</w:t>
            </w:r>
          </w:p>
        </w:tc>
        <w:tc>
          <w:tcPr>
            <w:tcW w:w="1702" w:type="dxa"/>
            <w:tcBorders>
              <w:top w:val="nil"/>
              <w:bottom w:val="nil"/>
            </w:tcBorders>
          </w:tcPr>
          <w:p>
            <w:pPr>
              <w:pStyle w:val="TableParagraph"/>
              <w:spacing w:line="241" w:lineRule="exact"/>
              <w:rPr>
                <w:sz w:val="22"/>
              </w:rPr>
            </w:pPr>
            <w:r>
              <w:rPr>
                <w:sz w:val="22"/>
              </w:rPr>
              <w:t>tratamiento.</w:t>
            </w:r>
          </w:p>
        </w:tc>
        <w:tc>
          <w:tcPr>
            <w:tcW w:w="1985" w:type="dxa"/>
            <w:tcBorders>
              <w:top w:val="nil"/>
              <w:bottom w:val="nil"/>
            </w:tcBorders>
          </w:tcPr>
          <w:p>
            <w:pPr>
              <w:pStyle w:val="TableParagraph"/>
              <w:spacing w:line="241" w:lineRule="exact"/>
              <w:rPr>
                <w:sz w:val="22"/>
              </w:rPr>
            </w:pPr>
            <w:r>
              <w:rPr>
                <w:sz w:val="22"/>
              </w:rPr>
              <w:t>otros de los  otros</w:t>
            </w:r>
          </w:p>
        </w:tc>
      </w:tr>
      <w:tr>
        <w:trPr>
          <w:trHeight w:val="249" w:hRule="exact"/>
        </w:trPr>
        <w:tc>
          <w:tcPr>
            <w:tcW w:w="1385" w:type="dxa"/>
            <w:tcBorders>
              <w:top w:val="nil"/>
            </w:tcBorders>
          </w:tcPr>
          <w:p>
            <w:pPr>
              <w:pStyle w:val="TableParagraph"/>
              <w:spacing w:line="242" w:lineRule="exact"/>
              <w:ind w:right="127"/>
              <w:rPr>
                <w:sz w:val="22"/>
              </w:rPr>
            </w:pPr>
            <w:r>
              <w:rPr>
                <w:sz w:val="22"/>
              </w:rPr>
              <w:t>(31/I/2015)</w:t>
            </w: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2" w:lineRule="exact"/>
              <w:rPr>
                <w:sz w:val="22"/>
              </w:rPr>
            </w:pPr>
            <w:r>
              <w:rPr>
                <w:sz w:val="22"/>
              </w:rPr>
              <w:t>municipios.</w:t>
            </w:r>
          </w:p>
        </w:tc>
      </w:tr>
      <w:tr>
        <w:trPr>
          <w:trHeight w:val="267" w:hRule="exact"/>
        </w:trPr>
        <w:tc>
          <w:tcPr>
            <w:tcW w:w="1385" w:type="dxa"/>
            <w:tcBorders>
              <w:bottom w:val="nil"/>
            </w:tcBorders>
          </w:tcPr>
          <w:p>
            <w:pPr>
              <w:pStyle w:val="TableParagraph"/>
              <w:spacing w:line="251" w:lineRule="exact"/>
              <w:rPr>
                <w:sz w:val="22"/>
              </w:rPr>
            </w:pPr>
            <w:r>
              <w:rPr>
                <w:sz w:val="22"/>
              </w:rPr>
              <w:t>Felix  Rivas</w:t>
            </w:r>
          </w:p>
        </w:tc>
        <w:tc>
          <w:tcPr>
            <w:tcW w:w="1418" w:type="dxa"/>
            <w:tcBorders>
              <w:bottom w:val="nil"/>
            </w:tcBorders>
          </w:tcPr>
          <w:p>
            <w:pPr>
              <w:pStyle w:val="TableParagraph"/>
              <w:spacing w:line="251" w:lineRule="exact"/>
              <w:ind w:left="0" w:right="158"/>
              <w:jc w:val="right"/>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Cooperativa  “El</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755" w:val="left" w:leader="none"/>
                <w:tab w:pos="1309" w:val="left" w:leader="none"/>
              </w:tabs>
              <w:spacing w:line="251" w:lineRule="exact"/>
              <w:rPr>
                <w:sz w:val="22"/>
              </w:rPr>
            </w:pPr>
            <w:r>
              <w:rPr>
                <w:sz w:val="22"/>
              </w:rPr>
              <w:t>Ver</w:t>
              <w:tab/>
              <w:t>en</w:t>
              <w:tab/>
              <w:t>las</w:t>
            </w:r>
          </w:p>
        </w:tc>
        <w:tc>
          <w:tcPr>
            <w:tcW w:w="1985" w:type="dxa"/>
            <w:tcBorders>
              <w:bottom w:val="nil"/>
            </w:tcBorders>
          </w:tcPr>
          <w:p>
            <w:pPr>
              <w:pStyle w:val="TableParagraph"/>
              <w:tabs>
                <w:tab w:pos="510" w:val="left" w:leader="none"/>
                <w:tab w:pos="1580" w:val="left" w:leader="none"/>
              </w:tabs>
              <w:spacing w:line="251" w:lineRule="exact"/>
              <w:rPr>
                <w:sz w:val="22"/>
              </w:rPr>
            </w:pPr>
            <w:r>
              <w:rPr>
                <w:sz w:val="22"/>
              </w:rPr>
              <w:t>El</w:t>
              <w:tab/>
              <w:t>gobierno</w:t>
              <w:tab/>
              <w:t>del</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Huitrón</w:t>
            </w:r>
          </w:p>
        </w:tc>
        <w:tc>
          <w:tcPr>
            <w:tcW w:w="1418" w:type="dxa"/>
            <w:tcBorders>
              <w:top w:val="nil"/>
              <w:bottom w:val="nil"/>
            </w:tcBorders>
          </w:tcPr>
          <w:p>
            <w:pPr>
              <w:pStyle w:val="TableParagraph"/>
              <w:spacing w:line="242" w:lineRule="exact"/>
              <w:ind w:left="292" w:right="101"/>
              <w:rPr>
                <w:sz w:val="22"/>
              </w:rPr>
            </w:pPr>
            <w:r>
              <w:rPr>
                <w:sz w:val="22"/>
              </w:rPr>
              <w:t>la pesca</w:t>
            </w:r>
          </w:p>
        </w:tc>
        <w:tc>
          <w:tcPr>
            <w:tcW w:w="1841" w:type="dxa"/>
            <w:tcBorders>
              <w:top w:val="nil"/>
              <w:bottom w:val="nil"/>
            </w:tcBorders>
          </w:tcPr>
          <w:p>
            <w:pPr>
              <w:pStyle w:val="TableParagraph"/>
              <w:tabs>
                <w:tab w:pos="1532" w:val="left" w:leader="none"/>
              </w:tabs>
              <w:spacing w:line="242" w:lineRule="exact"/>
              <w:ind w:left="100"/>
              <w:rPr>
                <w:sz w:val="22"/>
              </w:rPr>
            </w:pPr>
            <w:r>
              <w:rPr>
                <w:sz w:val="22"/>
              </w:rPr>
              <w:t>Tezontle”</w:t>
              <w:tab/>
              <w:t>(5</w:t>
            </w:r>
          </w:p>
        </w:tc>
        <w:tc>
          <w:tcPr>
            <w:tcW w:w="1135" w:type="dxa"/>
            <w:tcBorders>
              <w:top w:val="nil"/>
              <w:bottom w:val="nil"/>
            </w:tcBorders>
          </w:tcPr>
          <w:p>
            <w:pPr>
              <w:pStyle w:val="TableParagraph"/>
              <w:spacing w:line="242" w:lineRule="exact"/>
              <w:rPr>
                <w:sz w:val="22"/>
              </w:rPr>
            </w:pPr>
            <w:r>
              <w:rPr>
                <w:sz w:val="22"/>
              </w:rPr>
              <w:t>te</w:t>
            </w:r>
          </w:p>
        </w:tc>
        <w:tc>
          <w:tcPr>
            <w:tcW w:w="991" w:type="dxa"/>
            <w:tcBorders>
              <w:top w:val="nil"/>
              <w:bottom w:val="nil"/>
            </w:tcBorders>
          </w:tcPr>
          <w:p>
            <w:pPr>
              <w:pStyle w:val="TableParagraph"/>
              <w:spacing w:line="242" w:lineRule="exact"/>
              <w:ind w:left="100"/>
              <w:rPr>
                <w:sz w:val="22"/>
              </w:rPr>
            </w:pPr>
            <w:r>
              <w:rPr>
                <w:w w:val="100"/>
                <w:sz w:val="22"/>
              </w:rPr>
              <w:t>c</w:t>
            </w:r>
          </w:p>
        </w:tc>
        <w:tc>
          <w:tcPr>
            <w:tcW w:w="1277" w:type="dxa"/>
            <w:tcBorders>
              <w:top w:val="nil"/>
              <w:bottom w:val="nil"/>
            </w:tcBorders>
          </w:tcPr>
          <w:p>
            <w:pPr>
              <w:pStyle w:val="TableParagraph"/>
              <w:spacing w:line="242" w:lineRule="exact"/>
              <w:ind w:right="92"/>
              <w:rPr>
                <w:sz w:val="22"/>
              </w:rPr>
            </w:pPr>
            <w:r>
              <w:rPr>
                <w:sz w:val="22"/>
              </w:rPr>
              <w:t>Jilotepec</w:t>
            </w:r>
          </w:p>
        </w:tc>
        <w:tc>
          <w:tcPr>
            <w:tcW w:w="1133" w:type="dxa"/>
            <w:tcBorders>
              <w:top w:val="nil"/>
              <w:bottom w:val="nil"/>
            </w:tcBorders>
          </w:tcPr>
          <w:p>
            <w:pPr>
              <w:pStyle w:val="TableParagraph"/>
              <w:spacing w:line="242" w:lineRule="exact"/>
              <w:ind w:left="100" w:right="52"/>
              <w:rPr>
                <w:sz w:val="22"/>
              </w:rPr>
            </w:pPr>
            <w:r>
              <w:rPr>
                <w:sz w:val="22"/>
              </w:rPr>
              <w:t>Saltillo,</w:t>
            </w:r>
          </w:p>
        </w:tc>
        <w:tc>
          <w:tcPr>
            <w:tcW w:w="1702" w:type="dxa"/>
            <w:tcBorders>
              <w:top w:val="nil"/>
              <w:bottom w:val="nil"/>
            </w:tcBorders>
          </w:tcPr>
          <w:p>
            <w:pPr>
              <w:pStyle w:val="TableParagraph"/>
              <w:spacing w:line="242" w:lineRule="exact"/>
              <w:rPr>
                <w:sz w:val="22"/>
              </w:rPr>
            </w:pPr>
            <w:r>
              <w:rPr>
                <w:sz w:val="22"/>
              </w:rPr>
              <w:t>comunidades</w:t>
            </w:r>
          </w:p>
        </w:tc>
        <w:tc>
          <w:tcPr>
            <w:tcW w:w="1985" w:type="dxa"/>
            <w:tcBorders>
              <w:top w:val="nil"/>
              <w:bottom w:val="nil"/>
            </w:tcBorders>
          </w:tcPr>
          <w:p>
            <w:pPr>
              <w:pStyle w:val="TableParagraph"/>
              <w:spacing w:line="242" w:lineRule="exact"/>
              <w:rPr>
                <w:sz w:val="22"/>
              </w:rPr>
            </w:pPr>
            <w:r>
              <w:rPr>
                <w:sz w:val="22"/>
              </w:rPr>
              <w:t>Estado de México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(7/II/2015)</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Style w:val="TableParagraph"/>
              <w:spacing w:line="241" w:lineRule="exact"/>
              <w:rPr>
                <w:sz w:val="22"/>
              </w:rPr>
            </w:pPr>
            <w:r>
              <w:rPr>
                <w:sz w:val="22"/>
              </w:rPr>
              <w:t>que  no cayera</w:t>
            </w:r>
          </w:p>
        </w:tc>
        <w:tc>
          <w:tcPr>
            <w:tcW w:w="1985" w:type="dxa"/>
            <w:tcBorders>
              <w:top w:val="nil"/>
              <w:bottom w:val="nil"/>
            </w:tcBorders>
          </w:tcPr>
          <w:p>
            <w:pPr>
              <w:pStyle w:val="TableParagraph"/>
              <w:tabs>
                <w:tab w:pos="1593" w:val="left" w:leader="none"/>
              </w:tabs>
              <w:spacing w:line="241" w:lineRule="exact"/>
              <w:rPr>
                <w:sz w:val="22"/>
              </w:rPr>
            </w:pPr>
            <w:r>
              <w:rPr>
                <w:sz w:val="22"/>
              </w:rPr>
              <w:t>porque</w:t>
              <w:tab/>
              <w:t>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Pr>
                <w:sz w:val="22"/>
              </w:rPr>
            </w:pPr>
            <w:r>
              <w:rPr>
                <w:w w:val="100"/>
                <w:sz w:val="22"/>
              </w:rPr>
              <w:t>.</w:t>
            </w:r>
          </w:p>
        </w:tc>
        <w:tc>
          <w:tcPr>
            <w:tcW w:w="1702" w:type="dxa"/>
            <w:tcBorders>
              <w:top w:val="nil"/>
              <w:bottom w:val="nil"/>
            </w:tcBorders>
          </w:tcPr>
          <w:p>
            <w:pPr>
              <w:pStyle w:val="TableParagraph"/>
              <w:tabs>
                <w:tab w:pos="1067" w:val="left" w:leader="none"/>
                <w:tab w:pos="1417" w:val="left" w:leader="none"/>
              </w:tabs>
              <w:spacing w:line="241" w:lineRule="exact"/>
              <w:rPr>
                <w:sz w:val="22"/>
              </w:rPr>
            </w:pPr>
            <w:r>
              <w:rPr>
                <w:sz w:val="22"/>
              </w:rPr>
              <w:t>drenaje</w:t>
              <w:tab/>
              <w:t>a</w:t>
              <w:tab/>
              <w:t>la</w:t>
            </w:r>
          </w:p>
        </w:tc>
        <w:tc>
          <w:tcPr>
            <w:tcW w:w="1985" w:type="dxa"/>
            <w:tcBorders>
              <w:top w:val="nil"/>
              <w:bottom w:val="nil"/>
            </w:tcBorders>
          </w:tcPr>
          <w:p>
            <w:pPr>
              <w:pStyle w:val="TableParagraph"/>
              <w:spacing w:line="241" w:lineRule="exact"/>
              <w:rPr>
                <w:sz w:val="22"/>
              </w:rPr>
            </w:pPr>
            <w:r>
              <w:rPr>
                <w:sz w:val="22"/>
              </w:rPr>
              <w:t>municipales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laguna.</w:t>
            </w:r>
          </w:p>
        </w:tc>
        <w:tc>
          <w:tcPr>
            <w:tcW w:w="1985" w:type="dxa"/>
            <w:tcBorders>
              <w:top w:val="nil"/>
              <w:bottom w:val="nil"/>
            </w:tcBorders>
          </w:tcPr>
          <w:p>
            <w:pPr>
              <w:pStyle w:val="TableParagraph"/>
              <w:tabs>
                <w:tab w:pos="1506" w:val="left" w:leader="none"/>
              </w:tabs>
              <w:spacing w:line="242" w:lineRule="exact"/>
              <w:rPr>
                <w:sz w:val="22"/>
              </w:rPr>
            </w:pPr>
            <w:r>
              <w:rPr>
                <w:sz w:val="22"/>
              </w:rPr>
              <w:t>tuvieron</w:t>
              <w:tab/>
              <w:t>una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372" w:val="left" w:leader="none"/>
              </w:tabs>
              <w:spacing w:line="241" w:lineRule="exact"/>
              <w:rPr>
                <w:sz w:val="22"/>
              </w:rPr>
            </w:pPr>
            <w:r>
              <w:rPr>
                <w:sz w:val="22"/>
              </w:rPr>
              <w:t>reunión</w:t>
              <w:tab/>
              <w:t>entre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901" w:val="left" w:leader="none"/>
                <w:tab w:pos="1628" w:val="left" w:leader="none"/>
              </w:tabs>
              <w:spacing w:line="242" w:lineRule="exact"/>
              <w:rPr>
                <w:sz w:val="22"/>
              </w:rPr>
            </w:pPr>
            <w:r>
              <w:rPr>
                <w:sz w:val="22"/>
              </w:rPr>
              <w:t>ellos,</w:t>
              <w:tab/>
              <w:t>pero</w:t>
              <w:tab/>
              <w:t>no</w:t>
            </w:r>
          </w:p>
        </w:tc>
      </w:tr>
      <w:tr>
        <w:trPr>
          <w:trHeight w:val="247"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resuelven nada.</w:t>
            </w:r>
          </w:p>
        </w:tc>
      </w:tr>
      <w:tr>
        <w:trPr>
          <w:trHeight w:val="269" w:hRule="exact"/>
        </w:trPr>
        <w:tc>
          <w:tcPr>
            <w:tcW w:w="1385" w:type="dxa"/>
            <w:tcBorders>
              <w:bottom w:val="nil"/>
            </w:tcBorders>
          </w:tcPr>
          <w:p>
            <w:pPr>
              <w:pStyle w:val="TableParagraph"/>
              <w:ind w:right="127"/>
              <w:rPr>
                <w:sz w:val="22"/>
              </w:rPr>
            </w:pPr>
            <w:r>
              <w:rPr>
                <w:sz w:val="22"/>
              </w:rPr>
              <w:t>Emigdio</w:t>
            </w:r>
          </w:p>
        </w:tc>
        <w:tc>
          <w:tcPr>
            <w:tcW w:w="1418" w:type="dxa"/>
            <w:tcBorders>
              <w:bottom w:val="nil"/>
            </w:tcBorders>
          </w:tcPr>
          <w:p>
            <w:pPr>
              <w:pStyle w:val="TableParagraph"/>
              <w:ind w:left="0" w:right="148"/>
              <w:jc w:val="right"/>
              <w:rPr>
                <w:sz w:val="22"/>
              </w:rPr>
            </w:pPr>
            <w:r>
              <w:rPr>
                <w:sz w:val="22"/>
              </w:rPr>
              <w:t>Campesino</w:t>
            </w:r>
          </w:p>
        </w:tc>
        <w:tc>
          <w:tcPr>
            <w:tcW w:w="1841" w:type="dxa"/>
            <w:tcBorders>
              <w:bottom w:val="nil"/>
            </w:tcBorders>
          </w:tcPr>
          <w:p>
            <w:pPr>
              <w:pStyle w:val="TableParagraph"/>
              <w:ind w:left="100"/>
              <w:rPr>
                <w:sz w:val="22"/>
              </w:rPr>
            </w:pPr>
            <w:r>
              <w:rPr>
                <w:sz w:val="22"/>
              </w:rPr>
              <w:t>Cooperativa  “El</w:t>
            </w:r>
          </w:p>
        </w:tc>
        <w:tc>
          <w:tcPr>
            <w:tcW w:w="1135" w:type="dxa"/>
            <w:tcBorders>
              <w:bottom w:val="nil"/>
            </w:tcBorders>
          </w:tcPr>
          <w:p>
            <w:pPr>
              <w:pStyle w:val="TableParagraph"/>
              <w:rPr>
                <w:sz w:val="22"/>
              </w:rPr>
            </w:pPr>
            <w:r>
              <w:rPr>
                <w:sz w:val="22"/>
              </w:rPr>
              <w:t>Presiden</w:t>
            </w:r>
          </w:p>
        </w:tc>
        <w:tc>
          <w:tcPr>
            <w:tcW w:w="991" w:type="dxa"/>
            <w:tcBorders>
              <w:bottom w:val="nil"/>
            </w:tcBorders>
          </w:tcPr>
          <w:p>
            <w:pPr>
              <w:pStyle w:val="TableParagraph"/>
              <w:ind w:left="100"/>
              <w:rPr>
                <w:sz w:val="22"/>
              </w:rPr>
            </w:pPr>
            <w:r>
              <w:rPr>
                <w:sz w:val="22"/>
              </w:rPr>
              <w:t>Jilotepe</w:t>
            </w:r>
          </w:p>
        </w:tc>
        <w:tc>
          <w:tcPr>
            <w:tcW w:w="1277" w:type="dxa"/>
            <w:tcBorders>
              <w:bottom w:val="nil"/>
            </w:tcBorders>
          </w:tcPr>
          <w:p>
            <w:pPr>
              <w:pStyle w:val="TableParagraph"/>
              <w:ind w:right="92"/>
              <w:rPr>
                <w:sz w:val="22"/>
              </w:rPr>
            </w:pPr>
            <w:r>
              <w:rPr>
                <w:sz w:val="22"/>
              </w:rPr>
              <w:t>Aldama</w:t>
            </w:r>
          </w:p>
        </w:tc>
        <w:tc>
          <w:tcPr>
            <w:tcW w:w="1133" w:type="dxa"/>
            <w:tcBorders>
              <w:bottom w:val="nil"/>
            </w:tcBorders>
          </w:tcPr>
          <w:p>
            <w:pPr>
              <w:pStyle w:val="TableParagraph"/>
              <w:ind w:left="100" w:right="52"/>
              <w:rPr>
                <w:sz w:val="22"/>
              </w:rPr>
            </w:pPr>
            <w:r>
              <w:rPr>
                <w:sz w:val="22"/>
              </w:rPr>
              <w:t>Aldama</w:t>
            </w:r>
          </w:p>
        </w:tc>
        <w:tc>
          <w:tcPr>
            <w:tcW w:w="1702" w:type="dxa"/>
            <w:tcBorders>
              <w:bottom w:val="nil"/>
            </w:tcBorders>
          </w:tcPr>
          <w:p>
            <w:pPr>
              <w:pStyle w:val="TableParagraph"/>
              <w:tabs>
                <w:tab w:pos="1221" w:val="left" w:leader="none"/>
              </w:tabs>
              <w:rPr>
                <w:sz w:val="22"/>
              </w:rPr>
            </w:pPr>
            <w:r>
              <w:rPr>
                <w:sz w:val="22"/>
              </w:rPr>
              <w:t>Con</w:t>
              <w:tab/>
              <w:t>una</w:t>
            </w:r>
          </w:p>
        </w:tc>
        <w:tc>
          <w:tcPr>
            <w:tcW w:w="1985" w:type="dxa"/>
            <w:tcBorders>
              <w:bottom w:val="nil"/>
            </w:tcBorders>
          </w:tcPr>
          <w:p>
            <w:pPr>
              <w:pStyle w:val="TableParagraph"/>
              <w:tabs>
                <w:tab w:pos="1014" w:val="left" w:leader="none"/>
              </w:tabs>
              <w:rPr>
                <w:sz w:val="22"/>
              </w:rPr>
            </w:pPr>
            <w:r>
              <w:rPr>
                <w:sz w:val="22"/>
              </w:rPr>
              <w:t>El</w:t>
              <w:tab/>
              <w:t>gobierno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418" w:type="dxa"/>
            <w:tcBorders>
              <w:top w:val="nil"/>
              <w:bottom w:val="nil"/>
            </w:tcBorders>
          </w:tcPr>
          <w:p>
            <w:pPr>
              <w:pStyle w:val="TableParagraph"/>
              <w:spacing w:line="241" w:lineRule="exact"/>
              <w:ind w:left="0" w:right="166"/>
              <w:jc w:val="right"/>
              <w:rPr>
                <w:sz w:val="22"/>
              </w:rPr>
            </w:pPr>
            <w:r>
              <w:rPr>
                <w:sz w:val="22"/>
              </w:rPr>
              <w:t>y pescador</w:t>
            </w:r>
          </w:p>
        </w:tc>
        <w:tc>
          <w:tcPr>
            <w:tcW w:w="1841" w:type="dxa"/>
            <w:tcBorders>
              <w:top w:val="nil"/>
              <w:bottom w:val="nil"/>
            </w:tcBorders>
          </w:tcPr>
          <w:p>
            <w:pPr>
              <w:pStyle w:val="TableParagraph"/>
              <w:tabs>
                <w:tab w:pos="1410" w:val="left" w:leader="none"/>
              </w:tabs>
              <w:spacing w:line="241" w:lineRule="exact"/>
              <w:ind w:left="100"/>
              <w:rPr>
                <w:sz w:val="22"/>
              </w:rPr>
            </w:pPr>
            <w:r>
              <w:rPr>
                <w:sz w:val="22"/>
              </w:rPr>
              <w:t>Rinconcito”</w:t>
              <w:tab/>
              <w:t>(13</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(El</w:t>
            </w:r>
          </w:p>
        </w:tc>
        <w:tc>
          <w:tcPr>
            <w:tcW w:w="1133" w:type="dxa"/>
            <w:tcBorders>
              <w:top w:val="nil"/>
              <w:bottom w:val="nil"/>
            </w:tcBorders>
          </w:tcPr>
          <w:p>
            <w:pPr>
              <w:pStyle w:val="TableParagraph"/>
              <w:spacing w:line="241" w:lineRule="exact"/>
              <w:ind w:left="100" w:right="52"/>
              <w:rPr>
                <w:sz w:val="22"/>
              </w:rPr>
            </w:pPr>
            <w:r>
              <w:rPr>
                <w:sz w:val="22"/>
              </w:rPr>
              <w:t>(El</w:t>
            </w:r>
          </w:p>
        </w:tc>
        <w:tc>
          <w:tcPr>
            <w:tcW w:w="1702" w:type="dxa"/>
            <w:tcBorders>
              <w:top w:val="nil"/>
              <w:bottom w:val="nil"/>
            </w:tcBorders>
          </w:tcPr>
          <w:p>
            <w:pPr>
              <w:pStyle w:val="TableParagraph"/>
              <w:tabs>
                <w:tab w:pos="1463" w:val="left" w:leader="none"/>
              </w:tabs>
              <w:spacing w:line="241" w:lineRule="exact"/>
              <w:rPr>
                <w:sz w:val="22"/>
              </w:rPr>
            </w:pPr>
            <w:r>
              <w:rPr>
                <w:sz w:val="22"/>
              </w:rPr>
              <w:t>revisión</w:t>
              <w:tab/>
              <w:t>a</w:t>
            </w:r>
          </w:p>
        </w:tc>
        <w:tc>
          <w:tcPr>
            <w:tcW w:w="1985" w:type="dxa"/>
            <w:tcBorders>
              <w:top w:val="nil"/>
              <w:bottom w:val="nil"/>
            </w:tcBorders>
          </w:tcPr>
          <w:p>
            <w:pPr>
              <w:pStyle w:val="TableParagraph"/>
              <w:spacing w:line="241" w:lineRule="exact"/>
              <w:rPr>
                <w:sz w:val="22"/>
              </w:rPr>
            </w:pPr>
            <w:r>
              <w:rPr>
                <w:sz w:val="22"/>
              </w:rPr>
              <w:t>estatal.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Trojillo),</w:t>
            </w:r>
          </w:p>
        </w:tc>
        <w:tc>
          <w:tcPr>
            <w:tcW w:w="1133" w:type="dxa"/>
            <w:tcBorders>
              <w:top w:val="nil"/>
              <w:bottom w:val="nil"/>
            </w:tcBorders>
          </w:tcPr>
          <w:p>
            <w:pPr>
              <w:pStyle w:val="TableParagraph"/>
              <w:spacing w:line="241" w:lineRule="exact"/>
              <w:ind w:left="100" w:right="52"/>
              <w:rPr>
                <w:sz w:val="22"/>
              </w:rPr>
            </w:pPr>
            <w:r>
              <w:rPr>
                <w:sz w:val="22"/>
              </w:rPr>
              <w:t>Trojillo),</w:t>
            </w:r>
          </w:p>
        </w:tc>
        <w:tc>
          <w:tcPr>
            <w:tcW w:w="1702" w:type="dxa"/>
            <w:tcBorders>
              <w:top w:val="nil"/>
              <w:bottom w:val="nil"/>
            </w:tcBorders>
          </w:tcPr>
          <w:p>
            <w:pPr>
              <w:pStyle w:val="TableParagraph"/>
              <w:tabs>
                <w:tab w:pos="914" w:val="left" w:leader="none"/>
                <w:tab w:pos="1417" w:val="left" w:leader="none"/>
              </w:tabs>
              <w:spacing w:line="241" w:lineRule="exact"/>
              <w:rPr>
                <w:sz w:val="22"/>
              </w:rPr>
            </w:pPr>
            <w:r>
              <w:rPr>
                <w:sz w:val="22"/>
              </w:rPr>
              <w:t>fondo</w:t>
              <w:tab/>
              <w:t>de</w:t>
              <w:tab/>
              <w:t>lo</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left="184" w:right="127"/>
              <w:rPr>
                <w:sz w:val="22"/>
              </w:rPr>
            </w:pPr>
            <w:r>
              <w:rPr>
                <w:sz w:val="22"/>
              </w:rPr>
              <w:t>(7/II/2015)</w:t>
            </w: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Jilotepec</w:t>
            </w: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tabs>
                <w:tab w:pos="712" w:val="left" w:leader="none"/>
                <w:tab w:pos="1309" w:val="left" w:leader="none"/>
              </w:tabs>
              <w:spacing w:line="242" w:lineRule="exact"/>
              <w:rPr>
                <w:sz w:val="22"/>
              </w:rPr>
            </w:pPr>
            <w:r>
              <w:rPr>
                <w:sz w:val="22"/>
              </w:rPr>
              <w:t>que</w:t>
              <w:tab/>
              <w:t>son</w:t>
              <w:tab/>
              <w:t>las</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aguas.</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José</w:t>
            </w:r>
          </w:p>
        </w:tc>
        <w:tc>
          <w:tcPr>
            <w:tcW w:w="1418" w:type="dxa"/>
            <w:tcBorders>
              <w:bottom w:val="nil"/>
            </w:tcBorders>
          </w:tcPr>
          <w:p>
            <w:pPr>
              <w:pStyle w:val="TableParagraph"/>
              <w:spacing w:line="251" w:lineRule="exact"/>
              <w:ind w:left="0" w:right="171"/>
              <w:jc w:val="right"/>
              <w:rPr>
                <w:sz w:val="22"/>
              </w:rPr>
            </w:pPr>
            <w:r>
              <w:rPr>
                <w:sz w:val="22"/>
              </w:rPr>
              <w:t>La pesca y</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tabs>
                <w:tab w:pos="1417" w:val="left" w:leader="none"/>
              </w:tabs>
              <w:spacing w:line="251" w:lineRule="exact"/>
              <w:rPr>
                <w:sz w:val="22"/>
              </w:rPr>
            </w:pPr>
            <w:r>
              <w:rPr>
                <w:sz w:val="22"/>
              </w:rPr>
              <w:t>En</w:t>
              <w:tab/>
              <w:t>la</w:t>
            </w:r>
          </w:p>
        </w:tc>
        <w:tc>
          <w:tcPr>
            <w:tcW w:w="1985" w:type="dxa"/>
            <w:tcBorders>
              <w:bottom w:val="nil"/>
            </w:tcBorders>
          </w:tcPr>
          <w:p>
            <w:pPr>
              <w:pStyle w:val="TableParagraph"/>
              <w:tabs>
                <w:tab w:pos="904" w:val="left" w:leader="none"/>
              </w:tabs>
              <w:spacing w:line="251" w:lineRule="exact"/>
              <w:rPr>
                <w:sz w:val="22"/>
              </w:rPr>
            </w:pPr>
            <w:r>
              <w:rPr>
                <w:sz w:val="22"/>
              </w:rPr>
              <w:t>Los</w:t>
              <w:tab/>
              <w:t>gobiernos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Valencia</w:t>
            </w:r>
          </w:p>
        </w:tc>
        <w:tc>
          <w:tcPr>
            <w:tcW w:w="1418" w:type="dxa"/>
            <w:tcBorders>
              <w:top w:val="nil"/>
              <w:bottom w:val="nil"/>
            </w:tcBorders>
          </w:tcPr>
          <w:p>
            <w:pPr>
              <w:pStyle w:val="TableParagraph"/>
              <w:spacing w:line="241" w:lineRule="exact"/>
              <w:ind w:left="0" w:right="141"/>
              <w:jc w:val="right"/>
              <w:rPr>
                <w:sz w:val="22"/>
              </w:rPr>
            </w:pPr>
            <w:r>
              <w:rPr>
                <w:sz w:val="22"/>
              </w:rPr>
              <w:t>el comercio</w:t>
            </w:r>
          </w:p>
        </w:tc>
        <w:tc>
          <w:tcPr>
            <w:tcW w:w="1841" w:type="dxa"/>
            <w:tcBorders>
              <w:top w:val="nil"/>
              <w:bottom w:val="nil"/>
            </w:tcBorders>
          </w:tcPr>
          <w:p>
            <w:pPr>
              <w:pStyle w:val="TableParagraph"/>
              <w:spacing w:line="241" w:lineRule="exact"/>
              <w:ind w:left="100"/>
              <w:rPr>
                <w:sz w:val="22"/>
              </w:rPr>
            </w:pPr>
            <w:r>
              <w:rPr>
                <w:sz w:val="22"/>
              </w:rPr>
              <w:t>“Pescarenas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Arenas,</w:t>
            </w:r>
          </w:p>
        </w:tc>
        <w:tc>
          <w:tcPr>
            <w:tcW w:w="1133" w:type="dxa"/>
            <w:tcBorders>
              <w:top w:val="nil"/>
              <w:bottom w:val="nil"/>
            </w:tcBorders>
          </w:tcPr>
          <w:p>
            <w:pPr>
              <w:pStyle w:val="TableParagraph"/>
              <w:spacing w:line="241" w:lineRule="exact"/>
              <w:ind w:left="100" w:right="52"/>
              <w:rPr>
                <w:sz w:val="22"/>
              </w:rPr>
            </w:pPr>
            <w:r>
              <w:rPr>
                <w:sz w:val="22"/>
              </w:rPr>
              <w:t>Arenas,</w:t>
            </w:r>
          </w:p>
        </w:tc>
        <w:tc>
          <w:tcPr>
            <w:tcW w:w="1702" w:type="dxa"/>
            <w:tcBorders>
              <w:top w:val="nil"/>
              <w:bottom w:val="nil"/>
            </w:tcBorders>
          </w:tcPr>
          <w:p>
            <w:pPr>
              <w:pStyle w:val="TableParagraph"/>
              <w:spacing w:line="241" w:lineRule="exact"/>
              <w:rPr>
                <w:sz w:val="22"/>
              </w:rPr>
            </w:pPr>
            <w:r>
              <w:rPr>
                <w:sz w:val="22"/>
              </w:rPr>
              <w:t>contaminación</w:t>
            </w:r>
          </w:p>
        </w:tc>
        <w:tc>
          <w:tcPr>
            <w:tcW w:w="1985" w:type="dxa"/>
            <w:tcBorders>
              <w:top w:val="nil"/>
              <w:bottom w:val="nil"/>
            </w:tcBorders>
          </w:tcPr>
          <w:p>
            <w:pPr>
              <w:pStyle w:val="TableParagraph"/>
              <w:spacing w:line="241" w:lineRule="exact"/>
              <w:rPr>
                <w:sz w:val="22"/>
              </w:rPr>
            </w:pPr>
            <w:r>
              <w:rPr>
                <w:sz w:val="22"/>
              </w:rPr>
              <w:t>municipales</w:t>
            </w:r>
          </w:p>
        </w:tc>
      </w:tr>
      <w:tr>
        <w:trPr>
          <w:trHeight w:val="252" w:hRule="exact"/>
        </w:trPr>
        <w:tc>
          <w:tcPr>
            <w:tcW w:w="1385" w:type="dxa"/>
            <w:tcBorders>
              <w:top w:val="nil"/>
              <w:bottom w:val="nil"/>
            </w:tcBorders>
          </w:tcPr>
          <w:p>
            <w:pPr>
              <w:pStyle w:val="TableParagraph"/>
              <w:spacing w:line="242" w:lineRule="exact"/>
              <w:ind w:right="127"/>
              <w:rPr>
                <w:sz w:val="22"/>
              </w:rPr>
            </w:pPr>
            <w:r>
              <w:rPr>
                <w:sz w:val="22"/>
              </w:rPr>
              <w:t>García</w:t>
            </w:r>
          </w:p>
        </w:tc>
        <w:tc>
          <w:tcPr>
            <w:tcW w:w="1418" w:type="dxa"/>
            <w:tcBorders>
              <w:top w:val="nil"/>
              <w:bottom w:val="nil"/>
            </w:tcBorders>
          </w:tcPr>
          <w:p>
            <w:pPr>
              <w:pStyle w:val="TableParagraph"/>
              <w:spacing w:line="242" w:lineRule="exact"/>
              <w:ind w:left="0" w:right="165"/>
              <w:jc w:val="right"/>
              <w:rPr>
                <w:sz w:val="22"/>
              </w:rPr>
            </w:pPr>
            <w:r>
              <w:rPr>
                <w:sz w:val="22"/>
              </w:rPr>
              <w:t>de eventos</w:t>
            </w:r>
          </w:p>
        </w:tc>
        <w:tc>
          <w:tcPr>
            <w:tcW w:w="1841" w:type="dxa"/>
            <w:tcBorders>
              <w:top w:val="nil"/>
              <w:bottom w:val="nil"/>
            </w:tcBorders>
          </w:tcPr>
          <w:p>
            <w:pPr>
              <w:pStyle w:val="TableParagraph"/>
              <w:spacing w:line="242" w:lineRule="exact"/>
              <w:ind w:left="100"/>
              <w:rPr>
                <w:sz w:val="22"/>
              </w:rPr>
            </w:pPr>
            <w:r>
              <w:rPr>
                <w:sz w:val="22"/>
              </w:rPr>
              <w:t>Procesado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Acambay</w:t>
            </w:r>
          </w:p>
        </w:tc>
        <w:tc>
          <w:tcPr>
            <w:tcW w:w="1702" w:type="dxa"/>
            <w:tcBorders>
              <w:top w:val="nil"/>
              <w:bottom w:val="nil"/>
            </w:tcBorders>
          </w:tcPr>
          <w:p>
            <w:pPr>
              <w:pStyle w:val="TableParagraph"/>
              <w:tabs>
                <w:tab w:pos="621" w:val="left" w:leader="none"/>
              </w:tabs>
              <w:spacing w:line="242" w:lineRule="exact"/>
              <w:rPr>
                <w:sz w:val="22"/>
              </w:rPr>
            </w:pPr>
            <w:r>
              <w:rPr>
                <w:sz w:val="22"/>
              </w:rPr>
              <w:t>los</w:t>
              <w:tab/>
              <w:t>gobiernos</w:t>
            </w:r>
          </w:p>
        </w:tc>
        <w:tc>
          <w:tcPr>
            <w:tcW w:w="1985" w:type="dxa"/>
            <w:tcBorders>
              <w:top w:val="nil"/>
              <w:bottom w:val="nil"/>
            </w:tcBorders>
          </w:tcPr>
          <w:p>
            <w:pPr>
              <w:pStyle w:val="TableParagraph"/>
              <w:spacing w:line="242" w:lineRule="exact"/>
              <w:rPr>
                <w:sz w:val="22"/>
              </w:rPr>
            </w:pPr>
            <w:r>
              <w:rPr>
                <w:sz w:val="22"/>
              </w:rPr>
              <w:t>porque   tienen  el</w:t>
            </w:r>
          </w:p>
        </w:tc>
      </w:tr>
      <w:tr>
        <w:trPr>
          <w:trHeight w:val="252" w:hRule="exact"/>
        </w:trPr>
        <w:tc>
          <w:tcPr>
            <w:tcW w:w="1385" w:type="dxa"/>
            <w:tcBorders>
              <w:top w:val="nil"/>
              <w:bottom w:val="nil"/>
            </w:tcBorders>
          </w:tcPr>
          <w:p>
            <w:pPr>
              <w:pStyle w:val="TableParagraph"/>
              <w:spacing w:line="242" w:lineRule="exact"/>
              <w:ind w:right="127"/>
              <w:rPr>
                <w:sz w:val="22"/>
              </w:rPr>
            </w:pPr>
            <w:r>
              <w:rPr>
                <w:sz w:val="22"/>
              </w:rPr>
              <w:t>(24/I/2015)</w:t>
            </w:r>
          </w:p>
        </w:tc>
        <w:tc>
          <w:tcPr>
            <w:tcW w:w="1418" w:type="dxa"/>
            <w:tcBorders>
              <w:top w:val="nil"/>
              <w:bottom w:val="nil"/>
            </w:tcBorders>
          </w:tcPr>
          <w:p>
            <w:pPr>
              <w:pStyle w:val="TableParagraph"/>
              <w:spacing w:line="242" w:lineRule="exact"/>
              <w:ind w:left="304" w:right="101"/>
              <w:rPr>
                <w:sz w:val="22"/>
              </w:rPr>
            </w:pPr>
            <w:r>
              <w:rPr>
                <w:sz w:val="22"/>
              </w:rPr>
              <w:t>sociales</w:t>
            </w:r>
          </w:p>
        </w:tc>
        <w:tc>
          <w:tcPr>
            <w:tcW w:w="1841" w:type="dxa"/>
            <w:tcBorders>
              <w:top w:val="nil"/>
              <w:bottom w:val="nil"/>
            </w:tcBorders>
          </w:tcPr>
          <w:p>
            <w:pPr>
              <w:pStyle w:val="TableParagraph"/>
              <w:spacing w:line="242" w:lineRule="exact"/>
              <w:ind w:left="100"/>
              <w:rPr>
                <w:sz w:val="22"/>
              </w:rPr>
            </w:pPr>
            <w:r>
              <w:rPr>
                <w:sz w:val="22"/>
              </w:rPr>
              <w:t>Fresco”</w:t>
            </w:r>
          </w:p>
        </w:tc>
        <w:tc>
          <w:tcPr>
            <w:tcW w:w="1135" w:type="dxa"/>
            <w:tcBorders>
              <w:top w:val="nil"/>
              <w:bottom w:val="nil"/>
            </w:tcBorders>
          </w:tcPr>
          <w:p>
            <w:pPr>
              <w:pStyle w:val="TableParagraph"/>
              <w:spacing w:line="240" w:lineRule="exact"/>
              <w:rPr>
                <w:b/>
                <w:sz w:val="22"/>
              </w:rPr>
            </w:pPr>
            <w:r>
              <w:rPr>
                <w:b/>
                <w:sz w:val="22"/>
              </w:rPr>
              <w:t>PRESID</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municipales</w:t>
            </w:r>
          </w:p>
        </w:tc>
        <w:tc>
          <w:tcPr>
            <w:tcW w:w="1985" w:type="dxa"/>
            <w:tcBorders>
              <w:top w:val="nil"/>
              <w:bottom w:val="nil"/>
            </w:tcBorders>
          </w:tcPr>
          <w:p>
            <w:pPr>
              <w:pStyle w:val="TableParagraph"/>
              <w:spacing w:line="242" w:lineRule="exact"/>
              <w:rPr>
                <w:sz w:val="22"/>
              </w:rPr>
            </w:pPr>
            <w:r>
              <w:rPr>
                <w:sz w:val="22"/>
              </w:rPr>
              <w:t>mando general.</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261" w:right="101"/>
              <w:rPr>
                <w:sz w:val="22"/>
              </w:rPr>
            </w:pPr>
            <w:r>
              <w:rPr>
                <w:sz w:val="22"/>
              </w:rPr>
              <w:t>(renta de</w:t>
            </w: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ENTE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26" w:val="left" w:leader="none"/>
              </w:tabs>
              <w:spacing w:line="242" w:lineRule="exact"/>
              <w:rPr>
                <w:sz w:val="22"/>
              </w:rPr>
            </w:pPr>
            <w:r>
              <w:rPr>
                <w:sz w:val="22"/>
              </w:rPr>
              <w:t>deben</w:t>
              <w:tab/>
              <w:t>poner</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Style w:val="TableParagraph"/>
              <w:spacing w:line="243" w:lineRule="exact"/>
              <w:ind w:left="0" w:right="122"/>
              <w:jc w:val="right"/>
              <w:rPr>
                <w:sz w:val="22"/>
              </w:rPr>
            </w:pPr>
            <w:r>
              <w:rPr>
                <w:sz w:val="22"/>
              </w:rPr>
              <w:t>equipo para</w:t>
            </w:r>
          </w:p>
        </w:tc>
        <w:tc>
          <w:tcPr>
            <w:tcW w:w="1841" w:type="dxa"/>
            <w:tcBorders>
              <w:top w:val="nil"/>
            </w:tcBorders>
          </w:tcPr>
          <w:p>
            <w:pPr/>
          </w:p>
        </w:tc>
        <w:tc>
          <w:tcPr>
            <w:tcW w:w="1135" w:type="dxa"/>
            <w:tcBorders>
              <w:top w:val="nil"/>
            </w:tcBorders>
          </w:tcPr>
          <w:p>
            <w:pPr>
              <w:pStyle w:val="TableParagraph"/>
              <w:spacing w:line="241" w:lineRule="exact"/>
              <w:rPr>
                <w:b/>
                <w:sz w:val="22"/>
              </w:rPr>
            </w:pPr>
            <w:r>
              <w:rPr>
                <w:b/>
                <w:sz w:val="22"/>
              </w:rPr>
              <w:t>DE</w:t>
            </w: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3" w:lineRule="exact"/>
              <w:rPr>
                <w:sz w:val="22"/>
              </w:rPr>
            </w:pPr>
            <w:r>
              <w:rPr>
                <w:sz w:val="22"/>
              </w:rPr>
              <w:t>atención</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5" w:hRule="exact"/>
        </w:trPr>
        <w:tc>
          <w:tcPr>
            <w:tcW w:w="1385" w:type="dxa"/>
            <w:vMerge w:val="restart"/>
          </w:tcPr>
          <w:p>
            <w:pPr/>
          </w:p>
        </w:tc>
        <w:tc>
          <w:tcPr>
            <w:tcW w:w="1418" w:type="dxa"/>
            <w:tcBorders>
              <w:bottom w:val="nil"/>
            </w:tcBorders>
          </w:tcPr>
          <w:p>
            <w:pPr>
              <w:pStyle w:val="TableParagraph"/>
              <w:spacing w:line="251" w:lineRule="exact"/>
              <w:ind w:left="348" w:right="101"/>
              <w:rPr>
                <w:sz w:val="22"/>
              </w:rPr>
            </w:pPr>
            <w:r>
              <w:rPr>
                <w:sz w:val="22"/>
              </w:rPr>
              <w:t>fiestas)</w:t>
            </w:r>
          </w:p>
        </w:tc>
        <w:tc>
          <w:tcPr>
            <w:tcW w:w="1841" w:type="dxa"/>
            <w:vMerge w:val="restart"/>
          </w:tcPr>
          <w:p>
            <w:pPr/>
          </w:p>
        </w:tc>
        <w:tc>
          <w:tcPr>
            <w:tcW w:w="1135" w:type="dxa"/>
            <w:tcBorders>
              <w:bottom w:val="nil"/>
            </w:tcBorders>
          </w:tcPr>
          <w:p>
            <w:pPr>
              <w:pStyle w:val="TableParagraph"/>
              <w:spacing w:line="248" w:lineRule="exact"/>
              <w:rPr>
                <w:b/>
                <w:sz w:val="22"/>
              </w:rPr>
            </w:pPr>
            <w:r>
              <w:rPr>
                <w:b/>
                <w:sz w:val="22"/>
              </w:rPr>
              <w:t>TODAS</w:t>
            </w:r>
          </w:p>
        </w:tc>
        <w:tc>
          <w:tcPr>
            <w:tcW w:w="991" w:type="dxa"/>
            <w:vMerge w:val="restart"/>
          </w:tcPr>
          <w:p>
            <w:pPr/>
          </w:p>
        </w:tc>
        <w:tc>
          <w:tcPr>
            <w:tcW w:w="1277" w:type="dxa"/>
            <w:vMerge w:val="restart"/>
          </w:tcPr>
          <w:p>
            <w:pPr/>
          </w:p>
        </w:tc>
        <w:tc>
          <w:tcPr>
            <w:tcW w:w="1133" w:type="dxa"/>
            <w:vMerge w:val="restart"/>
          </w:tcPr>
          <w:p>
            <w:pPr/>
          </w:p>
        </w:tc>
        <w:tc>
          <w:tcPr>
            <w:tcW w:w="1702" w:type="dxa"/>
            <w:tcBorders>
              <w:bottom w:val="nil"/>
            </w:tcBorders>
          </w:tcPr>
          <w:p>
            <w:pPr>
              <w:pStyle w:val="TableParagraph"/>
              <w:tabs>
                <w:tab w:pos="1417" w:val="left" w:leader="none"/>
              </w:tabs>
              <w:spacing w:line="251" w:lineRule="exact"/>
              <w:rPr>
                <w:sz w:val="22"/>
              </w:rPr>
            </w:pPr>
            <w:r>
              <w:rPr>
                <w:sz w:val="22"/>
              </w:rPr>
              <w:t>porque</w:t>
              <w:tab/>
              <w:t>la</w:t>
            </w:r>
          </w:p>
        </w:tc>
        <w:tc>
          <w:tcPr>
            <w:tcW w:w="1985" w:type="dxa"/>
            <w:vMerge w:val="restart"/>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Style w:val="TableParagraph"/>
              <w:spacing w:line="240" w:lineRule="exact"/>
              <w:rPr>
                <w:b/>
                <w:sz w:val="22"/>
              </w:rPr>
            </w:pPr>
            <w:r>
              <w:rPr>
                <w:b/>
                <w:sz w:val="22"/>
              </w:rPr>
              <w:t>LAS</w:t>
            </w: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346" w:val="left" w:leader="none"/>
              </w:tabs>
              <w:spacing w:line="242" w:lineRule="exact"/>
              <w:rPr>
                <w:sz w:val="22"/>
              </w:rPr>
            </w:pPr>
            <w:r>
              <w:rPr>
                <w:sz w:val="22"/>
              </w:rPr>
              <w:t>fuente</w:t>
              <w:tab/>
              <w:t>de</w:t>
            </w:r>
          </w:p>
        </w:tc>
        <w:tc>
          <w:tcPr>
            <w:tcW w:w="1985" w:type="dxa"/>
            <w:vMerge/>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Style w:val="TableParagraph"/>
              <w:spacing w:line="241" w:lineRule="exact"/>
              <w:rPr>
                <w:b/>
                <w:sz w:val="22"/>
              </w:rPr>
            </w:pPr>
            <w:r>
              <w:rPr>
                <w:b/>
                <w:sz w:val="22"/>
              </w:rPr>
              <w:t>COOPE</w:t>
            </w: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4" w:lineRule="exact"/>
              <w:rPr>
                <w:sz w:val="22"/>
              </w:rPr>
            </w:pPr>
            <w:r>
              <w:rPr>
                <w:sz w:val="22"/>
              </w:rPr>
              <w:t>empleo   es </w:t>
            </w:r>
            <w:r>
              <w:rPr>
                <w:spacing w:val="53"/>
                <w:sz w:val="22"/>
              </w:rPr>
              <w:t> </w:t>
            </w:r>
            <w:r>
              <w:rPr>
                <w:sz w:val="22"/>
              </w:rPr>
              <w:t>la</w:t>
            </w:r>
          </w:p>
        </w:tc>
        <w:tc>
          <w:tcPr>
            <w:tcW w:w="1985" w:type="dxa"/>
            <w:vMerge/>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Style w:val="TableParagraph"/>
              <w:spacing w:line="240" w:lineRule="exact"/>
              <w:rPr>
                <w:b/>
                <w:sz w:val="22"/>
              </w:rPr>
            </w:pPr>
            <w:r>
              <w:rPr>
                <w:b/>
                <w:sz w:val="22"/>
              </w:rPr>
              <w:t>RATIVA</w:t>
            </w: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pesca  y  están</w:t>
            </w:r>
          </w:p>
        </w:tc>
        <w:tc>
          <w:tcPr>
            <w:tcW w:w="1985" w:type="dxa"/>
            <w:vMerge/>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Style w:val="TableParagraph"/>
              <w:spacing w:line="241" w:lineRule="exact"/>
              <w:rPr>
                <w:b/>
                <w:sz w:val="22"/>
              </w:rPr>
            </w:pPr>
            <w:r>
              <w:rPr>
                <w:b/>
                <w:sz w:val="22"/>
              </w:rPr>
              <w:t>S DE</w:t>
            </w: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4" w:lineRule="exact"/>
              <w:rPr>
                <w:sz w:val="22"/>
              </w:rPr>
            </w:pPr>
            <w:r>
              <w:rPr>
                <w:sz w:val="22"/>
              </w:rPr>
              <w:t>contaminando</w:t>
            </w:r>
          </w:p>
        </w:tc>
        <w:tc>
          <w:tcPr>
            <w:tcW w:w="1985" w:type="dxa"/>
            <w:vMerge/>
          </w:tcPr>
          <w:p>
            <w:pPr/>
          </w:p>
        </w:tc>
      </w:tr>
      <w:tr>
        <w:trPr>
          <w:trHeight w:val="252" w:hRule="exact"/>
        </w:trPr>
        <w:tc>
          <w:tcPr>
            <w:tcW w:w="1385" w:type="dxa"/>
            <w:vMerge/>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Style w:val="TableParagraph"/>
              <w:spacing w:line="240" w:lineRule="exact"/>
              <w:rPr>
                <w:b/>
                <w:sz w:val="22"/>
              </w:rPr>
            </w:pPr>
            <w:r>
              <w:rPr>
                <w:b/>
                <w:sz w:val="22"/>
              </w:rPr>
              <w:t>PESCAD</w:t>
            </w: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el agua.</w:t>
            </w:r>
          </w:p>
        </w:tc>
        <w:tc>
          <w:tcPr>
            <w:tcW w:w="1985" w:type="dxa"/>
            <w:vMerge/>
          </w:tcPr>
          <w:p>
            <w:pPr/>
          </w:p>
        </w:tc>
      </w:tr>
      <w:tr>
        <w:trPr>
          <w:trHeight w:val="252" w:hRule="exact"/>
        </w:trPr>
        <w:tc>
          <w:tcPr>
            <w:tcW w:w="1385" w:type="dxa"/>
            <w:vMerge/>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Style w:val="TableParagraph"/>
              <w:spacing w:line="240" w:lineRule="exact"/>
              <w:rPr>
                <w:b/>
                <w:sz w:val="22"/>
              </w:rPr>
            </w:pPr>
            <w:r>
              <w:rPr>
                <w:b/>
                <w:sz w:val="22"/>
              </w:rPr>
              <w:t>ORES</w:t>
            </w: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
        </w:tc>
        <w:tc>
          <w:tcPr>
            <w:tcW w:w="1985" w:type="dxa"/>
            <w:vMerge/>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Style w:val="TableParagraph"/>
              <w:spacing w:line="242" w:lineRule="exact"/>
              <w:rPr>
                <w:b/>
                <w:sz w:val="22"/>
              </w:rPr>
            </w:pPr>
            <w:r>
              <w:rPr>
                <w:b/>
                <w:sz w:val="22"/>
              </w:rPr>
              <w:t>DE LA</w:t>
            </w: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
        </w:tc>
        <w:tc>
          <w:tcPr>
            <w:tcW w:w="1985" w:type="dxa"/>
            <w:vMerge/>
          </w:tcPr>
          <w:p>
            <w:pPr/>
          </w:p>
        </w:tc>
      </w:tr>
      <w:tr>
        <w:trPr>
          <w:trHeight w:val="254" w:hRule="exact"/>
        </w:trPr>
        <w:tc>
          <w:tcPr>
            <w:tcW w:w="1385" w:type="dxa"/>
            <w:vMerge/>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Style w:val="TableParagraph"/>
              <w:spacing w:line="241" w:lineRule="exact"/>
              <w:rPr>
                <w:b/>
                <w:sz w:val="22"/>
              </w:rPr>
            </w:pPr>
            <w:r>
              <w:rPr>
                <w:b/>
                <w:sz w:val="22"/>
              </w:rPr>
              <w:t>LAGUN</w:t>
            </w: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
        </w:tc>
        <w:tc>
          <w:tcPr>
            <w:tcW w:w="1985" w:type="dxa"/>
            <w:vMerge/>
          </w:tcPr>
          <w:p>
            <w:pPr/>
          </w:p>
        </w:tc>
      </w:tr>
      <w:tr>
        <w:trPr>
          <w:trHeight w:val="253" w:hRule="exact"/>
        </w:trPr>
        <w:tc>
          <w:tcPr>
            <w:tcW w:w="1385" w:type="dxa"/>
            <w:vMerge/>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Style w:val="TableParagraph"/>
              <w:spacing w:line="242" w:lineRule="exact"/>
              <w:rPr>
                <w:b/>
                <w:sz w:val="22"/>
              </w:rPr>
            </w:pPr>
            <w:r>
              <w:rPr>
                <w:b/>
                <w:w w:val="100"/>
                <w:sz w:val="22"/>
              </w:rPr>
              <w:t>A</w:t>
            </w: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
        </w:tc>
        <w:tc>
          <w:tcPr>
            <w:tcW w:w="1985" w:type="dxa"/>
            <w:vMerge/>
          </w:tcPr>
          <w:p>
            <w:pPr/>
          </w:p>
        </w:tc>
      </w:tr>
      <w:tr>
        <w:trPr>
          <w:trHeight w:val="252" w:hRule="exact"/>
        </w:trPr>
        <w:tc>
          <w:tcPr>
            <w:tcW w:w="1385" w:type="dxa"/>
            <w:vMerge/>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Style w:val="TableParagraph"/>
              <w:spacing w:line="241" w:lineRule="exact"/>
              <w:rPr>
                <w:b/>
                <w:sz w:val="22"/>
              </w:rPr>
            </w:pPr>
            <w:r>
              <w:rPr>
                <w:b/>
                <w:sz w:val="22"/>
              </w:rPr>
              <w:t>HUAPA</w:t>
            </w: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
        </w:tc>
        <w:tc>
          <w:tcPr>
            <w:tcW w:w="1985" w:type="dxa"/>
            <w:vMerge/>
          </w:tcPr>
          <w:p>
            <w:pPr/>
          </w:p>
        </w:tc>
      </w:tr>
      <w:tr>
        <w:trPr>
          <w:trHeight w:val="252" w:hRule="exact"/>
        </w:trPr>
        <w:tc>
          <w:tcPr>
            <w:tcW w:w="1385" w:type="dxa"/>
            <w:vMerge/>
          </w:tcPr>
          <w:p>
            <w:pPr/>
          </w:p>
        </w:tc>
        <w:tc>
          <w:tcPr>
            <w:tcW w:w="1418" w:type="dxa"/>
            <w:tcBorders>
              <w:top w:val="nil"/>
            </w:tcBorders>
          </w:tcPr>
          <w:p>
            <w:pPr/>
          </w:p>
        </w:tc>
        <w:tc>
          <w:tcPr>
            <w:tcW w:w="1841" w:type="dxa"/>
            <w:vMerge/>
          </w:tcPr>
          <w:p>
            <w:pPr/>
          </w:p>
        </w:tc>
        <w:tc>
          <w:tcPr>
            <w:tcW w:w="1135" w:type="dxa"/>
            <w:tcBorders>
              <w:top w:val="nil"/>
            </w:tcBorders>
          </w:tcPr>
          <w:p>
            <w:pPr>
              <w:pStyle w:val="TableParagraph"/>
              <w:spacing w:line="241" w:lineRule="exact"/>
              <w:rPr>
                <w:b/>
                <w:sz w:val="22"/>
              </w:rPr>
            </w:pPr>
            <w:r>
              <w:rPr>
                <w:b/>
                <w:sz w:val="22"/>
              </w:rPr>
              <w:t>NGO</w:t>
            </w:r>
          </w:p>
        </w:tc>
        <w:tc>
          <w:tcPr>
            <w:tcW w:w="991" w:type="dxa"/>
            <w:vMerge/>
          </w:tcPr>
          <w:p>
            <w:pPr/>
          </w:p>
        </w:tc>
        <w:tc>
          <w:tcPr>
            <w:tcW w:w="1277" w:type="dxa"/>
            <w:vMerge/>
          </w:tcPr>
          <w:p>
            <w:pPr/>
          </w:p>
        </w:tc>
        <w:tc>
          <w:tcPr>
            <w:tcW w:w="1133" w:type="dxa"/>
            <w:vMerge/>
          </w:tcPr>
          <w:p>
            <w:pPr/>
          </w:p>
        </w:tc>
        <w:tc>
          <w:tcPr>
            <w:tcW w:w="1702" w:type="dxa"/>
            <w:tcBorders>
              <w:top w:val="nil"/>
            </w:tcBorders>
          </w:tcPr>
          <w:p>
            <w:pPr/>
          </w:p>
        </w:tc>
        <w:tc>
          <w:tcPr>
            <w:tcW w:w="1985" w:type="dxa"/>
            <w:vMerge/>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1101" w:right="397"/>
      </w:pPr>
      <w:r>
        <w:rPr/>
        <w:t>Tabla 6.3. Pescadores en los Municipios de Acambay, Aculco, Jilotepec y Timilpan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2" w:hRule="exact"/>
        </w:trPr>
        <w:tc>
          <w:tcPr>
            <w:tcW w:w="6771" w:type="dxa"/>
            <w:gridSpan w:val="5"/>
            <w:vMerge/>
            <w:shd w:val="clear" w:color="auto" w:fill="F9BE8F"/>
          </w:tcPr>
          <w:p>
            <w:pPr/>
          </w:p>
        </w:tc>
        <w:tc>
          <w:tcPr>
            <w:tcW w:w="2410" w:type="dxa"/>
            <w:gridSpan w:val="2"/>
            <w:shd w:val="clear" w:color="auto" w:fill="92CDDC"/>
          </w:tcPr>
          <w:p>
            <w:pPr>
              <w:pStyle w:val="TableParagraph"/>
              <w:spacing w:line="248" w:lineRule="exact"/>
              <w:ind w:left="710"/>
              <w:rPr>
                <w:b/>
                <w:sz w:val="22"/>
              </w:rPr>
            </w:pPr>
            <w:r>
              <w:rPr>
                <w:b/>
                <w:sz w:val="22"/>
              </w:rPr>
              <w:t>Identidad</w:t>
            </w:r>
          </w:p>
        </w:tc>
        <w:tc>
          <w:tcPr>
            <w:tcW w:w="1702" w:type="dxa"/>
            <w:shd w:val="clear" w:color="auto" w:fill="92CDDC"/>
          </w:tcPr>
          <w:p>
            <w:pPr>
              <w:pStyle w:val="TableParagraph"/>
              <w:spacing w:line="248" w:lineRule="exact"/>
              <w:rPr>
                <w:b/>
                <w:sz w:val="22"/>
              </w:rPr>
            </w:pPr>
            <w:r>
              <w:rPr>
                <w:b/>
                <w:sz w:val="22"/>
              </w:rPr>
              <w:t>Autogestión</w:t>
            </w:r>
          </w:p>
        </w:tc>
        <w:tc>
          <w:tcPr>
            <w:tcW w:w="1985" w:type="dxa"/>
            <w:shd w:val="clear" w:color="auto" w:fill="92CDDC"/>
          </w:tcPr>
          <w:p>
            <w:pPr>
              <w:pStyle w:val="TableParagraph"/>
              <w:spacing w:line="248" w:lineRule="exact"/>
              <w:rPr>
                <w:b/>
                <w:sz w:val="22"/>
              </w:rPr>
            </w:pPr>
            <w:r>
              <w:rPr>
                <w:b/>
                <w:sz w:val="22"/>
              </w:rPr>
              <w:t>Cultura</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9" w:lineRule="exact"/>
              <w:ind w:left="100"/>
              <w:rPr>
                <w:b/>
                <w:sz w:val="22"/>
              </w:rPr>
            </w:pPr>
            <w:r>
              <w:rPr>
                <w:b/>
                <w:sz w:val="22"/>
              </w:rPr>
              <w:t>Cooperativa de</w:t>
            </w:r>
          </w:p>
        </w:tc>
        <w:tc>
          <w:tcPr>
            <w:tcW w:w="1135" w:type="dxa"/>
            <w:tcBorders>
              <w:bottom w:val="nil"/>
            </w:tcBorders>
            <w:shd w:val="clear" w:color="auto" w:fill="F9BE8F"/>
          </w:tcPr>
          <w:p>
            <w:pPr>
              <w:pStyle w:val="TableParagraph"/>
              <w:spacing w:line="249" w:lineRule="exact"/>
              <w:rPr>
                <w:b/>
                <w:sz w:val="22"/>
              </w:rPr>
            </w:pPr>
            <w:r>
              <w:rPr>
                <w:b/>
                <w:sz w:val="22"/>
              </w:rPr>
              <w:t>Cargo</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9" w:lineRule="exact"/>
              <w:rPr>
                <w:b/>
                <w:sz w:val="22"/>
              </w:rPr>
            </w:pPr>
            <w:r>
              <w:rPr>
                <w:b/>
                <w:sz w:val="22"/>
              </w:rPr>
              <w:t>¿Considera</w:t>
            </w:r>
          </w:p>
        </w:tc>
        <w:tc>
          <w:tcPr>
            <w:tcW w:w="1985" w:type="dxa"/>
            <w:tcBorders>
              <w:bottom w:val="nil"/>
            </w:tcBorders>
            <w:shd w:val="clear" w:color="auto" w:fill="92CDDC"/>
          </w:tcPr>
          <w:p>
            <w:pPr>
              <w:pStyle w:val="TableParagraph"/>
              <w:spacing w:line="249" w:lineRule="exact"/>
              <w:rPr>
                <w:b/>
                <w:sz w:val="22"/>
              </w:rPr>
            </w:pPr>
            <w:r>
              <w:rPr>
                <w:b/>
                <w:sz w:val="22"/>
              </w:rPr>
              <w:t>¿Considera  qué</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2"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2" w:lineRule="exact"/>
              <w:ind w:left="100"/>
              <w:rPr>
                <w:b/>
                <w:sz w:val="22"/>
              </w:rPr>
            </w:pPr>
            <w:r>
              <w:rPr>
                <w:b/>
                <w:sz w:val="22"/>
              </w:rPr>
              <w:t>Pescadores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2"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2"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2"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2" w:lineRule="exact"/>
              <w:rPr>
                <w:b/>
                <w:sz w:val="22"/>
              </w:rPr>
            </w:pPr>
            <w:r>
              <w:rPr>
                <w:b/>
                <w:sz w:val="22"/>
              </w:rPr>
              <w:t>importante  la</w:t>
            </w:r>
          </w:p>
        </w:tc>
        <w:tc>
          <w:tcPr>
            <w:tcW w:w="1985" w:type="dxa"/>
            <w:tcBorders>
              <w:top w:val="nil"/>
              <w:bottom w:val="nil"/>
            </w:tcBorders>
            <w:shd w:val="clear" w:color="auto" w:fill="92CDDC"/>
          </w:tcPr>
          <w:p>
            <w:pPr>
              <w:pStyle w:val="TableParagraph"/>
              <w:spacing w:line="242" w:lineRule="exact"/>
              <w:rPr>
                <w:b/>
                <w:sz w:val="22"/>
              </w:rPr>
            </w:pPr>
            <w:r>
              <w:rPr>
                <w:b/>
                <w:sz w:val="22"/>
              </w:rPr>
              <w:t>se   han  perdido</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3" w:val="left" w:leader="none"/>
              </w:tabs>
              <w:spacing w:line="241" w:lineRule="exact"/>
              <w:rPr>
                <w:b/>
                <w:sz w:val="22"/>
              </w:rPr>
            </w:pPr>
            <w:r>
              <w:rPr>
                <w:b/>
                <w:sz w:val="22"/>
              </w:rPr>
              <w:t>laguna</w:t>
              <w:tab/>
              <w:t>de</w:t>
            </w:r>
          </w:p>
        </w:tc>
        <w:tc>
          <w:tcPr>
            <w:tcW w:w="1985" w:type="dxa"/>
            <w:tcBorders>
              <w:top w:val="nil"/>
              <w:bottom w:val="nil"/>
            </w:tcBorders>
            <w:shd w:val="clear" w:color="auto" w:fill="92CDDC"/>
          </w:tcPr>
          <w:p>
            <w:pPr>
              <w:pStyle w:val="TableParagraph"/>
              <w:tabs>
                <w:tab w:pos="1235" w:val="left" w:leader="none"/>
              </w:tabs>
              <w:spacing w:line="241" w:lineRule="exact"/>
              <w:rPr>
                <w:b/>
                <w:sz w:val="22"/>
              </w:rPr>
            </w:pPr>
            <w:r>
              <w:rPr>
                <w:b/>
                <w:sz w:val="22"/>
              </w:rPr>
              <w:t>especies</w:t>
              <w:tab/>
              <w:t>en  </w:t>
            </w:r>
            <w:r>
              <w:rPr>
                <w:b/>
                <w:spacing w:val="13"/>
                <w:sz w:val="22"/>
              </w:rPr>
              <w:t> </w:t>
            </w:r>
            <w:r>
              <w:rPr>
                <w:b/>
                <w:sz w:val="22"/>
              </w:rPr>
              <w:t>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Huapango</w:t>
            </w: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laguna</w:t>
              <w:tab/>
              <w:t>de</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4" w:val="left" w:leader="none"/>
              </w:tabs>
              <w:spacing w:line="241" w:lineRule="exact"/>
              <w:rPr>
                <w:b/>
                <w:sz w:val="22"/>
              </w:rPr>
            </w:pPr>
            <w:r>
              <w:rPr>
                <w:b/>
                <w:sz w:val="22"/>
              </w:rPr>
              <w:t>para</w:t>
              <w:tab/>
              <w:t>su</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1" w:lineRule="exact"/>
              <w:rPr>
                <w:b/>
                <w:sz w:val="22"/>
              </w:rPr>
            </w:pPr>
            <w:r>
              <w:rPr>
                <w:b/>
                <w:sz w:val="22"/>
              </w:rPr>
              <w:t>comunidad?</w:t>
            </w:r>
          </w:p>
        </w:tc>
        <w:tc>
          <w:tcPr>
            <w:tcW w:w="1985"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Salvador</w:t>
            </w:r>
          </w:p>
        </w:tc>
        <w:tc>
          <w:tcPr>
            <w:tcW w:w="1418" w:type="dxa"/>
            <w:tcBorders>
              <w:bottom w:val="nil"/>
            </w:tcBorders>
          </w:tcPr>
          <w:p>
            <w:pPr>
              <w:pStyle w:val="TableParagraph"/>
              <w:spacing w:line="251" w:lineRule="exact"/>
              <w:ind w:left="100" w:right="101"/>
              <w:rPr>
                <w:sz w:val="22"/>
              </w:rPr>
            </w:pPr>
            <w:r>
              <w:rPr>
                <w:sz w:val="22"/>
              </w:rPr>
              <w:t>Pescador,</w:t>
            </w:r>
          </w:p>
        </w:tc>
        <w:tc>
          <w:tcPr>
            <w:tcW w:w="1841" w:type="dxa"/>
            <w:vMerge w:val="restart"/>
          </w:tcPr>
          <w:p>
            <w:pPr>
              <w:pStyle w:val="TableParagraph"/>
              <w:ind w:left="100" w:right="142"/>
              <w:rPr>
                <w:sz w:val="22"/>
              </w:rPr>
            </w:pPr>
            <w:r>
              <w:rPr>
                <w:sz w:val="22"/>
              </w:rPr>
              <w:t>“Los Pescadores de la Vía del Tren” (17</w:t>
            </w:r>
            <w:r>
              <w:rPr>
                <w:spacing w:val="-8"/>
                <w:sz w:val="22"/>
              </w:rPr>
              <w:t> </w:t>
            </w:r>
            <w:r>
              <w:rPr>
                <w:sz w:val="22"/>
              </w:rPr>
              <w:t>integrantes,</w:t>
            </w:r>
          </w:p>
          <w:p>
            <w:pPr>
              <w:pStyle w:val="TableParagraph"/>
              <w:spacing w:before="2"/>
              <w:ind w:left="100" w:right="171"/>
              <w:rPr>
                <w:sz w:val="22"/>
              </w:rPr>
            </w:pPr>
            <w:r>
              <w:rPr>
                <w:sz w:val="22"/>
              </w:rPr>
              <w:t>4 pescadores son de San Martín, Aculco).</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Zaragoza,</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1235" w:val="left" w:leader="none"/>
              </w:tabs>
              <w:spacing w:line="251" w:lineRule="exact"/>
              <w:rPr>
                <w:sz w:val="22"/>
              </w:rPr>
            </w:pPr>
            <w:r>
              <w:rPr>
                <w:sz w:val="22"/>
              </w:rPr>
              <w:t>Porque</w:t>
              <w:tab/>
              <w:t>hay</w:t>
            </w:r>
          </w:p>
        </w:tc>
        <w:tc>
          <w:tcPr>
            <w:tcW w:w="1985" w:type="dxa"/>
            <w:tcBorders>
              <w:bottom w:val="nil"/>
            </w:tcBorders>
          </w:tcPr>
          <w:p>
            <w:pPr>
              <w:pStyle w:val="TableParagraph"/>
              <w:tabs>
                <w:tab w:pos="582" w:val="left" w:leader="none"/>
                <w:tab w:pos="1551" w:val="left" w:leader="none"/>
              </w:tabs>
              <w:spacing w:line="251" w:lineRule="exact"/>
              <w:rPr>
                <w:sz w:val="22"/>
              </w:rPr>
            </w:pPr>
            <w:r>
              <w:rPr>
                <w:sz w:val="22"/>
              </w:rPr>
              <w:t>El</w:t>
              <w:tab/>
              <w:t>criollito</w:t>
              <w:tab/>
              <w:t>(un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100" w:right="101"/>
              <w:rPr>
                <w:sz w:val="22"/>
              </w:rPr>
            </w:pPr>
            <w:r>
              <w:rPr>
                <w:sz w:val="22"/>
              </w:rPr>
              <w:t>Agricultura,</w:t>
            </w:r>
          </w:p>
        </w:tc>
        <w:tc>
          <w:tcPr>
            <w:tcW w:w="1841" w:type="dxa"/>
            <w:vMerge/>
          </w:tcPr>
          <w:p>
            <w:pP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tabs>
                <w:tab w:pos="1591" w:val="right" w:leader="none"/>
              </w:tabs>
              <w:spacing w:line="241" w:lineRule="exact"/>
              <w:rPr>
                <w:sz w:val="22"/>
              </w:rPr>
            </w:pPr>
            <w:r>
              <w:rPr>
                <w:sz w:val="22"/>
              </w:rPr>
              <w:t>como</w:t>
              <w:tab/>
              <w:t>170</w:t>
            </w:r>
          </w:p>
        </w:tc>
        <w:tc>
          <w:tcPr>
            <w:tcW w:w="1985" w:type="dxa"/>
            <w:tcBorders>
              <w:top w:val="nil"/>
              <w:bottom w:val="nil"/>
            </w:tcBorders>
          </w:tcPr>
          <w:p>
            <w:pPr>
              <w:pStyle w:val="TableParagraph"/>
              <w:tabs>
                <w:tab w:pos="1286" w:val="left" w:leader="none"/>
              </w:tabs>
              <w:spacing w:line="241" w:lineRule="exact"/>
              <w:rPr>
                <w:sz w:val="22"/>
              </w:rPr>
            </w:pPr>
            <w:r>
              <w:rPr>
                <w:sz w:val="22"/>
              </w:rPr>
              <w:t>pececito</w:t>
              <w:tab/>
              <w:t>pintito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Ganadería</w:t>
            </w: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Aculco</w:t>
            </w:r>
          </w:p>
        </w:tc>
        <w:tc>
          <w:tcPr>
            <w:tcW w:w="1702" w:type="dxa"/>
            <w:tcBorders>
              <w:top w:val="nil"/>
              <w:bottom w:val="nil"/>
            </w:tcBorders>
          </w:tcPr>
          <w:p>
            <w:pPr>
              <w:pStyle w:val="TableParagraph"/>
              <w:spacing w:line="242" w:lineRule="exact"/>
              <w:rPr>
                <w:sz w:val="22"/>
              </w:rPr>
            </w:pPr>
            <w:r>
              <w:rPr>
                <w:sz w:val="22"/>
              </w:rPr>
              <w:t>pescadores</w:t>
            </w:r>
          </w:p>
        </w:tc>
        <w:tc>
          <w:tcPr>
            <w:tcW w:w="1985" w:type="dxa"/>
            <w:tcBorders>
              <w:top w:val="nil"/>
              <w:bottom w:val="nil"/>
            </w:tcBorders>
          </w:tcPr>
          <w:p>
            <w:pPr>
              <w:pStyle w:val="TableParagraph"/>
              <w:spacing w:line="242" w:lineRule="exact"/>
              <w:rPr>
                <w:sz w:val="22"/>
              </w:rPr>
            </w:pPr>
            <w:r>
              <w:rPr>
                <w:sz w:val="22"/>
              </w:rPr>
              <w:t>tipo charal).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alrededor   que</w:t>
            </w:r>
          </w:p>
        </w:tc>
        <w:tc>
          <w:tcPr>
            <w:tcW w:w="1985" w:type="dxa"/>
            <w:tcBorders>
              <w:top w:val="nil"/>
              <w:bottom w:val="nil"/>
            </w:tcBorders>
          </w:tcPr>
          <w:p>
            <w:pP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(4/I/2014)</w:t>
            </w: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61" w:val="left" w:leader="none"/>
              </w:tabs>
              <w:spacing w:line="243" w:lineRule="exact"/>
              <w:rPr>
                <w:sz w:val="22"/>
              </w:rPr>
            </w:pPr>
            <w:r>
              <w:rPr>
                <w:sz w:val="22"/>
              </w:rPr>
              <w:t>se</w:t>
              <w:tab/>
              <w:t>mantienen</w:t>
            </w:r>
          </w:p>
        </w:tc>
        <w:tc>
          <w:tcPr>
            <w:tcW w:w="1985" w:type="dxa"/>
            <w:tcBorders>
              <w:top w:val="nil"/>
              <w:bottom w:val="nil"/>
            </w:tcBorders>
          </w:tcPr>
          <w:p>
            <w:pPr/>
          </w:p>
        </w:tc>
      </w:tr>
      <w:tr>
        <w:trPr>
          <w:trHeight w:val="502" w:hRule="exact"/>
        </w:trPr>
        <w:tc>
          <w:tcPr>
            <w:tcW w:w="1385" w:type="dxa"/>
            <w:tcBorders>
              <w:top w:val="nil"/>
            </w:tcBorders>
          </w:tcPr>
          <w:p>
            <w:pPr/>
          </w:p>
        </w:tc>
        <w:tc>
          <w:tcPr>
            <w:tcW w:w="1418" w:type="dxa"/>
            <w:tcBorders>
              <w:top w:val="nil"/>
            </w:tcBorders>
          </w:tcPr>
          <w:p>
            <w:pPr/>
          </w:p>
        </w:tc>
        <w:tc>
          <w:tcPr>
            <w:tcW w:w="1841" w:type="dxa"/>
            <w:vMerge/>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de la laguna.</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left="410" w:right="127"/>
              <w:rPr>
                <w:sz w:val="22"/>
              </w:rPr>
            </w:pPr>
            <w:r>
              <w:rPr>
                <w:sz w:val="22"/>
              </w:rPr>
              <w:t>Jorge</w:t>
            </w:r>
          </w:p>
        </w:tc>
        <w:tc>
          <w:tcPr>
            <w:tcW w:w="1418" w:type="dxa"/>
            <w:tcBorders>
              <w:bottom w:val="nil"/>
            </w:tcBorders>
          </w:tcPr>
          <w:p>
            <w:pPr>
              <w:pStyle w:val="TableParagraph"/>
              <w:spacing w:line="251" w:lineRule="exact"/>
              <w:ind w:left="100"/>
              <w:rPr>
                <w:sz w:val="22"/>
              </w:rPr>
            </w:pPr>
            <w:r>
              <w:rPr>
                <w:sz w:val="22"/>
              </w:rPr>
              <w:t>Campesino,</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Secretari</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tabs>
                <w:tab w:pos="928" w:val="left" w:leader="none"/>
              </w:tabs>
              <w:spacing w:line="251" w:lineRule="exact"/>
              <w:rPr>
                <w:sz w:val="22"/>
              </w:rPr>
            </w:pPr>
            <w:r>
              <w:rPr>
                <w:sz w:val="22"/>
              </w:rPr>
              <w:t>La</w:t>
              <w:tab/>
              <w:t>laguna</w:t>
            </w:r>
          </w:p>
        </w:tc>
        <w:tc>
          <w:tcPr>
            <w:tcW w:w="1985" w:type="dxa"/>
            <w:tcBorders>
              <w:bottom w:val="nil"/>
            </w:tcBorders>
          </w:tcPr>
          <w:p>
            <w:pPr>
              <w:pStyle w:val="TableParagraph"/>
              <w:tabs>
                <w:tab w:pos="471" w:val="left" w:leader="none"/>
              </w:tabs>
              <w:spacing w:line="251" w:lineRule="exact"/>
              <w:ind w:left="1"/>
              <w:jc w:val="center"/>
              <w:rPr>
                <w:sz w:val="22"/>
              </w:rPr>
            </w:pPr>
            <w:r>
              <w:rPr>
                <w:sz w:val="22"/>
              </w:rPr>
              <w:t>Se</w:t>
              <w:tab/>
              <w:t>han  </w:t>
            </w:r>
            <w:r>
              <w:rPr>
                <w:spacing w:val="14"/>
                <w:sz w:val="22"/>
              </w:rPr>
              <w:t> </w:t>
            </w:r>
            <w:r>
              <w:rPr>
                <w:sz w:val="22"/>
              </w:rPr>
              <w:t>perdido</w:t>
            </w:r>
          </w:p>
        </w:tc>
      </w:tr>
      <w:tr>
        <w:trPr>
          <w:trHeight w:val="253" w:hRule="exact"/>
        </w:trPr>
        <w:tc>
          <w:tcPr>
            <w:tcW w:w="1385" w:type="dxa"/>
            <w:tcBorders>
              <w:top w:val="nil"/>
              <w:bottom w:val="nil"/>
            </w:tcBorders>
          </w:tcPr>
          <w:p>
            <w:pPr>
              <w:pStyle w:val="TableParagraph"/>
              <w:spacing w:line="241" w:lineRule="exact"/>
              <w:ind w:left="251" w:right="127"/>
              <w:rPr>
                <w:sz w:val="22"/>
              </w:rPr>
            </w:pPr>
            <w:r>
              <w:rPr>
                <w:sz w:val="22"/>
              </w:rPr>
              <w:t>Pichardo</w:t>
            </w:r>
          </w:p>
        </w:tc>
        <w:tc>
          <w:tcPr>
            <w:tcW w:w="1418" w:type="dxa"/>
            <w:tcBorders>
              <w:top w:val="nil"/>
              <w:bottom w:val="nil"/>
            </w:tcBorders>
          </w:tcPr>
          <w:p>
            <w:pPr>
              <w:pStyle w:val="TableParagraph"/>
              <w:spacing w:line="241" w:lineRule="exact"/>
              <w:ind w:left="100" w:right="101"/>
              <w:rPr>
                <w:sz w:val="22"/>
              </w:rPr>
            </w:pPr>
            <w:r>
              <w:rPr>
                <w:sz w:val="22"/>
              </w:rPr>
              <w:t>ganadero y</w:t>
            </w:r>
          </w:p>
        </w:tc>
        <w:tc>
          <w:tcPr>
            <w:tcW w:w="1841" w:type="dxa"/>
            <w:tcBorders>
              <w:top w:val="nil"/>
              <w:bottom w:val="nil"/>
            </w:tcBorders>
          </w:tcPr>
          <w:p>
            <w:pPr>
              <w:pStyle w:val="TableParagraph"/>
              <w:spacing w:line="241" w:lineRule="exact"/>
              <w:ind w:left="100"/>
              <w:rPr>
                <w:sz w:val="22"/>
              </w:rPr>
            </w:pPr>
            <w:r>
              <w:rPr>
                <w:sz w:val="22"/>
              </w:rPr>
              <w:t>“Pichardo”</w:t>
            </w:r>
          </w:p>
        </w:tc>
        <w:tc>
          <w:tcPr>
            <w:tcW w:w="1135" w:type="dxa"/>
            <w:tcBorders>
              <w:top w:val="nil"/>
              <w:bottom w:val="nil"/>
            </w:tcBorders>
          </w:tcPr>
          <w:p>
            <w:pPr>
              <w:pStyle w:val="TableParagraph"/>
              <w:spacing w:line="241" w:lineRule="exact"/>
              <w:rPr>
                <w:sz w:val="22"/>
              </w:rPr>
            </w:pPr>
            <w:r>
              <w:rPr>
                <w:w w:val="100"/>
                <w:sz w:val="22"/>
              </w:rPr>
              <w:t>o</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Pr>
                <w:sz w:val="22"/>
              </w:rPr>
            </w:pPr>
            <w:r>
              <w:rPr>
                <w:w w:val="100"/>
                <w:sz w:val="22"/>
              </w:rPr>
              <w:t>o</w:t>
            </w:r>
          </w:p>
        </w:tc>
        <w:tc>
          <w:tcPr>
            <w:tcW w:w="1702" w:type="dxa"/>
            <w:tcBorders>
              <w:top w:val="nil"/>
              <w:bottom w:val="nil"/>
            </w:tcBorders>
          </w:tcPr>
          <w:p>
            <w:pPr>
              <w:pStyle w:val="TableParagraph"/>
              <w:tabs>
                <w:tab w:pos="1357" w:val="left" w:leader="none"/>
              </w:tabs>
              <w:spacing w:line="241" w:lineRule="exact"/>
              <w:rPr>
                <w:sz w:val="22"/>
              </w:rPr>
            </w:pPr>
            <w:r>
              <w:rPr>
                <w:sz w:val="22"/>
              </w:rPr>
              <w:t>Huapango</w:t>
              <w:tab/>
              <w:t>es</w:t>
            </w:r>
          </w:p>
        </w:tc>
        <w:tc>
          <w:tcPr>
            <w:tcW w:w="1985" w:type="dxa"/>
            <w:tcBorders>
              <w:top w:val="nil"/>
              <w:bottom w:val="nil"/>
            </w:tcBorders>
          </w:tcPr>
          <w:p>
            <w:pPr>
              <w:pStyle w:val="TableParagraph"/>
              <w:tabs>
                <w:tab w:pos="1235" w:val="left" w:leader="none"/>
              </w:tabs>
              <w:spacing w:line="241" w:lineRule="exact"/>
              <w:ind w:left="1"/>
              <w:jc w:val="center"/>
              <w:rPr>
                <w:sz w:val="22"/>
              </w:rPr>
            </w:pPr>
            <w:r>
              <w:rPr>
                <w:sz w:val="22"/>
              </w:rPr>
              <w:t>especies</w:t>
              <w:tab/>
              <w:t>como</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pescador</w:t>
            </w: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importante</w:t>
            </w:r>
          </w:p>
        </w:tc>
        <w:tc>
          <w:tcPr>
            <w:tcW w:w="1985" w:type="dxa"/>
            <w:tcBorders>
              <w:top w:val="nil"/>
              <w:bottom w:val="nil"/>
            </w:tcBorders>
          </w:tcPr>
          <w:p>
            <w:pPr>
              <w:pStyle w:val="TableParagraph"/>
              <w:spacing w:line="242" w:lineRule="exact"/>
              <w:ind w:left="2"/>
              <w:jc w:val="center"/>
              <w:rPr>
                <w:sz w:val="22"/>
              </w:rPr>
            </w:pPr>
            <w:r>
              <w:rPr>
                <w:sz w:val="22"/>
              </w:rPr>
              <w:t>un   pescadito  “el</w:t>
            </w:r>
          </w:p>
        </w:tc>
      </w:tr>
      <w:tr>
        <w:trPr>
          <w:trHeight w:val="253" w:hRule="exact"/>
        </w:trPr>
        <w:tc>
          <w:tcPr>
            <w:tcW w:w="1385" w:type="dxa"/>
            <w:tcBorders>
              <w:top w:val="nil"/>
              <w:bottom w:val="nil"/>
            </w:tcBorders>
          </w:tcPr>
          <w:p>
            <w:pPr>
              <w:pStyle w:val="TableParagraph"/>
              <w:spacing w:line="241" w:lineRule="exact"/>
              <w:ind w:left="184" w:right="127"/>
              <w:rPr>
                <w:sz w:val="22"/>
              </w:rPr>
            </w:pPr>
            <w:r>
              <w:rPr>
                <w:sz w:val="22"/>
              </w:rPr>
              <w:t>(7/7/2014)</w:t>
            </w: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line="241" w:lineRule="exact"/>
              <w:rPr>
                <w:sz w:val="22"/>
              </w:rPr>
            </w:pPr>
            <w:r>
              <w:rPr>
                <w:sz w:val="22"/>
              </w:rPr>
              <w:t>para</w:t>
              <w:tab/>
              <w:t>la</w:t>
            </w:r>
          </w:p>
        </w:tc>
        <w:tc>
          <w:tcPr>
            <w:tcW w:w="1985" w:type="dxa"/>
            <w:tcBorders>
              <w:top w:val="nil"/>
              <w:bottom w:val="nil"/>
            </w:tcBorders>
          </w:tcPr>
          <w:p>
            <w:pPr>
              <w:pStyle w:val="TableParagraph"/>
              <w:tabs>
                <w:tab w:pos="1603" w:val="left" w:leader="none"/>
              </w:tabs>
              <w:spacing w:line="241" w:lineRule="exact"/>
              <w:ind w:left="2"/>
              <w:jc w:val="center"/>
              <w:rPr>
                <w:sz w:val="22"/>
              </w:rPr>
            </w:pPr>
            <w:r>
              <w:rPr>
                <w:sz w:val="22"/>
              </w:rPr>
              <w:t>sardinito”,</w:t>
              <w:tab/>
              <w:t>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comunidad por</w:t>
            </w:r>
          </w:p>
        </w:tc>
        <w:tc>
          <w:tcPr>
            <w:tcW w:w="1985" w:type="dxa"/>
            <w:tcBorders>
              <w:top w:val="nil"/>
              <w:bottom w:val="nil"/>
            </w:tcBorders>
          </w:tcPr>
          <w:p>
            <w:pPr>
              <w:pStyle w:val="TableParagraph"/>
              <w:spacing w:line="242" w:lineRule="exact"/>
              <w:ind w:left="1" w:right="32"/>
              <w:jc w:val="center"/>
              <w:rPr>
                <w:sz w:val="22"/>
              </w:rPr>
            </w:pPr>
            <w:r>
              <w:rPr>
                <w:sz w:val="22"/>
              </w:rPr>
              <w:t>ajolote y el acocil.</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el   agua   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647" w:val="left" w:leader="none"/>
              </w:tabs>
              <w:spacing w:line="241" w:lineRule="exact"/>
              <w:rPr>
                <w:sz w:val="22"/>
              </w:rPr>
            </w:pPr>
            <w:r>
              <w:rPr>
                <w:sz w:val="22"/>
              </w:rPr>
              <w:t>los</w:t>
              <w:tab/>
              <w:t>animales,</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los  peces y es</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considerada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95" w:val="left" w:leader="none"/>
              </w:tabs>
              <w:spacing w:line="242" w:lineRule="exact"/>
              <w:rPr>
                <w:sz w:val="22"/>
              </w:rPr>
            </w:pPr>
            <w:r>
              <w:rPr>
                <w:sz w:val="22"/>
              </w:rPr>
              <w:t>santuario</w:t>
              <w:tab/>
              <w:t>del</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agua   por  eso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82" w:val="left" w:leader="none"/>
              </w:tabs>
              <w:spacing w:line="241" w:lineRule="exact"/>
              <w:rPr>
                <w:sz w:val="22"/>
              </w:rPr>
            </w:pPr>
            <w:r>
              <w:rPr>
                <w:sz w:val="22"/>
              </w:rPr>
              <w:t>se</w:t>
              <w:tab/>
              <w:t>requiere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que   vigilen   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tomen</w:t>
              <w:tab/>
              <w:t>en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1" w:val="left" w:leader="none"/>
              </w:tabs>
              <w:spacing w:line="242" w:lineRule="exact"/>
              <w:rPr>
                <w:sz w:val="22"/>
              </w:rPr>
            </w:pPr>
            <w:r>
              <w:rPr>
                <w:sz w:val="22"/>
              </w:rPr>
              <w:t>cuenta</w:t>
              <w:tab/>
              <w:t>que</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22" w:val="left" w:leader="none"/>
              </w:tabs>
              <w:spacing w:line="241" w:lineRule="exact"/>
              <w:rPr>
                <w:sz w:val="22"/>
              </w:rPr>
            </w:pPr>
            <w:r>
              <w:rPr>
                <w:sz w:val="22"/>
              </w:rPr>
              <w:t>hay</w:t>
              <w:tab/>
              <w:t>aves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depredadoras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36" w:val="left" w:leader="none"/>
              </w:tabs>
              <w:spacing w:line="242" w:lineRule="exact"/>
              <w:rPr>
                <w:sz w:val="22"/>
              </w:rPr>
            </w:pPr>
            <w:r>
              <w:rPr>
                <w:sz w:val="22"/>
              </w:rPr>
              <w:t>y</w:t>
              <w:tab/>
              <w:t>gente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1" w:val="left" w:leader="none"/>
              </w:tabs>
              <w:spacing w:line="241" w:lineRule="exact"/>
              <w:rPr>
                <w:sz w:val="22"/>
              </w:rPr>
            </w:pPr>
            <w:r>
              <w:rPr>
                <w:sz w:val="22"/>
              </w:rPr>
              <w:t>cazadora</w:t>
              <w:tab/>
              <w:t>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está</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terminando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con   las   aves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que  llegan  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78" w:val="left" w:leader="none"/>
              </w:tabs>
              <w:spacing w:line="241" w:lineRule="exact"/>
              <w:rPr>
                <w:sz w:val="22"/>
              </w:rPr>
            </w:pPr>
            <w:r>
              <w:rPr>
                <w:sz w:val="22"/>
              </w:rPr>
              <w:t>Canadá</w:t>
              <w:tab/>
              <w:t>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Estados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Unidos,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1" w:val="left" w:leader="none"/>
              </w:tabs>
              <w:spacing w:line="242" w:lineRule="exact"/>
              <w:rPr>
                <w:sz w:val="22"/>
              </w:rPr>
            </w:pPr>
            <w:r>
              <w:rPr>
                <w:sz w:val="22"/>
              </w:rPr>
              <w:t>sabemos</w:t>
              <w:tab/>
              <w:t>que</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31" w:val="left" w:leader="none"/>
                <w:tab w:pos="1247" w:val="left" w:leader="none"/>
              </w:tabs>
              <w:spacing w:line="241" w:lineRule="exact"/>
              <w:rPr>
                <w:sz w:val="22"/>
              </w:rPr>
            </w:pPr>
            <w:r>
              <w:rPr>
                <w:sz w:val="22"/>
              </w:rPr>
              <w:t>son</w:t>
              <w:tab/>
              <w:t>de</w:t>
              <w:tab/>
              <w:t>allá</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porque lo traen</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en sus anillos.</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Juan</w:t>
            </w:r>
          </w:p>
        </w:tc>
        <w:tc>
          <w:tcPr>
            <w:tcW w:w="1418" w:type="dxa"/>
            <w:tcBorders>
              <w:bottom w:val="nil"/>
            </w:tcBorders>
          </w:tcPr>
          <w:p>
            <w:pPr>
              <w:pStyle w:val="TableParagraph"/>
              <w:spacing w:line="251" w:lineRule="exact"/>
              <w:ind w:left="100" w:right="101"/>
              <w:rPr>
                <w:sz w:val="22"/>
              </w:rPr>
            </w:pPr>
            <w:r>
              <w:rPr>
                <w:sz w:val="22"/>
              </w:rPr>
              <w:t>Tenemos</w:t>
            </w:r>
          </w:p>
        </w:tc>
        <w:tc>
          <w:tcPr>
            <w:tcW w:w="1841" w:type="dxa"/>
            <w:tcBorders>
              <w:bottom w:val="nil"/>
            </w:tcBorders>
          </w:tcPr>
          <w:p>
            <w:pPr>
              <w:pStyle w:val="TableParagraph"/>
              <w:spacing w:line="251" w:lineRule="exact"/>
              <w:ind w:left="100"/>
              <w:rPr>
                <w:sz w:val="22"/>
              </w:rPr>
            </w:pPr>
            <w:r>
              <w:rPr>
                <w:sz w:val="22"/>
              </w:rPr>
              <w:t>Cooperativa  “El</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Aldama</w:t>
            </w:r>
          </w:p>
        </w:tc>
        <w:tc>
          <w:tcPr>
            <w:tcW w:w="1133" w:type="dxa"/>
            <w:tcBorders>
              <w:bottom w:val="nil"/>
            </w:tcBorders>
          </w:tcPr>
          <w:p>
            <w:pPr>
              <w:pStyle w:val="TableParagraph"/>
              <w:spacing w:line="251" w:lineRule="exact"/>
              <w:ind w:left="100" w:right="52"/>
              <w:rPr>
                <w:sz w:val="22"/>
              </w:rPr>
            </w:pPr>
            <w:r>
              <w:rPr>
                <w:sz w:val="22"/>
              </w:rPr>
              <w:t>Aldama</w:t>
            </w:r>
          </w:p>
        </w:tc>
        <w:tc>
          <w:tcPr>
            <w:tcW w:w="1702" w:type="dxa"/>
            <w:tcBorders>
              <w:bottom w:val="nil"/>
            </w:tcBorders>
          </w:tcPr>
          <w:p>
            <w:pPr>
              <w:pStyle w:val="TableParagraph"/>
              <w:tabs>
                <w:tab w:pos="928" w:val="left" w:leader="none"/>
              </w:tabs>
              <w:spacing w:line="251" w:lineRule="exact"/>
              <w:rPr>
                <w:sz w:val="22"/>
              </w:rPr>
            </w:pPr>
            <w:r>
              <w:rPr>
                <w:sz w:val="22"/>
              </w:rPr>
              <w:t>La</w:t>
              <w:tab/>
              <w:t>laguna</w:t>
            </w:r>
          </w:p>
        </w:tc>
        <w:tc>
          <w:tcPr>
            <w:tcW w:w="1985" w:type="dxa"/>
            <w:tcBorders>
              <w:bottom w:val="nil"/>
            </w:tcBorders>
          </w:tcPr>
          <w:p>
            <w:pPr>
              <w:pStyle w:val="TableParagraph"/>
              <w:tabs>
                <w:tab w:pos="605" w:val="left" w:leader="none"/>
                <w:tab w:pos="1111" w:val="left" w:leader="none"/>
              </w:tabs>
              <w:spacing w:line="251" w:lineRule="exact"/>
              <w:ind w:left="1"/>
              <w:jc w:val="center"/>
              <w:rPr>
                <w:sz w:val="22"/>
              </w:rPr>
            </w:pPr>
            <w:r>
              <w:rPr>
                <w:sz w:val="22"/>
              </w:rPr>
              <w:t>En</w:t>
              <w:tab/>
              <w:t>la</w:t>
              <w:tab/>
              <w:t>laguna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418" w:type="dxa"/>
            <w:tcBorders>
              <w:top w:val="nil"/>
              <w:bottom w:val="nil"/>
            </w:tcBorders>
          </w:tcPr>
          <w:p>
            <w:pPr>
              <w:pStyle w:val="TableParagraph"/>
              <w:spacing w:line="242" w:lineRule="exact"/>
              <w:ind w:left="100" w:right="101"/>
              <w:rPr>
                <w:sz w:val="22"/>
              </w:rPr>
            </w:pPr>
            <w:r>
              <w:rPr>
                <w:sz w:val="22"/>
              </w:rPr>
              <w:t>muchas</w:t>
            </w:r>
          </w:p>
        </w:tc>
        <w:tc>
          <w:tcPr>
            <w:tcW w:w="1841" w:type="dxa"/>
            <w:tcBorders>
              <w:top w:val="nil"/>
              <w:bottom w:val="nil"/>
            </w:tcBorders>
          </w:tcPr>
          <w:p>
            <w:pPr>
              <w:pStyle w:val="TableParagraph"/>
              <w:tabs>
                <w:tab w:pos="1189" w:val="left" w:leader="none"/>
              </w:tabs>
              <w:spacing w:line="242" w:lineRule="exact"/>
              <w:ind w:left="100"/>
              <w:rPr>
                <w:sz w:val="22"/>
              </w:rPr>
            </w:pPr>
            <w:r>
              <w:rPr>
                <w:sz w:val="22"/>
              </w:rPr>
              <w:t>Mogote”</w:t>
              <w:tab/>
              <w:t>(Para</w:t>
            </w:r>
          </w:p>
        </w:tc>
        <w:tc>
          <w:tcPr>
            <w:tcW w:w="1135" w:type="dxa"/>
            <w:tcBorders>
              <w:top w:val="nil"/>
              <w:bottom w:val="nil"/>
            </w:tcBorders>
          </w:tcPr>
          <w:p>
            <w:pPr>
              <w:pStyle w:val="TableParagraph"/>
              <w:spacing w:line="242" w:lineRule="exact"/>
              <w:rPr>
                <w:sz w:val="22"/>
              </w:rPr>
            </w:pPr>
            <w:r>
              <w:rPr>
                <w:sz w:val="22"/>
              </w:rPr>
              <w:t>te</w:t>
            </w:r>
          </w:p>
        </w:tc>
        <w:tc>
          <w:tcPr>
            <w:tcW w:w="991" w:type="dxa"/>
            <w:tcBorders>
              <w:top w:val="nil"/>
              <w:bottom w:val="nil"/>
            </w:tcBorders>
          </w:tcPr>
          <w:p>
            <w:pPr>
              <w:pStyle w:val="TableParagraph"/>
              <w:spacing w:line="242" w:lineRule="exact"/>
              <w:ind w:left="100"/>
              <w:rPr>
                <w:sz w:val="22"/>
              </w:rPr>
            </w:pPr>
            <w:r>
              <w:rPr>
                <w:w w:val="100"/>
                <w:sz w:val="22"/>
              </w:rPr>
              <w:t>c</w:t>
            </w:r>
          </w:p>
        </w:tc>
        <w:tc>
          <w:tcPr>
            <w:tcW w:w="1277" w:type="dxa"/>
            <w:tcBorders>
              <w:top w:val="nil"/>
              <w:bottom w:val="nil"/>
            </w:tcBorders>
          </w:tcPr>
          <w:p>
            <w:pPr>
              <w:pStyle w:val="TableParagraph"/>
              <w:spacing w:line="242" w:lineRule="exact"/>
              <w:ind w:right="92"/>
              <w:rPr>
                <w:sz w:val="22"/>
              </w:rPr>
            </w:pPr>
            <w:r>
              <w:rPr>
                <w:sz w:val="22"/>
              </w:rPr>
              <w:t>(Tercera</w:t>
            </w:r>
          </w:p>
        </w:tc>
        <w:tc>
          <w:tcPr>
            <w:tcW w:w="1133" w:type="dxa"/>
            <w:tcBorders>
              <w:top w:val="nil"/>
              <w:bottom w:val="nil"/>
            </w:tcBorders>
          </w:tcPr>
          <w:p>
            <w:pPr>
              <w:pStyle w:val="TableParagraph"/>
              <w:spacing w:line="242" w:lineRule="exact"/>
              <w:ind w:left="100" w:right="52"/>
              <w:rPr>
                <w:sz w:val="22"/>
              </w:rPr>
            </w:pPr>
            <w:r>
              <w:rPr>
                <w:sz w:val="22"/>
              </w:rPr>
              <w:t>(Tercera</w:t>
            </w:r>
          </w:p>
        </w:tc>
        <w:tc>
          <w:tcPr>
            <w:tcW w:w="1702" w:type="dxa"/>
            <w:tcBorders>
              <w:top w:val="nil"/>
              <w:bottom w:val="nil"/>
            </w:tcBorders>
          </w:tcPr>
          <w:p>
            <w:pPr>
              <w:pStyle w:val="TableParagraph"/>
              <w:tabs>
                <w:tab w:pos="1357" w:val="left" w:leader="none"/>
              </w:tabs>
              <w:spacing w:line="242" w:lineRule="exact"/>
              <w:rPr>
                <w:sz w:val="22"/>
              </w:rPr>
            </w:pPr>
            <w:r>
              <w:rPr>
                <w:sz w:val="22"/>
              </w:rPr>
              <w:t>Huapango</w:t>
              <w:tab/>
              <w:t>es</w:t>
            </w:r>
          </w:p>
        </w:tc>
        <w:tc>
          <w:tcPr>
            <w:tcW w:w="1985" w:type="dxa"/>
            <w:tcBorders>
              <w:top w:val="nil"/>
              <w:bottom w:val="nil"/>
            </w:tcBorders>
          </w:tcPr>
          <w:p>
            <w:pPr>
              <w:pStyle w:val="TableParagraph"/>
              <w:tabs>
                <w:tab w:pos="1527" w:val="left" w:leader="none"/>
              </w:tabs>
              <w:spacing w:line="242" w:lineRule="exact"/>
              <w:ind w:left="2"/>
              <w:jc w:val="center"/>
              <w:rPr>
                <w:sz w:val="22"/>
              </w:rPr>
            </w:pPr>
            <w:r>
              <w:rPr>
                <w:sz w:val="22"/>
              </w:rPr>
              <w:t>Huapango</w:t>
              <w:tab/>
              <w:t>ha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Huitrón</w:t>
            </w:r>
          </w:p>
        </w:tc>
        <w:tc>
          <w:tcPr>
            <w:tcW w:w="1418" w:type="dxa"/>
            <w:tcBorders>
              <w:top w:val="nil"/>
              <w:bottom w:val="nil"/>
            </w:tcBorders>
          </w:tcPr>
          <w:p>
            <w:pPr>
              <w:pStyle w:val="TableParagraph"/>
              <w:spacing w:line="241" w:lineRule="exact"/>
              <w:ind w:left="100" w:right="101"/>
              <w:rPr>
                <w:sz w:val="22"/>
              </w:rPr>
            </w:pPr>
            <w:r>
              <w:rPr>
                <w:sz w:val="22"/>
              </w:rPr>
              <w:t>ocupacione</w:t>
            </w:r>
          </w:p>
        </w:tc>
        <w:tc>
          <w:tcPr>
            <w:tcW w:w="1841" w:type="dxa"/>
            <w:tcBorders>
              <w:top w:val="nil"/>
              <w:bottom w:val="nil"/>
            </w:tcBorders>
          </w:tcPr>
          <w:p>
            <w:pPr>
              <w:pStyle w:val="TableParagraph"/>
              <w:spacing w:line="241" w:lineRule="exact"/>
              <w:ind w:left="100"/>
              <w:rPr>
                <w:sz w:val="22"/>
              </w:rPr>
            </w:pPr>
            <w:r>
              <w:rPr>
                <w:sz w:val="22"/>
              </w:rPr>
              <w:t>Gobernación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Manzana</w:t>
            </w:r>
          </w:p>
        </w:tc>
        <w:tc>
          <w:tcPr>
            <w:tcW w:w="1133" w:type="dxa"/>
            <w:tcBorders>
              <w:top w:val="nil"/>
              <w:bottom w:val="nil"/>
            </w:tcBorders>
          </w:tcPr>
          <w:p>
            <w:pPr>
              <w:pStyle w:val="TableParagraph"/>
              <w:spacing w:line="241" w:lineRule="exact"/>
              <w:ind w:left="100" w:right="52"/>
              <w:rPr>
                <w:sz w:val="22"/>
              </w:rPr>
            </w:pPr>
            <w:r>
              <w:rPr>
                <w:sz w:val="22"/>
              </w:rPr>
              <w:t>Manzana</w:t>
            </w:r>
          </w:p>
        </w:tc>
        <w:tc>
          <w:tcPr>
            <w:tcW w:w="1702" w:type="dxa"/>
            <w:tcBorders>
              <w:top w:val="nil"/>
              <w:bottom w:val="nil"/>
            </w:tcBorders>
          </w:tcPr>
          <w:p>
            <w:pPr>
              <w:pStyle w:val="TableParagraph"/>
              <w:spacing w:line="241" w:lineRule="exact"/>
              <w:rPr>
                <w:sz w:val="22"/>
              </w:rPr>
            </w:pPr>
            <w:r>
              <w:rPr>
                <w:sz w:val="22"/>
              </w:rPr>
              <w:t>importante</w:t>
            </w:r>
          </w:p>
        </w:tc>
        <w:tc>
          <w:tcPr>
            <w:tcW w:w="1985" w:type="dxa"/>
            <w:tcBorders>
              <w:top w:val="nil"/>
              <w:bottom w:val="nil"/>
            </w:tcBorders>
          </w:tcPr>
          <w:p>
            <w:pPr>
              <w:pStyle w:val="TableParagraph"/>
              <w:tabs>
                <w:tab w:pos="1597" w:val="left" w:leader="none"/>
              </w:tabs>
              <w:spacing w:line="241" w:lineRule="exact"/>
              <w:ind w:left="0"/>
              <w:jc w:val="center"/>
              <w:rPr>
                <w:sz w:val="22"/>
              </w:rPr>
            </w:pPr>
            <w:r>
              <w:rPr>
                <w:sz w:val="22"/>
              </w:rPr>
              <w:t>disminuido</w:t>
              <w:tab/>
              <w:t>la</w:t>
            </w:r>
          </w:p>
        </w:tc>
      </w:tr>
      <w:tr>
        <w:trPr>
          <w:trHeight w:val="248" w:hRule="exact"/>
        </w:trPr>
        <w:tc>
          <w:tcPr>
            <w:tcW w:w="1385" w:type="dxa"/>
            <w:tcBorders>
              <w:top w:val="nil"/>
            </w:tcBorders>
          </w:tcPr>
          <w:p>
            <w:pPr>
              <w:pStyle w:val="TableParagraph"/>
              <w:spacing w:line="242" w:lineRule="exact"/>
              <w:ind w:right="127"/>
              <w:rPr>
                <w:sz w:val="22"/>
              </w:rPr>
            </w:pPr>
            <w:r>
              <w:rPr>
                <w:sz w:val="22"/>
              </w:rPr>
              <w:t>(7/7/2014)</w:t>
            </w:r>
          </w:p>
        </w:tc>
        <w:tc>
          <w:tcPr>
            <w:tcW w:w="1418" w:type="dxa"/>
            <w:tcBorders>
              <w:top w:val="nil"/>
            </w:tcBorders>
          </w:tcPr>
          <w:p>
            <w:pPr>
              <w:pStyle w:val="TableParagraph"/>
              <w:tabs>
                <w:tab w:pos="582" w:val="left" w:leader="none"/>
              </w:tabs>
              <w:spacing w:line="242" w:lineRule="exact"/>
              <w:ind w:left="100"/>
              <w:rPr>
                <w:sz w:val="22"/>
              </w:rPr>
            </w:pPr>
            <w:r>
              <w:rPr>
                <w:sz w:val="22"/>
              </w:rPr>
              <w:t>s:</w:t>
              <w:tab/>
              <w:t>campo,</w:t>
            </w:r>
          </w:p>
        </w:tc>
        <w:tc>
          <w:tcPr>
            <w:tcW w:w="1841" w:type="dxa"/>
            <w:tcBorders>
              <w:top w:val="nil"/>
            </w:tcBorders>
          </w:tcPr>
          <w:p>
            <w:pPr>
              <w:pStyle w:val="TableParagraph"/>
              <w:tabs>
                <w:tab w:pos="1619" w:val="left" w:leader="none"/>
              </w:tabs>
              <w:spacing w:line="242" w:lineRule="exact"/>
              <w:ind w:left="100"/>
              <w:rPr>
                <w:sz w:val="22"/>
              </w:rPr>
            </w:pPr>
            <w:r>
              <w:rPr>
                <w:sz w:val="22"/>
              </w:rPr>
              <w:t>Estado)</w:t>
              <w:tab/>
              <w:t>y</w:t>
            </w:r>
          </w:p>
        </w:tc>
        <w:tc>
          <w:tcPr>
            <w:tcW w:w="1135" w:type="dxa"/>
            <w:tcBorders>
              <w:top w:val="nil"/>
            </w:tcBorders>
          </w:tcPr>
          <w:p>
            <w:pPr/>
          </w:p>
        </w:tc>
        <w:tc>
          <w:tcPr>
            <w:tcW w:w="991" w:type="dxa"/>
            <w:tcBorders>
              <w:top w:val="nil"/>
            </w:tcBorders>
          </w:tcPr>
          <w:p>
            <w:pPr/>
          </w:p>
        </w:tc>
        <w:tc>
          <w:tcPr>
            <w:tcW w:w="1277" w:type="dxa"/>
            <w:tcBorders>
              <w:top w:val="nil"/>
            </w:tcBorders>
          </w:tcPr>
          <w:p>
            <w:pPr>
              <w:pStyle w:val="TableParagraph"/>
              <w:spacing w:line="242" w:lineRule="exact"/>
              <w:ind w:right="92"/>
              <w:rPr>
                <w:sz w:val="22"/>
              </w:rPr>
            </w:pPr>
            <w:r>
              <w:rPr>
                <w:sz w:val="22"/>
              </w:rPr>
              <w:t>de El</w:t>
            </w:r>
          </w:p>
        </w:tc>
        <w:tc>
          <w:tcPr>
            <w:tcW w:w="1133" w:type="dxa"/>
            <w:tcBorders>
              <w:top w:val="nil"/>
            </w:tcBorders>
          </w:tcPr>
          <w:p>
            <w:pPr>
              <w:pStyle w:val="TableParagraph"/>
              <w:spacing w:line="242" w:lineRule="exact"/>
              <w:ind w:left="100" w:right="52"/>
              <w:rPr>
                <w:sz w:val="22"/>
              </w:rPr>
            </w:pPr>
            <w:r>
              <w:rPr>
                <w:sz w:val="22"/>
              </w:rPr>
              <w:t>de El</w:t>
            </w:r>
          </w:p>
        </w:tc>
        <w:tc>
          <w:tcPr>
            <w:tcW w:w="1702" w:type="dxa"/>
            <w:tcBorders>
              <w:top w:val="nil"/>
            </w:tcBorders>
          </w:tcPr>
          <w:p>
            <w:pPr>
              <w:pStyle w:val="TableParagraph"/>
              <w:tabs>
                <w:tab w:pos="1355" w:val="left" w:leader="none"/>
              </w:tabs>
              <w:spacing w:line="242" w:lineRule="exact"/>
              <w:rPr>
                <w:sz w:val="22"/>
              </w:rPr>
            </w:pPr>
            <w:r>
              <w:rPr>
                <w:sz w:val="22"/>
              </w:rPr>
              <w:t>para</w:t>
              <w:tab/>
              <w:t>mi</w:t>
            </w:r>
          </w:p>
        </w:tc>
        <w:tc>
          <w:tcPr>
            <w:tcW w:w="1985" w:type="dxa"/>
            <w:tcBorders>
              <w:top w:val="nil"/>
            </w:tcBorders>
          </w:tcPr>
          <w:p>
            <w:pPr>
              <w:pStyle w:val="TableParagraph"/>
              <w:tabs>
                <w:tab w:pos="1523" w:val="left" w:leader="none"/>
              </w:tabs>
              <w:spacing w:line="242" w:lineRule="exact"/>
              <w:ind w:left="0"/>
              <w:jc w:val="center"/>
              <w:rPr>
                <w:sz w:val="22"/>
              </w:rPr>
            </w:pPr>
            <w:r>
              <w:rPr>
                <w:sz w:val="22"/>
              </w:rPr>
              <w:t>variedad</w:t>
              <w:tab/>
              <w:t>de</w:t>
            </w:r>
          </w:p>
        </w:tc>
      </w:tr>
    </w:tbl>
    <w:p>
      <w:pPr>
        <w:spacing w:after="0" w:line="242" w:lineRule="exact"/>
        <w:jc w:val="center"/>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vMerge w:val="restart"/>
          </w:tcPr>
          <w:p>
            <w:pPr/>
          </w:p>
        </w:tc>
        <w:tc>
          <w:tcPr>
            <w:tcW w:w="1418" w:type="dxa"/>
            <w:tcBorders>
              <w:bottom w:val="nil"/>
            </w:tcBorders>
          </w:tcPr>
          <w:p>
            <w:pPr>
              <w:pStyle w:val="TableParagraph"/>
              <w:tabs>
                <w:tab w:pos="1194" w:val="left" w:leader="none"/>
              </w:tabs>
              <w:spacing w:line="251" w:lineRule="exact"/>
              <w:ind w:left="100"/>
              <w:rPr>
                <w:sz w:val="22"/>
              </w:rPr>
            </w:pPr>
            <w:r>
              <w:rPr>
                <w:sz w:val="22"/>
              </w:rPr>
              <w:t>ganado</w:t>
              <w:tab/>
              <w:t>y</w:t>
            </w:r>
          </w:p>
        </w:tc>
        <w:tc>
          <w:tcPr>
            <w:tcW w:w="1841" w:type="dxa"/>
            <w:tcBorders>
              <w:bottom w:val="nil"/>
            </w:tcBorders>
          </w:tcPr>
          <w:p>
            <w:pPr>
              <w:pStyle w:val="TableParagraph"/>
              <w:spacing w:line="251" w:lineRule="exact"/>
              <w:ind w:left="100"/>
              <w:rPr>
                <w:sz w:val="22"/>
              </w:rPr>
            </w:pPr>
            <w:r>
              <w:rPr>
                <w:sz w:val="22"/>
              </w:rPr>
              <w:t>Cooperativa  “El</w:t>
            </w:r>
          </w:p>
        </w:tc>
        <w:tc>
          <w:tcPr>
            <w:tcW w:w="1135" w:type="dxa"/>
            <w:vMerge w:val="restart"/>
          </w:tcPr>
          <w:p>
            <w:pPr/>
          </w:p>
        </w:tc>
        <w:tc>
          <w:tcPr>
            <w:tcW w:w="991" w:type="dxa"/>
            <w:vMerge w:val="restart"/>
          </w:tcPr>
          <w:p>
            <w:pPr/>
          </w:p>
        </w:tc>
        <w:tc>
          <w:tcPr>
            <w:tcW w:w="1277" w:type="dxa"/>
            <w:tcBorders>
              <w:bottom w:val="nil"/>
            </w:tcBorders>
          </w:tcPr>
          <w:p>
            <w:pPr>
              <w:pStyle w:val="TableParagraph"/>
              <w:spacing w:line="251" w:lineRule="exact"/>
              <w:ind w:right="92"/>
              <w:rPr>
                <w:sz w:val="22"/>
              </w:rPr>
            </w:pPr>
            <w:r>
              <w:rPr>
                <w:sz w:val="22"/>
              </w:rPr>
              <w:t>Trojillo),</w:t>
            </w:r>
          </w:p>
        </w:tc>
        <w:tc>
          <w:tcPr>
            <w:tcW w:w="1133" w:type="dxa"/>
            <w:tcBorders>
              <w:bottom w:val="nil"/>
            </w:tcBorders>
          </w:tcPr>
          <w:p>
            <w:pPr>
              <w:pStyle w:val="TableParagraph"/>
              <w:spacing w:line="251" w:lineRule="exact"/>
              <w:ind w:left="100" w:right="52"/>
              <w:rPr>
                <w:sz w:val="22"/>
              </w:rPr>
            </w:pPr>
            <w:r>
              <w:rPr>
                <w:sz w:val="22"/>
              </w:rPr>
              <w:t>Trojillo),</w:t>
            </w:r>
          </w:p>
        </w:tc>
        <w:tc>
          <w:tcPr>
            <w:tcW w:w="1702" w:type="dxa"/>
            <w:tcBorders>
              <w:bottom w:val="nil"/>
            </w:tcBorders>
          </w:tcPr>
          <w:p>
            <w:pPr>
              <w:pStyle w:val="TableParagraph"/>
              <w:spacing w:line="251" w:lineRule="exact"/>
              <w:rPr>
                <w:sz w:val="22"/>
              </w:rPr>
            </w:pPr>
            <w:r>
              <w:rPr>
                <w:sz w:val="22"/>
              </w:rPr>
              <w:t>comunidad,</w:t>
            </w:r>
            <w:r>
              <w:rPr>
                <w:spacing w:val="52"/>
                <w:sz w:val="22"/>
              </w:rPr>
              <w:t> </w:t>
            </w:r>
            <w:r>
              <w:rPr>
                <w:sz w:val="22"/>
              </w:rPr>
              <w:t>ya</w:t>
            </w:r>
          </w:p>
        </w:tc>
        <w:tc>
          <w:tcPr>
            <w:tcW w:w="1985" w:type="dxa"/>
            <w:tcBorders>
              <w:bottom w:val="nil"/>
            </w:tcBorders>
          </w:tcPr>
          <w:p>
            <w:pPr>
              <w:pStyle w:val="TableParagraph"/>
              <w:spacing w:line="251" w:lineRule="exact"/>
              <w:rPr>
                <w:sz w:val="22"/>
              </w:rPr>
            </w:pPr>
            <w:r>
              <w:rPr>
                <w:sz w:val="22"/>
              </w:rPr>
              <w:t>especies,  hay</w:t>
            </w:r>
            <w:r>
              <w:rPr>
                <w:spacing w:val="57"/>
                <w:sz w:val="22"/>
              </w:rPr>
              <w:t> </w:t>
            </w:r>
            <w:r>
              <w:rPr>
                <w:sz w:val="22"/>
              </w:rPr>
              <w:t>un</w:t>
            </w:r>
          </w:p>
        </w:tc>
      </w:tr>
      <w:tr>
        <w:trPr>
          <w:trHeight w:val="253" w:hRule="exact"/>
        </w:trPr>
        <w:tc>
          <w:tcPr>
            <w:tcW w:w="1385" w:type="dxa"/>
            <w:vMerge/>
          </w:tcPr>
          <w:p>
            <w:pPr/>
          </w:p>
        </w:tc>
        <w:tc>
          <w:tcPr>
            <w:tcW w:w="1418" w:type="dxa"/>
            <w:tcBorders>
              <w:top w:val="nil"/>
              <w:bottom w:val="nil"/>
            </w:tcBorders>
          </w:tcPr>
          <w:p>
            <w:pPr>
              <w:pStyle w:val="TableParagraph"/>
              <w:spacing w:line="241" w:lineRule="exact"/>
              <w:ind w:left="100" w:right="101"/>
              <w:rPr>
                <w:sz w:val="22"/>
              </w:rPr>
            </w:pPr>
            <w:r>
              <w:rPr>
                <w:sz w:val="22"/>
              </w:rPr>
              <w:t>pesca.</w:t>
            </w:r>
          </w:p>
        </w:tc>
        <w:tc>
          <w:tcPr>
            <w:tcW w:w="1841" w:type="dxa"/>
            <w:tcBorders>
              <w:top w:val="nil"/>
              <w:bottom w:val="nil"/>
            </w:tcBorders>
          </w:tcPr>
          <w:p>
            <w:pPr>
              <w:pStyle w:val="TableParagraph"/>
              <w:spacing w:line="241" w:lineRule="exact"/>
              <w:ind w:left="100"/>
              <w:rPr>
                <w:sz w:val="22"/>
              </w:rPr>
            </w:pPr>
            <w:r>
              <w:rPr>
                <w:sz w:val="22"/>
              </w:rPr>
              <w:t>Rinconcito”</w:t>
            </w:r>
          </w:p>
        </w:tc>
        <w:tc>
          <w:tcPr>
            <w:tcW w:w="1135" w:type="dxa"/>
            <w:vMerge/>
          </w:tcPr>
          <w:p>
            <w:pPr/>
          </w:p>
        </w:tc>
        <w:tc>
          <w:tcPr>
            <w:tcW w:w="991" w:type="dxa"/>
            <w:vMerge/>
          </w:tcPr>
          <w:p>
            <w:pP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Style w:val="TableParagraph"/>
              <w:spacing w:line="241" w:lineRule="exact"/>
              <w:rPr>
                <w:sz w:val="22"/>
              </w:rPr>
            </w:pPr>
            <w:r>
              <w:rPr>
                <w:sz w:val="22"/>
              </w:rPr>
              <w:t>que para todos</w:t>
            </w:r>
          </w:p>
        </w:tc>
        <w:tc>
          <w:tcPr>
            <w:tcW w:w="1985" w:type="dxa"/>
            <w:tcBorders>
              <w:top w:val="nil"/>
              <w:bottom w:val="nil"/>
            </w:tcBorders>
          </w:tcPr>
          <w:p>
            <w:pPr>
              <w:pStyle w:val="TableParagraph"/>
              <w:spacing w:line="241" w:lineRule="exact"/>
              <w:rPr>
                <w:sz w:val="22"/>
              </w:rPr>
            </w:pPr>
            <w:r>
              <w:rPr>
                <w:sz w:val="22"/>
              </w:rPr>
              <w:t>caminito  (cadena</w:t>
            </w:r>
          </w:p>
        </w:tc>
      </w:tr>
      <w:tr>
        <w:trPr>
          <w:trHeight w:val="253"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Style w:val="TableParagraph"/>
              <w:tabs>
                <w:tab w:pos="1556" w:val="left" w:leader="none"/>
              </w:tabs>
              <w:spacing w:line="242" w:lineRule="exact"/>
              <w:ind w:left="100"/>
              <w:rPr>
                <w:sz w:val="22"/>
              </w:rPr>
            </w:pPr>
            <w:r>
              <w:rPr>
                <w:sz w:val="22"/>
              </w:rPr>
              <w:t>(para</w:t>
              <w:tab/>
              <w:t>la</w:t>
            </w: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Pr>
                <w:sz w:val="22"/>
              </w:rPr>
            </w:pPr>
            <w:r>
              <w:rPr>
                <w:w w:val="100"/>
                <w:sz w:val="22"/>
              </w:rPr>
              <w:t>.</w:t>
            </w:r>
          </w:p>
        </w:tc>
        <w:tc>
          <w:tcPr>
            <w:tcW w:w="1702" w:type="dxa"/>
            <w:tcBorders>
              <w:top w:val="nil"/>
              <w:bottom w:val="nil"/>
            </w:tcBorders>
          </w:tcPr>
          <w:p>
            <w:pPr>
              <w:pStyle w:val="TableParagraph"/>
              <w:spacing w:line="242" w:lineRule="exact"/>
              <w:rPr>
                <w:sz w:val="22"/>
              </w:rPr>
            </w:pPr>
            <w:r>
              <w:rPr>
                <w:sz w:val="22"/>
              </w:rPr>
              <w:t>y  para  el  que</w:t>
            </w:r>
          </w:p>
        </w:tc>
        <w:tc>
          <w:tcPr>
            <w:tcW w:w="1985" w:type="dxa"/>
            <w:tcBorders>
              <w:top w:val="nil"/>
              <w:bottom w:val="nil"/>
            </w:tcBorders>
          </w:tcPr>
          <w:p>
            <w:pPr>
              <w:pStyle w:val="TableParagraph"/>
              <w:tabs>
                <w:tab w:pos="1518" w:val="left" w:leader="none"/>
              </w:tabs>
              <w:spacing w:line="242" w:lineRule="exact"/>
              <w:rPr>
                <w:sz w:val="22"/>
              </w:rPr>
            </w:pPr>
            <w:r>
              <w:rPr>
                <w:sz w:val="22"/>
              </w:rPr>
              <w:t>alimenticia),</w:t>
              <w:tab/>
              <w:t>hay</w:t>
            </w:r>
          </w:p>
        </w:tc>
      </w:tr>
      <w:tr>
        <w:trPr>
          <w:trHeight w:val="253"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Style w:val="TableParagraph"/>
              <w:tabs>
                <w:tab w:pos="1431" w:val="left" w:leader="none"/>
              </w:tabs>
              <w:spacing w:line="241" w:lineRule="exact"/>
              <w:ind w:left="100"/>
              <w:rPr>
                <w:sz w:val="22"/>
              </w:rPr>
            </w:pPr>
            <w:r>
              <w:rPr>
                <w:sz w:val="22"/>
              </w:rPr>
              <w:t>Secretaría</w:t>
              <w:tab/>
              <w:t>del</w:t>
            </w: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guste   es  una</w:t>
            </w:r>
          </w:p>
        </w:tc>
        <w:tc>
          <w:tcPr>
            <w:tcW w:w="1985" w:type="dxa"/>
            <w:tcBorders>
              <w:top w:val="nil"/>
              <w:bottom w:val="nil"/>
            </w:tcBorders>
          </w:tcPr>
          <w:p>
            <w:pPr>
              <w:pStyle w:val="TableParagraph"/>
              <w:tabs>
                <w:tab w:pos="791" w:val="left" w:leader="none"/>
                <w:tab w:pos="1261" w:val="left" w:leader="none"/>
              </w:tabs>
              <w:spacing w:line="241" w:lineRule="exact"/>
              <w:rPr>
                <w:sz w:val="22"/>
              </w:rPr>
            </w:pPr>
            <w:r>
              <w:rPr>
                <w:sz w:val="22"/>
              </w:rPr>
              <w:t>aves</w:t>
              <w:tab/>
              <w:t>de</w:t>
              <w:tab/>
              <w:t>rapiña</w:t>
            </w:r>
          </w:p>
        </w:tc>
      </w:tr>
      <w:tr>
        <w:trPr>
          <w:trHeight w:val="253"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Trabajo).</w:t>
            </w: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2" w:lineRule="exact"/>
              <w:rPr>
                <w:sz w:val="22"/>
              </w:rPr>
            </w:pPr>
            <w:r>
              <w:rPr>
                <w:sz w:val="22"/>
              </w:rPr>
              <w:t>fuente</w:t>
              <w:tab/>
              <w:t>de</w:t>
            </w:r>
          </w:p>
        </w:tc>
        <w:tc>
          <w:tcPr>
            <w:tcW w:w="1985" w:type="dxa"/>
            <w:tcBorders>
              <w:top w:val="nil"/>
              <w:bottom w:val="nil"/>
            </w:tcBorders>
          </w:tcPr>
          <w:p>
            <w:pPr>
              <w:pStyle w:val="TableParagraph"/>
              <w:tabs>
                <w:tab w:pos="1336" w:val="left" w:leader="none"/>
              </w:tabs>
              <w:spacing w:line="242" w:lineRule="exact"/>
              <w:rPr>
                <w:sz w:val="22"/>
              </w:rPr>
            </w:pPr>
            <w:r>
              <w:rPr>
                <w:sz w:val="22"/>
              </w:rPr>
              <w:t>que</w:t>
              <w:tab/>
              <w:t>están</w:t>
            </w:r>
          </w:p>
        </w:tc>
      </w:tr>
      <w:tr>
        <w:trPr>
          <w:trHeight w:val="252"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5" w:val="left" w:leader="none"/>
              </w:tabs>
              <w:spacing w:line="241" w:lineRule="exact"/>
              <w:rPr>
                <w:sz w:val="22"/>
              </w:rPr>
            </w:pPr>
            <w:r>
              <w:rPr>
                <w:sz w:val="22"/>
              </w:rPr>
              <w:t>trabajo</w:t>
              <w:tab/>
              <w:t>en</w:t>
            </w:r>
          </w:p>
        </w:tc>
        <w:tc>
          <w:tcPr>
            <w:tcW w:w="1985" w:type="dxa"/>
            <w:tcBorders>
              <w:top w:val="nil"/>
              <w:bottom w:val="nil"/>
            </w:tcBorders>
          </w:tcPr>
          <w:p>
            <w:pPr>
              <w:pStyle w:val="TableParagraph"/>
              <w:tabs>
                <w:tab w:pos="1593" w:val="left" w:leader="none"/>
              </w:tabs>
              <w:spacing w:line="241" w:lineRule="exact"/>
              <w:rPr>
                <w:sz w:val="22"/>
              </w:rPr>
            </w:pPr>
            <w:r>
              <w:rPr>
                <w:sz w:val="22"/>
              </w:rPr>
              <w:t>extinguiendo</w:t>
              <w:tab/>
              <w:t>las</w:t>
            </w:r>
          </w:p>
        </w:tc>
      </w:tr>
      <w:tr>
        <w:trPr>
          <w:trHeight w:val="253"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46" w:val="left" w:leader="none"/>
                <w:tab w:pos="1233" w:val="left" w:leader="none"/>
              </w:tabs>
              <w:spacing w:line="241" w:lineRule="exact"/>
              <w:rPr>
                <w:sz w:val="22"/>
              </w:rPr>
            </w:pPr>
            <w:r>
              <w:rPr>
                <w:sz w:val="22"/>
              </w:rPr>
              <w:t>seca</w:t>
              <w:tab/>
              <w:t>y</w:t>
              <w:tab/>
              <w:t>con</w:t>
            </w:r>
          </w:p>
        </w:tc>
        <w:tc>
          <w:tcPr>
            <w:tcW w:w="1985" w:type="dxa"/>
            <w:tcBorders>
              <w:top w:val="nil"/>
              <w:bottom w:val="nil"/>
            </w:tcBorders>
          </w:tcPr>
          <w:p>
            <w:pPr>
              <w:pStyle w:val="TableParagraph"/>
              <w:spacing w:line="241" w:lineRule="exact"/>
              <w:rPr>
                <w:sz w:val="22"/>
              </w:rPr>
            </w:pPr>
            <w:r>
              <w:rPr>
                <w:sz w:val="22"/>
              </w:rPr>
              <w:t>otras, por ejemplo</w:t>
            </w:r>
          </w:p>
        </w:tc>
      </w:tr>
      <w:tr>
        <w:trPr>
          <w:trHeight w:val="254"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01" w:val="left" w:leader="none"/>
                <w:tab w:pos="1417" w:val="left" w:leader="none"/>
              </w:tabs>
              <w:spacing w:line="242" w:lineRule="exact"/>
              <w:rPr>
                <w:sz w:val="22"/>
              </w:rPr>
            </w:pPr>
            <w:r>
              <w:rPr>
                <w:sz w:val="22"/>
              </w:rPr>
              <w:t>agua.</w:t>
              <w:tab/>
              <w:t>En</w:t>
              <w:tab/>
              <w:t>la</w:t>
            </w:r>
          </w:p>
        </w:tc>
        <w:tc>
          <w:tcPr>
            <w:tcW w:w="1985" w:type="dxa"/>
            <w:tcBorders>
              <w:top w:val="nil"/>
              <w:bottom w:val="nil"/>
            </w:tcBorders>
          </w:tcPr>
          <w:p>
            <w:pPr>
              <w:pStyle w:val="TableParagraph"/>
              <w:spacing w:line="242" w:lineRule="exact"/>
              <w:rPr>
                <w:sz w:val="22"/>
              </w:rPr>
            </w:pPr>
            <w:r>
              <w:rPr>
                <w:sz w:val="22"/>
              </w:rPr>
              <w:t>la  garza  y   otros</w:t>
            </w:r>
          </w:p>
        </w:tc>
      </w:tr>
      <w:tr>
        <w:trPr>
          <w:trHeight w:val="254"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25" w:val="left" w:leader="none"/>
              </w:tabs>
              <w:spacing w:line="241" w:lineRule="exact"/>
              <w:rPr>
                <w:sz w:val="22"/>
              </w:rPr>
            </w:pPr>
            <w:r>
              <w:rPr>
                <w:sz w:val="22"/>
              </w:rPr>
              <w:t>seca</w:t>
              <w:tab/>
              <w:t>sirve</w:t>
            </w:r>
          </w:p>
        </w:tc>
        <w:tc>
          <w:tcPr>
            <w:tcW w:w="1985" w:type="dxa"/>
            <w:tcBorders>
              <w:top w:val="nil"/>
              <w:bottom w:val="nil"/>
            </w:tcBorders>
          </w:tcPr>
          <w:p>
            <w:pPr>
              <w:pStyle w:val="TableParagraph"/>
              <w:tabs>
                <w:tab w:pos="1506" w:val="left" w:leader="none"/>
              </w:tabs>
              <w:spacing w:line="241" w:lineRule="exact"/>
              <w:rPr>
                <w:sz w:val="22"/>
              </w:rPr>
            </w:pPr>
            <w:r>
              <w:rPr>
                <w:sz w:val="22"/>
              </w:rPr>
              <w:t>pájaros</w:t>
              <w:tab/>
              <w:t>han</w:t>
            </w:r>
          </w:p>
        </w:tc>
      </w:tr>
      <w:tr>
        <w:trPr>
          <w:trHeight w:val="253"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para   pastar  y</w:t>
            </w:r>
          </w:p>
        </w:tc>
        <w:tc>
          <w:tcPr>
            <w:tcW w:w="1985" w:type="dxa"/>
            <w:tcBorders>
              <w:top w:val="nil"/>
              <w:bottom w:val="nil"/>
            </w:tcBorders>
          </w:tcPr>
          <w:p>
            <w:pPr>
              <w:pStyle w:val="TableParagraph"/>
              <w:spacing w:line="242" w:lineRule="exact"/>
              <w:rPr>
                <w:sz w:val="22"/>
              </w:rPr>
            </w:pPr>
            <w:r>
              <w:rPr>
                <w:sz w:val="22"/>
              </w:rPr>
              <w:t>estado</w:t>
            </w:r>
          </w:p>
        </w:tc>
      </w:tr>
      <w:tr>
        <w:trPr>
          <w:trHeight w:val="252"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3" w:val="left" w:leader="none"/>
              </w:tabs>
              <w:spacing w:line="241" w:lineRule="exact"/>
              <w:rPr>
                <w:sz w:val="22"/>
              </w:rPr>
            </w:pPr>
            <w:r>
              <w:rPr>
                <w:sz w:val="22"/>
              </w:rPr>
              <w:t>cultivo</w:t>
              <w:tab/>
              <w:t>de</w:t>
            </w:r>
          </w:p>
        </w:tc>
        <w:tc>
          <w:tcPr>
            <w:tcW w:w="1985" w:type="dxa"/>
            <w:tcBorders>
              <w:top w:val="nil"/>
              <w:bottom w:val="nil"/>
            </w:tcBorders>
          </w:tcPr>
          <w:p>
            <w:pPr>
              <w:pStyle w:val="TableParagraph"/>
              <w:spacing w:line="241" w:lineRule="exact"/>
              <w:rPr>
                <w:sz w:val="22"/>
              </w:rPr>
            </w:pPr>
            <w:r>
              <w:rPr>
                <w:sz w:val="22"/>
              </w:rPr>
              <w:t>extinguiendo,  por</w:t>
            </w:r>
          </w:p>
        </w:tc>
      </w:tr>
      <w:tr>
        <w:trPr>
          <w:trHeight w:val="253"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avena  y maíz,</w:t>
            </w:r>
          </w:p>
        </w:tc>
        <w:tc>
          <w:tcPr>
            <w:tcW w:w="1985" w:type="dxa"/>
            <w:tcBorders>
              <w:top w:val="nil"/>
              <w:bottom w:val="nil"/>
            </w:tcBorders>
          </w:tcPr>
          <w:p>
            <w:pPr>
              <w:pStyle w:val="TableParagraph"/>
              <w:spacing w:line="241" w:lineRule="exact"/>
              <w:rPr>
                <w:sz w:val="22"/>
              </w:rPr>
            </w:pPr>
            <w:r>
              <w:rPr>
                <w:sz w:val="22"/>
              </w:rPr>
              <w:t>ejemplo, el acocil.</w:t>
            </w:r>
          </w:p>
        </w:tc>
      </w:tr>
      <w:tr>
        <w:trPr>
          <w:trHeight w:val="253"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en   tiempo  de</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6" w:val="left" w:leader="none"/>
              </w:tabs>
              <w:spacing w:line="241" w:lineRule="exact"/>
              <w:rPr>
                <w:sz w:val="22"/>
              </w:rPr>
            </w:pPr>
            <w:r>
              <w:rPr>
                <w:sz w:val="22"/>
              </w:rPr>
              <w:t>lluvias</w:t>
              <w:tab/>
              <w:t>para</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pastar   y  para</w:t>
            </w:r>
          </w:p>
        </w:tc>
        <w:tc>
          <w:tcPr>
            <w:tcW w:w="1985" w:type="dxa"/>
            <w:tcBorders>
              <w:top w:val="nil"/>
              <w:bottom w:val="nil"/>
            </w:tcBorders>
          </w:tcPr>
          <w:p>
            <w:pPr/>
          </w:p>
        </w:tc>
      </w:tr>
      <w:tr>
        <w:trPr>
          <w:trHeight w:val="252" w:hRule="exact"/>
        </w:trPr>
        <w:tc>
          <w:tcPr>
            <w:tcW w:w="1385" w:type="dxa"/>
            <w:vMerge/>
          </w:tcPr>
          <w:p>
            <w:pPr/>
          </w:p>
        </w:tc>
        <w:tc>
          <w:tcPr>
            <w:tcW w:w="1418" w:type="dxa"/>
            <w:tcBorders>
              <w:top w:val="nil"/>
              <w:bottom w:val="nil"/>
            </w:tcBorders>
          </w:tcPr>
          <w:p>
            <w:pPr/>
          </w:p>
        </w:tc>
        <w:tc>
          <w:tcPr>
            <w:tcW w:w="1841" w:type="dxa"/>
            <w:tcBorders>
              <w:top w:val="nil"/>
              <w:bottom w:val="nil"/>
            </w:tcBorders>
          </w:tcPr>
          <w:p>
            <w:pPr/>
          </w:p>
        </w:tc>
        <w:tc>
          <w:tcPr>
            <w:tcW w:w="1135"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pescar en todo</w:t>
            </w:r>
          </w:p>
        </w:tc>
        <w:tc>
          <w:tcPr>
            <w:tcW w:w="1985" w:type="dxa"/>
            <w:tcBorders>
              <w:top w:val="nil"/>
              <w:bottom w:val="nil"/>
            </w:tcBorders>
          </w:tcPr>
          <w:p>
            <w:pPr/>
          </w:p>
        </w:tc>
      </w:tr>
      <w:tr>
        <w:trPr>
          <w:trHeight w:val="250" w:hRule="exact"/>
        </w:trPr>
        <w:tc>
          <w:tcPr>
            <w:tcW w:w="1385" w:type="dxa"/>
            <w:vMerge/>
          </w:tcPr>
          <w:p>
            <w:pPr/>
          </w:p>
        </w:tc>
        <w:tc>
          <w:tcPr>
            <w:tcW w:w="1418" w:type="dxa"/>
            <w:tcBorders>
              <w:top w:val="nil"/>
            </w:tcBorders>
          </w:tcPr>
          <w:p>
            <w:pPr/>
          </w:p>
        </w:tc>
        <w:tc>
          <w:tcPr>
            <w:tcW w:w="1841" w:type="dxa"/>
            <w:tcBorders>
              <w:top w:val="nil"/>
            </w:tcBorders>
          </w:tcPr>
          <w:p>
            <w:pPr/>
          </w:p>
        </w:tc>
        <w:tc>
          <w:tcPr>
            <w:tcW w:w="1135" w:type="dxa"/>
            <w:vMerge/>
          </w:tcPr>
          <w:p>
            <w:pPr/>
          </w:p>
        </w:tc>
        <w:tc>
          <w:tcPr>
            <w:tcW w:w="991" w:type="dxa"/>
            <w:vMerge/>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tiempo.</w:t>
            </w: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rPr>
                <w:sz w:val="22"/>
              </w:rPr>
            </w:pPr>
            <w:r>
              <w:rPr>
                <w:sz w:val="22"/>
              </w:rPr>
              <w:t>Gumecindo</w:t>
            </w:r>
          </w:p>
        </w:tc>
        <w:tc>
          <w:tcPr>
            <w:tcW w:w="1418" w:type="dxa"/>
            <w:tcBorders>
              <w:bottom w:val="nil"/>
            </w:tcBorders>
          </w:tcPr>
          <w:p>
            <w:pPr>
              <w:pStyle w:val="TableParagraph"/>
              <w:spacing w:line="251" w:lineRule="exact"/>
              <w:ind w:left="100"/>
              <w:rPr>
                <w:sz w:val="22"/>
              </w:rPr>
            </w:pPr>
            <w:r>
              <w:rPr>
                <w:sz w:val="22"/>
              </w:rPr>
              <w:t>Pescar  y</w:t>
            </w:r>
            <w:r>
              <w:rPr>
                <w:spacing w:val="55"/>
                <w:sz w:val="22"/>
              </w:rPr>
              <w:t> </w:t>
            </w:r>
            <w:r>
              <w:rPr>
                <w:sz w:val="22"/>
              </w:rPr>
              <w:t>el</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La   laguna  de</w:t>
            </w:r>
          </w:p>
        </w:tc>
        <w:tc>
          <w:tcPr>
            <w:tcW w:w="1985" w:type="dxa"/>
            <w:tcBorders>
              <w:bottom w:val="nil"/>
            </w:tcBorders>
          </w:tcPr>
          <w:p>
            <w:pPr>
              <w:pStyle w:val="TableParagraph"/>
              <w:tabs>
                <w:tab w:pos="573" w:val="left" w:leader="none"/>
              </w:tabs>
              <w:spacing w:line="251" w:lineRule="exact"/>
              <w:rPr>
                <w:sz w:val="22"/>
              </w:rPr>
            </w:pPr>
            <w:r>
              <w:rPr>
                <w:sz w:val="22"/>
              </w:rPr>
              <w:t>Se</w:t>
              <w:tab/>
              <w:t>han  </w:t>
            </w:r>
            <w:r>
              <w:rPr>
                <w:spacing w:val="14"/>
                <w:sz w:val="22"/>
              </w:rPr>
              <w:t> </w:t>
            </w:r>
            <w:r>
              <w:rPr>
                <w:sz w:val="22"/>
              </w:rPr>
              <w:t>perdido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Rivas</w:t>
            </w:r>
          </w:p>
        </w:tc>
        <w:tc>
          <w:tcPr>
            <w:tcW w:w="1418" w:type="dxa"/>
            <w:tcBorders>
              <w:top w:val="nil"/>
              <w:bottom w:val="nil"/>
            </w:tcBorders>
          </w:tcPr>
          <w:p>
            <w:pPr>
              <w:pStyle w:val="TableParagraph"/>
              <w:spacing w:line="241" w:lineRule="exact"/>
              <w:ind w:left="100" w:right="101"/>
              <w:rPr>
                <w:sz w:val="22"/>
              </w:rPr>
            </w:pPr>
            <w:r>
              <w:rPr>
                <w:sz w:val="22"/>
              </w:rPr>
              <w:t>campo</w:t>
            </w:r>
          </w:p>
        </w:tc>
        <w:tc>
          <w:tcPr>
            <w:tcW w:w="1841" w:type="dxa"/>
            <w:tcBorders>
              <w:top w:val="nil"/>
              <w:bottom w:val="nil"/>
            </w:tcBorders>
          </w:tcPr>
          <w:p>
            <w:pPr>
              <w:pStyle w:val="TableParagraph"/>
              <w:spacing w:line="241" w:lineRule="exact"/>
              <w:ind w:left="100"/>
              <w:rPr>
                <w:sz w:val="22"/>
              </w:rPr>
            </w:pPr>
            <w:r>
              <w:rPr>
                <w:sz w:val="22"/>
              </w:rPr>
              <w:t>“Rivas Islas”</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tabs>
                <w:tab w:pos="1357" w:val="left" w:leader="none"/>
              </w:tabs>
              <w:spacing w:line="241" w:lineRule="exact"/>
              <w:rPr>
                <w:sz w:val="22"/>
              </w:rPr>
            </w:pPr>
            <w:r>
              <w:rPr>
                <w:sz w:val="22"/>
              </w:rPr>
              <w:t>Huapango</w:t>
              <w:tab/>
              <w:t>es</w:t>
            </w:r>
          </w:p>
        </w:tc>
        <w:tc>
          <w:tcPr>
            <w:tcW w:w="1985" w:type="dxa"/>
            <w:tcBorders>
              <w:top w:val="nil"/>
              <w:bottom w:val="nil"/>
            </w:tcBorders>
          </w:tcPr>
          <w:p>
            <w:pPr>
              <w:pStyle w:val="TableParagraph"/>
              <w:tabs>
                <w:tab w:pos="1216" w:val="left" w:leader="none"/>
                <w:tab w:pos="1703" w:val="left" w:leader="none"/>
              </w:tabs>
              <w:spacing w:line="241" w:lineRule="exact"/>
              <w:rPr>
                <w:sz w:val="22"/>
              </w:rPr>
            </w:pPr>
            <w:r>
              <w:rPr>
                <w:sz w:val="22"/>
              </w:rPr>
              <w:t>especies</w:t>
              <w:tab/>
              <w:t>en</w:t>
              <w:tab/>
              <w:t>la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Rodríguez</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(7 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spacing w:line="242" w:lineRule="exact"/>
              <w:rPr>
                <w:sz w:val="22"/>
              </w:rPr>
            </w:pPr>
            <w:r>
              <w:rPr>
                <w:sz w:val="22"/>
              </w:rPr>
              <w:t>importante</w:t>
            </w:r>
          </w:p>
        </w:tc>
        <w:tc>
          <w:tcPr>
            <w:tcW w:w="1985" w:type="dxa"/>
            <w:tcBorders>
              <w:top w:val="nil"/>
              <w:bottom w:val="nil"/>
            </w:tcBorders>
          </w:tcPr>
          <w:p>
            <w:pPr>
              <w:pStyle w:val="TableParagraph"/>
              <w:spacing w:line="242" w:lineRule="exact"/>
              <w:rPr>
                <w:sz w:val="22"/>
              </w:rPr>
            </w:pPr>
            <w:r>
              <w:rPr>
                <w:sz w:val="22"/>
              </w:rPr>
              <w:t>laguna  porque se</w:t>
            </w: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line="241" w:lineRule="exact"/>
              <w:rPr>
                <w:sz w:val="22"/>
              </w:rPr>
            </w:pPr>
            <w:r>
              <w:rPr>
                <w:sz w:val="22"/>
              </w:rPr>
              <w:t>para</w:t>
              <w:tab/>
              <w:t>la</w:t>
            </w:r>
          </w:p>
        </w:tc>
        <w:tc>
          <w:tcPr>
            <w:tcW w:w="1985" w:type="dxa"/>
            <w:tcBorders>
              <w:top w:val="nil"/>
              <w:bottom w:val="nil"/>
            </w:tcBorders>
          </w:tcPr>
          <w:p>
            <w:pPr>
              <w:pStyle w:val="TableParagraph"/>
              <w:spacing w:line="241" w:lineRule="exact"/>
              <w:rPr>
                <w:sz w:val="22"/>
              </w:rPr>
            </w:pPr>
            <w:r>
              <w:rPr>
                <w:sz w:val="22"/>
              </w:rPr>
              <w:t>mueren   como  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comunidad</w:t>
            </w:r>
          </w:p>
        </w:tc>
        <w:tc>
          <w:tcPr>
            <w:tcW w:w="1985" w:type="dxa"/>
            <w:tcBorders>
              <w:top w:val="nil"/>
              <w:bottom w:val="nil"/>
            </w:tcBorders>
          </w:tcPr>
          <w:p>
            <w:pPr>
              <w:pStyle w:val="TableParagraph"/>
              <w:spacing w:line="242" w:lineRule="exact"/>
              <w:rPr>
                <w:sz w:val="22"/>
              </w:rPr>
            </w:pPr>
            <w:r>
              <w:rPr>
                <w:sz w:val="22"/>
              </w:rPr>
              <w:t>Israel,   mojarra  y</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65" w:val="left" w:leader="none"/>
              </w:tabs>
              <w:spacing w:line="241" w:lineRule="exact"/>
              <w:rPr>
                <w:sz w:val="22"/>
              </w:rPr>
            </w:pPr>
            <w:r>
              <w:rPr>
                <w:sz w:val="22"/>
              </w:rPr>
              <w:t>porque</w:t>
              <w:tab/>
              <w:t>viene</w:t>
            </w:r>
          </w:p>
        </w:tc>
        <w:tc>
          <w:tcPr>
            <w:tcW w:w="1985" w:type="dxa"/>
            <w:tcBorders>
              <w:top w:val="nil"/>
              <w:bottom w:val="nil"/>
            </w:tcBorders>
          </w:tcPr>
          <w:p>
            <w:pPr>
              <w:pStyle w:val="TableParagraph"/>
              <w:tabs>
                <w:tab w:pos="717" w:val="left" w:leader="none"/>
                <w:tab w:pos="1393" w:val="left" w:leader="none"/>
              </w:tabs>
              <w:spacing w:line="241" w:lineRule="exact"/>
              <w:rPr>
                <w:sz w:val="22"/>
              </w:rPr>
            </w:pPr>
            <w:r>
              <w:rPr>
                <w:sz w:val="22"/>
              </w:rPr>
              <w:t>hay</w:t>
              <w:tab/>
              <w:t>muy</w:t>
              <w:tab/>
              <w:t>poco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mucha gente a</w:t>
            </w:r>
          </w:p>
        </w:tc>
        <w:tc>
          <w:tcPr>
            <w:tcW w:w="1985" w:type="dxa"/>
            <w:tcBorders>
              <w:top w:val="nil"/>
              <w:bottom w:val="nil"/>
            </w:tcBorders>
          </w:tcPr>
          <w:p>
            <w:pPr>
              <w:pStyle w:val="TableParagraph"/>
              <w:spacing w:line="241" w:lineRule="exact"/>
              <w:rPr>
                <w:sz w:val="22"/>
              </w:rPr>
            </w:pPr>
            <w:r>
              <w:rPr>
                <w:sz w:val="22"/>
              </w:rPr>
              <w:t>charal blanco.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66" w:val="left" w:leader="none"/>
                <w:tab w:pos="1463" w:val="left" w:leader="none"/>
              </w:tabs>
              <w:spacing w:line="242" w:lineRule="exact"/>
              <w:rPr>
                <w:sz w:val="22"/>
              </w:rPr>
            </w:pPr>
            <w:r>
              <w:rPr>
                <w:sz w:val="22"/>
              </w:rPr>
              <w:t>verla</w:t>
              <w:tab/>
              <w:t>y</w:t>
              <w:tab/>
              <w:t>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comprar</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pescado,</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61" w:val="left" w:leader="none"/>
              </w:tabs>
              <w:spacing w:line="241" w:lineRule="exact"/>
              <w:rPr>
                <w:sz w:val="22"/>
              </w:rPr>
            </w:pPr>
            <w:r>
              <w:rPr>
                <w:sz w:val="22"/>
              </w:rPr>
              <w:t>además</w:t>
              <w:tab/>
              <w:t>aquí</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5" w:val="left" w:leader="none"/>
              </w:tabs>
              <w:spacing w:line="241" w:lineRule="exact"/>
              <w:rPr>
                <w:sz w:val="22"/>
              </w:rPr>
            </w:pPr>
            <w:r>
              <w:rPr>
                <w:sz w:val="22"/>
              </w:rPr>
              <w:t>nacimos,</w:t>
              <w:tab/>
              <w:t>no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nos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moveremos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por   lo  que  sí</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73" w:val="left" w:leader="none"/>
              </w:tabs>
              <w:spacing w:line="241" w:lineRule="exact"/>
              <w:rPr>
                <w:sz w:val="22"/>
              </w:rPr>
            </w:pPr>
            <w:r>
              <w:rPr>
                <w:sz w:val="22"/>
              </w:rPr>
              <w:t>es</w:t>
              <w:tab/>
              <w:t>muy</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importante</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90"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spacing w:line="251" w:lineRule="exact"/>
              <w:rPr>
                <w:sz w:val="22"/>
              </w:rPr>
            </w:pPr>
            <w:r>
              <w:rPr>
                <w:sz w:val="22"/>
              </w:rPr>
              <w:t>para nosotros.</w:t>
            </w:r>
          </w:p>
        </w:tc>
        <w:tc>
          <w:tcPr>
            <w:tcW w:w="1985" w:type="dxa"/>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Fortino</w:t>
            </w:r>
          </w:p>
        </w:tc>
        <w:tc>
          <w:tcPr>
            <w:tcW w:w="1418" w:type="dxa"/>
            <w:tcBorders>
              <w:bottom w:val="nil"/>
            </w:tcBorders>
          </w:tcPr>
          <w:p>
            <w:pPr>
              <w:pStyle w:val="TableParagraph"/>
              <w:spacing w:line="251" w:lineRule="exact"/>
              <w:ind w:left="100"/>
              <w:rPr>
                <w:sz w:val="22"/>
              </w:rPr>
            </w:pPr>
            <w:r>
              <w:rPr>
                <w:sz w:val="22"/>
              </w:rPr>
              <w:t>El  campo</w:t>
            </w:r>
            <w:r>
              <w:rPr>
                <w:spacing w:val="53"/>
                <w:sz w:val="22"/>
              </w:rPr>
              <w:t> </w:t>
            </w:r>
            <w:r>
              <w:rPr>
                <w:sz w:val="22"/>
              </w:rPr>
              <w:t>y</w:t>
            </w:r>
          </w:p>
        </w:tc>
        <w:tc>
          <w:tcPr>
            <w:tcW w:w="1841" w:type="dxa"/>
            <w:tcBorders>
              <w:bottom w:val="nil"/>
            </w:tcBorders>
          </w:tcPr>
          <w:p>
            <w:pPr>
              <w:pStyle w:val="TableParagraph"/>
              <w:spacing w:line="251" w:lineRule="exact"/>
              <w:ind w:left="100"/>
              <w:rPr>
                <w:sz w:val="22"/>
              </w:rPr>
            </w:pPr>
            <w:r>
              <w:rPr>
                <w:sz w:val="22"/>
              </w:rPr>
              <w:t>Cooperatica</w:t>
            </w:r>
          </w:p>
        </w:tc>
        <w:tc>
          <w:tcPr>
            <w:tcW w:w="1135" w:type="dxa"/>
            <w:tcBorders>
              <w:bottom w:val="nil"/>
            </w:tcBorders>
          </w:tcPr>
          <w:p>
            <w:pPr>
              <w:pStyle w:val="TableParagraph"/>
              <w:spacing w:line="251" w:lineRule="exact"/>
              <w:rPr>
                <w:sz w:val="22"/>
              </w:rPr>
            </w:pPr>
            <w:r>
              <w:rPr>
                <w:sz w:val="22"/>
              </w:rPr>
              <w:t>Tesorero</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El</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La   laguna  es</w:t>
            </w:r>
          </w:p>
        </w:tc>
        <w:tc>
          <w:tcPr>
            <w:tcW w:w="1985" w:type="dxa"/>
            <w:tcBorders>
              <w:bottom w:val="nil"/>
            </w:tcBorders>
          </w:tcPr>
          <w:p>
            <w:pPr>
              <w:pStyle w:val="TableParagraph"/>
              <w:spacing w:line="251" w:lineRule="exact"/>
              <w:rPr>
                <w:sz w:val="22"/>
              </w:rPr>
            </w:pPr>
            <w:r>
              <w:rPr>
                <w:sz w:val="22"/>
              </w:rPr>
              <w:t>No, hay pero muy</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la pesca</w:t>
            </w:r>
          </w:p>
        </w:tc>
        <w:tc>
          <w:tcPr>
            <w:tcW w:w="1841" w:type="dxa"/>
            <w:tcBorders>
              <w:top w:val="nil"/>
              <w:bottom w:val="nil"/>
            </w:tcBorders>
          </w:tcPr>
          <w:p>
            <w:pPr>
              <w:pStyle w:val="TableParagraph"/>
              <w:spacing w:line="242" w:lineRule="exact"/>
              <w:ind w:left="100"/>
              <w:rPr>
                <w:sz w:val="22"/>
              </w:rPr>
            </w:pPr>
            <w:r>
              <w:rPr>
                <w:sz w:val="22"/>
              </w:rPr>
              <w:t>“Pescamex”</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Azafrán,</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1702" w:type="dxa"/>
            <w:tcBorders>
              <w:top w:val="nil"/>
              <w:bottom w:val="nil"/>
            </w:tcBorders>
          </w:tcPr>
          <w:p>
            <w:pPr>
              <w:pStyle w:val="TableParagraph"/>
              <w:spacing w:line="242" w:lineRule="exact"/>
              <w:rPr>
                <w:sz w:val="22"/>
              </w:rPr>
            </w:pPr>
            <w:r>
              <w:rPr>
                <w:sz w:val="22"/>
              </w:rPr>
              <w:t>importante</w:t>
            </w:r>
          </w:p>
        </w:tc>
        <w:tc>
          <w:tcPr>
            <w:tcW w:w="1985" w:type="dxa"/>
            <w:tcBorders>
              <w:top w:val="nil"/>
              <w:bottom w:val="nil"/>
            </w:tcBorders>
          </w:tcPr>
          <w:p>
            <w:pPr>
              <w:pStyle w:val="TableParagraph"/>
              <w:spacing w:line="242" w:lineRule="exact"/>
              <w:rPr>
                <w:sz w:val="22"/>
              </w:rPr>
            </w:pPr>
            <w:r>
              <w:rPr>
                <w:sz w:val="22"/>
              </w:rPr>
              <w:t>poco, lo que paso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Cristobal</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(estaba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tabs>
                <w:tab w:pos="1355" w:val="left" w:leader="none"/>
              </w:tabs>
              <w:spacing w:line="241" w:lineRule="exact"/>
              <w:rPr>
                <w:sz w:val="22"/>
              </w:rPr>
            </w:pPr>
            <w:r>
              <w:rPr>
                <w:sz w:val="22"/>
              </w:rPr>
              <w:t>para</w:t>
              <w:tab/>
              <w:t>mi</w:t>
            </w:r>
          </w:p>
        </w:tc>
        <w:tc>
          <w:tcPr>
            <w:tcW w:w="1985" w:type="dxa"/>
            <w:tcBorders>
              <w:top w:val="nil"/>
              <w:bottom w:val="nil"/>
            </w:tcBorders>
          </w:tcPr>
          <w:p>
            <w:pPr>
              <w:pStyle w:val="TableParagraph"/>
              <w:spacing w:line="241" w:lineRule="exact"/>
              <w:rPr>
                <w:sz w:val="22"/>
              </w:rPr>
            </w:pPr>
            <w:r>
              <w:rPr>
                <w:sz w:val="22"/>
              </w:rPr>
              <w:t>es   que  se  puso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1" w:lineRule="exact"/>
              <w:ind w:left="100"/>
              <w:rPr>
                <w:sz w:val="22"/>
              </w:rPr>
            </w:pPr>
            <w:r>
              <w:rPr>
                <w:sz w:val="22"/>
              </w:rPr>
              <w:t>integrada</w:t>
              <w:tab/>
              <w:t>por</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comunidad</w:t>
            </w:r>
          </w:p>
        </w:tc>
        <w:tc>
          <w:tcPr>
            <w:tcW w:w="1985" w:type="dxa"/>
            <w:tcBorders>
              <w:top w:val="nil"/>
              <w:bottom w:val="nil"/>
            </w:tcBorders>
          </w:tcPr>
          <w:p>
            <w:pPr>
              <w:pStyle w:val="TableParagraph"/>
              <w:spacing w:line="241" w:lineRule="exact"/>
              <w:rPr>
                <w:sz w:val="22"/>
              </w:rPr>
            </w:pPr>
            <w:r>
              <w:rPr>
                <w:sz w:val="22"/>
              </w:rPr>
              <w:t>frio  en  cuaresma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822" w:val="left" w:leader="none"/>
              </w:tabs>
              <w:spacing w:line="242" w:lineRule="exact"/>
              <w:ind w:left="100"/>
              <w:rPr>
                <w:sz w:val="22"/>
              </w:rPr>
            </w:pPr>
            <w:r>
              <w:rPr>
                <w:sz w:val="22"/>
              </w:rPr>
              <w:t>300</w:t>
              <w:tab/>
              <w:t>personas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2" w:lineRule="exact"/>
              <w:rPr>
                <w:sz w:val="22"/>
              </w:rPr>
            </w:pPr>
            <w:r>
              <w:rPr>
                <w:sz w:val="22"/>
              </w:rPr>
              <w:t>porque</w:t>
              <w:tab/>
              <w:t>no</w:t>
            </w:r>
          </w:p>
        </w:tc>
        <w:tc>
          <w:tcPr>
            <w:tcW w:w="1985" w:type="dxa"/>
            <w:tcBorders>
              <w:top w:val="nil"/>
              <w:bottom w:val="nil"/>
            </w:tcBorders>
          </w:tcPr>
          <w:p>
            <w:pPr>
              <w:pStyle w:val="TableParagraph"/>
              <w:tabs>
                <w:tab w:pos="674" w:val="left" w:leader="none"/>
                <w:tab w:pos="1381" w:val="left" w:leader="none"/>
              </w:tabs>
              <w:spacing w:line="242" w:lineRule="exact"/>
              <w:rPr>
                <w:sz w:val="22"/>
              </w:rPr>
            </w:pPr>
            <w:r>
              <w:rPr>
                <w:sz w:val="22"/>
              </w:rPr>
              <w:t>y</w:t>
              <w:tab/>
              <w:t>no</w:t>
              <w:tab/>
              <w:t>hubo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en  un  principio,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11" w:val="left" w:leader="none"/>
              </w:tabs>
              <w:spacing w:line="241" w:lineRule="exact"/>
              <w:rPr>
                <w:sz w:val="22"/>
              </w:rPr>
            </w:pPr>
            <w:r>
              <w:rPr>
                <w:sz w:val="22"/>
              </w:rPr>
              <w:t>tienen</w:t>
              <w:tab/>
              <w:t>otra</w:t>
            </w:r>
          </w:p>
        </w:tc>
        <w:tc>
          <w:tcPr>
            <w:tcW w:w="1985" w:type="dxa"/>
            <w:tcBorders>
              <w:top w:val="nil"/>
              <w:bottom w:val="nil"/>
            </w:tcBorders>
          </w:tcPr>
          <w:p>
            <w:pPr>
              <w:pStyle w:val="TableParagraph"/>
              <w:spacing w:line="241" w:lineRule="exact"/>
              <w:rPr>
                <w:sz w:val="22"/>
              </w:rPr>
            </w:pPr>
            <w:r>
              <w:rPr>
                <w:sz w:val="22"/>
              </w:rPr>
              <w:t>abundancia,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97" w:val="left" w:leader="none"/>
              </w:tabs>
              <w:spacing w:line="242" w:lineRule="exact"/>
              <w:ind w:left="100"/>
              <w:rPr>
                <w:sz w:val="22"/>
              </w:rPr>
            </w:pPr>
            <w:r>
              <w:rPr>
                <w:sz w:val="22"/>
              </w:rPr>
              <w:t>pero</w:t>
              <w:tab/>
              <w:t>se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00" w:val="left" w:leader="none"/>
              </w:tabs>
              <w:spacing w:line="242" w:lineRule="exact"/>
              <w:rPr>
                <w:sz w:val="22"/>
              </w:rPr>
            </w:pPr>
            <w:r>
              <w:rPr>
                <w:sz w:val="22"/>
              </w:rPr>
              <w:t>salida</w:t>
              <w:tab/>
              <w:t>sacan</w:t>
            </w:r>
          </w:p>
        </w:tc>
        <w:tc>
          <w:tcPr>
            <w:tcW w:w="1985" w:type="dxa"/>
            <w:tcBorders>
              <w:top w:val="nil"/>
              <w:bottom w:val="nil"/>
            </w:tcBorders>
          </w:tcPr>
          <w:p>
            <w:pPr>
              <w:pStyle w:val="TableParagraph"/>
              <w:tabs>
                <w:tab w:pos="1041" w:val="left" w:leader="none"/>
              </w:tabs>
              <w:spacing w:line="242" w:lineRule="exact"/>
              <w:rPr>
                <w:sz w:val="22"/>
              </w:rPr>
            </w:pPr>
            <w:r>
              <w:rPr>
                <w:sz w:val="22"/>
              </w:rPr>
              <w:t>apenas</w:t>
              <w:tab/>
              <w:t>empieza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anotaron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35" w:val="left" w:leader="none"/>
                <w:tab w:pos="1211" w:val="left" w:leader="none"/>
              </w:tabs>
              <w:spacing w:line="241" w:lineRule="exact"/>
              <w:rPr>
                <w:sz w:val="22"/>
              </w:rPr>
            </w:pPr>
            <w:r>
              <w:rPr>
                <w:sz w:val="22"/>
              </w:rPr>
              <w:t>poco</w:t>
              <w:tab/>
              <w:t>o</w:t>
              <w:tab/>
              <w:t>arto</w:t>
            </w:r>
          </w:p>
        </w:tc>
        <w:tc>
          <w:tcPr>
            <w:tcW w:w="1985" w:type="dxa"/>
            <w:tcBorders>
              <w:top w:val="nil"/>
              <w:bottom w:val="nil"/>
            </w:tcBorders>
          </w:tcPr>
          <w:p>
            <w:pPr>
              <w:pStyle w:val="TableParagraph"/>
              <w:spacing w:line="241" w:lineRule="exact"/>
              <w:rPr>
                <w:sz w:val="22"/>
              </w:rPr>
            </w:pPr>
            <w:r>
              <w:rPr>
                <w:sz w:val="22"/>
              </w:rPr>
              <w:t>a haber.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muchos  que  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10" w:val="left" w:leader="none"/>
              </w:tabs>
              <w:spacing w:line="241" w:lineRule="exact"/>
              <w:rPr>
                <w:sz w:val="22"/>
              </w:rPr>
            </w:pPr>
            <w:r>
              <w:rPr>
                <w:sz w:val="22"/>
              </w:rPr>
              <w:t>para</w:t>
              <w:tab/>
              <w:t>los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eran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frijoles,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19" w:val="left" w:leader="none"/>
              </w:tabs>
              <w:spacing w:line="241" w:lineRule="exact"/>
              <w:ind w:left="100"/>
              <w:rPr>
                <w:sz w:val="22"/>
              </w:rPr>
            </w:pPr>
            <w:r>
              <w:rPr>
                <w:sz w:val="22"/>
              </w:rPr>
              <w:t>pescadores</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aunque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324" w:val="left" w:leader="none"/>
              </w:tabs>
              <w:spacing w:line="242" w:lineRule="exact"/>
              <w:ind w:left="100"/>
              <w:rPr>
                <w:sz w:val="22"/>
              </w:rPr>
            </w:pPr>
            <w:r>
              <w:rPr>
                <w:sz w:val="22"/>
              </w:rPr>
              <w:t>ahora</w:t>
              <w:tab/>
              <w:t>sólo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también</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quedamos 70).</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siembran, pero</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no hacen fruto.</w:t>
            </w: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ind w:left="165" w:right="127"/>
              <w:rPr>
                <w:sz w:val="22"/>
              </w:rPr>
            </w:pPr>
            <w:r>
              <w:rPr>
                <w:sz w:val="22"/>
              </w:rPr>
              <w:t>Malaquías</w:t>
            </w:r>
          </w:p>
        </w:tc>
        <w:tc>
          <w:tcPr>
            <w:tcW w:w="1418" w:type="dxa"/>
            <w:tcBorders>
              <w:bottom w:val="nil"/>
            </w:tcBorders>
          </w:tcPr>
          <w:p>
            <w:pPr>
              <w:pStyle w:val="TableParagraph"/>
              <w:spacing w:line="251" w:lineRule="exact"/>
              <w:ind w:left="151" w:right="101"/>
              <w:rPr>
                <w:sz w:val="22"/>
              </w:rPr>
            </w:pPr>
            <w:r>
              <w:rPr>
                <w:sz w:val="22"/>
              </w:rPr>
              <w:t>Agricultor y</w:t>
            </w:r>
          </w:p>
        </w:tc>
        <w:tc>
          <w:tcPr>
            <w:tcW w:w="1841" w:type="dxa"/>
            <w:tcBorders>
              <w:bottom w:val="nil"/>
            </w:tcBorders>
          </w:tcPr>
          <w:p>
            <w:pPr>
              <w:pStyle w:val="TableParagraph"/>
              <w:spacing w:line="251" w:lineRule="exact"/>
              <w:ind w:left="100"/>
              <w:rPr>
                <w:sz w:val="22"/>
              </w:rPr>
            </w:pPr>
            <w:r>
              <w:rPr>
                <w:sz w:val="22"/>
              </w:rPr>
              <w:t>No   recuerdo</w:t>
            </w:r>
            <w:r>
              <w:rPr>
                <w:spacing w:val="59"/>
                <w:sz w:val="22"/>
              </w:rPr>
              <w:t> </w:t>
            </w:r>
            <w:r>
              <w:rPr>
                <w:sz w:val="22"/>
              </w:rPr>
              <w:t>el</w:t>
            </w:r>
          </w:p>
        </w:tc>
        <w:tc>
          <w:tcPr>
            <w:tcW w:w="1135" w:type="dxa"/>
            <w:tcBorders>
              <w:bottom w:val="nil"/>
            </w:tcBorders>
          </w:tcPr>
          <w:p>
            <w:pPr>
              <w:pStyle w:val="TableParagraph"/>
              <w:spacing w:line="251" w:lineRule="exact"/>
              <w:rPr>
                <w:sz w:val="22"/>
              </w:rPr>
            </w:pPr>
            <w:r>
              <w:rPr>
                <w:sz w:val="22"/>
              </w:rPr>
              <w:t>Inegrant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Zaragoza,</w:t>
            </w:r>
          </w:p>
        </w:tc>
        <w:tc>
          <w:tcPr>
            <w:tcW w:w="1133" w:type="dxa"/>
            <w:tcBorders>
              <w:bottom w:val="nil"/>
            </w:tcBorders>
          </w:tcPr>
          <w:p>
            <w:pPr>
              <w:pStyle w:val="TableParagraph"/>
              <w:spacing w:line="251" w:lineRule="exact"/>
              <w:ind w:left="100" w:right="52"/>
              <w:rPr>
                <w:sz w:val="22"/>
              </w:rPr>
            </w:pPr>
            <w:r>
              <w:rPr>
                <w:sz w:val="22"/>
              </w:rPr>
              <w:t>Zaragoz</w:t>
            </w:r>
          </w:p>
        </w:tc>
        <w:tc>
          <w:tcPr>
            <w:tcW w:w="1702" w:type="dxa"/>
            <w:tcBorders>
              <w:bottom w:val="nil"/>
            </w:tcBorders>
          </w:tcPr>
          <w:p>
            <w:pPr>
              <w:pStyle w:val="TableParagraph"/>
              <w:tabs>
                <w:tab w:pos="901" w:val="left" w:leader="none"/>
              </w:tabs>
              <w:spacing w:line="251" w:lineRule="exact"/>
              <w:rPr>
                <w:sz w:val="22"/>
              </w:rPr>
            </w:pPr>
            <w:r>
              <w:rPr>
                <w:sz w:val="22"/>
              </w:rPr>
              <w:t>Sí</w:t>
              <w:tab/>
              <w:t>porque</w:t>
            </w:r>
          </w:p>
        </w:tc>
        <w:tc>
          <w:tcPr>
            <w:tcW w:w="1985" w:type="dxa"/>
            <w:tcBorders>
              <w:bottom w:val="nil"/>
            </w:tcBorders>
          </w:tcPr>
          <w:p>
            <w:pPr>
              <w:pStyle w:val="TableParagraph"/>
              <w:spacing w:line="251" w:lineRule="exact"/>
              <w:rPr>
                <w:sz w:val="22"/>
              </w:rPr>
            </w:pPr>
            <w:r>
              <w:rPr>
                <w:sz w:val="22"/>
              </w:rPr>
              <w:t>Ya  no  hay  rana,</w:t>
            </w:r>
          </w:p>
        </w:tc>
      </w:tr>
      <w:tr>
        <w:trPr>
          <w:trHeight w:val="253" w:hRule="exact"/>
        </w:trPr>
        <w:tc>
          <w:tcPr>
            <w:tcW w:w="1385" w:type="dxa"/>
            <w:tcBorders>
              <w:top w:val="nil"/>
              <w:bottom w:val="nil"/>
            </w:tcBorders>
          </w:tcPr>
          <w:p>
            <w:pPr>
              <w:pStyle w:val="TableParagraph"/>
              <w:spacing w:line="241" w:lineRule="exact"/>
              <w:rPr>
                <w:sz w:val="22"/>
              </w:rPr>
            </w:pPr>
            <w:r>
              <w:rPr>
                <w:sz w:val="22"/>
              </w:rPr>
              <w:t>de  la  Cruz</w:t>
            </w:r>
          </w:p>
        </w:tc>
        <w:tc>
          <w:tcPr>
            <w:tcW w:w="1418" w:type="dxa"/>
            <w:tcBorders>
              <w:top w:val="nil"/>
              <w:bottom w:val="nil"/>
            </w:tcBorders>
          </w:tcPr>
          <w:p>
            <w:pPr>
              <w:pStyle w:val="TableParagraph"/>
              <w:spacing w:line="241" w:lineRule="exact"/>
              <w:ind w:left="100"/>
              <w:rPr>
                <w:sz w:val="22"/>
              </w:rPr>
            </w:pPr>
            <w:r>
              <w:rPr>
                <w:sz w:val="22"/>
              </w:rPr>
              <w:t>era la pesca</w:t>
            </w:r>
          </w:p>
        </w:tc>
        <w:tc>
          <w:tcPr>
            <w:tcW w:w="1841" w:type="dxa"/>
            <w:tcBorders>
              <w:top w:val="nil"/>
              <w:bottom w:val="nil"/>
            </w:tcBorders>
          </w:tcPr>
          <w:p>
            <w:pPr>
              <w:pStyle w:val="TableParagraph"/>
              <w:spacing w:line="241" w:lineRule="exact"/>
              <w:ind w:left="100"/>
              <w:rPr>
                <w:sz w:val="22"/>
              </w:rPr>
            </w:pPr>
            <w:r>
              <w:rPr>
                <w:sz w:val="22"/>
              </w:rPr>
              <w:t>nombre   porque</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w:t>
            </w:r>
          </w:p>
        </w:tc>
        <w:tc>
          <w:tcPr>
            <w:tcW w:w="1702" w:type="dxa"/>
            <w:tcBorders>
              <w:top w:val="nil"/>
              <w:bottom w:val="nil"/>
            </w:tcBorders>
          </w:tcPr>
          <w:p>
            <w:pPr>
              <w:pStyle w:val="TableParagraph"/>
              <w:spacing w:line="241" w:lineRule="exact"/>
              <w:rPr>
                <w:sz w:val="22"/>
              </w:rPr>
            </w:pPr>
            <w:r>
              <w:rPr>
                <w:sz w:val="22"/>
              </w:rPr>
              <w:t>sacan pescado</w:t>
            </w:r>
          </w:p>
        </w:tc>
        <w:tc>
          <w:tcPr>
            <w:tcW w:w="1985" w:type="dxa"/>
            <w:tcBorders>
              <w:top w:val="nil"/>
              <w:bottom w:val="nil"/>
            </w:tcBorders>
          </w:tcPr>
          <w:p>
            <w:pPr>
              <w:pStyle w:val="TableParagraph"/>
              <w:spacing w:line="241" w:lineRule="exact"/>
              <w:rPr>
                <w:sz w:val="22"/>
              </w:rPr>
            </w:pPr>
            <w:r>
              <w:rPr>
                <w:sz w:val="22"/>
              </w:rPr>
              <w:t>acocil,  ajolotes  y</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Nicolás</w:t>
            </w:r>
          </w:p>
        </w:tc>
        <w:tc>
          <w:tcPr>
            <w:tcW w:w="1418" w:type="dxa"/>
            <w:tcBorders>
              <w:top w:val="nil"/>
              <w:bottom w:val="nil"/>
            </w:tcBorders>
          </w:tcPr>
          <w:p>
            <w:pPr>
              <w:pStyle w:val="TableParagraph"/>
              <w:spacing w:line="242" w:lineRule="exact"/>
              <w:ind w:left="211" w:right="101"/>
              <w:rPr>
                <w:sz w:val="22"/>
              </w:rPr>
            </w:pPr>
            <w:r>
              <w:rPr>
                <w:sz w:val="22"/>
              </w:rPr>
              <w:t>porque ya</w:t>
            </w:r>
          </w:p>
        </w:tc>
        <w:tc>
          <w:tcPr>
            <w:tcW w:w="1841" w:type="dxa"/>
            <w:tcBorders>
              <w:top w:val="nil"/>
              <w:bottom w:val="nil"/>
            </w:tcBorders>
          </w:tcPr>
          <w:p>
            <w:pPr>
              <w:pStyle w:val="TableParagraph"/>
              <w:spacing w:line="242" w:lineRule="exact"/>
              <w:ind w:left="100"/>
              <w:rPr>
                <w:sz w:val="22"/>
              </w:rPr>
            </w:pPr>
            <w:r>
              <w:rPr>
                <w:sz w:val="22"/>
              </w:rPr>
              <w:t>ya tiene tiempo.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Style w:val="TableParagraph"/>
              <w:spacing w:line="242" w:lineRule="exact"/>
              <w:rPr>
                <w:sz w:val="22"/>
              </w:rPr>
            </w:pPr>
            <w:r>
              <w:rPr>
                <w:sz w:val="22"/>
              </w:rPr>
              <w:t>y  aquí </w:t>
            </w:r>
            <w:r>
              <w:rPr>
                <w:spacing w:val="53"/>
                <w:sz w:val="22"/>
              </w:rPr>
              <w:t> </w:t>
            </w:r>
            <w:r>
              <w:rPr>
                <w:sz w:val="22"/>
              </w:rPr>
              <w:t>mismo</w:t>
            </w:r>
          </w:p>
        </w:tc>
        <w:tc>
          <w:tcPr>
            <w:tcW w:w="1985" w:type="dxa"/>
            <w:tcBorders>
              <w:top w:val="nil"/>
              <w:bottom w:val="nil"/>
            </w:tcBorders>
          </w:tcPr>
          <w:p>
            <w:pPr>
              <w:pStyle w:val="TableParagraph"/>
              <w:spacing w:line="242" w:lineRule="exact"/>
              <w:rPr>
                <w:sz w:val="22"/>
              </w:rPr>
            </w:pPr>
            <w:r>
              <w:rPr>
                <w:sz w:val="22"/>
              </w:rPr>
              <w:t>peces.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(24/I/2015)</w:t>
            </w:r>
          </w:p>
        </w:tc>
        <w:tc>
          <w:tcPr>
            <w:tcW w:w="1418" w:type="dxa"/>
            <w:tcBorders>
              <w:top w:val="nil"/>
              <w:bottom w:val="nil"/>
            </w:tcBorders>
          </w:tcPr>
          <w:p>
            <w:pPr>
              <w:pStyle w:val="TableParagraph"/>
              <w:spacing w:line="241" w:lineRule="exact"/>
              <w:ind w:left="372" w:right="101"/>
              <w:rPr>
                <w:sz w:val="22"/>
              </w:rPr>
            </w:pPr>
            <w:r>
              <w:rPr>
                <w:sz w:val="22"/>
              </w:rPr>
              <w:t>no hay</w:t>
            </w:r>
          </w:p>
        </w:tc>
        <w:tc>
          <w:tcPr>
            <w:tcW w:w="1841" w:type="dxa"/>
            <w:tcBorders>
              <w:top w:val="nil"/>
              <w:bottom w:val="nil"/>
            </w:tcBorders>
          </w:tcPr>
          <w:p>
            <w:pPr>
              <w:pStyle w:val="TableParagraph"/>
              <w:spacing w:line="241" w:lineRule="exact"/>
              <w:ind w:left="100"/>
              <w:rPr>
                <w:sz w:val="22"/>
              </w:rPr>
            </w:pPr>
            <w:r>
              <w:rPr>
                <w:sz w:val="22"/>
              </w:rPr>
              <w:t>(10 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lo venden.</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Style w:val="TableParagraph"/>
              <w:spacing w:line="242" w:lineRule="exact"/>
              <w:ind w:left="285" w:right="101"/>
              <w:rPr>
                <w:sz w:val="22"/>
              </w:rPr>
            </w:pPr>
            <w:r>
              <w:rPr>
                <w:sz w:val="22"/>
              </w:rPr>
              <w:t>pescado</w:t>
            </w: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left="251" w:right="127"/>
              <w:rPr>
                <w:sz w:val="22"/>
              </w:rPr>
            </w:pPr>
            <w:r>
              <w:rPr>
                <w:sz w:val="22"/>
              </w:rPr>
              <w:t>Anónimo</w:t>
            </w:r>
          </w:p>
        </w:tc>
        <w:tc>
          <w:tcPr>
            <w:tcW w:w="1418" w:type="dxa"/>
            <w:tcBorders>
              <w:bottom w:val="nil"/>
            </w:tcBorders>
          </w:tcPr>
          <w:p>
            <w:pPr>
              <w:pStyle w:val="TableParagraph"/>
              <w:spacing w:line="251" w:lineRule="exact"/>
              <w:ind w:left="156" w:right="101"/>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No   recuerdo</w:t>
            </w:r>
            <w:r>
              <w:rPr>
                <w:spacing w:val="59"/>
                <w:sz w:val="22"/>
              </w:rPr>
              <w:t> </w:t>
            </w:r>
            <w:r>
              <w:rPr>
                <w:sz w:val="22"/>
              </w:rPr>
              <w:t>el</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1702" w:type="dxa"/>
            <w:tcBorders>
              <w:bottom w:val="nil"/>
            </w:tcBorders>
          </w:tcPr>
          <w:p>
            <w:pPr>
              <w:pStyle w:val="TableParagraph"/>
              <w:spacing w:line="251" w:lineRule="exact"/>
              <w:rPr>
                <w:sz w:val="22"/>
              </w:rPr>
            </w:pPr>
            <w:r>
              <w:rPr>
                <w:sz w:val="22"/>
              </w:rPr>
              <w:t>Sí   porque  de</w:t>
            </w:r>
          </w:p>
        </w:tc>
        <w:tc>
          <w:tcPr>
            <w:tcW w:w="1985" w:type="dxa"/>
            <w:tcBorders>
              <w:bottom w:val="nil"/>
            </w:tcBorders>
          </w:tcPr>
          <w:p>
            <w:pPr>
              <w:pStyle w:val="TableParagraph"/>
              <w:spacing w:line="251" w:lineRule="exact"/>
              <w:rPr>
                <w:sz w:val="22"/>
              </w:rPr>
            </w:pPr>
            <w:r>
              <w:rPr>
                <w:sz w:val="22"/>
              </w:rPr>
              <w:t>¡Claro!,  hasta los</w:t>
            </w:r>
          </w:p>
        </w:tc>
      </w:tr>
      <w:tr>
        <w:trPr>
          <w:trHeight w:val="253" w:hRule="exact"/>
        </w:trPr>
        <w:tc>
          <w:tcPr>
            <w:tcW w:w="1385" w:type="dxa"/>
            <w:tcBorders>
              <w:top w:val="nil"/>
              <w:bottom w:val="nil"/>
            </w:tcBorders>
          </w:tcPr>
          <w:p>
            <w:pPr>
              <w:pStyle w:val="TableParagraph"/>
              <w:spacing w:line="242" w:lineRule="exact"/>
              <w:ind w:left="155"/>
              <w:rPr>
                <w:sz w:val="22"/>
              </w:rPr>
            </w:pPr>
            <w:r>
              <w:rPr>
                <w:sz w:val="22"/>
              </w:rPr>
              <w:t>(24/I/2015)</w:t>
            </w:r>
          </w:p>
        </w:tc>
        <w:tc>
          <w:tcPr>
            <w:tcW w:w="1418" w:type="dxa"/>
            <w:tcBorders>
              <w:top w:val="nil"/>
              <w:bottom w:val="nil"/>
            </w:tcBorders>
          </w:tcPr>
          <w:p>
            <w:pPr>
              <w:pStyle w:val="TableParagraph"/>
              <w:spacing w:line="242" w:lineRule="exact"/>
              <w:ind w:left="292" w:right="101"/>
              <w:rPr>
                <w:sz w:val="22"/>
              </w:rPr>
            </w:pPr>
            <w:r>
              <w:rPr>
                <w:sz w:val="22"/>
              </w:rPr>
              <w:t>la pesca</w:t>
            </w:r>
          </w:p>
        </w:tc>
        <w:tc>
          <w:tcPr>
            <w:tcW w:w="1841" w:type="dxa"/>
            <w:tcBorders>
              <w:top w:val="nil"/>
              <w:bottom w:val="nil"/>
            </w:tcBorders>
          </w:tcPr>
          <w:p>
            <w:pPr>
              <w:pStyle w:val="TableParagraph"/>
              <w:tabs>
                <w:tab w:pos="1117" w:val="left" w:leader="none"/>
                <w:tab w:pos="1556" w:val="left" w:leader="none"/>
              </w:tabs>
              <w:spacing w:line="242" w:lineRule="exact"/>
              <w:ind w:left="100"/>
              <w:rPr>
                <w:sz w:val="22"/>
              </w:rPr>
            </w:pPr>
            <w:r>
              <w:rPr>
                <w:sz w:val="22"/>
              </w:rPr>
              <w:t>nombre</w:t>
              <w:tab/>
              <w:t>ni</w:t>
              <w:tab/>
              <w:t>el</w:t>
            </w:r>
          </w:p>
        </w:tc>
        <w:tc>
          <w:tcPr>
            <w:tcW w:w="1135" w:type="dxa"/>
            <w:tcBorders>
              <w:top w:val="nil"/>
              <w:bottom w:val="nil"/>
            </w:tcBorders>
          </w:tcPr>
          <w:p>
            <w:pPr>
              <w:pStyle w:val="TableParagraph"/>
              <w:spacing w:line="242" w:lineRule="exact"/>
              <w:rPr>
                <w:sz w:val="22"/>
              </w:rPr>
            </w:pPr>
            <w:r>
              <w:rPr>
                <w:w w:val="100"/>
                <w:sz w:val="22"/>
              </w:rPr>
              <w:t>e</w:t>
            </w: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Style w:val="TableParagraph"/>
              <w:spacing w:line="242" w:lineRule="exact"/>
              <w:ind w:right="92"/>
              <w:rPr>
                <w:sz w:val="22"/>
              </w:rPr>
            </w:pPr>
            <w:r>
              <w:rPr>
                <w:sz w:val="22"/>
              </w:rPr>
              <w:t>campesin</w:t>
            </w:r>
          </w:p>
        </w:tc>
        <w:tc>
          <w:tcPr>
            <w:tcW w:w="1133" w:type="dxa"/>
            <w:tcBorders>
              <w:top w:val="nil"/>
              <w:bottom w:val="nil"/>
            </w:tcBorders>
          </w:tcPr>
          <w:p>
            <w:pPr>
              <w:pStyle w:val="TableParagraph"/>
              <w:spacing w:line="242" w:lineRule="exact"/>
              <w:ind w:left="100" w:right="52"/>
              <w:rPr>
                <w:sz w:val="22"/>
              </w:rPr>
            </w:pPr>
            <w:r>
              <w:rPr>
                <w:sz w:val="22"/>
              </w:rPr>
              <w:t>campesi</w:t>
            </w:r>
          </w:p>
        </w:tc>
        <w:tc>
          <w:tcPr>
            <w:tcW w:w="1702" w:type="dxa"/>
            <w:tcBorders>
              <w:top w:val="nil"/>
              <w:bottom w:val="nil"/>
            </w:tcBorders>
          </w:tcPr>
          <w:p>
            <w:pPr>
              <w:pStyle w:val="TableParagraph"/>
              <w:spacing w:line="242" w:lineRule="exact"/>
              <w:rPr>
                <w:sz w:val="22"/>
              </w:rPr>
            </w:pPr>
            <w:r>
              <w:rPr>
                <w:sz w:val="22"/>
              </w:rPr>
              <w:t>esa  laguna</w:t>
            </w:r>
            <w:r>
              <w:rPr>
                <w:spacing w:val="53"/>
                <w:sz w:val="22"/>
              </w:rPr>
              <w:t> </w:t>
            </w:r>
            <w:r>
              <w:rPr>
                <w:sz w:val="22"/>
              </w:rPr>
              <w:t>se</w:t>
            </w:r>
          </w:p>
        </w:tc>
        <w:tc>
          <w:tcPr>
            <w:tcW w:w="1985" w:type="dxa"/>
            <w:tcBorders>
              <w:top w:val="nil"/>
              <w:bottom w:val="nil"/>
            </w:tcBorders>
          </w:tcPr>
          <w:p>
            <w:pPr>
              <w:pStyle w:val="TableParagraph"/>
              <w:tabs>
                <w:tab w:pos="1640" w:val="left" w:leader="none"/>
              </w:tabs>
              <w:spacing w:line="242" w:lineRule="exact"/>
              <w:rPr>
                <w:sz w:val="22"/>
              </w:rPr>
            </w:pPr>
            <w:r>
              <w:rPr>
                <w:sz w:val="22"/>
              </w:rPr>
              <w:t>patitos</w:t>
              <w:tab/>
              <w:t>se</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1" w:lineRule="exact"/>
              <w:ind w:left="100"/>
              <w:rPr>
                <w:sz w:val="22"/>
              </w:rPr>
            </w:pPr>
            <w:r>
              <w:rPr>
                <w:sz w:val="22"/>
              </w:rPr>
              <w:t>número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Style w:val="TableParagraph"/>
              <w:tabs>
                <w:tab w:pos="1417" w:val="left" w:leader="none"/>
              </w:tabs>
              <w:spacing w:line="241" w:lineRule="exact"/>
              <w:rPr>
                <w:sz w:val="22"/>
              </w:rPr>
            </w:pPr>
            <w:r>
              <w:rPr>
                <w:sz w:val="22"/>
              </w:rPr>
              <w:t>mantiene</w:t>
              <w:tab/>
              <w:t>la</w:t>
            </w:r>
          </w:p>
        </w:tc>
        <w:tc>
          <w:tcPr>
            <w:tcW w:w="1985" w:type="dxa"/>
            <w:tcBorders>
              <w:top w:val="nil"/>
              <w:bottom w:val="nil"/>
            </w:tcBorders>
          </w:tcPr>
          <w:p>
            <w:pPr>
              <w:pStyle w:val="TableParagraph"/>
              <w:tabs>
                <w:tab w:pos="1153" w:val="left" w:leader="none"/>
                <w:tab w:pos="1628" w:val="left" w:leader="none"/>
              </w:tabs>
              <w:spacing w:line="241" w:lineRule="exact"/>
              <w:rPr>
                <w:sz w:val="22"/>
              </w:rPr>
            </w:pPr>
            <w:r>
              <w:rPr>
                <w:sz w:val="22"/>
              </w:rPr>
              <w:t>mueren,</w:t>
              <w:tab/>
              <w:t>ya</w:t>
              <w:tab/>
              <w:t>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tabs>
                <w:tab w:pos="1346" w:val="left" w:leader="none"/>
              </w:tabs>
              <w:spacing w:line="241" w:lineRule="exact"/>
              <w:rPr>
                <w:sz w:val="22"/>
              </w:rPr>
            </w:pPr>
            <w:r>
              <w:rPr>
                <w:sz w:val="22"/>
              </w:rPr>
              <w:t>pesca</w:t>
              <w:tab/>
              <w:t>de</w:t>
            </w:r>
          </w:p>
        </w:tc>
        <w:tc>
          <w:tcPr>
            <w:tcW w:w="1985" w:type="dxa"/>
            <w:tcBorders>
              <w:top w:val="nil"/>
              <w:bottom w:val="nil"/>
            </w:tcBorders>
          </w:tcPr>
          <w:p>
            <w:pPr>
              <w:pStyle w:val="TableParagraph"/>
              <w:tabs>
                <w:tab w:pos="1015" w:val="left" w:leader="none"/>
              </w:tabs>
              <w:spacing w:line="241" w:lineRule="exact"/>
              <w:rPr>
                <w:sz w:val="22"/>
              </w:rPr>
            </w:pPr>
            <w:r>
              <w:rPr>
                <w:sz w:val="22"/>
              </w:rPr>
              <w:t>hay</w:t>
              <w:tab/>
              <w:t>acociles,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ajolotes,</w:t>
            </w:r>
          </w:p>
        </w:tc>
        <w:tc>
          <w:tcPr>
            <w:tcW w:w="1985" w:type="dxa"/>
            <w:tcBorders>
              <w:top w:val="nil"/>
              <w:bottom w:val="nil"/>
            </w:tcBorders>
          </w:tcPr>
          <w:p>
            <w:pPr>
              <w:pStyle w:val="TableParagraph"/>
              <w:spacing w:line="242" w:lineRule="exact"/>
              <w:rPr>
                <w:sz w:val="22"/>
              </w:rPr>
            </w:pPr>
            <w:r>
              <w:rPr>
                <w:sz w:val="22"/>
              </w:rPr>
              <w:t>ranas,  ya  no hay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ambrojos,</w:t>
            </w:r>
          </w:p>
        </w:tc>
        <w:tc>
          <w:tcPr>
            <w:tcW w:w="1985" w:type="dxa"/>
            <w:tcBorders>
              <w:top w:val="nil"/>
              <w:bottom w:val="nil"/>
            </w:tcBorders>
          </w:tcPr>
          <w:p>
            <w:pPr>
              <w:pStyle w:val="TableParagraph"/>
              <w:spacing w:line="241" w:lineRule="exact"/>
              <w:rPr>
                <w:sz w:val="22"/>
              </w:rPr>
            </w:pPr>
            <w:r>
              <w:rPr>
                <w:sz w:val="22"/>
              </w:rPr>
              <w:t>pescado.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78" w:val="left" w:leader="none"/>
              </w:tabs>
              <w:spacing w:line="242" w:lineRule="exact"/>
              <w:rPr>
                <w:sz w:val="22"/>
              </w:rPr>
            </w:pPr>
            <w:r>
              <w:rPr>
                <w:sz w:val="22"/>
              </w:rPr>
              <w:t>acociles</w:t>
              <w:tab/>
              <w:t>y</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ranas.</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Elizabeth</w:t>
            </w:r>
          </w:p>
        </w:tc>
        <w:tc>
          <w:tcPr>
            <w:tcW w:w="1418" w:type="dxa"/>
            <w:tcBorders>
              <w:bottom w:val="nil"/>
            </w:tcBorders>
          </w:tcPr>
          <w:p>
            <w:pPr>
              <w:pStyle w:val="TableParagraph"/>
              <w:spacing w:line="251" w:lineRule="exact"/>
              <w:ind w:left="206" w:right="101"/>
              <w:rPr>
                <w:sz w:val="22"/>
              </w:rPr>
            </w:pPr>
            <w:r>
              <w:rPr>
                <w:sz w:val="22"/>
              </w:rPr>
              <w:t>El hogar y</w:t>
            </w:r>
          </w:p>
        </w:tc>
        <w:tc>
          <w:tcPr>
            <w:tcW w:w="1841" w:type="dxa"/>
            <w:tcBorders>
              <w:bottom w:val="nil"/>
            </w:tcBorders>
          </w:tcPr>
          <w:p>
            <w:pPr>
              <w:pStyle w:val="TableParagraph"/>
              <w:tabs>
                <w:tab w:pos="578" w:val="left" w:leader="none"/>
                <w:tab w:pos="1497" w:val="left" w:leader="none"/>
              </w:tabs>
              <w:spacing w:line="251" w:lineRule="exact"/>
              <w:ind w:left="100"/>
              <w:rPr>
                <w:sz w:val="22"/>
              </w:rPr>
            </w:pPr>
            <w:r>
              <w:rPr>
                <w:sz w:val="22"/>
              </w:rPr>
              <w:t>Su</w:t>
              <w:tab/>
              <w:t>esposo</w:t>
              <w:tab/>
              <w:t>es</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spacing w:line="251" w:lineRule="exact"/>
              <w:rPr>
                <w:sz w:val="22"/>
              </w:rPr>
            </w:pPr>
            <w:r>
              <w:rPr>
                <w:sz w:val="22"/>
              </w:rPr>
              <w:t>Sí   porque  de</w:t>
            </w:r>
          </w:p>
        </w:tc>
        <w:tc>
          <w:tcPr>
            <w:tcW w:w="1985" w:type="dxa"/>
            <w:tcBorders>
              <w:bottom w:val="nil"/>
            </w:tcBorders>
          </w:tcPr>
          <w:p>
            <w:pPr>
              <w:pStyle w:val="TableParagraph"/>
              <w:spacing w:line="251" w:lineRule="exact"/>
              <w:rPr>
                <w:sz w:val="22"/>
              </w:rPr>
            </w:pPr>
            <w:r>
              <w:rPr>
                <w:sz w:val="22"/>
              </w:rPr>
              <w:t>Sí como el ajolote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Valencia</w:t>
            </w:r>
          </w:p>
        </w:tc>
        <w:tc>
          <w:tcPr>
            <w:tcW w:w="1418" w:type="dxa"/>
            <w:tcBorders>
              <w:top w:val="nil"/>
              <w:bottom w:val="nil"/>
            </w:tcBorders>
          </w:tcPr>
          <w:p>
            <w:pPr>
              <w:pStyle w:val="TableParagraph"/>
              <w:spacing w:line="241" w:lineRule="exact"/>
              <w:ind w:left="168" w:right="101"/>
              <w:rPr>
                <w:sz w:val="22"/>
              </w:rPr>
            </w:pPr>
            <w:r>
              <w:rPr>
                <w:sz w:val="22"/>
              </w:rPr>
              <w:t>preparar el</w:t>
            </w:r>
          </w:p>
        </w:tc>
        <w:tc>
          <w:tcPr>
            <w:tcW w:w="1841" w:type="dxa"/>
            <w:tcBorders>
              <w:top w:val="nil"/>
              <w:bottom w:val="nil"/>
            </w:tcBorders>
          </w:tcPr>
          <w:p>
            <w:pPr>
              <w:pStyle w:val="TableParagraph"/>
              <w:tabs>
                <w:tab w:pos="1484" w:val="left" w:leader="none"/>
              </w:tabs>
              <w:spacing w:line="241" w:lineRule="exact"/>
              <w:ind w:left="100"/>
              <w:rPr>
                <w:sz w:val="22"/>
              </w:rPr>
            </w:pPr>
            <w:r>
              <w:rPr>
                <w:sz w:val="22"/>
              </w:rPr>
              <w:t>integrante</w:t>
              <w:tab/>
              <w:t>de</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Arenas,</w:t>
            </w:r>
          </w:p>
        </w:tc>
        <w:tc>
          <w:tcPr>
            <w:tcW w:w="1133" w:type="dxa"/>
            <w:tcBorders>
              <w:top w:val="nil"/>
              <w:bottom w:val="nil"/>
            </w:tcBorders>
          </w:tcPr>
          <w:p>
            <w:pPr>
              <w:pStyle w:val="TableParagraph"/>
              <w:spacing w:line="241" w:lineRule="exact"/>
              <w:ind w:left="100" w:right="52"/>
              <w:rPr>
                <w:sz w:val="22"/>
              </w:rPr>
            </w:pPr>
            <w:r>
              <w:rPr>
                <w:sz w:val="22"/>
              </w:rPr>
              <w:t>Arenas,</w:t>
            </w:r>
          </w:p>
        </w:tc>
        <w:tc>
          <w:tcPr>
            <w:tcW w:w="1702" w:type="dxa"/>
            <w:tcBorders>
              <w:top w:val="nil"/>
              <w:bottom w:val="nil"/>
            </w:tcBorders>
          </w:tcPr>
          <w:p>
            <w:pPr>
              <w:pStyle w:val="TableParagraph"/>
              <w:tabs>
                <w:tab w:pos="926" w:val="left" w:leader="none"/>
              </w:tabs>
              <w:spacing w:line="241" w:lineRule="exact"/>
              <w:rPr>
                <w:sz w:val="22"/>
              </w:rPr>
            </w:pPr>
            <w:r>
              <w:rPr>
                <w:sz w:val="22"/>
              </w:rPr>
              <w:t>ahí</w:t>
              <w:tab/>
              <w:t>mucha</w:t>
            </w:r>
          </w:p>
        </w:tc>
        <w:tc>
          <w:tcPr>
            <w:tcW w:w="1985" w:type="dxa"/>
            <w:tcBorders>
              <w:top w:val="nil"/>
              <w:bottom w:val="nil"/>
            </w:tcBorders>
          </w:tcPr>
          <w:p>
            <w:pPr>
              <w:pStyle w:val="TableParagraph"/>
              <w:spacing w:line="241" w:lineRule="exact"/>
              <w:rPr>
                <w:sz w:val="22"/>
              </w:rPr>
            </w:pPr>
            <w:r>
              <w:rPr>
                <w:sz w:val="22"/>
              </w:rPr>
              <w:t>está  muy</w:t>
            </w:r>
            <w:r>
              <w:rPr>
                <w:spacing w:val="57"/>
                <w:sz w:val="22"/>
              </w:rPr>
              <w:t> </w:t>
            </w:r>
            <w:r>
              <w:rPr>
                <w:sz w:val="22"/>
              </w:rPr>
              <w:t>escaso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285" w:right="101"/>
              <w:rPr>
                <w:sz w:val="22"/>
              </w:rPr>
            </w:pPr>
            <w:r>
              <w:rPr>
                <w:sz w:val="22"/>
              </w:rPr>
              <w:t>pescado</w:t>
            </w:r>
          </w:p>
        </w:tc>
        <w:tc>
          <w:tcPr>
            <w:tcW w:w="1841" w:type="dxa"/>
            <w:tcBorders>
              <w:top w:val="nil"/>
              <w:bottom w:val="nil"/>
            </w:tcBorders>
          </w:tcPr>
          <w:p>
            <w:pPr>
              <w:pStyle w:val="TableParagraph"/>
              <w:spacing w:line="241" w:lineRule="exact"/>
              <w:ind w:left="100"/>
              <w:rPr>
                <w:sz w:val="22"/>
              </w:rPr>
            </w:pPr>
            <w:r>
              <w:rPr>
                <w:sz w:val="22"/>
              </w:rPr>
              <w:t>una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Acambay</w:t>
            </w:r>
          </w:p>
        </w:tc>
        <w:tc>
          <w:tcPr>
            <w:tcW w:w="1702" w:type="dxa"/>
            <w:tcBorders>
              <w:top w:val="nil"/>
              <w:bottom w:val="nil"/>
            </w:tcBorders>
          </w:tcPr>
          <w:p>
            <w:pPr>
              <w:pStyle w:val="TableParagraph"/>
              <w:spacing w:line="241" w:lineRule="exact"/>
              <w:rPr>
                <w:sz w:val="22"/>
              </w:rPr>
            </w:pPr>
            <w:r>
              <w:rPr>
                <w:sz w:val="22"/>
              </w:rPr>
              <w:t>gente tenemos</w:t>
            </w:r>
          </w:p>
        </w:tc>
        <w:tc>
          <w:tcPr>
            <w:tcW w:w="1985" w:type="dxa"/>
            <w:tcBorders>
              <w:top w:val="nil"/>
              <w:bottom w:val="nil"/>
            </w:tcBorders>
          </w:tcPr>
          <w:p>
            <w:pPr>
              <w:pStyle w:val="TableParagraph"/>
              <w:spacing w:line="241" w:lineRule="exact"/>
              <w:rPr>
                <w:sz w:val="22"/>
              </w:rPr>
            </w:pPr>
            <w:r>
              <w:rPr>
                <w:sz w:val="22"/>
              </w:rPr>
              <w:t>y los sonfos.</w:t>
            </w:r>
          </w:p>
        </w:tc>
      </w:tr>
      <w:tr>
        <w:trPr>
          <w:trHeight w:val="253" w:hRule="exact"/>
        </w:trPr>
        <w:tc>
          <w:tcPr>
            <w:tcW w:w="1385" w:type="dxa"/>
            <w:tcBorders>
              <w:top w:val="nil"/>
              <w:bottom w:val="nil"/>
            </w:tcBorders>
          </w:tcPr>
          <w:p>
            <w:pPr>
              <w:pStyle w:val="TableParagraph"/>
              <w:spacing w:line="242" w:lineRule="exact"/>
              <w:rPr>
                <w:sz w:val="22"/>
              </w:rPr>
            </w:pPr>
            <w:r>
              <w:rPr>
                <w:sz w:val="22"/>
              </w:rPr>
              <w:t>(esposa  de</w:t>
            </w:r>
          </w:p>
        </w:tc>
        <w:tc>
          <w:tcPr>
            <w:tcW w:w="1418" w:type="dxa"/>
            <w:tcBorders>
              <w:top w:val="nil"/>
              <w:bottom w:val="nil"/>
            </w:tcBorders>
          </w:tcPr>
          <w:p>
            <w:pPr>
              <w:pStyle w:val="TableParagraph"/>
              <w:spacing w:line="242" w:lineRule="exact"/>
              <w:ind w:left="297" w:right="101"/>
              <w:rPr>
                <w:sz w:val="22"/>
              </w:rPr>
            </w:pPr>
            <w:r>
              <w:rPr>
                <w:sz w:val="22"/>
              </w:rPr>
              <w:t>para ir a</w:t>
            </w:r>
          </w:p>
        </w:tc>
        <w:tc>
          <w:tcPr>
            <w:tcW w:w="1841" w:type="dxa"/>
            <w:tcBorders>
              <w:top w:val="nil"/>
              <w:bottom w:val="nil"/>
            </w:tcBorders>
          </w:tcPr>
          <w:p>
            <w:pPr>
              <w:pStyle w:val="TableParagraph"/>
              <w:spacing w:line="242" w:lineRule="exact"/>
              <w:ind w:left="100"/>
              <w:rPr>
                <w:sz w:val="22"/>
              </w:rPr>
            </w:pPr>
            <w:r>
              <w:rPr>
                <w:sz w:val="22"/>
              </w:rPr>
              <w:t>cooperativa,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10" w:val="left" w:leader="none"/>
              </w:tabs>
              <w:spacing w:line="242" w:lineRule="exact"/>
              <w:rPr>
                <w:sz w:val="22"/>
              </w:rPr>
            </w:pPr>
            <w:r>
              <w:rPr>
                <w:sz w:val="22"/>
              </w:rPr>
              <w:t>empleo,</w:t>
              <w:tab/>
              <w:t>los</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un</w:t>
            </w:r>
          </w:p>
        </w:tc>
        <w:tc>
          <w:tcPr>
            <w:tcW w:w="1418" w:type="dxa"/>
            <w:tcBorders>
              <w:top w:val="nil"/>
              <w:bottom w:val="nil"/>
            </w:tcBorders>
          </w:tcPr>
          <w:p>
            <w:pPr>
              <w:pStyle w:val="TableParagraph"/>
              <w:spacing w:line="241" w:lineRule="exact"/>
              <w:ind w:left="211" w:right="101"/>
              <w:rPr>
                <w:sz w:val="22"/>
              </w:rPr>
            </w:pPr>
            <w:r>
              <w:rPr>
                <w:sz w:val="22"/>
              </w:rPr>
              <w:t>vender en</w:t>
            </w:r>
          </w:p>
        </w:tc>
        <w:tc>
          <w:tcPr>
            <w:tcW w:w="1841" w:type="dxa"/>
            <w:tcBorders>
              <w:top w:val="nil"/>
              <w:bottom w:val="nil"/>
            </w:tcBorders>
          </w:tcPr>
          <w:p>
            <w:pPr>
              <w:pStyle w:val="TableParagraph"/>
              <w:tabs>
                <w:tab w:pos="1485" w:val="left" w:leader="none"/>
              </w:tabs>
              <w:spacing w:line="241" w:lineRule="exact"/>
              <w:ind w:left="100"/>
              <w:rPr>
                <w:sz w:val="22"/>
              </w:rPr>
            </w:pPr>
            <w:r>
              <w:rPr>
                <w:sz w:val="22"/>
              </w:rPr>
              <w:t>pero</w:t>
              <w:tab/>
              <w:t>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35" w:val="left" w:leader="none"/>
              </w:tabs>
              <w:spacing w:line="241" w:lineRule="exact"/>
              <w:rPr>
                <w:sz w:val="22"/>
              </w:rPr>
            </w:pPr>
            <w:r>
              <w:rPr>
                <w:sz w:val="22"/>
              </w:rPr>
              <w:t>que</w:t>
              <w:tab/>
              <w:t>nos</w:t>
            </w:r>
          </w:p>
        </w:tc>
        <w:tc>
          <w:tcPr>
            <w:tcW w:w="1985" w:type="dxa"/>
            <w:tcBorders>
              <w:top w:val="nil"/>
              <w:bottom w:val="nil"/>
            </w:tcBorders>
          </w:tcPr>
          <w:p>
            <w:pPr/>
          </w:p>
        </w:tc>
      </w:tr>
      <w:tr>
        <w:trPr>
          <w:trHeight w:val="248" w:hRule="exact"/>
        </w:trPr>
        <w:tc>
          <w:tcPr>
            <w:tcW w:w="1385" w:type="dxa"/>
            <w:tcBorders>
              <w:top w:val="nil"/>
            </w:tcBorders>
          </w:tcPr>
          <w:p>
            <w:pPr>
              <w:pStyle w:val="TableParagraph"/>
              <w:spacing w:line="242" w:lineRule="exact"/>
              <w:ind w:right="127"/>
              <w:rPr>
                <w:sz w:val="22"/>
              </w:rPr>
            </w:pPr>
            <w:r>
              <w:rPr>
                <w:sz w:val="22"/>
              </w:rPr>
              <w:t>pescador)</w:t>
            </w:r>
          </w:p>
        </w:tc>
        <w:tc>
          <w:tcPr>
            <w:tcW w:w="1418" w:type="dxa"/>
            <w:tcBorders>
              <w:top w:val="nil"/>
            </w:tcBorders>
          </w:tcPr>
          <w:p>
            <w:pPr>
              <w:pStyle w:val="TableParagraph"/>
              <w:spacing w:line="242" w:lineRule="exact"/>
              <w:ind w:left="206" w:right="101"/>
              <w:rPr>
                <w:sz w:val="22"/>
              </w:rPr>
            </w:pPr>
            <w:r>
              <w:rPr>
                <w:sz w:val="22"/>
              </w:rPr>
              <w:t>el tianguis</w:t>
            </w:r>
          </w:p>
        </w:tc>
        <w:tc>
          <w:tcPr>
            <w:tcW w:w="1841" w:type="dxa"/>
            <w:tcBorders>
              <w:top w:val="nil"/>
            </w:tcBorders>
          </w:tcPr>
          <w:p>
            <w:pPr>
              <w:pStyle w:val="TableParagraph"/>
              <w:tabs>
                <w:tab w:pos="1557" w:val="left" w:leader="none"/>
              </w:tabs>
              <w:spacing w:line="242" w:lineRule="exact"/>
              <w:ind w:left="100"/>
              <w:rPr>
                <w:sz w:val="22"/>
              </w:rPr>
            </w:pPr>
            <w:r>
              <w:rPr>
                <w:sz w:val="22"/>
              </w:rPr>
              <w:t>recuerdo</w:t>
              <w:tab/>
              <w:t>el</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tabs>
                <w:tab w:pos="1418" w:val="left" w:leader="none"/>
              </w:tabs>
              <w:spacing w:line="242" w:lineRule="exact"/>
              <w:rPr>
                <w:sz w:val="22"/>
              </w:rPr>
            </w:pPr>
            <w:r>
              <w:rPr>
                <w:sz w:val="22"/>
              </w:rPr>
              <w:t>dedicamos</w:t>
              <w:tab/>
              <w:t>al</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353"/>
        <w:gridCol w:w="488"/>
        <w:gridCol w:w="1135"/>
        <w:gridCol w:w="991"/>
        <w:gridCol w:w="1277"/>
        <w:gridCol w:w="1133"/>
        <w:gridCol w:w="1702"/>
        <w:gridCol w:w="1985"/>
      </w:tblGrid>
      <w:tr>
        <w:trPr>
          <w:trHeight w:val="1022" w:hRule="exact"/>
        </w:trPr>
        <w:tc>
          <w:tcPr>
            <w:tcW w:w="1385" w:type="dxa"/>
          </w:tcPr>
          <w:p>
            <w:pPr>
              <w:pStyle w:val="TableParagraph"/>
              <w:spacing w:line="251" w:lineRule="exact"/>
              <w:ind w:right="127"/>
              <w:rPr>
                <w:sz w:val="22"/>
              </w:rPr>
            </w:pPr>
            <w:r>
              <w:rPr>
                <w:sz w:val="22"/>
              </w:rPr>
              <w:t>(31/I/2015)</w:t>
            </w:r>
          </w:p>
        </w:tc>
        <w:tc>
          <w:tcPr>
            <w:tcW w:w="1418" w:type="dxa"/>
          </w:tcPr>
          <w:p>
            <w:pPr>
              <w:pStyle w:val="TableParagraph"/>
              <w:ind w:left="225" w:right="226" w:hanging="5"/>
              <w:jc w:val="center"/>
              <w:rPr>
                <w:sz w:val="22"/>
              </w:rPr>
            </w:pPr>
            <w:r>
              <w:rPr>
                <w:sz w:val="22"/>
              </w:rPr>
              <w:t>de  Acambay los  domingos</w:t>
            </w:r>
          </w:p>
        </w:tc>
        <w:tc>
          <w:tcPr>
            <w:tcW w:w="1841" w:type="dxa"/>
            <w:gridSpan w:val="2"/>
          </w:tcPr>
          <w:p>
            <w:pPr>
              <w:pStyle w:val="TableParagraph"/>
              <w:ind w:left="100" w:right="99"/>
              <w:jc w:val="both"/>
              <w:rPr>
                <w:sz w:val="22"/>
              </w:rPr>
            </w:pPr>
            <w:r>
              <w:rPr>
                <w:sz w:val="22"/>
              </w:rPr>
              <w:t>nombre, ni el número de integrantes.</w:t>
            </w: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ind w:right="98"/>
              <w:jc w:val="both"/>
              <w:rPr>
                <w:sz w:val="22"/>
              </w:rPr>
            </w:pPr>
            <w:r>
              <w:rPr>
                <w:sz w:val="22"/>
              </w:rPr>
              <w:t>pescado  de ahí sacamos para comer.</w:t>
            </w:r>
          </w:p>
        </w:tc>
        <w:tc>
          <w:tcPr>
            <w:tcW w:w="1985" w:type="dxa"/>
          </w:tcPr>
          <w:p>
            <w:pPr/>
          </w:p>
        </w:tc>
      </w:tr>
      <w:tr>
        <w:trPr>
          <w:trHeight w:val="1275" w:hRule="exact"/>
        </w:trPr>
        <w:tc>
          <w:tcPr>
            <w:tcW w:w="1385" w:type="dxa"/>
          </w:tcPr>
          <w:p>
            <w:pPr>
              <w:pStyle w:val="TableParagraph"/>
              <w:ind w:right="188"/>
              <w:rPr>
                <w:sz w:val="22"/>
              </w:rPr>
            </w:pPr>
            <w:r>
              <w:rPr>
                <w:sz w:val="22"/>
              </w:rPr>
              <w:t>Agustín Santiago Valentín (31/I/2015)</w:t>
            </w:r>
          </w:p>
        </w:tc>
        <w:tc>
          <w:tcPr>
            <w:tcW w:w="1418" w:type="dxa"/>
          </w:tcPr>
          <w:p>
            <w:pPr>
              <w:pStyle w:val="TableParagraph"/>
              <w:spacing w:line="252" w:lineRule="exact" w:before="2"/>
              <w:ind w:left="292" w:right="145" w:hanging="137"/>
              <w:rPr>
                <w:sz w:val="22"/>
              </w:rPr>
            </w:pPr>
            <w:r>
              <w:rPr>
                <w:sz w:val="22"/>
              </w:rPr>
              <w:t>El campo y la pesca</w:t>
            </w:r>
          </w:p>
        </w:tc>
        <w:tc>
          <w:tcPr>
            <w:tcW w:w="1841" w:type="dxa"/>
            <w:gridSpan w:val="2"/>
          </w:tcPr>
          <w:p>
            <w:pPr>
              <w:pStyle w:val="TableParagraph"/>
              <w:spacing w:line="250" w:lineRule="exact"/>
              <w:ind w:left="100"/>
              <w:rPr>
                <w:sz w:val="22"/>
              </w:rPr>
            </w:pPr>
            <w:r>
              <w:rPr>
                <w:sz w:val="22"/>
              </w:rPr>
              <w:t>Cooperativa</w:t>
            </w:r>
          </w:p>
          <w:p>
            <w:pPr>
              <w:pStyle w:val="TableParagraph"/>
              <w:spacing w:line="252" w:lineRule="exact"/>
              <w:ind w:left="100"/>
              <w:rPr>
                <w:sz w:val="22"/>
              </w:rPr>
            </w:pPr>
            <w:r>
              <w:rPr>
                <w:sz w:val="22"/>
              </w:rPr>
              <w:t>“Pescarenas”</w:t>
            </w:r>
          </w:p>
        </w:tc>
        <w:tc>
          <w:tcPr>
            <w:tcW w:w="1135" w:type="dxa"/>
          </w:tcPr>
          <w:p>
            <w:pPr>
              <w:pStyle w:val="TableParagraph"/>
              <w:spacing w:line="252" w:lineRule="exact" w:before="2"/>
              <w:ind w:right="134"/>
              <w:rPr>
                <w:sz w:val="22"/>
              </w:rPr>
            </w:pPr>
            <w:r>
              <w:rPr>
                <w:sz w:val="22"/>
              </w:rPr>
              <w:t>Integrant e</w:t>
            </w:r>
          </w:p>
        </w:tc>
        <w:tc>
          <w:tcPr>
            <w:tcW w:w="991" w:type="dxa"/>
          </w:tcPr>
          <w:p>
            <w:pPr>
              <w:pStyle w:val="TableParagraph"/>
              <w:spacing w:line="252" w:lineRule="exact" w:before="2"/>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1702" w:type="dxa"/>
          </w:tcPr>
          <w:p>
            <w:pPr>
              <w:pStyle w:val="TableParagraph"/>
              <w:tabs>
                <w:tab w:pos="705" w:val="left" w:leader="none"/>
                <w:tab w:pos="1417" w:val="left" w:leader="none"/>
              </w:tabs>
              <w:spacing w:line="250" w:lineRule="exact"/>
              <w:rPr>
                <w:sz w:val="22"/>
              </w:rPr>
            </w:pPr>
            <w:r>
              <w:rPr>
                <w:sz w:val="22"/>
              </w:rPr>
              <w:t>Sí</w:t>
              <w:tab/>
              <w:t>por</w:t>
              <w:tab/>
              <w:t>el</w:t>
            </w:r>
          </w:p>
          <w:p>
            <w:pPr>
              <w:pStyle w:val="TableParagraph"/>
              <w:tabs>
                <w:tab w:pos="1220" w:val="left" w:leader="none"/>
              </w:tabs>
              <w:spacing w:line="252" w:lineRule="exact"/>
              <w:rPr>
                <w:sz w:val="22"/>
              </w:rPr>
            </w:pPr>
            <w:r>
              <w:rPr>
                <w:sz w:val="22"/>
              </w:rPr>
              <w:t>trabajo</w:t>
              <w:tab/>
              <w:t>que</w:t>
            </w:r>
          </w:p>
          <w:p>
            <w:pPr>
              <w:pStyle w:val="TableParagraph"/>
              <w:tabs>
                <w:tab w:pos="1221" w:val="left" w:leader="none"/>
              </w:tabs>
              <w:spacing w:line="252" w:lineRule="exact" w:before="1"/>
              <w:rPr>
                <w:sz w:val="22"/>
              </w:rPr>
            </w:pPr>
            <w:r>
              <w:rPr>
                <w:sz w:val="22"/>
              </w:rPr>
              <w:t>hay</w:t>
              <w:tab/>
              <w:t>ahí,</w:t>
            </w:r>
          </w:p>
          <w:p>
            <w:pPr>
              <w:pStyle w:val="TableParagraph"/>
              <w:tabs>
                <w:tab w:pos="1346" w:val="left" w:leader="none"/>
              </w:tabs>
              <w:ind w:right="98"/>
              <w:rPr>
                <w:sz w:val="22"/>
              </w:rPr>
            </w:pPr>
            <w:r>
              <w:rPr>
                <w:sz w:val="22"/>
              </w:rPr>
              <w:t>algunos</w:t>
              <w:tab/>
              <w:t>de eso</w:t>
            </w:r>
            <w:r>
              <w:rPr>
                <w:spacing w:val="-6"/>
                <w:sz w:val="22"/>
              </w:rPr>
              <w:t> </w:t>
            </w:r>
            <w:r>
              <w:rPr>
                <w:sz w:val="22"/>
              </w:rPr>
              <w:t>viven.</w:t>
            </w:r>
          </w:p>
        </w:tc>
        <w:tc>
          <w:tcPr>
            <w:tcW w:w="1985" w:type="dxa"/>
          </w:tcPr>
          <w:p>
            <w:pPr>
              <w:pStyle w:val="TableParagraph"/>
              <w:ind w:right="100"/>
              <w:jc w:val="both"/>
              <w:rPr>
                <w:sz w:val="22"/>
              </w:rPr>
            </w:pPr>
            <w:r>
              <w:rPr>
                <w:sz w:val="22"/>
              </w:rPr>
              <w:t>Sí, el ajolote, los acociles, las carpas ya no hay muchas.</w:t>
            </w:r>
          </w:p>
        </w:tc>
      </w:tr>
      <w:tr>
        <w:trPr>
          <w:trHeight w:val="266" w:hRule="exact"/>
        </w:trPr>
        <w:tc>
          <w:tcPr>
            <w:tcW w:w="1385" w:type="dxa"/>
            <w:tcBorders>
              <w:bottom w:val="nil"/>
            </w:tcBorders>
          </w:tcPr>
          <w:p>
            <w:pPr>
              <w:pStyle w:val="TableParagraph"/>
              <w:spacing w:line="251" w:lineRule="exact"/>
              <w:rPr>
                <w:sz w:val="22"/>
              </w:rPr>
            </w:pPr>
            <w:r>
              <w:rPr>
                <w:sz w:val="22"/>
              </w:rPr>
              <w:t>Felix  Rivas</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353" w:type="dxa"/>
            <w:tcBorders>
              <w:bottom w:val="nil"/>
              <w:right w:val="nil"/>
            </w:tcBorders>
          </w:tcPr>
          <w:p>
            <w:pPr>
              <w:pStyle w:val="TableParagraph"/>
              <w:spacing w:line="251" w:lineRule="exact"/>
              <w:ind w:left="100"/>
              <w:rPr>
                <w:sz w:val="22"/>
              </w:rPr>
            </w:pPr>
            <w:r>
              <w:rPr>
                <w:sz w:val="22"/>
              </w:rPr>
              <w:t>Cooperativa</w:t>
            </w:r>
          </w:p>
        </w:tc>
        <w:tc>
          <w:tcPr>
            <w:tcW w:w="488" w:type="dxa"/>
            <w:tcBorders>
              <w:left w:val="nil"/>
              <w:bottom w:val="nil"/>
            </w:tcBorders>
          </w:tcPr>
          <w:p>
            <w:pPr>
              <w:pStyle w:val="TableParagraph"/>
              <w:spacing w:line="251" w:lineRule="exact"/>
              <w:ind w:left="87" w:right="81"/>
              <w:jc w:val="center"/>
              <w:rPr>
                <w:sz w:val="22"/>
              </w:rPr>
            </w:pPr>
            <w:r>
              <w:rPr>
                <w:sz w:val="22"/>
              </w:rPr>
              <w:t>“El</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Sí  porque</w:t>
            </w:r>
            <w:r>
              <w:rPr>
                <w:spacing w:val="53"/>
                <w:sz w:val="22"/>
              </w:rPr>
              <w:t> </w:t>
            </w:r>
            <w:r>
              <w:rPr>
                <w:sz w:val="22"/>
              </w:rPr>
              <w:t>con</w:t>
            </w:r>
          </w:p>
        </w:tc>
        <w:tc>
          <w:tcPr>
            <w:tcW w:w="1985" w:type="dxa"/>
            <w:tcBorders>
              <w:bottom w:val="nil"/>
            </w:tcBorders>
          </w:tcPr>
          <w:p>
            <w:pPr>
              <w:pStyle w:val="TableParagraph"/>
              <w:spacing w:line="251" w:lineRule="exact"/>
              <w:rPr>
                <w:sz w:val="22"/>
              </w:rPr>
            </w:pPr>
            <w:r>
              <w:rPr>
                <w:sz w:val="22"/>
              </w:rPr>
              <w:t>Sí, por ejemplo</w:t>
            </w:r>
            <w:r>
              <w:rPr>
                <w:spacing w:val="54"/>
                <w:sz w:val="22"/>
              </w:rPr>
              <w:t> </w:t>
            </w:r>
            <w:r>
              <w:rPr>
                <w:sz w:val="22"/>
              </w:rPr>
              <w:t>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Huitrón</w:t>
            </w:r>
          </w:p>
        </w:tc>
        <w:tc>
          <w:tcPr>
            <w:tcW w:w="1418" w:type="dxa"/>
            <w:tcBorders>
              <w:top w:val="nil"/>
              <w:bottom w:val="nil"/>
            </w:tcBorders>
          </w:tcPr>
          <w:p>
            <w:pPr>
              <w:pStyle w:val="TableParagraph"/>
              <w:spacing w:line="241" w:lineRule="exact"/>
              <w:ind w:left="102" w:right="102"/>
              <w:jc w:val="center"/>
              <w:rPr>
                <w:sz w:val="22"/>
              </w:rPr>
            </w:pPr>
            <w:r>
              <w:rPr>
                <w:sz w:val="22"/>
              </w:rPr>
              <w:t>la pesca</w:t>
            </w:r>
          </w:p>
        </w:tc>
        <w:tc>
          <w:tcPr>
            <w:tcW w:w="1353" w:type="dxa"/>
            <w:tcBorders>
              <w:top w:val="nil"/>
              <w:bottom w:val="nil"/>
              <w:right w:val="nil"/>
            </w:tcBorders>
          </w:tcPr>
          <w:p>
            <w:pPr>
              <w:pStyle w:val="TableParagraph"/>
              <w:spacing w:line="241" w:lineRule="exact"/>
              <w:ind w:left="100"/>
              <w:rPr>
                <w:sz w:val="22"/>
              </w:rPr>
            </w:pPr>
            <w:r>
              <w:rPr>
                <w:sz w:val="22"/>
              </w:rPr>
              <w:t>Tezontle”</w:t>
            </w:r>
          </w:p>
        </w:tc>
        <w:tc>
          <w:tcPr>
            <w:tcW w:w="488" w:type="dxa"/>
            <w:tcBorders>
              <w:top w:val="nil"/>
              <w:left w:val="nil"/>
              <w:bottom w:val="nil"/>
            </w:tcBorders>
          </w:tcPr>
          <w:p>
            <w:pPr>
              <w:pStyle w:val="TableParagraph"/>
              <w:spacing w:line="241" w:lineRule="exact"/>
              <w:ind w:left="90" w:right="8"/>
              <w:jc w:val="center"/>
              <w:rPr>
                <w:sz w:val="22"/>
              </w:rPr>
            </w:pPr>
            <w:r>
              <w:rPr>
                <w:sz w:val="22"/>
              </w:rPr>
              <w:t>(5</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tabs>
                <w:tab w:pos="1233" w:val="left" w:leader="none"/>
              </w:tabs>
              <w:spacing w:line="241" w:lineRule="exact"/>
              <w:rPr>
                <w:sz w:val="22"/>
              </w:rPr>
            </w:pPr>
            <w:r>
              <w:rPr>
                <w:sz w:val="22"/>
              </w:rPr>
              <w:t>ella</w:t>
              <w:tab/>
              <w:t>nos</w:t>
            </w:r>
          </w:p>
        </w:tc>
        <w:tc>
          <w:tcPr>
            <w:tcW w:w="1985" w:type="dxa"/>
            <w:tcBorders>
              <w:top w:val="nil"/>
              <w:bottom w:val="nil"/>
            </w:tcBorders>
          </w:tcPr>
          <w:p>
            <w:pPr>
              <w:pStyle w:val="TableParagraph"/>
              <w:tabs>
                <w:tab w:pos="1593" w:val="left" w:leader="none"/>
              </w:tabs>
              <w:spacing w:line="241" w:lineRule="exact"/>
              <w:rPr>
                <w:sz w:val="22"/>
              </w:rPr>
            </w:pPr>
            <w:r>
              <w:rPr>
                <w:sz w:val="22"/>
              </w:rPr>
              <w:t>ajolote,</w:t>
              <w:tab/>
              <w:t>las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(7/II/2015)</w:t>
            </w:r>
          </w:p>
        </w:tc>
        <w:tc>
          <w:tcPr>
            <w:tcW w:w="1418" w:type="dxa"/>
            <w:tcBorders>
              <w:top w:val="nil"/>
              <w:bottom w:val="nil"/>
            </w:tcBorders>
          </w:tcPr>
          <w:p>
            <w:pPr/>
          </w:p>
        </w:tc>
        <w:tc>
          <w:tcPr>
            <w:tcW w:w="1353" w:type="dxa"/>
            <w:tcBorders>
              <w:top w:val="nil"/>
              <w:bottom w:val="nil"/>
              <w:right w:val="nil"/>
            </w:tcBorders>
          </w:tcPr>
          <w:p>
            <w:pPr>
              <w:pStyle w:val="TableParagraph"/>
              <w:spacing w:line="242" w:lineRule="exact"/>
              <w:ind w:left="100"/>
              <w:rPr>
                <w:sz w:val="22"/>
              </w:rPr>
            </w:pPr>
            <w:r>
              <w:rPr>
                <w:sz w:val="22"/>
              </w:rPr>
              <w:t>integrantes)</w:t>
            </w: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spacing w:line="242" w:lineRule="exact"/>
              <w:rPr>
                <w:sz w:val="22"/>
              </w:rPr>
            </w:pPr>
            <w:r>
              <w:rPr>
                <w:sz w:val="22"/>
              </w:rPr>
              <w:t>beneficiamos</w:t>
            </w:r>
          </w:p>
        </w:tc>
        <w:tc>
          <w:tcPr>
            <w:tcW w:w="1985" w:type="dxa"/>
            <w:tcBorders>
              <w:top w:val="nil"/>
              <w:bottom w:val="nil"/>
            </w:tcBorders>
          </w:tcPr>
          <w:p>
            <w:pPr>
              <w:pStyle w:val="TableParagraph"/>
              <w:tabs>
                <w:tab w:pos="1592" w:val="left" w:leader="none"/>
              </w:tabs>
              <w:spacing w:line="242" w:lineRule="exact"/>
              <w:rPr>
                <w:sz w:val="22"/>
              </w:rPr>
            </w:pPr>
            <w:r>
              <w:rPr>
                <w:sz w:val="22"/>
              </w:rPr>
              <w:t>tortugas,</w:t>
              <w:tab/>
              <w:t>las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Pr>
                <w:sz w:val="22"/>
              </w:rPr>
            </w:pPr>
            <w:r>
              <w:rPr>
                <w:w w:val="100"/>
                <w:sz w:val="22"/>
              </w:rPr>
              <w:t>.</w:t>
            </w:r>
          </w:p>
        </w:tc>
        <w:tc>
          <w:tcPr>
            <w:tcW w:w="1702" w:type="dxa"/>
            <w:tcBorders>
              <w:top w:val="nil"/>
              <w:bottom w:val="nil"/>
            </w:tcBorders>
          </w:tcPr>
          <w:p>
            <w:pPr>
              <w:pStyle w:val="TableParagraph"/>
              <w:spacing w:line="241" w:lineRule="exact"/>
              <w:rPr>
                <w:sz w:val="22"/>
              </w:rPr>
            </w:pPr>
            <w:r>
              <w:rPr>
                <w:sz w:val="22"/>
              </w:rPr>
              <w:t>muchísima</w:t>
            </w:r>
          </w:p>
        </w:tc>
        <w:tc>
          <w:tcPr>
            <w:tcW w:w="1985" w:type="dxa"/>
            <w:tcBorders>
              <w:top w:val="nil"/>
              <w:bottom w:val="nil"/>
            </w:tcBorders>
          </w:tcPr>
          <w:p>
            <w:pPr>
              <w:pStyle w:val="TableParagraph"/>
              <w:spacing w:line="241" w:lineRule="exact"/>
              <w:rPr>
                <w:sz w:val="22"/>
              </w:rPr>
            </w:pPr>
            <w:r>
              <w:rPr>
                <w:sz w:val="22"/>
              </w:rPr>
              <w:t>ranas,  los sonfos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58" w:val="left" w:leader="none"/>
                <w:tab w:pos="1417" w:val="left" w:leader="none"/>
              </w:tabs>
              <w:spacing w:line="242" w:lineRule="exact"/>
              <w:rPr>
                <w:sz w:val="22"/>
              </w:rPr>
            </w:pPr>
            <w:r>
              <w:rPr>
                <w:sz w:val="22"/>
              </w:rPr>
              <w:t>gente</w:t>
              <w:tab/>
              <w:t>con</w:t>
              <w:tab/>
              <w:t>la</w:t>
            </w:r>
          </w:p>
        </w:tc>
        <w:tc>
          <w:tcPr>
            <w:tcW w:w="1985" w:type="dxa"/>
            <w:tcBorders>
              <w:top w:val="nil"/>
              <w:bottom w:val="nil"/>
            </w:tcBorders>
          </w:tcPr>
          <w:p>
            <w:pPr>
              <w:pStyle w:val="TableParagraph"/>
              <w:spacing w:line="242" w:lineRule="exact"/>
              <w:rPr>
                <w:sz w:val="22"/>
              </w:rPr>
            </w:pPr>
            <w:r>
              <w:rPr>
                <w:sz w:val="22"/>
              </w:rPr>
              <w:t>y el sardinito.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pesca,   con  el</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9" w:val="left" w:leader="none"/>
              </w:tabs>
              <w:spacing w:line="241" w:lineRule="exact"/>
              <w:rPr>
                <w:sz w:val="22"/>
              </w:rPr>
            </w:pPr>
            <w:r>
              <w:rPr>
                <w:sz w:val="22"/>
              </w:rPr>
              <w:t>agua</w:t>
              <w:tab/>
              <w:t>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39" w:val="left" w:leader="none"/>
              </w:tabs>
              <w:spacing w:line="242" w:lineRule="exact"/>
              <w:rPr>
                <w:sz w:val="22"/>
              </w:rPr>
            </w:pPr>
            <w:r>
              <w:rPr>
                <w:sz w:val="22"/>
              </w:rPr>
              <w:t>riego,</w:t>
              <w:tab/>
              <w:t>toditito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31" w:val="left" w:leader="none"/>
                <w:tab w:pos="1417" w:val="left" w:leader="none"/>
              </w:tabs>
              <w:spacing w:line="241" w:lineRule="exact"/>
              <w:rPr>
                <w:sz w:val="22"/>
              </w:rPr>
            </w:pPr>
            <w:r>
              <w:rPr>
                <w:sz w:val="22"/>
              </w:rPr>
              <w:t>eso,</w:t>
              <w:tab/>
              <w:t>usan</w:t>
              <w:tab/>
              <w:t>el</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9" w:val="left" w:leader="none"/>
              </w:tabs>
              <w:spacing w:line="243" w:lineRule="exact"/>
              <w:rPr>
                <w:sz w:val="22"/>
              </w:rPr>
            </w:pPr>
            <w:r>
              <w:rPr>
                <w:sz w:val="22"/>
              </w:rPr>
              <w:t>agua</w:t>
              <w:tab/>
              <w:t>para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5" w:val="left" w:leader="none"/>
              </w:tabs>
              <w:spacing w:line="241" w:lineRule="exact"/>
              <w:rPr>
                <w:sz w:val="22"/>
              </w:rPr>
            </w:pPr>
            <w:r>
              <w:rPr>
                <w:sz w:val="22"/>
              </w:rPr>
              <w:t>riego</w:t>
              <w:tab/>
              <w:t>en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Polotitlán,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Encinillas  y  el</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06" w:val="left" w:leader="none"/>
              </w:tabs>
              <w:spacing w:line="241" w:lineRule="exact"/>
              <w:rPr>
                <w:sz w:val="22"/>
              </w:rPr>
            </w:pPr>
            <w:r>
              <w:rPr>
                <w:sz w:val="22"/>
              </w:rPr>
              <w:t>agua</w:t>
              <w:tab/>
              <w:t>también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10" w:val="left" w:leader="none"/>
              </w:tabs>
              <w:spacing w:line="242" w:lineRule="exact"/>
              <w:rPr>
                <w:sz w:val="22"/>
              </w:rPr>
            </w:pPr>
            <w:r>
              <w:rPr>
                <w:sz w:val="22"/>
              </w:rPr>
              <w:t>para</w:t>
              <w:tab/>
              <w:t>los</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353" w:type="dxa"/>
            <w:tcBorders>
              <w:top w:val="nil"/>
              <w:right w:val="nil"/>
            </w:tcBorders>
          </w:tcPr>
          <w:p>
            <w:pPr/>
          </w:p>
        </w:tc>
        <w:tc>
          <w:tcPr>
            <w:tcW w:w="488" w:type="dxa"/>
            <w:tcBorders>
              <w:top w:val="nil"/>
              <w:left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animales.</w:t>
            </w: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Emigdio</w:t>
            </w:r>
          </w:p>
        </w:tc>
        <w:tc>
          <w:tcPr>
            <w:tcW w:w="1418" w:type="dxa"/>
            <w:tcBorders>
              <w:bottom w:val="nil"/>
            </w:tcBorders>
          </w:tcPr>
          <w:p>
            <w:pPr>
              <w:pStyle w:val="TableParagraph"/>
              <w:ind w:left="100" w:right="104"/>
              <w:jc w:val="center"/>
              <w:rPr>
                <w:sz w:val="22"/>
              </w:rPr>
            </w:pPr>
            <w:r>
              <w:rPr>
                <w:sz w:val="22"/>
              </w:rPr>
              <w:t>Campesino</w:t>
            </w:r>
          </w:p>
        </w:tc>
        <w:tc>
          <w:tcPr>
            <w:tcW w:w="1353" w:type="dxa"/>
            <w:tcBorders>
              <w:bottom w:val="nil"/>
              <w:right w:val="nil"/>
            </w:tcBorders>
          </w:tcPr>
          <w:p>
            <w:pPr>
              <w:pStyle w:val="TableParagraph"/>
              <w:ind w:left="100"/>
              <w:rPr>
                <w:sz w:val="22"/>
              </w:rPr>
            </w:pPr>
            <w:r>
              <w:rPr>
                <w:sz w:val="22"/>
              </w:rPr>
              <w:t>Cooperativa</w:t>
            </w:r>
          </w:p>
        </w:tc>
        <w:tc>
          <w:tcPr>
            <w:tcW w:w="488" w:type="dxa"/>
            <w:tcBorders>
              <w:left w:val="nil"/>
              <w:bottom w:val="nil"/>
            </w:tcBorders>
          </w:tcPr>
          <w:p>
            <w:pPr>
              <w:pStyle w:val="TableParagraph"/>
              <w:ind w:left="87" w:right="81"/>
              <w:jc w:val="center"/>
              <w:rPr>
                <w:sz w:val="22"/>
              </w:rPr>
            </w:pPr>
            <w:r>
              <w:rPr>
                <w:sz w:val="22"/>
              </w:rPr>
              <w:t>“El</w:t>
            </w:r>
          </w:p>
        </w:tc>
        <w:tc>
          <w:tcPr>
            <w:tcW w:w="1135" w:type="dxa"/>
            <w:tcBorders>
              <w:bottom w:val="nil"/>
            </w:tcBorders>
          </w:tcPr>
          <w:p>
            <w:pPr>
              <w:pStyle w:val="TableParagraph"/>
              <w:rPr>
                <w:sz w:val="22"/>
              </w:rPr>
            </w:pPr>
            <w:r>
              <w:rPr>
                <w:sz w:val="22"/>
              </w:rPr>
              <w:t>Presiden</w:t>
            </w:r>
          </w:p>
        </w:tc>
        <w:tc>
          <w:tcPr>
            <w:tcW w:w="991" w:type="dxa"/>
            <w:tcBorders>
              <w:bottom w:val="nil"/>
            </w:tcBorders>
          </w:tcPr>
          <w:p>
            <w:pPr>
              <w:pStyle w:val="TableParagraph"/>
              <w:ind w:left="100"/>
              <w:rPr>
                <w:sz w:val="22"/>
              </w:rPr>
            </w:pPr>
            <w:r>
              <w:rPr>
                <w:sz w:val="22"/>
              </w:rPr>
              <w:t>Jilotepe</w:t>
            </w:r>
          </w:p>
        </w:tc>
        <w:tc>
          <w:tcPr>
            <w:tcW w:w="1277" w:type="dxa"/>
            <w:tcBorders>
              <w:bottom w:val="nil"/>
            </w:tcBorders>
          </w:tcPr>
          <w:p>
            <w:pPr>
              <w:pStyle w:val="TableParagraph"/>
              <w:ind w:right="92"/>
              <w:rPr>
                <w:sz w:val="22"/>
              </w:rPr>
            </w:pPr>
            <w:r>
              <w:rPr>
                <w:sz w:val="22"/>
              </w:rPr>
              <w:t>Aldama</w:t>
            </w:r>
          </w:p>
        </w:tc>
        <w:tc>
          <w:tcPr>
            <w:tcW w:w="1133" w:type="dxa"/>
            <w:tcBorders>
              <w:bottom w:val="nil"/>
            </w:tcBorders>
          </w:tcPr>
          <w:p>
            <w:pPr>
              <w:pStyle w:val="TableParagraph"/>
              <w:ind w:left="100" w:right="52"/>
              <w:rPr>
                <w:sz w:val="22"/>
              </w:rPr>
            </w:pPr>
            <w:r>
              <w:rPr>
                <w:sz w:val="22"/>
              </w:rPr>
              <w:t>Aldama</w:t>
            </w:r>
          </w:p>
        </w:tc>
        <w:tc>
          <w:tcPr>
            <w:tcW w:w="1702" w:type="dxa"/>
            <w:tcBorders>
              <w:bottom w:val="nil"/>
            </w:tcBorders>
          </w:tcPr>
          <w:p>
            <w:pPr>
              <w:pStyle w:val="TableParagraph"/>
              <w:tabs>
                <w:tab w:pos="901" w:val="left" w:leader="none"/>
              </w:tabs>
              <w:rPr>
                <w:sz w:val="22"/>
              </w:rPr>
            </w:pPr>
            <w:r>
              <w:rPr>
                <w:sz w:val="22"/>
              </w:rPr>
              <w:t>Sí</w:t>
              <w:tab/>
              <w:t>porque</w:t>
            </w:r>
          </w:p>
        </w:tc>
        <w:tc>
          <w:tcPr>
            <w:tcW w:w="1985" w:type="dxa"/>
            <w:tcBorders>
              <w:bottom w:val="nil"/>
            </w:tcBorders>
          </w:tcPr>
          <w:p>
            <w:pPr>
              <w:pStyle w:val="TableParagraph"/>
              <w:rPr>
                <w:sz w:val="22"/>
              </w:rPr>
            </w:pPr>
            <w:r>
              <w:rPr>
                <w:sz w:val="22"/>
              </w:rPr>
              <w:t>Yo digo que sí, ya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418" w:type="dxa"/>
            <w:tcBorders>
              <w:top w:val="nil"/>
              <w:bottom w:val="nil"/>
            </w:tcBorders>
          </w:tcPr>
          <w:p>
            <w:pPr>
              <w:pStyle w:val="TableParagraph"/>
              <w:spacing w:line="241" w:lineRule="exact"/>
              <w:ind w:left="101" w:right="104"/>
              <w:jc w:val="center"/>
              <w:rPr>
                <w:sz w:val="22"/>
              </w:rPr>
            </w:pPr>
            <w:r>
              <w:rPr>
                <w:sz w:val="22"/>
              </w:rPr>
              <w:t>y pescador</w:t>
            </w:r>
          </w:p>
        </w:tc>
        <w:tc>
          <w:tcPr>
            <w:tcW w:w="1353" w:type="dxa"/>
            <w:tcBorders>
              <w:top w:val="nil"/>
              <w:bottom w:val="nil"/>
              <w:right w:val="nil"/>
            </w:tcBorders>
          </w:tcPr>
          <w:p>
            <w:pPr>
              <w:pStyle w:val="TableParagraph"/>
              <w:spacing w:line="241" w:lineRule="exact"/>
              <w:ind w:left="100"/>
              <w:rPr>
                <w:sz w:val="22"/>
              </w:rPr>
            </w:pPr>
            <w:r>
              <w:rPr>
                <w:sz w:val="22"/>
              </w:rPr>
              <w:t>Rinconcito”</w:t>
            </w:r>
          </w:p>
        </w:tc>
        <w:tc>
          <w:tcPr>
            <w:tcW w:w="488" w:type="dxa"/>
            <w:tcBorders>
              <w:top w:val="nil"/>
              <w:left w:val="nil"/>
              <w:bottom w:val="nil"/>
            </w:tcBorders>
          </w:tcPr>
          <w:p>
            <w:pPr>
              <w:pStyle w:val="TableParagraph"/>
              <w:spacing w:line="241" w:lineRule="exact"/>
              <w:ind w:left="44" w:right="81"/>
              <w:jc w:val="center"/>
              <w:rPr>
                <w:sz w:val="22"/>
              </w:rPr>
            </w:pPr>
            <w:r>
              <w:rPr>
                <w:sz w:val="22"/>
              </w:rPr>
              <w:t>(13</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(El</w:t>
            </w:r>
          </w:p>
        </w:tc>
        <w:tc>
          <w:tcPr>
            <w:tcW w:w="1133" w:type="dxa"/>
            <w:tcBorders>
              <w:top w:val="nil"/>
              <w:bottom w:val="nil"/>
            </w:tcBorders>
          </w:tcPr>
          <w:p>
            <w:pPr>
              <w:pStyle w:val="TableParagraph"/>
              <w:spacing w:line="241" w:lineRule="exact"/>
              <w:ind w:left="100" w:right="52"/>
              <w:rPr>
                <w:sz w:val="22"/>
              </w:rPr>
            </w:pPr>
            <w:r>
              <w:rPr>
                <w:sz w:val="22"/>
              </w:rPr>
              <w:t>(El</w:t>
            </w:r>
          </w:p>
        </w:tc>
        <w:tc>
          <w:tcPr>
            <w:tcW w:w="1702" w:type="dxa"/>
            <w:tcBorders>
              <w:top w:val="nil"/>
              <w:bottom w:val="nil"/>
            </w:tcBorders>
          </w:tcPr>
          <w:p>
            <w:pPr>
              <w:pStyle w:val="TableParagraph"/>
              <w:tabs>
                <w:tab w:pos="952" w:val="left" w:leader="none"/>
                <w:tab w:pos="1417" w:val="left" w:leader="none"/>
              </w:tabs>
              <w:spacing w:line="241" w:lineRule="exact"/>
              <w:rPr>
                <w:sz w:val="22"/>
              </w:rPr>
            </w:pPr>
            <w:r>
              <w:rPr>
                <w:sz w:val="22"/>
              </w:rPr>
              <w:t>aparte</w:t>
              <w:tab/>
              <w:t>de</w:t>
              <w:tab/>
              <w:t>lo</w:t>
            </w:r>
          </w:p>
        </w:tc>
        <w:tc>
          <w:tcPr>
            <w:tcW w:w="1985" w:type="dxa"/>
            <w:tcBorders>
              <w:top w:val="nil"/>
              <w:bottom w:val="nil"/>
            </w:tcBorders>
          </w:tcPr>
          <w:p>
            <w:pPr>
              <w:pStyle w:val="TableParagraph"/>
              <w:spacing w:line="241" w:lineRule="exact"/>
              <w:rPr>
                <w:sz w:val="22"/>
              </w:rPr>
            </w:pPr>
            <w:r>
              <w:rPr>
                <w:sz w:val="22"/>
              </w:rPr>
              <w:t>hay muy poco  de</w:t>
            </w:r>
          </w:p>
        </w:tc>
      </w:tr>
      <w:tr>
        <w:trPr>
          <w:trHeight w:val="254"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
        </w:tc>
        <w:tc>
          <w:tcPr>
            <w:tcW w:w="1353" w:type="dxa"/>
            <w:tcBorders>
              <w:top w:val="nil"/>
              <w:bottom w:val="nil"/>
              <w:right w:val="nil"/>
            </w:tcBorders>
          </w:tcPr>
          <w:p>
            <w:pPr>
              <w:pStyle w:val="TableParagraph"/>
              <w:spacing w:line="241" w:lineRule="exact"/>
              <w:ind w:left="100"/>
              <w:rPr>
                <w:sz w:val="22"/>
              </w:rPr>
            </w:pPr>
            <w:r>
              <w:rPr>
                <w:sz w:val="22"/>
              </w:rPr>
              <w:t>integrantes)</w:t>
            </w: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Trojillo),</w:t>
            </w:r>
          </w:p>
        </w:tc>
        <w:tc>
          <w:tcPr>
            <w:tcW w:w="1133" w:type="dxa"/>
            <w:tcBorders>
              <w:top w:val="nil"/>
              <w:bottom w:val="nil"/>
            </w:tcBorders>
          </w:tcPr>
          <w:p>
            <w:pPr>
              <w:pStyle w:val="TableParagraph"/>
              <w:spacing w:line="241" w:lineRule="exact"/>
              <w:ind w:left="100" w:right="52"/>
              <w:rPr>
                <w:sz w:val="22"/>
              </w:rPr>
            </w:pPr>
            <w:r>
              <w:rPr>
                <w:sz w:val="22"/>
              </w:rPr>
              <w:t>Trojillo),</w:t>
            </w:r>
          </w:p>
        </w:tc>
        <w:tc>
          <w:tcPr>
            <w:tcW w:w="1702" w:type="dxa"/>
            <w:tcBorders>
              <w:top w:val="nil"/>
              <w:bottom w:val="nil"/>
            </w:tcBorders>
          </w:tcPr>
          <w:p>
            <w:pPr>
              <w:pStyle w:val="TableParagraph"/>
              <w:tabs>
                <w:tab w:pos="784" w:val="left" w:leader="none"/>
                <w:tab w:pos="1357" w:val="left" w:leader="none"/>
              </w:tabs>
              <w:spacing w:line="241" w:lineRule="exact"/>
              <w:rPr>
                <w:sz w:val="22"/>
              </w:rPr>
            </w:pPr>
            <w:r>
              <w:rPr>
                <w:sz w:val="22"/>
              </w:rPr>
              <w:t>poco</w:t>
              <w:tab/>
              <w:t>que</w:t>
              <w:tab/>
              <w:t>se</w:t>
            </w:r>
          </w:p>
        </w:tc>
        <w:tc>
          <w:tcPr>
            <w:tcW w:w="1985" w:type="dxa"/>
            <w:tcBorders>
              <w:top w:val="nil"/>
              <w:bottom w:val="nil"/>
            </w:tcBorders>
          </w:tcPr>
          <w:p>
            <w:pPr>
              <w:pStyle w:val="TableParagraph"/>
              <w:spacing w:line="241" w:lineRule="exact"/>
              <w:rPr>
                <w:sz w:val="22"/>
              </w:rPr>
            </w:pPr>
            <w:r>
              <w:rPr>
                <w:sz w:val="22"/>
              </w:rPr>
              <w:t>todo, de la laguna</w:t>
            </w:r>
          </w:p>
        </w:tc>
      </w:tr>
      <w:tr>
        <w:trPr>
          <w:trHeight w:val="253" w:hRule="exact"/>
        </w:trPr>
        <w:tc>
          <w:tcPr>
            <w:tcW w:w="1385" w:type="dxa"/>
            <w:tcBorders>
              <w:top w:val="nil"/>
              <w:bottom w:val="nil"/>
            </w:tcBorders>
          </w:tcPr>
          <w:p>
            <w:pPr>
              <w:pStyle w:val="TableParagraph"/>
              <w:spacing w:line="243" w:lineRule="exact"/>
              <w:ind w:left="184" w:right="127"/>
              <w:rPr>
                <w:sz w:val="22"/>
              </w:rPr>
            </w:pPr>
            <w:r>
              <w:rPr>
                <w:sz w:val="22"/>
              </w:rPr>
              <w:t>(7/II/2015)</w:t>
            </w: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3" w:lineRule="exact"/>
              <w:ind w:right="92"/>
              <w:rPr>
                <w:sz w:val="22"/>
              </w:rPr>
            </w:pPr>
            <w:r>
              <w:rPr>
                <w:sz w:val="22"/>
              </w:rPr>
              <w:t>Jilotepec</w:t>
            </w:r>
          </w:p>
        </w:tc>
        <w:tc>
          <w:tcPr>
            <w:tcW w:w="1133" w:type="dxa"/>
            <w:tcBorders>
              <w:top w:val="nil"/>
              <w:bottom w:val="nil"/>
            </w:tcBorders>
          </w:tcPr>
          <w:p>
            <w:pPr>
              <w:pStyle w:val="TableParagraph"/>
              <w:spacing w:line="243" w:lineRule="exact"/>
              <w:ind w:left="100" w:right="52"/>
              <w:rPr>
                <w:sz w:val="22"/>
              </w:rPr>
            </w:pPr>
            <w:r>
              <w:rPr>
                <w:sz w:val="22"/>
              </w:rPr>
              <w:t>Jilotepec</w:t>
            </w:r>
          </w:p>
        </w:tc>
        <w:tc>
          <w:tcPr>
            <w:tcW w:w="1702" w:type="dxa"/>
            <w:tcBorders>
              <w:top w:val="nil"/>
              <w:bottom w:val="nil"/>
            </w:tcBorders>
          </w:tcPr>
          <w:p>
            <w:pPr>
              <w:pStyle w:val="TableParagraph"/>
              <w:spacing w:line="243" w:lineRule="exact"/>
              <w:rPr>
                <w:sz w:val="22"/>
              </w:rPr>
            </w:pPr>
            <w:r>
              <w:rPr>
                <w:sz w:val="22"/>
              </w:rPr>
              <w:t>pesca, pues es</w:t>
            </w:r>
          </w:p>
        </w:tc>
        <w:tc>
          <w:tcPr>
            <w:tcW w:w="1985" w:type="dxa"/>
            <w:tcBorders>
              <w:top w:val="nil"/>
              <w:bottom w:val="nil"/>
            </w:tcBorders>
          </w:tcPr>
          <w:p>
            <w:pPr>
              <w:pStyle w:val="TableParagraph"/>
              <w:spacing w:line="243" w:lineRule="exact"/>
              <w:rPr>
                <w:sz w:val="22"/>
              </w:rPr>
            </w:pPr>
            <w:r>
              <w:rPr>
                <w:sz w:val="22"/>
              </w:rPr>
              <w:t>ya no sale ni para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abrevadero</w:t>
            </w:r>
          </w:p>
        </w:tc>
        <w:tc>
          <w:tcPr>
            <w:tcW w:w="1985" w:type="dxa"/>
            <w:tcBorders>
              <w:top w:val="nil"/>
              <w:bottom w:val="nil"/>
            </w:tcBorders>
          </w:tcPr>
          <w:p>
            <w:pPr>
              <w:pStyle w:val="TableParagraph"/>
              <w:spacing w:line="241" w:lineRule="exact"/>
              <w:rPr>
                <w:sz w:val="22"/>
              </w:rPr>
            </w:pPr>
            <w:r>
              <w:rPr>
                <w:sz w:val="22"/>
              </w:rPr>
              <w:t>pagar,   hay   muy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para  todos los</w:t>
            </w:r>
          </w:p>
        </w:tc>
        <w:tc>
          <w:tcPr>
            <w:tcW w:w="1985" w:type="dxa"/>
            <w:tcBorders>
              <w:top w:val="nil"/>
              <w:bottom w:val="nil"/>
            </w:tcBorders>
          </w:tcPr>
          <w:p>
            <w:pPr>
              <w:pStyle w:val="TableParagraph"/>
              <w:spacing w:line="242" w:lineRule="exact"/>
              <w:rPr>
                <w:sz w:val="22"/>
              </w:rPr>
            </w:pPr>
            <w:r>
              <w:rPr>
                <w:sz w:val="22"/>
              </w:rPr>
              <w:t>poco  que  pescar</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animales.</w:t>
            </w:r>
          </w:p>
        </w:tc>
        <w:tc>
          <w:tcPr>
            <w:tcW w:w="1985" w:type="dxa"/>
            <w:tcBorders>
              <w:top w:val="nil"/>
              <w:bottom w:val="nil"/>
            </w:tcBorders>
          </w:tcPr>
          <w:p>
            <w:pPr>
              <w:pStyle w:val="TableParagraph"/>
              <w:tabs>
                <w:tab w:pos="1590" w:val="left" w:leader="none"/>
              </w:tabs>
              <w:spacing w:line="241" w:lineRule="exact"/>
              <w:rPr>
                <w:sz w:val="22"/>
              </w:rPr>
            </w:pPr>
            <w:r>
              <w:rPr>
                <w:sz w:val="22"/>
              </w:rPr>
              <w:t>y</w:t>
              <w:tab/>
              <w:t>las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53" w:type="dxa"/>
            <w:tcBorders>
              <w:top w:val="nil"/>
              <w:bottom w:val="nil"/>
              <w:right w:val="nil"/>
            </w:tcBorders>
          </w:tcPr>
          <w:p>
            <w:pPr/>
          </w:p>
        </w:tc>
        <w:tc>
          <w:tcPr>
            <w:tcW w:w="488"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contribuciones</w:t>
            </w:r>
          </w:p>
        </w:tc>
      </w:tr>
      <w:tr>
        <w:trPr>
          <w:trHeight w:val="248" w:hRule="exact"/>
        </w:trPr>
        <w:tc>
          <w:tcPr>
            <w:tcW w:w="1385" w:type="dxa"/>
            <w:tcBorders>
              <w:top w:val="nil"/>
            </w:tcBorders>
          </w:tcPr>
          <w:p>
            <w:pPr/>
          </w:p>
        </w:tc>
        <w:tc>
          <w:tcPr>
            <w:tcW w:w="1418" w:type="dxa"/>
            <w:tcBorders>
              <w:top w:val="nil"/>
            </w:tcBorders>
          </w:tcPr>
          <w:p>
            <w:pPr/>
          </w:p>
        </w:tc>
        <w:tc>
          <w:tcPr>
            <w:tcW w:w="1353" w:type="dxa"/>
            <w:tcBorders>
              <w:top w:val="nil"/>
              <w:right w:val="nil"/>
            </w:tcBorders>
          </w:tcPr>
          <w:p>
            <w:pPr/>
          </w:p>
        </w:tc>
        <w:tc>
          <w:tcPr>
            <w:tcW w:w="488" w:type="dxa"/>
            <w:tcBorders>
              <w:top w:val="nil"/>
              <w:left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2" w:lineRule="exact"/>
              <w:rPr>
                <w:sz w:val="22"/>
              </w:rPr>
            </w:pPr>
            <w:r>
              <w:rPr>
                <w:sz w:val="22"/>
              </w:rPr>
              <w:t>son muchas.</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right="127"/>
              <w:rPr>
                <w:sz w:val="22"/>
              </w:rPr>
            </w:pPr>
            <w:r>
              <w:rPr>
                <w:sz w:val="22"/>
              </w:rPr>
              <w:t>José</w:t>
            </w:r>
          </w:p>
        </w:tc>
        <w:tc>
          <w:tcPr>
            <w:tcW w:w="1418" w:type="dxa"/>
            <w:tcBorders>
              <w:bottom w:val="nil"/>
            </w:tcBorders>
          </w:tcPr>
          <w:p>
            <w:pPr>
              <w:pStyle w:val="TableParagraph"/>
              <w:spacing w:line="251" w:lineRule="exact"/>
              <w:ind w:left="101" w:right="104"/>
              <w:jc w:val="center"/>
              <w:rPr>
                <w:sz w:val="22"/>
              </w:rPr>
            </w:pPr>
            <w:r>
              <w:rPr>
                <w:sz w:val="22"/>
              </w:rPr>
              <w:t>La pesca y</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tabs>
                <w:tab w:pos="1048" w:val="left" w:leader="none"/>
              </w:tabs>
              <w:spacing w:line="251" w:lineRule="exact"/>
              <w:rPr>
                <w:sz w:val="22"/>
              </w:rPr>
            </w:pPr>
            <w:r>
              <w:rPr>
                <w:sz w:val="22"/>
              </w:rPr>
              <w:t>¡De</w:t>
              <w:tab/>
              <w:t>todas</w:t>
            </w:r>
          </w:p>
        </w:tc>
        <w:tc>
          <w:tcPr>
            <w:tcW w:w="1985" w:type="dxa"/>
            <w:tcBorders>
              <w:bottom w:val="nil"/>
            </w:tcBorders>
          </w:tcPr>
          <w:p>
            <w:pPr>
              <w:pStyle w:val="TableParagraph"/>
              <w:spacing w:line="251" w:lineRule="exact"/>
              <w:rPr>
                <w:sz w:val="22"/>
              </w:rPr>
            </w:pPr>
            <w:r>
              <w:rPr>
                <w:sz w:val="22"/>
              </w:rPr>
              <w:t>¡Bastantísimas!,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Valencia</w:t>
            </w:r>
          </w:p>
        </w:tc>
        <w:tc>
          <w:tcPr>
            <w:tcW w:w="1418" w:type="dxa"/>
            <w:tcBorders>
              <w:top w:val="nil"/>
              <w:bottom w:val="nil"/>
            </w:tcBorders>
          </w:tcPr>
          <w:p>
            <w:pPr>
              <w:pStyle w:val="TableParagraph"/>
              <w:spacing w:line="241" w:lineRule="exact"/>
              <w:ind w:left="102" w:right="104"/>
              <w:jc w:val="center"/>
              <w:rPr>
                <w:sz w:val="22"/>
              </w:rPr>
            </w:pPr>
            <w:r>
              <w:rPr>
                <w:sz w:val="22"/>
              </w:rPr>
              <w:t>el comercio</w:t>
            </w:r>
          </w:p>
        </w:tc>
        <w:tc>
          <w:tcPr>
            <w:tcW w:w="1841" w:type="dxa"/>
            <w:tcBorders>
              <w:top w:val="nil"/>
              <w:bottom w:val="nil"/>
            </w:tcBorders>
          </w:tcPr>
          <w:p>
            <w:pPr>
              <w:pStyle w:val="TableParagraph"/>
              <w:spacing w:line="241" w:lineRule="exact"/>
              <w:ind w:left="100"/>
              <w:rPr>
                <w:sz w:val="22"/>
              </w:rPr>
            </w:pPr>
            <w:r>
              <w:rPr>
                <w:sz w:val="22"/>
              </w:rPr>
              <w:t>“Pescarenas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Arenas,</w:t>
            </w:r>
          </w:p>
        </w:tc>
        <w:tc>
          <w:tcPr>
            <w:tcW w:w="1133" w:type="dxa"/>
            <w:tcBorders>
              <w:top w:val="nil"/>
              <w:bottom w:val="nil"/>
            </w:tcBorders>
          </w:tcPr>
          <w:p>
            <w:pPr>
              <w:pStyle w:val="TableParagraph"/>
              <w:spacing w:line="241" w:lineRule="exact"/>
              <w:ind w:left="100" w:right="52"/>
              <w:rPr>
                <w:sz w:val="22"/>
              </w:rPr>
            </w:pPr>
            <w:r>
              <w:rPr>
                <w:sz w:val="22"/>
              </w:rPr>
              <w:t>Arenas,</w:t>
            </w:r>
          </w:p>
        </w:tc>
        <w:tc>
          <w:tcPr>
            <w:tcW w:w="1702" w:type="dxa"/>
            <w:tcBorders>
              <w:top w:val="nil"/>
              <w:bottom w:val="nil"/>
            </w:tcBorders>
          </w:tcPr>
          <w:p>
            <w:pPr>
              <w:pStyle w:val="TableParagraph"/>
              <w:spacing w:line="241" w:lineRule="exact"/>
              <w:rPr>
                <w:sz w:val="22"/>
              </w:rPr>
            </w:pPr>
            <w:r>
              <w:rPr>
                <w:sz w:val="22"/>
              </w:rPr>
              <w:t>formas!,</w:t>
            </w:r>
          </w:p>
        </w:tc>
        <w:tc>
          <w:tcPr>
            <w:tcW w:w="1985" w:type="dxa"/>
            <w:tcBorders>
              <w:top w:val="nil"/>
              <w:bottom w:val="nil"/>
            </w:tcBorders>
          </w:tcPr>
          <w:p>
            <w:pPr>
              <w:pStyle w:val="TableParagraph"/>
              <w:tabs>
                <w:tab w:pos="714" w:val="left" w:leader="none"/>
                <w:tab w:pos="1703" w:val="left" w:leader="none"/>
              </w:tabs>
              <w:spacing w:line="241" w:lineRule="exact"/>
              <w:rPr>
                <w:sz w:val="22"/>
              </w:rPr>
            </w:pPr>
            <w:r>
              <w:rPr>
                <w:sz w:val="22"/>
              </w:rPr>
              <w:t>se</w:t>
              <w:tab/>
              <w:t>perdió</w:t>
              <w:tab/>
              <w:t>el</w:t>
            </w:r>
          </w:p>
        </w:tc>
      </w:tr>
      <w:tr>
        <w:trPr>
          <w:trHeight w:val="252" w:hRule="exact"/>
        </w:trPr>
        <w:tc>
          <w:tcPr>
            <w:tcW w:w="1385" w:type="dxa"/>
            <w:tcBorders>
              <w:top w:val="nil"/>
              <w:bottom w:val="nil"/>
            </w:tcBorders>
          </w:tcPr>
          <w:p>
            <w:pPr>
              <w:pStyle w:val="TableParagraph"/>
              <w:spacing w:line="242" w:lineRule="exact"/>
              <w:ind w:right="127"/>
              <w:rPr>
                <w:sz w:val="22"/>
              </w:rPr>
            </w:pPr>
            <w:r>
              <w:rPr>
                <w:sz w:val="22"/>
              </w:rPr>
              <w:t>García</w:t>
            </w:r>
          </w:p>
        </w:tc>
        <w:tc>
          <w:tcPr>
            <w:tcW w:w="1418" w:type="dxa"/>
            <w:tcBorders>
              <w:top w:val="nil"/>
              <w:bottom w:val="nil"/>
            </w:tcBorders>
          </w:tcPr>
          <w:p>
            <w:pPr>
              <w:pStyle w:val="TableParagraph"/>
              <w:spacing w:line="242" w:lineRule="exact"/>
              <w:ind w:left="102" w:right="104"/>
              <w:jc w:val="center"/>
              <w:rPr>
                <w:sz w:val="22"/>
              </w:rPr>
            </w:pPr>
            <w:r>
              <w:rPr>
                <w:sz w:val="22"/>
              </w:rPr>
              <w:t>de eventos</w:t>
            </w:r>
          </w:p>
        </w:tc>
        <w:tc>
          <w:tcPr>
            <w:tcW w:w="1841" w:type="dxa"/>
            <w:tcBorders>
              <w:top w:val="nil"/>
              <w:bottom w:val="nil"/>
            </w:tcBorders>
          </w:tcPr>
          <w:p>
            <w:pPr>
              <w:pStyle w:val="TableParagraph"/>
              <w:spacing w:line="242" w:lineRule="exact"/>
              <w:ind w:left="100"/>
              <w:rPr>
                <w:sz w:val="22"/>
              </w:rPr>
            </w:pPr>
            <w:r>
              <w:rPr>
                <w:sz w:val="22"/>
              </w:rPr>
              <w:t>Procesado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Acambay</w:t>
            </w:r>
          </w:p>
        </w:tc>
        <w:tc>
          <w:tcPr>
            <w:tcW w:w="1702" w:type="dxa"/>
            <w:tcBorders>
              <w:top w:val="nil"/>
              <w:bottom w:val="nil"/>
            </w:tcBorders>
          </w:tcPr>
          <w:p>
            <w:pPr>
              <w:pStyle w:val="TableParagraph"/>
              <w:tabs>
                <w:tab w:pos="1357" w:val="left" w:leader="none"/>
              </w:tabs>
              <w:spacing w:line="242" w:lineRule="exact"/>
              <w:rPr>
                <w:sz w:val="22"/>
              </w:rPr>
            </w:pPr>
            <w:r>
              <w:rPr>
                <w:sz w:val="22"/>
              </w:rPr>
              <w:t>porque</w:t>
              <w:tab/>
              <w:t>es</w:t>
            </w:r>
          </w:p>
        </w:tc>
        <w:tc>
          <w:tcPr>
            <w:tcW w:w="1985" w:type="dxa"/>
            <w:tcBorders>
              <w:top w:val="nil"/>
              <w:bottom w:val="nil"/>
            </w:tcBorders>
          </w:tcPr>
          <w:p>
            <w:pPr>
              <w:pStyle w:val="TableParagraph"/>
              <w:spacing w:line="242" w:lineRule="exact"/>
              <w:rPr>
                <w:sz w:val="22"/>
              </w:rPr>
            </w:pPr>
            <w:r>
              <w:rPr>
                <w:sz w:val="22"/>
              </w:rPr>
              <w:t>charal blanco que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(24/I/2015)</w:t>
            </w:r>
          </w:p>
        </w:tc>
        <w:tc>
          <w:tcPr>
            <w:tcW w:w="1418" w:type="dxa"/>
            <w:tcBorders>
              <w:top w:val="nil"/>
              <w:bottom w:val="nil"/>
            </w:tcBorders>
          </w:tcPr>
          <w:p>
            <w:pPr>
              <w:pStyle w:val="TableParagraph"/>
              <w:spacing w:line="242" w:lineRule="exact"/>
              <w:ind w:left="102" w:right="104"/>
              <w:jc w:val="center"/>
              <w:rPr>
                <w:sz w:val="22"/>
              </w:rPr>
            </w:pPr>
            <w:r>
              <w:rPr>
                <w:sz w:val="22"/>
              </w:rPr>
              <w:t>sociales</w:t>
            </w:r>
          </w:p>
        </w:tc>
        <w:tc>
          <w:tcPr>
            <w:tcW w:w="1841" w:type="dxa"/>
            <w:tcBorders>
              <w:top w:val="nil"/>
              <w:bottom w:val="nil"/>
            </w:tcBorders>
          </w:tcPr>
          <w:p>
            <w:pPr>
              <w:pStyle w:val="TableParagraph"/>
              <w:spacing w:line="242" w:lineRule="exact"/>
              <w:ind w:left="100"/>
              <w:rPr>
                <w:sz w:val="22"/>
              </w:rPr>
            </w:pPr>
            <w:r>
              <w:rPr>
                <w:sz w:val="22"/>
              </w:rPr>
              <w:t>Fresco”</w:t>
            </w:r>
          </w:p>
        </w:tc>
        <w:tc>
          <w:tcPr>
            <w:tcW w:w="1135" w:type="dxa"/>
            <w:tcBorders>
              <w:top w:val="nil"/>
              <w:bottom w:val="nil"/>
            </w:tcBorders>
          </w:tcPr>
          <w:p>
            <w:pPr>
              <w:pStyle w:val="TableParagraph"/>
              <w:spacing w:line="240" w:lineRule="exact"/>
              <w:rPr>
                <w:b/>
                <w:sz w:val="22"/>
              </w:rPr>
            </w:pPr>
            <w:r>
              <w:rPr>
                <w:b/>
                <w:sz w:val="22"/>
              </w:rPr>
              <w:t>PRESID</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2" w:lineRule="exact"/>
              <w:rPr>
                <w:sz w:val="22"/>
              </w:rPr>
            </w:pPr>
            <w:r>
              <w:rPr>
                <w:sz w:val="22"/>
              </w:rPr>
              <w:t>fuente</w:t>
              <w:tab/>
              <w:t>de</w:t>
            </w:r>
          </w:p>
        </w:tc>
        <w:tc>
          <w:tcPr>
            <w:tcW w:w="1985" w:type="dxa"/>
            <w:tcBorders>
              <w:top w:val="nil"/>
              <w:bottom w:val="nil"/>
            </w:tcBorders>
          </w:tcPr>
          <w:p>
            <w:pPr>
              <w:pStyle w:val="TableParagraph"/>
              <w:spacing w:line="242" w:lineRule="exact"/>
              <w:rPr>
                <w:sz w:val="22"/>
              </w:rPr>
            </w:pPr>
            <w:r>
              <w:rPr>
                <w:sz w:val="22"/>
              </w:rPr>
              <w:t>crecía   30   ó   40</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4" w:lineRule="exact"/>
              <w:ind w:left="102" w:right="102"/>
              <w:jc w:val="center"/>
              <w:rPr>
                <w:sz w:val="22"/>
              </w:rPr>
            </w:pPr>
            <w:r>
              <w:rPr>
                <w:sz w:val="22"/>
              </w:rPr>
              <w:t>(renta de</w:t>
            </w: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ENTE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4" w:lineRule="exact"/>
              <w:rPr>
                <w:sz w:val="22"/>
              </w:rPr>
            </w:pPr>
            <w:r>
              <w:rPr>
                <w:sz w:val="22"/>
              </w:rPr>
              <w:t>empleo</w:t>
              <w:tab/>
              <w:t>de</w:t>
            </w:r>
          </w:p>
        </w:tc>
        <w:tc>
          <w:tcPr>
            <w:tcW w:w="1985" w:type="dxa"/>
            <w:tcBorders>
              <w:top w:val="nil"/>
              <w:bottom w:val="nil"/>
            </w:tcBorders>
          </w:tcPr>
          <w:p>
            <w:pPr>
              <w:pStyle w:val="TableParagraph"/>
              <w:tabs>
                <w:tab w:pos="1763" w:val="left" w:leader="none"/>
              </w:tabs>
              <w:spacing w:line="244" w:lineRule="exact"/>
              <w:rPr>
                <w:sz w:val="22"/>
              </w:rPr>
            </w:pPr>
            <w:r>
              <w:rPr>
                <w:sz w:val="22"/>
              </w:rPr>
              <w:t>centímetros</w:t>
              <w:tab/>
              <w:t>y</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2" w:right="104"/>
              <w:jc w:val="center"/>
              <w:rPr>
                <w:sz w:val="22"/>
              </w:rPr>
            </w:pPr>
            <w:r>
              <w:rPr>
                <w:sz w:val="22"/>
              </w:rPr>
              <w:t>equipo para</w:t>
            </w: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76" w:val="left" w:leader="none"/>
              </w:tabs>
              <w:spacing w:line="242" w:lineRule="exact"/>
              <w:rPr>
                <w:sz w:val="22"/>
              </w:rPr>
            </w:pPr>
            <w:r>
              <w:rPr>
                <w:sz w:val="22"/>
              </w:rPr>
              <w:t>mucha</w:t>
              <w:tab/>
              <w:t>gente,</w:t>
            </w:r>
          </w:p>
        </w:tc>
        <w:tc>
          <w:tcPr>
            <w:tcW w:w="1985" w:type="dxa"/>
            <w:tcBorders>
              <w:top w:val="nil"/>
              <w:bottom w:val="nil"/>
            </w:tcBorders>
          </w:tcPr>
          <w:p>
            <w:pPr>
              <w:pStyle w:val="TableParagraph"/>
              <w:tabs>
                <w:tab w:pos="1336" w:val="left" w:leader="none"/>
              </w:tabs>
              <w:spacing w:line="242" w:lineRule="exact"/>
              <w:rPr>
                <w:sz w:val="22"/>
              </w:rPr>
            </w:pPr>
            <w:r>
              <w:rPr>
                <w:sz w:val="22"/>
              </w:rPr>
              <w:t>pesaba</w:t>
              <w:tab/>
              <w:t>hasta</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2" w:right="104"/>
              <w:jc w:val="center"/>
              <w:rPr>
                <w:sz w:val="22"/>
              </w:rPr>
            </w:pPr>
            <w:r>
              <w:rPr>
                <w:sz w:val="22"/>
              </w:rPr>
              <w:t>fiestas)</w:t>
            </w: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TODAS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aunque</w:t>
            </w:r>
          </w:p>
        </w:tc>
        <w:tc>
          <w:tcPr>
            <w:tcW w:w="1985" w:type="dxa"/>
            <w:tcBorders>
              <w:top w:val="nil"/>
              <w:bottom w:val="nil"/>
            </w:tcBorders>
          </w:tcPr>
          <w:p>
            <w:pPr>
              <w:pStyle w:val="TableParagraph"/>
              <w:tabs>
                <w:tab w:pos="1005" w:val="left" w:leader="none"/>
                <w:tab w:pos="1702" w:val="left" w:leader="none"/>
              </w:tabs>
              <w:spacing w:line="242" w:lineRule="exact"/>
              <w:rPr>
                <w:sz w:val="22"/>
              </w:rPr>
            </w:pPr>
            <w:r>
              <w:rPr>
                <w:sz w:val="22"/>
              </w:rPr>
              <w:t>medio</w:t>
              <w:tab/>
              <w:t>kilo,</w:t>
              <w:tab/>
              <w:t>el</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LAS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5" w:val="left" w:leader="none"/>
              </w:tabs>
              <w:spacing w:line="244" w:lineRule="exact"/>
              <w:rPr>
                <w:sz w:val="22"/>
              </w:rPr>
            </w:pPr>
            <w:r>
              <w:rPr>
                <w:sz w:val="22"/>
              </w:rPr>
              <w:t>nosotros</w:t>
              <w:tab/>
              <w:t>no</w:t>
            </w:r>
          </w:p>
        </w:tc>
        <w:tc>
          <w:tcPr>
            <w:tcW w:w="1985" w:type="dxa"/>
            <w:tcBorders>
              <w:top w:val="nil"/>
              <w:bottom w:val="nil"/>
            </w:tcBorders>
          </w:tcPr>
          <w:p>
            <w:pPr>
              <w:pStyle w:val="TableParagraph"/>
              <w:spacing w:line="244" w:lineRule="exact"/>
              <w:rPr>
                <w:sz w:val="22"/>
              </w:rPr>
            </w:pPr>
            <w:r>
              <w:rPr>
                <w:sz w:val="22"/>
              </w:rPr>
              <w:t>charalito criollito y</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COOPE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somos</w:t>
            </w:r>
            <w:r>
              <w:rPr>
                <w:spacing w:val="56"/>
                <w:sz w:val="22"/>
              </w:rPr>
              <w:t> </w:t>
            </w:r>
            <w:r>
              <w:rPr>
                <w:sz w:val="22"/>
              </w:rPr>
              <w:t>dueños</w:t>
            </w:r>
          </w:p>
        </w:tc>
        <w:tc>
          <w:tcPr>
            <w:tcW w:w="1985" w:type="dxa"/>
            <w:tcBorders>
              <w:top w:val="nil"/>
              <w:bottom w:val="nil"/>
            </w:tcBorders>
          </w:tcPr>
          <w:p>
            <w:pPr>
              <w:pStyle w:val="TableParagraph"/>
              <w:spacing w:line="243" w:lineRule="exact"/>
              <w:rPr>
                <w:sz w:val="22"/>
              </w:rPr>
            </w:pPr>
            <w:r>
              <w:rPr>
                <w:sz w:val="22"/>
              </w:rPr>
              <w:t>la  rana  silvestre.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RATIVA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4" w:lineRule="exact"/>
              <w:rPr>
                <w:sz w:val="22"/>
              </w:rPr>
            </w:pPr>
            <w:r>
              <w:rPr>
                <w:sz w:val="22"/>
              </w:rPr>
              <w:t>de ella, sólo  la</w:t>
            </w:r>
          </w:p>
        </w:tc>
        <w:tc>
          <w:tcPr>
            <w:tcW w:w="1985" w:type="dxa"/>
            <w:tcBorders>
              <w:top w:val="nil"/>
              <w:bottom w:val="nil"/>
            </w:tcBorders>
          </w:tcPr>
          <w:p>
            <w:pPr>
              <w:pStyle w:val="TableParagraph"/>
              <w:spacing w:line="244" w:lineRule="exact"/>
              <w:rPr>
                <w:sz w:val="22"/>
              </w:rPr>
            </w:pPr>
            <w:r>
              <w:rPr>
                <w:sz w:val="22"/>
              </w:rPr>
              <w:t>Hay</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S 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vemos  porque</w:t>
            </w:r>
          </w:p>
        </w:tc>
        <w:tc>
          <w:tcPr>
            <w:tcW w:w="1985" w:type="dxa"/>
            <w:tcBorders>
              <w:top w:val="nil"/>
              <w:bottom w:val="nil"/>
            </w:tcBorders>
          </w:tcPr>
          <w:p>
            <w:pPr>
              <w:pStyle w:val="TableParagraph"/>
              <w:spacing w:line="242" w:lineRule="exact"/>
              <w:rPr>
                <w:sz w:val="22"/>
              </w:rPr>
            </w:pPr>
            <w:r>
              <w:rPr>
                <w:sz w:val="22"/>
              </w:rPr>
              <w:t>depredadores, </w:t>
            </w:r>
            <w:r>
              <w:rPr>
                <w:spacing w:val="58"/>
                <w:sz w:val="22"/>
              </w:rPr>
              <w:t> </w:t>
            </w:r>
            <w:r>
              <w:rPr>
                <w:sz w:val="22"/>
              </w:rPr>
              <w:t>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PESCAD</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90" w:val="left" w:leader="none"/>
                <w:tab w:pos="1415" w:val="left" w:leader="none"/>
              </w:tabs>
              <w:spacing w:line="242" w:lineRule="exact"/>
              <w:rPr>
                <w:sz w:val="22"/>
              </w:rPr>
            </w:pPr>
            <w:r>
              <w:rPr>
                <w:sz w:val="22"/>
              </w:rPr>
              <w:t>se</w:t>
              <w:tab/>
              <w:t>llevan</w:t>
              <w:tab/>
              <w:t>el</w:t>
            </w:r>
          </w:p>
        </w:tc>
        <w:tc>
          <w:tcPr>
            <w:tcW w:w="1985" w:type="dxa"/>
            <w:tcBorders>
              <w:top w:val="nil"/>
              <w:bottom w:val="nil"/>
            </w:tcBorders>
          </w:tcPr>
          <w:p>
            <w:pPr>
              <w:pStyle w:val="TableParagraph"/>
              <w:tabs>
                <w:tab w:pos="1593" w:val="left" w:leader="none"/>
              </w:tabs>
              <w:spacing w:line="242" w:lineRule="exact"/>
              <w:rPr>
                <w:sz w:val="22"/>
              </w:rPr>
            </w:pPr>
            <w:r>
              <w:rPr>
                <w:sz w:val="22"/>
              </w:rPr>
              <w:t>hombre,</w:t>
              <w:tab/>
              <w:t>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ORES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4" w:lineRule="exact"/>
              <w:rPr>
                <w:sz w:val="22"/>
              </w:rPr>
            </w:pPr>
            <w:r>
              <w:rPr>
                <w:sz w:val="22"/>
              </w:rPr>
              <w:t>agua,  pero los</w:t>
            </w:r>
          </w:p>
        </w:tc>
        <w:tc>
          <w:tcPr>
            <w:tcW w:w="1985" w:type="dxa"/>
            <w:tcBorders>
              <w:top w:val="nil"/>
              <w:bottom w:val="nil"/>
            </w:tcBorders>
          </w:tcPr>
          <w:p>
            <w:pPr>
              <w:pStyle w:val="TableParagraph"/>
              <w:spacing w:line="244" w:lineRule="exact"/>
              <w:rPr>
                <w:sz w:val="22"/>
              </w:rPr>
            </w:pPr>
            <w:r>
              <w:rPr>
                <w:sz w:val="22"/>
              </w:rPr>
              <w:t>pájaros, las aves.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DE LA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33" w:val="left" w:leader="none"/>
              </w:tabs>
              <w:spacing w:line="242" w:lineRule="exact"/>
              <w:rPr>
                <w:sz w:val="22"/>
              </w:rPr>
            </w:pPr>
            <w:r>
              <w:rPr>
                <w:sz w:val="22"/>
              </w:rPr>
              <w:t>pozos</w:t>
              <w:tab/>
              <w:t>son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LAGUN</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4" w:lineRule="exact"/>
              <w:rPr>
                <w:sz w:val="22"/>
              </w:rPr>
            </w:pPr>
            <w:r>
              <w:rPr>
                <w:sz w:val="22"/>
              </w:rPr>
              <w:t>recargados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w w:val="100"/>
                <w:sz w:val="22"/>
              </w:rPr>
              <w:t>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con  la </w:t>
            </w:r>
            <w:r>
              <w:rPr>
                <w:spacing w:val="52"/>
                <w:sz w:val="22"/>
              </w:rPr>
              <w:t> </w:t>
            </w:r>
            <w:r>
              <w:rPr>
                <w:sz w:val="22"/>
              </w:rPr>
              <w:t>laguna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HUAPA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2" w:lineRule="exact"/>
              <w:rPr>
                <w:sz w:val="22"/>
              </w:rPr>
            </w:pPr>
            <w:r>
              <w:rPr>
                <w:sz w:val="22"/>
              </w:rPr>
              <w:t>porque</w:t>
              <w:tab/>
              <w:t>se</w:t>
            </w:r>
          </w:p>
        </w:tc>
        <w:tc>
          <w:tcPr>
            <w:tcW w:w="1985" w:type="dxa"/>
            <w:tcBorders>
              <w:top w:val="nil"/>
              <w:bottom w:val="nil"/>
            </w:tcBorders>
          </w:tcPr>
          <w:p>
            <w:pPr/>
          </w:p>
        </w:tc>
      </w:tr>
      <w:tr>
        <w:trPr>
          <w:trHeight w:val="255"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NGO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9" w:val="left" w:leader="none"/>
              </w:tabs>
              <w:spacing w:line="244" w:lineRule="exact"/>
              <w:rPr>
                <w:sz w:val="22"/>
              </w:rPr>
            </w:pPr>
            <w:r>
              <w:rPr>
                <w:sz w:val="22"/>
              </w:rPr>
              <w:t>recargan</w:t>
              <w:tab/>
              <w:t>los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mantos</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acuíferos.</w:t>
            </w: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1101" w:right="397"/>
      </w:pPr>
      <w:r>
        <w:rPr/>
        <w:t>Tabla 6.3. Pescadores en los Municipios de Acambay, Aculco, Jilotepec y Timilpan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4"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Gobernabilidad</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Cooperativa de</w:t>
            </w:r>
          </w:p>
        </w:tc>
        <w:tc>
          <w:tcPr>
            <w:tcW w:w="1135" w:type="dxa"/>
            <w:tcBorders>
              <w:bottom w:val="nil"/>
            </w:tcBorders>
            <w:shd w:val="clear" w:color="auto" w:fill="F9BE8F"/>
          </w:tcPr>
          <w:p>
            <w:pPr>
              <w:pStyle w:val="TableParagraph"/>
              <w:spacing w:line="248" w:lineRule="exact"/>
              <w:rPr>
                <w:b/>
                <w:sz w:val="22"/>
              </w:rPr>
            </w:pPr>
            <w:r>
              <w:rPr>
                <w:b/>
                <w:sz w:val="22"/>
              </w:rPr>
              <w:t>Cargo</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8" w:lineRule="exact"/>
              <w:rPr>
                <w:b/>
                <w:sz w:val="22"/>
              </w:rPr>
            </w:pPr>
            <w:r>
              <w:rPr>
                <w:b/>
                <w:sz w:val="22"/>
              </w:rPr>
              <w:t>¿Existen</w:t>
            </w:r>
          </w:p>
        </w:tc>
        <w:tc>
          <w:tcPr>
            <w:tcW w:w="1985" w:type="dxa"/>
            <w:tcBorders>
              <w:bottom w:val="nil"/>
            </w:tcBorders>
            <w:shd w:val="clear" w:color="auto" w:fill="92CDDC"/>
          </w:tcPr>
          <w:p>
            <w:pPr>
              <w:pStyle w:val="TableParagraph"/>
              <w:tabs>
                <w:tab w:pos="933" w:val="left" w:leader="none"/>
              </w:tabs>
              <w:spacing w:line="248" w:lineRule="exact"/>
              <w:rPr>
                <w:b/>
                <w:sz w:val="22"/>
              </w:rPr>
            </w:pPr>
            <w:r>
              <w:rPr>
                <w:b/>
                <w:sz w:val="22"/>
              </w:rPr>
              <w:t>¿Qué</w:t>
              <w:tab/>
              <w:t>acciones</w:t>
            </w:r>
          </w:p>
        </w:tc>
      </w:tr>
      <w:tr>
        <w:trPr>
          <w:trHeight w:val="254"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Pescadores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problemas</w:t>
            </w:r>
          </w:p>
        </w:tc>
        <w:tc>
          <w:tcPr>
            <w:tcW w:w="1985" w:type="dxa"/>
            <w:tcBorders>
              <w:top w:val="nil"/>
              <w:bottom w:val="nil"/>
            </w:tcBorders>
            <w:shd w:val="clear" w:color="auto" w:fill="92CDDC"/>
          </w:tcPr>
          <w:p>
            <w:pPr>
              <w:pStyle w:val="TableParagraph"/>
              <w:tabs>
                <w:tab w:pos="1689" w:val="left" w:leader="none"/>
              </w:tabs>
              <w:spacing w:line="241" w:lineRule="exact"/>
              <w:rPr>
                <w:b/>
                <w:sz w:val="22"/>
              </w:rPr>
            </w:pPr>
            <w:r>
              <w:rPr>
                <w:b/>
                <w:sz w:val="22"/>
              </w:rPr>
              <w:t>realiza</w:t>
              <w:tab/>
              <w:t>la</w:t>
            </w:r>
          </w:p>
        </w:tc>
      </w:tr>
      <w:tr>
        <w:trPr>
          <w:trHeight w:val="253" w:hRule="exact"/>
        </w:trPr>
        <w:tc>
          <w:tcPr>
            <w:tcW w:w="1385" w:type="dxa"/>
            <w:tcBorders>
              <w:top w:val="nil"/>
              <w:bottom w:val="nil"/>
            </w:tcBorders>
            <w:shd w:val="clear" w:color="auto" w:fill="F9BE8F"/>
          </w:tcPr>
          <w:p>
            <w:pPr>
              <w:pStyle w:val="TableParagraph"/>
              <w:spacing w:line="243"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3"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3" w:lineRule="exact"/>
              <w:rPr>
                <w:b/>
                <w:sz w:val="22"/>
              </w:rPr>
            </w:pPr>
            <w:r>
              <w:rPr>
                <w:b/>
                <w:sz w:val="22"/>
              </w:rPr>
              <w:t>cuando</w:t>
            </w:r>
          </w:p>
        </w:tc>
        <w:tc>
          <w:tcPr>
            <w:tcW w:w="1985" w:type="dxa"/>
            <w:tcBorders>
              <w:top w:val="nil"/>
              <w:bottom w:val="nil"/>
            </w:tcBorders>
            <w:shd w:val="clear" w:color="auto" w:fill="92CDDC"/>
          </w:tcPr>
          <w:p>
            <w:pPr>
              <w:pStyle w:val="TableParagraph"/>
              <w:spacing w:line="243" w:lineRule="exact"/>
              <w:rPr>
                <w:b/>
                <w:sz w:val="22"/>
              </w:rPr>
            </w:pPr>
            <w:r>
              <w:rPr>
                <w:b/>
                <w:sz w:val="22"/>
              </w:rPr>
              <w:t>Conapesca en la</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pescan   entre</w:t>
            </w:r>
          </w:p>
        </w:tc>
        <w:tc>
          <w:tcPr>
            <w:tcW w:w="1985" w:type="dxa"/>
            <w:tcBorders>
              <w:top w:val="nil"/>
              <w:bottom w:val="nil"/>
            </w:tcBorders>
            <w:shd w:val="clear" w:color="auto" w:fill="92CDDC"/>
          </w:tcPr>
          <w:p>
            <w:pPr>
              <w:pStyle w:val="TableParagraph"/>
              <w:tabs>
                <w:tab w:pos="1617" w:val="left" w:leader="none"/>
              </w:tabs>
              <w:spacing w:line="241" w:lineRule="exact"/>
              <w:rPr>
                <w:b/>
                <w:sz w:val="22"/>
              </w:rPr>
            </w:pPr>
            <w:r>
              <w:rPr>
                <w:b/>
                <w:sz w:val="22"/>
              </w:rPr>
              <w:t>laguna</w:t>
              <w:tab/>
              <w:t>de</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los habitantes</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271" w:val="left" w:leader="none"/>
              </w:tabs>
              <w:spacing w:line="242" w:lineRule="exact"/>
              <w:rPr>
                <w:b/>
                <w:sz w:val="22"/>
              </w:rPr>
            </w:pPr>
            <w:r>
              <w:rPr>
                <w:b/>
                <w:sz w:val="22"/>
              </w:rPr>
              <w:t>de</w:t>
              <w:tab/>
              <w:t>los</w:t>
            </w:r>
          </w:p>
        </w:tc>
        <w:tc>
          <w:tcPr>
            <w:tcW w:w="1985" w:type="dxa"/>
            <w:tcBorders>
              <w:top w:val="nil"/>
              <w:bottom w:val="nil"/>
            </w:tcBorders>
            <w:shd w:val="clear" w:color="auto" w:fill="92CDDC"/>
          </w:tcPr>
          <w:p>
            <w:pP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distintos</w:t>
            </w:r>
          </w:p>
        </w:tc>
        <w:tc>
          <w:tcPr>
            <w:tcW w:w="1985" w:type="dxa"/>
            <w:tcBorders>
              <w:top w:val="nil"/>
              <w:bottom w:val="nil"/>
            </w:tcBorders>
            <w:shd w:val="clear" w:color="auto" w:fill="92CDDC"/>
          </w:tcPr>
          <w:p>
            <w:pPr/>
          </w:p>
        </w:tc>
      </w:tr>
      <w:tr>
        <w:trPr>
          <w:trHeight w:val="251"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2" w:lineRule="exact"/>
              <w:rPr>
                <w:b/>
                <w:sz w:val="22"/>
              </w:rPr>
            </w:pPr>
            <w:r>
              <w:rPr>
                <w:b/>
                <w:sz w:val="22"/>
              </w:rPr>
              <w:t>municipios</w:t>
            </w:r>
          </w:p>
        </w:tc>
        <w:tc>
          <w:tcPr>
            <w:tcW w:w="1985" w:type="dxa"/>
            <w:tcBorders>
              <w:top w:val="nil"/>
            </w:tcBorders>
            <w:shd w:val="clear" w:color="auto" w:fill="92CDDC"/>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1020" w:hRule="exact"/>
        </w:trPr>
        <w:tc>
          <w:tcPr>
            <w:tcW w:w="1385" w:type="dxa"/>
            <w:shd w:val="clear" w:color="auto" w:fill="F9BE8F"/>
          </w:tcPr>
          <w:p>
            <w:pPr/>
          </w:p>
        </w:tc>
        <w:tc>
          <w:tcPr>
            <w:tcW w:w="1418" w:type="dxa"/>
            <w:shd w:val="clear" w:color="auto" w:fill="F9BE8F"/>
          </w:tcPr>
          <w:p>
            <w:pPr/>
          </w:p>
        </w:tc>
        <w:tc>
          <w:tcPr>
            <w:tcW w:w="1841" w:type="dxa"/>
            <w:shd w:val="clear" w:color="auto" w:fill="F9BE8F"/>
          </w:tcPr>
          <w:p>
            <w:pPr/>
          </w:p>
        </w:tc>
        <w:tc>
          <w:tcPr>
            <w:tcW w:w="1135" w:type="dxa"/>
            <w:shd w:val="clear" w:color="auto" w:fill="F9BE8F"/>
          </w:tcPr>
          <w:p>
            <w:pPr/>
          </w:p>
        </w:tc>
        <w:tc>
          <w:tcPr>
            <w:tcW w:w="991" w:type="dxa"/>
            <w:shd w:val="clear" w:color="auto" w:fill="F9BE8F"/>
          </w:tcPr>
          <w:p>
            <w:pPr/>
          </w:p>
        </w:tc>
        <w:tc>
          <w:tcPr>
            <w:tcW w:w="1277" w:type="dxa"/>
            <w:shd w:val="clear" w:color="auto" w:fill="92CDDC"/>
          </w:tcPr>
          <w:p>
            <w:pPr/>
          </w:p>
        </w:tc>
        <w:tc>
          <w:tcPr>
            <w:tcW w:w="1133" w:type="dxa"/>
            <w:shd w:val="clear" w:color="auto" w:fill="92CDDC"/>
          </w:tcPr>
          <w:p>
            <w:pPr/>
          </w:p>
        </w:tc>
        <w:tc>
          <w:tcPr>
            <w:tcW w:w="1702" w:type="dxa"/>
            <w:shd w:val="clear" w:color="auto" w:fill="92CDDC"/>
          </w:tcPr>
          <w:p>
            <w:pPr>
              <w:pStyle w:val="TableParagraph"/>
              <w:tabs>
                <w:tab w:pos="1406" w:val="left" w:leader="none"/>
              </w:tabs>
              <w:spacing w:line="252" w:lineRule="exact"/>
              <w:ind w:right="98"/>
              <w:rPr>
                <w:b/>
                <w:sz w:val="22"/>
              </w:rPr>
            </w:pPr>
            <w:r>
              <w:rPr>
                <w:b/>
                <w:sz w:val="22"/>
              </w:rPr>
              <w:t>que colindan con</w:t>
              <w:tab/>
              <w:t>la</w:t>
            </w:r>
          </w:p>
          <w:p>
            <w:pPr>
              <w:pStyle w:val="TableParagraph"/>
              <w:spacing w:line="251" w:lineRule="exact"/>
              <w:rPr>
                <w:b/>
                <w:sz w:val="22"/>
              </w:rPr>
            </w:pPr>
            <w:r>
              <w:rPr>
                <w:b/>
                <w:sz w:val="22"/>
              </w:rPr>
              <w:t>laguna?</w:t>
            </w:r>
          </w:p>
        </w:tc>
        <w:tc>
          <w:tcPr>
            <w:tcW w:w="1985" w:type="dxa"/>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Salvador</w:t>
            </w:r>
          </w:p>
        </w:tc>
        <w:tc>
          <w:tcPr>
            <w:tcW w:w="1418" w:type="dxa"/>
            <w:tcBorders>
              <w:bottom w:val="nil"/>
            </w:tcBorders>
          </w:tcPr>
          <w:p>
            <w:pPr>
              <w:pStyle w:val="TableParagraph"/>
              <w:spacing w:line="251" w:lineRule="exact"/>
              <w:ind w:left="100" w:right="101"/>
              <w:rPr>
                <w:sz w:val="22"/>
              </w:rPr>
            </w:pPr>
            <w:r>
              <w:rPr>
                <w:sz w:val="22"/>
              </w:rPr>
              <w:t>Pescador,</w:t>
            </w:r>
          </w:p>
        </w:tc>
        <w:tc>
          <w:tcPr>
            <w:tcW w:w="1841" w:type="dxa"/>
            <w:vMerge w:val="restart"/>
          </w:tcPr>
          <w:p>
            <w:pPr>
              <w:pStyle w:val="TableParagraph"/>
              <w:ind w:left="100" w:right="142"/>
              <w:rPr>
                <w:sz w:val="22"/>
              </w:rPr>
            </w:pPr>
            <w:r>
              <w:rPr>
                <w:sz w:val="22"/>
              </w:rPr>
              <w:t>“Los Pescadores de la Vía del Tren” (17</w:t>
            </w:r>
            <w:r>
              <w:rPr>
                <w:spacing w:val="-8"/>
                <w:sz w:val="22"/>
              </w:rPr>
              <w:t> </w:t>
            </w:r>
            <w:r>
              <w:rPr>
                <w:sz w:val="22"/>
              </w:rPr>
              <w:t>integrantes,</w:t>
            </w:r>
          </w:p>
          <w:p>
            <w:pPr>
              <w:pStyle w:val="TableParagraph"/>
              <w:spacing w:before="2"/>
              <w:ind w:left="100" w:right="171"/>
              <w:rPr>
                <w:sz w:val="22"/>
              </w:rPr>
            </w:pPr>
            <w:r>
              <w:rPr>
                <w:sz w:val="22"/>
              </w:rPr>
              <w:t>4 pescadores son de San Martín, Aculco).</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Zaragoza,</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901" w:val="left" w:leader="none"/>
              </w:tabs>
              <w:spacing w:line="251" w:lineRule="exact"/>
              <w:rPr>
                <w:sz w:val="22"/>
              </w:rPr>
            </w:pPr>
            <w:r>
              <w:rPr>
                <w:sz w:val="22"/>
              </w:rPr>
              <w:t>Sí</w:t>
              <w:tab/>
              <w:t>porque</w:t>
            </w:r>
          </w:p>
        </w:tc>
        <w:tc>
          <w:tcPr>
            <w:tcW w:w="1985" w:type="dxa"/>
            <w:tcBorders>
              <w:bottom w:val="nil"/>
            </w:tcBorders>
          </w:tcPr>
          <w:p>
            <w:pPr>
              <w:pStyle w:val="TableParagraph"/>
              <w:tabs>
                <w:tab w:pos="796" w:val="left" w:leader="none"/>
              </w:tabs>
              <w:spacing w:line="251" w:lineRule="exact"/>
              <w:rPr>
                <w:sz w:val="22"/>
              </w:rPr>
            </w:pPr>
            <w:r>
              <w:rPr>
                <w:sz w:val="22"/>
              </w:rPr>
              <w:t>Ha</w:t>
              <w:tab/>
              <w:t>intervenido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100" w:right="101"/>
              <w:rPr>
                <w:sz w:val="22"/>
              </w:rPr>
            </w:pPr>
            <w:r>
              <w:rPr>
                <w:sz w:val="22"/>
              </w:rPr>
              <w:t>Agricultura,</w:t>
            </w:r>
          </w:p>
        </w:tc>
        <w:tc>
          <w:tcPr>
            <w:tcW w:w="1841" w:type="dxa"/>
            <w:vMerge/>
          </w:tcPr>
          <w:p>
            <w:pP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spacing w:line="241" w:lineRule="exact"/>
              <w:rPr>
                <w:sz w:val="22"/>
              </w:rPr>
            </w:pPr>
            <w:r>
              <w:rPr>
                <w:sz w:val="22"/>
              </w:rPr>
              <w:t>algunos</w:t>
            </w:r>
          </w:p>
        </w:tc>
        <w:tc>
          <w:tcPr>
            <w:tcW w:w="1985" w:type="dxa"/>
            <w:tcBorders>
              <w:top w:val="nil"/>
              <w:bottom w:val="nil"/>
            </w:tcBorders>
          </w:tcPr>
          <w:p>
            <w:pPr>
              <w:pStyle w:val="TableParagraph"/>
              <w:spacing w:line="241" w:lineRule="exact"/>
              <w:rPr>
                <w:sz w:val="22"/>
              </w:rPr>
            </w:pPr>
            <w:r>
              <w:rPr>
                <w:sz w:val="22"/>
              </w:rPr>
              <w:t>para  la formación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Ganadería</w:t>
            </w: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Aculco</w:t>
            </w:r>
          </w:p>
        </w:tc>
        <w:tc>
          <w:tcPr>
            <w:tcW w:w="1702" w:type="dxa"/>
            <w:tcBorders>
              <w:top w:val="nil"/>
              <w:bottom w:val="nil"/>
            </w:tcBorders>
          </w:tcPr>
          <w:p>
            <w:pPr>
              <w:pStyle w:val="TableParagraph"/>
              <w:spacing w:line="242" w:lineRule="exact"/>
              <w:rPr>
                <w:sz w:val="22"/>
              </w:rPr>
            </w:pPr>
            <w:r>
              <w:rPr>
                <w:sz w:val="22"/>
              </w:rPr>
              <w:t>siembran</w:t>
            </w:r>
          </w:p>
        </w:tc>
        <w:tc>
          <w:tcPr>
            <w:tcW w:w="1985" w:type="dxa"/>
            <w:tcBorders>
              <w:top w:val="nil"/>
              <w:bottom w:val="nil"/>
            </w:tcBorders>
          </w:tcPr>
          <w:p>
            <w:pPr>
              <w:pStyle w:val="TableParagraph"/>
              <w:tabs>
                <w:tab w:pos="626" w:val="left" w:leader="none"/>
              </w:tabs>
              <w:spacing w:line="242" w:lineRule="exact"/>
              <w:rPr>
                <w:sz w:val="22"/>
              </w:rPr>
            </w:pPr>
            <w:r>
              <w:rPr>
                <w:sz w:val="22"/>
              </w:rPr>
              <w:t>de</w:t>
              <w:tab/>
              <w:t>cooperativas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33" w:val="left" w:leader="none"/>
                <w:tab w:pos="1417" w:val="left" w:leader="none"/>
              </w:tabs>
              <w:spacing w:line="241" w:lineRule="exact"/>
              <w:rPr>
                <w:sz w:val="22"/>
              </w:rPr>
            </w:pPr>
            <w:r>
              <w:rPr>
                <w:sz w:val="22"/>
              </w:rPr>
              <w:t>peces</w:t>
              <w:tab/>
              <w:t>en</w:t>
              <w:tab/>
              <w:t>la</w:t>
            </w:r>
          </w:p>
        </w:tc>
        <w:tc>
          <w:tcPr>
            <w:tcW w:w="1985" w:type="dxa"/>
            <w:tcBorders>
              <w:top w:val="nil"/>
              <w:bottom w:val="nil"/>
            </w:tcBorders>
          </w:tcPr>
          <w:p>
            <w:pPr>
              <w:pStyle w:val="TableParagraph"/>
              <w:tabs>
                <w:tab w:pos="674" w:val="left" w:leader="none"/>
              </w:tabs>
              <w:spacing w:line="241" w:lineRule="exact"/>
              <w:rPr>
                <w:sz w:val="22"/>
              </w:rPr>
            </w:pPr>
            <w:r>
              <w:rPr>
                <w:sz w:val="22"/>
              </w:rPr>
              <w:t>de</w:t>
              <w:tab/>
              <w:t>pescadores,</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(4/I/2014)</w:t>
            </w: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80" w:val="left" w:leader="none"/>
              </w:tabs>
              <w:spacing w:line="243" w:lineRule="exact"/>
              <w:rPr>
                <w:sz w:val="22"/>
              </w:rPr>
            </w:pPr>
            <w:r>
              <w:rPr>
                <w:sz w:val="22"/>
              </w:rPr>
              <w:t>laguna</w:t>
              <w:tab/>
              <w:t>y</w:t>
            </w:r>
          </w:p>
        </w:tc>
        <w:tc>
          <w:tcPr>
            <w:tcW w:w="1985" w:type="dxa"/>
            <w:tcBorders>
              <w:top w:val="nil"/>
              <w:bottom w:val="nil"/>
            </w:tcBorders>
          </w:tcPr>
          <w:p>
            <w:pPr>
              <w:pStyle w:val="TableParagraph"/>
              <w:tabs>
                <w:tab w:pos="1005" w:val="left" w:leader="none"/>
              </w:tabs>
              <w:spacing w:line="243" w:lineRule="exact"/>
              <w:rPr>
                <w:sz w:val="22"/>
              </w:rPr>
            </w:pPr>
            <w:r>
              <w:rPr>
                <w:sz w:val="22"/>
              </w:rPr>
              <w:t>sin</w:t>
              <w:tab/>
              <w:t>embargo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35" w:val="left" w:leader="none"/>
              </w:tabs>
              <w:spacing w:line="241" w:lineRule="exact"/>
              <w:rPr>
                <w:sz w:val="22"/>
              </w:rPr>
            </w:pPr>
            <w:r>
              <w:rPr>
                <w:sz w:val="22"/>
              </w:rPr>
              <w:t>después</w:t>
              <w:tab/>
              <w:t>son</w:t>
            </w:r>
          </w:p>
        </w:tc>
        <w:tc>
          <w:tcPr>
            <w:tcW w:w="1985" w:type="dxa"/>
            <w:tcBorders>
              <w:top w:val="nil"/>
              <w:bottom w:val="nil"/>
            </w:tcBorders>
          </w:tcPr>
          <w:p>
            <w:pPr>
              <w:pStyle w:val="TableParagraph"/>
              <w:tabs>
                <w:tab w:pos="1336" w:val="left" w:leader="none"/>
              </w:tabs>
              <w:spacing w:line="241" w:lineRule="exact"/>
              <w:rPr>
                <w:sz w:val="22"/>
              </w:rPr>
            </w:pPr>
            <w:r>
              <w:rPr>
                <w:sz w:val="22"/>
              </w:rPr>
              <w:t>muchos</w:t>
              <w:tab/>
              <w:t>están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71" w:val="left" w:leader="none"/>
              </w:tabs>
              <w:spacing w:line="241" w:lineRule="exact"/>
              <w:rPr>
                <w:sz w:val="22"/>
              </w:rPr>
            </w:pPr>
            <w:r>
              <w:rPr>
                <w:sz w:val="22"/>
              </w:rPr>
              <w:t>pescados</w:t>
              <w:tab/>
              <w:t>por</w:t>
            </w:r>
          </w:p>
        </w:tc>
        <w:tc>
          <w:tcPr>
            <w:tcW w:w="1985" w:type="dxa"/>
            <w:tcBorders>
              <w:top w:val="nil"/>
              <w:bottom w:val="nil"/>
            </w:tcBorders>
          </w:tcPr>
          <w:p>
            <w:pPr>
              <w:pStyle w:val="TableParagraph"/>
              <w:tabs>
                <w:tab w:pos="1630" w:val="left" w:leader="none"/>
              </w:tabs>
              <w:spacing w:line="241" w:lineRule="exact"/>
              <w:rPr>
                <w:sz w:val="22"/>
              </w:rPr>
            </w:pPr>
            <w:r>
              <w:rPr>
                <w:sz w:val="22"/>
              </w:rPr>
              <w:t>constituidos</w:t>
              <w:tab/>
              <w:t>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otros</w:t>
            </w:r>
          </w:p>
        </w:tc>
        <w:tc>
          <w:tcPr>
            <w:tcW w:w="1985" w:type="dxa"/>
            <w:tcBorders>
              <w:top w:val="nil"/>
              <w:bottom w:val="nil"/>
            </w:tcBorders>
          </w:tcPr>
          <w:p>
            <w:pPr>
              <w:pStyle w:val="TableParagraph"/>
              <w:tabs>
                <w:tab w:pos="674" w:val="left" w:leader="none"/>
              </w:tabs>
              <w:spacing w:line="242" w:lineRule="exact"/>
              <w:rPr>
                <w:sz w:val="22"/>
              </w:rPr>
            </w:pPr>
            <w:r>
              <w:rPr>
                <w:sz w:val="22"/>
              </w:rPr>
              <w:t>una</w:t>
              <w:tab/>
              <w:t>cooperativa,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pescadores</w:t>
            </w:r>
          </w:p>
        </w:tc>
        <w:tc>
          <w:tcPr>
            <w:tcW w:w="1985" w:type="dxa"/>
            <w:tcBorders>
              <w:top w:val="nil"/>
              <w:bottom w:val="nil"/>
            </w:tcBorders>
          </w:tcPr>
          <w:p>
            <w:pPr>
              <w:pStyle w:val="TableParagraph"/>
              <w:tabs>
                <w:tab w:pos="786" w:val="left" w:leader="none"/>
                <w:tab w:pos="1273" w:val="left" w:leader="none"/>
              </w:tabs>
              <w:spacing w:line="241" w:lineRule="exact"/>
              <w:rPr>
                <w:sz w:val="22"/>
              </w:rPr>
            </w:pPr>
            <w:r>
              <w:rPr>
                <w:sz w:val="22"/>
              </w:rPr>
              <w:t>pero</w:t>
              <w:tab/>
              <w:t>no</w:t>
              <w:tab/>
              <w:t>tienen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2" w:lineRule="exact"/>
              <w:rPr>
                <w:sz w:val="22"/>
              </w:rPr>
            </w:pPr>
            <w:r>
              <w:rPr>
                <w:sz w:val="22"/>
              </w:rPr>
              <w:t>que</w:t>
              <w:tab/>
              <w:t>no</w:t>
            </w:r>
          </w:p>
        </w:tc>
        <w:tc>
          <w:tcPr>
            <w:tcW w:w="1985" w:type="dxa"/>
            <w:tcBorders>
              <w:top w:val="nil"/>
              <w:bottom w:val="nil"/>
            </w:tcBorders>
          </w:tcPr>
          <w:p>
            <w:pPr>
              <w:pStyle w:val="TableParagraph"/>
              <w:tabs>
                <w:tab w:pos="1434" w:val="left" w:leader="none"/>
              </w:tabs>
              <w:spacing w:line="242" w:lineRule="exact"/>
              <w:rPr>
                <w:sz w:val="22"/>
              </w:rPr>
            </w:pPr>
            <w:r>
              <w:rPr>
                <w:sz w:val="22"/>
              </w:rPr>
              <w:t>permiso</w:t>
              <w:tab/>
              <w:t>para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intervinieron</w:t>
            </w:r>
          </w:p>
        </w:tc>
        <w:tc>
          <w:tcPr>
            <w:tcW w:w="1985" w:type="dxa"/>
            <w:tcBorders>
              <w:top w:val="nil"/>
              <w:bottom w:val="nil"/>
            </w:tcBorders>
          </w:tcPr>
          <w:p>
            <w:pPr>
              <w:pStyle w:val="TableParagraph"/>
              <w:tabs>
                <w:tab w:pos="1067" w:val="left" w:leader="none"/>
              </w:tabs>
              <w:spacing w:line="241" w:lineRule="exact"/>
              <w:rPr>
                <w:sz w:val="22"/>
              </w:rPr>
            </w:pPr>
            <w:r>
              <w:rPr>
                <w:sz w:val="22"/>
              </w:rPr>
              <w:t>pescar.</w:t>
              <w:tab/>
              <w:t>Además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en  la  siembra</w:t>
            </w:r>
          </w:p>
        </w:tc>
        <w:tc>
          <w:tcPr>
            <w:tcW w:w="1985" w:type="dxa"/>
            <w:tcBorders>
              <w:top w:val="nil"/>
              <w:bottom w:val="nil"/>
            </w:tcBorders>
          </w:tcPr>
          <w:p>
            <w:pPr>
              <w:pStyle w:val="TableParagraph"/>
              <w:spacing w:line="241" w:lineRule="exact"/>
              <w:rPr>
                <w:sz w:val="22"/>
              </w:rPr>
            </w:pPr>
            <w:r>
              <w:rPr>
                <w:sz w:val="22"/>
              </w:rPr>
              <w:t>la  Conapesca</w:t>
            </w:r>
            <w:r>
              <w:rPr>
                <w:spacing w:val="55"/>
                <w:sz w:val="22"/>
              </w:rPr>
              <w:t> </w:t>
            </w:r>
            <w:r>
              <w:rPr>
                <w:sz w:val="22"/>
              </w:rPr>
              <w:t>ha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y  que  son  de</w:t>
            </w:r>
          </w:p>
        </w:tc>
        <w:tc>
          <w:tcPr>
            <w:tcW w:w="1985" w:type="dxa"/>
            <w:tcBorders>
              <w:top w:val="nil"/>
              <w:bottom w:val="nil"/>
            </w:tcBorders>
          </w:tcPr>
          <w:p>
            <w:pPr>
              <w:pStyle w:val="TableParagraph"/>
              <w:tabs>
                <w:tab w:pos="1504" w:val="left" w:leader="none"/>
              </w:tabs>
              <w:spacing w:line="242" w:lineRule="exact"/>
              <w:rPr>
                <w:sz w:val="22"/>
              </w:rPr>
            </w:pPr>
            <w:r>
              <w:rPr>
                <w:sz w:val="22"/>
              </w:rPr>
              <w:t>establecido</w:t>
              <w:tab/>
              <w:t>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otros</w:t>
            </w:r>
          </w:p>
        </w:tc>
        <w:tc>
          <w:tcPr>
            <w:tcW w:w="1985" w:type="dxa"/>
            <w:tcBorders>
              <w:top w:val="nil"/>
              <w:bottom w:val="nil"/>
            </w:tcBorders>
          </w:tcPr>
          <w:p>
            <w:pPr>
              <w:pStyle w:val="TableParagraph"/>
              <w:tabs>
                <w:tab w:pos="566" w:val="left" w:leader="none"/>
                <w:tab w:pos="1518" w:val="left" w:leader="none"/>
              </w:tabs>
              <w:spacing w:line="241" w:lineRule="exact"/>
              <w:rPr>
                <w:sz w:val="22"/>
              </w:rPr>
            </w:pPr>
            <w:r>
              <w:rPr>
                <w:sz w:val="22"/>
              </w:rPr>
              <w:t>se</w:t>
              <w:tab/>
              <w:t>pesque</w:t>
              <w:tab/>
              <w:t>con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municipios, por</w:t>
            </w:r>
          </w:p>
        </w:tc>
        <w:tc>
          <w:tcPr>
            <w:tcW w:w="1985" w:type="dxa"/>
            <w:tcBorders>
              <w:top w:val="nil"/>
              <w:bottom w:val="nil"/>
            </w:tcBorders>
          </w:tcPr>
          <w:p>
            <w:pPr>
              <w:pStyle w:val="TableParagraph"/>
              <w:spacing w:line="243" w:lineRule="exact"/>
              <w:rPr>
                <w:sz w:val="22"/>
              </w:rPr>
            </w:pPr>
            <w:r>
              <w:rPr>
                <w:sz w:val="22"/>
              </w:rPr>
              <w:t>tumbo  y  no   con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ejemplo,</w:t>
              <w:tab/>
              <w:t>en</w:t>
            </w:r>
          </w:p>
        </w:tc>
        <w:tc>
          <w:tcPr>
            <w:tcW w:w="1985" w:type="dxa"/>
            <w:tcBorders>
              <w:top w:val="nil"/>
              <w:bottom w:val="nil"/>
            </w:tcBorders>
          </w:tcPr>
          <w:p>
            <w:pPr>
              <w:pStyle w:val="TableParagraph"/>
              <w:spacing w:line="241" w:lineRule="exact"/>
              <w:rPr>
                <w:sz w:val="22"/>
              </w:rPr>
            </w:pPr>
            <w:r>
              <w:rPr>
                <w:sz w:val="22"/>
              </w:rPr>
              <w:t>redes  de arrastre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32" w:val="left" w:leader="none"/>
              </w:tabs>
              <w:spacing w:line="241" w:lineRule="exact"/>
              <w:rPr>
                <w:sz w:val="22"/>
              </w:rPr>
            </w:pPr>
            <w:r>
              <w:rPr>
                <w:sz w:val="22"/>
              </w:rPr>
              <w:t>Las</w:t>
              <w:tab/>
              <w:t>Arenas,</w:t>
            </w:r>
          </w:p>
        </w:tc>
        <w:tc>
          <w:tcPr>
            <w:tcW w:w="1985" w:type="dxa"/>
            <w:tcBorders>
              <w:top w:val="nil"/>
              <w:bottom w:val="nil"/>
            </w:tcBorders>
          </w:tcPr>
          <w:p>
            <w:pPr>
              <w:pStyle w:val="TableParagraph"/>
              <w:spacing w:line="241" w:lineRule="exact"/>
              <w:rPr>
                <w:sz w:val="22"/>
              </w:rPr>
            </w:pPr>
            <w:r>
              <w:rPr>
                <w:sz w:val="22"/>
              </w:rPr>
              <w:t>porque  sacan 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Acambay</w:t>
            </w:r>
          </w:p>
        </w:tc>
        <w:tc>
          <w:tcPr>
            <w:tcW w:w="1985" w:type="dxa"/>
            <w:tcBorders>
              <w:top w:val="nil"/>
              <w:bottom w:val="nil"/>
            </w:tcBorders>
          </w:tcPr>
          <w:p>
            <w:pPr>
              <w:pStyle w:val="TableParagraph"/>
              <w:spacing w:line="242" w:lineRule="exact"/>
              <w:rPr>
                <w:sz w:val="22"/>
              </w:rPr>
            </w:pPr>
            <w:r>
              <w:rPr>
                <w:sz w:val="22"/>
              </w:rPr>
              <w:t>huevecillos, </w:t>
            </w:r>
            <w:r>
              <w:rPr>
                <w:spacing w:val="55"/>
                <w:sz w:val="22"/>
              </w:rPr>
              <w:t> </w:t>
            </w:r>
            <w:r>
              <w:rPr>
                <w:sz w:val="22"/>
              </w:rPr>
              <w:t>pero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sembraron</w:t>
            </w:r>
          </w:p>
        </w:tc>
        <w:tc>
          <w:tcPr>
            <w:tcW w:w="1985" w:type="dxa"/>
            <w:tcBorders>
              <w:top w:val="nil"/>
              <w:bottom w:val="nil"/>
            </w:tcBorders>
          </w:tcPr>
          <w:p>
            <w:pPr>
              <w:pStyle w:val="TableParagraph"/>
              <w:spacing w:line="241" w:lineRule="exact"/>
              <w:rPr>
                <w:sz w:val="22"/>
              </w:rPr>
            </w:pPr>
            <w:r>
              <w:rPr>
                <w:sz w:val="22"/>
              </w:rPr>
              <w:t>muchos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450,000 peces</w:t>
            </w:r>
          </w:p>
        </w:tc>
        <w:tc>
          <w:tcPr>
            <w:tcW w:w="1985" w:type="dxa"/>
            <w:tcBorders>
              <w:top w:val="nil"/>
              <w:bottom w:val="nil"/>
            </w:tcBorders>
          </w:tcPr>
          <w:p>
            <w:pPr>
              <w:pStyle w:val="TableParagraph"/>
              <w:spacing w:line="242" w:lineRule="exact"/>
              <w:rPr>
                <w:sz w:val="22"/>
              </w:rPr>
            </w:pPr>
            <w:r>
              <w:rPr>
                <w:sz w:val="22"/>
              </w:rPr>
              <w:t>pescadores  no lo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57" w:val="left" w:leader="none"/>
              </w:tabs>
              <w:spacing w:line="241" w:lineRule="exact"/>
              <w:rPr>
                <w:sz w:val="22"/>
              </w:rPr>
            </w:pPr>
            <w:r>
              <w:rPr>
                <w:sz w:val="22"/>
              </w:rPr>
              <w:t>que</w:t>
              <w:tab/>
              <w:t>después</w:t>
            </w:r>
          </w:p>
        </w:tc>
        <w:tc>
          <w:tcPr>
            <w:tcW w:w="1985" w:type="dxa"/>
            <w:tcBorders>
              <w:top w:val="nil"/>
              <w:bottom w:val="nil"/>
            </w:tcBorders>
          </w:tcPr>
          <w:p>
            <w:pPr>
              <w:pStyle w:val="TableParagraph"/>
              <w:spacing w:line="241" w:lineRule="exact"/>
              <w:rPr>
                <w:sz w:val="22"/>
              </w:rPr>
            </w:pPr>
            <w:r>
              <w:rPr>
                <w:sz w:val="22"/>
              </w:rPr>
              <w:t>respetan.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fueron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2" w:lineRule="exact"/>
              <w:rPr>
                <w:sz w:val="22"/>
              </w:rPr>
            </w:pPr>
            <w:r>
              <w:rPr>
                <w:sz w:val="22"/>
              </w:rPr>
              <w:t>pescados</w:t>
              <w:tab/>
              <w:t>en</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otros</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841" w:type="dxa"/>
            <w:vMerge/>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3" w:lineRule="exact"/>
              <w:rPr>
                <w:sz w:val="22"/>
              </w:rPr>
            </w:pPr>
            <w:r>
              <w:rPr>
                <w:sz w:val="22"/>
              </w:rPr>
              <w:t>municipios.</w:t>
            </w:r>
          </w:p>
        </w:tc>
        <w:tc>
          <w:tcPr>
            <w:tcW w:w="1985" w:type="dxa"/>
            <w:tcBorders>
              <w:top w:val="nil"/>
            </w:tcBorders>
          </w:tcPr>
          <w:p>
            <w:pPr/>
          </w:p>
        </w:tc>
      </w:tr>
    </w:tbl>
    <w:p>
      <w:pPr>
        <w:spacing w:after="0"/>
        <w:sectPr>
          <w:footerReference w:type="default" r:id="rId178"/>
          <w:pgSz w:w="15840" w:h="12240" w:orient="landscape"/>
          <w:pgMar w:footer="943" w:header="0" w:top="1140" w:bottom="1140" w:left="1200" w:right="1300"/>
          <w:pgNumType w:start="22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left="410" w:right="127"/>
              <w:rPr>
                <w:sz w:val="22"/>
              </w:rPr>
            </w:pPr>
            <w:r>
              <w:rPr>
                <w:sz w:val="22"/>
              </w:rPr>
              <w:t>Jorge</w:t>
            </w:r>
          </w:p>
        </w:tc>
        <w:tc>
          <w:tcPr>
            <w:tcW w:w="1418" w:type="dxa"/>
            <w:tcBorders>
              <w:bottom w:val="nil"/>
            </w:tcBorders>
          </w:tcPr>
          <w:p>
            <w:pPr>
              <w:pStyle w:val="TableParagraph"/>
              <w:spacing w:line="251" w:lineRule="exact"/>
              <w:ind w:left="100"/>
              <w:rPr>
                <w:sz w:val="22"/>
              </w:rPr>
            </w:pPr>
            <w:r>
              <w:rPr>
                <w:sz w:val="22"/>
              </w:rPr>
              <w:t>Campesino,</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Secretari</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spacing w:line="251" w:lineRule="exact"/>
              <w:rPr>
                <w:sz w:val="22"/>
              </w:rPr>
            </w:pPr>
            <w:r>
              <w:rPr>
                <w:sz w:val="22"/>
              </w:rPr>
              <w:t>No  ha </w:t>
            </w:r>
            <w:r>
              <w:rPr>
                <w:spacing w:val="52"/>
                <w:sz w:val="22"/>
              </w:rPr>
              <w:t> </w:t>
            </w:r>
            <w:r>
              <w:rPr>
                <w:sz w:val="22"/>
              </w:rPr>
              <w:t>habido</w:t>
            </w:r>
          </w:p>
        </w:tc>
        <w:tc>
          <w:tcPr>
            <w:tcW w:w="1985" w:type="dxa"/>
            <w:tcBorders>
              <w:bottom w:val="nil"/>
            </w:tcBorders>
          </w:tcPr>
          <w:p>
            <w:pPr>
              <w:pStyle w:val="TableParagraph"/>
              <w:tabs>
                <w:tab w:pos="760" w:val="left" w:leader="none"/>
              </w:tabs>
              <w:spacing w:line="251" w:lineRule="exact"/>
              <w:rPr>
                <w:sz w:val="22"/>
              </w:rPr>
            </w:pPr>
            <w:r>
              <w:rPr>
                <w:sz w:val="22"/>
              </w:rPr>
              <w:t>La</w:t>
              <w:tab/>
              <w:t>Conapesca</w:t>
            </w:r>
          </w:p>
        </w:tc>
      </w:tr>
      <w:tr>
        <w:trPr>
          <w:trHeight w:val="253" w:hRule="exact"/>
        </w:trPr>
        <w:tc>
          <w:tcPr>
            <w:tcW w:w="1385" w:type="dxa"/>
            <w:tcBorders>
              <w:top w:val="nil"/>
              <w:bottom w:val="nil"/>
            </w:tcBorders>
          </w:tcPr>
          <w:p>
            <w:pPr>
              <w:pStyle w:val="TableParagraph"/>
              <w:spacing w:line="241" w:lineRule="exact"/>
              <w:ind w:left="251" w:right="127"/>
              <w:rPr>
                <w:sz w:val="22"/>
              </w:rPr>
            </w:pPr>
            <w:r>
              <w:rPr>
                <w:sz w:val="22"/>
              </w:rPr>
              <w:t>Pichardo</w:t>
            </w:r>
          </w:p>
        </w:tc>
        <w:tc>
          <w:tcPr>
            <w:tcW w:w="1418" w:type="dxa"/>
            <w:tcBorders>
              <w:top w:val="nil"/>
              <w:bottom w:val="nil"/>
            </w:tcBorders>
          </w:tcPr>
          <w:p>
            <w:pPr>
              <w:pStyle w:val="TableParagraph"/>
              <w:spacing w:line="241" w:lineRule="exact"/>
              <w:ind w:left="100" w:right="101"/>
              <w:rPr>
                <w:sz w:val="22"/>
              </w:rPr>
            </w:pPr>
            <w:r>
              <w:rPr>
                <w:sz w:val="22"/>
              </w:rPr>
              <w:t>ganadero y</w:t>
            </w:r>
          </w:p>
        </w:tc>
        <w:tc>
          <w:tcPr>
            <w:tcW w:w="1841" w:type="dxa"/>
            <w:tcBorders>
              <w:top w:val="nil"/>
              <w:bottom w:val="nil"/>
            </w:tcBorders>
          </w:tcPr>
          <w:p>
            <w:pPr>
              <w:pStyle w:val="TableParagraph"/>
              <w:spacing w:line="241" w:lineRule="exact"/>
              <w:ind w:left="100"/>
              <w:rPr>
                <w:sz w:val="22"/>
              </w:rPr>
            </w:pPr>
            <w:r>
              <w:rPr>
                <w:sz w:val="22"/>
              </w:rPr>
              <w:t>“Pichardo”</w:t>
            </w:r>
          </w:p>
        </w:tc>
        <w:tc>
          <w:tcPr>
            <w:tcW w:w="1135" w:type="dxa"/>
            <w:tcBorders>
              <w:top w:val="nil"/>
              <w:bottom w:val="nil"/>
            </w:tcBorders>
          </w:tcPr>
          <w:p>
            <w:pPr>
              <w:pStyle w:val="TableParagraph"/>
              <w:spacing w:line="241" w:lineRule="exact"/>
              <w:rPr>
                <w:sz w:val="22"/>
              </w:rPr>
            </w:pPr>
            <w:r>
              <w:rPr>
                <w:w w:val="100"/>
                <w:sz w:val="22"/>
              </w:rPr>
              <w:t>o</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Pr>
                <w:sz w:val="22"/>
              </w:rPr>
            </w:pPr>
            <w:r>
              <w:rPr>
                <w:w w:val="100"/>
                <w:sz w:val="22"/>
              </w:rPr>
              <w:t>o</w:t>
            </w:r>
          </w:p>
        </w:tc>
        <w:tc>
          <w:tcPr>
            <w:tcW w:w="1702" w:type="dxa"/>
            <w:tcBorders>
              <w:top w:val="nil"/>
              <w:bottom w:val="nil"/>
            </w:tcBorders>
          </w:tcPr>
          <w:p>
            <w:pPr>
              <w:pStyle w:val="TableParagraph"/>
              <w:spacing w:line="241" w:lineRule="exact"/>
              <w:rPr>
                <w:sz w:val="22"/>
              </w:rPr>
            </w:pPr>
            <w:r>
              <w:rPr>
                <w:sz w:val="22"/>
              </w:rPr>
              <w:t>problemas</w:t>
            </w:r>
          </w:p>
        </w:tc>
        <w:tc>
          <w:tcPr>
            <w:tcW w:w="1985" w:type="dxa"/>
            <w:tcBorders>
              <w:top w:val="nil"/>
              <w:bottom w:val="nil"/>
            </w:tcBorders>
          </w:tcPr>
          <w:p>
            <w:pPr>
              <w:pStyle w:val="TableParagraph"/>
              <w:tabs>
                <w:tab w:pos="1592" w:val="left" w:leader="none"/>
              </w:tabs>
              <w:spacing w:line="241" w:lineRule="exact"/>
              <w:rPr>
                <w:sz w:val="22"/>
              </w:rPr>
            </w:pPr>
            <w:r>
              <w:rPr>
                <w:sz w:val="22"/>
              </w:rPr>
              <w:t>conformó</w:t>
              <w:tab/>
              <w:t>las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pescador</w:t>
            </w: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9" w:val="left" w:leader="none"/>
              </w:tabs>
              <w:spacing w:line="242" w:lineRule="exact"/>
              <w:rPr>
                <w:sz w:val="22"/>
              </w:rPr>
            </w:pPr>
            <w:r>
              <w:rPr>
                <w:sz w:val="22"/>
              </w:rPr>
              <w:t>entre</w:t>
              <w:tab/>
              <w:t>los</w:t>
            </w:r>
          </w:p>
        </w:tc>
        <w:tc>
          <w:tcPr>
            <w:tcW w:w="1985" w:type="dxa"/>
            <w:tcBorders>
              <w:top w:val="nil"/>
              <w:bottom w:val="nil"/>
            </w:tcBorders>
          </w:tcPr>
          <w:p>
            <w:pPr>
              <w:pStyle w:val="TableParagraph"/>
              <w:tabs>
                <w:tab w:pos="1763" w:val="left" w:leader="none"/>
              </w:tabs>
              <w:spacing w:line="242" w:lineRule="exact"/>
              <w:rPr>
                <w:sz w:val="22"/>
              </w:rPr>
            </w:pPr>
            <w:r>
              <w:rPr>
                <w:sz w:val="22"/>
              </w:rPr>
              <w:t>cooperativas</w:t>
              <w:tab/>
              <w:t>y</w:t>
            </w:r>
          </w:p>
        </w:tc>
      </w:tr>
      <w:tr>
        <w:trPr>
          <w:trHeight w:val="253" w:hRule="exact"/>
        </w:trPr>
        <w:tc>
          <w:tcPr>
            <w:tcW w:w="1385" w:type="dxa"/>
            <w:tcBorders>
              <w:top w:val="nil"/>
              <w:bottom w:val="nil"/>
            </w:tcBorders>
          </w:tcPr>
          <w:p>
            <w:pPr>
              <w:pStyle w:val="TableParagraph"/>
              <w:spacing w:line="241" w:lineRule="exact"/>
              <w:ind w:left="184" w:right="127"/>
              <w:rPr>
                <w:sz w:val="22"/>
              </w:rPr>
            </w:pPr>
            <w:r>
              <w:rPr>
                <w:sz w:val="22"/>
              </w:rPr>
              <w:t>(7/7/2014)</w:t>
            </w: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habitantes</w:t>
              <w:tab/>
              <w:t>de</w:t>
            </w:r>
          </w:p>
        </w:tc>
        <w:tc>
          <w:tcPr>
            <w:tcW w:w="1985" w:type="dxa"/>
            <w:tcBorders>
              <w:top w:val="nil"/>
              <w:bottom w:val="nil"/>
            </w:tcBorders>
          </w:tcPr>
          <w:p>
            <w:pPr>
              <w:pStyle w:val="TableParagraph"/>
              <w:tabs>
                <w:tab w:pos="1591" w:val="left" w:leader="none"/>
              </w:tabs>
              <w:spacing w:line="241" w:lineRule="exact"/>
              <w:rPr>
                <w:sz w:val="22"/>
              </w:rPr>
            </w:pPr>
            <w:r>
              <w:rPr>
                <w:sz w:val="22"/>
              </w:rPr>
              <w:t>registraron</w:t>
              <w:tab/>
              <w:t>las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82" w:val="left" w:leader="none"/>
              </w:tabs>
              <w:spacing w:line="242" w:lineRule="exact"/>
              <w:rPr>
                <w:sz w:val="22"/>
              </w:rPr>
            </w:pPr>
            <w:r>
              <w:rPr>
                <w:sz w:val="22"/>
              </w:rPr>
              <w:t>los</w:t>
              <w:tab/>
              <w:t>distintos</w:t>
            </w:r>
          </w:p>
        </w:tc>
        <w:tc>
          <w:tcPr>
            <w:tcW w:w="1985" w:type="dxa"/>
            <w:tcBorders>
              <w:top w:val="nil"/>
              <w:bottom w:val="nil"/>
            </w:tcBorders>
          </w:tcPr>
          <w:p>
            <w:pPr>
              <w:pStyle w:val="TableParagraph"/>
              <w:spacing w:line="242" w:lineRule="exact"/>
              <w:rPr>
                <w:sz w:val="22"/>
              </w:rPr>
            </w:pPr>
            <w:r>
              <w:rPr>
                <w:sz w:val="22"/>
              </w:rPr>
              <w:t>cooperativas,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municipios que</w:t>
            </w:r>
          </w:p>
        </w:tc>
        <w:tc>
          <w:tcPr>
            <w:tcW w:w="1985" w:type="dxa"/>
            <w:tcBorders>
              <w:top w:val="nil"/>
              <w:bottom w:val="nil"/>
            </w:tcBorders>
          </w:tcPr>
          <w:p>
            <w:pPr>
              <w:pStyle w:val="TableParagraph"/>
              <w:tabs>
                <w:tab w:pos="849" w:val="left" w:leader="none"/>
                <w:tab w:pos="1504" w:val="left" w:leader="none"/>
              </w:tabs>
              <w:spacing w:line="241" w:lineRule="exact"/>
              <w:rPr>
                <w:sz w:val="22"/>
              </w:rPr>
            </w:pPr>
            <w:r>
              <w:rPr>
                <w:sz w:val="22"/>
              </w:rPr>
              <w:t>pero</w:t>
              <w:tab/>
              <w:t>hay</w:t>
              <w:tab/>
              <w:t>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colindan con la</w:t>
            </w:r>
          </w:p>
        </w:tc>
        <w:tc>
          <w:tcPr>
            <w:tcW w:w="1985" w:type="dxa"/>
            <w:tcBorders>
              <w:top w:val="nil"/>
              <w:bottom w:val="nil"/>
            </w:tcBorders>
          </w:tcPr>
          <w:p>
            <w:pPr>
              <w:pStyle w:val="TableParagraph"/>
              <w:tabs>
                <w:tab w:pos="1031" w:val="left" w:leader="none"/>
              </w:tabs>
              <w:spacing w:line="241" w:lineRule="exact"/>
              <w:rPr>
                <w:sz w:val="22"/>
              </w:rPr>
            </w:pPr>
            <w:r>
              <w:rPr>
                <w:sz w:val="22"/>
              </w:rPr>
              <w:t>sacar</w:t>
              <w:tab/>
              <w:t>permiso,</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laguna  porque</w:t>
            </w:r>
          </w:p>
        </w:tc>
        <w:tc>
          <w:tcPr>
            <w:tcW w:w="1985" w:type="dxa"/>
            <w:tcBorders>
              <w:top w:val="nil"/>
              <w:bottom w:val="nil"/>
            </w:tcBorders>
          </w:tcPr>
          <w:p>
            <w:pPr>
              <w:pStyle w:val="TableParagraph"/>
              <w:tabs>
                <w:tab w:pos="1127" w:val="left" w:leader="none"/>
              </w:tabs>
              <w:spacing w:line="242" w:lineRule="exact"/>
              <w:rPr>
                <w:sz w:val="22"/>
              </w:rPr>
            </w:pPr>
            <w:r>
              <w:rPr>
                <w:sz w:val="22"/>
              </w:rPr>
              <w:t>pero</w:t>
              <w:tab/>
              <w:t>primero</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18" w:val="left" w:leader="none"/>
              </w:tabs>
              <w:spacing w:line="241" w:lineRule="exact"/>
              <w:rPr>
                <w:sz w:val="22"/>
              </w:rPr>
            </w:pPr>
            <w:r>
              <w:rPr>
                <w:sz w:val="22"/>
              </w:rPr>
              <w:t>hay</w:t>
              <w:tab/>
              <w:t>muchos</w:t>
            </w:r>
          </w:p>
        </w:tc>
        <w:tc>
          <w:tcPr>
            <w:tcW w:w="1985" w:type="dxa"/>
            <w:tcBorders>
              <w:top w:val="nil"/>
              <w:bottom w:val="nil"/>
            </w:tcBorders>
          </w:tcPr>
          <w:p>
            <w:pPr>
              <w:pStyle w:val="TableParagraph"/>
              <w:tabs>
                <w:tab w:pos="1504" w:val="left" w:leader="none"/>
              </w:tabs>
              <w:spacing w:line="241" w:lineRule="exact"/>
              <w:rPr>
                <w:sz w:val="22"/>
              </w:rPr>
            </w:pPr>
            <w:r>
              <w:rPr>
                <w:sz w:val="22"/>
              </w:rPr>
              <w:t>dijeron</w:t>
              <w:tab/>
              <w:t>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53" w:val="left" w:leader="none"/>
              </w:tabs>
              <w:spacing w:line="242" w:lineRule="exact"/>
              <w:rPr>
                <w:sz w:val="22"/>
              </w:rPr>
            </w:pPr>
            <w:r>
              <w:rPr>
                <w:sz w:val="22"/>
              </w:rPr>
              <w:t>peces,</w:t>
              <w:tab/>
              <w:t>hasta</w:t>
            </w:r>
          </w:p>
        </w:tc>
        <w:tc>
          <w:tcPr>
            <w:tcW w:w="1985" w:type="dxa"/>
            <w:tcBorders>
              <w:top w:val="nil"/>
              <w:bottom w:val="nil"/>
            </w:tcBorders>
          </w:tcPr>
          <w:p>
            <w:pPr>
              <w:pStyle w:val="TableParagraph"/>
              <w:tabs>
                <w:tab w:pos="1262" w:val="left" w:leader="none"/>
              </w:tabs>
              <w:spacing w:line="242" w:lineRule="exact"/>
              <w:rPr>
                <w:sz w:val="22"/>
              </w:rPr>
            </w:pPr>
            <w:r>
              <w:rPr>
                <w:sz w:val="22"/>
              </w:rPr>
              <w:t>costaba</w:t>
              <w:tab/>
              <w:t>7,000,</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acaba</w:t>
              <w:tab/>
              <w:t>de</w:t>
            </w:r>
          </w:p>
        </w:tc>
        <w:tc>
          <w:tcPr>
            <w:tcW w:w="1985" w:type="dxa"/>
            <w:tcBorders>
              <w:top w:val="nil"/>
              <w:bottom w:val="nil"/>
            </w:tcBorders>
          </w:tcPr>
          <w:p>
            <w:pPr>
              <w:pStyle w:val="TableParagraph"/>
              <w:tabs>
                <w:tab w:pos="1396" w:val="left" w:leader="none"/>
              </w:tabs>
              <w:spacing w:line="241" w:lineRule="exact"/>
              <w:rPr>
                <w:sz w:val="22"/>
              </w:rPr>
            </w:pPr>
            <w:r>
              <w:rPr>
                <w:sz w:val="22"/>
              </w:rPr>
              <w:t>por</w:t>
              <w:tab/>
              <w:t>cada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8" w:val="left" w:leader="none"/>
              </w:tabs>
              <w:spacing w:line="241" w:lineRule="exact"/>
              <w:rPr>
                <w:sz w:val="22"/>
              </w:rPr>
            </w:pPr>
            <w:r>
              <w:rPr>
                <w:sz w:val="22"/>
              </w:rPr>
              <w:t>hacerse</w:t>
              <w:tab/>
              <w:t>la</w:t>
            </w:r>
          </w:p>
        </w:tc>
        <w:tc>
          <w:tcPr>
            <w:tcW w:w="1985" w:type="dxa"/>
            <w:tcBorders>
              <w:top w:val="nil"/>
              <w:bottom w:val="nil"/>
            </w:tcBorders>
          </w:tcPr>
          <w:p>
            <w:pPr>
              <w:pStyle w:val="TableParagraph"/>
              <w:spacing w:line="241" w:lineRule="exact"/>
              <w:rPr>
                <w:sz w:val="22"/>
              </w:rPr>
            </w:pPr>
            <w:r>
              <w:rPr>
                <w:sz w:val="22"/>
              </w:rPr>
              <w:t>integrante   de   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cooperativa de</w:t>
            </w:r>
          </w:p>
        </w:tc>
        <w:tc>
          <w:tcPr>
            <w:tcW w:w="1985" w:type="dxa"/>
            <w:tcBorders>
              <w:top w:val="nil"/>
              <w:bottom w:val="nil"/>
            </w:tcBorders>
          </w:tcPr>
          <w:p>
            <w:pPr>
              <w:pStyle w:val="TableParagraph"/>
              <w:spacing w:line="242" w:lineRule="exact"/>
              <w:rPr>
                <w:sz w:val="22"/>
              </w:rPr>
            </w:pPr>
            <w:r>
              <w:rPr>
                <w:sz w:val="22"/>
              </w:rPr>
              <w:t>cooperativa,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toda la laguna.</w:t>
            </w:r>
          </w:p>
        </w:tc>
        <w:tc>
          <w:tcPr>
            <w:tcW w:w="1985" w:type="dxa"/>
            <w:tcBorders>
              <w:top w:val="nil"/>
              <w:bottom w:val="nil"/>
            </w:tcBorders>
          </w:tcPr>
          <w:p>
            <w:pPr>
              <w:pStyle w:val="TableParagraph"/>
              <w:tabs>
                <w:tab w:pos="1567" w:val="left" w:leader="none"/>
              </w:tabs>
              <w:spacing w:line="241" w:lineRule="exact"/>
              <w:rPr>
                <w:sz w:val="22"/>
              </w:rPr>
            </w:pPr>
            <w:r>
              <w:rPr>
                <w:sz w:val="22"/>
              </w:rPr>
              <w:t>después</w:t>
              <w:tab/>
              <w:t>me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962" w:val="left" w:leader="none"/>
                <w:tab w:pos="1566" w:val="left" w:leader="none"/>
              </w:tabs>
              <w:spacing w:line="242" w:lineRule="exact"/>
              <w:rPr>
                <w:sz w:val="22"/>
              </w:rPr>
            </w:pPr>
            <w:r>
              <w:rPr>
                <w:sz w:val="22"/>
              </w:rPr>
              <w:t>enteré</w:t>
              <w:tab/>
              <w:t>que</w:t>
              <w:tab/>
              <w:t>fue</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434" w:val="left" w:leader="none"/>
              </w:tabs>
              <w:spacing w:line="241" w:lineRule="exact"/>
              <w:rPr>
                <w:sz w:val="22"/>
              </w:rPr>
            </w:pPr>
            <w:r>
              <w:rPr>
                <w:sz w:val="22"/>
              </w:rPr>
              <w:t>económico,</w:t>
              <w:tab/>
              <w:t>pero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por  eso  yo  no lo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31" w:val="left" w:leader="none"/>
                <w:tab w:pos="1530" w:val="left" w:leader="none"/>
              </w:tabs>
              <w:spacing w:line="242" w:lineRule="exact"/>
              <w:rPr>
                <w:sz w:val="22"/>
              </w:rPr>
            </w:pPr>
            <w:r>
              <w:rPr>
                <w:sz w:val="22"/>
              </w:rPr>
              <w:t>saqué</w:t>
              <w:tab/>
              <w:t>ni</w:t>
              <w:tab/>
              <w:t>mis</w:t>
            </w: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compañeros.</w:t>
            </w:r>
          </w:p>
        </w:tc>
      </w:tr>
      <w:tr>
        <w:trPr>
          <w:trHeight w:val="266" w:hRule="exact"/>
        </w:trPr>
        <w:tc>
          <w:tcPr>
            <w:tcW w:w="1385" w:type="dxa"/>
            <w:tcBorders>
              <w:bottom w:val="nil"/>
            </w:tcBorders>
          </w:tcPr>
          <w:p>
            <w:pPr>
              <w:pStyle w:val="TableParagraph"/>
              <w:spacing w:line="251" w:lineRule="exact"/>
              <w:ind w:right="127"/>
              <w:rPr>
                <w:sz w:val="22"/>
              </w:rPr>
            </w:pPr>
            <w:r>
              <w:rPr>
                <w:sz w:val="22"/>
              </w:rPr>
              <w:t>Juan</w:t>
            </w:r>
          </w:p>
        </w:tc>
        <w:tc>
          <w:tcPr>
            <w:tcW w:w="1418" w:type="dxa"/>
            <w:tcBorders>
              <w:bottom w:val="nil"/>
            </w:tcBorders>
          </w:tcPr>
          <w:p>
            <w:pPr>
              <w:pStyle w:val="TableParagraph"/>
              <w:spacing w:line="251" w:lineRule="exact"/>
              <w:ind w:left="100" w:right="101"/>
              <w:rPr>
                <w:sz w:val="22"/>
              </w:rPr>
            </w:pPr>
            <w:r>
              <w:rPr>
                <w:sz w:val="22"/>
              </w:rPr>
              <w:t>Tenemos</w:t>
            </w:r>
          </w:p>
        </w:tc>
        <w:tc>
          <w:tcPr>
            <w:tcW w:w="1841" w:type="dxa"/>
            <w:tcBorders>
              <w:bottom w:val="nil"/>
            </w:tcBorders>
          </w:tcPr>
          <w:p>
            <w:pPr>
              <w:pStyle w:val="TableParagraph"/>
              <w:spacing w:line="251" w:lineRule="exact"/>
              <w:ind w:left="100"/>
              <w:rPr>
                <w:sz w:val="22"/>
              </w:rPr>
            </w:pPr>
            <w:r>
              <w:rPr>
                <w:sz w:val="22"/>
              </w:rPr>
              <w:t>Cooperativa  “El</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Aldama</w:t>
            </w:r>
          </w:p>
        </w:tc>
        <w:tc>
          <w:tcPr>
            <w:tcW w:w="1133" w:type="dxa"/>
            <w:tcBorders>
              <w:bottom w:val="nil"/>
            </w:tcBorders>
          </w:tcPr>
          <w:p>
            <w:pPr>
              <w:pStyle w:val="TableParagraph"/>
              <w:spacing w:line="251" w:lineRule="exact"/>
              <w:ind w:left="100" w:right="52"/>
              <w:rPr>
                <w:sz w:val="22"/>
              </w:rPr>
            </w:pPr>
            <w:r>
              <w:rPr>
                <w:sz w:val="22"/>
              </w:rPr>
              <w:t>Aldama</w:t>
            </w:r>
          </w:p>
        </w:tc>
        <w:tc>
          <w:tcPr>
            <w:tcW w:w="1702" w:type="dxa"/>
            <w:tcBorders>
              <w:bottom w:val="nil"/>
            </w:tcBorders>
          </w:tcPr>
          <w:p>
            <w:pPr>
              <w:pStyle w:val="TableParagraph"/>
              <w:spacing w:line="251" w:lineRule="exact"/>
              <w:rPr>
                <w:sz w:val="22"/>
              </w:rPr>
            </w:pPr>
            <w:r>
              <w:rPr>
                <w:sz w:val="22"/>
              </w:rPr>
              <w:t>Algunas</w:t>
            </w:r>
            <w:r>
              <w:rPr>
                <w:spacing w:val="50"/>
                <w:sz w:val="22"/>
              </w:rPr>
              <w:t> </w:t>
            </w:r>
            <w:r>
              <w:rPr>
                <w:sz w:val="22"/>
              </w:rPr>
              <w:t>veces</w:t>
            </w:r>
          </w:p>
        </w:tc>
        <w:tc>
          <w:tcPr>
            <w:tcW w:w="1985" w:type="dxa"/>
            <w:tcBorders>
              <w:bottom w:val="nil"/>
            </w:tcBorders>
          </w:tcPr>
          <w:p>
            <w:pPr>
              <w:pStyle w:val="TableParagraph"/>
              <w:tabs>
                <w:tab w:pos="760" w:val="left" w:leader="none"/>
              </w:tabs>
              <w:spacing w:line="251" w:lineRule="exact"/>
              <w:rPr>
                <w:sz w:val="22"/>
              </w:rPr>
            </w:pPr>
            <w:r>
              <w:rPr>
                <w:sz w:val="22"/>
              </w:rPr>
              <w:t>La</w:t>
              <w:tab/>
              <w:t>Conapesca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Style w:val="TableParagraph"/>
              <w:spacing w:line="241" w:lineRule="exact"/>
              <w:ind w:left="100" w:right="101"/>
              <w:rPr>
                <w:sz w:val="22"/>
              </w:rPr>
            </w:pPr>
            <w:r>
              <w:rPr>
                <w:sz w:val="22"/>
              </w:rPr>
              <w:t>muchas</w:t>
            </w:r>
          </w:p>
        </w:tc>
        <w:tc>
          <w:tcPr>
            <w:tcW w:w="1841" w:type="dxa"/>
            <w:tcBorders>
              <w:top w:val="nil"/>
              <w:bottom w:val="nil"/>
            </w:tcBorders>
          </w:tcPr>
          <w:p>
            <w:pPr>
              <w:pStyle w:val="TableParagraph"/>
              <w:tabs>
                <w:tab w:pos="1189" w:val="left" w:leader="none"/>
              </w:tabs>
              <w:spacing w:line="241" w:lineRule="exact"/>
              <w:ind w:left="100"/>
              <w:rPr>
                <w:sz w:val="22"/>
              </w:rPr>
            </w:pPr>
            <w:r>
              <w:rPr>
                <w:sz w:val="22"/>
              </w:rPr>
              <w:t>Mogote”</w:t>
              <w:tab/>
              <w:t>(Para</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(Tercera</w:t>
            </w:r>
          </w:p>
        </w:tc>
        <w:tc>
          <w:tcPr>
            <w:tcW w:w="1133" w:type="dxa"/>
            <w:tcBorders>
              <w:top w:val="nil"/>
              <w:bottom w:val="nil"/>
            </w:tcBorders>
          </w:tcPr>
          <w:p>
            <w:pPr>
              <w:pStyle w:val="TableParagraph"/>
              <w:spacing w:line="241" w:lineRule="exact"/>
              <w:ind w:left="100" w:right="52"/>
              <w:rPr>
                <w:sz w:val="22"/>
              </w:rPr>
            </w:pPr>
            <w:r>
              <w:rPr>
                <w:sz w:val="22"/>
              </w:rPr>
              <w:t>(Tercera</w:t>
            </w:r>
          </w:p>
        </w:tc>
        <w:tc>
          <w:tcPr>
            <w:tcW w:w="1702" w:type="dxa"/>
            <w:tcBorders>
              <w:top w:val="nil"/>
              <w:bottom w:val="nil"/>
            </w:tcBorders>
          </w:tcPr>
          <w:p>
            <w:pPr>
              <w:pStyle w:val="TableParagraph"/>
              <w:spacing w:line="241" w:lineRule="exact"/>
              <w:rPr>
                <w:sz w:val="22"/>
              </w:rPr>
            </w:pPr>
            <w:r>
              <w:rPr>
                <w:sz w:val="22"/>
              </w:rPr>
              <w:t>existen</w:t>
            </w:r>
          </w:p>
        </w:tc>
        <w:tc>
          <w:tcPr>
            <w:tcW w:w="1985" w:type="dxa"/>
            <w:tcBorders>
              <w:top w:val="nil"/>
              <w:bottom w:val="nil"/>
            </w:tcBorders>
          </w:tcPr>
          <w:p>
            <w:pPr>
              <w:pStyle w:val="TableParagraph"/>
              <w:spacing w:line="241" w:lineRule="exact"/>
              <w:rPr>
                <w:sz w:val="22"/>
              </w:rPr>
            </w:pPr>
            <w:r>
              <w:rPr>
                <w:sz w:val="22"/>
              </w:rPr>
              <w:t>nos  obliga  a que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Huitrón</w:t>
            </w:r>
          </w:p>
        </w:tc>
        <w:tc>
          <w:tcPr>
            <w:tcW w:w="1418" w:type="dxa"/>
            <w:tcBorders>
              <w:top w:val="nil"/>
              <w:bottom w:val="nil"/>
            </w:tcBorders>
          </w:tcPr>
          <w:p>
            <w:pPr>
              <w:pStyle w:val="TableParagraph"/>
              <w:spacing w:line="242" w:lineRule="exact"/>
              <w:ind w:left="100" w:right="101"/>
              <w:rPr>
                <w:sz w:val="22"/>
              </w:rPr>
            </w:pPr>
            <w:r>
              <w:rPr>
                <w:sz w:val="22"/>
              </w:rPr>
              <w:t>ocupacione</w:t>
            </w:r>
          </w:p>
        </w:tc>
        <w:tc>
          <w:tcPr>
            <w:tcW w:w="1841" w:type="dxa"/>
            <w:tcBorders>
              <w:top w:val="nil"/>
              <w:bottom w:val="nil"/>
            </w:tcBorders>
          </w:tcPr>
          <w:p>
            <w:pPr>
              <w:pStyle w:val="TableParagraph"/>
              <w:spacing w:line="242" w:lineRule="exact"/>
              <w:ind w:left="100"/>
              <w:rPr>
                <w:sz w:val="22"/>
              </w:rPr>
            </w:pPr>
            <w:r>
              <w:rPr>
                <w:sz w:val="22"/>
              </w:rPr>
              <w:t>Gobernación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Manzana</w:t>
            </w:r>
          </w:p>
        </w:tc>
        <w:tc>
          <w:tcPr>
            <w:tcW w:w="1133" w:type="dxa"/>
            <w:tcBorders>
              <w:top w:val="nil"/>
              <w:bottom w:val="nil"/>
            </w:tcBorders>
          </w:tcPr>
          <w:p>
            <w:pPr>
              <w:pStyle w:val="TableParagraph"/>
              <w:spacing w:line="242" w:lineRule="exact"/>
              <w:ind w:left="100" w:right="52"/>
              <w:rPr>
                <w:sz w:val="22"/>
              </w:rPr>
            </w:pPr>
            <w:r>
              <w:rPr>
                <w:sz w:val="22"/>
              </w:rPr>
              <w:t>Manzana</w:t>
            </w:r>
          </w:p>
        </w:tc>
        <w:tc>
          <w:tcPr>
            <w:tcW w:w="1702" w:type="dxa"/>
            <w:tcBorders>
              <w:top w:val="nil"/>
              <w:bottom w:val="nil"/>
            </w:tcBorders>
          </w:tcPr>
          <w:p>
            <w:pPr>
              <w:pStyle w:val="TableParagraph"/>
              <w:spacing w:line="242" w:lineRule="exact"/>
              <w:rPr>
                <w:sz w:val="22"/>
              </w:rPr>
            </w:pPr>
            <w:r>
              <w:rPr>
                <w:sz w:val="22"/>
              </w:rPr>
              <w:t>problemas</w:t>
            </w:r>
          </w:p>
        </w:tc>
        <w:tc>
          <w:tcPr>
            <w:tcW w:w="1985" w:type="dxa"/>
            <w:tcBorders>
              <w:top w:val="nil"/>
              <w:bottom w:val="nil"/>
            </w:tcBorders>
          </w:tcPr>
          <w:p>
            <w:pPr>
              <w:pStyle w:val="TableParagraph"/>
              <w:tabs>
                <w:tab w:pos="1703" w:val="left" w:leader="none"/>
              </w:tabs>
              <w:spacing w:line="242" w:lineRule="exact"/>
              <w:rPr>
                <w:sz w:val="22"/>
              </w:rPr>
            </w:pPr>
            <w:r>
              <w:rPr>
                <w:sz w:val="22"/>
              </w:rPr>
              <w:t>saquemos</w:t>
              <w:tab/>
              <w:t>el</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(7/7/2014)</w:t>
            </w:r>
          </w:p>
        </w:tc>
        <w:tc>
          <w:tcPr>
            <w:tcW w:w="1418" w:type="dxa"/>
            <w:tcBorders>
              <w:top w:val="nil"/>
              <w:bottom w:val="nil"/>
            </w:tcBorders>
          </w:tcPr>
          <w:p>
            <w:pPr>
              <w:pStyle w:val="TableParagraph"/>
              <w:tabs>
                <w:tab w:pos="582" w:val="left" w:leader="none"/>
              </w:tabs>
              <w:spacing w:line="241" w:lineRule="exact"/>
              <w:ind w:left="100"/>
              <w:rPr>
                <w:sz w:val="22"/>
              </w:rPr>
            </w:pPr>
            <w:r>
              <w:rPr>
                <w:sz w:val="22"/>
              </w:rPr>
              <w:t>s:</w:t>
              <w:tab/>
              <w:t>campo,</w:t>
            </w:r>
          </w:p>
        </w:tc>
        <w:tc>
          <w:tcPr>
            <w:tcW w:w="1841" w:type="dxa"/>
            <w:tcBorders>
              <w:top w:val="nil"/>
              <w:bottom w:val="nil"/>
            </w:tcBorders>
          </w:tcPr>
          <w:p>
            <w:pPr>
              <w:pStyle w:val="TableParagraph"/>
              <w:tabs>
                <w:tab w:pos="1619" w:val="left" w:leader="none"/>
              </w:tabs>
              <w:spacing w:line="241" w:lineRule="exact"/>
              <w:ind w:left="100"/>
              <w:rPr>
                <w:sz w:val="22"/>
              </w:rPr>
            </w:pPr>
            <w:r>
              <w:rPr>
                <w:sz w:val="22"/>
              </w:rPr>
              <w:t>Estado)</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de El</w:t>
            </w:r>
          </w:p>
        </w:tc>
        <w:tc>
          <w:tcPr>
            <w:tcW w:w="1133" w:type="dxa"/>
            <w:tcBorders>
              <w:top w:val="nil"/>
              <w:bottom w:val="nil"/>
            </w:tcBorders>
          </w:tcPr>
          <w:p>
            <w:pPr>
              <w:pStyle w:val="TableParagraph"/>
              <w:spacing w:line="241" w:lineRule="exact"/>
              <w:ind w:left="100" w:right="52"/>
              <w:rPr>
                <w:sz w:val="22"/>
              </w:rPr>
            </w:pPr>
            <w:r>
              <w:rPr>
                <w:sz w:val="22"/>
              </w:rPr>
              <w:t>de El</w:t>
            </w:r>
          </w:p>
        </w:tc>
        <w:tc>
          <w:tcPr>
            <w:tcW w:w="1702" w:type="dxa"/>
            <w:tcBorders>
              <w:top w:val="nil"/>
              <w:bottom w:val="nil"/>
            </w:tcBorders>
          </w:tcPr>
          <w:p>
            <w:pPr>
              <w:pStyle w:val="TableParagraph"/>
              <w:tabs>
                <w:tab w:pos="1309" w:val="left" w:leader="none"/>
              </w:tabs>
              <w:spacing w:line="241" w:lineRule="exact"/>
              <w:rPr>
                <w:sz w:val="22"/>
              </w:rPr>
            </w:pPr>
            <w:r>
              <w:rPr>
                <w:sz w:val="22"/>
              </w:rPr>
              <w:t>entre</w:t>
              <w:tab/>
              <w:t>los</w:t>
            </w:r>
          </w:p>
        </w:tc>
        <w:tc>
          <w:tcPr>
            <w:tcW w:w="1985" w:type="dxa"/>
            <w:tcBorders>
              <w:top w:val="nil"/>
              <w:bottom w:val="nil"/>
            </w:tcBorders>
          </w:tcPr>
          <w:p>
            <w:pPr>
              <w:pStyle w:val="TableParagraph"/>
              <w:tabs>
                <w:tab w:pos="1434" w:val="left" w:leader="none"/>
              </w:tabs>
              <w:spacing w:line="241" w:lineRule="exact"/>
              <w:rPr>
                <w:sz w:val="22"/>
              </w:rPr>
            </w:pPr>
            <w:r>
              <w:rPr>
                <w:sz w:val="22"/>
              </w:rPr>
              <w:t>permiso</w:t>
              <w:tab/>
              <w:t>para</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tabs>
                <w:tab w:pos="1194" w:val="left" w:leader="none"/>
              </w:tabs>
              <w:spacing w:line="241" w:lineRule="exact"/>
              <w:ind w:left="100"/>
              <w:rPr>
                <w:sz w:val="22"/>
              </w:rPr>
            </w:pPr>
            <w:r>
              <w:rPr>
                <w:sz w:val="22"/>
              </w:rPr>
              <w:t>ganado</w:t>
              <w:tab/>
              <w:t>y</w:t>
            </w:r>
          </w:p>
        </w:tc>
        <w:tc>
          <w:tcPr>
            <w:tcW w:w="1841" w:type="dxa"/>
            <w:tcBorders>
              <w:top w:val="nil"/>
              <w:bottom w:val="nil"/>
            </w:tcBorders>
          </w:tcPr>
          <w:p>
            <w:pPr>
              <w:pStyle w:val="TableParagraph"/>
              <w:spacing w:line="241" w:lineRule="exact"/>
              <w:ind w:left="100"/>
              <w:rPr>
                <w:sz w:val="22"/>
              </w:rPr>
            </w:pPr>
            <w:r>
              <w:rPr>
                <w:sz w:val="22"/>
              </w:rPr>
              <w:t>Cooperativa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Trojillo),</w:t>
            </w:r>
          </w:p>
        </w:tc>
        <w:tc>
          <w:tcPr>
            <w:tcW w:w="1133" w:type="dxa"/>
            <w:tcBorders>
              <w:top w:val="nil"/>
              <w:bottom w:val="nil"/>
            </w:tcBorders>
          </w:tcPr>
          <w:p>
            <w:pPr>
              <w:pStyle w:val="TableParagraph"/>
              <w:spacing w:line="241" w:lineRule="exact"/>
              <w:ind w:left="100" w:right="52"/>
              <w:rPr>
                <w:sz w:val="22"/>
              </w:rPr>
            </w:pPr>
            <w:r>
              <w:rPr>
                <w:sz w:val="22"/>
              </w:rPr>
              <w:t>Trojillo),</w:t>
            </w:r>
          </w:p>
        </w:tc>
        <w:tc>
          <w:tcPr>
            <w:tcW w:w="1702" w:type="dxa"/>
            <w:tcBorders>
              <w:top w:val="nil"/>
              <w:bottom w:val="nil"/>
            </w:tcBorders>
          </w:tcPr>
          <w:p>
            <w:pPr>
              <w:pStyle w:val="TableParagraph"/>
              <w:tabs>
                <w:tab w:pos="1346" w:val="left" w:leader="none"/>
              </w:tabs>
              <w:spacing w:line="241" w:lineRule="exact"/>
              <w:rPr>
                <w:sz w:val="22"/>
              </w:rPr>
            </w:pPr>
            <w:r>
              <w:rPr>
                <w:sz w:val="22"/>
              </w:rPr>
              <w:t>habitantes</w:t>
              <w:tab/>
              <w:t>de</w:t>
            </w:r>
          </w:p>
        </w:tc>
        <w:tc>
          <w:tcPr>
            <w:tcW w:w="1985" w:type="dxa"/>
            <w:tcBorders>
              <w:top w:val="nil"/>
              <w:bottom w:val="nil"/>
            </w:tcBorders>
          </w:tcPr>
          <w:p>
            <w:pPr>
              <w:pStyle w:val="TableParagraph"/>
              <w:spacing w:line="241" w:lineRule="exact"/>
              <w:rPr>
                <w:sz w:val="22"/>
              </w:rPr>
            </w:pPr>
            <w:r>
              <w:rPr>
                <w:sz w:val="22"/>
              </w:rPr>
              <w:t>pescar,   pero   yo</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pesca.</w:t>
            </w:r>
          </w:p>
        </w:tc>
        <w:tc>
          <w:tcPr>
            <w:tcW w:w="1841" w:type="dxa"/>
            <w:tcBorders>
              <w:top w:val="nil"/>
              <w:bottom w:val="nil"/>
            </w:tcBorders>
          </w:tcPr>
          <w:p>
            <w:pPr>
              <w:pStyle w:val="TableParagraph"/>
              <w:spacing w:line="242" w:lineRule="exact"/>
              <w:ind w:left="100"/>
              <w:rPr>
                <w:sz w:val="22"/>
              </w:rPr>
            </w:pPr>
            <w:r>
              <w:rPr>
                <w:sz w:val="22"/>
              </w:rPr>
              <w:t>Rinconcito”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Jilotepec.</w:t>
            </w: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tabs>
                <w:tab w:pos="782" w:val="left" w:leader="none"/>
              </w:tabs>
              <w:spacing w:line="242" w:lineRule="exact"/>
              <w:rPr>
                <w:sz w:val="22"/>
              </w:rPr>
            </w:pPr>
            <w:r>
              <w:rPr>
                <w:sz w:val="22"/>
              </w:rPr>
              <w:t>los</w:t>
              <w:tab/>
              <w:t>distintos</w:t>
            </w:r>
          </w:p>
        </w:tc>
        <w:tc>
          <w:tcPr>
            <w:tcW w:w="1985" w:type="dxa"/>
            <w:tcBorders>
              <w:top w:val="nil"/>
              <w:bottom w:val="nil"/>
            </w:tcBorders>
          </w:tcPr>
          <w:p>
            <w:pPr>
              <w:pStyle w:val="TableParagraph"/>
              <w:tabs>
                <w:tab w:pos="726" w:val="left" w:leader="none"/>
                <w:tab w:pos="1628" w:val="left" w:leader="none"/>
              </w:tabs>
              <w:spacing w:line="242" w:lineRule="exact"/>
              <w:rPr>
                <w:sz w:val="22"/>
              </w:rPr>
            </w:pPr>
            <w:r>
              <w:rPr>
                <w:sz w:val="22"/>
              </w:rPr>
              <w:t>no</w:t>
              <w:tab/>
              <w:t>estoy</w:t>
              <w:tab/>
              <w:t>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556" w:val="left" w:leader="none"/>
              </w:tabs>
              <w:spacing w:line="241" w:lineRule="exact"/>
              <w:ind w:left="100"/>
              <w:rPr>
                <w:sz w:val="22"/>
              </w:rPr>
            </w:pPr>
            <w:r>
              <w:rPr>
                <w:sz w:val="22"/>
              </w:rPr>
              <w:t>(para</w:t>
              <w:tab/>
              <w:t>la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Pr>
                <w:sz w:val="22"/>
              </w:rPr>
            </w:pPr>
            <w:r>
              <w:rPr>
                <w:w w:val="100"/>
                <w:sz w:val="22"/>
              </w:rPr>
              <w:t>.</w:t>
            </w:r>
          </w:p>
        </w:tc>
        <w:tc>
          <w:tcPr>
            <w:tcW w:w="1702" w:type="dxa"/>
            <w:tcBorders>
              <w:top w:val="nil"/>
              <w:bottom w:val="nil"/>
            </w:tcBorders>
          </w:tcPr>
          <w:p>
            <w:pPr>
              <w:pStyle w:val="TableParagraph"/>
              <w:spacing w:line="241" w:lineRule="exact"/>
              <w:rPr>
                <w:sz w:val="22"/>
              </w:rPr>
            </w:pPr>
            <w:r>
              <w:rPr>
                <w:sz w:val="22"/>
              </w:rPr>
              <w:t>municipios que</w:t>
            </w:r>
          </w:p>
        </w:tc>
        <w:tc>
          <w:tcPr>
            <w:tcW w:w="1985" w:type="dxa"/>
            <w:tcBorders>
              <w:top w:val="nil"/>
              <w:bottom w:val="nil"/>
            </w:tcBorders>
          </w:tcPr>
          <w:p>
            <w:pPr>
              <w:pStyle w:val="TableParagraph"/>
              <w:tabs>
                <w:tab w:pos="1190" w:val="left" w:leader="none"/>
              </w:tabs>
              <w:spacing w:line="241" w:lineRule="exact"/>
              <w:rPr>
                <w:sz w:val="22"/>
              </w:rPr>
            </w:pPr>
            <w:r>
              <w:rPr>
                <w:sz w:val="22"/>
              </w:rPr>
              <w:t>acuerdo</w:t>
              <w:tab/>
              <w:t>porque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31" w:val="left" w:leader="none"/>
              </w:tabs>
              <w:spacing w:line="242" w:lineRule="exact"/>
              <w:ind w:left="100"/>
              <w:rPr>
                <w:sz w:val="22"/>
              </w:rPr>
            </w:pPr>
            <w:r>
              <w:rPr>
                <w:sz w:val="22"/>
              </w:rPr>
              <w:t>Secretaría</w:t>
              <w:tab/>
              <w:t>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colindan con la</w:t>
            </w:r>
          </w:p>
        </w:tc>
        <w:tc>
          <w:tcPr>
            <w:tcW w:w="1985" w:type="dxa"/>
            <w:tcBorders>
              <w:top w:val="nil"/>
              <w:bottom w:val="nil"/>
            </w:tcBorders>
          </w:tcPr>
          <w:p>
            <w:pPr>
              <w:pStyle w:val="TableParagraph"/>
              <w:spacing w:line="242" w:lineRule="exact"/>
              <w:rPr>
                <w:sz w:val="22"/>
              </w:rPr>
            </w:pPr>
            <w:r>
              <w:rPr>
                <w:sz w:val="22"/>
              </w:rPr>
              <w:t>sólo  nos  dan tres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Trabajo).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laguna,</w:t>
            </w:r>
          </w:p>
        </w:tc>
        <w:tc>
          <w:tcPr>
            <w:tcW w:w="1985" w:type="dxa"/>
            <w:tcBorders>
              <w:top w:val="nil"/>
              <w:bottom w:val="nil"/>
            </w:tcBorders>
          </w:tcPr>
          <w:p>
            <w:pPr>
              <w:pStyle w:val="TableParagraph"/>
              <w:spacing w:line="241" w:lineRule="exact"/>
              <w:rPr>
                <w:sz w:val="22"/>
              </w:rPr>
            </w:pPr>
            <w:r>
              <w:rPr>
                <w:sz w:val="22"/>
              </w:rPr>
              <w:t>permisos  y  cada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8" w:val="left" w:leader="none"/>
              </w:tabs>
              <w:spacing w:line="241" w:lineRule="exact"/>
              <w:rPr>
                <w:sz w:val="22"/>
              </w:rPr>
            </w:pPr>
            <w:r>
              <w:rPr>
                <w:sz w:val="22"/>
              </w:rPr>
              <w:t>cuando</w:t>
              <w:tab/>
              <w:t>se</w:t>
            </w:r>
          </w:p>
        </w:tc>
        <w:tc>
          <w:tcPr>
            <w:tcW w:w="1985" w:type="dxa"/>
            <w:tcBorders>
              <w:top w:val="nil"/>
              <w:bottom w:val="nil"/>
            </w:tcBorders>
          </w:tcPr>
          <w:p>
            <w:pPr>
              <w:pStyle w:val="TableParagraph"/>
              <w:spacing w:line="241" w:lineRule="exact"/>
              <w:rPr>
                <w:sz w:val="22"/>
              </w:rPr>
            </w:pPr>
            <w:r>
              <w:rPr>
                <w:sz w:val="22"/>
              </w:rPr>
              <w:t>que   vamos   son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1" w:val="left" w:leader="none"/>
              </w:tabs>
              <w:spacing w:line="242" w:lineRule="exact"/>
              <w:rPr>
                <w:sz w:val="22"/>
              </w:rPr>
            </w:pPr>
            <w:r>
              <w:rPr>
                <w:sz w:val="22"/>
              </w:rPr>
              <w:t>reduce</w:t>
              <w:tab/>
              <w:t>que</w:t>
            </w:r>
          </w:p>
        </w:tc>
        <w:tc>
          <w:tcPr>
            <w:tcW w:w="1985" w:type="dxa"/>
            <w:tcBorders>
              <w:top w:val="nil"/>
              <w:bottom w:val="nil"/>
            </w:tcBorders>
          </w:tcPr>
          <w:p>
            <w:pPr>
              <w:pStyle w:val="TableParagraph"/>
              <w:spacing w:line="242" w:lineRule="exact"/>
              <w:rPr>
                <w:sz w:val="22"/>
              </w:rPr>
            </w:pPr>
            <w:r>
              <w:rPr>
                <w:sz w:val="22"/>
              </w:rPr>
              <w:t>como   $1,000  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hay poca agua</w:t>
            </w:r>
          </w:p>
        </w:tc>
        <w:tc>
          <w:tcPr>
            <w:tcW w:w="1985" w:type="dxa"/>
            <w:tcBorders>
              <w:top w:val="nil"/>
              <w:bottom w:val="nil"/>
            </w:tcBorders>
          </w:tcPr>
          <w:p>
            <w:pPr>
              <w:pStyle w:val="TableParagraph"/>
              <w:tabs>
                <w:tab w:pos="1018" w:val="left" w:leader="none"/>
                <w:tab w:pos="1702" w:val="left" w:leader="none"/>
              </w:tabs>
              <w:spacing w:line="241" w:lineRule="exact"/>
              <w:rPr>
                <w:sz w:val="22"/>
              </w:rPr>
            </w:pPr>
            <w:r>
              <w:rPr>
                <w:sz w:val="22"/>
              </w:rPr>
              <w:t>gastos</w:t>
              <w:tab/>
              <w:t>más</w:t>
              <w:tab/>
              <w:t>lo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surgen</w:t>
            </w:r>
          </w:p>
        </w:tc>
        <w:tc>
          <w:tcPr>
            <w:tcW w:w="1985" w:type="dxa"/>
            <w:tcBorders>
              <w:top w:val="nil"/>
              <w:bottom w:val="nil"/>
            </w:tcBorders>
          </w:tcPr>
          <w:p>
            <w:pPr>
              <w:pStyle w:val="TableParagraph"/>
              <w:spacing w:line="242" w:lineRule="exact"/>
              <w:rPr>
                <w:sz w:val="22"/>
              </w:rPr>
            </w:pPr>
            <w:r>
              <w:rPr>
                <w:sz w:val="22"/>
              </w:rPr>
              <w:t>que   nos   cobran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algunos</w:t>
            </w:r>
          </w:p>
        </w:tc>
        <w:tc>
          <w:tcPr>
            <w:tcW w:w="1985" w:type="dxa"/>
            <w:tcBorders>
              <w:top w:val="nil"/>
              <w:bottom w:val="nil"/>
            </w:tcBorders>
          </w:tcPr>
          <w:p>
            <w:pPr>
              <w:pStyle w:val="TableParagraph"/>
              <w:spacing w:line="241" w:lineRule="exact"/>
              <w:rPr>
                <w:sz w:val="22"/>
              </w:rPr>
            </w:pPr>
            <w:r>
              <w:rPr>
                <w:sz w:val="22"/>
              </w:rPr>
              <w:t>en hacienda.</w:t>
            </w: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problemas,  de</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6335"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tabs>
                <w:tab w:pos="1173" w:val="left" w:leader="none"/>
              </w:tabs>
              <w:spacing w:line="250" w:lineRule="exact"/>
              <w:rPr>
                <w:sz w:val="22"/>
              </w:rPr>
            </w:pPr>
            <w:r>
              <w:rPr>
                <w:sz w:val="22"/>
              </w:rPr>
              <w:t>hecho</w:t>
              <w:tab/>
              <w:t>deje</w:t>
            </w:r>
          </w:p>
          <w:p>
            <w:pPr>
              <w:pStyle w:val="TableParagraph"/>
              <w:tabs>
                <w:tab w:pos="1346" w:val="left" w:leader="none"/>
              </w:tabs>
              <w:spacing w:line="252" w:lineRule="exact"/>
              <w:rPr>
                <w:sz w:val="22"/>
              </w:rPr>
            </w:pPr>
            <w:r>
              <w:rPr>
                <w:sz w:val="22"/>
              </w:rPr>
              <w:t>años</w:t>
              <w:tab/>
              <w:t>de</w:t>
            </w:r>
          </w:p>
          <w:p>
            <w:pPr>
              <w:pStyle w:val="TableParagraph"/>
              <w:tabs>
                <w:tab w:pos="1038" w:val="left" w:leader="none"/>
              </w:tabs>
              <w:spacing w:before="1"/>
              <w:ind w:right="98"/>
              <w:jc w:val="both"/>
              <w:rPr>
                <w:sz w:val="22"/>
              </w:rPr>
            </w:pPr>
            <w:r>
              <w:rPr>
                <w:sz w:val="22"/>
              </w:rPr>
              <w:t>pescar porque no</w:t>
              <w:tab/>
              <w:t>había pescado y por ejemplo      </w:t>
            </w:r>
            <w:r>
              <w:rPr>
                <w:spacing w:val="52"/>
                <w:sz w:val="22"/>
              </w:rPr>
              <w:t> </w:t>
            </w:r>
            <w:r>
              <w:rPr>
                <w:sz w:val="22"/>
              </w:rPr>
              <w:t>yo</w:t>
            </w:r>
          </w:p>
          <w:p>
            <w:pPr>
              <w:pStyle w:val="TableParagraph"/>
              <w:tabs>
                <w:tab w:pos="1343" w:val="left" w:leader="none"/>
              </w:tabs>
              <w:spacing w:line="252" w:lineRule="exact"/>
              <w:rPr>
                <w:sz w:val="22"/>
              </w:rPr>
            </w:pPr>
            <w:r>
              <w:rPr>
                <w:sz w:val="22"/>
              </w:rPr>
              <w:t>tuve</w:t>
              <w:tab/>
              <w:t>un</w:t>
            </w:r>
          </w:p>
          <w:p>
            <w:pPr>
              <w:pStyle w:val="TableParagraph"/>
              <w:tabs>
                <w:tab w:pos="683" w:val="left" w:leader="none"/>
                <w:tab w:pos="1235" w:val="left" w:leader="none"/>
                <w:tab w:pos="1417" w:val="left" w:leader="none"/>
              </w:tabs>
              <w:spacing w:before="1"/>
              <w:ind w:right="98"/>
              <w:rPr>
                <w:sz w:val="22"/>
              </w:rPr>
            </w:pPr>
            <w:r>
              <w:rPr>
                <w:sz w:val="22"/>
              </w:rPr>
              <w:t>problema</w:t>
              <w:tab/>
              <w:t>con un</w:t>
              <w:tab/>
              <w:t>pescador de Las Arenas (Acambay) que</w:t>
              <w:tab/>
              <w:t>llegamos</w:t>
            </w:r>
            <w:r>
              <w:rPr>
                <w:w w:val="100"/>
                <w:sz w:val="22"/>
              </w:rPr>
              <w:t> </w:t>
            </w:r>
            <w:r>
              <w:rPr>
                <w:sz w:val="22"/>
              </w:rPr>
              <w:t>hasta</w:t>
              <w:tab/>
              <w:tab/>
              <w:tab/>
              <w:t>el</w:t>
            </w:r>
          </w:p>
          <w:p>
            <w:pPr>
              <w:pStyle w:val="TableParagraph"/>
              <w:tabs>
                <w:tab w:pos="1343" w:val="left" w:leader="none"/>
              </w:tabs>
              <w:ind w:right="100"/>
              <w:rPr>
                <w:sz w:val="22"/>
              </w:rPr>
            </w:pPr>
            <w:r>
              <w:rPr>
                <w:sz w:val="22"/>
              </w:rPr>
              <w:t>Ministerio Público</w:t>
              <w:tab/>
              <w:t>de</w:t>
            </w:r>
          </w:p>
          <w:p>
            <w:pPr>
              <w:pStyle w:val="TableParagraph"/>
              <w:ind w:right="98"/>
              <w:jc w:val="both"/>
              <w:rPr>
                <w:sz w:val="22"/>
              </w:rPr>
            </w:pPr>
            <w:r>
              <w:rPr>
                <w:sz w:val="22"/>
              </w:rPr>
              <w:t>Jilotepec y para proceder la     </w:t>
            </w:r>
            <w:r>
              <w:rPr>
                <w:spacing w:val="30"/>
                <w:sz w:val="22"/>
              </w:rPr>
              <w:t> </w:t>
            </w:r>
            <w:r>
              <w:rPr>
                <w:sz w:val="22"/>
              </w:rPr>
              <w:t>demanda</w:t>
            </w:r>
          </w:p>
          <w:p>
            <w:pPr>
              <w:pStyle w:val="TableParagraph"/>
              <w:tabs>
                <w:tab w:pos="808" w:val="left" w:leader="none"/>
                <w:tab w:pos="1417" w:val="left" w:leader="none"/>
              </w:tabs>
              <w:ind w:right="98"/>
              <w:rPr>
                <w:sz w:val="22"/>
              </w:rPr>
            </w:pPr>
            <w:r>
              <w:rPr>
                <w:sz w:val="22"/>
              </w:rPr>
              <w:t>me</w:t>
              <w:tab/>
            </w:r>
            <w:r>
              <w:rPr>
                <w:spacing w:val="-1"/>
                <w:sz w:val="22"/>
              </w:rPr>
              <w:t>pidieron </w:t>
            </w:r>
            <w:r>
              <w:rPr>
                <w:sz w:val="22"/>
              </w:rPr>
              <w:t>factura de la red, pero ya no la tenía para pagarme</w:t>
              <w:tab/>
              <w:t>el daño ocasionado.</w:t>
            </w:r>
          </w:p>
        </w:tc>
        <w:tc>
          <w:tcPr>
            <w:tcW w:w="1985" w:type="dxa"/>
          </w:tcPr>
          <w:p>
            <w:pPr/>
          </w:p>
        </w:tc>
      </w:tr>
      <w:tr>
        <w:trPr>
          <w:trHeight w:val="2288" w:hRule="exact"/>
        </w:trPr>
        <w:tc>
          <w:tcPr>
            <w:tcW w:w="1385" w:type="dxa"/>
          </w:tcPr>
          <w:p>
            <w:pPr>
              <w:pStyle w:val="TableParagraph"/>
              <w:ind w:right="127"/>
              <w:rPr>
                <w:sz w:val="22"/>
              </w:rPr>
            </w:pPr>
            <w:r>
              <w:rPr>
                <w:sz w:val="22"/>
              </w:rPr>
              <w:t>Gumecindo Rivas Rodríguez (18/7/2014)</w:t>
            </w:r>
          </w:p>
        </w:tc>
        <w:tc>
          <w:tcPr>
            <w:tcW w:w="1418" w:type="dxa"/>
          </w:tcPr>
          <w:p>
            <w:pPr>
              <w:pStyle w:val="TableParagraph"/>
              <w:spacing w:line="242" w:lineRule="auto"/>
              <w:ind w:left="100" w:right="101"/>
              <w:rPr>
                <w:sz w:val="22"/>
              </w:rPr>
            </w:pPr>
            <w:r>
              <w:rPr>
                <w:sz w:val="22"/>
              </w:rPr>
              <w:t>Pescar y el campo</w:t>
            </w:r>
          </w:p>
        </w:tc>
        <w:tc>
          <w:tcPr>
            <w:tcW w:w="1841" w:type="dxa"/>
          </w:tcPr>
          <w:p>
            <w:pPr>
              <w:pStyle w:val="TableParagraph"/>
              <w:ind w:left="100" w:right="309"/>
              <w:rPr>
                <w:sz w:val="22"/>
              </w:rPr>
            </w:pPr>
            <w:r>
              <w:rPr>
                <w:sz w:val="22"/>
              </w:rPr>
              <w:t>Cooperativa “Rivas Islas” (7</w:t>
            </w:r>
            <w:r>
              <w:rPr>
                <w:spacing w:val="-3"/>
                <w:sz w:val="22"/>
              </w:rPr>
              <w:t> </w:t>
            </w:r>
            <w:r>
              <w:rPr>
                <w:sz w:val="22"/>
              </w:rPr>
              <w:t>integrantes)</w:t>
            </w:r>
          </w:p>
        </w:tc>
        <w:tc>
          <w:tcPr>
            <w:tcW w:w="1135" w:type="dxa"/>
          </w:tcPr>
          <w:p>
            <w:pPr>
              <w:pStyle w:val="TableParagraph"/>
              <w:spacing w:line="242" w:lineRule="auto"/>
              <w:ind w:right="134"/>
              <w:rPr>
                <w:sz w:val="22"/>
              </w:rPr>
            </w:pPr>
            <w:r>
              <w:rPr>
                <w:sz w:val="22"/>
              </w:rPr>
              <w:t>Presiden te</w:t>
            </w:r>
          </w:p>
        </w:tc>
        <w:tc>
          <w:tcPr>
            <w:tcW w:w="991" w:type="dxa"/>
          </w:tcPr>
          <w:p>
            <w:pPr>
              <w:pStyle w:val="TableParagraph"/>
              <w:spacing w:line="242" w:lineRule="auto"/>
              <w:ind w:left="100" w:right="103"/>
              <w:rPr>
                <w:sz w:val="22"/>
              </w:rPr>
            </w:pPr>
            <w:r>
              <w:rPr>
                <w:sz w:val="22"/>
              </w:rPr>
              <w:t>Jilotepe c</w:t>
            </w:r>
          </w:p>
        </w:tc>
        <w:tc>
          <w:tcPr>
            <w:tcW w:w="1277" w:type="dxa"/>
          </w:tcPr>
          <w:p>
            <w:pPr>
              <w:pStyle w:val="TableParagraph"/>
              <w:spacing w:line="242" w:lineRule="auto"/>
              <w:ind w:right="178"/>
              <w:rPr>
                <w:sz w:val="22"/>
              </w:rPr>
            </w:pPr>
            <w:r>
              <w:rPr>
                <w:sz w:val="22"/>
              </w:rPr>
              <w:t>El Saltillo, Jilotepec</w:t>
            </w:r>
          </w:p>
        </w:tc>
        <w:tc>
          <w:tcPr>
            <w:tcW w:w="1133" w:type="dxa"/>
          </w:tcPr>
          <w:p>
            <w:pPr>
              <w:pStyle w:val="TableParagraph"/>
              <w:ind w:left="100" w:right="134"/>
              <w:rPr>
                <w:sz w:val="22"/>
              </w:rPr>
            </w:pPr>
            <w:r>
              <w:rPr>
                <w:sz w:val="22"/>
              </w:rPr>
              <w:t>El Saltillo, Jilotepec</w:t>
            </w:r>
          </w:p>
        </w:tc>
        <w:tc>
          <w:tcPr>
            <w:tcW w:w="1702" w:type="dxa"/>
          </w:tcPr>
          <w:p>
            <w:pPr>
              <w:pStyle w:val="TableParagraph"/>
              <w:tabs>
                <w:tab w:pos="892" w:val="left" w:leader="none"/>
                <w:tab w:pos="1309" w:val="left" w:leader="none"/>
              </w:tabs>
              <w:ind w:right="98"/>
              <w:rPr>
                <w:sz w:val="22"/>
              </w:rPr>
            </w:pPr>
            <w:r>
              <w:rPr>
                <w:sz w:val="22"/>
              </w:rPr>
              <w:t>No</w:t>
              <w:tab/>
              <w:t>existen problemas entre</w:t>
              <w:tab/>
              <w:tab/>
              <w:t>los habitantes que pescan de los distintos municipios que colindan con la laguna.</w:t>
            </w:r>
          </w:p>
        </w:tc>
        <w:tc>
          <w:tcPr>
            <w:tcW w:w="1985" w:type="dxa"/>
          </w:tcPr>
          <w:p>
            <w:pPr>
              <w:pStyle w:val="TableParagraph"/>
              <w:ind w:right="99"/>
              <w:jc w:val="both"/>
              <w:rPr>
                <w:sz w:val="22"/>
              </w:rPr>
            </w:pPr>
            <w:r>
              <w:rPr>
                <w:sz w:val="22"/>
              </w:rPr>
              <w:t>La Conapesca no hace nada por cuidar la laguna, sólo saco un estudio el biólogo Iván, pero les pagaron.</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right="127"/>
              <w:rPr>
                <w:sz w:val="22"/>
              </w:rPr>
            </w:pPr>
            <w:r>
              <w:rPr>
                <w:sz w:val="22"/>
              </w:rPr>
              <w:t>Fortino</w:t>
            </w:r>
          </w:p>
        </w:tc>
        <w:tc>
          <w:tcPr>
            <w:tcW w:w="1418" w:type="dxa"/>
            <w:tcBorders>
              <w:bottom w:val="nil"/>
            </w:tcBorders>
          </w:tcPr>
          <w:p>
            <w:pPr>
              <w:pStyle w:val="TableParagraph"/>
              <w:spacing w:line="251" w:lineRule="exact"/>
              <w:ind w:left="100"/>
              <w:rPr>
                <w:sz w:val="22"/>
              </w:rPr>
            </w:pPr>
            <w:r>
              <w:rPr>
                <w:sz w:val="22"/>
              </w:rPr>
              <w:t>El  campo</w:t>
            </w:r>
            <w:r>
              <w:rPr>
                <w:spacing w:val="53"/>
                <w:sz w:val="22"/>
              </w:rPr>
              <w:t> </w:t>
            </w:r>
            <w:r>
              <w:rPr>
                <w:sz w:val="22"/>
              </w:rPr>
              <w:t>y</w:t>
            </w:r>
          </w:p>
        </w:tc>
        <w:tc>
          <w:tcPr>
            <w:tcW w:w="1841" w:type="dxa"/>
            <w:tcBorders>
              <w:bottom w:val="nil"/>
            </w:tcBorders>
          </w:tcPr>
          <w:p>
            <w:pPr>
              <w:pStyle w:val="TableParagraph"/>
              <w:spacing w:line="251" w:lineRule="exact"/>
              <w:ind w:left="100"/>
              <w:rPr>
                <w:sz w:val="22"/>
              </w:rPr>
            </w:pPr>
            <w:r>
              <w:rPr>
                <w:sz w:val="22"/>
              </w:rPr>
              <w:t>Cooperatica</w:t>
            </w:r>
          </w:p>
        </w:tc>
        <w:tc>
          <w:tcPr>
            <w:tcW w:w="1135" w:type="dxa"/>
            <w:tcBorders>
              <w:bottom w:val="nil"/>
            </w:tcBorders>
          </w:tcPr>
          <w:p>
            <w:pPr>
              <w:pStyle w:val="TableParagraph"/>
              <w:spacing w:line="251" w:lineRule="exact"/>
              <w:rPr>
                <w:sz w:val="22"/>
              </w:rPr>
            </w:pPr>
            <w:r>
              <w:rPr>
                <w:sz w:val="22"/>
              </w:rPr>
              <w:t>Tesorero</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El</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904" w:val="left" w:leader="none"/>
              </w:tabs>
              <w:spacing w:line="251" w:lineRule="exact"/>
              <w:rPr>
                <w:sz w:val="22"/>
              </w:rPr>
            </w:pPr>
            <w:r>
              <w:rPr>
                <w:sz w:val="22"/>
              </w:rPr>
              <w:t>No</w:t>
              <w:tab/>
              <w:t>porque</w:t>
            </w:r>
          </w:p>
        </w:tc>
        <w:tc>
          <w:tcPr>
            <w:tcW w:w="1985" w:type="dxa"/>
            <w:tcBorders>
              <w:bottom w:val="nil"/>
            </w:tcBorders>
          </w:tcPr>
          <w:p>
            <w:pPr>
              <w:pStyle w:val="TableParagraph"/>
              <w:spacing w:line="251" w:lineRule="exact"/>
              <w:rPr>
                <w:sz w:val="22"/>
              </w:rPr>
            </w:pPr>
            <w:r>
              <w:rPr>
                <w:sz w:val="22"/>
              </w:rPr>
              <w:t>Desconozco   qué</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la pesca</w:t>
            </w:r>
          </w:p>
        </w:tc>
        <w:tc>
          <w:tcPr>
            <w:tcW w:w="1841" w:type="dxa"/>
            <w:tcBorders>
              <w:top w:val="nil"/>
              <w:bottom w:val="nil"/>
            </w:tcBorders>
          </w:tcPr>
          <w:p>
            <w:pPr>
              <w:pStyle w:val="TableParagraph"/>
              <w:spacing w:line="241" w:lineRule="exact"/>
              <w:ind w:left="100"/>
              <w:rPr>
                <w:sz w:val="22"/>
              </w:rPr>
            </w:pPr>
            <w:r>
              <w:rPr>
                <w:sz w:val="22"/>
              </w:rPr>
              <w:t>“Pescamex”</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Azafrán,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tabs>
                <w:tab w:pos="1345" w:val="left" w:leader="none"/>
              </w:tabs>
              <w:spacing w:line="241" w:lineRule="exact"/>
              <w:rPr>
                <w:sz w:val="22"/>
              </w:rPr>
            </w:pPr>
            <w:r>
              <w:rPr>
                <w:sz w:val="22"/>
              </w:rPr>
              <w:t>tuvimos</w:t>
              <w:tab/>
              <w:t>un</w:t>
            </w:r>
          </w:p>
        </w:tc>
        <w:tc>
          <w:tcPr>
            <w:tcW w:w="1985" w:type="dxa"/>
            <w:tcBorders>
              <w:top w:val="nil"/>
              <w:bottom w:val="nil"/>
            </w:tcBorders>
          </w:tcPr>
          <w:p>
            <w:pPr>
              <w:pStyle w:val="TableParagraph"/>
              <w:tabs>
                <w:tab w:pos="1226" w:val="left" w:leader="none"/>
              </w:tabs>
              <w:spacing w:line="241" w:lineRule="exact"/>
              <w:rPr>
                <w:sz w:val="22"/>
              </w:rPr>
            </w:pPr>
            <w:r>
              <w:rPr>
                <w:sz w:val="22"/>
              </w:rPr>
              <w:t>acciones</w:t>
              <w:tab/>
              <w:t>realiza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Cristobal</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(estaba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Aculco</w:t>
            </w:r>
          </w:p>
        </w:tc>
        <w:tc>
          <w:tcPr>
            <w:tcW w:w="1133" w:type="dxa"/>
            <w:tcBorders>
              <w:top w:val="nil"/>
              <w:bottom w:val="nil"/>
            </w:tcBorders>
          </w:tcPr>
          <w:p>
            <w:pPr>
              <w:pStyle w:val="TableParagraph"/>
              <w:spacing w:line="242" w:lineRule="exact"/>
              <w:ind w:left="100" w:right="52"/>
              <w:rPr>
                <w:sz w:val="22"/>
              </w:rPr>
            </w:pPr>
            <w:r>
              <w:rPr>
                <w:sz w:val="22"/>
              </w:rPr>
              <w:t>Aculco</w:t>
            </w:r>
          </w:p>
        </w:tc>
        <w:tc>
          <w:tcPr>
            <w:tcW w:w="1702" w:type="dxa"/>
            <w:tcBorders>
              <w:top w:val="nil"/>
              <w:bottom w:val="nil"/>
            </w:tcBorders>
          </w:tcPr>
          <w:p>
            <w:pPr>
              <w:pStyle w:val="TableParagraph"/>
              <w:spacing w:line="242" w:lineRule="exact"/>
              <w:rPr>
                <w:sz w:val="22"/>
              </w:rPr>
            </w:pPr>
            <w:r>
              <w:rPr>
                <w:sz w:val="22"/>
              </w:rPr>
              <w:t>acuerdo con el</w:t>
            </w:r>
          </w:p>
        </w:tc>
        <w:tc>
          <w:tcPr>
            <w:tcW w:w="1985" w:type="dxa"/>
            <w:tcBorders>
              <w:top w:val="nil"/>
              <w:bottom w:val="nil"/>
            </w:tcBorders>
          </w:tcPr>
          <w:p>
            <w:pPr>
              <w:pStyle w:val="TableParagraph"/>
              <w:spacing w:line="242" w:lineRule="exact"/>
              <w:rPr>
                <w:sz w:val="22"/>
              </w:rPr>
            </w:pPr>
            <w:r>
              <w:rPr>
                <w:sz w:val="22"/>
              </w:rPr>
              <w:t>la  Conapesca</w:t>
            </w:r>
            <w:r>
              <w:rPr>
                <w:spacing w:val="55"/>
                <w:sz w:val="22"/>
              </w:rPr>
              <w:t> </w:t>
            </w:r>
            <w:r>
              <w:rPr>
                <w:sz w:val="22"/>
              </w:rPr>
              <w:t>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1" w:lineRule="exact"/>
              <w:ind w:left="100"/>
              <w:rPr>
                <w:sz w:val="22"/>
              </w:rPr>
            </w:pPr>
            <w:r>
              <w:rPr>
                <w:sz w:val="22"/>
              </w:rPr>
              <w:t>integrada</w:t>
              <w:tab/>
              <w:t>por</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73" w:val="left" w:leader="none"/>
              </w:tabs>
              <w:spacing w:line="241" w:lineRule="exact"/>
              <w:rPr>
                <w:sz w:val="22"/>
              </w:rPr>
            </w:pPr>
            <w:r>
              <w:rPr>
                <w:sz w:val="22"/>
              </w:rPr>
              <w:t>Biólogo</w:t>
              <w:tab/>
              <w:t>Iván</w:t>
            </w:r>
          </w:p>
        </w:tc>
        <w:tc>
          <w:tcPr>
            <w:tcW w:w="1985" w:type="dxa"/>
            <w:tcBorders>
              <w:top w:val="nil"/>
              <w:bottom w:val="nil"/>
            </w:tcBorders>
          </w:tcPr>
          <w:p>
            <w:pPr>
              <w:pStyle w:val="TableParagraph"/>
              <w:spacing w:line="241" w:lineRule="exact"/>
              <w:rPr>
                <w:sz w:val="22"/>
              </w:rPr>
            </w:pPr>
            <w:r>
              <w:rPr>
                <w:sz w:val="22"/>
              </w:rPr>
              <w:t>la  laguna, porque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822" w:val="left" w:leader="none"/>
              </w:tabs>
              <w:spacing w:line="242" w:lineRule="exact"/>
              <w:ind w:left="100"/>
              <w:rPr>
                <w:sz w:val="22"/>
              </w:rPr>
            </w:pPr>
            <w:r>
              <w:rPr>
                <w:sz w:val="22"/>
              </w:rPr>
              <w:t>300</w:t>
              <w:tab/>
              <w:t>personas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00" w:val="left" w:leader="none"/>
                <w:tab w:pos="1357" w:val="left" w:leader="none"/>
              </w:tabs>
              <w:spacing w:line="242" w:lineRule="exact"/>
              <w:rPr>
                <w:sz w:val="22"/>
              </w:rPr>
            </w:pPr>
            <w:r>
              <w:rPr>
                <w:sz w:val="22"/>
              </w:rPr>
              <w:t>que</w:t>
              <w:tab/>
              <w:t>todo</w:t>
              <w:tab/>
              <w:t>es</w:t>
            </w:r>
          </w:p>
        </w:tc>
        <w:tc>
          <w:tcPr>
            <w:tcW w:w="1985" w:type="dxa"/>
            <w:tcBorders>
              <w:top w:val="nil"/>
              <w:bottom w:val="nil"/>
            </w:tcBorders>
          </w:tcPr>
          <w:p>
            <w:pPr>
              <w:pStyle w:val="TableParagraph"/>
              <w:tabs>
                <w:tab w:pos="657" w:val="left" w:leader="none"/>
                <w:tab w:pos="1211" w:val="left" w:leader="none"/>
              </w:tabs>
              <w:spacing w:line="242" w:lineRule="exact"/>
              <w:rPr>
                <w:sz w:val="22"/>
              </w:rPr>
            </w:pPr>
            <w:r>
              <w:rPr>
                <w:sz w:val="22"/>
              </w:rPr>
              <w:t>no</w:t>
              <w:tab/>
              <w:t>ha</w:t>
              <w:tab/>
              <w:t>pedido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en  un  principio,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9" w:val="left" w:leader="none"/>
              </w:tabs>
              <w:spacing w:line="241" w:lineRule="exact"/>
              <w:rPr>
                <w:sz w:val="22"/>
              </w:rPr>
            </w:pPr>
            <w:r>
              <w:rPr>
                <w:sz w:val="22"/>
              </w:rPr>
              <w:t>libre</w:t>
              <w:tab/>
              <w:t>para</w:t>
            </w:r>
          </w:p>
        </w:tc>
        <w:tc>
          <w:tcPr>
            <w:tcW w:w="1985" w:type="dxa"/>
            <w:tcBorders>
              <w:top w:val="nil"/>
              <w:bottom w:val="nil"/>
            </w:tcBorders>
          </w:tcPr>
          <w:p>
            <w:pPr>
              <w:pStyle w:val="TableParagraph"/>
              <w:tabs>
                <w:tab w:pos="1430" w:val="left" w:leader="none"/>
              </w:tabs>
              <w:spacing w:line="241" w:lineRule="exact"/>
              <w:rPr>
                <w:sz w:val="22"/>
              </w:rPr>
            </w:pPr>
            <w:r>
              <w:rPr>
                <w:sz w:val="22"/>
              </w:rPr>
              <w:t>apoyo</w:t>
              <w:tab/>
              <w:t>para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97" w:val="left" w:leader="none"/>
              </w:tabs>
              <w:spacing w:line="241" w:lineRule="exact"/>
              <w:ind w:left="100"/>
              <w:rPr>
                <w:sz w:val="22"/>
              </w:rPr>
            </w:pPr>
            <w:r>
              <w:rPr>
                <w:sz w:val="22"/>
              </w:rPr>
              <w:t>pero</w:t>
              <w:tab/>
              <w:t>se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pescar.</w:t>
            </w:r>
          </w:p>
        </w:tc>
        <w:tc>
          <w:tcPr>
            <w:tcW w:w="1985" w:type="dxa"/>
            <w:tcBorders>
              <w:top w:val="nil"/>
              <w:bottom w:val="nil"/>
            </w:tcBorders>
          </w:tcPr>
          <w:p>
            <w:pPr>
              <w:pStyle w:val="TableParagraph"/>
              <w:tabs>
                <w:tab w:pos="1261" w:val="left" w:leader="none"/>
              </w:tabs>
              <w:spacing w:line="241" w:lineRule="exact"/>
              <w:rPr>
                <w:sz w:val="22"/>
              </w:rPr>
            </w:pPr>
            <w:r>
              <w:rPr>
                <w:sz w:val="22"/>
              </w:rPr>
              <w:t>comprar</w:t>
              <w:tab/>
              <w:t>redes,</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anotaron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no   he </w:t>
            </w:r>
            <w:r>
              <w:rPr>
                <w:spacing w:val="54"/>
                <w:sz w:val="22"/>
              </w:rPr>
              <w:t> </w:t>
            </w:r>
            <w:r>
              <w:rPr>
                <w:sz w:val="22"/>
              </w:rPr>
              <w:t>solicitado</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muchos  que  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apoyos,  como  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eran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venta   puede  ser</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19" w:val="left" w:leader="none"/>
              </w:tabs>
              <w:spacing w:line="241" w:lineRule="exact"/>
              <w:ind w:left="100"/>
              <w:rPr>
                <w:sz w:val="22"/>
              </w:rPr>
            </w:pPr>
            <w:r>
              <w:rPr>
                <w:sz w:val="22"/>
              </w:rPr>
              <w:t>pescadores</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sencilla   o  fuerte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324" w:val="left" w:leader="none"/>
              </w:tabs>
              <w:spacing w:line="241" w:lineRule="exact"/>
              <w:ind w:left="100"/>
              <w:rPr>
                <w:sz w:val="22"/>
              </w:rPr>
            </w:pPr>
            <w:r>
              <w:rPr>
                <w:sz w:val="22"/>
              </w:rPr>
              <w:t>ahora</w:t>
              <w:tab/>
              <w:t>sólo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puedes  ir  poco 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quedamos 70).</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poco, a veces voy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dos   veces   a </w:t>
            </w:r>
            <w:r>
              <w:rPr>
                <w:spacing w:val="52"/>
                <w:sz w:val="22"/>
              </w:rPr>
              <w:t> </w:t>
            </w:r>
            <w:r>
              <w:rPr>
                <w:sz w:val="22"/>
              </w:rPr>
              <w:t>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semana  a pescar</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657" w:val="left" w:leader="none"/>
                <w:tab w:pos="1703" w:val="left" w:leader="none"/>
              </w:tabs>
              <w:spacing w:line="241" w:lineRule="exact"/>
              <w:rPr>
                <w:sz w:val="22"/>
              </w:rPr>
            </w:pPr>
            <w:r>
              <w:rPr>
                <w:sz w:val="22"/>
              </w:rPr>
              <w:t>y</w:t>
              <w:tab/>
              <w:t>según</w:t>
              <w:tab/>
              <w:t>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151" w:val="left" w:leader="none"/>
              </w:tabs>
              <w:spacing w:line="241" w:lineRule="exact"/>
              <w:rPr>
                <w:sz w:val="22"/>
              </w:rPr>
            </w:pPr>
            <w:r>
              <w:rPr>
                <w:sz w:val="22"/>
              </w:rPr>
              <w:t>tiempo,</w:t>
              <w:tab/>
              <w:t>cuando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hay viento no</w:t>
            </w:r>
            <w:r>
              <w:rPr>
                <w:spacing w:val="50"/>
                <w:sz w:val="22"/>
              </w:rPr>
              <w:t> </w:t>
            </w:r>
            <w:r>
              <w:rPr>
                <w:sz w:val="22"/>
              </w:rPr>
              <w:t>voy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558" w:val="left" w:leader="none"/>
                <w:tab w:pos="1518" w:val="left" w:leader="none"/>
              </w:tabs>
              <w:spacing w:line="241" w:lineRule="exact"/>
              <w:rPr>
                <w:sz w:val="22"/>
              </w:rPr>
            </w:pPr>
            <w:r>
              <w:rPr>
                <w:sz w:val="22"/>
              </w:rPr>
              <w:t>y</w:t>
              <w:tab/>
              <w:t>donde</w:t>
              <w:tab/>
              <w:t>hay</w:t>
            </w: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2" w:lineRule="exact"/>
              <w:rPr>
                <w:sz w:val="22"/>
              </w:rPr>
            </w:pPr>
            <w:r>
              <w:rPr>
                <w:sz w:val="22"/>
              </w:rPr>
              <w:t>piedras tampoco.</w:t>
            </w:r>
          </w:p>
        </w:tc>
      </w:tr>
      <w:tr>
        <w:trPr>
          <w:trHeight w:val="267" w:hRule="exact"/>
        </w:trPr>
        <w:tc>
          <w:tcPr>
            <w:tcW w:w="1385" w:type="dxa"/>
            <w:tcBorders>
              <w:bottom w:val="nil"/>
            </w:tcBorders>
          </w:tcPr>
          <w:p>
            <w:pPr>
              <w:pStyle w:val="TableParagraph"/>
              <w:spacing w:line="251" w:lineRule="exact"/>
              <w:ind w:left="165" w:right="127"/>
              <w:rPr>
                <w:sz w:val="22"/>
              </w:rPr>
            </w:pPr>
            <w:r>
              <w:rPr>
                <w:sz w:val="22"/>
              </w:rPr>
              <w:t>Malaquías</w:t>
            </w:r>
          </w:p>
        </w:tc>
        <w:tc>
          <w:tcPr>
            <w:tcW w:w="1418" w:type="dxa"/>
            <w:tcBorders>
              <w:bottom w:val="nil"/>
            </w:tcBorders>
          </w:tcPr>
          <w:p>
            <w:pPr>
              <w:pStyle w:val="TableParagraph"/>
              <w:spacing w:line="251" w:lineRule="exact"/>
              <w:ind w:left="151" w:right="101"/>
              <w:rPr>
                <w:sz w:val="22"/>
              </w:rPr>
            </w:pPr>
            <w:r>
              <w:rPr>
                <w:sz w:val="22"/>
              </w:rPr>
              <w:t>Agricultor y</w:t>
            </w:r>
          </w:p>
        </w:tc>
        <w:tc>
          <w:tcPr>
            <w:tcW w:w="1841" w:type="dxa"/>
            <w:tcBorders>
              <w:bottom w:val="nil"/>
            </w:tcBorders>
          </w:tcPr>
          <w:p>
            <w:pPr>
              <w:pStyle w:val="TableParagraph"/>
              <w:spacing w:line="251" w:lineRule="exact"/>
              <w:ind w:left="100"/>
              <w:rPr>
                <w:sz w:val="22"/>
              </w:rPr>
            </w:pPr>
            <w:r>
              <w:rPr>
                <w:sz w:val="22"/>
              </w:rPr>
              <w:t>No   recuerdo</w:t>
            </w:r>
            <w:r>
              <w:rPr>
                <w:spacing w:val="59"/>
                <w:sz w:val="22"/>
              </w:rPr>
              <w:t> </w:t>
            </w:r>
            <w:r>
              <w:rPr>
                <w:sz w:val="22"/>
              </w:rPr>
              <w:t>el</w:t>
            </w:r>
          </w:p>
        </w:tc>
        <w:tc>
          <w:tcPr>
            <w:tcW w:w="1135" w:type="dxa"/>
            <w:tcBorders>
              <w:bottom w:val="nil"/>
            </w:tcBorders>
          </w:tcPr>
          <w:p>
            <w:pPr>
              <w:pStyle w:val="TableParagraph"/>
              <w:spacing w:line="251" w:lineRule="exact"/>
              <w:rPr>
                <w:sz w:val="22"/>
              </w:rPr>
            </w:pPr>
            <w:r>
              <w:rPr>
                <w:sz w:val="22"/>
              </w:rPr>
              <w:t>Inegrant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Zaragoza,</w:t>
            </w:r>
          </w:p>
        </w:tc>
        <w:tc>
          <w:tcPr>
            <w:tcW w:w="1133" w:type="dxa"/>
            <w:tcBorders>
              <w:bottom w:val="nil"/>
            </w:tcBorders>
          </w:tcPr>
          <w:p>
            <w:pPr>
              <w:pStyle w:val="TableParagraph"/>
              <w:spacing w:line="251" w:lineRule="exact"/>
              <w:ind w:left="100" w:right="52"/>
              <w:rPr>
                <w:sz w:val="22"/>
              </w:rPr>
            </w:pPr>
            <w:r>
              <w:rPr>
                <w:sz w:val="22"/>
              </w:rPr>
              <w:t>Zaragoz</w:t>
            </w:r>
          </w:p>
        </w:tc>
        <w:tc>
          <w:tcPr>
            <w:tcW w:w="1702" w:type="dxa"/>
            <w:tcBorders>
              <w:bottom w:val="nil"/>
            </w:tcBorders>
          </w:tcPr>
          <w:p>
            <w:pPr>
              <w:pStyle w:val="TableParagraph"/>
              <w:tabs>
                <w:tab w:pos="1161" w:val="left" w:leader="none"/>
              </w:tabs>
              <w:spacing w:line="251" w:lineRule="exact"/>
              <w:rPr>
                <w:sz w:val="22"/>
              </w:rPr>
            </w:pPr>
            <w:r>
              <w:rPr>
                <w:sz w:val="22"/>
              </w:rPr>
              <w:t>No,</w:t>
              <w:tab/>
              <w:t>todo</w:t>
            </w:r>
          </w:p>
        </w:tc>
        <w:tc>
          <w:tcPr>
            <w:tcW w:w="1985" w:type="dxa"/>
            <w:tcBorders>
              <w:bottom w:val="nil"/>
            </w:tcBorders>
          </w:tcPr>
          <w:p>
            <w:pPr>
              <w:pStyle w:val="TableParagraph"/>
              <w:spacing w:line="251" w:lineRule="exact"/>
              <w:rPr>
                <w:sz w:val="22"/>
              </w:rPr>
            </w:pPr>
            <w:r>
              <w:rPr>
                <w:sz w:val="22"/>
              </w:rPr>
              <w:t>Nada.</w:t>
            </w:r>
          </w:p>
        </w:tc>
      </w:tr>
      <w:tr>
        <w:trPr>
          <w:trHeight w:val="253" w:hRule="exact"/>
        </w:trPr>
        <w:tc>
          <w:tcPr>
            <w:tcW w:w="1385" w:type="dxa"/>
            <w:tcBorders>
              <w:top w:val="nil"/>
              <w:bottom w:val="nil"/>
            </w:tcBorders>
          </w:tcPr>
          <w:p>
            <w:pPr>
              <w:pStyle w:val="TableParagraph"/>
              <w:spacing w:line="242" w:lineRule="exact"/>
              <w:rPr>
                <w:sz w:val="22"/>
              </w:rPr>
            </w:pPr>
            <w:r>
              <w:rPr>
                <w:sz w:val="22"/>
              </w:rPr>
              <w:t>de  la  Cruz</w:t>
            </w:r>
          </w:p>
        </w:tc>
        <w:tc>
          <w:tcPr>
            <w:tcW w:w="1418" w:type="dxa"/>
            <w:tcBorders>
              <w:top w:val="nil"/>
              <w:bottom w:val="nil"/>
            </w:tcBorders>
          </w:tcPr>
          <w:p>
            <w:pPr>
              <w:pStyle w:val="TableParagraph"/>
              <w:spacing w:line="242" w:lineRule="exact"/>
              <w:ind w:left="100"/>
              <w:rPr>
                <w:sz w:val="22"/>
              </w:rPr>
            </w:pPr>
            <w:r>
              <w:rPr>
                <w:sz w:val="22"/>
              </w:rPr>
              <w:t>era la pesca</w:t>
            </w:r>
          </w:p>
        </w:tc>
        <w:tc>
          <w:tcPr>
            <w:tcW w:w="1841" w:type="dxa"/>
            <w:tcBorders>
              <w:top w:val="nil"/>
              <w:bottom w:val="nil"/>
            </w:tcBorders>
          </w:tcPr>
          <w:p>
            <w:pPr>
              <w:pStyle w:val="TableParagraph"/>
              <w:spacing w:line="242" w:lineRule="exact"/>
              <w:ind w:left="100"/>
              <w:rPr>
                <w:sz w:val="22"/>
              </w:rPr>
            </w:pPr>
            <w:r>
              <w:rPr>
                <w:sz w:val="22"/>
              </w:rPr>
              <w:t>nombre   porque</w:t>
            </w:r>
          </w:p>
        </w:tc>
        <w:tc>
          <w:tcPr>
            <w:tcW w:w="1135" w:type="dxa"/>
            <w:tcBorders>
              <w:top w:val="nil"/>
              <w:bottom w:val="nil"/>
            </w:tcBorders>
          </w:tcPr>
          <w:p>
            <w:pPr>
              <w:pStyle w:val="TableParagraph"/>
              <w:spacing w:line="242" w:lineRule="exact"/>
              <w:rPr>
                <w:sz w:val="22"/>
              </w:rPr>
            </w:pPr>
            <w:r>
              <w:rPr>
                <w:w w:val="100"/>
                <w:sz w:val="22"/>
              </w:rPr>
              <w:t>e</w:t>
            </w: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Style w:val="TableParagraph"/>
              <w:spacing w:line="242" w:lineRule="exact"/>
              <w:ind w:right="92"/>
              <w:rPr>
                <w:sz w:val="22"/>
              </w:rPr>
            </w:pPr>
            <w:r>
              <w:rPr>
                <w:sz w:val="22"/>
              </w:rPr>
              <w:t>Timilpan</w:t>
            </w:r>
          </w:p>
        </w:tc>
        <w:tc>
          <w:tcPr>
            <w:tcW w:w="1133" w:type="dxa"/>
            <w:tcBorders>
              <w:top w:val="nil"/>
              <w:bottom w:val="nil"/>
            </w:tcBorders>
          </w:tcPr>
          <w:p>
            <w:pPr>
              <w:pStyle w:val="TableParagraph"/>
              <w:spacing w:line="242" w:lineRule="exact"/>
              <w:ind w:left="100" w:right="52"/>
              <w:rPr>
                <w:sz w:val="22"/>
              </w:rPr>
            </w:pPr>
            <w:r>
              <w:rPr>
                <w:sz w:val="22"/>
              </w:rPr>
              <w:t>a,</w:t>
            </w:r>
          </w:p>
        </w:tc>
        <w:tc>
          <w:tcPr>
            <w:tcW w:w="1702" w:type="dxa"/>
            <w:tcBorders>
              <w:top w:val="nil"/>
              <w:bottom w:val="nil"/>
            </w:tcBorders>
          </w:tcPr>
          <w:p>
            <w:pPr>
              <w:pStyle w:val="TableParagraph"/>
              <w:spacing w:line="242" w:lineRule="exact"/>
              <w:rPr>
                <w:sz w:val="22"/>
              </w:rPr>
            </w:pPr>
            <w:r>
              <w:rPr>
                <w:sz w:val="22"/>
              </w:rPr>
              <w:t>tranquilo,</w:t>
            </w:r>
          </w:p>
        </w:tc>
        <w:tc>
          <w:tcPr>
            <w:tcW w:w="1985"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Nicolás</w:t>
            </w:r>
          </w:p>
        </w:tc>
        <w:tc>
          <w:tcPr>
            <w:tcW w:w="1418" w:type="dxa"/>
            <w:tcBorders>
              <w:top w:val="nil"/>
              <w:bottom w:val="nil"/>
            </w:tcBorders>
          </w:tcPr>
          <w:p>
            <w:pPr>
              <w:pStyle w:val="TableParagraph"/>
              <w:spacing w:line="241" w:lineRule="exact"/>
              <w:ind w:left="211" w:right="101"/>
              <w:rPr>
                <w:sz w:val="22"/>
              </w:rPr>
            </w:pPr>
            <w:r>
              <w:rPr>
                <w:sz w:val="22"/>
              </w:rPr>
              <w:t>porque ya</w:t>
            </w:r>
          </w:p>
        </w:tc>
        <w:tc>
          <w:tcPr>
            <w:tcW w:w="1841" w:type="dxa"/>
            <w:tcBorders>
              <w:top w:val="nil"/>
              <w:bottom w:val="nil"/>
            </w:tcBorders>
          </w:tcPr>
          <w:p>
            <w:pPr>
              <w:pStyle w:val="TableParagraph"/>
              <w:spacing w:line="241" w:lineRule="exact"/>
              <w:ind w:left="100"/>
              <w:rPr>
                <w:sz w:val="22"/>
              </w:rPr>
            </w:pPr>
            <w:r>
              <w:rPr>
                <w:sz w:val="22"/>
              </w:rPr>
              <w:t>ya tiene tiempo.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necesitamos</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(24/I/2015)</w:t>
            </w:r>
          </w:p>
        </w:tc>
        <w:tc>
          <w:tcPr>
            <w:tcW w:w="1418" w:type="dxa"/>
            <w:tcBorders>
              <w:top w:val="nil"/>
              <w:bottom w:val="nil"/>
            </w:tcBorders>
          </w:tcPr>
          <w:p>
            <w:pPr>
              <w:pStyle w:val="TableParagraph"/>
              <w:spacing w:line="241" w:lineRule="exact"/>
              <w:ind w:left="372" w:right="101"/>
              <w:rPr>
                <w:sz w:val="22"/>
              </w:rPr>
            </w:pPr>
            <w:r>
              <w:rPr>
                <w:sz w:val="22"/>
              </w:rPr>
              <w:t>no hay</w:t>
            </w:r>
          </w:p>
        </w:tc>
        <w:tc>
          <w:tcPr>
            <w:tcW w:w="1841" w:type="dxa"/>
            <w:tcBorders>
              <w:top w:val="nil"/>
              <w:bottom w:val="nil"/>
            </w:tcBorders>
          </w:tcPr>
          <w:p>
            <w:pPr>
              <w:pStyle w:val="TableParagraph"/>
              <w:spacing w:line="241" w:lineRule="exact"/>
              <w:ind w:left="100"/>
              <w:rPr>
                <w:sz w:val="22"/>
              </w:rPr>
            </w:pPr>
            <w:r>
              <w:rPr>
                <w:sz w:val="22"/>
              </w:rPr>
              <w:t>(10 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sembrar</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285" w:right="101"/>
              <w:rPr>
                <w:sz w:val="22"/>
              </w:rPr>
            </w:pPr>
            <w:r>
              <w:rPr>
                <w:sz w:val="22"/>
              </w:rPr>
              <w:t>pescado</w:t>
            </w: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pescado   y  ya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sembrado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necesitamos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86" w:val="left" w:leader="none"/>
              </w:tabs>
              <w:spacing w:line="241" w:lineRule="exact"/>
              <w:rPr>
                <w:sz w:val="22"/>
              </w:rPr>
            </w:pPr>
            <w:r>
              <w:rPr>
                <w:sz w:val="22"/>
              </w:rPr>
              <w:t>vigilarlo</w:t>
              <w:tab/>
              <w:t>entre</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todos.</w:t>
            </w: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ind w:left="251" w:right="127"/>
              <w:rPr>
                <w:sz w:val="22"/>
              </w:rPr>
            </w:pPr>
            <w:r>
              <w:rPr>
                <w:sz w:val="22"/>
              </w:rPr>
              <w:t>Anónimo</w:t>
            </w:r>
          </w:p>
        </w:tc>
        <w:tc>
          <w:tcPr>
            <w:tcW w:w="1418" w:type="dxa"/>
            <w:tcBorders>
              <w:bottom w:val="nil"/>
            </w:tcBorders>
          </w:tcPr>
          <w:p>
            <w:pPr>
              <w:pStyle w:val="TableParagraph"/>
              <w:spacing w:line="251" w:lineRule="exact"/>
              <w:ind w:left="156" w:right="101"/>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No   recuerdo</w:t>
            </w:r>
            <w:r>
              <w:rPr>
                <w:spacing w:val="59"/>
                <w:sz w:val="22"/>
              </w:rPr>
              <w:t> </w:t>
            </w:r>
            <w:r>
              <w:rPr>
                <w:sz w:val="22"/>
              </w:rPr>
              <w:t>el</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1702" w:type="dxa"/>
            <w:tcBorders>
              <w:bottom w:val="nil"/>
            </w:tcBorders>
          </w:tcPr>
          <w:p>
            <w:pPr>
              <w:pStyle w:val="TableParagraph"/>
              <w:spacing w:line="251" w:lineRule="exact"/>
              <w:rPr>
                <w:sz w:val="22"/>
              </w:rPr>
            </w:pPr>
            <w:r>
              <w:rPr>
                <w:sz w:val="22"/>
              </w:rPr>
              <w:t>Casi no, no  ha</w:t>
            </w:r>
          </w:p>
        </w:tc>
        <w:tc>
          <w:tcPr>
            <w:tcW w:w="1985" w:type="dxa"/>
            <w:tcBorders>
              <w:bottom w:val="nil"/>
            </w:tcBorders>
          </w:tcPr>
          <w:p>
            <w:pPr>
              <w:pStyle w:val="TableParagraph"/>
              <w:spacing w:line="251" w:lineRule="exact"/>
              <w:rPr>
                <w:sz w:val="22"/>
              </w:rPr>
            </w:pPr>
            <w:r>
              <w:rPr>
                <w:sz w:val="22"/>
              </w:rPr>
              <w:t>Los   de  Sagarpa</w:t>
            </w:r>
          </w:p>
        </w:tc>
      </w:tr>
      <w:tr>
        <w:trPr>
          <w:trHeight w:val="253" w:hRule="exact"/>
        </w:trPr>
        <w:tc>
          <w:tcPr>
            <w:tcW w:w="1385" w:type="dxa"/>
            <w:tcBorders>
              <w:top w:val="nil"/>
              <w:bottom w:val="nil"/>
            </w:tcBorders>
          </w:tcPr>
          <w:p>
            <w:pPr>
              <w:pStyle w:val="TableParagraph"/>
              <w:spacing w:line="241" w:lineRule="exact"/>
              <w:ind w:left="155"/>
              <w:rPr>
                <w:sz w:val="22"/>
              </w:rPr>
            </w:pPr>
            <w:r>
              <w:rPr>
                <w:sz w:val="22"/>
              </w:rPr>
              <w:t>(24/I/2015)</w:t>
            </w:r>
          </w:p>
        </w:tc>
        <w:tc>
          <w:tcPr>
            <w:tcW w:w="1418" w:type="dxa"/>
            <w:tcBorders>
              <w:top w:val="nil"/>
              <w:bottom w:val="nil"/>
            </w:tcBorders>
          </w:tcPr>
          <w:p>
            <w:pPr>
              <w:pStyle w:val="TableParagraph"/>
              <w:spacing w:line="241" w:lineRule="exact"/>
              <w:ind w:left="292" w:right="101"/>
              <w:rPr>
                <w:sz w:val="22"/>
              </w:rPr>
            </w:pPr>
            <w:r>
              <w:rPr>
                <w:sz w:val="22"/>
              </w:rPr>
              <w:t>la pesca</w:t>
            </w:r>
          </w:p>
        </w:tc>
        <w:tc>
          <w:tcPr>
            <w:tcW w:w="1841" w:type="dxa"/>
            <w:tcBorders>
              <w:top w:val="nil"/>
              <w:bottom w:val="nil"/>
            </w:tcBorders>
          </w:tcPr>
          <w:p>
            <w:pPr>
              <w:pStyle w:val="TableParagraph"/>
              <w:tabs>
                <w:tab w:pos="1117" w:val="left" w:leader="none"/>
                <w:tab w:pos="1556" w:val="left" w:leader="none"/>
              </w:tabs>
              <w:spacing w:line="241" w:lineRule="exact"/>
              <w:ind w:left="100"/>
              <w:rPr>
                <w:sz w:val="22"/>
              </w:rPr>
            </w:pPr>
            <w:r>
              <w:rPr>
                <w:sz w:val="22"/>
              </w:rPr>
              <w:t>nombre</w:t>
              <w:tab/>
              <w:t>ni</w:t>
              <w:tab/>
              <w:t>el</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spacing w:line="241" w:lineRule="exact"/>
              <w:rPr>
                <w:sz w:val="22"/>
              </w:rPr>
            </w:pPr>
            <w:r>
              <w:rPr>
                <w:sz w:val="22"/>
              </w:rPr>
              <w:t>habido.</w:t>
            </w:r>
          </w:p>
        </w:tc>
        <w:tc>
          <w:tcPr>
            <w:tcW w:w="1985" w:type="dxa"/>
            <w:tcBorders>
              <w:top w:val="nil"/>
              <w:bottom w:val="nil"/>
            </w:tcBorders>
          </w:tcPr>
          <w:p>
            <w:pPr>
              <w:pStyle w:val="TableParagraph"/>
              <w:spacing w:line="241" w:lineRule="exact"/>
              <w:rPr>
                <w:sz w:val="22"/>
              </w:rPr>
            </w:pPr>
            <w:r>
              <w:rPr>
                <w:sz w:val="22"/>
              </w:rPr>
              <w:t>ya  no  nos  dejan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2" w:lineRule="exact"/>
              <w:ind w:left="100"/>
              <w:rPr>
                <w:sz w:val="22"/>
              </w:rPr>
            </w:pPr>
            <w:r>
              <w:rPr>
                <w:sz w:val="22"/>
              </w:rPr>
              <w:t>número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w:t>
            </w:r>
          </w:p>
        </w:tc>
        <w:tc>
          <w:tcPr>
            <w:tcW w:w="1133" w:type="dxa"/>
            <w:tcBorders>
              <w:top w:val="nil"/>
              <w:bottom w:val="nil"/>
            </w:tcBorders>
          </w:tcPr>
          <w:p>
            <w:pPr>
              <w:pStyle w:val="TableParagraph"/>
              <w:spacing w:line="242" w:lineRule="exact"/>
              <w:ind w:left="100" w:right="52"/>
              <w:rPr>
                <w:sz w:val="22"/>
              </w:rPr>
            </w:pPr>
            <w:r>
              <w:rPr>
                <w:sz w:val="22"/>
              </w:rPr>
              <w:t>na,</w:t>
            </w: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pescar nos quitan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el   pan   de  cada</w:t>
            </w: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2" w:lineRule="exact"/>
              <w:rPr>
                <w:sz w:val="22"/>
              </w:rPr>
            </w:pPr>
            <w:r>
              <w:rPr>
                <w:sz w:val="22"/>
              </w:rPr>
              <w:t>día.</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540" w:hRule="exact"/>
        </w:trPr>
        <w:tc>
          <w:tcPr>
            <w:tcW w:w="1385" w:type="dxa"/>
          </w:tcPr>
          <w:p>
            <w:pPr>
              <w:pStyle w:val="TableParagraph"/>
              <w:ind w:right="127"/>
              <w:rPr>
                <w:sz w:val="22"/>
              </w:rPr>
            </w:pPr>
            <w:r>
              <w:rPr>
                <w:sz w:val="22"/>
              </w:rPr>
              <w:t>Elizabeth Valencia Martínez (esposa de un pescador) (31/I/2015)</w:t>
            </w:r>
          </w:p>
        </w:tc>
        <w:tc>
          <w:tcPr>
            <w:tcW w:w="1418" w:type="dxa"/>
          </w:tcPr>
          <w:p>
            <w:pPr>
              <w:pStyle w:val="TableParagraph"/>
              <w:ind w:left="167" w:right="171" w:firstLine="2"/>
              <w:jc w:val="center"/>
              <w:rPr>
                <w:sz w:val="22"/>
              </w:rPr>
            </w:pPr>
            <w:r>
              <w:rPr>
                <w:sz w:val="22"/>
              </w:rPr>
              <w:t>El hogar y preparar el pescado para ir a vender en el tianguis de   Acambay los  domingos</w:t>
            </w:r>
          </w:p>
        </w:tc>
        <w:tc>
          <w:tcPr>
            <w:tcW w:w="1841" w:type="dxa"/>
          </w:tcPr>
          <w:p>
            <w:pPr>
              <w:pStyle w:val="TableParagraph"/>
              <w:ind w:left="100" w:right="99"/>
              <w:jc w:val="both"/>
              <w:rPr>
                <w:sz w:val="22"/>
              </w:rPr>
            </w:pPr>
            <w:r>
              <w:rPr>
                <w:sz w:val="22"/>
              </w:rPr>
              <w:t>Su esposo es integrante de una</w:t>
            </w:r>
          </w:p>
          <w:p>
            <w:pPr>
              <w:pStyle w:val="TableParagraph"/>
              <w:tabs>
                <w:tab w:pos="1485" w:val="left" w:leader="none"/>
              </w:tabs>
              <w:ind w:left="100" w:right="99"/>
              <w:jc w:val="both"/>
              <w:rPr>
                <w:sz w:val="22"/>
              </w:rPr>
            </w:pPr>
            <w:r>
              <w:rPr>
                <w:sz w:val="22"/>
              </w:rPr>
              <w:t>cooperativa, pero</w:t>
              <w:tab/>
              <w:t>no</w:t>
            </w:r>
          </w:p>
          <w:p>
            <w:pPr>
              <w:pStyle w:val="TableParagraph"/>
              <w:ind w:left="100" w:right="99"/>
              <w:jc w:val="both"/>
              <w:rPr>
                <w:sz w:val="22"/>
              </w:rPr>
            </w:pPr>
            <w:r>
              <w:rPr>
                <w:sz w:val="22"/>
              </w:rPr>
              <w:t>recuerdo el nombre, ni el número de integrantes.</w:t>
            </w:r>
          </w:p>
        </w:tc>
        <w:tc>
          <w:tcPr>
            <w:tcW w:w="1135" w:type="dxa"/>
          </w:tcPr>
          <w:p>
            <w:pPr>
              <w:pStyle w:val="TableParagraph"/>
              <w:spacing w:line="252" w:lineRule="exact" w:before="2"/>
              <w:ind w:right="134"/>
              <w:rPr>
                <w:sz w:val="22"/>
              </w:rPr>
            </w:pPr>
            <w:r>
              <w:rPr>
                <w:sz w:val="22"/>
              </w:rPr>
              <w:t>Integrant e</w:t>
            </w:r>
          </w:p>
        </w:tc>
        <w:tc>
          <w:tcPr>
            <w:tcW w:w="991" w:type="dxa"/>
          </w:tcPr>
          <w:p>
            <w:pPr>
              <w:pStyle w:val="TableParagraph"/>
              <w:spacing w:line="252" w:lineRule="exact" w:before="2"/>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1702" w:type="dxa"/>
          </w:tcPr>
          <w:p>
            <w:pPr>
              <w:pStyle w:val="TableParagraph"/>
              <w:tabs>
                <w:tab w:pos="1355" w:val="left" w:leader="none"/>
              </w:tabs>
              <w:spacing w:line="252" w:lineRule="exact" w:before="2"/>
              <w:ind w:right="99"/>
              <w:rPr>
                <w:sz w:val="22"/>
              </w:rPr>
            </w:pPr>
            <w:r>
              <w:rPr>
                <w:sz w:val="22"/>
              </w:rPr>
              <w:t>Sí, los del otro lado</w:t>
              <w:tab/>
              <w:t>se</w:t>
            </w:r>
          </w:p>
          <w:p>
            <w:pPr>
              <w:pStyle w:val="TableParagraph"/>
              <w:tabs>
                <w:tab w:pos="820" w:val="left" w:leader="none"/>
                <w:tab w:pos="1463" w:val="left" w:leader="none"/>
              </w:tabs>
              <w:ind w:right="98"/>
              <w:rPr>
                <w:sz w:val="22"/>
              </w:rPr>
            </w:pPr>
            <w:r>
              <w:rPr>
                <w:sz w:val="22"/>
              </w:rPr>
              <w:t>molestan cuando los de aquí</w:t>
              <w:tab/>
              <w:t>van</w:t>
              <w:tab/>
              <w:t>a pescar</w:t>
            </w:r>
            <w:r>
              <w:rPr>
                <w:spacing w:val="-1"/>
                <w:sz w:val="22"/>
              </w:rPr>
              <w:t> </w:t>
            </w:r>
            <w:r>
              <w:rPr>
                <w:sz w:val="22"/>
              </w:rPr>
              <w:t>allá.</w:t>
            </w:r>
          </w:p>
        </w:tc>
        <w:tc>
          <w:tcPr>
            <w:tcW w:w="1985" w:type="dxa"/>
          </w:tcPr>
          <w:p>
            <w:pPr>
              <w:pStyle w:val="TableParagraph"/>
              <w:spacing w:line="251" w:lineRule="exact"/>
              <w:rPr>
                <w:sz w:val="22"/>
              </w:rPr>
            </w:pPr>
            <w:r>
              <w:rPr>
                <w:sz w:val="22"/>
              </w:rPr>
              <w:t>No sé decirle.</w:t>
            </w:r>
          </w:p>
        </w:tc>
      </w:tr>
      <w:tr>
        <w:trPr>
          <w:trHeight w:val="1022" w:hRule="exact"/>
        </w:trPr>
        <w:tc>
          <w:tcPr>
            <w:tcW w:w="1385" w:type="dxa"/>
          </w:tcPr>
          <w:p>
            <w:pPr>
              <w:pStyle w:val="TableParagraph"/>
              <w:ind w:right="188"/>
              <w:rPr>
                <w:sz w:val="22"/>
              </w:rPr>
            </w:pPr>
            <w:r>
              <w:rPr>
                <w:sz w:val="22"/>
              </w:rPr>
              <w:t>Agustín Santiago Valentín (31/I/2015)</w:t>
            </w:r>
          </w:p>
        </w:tc>
        <w:tc>
          <w:tcPr>
            <w:tcW w:w="1418" w:type="dxa"/>
          </w:tcPr>
          <w:p>
            <w:pPr>
              <w:pStyle w:val="TableParagraph"/>
              <w:spacing w:line="242" w:lineRule="auto"/>
              <w:ind w:left="292" w:right="145" w:hanging="137"/>
              <w:rPr>
                <w:sz w:val="22"/>
              </w:rPr>
            </w:pPr>
            <w:r>
              <w:rPr>
                <w:sz w:val="22"/>
              </w:rPr>
              <w:t>El campo y la pesca</w:t>
            </w:r>
          </w:p>
        </w:tc>
        <w:tc>
          <w:tcPr>
            <w:tcW w:w="1841" w:type="dxa"/>
          </w:tcPr>
          <w:p>
            <w:pPr>
              <w:pStyle w:val="TableParagraph"/>
              <w:spacing w:line="251" w:lineRule="exact"/>
              <w:ind w:left="100"/>
              <w:rPr>
                <w:sz w:val="22"/>
              </w:rPr>
            </w:pPr>
            <w:r>
              <w:rPr>
                <w:sz w:val="22"/>
              </w:rPr>
              <w:t>Cooperativa</w:t>
            </w:r>
          </w:p>
          <w:p>
            <w:pPr>
              <w:pStyle w:val="TableParagraph"/>
              <w:spacing w:before="1"/>
              <w:ind w:left="100"/>
              <w:rPr>
                <w:sz w:val="22"/>
              </w:rPr>
            </w:pPr>
            <w:r>
              <w:rPr>
                <w:sz w:val="22"/>
              </w:rPr>
              <w:t>“Pescarenas”</w:t>
            </w:r>
          </w:p>
        </w:tc>
        <w:tc>
          <w:tcPr>
            <w:tcW w:w="1135" w:type="dxa"/>
          </w:tcPr>
          <w:p>
            <w:pPr>
              <w:pStyle w:val="TableParagraph"/>
              <w:spacing w:line="242" w:lineRule="auto"/>
              <w:ind w:right="134"/>
              <w:rPr>
                <w:sz w:val="22"/>
              </w:rPr>
            </w:pPr>
            <w:r>
              <w:rPr>
                <w:sz w:val="22"/>
              </w:rPr>
              <w:t>Integrant e</w:t>
            </w:r>
          </w:p>
        </w:tc>
        <w:tc>
          <w:tcPr>
            <w:tcW w:w="991" w:type="dxa"/>
          </w:tcPr>
          <w:p>
            <w:pPr>
              <w:pStyle w:val="TableParagraph"/>
              <w:spacing w:line="242" w:lineRule="auto"/>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1702" w:type="dxa"/>
          </w:tcPr>
          <w:p>
            <w:pPr>
              <w:pStyle w:val="TableParagraph"/>
              <w:spacing w:line="251" w:lineRule="exact"/>
              <w:rPr>
                <w:sz w:val="22"/>
              </w:rPr>
            </w:pPr>
            <w:r>
              <w:rPr>
                <w:sz w:val="22"/>
              </w:rPr>
              <w:t>No.</w:t>
            </w:r>
          </w:p>
        </w:tc>
        <w:tc>
          <w:tcPr>
            <w:tcW w:w="1985" w:type="dxa"/>
          </w:tcPr>
          <w:p>
            <w:pPr>
              <w:pStyle w:val="TableParagraph"/>
              <w:spacing w:line="251" w:lineRule="exact"/>
              <w:rPr>
                <w:sz w:val="22"/>
              </w:rPr>
            </w:pPr>
            <w:r>
              <w:rPr>
                <w:sz w:val="22"/>
              </w:rPr>
              <w:t>Ninguna.</w:t>
            </w:r>
          </w:p>
        </w:tc>
      </w:tr>
      <w:tr>
        <w:trPr>
          <w:trHeight w:val="3552" w:hRule="exact"/>
        </w:trPr>
        <w:tc>
          <w:tcPr>
            <w:tcW w:w="1385" w:type="dxa"/>
          </w:tcPr>
          <w:p>
            <w:pPr>
              <w:pStyle w:val="TableParagraph"/>
              <w:ind w:right="127"/>
              <w:rPr>
                <w:sz w:val="22"/>
              </w:rPr>
            </w:pPr>
            <w:r>
              <w:rPr>
                <w:sz w:val="22"/>
              </w:rPr>
              <w:t>Felix Rivas Huitrón (7/II/2015)</w:t>
            </w:r>
          </w:p>
        </w:tc>
        <w:tc>
          <w:tcPr>
            <w:tcW w:w="1418" w:type="dxa"/>
          </w:tcPr>
          <w:p>
            <w:pPr>
              <w:pStyle w:val="TableParagraph"/>
              <w:spacing w:line="252" w:lineRule="exact" w:before="2"/>
              <w:ind w:left="292" w:right="145" w:hanging="137"/>
              <w:rPr>
                <w:sz w:val="22"/>
              </w:rPr>
            </w:pPr>
            <w:r>
              <w:rPr>
                <w:sz w:val="22"/>
              </w:rPr>
              <w:t>El campo y la pesca</w:t>
            </w:r>
          </w:p>
        </w:tc>
        <w:tc>
          <w:tcPr>
            <w:tcW w:w="1841" w:type="dxa"/>
          </w:tcPr>
          <w:p>
            <w:pPr>
              <w:pStyle w:val="TableParagraph"/>
              <w:ind w:left="100" w:right="99"/>
              <w:jc w:val="both"/>
              <w:rPr>
                <w:sz w:val="22"/>
              </w:rPr>
            </w:pPr>
            <w:r>
              <w:rPr>
                <w:sz w:val="22"/>
              </w:rPr>
              <w:t>Cooperativa “El Tezontle” (5 integrantes)</w:t>
            </w:r>
          </w:p>
        </w:tc>
        <w:tc>
          <w:tcPr>
            <w:tcW w:w="1135" w:type="dxa"/>
          </w:tcPr>
          <w:p>
            <w:pPr>
              <w:pStyle w:val="TableParagraph"/>
              <w:spacing w:line="252" w:lineRule="exact" w:before="2"/>
              <w:ind w:right="134"/>
              <w:rPr>
                <w:sz w:val="22"/>
              </w:rPr>
            </w:pPr>
            <w:r>
              <w:rPr>
                <w:sz w:val="22"/>
              </w:rPr>
              <w:t>Presiden te</w:t>
            </w:r>
          </w:p>
        </w:tc>
        <w:tc>
          <w:tcPr>
            <w:tcW w:w="991" w:type="dxa"/>
          </w:tcPr>
          <w:p>
            <w:pPr>
              <w:pStyle w:val="TableParagraph"/>
              <w:spacing w:line="252" w:lineRule="exact" w:before="2"/>
              <w:ind w:left="100" w:right="103"/>
              <w:rPr>
                <w:sz w:val="22"/>
              </w:rPr>
            </w:pPr>
            <w:r>
              <w:rPr>
                <w:sz w:val="22"/>
              </w:rPr>
              <w:t>Jilotepe c</w:t>
            </w:r>
          </w:p>
        </w:tc>
        <w:tc>
          <w:tcPr>
            <w:tcW w:w="1277" w:type="dxa"/>
          </w:tcPr>
          <w:p>
            <w:pPr>
              <w:pStyle w:val="TableParagraph"/>
              <w:spacing w:line="252" w:lineRule="exact" w:before="2"/>
              <w:ind w:right="178"/>
              <w:rPr>
                <w:sz w:val="22"/>
              </w:rPr>
            </w:pPr>
            <w:r>
              <w:rPr>
                <w:sz w:val="22"/>
              </w:rPr>
              <w:t>El Saltillo, Jilotepec</w:t>
            </w:r>
          </w:p>
        </w:tc>
        <w:tc>
          <w:tcPr>
            <w:tcW w:w="1133" w:type="dxa"/>
          </w:tcPr>
          <w:p>
            <w:pPr>
              <w:pStyle w:val="TableParagraph"/>
              <w:ind w:left="100" w:right="134"/>
              <w:rPr>
                <w:sz w:val="22"/>
              </w:rPr>
            </w:pPr>
            <w:r>
              <w:rPr>
                <w:sz w:val="22"/>
              </w:rPr>
              <w:t>El Saltillo, Jilotepec</w:t>
            </w:r>
          </w:p>
          <w:p>
            <w:pPr>
              <w:pStyle w:val="TableParagraph"/>
              <w:spacing w:line="252" w:lineRule="exact"/>
              <w:ind w:left="100"/>
              <w:rPr>
                <w:sz w:val="22"/>
              </w:rPr>
            </w:pPr>
            <w:r>
              <w:rPr>
                <w:w w:val="100"/>
                <w:sz w:val="22"/>
              </w:rPr>
              <w:t>.</w:t>
            </w:r>
          </w:p>
        </w:tc>
        <w:tc>
          <w:tcPr>
            <w:tcW w:w="1702" w:type="dxa"/>
          </w:tcPr>
          <w:p>
            <w:pPr>
              <w:pStyle w:val="TableParagraph"/>
              <w:tabs>
                <w:tab w:pos="1235" w:val="left" w:leader="none"/>
              </w:tabs>
              <w:spacing w:line="250" w:lineRule="exact"/>
              <w:rPr>
                <w:sz w:val="22"/>
              </w:rPr>
            </w:pPr>
            <w:r>
              <w:rPr>
                <w:sz w:val="22"/>
              </w:rPr>
              <w:t>No,</w:t>
              <w:tab/>
              <w:t>nos</w:t>
            </w:r>
          </w:p>
          <w:p>
            <w:pPr>
              <w:pStyle w:val="TableParagraph"/>
              <w:tabs>
                <w:tab w:pos="1172" w:val="left" w:leader="none"/>
                <w:tab w:pos="1235" w:val="left" w:leader="none"/>
              </w:tabs>
              <w:ind w:right="98"/>
              <w:jc w:val="both"/>
              <w:rPr>
                <w:sz w:val="22"/>
              </w:rPr>
            </w:pPr>
            <w:r>
              <w:rPr>
                <w:sz w:val="22"/>
              </w:rPr>
              <w:t>llevamos muy bien, los del otro</w:t>
              <w:tab/>
              <w:t>lado pescan aquí y no</w:t>
              <w:tab/>
              <w:tab/>
              <w:t>hay</w:t>
            </w:r>
          </w:p>
          <w:p>
            <w:pPr>
              <w:pStyle w:val="TableParagraph"/>
              <w:tabs>
                <w:tab w:pos="626" w:val="left" w:leader="none"/>
                <w:tab w:pos="1137" w:val="left" w:leader="none"/>
                <w:tab w:pos="1221" w:val="left" w:leader="none"/>
              </w:tabs>
              <w:ind w:right="98"/>
              <w:rPr>
                <w:sz w:val="22"/>
              </w:rPr>
            </w:pPr>
            <w:r>
              <w:rPr>
                <w:sz w:val="22"/>
              </w:rPr>
              <w:t>problema, dijeron</w:t>
              <w:tab/>
              <w:tab/>
              <w:t>que iban a poner flotadores rojos</w:t>
              <w:tab/>
              <w:tab/>
              <w:t>para delimitar, pero no</w:t>
              <w:tab/>
              <w:t>se</w:t>
              <w:tab/>
            </w:r>
            <w:r>
              <w:rPr>
                <w:spacing w:val="-1"/>
                <w:sz w:val="22"/>
              </w:rPr>
              <w:t>llevó </w:t>
            </w:r>
            <w:r>
              <w:rPr>
                <w:sz w:val="22"/>
              </w:rPr>
              <w:t>acabo nada.</w:t>
            </w:r>
          </w:p>
        </w:tc>
        <w:tc>
          <w:tcPr>
            <w:tcW w:w="1985" w:type="dxa"/>
          </w:tcPr>
          <w:p>
            <w:pPr>
              <w:pStyle w:val="TableParagraph"/>
              <w:tabs>
                <w:tab w:pos="1588" w:val="left" w:leader="none"/>
              </w:tabs>
              <w:spacing w:line="250" w:lineRule="exact"/>
              <w:jc w:val="both"/>
              <w:rPr>
                <w:sz w:val="22"/>
              </w:rPr>
            </w:pPr>
            <w:r>
              <w:rPr>
                <w:sz w:val="22"/>
              </w:rPr>
              <w:t>Mando</w:t>
              <w:tab/>
              <w:t>los</w:t>
            </w:r>
          </w:p>
          <w:p>
            <w:pPr>
              <w:pStyle w:val="TableParagraph"/>
              <w:ind w:right="99"/>
              <w:jc w:val="both"/>
              <w:rPr>
                <w:sz w:val="22"/>
              </w:rPr>
            </w:pPr>
            <w:r>
              <w:rPr>
                <w:sz w:val="22"/>
              </w:rPr>
              <w:t>biólogos para hacer estudios, pero que según estaba todo bien, pero en el agua, sigue una nata que huele bien feo.</w:t>
            </w:r>
          </w:p>
        </w:tc>
      </w:tr>
      <w:tr>
        <w:trPr>
          <w:trHeight w:val="1021" w:hRule="exact"/>
        </w:trPr>
        <w:tc>
          <w:tcPr>
            <w:tcW w:w="1385" w:type="dxa"/>
          </w:tcPr>
          <w:p>
            <w:pPr>
              <w:pStyle w:val="TableParagraph"/>
              <w:ind w:right="176"/>
              <w:rPr>
                <w:sz w:val="22"/>
              </w:rPr>
            </w:pPr>
            <w:r>
              <w:rPr>
                <w:sz w:val="22"/>
              </w:rPr>
              <w:t>Emigdio Rodríguez Hernández (7/II/2015)</w:t>
            </w:r>
          </w:p>
        </w:tc>
        <w:tc>
          <w:tcPr>
            <w:tcW w:w="1418" w:type="dxa"/>
          </w:tcPr>
          <w:p>
            <w:pPr>
              <w:pStyle w:val="TableParagraph"/>
              <w:ind w:left="163" w:right="133" w:hanging="20"/>
              <w:rPr>
                <w:sz w:val="22"/>
              </w:rPr>
            </w:pPr>
            <w:r>
              <w:rPr>
                <w:sz w:val="22"/>
              </w:rPr>
              <w:t>Campesino y pescador</w:t>
            </w:r>
          </w:p>
        </w:tc>
        <w:tc>
          <w:tcPr>
            <w:tcW w:w="1841" w:type="dxa"/>
          </w:tcPr>
          <w:p>
            <w:pPr>
              <w:pStyle w:val="TableParagraph"/>
              <w:ind w:left="100" w:right="99"/>
              <w:jc w:val="both"/>
              <w:rPr>
                <w:sz w:val="22"/>
              </w:rPr>
            </w:pPr>
            <w:r>
              <w:rPr>
                <w:sz w:val="22"/>
              </w:rPr>
              <w:t>Cooperativa “El Rinconcito” (13 integrantes)</w:t>
            </w:r>
          </w:p>
        </w:tc>
        <w:tc>
          <w:tcPr>
            <w:tcW w:w="1135" w:type="dxa"/>
          </w:tcPr>
          <w:p>
            <w:pPr>
              <w:pStyle w:val="TableParagraph"/>
              <w:ind w:right="134"/>
              <w:rPr>
                <w:sz w:val="22"/>
              </w:rPr>
            </w:pPr>
            <w:r>
              <w:rPr>
                <w:sz w:val="22"/>
              </w:rPr>
              <w:t>Presiden te</w:t>
            </w:r>
          </w:p>
        </w:tc>
        <w:tc>
          <w:tcPr>
            <w:tcW w:w="991" w:type="dxa"/>
          </w:tcPr>
          <w:p>
            <w:pPr>
              <w:pStyle w:val="TableParagraph"/>
              <w:ind w:left="100" w:right="103"/>
              <w:rPr>
                <w:sz w:val="22"/>
              </w:rPr>
            </w:pPr>
            <w:r>
              <w:rPr>
                <w:sz w:val="22"/>
              </w:rPr>
              <w:t>Jilotepe c</w:t>
            </w:r>
          </w:p>
        </w:tc>
        <w:tc>
          <w:tcPr>
            <w:tcW w:w="1277" w:type="dxa"/>
          </w:tcPr>
          <w:p>
            <w:pPr>
              <w:pStyle w:val="TableParagraph"/>
              <w:ind w:right="276"/>
              <w:rPr>
                <w:sz w:val="22"/>
              </w:rPr>
            </w:pPr>
            <w:r>
              <w:rPr>
                <w:sz w:val="22"/>
              </w:rPr>
              <w:t>Aldama (El Trojillo), Jilotepec</w:t>
            </w:r>
          </w:p>
        </w:tc>
        <w:tc>
          <w:tcPr>
            <w:tcW w:w="1133" w:type="dxa"/>
          </w:tcPr>
          <w:p>
            <w:pPr>
              <w:pStyle w:val="TableParagraph"/>
              <w:ind w:left="100" w:right="134"/>
              <w:rPr>
                <w:sz w:val="22"/>
              </w:rPr>
            </w:pPr>
            <w:r>
              <w:rPr>
                <w:sz w:val="22"/>
              </w:rPr>
              <w:t>Aldama (El Trojillo), Jilotepec</w:t>
            </w:r>
          </w:p>
        </w:tc>
        <w:tc>
          <w:tcPr>
            <w:tcW w:w="1702" w:type="dxa"/>
          </w:tcPr>
          <w:p>
            <w:pPr>
              <w:pStyle w:val="TableParagraph"/>
              <w:spacing w:line="251" w:lineRule="exact"/>
              <w:rPr>
                <w:sz w:val="22"/>
              </w:rPr>
            </w:pPr>
            <w:r>
              <w:rPr>
                <w:sz w:val="22"/>
              </w:rPr>
              <w:t>No.</w:t>
            </w:r>
          </w:p>
        </w:tc>
        <w:tc>
          <w:tcPr>
            <w:tcW w:w="1985" w:type="dxa"/>
          </w:tcPr>
          <w:p>
            <w:pPr>
              <w:pStyle w:val="TableParagraph"/>
              <w:tabs>
                <w:tab w:pos="1202" w:val="left" w:leader="none"/>
              </w:tabs>
              <w:ind w:right="99"/>
              <w:rPr>
                <w:sz w:val="22"/>
              </w:rPr>
            </w:pPr>
            <w:r>
              <w:rPr>
                <w:sz w:val="22"/>
              </w:rPr>
              <w:t>Nada,</w:t>
              <w:tab/>
            </w:r>
            <w:r>
              <w:rPr>
                <w:spacing w:val="-1"/>
                <w:sz w:val="22"/>
              </w:rPr>
              <w:t>ahorita </w:t>
            </w:r>
            <w:r>
              <w:rPr>
                <w:sz w:val="22"/>
              </w:rPr>
              <w:t>nada.</w:t>
            </w:r>
          </w:p>
        </w:tc>
      </w:tr>
      <w:tr>
        <w:trPr>
          <w:trHeight w:val="518" w:hRule="exact"/>
        </w:trPr>
        <w:tc>
          <w:tcPr>
            <w:tcW w:w="1385" w:type="dxa"/>
          </w:tcPr>
          <w:p>
            <w:pPr>
              <w:pStyle w:val="TableParagraph"/>
              <w:ind w:right="408"/>
              <w:rPr>
                <w:sz w:val="22"/>
              </w:rPr>
            </w:pPr>
            <w:r>
              <w:rPr>
                <w:sz w:val="22"/>
              </w:rPr>
              <w:t>José Valencia</w:t>
            </w:r>
          </w:p>
        </w:tc>
        <w:tc>
          <w:tcPr>
            <w:tcW w:w="1418" w:type="dxa"/>
          </w:tcPr>
          <w:p>
            <w:pPr>
              <w:pStyle w:val="TableParagraph"/>
              <w:ind w:left="139" w:right="125" w:firstLine="28"/>
              <w:rPr>
                <w:sz w:val="22"/>
              </w:rPr>
            </w:pPr>
            <w:r>
              <w:rPr>
                <w:sz w:val="22"/>
              </w:rPr>
              <w:t>La pesca y el comercio</w:t>
            </w:r>
          </w:p>
        </w:tc>
        <w:tc>
          <w:tcPr>
            <w:tcW w:w="1841" w:type="dxa"/>
          </w:tcPr>
          <w:p>
            <w:pPr>
              <w:pStyle w:val="TableParagraph"/>
              <w:spacing w:line="252" w:lineRule="exact"/>
              <w:ind w:left="100"/>
              <w:rPr>
                <w:sz w:val="22"/>
              </w:rPr>
            </w:pPr>
            <w:r>
              <w:rPr>
                <w:sz w:val="22"/>
              </w:rPr>
              <w:t>Cooperativa</w:t>
            </w:r>
          </w:p>
          <w:p>
            <w:pPr>
              <w:pStyle w:val="TableParagraph"/>
              <w:spacing w:line="252" w:lineRule="exact"/>
              <w:ind w:left="100"/>
              <w:rPr>
                <w:sz w:val="22"/>
              </w:rPr>
            </w:pPr>
            <w:r>
              <w:rPr>
                <w:sz w:val="22"/>
              </w:rPr>
              <w:t>“Pescarenas</w:t>
            </w:r>
          </w:p>
        </w:tc>
        <w:tc>
          <w:tcPr>
            <w:tcW w:w="1135" w:type="dxa"/>
          </w:tcPr>
          <w:p>
            <w:pPr>
              <w:pStyle w:val="TableParagraph"/>
              <w:ind w:right="134"/>
              <w:rPr>
                <w:sz w:val="22"/>
              </w:rPr>
            </w:pPr>
            <w:r>
              <w:rPr>
                <w:sz w:val="22"/>
              </w:rPr>
              <w:t>Integrant e</w:t>
            </w:r>
          </w:p>
        </w:tc>
        <w:tc>
          <w:tcPr>
            <w:tcW w:w="991" w:type="dxa"/>
          </w:tcPr>
          <w:p>
            <w:pPr>
              <w:pStyle w:val="TableParagraph"/>
              <w:ind w:left="100" w:right="176"/>
              <w:rPr>
                <w:sz w:val="22"/>
              </w:rPr>
            </w:pPr>
            <w:r>
              <w:rPr>
                <w:sz w:val="22"/>
              </w:rPr>
              <w:t>Acamb ay</w:t>
            </w:r>
          </w:p>
        </w:tc>
        <w:tc>
          <w:tcPr>
            <w:tcW w:w="1277" w:type="dxa"/>
          </w:tcPr>
          <w:p>
            <w:pPr>
              <w:pStyle w:val="TableParagraph"/>
              <w:ind w:right="386"/>
              <w:rPr>
                <w:sz w:val="22"/>
              </w:rPr>
            </w:pPr>
            <w:r>
              <w:rPr>
                <w:sz w:val="22"/>
              </w:rPr>
              <w:t>Las Arenas,</w:t>
            </w:r>
          </w:p>
        </w:tc>
        <w:tc>
          <w:tcPr>
            <w:tcW w:w="1133" w:type="dxa"/>
          </w:tcPr>
          <w:p>
            <w:pPr>
              <w:pStyle w:val="TableParagraph"/>
              <w:ind w:left="100" w:right="245"/>
              <w:rPr>
                <w:sz w:val="22"/>
              </w:rPr>
            </w:pPr>
            <w:r>
              <w:rPr>
                <w:sz w:val="22"/>
              </w:rPr>
              <w:t>Las Arenas,</w:t>
            </w:r>
          </w:p>
        </w:tc>
        <w:tc>
          <w:tcPr>
            <w:tcW w:w="1702" w:type="dxa"/>
          </w:tcPr>
          <w:p>
            <w:pPr>
              <w:pStyle w:val="TableParagraph"/>
              <w:rPr>
                <w:sz w:val="22"/>
              </w:rPr>
            </w:pPr>
            <w:r>
              <w:rPr>
                <w:sz w:val="22"/>
              </w:rPr>
              <w:t>No porque hay una</w:t>
            </w:r>
          </w:p>
        </w:tc>
        <w:tc>
          <w:tcPr>
            <w:tcW w:w="1985" w:type="dxa"/>
          </w:tcPr>
          <w:p>
            <w:pPr>
              <w:pStyle w:val="TableParagraph"/>
              <w:tabs>
                <w:tab w:pos="1629" w:val="left" w:leader="none"/>
              </w:tabs>
              <w:ind w:right="98"/>
              <w:rPr>
                <w:sz w:val="22"/>
              </w:rPr>
            </w:pPr>
            <w:r>
              <w:rPr>
                <w:sz w:val="22"/>
              </w:rPr>
              <w:t>Ha realizado un estudio</w:t>
              <w:tab/>
              <w:t>en</w:t>
            </w:r>
          </w:p>
        </w:tc>
      </w:tr>
    </w:tbl>
    <w:p>
      <w:pPr>
        <w:spacing w:after="0"/>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5" w:hRule="exact"/>
        </w:trPr>
        <w:tc>
          <w:tcPr>
            <w:tcW w:w="1385" w:type="dxa"/>
            <w:tcBorders>
              <w:bottom w:val="nil"/>
            </w:tcBorders>
          </w:tcPr>
          <w:p>
            <w:pPr>
              <w:pStyle w:val="TableParagraph"/>
              <w:spacing w:line="251" w:lineRule="exact"/>
              <w:ind w:right="127"/>
              <w:rPr>
                <w:sz w:val="22"/>
              </w:rPr>
            </w:pPr>
            <w:r>
              <w:rPr>
                <w:sz w:val="22"/>
              </w:rPr>
              <w:t>García</w:t>
            </w:r>
          </w:p>
        </w:tc>
        <w:tc>
          <w:tcPr>
            <w:tcW w:w="1418" w:type="dxa"/>
            <w:tcBorders>
              <w:bottom w:val="nil"/>
            </w:tcBorders>
          </w:tcPr>
          <w:p>
            <w:pPr>
              <w:pStyle w:val="TableParagraph"/>
              <w:spacing w:line="251" w:lineRule="exact"/>
              <w:ind w:left="102" w:right="104"/>
              <w:jc w:val="center"/>
              <w:rPr>
                <w:sz w:val="22"/>
              </w:rPr>
            </w:pPr>
            <w:r>
              <w:rPr>
                <w:sz w:val="22"/>
              </w:rPr>
              <w:t>de eventos</w:t>
            </w:r>
          </w:p>
        </w:tc>
        <w:tc>
          <w:tcPr>
            <w:tcW w:w="1841" w:type="dxa"/>
            <w:tcBorders>
              <w:bottom w:val="nil"/>
            </w:tcBorders>
          </w:tcPr>
          <w:p>
            <w:pPr>
              <w:pStyle w:val="TableParagraph"/>
              <w:spacing w:line="251" w:lineRule="exact"/>
              <w:ind w:left="100"/>
              <w:rPr>
                <w:sz w:val="22"/>
              </w:rPr>
            </w:pPr>
            <w:r>
              <w:rPr>
                <w:sz w:val="22"/>
              </w:rPr>
              <w:t>Procesado</w:t>
            </w:r>
          </w:p>
        </w:tc>
        <w:tc>
          <w:tcPr>
            <w:tcW w:w="1135" w:type="dxa"/>
            <w:tcBorders>
              <w:bottom w:val="nil"/>
            </w:tcBorders>
          </w:tcPr>
          <w:p>
            <w:pPr/>
          </w:p>
        </w:tc>
        <w:tc>
          <w:tcPr>
            <w:tcW w:w="991" w:type="dxa"/>
            <w:vMerge w:val="restart"/>
          </w:tcPr>
          <w:p>
            <w:pPr/>
          </w:p>
        </w:tc>
        <w:tc>
          <w:tcPr>
            <w:tcW w:w="1277" w:type="dxa"/>
            <w:tcBorders>
              <w:bottom w:val="nil"/>
            </w:tcBorders>
          </w:tcPr>
          <w:p>
            <w:pPr>
              <w:pStyle w:val="TableParagraph"/>
              <w:spacing w:line="251" w:lineRule="exact"/>
              <w:ind w:right="92"/>
              <w:rPr>
                <w:sz w:val="22"/>
              </w:rPr>
            </w:pPr>
            <w:r>
              <w:rPr>
                <w:sz w:val="22"/>
              </w:rPr>
              <w:t>Acambay</w:t>
            </w:r>
          </w:p>
        </w:tc>
        <w:tc>
          <w:tcPr>
            <w:tcW w:w="1133" w:type="dxa"/>
            <w:tcBorders>
              <w:bottom w:val="nil"/>
            </w:tcBorders>
          </w:tcPr>
          <w:p>
            <w:pPr>
              <w:pStyle w:val="TableParagraph"/>
              <w:spacing w:line="251" w:lineRule="exact"/>
              <w:ind w:left="100" w:right="52"/>
              <w:rPr>
                <w:sz w:val="22"/>
              </w:rPr>
            </w:pPr>
            <w:r>
              <w:rPr>
                <w:sz w:val="22"/>
              </w:rPr>
              <w:t>Acambay</w:t>
            </w:r>
          </w:p>
        </w:tc>
        <w:tc>
          <w:tcPr>
            <w:tcW w:w="1702" w:type="dxa"/>
            <w:tcBorders>
              <w:bottom w:val="nil"/>
            </w:tcBorders>
          </w:tcPr>
          <w:p>
            <w:pPr>
              <w:pStyle w:val="TableParagraph"/>
              <w:spacing w:line="251" w:lineRule="exact"/>
              <w:rPr>
                <w:sz w:val="22"/>
              </w:rPr>
            </w:pPr>
            <w:r>
              <w:rPr>
                <w:sz w:val="22"/>
              </w:rPr>
              <w:t>coordinación,</w:t>
            </w:r>
          </w:p>
        </w:tc>
        <w:tc>
          <w:tcPr>
            <w:tcW w:w="1985" w:type="dxa"/>
            <w:tcBorders>
              <w:bottom w:val="nil"/>
            </w:tcBorders>
          </w:tcPr>
          <w:p>
            <w:pPr>
              <w:pStyle w:val="TableParagraph"/>
              <w:spacing w:line="251" w:lineRule="exact"/>
              <w:rPr>
                <w:sz w:val="22"/>
              </w:rPr>
            </w:pPr>
            <w:r>
              <w:rPr>
                <w:sz w:val="22"/>
              </w:rPr>
              <w:t>coordinación  con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(24/I/2015)</w:t>
            </w:r>
          </w:p>
        </w:tc>
        <w:tc>
          <w:tcPr>
            <w:tcW w:w="1418" w:type="dxa"/>
            <w:tcBorders>
              <w:top w:val="nil"/>
              <w:bottom w:val="nil"/>
            </w:tcBorders>
          </w:tcPr>
          <w:p>
            <w:pPr>
              <w:pStyle w:val="TableParagraph"/>
              <w:spacing w:line="242" w:lineRule="exact"/>
              <w:ind w:left="102" w:right="104"/>
              <w:jc w:val="center"/>
              <w:rPr>
                <w:sz w:val="22"/>
              </w:rPr>
            </w:pPr>
            <w:r>
              <w:rPr>
                <w:sz w:val="22"/>
              </w:rPr>
              <w:t>sociales</w:t>
            </w:r>
          </w:p>
        </w:tc>
        <w:tc>
          <w:tcPr>
            <w:tcW w:w="1841" w:type="dxa"/>
            <w:tcBorders>
              <w:top w:val="nil"/>
              <w:bottom w:val="nil"/>
            </w:tcBorders>
          </w:tcPr>
          <w:p>
            <w:pPr>
              <w:pStyle w:val="TableParagraph"/>
              <w:spacing w:line="242" w:lineRule="exact"/>
              <w:ind w:left="100"/>
              <w:rPr>
                <w:sz w:val="22"/>
              </w:rPr>
            </w:pPr>
            <w:r>
              <w:rPr>
                <w:sz w:val="22"/>
              </w:rPr>
              <w:t>Fresco”</w:t>
            </w:r>
          </w:p>
        </w:tc>
        <w:tc>
          <w:tcPr>
            <w:tcW w:w="1135" w:type="dxa"/>
            <w:tcBorders>
              <w:top w:val="nil"/>
              <w:bottom w:val="nil"/>
            </w:tcBorders>
          </w:tcPr>
          <w:p>
            <w:pPr>
              <w:pStyle w:val="TableParagraph"/>
              <w:spacing w:line="240" w:lineRule="exact"/>
              <w:rPr>
                <w:b/>
                <w:sz w:val="22"/>
              </w:rPr>
            </w:pPr>
            <w:r>
              <w:rPr>
                <w:b/>
                <w:sz w:val="22"/>
              </w:rPr>
              <w:t>PRESID</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únicamente</w:t>
            </w:r>
          </w:p>
        </w:tc>
        <w:tc>
          <w:tcPr>
            <w:tcW w:w="1985" w:type="dxa"/>
            <w:tcBorders>
              <w:top w:val="nil"/>
              <w:bottom w:val="nil"/>
            </w:tcBorders>
          </w:tcPr>
          <w:p>
            <w:pPr>
              <w:pStyle w:val="TableParagraph"/>
              <w:tabs>
                <w:tab w:pos="700" w:val="left" w:leader="none"/>
                <w:tab w:pos="1760" w:val="left" w:leader="none"/>
              </w:tabs>
              <w:spacing w:line="242" w:lineRule="exact"/>
              <w:rPr>
                <w:sz w:val="22"/>
              </w:rPr>
            </w:pPr>
            <w:r>
              <w:rPr>
                <w:sz w:val="22"/>
              </w:rPr>
              <w:t>la</w:t>
              <w:tab/>
              <w:t>UAEM</w:t>
              <w:tab/>
              <w:t>y</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4" w:lineRule="exact"/>
              <w:ind w:left="102" w:right="102"/>
              <w:jc w:val="center"/>
              <w:rPr>
                <w:sz w:val="22"/>
              </w:rPr>
            </w:pPr>
            <w:r>
              <w:rPr>
                <w:sz w:val="22"/>
              </w:rPr>
              <w:t>(renta de</w:t>
            </w: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ENTE</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3" w:val="left" w:leader="none"/>
              </w:tabs>
              <w:spacing w:line="244" w:lineRule="exact"/>
              <w:rPr>
                <w:sz w:val="22"/>
              </w:rPr>
            </w:pPr>
            <w:r>
              <w:rPr>
                <w:sz w:val="22"/>
              </w:rPr>
              <w:t>con</w:t>
              <w:tab/>
              <w:t>una</w:t>
            </w:r>
          </w:p>
        </w:tc>
        <w:tc>
          <w:tcPr>
            <w:tcW w:w="1985" w:type="dxa"/>
            <w:tcBorders>
              <w:top w:val="nil"/>
              <w:bottom w:val="nil"/>
            </w:tcBorders>
          </w:tcPr>
          <w:p>
            <w:pPr>
              <w:pStyle w:val="TableParagraph"/>
              <w:spacing w:line="244" w:lineRule="exact"/>
              <w:rPr>
                <w:sz w:val="22"/>
              </w:rPr>
            </w:pPr>
            <w:r>
              <w:rPr>
                <w:sz w:val="22"/>
              </w:rPr>
              <w:t>brigadas   para  la</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2" w:right="104"/>
              <w:jc w:val="center"/>
              <w:rPr>
                <w:sz w:val="22"/>
              </w:rPr>
            </w:pPr>
            <w:r>
              <w:rPr>
                <w:sz w:val="22"/>
              </w:rPr>
              <w:t>equipo para</w:t>
            </w: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DE</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2" w:lineRule="exact"/>
              <w:rPr>
                <w:sz w:val="22"/>
              </w:rPr>
            </w:pPr>
            <w:r>
              <w:rPr>
                <w:sz w:val="22"/>
              </w:rPr>
              <w:t>persona</w:t>
              <w:tab/>
              <w:t>de</w:t>
            </w:r>
          </w:p>
        </w:tc>
        <w:tc>
          <w:tcPr>
            <w:tcW w:w="1985" w:type="dxa"/>
            <w:tcBorders>
              <w:top w:val="nil"/>
              <w:bottom w:val="nil"/>
            </w:tcBorders>
          </w:tcPr>
          <w:p>
            <w:pPr>
              <w:pStyle w:val="TableParagraph"/>
              <w:spacing w:line="242" w:lineRule="exact"/>
              <w:rPr>
                <w:sz w:val="22"/>
              </w:rPr>
            </w:pPr>
            <w:r>
              <w:rPr>
                <w:sz w:val="22"/>
              </w:rPr>
              <w:t>protección   de  la</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4" w:lineRule="exact"/>
              <w:ind w:left="102" w:right="104"/>
              <w:jc w:val="center"/>
              <w:rPr>
                <w:sz w:val="22"/>
              </w:rPr>
            </w:pPr>
            <w:r>
              <w:rPr>
                <w:sz w:val="22"/>
              </w:rPr>
              <w:t>fiestas)</w:t>
            </w: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TODAS</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4" w:lineRule="exact"/>
              <w:rPr>
                <w:sz w:val="22"/>
              </w:rPr>
            </w:pPr>
            <w:r>
              <w:rPr>
                <w:sz w:val="22"/>
              </w:rPr>
              <w:t>Aldama que no</w:t>
            </w:r>
          </w:p>
        </w:tc>
        <w:tc>
          <w:tcPr>
            <w:tcW w:w="1985" w:type="dxa"/>
            <w:tcBorders>
              <w:top w:val="nil"/>
              <w:bottom w:val="nil"/>
            </w:tcBorders>
          </w:tcPr>
          <w:p>
            <w:pPr>
              <w:pStyle w:val="TableParagraph"/>
              <w:tabs>
                <w:tab w:pos="1106" w:val="left" w:leader="none"/>
                <w:tab w:pos="1629" w:val="left" w:leader="none"/>
              </w:tabs>
              <w:spacing w:line="244" w:lineRule="exact"/>
              <w:rPr>
                <w:sz w:val="22"/>
              </w:rPr>
            </w:pPr>
            <w:r>
              <w:rPr>
                <w:sz w:val="22"/>
              </w:rPr>
              <w:t>pesca</w:t>
              <w:tab/>
              <w:t>y</w:t>
              <w:tab/>
              <w:t>un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LAS</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62" w:val="left" w:leader="none"/>
              </w:tabs>
              <w:spacing w:line="242" w:lineRule="exact"/>
              <w:rPr>
                <w:sz w:val="22"/>
              </w:rPr>
            </w:pPr>
            <w:r>
              <w:rPr>
                <w:sz w:val="22"/>
              </w:rPr>
              <w:t>se</w:t>
              <w:tab/>
              <w:t>quiso</w:t>
            </w:r>
          </w:p>
        </w:tc>
        <w:tc>
          <w:tcPr>
            <w:tcW w:w="1985" w:type="dxa"/>
            <w:tcBorders>
              <w:top w:val="nil"/>
              <w:bottom w:val="nil"/>
            </w:tcBorders>
          </w:tcPr>
          <w:p>
            <w:pPr>
              <w:pStyle w:val="TableParagraph"/>
              <w:spacing w:line="242" w:lineRule="exact"/>
              <w:rPr>
                <w:sz w:val="22"/>
              </w:rPr>
            </w:pPr>
            <w:r>
              <w:rPr>
                <w:sz w:val="22"/>
              </w:rPr>
              <w:t>levantamiento  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COOPE</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solidarizar  con</w:t>
            </w:r>
          </w:p>
        </w:tc>
        <w:tc>
          <w:tcPr>
            <w:tcW w:w="1985" w:type="dxa"/>
            <w:tcBorders>
              <w:top w:val="nil"/>
              <w:bottom w:val="nil"/>
            </w:tcBorders>
          </w:tcPr>
          <w:p>
            <w:pPr>
              <w:pStyle w:val="TableParagraph"/>
              <w:tabs>
                <w:tab w:pos="957" w:val="left" w:leader="none"/>
                <w:tab w:pos="1628" w:val="left" w:leader="none"/>
              </w:tabs>
              <w:spacing w:line="242" w:lineRule="exact"/>
              <w:rPr>
                <w:sz w:val="22"/>
              </w:rPr>
            </w:pPr>
            <w:r>
              <w:rPr>
                <w:sz w:val="22"/>
              </w:rPr>
              <w:t>redes</w:t>
              <w:tab/>
              <w:t>que</w:t>
              <w:tab/>
              <w:t>no</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RATIVA</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65" w:val="left" w:leader="none"/>
              </w:tabs>
              <w:spacing w:line="244" w:lineRule="exact"/>
              <w:rPr>
                <w:sz w:val="22"/>
              </w:rPr>
            </w:pPr>
            <w:r>
              <w:rPr>
                <w:sz w:val="22"/>
              </w:rPr>
              <w:t>la</w:t>
              <w:tab/>
              <w:t>laguna,</w:t>
            </w:r>
          </w:p>
        </w:tc>
        <w:tc>
          <w:tcPr>
            <w:tcW w:w="1985" w:type="dxa"/>
            <w:tcBorders>
              <w:top w:val="nil"/>
              <w:bottom w:val="nil"/>
            </w:tcBorders>
          </w:tcPr>
          <w:p>
            <w:pPr>
              <w:pStyle w:val="TableParagraph"/>
              <w:spacing w:line="244" w:lineRule="exact"/>
              <w:rPr>
                <w:sz w:val="22"/>
              </w:rPr>
            </w:pPr>
            <w:r>
              <w:rPr>
                <w:sz w:val="22"/>
              </w:rPr>
              <w:t>están permitidas.</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S DE</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aparto  el lugar</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PESCAD</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614" w:val="left" w:leader="none"/>
                <w:tab w:pos="1113" w:val="left" w:leader="none"/>
              </w:tabs>
              <w:spacing w:line="244" w:lineRule="exact"/>
              <w:rPr>
                <w:sz w:val="22"/>
              </w:rPr>
            </w:pPr>
            <w:r>
              <w:rPr>
                <w:sz w:val="22"/>
              </w:rPr>
              <w:t>de</w:t>
              <w:tab/>
              <w:t>su</w:t>
              <w:tab/>
              <w:t>zona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ORES</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para pescar, 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DE LA</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35" w:val="left" w:leader="none"/>
              </w:tabs>
              <w:spacing w:line="242" w:lineRule="exact"/>
              <w:rPr>
                <w:sz w:val="22"/>
              </w:rPr>
            </w:pPr>
            <w:r>
              <w:rPr>
                <w:sz w:val="22"/>
              </w:rPr>
              <w:t>delimitó</w:t>
              <w:tab/>
              <w:t>con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LAGUN</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26" w:val="left" w:leader="none"/>
              </w:tabs>
              <w:spacing w:line="244" w:lineRule="exact"/>
              <w:rPr>
                <w:sz w:val="22"/>
              </w:rPr>
            </w:pPr>
            <w:r>
              <w:rPr>
                <w:sz w:val="22"/>
              </w:rPr>
              <w:t>redes</w:t>
              <w:tab/>
              <w:t>viejas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w w:val="100"/>
                <w:sz w:val="22"/>
              </w:rPr>
              <w:t>A</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683" w:val="left" w:leader="none"/>
                <w:tab w:pos="1014" w:val="left" w:leader="none"/>
              </w:tabs>
              <w:spacing w:line="242" w:lineRule="exact"/>
              <w:rPr>
                <w:sz w:val="22"/>
              </w:rPr>
            </w:pPr>
            <w:r>
              <w:rPr>
                <w:sz w:val="22"/>
              </w:rPr>
              <w:t>que</w:t>
              <w:tab/>
              <w:t>a</w:t>
              <w:tab/>
              <w:t>veces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HUAPA</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4" w:lineRule="exact"/>
              <w:rPr>
                <w:sz w:val="22"/>
              </w:rPr>
            </w:pPr>
            <w:r>
              <w:rPr>
                <w:sz w:val="22"/>
              </w:rPr>
              <w:t>no   se   ven </w:t>
            </w:r>
            <w:r>
              <w:rPr>
                <w:spacing w:val="55"/>
                <w:sz w:val="22"/>
              </w:rPr>
              <w:t> </w:t>
            </w:r>
            <w:r>
              <w:rPr>
                <w:sz w:val="22"/>
              </w:rPr>
              <w:t>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NGO</w:t>
            </w: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11" w:val="left" w:leader="none"/>
              </w:tabs>
              <w:spacing w:line="242" w:lineRule="exact"/>
              <w:rPr>
                <w:sz w:val="22"/>
              </w:rPr>
            </w:pPr>
            <w:r>
              <w:rPr>
                <w:sz w:val="22"/>
              </w:rPr>
              <w:t>llego</w:t>
              <w:tab/>
              <w:t>otra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68" w:val="left" w:leader="none"/>
              </w:tabs>
              <w:spacing w:line="241" w:lineRule="exact"/>
              <w:rPr>
                <w:sz w:val="22"/>
              </w:rPr>
            </w:pPr>
            <w:r>
              <w:rPr>
                <w:sz w:val="22"/>
              </w:rPr>
              <w:t>persona</w:t>
              <w:tab/>
              <w:t>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69" w:val="left" w:leader="none"/>
                <w:tab w:pos="1478" w:val="left" w:leader="none"/>
              </w:tabs>
              <w:spacing w:line="242" w:lineRule="exact"/>
              <w:rPr>
                <w:sz w:val="22"/>
              </w:rPr>
            </w:pPr>
            <w:r>
              <w:rPr>
                <w:sz w:val="22"/>
              </w:rPr>
              <w:t>pescar</w:t>
              <w:tab/>
              <w:t>ahí</w:t>
              <w:tab/>
              <w:t>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tuvieron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problemas que</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llegaron  hasta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647" w:val="left" w:leader="none"/>
              </w:tabs>
              <w:spacing w:line="241" w:lineRule="exact"/>
              <w:rPr>
                <w:sz w:val="22"/>
              </w:rPr>
            </w:pPr>
            <w:r>
              <w:rPr>
                <w:sz w:val="22"/>
              </w:rPr>
              <w:t>el</w:t>
              <w:tab/>
              <w:t>Ministerio</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vMerge/>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Público.</w:t>
            </w: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1101" w:right="397"/>
      </w:pPr>
      <w:r>
        <w:rPr/>
        <w:t>Tabla 6.3. Pescadores en los Municipios de Acambay, Aculco, Jilotepec y Timilpan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71"/>
        <w:gridCol w:w="2410"/>
        <w:gridCol w:w="1702"/>
        <w:gridCol w:w="1985"/>
      </w:tblGrid>
      <w:tr>
        <w:trPr>
          <w:trHeight w:val="526" w:hRule="exact"/>
        </w:trPr>
        <w:tc>
          <w:tcPr>
            <w:tcW w:w="6771" w:type="dxa"/>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771" w:hRule="exact"/>
        </w:trPr>
        <w:tc>
          <w:tcPr>
            <w:tcW w:w="6771" w:type="dxa"/>
            <w:vMerge/>
            <w:shd w:val="clear" w:color="auto" w:fill="F9BE8F"/>
          </w:tcPr>
          <w:p>
            <w:pPr/>
          </w:p>
        </w:tc>
        <w:tc>
          <w:tcPr>
            <w:tcW w:w="2410" w:type="dxa"/>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Cooperación</w:t>
            </w:r>
          </w:p>
        </w:tc>
        <w:tc>
          <w:tcPr>
            <w:tcW w:w="1985" w:type="dxa"/>
            <w:shd w:val="clear" w:color="auto" w:fill="92CDDC"/>
          </w:tcPr>
          <w:p>
            <w:pPr>
              <w:pStyle w:val="TableParagraph"/>
              <w:tabs>
                <w:tab w:pos="784" w:val="left" w:leader="none"/>
              </w:tabs>
              <w:ind w:right="99"/>
              <w:rPr>
                <w:b/>
                <w:i/>
                <w:sz w:val="22"/>
              </w:rPr>
            </w:pPr>
            <w:r>
              <w:rPr>
                <w:b/>
                <w:i/>
                <w:sz w:val="22"/>
              </w:rPr>
              <w:t>Gobernabilidad </w:t>
            </w:r>
            <w:r>
              <w:rPr>
                <w:b/>
                <w:i/>
                <w:sz w:val="22"/>
              </w:rPr>
              <w:t>y</w:t>
              <w:tab/>
            </w:r>
            <w:r>
              <w:rPr>
                <w:b/>
                <w:i/>
                <w:spacing w:val="-1"/>
                <w:sz w:val="22"/>
              </w:rPr>
              <w:t>relaciones </w:t>
            </w:r>
            <w:r>
              <w:rPr>
                <w:b/>
                <w:i/>
                <w:sz w:val="22"/>
              </w:rPr>
              <w:t>intermunicipales</w:t>
            </w:r>
          </w:p>
        </w:tc>
      </w:tr>
    </w:tbl>
    <w:p>
      <w:pPr>
        <w:spacing w:after="0"/>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Cooperativa de</w:t>
            </w:r>
          </w:p>
        </w:tc>
        <w:tc>
          <w:tcPr>
            <w:tcW w:w="1135" w:type="dxa"/>
            <w:tcBorders>
              <w:bottom w:val="nil"/>
            </w:tcBorders>
            <w:shd w:val="clear" w:color="auto" w:fill="F9BE8F"/>
          </w:tcPr>
          <w:p>
            <w:pPr>
              <w:pStyle w:val="TableParagraph"/>
              <w:spacing w:line="248" w:lineRule="exact"/>
              <w:rPr>
                <w:b/>
                <w:sz w:val="22"/>
              </w:rPr>
            </w:pPr>
            <w:r>
              <w:rPr>
                <w:b/>
                <w:sz w:val="22"/>
              </w:rPr>
              <w:t>Cargo</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8" w:lineRule="exact"/>
              <w:rPr>
                <w:b/>
                <w:sz w:val="22"/>
              </w:rPr>
            </w:pPr>
            <w:r>
              <w:rPr>
                <w:b/>
                <w:sz w:val="22"/>
              </w:rPr>
              <w:t>¿Qué</w:t>
            </w:r>
          </w:p>
        </w:tc>
        <w:tc>
          <w:tcPr>
            <w:tcW w:w="1985" w:type="dxa"/>
            <w:tcBorders>
              <w:bottom w:val="nil"/>
            </w:tcBorders>
            <w:shd w:val="clear" w:color="auto" w:fill="92CDDC"/>
          </w:tcPr>
          <w:p>
            <w:pPr>
              <w:pStyle w:val="TableParagraph"/>
              <w:spacing w:line="248" w:lineRule="exact"/>
              <w:rPr>
                <w:b/>
                <w:sz w:val="22"/>
              </w:rPr>
            </w:pPr>
            <w:r>
              <w:rPr>
                <w:b/>
                <w:sz w:val="22"/>
              </w:rPr>
              <w:t>¿Considera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Pescadores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acciones</w:t>
            </w:r>
          </w:p>
        </w:tc>
        <w:tc>
          <w:tcPr>
            <w:tcW w:w="1985" w:type="dxa"/>
            <w:tcBorders>
              <w:top w:val="nil"/>
              <w:bottom w:val="nil"/>
            </w:tcBorders>
            <w:shd w:val="clear" w:color="auto" w:fill="92CDDC"/>
          </w:tcPr>
          <w:p>
            <w:pPr>
              <w:pStyle w:val="TableParagraph"/>
              <w:tabs>
                <w:tab w:pos="1482" w:val="left" w:leader="none"/>
              </w:tabs>
              <w:spacing w:line="241" w:lineRule="exact"/>
              <w:rPr>
                <w:b/>
                <w:sz w:val="22"/>
              </w:rPr>
            </w:pPr>
            <w:r>
              <w:rPr>
                <w:b/>
                <w:sz w:val="22"/>
              </w:rPr>
              <w:t>apropiado</w:t>
              <w:tab/>
              <w:t>que</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406" w:val="left" w:leader="none"/>
              </w:tabs>
              <w:spacing w:line="242" w:lineRule="exact"/>
              <w:rPr>
                <w:b/>
                <w:sz w:val="22"/>
              </w:rPr>
            </w:pPr>
            <w:r>
              <w:rPr>
                <w:b/>
                <w:sz w:val="22"/>
              </w:rPr>
              <w:t>realiza</w:t>
              <w:tab/>
              <w:t>el</w:t>
            </w:r>
          </w:p>
        </w:tc>
        <w:tc>
          <w:tcPr>
            <w:tcW w:w="1985" w:type="dxa"/>
            <w:tcBorders>
              <w:top w:val="nil"/>
              <w:bottom w:val="nil"/>
            </w:tcBorders>
            <w:shd w:val="clear" w:color="auto" w:fill="92CDDC"/>
          </w:tcPr>
          <w:p>
            <w:pPr>
              <w:pStyle w:val="TableParagraph"/>
              <w:spacing w:line="242" w:lineRule="exact"/>
              <w:rPr>
                <w:b/>
                <w:sz w:val="22"/>
              </w:rPr>
            </w:pPr>
            <w:r>
              <w:rPr>
                <w:b/>
                <w:sz w:val="22"/>
              </w:rPr>
              <w:t>exista un Comité</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Presidente</w:t>
            </w:r>
          </w:p>
        </w:tc>
        <w:tc>
          <w:tcPr>
            <w:tcW w:w="1985" w:type="dxa"/>
            <w:tcBorders>
              <w:top w:val="nil"/>
              <w:bottom w:val="nil"/>
            </w:tcBorders>
            <w:shd w:val="clear" w:color="auto" w:fill="92CDDC"/>
          </w:tcPr>
          <w:p>
            <w:pPr>
              <w:pStyle w:val="TableParagraph"/>
              <w:spacing w:line="241" w:lineRule="exact"/>
              <w:rPr>
                <w:b/>
                <w:sz w:val="22"/>
              </w:rPr>
            </w:pPr>
            <w:r>
              <w:rPr>
                <w:b/>
                <w:sz w:val="22"/>
              </w:rPr>
              <w:t>Intermunicipal</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Municipal</w:t>
            </w: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con</w:t>
              <w:tab/>
              <w:t>su</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para  proteger</w:t>
            </w:r>
          </w:p>
        </w:tc>
        <w:tc>
          <w:tcPr>
            <w:tcW w:w="1985" w:type="dxa"/>
            <w:tcBorders>
              <w:top w:val="nil"/>
              <w:bottom w:val="nil"/>
            </w:tcBorders>
            <w:shd w:val="clear" w:color="auto" w:fill="92CDDC"/>
          </w:tcPr>
          <w:p>
            <w:pPr>
              <w:pStyle w:val="TableParagraph"/>
              <w:spacing w:line="241" w:lineRule="exact"/>
              <w:rPr>
                <w:b/>
                <w:sz w:val="22"/>
              </w:rPr>
            </w:pPr>
            <w:r>
              <w:rPr>
                <w:b/>
                <w:sz w:val="22"/>
              </w:rPr>
              <w:t>Reglamento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la   laguna  de</w:t>
            </w:r>
          </w:p>
        </w:tc>
        <w:tc>
          <w:tcPr>
            <w:tcW w:w="1985" w:type="dxa"/>
            <w:tcBorders>
              <w:top w:val="nil"/>
              <w:bottom w:val="nil"/>
            </w:tcBorders>
            <w:shd w:val="clear" w:color="auto" w:fill="92CDDC"/>
          </w:tcPr>
          <w:p>
            <w:pPr>
              <w:pStyle w:val="TableParagraph"/>
              <w:tabs>
                <w:tab w:pos="904" w:val="left" w:leader="none"/>
                <w:tab w:pos="1422" w:val="left" w:leader="none"/>
              </w:tabs>
              <w:spacing w:line="241" w:lineRule="exact"/>
              <w:rPr>
                <w:b/>
                <w:sz w:val="22"/>
              </w:rPr>
            </w:pPr>
            <w:r>
              <w:rPr>
                <w:b/>
                <w:sz w:val="22"/>
              </w:rPr>
              <w:t>para</w:t>
              <w:tab/>
              <w:t>el</w:t>
              <w:tab/>
              <w:t>uso,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Huapango?</w:t>
            </w:r>
          </w:p>
        </w:tc>
        <w:tc>
          <w:tcPr>
            <w:tcW w:w="1985" w:type="dxa"/>
            <w:tcBorders>
              <w:top w:val="nil"/>
              <w:bottom w:val="nil"/>
            </w:tcBorders>
            <w:shd w:val="clear" w:color="auto" w:fill="92CDDC"/>
          </w:tcPr>
          <w:p>
            <w:pPr>
              <w:pStyle w:val="TableParagraph"/>
              <w:tabs>
                <w:tab w:pos="1751" w:val="left" w:leader="none"/>
              </w:tabs>
              <w:spacing w:line="242" w:lineRule="exact"/>
              <w:rPr>
                <w:b/>
                <w:sz w:val="22"/>
              </w:rPr>
            </w:pPr>
            <w:r>
              <w:rPr>
                <w:b/>
                <w:sz w:val="22"/>
              </w:rPr>
              <w:t>cuidado</w:t>
              <w:tab/>
              <w:t>y</w:t>
            </w:r>
          </w:p>
        </w:tc>
      </w:tr>
      <w:tr>
        <w:trPr>
          <w:trHeight w:val="254"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
        </w:tc>
        <w:tc>
          <w:tcPr>
            <w:tcW w:w="1985" w:type="dxa"/>
            <w:tcBorders>
              <w:top w:val="nil"/>
              <w:bottom w:val="nil"/>
            </w:tcBorders>
            <w:shd w:val="clear" w:color="auto" w:fill="92CDDC"/>
          </w:tcPr>
          <w:p>
            <w:pPr>
              <w:pStyle w:val="TableParagraph"/>
              <w:tabs>
                <w:tab w:pos="1185" w:val="left" w:leader="none"/>
                <w:tab w:pos="1688" w:val="left" w:leader="none"/>
              </w:tabs>
              <w:spacing w:line="241" w:lineRule="exact"/>
              <w:rPr>
                <w:b/>
                <w:sz w:val="22"/>
              </w:rPr>
            </w:pPr>
            <w:r>
              <w:rPr>
                <w:b/>
                <w:sz w:val="22"/>
              </w:rPr>
              <w:t>defensa</w:t>
              <w:tab/>
              <w:t>de</w:t>
              <w:tab/>
              <w:t>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laguna</w:t>
              <w:tab/>
              <w:t>de</w:t>
            </w:r>
          </w:p>
        </w:tc>
      </w:tr>
      <w:tr>
        <w:trPr>
          <w:trHeight w:val="250"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
        </w:tc>
        <w:tc>
          <w:tcPr>
            <w:tcW w:w="1985" w:type="dxa"/>
            <w:tcBorders>
              <w:top w:val="nil"/>
            </w:tcBorders>
            <w:shd w:val="clear" w:color="auto" w:fill="92CDDC"/>
          </w:tcPr>
          <w:p>
            <w:pPr>
              <w:pStyle w:val="TableParagraph"/>
              <w:spacing w:line="241" w:lineRule="exact"/>
              <w:rPr>
                <w:b/>
                <w:sz w:val="22"/>
              </w:rPr>
            </w:pPr>
            <w:r>
              <w:rPr>
                <w:b/>
                <w:sz w:val="22"/>
              </w:rPr>
              <w:t>Huapango?</w:t>
            </w:r>
          </w:p>
        </w:tc>
      </w:tr>
      <w:tr>
        <w:trPr>
          <w:trHeight w:val="269" w:hRule="exact"/>
        </w:trPr>
        <w:tc>
          <w:tcPr>
            <w:tcW w:w="1385" w:type="dxa"/>
            <w:tcBorders>
              <w:bottom w:val="nil"/>
            </w:tcBorders>
          </w:tcPr>
          <w:p>
            <w:pPr>
              <w:pStyle w:val="TableParagraph"/>
              <w:ind w:right="127"/>
              <w:rPr>
                <w:sz w:val="22"/>
              </w:rPr>
            </w:pPr>
            <w:r>
              <w:rPr>
                <w:sz w:val="22"/>
              </w:rPr>
              <w:t>Salvador</w:t>
            </w:r>
          </w:p>
        </w:tc>
        <w:tc>
          <w:tcPr>
            <w:tcW w:w="1418" w:type="dxa"/>
            <w:tcBorders>
              <w:bottom w:val="nil"/>
            </w:tcBorders>
          </w:tcPr>
          <w:p>
            <w:pPr>
              <w:pStyle w:val="TableParagraph"/>
              <w:ind w:left="100" w:right="101"/>
              <w:rPr>
                <w:sz w:val="22"/>
              </w:rPr>
            </w:pPr>
            <w:r>
              <w:rPr>
                <w:sz w:val="22"/>
              </w:rPr>
              <w:t>Pescador,</w:t>
            </w:r>
          </w:p>
        </w:tc>
        <w:tc>
          <w:tcPr>
            <w:tcW w:w="1841" w:type="dxa"/>
            <w:vMerge w:val="restart"/>
          </w:tcPr>
          <w:p>
            <w:pPr>
              <w:pStyle w:val="TableParagraph"/>
              <w:ind w:left="100" w:right="142"/>
              <w:rPr>
                <w:sz w:val="22"/>
              </w:rPr>
            </w:pPr>
            <w:r>
              <w:rPr>
                <w:sz w:val="22"/>
              </w:rPr>
              <w:t>“Los Pescadores de la Vía del Tren” (17</w:t>
            </w:r>
            <w:r>
              <w:rPr>
                <w:spacing w:val="-8"/>
                <w:sz w:val="22"/>
              </w:rPr>
              <w:t> </w:t>
            </w:r>
            <w:r>
              <w:rPr>
                <w:sz w:val="22"/>
              </w:rPr>
              <w:t>integrantes,</w:t>
            </w:r>
          </w:p>
          <w:p>
            <w:pPr>
              <w:pStyle w:val="TableParagraph"/>
              <w:ind w:left="100" w:right="171"/>
              <w:rPr>
                <w:sz w:val="22"/>
              </w:rPr>
            </w:pPr>
            <w:r>
              <w:rPr>
                <w:sz w:val="22"/>
              </w:rPr>
              <w:t>4 pescadores son de San Martín, Aculco).</w:t>
            </w:r>
          </w:p>
        </w:tc>
        <w:tc>
          <w:tcPr>
            <w:tcW w:w="1135" w:type="dxa"/>
            <w:tcBorders>
              <w:bottom w:val="nil"/>
            </w:tcBorders>
          </w:tcPr>
          <w:p>
            <w:pPr>
              <w:pStyle w:val="TableParagraph"/>
              <w:rPr>
                <w:sz w:val="22"/>
              </w:rPr>
            </w:pPr>
            <w:r>
              <w:rPr>
                <w:sz w:val="22"/>
              </w:rPr>
              <w:t>Presiden</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Zaragoza,</w:t>
            </w:r>
          </w:p>
        </w:tc>
        <w:tc>
          <w:tcPr>
            <w:tcW w:w="1133" w:type="dxa"/>
            <w:tcBorders>
              <w:bottom w:val="nil"/>
            </w:tcBorders>
          </w:tcPr>
          <w:p>
            <w:pPr>
              <w:pStyle w:val="TableParagraph"/>
              <w:ind w:left="100" w:right="52"/>
              <w:rPr>
                <w:sz w:val="22"/>
              </w:rPr>
            </w:pPr>
            <w:r>
              <w:rPr>
                <w:sz w:val="22"/>
              </w:rPr>
              <w:t>El</w:t>
            </w:r>
          </w:p>
        </w:tc>
        <w:tc>
          <w:tcPr>
            <w:tcW w:w="1702" w:type="dxa"/>
            <w:tcBorders>
              <w:bottom w:val="nil"/>
            </w:tcBorders>
          </w:tcPr>
          <w:p>
            <w:pPr>
              <w:pStyle w:val="TableParagraph"/>
              <w:tabs>
                <w:tab w:pos="659" w:val="left" w:leader="none"/>
              </w:tabs>
              <w:rPr>
                <w:sz w:val="22"/>
              </w:rPr>
            </w:pPr>
            <w:r>
              <w:rPr>
                <w:sz w:val="22"/>
              </w:rPr>
              <w:t>El</w:t>
              <w:tab/>
              <w:t>municipio</w:t>
            </w:r>
          </w:p>
        </w:tc>
        <w:tc>
          <w:tcPr>
            <w:tcW w:w="1985" w:type="dxa"/>
            <w:tcBorders>
              <w:bottom w:val="nil"/>
            </w:tcBorders>
          </w:tcPr>
          <w:p>
            <w:pPr>
              <w:pStyle w:val="TableParagraph"/>
              <w:rPr>
                <w:sz w:val="22"/>
              </w:rPr>
            </w:pPr>
            <w:r>
              <w:rPr>
                <w:sz w:val="22"/>
              </w:rPr>
              <w:t>Sí   es   necesario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100" w:right="101"/>
              <w:rPr>
                <w:sz w:val="22"/>
              </w:rPr>
            </w:pPr>
            <w:r>
              <w:rPr>
                <w:sz w:val="22"/>
              </w:rPr>
              <w:t>Agricultura,</w:t>
            </w:r>
          </w:p>
        </w:tc>
        <w:tc>
          <w:tcPr>
            <w:tcW w:w="1841" w:type="dxa"/>
            <w:vMerge/>
          </w:tcPr>
          <w:p>
            <w:pP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spacing w:line="241" w:lineRule="exact"/>
              <w:rPr>
                <w:sz w:val="22"/>
              </w:rPr>
            </w:pPr>
            <w:r>
              <w:rPr>
                <w:sz w:val="22"/>
              </w:rPr>
              <w:t>no  hace  nada</w:t>
            </w:r>
          </w:p>
        </w:tc>
        <w:tc>
          <w:tcPr>
            <w:tcW w:w="1985" w:type="dxa"/>
            <w:tcBorders>
              <w:top w:val="nil"/>
              <w:bottom w:val="nil"/>
            </w:tcBorders>
          </w:tcPr>
          <w:p>
            <w:pPr>
              <w:pStyle w:val="TableParagraph"/>
              <w:tabs>
                <w:tab w:pos="772" w:val="left" w:leader="none"/>
              </w:tabs>
              <w:spacing w:line="241" w:lineRule="exact"/>
              <w:rPr>
                <w:sz w:val="22"/>
              </w:rPr>
            </w:pPr>
            <w:r>
              <w:rPr>
                <w:sz w:val="22"/>
              </w:rPr>
              <w:t>un</w:t>
              <w:tab/>
              <w:t>reglamento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Ganadería</w:t>
            </w: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spacing w:line="241" w:lineRule="exact"/>
              <w:rPr>
                <w:sz w:val="22"/>
              </w:rPr>
            </w:pPr>
            <w:r>
              <w:rPr>
                <w:sz w:val="22"/>
              </w:rPr>
              <w:t>porque  no hay</w:t>
            </w:r>
          </w:p>
        </w:tc>
        <w:tc>
          <w:tcPr>
            <w:tcW w:w="1985" w:type="dxa"/>
            <w:tcBorders>
              <w:top w:val="nil"/>
              <w:bottom w:val="nil"/>
            </w:tcBorders>
          </w:tcPr>
          <w:p>
            <w:pPr>
              <w:pStyle w:val="TableParagraph"/>
              <w:spacing w:line="241" w:lineRule="exact"/>
              <w:rPr>
                <w:sz w:val="22"/>
              </w:rPr>
            </w:pPr>
            <w:r>
              <w:rPr>
                <w:sz w:val="22"/>
              </w:rPr>
              <w:t>intermunicipal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suficientes</w:t>
            </w:r>
          </w:p>
        </w:tc>
        <w:tc>
          <w:tcPr>
            <w:tcW w:w="1985" w:type="dxa"/>
            <w:tcBorders>
              <w:top w:val="nil"/>
              <w:bottom w:val="nil"/>
            </w:tcBorders>
          </w:tcPr>
          <w:p>
            <w:pPr>
              <w:pStyle w:val="TableParagraph"/>
              <w:tabs>
                <w:tab w:pos="846" w:val="left" w:leader="none"/>
                <w:tab w:pos="1518" w:val="left" w:leader="none"/>
              </w:tabs>
              <w:spacing w:line="242" w:lineRule="exact"/>
              <w:rPr>
                <w:sz w:val="22"/>
              </w:rPr>
            </w:pPr>
            <w:r>
              <w:rPr>
                <w:sz w:val="22"/>
              </w:rPr>
              <w:t>para</w:t>
              <w:tab/>
              <w:t>que</w:t>
              <w:tab/>
              <w:t>nos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(4/I/2014)</w:t>
            </w: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64" w:val="left" w:leader="none"/>
                <w:tab w:pos="1345" w:val="left" w:leader="none"/>
              </w:tabs>
              <w:spacing w:line="241" w:lineRule="exact"/>
              <w:rPr>
                <w:sz w:val="22"/>
              </w:rPr>
            </w:pPr>
            <w:r>
              <w:rPr>
                <w:sz w:val="22"/>
              </w:rPr>
              <w:t>peces</w:t>
              <w:tab/>
              <w:t>y</w:t>
              <w:tab/>
              <w:t>no</w:t>
            </w:r>
          </w:p>
        </w:tc>
        <w:tc>
          <w:tcPr>
            <w:tcW w:w="1985" w:type="dxa"/>
            <w:tcBorders>
              <w:top w:val="nil"/>
              <w:bottom w:val="nil"/>
            </w:tcBorders>
          </w:tcPr>
          <w:p>
            <w:pPr>
              <w:pStyle w:val="TableParagraph"/>
              <w:tabs>
                <w:tab w:pos="1763" w:val="left" w:leader="none"/>
              </w:tabs>
              <w:spacing w:line="241" w:lineRule="exact"/>
              <w:rPr>
                <w:sz w:val="22"/>
              </w:rPr>
            </w:pPr>
            <w:r>
              <w:rPr>
                <w:sz w:val="22"/>
              </w:rPr>
              <w:t>respetemos</w:t>
              <w:tab/>
              <w:t>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compra,</w:t>
            </w:r>
          </w:p>
        </w:tc>
        <w:tc>
          <w:tcPr>
            <w:tcW w:w="1985" w:type="dxa"/>
            <w:tcBorders>
              <w:top w:val="nil"/>
              <w:bottom w:val="nil"/>
            </w:tcBorders>
          </w:tcPr>
          <w:p>
            <w:pPr>
              <w:pStyle w:val="TableParagraph"/>
              <w:spacing w:line="242" w:lineRule="exact"/>
              <w:rPr>
                <w:sz w:val="22"/>
              </w:rPr>
            </w:pPr>
            <w:r>
              <w:rPr>
                <w:sz w:val="22"/>
              </w:rPr>
              <w:t>haya orden.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además</w:t>
              <w:tab/>
              <w:t>no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interviene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cuando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queremos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2" w:lineRule="exact"/>
              <w:rPr>
                <w:sz w:val="22"/>
              </w:rPr>
            </w:pPr>
            <w:r>
              <w:rPr>
                <w:sz w:val="22"/>
              </w:rPr>
              <w:t>producir</w:t>
              <w:tab/>
              <w:t>en</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01" w:val="left" w:leader="none"/>
                <w:tab w:pos="1232" w:val="left" w:leader="none"/>
              </w:tabs>
              <w:spacing w:line="241" w:lineRule="exact"/>
              <w:rPr>
                <w:sz w:val="22"/>
              </w:rPr>
            </w:pPr>
            <w:r>
              <w:rPr>
                <w:sz w:val="22"/>
              </w:rPr>
              <w:t>jaulas</w:t>
              <w:tab/>
              <w:t>y</w:t>
              <w:tab/>
              <w:t>nos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dicen   que  no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podemos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porque   es  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orden federal y</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8" w:val="left" w:leader="none"/>
              </w:tabs>
              <w:spacing w:line="241" w:lineRule="exact"/>
              <w:rPr>
                <w:sz w:val="22"/>
              </w:rPr>
            </w:pPr>
            <w:r>
              <w:rPr>
                <w:sz w:val="22"/>
              </w:rPr>
              <w:t>además</w:t>
              <w:tab/>
              <w:t>se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1" w:val="left" w:leader="none"/>
              </w:tabs>
              <w:spacing w:line="241" w:lineRule="exact"/>
              <w:rPr>
                <w:sz w:val="22"/>
              </w:rPr>
            </w:pPr>
            <w:r>
              <w:rPr>
                <w:sz w:val="22"/>
              </w:rPr>
              <w:t>rumora</w:t>
              <w:tab/>
              <w:t>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37" w:val="left" w:leader="none"/>
              </w:tabs>
              <w:spacing w:line="242" w:lineRule="exact"/>
              <w:rPr>
                <w:sz w:val="22"/>
              </w:rPr>
            </w:pPr>
            <w:r>
              <w:rPr>
                <w:sz w:val="22"/>
              </w:rPr>
              <w:t>quieren</w:t>
              <w:tab/>
              <w:t>traer</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agua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contaminada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vMerge/>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del   río  Lerma</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841" w:type="dxa"/>
            <w:vMerge/>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para   llenar  la</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768"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ind w:right="100"/>
              <w:jc w:val="both"/>
              <w:rPr>
                <w:sz w:val="22"/>
              </w:rPr>
            </w:pPr>
            <w:r>
              <w:rPr>
                <w:sz w:val="22"/>
              </w:rPr>
              <w:t>laguna y el municipio no protesta.</w:t>
            </w:r>
          </w:p>
        </w:tc>
        <w:tc>
          <w:tcPr>
            <w:tcW w:w="1985" w:type="dxa"/>
          </w:tcPr>
          <w:p>
            <w:pPr/>
          </w:p>
        </w:tc>
      </w:tr>
      <w:tr>
        <w:trPr>
          <w:trHeight w:val="267" w:hRule="exact"/>
        </w:trPr>
        <w:tc>
          <w:tcPr>
            <w:tcW w:w="1385" w:type="dxa"/>
            <w:tcBorders>
              <w:bottom w:val="nil"/>
            </w:tcBorders>
          </w:tcPr>
          <w:p>
            <w:pPr>
              <w:pStyle w:val="TableParagraph"/>
              <w:spacing w:line="251" w:lineRule="exact"/>
              <w:ind w:left="410" w:right="127"/>
              <w:rPr>
                <w:sz w:val="22"/>
              </w:rPr>
            </w:pPr>
            <w:r>
              <w:rPr>
                <w:sz w:val="22"/>
              </w:rPr>
              <w:t>Jorge</w:t>
            </w:r>
          </w:p>
        </w:tc>
        <w:tc>
          <w:tcPr>
            <w:tcW w:w="1418" w:type="dxa"/>
            <w:tcBorders>
              <w:bottom w:val="nil"/>
            </w:tcBorders>
          </w:tcPr>
          <w:p>
            <w:pPr>
              <w:pStyle w:val="TableParagraph"/>
              <w:spacing w:line="251" w:lineRule="exact"/>
              <w:ind w:left="100"/>
              <w:rPr>
                <w:sz w:val="22"/>
              </w:rPr>
            </w:pPr>
            <w:r>
              <w:rPr>
                <w:sz w:val="22"/>
              </w:rPr>
              <w:t>Campesino,</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Secretari</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tabs>
                <w:tab w:pos="988" w:val="left" w:leader="none"/>
              </w:tabs>
              <w:spacing w:line="251" w:lineRule="exact"/>
              <w:rPr>
                <w:sz w:val="22"/>
              </w:rPr>
            </w:pPr>
            <w:r>
              <w:rPr>
                <w:sz w:val="22"/>
              </w:rPr>
              <w:t>Ha</w:t>
              <w:tab/>
              <w:t>hecho</w:t>
            </w:r>
          </w:p>
        </w:tc>
        <w:tc>
          <w:tcPr>
            <w:tcW w:w="1985" w:type="dxa"/>
            <w:tcBorders>
              <w:bottom w:val="nil"/>
            </w:tcBorders>
          </w:tcPr>
          <w:p>
            <w:pPr>
              <w:pStyle w:val="TableParagraph"/>
              <w:tabs>
                <w:tab w:pos="918" w:val="left" w:leader="none"/>
              </w:tabs>
              <w:spacing w:line="251" w:lineRule="exact"/>
              <w:rPr>
                <w:sz w:val="22"/>
              </w:rPr>
            </w:pPr>
            <w:r>
              <w:rPr>
                <w:sz w:val="22"/>
              </w:rPr>
              <w:t>Sí</w:t>
              <w:tab/>
              <w:t>considero</w:t>
            </w:r>
          </w:p>
        </w:tc>
      </w:tr>
      <w:tr>
        <w:trPr>
          <w:trHeight w:val="253" w:hRule="exact"/>
        </w:trPr>
        <w:tc>
          <w:tcPr>
            <w:tcW w:w="1385" w:type="dxa"/>
            <w:tcBorders>
              <w:top w:val="nil"/>
              <w:bottom w:val="nil"/>
            </w:tcBorders>
          </w:tcPr>
          <w:p>
            <w:pPr>
              <w:pStyle w:val="TableParagraph"/>
              <w:spacing w:line="242" w:lineRule="exact"/>
              <w:ind w:left="251" w:right="127"/>
              <w:rPr>
                <w:sz w:val="22"/>
              </w:rPr>
            </w:pPr>
            <w:r>
              <w:rPr>
                <w:sz w:val="22"/>
              </w:rPr>
              <w:t>Pichardo</w:t>
            </w:r>
          </w:p>
        </w:tc>
        <w:tc>
          <w:tcPr>
            <w:tcW w:w="1418" w:type="dxa"/>
            <w:tcBorders>
              <w:top w:val="nil"/>
              <w:bottom w:val="nil"/>
            </w:tcBorders>
          </w:tcPr>
          <w:p>
            <w:pPr>
              <w:pStyle w:val="TableParagraph"/>
              <w:spacing w:line="242" w:lineRule="exact"/>
              <w:ind w:left="100" w:right="101"/>
              <w:rPr>
                <w:sz w:val="22"/>
              </w:rPr>
            </w:pPr>
            <w:r>
              <w:rPr>
                <w:sz w:val="22"/>
              </w:rPr>
              <w:t>ganadero y</w:t>
            </w:r>
          </w:p>
        </w:tc>
        <w:tc>
          <w:tcPr>
            <w:tcW w:w="1841" w:type="dxa"/>
            <w:tcBorders>
              <w:top w:val="nil"/>
              <w:bottom w:val="nil"/>
            </w:tcBorders>
          </w:tcPr>
          <w:p>
            <w:pPr>
              <w:pStyle w:val="TableParagraph"/>
              <w:spacing w:line="242" w:lineRule="exact"/>
              <w:ind w:left="100"/>
              <w:rPr>
                <w:sz w:val="22"/>
              </w:rPr>
            </w:pPr>
            <w:r>
              <w:rPr>
                <w:sz w:val="22"/>
              </w:rPr>
              <w:t>“Pichardo”</w:t>
            </w:r>
          </w:p>
        </w:tc>
        <w:tc>
          <w:tcPr>
            <w:tcW w:w="1135" w:type="dxa"/>
            <w:tcBorders>
              <w:top w:val="nil"/>
              <w:bottom w:val="nil"/>
            </w:tcBorders>
          </w:tcPr>
          <w:p>
            <w:pPr>
              <w:pStyle w:val="TableParagraph"/>
              <w:spacing w:line="242" w:lineRule="exact"/>
              <w:rPr>
                <w:sz w:val="22"/>
              </w:rPr>
            </w:pPr>
            <w:r>
              <w:rPr>
                <w:w w:val="100"/>
                <w:sz w:val="22"/>
              </w:rPr>
              <w:t>o</w:t>
            </w: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Pr>
                <w:sz w:val="22"/>
              </w:rPr>
            </w:pPr>
            <w:r>
              <w:rPr>
                <w:w w:val="100"/>
                <w:sz w:val="22"/>
              </w:rPr>
              <w:t>o</w:t>
            </w:r>
          </w:p>
        </w:tc>
        <w:tc>
          <w:tcPr>
            <w:tcW w:w="1702" w:type="dxa"/>
            <w:tcBorders>
              <w:top w:val="nil"/>
              <w:bottom w:val="nil"/>
            </w:tcBorders>
          </w:tcPr>
          <w:p>
            <w:pPr>
              <w:pStyle w:val="TableParagraph"/>
              <w:spacing w:line="242" w:lineRule="exact"/>
              <w:rPr>
                <w:sz w:val="22"/>
              </w:rPr>
            </w:pPr>
            <w:r>
              <w:rPr>
                <w:sz w:val="22"/>
              </w:rPr>
              <w:t>plantas</w:t>
            </w:r>
          </w:p>
        </w:tc>
        <w:tc>
          <w:tcPr>
            <w:tcW w:w="1985" w:type="dxa"/>
            <w:tcBorders>
              <w:top w:val="nil"/>
              <w:bottom w:val="nil"/>
            </w:tcBorders>
          </w:tcPr>
          <w:p>
            <w:pPr>
              <w:pStyle w:val="TableParagraph"/>
              <w:tabs>
                <w:tab w:pos="1504" w:val="left" w:leader="none"/>
              </w:tabs>
              <w:spacing w:line="242" w:lineRule="exact"/>
              <w:rPr>
                <w:sz w:val="22"/>
              </w:rPr>
            </w:pPr>
            <w:r>
              <w:rPr>
                <w:sz w:val="22"/>
              </w:rPr>
              <w:t>necesario</w:t>
              <w:tab/>
              <w:t>que</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pescador</w:t>
            </w: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tratadoras,</w:t>
            </w:r>
          </w:p>
        </w:tc>
        <w:tc>
          <w:tcPr>
            <w:tcW w:w="1985" w:type="dxa"/>
            <w:tcBorders>
              <w:top w:val="nil"/>
              <w:bottom w:val="nil"/>
            </w:tcBorders>
          </w:tcPr>
          <w:p>
            <w:pPr>
              <w:pStyle w:val="TableParagraph"/>
              <w:tabs>
                <w:tab w:pos="1626" w:val="left" w:leader="none"/>
              </w:tabs>
              <w:spacing w:line="241" w:lineRule="exact"/>
              <w:rPr>
                <w:sz w:val="22"/>
              </w:rPr>
            </w:pPr>
            <w:r>
              <w:rPr>
                <w:sz w:val="22"/>
              </w:rPr>
              <w:t>exista</w:t>
              <w:tab/>
              <w:t>un</w:t>
            </w:r>
          </w:p>
        </w:tc>
      </w:tr>
      <w:tr>
        <w:trPr>
          <w:trHeight w:val="253" w:hRule="exact"/>
        </w:trPr>
        <w:tc>
          <w:tcPr>
            <w:tcW w:w="1385" w:type="dxa"/>
            <w:tcBorders>
              <w:top w:val="nil"/>
              <w:bottom w:val="nil"/>
            </w:tcBorders>
          </w:tcPr>
          <w:p>
            <w:pPr>
              <w:pStyle w:val="TableParagraph"/>
              <w:spacing w:line="242" w:lineRule="exact"/>
              <w:ind w:left="184" w:right="127"/>
              <w:rPr>
                <w:sz w:val="22"/>
              </w:rPr>
            </w:pPr>
            <w:r>
              <w:rPr>
                <w:sz w:val="22"/>
              </w:rPr>
              <w:t>(7/7/2014)</w:t>
            </w: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51" w:val="left" w:leader="none"/>
                <w:tab w:pos="1417" w:val="left" w:leader="none"/>
              </w:tabs>
              <w:spacing w:line="242" w:lineRule="exact"/>
              <w:rPr>
                <w:sz w:val="22"/>
              </w:rPr>
            </w:pPr>
            <w:r>
              <w:rPr>
                <w:sz w:val="22"/>
              </w:rPr>
              <w:t>aquí</w:t>
              <w:tab/>
              <w:t>en</w:t>
              <w:tab/>
              <w:t>la</w:t>
            </w:r>
          </w:p>
        </w:tc>
        <w:tc>
          <w:tcPr>
            <w:tcW w:w="1985" w:type="dxa"/>
            <w:tcBorders>
              <w:top w:val="nil"/>
              <w:bottom w:val="nil"/>
            </w:tcBorders>
          </w:tcPr>
          <w:p>
            <w:pPr>
              <w:pStyle w:val="TableParagraph"/>
              <w:spacing w:line="242" w:lineRule="exact"/>
              <w:rPr>
                <w:sz w:val="22"/>
              </w:rPr>
            </w:pPr>
            <w:r>
              <w:rPr>
                <w:sz w:val="22"/>
              </w:rPr>
              <w:t>reglamento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comunidad</w:t>
            </w:r>
          </w:p>
        </w:tc>
        <w:tc>
          <w:tcPr>
            <w:tcW w:w="1985" w:type="dxa"/>
            <w:tcBorders>
              <w:top w:val="nil"/>
              <w:bottom w:val="nil"/>
            </w:tcBorders>
          </w:tcPr>
          <w:p>
            <w:pPr>
              <w:pStyle w:val="TableParagraph"/>
              <w:spacing w:line="241" w:lineRule="exact"/>
              <w:rPr>
                <w:sz w:val="22"/>
              </w:rPr>
            </w:pPr>
            <w:r>
              <w:rPr>
                <w:sz w:val="22"/>
              </w:rPr>
              <w:t>intermunicipal  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(Huapango)</w:t>
            </w:r>
          </w:p>
        </w:tc>
        <w:tc>
          <w:tcPr>
            <w:tcW w:w="1985" w:type="dxa"/>
            <w:tcBorders>
              <w:top w:val="nil"/>
              <w:bottom w:val="nil"/>
            </w:tcBorders>
          </w:tcPr>
          <w:p>
            <w:pPr>
              <w:pStyle w:val="TableParagraph"/>
              <w:tabs>
                <w:tab w:pos="523" w:val="left" w:leader="none"/>
                <w:tab w:pos="1435" w:val="left" w:leader="none"/>
              </w:tabs>
              <w:spacing w:line="241" w:lineRule="exact"/>
              <w:rPr>
                <w:sz w:val="22"/>
              </w:rPr>
            </w:pPr>
            <w:r>
              <w:rPr>
                <w:sz w:val="22"/>
              </w:rPr>
              <w:t>la</w:t>
              <w:tab/>
              <w:t>laguna</w:t>
              <w:tab/>
              <w:t>para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1" w:val="left" w:leader="none"/>
              </w:tabs>
              <w:spacing w:line="242" w:lineRule="exact"/>
              <w:rPr>
                <w:sz w:val="22"/>
              </w:rPr>
            </w:pPr>
            <w:r>
              <w:rPr>
                <w:sz w:val="22"/>
              </w:rPr>
              <w:t>hizo</w:t>
              <w:tab/>
              <w:t>un</w:t>
            </w:r>
          </w:p>
        </w:tc>
        <w:tc>
          <w:tcPr>
            <w:tcW w:w="1985" w:type="dxa"/>
            <w:tcBorders>
              <w:top w:val="nil"/>
              <w:bottom w:val="nil"/>
            </w:tcBorders>
          </w:tcPr>
          <w:p>
            <w:pPr>
              <w:pStyle w:val="TableParagraph"/>
              <w:spacing w:line="242" w:lineRule="exact"/>
              <w:rPr>
                <w:sz w:val="22"/>
              </w:rPr>
            </w:pPr>
            <w:r>
              <w:rPr>
                <w:sz w:val="22"/>
              </w:rPr>
              <w:t>que   haya </w:t>
            </w:r>
            <w:r>
              <w:rPr>
                <w:spacing w:val="55"/>
                <w:sz w:val="22"/>
              </w:rPr>
              <w:t> </w:t>
            </w:r>
            <w:r>
              <w:rPr>
                <w:sz w:val="22"/>
              </w:rPr>
              <w:t>orden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biodigestor  de</w:t>
            </w:r>
          </w:p>
        </w:tc>
        <w:tc>
          <w:tcPr>
            <w:tcW w:w="1985" w:type="dxa"/>
            <w:tcBorders>
              <w:top w:val="nil"/>
              <w:bottom w:val="nil"/>
            </w:tcBorders>
          </w:tcPr>
          <w:p>
            <w:pPr>
              <w:pStyle w:val="TableParagraph"/>
              <w:spacing w:line="241" w:lineRule="exact"/>
              <w:rPr>
                <w:sz w:val="22"/>
              </w:rPr>
            </w:pPr>
            <w:r>
              <w:rPr>
                <w:sz w:val="22"/>
              </w:rPr>
              <w:t>en la caza de </w:t>
            </w:r>
            <w:r>
              <w:rPr>
                <w:spacing w:val="52"/>
                <w:sz w:val="22"/>
              </w:rPr>
              <w:t> </w:t>
            </w:r>
            <w:r>
              <w:rPr>
                <w:sz w:val="22"/>
              </w:rPr>
              <w:t>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15   metros  de</w:t>
            </w:r>
          </w:p>
        </w:tc>
        <w:tc>
          <w:tcPr>
            <w:tcW w:w="1985" w:type="dxa"/>
            <w:tcBorders>
              <w:top w:val="nil"/>
              <w:bottom w:val="nil"/>
            </w:tcBorders>
          </w:tcPr>
          <w:p>
            <w:pPr>
              <w:pStyle w:val="TableParagraph"/>
              <w:spacing w:line="242" w:lineRule="exact"/>
              <w:rPr>
                <w:sz w:val="22"/>
              </w:rPr>
            </w:pPr>
            <w:r>
              <w:rPr>
                <w:sz w:val="22"/>
              </w:rPr>
              <w:t>patos.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largo  por  6 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ancho  y  4  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profundidad, lo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5" w:val="left" w:leader="none"/>
              </w:tabs>
              <w:spacing w:line="241" w:lineRule="exact"/>
              <w:rPr>
                <w:sz w:val="22"/>
              </w:rPr>
            </w:pPr>
            <w:r>
              <w:rPr>
                <w:sz w:val="22"/>
              </w:rPr>
              <w:t>cual</w:t>
              <w:tab/>
              <w:t>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suficiente</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porque  somos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una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comunidad</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pequeña.</w:t>
            </w: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Juan</w:t>
            </w:r>
          </w:p>
        </w:tc>
        <w:tc>
          <w:tcPr>
            <w:tcW w:w="1418" w:type="dxa"/>
            <w:tcBorders>
              <w:bottom w:val="nil"/>
            </w:tcBorders>
          </w:tcPr>
          <w:p>
            <w:pPr>
              <w:pStyle w:val="TableParagraph"/>
              <w:spacing w:line="251" w:lineRule="exact"/>
              <w:ind w:left="100" w:right="101"/>
              <w:rPr>
                <w:sz w:val="22"/>
              </w:rPr>
            </w:pPr>
            <w:r>
              <w:rPr>
                <w:sz w:val="22"/>
              </w:rPr>
              <w:t>Tenemos</w:t>
            </w:r>
          </w:p>
        </w:tc>
        <w:tc>
          <w:tcPr>
            <w:tcW w:w="1841" w:type="dxa"/>
            <w:tcBorders>
              <w:bottom w:val="nil"/>
            </w:tcBorders>
          </w:tcPr>
          <w:p>
            <w:pPr>
              <w:pStyle w:val="TableParagraph"/>
              <w:spacing w:line="251" w:lineRule="exact"/>
              <w:ind w:left="100"/>
              <w:rPr>
                <w:sz w:val="22"/>
              </w:rPr>
            </w:pPr>
            <w:r>
              <w:rPr>
                <w:sz w:val="22"/>
              </w:rPr>
              <w:t>Cooperativa  “El</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Aldama</w:t>
            </w:r>
          </w:p>
        </w:tc>
        <w:tc>
          <w:tcPr>
            <w:tcW w:w="1133" w:type="dxa"/>
            <w:tcBorders>
              <w:bottom w:val="nil"/>
            </w:tcBorders>
          </w:tcPr>
          <w:p>
            <w:pPr>
              <w:pStyle w:val="TableParagraph"/>
              <w:spacing w:line="251" w:lineRule="exact"/>
              <w:ind w:left="100" w:right="52"/>
              <w:rPr>
                <w:sz w:val="22"/>
              </w:rPr>
            </w:pPr>
            <w:r>
              <w:rPr>
                <w:sz w:val="22"/>
              </w:rPr>
              <w:t>Aldama</w:t>
            </w:r>
          </w:p>
        </w:tc>
        <w:tc>
          <w:tcPr>
            <w:tcW w:w="1702" w:type="dxa"/>
            <w:tcBorders>
              <w:bottom w:val="nil"/>
            </w:tcBorders>
          </w:tcPr>
          <w:p>
            <w:pPr>
              <w:pStyle w:val="TableParagraph"/>
              <w:tabs>
                <w:tab w:pos="561" w:val="left" w:leader="none"/>
              </w:tabs>
              <w:spacing w:line="251" w:lineRule="exact"/>
              <w:rPr>
                <w:sz w:val="22"/>
              </w:rPr>
            </w:pPr>
            <w:r>
              <w:rPr>
                <w:sz w:val="22"/>
              </w:rPr>
              <w:t>El</w:t>
              <w:tab/>
              <w:t>presidente</w:t>
            </w:r>
          </w:p>
        </w:tc>
        <w:tc>
          <w:tcPr>
            <w:tcW w:w="1985" w:type="dxa"/>
            <w:tcBorders>
              <w:bottom w:val="nil"/>
            </w:tcBorders>
          </w:tcPr>
          <w:p>
            <w:pPr>
              <w:pStyle w:val="TableParagraph"/>
              <w:spacing w:line="251" w:lineRule="exact"/>
              <w:rPr>
                <w:sz w:val="22"/>
              </w:rPr>
            </w:pPr>
            <w:r>
              <w:rPr>
                <w:sz w:val="22"/>
              </w:rPr>
              <w:t>Considero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Style w:val="TableParagraph"/>
              <w:spacing w:line="241" w:lineRule="exact"/>
              <w:ind w:left="100" w:right="101"/>
              <w:rPr>
                <w:sz w:val="22"/>
              </w:rPr>
            </w:pPr>
            <w:r>
              <w:rPr>
                <w:sz w:val="22"/>
              </w:rPr>
              <w:t>muchas</w:t>
            </w:r>
          </w:p>
        </w:tc>
        <w:tc>
          <w:tcPr>
            <w:tcW w:w="1841" w:type="dxa"/>
            <w:tcBorders>
              <w:top w:val="nil"/>
              <w:bottom w:val="nil"/>
            </w:tcBorders>
          </w:tcPr>
          <w:p>
            <w:pPr>
              <w:pStyle w:val="TableParagraph"/>
              <w:tabs>
                <w:tab w:pos="1189" w:val="left" w:leader="none"/>
              </w:tabs>
              <w:spacing w:line="241" w:lineRule="exact"/>
              <w:ind w:left="100"/>
              <w:rPr>
                <w:sz w:val="22"/>
              </w:rPr>
            </w:pPr>
            <w:r>
              <w:rPr>
                <w:sz w:val="22"/>
              </w:rPr>
              <w:t>Mogote”</w:t>
              <w:tab/>
              <w:t>(Para</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(Tercera</w:t>
            </w:r>
          </w:p>
        </w:tc>
        <w:tc>
          <w:tcPr>
            <w:tcW w:w="1133" w:type="dxa"/>
            <w:tcBorders>
              <w:top w:val="nil"/>
              <w:bottom w:val="nil"/>
            </w:tcBorders>
          </w:tcPr>
          <w:p>
            <w:pPr>
              <w:pStyle w:val="TableParagraph"/>
              <w:spacing w:line="241" w:lineRule="exact"/>
              <w:ind w:left="100" w:right="52"/>
              <w:rPr>
                <w:sz w:val="22"/>
              </w:rPr>
            </w:pPr>
            <w:r>
              <w:rPr>
                <w:sz w:val="22"/>
              </w:rPr>
              <w:t>(Tercera</w:t>
            </w:r>
          </w:p>
        </w:tc>
        <w:tc>
          <w:tcPr>
            <w:tcW w:w="1702" w:type="dxa"/>
            <w:tcBorders>
              <w:top w:val="nil"/>
              <w:bottom w:val="nil"/>
            </w:tcBorders>
          </w:tcPr>
          <w:p>
            <w:pPr>
              <w:pStyle w:val="TableParagraph"/>
              <w:tabs>
                <w:tab w:pos="1343" w:val="left" w:leader="none"/>
              </w:tabs>
              <w:spacing w:line="241" w:lineRule="exact"/>
              <w:rPr>
                <w:sz w:val="22"/>
              </w:rPr>
            </w:pPr>
            <w:r>
              <w:rPr>
                <w:sz w:val="22"/>
              </w:rPr>
              <w:t>municipal</w:t>
              <w:tab/>
              <w:t>no</w:t>
            </w:r>
          </w:p>
        </w:tc>
        <w:tc>
          <w:tcPr>
            <w:tcW w:w="1985" w:type="dxa"/>
            <w:tcBorders>
              <w:top w:val="nil"/>
              <w:bottom w:val="nil"/>
            </w:tcBorders>
          </w:tcPr>
          <w:p>
            <w:pPr>
              <w:pStyle w:val="TableParagraph"/>
              <w:tabs>
                <w:tab w:pos="1629" w:val="left" w:leader="none"/>
              </w:tabs>
              <w:spacing w:line="241" w:lineRule="exact"/>
              <w:rPr>
                <w:sz w:val="22"/>
              </w:rPr>
            </w:pPr>
            <w:r>
              <w:rPr>
                <w:sz w:val="22"/>
              </w:rPr>
              <w:t>necesario</w:t>
              <w:tab/>
              <w:t>un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Huitrón</w:t>
            </w:r>
          </w:p>
        </w:tc>
        <w:tc>
          <w:tcPr>
            <w:tcW w:w="1418" w:type="dxa"/>
            <w:tcBorders>
              <w:top w:val="nil"/>
              <w:bottom w:val="nil"/>
            </w:tcBorders>
          </w:tcPr>
          <w:p>
            <w:pPr>
              <w:pStyle w:val="TableParagraph"/>
              <w:spacing w:line="242" w:lineRule="exact"/>
              <w:ind w:left="100" w:right="101"/>
              <w:rPr>
                <w:sz w:val="22"/>
              </w:rPr>
            </w:pPr>
            <w:r>
              <w:rPr>
                <w:sz w:val="22"/>
              </w:rPr>
              <w:t>ocupacione</w:t>
            </w:r>
          </w:p>
        </w:tc>
        <w:tc>
          <w:tcPr>
            <w:tcW w:w="1841" w:type="dxa"/>
            <w:tcBorders>
              <w:top w:val="nil"/>
              <w:bottom w:val="nil"/>
            </w:tcBorders>
          </w:tcPr>
          <w:p>
            <w:pPr>
              <w:pStyle w:val="TableParagraph"/>
              <w:spacing w:line="242" w:lineRule="exact"/>
              <w:ind w:left="100"/>
              <w:rPr>
                <w:sz w:val="22"/>
              </w:rPr>
            </w:pPr>
            <w:r>
              <w:rPr>
                <w:sz w:val="22"/>
              </w:rPr>
              <w:t>Gobernación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Manzana</w:t>
            </w:r>
          </w:p>
        </w:tc>
        <w:tc>
          <w:tcPr>
            <w:tcW w:w="1133" w:type="dxa"/>
            <w:tcBorders>
              <w:top w:val="nil"/>
              <w:bottom w:val="nil"/>
            </w:tcBorders>
          </w:tcPr>
          <w:p>
            <w:pPr>
              <w:pStyle w:val="TableParagraph"/>
              <w:spacing w:line="242" w:lineRule="exact"/>
              <w:ind w:left="100" w:right="52"/>
              <w:rPr>
                <w:sz w:val="22"/>
              </w:rPr>
            </w:pPr>
            <w:r>
              <w:rPr>
                <w:sz w:val="22"/>
              </w:rPr>
              <w:t>Manzana</w:t>
            </w:r>
          </w:p>
        </w:tc>
        <w:tc>
          <w:tcPr>
            <w:tcW w:w="1702" w:type="dxa"/>
            <w:tcBorders>
              <w:top w:val="nil"/>
              <w:bottom w:val="nil"/>
            </w:tcBorders>
          </w:tcPr>
          <w:p>
            <w:pPr>
              <w:pStyle w:val="TableParagraph"/>
              <w:tabs>
                <w:tab w:pos="1096" w:val="left" w:leader="none"/>
              </w:tabs>
              <w:spacing w:line="242" w:lineRule="exact"/>
              <w:rPr>
                <w:sz w:val="22"/>
              </w:rPr>
            </w:pPr>
            <w:r>
              <w:rPr>
                <w:sz w:val="22"/>
              </w:rPr>
              <w:t>realiza</w:t>
              <w:tab/>
              <w:t>nada</w:t>
            </w:r>
          </w:p>
        </w:tc>
        <w:tc>
          <w:tcPr>
            <w:tcW w:w="1985" w:type="dxa"/>
            <w:tcBorders>
              <w:top w:val="nil"/>
              <w:bottom w:val="nil"/>
            </w:tcBorders>
          </w:tcPr>
          <w:p>
            <w:pPr>
              <w:pStyle w:val="TableParagraph"/>
              <w:spacing w:line="242" w:lineRule="exact"/>
              <w:rPr>
                <w:sz w:val="22"/>
              </w:rPr>
            </w:pPr>
            <w:r>
              <w:rPr>
                <w:sz w:val="22"/>
              </w:rPr>
              <w:t>reglamento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(7/7/2014)</w:t>
            </w:r>
          </w:p>
        </w:tc>
        <w:tc>
          <w:tcPr>
            <w:tcW w:w="1418" w:type="dxa"/>
            <w:tcBorders>
              <w:top w:val="nil"/>
              <w:bottom w:val="nil"/>
            </w:tcBorders>
          </w:tcPr>
          <w:p>
            <w:pPr>
              <w:pStyle w:val="TableParagraph"/>
              <w:tabs>
                <w:tab w:pos="582" w:val="left" w:leader="none"/>
              </w:tabs>
              <w:spacing w:line="241" w:lineRule="exact"/>
              <w:ind w:left="100"/>
              <w:rPr>
                <w:sz w:val="22"/>
              </w:rPr>
            </w:pPr>
            <w:r>
              <w:rPr>
                <w:sz w:val="22"/>
              </w:rPr>
              <w:t>s:</w:t>
              <w:tab/>
              <w:t>campo,</w:t>
            </w:r>
          </w:p>
        </w:tc>
        <w:tc>
          <w:tcPr>
            <w:tcW w:w="1841" w:type="dxa"/>
            <w:tcBorders>
              <w:top w:val="nil"/>
              <w:bottom w:val="nil"/>
            </w:tcBorders>
          </w:tcPr>
          <w:p>
            <w:pPr>
              <w:pStyle w:val="TableParagraph"/>
              <w:tabs>
                <w:tab w:pos="1619" w:val="left" w:leader="none"/>
              </w:tabs>
              <w:spacing w:line="241" w:lineRule="exact"/>
              <w:ind w:left="100"/>
              <w:rPr>
                <w:sz w:val="22"/>
              </w:rPr>
            </w:pPr>
            <w:r>
              <w:rPr>
                <w:sz w:val="22"/>
              </w:rPr>
              <w:t>Estado)</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de El</w:t>
            </w:r>
          </w:p>
        </w:tc>
        <w:tc>
          <w:tcPr>
            <w:tcW w:w="1133" w:type="dxa"/>
            <w:tcBorders>
              <w:top w:val="nil"/>
              <w:bottom w:val="nil"/>
            </w:tcBorders>
          </w:tcPr>
          <w:p>
            <w:pPr>
              <w:pStyle w:val="TableParagraph"/>
              <w:spacing w:line="241" w:lineRule="exact"/>
              <w:ind w:left="100" w:right="52"/>
              <w:rPr>
                <w:sz w:val="22"/>
              </w:rPr>
            </w:pPr>
            <w:r>
              <w:rPr>
                <w:sz w:val="22"/>
              </w:rPr>
              <w:t>de El</w:t>
            </w:r>
          </w:p>
        </w:tc>
        <w:tc>
          <w:tcPr>
            <w:tcW w:w="1702" w:type="dxa"/>
            <w:tcBorders>
              <w:top w:val="nil"/>
              <w:bottom w:val="nil"/>
            </w:tcBorders>
          </w:tcPr>
          <w:p>
            <w:pPr>
              <w:pStyle w:val="TableParagraph"/>
              <w:tabs>
                <w:tab w:pos="769" w:val="left" w:leader="none"/>
              </w:tabs>
              <w:spacing w:line="241" w:lineRule="exact"/>
              <w:rPr>
                <w:sz w:val="22"/>
              </w:rPr>
            </w:pPr>
            <w:r>
              <w:rPr>
                <w:sz w:val="22"/>
              </w:rPr>
              <w:t>para</w:t>
              <w:tab/>
              <w:t>proteger</w:t>
            </w:r>
          </w:p>
        </w:tc>
        <w:tc>
          <w:tcPr>
            <w:tcW w:w="1985" w:type="dxa"/>
            <w:tcBorders>
              <w:top w:val="nil"/>
              <w:bottom w:val="nil"/>
            </w:tcBorders>
          </w:tcPr>
          <w:p>
            <w:pPr>
              <w:pStyle w:val="TableParagraph"/>
              <w:spacing w:line="241" w:lineRule="exact"/>
              <w:rPr>
                <w:sz w:val="22"/>
              </w:rPr>
            </w:pPr>
            <w:r>
              <w:rPr>
                <w:sz w:val="22"/>
              </w:rPr>
              <w:t>intermunicipal</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tabs>
                <w:tab w:pos="1194" w:val="left" w:leader="none"/>
              </w:tabs>
              <w:spacing w:line="241" w:lineRule="exact"/>
              <w:ind w:left="100"/>
              <w:rPr>
                <w:sz w:val="22"/>
              </w:rPr>
            </w:pPr>
            <w:r>
              <w:rPr>
                <w:sz w:val="22"/>
              </w:rPr>
              <w:t>ganado</w:t>
              <w:tab/>
              <w:t>y</w:t>
            </w:r>
          </w:p>
        </w:tc>
        <w:tc>
          <w:tcPr>
            <w:tcW w:w="1841" w:type="dxa"/>
            <w:tcBorders>
              <w:top w:val="nil"/>
              <w:bottom w:val="nil"/>
            </w:tcBorders>
          </w:tcPr>
          <w:p>
            <w:pPr>
              <w:pStyle w:val="TableParagraph"/>
              <w:spacing w:line="241" w:lineRule="exact"/>
              <w:ind w:left="100"/>
              <w:rPr>
                <w:sz w:val="22"/>
              </w:rPr>
            </w:pPr>
            <w:r>
              <w:rPr>
                <w:sz w:val="22"/>
              </w:rPr>
              <w:t>Cooperativa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Trojillo),</w:t>
            </w:r>
          </w:p>
        </w:tc>
        <w:tc>
          <w:tcPr>
            <w:tcW w:w="1133" w:type="dxa"/>
            <w:tcBorders>
              <w:top w:val="nil"/>
              <w:bottom w:val="nil"/>
            </w:tcBorders>
          </w:tcPr>
          <w:p>
            <w:pPr>
              <w:pStyle w:val="TableParagraph"/>
              <w:spacing w:line="241" w:lineRule="exact"/>
              <w:ind w:left="100" w:right="52"/>
              <w:rPr>
                <w:sz w:val="22"/>
              </w:rPr>
            </w:pPr>
            <w:r>
              <w:rPr>
                <w:sz w:val="22"/>
              </w:rPr>
              <w:t>Trojillo),</w:t>
            </w:r>
          </w:p>
        </w:tc>
        <w:tc>
          <w:tcPr>
            <w:tcW w:w="1702" w:type="dxa"/>
            <w:tcBorders>
              <w:top w:val="nil"/>
              <w:bottom w:val="nil"/>
            </w:tcBorders>
          </w:tcPr>
          <w:p>
            <w:pPr>
              <w:pStyle w:val="TableParagraph"/>
              <w:tabs>
                <w:tab w:pos="928" w:val="left" w:leader="none"/>
              </w:tabs>
              <w:spacing w:line="241" w:lineRule="exact"/>
              <w:rPr>
                <w:sz w:val="22"/>
              </w:rPr>
            </w:pPr>
            <w:r>
              <w:rPr>
                <w:sz w:val="22"/>
              </w:rPr>
              <w:t>la</w:t>
              <w:tab/>
              <w:t>laguna</w:t>
            </w:r>
          </w:p>
        </w:tc>
        <w:tc>
          <w:tcPr>
            <w:tcW w:w="1985" w:type="dxa"/>
            <w:tcBorders>
              <w:top w:val="nil"/>
              <w:bottom w:val="nil"/>
            </w:tcBorders>
          </w:tcPr>
          <w:p>
            <w:pPr>
              <w:pStyle w:val="TableParagraph"/>
              <w:spacing w:line="241" w:lineRule="exact"/>
              <w:rPr>
                <w:sz w:val="22"/>
              </w:rPr>
            </w:pPr>
            <w:r>
              <w:rPr>
                <w:sz w:val="22"/>
              </w:rPr>
              <w:t>para   uso   de   la</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pesca.</w:t>
            </w:r>
          </w:p>
        </w:tc>
        <w:tc>
          <w:tcPr>
            <w:tcW w:w="1841" w:type="dxa"/>
            <w:tcBorders>
              <w:top w:val="nil"/>
              <w:bottom w:val="nil"/>
            </w:tcBorders>
          </w:tcPr>
          <w:p>
            <w:pPr>
              <w:pStyle w:val="TableParagraph"/>
              <w:spacing w:line="242" w:lineRule="exact"/>
              <w:ind w:left="100"/>
              <w:rPr>
                <w:sz w:val="22"/>
              </w:rPr>
            </w:pPr>
            <w:r>
              <w:rPr>
                <w:sz w:val="22"/>
              </w:rPr>
              <w:t>Rinconcito”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Jilotepec.</w:t>
            </w: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spacing w:line="242" w:lineRule="exact"/>
              <w:rPr>
                <w:sz w:val="22"/>
              </w:rPr>
            </w:pPr>
            <w:r>
              <w:rPr>
                <w:sz w:val="22"/>
              </w:rPr>
              <w:t>Huapango,</w:t>
            </w:r>
          </w:p>
        </w:tc>
        <w:tc>
          <w:tcPr>
            <w:tcW w:w="1985" w:type="dxa"/>
            <w:tcBorders>
              <w:top w:val="nil"/>
              <w:bottom w:val="nil"/>
            </w:tcBorders>
          </w:tcPr>
          <w:p>
            <w:pPr>
              <w:pStyle w:val="TableParagraph"/>
              <w:spacing w:line="242" w:lineRule="exact"/>
              <w:rPr>
                <w:sz w:val="22"/>
              </w:rPr>
            </w:pPr>
            <w:r>
              <w:rPr>
                <w:sz w:val="22"/>
              </w:rPr>
              <w:t>laguna  porque se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556" w:val="left" w:leader="none"/>
              </w:tabs>
              <w:spacing w:line="241" w:lineRule="exact"/>
              <w:ind w:left="100"/>
              <w:rPr>
                <w:sz w:val="22"/>
              </w:rPr>
            </w:pPr>
            <w:r>
              <w:rPr>
                <w:sz w:val="22"/>
              </w:rPr>
              <w:t>(para</w:t>
              <w:tab/>
              <w:t>la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Pr>
                <w:sz w:val="22"/>
              </w:rPr>
            </w:pPr>
            <w:r>
              <w:rPr>
                <w:w w:val="100"/>
                <w:sz w:val="22"/>
              </w:rPr>
              <w:t>.</w:t>
            </w:r>
          </w:p>
        </w:tc>
        <w:tc>
          <w:tcPr>
            <w:tcW w:w="1702" w:type="dxa"/>
            <w:tcBorders>
              <w:top w:val="nil"/>
              <w:bottom w:val="nil"/>
            </w:tcBorders>
          </w:tcPr>
          <w:p>
            <w:pPr>
              <w:pStyle w:val="TableParagraph"/>
              <w:spacing w:line="241" w:lineRule="exact"/>
              <w:rPr>
                <w:sz w:val="22"/>
              </w:rPr>
            </w:pPr>
            <w:r>
              <w:rPr>
                <w:sz w:val="22"/>
              </w:rPr>
              <w:t>sólo de vez  en</w:t>
            </w:r>
          </w:p>
        </w:tc>
        <w:tc>
          <w:tcPr>
            <w:tcW w:w="1985" w:type="dxa"/>
            <w:tcBorders>
              <w:top w:val="nil"/>
              <w:bottom w:val="nil"/>
            </w:tcBorders>
          </w:tcPr>
          <w:p>
            <w:pPr>
              <w:pStyle w:val="TableParagraph"/>
              <w:spacing w:line="241" w:lineRule="exact"/>
              <w:rPr>
                <w:sz w:val="22"/>
              </w:rPr>
            </w:pPr>
            <w:r>
              <w:rPr>
                <w:sz w:val="22"/>
              </w:rPr>
              <w:t>evitarían  muchos</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31" w:val="left" w:leader="none"/>
              </w:tabs>
              <w:spacing w:line="243" w:lineRule="exact"/>
              <w:ind w:left="100"/>
              <w:rPr>
                <w:sz w:val="22"/>
              </w:rPr>
            </w:pPr>
            <w:r>
              <w:rPr>
                <w:sz w:val="22"/>
              </w:rPr>
              <w:t>Secretaría</w:t>
              <w:tab/>
              <w:t>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cuando manda</w:t>
            </w:r>
          </w:p>
        </w:tc>
        <w:tc>
          <w:tcPr>
            <w:tcW w:w="1985" w:type="dxa"/>
            <w:tcBorders>
              <w:top w:val="nil"/>
              <w:bottom w:val="nil"/>
            </w:tcBorders>
          </w:tcPr>
          <w:p>
            <w:pPr>
              <w:pStyle w:val="TableParagraph"/>
              <w:spacing w:line="243" w:lineRule="exact"/>
              <w:rPr>
                <w:sz w:val="22"/>
              </w:rPr>
            </w:pPr>
            <w:r>
              <w:rPr>
                <w:sz w:val="22"/>
              </w:rPr>
              <w:t>problemas.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Trabajo).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9" w:val="left" w:leader="none"/>
              </w:tabs>
              <w:spacing w:line="241" w:lineRule="exact"/>
              <w:rPr>
                <w:sz w:val="22"/>
              </w:rPr>
            </w:pPr>
            <w:r>
              <w:rPr>
                <w:sz w:val="22"/>
              </w:rPr>
              <w:t>patrullas</w:t>
              <w:tab/>
              <w:t>para</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que vigilen.</w:t>
            </w:r>
          </w:p>
        </w:tc>
        <w:tc>
          <w:tcPr>
            <w:tcW w:w="1985" w:type="dxa"/>
            <w:tcBorders>
              <w:top w:val="nil"/>
            </w:tcBorders>
          </w:tcPr>
          <w:p>
            <w:pPr/>
          </w:p>
        </w:tc>
      </w:tr>
      <w:tr>
        <w:trPr>
          <w:trHeight w:val="768" w:hRule="exact"/>
        </w:trPr>
        <w:tc>
          <w:tcPr>
            <w:tcW w:w="1385" w:type="dxa"/>
          </w:tcPr>
          <w:p>
            <w:pPr>
              <w:pStyle w:val="TableParagraph"/>
              <w:ind w:right="127"/>
              <w:rPr>
                <w:sz w:val="22"/>
              </w:rPr>
            </w:pPr>
            <w:r>
              <w:rPr>
                <w:sz w:val="22"/>
              </w:rPr>
              <w:t>Gumecindo Rivas Rodríguez</w:t>
            </w:r>
          </w:p>
        </w:tc>
        <w:tc>
          <w:tcPr>
            <w:tcW w:w="1418" w:type="dxa"/>
          </w:tcPr>
          <w:p>
            <w:pPr>
              <w:pStyle w:val="TableParagraph"/>
              <w:spacing w:line="252" w:lineRule="exact" w:before="2"/>
              <w:ind w:left="100" w:right="101"/>
              <w:rPr>
                <w:sz w:val="22"/>
              </w:rPr>
            </w:pPr>
            <w:r>
              <w:rPr>
                <w:sz w:val="22"/>
              </w:rPr>
              <w:t>Pescar y el campo</w:t>
            </w:r>
          </w:p>
        </w:tc>
        <w:tc>
          <w:tcPr>
            <w:tcW w:w="1841" w:type="dxa"/>
          </w:tcPr>
          <w:p>
            <w:pPr>
              <w:pStyle w:val="TableParagraph"/>
              <w:ind w:left="100" w:right="309"/>
              <w:rPr>
                <w:sz w:val="22"/>
              </w:rPr>
            </w:pPr>
            <w:r>
              <w:rPr>
                <w:sz w:val="22"/>
              </w:rPr>
              <w:t>Cooperativa “Rivas Islas” (7</w:t>
            </w:r>
            <w:r>
              <w:rPr>
                <w:spacing w:val="-3"/>
                <w:sz w:val="22"/>
              </w:rPr>
              <w:t> </w:t>
            </w:r>
            <w:r>
              <w:rPr>
                <w:sz w:val="22"/>
              </w:rPr>
              <w:t>integrantes)</w:t>
            </w:r>
          </w:p>
        </w:tc>
        <w:tc>
          <w:tcPr>
            <w:tcW w:w="1135" w:type="dxa"/>
          </w:tcPr>
          <w:p>
            <w:pPr>
              <w:pStyle w:val="TableParagraph"/>
              <w:spacing w:line="252" w:lineRule="exact" w:before="2"/>
              <w:ind w:right="134"/>
              <w:rPr>
                <w:sz w:val="22"/>
              </w:rPr>
            </w:pPr>
            <w:r>
              <w:rPr>
                <w:sz w:val="22"/>
              </w:rPr>
              <w:t>Presiden te</w:t>
            </w:r>
          </w:p>
        </w:tc>
        <w:tc>
          <w:tcPr>
            <w:tcW w:w="991" w:type="dxa"/>
          </w:tcPr>
          <w:p>
            <w:pPr>
              <w:pStyle w:val="TableParagraph"/>
              <w:spacing w:line="252" w:lineRule="exact" w:before="2"/>
              <w:ind w:left="100" w:right="103"/>
              <w:rPr>
                <w:sz w:val="22"/>
              </w:rPr>
            </w:pPr>
            <w:r>
              <w:rPr>
                <w:sz w:val="22"/>
              </w:rPr>
              <w:t>Jilotepe c</w:t>
            </w:r>
          </w:p>
        </w:tc>
        <w:tc>
          <w:tcPr>
            <w:tcW w:w="1277" w:type="dxa"/>
          </w:tcPr>
          <w:p>
            <w:pPr>
              <w:pStyle w:val="TableParagraph"/>
              <w:spacing w:line="252" w:lineRule="exact" w:before="2"/>
              <w:ind w:right="178"/>
              <w:rPr>
                <w:sz w:val="22"/>
              </w:rPr>
            </w:pPr>
            <w:r>
              <w:rPr>
                <w:sz w:val="22"/>
              </w:rPr>
              <w:t>El Saltillo, Jilotepec</w:t>
            </w:r>
          </w:p>
        </w:tc>
        <w:tc>
          <w:tcPr>
            <w:tcW w:w="1133" w:type="dxa"/>
          </w:tcPr>
          <w:p>
            <w:pPr>
              <w:pStyle w:val="TableParagraph"/>
              <w:ind w:left="100" w:right="134"/>
              <w:rPr>
                <w:sz w:val="22"/>
              </w:rPr>
            </w:pPr>
            <w:r>
              <w:rPr>
                <w:sz w:val="22"/>
              </w:rPr>
              <w:t>El Saltillo, Jilotepec</w:t>
            </w:r>
          </w:p>
        </w:tc>
        <w:tc>
          <w:tcPr>
            <w:tcW w:w="1702" w:type="dxa"/>
          </w:tcPr>
          <w:p>
            <w:pPr>
              <w:pStyle w:val="TableParagraph"/>
              <w:ind w:right="98"/>
              <w:jc w:val="both"/>
              <w:rPr>
                <w:sz w:val="22"/>
              </w:rPr>
            </w:pPr>
            <w:r>
              <w:rPr>
                <w:sz w:val="22"/>
              </w:rPr>
              <w:t>El presidente municipal no hace        nada</w:t>
            </w:r>
          </w:p>
        </w:tc>
        <w:tc>
          <w:tcPr>
            <w:tcW w:w="1985" w:type="dxa"/>
          </w:tcPr>
          <w:p>
            <w:pPr>
              <w:pStyle w:val="TableParagraph"/>
              <w:ind w:right="100"/>
              <w:jc w:val="both"/>
              <w:rPr>
                <w:sz w:val="22"/>
              </w:rPr>
            </w:pPr>
            <w:r>
              <w:rPr>
                <w:sz w:val="22"/>
              </w:rPr>
              <w:t>Sí debiera existir un reglamento intermunicipal</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288" w:hRule="exact"/>
        </w:trPr>
        <w:tc>
          <w:tcPr>
            <w:tcW w:w="1385" w:type="dxa"/>
          </w:tcPr>
          <w:p>
            <w:pPr>
              <w:pStyle w:val="TableParagraph"/>
              <w:spacing w:line="251" w:lineRule="exact"/>
              <w:rPr>
                <w:sz w:val="22"/>
              </w:rPr>
            </w:pPr>
            <w:r>
              <w:rPr>
                <w:sz w:val="22"/>
              </w:rPr>
              <w:t>(18/7/2014)</w:t>
            </w: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ind w:right="130"/>
              <w:rPr>
                <w:sz w:val="22"/>
              </w:rPr>
            </w:pPr>
            <w:r>
              <w:rPr>
                <w:sz w:val="22"/>
              </w:rPr>
              <w:t>para cuidar la laguna, debiera cuidarla de las aguas</w:t>
            </w:r>
            <w:r>
              <w:rPr>
                <w:spacing w:val="-4"/>
                <w:sz w:val="22"/>
              </w:rPr>
              <w:t> </w:t>
            </w:r>
            <w:r>
              <w:rPr>
                <w:sz w:val="22"/>
              </w:rPr>
              <w:t>negras.</w:t>
            </w:r>
          </w:p>
        </w:tc>
        <w:tc>
          <w:tcPr>
            <w:tcW w:w="1985" w:type="dxa"/>
          </w:tcPr>
          <w:p>
            <w:pPr>
              <w:pStyle w:val="TableParagraph"/>
              <w:ind w:right="98"/>
              <w:jc w:val="both"/>
              <w:rPr>
                <w:sz w:val="22"/>
              </w:rPr>
            </w:pPr>
            <w:r>
              <w:rPr>
                <w:sz w:val="22"/>
              </w:rPr>
              <w:t>para el uso de la laguna para que se respeten los derechos y estar bien organizados porque hay unos que cosechan y no siembran.</w:t>
            </w:r>
          </w:p>
        </w:tc>
      </w:tr>
      <w:tr>
        <w:trPr>
          <w:trHeight w:val="5576" w:hRule="exact"/>
        </w:trPr>
        <w:tc>
          <w:tcPr>
            <w:tcW w:w="1385" w:type="dxa"/>
          </w:tcPr>
          <w:p>
            <w:pPr>
              <w:pStyle w:val="TableParagraph"/>
              <w:ind w:right="384"/>
              <w:rPr>
                <w:sz w:val="22"/>
              </w:rPr>
            </w:pPr>
            <w:r>
              <w:rPr>
                <w:sz w:val="22"/>
              </w:rPr>
              <w:t>Fortino Martínez Cristobal</w:t>
            </w:r>
          </w:p>
        </w:tc>
        <w:tc>
          <w:tcPr>
            <w:tcW w:w="1418" w:type="dxa"/>
          </w:tcPr>
          <w:p>
            <w:pPr>
              <w:pStyle w:val="TableParagraph"/>
              <w:spacing w:line="252" w:lineRule="exact" w:before="2"/>
              <w:ind w:left="100" w:right="101"/>
              <w:rPr>
                <w:sz w:val="22"/>
              </w:rPr>
            </w:pPr>
            <w:r>
              <w:rPr>
                <w:sz w:val="22"/>
              </w:rPr>
              <w:t>El campo y la pesca</w:t>
            </w:r>
          </w:p>
        </w:tc>
        <w:tc>
          <w:tcPr>
            <w:tcW w:w="1841" w:type="dxa"/>
          </w:tcPr>
          <w:p>
            <w:pPr>
              <w:pStyle w:val="TableParagraph"/>
              <w:tabs>
                <w:tab w:pos="1410" w:val="left" w:leader="none"/>
              </w:tabs>
              <w:ind w:left="100" w:right="100"/>
              <w:rPr>
                <w:sz w:val="22"/>
              </w:rPr>
            </w:pPr>
            <w:r>
              <w:rPr>
                <w:sz w:val="22"/>
              </w:rPr>
              <w:t>Cooperatica “Pescamex” (estaba integrada</w:t>
              <w:tab/>
              <w:t>por</w:t>
            </w:r>
          </w:p>
          <w:p>
            <w:pPr>
              <w:pStyle w:val="TableParagraph"/>
              <w:tabs>
                <w:tab w:pos="1497" w:val="left" w:leader="none"/>
              </w:tabs>
              <w:ind w:left="100" w:right="99"/>
              <w:jc w:val="both"/>
              <w:rPr>
                <w:sz w:val="22"/>
              </w:rPr>
            </w:pPr>
            <w:r>
              <w:rPr>
                <w:sz w:val="22"/>
              </w:rPr>
              <w:t>300  personas en un principio, pero</w:t>
              <w:tab/>
              <w:t>se</w:t>
            </w:r>
          </w:p>
          <w:p>
            <w:pPr>
              <w:pStyle w:val="TableParagraph"/>
              <w:tabs>
                <w:tab w:pos="1324" w:val="left" w:leader="none"/>
                <w:tab w:pos="1619" w:val="left" w:leader="none"/>
              </w:tabs>
              <w:spacing w:before="1"/>
              <w:ind w:left="100" w:right="99"/>
              <w:rPr>
                <w:sz w:val="22"/>
              </w:rPr>
            </w:pPr>
            <w:r>
              <w:rPr>
                <w:sz w:val="22"/>
              </w:rPr>
              <w:t>anotaron muchos que no eran pescadores</w:t>
              <w:tab/>
              <w:tab/>
              <w:t>y ahora</w:t>
              <w:tab/>
              <w:t>sólo quedamos</w:t>
            </w:r>
            <w:r>
              <w:rPr>
                <w:spacing w:val="-3"/>
                <w:sz w:val="22"/>
              </w:rPr>
              <w:t> </w:t>
            </w:r>
            <w:r>
              <w:rPr>
                <w:sz w:val="22"/>
              </w:rPr>
              <w:t>70).</w:t>
            </w:r>
          </w:p>
        </w:tc>
        <w:tc>
          <w:tcPr>
            <w:tcW w:w="1135" w:type="dxa"/>
          </w:tcPr>
          <w:p>
            <w:pPr>
              <w:pStyle w:val="TableParagraph"/>
              <w:spacing w:line="251" w:lineRule="exact"/>
              <w:rPr>
                <w:sz w:val="22"/>
              </w:rPr>
            </w:pPr>
            <w:r>
              <w:rPr>
                <w:sz w:val="22"/>
              </w:rPr>
              <w:t>Tesorero</w:t>
            </w:r>
          </w:p>
        </w:tc>
        <w:tc>
          <w:tcPr>
            <w:tcW w:w="991" w:type="dxa"/>
          </w:tcPr>
          <w:p>
            <w:pPr>
              <w:pStyle w:val="TableParagraph"/>
              <w:spacing w:line="251" w:lineRule="exact"/>
              <w:ind w:left="100"/>
              <w:rPr>
                <w:sz w:val="22"/>
              </w:rPr>
            </w:pPr>
            <w:r>
              <w:rPr>
                <w:sz w:val="22"/>
              </w:rPr>
              <w:t>Aculco</w:t>
            </w:r>
          </w:p>
        </w:tc>
        <w:tc>
          <w:tcPr>
            <w:tcW w:w="1277" w:type="dxa"/>
          </w:tcPr>
          <w:p>
            <w:pPr>
              <w:pStyle w:val="TableParagraph"/>
              <w:ind w:right="325"/>
              <w:rPr>
                <w:sz w:val="22"/>
              </w:rPr>
            </w:pPr>
            <w:r>
              <w:rPr>
                <w:sz w:val="22"/>
              </w:rPr>
              <w:t>El Azafrán, Aculco</w:t>
            </w:r>
          </w:p>
        </w:tc>
        <w:tc>
          <w:tcPr>
            <w:tcW w:w="1133" w:type="dxa"/>
          </w:tcPr>
          <w:p>
            <w:pPr>
              <w:pStyle w:val="TableParagraph"/>
              <w:ind w:left="100" w:right="183"/>
              <w:rPr>
                <w:sz w:val="22"/>
              </w:rPr>
            </w:pPr>
            <w:r>
              <w:rPr>
                <w:sz w:val="22"/>
              </w:rPr>
              <w:t>El Azafrán, Aculco</w:t>
            </w:r>
          </w:p>
        </w:tc>
        <w:tc>
          <w:tcPr>
            <w:tcW w:w="1702" w:type="dxa"/>
          </w:tcPr>
          <w:p>
            <w:pPr>
              <w:pStyle w:val="TableParagraph"/>
              <w:tabs>
                <w:tab w:pos="1161" w:val="left" w:leader="none"/>
              </w:tabs>
              <w:ind w:right="99"/>
              <w:rPr>
                <w:sz w:val="22"/>
              </w:rPr>
            </w:pPr>
            <w:r>
              <w:rPr>
                <w:sz w:val="22"/>
              </w:rPr>
              <w:t>Nada, únicamente llegan sobreavisos de apoyos.</w:t>
              <w:tab/>
              <w:t>ada, únicamente llegan sobreavisos de apoyos.</w:t>
            </w:r>
          </w:p>
        </w:tc>
        <w:tc>
          <w:tcPr>
            <w:tcW w:w="1985" w:type="dxa"/>
          </w:tcPr>
          <w:p>
            <w:pPr>
              <w:pStyle w:val="TableParagraph"/>
              <w:tabs>
                <w:tab w:pos="633" w:val="left" w:leader="none"/>
                <w:tab w:pos="1112" w:val="left" w:leader="none"/>
                <w:tab w:pos="1518" w:val="left" w:leader="none"/>
                <w:tab w:pos="1593" w:val="left" w:leader="none"/>
                <w:tab w:pos="1629" w:val="left" w:leader="none"/>
              </w:tabs>
              <w:ind w:right="99"/>
              <w:rPr>
                <w:sz w:val="22"/>
              </w:rPr>
            </w:pPr>
            <w:r>
              <w:rPr>
                <w:sz w:val="22"/>
              </w:rPr>
              <w:t>No</w:t>
              <w:tab/>
              <w:t>sé</w:t>
              <w:tab/>
              <w:t>si</w:t>
              <w:tab/>
              <w:t>sea necesario</w:t>
              <w:tab/>
              <w:tab/>
              <w:tab/>
              <w:tab/>
              <w:t>un reglamento porque</w:t>
              <w:tab/>
              <w:tab/>
              <w:tab/>
              <w:t>los</w:t>
            </w:r>
          </w:p>
          <w:p>
            <w:pPr>
              <w:pStyle w:val="TableParagraph"/>
              <w:ind w:right="99"/>
              <w:jc w:val="both"/>
              <w:rPr>
                <w:sz w:val="22"/>
              </w:rPr>
            </w:pPr>
            <w:r>
              <w:rPr>
                <w:sz w:val="22"/>
              </w:rPr>
              <w:t>pescadores  lo que queremos es el permiso que nos prometieron, pero ahora dicen que sólo hay para</w:t>
            </w:r>
          </w:p>
          <w:p>
            <w:pPr>
              <w:pStyle w:val="TableParagraph"/>
              <w:tabs>
                <w:tab w:pos="810" w:val="left" w:leader="none"/>
                <w:tab w:pos="892" w:val="left" w:leader="none"/>
                <w:tab w:pos="1324" w:val="left" w:leader="none"/>
                <w:tab w:pos="1470" w:val="left" w:leader="none"/>
                <w:tab w:pos="1641" w:val="left" w:leader="none"/>
              </w:tabs>
              <w:spacing w:before="1"/>
              <w:ind w:right="98"/>
              <w:rPr>
                <w:sz w:val="22"/>
              </w:rPr>
            </w:pPr>
            <w:r>
              <w:rPr>
                <w:sz w:val="22"/>
              </w:rPr>
              <w:t>60 personas de nuestra cooperativa,</w:t>
              <w:tab/>
              <w:tab/>
              <w:tab/>
              <w:t>es por eso que ya no sabemos</w:t>
              <w:tab/>
            </w:r>
            <w:r>
              <w:rPr>
                <w:spacing w:val="-1"/>
                <w:sz w:val="22"/>
              </w:rPr>
              <w:t>nada, </w:t>
            </w:r>
            <w:r>
              <w:rPr>
                <w:sz w:val="22"/>
              </w:rPr>
              <w:t>mejor</w:t>
              <w:tab/>
              <w:tab/>
              <w:t>queremos quedarnos como estábamos antes, y no nos queda más</w:t>
              <w:tab/>
              <w:t>que</w:t>
              <w:tab/>
              <w:tab/>
              <w:t>sólo mirar al cielo que caiga el</w:t>
            </w:r>
            <w:r>
              <w:rPr>
                <w:spacing w:val="-2"/>
                <w:sz w:val="22"/>
              </w:rPr>
              <w:t> </w:t>
            </w:r>
            <w:r>
              <w:rPr>
                <w:sz w:val="22"/>
              </w:rPr>
              <w:t>agua.</w:t>
            </w:r>
          </w:p>
        </w:tc>
      </w:tr>
      <w:tr>
        <w:trPr>
          <w:trHeight w:val="768" w:hRule="exact"/>
        </w:trPr>
        <w:tc>
          <w:tcPr>
            <w:tcW w:w="1385" w:type="dxa"/>
          </w:tcPr>
          <w:p>
            <w:pPr>
              <w:pStyle w:val="TableParagraph"/>
              <w:ind w:right="127" w:firstLine="62"/>
              <w:rPr>
                <w:sz w:val="22"/>
              </w:rPr>
            </w:pPr>
            <w:r>
              <w:rPr>
                <w:sz w:val="22"/>
              </w:rPr>
              <w:t>Malaquías de la Cruz Nicolás</w:t>
            </w:r>
          </w:p>
        </w:tc>
        <w:tc>
          <w:tcPr>
            <w:tcW w:w="1418" w:type="dxa"/>
          </w:tcPr>
          <w:p>
            <w:pPr>
              <w:pStyle w:val="TableParagraph"/>
              <w:ind w:left="100" w:right="105" w:firstLine="50"/>
              <w:jc w:val="both"/>
              <w:rPr>
                <w:sz w:val="22"/>
              </w:rPr>
            </w:pPr>
            <w:r>
              <w:rPr>
                <w:sz w:val="22"/>
              </w:rPr>
              <w:t>Agricultor y era la pesca porque ya</w:t>
            </w:r>
          </w:p>
        </w:tc>
        <w:tc>
          <w:tcPr>
            <w:tcW w:w="1841" w:type="dxa"/>
          </w:tcPr>
          <w:p>
            <w:pPr>
              <w:pStyle w:val="TableParagraph"/>
              <w:ind w:left="100" w:right="99"/>
              <w:jc w:val="both"/>
              <w:rPr>
                <w:sz w:val="22"/>
              </w:rPr>
            </w:pPr>
            <w:r>
              <w:rPr>
                <w:sz w:val="22"/>
              </w:rPr>
              <w:t>No recuerdo el nombre porque ya tiene tiempo.</w:t>
            </w:r>
          </w:p>
        </w:tc>
        <w:tc>
          <w:tcPr>
            <w:tcW w:w="1135" w:type="dxa"/>
          </w:tcPr>
          <w:p>
            <w:pPr>
              <w:pStyle w:val="TableParagraph"/>
              <w:spacing w:line="252" w:lineRule="exact" w:before="2"/>
              <w:ind w:right="195"/>
              <w:rPr>
                <w:sz w:val="22"/>
              </w:rPr>
            </w:pPr>
            <w:r>
              <w:rPr>
                <w:sz w:val="22"/>
              </w:rPr>
              <w:t>Inegrant e</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spacing w:line="252" w:lineRule="exact" w:before="2"/>
              <w:ind w:right="154"/>
              <w:rPr>
                <w:sz w:val="22"/>
              </w:rPr>
            </w:pPr>
            <w:r>
              <w:rPr>
                <w:sz w:val="22"/>
              </w:rPr>
              <w:t>Zaragoza, Timilpan</w:t>
            </w:r>
          </w:p>
        </w:tc>
        <w:tc>
          <w:tcPr>
            <w:tcW w:w="1133" w:type="dxa"/>
          </w:tcPr>
          <w:p>
            <w:pPr>
              <w:pStyle w:val="TableParagraph"/>
              <w:ind w:left="100" w:right="171"/>
              <w:rPr>
                <w:sz w:val="22"/>
              </w:rPr>
            </w:pPr>
            <w:r>
              <w:rPr>
                <w:sz w:val="22"/>
              </w:rPr>
              <w:t>Zaragoz a, Timilpan</w:t>
            </w:r>
          </w:p>
        </w:tc>
        <w:tc>
          <w:tcPr>
            <w:tcW w:w="1702" w:type="dxa"/>
          </w:tcPr>
          <w:p>
            <w:pPr>
              <w:pStyle w:val="TableParagraph"/>
              <w:spacing w:line="251" w:lineRule="exact"/>
              <w:rPr>
                <w:sz w:val="22"/>
              </w:rPr>
            </w:pPr>
            <w:r>
              <w:rPr>
                <w:sz w:val="22"/>
              </w:rPr>
              <w:t>Nada.</w:t>
            </w:r>
          </w:p>
        </w:tc>
        <w:tc>
          <w:tcPr>
            <w:tcW w:w="1985" w:type="dxa"/>
          </w:tcPr>
          <w:p>
            <w:pPr>
              <w:pStyle w:val="TableParagraph"/>
              <w:ind w:right="99"/>
              <w:jc w:val="both"/>
              <w:rPr>
                <w:sz w:val="22"/>
              </w:rPr>
            </w:pPr>
            <w:r>
              <w:rPr>
                <w:sz w:val="22"/>
              </w:rPr>
              <w:t>Sí pues se necesita para acabar     con    la</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377"/>
        <w:gridCol w:w="464"/>
        <w:gridCol w:w="1135"/>
        <w:gridCol w:w="991"/>
        <w:gridCol w:w="1277"/>
        <w:gridCol w:w="1133"/>
        <w:gridCol w:w="1702"/>
        <w:gridCol w:w="1985"/>
      </w:tblGrid>
      <w:tr>
        <w:trPr>
          <w:trHeight w:val="1022" w:hRule="exact"/>
        </w:trPr>
        <w:tc>
          <w:tcPr>
            <w:tcW w:w="1385" w:type="dxa"/>
          </w:tcPr>
          <w:p>
            <w:pPr>
              <w:pStyle w:val="TableParagraph"/>
              <w:spacing w:line="251" w:lineRule="exact"/>
              <w:ind w:right="127"/>
              <w:rPr>
                <w:sz w:val="22"/>
              </w:rPr>
            </w:pPr>
            <w:r>
              <w:rPr>
                <w:sz w:val="22"/>
              </w:rPr>
              <w:t>(24/I/2015)</w:t>
            </w:r>
          </w:p>
        </w:tc>
        <w:tc>
          <w:tcPr>
            <w:tcW w:w="1418" w:type="dxa"/>
          </w:tcPr>
          <w:p>
            <w:pPr>
              <w:pStyle w:val="TableParagraph"/>
              <w:spacing w:line="252" w:lineRule="exact" w:before="2"/>
              <w:ind w:left="285" w:right="272" w:firstLine="86"/>
              <w:rPr>
                <w:sz w:val="22"/>
              </w:rPr>
            </w:pPr>
            <w:r>
              <w:rPr>
                <w:sz w:val="22"/>
              </w:rPr>
              <w:t>no hay pescado</w:t>
            </w:r>
          </w:p>
        </w:tc>
        <w:tc>
          <w:tcPr>
            <w:tcW w:w="1841" w:type="dxa"/>
            <w:gridSpan w:val="2"/>
          </w:tcPr>
          <w:p>
            <w:pPr>
              <w:pStyle w:val="TableParagraph"/>
              <w:spacing w:line="251" w:lineRule="exact"/>
              <w:ind w:left="100"/>
              <w:rPr>
                <w:sz w:val="22"/>
              </w:rPr>
            </w:pPr>
            <w:r>
              <w:rPr>
                <w:sz w:val="22"/>
              </w:rPr>
              <w:t>(10 integrantes)</w:t>
            </w:r>
          </w:p>
        </w:tc>
        <w:tc>
          <w:tcPr>
            <w:tcW w:w="1135" w:type="dxa"/>
          </w:tcPr>
          <w:p>
            <w:pPr/>
          </w:p>
        </w:tc>
        <w:tc>
          <w:tcPr>
            <w:tcW w:w="991" w:type="dxa"/>
          </w:tcPr>
          <w:p>
            <w:pPr/>
          </w:p>
        </w:tc>
        <w:tc>
          <w:tcPr>
            <w:tcW w:w="1277" w:type="dxa"/>
          </w:tcPr>
          <w:p>
            <w:pPr/>
          </w:p>
        </w:tc>
        <w:tc>
          <w:tcPr>
            <w:tcW w:w="1133" w:type="dxa"/>
          </w:tcPr>
          <w:p>
            <w:pPr/>
          </w:p>
        </w:tc>
        <w:tc>
          <w:tcPr>
            <w:tcW w:w="1702" w:type="dxa"/>
          </w:tcPr>
          <w:p>
            <w:pPr/>
          </w:p>
        </w:tc>
        <w:tc>
          <w:tcPr>
            <w:tcW w:w="1985" w:type="dxa"/>
          </w:tcPr>
          <w:p>
            <w:pPr>
              <w:pStyle w:val="TableParagraph"/>
              <w:tabs>
                <w:tab w:pos="990" w:val="left" w:leader="none"/>
                <w:tab w:pos="1640" w:val="left" w:leader="none"/>
              </w:tabs>
              <w:ind w:right="100"/>
              <w:rPr>
                <w:sz w:val="22"/>
              </w:rPr>
            </w:pPr>
            <w:r>
              <w:rPr>
                <w:sz w:val="22"/>
              </w:rPr>
              <w:t>hierba,</w:t>
              <w:tab/>
              <w:t>pero</w:t>
              <w:tab/>
              <w:t>se necesita maquinaria también.</w:t>
            </w:r>
          </w:p>
        </w:tc>
      </w:tr>
      <w:tr>
        <w:trPr>
          <w:trHeight w:val="1275" w:hRule="exact"/>
        </w:trPr>
        <w:tc>
          <w:tcPr>
            <w:tcW w:w="1385" w:type="dxa"/>
          </w:tcPr>
          <w:p>
            <w:pPr>
              <w:pStyle w:val="TableParagraph"/>
              <w:spacing w:line="252" w:lineRule="exact" w:before="2"/>
              <w:ind w:left="155" w:right="136" w:firstLine="96"/>
              <w:rPr>
                <w:sz w:val="22"/>
              </w:rPr>
            </w:pPr>
            <w:r>
              <w:rPr>
                <w:sz w:val="22"/>
              </w:rPr>
              <w:t>Anónimo (24/I/2015)</w:t>
            </w:r>
          </w:p>
        </w:tc>
        <w:tc>
          <w:tcPr>
            <w:tcW w:w="1418" w:type="dxa"/>
          </w:tcPr>
          <w:p>
            <w:pPr>
              <w:pStyle w:val="TableParagraph"/>
              <w:spacing w:line="252" w:lineRule="exact" w:before="2"/>
              <w:ind w:left="292" w:right="145" w:hanging="137"/>
              <w:rPr>
                <w:sz w:val="22"/>
              </w:rPr>
            </w:pPr>
            <w:r>
              <w:rPr>
                <w:sz w:val="22"/>
              </w:rPr>
              <w:t>El campo y la pesca</w:t>
            </w:r>
          </w:p>
        </w:tc>
        <w:tc>
          <w:tcPr>
            <w:tcW w:w="1841" w:type="dxa"/>
            <w:gridSpan w:val="2"/>
          </w:tcPr>
          <w:p>
            <w:pPr>
              <w:pStyle w:val="TableParagraph"/>
              <w:ind w:left="100" w:right="99"/>
              <w:jc w:val="both"/>
              <w:rPr>
                <w:sz w:val="22"/>
              </w:rPr>
            </w:pPr>
            <w:r>
              <w:rPr>
                <w:sz w:val="22"/>
              </w:rPr>
              <w:t>No recuerdo el nombre ni el número de integrantes</w:t>
            </w:r>
          </w:p>
        </w:tc>
        <w:tc>
          <w:tcPr>
            <w:tcW w:w="1135" w:type="dxa"/>
          </w:tcPr>
          <w:p>
            <w:pPr>
              <w:pStyle w:val="TableParagraph"/>
              <w:spacing w:line="252" w:lineRule="exact" w:before="2"/>
              <w:ind w:right="134"/>
              <w:rPr>
                <w:sz w:val="22"/>
              </w:rPr>
            </w:pPr>
            <w:r>
              <w:rPr>
                <w:sz w:val="22"/>
              </w:rPr>
              <w:t>Integrant e</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ind w:right="203"/>
              <w:rPr>
                <w:sz w:val="22"/>
              </w:rPr>
            </w:pPr>
            <w:r>
              <w:rPr>
                <w:sz w:val="22"/>
              </w:rPr>
              <w:t>La campesin a, Timilpan</w:t>
            </w:r>
          </w:p>
        </w:tc>
        <w:tc>
          <w:tcPr>
            <w:tcW w:w="1133" w:type="dxa"/>
          </w:tcPr>
          <w:p>
            <w:pPr>
              <w:pStyle w:val="TableParagraph"/>
              <w:ind w:left="100" w:right="171"/>
              <w:rPr>
                <w:sz w:val="22"/>
              </w:rPr>
            </w:pPr>
            <w:r>
              <w:rPr>
                <w:sz w:val="22"/>
              </w:rPr>
              <w:t>La campesi na, Timilpan</w:t>
            </w:r>
          </w:p>
        </w:tc>
        <w:tc>
          <w:tcPr>
            <w:tcW w:w="1702" w:type="dxa"/>
          </w:tcPr>
          <w:p>
            <w:pPr>
              <w:pStyle w:val="TableParagraph"/>
              <w:ind w:right="98"/>
              <w:jc w:val="both"/>
              <w:rPr>
                <w:sz w:val="22"/>
              </w:rPr>
            </w:pPr>
            <w:r>
              <w:rPr>
                <w:sz w:val="22"/>
              </w:rPr>
              <w:t>Nada, es un fracaso, no hace nada.</w:t>
            </w:r>
          </w:p>
        </w:tc>
        <w:tc>
          <w:tcPr>
            <w:tcW w:w="1985" w:type="dxa"/>
          </w:tcPr>
          <w:p>
            <w:pPr>
              <w:pStyle w:val="TableParagraph"/>
              <w:spacing w:line="250" w:lineRule="exact"/>
              <w:jc w:val="both"/>
              <w:rPr>
                <w:sz w:val="22"/>
              </w:rPr>
            </w:pPr>
            <w:r>
              <w:rPr>
                <w:sz w:val="22"/>
              </w:rPr>
              <w:t>Sí,        si        nos</w:t>
            </w:r>
          </w:p>
          <w:p>
            <w:pPr>
              <w:pStyle w:val="TableParagraph"/>
              <w:ind w:right="99"/>
              <w:jc w:val="both"/>
              <w:rPr>
                <w:sz w:val="22"/>
              </w:rPr>
            </w:pPr>
            <w:r>
              <w:rPr>
                <w:sz w:val="22"/>
              </w:rPr>
              <w:t>pusiéramos de acuerdo, en un pueblo unido se hace todo.</w:t>
            </w:r>
          </w:p>
        </w:tc>
      </w:tr>
      <w:tr>
        <w:trPr>
          <w:trHeight w:val="2540" w:hRule="exact"/>
        </w:trPr>
        <w:tc>
          <w:tcPr>
            <w:tcW w:w="1385" w:type="dxa"/>
          </w:tcPr>
          <w:p>
            <w:pPr>
              <w:pStyle w:val="TableParagraph"/>
              <w:ind w:right="127"/>
              <w:rPr>
                <w:sz w:val="22"/>
              </w:rPr>
            </w:pPr>
            <w:r>
              <w:rPr>
                <w:sz w:val="22"/>
              </w:rPr>
              <w:t>Elizabeth Valencia Martínez (esposa de un pescador) (31/I/2015)</w:t>
            </w:r>
          </w:p>
        </w:tc>
        <w:tc>
          <w:tcPr>
            <w:tcW w:w="1418" w:type="dxa"/>
          </w:tcPr>
          <w:p>
            <w:pPr>
              <w:pStyle w:val="TableParagraph"/>
              <w:ind w:left="167" w:right="171" w:firstLine="2"/>
              <w:jc w:val="center"/>
              <w:rPr>
                <w:sz w:val="22"/>
              </w:rPr>
            </w:pPr>
            <w:r>
              <w:rPr>
                <w:sz w:val="22"/>
              </w:rPr>
              <w:t>El hogar y preparar el pescado para ir a vender en el tianguis de   Acambay los  domingos</w:t>
            </w:r>
          </w:p>
        </w:tc>
        <w:tc>
          <w:tcPr>
            <w:tcW w:w="1841" w:type="dxa"/>
            <w:gridSpan w:val="2"/>
          </w:tcPr>
          <w:p>
            <w:pPr>
              <w:pStyle w:val="TableParagraph"/>
              <w:ind w:left="100" w:right="99"/>
              <w:jc w:val="both"/>
              <w:rPr>
                <w:sz w:val="22"/>
              </w:rPr>
            </w:pPr>
            <w:r>
              <w:rPr>
                <w:sz w:val="22"/>
              </w:rPr>
              <w:t>Su esposo es integrante de una</w:t>
            </w:r>
          </w:p>
          <w:p>
            <w:pPr>
              <w:pStyle w:val="TableParagraph"/>
              <w:tabs>
                <w:tab w:pos="1485" w:val="left" w:leader="none"/>
              </w:tabs>
              <w:ind w:left="100" w:right="99"/>
              <w:jc w:val="both"/>
              <w:rPr>
                <w:sz w:val="22"/>
              </w:rPr>
            </w:pPr>
            <w:r>
              <w:rPr>
                <w:sz w:val="22"/>
              </w:rPr>
              <w:t>cooperativa, pero</w:t>
              <w:tab/>
              <w:t>no</w:t>
            </w:r>
          </w:p>
          <w:p>
            <w:pPr>
              <w:pStyle w:val="TableParagraph"/>
              <w:ind w:left="100" w:right="99"/>
              <w:jc w:val="both"/>
              <w:rPr>
                <w:sz w:val="22"/>
              </w:rPr>
            </w:pPr>
            <w:r>
              <w:rPr>
                <w:sz w:val="22"/>
              </w:rPr>
              <w:t>recuerdo el nombre, ni el número de integrantes.</w:t>
            </w:r>
          </w:p>
        </w:tc>
        <w:tc>
          <w:tcPr>
            <w:tcW w:w="1135" w:type="dxa"/>
          </w:tcPr>
          <w:p>
            <w:pPr>
              <w:pStyle w:val="TableParagraph"/>
              <w:spacing w:line="252" w:lineRule="exact" w:before="2"/>
              <w:ind w:right="134"/>
              <w:rPr>
                <w:sz w:val="22"/>
              </w:rPr>
            </w:pPr>
            <w:r>
              <w:rPr>
                <w:sz w:val="22"/>
              </w:rPr>
              <w:t>Integrant e</w:t>
            </w:r>
          </w:p>
        </w:tc>
        <w:tc>
          <w:tcPr>
            <w:tcW w:w="991" w:type="dxa"/>
          </w:tcPr>
          <w:p>
            <w:pPr>
              <w:pStyle w:val="TableParagraph"/>
              <w:spacing w:line="252" w:lineRule="exact" w:before="2"/>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1702" w:type="dxa"/>
          </w:tcPr>
          <w:p>
            <w:pPr>
              <w:pStyle w:val="TableParagraph"/>
              <w:spacing w:line="251" w:lineRule="exact"/>
              <w:rPr>
                <w:sz w:val="22"/>
              </w:rPr>
            </w:pPr>
            <w:r>
              <w:rPr>
                <w:sz w:val="22"/>
              </w:rPr>
              <w:t>No sé.</w:t>
            </w:r>
          </w:p>
        </w:tc>
        <w:tc>
          <w:tcPr>
            <w:tcW w:w="1985" w:type="dxa"/>
          </w:tcPr>
          <w:p>
            <w:pPr>
              <w:pStyle w:val="TableParagraph"/>
              <w:ind w:right="99"/>
              <w:jc w:val="both"/>
              <w:rPr>
                <w:sz w:val="22"/>
              </w:rPr>
            </w:pPr>
            <w:r>
              <w:rPr>
                <w:sz w:val="22"/>
              </w:rPr>
              <w:t>Sí porque así se conservarían las especies de la laguna.</w:t>
            </w:r>
          </w:p>
        </w:tc>
      </w:tr>
      <w:tr>
        <w:trPr>
          <w:trHeight w:val="1022" w:hRule="exact"/>
        </w:trPr>
        <w:tc>
          <w:tcPr>
            <w:tcW w:w="1385" w:type="dxa"/>
          </w:tcPr>
          <w:p>
            <w:pPr>
              <w:pStyle w:val="TableParagraph"/>
              <w:ind w:right="188"/>
              <w:rPr>
                <w:sz w:val="22"/>
              </w:rPr>
            </w:pPr>
            <w:r>
              <w:rPr>
                <w:sz w:val="22"/>
              </w:rPr>
              <w:t>Agustín Santiago Valentín (31/I/2015)</w:t>
            </w:r>
          </w:p>
        </w:tc>
        <w:tc>
          <w:tcPr>
            <w:tcW w:w="1418" w:type="dxa"/>
          </w:tcPr>
          <w:p>
            <w:pPr>
              <w:pStyle w:val="TableParagraph"/>
              <w:spacing w:line="242" w:lineRule="auto"/>
              <w:ind w:left="292" w:right="145" w:hanging="137"/>
              <w:rPr>
                <w:sz w:val="22"/>
              </w:rPr>
            </w:pPr>
            <w:r>
              <w:rPr>
                <w:sz w:val="22"/>
              </w:rPr>
              <w:t>El campo y la pesca</w:t>
            </w:r>
          </w:p>
        </w:tc>
        <w:tc>
          <w:tcPr>
            <w:tcW w:w="1841" w:type="dxa"/>
            <w:gridSpan w:val="2"/>
          </w:tcPr>
          <w:p>
            <w:pPr>
              <w:pStyle w:val="TableParagraph"/>
              <w:spacing w:line="251" w:lineRule="exact"/>
              <w:ind w:left="100"/>
              <w:rPr>
                <w:sz w:val="22"/>
              </w:rPr>
            </w:pPr>
            <w:r>
              <w:rPr>
                <w:sz w:val="22"/>
              </w:rPr>
              <w:t>Cooperativa</w:t>
            </w:r>
          </w:p>
          <w:p>
            <w:pPr>
              <w:pStyle w:val="TableParagraph"/>
              <w:spacing w:before="1"/>
              <w:ind w:left="100"/>
              <w:rPr>
                <w:sz w:val="22"/>
              </w:rPr>
            </w:pPr>
            <w:r>
              <w:rPr>
                <w:sz w:val="22"/>
              </w:rPr>
              <w:t>“Pescarenas”</w:t>
            </w:r>
          </w:p>
        </w:tc>
        <w:tc>
          <w:tcPr>
            <w:tcW w:w="1135" w:type="dxa"/>
          </w:tcPr>
          <w:p>
            <w:pPr>
              <w:pStyle w:val="TableParagraph"/>
              <w:spacing w:line="242" w:lineRule="auto"/>
              <w:ind w:right="134"/>
              <w:rPr>
                <w:sz w:val="22"/>
              </w:rPr>
            </w:pPr>
            <w:r>
              <w:rPr>
                <w:sz w:val="22"/>
              </w:rPr>
              <w:t>Integrant e</w:t>
            </w:r>
          </w:p>
        </w:tc>
        <w:tc>
          <w:tcPr>
            <w:tcW w:w="991" w:type="dxa"/>
          </w:tcPr>
          <w:p>
            <w:pPr>
              <w:pStyle w:val="TableParagraph"/>
              <w:spacing w:line="242" w:lineRule="auto"/>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1702" w:type="dxa"/>
          </w:tcPr>
          <w:p>
            <w:pPr>
              <w:pStyle w:val="TableParagraph"/>
              <w:spacing w:line="251" w:lineRule="exact"/>
              <w:rPr>
                <w:sz w:val="22"/>
              </w:rPr>
            </w:pPr>
            <w:r>
              <w:rPr>
                <w:sz w:val="22"/>
              </w:rPr>
              <w:t>No sé.</w:t>
            </w:r>
          </w:p>
        </w:tc>
        <w:tc>
          <w:tcPr>
            <w:tcW w:w="1985" w:type="dxa"/>
          </w:tcPr>
          <w:p>
            <w:pPr>
              <w:pStyle w:val="TableParagraph"/>
              <w:ind w:right="99"/>
              <w:jc w:val="both"/>
              <w:rPr>
                <w:sz w:val="22"/>
              </w:rPr>
            </w:pPr>
            <w:r>
              <w:rPr>
                <w:sz w:val="22"/>
              </w:rPr>
              <w:t>No porque si hay reglas ya no hay libertad para pescar.</w:t>
            </w:r>
          </w:p>
        </w:tc>
      </w:tr>
      <w:tr>
        <w:trPr>
          <w:trHeight w:val="266" w:hRule="exact"/>
        </w:trPr>
        <w:tc>
          <w:tcPr>
            <w:tcW w:w="1385" w:type="dxa"/>
            <w:tcBorders>
              <w:bottom w:val="nil"/>
            </w:tcBorders>
          </w:tcPr>
          <w:p>
            <w:pPr>
              <w:pStyle w:val="TableParagraph"/>
              <w:spacing w:line="251" w:lineRule="exact"/>
              <w:rPr>
                <w:sz w:val="22"/>
              </w:rPr>
            </w:pPr>
            <w:r>
              <w:rPr>
                <w:sz w:val="22"/>
              </w:rPr>
              <w:t>Felix  Rivas</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377" w:type="dxa"/>
            <w:tcBorders>
              <w:bottom w:val="nil"/>
              <w:right w:val="nil"/>
            </w:tcBorders>
          </w:tcPr>
          <w:p>
            <w:pPr>
              <w:pStyle w:val="TableParagraph"/>
              <w:spacing w:line="251" w:lineRule="exact"/>
              <w:ind w:left="100"/>
              <w:rPr>
                <w:sz w:val="22"/>
              </w:rPr>
            </w:pPr>
            <w:r>
              <w:rPr>
                <w:sz w:val="22"/>
              </w:rPr>
              <w:t>Cooperativa</w:t>
            </w:r>
          </w:p>
        </w:tc>
        <w:tc>
          <w:tcPr>
            <w:tcW w:w="464" w:type="dxa"/>
            <w:tcBorders>
              <w:left w:val="nil"/>
              <w:bottom w:val="nil"/>
            </w:tcBorders>
          </w:tcPr>
          <w:p>
            <w:pPr>
              <w:pStyle w:val="TableParagraph"/>
              <w:spacing w:line="251" w:lineRule="exact"/>
              <w:ind w:left="67" w:right="82"/>
              <w:jc w:val="center"/>
              <w:rPr>
                <w:sz w:val="22"/>
              </w:rPr>
            </w:pPr>
            <w:r>
              <w:rPr>
                <w:sz w:val="22"/>
              </w:rPr>
              <w:t>“El</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Pues</w:t>
            </w:r>
          </w:p>
        </w:tc>
        <w:tc>
          <w:tcPr>
            <w:tcW w:w="1985" w:type="dxa"/>
            <w:tcBorders>
              <w:bottom w:val="nil"/>
            </w:tcBorders>
          </w:tcPr>
          <w:p>
            <w:pPr>
              <w:pStyle w:val="TableParagraph"/>
              <w:spacing w:line="251" w:lineRule="exact"/>
              <w:rPr>
                <w:sz w:val="22"/>
              </w:rPr>
            </w:pPr>
            <w:r>
              <w:rPr>
                <w:sz w:val="22"/>
              </w:rPr>
              <w:t>Sí debe haber  un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Huitrón</w:t>
            </w:r>
          </w:p>
        </w:tc>
        <w:tc>
          <w:tcPr>
            <w:tcW w:w="1418" w:type="dxa"/>
            <w:tcBorders>
              <w:top w:val="nil"/>
              <w:bottom w:val="nil"/>
            </w:tcBorders>
          </w:tcPr>
          <w:p>
            <w:pPr>
              <w:pStyle w:val="TableParagraph"/>
              <w:spacing w:line="241" w:lineRule="exact"/>
              <w:ind w:left="102" w:right="102"/>
              <w:jc w:val="center"/>
              <w:rPr>
                <w:sz w:val="22"/>
              </w:rPr>
            </w:pPr>
            <w:r>
              <w:rPr>
                <w:sz w:val="22"/>
              </w:rPr>
              <w:t>la pesca</w:t>
            </w:r>
          </w:p>
        </w:tc>
        <w:tc>
          <w:tcPr>
            <w:tcW w:w="1377" w:type="dxa"/>
            <w:tcBorders>
              <w:top w:val="nil"/>
              <w:bottom w:val="nil"/>
              <w:right w:val="nil"/>
            </w:tcBorders>
          </w:tcPr>
          <w:p>
            <w:pPr>
              <w:pStyle w:val="TableParagraph"/>
              <w:spacing w:line="241" w:lineRule="exact"/>
              <w:ind w:left="100"/>
              <w:rPr>
                <w:sz w:val="22"/>
              </w:rPr>
            </w:pPr>
            <w:r>
              <w:rPr>
                <w:sz w:val="22"/>
              </w:rPr>
              <w:t>Tezontle”</w:t>
            </w:r>
          </w:p>
        </w:tc>
        <w:tc>
          <w:tcPr>
            <w:tcW w:w="464" w:type="dxa"/>
            <w:tcBorders>
              <w:top w:val="nil"/>
              <w:left w:val="nil"/>
              <w:bottom w:val="nil"/>
            </w:tcBorders>
          </w:tcPr>
          <w:p>
            <w:pPr>
              <w:pStyle w:val="TableParagraph"/>
              <w:spacing w:line="241" w:lineRule="exact"/>
              <w:ind w:left="67" w:right="9"/>
              <w:jc w:val="center"/>
              <w:rPr>
                <w:sz w:val="22"/>
              </w:rPr>
            </w:pPr>
            <w:r>
              <w:rPr>
                <w:sz w:val="22"/>
              </w:rPr>
              <w:t>(5</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spacing w:line="241" w:lineRule="exact"/>
              <w:rPr>
                <w:sz w:val="22"/>
              </w:rPr>
            </w:pPr>
            <w:r>
              <w:rPr>
                <w:sz w:val="22"/>
              </w:rPr>
              <w:t>últimamente</w:t>
            </w:r>
          </w:p>
        </w:tc>
        <w:tc>
          <w:tcPr>
            <w:tcW w:w="1985" w:type="dxa"/>
            <w:tcBorders>
              <w:top w:val="nil"/>
              <w:bottom w:val="nil"/>
            </w:tcBorders>
          </w:tcPr>
          <w:p>
            <w:pPr>
              <w:pStyle w:val="TableParagraph"/>
              <w:tabs>
                <w:tab w:pos="1036" w:val="left" w:leader="none"/>
                <w:tab w:pos="1640" w:val="left" w:leader="none"/>
              </w:tabs>
              <w:spacing w:line="241" w:lineRule="exact"/>
              <w:rPr>
                <w:sz w:val="22"/>
              </w:rPr>
            </w:pPr>
            <w:r>
              <w:rPr>
                <w:sz w:val="22"/>
              </w:rPr>
              <w:t>Comité</w:t>
              <w:tab/>
              <w:t>que</w:t>
              <w:tab/>
              <w:t>se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(7/II/2015)</w:t>
            </w:r>
          </w:p>
        </w:tc>
        <w:tc>
          <w:tcPr>
            <w:tcW w:w="1418" w:type="dxa"/>
            <w:tcBorders>
              <w:top w:val="nil"/>
              <w:bottom w:val="nil"/>
            </w:tcBorders>
          </w:tcPr>
          <w:p>
            <w:pPr/>
          </w:p>
        </w:tc>
        <w:tc>
          <w:tcPr>
            <w:tcW w:w="1377" w:type="dxa"/>
            <w:tcBorders>
              <w:top w:val="nil"/>
              <w:bottom w:val="nil"/>
              <w:right w:val="nil"/>
            </w:tcBorders>
          </w:tcPr>
          <w:p>
            <w:pPr>
              <w:pStyle w:val="TableParagraph"/>
              <w:spacing w:line="242" w:lineRule="exact"/>
              <w:ind w:left="100"/>
              <w:rPr>
                <w:sz w:val="22"/>
              </w:rPr>
            </w:pPr>
            <w:r>
              <w:rPr>
                <w:sz w:val="22"/>
              </w:rPr>
              <w:t>integrantes)</w:t>
            </w:r>
          </w:p>
        </w:tc>
        <w:tc>
          <w:tcPr>
            <w:tcW w:w="464"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spacing w:line="242" w:lineRule="exact"/>
              <w:rPr>
                <w:sz w:val="22"/>
              </w:rPr>
            </w:pPr>
            <w:r>
              <w:rPr>
                <w:sz w:val="22"/>
              </w:rPr>
              <w:t>nada,  pero los</w:t>
            </w:r>
          </w:p>
        </w:tc>
        <w:tc>
          <w:tcPr>
            <w:tcW w:w="1985" w:type="dxa"/>
            <w:tcBorders>
              <w:top w:val="nil"/>
              <w:bottom w:val="nil"/>
            </w:tcBorders>
          </w:tcPr>
          <w:p>
            <w:pPr>
              <w:pStyle w:val="TableParagraph"/>
              <w:tabs>
                <w:tab w:pos="1302" w:val="left" w:leader="none"/>
                <w:tab w:pos="1703" w:val="left" w:leader="none"/>
              </w:tabs>
              <w:spacing w:line="242" w:lineRule="exact"/>
              <w:rPr>
                <w:sz w:val="22"/>
              </w:rPr>
            </w:pPr>
            <w:r>
              <w:rPr>
                <w:sz w:val="22"/>
              </w:rPr>
              <w:t>encargue</w:t>
              <w:tab/>
              <w:t>o</w:t>
              <w:tab/>
              <w:t>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77" w:type="dxa"/>
            <w:tcBorders>
              <w:top w:val="nil"/>
              <w:bottom w:val="nil"/>
              <w:right w:val="nil"/>
            </w:tcBorders>
          </w:tcPr>
          <w:p>
            <w:pPr/>
          </w:p>
        </w:tc>
        <w:tc>
          <w:tcPr>
            <w:tcW w:w="464"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Pr>
                <w:sz w:val="22"/>
              </w:rPr>
            </w:pPr>
            <w:r>
              <w:rPr>
                <w:w w:val="100"/>
                <w:sz w:val="22"/>
              </w:rPr>
              <w:t>.</w:t>
            </w:r>
          </w:p>
        </w:tc>
        <w:tc>
          <w:tcPr>
            <w:tcW w:w="1702" w:type="dxa"/>
            <w:tcBorders>
              <w:top w:val="nil"/>
              <w:bottom w:val="nil"/>
            </w:tcBorders>
          </w:tcPr>
          <w:p>
            <w:pPr>
              <w:pStyle w:val="TableParagraph"/>
              <w:tabs>
                <w:tab w:pos="1357" w:val="left" w:leader="none"/>
              </w:tabs>
              <w:spacing w:line="241" w:lineRule="exact"/>
              <w:rPr>
                <w:sz w:val="22"/>
              </w:rPr>
            </w:pPr>
            <w:r>
              <w:rPr>
                <w:sz w:val="22"/>
              </w:rPr>
              <w:t>salientes</w:t>
              <w:tab/>
              <w:t>sí,</w:t>
            </w:r>
          </w:p>
        </w:tc>
        <w:tc>
          <w:tcPr>
            <w:tcW w:w="1985" w:type="dxa"/>
            <w:tcBorders>
              <w:top w:val="nil"/>
              <w:bottom w:val="nil"/>
            </w:tcBorders>
          </w:tcPr>
          <w:p>
            <w:pPr>
              <w:pStyle w:val="TableParagraph"/>
              <w:tabs>
                <w:tab w:pos="1504" w:val="left" w:leader="none"/>
              </w:tabs>
              <w:spacing w:line="241" w:lineRule="exact"/>
              <w:rPr>
                <w:sz w:val="22"/>
              </w:rPr>
            </w:pPr>
            <w:r>
              <w:rPr>
                <w:sz w:val="22"/>
              </w:rPr>
              <w:t>municipio</w:t>
              <w:tab/>
              <w:t>que</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377" w:type="dxa"/>
            <w:tcBorders>
              <w:top w:val="nil"/>
              <w:bottom w:val="nil"/>
              <w:right w:val="nil"/>
            </w:tcBorders>
          </w:tcPr>
          <w:p>
            <w:pPr/>
          </w:p>
        </w:tc>
        <w:tc>
          <w:tcPr>
            <w:tcW w:w="464"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62" w:val="left" w:leader="none"/>
                <w:tab w:pos="1468" w:val="left" w:leader="none"/>
              </w:tabs>
              <w:spacing w:line="242" w:lineRule="exact"/>
              <w:rPr>
                <w:sz w:val="22"/>
              </w:rPr>
            </w:pPr>
            <w:r>
              <w:rPr>
                <w:sz w:val="22"/>
              </w:rPr>
              <w:t>que</w:t>
              <w:tab/>
              <w:t>iban</w:t>
              <w:tab/>
              <w:t>a</w:t>
            </w:r>
          </w:p>
        </w:tc>
        <w:tc>
          <w:tcPr>
            <w:tcW w:w="1985" w:type="dxa"/>
            <w:tcBorders>
              <w:top w:val="nil"/>
              <w:bottom w:val="nil"/>
            </w:tcBorders>
          </w:tcPr>
          <w:p>
            <w:pPr>
              <w:pStyle w:val="TableParagraph"/>
              <w:spacing w:line="242" w:lineRule="exact"/>
              <w:rPr>
                <w:sz w:val="22"/>
              </w:rPr>
            </w:pPr>
            <w:r>
              <w:rPr>
                <w:sz w:val="22"/>
              </w:rPr>
              <w:t>diera  sus</w:t>
            </w:r>
            <w:r>
              <w:rPr>
                <w:spacing w:val="55"/>
                <w:sz w:val="22"/>
              </w:rPr>
              <w:t> </w:t>
            </w:r>
            <w:r>
              <w:rPr>
                <w:sz w:val="22"/>
              </w:rPr>
              <w:t>vueltas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377" w:type="dxa"/>
            <w:tcBorders>
              <w:top w:val="nil"/>
              <w:bottom w:val="nil"/>
              <w:right w:val="nil"/>
            </w:tcBorders>
          </w:tcPr>
          <w:p>
            <w:pPr/>
          </w:p>
        </w:tc>
        <w:tc>
          <w:tcPr>
            <w:tcW w:w="464"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checar que</w:t>
            </w:r>
            <w:r>
              <w:rPr>
                <w:spacing w:val="53"/>
                <w:sz w:val="22"/>
              </w:rPr>
              <w:t> </w:t>
            </w:r>
            <w:r>
              <w:rPr>
                <w:sz w:val="22"/>
              </w:rPr>
              <w:t>los</w:t>
            </w:r>
          </w:p>
        </w:tc>
        <w:tc>
          <w:tcPr>
            <w:tcW w:w="1985" w:type="dxa"/>
            <w:tcBorders>
              <w:top w:val="nil"/>
              <w:bottom w:val="nil"/>
            </w:tcBorders>
          </w:tcPr>
          <w:p>
            <w:pPr>
              <w:pStyle w:val="TableParagraph"/>
              <w:spacing w:line="241" w:lineRule="exact"/>
              <w:rPr>
                <w:sz w:val="22"/>
              </w:rPr>
            </w:pPr>
            <w:r>
              <w:rPr>
                <w:sz w:val="22"/>
              </w:rPr>
              <w:t>para ver qué</w:t>
            </w:r>
            <w:r>
              <w:rPr>
                <w:spacing w:val="53"/>
                <w:sz w:val="22"/>
              </w:rPr>
              <w:t> </w:t>
            </w:r>
            <w:r>
              <w:rPr>
                <w:sz w:val="22"/>
              </w:rPr>
              <w:t>está</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77" w:type="dxa"/>
            <w:tcBorders>
              <w:top w:val="nil"/>
              <w:bottom w:val="nil"/>
              <w:right w:val="nil"/>
            </w:tcBorders>
          </w:tcPr>
          <w:p>
            <w:pPr/>
          </w:p>
        </w:tc>
        <w:tc>
          <w:tcPr>
            <w:tcW w:w="464"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drenajes no se</w:t>
            </w:r>
          </w:p>
        </w:tc>
        <w:tc>
          <w:tcPr>
            <w:tcW w:w="1985" w:type="dxa"/>
            <w:tcBorders>
              <w:top w:val="nil"/>
              <w:bottom w:val="nil"/>
            </w:tcBorders>
          </w:tcPr>
          <w:p>
            <w:pPr>
              <w:pStyle w:val="TableParagraph"/>
              <w:tabs>
                <w:tab w:pos="1187" w:val="left" w:leader="none"/>
              </w:tabs>
              <w:spacing w:line="241" w:lineRule="exact"/>
              <w:rPr>
                <w:sz w:val="22"/>
              </w:rPr>
            </w:pPr>
            <w:r>
              <w:rPr>
                <w:sz w:val="22"/>
              </w:rPr>
              <w:t>pasando</w:t>
              <w:tab/>
              <w:t>porque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77" w:type="dxa"/>
            <w:tcBorders>
              <w:top w:val="nil"/>
              <w:bottom w:val="nil"/>
              <w:right w:val="nil"/>
            </w:tcBorders>
          </w:tcPr>
          <w:p>
            <w:pPr/>
          </w:p>
        </w:tc>
        <w:tc>
          <w:tcPr>
            <w:tcW w:w="464"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descarguen en</w:t>
            </w:r>
          </w:p>
        </w:tc>
        <w:tc>
          <w:tcPr>
            <w:tcW w:w="1985" w:type="dxa"/>
            <w:tcBorders>
              <w:top w:val="nil"/>
              <w:bottom w:val="nil"/>
            </w:tcBorders>
          </w:tcPr>
          <w:p>
            <w:pPr>
              <w:pStyle w:val="TableParagraph"/>
              <w:spacing w:line="242" w:lineRule="exact"/>
              <w:rPr>
                <w:sz w:val="22"/>
              </w:rPr>
            </w:pPr>
            <w:r>
              <w:rPr>
                <w:sz w:val="22"/>
              </w:rPr>
              <w:t>semos  gente 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77" w:type="dxa"/>
            <w:tcBorders>
              <w:top w:val="nil"/>
              <w:bottom w:val="nil"/>
              <w:right w:val="nil"/>
            </w:tcBorders>
          </w:tcPr>
          <w:p>
            <w:pPr/>
          </w:p>
        </w:tc>
        <w:tc>
          <w:tcPr>
            <w:tcW w:w="464"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la laguna.</w:t>
            </w:r>
          </w:p>
        </w:tc>
        <w:tc>
          <w:tcPr>
            <w:tcW w:w="1985" w:type="dxa"/>
            <w:tcBorders>
              <w:top w:val="nil"/>
              <w:bottom w:val="nil"/>
            </w:tcBorders>
          </w:tcPr>
          <w:p>
            <w:pPr>
              <w:pStyle w:val="TableParagraph"/>
              <w:spacing w:line="241" w:lineRule="exact"/>
              <w:rPr>
                <w:sz w:val="22"/>
              </w:rPr>
            </w:pPr>
            <w:r>
              <w:rPr>
                <w:sz w:val="22"/>
              </w:rPr>
              <w:t>hacemos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377" w:type="dxa"/>
            <w:tcBorders>
              <w:top w:val="nil"/>
              <w:bottom w:val="nil"/>
              <w:right w:val="nil"/>
            </w:tcBorders>
          </w:tcPr>
          <w:p>
            <w:pPr/>
          </w:p>
        </w:tc>
        <w:tc>
          <w:tcPr>
            <w:tcW w:w="464" w:type="dxa"/>
            <w:tcBorders>
              <w:top w:val="nil"/>
              <w:left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desorden  y  si no</w:t>
            </w:r>
          </w:p>
        </w:tc>
      </w:tr>
      <w:tr>
        <w:trPr>
          <w:trHeight w:val="250" w:hRule="exact"/>
        </w:trPr>
        <w:tc>
          <w:tcPr>
            <w:tcW w:w="1385" w:type="dxa"/>
            <w:tcBorders>
              <w:top w:val="nil"/>
            </w:tcBorders>
          </w:tcPr>
          <w:p>
            <w:pPr/>
          </w:p>
        </w:tc>
        <w:tc>
          <w:tcPr>
            <w:tcW w:w="1418" w:type="dxa"/>
            <w:tcBorders>
              <w:top w:val="nil"/>
            </w:tcBorders>
          </w:tcPr>
          <w:p>
            <w:pPr/>
          </w:p>
        </w:tc>
        <w:tc>
          <w:tcPr>
            <w:tcW w:w="1377" w:type="dxa"/>
            <w:tcBorders>
              <w:top w:val="nil"/>
              <w:right w:val="nil"/>
            </w:tcBorders>
          </w:tcPr>
          <w:p>
            <w:pPr/>
          </w:p>
        </w:tc>
        <w:tc>
          <w:tcPr>
            <w:tcW w:w="464" w:type="dxa"/>
            <w:tcBorders>
              <w:top w:val="nil"/>
              <w:left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cuidamos</w:t>
            </w:r>
          </w:p>
        </w:tc>
      </w:tr>
    </w:tbl>
    <w:p>
      <w:pPr>
        <w:spacing w:after="0" w:line="24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1274"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
        </w:tc>
        <w:tc>
          <w:tcPr>
            <w:tcW w:w="1985" w:type="dxa"/>
          </w:tcPr>
          <w:p>
            <w:pPr>
              <w:pStyle w:val="TableParagraph"/>
              <w:ind w:right="99"/>
              <w:jc w:val="both"/>
              <w:rPr>
                <w:sz w:val="22"/>
              </w:rPr>
            </w:pPr>
            <w:r>
              <w:rPr>
                <w:sz w:val="22"/>
              </w:rPr>
              <w:t>nuestras riquezas naturales, quién las va a cuidar, al rato ya no va a servir el agua.</w:t>
            </w:r>
          </w:p>
        </w:tc>
      </w:tr>
      <w:tr>
        <w:trPr>
          <w:trHeight w:val="2540" w:hRule="exact"/>
        </w:trPr>
        <w:tc>
          <w:tcPr>
            <w:tcW w:w="1385" w:type="dxa"/>
          </w:tcPr>
          <w:p>
            <w:pPr>
              <w:pStyle w:val="TableParagraph"/>
              <w:ind w:right="176"/>
              <w:rPr>
                <w:sz w:val="22"/>
              </w:rPr>
            </w:pPr>
            <w:r>
              <w:rPr>
                <w:sz w:val="22"/>
              </w:rPr>
              <w:t>Emigdio Rodríguez Hernández (7/II/2015)</w:t>
            </w:r>
          </w:p>
        </w:tc>
        <w:tc>
          <w:tcPr>
            <w:tcW w:w="1418" w:type="dxa"/>
          </w:tcPr>
          <w:p>
            <w:pPr>
              <w:pStyle w:val="TableParagraph"/>
              <w:spacing w:line="242" w:lineRule="auto"/>
              <w:ind w:left="163" w:right="133" w:hanging="20"/>
              <w:rPr>
                <w:sz w:val="22"/>
              </w:rPr>
            </w:pPr>
            <w:r>
              <w:rPr>
                <w:sz w:val="22"/>
              </w:rPr>
              <w:t>Campesino y pescador</w:t>
            </w:r>
          </w:p>
        </w:tc>
        <w:tc>
          <w:tcPr>
            <w:tcW w:w="1841" w:type="dxa"/>
          </w:tcPr>
          <w:p>
            <w:pPr>
              <w:pStyle w:val="TableParagraph"/>
              <w:ind w:left="100" w:right="99"/>
              <w:jc w:val="both"/>
              <w:rPr>
                <w:sz w:val="22"/>
              </w:rPr>
            </w:pPr>
            <w:r>
              <w:rPr>
                <w:sz w:val="22"/>
              </w:rPr>
              <w:t>Cooperativa “El Rinconcito” (13 integrantes)</w:t>
            </w:r>
          </w:p>
        </w:tc>
        <w:tc>
          <w:tcPr>
            <w:tcW w:w="1135" w:type="dxa"/>
          </w:tcPr>
          <w:p>
            <w:pPr>
              <w:pStyle w:val="TableParagraph"/>
              <w:spacing w:line="242" w:lineRule="auto"/>
              <w:ind w:right="134"/>
              <w:rPr>
                <w:sz w:val="22"/>
              </w:rPr>
            </w:pPr>
            <w:r>
              <w:rPr>
                <w:sz w:val="22"/>
              </w:rPr>
              <w:t>Presiden te</w:t>
            </w:r>
          </w:p>
        </w:tc>
        <w:tc>
          <w:tcPr>
            <w:tcW w:w="991" w:type="dxa"/>
          </w:tcPr>
          <w:p>
            <w:pPr>
              <w:pStyle w:val="TableParagraph"/>
              <w:spacing w:line="242" w:lineRule="auto"/>
              <w:ind w:left="100" w:right="103"/>
              <w:rPr>
                <w:sz w:val="22"/>
              </w:rPr>
            </w:pPr>
            <w:r>
              <w:rPr>
                <w:sz w:val="22"/>
              </w:rPr>
              <w:t>Jilotepe c</w:t>
            </w:r>
          </w:p>
        </w:tc>
        <w:tc>
          <w:tcPr>
            <w:tcW w:w="1277" w:type="dxa"/>
          </w:tcPr>
          <w:p>
            <w:pPr>
              <w:pStyle w:val="TableParagraph"/>
              <w:ind w:right="276"/>
              <w:rPr>
                <w:sz w:val="22"/>
              </w:rPr>
            </w:pPr>
            <w:r>
              <w:rPr>
                <w:sz w:val="22"/>
              </w:rPr>
              <w:t>Aldama (El Trojillo), Jilotepec</w:t>
            </w:r>
          </w:p>
        </w:tc>
        <w:tc>
          <w:tcPr>
            <w:tcW w:w="1133" w:type="dxa"/>
          </w:tcPr>
          <w:p>
            <w:pPr>
              <w:pStyle w:val="TableParagraph"/>
              <w:ind w:left="100" w:right="134"/>
              <w:rPr>
                <w:sz w:val="22"/>
              </w:rPr>
            </w:pPr>
            <w:r>
              <w:rPr>
                <w:sz w:val="22"/>
              </w:rPr>
              <w:t>Aldama (El Trojillo), Jilotepec</w:t>
            </w:r>
          </w:p>
        </w:tc>
        <w:tc>
          <w:tcPr>
            <w:tcW w:w="1702" w:type="dxa"/>
          </w:tcPr>
          <w:p>
            <w:pPr>
              <w:pStyle w:val="TableParagraph"/>
              <w:ind w:right="98"/>
              <w:jc w:val="both"/>
              <w:rPr>
                <w:sz w:val="22"/>
              </w:rPr>
            </w:pPr>
            <w:r>
              <w:rPr>
                <w:sz w:val="22"/>
              </w:rPr>
              <w:t>Nada, no hace nada, y menos el de Jilo, cuando había reuniones sólo iban los de Acambay y San Andrés, Timilpan.</w:t>
            </w:r>
          </w:p>
        </w:tc>
        <w:tc>
          <w:tcPr>
            <w:tcW w:w="1985" w:type="dxa"/>
          </w:tcPr>
          <w:p>
            <w:pPr>
              <w:pStyle w:val="TableParagraph"/>
              <w:ind w:right="99"/>
              <w:jc w:val="both"/>
              <w:rPr>
                <w:sz w:val="22"/>
              </w:rPr>
            </w:pPr>
            <w:r>
              <w:rPr>
                <w:sz w:val="22"/>
              </w:rPr>
              <w:t>Sí porque llega mucha gente y en semana santa la gente tira mucha basura y los que no pescan se les muere un  animal y lo tiran en la orilla de  la laguna.</w:t>
            </w:r>
          </w:p>
        </w:tc>
      </w:tr>
      <w:tr>
        <w:trPr>
          <w:trHeight w:val="267" w:hRule="exact"/>
        </w:trPr>
        <w:tc>
          <w:tcPr>
            <w:tcW w:w="1385" w:type="dxa"/>
            <w:tcBorders>
              <w:bottom w:val="nil"/>
            </w:tcBorders>
          </w:tcPr>
          <w:p>
            <w:pPr>
              <w:pStyle w:val="TableParagraph"/>
              <w:spacing w:line="251" w:lineRule="exact"/>
              <w:ind w:right="127"/>
              <w:rPr>
                <w:sz w:val="22"/>
              </w:rPr>
            </w:pPr>
            <w:r>
              <w:rPr>
                <w:sz w:val="22"/>
              </w:rPr>
              <w:t>José</w:t>
            </w:r>
          </w:p>
        </w:tc>
        <w:tc>
          <w:tcPr>
            <w:tcW w:w="1418" w:type="dxa"/>
            <w:tcBorders>
              <w:bottom w:val="nil"/>
            </w:tcBorders>
          </w:tcPr>
          <w:p>
            <w:pPr>
              <w:pStyle w:val="TableParagraph"/>
              <w:spacing w:line="251" w:lineRule="exact"/>
              <w:ind w:left="101" w:right="104"/>
              <w:jc w:val="center"/>
              <w:rPr>
                <w:sz w:val="22"/>
              </w:rPr>
            </w:pPr>
            <w:r>
              <w:rPr>
                <w:sz w:val="22"/>
              </w:rPr>
              <w:t>La pesca y</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spacing w:line="251" w:lineRule="exact"/>
              <w:rPr>
                <w:sz w:val="22"/>
              </w:rPr>
            </w:pPr>
            <w:r>
              <w:rPr>
                <w:sz w:val="22"/>
              </w:rPr>
              <w:t>Lo   único  que</w:t>
            </w:r>
          </w:p>
        </w:tc>
        <w:tc>
          <w:tcPr>
            <w:tcW w:w="1985" w:type="dxa"/>
            <w:tcBorders>
              <w:bottom w:val="nil"/>
            </w:tcBorders>
          </w:tcPr>
          <w:p>
            <w:pPr>
              <w:pStyle w:val="TableParagraph"/>
              <w:tabs>
                <w:tab w:pos="1703" w:val="left" w:leader="none"/>
              </w:tabs>
              <w:spacing w:line="251" w:lineRule="exact"/>
              <w:rPr>
                <w:sz w:val="22"/>
              </w:rPr>
            </w:pPr>
            <w:r>
              <w:rPr>
                <w:sz w:val="22"/>
              </w:rPr>
              <w:t>Siempre</w:t>
              <w:tab/>
              <w:t>lo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Valencia</w:t>
            </w:r>
          </w:p>
        </w:tc>
        <w:tc>
          <w:tcPr>
            <w:tcW w:w="1418" w:type="dxa"/>
            <w:tcBorders>
              <w:top w:val="nil"/>
              <w:bottom w:val="nil"/>
            </w:tcBorders>
          </w:tcPr>
          <w:p>
            <w:pPr>
              <w:pStyle w:val="TableParagraph"/>
              <w:spacing w:line="242" w:lineRule="exact"/>
              <w:ind w:left="102" w:right="104"/>
              <w:jc w:val="center"/>
              <w:rPr>
                <w:sz w:val="22"/>
              </w:rPr>
            </w:pPr>
            <w:r>
              <w:rPr>
                <w:sz w:val="22"/>
              </w:rPr>
              <w:t>el comercio</w:t>
            </w:r>
          </w:p>
        </w:tc>
        <w:tc>
          <w:tcPr>
            <w:tcW w:w="1841" w:type="dxa"/>
            <w:tcBorders>
              <w:top w:val="nil"/>
              <w:bottom w:val="nil"/>
            </w:tcBorders>
          </w:tcPr>
          <w:p>
            <w:pPr>
              <w:pStyle w:val="TableParagraph"/>
              <w:spacing w:line="242" w:lineRule="exact"/>
              <w:ind w:left="100"/>
              <w:rPr>
                <w:sz w:val="22"/>
              </w:rPr>
            </w:pPr>
            <w:r>
              <w:rPr>
                <w:sz w:val="22"/>
              </w:rPr>
              <w:t>“Pescarenas</w:t>
            </w:r>
          </w:p>
        </w:tc>
        <w:tc>
          <w:tcPr>
            <w:tcW w:w="1135" w:type="dxa"/>
            <w:tcBorders>
              <w:top w:val="nil"/>
              <w:bottom w:val="nil"/>
            </w:tcBorders>
          </w:tcPr>
          <w:p>
            <w:pPr>
              <w:pStyle w:val="TableParagraph"/>
              <w:spacing w:line="242" w:lineRule="exact"/>
              <w:rPr>
                <w:sz w:val="22"/>
              </w:rPr>
            </w:pPr>
            <w:r>
              <w:rPr>
                <w:w w:val="100"/>
                <w:sz w:val="22"/>
              </w:rPr>
              <w:t>e</w:t>
            </w:r>
          </w:p>
        </w:tc>
        <w:tc>
          <w:tcPr>
            <w:tcW w:w="991" w:type="dxa"/>
            <w:tcBorders>
              <w:top w:val="nil"/>
              <w:bottom w:val="nil"/>
            </w:tcBorders>
          </w:tcPr>
          <w:p>
            <w:pPr>
              <w:pStyle w:val="TableParagraph"/>
              <w:spacing w:line="242" w:lineRule="exact"/>
              <w:ind w:left="100"/>
              <w:rPr>
                <w:sz w:val="22"/>
              </w:rPr>
            </w:pPr>
            <w:r>
              <w:rPr>
                <w:sz w:val="22"/>
              </w:rPr>
              <w:t>ay</w:t>
            </w:r>
          </w:p>
        </w:tc>
        <w:tc>
          <w:tcPr>
            <w:tcW w:w="1277" w:type="dxa"/>
            <w:tcBorders>
              <w:top w:val="nil"/>
              <w:bottom w:val="nil"/>
            </w:tcBorders>
          </w:tcPr>
          <w:p>
            <w:pPr>
              <w:pStyle w:val="TableParagraph"/>
              <w:spacing w:line="242" w:lineRule="exact"/>
              <w:ind w:right="92"/>
              <w:rPr>
                <w:sz w:val="22"/>
              </w:rPr>
            </w:pPr>
            <w:r>
              <w:rPr>
                <w:sz w:val="22"/>
              </w:rPr>
              <w:t>Arenas,</w:t>
            </w:r>
          </w:p>
        </w:tc>
        <w:tc>
          <w:tcPr>
            <w:tcW w:w="1133" w:type="dxa"/>
            <w:tcBorders>
              <w:top w:val="nil"/>
              <w:bottom w:val="nil"/>
            </w:tcBorders>
          </w:tcPr>
          <w:p>
            <w:pPr>
              <w:pStyle w:val="TableParagraph"/>
              <w:spacing w:line="242" w:lineRule="exact"/>
              <w:ind w:left="100" w:right="52"/>
              <w:rPr>
                <w:sz w:val="22"/>
              </w:rPr>
            </w:pPr>
            <w:r>
              <w:rPr>
                <w:sz w:val="22"/>
              </w:rPr>
              <w:t>Arenas,</w:t>
            </w:r>
          </w:p>
        </w:tc>
        <w:tc>
          <w:tcPr>
            <w:tcW w:w="1702" w:type="dxa"/>
            <w:tcBorders>
              <w:top w:val="nil"/>
              <w:bottom w:val="nil"/>
            </w:tcBorders>
          </w:tcPr>
          <w:p>
            <w:pPr>
              <w:pStyle w:val="TableParagraph"/>
              <w:spacing w:line="242" w:lineRule="exact"/>
              <w:rPr>
                <w:sz w:val="22"/>
              </w:rPr>
            </w:pPr>
            <w:r>
              <w:rPr>
                <w:sz w:val="22"/>
              </w:rPr>
              <w:t>realizó  es</w:t>
            </w:r>
            <w:r>
              <w:rPr>
                <w:spacing w:val="52"/>
                <w:sz w:val="22"/>
              </w:rPr>
              <w:t> </w:t>
            </w:r>
            <w:r>
              <w:rPr>
                <w:sz w:val="22"/>
              </w:rPr>
              <w:t>que</w:t>
            </w:r>
          </w:p>
        </w:tc>
        <w:tc>
          <w:tcPr>
            <w:tcW w:w="1985" w:type="dxa"/>
            <w:tcBorders>
              <w:top w:val="nil"/>
              <w:bottom w:val="nil"/>
            </w:tcBorders>
          </w:tcPr>
          <w:p>
            <w:pPr>
              <w:pStyle w:val="TableParagraph"/>
              <w:tabs>
                <w:tab w:pos="1348" w:val="left" w:leader="none"/>
              </w:tabs>
              <w:spacing w:line="242" w:lineRule="exact"/>
              <w:rPr>
                <w:sz w:val="22"/>
              </w:rPr>
            </w:pPr>
            <w:r>
              <w:rPr>
                <w:sz w:val="22"/>
              </w:rPr>
              <w:t>hemos</w:t>
              <w:tab/>
              <w:t>dicho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García</w:t>
            </w:r>
          </w:p>
        </w:tc>
        <w:tc>
          <w:tcPr>
            <w:tcW w:w="1418" w:type="dxa"/>
            <w:tcBorders>
              <w:top w:val="nil"/>
              <w:bottom w:val="nil"/>
            </w:tcBorders>
          </w:tcPr>
          <w:p>
            <w:pPr>
              <w:pStyle w:val="TableParagraph"/>
              <w:spacing w:line="241" w:lineRule="exact"/>
              <w:ind w:left="102" w:right="104"/>
              <w:jc w:val="center"/>
              <w:rPr>
                <w:sz w:val="22"/>
              </w:rPr>
            </w:pPr>
            <w:r>
              <w:rPr>
                <w:sz w:val="22"/>
              </w:rPr>
              <w:t>de eventos</w:t>
            </w:r>
          </w:p>
        </w:tc>
        <w:tc>
          <w:tcPr>
            <w:tcW w:w="1841" w:type="dxa"/>
            <w:tcBorders>
              <w:top w:val="nil"/>
              <w:bottom w:val="nil"/>
            </w:tcBorders>
          </w:tcPr>
          <w:p>
            <w:pPr>
              <w:pStyle w:val="TableParagraph"/>
              <w:spacing w:line="241" w:lineRule="exact"/>
              <w:ind w:left="100"/>
              <w:rPr>
                <w:sz w:val="22"/>
              </w:rPr>
            </w:pPr>
            <w:r>
              <w:rPr>
                <w:sz w:val="22"/>
              </w:rPr>
              <w:t>Procesado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Acambay</w:t>
            </w:r>
          </w:p>
        </w:tc>
        <w:tc>
          <w:tcPr>
            <w:tcW w:w="1702" w:type="dxa"/>
            <w:tcBorders>
              <w:top w:val="nil"/>
              <w:bottom w:val="nil"/>
            </w:tcBorders>
          </w:tcPr>
          <w:p>
            <w:pPr>
              <w:pStyle w:val="TableParagraph"/>
              <w:tabs>
                <w:tab w:pos="1417" w:val="left" w:leader="none"/>
              </w:tabs>
              <w:spacing w:line="241" w:lineRule="exact"/>
              <w:rPr>
                <w:sz w:val="22"/>
              </w:rPr>
            </w:pPr>
            <w:r>
              <w:rPr>
                <w:sz w:val="22"/>
              </w:rPr>
              <w:t>trajo</w:t>
              <w:tab/>
              <w:t>al</w:t>
            </w:r>
          </w:p>
        </w:tc>
        <w:tc>
          <w:tcPr>
            <w:tcW w:w="1985" w:type="dxa"/>
            <w:tcBorders>
              <w:top w:val="nil"/>
              <w:bottom w:val="nil"/>
            </w:tcBorders>
          </w:tcPr>
          <w:p>
            <w:pPr>
              <w:pStyle w:val="TableParagraph"/>
              <w:tabs>
                <w:tab w:pos="1518" w:val="left" w:leader="none"/>
              </w:tabs>
              <w:spacing w:line="241" w:lineRule="exact"/>
              <w:rPr>
                <w:sz w:val="22"/>
              </w:rPr>
            </w:pPr>
            <w:r>
              <w:rPr>
                <w:sz w:val="22"/>
              </w:rPr>
              <w:t>porque</w:t>
              <w:tab/>
              <w:t>hay</w:t>
            </w:r>
          </w:p>
        </w:tc>
      </w:tr>
      <w:tr>
        <w:trPr>
          <w:trHeight w:val="253" w:hRule="exact"/>
        </w:trPr>
        <w:tc>
          <w:tcPr>
            <w:tcW w:w="1385" w:type="dxa"/>
            <w:tcBorders>
              <w:top w:val="nil"/>
              <w:bottom w:val="nil"/>
            </w:tcBorders>
          </w:tcPr>
          <w:p>
            <w:pPr>
              <w:pStyle w:val="TableParagraph"/>
              <w:spacing w:line="244" w:lineRule="exact"/>
              <w:ind w:right="127"/>
              <w:rPr>
                <w:sz w:val="22"/>
              </w:rPr>
            </w:pPr>
            <w:r>
              <w:rPr>
                <w:sz w:val="22"/>
              </w:rPr>
              <w:t>(24/I/2015)</w:t>
            </w:r>
          </w:p>
        </w:tc>
        <w:tc>
          <w:tcPr>
            <w:tcW w:w="1418" w:type="dxa"/>
            <w:tcBorders>
              <w:top w:val="nil"/>
              <w:bottom w:val="nil"/>
            </w:tcBorders>
          </w:tcPr>
          <w:p>
            <w:pPr>
              <w:pStyle w:val="TableParagraph"/>
              <w:spacing w:line="244" w:lineRule="exact"/>
              <w:ind w:left="102" w:right="104"/>
              <w:jc w:val="center"/>
              <w:rPr>
                <w:sz w:val="22"/>
              </w:rPr>
            </w:pPr>
            <w:r>
              <w:rPr>
                <w:sz w:val="22"/>
              </w:rPr>
              <w:t>sociales</w:t>
            </w:r>
          </w:p>
        </w:tc>
        <w:tc>
          <w:tcPr>
            <w:tcW w:w="1841" w:type="dxa"/>
            <w:tcBorders>
              <w:top w:val="nil"/>
              <w:bottom w:val="nil"/>
            </w:tcBorders>
          </w:tcPr>
          <w:p>
            <w:pPr>
              <w:pStyle w:val="TableParagraph"/>
              <w:spacing w:line="244" w:lineRule="exact"/>
              <w:ind w:left="100"/>
              <w:rPr>
                <w:sz w:val="22"/>
              </w:rPr>
            </w:pPr>
            <w:r>
              <w:rPr>
                <w:sz w:val="22"/>
              </w:rPr>
              <w:t>Fresco”</w:t>
            </w:r>
          </w:p>
        </w:tc>
        <w:tc>
          <w:tcPr>
            <w:tcW w:w="1135" w:type="dxa"/>
            <w:tcBorders>
              <w:top w:val="nil"/>
              <w:bottom w:val="nil"/>
            </w:tcBorders>
          </w:tcPr>
          <w:p>
            <w:pPr>
              <w:pStyle w:val="TableParagraph"/>
              <w:spacing w:line="241" w:lineRule="exact"/>
              <w:rPr>
                <w:b/>
                <w:sz w:val="22"/>
              </w:rPr>
            </w:pPr>
            <w:r>
              <w:rPr>
                <w:b/>
                <w:sz w:val="22"/>
              </w:rPr>
              <w:t>PRESID</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5" w:val="left" w:leader="none"/>
              </w:tabs>
              <w:spacing w:line="244" w:lineRule="exact"/>
              <w:rPr>
                <w:sz w:val="22"/>
              </w:rPr>
            </w:pPr>
            <w:r>
              <w:rPr>
                <w:sz w:val="22"/>
              </w:rPr>
              <w:t>Secretario</w:t>
              <w:tab/>
              <w:t>de</w:t>
            </w:r>
          </w:p>
        </w:tc>
        <w:tc>
          <w:tcPr>
            <w:tcW w:w="1985" w:type="dxa"/>
            <w:tcBorders>
              <w:top w:val="nil"/>
              <w:bottom w:val="nil"/>
            </w:tcBorders>
          </w:tcPr>
          <w:p>
            <w:pPr>
              <w:pStyle w:val="TableParagraph"/>
              <w:spacing w:line="244" w:lineRule="exact"/>
              <w:rPr>
                <w:sz w:val="22"/>
              </w:rPr>
            </w:pPr>
            <w:r>
              <w:rPr>
                <w:sz w:val="22"/>
              </w:rPr>
              <w:t>muchas</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2" w:right="102"/>
              <w:jc w:val="center"/>
              <w:rPr>
                <w:sz w:val="22"/>
              </w:rPr>
            </w:pPr>
            <w:r>
              <w:rPr>
                <w:sz w:val="22"/>
              </w:rPr>
              <w:t>(renta de</w:t>
            </w: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ENTE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Desarrollo</w:t>
            </w:r>
          </w:p>
        </w:tc>
        <w:tc>
          <w:tcPr>
            <w:tcW w:w="1985" w:type="dxa"/>
            <w:tcBorders>
              <w:top w:val="nil"/>
              <w:bottom w:val="nil"/>
            </w:tcBorders>
          </w:tcPr>
          <w:p>
            <w:pPr>
              <w:pStyle w:val="TableParagraph"/>
              <w:spacing w:line="242" w:lineRule="exact"/>
              <w:rPr>
                <w:sz w:val="22"/>
              </w:rPr>
            </w:pPr>
            <w:r>
              <w:rPr>
                <w:sz w:val="22"/>
              </w:rPr>
              <w:t>irregularidades,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2" w:right="104"/>
              <w:jc w:val="center"/>
              <w:rPr>
                <w:sz w:val="22"/>
              </w:rPr>
            </w:pPr>
            <w:r>
              <w:rPr>
                <w:sz w:val="22"/>
              </w:rPr>
              <w:t>equipo para</w:t>
            </w: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Agropecuario y</w:t>
            </w:r>
          </w:p>
        </w:tc>
        <w:tc>
          <w:tcPr>
            <w:tcW w:w="1985" w:type="dxa"/>
            <w:tcBorders>
              <w:top w:val="nil"/>
              <w:bottom w:val="nil"/>
            </w:tcBorders>
          </w:tcPr>
          <w:p>
            <w:pPr>
              <w:pStyle w:val="TableParagraph"/>
              <w:spacing w:line="242" w:lineRule="exact"/>
              <w:rPr>
                <w:sz w:val="22"/>
              </w:rPr>
            </w:pPr>
            <w:r>
              <w:rPr>
                <w:sz w:val="22"/>
              </w:rPr>
              <w:t>las  tallas  de   las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4" w:lineRule="exact"/>
              <w:ind w:left="102" w:right="104"/>
              <w:jc w:val="center"/>
              <w:rPr>
                <w:sz w:val="22"/>
              </w:rPr>
            </w:pPr>
            <w:r>
              <w:rPr>
                <w:sz w:val="22"/>
              </w:rPr>
              <w:t>fiestas)</w:t>
            </w: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TODAS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4" w:lineRule="exact"/>
              <w:rPr>
                <w:sz w:val="22"/>
              </w:rPr>
            </w:pPr>
            <w:r>
              <w:rPr>
                <w:sz w:val="22"/>
              </w:rPr>
              <w:t>sembraron</w:t>
            </w:r>
          </w:p>
        </w:tc>
        <w:tc>
          <w:tcPr>
            <w:tcW w:w="1985" w:type="dxa"/>
            <w:tcBorders>
              <w:top w:val="nil"/>
              <w:bottom w:val="nil"/>
            </w:tcBorders>
          </w:tcPr>
          <w:p>
            <w:pPr>
              <w:pStyle w:val="TableParagraph"/>
              <w:tabs>
                <w:tab w:pos="1519" w:val="left" w:leader="none"/>
              </w:tabs>
              <w:spacing w:line="244" w:lineRule="exact"/>
              <w:rPr>
                <w:sz w:val="22"/>
              </w:rPr>
            </w:pPr>
            <w:r>
              <w:rPr>
                <w:sz w:val="22"/>
              </w:rPr>
              <w:t>especies</w:t>
              <w:tab/>
              <w:t>son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LAS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350,000</w:t>
            </w:r>
          </w:p>
        </w:tc>
        <w:tc>
          <w:tcPr>
            <w:tcW w:w="1985" w:type="dxa"/>
            <w:tcBorders>
              <w:top w:val="nil"/>
              <w:bottom w:val="nil"/>
            </w:tcBorders>
          </w:tcPr>
          <w:p>
            <w:pPr>
              <w:pStyle w:val="TableParagraph"/>
              <w:tabs>
                <w:tab w:pos="1247" w:val="left" w:leader="none"/>
                <w:tab w:pos="1592" w:val="left" w:leader="none"/>
              </w:tabs>
              <w:spacing w:line="242" w:lineRule="exact"/>
              <w:rPr>
                <w:sz w:val="22"/>
              </w:rPr>
            </w:pPr>
            <w:r>
              <w:rPr>
                <w:sz w:val="22"/>
              </w:rPr>
              <w:t>alteradas</w:t>
              <w:tab/>
              <w:t>y</w:t>
              <w:tab/>
              <w:t>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COOPE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8" w:val="left" w:leader="none"/>
              </w:tabs>
              <w:spacing w:line="244" w:lineRule="exact"/>
              <w:rPr>
                <w:sz w:val="22"/>
              </w:rPr>
            </w:pPr>
            <w:r>
              <w:rPr>
                <w:sz w:val="22"/>
              </w:rPr>
              <w:t>especies</w:t>
              <w:tab/>
              <w:t>el</w:t>
            </w:r>
          </w:p>
        </w:tc>
        <w:tc>
          <w:tcPr>
            <w:tcW w:w="1985" w:type="dxa"/>
            <w:tcBorders>
              <w:top w:val="nil"/>
              <w:bottom w:val="nil"/>
            </w:tcBorders>
          </w:tcPr>
          <w:p>
            <w:pPr>
              <w:pStyle w:val="TableParagraph"/>
              <w:spacing w:line="244" w:lineRule="exact"/>
              <w:rPr>
                <w:sz w:val="22"/>
              </w:rPr>
            </w:pPr>
            <w:r>
              <w:rPr>
                <w:sz w:val="22"/>
              </w:rPr>
              <w:t>tiempos  de  veda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RATIVA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año pasado.</w:t>
            </w:r>
          </w:p>
        </w:tc>
        <w:tc>
          <w:tcPr>
            <w:tcW w:w="1985" w:type="dxa"/>
            <w:tcBorders>
              <w:top w:val="nil"/>
              <w:bottom w:val="nil"/>
            </w:tcBorders>
          </w:tcPr>
          <w:p>
            <w:pPr>
              <w:pStyle w:val="TableParagraph"/>
              <w:spacing w:line="242" w:lineRule="exact"/>
              <w:rPr>
                <w:sz w:val="22"/>
              </w:rPr>
            </w:pPr>
            <w:r>
              <w:rPr>
                <w:sz w:val="22"/>
              </w:rPr>
              <w:t>no se respetan.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S 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2" w:lineRule="exact"/>
              <w:rPr>
                <w:b/>
                <w:sz w:val="22"/>
              </w:rPr>
            </w:pPr>
            <w:r>
              <w:rPr>
                <w:b/>
                <w:sz w:val="22"/>
              </w:rPr>
              <w:t>PESCAD</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ORES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3" w:lineRule="exact"/>
              <w:rPr>
                <w:b/>
                <w:sz w:val="22"/>
              </w:rPr>
            </w:pPr>
            <w:r>
              <w:rPr>
                <w:b/>
                <w:sz w:val="22"/>
              </w:rPr>
              <w:t>DE LA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LAGUN</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w w:val="100"/>
                <w:sz w:val="22"/>
              </w:rPr>
              <w:t>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2" w:lineRule="exact"/>
              <w:rPr>
                <w:b/>
                <w:sz w:val="22"/>
              </w:rPr>
            </w:pPr>
            <w:r>
              <w:rPr>
                <w:b/>
                <w:sz w:val="22"/>
              </w:rPr>
              <w:t>HUAPA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2"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Style w:val="TableParagraph"/>
              <w:spacing w:line="241" w:lineRule="exact"/>
              <w:rPr>
                <w:b/>
                <w:sz w:val="22"/>
              </w:rPr>
            </w:pPr>
            <w:r>
              <w:rPr>
                <w:b/>
                <w:sz w:val="22"/>
              </w:rPr>
              <w:t>NGO</w:t>
            </w: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spacing w:after="0" w:line="248" w:lineRule="exact"/>
        <w:sectPr>
          <w:footerReference w:type="default" r:id="rId179"/>
          <w:pgSz w:w="15840" w:h="12240" w:orient="landscape"/>
          <w:pgMar w:footer="943" w:header="0" w:top="1140" w:bottom="1140" w:left="1200" w:right="1300"/>
          <w:pgNumType w:start="230"/>
        </w:sectPr>
      </w:pPr>
    </w:p>
    <w:p>
      <w:pPr>
        <w:pStyle w:val="BodyText"/>
        <w:rPr>
          <w:sz w:val="20"/>
        </w:rPr>
      </w:pPr>
    </w:p>
    <w:p>
      <w:pPr>
        <w:pStyle w:val="BodyText"/>
        <w:spacing w:before="1"/>
      </w:pPr>
    </w:p>
    <w:p>
      <w:pPr>
        <w:pStyle w:val="Heading6"/>
        <w:spacing w:before="73" w:after="4"/>
        <w:ind w:left="1101" w:right="397"/>
      </w:pPr>
      <w:r>
        <w:rPr/>
        <w:t>Tabla 6.3. Pescadores en los Municipios de Acambay, Aculco, Jilotepec y Timilpan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3687"/>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768"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3687" w:type="dxa"/>
            <w:shd w:val="clear" w:color="auto" w:fill="92CDDC"/>
          </w:tcPr>
          <w:p>
            <w:pPr>
              <w:pStyle w:val="TableParagraph"/>
              <w:ind w:right="99"/>
              <w:jc w:val="both"/>
              <w:rPr>
                <w:b/>
                <w:i/>
                <w:sz w:val="22"/>
              </w:rPr>
            </w:pPr>
            <w:r>
              <w:rPr>
                <w:b/>
                <w:i/>
                <w:sz w:val="22"/>
              </w:rPr>
              <w:t>Democracia y voluntariedad  de </w:t>
            </w:r>
            <w:r>
              <w:rPr>
                <w:b/>
                <w:i/>
                <w:sz w:val="22"/>
              </w:rPr>
              <w:t>la sociedad, cooperación y participación social</w:t>
            </w:r>
          </w:p>
        </w:tc>
      </w:tr>
      <w:tr>
        <w:trPr>
          <w:trHeight w:val="1023" w:hRule="exact"/>
        </w:trPr>
        <w:tc>
          <w:tcPr>
            <w:tcW w:w="1385" w:type="dxa"/>
            <w:shd w:val="clear" w:color="auto" w:fill="F9BE8F"/>
          </w:tcPr>
          <w:p>
            <w:pPr>
              <w:pStyle w:val="TableParagraph"/>
              <w:ind w:right="205"/>
              <w:jc w:val="both"/>
              <w:rPr>
                <w:b/>
                <w:sz w:val="22"/>
              </w:rPr>
            </w:pPr>
            <w:r>
              <w:rPr>
                <w:b/>
                <w:sz w:val="22"/>
              </w:rPr>
              <w:t>Nombre y Fecha de Entrevista</w:t>
            </w:r>
          </w:p>
        </w:tc>
        <w:tc>
          <w:tcPr>
            <w:tcW w:w="1418" w:type="dxa"/>
            <w:shd w:val="clear" w:color="auto" w:fill="F9BE8F"/>
          </w:tcPr>
          <w:p>
            <w:pPr>
              <w:pStyle w:val="TableParagraph"/>
              <w:spacing w:line="242" w:lineRule="auto"/>
              <w:ind w:left="100" w:right="151"/>
              <w:rPr>
                <w:b/>
                <w:sz w:val="22"/>
              </w:rPr>
            </w:pPr>
            <w:r>
              <w:rPr>
                <w:b/>
                <w:sz w:val="22"/>
              </w:rPr>
              <w:t>Ocupacion es</w:t>
            </w:r>
          </w:p>
        </w:tc>
        <w:tc>
          <w:tcPr>
            <w:tcW w:w="1841" w:type="dxa"/>
            <w:shd w:val="clear" w:color="auto" w:fill="F9BE8F"/>
          </w:tcPr>
          <w:p>
            <w:pPr>
              <w:pStyle w:val="TableParagraph"/>
              <w:ind w:left="100" w:right="122"/>
              <w:rPr>
                <w:b/>
                <w:sz w:val="22"/>
              </w:rPr>
            </w:pPr>
            <w:r>
              <w:rPr>
                <w:b/>
                <w:sz w:val="22"/>
              </w:rPr>
              <w:t>Cooperativa de Pescadores y Número de Integrantes</w:t>
            </w:r>
          </w:p>
        </w:tc>
        <w:tc>
          <w:tcPr>
            <w:tcW w:w="1135" w:type="dxa"/>
            <w:shd w:val="clear" w:color="auto" w:fill="F9BE8F"/>
          </w:tcPr>
          <w:p>
            <w:pPr>
              <w:pStyle w:val="TableParagraph"/>
              <w:spacing w:line="248" w:lineRule="exact"/>
              <w:rPr>
                <w:b/>
                <w:sz w:val="22"/>
              </w:rPr>
            </w:pPr>
            <w:r>
              <w:rPr>
                <w:b/>
                <w:sz w:val="22"/>
              </w:rPr>
              <w:t>Cargo</w:t>
            </w:r>
          </w:p>
        </w:tc>
        <w:tc>
          <w:tcPr>
            <w:tcW w:w="991" w:type="dxa"/>
            <w:shd w:val="clear" w:color="auto" w:fill="F9BE8F"/>
          </w:tcPr>
          <w:p>
            <w:pPr>
              <w:pStyle w:val="TableParagraph"/>
              <w:spacing w:line="242" w:lineRule="auto"/>
              <w:ind w:left="100" w:right="164"/>
              <w:rPr>
                <w:b/>
                <w:sz w:val="22"/>
              </w:rPr>
            </w:pPr>
            <w:r>
              <w:rPr>
                <w:b/>
                <w:sz w:val="22"/>
              </w:rPr>
              <w:t>Munici pio</w:t>
            </w:r>
          </w:p>
        </w:tc>
        <w:tc>
          <w:tcPr>
            <w:tcW w:w="1277" w:type="dxa"/>
            <w:shd w:val="clear" w:color="auto" w:fill="92CDDC"/>
          </w:tcPr>
          <w:p>
            <w:pPr>
              <w:pStyle w:val="TableParagraph"/>
              <w:spacing w:line="242" w:lineRule="auto"/>
              <w:ind w:right="325"/>
              <w:rPr>
                <w:b/>
                <w:sz w:val="22"/>
              </w:rPr>
            </w:pPr>
            <w:r>
              <w:rPr>
                <w:b/>
                <w:sz w:val="22"/>
              </w:rPr>
              <w:t>¿Dónde nació?</w:t>
            </w:r>
          </w:p>
        </w:tc>
        <w:tc>
          <w:tcPr>
            <w:tcW w:w="1133" w:type="dxa"/>
            <w:shd w:val="clear" w:color="auto" w:fill="92CDDC"/>
          </w:tcPr>
          <w:p>
            <w:pPr>
              <w:pStyle w:val="TableParagraph"/>
              <w:spacing w:line="242" w:lineRule="auto"/>
              <w:ind w:left="100" w:right="184"/>
              <w:rPr>
                <w:b/>
                <w:sz w:val="22"/>
              </w:rPr>
            </w:pPr>
            <w:r>
              <w:rPr>
                <w:b/>
                <w:sz w:val="22"/>
              </w:rPr>
              <w:t>¿Dónde vive?</w:t>
            </w:r>
          </w:p>
        </w:tc>
        <w:tc>
          <w:tcPr>
            <w:tcW w:w="3687" w:type="dxa"/>
            <w:shd w:val="clear" w:color="auto" w:fill="92CDDC"/>
          </w:tcPr>
          <w:p>
            <w:pPr>
              <w:pStyle w:val="TableParagraph"/>
              <w:ind w:right="100"/>
              <w:jc w:val="both"/>
              <w:rPr>
                <w:b/>
                <w:sz w:val="22"/>
              </w:rPr>
            </w:pPr>
            <w:r>
              <w:rPr>
                <w:b/>
                <w:sz w:val="22"/>
              </w:rPr>
              <w:t>¿Estaría usted dispuesto a asistir a una reunión para tratar asuntos relacionados con la laguna de</w:t>
            </w:r>
            <w:r>
              <w:rPr>
                <w:b/>
                <w:spacing w:val="-3"/>
                <w:sz w:val="22"/>
              </w:rPr>
              <w:t> </w:t>
            </w:r>
            <w:r>
              <w:rPr>
                <w:b/>
                <w:sz w:val="22"/>
              </w:rPr>
              <w:t>Huapango?</w:t>
            </w:r>
          </w:p>
        </w:tc>
      </w:tr>
      <w:tr>
        <w:trPr>
          <w:trHeight w:val="1781" w:hRule="exact"/>
        </w:trPr>
        <w:tc>
          <w:tcPr>
            <w:tcW w:w="1385" w:type="dxa"/>
          </w:tcPr>
          <w:p>
            <w:pPr>
              <w:pStyle w:val="TableParagraph"/>
              <w:ind w:right="328"/>
              <w:jc w:val="both"/>
              <w:rPr>
                <w:sz w:val="22"/>
              </w:rPr>
            </w:pPr>
            <w:r>
              <w:rPr>
                <w:sz w:val="22"/>
              </w:rPr>
              <w:t>Salvador Santiago Martínez</w:t>
            </w:r>
          </w:p>
          <w:p>
            <w:pPr>
              <w:pStyle w:val="TableParagraph"/>
              <w:ind w:left="0"/>
              <w:rPr>
                <w:b/>
                <w:sz w:val="22"/>
              </w:rPr>
            </w:pPr>
          </w:p>
          <w:p>
            <w:pPr>
              <w:pStyle w:val="TableParagraph"/>
              <w:jc w:val="both"/>
              <w:rPr>
                <w:sz w:val="22"/>
              </w:rPr>
            </w:pPr>
            <w:r>
              <w:rPr>
                <w:sz w:val="22"/>
              </w:rPr>
              <w:t>(4/I/2014)</w:t>
            </w:r>
          </w:p>
        </w:tc>
        <w:tc>
          <w:tcPr>
            <w:tcW w:w="1418" w:type="dxa"/>
          </w:tcPr>
          <w:p>
            <w:pPr>
              <w:pStyle w:val="TableParagraph"/>
              <w:ind w:left="100" w:right="176"/>
              <w:rPr>
                <w:sz w:val="22"/>
              </w:rPr>
            </w:pPr>
            <w:r>
              <w:rPr>
                <w:sz w:val="22"/>
              </w:rPr>
              <w:t>Pescador, Agricultura, Ganadería</w:t>
            </w:r>
          </w:p>
        </w:tc>
        <w:tc>
          <w:tcPr>
            <w:tcW w:w="1841" w:type="dxa"/>
          </w:tcPr>
          <w:p>
            <w:pPr>
              <w:pStyle w:val="TableParagraph"/>
              <w:ind w:left="100" w:right="142"/>
              <w:rPr>
                <w:sz w:val="22"/>
              </w:rPr>
            </w:pPr>
            <w:r>
              <w:rPr>
                <w:sz w:val="22"/>
              </w:rPr>
              <w:t>“Los Pescadores de la Vía del Tren” (17</w:t>
            </w:r>
            <w:r>
              <w:rPr>
                <w:spacing w:val="-8"/>
                <w:sz w:val="22"/>
              </w:rPr>
              <w:t> </w:t>
            </w:r>
            <w:r>
              <w:rPr>
                <w:sz w:val="22"/>
              </w:rPr>
              <w:t>integrantes,</w:t>
            </w:r>
          </w:p>
          <w:p>
            <w:pPr>
              <w:pStyle w:val="TableParagraph"/>
              <w:spacing w:before="1"/>
              <w:ind w:left="100" w:right="171"/>
              <w:rPr>
                <w:sz w:val="22"/>
              </w:rPr>
            </w:pPr>
            <w:r>
              <w:rPr>
                <w:sz w:val="22"/>
              </w:rPr>
              <w:t>4 pescadores son de San Martín, Aculco).</w:t>
            </w:r>
          </w:p>
        </w:tc>
        <w:tc>
          <w:tcPr>
            <w:tcW w:w="1135" w:type="dxa"/>
          </w:tcPr>
          <w:p>
            <w:pPr>
              <w:pStyle w:val="TableParagraph"/>
              <w:spacing w:line="242" w:lineRule="auto"/>
              <w:ind w:right="134"/>
              <w:rPr>
                <w:sz w:val="22"/>
              </w:rPr>
            </w:pPr>
            <w:r>
              <w:rPr>
                <w:sz w:val="22"/>
              </w:rPr>
              <w:t>Presiden te</w:t>
            </w:r>
          </w:p>
        </w:tc>
        <w:tc>
          <w:tcPr>
            <w:tcW w:w="991" w:type="dxa"/>
          </w:tcPr>
          <w:p>
            <w:pPr>
              <w:pStyle w:val="TableParagraph"/>
              <w:spacing w:line="251" w:lineRule="exact"/>
              <w:ind w:left="100"/>
              <w:rPr>
                <w:sz w:val="22"/>
              </w:rPr>
            </w:pPr>
            <w:r>
              <w:rPr>
                <w:sz w:val="22"/>
              </w:rPr>
              <w:t>Aculco</w:t>
            </w:r>
          </w:p>
        </w:tc>
        <w:tc>
          <w:tcPr>
            <w:tcW w:w="1277" w:type="dxa"/>
          </w:tcPr>
          <w:p>
            <w:pPr>
              <w:pStyle w:val="TableParagraph"/>
              <w:spacing w:line="242" w:lineRule="auto"/>
              <w:ind w:right="154"/>
              <w:rPr>
                <w:sz w:val="22"/>
              </w:rPr>
            </w:pPr>
            <w:r>
              <w:rPr>
                <w:sz w:val="22"/>
              </w:rPr>
              <w:t>Zaragoza, Timilpan</w:t>
            </w:r>
          </w:p>
        </w:tc>
        <w:tc>
          <w:tcPr>
            <w:tcW w:w="1133" w:type="dxa"/>
          </w:tcPr>
          <w:p>
            <w:pPr>
              <w:pStyle w:val="TableParagraph"/>
              <w:ind w:left="100" w:right="183"/>
              <w:rPr>
                <w:sz w:val="22"/>
              </w:rPr>
            </w:pPr>
            <w:r>
              <w:rPr>
                <w:sz w:val="22"/>
              </w:rPr>
              <w:t>El Azafrán, Aculco</w:t>
            </w:r>
          </w:p>
        </w:tc>
        <w:tc>
          <w:tcPr>
            <w:tcW w:w="3687" w:type="dxa"/>
          </w:tcPr>
          <w:p>
            <w:pPr>
              <w:pStyle w:val="TableParagraph"/>
              <w:ind w:right="101"/>
              <w:jc w:val="both"/>
              <w:rPr>
                <w:sz w:val="22"/>
              </w:rPr>
            </w:pPr>
            <w:r>
              <w:rPr>
                <w:sz w:val="22"/>
              </w:rPr>
              <w:t>¡Claro que sí!, para que nos pongamos de acuerdo para cuidar la laguna.</w:t>
            </w:r>
          </w:p>
        </w:tc>
      </w:tr>
      <w:tr>
        <w:trPr>
          <w:trHeight w:val="1649" w:hRule="exact"/>
        </w:trPr>
        <w:tc>
          <w:tcPr>
            <w:tcW w:w="1385" w:type="dxa"/>
          </w:tcPr>
          <w:p>
            <w:pPr>
              <w:pStyle w:val="TableParagraph"/>
              <w:spacing w:line="242" w:lineRule="auto"/>
              <w:ind w:left="184" w:right="184" w:hanging="2"/>
              <w:jc w:val="center"/>
              <w:rPr>
                <w:sz w:val="22"/>
              </w:rPr>
            </w:pPr>
            <w:r>
              <w:rPr>
                <w:sz w:val="22"/>
              </w:rPr>
              <w:t>Jorge Pichardo</w:t>
            </w:r>
          </w:p>
          <w:p>
            <w:pPr>
              <w:pStyle w:val="TableParagraph"/>
              <w:spacing w:before="9"/>
              <w:ind w:left="0"/>
              <w:rPr>
                <w:b/>
                <w:sz w:val="21"/>
              </w:rPr>
            </w:pPr>
          </w:p>
          <w:p>
            <w:pPr>
              <w:pStyle w:val="TableParagraph"/>
              <w:ind w:left="85" w:right="86"/>
              <w:jc w:val="center"/>
              <w:rPr>
                <w:sz w:val="22"/>
              </w:rPr>
            </w:pPr>
            <w:r>
              <w:rPr>
                <w:sz w:val="22"/>
              </w:rPr>
              <w:t>(7/7/2014)</w:t>
            </w:r>
          </w:p>
        </w:tc>
        <w:tc>
          <w:tcPr>
            <w:tcW w:w="1418" w:type="dxa"/>
          </w:tcPr>
          <w:p>
            <w:pPr>
              <w:pStyle w:val="TableParagraph"/>
              <w:ind w:left="100" w:right="114"/>
              <w:rPr>
                <w:sz w:val="22"/>
              </w:rPr>
            </w:pPr>
            <w:r>
              <w:rPr>
                <w:sz w:val="22"/>
              </w:rPr>
              <w:t>Campesino, ganadero y pescador</w:t>
            </w:r>
          </w:p>
        </w:tc>
        <w:tc>
          <w:tcPr>
            <w:tcW w:w="1841" w:type="dxa"/>
          </w:tcPr>
          <w:p>
            <w:pPr>
              <w:pStyle w:val="TableParagraph"/>
              <w:spacing w:line="251" w:lineRule="exact"/>
              <w:ind w:left="100"/>
              <w:rPr>
                <w:sz w:val="22"/>
              </w:rPr>
            </w:pPr>
            <w:r>
              <w:rPr>
                <w:sz w:val="22"/>
              </w:rPr>
              <w:t>Cooperativa</w:t>
            </w:r>
          </w:p>
          <w:p>
            <w:pPr>
              <w:pStyle w:val="TableParagraph"/>
              <w:spacing w:before="2"/>
              <w:ind w:left="100"/>
              <w:rPr>
                <w:sz w:val="22"/>
              </w:rPr>
            </w:pPr>
            <w:r>
              <w:rPr>
                <w:sz w:val="22"/>
              </w:rPr>
              <w:t>“Pichardo”</w:t>
            </w:r>
          </w:p>
        </w:tc>
        <w:tc>
          <w:tcPr>
            <w:tcW w:w="1135" w:type="dxa"/>
          </w:tcPr>
          <w:p>
            <w:pPr>
              <w:pStyle w:val="TableParagraph"/>
              <w:spacing w:line="242" w:lineRule="auto"/>
              <w:ind w:right="122"/>
              <w:rPr>
                <w:sz w:val="22"/>
              </w:rPr>
            </w:pPr>
            <w:r>
              <w:rPr>
                <w:sz w:val="22"/>
              </w:rPr>
              <w:t>Secretari o</w:t>
            </w:r>
          </w:p>
        </w:tc>
        <w:tc>
          <w:tcPr>
            <w:tcW w:w="991" w:type="dxa"/>
          </w:tcPr>
          <w:p>
            <w:pPr>
              <w:pStyle w:val="TableParagraph"/>
              <w:spacing w:line="242" w:lineRule="auto"/>
              <w:ind w:left="100" w:right="152"/>
              <w:rPr>
                <w:sz w:val="22"/>
              </w:rPr>
            </w:pPr>
            <w:r>
              <w:rPr>
                <w:sz w:val="22"/>
              </w:rPr>
              <w:t>Timilpa n</w:t>
            </w:r>
          </w:p>
        </w:tc>
        <w:tc>
          <w:tcPr>
            <w:tcW w:w="1277" w:type="dxa"/>
          </w:tcPr>
          <w:p>
            <w:pPr>
              <w:pStyle w:val="TableParagraph"/>
              <w:spacing w:line="251" w:lineRule="exact"/>
              <w:ind w:right="92"/>
              <w:rPr>
                <w:sz w:val="22"/>
              </w:rPr>
            </w:pPr>
            <w:r>
              <w:rPr>
                <w:sz w:val="22"/>
              </w:rPr>
              <w:t>Huapango</w:t>
            </w:r>
          </w:p>
        </w:tc>
        <w:tc>
          <w:tcPr>
            <w:tcW w:w="1133" w:type="dxa"/>
          </w:tcPr>
          <w:p>
            <w:pPr>
              <w:pStyle w:val="TableParagraph"/>
              <w:spacing w:line="242" w:lineRule="auto"/>
              <w:ind w:left="100" w:right="110"/>
              <w:rPr>
                <w:sz w:val="22"/>
              </w:rPr>
            </w:pPr>
            <w:r>
              <w:rPr>
                <w:sz w:val="22"/>
              </w:rPr>
              <w:t>Huapang o</w:t>
            </w:r>
          </w:p>
        </w:tc>
        <w:tc>
          <w:tcPr>
            <w:tcW w:w="3687" w:type="dxa"/>
          </w:tcPr>
          <w:p>
            <w:pPr>
              <w:pStyle w:val="TableParagraph"/>
              <w:ind w:right="100"/>
              <w:jc w:val="both"/>
              <w:rPr>
                <w:sz w:val="22"/>
              </w:rPr>
            </w:pPr>
            <w:r>
              <w:rPr>
                <w:sz w:val="22"/>
              </w:rPr>
              <w:t>Sí estaría dispuesto a asistir a una reunión para tratar asuntos relacionados con la laguna porque podría mencionar los problemas que existen.</w:t>
            </w:r>
          </w:p>
        </w:tc>
      </w:tr>
      <w:tr>
        <w:trPr>
          <w:trHeight w:val="2794" w:hRule="exact"/>
        </w:trPr>
        <w:tc>
          <w:tcPr>
            <w:tcW w:w="1385" w:type="dxa"/>
          </w:tcPr>
          <w:p>
            <w:pPr>
              <w:pStyle w:val="TableParagraph"/>
              <w:ind w:right="176"/>
              <w:rPr>
                <w:sz w:val="22"/>
              </w:rPr>
            </w:pPr>
            <w:r>
              <w:rPr>
                <w:sz w:val="22"/>
              </w:rPr>
              <w:t>Juan Hernández Huitrón (7/7/2014)</w:t>
            </w:r>
          </w:p>
        </w:tc>
        <w:tc>
          <w:tcPr>
            <w:tcW w:w="1418" w:type="dxa"/>
          </w:tcPr>
          <w:p>
            <w:pPr>
              <w:pStyle w:val="TableParagraph"/>
              <w:tabs>
                <w:tab w:pos="582" w:val="left" w:leader="none"/>
                <w:tab w:pos="1194" w:val="left" w:leader="none"/>
              </w:tabs>
              <w:ind w:left="100" w:right="101"/>
              <w:rPr>
                <w:sz w:val="22"/>
              </w:rPr>
            </w:pPr>
            <w:r>
              <w:rPr>
                <w:sz w:val="22"/>
              </w:rPr>
              <w:t>Tenemos muchas ocupacione s:</w:t>
              <w:tab/>
            </w:r>
            <w:r>
              <w:rPr>
                <w:spacing w:val="-1"/>
                <w:sz w:val="22"/>
              </w:rPr>
              <w:t>campo, </w:t>
            </w:r>
            <w:r>
              <w:rPr>
                <w:sz w:val="22"/>
              </w:rPr>
              <w:t>ganado</w:t>
              <w:tab/>
              <w:t>y pesca.</w:t>
            </w:r>
          </w:p>
        </w:tc>
        <w:tc>
          <w:tcPr>
            <w:tcW w:w="1841" w:type="dxa"/>
          </w:tcPr>
          <w:p>
            <w:pPr>
              <w:pStyle w:val="TableParagraph"/>
              <w:tabs>
                <w:tab w:pos="1189" w:val="left" w:leader="none"/>
                <w:tab w:pos="1556" w:val="left" w:leader="none"/>
                <w:tab w:pos="1619" w:val="left" w:leader="none"/>
              </w:tabs>
              <w:ind w:left="100" w:right="99"/>
              <w:rPr>
                <w:sz w:val="22"/>
              </w:rPr>
            </w:pPr>
            <w:r>
              <w:rPr>
                <w:sz w:val="22"/>
              </w:rPr>
              <w:t>Cooperativa “El Mogote”</w:t>
              <w:tab/>
              <w:t>(Para Gobernación del Estado)</w:t>
              <w:tab/>
              <w:tab/>
              <w:tab/>
              <w:t>y Cooperativa “El Rinconcito” (para</w:t>
              <w:tab/>
              <w:tab/>
              <w:t>la</w:t>
            </w:r>
          </w:p>
          <w:p>
            <w:pPr>
              <w:pStyle w:val="TableParagraph"/>
              <w:tabs>
                <w:tab w:pos="1431" w:val="left" w:leader="none"/>
              </w:tabs>
              <w:ind w:left="100" w:right="103"/>
              <w:rPr>
                <w:sz w:val="22"/>
              </w:rPr>
            </w:pPr>
            <w:r>
              <w:rPr>
                <w:sz w:val="22"/>
              </w:rPr>
              <w:t>Secretaría</w:t>
              <w:tab/>
              <w:t>del Trabajo).</w:t>
            </w:r>
          </w:p>
        </w:tc>
        <w:tc>
          <w:tcPr>
            <w:tcW w:w="1135" w:type="dxa"/>
          </w:tcPr>
          <w:p>
            <w:pPr>
              <w:pStyle w:val="TableParagraph"/>
              <w:spacing w:line="242" w:lineRule="auto"/>
              <w:ind w:right="134"/>
              <w:rPr>
                <w:sz w:val="22"/>
              </w:rPr>
            </w:pPr>
            <w:r>
              <w:rPr>
                <w:sz w:val="22"/>
              </w:rPr>
              <w:t>Presiden te</w:t>
            </w:r>
          </w:p>
        </w:tc>
        <w:tc>
          <w:tcPr>
            <w:tcW w:w="991" w:type="dxa"/>
          </w:tcPr>
          <w:p>
            <w:pPr>
              <w:pStyle w:val="TableParagraph"/>
              <w:spacing w:line="242" w:lineRule="auto"/>
              <w:ind w:left="100" w:right="103"/>
              <w:rPr>
                <w:sz w:val="22"/>
              </w:rPr>
            </w:pPr>
            <w:r>
              <w:rPr>
                <w:sz w:val="22"/>
              </w:rPr>
              <w:t>Jilotepe c</w:t>
            </w:r>
          </w:p>
        </w:tc>
        <w:tc>
          <w:tcPr>
            <w:tcW w:w="1277" w:type="dxa"/>
          </w:tcPr>
          <w:p>
            <w:pPr>
              <w:pStyle w:val="TableParagraph"/>
              <w:ind w:right="215"/>
              <w:rPr>
                <w:sz w:val="22"/>
              </w:rPr>
            </w:pPr>
            <w:r>
              <w:rPr>
                <w:sz w:val="22"/>
              </w:rPr>
              <w:t>Aldama (Tercera Manzana de El Trojillo), Jilotepec.</w:t>
            </w:r>
          </w:p>
        </w:tc>
        <w:tc>
          <w:tcPr>
            <w:tcW w:w="1133" w:type="dxa"/>
          </w:tcPr>
          <w:p>
            <w:pPr>
              <w:pStyle w:val="TableParagraph"/>
              <w:ind w:left="100" w:right="98"/>
              <w:rPr>
                <w:sz w:val="22"/>
              </w:rPr>
            </w:pPr>
            <w:r>
              <w:rPr>
                <w:sz w:val="22"/>
              </w:rPr>
              <w:t>Aldama (Tercera Manzana de El Trojillo), Jilotepec</w:t>
            </w:r>
          </w:p>
          <w:p>
            <w:pPr>
              <w:pStyle w:val="TableParagraph"/>
              <w:spacing w:before="1"/>
              <w:ind w:left="100"/>
              <w:rPr>
                <w:sz w:val="22"/>
              </w:rPr>
            </w:pPr>
            <w:r>
              <w:rPr>
                <w:w w:val="100"/>
                <w:sz w:val="22"/>
              </w:rPr>
              <w:t>.</w:t>
            </w:r>
          </w:p>
        </w:tc>
        <w:tc>
          <w:tcPr>
            <w:tcW w:w="3687" w:type="dxa"/>
          </w:tcPr>
          <w:p>
            <w:pPr>
              <w:pStyle w:val="TableParagraph"/>
              <w:ind w:right="99"/>
              <w:jc w:val="both"/>
              <w:rPr>
                <w:sz w:val="22"/>
              </w:rPr>
            </w:pPr>
            <w:r>
              <w:rPr>
                <w:sz w:val="22"/>
              </w:rPr>
              <w:t>Sí hubiera una reunión para tratar asuntos relacionados con la laguna sí iría para decir los problemas que existen y a ver a qué solución llegamos los usuarios porque por ejemplo, el ex presidente de Timilpan Sergio Flores y los Chimal intentaron hacer un centro turístico en la orilla de la laguna, pero cuando les dijimos que como pescadores         queríamos         la</w:t>
            </w:r>
          </w:p>
        </w:tc>
      </w:tr>
    </w:tbl>
    <w:p>
      <w:pPr>
        <w:spacing w:after="0"/>
        <w:jc w:val="both"/>
        <w:rPr>
          <w:sz w:val="22"/>
        </w:rPr>
        <w:sectPr>
          <w:pgSz w:w="15840" w:h="12240" w:orient="landscape"/>
          <w:pgMar w:header="0" w:footer="943" w:top="1140" w:bottom="120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3687"/>
      </w:tblGrid>
      <w:tr>
        <w:trPr>
          <w:trHeight w:val="1022"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3687" w:type="dxa"/>
          </w:tcPr>
          <w:p>
            <w:pPr>
              <w:pStyle w:val="TableParagraph"/>
              <w:ind w:right="101"/>
              <w:jc w:val="both"/>
              <w:rPr>
                <w:sz w:val="22"/>
              </w:rPr>
            </w:pPr>
            <w:r>
              <w:rPr>
                <w:sz w:val="22"/>
              </w:rPr>
              <w:t>concesión de la lancha y entregar el pescado se fueron y sólo  dejaron medio construido un</w:t>
            </w:r>
            <w:r>
              <w:rPr>
                <w:spacing w:val="-10"/>
                <w:sz w:val="22"/>
              </w:rPr>
              <w:t> </w:t>
            </w:r>
            <w:r>
              <w:rPr>
                <w:sz w:val="22"/>
              </w:rPr>
              <w:t>baño.</w:t>
            </w:r>
          </w:p>
        </w:tc>
      </w:tr>
      <w:tr>
        <w:trPr>
          <w:trHeight w:val="1020" w:hRule="exact"/>
        </w:trPr>
        <w:tc>
          <w:tcPr>
            <w:tcW w:w="1385" w:type="dxa"/>
          </w:tcPr>
          <w:p>
            <w:pPr>
              <w:pStyle w:val="TableParagraph"/>
              <w:ind w:right="127"/>
              <w:rPr>
                <w:sz w:val="22"/>
              </w:rPr>
            </w:pPr>
            <w:r>
              <w:rPr>
                <w:sz w:val="22"/>
              </w:rPr>
              <w:t>Gumecindo Rivas Rodríguez (18/7/2014)</w:t>
            </w:r>
          </w:p>
        </w:tc>
        <w:tc>
          <w:tcPr>
            <w:tcW w:w="1418" w:type="dxa"/>
          </w:tcPr>
          <w:p>
            <w:pPr>
              <w:pStyle w:val="TableParagraph"/>
              <w:spacing w:line="252" w:lineRule="exact" w:before="2"/>
              <w:ind w:left="100" w:right="101"/>
              <w:rPr>
                <w:sz w:val="22"/>
              </w:rPr>
            </w:pPr>
            <w:r>
              <w:rPr>
                <w:sz w:val="22"/>
              </w:rPr>
              <w:t>Pescar y el campo</w:t>
            </w:r>
          </w:p>
        </w:tc>
        <w:tc>
          <w:tcPr>
            <w:tcW w:w="1841" w:type="dxa"/>
          </w:tcPr>
          <w:p>
            <w:pPr>
              <w:pStyle w:val="TableParagraph"/>
              <w:ind w:left="100" w:right="309"/>
              <w:rPr>
                <w:sz w:val="22"/>
              </w:rPr>
            </w:pPr>
            <w:r>
              <w:rPr>
                <w:sz w:val="22"/>
              </w:rPr>
              <w:t>Cooperativa “Rivas Islas” (7</w:t>
            </w:r>
            <w:r>
              <w:rPr>
                <w:spacing w:val="-3"/>
                <w:sz w:val="22"/>
              </w:rPr>
              <w:t> </w:t>
            </w:r>
            <w:r>
              <w:rPr>
                <w:sz w:val="22"/>
              </w:rPr>
              <w:t>integrantes)</w:t>
            </w:r>
          </w:p>
        </w:tc>
        <w:tc>
          <w:tcPr>
            <w:tcW w:w="1135" w:type="dxa"/>
          </w:tcPr>
          <w:p>
            <w:pPr>
              <w:pStyle w:val="TableParagraph"/>
              <w:spacing w:line="252" w:lineRule="exact" w:before="2"/>
              <w:ind w:right="134"/>
              <w:rPr>
                <w:sz w:val="22"/>
              </w:rPr>
            </w:pPr>
            <w:r>
              <w:rPr>
                <w:sz w:val="22"/>
              </w:rPr>
              <w:t>Presiden te</w:t>
            </w:r>
          </w:p>
        </w:tc>
        <w:tc>
          <w:tcPr>
            <w:tcW w:w="991" w:type="dxa"/>
          </w:tcPr>
          <w:p>
            <w:pPr>
              <w:pStyle w:val="TableParagraph"/>
              <w:spacing w:line="252" w:lineRule="exact" w:before="2"/>
              <w:ind w:left="100" w:right="103"/>
              <w:rPr>
                <w:sz w:val="22"/>
              </w:rPr>
            </w:pPr>
            <w:r>
              <w:rPr>
                <w:sz w:val="22"/>
              </w:rPr>
              <w:t>Jilotepe c</w:t>
            </w:r>
          </w:p>
        </w:tc>
        <w:tc>
          <w:tcPr>
            <w:tcW w:w="1277" w:type="dxa"/>
          </w:tcPr>
          <w:p>
            <w:pPr>
              <w:pStyle w:val="TableParagraph"/>
              <w:spacing w:line="252" w:lineRule="exact" w:before="2"/>
              <w:ind w:right="178"/>
              <w:rPr>
                <w:sz w:val="22"/>
              </w:rPr>
            </w:pPr>
            <w:r>
              <w:rPr>
                <w:sz w:val="22"/>
              </w:rPr>
              <w:t>El Saltillo, Jilotepec</w:t>
            </w:r>
          </w:p>
        </w:tc>
        <w:tc>
          <w:tcPr>
            <w:tcW w:w="1133" w:type="dxa"/>
          </w:tcPr>
          <w:p>
            <w:pPr>
              <w:pStyle w:val="TableParagraph"/>
              <w:ind w:left="100" w:right="134"/>
              <w:rPr>
                <w:sz w:val="22"/>
              </w:rPr>
            </w:pPr>
            <w:r>
              <w:rPr>
                <w:sz w:val="22"/>
              </w:rPr>
              <w:t>El Saltillo, Jilotepec</w:t>
            </w:r>
          </w:p>
        </w:tc>
        <w:tc>
          <w:tcPr>
            <w:tcW w:w="3687" w:type="dxa"/>
          </w:tcPr>
          <w:p>
            <w:pPr>
              <w:pStyle w:val="TableParagraph"/>
              <w:spacing w:line="252" w:lineRule="exact" w:before="2"/>
              <w:rPr>
                <w:sz w:val="22"/>
              </w:rPr>
            </w:pPr>
            <w:r>
              <w:rPr>
                <w:sz w:val="22"/>
              </w:rPr>
              <w:t>Claro que sí! para ponernos de acuerdo de cómo usarla.</w:t>
            </w:r>
          </w:p>
        </w:tc>
      </w:tr>
      <w:tr>
        <w:trPr>
          <w:trHeight w:val="269" w:hRule="exact"/>
        </w:trPr>
        <w:tc>
          <w:tcPr>
            <w:tcW w:w="1385" w:type="dxa"/>
            <w:tcBorders>
              <w:bottom w:val="nil"/>
            </w:tcBorders>
          </w:tcPr>
          <w:p>
            <w:pPr>
              <w:pStyle w:val="TableParagraph"/>
              <w:ind w:right="127"/>
              <w:rPr>
                <w:sz w:val="22"/>
              </w:rPr>
            </w:pPr>
            <w:r>
              <w:rPr>
                <w:sz w:val="22"/>
              </w:rPr>
              <w:t>Fortino</w:t>
            </w:r>
          </w:p>
        </w:tc>
        <w:tc>
          <w:tcPr>
            <w:tcW w:w="1418" w:type="dxa"/>
            <w:tcBorders>
              <w:bottom w:val="nil"/>
            </w:tcBorders>
          </w:tcPr>
          <w:p>
            <w:pPr>
              <w:pStyle w:val="TableParagraph"/>
              <w:ind w:left="100"/>
              <w:rPr>
                <w:sz w:val="22"/>
              </w:rPr>
            </w:pPr>
            <w:r>
              <w:rPr>
                <w:sz w:val="22"/>
              </w:rPr>
              <w:t>El  campo</w:t>
            </w:r>
            <w:r>
              <w:rPr>
                <w:spacing w:val="53"/>
                <w:sz w:val="22"/>
              </w:rPr>
              <w:t> </w:t>
            </w:r>
            <w:r>
              <w:rPr>
                <w:sz w:val="22"/>
              </w:rPr>
              <w:t>y</w:t>
            </w:r>
          </w:p>
        </w:tc>
        <w:tc>
          <w:tcPr>
            <w:tcW w:w="1841" w:type="dxa"/>
            <w:tcBorders>
              <w:bottom w:val="nil"/>
            </w:tcBorders>
          </w:tcPr>
          <w:p>
            <w:pPr>
              <w:pStyle w:val="TableParagraph"/>
              <w:ind w:left="100"/>
              <w:rPr>
                <w:sz w:val="22"/>
              </w:rPr>
            </w:pPr>
            <w:r>
              <w:rPr>
                <w:sz w:val="22"/>
              </w:rPr>
              <w:t>Cooperatica</w:t>
            </w:r>
          </w:p>
        </w:tc>
        <w:tc>
          <w:tcPr>
            <w:tcW w:w="1135" w:type="dxa"/>
            <w:tcBorders>
              <w:bottom w:val="nil"/>
            </w:tcBorders>
          </w:tcPr>
          <w:p>
            <w:pPr>
              <w:pStyle w:val="TableParagraph"/>
              <w:rPr>
                <w:sz w:val="22"/>
              </w:rPr>
            </w:pPr>
            <w:r>
              <w:rPr>
                <w:sz w:val="22"/>
              </w:rPr>
              <w:t>Tesorero</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El</w:t>
            </w:r>
          </w:p>
        </w:tc>
        <w:tc>
          <w:tcPr>
            <w:tcW w:w="1133" w:type="dxa"/>
            <w:tcBorders>
              <w:bottom w:val="nil"/>
            </w:tcBorders>
          </w:tcPr>
          <w:p>
            <w:pPr>
              <w:pStyle w:val="TableParagraph"/>
              <w:ind w:left="100" w:right="52"/>
              <w:rPr>
                <w:sz w:val="22"/>
              </w:rPr>
            </w:pPr>
            <w:r>
              <w:rPr>
                <w:sz w:val="22"/>
              </w:rPr>
              <w:t>El</w:t>
            </w:r>
          </w:p>
        </w:tc>
        <w:tc>
          <w:tcPr>
            <w:tcW w:w="3687" w:type="dxa"/>
            <w:tcBorders>
              <w:bottom w:val="nil"/>
            </w:tcBorders>
          </w:tcPr>
          <w:p>
            <w:pPr>
              <w:pStyle w:val="TableParagraph"/>
              <w:rPr>
                <w:sz w:val="22"/>
              </w:rPr>
            </w:pPr>
            <w:r>
              <w:rPr>
                <w:sz w:val="22"/>
              </w:rPr>
              <w:t>Si iría para ver qué dicen.</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la pesca</w:t>
            </w:r>
          </w:p>
        </w:tc>
        <w:tc>
          <w:tcPr>
            <w:tcW w:w="1841" w:type="dxa"/>
            <w:tcBorders>
              <w:top w:val="nil"/>
              <w:bottom w:val="nil"/>
            </w:tcBorders>
          </w:tcPr>
          <w:p>
            <w:pPr>
              <w:pStyle w:val="TableParagraph"/>
              <w:spacing w:line="241" w:lineRule="exact"/>
              <w:ind w:left="100"/>
              <w:rPr>
                <w:sz w:val="22"/>
              </w:rPr>
            </w:pPr>
            <w:r>
              <w:rPr>
                <w:sz w:val="22"/>
              </w:rPr>
              <w:t>“Pescamex”</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Azafrán,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3687"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Cristobal</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(estaba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2" w:lineRule="exact"/>
              <w:ind w:left="100"/>
              <w:rPr>
                <w:sz w:val="22"/>
              </w:rPr>
            </w:pPr>
            <w:r>
              <w:rPr>
                <w:sz w:val="22"/>
              </w:rPr>
              <w:t>integrada</w:t>
              <w:tab/>
              <w:t>por</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822" w:val="left" w:leader="none"/>
              </w:tabs>
              <w:spacing w:line="241" w:lineRule="exact"/>
              <w:ind w:left="100"/>
              <w:rPr>
                <w:sz w:val="22"/>
              </w:rPr>
            </w:pPr>
            <w:r>
              <w:rPr>
                <w:sz w:val="22"/>
              </w:rPr>
              <w:t>300</w:t>
              <w:tab/>
              <w:t>personas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en  un  principio,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97" w:val="left" w:leader="none"/>
              </w:tabs>
              <w:spacing w:line="241" w:lineRule="exact"/>
              <w:ind w:left="100"/>
              <w:rPr>
                <w:sz w:val="22"/>
              </w:rPr>
            </w:pPr>
            <w:r>
              <w:rPr>
                <w:sz w:val="22"/>
              </w:rPr>
              <w:t>pero</w:t>
              <w:tab/>
              <w:t>se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anotaron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muchos  que  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eran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19" w:val="left" w:leader="none"/>
              </w:tabs>
              <w:spacing w:line="243" w:lineRule="exact"/>
              <w:ind w:left="100"/>
              <w:rPr>
                <w:sz w:val="22"/>
              </w:rPr>
            </w:pPr>
            <w:r>
              <w:rPr>
                <w:sz w:val="22"/>
              </w:rPr>
              <w:t>pescadores</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324" w:val="left" w:leader="none"/>
              </w:tabs>
              <w:spacing w:line="241" w:lineRule="exact"/>
              <w:ind w:left="100"/>
              <w:rPr>
                <w:sz w:val="22"/>
              </w:rPr>
            </w:pPr>
            <w:r>
              <w:rPr>
                <w:sz w:val="22"/>
              </w:rPr>
              <w:t>ahora</w:t>
              <w:tab/>
              <w:t>sólo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quedamos 70).</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6" w:hRule="exact"/>
        </w:trPr>
        <w:tc>
          <w:tcPr>
            <w:tcW w:w="1385" w:type="dxa"/>
            <w:tcBorders>
              <w:bottom w:val="nil"/>
            </w:tcBorders>
          </w:tcPr>
          <w:p>
            <w:pPr>
              <w:pStyle w:val="TableParagraph"/>
              <w:spacing w:line="251" w:lineRule="exact"/>
              <w:ind w:left="165" w:right="127"/>
              <w:rPr>
                <w:sz w:val="22"/>
              </w:rPr>
            </w:pPr>
            <w:r>
              <w:rPr>
                <w:sz w:val="22"/>
              </w:rPr>
              <w:t>Malaquías</w:t>
            </w:r>
          </w:p>
        </w:tc>
        <w:tc>
          <w:tcPr>
            <w:tcW w:w="1418" w:type="dxa"/>
            <w:tcBorders>
              <w:bottom w:val="nil"/>
            </w:tcBorders>
          </w:tcPr>
          <w:p>
            <w:pPr>
              <w:pStyle w:val="TableParagraph"/>
              <w:spacing w:line="251" w:lineRule="exact"/>
              <w:ind w:left="151" w:right="101"/>
              <w:rPr>
                <w:sz w:val="22"/>
              </w:rPr>
            </w:pPr>
            <w:r>
              <w:rPr>
                <w:sz w:val="22"/>
              </w:rPr>
              <w:t>Agricultor y</w:t>
            </w:r>
          </w:p>
        </w:tc>
        <w:tc>
          <w:tcPr>
            <w:tcW w:w="1841" w:type="dxa"/>
            <w:tcBorders>
              <w:bottom w:val="nil"/>
            </w:tcBorders>
          </w:tcPr>
          <w:p>
            <w:pPr>
              <w:pStyle w:val="TableParagraph"/>
              <w:spacing w:line="251" w:lineRule="exact"/>
              <w:ind w:left="100"/>
              <w:rPr>
                <w:sz w:val="22"/>
              </w:rPr>
            </w:pPr>
            <w:r>
              <w:rPr>
                <w:sz w:val="22"/>
              </w:rPr>
              <w:t>No   recuerdo</w:t>
            </w:r>
            <w:r>
              <w:rPr>
                <w:spacing w:val="59"/>
                <w:sz w:val="22"/>
              </w:rPr>
              <w:t> </w:t>
            </w:r>
            <w:r>
              <w:rPr>
                <w:sz w:val="22"/>
              </w:rPr>
              <w:t>el</w:t>
            </w:r>
          </w:p>
        </w:tc>
        <w:tc>
          <w:tcPr>
            <w:tcW w:w="1135" w:type="dxa"/>
            <w:tcBorders>
              <w:bottom w:val="nil"/>
            </w:tcBorders>
          </w:tcPr>
          <w:p>
            <w:pPr>
              <w:pStyle w:val="TableParagraph"/>
              <w:spacing w:line="251" w:lineRule="exact"/>
              <w:rPr>
                <w:sz w:val="22"/>
              </w:rPr>
            </w:pPr>
            <w:r>
              <w:rPr>
                <w:sz w:val="22"/>
              </w:rPr>
              <w:t>Inegrant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Zaragoza,</w:t>
            </w:r>
          </w:p>
        </w:tc>
        <w:tc>
          <w:tcPr>
            <w:tcW w:w="1133" w:type="dxa"/>
            <w:tcBorders>
              <w:bottom w:val="nil"/>
            </w:tcBorders>
          </w:tcPr>
          <w:p>
            <w:pPr>
              <w:pStyle w:val="TableParagraph"/>
              <w:spacing w:line="251" w:lineRule="exact"/>
              <w:ind w:left="100" w:right="52"/>
              <w:rPr>
                <w:sz w:val="22"/>
              </w:rPr>
            </w:pPr>
            <w:r>
              <w:rPr>
                <w:sz w:val="22"/>
              </w:rPr>
              <w:t>Zaragoz</w:t>
            </w:r>
          </w:p>
        </w:tc>
        <w:tc>
          <w:tcPr>
            <w:tcW w:w="3687" w:type="dxa"/>
            <w:tcBorders>
              <w:bottom w:val="nil"/>
            </w:tcBorders>
          </w:tcPr>
          <w:p>
            <w:pPr>
              <w:pStyle w:val="TableParagraph"/>
              <w:spacing w:line="251" w:lineRule="exact"/>
              <w:rPr>
                <w:sz w:val="22"/>
              </w:rPr>
            </w:pPr>
            <w:r>
              <w:rPr>
                <w:sz w:val="22"/>
              </w:rPr>
              <w:t>Sí  porque  necesitamos </w:t>
            </w:r>
            <w:r>
              <w:rPr>
                <w:spacing w:val="52"/>
                <w:sz w:val="22"/>
              </w:rPr>
              <w:t> </w:t>
            </w:r>
            <w:r>
              <w:rPr>
                <w:sz w:val="22"/>
              </w:rPr>
              <w:t>ponernos</w:t>
            </w:r>
          </w:p>
        </w:tc>
      </w:tr>
      <w:tr>
        <w:trPr>
          <w:trHeight w:val="253" w:hRule="exact"/>
        </w:trPr>
        <w:tc>
          <w:tcPr>
            <w:tcW w:w="1385" w:type="dxa"/>
            <w:tcBorders>
              <w:top w:val="nil"/>
              <w:bottom w:val="nil"/>
            </w:tcBorders>
          </w:tcPr>
          <w:p>
            <w:pPr>
              <w:pStyle w:val="TableParagraph"/>
              <w:spacing w:line="241" w:lineRule="exact"/>
              <w:rPr>
                <w:sz w:val="22"/>
              </w:rPr>
            </w:pPr>
            <w:r>
              <w:rPr>
                <w:sz w:val="22"/>
              </w:rPr>
              <w:t>de  la  Cruz</w:t>
            </w:r>
          </w:p>
        </w:tc>
        <w:tc>
          <w:tcPr>
            <w:tcW w:w="1418" w:type="dxa"/>
            <w:tcBorders>
              <w:top w:val="nil"/>
              <w:bottom w:val="nil"/>
            </w:tcBorders>
          </w:tcPr>
          <w:p>
            <w:pPr>
              <w:pStyle w:val="TableParagraph"/>
              <w:spacing w:line="241" w:lineRule="exact"/>
              <w:ind w:left="100"/>
              <w:rPr>
                <w:sz w:val="22"/>
              </w:rPr>
            </w:pPr>
            <w:r>
              <w:rPr>
                <w:sz w:val="22"/>
              </w:rPr>
              <w:t>era la pesca</w:t>
            </w:r>
          </w:p>
        </w:tc>
        <w:tc>
          <w:tcPr>
            <w:tcW w:w="1841" w:type="dxa"/>
            <w:tcBorders>
              <w:top w:val="nil"/>
              <w:bottom w:val="nil"/>
            </w:tcBorders>
          </w:tcPr>
          <w:p>
            <w:pPr>
              <w:pStyle w:val="TableParagraph"/>
              <w:spacing w:line="241" w:lineRule="exact"/>
              <w:ind w:left="100"/>
              <w:rPr>
                <w:sz w:val="22"/>
              </w:rPr>
            </w:pPr>
            <w:r>
              <w:rPr>
                <w:sz w:val="22"/>
              </w:rPr>
              <w:t>nombre   porque</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w:t>
            </w:r>
          </w:p>
        </w:tc>
        <w:tc>
          <w:tcPr>
            <w:tcW w:w="3687" w:type="dxa"/>
            <w:tcBorders>
              <w:top w:val="nil"/>
              <w:bottom w:val="nil"/>
            </w:tcBorders>
          </w:tcPr>
          <w:p>
            <w:pPr>
              <w:pStyle w:val="TableParagraph"/>
              <w:spacing w:line="241" w:lineRule="exact"/>
              <w:rPr>
                <w:sz w:val="22"/>
              </w:rPr>
            </w:pPr>
            <w:r>
              <w:rPr>
                <w:sz w:val="22"/>
              </w:rPr>
              <w:t>de acuerdo.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Nicolás</w:t>
            </w:r>
          </w:p>
        </w:tc>
        <w:tc>
          <w:tcPr>
            <w:tcW w:w="1418" w:type="dxa"/>
            <w:tcBorders>
              <w:top w:val="nil"/>
              <w:bottom w:val="nil"/>
            </w:tcBorders>
          </w:tcPr>
          <w:p>
            <w:pPr>
              <w:pStyle w:val="TableParagraph"/>
              <w:spacing w:line="242" w:lineRule="exact"/>
              <w:ind w:left="211" w:right="101"/>
              <w:rPr>
                <w:sz w:val="22"/>
              </w:rPr>
            </w:pPr>
            <w:r>
              <w:rPr>
                <w:sz w:val="22"/>
              </w:rPr>
              <w:t>porque ya</w:t>
            </w:r>
          </w:p>
        </w:tc>
        <w:tc>
          <w:tcPr>
            <w:tcW w:w="1841" w:type="dxa"/>
            <w:tcBorders>
              <w:top w:val="nil"/>
              <w:bottom w:val="nil"/>
            </w:tcBorders>
          </w:tcPr>
          <w:p>
            <w:pPr>
              <w:pStyle w:val="TableParagraph"/>
              <w:spacing w:line="242" w:lineRule="exact"/>
              <w:ind w:left="100"/>
              <w:rPr>
                <w:sz w:val="22"/>
              </w:rPr>
            </w:pPr>
            <w:r>
              <w:rPr>
                <w:sz w:val="22"/>
              </w:rPr>
              <w:t>ya tiene tiempo.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Timilpan</w:t>
            </w:r>
          </w:p>
        </w:tc>
        <w:tc>
          <w:tcPr>
            <w:tcW w:w="3687"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(24/I/2015)</w:t>
            </w:r>
          </w:p>
        </w:tc>
        <w:tc>
          <w:tcPr>
            <w:tcW w:w="1418" w:type="dxa"/>
            <w:tcBorders>
              <w:top w:val="nil"/>
              <w:bottom w:val="nil"/>
            </w:tcBorders>
          </w:tcPr>
          <w:p>
            <w:pPr>
              <w:pStyle w:val="TableParagraph"/>
              <w:spacing w:line="241" w:lineRule="exact"/>
              <w:ind w:left="372" w:right="101"/>
              <w:rPr>
                <w:sz w:val="22"/>
              </w:rPr>
            </w:pPr>
            <w:r>
              <w:rPr>
                <w:sz w:val="22"/>
              </w:rPr>
              <w:t>no hay</w:t>
            </w:r>
          </w:p>
        </w:tc>
        <w:tc>
          <w:tcPr>
            <w:tcW w:w="1841" w:type="dxa"/>
            <w:tcBorders>
              <w:top w:val="nil"/>
              <w:bottom w:val="nil"/>
            </w:tcBorders>
          </w:tcPr>
          <w:p>
            <w:pPr>
              <w:pStyle w:val="TableParagraph"/>
              <w:spacing w:line="241" w:lineRule="exact"/>
              <w:ind w:left="100"/>
              <w:rPr>
                <w:sz w:val="22"/>
              </w:rPr>
            </w:pPr>
            <w:r>
              <w:rPr>
                <w:sz w:val="22"/>
              </w:rPr>
              <w:t>(10 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Style w:val="TableParagraph"/>
              <w:spacing w:line="242" w:lineRule="exact"/>
              <w:ind w:left="285" w:right="101"/>
              <w:rPr>
                <w:sz w:val="22"/>
              </w:rPr>
            </w:pPr>
            <w:r>
              <w:rPr>
                <w:sz w:val="22"/>
              </w:rPr>
              <w:t>pescado</w:t>
            </w: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7" w:hRule="exact"/>
        </w:trPr>
        <w:tc>
          <w:tcPr>
            <w:tcW w:w="1385" w:type="dxa"/>
            <w:tcBorders>
              <w:bottom w:val="nil"/>
            </w:tcBorders>
          </w:tcPr>
          <w:p>
            <w:pPr>
              <w:pStyle w:val="TableParagraph"/>
              <w:spacing w:line="251" w:lineRule="exact"/>
              <w:ind w:left="251" w:right="127"/>
              <w:rPr>
                <w:sz w:val="22"/>
              </w:rPr>
            </w:pPr>
            <w:r>
              <w:rPr>
                <w:sz w:val="22"/>
              </w:rPr>
              <w:t>Anónimo</w:t>
            </w:r>
          </w:p>
        </w:tc>
        <w:tc>
          <w:tcPr>
            <w:tcW w:w="1418" w:type="dxa"/>
            <w:tcBorders>
              <w:bottom w:val="nil"/>
            </w:tcBorders>
          </w:tcPr>
          <w:p>
            <w:pPr>
              <w:pStyle w:val="TableParagraph"/>
              <w:spacing w:line="251" w:lineRule="exact"/>
              <w:ind w:left="156" w:right="101"/>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No   recuerdo</w:t>
            </w:r>
            <w:r>
              <w:rPr>
                <w:spacing w:val="59"/>
                <w:sz w:val="22"/>
              </w:rPr>
              <w:t> </w:t>
            </w:r>
            <w:r>
              <w:rPr>
                <w:sz w:val="22"/>
              </w:rPr>
              <w:t>el</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3687" w:type="dxa"/>
            <w:tcBorders>
              <w:bottom w:val="nil"/>
            </w:tcBorders>
          </w:tcPr>
          <w:p>
            <w:pPr>
              <w:pStyle w:val="TableParagraph"/>
              <w:spacing w:line="251" w:lineRule="exact"/>
              <w:rPr>
                <w:sz w:val="22"/>
              </w:rPr>
            </w:pPr>
            <w:r>
              <w:rPr>
                <w:sz w:val="22"/>
              </w:rPr>
              <w:t>Sí   porque   nos   interesa   que  la</w:t>
            </w:r>
          </w:p>
        </w:tc>
      </w:tr>
      <w:tr>
        <w:trPr>
          <w:trHeight w:val="254" w:hRule="exact"/>
        </w:trPr>
        <w:tc>
          <w:tcPr>
            <w:tcW w:w="1385" w:type="dxa"/>
            <w:tcBorders>
              <w:top w:val="nil"/>
              <w:bottom w:val="nil"/>
            </w:tcBorders>
          </w:tcPr>
          <w:p>
            <w:pPr>
              <w:pStyle w:val="TableParagraph"/>
              <w:spacing w:line="242" w:lineRule="exact"/>
              <w:ind w:left="155"/>
              <w:rPr>
                <w:sz w:val="22"/>
              </w:rPr>
            </w:pPr>
            <w:r>
              <w:rPr>
                <w:sz w:val="22"/>
              </w:rPr>
              <w:t>(24/I/2015)</w:t>
            </w:r>
          </w:p>
        </w:tc>
        <w:tc>
          <w:tcPr>
            <w:tcW w:w="1418" w:type="dxa"/>
            <w:tcBorders>
              <w:top w:val="nil"/>
              <w:bottom w:val="nil"/>
            </w:tcBorders>
          </w:tcPr>
          <w:p>
            <w:pPr>
              <w:pStyle w:val="TableParagraph"/>
              <w:spacing w:line="242" w:lineRule="exact"/>
              <w:ind w:left="292" w:right="101"/>
              <w:rPr>
                <w:sz w:val="22"/>
              </w:rPr>
            </w:pPr>
            <w:r>
              <w:rPr>
                <w:sz w:val="22"/>
              </w:rPr>
              <w:t>la pesca</w:t>
            </w:r>
          </w:p>
        </w:tc>
        <w:tc>
          <w:tcPr>
            <w:tcW w:w="1841" w:type="dxa"/>
            <w:tcBorders>
              <w:top w:val="nil"/>
              <w:bottom w:val="nil"/>
            </w:tcBorders>
          </w:tcPr>
          <w:p>
            <w:pPr>
              <w:pStyle w:val="TableParagraph"/>
              <w:tabs>
                <w:tab w:pos="1117" w:val="left" w:leader="none"/>
                <w:tab w:pos="1556" w:val="left" w:leader="none"/>
              </w:tabs>
              <w:spacing w:line="242" w:lineRule="exact"/>
              <w:ind w:left="100"/>
              <w:rPr>
                <w:sz w:val="22"/>
              </w:rPr>
            </w:pPr>
            <w:r>
              <w:rPr>
                <w:sz w:val="22"/>
              </w:rPr>
              <w:t>nombre</w:t>
              <w:tab/>
              <w:t>ni</w:t>
              <w:tab/>
              <w:t>el</w:t>
            </w:r>
          </w:p>
        </w:tc>
        <w:tc>
          <w:tcPr>
            <w:tcW w:w="1135" w:type="dxa"/>
            <w:tcBorders>
              <w:top w:val="nil"/>
              <w:bottom w:val="nil"/>
            </w:tcBorders>
          </w:tcPr>
          <w:p>
            <w:pPr>
              <w:pStyle w:val="TableParagraph"/>
              <w:spacing w:line="242" w:lineRule="exact"/>
              <w:rPr>
                <w:sz w:val="22"/>
              </w:rPr>
            </w:pPr>
            <w:r>
              <w:rPr>
                <w:w w:val="100"/>
                <w:sz w:val="22"/>
              </w:rPr>
              <w:t>e</w:t>
            </w: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Style w:val="TableParagraph"/>
              <w:spacing w:line="242" w:lineRule="exact"/>
              <w:ind w:right="92"/>
              <w:rPr>
                <w:sz w:val="22"/>
              </w:rPr>
            </w:pPr>
            <w:r>
              <w:rPr>
                <w:sz w:val="22"/>
              </w:rPr>
              <w:t>campesin</w:t>
            </w:r>
          </w:p>
        </w:tc>
        <w:tc>
          <w:tcPr>
            <w:tcW w:w="1133" w:type="dxa"/>
            <w:tcBorders>
              <w:top w:val="nil"/>
              <w:bottom w:val="nil"/>
            </w:tcBorders>
          </w:tcPr>
          <w:p>
            <w:pPr>
              <w:pStyle w:val="TableParagraph"/>
              <w:spacing w:line="242" w:lineRule="exact"/>
              <w:ind w:left="100" w:right="52"/>
              <w:rPr>
                <w:sz w:val="22"/>
              </w:rPr>
            </w:pPr>
            <w:r>
              <w:rPr>
                <w:sz w:val="22"/>
              </w:rPr>
              <w:t>campesi</w:t>
            </w:r>
          </w:p>
        </w:tc>
        <w:tc>
          <w:tcPr>
            <w:tcW w:w="3687" w:type="dxa"/>
            <w:tcBorders>
              <w:top w:val="nil"/>
              <w:bottom w:val="nil"/>
            </w:tcBorders>
          </w:tcPr>
          <w:p>
            <w:pPr>
              <w:pStyle w:val="TableParagraph"/>
              <w:spacing w:line="242" w:lineRule="exact"/>
              <w:rPr>
                <w:sz w:val="22"/>
              </w:rPr>
            </w:pPr>
            <w:r>
              <w:rPr>
                <w:sz w:val="22"/>
              </w:rPr>
              <w:t>laguna este limpia.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1" w:lineRule="exact"/>
              <w:ind w:left="100"/>
              <w:rPr>
                <w:sz w:val="22"/>
              </w:rPr>
            </w:pPr>
            <w:r>
              <w:rPr>
                <w:sz w:val="22"/>
              </w:rPr>
              <w:t>número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3687"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integrantes</w:t>
            </w:r>
          </w:p>
        </w:tc>
        <w:tc>
          <w:tcPr>
            <w:tcW w:w="1135" w:type="dxa"/>
            <w:tcBorders>
              <w:top w:val="nil"/>
            </w:tcBorders>
          </w:tcPr>
          <w:p>
            <w:pPr/>
          </w:p>
        </w:tc>
        <w:tc>
          <w:tcPr>
            <w:tcW w:w="991" w:type="dxa"/>
            <w:tcBorders>
              <w:top w:val="nil"/>
            </w:tcBorders>
          </w:tcPr>
          <w:p>
            <w:pPr/>
          </w:p>
        </w:tc>
        <w:tc>
          <w:tcPr>
            <w:tcW w:w="1277" w:type="dxa"/>
            <w:tcBorders>
              <w:top w:val="nil"/>
            </w:tcBorders>
          </w:tcPr>
          <w:p>
            <w:pPr>
              <w:pStyle w:val="TableParagraph"/>
              <w:spacing w:line="241" w:lineRule="exact"/>
              <w:ind w:right="92"/>
              <w:rPr>
                <w:sz w:val="22"/>
              </w:rPr>
            </w:pPr>
            <w:r>
              <w:rPr>
                <w:sz w:val="22"/>
              </w:rPr>
              <w:t>Timilpan</w:t>
            </w:r>
          </w:p>
        </w:tc>
        <w:tc>
          <w:tcPr>
            <w:tcW w:w="1133" w:type="dxa"/>
            <w:tcBorders>
              <w:top w:val="nil"/>
            </w:tcBorders>
          </w:tcPr>
          <w:p>
            <w:pPr>
              <w:pStyle w:val="TableParagraph"/>
              <w:spacing w:line="241" w:lineRule="exact"/>
              <w:ind w:left="100" w:right="52"/>
              <w:rPr>
                <w:sz w:val="22"/>
              </w:rPr>
            </w:pPr>
            <w:r>
              <w:rPr>
                <w:sz w:val="22"/>
              </w:rPr>
              <w:t>Timilpan</w:t>
            </w:r>
          </w:p>
        </w:tc>
        <w:tc>
          <w:tcPr>
            <w:tcW w:w="3687"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Elizabeth</w:t>
            </w:r>
          </w:p>
        </w:tc>
        <w:tc>
          <w:tcPr>
            <w:tcW w:w="1418" w:type="dxa"/>
            <w:tcBorders>
              <w:bottom w:val="nil"/>
            </w:tcBorders>
          </w:tcPr>
          <w:p>
            <w:pPr>
              <w:pStyle w:val="TableParagraph"/>
              <w:spacing w:line="251" w:lineRule="exact"/>
              <w:ind w:left="206" w:right="101"/>
              <w:rPr>
                <w:sz w:val="22"/>
              </w:rPr>
            </w:pPr>
            <w:r>
              <w:rPr>
                <w:sz w:val="22"/>
              </w:rPr>
              <w:t>El hogar y</w:t>
            </w:r>
          </w:p>
        </w:tc>
        <w:tc>
          <w:tcPr>
            <w:tcW w:w="1841" w:type="dxa"/>
            <w:tcBorders>
              <w:bottom w:val="nil"/>
            </w:tcBorders>
          </w:tcPr>
          <w:p>
            <w:pPr>
              <w:pStyle w:val="TableParagraph"/>
              <w:tabs>
                <w:tab w:pos="578" w:val="left" w:leader="none"/>
                <w:tab w:pos="1497" w:val="left" w:leader="none"/>
              </w:tabs>
              <w:spacing w:line="251" w:lineRule="exact"/>
              <w:ind w:left="100"/>
              <w:rPr>
                <w:sz w:val="22"/>
              </w:rPr>
            </w:pPr>
            <w:r>
              <w:rPr>
                <w:sz w:val="22"/>
              </w:rPr>
              <w:t>Su</w:t>
              <w:tab/>
              <w:t>esposo</w:t>
              <w:tab/>
              <w:t>es</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3687" w:type="dxa"/>
            <w:tcBorders>
              <w:bottom w:val="nil"/>
            </w:tcBorders>
          </w:tcPr>
          <w:p>
            <w:pPr>
              <w:pStyle w:val="TableParagraph"/>
              <w:spacing w:line="251" w:lineRule="exact"/>
              <w:rPr>
                <w:sz w:val="22"/>
              </w:rPr>
            </w:pPr>
            <w:r>
              <w:rPr>
                <w:sz w:val="22"/>
              </w:rPr>
              <w:t>Sí  pues  porque  sería  cuestión de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Valencia</w:t>
            </w:r>
          </w:p>
        </w:tc>
        <w:tc>
          <w:tcPr>
            <w:tcW w:w="1418" w:type="dxa"/>
            <w:tcBorders>
              <w:top w:val="nil"/>
              <w:bottom w:val="nil"/>
            </w:tcBorders>
          </w:tcPr>
          <w:p>
            <w:pPr>
              <w:pStyle w:val="TableParagraph"/>
              <w:spacing w:line="241" w:lineRule="exact"/>
              <w:ind w:left="168" w:right="101"/>
              <w:rPr>
                <w:sz w:val="22"/>
              </w:rPr>
            </w:pPr>
            <w:r>
              <w:rPr>
                <w:sz w:val="22"/>
              </w:rPr>
              <w:t>preparar el</w:t>
            </w:r>
          </w:p>
        </w:tc>
        <w:tc>
          <w:tcPr>
            <w:tcW w:w="1841" w:type="dxa"/>
            <w:tcBorders>
              <w:top w:val="nil"/>
              <w:bottom w:val="nil"/>
            </w:tcBorders>
          </w:tcPr>
          <w:p>
            <w:pPr>
              <w:pStyle w:val="TableParagraph"/>
              <w:tabs>
                <w:tab w:pos="1484" w:val="left" w:leader="none"/>
              </w:tabs>
              <w:spacing w:line="241" w:lineRule="exact"/>
              <w:ind w:left="100"/>
              <w:rPr>
                <w:sz w:val="22"/>
              </w:rPr>
            </w:pPr>
            <w:r>
              <w:rPr>
                <w:sz w:val="22"/>
              </w:rPr>
              <w:t>integrante</w:t>
              <w:tab/>
              <w:t>de</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Arenas,</w:t>
            </w:r>
          </w:p>
        </w:tc>
        <w:tc>
          <w:tcPr>
            <w:tcW w:w="1133" w:type="dxa"/>
            <w:tcBorders>
              <w:top w:val="nil"/>
              <w:bottom w:val="nil"/>
            </w:tcBorders>
          </w:tcPr>
          <w:p>
            <w:pPr>
              <w:pStyle w:val="TableParagraph"/>
              <w:spacing w:line="241" w:lineRule="exact"/>
              <w:ind w:left="100" w:right="52"/>
              <w:rPr>
                <w:sz w:val="22"/>
              </w:rPr>
            </w:pPr>
            <w:r>
              <w:rPr>
                <w:sz w:val="22"/>
              </w:rPr>
              <w:t>Arenas,</w:t>
            </w:r>
          </w:p>
        </w:tc>
        <w:tc>
          <w:tcPr>
            <w:tcW w:w="3687" w:type="dxa"/>
            <w:tcBorders>
              <w:top w:val="nil"/>
              <w:bottom w:val="nil"/>
            </w:tcBorders>
          </w:tcPr>
          <w:p>
            <w:pPr>
              <w:pStyle w:val="TableParagraph"/>
              <w:spacing w:line="241" w:lineRule="exact"/>
              <w:rPr>
                <w:sz w:val="22"/>
              </w:rPr>
            </w:pPr>
            <w:r>
              <w:rPr>
                <w:sz w:val="22"/>
              </w:rPr>
              <w:t>ver  que  se  va  a  hacer  con      la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285" w:right="101"/>
              <w:rPr>
                <w:sz w:val="22"/>
              </w:rPr>
            </w:pPr>
            <w:r>
              <w:rPr>
                <w:sz w:val="22"/>
              </w:rPr>
              <w:t>pescado</w:t>
            </w:r>
          </w:p>
        </w:tc>
        <w:tc>
          <w:tcPr>
            <w:tcW w:w="1841" w:type="dxa"/>
            <w:tcBorders>
              <w:top w:val="nil"/>
              <w:bottom w:val="nil"/>
            </w:tcBorders>
          </w:tcPr>
          <w:p>
            <w:pPr>
              <w:pStyle w:val="TableParagraph"/>
              <w:spacing w:line="242" w:lineRule="exact"/>
              <w:ind w:left="100"/>
              <w:rPr>
                <w:sz w:val="22"/>
              </w:rPr>
            </w:pPr>
            <w:r>
              <w:rPr>
                <w:sz w:val="22"/>
              </w:rPr>
              <w:t>una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Acambay</w:t>
            </w:r>
          </w:p>
        </w:tc>
        <w:tc>
          <w:tcPr>
            <w:tcW w:w="3687" w:type="dxa"/>
            <w:tcBorders>
              <w:top w:val="nil"/>
              <w:bottom w:val="nil"/>
            </w:tcBorders>
          </w:tcPr>
          <w:p>
            <w:pPr>
              <w:pStyle w:val="TableParagraph"/>
              <w:spacing w:line="242" w:lineRule="exact"/>
              <w:rPr>
                <w:sz w:val="22"/>
              </w:rPr>
            </w:pPr>
            <w:r>
              <w:rPr>
                <w:sz w:val="22"/>
              </w:rPr>
              <w:t>laguna   que   abastece   familias  y</w:t>
            </w:r>
          </w:p>
        </w:tc>
      </w:tr>
      <w:tr>
        <w:trPr>
          <w:trHeight w:val="250" w:hRule="exact"/>
        </w:trPr>
        <w:tc>
          <w:tcPr>
            <w:tcW w:w="1385" w:type="dxa"/>
            <w:tcBorders>
              <w:top w:val="nil"/>
            </w:tcBorders>
          </w:tcPr>
          <w:p>
            <w:pPr>
              <w:pStyle w:val="TableParagraph"/>
              <w:spacing w:line="241" w:lineRule="exact"/>
              <w:rPr>
                <w:sz w:val="22"/>
              </w:rPr>
            </w:pPr>
            <w:r>
              <w:rPr>
                <w:sz w:val="22"/>
              </w:rPr>
              <w:t>(esposa  de</w:t>
            </w:r>
          </w:p>
        </w:tc>
        <w:tc>
          <w:tcPr>
            <w:tcW w:w="1418" w:type="dxa"/>
            <w:tcBorders>
              <w:top w:val="nil"/>
            </w:tcBorders>
          </w:tcPr>
          <w:p>
            <w:pPr>
              <w:pStyle w:val="TableParagraph"/>
              <w:spacing w:line="241" w:lineRule="exact"/>
              <w:ind w:left="297" w:right="101"/>
              <w:rPr>
                <w:sz w:val="22"/>
              </w:rPr>
            </w:pPr>
            <w:r>
              <w:rPr>
                <w:sz w:val="22"/>
              </w:rPr>
              <w:t>para ir a</w:t>
            </w:r>
          </w:p>
        </w:tc>
        <w:tc>
          <w:tcPr>
            <w:tcW w:w="1841" w:type="dxa"/>
            <w:tcBorders>
              <w:top w:val="nil"/>
            </w:tcBorders>
          </w:tcPr>
          <w:p>
            <w:pPr>
              <w:pStyle w:val="TableParagraph"/>
              <w:spacing w:line="241" w:lineRule="exact"/>
              <w:ind w:left="100"/>
              <w:rPr>
                <w:sz w:val="22"/>
              </w:rPr>
            </w:pPr>
            <w:r>
              <w:rPr>
                <w:sz w:val="22"/>
              </w:rPr>
              <w:t>cooperativa,</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Style w:val="TableParagraph"/>
              <w:spacing w:line="241" w:lineRule="exact"/>
              <w:rPr>
                <w:sz w:val="22"/>
              </w:rPr>
            </w:pPr>
            <w:r>
              <w:rPr>
                <w:sz w:val="22"/>
              </w:rPr>
              <w:t>sería  bueno  saber  que  se  va    a</w:t>
            </w:r>
          </w:p>
        </w:tc>
      </w:tr>
    </w:tbl>
    <w:p>
      <w:pPr>
        <w:spacing w:after="0" w:line="24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3687"/>
      </w:tblGrid>
      <w:tr>
        <w:trPr>
          <w:trHeight w:val="1526" w:hRule="exact"/>
        </w:trPr>
        <w:tc>
          <w:tcPr>
            <w:tcW w:w="1385" w:type="dxa"/>
          </w:tcPr>
          <w:p>
            <w:pPr>
              <w:pStyle w:val="TableParagraph"/>
              <w:ind w:right="188"/>
              <w:rPr>
                <w:sz w:val="22"/>
              </w:rPr>
            </w:pPr>
            <w:r>
              <w:rPr>
                <w:sz w:val="22"/>
              </w:rPr>
              <w:t>un pescador) (31/I/2015)</w:t>
            </w:r>
          </w:p>
        </w:tc>
        <w:tc>
          <w:tcPr>
            <w:tcW w:w="1418" w:type="dxa"/>
          </w:tcPr>
          <w:p>
            <w:pPr>
              <w:pStyle w:val="TableParagraph"/>
              <w:ind w:left="206" w:right="207" w:hanging="4"/>
              <w:jc w:val="center"/>
              <w:rPr>
                <w:sz w:val="22"/>
              </w:rPr>
            </w:pPr>
            <w:r>
              <w:rPr>
                <w:sz w:val="22"/>
              </w:rPr>
              <w:t>vender en el tianguis de   Acambay los  domingos</w:t>
            </w:r>
          </w:p>
        </w:tc>
        <w:tc>
          <w:tcPr>
            <w:tcW w:w="1841" w:type="dxa"/>
          </w:tcPr>
          <w:p>
            <w:pPr>
              <w:pStyle w:val="TableParagraph"/>
              <w:tabs>
                <w:tab w:pos="1485" w:val="left" w:leader="none"/>
              </w:tabs>
              <w:spacing w:line="250" w:lineRule="exact"/>
              <w:ind w:left="100"/>
              <w:jc w:val="both"/>
              <w:rPr>
                <w:sz w:val="22"/>
              </w:rPr>
            </w:pPr>
            <w:r>
              <w:rPr>
                <w:sz w:val="22"/>
              </w:rPr>
              <w:t>pero</w:t>
              <w:tab/>
              <w:t>no</w:t>
            </w:r>
          </w:p>
          <w:p>
            <w:pPr>
              <w:pStyle w:val="TableParagraph"/>
              <w:ind w:left="100" w:right="99"/>
              <w:jc w:val="both"/>
              <w:rPr>
                <w:sz w:val="22"/>
              </w:rPr>
            </w:pPr>
            <w:r>
              <w:rPr>
                <w:sz w:val="22"/>
              </w:rPr>
              <w:t>recuerdo el nombre, ni el número de integrantes.</w:t>
            </w:r>
          </w:p>
        </w:tc>
        <w:tc>
          <w:tcPr>
            <w:tcW w:w="1135" w:type="dxa"/>
          </w:tcPr>
          <w:p>
            <w:pPr/>
          </w:p>
        </w:tc>
        <w:tc>
          <w:tcPr>
            <w:tcW w:w="991" w:type="dxa"/>
          </w:tcPr>
          <w:p>
            <w:pPr/>
          </w:p>
        </w:tc>
        <w:tc>
          <w:tcPr>
            <w:tcW w:w="1277" w:type="dxa"/>
          </w:tcPr>
          <w:p>
            <w:pPr/>
          </w:p>
        </w:tc>
        <w:tc>
          <w:tcPr>
            <w:tcW w:w="1133" w:type="dxa"/>
          </w:tcPr>
          <w:p>
            <w:pPr/>
          </w:p>
        </w:tc>
        <w:tc>
          <w:tcPr>
            <w:tcW w:w="3687" w:type="dxa"/>
          </w:tcPr>
          <w:p>
            <w:pPr>
              <w:pStyle w:val="TableParagraph"/>
              <w:spacing w:line="251" w:lineRule="exact"/>
              <w:rPr>
                <w:sz w:val="22"/>
              </w:rPr>
            </w:pPr>
            <w:r>
              <w:rPr>
                <w:sz w:val="22"/>
              </w:rPr>
              <w:t>hacer para cuidarla.</w:t>
            </w:r>
          </w:p>
        </w:tc>
      </w:tr>
      <w:tr>
        <w:trPr>
          <w:trHeight w:val="1023" w:hRule="exact"/>
        </w:trPr>
        <w:tc>
          <w:tcPr>
            <w:tcW w:w="1385" w:type="dxa"/>
          </w:tcPr>
          <w:p>
            <w:pPr>
              <w:pStyle w:val="TableParagraph"/>
              <w:ind w:right="188"/>
              <w:rPr>
                <w:sz w:val="22"/>
              </w:rPr>
            </w:pPr>
            <w:r>
              <w:rPr>
                <w:sz w:val="22"/>
              </w:rPr>
              <w:t>Agustín Santiago Valentín (31/I/2015)</w:t>
            </w:r>
          </w:p>
        </w:tc>
        <w:tc>
          <w:tcPr>
            <w:tcW w:w="1418" w:type="dxa"/>
          </w:tcPr>
          <w:p>
            <w:pPr>
              <w:pStyle w:val="TableParagraph"/>
              <w:ind w:left="292" w:right="145" w:hanging="137"/>
              <w:rPr>
                <w:sz w:val="22"/>
              </w:rPr>
            </w:pPr>
            <w:r>
              <w:rPr>
                <w:sz w:val="22"/>
              </w:rPr>
              <w:t>El campo y la pesca</w:t>
            </w:r>
          </w:p>
        </w:tc>
        <w:tc>
          <w:tcPr>
            <w:tcW w:w="1841" w:type="dxa"/>
          </w:tcPr>
          <w:p>
            <w:pPr>
              <w:pStyle w:val="TableParagraph"/>
              <w:spacing w:line="252" w:lineRule="exact"/>
              <w:ind w:left="100"/>
              <w:rPr>
                <w:sz w:val="22"/>
              </w:rPr>
            </w:pPr>
            <w:r>
              <w:rPr>
                <w:sz w:val="22"/>
              </w:rPr>
              <w:t>Cooperativa</w:t>
            </w:r>
          </w:p>
          <w:p>
            <w:pPr>
              <w:pStyle w:val="TableParagraph"/>
              <w:spacing w:line="252" w:lineRule="exact"/>
              <w:ind w:left="100"/>
              <w:rPr>
                <w:sz w:val="22"/>
              </w:rPr>
            </w:pPr>
            <w:r>
              <w:rPr>
                <w:sz w:val="22"/>
              </w:rPr>
              <w:t>“Pescarenas”</w:t>
            </w:r>
          </w:p>
        </w:tc>
        <w:tc>
          <w:tcPr>
            <w:tcW w:w="1135" w:type="dxa"/>
          </w:tcPr>
          <w:p>
            <w:pPr>
              <w:pStyle w:val="TableParagraph"/>
              <w:ind w:right="134"/>
              <w:rPr>
                <w:sz w:val="22"/>
              </w:rPr>
            </w:pPr>
            <w:r>
              <w:rPr>
                <w:sz w:val="22"/>
              </w:rPr>
              <w:t>Integrant e</w:t>
            </w:r>
          </w:p>
        </w:tc>
        <w:tc>
          <w:tcPr>
            <w:tcW w:w="991" w:type="dxa"/>
          </w:tcPr>
          <w:p>
            <w:pPr>
              <w:pStyle w:val="TableParagraph"/>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3687" w:type="dxa"/>
          </w:tcPr>
          <w:p>
            <w:pPr>
              <w:pStyle w:val="TableParagraph"/>
              <w:ind w:right="100"/>
              <w:rPr>
                <w:sz w:val="22"/>
              </w:rPr>
            </w:pPr>
            <w:r>
              <w:rPr>
                <w:sz w:val="22"/>
              </w:rPr>
              <w:t>Sí porque sí me interesa  porque ahí a veces trabajamos.</w:t>
            </w:r>
          </w:p>
        </w:tc>
      </w:tr>
      <w:tr>
        <w:trPr>
          <w:trHeight w:val="1022" w:hRule="exact"/>
        </w:trPr>
        <w:tc>
          <w:tcPr>
            <w:tcW w:w="1385" w:type="dxa"/>
          </w:tcPr>
          <w:p>
            <w:pPr>
              <w:pStyle w:val="TableParagraph"/>
              <w:ind w:right="127"/>
              <w:rPr>
                <w:sz w:val="22"/>
              </w:rPr>
            </w:pPr>
            <w:r>
              <w:rPr>
                <w:sz w:val="22"/>
              </w:rPr>
              <w:t>Felix Rivas Huitrón (7/II/2015)</w:t>
            </w:r>
          </w:p>
        </w:tc>
        <w:tc>
          <w:tcPr>
            <w:tcW w:w="1418" w:type="dxa"/>
          </w:tcPr>
          <w:p>
            <w:pPr>
              <w:pStyle w:val="TableParagraph"/>
              <w:spacing w:line="242" w:lineRule="auto"/>
              <w:ind w:left="292" w:right="145" w:hanging="137"/>
              <w:rPr>
                <w:sz w:val="22"/>
              </w:rPr>
            </w:pPr>
            <w:r>
              <w:rPr>
                <w:sz w:val="22"/>
              </w:rPr>
              <w:t>El campo y la pesca</w:t>
            </w:r>
          </w:p>
        </w:tc>
        <w:tc>
          <w:tcPr>
            <w:tcW w:w="1841" w:type="dxa"/>
          </w:tcPr>
          <w:p>
            <w:pPr>
              <w:pStyle w:val="TableParagraph"/>
              <w:ind w:left="100" w:right="99"/>
              <w:jc w:val="both"/>
              <w:rPr>
                <w:sz w:val="22"/>
              </w:rPr>
            </w:pPr>
            <w:r>
              <w:rPr>
                <w:sz w:val="22"/>
              </w:rPr>
              <w:t>Cooperativa “El Tezontle” (5 integrantes)</w:t>
            </w:r>
          </w:p>
        </w:tc>
        <w:tc>
          <w:tcPr>
            <w:tcW w:w="1135" w:type="dxa"/>
          </w:tcPr>
          <w:p>
            <w:pPr>
              <w:pStyle w:val="TableParagraph"/>
              <w:spacing w:line="242" w:lineRule="auto"/>
              <w:ind w:right="134"/>
              <w:rPr>
                <w:sz w:val="22"/>
              </w:rPr>
            </w:pPr>
            <w:r>
              <w:rPr>
                <w:sz w:val="22"/>
              </w:rPr>
              <w:t>Presiden te</w:t>
            </w:r>
          </w:p>
        </w:tc>
        <w:tc>
          <w:tcPr>
            <w:tcW w:w="991" w:type="dxa"/>
          </w:tcPr>
          <w:p>
            <w:pPr>
              <w:pStyle w:val="TableParagraph"/>
              <w:spacing w:line="242" w:lineRule="auto"/>
              <w:ind w:left="100" w:right="103"/>
              <w:rPr>
                <w:sz w:val="22"/>
              </w:rPr>
            </w:pPr>
            <w:r>
              <w:rPr>
                <w:sz w:val="22"/>
              </w:rPr>
              <w:t>Jilotepe c</w:t>
            </w:r>
          </w:p>
        </w:tc>
        <w:tc>
          <w:tcPr>
            <w:tcW w:w="1277" w:type="dxa"/>
          </w:tcPr>
          <w:p>
            <w:pPr>
              <w:pStyle w:val="TableParagraph"/>
              <w:spacing w:line="242" w:lineRule="auto"/>
              <w:ind w:right="178"/>
              <w:rPr>
                <w:sz w:val="22"/>
              </w:rPr>
            </w:pPr>
            <w:r>
              <w:rPr>
                <w:sz w:val="22"/>
              </w:rPr>
              <w:t>El Saltillo, Jilotepec</w:t>
            </w:r>
          </w:p>
        </w:tc>
        <w:tc>
          <w:tcPr>
            <w:tcW w:w="1133" w:type="dxa"/>
          </w:tcPr>
          <w:p>
            <w:pPr>
              <w:pStyle w:val="TableParagraph"/>
              <w:ind w:left="100" w:right="134"/>
              <w:rPr>
                <w:sz w:val="22"/>
              </w:rPr>
            </w:pPr>
            <w:r>
              <w:rPr>
                <w:sz w:val="22"/>
              </w:rPr>
              <w:t>El Saltillo, Jilotepec</w:t>
            </w:r>
          </w:p>
          <w:p>
            <w:pPr>
              <w:pStyle w:val="TableParagraph"/>
              <w:spacing w:before="1"/>
              <w:ind w:left="100"/>
              <w:rPr>
                <w:sz w:val="22"/>
              </w:rPr>
            </w:pPr>
            <w:r>
              <w:rPr>
                <w:w w:val="100"/>
                <w:sz w:val="22"/>
              </w:rPr>
              <w:t>.</w:t>
            </w:r>
          </w:p>
        </w:tc>
        <w:tc>
          <w:tcPr>
            <w:tcW w:w="3687" w:type="dxa"/>
          </w:tcPr>
          <w:p>
            <w:pPr>
              <w:pStyle w:val="TableParagraph"/>
              <w:ind w:right="100"/>
              <w:jc w:val="both"/>
              <w:rPr>
                <w:sz w:val="22"/>
              </w:rPr>
            </w:pPr>
            <w:r>
              <w:rPr>
                <w:sz w:val="22"/>
              </w:rPr>
              <w:t>Sí como no! porque nos interesan los acuerdos que se tomen y las pláticas que se tengan.</w:t>
            </w:r>
          </w:p>
        </w:tc>
      </w:tr>
      <w:tr>
        <w:trPr>
          <w:trHeight w:val="1022" w:hRule="exact"/>
        </w:trPr>
        <w:tc>
          <w:tcPr>
            <w:tcW w:w="1385" w:type="dxa"/>
          </w:tcPr>
          <w:p>
            <w:pPr>
              <w:pStyle w:val="TableParagraph"/>
              <w:ind w:right="176"/>
              <w:rPr>
                <w:sz w:val="22"/>
              </w:rPr>
            </w:pPr>
            <w:r>
              <w:rPr>
                <w:sz w:val="22"/>
              </w:rPr>
              <w:t>Emigdio Rodríguez Hernández (7/II/2015)</w:t>
            </w:r>
          </w:p>
        </w:tc>
        <w:tc>
          <w:tcPr>
            <w:tcW w:w="1418" w:type="dxa"/>
          </w:tcPr>
          <w:p>
            <w:pPr>
              <w:pStyle w:val="TableParagraph"/>
              <w:spacing w:line="242" w:lineRule="auto"/>
              <w:ind w:left="163" w:right="133" w:hanging="20"/>
              <w:rPr>
                <w:sz w:val="22"/>
              </w:rPr>
            </w:pPr>
            <w:r>
              <w:rPr>
                <w:sz w:val="22"/>
              </w:rPr>
              <w:t>Campesino y pescador</w:t>
            </w:r>
          </w:p>
        </w:tc>
        <w:tc>
          <w:tcPr>
            <w:tcW w:w="1841" w:type="dxa"/>
          </w:tcPr>
          <w:p>
            <w:pPr>
              <w:pStyle w:val="TableParagraph"/>
              <w:ind w:left="100" w:right="99"/>
              <w:jc w:val="both"/>
              <w:rPr>
                <w:sz w:val="22"/>
              </w:rPr>
            </w:pPr>
            <w:r>
              <w:rPr>
                <w:sz w:val="22"/>
              </w:rPr>
              <w:t>Cooperativa “El Rinconcito” (13 integrantes)</w:t>
            </w:r>
          </w:p>
        </w:tc>
        <w:tc>
          <w:tcPr>
            <w:tcW w:w="1135" w:type="dxa"/>
          </w:tcPr>
          <w:p>
            <w:pPr>
              <w:pStyle w:val="TableParagraph"/>
              <w:spacing w:line="242" w:lineRule="auto"/>
              <w:ind w:right="134"/>
              <w:rPr>
                <w:sz w:val="22"/>
              </w:rPr>
            </w:pPr>
            <w:r>
              <w:rPr>
                <w:sz w:val="22"/>
              </w:rPr>
              <w:t>Presiden te</w:t>
            </w:r>
          </w:p>
        </w:tc>
        <w:tc>
          <w:tcPr>
            <w:tcW w:w="991" w:type="dxa"/>
          </w:tcPr>
          <w:p>
            <w:pPr>
              <w:pStyle w:val="TableParagraph"/>
              <w:spacing w:line="242" w:lineRule="auto"/>
              <w:ind w:left="100" w:right="103"/>
              <w:rPr>
                <w:sz w:val="22"/>
              </w:rPr>
            </w:pPr>
            <w:r>
              <w:rPr>
                <w:sz w:val="22"/>
              </w:rPr>
              <w:t>Jilotepe c</w:t>
            </w:r>
          </w:p>
        </w:tc>
        <w:tc>
          <w:tcPr>
            <w:tcW w:w="1277" w:type="dxa"/>
          </w:tcPr>
          <w:p>
            <w:pPr>
              <w:pStyle w:val="TableParagraph"/>
              <w:ind w:right="276"/>
              <w:rPr>
                <w:sz w:val="22"/>
              </w:rPr>
            </w:pPr>
            <w:r>
              <w:rPr>
                <w:sz w:val="22"/>
              </w:rPr>
              <w:t>Aldama (El Trojillo), Jilotepec</w:t>
            </w:r>
          </w:p>
        </w:tc>
        <w:tc>
          <w:tcPr>
            <w:tcW w:w="1133" w:type="dxa"/>
          </w:tcPr>
          <w:p>
            <w:pPr>
              <w:pStyle w:val="TableParagraph"/>
              <w:ind w:left="100" w:right="134"/>
              <w:rPr>
                <w:sz w:val="22"/>
              </w:rPr>
            </w:pPr>
            <w:r>
              <w:rPr>
                <w:sz w:val="22"/>
              </w:rPr>
              <w:t>Aldama (El Trojillo), Jilotepec</w:t>
            </w:r>
          </w:p>
        </w:tc>
        <w:tc>
          <w:tcPr>
            <w:tcW w:w="3687" w:type="dxa"/>
          </w:tcPr>
          <w:p>
            <w:pPr>
              <w:pStyle w:val="TableParagraph"/>
              <w:spacing w:line="242" w:lineRule="auto"/>
              <w:rPr>
                <w:sz w:val="22"/>
              </w:rPr>
            </w:pPr>
            <w:r>
              <w:rPr>
                <w:sz w:val="22"/>
              </w:rPr>
              <w:t>Sí por ser de los más cercanos y somos los que pescamos.</w:t>
            </w:r>
          </w:p>
        </w:tc>
      </w:tr>
      <w:tr>
        <w:trPr>
          <w:trHeight w:val="267" w:hRule="exact"/>
        </w:trPr>
        <w:tc>
          <w:tcPr>
            <w:tcW w:w="1385" w:type="dxa"/>
            <w:tcBorders>
              <w:bottom w:val="nil"/>
            </w:tcBorders>
          </w:tcPr>
          <w:p>
            <w:pPr>
              <w:pStyle w:val="TableParagraph"/>
              <w:spacing w:line="251" w:lineRule="exact"/>
              <w:ind w:right="127"/>
              <w:rPr>
                <w:sz w:val="22"/>
              </w:rPr>
            </w:pPr>
            <w:r>
              <w:rPr>
                <w:sz w:val="22"/>
              </w:rPr>
              <w:t>José</w:t>
            </w:r>
          </w:p>
        </w:tc>
        <w:tc>
          <w:tcPr>
            <w:tcW w:w="1418" w:type="dxa"/>
            <w:tcBorders>
              <w:bottom w:val="nil"/>
            </w:tcBorders>
          </w:tcPr>
          <w:p>
            <w:pPr>
              <w:pStyle w:val="TableParagraph"/>
              <w:spacing w:line="251" w:lineRule="exact"/>
              <w:ind w:left="101" w:right="104"/>
              <w:jc w:val="center"/>
              <w:rPr>
                <w:sz w:val="22"/>
              </w:rPr>
            </w:pPr>
            <w:r>
              <w:rPr>
                <w:sz w:val="22"/>
              </w:rPr>
              <w:t>La pesca y</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3687" w:type="dxa"/>
            <w:tcBorders>
              <w:bottom w:val="nil"/>
            </w:tcBorders>
          </w:tcPr>
          <w:p>
            <w:pPr>
              <w:pStyle w:val="TableParagraph"/>
              <w:spacing w:line="251" w:lineRule="exact"/>
              <w:rPr>
                <w:sz w:val="22"/>
              </w:rPr>
            </w:pPr>
            <w:r>
              <w:rPr>
                <w:sz w:val="22"/>
              </w:rPr>
              <w:t>Siempre  he  asistido,  también   he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Valencia</w:t>
            </w:r>
          </w:p>
        </w:tc>
        <w:tc>
          <w:tcPr>
            <w:tcW w:w="1418" w:type="dxa"/>
            <w:tcBorders>
              <w:top w:val="nil"/>
              <w:bottom w:val="nil"/>
            </w:tcBorders>
          </w:tcPr>
          <w:p>
            <w:pPr>
              <w:pStyle w:val="TableParagraph"/>
              <w:spacing w:line="241" w:lineRule="exact"/>
              <w:ind w:left="102" w:right="104"/>
              <w:jc w:val="center"/>
              <w:rPr>
                <w:sz w:val="22"/>
              </w:rPr>
            </w:pPr>
            <w:r>
              <w:rPr>
                <w:sz w:val="22"/>
              </w:rPr>
              <w:t>el comercio</w:t>
            </w:r>
          </w:p>
        </w:tc>
        <w:tc>
          <w:tcPr>
            <w:tcW w:w="1841" w:type="dxa"/>
            <w:tcBorders>
              <w:top w:val="nil"/>
              <w:bottom w:val="nil"/>
            </w:tcBorders>
          </w:tcPr>
          <w:p>
            <w:pPr>
              <w:pStyle w:val="TableParagraph"/>
              <w:spacing w:line="241" w:lineRule="exact"/>
              <w:ind w:left="100"/>
              <w:rPr>
                <w:sz w:val="22"/>
              </w:rPr>
            </w:pPr>
            <w:r>
              <w:rPr>
                <w:sz w:val="22"/>
              </w:rPr>
              <w:t>“Pescarenas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Arenas,</w:t>
            </w:r>
          </w:p>
        </w:tc>
        <w:tc>
          <w:tcPr>
            <w:tcW w:w="1133" w:type="dxa"/>
            <w:tcBorders>
              <w:top w:val="nil"/>
              <w:bottom w:val="nil"/>
            </w:tcBorders>
          </w:tcPr>
          <w:p>
            <w:pPr>
              <w:pStyle w:val="TableParagraph"/>
              <w:spacing w:line="241" w:lineRule="exact"/>
              <w:ind w:left="100" w:right="52"/>
              <w:rPr>
                <w:sz w:val="22"/>
              </w:rPr>
            </w:pPr>
            <w:r>
              <w:rPr>
                <w:sz w:val="22"/>
              </w:rPr>
              <w:t>Arenas,</w:t>
            </w:r>
          </w:p>
        </w:tc>
        <w:tc>
          <w:tcPr>
            <w:tcW w:w="3687" w:type="dxa"/>
            <w:tcBorders>
              <w:top w:val="nil"/>
              <w:bottom w:val="nil"/>
            </w:tcBorders>
          </w:tcPr>
          <w:p>
            <w:pPr>
              <w:pStyle w:val="TableParagraph"/>
              <w:spacing w:line="241" w:lineRule="exact"/>
              <w:rPr>
                <w:sz w:val="22"/>
              </w:rPr>
            </w:pPr>
            <w:r>
              <w:rPr>
                <w:sz w:val="22"/>
              </w:rPr>
              <w:t>ido a conferencias a Valle de Bravo</w:t>
            </w:r>
          </w:p>
        </w:tc>
      </w:tr>
      <w:tr>
        <w:trPr>
          <w:trHeight w:val="252" w:hRule="exact"/>
        </w:trPr>
        <w:tc>
          <w:tcPr>
            <w:tcW w:w="1385" w:type="dxa"/>
            <w:tcBorders>
              <w:top w:val="nil"/>
              <w:bottom w:val="nil"/>
            </w:tcBorders>
          </w:tcPr>
          <w:p>
            <w:pPr>
              <w:pStyle w:val="TableParagraph"/>
              <w:spacing w:line="242" w:lineRule="exact"/>
              <w:ind w:right="127"/>
              <w:rPr>
                <w:sz w:val="22"/>
              </w:rPr>
            </w:pPr>
            <w:r>
              <w:rPr>
                <w:sz w:val="22"/>
              </w:rPr>
              <w:t>García</w:t>
            </w:r>
          </w:p>
        </w:tc>
        <w:tc>
          <w:tcPr>
            <w:tcW w:w="1418" w:type="dxa"/>
            <w:tcBorders>
              <w:top w:val="nil"/>
              <w:bottom w:val="nil"/>
            </w:tcBorders>
          </w:tcPr>
          <w:p>
            <w:pPr>
              <w:pStyle w:val="TableParagraph"/>
              <w:spacing w:line="242" w:lineRule="exact"/>
              <w:ind w:left="102" w:right="104"/>
              <w:jc w:val="center"/>
              <w:rPr>
                <w:sz w:val="22"/>
              </w:rPr>
            </w:pPr>
            <w:r>
              <w:rPr>
                <w:sz w:val="22"/>
              </w:rPr>
              <w:t>de eventos</w:t>
            </w:r>
          </w:p>
        </w:tc>
        <w:tc>
          <w:tcPr>
            <w:tcW w:w="1841" w:type="dxa"/>
            <w:tcBorders>
              <w:top w:val="nil"/>
              <w:bottom w:val="nil"/>
            </w:tcBorders>
          </w:tcPr>
          <w:p>
            <w:pPr>
              <w:pStyle w:val="TableParagraph"/>
              <w:spacing w:line="242" w:lineRule="exact"/>
              <w:ind w:left="100"/>
              <w:rPr>
                <w:sz w:val="22"/>
              </w:rPr>
            </w:pPr>
            <w:r>
              <w:rPr>
                <w:sz w:val="22"/>
              </w:rPr>
              <w:t>Procesado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Acambay</w:t>
            </w:r>
          </w:p>
        </w:tc>
        <w:tc>
          <w:tcPr>
            <w:tcW w:w="3687" w:type="dxa"/>
            <w:tcBorders>
              <w:top w:val="nil"/>
              <w:bottom w:val="nil"/>
            </w:tcBorders>
          </w:tcPr>
          <w:p>
            <w:pPr>
              <w:pStyle w:val="TableParagraph"/>
              <w:spacing w:line="242" w:lineRule="exact"/>
              <w:rPr>
                <w:sz w:val="22"/>
              </w:rPr>
            </w:pPr>
            <w:r>
              <w:rPr>
                <w:sz w:val="22"/>
              </w:rPr>
              <w:t>con los cooperativistas de Valle  de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(24/I/2015)</w:t>
            </w:r>
          </w:p>
        </w:tc>
        <w:tc>
          <w:tcPr>
            <w:tcW w:w="1418" w:type="dxa"/>
            <w:tcBorders>
              <w:top w:val="nil"/>
              <w:bottom w:val="nil"/>
            </w:tcBorders>
          </w:tcPr>
          <w:p>
            <w:pPr>
              <w:pStyle w:val="TableParagraph"/>
              <w:spacing w:line="242" w:lineRule="exact"/>
              <w:ind w:left="102" w:right="104"/>
              <w:jc w:val="center"/>
              <w:rPr>
                <w:sz w:val="22"/>
              </w:rPr>
            </w:pPr>
            <w:r>
              <w:rPr>
                <w:sz w:val="22"/>
              </w:rPr>
              <w:t>sociales</w:t>
            </w:r>
          </w:p>
        </w:tc>
        <w:tc>
          <w:tcPr>
            <w:tcW w:w="1841" w:type="dxa"/>
            <w:tcBorders>
              <w:top w:val="nil"/>
              <w:bottom w:val="nil"/>
            </w:tcBorders>
          </w:tcPr>
          <w:p>
            <w:pPr>
              <w:pStyle w:val="TableParagraph"/>
              <w:spacing w:line="242" w:lineRule="exact"/>
              <w:ind w:left="100"/>
              <w:rPr>
                <w:sz w:val="22"/>
              </w:rPr>
            </w:pPr>
            <w:r>
              <w:rPr>
                <w:sz w:val="22"/>
              </w:rPr>
              <w:t>Fresco”</w:t>
            </w:r>
          </w:p>
        </w:tc>
        <w:tc>
          <w:tcPr>
            <w:tcW w:w="1135" w:type="dxa"/>
            <w:tcBorders>
              <w:top w:val="nil"/>
              <w:bottom w:val="nil"/>
            </w:tcBorders>
          </w:tcPr>
          <w:p>
            <w:pPr>
              <w:pStyle w:val="TableParagraph"/>
              <w:spacing w:line="240" w:lineRule="exact"/>
              <w:rPr>
                <w:b/>
                <w:sz w:val="22"/>
              </w:rPr>
            </w:pPr>
            <w:r>
              <w:rPr>
                <w:b/>
                <w:sz w:val="22"/>
              </w:rPr>
              <w:t>PRESID</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Bravo.</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4" w:lineRule="exact"/>
              <w:ind w:left="102" w:right="102"/>
              <w:jc w:val="center"/>
              <w:rPr>
                <w:sz w:val="22"/>
              </w:rPr>
            </w:pPr>
            <w:r>
              <w:rPr>
                <w:sz w:val="22"/>
              </w:rPr>
              <w:t>(renta de</w:t>
            </w: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ENTE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2" w:right="104"/>
              <w:jc w:val="center"/>
              <w:rPr>
                <w:sz w:val="22"/>
              </w:rPr>
            </w:pPr>
            <w:r>
              <w:rPr>
                <w:sz w:val="22"/>
              </w:rPr>
              <w:t>equipo para</w:t>
            </w: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Hubo una reunión en el puente   de</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2" w:right="104"/>
              <w:jc w:val="center"/>
              <w:rPr>
                <w:sz w:val="22"/>
              </w:rPr>
            </w:pPr>
            <w:r>
              <w:rPr>
                <w:sz w:val="22"/>
              </w:rPr>
              <w:t>fiestas)</w:t>
            </w: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TODAS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la Autopista Arco Norte para  llegar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LAS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tabs>
                <w:tab w:pos="1276" w:val="left" w:leader="none"/>
                <w:tab w:pos="1782" w:val="left" w:leader="none"/>
                <w:tab w:pos="2416" w:val="left" w:leader="none"/>
                <w:tab w:pos="2963" w:val="left" w:leader="none"/>
              </w:tabs>
              <w:spacing w:line="244" w:lineRule="exact"/>
              <w:rPr>
                <w:sz w:val="22"/>
              </w:rPr>
            </w:pPr>
            <w:r>
              <w:rPr>
                <w:sz w:val="22"/>
              </w:rPr>
              <w:t>acuerdos</w:t>
              <w:tab/>
              <w:t>de</w:t>
              <w:tab/>
              <w:t>que</w:t>
              <w:tab/>
              <w:t>los</w:t>
              <w:tab/>
              <w:t>cuatro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COOPE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municipios   de   Aculco,   Timilpan,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RATIVA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tabs>
                <w:tab w:pos="1259" w:val="left" w:leader="none"/>
                <w:tab w:pos="1607" w:val="left" w:leader="none"/>
                <w:tab w:pos="2715" w:val="left" w:leader="none"/>
              </w:tabs>
              <w:spacing w:line="244" w:lineRule="exact"/>
              <w:rPr>
                <w:sz w:val="22"/>
              </w:rPr>
            </w:pPr>
            <w:r>
              <w:rPr>
                <w:sz w:val="22"/>
              </w:rPr>
              <w:t>Acambay</w:t>
              <w:tab/>
              <w:t>y</w:t>
              <w:tab/>
              <w:t>Jilotepec</w:t>
              <w:tab/>
              <w:t>pudieran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S 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tabs>
                <w:tab w:pos="1269" w:val="left" w:leader="none"/>
                <w:tab w:pos="1883" w:val="left" w:leader="none"/>
                <w:tab w:pos="2828" w:val="left" w:leader="none"/>
              </w:tabs>
              <w:spacing w:line="243" w:lineRule="exact"/>
              <w:rPr>
                <w:sz w:val="22"/>
              </w:rPr>
            </w:pPr>
            <w:r>
              <w:rPr>
                <w:sz w:val="22"/>
              </w:rPr>
              <w:t>pescar</w:t>
              <w:tab/>
              <w:t>y</w:t>
              <w:tab/>
              <w:t>para</w:t>
              <w:tab/>
              <w:t>integrar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PESCAD</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tabs>
                <w:tab w:pos="1775" w:val="left" w:leader="none"/>
                <w:tab w:pos="2574" w:val="left" w:leader="none"/>
                <w:tab w:pos="3339" w:val="left" w:leader="none"/>
              </w:tabs>
              <w:spacing w:line="242" w:lineRule="exact"/>
              <w:rPr>
                <w:sz w:val="22"/>
              </w:rPr>
            </w:pPr>
            <w:r>
              <w:rPr>
                <w:sz w:val="22"/>
              </w:rPr>
              <w:t>cooperativas,</w:t>
              <w:tab/>
              <w:t>pero</w:t>
              <w:tab/>
              <w:t>sólo</w:t>
              <w:tab/>
              <w:t>se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ORES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4" w:lineRule="exact"/>
              <w:rPr>
                <w:sz w:val="22"/>
              </w:rPr>
            </w:pPr>
            <w:r>
              <w:rPr>
                <w:sz w:val="22"/>
              </w:rPr>
              <w:t>integraron 13 cooperativas con 230</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0" w:lineRule="exact"/>
              <w:rPr>
                <w:b/>
                <w:sz w:val="22"/>
              </w:rPr>
            </w:pPr>
            <w:r>
              <w:rPr>
                <w:b/>
                <w:sz w:val="22"/>
              </w:rPr>
              <w:t>DE LA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personas  porque  no  se integraron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Style w:val="TableParagraph"/>
              <w:spacing w:line="241" w:lineRule="exact"/>
              <w:rPr>
                <w:b/>
                <w:sz w:val="22"/>
              </w:rPr>
            </w:pPr>
            <w:r>
              <w:rPr>
                <w:b/>
                <w:sz w:val="22"/>
              </w:rPr>
              <w:t>LAGUN</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4" w:lineRule="exact"/>
              <w:rPr>
                <w:sz w:val="22"/>
              </w:rPr>
            </w:pPr>
            <w:r>
              <w:rPr>
                <w:sz w:val="22"/>
              </w:rPr>
              <w:t>todas  porque  no  hubo  solides   y</w:t>
            </w:r>
          </w:p>
        </w:tc>
      </w:tr>
      <w:tr>
        <w:trPr>
          <w:trHeight w:val="251"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Style w:val="TableParagraph"/>
              <w:spacing w:line="240" w:lineRule="exact"/>
              <w:rPr>
                <w:b/>
                <w:sz w:val="22"/>
              </w:rPr>
            </w:pPr>
            <w:r>
              <w:rPr>
                <w:b/>
                <w:w w:val="100"/>
                <w:sz w:val="22"/>
              </w:rPr>
              <w:t>A</w:t>
            </w: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Style w:val="TableParagraph"/>
              <w:spacing w:line="242" w:lineRule="exact"/>
              <w:rPr>
                <w:sz w:val="22"/>
              </w:rPr>
            </w:pPr>
            <w:r>
              <w:rPr>
                <w:sz w:val="22"/>
              </w:rPr>
              <w:t>porque   no   alcanzaba   para </w:t>
            </w:r>
            <w:r>
              <w:rPr>
                <w:spacing w:val="52"/>
                <w:sz w:val="22"/>
              </w:rPr>
              <w:t> </w:t>
            </w:r>
            <w:r>
              <w:rPr>
                <w:sz w:val="22"/>
              </w:rPr>
              <w:t>que</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3687"/>
      </w:tblGrid>
      <w:tr>
        <w:trPr>
          <w:trHeight w:val="516" w:hRule="exact"/>
        </w:trPr>
        <w:tc>
          <w:tcPr>
            <w:tcW w:w="1385" w:type="dxa"/>
          </w:tcPr>
          <w:p>
            <w:pPr/>
          </w:p>
        </w:tc>
        <w:tc>
          <w:tcPr>
            <w:tcW w:w="1418" w:type="dxa"/>
          </w:tcPr>
          <w:p>
            <w:pPr/>
          </w:p>
        </w:tc>
        <w:tc>
          <w:tcPr>
            <w:tcW w:w="1841" w:type="dxa"/>
          </w:tcPr>
          <w:p>
            <w:pPr/>
          </w:p>
        </w:tc>
        <w:tc>
          <w:tcPr>
            <w:tcW w:w="1135" w:type="dxa"/>
          </w:tcPr>
          <w:p>
            <w:pPr>
              <w:pStyle w:val="TableParagraph"/>
              <w:spacing w:line="252" w:lineRule="exact"/>
              <w:ind w:right="220"/>
              <w:rPr>
                <w:b/>
                <w:sz w:val="22"/>
              </w:rPr>
            </w:pPr>
            <w:r>
              <w:rPr>
                <w:b/>
                <w:sz w:val="22"/>
              </w:rPr>
              <w:t>HUAPA NGO</w:t>
            </w:r>
          </w:p>
        </w:tc>
        <w:tc>
          <w:tcPr>
            <w:tcW w:w="991" w:type="dxa"/>
          </w:tcPr>
          <w:p>
            <w:pPr/>
          </w:p>
        </w:tc>
        <w:tc>
          <w:tcPr>
            <w:tcW w:w="1277" w:type="dxa"/>
          </w:tcPr>
          <w:p>
            <w:pPr/>
          </w:p>
        </w:tc>
        <w:tc>
          <w:tcPr>
            <w:tcW w:w="1133" w:type="dxa"/>
          </w:tcPr>
          <w:p>
            <w:pPr/>
          </w:p>
        </w:tc>
        <w:tc>
          <w:tcPr>
            <w:tcW w:w="3687" w:type="dxa"/>
          </w:tcPr>
          <w:p>
            <w:pPr>
              <w:pStyle w:val="TableParagraph"/>
              <w:spacing w:line="251" w:lineRule="exact"/>
              <w:rPr>
                <w:sz w:val="22"/>
              </w:rPr>
            </w:pPr>
            <w:r>
              <w:rPr>
                <w:sz w:val="22"/>
              </w:rPr>
              <w:t>pescaran todos.</w:t>
            </w: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spacing w:after="6"/>
        <w:ind w:left="3413" w:right="397"/>
      </w:pPr>
      <w:r>
        <w:rPr/>
        <w:t>Tabla 6.4. Ganaderos en los municipios de Jilotepec y Timilpan</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5"/>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5"/>
              <w:ind w:left="0"/>
              <w:rPr>
                <w:b/>
                <w:sz w:val="21"/>
              </w:rPr>
            </w:pPr>
          </w:p>
          <w:p>
            <w:pPr>
              <w:pStyle w:val="TableParagraph"/>
              <w:ind w:left="1404"/>
              <w:rPr>
                <w:b/>
                <w:sz w:val="22"/>
              </w:rPr>
            </w:pPr>
            <w:r>
              <w:rPr>
                <w:b/>
                <w:sz w:val="22"/>
              </w:rPr>
              <w:t>PRINCIPIOS DE GOBERNANZA</w:t>
            </w:r>
          </w:p>
        </w:tc>
      </w:tr>
      <w:tr>
        <w:trPr>
          <w:trHeight w:val="262"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 y cultura</w:t>
            </w:r>
          </w:p>
        </w:tc>
      </w:tr>
      <w:tr>
        <w:trPr>
          <w:trHeight w:val="266"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9" w:lineRule="exact"/>
              <w:ind w:left="100"/>
              <w:rPr>
                <w:b/>
                <w:sz w:val="22"/>
              </w:rPr>
            </w:pPr>
            <w:r>
              <w:rPr>
                <w:b/>
                <w:sz w:val="22"/>
              </w:rPr>
              <w:t>Cooperativa/</w:t>
            </w:r>
          </w:p>
        </w:tc>
        <w:tc>
          <w:tcPr>
            <w:tcW w:w="1135" w:type="dxa"/>
            <w:tcBorders>
              <w:bottom w:val="nil"/>
            </w:tcBorders>
            <w:shd w:val="clear" w:color="auto" w:fill="F9BE8F"/>
          </w:tcPr>
          <w:p>
            <w:pPr>
              <w:pStyle w:val="TableParagraph"/>
              <w:spacing w:line="249" w:lineRule="exact"/>
              <w:rPr>
                <w:b/>
                <w:sz w:val="22"/>
              </w:rPr>
            </w:pPr>
            <w:r>
              <w:rPr>
                <w:b/>
                <w:sz w:val="22"/>
              </w:rPr>
              <w:t>Cargo</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tabs>
                <w:tab w:pos="1199" w:val="left" w:leader="none"/>
              </w:tabs>
              <w:spacing w:line="249" w:lineRule="exact"/>
              <w:rPr>
                <w:b/>
                <w:sz w:val="22"/>
              </w:rPr>
            </w:pPr>
            <w:r>
              <w:rPr>
                <w:b/>
                <w:sz w:val="22"/>
              </w:rPr>
              <w:t>¿Cuáles</w:t>
              <w:tab/>
              <w:t>son</w:t>
            </w:r>
          </w:p>
        </w:tc>
        <w:tc>
          <w:tcPr>
            <w:tcW w:w="1985" w:type="dxa"/>
            <w:tcBorders>
              <w:bottom w:val="nil"/>
            </w:tcBorders>
            <w:shd w:val="clear" w:color="auto" w:fill="92CDDC"/>
          </w:tcPr>
          <w:p>
            <w:pPr>
              <w:pStyle w:val="TableParagraph"/>
              <w:spacing w:line="249" w:lineRule="exact"/>
              <w:rPr>
                <w:b/>
                <w:sz w:val="22"/>
              </w:rPr>
            </w:pPr>
            <w:r>
              <w:rPr>
                <w:b/>
                <w:sz w:val="22"/>
              </w:rPr>
              <w:t>¿Por   qué </w:t>
            </w:r>
            <w:r>
              <w:rPr>
                <w:b/>
                <w:spacing w:val="55"/>
                <w:sz w:val="22"/>
              </w:rPr>
              <w:t> </w:t>
            </w:r>
            <w:r>
              <w:rPr>
                <w:b/>
                <w:sz w:val="22"/>
              </w:rPr>
              <w:t>tiene</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2"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2" w:lineRule="exact"/>
              <w:ind w:left="100"/>
              <w:rPr>
                <w:b/>
                <w:sz w:val="22"/>
              </w:rPr>
            </w:pPr>
            <w:r>
              <w:rPr>
                <w:b/>
                <w:sz w:val="22"/>
              </w:rPr>
              <w:t>Asociación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2"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2"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2"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2" w:lineRule="exact"/>
              <w:rPr>
                <w:b/>
                <w:sz w:val="22"/>
              </w:rPr>
            </w:pPr>
            <w:r>
              <w:rPr>
                <w:b/>
                <w:sz w:val="22"/>
              </w:rPr>
              <w:t>los</w:t>
            </w:r>
          </w:p>
        </w:tc>
        <w:tc>
          <w:tcPr>
            <w:tcW w:w="1985" w:type="dxa"/>
            <w:tcBorders>
              <w:top w:val="nil"/>
              <w:bottom w:val="nil"/>
            </w:tcBorders>
            <w:shd w:val="clear" w:color="auto" w:fill="92CDDC"/>
          </w:tcPr>
          <w:p>
            <w:pPr>
              <w:pStyle w:val="TableParagraph"/>
              <w:tabs>
                <w:tab w:pos="1688" w:val="left" w:leader="none"/>
              </w:tabs>
              <w:spacing w:line="242" w:lineRule="exact"/>
              <w:rPr>
                <w:b/>
                <w:sz w:val="22"/>
              </w:rPr>
            </w:pPr>
            <w:r>
              <w:rPr>
                <w:b/>
                <w:sz w:val="22"/>
              </w:rPr>
              <w:t>problemas</w:t>
              <w:tab/>
              <w:t>la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Ganaderos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problemas</w:t>
            </w:r>
          </w:p>
        </w:tc>
        <w:tc>
          <w:tcPr>
            <w:tcW w:w="1985" w:type="dxa"/>
            <w:tcBorders>
              <w:top w:val="nil"/>
              <w:bottom w:val="nil"/>
            </w:tcBorders>
            <w:shd w:val="clear" w:color="auto" w:fill="92CDDC"/>
          </w:tcPr>
          <w:p>
            <w:pPr>
              <w:pStyle w:val="TableParagraph"/>
              <w:tabs>
                <w:tab w:pos="1617" w:val="left" w:leader="none"/>
              </w:tabs>
              <w:spacing w:line="241" w:lineRule="exact"/>
              <w:rPr>
                <w:b/>
                <w:sz w:val="22"/>
              </w:rPr>
            </w:pPr>
            <w:r>
              <w:rPr>
                <w:b/>
                <w:sz w:val="22"/>
              </w:rPr>
              <w:t>laguna</w:t>
              <w:tab/>
              <w:t>de</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que   tiene   la</w:t>
            </w:r>
          </w:p>
        </w:tc>
        <w:tc>
          <w:tcPr>
            <w:tcW w:w="1985" w:type="dxa"/>
            <w:tcBorders>
              <w:top w:val="nil"/>
              <w:bottom w:val="nil"/>
            </w:tcBorders>
            <w:shd w:val="clear" w:color="auto" w:fill="92CDDC"/>
          </w:tcPr>
          <w:p>
            <w:pPr>
              <w:pStyle w:val="TableParagraph"/>
              <w:spacing w:line="242" w:lineRule="exact"/>
              <w:rPr>
                <w:b/>
                <w:sz w:val="22"/>
              </w:rPr>
            </w:pPr>
            <w:r>
              <w:rPr>
                <w:b/>
                <w:sz w:val="22"/>
              </w:rPr>
              <w:t>Huapango?</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3" w:val="left" w:leader="none"/>
              </w:tabs>
              <w:spacing w:line="241" w:lineRule="exact"/>
              <w:rPr>
                <w:b/>
                <w:sz w:val="22"/>
              </w:rPr>
            </w:pPr>
            <w:r>
              <w:rPr>
                <w:b/>
                <w:sz w:val="22"/>
              </w:rPr>
              <w:t>laguna</w:t>
              <w:tab/>
              <w:t>de</w:t>
            </w:r>
          </w:p>
        </w:tc>
        <w:tc>
          <w:tcPr>
            <w:tcW w:w="1985"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1" w:lineRule="exact"/>
              <w:rPr>
                <w:b/>
                <w:sz w:val="22"/>
              </w:rPr>
            </w:pPr>
            <w:r>
              <w:rPr>
                <w:b/>
                <w:sz w:val="22"/>
              </w:rPr>
              <w:t>Huapango?</w:t>
            </w:r>
          </w:p>
        </w:tc>
        <w:tc>
          <w:tcPr>
            <w:tcW w:w="1985"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Servando</w:t>
            </w:r>
          </w:p>
        </w:tc>
        <w:tc>
          <w:tcPr>
            <w:tcW w:w="1418" w:type="dxa"/>
            <w:tcBorders>
              <w:bottom w:val="nil"/>
            </w:tcBorders>
          </w:tcPr>
          <w:p>
            <w:pPr>
              <w:pStyle w:val="TableParagraph"/>
              <w:spacing w:line="251" w:lineRule="exact"/>
              <w:ind w:left="100" w:right="101"/>
              <w:rPr>
                <w:sz w:val="22"/>
              </w:rPr>
            </w:pPr>
            <w:r>
              <w:rPr>
                <w:sz w:val="22"/>
              </w:rPr>
              <w:t>Campesino</w:t>
            </w:r>
          </w:p>
        </w:tc>
        <w:tc>
          <w:tcPr>
            <w:tcW w:w="1841" w:type="dxa"/>
            <w:tcBorders>
              <w:bottom w:val="nil"/>
            </w:tcBorders>
          </w:tcPr>
          <w:p>
            <w:pPr>
              <w:pStyle w:val="TableParagraph"/>
              <w:spacing w:line="251" w:lineRule="exact"/>
              <w:ind w:left="100"/>
              <w:rPr>
                <w:sz w:val="22"/>
              </w:rPr>
            </w:pPr>
            <w:r>
              <w:rPr>
                <w:sz w:val="22"/>
              </w:rPr>
              <w:t>Asociación</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767" w:val="left" w:leader="none"/>
              </w:tabs>
              <w:spacing w:line="251" w:lineRule="exact"/>
              <w:rPr>
                <w:sz w:val="22"/>
              </w:rPr>
            </w:pPr>
            <w:r>
              <w:rPr>
                <w:sz w:val="22"/>
              </w:rPr>
              <w:t>El</w:t>
              <w:tab/>
              <w:t>principal</w:t>
            </w:r>
          </w:p>
        </w:tc>
        <w:tc>
          <w:tcPr>
            <w:tcW w:w="1985" w:type="dxa"/>
            <w:tcBorders>
              <w:bottom w:val="nil"/>
            </w:tcBorders>
          </w:tcPr>
          <w:p>
            <w:pPr>
              <w:pStyle w:val="TableParagraph"/>
              <w:tabs>
                <w:tab w:pos="1081" w:val="left" w:leader="none"/>
                <w:tab w:pos="1628" w:val="left" w:leader="none"/>
              </w:tabs>
              <w:spacing w:line="251" w:lineRule="exact"/>
              <w:rPr>
                <w:sz w:val="22"/>
              </w:rPr>
            </w:pPr>
            <w:r>
              <w:rPr>
                <w:sz w:val="22"/>
              </w:rPr>
              <w:t>Porque</w:t>
              <w:tab/>
              <w:t>los</w:t>
              <w:tab/>
              <w:t>de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Style w:val="TableParagraph"/>
              <w:spacing w:line="241" w:lineRule="exact"/>
              <w:ind w:left="100" w:right="101"/>
              <w:rPr>
                <w:sz w:val="22"/>
              </w:rPr>
            </w:pPr>
            <w:r>
              <w:rPr>
                <w:sz w:val="22"/>
              </w:rPr>
              <w:t>y ganadero</w:t>
            </w:r>
          </w:p>
        </w:tc>
        <w:tc>
          <w:tcPr>
            <w:tcW w:w="1841" w:type="dxa"/>
            <w:tcBorders>
              <w:top w:val="nil"/>
              <w:bottom w:val="nil"/>
            </w:tcBorders>
          </w:tcPr>
          <w:p>
            <w:pPr>
              <w:pStyle w:val="TableParagraph"/>
              <w:spacing w:line="241" w:lineRule="exact"/>
              <w:ind w:left="100"/>
              <w:rPr>
                <w:sz w:val="22"/>
              </w:rPr>
            </w:pPr>
            <w:r>
              <w:rPr>
                <w:sz w:val="22"/>
              </w:rPr>
              <w:t>Ganadera Local</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spacing w:line="241" w:lineRule="exact"/>
              <w:rPr>
                <w:sz w:val="22"/>
              </w:rPr>
            </w:pPr>
            <w:r>
              <w:rPr>
                <w:sz w:val="22"/>
              </w:rPr>
              <w:t>problema de la</w:t>
            </w:r>
          </w:p>
        </w:tc>
        <w:tc>
          <w:tcPr>
            <w:tcW w:w="1985" w:type="dxa"/>
            <w:tcBorders>
              <w:top w:val="nil"/>
              <w:bottom w:val="nil"/>
            </w:tcBorders>
          </w:tcPr>
          <w:p>
            <w:pPr>
              <w:pStyle w:val="TableParagraph"/>
              <w:spacing w:line="241" w:lineRule="exact"/>
              <w:rPr>
                <w:sz w:val="22"/>
              </w:rPr>
            </w:pPr>
            <w:r>
              <w:rPr>
                <w:sz w:val="22"/>
              </w:rPr>
              <w:t>Arroyo   Zarco  no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General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spacing w:line="242" w:lineRule="exact"/>
              <w:rPr>
                <w:sz w:val="22"/>
              </w:rPr>
            </w:pPr>
            <w:r>
              <w:rPr>
                <w:sz w:val="22"/>
              </w:rPr>
              <w:t>laguna</w:t>
            </w:r>
          </w:p>
        </w:tc>
        <w:tc>
          <w:tcPr>
            <w:tcW w:w="1985" w:type="dxa"/>
            <w:tcBorders>
              <w:top w:val="nil"/>
              <w:bottom w:val="nil"/>
            </w:tcBorders>
          </w:tcPr>
          <w:p>
            <w:pPr>
              <w:pStyle w:val="TableParagraph"/>
              <w:spacing w:line="242" w:lineRule="exact"/>
              <w:rPr>
                <w:sz w:val="22"/>
              </w:rPr>
            </w:pPr>
            <w:r>
              <w:rPr>
                <w:sz w:val="22"/>
              </w:rPr>
              <w:t>dejan que</w:t>
            </w:r>
            <w:r>
              <w:rPr>
                <w:spacing w:val="54"/>
                <w:sz w:val="22"/>
              </w:rPr>
              <w:t> </w:t>
            </w:r>
            <w:r>
              <w:rPr>
                <w:sz w:val="22"/>
              </w:rPr>
              <w:t>porque</w:t>
            </w: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Municipio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1" w:lineRule="exact"/>
              <w:rPr>
                <w:sz w:val="22"/>
              </w:rPr>
            </w:pPr>
            <w:r>
              <w:rPr>
                <w:sz w:val="22"/>
              </w:rPr>
              <w:t>Huapango</w:t>
              <w:tab/>
              <w:t>es</w:t>
            </w:r>
          </w:p>
        </w:tc>
        <w:tc>
          <w:tcPr>
            <w:tcW w:w="1985" w:type="dxa"/>
            <w:tcBorders>
              <w:top w:val="nil"/>
              <w:bottom w:val="nil"/>
            </w:tcBorders>
          </w:tcPr>
          <w:p>
            <w:pPr>
              <w:pStyle w:val="TableParagraph"/>
              <w:spacing w:line="241" w:lineRule="exact"/>
              <w:rPr>
                <w:sz w:val="22"/>
              </w:rPr>
            </w:pPr>
            <w:r>
              <w:rPr>
                <w:sz w:val="22"/>
              </w:rPr>
              <w:t>es federal.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3" w:lineRule="exact"/>
              <w:ind w:left="100"/>
              <w:rPr>
                <w:sz w:val="22"/>
              </w:rPr>
            </w:pPr>
            <w:r>
              <w:rPr>
                <w:sz w:val="22"/>
              </w:rPr>
              <w:t>Jilotepec</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que   no  dejan</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bombear </w:t>
            </w:r>
            <w:r>
              <w:rPr>
                <w:spacing w:val="53"/>
                <w:sz w:val="22"/>
              </w:rPr>
              <w:t> </w:t>
            </w:r>
            <w:r>
              <w:rPr>
                <w:sz w:val="22"/>
              </w:rPr>
              <w:t>para</w:t>
            </w:r>
          </w:p>
        </w:tc>
        <w:tc>
          <w:tcPr>
            <w:tcW w:w="1985" w:type="dxa"/>
            <w:tcBorders>
              <w:top w:val="nil"/>
              <w:bottom w:val="nil"/>
            </w:tcBorders>
          </w:tcPr>
          <w:p>
            <w:pP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regar.</w:t>
            </w:r>
          </w:p>
        </w:tc>
        <w:tc>
          <w:tcPr>
            <w:tcW w:w="1985" w:type="dxa"/>
            <w:tcBorders>
              <w:top w:val="nil"/>
              <w:bottom w:val="nil"/>
            </w:tcBorders>
          </w:tcPr>
          <w:p>
            <w:pPr/>
          </w:p>
        </w:tc>
      </w:tr>
      <w:tr>
        <w:trPr>
          <w:trHeight w:val="380"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before="115"/>
              <w:rPr>
                <w:sz w:val="22"/>
              </w:rPr>
            </w:pPr>
            <w:r>
              <w:rPr>
                <w:sz w:val="22"/>
              </w:rPr>
              <w:t>El   agua   está</w:t>
            </w:r>
          </w:p>
        </w:tc>
        <w:tc>
          <w:tcPr>
            <w:tcW w:w="1985" w:type="dxa"/>
            <w:tcBorders>
              <w:top w:val="nil"/>
              <w:bottom w:val="nil"/>
            </w:tcBorders>
          </w:tcPr>
          <w:p>
            <w:pPr>
              <w:pStyle w:val="TableParagraph"/>
              <w:tabs>
                <w:tab w:pos="1458" w:val="left" w:leader="none"/>
              </w:tabs>
              <w:spacing w:before="115"/>
              <w:rPr>
                <w:sz w:val="22"/>
              </w:rPr>
            </w:pPr>
            <w:r>
              <w:rPr>
                <w:sz w:val="22"/>
              </w:rPr>
              <w:t>Porque</w:t>
              <w:tab/>
              <w:t>está</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verde.</w:t>
            </w:r>
          </w:p>
        </w:tc>
        <w:tc>
          <w:tcPr>
            <w:tcW w:w="1985" w:type="dxa"/>
            <w:tcBorders>
              <w:top w:val="nil"/>
              <w:bottom w:val="nil"/>
            </w:tcBorders>
          </w:tcPr>
          <w:p>
            <w:pPr>
              <w:pStyle w:val="TableParagraph"/>
              <w:spacing w:line="242" w:lineRule="exact"/>
              <w:rPr>
                <w:sz w:val="22"/>
              </w:rPr>
            </w:pPr>
            <w:r>
              <w:rPr>
                <w:sz w:val="22"/>
              </w:rPr>
              <w:t>contaminada,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976" w:val="left" w:leader="none"/>
                <w:tab w:pos="1640" w:val="left" w:leader="none"/>
              </w:tabs>
              <w:spacing w:line="241" w:lineRule="exact"/>
              <w:rPr>
                <w:sz w:val="22"/>
              </w:rPr>
            </w:pPr>
            <w:r>
              <w:rPr>
                <w:sz w:val="22"/>
              </w:rPr>
              <w:t>pero</w:t>
              <w:tab/>
              <w:t>ya</w:t>
              <w:tab/>
              <w:t>se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17" w:val="left" w:leader="none"/>
                <w:tab w:pos="1343" w:val="left" w:leader="none"/>
              </w:tabs>
              <w:spacing w:line="241" w:lineRule="exact"/>
              <w:rPr>
                <w:sz w:val="22"/>
              </w:rPr>
            </w:pPr>
            <w:r>
              <w:rPr>
                <w:sz w:val="22"/>
              </w:rPr>
              <w:t>analizó</w:t>
              <w:tab/>
              <w:t>y</w:t>
              <w:tab/>
              <w:t>dicen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que no tiene nada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y los animales  se</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976" w:val="left" w:leader="none"/>
                <w:tab w:pos="1346" w:val="left" w:leader="none"/>
              </w:tabs>
              <w:spacing w:line="243" w:lineRule="exact"/>
              <w:rPr>
                <w:sz w:val="22"/>
              </w:rPr>
            </w:pPr>
            <w:r>
              <w:rPr>
                <w:sz w:val="22"/>
              </w:rPr>
              <w:t>meten</w:t>
              <w:tab/>
              <w:t>y</w:t>
              <w:tab/>
              <w:t>salen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55" w:val="left" w:leader="none"/>
                <w:tab w:pos="1593" w:val="left" w:leader="none"/>
              </w:tabs>
              <w:spacing w:line="241" w:lineRule="exact"/>
              <w:rPr>
                <w:sz w:val="22"/>
              </w:rPr>
            </w:pPr>
            <w:r>
              <w:rPr>
                <w:sz w:val="22"/>
              </w:rPr>
              <w:t>verdes</w:t>
              <w:tab/>
              <w:t>de</w:t>
              <w:tab/>
              <w:t>las</w:t>
            </w: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patas.</w:t>
            </w:r>
          </w:p>
        </w:tc>
      </w:tr>
    </w:tbl>
    <w:p>
      <w:pPr>
        <w:spacing w:after="0" w:line="24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792" w:hRule="exact"/>
        </w:trPr>
        <w:tc>
          <w:tcPr>
            <w:tcW w:w="1385" w:type="dxa"/>
          </w:tcPr>
          <w:p>
            <w:pPr>
              <w:pStyle w:val="TableParagraph"/>
              <w:ind w:right="310"/>
              <w:rPr>
                <w:sz w:val="22"/>
              </w:rPr>
            </w:pPr>
            <w:r>
              <w:rPr>
                <w:sz w:val="22"/>
              </w:rPr>
              <w:t>Rufino García (2/I/2015)</w:t>
            </w:r>
          </w:p>
        </w:tc>
        <w:tc>
          <w:tcPr>
            <w:tcW w:w="1418" w:type="dxa"/>
          </w:tcPr>
          <w:p>
            <w:pPr>
              <w:pStyle w:val="TableParagraph"/>
              <w:ind w:left="100" w:right="226"/>
              <w:jc w:val="both"/>
              <w:rPr>
                <w:sz w:val="22"/>
              </w:rPr>
            </w:pPr>
            <w:r>
              <w:rPr>
                <w:sz w:val="22"/>
              </w:rPr>
              <w:t>Ganadero, agricultor y abogado</w:t>
            </w:r>
          </w:p>
        </w:tc>
        <w:tc>
          <w:tcPr>
            <w:tcW w:w="1841" w:type="dxa"/>
          </w:tcPr>
          <w:p>
            <w:pPr>
              <w:pStyle w:val="TableParagraph"/>
              <w:tabs>
                <w:tab w:pos="1434" w:val="left" w:leader="none"/>
              </w:tabs>
              <w:ind w:left="100" w:right="101"/>
              <w:rPr>
                <w:sz w:val="22"/>
              </w:rPr>
            </w:pPr>
            <w:r>
              <w:rPr>
                <w:sz w:val="22"/>
              </w:rPr>
              <w:t>Asociación Ganadera General</w:t>
              <w:tab/>
              <w:t>del</w:t>
            </w:r>
          </w:p>
          <w:p>
            <w:pPr>
              <w:pStyle w:val="TableParagraph"/>
              <w:tabs>
                <w:tab w:pos="1480" w:val="left" w:leader="none"/>
                <w:tab w:pos="1607" w:val="left" w:leader="none"/>
                <w:tab w:pos="1728" w:val="right" w:leader="none"/>
              </w:tabs>
              <w:ind w:left="100" w:right="99"/>
              <w:rPr>
                <w:sz w:val="22"/>
              </w:rPr>
            </w:pPr>
            <w:r>
              <w:rPr>
                <w:sz w:val="22"/>
              </w:rPr>
              <w:t>Municipio</w:t>
              <w:tab/>
              <w:t>de Timilpan, A.C (Representa</w:t>
              <w:tab/>
              <w:tab/>
              <w:t>a las</w:t>
              <w:tab/>
              <w:tab/>
              <w:tab/>
              <w:t> 36</w:t>
            </w:r>
          </w:p>
          <w:p>
            <w:pPr>
              <w:pStyle w:val="TableParagraph"/>
              <w:spacing w:before="1"/>
              <w:ind w:left="100" w:right="97"/>
              <w:rPr>
                <w:sz w:val="22"/>
              </w:rPr>
            </w:pPr>
            <w:r>
              <w:rPr>
                <w:sz w:val="22"/>
              </w:rPr>
              <w:t>comunidades de Timilpan)</w:t>
            </w:r>
          </w:p>
        </w:tc>
        <w:tc>
          <w:tcPr>
            <w:tcW w:w="1135" w:type="dxa"/>
          </w:tcPr>
          <w:p>
            <w:pPr>
              <w:pStyle w:val="TableParagraph"/>
              <w:spacing w:line="252" w:lineRule="exact" w:before="2"/>
              <w:ind w:right="134"/>
              <w:rPr>
                <w:sz w:val="22"/>
              </w:rPr>
            </w:pPr>
            <w:r>
              <w:rPr>
                <w:sz w:val="22"/>
              </w:rPr>
              <w:t>Presiden te</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spacing w:line="250" w:lineRule="exact"/>
              <w:ind w:right="92"/>
              <w:rPr>
                <w:sz w:val="22"/>
              </w:rPr>
            </w:pPr>
            <w:r>
              <w:rPr>
                <w:sz w:val="22"/>
              </w:rPr>
              <w:t>Huapango</w:t>
            </w:r>
          </w:p>
          <w:p>
            <w:pPr>
              <w:pStyle w:val="TableParagraph"/>
              <w:spacing w:line="252" w:lineRule="exact"/>
              <w:ind w:right="92"/>
              <w:rPr>
                <w:sz w:val="22"/>
              </w:rPr>
            </w:pPr>
            <w:r>
              <w:rPr>
                <w:sz w:val="22"/>
              </w:rPr>
              <w:t>, Timilpan</w:t>
            </w:r>
          </w:p>
        </w:tc>
        <w:tc>
          <w:tcPr>
            <w:tcW w:w="1133" w:type="dxa"/>
          </w:tcPr>
          <w:p>
            <w:pPr>
              <w:pStyle w:val="TableParagraph"/>
              <w:ind w:left="100" w:right="110"/>
              <w:rPr>
                <w:sz w:val="22"/>
              </w:rPr>
            </w:pPr>
            <w:r>
              <w:rPr>
                <w:sz w:val="22"/>
              </w:rPr>
              <w:t>Huapang o, Timilpan</w:t>
            </w:r>
          </w:p>
        </w:tc>
        <w:tc>
          <w:tcPr>
            <w:tcW w:w="1702" w:type="dxa"/>
          </w:tcPr>
          <w:p>
            <w:pPr>
              <w:pStyle w:val="TableParagraph"/>
              <w:spacing w:line="252" w:lineRule="exact" w:before="2"/>
              <w:ind w:right="89"/>
              <w:rPr>
                <w:sz w:val="22"/>
              </w:rPr>
            </w:pPr>
            <w:r>
              <w:rPr>
                <w:sz w:val="22"/>
              </w:rPr>
              <w:t>La contaminación.</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345"/>
              <w:rPr>
                <w:sz w:val="22"/>
              </w:rPr>
            </w:pPr>
            <w:r>
              <w:rPr>
                <w:sz w:val="22"/>
              </w:rPr>
              <w:t>La Autopista Arco Norte.</w:t>
            </w:r>
          </w:p>
        </w:tc>
        <w:tc>
          <w:tcPr>
            <w:tcW w:w="1985" w:type="dxa"/>
          </w:tcPr>
          <w:p>
            <w:pPr>
              <w:pStyle w:val="TableParagraph"/>
              <w:tabs>
                <w:tab w:pos="1593" w:val="left" w:leader="none"/>
              </w:tabs>
              <w:ind w:right="99"/>
              <w:jc w:val="both"/>
              <w:rPr>
                <w:sz w:val="22"/>
              </w:rPr>
            </w:pPr>
            <w:r>
              <w:rPr>
                <w:sz w:val="22"/>
              </w:rPr>
              <w:t>Porque no se ha planeado de qué manera conducir las aguas negras de</w:t>
              <w:tab/>
              <w:t>las</w:t>
            </w:r>
          </w:p>
          <w:p>
            <w:pPr>
              <w:pStyle w:val="TableParagraph"/>
              <w:spacing w:line="252" w:lineRule="exact"/>
              <w:jc w:val="both"/>
              <w:rPr>
                <w:sz w:val="22"/>
              </w:rPr>
            </w:pPr>
            <w:r>
              <w:rPr>
                <w:sz w:val="22"/>
              </w:rPr>
              <w:t>comunidades.</w:t>
            </w:r>
          </w:p>
          <w:p>
            <w:pPr>
              <w:pStyle w:val="TableParagraph"/>
              <w:ind w:left="0"/>
              <w:rPr>
                <w:rFonts w:ascii="Times New Roman"/>
                <w:sz w:val="22"/>
              </w:rPr>
            </w:pPr>
          </w:p>
          <w:p>
            <w:pPr>
              <w:pStyle w:val="TableParagraph"/>
              <w:tabs>
                <w:tab w:pos="1629" w:val="left" w:leader="none"/>
              </w:tabs>
              <w:ind w:right="98"/>
              <w:jc w:val="both"/>
              <w:rPr>
                <w:sz w:val="22"/>
              </w:rPr>
            </w:pPr>
            <w:r>
              <w:rPr>
                <w:sz w:val="22"/>
              </w:rPr>
              <w:t>Porque</w:t>
              <w:tab/>
              <w:t>ha contaminado con chapopote.</w:t>
            </w:r>
          </w:p>
        </w:tc>
      </w:tr>
      <w:tr>
        <w:trPr>
          <w:trHeight w:val="269" w:hRule="exact"/>
        </w:trPr>
        <w:tc>
          <w:tcPr>
            <w:tcW w:w="1385" w:type="dxa"/>
            <w:tcBorders>
              <w:bottom w:val="nil"/>
            </w:tcBorders>
          </w:tcPr>
          <w:p>
            <w:pPr>
              <w:pStyle w:val="TableParagraph"/>
              <w:ind w:right="127"/>
              <w:rPr>
                <w:sz w:val="22"/>
              </w:rPr>
            </w:pPr>
            <w:r>
              <w:rPr>
                <w:sz w:val="22"/>
              </w:rPr>
              <w:t>Evaristo</w:t>
            </w:r>
          </w:p>
        </w:tc>
        <w:tc>
          <w:tcPr>
            <w:tcW w:w="1418" w:type="dxa"/>
            <w:tcBorders>
              <w:bottom w:val="nil"/>
            </w:tcBorders>
          </w:tcPr>
          <w:p>
            <w:pPr>
              <w:pStyle w:val="TableParagraph"/>
              <w:ind w:left="127"/>
              <w:rPr>
                <w:sz w:val="22"/>
              </w:rPr>
            </w:pPr>
            <w:r>
              <w:rPr>
                <w:sz w:val="22"/>
              </w:rPr>
              <w:t>Ganadero y</w:t>
            </w:r>
          </w:p>
        </w:tc>
        <w:tc>
          <w:tcPr>
            <w:tcW w:w="1841" w:type="dxa"/>
            <w:tcBorders>
              <w:bottom w:val="nil"/>
            </w:tcBorders>
          </w:tcPr>
          <w:p>
            <w:pPr>
              <w:pStyle w:val="TableParagraph"/>
              <w:ind w:left="100"/>
              <w:rPr>
                <w:sz w:val="22"/>
              </w:rPr>
            </w:pPr>
            <w:r>
              <w:rPr>
                <w:sz w:val="22"/>
              </w:rPr>
              <w:t>Cooperativa</w:t>
            </w:r>
          </w:p>
        </w:tc>
        <w:tc>
          <w:tcPr>
            <w:tcW w:w="1135" w:type="dxa"/>
            <w:tcBorders>
              <w:bottom w:val="nil"/>
            </w:tcBorders>
          </w:tcPr>
          <w:p>
            <w:pPr>
              <w:pStyle w:val="TableParagraph"/>
              <w:rPr>
                <w:sz w:val="22"/>
              </w:rPr>
            </w:pPr>
            <w:r>
              <w:rPr>
                <w:sz w:val="22"/>
              </w:rPr>
              <w:t>Presiden</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La</w:t>
            </w:r>
          </w:p>
        </w:tc>
        <w:tc>
          <w:tcPr>
            <w:tcW w:w="1133" w:type="dxa"/>
            <w:tcBorders>
              <w:bottom w:val="nil"/>
            </w:tcBorders>
          </w:tcPr>
          <w:p>
            <w:pPr>
              <w:pStyle w:val="TableParagraph"/>
              <w:ind w:left="100" w:right="52"/>
              <w:rPr>
                <w:sz w:val="22"/>
              </w:rPr>
            </w:pPr>
            <w:r>
              <w:rPr>
                <w:sz w:val="22"/>
              </w:rPr>
              <w:t>La</w:t>
            </w:r>
          </w:p>
        </w:tc>
        <w:tc>
          <w:tcPr>
            <w:tcW w:w="1702" w:type="dxa"/>
            <w:tcBorders>
              <w:bottom w:val="nil"/>
            </w:tcBorders>
          </w:tcPr>
          <w:p>
            <w:pPr>
              <w:pStyle w:val="TableParagraph"/>
              <w:rPr>
                <w:sz w:val="22"/>
              </w:rPr>
            </w:pPr>
            <w:r>
              <w:rPr>
                <w:sz w:val="22"/>
              </w:rPr>
              <w:t>El  drenaje que</w:t>
            </w:r>
          </w:p>
        </w:tc>
        <w:tc>
          <w:tcPr>
            <w:tcW w:w="1985" w:type="dxa"/>
            <w:tcBorders>
              <w:bottom w:val="nil"/>
            </w:tcBorders>
          </w:tcPr>
          <w:p>
            <w:pPr>
              <w:pStyle w:val="TableParagraph"/>
              <w:tabs>
                <w:tab w:pos="1211" w:val="left" w:leader="none"/>
              </w:tabs>
              <w:rPr>
                <w:sz w:val="22"/>
              </w:rPr>
            </w:pPr>
            <w:r>
              <w:rPr>
                <w:sz w:val="22"/>
              </w:rPr>
              <w:t>Porque</w:t>
              <w:tab/>
              <w:t>mucha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Style w:val="TableParagraph"/>
              <w:spacing w:line="241" w:lineRule="exact"/>
              <w:ind w:left="249" w:right="101"/>
              <w:rPr>
                <w:sz w:val="22"/>
              </w:rPr>
            </w:pPr>
            <w:r>
              <w:rPr>
                <w:sz w:val="22"/>
              </w:rPr>
              <w:t>agricultor</w:t>
            </w:r>
          </w:p>
        </w:tc>
        <w:tc>
          <w:tcPr>
            <w:tcW w:w="1841" w:type="dxa"/>
            <w:tcBorders>
              <w:top w:val="nil"/>
              <w:bottom w:val="nil"/>
            </w:tcBorders>
          </w:tcPr>
          <w:p>
            <w:pPr>
              <w:pStyle w:val="TableParagraph"/>
              <w:tabs>
                <w:tab w:pos="820" w:val="left" w:leader="none"/>
              </w:tabs>
              <w:spacing w:line="241" w:lineRule="exact"/>
              <w:ind w:left="100"/>
              <w:rPr>
                <w:sz w:val="22"/>
              </w:rPr>
            </w:pPr>
            <w:r>
              <w:rPr>
                <w:sz w:val="22"/>
              </w:rPr>
              <w:t>para</w:t>
              <w:tab/>
              <w:t>gestionar</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tabs>
                <w:tab w:pos="508" w:val="left" w:leader="none"/>
                <w:tab w:pos="1343" w:val="left" w:leader="none"/>
              </w:tabs>
              <w:spacing w:line="241" w:lineRule="exact"/>
              <w:rPr>
                <w:sz w:val="22"/>
              </w:rPr>
            </w:pPr>
            <w:r>
              <w:rPr>
                <w:sz w:val="22"/>
              </w:rPr>
              <w:t>le</w:t>
              <w:tab/>
              <w:t>echan</w:t>
              <w:tab/>
              <w:t>de</w:t>
            </w:r>
          </w:p>
        </w:tc>
        <w:tc>
          <w:tcPr>
            <w:tcW w:w="1985" w:type="dxa"/>
            <w:tcBorders>
              <w:top w:val="nil"/>
              <w:bottom w:val="nil"/>
            </w:tcBorders>
          </w:tcPr>
          <w:p>
            <w:pPr>
              <w:pStyle w:val="TableParagraph"/>
              <w:tabs>
                <w:tab w:pos="1628" w:val="left" w:leader="none"/>
              </w:tabs>
              <w:spacing w:line="241" w:lineRule="exact"/>
              <w:rPr>
                <w:sz w:val="22"/>
              </w:rPr>
            </w:pPr>
            <w:r>
              <w:rPr>
                <w:sz w:val="22"/>
              </w:rPr>
              <w:t>gente</w:t>
              <w:tab/>
              <w:t>de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Miguel</w:t>
            </w:r>
          </w:p>
        </w:tc>
        <w:tc>
          <w:tcPr>
            <w:tcW w:w="1418" w:type="dxa"/>
            <w:tcBorders>
              <w:top w:val="nil"/>
              <w:bottom w:val="nil"/>
            </w:tcBorders>
          </w:tcPr>
          <w:p>
            <w:pPr/>
          </w:p>
        </w:tc>
        <w:tc>
          <w:tcPr>
            <w:tcW w:w="1841" w:type="dxa"/>
            <w:tcBorders>
              <w:top w:val="nil"/>
              <w:bottom w:val="nil"/>
            </w:tcBorders>
          </w:tcPr>
          <w:p>
            <w:pPr>
              <w:pStyle w:val="TableParagraph"/>
              <w:tabs>
                <w:tab w:pos="1486" w:val="left" w:leader="none"/>
              </w:tabs>
              <w:spacing w:line="241" w:lineRule="exact"/>
              <w:ind w:left="100"/>
              <w:rPr>
                <w:sz w:val="22"/>
              </w:rPr>
            </w:pPr>
            <w:r>
              <w:rPr>
                <w:sz w:val="22"/>
              </w:rPr>
              <w:t>proyectos</w:t>
              <w:tab/>
              <w:t>en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Style w:val="TableParagraph"/>
              <w:spacing w:line="241" w:lineRule="exact"/>
              <w:rPr>
                <w:sz w:val="22"/>
              </w:rPr>
            </w:pPr>
            <w:r>
              <w:rPr>
                <w:sz w:val="22"/>
              </w:rPr>
              <w:t>todos lados.</w:t>
            </w:r>
          </w:p>
        </w:tc>
        <w:tc>
          <w:tcPr>
            <w:tcW w:w="1985" w:type="dxa"/>
            <w:tcBorders>
              <w:top w:val="nil"/>
              <w:bottom w:val="nil"/>
            </w:tcBorders>
          </w:tcPr>
          <w:p>
            <w:pPr>
              <w:pStyle w:val="TableParagraph"/>
              <w:spacing w:line="241" w:lineRule="exact"/>
              <w:rPr>
                <w:sz w:val="22"/>
              </w:rPr>
            </w:pPr>
            <w:r>
              <w:rPr>
                <w:sz w:val="22"/>
              </w:rPr>
              <w:t>alrededor echa su</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2" w:lineRule="exact"/>
              <w:ind w:left="100"/>
              <w:rPr>
                <w:sz w:val="22"/>
              </w:rPr>
            </w:pPr>
            <w:r>
              <w:rPr>
                <w:sz w:val="22"/>
              </w:rPr>
              <w:t>Sagarpa</w:t>
              <w:tab/>
              <w:t>(no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Timilpan</w:t>
            </w: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agua sucia.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556" w:val="left" w:leader="none"/>
              </w:tabs>
              <w:spacing w:line="241" w:lineRule="exact"/>
              <w:ind w:left="100"/>
              <w:rPr>
                <w:sz w:val="22"/>
              </w:rPr>
            </w:pPr>
            <w:r>
              <w:rPr>
                <w:sz w:val="22"/>
              </w:rPr>
              <w:t>recurdo</w:t>
              <w:tab/>
              <w:t>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2" w:lineRule="exact"/>
              <w:ind w:left="100"/>
              <w:rPr>
                <w:sz w:val="22"/>
              </w:rPr>
            </w:pPr>
            <w:r>
              <w:rPr>
                <w:sz w:val="22"/>
              </w:rPr>
              <w:t>nombre)</w:t>
              <w:tab/>
              <w:t>(10</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40" w:val="left" w:leader="none"/>
              </w:tabs>
              <w:spacing w:line="242" w:lineRule="exact"/>
              <w:rPr>
                <w:sz w:val="22"/>
              </w:rPr>
            </w:pPr>
            <w:r>
              <w:rPr>
                <w:sz w:val="22"/>
              </w:rPr>
              <w:t>La</w:t>
              <w:tab/>
              <w:t>pesca,</w:t>
            </w:r>
          </w:p>
        </w:tc>
        <w:tc>
          <w:tcPr>
            <w:tcW w:w="1985" w:type="dxa"/>
            <w:tcBorders>
              <w:top w:val="nil"/>
              <w:bottom w:val="nil"/>
            </w:tcBorders>
          </w:tcPr>
          <w:p>
            <w:pPr>
              <w:pStyle w:val="TableParagraph"/>
              <w:spacing w:line="242" w:lineRule="exact"/>
              <w:rPr>
                <w:sz w:val="22"/>
              </w:rPr>
            </w:pPr>
            <w:r>
              <w:rPr>
                <w:sz w:val="22"/>
              </w:rPr>
              <w:t>Porque  ahora  ya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1" w:lineRule="exact"/>
              <w:rPr>
                <w:sz w:val="22"/>
              </w:rPr>
            </w:pPr>
            <w:r>
              <w:rPr>
                <w:sz w:val="22"/>
              </w:rPr>
              <w:t>antes</w:t>
              <w:tab/>
              <w:t>se</w:t>
            </w:r>
          </w:p>
        </w:tc>
        <w:tc>
          <w:tcPr>
            <w:tcW w:w="1985" w:type="dxa"/>
            <w:tcBorders>
              <w:top w:val="nil"/>
              <w:bottom w:val="nil"/>
            </w:tcBorders>
          </w:tcPr>
          <w:p>
            <w:pPr>
              <w:pStyle w:val="TableParagraph"/>
              <w:spacing w:line="241" w:lineRule="exact"/>
              <w:rPr>
                <w:sz w:val="22"/>
              </w:rPr>
            </w:pPr>
            <w:r>
              <w:rPr>
                <w:sz w:val="22"/>
              </w:rPr>
              <w:t>no  se  puede</w:t>
            </w:r>
            <w:r>
              <w:rPr>
                <w:spacing w:val="54"/>
                <w:sz w:val="22"/>
              </w:rPr>
              <w:t> </w:t>
            </w:r>
            <w:r>
              <w:rPr>
                <w:sz w:val="22"/>
              </w:rPr>
              <w:t>por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3" w:val="left" w:leader="none"/>
              </w:tabs>
              <w:spacing w:line="241" w:lineRule="exact"/>
              <w:rPr>
                <w:sz w:val="22"/>
              </w:rPr>
            </w:pPr>
            <w:r>
              <w:rPr>
                <w:sz w:val="22"/>
              </w:rPr>
              <w:t>mantenían</w:t>
              <w:tab/>
              <w:t>de</w:t>
            </w:r>
          </w:p>
        </w:tc>
        <w:tc>
          <w:tcPr>
            <w:tcW w:w="1985" w:type="dxa"/>
            <w:tcBorders>
              <w:top w:val="nil"/>
              <w:bottom w:val="nil"/>
            </w:tcBorders>
          </w:tcPr>
          <w:p>
            <w:pPr>
              <w:pStyle w:val="TableParagraph"/>
              <w:spacing w:line="241" w:lineRule="exact"/>
              <w:rPr>
                <w:sz w:val="22"/>
              </w:rPr>
            </w:pPr>
            <w:r>
              <w:rPr>
                <w:sz w:val="22"/>
              </w:rPr>
              <w:t>la </w:t>
            </w:r>
            <w:r>
              <w:rPr>
                <w:spacing w:val="56"/>
                <w:sz w:val="22"/>
              </w:rPr>
              <w:t> </w:t>
            </w:r>
            <w:r>
              <w:rPr>
                <w:sz w:val="22"/>
              </w:rPr>
              <w:t>contaminación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la laguna,</w:t>
            </w:r>
          </w:p>
        </w:tc>
        <w:tc>
          <w:tcPr>
            <w:tcW w:w="1985" w:type="dxa"/>
            <w:tcBorders>
              <w:top w:val="nil"/>
              <w:bottom w:val="nil"/>
            </w:tcBorders>
          </w:tcPr>
          <w:p>
            <w:pPr>
              <w:pStyle w:val="TableParagraph"/>
              <w:tabs>
                <w:tab w:pos="522" w:val="left" w:leader="none"/>
                <w:tab w:pos="1518" w:val="left" w:leader="none"/>
              </w:tabs>
              <w:spacing w:line="242" w:lineRule="exact"/>
              <w:rPr>
                <w:sz w:val="22"/>
              </w:rPr>
            </w:pPr>
            <w:r>
              <w:rPr>
                <w:sz w:val="22"/>
              </w:rPr>
              <w:t>y</w:t>
              <w:tab/>
              <w:t>porque</w:t>
              <w:tab/>
              <w:t>hay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mucha  yerba,  ya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688" w:val="left" w:leader="none"/>
                <w:tab w:pos="1261" w:val="left" w:leader="none"/>
              </w:tabs>
              <w:spacing w:line="242" w:lineRule="exact"/>
              <w:rPr>
                <w:sz w:val="22"/>
              </w:rPr>
            </w:pPr>
            <w:r>
              <w:rPr>
                <w:sz w:val="22"/>
              </w:rPr>
              <w:t>no</w:t>
              <w:tab/>
              <w:t>se</w:t>
              <w:tab/>
              <w:t>puede</w:t>
            </w:r>
          </w:p>
        </w:tc>
      </w:tr>
      <w:tr>
        <w:trPr>
          <w:trHeight w:val="247"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pescar.</w:t>
            </w:r>
          </w:p>
        </w:tc>
      </w:tr>
      <w:tr>
        <w:trPr>
          <w:trHeight w:val="269" w:hRule="exact"/>
        </w:trPr>
        <w:tc>
          <w:tcPr>
            <w:tcW w:w="1385" w:type="dxa"/>
            <w:tcBorders>
              <w:bottom w:val="nil"/>
            </w:tcBorders>
          </w:tcPr>
          <w:p>
            <w:pPr>
              <w:pStyle w:val="TableParagraph"/>
              <w:ind w:right="127"/>
              <w:rPr>
                <w:sz w:val="22"/>
              </w:rPr>
            </w:pPr>
            <w:r>
              <w:rPr>
                <w:sz w:val="22"/>
              </w:rPr>
              <w:t>Antonio</w:t>
            </w:r>
          </w:p>
        </w:tc>
        <w:tc>
          <w:tcPr>
            <w:tcW w:w="1418" w:type="dxa"/>
            <w:tcBorders>
              <w:bottom w:val="nil"/>
            </w:tcBorders>
          </w:tcPr>
          <w:p>
            <w:pPr>
              <w:pStyle w:val="TableParagraph"/>
              <w:ind w:left="100" w:right="101"/>
              <w:rPr>
                <w:sz w:val="22"/>
              </w:rPr>
            </w:pPr>
            <w:r>
              <w:rPr>
                <w:sz w:val="22"/>
              </w:rPr>
              <w:t>Ganadero,</w:t>
            </w:r>
          </w:p>
        </w:tc>
        <w:tc>
          <w:tcPr>
            <w:tcW w:w="1841" w:type="dxa"/>
            <w:tcBorders>
              <w:bottom w:val="nil"/>
            </w:tcBorders>
          </w:tcPr>
          <w:p>
            <w:pPr>
              <w:pStyle w:val="TableParagraph"/>
              <w:ind w:left="100"/>
              <w:rPr>
                <w:sz w:val="22"/>
              </w:rPr>
            </w:pPr>
            <w:r>
              <w:rPr>
                <w:sz w:val="22"/>
              </w:rPr>
              <w:t>Cooperativa   de</w:t>
            </w:r>
          </w:p>
        </w:tc>
        <w:tc>
          <w:tcPr>
            <w:tcW w:w="1135" w:type="dxa"/>
            <w:tcBorders>
              <w:bottom w:val="nil"/>
            </w:tcBorders>
          </w:tcPr>
          <w:p>
            <w:pPr>
              <w:pStyle w:val="TableParagraph"/>
              <w:rPr>
                <w:sz w:val="22"/>
              </w:rPr>
            </w:pPr>
            <w:r>
              <w:rPr>
                <w:sz w:val="22"/>
              </w:rPr>
              <w:t>Integrant</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La</w:t>
            </w:r>
          </w:p>
        </w:tc>
        <w:tc>
          <w:tcPr>
            <w:tcW w:w="1133" w:type="dxa"/>
            <w:tcBorders>
              <w:bottom w:val="nil"/>
            </w:tcBorders>
          </w:tcPr>
          <w:p>
            <w:pPr>
              <w:pStyle w:val="TableParagraph"/>
              <w:ind w:left="100" w:right="52"/>
              <w:rPr>
                <w:sz w:val="22"/>
              </w:rPr>
            </w:pPr>
            <w:r>
              <w:rPr>
                <w:sz w:val="22"/>
              </w:rPr>
              <w:t>La</w:t>
            </w:r>
          </w:p>
        </w:tc>
        <w:tc>
          <w:tcPr>
            <w:tcW w:w="1702" w:type="dxa"/>
            <w:tcBorders>
              <w:bottom w:val="nil"/>
            </w:tcBorders>
          </w:tcPr>
          <w:p>
            <w:pPr>
              <w:pStyle w:val="TableParagraph"/>
              <w:tabs>
                <w:tab w:pos="990" w:val="left" w:leader="none"/>
              </w:tabs>
              <w:rPr>
                <w:sz w:val="22"/>
              </w:rPr>
            </w:pPr>
            <w:r>
              <w:rPr>
                <w:sz w:val="22"/>
              </w:rPr>
              <w:t>Las</w:t>
              <w:tab/>
              <w:t>aguas</w:t>
            </w:r>
          </w:p>
        </w:tc>
        <w:tc>
          <w:tcPr>
            <w:tcW w:w="1985" w:type="dxa"/>
            <w:tcBorders>
              <w:bottom w:val="nil"/>
            </w:tcBorders>
          </w:tcPr>
          <w:p>
            <w:pPr>
              <w:pStyle w:val="TableParagraph"/>
              <w:rPr>
                <w:sz w:val="22"/>
              </w:rPr>
            </w:pPr>
            <w:r>
              <w:rPr>
                <w:sz w:val="22"/>
              </w:rPr>
              <w:t>Porque  todos</w:t>
            </w:r>
            <w:r>
              <w:rPr>
                <w:spacing w:val="55"/>
                <w:sz w:val="22"/>
              </w:rPr>
              <w:t> </w:t>
            </w:r>
            <w:r>
              <w:rPr>
                <w:sz w:val="22"/>
              </w:rPr>
              <w:t>los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Gabriel</w:t>
            </w:r>
          </w:p>
        </w:tc>
        <w:tc>
          <w:tcPr>
            <w:tcW w:w="1418" w:type="dxa"/>
            <w:tcBorders>
              <w:top w:val="nil"/>
              <w:bottom w:val="nil"/>
            </w:tcBorders>
          </w:tcPr>
          <w:p>
            <w:pPr>
              <w:pStyle w:val="TableParagraph"/>
              <w:spacing w:line="241" w:lineRule="exact"/>
              <w:ind w:left="100"/>
              <w:rPr>
                <w:sz w:val="22"/>
              </w:rPr>
            </w:pPr>
            <w:r>
              <w:rPr>
                <w:sz w:val="22"/>
              </w:rPr>
              <w:t>agricultor   y</w:t>
            </w:r>
          </w:p>
        </w:tc>
        <w:tc>
          <w:tcPr>
            <w:tcW w:w="1841" w:type="dxa"/>
            <w:tcBorders>
              <w:top w:val="nil"/>
              <w:bottom w:val="nil"/>
            </w:tcBorders>
          </w:tcPr>
          <w:p>
            <w:pPr>
              <w:pStyle w:val="TableParagraph"/>
              <w:spacing w:line="241" w:lineRule="exact"/>
              <w:ind w:left="100"/>
              <w:rPr>
                <w:sz w:val="22"/>
              </w:rPr>
            </w:pPr>
            <w:r>
              <w:rPr>
                <w:sz w:val="22"/>
              </w:rPr>
              <w:t>Ganaderos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spacing w:line="241" w:lineRule="exact"/>
              <w:rPr>
                <w:sz w:val="22"/>
              </w:rPr>
            </w:pPr>
            <w:r>
              <w:rPr>
                <w:sz w:val="22"/>
              </w:rPr>
              <w:t>negras.</w:t>
            </w:r>
          </w:p>
        </w:tc>
        <w:tc>
          <w:tcPr>
            <w:tcW w:w="1985" w:type="dxa"/>
            <w:tcBorders>
              <w:top w:val="nil"/>
              <w:bottom w:val="nil"/>
            </w:tcBorders>
          </w:tcPr>
          <w:p>
            <w:pPr>
              <w:pStyle w:val="TableParagraph"/>
              <w:tabs>
                <w:tab w:pos="1360" w:val="left" w:leader="none"/>
              </w:tabs>
              <w:spacing w:line="241" w:lineRule="exact"/>
              <w:rPr>
                <w:sz w:val="22"/>
              </w:rPr>
            </w:pPr>
            <w:r>
              <w:rPr>
                <w:sz w:val="22"/>
              </w:rPr>
              <w:t>que</w:t>
              <w:tab/>
              <w:t>viven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Cruz</w:t>
            </w:r>
          </w:p>
        </w:tc>
        <w:tc>
          <w:tcPr>
            <w:tcW w:w="1418" w:type="dxa"/>
            <w:tcBorders>
              <w:top w:val="nil"/>
              <w:bottom w:val="nil"/>
            </w:tcBorders>
          </w:tcPr>
          <w:p>
            <w:pPr>
              <w:pStyle w:val="TableParagraph"/>
              <w:spacing w:line="241" w:lineRule="exact"/>
              <w:ind w:left="100" w:right="101"/>
              <w:rPr>
                <w:sz w:val="22"/>
              </w:rPr>
            </w:pPr>
            <w:r>
              <w:rPr>
                <w:sz w:val="22"/>
              </w:rPr>
              <w:t>albañil</w:t>
            </w:r>
          </w:p>
        </w:tc>
        <w:tc>
          <w:tcPr>
            <w:tcW w:w="1841" w:type="dxa"/>
            <w:tcBorders>
              <w:top w:val="nil"/>
              <w:bottom w:val="nil"/>
            </w:tcBorders>
          </w:tcPr>
          <w:p>
            <w:pPr>
              <w:pStyle w:val="TableParagraph"/>
              <w:spacing w:line="241" w:lineRule="exact"/>
              <w:ind w:left="100"/>
              <w:rPr>
                <w:sz w:val="22"/>
              </w:rPr>
            </w:pPr>
            <w:r>
              <w:rPr>
                <w:sz w:val="22"/>
              </w:rPr>
              <w:t>(No  recuerdo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
        </w:tc>
        <w:tc>
          <w:tcPr>
            <w:tcW w:w="1985" w:type="dxa"/>
            <w:tcBorders>
              <w:top w:val="nil"/>
              <w:bottom w:val="nil"/>
            </w:tcBorders>
          </w:tcPr>
          <w:p>
            <w:pPr>
              <w:pStyle w:val="TableParagraph"/>
              <w:tabs>
                <w:tab w:pos="1274" w:val="left" w:leader="none"/>
              </w:tabs>
              <w:spacing w:line="241" w:lineRule="exact"/>
              <w:rPr>
                <w:sz w:val="22"/>
              </w:rPr>
            </w:pPr>
            <w:r>
              <w:rPr>
                <w:sz w:val="22"/>
              </w:rPr>
              <w:t>alrededor</w:t>
              <w:tab/>
              <w:t>echan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(17/I/2015)</w:t>
            </w:r>
          </w:p>
        </w:tc>
        <w:tc>
          <w:tcPr>
            <w:tcW w:w="1418" w:type="dxa"/>
            <w:tcBorders>
              <w:top w:val="nil"/>
              <w:bottom w:val="nil"/>
            </w:tcBorders>
          </w:tcPr>
          <w:p>
            <w:pPr/>
          </w:p>
        </w:tc>
        <w:tc>
          <w:tcPr>
            <w:tcW w:w="1841" w:type="dxa"/>
            <w:tcBorders>
              <w:top w:val="nil"/>
              <w:bottom w:val="nil"/>
            </w:tcBorders>
          </w:tcPr>
          <w:p>
            <w:pPr>
              <w:pStyle w:val="TableParagraph"/>
              <w:tabs>
                <w:tab w:pos="1149" w:val="left" w:leader="none"/>
                <w:tab w:pos="1556" w:val="left" w:leader="none"/>
              </w:tabs>
              <w:spacing w:line="242" w:lineRule="exact"/>
              <w:ind w:left="100"/>
              <w:rPr>
                <w:sz w:val="22"/>
              </w:rPr>
            </w:pPr>
            <w:r>
              <w:rPr>
                <w:sz w:val="22"/>
              </w:rPr>
              <w:t>nombre,</w:t>
              <w:tab/>
              <w:t>ni</w:t>
              <w:tab/>
              <w:t>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Timilpan</w:t>
            </w: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aguas negras.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1" w:lineRule="exact"/>
              <w:ind w:left="100"/>
              <w:rPr>
                <w:sz w:val="22"/>
              </w:rPr>
            </w:pPr>
            <w:r>
              <w:rPr>
                <w:sz w:val="22"/>
              </w:rPr>
              <w:t>número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3" w:lineRule="exact"/>
              <w:ind w:left="100"/>
              <w:rPr>
                <w:sz w:val="22"/>
              </w:rPr>
            </w:pPr>
            <w:r>
              <w:rPr>
                <w:sz w:val="22"/>
              </w:rPr>
              <w:t>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96" w:val="left" w:leader="none"/>
                <w:tab w:pos="1309" w:val="left" w:leader="none"/>
              </w:tabs>
              <w:spacing w:line="243" w:lineRule="exact"/>
              <w:rPr>
                <w:sz w:val="22"/>
              </w:rPr>
            </w:pPr>
            <w:r>
              <w:rPr>
                <w:sz w:val="22"/>
              </w:rPr>
              <w:t>Tiran</w:t>
              <w:tab/>
              <w:t>a</w:t>
              <w:tab/>
              <w:t>los</w:t>
            </w:r>
          </w:p>
        </w:tc>
        <w:tc>
          <w:tcPr>
            <w:tcW w:w="1985" w:type="dxa"/>
            <w:tcBorders>
              <w:top w:val="nil"/>
              <w:bottom w:val="nil"/>
            </w:tcBorders>
          </w:tcPr>
          <w:p>
            <w:pPr>
              <w:pStyle w:val="TableParagraph"/>
              <w:spacing w:line="243" w:lineRule="exact"/>
              <w:rPr>
                <w:sz w:val="22"/>
              </w:rPr>
            </w:pPr>
            <w:r>
              <w:rPr>
                <w:sz w:val="22"/>
              </w:rPr>
              <w:t>Porque  no tienen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7" w:val="left" w:leader="none"/>
              </w:tabs>
              <w:spacing w:line="241" w:lineRule="exact"/>
              <w:rPr>
                <w:sz w:val="22"/>
              </w:rPr>
            </w:pPr>
            <w:r>
              <w:rPr>
                <w:sz w:val="22"/>
              </w:rPr>
              <w:t>arroyos</w:t>
              <w:tab/>
              <w:t>los</w:t>
            </w:r>
          </w:p>
        </w:tc>
        <w:tc>
          <w:tcPr>
            <w:tcW w:w="1985" w:type="dxa"/>
            <w:tcBorders>
              <w:top w:val="nil"/>
              <w:bottom w:val="nil"/>
            </w:tcBorders>
          </w:tcPr>
          <w:p>
            <w:pPr>
              <w:pStyle w:val="TableParagraph"/>
              <w:spacing w:line="241" w:lineRule="exact"/>
              <w:rPr>
                <w:sz w:val="22"/>
              </w:rPr>
            </w:pPr>
            <w:r>
              <w:rPr>
                <w:sz w:val="22"/>
              </w:rPr>
              <w:t>cuidado.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5" w:val="left" w:leader="none"/>
              </w:tabs>
              <w:spacing w:line="241" w:lineRule="exact"/>
              <w:rPr>
                <w:sz w:val="22"/>
              </w:rPr>
            </w:pPr>
            <w:r>
              <w:rPr>
                <w:sz w:val="22"/>
              </w:rPr>
              <w:t>empaques</w:t>
              <w:tab/>
              <w:t>de</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fertilizantes.</w:t>
            </w:r>
          </w:p>
        </w:tc>
        <w:tc>
          <w:tcPr>
            <w:tcW w:w="1985" w:type="dxa"/>
            <w:tcBorders>
              <w:top w:val="nil"/>
            </w:tcBorders>
          </w:tcPr>
          <w:p>
            <w:pPr/>
          </w:p>
        </w:tc>
      </w:tr>
      <w:tr>
        <w:trPr>
          <w:trHeight w:val="516" w:hRule="exact"/>
        </w:trPr>
        <w:tc>
          <w:tcPr>
            <w:tcW w:w="1385" w:type="dxa"/>
          </w:tcPr>
          <w:p>
            <w:pPr>
              <w:pStyle w:val="TableParagraph"/>
              <w:tabs>
                <w:tab w:pos="1026" w:val="left" w:leader="none"/>
              </w:tabs>
              <w:spacing w:line="242" w:lineRule="auto"/>
              <w:ind w:right="101"/>
              <w:rPr>
                <w:sz w:val="22"/>
              </w:rPr>
            </w:pPr>
            <w:r>
              <w:rPr>
                <w:sz w:val="22"/>
              </w:rPr>
              <w:t>Porfirio Magno</w:t>
              <w:tab/>
              <w:t>de</w:t>
            </w:r>
          </w:p>
        </w:tc>
        <w:tc>
          <w:tcPr>
            <w:tcW w:w="1418" w:type="dxa"/>
          </w:tcPr>
          <w:p>
            <w:pPr>
              <w:pStyle w:val="TableParagraph"/>
              <w:spacing w:line="242" w:lineRule="auto"/>
              <w:ind w:left="218" w:right="145" w:hanging="63"/>
              <w:rPr>
                <w:sz w:val="22"/>
              </w:rPr>
            </w:pPr>
            <w:r>
              <w:rPr>
                <w:sz w:val="22"/>
              </w:rPr>
              <w:t>El campo y el ganado</w:t>
            </w:r>
          </w:p>
        </w:tc>
        <w:tc>
          <w:tcPr>
            <w:tcW w:w="1841" w:type="dxa"/>
          </w:tcPr>
          <w:p>
            <w:pPr>
              <w:pStyle w:val="TableParagraph"/>
              <w:spacing w:line="242" w:lineRule="auto"/>
              <w:ind w:left="100"/>
              <w:rPr>
                <w:sz w:val="22"/>
              </w:rPr>
            </w:pPr>
            <w:r>
              <w:rPr>
                <w:sz w:val="22"/>
              </w:rPr>
              <w:t>Cooperativa de ganaderos</w:t>
            </w:r>
          </w:p>
        </w:tc>
        <w:tc>
          <w:tcPr>
            <w:tcW w:w="1135" w:type="dxa"/>
          </w:tcPr>
          <w:p>
            <w:pPr>
              <w:pStyle w:val="TableParagraph"/>
              <w:spacing w:line="242" w:lineRule="auto"/>
              <w:ind w:right="134"/>
              <w:rPr>
                <w:sz w:val="22"/>
              </w:rPr>
            </w:pPr>
            <w:r>
              <w:rPr>
                <w:sz w:val="22"/>
              </w:rPr>
              <w:t>Integrant e</w:t>
            </w:r>
          </w:p>
        </w:tc>
        <w:tc>
          <w:tcPr>
            <w:tcW w:w="991" w:type="dxa"/>
          </w:tcPr>
          <w:p>
            <w:pPr>
              <w:pStyle w:val="TableParagraph"/>
              <w:spacing w:line="242" w:lineRule="auto"/>
              <w:ind w:left="100" w:right="152"/>
              <w:rPr>
                <w:sz w:val="22"/>
              </w:rPr>
            </w:pPr>
            <w:r>
              <w:rPr>
                <w:sz w:val="22"/>
              </w:rPr>
              <w:t>Timilpa n</w:t>
            </w:r>
          </w:p>
        </w:tc>
        <w:tc>
          <w:tcPr>
            <w:tcW w:w="1277" w:type="dxa"/>
          </w:tcPr>
          <w:p>
            <w:pPr>
              <w:pStyle w:val="TableParagraph"/>
              <w:spacing w:line="242" w:lineRule="auto"/>
              <w:ind w:right="154"/>
              <w:rPr>
                <w:sz w:val="22"/>
              </w:rPr>
            </w:pPr>
            <w:r>
              <w:rPr>
                <w:sz w:val="22"/>
              </w:rPr>
              <w:t>La Campesin</w:t>
            </w:r>
          </w:p>
        </w:tc>
        <w:tc>
          <w:tcPr>
            <w:tcW w:w="1133" w:type="dxa"/>
          </w:tcPr>
          <w:p>
            <w:pPr>
              <w:pStyle w:val="TableParagraph"/>
              <w:spacing w:line="242" w:lineRule="auto"/>
              <w:ind w:left="100" w:right="135"/>
              <w:rPr>
                <w:sz w:val="22"/>
              </w:rPr>
            </w:pPr>
            <w:r>
              <w:rPr>
                <w:sz w:val="22"/>
              </w:rPr>
              <w:t>La Campesi</w:t>
            </w:r>
          </w:p>
        </w:tc>
        <w:tc>
          <w:tcPr>
            <w:tcW w:w="1702" w:type="dxa"/>
          </w:tcPr>
          <w:p>
            <w:pPr>
              <w:pStyle w:val="TableParagraph"/>
              <w:spacing w:line="242" w:lineRule="auto"/>
              <w:ind w:right="150"/>
              <w:rPr>
                <w:sz w:val="22"/>
              </w:rPr>
            </w:pPr>
            <w:r>
              <w:rPr>
                <w:sz w:val="22"/>
              </w:rPr>
              <w:t>La contaminación</w:t>
            </w:r>
          </w:p>
        </w:tc>
        <w:tc>
          <w:tcPr>
            <w:tcW w:w="1985" w:type="dxa"/>
          </w:tcPr>
          <w:p>
            <w:pPr>
              <w:pStyle w:val="TableParagraph"/>
              <w:tabs>
                <w:tab w:pos="1629" w:val="left" w:leader="none"/>
              </w:tabs>
              <w:spacing w:line="242" w:lineRule="auto"/>
              <w:ind w:right="99"/>
              <w:rPr>
                <w:sz w:val="22"/>
              </w:rPr>
            </w:pPr>
            <w:r>
              <w:rPr>
                <w:sz w:val="22"/>
              </w:rPr>
              <w:t>Porque echan los drenajes</w:t>
              <w:tab/>
              <w:t>de</w:t>
            </w:r>
          </w:p>
        </w:tc>
      </w:tr>
    </w:tbl>
    <w:p>
      <w:pPr>
        <w:spacing w:after="0" w:line="242" w:lineRule="auto"/>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792" w:hRule="exact"/>
        </w:trPr>
        <w:tc>
          <w:tcPr>
            <w:tcW w:w="1385" w:type="dxa"/>
          </w:tcPr>
          <w:p>
            <w:pPr>
              <w:pStyle w:val="TableParagraph"/>
              <w:spacing w:line="252" w:lineRule="exact" w:before="2"/>
              <w:ind w:right="188"/>
              <w:rPr>
                <w:sz w:val="22"/>
              </w:rPr>
            </w:pPr>
            <w:r>
              <w:rPr>
                <w:sz w:val="22"/>
              </w:rPr>
              <w:t>la Cruz (17/I/2015)</w:t>
            </w:r>
          </w:p>
        </w:tc>
        <w:tc>
          <w:tcPr>
            <w:tcW w:w="1418" w:type="dxa"/>
          </w:tcPr>
          <w:p>
            <w:pPr/>
          </w:p>
        </w:tc>
        <w:tc>
          <w:tcPr>
            <w:tcW w:w="1841" w:type="dxa"/>
          </w:tcPr>
          <w:p>
            <w:pPr>
              <w:pStyle w:val="TableParagraph"/>
              <w:ind w:left="100" w:right="99"/>
              <w:jc w:val="both"/>
              <w:rPr>
                <w:sz w:val="22"/>
              </w:rPr>
            </w:pPr>
            <w:r>
              <w:rPr>
                <w:sz w:val="22"/>
              </w:rPr>
              <w:t>(No recuerdo el nombre) (8 integrantes)</w:t>
            </w:r>
          </w:p>
        </w:tc>
        <w:tc>
          <w:tcPr>
            <w:tcW w:w="1135" w:type="dxa"/>
          </w:tcPr>
          <w:p>
            <w:pPr/>
          </w:p>
        </w:tc>
        <w:tc>
          <w:tcPr>
            <w:tcW w:w="991" w:type="dxa"/>
          </w:tcPr>
          <w:p>
            <w:pPr/>
          </w:p>
        </w:tc>
        <w:tc>
          <w:tcPr>
            <w:tcW w:w="1277" w:type="dxa"/>
          </w:tcPr>
          <w:p>
            <w:pPr>
              <w:pStyle w:val="TableParagraph"/>
              <w:spacing w:line="252" w:lineRule="exact" w:before="2"/>
              <w:ind w:right="313"/>
              <w:rPr>
                <w:sz w:val="22"/>
              </w:rPr>
            </w:pPr>
            <w:r>
              <w:rPr>
                <w:sz w:val="22"/>
              </w:rPr>
              <w:t>a, Timilpan</w:t>
            </w:r>
          </w:p>
        </w:tc>
        <w:tc>
          <w:tcPr>
            <w:tcW w:w="1133" w:type="dxa"/>
          </w:tcPr>
          <w:p>
            <w:pPr>
              <w:pStyle w:val="TableParagraph"/>
              <w:spacing w:line="252" w:lineRule="exact" w:before="2"/>
              <w:ind w:left="100" w:right="171"/>
              <w:rPr>
                <w:sz w:val="22"/>
              </w:rPr>
            </w:pPr>
            <w:r>
              <w:rPr>
                <w:sz w:val="22"/>
              </w:rPr>
              <w:t>na, Timilpan</w:t>
            </w:r>
          </w:p>
        </w:tc>
        <w:tc>
          <w:tcPr>
            <w:tcW w:w="1702" w:type="dxa"/>
          </w:tcPr>
          <w:p>
            <w:pPr>
              <w:pStyle w:val="TableParagraph"/>
              <w:spacing w:line="251" w:lineRule="exact"/>
              <w:rPr>
                <w:sz w:val="22"/>
              </w:rPr>
            </w:pPr>
            <w:r>
              <w:rPr>
                <w:sz w:val="22"/>
              </w:rPr>
              <w:t>del agua.</w:t>
            </w:r>
          </w:p>
          <w:p>
            <w:pPr>
              <w:pStyle w:val="TableParagraph"/>
              <w:ind w:left="0"/>
              <w:rPr>
                <w:rFonts w:ascii="Times New Roman"/>
                <w:sz w:val="22"/>
              </w:rPr>
            </w:pPr>
          </w:p>
          <w:p>
            <w:pPr>
              <w:pStyle w:val="TableParagraph"/>
              <w:tabs>
                <w:tab w:pos="501" w:val="left" w:leader="none"/>
                <w:tab w:pos="681" w:val="left" w:leader="none"/>
                <w:tab w:pos="890" w:val="left" w:leader="none"/>
                <w:tab w:pos="1235" w:val="left" w:leader="none"/>
                <w:tab w:pos="1343" w:val="left" w:leader="none"/>
              </w:tabs>
              <w:ind w:right="98"/>
              <w:rPr>
                <w:sz w:val="22"/>
              </w:rPr>
            </w:pPr>
            <w:r>
              <w:rPr>
                <w:sz w:val="22"/>
              </w:rPr>
              <w:t>Ya</w:t>
              <w:tab/>
              <w:tab/>
              <w:t>no</w:t>
              <w:tab/>
              <w:t>hay peces y ranas, hace 23 años había pescado y</w:t>
              <w:tab/>
              <w:t>ranas</w:t>
              <w:tab/>
              <w:tab/>
              <w:t>en cantidad, ahora</w:t>
              <w:tab/>
              <w:tab/>
              <w:t>ya</w:t>
              <w:tab/>
              <w:tab/>
              <w:t>no hay casi</w:t>
            </w:r>
            <w:r>
              <w:rPr>
                <w:spacing w:val="-2"/>
                <w:sz w:val="22"/>
              </w:rPr>
              <w:t> </w:t>
            </w:r>
            <w:r>
              <w:rPr>
                <w:sz w:val="22"/>
              </w:rPr>
              <w:t>nada.</w:t>
            </w:r>
          </w:p>
        </w:tc>
        <w:tc>
          <w:tcPr>
            <w:tcW w:w="1985" w:type="dxa"/>
          </w:tcPr>
          <w:p>
            <w:pPr>
              <w:pStyle w:val="TableParagraph"/>
              <w:spacing w:line="251" w:lineRule="exact"/>
              <w:rPr>
                <w:sz w:val="22"/>
              </w:rPr>
            </w:pPr>
            <w:r>
              <w:rPr>
                <w:sz w:val="22"/>
              </w:rPr>
              <w:t>Zaragoza y aquí.</w:t>
            </w:r>
          </w:p>
          <w:p>
            <w:pPr>
              <w:pStyle w:val="TableParagraph"/>
              <w:ind w:left="0"/>
              <w:rPr>
                <w:rFonts w:ascii="Times New Roman"/>
                <w:sz w:val="22"/>
              </w:rPr>
            </w:pPr>
          </w:p>
          <w:p>
            <w:pPr>
              <w:pStyle w:val="TableParagraph"/>
              <w:tabs>
                <w:tab w:pos="1703" w:val="left" w:leader="none"/>
              </w:tabs>
              <w:spacing w:line="252" w:lineRule="exact"/>
              <w:rPr>
                <w:sz w:val="22"/>
              </w:rPr>
            </w:pPr>
            <w:r>
              <w:rPr>
                <w:sz w:val="22"/>
              </w:rPr>
              <w:t>Por</w:t>
              <w:tab/>
              <w:t>la</w:t>
            </w:r>
          </w:p>
          <w:p>
            <w:pPr>
              <w:pStyle w:val="TableParagraph"/>
              <w:spacing w:line="252" w:lineRule="exact"/>
              <w:rPr>
                <w:sz w:val="22"/>
              </w:rPr>
            </w:pPr>
            <w:r>
              <w:rPr>
                <w:sz w:val="22"/>
              </w:rPr>
              <w:t>contaminación.</w:t>
            </w:r>
          </w:p>
        </w:tc>
      </w:tr>
      <w:tr>
        <w:trPr>
          <w:trHeight w:val="269" w:hRule="exact"/>
        </w:trPr>
        <w:tc>
          <w:tcPr>
            <w:tcW w:w="1385" w:type="dxa"/>
            <w:tcBorders>
              <w:bottom w:val="nil"/>
            </w:tcBorders>
          </w:tcPr>
          <w:p>
            <w:pPr>
              <w:pStyle w:val="TableParagraph"/>
              <w:ind w:right="127"/>
              <w:rPr>
                <w:sz w:val="22"/>
              </w:rPr>
            </w:pPr>
            <w:r>
              <w:rPr>
                <w:sz w:val="22"/>
              </w:rPr>
              <w:t>Eligio</w:t>
            </w:r>
          </w:p>
        </w:tc>
        <w:tc>
          <w:tcPr>
            <w:tcW w:w="1418" w:type="dxa"/>
            <w:tcBorders>
              <w:bottom w:val="nil"/>
            </w:tcBorders>
          </w:tcPr>
          <w:p>
            <w:pPr>
              <w:pStyle w:val="TableParagraph"/>
              <w:ind w:left="101" w:right="104"/>
              <w:jc w:val="center"/>
              <w:rPr>
                <w:sz w:val="22"/>
              </w:rPr>
            </w:pPr>
            <w:r>
              <w:rPr>
                <w:sz w:val="22"/>
              </w:rPr>
              <w:t>El campo y</w:t>
            </w:r>
          </w:p>
        </w:tc>
        <w:tc>
          <w:tcPr>
            <w:tcW w:w="1841" w:type="dxa"/>
            <w:tcBorders>
              <w:bottom w:val="nil"/>
            </w:tcBorders>
          </w:tcPr>
          <w:p>
            <w:pPr>
              <w:pStyle w:val="TableParagraph"/>
              <w:ind w:left="100"/>
              <w:rPr>
                <w:sz w:val="22"/>
              </w:rPr>
            </w:pPr>
            <w:r>
              <w:rPr>
                <w:sz w:val="22"/>
              </w:rPr>
              <w:t>Cooperativa   de</w:t>
            </w:r>
          </w:p>
        </w:tc>
        <w:tc>
          <w:tcPr>
            <w:tcW w:w="1135" w:type="dxa"/>
            <w:tcBorders>
              <w:bottom w:val="nil"/>
            </w:tcBorders>
          </w:tcPr>
          <w:p>
            <w:pPr>
              <w:pStyle w:val="TableParagraph"/>
              <w:rPr>
                <w:sz w:val="22"/>
              </w:rPr>
            </w:pPr>
            <w:r>
              <w:rPr>
                <w:sz w:val="22"/>
              </w:rPr>
              <w:t>Integrant</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Huapango</w:t>
            </w:r>
          </w:p>
        </w:tc>
        <w:tc>
          <w:tcPr>
            <w:tcW w:w="1133" w:type="dxa"/>
            <w:tcBorders>
              <w:bottom w:val="nil"/>
            </w:tcBorders>
          </w:tcPr>
          <w:p>
            <w:pPr>
              <w:pStyle w:val="TableParagraph"/>
              <w:ind w:left="100" w:right="52"/>
              <w:rPr>
                <w:sz w:val="22"/>
              </w:rPr>
            </w:pPr>
            <w:r>
              <w:rPr>
                <w:sz w:val="22"/>
              </w:rPr>
              <w:t>Huapang</w:t>
            </w:r>
          </w:p>
        </w:tc>
        <w:tc>
          <w:tcPr>
            <w:tcW w:w="1702" w:type="dxa"/>
            <w:tcBorders>
              <w:bottom w:val="nil"/>
            </w:tcBorders>
          </w:tcPr>
          <w:p>
            <w:pPr>
              <w:pStyle w:val="TableParagraph"/>
              <w:tabs>
                <w:tab w:pos="930" w:val="left" w:leader="none"/>
              </w:tabs>
              <w:rPr>
                <w:sz w:val="22"/>
              </w:rPr>
            </w:pPr>
            <w:r>
              <w:rPr>
                <w:sz w:val="22"/>
              </w:rPr>
              <w:t>Que</w:t>
              <w:tab/>
              <w:t>namas</w:t>
            </w:r>
          </w:p>
        </w:tc>
        <w:tc>
          <w:tcPr>
            <w:tcW w:w="1985" w:type="dxa"/>
            <w:tcBorders>
              <w:bottom w:val="nil"/>
            </w:tcBorders>
          </w:tcPr>
          <w:p>
            <w:pPr>
              <w:pStyle w:val="TableParagraph"/>
              <w:tabs>
                <w:tab w:pos="1141" w:val="left" w:leader="none"/>
                <w:tab w:pos="1703" w:val="left" w:leader="none"/>
              </w:tabs>
              <w:rPr>
                <w:sz w:val="22"/>
              </w:rPr>
            </w:pPr>
            <w:r>
              <w:rPr>
                <w:sz w:val="22"/>
              </w:rPr>
              <w:t>Porque</w:t>
              <w:tab/>
              <w:t>se</w:t>
              <w:tab/>
              <w:t>la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García</w:t>
            </w:r>
          </w:p>
        </w:tc>
        <w:tc>
          <w:tcPr>
            <w:tcW w:w="1418" w:type="dxa"/>
            <w:tcBorders>
              <w:top w:val="nil"/>
              <w:bottom w:val="nil"/>
            </w:tcBorders>
          </w:tcPr>
          <w:p>
            <w:pPr>
              <w:pStyle w:val="TableParagraph"/>
              <w:spacing w:line="241" w:lineRule="exact"/>
              <w:ind w:left="102" w:right="102"/>
              <w:jc w:val="center"/>
              <w:rPr>
                <w:sz w:val="22"/>
              </w:rPr>
            </w:pPr>
            <w:r>
              <w:rPr>
                <w:sz w:val="22"/>
              </w:rPr>
              <w:t>el ganado</w:t>
            </w:r>
          </w:p>
        </w:tc>
        <w:tc>
          <w:tcPr>
            <w:tcW w:w="1841" w:type="dxa"/>
            <w:tcBorders>
              <w:top w:val="nil"/>
              <w:bottom w:val="nil"/>
            </w:tcBorders>
          </w:tcPr>
          <w:p>
            <w:pPr>
              <w:pStyle w:val="TableParagraph"/>
              <w:spacing w:line="241" w:lineRule="exact"/>
              <w:ind w:left="100"/>
              <w:rPr>
                <w:sz w:val="22"/>
              </w:rPr>
            </w:pPr>
            <w:r>
              <w:rPr>
                <w:sz w:val="22"/>
              </w:rPr>
              <w:t>Ganaderos “Los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1702" w:type="dxa"/>
            <w:tcBorders>
              <w:top w:val="nil"/>
              <w:bottom w:val="nil"/>
            </w:tcBorders>
          </w:tcPr>
          <w:p>
            <w:pPr>
              <w:pStyle w:val="TableParagraph"/>
              <w:tabs>
                <w:tab w:pos="1417" w:val="left" w:leader="none"/>
              </w:tabs>
              <w:spacing w:line="241" w:lineRule="exact"/>
              <w:rPr>
                <w:sz w:val="22"/>
              </w:rPr>
            </w:pPr>
            <w:r>
              <w:rPr>
                <w:sz w:val="22"/>
              </w:rPr>
              <w:t>tenemos</w:t>
              <w:tab/>
              <w:t>el</w:t>
            </w:r>
          </w:p>
        </w:tc>
        <w:tc>
          <w:tcPr>
            <w:tcW w:w="1985" w:type="dxa"/>
            <w:tcBorders>
              <w:top w:val="nil"/>
              <w:bottom w:val="nil"/>
            </w:tcBorders>
          </w:tcPr>
          <w:p>
            <w:pPr>
              <w:pStyle w:val="TableParagraph"/>
              <w:spacing w:line="241" w:lineRule="exact"/>
              <w:rPr>
                <w:sz w:val="22"/>
              </w:rPr>
            </w:pPr>
            <w:r>
              <w:rPr>
                <w:sz w:val="22"/>
              </w:rPr>
              <w:t>llevan  para  otros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Tolines”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agua   y   no la</w:t>
            </w:r>
          </w:p>
        </w:tc>
        <w:tc>
          <w:tcPr>
            <w:tcW w:w="1985" w:type="dxa"/>
            <w:tcBorders>
              <w:top w:val="nil"/>
              <w:bottom w:val="nil"/>
            </w:tcBorders>
          </w:tcPr>
          <w:p>
            <w:pPr>
              <w:pStyle w:val="TableParagraph"/>
              <w:tabs>
                <w:tab w:pos="1334" w:val="left" w:leader="none"/>
              </w:tabs>
              <w:spacing w:line="241" w:lineRule="exact"/>
              <w:rPr>
                <w:sz w:val="22"/>
              </w:rPr>
            </w:pPr>
            <w:r>
              <w:rPr>
                <w:sz w:val="22"/>
              </w:rPr>
              <w:t>pueblos</w:t>
              <w:tab/>
              <w:t>como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(18/I/2015)</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(19 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gozamos.</w:t>
            </w:r>
          </w:p>
        </w:tc>
        <w:tc>
          <w:tcPr>
            <w:tcW w:w="1985" w:type="dxa"/>
            <w:tcBorders>
              <w:top w:val="nil"/>
              <w:bottom w:val="nil"/>
            </w:tcBorders>
          </w:tcPr>
          <w:p>
            <w:pPr>
              <w:pStyle w:val="TableParagraph"/>
              <w:tabs>
                <w:tab w:pos="1238" w:val="left" w:leader="none"/>
              </w:tabs>
              <w:spacing w:line="242" w:lineRule="exact"/>
              <w:rPr>
                <w:sz w:val="22"/>
              </w:rPr>
            </w:pPr>
            <w:r>
              <w:rPr>
                <w:sz w:val="22"/>
              </w:rPr>
              <w:t>Aculco,</w:t>
              <w:tab/>
              <w:t>Arrollo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Zarco,  Encinillas,</w:t>
            </w: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Polo.</w:t>
            </w: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before="114"/>
              <w:rPr>
                <w:sz w:val="22"/>
              </w:rPr>
            </w:pPr>
            <w:r>
              <w:rPr>
                <w:sz w:val="22"/>
              </w:rPr>
              <w:t>La</w:t>
            </w:r>
          </w:p>
        </w:tc>
        <w:tc>
          <w:tcPr>
            <w:tcW w:w="1985" w:type="dxa"/>
            <w:tcBorders>
              <w:top w:val="nil"/>
              <w:bottom w:val="nil"/>
            </w:tcBorders>
          </w:tcPr>
          <w:p>
            <w:pPr>
              <w:pStyle w:val="TableParagraph"/>
              <w:tabs>
                <w:tab w:pos="1050" w:val="left" w:leader="none"/>
                <w:tab w:pos="1518" w:val="left" w:leader="none"/>
              </w:tabs>
              <w:spacing w:before="114"/>
              <w:rPr>
                <w:sz w:val="22"/>
              </w:rPr>
            </w:pPr>
            <w:r>
              <w:rPr>
                <w:sz w:val="22"/>
              </w:rPr>
              <w:t>Porque</w:t>
              <w:tab/>
              <w:t>ya</w:t>
              <w:tab/>
              <w:t>hay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contaminación.</w:t>
            </w:r>
          </w:p>
        </w:tc>
        <w:tc>
          <w:tcPr>
            <w:tcW w:w="1985" w:type="dxa"/>
            <w:tcBorders>
              <w:top w:val="nil"/>
              <w:bottom w:val="nil"/>
            </w:tcBorders>
          </w:tcPr>
          <w:p>
            <w:pPr>
              <w:pStyle w:val="TableParagraph"/>
              <w:spacing w:line="242" w:lineRule="exact"/>
              <w:rPr>
                <w:sz w:val="22"/>
              </w:rPr>
            </w:pPr>
            <w:r>
              <w:rPr>
                <w:sz w:val="22"/>
              </w:rPr>
              <w:t>drenaje  de </w:t>
            </w:r>
            <w:r>
              <w:rPr>
                <w:spacing w:val="56"/>
                <w:sz w:val="22"/>
              </w:rPr>
              <w:t> </w:t>
            </w:r>
            <w:r>
              <w:rPr>
                <w:sz w:val="22"/>
              </w:rPr>
              <w:t>otros</w:t>
            </w: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pueblos.</w:t>
            </w: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spacing w:after="6"/>
        <w:ind w:left="2117" w:right="397"/>
      </w:pPr>
      <w:r>
        <w:rPr/>
        <w:t>Tabla 6.4. Ganaderos en los municipios de Jilotepec y Timilpan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5"/>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5"/>
              <w:ind w:left="0"/>
              <w:rPr>
                <w:b/>
                <w:sz w:val="21"/>
              </w:rPr>
            </w:pPr>
          </w:p>
          <w:p>
            <w:pPr>
              <w:pStyle w:val="TableParagraph"/>
              <w:ind w:left="1404"/>
              <w:rPr>
                <w:b/>
                <w:sz w:val="22"/>
              </w:rPr>
            </w:pPr>
            <w:r>
              <w:rPr>
                <w:b/>
                <w:sz w:val="22"/>
              </w:rPr>
              <w:t>PRINCIPIOS DE GOBERNANZA</w:t>
            </w:r>
          </w:p>
        </w:tc>
      </w:tr>
      <w:tr>
        <w:trPr>
          <w:trHeight w:val="262"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w:t>
            </w:r>
          </w:p>
        </w:tc>
      </w:tr>
      <w:tr>
        <w:trPr>
          <w:trHeight w:val="265"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Cooperativa/</w:t>
            </w:r>
          </w:p>
        </w:tc>
        <w:tc>
          <w:tcPr>
            <w:tcW w:w="1135" w:type="dxa"/>
            <w:tcBorders>
              <w:bottom w:val="nil"/>
            </w:tcBorders>
            <w:shd w:val="clear" w:color="auto" w:fill="F9BE8F"/>
          </w:tcPr>
          <w:p>
            <w:pPr>
              <w:pStyle w:val="TableParagraph"/>
              <w:spacing w:line="248" w:lineRule="exact"/>
              <w:rPr>
                <w:b/>
                <w:sz w:val="22"/>
              </w:rPr>
            </w:pPr>
            <w:r>
              <w:rPr>
                <w:b/>
                <w:sz w:val="22"/>
              </w:rPr>
              <w:t>Cargo</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8" w:lineRule="exact"/>
              <w:rPr>
                <w:b/>
                <w:sz w:val="22"/>
              </w:rPr>
            </w:pPr>
            <w:r>
              <w:rPr>
                <w:b/>
                <w:sz w:val="22"/>
              </w:rPr>
              <w:t>¿Qué</w:t>
            </w:r>
          </w:p>
        </w:tc>
        <w:tc>
          <w:tcPr>
            <w:tcW w:w="1985" w:type="dxa"/>
            <w:tcBorders>
              <w:bottom w:val="nil"/>
            </w:tcBorders>
            <w:shd w:val="clear" w:color="auto" w:fill="92CDDC"/>
          </w:tcPr>
          <w:p>
            <w:pPr>
              <w:pStyle w:val="TableParagraph"/>
              <w:spacing w:line="248" w:lineRule="exact"/>
              <w:rPr>
                <w:b/>
                <w:sz w:val="22"/>
              </w:rPr>
            </w:pPr>
            <w:r>
              <w:rPr>
                <w:b/>
                <w:sz w:val="22"/>
              </w:rPr>
              <w:t>¿Quiénes</w:t>
            </w:r>
            <w:r>
              <w:rPr>
                <w:b/>
                <w:spacing w:val="58"/>
                <w:sz w:val="22"/>
              </w:rPr>
              <w:t> </w:t>
            </w:r>
            <w:r>
              <w:rPr>
                <w:b/>
                <w:sz w:val="22"/>
              </w:rPr>
              <w:t>deben</w:t>
            </w:r>
          </w:p>
        </w:tc>
      </w:tr>
      <w:tr>
        <w:trPr>
          <w:trHeight w:val="254" w:hRule="exact"/>
        </w:trPr>
        <w:tc>
          <w:tcPr>
            <w:tcW w:w="1385" w:type="dxa"/>
            <w:tcBorders>
              <w:top w:val="nil"/>
              <w:bottom w:val="nil"/>
            </w:tcBorders>
            <w:shd w:val="clear" w:color="auto" w:fill="F9BE8F"/>
          </w:tcPr>
          <w:p>
            <w:pPr>
              <w:pStyle w:val="TableParagraph"/>
              <w:spacing w:line="243"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3"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3" w:lineRule="exact"/>
              <w:ind w:left="100"/>
              <w:rPr>
                <w:b/>
                <w:sz w:val="22"/>
              </w:rPr>
            </w:pPr>
            <w:r>
              <w:rPr>
                <w:b/>
                <w:sz w:val="22"/>
              </w:rPr>
              <w:t>Asociación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3"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3"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3"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3" w:lineRule="exact"/>
              <w:rPr>
                <w:b/>
                <w:sz w:val="22"/>
              </w:rPr>
            </w:pPr>
            <w:r>
              <w:rPr>
                <w:b/>
                <w:sz w:val="22"/>
              </w:rPr>
              <w:t>solución</w:t>
            </w:r>
          </w:p>
        </w:tc>
        <w:tc>
          <w:tcPr>
            <w:tcW w:w="1985" w:type="dxa"/>
            <w:tcBorders>
              <w:top w:val="nil"/>
              <w:bottom w:val="nil"/>
            </w:tcBorders>
            <w:shd w:val="clear" w:color="auto" w:fill="92CDDC"/>
          </w:tcPr>
          <w:p>
            <w:pPr>
              <w:pStyle w:val="TableParagraph"/>
              <w:tabs>
                <w:tab w:pos="1554" w:val="left" w:leader="none"/>
              </w:tabs>
              <w:spacing w:line="243" w:lineRule="exact"/>
              <w:rPr>
                <w:b/>
                <w:sz w:val="22"/>
              </w:rPr>
            </w:pPr>
            <w:r>
              <w:rPr>
                <w:b/>
                <w:sz w:val="22"/>
              </w:rPr>
              <w:t>solucionar</w:t>
              <w:tab/>
              <w:t>los</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Ganaderos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propone  para</w:t>
            </w:r>
          </w:p>
        </w:tc>
        <w:tc>
          <w:tcPr>
            <w:tcW w:w="1985" w:type="dxa"/>
            <w:tcBorders>
              <w:top w:val="nil"/>
              <w:bottom w:val="nil"/>
            </w:tcBorders>
            <w:shd w:val="clear" w:color="auto" w:fill="92CDDC"/>
          </w:tcPr>
          <w:p>
            <w:pPr>
              <w:pStyle w:val="TableParagraph"/>
              <w:spacing w:line="241" w:lineRule="exact"/>
              <w:rPr>
                <w:b/>
                <w:sz w:val="22"/>
              </w:rPr>
            </w:pPr>
            <w:r>
              <w:rPr>
                <w:b/>
                <w:sz w:val="22"/>
              </w:rPr>
              <w:t>problemas  de 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los</w:t>
            </w:r>
          </w:p>
        </w:tc>
        <w:tc>
          <w:tcPr>
            <w:tcW w:w="1985" w:type="dxa"/>
            <w:tcBorders>
              <w:top w:val="nil"/>
              <w:bottom w:val="nil"/>
            </w:tcBorders>
            <w:shd w:val="clear" w:color="auto" w:fill="92CDDC"/>
          </w:tcPr>
          <w:p>
            <w:pPr>
              <w:pStyle w:val="TableParagraph"/>
              <w:tabs>
                <w:tab w:pos="1617" w:val="left" w:leader="none"/>
              </w:tabs>
              <w:spacing w:line="241" w:lineRule="exact"/>
              <w:rPr>
                <w:b/>
                <w:sz w:val="22"/>
              </w:rPr>
            </w:pPr>
            <w:r>
              <w:rPr>
                <w:b/>
                <w:sz w:val="22"/>
              </w:rPr>
              <w:t>laguna</w:t>
              <w:tab/>
              <w:t>de</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problemas</w:t>
            </w:r>
            <w:r>
              <w:rPr>
                <w:b/>
                <w:spacing w:val="56"/>
                <w:sz w:val="22"/>
              </w:rPr>
              <w:t> </w:t>
            </w:r>
            <w:r>
              <w:rPr>
                <w:b/>
                <w:sz w:val="22"/>
              </w:rPr>
              <w:t>de</w:t>
            </w:r>
          </w:p>
        </w:tc>
        <w:tc>
          <w:tcPr>
            <w:tcW w:w="1985" w:type="dxa"/>
            <w:tcBorders>
              <w:top w:val="nil"/>
              <w:bottom w:val="nil"/>
            </w:tcBorders>
            <w:shd w:val="clear" w:color="auto" w:fill="92CDDC"/>
          </w:tcPr>
          <w:p>
            <w:pPr>
              <w:pStyle w:val="TableParagraph"/>
              <w:spacing w:line="242" w:lineRule="exact"/>
              <w:rPr>
                <w:b/>
                <w:sz w:val="22"/>
              </w:rPr>
            </w:pPr>
            <w:r>
              <w:rPr>
                <w:b/>
                <w:sz w:val="22"/>
              </w:rPr>
              <w:t>Huapango?</w:t>
            </w: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1" w:lineRule="exact"/>
              <w:rPr>
                <w:b/>
                <w:sz w:val="22"/>
              </w:rPr>
            </w:pPr>
            <w:r>
              <w:rPr>
                <w:b/>
                <w:sz w:val="22"/>
              </w:rPr>
              <w:t>la laguna?</w:t>
            </w:r>
          </w:p>
        </w:tc>
        <w:tc>
          <w:tcPr>
            <w:tcW w:w="1985" w:type="dxa"/>
            <w:tcBorders>
              <w:top w:val="nil"/>
            </w:tcBorders>
            <w:shd w:val="clear" w:color="auto" w:fill="92CDDC"/>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right="127"/>
              <w:rPr>
                <w:sz w:val="22"/>
              </w:rPr>
            </w:pPr>
            <w:r>
              <w:rPr>
                <w:sz w:val="22"/>
              </w:rPr>
              <w:t>Servando</w:t>
            </w:r>
          </w:p>
        </w:tc>
        <w:tc>
          <w:tcPr>
            <w:tcW w:w="1418" w:type="dxa"/>
            <w:tcBorders>
              <w:bottom w:val="nil"/>
            </w:tcBorders>
          </w:tcPr>
          <w:p>
            <w:pPr>
              <w:pStyle w:val="TableParagraph"/>
              <w:spacing w:line="251" w:lineRule="exact"/>
              <w:ind w:left="100" w:right="101"/>
              <w:rPr>
                <w:sz w:val="22"/>
              </w:rPr>
            </w:pPr>
            <w:r>
              <w:rPr>
                <w:sz w:val="22"/>
              </w:rPr>
              <w:t>Campesino</w:t>
            </w:r>
          </w:p>
        </w:tc>
        <w:tc>
          <w:tcPr>
            <w:tcW w:w="1841" w:type="dxa"/>
            <w:tcBorders>
              <w:bottom w:val="nil"/>
            </w:tcBorders>
          </w:tcPr>
          <w:p>
            <w:pPr>
              <w:pStyle w:val="TableParagraph"/>
              <w:spacing w:line="251" w:lineRule="exact"/>
              <w:ind w:left="100"/>
              <w:rPr>
                <w:sz w:val="22"/>
              </w:rPr>
            </w:pPr>
            <w:r>
              <w:rPr>
                <w:sz w:val="22"/>
              </w:rPr>
              <w:t>Asociación</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Estos</w:t>
            </w:r>
          </w:p>
        </w:tc>
        <w:tc>
          <w:tcPr>
            <w:tcW w:w="1985" w:type="dxa"/>
            <w:tcBorders>
              <w:bottom w:val="nil"/>
            </w:tcBorders>
          </w:tcPr>
          <w:p>
            <w:pPr>
              <w:pStyle w:val="TableParagraph"/>
              <w:spacing w:line="251" w:lineRule="exact"/>
              <w:rPr>
                <w:sz w:val="22"/>
              </w:rPr>
            </w:pPr>
            <w:r>
              <w:rPr>
                <w:sz w:val="22"/>
              </w:rPr>
              <w:t>Aunque  ya  no sé</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Style w:val="TableParagraph"/>
              <w:spacing w:line="241" w:lineRule="exact"/>
              <w:ind w:left="100" w:right="101"/>
              <w:rPr>
                <w:sz w:val="22"/>
              </w:rPr>
            </w:pPr>
            <w:r>
              <w:rPr>
                <w:sz w:val="22"/>
              </w:rPr>
              <w:t>y ganadero</w:t>
            </w:r>
          </w:p>
        </w:tc>
        <w:tc>
          <w:tcPr>
            <w:tcW w:w="1841" w:type="dxa"/>
            <w:tcBorders>
              <w:top w:val="nil"/>
              <w:bottom w:val="nil"/>
            </w:tcBorders>
          </w:tcPr>
          <w:p>
            <w:pPr>
              <w:pStyle w:val="TableParagraph"/>
              <w:spacing w:line="241" w:lineRule="exact"/>
              <w:ind w:left="100"/>
              <w:rPr>
                <w:sz w:val="22"/>
              </w:rPr>
            </w:pPr>
            <w:r>
              <w:rPr>
                <w:sz w:val="22"/>
              </w:rPr>
              <w:t>Ganadera Local</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spacing w:line="241" w:lineRule="exact"/>
              <w:rPr>
                <w:sz w:val="22"/>
              </w:rPr>
            </w:pPr>
            <w:r>
              <w:rPr>
                <w:sz w:val="22"/>
              </w:rPr>
              <w:t>problemas</w:t>
            </w:r>
          </w:p>
        </w:tc>
        <w:tc>
          <w:tcPr>
            <w:tcW w:w="1985" w:type="dxa"/>
            <w:tcBorders>
              <w:top w:val="nil"/>
              <w:bottom w:val="nil"/>
            </w:tcBorders>
          </w:tcPr>
          <w:p>
            <w:pPr>
              <w:pStyle w:val="TableParagraph"/>
              <w:spacing w:line="241" w:lineRule="exact"/>
              <w:rPr>
                <w:sz w:val="22"/>
              </w:rPr>
            </w:pPr>
            <w:r>
              <w:rPr>
                <w:sz w:val="22"/>
              </w:rPr>
              <w:t>quiénes  debieran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General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spacing w:line="242" w:lineRule="exact"/>
              <w:rPr>
                <w:sz w:val="22"/>
              </w:rPr>
            </w:pPr>
            <w:r>
              <w:rPr>
                <w:sz w:val="22"/>
              </w:rPr>
              <w:t>podrían</w:t>
            </w:r>
          </w:p>
        </w:tc>
        <w:tc>
          <w:tcPr>
            <w:tcW w:w="1985" w:type="dxa"/>
            <w:tcBorders>
              <w:top w:val="nil"/>
              <w:bottom w:val="nil"/>
            </w:tcBorders>
          </w:tcPr>
          <w:p>
            <w:pPr>
              <w:pStyle w:val="TableParagraph"/>
              <w:tabs>
                <w:tab w:pos="1593" w:val="left" w:leader="none"/>
              </w:tabs>
              <w:spacing w:line="242" w:lineRule="exact"/>
              <w:rPr>
                <w:sz w:val="22"/>
              </w:rPr>
            </w:pPr>
            <w:r>
              <w:rPr>
                <w:sz w:val="22"/>
              </w:rPr>
              <w:t>solucionar</w:t>
              <w:tab/>
              <w:t>los</w:t>
            </w: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Municipio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solucionarse</w:t>
            </w:r>
          </w:p>
        </w:tc>
        <w:tc>
          <w:tcPr>
            <w:tcW w:w="1985" w:type="dxa"/>
            <w:tcBorders>
              <w:top w:val="nil"/>
              <w:bottom w:val="nil"/>
            </w:tcBorders>
          </w:tcPr>
          <w:p>
            <w:pPr>
              <w:pStyle w:val="TableParagraph"/>
              <w:spacing w:line="241" w:lineRule="exact"/>
              <w:rPr>
                <w:sz w:val="22"/>
              </w:rPr>
            </w:pPr>
            <w:r>
              <w:rPr>
                <w:sz w:val="22"/>
              </w:rPr>
              <w:t>problemas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Jilotepec</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8" w:val="left" w:leader="none"/>
              </w:tabs>
              <w:spacing w:line="242" w:lineRule="exact"/>
              <w:rPr>
                <w:sz w:val="22"/>
              </w:rPr>
            </w:pPr>
            <w:r>
              <w:rPr>
                <w:sz w:val="22"/>
              </w:rPr>
              <w:t>con</w:t>
              <w:tab/>
              <w:t>la</w:t>
            </w:r>
          </w:p>
        </w:tc>
        <w:tc>
          <w:tcPr>
            <w:tcW w:w="1985" w:type="dxa"/>
            <w:tcBorders>
              <w:top w:val="nil"/>
              <w:bottom w:val="nil"/>
            </w:tcBorders>
          </w:tcPr>
          <w:p>
            <w:pPr>
              <w:pStyle w:val="TableParagraph"/>
              <w:tabs>
                <w:tab w:pos="1031" w:val="left" w:leader="none"/>
                <w:tab w:pos="1626" w:val="left" w:leader="none"/>
              </w:tabs>
              <w:spacing w:line="242" w:lineRule="exact"/>
              <w:rPr>
                <w:sz w:val="22"/>
              </w:rPr>
            </w:pPr>
            <w:r>
              <w:rPr>
                <w:sz w:val="22"/>
              </w:rPr>
              <w:t>porque</w:t>
              <w:tab/>
              <w:t>hay</w:t>
              <w:tab/>
              <w:t>un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participación</w:t>
            </w:r>
          </w:p>
        </w:tc>
        <w:tc>
          <w:tcPr>
            <w:tcW w:w="1985" w:type="dxa"/>
            <w:tcBorders>
              <w:top w:val="nil"/>
              <w:bottom w:val="nil"/>
            </w:tcBorders>
          </w:tcPr>
          <w:p>
            <w:pPr>
              <w:pStyle w:val="TableParagraph"/>
              <w:spacing w:line="241" w:lineRule="exact"/>
              <w:rPr>
                <w:sz w:val="22"/>
              </w:rPr>
            </w:pPr>
            <w:r>
              <w:rPr>
                <w:sz w:val="22"/>
              </w:rPr>
              <w:t>biólogo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59" w:val="left" w:leader="none"/>
                <w:tab w:pos="1310" w:val="left" w:leader="none"/>
              </w:tabs>
              <w:spacing w:line="241" w:lineRule="exact"/>
              <w:rPr>
                <w:sz w:val="22"/>
              </w:rPr>
            </w:pPr>
            <w:r>
              <w:rPr>
                <w:sz w:val="22"/>
              </w:rPr>
              <w:t>de</w:t>
              <w:tab/>
              <w:t>todos</w:t>
              <w:tab/>
              <w:t>los</w:t>
            </w:r>
          </w:p>
        </w:tc>
        <w:tc>
          <w:tcPr>
            <w:tcW w:w="1985" w:type="dxa"/>
            <w:tcBorders>
              <w:top w:val="nil"/>
              <w:bottom w:val="nil"/>
            </w:tcBorders>
          </w:tcPr>
          <w:p>
            <w:pPr>
              <w:pStyle w:val="TableParagraph"/>
              <w:spacing w:line="241" w:lineRule="exact"/>
              <w:rPr>
                <w:sz w:val="22"/>
              </w:rPr>
            </w:pPr>
            <w:r>
              <w:rPr>
                <w:sz w:val="22"/>
              </w:rPr>
              <w:t>encargado   de  la</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afectados.</w:t>
            </w:r>
          </w:p>
        </w:tc>
        <w:tc>
          <w:tcPr>
            <w:tcW w:w="1985" w:type="dxa"/>
            <w:tcBorders>
              <w:top w:val="nil"/>
              <w:bottom w:val="nil"/>
            </w:tcBorders>
          </w:tcPr>
          <w:p>
            <w:pPr>
              <w:pStyle w:val="TableParagraph"/>
              <w:spacing w:line="242" w:lineRule="exact"/>
              <w:rPr>
                <w:sz w:val="22"/>
              </w:rPr>
            </w:pPr>
            <w:r>
              <w:rPr>
                <w:sz w:val="22"/>
              </w:rPr>
              <w:t>pesca,  pero  dice</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812" w:val="left" w:leader="none"/>
                <w:tab w:pos="1504" w:val="left" w:leader="none"/>
              </w:tabs>
              <w:spacing w:line="241" w:lineRule="exact"/>
              <w:rPr>
                <w:sz w:val="22"/>
              </w:rPr>
            </w:pPr>
            <w:r>
              <w:rPr>
                <w:sz w:val="22"/>
              </w:rPr>
              <w:t>que</w:t>
              <w:tab/>
              <w:t>hay</w:t>
              <w:tab/>
              <w:t>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91" w:val="left" w:leader="none"/>
              </w:tabs>
              <w:spacing w:line="242" w:lineRule="exact"/>
              <w:rPr>
                <w:sz w:val="22"/>
              </w:rPr>
            </w:pPr>
            <w:r>
              <w:rPr>
                <w:sz w:val="22"/>
              </w:rPr>
              <w:t>sacar</w:t>
              <w:tab/>
              <w:t>permiso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para pescar y hay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que pagar y antes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396" w:val="left" w:leader="none"/>
              </w:tabs>
              <w:spacing w:line="242" w:lineRule="exact"/>
              <w:rPr>
                <w:sz w:val="22"/>
              </w:rPr>
            </w:pPr>
            <w:r>
              <w:rPr>
                <w:sz w:val="22"/>
              </w:rPr>
              <w:t>era</w:t>
              <w:tab/>
              <w:t>libre,</w:t>
            </w: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estábamos mejor.</w:t>
            </w:r>
          </w:p>
        </w:tc>
      </w:tr>
      <w:tr>
        <w:trPr>
          <w:trHeight w:val="266" w:hRule="exact"/>
        </w:trPr>
        <w:tc>
          <w:tcPr>
            <w:tcW w:w="1385" w:type="dxa"/>
            <w:tcBorders>
              <w:bottom w:val="nil"/>
            </w:tcBorders>
          </w:tcPr>
          <w:p>
            <w:pPr>
              <w:pStyle w:val="TableParagraph"/>
              <w:spacing w:line="251" w:lineRule="exact"/>
              <w:ind w:left="369" w:right="127"/>
              <w:rPr>
                <w:sz w:val="22"/>
              </w:rPr>
            </w:pPr>
            <w:r>
              <w:rPr>
                <w:sz w:val="22"/>
              </w:rPr>
              <w:t>Rufino</w:t>
            </w:r>
          </w:p>
        </w:tc>
        <w:tc>
          <w:tcPr>
            <w:tcW w:w="1418" w:type="dxa"/>
            <w:tcBorders>
              <w:bottom w:val="nil"/>
            </w:tcBorders>
          </w:tcPr>
          <w:p>
            <w:pPr>
              <w:pStyle w:val="TableParagraph"/>
              <w:spacing w:line="251" w:lineRule="exact"/>
              <w:ind w:left="100" w:right="101"/>
              <w:rPr>
                <w:sz w:val="22"/>
              </w:rPr>
            </w:pPr>
            <w:r>
              <w:rPr>
                <w:sz w:val="22"/>
              </w:rPr>
              <w:t>Ganadero,</w:t>
            </w:r>
          </w:p>
        </w:tc>
        <w:tc>
          <w:tcPr>
            <w:tcW w:w="1841" w:type="dxa"/>
            <w:tcBorders>
              <w:bottom w:val="nil"/>
            </w:tcBorders>
          </w:tcPr>
          <w:p>
            <w:pPr>
              <w:pStyle w:val="TableParagraph"/>
              <w:spacing w:line="251" w:lineRule="exact"/>
              <w:ind w:left="100"/>
              <w:rPr>
                <w:sz w:val="22"/>
              </w:rPr>
            </w:pPr>
            <w:r>
              <w:rPr>
                <w:sz w:val="22"/>
              </w:rPr>
              <w:t>Asociación</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spacing w:line="251" w:lineRule="exact"/>
              <w:rPr>
                <w:sz w:val="22"/>
              </w:rPr>
            </w:pPr>
            <w:r>
              <w:rPr>
                <w:sz w:val="22"/>
              </w:rPr>
              <w:t>Con plantas</w:t>
            </w:r>
          </w:p>
        </w:tc>
        <w:tc>
          <w:tcPr>
            <w:tcW w:w="1985" w:type="dxa"/>
            <w:tcBorders>
              <w:bottom w:val="nil"/>
            </w:tcBorders>
          </w:tcPr>
          <w:p>
            <w:pPr>
              <w:pStyle w:val="TableParagraph"/>
              <w:tabs>
                <w:tab w:pos="1590" w:val="left" w:leader="none"/>
              </w:tabs>
              <w:spacing w:line="251" w:lineRule="exact"/>
              <w:rPr>
                <w:sz w:val="22"/>
              </w:rPr>
            </w:pPr>
            <w:r>
              <w:rPr>
                <w:sz w:val="22"/>
              </w:rPr>
              <w:t>Son</w:t>
              <w:tab/>
              <w:t>los</w:t>
            </w:r>
          </w:p>
        </w:tc>
      </w:tr>
      <w:tr>
        <w:trPr>
          <w:trHeight w:val="253" w:hRule="exact"/>
        </w:trPr>
        <w:tc>
          <w:tcPr>
            <w:tcW w:w="1385" w:type="dxa"/>
            <w:tcBorders>
              <w:top w:val="nil"/>
              <w:bottom w:val="nil"/>
            </w:tcBorders>
          </w:tcPr>
          <w:p>
            <w:pPr>
              <w:pStyle w:val="TableParagraph"/>
              <w:spacing w:line="241" w:lineRule="exact"/>
              <w:ind w:left="357" w:right="127"/>
              <w:rPr>
                <w:sz w:val="22"/>
              </w:rPr>
            </w:pPr>
            <w:r>
              <w:rPr>
                <w:sz w:val="22"/>
              </w:rPr>
              <w:t>García</w:t>
            </w:r>
          </w:p>
        </w:tc>
        <w:tc>
          <w:tcPr>
            <w:tcW w:w="1418" w:type="dxa"/>
            <w:tcBorders>
              <w:top w:val="nil"/>
              <w:bottom w:val="nil"/>
            </w:tcBorders>
          </w:tcPr>
          <w:p>
            <w:pPr>
              <w:pStyle w:val="TableParagraph"/>
              <w:spacing w:line="241" w:lineRule="exact"/>
              <w:ind w:left="100" w:right="101"/>
              <w:rPr>
                <w:sz w:val="22"/>
              </w:rPr>
            </w:pPr>
            <w:r>
              <w:rPr>
                <w:sz w:val="22"/>
              </w:rPr>
              <w:t>agricultor y</w:t>
            </w:r>
          </w:p>
        </w:tc>
        <w:tc>
          <w:tcPr>
            <w:tcW w:w="1841" w:type="dxa"/>
            <w:tcBorders>
              <w:top w:val="nil"/>
              <w:bottom w:val="nil"/>
            </w:tcBorders>
          </w:tcPr>
          <w:p>
            <w:pPr>
              <w:pStyle w:val="TableParagraph"/>
              <w:spacing w:line="241" w:lineRule="exact"/>
              <w:ind w:left="100"/>
              <w:rPr>
                <w:sz w:val="22"/>
              </w:rPr>
            </w:pPr>
            <w:r>
              <w:rPr>
                <w:sz w:val="22"/>
              </w:rPr>
              <w:t>Ganadera</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1702" w:type="dxa"/>
            <w:tcBorders>
              <w:top w:val="nil"/>
              <w:bottom w:val="nil"/>
            </w:tcBorders>
          </w:tcPr>
          <w:p>
            <w:pPr>
              <w:pStyle w:val="TableParagraph"/>
              <w:spacing w:line="241" w:lineRule="exact"/>
              <w:rPr>
                <w:sz w:val="22"/>
              </w:rPr>
            </w:pPr>
            <w:r>
              <w:rPr>
                <w:sz w:val="22"/>
              </w:rPr>
              <w:t>tratadoras de</w:t>
            </w:r>
          </w:p>
        </w:tc>
        <w:tc>
          <w:tcPr>
            <w:tcW w:w="1985" w:type="dxa"/>
            <w:tcBorders>
              <w:top w:val="nil"/>
              <w:bottom w:val="nil"/>
            </w:tcBorders>
          </w:tcPr>
          <w:p>
            <w:pPr>
              <w:pStyle w:val="TableParagraph"/>
              <w:spacing w:line="241" w:lineRule="exact"/>
              <w:rPr>
                <w:sz w:val="22"/>
              </w:rPr>
            </w:pPr>
            <w:r>
              <w:rPr>
                <w:sz w:val="22"/>
              </w:rPr>
              <w:t>representantes</w:t>
            </w:r>
          </w:p>
        </w:tc>
      </w:tr>
      <w:tr>
        <w:trPr>
          <w:trHeight w:val="253" w:hRule="exact"/>
        </w:trPr>
        <w:tc>
          <w:tcPr>
            <w:tcW w:w="1385" w:type="dxa"/>
            <w:tcBorders>
              <w:top w:val="nil"/>
              <w:bottom w:val="nil"/>
            </w:tcBorders>
          </w:tcPr>
          <w:p>
            <w:pPr>
              <w:pStyle w:val="TableParagraph"/>
              <w:spacing w:line="242" w:lineRule="exact"/>
              <w:ind w:left="215" w:right="127"/>
              <w:rPr>
                <w:sz w:val="22"/>
              </w:rPr>
            </w:pPr>
            <w:r>
              <w:rPr>
                <w:sz w:val="22"/>
              </w:rPr>
              <w:t>(2/I/2015)</w:t>
            </w:r>
          </w:p>
        </w:tc>
        <w:tc>
          <w:tcPr>
            <w:tcW w:w="1418" w:type="dxa"/>
            <w:tcBorders>
              <w:top w:val="nil"/>
              <w:bottom w:val="nil"/>
            </w:tcBorders>
          </w:tcPr>
          <w:p>
            <w:pPr>
              <w:pStyle w:val="TableParagraph"/>
              <w:spacing w:line="242" w:lineRule="exact"/>
              <w:ind w:left="100" w:right="101"/>
              <w:rPr>
                <w:sz w:val="22"/>
              </w:rPr>
            </w:pPr>
            <w:r>
              <w:rPr>
                <w:sz w:val="22"/>
              </w:rPr>
              <w:t>abogado</w:t>
            </w:r>
          </w:p>
        </w:tc>
        <w:tc>
          <w:tcPr>
            <w:tcW w:w="1841" w:type="dxa"/>
            <w:tcBorders>
              <w:top w:val="nil"/>
              <w:bottom w:val="nil"/>
            </w:tcBorders>
          </w:tcPr>
          <w:p>
            <w:pPr>
              <w:pStyle w:val="TableParagraph"/>
              <w:tabs>
                <w:tab w:pos="1434" w:val="left" w:leader="none"/>
              </w:tabs>
              <w:spacing w:line="242" w:lineRule="exact"/>
              <w:ind w:left="100"/>
              <w:rPr>
                <w:sz w:val="22"/>
              </w:rPr>
            </w:pPr>
            <w:r>
              <w:rPr>
                <w:sz w:val="22"/>
              </w:rPr>
              <w:t>General</w:t>
              <w:tab/>
              <w:t>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Style w:val="TableParagraph"/>
              <w:spacing w:line="242" w:lineRule="exact"/>
              <w:rPr>
                <w:sz w:val="22"/>
              </w:rPr>
            </w:pPr>
            <w:r>
              <w:rPr>
                <w:sz w:val="22"/>
              </w:rPr>
              <w:t>agua.</w:t>
            </w:r>
          </w:p>
        </w:tc>
        <w:tc>
          <w:tcPr>
            <w:tcW w:w="1985" w:type="dxa"/>
            <w:tcBorders>
              <w:top w:val="nil"/>
              <w:bottom w:val="nil"/>
            </w:tcBorders>
          </w:tcPr>
          <w:p>
            <w:pPr>
              <w:pStyle w:val="TableParagraph"/>
              <w:tabs>
                <w:tab w:pos="1763" w:val="left" w:leader="none"/>
              </w:tabs>
              <w:spacing w:line="242" w:lineRule="exact"/>
              <w:rPr>
                <w:sz w:val="22"/>
              </w:rPr>
            </w:pPr>
            <w:r>
              <w:rPr>
                <w:sz w:val="22"/>
              </w:rPr>
              <w:t>municipales</w:t>
              <w:tab/>
              <w:t>y</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0" w:val="left" w:leader="none"/>
              </w:tabs>
              <w:spacing w:line="241" w:lineRule="exact"/>
              <w:ind w:left="100"/>
              <w:rPr>
                <w:sz w:val="22"/>
              </w:rPr>
            </w:pPr>
            <w:r>
              <w:rPr>
                <w:sz w:val="22"/>
              </w:rPr>
              <w:t>Municipio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secretarías  como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Timilpan, A.C</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542" w:val="left" w:leader="none"/>
                <w:tab w:pos="1763" w:val="left" w:leader="none"/>
              </w:tabs>
              <w:spacing w:line="241" w:lineRule="exact"/>
              <w:rPr>
                <w:sz w:val="22"/>
              </w:rPr>
            </w:pPr>
            <w:r>
              <w:rPr>
                <w:sz w:val="22"/>
              </w:rPr>
              <w:t>la</w:t>
              <w:tab/>
              <w:t>Semarnat</w:t>
              <w:tab/>
              <w:t>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07" w:val="left" w:leader="none"/>
              </w:tabs>
              <w:spacing w:line="242" w:lineRule="exact"/>
              <w:ind w:left="100"/>
              <w:rPr>
                <w:sz w:val="22"/>
              </w:rPr>
            </w:pPr>
            <w:r>
              <w:rPr>
                <w:sz w:val="22"/>
              </w:rPr>
              <w:t>(Representa</w:t>
              <w:tab/>
              <w:t>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Ecología.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728" w:val="right" w:leader="none"/>
              </w:tabs>
              <w:spacing w:line="241" w:lineRule="exact"/>
              <w:ind w:left="100"/>
              <w:rPr>
                <w:sz w:val="22"/>
              </w:rPr>
            </w:pPr>
            <w:r>
              <w:rPr>
                <w:sz w:val="22"/>
              </w:rPr>
              <w:t>las</w:t>
              <w:tab/>
              <w:t>36</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comunidades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Timilpan)</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Evaristo</w:t>
            </w:r>
          </w:p>
        </w:tc>
        <w:tc>
          <w:tcPr>
            <w:tcW w:w="1418" w:type="dxa"/>
            <w:tcBorders>
              <w:bottom w:val="nil"/>
            </w:tcBorders>
          </w:tcPr>
          <w:p>
            <w:pPr>
              <w:pStyle w:val="TableParagraph"/>
              <w:ind w:left="127"/>
              <w:rPr>
                <w:sz w:val="22"/>
              </w:rPr>
            </w:pPr>
            <w:r>
              <w:rPr>
                <w:sz w:val="22"/>
              </w:rPr>
              <w:t>Ganadero y</w:t>
            </w:r>
          </w:p>
        </w:tc>
        <w:tc>
          <w:tcPr>
            <w:tcW w:w="1841" w:type="dxa"/>
            <w:tcBorders>
              <w:bottom w:val="nil"/>
            </w:tcBorders>
          </w:tcPr>
          <w:p>
            <w:pPr>
              <w:pStyle w:val="TableParagraph"/>
              <w:ind w:left="100"/>
              <w:rPr>
                <w:sz w:val="22"/>
              </w:rPr>
            </w:pPr>
            <w:r>
              <w:rPr>
                <w:sz w:val="22"/>
              </w:rPr>
              <w:t>Cooperativa</w:t>
            </w:r>
          </w:p>
        </w:tc>
        <w:tc>
          <w:tcPr>
            <w:tcW w:w="1135" w:type="dxa"/>
            <w:tcBorders>
              <w:bottom w:val="nil"/>
            </w:tcBorders>
          </w:tcPr>
          <w:p>
            <w:pPr>
              <w:pStyle w:val="TableParagraph"/>
              <w:rPr>
                <w:sz w:val="22"/>
              </w:rPr>
            </w:pPr>
            <w:r>
              <w:rPr>
                <w:sz w:val="22"/>
              </w:rPr>
              <w:t>Presiden</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La</w:t>
            </w:r>
          </w:p>
        </w:tc>
        <w:tc>
          <w:tcPr>
            <w:tcW w:w="1133" w:type="dxa"/>
            <w:tcBorders>
              <w:bottom w:val="nil"/>
            </w:tcBorders>
          </w:tcPr>
          <w:p>
            <w:pPr>
              <w:pStyle w:val="TableParagraph"/>
              <w:ind w:left="100" w:right="52"/>
              <w:rPr>
                <w:sz w:val="22"/>
              </w:rPr>
            </w:pPr>
            <w:r>
              <w:rPr>
                <w:sz w:val="22"/>
              </w:rPr>
              <w:t>La</w:t>
            </w:r>
          </w:p>
        </w:tc>
        <w:tc>
          <w:tcPr>
            <w:tcW w:w="1702" w:type="dxa"/>
            <w:tcBorders>
              <w:bottom w:val="nil"/>
            </w:tcBorders>
          </w:tcPr>
          <w:p>
            <w:pPr>
              <w:pStyle w:val="TableParagraph"/>
              <w:rPr>
                <w:sz w:val="22"/>
              </w:rPr>
            </w:pPr>
            <w:r>
              <w:rPr>
                <w:sz w:val="22"/>
              </w:rPr>
              <w:t>Solamente que</w:t>
            </w:r>
          </w:p>
        </w:tc>
        <w:tc>
          <w:tcPr>
            <w:tcW w:w="1985" w:type="dxa"/>
            <w:tcBorders>
              <w:bottom w:val="nil"/>
            </w:tcBorders>
          </w:tcPr>
          <w:p>
            <w:pPr>
              <w:pStyle w:val="TableParagraph"/>
              <w:rPr>
                <w:sz w:val="22"/>
              </w:rPr>
            </w:pPr>
            <w:r>
              <w:rPr>
                <w:sz w:val="22"/>
              </w:rPr>
              <w:t>El  gobierno debe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Style w:val="TableParagraph"/>
              <w:spacing w:line="241" w:lineRule="exact"/>
              <w:ind w:left="249" w:right="101"/>
              <w:rPr>
                <w:sz w:val="22"/>
              </w:rPr>
            </w:pPr>
            <w:r>
              <w:rPr>
                <w:sz w:val="22"/>
              </w:rPr>
              <w:t>agricultor</w:t>
            </w:r>
          </w:p>
        </w:tc>
        <w:tc>
          <w:tcPr>
            <w:tcW w:w="1841" w:type="dxa"/>
            <w:tcBorders>
              <w:top w:val="nil"/>
              <w:bottom w:val="nil"/>
            </w:tcBorders>
          </w:tcPr>
          <w:p>
            <w:pPr>
              <w:pStyle w:val="TableParagraph"/>
              <w:tabs>
                <w:tab w:pos="820" w:val="left" w:leader="none"/>
              </w:tabs>
              <w:spacing w:line="241" w:lineRule="exact"/>
              <w:ind w:left="100"/>
              <w:rPr>
                <w:sz w:val="22"/>
              </w:rPr>
            </w:pPr>
            <w:r>
              <w:rPr>
                <w:sz w:val="22"/>
              </w:rPr>
              <w:t>para</w:t>
              <w:tab/>
              <w:t>gestionar</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tabs>
                <w:tab w:pos="731" w:val="left" w:leader="none"/>
              </w:tabs>
              <w:spacing w:line="241" w:lineRule="exact"/>
              <w:rPr>
                <w:sz w:val="22"/>
              </w:rPr>
            </w:pPr>
            <w:r>
              <w:rPr>
                <w:sz w:val="22"/>
              </w:rPr>
              <w:t>el</w:t>
              <w:tab/>
              <w:t>gobierno</w:t>
            </w:r>
          </w:p>
        </w:tc>
        <w:tc>
          <w:tcPr>
            <w:tcW w:w="1985" w:type="dxa"/>
            <w:tcBorders>
              <w:top w:val="nil"/>
              <w:bottom w:val="nil"/>
            </w:tcBorders>
          </w:tcPr>
          <w:p>
            <w:pPr>
              <w:pStyle w:val="TableParagraph"/>
              <w:tabs>
                <w:tab w:pos="1432" w:val="left" w:leader="none"/>
              </w:tabs>
              <w:spacing w:line="241" w:lineRule="exact"/>
              <w:rPr>
                <w:sz w:val="22"/>
              </w:rPr>
            </w:pPr>
            <w:r>
              <w:rPr>
                <w:sz w:val="22"/>
              </w:rPr>
              <w:t>ayudar</w:t>
              <w:tab/>
              <w:t>para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Miguel</w:t>
            </w: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1" w:lineRule="exact"/>
              <w:ind w:left="100"/>
              <w:rPr>
                <w:sz w:val="22"/>
              </w:rPr>
            </w:pPr>
            <w:r>
              <w:rPr>
                <w:sz w:val="22"/>
              </w:rPr>
              <w:t>proyectos</w:t>
              <w:tab/>
              <w:t>en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Style w:val="TableParagraph"/>
              <w:spacing w:line="241" w:lineRule="exact"/>
              <w:rPr>
                <w:sz w:val="22"/>
              </w:rPr>
            </w:pPr>
            <w:r>
              <w:rPr>
                <w:sz w:val="22"/>
              </w:rPr>
              <w:t>nos ayude.</w:t>
            </w:r>
          </w:p>
        </w:tc>
        <w:tc>
          <w:tcPr>
            <w:tcW w:w="1985" w:type="dxa"/>
            <w:tcBorders>
              <w:top w:val="nil"/>
              <w:bottom w:val="nil"/>
            </w:tcBorders>
          </w:tcPr>
          <w:p>
            <w:pPr>
              <w:pStyle w:val="TableParagraph"/>
              <w:spacing w:line="241" w:lineRule="exact"/>
              <w:rPr>
                <w:sz w:val="22"/>
              </w:rPr>
            </w:pPr>
            <w:r>
              <w:rPr>
                <w:sz w:val="22"/>
              </w:rPr>
              <w:t>solucionarlo  y 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2" w:lineRule="exact"/>
              <w:ind w:left="100"/>
              <w:rPr>
                <w:sz w:val="22"/>
              </w:rPr>
            </w:pPr>
            <w:r>
              <w:rPr>
                <w:sz w:val="22"/>
              </w:rPr>
              <w:t>Sagarpa</w:t>
              <w:tab/>
              <w:t>(no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Timilpan</w:t>
            </w: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pobladores</w:t>
            </w:r>
            <w:r>
              <w:rPr>
                <w:spacing w:val="54"/>
                <w:sz w:val="22"/>
              </w:rPr>
              <w:t> </w:t>
            </w:r>
            <w:r>
              <w:rPr>
                <w:sz w:val="22"/>
              </w:rPr>
              <w:t>poner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556" w:val="left" w:leader="none"/>
              </w:tabs>
              <w:spacing w:line="241" w:lineRule="exact"/>
              <w:ind w:left="100"/>
              <w:rPr>
                <w:sz w:val="22"/>
              </w:rPr>
            </w:pPr>
            <w:r>
              <w:rPr>
                <w:sz w:val="22"/>
              </w:rPr>
              <w:t>recurdo</w:t>
              <w:tab/>
              <w:t>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de nuestra parte.</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3" w:lineRule="exact"/>
              <w:ind w:left="100"/>
              <w:rPr>
                <w:sz w:val="22"/>
              </w:rPr>
            </w:pPr>
            <w:r>
              <w:rPr>
                <w:sz w:val="22"/>
              </w:rPr>
              <w:t>nombre)</w:t>
              <w:tab/>
              <w:t>(10</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Antonio</w:t>
            </w:r>
          </w:p>
        </w:tc>
        <w:tc>
          <w:tcPr>
            <w:tcW w:w="1418" w:type="dxa"/>
            <w:tcBorders>
              <w:bottom w:val="nil"/>
            </w:tcBorders>
          </w:tcPr>
          <w:p>
            <w:pPr>
              <w:pStyle w:val="TableParagraph"/>
              <w:ind w:left="100" w:right="101"/>
              <w:rPr>
                <w:sz w:val="22"/>
              </w:rPr>
            </w:pPr>
            <w:r>
              <w:rPr>
                <w:sz w:val="22"/>
              </w:rPr>
              <w:t>Ganadero,</w:t>
            </w:r>
          </w:p>
        </w:tc>
        <w:tc>
          <w:tcPr>
            <w:tcW w:w="1841" w:type="dxa"/>
            <w:tcBorders>
              <w:bottom w:val="nil"/>
            </w:tcBorders>
          </w:tcPr>
          <w:p>
            <w:pPr>
              <w:pStyle w:val="TableParagraph"/>
              <w:ind w:left="100"/>
              <w:rPr>
                <w:sz w:val="22"/>
              </w:rPr>
            </w:pPr>
            <w:r>
              <w:rPr>
                <w:sz w:val="22"/>
              </w:rPr>
              <w:t>Cooperativa   de</w:t>
            </w:r>
          </w:p>
        </w:tc>
        <w:tc>
          <w:tcPr>
            <w:tcW w:w="1135" w:type="dxa"/>
            <w:tcBorders>
              <w:bottom w:val="nil"/>
            </w:tcBorders>
          </w:tcPr>
          <w:p>
            <w:pPr>
              <w:pStyle w:val="TableParagraph"/>
              <w:rPr>
                <w:sz w:val="22"/>
              </w:rPr>
            </w:pPr>
            <w:r>
              <w:rPr>
                <w:sz w:val="22"/>
              </w:rPr>
              <w:t>Integrant</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La</w:t>
            </w:r>
          </w:p>
        </w:tc>
        <w:tc>
          <w:tcPr>
            <w:tcW w:w="1133" w:type="dxa"/>
            <w:tcBorders>
              <w:bottom w:val="nil"/>
            </w:tcBorders>
          </w:tcPr>
          <w:p>
            <w:pPr>
              <w:pStyle w:val="TableParagraph"/>
              <w:ind w:left="100" w:right="52"/>
              <w:rPr>
                <w:sz w:val="22"/>
              </w:rPr>
            </w:pPr>
            <w:r>
              <w:rPr>
                <w:sz w:val="22"/>
              </w:rPr>
              <w:t>La</w:t>
            </w:r>
          </w:p>
        </w:tc>
        <w:tc>
          <w:tcPr>
            <w:tcW w:w="1702" w:type="dxa"/>
            <w:tcBorders>
              <w:bottom w:val="nil"/>
            </w:tcBorders>
          </w:tcPr>
          <w:p>
            <w:pPr>
              <w:pStyle w:val="TableParagraph"/>
              <w:rPr>
                <w:sz w:val="22"/>
              </w:rPr>
            </w:pPr>
            <w:r>
              <w:rPr>
                <w:sz w:val="22"/>
              </w:rPr>
              <w:t>Teniendo  más</w:t>
            </w:r>
          </w:p>
        </w:tc>
        <w:tc>
          <w:tcPr>
            <w:tcW w:w="1985" w:type="dxa"/>
            <w:tcBorders>
              <w:bottom w:val="nil"/>
            </w:tcBorders>
          </w:tcPr>
          <w:p>
            <w:pPr>
              <w:pStyle w:val="TableParagraph"/>
              <w:rPr>
                <w:sz w:val="22"/>
              </w:rPr>
            </w:pPr>
            <w:r>
              <w:rPr>
                <w:sz w:val="22"/>
              </w:rPr>
              <w:t>Nosotros  mismos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Gabriel</w:t>
            </w:r>
          </w:p>
        </w:tc>
        <w:tc>
          <w:tcPr>
            <w:tcW w:w="1418" w:type="dxa"/>
            <w:tcBorders>
              <w:top w:val="nil"/>
              <w:bottom w:val="nil"/>
            </w:tcBorders>
          </w:tcPr>
          <w:p>
            <w:pPr>
              <w:pStyle w:val="TableParagraph"/>
              <w:spacing w:line="241" w:lineRule="exact"/>
              <w:ind w:left="100"/>
              <w:rPr>
                <w:sz w:val="22"/>
              </w:rPr>
            </w:pPr>
            <w:r>
              <w:rPr>
                <w:sz w:val="22"/>
              </w:rPr>
              <w:t>agricultor   y</w:t>
            </w:r>
          </w:p>
        </w:tc>
        <w:tc>
          <w:tcPr>
            <w:tcW w:w="1841" w:type="dxa"/>
            <w:tcBorders>
              <w:top w:val="nil"/>
              <w:bottom w:val="nil"/>
            </w:tcBorders>
          </w:tcPr>
          <w:p>
            <w:pPr>
              <w:pStyle w:val="TableParagraph"/>
              <w:spacing w:line="241" w:lineRule="exact"/>
              <w:ind w:left="100"/>
              <w:rPr>
                <w:sz w:val="22"/>
              </w:rPr>
            </w:pPr>
            <w:r>
              <w:rPr>
                <w:sz w:val="22"/>
              </w:rPr>
              <w:t>Ganaderos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tabs>
                <w:tab w:pos="1233" w:val="left" w:leader="none"/>
              </w:tabs>
              <w:spacing w:line="241" w:lineRule="exact"/>
              <w:rPr>
                <w:sz w:val="22"/>
              </w:rPr>
            </w:pPr>
            <w:r>
              <w:rPr>
                <w:sz w:val="22"/>
              </w:rPr>
              <w:t>cuidado</w:t>
              <w:tab/>
              <w:t>con</w:t>
            </w:r>
          </w:p>
        </w:tc>
        <w:tc>
          <w:tcPr>
            <w:tcW w:w="1985" w:type="dxa"/>
            <w:tcBorders>
              <w:top w:val="nil"/>
              <w:bottom w:val="nil"/>
            </w:tcBorders>
          </w:tcPr>
          <w:p>
            <w:pPr>
              <w:pStyle w:val="TableParagraph"/>
              <w:spacing w:line="241" w:lineRule="exact"/>
              <w:rPr>
                <w:sz w:val="22"/>
              </w:rPr>
            </w:pPr>
            <w:r>
              <w:rPr>
                <w:sz w:val="22"/>
              </w:rPr>
              <w:t>debemos</w:t>
            </w:r>
            <w:r>
              <w:rPr>
                <w:spacing w:val="52"/>
                <w:sz w:val="22"/>
              </w:rPr>
              <w:t> </w:t>
            </w:r>
            <w:r>
              <w:rPr>
                <w:sz w:val="22"/>
              </w:rPr>
              <w:t>recoger</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Cruz</w:t>
            </w:r>
          </w:p>
        </w:tc>
        <w:tc>
          <w:tcPr>
            <w:tcW w:w="1418" w:type="dxa"/>
            <w:tcBorders>
              <w:top w:val="nil"/>
              <w:bottom w:val="nil"/>
            </w:tcBorders>
          </w:tcPr>
          <w:p>
            <w:pPr>
              <w:pStyle w:val="TableParagraph"/>
              <w:spacing w:line="241" w:lineRule="exact"/>
              <w:ind w:left="100" w:right="101"/>
              <w:rPr>
                <w:sz w:val="22"/>
              </w:rPr>
            </w:pPr>
            <w:r>
              <w:rPr>
                <w:sz w:val="22"/>
              </w:rPr>
              <w:t>albañil</w:t>
            </w:r>
          </w:p>
        </w:tc>
        <w:tc>
          <w:tcPr>
            <w:tcW w:w="1841" w:type="dxa"/>
            <w:tcBorders>
              <w:top w:val="nil"/>
              <w:bottom w:val="nil"/>
            </w:tcBorders>
          </w:tcPr>
          <w:p>
            <w:pPr>
              <w:pStyle w:val="TableParagraph"/>
              <w:spacing w:line="241" w:lineRule="exact"/>
              <w:ind w:left="100"/>
              <w:rPr>
                <w:sz w:val="22"/>
              </w:rPr>
            </w:pPr>
            <w:r>
              <w:rPr>
                <w:sz w:val="22"/>
              </w:rPr>
              <w:t>(No  recuerdo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Style w:val="TableParagraph"/>
              <w:spacing w:line="241" w:lineRule="exact"/>
              <w:rPr>
                <w:sz w:val="22"/>
              </w:rPr>
            </w:pPr>
            <w:r>
              <w:rPr>
                <w:sz w:val="22"/>
              </w:rPr>
              <w:t>las cosas.</w:t>
            </w:r>
          </w:p>
        </w:tc>
        <w:tc>
          <w:tcPr>
            <w:tcW w:w="1985" w:type="dxa"/>
            <w:tcBorders>
              <w:top w:val="nil"/>
              <w:bottom w:val="nil"/>
            </w:tcBorders>
          </w:tcPr>
          <w:p>
            <w:pPr>
              <w:pStyle w:val="TableParagraph"/>
              <w:spacing w:line="241" w:lineRule="exact"/>
              <w:rPr>
                <w:sz w:val="22"/>
              </w:rPr>
            </w:pPr>
            <w:r>
              <w:rPr>
                <w:sz w:val="22"/>
              </w:rPr>
              <w:t>la basura para</w:t>
            </w:r>
            <w:r>
              <w:rPr>
                <w:spacing w:val="55"/>
                <w:sz w:val="22"/>
              </w:rPr>
              <w:t> </w:t>
            </w:r>
            <w:r>
              <w:rPr>
                <w:sz w:val="22"/>
              </w:rPr>
              <w:t>no</w:t>
            </w:r>
          </w:p>
        </w:tc>
      </w:tr>
      <w:tr>
        <w:trPr>
          <w:trHeight w:val="248" w:hRule="exact"/>
        </w:trPr>
        <w:tc>
          <w:tcPr>
            <w:tcW w:w="1385" w:type="dxa"/>
            <w:tcBorders>
              <w:top w:val="nil"/>
            </w:tcBorders>
          </w:tcPr>
          <w:p>
            <w:pPr>
              <w:pStyle w:val="TableParagraph"/>
              <w:spacing w:line="242" w:lineRule="exact"/>
              <w:ind w:right="127"/>
              <w:rPr>
                <w:sz w:val="22"/>
              </w:rPr>
            </w:pPr>
            <w:r>
              <w:rPr>
                <w:sz w:val="22"/>
              </w:rPr>
              <w:t>(17/I/2015)</w:t>
            </w:r>
          </w:p>
        </w:tc>
        <w:tc>
          <w:tcPr>
            <w:tcW w:w="1418" w:type="dxa"/>
            <w:tcBorders>
              <w:top w:val="nil"/>
            </w:tcBorders>
          </w:tcPr>
          <w:p>
            <w:pPr/>
          </w:p>
        </w:tc>
        <w:tc>
          <w:tcPr>
            <w:tcW w:w="1841" w:type="dxa"/>
            <w:tcBorders>
              <w:top w:val="nil"/>
            </w:tcBorders>
          </w:tcPr>
          <w:p>
            <w:pPr>
              <w:pStyle w:val="TableParagraph"/>
              <w:tabs>
                <w:tab w:pos="1149" w:val="left" w:leader="none"/>
                <w:tab w:pos="1556" w:val="left" w:leader="none"/>
              </w:tabs>
              <w:spacing w:line="242" w:lineRule="exact"/>
              <w:ind w:left="100"/>
              <w:rPr>
                <w:sz w:val="22"/>
              </w:rPr>
            </w:pPr>
            <w:r>
              <w:rPr>
                <w:sz w:val="22"/>
              </w:rPr>
              <w:t>nombre,</w:t>
              <w:tab/>
              <w:t>ni</w:t>
              <w:tab/>
              <w:t>el</w:t>
            </w:r>
          </w:p>
        </w:tc>
        <w:tc>
          <w:tcPr>
            <w:tcW w:w="1135" w:type="dxa"/>
            <w:tcBorders>
              <w:top w:val="nil"/>
            </w:tcBorders>
          </w:tcPr>
          <w:p>
            <w:pPr/>
          </w:p>
        </w:tc>
        <w:tc>
          <w:tcPr>
            <w:tcW w:w="991" w:type="dxa"/>
            <w:tcBorders>
              <w:top w:val="nil"/>
            </w:tcBorders>
          </w:tcPr>
          <w:p>
            <w:pPr/>
          </w:p>
        </w:tc>
        <w:tc>
          <w:tcPr>
            <w:tcW w:w="1277" w:type="dxa"/>
            <w:tcBorders>
              <w:top w:val="nil"/>
            </w:tcBorders>
          </w:tcPr>
          <w:p>
            <w:pPr>
              <w:pStyle w:val="TableParagraph"/>
              <w:spacing w:line="242" w:lineRule="exact"/>
              <w:ind w:right="92"/>
              <w:rPr>
                <w:sz w:val="22"/>
              </w:rPr>
            </w:pPr>
            <w:r>
              <w:rPr>
                <w:sz w:val="22"/>
              </w:rPr>
              <w:t>Timilpan</w:t>
            </w:r>
          </w:p>
        </w:tc>
        <w:tc>
          <w:tcPr>
            <w:tcW w:w="1133" w:type="dxa"/>
            <w:tcBorders>
              <w:top w:val="nil"/>
            </w:tcBorders>
          </w:tcPr>
          <w:p>
            <w:pPr>
              <w:pStyle w:val="TableParagraph"/>
              <w:spacing w:line="242" w:lineRule="exact"/>
              <w:ind w:left="100" w:right="52"/>
              <w:rPr>
                <w:sz w:val="22"/>
              </w:rPr>
            </w:pPr>
            <w:r>
              <w:rPr>
                <w:sz w:val="22"/>
              </w:rPr>
              <w:t>Timilpan</w:t>
            </w:r>
          </w:p>
        </w:tc>
        <w:tc>
          <w:tcPr>
            <w:tcW w:w="1702" w:type="dxa"/>
            <w:tcBorders>
              <w:top w:val="nil"/>
            </w:tcBorders>
          </w:tcPr>
          <w:p>
            <w:pPr/>
          </w:p>
        </w:tc>
        <w:tc>
          <w:tcPr>
            <w:tcW w:w="1985" w:type="dxa"/>
            <w:tcBorders>
              <w:top w:val="nil"/>
            </w:tcBorders>
          </w:tcPr>
          <w:p>
            <w:pPr>
              <w:pStyle w:val="TableParagraph"/>
              <w:tabs>
                <w:tab w:pos="1703" w:val="left" w:leader="none"/>
              </w:tabs>
              <w:spacing w:line="242" w:lineRule="exact"/>
              <w:rPr>
                <w:sz w:val="22"/>
              </w:rPr>
            </w:pPr>
            <w:r>
              <w:rPr>
                <w:sz w:val="22"/>
              </w:rPr>
              <w:t>contaminar</w:t>
              <w:tab/>
              <w:t>el</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16" w:hRule="exact"/>
        </w:trPr>
        <w:tc>
          <w:tcPr>
            <w:tcW w:w="1385" w:type="dxa"/>
          </w:tcPr>
          <w:p>
            <w:pPr/>
          </w:p>
        </w:tc>
        <w:tc>
          <w:tcPr>
            <w:tcW w:w="1418" w:type="dxa"/>
          </w:tcPr>
          <w:p>
            <w:pPr/>
          </w:p>
        </w:tc>
        <w:tc>
          <w:tcPr>
            <w:tcW w:w="1841" w:type="dxa"/>
          </w:tcPr>
          <w:p>
            <w:pPr>
              <w:pStyle w:val="TableParagraph"/>
              <w:tabs>
                <w:tab w:pos="1485" w:val="left" w:leader="none"/>
              </w:tabs>
              <w:spacing w:line="252" w:lineRule="exact" w:before="2"/>
              <w:ind w:left="100" w:right="99"/>
              <w:rPr>
                <w:sz w:val="22"/>
              </w:rPr>
            </w:pPr>
            <w:r>
              <w:rPr>
                <w:sz w:val="22"/>
              </w:rPr>
              <w:t>número</w:t>
              <w:tab/>
              <w:t>de integrantes)</w:t>
            </w:r>
          </w:p>
        </w:tc>
        <w:tc>
          <w:tcPr>
            <w:tcW w:w="1135" w:type="dxa"/>
          </w:tcPr>
          <w:p>
            <w:pPr/>
          </w:p>
        </w:tc>
        <w:tc>
          <w:tcPr>
            <w:tcW w:w="991" w:type="dxa"/>
          </w:tcPr>
          <w:p>
            <w:pPr/>
          </w:p>
        </w:tc>
        <w:tc>
          <w:tcPr>
            <w:tcW w:w="1277" w:type="dxa"/>
          </w:tcPr>
          <w:p>
            <w:pPr/>
          </w:p>
        </w:tc>
        <w:tc>
          <w:tcPr>
            <w:tcW w:w="1133" w:type="dxa"/>
          </w:tcPr>
          <w:p>
            <w:pPr/>
          </w:p>
        </w:tc>
        <w:tc>
          <w:tcPr>
            <w:tcW w:w="1702" w:type="dxa"/>
          </w:tcPr>
          <w:p>
            <w:pPr/>
          </w:p>
        </w:tc>
        <w:tc>
          <w:tcPr>
            <w:tcW w:w="1985" w:type="dxa"/>
          </w:tcPr>
          <w:p>
            <w:pPr>
              <w:pStyle w:val="TableParagraph"/>
              <w:spacing w:line="251" w:lineRule="exact"/>
              <w:rPr>
                <w:sz w:val="22"/>
              </w:rPr>
            </w:pPr>
            <w:r>
              <w:rPr>
                <w:sz w:val="22"/>
              </w:rPr>
              <w:t>agua.</w:t>
            </w:r>
          </w:p>
        </w:tc>
      </w:tr>
      <w:tr>
        <w:trPr>
          <w:trHeight w:val="266" w:hRule="exact"/>
        </w:trPr>
        <w:tc>
          <w:tcPr>
            <w:tcW w:w="1385" w:type="dxa"/>
            <w:tcBorders>
              <w:bottom w:val="nil"/>
            </w:tcBorders>
          </w:tcPr>
          <w:p>
            <w:pPr>
              <w:pStyle w:val="TableParagraph"/>
              <w:spacing w:line="251" w:lineRule="exact"/>
              <w:ind w:right="127"/>
              <w:rPr>
                <w:sz w:val="22"/>
              </w:rPr>
            </w:pPr>
            <w:r>
              <w:rPr>
                <w:sz w:val="22"/>
              </w:rPr>
              <w:t>Porfirio</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Cooperativa   de</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1702" w:type="dxa"/>
            <w:tcBorders>
              <w:bottom w:val="nil"/>
            </w:tcBorders>
          </w:tcPr>
          <w:p>
            <w:pPr>
              <w:pStyle w:val="TableParagraph"/>
              <w:tabs>
                <w:tab w:pos="1417" w:val="left" w:leader="none"/>
              </w:tabs>
              <w:spacing w:line="251" w:lineRule="exact"/>
              <w:rPr>
                <w:sz w:val="22"/>
              </w:rPr>
            </w:pPr>
            <w:r>
              <w:rPr>
                <w:sz w:val="22"/>
              </w:rPr>
              <w:t>Con</w:t>
              <w:tab/>
              <w:t>la</w:t>
            </w:r>
          </w:p>
        </w:tc>
        <w:tc>
          <w:tcPr>
            <w:tcW w:w="1985" w:type="dxa"/>
            <w:tcBorders>
              <w:bottom w:val="nil"/>
            </w:tcBorders>
          </w:tcPr>
          <w:p>
            <w:pPr>
              <w:pStyle w:val="TableParagraph"/>
              <w:tabs>
                <w:tab w:pos="1701" w:val="left" w:leader="none"/>
              </w:tabs>
              <w:spacing w:line="251" w:lineRule="exact"/>
              <w:rPr>
                <w:sz w:val="22"/>
              </w:rPr>
            </w:pPr>
            <w:r>
              <w:rPr>
                <w:sz w:val="22"/>
              </w:rPr>
              <w:t>Con</w:t>
              <w:tab/>
              <w:t>la</w:t>
            </w:r>
          </w:p>
        </w:tc>
      </w:tr>
      <w:tr>
        <w:trPr>
          <w:trHeight w:val="253" w:hRule="exact"/>
        </w:trPr>
        <w:tc>
          <w:tcPr>
            <w:tcW w:w="1385" w:type="dxa"/>
            <w:tcBorders>
              <w:top w:val="nil"/>
              <w:bottom w:val="nil"/>
            </w:tcBorders>
          </w:tcPr>
          <w:p>
            <w:pPr>
              <w:pStyle w:val="TableParagraph"/>
              <w:tabs>
                <w:tab w:pos="1026" w:val="left" w:leader="none"/>
              </w:tabs>
              <w:spacing w:line="241" w:lineRule="exact"/>
              <w:rPr>
                <w:sz w:val="22"/>
              </w:rPr>
            </w:pPr>
            <w:r>
              <w:rPr>
                <w:sz w:val="22"/>
              </w:rPr>
              <w:t>Magno</w:t>
              <w:tab/>
              <w:t>de</w:t>
            </w:r>
          </w:p>
        </w:tc>
        <w:tc>
          <w:tcPr>
            <w:tcW w:w="1418" w:type="dxa"/>
            <w:tcBorders>
              <w:top w:val="nil"/>
              <w:bottom w:val="nil"/>
            </w:tcBorders>
          </w:tcPr>
          <w:p>
            <w:pPr>
              <w:pStyle w:val="TableParagraph"/>
              <w:spacing w:line="241" w:lineRule="exact"/>
              <w:ind w:left="102" w:right="102"/>
              <w:jc w:val="center"/>
              <w:rPr>
                <w:sz w:val="22"/>
              </w:rPr>
            </w:pPr>
            <w:r>
              <w:rPr>
                <w:sz w:val="22"/>
              </w:rPr>
              <w:t>el ganado</w:t>
            </w:r>
          </w:p>
        </w:tc>
        <w:tc>
          <w:tcPr>
            <w:tcW w:w="1841" w:type="dxa"/>
            <w:tcBorders>
              <w:top w:val="nil"/>
              <w:bottom w:val="nil"/>
            </w:tcBorders>
          </w:tcPr>
          <w:p>
            <w:pPr>
              <w:pStyle w:val="TableParagraph"/>
              <w:spacing w:line="241" w:lineRule="exact"/>
              <w:ind w:left="100"/>
              <w:rPr>
                <w:sz w:val="22"/>
              </w:rPr>
            </w:pPr>
            <w:r>
              <w:rPr>
                <w:sz w:val="22"/>
              </w:rPr>
              <w:t>ganaderos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spacing w:line="241" w:lineRule="exact"/>
              <w:rPr>
                <w:sz w:val="22"/>
              </w:rPr>
            </w:pPr>
            <w:r>
              <w:rPr>
                <w:sz w:val="22"/>
              </w:rPr>
              <w:t>participación</w:t>
            </w:r>
          </w:p>
        </w:tc>
        <w:tc>
          <w:tcPr>
            <w:tcW w:w="1985" w:type="dxa"/>
            <w:tcBorders>
              <w:top w:val="nil"/>
              <w:bottom w:val="nil"/>
            </w:tcBorders>
          </w:tcPr>
          <w:p>
            <w:pPr>
              <w:pStyle w:val="TableParagraph"/>
              <w:tabs>
                <w:tab w:pos="1628" w:val="left" w:leader="none"/>
              </w:tabs>
              <w:spacing w:line="241" w:lineRule="exact"/>
              <w:rPr>
                <w:sz w:val="22"/>
              </w:rPr>
            </w:pPr>
            <w:r>
              <w:rPr>
                <w:sz w:val="22"/>
              </w:rPr>
              <w:t>participación</w:t>
              <w:tab/>
              <w:t>de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la Cruz</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(No  recuerdo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w:t>
            </w:r>
          </w:p>
        </w:tc>
        <w:tc>
          <w:tcPr>
            <w:tcW w:w="1133" w:type="dxa"/>
            <w:tcBorders>
              <w:top w:val="nil"/>
              <w:bottom w:val="nil"/>
            </w:tcBorders>
          </w:tcPr>
          <w:p>
            <w:pPr>
              <w:pStyle w:val="TableParagraph"/>
              <w:spacing w:line="242" w:lineRule="exact"/>
              <w:ind w:left="100" w:right="52"/>
              <w:rPr>
                <w:sz w:val="22"/>
              </w:rPr>
            </w:pPr>
            <w:r>
              <w:rPr>
                <w:sz w:val="22"/>
              </w:rPr>
              <w:t>na,</w:t>
            </w:r>
          </w:p>
        </w:tc>
        <w:tc>
          <w:tcPr>
            <w:tcW w:w="1702" w:type="dxa"/>
            <w:tcBorders>
              <w:top w:val="nil"/>
              <w:bottom w:val="nil"/>
            </w:tcBorders>
          </w:tcPr>
          <w:p>
            <w:pPr>
              <w:pStyle w:val="TableParagraph"/>
              <w:tabs>
                <w:tab w:pos="669" w:val="left" w:leader="none"/>
                <w:tab w:pos="1417" w:val="left" w:leader="none"/>
              </w:tabs>
              <w:spacing w:line="242" w:lineRule="exact"/>
              <w:rPr>
                <w:sz w:val="22"/>
              </w:rPr>
            </w:pPr>
            <w:r>
              <w:rPr>
                <w:sz w:val="22"/>
              </w:rPr>
              <w:t>de</w:t>
              <w:tab/>
              <w:t>toda</w:t>
              <w:tab/>
              <w:t>la</w:t>
            </w:r>
          </w:p>
        </w:tc>
        <w:tc>
          <w:tcPr>
            <w:tcW w:w="1985" w:type="dxa"/>
            <w:tcBorders>
              <w:top w:val="nil"/>
              <w:bottom w:val="nil"/>
            </w:tcBorders>
          </w:tcPr>
          <w:p>
            <w:pPr>
              <w:pStyle w:val="TableParagraph"/>
              <w:spacing w:line="242" w:lineRule="exact"/>
              <w:rPr>
                <w:sz w:val="22"/>
              </w:rPr>
            </w:pPr>
            <w:r>
              <w:rPr>
                <w:sz w:val="22"/>
              </w:rPr>
              <w:t>toda  la población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(17/I/2015)</w:t>
            </w:r>
          </w:p>
        </w:tc>
        <w:tc>
          <w:tcPr>
            <w:tcW w:w="1418" w:type="dxa"/>
            <w:tcBorders>
              <w:top w:val="nil"/>
              <w:bottom w:val="nil"/>
            </w:tcBorders>
          </w:tcPr>
          <w:p>
            <w:pPr/>
          </w:p>
        </w:tc>
        <w:tc>
          <w:tcPr>
            <w:tcW w:w="1841" w:type="dxa"/>
            <w:tcBorders>
              <w:top w:val="nil"/>
              <w:bottom w:val="nil"/>
            </w:tcBorders>
          </w:tcPr>
          <w:p>
            <w:pPr>
              <w:pStyle w:val="TableParagraph"/>
              <w:tabs>
                <w:tab w:pos="1533" w:val="left" w:leader="none"/>
              </w:tabs>
              <w:spacing w:line="241" w:lineRule="exact"/>
              <w:ind w:left="100"/>
              <w:rPr>
                <w:sz w:val="22"/>
              </w:rPr>
            </w:pPr>
            <w:r>
              <w:rPr>
                <w:sz w:val="22"/>
              </w:rPr>
              <w:t>nombre)</w:t>
              <w:tab/>
              <w:t>(8</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población.</w:t>
            </w:r>
          </w:p>
        </w:tc>
        <w:tc>
          <w:tcPr>
            <w:tcW w:w="1985" w:type="dxa"/>
            <w:tcBorders>
              <w:top w:val="nil"/>
              <w:bottom w:val="nil"/>
            </w:tcBorders>
          </w:tcPr>
          <w:p>
            <w:pPr>
              <w:pStyle w:val="TableParagraph"/>
              <w:spacing w:line="241" w:lineRule="exact"/>
              <w:rPr>
                <w:sz w:val="22"/>
              </w:rPr>
            </w:pPr>
            <w:r>
              <w:rPr>
                <w:sz w:val="22"/>
              </w:rPr>
              <w:t>porque  ya  no  se</w:t>
            </w: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2" w:lineRule="exact"/>
              <w:ind w:left="100"/>
              <w:rPr>
                <w:sz w:val="22"/>
              </w:rPr>
            </w:pPr>
            <w:r>
              <w:rPr>
                <w:sz w:val="22"/>
              </w:rPr>
              <w:t>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2" w:lineRule="exact"/>
              <w:rPr>
                <w:sz w:val="22"/>
              </w:rPr>
            </w:pPr>
            <w:r>
              <w:rPr>
                <w:sz w:val="22"/>
              </w:rPr>
              <w:t>puede vivir así.</w:t>
            </w:r>
          </w:p>
        </w:tc>
      </w:tr>
      <w:tr>
        <w:trPr>
          <w:trHeight w:val="268" w:hRule="exact"/>
        </w:trPr>
        <w:tc>
          <w:tcPr>
            <w:tcW w:w="1385" w:type="dxa"/>
            <w:tcBorders>
              <w:bottom w:val="nil"/>
            </w:tcBorders>
          </w:tcPr>
          <w:p>
            <w:pPr>
              <w:pStyle w:val="TableParagraph"/>
              <w:spacing w:line="251" w:lineRule="exact"/>
              <w:ind w:right="127"/>
              <w:rPr>
                <w:sz w:val="22"/>
              </w:rPr>
            </w:pPr>
            <w:r>
              <w:rPr>
                <w:sz w:val="22"/>
              </w:rPr>
              <w:t>Eligio</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Cooperativa   de</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tabs>
                <w:tab w:pos="1221" w:val="left" w:leader="none"/>
              </w:tabs>
              <w:spacing w:line="251" w:lineRule="exact"/>
              <w:rPr>
                <w:sz w:val="22"/>
              </w:rPr>
            </w:pPr>
            <w:r>
              <w:rPr>
                <w:sz w:val="22"/>
              </w:rPr>
              <w:t>Con</w:t>
              <w:tab/>
              <w:t>una</w:t>
            </w:r>
          </w:p>
        </w:tc>
        <w:tc>
          <w:tcPr>
            <w:tcW w:w="1985" w:type="dxa"/>
            <w:tcBorders>
              <w:bottom w:val="nil"/>
            </w:tcBorders>
          </w:tcPr>
          <w:p>
            <w:pPr>
              <w:pStyle w:val="TableParagraph"/>
              <w:spacing w:line="251" w:lineRule="exact"/>
              <w:rPr>
                <w:sz w:val="22"/>
              </w:rPr>
            </w:pPr>
            <w:r>
              <w:rPr>
                <w:sz w:val="22"/>
              </w:rPr>
              <w:t>Los gobernantes.</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García</w:t>
            </w:r>
          </w:p>
        </w:tc>
        <w:tc>
          <w:tcPr>
            <w:tcW w:w="1418" w:type="dxa"/>
            <w:tcBorders>
              <w:top w:val="nil"/>
              <w:bottom w:val="nil"/>
            </w:tcBorders>
          </w:tcPr>
          <w:p>
            <w:pPr>
              <w:pStyle w:val="TableParagraph"/>
              <w:spacing w:line="243" w:lineRule="exact"/>
              <w:ind w:left="102" w:right="102"/>
              <w:jc w:val="center"/>
              <w:rPr>
                <w:sz w:val="22"/>
              </w:rPr>
            </w:pPr>
            <w:r>
              <w:rPr>
                <w:sz w:val="22"/>
              </w:rPr>
              <w:t>el ganado</w:t>
            </w:r>
          </w:p>
        </w:tc>
        <w:tc>
          <w:tcPr>
            <w:tcW w:w="1841" w:type="dxa"/>
            <w:tcBorders>
              <w:top w:val="nil"/>
              <w:bottom w:val="nil"/>
            </w:tcBorders>
          </w:tcPr>
          <w:p>
            <w:pPr>
              <w:pStyle w:val="TableParagraph"/>
              <w:spacing w:line="243" w:lineRule="exact"/>
              <w:ind w:left="100"/>
              <w:rPr>
                <w:sz w:val="22"/>
              </w:rPr>
            </w:pPr>
            <w:r>
              <w:rPr>
                <w:sz w:val="22"/>
              </w:rPr>
              <w:t>Ganaderos “Los</w:t>
            </w:r>
          </w:p>
        </w:tc>
        <w:tc>
          <w:tcPr>
            <w:tcW w:w="1135" w:type="dxa"/>
            <w:tcBorders>
              <w:top w:val="nil"/>
              <w:bottom w:val="nil"/>
            </w:tcBorders>
          </w:tcPr>
          <w:p>
            <w:pPr>
              <w:pStyle w:val="TableParagraph"/>
              <w:spacing w:line="243" w:lineRule="exact"/>
              <w:rPr>
                <w:sz w:val="22"/>
              </w:rPr>
            </w:pPr>
            <w:r>
              <w:rPr>
                <w:w w:val="100"/>
                <w:sz w:val="22"/>
              </w:rPr>
              <w:t>e</w:t>
            </w:r>
          </w:p>
        </w:tc>
        <w:tc>
          <w:tcPr>
            <w:tcW w:w="991" w:type="dxa"/>
            <w:tcBorders>
              <w:top w:val="nil"/>
              <w:bottom w:val="nil"/>
            </w:tcBorders>
          </w:tcPr>
          <w:p>
            <w:pPr>
              <w:pStyle w:val="TableParagraph"/>
              <w:spacing w:line="243" w:lineRule="exact"/>
              <w:ind w:left="100"/>
              <w:rPr>
                <w:sz w:val="22"/>
              </w:rPr>
            </w:pPr>
            <w:r>
              <w:rPr>
                <w:w w:val="100"/>
                <w:sz w:val="22"/>
              </w:rPr>
              <w:t>n</w:t>
            </w:r>
          </w:p>
        </w:tc>
        <w:tc>
          <w:tcPr>
            <w:tcW w:w="1277" w:type="dxa"/>
            <w:tcBorders>
              <w:top w:val="nil"/>
              <w:bottom w:val="nil"/>
            </w:tcBorders>
          </w:tcPr>
          <w:p>
            <w:pPr>
              <w:pStyle w:val="TableParagraph"/>
              <w:spacing w:line="243" w:lineRule="exact"/>
              <w:ind w:right="92"/>
              <w:rPr>
                <w:sz w:val="22"/>
              </w:rPr>
            </w:pPr>
            <w:r>
              <w:rPr>
                <w:sz w:val="22"/>
              </w:rPr>
              <w:t>, Timilpan</w:t>
            </w:r>
          </w:p>
        </w:tc>
        <w:tc>
          <w:tcPr>
            <w:tcW w:w="1133" w:type="dxa"/>
            <w:tcBorders>
              <w:top w:val="nil"/>
              <w:bottom w:val="nil"/>
            </w:tcBorders>
          </w:tcPr>
          <w:p>
            <w:pPr>
              <w:pStyle w:val="TableParagraph"/>
              <w:spacing w:line="243" w:lineRule="exact"/>
              <w:ind w:left="100" w:right="52"/>
              <w:rPr>
                <w:sz w:val="22"/>
              </w:rPr>
            </w:pPr>
            <w:r>
              <w:rPr>
                <w:sz w:val="22"/>
              </w:rPr>
              <w:t>o,</w:t>
            </w:r>
          </w:p>
        </w:tc>
        <w:tc>
          <w:tcPr>
            <w:tcW w:w="1702" w:type="dxa"/>
            <w:tcBorders>
              <w:top w:val="nil"/>
              <w:bottom w:val="nil"/>
            </w:tcBorders>
          </w:tcPr>
          <w:p>
            <w:pPr>
              <w:pStyle w:val="TableParagraph"/>
              <w:spacing w:line="243" w:lineRule="exact"/>
              <w:rPr>
                <w:sz w:val="22"/>
              </w:rPr>
            </w:pPr>
            <w:r>
              <w:rPr>
                <w:sz w:val="22"/>
              </w:rPr>
              <w:t>tratadora.</w:t>
            </w:r>
          </w:p>
        </w:tc>
        <w:tc>
          <w:tcPr>
            <w:tcW w:w="1985"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Tolines”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
        </w:tc>
        <w:tc>
          <w:tcPr>
            <w:tcW w:w="1985" w:type="dxa"/>
            <w:tcBorders>
              <w:top w:val="nil"/>
              <w:bottom w:val="nil"/>
            </w:tcBorders>
          </w:tcPr>
          <w:p>
            <w:pPr/>
          </w:p>
        </w:tc>
      </w:tr>
      <w:tr>
        <w:trPr>
          <w:trHeight w:val="502" w:hRule="exact"/>
        </w:trPr>
        <w:tc>
          <w:tcPr>
            <w:tcW w:w="1385" w:type="dxa"/>
            <w:tcBorders>
              <w:top w:val="nil"/>
            </w:tcBorders>
          </w:tcPr>
          <w:p>
            <w:pPr>
              <w:pStyle w:val="TableParagraph"/>
              <w:spacing w:line="241" w:lineRule="exact"/>
              <w:ind w:right="127"/>
              <w:rPr>
                <w:sz w:val="22"/>
              </w:rPr>
            </w:pPr>
            <w:r>
              <w:rPr>
                <w:sz w:val="22"/>
              </w:rPr>
              <w:t>(18/I/2015)</w:t>
            </w: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(19 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2117" w:right="397"/>
      </w:pPr>
      <w:r>
        <w:rPr/>
        <w:t>Tabla 6.4. Ganaderos en los municipios de Jilotepec y Timilpan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4"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Autogestión</w:t>
            </w:r>
          </w:p>
        </w:tc>
        <w:tc>
          <w:tcPr>
            <w:tcW w:w="1985" w:type="dxa"/>
            <w:shd w:val="clear" w:color="auto" w:fill="92CDDC"/>
          </w:tcPr>
          <w:p>
            <w:pPr>
              <w:pStyle w:val="TableParagraph"/>
              <w:spacing w:line="251" w:lineRule="exact"/>
              <w:rPr>
                <w:b/>
                <w:i/>
                <w:sz w:val="22"/>
              </w:rPr>
            </w:pPr>
            <w:r>
              <w:rPr>
                <w:b/>
                <w:i/>
                <w:sz w:val="22"/>
              </w:rPr>
              <w:t>Cultura</w:t>
            </w:r>
          </w:p>
        </w:tc>
      </w:tr>
      <w:tr>
        <w:trPr>
          <w:trHeight w:val="264"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9" w:lineRule="exact"/>
              <w:ind w:left="100"/>
              <w:rPr>
                <w:b/>
                <w:sz w:val="22"/>
              </w:rPr>
            </w:pPr>
            <w:r>
              <w:rPr>
                <w:b/>
                <w:sz w:val="22"/>
              </w:rPr>
              <w:t>Cooperativa/</w:t>
            </w:r>
          </w:p>
        </w:tc>
        <w:tc>
          <w:tcPr>
            <w:tcW w:w="1135" w:type="dxa"/>
            <w:tcBorders>
              <w:bottom w:val="nil"/>
            </w:tcBorders>
            <w:shd w:val="clear" w:color="auto" w:fill="F9BE8F"/>
          </w:tcPr>
          <w:p>
            <w:pPr>
              <w:pStyle w:val="TableParagraph"/>
              <w:tabs>
                <w:tab w:pos="765" w:val="left" w:leader="none"/>
              </w:tabs>
              <w:spacing w:line="249" w:lineRule="exact"/>
              <w:rPr>
                <w:b/>
                <w:sz w:val="22"/>
              </w:rPr>
            </w:pPr>
            <w:r>
              <w:rPr>
                <w:b/>
                <w:sz w:val="22"/>
              </w:rPr>
              <w:t>Se</w:t>
              <w:tab/>
              <w:t>ha</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9" w:lineRule="exact"/>
              <w:rPr>
                <w:b/>
                <w:sz w:val="22"/>
              </w:rPr>
            </w:pPr>
            <w:r>
              <w:rPr>
                <w:b/>
                <w:sz w:val="22"/>
              </w:rPr>
              <w:t>¿Considera</w:t>
            </w:r>
          </w:p>
        </w:tc>
        <w:tc>
          <w:tcPr>
            <w:tcW w:w="1985" w:type="dxa"/>
            <w:tcBorders>
              <w:bottom w:val="nil"/>
            </w:tcBorders>
            <w:shd w:val="clear" w:color="auto" w:fill="92CDDC"/>
          </w:tcPr>
          <w:p>
            <w:pPr>
              <w:pStyle w:val="TableParagraph"/>
              <w:spacing w:line="249" w:lineRule="exact"/>
              <w:rPr>
                <w:b/>
                <w:sz w:val="22"/>
              </w:rPr>
            </w:pPr>
            <w:r>
              <w:rPr>
                <w:b/>
                <w:sz w:val="22"/>
              </w:rPr>
              <w:t>¿Considera  que</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Asociación de</w:t>
            </w:r>
          </w:p>
        </w:tc>
        <w:tc>
          <w:tcPr>
            <w:tcW w:w="1135" w:type="dxa"/>
            <w:tcBorders>
              <w:top w:val="nil"/>
              <w:bottom w:val="nil"/>
            </w:tcBorders>
            <w:shd w:val="clear" w:color="auto" w:fill="F9BE8F"/>
          </w:tcPr>
          <w:p>
            <w:pPr>
              <w:pStyle w:val="TableParagraph"/>
              <w:spacing w:line="241" w:lineRule="exact"/>
              <w:rPr>
                <w:b/>
                <w:sz w:val="22"/>
              </w:rPr>
            </w:pPr>
            <w:r>
              <w:rPr>
                <w:b/>
                <w:sz w:val="22"/>
              </w:rPr>
              <w:t>deterior</w:t>
            </w: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importante  la</w:t>
            </w:r>
          </w:p>
        </w:tc>
        <w:tc>
          <w:tcPr>
            <w:tcW w:w="1985" w:type="dxa"/>
            <w:tcBorders>
              <w:top w:val="nil"/>
              <w:bottom w:val="nil"/>
            </w:tcBorders>
            <w:shd w:val="clear" w:color="auto" w:fill="92CDDC"/>
          </w:tcPr>
          <w:p>
            <w:pPr>
              <w:pStyle w:val="TableParagraph"/>
              <w:tabs>
                <w:tab w:pos="597" w:val="left" w:leader="none"/>
                <w:tab w:pos="1616" w:val="left" w:leader="none"/>
              </w:tabs>
              <w:spacing w:line="241" w:lineRule="exact"/>
              <w:rPr>
                <w:b/>
                <w:sz w:val="22"/>
              </w:rPr>
            </w:pPr>
            <w:r>
              <w:rPr>
                <w:b/>
                <w:sz w:val="22"/>
              </w:rPr>
              <w:t>la</w:t>
              <w:tab/>
              <w:t>laguna</w:t>
              <w:tab/>
              <w:t>de</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Ganaderos y</w:t>
            </w:r>
          </w:p>
        </w:tc>
        <w:tc>
          <w:tcPr>
            <w:tcW w:w="1135" w:type="dxa"/>
            <w:tcBorders>
              <w:top w:val="nil"/>
              <w:bottom w:val="nil"/>
            </w:tcBorders>
            <w:shd w:val="clear" w:color="auto" w:fill="F9BE8F"/>
          </w:tcPr>
          <w:p>
            <w:pPr>
              <w:pStyle w:val="TableParagraph"/>
              <w:tabs>
                <w:tab w:pos="839" w:val="left" w:leader="none"/>
              </w:tabs>
              <w:spacing w:line="242" w:lineRule="exact"/>
              <w:rPr>
                <w:b/>
                <w:sz w:val="22"/>
              </w:rPr>
            </w:pPr>
            <w:r>
              <w:rPr>
                <w:b/>
                <w:sz w:val="22"/>
              </w:rPr>
              <w:t>ado</w:t>
              <w:tab/>
              <w:t>la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3" w:val="left" w:leader="none"/>
              </w:tabs>
              <w:spacing w:line="242" w:lineRule="exact"/>
              <w:rPr>
                <w:b/>
                <w:sz w:val="22"/>
              </w:rPr>
            </w:pPr>
            <w:r>
              <w:rPr>
                <w:b/>
                <w:sz w:val="22"/>
              </w:rPr>
              <w:t>laguna</w:t>
              <w:tab/>
              <w:t>de</w:t>
            </w:r>
          </w:p>
        </w:tc>
        <w:tc>
          <w:tcPr>
            <w:tcW w:w="1985" w:type="dxa"/>
            <w:tcBorders>
              <w:top w:val="nil"/>
              <w:bottom w:val="nil"/>
            </w:tcBorders>
            <w:shd w:val="clear" w:color="auto" w:fill="92CDDC"/>
          </w:tcPr>
          <w:p>
            <w:pPr>
              <w:pStyle w:val="TableParagraph"/>
              <w:spacing w:line="242" w:lineRule="exact"/>
              <w:rPr>
                <w:b/>
                <w:sz w:val="22"/>
              </w:rPr>
            </w:pPr>
            <w:r>
              <w:rPr>
                <w:b/>
                <w:sz w:val="22"/>
              </w:rPr>
              <w:t>Huapango  se ha</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Número de</w:t>
            </w:r>
          </w:p>
        </w:tc>
        <w:tc>
          <w:tcPr>
            <w:tcW w:w="1135" w:type="dxa"/>
            <w:tcBorders>
              <w:top w:val="nil"/>
              <w:bottom w:val="nil"/>
            </w:tcBorders>
            <w:shd w:val="clear" w:color="auto" w:fill="F9BE8F"/>
          </w:tcPr>
          <w:p>
            <w:pPr>
              <w:pStyle w:val="TableParagraph"/>
              <w:spacing w:line="241" w:lineRule="exact"/>
              <w:rPr>
                <w:b/>
                <w:sz w:val="22"/>
              </w:rPr>
            </w:pPr>
            <w:r>
              <w:rPr>
                <w:b/>
                <w:sz w:val="22"/>
              </w:rPr>
              <w:t>laguna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Huapango</w:t>
            </w:r>
          </w:p>
        </w:tc>
        <w:tc>
          <w:tcPr>
            <w:tcW w:w="1985" w:type="dxa"/>
            <w:tcBorders>
              <w:top w:val="nil"/>
              <w:bottom w:val="nil"/>
            </w:tcBorders>
            <w:shd w:val="clear" w:color="auto" w:fill="92CDDC"/>
          </w:tcPr>
          <w:p>
            <w:pPr>
              <w:pStyle w:val="TableParagraph"/>
              <w:spacing w:line="241" w:lineRule="exact"/>
              <w:rPr>
                <w:b/>
                <w:sz w:val="22"/>
              </w:rPr>
            </w:pPr>
            <w:r>
              <w:rPr>
                <w:b/>
                <w:sz w:val="22"/>
              </w:rPr>
              <w:t>deteriorado  con</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bottom w:val="nil"/>
            </w:tcBorders>
            <w:shd w:val="clear" w:color="auto" w:fill="F9BE8F"/>
          </w:tcPr>
          <w:p>
            <w:pPr>
              <w:pStyle w:val="TableParagraph"/>
              <w:spacing w:line="241" w:lineRule="exact"/>
              <w:rPr>
                <w:b/>
                <w:sz w:val="22"/>
              </w:rPr>
            </w:pPr>
            <w:r>
              <w:rPr>
                <w:b/>
                <w:sz w:val="22"/>
              </w:rPr>
              <w:t>de</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4" w:val="left" w:leader="none"/>
              </w:tabs>
              <w:spacing w:line="241" w:lineRule="exact"/>
              <w:rPr>
                <w:b/>
                <w:sz w:val="22"/>
              </w:rPr>
            </w:pPr>
            <w:r>
              <w:rPr>
                <w:b/>
                <w:sz w:val="22"/>
              </w:rPr>
              <w:t>para</w:t>
              <w:tab/>
              <w:t>su</w:t>
            </w:r>
          </w:p>
        </w:tc>
        <w:tc>
          <w:tcPr>
            <w:tcW w:w="1985" w:type="dxa"/>
            <w:tcBorders>
              <w:top w:val="nil"/>
              <w:bottom w:val="nil"/>
            </w:tcBorders>
            <w:shd w:val="clear" w:color="auto" w:fill="92CDDC"/>
          </w:tcPr>
          <w:p>
            <w:pPr>
              <w:pStyle w:val="TableParagraph"/>
              <w:spacing w:line="241" w:lineRule="exact"/>
              <w:rPr>
                <w:b/>
                <w:sz w:val="22"/>
              </w:rPr>
            </w:pPr>
            <w:r>
              <w:rPr>
                <w:b/>
                <w:sz w:val="22"/>
              </w:rPr>
              <w:t>el tiempo?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Style w:val="TableParagraph"/>
              <w:spacing w:line="242" w:lineRule="exact"/>
              <w:rPr>
                <w:b/>
                <w:sz w:val="22"/>
              </w:rPr>
            </w:pPr>
            <w:r>
              <w:rPr>
                <w:b/>
                <w:sz w:val="22"/>
              </w:rPr>
              <w:t>Huapan</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comunidad   y</w:t>
            </w:r>
          </w:p>
        </w:tc>
        <w:tc>
          <w:tcPr>
            <w:tcW w:w="1985"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Style w:val="TableParagraph"/>
              <w:spacing w:line="241" w:lineRule="exact"/>
              <w:rPr>
                <w:b/>
                <w:sz w:val="22"/>
              </w:rPr>
            </w:pPr>
            <w:r>
              <w:rPr>
                <w:b/>
                <w:sz w:val="22"/>
              </w:rPr>
              <w:t>go</w:t>
            </w: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1" w:lineRule="exact"/>
              <w:rPr>
                <w:b/>
                <w:sz w:val="22"/>
              </w:rPr>
            </w:pPr>
            <w:r>
              <w:rPr>
                <w:b/>
                <w:sz w:val="22"/>
              </w:rPr>
              <w:t>la región?</w:t>
            </w:r>
          </w:p>
        </w:tc>
        <w:tc>
          <w:tcPr>
            <w:tcW w:w="1985"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Servando</w:t>
            </w:r>
          </w:p>
        </w:tc>
        <w:tc>
          <w:tcPr>
            <w:tcW w:w="1418" w:type="dxa"/>
            <w:tcBorders>
              <w:bottom w:val="nil"/>
            </w:tcBorders>
          </w:tcPr>
          <w:p>
            <w:pPr>
              <w:pStyle w:val="TableParagraph"/>
              <w:spacing w:line="251" w:lineRule="exact"/>
              <w:ind w:left="100" w:right="101"/>
              <w:rPr>
                <w:sz w:val="22"/>
              </w:rPr>
            </w:pPr>
            <w:r>
              <w:rPr>
                <w:sz w:val="22"/>
              </w:rPr>
              <w:t>Campesino</w:t>
            </w:r>
          </w:p>
        </w:tc>
        <w:tc>
          <w:tcPr>
            <w:tcW w:w="1841" w:type="dxa"/>
            <w:tcBorders>
              <w:bottom w:val="nil"/>
            </w:tcBorders>
          </w:tcPr>
          <w:p>
            <w:pPr>
              <w:pStyle w:val="TableParagraph"/>
              <w:spacing w:line="251" w:lineRule="exact"/>
              <w:ind w:left="100"/>
              <w:rPr>
                <w:sz w:val="22"/>
              </w:rPr>
            </w:pPr>
            <w:r>
              <w:rPr>
                <w:sz w:val="22"/>
              </w:rPr>
              <w:t>Asociación</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928" w:val="left" w:leader="none"/>
              </w:tabs>
              <w:spacing w:line="251" w:lineRule="exact"/>
              <w:rPr>
                <w:sz w:val="22"/>
              </w:rPr>
            </w:pPr>
            <w:r>
              <w:rPr>
                <w:sz w:val="22"/>
              </w:rPr>
              <w:t>La</w:t>
              <w:tab/>
              <w:t>laguna</w:t>
            </w:r>
          </w:p>
        </w:tc>
        <w:tc>
          <w:tcPr>
            <w:tcW w:w="1985" w:type="dxa"/>
            <w:tcBorders>
              <w:bottom w:val="nil"/>
            </w:tcBorders>
          </w:tcPr>
          <w:p>
            <w:pPr>
              <w:pStyle w:val="TableParagraph"/>
              <w:spacing w:line="251" w:lineRule="exact"/>
              <w:rPr>
                <w:sz w:val="22"/>
              </w:rPr>
            </w:pPr>
            <w:r>
              <w:rPr>
                <w:sz w:val="22"/>
              </w:rPr>
              <w:t>La   laguna   sí se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Style w:val="TableParagraph"/>
              <w:spacing w:line="241" w:lineRule="exact"/>
              <w:ind w:left="100" w:right="101"/>
              <w:rPr>
                <w:sz w:val="22"/>
              </w:rPr>
            </w:pPr>
            <w:r>
              <w:rPr>
                <w:sz w:val="22"/>
              </w:rPr>
              <w:t>y ganadero</w:t>
            </w:r>
          </w:p>
        </w:tc>
        <w:tc>
          <w:tcPr>
            <w:tcW w:w="1841" w:type="dxa"/>
            <w:tcBorders>
              <w:top w:val="nil"/>
              <w:bottom w:val="nil"/>
            </w:tcBorders>
          </w:tcPr>
          <w:p>
            <w:pPr>
              <w:pStyle w:val="TableParagraph"/>
              <w:spacing w:line="241" w:lineRule="exact"/>
              <w:ind w:left="100"/>
              <w:rPr>
                <w:sz w:val="22"/>
              </w:rPr>
            </w:pPr>
            <w:r>
              <w:rPr>
                <w:sz w:val="22"/>
              </w:rPr>
              <w:t>Ganadera Local</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tabs>
                <w:tab w:pos="1357" w:val="left" w:leader="none"/>
              </w:tabs>
              <w:spacing w:line="241" w:lineRule="exact"/>
              <w:rPr>
                <w:sz w:val="22"/>
              </w:rPr>
            </w:pPr>
            <w:r>
              <w:rPr>
                <w:sz w:val="22"/>
              </w:rPr>
              <w:t>Huapango</w:t>
              <w:tab/>
              <w:t>es</w:t>
            </w:r>
          </w:p>
        </w:tc>
        <w:tc>
          <w:tcPr>
            <w:tcW w:w="1985" w:type="dxa"/>
            <w:tcBorders>
              <w:top w:val="nil"/>
              <w:bottom w:val="nil"/>
            </w:tcBorders>
          </w:tcPr>
          <w:p>
            <w:pPr>
              <w:pStyle w:val="TableParagraph"/>
              <w:tabs>
                <w:tab w:pos="760" w:val="left" w:leader="none"/>
              </w:tabs>
              <w:spacing w:line="241" w:lineRule="exact"/>
              <w:rPr>
                <w:sz w:val="22"/>
              </w:rPr>
            </w:pPr>
            <w:r>
              <w:rPr>
                <w:sz w:val="22"/>
              </w:rPr>
              <w:t>ha</w:t>
              <w:tab/>
              <w:t>deteriorado</w:t>
            </w:r>
          </w:p>
        </w:tc>
      </w:tr>
      <w:tr>
        <w:trPr>
          <w:trHeight w:val="254"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General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spacing w:line="242" w:lineRule="exact"/>
              <w:rPr>
                <w:sz w:val="22"/>
              </w:rPr>
            </w:pPr>
            <w:r>
              <w:rPr>
                <w:sz w:val="22"/>
              </w:rPr>
              <w:t>importante</w:t>
            </w:r>
          </w:p>
        </w:tc>
        <w:tc>
          <w:tcPr>
            <w:tcW w:w="1985" w:type="dxa"/>
            <w:tcBorders>
              <w:top w:val="nil"/>
              <w:bottom w:val="nil"/>
            </w:tcBorders>
          </w:tcPr>
          <w:p>
            <w:pPr>
              <w:pStyle w:val="TableParagraph"/>
              <w:tabs>
                <w:tab w:pos="750" w:val="left" w:leader="none"/>
                <w:tab w:pos="1211" w:val="left" w:leader="none"/>
              </w:tabs>
              <w:spacing w:line="242" w:lineRule="exact"/>
              <w:rPr>
                <w:sz w:val="22"/>
              </w:rPr>
            </w:pPr>
            <w:r>
              <w:rPr>
                <w:sz w:val="22"/>
              </w:rPr>
              <w:t>con</w:t>
              <w:tab/>
              <w:t>el</w:t>
              <w:tab/>
              <w:t>tiempo</w:t>
            </w:r>
          </w:p>
        </w:tc>
      </w:tr>
      <w:tr>
        <w:trPr>
          <w:trHeight w:val="252"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Municipio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5" w:val="left" w:leader="none"/>
              </w:tabs>
              <w:spacing w:line="241" w:lineRule="exact"/>
              <w:rPr>
                <w:sz w:val="22"/>
              </w:rPr>
            </w:pPr>
            <w:r>
              <w:rPr>
                <w:sz w:val="22"/>
              </w:rPr>
              <w:t>para</w:t>
              <w:tab/>
              <w:t>mi</w:t>
            </w:r>
          </w:p>
        </w:tc>
        <w:tc>
          <w:tcPr>
            <w:tcW w:w="1985" w:type="dxa"/>
            <w:tcBorders>
              <w:top w:val="nil"/>
              <w:bottom w:val="nil"/>
            </w:tcBorders>
          </w:tcPr>
          <w:p>
            <w:pPr>
              <w:pStyle w:val="TableParagraph"/>
              <w:spacing w:line="241" w:lineRule="exact"/>
              <w:rPr>
                <w:sz w:val="22"/>
              </w:rPr>
            </w:pPr>
            <w:r>
              <w:rPr>
                <w:sz w:val="22"/>
              </w:rPr>
              <w:t>porque   antes  se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Jilotepec</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comunidad y la</w:t>
            </w:r>
          </w:p>
        </w:tc>
        <w:tc>
          <w:tcPr>
            <w:tcW w:w="1985" w:type="dxa"/>
            <w:tcBorders>
              <w:top w:val="nil"/>
              <w:bottom w:val="nil"/>
            </w:tcBorders>
          </w:tcPr>
          <w:p>
            <w:pPr>
              <w:pStyle w:val="TableParagraph"/>
              <w:spacing w:line="241" w:lineRule="exact"/>
              <w:rPr>
                <w:sz w:val="22"/>
              </w:rPr>
            </w:pPr>
            <w:r>
              <w:rPr>
                <w:sz w:val="22"/>
              </w:rPr>
              <w:t>bañaban  y</w:t>
            </w:r>
            <w:r>
              <w:rPr>
                <w:spacing w:val="51"/>
                <w:sz w:val="22"/>
              </w:rPr>
              <w:t> </w:t>
            </w:r>
            <w:r>
              <w:rPr>
                <w:sz w:val="22"/>
              </w:rPr>
              <w:t>ahora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región   por   el</w:t>
            </w:r>
          </w:p>
        </w:tc>
        <w:tc>
          <w:tcPr>
            <w:tcW w:w="1985" w:type="dxa"/>
            <w:tcBorders>
              <w:top w:val="nil"/>
              <w:bottom w:val="nil"/>
            </w:tcBorders>
          </w:tcPr>
          <w:p>
            <w:pPr>
              <w:pStyle w:val="TableParagraph"/>
              <w:spacing w:line="242" w:lineRule="exact"/>
              <w:rPr>
                <w:sz w:val="22"/>
              </w:rPr>
            </w:pPr>
            <w:r>
              <w:rPr>
                <w:sz w:val="22"/>
              </w:rPr>
              <w:t>ya  no  se  puede,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agua  para  los</w:t>
            </w:r>
          </w:p>
        </w:tc>
        <w:tc>
          <w:tcPr>
            <w:tcW w:w="1985" w:type="dxa"/>
            <w:tcBorders>
              <w:top w:val="nil"/>
              <w:bottom w:val="nil"/>
            </w:tcBorders>
          </w:tcPr>
          <w:p>
            <w:pPr>
              <w:pStyle w:val="TableParagraph"/>
              <w:spacing w:line="241" w:lineRule="exact"/>
              <w:rPr>
                <w:sz w:val="22"/>
              </w:rPr>
            </w:pPr>
            <w:r>
              <w:rPr>
                <w:sz w:val="22"/>
              </w:rPr>
              <w:t>antes   lavaban  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80" w:val="left" w:leader="none"/>
              </w:tabs>
              <w:spacing w:line="242" w:lineRule="exact"/>
              <w:rPr>
                <w:sz w:val="22"/>
              </w:rPr>
            </w:pPr>
            <w:r>
              <w:rPr>
                <w:sz w:val="22"/>
              </w:rPr>
              <w:t>animales</w:t>
              <w:tab/>
              <w:t>y</w:t>
            </w:r>
          </w:p>
        </w:tc>
        <w:tc>
          <w:tcPr>
            <w:tcW w:w="1985" w:type="dxa"/>
            <w:tcBorders>
              <w:top w:val="nil"/>
              <w:bottom w:val="nil"/>
            </w:tcBorders>
          </w:tcPr>
          <w:p>
            <w:pPr>
              <w:pStyle w:val="TableParagraph"/>
              <w:spacing w:line="242" w:lineRule="exact"/>
              <w:rPr>
                <w:sz w:val="22"/>
              </w:rPr>
            </w:pPr>
            <w:r>
              <w:rPr>
                <w:sz w:val="22"/>
              </w:rPr>
              <w:t>ahora ya no.</w:t>
            </w: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pastos.</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288" w:hRule="exact"/>
        </w:trPr>
        <w:tc>
          <w:tcPr>
            <w:tcW w:w="1385" w:type="dxa"/>
          </w:tcPr>
          <w:p>
            <w:pPr>
              <w:pStyle w:val="TableParagraph"/>
              <w:ind w:left="215" w:right="215" w:firstLine="4"/>
              <w:jc w:val="center"/>
              <w:rPr>
                <w:sz w:val="22"/>
              </w:rPr>
            </w:pPr>
            <w:r>
              <w:rPr>
                <w:sz w:val="22"/>
              </w:rPr>
              <w:t>Rufino García (2/I/2015)</w:t>
            </w:r>
          </w:p>
        </w:tc>
        <w:tc>
          <w:tcPr>
            <w:tcW w:w="1418" w:type="dxa"/>
          </w:tcPr>
          <w:p>
            <w:pPr>
              <w:pStyle w:val="TableParagraph"/>
              <w:ind w:left="100" w:right="226"/>
              <w:jc w:val="both"/>
              <w:rPr>
                <w:sz w:val="22"/>
              </w:rPr>
            </w:pPr>
            <w:r>
              <w:rPr>
                <w:sz w:val="22"/>
              </w:rPr>
              <w:t>Ganadero, agricultor y abogado</w:t>
            </w:r>
          </w:p>
        </w:tc>
        <w:tc>
          <w:tcPr>
            <w:tcW w:w="1841" w:type="dxa"/>
          </w:tcPr>
          <w:p>
            <w:pPr>
              <w:pStyle w:val="TableParagraph"/>
              <w:tabs>
                <w:tab w:pos="1434" w:val="left" w:leader="none"/>
              </w:tabs>
              <w:ind w:left="100" w:right="101"/>
              <w:rPr>
                <w:sz w:val="22"/>
              </w:rPr>
            </w:pPr>
            <w:r>
              <w:rPr>
                <w:sz w:val="22"/>
              </w:rPr>
              <w:t>Asociación Ganadera General</w:t>
              <w:tab/>
              <w:t>del</w:t>
            </w:r>
          </w:p>
          <w:p>
            <w:pPr>
              <w:pStyle w:val="TableParagraph"/>
              <w:tabs>
                <w:tab w:pos="1480" w:val="left" w:leader="none"/>
                <w:tab w:pos="1607" w:val="left" w:leader="none"/>
                <w:tab w:pos="1728" w:val="right" w:leader="none"/>
              </w:tabs>
              <w:ind w:left="100" w:right="99"/>
              <w:rPr>
                <w:sz w:val="22"/>
              </w:rPr>
            </w:pPr>
            <w:r>
              <w:rPr>
                <w:sz w:val="22"/>
              </w:rPr>
              <w:t>Municipio</w:t>
              <w:tab/>
              <w:t>de Timilpan, A.C (Representa</w:t>
              <w:tab/>
              <w:tab/>
              <w:t>a las</w:t>
              <w:tab/>
              <w:tab/>
              <w:tab/>
              <w:t> 36</w:t>
            </w:r>
          </w:p>
          <w:p>
            <w:pPr>
              <w:pStyle w:val="TableParagraph"/>
              <w:spacing w:before="1"/>
              <w:ind w:left="100" w:right="97"/>
              <w:rPr>
                <w:sz w:val="22"/>
              </w:rPr>
            </w:pPr>
            <w:r>
              <w:rPr>
                <w:sz w:val="22"/>
              </w:rPr>
              <w:t>comunidades de Timilpan)</w:t>
            </w:r>
          </w:p>
        </w:tc>
        <w:tc>
          <w:tcPr>
            <w:tcW w:w="1135" w:type="dxa"/>
          </w:tcPr>
          <w:p>
            <w:pPr>
              <w:pStyle w:val="TableParagraph"/>
              <w:spacing w:line="252" w:lineRule="exact" w:before="2"/>
              <w:ind w:right="134"/>
              <w:rPr>
                <w:sz w:val="22"/>
              </w:rPr>
            </w:pPr>
            <w:r>
              <w:rPr>
                <w:sz w:val="22"/>
              </w:rPr>
              <w:t>Presiden te</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spacing w:line="250" w:lineRule="exact"/>
              <w:ind w:right="92"/>
              <w:rPr>
                <w:sz w:val="22"/>
              </w:rPr>
            </w:pPr>
            <w:r>
              <w:rPr>
                <w:sz w:val="22"/>
              </w:rPr>
              <w:t>Huapango</w:t>
            </w:r>
          </w:p>
          <w:p>
            <w:pPr>
              <w:pStyle w:val="TableParagraph"/>
              <w:spacing w:line="252" w:lineRule="exact"/>
              <w:ind w:right="92"/>
              <w:rPr>
                <w:sz w:val="22"/>
              </w:rPr>
            </w:pPr>
            <w:r>
              <w:rPr>
                <w:sz w:val="22"/>
              </w:rPr>
              <w:t>, Timilpan</w:t>
            </w:r>
          </w:p>
        </w:tc>
        <w:tc>
          <w:tcPr>
            <w:tcW w:w="1133" w:type="dxa"/>
          </w:tcPr>
          <w:p>
            <w:pPr>
              <w:pStyle w:val="TableParagraph"/>
              <w:ind w:left="100" w:right="110"/>
              <w:rPr>
                <w:sz w:val="22"/>
              </w:rPr>
            </w:pPr>
            <w:r>
              <w:rPr>
                <w:sz w:val="22"/>
              </w:rPr>
              <w:t>Huapang o, Timilpan</w:t>
            </w:r>
          </w:p>
        </w:tc>
        <w:tc>
          <w:tcPr>
            <w:tcW w:w="1702" w:type="dxa"/>
          </w:tcPr>
          <w:p>
            <w:pPr>
              <w:pStyle w:val="TableParagraph"/>
              <w:ind w:right="125"/>
              <w:rPr>
                <w:sz w:val="22"/>
              </w:rPr>
            </w:pPr>
            <w:r>
              <w:rPr>
                <w:sz w:val="22"/>
              </w:rPr>
              <w:t>Sí porque de esa laguna vive mucha gente, por ejemplo de la cría de peces, el pastoreo del ganado.</w:t>
            </w:r>
          </w:p>
        </w:tc>
        <w:tc>
          <w:tcPr>
            <w:tcW w:w="1985" w:type="dxa"/>
          </w:tcPr>
          <w:p>
            <w:pPr>
              <w:pStyle w:val="TableParagraph"/>
              <w:tabs>
                <w:tab w:pos="633" w:val="left" w:leader="none"/>
                <w:tab w:pos="1211" w:val="left" w:leader="none"/>
                <w:tab w:pos="1640" w:val="left" w:leader="none"/>
              </w:tabs>
              <w:spacing w:line="252" w:lineRule="exact" w:before="2"/>
              <w:ind w:right="99"/>
              <w:rPr>
                <w:sz w:val="22"/>
              </w:rPr>
            </w:pPr>
            <w:r>
              <w:rPr>
                <w:sz w:val="22"/>
              </w:rPr>
              <w:t>Sí</w:t>
              <w:tab/>
              <w:t>porque</w:t>
              <w:tab/>
              <w:t>ya tiene</w:t>
              <w:tab/>
              <w:tab/>
              <w:t>mucho</w:t>
            </w:r>
          </w:p>
          <w:p>
            <w:pPr>
              <w:pStyle w:val="TableParagraph"/>
              <w:tabs>
                <w:tab w:pos="1748" w:val="left" w:leader="none"/>
              </w:tabs>
              <w:spacing w:line="250" w:lineRule="exact"/>
              <w:rPr>
                <w:sz w:val="22"/>
              </w:rPr>
            </w:pPr>
            <w:r>
              <w:rPr>
                <w:sz w:val="22"/>
              </w:rPr>
              <w:t>azolve</w:t>
              <w:tab/>
              <w:t>e</w:t>
            </w:r>
          </w:p>
          <w:p>
            <w:pPr>
              <w:pStyle w:val="TableParagraph"/>
              <w:ind w:right="838"/>
              <w:rPr>
                <w:sz w:val="22"/>
              </w:rPr>
            </w:pPr>
            <w:r>
              <w:rPr>
                <w:sz w:val="22"/>
              </w:rPr>
              <w:t>impurezas naturales.</w:t>
            </w:r>
          </w:p>
        </w:tc>
      </w:tr>
      <w:tr>
        <w:trPr>
          <w:trHeight w:val="2792" w:hRule="exact"/>
        </w:trPr>
        <w:tc>
          <w:tcPr>
            <w:tcW w:w="1385" w:type="dxa"/>
          </w:tcPr>
          <w:p>
            <w:pPr>
              <w:pStyle w:val="TableParagraph"/>
              <w:ind w:right="176"/>
              <w:rPr>
                <w:sz w:val="22"/>
              </w:rPr>
            </w:pPr>
            <w:r>
              <w:rPr>
                <w:sz w:val="22"/>
              </w:rPr>
              <w:t>Evaristo Hernández Miguel</w:t>
            </w:r>
          </w:p>
        </w:tc>
        <w:tc>
          <w:tcPr>
            <w:tcW w:w="1418" w:type="dxa"/>
          </w:tcPr>
          <w:p>
            <w:pPr>
              <w:pStyle w:val="TableParagraph"/>
              <w:spacing w:line="252" w:lineRule="exact" w:before="2"/>
              <w:ind w:left="249" w:right="113" w:hanging="123"/>
              <w:rPr>
                <w:sz w:val="22"/>
              </w:rPr>
            </w:pPr>
            <w:r>
              <w:rPr>
                <w:sz w:val="22"/>
              </w:rPr>
              <w:t>Ganadero y agricultor</w:t>
            </w:r>
          </w:p>
        </w:tc>
        <w:tc>
          <w:tcPr>
            <w:tcW w:w="1841" w:type="dxa"/>
          </w:tcPr>
          <w:p>
            <w:pPr>
              <w:pStyle w:val="TableParagraph"/>
              <w:tabs>
                <w:tab w:pos="820" w:val="left" w:leader="none"/>
                <w:tab w:pos="1485" w:val="left" w:leader="none"/>
              </w:tabs>
              <w:ind w:left="100" w:right="98"/>
              <w:rPr>
                <w:sz w:val="22"/>
              </w:rPr>
            </w:pPr>
            <w:r>
              <w:rPr>
                <w:sz w:val="22"/>
              </w:rPr>
              <w:t>Cooperativa para</w:t>
              <w:tab/>
              <w:t>gestionar proyectos</w:t>
              <w:tab/>
              <w:t>en</w:t>
            </w:r>
          </w:p>
          <w:p>
            <w:pPr>
              <w:pStyle w:val="TableParagraph"/>
              <w:tabs>
                <w:tab w:pos="1410" w:val="left" w:leader="none"/>
              </w:tabs>
              <w:spacing w:line="252" w:lineRule="exact"/>
              <w:ind w:left="100"/>
              <w:rPr>
                <w:sz w:val="22"/>
              </w:rPr>
            </w:pPr>
            <w:r>
              <w:rPr>
                <w:sz w:val="22"/>
              </w:rPr>
              <w:t>Sagarpa</w:t>
              <w:tab/>
              <w:t>(no</w:t>
            </w:r>
          </w:p>
          <w:p>
            <w:pPr>
              <w:pStyle w:val="TableParagraph"/>
              <w:tabs>
                <w:tab w:pos="1557" w:val="left" w:leader="none"/>
              </w:tabs>
              <w:spacing w:line="252" w:lineRule="exact"/>
              <w:ind w:left="100"/>
              <w:rPr>
                <w:sz w:val="22"/>
              </w:rPr>
            </w:pPr>
            <w:r>
              <w:rPr>
                <w:sz w:val="22"/>
              </w:rPr>
              <w:t>recuerdo</w:t>
              <w:tab/>
              <w:t>el</w:t>
            </w:r>
          </w:p>
          <w:p>
            <w:pPr>
              <w:pStyle w:val="TableParagraph"/>
              <w:tabs>
                <w:tab w:pos="1410" w:val="left" w:leader="none"/>
              </w:tabs>
              <w:spacing w:before="1"/>
              <w:ind w:left="100" w:right="99"/>
              <w:rPr>
                <w:sz w:val="22"/>
              </w:rPr>
            </w:pPr>
            <w:r>
              <w:rPr>
                <w:sz w:val="22"/>
              </w:rPr>
              <w:t>nombre)</w:t>
              <w:tab/>
              <w:t>(10 integrantes)</w:t>
            </w:r>
          </w:p>
        </w:tc>
        <w:tc>
          <w:tcPr>
            <w:tcW w:w="1135" w:type="dxa"/>
          </w:tcPr>
          <w:p>
            <w:pPr>
              <w:pStyle w:val="TableParagraph"/>
              <w:spacing w:line="252" w:lineRule="exact" w:before="2"/>
              <w:ind w:right="134"/>
              <w:rPr>
                <w:sz w:val="22"/>
              </w:rPr>
            </w:pPr>
            <w:r>
              <w:rPr>
                <w:sz w:val="22"/>
              </w:rPr>
              <w:t>Presiden te</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ind w:right="154"/>
              <w:rPr>
                <w:sz w:val="22"/>
              </w:rPr>
            </w:pPr>
            <w:r>
              <w:rPr>
                <w:sz w:val="22"/>
              </w:rPr>
              <w:t>La Campesin a, Timilpan</w:t>
            </w:r>
          </w:p>
        </w:tc>
        <w:tc>
          <w:tcPr>
            <w:tcW w:w="1133" w:type="dxa"/>
          </w:tcPr>
          <w:p>
            <w:pPr>
              <w:pStyle w:val="TableParagraph"/>
              <w:ind w:left="100" w:right="135"/>
              <w:rPr>
                <w:sz w:val="22"/>
              </w:rPr>
            </w:pPr>
            <w:r>
              <w:rPr>
                <w:sz w:val="22"/>
              </w:rPr>
              <w:t>La Campesi na, Timilpan</w:t>
            </w:r>
          </w:p>
        </w:tc>
        <w:tc>
          <w:tcPr>
            <w:tcW w:w="1702" w:type="dxa"/>
          </w:tcPr>
          <w:p>
            <w:pPr>
              <w:pStyle w:val="TableParagraph"/>
              <w:tabs>
                <w:tab w:pos="724" w:val="left" w:leader="none"/>
                <w:tab w:pos="865" w:val="left" w:leader="none"/>
                <w:tab w:pos="1343" w:val="left" w:leader="none"/>
                <w:tab w:pos="1465" w:val="left" w:leader="none"/>
              </w:tabs>
              <w:ind w:right="98"/>
              <w:rPr>
                <w:sz w:val="22"/>
              </w:rPr>
            </w:pPr>
            <w:r>
              <w:rPr>
                <w:sz w:val="22"/>
              </w:rPr>
              <w:t>Sí porque en este pueblo se mantenían</w:t>
              <w:tab/>
              <w:t>en la</w:t>
              <w:tab/>
              <w:tab/>
              <w:t>laguna, ahora trabajan de albañiles o se</w:t>
              <w:tab/>
              <w:t>van</w:t>
              <w:tab/>
              <w:tab/>
              <w:t>a Estados Unidos porque ya no hay de dónde.</w:t>
            </w:r>
          </w:p>
        </w:tc>
        <w:tc>
          <w:tcPr>
            <w:tcW w:w="1985" w:type="dxa"/>
          </w:tcPr>
          <w:p>
            <w:pPr>
              <w:pStyle w:val="TableParagraph"/>
              <w:tabs>
                <w:tab w:pos="719" w:val="left" w:leader="none"/>
                <w:tab w:pos="846" w:val="left" w:leader="none"/>
                <w:tab w:pos="1703" w:val="left" w:leader="none"/>
              </w:tabs>
              <w:ind w:right="99"/>
              <w:rPr>
                <w:sz w:val="22"/>
              </w:rPr>
            </w:pPr>
            <w:r>
              <w:rPr>
                <w:sz w:val="22"/>
              </w:rPr>
              <w:t>Sí</w:t>
              <w:tab/>
              <w:tab/>
              <w:t>por</w:t>
              <w:tab/>
              <w:t>la contaminación,  se</w:t>
              <w:tab/>
              <w:t>amoló</w:t>
              <w:tab/>
              <w:t>la laguna.</w:t>
            </w:r>
          </w:p>
        </w:tc>
      </w:tr>
      <w:tr>
        <w:trPr>
          <w:trHeight w:val="1529" w:hRule="exact"/>
        </w:trPr>
        <w:tc>
          <w:tcPr>
            <w:tcW w:w="1385" w:type="dxa"/>
          </w:tcPr>
          <w:p>
            <w:pPr>
              <w:pStyle w:val="TableParagraph"/>
              <w:ind w:right="188"/>
              <w:rPr>
                <w:sz w:val="22"/>
              </w:rPr>
            </w:pPr>
            <w:r>
              <w:rPr>
                <w:sz w:val="22"/>
              </w:rPr>
              <w:t>Antonio Gabriel Cruz (17/I/2015)</w:t>
            </w:r>
          </w:p>
        </w:tc>
        <w:tc>
          <w:tcPr>
            <w:tcW w:w="1418" w:type="dxa"/>
          </w:tcPr>
          <w:p>
            <w:pPr>
              <w:pStyle w:val="TableParagraph"/>
              <w:ind w:left="100" w:right="101"/>
              <w:rPr>
                <w:sz w:val="22"/>
              </w:rPr>
            </w:pPr>
            <w:r>
              <w:rPr>
                <w:sz w:val="22"/>
              </w:rPr>
              <w:t>Ganadero, agricultor y albañil</w:t>
            </w:r>
          </w:p>
        </w:tc>
        <w:tc>
          <w:tcPr>
            <w:tcW w:w="1841" w:type="dxa"/>
          </w:tcPr>
          <w:p>
            <w:pPr>
              <w:pStyle w:val="TableParagraph"/>
              <w:spacing w:line="242" w:lineRule="auto"/>
              <w:ind w:left="100" w:right="101"/>
              <w:jc w:val="both"/>
              <w:rPr>
                <w:sz w:val="22"/>
              </w:rPr>
            </w:pPr>
            <w:r>
              <w:rPr>
                <w:sz w:val="22"/>
              </w:rPr>
              <w:t>Cooperativa de Ganaderos</w:t>
            </w:r>
          </w:p>
          <w:p>
            <w:pPr>
              <w:pStyle w:val="TableParagraph"/>
              <w:ind w:left="100" w:right="99"/>
              <w:jc w:val="both"/>
              <w:rPr>
                <w:sz w:val="22"/>
              </w:rPr>
            </w:pPr>
            <w:r>
              <w:rPr>
                <w:sz w:val="22"/>
              </w:rPr>
              <w:t>(No recuerdo el nombre, ni el número de integrantes)</w:t>
            </w:r>
          </w:p>
        </w:tc>
        <w:tc>
          <w:tcPr>
            <w:tcW w:w="1135" w:type="dxa"/>
          </w:tcPr>
          <w:p>
            <w:pPr>
              <w:pStyle w:val="TableParagraph"/>
              <w:spacing w:line="242" w:lineRule="auto"/>
              <w:ind w:right="134"/>
              <w:rPr>
                <w:sz w:val="22"/>
              </w:rPr>
            </w:pPr>
            <w:r>
              <w:rPr>
                <w:sz w:val="22"/>
              </w:rPr>
              <w:t>Integrant e</w:t>
            </w:r>
          </w:p>
        </w:tc>
        <w:tc>
          <w:tcPr>
            <w:tcW w:w="991" w:type="dxa"/>
          </w:tcPr>
          <w:p>
            <w:pPr>
              <w:pStyle w:val="TableParagraph"/>
              <w:spacing w:line="242" w:lineRule="auto"/>
              <w:ind w:left="100" w:right="152"/>
              <w:rPr>
                <w:sz w:val="22"/>
              </w:rPr>
            </w:pPr>
            <w:r>
              <w:rPr>
                <w:sz w:val="22"/>
              </w:rPr>
              <w:t>Timilpa n</w:t>
            </w:r>
          </w:p>
        </w:tc>
        <w:tc>
          <w:tcPr>
            <w:tcW w:w="1277" w:type="dxa"/>
          </w:tcPr>
          <w:p>
            <w:pPr>
              <w:pStyle w:val="TableParagraph"/>
              <w:ind w:right="154"/>
              <w:rPr>
                <w:sz w:val="22"/>
              </w:rPr>
            </w:pPr>
            <w:r>
              <w:rPr>
                <w:sz w:val="22"/>
              </w:rPr>
              <w:t>La Campesin a, Timilpan</w:t>
            </w:r>
          </w:p>
        </w:tc>
        <w:tc>
          <w:tcPr>
            <w:tcW w:w="1133" w:type="dxa"/>
          </w:tcPr>
          <w:p>
            <w:pPr>
              <w:pStyle w:val="TableParagraph"/>
              <w:ind w:left="100" w:right="135"/>
              <w:rPr>
                <w:sz w:val="22"/>
              </w:rPr>
            </w:pPr>
            <w:r>
              <w:rPr>
                <w:sz w:val="22"/>
              </w:rPr>
              <w:t>La Campesi na, Timilpan</w:t>
            </w:r>
          </w:p>
        </w:tc>
        <w:tc>
          <w:tcPr>
            <w:tcW w:w="1702" w:type="dxa"/>
          </w:tcPr>
          <w:p>
            <w:pPr>
              <w:pStyle w:val="TableParagraph"/>
              <w:ind w:right="98"/>
              <w:jc w:val="both"/>
              <w:rPr>
                <w:sz w:val="22"/>
              </w:rPr>
            </w:pPr>
            <w:r>
              <w:rPr>
                <w:sz w:val="22"/>
              </w:rPr>
              <w:t>Sí porque los que pescan de ahí comen y los cocinan para</w:t>
            </w:r>
            <w:r>
              <w:rPr>
                <w:spacing w:val="-1"/>
                <w:sz w:val="22"/>
              </w:rPr>
              <w:t> </w:t>
            </w:r>
            <w:r>
              <w:rPr>
                <w:sz w:val="22"/>
              </w:rPr>
              <w:t>vender.</w:t>
            </w:r>
          </w:p>
        </w:tc>
        <w:tc>
          <w:tcPr>
            <w:tcW w:w="1985" w:type="dxa"/>
          </w:tcPr>
          <w:p>
            <w:pPr>
              <w:pStyle w:val="TableParagraph"/>
              <w:ind w:right="99"/>
              <w:jc w:val="both"/>
              <w:rPr>
                <w:sz w:val="22"/>
              </w:rPr>
            </w:pPr>
            <w:r>
              <w:rPr>
                <w:sz w:val="22"/>
              </w:rPr>
              <w:t>No creo porque hay mucha agua, está llena ahora.</w:t>
            </w:r>
          </w:p>
        </w:tc>
      </w:tr>
      <w:tr>
        <w:trPr>
          <w:trHeight w:val="1527" w:hRule="exact"/>
        </w:trPr>
        <w:tc>
          <w:tcPr>
            <w:tcW w:w="1385" w:type="dxa"/>
          </w:tcPr>
          <w:p>
            <w:pPr>
              <w:pStyle w:val="TableParagraph"/>
              <w:tabs>
                <w:tab w:pos="1026" w:val="left" w:leader="none"/>
              </w:tabs>
              <w:ind w:right="101"/>
              <w:rPr>
                <w:sz w:val="22"/>
              </w:rPr>
            </w:pPr>
            <w:r>
              <w:rPr>
                <w:sz w:val="22"/>
              </w:rPr>
              <w:t>Porfirio Magno</w:t>
              <w:tab/>
              <w:t>de la Cruz (17/I/2015)</w:t>
            </w:r>
          </w:p>
        </w:tc>
        <w:tc>
          <w:tcPr>
            <w:tcW w:w="1418" w:type="dxa"/>
          </w:tcPr>
          <w:p>
            <w:pPr>
              <w:pStyle w:val="TableParagraph"/>
              <w:spacing w:line="252" w:lineRule="exact" w:before="2"/>
              <w:ind w:left="218" w:right="145" w:hanging="63"/>
              <w:rPr>
                <w:sz w:val="22"/>
              </w:rPr>
            </w:pPr>
            <w:r>
              <w:rPr>
                <w:sz w:val="22"/>
              </w:rPr>
              <w:t>El campo y el ganado</w:t>
            </w:r>
          </w:p>
        </w:tc>
        <w:tc>
          <w:tcPr>
            <w:tcW w:w="1841" w:type="dxa"/>
          </w:tcPr>
          <w:p>
            <w:pPr>
              <w:pStyle w:val="TableParagraph"/>
              <w:spacing w:line="252" w:lineRule="exact" w:before="2"/>
              <w:ind w:left="100" w:right="101"/>
              <w:jc w:val="both"/>
              <w:rPr>
                <w:sz w:val="22"/>
              </w:rPr>
            </w:pPr>
            <w:r>
              <w:rPr>
                <w:sz w:val="22"/>
              </w:rPr>
              <w:t>Cooperativa de ganaderos</w:t>
            </w:r>
          </w:p>
          <w:p>
            <w:pPr>
              <w:pStyle w:val="TableParagraph"/>
              <w:ind w:left="100" w:right="99"/>
              <w:jc w:val="both"/>
              <w:rPr>
                <w:sz w:val="22"/>
              </w:rPr>
            </w:pPr>
            <w:r>
              <w:rPr>
                <w:sz w:val="22"/>
              </w:rPr>
              <w:t>(No recuerdo el nombre) (8 integrantes)</w:t>
            </w:r>
          </w:p>
        </w:tc>
        <w:tc>
          <w:tcPr>
            <w:tcW w:w="1135" w:type="dxa"/>
          </w:tcPr>
          <w:p>
            <w:pPr>
              <w:pStyle w:val="TableParagraph"/>
              <w:spacing w:line="252" w:lineRule="exact" w:before="2"/>
              <w:ind w:right="134"/>
              <w:rPr>
                <w:sz w:val="22"/>
              </w:rPr>
            </w:pPr>
            <w:r>
              <w:rPr>
                <w:sz w:val="22"/>
              </w:rPr>
              <w:t>Integrant e</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ind w:right="154"/>
              <w:rPr>
                <w:sz w:val="22"/>
              </w:rPr>
            </w:pPr>
            <w:r>
              <w:rPr>
                <w:sz w:val="22"/>
              </w:rPr>
              <w:t>La Campesin a, Timilpan</w:t>
            </w:r>
          </w:p>
        </w:tc>
        <w:tc>
          <w:tcPr>
            <w:tcW w:w="1133" w:type="dxa"/>
          </w:tcPr>
          <w:p>
            <w:pPr>
              <w:pStyle w:val="TableParagraph"/>
              <w:ind w:left="100" w:right="135"/>
              <w:rPr>
                <w:sz w:val="22"/>
              </w:rPr>
            </w:pPr>
            <w:r>
              <w:rPr>
                <w:sz w:val="22"/>
              </w:rPr>
              <w:t>La Campesi na, Timilpan</w:t>
            </w:r>
          </w:p>
        </w:tc>
        <w:tc>
          <w:tcPr>
            <w:tcW w:w="1702" w:type="dxa"/>
          </w:tcPr>
          <w:p>
            <w:pPr>
              <w:pStyle w:val="TableParagraph"/>
              <w:ind w:right="98"/>
              <w:jc w:val="both"/>
              <w:rPr>
                <w:sz w:val="22"/>
              </w:rPr>
            </w:pPr>
            <w:r>
              <w:rPr>
                <w:sz w:val="22"/>
              </w:rPr>
              <w:t>Sí porque todos viven de ella alrededor, pero ya no se vive como antes.</w:t>
            </w:r>
          </w:p>
        </w:tc>
        <w:tc>
          <w:tcPr>
            <w:tcW w:w="1985" w:type="dxa"/>
          </w:tcPr>
          <w:p>
            <w:pPr>
              <w:pStyle w:val="TableParagraph"/>
              <w:ind w:right="99"/>
              <w:jc w:val="both"/>
              <w:rPr>
                <w:sz w:val="22"/>
              </w:rPr>
            </w:pPr>
            <w:r>
              <w:rPr>
                <w:sz w:val="22"/>
              </w:rPr>
              <w:t>Sí por lo drenajes y el agua sucia que echan.</w:t>
            </w:r>
          </w:p>
        </w:tc>
      </w:tr>
      <w:tr>
        <w:trPr>
          <w:trHeight w:val="518" w:hRule="exact"/>
        </w:trPr>
        <w:tc>
          <w:tcPr>
            <w:tcW w:w="1385" w:type="dxa"/>
          </w:tcPr>
          <w:p>
            <w:pPr>
              <w:pStyle w:val="TableParagraph"/>
              <w:ind w:right="592"/>
              <w:rPr>
                <w:sz w:val="22"/>
              </w:rPr>
            </w:pPr>
            <w:r>
              <w:rPr>
                <w:sz w:val="22"/>
              </w:rPr>
              <w:t>Eligio García</w:t>
            </w:r>
          </w:p>
        </w:tc>
        <w:tc>
          <w:tcPr>
            <w:tcW w:w="1418" w:type="dxa"/>
          </w:tcPr>
          <w:p>
            <w:pPr>
              <w:pStyle w:val="TableParagraph"/>
              <w:ind w:left="218" w:right="145" w:hanging="63"/>
              <w:rPr>
                <w:sz w:val="22"/>
              </w:rPr>
            </w:pPr>
            <w:r>
              <w:rPr>
                <w:sz w:val="22"/>
              </w:rPr>
              <w:t>El campo y el ganado</w:t>
            </w:r>
          </w:p>
        </w:tc>
        <w:tc>
          <w:tcPr>
            <w:tcW w:w="1841" w:type="dxa"/>
          </w:tcPr>
          <w:p>
            <w:pPr>
              <w:pStyle w:val="TableParagraph"/>
              <w:spacing w:line="252" w:lineRule="exact"/>
              <w:ind w:left="100"/>
              <w:rPr>
                <w:sz w:val="22"/>
              </w:rPr>
            </w:pPr>
            <w:r>
              <w:rPr>
                <w:sz w:val="22"/>
              </w:rPr>
              <w:t>Cooperativa   de</w:t>
            </w:r>
          </w:p>
          <w:p>
            <w:pPr>
              <w:pStyle w:val="TableParagraph"/>
              <w:spacing w:line="252" w:lineRule="exact"/>
              <w:ind w:left="100"/>
              <w:rPr>
                <w:sz w:val="22"/>
              </w:rPr>
            </w:pPr>
            <w:r>
              <w:rPr>
                <w:sz w:val="22"/>
              </w:rPr>
              <w:t>Ganaderos “Los</w:t>
            </w:r>
          </w:p>
        </w:tc>
        <w:tc>
          <w:tcPr>
            <w:tcW w:w="1135" w:type="dxa"/>
          </w:tcPr>
          <w:p>
            <w:pPr>
              <w:pStyle w:val="TableParagraph"/>
              <w:ind w:right="134"/>
              <w:rPr>
                <w:sz w:val="22"/>
              </w:rPr>
            </w:pPr>
            <w:r>
              <w:rPr>
                <w:sz w:val="22"/>
              </w:rPr>
              <w:t>Integrant e</w:t>
            </w:r>
          </w:p>
        </w:tc>
        <w:tc>
          <w:tcPr>
            <w:tcW w:w="991" w:type="dxa"/>
          </w:tcPr>
          <w:p>
            <w:pPr>
              <w:pStyle w:val="TableParagraph"/>
              <w:ind w:left="100" w:right="152"/>
              <w:rPr>
                <w:sz w:val="22"/>
              </w:rPr>
            </w:pPr>
            <w:r>
              <w:rPr>
                <w:sz w:val="22"/>
              </w:rPr>
              <w:t>Timilpa n</w:t>
            </w:r>
          </w:p>
        </w:tc>
        <w:tc>
          <w:tcPr>
            <w:tcW w:w="1277" w:type="dxa"/>
          </w:tcPr>
          <w:p>
            <w:pPr>
              <w:pStyle w:val="TableParagraph"/>
              <w:spacing w:line="252" w:lineRule="exact"/>
              <w:ind w:right="92"/>
              <w:rPr>
                <w:sz w:val="22"/>
              </w:rPr>
            </w:pPr>
            <w:r>
              <w:rPr>
                <w:sz w:val="22"/>
              </w:rPr>
              <w:t>Huapango</w:t>
            </w:r>
          </w:p>
          <w:p>
            <w:pPr>
              <w:pStyle w:val="TableParagraph"/>
              <w:spacing w:line="252" w:lineRule="exact"/>
              <w:ind w:right="92"/>
              <w:rPr>
                <w:sz w:val="22"/>
              </w:rPr>
            </w:pPr>
            <w:r>
              <w:rPr>
                <w:sz w:val="22"/>
              </w:rPr>
              <w:t>, Timilpan</w:t>
            </w:r>
          </w:p>
        </w:tc>
        <w:tc>
          <w:tcPr>
            <w:tcW w:w="1133" w:type="dxa"/>
          </w:tcPr>
          <w:p>
            <w:pPr>
              <w:pStyle w:val="TableParagraph"/>
              <w:ind w:left="100" w:right="110"/>
              <w:rPr>
                <w:sz w:val="22"/>
              </w:rPr>
            </w:pPr>
            <w:r>
              <w:rPr>
                <w:sz w:val="22"/>
              </w:rPr>
              <w:t>Huapang o,</w:t>
            </w:r>
          </w:p>
        </w:tc>
        <w:tc>
          <w:tcPr>
            <w:tcW w:w="1702" w:type="dxa"/>
          </w:tcPr>
          <w:p>
            <w:pPr>
              <w:pStyle w:val="TableParagraph"/>
              <w:rPr>
                <w:sz w:val="22"/>
              </w:rPr>
            </w:pPr>
            <w:r>
              <w:rPr>
                <w:sz w:val="22"/>
              </w:rPr>
              <w:t>Pues sí, para abrevadero del</w:t>
            </w:r>
          </w:p>
        </w:tc>
        <w:tc>
          <w:tcPr>
            <w:tcW w:w="1985" w:type="dxa"/>
          </w:tcPr>
          <w:p>
            <w:pPr>
              <w:pStyle w:val="TableParagraph"/>
              <w:tabs>
                <w:tab w:pos="846" w:val="left" w:leader="none"/>
                <w:tab w:pos="1703" w:val="left" w:leader="none"/>
                <w:tab w:pos="1763" w:val="left" w:leader="none"/>
              </w:tabs>
              <w:ind w:right="99"/>
              <w:rPr>
                <w:sz w:val="22"/>
              </w:rPr>
            </w:pPr>
            <w:r>
              <w:rPr>
                <w:sz w:val="22"/>
              </w:rPr>
              <w:t>Sí</w:t>
              <w:tab/>
              <w:t>por</w:t>
              <w:tab/>
              <w:t>la contaminación</w:t>
              <w:tab/>
              <w:tab/>
              <w:t>y</w:t>
            </w:r>
          </w:p>
        </w:tc>
      </w:tr>
    </w:tbl>
    <w:p>
      <w:pPr>
        <w:spacing w:after="0"/>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right="127"/>
              <w:rPr>
                <w:sz w:val="22"/>
              </w:rPr>
            </w:pPr>
            <w:r>
              <w:rPr>
                <w:sz w:val="22"/>
              </w:rPr>
              <w:t>Lovera</w:t>
            </w:r>
          </w:p>
        </w:tc>
        <w:tc>
          <w:tcPr>
            <w:tcW w:w="1418" w:type="dxa"/>
            <w:vMerge w:val="restart"/>
          </w:tcPr>
          <w:p>
            <w:pPr/>
          </w:p>
        </w:tc>
        <w:tc>
          <w:tcPr>
            <w:tcW w:w="1841" w:type="dxa"/>
            <w:tcBorders>
              <w:bottom w:val="nil"/>
            </w:tcBorders>
          </w:tcPr>
          <w:p>
            <w:pPr>
              <w:pStyle w:val="TableParagraph"/>
              <w:spacing w:line="251" w:lineRule="exact"/>
              <w:ind w:left="100"/>
              <w:rPr>
                <w:sz w:val="22"/>
              </w:rPr>
            </w:pPr>
            <w:r>
              <w:rPr>
                <w:sz w:val="22"/>
              </w:rPr>
              <w:t>Tolines”</w:t>
            </w:r>
          </w:p>
        </w:tc>
        <w:tc>
          <w:tcPr>
            <w:tcW w:w="1135" w:type="dxa"/>
            <w:vMerge w:val="restart"/>
          </w:tcPr>
          <w:p>
            <w:pPr/>
          </w:p>
        </w:tc>
        <w:tc>
          <w:tcPr>
            <w:tcW w:w="991" w:type="dxa"/>
            <w:vMerge w:val="restart"/>
          </w:tcPr>
          <w:p>
            <w:pPr/>
          </w:p>
        </w:tc>
        <w:tc>
          <w:tcPr>
            <w:tcW w:w="1277" w:type="dxa"/>
            <w:vMerge w:val="restart"/>
          </w:tcPr>
          <w:p>
            <w:pPr/>
          </w:p>
        </w:tc>
        <w:tc>
          <w:tcPr>
            <w:tcW w:w="1133" w:type="dxa"/>
            <w:tcBorders>
              <w:bottom w:val="nil"/>
            </w:tcBorders>
          </w:tcPr>
          <w:p>
            <w:pPr>
              <w:pStyle w:val="TableParagraph"/>
              <w:spacing w:line="251" w:lineRule="exact"/>
              <w:ind w:left="100" w:right="52"/>
              <w:rPr>
                <w:sz w:val="22"/>
              </w:rPr>
            </w:pPr>
            <w:r>
              <w:rPr>
                <w:sz w:val="22"/>
              </w:rPr>
              <w:t>Timilpan</w:t>
            </w:r>
          </w:p>
        </w:tc>
        <w:tc>
          <w:tcPr>
            <w:tcW w:w="1702" w:type="dxa"/>
            <w:tcBorders>
              <w:bottom w:val="nil"/>
            </w:tcBorders>
          </w:tcPr>
          <w:p>
            <w:pPr>
              <w:pStyle w:val="TableParagraph"/>
              <w:spacing w:line="251" w:lineRule="exact"/>
              <w:rPr>
                <w:sz w:val="22"/>
              </w:rPr>
            </w:pPr>
            <w:r>
              <w:rPr>
                <w:sz w:val="22"/>
              </w:rPr>
              <w:t>ganado  y para</w:t>
            </w:r>
          </w:p>
        </w:tc>
        <w:tc>
          <w:tcPr>
            <w:tcW w:w="1985" w:type="dxa"/>
            <w:tcBorders>
              <w:bottom w:val="nil"/>
            </w:tcBorders>
          </w:tcPr>
          <w:p>
            <w:pPr>
              <w:pStyle w:val="TableParagraph"/>
              <w:tabs>
                <w:tab w:pos="623" w:val="left" w:leader="none"/>
              </w:tabs>
              <w:spacing w:line="251" w:lineRule="exact"/>
              <w:rPr>
                <w:sz w:val="22"/>
              </w:rPr>
            </w:pPr>
            <w:r>
              <w:rPr>
                <w:sz w:val="22"/>
              </w:rPr>
              <w:t>por</w:t>
              <w:tab/>
              <w:t>la  </w:t>
            </w:r>
            <w:r>
              <w:rPr>
                <w:spacing w:val="11"/>
                <w:sz w:val="22"/>
              </w:rPr>
              <w:t> </w:t>
            </w:r>
            <w:r>
              <w:rPr>
                <w:sz w:val="22"/>
              </w:rPr>
              <w:t>carretera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(18/I/2015)</w:t>
            </w:r>
          </w:p>
        </w:tc>
        <w:tc>
          <w:tcPr>
            <w:tcW w:w="1418" w:type="dxa"/>
            <w:vMerge/>
          </w:tcPr>
          <w:p>
            <w:pPr/>
          </w:p>
        </w:tc>
        <w:tc>
          <w:tcPr>
            <w:tcW w:w="1841" w:type="dxa"/>
            <w:tcBorders>
              <w:top w:val="nil"/>
              <w:bottom w:val="nil"/>
            </w:tcBorders>
          </w:tcPr>
          <w:p>
            <w:pPr>
              <w:pStyle w:val="TableParagraph"/>
              <w:spacing w:line="241" w:lineRule="exact"/>
              <w:ind w:left="100"/>
              <w:rPr>
                <w:sz w:val="22"/>
              </w:rPr>
            </w:pPr>
            <w:r>
              <w:rPr>
                <w:sz w:val="22"/>
              </w:rPr>
              <w:t>(19 integrantes)</w:t>
            </w:r>
          </w:p>
        </w:tc>
        <w:tc>
          <w:tcPr>
            <w:tcW w:w="1135" w:type="dxa"/>
            <w:vMerge/>
          </w:tcPr>
          <w:p>
            <w:pPr/>
          </w:p>
        </w:tc>
        <w:tc>
          <w:tcPr>
            <w:tcW w:w="991" w:type="dxa"/>
            <w:vMerge/>
          </w:tcPr>
          <w:p>
            <w:pPr/>
          </w:p>
        </w:tc>
        <w:tc>
          <w:tcPr>
            <w:tcW w:w="1277" w:type="dxa"/>
            <w:vMerge/>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pescar  porque</w:t>
            </w:r>
          </w:p>
        </w:tc>
        <w:tc>
          <w:tcPr>
            <w:tcW w:w="1985" w:type="dxa"/>
            <w:tcBorders>
              <w:top w:val="nil"/>
              <w:bottom w:val="nil"/>
            </w:tcBorders>
          </w:tcPr>
          <w:p>
            <w:pPr>
              <w:pStyle w:val="TableParagraph"/>
              <w:tabs>
                <w:tab w:pos="762" w:val="left" w:leader="none"/>
                <w:tab w:pos="1503" w:val="left" w:leader="none"/>
              </w:tabs>
              <w:spacing w:line="241" w:lineRule="exact"/>
              <w:rPr>
                <w:sz w:val="22"/>
              </w:rPr>
            </w:pPr>
            <w:r>
              <w:rPr>
                <w:sz w:val="22"/>
              </w:rPr>
              <w:t>Arco</w:t>
              <w:tab/>
              <w:t>Norte</w:t>
              <w:tab/>
              <w:t>que</w:t>
            </w:r>
          </w:p>
        </w:tc>
      </w:tr>
      <w:tr>
        <w:trPr>
          <w:trHeight w:val="253" w:hRule="exact"/>
        </w:trPr>
        <w:tc>
          <w:tcPr>
            <w:tcW w:w="1385" w:type="dxa"/>
            <w:tcBorders>
              <w:top w:val="nil"/>
              <w:bottom w:val="nil"/>
            </w:tcBorders>
          </w:tcPr>
          <w:p>
            <w:pPr/>
          </w:p>
        </w:tc>
        <w:tc>
          <w:tcPr>
            <w:tcW w:w="1418" w:type="dxa"/>
            <w:vMerge/>
          </w:tcPr>
          <w:p>
            <w:pPr/>
          </w:p>
        </w:tc>
        <w:tc>
          <w:tcPr>
            <w:tcW w:w="1841" w:type="dxa"/>
            <w:tcBorders>
              <w:top w:val="nil"/>
              <w:bottom w:val="nil"/>
            </w:tcBorders>
          </w:tcPr>
          <w:p>
            <w:pPr/>
          </w:p>
        </w:tc>
        <w:tc>
          <w:tcPr>
            <w:tcW w:w="1135" w:type="dxa"/>
            <w:vMerge/>
          </w:tcPr>
          <w:p>
            <w:pPr/>
          </w:p>
        </w:tc>
        <w:tc>
          <w:tcPr>
            <w:tcW w:w="991" w:type="dxa"/>
            <w:vMerge/>
          </w:tcPr>
          <w:p>
            <w:pPr/>
          </w:p>
        </w:tc>
        <w:tc>
          <w:tcPr>
            <w:tcW w:w="1277" w:type="dxa"/>
            <w:vMerge/>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es   como  una</w:t>
            </w:r>
          </w:p>
        </w:tc>
        <w:tc>
          <w:tcPr>
            <w:tcW w:w="1985" w:type="dxa"/>
            <w:tcBorders>
              <w:top w:val="nil"/>
              <w:bottom w:val="nil"/>
            </w:tcBorders>
          </w:tcPr>
          <w:p>
            <w:pPr>
              <w:pStyle w:val="TableParagraph"/>
              <w:tabs>
                <w:tab w:pos="811" w:val="left" w:leader="none"/>
              </w:tabs>
              <w:spacing w:line="242" w:lineRule="exact"/>
              <w:rPr>
                <w:sz w:val="22"/>
              </w:rPr>
            </w:pPr>
            <w:r>
              <w:rPr>
                <w:sz w:val="22"/>
              </w:rPr>
              <w:t>está</w:t>
              <w:tab/>
              <w:t>invadiendo</w:t>
            </w:r>
          </w:p>
        </w:tc>
      </w:tr>
      <w:tr>
        <w:trPr>
          <w:trHeight w:val="253" w:hRule="exact"/>
        </w:trPr>
        <w:tc>
          <w:tcPr>
            <w:tcW w:w="1385" w:type="dxa"/>
            <w:tcBorders>
              <w:top w:val="nil"/>
              <w:bottom w:val="nil"/>
            </w:tcBorders>
          </w:tcPr>
          <w:p>
            <w:pPr/>
          </w:p>
        </w:tc>
        <w:tc>
          <w:tcPr>
            <w:tcW w:w="1418" w:type="dxa"/>
            <w:vMerge/>
          </w:tcPr>
          <w:p>
            <w:pPr/>
          </w:p>
        </w:tc>
        <w:tc>
          <w:tcPr>
            <w:tcW w:w="1841" w:type="dxa"/>
            <w:tcBorders>
              <w:top w:val="nil"/>
              <w:bottom w:val="nil"/>
            </w:tcBorders>
          </w:tcPr>
          <w:p>
            <w:pPr/>
          </w:p>
        </w:tc>
        <w:tc>
          <w:tcPr>
            <w:tcW w:w="1135" w:type="dxa"/>
            <w:vMerge/>
          </w:tcPr>
          <w:p>
            <w:pPr/>
          </w:p>
        </w:tc>
        <w:tc>
          <w:tcPr>
            <w:tcW w:w="991" w:type="dxa"/>
            <w:vMerge/>
          </w:tcPr>
          <w:p>
            <w:pPr/>
          </w:p>
        </w:tc>
        <w:tc>
          <w:tcPr>
            <w:tcW w:w="1277" w:type="dxa"/>
            <w:vMerge/>
          </w:tcPr>
          <w:p>
            <w:pPr/>
          </w:p>
        </w:tc>
        <w:tc>
          <w:tcPr>
            <w:tcW w:w="1133" w:type="dxa"/>
            <w:tcBorders>
              <w:top w:val="nil"/>
              <w:bottom w:val="nil"/>
            </w:tcBorders>
          </w:tcPr>
          <w:p>
            <w:pPr/>
          </w:p>
        </w:tc>
        <w:tc>
          <w:tcPr>
            <w:tcW w:w="1702" w:type="dxa"/>
            <w:tcBorders>
              <w:top w:val="nil"/>
              <w:bottom w:val="nil"/>
            </w:tcBorders>
          </w:tcPr>
          <w:p>
            <w:pPr>
              <w:pStyle w:val="TableParagraph"/>
              <w:tabs>
                <w:tab w:pos="901" w:val="left" w:leader="none"/>
              </w:tabs>
              <w:spacing w:line="241" w:lineRule="exact"/>
              <w:rPr>
                <w:sz w:val="22"/>
              </w:rPr>
            </w:pPr>
            <w:r>
              <w:rPr>
                <w:sz w:val="22"/>
              </w:rPr>
              <w:t>playa</w:t>
              <w:tab/>
              <w:t>porque</w:t>
            </w:r>
          </w:p>
        </w:tc>
        <w:tc>
          <w:tcPr>
            <w:tcW w:w="1985" w:type="dxa"/>
            <w:tcBorders>
              <w:top w:val="nil"/>
              <w:bottom w:val="nil"/>
            </w:tcBorders>
          </w:tcPr>
          <w:p>
            <w:pPr>
              <w:pStyle w:val="TableParagraph"/>
              <w:tabs>
                <w:tab w:pos="513" w:val="left" w:leader="none"/>
                <w:tab w:pos="1216" w:val="left" w:leader="none"/>
                <w:tab w:pos="1701" w:val="left" w:leader="none"/>
              </w:tabs>
              <w:spacing w:line="241" w:lineRule="exact"/>
              <w:rPr>
                <w:sz w:val="22"/>
              </w:rPr>
            </w:pPr>
            <w:r>
              <w:rPr>
                <w:sz w:val="22"/>
              </w:rPr>
              <w:t>el</w:t>
              <w:tab/>
              <w:t>vaso</w:t>
              <w:tab/>
              <w:t>de</w:t>
              <w:tab/>
              <w:t>la</w:t>
            </w:r>
          </w:p>
        </w:tc>
      </w:tr>
      <w:tr>
        <w:trPr>
          <w:trHeight w:val="253" w:hRule="exact"/>
        </w:trPr>
        <w:tc>
          <w:tcPr>
            <w:tcW w:w="1385" w:type="dxa"/>
            <w:tcBorders>
              <w:top w:val="nil"/>
              <w:bottom w:val="nil"/>
            </w:tcBorders>
          </w:tcPr>
          <w:p>
            <w:pPr/>
          </w:p>
        </w:tc>
        <w:tc>
          <w:tcPr>
            <w:tcW w:w="1418" w:type="dxa"/>
            <w:vMerge/>
          </w:tcPr>
          <w:p>
            <w:pPr/>
          </w:p>
        </w:tc>
        <w:tc>
          <w:tcPr>
            <w:tcW w:w="1841" w:type="dxa"/>
            <w:tcBorders>
              <w:top w:val="nil"/>
              <w:bottom w:val="nil"/>
            </w:tcBorders>
          </w:tcPr>
          <w:p>
            <w:pPr/>
          </w:p>
        </w:tc>
        <w:tc>
          <w:tcPr>
            <w:tcW w:w="1135" w:type="dxa"/>
            <w:vMerge/>
          </w:tcPr>
          <w:p>
            <w:pPr/>
          </w:p>
        </w:tc>
        <w:tc>
          <w:tcPr>
            <w:tcW w:w="991" w:type="dxa"/>
            <w:vMerge/>
          </w:tcPr>
          <w:p>
            <w:pPr/>
          </w:p>
        </w:tc>
        <w:tc>
          <w:tcPr>
            <w:tcW w:w="1277" w:type="dxa"/>
            <w:vMerge/>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line="242" w:lineRule="exact"/>
              <w:rPr>
                <w:sz w:val="22"/>
              </w:rPr>
            </w:pPr>
            <w:r>
              <w:rPr>
                <w:sz w:val="22"/>
              </w:rPr>
              <w:t>siempre</w:t>
              <w:tab/>
              <w:t>la</w:t>
            </w:r>
          </w:p>
        </w:tc>
        <w:tc>
          <w:tcPr>
            <w:tcW w:w="1985" w:type="dxa"/>
            <w:tcBorders>
              <w:top w:val="nil"/>
              <w:bottom w:val="nil"/>
            </w:tcBorders>
          </w:tcPr>
          <w:p>
            <w:pPr>
              <w:pStyle w:val="TableParagraph"/>
              <w:spacing w:line="242" w:lineRule="exact"/>
              <w:rPr>
                <w:sz w:val="22"/>
              </w:rPr>
            </w:pPr>
            <w:r>
              <w:rPr>
                <w:sz w:val="22"/>
              </w:rPr>
              <w:t>laguna.</w:t>
            </w:r>
          </w:p>
        </w:tc>
      </w:tr>
      <w:tr>
        <w:trPr>
          <w:trHeight w:val="252" w:hRule="exact"/>
        </w:trPr>
        <w:tc>
          <w:tcPr>
            <w:tcW w:w="1385" w:type="dxa"/>
            <w:tcBorders>
              <w:top w:val="nil"/>
              <w:bottom w:val="nil"/>
            </w:tcBorders>
          </w:tcPr>
          <w:p>
            <w:pPr/>
          </w:p>
        </w:tc>
        <w:tc>
          <w:tcPr>
            <w:tcW w:w="1418" w:type="dxa"/>
            <w:vMerge/>
          </w:tcPr>
          <w:p>
            <w:pPr/>
          </w:p>
        </w:tc>
        <w:tc>
          <w:tcPr>
            <w:tcW w:w="1841" w:type="dxa"/>
            <w:tcBorders>
              <w:top w:val="nil"/>
              <w:bottom w:val="nil"/>
            </w:tcBorders>
          </w:tcPr>
          <w:p>
            <w:pPr/>
          </w:p>
        </w:tc>
        <w:tc>
          <w:tcPr>
            <w:tcW w:w="1135" w:type="dxa"/>
            <w:vMerge/>
          </w:tcPr>
          <w:p>
            <w:pPr/>
          </w:p>
        </w:tc>
        <w:tc>
          <w:tcPr>
            <w:tcW w:w="991" w:type="dxa"/>
            <w:vMerge/>
          </w:tcPr>
          <w:p>
            <w:pPr/>
          </w:p>
        </w:tc>
        <w:tc>
          <w:tcPr>
            <w:tcW w:w="1277" w:type="dxa"/>
            <w:vMerge/>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tenemos como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vMerge/>
          </w:tcPr>
          <w:p>
            <w:pPr/>
          </w:p>
        </w:tc>
        <w:tc>
          <w:tcPr>
            <w:tcW w:w="1841" w:type="dxa"/>
            <w:tcBorders>
              <w:top w:val="nil"/>
              <w:bottom w:val="nil"/>
            </w:tcBorders>
          </w:tcPr>
          <w:p>
            <w:pPr/>
          </w:p>
        </w:tc>
        <w:tc>
          <w:tcPr>
            <w:tcW w:w="1135" w:type="dxa"/>
            <w:vMerge/>
          </w:tcPr>
          <w:p>
            <w:pPr/>
          </w:p>
        </w:tc>
        <w:tc>
          <w:tcPr>
            <w:tcW w:w="991" w:type="dxa"/>
            <w:vMerge/>
          </w:tcPr>
          <w:p>
            <w:pPr/>
          </w:p>
        </w:tc>
        <w:tc>
          <w:tcPr>
            <w:tcW w:w="1277" w:type="dxa"/>
            <w:vMerge/>
          </w:tcPr>
          <w:p>
            <w:pPr/>
          </w:p>
        </w:tc>
        <w:tc>
          <w:tcPr>
            <w:tcW w:w="1133" w:type="dxa"/>
            <w:tcBorders>
              <w:top w:val="nil"/>
              <w:bottom w:val="nil"/>
            </w:tcBorders>
          </w:tcPr>
          <w:p>
            <w:pPr/>
          </w:p>
        </w:tc>
        <w:tc>
          <w:tcPr>
            <w:tcW w:w="1702" w:type="dxa"/>
            <w:tcBorders>
              <w:top w:val="nil"/>
              <w:bottom w:val="nil"/>
            </w:tcBorders>
          </w:tcPr>
          <w:p>
            <w:pPr>
              <w:pStyle w:val="TableParagraph"/>
              <w:tabs>
                <w:tab w:pos="1295" w:val="left" w:leader="none"/>
              </w:tabs>
              <w:spacing w:line="241" w:lineRule="exact"/>
              <w:rPr>
                <w:sz w:val="22"/>
              </w:rPr>
            </w:pPr>
            <w:r>
              <w:rPr>
                <w:sz w:val="22"/>
              </w:rPr>
              <w:t>espejo</w:t>
              <w:tab/>
              <w:t>del</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vMerge/>
          </w:tcPr>
          <w:p>
            <w:pPr/>
          </w:p>
        </w:tc>
        <w:tc>
          <w:tcPr>
            <w:tcW w:w="1841" w:type="dxa"/>
            <w:tcBorders>
              <w:top w:val="nil"/>
            </w:tcBorders>
          </w:tcPr>
          <w:p>
            <w:pPr/>
          </w:p>
        </w:tc>
        <w:tc>
          <w:tcPr>
            <w:tcW w:w="1135" w:type="dxa"/>
            <w:vMerge/>
          </w:tcPr>
          <w:p>
            <w:pPr/>
          </w:p>
        </w:tc>
        <w:tc>
          <w:tcPr>
            <w:tcW w:w="991" w:type="dxa"/>
            <w:vMerge/>
          </w:tcPr>
          <w:p>
            <w:pPr/>
          </w:p>
        </w:tc>
        <w:tc>
          <w:tcPr>
            <w:tcW w:w="1277" w:type="dxa"/>
            <w:vMerge/>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pueblo.</w:t>
            </w:r>
          </w:p>
        </w:tc>
        <w:tc>
          <w:tcPr>
            <w:tcW w:w="1985" w:type="dxa"/>
            <w:tcBorders>
              <w:top w:val="nil"/>
            </w:tcBorders>
          </w:tcPr>
          <w:p>
            <w:pPr/>
          </w:p>
        </w:tc>
      </w:tr>
    </w:tbl>
    <w:p>
      <w:pPr>
        <w:pStyle w:val="BodyText"/>
        <w:spacing w:line="249"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2117" w:right="397"/>
      </w:pPr>
      <w:r>
        <w:rPr/>
        <w:t>Tabla 6.4. Ganaderos en los municipios de Jilotepec y Timilpan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516"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Autogestión</w:t>
            </w:r>
          </w:p>
        </w:tc>
        <w:tc>
          <w:tcPr>
            <w:tcW w:w="1985" w:type="dxa"/>
            <w:shd w:val="clear" w:color="auto" w:fill="92CDDC"/>
          </w:tcPr>
          <w:p>
            <w:pPr>
              <w:pStyle w:val="TableParagraph"/>
              <w:spacing w:line="242" w:lineRule="auto"/>
              <w:ind w:right="239"/>
              <w:rPr>
                <w:b/>
                <w:i/>
                <w:sz w:val="22"/>
              </w:rPr>
            </w:pPr>
            <w:r>
              <w:rPr>
                <w:b/>
                <w:i/>
                <w:sz w:val="22"/>
              </w:rPr>
              <w:t>Gobernabilidad </w:t>
            </w:r>
            <w:r>
              <w:rPr>
                <w:b/>
                <w:i/>
                <w:sz w:val="22"/>
              </w:rPr>
              <w:t>y cooperación</w:t>
            </w:r>
          </w:p>
        </w:tc>
      </w:tr>
      <w:tr>
        <w:trPr>
          <w:trHeight w:val="265"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Cooperativa/</w:t>
            </w:r>
          </w:p>
        </w:tc>
        <w:tc>
          <w:tcPr>
            <w:tcW w:w="1135" w:type="dxa"/>
            <w:tcBorders>
              <w:bottom w:val="nil"/>
            </w:tcBorders>
            <w:shd w:val="clear" w:color="auto" w:fill="F9BE8F"/>
          </w:tcPr>
          <w:p>
            <w:pPr>
              <w:pStyle w:val="TableParagraph"/>
              <w:spacing w:line="248" w:lineRule="exact"/>
              <w:rPr>
                <w:b/>
                <w:sz w:val="22"/>
              </w:rPr>
            </w:pPr>
            <w:r>
              <w:rPr>
                <w:b/>
                <w:sz w:val="22"/>
              </w:rPr>
              <w:t>Cargo</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8" w:lineRule="exact"/>
              <w:rPr>
                <w:b/>
                <w:sz w:val="22"/>
              </w:rPr>
            </w:pPr>
            <w:r>
              <w:rPr>
                <w:b/>
                <w:sz w:val="22"/>
              </w:rPr>
              <w:t>¿Considera</w:t>
            </w:r>
          </w:p>
        </w:tc>
        <w:tc>
          <w:tcPr>
            <w:tcW w:w="1985" w:type="dxa"/>
            <w:tcBorders>
              <w:bottom w:val="nil"/>
            </w:tcBorders>
            <w:shd w:val="clear" w:color="auto" w:fill="92CDDC"/>
          </w:tcPr>
          <w:p>
            <w:pPr>
              <w:pStyle w:val="TableParagraph"/>
              <w:tabs>
                <w:tab w:pos="933" w:val="left" w:leader="none"/>
              </w:tabs>
              <w:spacing w:line="248" w:lineRule="exact"/>
              <w:rPr>
                <w:b/>
                <w:sz w:val="22"/>
              </w:rPr>
            </w:pPr>
            <w:r>
              <w:rPr>
                <w:b/>
                <w:sz w:val="22"/>
              </w:rPr>
              <w:t>¿Qué</w:t>
              <w:tab/>
              <w:t>acciones</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2"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2" w:lineRule="exact"/>
              <w:ind w:left="100"/>
              <w:rPr>
                <w:b/>
                <w:sz w:val="22"/>
              </w:rPr>
            </w:pPr>
            <w:r>
              <w:rPr>
                <w:b/>
                <w:sz w:val="22"/>
              </w:rPr>
              <w:t>Asociación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2"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2"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2" w:lineRule="exact"/>
              <w:ind w:left="100" w:right="52"/>
              <w:rPr>
                <w:b/>
                <w:sz w:val="22"/>
              </w:rPr>
            </w:pPr>
            <w:r>
              <w:rPr>
                <w:b/>
                <w:sz w:val="22"/>
              </w:rPr>
              <w:t>vive?</w:t>
            </w:r>
          </w:p>
        </w:tc>
        <w:tc>
          <w:tcPr>
            <w:tcW w:w="1702" w:type="dxa"/>
            <w:tcBorders>
              <w:top w:val="nil"/>
              <w:bottom w:val="nil"/>
            </w:tcBorders>
            <w:shd w:val="clear" w:color="auto" w:fill="92CDDC"/>
          </w:tcPr>
          <w:p>
            <w:pPr>
              <w:pStyle w:val="TableParagraph"/>
              <w:tabs>
                <w:tab w:pos="1271" w:val="left" w:leader="none"/>
              </w:tabs>
              <w:spacing w:line="242" w:lineRule="exact"/>
              <w:rPr>
                <w:b/>
                <w:sz w:val="22"/>
              </w:rPr>
            </w:pPr>
            <w:r>
              <w:rPr>
                <w:b/>
                <w:sz w:val="22"/>
              </w:rPr>
              <w:t>que</w:t>
              <w:tab/>
              <w:t>los</w:t>
            </w:r>
          </w:p>
        </w:tc>
        <w:tc>
          <w:tcPr>
            <w:tcW w:w="1985" w:type="dxa"/>
            <w:tcBorders>
              <w:top w:val="nil"/>
              <w:bottom w:val="nil"/>
            </w:tcBorders>
            <w:shd w:val="clear" w:color="auto" w:fill="92CDDC"/>
          </w:tcPr>
          <w:p>
            <w:pPr>
              <w:pStyle w:val="TableParagraph"/>
              <w:tabs>
                <w:tab w:pos="1691" w:val="left" w:leader="none"/>
              </w:tabs>
              <w:spacing w:line="242" w:lineRule="exact"/>
              <w:rPr>
                <w:b/>
                <w:sz w:val="22"/>
              </w:rPr>
            </w:pPr>
            <w:r>
              <w:rPr>
                <w:b/>
                <w:sz w:val="22"/>
              </w:rPr>
              <w:t>realiza</w:t>
              <w:tab/>
              <w:t>el</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Ganaderos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pastos   de  la</w:t>
            </w:r>
          </w:p>
        </w:tc>
        <w:tc>
          <w:tcPr>
            <w:tcW w:w="1985" w:type="dxa"/>
            <w:tcBorders>
              <w:top w:val="nil"/>
              <w:bottom w:val="nil"/>
            </w:tcBorders>
            <w:shd w:val="clear" w:color="auto" w:fill="92CDDC"/>
          </w:tcPr>
          <w:p>
            <w:pPr>
              <w:pStyle w:val="TableParagraph"/>
              <w:spacing w:line="241" w:lineRule="exact"/>
              <w:rPr>
                <w:b/>
                <w:sz w:val="22"/>
              </w:rPr>
            </w:pPr>
            <w:r>
              <w:rPr>
                <w:b/>
                <w:sz w:val="22"/>
              </w:rPr>
              <w:t>presidente</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laguna</w:t>
            </w:r>
          </w:p>
        </w:tc>
        <w:tc>
          <w:tcPr>
            <w:tcW w:w="1985" w:type="dxa"/>
            <w:tcBorders>
              <w:top w:val="nil"/>
              <w:bottom w:val="nil"/>
            </w:tcBorders>
            <w:shd w:val="clear" w:color="auto" w:fill="92CDDC"/>
          </w:tcPr>
          <w:p>
            <w:pPr>
              <w:pStyle w:val="TableParagraph"/>
              <w:tabs>
                <w:tab w:pos="1350" w:val="left" w:leader="none"/>
                <w:tab w:pos="1686" w:val="left" w:leader="none"/>
              </w:tabs>
              <w:spacing w:line="241" w:lineRule="exact"/>
              <w:rPr>
                <w:b/>
                <w:sz w:val="22"/>
              </w:rPr>
            </w:pPr>
            <w:r>
              <w:rPr>
                <w:b/>
                <w:sz w:val="22"/>
              </w:rPr>
              <w:t>municipal</w:t>
              <w:tab/>
              <w:t>y</w:t>
              <w:tab/>
              <w:t>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Huapango</w:t>
            </w:r>
          </w:p>
        </w:tc>
        <w:tc>
          <w:tcPr>
            <w:tcW w:w="1985" w:type="dxa"/>
            <w:tcBorders>
              <w:top w:val="nil"/>
              <w:bottom w:val="nil"/>
            </w:tcBorders>
            <w:shd w:val="clear" w:color="auto" w:fill="92CDDC"/>
          </w:tcPr>
          <w:p>
            <w:pPr>
              <w:pStyle w:val="TableParagraph"/>
              <w:tabs>
                <w:tab w:pos="1408" w:val="left" w:leader="none"/>
              </w:tabs>
              <w:spacing w:line="242" w:lineRule="exact"/>
              <w:rPr>
                <w:b/>
                <w:sz w:val="22"/>
              </w:rPr>
            </w:pPr>
            <w:r>
              <w:rPr>
                <w:b/>
                <w:sz w:val="22"/>
              </w:rPr>
              <w:t>Conagua</w:t>
              <w:tab/>
              <w:t>para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son</w:t>
            </w:r>
          </w:p>
        </w:tc>
        <w:tc>
          <w:tcPr>
            <w:tcW w:w="1985" w:type="dxa"/>
            <w:tcBorders>
              <w:top w:val="nil"/>
              <w:bottom w:val="nil"/>
            </w:tcBorders>
            <w:shd w:val="clear" w:color="auto" w:fill="92CDDC"/>
          </w:tcPr>
          <w:p>
            <w:pPr>
              <w:pStyle w:val="TableParagraph"/>
              <w:tabs>
                <w:tab w:pos="1689" w:val="left" w:leader="none"/>
              </w:tabs>
              <w:spacing w:line="241" w:lineRule="exact"/>
              <w:rPr>
                <w:b/>
                <w:sz w:val="22"/>
              </w:rPr>
            </w:pPr>
            <w:r>
              <w:rPr>
                <w:b/>
                <w:sz w:val="22"/>
              </w:rPr>
              <w:t>proteger</w:t>
              <w:tab/>
              <w:t>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467" w:val="left" w:leader="none"/>
              </w:tabs>
              <w:spacing w:line="242" w:lineRule="exact"/>
              <w:rPr>
                <w:b/>
                <w:sz w:val="22"/>
              </w:rPr>
            </w:pPr>
            <w:r>
              <w:rPr>
                <w:b/>
                <w:sz w:val="22"/>
              </w:rPr>
              <w:t>suficientes</w:t>
              <w:tab/>
              <w:t>y</w:t>
            </w: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laguna</w:t>
              <w:tab/>
              <w:t>de</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940" w:val="left" w:leader="none"/>
              </w:tabs>
              <w:spacing w:line="241" w:lineRule="exact"/>
              <w:rPr>
                <w:b/>
                <w:sz w:val="22"/>
              </w:rPr>
            </w:pPr>
            <w:r>
              <w:rPr>
                <w:b/>
                <w:sz w:val="22"/>
              </w:rPr>
              <w:t>de</w:t>
              <w:tab/>
              <w:t>buena</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125" w:val="left" w:leader="none"/>
              </w:tabs>
              <w:spacing w:line="241" w:lineRule="exact"/>
              <w:rPr>
                <w:b/>
                <w:sz w:val="22"/>
              </w:rPr>
            </w:pPr>
            <w:r>
              <w:rPr>
                <w:b/>
                <w:sz w:val="22"/>
              </w:rPr>
              <w:t>calidad</w:t>
              <w:tab/>
              <w:t>para</w:t>
            </w:r>
          </w:p>
        </w:tc>
        <w:tc>
          <w:tcPr>
            <w:tcW w:w="1985" w:type="dxa"/>
            <w:tcBorders>
              <w:top w:val="nil"/>
              <w:bottom w:val="nil"/>
            </w:tcBorders>
            <w:shd w:val="clear" w:color="auto" w:fill="92CDDC"/>
          </w:tcPr>
          <w:p>
            <w:pP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el  ganado  de</w:t>
            </w:r>
          </w:p>
        </w:tc>
        <w:tc>
          <w:tcPr>
            <w:tcW w:w="1985"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1" w:lineRule="exact"/>
              <w:rPr>
                <w:b/>
                <w:sz w:val="22"/>
              </w:rPr>
            </w:pPr>
            <w:r>
              <w:rPr>
                <w:b/>
                <w:sz w:val="22"/>
              </w:rPr>
              <w:t>la región?</w:t>
            </w:r>
          </w:p>
        </w:tc>
        <w:tc>
          <w:tcPr>
            <w:tcW w:w="1985"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Servando</w:t>
            </w:r>
          </w:p>
        </w:tc>
        <w:tc>
          <w:tcPr>
            <w:tcW w:w="1418" w:type="dxa"/>
            <w:tcBorders>
              <w:bottom w:val="nil"/>
            </w:tcBorders>
          </w:tcPr>
          <w:p>
            <w:pPr>
              <w:pStyle w:val="TableParagraph"/>
              <w:spacing w:line="251" w:lineRule="exact"/>
              <w:ind w:left="100" w:right="101"/>
              <w:rPr>
                <w:sz w:val="22"/>
              </w:rPr>
            </w:pPr>
            <w:r>
              <w:rPr>
                <w:sz w:val="22"/>
              </w:rPr>
              <w:t>Campesino</w:t>
            </w:r>
          </w:p>
        </w:tc>
        <w:tc>
          <w:tcPr>
            <w:tcW w:w="1841" w:type="dxa"/>
            <w:tcBorders>
              <w:bottom w:val="nil"/>
            </w:tcBorders>
          </w:tcPr>
          <w:p>
            <w:pPr>
              <w:pStyle w:val="TableParagraph"/>
              <w:spacing w:line="251" w:lineRule="exact"/>
              <w:ind w:left="100"/>
              <w:rPr>
                <w:sz w:val="22"/>
              </w:rPr>
            </w:pPr>
            <w:r>
              <w:rPr>
                <w:sz w:val="22"/>
              </w:rPr>
              <w:t>Asociación</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681" w:val="left" w:leader="none"/>
                <w:tab w:pos="1235" w:val="left" w:leader="none"/>
              </w:tabs>
              <w:spacing w:line="251" w:lineRule="exact"/>
              <w:rPr>
                <w:sz w:val="22"/>
              </w:rPr>
            </w:pPr>
            <w:r>
              <w:rPr>
                <w:sz w:val="22"/>
              </w:rPr>
              <w:t>Ya</w:t>
              <w:tab/>
              <w:t>no</w:t>
              <w:tab/>
              <w:t>hay</w:t>
            </w:r>
          </w:p>
        </w:tc>
        <w:tc>
          <w:tcPr>
            <w:tcW w:w="1985" w:type="dxa"/>
            <w:tcBorders>
              <w:bottom w:val="nil"/>
            </w:tcBorders>
          </w:tcPr>
          <w:p>
            <w:pPr>
              <w:pStyle w:val="TableParagraph"/>
              <w:tabs>
                <w:tab w:pos="844" w:val="left" w:leader="none"/>
              </w:tabs>
              <w:spacing w:line="251" w:lineRule="exact"/>
              <w:rPr>
                <w:sz w:val="22"/>
              </w:rPr>
            </w:pPr>
            <w:r>
              <w:rPr>
                <w:sz w:val="22"/>
              </w:rPr>
              <w:t>El</w:t>
              <w:tab/>
              <w:t>presidente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Style w:val="TableParagraph"/>
              <w:spacing w:line="241" w:lineRule="exact"/>
              <w:ind w:left="100" w:right="101"/>
              <w:rPr>
                <w:sz w:val="22"/>
              </w:rPr>
            </w:pPr>
            <w:r>
              <w:rPr>
                <w:sz w:val="22"/>
              </w:rPr>
              <w:t>y ganadero</w:t>
            </w:r>
          </w:p>
        </w:tc>
        <w:tc>
          <w:tcPr>
            <w:tcW w:w="1841" w:type="dxa"/>
            <w:tcBorders>
              <w:top w:val="nil"/>
              <w:bottom w:val="nil"/>
            </w:tcBorders>
          </w:tcPr>
          <w:p>
            <w:pPr>
              <w:pStyle w:val="TableParagraph"/>
              <w:spacing w:line="241" w:lineRule="exact"/>
              <w:ind w:left="100"/>
              <w:rPr>
                <w:sz w:val="22"/>
              </w:rPr>
            </w:pPr>
            <w:r>
              <w:rPr>
                <w:sz w:val="22"/>
              </w:rPr>
              <w:t>Ganadera Local</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spacing w:line="241" w:lineRule="exact"/>
              <w:rPr>
                <w:sz w:val="22"/>
              </w:rPr>
            </w:pPr>
            <w:r>
              <w:rPr>
                <w:sz w:val="22"/>
              </w:rPr>
              <w:t>muchos  y  hay</w:t>
            </w:r>
          </w:p>
        </w:tc>
        <w:tc>
          <w:tcPr>
            <w:tcW w:w="1985" w:type="dxa"/>
            <w:tcBorders>
              <w:top w:val="nil"/>
              <w:bottom w:val="nil"/>
            </w:tcBorders>
          </w:tcPr>
          <w:p>
            <w:pPr>
              <w:pStyle w:val="TableParagraph"/>
              <w:tabs>
                <w:tab w:pos="1626" w:val="left" w:leader="none"/>
              </w:tabs>
              <w:spacing w:line="241" w:lineRule="exact"/>
              <w:rPr>
                <w:sz w:val="22"/>
              </w:rPr>
            </w:pPr>
            <w:r>
              <w:rPr>
                <w:sz w:val="22"/>
              </w:rPr>
              <w:t>municipal</w:t>
              <w:tab/>
              <w:t>no</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Hernández</w:t>
            </w:r>
          </w:p>
        </w:tc>
        <w:tc>
          <w:tcPr>
            <w:tcW w:w="1418" w:type="dxa"/>
            <w:tcBorders>
              <w:top w:val="nil"/>
              <w:bottom w:val="nil"/>
            </w:tcBorders>
          </w:tcPr>
          <w:p>
            <w:pPr/>
          </w:p>
        </w:tc>
        <w:tc>
          <w:tcPr>
            <w:tcW w:w="1841" w:type="dxa"/>
            <w:tcBorders>
              <w:top w:val="nil"/>
              <w:bottom w:val="nil"/>
            </w:tcBorders>
          </w:tcPr>
          <w:p>
            <w:pPr>
              <w:pStyle w:val="TableParagraph"/>
              <w:spacing w:line="243" w:lineRule="exact"/>
              <w:ind w:left="100"/>
              <w:rPr>
                <w:sz w:val="22"/>
              </w:rPr>
            </w:pPr>
            <w:r>
              <w:rPr>
                <w:sz w:val="22"/>
              </w:rPr>
              <w:t>General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3" w:lineRule="exact"/>
              <w:ind w:left="100" w:right="52"/>
              <w:rPr>
                <w:sz w:val="22"/>
              </w:rPr>
            </w:pPr>
            <w:r>
              <w:rPr>
                <w:sz w:val="22"/>
              </w:rPr>
              <w:t>Jilotepec</w:t>
            </w:r>
          </w:p>
        </w:tc>
        <w:tc>
          <w:tcPr>
            <w:tcW w:w="1702" w:type="dxa"/>
            <w:tcBorders>
              <w:top w:val="nil"/>
              <w:bottom w:val="nil"/>
            </w:tcBorders>
          </w:tcPr>
          <w:p>
            <w:pPr>
              <w:pStyle w:val="TableParagraph"/>
              <w:spacing w:line="243" w:lineRule="exact"/>
              <w:rPr>
                <w:sz w:val="22"/>
              </w:rPr>
            </w:pPr>
            <w:r>
              <w:rPr>
                <w:sz w:val="22"/>
              </w:rPr>
              <w:t>una hierba que</w:t>
            </w:r>
          </w:p>
        </w:tc>
        <w:tc>
          <w:tcPr>
            <w:tcW w:w="1985" w:type="dxa"/>
            <w:tcBorders>
              <w:top w:val="nil"/>
              <w:bottom w:val="nil"/>
            </w:tcBorders>
          </w:tcPr>
          <w:p>
            <w:pPr>
              <w:pStyle w:val="TableParagraph"/>
              <w:tabs>
                <w:tab w:pos="822" w:val="left" w:leader="none"/>
                <w:tab w:pos="1555" w:val="left" w:leader="none"/>
              </w:tabs>
              <w:spacing w:line="243" w:lineRule="exact"/>
              <w:rPr>
                <w:sz w:val="22"/>
              </w:rPr>
            </w:pPr>
            <w:r>
              <w:rPr>
                <w:sz w:val="22"/>
              </w:rPr>
              <w:t>hace</w:t>
              <w:tab/>
              <w:t>nada</w:t>
              <w:tab/>
              <w:t>por</w:t>
            </w:r>
          </w:p>
        </w:tc>
      </w:tr>
      <w:tr>
        <w:trPr>
          <w:trHeight w:val="252"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Municipio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los mata.</w:t>
            </w:r>
          </w:p>
        </w:tc>
        <w:tc>
          <w:tcPr>
            <w:tcW w:w="1985" w:type="dxa"/>
            <w:tcBorders>
              <w:top w:val="nil"/>
              <w:bottom w:val="nil"/>
            </w:tcBorders>
          </w:tcPr>
          <w:p>
            <w:pPr>
              <w:pStyle w:val="TableParagraph"/>
              <w:tabs>
                <w:tab w:pos="1702" w:val="left" w:leader="none"/>
              </w:tabs>
              <w:spacing w:line="241" w:lineRule="exact"/>
              <w:rPr>
                <w:sz w:val="22"/>
              </w:rPr>
            </w:pPr>
            <w:r>
              <w:rPr>
                <w:sz w:val="22"/>
              </w:rPr>
              <w:t>proteger</w:t>
              <w:tab/>
              <w:t>la</w:t>
            </w: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Jilotepec</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laguna.</w:t>
            </w:r>
          </w:p>
        </w:tc>
      </w:tr>
    </w:tbl>
    <w:p>
      <w:pPr>
        <w:spacing w:after="0" w:line="241" w:lineRule="exact"/>
        <w:rPr>
          <w:sz w:val="22"/>
        </w:rPr>
        <w:sectPr>
          <w:footerReference w:type="default" r:id="rId180"/>
          <w:pgSz w:w="15840" w:h="12240" w:orient="landscape"/>
          <w:pgMar w:footer="943" w:header="0" w:top="1140" w:bottom="1140" w:left="1200" w:right="1300"/>
          <w:pgNumType w:start="24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left="369" w:right="127"/>
              <w:rPr>
                <w:sz w:val="22"/>
              </w:rPr>
            </w:pPr>
            <w:r>
              <w:rPr>
                <w:sz w:val="22"/>
              </w:rPr>
              <w:t>Rufino</w:t>
            </w:r>
          </w:p>
        </w:tc>
        <w:tc>
          <w:tcPr>
            <w:tcW w:w="1418" w:type="dxa"/>
            <w:tcBorders>
              <w:bottom w:val="nil"/>
            </w:tcBorders>
          </w:tcPr>
          <w:p>
            <w:pPr>
              <w:pStyle w:val="TableParagraph"/>
              <w:spacing w:line="251" w:lineRule="exact"/>
              <w:ind w:left="100" w:right="101"/>
              <w:rPr>
                <w:sz w:val="22"/>
              </w:rPr>
            </w:pPr>
            <w:r>
              <w:rPr>
                <w:sz w:val="22"/>
              </w:rPr>
              <w:t>Ganadero,</w:t>
            </w:r>
          </w:p>
        </w:tc>
        <w:tc>
          <w:tcPr>
            <w:tcW w:w="1841" w:type="dxa"/>
            <w:tcBorders>
              <w:bottom w:val="nil"/>
            </w:tcBorders>
          </w:tcPr>
          <w:p>
            <w:pPr>
              <w:pStyle w:val="TableParagraph"/>
              <w:spacing w:line="251" w:lineRule="exact"/>
              <w:ind w:left="100"/>
              <w:rPr>
                <w:sz w:val="22"/>
              </w:rPr>
            </w:pPr>
            <w:r>
              <w:rPr>
                <w:sz w:val="22"/>
              </w:rPr>
              <w:t>Asociación</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spacing w:line="251" w:lineRule="exact"/>
              <w:rPr>
                <w:sz w:val="22"/>
              </w:rPr>
            </w:pPr>
            <w:r>
              <w:rPr>
                <w:sz w:val="22"/>
              </w:rPr>
              <w:t>No, a un 50%</w:t>
            </w:r>
          </w:p>
        </w:tc>
        <w:tc>
          <w:tcPr>
            <w:tcW w:w="1985" w:type="dxa"/>
            <w:tcBorders>
              <w:bottom w:val="nil"/>
            </w:tcBorders>
          </w:tcPr>
          <w:p>
            <w:pPr>
              <w:pStyle w:val="TableParagraph"/>
              <w:spacing w:line="251" w:lineRule="exact"/>
              <w:rPr>
                <w:sz w:val="22"/>
              </w:rPr>
            </w:pPr>
            <w:r>
              <w:rPr>
                <w:sz w:val="22"/>
              </w:rPr>
              <w:t>Nada,   no  hacen</w:t>
            </w:r>
          </w:p>
        </w:tc>
      </w:tr>
      <w:tr>
        <w:trPr>
          <w:trHeight w:val="253" w:hRule="exact"/>
        </w:trPr>
        <w:tc>
          <w:tcPr>
            <w:tcW w:w="1385" w:type="dxa"/>
            <w:tcBorders>
              <w:top w:val="nil"/>
              <w:bottom w:val="nil"/>
            </w:tcBorders>
          </w:tcPr>
          <w:p>
            <w:pPr>
              <w:pStyle w:val="TableParagraph"/>
              <w:spacing w:line="241" w:lineRule="exact"/>
              <w:ind w:left="357" w:right="127"/>
              <w:rPr>
                <w:sz w:val="22"/>
              </w:rPr>
            </w:pPr>
            <w:r>
              <w:rPr>
                <w:sz w:val="22"/>
              </w:rPr>
              <w:t>García</w:t>
            </w:r>
          </w:p>
        </w:tc>
        <w:tc>
          <w:tcPr>
            <w:tcW w:w="1418" w:type="dxa"/>
            <w:tcBorders>
              <w:top w:val="nil"/>
              <w:bottom w:val="nil"/>
            </w:tcBorders>
          </w:tcPr>
          <w:p>
            <w:pPr>
              <w:pStyle w:val="TableParagraph"/>
              <w:spacing w:line="241" w:lineRule="exact"/>
              <w:ind w:left="100" w:right="101"/>
              <w:rPr>
                <w:sz w:val="22"/>
              </w:rPr>
            </w:pPr>
            <w:r>
              <w:rPr>
                <w:sz w:val="22"/>
              </w:rPr>
              <w:t>agricultor y</w:t>
            </w:r>
          </w:p>
        </w:tc>
        <w:tc>
          <w:tcPr>
            <w:tcW w:w="1841" w:type="dxa"/>
            <w:tcBorders>
              <w:top w:val="nil"/>
              <w:bottom w:val="nil"/>
            </w:tcBorders>
          </w:tcPr>
          <w:p>
            <w:pPr>
              <w:pStyle w:val="TableParagraph"/>
              <w:spacing w:line="241" w:lineRule="exact"/>
              <w:ind w:left="100"/>
              <w:rPr>
                <w:sz w:val="22"/>
              </w:rPr>
            </w:pPr>
            <w:r>
              <w:rPr>
                <w:sz w:val="22"/>
              </w:rPr>
              <w:t>Ganadera</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1702" w:type="dxa"/>
            <w:tcBorders>
              <w:top w:val="nil"/>
              <w:bottom w:val="nil"/>
            </w:tcBorders>
          </w:tcPr>
          <w:p>
            <w:pPr>
              <w:pStyle w:val="TableParagraph"/>
              <w:spacing w:line="241" w:lineRule="exact"/>
              <w:rPr>
                <w:sz w:val="22"/>
              </w:rPr>
            </w:pPr>
            <w:r>
              <w:rPr>
                <w:sz w:val="22"/>
              </w:rPr>
              <w:t>porque se han</w:t>
            </w:r>
          </w:p>
        </w:tc>
        <w:tc>
          <w:tcPr>
            <w:tcW w:w="1985" w:type="dxa"/>
            <w:tcBorders>
              <w:top w:val="nil"/>
              <w:bottom w:val="nil"/>
            </w:tcBorders>
          </w:tcPr>
          <w:p>
            <w:pPr>
              <w:pStyle w:val="TableParagraph"/>
              <w:spacing w:line="241" w:lineRule="exact"/>
              <w:rPr>
                <w:sz w:val="22"/>
              </w:rPr>
            </w:pPr>
            <w:r>
              <w:rPr>
                <w:sz w:val="22"/>
              </w:rPr>
              <w:t>nada.</w:t>
            </w:r>
          </w:p>
        </w:tc>
      </w:tr>
      <w:tr>
        <w:trPr>
          <w:trHeight w:val="253" w:hRule="exact"/>
        </w:trPr>
        <w:tc>
          <w:tcPr>
            <w:tcW w:w="1385" w:type="dxa"/>
            <w:tcBorders>
              <w:top w:val="nil"/>
              <w:bottom w:val="nil"/>
            </w:tcBorders>
          </w:tcPr>
          <w:p>
            <w:pPr>
              <w:pStyle w:val="TableParagraph"/>
              <w:spacing w:line="242" w:lineRule="exact"/>
              <w:ind w:left="215" w:right="127"/>
              <w:rPr>
                <w:sz w:val="22"/>
              </w:rPr>
            </w:pPr>
            <w:r>
              <w:rPr>
                <w:sz w:val="22"/>
              </w:rPr>
              <w:t>(2/I/2015)</w:t>
            </w:r>
          </w:p>
        </w:tc>
        <w:tc>
          <w:tcPr>
            <w:tcW w:w="1418" w:type="dxa"/>
            <w:tcBorders>
              <w:top w:val="nil"/>
              <w:bottom w:val="nil"/>
            </w:tcBorders>
          </w:tcPr>
          <w:p>
            <w:pPr>
              <w:pStyle w:val="TableParagraph"/>
              <w:spacing w:line="242" w:lineRule="exact"/>
              <w:ind w:left="100" w:right="101"/>
              <w:rPr>
                <w:sz w:val="22"/>
              </w:rPr>
            </w:pPr>
            <w:r>
              <w:rPr>
                <w:sz w:val="22"/>
              </w:rPr>
              <w:t>abogado</w:t>
            </w:r>
          </w:p>
        </w:tc>
        <w:tc>
          <w:tcPr>
            <w:tcW w:w="1841" w:type="dxa"/>
            <w:tcBorders>
              <w:top w:val="nil"/>
              <w:bottom w:val="nil"/>
            </w:tcBorders>
          </w:tcPr>
          <w:p>
            <w:pPr>
              <w:pStyle w:val="TableParagraph"/>
              <w:tabs>
                <w:tab w:pos="1434" w:val="left" w:leader="none"/>
              </w:tabs>
              <w:spacing w:line="242" w:lineRule="exact"/>
              <w:ind w:left="100"/>
              <w:rPr>
                <w:sz w:val="22"/>
              </w:rPr>
            </w:pPr>
            <w:r>
              <w:rPr>
                <w:sz w:val="22"/>
              </w:rPr>
              <w:t>General</w:t>
              <w:tab/>
              <w:t>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Style w:val="TableParagraph"/>
              <w:spacing w:line="242" w:lineRule="exact"/>
              <w:rPr>
                <w:sz w:val="22"/>
              </w:rPr>
            </w:pPr>
            <w:r>
              <w:rPr>
                <w:sz w:val="22"/>
              </w:rPr>
              <w:t>deteriorado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0" w:val="left" w:leader="none"/>
              </w:tabs>
              <w:spacing w:line="241" w:lineRule="exact"/>
              <w:ind w:left="100"/>
              <w:rPr>
                <w:sz w:val="22"/>
              </w:rPr>
            </w:pPr>
            <w:r>
              <w:rPr>
                <w:sz w:val="22"/>
              </w:rPr>
              <w:t>Municipio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con los carros.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Timilpan, A.C</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07" w:val="left" w:leader="none"/>
              </w:tabs>
              <w:spacing w:line="241" w:lineRule="exact"/>
              <w:ind w:left="100"/>
              <w:rPr>
                <w:sz w:val="22"/>
              </w:rPr>
            </w:pPr>
            <w:r>
              <w:rPr>
                <w:sz w:val="22"/>
              </w:rPr>
              <w:t>(Representa</w:t>
              <w:tab/>
              <w:t>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728" w:val="right" w:leader="none"/>
              </w:tabs>
              <w:spacing w:line="241" w:lineRule="exact"/>
              <w:ind w:left="100"/>
              <w:rPr>
                <w:sz w:val="22"/>
              </w:rPr>
            </w:pPr>
            <w:r>
              <w:rPr>
                <w:sz w:val="22"/>
              </w:rPr>
              <w:t>las</w:t>
              <w:tab/>
              <w:t>36</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comunidades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Timilpan)</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Evaristo</w:t>
            </w:r>
          </w:p>
        </w:tc>
        <w:tc>
          <w:tcPr>
            <w:tcW w:w="1418" w:type="dxa"/>
            <w:tcBorders>
              <w:bottom w:val="nil"/>
            </w:tcBorders>
          </w:tcPr>
          <w:p>
            <w:pPr>
              <w:pStyle w:val="TableParagraph"/>
              <w:spacing w:line="251" w:lineRule="exact"/>
              <w:ind w:left="127"/>
              <w:rPr>
                <w:sz w:val="22"/>
              </w:rPr>
            </w:pPr>
            <w:r>
              <w:rPr>
                <w:sz w:val="22"/>
              </w:rPr>
              <w:t>Ganadero y</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1702" w:type="dxa"/>
            <w:tcBorders>
              <w:bottom w:val="nil"/>
            </w:tcBorders>
          </w:tcPr>
          <w:p>
            <w:pPr>
              <w:pStyle w:val="TableParagraph"/>
              <w:tabs>
                <w:tab w:pos="712" w:val="left" w:leader="none"/>
                <w:tab w:pos="1357" w:val="left" w:leader="none"/>
              </w:tabs>
              <w:spacing w:line="251" w:lineRule="exact"/>
              <w:rPr>
                <w:sz w:val="22"/>
              </w:rPr>
            </w:pPr>
            <w:r>
              <w:rPr>
                <w:sz w:val="22"/>
              </w:rPr>
              <w:t>Ya</w:t>
              <w:tab/>
              <w:t>no,</w:t>
              <w:tab/>
              <w:t>ya</w:t>
            </w:r>
          </w:p>
        </w:tc>
        <w:tc>
          <w:tcPr>
            <w:tcW w:w="1985" w:type="dxa"/>
            <w:tcBorders>
              <w:bottom w:val="nil"/>
            </w:tcBorders>
          </w:tcPr>
          <w:p>
            <w:pPr>
              <w:pStyle w:val="TableParagraph"/>
              <w:spacing w:line="251" w:lineRule="exact"/>
              <w:rPr>
                <w:sz w:val="22"/>
              </w:rPr>
            </w:pPr>
            <w:r>
              <w:rPr>
                <w:sz w:val="22"/>
              </w:rPr>
              <w:t>Pobre  presidente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Style w:val="TableParagraph"/>
              <w:spacing w:line="241" w:lineRule="exact"/>
              <w:ind w:left="249" w:right="101"/>
              <w:rPr>
                <w:sz w:val="22"/>
              </w:rPr>
            </w:pPr>
            <w:r>
              <w:rPr>
                <w:sz w:val="22"/>
              </w:rPr>
              <w:t>agricultor</w:t>
            </w:r>
          </w:p>
        </w:tc>
        <w:tc>
          <w:tcPr>
            <w:tcW w:w="1841" w:type="dxa"/>
            <w:tcBorders>
              <w:top w:val="nil"/>
              <w:bottom w:val="nil"/>
            </w:tcBorders>
          </w:tcPr>
          <w:p>
            <w:pPr>
              <w:pStyle w:val="TableParagraph"/>
              <w:tabs>
                <w:tab w:pos="820" w:val="left" w:leader="none"/>
              </w:tabs>
              <w:spacing w:line="241" w:lineRule="exact"/>
              <w:ind w:left="100"/>
              <w:rPr>
                <w:sz w:val="22"/>
              </w:rPr>
            </w:pPr>
            <w:r>
              <w:rPr>
                <w:sz w:val="22"/>
              </w:rPr>
              <w:t>para</w:t>
              <w:tab/>
              <w:t>gestionar</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spacing w:line="241" w:lineRule="exact"/>
              <w:rPr>
                <w:sz w:val="22"/>
              </w:rPr>
            </w:pPr>
            <w:r>
              <w:rPr>
                <w:sz w:val="22"/>
              </w:rPr>
              <w:t>hasta el animal</w:t>
            </w:r>
          </w:p>
        </w:tc>
        <w:tc>
          <w:tcPr>
            <w:tcW w:w="1985" w:type="dxa"/>
            <w:tcBorders>
              <w:top w:val="nil"/>
              <w:bottom w:val="nil"/>
            </w:tcBorders>
          </w:tcPr>
          <w:p>
            <w:pPr>
              <w:pStyle w:val="TableParagraph"/>
              <w:spacing w:line="241" w:lineRule="exact"/>
              <w:rPr>
                <w:sz w:val="22"/>
              </w:rPr>
            </w:pPr>
            <w:r>
              <w:rPr>
                <w:sz w:val="22"/>
              </w:rPr>
              <w:t>está   en   el</w:t>
            </w:r>
            <w:r>
              <w:rPr>
                <w:spacing w:val="52"/>
                <w:sz w:val="22"/>
              </w:rPr>
              <w:t> </w:t>
            </w:r>
            <w:r>
              <w:rPr>
                <w:sz w:val="22"/>
              </w:rPr>
              <w:t>cielo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Miguel</w:t>
            </w: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2" w:lineRule="exact"/>
              <w:ind w:left="100"/>
              <w:rPr>
                <w:sz w:val="22"/>
              </w:rPr>
            </w:pPr>
            <w:r>
              <w:rPr>
                <w:sz w:val="22"/>
              </w:rPr>
              <w:t>proyectos</w:t>
              <w:tab/>
              <w:t>en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w:t>
            </w:r>
          </w:p>
        </w:tc>
        <w:tc>
          <w:tcPr>
            <w:tcW w:w="1133" w:type="dxa"/>
            <w:tcBorders>
              <w:top w:val="nil"/>
              <w:bottom w:val="nil"/>
            </w:tcBorders>
          </w:tcPr>
          <w:p>
            <w:pPr>
              <w:pStyle w:val="TableParagraph"/>
              <w:spacing w:line="242" w:lineRule="exact"/>
              <w:ind w:left="100" w:right="52"/>
              <w:rPr>
                <w:sz w:val="22"/>
              </w:rPr>
            </w:pPr>
            <w:r>
              <w:rPr>
                <w:sz w:val="22"/>
              </w:rPr>
              <w:t>na,</w:t>
            </w:r>
          </w:p>
        </w:tc>
        <w:tc>
          <w:tcPr>
            <w:tcW w:w="1702" w:type="dxa"/>
            <w:tcBorders>
              <w:top w:val="nil"/>
              <w:bottom w:val="nil"/>
            </w:tcBorders>
          </w:tcPr>
          <w:p>
            <w:pPr>
              <w:pStyle w:val="TableParagraph"/>
              <w:spacing w:line="242" w:lineRule="exact"/>
              <w:rPr>
                <w:sz w:val="22"/>
              </w:rPr>
            </w:pPr>
            <w:r>
              <w:rPr>
                <w:sz w:val="22"/>
              </w:rPr>
              <w:t>sabe diferente,</w:t>
            </w:r>
          </w:p>
        </w:tc>
        <w:tc>
          <w:tcPr>
            <w:tcW w:w="1985" w:type="dxa"/>
            <w:tcBorders>
              <w:top w:val="nil"/>
              <w:bottom w:val="nil"/>
            </w:tcBorders>
          </w:tcPr>
          <w:p>
            <w:pPr>
              <w:pStyle w:val="TableParagraph"/>
              <w:spacing w:line="242" w:lineRule="exact"/>
              <w:rPr>
                <w:sz w:val="22"/>
              </w:rPr>
            </w:pPr>
            <w:r>
              <w:rPr>
                <w:sz w:val="22"/>
              </w:rPr>
              <w:t>no   sabe   lo  que</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1" w:lineRule="exact"/>
              <w:ind w:left="100"/>
              <w:rPr>
                <w:sz w:val="22"/>
              </w:rPr>
            </w:pPr>
            <w:r>
              <w:rPr>
                <w:sz w:val="22"/>
              </w:rPr>
              <w:t>Sagarpa</w:t>
              <w:tab/>
              <w:t>(no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ya   los  pastos</w:t>
            </w:r>
          </w:p>
        </w:tc>
        <w:tc>
          <w:tcPr>
            <w:tcW w:w="1985" w:type="dxa"/>
            <w:tcBorders>
              <w:top w:val="nil"/>
              <w:bottom w:val="nil"/>
            </w:tcBorders>
          </w:tcPr>
          <w:p>
            <w:pPr>
              <w:pStyle w:val="TableParagraph"/>
              <w:spacing w:line="241" w:lineRule="exact"/>
              <w:rPr>
                <w:sz w:val="22"/>
              </w:rPr>
            </w:pPr>
            <w:r>
              <w:rPr>
                <w:sz w:val="22"/>
              </w:rPr>
              <w:t>hay aquí, no pone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556" w:val="left" w:leader="none"/>
              </w:tabs>
              <w:spacing w:line="241" w:lineRule="exact"/>
              <w:ind w:left="100"/>
              <w:rPr>
                <w:sz w:val="22"/>
              </w:rPr>
            </w:pPr>
            <w:r>
              <w:rPr>
                <w:sz w:val="22"/>
              </w:rPr>
              <w:t>recurdo</w:t>
              <w:tab/>
              <w:t>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75" w:val="left" w:leader="none"/>
                <w:tab w:pos="1062" w:val="left" w:leader="none"/>
              </w:tabs>
              <w:spacing w:line="241" w:lineRule="exact"/>
              <w:rPr>
                <w:sz w:val="22"/>
              </w:rPr>
            </w:pPr>
            <w:r>
              <w:rPr>
                <w:sz w:val="22"/>
              </w:rPr>
              <w:t>ya</w:t>
              <w:tab/>
              <w:t>no</w:t>
              <w:tab/>
              <w:t>salen</w:t>
            </w:r>
          </w:p>
        </w:tc>
        <w:tc>
          <w:tcPr>
            <w:tcW w:w="1985" w:type="dxa"/>
            <w:tcBorders>
              <w:top w:val="nil"/>
              <w:bottom w:val="nil"/>
            </w:tcBorders>
          </w:tcPr>
          <w:p>
            <w:pPr>
              <w:pStyle w:val="TableParagraph"/>
              <w:spacing w:line="241" w:lineRule="exact"/>
              <w:rPr>
                <w:sz w:val="22"/>
              </w:rPr>
            </w:pPr>
            <w:r>
              <w:rPr>
                <w:sz w:val="22"/>
              </w:rPr>
              <w:t>de su parte.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2" w:lineRule="exact"/>
              <w:ind w:left="100"/>
              <w:rPr>
                <w:sz w:val="22"/>
              </w:rPr>
            </w:pPr>
            <w:r>
              <w:rPr>
                <w:sz w:val="22"/>
              </w:rPr>
              <w:t>nombre)</w:t>
              <w:tab/>
              <w:t>(10</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como antes.</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Antonio</w:t>
            </w:r>
          </w:p>
        </w:tc>
        <w:tc>
          <w:tcPr>
            <w:tcW w:w="1418" w:type="dxa"/>
            <w:tcBorders>
              <w:bottom w:val="nil"/>
            </w:tcBorders>
          </w:tcPr>
          <w:p>
            <w:pPr>
              <w:pStyle w:val="TableParagraph"/>
              <w:spacing w:line="251" w:lineRule="exact"/>
              <w:ind w:left="100" w:right="101"/>
              <w:rPr>
                <w:sz w:val="22"/>
              </w:rPr>
            </w:pPr>
            <w:r>
              <w:rPr>
                <w:sz w:val="22"/>
              </w:rPr>
              <w:t>Ganadero,</w:t>
            </w:r>
          </w:p>
        </w:tc>
        <w:tc>
          <w:tcPr>
            <w:tcW w:w="1841" w:type="dxa"/>
            <w:tcBorders>
              <w:bottom w:val="nil"/>
            </w:tcBorders>
          </w:tcPr>
          <w:p>
            <w:pPr>
              <w:pStyle w:val="TableParagraph"/>
              <w:spacing w:line="251" w:lineRule="exact"/>
              <w:ind w:left="100"/>
              <w:rPr>
                <w:sz w:val="22"/>
              </w:rPr>
            </w:pPr>
            <w:r>
              <w:rPr>
                <w:sz w:val="22"/>
              </w:rPr>
              <w:t>Cooperativa   de</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1702" w:type="dxa"/>
            <w:tcBorders>
              <w:bottom w:val="nil"/>
            </w:tcBorders>
          </w:tcPr>
          <w:p>
            <w:pPr>
              <w:pStyle w:val="TableParagraph"/>
              <w:tabs>
                <w:tab w:pos="901" w:val="left" w:leader="none"/>
              </w:tabs>
              <w:spacing w:line="251" w:lineRule="exact"/>
              <w:rPr>
                <w:sz w:val="22"/>
              </w:rPr>
            </w:pPr>
            <w:r>
              <w:rPr>
                <w:sz w:val="22"/>
              </w:rPr>
              <w:t>Sí</w:t>
              <w:tab/>
              <w:t>porque</w:t>
            </w:r>
          </w:p>
        </w:tc>
        <w:tc>
          <w:tcPr>
            <w:tcW w:w="1985" w:type="dxa"/>
            <w:tcBorders>
              <w:bottom w:val="nil"/>
            </w:tcBorders>
          </w:tcPr>
          <w:p>
            <w:pPr>
              <w:pStyle w:val="TableParagraph"/>
              <w:spacing w:line="251" w:lineRule="exact"/>
              <w:rPr>
                <w:sz w:val="22"/>
              </w:rPr>
            </w:pPr>
            <w:r>
              <w:rPr>
                <w:sz w:val="22"/>
              </w:rPr>
              <w:t>Nada.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Gabriel</w:t>
            </w:r>
          </w:p>
        </w:tc>
        <w:tc>
          <w:tcPr>
            <w:tcW w:w="1418" w:type="dxa"/>
            <w:tcBorders>
              <w:top w:val="nil"/>
              <w:bottom w:val="nil"/>
            </w:tcBorders>
          </w:tcPr>
          <w:p>
            <w:pPr>
              <w:pStyle w:val="TableParagraph"/>
              <w:spacing w:line="241" w:lineRule="exact"/>
              <w:ind w:left="100"/>
              <w:rPr>
                <w:sz w:val="22"/>
              </w:rPr>
            </w:pPr>
            <w:r>
              <w:rPr>
                <w:sz w:val="22"/>
              </w:rPr>
              <w:t>agricultor   y</w:t>
            </w:r>
          </w:p>
        </w:tc>
        <w:tc>
          <w:tcPr>
            <w:tcW w:w="1841" w:type="dxa"/>
            <w:tcBorders>
              <w:top w:val="nil"/>
              <w:bottom w:val="nil"/>
            </w:tcBorders>
          </w:tcPr>
          <w:p>
            <w:pPr>
              <w:pStyle w:val="TableParagraph"/>
              <w:spacing w:line="241" w:lineRule="exact"/>
              <w:ind w:left="100"/>
              <w:rPr>
                <w:sz w:val="22"/>
              </w:rPr>
            </w:pPr>
            <w:r>
              <w:rPr>
                <w:sz w:val="22"/>
              </w:rPr>
              <w:t>Ganaderos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spacing w:line="241" w:lineRule="exact"/>
              <w:rPr>
                <w:sz w:val="22"/>
              </w:rPr>
            </w:pPr>
            <w:r>
              <w:rPr>
                <w:sz w:val="22"/>
              </w:rPr>
              <w:t>toman  agua  y</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Cruz</w:t>
            </w:r>
          </w:p>
        </w:tc>
        <w:tc>
          <w:tcPr>
            <w:tcW w:w="1418" w:type="dxa"/>
            <w:tcBorders>
              <w:top w:val="nil"/>
              <w:bottom w:val="nil"/>
            </w:tcBorders>
          </w:tcPr>
          <w:p>
            <w:pPr>
              <w:pStyle w:val="TableParagraph"/>
              <w:spacing w:line="243" w:lineRule="exact"/>
              <w:ind w:left="100" w:right="101"/>
              <w:rPr>
                <w:sz w:val="22"/>
              </w:rPr>
            </w:pPr>
            <w:r>
              <w:rPr>
                <w:sz w:val="22"/>
              </w:rPr>
              <w:t>albañil</w:t>
            </w:r>
          </w:p>
        </w:tc>
        <w:tc>
          <w:tcPr>
            <w:tcW w:w="1841" w:type="dxa"/>
            <w:tcBorders>
              <w:top w:val="nil"/>
              <w:bottom w:val="nil"/>
            </w:tcBorders>
          </w:tcPr>
          <w:p>
            <w:pPr>
              <w:pStyle w:val="TableParagraph"/>
              <w:spacing w:line="243" w:lineRule="exact"/>
              <w:ind w:left="100"/>
              <w:rPr>
                <w:sz w:val="22"/>
              </w:rPr>
            </w:pPr>
            <w:r>
              <w:rPr>
                <w:sz w:val="22"/>
              </w:rPr>
              <w:t>(No  recuerdo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3" w:lineRule="exact"/>
              <w:ind w:right="92"/>
              <w:rPr>
                <w:sz w:val="22"/>
              </w:rPr>
            </w:pPr>
            <w:r>
              <w:rPr>
                <w:sz w:val="22"/>
              </w:rPr>
              <w:t>a,</w:t>
            </w:r>
          </w:p>
        </w:tc>
        <w:tc>
          <w:tcPr>
            <w:tcW w:w="1133" w:type="dxa"/>
            <w:tcBorders>
              <w:top w:val="nil"/>
              <w:bottom w:val="nil"/>
            </w:tcBorders>
          </w:tcPr>
          <w:p>
            <w:pPr>
              <w:pStyle w:val="TableParagraph"/>
              <w:spacing w:line="243" w:lineRule="exact"/>
              <w:ind w:left="100" w:right="52"/>
              <w:rPr>
                <w:sz w:val="22"/>
              </w:rPr>
            </w:pPr>
            <w:r>
              <w:rPr>
                <w:sz w:val="22"/>
              </w:rPr>
              <w:t>na,</w:t>
            </w:r>
          </w:p>
        </w:tc>
        <w:tc>
          <w:tcPr>
            <w:tcW w:w="1702" w:type="dxa"/>
            <w:tcBorders>
              <w:top w:val="nil"/>
              <w:bottom w:val="nil"/>
            </w:tcBorders>
          </w:tcPr>
          <w:p>
            <w:pPr>
              <w:pStyle w:val="TableParagraph"/>
              <w:tabs>
                <w:tab w:pos="990" w:val="left" w:leader="none"/>
              </w:tabs>
              <w:spacing w:line="243" w:lineRule="exact"/>
              <w:rPr>
                <w:sz w:val="22"/>
              </w:rPr>
            </w:pPr>
            <w:r>
              <w:rPr>
                <w:sz w:val="22"/>
              </w:rPr>
              <w:t>comen</w:t>
              <w:tab/>
              <w:t>pasto,</w:t>
            </w:r>
          </w:p>
        </w:tc>
        <w:tc>
          <w:tcPr>
            <w:tcW w:w="1985"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(17/I/2015)</w:t>
            </w:r>
          </w:p>
        </w:tc>
        <w:tc>
          <w:tcPr>
            <w:tcW w:w="1418" w:type="dxa"/>
            <w:tcBorders>
              <w:top w:val="nil"/>
              <w:bottom w:val="nil"/>
            </w:tcBorders>
          </w:tcPr>
          <w:p>
            <w:pPr/>
          </w:p>
        </w:tc>
        <w:tc>
          <w:tcPr>
            <w:tcW w:w="1841" w:type="dxa"/>
            <w:tcBorders>
              <w:top w:val="nil"/>
              <w:bottom w:val="nil"/>
            </w:tcBorders>
          </w:tcPr>
          <w:p>
            <w:pPr>
              <w:pStyle w:val="TableParagraph"/>
              <w:tabs>
                <w:tab w:pos="1149" w:val="left" w:leader="none"/>
                <w:tab w:pos="1556" w:val="left" w:leader="none"/>
              </w:tabs>
              <w:spacing w:line="241" w:lineRule="exact"/>
              <w:ind w:left="100"/>
              <w:rPr>
                <w:sz w:val="22"/>
              </w:rPr>
            </w:pPr>
            <w:r>
              <w:rPr>
                <w:sz w:val="22"/>
              </w:rPr>
              <w:t>nombre,</w:t>
              <w:tab/>
              <w:t>ni</w:t>
              <w:tab/>
              <w:t>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si se llenan los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1" w:lineRule="exact"/>
              <w:ind w:left="100"/>
              <w:rPr>
                <w:sz w:val="22"/>
              </w:rPr>
            </w:pPr>
            <w:r>
              <w:rPr>
                <w:sz w:val="22"/>
              </w:rPr>
              <w:t>número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animales.</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2" w:lineRule="exact"/>
              <w:ind w:left="100"/>
              <w:rPr>
                <w:sz w:val="22"/>
              </w:rPr>
            </w:pPr>
            <w:r>
              <w:rPr>
                <w:sz w:val="22"/>
              </w:rPr>
              <w:t>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Porfirio</w:t>
            </w:r>
          </w:p>
        </w:tc>
        <w:tc>
          <w:tcPr>
            <w:tcW w:w="1418" w:type="dxa"/>
            <w:tcBorders>
              <w:bottom w:val="nil"/>
            </w:tcBorders>
          </w:tcPr>
          <w:p>
            <w:pPr>
              <w:pStyle w:val="TableParagraph"/>
              <w:spacing w:line="251" w:lineRule="exact"/>
              <w:ind w:left="156" w:right="101"/>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Cooperativa   de</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1702" w:type="dxa"/>
            <w:tcBorders>
              <w:bottom w:val="nil"/>
            </w:tcBorders>
          </w:tcPr>
          <w:p>
            <w:pPr>
              <w:pStyle w:val="TableParagraph"/>
              <w:spacing w:line="251" w:lineRule="exact"/>
              <w:rPr>
                <w:sz w:val="22"/>
              </w:rPr>
            </w:pPr>
            <w:r>
              <w:rPr>
                <w:sz w:val="22"/>
              </w:rPr>
              <w:t>El  pasto ya no</w:t>
            </w:r>
          </w:p>
        </w:tc>
        <w:tc>
          <w:tcPr>
            <w:tcW w:w="1985" w:type="dxa"/>
            <w:tcBorders>
              <w:bottom w:val="nil"/>
            </w:tcBorders>
          </w:tcPr>
          <w:p>
            <w:pPr>
              <w:pStyle w:val="TableParagraph"/>
              <w:spacing w:line="251" w:lineRule="exact"/>
              <w:rPr>
                <w:sz w:val="22"/>
              </w:rPr>
            </w:pPr>
            <w:r>
              <w:rPr>
                <w:sz w:val="22"/>
              </w:rPr>
              <w:t>Nada,   no  hacen</w:t>
            </w:r>
          </w:p>
        </w:tc>
      </w:tr>
      <w:tr>
        <w:trPr>
          <w:trHeight w:val="253" w:hRule="exact"/>
        </w:trPr>
        <w:tc>
          <w:tcPr>
            <w:tcW w:w="1385" w:type="dxa"/>
            <w:tcBorders>
              <w:top w:val="nil"/>
              <w:bottom w:val="nil"/>
            </w:tcBorders>
          </w:tcPr>
          <w:p>
            <w:pPr>
              <w:pStyle w:val="TableParagraph"/>
              <w:tabs>
                <w:tab w:pos="1026" w:val="left" w:leader="none"/>
              </w:tabs>
              <w:spacing w:line="242" w:lineRule="exact"/>
              <w:rPr>
                <w:sz w:val="22"/>
              </w:rPr>
            </w:pPr>
            <w:r>
              <w:rPr>
                <w:sz w:val="22"/>
              </w:rPr>
              <w:t>Magno</w:t>
              <w:tab/>
              <w:t>de</w:t>
            </w:r>
          </w:p>
        </w:tc>
        <w:tc>
          <w:tcPr>
            <w:tcW w:w="1418" w:type="dxa"/>
            <w:tcBorders>
              <w:top w:val="nil"/>
              <w:bottom w:val="nil"/>
            </w:tcBorders>
          </w:tcPr>
          <w:p>
            <w:pPr>
              <w:pStyle w:val="TableParagraph"/>
              <w:spacing w:line="242" w:lineRule="exact"/>
              <w:ind w:left="218" w:right="101"/>
              <w:rPr>
                <w:sz w:val="22"/>
              </w:rPr>
            </w:pPr>
            <w:r>
              <w:rPr>
                <w:sz w:val="22"/>
              </w:rPr>
              <w:t>el ganado</w:t>
            </w:r>
          </w:p>
        </w:tc>
        <w:tc>
          <w:tcPr>
            <w:tcW w:w="1841" w:type="dxa"/>
            <w:tcBorders>
              <w:top w:val="nil"/>
              <w:bottom w:val="nil"/>
            </w:tcBorders>
          </w:tcPr>
          <w:p>
            <w:pPr>
              <w:pStyle w:val="TableParagraph"/>
              <w:spacing w:line="242" w:lineRule="exact"/>
              <w:ind w:left="100"/>
              <w:rPr>
                <w:sz w:val="22"/>
              </w:rPr>
            </w:pPr>
            <w:r>
              <w:rPr>
                <w:sz w:val="22"/>
              </w:rPr>
              <w:t>ganaderos</w:t>
            </w:r>
          </w:p>
        </w:tc>
        <w:tc>
          <w:tcPr>
            <w:tcW w:w="1135" w:type="dxa"/>
            <w:tcBorders>
              <w:top w:val="nil"/>
              <w:bottom w:val="nil"/>
            </w:tcBorders>
          </w:tcPr>
          <w:p>
            <w:pPr>
              <w:pStyle w:val="TableParagraph"/>
              <w:spacing w:line="242" w:lineRule="exact"/>
              <w:rPr>
                <w:sz w:val="22"/>
              </w:rPr>
            </w:pPr>
            <w:r>
              <w:rPr>
                <w:w w:val="100"/>
                <w:sz w:val="22"/>
              </w:rPr>
              <w:t>e</w:t>
            </w: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Style w:val="TableParagraph"/>
              <w:spacing w:line="242" w:lineRule="exact"/>
              <w:ind w:right="92"/>
              <w:rPr>
                <w:sz w:val="22"/>
              </w:rPr>
            </w:pPr>
            <w:r>
              <w:rPr>
                <w:sz w:val="22"/>
              </w:rPr>
              <w:t>Campesin</w:t>
            </w:r>
          </w:p>
        </w:tc>
        <w:tc>
          <w:tcPr>
            <w:tcW w:w="1133" w:type="dxa"/>
            <w:tcBorders>
              <w:top w:val="nil"/>
              <w:bottom w:val="nil"/>
            </w:tcBorders>
          </w:tcPr>
          <w:p>
            <w:pPr>
              <w:pStyle w:val="TableParagraph"/>
              <w:spacing w:line="242" w:lineRule="exact"/>
              <w:ind w:left="100" w:right="52"/>
              <w:rPr>
                <w:sz w:val="22"/>
              </w:rPr>
            </w:pPr>
            <w:r>
              <w:rPr>
                <w:sz w:val="22"/>
              </w:rPr>
              <w:t>Campesi</w:t>
            </w:r>
          </w:p>
        </w:tc>
        <w:tc>
          <w:tcPr>
            <w:tcW w:w="1702" w:type="dxa"/>
            <w:tcBorders>
              <w:top w:val="nil"/>
              <w:bottom w:val="nil"/>
            </w:tcBorders>
          </w:tcPr>
          <w:p>
            <w:pPr>
              <w:pStyle w:val="TableParagraph"/>
              <w:tabs>
                <w:tab w:pos="599" w:val="left" w:leader="none"/>
              </w:tabs>
              <w:spacing w:line="242" w:lineRule="exact"/>
              <w:rPr>
                <w:sz w:val="22"/>
              </w:rPr>
            </w:pPr>
            <w:r>
              <w:rPr>
                <w:sz w:val="22"/>
              </w:rPr>
              <w:t>es</w:t>
              <w:tab/>
              <w:t>suficiente,</w:t>
            </w:r>
          </w:p>
        </w:tc>
        <w:tc>
          <w:tcPr>
            <w:tcW w:w="1985" w:type="dxa"/>
            <w:tcBorders>
              <w:top w:val="nil"/>
              <w:bottom w:val="nil"/>
            </w:tcBorders>
          </w:tcPr>
          <w:p>
            <w:pPr>
              <w:pStyle w:val="TableParagraph"/>
              <w:spacing w:line="242" w:lineRule="exact"/>
              <w:rPr>
                <w:sz w:val="22"/>
              </w:rPr>
            </w:pPr>
            <w:r>
              <w:rPr>
                <w:sz w:val="22"/>
              </w:rPr>
              <w:t>nada,  nadamas 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la Cruz</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(No  recuerdo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Style w:val="TableParagraph"/>
              <w:tabs>
                <w:tab w:pos="568" w:val="left" w:leader="none"/>
                <w:tab w:pos="1048" w:val="left" w:leader="none"/>
              </w:tabs>
              <w:spacing w:line="241" w:lineRule="exact"/>
              <w:rPr>
                <w:sz w:val="22"/>
              </w:rPr>
            </w:pPr>
            <w:r>
              <w:rPr>
                <w:sz w:val="22"/>
              </w:rPr>
              <w:t>ya</w:t>
              <w:tab/>
              <w:t>no</w:t>
              <w:tab/>
              <w:t>crece</w:t>
            </w:r>
          </w:p>
        </w:tc>
        <w:tc>
          <w:tcPr>
            <w:tcW w:w="1985" w:type="dxa"/>
            <w:tcBorders>
              <w:top w:val="nil"/>
              <w:bottom w:val="nil"/>
            </w:tcBorders>
          </w:tcPr>
          <w:p>
            <w:pPr>
              <w:pStyle w:val="TableParagraph"/>
              <w:spacing w:line="241" w:lineRule="exact"/>
              <w:rPr>
                <w:sz w:val="22"/>
              </w:rPr>
            </w:pPr>
            <w:r>
              <w:rPr>
                <w:sz w:val="22"/>
              </w:rPr>
              <w:t>robar al pueblo.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(17/I/2015)</w:t>
            </w:r>
          </w:p>
        </w:tc>
        <w:tc>
          <w:tcPr>
            <w:tcW w:w="1418" w:type="dxa"/>
            <w:tcBorders>
              <w:top w:val="nil"/>
              <w:bottom w:val="nil"/>
            </w:tcBorders>
          </w:tcPr>
          <w:p>
            <w:pPr/>
          </w:p>
        </w:tc>
        <w:tc>
          <w:tcPr>
            <w:tcW w:w="1841" w:type="dxa"/>
            <w:tcBorders>
              <w:top w:val="nil"/>
              <w:bottom w:val="nil"/>
            </w:tcBorders>
          </w:tcPr>
          <w:p>
            <w:pPr>
              <w:pStyle w:val="TableParagraph"/>
              <w:tabs>
                <w:tab w:pos="1533" w:val="left" w:leader="none"/>
              </w:tabs>
              <w:spacing w:line="242" w:lineRule="exact"/>
              <w:ind w:left="100"/>
              <w:rPr>
                <w:sz w:val="22"/>
              </w:rPr>
            </w:pPr>
            <w:r>
              <w:rPr>
                <w:sz w:val="22"/>
              </w:rPr>
              <w:t>nombre)</w:t>
              <w:tab/>
              <w:t>(8</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Timilpan</w:t>
            </w: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Style w:val="TableParagraph"/>
              <w:spacing w:line="242" w:lineRule="exact"/>
              <w:rPr>
                <w:sz w:val="22"/>
              </w:rPr>
            </w:pPr>
            <w:r>
              <w:rPr>
                <w:sz w:val="22"/>
              </w:rPr>
              <w:t>como antes,</w:t>
            </w:r>
            <w:r>
              <w:rPr>
                <w:spacing w:val="52"/>
                <w:sz w:val="22"/>
              </w:rPr>
              <w:t> </w:t>
            </w:r>
            <w:r>
              <w:rPr>
                <w:sz w:val="22"/>
              </w:rPr>
              <w:t>el</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pasto nativo se</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perdió.</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Eligio</w:t>
            </w:r>
          </w:p>
        </w:tc>
        <w:tc>
          <w:tcPr>
            <w:tcW w:w="1418" w:type="dxa"/>
            <w:tcBorders>
              <w:bottom w:val="nil"/>
            </w:tcBorders>
          </w:tcPr>
          <w:p>
            <w:pPr>
              <w:pStyle w:val="TableParagraph"/>
              <w:spacing w:line="251" w:lineRule="exact"/>
              <w:ind w:left="156" w:right="101"/>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Cooperativa   de</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tabs>
                <w:tab w:pos="681" w:val="left" w:leader="none"/>
                <w:tab w:pos="1149" w:val="left" w:leader="none"/>
              </w:tabs>
              <w:spacing w:line="251" w:lineRule="exact"/>
              <w:rPr>
                <w:sz w:val="22"/>
              </w:rPr>
            </w:pPr>
            <w:r>
              <w:rPr>
                <w:sz w:val="22"/>
              </w:rPr>
              <w:t>No</w:t>
              <w:tab/>
              <w:t>al</w:t>
              <w:tab/>
              <w:t>50%</w:t>
            </w:r>
          </w:p>
        </w:tc>
        <w:tc>
          <w:tcPr>
            <w:tcW w:w="1985" w:type="dxa"/>
            <w:tcBorders>
              <w:bottom w:val="nil"/>
            </w:tcBorders>
          </w:tcPr>
          <w:p>
            <w:pPr>
              <w:pStyle w:val="TableParagraph"/>
              <w:spacing w:line="251" w:lineRule="exact"/>
              <w:rPr>
                <w:sz w:val="22"/>
              </w:rPr>
            </w:pPr>
            <w:r>
              <w:rPr>
                <w:sz w:val="22"/>
              </w:rPr>
              <w:t>No sé.</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García</w:t>
            </w:r>
          </w:p>
        </w:tc>
        <w:tc>
          <w:tcPr>
            <w:tcW w:w="1418" w:type="dxa"/>
            <w:tcBorders>
              <w:top w:val="nil"/>
              <w:bottom w:val="nil"/>
            </w:tcBorders>
          </w:tcPr>
          <w:p>
            <w:pPr>
              <w:pStyle w:val="TableParagraph"/>
              <w:spacing w:line="241" w:lineRule="exact"/>
              <w:ind w:left="218" w:right="101"/>
              <w:rPr>
                <w:sz w:val="22"/>
              </w:rPr>
            </w:pPr>
            <w:r>
              <w:rPr>
                <w:sz w:val="22"/>
              </w:rPr>
              <w:t>el ganado</w:t>
            </w:r>
          </w:p>
        </w:tc>
        <w:tc>
          <w:tcPr>
            <w:tcW w:w="1841" w:type="dxa"/>
            <w:tcBorders>
              <w:top w:val="nil"/>
              <w:bottom w:val="nil"/>
            </w:tcBorders>
          </w:tcPr>
          <w:p>
            <w:pPr>
              <w:pStyle w:val="TableParagraph"/>
              <w:spacing w:line="241" w:lineRule="exact"/>
              <w:ind w:left="100"/>
              <w:rPr>
                <w:sz w:val="22"/>
              </w:rPr>
            </w:pPr>
            <w:r>
              <w:rPr>
                <w:sz w:val="22"/>
              </w:rPr>
              <w:t>Ganaderos “Los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1702" w:type="dxa"/>
            <w:tcBorders>
              <w:top w:val="nil"/>
              <w:bottom w:val="nil"/>
            </w:tcBorders>
          </w:tcPr>
          <w:p>
            <w:pPr>
              <w:pStyle w:val="TableParagraph"/>
              <w:spacing w:line="241" w:lineRule="exact"/>
              <w:rPr>
                <w:sz w:val="22"/>
              </w:rPr>
            </w:pPr>
            <w:r>
              <w:rPr>
                <w:sz w:val="22"/>
              </w:rPr>
              <w:t>porque cuando</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Lovera</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Tolines”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Style w:val="TableParagraph"/>
              <w:spacing w:line="242" w:lineRule="exact"/>
              <w:rPr>
                <w:sz w:val="22"/>
              </w:rPr>
            </w:pPr>
            <w:r>
              <w:rPr>
                <w:sz w:val="22"/>
              </w:rPr>
              <w:t>se  llena  ya no</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(18/I/2015)</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(19 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hay pasto, sólo</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cuando baja.</w:t>
            </w: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spacing w:after="0" w:line="248" w:lineRule="exact"/>
        <w:sectPr>
          <w:pgSz w:w="15840" w:h="12240" w:orient="landscape"/>
          <w:pgMar w:header="0" w:footer="943" w:top="1140" w:bottom="1200" w:left="1200" w:right="1300"/>
        </w:sectPr>
      </w:pPr>
    </w:p>
    <w:p>
      <w:pPr>
        <w:pStyle w:val="BodyText"/>
        <w:rPr>
          <w:sz w:val="20"/>
        </w:rPr>
      </w:pPr>
    </w:p>
    <w:p>
      <w:pPr>
        <w:pStyle w:val="BodyText"/>
        <w:spacing w:before="1"/>
      </w:pPr>
    </w:p>
    <w:p>
      <w:pPr>
        <w:pStyle w:val="Heading6"/>
        <w:spacing w:before="73" w:after="4"/>
        <w:ind w:left="2117" w:right="397"/>
      </w:pPr>
      <w:r>
        <w:rPr/>
        <w:t>Tabla 6.4. Ganaderos en los municipios de Jilotepec y Timilpan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3"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ind w:left="532"/>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Gobernabilidad</w:t>
            </w:r>
          </w:p>
        </w:tc>
      </w:tr>
      <w:tr>
        <w:trPr>
          <w:trHeight w:val="277"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9" w:lineRule="exact"/>
              <w:ind w:left="100"/>
              <w:rPr>
                <w:b/>
                <w:sz w:val="22"/>
              </w:rPr>
            </w:pPr>
            <w:r>
              <w:rPr>
                <w:b/>
                <w:sz w:val="22"/>
              </w:rPr>
              <w:t>Cooperativa/</w:t>
            </w:r>
          </w:p>
        </w:tc>
        <w:tc>
          <w:tcPr>
            <w:tcW w:w="1135" w:type="dxa"/>
            <w:tcBorders>
              <w:bottom w:val="nil"/>
            </w:tcBorders>
            <w:shd w:val="clear" w:color="auto" w:fill="F9BE8F"/>
          </w:tcPr>
          <w:p>
            <w:pPr>
              <w:pStyle w:val="TableParagraph"/>
              <w:spacing w:line="249" w:lineRule="exact"/>
              <w:rPr>
                <w:b/>
                <w:sz w:val="22"/>
              </w:rPr>
            </w:pPr>
            <w:r>
              <w:rPr>
                <w:b/>
                <w:sz w:val="22"/>
              </w:rPr>
              <w:t>Cargo</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spacing w:line="273" w:lineRule="exact"/>
              <w:rPr>
                <w:b/>
                <w:sz w:val="24"/>
              </w:rPr>
            </w:pPr>
            <w:r>
              <w:rPr>
                <w:b/>
                <w:sz w:val="24"/>
              </w:rPr>
              <w:t>¿Existen</w:t>
            </w:r>
          </w:p>
        </w:tc>
        <w:tc>
          <w:tcPr>
            <w:tcW w:w="1985" w:type="dxa"/>
            <w:tcBorders>
              <w:bottom w:val="nil"/>
            </w:tcBorders>
            <w:shd w:val="clear" w:color="auto" w:fill="92CDDC"/>
          </w:tcPr>
          <w:p>
            <w:pPr>
              <w:pStyle w:val="TableParagraph"/>
              <w:spacing w:line="249" w:lineRule="exact"/>
              <w:rPr>
                <w:b/>
                <w:sz w:val="22"/>
              </w:rPr>
            </w:pPr>
            <w:r>
              <w:rPr>
                <w:b/>
                <w:sz w:val="22"/>
              </w:rPr>
              <w:t>¿Considera</w:t>
            </w:r>
          </w:p>
        </w:tc>
      </w:tr>
      <w:tr>
        <w:trPr>
          <w:trHeight w:val="2510" w:hRule="exact"/>
        </w:trPr>
        <w:tc>
          <w:tcPr>
            <w:tcW w:w="1385" w:type="dxa"/>
            <w:tcBorders>
              <w:top w:val="nil"/>
              <w:bottom w:val="nil"/>
            </w:tcBorders>
            <w:shd w:val="clear" w:color="auto" w:fill="F9BE8F"/>
          </w:tcPr>
          <w:p>
            <w:pPr>
              <w:pStyle w:val="TableParagraph"/>
              <w:spacing w:line="229" w:lineRule="exact"/>
              <w:ind w:right="127"/>
              <w:rPr>
                <w:b/>
                <w:sz w:val="22"/>
              </w:rPr>
            </w:pPr>
            <w:r>
              <w:rPr>
                <w:b/>
                <w:sz w:val="22"/>
              </w:rPr>
              <w:t>Fecha de</w:t>
            </w:r>
          </w:p>
          <w:p>
            <w:pPr>
              <w:pStyle w:val="TableParagraph"/>
              <w:spacing w:line="252" w:lineRule="exact"/>
              <w:ind w:right="127"/>
              <w:rPr>
                <w:b/>
                <w:sz w:val="22"/>
              </w:rPr>
            </w:pPr>
            <w:r>
              <w:rPr>
                <w:b/>
                <w:sz w:val="22"/>
              </w:rPr>
              <w:t>Entrevista</w:t>
            </w:r>
          </w:p>
        </w:tc>
        <w:tc>
          <w:tcPr>
            <w:tcW w:w="1418" w:type="dxa"/>
            <w:tcBorders>
              <w:top w:val="nil"/>
              <w:bottom w:val="nil"/>
            </w:tcBorders>
            <w:shd w:val="clear" w:color="auto" w:fill="F9BE8F"/>
          </w:tcPr>
          <w:p>
            <w:pPr>
              <w:pStyle w:val="TableParagraph"/>
              <w:spacing w:line="230"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29" w:lineRule="exact"/>
              <w:ind w:left="100"/>
              <w:rPr>
                <w:b/>
                <w:sz w:val="22"/>
              </w:rPr>
            </w:pPr>
            <w:r>
              <w:rPr>
                <w:b/>
                <w:sz w:val="22"/>
              </w:rPr>
              <w:t>Asociación de</w:t>
            </w:r>
          </w:p>
          <w:p>
            <w:pPr>
              <w:pStyle w:val="TableParagraph"/>
              <w:ind w:left="100" w:right="379"/>
              <w:rPr>
                <w:b/>
                <w:sz w:val="22"/>
              </w:rPr>
            </w:pPr>
            <w:r>
              <w:rPr>
                <w:b/>
                <w:sz w:val="22"/>
              </w:rPr>
              <w:t>Ganaderos y Número de 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30"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30"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30" w:lineRule="exact"/>
              <w:ind w:left="100" w:right="52"/>
              <w:rPr>
                <w:b/>
                <w:sz w:val="22"/>
              </w:rPr>
            </w:pPr>
            <w:r>
              <w:rPr>
                <w:b/>
                <w:sz w:val="22"/>
              </w:rPr>
              <w:t>vive?</w:t>
            </w:r>
          </w:p>
        </w:tc>
        <w:tc>
          <w:tcPr>
            <w:tcW w:w="1702" w:type="dxa"/>
            <w:tcBorders>
              <w:top w:val="nil"/>
              <w:bottom w:val="nil"/>
            </w:tcBorders>
            <w:shd w:val="clear" w:color="auto" w:fill="92CDDC"/>
          </w:tcPr>
          <w:p>
            <w:pPr>
              <w:pStyle w:val="TableParagraph"/>
              <w:tabs>
                <w:tab w:pos="1242" w:val="left" w:leader="none"/>
              </w:tabs>
              <w:spacing w:before="1"/>
              <w:ind w:right="100"/>
              <w:rPr>
                <w:b/>
                <w:sz w:val="24"/>
              </w:rPr>
            </w:pPr>
            <w:r>
              <w:rPr>
                <w:b/>
                <w:sz w:val="24"/>
              </w:rPr>
              <w:t>problemas por el agua entre</w:t>
              <w:tab/>
              <w:t>los habitantes de</w:t>
              <w:tab/>
              <w:t>los</w:t>
            </w:r>
          </w:p>
          <w:p>
            <w:pPr>
              <w:pStyle w:val="TableParagraph"/>
              <w:tabs>
                <w:tab w:pos="1389" w:val="left" w:leader="none"/>
              </w:tabs>
              <w:ind w:right="99"/>
              <w:rPr>
                <w:b/>
                <w:sz w:val="24"/>
              </w:rPr>
            </w:pPr>
            <w:r>
              <w:rPr>
                <w:b/>
                <w:sz w:val="24"/>
              </w:rPr>
              <w:t>distintos municipios que colindan con</w:t>
              <w:tab/>
              <w:t>la</w:t>
            </w:r>
          </w:p>
        </w:tc>
        <w:tc>
          <w:tcPr>
            <w:tcW w:w="1985" w:type="dxa"/>
            <w:tcBorders>
              <w:top w:val="nil"/>
              <w:bottom w:val="nil"/>
            </w:tcBorders>
            <w:shd w:val="clear" w:color="auto" w:fill="92CDDC"/>
          </w:tcPr>
          <w:p>
            <w:pPr>
              <w:pStyle w:val="TableParagraph"/>
              <w:tabs>
                <w:tab w:pos="1482" w:val="left" w:leader="none"/>
              </w:tabs>
              <w:spacing w:line="229" w:lineRule="exact"/>
              <w:rPr>
                <w:b/>
                <w:sz w:val="22"/>
              </w:rPr>
            </w:pPr>
            <w:r>
              <w:rPr>
                <w:b/>
                <w:sz w:val="22"/>
              </w:rPr>
              <w:t>apropiado</w:t>
              <w:tab/>
              <w:t>que</w:t>
            </w:r>
          </w:p>
          <w:p>
            <w:pPr>
              <w:pStyle w:val="TableParagraph"/>
              <w:tabs>
                <w:tab w:pos="1617" w:val="left" w:leader="none"/>
              </w:tabs>
              <w:ind w:right="98"/>
              <w:rPr>
                <w:b/>
                <w:sz w:val="22"/>
              </w:rPr>
            </w:pPr>
            <w:r>
              <w:rPr>
                <w:b/>
                <w:sz w:val="22"/>
              </w:rPr>
              <w:t>exista un Comité Intermunicipal con</w:t>
              <w:tab/>
              <w:t>su</w:t>
            </w:r>
          </w:p>
          <w:p>
            <w:pPr>
              <w:pStyle w:val="TableParagraph"/>
              <w:tabs>
                <w:tab w:pos="904" w:val="left" w:leader="none"/>
                <w:tab w:pos="1185" w:val="left" w:leader="none"/>
                <w:tab w:pos="1422" w:val="left" w:leader="none"/>
                <w:tab w:pos="1688" w:val="left" w:leader="none"/>
                <w:tab w:pos="1751" w:val="left" w:leader="none"/>
              </w:tabs>
              <w:spacing w:before="1"/>
              <w:ind w:right="99"/>
              <w:rPr>
                <w:b/>
                <w:sz w:val="22"/>
              </w:rPr>
            </w:pPr>
            <w:r>
              <w:rPr>
                <w:b/>
                <w:sz w:val="22"/>
              </w:rPr>
              <w:t>Reglamento para</w:t>
              <w:tab/>
              <w:t>el</w:t>
              <w:tab/>
              <w:tab/>
            </w:r>
            <w:r>
              <w:rPr>
                <w:b/>
                <w:spacing w:val="-1"/>
                <w:sz w:val="22"/>
              </w:rPr>
              <w:t>uso, </w:t>
            </w:r>
            <w:r>
              <w:rPr>
                <w:b/>
                <w:sz w:val="22"/>
              </w:rPr>
              <w:t>cuidado</w:t>
              <w:tab/>
              <w:tab/>
              <w:tab/>
              <w:tab/>
              <w:t>y defensa</w:t>
              <w:tab/>
              <w:t>de</w:t>
              <w:tab/>
              <w:t>la laguna Huapango?</w:t>
            </w:r>
          </w:p>
        </w:tc>
      </w:tr>
      <w:tr>
        <w:trPr>
          <w:trHeight w:val="265"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09" w:val="left" w:leader="none"/>
              </w:tabs>
              <w:spacing w:line="252" w:lineRule="exact"/>
              <w:rPr>
                <w:b/>
                <w:sz w:val="24"/>
              </w:rPr>
            </w:pPr>
            <w:r>
              <w:rPr>
                <w:b/>
                <w:sz w:val="24"/>
              </w:rPr>
              <w:t>laguna</w:t>
              <w:tab/>
              <w:t>de</w:t>
            </w:r>
          </w:p>
        </w:tc>
        <w:tc>
          <w:tcPr>
            <w:tcW w:w="1985" w:type="dxa"/>
            <w:tcBorders>
              <w:top w:val="nil"/>
              <w:bottom w:val="nil"/>
            </w:tcBorders>
            <w:shd w:val="clear" w:color="auto" w:fill="92CDDC"/>
          </w:tcPr>
          <w:p>
            <w:pPr/>
          </w:p>
        </w:tc>
      </w:tr>
      <w:tr>
        <w:trPr>
          <w:trHeight w:val="27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63" w:lineRule="exact"/>
              <w:rPr>
                <w:b/>
                <w:sz w:val="24"/>
              </w:rPr>
            </w:pPr>
            <w:r>
              <w:rPr>
                <w:b/>
                <w:sz w:val="24"/>
              </w:rPr>
              <w:t>Huapango?</w:t>
            </w:r>
          </w:p>
        </w:tc>
        <w:tc>
          <w:tcPr>
            <w:tcW w:w="1985"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Servando</w:t>
            </w:r>
          </w:p>
        </w:tc>
        <w:tc>
          <w:tcPr>
            <w:tcW w:w="1418" w:type="dxa"/>
            <w:tcBorders>
              <w:bottom w:val="nil"/>
            </w:tcBorders>
          </w:tcPr>
          <w:p>
            <w:pPr>
              <w:pStyle w:val="TableParagraph"/>
              <w:spacing w:line="251" w:lineRule="exact"/>
              <w:ind w:left="100" w:right="101"/>
              <w:rPr>
                <w:sz w:val="22"/>
              </w:rPr>
            </w:pPr>
            <w:r>
              <w:rPr>
                <w:sz w:val="22"/>
              </w:rPr>
              <w:t>Campesino</w:t>
            </w:r>
          </w:p>
        </w:tc>
        <w:tc>
          <w:tcPr>
            <w:tcW w:w="1841" w:type="dxa"/>
            <w:tcBorders>
              <w:bottom w:val="nil"/>
            </w:tcBorders>
          </w:tcPr>
          <w:p>
            <w:pPr>
              <w:pStyle w:val="TableParagraph"/>
              <w:spacing w:line="251" w:lineRule="exact"/>
              <w:ind w:left="100"/>
              <w:rPr>
                <w:sz w:val="22"/>
              </w:rPr>
            </w:pPr>
            <w:r>
              <w:rPr>
                <w:sz w:val="22"/>
              </w:rPr>
              <w:t>Asociación</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Están</w:t>
            </w:r>
          </w:p>
        </w:tc>
        <w:tc>
          <w:tcPr>
            <w:tcW w:w="1985" w:type="dxa"/>
            <w:tcBorders>
              <w:bottom w:val="nil"/>
            </w:tcBorders>
          </w:tcPr>
          <w:p>
            <w:pPr>
              <w:pStyle w:val="TableParagraph"/>
              <w:tabs>
                <w:tab w:pos="918" w:val="left" w:leader="none"/>
              </w:tabs>
              <w:spacing w:line="251" w:lineRule="exact"/>
              <w:rPr>
                <w:sz w:val="22"/>
              </w:rPr>
            </w:pPr>
            <w:r>
              <w:rPr>
                <w:sz w:val="22"/>
              </w:rPr>
              <w:t>Si</w:t>
              <w:tab/>
              <w:t>considero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Style w:val="TableParagraph"/>
              <w:spacing w:line="241" w:lineRule="exact"/>
              <w:ind w:left="100" w:right="101"/>
              <w:rPr>
                <w:sz w:val="22"/>
              </w:rPr>
            </w:pPr>
            <w:r>
              <w:rPr>
                <w:sz w:val="22"/>
              </w:rPr>
              <w:t>y ganadero</w:t>
            </w:r>
          </w:p>
        </w:tc>
        <w:tc>
          <w:tcPr>
            <w:tcW w:w="1841" w:type="dxa"/>
            <w:tcBorders>
              <w:top w:val="nil"/>
              <w:bottom w:val="nil"/>
            </w:tcBorders>
          </w:tcPr>
          <w:p>
            <w:pPr>
              <w:pStyle w:val="TableParagraph"/>
              <w:spacing w:line="241" w:lineRule="exact"/>
              <w:ind w:left="100"/>
              <w:rPr>
                <w:sz w:val="22"/>
              </w:rPr>
            </w:pPr>
            <w:r>
              <w:rPr>
                <w:sz w:val="22"/>
              </w:rPr>
              <w:t>Ganadera Local</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spacing w:line="241" w:lineRule="exact"/>
              <w:rPr>
                <w:sz w:val="22"/>
              </w:rPr>
            </w:pPr>
            <w:r>
              <w:rPr>
                <w:sz w:val="22"/>
              </w:rPr>
              <w:t>organizados</w:t>
            </w:r>
          </w:p>
        </w:tc>
        <w:tc>
          <w:tcPr>
            <w:tcW w:w="1985" w:type="dxa"/>
            <w:tcBorders>
              <w:top w:val="nil"/>
              <w:bottom w:val="nil"/>
            </w:tcBorders>
          </w:tcPr>
          <w:p>
            <w:pPr>
              <w:pStyle w:val="TableParagraph"/>
              <w:tabs>
                <w:tab w:pos="1629" w:val="left" w:leader="none"/>
              </w:tabs>
              <w:spacing w:line="241" w:lineRule="exact"/>
              <w:rPr>
                <w:sz w:val="22"/>
              </w:rPr>
            </w:pPr>
            <w:r>
              <w:rPr>
                <w:sz w:val="22"/>
              </w:rPr>
              <w:t>necesario</w:t>
              <w:tab/>
              <w:t>un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General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spacing w:line="242" w:lineRule="exact"/>
              <w:rPr>
                <w:sz w:val="22"/>
              </w:rPr>
            </w:pPr>
            <w:r>
              <w:rPr>
                <w:sz w:val="22"/>
              </w:rPr>
              <w:t>por  municipio,</w:t>
            </w:r>
          </w:p>
        </w:tc>
        <w:tc>
          <w:tcPr>
            <w:tcW w:w="1985" w:type="dxa"/>
            <w:tcBorders>
              <w:top w:val="nil"/>
              <w:bottom w:val="nil"/>
            </w:tcBorders>
          </w:tcPr>
          <w:p>
            <w:pPr>
              <w:pStyle w:val="TableParagraph"/>
              <w:tabs>
                <w:tab w:pos="1433" w:val="left" w:leader="none"/>
              </w:tabs>
              <w:spacing w:line="242" w:lineRule="exact"/>
              <w:rPr>
                <w:sz w:val="22"/>
              </w:rPr>
            </w:pPr>
            <w:r>
              <w:rPr>
                <w:sz w:val="22"/>
              </w:rPr>
              <w:t>reglamento</w:t>
              <w:tab/>
              <w:t>para</w:t>
            </w:r>
          </w:p>
        </w:tc>
      </w:tr>
      <w:tr>
        <w:trPr>
          <w:trHeight w:val="252"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Municipio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pero  vienen  a</w:t>
            </w:r>
          </w:p>
        </w:tc>
        <w:tc>
          <w:tcPr>
            <w:tcW w:w="1985" w:type="dxa"/>
            <w:tcBorders>
              <w:top w:val="nil"/>
              <w:bottom w:val="nil"/>
            </w:tcBorders>
          </w:tcPr>
          <w:p>
            <w:pPr>
              <w:pStyle w:val="TableParagraph"/>
              <w:spacing w:line="241" w:lineRule="exact"/>
              <w:rPr>
                <w:sz w:val="22"/>
              </w:rPr>
            </w:pPr>
            <w:r>
              <w:rPr>
                <w:sz w:val="22"/>
              </w:rPr>
              <w:t>que   haya </w:t>
            </w:r>
            <w:r>
              <w:rPr>
                <w:spacing w:val="55"/>
                <w:sz w:val="22"/>
              </w:rPr>
              <w:t> </w:t>
            </w:r>
            <w:r>
              <w:rPr>
                <w:sz w:val="22"/>
              </w:rPr>
              <w:t>orden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Jilotepec</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61" w:val="left" w:leader="none"/>
              </w:tabs>
              <w:spacing w:line="241" w:lineRule="exact"/>
              <w:rPr>
                <w:sz w:val="22"/>
              </w:rPr>
            </w:pPr>
            <w:r>
              <w:rPr>
                <w:sz w:val="22"/>
              </w:rPr>
              <w:t>pescar</w:t>
              <w:tab/>
              <w:t>aquí</w:t>
            </w:r>
          </w:p>
        </w:tc>
        <w:tc>
          <w:tcPr>
            <w:tcW w:w="1985" w:type="dxa"/>
            <w:tcBorders>
              <w:top w:val="nil"/>
              <w:bottom w:val="nil"/>
            </w:tcBorders>
          </w:tcPr>
          <w:p>
            <w:pPr>
              <w:pStyle w:val="TableParagraph"/>
              <w:tabs>
                <w:tab w:pos="1629" w:val="left" w:leader="none"/>
              </w:tabs>
              <w:spacing w:line="241" w:lineRule="exact"/>
              <w:rPr>
                <w:sz w:val="22"/>
              </w:rPr>
            </w:pPr>
            <w:r>
              <w:rPr>
                <w:sz w:val="22"/>
              </w:rPr>
              <w:t>porque</w:t>
              <w:tab/>
              <w:t>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97" w:val="left" w:leader="none"/>
              </w:tabs>
              <w:spacing w:line="242" w:lineRule="exact"/>
              <w:rPr>
                <w:sz w:val="22"/>
              </w:rPr>
            </w:pPr>
            <w:r>
              <w:rPr>
                <w:sz w:val="22"/>
              </w:rPr>
              <w:t>desde</w:t>
              <w:tab/>
              <w:t>San</w:t>
            </w:r>
          </w:p>
        </w:tc>
        <w:tc>
          <w:tcPr>
            <w:tcW w:w="1985" w:type="dxa"/>
            <w:tcBorders>
              <w:top w:val="nil"/>
              <w:bottom w:val="nil"/>
            </w:tcBorders>
          </w:tcPr>
          <w:p>
            <w:pPr>
              <w:pStyle w:val="TableParagraph"/>
              <w:spacing w:line="242" w:lineRule="exact"/>
              <w:rPr>
                <w:sz w:val="22"/>
              </w:rPr>
            </w:pPr>
            <w:r>
              <w:rPr>
                <w:sz w:val="22"/>
              </w:rPr>
              <w:t>estamos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Andrés</w:t>
            </w:r>
          </w:p>
        </w:tc>
        <w:tc>
          <w:tcPr>
            <w:tcW w:w="1985" w:type="dxa"/>
            <w:tcBorders>
              <w:top w:val="nil"/>
              <w:bottom w:val="nil"/>
            </w:tcBorders>
          </w:tcPr>
          <w:p>
            <w:pPr>
              <w:pStyle w:val="TableParagraph"/>
              <w:tabs>
                <w:tab w:pos="1590" w:val="left" w:leader="none"/>
              </w:tabs>
              <w:spacing w:line="241" w:lineRule="exact"/>
              <w:rPr>
                <w:sz w:val="22"/>
              </w:rPr>
            </w:pPr>
            <w:r>
              <w:rPr>
                <w:sz w:val="22"/>
              </w:rPr>
              <w:t>organizados</w:t>
              <w:tab/>
              <w:t>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Timilpan   y   sí</w:t>
            </w:r>
          </w:p>
        </w:tc>
        <w:tc>
          <w:tcPr>
            <w:tcW w:w="1985" w:type="dxa"/>
            <w:tcBorders>
              <w:top w:val="nil"/>
              <w:bottom w:val="nil"/>
            </w:tcBorders>
          </w:tcPr>
          <w:p>
            <w:pPr>
              <w:pStyle w:val="TableParagraph"/>
              <w:tabs>
                <w:tab w:pos="1137" w:val="left" w:leader="none"/>
              </w:tabs>
              <w:spacing w:line="242" w:lineRule="exact"/>
              <w:rPr>
                <w:sz w:val="22"/>
              </w:rPr>
            </w:pPr>
            <w:r>
              <w:rPr>
                <w:sz w:val="22"/>
              </w:rPr>
              <w:t>usuarios</w:t>
              <w:tab/>
              <w:t>y  </w:t>
            </w:r>
            <w:r>
              <w:rPr>
                <w:spacing w:val="13"/>
                <w:sz w:val="22"/>
              </w:rPr>
              <w:t> </w:t>
            </w:r>
            <w:r>
              <w:rPr>
                <w:sz w:val="22"/>
              </w:rPr>
              <w:t>creo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hay problemas</w:t>
            </w:r>
          </w:p>
        </w:tc>
        <w:tc>
          <w:tcPr>
            <w:tcW w:w="1985" w:type="dxa"/>
            <w:tcBorders>
              <w:top w:val="nil"/>
              <w:bottom w:val="nil"/>
            </w:tcBorders>
          </w:tcPr>
          <w:p>
            <w:pPr>
              <w:pStyle w:val="TableParagraph"/>
              <w:tabs>
                <w:tab w:pos="724" w:val="left" w:leader="none"/>
              </w:tabs>
              <w:spacing w:line="241" w:lineRule="exact"/>
              <w:rPr>
                <w:sz w:val="22"/>
              </w:rPr>
            </w:pPr>
            <w:r>
              <w:rPr>
                <w:sz w:val="22"/>
              </w:rPr>
              <w:t>que</w:t>
              <w:tab/>
              <w:t>debiéramos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porque cuando</w:t>
            </w:r>
          </w:p>
        </w:tc>
        <w:tc>
          <w:tcPr>
            <w:tcW w:w="1985" w:type="dxa"/>
            <w:tcBorders>
              <w:top w:val="nil"/>
              <w:bottom w:val="nil"/>
            </w:tcBorders>
          </w:tcPr>
          <w:p>
            <w:pPr>
              <w:pStyle w:val="TableParagraph"/>
              <w:spacing w:line="241" w:lineRule="exact"/>
              <w:rPr>
                <w:sz w:val="22"/>
              </w:rPr>
            </w:pPr>
            <w:r>
              <w:rPr>
                <w:sz w:val="22"/>
              </w:rPr>
              <w:t>crear   un  Comité</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5" w:val="left" w:leader="none"/>
              </w:tabs>
              <w:spacing w:line="242" w:lineRule="exact"/>
              <w:rPr>
                <w:sz w:val="22"/>
              </w:rPr>
            </w:pPr>
            <w:r>
              <w:rPr>
                <w:sz w:val="22"/>
              </w:rPr>
              <w:t>vino</w:t>
              <w:tab/>
              <w:t>el</w:t>
            </w:r>
          </w:p>
        </w:tc>
        <w:tc>
          <w:tcPr>
            <w:tcW w:w="1985" w:type="dxa"/>
            <w:tcBorders>
              <w:top w:val="nil"/>
              <w:bottom w:val="nil"/>
            </w:tcBorders>
          </w:tcPr>
          <w:p>
            <w:pPr>
              <w:pStyle w:val="TableParagraph"/>
              <w:tabs>
                <w:tab w:pos="909" w:val="left" w:leader="none"/>
                <w:tab w:pos="1703" w:val="left" w:leader="none"/>
              </w:tabs>
              <w:spacing w:line="242" w:lineRule="exact"/>
              <w:rPr>
                <w:sz w:val="22"/>
              </w:rPr>
            </w:pPr>
            <w:r>
              <w:rPr>
                <w:sz w:val="22"/>
              </w:rPr>
              <w:t>para</w:t>
              <w:tab/>
              <w:t>usar</w:t>
              <w:tab/>
              <w:t>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95" w:val="left" w:leader="none"/>
              </w:tabs>
              <w:spacing w:line="241" w:lineRule="exact"/>
              <w:rPr>
                <w:sz w:val="22"/>
              </w:rPr>
            </w:pPr>
            <w:r>
              <w:rPr>
                <w:sz w:val="22"/>
              </w:rPr>
              <w:t>Procede</w:t>
              <w:tab/>
              <w:t>del</w:t>
            </w:r>
          </w:p>
        </w:tc>
        <w:tc>
          <w:tcPr>
            <w:tcW w:w="1985" w:type="dxa"/>
            <w:tcBorders>
              <w:top w:val="nil"/>
              <w:bottom w:val="nil"/>
            </w:tcBorders>
          </w:tcPr>
          <w:p>
            <w:pPr>
              <w:pStyle w:val="TableParagraph"/>
              <w:spacing w:line="241" w:lineRule="exact"/>
              <w:rPr>
                <w:sz w:val="22"/>
              </w:rPr>
            </w:pPr>
            <w:r>
              <w:rPr>
                <w:sz w:val="22"/>
              </w:rPr>
              <w:t>laguna.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5" w:val="left" w:leader="none"/>
              </w:tabs>
              <w:spacing w:line="242" w:lineRule="exact"/>
              <w:rPr>
                <w:sz w:val="22"/>
              </w:rPr>
            </w:pPr>
            <w:r>
              <w:rPr>
                <w:sz w:val="22"/>
              </w:rPr>
              <w:t>INEGI</w:t>
              <w:tab/>
              <w:t>no</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quiso  respetar</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y   a   la  gente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que tiene tierra</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colindando con</w:t>
            </w:r>
          </w:p>
        </w:tc>
        <w:tc>
          <w:tcPr>
            <w:tcW w:w="1985" w:type="dxa"/>
            <w:tcBorders>
              <w:top w:val="nil"/>
            </w:tcBorders>
          </w:tcPr>
          <w:p>
            <w:pPr/>
          </w:p>
        </w:tc>
      </w:tr>
    </w:tbl>
    <w:p>
      <w:pPr>
        <w:spacing w:after="0"/>
        <w:sectPr>
          <w:pgSz w:w="15840" w:h="12240" w:orient="landscape"/>
          <w:pgMar w:header="0" w:footer="943" w:top="1140" w:bottom="120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288"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tabs>
                <w:tab w:pos="515" w:val="left" w:leader="none"/>
                <w:tab w:pos="928" w:val="left" w:leader="none"/>
                <w:tab w:pos="1417" w:val="left" w:leader="none"/>
              </w:tabs>
              <w:spacing w:line="252" w:lineRule="exact" w:before="2"/>
              <w:ind w:right="99"/>
              <w:rPr>
                <w:sz w:val="22"/>
              </w:rPr>
            </w:pPr>
            <w:r>
              <w:rPr>
                <w:sz w:val="22"/>
              </w:rPr>
              <w:t>la</w:t>
              <w:tab/>
              <w:t>laguna</w:t>
              <w:tab/>
              <w:t>le quito</w:t>
              <w:tab/>
              <w:t>mucha</w:t>
            </w:r>
          </w:p>
          <w:p>
            <w:pPr>
              <w:pStyle w:val="TableParagraph"/>
              <w:tabs>
                <w:tab w:pos="1270" w:val="left" w:leader="none"/>
              </w:tabs>
              <w:spacing w:line="250" w:lineRule="exact"/>
              <w:rPr>
                <w:sz w:val="22"/>
              </w:rPr>
            </w:pPr>
            <w:r>
              <w:rPr>
                <w:sz w:val="22"/>
              </w:rPr>
              <w:t>tierra,</w:t>
              <w:tab/>
              <w:t>por</w:t>
            </w:r>
          </w:p>
          <w:p>
            <w:pPr>
              <w:pStyle w:val="TableParagraph"/>
              <w:tabs>
                <w:tab w:pos="1429" w:val="left" w:leader="none"/>
              </w:tabs>
              <w:spacing w:line="252" w:lineRule="exact"/>
              <w:rPr>
                <w:sz w:val="22"/>
              </w:rPr>
            </w:pPr>
            <w:r>
              <w:rPr>
                <w:sz w:val="22"/>
              </w:rPr>
              <w:t>ejemplo</w:t>
              <w:tab/>
              <w:t>si</w:t>
            </w:r>
          </w:p>
          <w:p>
            <w:pPr>
              <w:pStyle w:val="TableParagraph"/>
              <w:tabs>
                <w:tab w:pos="1158" w:val="left" w:leader="none"/>
                <w:tab w:pos="1307" w:val="left" w:leader="none"/>
              </w:tabs>
              <w:spacing w:before="1"/>
              <w:ind w:right="101"/>
              <w:rPr>
                <w:sz w:val="22"/>
              </w:rPr>
            </w:pPr>
            <w:r>
              <w:rPr>
                <w:sz w:val="22"/>
              </w:rPr>
              <w:t>tenían</w:t>
              <w:tab/>
              <w:t>31/2 hectáreas, sólo</w:t>
              <w:tab/>
              <w:tab/>
              <w:t>les</w:t>
            </w:r>
          </w:p>
          <w:p>
            <w:pPr>
              <w:pStyle w:val="TableParagraph"/>
              <w:tabs>
                <w:tab w:pos="1161" w:val="left" w:leader="none"/>
              </w:tabs>
              <w:spacing w:before="1"/>
              <w:ind w:right="98"/>
              <w:rPr>
                <w:sz w:val="22"/>
              </w:rPr>
            </w:pPr>
            <w:r>
              <w:rPr>
                <w:sz w:val="22"/>
              </w:rPr>
              <w:t>pusieron</w:t>
              <w:tab/>
              <w:t>21/2 hectáreas.</w:t>
            </w:r>
          </w:p>
        </w:tc>
        <w:tc>
          <w:tcPr>
            <w:tcW w:w="1985" w:type="dxa"/>
          </w:tcPr>
          <w:p>
            <w:pPr/>
          </w:p>
        </w:tc>
      </w:tr>
      <w:tr>
        <w:trPr>
          <w:trHeight w:val="266" w:hRule="exact"/>
        </w:trPr>
        <w:tc>
          <w:tcPr>
            <w:tcW w:w="1385" w:type="dxa"/>
            <w:tcBorders>
              <w:bottom w:val="nil"/>
            </w:tcBorders>
          </w:tcPr>
          <w:p>
            <w:pPr>
              <w:pStyle w:val="TableParagraph"/>
              <w:spacing w:line="251" w:lineRule="exact"/>
              <w:ind w:left="369" w:right="127"/>
              <w:rPr>
                <w:sz w:val="22"/>
              </w:rPr>
            </w:pPr>
            <w:r>
              <w:rPr>
                <w:sz w:val="22"/>
              </w:rPr>
              <w:t>Rufino</w:t>
            </w:r>
          </w:p>
        </w:tc>
        <w:tc>
          <w:tcPr>
            <w:tcW w:w="1418" w:type="dxa"/>
            <w:tcBorders>
              <w:bottom w:val="nil"/>
            </w:tcBorders>
          </w:tcPr>
          <w:p>
            <w:pPr>
              <w:pStyle w:val="TableParagraph"/>
              <w:spacing w:line="251" w:lineRule="exact"/>
              <w:ind w:left="100" w:right="101"/>
              <w:rPr>
                <w:sz w:val="22"/>
              </w:rPr>
            </w:pPr>
            <w:r>
              <w:rPr>
                <w:sz w:val="22"/>
              </w:rPr>
              <w:t>Ganadero,</w:t>
            </w:r>
          </w:p>
        </w:tc>
        <w:tc>
          <w:tcPr>
            <w:tcW w:w="1841" w:type="dxa"/>
            <w:tcBorders>
              <w:bottom w:val="nil"/>
            </w:tcBorders>
          </w:tcPr>
          <w:p>
            <w:pPr>
              <w:pStyle w:val="TableParagraph"/>
              <w:spacing w:line="251" w:lineRule="exact"/>
              <w:ind w:left="100"/>
              <w:rPr>
                <w:sz w:val="22"/>
              </w:rPr>
            </w:pPr>
            <w:r>
              <w:rPr>
                <w:sz w:val="22"/>
              </w:rPr>
              <w:t>Asociación</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spacing w:line="251" w:lineRule="exact"/>
              <w:rPr>
                <w:sz w:val="22"/>
              </w:rPr>
            </w:pPr>
            <w:r>
              <w:rPr>
                <w:sz w:val="22"/>
              </w:rPr>
              <w:t>Sí porque</w:t>
            </w:r>
          </w:p>
        </w:tc>
        <w:tc>
          <w:tcPr>
            <w:tcW w:w="1985" w:type="dxa"/>
            <w:tcBorders>
              <w:bottom w:val="nil"/>
            </w:tcBorders>
          </w:tcPr>
          <w:p>
            <w:pPr>
              <w:pStyle w:val="TableParagraph"/>
              <w:spacing w:line="251" w:lineRule="exact"/>
              <w:rPr>
                <w:sz w:val="22"/>
              </w:rPr>
            </w:pPr>
            <w:r>
              <w:rPr>
                <w:sz w:val="22"/>
              </w:rPr>
              <w:t>Sí   para   que  se</w:t>
            </w:r>
          </w:p>
        </w:tc>
      </w:tr>
      <w:tr>
        <w:trPr>
          <w:trHeight w:val="253" w:hRule="exact"/>
        </w:trPr>
        <w:tc>
          <w:tcPr>
            <w:tcW w:w="1385" w:type="dxa"/>
            <w:tcBorders>
              <w:top w:val="nil"/>
              <w:bottom w:val="nil"/>
            </w:tcBorders>
          </w:tcPr>
          <w:p>
            <w:pPr>
              <w:pStyle w:val="TableParagraph"/>
              <w:spacing w:line="241" w:lineRule="exact"/>
              <w:ind w:left="357" w:right="127"/>
              <w:rPr>
                <w:sz w:val="22"/>
              </w:rPr>
            </w:pPr>
            <w:r>
              <w:rPr>
                <w:sz w:val="22"/>
              </w:rPr>
              <w:t>García</w:t>
            </w:r>
          </w:p>
        </w:tc>
        <w:tc>
          <w:tcPr>
            <w:tcW w:w="1418" w:type="dxa"/>
            <w:tcBorders>
              <w:top w:val="nil"/>
              <w:bottom w:val="nil"/>
            </w:tcBorders>
          </w:tcPr>
          <w:p>
            <w:pPr>
              <w:pStyle w:val="TableParagraph"/>
              <w:spacing w:line="241" w:lineRule="exact"/>
              <w:ind w:left="100" w:right="101"/>
              <w:rPr>
                <w:sz w:val="22"/>
              </w:rPr>
            </w:pPr>
            <w:r>
              <w:rPr>
                <w:sz w:val="22"/>
              </w:rPr>
              <w:t>agricultor y</w:t>
            </w:r>
          </w:p>
        </w:tc>
        <w:tc>
          <w:tcPr>
            <w:tcW w:w="1841" w:type="dxa"/>
            <w:tcBorders>
              <w:top w:val="nil"/>
              <w:bottom w:val="nil"/>
            </w:tcBorders>
          </w:tcPr>
          <w:p>
            <w:pPr>
              <w:pStyle w:val="TableParagraph"/>
              <w:spacing w:line="241" w:lineRule="exact"/>
              <w:ind w:left="100"/>
              <w:rPr>
                <w:sz w:val="22"/>
              </w:rPr>
            </w:pPr>
            <w:r>
              <w:rPr>
                <w:sz w:val="22"/>
              </w:rPr>
              <w:t>Ganadera</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1702" w:type="dxa"/>
            <w:tcBorders>
              <w:top w:val="nil"/>
              <w:bottom w:val="nil"/>
            </w:tcBorders>
          </w:tcPr>
          <w:p>
            <w:pPr>
              <w:pStyle w:val="TableParagraph"/>
              <w:spacing w:line="241" w:lineRule="exact"/>
              <w:rPr>
                <w:sz w:val="22"/>
              </w:rPr>
            </w:pPr>
            <w:r>
              <w:rPr>
                <w:sz w:val="22"/>
              </w:rPr>
              <w:t>tenían un</w:t>
            </w:r>
          </w:p>
        </w:tc>
        <w:tc>
          <w:tcPr>
            <w:tcW w:w="1985" w:type="dxa"/>
            <w:tcBorders>
              <w:top w:val="nil"/>
              <w:bottom w:val="nil"/>
            </w:tcBorders>
          </w:tcPr>
          <w:p>
            <w:pPr>
              <w:pStyle w:val="TableParagraph"/>
              <w:tabs>
                <w:tab w:pos="1593" w:val="left" w:leader="none"/>
              </w:tabs>
              <w:spacing w:line="241" w:lineRule="exact"/>
              <w:rPr>
                <w:sz w:val="22"/>
              </w:rPr>
            </w:pPr>
            <w:r>
              <w:rPr>
                <w:sz w:val="22"/>
              </w:rPr>
              <w:t>respeten</w:t>
              <w:tab/>
              <w:t>los</w:t>
            </w:r>
          </w:p>
        </w:tc>
      </w:tr>
      <w:tr>
        <w:trPr>
          <w:trHeight w:val="253" w:hRule="exact"/>
        </w:trPr>
        <w:tc>
          <w:tcPr>
            <w:tcW w:w="1385" w:type="dxa"/>
            <w:tcBorders>
              <w:top w:val="nil"/>
              <w:bottom w:val="nil"/>
            </w:tcBorders>
          </w:tcPr>
          <w:p>
            <w:pPr>
              <w:pStyle w:val="TableParagraph"/>
              <w:spacing w:line="242" w:lineRule="exact"/>
              <w:ind w:left="215" w:right="127"/>
              <w:rPr>
                <w:sz w:val="22"/>
              </w:rPr>
            </w:pPr>
            <w:r>
              <w:rPr>
                <w:sz w:val="22"/>
              </w:rPr>
              <w:t>(2/I/2015)</w:t>
            </w:r>
          </w:p>
        </w:tc>
        <w:tc>
          <w:tcPr>
            <w:tcW w:w="1418" w:type="dxa"/>
            <w:tcBorders>
              <w:top w:val="nil"/>
              <w:bottom w:val="nil"/>
            </w:tcBorders>
          </w:tcPr>
          <w:p>
            <w:pPr>
              <w:pStyle w:val="TableParagraph"/>
              <w:spacing w:line="242" w:lineRule="exact"/>
              <w:ind w:left="100" w:right="101"/>
              <w:rPr>
                <w:sz w:val="22"/>
              </w:rPr>
            </w:pPr>
            <w:r>
              <w:rPr>
                <w:sz w:val="22"/>
              </w:rPr>
              <w:t>abogado</w:t>
            </w:r>
          </w:p>
        </w:tc>
        <w:tc>
          <w:tcPr>
            <w:tcW w:w="1841" w:type="dxa"/>
            <w:tcBorders>
              <w:top w:val="nil"/>
              <w:bottom w:val="nil"/>
            </w:tcBorders>
          </w:tcPr>
          <w:p>
            <w:pPr>
              <w:pStyle w:val="TableParagraph"/>
              <w:tabs>
                <w:tab w:pos="1434" w:val="left" w:leader="none"/>
              </w:tabs>
              <w:spacing w:line="242" w:lineRule="exact"/>
              <w:ind w:left="100"/>
              <w:rPr>
                <w:sz w:val="22"/>
              </w:rPr>
            </w:pPr>
            <w:r>
              <w:rPr>
                <w:sz w:val="22"/>
              </w:rPr>
              <w:t>General</w:t>
              <w:tab/>
              <w:t>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Style w:val="TableParagraph"/>
              <w:spacing w:line="242" w:lineRule="exact"/>
              <w:rPr>
                <w:sz w:val="22"/>
              </w:rPr>
            </w:pPr>
            <w:r>
              <w:rPr>
                <w:sz w:val="22"/>
              </w:rPr>
              <w:t>decreto para</w:t>
            </w:r>
          </w:p>
        </w:tc>
        <w:tc>
          <w:tcPr>
            <w:tcW w:w="1985" w:type="dxa"/>
            <w:tcBorders>
              <w:top w:val="nil"/>
              <w:bottom w:val="nil"/>
            </w:tcBorders>
          </w:tcPr>
          <w:p>
            <w:pPr>
              <w:pStyle w:val="TableParagraph"/>
              <w:spacing w:line="242" w:lineRule="exact"/>
              <w:rPr>
                <w:sz w:val="22"/>
              </w:rPr>
            </w:pPr>
            <w:r>
              <w:rPr>
                <w:sz w:val="22"/>
              </w:rPr>
              <w:t>derechos   de  las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0" w:val="left" w:leader="none"/>
              </w:tabs>
              <w:spacing w:line="241" w:lineRule="exact"/>
              <w:ind w:left="100"/>
              <w:rPr>
                <w:sz w:val="22"/>
              </w:rPr>
            </w:pPr>
            <w:r>
              <w:rPr>
                <w:sz w:val="22"/>
              </w:rPr>
              <w:t>Municipio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riego por 100</w:t>
            </w:r>
          </w:p>
        </w:tc>
        <w:tc>
          <w:tcPr>
            <w:tcW w:w="1985" w:type="dxa"/>
            <w:tcBorders>
              <w:top w:val="nil"/>
              <w:bottom w:val="nil"/>
            </w:tcBorders>
          </w:tcPr>
          <w:p>
            <w:pPr>
              <w:pStyle w:val="TableParagraph"/>
              <w:tabs>
                <w:tab w:pos="1763" w:val="left" w:leader="none"/>
              </w:tabs>
              <w:spacing w:line="241" w:lineRule="exact"/>
              <w:rPr>
                <w:sz w:val="22"/>
              </w:rPr>
            </w:pPr>
            <w:r>
              <w:rPr>
                <w:sz w:val="22"/>
              </w:rPr>
              <w:t>comunidades</w:t>
              <w:tab/>
              <w:t>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Timilpan, A.C</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años y</w:t>
            </w:r>
          </w:p>
        </w:tc>
        <w:tc>
          <w:tcPr>
            <w:tcW w:w="1985" w:type="dxa"/>
            <w:tcBorders>
              <w:top w:val="nil"/>
              <w:bottom w:val="nil"/>
            </w:tcBorders>
          </w:tcPr>
          <w:p>
            <w:pPr>
              <w:pStyle w:val="TableParagraph"/>
              <w:tabs>
                <w:tab w:pos="813" w:val="left" w:leader="none"/>
                <w:tab w:pos="1321" w:val="left" w:leader="none"/>
              </w:tabs>
              <w:spacing w:line="241" w:lineRule="exact"/>
              <w:rPr>
                <w:sz w:val="22"/>
              </w:rPr>
            </w:pPr>
            <w:r>
              <w:rPr>
                <w:sz w:val="22"/>
              </w:rPr>
              <w:t>para</w:t>
              <w:tab/>
              <w:t>un</w:t>
              <w:tab/>
              <w:t>mejor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07" w:val="left" w:leader="none"/>
              </w:tabs>
              <w:spacing w:line="242" w:lineRule="exact"/>
              <w:ind w:left="100"/>
              <w:rPr>
                <w:sz w:val="22"/>
              </w:rPr>
            </w:pPr>
            <w:r>
              <w:rPr>
                <w:sz w:val="22"/>
              </w:rPr>
              <w:t>(Representa</w:t>
              <w:tab/>
              <w:t>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nadamás que</w:t>
            </w:r>
          </w:p>
        </w:tc>
        <w:tc>
          <w:tcPr>
            <w:tcW w:w="1985" w:type="dxa"/>
            <w:tcBorders>
              <w:top w:val="nil"/>
              <w:bottom w:val="nil"/>
            </w:tcBorders>
          </w:tcPr>
          <w:p>
            <w:pPr>
              <w:pStyle w:val="TableParagraph"/>
              <w:spacing w:line="242" w:lineRule="exact"/>
              <w:rPr>
                <w:sz w:val="22"/>
              </w:rPr>
            </w:pPr>
            <w:r>
              <w:rPr>
                <w:sz w:val="22"/>
              </w:rPr>
              <w:t>control.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728" w:val="right" w:leader="none"/>
              </w:tabs>
              <w:spacing w:line="241" w:lineRule="exact"/>
              <w:ind w:left="100"/>
              <w:rPr>
                <w:sz w:val="22"/>
              </w:rPr>
            </w:pPr>
            <w:r>
              <w:rPr>
                <w:sz w:val="22"/>
              </w:rPr>
              <w:t>las</w:t>
              <w:tab/>
              <w:t>36</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se venciera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comunidades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tenía que ser</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Timilpan)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para los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pobladores 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las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comunidades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de cada</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municipio.</w:t>
            </w: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Evaristo</w:t>
            </w:r>
          </w:p>
        </w:tc>
        <w:tc>
          <w:tcPr>
            <w:tcW w:w="1418" w:type="dxa"/>
            <w:tcBorders>
              <w:bottom w:val="nil"/>
            </w:tcBorders>
          </w:tcPr>
          <w:p>
            <w:pPr>
              <w:pStyle w:val="TableParagraph"/>
              <w:ind w:left="127"/>
              <w:rPr>
                <w:sz w:val="22"/>
              </w:rPr>
            </w:pPr>
            <w:r>
              <w:rPr>
                <w:sz w:val="22"/>
              </w:rPr>
              <w:t>Ganadero y</w:t>
            </w:r>
          </w:p>
        </w:tc>
        <w:tc>
          <w:tcPr>
            <w:tcW w:w="1841" w:type="dxa"/>
            <w:tcBorders>
              <w:bottom w:val="nil"/>
            </w:tcBorders>
          </w:tcPr>
          <w:p>
            <w:pPr>
              <w:pStyle w:val="TableParagraph"/>
              <w:ind w:left="100"/>
              <w:rPr>
                <w:sz w:val="22"/>
              </w:rPr>
            </w:pPr>
            <w:r>
              <w:rPr>
                <w:sz w:val="22"/>
              </w:rPr>
              <w:t>Cooperativa</w:t>
            </w:r>
          </w:p>
        </w:tc>
        <w:tc>
          <w:tcPr>
            <w:tcW w:w="1135" w:type="dxa"/>
            <w:tcBorders>
              <w:bottom w:val="nil"/>
            </w:tcBorders>
          </w:tcPr>
          <w:p>
            <w:pPr>
              <w:pStyle w:val="TableParagraph"/>
              <w:rPr>
                <w:sz w:val="22"/>
              </w:rPr>
            </w:pPr>
            <w:r>
              <w:rPr>
                <w:sz w:val="22"/>
              </w:rPr>
              <w:t>Presiden</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La</w:t>
            </w:r>
          </w:p>
        </w:tc>
        <w:tc>
          <w:tcPr>
            <w:tcW w:w="1133" w:type="dxa"/>
            <w:tcBorders>
              <w:bottom w:val="nil"/>
            </w:tcBorders>
          </w:tcPr>
          <w:p>
            <w:pPr>
              <w:pStyle w:val="TableParagraph"/>
              <w:ind w:left="100" w:right="52"/>
              <w:rPr>
                <w:sz w:val="22"/>
              </w:rPr>
            </w:pPr>
            <w:r>
              <w:rPr>
                <w:sz w:val="22"/>
              </w:rPr>
              <w:t>La</w:t>
            </w:r>
          </w:p>
        </w:tc>
        <w:tc>
          <w:tcPr>
            <w:tcW w:w="1702" w:type="dxa"/>
            <w:tcBorders>
              <w:bottom w:val="nil"/>
            </w:tcBorders>
          </w:tcPr>
          <w:p>
            <w:pPr>
              <w:pStyle w:val="TableParagraph"/>
              <w:tabs>
                <w:tab w:pos="520" w:val="left" w:leader="none"/>
                <w:tab w:pos="1417" w:val="left" w:leader="none"/>
              </w:tabs>
              <w:rPr>
                <w:sz w:val="22"/>
              </w:rPr>
            </w:pPr>
            <w:r>
              <w:rPr>
                <w:sz w:val="22"/>
              </w:rPr>
              <w:t>Sí</w:t>
              <w:tab/>
              <w:t>porque</w:t>
              <w:tab/>
              <w:t>el</w:t>
            </w:r>
          </w:p>
        </w:tc>
        <w:tc>
          <w:tcPr>
            <w:tcW w:w="1985" w:type="dxa"/>
            <w:tcBorders>
              <w:bottom w:val="nil"/>
            </w:tcBorders>
          </w:tcPr>
          <w:p>
            <w:pPr>
              <w:pStyle w:val="TableParagraph"/>
              <w:tabs>
                <w:tab w:pos="633" w:val="left" w:leader="none"/>
                <w:tab w:pos="1640" w:val="left" w:leader="none"/>
              </w:tabs>
              <w:rPr>
                <w:sz w:val="22"/>
              </w:rPr>
            </w:pPr>
            <w:r>
              <w:rPr>
                <w:sz w:val="22"/>
              </w:rPr>
              <w:t>Sí</w:t>
              <w:tab/>
              <w:t>porque</w:t>
              <w:tab/>
              <w:t>se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Style w:val="TableParagraph"/>
              <w:spacing w:line="241" w:lineRule="exact"/>
              <w:ind w:left="249" w:right="101"/>
              <w:rPr>
                <w:sz w:val="22"/>
              </w:rPr>
            </w:pPr>
            <w:r>
              <w:rPr>
                <w:sz w:val="22"/>
              </w:rPr>
              <w:t>agricultor</w:t>
            </w:r>
          </w:p>
        </w:tc>
        <w:tc>
          <w:tcPr>
            <w:tcW w:w="1841" w:type="dxa"/>
            <w:tcBorders>
              <w:top w:val="nil"/>
              <w:bottom w:val="nil"/>
            </w:tcBorders>
          </w:tcPr>
          <w:p>
            <w:pPr>
              <w:pStyle w:val="TableParagraph"/>
              <w:tabs>
                <w:tab w:pos="820" w:val="left" w:leader="none"/>
              </w:tabs>
              <w:spacing w:line="241" w:lineRule="exact"/>
              <w:ind w:left="100"/>
              <w:rPr>
                <w:sz w:val="22"/>
              </w:rPr>
            </w:pPr>
            <w:r>
              <w:rPr>
                <w:sz w:val="22"/>
              </w:rPr>
              <w:t>para</w:t>
              <w:tab/>
              <w:t>gestionar</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tabs>
                <w:tab w:pos="854" w:val="left" w:leader="none"/>
                <w:tab w:pos="1345" w:val="left" w:leader="none"/>
              </w:tabs>
              <w:spacing w:line="241" w:lineRule="exact"/>
              <w:rPr>
                <w:sz w:val="22"/>
              </w:rPr>
            </w:pPr>
            <w:r>
              <w:rPr>
                <w:sz w:val="22"/>
              </w:rPr>
              <w:t>agua</w:t>
              <w:tab/>
              <w:t>ya</w:t>
              <w:tab/>
              <w:t>no</w:t>
            </w:r>
          </w:p>
        </w:tc>
        <w:tc>
          <w:tcPr>
            <w:tcW w:w="1985" w:type="dxa"/>
            <w:tcBorders>
              <w:top w:val="nil"/>
              <w:bottom w:val="nil"/>
            </w:tcBorders>
          </w:tcPr>
          <w:p>
            <w:pPr>
              <w:pStyle w:val="TableParagraph"/>
              <w:tabs>
                <w:tab w:pos="1761" w:val="left" w:leader="none"/>
              </w:tabs>
              <w:spacing w:line="241" w:lineRule="exact"/>
              <w:rPr>
                <w:sz w:val="22"/>
              </w:rPr>
            </w:pPr>
            <w:r>
              <w:rPr>
                <w:sz w:val="22"/>
              </w:rPr>
              <w:t>cuidaría</w:t>
              <w:tab/>
              <w:t>y</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Miguel</w:t>
            </w: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1" w:lineRule="exact"/>
              <w:ind w:left="100"/>
              <w:rPr>
                <w:sz w:val="22"/>
              </w:rPr>
            </w:pPr>
            <w:r>
              <w:rPr>
                <w:sz w:val="22"/>
              </w:rPr>
              <w:t>proyectos</w:t>
              <w:tab/>
              <w:t>en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Style w:val="TableParagraph"/>
              <w:spacing w:line="241" w:lineRule="exact"/>
              <w:rPr>
                <w:sz w:val="22"/>
              </w:rPr>
            </w:pPr>
            <w:r>
              <w:rPr>
                <w:sz w:val="22"/>
              </w:rPr>
              <w:t>sirve,  ahora el</w:t>
            </w:r>
          </w:p>
        </w:tc>
        <w:tc>
          <w:tcPr>
            <w:tcW w:w="1985" w:type="dxa"/>
            <w:tcBorders>
              <w:top w:val="nil"/>
              <w:bottom w:val="nil"/>
            </w:tcBorders>
          </w:tcPr>
          <w:p>
            <w:pPr>
              <w:pStyle w:val="TableParagraph"/>
              <w:tabs>
                <w:tab w:pos="1697" w:val="left" w:leader="none"/>
              </w:tabs>
              <w:spacing w:line="241" w:lineRule="exact"/>
              <w:rPr>
                <w:sz w:val="22"/>
              </w:rPr>
            </w:pPr>
            <w:r>
              <w:rPr>
                <w:sz w:val="22"/>
              </w:rPr>
              <w:t>protegería</w:t>
              <w:tab/>
              <w:t>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2" w:lineRule="exact"/>
              <w:ind w:left="100"/>
              <w:rPr>
                <w:sz w:val="22"/>
              </w:rPr>
            </w:pPr>
            <w:r>
              <w:rPr>
                <w:sz w:val="22"/>
              </w:rPr>
              <w:t>Sagarpa</w:t>
              <w:tab/>
              <w:t>(no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Timilpan</w:t>
            </w: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Style w:val="TableParagraph"/>
              <w:tabs>
                <w:tab w:pos="854" w:val="left" w:leader="none"/>
                <w:tab w:pos="1345" w:val="left" w:leader="none"/>
              </w:tabs>
              <w:spacing w:line="242" w:lineRule="exact"/>
              <w:rPr>
                <w:sz w:val="22"/>
              </w:rPr>
            </w:pPr>
            <w:r>
              <w:rPr>
                <w:sz w:val="22"/>
              </w:rPr>
              <w:t>agua</w:t>
              <w:tab/>
              <w:t>ya</w:t>
              <w:tab/>
              <w:t>no</w:t>
            </w:r>
          </w:p>
        </w:tc>
        <w:tc>
          <w:tcPr>
            <w:tcW w:w="1985" w:type="dxa"/>
            <w:tcBorders>
              <w:top w:val="nil"/>
              <w:bottom w:val="nil"/>
            </w:tcBorders>
          </w:tcPr>
          <w:p>
            <w:pPr>
              <w:pStyle w:val="TableParagraph"/>
              <w:spacing w:line="242" w:lineRule="exact"/>
              <w:rPr>
                <w:sz w:val="22"/>
              </w:rPr>
            </w:pPr>
            <w:r>
              <w:rPr>
                <w:sz w:val="22"/>
              </w:rPr>
              <w:t>laguna.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556" w:val="left" w:leader="none"/>
              </w:tabs>
              <w:spacing w:line="241" w:lineRule="exact"/>
              <w:ind w:left="100"/>
              <w:rPr>
                <w:sz w:val="22"/>
              </w:rPr>
            </w:pPr>
            <w:r>
              <w:rPr>
                <w:sz w:val="22"/>
              </w:rPr>
              <w:t>recurdo</w:t>
              <w:tab/>
              <w:t>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72" w:val="left" w:leader="none"/>
                <w:tab w:pos="1148" w:val="left" w:leader="none"/>
              </w:tabs>
              <w:spacing w:line="241" w:lineRule="exact"/>
              <w:rPr>
                <w:sz w:val="22"/>
              </w:rPr>
            </w:pPr>
            <w:r>
              <w:rPr>
                <w:sz w:val="22"/>
              </w:rPr>
              <w:t>sirve</w:t>
              <w:tab/>
              <w:t>ni</w:t>
              <w:tab/>
              <w:t>para</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3" w:lineRule="exact"/>
              <w:ind w:left="100"/>
              <w:rPr>
                <w:sz w:val="22"/>
              </w:rPr>
            </w:pPr>
            <w:r>
              <w:rPr>
                <w:sz w:val="22"/>
              </w:rPr>
              <w:t>nombre)</w:t>
              <w:tab/>
              <w:t>(10</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tomar.</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Antonio</w:t>
            </w:r>
          </w:p>
        </w:tc>
        <w:tc>
          <w:tcPr>
            <w:tcW w:w="1418" w:type="dxa"/>
            <w:tcBorders>
              <w:bottom w:val="nil"/>
            </w:tcBorders>
          </w:tcPr>
          <w:p>
            <w:pPr>
              <w:pStyle w:val="TableParagraph"/>
              <w:ind w:left="100" w:right="101"/>
              <w:rPr>
                <w:sz w:val="22"/>
              </w:rPr>
            </w:pPr>
            <w:r>
              <w:rPr>
                <w:sz w:val="22"/>
              </w:rPr>
              <w:t>Ganadero,</w:t>
            </w:r>
          </w:p>
        </w:tc>
        <w:tc>
          <w:tcPr>
            <w:tcW w:w="1841" w:type="dxa"/>
            <w:tcBorders>
              <w:bottom w:val="nil"/>
            </w:tcBorders>
          </w:tcPr>
          <w:p>
            <w:pPr>
              <w:pStyle w:val="TableParagraph"/>
              <w:ind w:left="100"/>
              <w:rPr>
                <w:sz w:val="22"/>
              </w:rPr>
            </w:pPr>
            <w:r>
              <w:rPr>
                <w:sz w:val="22"/>
              </w:rPr>
              <w:t>Cooperativa   de</w:t>
            </w:r>
          </w:p>
        </w:tc>
        <w:tc>
          <w:tcPr>
            <w:tcW w:w="1135" w:type="dxa"/>
            <w:tcBorders>
              <w:bottom w:val="nil"/>
            </w:tcBorders>
          </w:tcPr>
          <w:p>
            <w:pPr>
              <w:pStyle w:val="TableParagraph"/>
              <w:rPr>
                <w:sz w:val="22"/>
              </w:rPr>
            </w:pPr>
            <w:r>
              <w:rPr>
                <w:sz w:val="22"/>
              </w:rPr>
              <w:t>Integrant</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La</w:t>
            </w:r>
          </w:p>
        </w:tc>
        <w:tc>
          <w:tcPr>
            <w:tcW w:w="1133" w:type="dxa"/>
            <w:tcBorders>
              <w:bottom w:val="nil"/>
            </w:tcBorders>
          </w:tcPr>
          <w:p>
            <w:pPr>
              <w:pStyle w:val="TableParagraph"/>
              <w:ind w:left="100" w:right="52"/>
              <w:rPr>
                <w:sz w:val="22"/>
              </w:rPr>
            </w:pPr>
            <w:r>
              <w:rPr>
                <w:sz w:val="22"/>
              </w:rPr>
              <w:t>La</w:t>
            </w:r>
          </w:p>
        </w:tc>
        <w:tc>
          <w:tcPr>
            <w:tcW w:w="1702" w:type="dxa"/>
            <w:tcBorders>
              <w:bottom w:val="nil"/>
            </w:tcBorders>
          </w:tcPr>
          <w:p>
            <w:pPr>
              <w:pStyle w:val="TableParagraph"/>
              <w:rPr>
                <w:sz w:val="22"/>
              </w:rPr>
            </w:pPr>
            <w:r>
              <w:rPr>
                <w:sz w:val="22"/>
              </w:rPr>
              <w:t>No.</w:t>
            </w:r>
          </w:p>
        </w:tc>
        <w:tc>
          <w:tcPr>
            <w:tcW w:w="1985" w:type="dxa"/>
            <w:tcBorders>
              <w:bottom w:val="nil"/>
            </w:tcBorders>
          </w:tcPr>
          <w:p>
            <w:pPr>
              <w:pStyle w:val="TableParagraph"/>
              <w:rPr>
                <w:sz w:val="22"/>
              </w:rPr>
            </w:pPr>
            <w:r>
              <w:rPr>
                <w:sz w:val="22"/>
              </w:rPr>
              <w:t>Sí   para   que  no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Gabriel</w:t>
            </w:r>
          </w:p>
        </w:tc>
        <w:tc>
          <w:tcPr>
            <w:tcW w:w="1418" w:type="dxa"/>
            <w:tcBorders>
              <w:top w:val="nil"/>
              <w:bottom w:val="nil"/>
            </w:tcBorders>
          </w:tcPr>
          <w:p>
            <w:pPr>
              <w:pStyle w:val="TableParagraph"/>
              <w:spacing w:line="241" w:lineRule="exact"/>
              <w:ind w:left="100"/>
              <w:rPr>
                <w:sz w:val="22"/>
              </w:rPr>
            </w:pPr>
            <w:r>
              <w:rPr>
                <w:sz w:val="22"/>
              </w:rPr>
              <w:t>agricultor   y</w:t>
            </w:r>
          </w:p>
        </w:tc>
        <w:tc>
          <w:tcPr>
            <w:tcW w:w="1841" w:type="dxa"/>
            <w:tcBorders>
              <w:top w:val="nil"/>
              <w:bottom w:val="nil"/>
            </w:tcBorders>
          </w:tcPr>
          <w:p>
            <w:pPr>
              <w:pStyle w:val="TableParagraph"/>
              <w:spacing w:line="241" w:lineRule="exact"/>
              <w:ind w:left="100"/>
              <w:rPr>
                <w:sz w:val="22"/>
              </w:rPr>
            </w:pPr>
            <w:r>
              <w:rPr>
                <w:sz w:val="22"/>
              </w:rPr>
              <w:t>Ganaderos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echen  las  aguas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Cruz</w:t>
            </w:r>
          </w:p>
        </w:tc>
        <w:tc>
          <w:tcPr>
            <w:tcW w:w="1418" w:type="dxa"/>
            <w:tcBorders>
              <w:top w:val="nil"/>
              <w:bottom w:val="nil"/>
            </w:tcBorders>
          </w:tcPr>
          <w:p>
            <w:pPr>
              <w:pStyle w:val="TableParagraph"/>
              <w:spacing w:line="241" w:lineRule="exact"/>
              <w:ind w:left="100" w:right="101"/>
              <w:rPr>
                <w:sz w:val="22"/>
              </w:rPr>
            </w:pPr>
            <w:r>
              <w:rPr>
                <w:sz w:val="22"/>
              </w:rPr>
              <w:t>albañil</w:t>
            </w:r>
          </w:p>
        </w:tc>
        <w:tc>
          <w:tcPr>
            <w:tcW w:w="1841" w:type="dxa"/>
            <w:tcBorders>
              <w:top w:val="nil"/>
              <w:bottom w:val="nil"/>
            </w:tcBorders>
          </w:tcPr>
          <w:p>
            <w:pPr>
              <w:pStyle w:val="TableParagraph"/>
              <w:spacing w:line="241" w:lineRule="exact"/>
              <w:ind w:left="100"/>
              <w:rPr>
                <w:sz w:val="22"/>
              </w:rPr>
            </w:pPr>
            <w:r>
              <w:rPr>
                <w:sz w:val="22"/>
              </w:rPr>
              <w:t>(No  recuerdo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sucias.</w:t>
            </w:r>
          </w:p>
        </w:tc>
      </w:tr>
      <w:tr>
        <w:trPr>
          <w:trHeight w:val="248" w:hRule="exact"/>
        </w:trPr>
        <w:tc>
          <w:tcPr>
            <w:tcW w:w="1385" w:type="dxa"/>
            <w:tcBorders>
              <w:top w:val="nil"/>
            </w:tcBorders>
          </w:tcPr>
          <w:p>
            <w:pPr>
              <w:pStyle w:val="TableParagraph"/>
              <w:spacing w:line="242" w:lineRule="exact"/>
              <w:ind w:right="127"/>
              <w:rPr>
                <w:sz w:val="22"/>
              </w:rPr>
            </w:pPr>
            <w:r>
              <w:rPr>
                <w:sz w:val="22"/>
              </w:rPr>
              <w:t>(17/I/2015)</w:t>
            </w:r>
          </w:p>
        </w:tc>
        <w:tc>
          <w:tcPr>
            <w:tcW w:w="1418" w:type="dxa"/>
            <w:tcBorders>
              <w:top w:val="nil"/>
            </w:tcBorders>
          </w:tcPr>
          <w:p>
            <w:pPr/>
          </w:p>
        </w:tc>
        <w:tc>
          <w:tcPr>
            <w:tcW w:w="1841" w:type="dxa"/>
            <w:tcBorders>
              <w:top w:val="nil"/>
            </w:tcBorders>
          </w:tcPr>
          <w:p>
            <w:pPr>
              <w:pStyle w:val="TableParagraph"/>
              <w:tabs>
                <w:tab w:pos="1149" w:val="left" w:leader="none"/>
                <w:tab w:pos="1556" w:val="left" w:leader="none"/>
              </w:tabs>
              <w:spacing w:line="242" w:lineRule="exact"/>
              <w:ind w:left="100"/>
              <w:rPr>
                <w:sz w:val="22"/>
              </w:rPr>
            </w:pPr>
            <w:r>
              <w:rPr>
                <w:sz w:val="22"/>
              </w:rPr>
              <w:t>nombre,</w:t>
              <w:tab/>
              <w:t>ni</w:t>
              <w:tab/>
              <w:t>el</w:t>
            </w:r>
          </w:p>
        </w:tc>
        <w:tc>
          <w:tcPr>
            <w:tcW w:w="1135" w:type="dxa"/>
            <w:tcBorders>
              <w:top w:val="nil"/>
            </w:tcBorders>
          </w:tcPr>
          <w:p>
            <w:pPr/>
          </w:p>
        </w:tc>
        <w:tc>
          <w:tcPr>
            <w:tcW w:w="991" w:type="dxa"/>
            <w:tcBorders>
              <w:top w:val="nil"/>
            </w:tcBorders>
          </w:tcPr>
          <w:p>
            <w:pPr/>
          </w:p>
        </w:tc>
        <w:tc>
          <w:tcPr>
            <w:tcW w:w="1277" w:type="dxa"/>
            <w:tcBorders>
              <w:top w:val="nil"/>
            </w:tcBorders>
          </w:tcPr>
          <w:p>
            <w:pPr>
              <w:pStyle w:val="TableParagraph"/>
              <w:spacing w:line="242" w:lineRule="exact"/>
              <w:ind w:right="92"/>
              <w:rPr>
                <w:sz w:val="22"/>
              </w:rPr>
            </w:pPr>
            <w:r>
              <w:rPr>
                <w:sz w:val="22"/>
              </w:rPr>
              <w:t>Timilpan</w:t>
            </w:r>
          </w:p>
        </w:tc>
        <w:tc>
          <w:tcPr>
            <w:tcW w:w="1133" w:type="dxa"/>
            <w:tcBorders>
              <w:top w:val="nil"/>
            </w:tcBorders>
          </w:tcPr>
          <w:p>
            <w:pPr>
              <w:pStyle w:val="TableParagraph"/>
              <w:spacing w:line="242" w:lineRule="exact"/>
              <w:ind w:left="100" w:right="52"/>
              <w:rPr>
                <w:sz w:val="22"/>
              </w:rPr>
            </w:pPr>
            <w:r>
              <w:rPr>
                <w:sz w:val="22"/>
              </w:rPr>
              <w:t>Timilpan</w:t>
            </w:r>
          </w:p>
        </w:tc>
        <w:tc>
          <w:tcPr>
            <w:tcW w:w="1702" w:type="dxa"/>
            <w:tcBorders>
              <w:top w:val="nil"/>
            </w:tcBorders>
          </w:tcPr>
          <w:p>
            <w:pP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16" w:hRule="exact"/>
        </w:trPr>
        <w:tc>
          <w:tcPr>
            <w:tcW w:w="1385" w:type="dxa"/>
          </w:tcPr>
          <w:p>
            <w:pPr/>
          </w:p>
        </w:tc>
        <w:tc>
          <w:tcPr>
            <w:tcW w:w="1418" w:type="dxa"/>
          </w:tcPr>
          <w:p>
            <w:pPr/>
          </w:p>
        </w:tc>
        <w:tc>
          <w:tcPr>
            <w:tcW w:w="1841" w:type="dxa"/>
          </w:tcPr>
          <w:p>
            <w:pPr>
              <w:pStyle w:val="TableParagraph"/>
              <w:tabs>
                <w:tab w:pos="1485" w:val="left" w:leader="none"/>
              </w:tabs>
              <w:spacing w:line="252" w:lineRule="exact" w:before="2"/>
              <w:ind w:left="100" w:right="99"/>
              <w:rPr>
                <w:sz w:val="22"/>
              </w:rPr>
            </w:pPr>
            <w:r>
              <w:rPr>
                <w:sz w:val="22"/>
              </w:rPr>
              <w:t>número</w:t>
              <w:tab/>
              <w:t>de integrantes)</w:t>
            </w:r>
          </w:p>
        </w:tc>
        <w:tc>
          <w:tcPr>
            <w:tcW w:w="1135" w:type="dxa"/>
          </w:tcPr>
          <w:p>
            <w:pPr/>
          </w:p>
        </w:tc>
        <w:tc>
          <w:tcPr>
            <w:tcW w:w="991" w:type="dxa"/>
          </w:tcPr>
          <w:p>
            <w:pPr/>
          </w:p>
        </w:tc>
        <w:tc>
          <w:tcPr>
            <w:tcW w:w="1277" w:type="dxa"/>
          </w:tcPr>
          <w:p>
            <w:pPr/>
          </w:p>
        </w:tc>
        <w:tc>
          <w:tcPr>
            <w:tcW w:w="1133" w:type="dxa"/>
          </w:tcPr>
          <w:p>
            <w:pPr/>
          </w:p>
        </w:tc>
        <w:tc>
          <w:tcPr>
            <w:tcW w:w="1702" w:type="dxa"/>
          </w:tcPr>
          <w:p>
            <w:pPr/>
          </w:p>
        </w:tc>
        <w:tc>
          <w:tcPr>
            <w:tcW w:w="1985" w:type="dxa"/>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Porfirio</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Cooperativa   de</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1702" w:type="dxa"/>
            <w:tcBorders>
              <w:bottom w:val="nil"/>
            </w:tcBorders>
          </w:tcPr>
          <w:p>
            <w:pPr>
              <w:pStyle w:val="TableParagraph"/>
              <w:tabs>
                <w:tab w:pos="901" w:val="left" w:leader="none"/>
              </w:tabs>
              <w:spacing w:line="251" w:lineRule="exact"/>
              <w:rPr>
                <w:sz w:val="22"/>
              </w:rPr>
            </w:pPr>
            <w:r>
              <w:rPr>
                <w:sz w:val="22"/>
              </w:rPr>
              <w:t>Sí</w:t>
              <w:tab/>
              <w:t>porque</w:t>
            </w:r>
          </w:p>
        </w:tc>
        <w:tc>
          <w:tcPr>
            <w:tcW w:w="1985" w:type="dxa"/>
            <w:tcBorders>
              <w:bottom w:val="nil"/>
            </w:tcBorders>
          </w:tcPr>
          <w:p>
            <w:pPr>
              <w:pStyle w:val="TableParagraph"/>
              <w:spacing w:line="251" w:lineRule="exact"/>
              <w:rPr>
                <w:sz w:val="22"/>
              </w:rPr>
            </w:pPr>
            <w:r>
              <w:rPr>
                <w:sz w:val="22"/>
              </w:rPr>
              <w:t>Sí para que  haya</w:t>
            </w:r>
          </w:p>
        </w:tc>
      </w:tr>
      <w:tr>
        <w:trPr>
          <w:trHeight w:val="253" w:hRule="exact"/>
        </w:trPr>
        <w:tc>
          <w:tcPr>
            <w:tcW w:w="1385" w:type="dxa"/>
            <w:tcBorders>
              <w:top w:val="nil"/>
              <w:bottom w:val="nil"/>
            </w:tcBorders>
          </w:tcPr>
          <w:p>
            <w:pPr>
              <w:pStyle w:val="TableParagraph"/>
              <w:tabs>
                <w:tab w:pos="1026" w:val="left" w:leader="none"/>
              </w:tabs>
              <w:spacing w:line="241" w:lineRule="exact"/>
              <w:rPr>
                <w:sz w:val="22"/>
              </w:rPr>
            </w:pPr>
            <w:r>
              <w:rPr>
                <w:sz w:val="22"/>
              </w:rPr>
              <w:t>Magno</w:t>
              <w:tab/>
              <w:t>de</w:t>
            </w:r>
          </w:p>
        </w:tc>
        <w:tc>
          <w:tcPr>
            <w:tcW w:w="1418" w:type="dxa"/>
            <w:tcBorders>
              <w:top w:val="nil"/>
              <w:bottom w:val="nil"/>
            </w:tcBorders>
          </w:tcPr>
          <w:p>
            <w:pPr>
              <w:pStyle w:val="TableParagraph"/>
              <w:spacing w:line="241" w:lineRule="exact"/>
              <w:ind w:left="102" w:right="102"/>
              <w:jc w:val="center"/>
              <w:rPr>
                <w:sz w:val="22"/>
              </w:rPr>
            </w:pPr>
            <w:r>
              <w:rPr>
                <w:sz w:val="22"/>
              </w:rPr>
              <w:t>el ganado</w:t>
            </w:r>
          </w:p>
        </w:tc>
        <w:tc>
          <w:tcPr>
            <w:tcW w:w="1841" w:type="dxa"/>
            <w:tcBorders>
              <w:top w:val="nil"/>
              <w:bottom w:val="nil"/>
            </w:tcBorders>
          </w:tcPr>
          <w:p>
            <w:pPr>
              <w:pStyle w:val="TableParagraph"/>
              <w:spacing w:line="241" w:lineRule="exact"/>
              <w:ind w:left="100"/>
              <w:rPr>
                <w:sz w:val="22"/>
              </w:rPr>
            </w:pPr>
            <w:r>
              <w:rPr>
                <w:sz w:val="22"/>
              </w:rPr>
              <w:t>ganaderos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spacing w:line="241" w:lineRule="exact"/>
              <w:rPr>
                <w:sz w:val="22"/>
              </w:rPr>
            </w:pPr>
            <w:r>
              <w:rPr>
                <w:sz w:val="22"/>
              </w:rPr>
              <w:t>algunos pagan</w:t>
            </w:r>
          </w:p>
        </w:tc>
        <w:tc>
          <w:tcPr>
            <w:tcW w:w="1985" w:type="dxa"/>
            <w:tcBorders>
              <w:top w:val="nil"/>
              <w:bottom w:val="nil"/>
            </w:tcBorders>
          </w:tcPr>
          <w:p>
            <w:pPr>
              <w:pStyle w:val="TableParagraph"/>
              <w:tabs>
                <w:tab w:pos="882" w:val="left" w:leader="none"/>
              </w:tabs>
              <w:spacing w:line="241" w:lineRule="exact"/>
              <w:rPr>
                <w:sz w:val="22"/>
              </w:rPr>
            </w:pPr>
            <w:r>
              <w:rPr>
                <w:sz w:val="22"/>
              </w:rPr>
              <w:t>más</w:t>
              <w:tab/>
              <w:t>beneficios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la Cruz</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(No  recuerdo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w:t>
            </w:r>
          </w:p>
        </w:tc>
        <w:tc>
          <w:tcPr>
            <w:tcW w:w="1133" w:type="dxa"/>
            <w:tcBorders>
              <w:top w:val="nil"/>
              <w:bottom w:val="nil"/>
            </w:tcBorders>
          </w:tcPr>
          <w:p>
            <w:pPr>
              <w:pStyle w:val="TableParagraph"/>
              <w:spacing w:line="242" w:lineRule="exact"/>
              <w:ind w:left="100" w:right="52"/>
              <w:rPr>
                <w:sz w:val="22"/>
              </w:rPr>
            </w:pPr>
            <w:r>
              <w:rPr>
                <w:sz w:val="22"/>
              </w:rPr>
              <w:t>na,</w:t>
            </w:r>
          </w:p>
        </w:tc>
        <w:tc>
          <w:tcPr>
            <w:tcW w:w="1702" w:type="dxa"/>
            <w:tcBorders>
              <w:top w:val="nil"/>
              <w:bottom w:val="nil"/>
            </w:tcBorders>
          </w:tcPr>
          <w:p>
            <w:pPr>
              <w:pStyle w:val="TableParagraph"/>
              <w:spacing w:line="242" w:lineRule="exact"/>
              <w:rPr>
                <w:sz w:val="22"/>
              </w:rPr>
            </w:pPr>
            <w:r>
              <w:rPr>
                <w:sz w:val="22"/>
              </w:rPr>
              <w:t>y  otros  no por</w:t>
            </w:r>
          </w:p>
        </w:tc>
        <w:tc>
          <w:tcPr>
            <w:tcW w:w="1985" w:type="dxa"/>
            <w:tcBorders>
              <w:top w:val="nil"/>
              <w:bottom w:val="nil"/>
            </w:tcBorders>
          </w:tcPr>
          <w:p>
            <w:pPr>
              <w:pStyle w:val="TableParagraph"/>
              <w:tabs>
                <w:tab w:pos="794" w:val="left" w:leader="none"/>
                <w:tab w:pos="1213" w:val="left" w:leader="none"/>
              </w:tabs>
              <w:spacing w:line="242" w:lineRule="exact"/>
              <w:rPr>
                <w:sz w:val="22"/>
              </w:rPr>
            </w:pPr>
            <w:r>
              <w:rPr>
                <w:sz w:val="22"/>
              </w:rPr>
              <w:t>para</w:t>
              <w:tab/>
              <w:t>el</w:t>
              <w:tab/>
              <w:t>campo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(17/I/2015)</w:t>
            </w:r>
          </w:p>
        </w:tc>
        <w:tc>
          <w:tcPr>
            <w:tcW w:w="1418" w:type="dxa"/>
            <w:tcBorders>
              <w:top w:val="nil"/>
              <w:bottom w:val="nil"/>
            </w:tcBorders>
          </w:tcPr>
          <w:p>
            <w:pPr/>
          </w:p>
        </w:tc>
        <w:tc>
          <w:tcPr>
            <w:tcW w:w="1841" w:type="dxa"/>
            <w:tcBorders>
              <w:top w:val="nil"/>
              <w:bottom w:val="nil"/>
            </w:tcBorders>
          </w:tcPr>
          <w:p>
            <w:pPr>
              <w:pStyle w:val="TableParagraph"/>
              <w:tabs>
                <w:tab w:pos="1533" w:val="left" w:leader="none"/>
              </w:tabs>
              <w:spacing w:line="241" w:lineRule="exact"/>
              <w:ind w:left="100"/>
              <w:rPr>
                <w:sz w:val="22"/>
              </w:rPr>
            </w:pPr>
            <w:r>
              <w:rPr>
                <w:sz w:val="22"/>
              </w:rPr>
              <w:t>nombre)</w:t>
              <w:tab/>
              <w:t>(8</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tabs>
                <w:tab w:pos="606" w:val="left" w:leader="none"/>
                <w:tab w:pos="1295" w:val="left" w:leader="none"/>
              </w:tabs>
              <w:spacing w:line="241" w:lineRule="exact"/>
              <w:rPr>
                <w:sz w:val="22"/>
              </w:rPr>
            </w:pPr>
            <w:r>
              <w:rPr>
                <w:sz w:val="22"/>
              </w:rPr>
              <w:t>el</w:t>
              <w:tab/>
              <w:t>uso</w:t>
              <w:tab/>
              <w:t>del</w:t>
            </w:r>
          </w:p>
        </w:tc>
        <w:tc>
          <w:tcPr>
            <w:tcW w:w="1985" w:type="dxa"/>
            <w:tcBorders>
              <w:top w:val="nil"/>
              <w:bottom w:val="nil"/>
            </w:tcBorders>
          </w:tcPr>
          <w:p>
            <w:pPr>
              <w:pStyle w:val="TableParagraph"/>
              <w:tabs>
                <w:tab w:pos="1007" w:val="left" w:leader="none"/>
                <w:tab w:pos="1458" w:val="left" w:leader="none"/>
              </w:tabs>
              <w:spacing w:line="241" w:lineRule="exact"/>
              <w:rPr>
                <w:sz w:val="22"/>
              </w:rPr>
            </w:pPr>
            <w:r>
              <w:rPr>
                <w:sz w:val="22"/>
              </w:rPr>
              <w:t>porque</w:t>
              <w:tab/>
              <w:t>se</w:t>
              <w:tab/>
              <w:t>está</w:t>
            </w: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2" w:lineRule="exact"/>
              <w:ind w:left="100"/>
              <w:rPr>
                <w:sz w:val="22"/>
              </w:rPr>
            </w:pPr>
            <w:r>
              <w:rPr>
                <w:sz w:val="22"/>
              </w:rPr>
              <w:t>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agua.</w:t>
            </w:r>
          </w:p>
        </w:tc>
        <w:tc>
          <w:tcPr>
            <w:tcW w:w="1985" w:type="dxa"/>
            <w:tcBorders>
              <w:top w:val="nil"/>
            </w:tcBorders>
          </w:tcPr>
          <w:p>
            <w:pPr>
              <w:pStyle w:val="TableParagraph"/>
              <w:spacing w:line="242" w:lineRule="exact"/>
              <w:rPr>
                <w:sz w:val="22"/>
              </w:rPr>
            </w:pPr>
            <w:r>
              <w:rPr>
                <w:sz w:val="22"/>
              </w:rPr>
              <w:t>perdiendo todo.</w:t>
            </w:r>
          </w:p>
        </w:tc>
      </w:tr>
      <w:tr>
        <w:trPr>
          <w:trHeight w:val="268" w:hRule="exact"/>
        </w:trPr>
        <w:tc>
          <w:tcPr>
            <w:tcW w:w="1385" w:type="dxa"/>
            <w:tcBorders>
              <w:bottom w:val="nil"/>
            </w:tcBorders>
          </w:tcPr>
          <w:p>
            <w:pPr>
              <w:pStyle w:val="TableParagraph"/>
              <w:spacing w:line="251" w:lineRule="exact"/>
              <w:ind w:right="127"/>
              <w:rPr>
                <w:sz w:val="22"/>
              </w:rPr>
            </w:pPr>
            <w:r>
              <w:rPr>
                <w:sz w:val="22"/>
              </w:rPr>
              <w:t>Eligio</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Cooperativa   de</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spacing w:line="251" w:lineRule="exact"/>
              <w:rPr>
                <w:sz w:val="22"/>
              </w:rPr>
            </w:pPr>
            <w:r>
              <w:rPr>
                <w:sz w:val="22"/>
              </w:rPr>
              <w:t>Pues sí porque</w:t>
            </w:r>
          </w:p>
        </w:tc>
        <w:tc>
          <w:tcPr>
            <w:tcW w:w="1985" w:type="dxa"/>
            <w:tcBorders>
              <w:bottom w:val="nil"/>
            </w:tcBorders>
          </w:tcPr>
          <w:p>
            <w:pPr>
              <w:pStyle w:val="TableParagraph"/>
              <w:spacing w:line="251" w:lineRule="exact"/>
              <w:rPr>
                <w:sz w:val="22"/>
              </w:rPr>
            </w:pPr>
            <w:r>
              <w:rPr>
                <w:sz w:val="22"/>
              </w:rPr>
              <w:t>Sí   porque   cada</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García</w:t>
            </w:r>
          </w:p>
        </w:tc>
        <w:tc>
          <w:tcPr>
            <w:tcW w:w="1418" w:type="dxa"/>
            <w:tcBorders>
              <w:top w:val="nil"/>
              <w:bottom w:val="nil"/>
            </w:tcBorders>
          </w:tcPr>
          <w:p>
            <w:pPr>
              <w:pStyle w:val="TableParagraph"/>
              <w:spacing w:line="243" w:lineRule="exact"/>
              <w:ind w:left="102" w:right="102"/>
              <w:jc w:val="center"/>
              <w:rPr>
                <w:sz w:val="22"/>
              </w:rPr>
            </w:pPr>
            <w:r>
              <w:rPr>
                <w:sz w:val="22"/>
              </w:rPr>
              <w:t>el ganado</w:t>
            </w:r>
          </w:p>
        </w:tc>
        <w:tc>
          <w:tcPr>
            <w:tcW w:w="1841" w:type="dxa"/>
            <w:tcBorders>
              <w:top w:val="nil"/>
              <w:bottom w:val="nil"/>
            </w:tcBorders>
          </w:tcPr>
          <w:p>
            <w:pPr>
              <w:pStyle w:val="TableParagraph"/>
              <w:spacing w:line="243" w:lineRule="exact"/>
              <w:ind w:left="100"/>
              <w:rPr>
                <w:sz w:val="22"/>
              </w:rPr>
            </w:pPr>
            <w:r>
              <w:rPr>
                <w:sz w:val="22"/>
              </w:rPr>
              <w:t>Ganaderos “Los</w:t>
            </w:r>
          </w:p>
        </w:tc>
        <w:tc>
          <w:tcPr>
            <w:tcW w:w="1135" w:type="dxa"/>
            <w:tcBorders>
              <w:top w:val="nil"/>
              <w:bottom w:val="nil"/>
            </w:tcBorders>
          </w:tcPr>
          <w:p>
            <w:pPr>
              <w:pStyle w:val="TableParagraph"/>
              <w:spacing w:line="243" w:lineRule="exact"/>
              <w:rPr>
                <w:sz w:val="22"/>
              </w:rPr>
            </w:pPr>
            <w:r>
              <w:rPr>
                <w:w w:val="100"/>
                <w:sz w:val="22"/>
              </w:rPr>
              <w:t>e</w:t>
            </w:r>
          </w:p>
        </w:tc>
        <w:tc>
          <w:tcPr>
            <w:tcW w:w="991" w:type="dxa"/>
            <w:tcBorders>
              <w:top w:val="nil"/>
              <w:bottom w:val="nil"/>
            </w:tcBorders>
          </w:tcPr>
          <w:p>
            <w:pPr>
              <w:pStyle w:val="TableParagraph"/>
              <w:spacing w:line="243" w:lineRule="exact"/>
              <w:ind w:left="100"/>
              <w:rPr>
                <w:sz w:val="22"/>
              </w:rPr>
            </w:pPr>
            <w:r>
              <w:rPr>
                <w:w w:val="100"/>
                <w:sz w:val="22"/>
              </w:rPr>
              <w:t>n</w:t>
            </w:r>
          </w:p>
        </w:tc>
        <w:tc>
          <w:tcPr>
            <w:tcW w:w="1277" w:type="dxa"/>
            <w:tcBorders>
              <w:top w:val="nil"/>
              <w:bottom w:val="nil"/>
            </w:tcBorders>
          </w:tcPr>
          <w:p>
            <w:pPr>
              <w:pStyle w:val="TableParagraph"/>
              <w:spacing w:line="243" w:lineRule="exact"/>
              <w:ind w:right="92"/>
              <w:rPr>
                <w:sz w:val="22"/>
              </w:rPr>
            </w:pPr>
            <w:r>
              <w:rPr>
                <w:sz w:val="22"/>
              </w:rPr>
              <w:t>, Timilpan</w:t>
            </w:r>
          </w:p>
        </w:tc>
        <w:tc>
          <w:tcPr>
            <w:tcW w:w="1133" w:type="dxa"/>
            <w:tcBorders>
              <w:top w:val="nil"/>
              <w:bottom w:val="nil"/>
            </w:tcBorders>
          </w:tcPr>
          <w:p>
            <w:pPr>
              <w:pStyle w:val="TableParagraph"/>
              <w:spacing w:line="243" w:lineRule="exact"/>
              <w:ind w:left="100" w:right="52"/>
              <w:rPr>
                <w:sz w:val="22"/>
              </w:rPr>
            </w:pPr>
            <w:r>
              <w:rPr>
                <w:sz w:val="22"/>
              </w:rPr>
              <w:t>o,</w:t>
            </w:r>
          </w:p>
        </w:tc>
        <w:tc>
          <w:tcPr>
            <w:tcW w:w="1702" w:type="dxa"/>
            <w:tcBorders>
              <w:top w:val="nil"/>
              <w:bottom w:val="nil"/>
            </w:tcBorders>
          </w:tcPr>
          <w:p>
            <w:pPr>
              <w:pStyle w:val="TableParagraph"/>
              <w:tabs>
                <w:tab w:pos="854" w:val="left" w:leader="none"/>
              </w:tabs>
              <w:spacing w:line="243" w:lineRule="exact"/>
              <w:rPr>
                <w:sz w:val="22"/>
              </w:rPr>
            </w:pPr>
            <w:r>
              <w:rPr>
                <w:sz w:val="22"/>
              </w:rPr>
              <w:t>unos</w:t>
              <w:tab/>
              <w:t>quieren</w:t>
            </w:r>
          </w:p>
        </w:tc>
        <w:tc>
          <w:tcPr>
            <w:tcW w:w="1985" w:type="dxa"/>
            <w:tcBorders>
              <w:top w:val="nil"/>
              <w:bottom w:val="nil"/>
            </w:tcBorders>
          </w:tcPr>
          <w:p>
            <w:pPr>
              <w:pStyle w:val="TableParagraph"/>
              <w:tabs>
                <w:tab w:pos="813" w:val="left" w:leader="none"/>
                <w:tab w:pos="1453" w:val="left" w:leader="none"/>
              </w:tabs>
              <w:spacing w:line="243" w:lineRule="exact"/>
              <w:rPr>
                <w:sz w:val="22"/>
              </w:rPr>
            </w:pPr>
            <w:r>
              <w:rPr>
                <w:sz w:val="22"/>
              </w:rPr>
              <w:t>día</w:t>
              <w:tab/>
              <w:t>se</w:t>
              <w:tab/>
              <w:t>está</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Tolines”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que  más agua</w:t>
            </w:r>
          </w:p>
        </w:tc>
        <w:tc>
          <w:tcPr>
            <w:tcW w:w="1985" w:type="dxa"/>
            <w:tcBorders>
              <w:top w:val="nil"/>
              <w:bottom w:val="nil"/>
            </w:tcBorders>
          </w:tcPr>
          <w:p>
            <w:pPr>
              <w:pStyle w:val="TableParagraph"/>
              <w:spacing w:line="241" w:lineRule="exact"/>
              <w:rPr>
                <w:sz w:val="22"/>
              </w:rPr>
            </w:pPr>
            <w:r>
              <w:rPr>
                <w:sz w:val="22"/>
              </w:rPr>
              <w:t>contaminando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(18/I/2015)</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(19 integrantes)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99" w:val="left" w:leader="none"/>
                <w:tab w:pos="1357" w:val="left" w:leader="none"/>
              </w:tabs>
              <w:spacing w:line="241" w:lineRule="exact"/>
              <w:rPr>
                <w:sz w:val="22"/>
              </w:rPr>
            </w:pPr>
            <w:r>
              <w:rPr>
                <w:sz w:val="22"/>
              </w:rPr>
              <w:t>y</w:t>
              <w:tab/>
              <w:t>que</w:t>
              <w:tab/>
              <w:t>se</w:t>
            </w:r>
          </w:p>
        </w:tc>
        <w:tc>
          <w:tcPr>
            <w:tcW w:w="1985" w:type="dxa"/>
            <w:tcBorders>
              <w:top w:val="nil"/>
              <w:bottom w:val="nil"/>
            </w:tcBorders>
          </w:tcPr>
          <w:p>
            <w:pPr>
              <w:pStyle w:val="TableParagraph"/>
              <w:spacing w:line="241" w:lineRule="exact"/>
              <w:rPr>
                <w:sz w:val="22"/>
              </w:rPr>
            </w:pPr>
            <w:r>
              <w:rPr>
                <w:sz w:val="22"/>
              </w:rPr>
              <w:t>más.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saque  y  otros</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no.</w:t>
            </w: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spacing w:after="6"/>
        <w:ind w:left="2117" w:right="397"/>
      </w:pPr>
      <w:r>
        <w:rPr/>
        <w:t>Tabla 6.4. Ganaderos en los municipios de Jilotepec y Timilpan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3687"/>
      </w:tblGrid>
      <w:tr>
        <w:trPr>
          <w:trHeight w:val="524" w:hRule="exact"/>
        </w:trPr>
        <w:tc>
          <w:tcPr>
            <w:tcW w:w="6771" w:type="dxa"/>
            <w:gridSpan w:val="5"/>
            <w:vMerge w:val="restart"/>
            <w:shd w:val="clear" w:color="auto" w:fill="F9BE8F"/>
          </w:tcPr>
          <w:p>
            <w:pPr>
              <w:pStyle w:val="TableParagraph"/>
              <w:spacing w:before="5"/>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5"/>
              <w:ind w:left="0"/>
              <w:rPr>
                <w:b/>
                <w:sz w:val="21"/>
              </w:rPr>
            </w:pPr>
          </w:p>
          <w:p>
            <w:pPr>
              <w:pStyle w:val="TableParagraph"/>
              <w:ind w:left="1404"/>
              <w:rPr>
                <w:b/>
                <w:sz w:val="22"/>
              </w:rPr>
            </w:pPr>
            <w:r>
              <w:rPr>
                <w:b/>
                <w:sz w:val="22"/>
              </w:rPr>
              <w:t>PRINCIPIOS DE GOBERNANZA</w:t>
            </w:r>
          </w:p>
        </w:tc>
      </w:tr>
      <w:tr>
        <w:trPr>
          <w:trHeight w:val="516" w:hRule="exact"/>
        </w:trPr>
        <w:tc>
          <w:tcPr>
            <w:tcW w:w="6771" w:type="dxa"/>
            <w:gridSpan w:val="5"/>
            <w:vMerge/>
            <w:shd w:val="clear" w:color="auto" w:fill="F9BE8F"/>
          </w:tcPr>
          <w:p>
            <w:pPr/>
          </w:p>
        </w:tc>
        <w:tc>
          <w:tcPr>
            <w:tcW w:w="2410" w:type="dxa"/>
            <w:gridSpan w:val="2"/>
            <w:shd w:val="clear" w:color="auto" w:fill="92CDDC"/>
          </w:tcPr>
          <w:p>
            <w:pPr>
              <w:pStyle w:val="TableParagraph"/>
              <w:spacing w:line="252" w:lineRule="exact"/>
              <w:ind w:left="710"/>
              <w:rPr>
                <w:b/>
                <w:i/>
                <w:sz w:val="22"/>
              </w:rPr>
            </w:pPr>
            <w:r>
              <w:rPr>
                <w:b/>
                <w:i/>
                <w:sz w:val="22"/>
              </w:rPr>
              <w:t>Identidad</w:t>
            </w:r>
          </w:p>
        </w:tc>
        <w:tc>
          <w:tcPr>
            <w:tcW w:w="3687" w:type="dxa"/>
            <w:shd w:val="clear" w:color="auto" w:fill="92CDDC"/>
          </w:tcPr>
          <w:p>
            <w:pPr>
              <w:pStyle w:val="TableParagraph"/>
              <w:tabs>
                <w:tab w:pos="1765" w:val="left" w:leader="none"/>
                <w:tab w:pos="2204" w:val="left" w:leader="none"/>
              </w:tabs>
              <w:ind w:right="100"/>
              <w:rPr>
                <w:b/>
                <w:i/>
                <w:sz w:val="22"/>
              </w:rPr>
            </w:pPr>
            <w:r>
              <w:rPr>
                <w:b/>
                <w:i/>
                <w:sz w:val="22"/>
              </w:rPr>
              <w:t>Cooperación</w:t>
              <w:tab/>
              <w:t>y</w:t>
              <w:tab/>
            </w:r>
            <w:r>
              <w:rPr>
                <w:b/>
                <w:i/>
                <w:spacing w:val="-1"/>
                <w:sz w:val="22"/>
              </w:rPr>
              <w:t>participación </w:t>
            </w:r>
            <w:r>
              <w:rPr>
                <w:b/>
                <w:i/>
                <w:sz w:val="22"/>
              </w:rPr>
              <w:t>social</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9" w:lineRule="exact"/>
              <w:ind w:left="100"/>
              <w:rPr>
                <w:b/>
                <w:sz w:val="22"/>
              </w:rPr>
            </w:pPr>
            <w:r>
              <w:rPr>
                <w:b/>
                <w:sz w:val="22"/>
              </w:rPr>
              <w:t>Cooperativa/</w:t>
            </w:r>
          </w:p>
        </w:tc>
        <w:tc>
          <w:tcPr>
            <w:tcW w:w="1135" w:type="dxa"/>
            <w:tcBorders>
              <w:bottom w:val="nil"/>
            </w:tcBorders>
            <w:shd w:val="clear" w:color="auto" w:fill="F9BE8F"/>
          </w:tcPr>
          <w:p>
            <w:pPr>
              <w:pStyle w:val="TableParagraph"/>
              <w:spacing w:line="249" w:lineRule="exact"/>
              <w:rPr>
                <w:b/>
                <w:sz w:val="22"/>
              </w:rPr>
            </w:pPr>
            <w:r>
              <w:rPr>
                <w:b/>
                <w:sz w:val="22"/>
              </w:rPr>
              <w:t>Cargo</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3687" w:type="dxa"/>
            <w:tcBorders>
              <w:bottom w:val="nil"/>
            </w:tcBorders>
            <w:shd w:val="clear" w:color="auto" w:fill="92CDDC"/>
          </w:tcPr>
          <w:p>
            <w:pPr>
              <w:pStyle w:val="TableParagraph"/>
              <w:tabs>
                <w:tab w:pos="1257" w:val="left" w:leader="none"/>
                <w:tab w:pos="2127" w:val="left" w:leader="none"/>
                <w:tab w:pos="3451" w:val="left" w:leader="none"/>
              </w:tabs>
              <w:spacing w:line="249" w:lineRule="exact"/>
              <w:rPr>
                <w:b/>
                <w:sz w:val="22"/>
              </w:rPr>
            </w:pPr>
            <w:r>
              <w:rPr>
                <w:b/>
                <w:sz w:val="22"/>
              </w:rPr>
              <w:t>¿Estaría</w:t>
              <w:tab/>
              <w:t>usted</w:t>
              <w:tab/>
              <w:t>dispuesto</w:t>
              <w:tab/>
              <w:t>a</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Asociación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3687" w:type="dxa"/>
            <w:tcBorders>
              <w:top w:val="nil"/>
              <w:bottom w:val="nil"/>
            </w:tcBorders>
            <w:shd w:val="clear" w:color="auto" w:fill="92CDDC"/>
          </w:tcPr>
          <w:p>
            <w:pPr>
              <w:pStyle w:val="TableParagraph"/>
              <w:spacing w:line="241" w:lineRule="exact"/>
              <w:rPr>
                <w:b/>
                <w:sz w:val="22"/>
              </w:rPr>
            </w:pPr>
            <w:r>
              <w:rPr>
                <w:b/>
                <w:sz w:val="22"/>
              </w:rPr>
              <w:t>asistir  a  una  reunión para tratar</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Ganaderos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3687" w:type="dxa"/>
            <w:tcBorders>
              <w:top w:val="nil"/>
              <w:bottom w:val="nil"/>
            </w:tcBorders>
            <w:shd w:val="clear" w:color="auto" w:fill="92CDDC"/>
          </w:tcPr>
          <w:p>
            <w:pPr>
              <w:pStyle w:val="TableParagraph"/>
              <w:tabs>
                <w:tab w:pos="1180" w:val="left" w:leader="none"/>
                <w:tab w:pos="2768" w:val="left" w:leader="none"/>
                <w:tab w:pos="3389" w:val="left" w:leader="none"/>
              </w:tabs>
              <w:spacing w:line="241" w:lineRule="exact"/>
              <w:rPr>
                <w:b/>
                <w:sz w:val="22"/>
              </w:rPr>
            </w:pPr>
            <w:r>
              <w:rPr>
                <w:b/>
                <w:sz w:val="22"/>
              </w:rPr>
              <w:t>asuntos</w:t>
              <w:tab/>
              <w:t>relacionados</w:t>
              <w:tab/>
              <w:t>con</w:t>
              <w:tab/>
              <w:t>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3687" w:type="dxa"/>
            <w:tcBorders>
              <w:top w:val="nil"/>
              <w:bottom w:val="nil"/>
            </w:tcBorders>
            <w:shd w:val="clear" w:color="auto" w:fill="92CDDC"/>
          </w:tcPr>
          <w:p>
            <w:pPr>
              <w:pStyle w:val="TableParagraph"/>
              <w:spacing w:line="242" w:lineRule="exact"/>
              <w:rPr>
                <w:b/>
                <w:sz w:val="22"/>
              </w:rPr>
            </w:pPr>
            <w:r>
              <w:rPr>
                <w:b/>
                <w:sz w:val="22"/>
              </w:rPr>
              <w:t>laguna de Huapango?</w:t>
            </w: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3687"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Servando</w:t>
            </w:r>
          </w:p>
        </w:tc>
        <w:tc>
          <w:tcPr>
            <w:tcW w:w="1418" w:type="dxa"/>
            <w:tcBorders>
              <w:bottom w:val="nil"/>
            </w:tcBorders>
          </w:tcPr>
          <w:p>
            <w:pPr>
              <w:pStyle w:val="TableParagraph"/>
              <w:spacing w:line="251" w:lineRule="exact"/>
              <w:ind w:left="100" w:right="101"/>
              <w:rPr>
                <w:sz w:val="22"/>
              </w:rPr>
            </w:pPr>
            <w:r>
              <w:rPr>
                <w:sz w:val="22"/>
              </w:rPr>
              <w:t>Campesino</w:t>
            </w:r>
          </w:p>
        </w:tc>
        <w:tc>
          <w:tcPr>
            <w:tcW w:w="1841" w:type="dxa"/>
            <w:tcBorders>
              <w:bottom w:val="nil"/>
            </w:tcBorders>
          </w:tcPr>
          <w:p>
            <w:pPr>
              <w:pStyle w:val="TableParagraph"/>
              <w:spacing w:line="251" w:lineRule="exact"/>
              <w:ind w:left="100"/>
              <w:rPr>
                <w:sz w:val="22"/>
              </w:rPr>
            </w:pPr>
            <w:r>
              <w:rPr>
                <w:sz w:val="22"/>
              </w:rPr>
              <w:t>Asociación</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3687" w:type="dxa"/>
            <w:tcBorders>
              <w:bottom w:val="nil"/>
            </w:tcBorders>
          </w:tcPr>
          <w:p>
            <w:pPr>
              <w:pStyle w:val="TableParagraph"/>
              <w:spacing w:line="251" w:lineRule="exact"/>
              <w:rPr>
                <w:sz w:val="22"/>
              </w:rPr>
            </w:pPr>
            <w:r>
              <w:rPr>
                <w:sz w:val="22"/>
              </w:rPr>
              <w:t>Sí hubiera  una  reunión  para tratar</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Style w:val="TableParagraph"/>
              <w:spacing w:line="241" w:lineRule="exact"/>
              <w:ind w:left="100" w:right="101"/>
              <w:rPr>
                <w:sz w:val="22"/>
              </w:rPr>
            </w:pPr>
            <w:r>
              <w:rPr>
                <w:sz w:val="22"/>
              </w:rPr>
              <w:t>y ganadero</w:t>
            </w:r>
          </w:p>
        </w:tc>
        <w:tc>
          <w:tcPr>
            <w:tcW w:w="1841" w:type="dxa"/>
            <w:tcBorders>
              <w:top w:val="nil"/>
              <w:bottom w:val="nil"/>
            </w:tcBorders>
          </w:tcPr>
          <w:p>
            <w:pPr>
              <w:pStyle w:val="TableParagraph"/>
              <w:spacing w:line="241" w:lineRule="exact"/>
              <w:ind w:left="100"/>
              <w:rPr>
                <w:sz w:val="22"/>
              </w:rPr>
            </w:pPr>
            <w:r>
              <w:rPr>
                <w:sz w:val="22"/>
              </w:rPr>
              <w:t>Ganadera Local</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3687" w:type="dxa"/>
            <w:tcBorders>
              <w:top w:val="nil"/>
              <w:bottom w:val="nil"/>
            </w:tcBorders>
          </w:tcPr>
          <w:p>
            <w:pPr>
              <w:pStyle w:val="TableParagraph"/>
              <w:spacing w:line="241" w:lineRule="exact"/>
              <w:rPr>
                <w:sz w:val="22"/>
              </w:rPr>
            </w:pPr>
            <w:r>
              <w:rPr>
                <w:sz w:val="22"/>
              </w:rPr>
              <w:t>asuntos relacionados con la laguna</w:t>
            </w:r>
          </w:p>
        </w:tc>
      </w:tr>
      <w:tr>
        <w:trPr>
          <w:trHeight w:val="254"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General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Jilotepec</w:t>
            </w:r>
          </w:p>
        </w:tc>
        <w:tc>
          <w:tcPr>
            <w:tcW w:w="3687" w:type="dxa"/>
            <w:tcBorders>
              <w:top w:val="nil"/>
              <w:bottom w:val="nil"/>
            </w:tcBorders>
          </w:tcPr>
          <w:p>
            <w:pPr>
              <w:pStyle w:val="TableParagraph"/>
              <w:spacing w:line="242" w:lineRule="exact"/>
              <w:rPr>
                <w:sz w:val="22"/>
              </w:rPr>
            </w:pPr>
            <w:r>
              <w:rPr>
                <w:sz w:val="22"/>
              </w:rPr>
              <w:t>sí iría  para  ver  que me ofrecen  y</w:t>
            </w:r>
          </w:p>
        </w:tc>
      </w:tr>
      <w:tr>
        <w:trPr>
          <w:trHeight w:val="252"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Municipio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que me van a dar.</w:t>
            </w: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Jilotepec</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bl>
    <w:p>
      <w:pPr>
        <w:spacing w:after="0"/>
        <w:sectPr>
          <w:pgSz w:w="15840" w:h="12240" w:orient="landscape"/>
          <w:pgMar w:header="0" w:footer="943" w:top="1140" w:bottom="1140" w:left="1200" w:right="130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3687"/>
      </w:tblGrid>
      <w:tr>
        <w:trPr>
          <w:trHeight w:val="266" w:hRule="exact"/>
        </w:trPr>
        <w:tc>
          <w:tcPr>
            <w:tcW w:w="1385" w:type="dxa"/>
            <w:tcBorders>
              <w:bottom w:val="nil"/>
            </w:tcBorders>
          </w:tcPr>
          <w:p>
            <w:pPr>
              <w:pStyle w:val="TableParagraph"/>
              <w:spacing w:line="251" w:lineRule="exact"/>
              <w:ind w:left="369" w:right="127"/>
              <w:rPr>
                <w:sz w:val="22"/>
              </w:rPr>
            </w:pPr>
            <w:r>
              <w:rPr>
                <w:sz w:val="22"/>
              </w:rPr>
              <w:t>Rufino</w:t>
            </w:r>
          </w:p>
        </w:tc>
        <w:tc>
          <w:tcPr>
            <w:tcW w:w="1418" w:type="dxa"/>
            <w:tcBorders>
              <w:bottom w:val="nil"/>
            </w:tcBorders>
          </w:tcPr>
          <w:p>
            <w:pPr>
              <w:pStyle w:val="TableParagraph"/>
              <w:spacing w:line="251" w:lineRule="exact"/>
              <w:ind w:left="100" w:right="101"/>
              <w:rPr>
                <w:sz w:val="22"/>
              </w:rPr>
            </w:pPr>
            <w:r>
              <w:rPr>
                <w:sz w:val="22"/>
              </w:rPr>
              <w:t>Ganadero,</w:t>
            </w:r>
          </w:p>
        </w:tc>
        <w:tc>
          <w:tcPr>
            <w:tcW w:w="1841" w:type="dxa"/>
            <w:tcBorders>
              <w:bottom w:val="nil"/>
            </w:tcBorders>
          </w:tcPr>
          <w:p>
            <w:pPr>
              <w:pStyle w:val="TableParagraph"/>
              <w:spacing w:line="251" w:lineRule="exact"/>
              <w:ind w:left="100"/>
              <w:rPr>
                <w:sz w:val="22"/>
              </w:rPr>
            </w:pPr>
            <w:r>
              <w:rPr>
                <w:sz w:val="22"/>
              </w:rPr>
              <w:t>Asociación</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3687" w:type="dxa"/>
            <w:tcBorders>
              <w:bottom w:val="nil"/>
            </w:tcBorders>
          </w:tcPr>
          <w:p>
            <w:pPr>
              <w:pStyle w:val="TableParagraph"/>
              <w:spacing w:line="251" w:lineRule="exact"/>
              <w:rPr>
                <w:sz w:val="22"/>
              </w:rPr>
            </w:pPr>
            <w:r>
              <w:rPr>
                <w:sz w:val="22"/>
              </w:rPr>
              <w:t>Sí  para  dar  algunas  sugerencias</w:t>
            </w:r>
          </w:p>
        </w:tc>
      </w:tr>
      <w:tr>
        <w:trPr>
          <w:trHeight w:val="253" w:hRule="exact"/>
        </w:trPr>
        <w:tc>
          <w:tcPr>
            <w:tcW w:w="1385" w:type="dxa"/>
            <w:tcBorders>
              <w:top w:val="nil"/>
              <w:bottom w:val="nil"/>
            </w:tcBorders>
          </w:tcPr>
          <w:p>
            <w:pPr>
              <w:pStyle w:val="TableParagraph"/>
              <w:spacing w:line="241" w:lineRule="exact"/>
              <w:ind w:left="357" w:right="127"/>
              <w:rPr>
                <w:sz w:val="22"/>
              </w:rPr>
            </w:pPr>
            <w:r>
              <w:rPr>
                <w:sz w:val="22"/>
              </w:rPr>
              <w:t>García</w:t>
            </w:r>
          </w:p>
        </w:tc>
        <w:tc>
          <w:tcPr>
            <w:tcW w:w="1418" w:type="dxa"/>
            <w:tcBorders>
              <w:top w:val="nil"/>
              <w:bottom w:val="nil"/>
            </w:tcBorders>
          </w:tcPr>
          <w:p>
            <w:pPr>
              <w:pStyle w:val="TableParagraph"/>
              <w:spacing w:line="241" w:lineRule="exact"/>
              <w:ind w:left="100" w:right="101"/>
              <w:rPr>
                <w:sz w:val="22"/>
              </w:rPr>
            </w:pPr>
            <w:r>
              <w:rPr>
                <w:sz w:val="22"/>
              </w:rPr>
              <w:t>agricultor y</w:t>
            </w:r>
          </w:p>
        </w:tc>
        <w:tc>
          <w:tcPr>
            <w:tcW w:w="1841" w:type="dxa"/>
            <w:tcBorders>
              <w:top w:val="nil"/>
              <w:bottom w:val="nil"/>
            </w:tcBorders>
          </w:tcPr>
          <w:p>
            <w:pPr>
              <w:pStyle w:val="TableParagraph"/>
              <w:spacing w:line="241" w:lineRule="exact"/>
              <w:ind w:left="100"/>
              <w:rPr>
                <w:sz w:val="22"/>
              </w:rPr>
            </w:pPr>
            <w:r>
              <w:rPr>
                <w:sz w:val="22"/>
              </w:rPr>
              <w:t>Ganadera</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3687" w:type="dxa"/>
            <w:tcBorders>
              <w:top w:val="nil"/>
              <w:bottom w:val="nil"/>
            </w:tcBorders>
          </w:tcPr>
          <w:p>
            <w:pPr>
              <w:pStyle w:val="TableParagraph"/>
              <w:spacing w:line="241" w:lineRule="exact"/>
              <w:rPr>
                <w:sz w:val="22"/>
              </w:rPr>
            </w:pPr>
            <w:r>
              <w:rPr>
                <w:sz w:val="22"/>
              </w:rPr>
              <w:t>sobre la problemática de la misma.</w:t>
            </w:r>
          </w:p>
        </w:tc>
      </w:tr>
      <w:tr>
        <w:trPr>
          <w:trHeight w:val="253" w:hRule="exact"/>
        </w:trPr>
        <w:tc>
          <w:tcPr>
            <w:tcW w:w="1385" w:type="dxa"/>
            <w:tcBorders>
              <w:top w:val="nil"/>
              <w:bottom w:val="nil"/>
            </w:tcBorders>
          </w:tcPr>
          <w:p>
            <w:pPr>
              <w:pStyle w:val="TableParagraph"/>
              <w:spacing w:line="242" w:lineRule="exact"/>
              <w:ind w:left="215" w:right="127"/>
              <w:rPr>
                <w:sz w:val="22"/>
              </w:rPr>
            </w:pPr>
            <w:r>
              <w:rPr>
                <w:sz w:val="22"/>
              </w:rPr>
              <w:t>(2/I/2015)</w:t>
            </w:r>
          </w:p>
        </w:tc>
        <w:tc>
          <w:tcPr>
            <w:tcW w:w="1418" w:type="dxa"/>
            <w:tcBorders>
              <w:top w:val="nil"/>
              <w:bottom w:val="nil"/>
            </w:tcBorders>
          </w:tcPr>
          <w:p>
            <w:pPr>
              <w:pStyle w:val="TableParagraph"/>
              <w:spacing w:line="242" w:lineRule="exact"/>
              <w:ind w:left="100" w:right="101"/>
              <w:rPr>
                <w:sz w:val="22"/>
              </w:rPr>
            </w:pPr>
            <w:r>
              <w:rPr>
                <w:sz w:val="22"/>
              </w:rPr>
              <w:t>abogado</w:t>
            </w:r>
          </w:p>
        </w:tc>
        <w:tc>
          <w:tcPr>
            <w:tcW w:w="1841" w:type="dxa"/>
            <w:tcBorders>
              <w:top w:val="nil"/>
              <w:bottom w:val="nil"/>
            </w:tcBorders>
          </w:tcPr>
          <w:p>
            <w:pPr>
              <w:pStyle w:val="TableParagraph"/>
              <w:tabs>
                <w:tab w:pos="1434" w:val="left" w:leader="none"/>
              </w:tabs>
              <w:spacing w:line="242" w:lineRule="exact"/>
              <w:ind w:left="100"/>
              <w:rPr>
                <w:sz w:val="22"/>
              </w:rPr>
            </w:pPr>
            <w:r>
              <w:rPr>
                <w:sz w:val="22"/>
              </w:rPr>
              <w:t>General</w:t>
              <w:tab/>
              <w:t>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Timilpan</w:t>
            </w: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0" w:val="left" w:leader="none"/>
              </w:tabs>
              <w:spacing w:line="241" w:lineRule="exact"/>
              <w:ind w:left="100"/>
              <w:rPr>
                <w:sz w:val="22"/>
              </w:rPr>
            </w:pPr>
            <w:r>
              <w:rPr>
                <w:sz w:val="22"/>
              </w:rPr>
              <w:t>Municipio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Timilpan, A.C</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07" w:val="left" w:leader="none"/>
              </w:tabs>
              <w:spacing w:line="241" w:lineRule="exact"/>
              <w:ind w:left="100"/>
              <w:rPr>
                <w:sz w:val="22"/>
              </w:rPr>
            </w:pPr>
            <w:r>
              <w:rPr>
                <w:sz w:val="22"/>
              </w:rPr>
              <w:t>(Representa</w:t>
              <w:tab/>
              <w:t>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728" w:val="right" w:leader="none"/>
              </w:tabs>
              <w:spacing w:line="241" w:lineRule="exact"/>
              <w:ind w:left="100"/>
              <w:rPr>
                <w:sz w:val="22"/>
              </w:rPr>
            </w:pPr>
            <w:r>
              <w:rPr>
                <w:sz w:val="22"/>
              </w:rPr>
              <w:t>las</w:t>
              <w:tab/>
              <w:t>36</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comunidades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Timilpan)</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Evaristo</w:t>
            </w:r>
          </w:p>
        </w:tc>
        <w:tc>
          <w:tcPr>
            <w:tcW w:w="1418" w:type="dxa"/>
            <w:tcBorders>
              <w:bottom w:val="nil"/>
            </w:tcBorders>
          </w:tcPr>
          <w:p>
            <w:pPr>
              <w:pStyle w:val="TableParagraph"/>
              <w:spacing w:line="251" w:lineRule="exact"/>
              <w:ind w:left="127"/>
              <w:rPr>
                <w:sz w:val="22"/>
              </w:rPr>
            </w:pPr>
            <w:r>
              <w:rPr>
                <w:sz w:val="22"/>
              </w:rPr>
              <w:t>Ganadero y</w:t>
            </w:r>
          </w:p>
        </w:tc>
        <w:tc>
          <w:tcPr>
            <w:tcW w:w="1841" w:type="dxa"/>
            <w:tcBorders>
              <w:bottom w:val="nil"/>
            </w:tcBorders>
          </w:tcPr>
          <w:p>
            <w:pPr>
              <w:pStyle w:val="TableParagraph"/>
              <w:spacing w:line="251" w:lineRule="exact"/>
              <w:ind w:left="100"/>
              <w:rPr>
                <w:sz w:val="22"/>
              </w:rPr>
            </w:pPr>
            <w:r>
              <w:rPr>
                <w:sz w:val="22"/>
              </w:rPr>
              <w:t>Cooperativa</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3687" w:type="dxa"/>
            <w:tcBorders>
              <w:bottom w:val="nil"/>
            </w:tcBorders>
          </w:tcPr>
          <w:p>
            <w:pPr>
              <w:pStyle w:val="TableParagraph"/>
              <w:spacing w:line="251" w:lineRule="exact"/>
              <w:rPr>
                <w:sz w:val="22"/>
              </w:rPr>
            </w:pPr>
            <w:r>
              <w:rPr>
                <w:sz w:val="22"/>
              </w:rPr>
              <w:t>Sí,   pero   que   no   sea   tan</w:t>
            </w:r>
            <w:r>
              <w:rPr>
                <w:spacing w:val="51"/>
                <w:sz w:val="22"/>
              </w:rPr>
              <w:t> </w:t>
            </w:r>
            <w:r>
              <w:rPr>
                <w:sz w:val="22"/>
              </w:rPr>
              <w:t>lejos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Style w:val="TableParagraph"/>
              <w:spacing w:line="241" w:lineRule="exact"/>
              <w:ind w:left="249" w:right="101"/>
              <w:rPr>
                <w:sz w:val="22"/>
              </w:rPr>
            </w:pPr>
            <w:r>
              <w:rPr>
                <w:sz w:val="22"/>
              </w:rPr>
              <w:t>agricultor</w:t>
            </w:r>
          </w:p>
        </w:tc>
        <w:tc>
          <w:tcPr>
            <w:tcW w:w="1841" w:type="dxa"/>
            <w:tcBorders>
              <w:top w:val="nil"/>
              <w:bottom w:val="nil"/>
            </w:tcBorders>
          </w:tcPr>
          <w:p>
            <w:pPr>
              <w:pStyle w:val="TableParagraph"/>
              <w:tabs>
                <w:tab w:pos="820" w:val="left" w:leader="none"/>
              </w:tabs>
              <w:spacing w:line="241" w:lineRule="exact"/>
              <w:ind w:left="100"/>
              <w:rPr>
                <w:sz w:val="22"/>
              </w:rPr>
            </w:pPr>
            <w:r>
              <w:rPr>
                <w:sz w:val="22"/>
              </w:rPr>
              <w:t>para</w:t>
              <w:tab/>
              <w:t>gestionar</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3687" w:type="dxa"/>
            <w:tcBorders>
              <w:top w:val="nil"/>
              <w:bottom w:val="nil"/>
            </w:tcBorders>
          </w:tcPr>
          <w:p>
            <w:pPr>
              <w:pStyle w:val="TableParagraph"/>
              <w:tabs>
                <w:tab w:pos="1086" w:val="left" w:leader="none"/>
                <w:tab w:pos="1734" w:val="left" w:leader="none"/>
                <w:tab w:pos="2398" w:val="left" w:leader="none"/>
                <w:tab w:pos="3293" w:val="left" w:leader="none"/>
              </w:tabs>
              <w:spacing w:line="241" w:lineRule="exact"/>
              <w:rPr>
                <w:sz w:val="22"/>
              </w:rPr>
            </w:pPr>
            <w:r>
              <w:rPr>
                <w:sz w:val="22"/>
              </w:rPr>
              <w:t>porque</w:t>
              <w:tab/>
              <w:t>hay</w:t>
              <w:tab/>
              <w:t>que</w:t>
              <w:tab/>
              <w:t>cuidar</w:t>
              <w:tab/>
              <w:t>los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Miguel</w:t>
            </w: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2" w:lineRule="exact"/>
              <w:ind w:left="100"/>
              <w:rPr>
                <w:sz w:val="22"/>
              </w:rPr>
            </w:pPr>
            <w:r>
              <w:rPr>
                <w:sz w:val="22"/>
              </w:rPr>
              <w:t>proyectos</w:t>
              <w:tab/>
              <w:t>en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w:t>
            </w:r>
          </w:p>
        </w:tc>
        <w:tc>
          <w:tcPr>
            <w:tcW w:w="1133" w:type="dxa"/>
            <w:tcBorders>
              <w:top w:val="nil"/>
              <w:bottom w:val="nil"/>
            </w:tcBorders>
          </w:tcPr>
          <w:p>
            <w:pPr>
              <w:pStyle w:val="TableParagraph"/>
              <w:spacing w:line="242" w:lineRule="exact"/>
              <w:ind w:left="100" w:right="52"/>
              <w:rPr>
                <w:sz w:val="22"/>
              </w:rPr>
            </w:pPr>
            <w:r>
              <w:rPr>
                <w:sz w:val="22"/>
              </w:rPr>
              <w:t>na,</w:t>
            </w:r>
          </w:p>
        </w:tc>
        <w:tc>
          <w:tcPr>
            <w:tcW w:w="3687" w:type="dxa"/>
            <w:tcBorders>
              <w:top w:val="nil"/>
              <w:bottom w:val="nil"/>
            </w:tcBorders>
          </w:tcPr>
          <w:p>
            <w:pPr>
              <w:pStyle w:val="TableParagraph"/>
              <w:spacing w:line="242" w:lineRule="exact"/>
              <w:rPr>
                <w:sz w:val="22"/>
              </w:rPr>
            </w:pPr>
            <w:r>
              <w:rPr>
                <w:sz w:val="22"/>
              </w:rPr>
              <w:t>animales.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1" w:lineRule="exact"/>
              <w:ind w:left="100"/>
              <w:rPr>
                <w:sz w:val="22"/>
              </w:rPr>
            </w:pPr>
            <w:r>
              <w:rPr>
                <w:sz w:val="22"/>
              </w:rPr>
              <w:t>Sagarpa</w:t>
              <w:tab/>
              <w:t>(no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556" w:val="left" w:leader="none"/>
              </w:tabs>
              <w:spacing w:line="241" w:lineRule="exact"/>
              <w:ind w:left="100"/>
              <w:rPr>
                <w:sz w:val="22"/>
              </w:rPr>
            </w:pPr>
            <w:r>
              <w:rPr>
                <w:sz w:val="22"/>
              </w:rPr>
              <w:t>recurdo</w:t>
              <w:tab/>
              <w:t>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10" w:val="left" w:leader="none"/>
              </w:tabs>
              <w:spacing w:line="242" w:lineRule="exact"/>
              <w:ind w:left="100"/>
              <w:rPr>
                <w:sz w:val="22"/>
              </w:rPr>
            </w:pPr>
            <w:r>
              <w:rPr>
                <w:sz w:val="22"/>
              </w:rPr>
              <w:t>nombre)</w:t>
              <w:tab/>
              <w:t>(10</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Antonio</w:t>
            </w:r>
          </w:p>
        </w:tc>
        <w:tc>
          <w:tcPr>
            <w:tcW w:w="1418" w:type="dxa"/>
            <w:tcBorders>
              <w:bottom w:val="nil"/>
            </w:tcBorders>
          </w:tcPr>
          <w:p>
            <w:pPr>
              <w:pStyle w:val="TableParagraph"/>
              <w:spacing w:line="251" w:lineRule="exact"/>
              <w:ind w:left="100" w:right="101"/>
              <w:rPr>
                <w:sz w:val="22"/>
              </w:rPr>
            </w:pPr>
            <w:r>
              <w:rPr>
                <w:sz w:val="22"/>
              </w:rPr>
              <w:t>Ganadero,</w:t>
            </w:r>
          </w:p>
        </w:tc>
        <w:tc>
          <w:tcPr>
            <w:tcW w:w="1841" w:type="dxa"/>
            <w:tcBorders>
              <w:bottom w:val="nil"/>
            </w:tcBorders>
          </w:tcPr>
          <w:p>
            <w:pPr>
              <w:pStyle w:val="TableParagraph"/>
              <w:spacing w:line="251" w:lineRule="exact"/>
              <w:ind w:left="100"/>
              <w:rPr>
                <w:sz w:val="22"/>
              </w:rPr>
            </w:pPr>
            <w:r>
              <w:rPr>
                <w:sz w:val="22"/>
              </w:rPr>
              <w:t>Cooperativa   de</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3687" w:type="dxa"/>
            <w:tcBorders>
              <w:bottom w:val="nil"/>
            </w:tcBorders>
          </w:tcPr>
          <w:p>
            <w:pPr>
              <w:pStyle w:val="TableParagraph"/>
              <w:spacing w:line="251" w:lineRule="exact"/>
              <w:rPr>
                <w:sz w:val="22"/>
              </w:rPr>
            </w:pPr>
            <w:r>
              <w:rPr>
                <w:sz w:val="22"/>
              </w:rPr>
              <w:t>Sí   porque   estoy   interesado   en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Gabriel</w:t>
            </w:r>
          </w:p>
        </w:tc>
        <w:tc>
          <w:tcPr>
            <w:tcW w:w="1418" w:type="dxa"/>
            <w:tcBorders>
              <w:top w:val="nil"/>
              <w:bottom w:val="nil"/>
            </w:tcBorders>
          </w:tcPr>
          <w:p>
            <w:pPr>
              <w:pStyle w:val="TableParagraph"/>
              <w:spacing w:line="241" w:lineRule="exact"/>
              <w:ind w:left="100"/>
              <w:rPr>
                <w:sz w:val="22"/>
              </w:rPr>
            </w:pPr>
            <w:r>
              <w:rPr>
                <w:sz w:val="22"/>
              </w:rPr>
              <w:t>agricultor   y</w:t>
            </w:r>
          </w:p>
        </w:tc>
        <w:tc>
          <w:tcPr>
            <w:tcW w:w="1841" w:type="dxa"/>
            <w:tcBorders>
              <w:top w:val="nil"/>
              <w:bottom w:val="nil"/>
            </w:tcBorders>
          </w:tcPr>
          <w:p>
            <w:pPr>
              <w:pStyle w:val="TableParagraph"/>
              <w:spacing w:line="241" w:lineRule="exact"/>
              <w:ind w:left="100"/>
              <w:rPr>
                <w:sz w:val="22"/>
              </w:rPr>
            </w:pPr>
            <w:r>
              <w:rPr>
                <w:sz w:val="22"/>
              </w:rPr>
              <w:t>Ganaderos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3687" w:type="dxa"/>
            <w:tcBorders>
              <w:top w:val="nil"/>
              <w:bottom w:val="nil"/>
            </w:tcBorders>
          </w:tcPr>
          <w:p>
            <w:pPr>
              <w:pStyle w:val="TableParagraph"/>
              <w:spacing w:line="241" w:lineRule="exact"/>
              <w:rPr>
                <w:sz w:val="22"/>
              </w:rPr>
            </w:pPr>
            <w:r>
              <w:rPr>
                <w:sz w:val="22"/>
              </w:rPr>
              <w:t>saber   que   va   a   pasar   con   la</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Cruz</w:t>
            </w:r>
          </w:p>
        </w:tc>
        <w:tc>
          <w:tcPr>
            <w:tcW w:w="1418" w:type="dxa"/>
            <w:tcBorders>
              <w:top w:val="nil"/>
              <w:bottom w:val="nil"/>
            </w:tcBorders>
          </w:tcPr>
          <w:p>
            <w:pPr>
              <w:pStyle w:val="TableParagraph"/>
              <w:spacing w:line="243" w:lineRule="exact"/>
              <w:ind w:left="100" w:right="101"/>
              <w:rPr>
                <w:sz w:val="22"/>
              </w:rPr>
            </w:pPr>
            <w:r>
              <w:rPr>
                <w:sz w:val="22"/>
              </w:rPr>
              <w:t>albañil</w:t>
            </w:r>
          </w:p>
        </w:tc>
        <w:tc>
          <w:tcPr>
            <w:tcW w:w="1841" w:type="dxa"/>
            <w:tcBorders>
              <w:top w:val="nil"/>
              <w:bottom w:val="nil"/>
            </w:tcBorders>
          </w:tcPr>
          <w:p>
            <w:pPr>
              <w:pStyle w:val="TableParagraph"/>
              <w:spacing w:line="243" w:lineRule="exact"/>
              <w:ind w:left="100"/>
              <w:rPr>
                <w:sz w:val="22"/>
              </w:rPr>
            </w:pPr>
            <w:r>
              <w:rPr>
                <w:sz w:val="22"/>
              </w:rPr>
              <w:t>(No  recuerdo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3" w:lineRule="exact"/>
              <w:ind w:right="92"/>
              <w:rPr>
                <w:sz w:val="22"/>
              </w:rPr>
            </w:pPr>
            <w:r>
              <w:rPr>
                <w:sz w:val="22"/>
              </w:rPr>
              <w:t>a,</w:t>
            </w:r>
          </w:p>
        </w:tc>
        <w:tc>
          <w:tcPr>
            <w:tcW w:w="1133" w:type="dxa"/>
            <w:tcBorders>
              <w:top w:val="nil"/>
              <w:bottom w:val="nil"/>
            </w:tcBorders>
          </w:tcPr>
          <w:p>
            <w:pPr>
              <w:pStyle w:val="TableParagraph"/>
              <w:spacing w:line="243" w:lineRule="exact"/>
              <w:ind w:left="100" w:right="52"/>
              <w:rPr>
                <w:sz w:val="22"/>
              </w:rPr>
            </w:pPr>
            <w:r>
              <w:rPr>
                <w:sz w:val="22"/>
              </w:rPr>
              <w:t>na,</w:t>
            </w:r>
          </w:p>
        </w:tc>
        <w:tc>
          <w:tcPr>
            <w:tcW w:w="3687" w:type="dxa"/>
            <w:tcBorders>
              <w:top w:val="nil"/>
              <w:bottom w:val="nil"/>
            </w:tcBorders>
          </w:tcPr>
          <w:p>
            <w:pPr>
              <w:pStyle w:val="TableParagraph"/>
              <w:spacing w:line="243" w:lineRule="exact"/>
              <w:rPr>
                <w:sz w:val="22"/>
              </w:rPr>
            </w:pPr>
            <w:r>
              <w:rPr>
                <w:sz w:val="22"/>
              </w:rPr>
              <w:t>laguna.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(17/I/2015)</w:t>
            </w:r>
          </w:p>
        </w:tc>
        <w:tc>
          <w:tcPr>
            <w:tcW w:w="1418" w:type="dxa"/>
            <w:tcBorders>
              <w:top w:val="nil"/>
              <w:bottom w:val="nil"/>
            </w:tcBorders>
          </w:tcPr>
          <w:p>
            <w:pPr/>
          </w:p>
        </w:tc>
        <w:tc>
          <w:tcPr>
            <w:tcW w:w="1841" w:type="dxa"/>
            <w:tcBorders>
              <w:top w:val="nil"/>
              <w:bottom w:val="nil"/>
            </w:tcBorders>
          </w:tcPr>
          <w:p>
            <w:pPr>
              <w:pStyle w:val="TableParagraph"/>
              <w:tabs>
                <w:tab w:pos="1149" w:val="left" w:leader="none"/>
                <w:tab w:pos="1556" w:val="left" w:leader="none"/>
              </w:tabs>
              <w:spacing w:line="241" w:lineRule="exact"/>
              <w:ind w:left="100"/>
              <w:rPr>
                <w:sz w:val="22"/>
              </w:rPr>
            </w:pPr>
            <w:r>
              <w:rPr>
                <w:sz w:val="22"/>
              </w:rPr>
              <w:t>nombre,</w:t>
              <w:tab/>
              <w:t>ni</w:t>
              <w:tab/>
              <w:t>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485" w:val="left" w:leader="none"/>
              </w:tabs>
              <w:spacing w:line="241" w:lineRule="exact"/>
              <w:ind w:left="100"/>
              <w:rPr>
                <w:sz w:val="22"/>
              </w:rPr>
            </w:pPr>
            <w:r>
              <w:rPr>
                <w:sz w:val="22"/>
              </w:rPr>
              <w:t>número</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2" w:lineRule="exact"/>
              <w:ind w:left="100"/>
              <w:rPr>
                <w:sz w:val="22"/>
              </w:rPr>
            </w:pPr>
            <w:r>
              <w:rPr>
                <w:sz w:val="22"/>
              </w:rPr>
              <w:t>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Porfirio</w:t>
            </w:r>
          </w:p>
        </w:tc>
        <w:tc>
          <w:tcPr>
            <w:tcW w:w="1418" w:type="dxa"/>
            <w:tcBorders>
              <w:bottom w:val="nil"/>
            </w:tcBorders>
          </w:tcPr>
          <w:p>
            <w:pPr>
              <w:pStyle w:val="TableParagraph"/>
              <w:spacing w:line="251" w:lineRule="exact"/>
              <w:ind w:left="156" w:right="101"/>
              <w:rPr>
                <w:sz w:val="22"/>
              </w:rPr>
            </w:pPr>
            <w:r>
              <w:rPr>
                <w:sz w:val="22"/>
              </w:rPr>
              <w:t>El campo y</w:t>
            </w:r>
          </w:p>
        </w:tc>
        <w:tc>
          <w:tcPr>
            <w:tcW w:w="1841" w:type="dxa"/>
            <w:tcBorders>
              <w:bottom w:val="nil"/>
            </w:tcBorders>
          </w:tcPr>
          <w:p>
            <w:pPr>
              <w:pStyle w:val="TableParagraph"/>
              <w:spacing w:line="251" w:lineRule="exact"/>
              <w:ind w:left="100"/>
              <w:rPr>
                <w:sz w:val="22"/>
              </w:rPr>
            </w:pPr>
            <w:r>
              <w:rPr>
                <w:sz w:val="22"/>
              </w:rPr>
              <w:t>Cooperativa   de</w:t>
            </w:r>
          </w:p>
        </w:tc>
        <w:tc>
          <w:tcPr>
            <w:tcW w:w="1135" w:type="dxa"/>
            <w:tcBorders>
              <w:bottom w:val="nil"/>
            </w:tcBorders>
          </w:tcPr>
          <w:p>
            <w:pPr>
              <w:pStyle w:val="TableParagraph"/>
              <w:spacing w:line="251" w:lineRule="exact"/>
              <w:rPr>
                <w:sz w:val="22"/>
              </w:rPr>
            </w:pPr>
            <w:r>
              <w:rPr>
                <w:sz w:val="22"/>
              </w:rPr>
              <w:t>Integrant</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3687" w:type="dxa"/>
            <w:tcBorders>
              <w:bottom w:val="nil"/>
            </w:tcBorders>
          </w:tcPr>
          <w:p>
            <w:pPr>
              <w:pStyle w:val="TableParagraph"/>
              <w:spacing w:line="251" w:lineRule="exact"/>
              <w:rPr>
                <w:sz w:val="22"/>
              </w:rPr>
            </w:pPr>
            <w:r>
              <w:rPr>
                <w:sz w:val="22"/>
              </w:rPr>
              <w:t>Sí  para  que  hagan  algo  </w:t>
            </w:r>
            <w:r>
              <w:rPr>
                <w:spacing w:val="59"/>
                <w:sz w:val="22"/>
              </w:rPr>
              <w:t> </w:t>
            </w:r>
            <w:r>
              <w:rPr>
                <w:sz w:val="22"/>
              </w:rPr>
              <w:t>porque</w:t>
            </w:r>
          </w:p>
        </w:tc>
      </w:tr>
      <w:tr>
        <w:trPr>
          <w:trHeight w:val="253" w:hRule="exact"/>
        </w:trPr>
        <w:tc>
          <w:tcPr>
            <w:tcW w:w="1385" w:type="dxa"/>
            <w:tcBorders>
              <w:top w:val="nil"/>
              <w:bottom w:val="nil"/>
            </w:tcBorders>
          </w:tcPr>
          <w:p>
            <w:pPr>
              <w:pStyle w:val="TableParagraph"/>
              <w:tabs>
                <w:tab w:pos="1026" w:val="left" w:leader="none"/>
              </w:tabs>
              <w:spacing w:line="242" w:lineRule="exact"/>
              <w:rPr>
                <w:sz w:val="22"/>
              </w:rPr>
            </w:pPr>
            <w:r>
              <w:rPr>
                <w:sz w:val="22"/>
              </w:rPr>
              <w:t>Magno</w:t>
              <w:tab/>
              <w:t>de</w:t>
            </w:r>
          </w:p>
        </w:tc>
        <w:tc>
          <w:tcPr>
            <w:tcW w:w="1418" w:type="dxa"/>
            <w:tcBorders>
              <w:top w:val="nil"/>
              <w:bottom w:val="nil"/>
            </w:tcBorders>
          </w:tcPr>
          <w:p>
            <w:pPr>
              <w:pStyle w:val="TableParagraph"/>
              <w:spacing w:line="242" w:lineRule="exact"/>
              <w:ind w:left="218" w:right="101"/>
              <w:rPr>
                <w:sz w:val="22"/>
              </w:rPr>
            </w:pPr>
            <w:r>
              <w:rPr>
                <w:sz w:val="22"/>
              </w:rPr>
              <w:t>el ganado</w:t>
            </w:r>
          </w:p>
        </w:tc>
        <w:tc>
          <w:tcPr>
            <w:tcW w:w="1841" w:type="dxa"/>
            <w:tcBorders>
              <w:top w:val="nil"/>
              <w:bottom w:val="nil"/>
            </w:tcBorders>
          </w:tcPr>
          <w:p>
            <w:pPr>
              <w:pStyle w:val="TableParagraph"/>
              <w:spacing w:line="242" w:lineRule="exact"/>
              <w:ind w:left="100"/>
              <w:rPr>
                <w:sz w:val="22"/>
              </w:rPr>
            </w:pPr>
            <w:r>
              <w:rPr>
                <w:sz w:val="22"/>
              </w:rPr>
              <w:t>ganaderos</w:t>
            </w:r>
          </w:p>
        </w:tc>
        <w:tc>
          <w:tcPr>
            <w:tcW w:w="1135" w:type="dxa"/>
            <w:tcBorders>
              <w:top w:val="nil"/>
              <w:bottom w:val="nil"/>
            </w:tcBorders>
          </w:tcPr>
          <w:p>
            <w:pPr>
              <w:pStyle w:val="TableParagraph"/>
              <w:spacing w:line="242" w:lineRule="exact"/>
              <w:rPr>
                <w:sz w:val="22"/>
              </w:rPr>
            </w:pPr>
            <w:r>
              <w:rPr>
                <w:w w:val="100"/>
                <w:sz w:val="22"/>
              </w:rPr>
              <w:t>e</w:t>
            </w: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Style w:val="TableParagraph"/>
              <w:spacing w:line="242" w:lineRule="exact"/>
              <w:ind w:right="92"/>
              <w:rPr>
                <w:sz w:val="22"/>
              </w:rPr>
            </w:pPr>
            <w:r>
              <w:rPr>
                <w:sz w:val="22"/>
              </w:rPr>
              <w:t>Campesin</w:t>
            </w:r>
          </w:p>
        </w:tc>
        <w:tc>
          <w:tcPr>
            <w:tcW w:w="1133" w:type="dxa"/>
            <w:tcBorders>
              <w:top w:val="nil"/>
              <w:bottom w:val="nil"/>
            </w:tcBorders>
          </w:tcPr>
          <w:p>
            <w:pPr>
              <w:pStyle w:val="TableParagraph"/>
              <w:spacing w:line="242" w:lineRule="exact"/>
              <w:ind w:left="100" w:right="52"/>
              <w:rPr>
                <w:sz w:val="22"/>
              </w:rPr>
            </w:pPr>
            <w:r>
              <w:rPr>
                <w:sz w:val="22"/>
              </w:rPr>
              <w:t>Campesi</w:t>
            </w:r>
          </w:p>
        </w:tc>
        <w:tc>
          <w:tcPr>
            <w:tcW w:w="3687" w:type="dxa"/>
            <w:tcBorders>
              <w:top w:val="nil"/>
              <w:bottom w:val="nil"/>
            </w:tcBorders>
          </w:tcPr>
          <w:p>
            <w:pPr>
              <w:pStyle w:val="TableParagraph"/>
              <w:spacing w:line="242" w:lineRule="exact"/>
              <w:rPr>
                <w:sz w:val="22"/>
              </w:rPr>
            </w:pPr>
            <w:r>
              <w:rPr>
                <w:sz w:val="22"/>
              </w:rPr>
              <w:t>todo  se  está  acabando,  se   está</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la Cruz</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(No  recuerdo 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3687" w:type="dxa"/>
            <w:tcBorders>
              <w:top w:val="nil"/>
              <w:bottom w:val="nil"/>
            </w:tcBorders>
          </w:tcPr>
          <w:p>
            <w:pPr>
              <w:pStyle w:val="TableParagraph"/>
              <w:spacing w:line="241" w:lineRule="exact"/>
              <w:rPr>
                <w:sz w:val="22"/>
              </w:rPr>
            </w:pPr>
            <w:r>
              <w:rPr>
                <w:sz w:val="22"/>
              </w:rPr>
              <w:t>perdiendo todo.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(17/I/2015)</w:t>
            </w:r>
          </w:p>
        </w:tc>
        <w:tc>
          <w:tcPr>
            <w:tcW w:w="1418" w:type="dxa"/>
            <w:tcBorders>
              <w:top w:val="nil"/>
              <w:bottom w:val="nil"/>
            </w:tcBorders>
          </w:tcPr>
          <w:p>
            <w:pPr/>
          </w:p>
        </w:tc>
        <w:tc>
          <w:tcPr>
            <w:tcW w:w="1841" w:type="dxa"/>
            <w:tcBorders>
              <w:top w:val="nil"/>
              <w:bottom w:val="nil"/>
            </w:tcBorders>
          </w:tcPr>
          <w:p>
            <w:pPr>
              <w:pStyle w:val="TableParagraph"/>
              <w:tabs>
                <w:tab w:pos="1533" w:val="left" w:leader="none"/>
              </w:tabs>
              <w:spacing w:line="242" w:lineRule="exact"/>
              <w:ind w:left="100"/>
              <w:rPr>
                <w:sz w:val="22"/>
              </w:rPr>
            </w:pPr>
            <w:r>
              <w:rPr>
                <w:sz w:val="22"/>
              </w:rPr>
              <w:t>nombre)</w:t>
              <w:tab/>
              <w:t>(8</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Timilpan</w:t>
            </w:r>
          </w:p>
        </w:tc>
        <w:tc>
          <w:tcPr>
            <w:tcW w:w="1133" w:type="dxa"/>
            <w:tcBorders>
              <w:top w:val="nil"/>
              <w:bottom w:val="nil"/>
            </w:tcBorders>
          </w:tcPr>
          <w:p>
            <w:pPr>
              <w:pStyle w:val="TableParagraph"/>
              <w:spacing w:line="242" w:lineRule="exact"/>
              <w:ind w:left="100" w:right="52"/>
              <w:rPr>
                <w:sz w:val="22"/>
              </w:rPr>
            </w:pPr>
            <w:r>
              <w:rPr>
                <w:sz w:val="22"/>
              </w:rPr>
              <w:t>Timilpan</w:t>
            </w:r>
          </w:p>
        </w:tc>
        <w:tc>
          <w:tcPr>
            <w:tcW w:w="3687"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Eligio</w:t>
            </w:r>
          </w:p>
        </w:tc>
        <w:tc>
          <w:tcPr>
            <w:tcW w:w="1418" w:type="dxa"/>
            <w:tcBorders>
              <w:bottom w:val="nil"/>
            </w:tcBorders>
          </w:tcPr>
          <w:p>
            <w:pPr>
              <w:pStyle w:val="TableParagraph"/>
              <w:ind w:left="156" w:right="101"/>
              <w:rPr>
                <w:sz w:val="22"/>
              </w:rPr>
            </w:pPr>
            <w:r>
              <w:rPr>
                <w:sz w:val="22"/>
              </w:rPr>
              <w:t>El campo y</w:t>
            </w:r>
          </w:p>
        </w:tc>
        <w:tc>
          <w:tcPr>
            <w:tcW w:w="1841" w:type="dxa"/>
            <w:tcBorders>
              <w:bottom w:val="nil"/>
            </w:tcBorders>
          </w:tcPr>
          <w:p>
            <w:pPr>
              <w:pStyle w:val="TableParagraph"/>
              <w:ind w:left="100"/>
              <w:rPr>
                <w:sz w:val="22"/>
              </w:rPr>
            </w:pPr>
            <w:r>
              <w:rPr>
                <w:sz w:val="22"/>
              </w:rPr>
              <w:t>Cooperativa   de</w:t>
            </w:r>
          </w:p>
        </w:tc>
        <w:tc>
          <w:tcPr>
            <w:tcW w:w="1135" w:type="dxa"/>
            <w:tcBorders>
              <w:bottom w:val="nil"/>
            </w:tcBorders>
          </w:tcPr>
          <w:p>
            <w:pPr>
              <w:pStyle w:val="TableParagraph"/>
              <w:rPr>
                <w:sz w:val="22"/>
              </w:rPr>
            </w:pPr>
            <w:r>
              <w:rPr>
                <w:sz w:val="22"/>
              </w:rPr>
              <w:t>Integrant</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Huapango</w:t>
            </w:r>
          </w:p>
        </w:tc>
        <w:tc>
          <w:tcPr>
            <w:tcW w:w="1133" w:type="dxa"/>
            <w:tcBorders>
              <w:bottom w:val="nil"/>
            </w:tcBorders>
          </w:tcPr>
          <w:p>
            <w:pPr>
              <w:pStyle w:val="TableParagraph"/>
              <w:ind w:left="100" w:right="52"/>
              <w:rPr>
                <w:sz w:val="22"/>
              </w:rPr>
            </w:pPr>
            <w:r>
              <w:rPr>
                <w:sz w:val="22"/>
              </w:rPr>
              <w:t>Huapang</w:t>
            </w:r>
          </w:p>
        </w:tc>
        <w:tc>
          <w:tcPr>
            <w:tcW w:w="3687" w:type="dxa"/>
            <w:tcBorders>
              <w:bottom w:val="nil"/>
            </w:tcBorders>
          </w:tcPr>
          <w:p>
            <w:pPr>
              <w:pStyle w:val="TableParagraph"/>
              <w:rPr>
                <w:sz w:val="22"/>
              </w:rPr>
            </w:pPr>
            <w:r>
              <w:rPr>
                <w:sz w:val="22"/>
              </w:rPr>
              <w:t>Sí para  llegar  a convenios  de  los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García</w:t>
            </w:r>
          </w:p>
        </w:tc>
        <w:tc>
          <w:tcPr>
            <w:tcW w:w="1418" w:type="dxa"/>
            <w:tcBorders>
              <w:top w:val="nil"/>
              <w:bottom w:val="nil"/>
            </w:tcBorders>
          </w:tcPr>
          <w:p>
            <w:pPr>
              <w:pStyle w:val="TableParagraph"/>
              <w:spacing w:line="241" w:lineRule="exact"/>
              <w:ind w:left="218" w:right="101"/>
              <w:rPr>
                <w:sz w:val="22"/>
              </w:rPr>
            </w:pPr>
            <w:r>
              <w:rPr>
                <w:sz w:val="22"/>
              </w:rPr>
              <w:t>el ganado</w:t>
            </w:r>
          </w:p>
        </w:tc>
        <w:tc>
          <w:tcPr>
            <w:tcW w:w="1841" w:type="dxa"/>
            <w:tcBorders>
              <w:top w:val="nil"/>
              <w:bottom w:val="nil"/>
            </w:tcBorders>
          </w:tcPr>
          <w:p>
            <w:pPr>
              <w:pStyle w:val="TableParagraph"/>
              <w:spacing w:line="241" w:lineRule="exact"/>
              <w:ind w:left="100"/>
              <w:rPr>
                <w:sz w:val="22"/>
              </w:rPr>
            </w:pPr>
            <w:r>
              <w:rPr>
                <w:sz w:val="22"/>
              </w:rPr>
              <w:t>Ganaderos “Los</w:t>
            </w:r>
          </w:p>
        </w:tc>
        <w:tc>
          <w:tcPr>
            <w:tcW w:w="1135" w:type="dxa"/>
            <w:tcBorders>
              <w:top w:val="nil"/>
              <w:bottom w:val="nil"/>
            </w:tcBorders>
          </w:tcPr>
          <w:p>
            <w:pPr>
              <w:pStyle w:val="TableParagraph"/>
              <w:spacing w:line="241" w:lineRule="exact"/>
              <w:rPr>
                <w:sz w:val="22"/>
              </w:rPr>
            </w:pPr>
            <w:r>
              <w:rPr>
                <w:w w:val="100"/>
                <w:sz w:val="22"/>
              </w:rPr>
              <w:t>e</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3687" w:type="dxa"/>
            <w:tcBorders>
              <w:top w:val="nil"/>
              <w:bottom w:val="nil"/>
            </w:tcBorders>
          </w:tcPr>
          <w:p>
            <w:pPr>
              <w:pStyle w:val="TableParagraph"/>
              <w:spacing w:line="241" w:lineRule="exact"/>
              <w:rPr>
                <w:sz w:val="22"/>
              </w:rPr>
            </w:pPr>
            <w:r>
              <w:rPr>
                <w:sz w:val="22"/>
              </w:rPr>
              <w:t>distintos pueblos.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Tolines”</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Timilpan</w:t>
            </w:r>
          </w:p>
        </w:tc>
        <w:tc>
          <w:tcPr>
            <w:tcW w:w="3687" w:type="dxa"/>
            <w:tcBorders>
              <w:top w:val="nil"/>
              <w:bottom w:val="nil"/>
            </w:tcBorders>
          </w:tcPr>
          <w:p>
            <w:pPr/>
          </w:p>
        </w:tc>
      </w:tr>
      <w:tr>
        <w:trPr>
          <w:trHeight w:val="503" w:hRule="exact"/>
        </w:trPr>
        <w:tc>
          <w:tcPr>
            <w:tcW w:w="1385" w:type="dxa"/>
            <w:tcBorders>
              <w:top w:val="nil"/>
            </w:tcBorders>
          </w:tcPr>
          <w:p>
            <w:pPr>
              <w:pStyle w:val="TableParagraph"/>
              <w:spacing w:line="242" w:lineRule="exact"/>
              <w:ind w:right="127"/>
              <w:rPr>
                <w:sz w:val="22"/>
              </w:rPr>
            </w:pPr>
            <w:r>
              <w:rPr>
                <w:sz w:val="22"/>
              </w:rPr>
              <w:t>(18/I/2015)</w:t>
            </w:r>
          </w:p>
        </w:tc>
        <w:tc>
          <w:tcPr>
            <w:tcW w:w="1418" w:type="dxa"/>
            <w:tcBorders>
              <w:top w:val="nil"/>
            </w:tcBorders>
          </w:tcPr>
          <w:p>
            <w:pPr/>
          </w:p>
        </w:tc>
        <w:tc>
          <w:tcPr>
            <w:tcW w:w="1841" w:type="dxa"/>
            <w:tcBorders>
              <w:top w:val="nil"/>
            </w:tcBorders>
          </w:tcPr>
          <w:p>
            <w:pPr>
              <w:pStyle w:val="TableParagraph"/>
              <w:spacing w:line="242" w:lineRule="exact"/>
              <w:ind w:left="100"/>
              <w:rPr>
                <w:sz w:val="22"/>
              </w:rPr>
            </w:pPr>
            <w:r>
              <w:rPr>
                <w:sz w:val="22"/>
              </w:rPr>
              <w:t>(19 integrantes)</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spacing w:after="0" w:line="248" w:lineRule="exact"/>
        <w:sectPr>
          <w:pgSz w:w="15840" w:h="12240" w:orient="landscape"/>
          <w:pgMar w:header="0" w:footer="943" w:top="1140" w:bottom="1200" w:left="1200" w:right="1300"/>
        </w:sectPr>
      </w:pPr>
    </w:p>
    <w:p>
      <w:pPr>
        <w:pStyle w:val="BodyText"/>
        <w:rPr>
          <w:sz w:val="20"/>
        </w:rPr>
      </w:pPr>
    </w:p>
    <w:p>
      <w:pPr>
        <w:pStyle w:val="BodyText"/>
        <w:spacing w:before="1"/>
      </w:pPr>
    </w:p>
    <w:p>
      <w:pPr>
        <w:pStyle w:val="Heading6"/>
        <w:spacing w:before="73" w:after="4"/>
        <w:ind w:left="2006" w:right="397"/>
      </w:pPr>
      <w:r>
        <w:rPr/>
        <w:t>Tabla 6.5.  Industriales y comerciantes de lácteos en los Municipios de Aculco y Polotitlán</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3"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 y cultura</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9" w:lineRule="exact"/>
              <w:ind w:left="100"/>
              <w:rPr>
                <w:b/>
                <w:sz w:val="22"/>
              </w:rPr>
            </w:pPr>
            <w:r>
              <w:rPr>
                <w:b/>
                <w:sz w:val="22"/>
              </w:rPr>
              <w:t>Asociación de</w:t>
            </w:r>
          </w:p>
        </w:tc>
        <w:tc>
          <w:tcPr>
            <w:tcW w:w="1135" w:type="dxa"/>
            <w:tcBorders>
              <w:bottom w:val="nil"/>
            </w:tcBorders>
            <w:shd w:val="clear" w:color="auto" w:fill="F9BE8F"/>
          </w:tcPr>
          <w:p>
            <w:pPr>
              <w:pStyle w:val="TableParagraph"/>
              <w:spacing w:line="249" w:lineRule="exact"/>
              <w:rPr>
                <w:b/>
                <w:sz w:val="22"/>
              </w:rPr>
            </w:pPr>
            <w:r>
              <w:rPr>
                <w:b/>
                <w:sz w:val="22"/>
              </w:rPr>
              <w:t>Cargo</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tabs>
                <w:tab w:pos="1199" w:val="left" w:leader="none"/>
              </w:tabs>
              <w:spacing w:line="249" w:lineRule="exact"/>
              <w:rPr>
                <w:b/>
                <w:sz w:val="22"/>
              </w:rPr>
            </w:pPr>
            <w:r>
              <w:rPr>
                <w:b/>
                <w:sz w:val="22"/>
              </w:rPr>
              <w:t>¿Cuáles</w:t>
              <w:tab/>
              <w:t>son</w:t>
            </w:r>
          </w:p>
        </w:tc>
        <w:tc>
          <w:tcPr>
            <w:tcW w:w="1985" w:type="dxa"/>
            <w:tcBorders>
              <w:bottom w:val="nil"/>
            </w:tcBorders>
            <w:shd w:val="clear" w:color="auto" w:fill="92CDDC"/>
          </w:tcPr>
          <w:p>
            <w:pPr>
              <w:pStyle w:val="TableParagraph"/>
              <w:spacing w:line="249" w:lineRule="exact"/>
              <w:rPr>
                <w:b/>
                <w:sz w:val="22"/>
              </w:rPr>
            </w:pPr>
            <w:r>
              <w:rPr>
                <w:b/>
                <w:sz w:val="22"/>
              </w:rPr>
              <w:t>¿Por   qué </w:t>
            </w:r>
            <w:r>
              <w:rPr>
                <w:b/>
                <w:spacing w:val="55"/>
                <w:sz w:val="22"/>
              </w:rPr>
              <w:t> </w:t>
            </w:r>
            <w:r>
              <w:rPr>
                <w:b/>
                <w:sz w:val="22"/>
              </w:rPr>
              <w:t>tiene</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Industriales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los</w:t>
            </w:r>
          </w:p>
        </w:tc>
        <w:tc>
          <w:tcPr>
            <w:tcW w:w="1985" w:type="dxa"/>
            <w:tcBorders>
              <w:top w:val="nil"/>
              <w:bottom w:val="nil"/>
            </w:tcBorders>
            <w:shd w:val="clear" w:color="auto" w:fill="92CDDC"/>
          </w:tcPr>
          <w:p>
            <w:pPr>
              <w:pStyle w:val="TableParagraph"/>
              <w:tabs>
                <w:tab w:pos="1688" w:val="left" w:leader="none"/>
              </w:tabs>
              <w:spacing w:line="241" w:lineRule="exact"/>
              <w:rPr>
                <w:b/>
                <w:sz w:val="22"/>
              </w:rPr>
            </w:pPr>
            <w:r>
              <w:rPr>
                <w:b/>
                <w:sz w:val="22"/>
              </w:rPr>
              <w:t>problemas</w:t>
              <w:tab/>
              <w:t>la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Comerciantes/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problemas</w:t>
            </w:r>
          </w:p>
        </w:tc>
        <w:tc>
          <w:tcPr>
            <w:tcW w:w="1985" w:type="dxa"/>
            <w:tcBorders>
              <w:top w:val="nil"/>
              <w:bottom w:val="nil"/>
            </w:tcBorders>
            <w:shd w:val="clear" w:color="auto" w:fill="92CDDC"/>
          </w:tcPr>
          <w:p>
            <w:pPr>
              <w:pStyle w:val="TableParagraph"/>
              <w:tabs>
                <w:tab w:pos="1617" w:val="left" w:leader="none"/>
              </w:tabs>
              <w:spacing w:line="241" w:lineRule="exact"/>
              <w:rPr>
                <w:b/>
                <w:sz w:val="22"/>
              </w:rPr>
            </w:pPr>
            <w:r>
              <w:rPr>
                <w:b/>
                <w:sz w:val="22"/>
              </w:rPr>
              <w:t>laguna</w:t>
              <w:tab/>
              <w:t>de</w:t>
            </w:r>
          </w:p>
        </w:tc>
      </w:tr>
      <w:tr>
        <w:trPr>
          <w:trHeight w:val="254"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que   tiene   la</w:t>
            </w:r>
          </w:p>
        </w:tc>
        <w:tc>
          <w:tcPr>
            <w:tcW w:w="1985" w:type="dxa"/>
            <w:tcBorders>
              <w:top w:val="nil"/>
              <w:bottom w:val="nil"/>
            </w:tcBorders>
            <w:shd w:val="clear" w:color="auto" w:fill="92CDDC"/>
          </w:tcPr>
          <w:p>
            <w:pPr>
              <w:pStyle w:val="TableParagraph"/>
              <w:spacing w:line="242" w:lineRule="exact"/>
              <w:rPr>
                <w:b/>
                <w:sz w:val="22"/>
              </w:rPr>
            </w:pPr>
            <w:r>
              <w:rPr>
                <w:b/>
                <w:sz w:val="22"/>
              </w:rPr>
              <w:t>Huapango?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3" w:val="left" w:leader="none"/>
              </w:tabs>
              <w:spacing w:line="241" w:lineRule="exact"/>
              <w:rPr>
                <w:b/>
                <w:sz w:val="22"/>
              </w:rPr>
            </w:pPr>
            <w:r>
              <w:rPr>
                <w:b/>
                <w:sz w:val="22"/>
              </w:rPr>
              <w:t>laguna</w:t>
              <w:tab/>
              <w:t>de</w:t>
            </w:r>
          </w:p>
        </w:tc>
        <w:tc>
          <w:tcPr>
            <w:tcW w:w="1985" w:type="dxa"/>
            <w:tcBorders>
              <w:top w:val="nil"/>
              <w:bottom w:val="nil"/>
            </w:tcBorders>
            <w:shd w:val="clear" w:color="auto" w:fill="92CDDC"/>
          </w:tcPr>
          <w:p>
            <w:pPr>
              <w:pStyle w:val="TableParagraph"/>
              <w:spacing w:line="241" w:lineRule="exact"/>
              <w:rPr>
                <w:b/>
                <w:sz w:val="22"/>
              </w:rPr>
            </w:pPr>
            <w:r>
              <w:rPr>
                <w:b/>
                <w:sz w:val="22"/>
              </w:rPr>
              <w:t>(causa)</w:t>
            </w:r>
          </w:p>
        </w:tc>
      </w:tr>
      <w:tr>
        <w:trPr>
          <w:trHeight w:val="251"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2" w:lineRule="exact"/>
              <w:rPr>
                <w:b/>
                <w:sz w:val="22"/>
              </w:rPr>
            </w:pPr>
            <w:r>
              <w:rPr>
                <w:b/>
                <w:sz w:val="22"/>
              </w:rPr>
              <w:t>Huapango?</w:t>
            </w:r>
          </w:p>
        </w:tc>
        <w:tc>
          <w:tcPr>
            <w:tcW w:w="1985"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Armando</w:t>
            </w:r>
          </w:p>
        </w:tc>
        <w:tc>
          <w:tcPr>
            <w:tcW w:w="1418" w:type="dxa"/>
            <w:tcBorders>
              <w:bottom w:val="nil"/>
            </w:tcBorders>
          </w:tcPr>
          <w:p>
            <w:pPr>
              <w:pStyle w:val="TableParagraph"/>
              <w:spacing w:line="251" w:lineRule="exact"/>
              <w:ind w:left="100" w:right="101"/>
              <w:rPr>
                <w:sz w:val="22"/>
              </w:rPr>
            </w:pPr>
            <w:r>
              <w:rPr>
                <w:sz w:val="22"/>
              </w:rPr>
              <w:t>Producción</w:t>
            </w:r>
          </w:p>
        </w:tc>
        <w:tc>
          <w:tcPr>
            <w:tcW w:w="1841" w:type="dxa"/>
            <w:tcBorders>
              <w:bottom w:val="nil"/>
            </w:tcBorders>
          </w:tcPr>
          <w:p>
            <w:pPr>
              <w:pStyle w:val="TableParagraph"/>
              <w:spacing w:line="251" w:lineRule="exact"/>
              <w:ind w:left="100"/>
              <w:rPr>
                <w:sz w:val="22"/>
              </w:rPr>
            </w:pPr>
            <w:r>
              <w:rPr>
                <w:sz w:val="22"/>
              </w:rPr>
              <w:t>Unión de</w:t>
            </w:r>
          </w:p>
        </w:tc>
        <w:tc>
          <w:tcPr>
            <w:tcW w:w="1135" w:type="dxa"/>
            <w:tcBorders>
              <w:bottom w:val="nil"/>
            </w:tcBorders>
          </w:tcPr>
          <w:p>
            <w:pPr>
              <w:pStyle w:val="TableParagraph"/>
              <w:spacing w:line="251" w:lineRule="exact"/>
              <w:rPr>
                <w:sz w:val="22"/>
              </w:rPr>
            </w:pPr>
            <w:r>
              <w:rPr>
                <w:sz w:val="22"/>
              </w:rPr>
              <w:t>Administr</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Aculco</w:t>
            </w:r>
          </w:p>
        </w:tc>
        <w:tc>
          <w:tcPr>
            <w:tcW w:w="1133" w:type="dxa"/>
            <w:tcBorders>
              <w:bottom w:val="nil"/>
            </w:tcBorders>
          </w:tcPr>
          <w:p>
            <w:pPr>
              <w:pStyle w:val="TableParagraph"/>
              <w:spacing w:line="251" w:lineRule="exact"/>
              <w:ind w:left="100" w:right="52"/>
              <w:rPr>
                <w:sz w:val="22"/>
              </w:rPr>
            </w:pPr>
            <w:r>
              <w:rPr>
                <w:sz w:val="22"/>
              </w:rPr>
              <w:t>Aculco</w:t>
            </w:r>
          </w:p>
        </w:tc>
        <w:tc>
          <w:tcPr>
            <w:tcW w:w="1702" w:type="dxa"/>
            <w:tcBorders>
              <w:bottom w:val="nil"/>
            </w:tcBorders>
          </w:tcPr>
          <w:p>
            <w:pPr>
              <w:pStyle w:val="TableParagraph"/>
              <w:tabs>
                <w:tab w:pos="767" w:val="left" w:leader="none"/>
              </w:tabs>
              <w:spacing w:line="251" w:lineRule="exact"/>
              <w:rPr>
                <w:sz w:val="22"/>
              </w:rPr>
            </w:pPr>
            <w:r>
              <w:rPr>
                <w:sz w:val="22"/>
              </w:rPr>
              <w:t>El</w:t>
              <w:tab/>
              <w:t>principal</w:t>
            </w:r>
          </w:p>
        </w:tc>
        <w:tc>
          <w:tcPr>
            <w:tcW w:w="1985" w:type="dxa"/>
            <w:tcBorders>
              <w:bottom w:val="nil"/>
            </w:tcBorders>
          </w:tcPr>
          <w:p>
            <w:pPr>
              <w:pStyle w:val="TableParagraph"/>
              <w:spacing w:line="251" w:lineRule="exact"/>
              <w:rPr>
                <w:sz w:val="22"/>
              </w:rPr>
            </w:pPr>
            <w:r>
              <w:rPr>
                <w:sz w:val="22"/>
              </w:rPr>
              <w:t>Por falta de  lluvia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Alcántara</w:t>
            </w:r>
          </w:p>
        </w:tc>
        <w:tc>
          <w:tcPr>
            <w:tcW w:w="1418" w:type="dxa"/>
            <w:tcBorders>
              <w:top w:val="nil"/>
              <w:bottom w:val="nil"/>
            </w:tcBorders>
          </w:tcPr>
          <w:p>
            <w:pPr>
              <w:pStyle w:val="TableParagraph"/>
              <w:spacing w:line="242" w:lineRule="exact"/>
              <w:ind w:left="100" w:right="101"/>
              <w:rPr>
                <w:sz w:val="22"/>
              </w:rPr>
            </w:pPr>
            <w:r>
              <w:rPr>
                <w:sz w:val="22"/>
              </w:rPr>
              <w:t>de quesos</w:t>
            </w:r>
          </w:p>
        </w:tc>
        <w:tc>
          <w:tcPr>
            <w:tcW w:w="1841" w:type="dxa"/>
            <w:tcBorders>
              <w:top w:val="nil"/>
              <w:bottom w:val="nil"/>
            </w:tcBorders>
          </w:tcPr>
          <w:p>
            <w:pPr>
              <w:pStyle w:val="TableParagraph"/>
              <w:spacing w:line="242" w:lineRule="exact"/>
              <w:ind w:left="100"/>
              <w:rPr>
                <w:sz w:val="22"/>
              </w:rPr>
            </w:pPr>
            <w:r>
              <w:rPr>
                <w:sz w:val="22"/>
              </w:rPr>
              <w:t>Productores</w:t>
            </w:r>
          </w:p>
        </w:tc>
        <w:tc>
          <w:tcPr>
            <w:tcW w:w="1135" w:type="dxa"/>
            <w:tcBorders>
              <w:top w:val="nil"/>
              <w:bottom w:val="nil"/>
            </w:tcBorders>
          </w:tcPr>
          <w:p>
            <w:pPr>
              <w:pStyle w:val="TableParagraph"/>
              <w:spacing w:line="242" w:lineRule="exact"/>
              <w:rPr>
                <w:sz w:val="22"/>
              </w:rPr>
            </w:pPr>
            <w:r>
              <w:rPr>
                <w:sz w:val="22"/>
              </w:rPr>
              <w:t>ador</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problema   que</w:t>
            </w:r>
          </w:p>
        </w:tc>
        <w:tc>
          <w:tcPr>
            <w:tcW w:w="1985" w:type="dxa"/>
            <w:tcBorders>
              <w:top w:val="nil"/>
              <w:bottom w:val="nil"/>
            </w:tcBorders>
          </w:tcPr>
          <w:p>
            <w:pPr>
              <w:pStyle w:val="TableParagraph"/>
              <w:spacing w:line="242" w:lineRule="exact"/>
              <w:rPr>
                <w:sz w:val="22"/>
              </w:rPr>
            </w:pPr>
            <w:r>
              <w:rPr>
                <w:sz w:val="22"/>
              </w:rPr>
              <w:t>y   está </w:t>
            </w:r>
            <w:r>
              <w:rPr>
                <w:spacing w:val="52"/>
                <w:sz w:val="22"/>
              </w:rPr>
              <w:t> </w:t>
            </w:r>
            <w:r>
              <w:rPr>
                <w:sz w:val="22"/>
              </w:rPr>
              <w:t>azolvada</w:t>
            </w:r>
          </w:p>
        </w:tc>
      </w:tr>
      <w:tr>
        <w:trPr>
          <w:trHeight w:val="252" w:hRule="exact"/>
        </w:trPr>
        <w:tc>
          <w:tcPr>
            <w:tcW w:w="1385" w:type="dxa"/>
            <w:tcBorders>
              <w:top w:val="nil"/>
              <w:bottom w:val="nil"/>
            </w:tcBorders>
          </w:tcPr>
          <w:p>
            <w:pPr>
              <w:pStyle w:val="TableParagraph"/>
              <w:spacing w:line="241" w:lineRule="exact"/>
              <w:rPr>
                <w:sz w:val="22"/>
              </w:rPr>
            </w:pPr>
            <w:r>
              <w:rPr>
                <w:sz w:val="22"/>
              </w:rPr>
              <w:t>Mondragón</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Lácteos de</w:t>
            </w:r>
          </w:p>
        </w:tc>
        <w:tc>
          <w:tcPr>
            <w:tcW w:w="1135" w:type="dxa"/>
            <w:tcBorders>
              <w:top w:val="nil"/>
              <w:bottom w:val="nil"/>
            </w:tcBorders>
          </w:tcPr>
          <w:p>
            <w:pPr>
              <w:pStyle w:val="TableParagraph"/>
              <w:spacing w:line="241" w:lineRule="exact"/>
              <w:rPr>
                <w:sz w:val="22"/>
              </w:rPr>
            </w:pPr>
            <w:r>
              <w:rPr>
                <w:sz w:val="22"/>
              </w:rPr>
              <w:t>único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tiene la</w:t>
            </w:r>
            <w:r>
              <w:rPr>
                <w:spacing w:val="51"/>
                <w:sz w:val="22"/>
              </w:rPr>
              <w:t> </w:t>
            </w:r>
            <w:r>
              <w:rPr>
                <w:sz w:val="22"/>
              </w:rPr>
              <w:t>laguna</w:t>
            </w:r>
          </w:p>
        </w:tc>
        <w:tc>
          <w:tcPr>
            <w:tcW w:w="1985" w:type="dxa"/>
            <w:tcBorders>
              <w:top w:val="nil"/>
              <w:bottom w:val="nil"/>
            </w:tcBorders>
          </w:tcPr>
          <w:p>
            <w:pPr>
              <w:pStyle w:val="TableParagraph"/>
              <w:tabs>
                <w:tab w:pos="1458" w:val="left" w:leader="none"/>
              </w:tabs>
              <w:spacing w:line="241" w:lineRule="exact"/>
              <w:rPr>
                <w:sz w:val="22"/>
              </w:rPr>
            </w:pPr>
            <w:r>
              <w:rPr>
                <w:sz w:val="22"/>
              </w:rPr>
              <w:t>porque</w:t>
              <w:tab/>
              <w:t>baja</w:t>
            </w: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Aculco S.A.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1" w:lineRule="exact"/>
              <w:rPr>
                <w:sz w:val="22"/>
              </w:rPr>
            </w:pPr>
            <w:r>
              <w:rPr>
                <w:sz w:val="22"/>
              </w:rPr>
              <w:t>Huapango</w:t>
              <w:tab/>
              <w:t>es</w:t>
            </w:r>
          </w:p>
        </w:tc>
        <w:tc>
          <w:tcPr>
            <w:tcW w:w="1985" w:type="dxa"/>
            <w:tcBorders>
              <w:top w:val="nil"/>
              <w:bottom w:val="nil"/>
            </w:tcBorders>
          </w:tcPr>
          <w:p>
            <w:pPr>
              <w:pStyle w:val="TableParagraph"/>
              <w:spacing w:line="241" w:lineRule="exact"/>
              <w:rPr>
                <w:sz w:val="22"/>
              </w:rPr>
            </w:pPr>
            <w:r>
              <w:rPr>
                <w:sz w:val="22"/>
              </w:rPr>
              <w:t>mucha   tierra </w:t>
            </w:r>
            <w:r>
              <w:rPr>
                <w:spacing w:val="55"/>
                <w:sz w:val="22"/>
              </w:rPr>
              <w:t> </w:t>
            </w:r>
            <w:r>
              <w:rPr>
                <w:sz w:val="22"/>
              </w:rPr>
              <w:t>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C.V</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31" w:val="left" w:leader="none"/>
                <w:tab w:pos="1235" w:val="left" w:leader="none"/>
              </w:tabs>
              <w:spacing w:line="242" w:lineRule="exact"/>
              <w:rPr>
                <w:sz w:val="22"/>
              </w:rPr>
            </w:pPr>
            <w:r>
              <w:rPr>
                <w:sz w:val="22"/>
              </w:rPr>
              <w:t>que</w:t>
              <w:tab/>
              <w:t>no</w:t>
              <w:tab/>
              <w:t>hay</w:t>
            </w:r>
          </w:p>
        </w:tc>
        <w:tc>
          <w:tcPr>
            <w:tcW w:w="1985" w:type="dxa"/>
            <w:tcBorders>
              <w:top w:val="nil"/>
              <w:bottom w:val="nil"/>
            </w:tcBorders>
          </w:tcPr>
          <w:p>
            <w:pPr>
              <w:pStyle w:val="TableParagraph"/>
              <w:spacing w:line="242" w:lineRule="exact"/>
              <w:rPr>
                <w:sz w:val="22"/>
              </w:rPr>
            </w:pPr>
            <w:r>
              <w:rPr>
                <w:sz w:val="22"/>
              </w:rPr>
              <w:t>las milpas cuando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(50 socios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mucha agua.</w:t>
            </w:r>
          </w:p>
        </w:tc>
        <w:tc>
          <w:tcPr>
            <w:tcW w:w="1985" w:type="dxa"/>
            <w:tcBorders>
              <w:top w:val="nil"/>
              <w:bottom w:val="nil"/>
            </w:tcBorders>
          </w:tcPr>
          <w:p>
            <w:pPr>
              <w:pStyle w:val="TableParagraph"/>
              <w:spacing w:line="241" w:lineRule="exact"/>
              <w:rPr>
                <w:sz w:val="22"/>
              </w:rPr>
            </w:pPr>
            <w:r>
              <w:rPr>
                <w:sz w:val="22"/>
              </w:rPr>
              <w:t>llueve.</w:t>
            </w: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2" w:lineRule="exact"/>
              <w:ind w:left="100"/>
              <w:rPr>
                <w:sz w:val="22"/>
              </w:rPr>
            </w:pPr>
            <w:r>
              <w:rPr>
                <w:sz w:val="22"/>
              </w:rPr>
              <w:t>Aculco)</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8" w:hRule="exact"/>
        </w:trPr>
        <w:tc>
          <w:tcPr>
            <w:tcW w:w="1385" w:type="dxa"/>
            <w:tcBorders>
              <w:bottom w:val="nil"/>
            </w:tcBorders>
          </w:tcPr>
          <w:p>
            <w:pPr>
              <w:pStyle w:val="TableParagraph"/>
              <w:spacing w:line="251" w:lineRule="exact"/>
              <w:ind w:right="127"/>
              <w:rPr>
                <w:sz w:val="22"/>
              </w:rPr>
            </w:pPr>
            <w:r>
              <w:rPr>
                <w:sz w:val="22"/>
              </w:rPr>
              <w:t>Gregorio</w:t>
            </w:r>
          </w:p>
        </w:tc>
        <w:tc>
          <w:tcPr>
            <w:tcW w:w="1418" w:type="dxa"/>
            <w:tcBorders>
              <w:bottom w:val="nil"/>
            </w:tcBorders>
          </w:tcPr>
          <w:p>
            <w:pPr>
              <w:pStyle w:val="TableParagraph"/>
              <w:spacing w:line="251" w:lineRule="exact"/>
              <w:ind w:left="100" w:right="101"/>
              <w:rPr>
                <w:sz w:val="22"/>
              </w:rPr>
            </w:pPr>
            <w:r>
              <w:rPr>
                <w:sz w:val="22"/>
              </w:rPr>
              <w:t>Producción</w:t>
            </w:r>
          </w:p>
        </w:tc>
        <w:tc>
          <w:tcPr>
            <w:tcW w:w="1841" w:type="dxa"/>
            <w:tcBorders>
              <w:bottom w:val="nil"/>
            </w:tcBorders>
          </w:tcPr>
          <w:p>
            <w:pPr>
              <w:pStyle w:val="TableParagraph"/>
              <w:tabs>
                <w:tab w:pos="1482" w:val="left" w:leader="none"/>
              </w:tabs>
              <w:spacing w:line="251" w:lineRule="exact"/>
              <w:ind w:left="100"/>
              <w:rPr>
                <w:sz w:val="22"/>
              </w:rPr>
            </w:pPr>
            <w:r>
              <w:rPr>
                <w:sz w:val="22"/>
              </w:rPr>
              <w:t>Unión</w:t>
              <w:tab/>
              <w:t>de</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Polotitl</w:t>
            </w:r>
          </w:p>
        </w:tc>
        <w:tc>
          <w:tcPr>
            <w:tcW w:w="1277" w:type="dxa"/>
            <w:tcBorders>
              <w:bottom w:val="nil"/>
            </w:tcBorders>
          </w:tcPr>
          <w:p>
            <w:pPr>
              <w:pStyle w:val="TableParagraph"/>
              <w:spacing w:line="251" w:lineRule="exact"/>
              <w:ind w:right="92"/>
              <w:rPr>
                <w:sz w:val="22"/>
              </w:rPr>
            </w:pPr>
            <w:r>
              <w:rPr>
                <w:sz w:val="22"/>
              </w:rPr>
              <w:t>Polotitlán</w:t>
            </w:r>
          </w:p>
        </w:tc>
        <w:tc>
          <w:tcPr>
            <w:tcW w:w="1133" w:type="dxa"/>
            <w:tcBorders>
              <w:bottom w:val="nil"/>
            </w:tcBorders>
          </w:tcPr>
          <w:p>
            <w:pPr>
              <w:pStyle w:val="TableParagraph"/>
              <w:spacing w:line="251" w:lineRule="exact"/>
              <w:ind w:left="100" w:right="52"/>
              <w:rPr>
                <w:sz w:val="22"/>
              </w:rPr>
            </w:pPr>
            <w:r>
              <w:rPr>
                <w:sz w:val="22"/>
              </w:rPr>
              <w:t>Polotitlán</w:t>
            </w:r>
          </w:p>
        </w:tc>
        <w:tc>
          <w:tcPr>
            <w:tcW w:w="1702" w:type="dxa"/>
            <w:tcBorders>
              <w:bottom w:val="nil"/>
            </w:tcBorders>
          </w:tcPr>
          <w:p>
            <w:pPr>
              <w:pStyle w:val="TableParagraph"/>
              <w:spacing w:line="251" w:lineRule="exact"/>
              <w:rPr>
                <w:sz w:val="22"/>
              </w:rPr>
            </w:pPr>
            <w:r>
              <w:rPr>
                <w:sz w:val="22"/>
              </w:rPr>
              <w:t>La escasez del</w:t>
            </w:r>
          </w:p>
        </w:tc>
        <w:tc>
          <w:tcPr>
            <w:tcW w:w="1985" w:type="dxa"/>
            <w:tcBorders>
              <w:bottom w:val="nil"/>
            </w:tcBorders>
          </w:tcPr>
          <w:p>
            <w:pPr>
              <w:pStyle w:val="TableParagraph"/>
              <w:tabs>
                <w:tab w:pos="1105" w:val="left" w:leader="none"/>
                <w:tab w:pos="1628" w:val="left" w:leader="none"/>
              </w:tabs>
              <w:spacing w:line="251" w:lineRule="exact"/>
              <w:rPr>
                <w:sz w:val="22"/>
              </w:rPr>
            </w:pPr>
            <w:r>
              <w:rPr>
                <w:sz w:val="22"/>
              </w:rPr>
              <w:t>Porque</w:t>
              <w:tab/>
              <w:t>ya</w:t>
              <w:tab/>
              <w:t>no</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García</w:t>
            </w:r>
          </w:p>
        </w:tc>
        <w:tc>
          <w:tcPr>
            <w:tcW w:w="1418" w:type="dxa"/>
            <w:tcBorders>
              <w:top w:val="nil"/>
              <w:bottom w:val="nil"/>
            </w:tcBorders>
          </w:tcPr>
          <w:p>
            <w:pPr>
              <w:pStyle w:val="TableParagraph"/>
              <w:spacing w:line="243" w:lineRule="exact"/>
              <w:ind w:left="100"/>
              <w:rPr>
                <w:sz w:val="22"/>
              </w:rPr>
            </w:pPr>
            <w:r>
              <w:rPr>
                <w:sz w:val="22"/>
              </w:rPr>
              <w:t>de quesos e</w:t>
            </w:r>
          </w:p>
        </w:tc>
        <w:tc>
          <w:tcPr>
            <w:tcW w:w="1841" w:type="dxa"/>
            <w:tcBorders>
              <w:top w:val="nil"/>
              <w:bottom w:val="nil"/>
            </w:tcBorders>
          </w:tcPr>
          <w:p>
            <w:pPr>
              <w:pStyle w:val="TableParagraph"/>
              <w:spacing w:line="243" w:lineRule="exact"/>
              <w:ind w:left="100"/>
              <w:rPr>
                <w:sz w:val="22"/>
              </w:rPr>
            </w:pPr>
            <w:r>
              <w:rPr>
                <w:sz w:val="22"/>
              </w:rPr>
              <w:t>Productores   de</w:t>
            </w:r>
          </w:p>
        </w:tc>
        <w:tc>
          <w:tcPr>
            <w:tcW w:w="1135" w:type="dxa"/>
            <w:tcBorders>
              <w:top w:val="nil"/>
              <w:bottom w:val="nil"/>
            </w:tcBorders>
          </w:tcPr>
          <w:p>
            <w:pPr>
              <w:pStyle w:val="TableParagraph"/>
              <w:spacing w:line="243" w:lineRule="exact"/>
              <w:rPr>
                <w:sz w:val="22"/>
              </w:rPr>
            </w:pPr>
            <w:r>
              <w:rPr>
                <w:sz w:val="22"/>
              </w:rPr>
              <w:t>te</w:t>
            </w:r>
          </w:p>
        </w:tc>
        <w:tc>
          <w:tcPr>
            <w:tcW w:w="991" w:type="dxa"/>
            <w:tcBorders>
              <w:top w:val="nil"/>
              <w:bottom w:val="nil"/>
            </w:tcBorders>
          </w:tcPr>
          <w:p>
            <w:pPr>
              <w:pStyle w:val="TableParagraph"/>
              <w:spacing w:line="243" w:lineRule="exact"/>
              <w:ind w:left="100"/>
              <w:rPr>
                <w:sz w:val="22"/>
              </w:rPr>
            </w:pPr>
            <w:r>
              <w:rPr>
                <w:sz w:val="22"/>
              </w:rPr>
              <w:t>án</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agua.</w:t>
            </w:r>
          </w:p>
        </w:tc>
        <w:tc>
          <w:tcPr>
            <w:tcW w:w="1985" w:type="dxa"/>
            <w:tcBorders>
              <w:top w:val="nil"/>
              <w:bottom w:val="nil"/>
            </w:tcBorders>
          </w:tcPr>
          <w:p>
            <w:pPr>
              <w:pStyle w:val="TableParagraph"/>
              <w:tabs>
                <w:tab w:pos="1430" w:val="left" w:leader="none"/>
              </w:tabs>
              <w:spacing w:line="243" w:lineRule="exact"/>
              <w:rPr>
                <w:sz w:val="22"/>
              </w:rPr>
            </w:pPr>
            <w:r>
              <w:rPr>
                <w:sz w:val="22"/>
              </w:rPr>
              <w:t>alcanza</w:t>
              <w:tab/>
              <w:t>para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Arregui</w:t>
            </w:r>
          </w:p>
        </w:tc>
        <w:tc>
          <w:tcPr>
            <w:tcW w:w="1418" w:type="dxa"/>
            <w:tcBorders>
              <w:top w:val="nil"/>
              <w:bottom w:val="nil"/>
            </w:tcBorders>
          </w:tcPr>
          <w:p>
            <w:pPr>
              <w:pStyle w:val="TableParagraph"/>
              <w:spacing w:line="241" w:lineRule="exact"/>
              <w:ind w:left="100" w:right="101"/>
              <w:rPr>
                <w:sz w:val="22"/>
              </w:rPr>
            </w:pPr>
            <w:r>
              <w:rPr>
                <w:sz w:val="22"/>
              </w:rPr>
              <w:t>Ingeniero</w:t>
            </w:r>
          </w:p>
        </w:tc>
        <w:tc>
          <w:tcPr>
            <w:tcW w:w="1841" w:type="dxa"/>
            <w:tcBorders>
              <w:top w:val="nil"/>
              <w:bottom w:val="nil"/>
            </w:tcBorders>
          </w:tcPr>
          <w:p>
            <w:pPr>
              <w:pStyle w:val="TableParagraph"/>
              <w:tabs>
                <w:tab w:pos="1482" w:val="left" w:leader="none"/>
              </w:tabs>
              <w:spacing w:line="241" w:lineRule="exact"/>
              <w:ind w:left="100"/>
              <w:rPr>
                <w:sz w:val="22"/>
              </w:rPr>
            </w:pPr>
            <w:r>
              <w:rPr>
                <w:sz w:val="22"/>
              </w:rPr>
              <w:t>Leche</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14" w:val="left" w:leader="none"/>
                <w:tab w:pos="1518" w:val="left" w:leader="none"/>
              </w:tabs>
              <w:spacing w:line="241" w:lineRule="exact"/>
              <w:rPr>
                <w:sz w:val="22"/>
              </w:rPr>
            </w:pPr>
            <w:r>
              <w:rPr>
                <w:sz w:val="22"/>
              </w:rPr>
              <w:t>regar</w:t>
              <w:tab/>
              <w:t>y</w:t>
              <w:tab/>
              <w:t>hay</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(4/9/2014)</w:t>
            </w:r>
          </w:p>
        </w:tc>
        <w:tc>
          <w:tcPr>
            <w:tcW w:w="1418" w:type="dxa"/>
            <w:tcBorders>
              <w:top w:val="nil"/>
              <w:bottom w:val="nil"/>
            </w:tcBorders>
          </w:tcPr>
          <w:p>
            <w:pPr>
              <w:pStyle w:val="TableParagraph"/>
              <w:spacing w:line="242" w:lineRule="exact"/>
              <w:ind w:left="100" w:right="101"/>
              <w:rPr>
                <w:sz w:val="22"/>
              </w:rPr>
            </w:pPr>
            <w:r>
              <w:rPr>
                <w:sz w:val="22"/>
              </w:rPr>
              <w:t>Civil</w:t>
            </w:r>
          </w:p>
        </w:tc>
        <w:tc>
          <w:tcPr>
            <w:tcW w:w="1841" w:type="dxa"/>
            <w:tcBorders>
              <w:top w:val="nil"/>
              <w:bottom w:val="nil"/>
            </w:tcBorders>
          </w:tcPr>
          <w:p>
            <w:pPr>
              <w:pStyle w:val="TableParagraph"/>
              <w:tabs>
                <w:tab w:pos="1312" w:val="left" w:leader="none"/>
              </w:tabs>
              <w:spacing w:line="242" w:lineRule="exact"/>
              <w:ind w:left="100"/>
              <w:rPr>
                <w:sz w:val="22"/>
              </w:rPr>
            </w:pPr>
            <w:r>
              <w:rPr>
                <w:sz w:val="22"/>
              </w:rPr>
              <w:t>Polotitlán</w:t>
              <w:tab/>
              <w:t>S.A.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202" w:val="left" w:leader="none"/>
              </w:tabs>
              <w:spacing w:line="242" w:lineRule="exact"/>
              <w:rPr>
                <w:sz w:val="22"/>
              </w:rPr>
            </w:pPr>
            <w:r>
              <w:rPr>
                <w:sz w:val="22"/>
              </w:rPr>
              <w:t>muchos</w:t>
              <w:tab/>
              <w:t>bordos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de C.V.</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786" w:val="left" w:leader="none"/>
                <w:tab w:pos="1271" w:val="left" w:leader="none"/>
              </w:tabs>
              <w:spacing w:line="241" w:lineRule="exact"/>
              <w:rPr>
                <w:sz w:val="22"/>
              </w:rPr>
            </w:pPr>
            <w:r>
              <w:rPr>
                <w:sz w:val="22"/>
              </w:rPr>
              <w:t>que</w:t>
              <w:tab/>
              <w:t>le</w:t>
              <w:tab/>
              <w:t>quitan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640" w:val="left" w:leader="none"/>
                <w:tab w:pos="1484" w:val="left" w:leader="none"/>
              </w:tabs>
              <w:spacing w:line="241" w:lineRule="exact"/>
              <w:ind w:left="100"/>
              <w:rPr>
                <w:sz w:val="22"/>
              </w:rPr>
            </w:pPr>
            <w:r>
              <w:rPr>
                <w:sz w:val="22"/>
              </w:rPr>
              <w:t>(97</w:t>
              <w:tab/>
              <w:t>socios</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captación.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17" w:val="left" w:leader="none"/>
              </w:tabs>
              <w:spacing w:line="242" w:lineRule="exact"/>
              <w:ind w:left="100"/>
              <w:rPr>
                <w:sz w:val="22"/>
              </w:rPr>
            </w:pPr>
            <w:r>
              <w:rPr>
                <w:sz w:val="22"/>
              </w:rPr>
              <w:t>Aculco</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502"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Polotitlán)</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737" w:hRule="exact"/>
        </w:trPr>
        <w:tc>
          <w:tcPr>
            <w:tcW w:w="4645" w:type="dxa"/>
            <w:gridSpan w:val="3"/>
          </w:tcPr>
          <w:p>
            <w:pPr>
              <w:pStyle w:val="TableParagraph"/>
              <w:spacing w:before="10"/>
              <w:ind w:left="0"/>
              <w:rPr>
                <w:b/>
                <w:sz w:val="21"/>
              </w:rPr>
            </w:pPr>
          </w:p>
          <w:p>
            <w:pPr>
              <w:pStyle w:val="TableParagraph"/>
              <w:rPr>
                <w:sz w:val="22"/>
              </w:rPr>
            </w:pPr>
            <w:r>
              <w:rPr>
                <w:sz w:val="22"/>
              </w:rPr>
              <w:t>Maxilácteos S.A. de C.V. de Polotitlán</w:t>
            </w:r>
          </w:p>
        </w:tc>
        <w:tc>
          <w:tcPr>
            <w:tcW w:w="8223" w:type="dxa"/>
            <w:gridSpan w:val="6"/>
          </w:tcPr>
          <w:p>
            <w:pPr>
              <w:pStyle w:val="TableParagraph"/>
              <w:spacing w:before="10"/>
              <w:ind w:left="0"/>
              <w:rPr>
                <w:b/>
                <w:sz w:val="21"/>
              </w:rPr>
            </w:pPr>
          </w:p>
          <w:p>
            <w:pPr>
              <w:pStyle w:val="TableParagraph"/>
              <w:rPr>
                <w:sz w:val="22"/>
              </w:rPr>
            </w:pPr>
            <w:r>
              <w:rPr>
                <w:sz w:val="22"/>
              </w:rPr>
              <w:t>No accedieron a la entrevista por cuestiones de seguridad.</w:t>
            </w:r>
          </w:p>
        </w:tc>
      </w:tr>
    </w:tbl>
    <w:p>
      <w:pPr>
        <w:pStyle w:val="BodyText"/>
        <w:spacing w:line="248" w:lineRule="exact"/>
        <w:ind w:left="218" w:right="397"/>
      </w:pPr>
      <w:r>
        <w:rPr>
          <w:b/>
        </w:rPr>
        <w:t>Fuente: </w:t>
      </w:r>
      <w:r>
        <w:rPr/>
        <w:t>Elaboración propia con base en el Trabajo de Campo, García (2013-2015).</w:t>
      </w:r>
    </w:p>
    <w:p>
      <w:pPr>
        <w:spacing w:after="0" w:line="248" w:lineRule="exact"/>
        <w:sectPr>
          <w:pgSz w:w="15840" w:h="12240" w:orient="landscape"/>
          <w:pgMar w:header="0" w:footer="943" w:top="1140" w:bottom="1200" w:left="1200" w:right="1300"/>
        </w:sectPr>
      </w:pPr>
    </w:p>
    <w:p>
      <w:pPr>
        <w:pStyle w:val="BodyText"/>
        <w:rPr>
          <w:sz w:val="20"/>
        </w:rPr>
      </w:pPr>
    </w:p>
    <w:p>
      <w:pPr>
        <w:pStyle w:val="BodyText"/>
        <w:spacing w:before="1"/>
      </w:pPr>
    </w:p>
    <w:p>
      <w:pPr>
        <w:pStyle w:val="Heading6"/>
        <w:spacing w:before="73" w:after="4"/>
        <w:ind w:left="710" w:right="397"/>
      </w:pPr>
      <w:r>
        <w:rPr/>
        <w:t>Tabla 6.5.  Industriales y comerciantes de lácteos en los Municipios de Aculco y Polotitlán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3"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9" w:lineRule="exact"/>
              <w:ind w:left="100"/>
              <w:rPr>
                <w:b/>
                <w:sz w:val="22"/>
              </w:rPr>
            </w:pPr>
            <w:r>
              <w:rPr>
                <w:b/>
                <w:sz w:val="22"/>
              </w:rPr>
              <w:t>Asociación de</w:t>
            </w:r>
          </w:p>
        </w:tc>
        <w:tc>
          <w:tcPr>
            <w:tcW w:w="1135" w:type="dxa"/>
            <w:tcBorders>
              <w:bottom w:val="nil"/>
            </w:tcBorders>
            <w:shd w:val="clear" w:color="auto" w:fill="F9BE8F"/>
          </w:tcPr>
          <w:p>
            <w:pPr>
              <w:pStyle w:val="TableParagraph"/>
              <w:spacing w:line="249" w:lineRule="exact"/>
              <w:rPr>
                <w:b/>
                <w:sz w:val="22"/>
              </w:rPr>
            </w:pPr>
            <w:r>
              <w:rPr>
                <w:b/>
                <w:sz w:val="22"/>
              </w:rPr>
              <w:t>Cargo</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9" w:lineRule="exact"/>
              <w:rPr>
                <w:b/>
                <w:sz w:val="22"/>
              </w:rPr>
            </w:pPr>
            <w:r>
              <w:rPr>
                <w:b/>
                <w:sz w:val="22"/>
              </w:rPr>
              <w:t>¿Qué</w:t>
            </w:r>
          </w:p>
        </w:tc>
        <w:tc>
          <w:tcPr>
            <w:tcW w:w="1985" w:type="dxa"/>
            <w:tcBorders>
              <w:bottom w:val="nil"/>
            </w:tcBorders>
            <w:shd w:val="clear" w:color="auto" w:fill="92CDDC"/>
          </w:tcPr>
          <w:p>
            <w:pPr>
              <w:pStyle w:val="TableParagraph"/>
              <w:spacing w:line="249" w:lineRule="exact"/>
              <w:rPr>
                <w:b/>
                <w:sz w:val="22"/>
              </w:rPr>
            </w:pPr>
            <w:r>
              <w:rPr>
                <w:b/>
                <w:sz w:val="22"/>
              </w:rPr>
              <w:t>¿Quiénes</w:t>
            </w:r>
            <w:r>
              <w:rPr>
                <w:b/>
                <w:spacing w:val="58"/>
                <w:sz w:val="22"/>
              </w:rPr>
              <w:t> </w:t>
            </w:r>
            <w:r>
              <w:rPr>
                <w:b/>
                <w:sz w:val="22"/>
              </w:rPr>
              <w:t>deben</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Industriales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solución</w:t>
            </w:r>
          </w:p>
        </w:tc>
        <w:tc>
          <w:tcPr>
            <w:tcW w:w="1985" w:type="dxa"/>
            <w:tcBorders>
              <w:top w:val="nil"/>
              <w:bottom w:val="nil"/>
            </w:tcBorders>
            <w:shd w:val="clear" w:color="auto" w:fill="92CDDC"/>
          </w:tcPr>
          <w:p>
            <w:pPr>
              <w:pStyle w:val="TableParagraph"/>
              <w:tabs>
                <w:tab w:pos="1554" w:val="left" w:leader="none"/>
              </w:tabs>
              <w:spacing w:line="241" w:lineRule="exact"/>
              <w:rPr>
                <w:b/>
                <w:sz w:val="22"/>
              </w:rPr>
            </w:pPr>
            <w:r>
              <w:rPr>
                <w:b/>
                <w:sz w:val="22"/>
              </w:rPr>
              <w:t>solucionar</w:t>
              <w:tab/>
              <w:t>los</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Comerciantes/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propone  para</w:t>
            </w:r>
          </w:p>
        </w:tc>
        <w:tc>
          <w:tcPr>
            <w:tcW w:w="1985" w:type="dxa"/>
            <w:tcBorders>
              <w:top w:val="nil"/>
              <w:bottom w:val="nil"/>
            </w:tcBorders>
            <w:shd w:val="clear" w:color="auto" w:fill="92CDDC"/>
          </w:tcPr>
          <w:p>
            <w:pPr>
              <w:pStyle w:val="TableParagraph"/>
              <w:spacing w:line="241" w:lineRule="exact"/>
              <w:rPr>
                <w:b/>
                <w:sz w:val="22"/>
              </w:rPr>
            </w:pPr>
            <w:r>
              <w:rPr>
                <w:b/>
                <w:sz w:val="22"/>
              </w:rPr>
              <w:t>problemas  de la</w:t>
            </w:r>
          </w:p>
        </w:tc>
      </w:tr>
      <w:tr>
        <w:trPr>
          <w:trHeight w:val="254"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los</w:t>
            </w: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laguna</w:t>
              <w:tab/>
              <w:t>de</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problemas</w:t>
            </w:r>
            <w:r>
              <w:rPr>
                <w:b/>
                <w:spacing w:val="56"/>
                <w:sz w:val="22"/>
              </w:rPr>
              <w:t> </w:t>
            </w:r>
            <w:r>
              <w:rPr>
                <w:b/>
                <w:sz w:val="22"/>
              </w:rPr>
              <w:t>de</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1"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2" w:lineRule="exact"/>
              <w:rPr>
                <w:b/>
                <w:sz w:val="22"/>
              </w:rPr>
            </w:pPr>
            <w:r>
              <w:rPr>
                <w:b/>
                <w:sz w:val="22"/>
              </w:rPr>
              <w:t>la laguna?</w:t>
            </w:r>
          </w:p>
        </w:tc>
        <w:tc>
          <w:tcPr>
            <w:tcW w:w="1985"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Armando</w:t>
            </w:r>
          </w:p>
        </w:tc>
        <w:tc>
          <w:tcPr>
            <w:tcW w:w="1418" w:type="dxa"/>
            <w:tcBorders>
              <w:bottom w:val="nil"/>
            </w:tcBorders>
          </w:tcPr>
          <w:p>
            <w:pPr>
              <w:pStyle w:val="TableParagraph"/>
              <w:spacing w:line="251" w:lineRule="exact"/>
              <w:ind w:left="100" w:right="101"/>
              <w:rPr>
                <w:sz w:val="22"/>
              </w:rPr>
            </w:pPr>
            <w:r>
              <w:rPr>
                <w:sz w:val="22"/>
              </w:rPr>
              <w:t>Producción</w:t>
            </w:r>
          </w:p>
        </w:tc>
        <w:tc>
          <w:tcPr>
            <w:tcW w:w="1841" w:type="dxa"/>
            <w:tcBorders>
              <w:bottom w:val="nil"/>
            </w:tcBorders>
          </w:tcPr>
          <w:p>
            <w:pPr>
              <w:pStyle w:val="TableParagraph"/>
              <w:spacing w:line="251" w:lineRule="exact"/>
              <w:ind w:left="100"/>
              <w:rPr>
                <w:sz w:val="22"/>
              </w:rPr>
            </w:pPr>
            <w:r>
              <w:rPr>
                <w:sz w:val="22"/>
              </w:rPr>
              <w:t>Unión de</w:t>
            </w:r>
          </w:p>
        </w:tc>
        <w:tc>
          <w:tcPr>
            <w:tcW w:w="1135" w:type="dxa"/>
            <w:tcBorders>
              <w:bottom w:val="nil"/>
            </w:tcBorders>
          </w:tcPr>
          <w:p>
            <w:pPr>
              <w:pStyle w:val="TableParagraph"/>
              <w:spacing w:line="251" w:lineRule="exact"/>
              <w:rPr>
                <w:sz w:val="22"/>
              </w:rPr>
            </w:pPr>
            <w:r>
              <w:rPr>
                <w:sz w:val="22"/>
              </w:rPr>
              <w:t>Administr</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Aculco</w:t>
            </w:r>
          </w:p>
        </w:tc>
        <w:tc>
          <w:tcPr>
            <w:tcW w:w="1133" w:type="dxa"/>
            <w:tcBorders>
              <w:bottom w:val="nil"/>
            </w:tcBorders>
          </w:tcPr>
          <w:p>
            <w:pPr>
              <w:pStyle w:val="TableParagraph"/>
              <w:spacing w:line="251" w:lineRule="exact"/>
              <w:ind w:left="100" w:right="52"/>
              <w:rPr>
                <w:sz w:val="22"/>
              </w:rPr>
            </w:pPr>
            <w:r>
              <w:rPr>
                <w:sz w:val="22"/>
              </w:rPr>
              <w:t>Aculco</w:t>
            </w:r>
          </w:p>
        </w:tc>
        <w:tc>
          <w:tcPr>
            <w:tcW w:w="1702" w:type="dxa"/>
            <w:tcBorders>
              <w:bottom w:val="nil"/>
            </w:tcBorders>
          </w:tcPr>
          <w:p>
            <w:pPr>
              <w:pStyle w:val="TableParagraph"/>
              <w:tabs>
                <w:tab w:pos="601" w:val="left" w:leader="none"/>
                <w:tab w:pos="1050" w:val="left" w:leader="none"/>
              </w:tabs>
              <w:spacing w:line="251" w:lineRule="exact"/>
              <w:rPr>
                <w:sz w:val="22"/>
              </w:rPr>
            </w:pPr>
            <w:r>
              <w:rPr>
                <w:sz w:val="22"/>
              </w:rPr>
              <w:t>No</w:t>
              <w:tab/>
              <w:t>sé</w:t>
              <w:tab/>
              <w:t>cómo</w:t>
            </w:r>
          </w:p>
        </w:tc>
        <w:tc>
          <w:tcPr>
            <w:tcW w:w="1985" w:type="dxa"/>
            <w:tcBorders>
              <w:bottom w:val="nil"/>
            </w:tcBorders>
          </w:tcPr>
          <w:p>
            <w:pPr>
              <w:pStyle w:val="TableParagraph"/>
              <w:tabs>
                <w:tab w:pos="628" w:val="left" w:leader="none"/>
                <w:tab w:pos="1100" w:val="left" w:leader="none"/>
              </w:tabs>
              <w:spacing w:line="251" w:lineRule="exact"/>
              <w:rPr>
                <w:sz w:val="22"/>
              </w:rPr>
            </w:pPr>
            <w:r>
              <w:rPr>
                <w:sz w:val="22"/>
              </w:rPr>
              <w:t>No</w:t>
              <w:tab/>
              <w:t>sé</w:t>
              <w:tab/>
              <w:t>quiénes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Alcántara</w:t>
            </w:r>
          </w:p>
        </w:tc>
        <w:tc>
          <w:tcPr>
            <w:tcW w:w="1418" w:type="dxa"/>
            <w:tcBorders>
              <w:top w:val="nil"/>
              <w:bottom w:val="nil"/>
            </w:tcBorders>
          </w:tcPr>
          <w:p>
            <w:pPr>
              <w:pStyle w:val="TableParagraph"/>
              <w:spacing w:line="242" w:lineRule="exact"/>
              <w:ind w:left="100" w:right="101"/>
              <w:rPr>
                <w:sz w:val="22"/>
              </w:rPr>
            </w:pPr>
            <w:r>
              <w:rPr>
                <w:sz w:val="22"/>
              </w:rPr>
              <w:t>de quesos</w:t>
            </w:r>
          </w:p>
        </w:tc>
        <w:tc>
          <w:tcPr>
            <w:tcW w:w="1841" w:type="dxa"/>
            <w:tcBorders>
              <w:top w:val="nil"/>
              <w:bottom w:val="nil"/>
            </w:tcBorders>
          </w:tcPr>
          <w:p>
            <w:pPr>
              <w:pStyle w:val="TableParagraph"/>
              <w:spacing w:line="242" w:lineRule="exact"/>
              <w:ind w:left="100"/>
              <w:rPr>
                <w:sz w:val="22"/>
              </w:rPr>
            </w:pPr>
            <w:r>
              <w:rPr>
                <w:sz w:val="22"/>
              </w:rPr>
              <w:t>Productores</w:t>
            </w:r>
          </w:p>
        </w:tc>
        <w:tc>
          <w:tcPr>
            <w:tcW w:w="1135" w:type="dxa"/>
            <w:tcBorders>
              <w:top w:val="nil"/>
              <w:bottom w:val="nil"/>
            </w:tcBorders>
          </w:tcPr>
          <w:p>
            <w:pPr>
              <w:pStyle w:val="TableParagraph"/>
              <w:spacing w:line="242" w:lineRule="exact"/>
              <w:rPr>
                <w:sz w:val="22"/>
              </w:rPr>
            </w:pPr>
            <w:r>
              <w:rPr>
                <w:sz w:val="22"/>
              </w:rPr>
              <w:t>ador</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7" w:val="left" w:leader="none"/>
              </w:tabs>
              <w:spacing w:line="242" w:lineRule="exact"/>
              <w:rPr>
                <w:sz w:val="22"/>
              </w:rPr>
            </w:pPr>
            <w:r>
              <w:rPr>
                <w:sz w:val="22"/>
              </w:rPr>
              <w:t>solucionar</w:t>
              <w:tab/>
              <w:t>los</w:t>
            </w:r>
          </w:p>
        </w:tc>
        <w:tc>
          <w:tcPr>
            <w:tcW w:w="1985" w:type="dxa"/>
            <w:tcBorders>
              <w:top w:val="nil"/>
              <w:bottom w:val="nil"/>
            </w:tcBorders>
          </w:tcPr>
          <w:p>
            <w:pPr>
              <w:pStyle w:val="TableParagraph"/>
              <w:spacing w:line="242" w:lineRule="exact"/>
              <w:rPr>
                <w:sz w:val="22"/>
              </w:rPr>
            </w:pPr>
            <w:r>
              <w:rPr>
                <w:sz w:val="22"/>
              </w:rPr>
              <w:t>debieran</w:t>
            </w:r>
          </w:p>
        </w:tc>
      </w:tr>
      <w:tr>
        <w:trPr>
          <w:trHeight w:val="252" w:hRule="exact"/>
        </w:trPr>
        <w:tc>
          <w:tcPr>
            <w:tcW w:w="1385" w:type="dxa"/>
            <w:tcBorders>
              <w:top w:val="nil"/>
              <w:bottom w:val="nil"/>
            </w:tcBorders>
          </w:tcPr>
          <w:p>
            <w:pPr>
              <w:pStyle w:val="TableParagraph"/>
              <w:spacing w:line="241" w:lineRule="exact"/>
              <w:rPr>
                <w:sz w:val="22"/>
              </w:rPr>
            </w:pPr>
            <w:r>
              <w:rPr>
                <w:sz w:val="22"/>
              </w:rPr>
              <w:t>Mondragón</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Lácteos de</w:t>
            </w:r>
          </w:p>
        </w:tc>
        <w:tc>
          <w:tcPr>
            <w:tcW w:w="1135" w:type="dxa"/>
            <w:tcBorders>
              <w:top w:val="nil"/>
              <w:bottom w:val="nil"/>
            </w:tcBorders>
          </w:tcPr>
          <w:p>
            <w:pPr>
              <w:pStyle w:val="TableParagraph"/>
              <w:spacing w:line="241" w:lineRule="exact"/>
              <w:rPr>
                <w:sz w:val="22"/>
              </w:rPr>
            </w:pPr>
            <w:r>
              <w:rPr>
                <w:sz w:val="22"/>
              </w:rPr>
              <w:t>único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problemas.</w:t>
            </w:r>
          </w:p>
        </w:tc>
        <w:tc>
          <w:tcPr>
            <w:tcW w:w="1985" w:type="dxa"/>
            <w:tcBorders>
              <w:top w:val="nil"/>
              <w:bottom w:val="nil"/>
            </w:tcBorders>
          </w:tcPr>
          <w:p>
            <w:pPr>
              <w:pStyle w:val="TableParagraph"/>
              <w:tabs>
                <w:tab w:pos="1593" w:val="left" w:leader="none"/>
              </w:tabs>
              <w:spacing w:line="241" w:lineRule="exact"/>
              <w:rPr>
                <w:sz w:val="22"/>
              </w:rPr>
            </w:pPr>
            <w:r>
              <w:rPr>
                <w:sz w:val="22"/>
              </w:rPr>
              <w:t>solucionar</w:t>
              <w:tab/>
              <w:t>los</w:t>
            </w: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Aculco S.A.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problemas.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C.V</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(50 socios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2" w:lineRule="exact"/>
              <w:ind w:left="100"/>
              <w:rPr>
                <w:sz w:val="22"/>
              </w:rPr>
            </w:pPr>
            <w:r>
              <w:rPr>
                <w:sz w:val="22"/>
              </w:rPr>
              <w:t>Aculco)</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8" w:hRule="exact"/>
        </w:trPr>
        <w:tc>
          <w:tcPr>
            <w:tcW w:w="1385" w:type="dxa"/>
            <w:tcBorders>
              <w:bottom w:val="nil"/>
            </w:tcBorders>
          </w:tcPr>
          <w:p>
            <w:pPr>
              <w:pStyle w:val="TableParagraph"/>
              <w:spacing w:line="251" w:lineRule="exact"/>
              <w:ind w:right="127"/>
              <w:rPr>
                <w:sz w:val="22"/>
              </w:rPr>
            </w:pPr>
            <w:r>
              <w:rPr>
                <w:sz w:val="22"/>
              </w:rPr>
              <w:t>Gregorio</w:t>
            </w:r>
          </w:p>
        </w:tc>
        <w:tc>
          <w:tcPr>
            <w:tcW w:w="1418" w:type="dxa"/>
            <w:tcBorders>
              <w:bottom w:val="nil"/>
            </w:tcBorders>
          </w:tcPr>
          <w:p>
            <w:pPr>
              <w:pStyle w:val="TableParagraph"/>
              <w:spacing w:line="251" w:lineRule="exact"/>
              <w:ind w:left="100" w:right="101"/>
              <w:rPr>
                <w:sz w:val="22"/>
              </w:rPr>
            </w:pPr>
            <w:r>
              <w:rPr>
                <w:sz w:val="22"/>
              </w:rPr>
              <w:t>Producción</w:t>
            </w:r>
          </w:p>
        </w:tc>
        <w:tc>
          <w:tcPr>
            <w:tcW w:w="1841" w:type="dxa"/>
            <w:tcBorders>
              <w:bottom w:val="nil"/>
            </w:tcBorders>
          </w:tcPr>
          <w:p>
            <w:pPr>
              <w:pStyle w:val="TableParagraph"/>
              <w:tabs>
                <w:tab w:pos="1482" w:val="left" w:leader="none"/>
              </w:tabs>
              <w:spacing w:line="251" w:lineRule="exact"/>
              <w:ind w:left="100"/>
              <w:rPr>
                <w:sz w:val="22"/>
              </w:rPr>
            </w:pPr>
            <w:r>
              <w:rPr>
                <w:sz w:val="22"/>
              </w:rPr>
              <w:t>Unión</w:t>
              <w:tab/>
              <w:t>de</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Polotitl</w:t>
            </w:r>
          </w:p>
        </w:tc>
        <w:tc>
          <w:tcPr>
            <w:tcW w:w="1277" w:type="dxa"/>
            <w:tcBorders>
              <w:bottom w:val="nil"/>
            </w:tcBorders>
          </w:tcPr>
          <w:p>
            <w:pPr>
              <w:pStyle w:val="TableParagraph"/>
              <w:spacing w:line="251" w:lineRule="exact"/>
              <w:ind w:right="92"/>
              <w:rPr>
                <w:sz w:val="22"/>
              </w:rPr>
            </w:pPr>
            <w:r>
              <w:rPr>
                <w:sz w:val="22"/>
              </w:rPr>
              <w:t>Polotitlán</w:t>
            </w:r>
          </w:p>
        </w:tc>
        <w:tc>
          <w:tcPr>
            <w:tcW w:w="1133" w:type="dxa"/>
            <w:tcBorders>
              <w:bottom w:val="nil"/>
            </w:tcBorders>
          </w:tcPr>
          <w:p>
            <w:pPr>
              <w:pStyle w:val="TableParagraph"/>
              <w:spacing w:line="251" w:lineRule="exact"/>
              <w:ind w:left="100" w:right="52"/>
              <w:rPr>
                <w:sz w:val="22"/>
              </w:rPr>
            </w:pPr>
            <w:r>
              <w:rPr>
                <w:sz w:val="22"/>
              </w:rPr>
              <w:t>Polotitlán</w:t>
            </w:r>
          </w:p>
        </w:tc>
        <w:tc>
          <w:tcPr>
            <w:tcW w:w="1702" w:type="dxa"/>
            <w:tcBorders>
              <w:bottom w:val="nil"/>
            </w:tcBorders>
          </w:tcPr>
          <w:p>
            <w:pPr>
              <w:pStyle w:val="TableParagraph"/>
              <w:spacing w:line="251" w:lineRule="exact"/>
              <w:rPr>
                <w:sz w:val="22"/>
              </w:rPr>
            </w:pPr>
            <w:r>
              <w:rPr>
                <w:sz w:val="22"/>
              </w:rPr>
              <w:t>Este  problema</w:t>
            </w:r>
          </w:p>
        </w:tc>
        <w:tc>
          <w:tcPr>
            <w:tcW w:w="1985" w:type="dxa"/>
            <w:tcBorders>
              <w:bottom w:val="nil"/>
            </w:tcBorders>
          </w:tcPr>
          <w:p>
            <w:pPr>
              <w:pStyle w:val="TableParagraph"/>
              <w:tabs>
                <w:tab w:pos="1334" w:val="left" w:leader="none"/>
              </w:tabs>
              <w:spacing w:line="251" w:lineRule="exact"/>
              <w:rPr>
                <w:sz w:val="22"/>
              </w:rPr>
            </w:pPr>
            <w:r>
              <w:rPr>
                <w:sz w:val="22"/>
              </w:rPr>
              <w:t>Pues</w:t>
              <w:tab/>
              <w:t>nadie</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García</w:t>
            </w:r>
          </w:p>
        </w:tc>
        <w:tc>
          <w:tcPr>
            <w:tcW w:w="1418" w:type="dxa"/>
            <w:tcBorders>
              <w:top w:val="nil"/>
              <w:bottom w:val="nil"/>
            </w:tcBorders>
          </w:tcPr>
          <w:p>
            <w:pPr>
              <w:pStyle w:val="TableParagraph"/>
              <w:spacing w:line="243" w:lineRule="exact"/>
              <w:ind w:left="100"/>
              <w:rPr>
                <w:sz w:val="22"/>
              </w:rPr>
            </w:pPr>
            <w:r>
              <w:rPr>
                <w:sz w:val="22"/>
              </w:rPr>
              <w:t>de quesos e</w:t>
            </w:r>
          </w:p>
        </w:tc>
        <w:tc>
          <w:tcPr>
            <w:tcW w:w="1841" w:type="dxa"/>
            <w:tcBorders>
              <w:top w:val="nil"/>
              <w:bottom w:val="nil"/>
            </w:tcBorders>
          </w:tcPr>
          <w:p>
            <w:pPr>
              <w:pStyle w:val="TableParagraph"/>
              <w:spacing w:line="243" w:lineRule="exact"/>
              <w:ind w:left="100"/>
              <w:rPr>
                <w:sz w:val="22"/>
              </w:rPr>
            </w:pPr>
            <w:r>
              <w:rPr>
                <w:sz w:val="22"/>
              </w:rPr>
              <w:t>Productores   de</w:t>
            </w:r>
          </w:p>
        </w:tc>
        <w:tc>
          <w:tcPr>
            <w:tcW w:w="1135" w:type="dxa"/>
            <w:tcBorders>
              <w:top w:val="nil"/>
              <w:bottom w:val="nil"/>
            </w:tcBorders>
          </w:tcPr>
          <w:p>
            <w:pPr>
              <w:pStyle w:val="TableParagraph"/>
              <w:spacing w:line="243" w:lineRule="exact"/>
              <w:rPr>
                <w:sz w:val="22"/>
              </w:rPr>
            </w:pPr>
            <w:r>
              <w:rPr>
                <w:sz w:val="22"/>
              </w:rPr>
              <w:t>te</w:t>
            </w:r>
          </w:p>
        </w:tc>
        <w:tc>
          <w:tcPr>
            <w:tcW w:w="991" w:type="dxa"/>
            <w:tcBorders>
              <w:top w:val="nil"/>
              <w:bottom w:val="nil"/>
            </w:tcBorders>
          </w:tcPr>
          <w:p>
            <w:pPr>
              <w:pStyle w:val="TableParagraph"/>
              <w:spacing w:line="243" w:lineRule="exact"/>
              <w:ind w:left="100"/>
              <w:rPr>
                <w:sz w:val="22"/>
              </w:rPr>
            </w:pPr>
            <w:r>
              <w:rPr>
                <w:sz w:val="22"/>
              </w:rPr>
              <w:t>án</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podría</w:t>
            </w:r>
          </w:p>
        </w:tc>
        <w:tc>
          <w:tcPr>
            <w:tcW w:w="1985" w:type="dxa"/>
            <w:tcBorders>
              <w:top w:val="nil"/>
              <w:bottom w:val="nil"/>
            </w:tcBorders>
          </w:tcPr>
          <w:p>
            <w:pPr>
              <w:pStyle w:val="TableParagraph"/>
              <w:tabs>
                <w:tab w:pos="1017" w:val="left" w:leader="none"/>
              </w:tabs>
              <w:spacing w:line="243" w:lineRule="exact"/>
              <w:rPr>
                <w:sz w:val="22"/>
              </w:rPr>
            </w:pPr>
            <w:r>
              <w:rPr>
                <w:sz w:val="22"/>
              </w:rPr>
              <w:t>porque</w:t>
              <w:tab/>
              <w:t>depende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Arregui</w:t>
            </w:r>
          </w:p>
        </w:tc>
        <w:tc>
          <w:tcPr>
            <w:tcW w:w="1418" w:type="dxa"/>
            <w:tcBorders>
              <w:top w:val="nil"/>
              <w:bottom w:val="nil"/>
            </w:tcBorders>
          </w:tcPr>
          <w:p>
            <w:pPr>
              <w:pStyle w:val="TableParagraph"/>
              <w:spacing w:line="241" w:lineRule="exact"/>
              <w:ind w:left="100" w:right="101"/>
              <w:rPr>
                <w:sz w:val="22"/>
              </w:rPr>
            </w:pPr>
            <w:r>
              <w:rPr>
                <w:sz w:val="22"/>
              </w:rPr>
              <w:t>Ingeniero</w:t>
            </w:r>
          </w:p>
        </w:tc>
        <w:tc>
          <w:tcPr>
            <w:tcW w:w="1841" w:type="dxa"/>
            <w:tcBorders>
              <w:top w:val="nil"/>
              <w:bottom w:val="nil"/>
            </w:tcBorders>
          </w:tcPr>
          <w:p>
            <w:pPr>
              <w:pStyle w:val="TableParagraph"/>
              <w:tabs>
                <w:tab w:pos="1482" w:val="left" w:leader="none"/>
              </w:tabs>
              <w:spacing w:line="241" w:lineRule="exact"/>
              <w:ind w:left="100"/>
              <w:rPr>
                <w:sz w:val="22"/>
              </w:rPr>
            </w:pPr>
            <w:r>
              <w:rPr>
                <w:sz w:val="22"/>
              </w:rPr>
              <w:t>Leche</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solucionarse si</w:t>
            </w:r>
          </w:p>
        </w:tc>
        <w:tc>
          <w:tcPr>
            <w:tcW w:w="1985" w:type="dxa"/>
            <w:tcBorders>
              <w:top w:val="nil"/>
              <w:bottom w:val="nil"/>
            </w:tcBorders>
          </w:tcPr>
          <w:p>
            <w:pPr>
              <w:pStyle w:val="TableParagraph"/>
              <w:spacing w:line="241" w:lineRule="exact"/>
              <w:rPr>
                <w:sz w:val="22"/>
              </w:rPr>
            </w:pPr>
            <w:r>
              <w:rPr>
                <w:sz w:val="22"/>
              </w:rPr>
              <w:t>de la lluvia.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(4/9/2014)</w:t>
            </w:r>
          </w:p>
        </w:tc>
        <w:tc>
          <w:tcPr>
            <w:tcW w:w="1418" w:type="dxa"/>
            <w:tcBorders>
              <w:top w:val="nil"/>
              <w:bottom w:val="nil"/>
            </w:tcBorders>
          </w:tcPr>
          <w:p>
            <w:pPr>
              <w:pStyle w:val="TableParagraph"/>
              <w:spacing w:line="242" w:lineRule="exact"/>
              <w:ind w:left="100" w:right="101"/>
              <w:rPr>
                <w:sz w:val="22"/>
              </w:rPr>
            </w:pPr>
            <w:r>
              <w:rPr>
                <w:sz w:val="22"/>
              </w:rPr>
              <w:t>Civil</w:t>
            </w:r>
          </w:p>
        </w:tc>
        <w:tc>
          <w:tcPr>
            <w:tcW w:w="1841" w:type="dxa"/>
            <w:tcBorders>
              <w:top w:val="nil"/>
              <w:bottom w:val="nil"/>
            </w:tcBorders>
          </w:tcPr>
          <w:p>
            <w:pPr>
              <w:pStyle w:val="TableParagraph"/>
              <w:tabs>
                <w:tab w:pos="1312" w:val="left" w:leader="none"/>
              </w:tabs>
              <w:spacing w:line="242" w:lineRule="exact"/>
              <w:ind w:left="100"/>
              <w:rPr>
                <w:sz w:val="22"/>
              </w:rPr>
            </w:pPr>
            <w:r>
              <w:rPr>
                <w:sz w:val="22"/>
              </w:rPr>
              <w:t>Polotitlán</w:t>
              <w:tab/>
              <w:t>S.A.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lloviera más.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de C.V.</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640" w:val="left" w:leader="none"/>
                <w:tab w:pos="1484" w:val="left" w:leader="none"/>
              </w:tabs>
              <w:spacing w:line="241" w:lineRule="exact"/>
              <w:ind w:left="100"/>
              <w:rPr>
                <w:sz w:val="22"/>
              </w:rPr>
            </w:pPr>
            <w:r>
              <w:rPr>
                <w:sz w:val="22"/>
              </w:rPr>
              <w:t>(97</w:t>
              <w:tab/>
              <w:t>socios</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17" w:val="left" w:leader="none"/>
              </w:tabs>
              <w:spacing w:line="242" w:lineRule="exact"/>
              <w:ind w:left="100"/>
              <w:rPr>
                <w:sz w:val="22"/>
              </w:rPr>
            </w:pPr>
            <w:r>
              <w:rPr>
                <w:sz w:val="22"/>
              </w:rPr>
              <w:t>Aculco</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502"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Polotitlán)</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516" w:hRule="exact"/>
        </w:trPr>
        <w:tc>
          <w:tcPr>
            <w:tcW w:w="4645" w:type="dxa"/>
            <w:gridSpan w:val="3"/>
          </w:tcPr>
          <w:p>
            <w:pPr>
              <w:pStyle w:val="TableParagraph"/>
              <w:spacing w:before="10"/>
              <w:ind w:left="0"/>
              <w:rPr>
                <w:b/>
                <w:sz w:val="21"/>
              </w:rPr>
            </w:pPr>
          </w:p>
          <w:p>
            <w:pPr>
              <w:pStyle w:val="TableParagraph"/>
              <w:rPr>
                <w:sz w:val="22"/>
              </w:rPr>
            </w:pPr>
            <w:r>
              <w:rPr>
                <w:sz w:val="22"/>
              </w:rPr>
              <w:t>Maxilácteos S.A. de C.V. de Polotitlán</w:t>
            </w:r>
          </w:p>
        </w:tc>
        <w:tc>
          <w:tcPr>
            <w:tcW w:w="8223" w:type="dxa"/>
            <w:gridSpan w:val="6"/>
          </w:tcPr>
          <w:p>
            <w:pPr>
              <w:pStyle w:val="TableParagraph"/>
              <w:spacing w:before="10"/>
              <w:ind w:left="0"/>
              <w:rPr>
                <w:b/>
                <w:sz w:val="21"/>
              </w:rPr>
            </w:pPr>
          </w:p>
          <w:p>
            <w:pPr>
              <w:pStyle w:val="TableParagraph"/>
              <w:rPr>
                <w:sz w:val="22"/>
              </w:rPr>
            </w:pPr>
            <w:r>
              <w:rPr>
                <w:sz w:val="22"/>
              </w:rPr>
              <w:t>No accedieron a la entrevista por cuestiones de seguridad.</w:t>
            </w:r>
          </w:p>
        </w:tc>
      </w:tr>
    </w:tbl>
    <w:p>
      <w:pPr>
        <w:pStyle w:val="BodyText"/>
        <w:spacing w:line="249" w:lineRule="exact"/>
        <w:ind w:left="218" w:right="397"/>
      </w:pPr>
      <w:r>
        <w:rPr>
          <w:b/>
        </w:rPr>
        <w:t>Fuente: </w:t>
      </w:r>
      <w:r>
        <w:rPr/>
        <w:t>Elaboración propia con base en el Trabajo de Campo, García (2013-2015).</w:t>
      </w:r>
    </w:p>
    <w:p>
      <w:pPr>
        <w:spacing w:after="0" w:line="249" w:lineRule="exact"/>
        <w:sectPr>
          <w:pgSz w:w="15840" w:h="12240" w:orient="landscape"/>
          <w:pgMar w:header="0" w:footer="943" w:top="1140" w:bottom="1200" w:left="1200" w:right="1300"/>
        </w:sectPr>
      </w:pPr>
    </w:p>
    <w:p>
      <w:pPr>
        <w:pStyle w:val="BodyText"/>
        <w:rPr>
          <w:sz w:val="20"/>
        </w:rPr>
      </w:pPr>
    </w:p>
    <w:p>
      <w:pPr>
        <w:pStyle w:val="BodyText"/>
        <w:spacing w:before="1"/>
      </w:pPr>
    </w:p>
    <w:p>
      <w:pPr>
        <w:pStyle w:val="Heading6"/>
        <w:spacing w:before="73" w:after="4"/>
        <w:ind w:left="710" w:right="397"/>
      </w:pPr>
      <w:r>
        <w:rPr/>
        <w:t>Tabla 6.5.  Industriales y comerciantes de lácteos en los Municipios de Aculco y Polotitlán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516"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Autogestión</w:t>
            </w:r>
          </w:p>
        </w:tc>
        <w:tc>
          <w:tcPr>
            <w:tcW w:w="1985" w:type="dxa"/>
            <w:shd w:val="clear" w:color="auto" w:fill="92CDDC"/>
          </w:tcPr>
          <w:p>
            <w:pPr>
              <w:pStyle w:val="TableParagraph"/>
              <w:spacing w:line="252" w:lineRule="exact" w:before="2"/>
              <w:ind w:right="850"/>
              <w:rPr>
                <w:b/>
                <w:i/>
                <w:sz w:val="22"/>
              </w:rPr>
            </w:pPr>
            <w:r>
              <w:rPr>
                <w:b/>
                <w:i/>
                <w:sz w:val="22"/>
              </w:rPr>
              <w:t>Historia y </w:t>
            </w:r>
            <w:r>
              <w:rPr>
                <w:b/>
                <w:i/>
                <w:sz w:val="22"/>
              </w:rPr>
              <w:t>Cultura</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Asociación de</w:t>
            </w:r>
          </w:p>
        </w:tc>
        <w:tc>
          <w:tcPr>
            <w:tcW w:w="1135" w:type="dxa"/>
            <w:tcBorders>
              <w:bottom w:val="nil"/>
            </w:tcBorders>
            <w:shd w:val="clear" w:color="auto" w:fill="F9BE8F"/>
          </w:tcPr>
          <w:p>
            <w:pPr>
              <w:pStyle w:val="TableParagraph"/>
              <w:tabs>
                <w:tab w:pos="765" w:val="left" w:leader="none"/>
              </w:tabs>
              <w:spacing w:line="248" w:lineRule="exact"/>
              <w:rPr>
                <w:b/>
                <w:sz w:val="22"/>
              </w:rPr>
            </w:pPr>
            <w:r>
              <w:rPr>
                <w:b/>
                <w:sz w:val="22"/>
              </w:rPr>
              <w:t>Se</w:t>
              <w:tab/>
              <w:t>ha</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8" w:lineRule="exact"/>
              <w:rPr>
                <w:b/>
                <w:sz w:val="22"/>
              </w:rPr>
            </w:pPr>
            <w:r>
              <w:rPr>
                <w:b/>
                <w:sz w:val="22"/>
              </w:rPr>
              <w:t>¿Considera</w:t>
            </w:r>
          </w:p>
        </w:tc>
        <w:tc>
          <w:tcPr>
            <w:tcW w:w="1985" w:type="dxa"/>
            <w:tcBorders>
              <w:bottom w:val="nil"/>
            </w:tcBorders>
            <w:shd w:val="clear" w:color="auto" w:fill="92CDDC"/>
          </w:tcPr>
          <w:p>
            <w:pPr>
              <w:pStyle w:val="TableParagraph"/>
              <w:spacing w:line="248" w:lineRule="exact"/>
              <w:rPr>
                <w:b/>
                <w:sz w:val="22"/>
              </w:rPr>
            </w:pPr>
            <w:r>
              <w:rPr>
                <w:b/>
                <w:sz w:val="22"/>
              </w:rPr>
              <w:t>¿Cuándo</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Industriales y</w:t>
            </w:r>
          </w:p>
        </w:tc>
        <w:tc>
          <w:tcPr>
            <w:tcW w:w="1135" w:type="dxa"/>
            <w:tcBorders>
              <w:top w:val="nil"/>
              <w:bottom w:val="nil"/>
            </w:tcBorders>
            <w:shd w:val="clear" w:color="auto" w:fill="F9BE8F"/>
          </w:tcPr>
          <w:p>
            <w:pPr>
              <w:pStyle w:val="TableParagraph"/>
              <w:spacing w:line="241" w:lineRule="exact"/>
              <w:rPr>
                <w:b/>
                <w:sz w:val="22"/>
              </w:rPr>
            </w:pPr>
            <w:r>
              <w:rPr>
                <w:b/>
                <w:sz w:val="22"/>
              </w:rPr>
              <w:t>deterior</w:t>
            </w: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importante  la</w:t>
            </w:r>
          </w:p>
        </w:tc>
        <w:tc>
          <w:tcPr>
            <w:tcW w:w="1985" w:type="dxa"/>
            <w:tcBorders>
              <w:top w:val="nil"/>
              <w:bottom w:val="nil"/>
            </w:tcBorders>
            <w:shd w:val="clear" w:color="auto" w:fill="92CDDC"/>
          </w:tcPr>
          <w:p>
            <w:pPr>
              <w:pStyle w:val="TableParagraph"/>
              <w:tabs>
                <w:tab w:pos="1751" w:val="left" w:leader="none"/>
              </w:tabs>
              <w:spacing w:line="241" w:lineRule="exact"/>
              <w:rPr>
                <w:b/>
                <w:sz w:val="22"/>
              </w:rPr>
            </w:pPr>
            <w:r>
              <w:rPr>
                <w:b/>
                <w:sz w:val="22"/>
              </w:rPr>
              <w:t>empezó</w:t>
              <w:tab/>
              <w:t>a</w:t>
            </w:r>
          </w:p>
        </w:tc>
      </w:tr>
      <w:tr>
        <w:trPr>
          <w:trHeight w:val="254"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Comerciantes/</w:t>
            </w:r>
          </w:p>
        </w:tc>
        <w:tc>
          <w:tcPr>
            <w:tcW w:w="1135" w:type="dxa"/>
            <w:tcBorders>
              <w:top w:val="nil"/>
              <w:bottom w:val="nil"/>
            </w:tcBorders>
            <w:shd w:val="clear" w:color="auto" w:fill="F9BE8F"/>
          </w:tcPr>
          <w:p>
            <w:pPr>
              <w:pStyle w:val="TableParagraph"/>
              <w:tabs>
                <w:tab w:pos="839" w:val="left" w:leader="none"/>
              </w:tabs>
              <w:spacing w:line="242" w:lineRule="exact"/>
              <w:rPr>
                <w:b/>
                <w:sz w:val="22"/>
              </w:rPr>
            </w:pPr>
            <w:r>
              <w:rPr>
                <w:b/>
                <w:sz w:val="22"/>
              </w:rPr>
              <w:t>ado</w:t>
              <w:tab/>
              <w:t>la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3" w:val="left" w:leader="none"/>
              </w:tabs>
              <w:spacing w:line="242" w:lineRule="exact"/>
              <w:rPr>
                <w:b/>
                <w:sz w:val="22"/>
              </w:rPr>
            </w:pPr>
            <w:r>
              <w:rPr>
                <w:b/>
                <w:sz w:val="22"/>
              </w:rPr>
              <w:t>laguna</w:t>
              <w:tab/>
              <w:t>de</w:t>
            </w:r>
          </w:p>
        </w:tc>
        <w:tc>
          <w:tcPr>
            <w:tcW w:w="1985" w:type="dxa"/>
            <w:tcBorders>
              <w:top w:val="nil"/>
              <w:bottom w:val="nil"/>
            </w:tcBorders>
            <w:shd w:val="clear" w:color="auto" w:fill="92CDDC"/>
          </w:tcPr>
          <w:p>
            <w:pPr>
              <w:pStyle w:val="TableParagraph"/>
              <w:tabs>
                <w:tab w:pos="1691" w:val="left" w:leader="none"/>
              </w:tabs>
              <w:spacing w:line="242" w:lineRule="exact"/>
              <w:rPr>
                <w:b/>
                <w:sz w:val="22"/>
              </w:rPr>
            </w:pPr>
            <w:r>
              <w:rPr>
                <w:b/>
                <w:sz w:val="22"/>
              </w:rPr>
              <w:t>producir</w:t>
              <w:tab/>
              <w:t>el</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Número de</w:t>
            </w:r>
          </w:p>
        </w:tc>
        <w:tc>
          <w:tcPr>
            <w:tcW w:w="1135" w:type="dxa"/>
            <w:tcBorders>
              <w:top w:val="nil"/>
              <w:bottom w:val="nil"/>
            </w:tcBorders>
            <w:shd w:val="clear" w:color="auto" w:fill="F9BE8F"/>
          </w:tcPr>
          <w:p>
            <w:pPr>
              <w:pStyle w:val="TableParagraph"/>
              <w:spacing w:line="241" w:lineRule="exact"/>
              <w:rPr>
                <w:b/>
                <w:sz w:val="22"/>
              </w:rPr>
            </w:pPr>
            <w:r>
              <w:rPr>
                <w:b/>
                <w:sz w:val="22"/>
              </w:rPr>
              <w:t>laguna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Huapango</w:t>
            </w:r>
          </w:p>
        </w:tc>
        <w:tc>
          <w:tcPr>
            <w:tcW w:w="1985" w:type="dxa"/>
            <w:tcBorders>
              <w:top w:val="nil"/>
              <w:bottom w:val="nil"/>
            </w:tcBorders>
            <w:shd w:val="clear" w:color="auto" w:fill="92CDDC"/>
          </w:tcPr>
          <w:p>
            <w:pPr>
              <w:pStyle w:val="TableParagraph"/>
              <w:tabs>
                <w:tab w:pos="1094" w:val="left" w:leader="none"/>
                <w:tab w:pos="1552" w:val="left" w:leader="none"/>
              </w:tabs>
              <w:spacing w:line="241" w:lineRule="exact"/>
              <w:rPr>
                <w:b/>
                <w:sz w:val="22"/>
              </w:rPr>
            </w:pPr>
            <w:r>
              <w:rPr>
                <w:b/>
                <w:sz w:val="22"/>
              </w:rPr>
              <w:t>queso</w:t>
              <w:tab/>
              <w:t>y</w:t>
              <w:tab/>
              <w:t>los</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Integrantes</w:t>
            </w:r>
          </w:p>
        </w:tc>
        <w:tc>
          <w:tcPr>
            <w:tcW w:w="1135" w:type="dxa"/>
            <w:tcBorders>
              <w:top w:val="nil"/>
              <w:bottom w:val="nil"/>
            </w:tcBorders>
            <w:shd w:val="clear" w:color="auto" w:fill="F9BE8F"/>
          </w:tcPr>
          <w:p>
            <w:pPr>
              <w:pStyle w:val="TableParagraph"/>
              <w:spacing w:line="242" w:lineRule="exact"/>
              <w:rPr>
                <w:b/>
                <w:sz w:val="22"/>
              </w:rPr>
            </w:pPr>
            <w:r>
              <w:rPr>
                <w:b/>
                <w:sz w:val="22"/>
              </w:rPr>
              <w:t>de</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4" w:val="left" w:leader="none"/>
              </w:tabs>
              <w:spacing w:line="242" w:lineRule="exact"/>
              <w:rPr>
                <w:b/>
                <w:sz w:val="22"/>
              </w:rPr>
            </w:pPr>
            <w:r>
              <w:rPr>
                <w:b/>
                <w:sz w:val="22"/>
              </w:rPr>
              <w:t>para</w:t>
              <w:tab/>
              <w:t>su</w:t>
            </w:r>
          </w:p>
        </w:tc>
        <w:tc>
          <w:tcPr>
            <w:tcW w:w="1985" w:type="dxa"/>
            <w:tcBorders>
              <w:top w:val="nil"/>
              <w:bottom w:val="nil"/>
            </w:tcBorders>
            <w:shd w:val="clear" w:color="auto" w:fill="92CDDC"/>
          </w:tcPr>
          <w:p>
            <w:pPr>
              <w:pStyle w:val="TableParagraph"/>
              <w:spacing w:line="242" w:lineRule="exact"/>
              <w:rPr>
                <w:b/>
                <w:sz w:val="22"/>
              </w:rPr>
            </w:pPr>
            <w:r>
              <w:rPr>
                <w:b/>
                <w:sz w:val="22"/>
              </w:rPr>
              <w:t>lácteos?</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Style w:val="TableParagraph"/>
              <w:spacing w:line="241" w:lineRule="exact"/>
              <w:rPr>
                <w:b/>
                <w:sz w:val="22"/>
              </w:rPr>
            </w:pPr>
            <w:r>
              <w:rPr>
                <w:b/>
                <w:sz w:val="22"/>
              </w:rPr>
              <w:t>Huapan</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comunidad   y</w:t>
            </w:r>
          </w:p>
        </w:tc>
        <w:tc>
          <w:tcPr>
            <w:tcW w:w="1985" w:type="dxa"/>
            <w:tcBorders>
              <w:top w:val="nil"/>
              <w:bottom w:val="nil"/>
            </w:tcBorders>
            <w:shd w:val="clear" w:color="auto" w:fill="92CDDC"/>
          </w:tcPr>
          <w:p>
            <w:pPr/>
          </w:p>
        </w:tc>
      </w:tr>
      <w:tr>
        <w:trPr>
          <w:trHeight w:val="251"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Style w:val="TableParagraph"/>
              <w:spacing w:line="242" w:lineRule="exact"/>
              <w:rPr>
                <w:b/>
                <w:sz w:val="22"/>
              </w:rPr>
            </w:pPr>
            <w:r>
              <w:rPr>
                <w:b/>
                <w:sz w:val="22"/>
              </w:rPr>
              <w:t>go</w:t>
            </w: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2" w:lineRule="exact"/>
              <w:rPr>
                <w:b/>
                <w:sz w:val="22"/>
              </w:rPr>
            </w:pPr>
            <w:r>
              <w:rPr>
                <w:b/>
                <w:sz w:val="22"/>
              </w:rPr>
              <w:t>la región?</w:t>
            </w:r>
          </w:p>
        </w:tc>
        <w:tc>
          <w:tcPr>
            <w:tcW w:w="1985"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Armando</w:t>
            </w:r>
          </w:p>
        </w:tc>
        <w:tc>
          <w:tcPr>
            <w:tcW w:w="1418" w:type="dxa"/>
            <w:tcBorders>
              <w:bottom w:val="nil"/>
            </w:tcBorders>
          </w:tcPr>
          <w:p>
            <w:pPr>
              <w:pStyle w:val="TableParagraph"/>
              <w:spacing w:line="251" w:lineRule="exact"/>
              <w:ind w:left="100" w:right="101"/>
              <w:rPr>
                <w:sz w:val="22"/>
              </w:rPr>
            </w:pPr>
            <w:r>
              <w:rPr>
                <w:sz w:val="22"/>
              </w:rPr>
              <w:t>Producción</w:t>
            </w:r>
          </w:p>
        </w:tc>
        <w:tc>
          <w:tcPr>
            <w:tcW w:w="1841" w:type="dxa"/>
            <w:tcBorders>
              <w:bottom w:val="nil"/>
            </w:tcBorders>
          </w:tcPr>
          <w:p>
            <w:pPr>
              <w:pStyle w:val="TableParagraph"/>
              <w:spacing w:line="251" w:lineRule="exact"/>
              <w:ind w:left="100"/>
              <w:rPr>
                <w:sz w:val="22"/>
              </w:rPr>
            </w:pPr>
            <w:r>
              <w:rPr>
                <w:sz w:val="22"/>
              </w:rPr>
              <w:t>Unión de</w:t>
            </w:r>
          </w:p>
        </w:tc>
        <w:tc>
          <w:tcPr>
            <w:tcW w:w="1135" w:type="dxa"/>
            <w:tcBorders>
              <w:bottom w:val="nil"/>
            </w:tcBorders>
          </w:tcPr>
          <w:p>
            <w:pPr>
              <w:pStyle w:val="TableParagraph"/>
              <w:spacing w:line="251" w:lineRule="exact"/>
              <w:rPr>
                <w:sz w:val="22"/>
              </w:rPr>
            </w:pPr>
            <w:r>
              <w:rPr>
                <w:sz w:val="22"/>
              </w:rPr>
              <w:t>Administr</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Aculco</w:t>
            </w:r>
          </w:p>
        </w:tc>
        <w:tc>
          <w:tcPr>
            <w:tcW w:w="1133" w:type="dxa"/>
            <w:tcBorders>
              <w:bottom w:val="nil"/>
            </w:tcBorders>
          </w:tcPr>
          <w:p>
            <w:pPr>
              <w:pStyle w:val="TableParagraph"/>
              <w:spacing w:line="251" w:lineRule="exact"/>
              <w:ind w:left="100" w:right="52"/>
              <w:rPr>
                <w:sz w:val="22"/>
              </w:rPr>
            </w:pPr>
            <w:r>
              <w:rPr>
                <w:sz w:val="22"/>
              </w:rPr>
              <w:t>Aculco</w:t>
            </w:r>
          </w:p>
        </w:tc>
        <w:tc>
          <w:tcPr>
            <w:tcW w:w="1702" w:type="dxa"/>
            <w:tcBorders>
              <w:bottom w:val="nil"/>
            </w:tcBorders>
          </w:tcPr>
          <w:p>
            <w:pPr>
              <w:pStyle w:val="TableParagraph"/>
              <w:tabs>
                <w:tab w:pos="928" w:val="left" w:leader="none"/>
              </w:tabs>
              <w:spacing w:line="251" w:lineRule="exact"/>
              <w:rPr>
                <w:sz w:val="22"/>
              </w:rPr>
            </w:pPr>
            <w:r>
              <w:rPr>
                <w:sz w:val="22"/>
              </w:rPr>
              <w:t>La</w:t>
              <w:tab/>
              <w:t>laguna</w:t>
            </w:r>
          </w:p>
        </w:tc>
        <w:tc>
          <w:tcPr>
            <w:tcW w:w="1985" w:type="dxa"/>
            <w:tcBorders>
              <w:bottom w:val="nil"/>
            </w:tcBorders>
          </w:tcPr>
          <w:p>
            <w:pPr>
              <w:pStyle w:val="TableParagraph"/>
              <w:tabs>
                <w:tab w:pos="942" w:val="left" w:leader="none"/>
              </w:tabs>
              <w:spacing w:line="251" w:lineRule="exact"/>
              <w:rPr>
                <w:sz w:val="22"/>
              </w:rPr>
            </w:pPr>
            <w:r>
              <w:rPr>
                <w:sz w:val="22"/>
              </w:rPr>
              <w:t>No</w:t>
              <w:tab/>
              <w:t>recuerdo,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Alcántara</w:t>
            </w:r>
          </w:p>
        </w:tc>
        <w:tc>
          <w:tcPr>
            <w:tcW w:w="1418" w:type="dxa"/>
            <w:tcBorders>
              <w:top w:val="nil"/>
              <w:bottom w:val="nil"/>
            </w:tcBorders>
          </w:tcPr>
          <w:p>
            <w:pPr>
              <w:pStyle w:val="TableParagraph"/>
              <w:spacing w:line="241" w:lineRule="exact"/>
              <w:ind w:left="100" w:right="101"/>
              <w:rPr>
                <w:sz w:val="22"/>
              </w:rPr>
            </w:pPr>
            <w:r>
              <w:rPr>
                <w:sz w:val="22"/>
              </w:rPr>
              <w:t>de quesos</w:t>
            </w:r>
          </w:p>
        </w:tc>
        <w:tc>
          <w:tcPr>
            <w:tcW w:w="1841" w:type="dxa"/>
            <w:tcBorders>
              <w:top w:val="nil"/>
              <w:bottom w:val="nil"/>
            </w:tcBorders>
          </w:tcPr>
          <w:p>
            <w:pPr>
              <w:pStyle w:val="TableParagraph"/>
              <w:spacing w:line="241" w:lineRule="exact"/>
              <w:ind w:left="100"/>
              <w:rPr>
                <w:sz w:val="22"/>
              </w:rPr>
            </w:pPr>
            <w:r>
              <w:rPr>
                <w:sz w:val="22"/>
              </w:rPr>
              <w:t>Productores</w:t>
            </w:r>
          </w:p>
        </w:tc>
        <w:tc>
          <w:tcPr>
            <w:tcW w:w="1135" w:type="dxa"/>
            <w:tcBorders>
              <w:top w:val="nil"/>
              <w:bottom w:val="nil"/>
            </w:tcBorders>
          </w:tcPr>
          <w:p>
            <w:pPr>
              <w:pStyle w:val="TableParagraph"/>
              <w:spacing w:line="241" w:lineRule="exact"/>
              <w:rPr>
                <w:sz w:val="22"/>
              </w:rPr>
            </w:pPr>
            <w:r>
              <w:rPr>
                <w:sz w:val="22"/>
              </w:rPr>
              <w:t>ador</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1" w:lineRule="exact"/>
              <w:rPr>
                <w:sz w:val="22"/>
              </w:rPr>
            </w:pPr>
            <w:r>
              <w:rPr>
                <w:sz w:val="22"/>
              </w:rPr>
              <w:t>Huapango</w:t>
              <w:tab/>
              <w:t>es</w:t>
            </w:r>
          </w:p>
        </w:tc>
        <w:tc>
          <w:tcPr>
            <w:tcW w:w="1985" w:type="dxa"/>
            <w:tcBorders>
              <w:top w:val="nil"/>
              <w:bottom w:val="nil"/>
            </w:tcBorders>
          </w:tcPr>
          <w:p>
            <w:pPr>
              <w:pStyle w:val="TableParagraph"/>
              <w:tabs>
                <w:tab w:pos="856" w:val="left" w:leader="none"/>
                <w:tab w:pos="1395" w:val="left" w:leader="none"/>
              </w:tabs>
              <w:spacing w:line="241" w:lineRule="exact"/>
              <w:rPr>
                <w:sz w:val="22"/>
              </w:rPr>
            </w:pPr>
            <w:r>
              <w:rPr>
                <w:sz w:val="22"/>
              </w:rPr>
              <w:t>pero</w:t>
              <w:tab/>
              <w:t>ya</w:t>
              <w:tab/>
              <w:t>tiene</w:t>
            </w:r>
          </w:p>
        </w:tc>
      </w:tr>
      <w:tr>
        <w:trPr>
          <w:trHeight w:val="253" w:hRule="exact"/>
        </w:trPr>
        <w:tc>
          <w:tcPr>
            <w:tcW w:w="1385" w:type="dxa"/>
            <w:tcBorders>
              <w:top w:val="nil"/>
              <w:bottom w:val="nil"/>
            </w:tcBorders>
          </w:tcPr>
          <w:p>
            <w:pPr>
              <w:pStyle w:val="TableParagraph"/>
              <w:spacing w:line="242" w:lineRule="exact"/>
              <w:rPr>
                <w:sz w:val="22"/>
              </w:rPr>
            </w:pPr>
            <w:r>
              <w:rPr>
                <w:sz w:val="22"/>
              </w:rPr>
              <w:t>Mondragón</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Lácteos de</w:t>
            </w:r>
          </w:p>
        </w:tc>
        <w:tc>
          <w:tcPr>
            <w:tcW w:w="1135" w:type="dxa"/>
            <w:tcBorders>
              <w:top w:val="nil"/>
              <w:bottom w:val="nil"/>
            </w:tcBorders>
          </w:tcPr>
          <w:p>
            <w:pPr>
              <w:pStyle w:val="TableParagraph"/>
              <w:spacing w:line="242" w:lineRule="exact"/>
              <w:rPr>
                <w:sz w:val="22"/>
              </w:rPr>
            </w:pPr>
            <w:r>
              <w:rPr>
                <w:sz w:val="22"/>
              </w:rPr>
              <w:t>único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muy</w:t>
            </w:r>
          </w:p>
        </w:tc>
        <w:tc>
          <w:tcPr>
            <w:tcW w:w="1985" w:type="dxa"/>
            <w:tcBorders>
              <w:top w:val="nil"/>
              <w:bottom w:val="nil"/>
            </w:tcBorders>
          </w:tcPr>
          <w:p>
            <w:pPr>
              <w:pStyle w:val="TableParagraph"/>
              <w:spacing w:line="242" w:lineRule="exact"/>
              <w:rPr>
                <w:sz w:val="22"/>
              </w:rPr>
            </w:pPr>
            <w:r>
              <w:rPr>
                <w:sz w:val="22"/>
              </w:rPr>
              <w:t>mucho.</w:t>
            </w: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Aculco S.A.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importante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C.V</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line="242" w:lineRule="exact"/>
              <w:rPr>
                <w:sz w:val="22"/>
              </w:rPr>
            </w:pPr>
            <w:r>
              <w:rPr>
                <w:sz w:val="22"/>
              </w:rPr>
              <w:t>para</w:t>
              <w:tab/>
              <w:t>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(50 socios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comunidad</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3" w:lineRule="exact"/>
              <w:ind w:left="100"/>
              <w:rPr>
                <w:sz w:val="22"/>
              </w:rPr>
            </w:pPr>
            <w:r>
              <w:rPr>
                <w:sz w:val="22"/>
              </w:rPr>
              <w:t>Aculco)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porque  se usa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para   el   riego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7" w:val="left" w:leader="none"/>
              </w:tabs>
              <w:spacing w:line="241" w:lineRule="exact"/>
              <w:rPr>
                <w:sz w:val="22"/>
              </w:rPr>
            </w:pPr>
            <w:r>
              <w:rPr>
                <w:sz w:val="22"/>
              </w:rPr>
              <w:t>de</w:t>
              <w:tab/>
              <w:t>las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praderas </w:t>
            </w:r>
            <w:r>
              <w:rPr>
                <w:spacing w:val="55"/>
                <w:sz w:val="22"/>
              </w:rPr>
              <w:t> </w:t>
            </w:r>
            <w:r>
              <w:rPr>
                <w:sz w:val="22"/>
              </w:rPr>
              <w:t>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el   ganado.  El</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85" w:val="left" w:leader="none"/>
                <w:tab w:pos="1417" w:val="left" w:leader="none"/>
              </w:tabs>
              <w:spacing w:line="242" w:lineRule="exact"/>
              <w:rPr>
                <w:sz w:val="22"/>
              </w:rPr>
            </w:pPr>
            <w:r>
              <w:rPr>
                <w:sz w:val="22"/>
              </w:rPr>
              <w:t>agua</w:t>
              <w:tab/>
              <w:t>de</w:t>
              <w:tab/>
              <w:t>la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1" w:lineRule="exact"/>
              <w:rPr>
                <w:sz w:val="22"/>
              </w:rPr>
            </w:pPr>
            <w:r>
              <w:rPr>
                <w:sz w:val="22"/>
              </w:rPr>
              <w:t>laguna</w:t>
              <w:tab/>
              <w:t>se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4" w:val="left" w:leader="none"/>
              </w:tabs>
              <w:spacing w:line="241" w:lineRule="exact"/>
              <w:rPr>
                <w:sz w:val="22"/>
              </w:rPr>
            </w:pPr>
            <w:r>
              <w:rPr>
                <w:sz w:val="22"/>
              </w:rPr>
              <w:t>utiliza</w:t>
              <w:tab/>
              <w:t>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riego   en   una</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3" w:val="left" w:leader="none"/>
              </w:tabs>
              <w:spacing w:line="241" w:lineRule="exact"/>
              <w:rPr>
                <w:sz w:val="22"/>
              </w:rPr>
            </w:pPr>
            <w:r>
              <w:rPr>
                <w:sz w:val="22"/>
              </w:rPr>
              <w:t>extensión</w:t>
              <w:tab/>
              <w:t>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aproximadame</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38" w:val="left" w:leader="none"/>
              </w:tabs>
              <w:spacing w:line="241" w:lineRule="exact"/>
              <w:rPr>
                <w:sz w:val="22"/>
              </w:rPr>
            </w:pPr>
            <w:r>
              <w:rPr>
                <w:sz w:val="22"/>
              </w:rPr>
              <w:t>nte</w:t>
              <w:tab/>
              <w:t>5,000</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hectáreas</w:t>
              <w:tab/>
              <w:t>en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Aculco,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Polotitlán,  San</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Juan del Río  e</w:t>
            </w:r>
          </w:p>
        </w:tc>
        <w:tc>
          <w:tcPr>
            <w:tcW w:w="1985" w:type="dxa"/>
            <w:tcBorders>
              <w:top w:val="nil"/>
            </w:tcBorders>
          </w:tcPr>
          <w:p>
            <w:pPr/>
          </w:p>
        </w:tc>
      </w:tr>
    </w:tbl>
    <w:p>
      <w:pPr>
        <w:spacing w:after="0"/>
        <w:sectPr>
          <w:pgSz w:w="15840" w:h="12240" w:orient="landscape"/>
          <w:pgMar w:header="0" w:footer="943" w:top="1140" w:bottom="1200" w:left="1200" w:right="130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3298"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tabs>
                <w:tab w:pos="513" w:val="left" w:leader="none"/>
                <w:tab w:pos="618" w:val="left" w:leader="none"/>
                <w:tab w:pos="885" w:val="left" w:leader="none"/>
                <w:tab w:pos="1345" w:val="left" w:leader="none"/>
                <w:tab w:pos="1393" w:val="left" w:leader="none"/>
              </w:tabs>
              <w:ind w:right="98"/>
              <w:rPr>
                <w:sz w:val="22"/>
              </w:rPr>
            </w:pPr>
            <w:r>
              <w:rPr>
                <w:sz w:val="22"/>
              </w:rPr>
              <w:t>Hidalgo.</w:t>
              <w:tab/>
              <w:tab/>
              <w:t>El agua</w:t>
              <w:tab/>
              <w:tab/>
              <w:t>de</w:t>
              <w:tab/>
              <w:tab/>
              <w:t>la</w:t>
            </w:r>
            <w:r>
              <w:rPr>
                <w:w w:val="100"/>
                <w:sz w:val="22"/>
              </w:rPr>
              <w:t> </w:t>
            </w:r>
            <w:r>
              <w:rPr>
                <w:sz w:val="22"/>
              </w:rPr>
              <w:t>laguna Huapango juega un papel importante</w:t>
              <w:tab/>
              <w:t>en la</w:t>
              <w:tab/>
            </w:r>
            <w:r>
              <w:rPr>
                <w:spacing w:val="-1"/>
                <w:sz w:val="22"/>
              </w:rPr>
              <w:t>producción </w:t>
            </w:r>
            <w:r>
              <w:rPr>
                <w:sz w:val="22"/>
              </w:rPr>
              <w:t>de leche en la región porque sin</w:t>
              <w:tab/>
              <w:tab/>
              <w:t>agua</w:t>
              <w:tab/>
              <w:t>no hay siembra y sin pastura no hay</w:t>
            </w:r>
            <w:r>
              <w:rPr>
                <w:spacing w:val="-3"/>
                <w:sz w:val="22"/>
              </w:rPr>
              <w:t> </w:t>
            </w:r>
            <w:r>
              <w:rPr>
                <w:sz w:val="22"/>
              </w:rPr>
              <w:t>leche.</w:t>
            </w:r>
          </w:p>
        </w:tc>
        <w:tc>
          <w:tcPr>
            <w:tcW w:w="1985" w:type="dxa"/>
          </w:tcPr>
          <w:p>
            <w:pPr/>
          </w:p>
        </w:tc>
      </w:tr>
      <w:tr>
        <w:trPr>
          <w:trHeight w:val="2540" w:hRule="exact"/>
        </w:trPr>
        <w:tc>
          <w:tcPr>
            <w:tcW w:w="1385" w:type="dxa"/>
          </w:tcPr>
          <w:p>
            <w:pPr>
              <w:pStyle w:val="TableParagraph"/>
              <w:ind w:right="249"/>
              <w:rPr>
                <w:sz w:val="22"/>
              </w:rPr>
            </w:pPr>
            <w:r>
              <w:rPr>
                <w:sz w:val="22"/>
              </w:rPr>
              <w:t>Gregorio García Arregui (4/9/2014)</w:t>
            </w:r>
          </w:p>
        </w:tc>
        <w:tc>
          <w:tcPr>
            <w:tcW w:w="1418" w:type="dxa"/>
          </w:tcPr>
          <w:p>
            <w:pPr>
              <w:pStyle w:val="TableParagraph"/>
              <w:ind w:left="100" w:right="90"/>
              <w:rPr>
                <w:sz w:val="22"/>
              </w:rPr>
            </w:pPr>
            <w:r>
              <w:rPr>
                <w:sz w:val="22"/>
              </w:rPr>
              <w:t>Producción de quesos e Ingeniero Civil</w:t>
            </w:r>
          </w:p>
        </w:tc>
        <w:tc>
          <w:tcPr>
            <w:tcW w:w="1841" w:type="dxa"/>
          </w:tcPr>
          <w:p>
            <w:pPr>
              <w:pStyle w:val="TableParagraph"/>
              <w:tabs>
                <w:tab w:pos="1482" w:val="left" w:leader="none"/>
              </w:tabs>
              <w:ind w:left="100" w:right="99"/>
              <w:jc w:val="both"/>
              <w:rPr>
                <w:sz w:val="22"/>
              </w:rPr>
            </w:pPr>
            <w:r>
              <w:rPr>
                <w:sz w:val="22"/>
              </w:rPr>
              <w:t>Unión</w:t>
              <w:tab/>
              <w:t>de Productores de Leche</w:t>
              <w:tab/>
              <w:t>de Polotitlán  S.A. de</w:t>
            </w:r>
            <w:r>
              <w:rPr>
                <w:spacing w:val="-1"/>
                <w:sz w:val="22"/>
              </w:rPr>
              <w:t> </w:t>
            </w:r>
            <w:r>
              <w:rPr>
                <w:sz w:val="22"/>
              </w:rPr>
              <w:t>C.V.</w:t>
            </w:r>
          </w:p>
          <w:p>
            <w:pPr>
              <w:pStyle w:val="TableParagraph"/>
              <w:tabs>
                <w:tab w:pos="1617" w:val="left" w:leader="none"/>
              </w:tabs>
              <w:ind w:left="100" w:right="99"/>
              <w:jc w:val="both"/>
              <w:rPr>
                <w:sz w:val="22"/>
              </w:rPr>
            </w:pPr>
            <w:r>
              <w:rPr>
                <w:sz w:val="22"/>
              </w:rPr>
              <w:t>(97 socios de Aculco</w:t>
              <w:tab/>
              <w:t>y</w:t>
            </w:r>
          </w:p>
          <w:p>
            <w:pPr>
              <w:pStyle w:val="TableParagraph"/>
              <w:spacing w:line="252" w:lineRule="exact"/>
              <w:ind w:left="100"/>
              <w:jc w:val="both"/>
              <w:rPr>
                <w:sz w:val="22"/>
              </w:rPr>
            </w:pPr>
            <w:r>
              <w:rPr>
                <w:sz w:val="22"/>
              </w:rPr>
              <w:t>Polotitlán)</w:t>
            </w:r>
          </w:p>
        </w:tc>
        <w:tc>
          <w:tcPr>
            <w:tcW w:w="1135" w:type="dxa"/>
          </w:tcPr>
          <w:p>
            <w:pPr>
              <w:pStyle w:val="TableParagraph"/>
              <w:spacing w:line="242" w:lineRule="auto"/>
              <w:ind w:right="134"/>
              <w:rPr>
                <w:sz w:val="22"/>
              </w:rPr>
            </w:pPr>
            <w:r>
              <w:rPr>
                <w:sz w:val="22"/>
              </w:rPr>
              <w:t>Presiden te</w:t>
            </w:r>
          </w:p>
        </w:tc>
        <w:tc>
          <w:tcPr>
            <w:tcW w:w="991" w:type="dxa"/>
          </w:tcPr>
          <w:p>
            <w:pPr>
              <w:pStyle w:val="TableParagraph"/>
              <w:spacing w:line="242" w:lineRule="auto"/>
              <w:ind w:left="100" w:right="201"/>
              <w:rPr>
                <w:sz w:val="22"/>
              </w:rPr>
            </w:pPr>
            <w:r>
              <w:rPr>
                <w:sz w:val="22"/>
              </w:rPr>
              <w:t>Polotitl án</w:t>
            </w:r>
          </w:p>
        </w:tc>
        <w:tc>
          <w:tcPr>
            <w:tcW w:w="1277" w:type="dxa"/>
          </w:tcPr>
          <w:p>
            <w:pPr>
              <w:pStyle w:val="TableParagraph"/>
              <w:spacing w:line="251" w:lineRule="exact"/>
              <w:ind w:right="92"/>
              <w:rPr>
                <w:sz w:val="22"/>
              </w:rPr>
            </w:pPr>
            <w:r>
              <w:rPr>
                <w:sz w:val="22"/>
              </w:rPr>
              <w:t>Polotitlán</w:t>
            </w:r>
          </w:p>
        </w:tc>
        <w:tc>
          <w:tcPr>
            <w:tcW w:w="1133" w:type="dxa"/>
          </w:tcPr>
          <w:p>
            <w:pPr>
              <w:pStyle w:val="TableParagraph"/>
              <w:spacing w:line="251" w:lineRule="exact"/>
              <w:ind w:left="100" w:right="52"/>
              <w:rPr>
                <w:sz w:val="22"/>
              </w:rPr>
            </w:pPr>
            <w:r>
              <w:rPr>
                <w:sz w:val="22"/>
              </w:rPr>
              <w:t>Polotitlán</w:t>
            </w:r>
          </w:p>
        </w:tc>
        <w:tc>
          <w:tcPr>
            <w:tcW w:w="1702" w:type="dxa"/>
          </w:tcPr>
          <w:p>
            <w:pPr>
              <w:pStyle w:val="TableParagraph"/>
              <w:ind w:right="162"/>
              <w:rPr>
                <w:sz w:val="22"/>
              </w:rPr>
            </w:pPr>
            <w:r>
              <w:rPr>
                <w:sz w:val="22"/>
              </w:rPr>
              <w:t>La laguna de Huapango es importante para mi comunidad porque nos da agua para riego y abrevadero.</w:t>
            </w:r>
          </w:p>
        </w:tc>
        <w:tc>
          <w:tcPr>
            <w:tcW w:w="1985" w:type="dxa"/>
          </w:tcPr>
          <w:p>
            <w:pPr>
              <w:pStyle w:val="TableParagraph"/>
              <w:spacing w:line="251" w:lineRule="exact"/>
              <w:jc w:val="both"/>
              <w:rPr>
                <w:sz w:val="22"/>
              </w:rPr>
            </w:pPr>
            <w:r>
              <w:rPr>
                <w:sz w:val="22"/>
              </w:rPr>
              <w:t>Empezamos     </w:t>
            </w:r>
            <w:r>
              <w:rPr>
                <w:spacing w:val="56"/>
                <w:sz w:val="22"/>
              </w:rPr>
              <w:t> </w:t>
            </w:r>
            <w:r>
              <w:rPr>
                <w:sz w:val="22"/>
              </w:rPr>
              <w:t>a</w:t>
            </w:r>
          </w:p>
          <w:p>
            <w:pPr>
              <w:pStyle w:val="TableParagraph"/>
              <w:tabs>
                <w:tab w:pos="1593" w:val="left" w:leader="none"/>
              </w:tabs>
              <w:spacing w:before="1"/>
              <w:ind w:right="99"/>
              <w:jc w:val="both"/>
              <w:rPr>
                <w:sz w:val="22"/>
              </w:rPr>
            </w:pPr>
            <w:r>
              <w:rPr>
                <w:sz w:val="22"/>
              </w:rPr>
              <w:t>producir</w:t>
              <w:tab/>
              <w:t>los lácteos hace 35 años.</w:t>
            </w:r>
          </w:p>
        </w:tc>
      </w:tr>
      <w:tr>
        <w:trPr>
          <w:trHeight w:val="682" w:hRule="exact"/>
        </w:trPr>
        <w:tc>
          <w:tcPr>
            <w:tcW w:w="4645" w:type="dxa"/>
            <w:gridSpan w:val="3"/>
          </w:tcPr>
          <w:p>
            <w:pPr>
              <w:pStyle w:val="TableParagraph"/>
              <w:spacing w:before="10"/>
              <w:ind w:left="0"/>
              <w:rPr>
                <w:b/>
                <w:sz w:val="21"/>
              </w:rPr>
            </w:pPr>
          </w:p>
          <w:p>
            <w:pPr>
              <w:pStyle w:val="TableParagraph"/>
              <w:rPr>
                <w:sz w:val="22"/>
              </w:rPr>
            </w:pPr>
            <w:r>
              <w:rPr>
                <w:sz w:val="22"/>
              </w:rPr>
              <w:t>Maxilácteos S.A. de C.V. de Polotitlán</w:t>
            </w:r>
          </w:p>
        </w:tc>
        <w:tc>
          <w:tcPr>
            <w:tcW w:w="8223" w:type="dxa"/>
            <w:gridSpan w:val="6"/>
          </w:tcPr>
          <w:p>
            <w:pPr>
              <w:pStyle w:val="TableParagraph"/>
              <w:spacing w:before="10"/>
              <w:ind w:left="0"/>
              <w:rPr>
                <w:b/>
                <w:sz w:val="21"/>
              </w:rPr>
            </w:pPr>
          </w:p>
          <w:p>
            <w:pPr>
              <w:pStyle w:val="TableParagraph"/>
              <w:rPr>
                <w:sz w:val="22"/>
              </w:rPr>
            </w:pPr>
            <w:r>
              <w:rPr>
                <w:sz w:val="22"/>
              </w:rPr>
              <w:t>No accedieron a la entrevista por cuestiones de seguridad.</w:t>
            </w: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spacing w:after="7"/>
        <w:ind w:left="710" w:right="397"/>
      </w:pPr>
      <w:r>
        <w:rPr/>
        <w:t>Tabla 6.5.  Industriales y comerciantes de lácteos en los Municipios de Aculco y Polotitlán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71"/>
        <w:gridCol w:w="2410"/>
        <w:gridCol w:w="1702"/>
        <w:gridCol w:w="1985"/>
      </w:tblGrid>
      <w:tr>
        <w:trPr>
          <w:trHeight w:val="523" w:hRule="exact"/>
        </w:trPr>
        <w:tc>
          <w:tcPr>
            <w:tcW w:w="6771" w:type="dxa"/>
            <w:vMerge w:val="restart"/>
            <w:shd w:val="clear" w:color="auto" w:fill="F9BE8F"/>
          </w:tcPr>
          <w:p>
            <w:pPr>
              <w:pStyle w:val="TableParagraph"/>
              <w:spacing w:before="5"/>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5"/>
              <w:ind w:left="0"/>
              <w:rPr>
                <w:b/>
                <w:sz w:val="21"/>
              </w:rPr>
            </w:pPr>
          </w:p>
          <w:p>
            <w:pPr>
              <w:pStyle w:val="TableParagraph"/>
              <w:ind w:left="1404"/>
              <w:rPr>
                <w:b/>
                <w:sz w:val="22"/>
              </w:rPr>
            </w:pPr>
            <w:r>
              <w:rPr>
                <w:b/>
                <w:sz w:val="22"/>
              </w:rPr>
              <w:t>PRINCIPIOS DE GOBERNANZA</w:t>
            </w:r>
          </w:p>
        </w:tc>
      </w:tr>
      <w:tr>
        <w:trPr>
          <w:trHeight w:val="516" w:hRule="exact"/>
        </w:trPr>
        <w:tc>
          <w:tcPr>
            <w:tcW w:w="6771" w:type="dxa"/>
            <w:vMerge/>
            <w:shd w:val="clear" w:color="auto" w:fill="F9BE8F"/>
          </w:tcPr>
          <w:p>
            <w:pPr/>
          </w:p>
        </w:tc>
        <w:tc>
          <w:tcPr>
            <w:tcW w:w="2410" w:type="dxa"/>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Autogestión</w:t>
            </w:r>
          </w:p>
        </w:tc>
        <w:tc>
          <w:tcPr>
            <w:tcW w:w="1985" w:type="dxa"/>
            <w:shd w:val="clear" w:color="auto" w:fill="92CDDC"/>
          </w:tcPr>
          <w:p>
            <w:pPr>
              <w:pStyle w:val="TableParagraph"/>
              <w:spacing w:line="242" w:lineRule="auto"/>
              <w:ind w:right="239"/>
              <w:rPr>
                <w:b/>
                <w:i/>
                <w:sz w:val="22"/>
              </w:rPr>
            </w:pPr>
            <w:r>
              <w:rPr>
                <w:b/>
                <w:i/>
                <w:sz w:val="22"/>
              </w:rPr>
              <w:t>Gobernabilidad </w:t>
            </w:r>
            <w:r>
              <w:rPr>
                <w:b/>
                <w:i/>
                <w:sz w:val="22"/>
              </w:rPr>
              <w:t>y cooperación</w:t>
            </w:r>
          </w:p>
        </w:tc>
      </w:tr>
    </w:tbl>
    <w:p>
      <w:pPr>
        <w:spacing w:after="0" w:line="242" w:lineRule="auto"/>
        <w:rPr>
          <w:sz w:val="22"/>
        </w:rPr>
        <w:sectPr>
          <w:pgSz w:w="15840" w:h="12240" w:orient="landscape"/>
          <w:pgMar w:header="0" w:footer="943" w:top="1140" w:bottom="120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540" w:hRule="exact"/>
        </w:trPr>
        <w:tc>
          <w:tcPr>
            <w:tcW w:w="1385" w:type="dxa"/>
            <w:shd w:val="clear" w:color="auto" w:fill="F9BE8F"/>
          </w:tcPr>
          <w:p>
            <w:pPr>
              <w:pStyle w:val="TableParagraph"/>
              <w:ind w:right="205"/>
              <w:jc w:val="both"/>
              <w:rPr>
                <w:b/>
                <w:sz w:val="22"/>
              </w:rPr>
            </w:pPr>
            <w:r>
              <w:rPr>
                <w:b/>
                <w:sz w:val="22"/>
              </w:rPr>
              <w:t>Nombre y Fecha de Entrevista</w:t>
            </w:r>
          </w:p>
        </w:tc>
        <w:tc>
          <w:tcPr>
            <w:tcW w:w="1418" w:type="dxa"/>
            <w:shd w:val="clear" w:color="auto" w:fill="F9BE8F"/>
          </w:tcPr>
          <w:p>
            <w:pPr>
              <w:pStyle w:val="TableParagraph"/>
              <w:spacing w:line="252" w:lineRule="exact"/>
              <w:ind w:left="100" w:right="151"/>
              <w:rPr>
                <w:b/>
                <w:sz w:val="22"/>
              </w:rPr>
            </w:pPr>
            <w:r>
              <w:rPr>
                <w:b/>
                <w:sz w:val="22"/>
              </w:rPr>
              <w:t>Ocupacion es</w:t>
            </w:r>
          </w:p>
        </w:tc>
        <w:tc>
          <w:tcPr>
            <w:tcW w:w="1841" w:type="dxa"/>
            <w:shd w:val="clear" w:color="auto" w:fill="F9BE8F"/>
          </w:tcPr>
          <w:p>
            <w:pPr>
              <w:pStyle w:val="TableParagraph"/>
              <w:ind w:left="100" w:right="195"/>
              <w:rPr>
                <w:b/>
                <w:sz w:val="22"/>
              </w:rPr>
            </w:pPr>
            <w:r>
              <w:rPr>
                <w:b/>
                <w:sz w:val="22"/>
              </w:rPr>
              <w:t>Asociación de Industriales y Comerciantes/ Número de Integrantes</w:t>
            </w:r>
          </w:p>
        </w:tc>
        <w:tc>
          <w:tcPr>
            <w:tcW w:w="1135" w:type="dxa"/>
            <w:shd w:val="clear" w:color="auto" w:fill="F9BE8F"/>
          </w:tcPr>
          <w:p>
            <w:pPr>
              <w:pStyle w:val="TableParagraph"/>
              <w:spacing w:line="248" w:lineRule="exact"/>
              <w:rPr>
                <w:b/>
                <w:sz w:val="22"/>
              </w:rPr>
            </w:pPr>
            <w:r>
              <w:rPr>
                <w:b/>
                <w:sz w:val="22"/>
              </w:rPr>
              <w:t>Cargo</w:t>
            </w:r>
          </w:p>
        </w:tc>
        <w:tc>
          <w:tcPr>
            <w:tcW w:w="991" w:type="dxa"/>
            <w:shd w:val="clear" w:color="auto" w:fill="F9BE8F"/>
          </w:tcPr>
          <w:p>
            <w:pPr>
              <w:pStyle w:val="TableParagraph"/>
              <w:spacing w:line="252" w:lineRule="exact"/>
              <w:ind w:left="100" w:right="164"/>
              <w:rPr>
                <w:b/>
                <w:sz w:val="22"/>
              </w:rPr>
            </w:pPr>
            <w:r>
              <w:rPr>
                <w:b/>
                <w:sz w:val="22"/>
              </w:rPr>
              <w:t>Munici pio</w:t>
            </w:r>
          </w:p>
        </w:tc>
        <w:tc>
          <w:tcPr>
            <w:tcW w:w="1277" w:type="dxa"/>
            <w:shd w:val="clear" w:color="auto" w:fill="92CDDC"/>
          </w:tcPr>
          <w:p>
            <w:pPr>
              <w:pStyle w:val="TableParagraph"/>
              <w:spacing w:line="252" w:lineRule="exact"/>
              <w:ind w:right="325"/>
              <w:rPr>
                <w:b/>
                <w:sz w:val="22"/>
              </w:rPr>
            </w:pPr>
            <w:r>
              <w:rPr>
                <w:b/>
                <w:sz w:val="22"/>
              </w:rPr>
              <w:t>¿Dónde nació?</w:t>
            </w:r>
          </w:p>
        </w:tc>
        <w:tc>
          <w:tcPr>
            <w:tcW w:w="1133" w:type="dxa"/>
            <w:shd w:val="clear" w:color="auto" w:fill="92CDDC"/>
          </w:tcPr>
          <w:p>
            <w:pPr>
              <w:pStyle w:val="TableParagraph"/>
              <w:spacing w:line="252" w:lineRule="exact"/>
              <w:ind w:left="100" w:right="184"/>
              <w:rPr>
                <w:b/>
                <w:sz w:val="22"/>
              </w:rPr>
            </w:pPr>
            <w:r>
              <w:rPr>
                <w:b/>
                <w:sz w:val="22"/>
              </w:rPr>
              <w:t>¿Dónde vive?</w:t>
            </w:r>
          </w:p>
        </w:tc>
        <w:tc>
          <w:tcPr>
            <w:tcW w:w="1702" w:type="dxa"/>
            <w:shd w:val="clear" w:color="auto" w:fill="92CDDC"/>
          </w:tcPr>
          <w:p>
            <w:pPr>
              <w:pStyle w:val="TableParagraph"/>
              <w:tabs>
                <w:tab w:pos="1199" w:val="left" w:leader="none"/>
              </w:tabs>
              <w:ind w:right="98"/>
              <w:rPr>
                <w:b/>
                <w:sz w:val="22"/>
              </w:rPr>
            </w:pPr>
            <w:r>
              <w:rPr>
                <w:b/>
                <w:sz w:val="22"/>
              </w:rPr>
              <w:t>¿Es redituable su negocio/ cuántos trabajadores tiene/</w:t>
              <w:tab/>
              <w:t>qué productos elabora y qué comunidades abastece?</w:t>
            </w:r>
          </w:p>
        </w:tc>
        <w:tc>
          <w:tcPr>
            <w:tcW w:w="1985" w:type="dxa"/>
            <w:shd w:val="clear" w:color="auto" w:fill="92CDDC"/>
          </w:tcPr>
          <w:p>
            <w:pPr>
              <w:pStyle w:val="TableParagraph"/>
              <w:tabs>
                <w:tab w:pos="933" w:val="left" w:leader="none"/>
                <w:tab w:pos="1691" w:val="left" w:leader="none"/>
              </w:tabs>
              <w:spacing w:line="252" w:lineRule="exact"/>
              <w:ind w:right="99"/>
              <w:rPr>
                <w:b/>
                <w:sz w:val="22"/>
              </w:rPr>
            </w:pPr>
            <w:r>
              <w:rPr>
                <w:b/>
                <w:sz w:val="22"/>
              </w:rPr>
              <w:t>¿Qué</w:t>
              <w:tab/>
            </w:r>
            <w:r>
              <w:rPr>
                <w:b/>
                <w:spacing w:val="-1"/>
                <w:sz w:val="22"/>
              </w:rPr>
              <w:t>acciones </w:t>
            </w:r>
            <w:r>
              <w:rPr>
                <w:b/>
                <w:sz w:val="22"/>
              </w:rPr>
              <w:t>realiza</w:t>
              <w:tab/>
              <w:tab/>
              <w:t>el</w:t>
            </w:r>
          </w:p>
          <w:p>
            <w:pPr>
              <w:pStyle w:val="TableParagraph"/>
              <w:tabs>
                <w:tab w:pos="1350" w:val="left" w:leader="none"/>
                <w:tab w:pos="1409" w:val="left" w:leader="none"/>
                <w:tab w:pos="1686" w:val="left" w:leader="none"/>
              </w:tabs>
              <w:ind w:right="99"/>
              <w:rPr>
                <w:b/>
                <w:sz w:val="22"/>
              </w:rPr>
            </w:pPr>
            <w:r>
              <w:rPr>
                <w:b/>
                <w:sz w:val="22"/>
              </w:rPr>
              <w:t>presidente municipal</w:t>
              <w:tab/>
              <w:t>y</w:t>
              <w:tab/>
              <w:t>la Conagua</w:t>
              <w:tab/>
              <w:tab/>
              <w:t>para</w:t>
            </w:r>
          </w:p>
          <w:p>
            <w:pPr>
              <w:pStyle w:val="TableParagraph"/>
              <w:tabs>
                <w:tab w:pos="1689" w:val="left" w:leader="none"/>
              </w:tabs>
              <w:ind w:right="99"/>
              <w:rPr>
                <w:b/>
                <w:sz w:val="22"/>
              </w:rPr>
            </w:pPr>
            <w:r>
              <w:rPr>
                <w:b/>
                <w:sz w:val="22"/>
              </w:rPr>
              <w:t>proteger</w:t>
              <w:tab/>
              <w:t>la laguna?</w:t>
            </w:r>
          </w:p>
        </w:tc>
      </w:tr>
      <w:tr>
        <w:trPr>
          <w:trHeight w:val="267" w:hRule="exact"/>
        </w:trPr>
        <w:tc>
          <w:tcPr>
            <w:tcW w:w="1385" w:type="dxa"/>
            <w:tcBorders>
              <w:bottom w:val="nil"/>
            </w:tcBorders>
          </w:tcPr>
          <w:p>
            <w:pPr>
              <w:pStyle w:val="TableParagraph"/>
              <w:spacing w:line="251" w:lineRule="exact"/>
              <w:ind w:right="127"/>
              <w:rPr>
                <w:sz w:val="22"/>
              </w:rPr>
            </w:pPr>
            <w:r>
              <w:rPr>
                <w:sz w:val="22"/>
              </w:rPr>
              <w:t>Armando</w:t>
            </w:r>
          </w:p>
        </w:tc>
        <w:tc>
          <w:tcPr>
            <w:tcW w:w="1418" w:type="dxa"/>
            <w:tcBorders>
              <w:bottom w:val="nil"/>
            </w:tcBorders>
          </w:tcPr>
          <w:p>
            <w:pPr>
              <w:pStyle w:val="TableParagraph"/>
              <w:spacing w:line="251" w:lineRule="exact"/>
              <w:ind w:left="100" w:right="101"/>
              <w:rPr>
                <w:sz w:val="22"/>
              </w:rPr>
            </w:pPr>
            <w:r>
              <w:rPr>
                <w:sz w:val="22"/>
              </w:rPr>
              <w:t>Producción</w:t>
            </w:r>
          </w:p>
        </w:tc>
        <w:tc>
          <w:tcPr>
            <w:tcW w:w="1841" w:type="dxa"/>
            <w:tcBorders>
              <w:bottom w:val="nil"/>
            </w:tcBorders>
          </w:tcPr>
          <w:p>
            <w:pPr>
              <w:pStyle w:val="TableParagraph"/>
              <w:spacing w:line="251" w:lineRule="exact"/>
              <w:ind w:left="100"/>
              <w:rPr>
                <w:sz w:val="22"/>
              </w:rPr>
            </w:pPr>
            <w:r>
              <w:rPr>
                <w:sz w:val="22"/>
              </w:rPr>
              <w:t>Unión de</w:t>
            </w:r>
          </w:p>
        </w:tc>
        <w:tc>
          <w:tcPr>
            <w:tcW w:w="1135" w:type="dxa"/>
            <w:tcBorders>
              <w:bottom w:val="nil"/>
            </w:tcBorders>
          </w:tcPr>
          <w:p>
            <w:pPr>
              <w:pStyle w:val="TableParagraph"/>
              <w:spacing w:line="251" w:lineRule="exact"/>
              <w:rPr>
                <w:sz w:val="22"/>
              </w:rPr>
            </w:pPr>
            <w:r>
              <w:rPr>
                <w:sz w:val="22"/>
              </w:rPr>
              <w:t>Administr</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Aculco</w:t>
            </w:r>
          </w:p>
        </w:tc>
        <w:tc>
          <w:tcPr>
            <w:tcW w:w="1133" w:type="dxa"/>
            <w:tcBorders>
              <w:bottom w:val="nil"/>
            </w:tcBorders>
          </w:tcPr>
          <w:p>
            <w:pPr>
              <w:pStyle w:val="TableParagraph"/>
              <w:spacing w:line="251" w:lineRule="exact"/>
              <w:ind w:left="100" w:right="52"/>
              <w:rPr>
                <w:sz w:val="22"/>
              </w:rPr>
            </w:pPr>
            <w:r>
              <w:rPr>
                <w:sz w:val="22"/>
              </w:rPr>
              <w:t>Aculco</w:t>
            </w:r>
          </w:p>
        </w:tc>
        <w:tc>
          <w:tcPr>
            <w:tcW w:w="1702" w:type="dxa"/>
            <w:tcBorders>
              <w:bottom w:val="nil"/>
            </w:tcBorders>
          </w:tcPr>
          <w:p>
            <w:pPr>
              <w:pStyle w:val="TableParagraph"/>
              <w:tabs>
                <w:tab w:pos="903" w:val="left" w:leader="none"/>
              </w:tabs>
              <w:spacing w:line="251" w:lineRule="exact"/>
              <w:rPr>
                <w:sz w:val="22"/>
              </w:rPr>
            </w:pPr>
            <w:r>
              <w:rPr>
                <w:sz w:val="22"/>
              </w:rPr>
              <w:t>Claro!</w:t>
              <w:tab/>
              <w:t>porque</w:t>
            </w:r>
          </w:p>
        </w:tc>
        <w:tc>
          <w:tcPr>
            <w:tcW w:w="1985" w:type="dxa"/>
            <w:tcBorders>
              <w:bottom w:val="nil"/>
            </w:tcBorders>
          </w:tcPr>
          <w:p>
            <w:pPr>
              <w:pStyle w:val="TableParagraph"/>
              <w:spacing w:line="251" w:lineRule="exact"/>
              <w:rPr>
                <w:sz w:val="22"/>
              </w:rPr>
            </w:pPr>
            <w:r>
              <w:rPr>
                <w:sz w:val="22"/>
              </w:rPr>
              <w:t>No sé.</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Alcántara</w:t>
            </w:r>
          </w:p>
        </w:tc>
        <w:tc>
          <w:tcPr>
            <w:tcW w:w="1418" w:type="dxa"/>
            <w:tcBorders>
              <w:top w:val="nil"/>
              <w:bottom w:val="nil"/>
            </w:tcBorders>
          </w:tcPr>
          <w:p>
            <w:pPr>
              <w:pStyle w:val="TableParagraph"/>
              <w:spacing w:line="242" w:lineRule="exact"/>
              <w:ind w:left="100" w:right="101"/>
              <w:rPr>
                <w:sz w:val="22"/>
              </w:rPr>
            </w:pPr>
            <w:r>
              <w:rPr>
                <w:sz w:val="22"/>
              </w:rPr>
              <w:t>de quesos</w:t>
            </w:r>
          </w:p>
        </w:tc>
        <w:tc>
          <w:tcPr>
            <w:tcW w:w="1841" w:type="dxa"/>
            <w:tcBorders>
              <w:top w:val="nil"/>
              <w:bottom w:val="nil"/>
            </w:tcBorders>
          </w:tcPr>
          <w:p>
            <w:pPr>
              <w:pStyle w:val="TableParagraph"/>
              <w:spacing w:line="242" w:lineRule="exact"/>
              <w:ind w:left="100"/>
              <w:rPr>
                <w:sz w:val="22"/>
              </w:rPr>
            </w:pPr>
            <w:r>
              <w:rPr>
                <w:sz w:val="22"/>
              </w:rPr>
              <w:t>Productores</w:t>
            </w:r>
          </w:p>
        </w:tc>
        <w:tc>
          <w:tcPr>
            <w:tcW w:w="1135" w:type="dxa"/>
            <w:tcBorders>
              <w:top w:val="nil"/>
              <w:bottom w:val="nil"/>
            </w:tcBorders>
          </w:tcPr>
          <w:p>
            <w:pPr>
              <w:pStyle w:val="TableParagraph"/>
              <w:spacing w:line="242" w:lineRule="exact"/>
              <w:rPr>
                <w:sz w:val="22"/>
              </w:rPr>
            </w:pPr>
            <w:r>
              <w:rPr>
                <w:sz w:val="22"/>
              </w:rPr>
              <w:t>ador</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aunque son 50</w:t>
            </w:r>
          </w:p>
        </w:tc>
        <w:tc>
          <w:tcPr>
            <w:tcW w:w="1985"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rPr>
                <w:sz w:val="22"/>
              </w:rPr>
            </w:pPr>
            <w:r>
              <w:rPr>
                <w:sz w:val="22"/>
              </w:rPr>
              <w:t>Mondragón</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Lácteos de</w:t>
            </w:r>
          </w:p>
        </w:tc>
        <w:tc>
          <w:tcPr>
            <w:tcW w:w="1135" w:type="dxa"/>
            <w:tcBorders>
              <w:top w:val="nil"/>
              <w:bottom w:val="nil"/>
            </w:tcBorders>
          </w:tcPr>
          <w:p>
            <w:pPr>
              <w:pStyle w:val="TableParagraph"/>
              <w:spacing w:line="241" w:lineRule="exact"/>
              <w:rPr>
                <w:sz w:val="22"/>
              </w:rPr>
            </w:pPr>
            <w:r>
              <w:rPr>
                <w:sz w:val="22"/>
              </w:rPr>
              <w:t>único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8" w:val="left" w:leader="none"/>
              </w:tabs>
              <w:spacing w:line="241" w:lineRule="exact"/>
              <w:rPr>
                <w:sz w:val="22"/>
              </w:rPr>
            </w:pPr>
            <w:r>
              <w:rPr>
                <w:sz w:val="22"/>
              </w:rPr>
              <w:t>socios,</w:t>
              <w:tab/>
              <w:t>la</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Aculco S.A.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leche</w:t>
            </w:r>
            <w:r>
              <w:rPr>
                <w:spacing w:val="50"/>
                <w:sz w:val="22"/>
              </w:rPr>
              <w:t> </w:t>
            </w:r>
            <w:r>
              <w:rPr>
                <w:sz w:val="22"/>
              </w:rPr>
              <w:t>proviene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C.V</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como   de  250</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(50 socios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1" w:val="left" w:leader="none"/>
              </w:tabs>
              <w:spacing w:line="241" w:lineRule="exact"/>
              <w:rPr>
                <w:sz w:val="22"/>
              </w:rPr>
            </w:pPr>
            <w:r>
              <w:rPr>
                <w:sz w:val="22"/>
              </w:rPr>
              <w:t>familias</w:t>
              <w:tab/>
              <w:t>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Aculco)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22" w:val="left" w:leader="none"/>
              </w:tabs>
              <w:spacing w:line="242" w:lineRule="exact"/>
              <w:rPr>
                <w:sz w:val="22"/>
              </w:rPr>
            </w:pPr>
            <w:r>
              <w:rPr>
                <w:sz w:val="22"/>
              </w:rPr>
              <w:t>nos</w:t>
              <w:tab/>
              <w:t>entregan</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59" w:val="left" w:leader="none"/>
                <w:tab w:pos="1015" w:val="left" w:leader="none"/>
                <w:tab w:pos="1346" w:val="left" w:leader="none"/>
              </w:tabs>
              <w:spacing w:line="241" w:lineRule="exact"/>
              <w:rPr>
                <w:sz w:val="22"/>
              </w:rPr>
            </w:pPr>
            <w:r>
              <w:rPr>
                <w:sz w:val="22"/>
              </w:rPr>
              <w:t>de</w:t>
              <w:tab/>
              <w:t>15</w:t>
              <w:tab/>
              <w:t>a</w:t>
              <w:tab/>
              <w:t>20</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79" w:val="left" w:leader="none"/>
              </w:tabs>
              <w:spacing w:line="241" w:lineRule="exact"/>
              <w:rPr>
                <w:sz w:val="22"/>
              </w:rPr>
            </w:pPr>
            <w:r>
              <w:rPr>
                <w:sz w:val="22"/>
              </w:rPr>
              <w:t>litros</w:t>
              <w:tab/>
              <w:t>diarios,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36" w:val="left" w:leader="none"/>
                <w:tab w:pos="1221" w:val="left" w:leader="none"/>
              </w:tabs>
              <w:spacing w:line="242" w:lineRule="exact"/>
              <w:rPr>
                <w:sz w:val="22"/>
              </w:rPr>
            </w:pPr>
            <w:r>
              <w:rPr>
                <w:sz w:val="22"/>
              </w:rPr>
              <w:t>por</w:t>
              <w:tab/>
              <w:t>lo</w:t>
              <w:tab/>
              <w:t>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haciendo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35" w:val="left" w:leader="none"/>
              </w:tabs>
              <w:spacing w:line="242" w:lineRule="exact"/>
              <w:rPr>
                <w:sz w:val="22"/>
              </w:rPr>
            </w:pPr>
            <w:r>
              <w:rPr>
                <w:sz w:val="22"/>
              </w:rPr>
              <w:t>cuentas</w:t>
              <w:tab/>
              <w:t>con</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sus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integrantes  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52" w:val="left" w:leader="none"/>
              </w:tabs>
              <w:spacing w:line="242" w:lineRule="exact"/>
              <w:rPr>
                <w:sz w:val="22"/>
              </w:rPr>
            </w:pPr>
            <w:r>
              <w:rPr>
                <w:sz w:val="22"/>
              </w:rPr>
              <w:t>cada</w:t>
              <w:tab/>
              <w:t>familia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51" w:val="left" w:leader="none"/>
              </w:tabs>
              <w:spacing w:line="241" w:lineRule="exact"/>
              <w:rPr>
                <w:sz w:val="22"/>
              </w:rPr>
            </w:pPr>
            <w:r>
              <w:rPr>
                <w:sz w:val="22"/>
              </w:rPr>
              <w:t>son</w:t>
              <w:tab/>
              <w:t>como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28" w:val="left" w:leader="none"/>
              </w:tabs>
              <w:spacing w:line="242" w:lineRule="exact"/>
              <w:rPr>
                <w:sz w:val="22"/>
              </w:rPr>
            </w:pPr>
            <w:r>
              <w:rPr>
                <w:sz w:val="22"/>
              </w:rPr>
              <w:t>3,000</w:t>
              <w:tab/>
              <w:t>gentes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que vivimos de</w:t>
            </w:r>
          </w:p>
        </w:tc>
        <w:tc>
          <w:tcPr>
            <w:tcW w:w="1985" w:type="dxa"/>
            <w:tcBorders>
              <w:top w:val="nil"/>
              <w:bottom w:val="nil"/>
            </w:tcBorders>
          </w:tcPr>
          <w:p>
            <w:pP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esto.</w:t>
            </w:r>
          </w:p>
        </w:tc>
        <w:tc>
          <w:tcPr>
            <w:tcW w:w="1985" w:type="dxa"/>
            <w:tcBorders>
              <w:top w:val="nil"/>
              <w:bottom w:val="nil"/>
            </w:tcBorders>
          </w:tcPr>
          <w:p>
            <w:pPr/>
          </w:p>
        </w:tc>
      </w:tr>
      <w:tr>
        <w:trPr>
          <w:trHeight w:val="380"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68" w:val="left" w:leader="none"/>
              </w:tabs>
              <w:spacing w:before="115"/>
              <w:rPr>
                <w:sz w:val="22"/>
              </w:rPr>
            </w:pPr>
            <w:r>
              <w:rPr>
                <w:sz w:val="22"/>
              </w:rPr>
              <w:t>Producimos</w:t>
              <w:tab/>
              <w:t>7</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2" w:lineRule="exact"/>
              <w:rPr>
                <w:sz w:val="22"/>
              </w:rPr>
            </w:pPr>
            <w:r>
              <w:rPr>
                <w:sz w:val="22"/>
              </w:rPr>
              <w:t>toneladas</w:t>
              <w:tab/>
              <w:t>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queso   al  día,</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la  mayoría  es</w:t>
            </w:r>
          </w:p>
        </w:tc>
        <w:tc>
          <w:tcPr>
            <w:tcW w:w="1985" w:type="dxa"/>
            <w:tcBorders>
              <w:top w:val="nil"/>
            </w:tcBorders>
          </w:tcPr>
          <w:p>
            <w:pPr/>
          </w:p>
        </w:tc>
      </w:tr>
    </w:tbl>
    <w:p>
      <w:pPr>
        <w:spacing w:after="0"/>
        <w:sectPr>
          <w:footerReference w:type="default" r:id="rId181"/>
          <w:pgSz w:w="15840" w:h="12240" w:orient="landscape"/>
          <w:pgMar w:footer="943" w:header="0" w:top="1140" w:bottom="1140" w:left="1200" w:right="1300"/>
          <w:pgNumType w:start="25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6083"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tabs>
                <w:tab w:pos="1146" w:val="left" w:leader="none"/>
                <w:tab w:pos="1233" w:val="left" w:leader="none"/>
                <w:tab w:pos="1345" w:val="left" w:leader="none"/>
                <w:tab w:pos="1480" w:val="left" w:leader="none"/>
              </w:tabs>
              <w:ind w:right="98"/>
              <w:rPr>
                <w:sz w:val="22"/>
              </w:rPr>
            </w:pPr>
            <w:r>
              <w:rPr>
                <w:sz w:val="22"/>
              </w:rPr>
              <w:t>Oaxaca,</w:t>
              <w:tab/>
              <w:t>pero también</w:t>
              <w:tab/>
              <w:tab/>
              <w:t>tipo manchego, ranchero, panela, quesos preparados</w:t>
              <w:tab/>
              <w:tab/>
              <w:tab/>
              <w:t>y requesón.</w:t>
              <w:tab/>
              <w:tab/>
              <w:tab/>
              <w:t>La producción se va</w:t>
              <w:tab/>
              <w:t>para</w:t>
            </w:r>
          </w:p>
          <w:p>
            <w:pPr>
              <w:pStyle w:val="TableParagraph"/>
              <w:tabs>
                <w:tab w:pos="952" w:val="left" w:leader="none"/>
                <w:tab w:pos="1101" w:val="left" w:leader="none"/>
              </w:tabs>
              <w:ind w:right="98"/>
              <w:rPr>
                <w:sz w:val="22"/>
              </w:rPr>
            </w:pPr>
            <w:r>
              <w:rPr>
                <w:sz w:val="22"/>
              </w:rPr>
              <w:t>Toluca,</w:t>
              <w:tab/>
              <w:tab/>
            </w:r>
            <w:r>
              <w:rPr>
                <w:spacing w:val="-1"/>
                <w:sz w:val="22"/>
              </w:rPr>
              <w:t>Valle </w:t>
            </w:r>
            <w:r>
              <w:rPr>
                <w:sz w:val="22"/>
              </w:rPr>
              <w:t>de</w:t>
              <w:tab/>
              <w:t>Bravo, Malinalco, Ixtapan de la Sal, Ixtlahuaca, Atlacomulco, Amealco, San Juan del Río, Querétaro, Tecozahutla y D.F.,</w:t>
            </w:r>
          </w:p>
          <w:p>
            <w:pPr>
              <w:pStyle w:val="TableParagraph"/>
              <w:spacing w:line="252" w:lineRule="exact" w:before="1"/>
              <w:rPr>
                <w:sz w:val="22"/>
              </w:rPr>
            </w:pPr>
            <w:r>
              <w:rPr>
                <w:sz w:val="22"/>
              </w:rPr>
              <w:t>principalmente</w:t>
            </w:r>
          </w:p>
          <w:p>
            <w:pPr>
              <w:pStyle w:val="TableParagraph"/>
              <w:spacing w:line="252" w:lineRule="exact"/>
              <w:rPr>
                <w:sz w:val="22"/>
              </w:rPr>
            </w:pPr>
            <w:r>
              <w:rPr>
                <w:w w:val="100"/>
                <w:sz w:val="22"/>
              </w:rPr>
              <w:t>.</w:t>
            </w:r>
          </w:p>
        </w:tc>
        <w:tc>
          <w:tcPr>
            <w:tcW w:w="1985" w:type="dxa"/>
          </w:tcPr>
          <w:p>
            <w:pPr/>
          </w:p>
        </w:tc>
      </w:tr>
      <w:tr>
        <w:trPr>
          <w:trHeight w:val="2540" w:hRule="exact"/>
        </w:trPr>
        <w:tc>
          <w:tcPr>
            <w:tcW w:w="1385" w:type="dxa"/>
          </w:tcPr>
          <w:p>
            <w:pPr>
              <w:pStyle w:val="TableParagraph"/>
              <w:ind w:right="249"/>
              <w:rPr>
                <w:sz w:val="22"/>
              </w:rPr>
            </w:pPr>
            <w:r>
              <w:rPr>
                <w:sz w:val="22"/>
              </w:rPr>
              <w:t>Gregorio García Arregui (4/9/2014)</w:t>
            </w:r>
          </w:p>
        </w:tc>
        <w:tc>
          <w:tcPr>
            <w:tcW w:w="1418" w:type="dxa"/>
          </w:tcPr>
          <w:p>
            <w:pPr>
              <w:pStyle w:val="TableParagraph"/>
              <w:ind w:left="100" w:right="90"/>
              <w:rPr>
                <w:sz w:val="22"/>
              </w:rPr>
            </w:pPr>
            <w:r>
              <w:rPr>
                <w:sz w:val="22"/>
              </w:rPr>
              <w:t>Producción de quesos e Ingeniero Civil</w:t>
            </w:r>
          </w:p>
        </w:tc>
        <w:tc>
          <w:tcPr>
            <w:tcW w:w="1841" w:type="dxa"/>
          </w:tcPr>
          <w:p>
            <w:pPr>
              <w:pStyle w:val="TableParagraph"/>
              <w:tabs>
                <w:tab w:pos="1482" w:val="left" w:leader="none"/>
              </w:tabs>
              <w:ind w:left="100" w:right="99"/>
              <w:jc w:val="both"/>
              <w:rPr>
                <w:sz w:val="22"/>
              </w:rPr>
            </w:pPr>
            <w:r>
              <w:rPr>
                <w:sz w:val="22"/>
              </w:rPr>
              <w:t>Unión</w:t>
              <w:tab/>
              <w:t>de Productores de Leche</w:t>
              <w:tab/>
              <w:t>de Polotitlán  S.A. de</w:t>
            </w:r>
            <w:r>
              <w:rPr>
                <w:spacing w:val="-1"/>
                <w:sz w:val="22"/>
              </w:rPr>
              <w:t> </w:t>
            </w:r>
            <w:r>
              <w:rPr>
                <w:sz w:val="22"/>
              </w:rPr>
              <w:t>C.V.</w:t>
            </w:r>
          </w:p>
          <w:p>
            <w:pPr>
              <w:pStyle w:val="TableParagraph"/>
              <w:tabs>
                <w:tab w:pos="1617" w:val="left" w:leader="none"/>
              </w:tabs>
              <w:spacing w:before="1"/>
              <w:ind w:left="100" w:right="99"/>
              <w:jc w:val="both"/>
              <w:rPr>
                <w:sz w:val="22"/>
              </w:rPr>
            </w:pPr>
            <w:r>
              <w:rPr>
                <w:sz w:val="22"/>
              </w:rPr>
              <w:t>(97 socios de Aculco</w:t>
              <w:tab/>
              <w:t>y</w:t>
            </w:r>
          </w:p>
          <w:p>
            <w:pPr>
              <w:pStyle w:val="TableParagraph"/>
              <w:spacing w:before="1"/>
              <w:ind w:left="100"/>
              <w:jc w:val="both"/>
              <w:rPr>
                <w:sz w:val="22"/>
              </w:rPr>
            </w:pPr>
            <w:r>
              <w:rPr>
                <w:sz w:val="22"/>
              </w:rPr>
              <w:t>Polotitlán)</w:t>
            </w:r>
          </w:p>
        </w:tc>
        <w:tc>
          <w:tcPr>
            <w:tcW w:w="1135" w:type="dxa"/>
          </w:tcPr>
          <w:p>
            <w:pPr>
              <w:pStyle w:val="TableParagraph"/>
              <w:spacing w:line="252" w:lineRule="exact" w:before="2"/>
              <w:ind w:right="134"/>
              <w:rPr>
                <w:sz w:val="22"/>
              </w:rPr>
            </w:pPr>
            <w:r>
              <w:rPr>
                <w:sz w:val="22"/>
              </w:rPr>
              <w:t>Presiden te</w:t>
            </w:r>
          </w:p>
        </w:tc>
        <w:tc>
          <w:tcPr>
            <w:tcW w:w="991" w:type="dxa"/>
          </w:tcPr>
          <w:p>
            <w:pPr>
              <w:pStyle w:val="TableParagraph"/>
              <w:spacing w:line="252" w:lineRule="exact" w:before="2"/>
              <w:ind w:left="100" w:right="201"/>
              <w:rPr>
                <w:sz w:val="22"/>
              </w:rPr>
            </w:pPr>
            <w:r>
              <w:rPr>
                <w:sz w:val="22"/>
              </w:rPr>
              <w:t>Polotitl án</w:t>
            </w:r>
          </w:p>
        </w:tc>
        <w:tc>
          <w:tcPr>
            <w:tcW w:w="1277" w:type="dxa"/>
          </w:tcPr>
          <w:p>
            <w:pPr>
              <w:pStyle w:val="TableParagraph"/>
              <w:spacing w:line="251" w:lineRule="exact"/>
              <w:ind w:right="92"/>
              <w:rPr>
                <w:sz w:val="22"/>
              </w:rPr>
            </w:pPr>
            <w:r>
              <w:rPr>
                <w:sz w:val="22"/>
              </w:rPr>
              <w:t>Polotitlán</w:t>
            </w:r>
          </w:p>
        </w:tc>
        <w:tc>
          <w:tcPr>
            <w:tcW w:w="1133" w:type="dxa"/>
          </w:tcPr>
          <w:p>
            <w:pPr>
              <w:pStyle w:val="TableParagraph"/>
              <w:spacing w:line="251" w:lineRule="exact"/>
              <w:ind w:left="100" w:right="52"/>
              <w:rPr>
                <w:sz w:val="22"/>
              </w:rPr>
            </w:pPr>
            <w:r>
              <w:rPr>
                <w:sz w:val="22"/>
              </w:rPr>
              <w:t>Polotitlán</w:t>
            </w:r>
          </w:p>
        </w:tc>
        <w:tc>
          <w:tcPr>
            <w:tcW w:w="1702" w:type="dxa"/>
          </w:tcPr>
          <w:p>
            <w:pPr>
              <w:pStyle w:val="TableParagraph"/>
              <w:ind w:right="174"/>
              <w:rPr>
                <w:sz w:val="22"/>
              </w:rPr>
            </w:pPr>
            <w:r>
              <w:rPr>
                <w:sz w:val="22"/>
              </w:rPr>
              <w:t>El negocio es redituable porque somos 35</w:t>
            </w:r>
          </w:p>
          <w:p>
            <w:pPr>
              <w:pStyle w:val="TableParagraph"/>
              <w:ind w:right="174"/>
              <w:rPr>
                <w:sz w:val="22"/>
              </w:rPr>
            </w:pPr>
            <w:r>
              <w:rPr>
                <w:sz w:val="22"/>
              </w:rPr>
              <w:t>trabajadores y la cantidad de producción es de 11/2 toneladas diarias de</w:t>
            </w:r>
          </w:p>
        </w:tc>
        <w:tc>
          <w:tcPr>
            <w:tcW w:w="1985" w:type="dxa"/>
          </w:tcPr>
          <w:p>
            <w:pPr>
              <w:pStyle w:val="TableParagraph"/>
              <w:tabs>
                <w:tab w:pos="1557" w:val="left" w:leader="none"/>
              </w:tabs>
              <w:ind w:right="98"/>
              <w:jc w:val="both"/>
              <w:rPr>
                <w:sz w:val="22"/>
              </w:rPr>
            </w:pPr>
            <w:r>
              <w:rPr>
                <w:sz w:val="22"/>
              </w:rPr>
              <w:t>Abogan</w:t>
              <w:tab/>
            </w:r>
            <w:r>
              <w:rPr>
                <w:spacing w:val="-1"/>
                <w:sz w:val="22"/>
              </w:rPr>
              <w:t>por </w:t>
            </w:r>
            <w:r>
              <w:rPr>
                <w:sz w:val="22"/>
              </w:rPr>
              <w:t>nosotros para el riego.</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8361"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ind w:right="141"/>
              <w:rPr>
                <w:sz w:val="22"/>
              </w:rPr>
            </w:pPr>
            <w:r>
              <w:rPr>
                <w:sz w:val="22"/>
              </w:rPr>
              <w:t>queso en ocho variedades: chihuahua, oaxaca, manchego, panela, botanero, asadero, ranchero, molido, crema y mantequilla. Las localidades que se abastecen con nuestro producto son: Distrito Federal (4 delegaciones: Gustavo A. Madero, Miguel Hidalgo, Ixtapalapa y Álvaro Obregón), Querétaro, Toluca, Metepec, San Juan del </w:t>
            </w:r>
            <w:r>
              <w:rPr>
                <w:spacing w:val="-2"/>
                <w:sz w:val="22"/>
              </w:rPr>
              <w:t>Río </w:t>
            </w:r>
            <w:r>
              <w:rPr>
                <w:sz w:val="22"/>
              </w:rPr>
              <w:t>y </w:t>
            </w:r>
            <w:r>
              <w:rPr>
                <w:spacing w:val="-1"/>
                <w:sz w:val="22"/>
              </w:rPr>
              <w:t>Tequisquiapan</w:t>
            </w:r>
          </w:p>
          <w:p>
            <w:pPr>
              <w:pStyle w:val="TableParagraph"/>
              <w:spacing w:line="252" w:lineRule="exact"/>
              <w:rPr>
                <w:sz w:val="22"/>
              </w:rPr>
            </w:pPr>
            <w:r>
              <w:rPr>
                <w:w w:val="100"/>
                <w:sz w:val="22"/>
              </w:rPr>
              <w:t>.</w:t>
            </w:r>
          </w:p>
        </w:tc>
        <w:tc>
          <w:tcPr>
            <w:tcW w:w="1985" w:type="dxa"/>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5"/>
        <w:rPr>
          <w:rFonts w:ascii="Times New Roman"/>
          <w:sz w:val="28"/>
        </w:rPr>
      </w:pPr>
    </w:p>
    <w:p>
      <w:pPr>
        <w:pStyle w:val="BodyText"/>
        <w:ind w:left="105"/>
        <w:rPr>
          <w:rFonts w:ascii="Times New Roman"/>
          <w:sz w:val="20"/>
        </w:rPr>
      </w:pPr>
      <w:r>
        <w:rPr>
          <w:rFonts w:ascii="Times New Roman"/>
          <w:sz w:val="20"/>
        </w:rPr>
        <w:pict>
          <v:group style="width:643.950pt;height:35.1pt;mso-position-horizontal-relative:char;mso-position-vertical-relative:line" coordorigin="0,0" coordsize="12879,702">
            <v:line style="position:absolute" from="10,10" to="4645,10" stroked="true" strokeweight=".48pt" strokecolor="#000000"/>
            <v:line style="position:absolute" from="4655,10" to="12869,10" stroked="true" strokeweight=".48pt" strokecolor="#000000"/>
            <v:line style="position:absolute" from="5,5" to="5,696" stroked="true" strokeweight=".48pt" strokecolor="#000000"/>
            <v:line style="position:absolute" from="10,691" to="4645,691" stroked="true" strokeweight=".48pt" strokecolor="#000000"/>
            <v:line style="position:absolute" from="4650,5" to="4650,696" stroked="true" strokeweight=".47998pt" strokecolor="#000000"/>
            <v:line style="position:absolute" from="4655,691" to="12869,691" stroked="true" strokeweight=".48pt" strokecolor="#000000"/>
            <v:line style="position:absolute" from="12873,5" to="12873,696" stroked="true" strokeweight=".48004pt" strokecolor="#000000"/>
            <v:shape style="position:absolute;left:5;top:10;width:4645;height:682" type="#_x0000_t202" filled="false" stroked="false">
              <v:textbox inset="0,0,0,0">
                <w:txbxContent>
                  <w:p>
                    <w:pPr>
                      <w:spacing w:line="240" w:lineRule="auto" w:before="1"/>
                      <w:rPr>
                        <w:rFonts w:ascii="Times New Roman"/>
                        <w:sz w:val="22"/>
                      </w:rPr>
                    </w:pPr>
                  </w:p>
                  <w:p>
                    <w:pPr>
                      <w:spacing w:before="0"/>
                      <w:ind w:left="107" w:right="0" w:firstLine="0"/>
                      <w:jc w:val="left"/>
                      <w:rPr>
                        <w:sz w:val="22"/>
                      </w:rPr>
                    </w:pPr>
                    <w:r>
                      <w:rPr>
                        <w:sz w:val="22"/>
                      </w:rPr>
                      <w:t>Maxilácteos S.A. de C.V. de Polotitlán</w:t>
                    </w:r>
                  </w:p>
                </w:txbxContent>
              </v:textbox>
              <w10:wrap type="none"/>
            </v:shape>
            <v:shape style="position:absolute;left:4650;top:10;width:8224;height:682" type="#_x0000_t202" filled="false" stroked="false">
              <v:textbox inset="0,0,0,0">
                <w:txbxContent>
                  <w:p>
                    <w:pPr>
                      <w:spacing w:line="240" w:lineRule="auto" w:before="1"/>
                      <w:rPr>
                        <w:rFonts w:ascii="Times New Roman"/>
                        <w:sz w:val="22"/>
                      </w:rPr>
                    </w:pPr>
                  </w:p>
                  <w:p>
                    <w:pPr>
                      <w:spacing w:before="0"/>
                      <w:ind w:left="108" w:right="0" w:firstLine="0"/>
                      <w:jc w:val="left"/>
                      <w:rPr>
                        <w:sz w:val="22"/>
                      </w:rPr>
                    </w:pPr>
                    <w:r>
                      <w:rPr>
                        <w:sz w:val="22"/>
                      </w:rPr>
                      <w:t>No accedieron a la entrevista por cuestiones de seguridad.</w:t>
                    </w:r>
                  </w:p>
                </w:txbxContent>
              </v:textbox>
              <w10:wrap type="none"/>
            </v:shape>
          </v:group>
        </w:pict>
      </w:r>
      <w:r>
        <w:rPr>
          <w:rFonts w:ascii="Times New Roman"/>
          <w:sz w:val="20"/>
        </w:rPr>
      </w:r>
    </w:p>
    <w:p>
      <w:pPr>
        <w:pStyle w:val="BodyText"/>
        <w:spacing w:line="214"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710" w:right="397"/>
      </w:pPr>
      <w:r>
        <w:rPr/>
        <w:t>Tabla 6.5.  Industriales y comerciantes de lácteos en los Municipios de Aculco y Polotitlán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771"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ind w:left="532"/>
              <w:rPr>
                <w:b/>
                <w:i/>
                <w:sz w:val="22"/>
              </w:rPr>
            </w:pPr>
            <w:r>
              <w:rPr>
                <w:b/>
                <w:i/>
                <w:sz w:val="22"/>
              </w:rPr>
              <w:t>Poder</w:t>
            </w:r>
          </w:p>
        </w:tc>
        <w:tc>
          <w:tcPr>
            <w:tcW w:w="1985" w:type="dxa"/>
            <w:shd w:val="clear" w:color="auto" w:fill="92CDDC"/>
          </w:tcPr>
          <w:p>
            <w:pPr>
              <w:pStyle w:val="TableParagraph"/>
              <w:tabs>
                <w:tab w:pos="712" w:val="left" w:leader="none"/>
              </w:tabs>
              <w:ind w:right="99"/>
              <w:rPr>
                <w:b/>
                <w:i/>
                <w:sz w:val="22"/>
              </w:rPr>
            </w:pPr>
            <w:r>
              <w:rPr>
                <w:b/>
                <w:i/>
                <w:sz w:val="22"/>
              </w:rPr>
              <w:t>Gobernabilidad </w:t>
            </w:r>
            <w:r>
              <w:rPr>
                <w:b/>
                <w:i/>
                <w:sz w:val="22"/>
              </w:rPr>
              <w:t>y</w:t>
              <w:tab/>
            </w:r>
            <w:r>
              <w:rPr>
                <w:b/>
                <w:i/>
                <w:spacing w:val="-1"/>
                <w:sz w:val="22"/>
              </w:rPr>
              <w:t>Relaciones </w:t>
            </w:r>
            <w:r>
              <w:rPr>
                <w:b/>
                <w:i/>
                <w:sz w:val="22"/>
              </w:rPr>
              <w:t>Intermunicipales</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Asociación de</w:t>
            </w:r>
          </w:p>
        </w:tc>
        <w:tc>
          <w:tcPr>
            <w:tcW w:w="1135" w:type="dxa"/>
            <w:tcBorders>
              <w:bottom w:val="nil"/>
            </w:tcBorders>
            <w:shd w:val="clear" w:color="auto" w:fill="F9BE8F"/>
          </w:tcPr>
          <w:p>
            <w:pPr>
              <w:pStyle w:val="TableParagraph"/>
              <w:spacing w:line="248" w:lineRule="exact"/>
              <w:rPr>
                <w:b/>
                <w:sz w:val="22"/>
              </w:rPr>
            </w:pPr>
            <w:r>
              <w:rPr>
                <w:b/>
                <w:sz w:val="22"/>
              </w:rPr>
              <w:t>Cargo</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8" w:lineRule="exact"/>
              <w:rPr>
                <w:b/>
                <w:sz w:val="22"/>
              </w:rPr>
            </w:pPr>
            <w:r>
              <w:rPr>
                <w:b/>
                <w:sz w:val="22"/>
              </w:rPr>
              <w:t>¿Existen</w:t>
            </w:r>
          </w:p>
        </w:tc>
        <w:tc>
          <w:tcPr>
            <w:tcW w:w="1985" w:type="dxa"/>
            <w:tcBorders>
              <w:bottom w:val="nil"/>
            </w:tcBorders>
            <w:shd w:val="clear" w:color="auto" w:fill="92CDDC"/>
          </w:tcPr>
          <w:p>
            <w:pPr>
              <w:pStyle w:val="TableParagraph"/>
              <w:spacing w:line="248" w:lineRule="exact"/>
              <w:rPr>
                <w:b/>
                <w:sz w:val="22"/>
              </w:rPr>
            </w:pPr>
            <w:r>
              <w:rPr>
                <w:b/>
                <w:sz w:val="22"/>
              </w:rPr>
              <w:t>¿Considera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Industriales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problemas</w:t>
            </w:r>
          </w:p>
        </w:tc>
        <w:tc>
          <w:tcPr>
            <w:tcW w:w="1985" w:type="dxa"/>
            <w:tcBorders>
              <w:top w:val="nil"/>
              <w:bottom w:val="nil"/>
            </w:tcBorders>
            <w:shd w:val="clear" w:color="auto" w:fill="92CDDC"/>
          </w:tcPr>
          <w:p>
            <w:pPr>
              <w:pStyle w:val="TableParagraph"/>
              <w:tabs>
                <w:tab w:pos="1482" w:val="left" w:leader="none"/>
              </w:tabs>
              <w:spacing w:line="241" w:lineRule="exact"/>
              <w:rPr>
                <w:b/>
                <w:sz w:val="22"/>
              </w:rPr>
            </w:pPr>
            <w:r>
              <w:rPr>
                <w:b/>
                <w:sz w:val="22"/>
              </w:rPr>
              <w:t>apropiado</w:t>
              <w:tab/>
              <w:t>que</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Comerciantes/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676" w:val="left" w:leader="none"/>
                <w:tab w:pos="1076" w:val="left" w:leader="none"/>
              </w:tabs>
              <w:spacing w:line="242" w:lineRule="exact"/>
              <w:rPr>
                <w:b/>
                <w:sz w:val="22"/>
              </w:rPr>
            </w:pPr>
            <w:r>
              <w:rPr>
                <w:b/>
                <w:sz w:val="22"/>
              </w:rPr>
              <w:t>por</w:t>
              <w:tab/>
              <w:t>el</w:t>
              <w:tab/>
              <w:t>agua</w:t>
            </w:r>
          </w:p>
        </w:tc>
        <w:tc>
          <w:tcPr>
            <w:tcW w:w="1985" w:type="dxa"/>
            <w:tcBorders>
              <w:top w:val="nil"/>
              <w:bottom w:val="nil"/>
            </w:tcBorders>
            <w:shd w:val="clear" w:color="auto" w:fill="92CDDC"/>
          </w:tcPr>
          <w:p>
            <w:pPr>
              <w:pStyle w:val="TableParagraph"/>
              <w:spacing w:line="242" w:lineRule="exact"/>
              <w:rPr>
                <w:b/>
                <w:sz w:val="22"/>
              </w:rPr>
            </w:pPr>
            <w:r>
              <w:rPr>
                <w:b/>
                <w:sz w:val="22"/>
              </w:rPr>
              <w:t>exista un Comité</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271" w:val="left" w:leader="none"/>
              </w:tabs>
              <w:spacing w:line="241" w:lineRule="exact"/>
              <w:rPr>
                <w:b/>
                <w:sz w:val="22"/>
              </w:rPr>
            </w:pPr>
            <w:r>
              <w:rPr>
                <w:b/>
                <w:sz w:val="22"/>
              </w:rPr>
              <w:t>entre</w:t>
              <w:tab/>
              <w:t>los</w:t>
            </w:r>
          </w:p>
        </w:tc>
        <w:tc>
          <w:tcPr>
            <w:tcW w:w="1985" w:type="dxa"/>
            <w:tcBorders>
              <w:top w:val="nil"/>
              <w:bottom w:val="nil"/>
            </w:tcBorders>
            <w:shd w:val="clear" w:color="auto" w:fill="92CDDC"/>
          </w:tcPr>
          <w:p>
            <w:pPr>
              <w:pStyle w:val="TableParagraph"/>
              <w:spacing w:line="241" w:lineRule="exact"/>
              <w:rPr>
                <w:b/>
                <w:sz w:val="22"/>
              </w:rPr>
            </w:pPr>
            <w:r>
              <w:rPr>
                <w:b/>
                <w:sz w:val="22"/>
              </w:rPr>
              <w:t>Intermunicipal</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habitantes  de</w:t>
            </w:r>
          </w:p>
        </w:tc>
        <w:tc>
          <w:tcPr>
            <w:tcW w:w="1985" w:type="dxa"/>
            <w:tcBorders>
              <w:top w:val="nil"/>
              <w:bottom w:val="nil"/>
            </w:tcBorders>
            <w:shd w:val="clear" w:color="auto" w:fill="92CDDC"/>
          </w:tcPr>
          <w:p>
            <w:pPr>
              <w:pStyle w:val="TableParagraph"/>
              <w:tabs>
                <w:tab w:pos="1617" w:val="left" w:leader="none"/>
              </w:tabs>
              <w:spacing w:line="241" w:lineRule="exact"/>
              <w:rPr>
                <w:b/>
                <w:sz w:val="22"/>
              </w:rPr>
            </w:pPr>
            <w:r>
              <w:rPr>
                <w:b/>
                <w:sz w:val="22"/>
              </w:rPr>
              <w:t>con</w:t>
              <w:tab/>
              <w:t>su</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673" w:val="left" w:leader="none"/>
              </w:tabs>
              <w:spacing w:line="242" w:lineRule="exact"/>
              <w:rPr>
                <w:b/>
                <w:sz w:val="22"/>
              </w:rPr>
            </w:pPr>
            <w:r>
              <w:rPr>
                <w:b/>
                <w:sz w:val="22"/>
              </w:rPr>
              <w:t>los</w:t>
              <w:tab/>
              <w:t>distintos</w:t>
            </w:r>
          </w:p>
        </w:tc>
        <w:tc>
          <w:tcPr>
            <w:tcW w:w="1985" w:type="dxa"/>
            <w:tcBorders>
              <w:top w:val="nil"/>
              <w:bottom w:val="nil"/>
            </w:tcBorders>
            <w:shd w:val="clear" w:color="auto" w:fill="92CDDC"/>
          </w:tcPr>
          <w:p>
            <w:pPr>
              <w:pStyle w:val="TableParagraph"/>
              <w:spacing w:line="242" w:lineRule="exact"/>
              <w:rPr>
                <w:b/>
                <w:sz w:val="22"/>
              </w:rPr>
            </w:pPr>
            <w:r>
              <w:rPr>
                <w:b/>
                <w:sz w:val="22"/>
              </w:rPr>
              <w:t>Reglamento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municipios</w:t>
            </w:r>
          </w:p>
        </w:tc>
        <w:tc>
          <w:tcPr>
            <w:tcW w:w="1985" w:type="dxa"/>
            <w:tcBorders>
              <w:top w:val="nil"/>
              <w:bottom w:val="nil"/>
            </w:tcBorders>
            <w:shd w:val="clear" w:color="auto" w:fill="92CDDC"/>
          </w:tcPr>
          <w:p>
            <w:pPr>
              <w:pStyle w:val="TableParagraph"/>
              <w:tabs>
                <w:tab w:pos="904" w:val="left" w:leader="none"/>
                <w:tab w:pos="1422" w:val="left" w:leader="none"/>
              </w:tabs>
              <w:spacing w:line="241" w:lineRule="exact"/>
              <w:rPr>
                <w:b/>
                <w:sz w:val="22"/>
              </w:rPr>
            </w:pPr>
            <w:r>
              <w:rPr>
                <w:b/>
                <w:sz w:val="22"/>
              </w:rPr>
              <w:t>para</w:t>
              <w:tab/>
              <w:t>el</w:t>
              <w:tab/>
              <w:t>uso,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3" w:lineRule="exact"/>
              <w:rPr>
                <w:b/>
                <w:sz w:val="22"/>
              </w:rPr>
            </w:pPr>
            <w:r>
              <w:rPr>
                <w:b/>
                <w:sz w:val="22"/>
              </w:rPr>
              <w:t>que   colindan</w:t>
            </w:r>
          </w:p>
        </w:tc>
        <w:tc>
          <w:tcPr>
            <w:tcW w:w="1985" w:type="dxa"/>
            <w:tcBorders>
              <w:top w:val="nil"/>
              <w:bottom w:val="nil"/>
            </w:tcBorders>
            <w:shd w:val="clear" w:color="auto" w:fill="92CDDC"/>
          </w:tcPr>
          <w:p>
            <w:pPr>
              <w:pStyle w:val="TableParagraph"/>
              <w:tabs>
                <w:tab w:pos="1751" w:val="left" w:leader="none"/>
              </w:tabs>
              <w:spacing w:line="243" w:lineRule="exact"/>
              <w:rPr>
                <w:b/>
                <w:sz w:val="22"/>
              </w:rPr>
            </w:pPr>
            <w:r>
              <w:rPr>
                <w:b/>
                <w:sz w:val="22"/>
              </w:rPr>
              <w:t>cuidado</w:t>
              <w:tab/>
              <w:t>y</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con  la laguna</w:t>
            </w:r>
          </w:p>
        </w:tc>
        <w:tc>
          <w:tcPr>
            <w:tcW w:w="1985" w:type="dxa"/>
            <w:tcBorders>
              <w:top w:val="nil"/>
              <w:bottom w:val="nil"/>
            </w:tcBorders>
            <w:shd w:val="clear" w:color="auto" w:fill="92CDDC"/>
          </w:tcPr>
          <w:p>
            <w:pPr>
              <w:pStyle w:val="TableParagraph"/>
              <w:tabs>
                <w:tab w:pos="1185" w:val="left" w:leader="none"/>
                <w:tab w:pos="1688" w:val="left" w:leader="none"/>
              </w:tabs>
              <w:spacing w:line="241" w:lineRule="exact"/>
              <w:rPr>
                <w:b/>
                <w:sz w:val="22"/>
              </w:rPr>
            </w:pPr>
            <w:r>
              <w:rPr>
                <w:b/>
                <w:sz w:val="22"/>
              </w:rPr>
              <w:t>defensa</w:t>
              <w:tab/>
              <w:t>de</w:t>
              <w:tab/>
              <w:t>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Huapango?</w:t>
            </w:r>
          </w:p>
        </w:tc>
        <w:tc>
          <w:tcPr>
            <w:tcW w:w="1985" w:type="dxa"/>
            <w:tcBorders>
              <w:top w:val="nil"/>
              <w:bottom w:val="nil"/>
            </w:tcBorders>
            <w:shd w:val="clear" w:color="auto" w:fill="92CDDC"/>
          </w:tcPr>
          <w:p>
            <w:pPr>
              <w:pStyle w:val="TableParagraph"/>
              <w:spacing w:line="241" w:lineRule="exact"/>
              <w:rPr>
                <w:b/>
                <w:sz w:val="22"/>
              </w:rPr>
            </w:pPr>
            <w:r>
              <w:rPr>
                <w:b/>
                <w:sz w:val="22"/>
              </w:rPr>
              <w:t>laguna</w:t>
            </w:r>
          </w:p>
        </w:tc>
      </w:tr>
      <w:tr>
        <w:trPr>
          <w:trHeight w:val="251"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
        </w:tc>
        <w:tc>
          <w:tcPr>
            <w:tcW w:w="1985" w:type="dxa"/>
            <w:tcBorders>
              <w:top w:val="nil"/>
            </w:tcBorders>
            <w:shd w:val="clear" w:color="auto" w:fill="92CDDC"/>
          </w:tcPr>
          <w:p>
            <w:pPr>
              <w:pStyle w:val="TableParagraph"/>
              <w:spacing w:line="242" w:lineRule="exact"/>
              <w:rPr>
                <w:b/>
                <w:sz w:val="22"/>
              </w:rPr>
            </w:pPr>
            <w:r>
              <w:rPr>
                <w:b/>
                <w:sz w:val="22"/>
              </w:rPr>
              <w:t>Huapango?</w:t>
            </w:r>
          </w:p>
        </w:tc>
      </w:tr>
      <w:tr>
        <w:trPr>
          <w:trHeight w:val="267" w:hRule="exact"/>
        </w:trPr>
        <w:tc>
          <w:tcPr>
            <w:tcW w:w="1385" w:type="dxa"/>
            <w:tcBorders>
              <w:bottom w:val="nil"/>
            </w:tcBorders>
          </w:tcPr>
          <w:p>
            <w:pPr>
              <w:pStyle w:val="TableParagraph"/>
              <w:spacing w:line="251" w:lineRule="exact"/>
              <w:ind w:right="127"/>
              <w:rPr>
                <w:sz w:val="22"/>
              </w:rPr>
            </w:pPr>
            <w:r>
              <w:rPr>
                <w:sz w:val="22"/>
              </w:rPr>
              <w:t>Armando</w:t>
            </w:r>
          </w:p>
        </w:tc>
        <w:tc>
          <w:tcPr>
            <w:tcW w:w="1418" w:type="dxa"/>
            <w:tcBorders>
              <w:bottom w:val="nil"/>
            </w:tcBorders>
          </w:tcPr>
          <w:p>
            <w:pPr>
              <w:pStyle w:val="TableParagraph"/>
              <w:spacing w:line="251" w:lineRule="exact"/>
              <w:ind w:left="100" w:right="101"/>
              <w:rPr>
                <w:sz w:val="22"/>
              </w:rPr>
            </w:pPr>
            <w:r>
              <w:rPr>
                <w:sz w:val="22"/>
              </w:rPr>
              <w:t>Producción</w:t>
            </w:r>
          </w:p>
        </w:tc>
        <w:tc>
          <w:tcPr>
            <w:tcW w:w="1841" w:type="dxa"/>
            <w:tcBorders>
              <w:bottom w:val="nil"/>
            </w:tcBorders>
          </w:tcPr>
          <w:p>
            <w:pPr>
              <w:pStyle w:val="TableParagraph"/>
              <w:spacing w:line="251" w:lineRule="exact"/>
              <w:ind w:left="100"/>
              <w:rPr>
                <w:sz w:val="22"/>
              </w:rPr>
            </w:pPr>
            <w:r>
              <w:rPr>
                <w:sz w:val="22"/>
              </w:rPr>
              <w:t>Unión de</w:t>
            </w:r>
          </w:p>
        </w:tc>
        <w:tc>
          <w:tcPr>
            <w:tcW w:w="1135" w:type="dxa"/>
            <w:tcBorders>
              <w:bottom w:val="nil"/>
            </w:tcBorders>
          </w:tcPr>
          <w:p>
            <w:pPr>
              <w:pStyle w:val="TableParagraph"/>
              <w:spacing w:line="251" w:lineRule="exact"/>
              <w:rPr>
                <w:sz w:val="22"/>
              </w:rPr>
            </w:pPr>
            <w:r>
              <w:rPr>
                <w:sz w:val="22"/>
              </w:rPr>
              <w:t>Administr</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Aculco</w:t>
            </w:r>
          </w:p>
        </w:tc>
        <w:tc>
          <w:tcPr>
            <w:tcW w:w="1133" w:type="dxa"/>
            <w:tcBorders>
              <w:bottom w:val="nil"/>
            </w:tcBorders>
          </w:tcPr>
          <w:p>
            <w:pPr>
              <w:pStyle w:val="TableParagraph"/>
              <w:spacing w:line="251" w:lineRule="exact"/>
              <w:ind w:left="100" w:right="52"/>
              <w:rPr>
                <w:sz w:val="22"/>
              </w:rPr>
            </w:pPr>
            <w:r>
              <w:rPr>
                <w:sz w:val="22"/>
              </w:rPr>
              <w:t>Aculco</w:t>
            </w:r>
          </w:p>
        </w:tc>
        <w:tc>
          <w:tcPr>
            <w:tcW w:w="1702" w:type="dxa"/>
            <w:tcBorders>
              <w:bottom w:val="nil"/>
            </w:tcBorders>
          </w:tcPr>
          <w:p>
            <w:pPr>
              <w:pStyle w:val="TableParagraph"/>
              <w:tabs>
                <w:tab w:pos="686" w:val="left" w:leader="none"/>
                <w:tab w:pos="1358" w:val="left" w:leader="none"/>
              </w:tabs>
              <w:spacing w:line="251" w:lineRule="exact"/>
              <w:rPr>
                <w:sz w:val="22"/>
              </w:rPr>
            </w:pPr>
            <w:r>
              <w:rPr>
                <w:sz w:val="22"/>
              </w:rPr>
              <w:t>No</w:t>
              <w:tab/>
              <w:t>que</w:t>
              <w:tab/>
              <w:t>yo</w:t>
            </w:r>
          </w:p>
        </w:tc>
        <w:tc>
          <w:tcPr>
            <w:tcW w:w="1985" w:type="dxa"/>
            <w:tcBorders>
              <w:bottom w:val="nil"/>
            </w:tcBorders>
          </w:tcPr>
          <w:p>
            <w:pPr>
              <w:pStyle w:val="TableParagraph"/>
              <w:spacing w:line="251" w:lineRule="exact"/>
              <w:rPr>
                <w:sz w:val="22"/>
              </w:rPr>
            </w:pPr>
            <w:r>
              <w:rPr>
                <w:sz w:val="22"/>
              </w:rPr>
              <w:t>Yo   creo   que  sí</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Alcántara</w:t>
            </w:r>
          </w:p>
        </w:tc>
        <w:tc>
          <w:tcPr>
            <w:tcW w:w="1418" w:type="dxa"/>
            <w:tcBorders>
              <w:top w:val="nil"/>
              <w:bottom w:val="nil"/>
            </w:tcBorders>
          </w:tcPr>
          <w:p>
            <w:pPr>
              <w:pStyle w:val="TableParagraph"/>
              <w:spacing w:line="242" w:lineRule="exact"/>
              <w:ind w:left="100" w:right="101"/>
              <w:rPr>
                <w:sz w:val="22"/>
              </w:rPr>
            </w:pPr>
            <w:r>
              <w:rPr>
                <w:sz w:val="22"/>
              </w:rPr>
              <w:t>de quesos</w:t>
            </w:r>
          </w:p>
        </w:tc>
        <w:tc>
          <w:tcPr>
            <w:tcW w:w="1841" w:type="dxa"/>
            <w:tcBorders>
              <w:top w:val="nil"/>
              <w:bottom w:val="nil"/>
            </w:tcBorders>
          </w:tcPr>
          <w:p>
            <w:pPr>
              <w:pStyle w:val="TableParagraph"/>
              <w:spacing w:line="242" w:lineRule="exact"/>
              <w:ind w:left="100"/>
              <w:rPr>
                <w:sz w:val="22"/>
              </w:rPr>
            </w:pPr>
            <w:r>
              <w:rPr>
                <w:sz w:val="22"/>
              </w:rPr>
              <w:t>Productores</w:t>
            </w:r>
          </w:p>
        </w:tc>
        <w:tc>
          <w:tcPr>
            <w:tcW w:w="1135" w:type="dxa"/>
            <w:tcBorders>
              <w:top w:val="nil"/>
              <w:bottom w:val="nil"/>
            </w:tcBorders>
          </w:tcPr>
          <w:p>
            <w:pPr>
              <w:pStyle w:val="TableParagraph"/>
              <w:spacing w:line="242" w:lineRule="exact"/>
              <w:rPr>
                <w:sz w:val="22"/>
              </w:rPr>
            </w:pPr>
            <w:r>
              <w:rPr>
                <w:sz w:val="22"/>
              </w:rPr>
              <w:t>ador</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sepa.</w:t>
            </w:r>
          </w:p>
        </w:tc>
        <w:tc>
          <w:tcPr>
            <w:tcW w:w="1985" w:type="dxa"/>
            <w:tcBorders>
              <w:top w:val="nil"/>
              <w:bottom w:val="nil"/>
            </w:tcBorders>
          </w:tcPr>
          <w:p>
            <w:pPr>
              <w:pStyle w:val="TableParagraph"/>
              <w:tabs>
                <w:tab w:pos="784" w:val="left" w:leader="none"/>
                <w:tab w:pos="1395" w:val="left" w:leader="none"/>
              </w:tabs>
              <w:spacing w:line="242" w:lineRule="exact"/>
              <w:rPr>
                <w:sz w:val="22"/>
              </w:rPr>
            </w:pPr>
            <w:r>
              <w:rPr>
                <w:sz w:val="22"/>
              </w:rPr>
              <w:t>para</w:t>
              <w:tab/>
              <w:t>que</w:t>
              <w:tab/>
              <w:t>haya</w:t>
            </w:r>
          </w:p>
        </w:tc>
      </w:tr>
      <w:tr>
        <w:trPr>
          <w:trHeight w:val="253" w:hRule="exact"/>
        </w:trPr>
        <w:tc>
          <w:tcPr>
            <w:tcW w:w="1385" w:type="dxa"/>
            <w:tcBorders>
              <w:top w:val="nil"/>
              <w:bottom w:val="nil"/>
            </w:tcBorders>
          </w:tcPr>
          <w:p>
            <w:pPr>
              <w:pStyle w:val="TableParagraph"/>
              <w:spacing w:line="241" w:lineRule="exact"/>
              <w:rPr>
                <w:sz w:val="22"/>
              </w:rPr>
            </w:pPr>
            <w:r>
              <w:rPr>
                <w:sz w:val="22"/>
              </w:rPr>
              <w:t>Mondragón</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Lácteos de</w:t>
            </w:r>
          </w:p>
        </w:tc>
        <w:tc>
          <w:tcPr>
            <w:tcW w:w="1135" w:type="dxa"/>
            <w:tcBorders>
              <w:top w:val="nil"/>
              <w:bottom w:val="nil"/>
            </w:tcBorders>
          </w:tcPr>
          <w:p>
            <w:pPr>
              <w:pStyle w:val="TableParagraph"/>
              <w:spacing w:line="241" w:lineRule="exact"/>
              <w:rPr>
                <w:sz w:val="22"/>
              </w:rPr>
            </w:pPr>
            <w:r>
              <w:rPr>
                <w:sz w:val="22"/>
              </w:rPr>
              <w:t>único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coordinación</w:t>
            </w:r>
          </w:p>
        </w:tc>
      </w:tr>
      <w:tr>
        <w:trPr>
          <w:trHeight w:val="253" w:hRule="exact"/>
        </w:trPr>
        <w:tc>
          <w:tcPr>
            <w:tcW w:w="1385" w:type="dxa"/>
            <w:tcBorders>
              <w:top w:val="nil"/>
              <w:bottom w:val="nil"/>
            </w:tcBorders>
          </w:tcPr>
          <w:p>
            <w:pPr>
              <w:pStyle w:val="TableParagraph"/>
              <w:spacing w:line="242"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Aculco S.A.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entre todos.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C.V</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(50 socios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3" w:lineRule="exact"/>
              <w:ind w:left="100"/>
              <w:rPr>
                <w:sz w:val="22"/>
              </w:rPr>
            </w:pPr>
            <w:r>
              <w:rPr>
                <w:sz w:val="22"/>
              </w:rPr>
              <w:t>Aculco)</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right="127"/>
              <w:rPr>
                <w:sz w:val="22"/>
              </w:rPr>
            </w:pPr>
            <w:r>
              <w:rPr>
                <w:sz w:val="22"/>
              </w:rPr>
              <w:t>Gregorio</w:t>
            </w:r>
          </w:p>
        </w:tc>
        <w:tc>
          <w:tcPr>
            <w:tcW w:w="1418" w:type="dxa"/>
            <w:tcBorders>
              <w:bottom w:val="nil"/>
            </w:tcBorders>
          </w:tcPr>
          <w:p>
            <w:pPr>
              <w:pStyle w:val="TableParagraph"/>
              <w:spacing w:line="251" w:lineRule="exact"/>
              <w:ind w:left="100" w:right="101"/>
              <w:rPr>
                <w:sz w:val="22"/>
              </w:rPr>
            </w:pPr>
            <w:r>
              <w:rPr>
                <w:sz w:val="22"/>
              </w:rPr>
              <w:t>Producción</w:t>
            </w:r>
          </w:p>
        </w:tc>
        <w:tc>
          <w:tcPr>
            <w:tcW w:w="1841" w:type="dxa"/>
            <w:tcBorders>
              <w:bottom w:val="nil"/>
            </w:tcBorders>
          </w:tcPr>
          <w:p>
            <w:pPr>
              <w:pStyle w:val="TableParagraph"/>
              <w:tabs>
                <w:tab w:pos="1482" w:val="left" w:leader="none"/>
              </w:tabs>
              <w:spacing w:line="251" w:lineRule="exact"/>
              <w:ind w:left="100"/>
              <w:rPr>
                <w:sz w:val="22"/>
              </w:rPr>
            </w:pPr>
            <w:r>
              <w:rPr>
                <w:sz w:val="22"/>
              </w:rPr>
              <w:t>Unión</w:t>
              <w:tab/>
              <w:t>de</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Polotitl</w:t>
            </w:r>
          </w:p>
        </w:tc>
        <w:tc>
          <w:tcPr>
            <w:tcW w:w="1277" w:type="dxa"/>
            <w:tcBorders>
              <w:bottom w:val="nil"/>
            </w:tcBorders>
          </w:tcPr>
          <w:p>
            <w:pPr>
              <w:pStyle w:val="TableParagraph"/>
              <w:spacing w:line="251" w:lineRule="exact"/>
              <w:ind w:right="92"/>
              <w:rPr>
                <w:sz w:val="22"/>
              </w:rPr>
            </w:pPr>
            <w:r>
              <w:rPr>
                <w:sz w:val="22"/>
              </w:rPr>
              <w:t>Polotitlán</w:t>
            </w:r>
          </w:p>
        </w:tc>
        <w:tc>
          <w:tcPr>
            <w:tcW w:w="1133" w:type="dxa"/>
            <w:tcBorders>
              <w:bottom w:val="nil"/>
            </w:tcBorders>
          </w:tcPr>
          <w:p>
            <w:pPr>
              <w:pStyle w:val="TableParagraph"/>
              <w:spacing w:line="251" w:lineRule="exact"/>
              <w:ind w:left="100" w:right="52"/>
              <w:rPr>
                <w:sz w:val="22"/>
              </w:rPr>
            </w:pPr>
            <w:r>
              <w:rPr>
                <w:sz w:val="22"/>
              </w:rPr>
              <w:t>Polotitlán</w:t>
            </w:r>
          </w:p>
        </w:tc>
        <w:tc>
          <w:tcPr>
            <w:tcW w:w="1702" w:type="dxa"/>
            <w:tcBorders>
              <w:bottom w:val="nil"/>
            </w:tcBorders>
          </w:tcPr>
          <w:p>
            <w:pPr>
              <w:pStyle w:val="TableParagraph"/>
              <w:spacing w:line="251" w:lineRule="exact"/>
              <w:rPr>
                <w:sz w:val="22"/>
              </w:rPr>
            </w:pPr>
            <w:r>
              <w:rPr>
                <w:sz w:val="22"/>
              </w:rPr>
              <w:t>Sí por la</w:t>
            </w:r>
          </w:p>
        </w:tc>
        <w:tc>
          <w:tcPr>
            <w:tcW w:w="1985" w:type="dxa"/>
            <w:tcBorders>
              <w:bottom w:val="nil"/>
            </w:tcBorders>
          </w:tcPr>
          <w:p>
            <w:pPr>
              <w:pStyle w:val="TableParagraph"/>
              <w:tabs>
                <w:tab w:pos="918" w:val="left" w:leader="none"/>
              </w:tabs>
              <w:spacing w:line="251" w:lineRule="exact"/>
              <w:rPr>
                <w:sz w:val="22"/>
              </w:rPr>
            </w:pPr>
            <w:r>
              <w:rPr>
                <w:sz w:val="22"/>
              </w:rPr>
              <w:t>Sí</w:t>
              <w:tab/>
              <w:t>considero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García</w:t>
            </w:r>
          </w:p>
        </w:tc>
        <w:tc>
          <w:tcPr>
            <w:tcW w:w="1418" w:type="dxa"/>
            <w:tcBorders>
              <w:top w:val="nil"/>
              <w:bottom w:val="nil"/>
            </w:tcBorders>
          </w:tcPr>
          <w:p>
            <w:pPr>
              <w:pStyle w:val="TableParagraph"/>
              <w:spacing w:line="241" w:lineRule="exact"/>
              <w:ind w:left="100"/>
              <w:rPr>
                <w:sz w:val="22"/>
              </w:rPr>
            </w:pPr>
            <w:r>
              <w:rPr>
                <w:sz w:val="22"/>
              </w:rPr>
              <w:t>de quesos e</w:t>
            </w:r>
          </w:p>
        </w:tc>
        <w:tc>
          <w:tcPr>
            <w:tcW w:w="1841" w:type="dxa"/>
            <w:tcBorders>
              <w:top w:val="nil"/>
              <w:bottom w:val="nil"/>
            </w:tcBorders>
          </w:tcPr>
          <w:p>
            <w:pPr>
              <w:pStyle w:val="TableParagraph"/>
              <w:spacing w:line="241" w:lineRule="exact"/>
              <w:ind w:left="100"/>
              <w:rPr>
                <w:sz w:val="22"/>
              </w:rPr>
            </w:pPr>
            <w:r>
              <w:rPr>
                <w:sz w:val="22"/>
              </w:rPr>
              <w:t>Productores   de</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sz w:val="22"/>
              </w:rPr>
              <w:t>án</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necesidad que</w:t>
            </w:r>
          </w:p>
        </w:tc>
        <w:tc>
          <w:tcPr>
            <w:tcW w:w="1985" w:type="dxa"/>
            <w:tcBorders>
              <w:top w:val="nil"/>
              <w:bottom w:val="nil"/>
            </w:tcBorders>
          </w:tcPr>
          <w:p>
            <w:pPr>
              <w:pStyle w:val="TableParagraph"/>
              <w:tabs>
                <w:tab w:pos="1504" w:val="left" w:leader="none"/>
              </w:tabs>
              <w:spacing w:line="241" w:lineRule="exact"/>
              <w:rPr>
                <w:sz w:val="22"/>
              </w:rPr>
            </w:pPr>
            <w:r>
              <w:rPr>
                <w:sz w:val="22"/>
              </w:rPr>
              <w:t>necesario</w:t>
              <w:tab/>
              <w:t>que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Arregui</w:t>
            </w:r>
          </w:p>
        </w:tc>
        <w:tc>
          <w:tcPr>
            <w:tcW w:w="1418" w:type="dxa"/>
            <w:tcBorders>
              <w:top w:val="nil"/>
              <w:bottom w:val="nil"/>
            </w:tcBorders>
          </w:tcPr>
          <w:p>
            <w:pPr>
              <w:pStyle w:val="TableParagraph"/>
              <w:spacing w:line="242" w:lineRule="exact"/>
              <w:ind w:left="100" w:right="101"/>
              <w:rPr>
                <w:sz w:val="22"/>
              </w:rPr>
            </w:pPr>
            <w:r>
              <w:rPr>
                <w:sz w:val="22"/>
              </w:rPr>
              <w:t>Ingeniero</w:t>
            </w:r>
          </w:p>
        </w:tc>
        <w:tc>
          <w:tcPr>
            <w:tcW w:w="1841" w:type="dxa"/>
            <w:tcBorders>
              <w:top w:val="nil"/>
              <w:bottom w:val="nil"/>
            </w:tcBorders>
          </w:tcPr>
          <w:p>
            <w:pPr>
              <w:pStyle w:val="TableParagraph"/>
              <w:tabs>
                <w:tab w:pos="1482" w:val="left" w:leader="none"/>
              </w:tabs>
              <w:spacing w:line="242" w:lineRule="exact"/>
              <w:ind w:left="100"/>
              <w:rPr>
                <w:sz w:val="22"/>
              </w:rPr>
            </w:pPr>
            <w:r>
              <w:rPr>
                <w:sz w:val="22"/>
              </w:rPr>
              <w:t>Leche</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todos tenemos</w:t>
            </w:r>
          </w:p>
        </w:tc>
        <w:tc>
          <w:tcPr>
            <w:tcW w:w="1985" w:type="dxa"/>
            <w:tcBorders>
              <w:top w:val="nil"/>
              <w:bottom w:val="nil"/>
            </w:tcBorders>
          </w:tcPr>
          <w:p>
            <w:pPr>
              <w:pStyle w:val="TableParagraph"/>
              <w:tabs>
                <w:tab w:pos="1626" w:val="left" w:leader="none"/>
              </w:tabs>
              <w:spacing w:line="242" w:lineRule="exact"/>
              <w:rPr>
                <w:sz w:val="22"/>
              </w:rPr>
            </w:pPr>
            <w:r>
              <w:rPr>
                <w:sz w:val="22"/>
              </w:rPr>
              <w:t>exista</w:t>
              <w:tab/>
              <w:t>un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(4/9/2014)</w:t>
            </w:r>
          </w:p>
        </w:tc>
        <w:tc>
          <w:tcPr>
            <w:tcW w:w="1418" w:type="dxa"/>
            <w:tcBorders>
              <w:top w:val="nil"/>
              <w:bottom w:val="nil"/>
            </w:tcBorders>
          </w:tcPr>
          <w:p>
            <w:pPr>
              <w:pStyle w:val="TableParagraph"/>
              <w:spacing w:line="241" w:lineRule="exact"/>
              <w:ind w:left="100" w:right="101"/>
              <w:rPr>
                <w:sz w:val="22"/>
              </w:rPr>
            </w:pPr>
            <w:r>
              <w:rPr>
                <w:sz w:val="22"/>
              </w:rPr>
              <w:t>Civil</w:t>
            </w:r>
          </w:p>
        </w:tc>
        <w:tc>
          <w:tcPr>
            <w:tcW w:w="1841" w:type="dxa"/>
            <w:tcBorders>
              <w:top w:val="nil"/>
              <w:bottom w:val="nil"/>
            </w:tcBorders>
          </w:tcPr>
          <w:p>
            <w:pPr>
              <w:pStyle w:val="TableParagraph"/>
              <w:tabs>
                <w:tab w:pos="1312" w:val="left" w:leader="none"/>
              </w:tabs>
              <w:spacing w:line="241" w:lineRule="exact"/>
              <w:ind w:left="100"/>
              <w:rPr>
                <w:sz w:val="22"/>
              </w:rPr>
            </w:pPr>
            <w:r>
              <w:rPr>
                <w:sz w:val="22"/>
              </w:rPr>
              <w:t>Polotitlán</w:t>
              <w:tab/>
              <w:t>S.A.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del agua.</w:t>
            </w:r>
          </w:p>
        </w:tc>
        <w:tc>
          <w:tcPr>
            <w:tcW w:w="1985" w:type="dxa"/>
            <w:tcBorders>
              <w:top w:val="nil"/>
              <w:bottom w:val="nil"/>
            </w:tcBorders>
          </w:tcPr>
          <w:p>
            <w:pPr>
              <w:pStyle w:val="TableParagraph"/>
              <w:spacing w:line="241" w:lineRule="exact"/>
              <w:rPr>
                <w:sz w:val="22"/>
              </w:rPr>
            </w:pPr>
            <w:r>
              <w:rPr>
                <w:sz w:val="22"/>
              </w:rPr>
              <w:t>reglamento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de C.V.</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intermunicipal</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640" w:val="left" w:leader="none"/>
                <w:tab w:pos="1484" w:val="left" w:leader="none"/>
              </w:tabs>
              <w:spacing w:line="241" w:lineRule="exact"/>
              <w:ind w:left="100"/>
              <w:rPr>
                <w:sz w:val="22"/>
              </w:rPr>
            </w:pPr>
            <w:r>
              <w:rPr>
                <w:sz w:val="22"/>
              </w:rPr>
              <w:t>(97</w:t>
              <w:tab/>
              <w:t>socios</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777" w:val="left" w:leader="none"/>
                <w:tab w:pos="1177" w:val="left" w:leader="none"/>
                <w:tab w:pos="1763" w:val="left" w:leader="none"/>
              </w:tabs>
              <w:spacing w:line="241" w:lineRule="exact"/>
              <w:rPr>
                <w:sz w:val="22"/>
              </w:rPr>
            </w:pPr>
            <w:r>
              <w:rPr>
                <w:sz w:val="22"/>
              </w:rPr>
              <w:t>para</w:t>
              <w:tab/>
              <w:t>el</w:t>
              <w:tab/>
              <w:t>uso</w:t>
              <w:tab/>
              <w:t>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17" w:val="left" w:leader="none"/>
              </w:tabs>
              <w:spacing w:line="241" w:lineRule="exact"/>
              <w:ind w:left="100"/>
              <w:rPr>
                <w:sz w:val="22"/>
              </w:rPr>
            </w:pPr>
            <w:r>
              <w:rPr>
                <w:sz w:val="22"/>
              </w:rPr>
              <w:t>Aculco</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166" w:val="left" w:leader="none"/>
                <w:tab w:pos="1703" w:val="left" w:leader="none"/>
              </w:tabs>
              <w:spacing w:line="241" w:lineRule="exact"/>
              <w:rPr>
                <w:sz w:val="22"/>
              </w:rPr>
            </w:pPr>
            <w:r>
              <w:rPr>
                <w:sz w:val="22"/>
              </w:rPr>
              <w:t>cuidado</w:t>
              <w:tab/>
              <w:t>de</w:t>
              <w:tab/>
              <w:t>la</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Polotitlán)</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434" w:val="left" w:leader="none"/>
              </w:tabs>
              <w:spacing w:line="242" w:lineRule="exact"/>
              <w:rPr>
                <w:sz w:val="22"/>
              </w:rPr>
            </w:pPr>
            <w:r>
              <w:rPr>
                <w:sz w:val="22"/>
              </w:rPr>
              <w:t>laguna</w:t>
              <w:tab/>
              <w:t>para</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regular  y  que</w:t>
            </w:r>
            <w:r>
              <w:rPr>
                <w:spacing w:val="53"/>
                <w:sz w:val="22"/>
              </w:rPr>
              <w:t> </w:t>
            </w:r>
            <w:r>
              <w:rPr>
                <w:sz w:val="22"/>
              </w:rPr>
              <w:t>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163" w:val="left" w:leader="none"/>
              </w:tabs>
              <w:spacing w:line="242" w:lineRule="exact"/>
              <w:rPr>
                <w:sz w:val="22"/>
              </w:rPr>
            </w:pPr>
            <w:r>
              <w:rPr>
                <w:sz w:val="22"/>
              </w:rPr>
              <w:t>existan</w:t>
              <w:tab/>
              <w:t>abusos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93" w:val="left" w:leader="none"/>
                <w:tab w:pos="1640" w:val="left" w:leader="none"/>
              </w:tabs>
              <w:spacing w:line="241" w:lineRule="exact"/>
              <w:rPr>
                <w:sz w:val="22"/>
              </w:rPr>
            </w:pPr>
            <w:r>
              <w:rPr>
                <w:sz w:val="22"/>
              </w:rPr>
              <w:t>porque</w:t>
              <w:tab/>
              <w:t>no</w:t>
              <w:tab/>
              <w:t>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700" w:val="left" w:leader="none"/>
              </w:tabs>
              <w:spacing w:line="241" w:lineRule="exact"/>
              <w:rPr>
                <w:sz w:val="22"/>
              </w:rPr>
            </w:pPr>
            <w:r>
              <w:rPr>
                <w:sz w:val="22"/>
              </w:rPr>
              <w:t>equitativa</w:t>
              <w:tab/>
              <w:t>la</w:t>
            </w:r>
          </w:p>
        </w:tc>
      </w:tr>
      <w:tr>
        <w:trPr>
          <w:trHeight w:val="249"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2" w:lineRule="exact"/>
              <w:rPr>
                <w:sz w:val="22"/>
              </w:rPr>
            </w:pPr>
            <w:r>
              <w:rPr>
                <w:sz w:val="22"/>
              </w:rPr>
              <w:t>regulación.</w:t>
            </w:r>
          </w:p>
        </w:tc>
      </w:tr>
      <w:tr>
        <w:trPr>
          <w:trHeight w:val="713" w:hRule="exact"/>
        </w:trPr>
        <w:tc>
          <w:tcPr>
            <w:tcW w:w="4645" w:type="dxa"/>
            <w:gridSpan w:val="3"/>
          </w:tcPr>
          <w:p>
            <w:pPr>
              <w:pStyle w:val="TableParagraph"/>
              <w:spacing w:before="10"/>
              <w:ind w:left="0"/>
              <w:rPr>
                <w:b/>
                <w:sz w:val="21"/>
              </w:rPr>
            </w:pPr>
          </w:p>
          <w:p>
            <w:pPr>
              <w:pStyle w:val="TableParagraph"/>
              <w:rPr>
                <w:sz w:val="22"/>
              </w:rPr>
            </w:pPr>
            <w:r>
              <w:rPr>
                <w:sz w:val="22"/>
              </w:rPr>
              <w:t>Maxilácteos S.A. de C.V. de Polotitlán</w:t>
            </w:r>
          </w:p>
        </w:tc>
        <w:tc>
          <w:tcPr>
            <w:tcW w:w="8223" w:type="dxa"/>
            <w:gridSpan w:val="6"/>
          </w:tcPr>
          <w:p>
            <w:pPr>
              <w:pStyle w:val="TableParagraph"/>
              <w:spacing w:before="10"/>
              <w:ind w:left="0"/>
              <w:rPr>
                <w:b/>
                <w:sz w:val="21"/>
              </w:rPr>
            </w:pPr>
          </w:p>
          <w:p>
            <w:pPr>
              <w:pStyle w:val="TableParagraph"/>
              <w:rPr>
                <w:sz w:val="22"/>
              </w:rPr>
            </w:pPr>
            <w:r>
              <w:rPr>
                <w:sz w:val="22"/>
              </w:rPr>
              <w:t>No accedieron a la entrevista por cuestiones de seguridad.</w:t>
            </w: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710" w:right="397"/>
      </w:pPr>
      <w:r>
        <w:rPr/>
        <w:t>Tabla 6.5.  Industriales y comerciantes de lácteos en los Municipios de Aculco y Polotitlán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3687"/>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516"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3687" w:type="dxa"/>
            <w:shd w:val="clear" w:color="auto" w:fill="92CDDC"/>
          </w:tcPr>
          <w:p>
            <w:pPr>
              <w:pStyle w:val="TableParagraph"/>
              <w:tabs>
                <w:tab w:pos="1765" w:val="left" w:leader="none"/>
                <w:tab w:pos="2204" w:val="left" w:leader="none"/>
              </w:tabs>
              <w:spacing w:line="242" w:lineRule="auto"/>
              <w:ind w:right="100"/>
              <w:rPr>
                <w:b/>
                <w:i/>
                <w:sz w:val="22"/>
              </w:rPr>
            </w:pPr>
            <w:r>
              <w:rPr>
                <w:b/>
                <w:i/>
                <w:sz w:val="22"/>
              </w:rPr>
              <w:t>Cooperación</w:t>
              <w:tab/>
              <w:t>y</w:t>
              <w:tab/>
            </w:r>
            <w:r>
              <w:rPr>
                <w:b/>
                <w:i/>
                <w:spacing w:val="-1"/>
                <w:sz w:val="22"/>
              </w:rPr>
              <w:t>participación </w:t>
            </w:r>
            <w:r>
              <w:rPr>
                <w:b/>
                <w:i/>
                <w:sz w:val="22"/>
              </w:rPr>
              <w:t>social</w:t>
            </w:r>
          </w:p>
        </w:tc>
      </w:tr>
      <w:tr>
        <w:trPr>
          <w:trHeight w:val="265"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Asociación de</w:t>
            </w:r>
          </w:p>
        </w:tc>
        <w:tc>
          <w:tcPr>
            <w:tcW w:w="1135" w:type="dxa"/>
            <w:tcBorders>
              <w:bottom w:val="nil"/>
            </w:tcBorders>
            <w:shd w:val="clear" w:color="auto" w:fill="F9BE8F"/>
          </w:tcPr>
          <w:p>
            <w:pPr>
              <w:pStyle w:val="TableParagraph"/>
              <w:spacing w:line="248" w:lineRule="exact"/>
              <w:rPr>
                <w:b/>
                <w:sz w:val="22"/>
              </w:rPr>
            </w:pPr>
            <w:r>
              <w:rPr>
                <w:b/>
                <w:sz w:val="22"/>
              </w:rPr>
              <w:t>Cargo</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3687" w:type="dxa"/>
            <w:tcBorders>
              <w:bottom w:val="nil"/>
            </w:tcBorders>
            <w:shd w:val="clear" w:color="auto" w:fill="92CDDC"/>
          </w:tcPr>
          <w:p>
            <w:pPr>
              <w:pStyle w:val="TableParagraph"/>
              <w:tabs>
                <w:tab w:pos="1257" w:val="left" w:leader="none"/>
                <w:tab w:pos="2127" w:val="left" w:leader="none"/>
                <w:tab w:pos="3451" w:val="left" w:leader="none"/>
              </w:tabs>
              <w:spacing w:line="248" w:lineRule="exact"/>
              <w:rPr>
                <w:b/>
                <w:sz w:val="22"/>
              </w:rPr>
            </w:pPr>
            <w:r>
              <w:rPr>
                <w:b/>
                <w:sz w:val="22"/>
              </w:rPr>
              <w:t>¿Estaría</w:t>
              <w:tab/>
              <w:t>usted</w:t>
              <w:tab/>
              <w:t>dispuesto</w:t>
              <w:tab/>
              <w:t>a</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2"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2" w:lineRule="exact"/>
              <w:ind w:left="100"/>
              <w:rPr>
                <w:b/>
                <w:sz w:val="22"/>
              </w:rPr>
            </w:pPr>
            <w:r>
              <w:rPr>
                <w:b/>
                <w:sz w:val="22"/>
              </w:rPr>
              <w:t>Industriales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2"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2"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2" w:lineRule="exact"/>
              <w:ind w:left="100" w:right="52"/>
              <w:rPr>
                <w:b/>
                <w:sz w:val="22"/>
              </w:rPr>
            </w:pPr>
            <w:r>
              <w:rPr>
                <w:b/>
                <w:sz w:val="22"/>
              </w:rPr>
              <w:t>vive?</w:t>
            </w:r>
          </w:p>
        </w:tc>
        <w:tc>
          <w:tcPr>
            <w:tcW w:w="3687" w:type="dxa"/>
            <w:tcBorders>
              <w:top w:val="nil"/>
              <w:bottom w:val="nil"/>
            </w:tcBorders>
            <w:shd w:val="clear" w:color="auto" w:fill="92CDDC"/>
          </w:tcPr>
          <w:p>
            <w:pPr>
              <w:pStyle w:val="TableParagraph"/>
              <w:spacing w:line="242" w:lineRule="exact"/>
              <w:rPr>
                <w:b/>
                <w:sz w:val="22"/>
              </w:rPr>
            </w:pPr>
            <w:r>
              <w:rPr>
                <w:b/>
                <w:sz w:val="22"/>
              </w:rPr>
              <w:t>asistir  a  una  reunión para tratar</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Comerciantes/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3687" w:type="dxa"/>
            <w:tcBorders>
              <w:top w:val="nil"/>
              <w:bottom w:val="nil"/>
            </w:tcBorders>
            <w:shd w:val="clear" w:color="auto" w:fill="92CDDC"/>
          </w:tcPr>
          <w:p>
            <w:pPr>
              <w:pStyle w:val="TableParagraph"/>
              <w:tabs>
                <w:tab w:pos="1180" w:val="left" w:leader="none"/>
                <w:tab w:pos="2768" w:val="left" w:leader="none"/>
                <w:tab w:pos="3389" w:val="left" w:leader="none"/>
              </w:tabs>
              <w:spacing w:line="241" w:lineRule="exact"/>
              <w:rPr>
                <w:b/>
                <w:sz w:val="22"/>
              </w:rPr>
            </w:pPr>
            <w:r>
              <w:rPr>
                <w:b/>
                <w:sz w:val="22"/>
              </w:rPr>
              <w:t>asuntos</w:t>
              <w:tab/>
              <w:t>relacionados</w:t>
              <w:tab/>
              <w:t>con</w:t>
              <w:tab/>
              <w:t>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3687" w:type="dxa"/>
            <w:tcBorders>
              <w:top w:val="nil"/>
              <w:bottom w:val="nil"/>
            </w:tcBorders>
            <w:shd w:val="clear" w:color="auto" w:fill="92CDDC"/>
          </w:tcPr>
          <w:p>
            <w:pPr>
              <w:pStyle w:val="TableParagraph"/>
              <w:spacing w:line="242" w:lineRule="exact"/>
              <w:rPr>
                <w:b/>
                <w:sz w:val="22"/>
              </w:rPr>
            </w:pPr>
            <w:r>
              <w:rPr>
                <w:b/>
                <w:sz w:val="22"/>
              </w:rPr>
              <w:t>laguna de Huapango?</w:t>
            </w:r>
          </w:p>
        </w:tc>
      </w:tr>
      <w:tr>
        <w:trPr>
          <w:trHeight w:val="250"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3687" w:type="dxa"/>
            <w:tcBorders>
              <w:top w:val="nil"/>
            </w:tcBorders>
            <w:shd w:val="clear" w:color="auto" w:fill="92CDDC"/>
          </w:tcPr>
          <w:p>
            <w:pPr/>
          </w:p>
        </w:tc>
      </w:tr>
      <w:tr>
        <w:trPr>
          <w:trHeight w:val="269" w:hRule="exact"/>
        </w:trPr>
        <w:tc>
          <w:tcPr>
            <w:tcW w:w="1385" w:type="dxa"/>
            <w:tcBorders>
              <w:bottom w:val="nil"/>
            </w:tcBorders>
          </w:tcPr>
          <w:p>
            <w:pPr>
              <w:pStyle w:val="TableParagraph"/>
              <w:ind w:right="127"/>
              <w:rPr>
                <w:sz w:val="22"/>
              </w:rPr>
            </w:pPr>
            <w:r>
              <w:rPr>
                <w:sz w:val="22"/>
              </w:rPr>
              <w:t>Armando</w:t>
            </w:r>
          </w:p>
        </w:tc>
        <w:tc>
          <w:tcPr>
            <w:tcW w:w="1418" w:type="dxa"/>
            <w:tcBorders>
              <w:bottom w:val="nil"/>
            </w:tcBorders>
          </w:tcPr>
          <w:p>
            <w:pPr>
              <w:pStyle w:val="TableParagraph"/>
              <w:ind w:left="100" w:right="101"/>
              <w:rPr>
                <w:sz w:val="22"/>
              </w:rPr>
            </w:pPr>
            <w:r>
              <w:rPr>
                <w:sz w:val="22"/>
              </w:rPr>
              <w:t>Producción</w:t>
            </w:r>
          </w:p>
        </w:tc>
        <w:tc>
          <w:tcPr>
            <w:tcW w:w="1841" w:type="dxa"/>
            <w:tcBorders>
              <w:bottom w:val="nil"/>
            </w:tcBorders>
          </w:tcPr>
          <w:p>
            <w:pPr>
              <w:pStyle w:val="TableParagraph"/>
              <w:ind w:left="100"/>
              <w:rPr>
                <w:sz w:val="22"/>
              </w:rPr>
            </w:pPr>
            <w:r>
              <w:rPr>
                <w:sz w:val="22"/>
              </w:rPr>
              <w:t>Unión de</w:t>
            </w:r>
          </w:p>
        </w:tc>
        <w:tc>
          <w:tcPr>
            <w:tcW w:w="1135" w:type="dxa"/>
            <w:tcBorders>
              <w:bottom w:val="nil"/>
            </w:tcBorders>
          </w:tcPr>
          <w:p>
            <w:pPr>
              <w:pStyle w:val="TableParagraph"/>
              <w:rPr>
                <w:sz w:val="22"/>
              </w:rPr>
            </w:pPr>
            <w:r>
              <w:rPr>
                <w:sz w:val="22"/>
              </w:rPr>
              <w:t>Administr</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Aculco</w:t>
            </w:r>
          </w:p>
        </w:tc>
        <w:tc>
          <w:tcPr>
            <w:tcW w:w="1133" w:type="dxa"/>
            <w:tcBorders>
              <w:bottom w:val="nil"/>
            </w:tcBorders>
          </w:tcPr>
          <w:p>
            <w:pPr>
              <w:pStyle w:val="TableParagraph"/>
              <w:ind w:left="100" w:right="52"/>
              <w:rPr>
                <w:sz w:val="22"/>
              </w:rPr>
            </w:pPr>
            <w:r>
              <w:rPr>
                <w:sz w:val="22"/>
              </w:rPr>
              <w:t>Aculco</w:t>
            </w:r>
          </w:p>
        </w:tc>
        <w:tc>
          <w:tcPr>
            <w:tcW w:w="3687" w:type="dxa"/>
            <w:tcBorders>
              <w:bottom w:val="nil"/>
            </w:tcBorders>
          </w:tcPr>
          <w:p>
            <w:pPr>
              <w:pStyle w:val="TableParagraph"/>
              <w:rPr>
                <w:sz w:val="22"/>
              </w:rPr>
            </w:pPr>
            <w:r>
              <w:rPr>
                <w:sz w:val="22"/>
              </w:rPr>
              <w:t>Si  asistiría  para  ver  que  asuntos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Alcántara</w:t>
            </w:r>
          </w:p>
        </w:tc>
        <w:tc>
          <w:tcPr>
            <w:tcW w:w="1418" w:type="dxa"/>
            <w:tcBorders>
              <w:top w:val="nil"/>
              <w:bottom w:val="nil"/>
            </w:tcBorders>
          </w:tcPr>
          <w:p>
            <w:pPr>
              <w:pStyle w:val="TableParagraph"/>
              <w:spacing w:line="241" w:lineRule="exact"/>
              <w:ind w:left="100" w:right="101"/>
              <w:rPr>
                <w:sz w:val="22"/>
              </w:rPr>
            </w:pPr>
            <w:r>
              <w:rPr>
                <w:sz w:val="22"/>
              </w:rPr>
              <w:t>de quesos</w:t>
            </w:r>
          </w:p>
        </w:tc>
        <w:tc>
          <w:tcPr>
            <w:tcW w:w="1841" w:type="dxa"/>
            <w:tcBorders>
              <w:top w:val="nil"/>
              <w:bottom w:val="nil"/>
            </w:tcBorders>
          </w:tcPr>
          <w:p>
            <w:pPr>
              <w:pStyle w:val="TableParagraph"/>
              <w:spacing w:line="241" w:lineRule="exact"/>
              <w:ind w:left="100"/>
              <w:rPr>
                <w:sz w:val="22"/>
              </w:rPr>
            </w:pPr>
            <w:r>
              <w:rPr>
                <w:sz w:val="22"/>
              </w:rPr>
              <w:t>Productores</w:t>
            </w:r>
          </w:p>
        </w:tc>
        <w:tc>
          <w:tcPr>
            <w:tcW w:w="1135" w:type="dxa"/>
            <w:tcBorders>
              <w:top w:val="nil"/>
              <w:bottom w:val="nil"/>
            </w:tcBorders>
          </w:tcPr>
          <w:p>
            <w:pPr>
              <w:pStyle w:val="TableParagraph"/>
              <w:spacing w:line="241" w:lineRule="exact"/>
              <w:rPr>
                <w:sz w:val="22"/>
              </w:rPr>
            </w:pPr>
            <w:r>
              <w:rPr>
                <w:sz w:val="22"/>
              </w:rPr>
              <w:t>ador</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tratan.</w:t>
            </w:r>
          </w:p>
        </w:tc>
      </w:tr>
      <w:tr>
        <w:trPr>
          <w:trHeight w:val="253" w:hRule="exact"/>
        </w:trPr>
        <w:tc>
          <w:tcPr>
            <w:tcW w:w="1385" w:type="dxa"/>
            <w:tcBorders>
              <w:top w:val="nil"/>
              <w:bottom w:val="nil"/>
            </w:tcBorders>
          </w:tcPr>
          <w:p>
            <w:pPr>
              <w:pStyle w:val="TableParagraph"/>
              <w:spacing w:line="241" w:lineRule="exact"/>
              <w:rPr>
                <w:sz w:val="22"/>
              </w:rPr>
            </w:pPr>
            <w:r>
              <w:rPr>
                <w:sz w:val="22"/>
              </w:rPr>
              <w:t>Mondragón</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Lácteos de</w:t>
            </w:r>
          </w:p>
        </w:tc>
        <w:tc>
          <w:tcPr>
            <w:tcW w:w="1135" w:type="dxa"/>
            <w:tcBorders>
              <w:top w:val="nil"/>
              <w:bottom w:val="nil"/>
            </w:tcBorders>
          </w:tcPr>
          <w:p>
            <w:pPr>
              <w:pStyle w:val="TableParagraph"/>
              <w:spacing w:line="241" w:lineRule="exact"/>
              <w:rPr>
                <w:sz w:val="22"/>
              </w:rPr>
            </w:pPr>
            <w:r>
              <w:rPr>
                <w:sz w:val="22"/>
              </w:rPr>
              <w:t>único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rPr>
                <w:sz w:val="22"/>
              </w:rPr>
            </w:pPr>
            <w:r>
              <w:rPr>
                <w:sz w:val="22"/>
              </w:rPr>
              <w:t>(18/7/2014)</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Aculco S.A.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C.V</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2" w:lineRule="exact"/>
              <w:ind w:left="100"/>
              <w:rPr>
                <w:sz w:val="22"/>
              </w:rPr>
            </w:pPr>
            <w:r>
              <w:rPr>
                <w:sz w:val="22"/>
              </w:rPr>
              <w:t>(50 socios de</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bl>
    <w:p>
      <w:pPr>
        <w:spacing w:after="0"/>
        <w:sectPr>
          <w:pgSz w:w="15840" w:h="12240" w:orient="landscape"/>
          <w:pgMar w:header="0" w:footer="943" w:top="1140" w:bottom="1200" w:left="1200" w:right="130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3687"/>
      </w:tblGrid>
      <w:tr>
        <w:trPr>
          <w:trHeight w:val="540" w:hRule="exact"/>
        </w:trPr>
        <w:tc>
          <w:tcPr>
            <w:tcW w:w="1385" w:type="dxa"/>
          </w:tcPr>
          <w:p>
            <w:pPr/>
          </w:p>
        </w:tc>
        <w:tc>
          <w:tcPr>
            <w:tcW w:w="1418" w:type="dxa"/>
          </w:tcPr>
          <w:p>
            <w:pPr/>
          </w:p>
        </w:tc>
        <w:tc>
          <w:tcPr>
            <w:tcW w:w="1841" w:type="dxa"/>
          </w:tcPr>
          <w:p>
            <w:pPr>
              <w:pStyle w:val="TableParagraph"/>
              <w:spacing w:line="251" w:lineRule="exact"/>
              <w:ind w:left="100"/>
              <w:rPr>
                <w:sz w:val="22"/>
              </w:rPr>
            </w:pPr>
            <w:r>
              <w:rPr>
                <w:sz w:val="22"/>
              </w:rPr>
              <w:t>Aculco)</w:t>
            </w:r>
          </w:p>
        </w:tc>
        <w:tc>
          <w:tcPr>
            <w:tcW w:w="1135" w:type="dxa"/>
          </w:tcPr>
          <w:p>
            <w:pPr/>
          </w:p>
        </w:tc>
        <w:tc>
          <w:tcPr>
            <w:tcW w:w="991" w:type="dxa"/>
          </w:tcPr>
          <w:p>
            <w:pPr/>
          </w:p>
        </w:tc>
        <w:tc>
          <w:tcPr>
            <w:tcW w:w="1277" w:type="dxa"/>
          </w:tcPr>
          <w:p>
            <w:pPr/>
          </w:p>
        </w:tc>
        <w:tc>
          <w:tcPr>
            <w:tcW w:w="1133" w:type="dxa"/>
          </w:tcPr>
          <w:p>
            <w:pPr/>
          </w:p>
        </w:tc>
        <w:tc>
          <w:tcPr>
            <w:tcW w:w="3687" w:type="dxa"/>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Gregorio</w:t>
            </w:r>
          </w:p>
        </w:tc>
        <w:tc>
          <w:tcPr>
            <w:tcW w:w="1418" w:type="dxa"/>
            <w:tcBorders>
              <w:bottom w:val="nil"/>
            </w:tcBorders>
          </w:tcPr>
          <w:p>
            <w:pPr>
              <w:pStyle w:val="TableParagraph"/>
              <w:spacing w:line="251" w:lineRule="exact"/>
              <w:ind w:left="100" w:right="101"/>
              <w:rPr>
                <w:sz w:val="22"/>
              </w:rPr>
            </w:pPr>
            <w:r>
              <w:rPr>
                <w:sz w:val="22"/>
              </w:rPr>
              <w:t>Producción</w:t>
            </w:r>
          </w:p>
        </w:tc>
        <w:tc>
          <w:tcPr>
            <w:tcW w:w="1841" w:type="dxa"/>
            <w:tcBorders>
              <w:bottom w:val="nil"/>
            </w:tcBorders>
          </w:tcPr>
          <w:p>
            <w:pPr>
              <w:pStyle w:val="TableParagraph"/>
              <w:tabs>
                <w:tab w:pos="1482" w:val="left" w:leader="none"/>
              </w:tabs>
              <w:spacing w:line="251" w:lineRule="exact"/>
              <w:ind w:left="100"/>
              <w:rPr>
                <w:sz w:val="22"/>
              </w:rPr>
            </w:pPr>
            <w:r>
              <w:rPr>
                <w:sz w:val="22"/>
              </w:rPr>
              <w:t>Unión</w:t>
              <w:tab/>
              <w:t>de</w:t>
            </w:r>
          </w:p>
        </w:tc>
        <w:tc>
          <w:tcPr>
            <w:tcW w:w="1135" w:type="dxa"/>
            <w:tcBorders>
              <w:bottom w:val="nil"/>
            </w:tcBorders>
          </w:tcPr>
          <w:p>
            <w:pPr>
              <w:pStyle w:val="TableParagraph"/>
              <w:spacing w:line="251" w:lineRule="exact"/>
              <w:rPr>
                <w:sz w:val="22"/>
              </w:rPr>
            </w:pPr>
            <w:r>
              <w:rPr>
                <w:sz w:val="22"/>
              </w:rPr>
              <w:t>Presiden</w:t>
            </w:r>
          </w:p>
        </w:tc>
        <w:tc>
          <w:tcPr>
            <w:tcW w:w="991" w:type="dxa"/>
            <w:tcBorders>
              <w:bottom w:val="nil"/>
            </w:tcBorders>
          </w:tcPr>
          <w:p>
            <w:pPr>
              <w:pStyle w:val="TableParagraph"/>
              <w:spacing w:line="251" w:lineRule="exact"/>
              <w:ind w:left="100"/>
              <w:rPr>
                <w:sz w:val="22"/>
              </w:rPr>
            </w:pPr>
            <w:r>
              <w:rPr>
                <w:sz w:val="22"/>
              </w:rPr>
              <w:t>Polotitl</w:t>
            </w:r>
          </w:p>
        </w:tc>
        <w:tc>
          <w:tcPr>
            <w:tcW w:w="1277" w:type="dxa"/>
            <w:tcBorders>
              <w:bottom w:val="nil"/>
            </w:tcBorders>
          </w:tcPr>
          <w:p>
            <w:pPr>
              <w:pStyle w:val="TableParagraph"/>
              <w:spacing w:line="251" w:lineRule="exact"/>
              <w:ind w:right="92"/>
              <w:rPr>
                <w:sz w:val="22"/>
              </w:rPr>
            </w:pPr>
            <w:r>
              <w:rPr>
                <w:sz w:val="22"/>
              </w:rPr>
              <w:t>Polotitlán</w:t>
            </w:r>
          </w:p>
        </w:tc>
        <w:tc>
          <w:tcPr>
            <w:tcW w:w="1133" w:type="dxa"/>
            <w:tcBorders>
              <w:bottom w:val="nil"/>
            </w:tcBorders>
          </w:tcPr>
          <w:p>
            <w:pPr>
              <w:pStyle w:val="TableParagraph"/>
              <w:spacing w:line="251" w:lineRule="exact"/>
              <w:ind w:left="100" w:right="52"/>
              <w:rPr>
                <w:sz w:val="22"/>
              </w:rPr>
            </w:pPr>
            <w:r>
              <w:rPr>
                <w:sz w:val="22"/>
              </w:rPr>
              <w:t>Polotitlán</w:t>
            </w:r>
          </w:p>
        </w:tc>
        <w:tc>
          <w:tcPr>
            <w:tcW w:w="3687" w:type="dxa"/>
            <w:tcBorders>
              <w:bottom w:val="nil"/>
            </w:tcBorders>
          </w:tcPr>
          <w:p>
            <w:pPr>
              <w:pStyle w:val="TableParagraph"/>
              <w:spacing w:line="251" w:lineRule="exact"/>
              <w:rPr>
                <w:sz w:val="22"/>
              </w:rPr>
            </w:pPr>
            <w:r>
              <w:rPr>
                <w:sz w:val="22"/>
              </w:rPr>
              <w:t>Sí estaría dispuesto a asistir a  una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García</w:t>
            </w:r>
          </w:p>
        </w:tc>
        <w:tc>
          <w:tcPr>
            <w:tcW w:w="1418" w:type="dxa"/>
            <w:tcBorders>
              <w:top w:val="nil"/>
              <w:bottom w:val="nil"/>
            </w:tcBorders>
          </w:tcPr>
          <w:p>
            <w:pPr>
              <w:pStyle w:val="TableParagraph"/>
              <w:spacing w:line="241" w:lineRule="exact"/>
              <w:ind w:left="100"/>
              <w:rPr>
                <w:sz w:val="22"/>
              </w:rPr>
            </w:pPr>
            <w:r>
              <w:rPr>
                <w:sz w:val="22"/>
              </w:rPr>
              <w:t>de quesos e</w:t>
            </w:r>
          </w:p>
        </w:tc>
        <w:tc>
          <w:tcPr>
            <w:tcW w:w="1841" w:type="dxa"/>
            <w:tcBorders>
              <w:top w:val="nil"/>
              <w:bottom w:val="nil"/>
            </w:tcBorders>
          </w:tcPr>
          <w:p>
            <w:pPr>
              <w:pStyle w:val="TableParagraph"/>
              <w:spacing w:line="241" w:lineRule="exact"/>
              <w:ind w:left="100"/>
              <w:rPr>
                <w:sz w:val="22"/>
              </w:rPr>
            </w:pPr>
            <w:r>
              <w:rPr>
                <w:sz w:val="22"/>
              </w:rPr>
              <w:t>Productores   de</w:t>
            </w:r>
          </w:p>
        </w:tc>
        <w:tc>
          <w:tcPr>
            <w:tcW w:w="1135" w:type="dxa"/>
            <w:tcBorders>
              <w:top w:val="nil"/>
              <w:bottom w:val="nil"/>
            </w:tcBorders>
          </w:tcPr>
          <w:p>
            <w:pPr>
              <w:pStyle w:val="TableParagraph"/>
              <w:spacing w:line="241" w:lineRule="exact"/>
              <w:rPr>
                <w:sz w:val="22"/>
              </w:rPr>
            </w:pPr>
            <w:r>
              <w:rPr>
                <w:sz w:val="22"/>
              </w:rPr>
              <w:t>te</w:t>
            </w:r>
          </w:p>
        </w:tc>
        <w:tc>
          <w:tcPr>
            <w:tcW w:w="991" w:type="dxa"/>
            <w:tcBorders>
              <w:top w:val="nil"/>
              <w:bottom w:val="nil"/>
            </w:tcBorders>
          </w:tcPr>
          <w:p>
            <w:pPr>
              <w:pStyle w:val="TableParagraph"/>
              <w:spacing w:line="241" w:lineRule="exact"/>
              <w:ind w:left="100"/>
              <w:rPr>
                <w:sz w:val="22"/>
              </w:rPr>
            </w:pPr>
            <w:r>
              <w:rPr>
                <w:sz w:val="22"/>
              </w:rPr>
              <w:t>án</w:t>
            </w: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tabs>
                <w:tab w:pos="1175" w:val="left" w:leader="none"/>
                <w:tab w:pos="1952" w:val="left" w:leader="none"/>
                <w:tab w:pos="2802" w:val="left" w:leader="none"/>
              </w:tabs>
              <w:spacing w:line="241" w:lineRule="exact"/>
              <w:rPr>
                <w:sz w:val="22"/>
              </w:rPr>
            </w:pPr>
            <w:r>
              <w:rPr>
                <w:sz w:val="22"/>
              </w:rPr>
              <w:t>reunión</w:t>
              <w:tab/>
              <w:t>para</w:t>
              <w:tab/>
              <w:t>tratar</w:t>
              <w:tab/>
              <w:t>asuntos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Arregui</w:t>
            </w:r>
          </w:p>
        </w:tc>
        <w:tc>
          <w:tcPr>
            <w:tcW w:w="1418" w:type="dxa"/>
            <w:tcBorders>
              <w:top w:val="nil"/>
              <w:bottom w:val="nil"/>
            </w:tcBorders>
          </w:tcPr>
          <w:p>
            <w:pPr>
              <w:pStyle w:val="TableParagraph"/>
              <w:spacing w:line="242" w:lineRule="exact"/>
              <w:ind w:left="100" w:right="101"/>
              <w:rPr>
                <w:sz w:val="22"/>
              </w:rPr>
            </w:pPr>
            <w:r>
              <w:rPr>
                <w:sz w:val="22"/>
              </w:rPr>
              <w:t>Ingeniero</w:t>
            </w:r>
          </w:p>
        </w:tc>
        <w:tc>
          <w:tcPr>
            <w:tcW w:w="1841" w:type="dxa"/>
            <w:tcBorders>
              <w:top w:val="nil"/>
              <w:bottom w:val="nil"/>
            </w:tcBorders>
          </w:tcPr>
          <w:p>
            <w:pPr>
              <w:pStyle w:val="TableParagraph"/>
              <w:tabs>
                <w:tab w:pos="1482" w:val="left" w:leader="none"/>
              </w:tabs>
              <w:spacing w:line="242" w:lineRule="exact"/>
              <w:ind w:left="100"/>
              <w:rPr>
                <w:sz w:val="22"/>
              </w:rPr>
            </w:pPr>
            <w:r>
              <w:rPr>
                <w:sz w:val="22"/>
              </w:rPr>
              <w:t>Leche</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relacionados con la laguna  porque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(4/9/2014)</w:t>
            </w:r>
          </w:p>
        </w:tc>
        <w:tc>
          <w:tcPr>
            <w:tcW w:w="1418" w:type="dxa"/>
            <w:tcBorders>
              <w:top w:val="nil"/>
              <w:bottom w:val="nil"/>
            </w:tcBorders>
          </w:tcPr>
          <w:p>
            <w:pPr>
              <w:pStyle w:val="TableParagraph"/>
              <w:spacing w:line="241" w:lineRule="exact"/>
              <w:ind w:left="100" w:right="101"/>
              <w:rPr>
                <w:sz w:val="22"/>
              </w:rPr>
            </w:pPr>
            <w:r>
              <w:rPr>
                <w:sz w:val="22"/>
              </w:rPr>
              <w:t>Civil</w:t>
            </w:r>
          </w:p>
        </w:tc>
        <w:tc>
          <w:tcPr>
            <w:tcW w:w="1841" w:type="dxa"/>
            <w:tcBorders>
              <w:top w:val="nil"/>
              <w:bottom w:val="nil"/>
            </w:tcBorders>
          </w:tcPr>
          <w:p>
            <w:pPr>
              <w:pStyle w:val="TableParagraph"/>
              <w:tabs>
                <w:tab w:pos="1312" w:val="left" w:leader="none"/>
              </w:tabs>
              <w:spacing w:line="241" w:lineRule="exact"/>
              <w:ind w:left="100"/>
              <w:rPr>
                <w:sz w:val="22"/>
              </w:rPr>
            </w:pPr>
            <w:r>
              <w:rPr>
                <w:sz w:val="22"/>
              </w:rPr>
              <w:t>Polotitlán</w:t>
              <w:tab/>
              <w:t>S.A.</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me interesa y de hecho he  asistido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de C.V.</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cada vez que me invitan.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640" w:val="left" w:leader="none"/>
                <w:tab w:pos="1484" w:val="left" w:leader="none"/>
              </w:tabs>
              <w:spacing w:line="241" w:lineRule="exact"/>
              <w:ind w:left="100"/>
              <w:rPr>
                <w:sz w:val="22"/>
              </w:rPr>
            </w:pPr>
            <w:r>
              <w:rPr>
                <w:sz w:val="22"/>
              </w:rPr>
              <w:t>(97</w:t>
              <w:tab/>
              <w:t>socios</w:t>
              <w:tab/>
              <w:t>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tabs>
                <w:tab w:pos="1617" w:val="left" w:leader="none"/>
              </w:tabs>
              <w:spacing w:line="241" w:lineRule="exact"/>
              <w:ind w:left="100"/>
              <w:rPr>
                <w:sz w:val="22"/>
              </w:rPr>
            </w:pPr>
            <w:r>
              <w:rPr>
                <w:sz w:val="22"/>
              </w:rPr>
              <w:t>Aculco</w:t>
              <w:tab/>
              <w:t>y</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503"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2" w:lineRule="exact"/>
              <w:ind w:left="100"/>
              <w:rPr>
                <w:sz w:val="22"/>
              </w:rPr>
            </w:pPr>
            <w:r>
              <w:rPr>
                <w:sz w:val="22"/>
              </w:rPr>
              <w:t>Polotitlán)</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658" w:hRule="exact"/>
        </w:trPr>
        <w:tc>
          <w:tcPr>
            <w:tcW w:w="4645" w:type="dxa"/>
            <w:gridSpan w:val="3"/>
          </w:tcPr>
          <w:p>
            <w:pPr>
              <w:pStyle w:val="TableParagraph"/>
              <w:spacing w:before="8"/>
              <w:ind w:left="0"/>
              <w:rPr>
                <w:b/>
                <w:sz w:val="21"/>
              </w:rPr>
            </w:pPr>
          </w:p>
          <w:p>
            <w:pPr>
              <w:pStyle w:val="TableParagraph"/>
              <w:rPr>
                <w:sz w:val="22"/>
              </w:rPr>
            </w:pPr>
            <w:r>
              <w:rPr>
                <w:sz w:val="22"/>
              </w:rPr>
              <w:t>Maxilácteos S.A. de C.V. de Polotitlán</w:t>
            </w:r>
          </w:p>
        </w:tc>
        <w:tc>
          <w:tcPr>
            <w:tcW w:w="8223" w:type="dxa"/>
            <w:gridSpan w:val="5"/>
          </w:tcPr>
          <w:p>
            <w:pPr>
              <w:pStyle w:val="TableParagraph"/>
              <w:spacing w:before="8"/>
              <w:ind w:left="0"/>
              <w:rPr>
                <w:b/>
                <w:sz w:val="21"/>
              </w:rPr>
            </w:pPr>
          </w:p>
          <w:p>
            <w:pPr>
              <w:pStyle w:val="TableParagraph"/>
              <w:rPr>
                <w:sz w:val="22"/>
              </w:rPr>
            </w:pPr>
            <w:r>
              <w:rPr>
                <w:sz w:val="22"/>
              </w:rPr>
              <w:t>No accedieron a la entrevista por cuestiones de seguridad.</w:t>
            </w: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4373" w:right="397"/>
      </w:pPr>
      <w:r>
        <w:rPr/>
        <w:t>Tabla 6.6. Turismo en el Municipio de Aculco</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4"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 y cultura</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Asociación</w:t>
            </w:r>
          </w:p>
        </w:tc>
        <w:tc>
          <w:tcPr>
            <w:tcW w:w="1135" w:type="dxa"/>
            <w:tcBorders>
              <w:bottom w:val="nil"/>
            </w:tcBorders>
            <w:shd w:val="clear" w:color="auto" w:fill="F9BE8F"/>
          </w:tcPr>
          <w:p>
            <w:pPr>
              <w:pStyle w:val="TableParagraph"/>
              <w:spacing w:line="248" w:lineRule="exact"/>
              <w:rPr>
                <w:b/>
                <w:sz w:val="22"/>
              </w:rPr>
            </w:pPr>
            <w:r>
              <w:rPr>
                <w:b/>
                <w:sz w:val="22"/>
              </w:rPr>
              <w:t>Cargo</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1702" w:type="dxa"/>
            <w:tcBorders>
              <w:bottom w:val="nil"/>
            </w:tcBorders>
            <w:shd w:val="clear" w:color="auto" w:fill="92CDDC"/>
          </w:tcPr>
          <w:p>
            <w:pPr>
              <w:pStyle w:val="TableParagraph"/>
              <w:tabs>
                <w:tab w:pos="1199" w:val="left" w:leader="none"/>
              </w:tabs>
              <w:spacing w:line="248" w:lineRule="exact"/>
              <w:rPr>
                <w:b/>
                <w:sz w:val="22"/>
              </w:rPr>
            </w:pPr>
            <w:r>
              <w:rPr>
                <w:b/>
                <w:sz w:val="22"/>
              </w:rPr>
              <w:t>¿Cuáles</w:t>
              <w:tab/>
              <w:t>son</w:t>
            </w:r>
          </w:p>
        </w:tc>
        <w:tc>
          <w:tcPr>
            <w:tcW w:w="1985" w:type="dxa"/>
            <w:tcBorders>
              <w:bottom w:val="nil"/>
            </w:tcBorders>
            <w:shd w:val="clear" w:color="auto" w:fill="92CDDC"/>
          </w:tcPr>
          <w:p>
            <w:pPr>
              <w:pStyle w:val="TableParagraph"/>
              <w:spacing w:line="248" w:lineRule="exact"/>
              <w:rPr>
                <w:b/>
                <w:sz w:val="22"/>
              </w:rPr>
            </w:pPr>
            <w:r>
              <w:rPr>
                <w:b/>
                <w:sz w:val="22"/>
              </w:rPr>
              <w:t>¿Por   qué </w:t>
            </w:r>
            <w:r>
              <w:rPr>
                <w:b/>
                <w:spacing w:val="55"/>
                <w:sz w:val="22"/>
              </w:rPr>
              <w:t> </w:t>
            </w:r>
            <w:r>
              <w:rPr>
                <w:b/>
                <w:sz w:val="22"/>
              </w:rPr>
              <w:t>tiene</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turística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los</w:t>
            </w:r>
          </w:p>
        </w:tc>
        <w:tc>
          <w:tcPr>
            <w:tcW w:w="1985" w:type="dxa"/>
            <w:tcBorders>
              <w:top w:val="nil"/>
              <w:bottom w:val="nil"/>
            </w:tcBorders>
            <w:shd w:val="clear" w:color="auto" w:fill="92CDDC"/>
          </w:tcPr>
          <w:p>
            <w:pPr>
              <w:pStyle w:val="TableParagraph"/>
              <w:tabs>
                <w:tab w:pos="1688" w:val="left" w:leader="none"/>
              </w:tabs>
              <w:spacing w:line="241" w:lineRule="exact"/>
              <w:rPr>
                <w:b/>
                <w:sz w:val="22"/>
              </w:rPr>
            </w:pPr>
            <w:r>
              <w:rPr>
                <w:b/>
                <w:sz w:val="22"/>
              </w:rPr>
              <w:t>problemas</w:t>
              <w:tab/>
              <w:t>la</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problemas</w:t>
            </w: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laguna</w:t>
              <w:tab/>
              <w:t>de</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que   tiene   la</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3" w:val="left" w:leader="none"/>
              </w:tabs>
              <w:spacing w:line="241" w:lineRule="exact"/>
              <w:rPr>
                <w:b/>
                <w:sz w:val="22"/>
              </w:rPr>
            </w:pPr>
            <w:r>
              <w:rPr>
                <w:b/>
                <w:sz w:val="22"/>
              </w:rPr>
              <w:t>laguna</w:t>
              <w:tab/>
              <w:t>de</w:t>
            </w:r>
          </w:p>
        </w:tc>
        <w:tc>
          <w:tcPr>
            <w:tcW w:w="1985" w:type="dxa"/>
            <w:tcBorders>
              <w:top w:val="nil"/>
              <w:bottom w:val="nil"/>
            </w:tcBorders>
            <w:shd w:val="clear" w:color="auto" w:fill="92CDDC"/>
          </w:tcPr>
          <w:p>
            <w:pPr/>
          </w:p>
        </w:tc>
      </w:tr>
      <w:tr>
        <w:trPr>
          <w:trHeight w:val="251"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2" w:lineRule="exact"/>
              <w:rPr>
                <w:b/>
                <w:sz w:val="22"/>
              </w:rPr>
            </w:pPr>
            <w:r>
              <w:rPr>
                <w:b/>
                <w:sz w:val="22"/>
              </w:rPr>
              <w:t>Huapango?</w:t>
            </w:r>
          </w:p>
        </w:tc>
        <w:tc>
          <w:tcPr>
            <w:tcW w:w="1985"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Yolanda</w:t>
            </w:r>
          </w:p>
        </w:tc>
        <w:tc>
          <w:tcPr>
            <w:tcW w:w="1418" w:type="dxa"/>
            <w:tcBorders>
              <w:bottom w:val="nil"/>
            </w:tcBorders>
          </w:tcPr>
          <w:p>
            <w:pPr>
              <w:pStyle w:val="TableParagraph"/>
              <w:spacing w:line="251" w:lineRule="exact"/>
              <w:ind w:left="100" w:right="101"/>
              <w:rPr>
                <w:sz w:val="22"/>
              </w:rPr>
            </w:pPr>
            <w:r>
              <w:rPr>
                <w:sz w:val="22"/>
              </w:rPr>
              <w:t>Encargada</w:t>
            </w:r>
          </w:p>
        </w:tc>
        <w:tc>
          <w:tcPr>
            <w:tcW w:w="1841" w:type="dxa"/>
            <w:tcBorders>
              <w:bottom w:val="nil"/>
            </w:tcBorders>
          </w:tcPr>
          <w:p>
            <w:pPr>
              <w:pStyle w:val="TableParagraph"/>
              <w:spacing w:line="251" w:lineRule="exact"/>
              <w:ind w:left="100"/>
              <w:rPr>
                <w:sz w:val="22"/>
              </w:rPr>
            </w:pPr>
            <w:r>
              <w:rPr>
                <w:sz w:val="22"/>
              </w:rPr>
              <w:t>Las Delicias de</w:t>
            </w:r>
          </w:p>
        </w:tc>
        <w:tc>
          <w:tcPr>
            <w:tcW w:w="1135" w:type="dxa"/>
            <w:tcBorders>
              <w:bottom w:val="nil"/>
            </w:tcBorders>
          </w:tcPr>
          <w:p>
            <w:pPr>
              <w:pStyle w:val="TableParagraph"/>
              <w:spacing w:line="251" w:lineRule="exact"/>
              <w:rPr>
                <w:sz w:val="22"/>
              </w:rPr>
            </w:pPr>
            <w:r>
              <w:rPr>
                <w:sz w:val="22"/>
              </w:rPr>
              <w:t>Encarga</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Los</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La</w:t>
            </w:r>
          </w:p>
        </w:tc>
        <w:tc>
          <w:tcPr>
            <w:tcW w:w="1985" w:type="dxa"/>
            <w:tcBorders>
              <w:bottom w:val="nil"/>
            </w:tcBorders>
          </w:tcPr>
          <w:p>
            <w:pPr>
              <w:pStyle w:val="TableParagraph"/>
              <w:tabs>
                <w:tab w:pos="1151" w:val="left" w:leader="none"/>
              </w:tabs>
              <w:spacing w:line="251" w:lineRule="exact"/>
              <w:rPr>
                <w:sz w:val="22"/>
              </w:rPr>
            </w:pPr>
            <w:r>
              <w:rPr>
                <w:sz w:val="22"/>
              </w:rPr>
              <w:t>Porque</w:t>
              <w:tab/>
              <w:t>ocupan</w:t>
            </w:r>
          </w:p>
        </w:tc>
      </w:tr>
      <w:tr>
        <w:trPr>
          <w:trHeight w:val="254" w:hRule="exact"/>
        </w:trPr>
        <w:tc>
          <w:tcPr>
            <w:tcW w:w="1385" w:type="dxa"/>
            <w:tcBorders>
              <w:top w:val="nil"/>
              <w:bottom w:val="nil"/>
            </w:tcBorders>
          </w:tcPr>
          <w:p>
            <w:pPr>
              <w:pStyle w:val="TableParagraph"/>
              <w:spacing w:line="242" w:lineRule="exact"/>
              <w:ind w:right="127"/>
              <w:rPr>
                <w:sz w:val="22"/>
              </w:rPr>
            </w:pPr>
            <w:r>
              <w:rPr>
                <w:sz w:val="22"/>
              </w:rPr>
              <w:t>Santiago</w:t>
            </w:r>
          </w:p>
        </w:tc>
        <w:tc>
          <w:tcPr>
            <w:tcW w:w="1418" w:type="dxa"/>
            <w:tcBorders>
              <w:top w:val="nil"/>
              <w:bottom w:val="nil"/>
            </w:tcBorders>
          </w:tcPr>
          <w:p>
            <w:pPr>
              <w:pStyle w:val="TableParagraph"/>
              <w:spacing w:line="242" w:lineRule="exact"/>
              <w:ind w:left="100" w:right="101"/>
              <w:rPr>
                <w:sz w:val="22"/>
              </w:rPr>
            </w:pPr>
            <w:r>
              <w:rPr>
                <w:sz w:val="22"/>
              </w:rPr>
              <w:t>del centro</w:t>
            </w:r>
          </w:p>
        </w:tc>
        <w:tc>
          <w:tcPr>
            <w:tcW w:w="1841" w:type="dxa"/>
            <w:tcBorders>
              <w:top w:val="nil"/>
              <w:bottom w:val="nil"/>
            </w:tcBorders>
          </w:tcPr>
          <w:p>
            <w:pPr>
              <w:pStyle w:val="TableParagraph"/>
              <w:spacing w:line="242" w:lineRule="exact"/>
              <w:ind w:left="100"/>
              <w:rPr>
                <w:sz w:val="22"/>
              </w:rPr>
            </w:pPr>
            <w:r>
              <w:rPr>
                <w:sz w:val="22"/>
              </w:rPr>
              <w:t>Huapango S.A.</w:t>
            </w:r>
          </w:p>
        </w:tc>
        <w:tc>
          <w:tcPr>
            <w:tcW w:w="1135" w:type="dxa"/>
            <w:tcBorders>
              <w:top w:val="nil"/>
              <w:bottom w:val="nil"/>
            </w:tcBorders>
          </w:tcPr>
          <w:p>
            <w:pPr>
              <w:pStyle w:val="TableParagraph"/>
              <w:spacing w:line="242" w:lineRule="exact"/>
              <w:rPr>
                <w:sz w:val="22"/>
              </w:rPr>
            </w:pPr>
            <w:r>
              <w:rPr>
                <w:sz w:val="22"/>
              </w:rPr>
              <w:t>da del</w:t>
            </w: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Pilares,</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1702" w:type="dxa"/>
            <w:tcBorders>
              <w:top w:val="nil"/>
              <w:bottom w:val="nil"/>
            </w:tcBorders>
          </w:tcPr>
          <w:p>
            <w:pPr>
              <w:pStyle w:val="TableParagraph"/>
              <w:spacing w:line="242" w:lineRule="exact"/>
              <w:rPr>
                <w:sz w:val="22"/>
              </w:rPr>
            </w:pPr>
            <w:r>
              <w:rPr>
                <w:sz w:val="22"/>
              </w:rPr>
              <w:t>desorganizació</w:t>
            </w:r>
          </w:p>
        </w:tc>
        <w:tc>
          <w:tcPr>
            <w:tcW w:w="1985" w:type="dxa"/>
            <w:tcBorders>
              <w:top w:val="nil"/>
              <w:bottom w:val="nil"/>
            </w:tcBorders>
          </w:tcPr>
          <w:p>
            <w:pPr>
              <w:pStyle w:val="TableParagraph"/>
              <w:spacing w:line="242" w:lineRule="exact"/>
              <w:rPr>
                <w:sz w:val="22"/>
              </w:rPr>
            </w:pPr>
            <w:r>
              <w:rPr>
                <w:sz w:val="22"/>
              </w:rPr>
              <w:t>mucha  red  y   no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De Jesús</w:t>
            </w:r>
          </w:p>
        </w:tc>
        <w:tc>
          <w:tcPr>
            <w:tcW w:w="1418" w:type="dxa"/>
            <w:tcBorders>
              <w:top w:val="nil"/>
              <w:bottom w:val="nil"/>
            </w:tcBorders>
          </w:tcPr>
          <w:p>
            <w:pPr>
              <w:pStyle w:val="TableParagraph"/>
              <w:spacing w:line="241" w:lineRule="exact"/>
              <w:ind w:left="100" w:right="101"/>
              <w:rPr>
                <w:sz w:val="22"/>
              </w:rPr>
            </w:pPr>
            <w:r>
              <w:rPr>
                <w:sz w:val="22"/>
              </w:rPr>
              <w:t>turístico y</w:t>
            </w:r>
          </w:p>
        </w:tc>
        <w:tc>
          <w:tcPr>
            <w:tcW w:w="1841" w:type="dxa"/>
            <w:tcBorders>
              <w:top w:val="nil"/>
              <w:bottom w:val="nil"/>
            </w:tcBorders>
          </w:tcPr>
          <w:p>
            <w:pPr>
              <w:pStyle w:val="TableParagraph"/>
              <w:spacing w:line="241" w:lineRule="exact"/>
              <w:ind w:left="100"/>
              <w:rPr>
                <w:sz w:val="22"/>
              </w:rPr>
            </w:pPr>
            <w:r>
              <w:rPr>
                <w:sz w:val="22"/>
              </w:rPr>
              <w:t>de C. V.</w:t>
            </w:r>
          </w:p>
        </w:tc>
        <w:tc>
          <w:tcPr>
            <w:tcW w:w="1135" w:type="dxa"/>
            <w:tcBorders>
              <w:top w:val="nil"/>
              <w:bottom w:val="nil"/>
            </w:tcBorders>
          </w:tcPr>
          <w:p>
            <w:pPr>
              <w:pStyle w:val="TableParagraph"/>
              <w:spacing w:line="241" w:lineRule="exact"/>
              <w:rPr>
                <w:sz w:val="22"/>
              </w:rPr>
            </w:pPr>
            <w:r>
              <w:rPr>
                <w:sz w:val="22"/>
              </w:rPr>
              <w:t>centro</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tabs>
                <w:tab w:pos="645" w:val="left" w:leader="none"/>
                <w:tab w:pos="1310" w:val="left" w:leader="none"/>
              </w:tabs>
              <w:spacing w:line="241" w:lineRule="exact"/>
              <w:rPr>
                <w:sz w:val="22"/>
              </w:rPr>
            </w:pPr>
            <w:r>
              <w:rPr>
                <w:sz w:val="22"/>
              </w:rPr>
              <w:t>n</w:t>
              <w:tab/>
              <w:t>de</w:t>
              <w:tab/>
              <w:t>los</w:t>
            </w:r>
          </w:p>
        </w:tc>
        <w:tc>
          <w:tcPr>
            <w:tcW w:w="1985" w:type="dxa"/>
            <w:tcBorders>
              <w:top w:val="nil"/>
              <w:bottom w:val="nil"/>
            </w:tcBorders>
          </w:tcPr>
          <w:p>
            <w:pPr>
              <w:pStyle w:val="TableParagraph"/>
              <w:spacing w:line="241" w:lineRule="exact"/>
              <w:rPr>
                <w:sz w:val="22"/>
              </w:rPr>
            </w:pPr>
            <w:r>
              <w:rPr>
                <w:sz w:val="22"/>
              </w:rPr>
              <w:t>hay  espacio para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(4/I/2014)</w:t>
            </w:r>
          </w:p>
        </w:tc>
        <w:tc>
          <w:tcPr>
            <w:tcW w:w="1418" w:type="dxa"/>
            <w:tcBorders>
              <w:top w:val="nil"/>
              <w:bottom w:val="nil"/>
            </w:tcBorders>
          </w:tcPr>
          <w:p>
            <w:pPr>
              <w:pStyle w:val="TableParagraph"/>
              <w:spacing w:line="242" w:lineRule="exact"/>
              <w:ind w:left="100" w:right="101"/>
              <w:rPr>
                <w:sz w:val="22"/>
              </w:rPr>
            </w:pPr>
            <w:r>
              <w:rPr>
                <w:sz w:val="22"/>
              </w:rPr>
              <w:t>ama de</w:t>
            </w:r>
          </w:p>
        </w:tc>
        <w:tc>
          <w:tcPr>
            <w:tcW w:w="1841" w:type="dxa"/>
            <w:tcBorders>
              <w:top w:val="nil"/>
              <w:bottom w:val="nil"/>
            </w:tcBorders>
          </w:tcPr>
          <w:p>
            <w:pPr>
              <w:pStyle w:val="TableParagraph"/>
              <w:spacing w:line="242" w:lineRule="exact"/>
              <w:ind w:left="100"/>
              <w:rPr>
                <w:sz w:val="22"/>
              </w:rPr>
            </w:pPr>
            <w:r>
              <w:rPr>
                <w:sz w:val="22"/>
              </w:rPr>
              <w:t>(Tres</w:t>
            </w:r>
          </w:p>
        </w:tc>
        <w:tc>
          <w:tcPr>
            <w:tcW w:w="1135" w:type="dxa"/>
            <w:tcBorders>
              <w:top w:val="nil"/>
              <w:bottom w:val="nil"/>
            </w:tcBorders>
          </w:tcPr>
          <w:p>
            <w:pPr>
              <w:pStyle w:val="TableParagraph"/>
              <w:spacing w:line="242" w:lineRule="exact"/>
              <w:rPr>
                <w:sz w:val="22"/>
              </w:rPr>
            </w:pPr>
            <w:r>
              <w:rPr>
                <w:sz w:val="22"/>
              </w:rPr>
              <w:t>turístico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pescadores.</w:t>
            </w:r>
          </w:p>
        </w:tc>
        <w:tc>
          <w:tcPr>
            <w:tcW w:w="1985" w:type="dxa"/>
            <w:tcBorders>
              <w:top w:val="nil"/>
              <w:bottom w:val="nil"/>
            </w:tcBorders>
          </w:tcPr>
          <w:p>
            <w:pPr>
              <w:pStyle w:val="TableParagraph"/>
              <w:spacing w:line="242" w:lineRule="exact"/>
              <w:rPr>
                <w:sz w:val="22"/>
              </w:rPr>
            </w:pPr>
            <w:r>
              <w:rPr>
                <w:sz w:val="22"/>
              </w:rPr>
              <w:t>otra cosa.</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casa</w:t>
            </w:r>
          </w:p>
        </w:tc>
        <w:tc>
          <w:tcPr>
            <w:tcW w:w="1841" w:type="dxa"/>
            <w:tcBorders>
              <w:top w:val="nil"/>
              <w:bottom w:val="nil"/>
            </w:tcBorders>
          </w:tcPr>
          <w:p>
            <w:pPr>
              <w:pStyle w:val="TableParagraph"/>
              <w:spacing w:line="241" w:lineRule="exact"/>
              <w:ind w:left="100"/>
              <w:rPr>
                <w:sz w:val="22"/>
              </w:rPr>
            </w:pPr>
            <w:r>
              <w:rPr>
                <w:sz w:val="22"/>
              </w:rPr>
              <w:t>integrantes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municipio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90" w:val="left" w:leader="none"/>
              </w:tabs>
              <w:spacing w:line="241" w:lineRule="exact"/>
              <w:rPr>
                <w:sz w:val="22"/>
              </w:rPr>
            </w:pPr>
            <w:r>
              <w:rPr>
                <w:sz w:val="22"/>
              </w:rPr>
              <w:t>Las</w:t>
              <w:tab/>
              <w:t>aguas</w:t>
            </w:r>
          </w:p>
        </w:tc>
        <w:tc>
          <w:tcPr>
            <w:tcW w:w="1985" w:type="dxa"/>
            <w:tcBorders>
              <w:top w:val="nil"/>
              <w:bottom w:val="nil"/>
            </w:tcBorders>
          </w:tcPr>
          <w:p>
            <w:pPr>
              <w:pStyle w:val="TableParagraph"/>
              <w:tabs>
                <w:tab w:pos="1593" w:val="left" w:leader="none"/>
              </w:tabs>
              <w:spacing w:line="241" w:lineRule="exact"/>
              <w:rPr>
                <w:sz w:val="22"/>
              </w:rPr>
            </w:pPr>
            <w:r>
              <w:rPr>
                <w:sz w:val="22"/>
              </w:rPr>
              <w:t>Porque</w:t>
              <w:tab/>
              <w:t>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Aculco)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negras  que se</w:t>
            </w:r>
          </w:p>
        </w:tc>
        <w:tc>
          <w:tcPr>
            <w:tcW w:w="1985" w:type="dxa"/>
            <w:tcBorders>
              <w:top w:val="nil"/>
              <w:bottom w:val="nil"/>
            </w:tcBorders>
          </w:tcPr>
          <w:p>
            <w:pPr>
              <w:pStyle w:val="TableParagraph"/>
              <w:spacing w:line="242" w:lineRule="exact"/>
              <w:rPr>
                <w:sz w:val="22"/>
              </w:rPr>
            </w:pPr>
            <w:r>
              <w:rPr>
                <w:sz w:val="22"/>
              </w:rPr>
              <w:t>municipios</w:t>
            </w: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tabs>
                <w:tab w:pos="1029" w:val="left" w:leader="none"/>
                <w:tab w:pos="1417" w:val="left" w:leader="none"/>
              </w:tabs>
              <w:spacing w:line="241" w:lineRule="exact"/>
              <w:rPr>
                <w:sz w:val="22"/>
              </w:rPr>
            </w:pPr>
            <w:r>
              <w:rPr>
                <w:sz w:val="22"/>
              </w:rPr>
              <w:t>vierten</w:t>
              <w:tab/>
              <w:t>a</w:t>
              <w:tab/>
              <w:t>la</w:t>
            </w:r>
          </w:p>
        </w:tc>
        <w:tc>
          <w:tcPr>
            <w:tcW w:w="1985" w:type="dxa"/>
            <w:tcBorders>
              <w:top w:val="nil"/>
            </w:tcBorders>
          </w:tcPr>
          <w:p>
            <w:pPr>
              <w:pStyle w:val="TableParagraph"/>
              <w:tabs>
                <w:tab w:pos="1530" w:val="left" w:leader="none"/>
              </w:tabs>
              <w:spacing w:line="241" w:lineRule="exact"/>
              <w:rPr>
                <w:sz w:val="22"/>
              </w:rPr>
            </w:pPr>
            <w:r>
              <w:rPr>
                <w:sz w:val="22"/>
              </w:rPr>
              <w:t>descargan</w:t>
              <w:tab/>
              <w:t>sus</w:t>
            </w:r>
          </w:p>
        </w:tc>
      </w:tr>
    </w:tbl>
    <w:p>
      <w:pPr>
        <w:spacing w:after="0" w:line="241" w:lineRule="exact"/>
        <w:rPr>
          <w:sz w:val="22"/>
        </w:rPr>
        <w:sectPr>
          <w:pgSz w:w="15840" w:h="12240" w:orient="landscape"/>
          <w:pgMar w:header="0" w:footer="943" w:top="1140" w:bottom="1200" w:left="1200" w:right="130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40" w:hRule="exact"/>
        </w:trPr>
        <w:tc>
          <w:tcPr>
            <w:tcW w:w="1385" w:type="dxa"/>
          </w:tcPr>
          <w:p>
            <w:pPr/>
          </w:p>
        </w:tc>
        <w:tc>
          <w:tcPr>
            <w:tcW w:w="1418" w:type="dxa"/>
          </w:tcPr>
          <w:p>
            <w:pPr/>
          </w:p>
        </w:tc>
        <w:tc>
          <w:tcPr>
            <w:tcW w:w="1841" w:type="dxa"/>
          </w:tcPr>
          <w:p>
            <w:pPr/>
          </w:p>
        </w:tc>
        <w:tc>
          <w:tcPr>
            <w:tcW w:w="1135" w:type="dxa"/>
          </w:tcPr>
          <w:p>
            <w:pPr/>
          </w:p>
        </w:tc>
        <w:tc>
          <w:tcPr>
            <w:tcW w:w="991" w:type="dxa"/>
          </w:tcPr>
          <w:p>
            <w:pPr/>
          </w:p>
        </w:tc>
        <w:tc>
          <w:tcPr>
            <w:tcW w:w="1277" w:type="dxa"/>
          </w:tcPr>
          <w:p>
            <w:pPr/>
          </w:p>
        </w:tc>
        <w:tc>
          <w:tcPr>
            <w:tcW w:w="1133" w:type="dxa"/>
          </w:tcPr>
          <w:p>
            <w:pPr/>
          </w:p>
        </w:tc>
        <w:tc>
          <w:tcPr>
            <w:tcW w:w="1702" w:type="dxa"/>
          </w:tcPr>
          <w:p>
            <w:pPr>
              <w:pStyle w:val="TableParagraph"/>
              <w:spacing w:line="251" w:lineRule="exact"/>
              <w:rPr>
                <w:sz w:val="22"/>
              </w:rPr>
            </w:pPr>
            <w:r>
              <w:rPr>
                <w:sz w:val="22"/>
              </w:rPr>
              <w:t>laguna</w:t>
            </w:r>
          </w:p>
        </w:tc>
        <w:tc>
          <w:tcPr>
            <w:tcW w:w="1985" w:type="dxa"/>
          </w:tcPr>
          <w:p>
            <w:pPr>
              <w:pStyle w:val="TableParagraph"/>
              <w:tabs>
                <w:tab w:pos="1141" w:val="left" w:leader="none"/>
                <w:tab w:pos="1703" w:val="left" w:leader="none"/>
              </w:tabs>
              <w:spacing w:line="252" w:lineRule="exact" w:before="2"/>
              <w:ind w:right="99"/>
              <w:rPr>
                <w:sz w:val="22"/>
              </w:rPr>
            </w:pPr>
            <w:r>
              <w:rPr>
                <w:sz w:val="22"/>
              </w:rPr>
              <w:t>aguas</w:t>
              <w:tab/>
              <w:t>a</w:t>
              <w:tab/>
              <w:t>la laguna.</w:t>
            </w: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spacing w:after="6"/>
        <w:ind w:left="3077" w:right="397"/>
      </w:pPr>
      <w:r>
        <w:rPr/>
        <w:t>Tabla 6.6. Turismo en el Municipio de Aculco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5"/>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5"/>
              <w:ind w:left="0"/>
              <w:rPr>
                <w:b/>
                <w:sz w:val="21"/>
              </w:rPr>
            </w:pPr>
          </w:p>
          <w:p>
            <w:pPr>
              <w:pStyle w:val="TableParagraph"/>
              <w:ind w:left="1404"/>
              <w:rPr>
                <w:b/>
                <w:sz w:val="22"/>
              </w:rPr>
            </w:pPr>
            <w:r>
              <w:rPr>
                <w:b/>
                <w:sz w:val="22"/>
              </w:rPr>
              <w:t>PRINCIPIOS DE GOBERNANZA</w:t>
            </w:r>
          </w:p>
        </w:tc>
      </w:tr>
      <w:tr>
        <w:trPr>
          <w:trHeight w:val="262"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w:t>
            </w:r>
          </w:p>
        </w:tc>
      </w:tr>
      <w:tr>
        <w:trPr>
          <w:trHeight w:val="266"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9" w:lineRule="exact"/>
              <w:ind w:left="100"/>
              <w:rPr>
                <w:b/>
                <w:sz w:val="22"/>
              </w:rPr>
            </w:pPr>
            <w:r>
              <w:rPr>
                <w:b/>
                <w:sz w:val="22"/>
              </w:rPr>
              <w:t>Asociación</w:t>
            </w:r>
          </w:p>
        </w:tc>
        <w:tc>
          <w:tcPr>
            <w:tcW w:w="1135" w:type="dxa"/>
            <w:tcBorders>
              <w:bottom w:val="nil"/>
            </w:tcBorders>
            <w:shd w:val="clear" w:color="auto" w:fill="F9BE8F"/>
          </w:tcPr>
          <w:p>
            <w:pPr>
              <w:pStyle w:val="TableParagraph"/>
              <w:spacing w:line="249" w:lineRule="exact"/>
              <w:rPr>
                <w:b/>
                <w:sz w:val="22"/>
              </w:rPr>
            </w:pPr>
            <w:r>
              <w:rPr>
                <w:b/>
                <w:sz w:val="22"/>
              </w:rPr>
              <w:t>Cargo</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9" w:lineRule="exact"/>
              <w:rPr>
                <w:b/>
                <w:sz w:val="22"/>
              </w:rPr>
            </w:pPr>
            <w:r>
              <w:rPr>
                <w:b/>
                <w:sz w:val="22"/>
              </w:rPr>
              <w:t>¿Qué</w:t>
            </w:r>
          </w:p>
        </w:tc>
        <w:tc>
          <w:tcPr>
            <w:tcW w:w="1985" w:type="dxa"/>
            <w:tcBorders>
              <w:bottom w:val="nil"/>
            </w:tcBorders>
            <w:shd w:val="clear" w:color="auto" w:fill="92CDDC"/>
          </w:tcPr>
          <w:p>
            <w:pPr>
              <w:pStyle w:val="TableParagraph"/>
              <w:spacing w:line="249" w:lineRule="exact"/>
              <w:rPr>
                <w:b/>
                <w:sz w:val="22"/>
              </w:rPr>
            </w:pPr>
            <w:r>
              <w:rPr>
                <w:b/>
                <w:sz w:val="22"/>
              </w:rPr>
              <w:t>¿Quiénes</w:t>
            </w:r>
            <w:r>
              <w:rPr>
                <w:b/>
                <w:spacing w:val="58"/>
                <w:sz w:val="22"/>
              </w:rPr>
              <w:t> </w:t>
            </w:r>
            <w:r>
              <w:rPr>
                <w:b/>
                <w:sz w:val="22"/>
              </w:rPr>
              <w:t>deben</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2"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2" w:lineRule="exact"/>
              <w:ind w:left="100"/>
              <w:rPr>
                <w:b/>
                <w:sz w:val="22"/>
              </w:rPr>
            </w:pPr>
            <w:r>
              <w:rPr>
                <w:b/>
                <w:sz w:val="22"/>
              </w:rPr>
              <w:t>turística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2"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2"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2"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2" w:lineRule="exact"/>
              <w:rPr>
                <w:b/>
                <w:sz w:val="22"/>
              </w:rPr>
            </w:pPr>
            <w:r>
              <w:rPr>
                <w:b/>
                <w:sz w:val="22"/>
              </w:rPr>
              <w:t>solución</w:t>
            </w:r>
          </w:p>
        </w:tc>
        <w:tc>
          <w:tcPr>
            <w:tcW w:w="1985" w:type="dxa"/>
            <w:tcBorders>
              <w:top w:val="nil"/>
              <w:bottom w:val="nil"/>
            </w:tcBorders>
            <w:shd w:val="clear" w:color="auto" w:fill="92CDDC"/>
          </w:tcPr>
          <w:p>
            <w:pPr>
              <w:pStyle w:val="TableParagraph"/>
              <w:tabs>
                <w:tab w:pos="1554" w:val="left" w:leader="none"/>
              </w:tabs>
              <w:spacing w:line="242" w:lineRule="exact"/>
              <w:rPr>
                <w:b/>
                <w:sz w:val="22"/>
              </w:rPr>
            </w:pPr>
            <w:r>
              <w:rPr>
                <w:b/>
                <w:sz w:val="22"/>
              </w:rPr>
              <w:t>solucionar</w:t>
              <w:tab/>
              <w:t>los</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propone  para</w:t>
            </w:r>
          </w:p>
        </w:tc>
        <w:tc>
          <w:tcPr>
            <w:tcW w:w="1985" w:type="dxa"/>
            <w:tcBorders>
              <w:top w:val="nil"/>
              <w:bottom w:val="nil"/>
            </w:tcBorders>
            <w:shd w:val="clear" w:color="auto" w:fill="92CDDC"/>
          </w:tcPr>
          <w:p>
            <w:pPr>
              <w:pStyle w:val="TableParagraph"/>
              <w:spacing w:line="241" w:lineRule="exact"/>
              <w:rPr>
                <w:b/>
                <w:sz w:val="22"/>
              </w:rPr>
            </w:pPr>
            <w:r>
              <w:rPr>
                <w:b/>
                <w:sz w:val="22"/>
              </w:rPr>
              <w:t>problemas  de 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los</w:t>
            </w:r>
          </w:p>
        </w:tc>
        <w:tc>
          <w:tcPr>
            <w:tcW w:w="1985" w:type="dxa"/>
            <w:tcBorders>
              <w:top w:val="nil"/>
              <w:bottom w:val="nil"/>
            </w:tcBorders>
            <w:shd w:val="clear" w:color="auto" w:fill="92CDDC"/>
          </w:tcPr>
          <w:p>
            <w:pPr>
              <w:pStyle w:val="TableParagraph"/>
              <w:spacing w:line="242" w:lineRule="exact"/>
              <w:rPr>
                <w:b/>
                <w:sz w:val="22"/>
              </w:rPr>
            </w:pPr>
            <w:r>
              <w:rPr>
                <w:b/>
                <w:sz w:val="22"/>
              </w:rPr>
              <w:t>laguna</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problemas</w:t>
            </w:r>
            <w:r>
              <w:rPr>
                <w:b/>
                <w:spacing w:val="56"/>
                <w:sz w:val="22"/>
              </w:rPr>
              <w:t> </w:t>
            </w:r>
            <w:r>
              <w:rPr>
                <w:b/>
                <w:sz w:val="22"/>
              </w:rPr>
              <w:t>de</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880" w:val="left" w:leader="none"/>
              </w:tabs>
              <w:spacing w:line="241" w:lineRule="exact"/>
              <w:rPr>
                <w:b/>
                <w:sz w:val="22"/>
              </w:rPr>
            </w:pPr>
            <w:r>
              <w:rPr>
                <w:b/>
                <w:sz w:val="22"/>
              </w:rPr>
              <w:t>la</w:t>
              <w:tab/>
              <w:t>laguna</w:t>
            </w:r>
          </w:p>
        </w:tc>
        <w:tc>
          <w:tcPr>
            <w:tcW w:w="1985" w:type="dxa"/>
            <w:tcBorders>
              <w:top w:val="nil"/>
              <w:bottom w:val="nil"/>
            </w:tcBorders>
            <w:shd w:val="clear" w:color="auto" w:fill="92CDDC"/>
          </w:tcPr>
          <w:p>
            <w:pPr/>
          </w:p>
        </w:tc>
      </w:tr>
      <w:tr>
        <w:trPr>
          <w:trHeight w:val="251"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2" w:lineRule="exact"/>
              <w:rPr>
                <w:b/>
                <w:sz w:val="22"/>
              </w:rPr>
            </w:pPr>
            <w:r>
              <w:rPr>
                <w:b/>
                <w:sz w:val="22"/>
              </w:rPr>
              <w:t>Huapango?</w:t>
            </w:r>
          </w:p>
        </w:tc>
        <w:tc>
          <w:tcPr>
            <w:tcW w:w="1985"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Yolanda</w:t>
            </w:r>
          </w:p>
        </w:tc>
        <w:tc>
          <w:tcPr>
            <w:tcW w:w="1418" w:type="dxa"/>
            <w:tcBorders>
              <w:bottom w:val="nil"/>
            </w:tcBorders>
          </w:tcPr>
          <w:p>
            <w:pPr>
              <w:pStyle w:val="TableParagraph"/>
              <w:spacing w:line="251" w:lineRule="exact"/>
              <w:ind w:left="100" w:right="101"/>
              <w:rPr>
                <w:sz w:val="22"/>
              </w:rPr>
            </w:pPr>
            <w:r>
              <w:rPr>
                <w:sz w:val="22"/>
              </w:rPr>
              <w:t>Encargada</w:t>
            </w:r>
          </w:p>
        </w:tc>
        <w:tc>
          <w:tcPr>
            <w:tcW w:w="1841" w:type="dxa"/>
            <w:tcBorders>
              <w:bottom w:val="nil"/>
            </w:tcBorders>
          </w:tcPr>
          <w:p>
            <w:pPr>
              <w:pStyle w:val="TableParagraph"/>
              <w:spacing w:line="251" w:lineRule="exact"/>
              <w:ind w:left="100"/>
              <w:rPr>
                <w:sz w:val="22"/>
              </w:rPr>
            </w:pPr>
            <w:r>
              <w:rPr>
                <w:sz w:val="22"/>
              </w:rPr>
              <w:t>Las Delicias de</w:t>
            </w:r>
          </w:p>
        </w:tc>
        <w:tc>
          <w:tcPr>
            <w:tcW w:w="1135" w:type="dxa"/>
            <w:tcBorders>
              <w:bottom w:val="nil"/>
            </w:tcBorders>
          </w:tcPr>
          <w:p>
            <w:pPr>
              <w:pStyle w:val="TableParagraph"/>
              <w:spacing w:line="251" w:lineRule="exact"/>
              <w:rPr>
                <w:sz w:val="22"/>
              </w:rPr>
            </w:pPr>
            <w:r>
              <w:rPr>
                <w:sz w:val="22"/>
              </w:rPr>
              <w:t>Encarga</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Los</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Los</w:t>
            </w:r>
          </w:p>
        </w:tc>
        <w:tc>
          <w:tcPr>
            <w:tcW w:w="1985" w:type="dxa"/>
            <w:tcBorders>
              <w:bottom w:val="nil"/>
            </w:tcBorders>
          </w:tcPr>
          <w:p>
            <w:pPr>
              <w:pStyle w:val="TableParagraph"/>
              <w:tabs>
                <w:tab w:pos="724" w:val="left" w:leader="none"/>
              </w:tabs>
              <w:spacing w:line="251" w:lineRule="exact"/>
              <w:rPr>
                <w:sz w:val="22"/>
              </w:rPr>
            </w:pPr>
            <w:r>
              <w:rPr>
                <w:sz w:val="22"/>
              </w:rPr>
              <w:t>Las</w:t>
              <w:tab/>
              <w:t>autoridades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Santiago</w:t>
            </w:r>
          </w:p>
        </w:tc>
        <w:tc>
          <w:tcPr>
            <w:tcW w:w="1418" w:type="dxa"/>
            <w:tcBorders>
              <w:top w:val="nil"/>
              <w:bottom w:val="nil"/>
            </w:tcBorders>
          </w:tcPr>
          <w:p>
            <w:pPr>
              <w:pStyle w:val="TableParagraph"/>
              <w:spacing w:line="242" w:lineRule="exact"/>
              <w:ind w:left="100" w:right="101"/>
              <w:rPr>
                <w:sz w:val="22"/>
              </w:rPr>
            </w:pPr>
            <w:r>
              <w:rPr>
                <w:sz w:val="22"/>
              </w:rPr>
              <w:t>del centro</w:t>
            </w:r>
          </w:p>
        </w:tc>
        <w:tc>
          <w:tcPr>
            <w:tcW w:w="1841" w:type="dxa"/>
            <w:tcBorders>
              <w:top w:val="nil"/>
              <w:bottom w:val="nil"/>
            </w:tcBorders>
          </w:tcPr>
          <w:p>
            <w:pPr>
              <w:pStyle w:val="TableParagraph"/>
              <w:spacing w:line="242" w:lineRule="exact"/>
              <w:ind w:left="100"/>
              <w:rPr>
                <w:sz w:val="22"/>
              </w:rPr>
            </w:pPr>
            <w:r>
              <w:rPr>
                <w:sz w:val="22"/>
              </w:rPr>
              <w:t>Huapango S.A.</w:t>
            </w:r>
          </w:p>
        </w:tc>
        <w:tc>
          <w:tcPr>
            <w:tcW w:w="1135" w:type="dxa"/>
            <w:tcBorders>
              <w:top w:val="nil"/>
              <w:bottom w:val="nil"/>
            </w:tcBorders>
          </w:tcPr>
          <w:p>
            <w:pPr>
              <w:pStyle w:val="TableParagraph"/>
              <w:spacing w:line="242" w:lineRule="exact"/>
              <w:rPr>
                <w:sz w:val="22"/>
              </w:rPr>
            </w:pPr>
            <w:r>
              <w:rPr>
                <w:sz w:val="22"/>
              </w:rPr>
              <w:t>da del</w:t>
            </w: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Pilares,</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1702" w:type="dxa"/>
            <w:tcBorders>
              <w:top w:val="nil"/>
              <w:bottom w:val="nil"/>
            </w:tcBorders>
          </w:tcPr>
          <w:p>
            <w:pPr>
              <w:pStyle w:val="TableParagraph"/>
              <w:spacing w:line="242" w:lineRule="exact"/>
              <w:rPr>
                <w:sz w:val="22"/>
              </w:rPr>
            </w:pPr>
            <w:r>
              <w:rPr>
                <w:sz w:val="22"/>
              </w:rPr>
              <w:t>presidentes</w:t>
            </w:r>
          </w:p>
        </w:tc>
        <w:tc>
          <w:tcPr>
            <w:tcW w:w="1985" w:type="dxa"/>
            <w:tcBorders>
              <w:top w:val="nil"/>
              <w:bottom w:val="nil"/>
            </w:tcBorders>
          </w:tcPr>
          <w:p>
            <w:pPr>
              <w:pStyle w:val="TableParagraph"/>
              <w:spacing w:line="242" w:lineRule="exact"/>
              <w:rPr>
                <w:sz w:val="22"/>
              </w:rPr>
            </w:pPr>
            <w:r>
              <w:rPr>
                <w:sz w:val="22"/>
              </w:rPr>
              <w:t>municipales y sus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De Jesús</w:t>
            </w:r>
          </w:p>
        </w:tc>
        <w:tc>
          <w:tcPr>
            <w:tcW w:w="1418" w:type="dxa"/>
            <w:tcBorders>
              <w:top w:val="nil"/>
              <w:bottom w:val="nil"/>
            </w:tcBorders>
          </w:tcPr>
          <w:p>
            <w:pPr>
              <w:pStyle w:val="TableParagraph"/>
              <w:spacing w:line="241" w:lineRule="exact"/>
              <w:ind w:left="100" w:right="101"/>
              <w:rPr>
                <w:sz w:val="22"/>
              </w:rPr>
            </w:pPr>
            <w:r>
              <w:rPr>
                <w:sz w:val="22"/>
              </w:rPr>
              <w:t>turístico y</w:t>
            </w:r>
          </w:p>
        </w:tc>
        <w:tc>
          <w:tcPr>
            <w:tcW w:w="1841" w:type="dxa"/>
            <w:tcBorders>
              <w:top w:val="nil"/>
              <w:bottom w:val="nil"/>
            </w:tcBorders>
          </w:tcPr>
          <w:p>
            <w:pPr>
              <w:pStyle w:val="TableParagraph"/>
              <w:spacing w:line="241" w:lineRule="exact"/>
              <w:ind w:left="100"/>
              <w:rPr>
                <w:sz w:val="22"/>
              </w:rPr>
            </w:pPr>
            <w:r>
              <w:rPr>
                <w:sz w:val="22"/>
              </w:rPr>
              <w:t>de C. V.</w:t>
            </w:r>
          </w:p>
        </w:tc>
        <w:tc>
          <w:tcPr>
            <w:tcW w:w="1135" w:type="dxa"/>
            <w:tcBorders>
              <w:top w:val="nil"/>
              <w:bottom w:val="nil"/>
            </w:tcBorders>
          </w:tcPr>
          <w:p>
            <w:pPr>
              <w:pStyle w:val="TableParagraph"/>
              <w:spacing w:line="241" w:lineRule="exact"/>
              <w:rPr>
                <w:sz w:val="22"/>
              </w:rPr>
            </w:pPr>
            <w:r>
              <w:rPr>
                <w:sz w:val="22"/>
              </w:rPr>
              <w:t>centro</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spacing w:line="241" w:lineRule="exact"/>
              <w:rPr>
                <w:sz w:val="22"/>
              </w:rPr>
            </w:pPr>
            <w:r>
              <w:rPr>
                <w:sz w:val="22"/>
              </w:rPr>
              <w:t>(municipales)</w:t>
            </w:r>
          </w:p>
        </w:tc>
        <w:tc>
          <w:tcPr>
            <w:tcW w:w="1985" w:type="dxa"/>
            <w:tcBorders>
              <w:top w:val="nil"/>
              <w:bottom w:val="nil"/>
            </w:tcBorders>
          </w:tcPr>
          <w:p>
            <w:pPr>
              <w:pStyle w:val="TableParagraph"/>
              <w:spacing w:line="241" w:lineRule="exact"/>
              <w:rPr>
                <w:sz w:val="22"/>
              </w:rPr>
            </w:pPr>
            <w:r>
              <w:rPr>
                <w:sz w:val="22"/>
              </w:rPr>
              <w:t>departamentos</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(4/I/2014)</w:t>
            </w:r>
          </w:p>
        </w:tc>
        <w:tc>
          <w:tcPr>
            <w:tcW w:w="1418" w:type="dxa"/>
            <w:tcBorders>
              <w:top w:val="nil"/>
              <w:bottom w:val="nil"/>
            </w:tcBorders>
          </w:tcPr>
          <w:p>
            <w:pPr>
              <w:pStyle w:val="TableParagraph"/>
              <w:spacing w:line="243" w:lineRule="exact"/>
              <w:ind w:left="100" w:right="101"/>
              <w:rPr>
                <w:sz w:val="22"/>
              </w:rPr>
            </w:pPr>
            <w:r>
              <w:rPr>
                <w:sz w:val="22"/>
              </w:rPr>
              <w:t>ama de</w:t>
            </w:r>
          </w:p>
        </w:tc>
        <w:tc>
          <w:tcPr>
            <w:tcW w:w="1841" w:type="dxa"/>
            <w:tcBorders>
              <w:top w:val="nil"/>
              <w:bottom w:val="nil"/>
            </w:tcBorders>
          </w:tcPr>
          <w:p>
            <w:pPr>
              <w:pStyle w:val="TableParagraph"/>
              <w:spacing w:line="243" w:lineRule="exact"/>
              <w:ind w:left="100"/>
              <w:rPr>
                <w:sz w:val="22"/>
              </w:rPr>
            </w:pPr>
            <w:r>
              <w:rPr>
                <w:sz w:val="22"/>
              </w:rPr>
              <w:t>(Tres</w:t>
            </w:r>
          </w:p>
        </w:tc>
        <w:tc>
          <w:tcPr>
            <w:tcW w:w="1135" w:type="dxa"/>
            <w:tcBorders>
              <w:top w:val="nil"/>
              <w:bottom w:val="nil"/>
            </w:tcBorders>
          </w:tcPr>
          <w:p>
            <w:pPr>
              <w:pStyle w:val="TableParagraph"/>
              <w:spacing w:line="243" w:lineRule="exact"/>
              <w:rPr>
                <w:sz w:val="22"/>
              </w:rPr>
            </w:pPr>
            <w:r>
              <w:rPr>
                <w:sz w:val="22"/>
              </w:rPr>
              <w:t>turístico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83" w:val="left" w:leader="none"/>
              </w:tabs>
              <w:spacing w:line="243" w:lineRule="exact"/>
              <w:rPr>
                <w:sz w:val="22"/>
              </w:rPr>
            </w:pPr>
            <w:r>
              <w:rPr>
                <w:sz w:val="22"/>
              </w:rPr>
              <w:t>deben</w:t>
              <w:tab/>
              <w:t>ver</w:t>
            </w:r>
          </w:p>
        </w:tc>
        <w:tc>
          <w:tcPr>
            <w:tcW w:w="1985" w:type="dxa"/>
            <w:tcBorders>
              <w:top w:val="nil"/>
              <w:bottom w:val="nil"/>
            </w:tcBorders>
          </w:tcPr>
          <w:p>
            <w:pPr>
              <w:pStyle w:val="TableParagraph"/>
              <w:spacing w:line="243" w:lineRule="exact"/>
              <w:rPr>
                <w:sz w:val="22"/>
              </w:rPr>
            </w:pPr>
            <w:r>
              <w:rPr>
                <w:sz w:val="22"/>
              </w:rPr>
              <w:t>deben atender los</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casa</w:t>
            </w:r>
          </w:p>
        </w:tc>
        <w:tc>
          <w:tcPr>
            <w:tcW w:w="1841" w:type="dxa"/>
            <w:tcBorders>
              <w:top w:val="nil"/>
              <w:bottom w:val="nil"/>
            </w:tcBorders>
          </w:tcPr>
          <w:p>
            <w:pPr>
              <w:pStyle w:val="TableParagraph"/>
              <w:spacing w:line="241" w:lineRule="exact"/>
              <w:ind w:left="100"/>
              <w:rPr>
                <w:sz w:val="22"/>
              </w:rPr>
            </w:pPr>
            <w:r>
              <w:rPr>
                <w:sz w:val="22"/>
              </w:rPr>
              <w:t>integrantes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donde</w:t>
            </w:r>
          </w:p>
        </w:tc>
        <w:tc>
          <w:tcPr>
            <w:tcW w:w="1985" w:type="dxa"/>
            <w:tcBorders>
              <w:top w:val="nil"/>
              <w:bottom w:val="nil"/>
            </w:tcBorders>
          </w:tcPr>
          <w:p>
            <w:pPr>
              <w:pStyle w:val="TableParagraph"/>
              <w:spacing w:line="241" w:lineRule="exact"/>
              <w:rPr>
                <w:sz w:val="22"/>
              </w:rPr>
            </w:pPr>
            <w:r>
              <w:rPr>
                <w:sz w:val="22"/>
              </w:rPr>
              <w:t>problemas.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municipio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desembocan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Aculco)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46" w:val="left" w:leader="none"/>
              </w:tabs>
              <w:spacing w:line="242" w:lineRule="exact"/>
              <w:rPr>
                <w:sz w:val="22"/>
              </w:rPr>
            </w:pPr>
            <w:r>
              <w:rPr>
                <w:sz w:val="22"/>
              </w:rPr>
              <w:t>sus</w:t>
              <w:tab/>
              <w:t>drenajes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60" w:val="left" w:leader="none"/>
                <w:tab w:pos="1345" w:val="left" w:leader="none"/>
              </w:tabs>
              <w:spacing w:line="241" w:lineRule="exact"/>
              <w:rPr>
                <w:sz w:val="22"/>
              </w:rPr>
            </w:pPr>
            <w:r>
              <w:rPr>
                <w:sz w:val="22"/>
              </w:rPr>
              <w:t>para</w:t>
              <w:tab/>
              <w:t>que</w:t>
              <w:tab/>
              <w:t>no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24" w:val="left" w:leader="none"/>
                <w:tab w:pos="1417" w:val="left" w:leader="none"/>
              </w:tabs>
              <w:spacing w:line="242" w:lineRule="exact"/>
              <w:rPr>
                <w:sz w:val="22"/>
              </w:rPr>
            </w:pPr>
            <w:r>
              <w:rPr>
                <w:sz w:val="22"/>
              </w:rPr>
              <w:t>caigan</w:t>
              <w:tab/>
              <w:t>a</w:t>
              <w:tab/>
              <w:t>la</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laguna.</w:t>
            </w: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spacing w:after="6"/>
        <w:ind w:left="3077" w:right="397"/>
      </w:pPr>
      <w:r>
        <w:rPr/>
        <w:t>Tabla 6.6. Turismo en el Municipio de Aculco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71"/>
        <w:gridCol w:w="2410"/>
        <w:gridCol w:w="1702"/>
        <w:gridCol w:w="1985"/>
      </w:tblGrid>
      <w:tr>
        <w:trPr>
          <w:trHeight w:val="525" w:hRule="exact"/>
        </w:trPr>
        <w:tc>
          <w:tcPr>
            <w:tcW w:w="6771" w:type="dxa"/>
            <w:vMerge w:val="restart"/>
            <w:shd w:val="clear" w:color="auto" w:fill="F9BE8F"/>
          </w:tcPr>
          <w:p>
            <w:pPr>
              <w:pStyle w:val="TableParagraph"/>
              <w:spacing w:before="6"/>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6"/>
              <w:ind w:left="0"/>
              <w:rPr>
                <w:b/>
                <w:sz w:val="21"/>
              </w:rPr>
            </w:pPr>
          </w:p>
          <w:p>
            <w:pPr>
              <w:pStyle w:val="TableParagraph"/>
              <w:ind w:left="1404"/>
              <w:rPr>
                <w:b/>
                <w:sz w:val="22"/>
              </w:rPr>
            </w:pPr>
            <w:r>
              <w:rPr>
                <w:b/>
                <w:sz w:val="22"/>
              </w:rPr>
              <w:t>PRINCIPIOS DE GOBERNANZA</w:t>
            </w:r>
          </w:p>
        </w:tc>
      </w:tr>
      <w:tr>
        <w:trPr>
          <w:trHeight w:val="263" w:hRule="exact"/>
        </w:trPr>
        <w:tc>
          <w:tcPr>
            <w:tcW w:w="6771" w:type="dxa"/>
            <w:vMerge/>
            <w:shd w:val="clear" w:color="auto" w:fill="F9BE8F"/>
          </w:tcPr>
          <w:p>
            <w:pPr/>
          </w:p>
        </w:tc>
        <w:tc>
          <w:tcPr>
            <w:tcW w:w="2410" w:type="dxa"/>
            <w:shd w:val="clear" w:color="auto" w:fill="92CDDC"/>
          </w:tcPr>
          <w:p>
            <w:pPr>
              <w:pStyle w:val="TableParagraph"/>
              <w:spacing w:line="252" w:lineRule="exact"/>
              <w:ind w:left="710"/>
              <w:rPr>
                <w:b/>
                <w:i/>
                <w:sz w:val="22"/>
              </w:rPr>
            </w:pPr>
            <w:r>
              <w:rPr>
                <w:b/>
                <w:i/>
                <w:sz w:val="22"/>
              </w:rPr>
              <w:t>Identidad</w:t>
            </w:r>
          </w:p>
        </w:tc>
        <w:tc>
          <w:tcPr>
            <w:tcW w:w="1702" w:type="dxa"/>
            <w:shd w:val="clear" w:color="auto" w:fill="92CDDC"/>
          </w:tcPr>
          <w:p>
            <w:pPr>
              <w:pStyle w:val="TableParagraph"/>
              <w:spacing w:line="252" w:lineRule="exact"/>
              <w:rPr>
                <w:b/>
                <w:i/>
                <w:sz w:val="22"/>
              </w:rPr>
            </w:pPr>
            <w:r>
              <w:rPr>
                <w:b/>
                <w:i/>
                <w:sz w:val="22"/>
              </w:rPr>
              <w:t>Cultura</w:t>
            </w:r>
          </w:p>
        </w:tc>
        <w:tc>
          <w:tcPr>
            <w:tcW w:w="1985" w:type="dxa"/>
            <w:shd w:val="clear" w:color="auto" w:fill="92CDDC"/>
          </w:tcPr>
          <w:p>
            <w:pPr>
              <w:pStyle w:val="TableParagraph"/>
              <w:spacing w:line="252" w:lineRule="exact"/>
              <w:rPr>
                <w:b/>
                <w:i/>
                <w:sz w:val="22"/>
              </w:rPr>
            </w:pPr>
            <w:r>
              <w:rPr>
                <w:b/>
                <w:i/>
                <w:sz w:val="22"/>
              </w:rPr>
              <w:t>Autogestión</w:t>
            </w:r>
          </w:p>
        </w:tc>
      </w:tr>
    </w:tbl>
    <w:p>
      <w:pPr>
        <w:spacing w:after="0" w:line="252" w:lineRule="exact"/>
        <w:rPr>
          <w:sz w:val="22"/>
        </w:rPr>
        <w:sectPr>
          <w:pgSz w:w="15840" w:h="12240" w:orient="landscape"/>
          <w:pgMar w:header="0" w:footer="943" w:top="1140" w:bottom="1200" w:left="1200" w:right="130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1781" w:hRule="exact"/>
        </w:trPr>
        <w:tc>
          <w:tcPr>
            <w:tcW w:w="1385" w:type="dxa"/>
            <w:shd w:val="clear" w:color="auto" w:fill="F9BE8F"/>
          </w:tcPr>
          <w:p>
            <w:pPr>
              <w:pStyle w:val="TableParagraph"/>
              <w:ind w:right="205"/>
              <w:jc w:val="both"/>
              <w:rPr>
                <w:b/>
                <w:sz w:val="22"/>
              </w:rPr>
            </w:pPr>
            <w:r>
              <w:rPr>
                <w:b/>
                <w:sz w:val="22"/>
              </w:rPr>
              <w:t>Nombre y Fecha de Entrevista</w:t>
            </w:r>
          </w:p>
        </w:tc>
        <w:tc>
          <w:tcPr>
            <w:tcW w:w="1418" w:type="dxa"/>
            <w:shd w:val="clear" w:color="auto" w:fill="F9BE8F"/>
          </w:tcPr>
          <w:p>
            <w:pPr>
              <w:pStyle w:val="TableParagraph"/>
              <w:spacing w:line="252" w:lineRule="exact"/>
              <w:ind w:left="100" w:right="151"/>
              <w:rPr>
                <w:b/>
                <w:sz w:val="22"/>
              </w:rPr>
            </w:pPr>
            <w:r>
              <w:rPr>
                <w:b/>
                <w:sz w:val="22"/>
              </w:rPr>
              <w:t>Ocupacion es</w:t>
            </w:r>
          </w:p>
        </w:tc>
        <w:tc>
          <w:tcPr>
            <w:tcW w:w="1841" w:type="dxa"/>
            <w:shd w:val="clear" w:color="auto" w:fill="F9BE8F"/>
          </w:tcPr>
          <w:p>
            <w:pPr>
              <w:pStyle w:val="TableParagraph"/>
              <w:ind w:left="100" w:right="525"/>
              <w:rPr>
                <w:b/>
                <w:sz w:val="22"/>
              </w:rPr>
            </w:pPr>
            <w:r>
              <w:rPr>
                <w:b/>
                <w:sz w:val="22"/>
              </w:rPr>
              <w:t>Asociación turística y número de integrantes</w:t>
            </w:r>
          </w:p>
        </w:tc>
        <w:tc>
          <w:tcPr>
            <w:tcW w:w="1135" w:type="dxa"/>
            <w:shd w:val="clear" w:color="auto" w:fill="F9BE8F"/>
          </w:tcPr>
          <w:p>
            <w:pPr>
              <w:pStyle w:val="TableParagraph"/>
              <w:tabs>
                <w:tab w:pos="765" w:val="left" w:leader="none"/>
                <w:tab w:pos="839" w:val="left" w:leader="none"/>
              </w:tabs>
              <w:ind w:right="98"/>
              <w:rPr>
                <w:b/>
                <w:sz w:val="22"/>
              </w:rPr>
            </w:pPr>
            <w:r>
              <w:rPr>
                <w:b/>
                <w:sz w:val="22"/>
              </w:rPr>
              <w:t>Se</w:t>
              <w:tab/>
              <w:t>ha deterior ado</w:t>
              <w:tab/>
              <w:tab/>
              <w:t>la laguna de Huapan go</w:t>
            </w:r>
          </w:p>
        </w:tc>
        <w:tc>
          <w:tcPr>
            <w:tcW w:w="991" w:type="dxa"/>
            <w:shd w:val="clear" w:color="auto" w:fill="F9BE8F"/>
          </w:tcPr>
          <w:p>
            <w:pPr>
              <w:pStyle w:val="TableParagraph"/>
              <w:spacing w:line="252" w:lineRule="exact"/>
              <w:ind w:left="100" w:right="164"/>
              <w:rPr>
                <w:b/>
                <w:sz w:val="22"/>
              </w:rPr>
            </w:pPr>
            <w:r>
              <w:rPr>
                <w:b/>
                <w:sz w:val="22"/>
              </w:rPr>
              <w:t>Munici pio</w:t>
            </w:r>
          </w:p>
        </w:tc>
        <w:tc>
          <w:tcPr>
            <w:tcW w:w="1277" w:type="dxa"/>
            <w:shd w:val="clear" w:color="auto" w:fill="92CDDC"/>
          </w:tcPr>
          <w:p>
            <w:pPr>
              <w:pStyle w:val="TableParagraph"/>
              <w:spacing w:line="252" w:lineRule="exact"/>
              <w:ind w:right="325"/>
              <w:rPr>
                <w:b/>
                <w:sz w:val="22"/>
              </w:rPr>
            </w:pPr>
            <w:r>
              <w:rPr>
                <w:b/>
                <w:sz w:val="22"/>
              </w:rPr>
              <w:t>¿Dónde nació?</w:t>
            </w:r>
          </w:p>
        </w:tc>
        <w:tc>
          <w:tcPr>
            <w:tcW w:w="1133" w:type="dxa"/>
            <w:shd w:val="clear" w:color="auto" w:fill="92CDDC"/>
          </w:tcPr>
          <w:p>
            <w:pPr>
              <w:pStyle w:val="TableParagraph"/>
              <w:spacing w:line="252" w:lineRule="exact"/>
              <w:ind w:left="100" w:right="184"/>
              <w:rPr>
                <w:b/>
                <w:sz w:val="22"/>
              </w:rPr>
            </w:pPr>
            <w:r>
              <w:rPr>
                <w:b/>
                <w:sz w:val="22"/>
              </w:rPr>
              <w:t>¿Dónde vive?</w:t>
            </w:r>
          </w:p>
        </w:tc>
        <w:tc>
          <w:tcPr>
            <w:tcW w:w="1702" w:type="dxa"/>
            <w:shd w:val="clear" w:color="auto" w:fill="92CDDC"/>
          </w:tcPr>
          <w:p>
            <w:pPr>
              <w:pStyle w:val="TableParagraph"/>
              <w:tabs>
                <w:tab w:pos="791" w:val="left" w:leader="none"/>
                <w:tab w:pos="1333" w:val="left" w:leader="none"/>
              </w:tabs>
              <w:ind w:right="98"/>
              <w:rPr>
                <w:b/>
                <w:sz w:val="22"/>
              </w:rPr>
            </w:pPr>
            <w:r>
              <w:rPr>
                <w:b/>
                <w:sz w:val="22"/>
              </w:rPr>
              <w:t>¿Considera que</w:t>
              <w:tab/>
              <w:t>se</w:t>
              <w:tab/>
              <w:t>ha deteriorado la laguna</w:t>
              <w:tab/>
              <w:t>de Huapango?</w:t>
            </w:r>
          </w:p>
        </w:tc>
        <w:tc>
          <w:tcPr>
            <w:tcW w:w="1985" w:type="dxa"/>
            <w:shd w:val="clear" w:color="auto" w:fill="92CDDC"/>
          </w:tcPr>
          <w:p>
            <w:pPr>
              <w:pStyle w:val="TableParagraph"/>
              <w:spacing w:line="252" w:lineRule="exact"/>
              <w:ind w:right="100"/>
              <w:jc w:val="both"/>
              <w:rPr>
                <w:b/>
                <w:sz w:val="22"/>
              </w:rPr>
            </w:pPr>
            <w:r>
              <w:rPr>
                <w:b/>
                <w:sz w:val="22"/>
              </w:rPr>
              <w:t>¿Considera importante       la</w:t>
            </w:r>
          </w:p>
          <w:p>
            <w:pPr>
              <w:pStyle w:val="TableParagraph"/>
              <w:tabs>
                <w:tab w:pos="1616" w:val="left" w:leader="none"/>
              </w:tabs>
              <w:ind w:right="99"/>
              <w:jc w:val="both"/>
              <w:rPr>
                <w:b/>
                <w:sz w:val="22"/>
              </w:rPr>
            </w:pPr>
            <w:r>
              <w:rPr>
                <w:b/>
                <w:sz w:val="22"/>
              </w:rPr>
              <w:t>laguna</w:t>
              <w:tab/>
              <w:t>de Huapango para su comunidad y la</w:t>
            </w:r>
            <w:r>
              <w:rPr>
                <w:b/>
                <w:spacing w:val="-3"/>
                <w:sz w:val="22"/>
              </w:rPr>
              <w:t> </w:t>
            </w:r>
            <w:r>
              <w:rPr>
                <w:b/>
                <w:sz w:val="22"/>
              </w:rPr>
              <w:t>región?</w:t>
            </w:r>
          </w:p>
        </w:tc>
      </w:tr>
      <w:tr>
        <w:trPr>
          <w:trHeight w:val="267" w:hRule="exact"/>
        </w:trPr>
        <w:tc>
          <w:tcPr>
            <w:tcW w:w="1385" w:type="dxa"/>
            <w:tcBorders>
              <w:bottom w:val="nil"/>
            </w:tcBorders>
          </w:tcPr>
          <w:p>
            <w:pPr>
              <w:pStyle w:val="TableParagraph"/>
              <w:spacing w:line="251" w:lineRule="exact"/>
              <w:ind w:right="127"/>
              <w:rPr>
                <w:sz w:val="22"/>
              </w:rPr>
            </w:pPr>
            <w:r>
              <w:rPr>
                <w:sz w:val="22"/>
              </w:rPr>
              <w:t>Yolanda</w:t>
            </w:r>
          </w:p>
        </w:tc>
        <w:tc>
          <w:tcPr>
            <w:tcW w:w="1418" w:type="dxa"/>
            <w:tcBorders>
              <w:bottom w:val="nil"/>
            </w:tcBorders>
          </w:tcPr>
          <w:p>
            <w:pPr>
              <w:pStyle w:val="TableParagraph"/>
              <w:spacing w:line="251" w:lineRule="exact"/>
              <w:ind w:left="100" w:right="101"/>
              <w:rPr>
                <w:sz w:val="22"/>
              </w:rPr>
            </w:pPr>
            <w:r>
              <w:rPr>
                <w:sz w:val="22"/>
              </w:rPr>
              <w:t>Encargada</w:t>
            </w:r>
          </w:p>
        </w:tc>
        <w:tc>
          <w:tcPr>
            <w:tcW w:w="1841" w:type="dxa"/>
            <w:tcBorders>
              <w:bottom w:val="nil"/>
            </w:tcBorders>
          </w:tcPr>
          <w:p>
            <w:pPr>
              <w:pStyle w:val="TableParagraph"/>
              <w:spacing w:line="251" w:lineRule="exact"/>
              <w:ind w:left="100"/>
              <w:rPr>
                <w:sz w:val="22"/>
              </w:rPr>
            </w:pPr>
            <w:r>
              <w:rPr>
                <w:sz w:val="22"/>
              </w:rPr>
              <w:t>Las Delicias de</w:t>
            </w:r>
          </w:p>
        </w:tc>
        <w:tc>
          <w:tcPr>
            <w:tcW w:w="1135" w:type="dxa"/>
            <w:tcBorders>
              <w:bottom w:val="nil"/>
            </w:tcBorders>
          </w:tcPr>
          <w:p>
            <w:pPr>
              <w:pStyle w:val="TableParagraph"/>
              <w:spacing w:line="251" w:lineRule="exact"/>
              <w:rPr>
                <w:sz w:val="22"/>
              </w:rPr>
            </w:pPr>
            <w:r>
              <w:rPr>
                <w:sz w:val="22"/>
              </w:rPr>
              <w:t>Encarga</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Los</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La   laguna  se</w:t>
            </w:r>
          </w:p>
        </w:tc>
        <w:tc>
          <w:tcPr>
            <w:tcW w:w="1985" w:type="dxa"/>
            <w:tcBorders>
              <w:bottom w:val="nil"/>
            </w:tcBorders>
          </w:tcPr>
          <w:p>
            <w:pPr>
              <w:pStyle w:val="TableParagraph"/>
              <w:spacing w:line="251" w:lineRule="exact"/>
              <w:rPr>
                <w:sz w:val="22"/>
              </w:rPr>
            </w:pPr>
            <w:r>
              <w:rPr>
                <w:sz w:val="22"/>
              </w:rPr>
              <w:t>Sí  es  importante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100" w:right="101"/>
              <w:rPr>
                <w:sz w:val="22"/>
              </w:rPr>
            </w:pPr>
            <w:r>
              <w:rPr>
                <w:sz w:val="22"/>
              </w:rPr>
              <w:t>del centro</w:t>
            </w:r>
          </w:p>
        </w:tc>
        <w:tc>
          <w:tcPr>
            <w:tcW w:w="1841" w:type="dxa"/>
            <w:tcBorders>
              <w:top w:val="nil"/>
              <w:bottom w:val="nil"/>
            </w:tcBorders>
          </w:tcPr>
          <w:p>
            <w:pPr>
              <w:pStyle w:val="TableParagraph"/>
              <w:spacing w:line="241" w:lineRule="exact"/>
              <w:ind w:left="100"/>
              <w:rPr>
                <w:sz w:val="22"/>
              </w:rPr>
            </w:pPr>
            <w:r>
              <w:rPr>
                <w:sz w:val="22"/>
              </w:rPr>
              <w:t>Huapango S.A.</w:t>
            </w:r>
          </w:p>
        </w:tc>
        <w:tc>
          <w:tcPr>
            <w:tcW w:w="1135" w:type="dxa"/>
            <w:tcBorders>
              <w:top w:val="nil"/>
              <w:bottom w:val="nil"/>
            </w:tcBorders>
          </w:tcPr>
          <w:p>
            <w:pPr>
              <w:pStyle w:val="TableParagraph"/>
              <w:spacing w:line="241" w:lineRule="exact"/>
              <w:rPr>
                <w:sz w:val="22"/>
              </w:rPr>
            </w:pPr>
            <w:r>
              <w:rPr>
                <w:sz w:val="22"/>
              </w:rPr>
              <w:t>da del</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Pilares,</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spacing w:line="241" w:lineRule="exact"/>
              <w:rPr>
                <w:sz w:val="22"/>
              </w:rPr>
            </w:pPr>
            <w:r>
              <w:rPr>
                <w:sz w:val="22"/>
              </w:rPr>
              <w:t>ha  deteriorado</w:t>
            </w:r>
          </w:p>
        </w:tc>
        <w:tc>
          <w:tcPr>
            <w:tcW w:w="1985" w:type="dxa"/>
            <w:tcBorders>
              <w:top w:val="nil"/>
              <w:bottom w:val="nil"/>
            </w:tcBorders>
          </w:tcPr>
          <w:p>
            <w:pPr>
              <w:pStyle w:val="TableParagraph"/>
              <w:tabs>
                <w:tab w:pos="1093" w:val="left" w:leader="none"/>
                <w:tab w:pos="1628" w:val="left" w:leader="none"/>
              </w:tabs>
              <w:spacing w:line="241" w:lineRule="exact"/>
              <w:rPr>
                <w:sz w:val="22"/>
              </w:rPr>
            </w:pPr>
            <w:r>
              <w:rPr>
                <w:sz w:val="22"/>
              </w:rPr>
              <w:t>porque</w:t>
              <w:tab/>
              <w:t>es</w:t>
              <w:tab/>
              <w:t>un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De Jesús</w:t>
            </w:r>
          </w:p>
        </w:tc>
        <w:tc>
          <w:tcPr>
            <w:tcW w:w="1418" w:type="dxa"/>
            <w:tcBorders>
              <w:top w:val="nil"/>
              <w:bottom w:val="nil"/>
            </w:tcBorders>
          </w:tcPr>
          <w:p>
            <w:pPr>
              <w:pStyle w:val="TableParagraph"/>
              <w:spacing w:line="242" w:lineRule="exact"/>
              <w:ind w:left="100" w:right="101"/>
              <w:rPr>
                <w:sz w:val="22"/>
              </w:rPr>
            </w:pPr>
            <w:r>
              <w:rPr>
                <w:sz w:val="22"/>
              </w:rPr>
              <w:t>turístico y</w:t>
            </w:r>
          </w:p>
        </w:tc>
        <w:tc>
          <w:tcPr>
            <w:tcW w:w="1841" w:type="dxa"/>
            <w:tcBorders>
              <w:top w:val="nil"/>
              <w:bottom w:val="nil"/>
            </w:tcBorders>
          </w:tcPr>
          <w:p>
            <w:pPr>
              <w:pStyle w:val="TableParagraph"/>
              <w:spacing w:line="242" w:lineRule="exact"/>
              <w:ind w:left="100"/>
              <w:rPr>
                <w:sz w:val="22"/>
              </w:rPr>
            </w:pPr>
            <w:r>
              <w:rPr>
                <w:sz w:val="22"/>
              </w:rPr>
              <w:t>de C. V.</w:t>
            </w:r>
          </w:p>
        </w:tc>
        <w:tc>
          <w:tcPr>
            <w:tcW w:w="1135" w:type="dxa"/>
            <w:tcBorders>
              <w:top w:val="nil"/>
              <w:bottom w:val="nil"/>
            </w:tcBorders>
          </w:tcPr>
          <w:p>
            <w:pPr>
              <w:pStyle w:val="TableParagraph"/>
              <w:spacing w:line="242" w:lineRule="exact"/>
              <w:rPr>
                <w:sz w:val="22"/>
              </w:rPr>
            </w:pPr>
            <w:r>
              <w:rPr>
                <w:sz w:val="22"/>
              </w:rPr>
              <w:t>centro</w:t>
            </w: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Aculco</w:t>
            </w:r>
          </w:p>
        </w:tc>
        <w:tc>
          <w:tcPr>
            <w:tcW w:w="1702" w:type="dxa"/>
            <w:tcBorders>
              <w:top w:val="nil"/>
              <w:bottom w:val="nil"/>
            </w:tcBorders>
          </w:tcPr>
          <w:p>
            <w:pPr>
              <w:pStyle w:val="TableParagraph"/>
              <w:spacing w:line="242" w:lineRule="exact"/>
              <w:rPr>
                <w:sz w:val="22"/>
              </w:rPr>
            </w:pPr>
            <w:r>
              <w:rPr>
                <w:sz w:val="22"/>
              </w:rPr>
              <w:t>con el tiempo y</w:t>
            </w:r>
          </w:p>
        </w:tc>
        <w:tc>
          <w:tcPr>
            <w:tcW w:w="1985" w:type="dxa"/>
            <w:tcBorders>
              <w:top w:val="nil"/>
              <w:bottom w:val="nil"/>
            </w:tcBorders>
          </w:tcPr>
          <w:p>
            <w:pPr>
              <w:pStyle w:val="TableParagraph"/>
              <w:spacing w:line="242" w:lineRule="exact"/>
              <w:rPr>
                <w:sz w:val="22"/>
              </w:rPr>
            </w:pPr>
            <w:r>
              <w:rPr>
                <w:sz w:val="22"/>
              </w:rPr>
              <w:t>atractivo  turístico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(4/I/2014)</w:t>
            </w:r>
          </w:p>
        </w:tc>
        <w:tc>
          <w:tcPr>
            <w:tcW w:w="1418" w:type="dxa"/>
            <w:tcBorders>
              <w:top w:val="nil"/>
              <w:bottom w:val="nil"/>
            </w:tcBorders>
          </w:tcPr>
          <w:p>
            <w:pPr>
              <w:pStyle w:val="TableParagraph"/>
              <w:spacing w:line="241" w:lineRule="exact"/>
              <w:ind w:left="100" w:right="101"/>
              <w:rPr>
                <w:sz w:val="22"/>
              </w:rPr>
            </w:pPr>
            <w:r>
              <w:rPr>
                <w:sz w:val="22"/>
              </w:rPr>
              <w:t>ama de</w:t>
            </w:r>
          </w:p>
        </w:tc>
        <w:tc>
          <w:tcPr>
            <w:tcW w:w="1841" w:type="dxa"/>
            <w:tcBorders>
              <w:top w:val="nil"/>
              <w:bottom w:val="nil"/>
            </w:tcBorders>
          </w:tcPr>
          <w:p>
            <w:pPr>
              <w:pStyle w:val="TableParagraph"/>
              <w:spacing w:line="241" w:lineRule="exact"/>
              <w:ind w:left="100"/>
              <w:rPr>
                <w:sz w:val="22"/>
              </w:rPr>
            </w:pPr>
            <w:r>
              <w:rPr>
                <w:sz w:val="22"/>
              </w:rPr>
              <w:t>(Tres</w:t>
            </w:r>
          </w:p>
        </w:tc>
        <w:tc>
          <w:tcPr>
            <w:tcW w:w="1135" w:type="dxa"/>
            <w:tcBorders>
              <w:top w:val="nil"/>
              <w:bottom w:val="nil"/>
            </w:tcBorders>
          </w:tcPr>
          <w:p>
            <w:pPr>
              <w:pStyle w:val="TableParagraph"/>
              <w:spacing w:line="241" w:lineRule="exact"/>
              <w:rPr>
                <w:sz w:val="22"/>
              </w:rPr>
            </w:pPr>
            <w:r>
              <w:rPr>
                <w:sz w:val="22"/>
              </w:rPr>
              <w:t>turístico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17" w:val="left" w:leader="none"/>
                <w:tab w:pos="1345" w:val="left" w:leader="none"/>
              </w:tabs>
              <w:spacing w:line="241" w:lineRule="exact"/>
              <w:rPr>
                <w:sz w:val="22"/>
              </w:rPr>
            </w:pPr>
            <w:r>
              <w:rPr>
                <w:sz w:val="22"/>
              </w:rPr>
              <w:t>ya</w:t>
              <w:tab/>
              <w:t>no</w:t>
              <w:tab/>
              <w:t>ha</w:t>
            </w:r>
          </w:p>
        </w:tc>
        <w:tc>
          <w:tcPr>
            <w:tcW w:w="1985" w:type="dxa"/>
            <w:tcBorders>
              <w:top w:val="nil"/>
              <w:bottom w:val="nil"/>
            </w:tcBorders>
          </w:tcPr>
          <w:p>
            <w:pPr>
              <w:pStyle w:val="TableParagraph"/>
              <w:tabs>
                <w:tab w:pos="885" w:val="left" w:leader="none"/>
                <w:tab w:pos="1504" w:val="left" w:leader="none"/>
              </w:tabs>
              <w:spacing w:line="241" w:lineRule="exact"/>
              <w:rPr>
                <w:sz w:val="22"/>
              </w:rPr>
            </w:pPr>
            <w:r>
              <w:rPr>
                <w:sz w:val="22"/>
              </w:rPr>
              <w:t>para</w:t>
              <w:tab/>
              <w:t>los</w:t>
              <w:tab/>
              <w:t>que</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casa</w:t>
            </w:r>
          </w:p>
        </w:tc>
        <w:tc>
          <w:tcPr>
            <w:tcW w:w="1841" w:type="dxa"/>
            <w:tcBorders>
              <w:top w:val="nil"/>
              <w:bottom w:val="nil"/>
            </w:tcBorders>
          </w:tcPr>
          <w:p>
            <w:pPr>
              <w:pStyle w:val="TableParagraph"/>
              <w:spacing w:line="242" w:lineRule="exact"/>
              <w:ind w:left="100"/>
              <w:rPr>
                <w:sz w:val="22"/>
              </w:rPr>
            </w:pPr>
            <w:r>
              <w:rPr>
                <w:sz w:val="22"/>
              </w:rPr>
              <w:t>integrantes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5" w:val="left" w:leader="none"/>
              </w:tabs>
              <w:spacing w:line="242" w:lineRule="exact"/>
              <w:rPr>
                <w:sz w:val="22"/>
              </w:rPr>
            </w:pPr>
            <w:r>
              <w:rPr>
                <w:sz w:val="22"/>
              </w:rPr>
              <w:t>alcanzado</w:t>
              <w:tab/>
              <w:t>su</w:t>
            </w:r>
          </w:p>
        </w:tc>
        <w:tc>
          <w:tcPr>
            <w:tcW w:w="1985" w:type="dxa"/>
            <w:tcBorders>
              <w:top w:val="nil"/>
              <w:bottom w:val="nil"/>
            </w:tcBorders>
          </w:tcPr>
          <w:p>
            <w:pPr>
              <w:pStyle w:val="TableParagraph"/>
              <w:tabs>
                <w:tab w:pos="1083" w:val="left" w:leader="none"/>
                <w:tab w:pos="1760" w:val="left" w:leader="none"/>
              </w:tabs>
              <w:spacing w:line="242" w:lineRule="exact"/>
              <w:rPr>
                <w:sz w:val="22"/>
              </w:rPr>
            </w:pPr>
            <w:r>
              <w:rPr>
                <w:sz w:val="22"/>
              </w:rPr>
              <w:t>vivimos</w:t>
              <w:tab/>
              <w:t>aquí</w:t>
              <w:tab/>
              <w:t>y</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municipio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55" w:val="left" w:leader="none"/>
              </w:tabs>
              <w:spacing w:line="241" w:lineRule="exact"/>
              <w:rPr>
                <w:sz w:val="22"/>
              </w:rPr>
            </w:pPr>
            <w:r>
              <w:rPr>
                <w:sz w:val="22"/>
              </w:rPr>
              <w:t>nivel</w:t>
              <w:tab/>
              <w:t>máximo,</w:t>
            </w:r>
          </w:p>
        </w:tc>
        <w:tc>
          <w:tcPr>
            <w:tcW w:w="1985" w:type="dxa"/>
            <w:tcBorders>
              <w:top w:val="nil"/>
              <w:bottom w:val="nil"/>
            </w:tcBorders>
          </w:tcPr>
          <w:p>
            <w:pPr>
              <w:pStyle w:val="TableParagraph"/>
              <w:spacing w:line="241" w:lineRule="exact"/>
              <w:rPr>
                <w:sz w:val="22"/>
              </w:rPr>
            </w:pPr>
            <w:r>
              <w:rPr>
                <w:sz w:val="22"/>
              </w:rPr>
              <w:t>para  los  que nos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Aculco)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además</w:t>
              <w:tab/>
              <w:t>de</w:t>
            </w:r>
          </w:p>
        </w:tc>
        <w:tc>
          <w:tcPr>
            <w:tcW w:w="1985" w:type="dxa"/>
            <w:tcBorders>
              <w:top w:val="nil"/>
              <w:bottom w:val="nil"/>
            </w:tcBorders>
          </w:tcPr>
          <w:p>
            <w:pPr>
              <w:pStyle w:val="TableParagraph"/>
              <w:tabs>
                <w:tab w:pos="1088" w:val="left" w:leader="none"/>
              </w:tabs>
              <w:spacing w:line="241" w:lineRule="exact"/>
              <w:rPr>
                <w:sz w:val="22"/>
              </w:rPr>
            </w:pPr>
            <w:r>
              <w:rPr>
                <w:sz w:val="22"/>
              </w:rPr>
              <w:t>visitan,</w:t>
              <w:tab/>
              <w:t>además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31" w:val="left" w:leader="none"/>
                <w:tab w:pos="1223" w:val="left" w:leader="none"/>
              </w:tabs>
              <w:spacing w:line="242" w:lineRule="exact"/>
              <w:rPr>
                <w:sz w:val="22"/>
              </w:rPr>
            </w:pPr>
            <w:r>
              <w:rPr>
                <w:sz w:val="22"/>
              </w:rPr>
              <w:t>que</w:t>
              <w:tab/>
              <w:t>se</w:t>
              <w:tab/>
              <w:t>han</w:t>
            </w:r>
          </w:p>
        </w:tc>
        <w:tc>
          <w:tcPr>
            <w:tcW w:w="1985" w:type="dxa"/>
            <w:tcBorders>
              <w:top w:val="nil"/>
              <w:bottom w:val="nil"/>
            </w:tcBorders>
          </w:tcPr>
          <w:p>
            <w:pPr>
              <w:pStyle w:val="TableParagraph"/>
              <w:tabs>
                <w:tab w:pos="834" w:val="left" w:leader="none"/>
              </w:tabs>
              <w:spacing w:line="242" w:lineRule="exact"/>
              <w:rPr>
                <w:sz w:val="22"/>
              </w:rPr>
            </w:pPr>
            <w:r>
              <w:rPr>
                <w:sz w:val="22"/>
              </w:rPr>
              <w:t>es</w:t>
              <w:tab/>
              <w:t>importante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perdido</w:t>
            </w:r>
          </w:p>
        </w:tc>
        <w:tc>
          <w:tcPr>
            <w:tcW w:w="1985" w:type="dxa"/>
            <w:tcBorders>
              <w:top w:val="nil"/>
              <w:bottom w:val="nil"/>
            </w:tcBorders>
          </w:tcPr>
          <w:p>
            <w:pPr>
              <w:pStyle w:val="TableParagraph"/>
              <w:spacing w:line="241" w:lineRule="exact"/>
              <w:rPr>
                <w:sz w:val="22"/>
              </w:rPr>
            </w:pPr>
            <w:r>
              <w:rPr>
                <w:sz w:val="22"/>
              </w:rPr>
              <w:t>para la pesca, por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especies;</w:t>
            </w:r>
          </w:p>
        </w:tc>
        <w:tc>
          <w:tcPr>
            <w:tcW w:w="1985" w:type="dxa"/>
            <w:tcBorders>
              <w:top w:val="nil"/>
              <w:bottom w:val="nil"/>
            </w:tcBorders>
          </w:tcPr>
          <w:p>
            <w:pPr>
              <w:pStyle w:val="TableParagraph"/>
              <w:tabs>
                <w:tab w:pos="969" w:val="left" w:leader="none"/>
              </w:tabs>
              <w:spacing w:line="242" w:lineRule="exact"/>
              <w:rPr>
                <w:sz w:val="22"/>
              </w:rPr>
            </w:pPr>
            <w:r>
              <w:rPr>
                <w:sz w:val="22"/>
              </w:rPr>
              <w:t>eso</w:t>
              <w:tab/>
              <w:t>debemos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38" w:val="left" w:leader="none"/>
              </w:tabs>
              <w:spacing w:line="241" w:lineRule="exact"/>
              <w:rPr>
                <w:sz w:val="22"/>
              </w:rPr>
            </w:pPr>
            <w:r>
              <w:rPr>
                <w:sz w:val="22"/>
              </w:rPr>
              <w:t>antes</w:t>
              <w:tab/>
              <w:t>había</w:t>
            </w:r>
          </w:p>
        </w:tc>
        <w:tc>
          <w:tcPr>
            <w:tcW w:w="1985" w:type="dxa"/>
            <w:tcBorders>
              <w:top w:val="nil"/>
              <w:bottom w:val="nil"/>
            </w:tcBorders>
          </w:tcPr>
          <w:p>
            <w:pPr>
              <w:pStyle w:val="TableParagraph"/>
              <w:spacing w:line="241" w:lineRule="exact"/>
              <w:rPr>
                <w:sz w:val="22"/>
              </w:rPr>
            </w:pPr>
            <w:r>
              <w:rPr>
                <w:sz w:val="22"/>
              </w:rPr>
              <w:t>cuidarla  para 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acociles,</w:t>
            </w:r>
          </w:p>
        </w:tc>
        <w:tc>
          <w:tcPr>
            <w:tcW w:w="1985" w:type="dxa"/>
            <w:tcBorders>
              <w:top w:val="nil"/>
              <w:bottom w:val="nil"/>
            </w:tcBorders>
          </w:tcPr>
          <w:p>
            <w:pPr>
              <w:pStyle w:val="TableParagraph"/>
              <w:tabs>
                <w:tab w:pos="739" w:val="left" w:leader="none"/>
                <w:tab w:pos="1456" w:val="left" w:leader="none"/>
              </w:tabs>
              <w:spacing w:line="241" w:lineRule="exact"/>
              <w:rPr>
                <w:sz w:val="22"/>
              </w:rPr>
            </w:pPr>
            <w:r>
              <w:rPr>
                <w:sz w:val="22"/>
              </w:rPr>
              <w:t>nos</w:t>
              <w:tab/>
              <w:t>dure</w:t>
              <w:tab/>
              <w:t>más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68" w:val="left" w:leader="none"/>
              </w:tabs>
              <w:spacing w:line="242" w:lineRule="exact"/>
              <w:rPr>
                <w:sz w:val="22"/>
              </w:rPr>
            </w:pPr>
            <w:r>
              <w:rPr>
                <w:sz w:val="22"/>
              </w:rPr>
              <w:t>charales</w:t>
              <w:tab/>
              <w:t>e</w:t>
            </w:r>
          </w:p>
        </w:tc>
        <w:tc>
          <w:tcPr>
            <w:tcW w:w="1985" w:type="dxa"/>
            <w:tcBorders>
              <w:top w:val="nil"/>
              <w:bottom w:val="nil"/>
            </w:tcBorders>
          </w:tcPr>
          <w:p>
            <w:pPr>
              <w:pStyle w:val="TableParagraph"/>
              <w:spacing w:line="242" w:lineRule="exact"/>
              <w:rPr>
                <w:sz w:val="22"/>
              </w:rPr>
            </w:pPr>
            <w:r>
              <w:rPr>
                <w:sz w:val="22"/>
              </w:rPr>
              <w:t>tiempo.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73" w:val="left" w:leader="none"/>
              </w:tabs>
              <w:spacing w:line="241" w:lineRule="exact"/>
              <w:rPr>
                <w:sz w:val="22"/>
              </w:rPr>
            </w:pPr>
            <w:r>
              <w:rPr>
                <w:sz w:val="22"/>
              </w:rPr>
              <w:t>incluso</w:t>
              <w:tab/>
              <w:t>este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31" w:val="left" w:leader="none"/>
                <w:tab w:pos="1235" w:val="left" w:leader="none"/>
              </w:tabs>
              <w:spacing w:line="242" w:lineRule="exact"/>
              <w:rPr>
                <w:sz w:val="22"/>
              </w:rPr>
            </w:pPr>
            <w:r>
              <w:rPr>
                <w:sz w:val="22"/>
              </w:rPr>
              <w:t>año</w:t>
              <w:tab/>
              <w:t>no</w:t>
              <w:tab/>
              <w:t>hay</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pescado.</w:t>
            </w: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spacing w:after="6"/>
        <w:ind w:left="3077" w:right="397"/>
      </w:pPr>
      <w:r>
        <w:rPr/>
        <w:t>Tabla 6.6. Turismo en el Municipio de Aculco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4" w:hRule="exact"/>
        </w:trPr>
        <w:tc>
          <w:tcPr>
            <w:tcW w:w="6771" w:type="dxa"/>
            <w:gridSpan w:val="5"/>
            <w:vMerge w:val="restart"/>
            <w:shd w:val="clear" w:color="auto" w:fill="F9BE8F"/>
          </w:tcPr>
          <w:p>
            <w:pPr>
              <w:pStyle w:val="TableParagraph"/>
              <w:spacing w:before="5"/>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5"/>
              <w:ind w:left="0"/>
              <w:rPr>
                <w:b/>
                <w:sz w:val="21"/>
              </w:rPr>
            </w:pPr>
          </w:p>
          <w:p>
            <w:pPr>
              <w:pStyle w:val="TableParagraph"/>
              <w:ind w:left="1404"/>
              <w:rPr>
                <w:b/>
                <w:sz w:val="22"/>
              </w:rPr>
            </w:pPr>
            <w:r>
              <w:rPr>
                <w:b/>
                <w:sz w:val="22"/>
              </w:rPr>
              <w:t>PRINCIPIOS DE GOBERNANZA</w:t>
            </w:r>
          </w:p>
        </w:tc>
      </w:tr>
      <w:tr>
        <w:trPr>
          <w:trHeight w:val="515" w:hRule="exact"/>
        </w:trPr>
        <w:tc>
          <w:tcPr>
            <w:tcW w:w="6771" w:type="dxa"/>
            <w:gridSpan w:val="5"/>
            <w:vMerge/>
            <w:shd w:val="clear" w:color="auto" w:fill="F9BE8F"/>
          </w:tcPr>
          <w:p>
            <w:pPr/>
          </w:p>
        </w:tc>
        <w:tc>
          <w:tcPr>
            <w:tcW w:w="2410" w:type="dxa"/>
            <w:gridSpan w:val="2"/>
            <w:shd w:val="clear" w:color="auto" w:fill="92CDDC"/>
          </w:tcPr>
          <w:p>
            <w:pPr>
              <w:pStyle w:val="TableParagraph"/>
              <w:spacing w:line="252" w:lineRule="exact"/>
              <w:ind w:left="710"/>
              <w:rPr>
                <w:b/>
                <w:i/>
                <w:sz w:val="22"/>
              </w:rPr>
            </w:pPr>
            <w:r>
              <w:rPr>
                <w:b/>
                <w:i/>
                <w:sz w:val="22"/>
              </w:rPr>
              <w:t>Identidad</w:t>
            </w:r>
          </w:p>
        </w:tc>
        <w:tc>
          <w:tcPr>
            <w:tcW w:w="1702" w:type="dxa"/>
            <w:shd w:val="clear" w:color="auto" w:fill="92CDDC"/>
          </w:tcPr>
          <w:p>
            <w:pPr>
              <w:pStyle w:val="TableParagraph"/>
              <w:spacing w:line="252" w:lineRule="exact"/>
              <w:rPr>
                <w:b/>
                <w:i/>
                <w:sz w:val="22"/>
              </w:rPr>
            </w:pPr>
            <w:r>
              <w:rPr>
                <w:b/>
                <w:i/>
                <w:sz w:val="22"/>
              </w:rPr>
              <w:t>Autogestión</w:t>
            </w:r>
          </w:p>
        </w:tc>
        <w:tc>
          <w:tcPr>
            <w:tcW w:w="1985" w:type="dxa"/>
            <w:shd w:val="clear" w:color="auto" w:fill="92CDDC"/>
          </w:tcPr>
          <w:p>
            <w:pPr>
              <w:pStyle w:val="TableParagraph"/>
              <w:ind w:right="239"/>
              <w:rPr>
                <w:b/>
                <w:i/>
                <w:sz w:val="22"/>
              </w:rPr>
            </w:pPr>
            <w:r>
              <w:rPr>
                <w:b/>
                <w:i/>
                <w:sz w:val="22"/>
              </w:rPr>
              <w:t>Gobernabilidad </w:t>
            </w:r>
            <w:r>
              <w:rPr>
                <w:b/>
                <w:i/>
                <w:sz w:val="22"/>
              </w:rPr>
              <w:t>y cooperación</w:t>
            </w:r>
          </w:p>
        </w:tc>
      </w:tr>
      <w:tr>
        <w:trPr>
          <w:trHeight w:val="265"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Asociación</w:t>
            </w:r>
          </w:p>
        </w:tc>
        <w:tc>
          <w:tcPr>
            <w:tcW w:w="1135" w:type="dxa"/>
            <w:tcBorders>
              <w:bottom w:val="nil"/>
            </w:tcBorders>
            <w:shd w:val="clear" w:color="auto" w:fill="F9BE8F"/>
          </w:tcPr>
          <w:p>
            <w:pPr>
              <w:pStyle w:val="TableParagraph"/>
              <w:spacing w:line="248" w:lineRule="exact"/>
              <w:rPr>
                <w:b/>
                <w:sz w:val="22"/>
              </w:rPr>
            </w:pPr>
            <w:r>
              <w:rPr>
                <w:b/>
                <w:sz w:val="22"/>
              </w:rPr>
              <w:t>Cargo</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8" w:lineRule="exact"/>
              <w:rPr>
                <w:b/>
                <w:sz w:val="22"/>
              </w:rPr>
            </w:pPr>
            <w:r>
              <w:rPr>
                <w:b/>
                <w:sz w:val="22"/>
              </w:rPr>
              <w:t>¿Qué  tipo  de</w:t>
            </w:r>
          </w:p>
        </w:tc>
        <w:tc>
          <w:tcPr>
            <w:tcW w:w="1985" w:type="dxa"/>
            <w:tcBorders>
              <w:bottom w:val="nil"/>
            </w:tcBorders>
            <w:shd w:val="clear" w:color="auto" w:fill="92CDDC"/>
          </w:tcPr>
          <w:p>
            <w:pPr>
              <w:pStyle w:val="TableParagraph"/>
              <w:tabs>
                <w:tab w:pos="933" w:val="left" w:leader="none"/>
              </w:tabs>
              <w:spacing w:line="248" w:lineRule="exact"/>
              <w:rPr>
                <w:b/>
                <w:sz w:val="22"/>
              </w:rPr>
            </w:pPr>
            <w:r>
              <w:rPr>
                <w:b/>
                <w:sz w:val="22"/>
              </w:rPr>
              <w:t>¿Qué</w:t>
              <w:tab/>
              <w:t>acciones</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2"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2" w:lineRule="exact"/>
              <w:ind w:left="100"/>
              <w:rPr>
                <w:b/>
                <w:sz w:val="22"/>
              </w:rPr>
            </w:pPr>
            <w:r>
              <w:rPr>
                <w:b/>
                <w:sz w:val="22"/>
              </w:rPr>
              <w:t>turística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2"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2"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2"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2" w:lineRule="exact"/>
              <w:rPr>
                <w:b/>
                <w:sz w:val="22"/>
              </w:rPr>
            </w:pPr>
            <w:r>
              <w:rPr>
                <w:b/>
                <w:sz w:val="22"/>
              </w:rPr>
              <w:t>actividades</w:t>
            </w:r>
          </w:p>
        </w:tc>
        <w:tc>
          <w:tcPr>
            <w:tcW w:w="1985" w:type="dxa"/>
            <w:tcBorders>
              <w:top w:val="nil"/>
              <w:bottom w:val="nil"/>
            </w:tcBorders>
            <w:shd w:val="clear" w:color="auto" w:fill="92CDDC"/>
          </w:tcPr>
          <w:p>
            <w:pPr>
              <w:pStyle w:val="TableParagraph"/>
              <w:tabs>
                <w:tab w:pos="1691" w:val="left" w:leader="none"/>
              </w:tabs>
              <w:spacing w:line="242" w:lineRule="exact"/>
              <w:rPr>
                <w:b/>
                <w:sz w:val="22"/>
              </w:rPr>
            </w:pPr>
            <w:r>
              <w:rPr>
                <w:b/>
                <w:sz w:val="22"/>
              </w:rPr>
              <w:t>realiza</w:t>
              <w:tab/>
              <w:t>el</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124" w:val="left" w:leader="none"/>
              </w:tabs>
              <w:spacing w:line="241" w:lineRule="exact"/>
              <w:rPr>
                <w:b/>
                <w:sz w:val="22"/>
              </w:rPr>
            </w:pPr>
            <w:r>
              <w:rPr>
                <w:b/>
                <w:sz w:val="22"/>
              </w:rPr>
              <w:t>ofrece</w:t>
              <w:tab/>
              <w:t>para</w:t>
            </w:r>
          </w:p>
        </w:tc>
        <w:tc>
          <w:tcPr>
            <w:tcW w:w="1985" w:type="dxa"/>
            <w:tcBorders>
              <w:top w:val="nil"/>
              <w:bottom w:val="nil"/>
            </w:tcBorders>
            <w:shd w:val="clear" w:color="auto" w:fill="92CDDC"/>
          </w:tcPr>
          <w:p>
            <w:pPr>
              <w:pStyle w:val="TableParagraph"/>
              <w:spacing w:line="241" w:lineRule="exact"/>
              <w:rPr>
                <w:b/>
                <w:sz w:val="22"/>
              </w:rPr>
            </w:pPr>
            <w:r>
              <w:rPr>
                <w:b/>
                <w:sz w:val="22"/>
              </w:rPr>
              <w:t>presidente</w:t>
            </w:r>
          </w:p>
        </w:tc>
      </w:tr>
      <w:tr>
        <w:trPr>
          <w:trHeight w:val="251"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Style w:val="TableParagraph"/>
              <w:spacing w:line="242" w:lineRule="exact"/>
              <w:ind w:left="100"/>
              <w:rPr>
                <w:b/>
                <w:sz w:val="22"/>
              </w:rPr>
            </w:pPr>
            <w:r>
              <w:rPr>
                <w:b/>
                <w:sz w:val="22"/>
              </w:rPr>
              <w:t>integrantes</w:t>
            </w: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2" w:lineRule="exact"/>
              <w:rPr>
                <w:b/>
                <w:sz w:val="22"/>
              </w:rPr>
            </w:pPr>
            <w:r>
              <w:rPr>
                <w:b/>
                <w:sz w:val="22"/>
              </w:rPr>
              <w:t>los visitantes/</w:t>
            </w:r>
          </w:p>
        </w:tc>
        <w:tc>
          <w:tcPr>
            <w:tcW w:w="1985" w:type="dxa"/>
            <w:tcBorders>
              <w:top w:val="nil"/>
            </w:tcBorders>
            <w:shd w:val="clear" w:color="auto" w:fill="92CDDC"/>
          </w:tcPr>
          <w:p>
            <w:pPr>
              <w:pStyle w:val="TableParagraph"/>
              <w:tabs>
                <w:tab w:pos="1350" w:val="left" w:leader="none"/>
                <w:tab w:pos="1686" w:val="left" w:leader="none"/>
              </w:tabs>
              <w:spacing w:line="242" w:lineRule="exact"/>
              <w:rPr>
                <w:b/>
                <w:sz w:val="22"/>
              </w:rPr>
            </w:pPr>
            <w:r>
              <w:rPr>
                <w:b/>
                <w:sz w:val="22"/>
              </w:rPr>
              <w:t>municipal</w:t>
              <w:tab/>
              <w:t>y</w:t>
              <w:tab/>
              <w:t>la</w:t>
            </w:r>
          </w:p>
        </w:tc>
      </w:tr>
    </w:tbl>
    <w:p>
      <w:pPr>
        <w:spacing w:after="0" w:line="242" w:lineRule="exact"/>
        <w:rPr>
          <w:sz w:val="22"/>
        </w:rPr>
        <w:sectPr>
          <w:pgSz w:w="15840" w:h="12240" w:orient="landscape"/>
          <w:pgMar w:header="0" w:footer="943" w:top="1140" w:bottom="120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540" w:hRule="exact"/>
        </w:trPr>
        <w:tc>
          <w:tcPr>
            <w:tcW w:w="1385" w:type="dxa"/>
            <w:shd w:val="clear" w:color="auto" w:fill="F9BE8F"/>
          </w:tcPr>
          <w:p>
            <w:pPr/>
          </w:p>
        </w:tc>
        <w:tc>
          <w:tcPr>
            <w:tcW w:w="1418" w:type="dxa"/>
            <w:shd w:val="clear" w:color="auto" w:fill="F9BE8F"/>
          </w:tcPr>
          <w:p>
            <w:pPr/>
          </w:p>
        </w:tc>
        <w:tc>
          <w:tcPr>
            <w:tcW w:w="1841" w:type="dxa"/>
            <w:shd w:val="clear" w:color="auto" w:fill="F9BE8F"/>
          </w:tcPr>
          <w:p>
            <w:pPr/>
          </w:p>
        </w:tc>
        <w:tc>
          <w:tcPr>
            <w:tcW w:w="1135" w:type="dxa"/>
            <w:shd w:val="clear" w:color="auto" w:fill="F9BE8F"/>
          </w:tcPr>
          <w:p>
            <w:pPr/>
          </w:p>
        </w:tc>
        <w:tc>
          <w:tcPr>
            <w:tcW w:w="991" w:type="dxa"/>
            <w:shd w:val="clear" w:color="auto" w:fill="F9BE8F"/>
          </w:tcPr>
          <w:p>
            <w:pPr/>
          </w:p>
        </w:tc>
        <w:tc>
          <w:tcPr>
            <w:tcW w:w="1277" w:type="dxa"/>
            <w:shd w:val="clear" w:color="auto" w:fill="92CDDC"/>
          </w:tcPr>
          <w:p>
            <w:pPr/>
          </w:p>
        </w:tc>
        <w:tc>
          <w:tcPr>
            <w:tcW w:w="1133" w:type="dxa"/>
            <w:shd w:val="clear" w:color="auto" w:fill="92CDDC"/>
          </w:tcPr>
          <w:p>
            <w:pPr/>
          </w:p>
        </w:tc>
        <w:tc>
          <w:tcPr>
            <w:tcW w:w="1702" w:type="dxa"/>
            <w:shd w:val="clear" w:color="auto" w:fill="92CDDC"/>
          </w:tcPr>
          <w:p>
            <w:pPr>
              <w:pStyle w:val="TableParagraph"/>
              <w:tabs>
                <w:tab w:pos="858" w:val="left" w:leader="none"/>
                <w:tab w:pos="1194" w:val="left" w:leader="none"/>
                <w:tab w:pos="1333" w:val="left" w:leader="none"/>
              </w:tabs>
              <w:ind w:right="98"/>
              <w:rPr>
                <w:b/>
                <w:sz w:val="22"/>
              </w:rPr>
            </w:pPr>
            <w:r>
              <w:rPr>
                <w:b/>
                <w:sz w:val="22"/>
              </w:rPr>
              <w:t>cuántas personas trabajan/ qué turistas frecuentan el lugar</w:t>
              <w:tab/>
              <w:t>y</w:t>
              <w:tab/>
              <w:t>qué problemas generan en la laguna</w:t>
              <w:tab/>
              <w:tab/>
              <w:tab/>
              <w:t>de Huapango?</w:t>
            </w:r>
          </w:p>
        </w:tc>
        <w:tc>
          <w:tcPr>
            <w:tcW w:w="1985" w:type="dxa"/>
            <w:shd w:val="clear" w:color="auto" w:fill="92CDDC"/>
          </w:tcPr>
          <w:p>
            <w:pPr>
              <w:pStyle w:val="TableParagraph"/>
              <w:tabs>
                <w:tab w:pos="1408" w:val="left" w:leader="none"/>
              </w:tabs>
              <w:spacing w:line="248" w:lineRule="exact"/>
              <w:rPr>
                <w:b/>
                <w:sz w:val="22"/>
              </w:rPr>
            </w:pPr>
            <w:r>
              <w:rPr>
                <w:b/>
                <w:sz w:val="22"/>
              </w:rPr>
              <w:t>Conagua</w:t>
              <w:tab/>
              <w:t>para</w:t>
            </w:r>
          </w:p>
          <w:p>
            <w:pPr>
              <w:pStyle w:val="TableParagraph"/>
              <w:tabs>
                <w:tab w:pos="1689" w:val="left" w:leader="none"/>
              </w:tabs>
              <w:ind w:right="99"/>
              <w:rPr>
                <w:b/>
                <w:sz w:val="22"/>
              </w:rPr>
            </w:pPr>
            <w:r>
              <w:rPr>
                <w:b/>
                <w:sz w:val="22"/>
              </w:rPr>
              <w:t>proteger</w:t>
              <w:tab/>
              <w:t>la laguna?</w:t>
            </w:r>
          </w:p>
        </w:tc>
      </w:tr>
      <w:tr>
        <w:trPr>
          <w:trHeight w:val="267" w:hRule="exact"/>
        </w:trPr>
        <w:tc>
          <w:tcPr>
            <w:tcW w:w="1385" w:type="dxa"/>
            <w:tcBorders>
              <w:bottom w:val="nil"/>
            </w:tcBorders>
          </w:tcPr>
          <w:p>
            <w:pPr>
              <w:pStyle w:val="TableParagraph"/>
              <w:spacing w:line="251" w:lineRule="exact"/>
              <w:ind w:right="127"/>
              <w:rPr>
                <w:sz w:val="22"/>
              </w:rPr>
            </w:pPr>
            <w:r>
              <w:rPr>
                <w:sz w:val="22"/>
              </w:rPr>
              <w:t>Yolanda</w:t>
            </w:r>
          </w:p>
        </w:tc>
        <w:tc>
          <w:tcPr>
            <w:tcW w:w="1418" w:type="dxa"/>
            <w:tcBorders>
              <w:bottom w:val="nil"/>
            </w:tcBorders>
          </w:tcPr>
          <w:p>
            <w:pPr>
              <w:pStyle w:val="TableParagraph"/>
              <w:spacing w:line="251" w:lineRule="exact"/>
              <w:ind w:left="100" w:right="101"/>
              <w:rPr>
                <w:sz w:val="22"/>
              </w:rPr>
            </w:pPr>
            <w:r>
              <w:rPr>
                <w:sz w:val="22"/>
              </w:rPr>
              <w:t>Encargada</w:t>
            </w:r>
          </w:p>
        </w:tc>
        <w:tc>
          <w:tcPr>
            <w:tcW w:w="1841" w:type="dxa"/>
            <w:tcBorders>
              <w:bottom w:val="nil"/>
            </w:tcBorders>
          </w:tcPr>
          <w:p>
            <w:pPr>
              <w:pStyle w:val="TableParagraph"/>
              <w:spacing w:line="251" w:lineRule="exact"/>
              <w:ind w:left="100"/>
              <w:rPr>
                <w:sz w:val="22"/>
              </w:rPr>
            </w:pPr>
            <w:r>
              <w:rPr>
                <w:sz w:val="22"/>
              </w:rPr>
              <w:t>Las Delicias de</w:t>
            </w:r>
          </w:p>
        </w:tc>
        <w:tc>
          <w:tcPr>
            <w:tcW w:w="1135" w:type="dxa"/>
            <w:tcBorders>
              <w:bottom w:val="nil"/>
            </w:tcBorders>
          </w:tcPr>
          <w:p>
            <w:pPr>
              <w:pStyle w:val="TableParagraph"/>
              <w:spacing w:line="251" w:lineRule="exact"/>
              <w:rPr>
                <w:sz w:val="22"/>
              </w:rPr>
            </w:pPr>
            <w:r>
              <w:rPr>
                <w:sz w:val="22"/>
              </w:rPr>
              <w:t>Encarga</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Los</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Hospedaje,</w:t>
            </w:r>
          </w:p>
        </w:tc>
        <w:tc>
          <w:tcPr>
            <w:tcW w:w="1985" w:type="dxa"/>
            <w:tcBorders>
              <w:bottom w:val="nil"/>
            </w:tcBorders>
          </w:tcPr>
          <w:p>
            <w:pPr>
              <w:pStyle w:val="TableParagraph"/>
              <w:tabs>
                <w:tab w:pos="738" w:val="left" w:leader="none"/>
                <w:tab w:pos="1489" w:val="left" w:leader="none"/>
              </w:tabs>
              <w:spacing w:line="251" w:lineRule="exact"/>
              <w:ind w:left="0" w:right="99"/>
              <w:jc w:val="right"/>
              <w:rPr>
                <w:sz w:val="22"/>
              </w:rPr>
            </w:pPr>
            <w:r>
              <w:rPr>
                <w:sz w:val="22"/>
              </w:rPr>
              <w:t>No</w:t>
              <w:tab/>
              <w:t>sé,</w:t>
              <w:tab/>
            </w:r>
            <w:r>
              <w:rPr>
                <w:spacing w:val="-1"/>
                <w:sz w:val="22"/>
              </w:rPr>
              <w:t>sin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Santiago</w:t>
            </w:r>
          </w:p>
        </w:tc>
        <w:tc>
          <w:tcPr>
            <w:tcW w:w="1418" w:type="dxa"/>
            <w:tcBorders>
              <w:top w:val="nil"/>
              <w:bottom w:val="nil"/>
            </w:tcBorders>
          </w:tcPr>
          <w:p>
            <w:pPr>
              <w:pStyle w:val="TableParagraph"/>
              <w:spacing w:line="242" w:lineRule="exact"/>
              <w:ind w:left="100" w:right="101"/>
              <w:rPr>
                <w:sz w:val="22"/>
              </w:rPr>
            </w:pPr>
            <w:r>
              <w:rPr>
                <w:sz w:val="22"/>
              </w:rPr>
              <w:t>del centro</w:t>
            </w:r>
          </w:p>
        </w:tc>
        <w:tc>
          <w:tcPr>
            <w:tcW w:w="1841" w:type="dxa"/>
            <w:tcBorders>
              <w:top w:val="nil"/>
              <w:bottom w:val="nil"/>
            </w:tcBorders>
          </w:tcPr>
          <w:p>
            <w:pPr>
              <w:pStyle w:val="TableParagraph"/>
              <w:spacing w:line="242" w:lineRule="exact"/>
              <w:ind w:left="100"/>
              <w:rPr>
                <w:sz w:val="22"/>
              </w:rPr>
            </w:pPr>
            <w:r>
              <w:rPr>
                <w:sz w:val="22"/>
              </w:rPr>
              <w:t>Huapango S.A.</w:t>
            </w:r>
          </w:p>
        </w:tc>
        <w:tc>
          <w:tcPr>
            <w:tcW w:w="1135" w:type="dxa"/>
            <w:tcBorders>
              <w:top w:val="nil"/>
              <w:bottom w:val="nil"/>
            </w:tcBorders>
          </w:tcPr>
          <w:p>
            <w:pPr>
              <w:pStyle w:val="TableParagraph"/>
              <w:spacing w:line="242" w:lineRule="exact"/>
              <w:rPr>
                <w:sz w:val="22"/>
              </w:rPr>
            </w:pPr>
            <w:r>
              <w:rPr>
                <w:sz w:val="22"/>
              </w:rPr>
              <w:t>da del</w:t>
            </w: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Pilares,</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1702" w:type="dxa"/>
            <w:tcBorders>
              <w:top w:val="nil"/>
              <w:bottom w:val="nil"/>
            </w:tcBorders>
          </w:tcPr>
          <w:p>
            <w:pPr>
              <w:pStyle w:val="TableParagraph"/>
              <w:spacing w:line="242" w:lineRule="exact"/>
              <w:rPr>
                <w:sz w:val="22"/>
              </w:rPr>
            </w:pPr>
            <w:r>
              <w:rPr>
                <w:sz w:val="22"/>
              </w:rPr>
              <w:t>eventos</w:t>
            </w:r>
          </w:p>
        </w:tc>
        <w:tc>
          <w:tcPr>
            <w:tcW w:w="1985" w:type="dxa"/>
            <w:tcBorders>
              <w:top w:val="nil"/>
              <w:bottom w:val="nil"/>
            </w:tcBorders>
          </w:tcPr>
          <w:p>
            <w:pPr>
              <w:pStyle w:val="TableParagraph"/>
              <w:tabs>
                <w:tab w:pos="1331" w:val="left" w:leader="none"/>
              </w:tabs>
              <w:spacing w:line="242" w:lineRule="exact"/>
              <w:ind w:left="0" w:right="99"/>
              <w:jc w:val="right"/>
              <w:rPr>
                <w:sz w:val="22"/>
              </w:rPr>
            </w:pPr>
            <w:r>
              <w:rPr>
                <w:sz w:val="22"/>
              </w:rPr>
              <w:t>embargo</w:t>
              <w:tab/>
            </w:r>
            <w:r>
              <w:rPr>
                <w:spacing w:val="-2"/>
                <w:sz w:val="22"/>
              </w:rPr>
              <w:t>para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De Jesús</w:t>
            </w:r>
          </w:p>
        </w:tc>
        <w:tc>
          <w:tcPr>
            <w:tcW w:w="1418" w:type="dxa"/>
            <w:tcBorders>
              <w:top w:val="nil"/>
              <w:bottom w:val="nil"/>
            </w:tcBorders>
          </w:tcPr>
          <w:p>
            <w:pPr>
              <w:pStyle w:val="TableParagraph"/>
              <w:spacing w:line="241" w:lineRule="exact"/>
              <w:ind w:left="100" w:right="101"/>
              <w:rPr>
                <w:sz w:val="22"/>
              </w:rPr>
            </w:pPr>
            <w:r>
              <w:rPr>
                <w:sz w:val="22"/>
              </w:rPr>
              <w:t>turístico y</w:t>
            </w:r>
          </w:p>
        </w:tc>
        <w:tc>
          <w:tcPr>
            <w:tcW w:w="1841" w:type="dxa"/>
            <w:tcBorders>
              <w:top w:val="nil"/>
              <w:bottom w:val="nil"/>
            </w:tcBorders>
          </w:tcPr>
          <w:p>
            <w:pPr>
              <w:pStyle w:val="TableParagraph"/>
              <w:spacing w:line="241" w:lineRule="exact"/>
              <w:ind w:left="100"/>
              <w:rPr>
                <w:sz w:val="22"/>
              </w:rPr>
            </w:pPr>
            <w:r>
              <w:rPr>
                <w:sz w:val="22"/>
              </w:rPr>
              <w:t>de C. V.</w:t>
            </w:r>
          </w:p>
        </w:tc>
        <w:tc>
          <w:tcPr>
            <w:tcW w:w="1135" w:type="dxa"/>
            <w:tcBorders>
              <w:top w:val="nil"/>
              <w:bottom w:val="nil"/>
            </w:tcBorders>
          </w:tcPr>
          <w:p>
            <w:pPr>
              <w:pStyle w:val="TableParagraph"/>
              <w:spacing w:line="241" w:lineRule="exact"/>
              <w:rPr>
                <w:sz w:val="22"/>
              </w:rPr>
            </w:pPr>
            <w:r>
              <w:rPr>
                <w:sz w:val="22"/>
              </w:rPr>
              <w:t>centro</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spacing w:line="241" w:lineRule="exact"/>
              <w:rPr>
                <w:sz w:val="22"/>
              </w:rPr>
            </w:pPr>
            <w:r>
              <w:rPr>
                <w:sz w:val="22"/>
              </w:rPr>
              <w:t>familiares,</w:t>
            </w:r>
          </w:p>
        </w:tc>
        <w:tc>
          <w:tcPr>
            <w:tcW w:w="1985" w:type="dxa"/>
            <w:tcBorders>
              <w:top w:val="nil"/>
              <w:bottom w:val="nil"/>
            </w:tcBorders>
          </w:tcPr>
          <w:p>
            <w:pPr>
              <w:pStyle w:val="TableParagraph"/>
              <w:tabs>
                <w:tab w:pos="1233" w:val="left" w:leader="none"/>
              </w:tabs>
              <w:spacing w:line="241" w:lineRule="exact"/>
              <w:ind w:left="0" w:right="99"/>
              <w:jc w:val="right"/>
              <w:rPr>
                <w:sz w:val="22"/>
              </w:rPr>
            </w:pPr>
            <w:r>
              <w:rPr>
                <w:sz w:val="22"/>
              </w:rPr>
              <w:t>hacer</w:t>
              <w:tab/>
            </w:r>
            <w:r>
              <w:rPr>
                <w:spacing w:val="-1"/>
                <w:sz w:val="22"/>
              </w:rPr>
              <w:t>algún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(4/I/2014)</w:t>
            </w:r>
          </w:p>
        </w:tc>
        <w:tc>
          <w:tcPr>
            <w:tcW w:w="1418" w:type="dxa"/>
            <w:tcBorders>
              <w:top w:val="nil"/>
              <w:bottom w:val="nil"/>
            </w:tcBorders>
          </w:tcPr>
          <w:p>
            <w:pPr>
              <w:pStyle w:val="TableParagraph"/>
              <w:spacing w:line="241" w:lineRule="exact"/>
              <w:ind w:left="100" w:right="101"/>
              <w:rPr>
                <w:sz w:val="22"/>
              </w:rPr>
            </w:pPr>
            <w:r>
              <w:rPr>
                <w:sz w:val="22"/>
              </w:rPr>
              <w:t>ama de</w:t>
            </w:r>
          </w:p>
        </w:tc>
        <w:tc>
          <w:tcPr>
            <w:tcW w:w="1841" w:type="dxa"/>
            <w:tcBorders>
              <w:top w:val="nil"/>
              <w:bottom w:val="nil"/>
            </w:tcBorders>
          </w:tcPr>
          <w:p>
            <w:pPr>
              <w:pStyle w:val="TableParagraph"/>
              <w:spacing w:line="241" w:lineRule="exact"/>
              <w:ind w:left="100"/>
              <w:rPr>
                <w:sz w:val="22"/>
              </w:rPr>
            </w:pPr>
            <w:r>
              <w:rPr>
                <w:sz w:val="22"/>
              </w:rPr>
              <w:t>(Tres</w:t>
            </w:r>
          </w:p>
        </w:tc>
        <w:tc>
          <w:tcPr>
            <w:tcW w:w="1135" w:type="dxa"/>
            <w:tcBorders>
              <w:top w:val="nil"/>
              <w:bottom w:val="nil"/>
            </w:tcBorders>
          </w:tcPr>
          <w:p>
            <w:pPr>
              <w:pStyle w:val="TableParagraph"/>
              <w:spacing w:line="241" w:lineRule="exact"/>
              <w:rPr>
                <w:sz w:val="22"/>
              </w:rPr>
            </w:pPr>
            <w:r>
              <w:rPr>
                <w:sz w:val="22"/>
              </w:rPr>
              <w:t>turístico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paseos</w:t>
              <w:tab/>
              <w:t>en</w:t>
            </w:r>
          </w:p>
        </w:tc>
        <w:tc>
          <w:tcPr>
            <w:tcW w:w="1985" w:type="dxa"/>
            <w:tcBorders>
              <w:top w:val="nil"/>
              <w:bottom w:val="nil"/>
            </w:tcBorders>
          </w:tcPr>
          <w:p>
            <w:pPr>
              <w:pStyle w:val="TableParagraph"/>
              <w:tabs>
                <w:tab w:pos="958" w:val="left" w:leader="none"/>
                <w:tab w:pos="1599" w:val="left" w:leader="none"/>
              </w:tabs>
              <w:spacing w:line="241" w:lineRule="exact"/>
              <w:ind w:left="0" w:right="99"/>
              <w:jc w:val="right"/>
              <w:rPr>
                <w:sz w:val="22"/>
              </w:rPr>
            </w:pPr>
            <w:r>
              <w:rPr>
                <w:sz w:val="22"/>
              </w:rPr>
              <w:t>trámite</w:t>
              <w:tab/>
              <w:t>con</w:t>
              <w:tab/>
              <w:t>el</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casa</w:t>
            </w:r>
          </w:p>
        </w:tc>
        <w:tc>
          <w:tcPr>
            <w:tcW w:w="1841" w:type="dxa"/>
            <w:tcBorders>
              <w:top w:val="nil"/>
              <w:bottom w:val="nil"/>
            </w:tcBorders>
          </w:tcPr>
          <w:p>
            <w:pPr>
              <w:pStyle w:val="TableParagraph"/>
              <w:spacing w:line="242" w:lineRule="exact"/>
              <w:ind w:left="100"/>
              <w:rPr>
                <w:sz w:val="22"/>
              </w:rPr>
            </w:pPr>
            <w:r>
              <w:rPr>
                <w:sz w:val="22"/>
              </w:rPr>
              <w:t>integrantes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93" w:val="left" w:leader="none"/>
                <w:tab w:pos="1343" w:val="left" w:leader="none"/>
              </w:tabs>
              <w:spacing w:line="242" w:lineRule="exact"/>
              <w:rPr>
                <w:sz w:val="22"/>
              </w:rPr>
            </w:pPr>
            <w:r>
              <w:rPr>
                <w:sz w:val="22"/>
              </w:rPr>
              <w:t>lancha</w:t>
              <w:tab/>
              <w:t>y</w:t>
              <w:tab/>
              <w:t>en</w:t>
            </w:r>
          </w:p>
        </w:tc>
        <w:tc>
          <w:tcPr>
            <w:tcW w:w="1985" w:type="dxa"/>
            <w:tcBorders>
              <w:top w:val="nil"/>
              <w:bottom w:val="nil"/>
            </w:tcBorders>
          </w:tcPr>
          <w:p>
            <w:pPr>
              <w:pStyle w:val="TableParagraph"/>
              <w:spacing w:line="242" w:lineRule="exact"/>
              <w:ind w:left="0" w:right="100"/>
              <w:jc w:val="right"/>
              <w:rPr>
                <w:sz w:val="22"/>
              </w:rPr>
            </w:pPr>
            <w:r>
              <w:rPr>
                <w:sz w:val="22"/>
              </w:rPr>
              <w:t>gobierno  se tiene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municipio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barquito,</w:t>
            </w:r>
          </w:p>
        </w:tc>
        <w:tc>
          <w:tcPr>
            <w:tcW w:w="1985" w:type="dxa"/>
            <w:tcBorders>
              <w:top w:val="nil"/>
              <w:bottom w:val="nil"/>
            </w:tcBorders>
          </w:tcPr>
          <w:p>
            <w:pPr>
              <w:pStyle w:val="TableParagraph"/>
              <w:tabs>
                <w:tab w:pos="1453" w:val="left" w:leader="none"/>
              </w:tabs>
              <w:spacing w:line="241" w:lineRule="exact"/>
              <w:ind w:left="0" w:right="100"/>
              <w:jc w:val="right"/>
              <w:rPr>
                <w:sz w:val="22"/>
              </w:rPr>
            </w:pPr>
            <w:r>
              <w:rPr>
                <w:sz w:val="22"/>
              </w:rPr>
              <w:t>problema,</w:t>
              <w:tab/>
            </w:r>
            <w:r>
              <w:rPr>
                <w:spacing w:val="-2"/>
                <w:sz w:val="22"/>
              </w:rPr>
              <w:t>por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Aculco)</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2" w:lineRule="exact"/>
              <w:rPr>
                <w:sz w:val="22"/>
              </w:rPr>
            </w:pPr>
            <w:r>
              <w:rPr>
                <w:sz w:val="22"/>
              </w:rPr>
              <w:t>además</w:t>
              <w:tab/>
              <w:t>de</w:t>
            </w:r>
          </w:p>
        </w:tc>
        <w:tc>
          <w:tcPr>
            <w:tcW w:w="1985" w:type="dxa"/>
            <w:tcBorders>
              <w:top w:val="nil"/>
              <w:bottom w:val="nil"/>
            </w:tcBorders>
          </w:tcPr>
          <w:p>
            <w:pPr>
              <w:pStyle w:val="TableParagraph"/>
              <w:tabs>
                <w:tab w:pos="1062" w:val="left" w:leader="none"/>
                <w:tab w:pos="1537" w:val="left" w:leader="none"/>
              </w:tabs>
              <w:spacing w:line="242" w:lineRule="exact"/>
              <w:ind w:left="0" w:right="99"/>
              <w:jc w:val="right"/>
              <w:rPr>
                <w:sz w:val="22"/>
              </w:rPr>
            </w:pPr>
            <w:r>
              <w:rPr>
                <w:sz w:val="22"/>
              </w:rPr>
              <w:t>ejemplo,</w:t>
              <w:tab/>
              <w:t>no</w:t>
              <w:tab/>
              <w:t>se</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ofrecer</w:t>
            </w:r>
          </w:p>
        </w:tc>
        <w:tc>
          <w:tcPr>
            <w:tcW w:w="1985" w:type="dxa"/>
            <w:tcBorders>
              <w:top w:val="nil"/>
              <w:bottom w:val="nil"/>
            </w:tcBorders>
          </w:tcPr>
          <w:p>
            <w:pPr>
              <w:pStyle w:val="TableParagraph"/>
              <w:tabs>
                <w:tab w:pos="1048" w:val="left" w:leader="none"/>
              </w:tabs>
              <w:spacing w:line="241" w:lineRule="exact"/>
              <w:ind w:left="0" w:right="99"/>
              <w:jc w:val="right"/>
              <w:rPr>
                <w:sz w:val="22"/>
              </w:rPr>
            </w:pPr>
            <w:r>
              <w:rPr>
                <w:sz w:val="22"/>
              </w:rPr>
              <w:t>tienen</w:t>
              <w:tab/>
            </w:r>
            <w:r>
              <w:rPr>
                <w:spacing w:val="-1"/>
                <w:sz w:val="22"/>
              </w:rPr>
              <w:t>buenos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80" w:val="left" w:leader="none"/>
              </w:tabs>
              <w:spacing w:line="241" w:lineRule="exact"/>
              <w:rPr>
                <w:sz w:val="22"/>
              </w:rPr>
            </w:pPr>
            <w:r>
              <w:rPr>
                <w:sz w:val="22"/>
              </w:rPr>
              <w:t>alimentos</w:t>
              <w:tab/>
              <w:t>y</w:t>
            </w:r>
          </w:p>
        </w:tc>
        <w:tc>
          <w:tcPr>
            <w:tcW w:w="1985" w:type="dxa"/>
            <w:tcBorders>
              <w:top w:val="nil"/>
              <w:bottom w:val="nil"/>
            </w:tcBorders>
          </w:tcPr>
          <w:p>
            <w:pPr>
              <w:pStyle w:val="TableParagraph"/>
              <w:tabs>
                <w:tab w:pos="1331" w:val="left" w:leader="none"/>
              </w:tabs>
              <w:spacing w:line="241" w:lineRule="exact"/>
              <w:ind w:left="0" w:right="99"/>
              <w:jc w:val="right"/>
              <w:rPr>
                <w:sz w:val="22"/>
              </w:rPr>
            </w:pPr>
            <w:r>
              <w:rPr>
                <w:sz w:val="22"/>
              </w:rPr>
              <w:t>caminos</w:t>
              <w:tab/>
            </w:r>
            <w:r>
              <w:rPr>
                <w:spacing w:val="-2"/>
                <w:sz w:val="22"/>
              </w:rPr>
              <w:t>para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8" w:val="left" w:leader="none"/>
              </w:tabs>
              <w:spacing w:line="242" w:lineRule="exact"/>
              <w:rPr>
                <w:sz w:val="22"/>
              </w:rPr>
            </w:pPr>
            <w:r>
              <w:rPr>
                <w:sz w:val="22"/>
              </w:rPr>
              <w:t>bebidas;</w:t>
              <w:tab/>
              <w:t>lo</w:t>
            </w:r>
          </w:p>
        </w:tc>
        <w:tc>
          <w:tcPr>
            <w:tcW w:w="1985" w:type="dxa"/>
            <w:tcBorders>
              <w:top w:val="nil"/>
              <w:bottom w:val="nil"/>
            </w:tcBorders>
          </w:tcPr>
          <w:p>
            <w:pPr>
              <w:pStyle w:val="TableParagraph"/>
              <w:spacing w:line="242" w:lineRule="exact"/>
              <w:ind w:left="0" w:right="99"/>
              <w:jc w:val="right"/>
              <w:rPr>
                <w:sz w:val="22"/>
              </w:rPr>
            </w:pPr>
            <w:r>
              <w:rPr>
                <w:sz w:val="22"/>
              </w:rPr>
              <w:t>acceder  al centro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09" w:val="left" w:leader="none"/>
              </w:tabs>
              <w:spacing w:line="241" w:lineRule="exact"/>
              <w:rPr>
                <w:sz w:val="22"/>
              </w:rPr>
            </w:pPr>
            <w:r>
              <w:rPr>
                <w:sz w:val="22"/>
              </w:rPr>
              <w:t>que</w:t>
              <w:tab/>
              <w:t>ocasiona</w:t>
            </w:r>
          </w:p>
        </w:tc>
        <w:tc>
          <w:tcPr>
            <w:tcW w:w="1985" w:type="dxa"/>
            <w:tcBorders>
              <w:top w:val="nil"/>
              <w:bottom w:val="nil"/>
            </w:tcBorders>
          </w:tcPr>
          <w:p>
            <w:pPr>
              <w:pStyle w:val="TableParagraph"/>
              <w:tabs>
                <w:tab w:pos="1129" w:val="left" w:leader="none"/>
                <w:tab w:pos="1597" w:val="left" w:leader="none"/>
              </w:tabs>
              <w:spacing w:line="241" w:lineRule="exact"/>
              <w:ind w:left="0" w:right="101"/>
              <w:jc w:val="right"/>
              <w:rPr>
                <w:sz w:val="22"/>
              </w:rPr>
            </w:pPr>
            <w:r>
              <w:rPr>
                <w:sz w:val="22"/>
              </w:rPr>
              <w:t>turístico</w:t>
              <w:tab/>
              <w:t>y</w:t>
              <w:tab/>
            </w:r>
            <w:r>
              <w:rPr>
                <w:spacing w:val="-1"/>
                <w:sz w:val="22"/>
              </w:rPr>
              <w:t>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que</w:t>
            </w:r>
          </w:p>
        </w:tc>
        <w:tc>
          <w:tcPr>
            <w:tcW w:w="1985" w:type="dxa"/>
            <w:tcBorders>
              <w:top w:val="nil"/>
              <w:bottom w:val="nil"/>
            </w:tcBorders>
          </w:tcPr>
          <w:p>
            <w:pPr>
              <w:pStyle w:val="TableParagraph"/>
              <w:spacing w:line="242" w:lineRule="exact"/>
              <w:ind w:left="0" w:right="100"/>
              <w:jc w:val="right"/>
              <w:rPr>
                <w:sz w:val="22"/>
              </w:rPr>
            </w:pPr>
            <w:r>
              <w:rPr>
                <w:sz w:val="22"/>
              </w:rPr>
              <w:t>gobierno   no  nos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67" w:val="left" w:leader="none"/>
              </w:tabs>
              <w:spacing w:line="241" w:lineRule="exact"/>
              <w:rPr>
                <w:sz w:val="22"/>
              </w:rPr>
            </w:pPr>
            <w:r>
              <w:rPr>
                <w:sz w:val="22"/>
              </w:rPr>
              <w:t>trabajemos</w:t>
              <w:tab/>
              <w:t>8</w:t>
            </w:r>
          </w:p>
        </w:tc>
        <w:tc>
          <w:tcPr>
            <w:tcW w:w="1985" w:type="dxa"/>
            <w:tcBorders>
              <w:top w:val="nil"/>
              <w:bottom w:val="nil"/>
            </w:tcBorders>
          </w:tcPr>
          <w:p>
            <w:pPr>
              <w:pStyle w:val="TableParagraph"/>
              <w:tabs>
                <w:tab w:pos="1245" w:val="left" w:leader="none"/>
              </w:tabs>
              <w:spacing w:line="241" w:lineRule="exact"/>
              <w:ind w:left="0" w:right="100"/>
              <w:jc w:val="right"/>
              <w:rPr>
                <w:sz w:val="22"/>
              </w:rPr>
            </w:pPr>
            <w:r>
              <w:rPr>
                <w:sz w:val="22"/>
              </w:rPr>
              <w:t>hace</w:t>
              <w:tab/>
            </w:r>
            <w:r>
              <w:rPr>
                <w:spacing w:val="-1"/>
                <w:sz w:val="22"/>
              </w:rPr>
              <w:t>caso,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personas en el</w:t>
            </w:r>
          </w:p>
        </w:tc>
        <w:tc>
          <w:tcPr>
            <w:tcW w:w="1985" w:type="dxa"/>
            <w:tcBorders>
              <w:top w:val="nil"/>
              <w:bottom w:val="nil"/>
            </w:tcBorders>
          </w:tcPr>
          <w:p>
            <w:pPr>
              <w:pStyle w:val="TableParagraph"/>
              <w:tabs>
                <w:tab w:pos="1600" w:val="left" w:leader="none"/>
              </w:tabs>
              <w:spacing w:line="241" w:lineRule="exact"/>
              <w:ind w:left="0" w:right="98"/>
              <w:jc w:val="right"/>
              <w:rPr>
                <w:sz w:val="22"/>
              </w:rPr>
            </w:pPr>
            <w:r>
              <w:rPr>
                <w:sz w:val="22"/>
              </w:rPr>
              <w:t>además</w:t>
              <w:tab/>
              <w:t>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centro turístico</w:t>
            </w:r>
          </w:p>
        </w:tc>
        <w:tc>
          <w:tcPr>
            <w:tcW w:w="1985" w:type="dxa"/>
            <w:tcBorders>
              <w:top w:val="nil"/>
              <w:bottom w:val="nil"/>
            </w:tcBorders>
          </w:tcPr>
          <w:p>
            <w:pPr>
              <w:pStyle w:val="TableParagraph"/>
              <w:spacing w:line="242" w:lineRule="exact"/>
              <w:ind w:left="0" w:right="100"/>
              <w:jc w:val="right"/>
              <w:rPr>
                <w:sz w:val="22"/>
              </w:rPr>
            </w:pPr>
            <w:r>
              <w:rPr>
                <w:sz w:val="22"/>
              </w:rPr>
              <w:t>gobierno   no  nos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84" w:val="left" w:leader="none"/>
                <w:tab w:pos="1357" w:val="left" w:leader="none"/>
              </w:tabs>
              <w:spacing w:line="241" w:lineRule="exact"/>
              <w:rPr>
                <w:sz w:val="22"/>
              </w:rPr>
            </w:pPr>
            <w:r>
              <w:rPr>
                <w:sz w:val="22"/>
              </w:rPr>
              <w:t>cada</w:t>
              <w:tab/>
              <w:t>que</w:t>
              <w:tab/>
              <w:t>se</w:t>
            </w:r>
          </w:p>
        </w:tc>
        <w:tc>
          <w:tcPr>
            <w:tcW w:w="1985" w:type="dxa"/>
            <w:tcBorders>
              <w:top w:val="nil"/>
              <w:bottom w:val="nil"/>
            </w:tcBorders>
          </w:tcPr>
          <w:p>
            <w:pPr>
              <w:pStyle w:val="TableParagraph"/>
              <w:tabs>
                <w:tab w:pos="1326" w:val="left" w:leader="none"/>
              </w:tabs>
              <w:spacing w:line="241" w:lineRule="exact"/>
              <w:ind w:left="0" w:right="101"/>
              <w:jc w:val="right"/>
              <w:rPr>
                <w:sz w:val="22"/>
              </w:rPr>
            </w:pPr>
            <w:r>
              <w:rPr>
                <w:sz w:val="22"/>
              </w:rPr>
              <w:t>apoya</w:t>
              <w:tab/>
            </w:r>
            <w:r>
              <w:rPr>
                <w:spacing w:val="-1"/>
                <w:sz w:val="22"/>
              </w:rPr>
              <w:t>para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0" w:val="left" w:leader="none"/>
              </w:tabs>
              <w:spacing w:line="242" w:lineRule="exact"/>
              <w:rPr>
                <w:sz w:val="22"/>
              </w:rPr>
            </w:pPr>
            <w:r>
              <w:rPr>
                <w:sz w:val="22"/>
              </w:rPr>
              <w:t>realiza</w:t>
              <w:tab/>
              <w:t>un</w:t>
            </w:r>
          </w:p>
        </w:tc>
        <w:tc>
          <w:tcPr>
            <w:tcW w:w="1985" w:type="dxa"/>
            <w:tcBorders>
              <w:top w:val="nil"/>
              <w:bottom w:val="nil"/>
            </w:tcBorders>
          </w:tcPr>
          <w:p>
            <w:pPr>
              <w:pStyle w:val="TableParagraph"/>
              <w:tabs>
                <w:tab w:pos="928" w:val="left" w:leader="none"/>
              </w:tabs>
              <w:spacing w:line="242" w:lineRule="exact"/>
              <w:ind w:left="0" w:right="99"/>
              <w:jc w:val="right"/>
              <w:rPr>
                <w:sz w:val="22"/>
              </w:rPr>
            </w:pPr>
            <w:r>
              <w:rPr>
                <w:sz w:val="22"/>
              </w:rPr>
              <w:t>difundir</w:t>
              <w:tab/>
            </w:r>
            <w:r>
              <w:rPr>
                <w:spacing w:val="-1"/>
                <w:sz w:val="22"/>
              </w:rPr>
              <w:t>nuestros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81" w:val="left" w:leader="none"/>
                <w:tab w:pos="1307" w:val="left" w:leader="none"/>
              </w:tabs>
              <w:spacing w:line="241" w:lineRule="exact"/>
              <w:rPr>
                <w:sz w:val="22"/>
              </w:rPr>
            </w:pPr>
            <w:r>
              <w:rPr>
                <w:sz w:val="22"/>
              </w:rPr>
              <w:t>evento</w:t>
              <w:tab/>
              <w:t>y</w:t>
              <w:tab/>
              <w:t>los</w:t>
            </w:r>
          </w:p>
        </w:tc>
        <w:tc>
          <w:tcPr>
            <w:tcW w:w="1985" w:type="dxa"/>
            <w:tcBorders>
              <w:top w:val="nil"/>
              <w:bottom w:val="nil"/>
            </w:tcBorders>
          </w:tcPr>
          <w:p>
            <w:pPr>
              <w:pStyle w:val="TableParagraph"/>
              <w:spacing w:line="241" w:lineRule="exact"/>
              <w:ind w:left="0" w:right="99"/>
              <w:jc w:val="right"/>
              <w:rPr>
                <w:sz w:val="22"/>
              </w:rPr>
            </w:pPr>
            <w:r>
              <w:rPr>
                <w:sz w:val="22"/>
              </w:rPr>
              <w:t>servicios, tal es 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1" w:val="left" w:leader="none"/>
              </w:tabs>
              <w:spacing w:line="241" w:lineRule="exact"/>
              <w:rPr>
                <w:sz w:val="22"/>
              </w:rPr>
            </w:pPr>
            <w:r>
              <w:rPr>
                <w:sz w:val="22"/>
              </w:rPr>
              <w:t>turistas</w:t>
              <w:tab/>
              <w:t>que</w:t>
            </w:r>
          </w:p>
        </w:tc>
        <w:tc>
          <w:tcPr>
            <w:tcW w:w="1985" w:type="dxa"/>
            <w:tcBorders>
              <w:top w:val="nil"/>
              <w:bottom w:val="nil"/>
            </w:tcBorders>
          </w:tcPr>
          <w:p>
            <w:pPr>
              <w:pStyle w:val="TableParagraph"/>
              <w:tabs>
                <w:tab w:pos="714" w:val="left" w:leader="none"/>
                <w:tab w:pos="1209" w:val="left" w:leader="none"/>
              </w:tabs>
              <w:spacing w:line="241" w:lineRule="exact"/>
              <w:ind w:left="0" w:right="99"/>
              <w:jc w:val="right"/>
              <w:rPr>
                <w:sz w:val="22"/>
              </w:rPr>
            </w:pPr>
            <w:r>
              <w:rPr>
                <w:sz w:val="22"/>
              </w:rPr>
              <w:t>caso</w:t>
              <w:tab/>
              <w:t>de</w:t>
              <w:tab/>
            </w:r>
            <w:r>
              <w:rPr>
                <w:spacing w:val="-1"/>
                <w:sz w:val="22"/>
              </w:rPr>
              <w:t>ahora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35" w:val="left" w:leader="none"/>
              </w:tabs>
              <w:spacing w:line="242" w:lineRule="exact"/>
              <w:rPr>
                <w:sz w:val="22"/>
              </w:rPr>
            </w:pPr>
            <w:r>
              <w:rPr>
                <w:sz w:val="22"/>
              </w:rPr>
              <w:t>más</w:t>
              <w:tab/>
              <w:t>nos</w:t>
            </w:r>
          </w:p>
        </w:tc>
        <w:tc>
          <w:tcPr>
            <w:tcW w:w="1985" w:type="dxa"/>
            <w:tcBorders>
              <w:top w:val="nil"/>
              <w:bottom w:val="nil"/>
            </w:tcBorders>
          </w:tcPr>
          <w:p>
            <w:pPr>
              <w:pStyle w:val="TableParagraph"/>
              <w:spacing w:line="242" w:lineRule="exact"/>
              <w:ind w:left="0" w:right="100"/>
              <w:jc w:val="right"/>
              <w:rPr>
                <w:sz w:val="22"/>
              </w:rPr>
            </w:pPr>
            <w:r>
              <w:rPr>
                <w:sz w:val="22"/>
              </w:rPr>
              <w:t>que fue lo de “soy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visitan  son los</w:t>
            </w:r>
          </w:p>
        </w:tc>
        <w:tc>
          <w:tcPr>
            <w:tcW w:w="1985" w:type="dxa"/>
            <w:tcBorders>
              <w:top w:val="nil"/>
              <w:bottom w:val="nil"/>
            </w:tcBorders>
          </w:tcPr>
          <w:p>
            <w:pPr>
              <w:pStyle w:val="TableParagraph"/>
              <w:tabs>
                <w:tab w:pos="1525" w:val="left" w:leader="none"/>
              </w:tabs>
              <w:spacing w:line="241" w:lineRule="exact"/>
              <w:ind w:left="0" w:right="99"/>
              <w:jc w:val="right"/>
              <w:rPr>
                <w:sz w:val="22"/>
              </w:rPr>
            </w:pPr>
            <w:r>
              <w:rPr>
                <w:sz w:val="22"/>
              </w:rPr>
              <w:t>mexiquense”,</w:t>
              <w:tab/>
            </w:r>
            <w:r>
              <w:rPr>
                <w:spacing w:val="-1"/>
                <w:sz w:val="22"/>
              </w:rPr>
              <w:t>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04" w:val="left" w:leader="none"/>
              </w:tabs>
              <w:spacing w:line="242" w:lineRule="exact"/>
              <w:rPr>
                <w:sz w:val="22"/>
              </w:rPr>
            </w:pPr>
            <w:r>
              <w:rPr>
                <w:sz w:val="22"/>
              </w:rPr>
              <w:t>del</w:t>
              <w:tab/>
              <w:t>Distrito</w:t>
            </w:r>
          </w:p>
        </w:tc>
        <w:tc>
          <w:tcPr>
            <w:tcW w:w="1985" w:type="dxa"/>
            <w:tcBorders>
              <w:top w:val="nil"/>
              <w:bottom w:val="nil"/>
            </w:tcBorders>
          </w:tcPr>
          <w:p>
            <w:pPr>
              <w:pStyle w:val="TableParagraph"/>
              <w:tabs>
                <w:tab w:pos="702" w:val="left" w:leader="none"/>
                <w:tab w:pos="1525" w:val="left" w:leader="none"/>
              </w:tabs>
              <w:spacing w:line="242" w:lineRule="exact"/>
              <w:ind w:left="0" w:right="99"/>
              <w:jc w:val="right"/>
              <w:rPr>
                <w:sz w:val="22"/>
              </w:rPr>
            </w:pPr>
            <w:r>
              <w:rPr>
                <w:sz w:val="22"/>
              </w:rPr>
              <w:t>otras</w:t>
              <w:tab/>
              <w:t>partes</w:t>
              <w:tab/>
            </w:r>
            <w:r>
              <w:rPr>
                <w:spacing w:val="-1"/>
                <w:sz w:val="22"/>
              </w:rPr>
              <w:t>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Federal,</w:t>
            </w:r>
          </w:p>
        </w:tc>
        <w:tc>
          <w:tcPr>
            <w:tcW w:w="1985" w:type="dxa"/>
            <w:tcBorders>
              <w:top w:val="nil"/>
              <w:bottom w:val="nil"/>
            </w:tcBorders>
          </w:tcPr>
          <w:p>
            <w:pPr>
              <w:pStyle w:val="TableParagraph"/>
              <w:spacing w:line="241" w:lineRule="exact"/>
              <w:ind w:left="0" w:right="102"/>
              <w:jc w:val="right"/>
              <w:rPr>
                <w:sz w:val="22"/>
              </w:rPr>
            </w:pPr>
            <w:r>
              <w:rPr>
                <w:sz w:val="22"/>
              </w:rPr>
              <w:t>Aculco estuvieron</w:t>
            </w: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tabs>
                <w:tab w:pos="1346" w:val="left" w:leader="none"/>
              </w:tabs>
              <w:spacing w:line="242" w:lineRule="exact"/>
              <w:rPr>
                <w:sz w:val="22"/>
              </w:rPr>
            </w:pPr>
            <w:r>
              <w:rPr>
                <w:sz w:val="22"/>
              </w:rPr>
              <w:t>quienes</w:t>
              <w:tab/>
              <w:t>no</w:t>
            </w:r>
          </w:p>
        </w:tc>
        <w:tc>
          <w:tcPr>
            <w:tcW w:w="1985" w:type="dxa"/>
            <w:tcBorders>
              <w:top w:val="nil"/>
            </w:tcBorders>
          </w:tcPr>
          <w:p>
            <w:pPr>
              <w:pStyle w:val="TableParagraph"/>
              <w:spacing w:line="242" w:lineRule="exact"/>
              <w:ind w:left="0" w:right="100"/>
              <w:jc w:val="right"/>
              <w:rPr>
                <w:sz w:val="22"/>
              </w:rPr>
            </w:pPr>
            <w:r>
              <w:rPr>
                <w:sz w:val="22"/>
              </w:rPr>
              <w:t>las cámaras, pero</w:t>
            </w:r>
          </w:p>
        </w:tc>
      </w:tr>
    </w:tbl>
    <w:p>
      <w:pPr>
        <w:spacing w:after="0" w:line="242" w:lineRule="exact"/>
        <w:jc w:val="righ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266" w:hRule="exact"/>
        </w:trPr>
        <w:tc>
          <w:tcPr>
            <w:tcW w:w="1385" w:type="dxa"/>
            <w:vMerge w:val="restart"/>
          </w:tcPr>
          <w:p>
            <w:pPr/>
          </w:p>
        </w:tc>
        <w:tc>
          <w:tcPr>
            <w:tcW w:w="1418" w:type="dxa"/>
            <w:vMerge w:val="restart"/>
          </w:tcPr>
          <w:p>
            <w:pPr/>
          </w:p>
        </w:tc>
        <w:tc>
          <w:tcPr>
            <w:tcW w:w="1841" w:type="dxa"/>
            <w:vMerge w:val="restart"/>
          </w:tcPr>
          <w:p>
            <w:pPr/>
          </w:p>
        </w:tc>
        <w:tc>
          <w:tcPr>
            <w:tcW w:w="1135" w:type="dxa"/>
            <w:vMerge w:val="restart"/>
          </w:tcPr>
          <w:p>
            <w:pPr/>
          </w:p>
        </w:tc>
        <w:tc>
          <w:tcPr>
            <w:tcW w:w="991" w:type="dxa"/>
            <w:vMerge w:val="restart"/>
          </w:tcPr>
          <w:p>
            <w:pPr/>
          </w:p>
        </w:tc>
        <w:tc>
          <w:tcPr>
            <w:tcW w:w="1277" w:type="dxa"/>
            <w:vMerge w:val="restart"/>
          </w:tcPr>
          <w:p>
            <w:pPr/>
          </w:p>
        </w:tc>
        <w:tc>
          <w:tcPr>
            <w:tcW w:w="1133" w:type="dxa"/>
            <w:vMerge w:val="restart"/>
          </w:tcPr>
          <w:p>
            <w:pPr/>
          </w:p>
        </w:tc>
        <w:tc>
          <w:tcPr>
            <w:tcW w:w="1702" w:type="dxa"/>
            <w:tcBorders>
              <w:bottom w:val="nil"/>
            </w:tcBorders>
          </w:tcPr>
          <w:p>
            <w:pPr>
              <w:pStyle w:val="TableParagraph"/>
              <w:tabs>
                <w:tab w:pos="1223" w:val="left" w:leader="none"/>
              </w:tabs>
              <w:spacing w:line="251" w:lineRule="exact"/>
              <w:rPr>
                <w:sz w:val="22"/>
              </w:rPr>
            </w:pPr>
            <w:r>
              <w:rPr>
                <w:sz w:val="22"/>
              </w:rPr>
              <w:t>nos</w:t>
              <w:tab/>
              <w:t>han</w:t>
            </w:r>
          </w:p>
        </w:tc>
        <w:tc>
          <w:tcPr>
            <w:tcW w:w="1985" w:type="dxa"/>
            <w:tcBorders>
              <w:bottom w:val="nil"/>
            </w:tcBorders>
          </w:tcPr>
          <w:p>
            <w:pPr>
              <w:pStyle w:val="TableParagraph"/>
              <w:spacing w:line="251" w:lineRule="exact"/>
              <w:rPr>
                <w:sz w:val="22"/>
              </w:rPr>
            </w:pPr>
            <w:r>
              <w:rPr>
                <w:sz w:val="22"/>
              </w:rPr>
              <w:t>aquí en la  laguna</w:t>
            </w:r>
          </w:p>
        </w:tc>
      </w:tr>
      <w:tr>
        <w:trPr>
          <w:trHeight w:val="253" w:hRule="exact"/>
        </w:trPr>
        <w:tc>
          <w:tcPr>
            <w:tcW w:w="1385" w:type="dxa"/>
            <w:vMerge/>
          </w:tcPr>
          <w:p>
            <w:pPr/>
          </w:p>
        </w:tc>
        <w:tc>
          <w:tcPr>
            <w:tcW w:w="1418" w:type="dxa"/>
            <w:vMerge/>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ocasionado</w:t>
            </w:r>
          </w:p>
        </w:tc>
        <w:tc>
          <w:tcPr>
            <w:tcW w:w="1985" w:type="dxa"/>
            <w:tcBorders>
              <w:top w:val="nil"/>
              <w:bottom w:val="nil"/>
            </w:tcBorders>
          </w:tcPr>
          <w:p>
            <w:pPr>
              <w:pStyle w:val="TableParagraph"/>
              <w:tabs>
                <w:tab w:pos="422" w:val="left" w:leader="none"/>
                <w:tab w:pos="878" w:val="left" w:leader="none"/>
                <w:tab w:pos="1259" w:val="left" w:leader="none"/>
              </w:tabs>
              <w:spacing w:line="241" w:lineRule="exact"/>
              <w:rPr>
                <w:sz w:val="22"/>
              </w:rPr>
            </w:pPr>
            <w:r>
              <w:rPr>
                <w:sz w:val="22"/>
              </w:rPr>
              <w:t>y</w:t>
              <w:tab/>
              <w:t>en</w:t>
              <w:tab/>
              <w:t>el</w:t>
              <w:tab/>
              <w:t>centro</w:t>
            </w:r>
          </w:p>
        </w:tc>
      </w:tr>
      <w:tr>
        <w:trPr>
          <w:trHeight w:val="253" w:hRule="exact"/>
        </w:trPr>
        <w:tc>
          <w:tcPr>
            <w:tcW w:w="1385" w:type="dxa"/>
            <w:vMerge/>
          </w:tcPr>
          <w:p>
            <w:pPr/>
          </w:p>
        </w:tc>
        <w:tc>
          <w:tcPr>
            <w:tcW w:w="1418" w:type="dxa"/>
            <w:vMerge/>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ningún</w:t>
            </w:r>
          </w:p>
        </w:tc>
        <w:tc>
          <w:tcPr>
            <w:tcW w:w="1985" w:type="dxa"/>
            <w:tcBorders>
              <w:top w:val="nil"/>
              <w:bottom w:val="nil"/>
            </w:tcBorders>
          </w:tcPr>
          <w:p>
            <w:pPr>
              <w:pStyle w:val="TableParagraph"/>
              <w:tabs>
                <w:tab w:pos="1628" w:val="left" w:leader="none"/>
              </w:tabs>
              <w:spacing w:line="242" w:lineRule="exact"/>
              <w:rPr>
                <w:sz w:val="22"/>
              </w:rPr>
            </w:pPr>
            <w:r>
              <w:rPr>
                <w:sz w:val="22"/>
              </w:rPr>
              <w:t>turístico</w:t>
              <w:tab/>
              <w:t>no</w:t>
            </w:r>
          </w:p>
        </w:tc>
      </w:tr>
      <w:tr>
        <w:trPr>
          <w:trHeight w:val="253" w:hRule="exact"/>
        </w:trPr>
        <w:tc>
          <w:tcPr>
            <w:tcW w:w="1385" w:type="dxa"/>
            <w:vMerge/>
          </w:tcPr>
          <w:p>
            <w:pPr/>
          </w:p>
        </w:tc>
        <w:tc>
          <w:tcPr>
            <w:tcW w:w="1418" w:type="dxa"/>
            <w:vMerge/>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problema</w:t>
            </w:r>
          </w:p>
        </w:tc>
        <w:tc>
          <w:tcPr>
            <w:tcW w:w="1985" w:type="dxa"/>
            <w:tcBorders>
              <w:top w:val="nil"/>
              <w:bottom w:val="nil"/>
            </w:tcBorders>
          </w:tcPr>
          <w:p>
            <w:pPr>
              <w:pStyle w:val="TableParagraph"/>
              <w:tabs>
                <w:tab w:pos="1471" w:val="left" w:leader="none"/>
              </w:tabs>
              <w:spacing w:line="241" w:lineRule="exact"/>
              <w:rPr>
                <w:sz w:val="22"/>
              </w:rPr>
            </w:pPr>
            <w:r>
              <w:rPr>
                <w:sz w:val="22"/>
              </w:rPr>
              <w:t>porque</w:t>
              <w:tab/>
              <w:t>sólo</w:t>
            </w:r>
          </w:p>
        </w:tc>
      </w:tr>
      <w:tr>
        <w:trPr>
          <w:trHeight w:val="253" w:hRule="exact"/>
        </w:trPr>
        <w:tc>
          <w:tcPr>
            <w:tcW w:w="1385" w:type="dxa"/>
            <w:vMerge/>
          </w:tcPr>
          <w:p>
            <w:pPr/>
          </w:p>
        </w:tc>
        <w:tc>
          <w:tcPr>
            <w:tcW w:w="1418" w:type="dxa"/>
            <w:vMerge/>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235" w:val="left" w:leader="none"/>
              </w:tabs>
              <w:spacing w:line="242" w:lineRule="exact"/>
              <w:rPr>
                <w:sz w:val="22"/>
              </w:rPr>
            </w:pPr>
            <w:r>
              <w:rPr>
                <w:sz w:val="22"/>
              </w:rPr>
              <w:t>porque</w:t>
              <w:tab/>
              <w:t>nos</w:t>
            </w:r>
          </w:p>
        </w:tc>
        <w:tc>
          <w:tcPr>
            <w:tcW w:w="1985" w:type="dxa"/>
            <w:tcBorders>
              <w:top w:val="nil"/>
              <w:bottom w:val="nil"/>
            </w:tcBorders>
          </w:tcPr>
          <w:p>
            <w:pPr>
              <w:pStyle w:val="TableParagraph"/>
              <w:spacing w:line="242" w:lineRule="exact"/>
              <w:rPr>
                <w:sz w:val="22"/>
              </w:rPr>
            </w:pPr>
            <w:r>
              <w:rPr>
                <w:sz w:val="22"/>
              </w:rPr>
              <w:t>apoyan a quienes</w:t>
            </w:r>
          </w:p>
        </w:tc>
      </w:tr>
      <w:tr>
        <w:trPr>
          <w:trHeight w:val="252" w:hRule="exact"/>
        </w:trPr>
        <w:tc>
          <w:tcPr>
            <w:tcW w:w="1385" w:type="dxa"/>
            <w:vMerge/>
          </w:tcPr>
          <w:p>
            <w:pPr/>
          </w:p>
        </w:tc>
        <w:tc>
          <w:tcPr>
            <w:tcW w:w="1418" w:type="dxa"/>
            <w:vMerge/>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928" w:val="left" w:leader="none"/>
              </w:tabs>
              <w:spacing w:line="241" w:lineRule="exact"/>
              <w:rPr>
                <w:sz w:val="22"/>
              </w:rPr>
            </w:pPr>
            <w:r>
              <w:rPr>
                <w:sz w:val="22"/>
              </w:rPr>
              <w:t>han</w:t>
              <w:tab/>
              <w:t>tocado</w:t>
            </w:r>
          </w:p>
        </w:tc>
        <w:tc>
          <w:tcPr>
            <w:tcW w:w="1985" w:type="dxa"/>
            <w:tcBorders>
              <w:top w:val="nil"/>
              <w:bottom w:val="nil"/>
            </w:tcBorders>
          </w:tcPr>
          <w:p>
            <w:pPr>
              <w:pStyle w:val="TableParagraph"/>
              <w:spacing w:line="241" w:lineRule="exact"/>
              <w:rPr>
                <w:sz w:val="22"/>
              </w:rPr>
            </w:pPr>
            <w:r>
              <w:rPr>
                <w:sz w:val="22"/>
              </w:rPr>
              <w:t>tienen  influencias</w:t>
            </w:r>
          </w:p>
        </w:tc>
      </w:tr>
      <w:tr>
        <w:trPr>
          <w:trHeight w:val="253" w:hRule="exact"/>
        </w:trPr>
        <w:tc>
          <w:tcPr>
            <w:tcW w:w="1385" w:type="dxa"/>
            <w:vMerge/>
          </w:tcPr>
          <w:p>
            <w:pPr/>
          </w:p>
        </w:tc>
        <w:tc>
          <w:tcPr>
            <w:tcW w:w="1418" w:type="dxa"/>
            <w:vMerge/>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173" w:val="left" w:leader="none"/>
              </w:tabs>
              <w:spacing w:line="241" w:lineRule="exact"/>
              <w:rPr>
                <w:sz w:val="22"/>
              </w:rPr>
            </w:pPr>
            <w:r>
              <w:rPr>
                <w:sz w:val="22"/>
              </w:rPr>
              <w:t>turistas</w:t>
              <w:tab/>
              <w:t>muy</w:t>
            </w:r>
          </w:p>
        </w:tc>
        <w:tc>
          <w:tcPr>
            <w:tcW w:w="1985" w:type="dxa"/>
            <w:tcBorders>
              <w:top w:val="nil"/>
              <w:bottom w:val="nil"/>
            </w:tcBorders>
          </w:tcPr>
          <w:p>
            <w:pPr>
              <w:pStyle w:val="TableParagraph"/>
              <w:tabs>
                <w:tab w:pos="1177" w:val="left" w:leader="none"/>
                <w:tab w:pos="1703" w:val="left" w:leader="none"/>
              </w:tabs>
              <w:spacing w:line="241" w:lineRule="exact"/>
              <w:rPr>
                <w:sz w:val="22"/>
              </w:rPr>
            </w:pPr>
            <w:r>
              <w:rPr>
                <w:sz w:val="22"/>
              </w:rPr>
              <w:t>políticas,</w:t>
              <w:tab/>
              <w:t>por</w:t>
              <w:tab/>
              <w:t>lo</w:t>
            </w:r>
          </w:p>
        </w:tc>
      </w:tr>
      <w:tr>
        <w:trPr>
          <w:trHeight w:val="254" w:hRule="exact"/>
        </w:trPr>
        <w:tc>
          <w:tcPr>
            <w:tcW w:w="1385" w:type="dxa"/>
            <w:vMerge/>
          </w:tcPr>
          <w:p>
            <w:pPr/>
          </w:p>
        </w:tc>
        <w:tc>
          <w:tcPr>
            <w:tcW w:w="1418" w:type="dxa"/>
            <w:vMerge/>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ordenados.</w:t>
            </w:r>
          </w:p>
        </w:tc>
        <w:tc>
          <w:tcPr>
            <w:tcW w:w="1985" w:type="dxa"/>
            <w:tcBorders>
              <w:top w:val="nil"/>
              <w:bottom w:val="nil"/>
            </w:tcBorders>
          </w:tcPr>
          <w:p>
            <w:pPr>
              <w:pStyle w:val="TableParagraph"/>
              <w:spacing w:line="242" w:lineRule="exact"/>
              <w:rPr>
                <w:sz w:val="22"/>
              </w:rPr>
            </w:pPr>
            <w:r>
              <w:rPr>
                <w:sz w:val="22"/>
              </w:rPr>
              <w:t>que pedimos más</w:t>
            </w:r>
          </w:p>
        </w:tc>
      </w:tr>
      <w:tr>
        <w:trPr>
          <w:trHeight w:val="250" w:hRule="exact"/>
        </w:trPr>
        <w:tc>
          <w:tcPr>
            <w:tcW w:w="1385" w:type="dxa"/>
            <w:vMerge/>
          </w:tcPr>
          <w:p>
            <w:pPr/>
          </w:p>
        </w:tc>
        <w:tc>
          <w:tcPr>
            <w:tcW w:w="1418" w:type="dxa"/>
            <w:vMerge/>
          </w:tcPr>
          <w:p>
            <w:pPr/>
          </w:p>
        </w:tc>
        <w:tc>
          <w:tcPr>
            <w:tcW w:w="1841" w:type="dxa"/>
            <w:vMerge/>
          </w:tcPr>
          <w:p>
            <w:pPr/>
          </w:p>
        </w:tc>
        <w:tc>
          <w:tcPr>
            <w:tcW w:w="1135" w:type="dxa"/>
            <w:vMerge/>
          </w:tcPr>
          <w:p>
            <w:pPr/>
          </w:p>
        </w:tc>
        <w:tc>
          <w:tcPr>
            <w:tcW w:w="991" w:type="dxa"/>
            <w:vMerge/>
          </w:tcPr>
          <w:p>
            <w:pPr/>
          </w:p>
        </w:tc>
        <w:tc>
          <w:tcPr>
            <w:tcW w:w="1277" w:type="dxa"/>
            <w:vMerge/>
          </w:tcPr>
          <w:p>
            <w:pPr/>
          </w:p>
        </w:tc>
        <w:tc>
          <w:tcPr>
            <w:tcW w:w="1133" w:type="dxa"/>
            <w:vMerge/>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apoyo.</w:t>
            </w: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spacing w:after="6"/>
        <w:ind w:left="3077" w:right="397"/>
      </w:pPr>
      <w:r>
        <w:rPr/>
        <w:t>Tabla 6.6. Turismo en el Municipio de Aculco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524" w:hRule="exact"/>
        </w:trPr>
        <w:tc>
          <w:tcPr>
            <w:tcW w:w="6771" w:type="dxa"/>
            <w:gridSpan w:val="5"/>
            <w:vMerge w:val="restart"/>
            <w:shd w:val="clear" w:color="auto" w:fill="F9BE8F"/>
          </w:tcPr>
          <w:p>
            <w:pPr>
              <w:pStyle w:val="TableParagraph"/>
              <w:spacing w:before="5"/>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5"/>
              <w:ind w:left="0"/>
              <w:rPr>
                <w:b/>
                <w:sz w:val="21"/>
              </w:rPr>
            </w:pPr>
          </w:p>
          <w:p>
            <w:pPr>
              <w:pStyle w:val="TableParagraph"/>
              <w:ind w:left="1404"/>
              <w:rPr>
                <w:b/>
                <w:sz w:val="22"/>
              </w:rPr>
            </w:pPr>
            <w:r>
              <w:rPr>
                <w:b/>
                <w:sz w:val="22"/>
              </w:rPr>
              <w:t>PRINCIPIOS DE GOBERNANZA</w:t>
            </w:r>
          </w:p>
        </w:tc>
      </w:tr>
      <w:tr>
        <w:trPr>
          <w:trHeight w:val="769" w:hRule="exact"/>
        </w:trPr>
        <w:tc>
          <w:tcPr>
            <w:tcW w:w="6771" w:type="dxa"/>
            <w:gridSpan w:val="5"/>
            <w:vMerge/>
            <w:shd w:val="clear" w:color="auto" w:fill="F9BE8F"/>
          </w:tcPr>
          <w:p>
            <w:pPr/>
          </w:p>
        </w:tc>
        <w:tc>
          <w:tcPr>
            <w:tcW w:w="2410" w:type="dxa"/>
            <w:gridSpan w:val="2"/>
            <w:shd w:val="clear" w:color="auto" w:fill="92CDDC"/>
          </w:tcPr>
          <w:p>
            <w:pPr>
              <w:pStyle w:val="TableParagraph"/>
              <w:spacing w:line="252" w:lineRule="exact"/>
              <w:ind w:left="710"/>
              <w:rPr>
                <w:b/>
                <w:i/>
                <w:sz w:val="22"/>
              </w:rPr>
            </w:pPr>
            <w:r>
              <w:rPr>
                <w:b/>
                <w:i/>
                <w:sz w:val="22"/>
              </w:rPr>
              <w:t>Identidad</w:t>
            </w:r>
          </w:p>
        </w:tc>
        <w:tc>
          <w:tcPr>
            <w:tcW w:w="1702" w:type="dxa"/>
            <w:shd w:val="clear" w:color="auto" w:fill="92CDDC"/>
          </w:tcPr>
          <w:p>
            <w:pPr>
              <w:pStyle w:val="TableParagraph"/>
              <w:spacing w:line="252" w:lineRule="exact"/>
              <w:ind w:left="532"/>
              <w:rPr>
                <w:b/>
                <w:i/>
                <w:sz w:val="22"/>
              </w:rPr>
            </w:pPr>
            <w:r>
              <w:rPr>
                <w:b/>
                <w:i/>
                <w:sz w:val="22"/>
              </w:rPr>
              <w:t>Poder</w:t>
            </w:r>
          </w:p>
        </w:tc>
        <w:tc>
          <w:tcPr>
            <w:tcW w:w="1985" w:type="dxa"/>
            <w:shd w:val="clear" w:color="auto" w:fill="92CDDC"/>
          </w:tcPr>
          <w:p>
            <w:pPr>
              <w:pStyle w:val="TableParagraph"/>
              <w:tabs>
                <w:tab w:pos="712" w:val="left" w:leader="none"/>
              </w:tabs>
              <w:ind w:right="99"/>
              <w:rPr>
                <w:b/>
                <w:i/>
                <w:sz w:val="22"/>
              </w:rPr>
            </w:pPr>
            <w:r>
              <w:rPr>
                <w:b/>
                <w:i/>
                <w:sz w:val="22"/>
              </w:rPr>
              <w:t>Gobernabilidad </w:t>
            </w:r>
            <w:r>
              <w:rPr>
                <w:b/>
                <w:i/>
                <w:sz w:val="22"/>
              </w:rPr>
              <w:t>y</w:t>
              <w:tab/>
            </w:r>
            <w:r>
              <w:rPr>
                <w:b/>
                <w:i/>
                <w:spacing w:val="-1"/>
                <w:sz w:val="22"/>
              </w:rPr>
              <w:t>Relaciones </w:t>
            </w:r>
            <w:r>
              <w:rPr>
                <w:b/>
                <w:i/>
                <w:sz w:val="22"/>
              </w:rPr>
              <w:t>Intermunicipales</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Asociación</w:t>
            </w:r>
          </w:p>
        </w:tc>
        <w:tc>
          <w:tcPr>
            <w:tcW w:w="1135" w:type="dxa"/>
            <w:tcBorders>
              <w:bottom w:val="nil"/>
            </w:tcBorders>
            <w:shd w:val="clear" w:color="auto" w:fill="F9BE8F"/>
          </w:tcPr>
          <w:p>
            <w:pPr>
              <w:pStyle w:val="TableParagraph"/>
              <w:spacing w:line="248" w:lineRule="exact"/>
              <w:rPr>
                <w:b/>
                <w:sz w:val="22"/>
              </w:rPr>
            </w:pPr>
            <w:r>
              <w:rPr>
                <w:b/>
                <w:sz w:val="22"/>
              </w:rPr>
              <w:t>Cargo</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8" w:lineRule="exact"/>
              <w:rPr>
                <w:b/>
                <w:sz w:val="22"/>
              </w:rPr>
            </w:pPr>
            <w:r>
              <w:rPr>
                <w:b/>
                <w:sz w:val="22"/>
              </w:rPr>
              <w:t>¿Existen</w:t>
            </w:r>
          </w:p>
        </w:tc>
        <w:tc>
          <w:tcPr>
            <w:tcW w:w="1985" w:type="dxa"/>
            <w:tcBorders>
              <w:bottom w:val="nil"/>
            </w:tcBorders>
            <w:shd w:val="clear" w:color="auto" w:fill="92CDDC"/>
          </w:tcPr>
          <w:p>
            <w:pPr>
              <w:pStyle w:val="TableParagraph"/>
              <w:spacing w:line="248" w:lineRule="exact"/>
              <w:rPr>
                <w:b/>
                <w:sz w:val="22"/>
              </w:rPr>
            </w:pPr>
            <w:r>
              <w:rPr>
                <w:b/>
                <w:sz w:val="22"/>
              </w:rPr>
              <w:t>¿Considera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turística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problemas</w:t>
            </w:r>
          </w:p>
        </w:tc>
        <w:tc>
          <w:tcPr>
            <w:tcW w:w="1985" w:type="dxa"/>
            <w:tcBorders>
              <w:top w:val="nil"/>
              <w:bottom w:val="nil"/>
            </w:tcBorders>
            <w:shd w:val="clear" w:color="auto" w:fill="92CDDC"/>
          </w:tcPr>
          <w:p>
            <w:pPr>
              <w:pStyle w:val="TableParagraph"/>
              <w:tabs>
                <w:tab w:pos="1482" w:val="left" w:leader="none"/>
              </w:tabs>
              <w:spacing w:line="241" w:lineRule="exact"/>
              <w:rPr>
                <w:b/>
                <w:sz w:val="22"/>
              </w:rPr>
            </w:pPr>
            <w:r>
              <w:rPr>
                <w:b/>
                <w:sz w:val="22"/>
              </w:rPr>
              <w:t>apropiado</w:t>
              <w:tab/>
              <w:t>que</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676" w:val="left" w:leader="none"/>
                <w:tab w:pos="1076" w:val="left" w:leader="none"/>
              </w:tabs>
              <w:spacing w:line="242" w:lineRule="exact"/>
              <w:rPr>
                <w:b/>
                <w:sz w:val="22"/>
              </w:rPr>
            </w:pPr>
            <w:r>
              <w:rPr>
                <w:b/>
                <w:sz w:val="22"/>
              </w:rPr>
              <w:t>por</w:t>
              <w:tab/>
              <w:t>el</w:t>
              <w:tab/>
              <w:t>agua</w:t>
            </w:r>
          </w:p>
        </w:tc>
        <w:tc>
          <w:tcPr>
            <w:tcW w:w="1985" w:type="dxa"/>
            <w:tcBorders>
              <w:top w:val="nil"/>
              <w:bottom w:val="nil"/>
            </w:tcBorders>
            <w:shd w:val="clear" w:color="auto" w:fill="92CDDC"/>
          </w:tcPr>
          <w:p>
            <w:pPr>
              <w:pStyle w:val="TableParagraph"/>
              <w:spacing w:line="242" w:lineRule="exact"/>
              <w:rPr>
                <w:b/>
                <w:sz w:val="22"/>
              </w:rPr>
            </w:pPr>
            <w:r>
              <w:rPr>
                <w:b/>
                <w:sz w:val="22"/>
              </w:rPr>
              <w:t>exista un Comité</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271" w:val="left" w:leader="none"/>
              </w:tabs>
              <w:spacing w:line="241" w:lineRule="exact"/>
              <w:rPr>
                <w:b/>
                <w:sz w:val="22"/>
              </w:rPr>
            </w:pPr>
            <w:r>
              <w:rPr>
                <w:b/>
                <w:sz w:val="22"/>
              </w:rPr>
              <w:t>entre</w:t>
              <w:tab/>
              <w:t>los</w:t>
            </w:r>
          </w:p>
        </w:tc>
        <w:tc>
          <w:tcPr>
            <w:tcW w:w="1985" w:type="dxa"/>
            <w:tcBorders>
              <w:top w:val="nil"/>
              <w:bottom w:val="nil"/>
            </w:tcBorders>
            <w:shd w:val="clear" w:color="auto" w:fill="92CDDC"/>
          </w:tcPr>
          <w:p>
            <w:pPr>
              <w:pStyle w:val="TableParagraph"/>
              <w:spacing w:line="241" w:lineRule="exact"/>
              <w:rPr>
                <w:b/>
                <w:sz w:val="22"/>
              </w:rPr>
            </w:pPr>
            <w:r>
              <w:rPr>
                <w:b/>
                <w:sz w:val="22"/>
              </w:rPr>
              <w:t>Intermunicipal</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habitantes  de</w:t>
            </w: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con</w:t>
              <w:tab/>
              <w:t>su</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673" w:val="left" w:leader="none"/>
              </w:tabs>
              <w:spacing w:line="241" w:lineRule="exact"/>
              <w:rPr>
                <w:b/>
                <w:sz w:val="22"/>
              </w:rPr>
            </w:pPr>
            <w:r>
              <w:rPr>
                <w:b/>
                <w:sz w:val="22"/>
              </w:rPr>
              <w:t>los</w:t>
              <w:tab/>
              <w:t>distintos</w:t>
            </w:r>
          </w:p>
        </w:tc>
        <w:tc>
          <w:tcPr>
            <w:tcW w:w="1985" w:type="dxa"/>
            <w:tcBorders>
              <w:top w:val="nil"/>
              <w:bottom w:val="nil"/>
            </w:tcBorders>
            <w:shd w:val="clear" w:color="auto" w:fill="92CDDC"/>
          </w:tcPr>
          <w:p>
            <w:pPr>
              <w:pStyle w:val="TableParagraph"/>
              <w:spacing w:line="241" w:lineRule="exact"/>
              <w:rPr>
                <w:b/>
                <w:sz w:val="22"/>
              </w:rPr>
            </w:pPr>
            <w:r>
              <w:rPr>
                <w:b/>
                <w:sz w:val="22"/>
              </w:rPr>
              <w:t>Reglamento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municipios</w:t>
            </w:r>
          </w:p>
        </w:tc>
        <w:tc>
          <w:tcPr>
            <w:tcW w:w="1985" w:type="dxa"/>
            <w:tcBorders>
              <w:top w:val="nil"/>
              <w:bottom w:val="nil"/>
            </w:tcBorders>
            <w:shd w:val="clear" w:color="auto" w:fill="92CDDC"/>
          </w:tcPr>
          <w:p>
            <w:pPr>
              <w:pStyle w:val="TableParagraph"/>
              <w:tabs>
                <w:tab w:pos="904" w:val="left" w:leader="none"/>
                <w:tab w:pos="1422" w:val="left" w:leader="none"/>
              </w:tabs>
              <w:spacing w:line="241" w:lineRule="exact"/>
              <w:rPr>
                <w:b/>
                <w:sz w:val="22"/>
              </w:rPr>
            </w:pPr>
            <w:r>
              <w:rPr>
                <w:b/>
                <w:sz w:val="22"/>
              </w:rPr>
              <w:t>para</w:t>
              <w:tab/>
              <w:t>el</w:t>
              <w:tab/>
              <w:t>uso,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que   colindan</w:t>
            </w:r>
          </w:p>
        </w:tc>
        <w:tc>
          <w:tcPr>
            <w:tcW w:w="1985" w:type="dxa"/>
            <w:tcBorders>
              <w:top w:val="nil"/>
              <w:bottom w:val="nil"/>
            </w:tcBorders>
            <w:shd w:val="clear" w:color="auto" w:fill="92CDDC"/>
          </w:tcPr>
          <w:p>
            <w:pPr>
              <w:pStyle w:val="TableParagraph"/>
              <w:tabs>
                <w:tab w:pos="1751" w:val="left" w:leader="none"/>
              </w:tabs>
              <w:spacing w:line="242" w:lineRule="exact"/>
              <w:rPr>
                <w:b/>
                <w:sz w:val="22"/>
              </w:rPr>
            </w:pPr>
            <w:r>
              <w:rPr>
                <w:b/>
                <w:sz w:val="22"/>
              </w:rPr>
              <w:t>cuidado</w:t>
              <w:tab/>
              <w:t>y</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con  la laguna</w:t>
            </w:r>
          </w:p>
        </w:tc>
        <w:tc>
          <w:tcPr>
            <w:tcW w:w="1985" w:type="dxa"/>
            <w:tcBorders>
              <w:top w:val="nil"/>
              <w:bottom w:val="nil"/>
            </w:tcBorders>
            <w:shd w:val="clear" w:color="auto" w:fill="92CDDC"/>
          </w:tcPr>
          <w:p>
            <w:pPr>
              <w:pStyle w:val="TableParagraph"/>
              <w:tabs>
                <w:tab w:pos="1185" w:val="left" w:leader="none"/>
                <w:tab w:pos="1688" w:val="left" w:leader="none"/>
              </w:tabs>
              <w:spacing w:line="241" w:lineRule="exact"/>
              <w:rPr>
                <w:b/>
                <w:sz w:val="22"/>
              </w:rPr>
            </w:pPr>
            <w:r>
              <w:rPr>
                <w:b/>
                <w:sz w:val="22"/>
              </w:rPr>
              <w:t>defensa</w:t>
              <w:tab/>
              <w:t>de</w:t>
              <w:tab/>
              <w:t>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de</w:t>
            </w:r>
          </w:p>
        </w:tc>
        <w:tc>
          <w:tcPr>
            <w:tcW w:w="1985" w:type="dxa"/>
            <w:tcBorders>
              <w:top w:val="nil"/>
              <w:bottom w:val="nil"/>
            </w:tcBorders>
            <w:shd w:val="clear" w:color="auto" w:fill="92CDDC"/>
          </w:tcPr>
          <w:p>
            <w:pPr>
              <w:pStyle w:val="TableParagraph"/>
              <w:spacing w:line="242" w:lineRule="exact"/>
              <w:rPr>
                <w:b/>
                <w:sz w:val="22"/>
              </w:rPr>
            </w:pPr>
            <w:r>
              <w:rPr>
                <w:b/>
                <w:sz w:val="22"/>
              </w:rPr>
              <w:t>laguna</w:t>
            </w: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1" w:lineRule="exact"/>
              <w:rPr>
                <w:b/>
                <w:sz w:val="22"/>
              </w:rPr>
            </w:pPr>
            <w:r>
              <w:rPr>
                <w:b/>
                <w:sz w:val="22"/>
              </w:rPr>
              <w:t>Huapango?</w:t>
            </w:r>
          </w:p>
        </w:tc>
        <w:tc>
          <w:tcPr>
            <w:tcW w:w="1985" w:type="dxa"/>
            <w:tcBorders>
              <w:top w:val="nil"/>
            </w:tcBorders>
            <w:shd w:val="clear" w:color="auto" w:fill="92CDDC"/>
          </w:tcPr>
          <w:p>
            <w:pPr>
              <w:pStyle w:val="TableParagraph"/>
              <w:spacing w:line="241" w:lineRule="exact"/>
              <w:rPr>
                <w:b/>
                <w:sz w:val="22"/>
              </w:rPr>
            </w:pPr>
            <w:r>
              <w:rPr>
                <w:b/>
                <w:sz w:val="22"/>
              </w:rPr>
              <w:t>Huapango?</w:t>
            </w:r>
          </w:p>
        </w:tc>
      </w:tr>
      <w:tr>
        <w:trPr>
          <w:trHeight w:val="267" w:hRule="exact"/>
        </w:trPr>
        <w:tc>
          <w:tcPr>
            <w:tcW w:w="1385" w:type="dxa"/>
            <w:tcBorders>
              <w:bottom w:val="nil"/>
            </w:tcBorders>
          </w:tcPr>
          <w:p>
            <w:pPr>
              <w:pStyle w:val="TableParagraph"/>
              <w:spacing w:line="251" w:lineRule="exact"/>
              <w:ind w:right="127"/>
              <w:rPr>
                <w:sz w:val="22"/>
              </w:rPr>
            </w:pPr>
            <w:r>
              <w:rPr>
                <w:sz w:val="22"/>
              </w:rPr>
              <w:t>Yolanda</w:t>
            </w:r>
          </w:p>
        </w:tc>
        <w:tc>
          <w:tcPr>
            <w:tcW w:w="1418" w:type="dxa"/>
            <w:tcBorders>
              <w:bottom w:val="nil"/>
            </w:tcBorders>
          </w:tcPr>
          <w:p>
            <w:pPr>
              <w:pStyle w:val="TableParagraph"/>
              <w:spacing w:line="251" w:lineRule="exact"/>
              <w:ind w:left="100" w:right="101"/>
              <w:rPr>
                <w:sz w:val="22"/>
              </w:rPr>
            </w:pPr>
            <w:r>
              <w:rPr>
                <w:sz w:val="22"/>
              </w:rPr>
              <w:t>Encargada</w:t>
            </w:r>
          </w:p>
        </w:tc>
        <w:tc>
          <w:tcPr>
            <w:tcW w:w="1841" w:type="dxa"/>
            <w:tcBorders>
              <w:bottom w:val="nil"/>
            </w:tcBorders>
          </w:tcPr>
          <w:p>
            <w:pPr>
              <w:pStyle w:val="TableParagraph"/>
              <w:spacing w:line="251" w:lineRule="exact"/>
              <w:ind w:left="100"/>
              <w:rPr>
                <w:sz w:val="22"/>
              </w:rPr>
            </w:pPr>
            <w:r>
              <w:rPr>
                <w:sz w:val="22"/>
              </w:rPr>
              <w:t>Las Delicias de</w:t>
            </w:r>
          </w:p>
        </w:tc>
        <w:tc>
          <w:tcPr>
            <w:tcW w:w="1135" w:type="dxa"/>
            <w:tcBorders>
              <w:bottom w:val="nil"/>
            </w:tcBorders>
          </w:tcPr>
          <w:p>
            <w:pPr>
              <w:pStyle w:val="TableParagraph"/>
              <w:spacing w:line="251" w:lineRule="exact"/>
              <w:rPr>
                <w:sz w:val="22"/>
              </w:rPr>
            </w:pPr>
            <w:r>
              <w:rPr>
                <w:sz w:val="22"/>
              </w:rPr>
              <w:t>Encarga</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Los</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976" w:val="left" w:leader="none"/>
              </w:tabs>
              <w:spacing w:line="251" w:lineRule="exact"/>
              <w:rPr>
                <w:sz w:val="22"/>
              </w:rPr>
            </w:pPr>
            <w:r>
              <w:rPr>
                <w:sz w:val="22"/>
              </w:rPr>
              <w:t>No</w:t>
              <w:tab/>
              <w:t>sabría</w:t>
            </w:r>
          </w:p>
        </w:tc>
        <w:tc>
          <w:tcPr>
            <w:tcW w:w="1985" w:type="dxa"/>
            <w:tcBorders>
              <w:bottom w:val="nil"/>
            </w:tcBorders>
          </w:tcPr>
          <w:p>
            <w:pPr>
              <w:pStyle w:val="TableParagraph"/>
              <w:spacing w:line="251" w:lineRule="exact"/>
              <w:rPr>
                <w:sz w:val="22"/>
              </w:rPr>
            </w:pPr>
            <w:r>
              <w:rPr>
                <w:sz w:val="22"/>
              </w:rPr>
              <w:t>Considero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100" w:right="101"/>
              <w:rPr>
                <w:sz w:val="22"/>
              </w:rPr>
            </w:pPr>
            <w:r>
              <w:rPr>
                <w:sz w:val="22"/>
              </w:rPr>
              <w:t>del centro</w:t>
            </w:r>
          </w:p>
        </w:tc>
        <w:tc>
          <w:tcPr>
            <w:tcW w:w="1841" w:type="dxa"/>
            <w:tcBorders>
              <w:top w:val="nil"/>
              <w:bottom w:val="nil"/>
            </w:tcBorders>
          </w:tcPr>
          <w:p>
            <w:pPr>
              <w:pStyle w:val="TableParagraph"/>
              <w:spacing w:line="241" w:lineRule="exact"/>
              <w:ind w:left="100"/>
              <w:rPr>
                <w:sz w:val="22"/>
              </w:rPr>
            </w:pPr>
            <w:r>
              <w:rPr>
                <w:sz w:val="22"/>
              </w:rPr>
              <w:t>Huapango S.A.</w:t>
            </w:r>
          </w:p>
        </w:tc>
        <w:tc>
          <w:tcPr>
            <w:tcW w:w="1135" w:type="dxa"/>
            <w:tcBorders>
              <w:top w:val="nil"/>
              <w:bottom w:val="nil"/>
            </w:tcBorders>
          </w:tcPr>
          <w:p>
            <w:pPr>
              <w:pStyle w:val="TableParagraph"/>
              <w:spacing w:line="241" w:lineRule="exact"/>
              <w:rPr>
                <w:sz w:val="22"/>
              </w:rPr>
            </w:pPr>
            <w:r>
              <w:rPr>
                <w:sz w:val="22"/>
              </w:rPr>
              <w:t>da del</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Pilares,</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spacing w:line="241" w:lineRule="exact"/>
              <w:rPr>
                <w:sz w:val="22"/>
              </w:rPr>
            </w:pPr>
            <w:r>
              <w:rPr>
                <w:sz w:val="22"/>
              </w:rPr>
              <w:t>decirle.</w:t>
            </w:r>
          </w:p>
        </w:tc>
        <w:tc>
          <w:tcPr>
            <w:tcW w:w="1985" w:type="dxa"/>
            <w:tcBorders>
              <w:top w:val="nil"/>
              <w:bottom w:val="nil"/>
            </w:tcBorders>
          </w:tcPr>
          <w:p>
            <w:pPr>
              <w:pStyle w:val="TableParagraph"/>
              <w:tabs>
                <w:tab w:pos="1503" w:val="left" w:leader="none"/>
              </w:tabs>
              <w:spacing w:line="241" w:lineRule="exact"/>
              <w:rPr>
                <w:sz w:val="22"/>
              </w:rPr>
            </w:pPr>
            <w:r>
              <w:rPr>
                <w:sz w:val="22"/>
              </w:rPr>
              <w:t>importante</w:t>
              <w:tab/>
              <w:t>que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De Jesús</w:t>
            </w:r>
          </w:p>
        </w:tc>
        <w:tc>
          <w:tcPr>
            <w:tcW w:w="1418" w:type="dxa"/>
            <w:tcBorders>
              <w:top w:val="nil"/>
              <w:bottom w:val="nil"/>
            </w:tcBorders>
          </w:tcPr>
          <w:p>
            <w:pPr>
              <w:pStyle w:val="TableParagraph"/>
              <w:spacing w:line="241" w:lineRule="exact"/>
              <w:ind w:left="100" w:right="101"/>
              <w:rPr>
                <w:sz w:val="22"/>
              </w:rPr>
            </w:pPr>
            <w:r>
              <w:rPr>
                <w:sz w:val="22"/>
              </w:rPr>
              <w:t>turístico y</w:t>
            </w:r>
          </w:p>
        </w:tc>
        <w:tc>
          <w:tcPr>
            <w:tcW w:w="1841" w:type="dxa"/>
            <w:tcBorders>
              <w:top w:val="nil"/>
              <w:bottom w:val="nil"/>
            </w:tcBorders>
          </w:tcPr>
          <w:p>
            <w:pPr>
              <w:pStyle w:val="TableParagraph"/>
              <w:spacing w:line="241" w:lineRule="exact"/>
              <w:ind w:left="100"/>
              <w:rPr>
                <w:sz w:val="22"/>
              </w:rPr>
            </w:pPr>
            <w:r>
              <w:rPr>
                <w:sz w:val="22"/>
              </w:rPr>
              <w:t>de C. V.</w:t>
            </w:r>
          </w:p>
        </w:tc>
        <w:tc>
          <w:tcPr>
            <w:tcW w:w="1135" w:type="dxa"/>
            <w:tcBorders>
              <w:top w:val="nil"/>
              <w:bottom w:val="nil"/>
            </w:tcBorders>
          </w:tcPr>
          <w:p>
            <w:pPr>
              <w:pStyle w:val="TableParagraph"/>
              <w:spacing w:line="241" w:lineRule="exact"/>
              <w:rPr>
                <w:sz w:val="22"/>
              </w:rPr>
            </w:pPr>
            <w:r>
              <w:rPr>
                <w:sz w:val="22"/>
              </w:rPr>
              <w:t>centro</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
        </w:tc>
        <w:tc>
          <w:tcPr>
            <w:tcW w:w="1985" w:type="dxa"/>
            <w:tcBorders>
              <w:top w:val="nil"/>
              <w:bottom w:val="nil"/>
            </w:tcBorders>
          </w:tcPr>
          <w:p>
            <w:pPr>
              <w:pStyle w:val="TableParagraph"/>
              <w:tabs>
                <w:tab w:pos="1626" w:val="left" w:leader="none"/>
              </w:tabs>
              <w:spacing w:line="241" w:lineRule="exact"/>
              <w:rPr>
                <w:sz w:val="22"/>
              </w:rPr>
            </w:pPr>
            <w:r>
              <w:rPr>
                <w:sz w:val="22"/>
              </w:rPr>
              <w:t>exista</w:t>
              <w:tab/>
              <w:t>un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(4/I/2014)</w:t>
            </w:r>
          </w:p>
        </w:tc>
        <w:tc>
          <w:tcPr>
            <w:tcW w:w="1418" w:type="dxa"/>
            <w:tcBorders>
              <w:top w:val="nil"/>
              <w:bottom w:val="nil"/>
            </w:tcBorders>
          </w:tcPr>
          <w:p>
            <w:pPr>
              <w:pStyle w:val="TableParagraph"/>
              <w:spacing w:line="242" w:lineRule="exact"/>
              <w:ind w:left="100" w:right="101"/>
              <w:rPr>
                <w:sz w:val="22"/>
              </w:rPr>
            </w:pPr>
            <w:r>
              <w:rPr>
                <w:sz w:val="22"/>
              </w:rPr>
              <w:t>ama de</w:t>
            </w:r>
          </w:p>
        </w:tc>
        <w:tc>
          <w:tcPr>
            <w:tcW w:w="1841" w:type="dxa"/>
            <w:tcBorders>
              <w:top w:val="nil"/>
              <w:bottom w:val="nil"/>
            </w:tcBorders>
          </w:tcPr>
          <w:p>
            <w:pPr>
              <w:pStyle w:val="TableParagraph"/>
              <w:spacing w:line="242" w:lineRule="exact"/>
              <w:ind w:left="100"/>
              <w:rPr>
                <w:sz w:val="22"/>
              </w:rPr>
            </w:pPr>
            <w:r>
              <w:rPr>
                <w:sz w:val="22"/>
              </w:rPr>
              <w:t>(Tres</w:t>
            </w:r>
          </w:p>
        </w:tc>
        <w:tc>
          <w:tcPr>
            <w:tcW w:w="1135" w:type="dxa"/>
            <w:tcBorders>
              <w:top w:val="nil"/>
              <w:bottom w:val="nil"/>
            </w:tcBorders>
          </w:tcPr>
          <w:p>
            <w:pPr>
              <w:pStyle w:val="TableParagraph"/>
              <w:spacing w:line="242" w:lineRule="exact"/>
              <w:rPr>
                <w:sz w:val="22"/>
              </w:rPr>
            </w:pPr>
            <w:r>
              <w:rPr>
                <w:sz w:val="22"/>
              </w:rPr>
              <w:t>turístico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reglamento  entre</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casa</w:t>
            </w:r>
          </w:p>
        </w:tc>
        <w:tc>
          <w:tcPr>
            <w:tcW w:w="1841" w:type="dxa"/>
            <w:tcBorders>
              <w:top w:val="nil"/>
              <w:bottom w:val="nil"/>
            </w:tcBorders>
          </w:tcPr>
          <w:p>
            <w:pPr>
              <w:pStyle w:val="TableParagraph"/>
              <w:spacing w:line="241" w:lineRule="exact"/>
              <w:ind w:left="100"/>
              <w:rPr>
                <w:sz w:val="22"/>
              </w:rPr>
            </w:pPr>
            <w:r>
              <w:rPr>
                <w:sz w:val="22"/>
              </w:rPr>
              <w:t>integrantes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432" w:val="left" w:leader="none"/>
              </w:tabs>
              <w:spacing w:line="241" w:lineRule="exact"/>
              <w:rPr>
                <w:sz w:val="22"/>
              </w:rPr>
            </w:pPr>
            <w:r>
              <w:rPr>
                <w:sz w:val="22"/>
              </w:rPr>
              <w:t>municipios</w:t>
              <w:tab/>
              <w:t>para</w:t>
            </w: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2" w:lineRule="exact"/>
              <w:ind w:left="100"/>
              <w:rPr>
                <w:sz w:val="22"/>
              </w:rPr>
            </w:pPr>
            <w:r>
              <w:rPr>
                <w:sz w:val="22"/>
              </w:rPr>
              <w:t>municipio de</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2" w:lineRule="exact"/>
              <w:rPr>
                <w:sz w:val="22"/>
              </w:rPr>
            </w:pPr>
            <w:r>
              <w:rPr>
                <w:sz w:val="22"/>
              </w:rPr>
              <w:t>el  uso  y  disfrute</w:t>
            </w:r>
          </w:p>
        </w:tc>
      </w:tr>
    </w:tbl>
    <w:p>
      <w:pPr>
        <w:spacing w:after="0" w:line="242" w:lineRule="exact"/>
        <w:rPr>
          <w:sz w:val="22"/>
        </w:rPr>
        <w:sectPr>
          <w:pgSz w:w="15840" w:h="12240" w:orient="landscape"/>
          <w:pgMar w:header="0" w:footer="943" w:top="1140" w:bottom="1140" w:left="1200" w:right="130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1702"/>
        <w:gridCol w:w="1985"/>
      </w:tblGrid>
      <w:tr>
        <w:trPr>
          <w:trHeight w:val="1274" w:hRule="exact"/>
        </w:trPr>
        <w:tc>
          <w:tcPr>
            <w:tcW w:w="1385" w:type="dxa"/>
          </w:tcPr>
          <w:p>
            <w:pPr/>
          </w:p>
        </w:tc>
        <w:tc>
          <w:tcPr>
            <w:tcW w:w="1418" w:type="dxa"/>
          </w:tcPr>
          <w:p>
            <w:pPr/>
          </w:p>
        </w:tc>
        <w:tc>
          <w:tcPr>
            <w:tcW w:w="1841" w:type="dxa"/>
          </w:tcPr>
          <w:p>
            <w:pPr>
              <w:pStyle w:val="TableParagraph"/>
              <w:spacing w:line="251" w:lineRule="exact"/>
              <w:ind w:left="100"/>
              <w:rPr>
                <w:sz w:val="22"/>
              </w:rPr>
            </w:pPr>
            <w:r>
              <w:rPr>
                <w:sz w:val="22"/>
              </w:rPr>
              <w:t>Aculco)</w:t>
            </w:r>
          </w:p>
        </w:tc>
        <w:tc>
          <w:tcPr>
            <w:tcW w:w="1135" w:type="dxa"/>
          </w:tcPr>
          <w:p>
            <w:pPr/>
          </w:p>
        </w:tc>
        <w:tc>
          <w:tcPr>
            <w:tcW w:w="991" w:type="dxa"/>
          </w:tcPr>
          <w:p>
            <w:pPr/>
          </w:p>
        </w:tc>
        <w:tc>
          <w:tcPr>
            <w:tcW w:w="1277" w:type="dxa"/>
          </w:tcPr>
          <w:p>
            <w:pPr/>
          </w:p>
        </w:tc>
        <w:tc>
          <w:tcPr>
            <w:tcW w:w="1133" w:type="dxa"/>
          </w:tcPr>
          <w:p>
            <w:pPr/>
          </w:p>
        </w:tc>
        <w:tc>
          <w:tcPr>
            <w:tcW w:w="1702" w:type="dxa"/>
          </w:tcPr>
          <w:p>
            <w:pPr/>
          </w:p>
        </w:tc>
        <w:tc>
          <w:tcPr>
            <w:tcW w:w="1985" w:type="dxa"/>
          </w:tcPr>
          <w:p>
            <w:pPr>
              <w:pStyle w:val="TableParagraph"/>
              <w:tabs>
                <w:tab w:pos="695" w:val="left" w:leader="none"/>
                <w:tab w:pos="1213" w:val="left" w:leader="none"/>
                <w:tab w:pos="1456" w:val="left" w:leader="none"/>
              </w:tabs>
              <w:ind w:right="98"/>
              <w:rPr>
                <w:sz w:val="22"/>
              </w:rPr>
            </w:pPr>
            <w:r>
              <w:rPr>
                <w:sz w:val="22"/>
              </w:rPr>
              <w:t>de</w:t>
              <w:tab/>
              <w:t>la</w:t>
              <w:tab/>
            </w:r>
            <w:r>
              <w:rPr>
                <w:spacing w:val="-1"/>
                <w:sz w:val="22"/>
              </w:rPr>
              <w:t>laguna </w:t>
            </w:r>
            <w:r>
              <w:rPr>
                <w:sz w:val="22"/>
              </w:rPr>
              <w:t>porque</w:t>
              <w:tab/>
              <w:tab/>
              <w:t>falta organizarnos como usuarios de la laguna.</w:t>
            </w: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3077" w:right="397"/>
      </w:pPr>
      <w:r>
        <w:rPr/>
        <w:t>Tabla 6.6. Turismo en el Municipio de Aculco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991"/>
        <w:gridCol w:w="1277"/>
        <w:gridCol w:w="1133"/>
        <w:gridCol w:w="3687"/>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516"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3687" w:type="dxa"/>
            <w:shd w:val="clear" w:color="auto" w:fill="92CDDC"/>
          </w:tcPr>
          <w:p>
            <w:pPr>
              <w:pStyle w:val="TableParagraph"/>
              <w:tabs>
                <w:tab w:pos="1765" w:val="left" w:leader="none"/>
                <w:tab w:pos="2204" w:val="left" w:leader="none"/>
              </w:tabs>
              <w:spacing w:line="252" w:lineRule="exact" w:before="2"/>
              <w:ind w:right="100"/>
              <w:rPr>
                <w:b/>
                <w:i/>
                <w:sz w:val="22"/>
              </w:rPr>
            </w:pPr>
            <w:r>
              <w:rPr>
                <w:b/>
                <w:i/>
                <w:sz w:val="22"/>
              </w:rPr>
              <w:t>Cooperación</w:t>
              <w:tab/>
              <w:t>y</w:t>
              <w:tab/>
            </w:r>
            <w:r>
              <w:rPr>
                <w:b/>
                <w:i/>
                <w:spacing w:val="-1"/>
                <w:sz w:val="22"/>
              </w:rPr>
              <w:t>participación </w:t>
            </w:r>
            <w:r>
              <w:rPr>
                <w:b/>
                <w:i/>
                <w:sz w:val="22"/>
              </w:rPr>
              <w:t>social</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841" w:type="dxa"/>
            <w:tcBorders>
              <w:bottom w:val="nil"/>
            </w:tcBorders>
            <w:shd w:val="clear" w:color="auto" w:fill="F9BE8F"/>
          </w:tcPr>
          <w:p>
            <w:pPr>
              <w:pStyle w:val="TableParagraph"/>
              <w:spacing w:line="248" w:lineRule="exact"/>
              <w:ind w:left="100"/>
              <w:rPr>
                <w:b/>
                <w:sz w:val="22"/>
              </w:rPr>
            </w:pPr>
            <w:r>
              <w:rPr>
                <w:b/>
                <w:sz w:val="22"/>
              </w:rPr>
              <w:t>Asociación</w:t>
            </w:r>
          </w:p>
        </w:tc>
        <w:tc>
          <w:tcPr>
            <w:tcW w:w="1135" w:type="dxa"/>
            <w:tcBorders>
              <w:bottom w:val="nil"/>
            </w:tcBorders>
            <w:shd w:val="clear" w:color="auto" w:fill="F9BE8F"/>
          </w:tcPr>
          <w:p>
            <w:pPr>
              <w:pStyle w:val="TableParagraph"/>
              <w:spacing w:line="248" w:lineRule="exact"/>
              <w:rPr>
                <w:b/>
                <w:sz w:val="22"/>
              </w:rPr>
            </w:pPr>
            <w:r>
              <w:rPr>
                <w:b/>
                <w:sz w:val="22"/>
              </w:rPr>
              <w:t>Cargo</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3687" w:type="dxa"/>
            <w:tcBorders>
              <w:bottom w:val="nil"/>
            </w:tcBorders>
            <w:shd w:val="clear" w:color="auto" w:fill="92CDDC"/>
          </w:tcPr>
          <w:p>
            <w:pPr>
              <w:pStyle w:val="TableParagraph"/>
              <w:tabs>
                <w:tab w:pos="1257" w:val="left" w:leader="none"/>
                <w:tab w:pos="2127" w:val="left" w:leader="none"/>
                <w:tab w:pos="3451" w:val="left" w:leader="none"/>
              </w:tabs>
              <w:spacing w:line="248" w:lineRule="exact"/>
              <w:rPr>
                <w:b/>
                <w:sz w:val="22"/>
              </w:rPr>
            </w:pPr>
            <w:r>
              <w:rPr>
                <w:b/>
                <w:sz w:val="22"/>
              </w:rPr>
              <w:t>¿Estaría</w:t>
              <w:tab/>
              <w:t>usted</w:t>
              <w:tab/>
              <w:t>dispuesto</w:t>
              <w:tab/>
              <w:t>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841" w:type="dxa"/>
            <w:tcBorders>
              <w:top w:val="nil"/>
              <w:bottom w:val="nil"/>
            </w:tcBorders>
            <w:shd w:val="clear" w:color="auto" w:fill="F9BE8F"/>
          </w:tcPr>
          <w:p>
            <w:pPr>
              <w:pStyle w:val="TableParagraph"/>
              <w:spacing w:line="241" w:lineRule="exact"/>
              <w:ind w:left="100"/>
              <w:rPr>
                <w:b/>
                <w:sz w:val="22"/>
              </w:rPr>
            </w:pPr>
            <w:r>
              <w:rPr>
                <w:b/>
                <w:sz w:val="22"/>
              </w:rPr>
              <w:t>turística y</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3687" w:type="dxa"/>
            <w:tcBorders>
              <w:top w:val="nil"/>
              <w:bottom w:val="nil"/>
            </w:tcBorders>
            <w:shd w:val="clear" w:color="auto" w:fill="92CDDC"/>
          </w:tcPr>
          <w:p>
            <w:pPr>
              <w:pStyle w:val="TableParagraph"/>
              <w:spacing w:line="241" w:lineRule="exact"/>
              <w:rPr>
                <w:b/>
                <w:sz w:val="22"/>
              </w:rPr>
            </w:pPr>
            <w:r>
              <w:rPr>
                <w:b/>
                <w:sz w:val="22"/>
              </w:rPr>
              <w:t>asistir  a  una  reunión para tratar</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Style w:val="TableParagraph"/>
              <w:spacing w:line="242" w:lineRule="exact"/>
              <w:ind w:left="100"/>
              <w:rPr>
                <w:b/>
                <w:sz w:val="22"/>
              </w:rPr>
            </w:pPr>
            <w:r>
              <w:rPr>
                <w:b/>
                <w:sz w:val="22"/>
              </w:rPr>
              <w:t>número de</w:t>
            </w:r>
          </w:p>
        </w:tc>
        <w:tc>
          <w:tcPr>
            <w:tcW w:w="1135"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3687" w:type="dxa"/>
            <w:tcBorders>
              <w:top w:val="nil"/>
              <w:bottom w:val="nil"/>
            </w:tcBorders>
            <w:shd w:val="clear" w:color="auto" w:fill="92CDDC"/>
          </w:tcPr>
          <w:p>
            <w:pPr>
              <w:pStyle w:val="TableParagraph"/>
              <w:tabs>
                <w:tab w:pos="1180" w:val="left" w:leader="none"/>
                <w:tab w:pos="2768" w:val="left" w:leader="none"/>
                <w:tab w:pos="3389" w:val="left" w:leader="none"/>
              </w:tabs>
              <w:spacing w:line="242" w:lineRule="exact"/>
              <w:rPr>
                <w:b/>
                <w:sz w:val="22"/>
              </w:rPr>
            </w:pPr>
            <w:r>
              <w:rPr>
                <w:b/>
                <w:sz w:val="22"/>
              </w:rPr>
              <w:t>asuntos</w:t>
              <w:tab/>
              <w:t>relacionados</w:t>
              <w:tab/>
              <w:t>con</w:t>
              <w:tab/>
              <w:t>la</w:t>
            </w: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Style w:val="TableParagraph"/>
              <w:spacing w:line="241" w:lineRule="exact"/>
              <w:ind w:left="100"/>
              <w:rPr>
                <w:b/>
                <w:sz w:val="22"/>
              </w:rPr>
            </w:pPr>
            <w:r>
              <w:rPr>
                <w:b/>
                <w:sz w:val="22"/>
              </w:rPr>
              <w:t>integrantes</w:t>
            </w:r>
          </w:p>
        </w:tc>
        <w:tc>
          <w:tcPr>
            <w:tcW w:w="1135"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3687" w:type="dxa"/>
            <w:tcBorders>
              <w:top w:val="nil"/>
            </w:tcBorders>
            <w:shd w:val="clear" w:color="auto" w:fill="92CDDC"/>
          </w:tcPr>
          <w:p>
            <w:pPr>
              <w:pStyle w:val="TableParagraph"/>
              <w:spacing w:line="241" w:lineRule="exact"/>
              <w:rPr>
                <w:b/>
                <w:sz w:val="22"/>
              </w:rPr>
            </w:pPr>
            <w:r>
              <w:rPr>
                <w:b/>
                <w:sz w:val="22"/>
              </w:rPr>
              <w:t>laguna de Huapango?</w:t>
            </w:r>
          </w:p>
        </w:tc>
      </w:tr>
      <w:tr>
        <w:trPr>
          <w:trHeight w:val="266" w:hRule="exact"/>
        </w:trPr>
        <w:tc>
          <w:tcPr>
            <w:tcW w:w="1385" w:type="dxa"/>
            <w:tcBorders>
              <w:bottom w:val="nil"/>
            </w:tcBorders>
          </w:tcPr>
          <w:p>
            <w:pPr>
              <w:pStyle w:val="TableParagraph"/>
              <w:spacing w:line="251" w:lineRule="exact"/>
              <w:ind w:right="127"/>
              <w:rPr>
                <w:sz w:val="22"/>
              </w:rPr>
            </w:pPr>
            <w:r>
              <w:rPr>
                <w:sz w:val="22"/>
              </w:rPr>
              <w:t>Yolanda</w:t>
            </w:r>
          </w:p>
        </w:tc>
        <w:tc>
          <w:tcPr>
            <w:tcW w:w="1418" w:type="dxa"/>
            <w:tcBorders>
              <w:bottom w:val="nil"/>
            </w:tcBorders>
          </w:tcPr>
          <w:p>
            <w:pPr>
              <w:pStyle w:val="TableParagraph"/>
              <w:spacing w:line="251" w:lineRule="exact"/>
              <w:ind w:left="100" w:right="101"/>
              <w:rPr>
                <w:sz w:val="22"/>
              </w:rPr>
            </w:pPr>
            <w:r>
              <w:rPr>
                <w:sz w:val="22"/>
              </w:rPr>
              <w:t>Encargada</w:t>
            </w:r>
          </w:p>
        </w:tc>
        <w:tc>
          <w:tcPr>
            <w:tcW w:w="1841" w:type="dxa"/>
            <w:tcBorders>
              <w:bottom w:val="nil"/>
            </w:tcBorders>
          </w:tcPr>
          <w:p>
            <w:pPr>
              <w:pStyle w:val="TableParagraph"/>
              <w:spacing w:line="251" w:lineRule="exact"/>
              <w:ind w:left="100"/>
              <w:rPr>
                <w:sz w:val="22"/>
              </w:rPr>
            </w:pPr>
            <w:r>
              <w:rPr>
                <w:sz w:val="22"/>
              </w:rPr>
              <w:t>Las Delicias de</w:t>
            </w:r>
          </w:p>
        </w:tc>
        <w:tc>
          <w:tcPr>
            <w:tcW w:w="1135" w:type="dxa"/>
            <w:tcBorders>
              <w:bottom w:val="nil"/>
            </w:tcBorders>
          </w:tcPr>
          <w:p>
            <w:pPr>
              <w:pStyle w:val="TableParagraph"/>
              <w:spacing w:line="251" w:lineRule="exact"/>
              <w:rPr>
                <w:sz w:val="22"/>
              </w:rPr>
            </w:pPr>
            <w:r>
              <w:rPr>
                <w:sz w:val="22"/>
              </w:rPr>
              <w:t>Encarga</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Los</w:t>
            </w:r>
          </w:p>
        </w:tc>
        <w:tc>
          <w:tcPr>
            <w:tcW w:w="1133" w:type="dxa"/>
            <w:tcBorders>
              <w:bottom w:val="nil"/>
            </w:tcBorders>
          </w:tcPr>
          <w:p>
            <w:pPr>
              <w:pStyle w:val="TableParagraph"/>
              <w:spacing w:line="251" w:lineRule="exact"/>
              <w:ind w:left="100" w:right="52"/>
              <w:rPr>
                <w:sz w:val="22"/>
              </w:rPr>
            </w:pPr>
            <w:r>
              <w:rPr>
                <w:sz w:val="22"/>
              </w:rPr>
              <w:t>El</w:t>
            </w:r>
          </w:p>
        </w:tc>
        <w:tc>
          <w:tcPr>
            <w:tcW w:w="3687" w:type="dxa"/>
            <w:tcBorders>
              <w:bottom w:val="nil"/>
            </w:tcBorders>
          </w:tcPr>
          <w:p>
            <w:pPr>
              <w:pStyle w:val="TableParagraph"/>
              <w:tabs>
                <w:tab w:pos="959" w:val="left" w:leader="none"/>
                <w:tab w:pos="1587" w:val="left" w:leader="none"/>
                <w:tab w:pos="2077" w:val="left" w:leader="none"/>
                <w:tab w:pos="2777" w:val="left" w:leader="none"/>
              </w:tabs>
              <w:spacing w:line="251" w:lineRule="exact"/>
              <w:rPr>
                <w:sz w:val="22"/>
              </w:rPr>
            </w:pPr>
            <w:r>
              <w:rPr>
                <w:sz w:val="22"/>
              </w:rPr>
              <w:t>¡Claro</w:t>
              <w:tab/>
              <w:t>que</w:t>
              <w:tab/>
              <w:t>sí!</w:t>
              <w:tab/>
              <w:t>para</w:t>
              <w:tab/>
              <w:t>exponer</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100" w:right="101"/>
              <w:rPr>
                <w:sz w:val="22"/>
              </w:rPr>
            </w:pPr>
            <w:r>
              <w:rPr>
                <w:sz w:val="22"/>
              </w:rPr>
              <w:t>del centro</w:t>
            </w:r>
          </w:p>
        </w:tc>
        <w:tc>
          <w:tcPr>
            <w:tcW w:w="1841" w:type="dxa"/>
            <w:tcBorders>
              <w:top w:val="nil"/>
              <w:bottom w:val="nil"/>
            </w:tcBorders>
          </w:tcPr>
          <w:p>
            <w:pPr>
              <w:pStyle w:val="TableParagraph"/>
              <w:spacing w:line="241" w:lineRule="exact"/>
              <w:ind w:left="100"/>
              <w:rPr>
                <w:sz w:val="22"/>
              </w:rPr>
            </w:pPr>
            <w:r>
              <w:rPr>
                <w:sz w:val="22"/>
              </w:rPr>
              <w:t>Huapango S.A.</w:t>
            </w:r>
          </w:p>
        </w:tc>
        <w:tc>
          <w:tcPr>
            <w:tcW w:w="1135" w:type="dxa"/>
            <w:tcBorders>
              <w:top w:val="nil"/>
              <w:bottom w:val="nil"/>
            </w:tcBorders>
          </w:tcPr>
          <w:p>
            <w:pPr>
              <w:pStyle w:val="TableParagraph"/>
              <w:spacing w:line="241" w:lineRule="exact"/>
              <w:rPr>
                <w:sz w:val="22"/>
              </w:rPr>
            </w:pPr>
            <w:r>
              <w:rPr>
                <w:sz w:val="22"/>
              </w:rPr>
              <w:t>da del</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Pilares,</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3687" w:type="dxa"/>
            <w:tcBorders>
              <w:top w:val="nil"/>
              <w:bottom w:val="nil"/>
            </w:tcBorders>
          </w:tcPr>
          <w:p>
            <w:pPr>
              <w:pStyle w:val="TableParagraph"/>
              <w:spacing w:line="241" w:lineRule="exact"/>
              <w:rPr>
                <w:sz w:val="22"/>
              </w:rPr>
            </w:pPr>
            <w:r>
              <w:rPr>
                <w:sz w:val="22"/>
              </w:rPr>
              <w:t>nuestros problemas.</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De Jesús</w:t>
            </w:r>
          </w:p>
        </w:tc>
        <w:tc>
          <w:tcPr>
            <w:tcW w:w="1418" w:type="dxa"/>
            <w:tcBorders>
              <w:top w:val="nil"/>
              <w:bottom w:val="nil"/>
            </w:tcBorders>
          </w:tcPr>
          <w:p>
            <w:pPr>
              <w:pStyle w:val="TableParagraph"/>
              <w:spacing w:line="243" w:lineRule="exact"/>
              <w:ind w:left="100" w:right="101"/>
              <w:rPr>
                <w:sz w:val="22"/>
              </w:rPr>
            </w:pPr>
            <w:r>
              <w:rPr>
                <w:sz w:val="22"/>
              </w:rPr>
              <w:t>turístico y</w:t>
            </w:r>
          </w:p>
        </w:tc>
        <w:tc>
          <w:tcPr>
            <w:tcW w:w="1841" w:type="dxa"/>
            <w:tcBorders>
              <w:top w:val="nil"/>
              <w:bottom w:val="nil"/>
            </w:tcBorders>
          </w:tcPr>
          <w:p>
            <w:pPr>
              <w:pStyle w:val="TableParagraph"/>
              <w:spacing w:line="243" w:lineRule="exact"/>
              <w:ind w:left="100"/>
              <w:rPr>
                <w:sz w:val="22"/>
              </w:rPr>
            </w:pPr>
            <w:r>
              <w:rPr>
                <w:sz w:val="22"/>
              </w:rPr>
              <w:t>de C. V.</w:t>
            </w:r>
          </w:p>
        </w:tc>
        <w:tc>
          <w:tcPr>
            <w:tcW w:w="1135" w:type="dxa"/>
            <w:tcBorders>
              <w:top w:val="nil"/>
              <w:bottom w:val="nil"/>
            </w:tcBorders>
          </w:tcPr>
          <w:p>
            <w:pPr>
              <w:pStyle w:val="TableParagraph"/>
              <w:spacing w:line="243" w:lineRule="exact"/>
              <w:rPr>
                <w:sz w:val="22"/>
              </w:rPr>
            </w:pPr>
            <w:r>
              <w:rPr>
                <w:sz w:val="22"/>
              </w:rPr>
              <w:t>centro</w:t>
            </w:r>
          </w:p>
        </w:tc>
        <w:tc>
          <w:tcPr>
            <w:tcW w:w="991" w:type="dxa"/>
            <w:tcBorders>
              <w:top w:val="nil"/>
              <w:bottom w:val="nil"/>
            </w:tcBorders>
          </w:tcPr>
          <w:p>
            <w:pPr/>
          </w:p>
        </w:tc>
        <w:tc>
          <w:tcPr>
            <w:tcW w:w="1277" w:type="dxa"/>
            <w:tcBorders>
              <w:top w:val="nil"/>
              <w:bottom w:val="nil"/>
            </w:tcBorders>
          </w:tcPr>
          <w:p>
            <w:pPr>
              <w:pStyle w:val="TableParagraph"/>
              <w:spacing w:line="243" w:lineRule="exact"/>
              <w:ind w:right="92"/>
              <w:rPr>
                <w:sz w:val="22"/>
              </w:rPr>
            </w:pPr>
            <w:r>
              <w:rPr>
                <w:sz w:val="22"/>
              </w:rPr>
              <w:t>Acambay</w:t>
            </w:r>
          </w:p>
        </w:tc>
        <w:tc>
          <w:tcPr>
            <w:tcW w:w="1133" w:type="dxa"/>
            <w:tcBorders>
              <w:top w:val="nil"/>
              <w:bottom w:val="nil"/>
            </w:tcBorders>
          </w:tcPr>
          <w:p>
            <w:pPr>
              <w:pStyle w:val="TableParagraph"/>
              <w:spacing w:line="243" w:lineRule="exact"/>
              <w:ind w:left="100" w:right="52"/>
              <w:rPr>
                <w:sz w:val="22"/>
              </w:rPr>
            </w:pPr>
            <w:r>
              <w:rPr>
                <w:sz w:val="22"/>
              </w:rPr>
              <w:t>Aculco</w:t>
            </w:r>
          </w:p>
        </w:tc>
        <w:tc>
          <w:tcPr>
            <w:tcW w:w="3687"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(4/I/2014)</w:t>
            </w:r>
          </w:p>
        </w:tc>
        <w:tc>
          <w:tcPr>
            <w:tcW w:w="1418" w:type="dxa"/>
            <w:tcBorders>
              <w:top w:val="nil"/>
              <w:bottom w:val="nil"/>
            </w:tcBorders>
          </w:tcPr>
          <w:p>
            <w:pPr>
              <w:pStyle w:val="TableParagraph"/>
              <w:spacing w:line="241" w:lineRule="exact"/>
              <w:ind w:left="100" w:right="101"/>
              <w:rPr>
                <w:sz w:val="22"/>
              </w:rPr>
            </w:pPr>
            <w:r>
              <w:rPr>
                <w:sz w:val="22"/>
              </w:rPr>
              <w:t>ama de</w:t>
            </w:r>
          </w:p>
        </w:tc>
        <w:tc>
          <w:tcPr>
            <w:tcW w:w="1841" w:type="dxa"/>
            <w:tcBorders>
              <w:top w:val="nil"/>
              <w:bottom w:val="nil"/>
            </w:tcBorders>
          </w:tcPr>
          <w:p>
            <w:pPr>
              <w:pStyle w:val="TableParagraph"/>
              <w:spacing w:line="241" w:lineRule="exact"/>
              <w:ind w:left="100"/>
              <w:rPr>
                <w:sz w:val="22"/>
              </w:rPr>
            </w:pPr>
            <w:r>
              <w:rPr>
                <w:sz w:val="22"/>
              </w:rPr>
              <w:t>(Tres</w:t>
            </w:r>
          </w:p>
        </w:tc>
        <w:tc>
          <w:tcPr>
            <w:tcW w:w="1135" w:type="dxa"/>
            <w:tcBorders>
              <w:top w:val="nil"/>
              <w:bottom w:val="nil"/>
            </w:tcBorders>
          </w:tcPr>
          <w:p>
            <w:pPr>
              <w:pStyle w:val="TableParagraph"/>
              <w:spacing w:line="241" w:lineRule="exact"/>
              <w:rPr>
                <w:sz w:val="22"/>
              </w:rPr>
            </w:pPr>
            <w:r>
              <w:rPr>
                <w:sz w:val="22"/>
              </w:rPr>
              <w:t>turístico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casa</w:t>
            </w:r>
          </w:p>
        </w:tc>
        <w:tc>
          <w:tcPr>
            <w:tcW w:w="1841" w:type="dxa"/>
            <w:tcBorders>
              <w:top w:val="nil"/>
              <w:bottom w:val="nil"/>
            </w:tcBorders>
          </w:tcPr>
          <w:p>
            <w:pPr>
              <w:pStyle w:val="TableParagraph"/>
              <w:spacing w:line="241" w:lineRule="exact"/>
              <w:ind w:left="100"/>
              <w:rPr>
                <w:sz w:val="22"/>
              </w:rPr>
            </w:pPr>
            <w:r>
              <w:rPr>
                <w:sz w:val="22"/>
              </w:rPr>
              <w:t>integrantes del</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municipio de</w:t>
            </w:r>
          </w:p>
        </w:tc>
        <w:tc>
          <w:tcPr>
            <w:tcW w:w="1135"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Style w:val="TableParagraph"/>
              <w:spacing w:line="241" w:lineRule="exact"/>
              <w:ind w:left="100"/>
              <w:rPr>
                <w:sz w:val="22"/>
              </w:rPr>
            </w:pPr>
            <w:r>
              <w:rPr>
                <w:sz w:val="22"/>
              </w:rPr>
              <w:t>Aculco)</w:t>
            </w:r>
          </w:p>
        </w:tc>
        <w:tc>
          <w:tcPr>
            <w:tcW w:w="1135"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ind w:left="1694" w:right="397"/>
      </w:pPr>
      <w:bookmarkStart w:name="_TOC_250027" w:id="46"/>
      <w:bookmarkEnd w:id="46"/>
      <w:r>
        <w:rPr>
          <w:u w:val="thick"/>
        </w:rPr>
        <w:t>6.2.1.1. AUTORIDADES AUXILIARES: DELEGADOS MUNICIPALES Y COMISARIADOS EJIDALES</w:t>
      </w:r>
    </w:p>
    <w:p>
      <w:pPr>
        <w:pStyle w:val="BodyText"/>
        <w:spacing w:before="8"/>
        <w:rPr>
          <w:b/>
          <w:sz w:val="15"/>
        </w:rPr>
      </w:pPr>
    </w:p>
    <w:p>
      <w:pPr>
        <w:spacing w:before="73" w:after="6"/>
        <w:ind w:left="3998" w:right="397" w:firstLine="0"/>
        <w:jc w:val="left"/>
        <w:rPr>
          <w:b/>
          <w:sz w:val="22"/>
        </w:rPr>
      </w:pPr>
      <w:r>
        <w:rPr>
          <w:b/>
          <w:sz w:val="22"/>
        </w:rPr>
        <w:t>Tabla 6.7. Comisariados Ejidales (trabajo de campo)</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71"/>
        <w:gridCol w:w="2410"/>
        <w:gridCol w:w="1702"/>
        <w:gridCol w:w="1985"/>
      </w:tblGrid>
      <w:tr>
        <w:trPr>
          <w:trHeight w:val="524" w:hRule="exact"/>
        </w:trPr>
        <w:tc>
          <w:tcPr>
            <w:tcW w:w="6771" w:type="dxa"/>
            <w:vMerge w:val="restart"/>
            <w:shd w:val="clear" w:color="auto" w:fill="F9BE8F"/>
          </w:tcPr>
          <w:p>
            <w:pPr>
              <w:pStyle w:val="TableParagraph"/>
              <w:spacing w:before="6"/>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6"/>
              <w:ind w:left="0"/>
              <w:rPr>
                <w:b/>
                <w:sz w:val="21"/>
              </w:rPr>
            </w:pPr>
          </w:p>
          <w:p>
            <w:pPr>
              <w:pStyle w:val="TableParagraph"/>
              <w:ind w:left="1404"/>
              <w:rPr>
                <w:b/>
                <w:sz w:val="22"/>
              </w:rPr>
            </w:pPr>
            <w:r>
              <w:rPr>
                <w:b/>
                <w:sz w:val="22"/>
              </w:rPr>
              <w:t>PRINCIPIOS DE GOBERNANZA</w:t>
            </w:r>
          </w:p>
        </w:tc>
      </w:tr>
      <w:tr>
        <w:trPr>
          <w:trHeight w:val="264" w:hRule="exact"/>
        </w:trPr>
        <w:tc>
          <w:tcPr>
            <w:tcW w:w="6771" w:type="dxa"/>
            <w:vMerge/>
            <w:shd w:val="clear" w:color="auto" w:fill="F9BE8F"/>
          </w:tcPr>
          <w:p>
            <w:pPr/>
          </w:p>
        </w:tc>
        <w:tc>
          <w:tcPr>
            <w:tcW w:w="2410" w:type="dxa"/>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 y cultura</w:t>
            </w:r>
          </w:p>
        </w:tc>
      </w:tr>
    </w:tbl>
    <w:p>
      <w:pPr>
        <w:spacing w:after="0" w:line="251" w:lineRule="exact"/>
        <w:rPr>
          <w:sz w:val="22"/>
        </w:rPr>
        <w:sectPr>
          <w:footerReference w:type="default" r:id="rId182"/>
          <w:pgSz w:w="15840" w:h="12240" w:orient="landscape"/>
          <w:pgMar w:footer="943" w:header="0" w:top="1140" w:bottom="1140" w:left="1200" w:right="1300"/>
          <w:pgNumType w:start="26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1781" w:hRule="exact"/>
        </w:trPr>
        <w:tc>
          <w:tcPr>
            <w:tcW w:w="1385" w:type="dxa"/>
            <w:shd w:val="clear" w:color="auto" w:fill="F9BE8F"/>
          </w:tcPr>
          <w:p>
            <w:pPr>
              <w:pStyle w:val="TableParagraph"/>
              <w:ind w:right="205"/>
              <w:jc w:val="both"/>
              <w:rPr>
                <w:b/>
                <w:sz w:val="22"/>
              </w:rPr>
            </w:pPr>
            <w:r>
              <w:rPr>
                <w:b/>
                <w:sz w:val="22"/>
              </w:rPr>
              <w:t>Nombre y Fecha de Entrevista</w:t>
            </w:r>
          </w:p>
        </w:tc>
        <w:tc>
          <w:tcPr>
            <w:tcW w:w="1418" w:type="dxa"/>
            <w:shd w:val="clear" w:color="auto" w:fill="F9BE8F"/>
          </w:tcPr>
          <w:p>
            <w:pPr>
              <w:pStyle w:val="TableParagraph"/>
              <w:spacing w:line="252" w:lineRule="exact"/>
              <w:ind w:left="100" w:right="151"/>
              <w:rPr>
                <w:b/>
                <w:sz w:val="22"/>
              </w:rPr>
            </w:pPr>
            <w:r>
              <w:rPr>
                <w:b/>
                <w:sz w:val="22"/>
              </w:rPr>
              <w:t>Ocupacion es</w:t>
            </w:r>
          </w:p>
        </w:tc>
        <w:tc>
          <w:tcPr>
            <w:tcW w:w="1417" w:type="dxa"/>
            <w:shd w:val="clear" w:color="auto" w:fill="F9BE8F"/>
          </w:tcPr>
          <w:p>
            <w:pPr>
              <w:pStyle w:val="TableParagraph"/>
              <w:spacing w:line="248" w:lineRule="exact"/>
              <w:ind w:left="100"/>
              <w:rPr>
                <w:b/>
                <w:sz w:val="22"/>
              </w:rPr>
            </w:pPr>
            <w:r>
              <w:rPr>
                <w:b/>
                <w:sz w:val="22"/>
              </w:rPr>
              <w:t>Cargo</w:t>
            </w:r>
          </w:p>
        </w:tc>
        <w:tc>
          <w:tcPr>
            <w:tcW w:w="1560" w:type="dxa"/>
            <w:shd w:val="clear" w:color="auto" w:fill="F9BE8F"/>
          </w:tcPr>
          <w:p>
            <w:pPr>
              <w:pStyle w:val="TableParagraph"/>
              <w:ind w:right="143"/>
              <w:rPr>
                <w:b/>
                <w:sz w:val="22"/>
              </w:rPr>
            </w:pPr>
            <w:r>
              <w:rPr>
                <w:b/>
                <w:sz w:val="22"/>
              </w:rPr>
              <w:t>Núcleos Ejidales que representa</w:t>
            </w:r>
          </w:p>
        </w:tc>
        <w:tc>
          <w:tcPr>
            <w:tcW w:w="991" w:type="dxa"/>
            <w:shd w:val="clear" w:color="auto" w:fill="F9BE8F"/>
          </w:tcPr>
          <w:p>
            <w:pPr>
              <w:pStyle w:val="TableParagraph"/>
              <w:spacing w:line="252" w:lineRule="exact"/>
              <w:ind w:left="100" w:right="164"/>
              <w:rPr>
                <w:b/>
                <w:sz w:val="22"/>
              </w:rPr>
            </w:pPr>
            <w:r>
              <w:rPr>
                <w:b/>
                <w:sz w:val="22"/>
              </w:rPr>
              <w:t>Munici pio</w:t>
            </w:r>
          </w:p>
        </w:tc>
        <w:tc>
          <w:tcPr>
            <w:tcW w:w="1277" w:type="dxa"/>
            <w:shd w:val="clear" w:color="auto" w:fill="92CDDC"/>
          </w:tcPr>
          <w:p>
            <w:pPr>
              <w:pStyle w:val="TableParagraph"/>
              <w:spacing w:line="252" w:lineRule="exact"/>
              <w:ind w:right="325"/>
              <w:rPr>
                <w:b/>
                <w:sz w:val="22"/>
              </w:rPr>
            </w:pPr>
            <w:r>
              <w:rPr>
                <w:b/>
                <w:sz w:val="22"/>
              </w:rPr>
              <w:t>¿Dónde nació?</w:t>
            </w:r>
          </w:p>
        </w:tc>
        <w:tc>
          <w:tcPr>
            <w:tcW w:w="1133" w:type="dxa"/>
            <w:shd w:val="clear" w:color="auto" w:fill="92CDDC"/>
          </w:tcPr>
          <w:p>
            <w:pPr>
              <w:pStyle w:val="TableParagraph"/>
              <w:spacing w:line="252" w:lineRule="exact"/>
              <w:ind w:left="100" w:right="184"/>
              <w:rPr>
                <w:b/>
                <w:sz w:val="22"/>
              </w:rPr>
            </w:pPr>
            <w:r>
              <w:rPr>
                <w:b/>
                <w:sz w:val="22"/>
              </w:rPr>
              <w:t>¿Dónde vive?</w:t>
            </w:r>
          </w:p>
        </w:tc>
        <w:tc>
          <w:tcPr>
            <w:tcW w:w="1702" w:type="dxa"/>
            <w:shd w:val="clear" w:color="auto" w:fill="92CDDC"/>
          </w:tcPr>
          <w:p>
            <w:pPr>
              <w:pStyle w:val="TableParagraph"/>
              <w:tabs>
                <w:tab w:pos="1199" w:val="left" w:leader="none"/>
                <w:tab w:pos="1333" w:val="left" w:leader="none"/>
              </w:tabs>
              <w:ind w:right="98"/>
              <w:rPr>
                <w:b/>
                <w:sz w:val="22"/>
              </w:rPr>
            </w:pPr>
            <w:r>
              <w:rPr>
                <w:b/>
                <w:sz w:val="22"/>
              </w:rPr>
              <w:t>¿Cuáles</w:t>
              <w:tab/>
              <w:t>son los problemas que tiene la laguna</w:t>
              <w:tab/>
              <w:tab/>
              <w:t>de Huapango?</w:t>
            </w:r>
          </w:p>
        </w:tc>
        <w:tc>
          <w:tcPr>
            <w:tcW w:w="1985" w:type="dxa"/>
            <w:shd w:val="clear" w:color="auto" w:fill="92CDDC"/>
          </w:tcPr>
          <w:p>
            <w:pPr>
              <w:pStyle w:val="TableParagraph"/>
              <w:tabs>
                <w:tab w:pos="1688" w:val="left" w:leader="none"/>
              </w:tabs>
              <w:spacing w:line="252" w:lineRule="exact"/>
              <w:ind w:right="99"/>
              <w:rPr>
                <w:b/>
                <w:sz w:val="22"/>
              </w:rPr>
            </w:pPr>
            <w:r>
              <w:rPr>
                <w:b/>
                <w:sz w:val="22"/>
              </w:rPr>
              <w:t>¿Por qué tiene problemas</w:t>
              <w:tab/>
              <w:t>la</w:t>
            </w:r>
          </w:p>
          <w:p>
            <w:pPr>
              <w:pStyle w:val="TableParagraph"/>
              <w:tabs>
                <w:tab w:pos="1617" w:val="left" w:leader="none"/>
              </w:tabs>
              <w:spacing w:line="252" w:lineRule="exact" w:before="2"/>
              <w:ind w:right="98"/>
              <w:rPr>
                <w:b/>
                <w:sz w:val="22"/>
              </w:rPr>
            </w:pPr>
            <w:r>
              <w:rPr>
                <w:b/>
                <w:sz w:val="22"/>
              </w:rPr>
              <w:t>laguna</w:t>
              <w:tab/>
              <w:t>de Huapango?</w:t>
            </w:r>
          </w:p>
        </w:tc>
      </w:tr>
      <w:tr>
        <w:trPr>
          <w:trHeight w:val="267" w:hRule="exact"/>
        </w:trPr>
        <w:tc>
          <w:tcPr>
            <w:tcW w:w="1385" w:type="dxa"/>
            <w:tcBorders>
              <w:bottom w:val="nil"/>
            </w:tcBorders>
          </w:tcPr>
          <w:p>
            <w:pPr>
              <w:pStyle w:val="TableParagraph"/>
              <w:spacing w:line="251" w:lineRule="exact"/>
              <w:ind w:right="127"/>
              <w:rPr>
                <w:sz w:val="22"/>
              </w:rPr>
            </w:pPr>
            <w:r>
              <w:rPr>
                <w:sz w:val="22"/>
              </w:rPr>
              <w:t>Reynaldo</w:t>
            </w:r>
          </w:p>
        </w:tc>
        <w:tc>
          <w:tcPr>
            <w:tcW w:w="1418" w:type="dxa"/>
            <w:tcBorders>
              <w:bottom w:val="nil"/>
            </w:tcBorders>
          </w:tcPr>
          <w:p>
            <w:pPr>
              <w:pStyle w:val="TableParagraph"/>
              <w:spacing w:line="251" w:lineRule="exact"/>
              <w:ind w:left="100" w:right="101"/>
              <w:rPr>
                <w:sz w:val="22"/>
              </w:rPr>
            </w:pPr>
            <w:r>
              <w:rPr>
                <w:sz w:val="22"/>
              </w:rPr>
              <w:t>Comisariad</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Las Arenas</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spacing w:line="251" w:lineRule="exact"/>
              <w:rPr>
                <w:sz w:val="22"/>
              </w:rPr>
            </w:pPr>
            <w:r>
              <w:rPr>
                <w:sz w:val="22"/>
              </w:rPr>
              <w:t>Caza masiva</w:t>
            </w:r>
          </w:p>
        </w:tc>
        <w:tc>
          <w:tcPr>
            <w:tcW w:w="1985" w:type="dxa"/>
            <w:tcBorders>
              <w:bottom w:val="nil"/>
            </w:tcBorders>
          </w:tcPr>
          <w:p>
            <w:pPr>
              <w:pStyle w:val="TableParagraph"/>
              <w:tabs>
                <w:tab w:pos="1081" w:val="left" w:leader="none"/>
                <w:tab w:pos="1592" w:val="left" w:leader="none"/>
              </w:tabs>
              <w:spacing w:line="251" w:lineRule="exact"/>
              <w:rPr>
                <w:sz w:val="22"/>
              </w:rPr>
            </w:pPr>
            <w:r>
              <w:rPr>
                <w:sz w:val="22"/>
              </w:rPr>
              <w:t>Porque</w:t>
              <w:tab/>
              <w:t>en</w:t>
              <w:tab/>
              <w:t>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Sandoval</w:t>
            </w:r>
          </w:p>
        </w:tc>
        <w:tc>
          <w:tcPr>
            <w:tcW w:w="1418" w:type="dxa"/>
            <w:tcBorders>
              <w:top w:val="nil"/>
              <w:bottom w:val="nil"/>
            </w:tcBorders>
          </w:tcPr>
          <w:p>
            <w:pPr>
              <w:pStyle w:val="TableParagraph"/>
              <w:spacing w:line="241" w:lineRule="exact"/>
              <w:ind w:left="100" w:right="101"/>
              <w:rPr>
                <w:sz w:val="22"/>
              </w:rPr>
            </w:pPr>
            <w:r>
              <w:rPr>
                <w:sz w:val="22"/>
              </w:rPr>
              <w:t>o Ejidal y</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Arenas,</w:t>
            </w:r>
          </w:p>
        </w:tc>
        <w:tc>
          <w:tcPr>
            <w:tcW w:w="1133" w:type="dxa"/>
            <w:tcBorders>
              <w:top w:val="nil"/>
              <w:bottom w:val="nil"/>
            </w:tcBorders>
          </w:tcPr>
          <w:p>
            <w:pPr>
              <w:pStyle w:val="TableParagraph"/>
              <w:spacing w:line="241" w:lineRule="exact"/>
              <w:ind w:left="100" w:right="52"/>
              <w:rPr>
                <w:sz w:val="22"/>
              </w:rPr>
            </w:pPr>
            <w:r>
              <w:rPr>
                <w:sz w:val="22"/>
              </w:rPr>
              <w:t>Arenas,</w:t>
            </w: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años   70  cuando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Director del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Acambay</w:t>
            </w: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llega  el  pato   de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(21/I/2014)</w:t>
            </w:r>
          </w:p>
        </w:tc>
        <w:tc>
          <w:tcPr>
            <w:tcW w:w="1418" w:type="dxa"/>
            <w:tcBorders>
              <w:top w:val="nil"/>
              <w:bottom w:val="nil"/>
            </w:tcBorders>
          </w:tcPr>
          <w:p>
            <w:pPr>
              <w:pStyle w:val="TableParagraph"/>
              <w:spacing w:line="241" w:lineRule="exact"/>
              <w:ind w:left="100" w:right="101"/>
              <w:rPr>
                <w:sz w:val="22"/>
              </w:rPr>
            </w:pPr>
            <w:r>
              <w:rPr>
                <w:sz w:val="22"/>
              </w:rPr>
              <w:t>Medio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74" w:val="left" w:leader="none"/>
              </w:tabs>
              <w:spacing w:line="241" w:lineRule="exact"/>
              <w:rPr>
                <w:sz w:val="22"/>
              </w:rPr>
            </w:pPr>
            <w:r>
              <w:rPr>
                <w:sz w:val="22"/>
              </w:rPr>
              <w:t>Canadá</w:t>
              <w:tab/>
              <w:t>y  </w:t>
            </w:r>
            <w:r>
              <w:rPr>
                <w:spacing w:val="15"/>
                <w:sz w:val="22"/>
              </w:rPr>
              <w:t> </w:t>
            </w:r>
            <w:r>
              <w:rPr>
                <w:sz w:val="22"/>
              </w:rPr>
              <w:t>otras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Ambiente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784" w:val="left" w:leader="none"/>
              </w:tabs>
              <w:spacing w:line="242" w:lineRule="exact"/>
              <w:rPr>
                <w:sz w:val="22"/>
              </w:rPr>
            </w:pPr>
            <w:r>
              <w:rPr>
                <w:sz w:val="22"/>
              </w:rPr>
              <w:t>aves</w:t>
              <w:tab/>
              <w:t>migratorias</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en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que   han  llegado</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Acambay</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después  como 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592" w:val="left" w:leader="none"/>
              </w:tabs>
              <w:spacing w:line="242" w:lineRule="exact"/>
              <w:rPr>
                <w:sz w:val="22"/>
              </w:rPr>
            </w:pPr>
            <w:r>
              <w:rPr>
                <w:sz w:val="22"/>
              </w:rPr>
              <w:t>garza,</w:t>
              <w:tab/>
              <w:t>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chicuilotes   y  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clarines.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contaminación</w:t>
            </w:r>
          </w:p>
        </w:tc>
        <w:tc>
          <w:tcPr>
            <w:tcW w:w="1985" w:type="dxa"/>
            <w:tcBorders>
              <w:top w:val="nil"/>
              <w:bottom w:val="nil"/>
            </w:tcBorders>
          </w:tcPr>
          <w:p>
            <w:pPr>
              <w:pStyle w:val="TableParagraph"/>
              <w:tabs>
                <w:tab w:pos="1518" w:val="left" w:leader="none"/>
              </w:tabs>
              <w:spacing w:line="241" w:lineRule="exact"/>
              <w:rPr>
                <w:sz w:val="22"/>
              </w:rPr>
            </w:pPr>
            <w:r>
              <w:rPr>
                <w:sz w:val="22"/>
              </w:rPr>
              <w:t>Porque</w:t>
              <w:tab/>
              <w:t>hay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drenajes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288" w:val="left" w:leader="none"/>
                <w:tab w:pos="1703" w:val="left" w:leader="none"/>
              </w:tabs>
              <w:spacing w:line="241" w:lineRule="exact"/>
              <w:rPr>
                <w:sz w:val="22"/>
              </w:rPr>
            </w:pPr>
            <w:r>
              <w:rPr>
                <w:sz w:val="22"/>
              </w:rPr>
              <w:t>aledaños</w:t>
              <w:tab/>
              <w:t>a</w:t>
              <w:tab/>
              <w:t>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12" w:val="left" w:leader="none"/>
                <w:tab w:pos="1628" w:val="left" w:leader="none"/>
              </w:tabs>
              <w:spacing w:line="242" w:lineRule="exact"/>
              <w:rPr>
                <w:sz w:val="22"/>
              </w:rPr>
            </w:pPr>
            <w:r>
              <w:rPr>
                <w:sz w:val="22"/>
              </w:rPr>
              <w:t>laguna</w:t>
              <w:tab/>
              <w:t>que</w:t>
              <w:tab/>
              <w:t>no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164" w:val="left" w:leader="none"/>
              </w:tabs>
              <w:spacing w:line="241" w:lineRule="exact"/>
              <w:rPr>
                <w:sz w:val="22"/>
              </w:rPr>
            </w:pPr>
            <w:r>
              <w:rPr>
                <w:sz w:val="22"/>
              </w:rPr>
              <w:t>tienen</w:t>
              <w:tab/>
              <w:t>plantas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tratadoras   y  eso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que   con  Montiel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918" w:val="left" w:leader="none"/>
              </w:tabs>
              <w:spacing w:line="241" w:lineRule="exact"/>
              <w:rPr>
                <w:sz w:val="22"/>
              </w:rPr>
            </w:pPr>
            <w:r>
              <w:rPr>
                <w:sz w:val="22"/>
              </w:rPr>
              <w:t>se</w:t>
              <w:tab/>
              <w:t>consideró</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580" w:val="left" w:leader="none"/>
              </w:tabs>
              <w:spacing w:line="242" w:lineRule="exact"/>
              <w:rPr>
                <w:sz w:val="22"/>
              </w:rPr>
            </w:pPr>
            <w:r>
              <w:rPr>
                <w:sz w:val="22"/>
              </w:rPr>
              <w:t>Santuario</w:t>
              <w:tab/>
              <w:t>del</w:t>
            </w: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Agua.</w:t>
            </w: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before="115"/>
              <w:rPr>
                <w:sz w:val="22"/>
              </w:rPr>
            </w:pPr>
            <w:r>
              <w:rPr>
                <w:sz w:val="22"/>
              </w:rPr>
              <w:t>Además</w:t>
              <w:tab/>
              <w:t>se</w:t>
            </w:r>
          </w:p>
        </w:tc>
        <w:tc>
          <w:tcPr>
            <w:tcW w:w="1985" w:type="dxa"/>
            <w:tcBorders>
              <w:top w:val="nil"/>
              <w:bottom w:val="nil"/>
            </w:tcBorders>
          </w:tcPr>
          <w:p>
            <w:pPr>
              <w:pStyle w:val="TableParagraph"/>
              <w:spacing w:before="115"/>
              <w:rPr>
                <w:sz w:val="22"/>
              </w:rPr>
            </w:pPr>
            <w:r>
              <w:rPr>
                <w:sz w:val="22"/>
              </w:rPr>
              <w:t>Porque  ahora  ya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había</w:t>
            </w:r>
          </w:p>
        </w:tc>
        <w:tc>
          <w:tcPr>
            <w:tcW w:w="1985" w:type="dxa"/>
            <w:tcBorders>
              <w:top w:val="nil"/>
              <w:bottom w:val="nil"/>
            </w:tcBorders>
          </w:tcPr>
          <w:p>
            <w:pPr>
              <w:pStyle w:val="TableParagraph"/>
              <w:tabs>
                <w:tab w:pos="681" w:val="left" w:leader="none"/>
                <w:tab w:pos="1384" w:val="left" w:leader="none"/>
              </w:tabs>
              <w:spacing w:line="241" w:lineRule="exact"/>
              <w:rPr>
                <w:sz w:val="22"/>
              </w:rPr>
            </w:pPr>
            <w:r>
              <w:rPr>
                <w:sz w:val="22"/>
              </w:rPr>
              <w:t>hay</w:t>
              <w:tab/>
              <w:t>poca</w:t>
              <w:tab/>
              <w:t>agua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5" w:val="left" w:leader="none"/>
              </w:tabs>
              <w:spacing w:line="242" w:lineRule="exact"/>
              <w:rPr>
                <w:sz w:val="22"/>
              </w:rPr>
            </w:pPr>
            <w:r>
              <w:rPr>
                <w:sz w:val="22"/>
              </w:rPr>
              <w:t>generado</w:t>
              <w:tab/>
              <w:t>un</w:t>
            </w:r>
          </w:p>
        </w:tc>
        <w:tc>
          <w:tcPr>
            <w:tcW w:w="1985" w:type="dxa"/>
            <w:tcBorders>
              <w:top w:val="nil"/>
              <w:bottom w:val="nil"/>
            </w:tcBorders>
          </w:tcPr>
          <w:p>
            <w:pPr>
              <w:pStyle w:val="TableParagraph"/>
              <w:spacing w:line="242" w:lineRule="exact"/>
              <w:rPr>
                <w:sz w:val="22"/>
              </w:rPr>
            </w:pPr>
            <w:r>
              <w:rPr>
                <w:sz w:val="22"/>
              </w:rPr>
              <w:t>porque  riegan 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problema</w:t>
              <w:tab/>
              <w:t>de</w:t>
            </w:r>
          </w:p>
        </w:tc>
        <w:tc>
          <w:tcPr>
            <w:tcW w:w="1985" w:type="dxa"/>
            <w:tcBorders>
              <w:top w:val="nil"/>
              <w:bottom w:val="nil"/>
            </w:tcBorders>
          </w:tcPr>
          <w:p>
            <w:pPr>
              <w:pStyle w:val="TableParagraph"/>
              <w:tabs>
                <w:tab w:pos="1761" w:val="left" w:leader="none"/>
              </w:tabs>
              <w:spacing w:line="241" w:lineRule="exact"/>
              <w:rPr>
                <w:sz w:val="22"/>
              </w:rPr>
            </w:pPr>
            <w:r>
              <w:rPr>
                <w:sz w:val="22"/>
              </w:rPr>
              <w:t>Encinillas</w:t>
              <w:tab/>
              <w:t>y</w:t>
            </w: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tabs>
                <w:tab w:pos="707" w:val="left" w:leader="none"/>
              </w:tabs>
              <w:spacing w:line="242" w:lineRule="exact"/>
              <w:rPr>
                <w:sz w:val="22"/>
              </w:rPr>
            </w:pPr>
            <w:r>
              <w:rPr>
                <w:sz w:val="22"/>
              </w:rPr>
              <w:t>lirio</w:t>
              <w:tab/>
              <w:t>acuático,</w:t>
            </w:r>
          </w:p>
        </w:tc>
        <w:tc>
          <w:tcPr>
            <w:tcW w:w="1985" w:type="dxa"/>
            <w:tcBorders>
              <w:top w:val="nil"/>
            </w:tcBorders>
          </w:tcPr>
          <w:p>
            <w:pPr>
              <w:pStyle w:val="TableParagraph"/>
              <w:spacing w:line="242" w:lineRule="exact"/>
              <w:rPr>
                <w:sz w:val="22"/>
              </w:rPr>
            </w:pPr>
            <w:r>
              <w:rPr>
                <w:sz w:val="22"/>
              </w:rPr>
              <w:t>Aculco, pero cabe</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1274"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tabs>
                <w:tab w:pos="1086" w:val="left" w:leader="none"/>
              </w:tabs>
              <w:ind w:right="99"/>
              <w:jc w:val="both"/>
              <w:rPr>
                <w:sz w:val="22"/>
              </w:rPr>
            </w:pPr>
            <w:r>
              <w:rPr>
                <w:sz w:val="22"/>
              </w:rPr>
              <w:t>pero el agua bajo mucho y la</w:t>
              <w:tab/>
              <w:t>parte</w:t>
            </w:r>
          </w:p>
          <w:p>
            <w:pPr>
              <w:pStyle w:val="TableParagraph"/>
              <w:ind w:right="98"/>
              <w:jc w:val="both"/>
              <w:rPr>
                <w:sz w:val="22"/>
              </w:rPr>
            </w:pPr>
            <w:r>
              <w:rPr>
                <w:sz w:val="22"/>
              </w:rPr>
              <w:t>dañada se secó.</w:t>
            </w:r>
          </w:p>
        </w:tc>
        <w:tc>
          <w:tcPr>
            <w:tcW w:w="1985" w:type="dxa"/>
          </w:tcPr>
          <w:p>
            <w:pPr>
              <w:pStyle w:val="TableParagraph"/>
              <w:ind w:right="98"/>
              <w:jc w:val="both"/>
              <w:rPr>
                <w:sz w:val="22"/>
              </w:rPr>
            </w:pPr>
            <w:r>
              <w:rPr>
                <w:sz w:val="22"/>
              </w:rPr>
              <w:t>señalar que en el canal principal para repartir el agua hay mucho lirio acuático.</w:t>
            </w:r>
          </w:p>
        </w:tc>
      </w:tr>
      <w:tr>
        <w:trPr>
          <w:trHeight w:val="2033" w:hRule="exact"/>
        </w:trPr>
        <w:tc>
          <w:tcPr>
            <w:tcW w:w="1385" w:type="dxa"/>
          </w:tcPr>
          <w:p>
            <w:pPr>
              <w:pStyle w:val="TableParagraph"/>
              <w:ind w:right="188"/>
              <w:rPr>
                <w:sz w:val="22"/>
              </w:rPr>
            </w:pPr>
            <w:r>
              <w:rPr>
                <w:sz w:val="22"/>
              </w:rPr>
              <w:t>Juan García Jiménez (12/I/2014)</w:t>
            </w:r>
          </w:p>
        </w:tc>
        <w:tc>
          <w:tcPr>
            <w:tcW w:w="1418" w:type="dxa"/>
          </w:tcPr>
          <w:p>
            <w:pPr>
              <w:pStyle w:val="TableParagraph"/>
              <w:ind w:left="100" w:right="176"/>
              <w:rPr>
                <w:sz w:val="22"/>
              </w:rPr>
            </w:pPr>
            <w:r>
              <w:rPr>
                <w:sz w:val="22"/>
              </w:rPr>
              <w:t>Comisariad o Ejidal y campesino</w:t>
            </w:r>
          </w:p>
        </w:tc>
        <w:tc>
          <w:tcPr>
            <w:tcW w:w="1417" w:type="dxa"/>
          </w:tcPr>
          <w:p>
            <w:pPr>
              <w:pStyle w:val="TableParagraph"/>
              <w:spacing w:line="242" w:lineRule="auto"/>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Huapango</w:t>
            </w:r>
          </w:p>
        </w:tc>
        <w:tc>
          <w:tcPr>
            <w:tcW w:w="991" w:type="dxa"/>
          </w:tcPr>
          <w:p>
            <w:pPr>
              <w:pStyle w:val="TableParagraph"/>
              <w:spacing w:line="242" w:lineRule="auto"/>
              <w:ind w:left="100" w:right="152"/>
              <w:rPr>
                <w:sz w:val="22"/>
              </w:rPr>
            </w:pPr>
            <w:r>
              <w:rPr>
                <w:sz w:val="22"/>
              </w:rPr>
              <w:t>Timilpa n</w:t>
            </w:r>
          </w:p>
        </w:tc>
        <w:tc>
          <w:tcPr>
            <w:tcW w:w="1277" w:type="dxa"/>
          </w:tcPr>
          <w:p>
            <w:pPr>
              <w:pStyle w:val="TableParagraph"/>
              <w:spacing w:line="251" w:lineRule="exact"/>
              <w:ind w:right="92"/>
              <w:rPr>
                <w:sz w:val="22"/>
              </w:rPr>
            </w:pPr>
            <w:r>
              <w:rPr>
                <w:sz w:val="22"/>
              </w:rPr>
              <w:t>Huapango</w:t>
            </w:r>
          </w:p>
          <w:p>
            <w:pPr>
              <w:pStyle w:val="TableParagraph"/>
              <w:spacing w:before="1"/>
              <w:ind w:right="92"/>
              <w:rPr>
                <w:sz w:val="22"/>
              </w:rPr>
            </w:pPr>
            <w:r>
              <w:rPr>
                <w:sz w:val="22"/>
              </w:rPr>
              <w:t>, Timilpan</w:t>
            </w:r>
          </w:p>
        </w:tc>
        <w:tc>
          <w:tcPr>
            <w:tcW w:w="1133" w:type="dxa"/>
          </w:tcPr>
          <w:p>
            <w:pPr>
              <w:pStyle w:val="TableParagraph"/>
              <w:ind w:left="100" w:right="110"/>
              <w:rPr>
                <w:sz w:val="22"/>
              </w:rPr>
            </w:pPr>
            <w:r>
              <w:rPr>
                <w:sz w:val="22"/>
              </w:rPr>
              <w:t>Huapang o, Timilpan</w:t>
            </w:r>
          </w:p>
        </w:tc>
        <w:tc>
          <w:tcPr>
            <w:tcW w:w="1702" w:type="dxa"/>
          </w:tcPr>
          <w:p>
            <w:pPr>
              <w:pStyle w:val="TableParagraph"/>
              <w:spacing w:line="242" w:lineRule="auto"/>
              <w:ind w:right="150"/>
              <w:rPr>
                <w:sz w:val="22"/>
              </w:rPr>
            </w:pPr>
            <w:r>
              <w:rPr>
                <w:sz w:val="22"/>
              </w:rPr>
              <w:t>La contaminación</w:t>
            </w:r>
          </w:p>
        </w:tc>
        <w:tc>
          <w:tcPr>
            <w:tcW w:w="1985" w:type="dxa"/>
          </w:tcPr>
          <w:p>
            <w:pPr>
              <w:pStyle w:val="TableParagraph"/>
              <w:ind w:right="98"/>
              <w:jc w:val="both"/>
              <w:rPr>
                <w:sz w:val="22"/>
              </w:rPr>
            </w:pPr>
            <w:r>
              <w:rPr>
                <w:sz w:val="22"/>
              </w:rPr>
              <w:t>Por insecticidas, por descarga de drenajes y por animales tirados en el campo por tanta población que ya vivimos aquí.</w:t>
            </w:r>
          </w:p>
        </w:tc>
      </w:tr>
      <w:tr>
        <w:trPr>
          <w:trHeight w:val="269" w:hRule="exact"/>
        </w:trPr>
        <w:tc>
          <w:tcPr>
            <w:tcW w:w="1385" w:type="dxa"/>
            <w:tcBorders>
              <w:bottom w:val="nil"/>
            </w:tcBorders>
          </w:tcPr>
          <w:p>
            <w:pPr>
              <w:pStyle w:val="TableParagraph"/>
              <w:ind w:right="127"/>
              <w:rPr>
                <w:sz w:val="22"/>
              </w:rPr>
            </w:pPr>
            <w:r>
              <w:rPr>
                <w:sz w:val="22"/>
              </w:rPr>
              <w:t>Francisco</w:t>
            </w:r>
          </w:p>
        </w:tc>
        <w:tc>
          <w:tcPr>
            <w:tcW w:w="1418" w:type="dxa"/>
            <w:tcBorders>
              <w:bottom w:val="nil"/>
            </w:tcBorders>
          </w:tcPr>
          <w:p>
            <w:pPr>
              <w:pStyle w:val="TableParagraph"/>
              <w:ind w:left="100" w:right="101"/>
              <w:rPr>
                <w:sz w:val="22"/>
              </w:rPr>
            </w:pPr>
            <w:r>
              <w:rPr>
                <w:sz w:val="22"/>
              </w:rPr>
              <w:t>Comisariad</w:t>
            </w:r>
          </w:p>
        </w:tc>
        <w:tc>
          <w:tcPr>
            <w:tcW w:w="1417" w:type="dxa"/>
            <w:tcBorders>
              <w:bottom w:val="nil"/>
            </w:tcBorders>
          </w:tcPr>
          <w:p>
            <w:pPr>
              <w:pStyle w:val="TableParagraph"/>
              <w:ind w:left="100"/>
              <w:rPr>
                <w:sz w:val="22"/>
              </w:rPr>
            </w:pPr>
            <w:r>
              <w:rPr>
                <w:sz w:val="22"/>
              </w:rPr>
              <w:t>Comisariad</w:t>
            </w:r>
          </w:p>
        </w:tc>
        <w:tc>
          <w:tcPr>
            <w:tcW w:w="1560" w:type="dxa"/>
            <w:tcBorders>
              <w:bottom w:val="nil"/>
            </w:tcBorders>
          </w:tcPr>
          <w:p>
            <w:pPr>
              <w:pStyle w:val="TableParagraph"/>
              <w:ind w:right="143"/>
              <w:rPr>
                <w:sz w:val="22"/>
              </w:rPr>
            </w:pPr>
            <w:r>
              <w:rPr>
                <w:sz w:val="22"/>
              </w:rPr>
              <w:t>Aldama</w:t>
            </w:r>
          </w:p>
        </w:tc>
        <w:tc>
          <w:tcPr>
            <w:tcW w:w="991" w:type="dxa"/>
            <w:tcBorders>
              <w:bottom w:val="nil"/>
            </w:tcBorders>
          </w:tcPr>
          <w:p>
            <w:pPr>
              <w:pStyle w:val="TableParagraph"/>
              <w:ind w:left="100"/>
              <w:rPr>
                <w:sz w:val="22"/>
              </w:rPr>
            </w:pPr>
            <w:r>
              <w:rPr>
                <w:sz w:val="22"/>
              </w:rPr>
              <w:t>Jilotepe</w:t>
            </w:r>
          </w:p>
        </w:tc>
        <w:tc>
          <w:tcPr>
            <w:tcW w:w="1277" w:type="dxa"/>
            <w:tcBorders>
              <w:bottom w:val="nil"/>
            </w:tcBorders>
          </w:tcPr>
          <w:p>
            <w:pPr>
              <w:pStyle w:val="TableParagraph"/>
              <w:ind w:right="92"/>
              <w:rPr>
                <w:sz w:val="22"/>
              </w:rPr>
            </w:pPr>
            <w:r>
              <w:rPr>
                <w:sz w:val="22"/>
              </w:rPr>
              <w:t>El Saltillo,</w:t>
            </w:r>
          </w:p>
        </w:tc>
        <w:tc>
          <w:tcPr>
            <w:tcW w:w="1133" w:type="dxa"/>
            <w:tcBorders>
              <w:bottom w:val="nil"/>
            </w:tcBorders>
          </w:tcPr>
          <w:p>
            <w:pPr>
              <w:pStyle w:val="TableParagraph"/>
              <w:ind w:left="100" w:right="52"/>
              <w:rPr>
                <w:sz w:val="22"/>
              </w:rPr>
            </w:pPr>
            <w:r>
              <w:rPr>
                <w:sz w:val="22"/>
              </w:rPr>
              <w:t>El</w:t>
            </w:r>
          </w:p>
        </w:tc>
        <w:tc>
          <w:tcPr>
            <w:tcW w:w="1702" w:type="dxa"/>
            <w:tcBorders>
              <w:bottom w:val="nil"/>
            </w:tcBorders>
          </w:tcPr>
          <w:p>
            <w:pPr>
              <w:pStyle w:val="TableParagraph"/>
              <w:rPr>
                <w:sz w:val="22"/>
              </w:rPr>
            </w:pPr>
            <w:r>
              <w:rPr>
                <w:sz w:val="22"/>
              </w:rPr>
              <w:t>La</w:t>
            </w:r>
          </w:p>
        </w:tc>
        <w:tc>
          <w:tcPr>
            <w:tcW w:w="1985" w:type="dxa"/>
            <w:tcBorders>
              <w:bottom w:val="nil"/>
            </w:tcBorders>
          </w:tcPr>
          <w:p>
            <w:pPr>
              <w:pStyle w:val="TableParagraph"/>
              <w:rPr>
                <w:sz w:val="22"/>
              </w:rPr>
            </w:pPr>
            <w:r>
              <w:rPr>
                <w:sz w:val="22"/>
              </w:rPr>
              <w:t>Porque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Reyes</w:t>
            </w:r>
          </w:p>
        </w:tc>
        <w:tc>
          <w:tcPr>
            <w:tcW w:w="1418" w:type="dxa"/>
            <w:tcBorders>
              <w:top w:val="nil"/>
              <w:bottom w:val="nil"/>
            </w:tcBorders>
          </w:tcPr>
          <w:p>
            <w:pPr>
              <w:pStyle w:val="TableParagraph"/>
              <w:tabs>
                <w:tab w:pos="438" w:val="left" w:leader="none"/>
                <w:tab w:pos="1191" w:val="left" w:leader="none"/>
              </w:tabs>
              <w:spacing w:line="241" w:lineRule="exact"/>
              <w:ind w:left="100"/>
              <w:rPr>
                <w:sz w:val="22"/>
              </w:rPr>
            </w:pPr>
            <w:r>
              <w:rPr>
                <w:sz w:val="22"/>
              </w:rPr>
              <w:t>o</w:t>
              <w:tab/>
              <w:t>Ejidal</w:t>
              <w:tab/>
              <w:t>y</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spacing w:line="241" w:lineRule="exact"/>
              <w:rPr>
                <w:sz w:val="22"/>
              </w:rPr>
            </w:pPr>
            <w:r>
              <w:rPr>
                <w:sz w:val="22"/>
              </w:rPr>
              <w:t>contaminación</w:t>
            </w:r>
          </w:p>
        </w:tc>
        <w:tc>
          <w:tcPr>
            <w:tcW w:w="1985" w:type="dxa"/>
            <w:tcBorders>
              <w:top w:val="nil"/>
              <w:bottom w:val="nil"/>
            </w:tcBorders>
          </w:tcPr>
          <w:p>
            <w:pPr>
              <w:pStyle w:val="TableParagraph"/>
              <w:tabs>
                <w:tab w:pos="1703" w:val="left" w:leader="none"/>
              </w:tabs>
              <w:spacing w:line="241" w:lineRule="exact"/>
              <w:rPr>
                <w:sz w:val="22"/>
              </w:rPr>
            </w:pPr>
            <w:r>
              <w:rPr>
                <w:sz w:val="22"/>
              </w:rPr>
              <w:t>descargan</w:t>
              <w:tab/>
              <w:t>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Huitrón</w:t>
            </w:r>
          </w:p>
        </w:tc>
        <w:tc>
          <w:tcPr>
            <w:tcW w:w="1418" w:type="dxa"/>
            <w:tcBorders>
              <w:top w:val="nil"/>
              <w:bottom w:val="nil"/>
            </w:tcBorders>
          </w:tcPr>
          <w:p>
            <w:pPr>
              <w:pStyle w:val="TableParagraph"/>
              <w:spacing w:line="241" w:lineRule="exact"/>
              <w:ind w:left="100" w:right="101"/>
              <w:rPr>
                <w:sz w:val="22"/>
              </w:rPr>
            </w:pPr>
            <w:r>
              <w:rPr>
                <w:sz w:val="22"/>
              </w:rPr>
              <w:t>Subdirector</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
        </w:tc>
        <w:tc>
          <w:tcPr>
            <w:tcW w:w="1985" w:type="dxa"/>
            <w:tcBorders>
              <w:top w:val="nil"/>
              <w:bottom w:val="nil"/>
            </w:tcBorders>
          </w:tcPr>
          <w:p>
            <w:pPr>
              <w:pStyle w:val="TableParagraph"/>
              <w:tabs>
                <w:tab w:pos="1628" w:val="left" w:leader="none"/>
              </w:tabs>
              <w:spacing w:line="241" w:lineRule="exact"/>
              <w:rPr>
                <w:sz w:val="22"/>
              </w:rPr>
            </w:pPr>
            <w:r>
              <w:rPr>
                <w:sz w:val="22"/>
              </w:rPr>
              <w:t>drenaje</w:t>
              <w:tab/>
              <w:t>de</w:t>
            </w:r>
          </w:p>
        </w:tc>
      </w:tr>
      <w:tr>
        <w:trPr>
          <w:trHeight w:val="253" w:hRule="exact"/>
        </w:trPr>
        <w:tc>
          <w:tcPr>
            <w:tcW w:w="1385" w:type="dxa"/>
            <w:tcBorders>
              <w:top w:val="nil"/>
              <w:bottom w:val="nil"/>
            </w:tcBorders>
          </w:tcPr>
          <w:p>
            <w:pPr>
              <w:pStyle w:val="TableParagraph"/>
              <w:spacing w:line="242" w:lineRule="exact"/>
              <w:rPr>
                <w:sz w:val="22"/>
              </w:rPr>
            </w:pPr>
            <w:r>
              <w:rPr>
                <w:sz w:val="22"/>
              </w:rPr>
              <w:t>(17/7/2014)</w:t>
            </w:r>
          </w:p>
        </w:tc>
        <w:tc>
          <w:tcPr>
            <w:tcW w:w="1418" w:type="dxa"/>
            <w:tcBorders>
              <w:top w:val="nil"/>
              <w:bottom w:val="nil"/>
            </w:tcBorders>
          </w:tcPr>
          <w:p>
            <w:pPr>
              <w:pStyle w:val="TableParagraph"/>
              <w:spacing w:line="242" w:lineRule="exact"/>
              <w:ind w:left="100" w:right="101"/>
              <w:rPr>
                <w:sz w:val="22"/>
              </w:rPr>
            </w:pPr>
            <w:r>
              <w:rPr>
                <w:sz w:val="22"/>
              </w:rPr>
              <w:t>de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592" w:val="left" w:leader="none"/>
              </w:tabs>
              <w:spacing w:line="242" w:lineRule="exact"/>
              <w:rPr>
                <w:sz w:val="22"/>
              </w:rPr>
            </w:pPr>
            <w:r>
              <w:rPr>
                <w:sz w:val="22"/>
              </w:rPr>
              <w:t>Timilpan,</w:t>
              <w:tab/>
              <w:t>las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Participació</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14" w:val="left" w:leader="none"/>
                <w:tab w:pos="1333" w:val="left" w:leader="none"/>
              </w:tabs>
              <w:spacing w:line="241" w:lineRule="exact"/>
              <w:rPr>
                <w:sz w:val="22"/>
              </w:rPr>
            </w:pPr>
            <w:r>
              <w:rPr>
                <w:sz w:val="22"/>
              </w:rPr>
              <w:t>Arenas</w:t>
              <w:tab/>
              <w:t>y</w:t>
              <w:tab/>
              <w:t>todas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3" w:lineRule="exact"/>
              <w:ind w:left="100"/>
              <w:rPr>
                <w:sz w:val="22"/>
              </w:rPr>
            </w:pPr>
            <w:r>
              <w:rPr>
                <w:w w:val="100"/>
                <w:sz w:val="22"/>
              </w:rPr>
              <w:t>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3" w:lineRule="exact"/>
              <w:rPr>
                <w:sz w:val="22"/>
              </w:rPr>
            </w:pPr>
            <w:r>
              <w:rPr>
                <w:sz w:val="22"/>
              </w:rPr>
              <w:t>las </w:t>
            </w:r>
            <w:r>
              <w:rPr>
                <w:spacing w:val="56"/>
                <w:sz w:val="22"/>
              </w:rPr>
              <w:t> </w:t>
            </w:r>
            <w:r>
              <w:rPr>
                <w:sz w:val="22"/>
              </w:rPr>
              <w:t>comunidades</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Ciudadana</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257" w:val="left" w:leader="none"/>
                <w:tab w:pos="1626" w:val="left" w:leader="none"/>
              </w:tabs>
              <w:spacing w:line="241" w:lineRule="exact"/>
              <w:rPr>
                <w:sz w:val="22"/>
              </w:rPr>
            </w:pPr>
            <w:r>
              <w:rPr>
                <w:sz w:val="22"/>
              </w:rPr>
              <w:t>aledañas</w:t>
              <w:tab/>
              <w:t>y</w:t>
              <w:tab/>
              <w:t>en</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Pr>
                <w:sz w:val="22"/>
              </w:rPr>
            </w:pPr>
            <w:r>
              <w:rPr>
                <w:sz w:val="22"/>
              </w:rPr>
              <w:t>y  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62" w:val="left" w:leader="none"/>
                <w:tab w:pos="1628" w:val="left" w:leader="none"/>
              </w:tabs>
              <w:spacing w:line="241" w:lineRule="exact"/>
              <w:rPr>
                <w:sz w:val="22"/>
              </w:rPr>
            </w:pPr>
            <w:r>
              <w:rPr>
                <w:sz w:val="22"/>
              </w:rPr>
              <w:t>Aldama</w:t>
              <w:tab/>
              <w:t>hay</w:t>
              <w:tab/>
              <w:t>un</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tabs>
                <w:tab w:pos="1132" w:val="left" w:leader="none"/>
              </w:tabs>
              <w:spacing w:line="242" w:lineRule="exact"/>
              <w:ind w:left="100"/>
              <w:rPr>
                <w:sz w:val="22"/>
              </w:rPr>
            </w:pPr>
            <w:r>
              <w:rPr>
                <w:sz w:val="22"/>
              </w:rPr>
              <w:t>en</w:t>
              <w:tab/>
              <w:t>el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rancho que es  un</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municipio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foco  de</w:t>
            </w:r>
            <w:r>
              <w:rPr>
                <w:spacing w:val="54"/>
                <w:sz w:val="22"/>
              </w:rPr>
              <w:t> </w:t>
            </w:r>
            <w:r>
              <w:rPr>
                <w:sz w:val="22"/>
              </w:rPr>
              <w:t>infección</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Pr>
                <w:sz w:val="22"/>
              </w:rPr>
            </w:pPr>
            <w:r>
              <w:rPr>
                <w:sz w:val="22"/>
              </w:rPr>
              <w:t>de Jilotepec</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muy fuerte.</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396" w:val="left" w:leader="none"/>
              </w:tabs>
              <w:spacing w:line="241" w:lineRule="exact"/>
              <w:rPr>
                <w:sz w:val="22"/>
              </w:rPr>
            </w:pPr>
            <w:r>
              <w:rPr>
                <w:sz w:val="22"/>
              </w:rPr>
              <w:t>Además</w:t>
              <w:tab/>
              <w:t>hace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años   se   mandó</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hacer  un  estudio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02" w:val="left" w:leader="none"/>
                <w:tab w:pos="1383" w:val="left" w:leader="none"/>
              </w:tabs>
              <w:spacing w:line="241" w:lineRule="exact"/>
              <w:rPr>
                <w:sz w:val="22"/>
              </w:rPr>
            </w:pPr>
            <w:r>
              <w:rPr>
                <w:sz w:val="22"/>
              </w:rPr>
              <w:t>porque</w:t>
              <w:tab/>
              <w:t>el</w:t>
              <w:tab/>
              <w:t>agua</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3" w:lineRule="exact"/>
              <w:rPr>
                <w:sz w:val="22"/>
              </w:rPr>
            </w:pPr>
            <w:r>
              <w:rPr>
                <w:sz w:val="22"/>
              </w:rPr>
              <w:t>tenía un olor feo y</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parecía que</w:t>
            </w:r>
            <w:r>
              <w:rPr>
                <w:spacing w:val="50"/>
                <w:sz w:val="22"/>
              </w:rPr>
              <w:t> </w:t>
            </w:r>
            <w:r>
              <w:rPr>
                <w:sz w:val="22"/>
              </w:rPr>
              <w:t>tenía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aceite,   pero </w:t>
            </w:r>
            <w:r>
              <w:rPr>
                <w:spacing w:val="53"/>
                <w:sz w:val="22"/>
              </w:rPr>
              <w:t> </w:t>
            </w:r>
            <w:r>
              <w:rPr>
                <w:sz w:val="22"/>
              </w:rPr>
              <w:t>era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384" w:val="left" w:leader="none"/>
              </w:tabs>
              <w:spacing w:line="242" w:lineRule="exact"/>
              <w:rPr>
                <w:sz w:val="22"/>
              </w:rPr>
            </w:pPr>
            <w:r>
              <w:rPr>
                <w:sz w:val="22"/>
              </w:rPr>
              <w:t>porque</w:t>
              <w:tab/>
              <w:t>tenía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hierba  típica  y se</w:t>
            </w: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2" w:lineRule="exact"/>
              <w:rPr>
                <w:sz w:val="22"/>
              </w:rPr>
            </w:pPr>
            <w:r>
              <w:rPr>
                <w:sz w:val="22"/>
              </w:rPr>
              <w:t>pudre.</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right="127"/>
              <w:rPr>
                <w:sz w:val="22"/>
              </w:rPr>
            </w:pPr>
            <w:r>
              <w:rPr>
                <w:sz w:val="22"/>
              </w:rPr>
              <w:t>Cipriano</w:t>
            </w:r>
          </w:p>
        </w:tc>
        <w:tc>
          <w:tcPr>
            <w:tcW w:w="1418" w:type="dxa"/>
            <w:tcBorders>
              <w:bottom w:val="nil"/>
            </w:tcBorders>
          </w:tcPr>
          <w:p>
            <w:pPr>
              <w:pStyle w:val="TableParagraph"/>
              <w:spacing w:line="251" w:lineRule="exact"/>
              <w:ind w:left="102" w:right="103"/>
              <w:jc w:val="center"/>
              <w:rPr>
                <w:sz w:val="22"/>
              </w:rPr>
            </w:pPr>
            <w:r>
              <w:rPr>
                <w:sz w:val="22"/>
              </w:rPr>
              <w:t>Agricultor y</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San Martín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San</w:t>
            </w:r>
          </w:p>
        </w:tc>
        <w:tc>
          <w:tcPr>
            <w:tcW w:w="1702" w:type="dxa"/>
            <w:tcBorders>
              <w:bottom w:val="nil"/>
            </w:tcBorders>
          </w:tcPr>
          <w:p>
            <w:pPr>
              <w:pStyle w:val="TableParagraph"/>
              <w:spacing w:line="251" w:lineRule="exact"/>
              <w:rPr>
                <w:sz w:val="22"/>
              </w:rPr>
            </w:pPr>
            <w:r>
              <w:rPr>
                <w:sz w:val="22"/>
              </w:rPr>
              <w:t>La</w:t>
            </w:r>
          </w:p>
        </w:tc>
        <w:tc>
          <w:tcPr>
            <w:tcW w:w="1985" w:type="dxa"/>
            <w:tcBorders>
              <w:bottom w:val="nil"/>
            </w:tcBorders>
          </w:tcPr>
          <w:p>
            <w:pPr>
              <w:pStyle w:val="TableParagraph"/>
              <w:tabs>
                <w:tab w:pos="1334" w:val="left" w:leader="none"/>
              </w:tabs>
              <w:spacing w:line="251" w:lineRule="exact"/>
              <w:rPr>
                <w:sz w:val="22"/>
              </w:rPr>
            </w:pPr>
            <w:r>
              <w:rPr>
                <w:sz w:val="22"/>
              </w:rPr>
              <w:t>Porque</w:t>
              <w:tab/>
              <w:t>todos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Matías</w:t>
            </w:r>
          </w:p>
        </w:tc>
        <w:tc>
          <w:tcPr>
            <w:tcW w:w="1418" w:type="dxa"/>
            <w:tcBorders>
              <w:top w:val="nil"/>
              <w:bottom w:val="nil"/>
            </w:tcBorders>
          </w:tcPr>
          <w:p>
            <w:pPr>
              <w:pStyle w:val="TableParagraph"/>
              <w:spacing w:line="241" w:lineRule="exact"/>
              <w:ind w:left="102" w:right="104"/>
              <w:jc w:val="center"/>
              <w:rPr>
                <w:sz w:val="22"/>
              </w:rPr>
            </w:pPr>
            <w:r>
              <w:rPr>
                <w:sz w:val="22"/>
              </w:rPr>
              <w:t>la</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Martín,</w:t>
            </w:r>
          </w:p>
        </w:tc>
        <w:tc>
          <w:tcPr>
            <w:tcW w:w="1133" w:type="dxa"/>
            <w:tcBorders>
              <w:top w:val="nil"/>
              <w:bottom w:val="nil"/>
            </w:tcBorders>
          </w:tcPr>
          <w:p>
            <w:pPr>
              <w:pStyle w:val="TableParagraph"/>
              <w:spacing w:line="241" w:lineRule="exact"/>
              <w:ind w:left="100" w:right="52"/>
              <w:rPr>
                <w:sz w:val="22"/>
              </w:rPr>
            </w:pPr>
            <w:r>
              <w:rPr>
                <w:sz w:val="22"/>
              </w:rPr>
              <w:t>Martín,</w:t>
            </w:r>
          </w:p>
        </w:tc>
        <w:tc>
          <w:tcPr>
            <w:tcW w:w="1702" w:type="dxa"/>
            <w:tcBorders>
              <w:top w:val="nil"/>
              <w:bottom w:val="nil"/>
            </w:tcBorders>
          </w:tcPr>
          <w:p>
            <w:pPr>
              <w:pStyle w:val="TableParagraph"/>
              <w:spacing w:line="241" w:lineRule="exact"/>
              <w:rPr>
                <w:sz w:val="22"/>
              </w:rPr>
            </w:pPr>
            <w:r>
              <w:rPr>
                <w:sz w:val="22"/>
              </w:rPr>
              <w:t>contaminación</w:t>
            </w:r>
          </w:p>
        </w:tc>
        <w:tc>
          <w:tcPr>
            <w:tcW w:w="1985" w:type="dxa"/>
            <w:tcBorders>
              <w:top w:val="nil"/>
              <w:bottom w:val="nil"/>
            </w:tcBorders>
          </w:tcPr>
          <w:p>
            <w:pPr>
              <w:pStyle w:val="TableParagraph"/>
              <w:tabs>
                <w:tab w:pos="1528" w:val="left" w:leader="none"/>
              </w:tabs>
              <w:spacing w:line="241" w:lineRule="exact"/>
              <w:rPr>
                <w:sz w:val="22"/>
              </w:rPr>
            </w:pPr>
            <w:r>
              <w:rPr>
                <w:sz w:val="22"/>
              </w:rPr>
              <w:t>avientan</w:t>
              <w:tab/>
              <w:t>sus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Juan</w:t>
            </w:r>
          </w:p>
        </w:tc>
        <w:tc>
          <w:tcPr>
            <w:tcW w:w="1418" w:type="dxa"/>
            <w:tcBorders>
              <w:top w:val="nil"/>
              <w:bottom w:val="nil"/>
            </w:tcBorders>
          </w:tcPr>
          <w:p>
            <w:pPr>
              <w:pStyle w:val="TableParagraph"/>
              <w:spacing w:line="242" w:lineRule="exact"/>
              <w:ind w:left="99" w:right="104"/>
              <w:jc w:val="center"/>
              <w:rPr>
                <w:sz w:val="22"/>
              </w:rPr>
            </w:pPr>
            <w:r>
              <w:rPr>
                <w:sz w:val="22"/>
              </w:rPr>
              <w:t>construcció</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Aculco</w:t>
            </w:r>
          </w:p>
        </w:tc>
        <w:tc>
          <w:tcPr>
            <w:tcW w:w="1133" w:type="dxa"/>
            <w:tcBorders>
              <w:top w:val="nil"/>
              <w:bottom w:val="nil"/>
            </w:tcBorders>
          </w:tcPr>
          <w:p>
            <w:pPr>
              <w:pStyle w:val="TableParagraph"/>
              <w:spacing w:line="242" w:lineRule="exact"/>
              <w:ind w:left="100" w:right="52"/>
              <w:rPr>
                <w:sz w:val="22"/>
              </w:rPr>
            </w:pPr>
            <w:r>
              <w:rPr>
                <w:sz w:val="22"/>
              </w:rPr>
              <w:t>Aculco</w:t>
            </w:r>
          </w:p>
        </w:tc>
        <w:tc>
          <w:tcPr>
            <w:tcW w:w="1702" w:type="dxa"/>
            <w:tcBorders>
              <w:top w:val="nil"/>
              <w:bottom w:val="nil"/>
            </w:tcBorders>
          </w:tcPr>
          <w:p>
            <w:pPr/>
          </w:p>
        </w:tc>
        <w:tc>
          <w:tcPr>
            <w:tcW w:w="1985" w:type="dxa"/>
            <w:tcBorders>
              <w:top w:val="nil"/>
              <w:bottom w:val="nil"/>
            </w:tcBorders>
          </w:tcPr>
          <w:p>
            <w:pPr>
              <w:pStyle w:val="TableParagraph"/>
              <w:tabs>
                <w:tab w:pos="1249" w:val="left" w:leader="none"/>
              </w:tabs>
              <w:spacing w:line="242" w:lineRule="exact"/>
              <w:rPr>
                <w:sz w:val="22"/>
              </w:rPr>
            </w:pPr>
            <w:r>
              <w:rPr>
                <w:sz w:val="22"/>
              </w:rPr>
              <w:t>aguas</w:t>
              <w:tab/>
              <w:t>sucias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(2/8/2014)</w:t>
            </w:r>
          </w:p>
        </w:tc>
        <w:tc>
          <w:tcPr>
            <w:tcW w:w="1418" w:type="dxa"/>
            <w:tcBorders>
              <w:top w:val="nil"/>
              <w:bottom w:val="nil"/>
            </w:tcBorders>
          </w:tcPr>
          <w:p>
            <w:pPr>
              <w:pStyle w:val="TableParagraph"/>
              <w:spacing w:line="241" w:lineRule="exact"/>
              <w:ind w:left="0" w:right="2"/>
              <w:jc w:val="center"/>
              <w:rPr>
                <w:sz w:val="22"/>
              </w:rPr>
            </w:pPr>
            <w:r>
              <w:rPr>
                <w:w w:val="100"/>
                <w:sz w:val="22"/>
              </w:rPr>
              <w:t>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834" w:val="left" w:leader="none"/>
                <w:tab w:pos="1211" w:val="left" w:leader="none"/>
              </w:tabs>
              <w:spacing w:line="241" w:lineRule="exact"/>
              <w:rPr>
                <w:sz w:val="22"/>
              </w:rPr>
            </w:pPr>
            <w:r>
              <w:rPr>
                <w:sz w:val="22"/>
              </w:rPr>
              <w:t>hacia</w:t>
              <w:tab/>
              <w:t>la</w:t>
              <w:tab/>
              <w:t>laguna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890" w:val="left" w:leader="none"/>
                <w:tab w:pos="1701" w:val="left" w:leader="none"/>
              </w:tabs>
              <w:spacing w:line="242" w:lineRule="exact"/>
              <w:rPr>
                <w:sz w:val="22"/>
              </w:rPr>
            </w:pPr>
            <w:r>
              <w:rPr>
                <w:sz w:val="22"/>
              </w:rPr>
              <w:t>sin</w:t>
              <w:tab/>
              <w:t>ver</w:t>
              <w:tab/>
              <w:t>la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afectación  que le</w:t>
            </w:r>
          </w:p>
        </w:tc>
      </w:tr>
      <w:tr>
        <w:trPr>
          <w:trHeight w:val="380"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hacen.</w:t>
            </w:r>
          </w:p>
        </w:tc>
      </w:tr>
      <w:tr>
        <w:trPr>
          <w:trHeight w:val="381"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before="115"/>
              <w:rPr>
                <w:sz w:val="22"/>
              </w:rPr>
            </w:pPr>
            <w:r>
              <w:rPr>
                <w:sz w:val="22"/>
              </w:rPr>
              <w:t>También</w:t>
              <w:tab/>
              <w:t>la</w:t>
            </w:r>
          </w:p>
        </w:tc>
        <w:tc>
          <w:tcPr>
            <w:tcW w:w="1985" w:type="dxa"/>
            <w:tcBorders>
              <w:top w:val="nil"/>
              <w:bottom w:val="nil"/>
            </w:tcBorders>
          </w:tcPr>
          <w:p>
            <w:pPr>
              <w:pStyle w:val="TableParagraph"/>
              <w:tabs>
                <w:tab w:pos="1641" w:val="left" w:leader="none"/>
              </w:tabs>
              <w:spacing w:before="115"/>
              <w:rPr>
                <w:sz w:val="22"/>
              </w:rPr>
            </w:pPr>
            <w:r>
              <w:rPr>
                <w:sz w:val="22"/>
              </w:rPr>
              <w:t>Porque</w:t>
              <w:tab/>
              <w:t>se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tierra   que   se</w:t>
            </w:r>
          </w:p>
        </w:tc>
        <w:tc>
          <w:tcPr>
            <w:tcW w:w="1985" w:type="dxa"/>
            <w:tcBorders>
              <w:top w:val="nil"/>
              <w:bottom w:val="nil"/>
            </w:tcBorders>
          </w:tcPr>
          <w:p>
            <w:pPr>
              <w:pStyle w:val="TableParagraph"/>
              <w:tabs>
                <w:tab w:pos="1590" w:val="left" w:leader="none"/>
              </w:tabs>
              <w:spacing w:line="242" w:lineRule="exact"/>
              <w:rPr>
                <w:sz w:val="22"/>
              </w:rPr>
            </w:pPr>
            <w:r>
              <w:rPr>
                <w:sz w:val="22"/>
              </w:rPr>
              <w:t>deslavan</w:t>
              <w:tab/>
              <w:t>las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va</w:t>
            </w:r>
          </w:p>
        </w:tc>
        <w:tc>
          <w:tcPr>
            <w:tcW w:w="1985" w:type="dxa"/>
            <w:tcBorders>
              <w:top w:val="nil"/>
              <w:bottom w:val="nil"/>
            </w:tcBorders>
          </w:tcPr>
          <w:p>
            <w:pPr>
              <w:pStyle w:val="TableParagraph"/>
              <w:tabs>
                <w:tab w:pos="1396" w:val="left" w:leader="none"/>
              </w:tabs>
              <w:spacing w:line="241" w:lineRule="exact"/>
              <w:rPr>
                <w:sz w:val="22"/>
              </w:rPr>
            </w:pPr>
            <w:r>
              <w:rPr>
                <w:sz w:val="22"/>
              </w:rPr>
              <w:t>milpas,</w:t>
              <w:tab/>
              <w:t>pues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acumulando </w:t>
            </w:r>
            <w:r>
              <w:rPr>
                <w:spacing w:val="54"/>
                <w:sz w:val="22"/>
              </w:rPr>
              <w:t> </w:t>
            </w:r>
            <w:r>
              <w:rPr>
                <w:sz w:val="22"/>
              </w:rPr>
              <w:t>y</w:t>
            </w:r>
          </w:p>
        </w:tc>
        <w:tc>
          <w:tcPr>
            <w:tcW w:w="1985" w:type="dxa"/>
            <w:tcBorders>
              <w:top w:val="nil"/>
              <w:bottom w:val="nil"/>
            </w:tcBorders>
          </w:tcPr>
          <w:p>
            <w:pPr>
              <w:pStyle w:val="TableParagraph"/>
              <w:tabs>
                <w:tab w:pos="918" w:val="left" w:leader="none"/>
              </w:tabs>
              <w:spacing w:line="241" w:lineRule="exact"/>
              <w:rPr>
                <w:sz w:val="22"/>
              </w:rPr>
            </w:pPr>
            <w:r>
              <w:rPr>
                <w:sz w:val="22"/>
              </w:rPr>
              <w:t>como</w:t>
              <w:tab/>
              <w:t>movemos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que  cada  año</w:t>
            </w:r>
          </w:p>
        </w:tc>
        <w:tc>
          <w:tcPr>
            <w:tcW w:w="1985" w:type="dxa"/>
            <w:tcBorders>
              <w:top w:val="nil"/>
              <w:bottom w:val="nil"/>
            </w:tcBorders>
          </w:tcPr>
          <w:p>
            <w:pPr>
              <w:pStyle w:val="TableParagraph"/>
              <w:tabs>
                <w:tab w:pos="614" w:val="left" w:leader="none"/>
                <w:tab w:pos="1458" w:val="left" w:leader="none"/>
              </w:tabs>
              <w:spacing w:line="242" w:lineRule="exact"/>
              <w:rPr>
                <w:sz w:val="22"/>
              </w:rPr>
            </w:pPr>
            <w:r>
              <w:rPr>
                <w:sz w:val="22"/>
              </w:rPr>
              <w:t>la</w:t>
              <w:tab/>
              <w:t>tierra</w:t>
              <w:tab/>
              <w:t>está</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28" w:val="left" w:leader="none"/>
              </w:tabs>
              <w:spacing w:line="241" w:lineRule="exact"/>
              <w:rPr>
                <w:sz w:val="22"/>
              </w:rPr>
            </w:pPr>
            <w:r>
              <w:rPr>
                <w:sz w:val="22"/>
              </w:rPr>
              <w:t>entra</w:t>
              <w:tab/>
              <w:t>menos</w:t>
            </w:r>
          </w:p>
        </w:tc>
        <w:tc>
          <w:tcPr>
            <w:tcW w:w="1985" w:type="dxa"/>
            <w:tcBorders>
              <w:top w:val="nil"/>
              <w:bottom w:val="nil"/>
            </w:tcBorders>
          </w:tcPr>
          <w:p>
            <w:pPr>
              <w:pStyle w:val="TableParagraph"/>
              <w:tabs>
                <w:tab w:pos="894" w:val="left" w:leader="none"/>
                <w:tab w:pos="1206" w:val="left" w:leader="none"/>
                <w:tab w:pos="1640" w:val="left" w:leader="none"/>
              </w:tabs>
              <w:spacing w:line="241" w:lineRule="exact"/>
              <w:rPr>
                <w:sz w:val="22"/>
              </w:rPr>
            </w:pPr>
            <w:r>
              <w:rPr>
                <w:sz w:val="22"/>
              </w:rPr>
              <w:t>suelta</w:t>
              <w:tab/>
              <w:t>y</w:t>
              <w:tab/>
              <w:t>se</w:t>
              <w:tab/>
              <w:t>va</w:t>
            </w:r>
          </w:p>
        </w:tc>
      </w:tr>
      <w:tr>
        <w:trPr>
          <w:trHeight w:val="249"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agua.</w:t>
            </w:r>
          </w:p>
        </w:tc>
        <w:tc>
          <w:tcPr>
            <w:tcW w:w="1985" w:type="dxa"/>
            <w:tcBorders>
              <w:top w:val="nil"/>
            </w:tcBorders>
          </w:tcPr>
          <w:p>
            <w:pPr>
              <w:pStyle w:val="TableParagraph"/>
              <w:spacing w:line="242" w:lineRule="exact"/>
              <w:rPr>
                <w:sz w:val="22"/>
              </w:rPr>
            </w:pPr>
            <w:r>
              <w:rPr>
                <w:sz w:val="22"/>
              </w:rPr>
              <w:t>para la laguna.</w:t>
            </w:r>
          </w:p>
        </w:tc>
      </w:tr>
      <w:tr>
        <w:trPr>
          <w:trHeight w:val="267" w:hRule="exact"/>
        </w:trPr>
        <w:tc>
          <w:tcPr>
            <w:tcW w:w="1385" w:type="dxa"/>
            <w:tcBorders>
              <w:bottom w:val="nil"/>
            </w:tcBorders>
          </w:tcPr>
          <w:p>
            <w:pPr>
              <w:pStyle w:val="TableParagraph"/>
              <w:spacing w:line="251" w:lineRule="exact"/>
              <w:rPr>
                <w:sz w:val="22"/>
              </w:rPr>
            </w:pPr>
            <w:r>
              <w:rPr>
                <w:sz w:val="22"/>
              </w:rPr>
              <w:t>Félix</w:t>
            </w:r>
            <w:r>
              <w:rPr>
                <w:spacing w:val="53"/>
                <w:sz w:val="22"/>
              </w:rPr>
              <w:t> </w:t>
            </w:r>
            <w:r>
              <w:rPr>
                <w:sz w:val="22"/>
              </w:rPr>
              <w:t>Lucas</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El Ejido de</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707" w:val="left" w:leader="none"/>
              </w:tabs>
              <w:spacing w:line="251" w:lineRule="exact"/>
              <w:rPr>
                <w:sz w:val="22"/>
              </w:rPr>
            </w:pPr>
            <w:r>
              <w:rPr>
                <w:sz w:val="22"/>
              </w:rPr>
              <w:t>El</w:t>
              <w:tab/>
              <w:t>descuido</w:t>
            </w:r>
          </w:p>
        </w:tc>
        <w:tc>
          <w:tcPr>
            <w:tcW w:w="1985" w:type="dxa"/>
            <w:tcBorders>
              <w:bottom w:val="nil"/>
            </w:tcBorders>
          </w:tcPr>
          <w:p>
            <w:pPr>
              <w:pStyle w:val="TableParagraph"/>
              <w:tabs>
                <w:tab w:pos="589" w:val="left" w:leader="none"/>
                <w:tab w:pos="1285" w:val="left" w:leader="none"/>
              </w:tabs>
              <w:spacing w:line="251" w:lineRule="exact"/>
              <w:rPr>
                <w:sz w:val="22"/>
              </w:rPr>
            </w:pPr>
            <w:r>
              <w:rPr>
                <w:sz w:val="22"/>
              </w:rPr>
              <w:t>De</w:t>
              <w:tab/>
              <w:t>nada</w:t>
              <w:tab/>
              <w:t>sirven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Pablo</w:t>
            </w:r>
          </w:p>
        </w:tc>
        <w:tc>
          <w:tcPr>
            <w:tcW w:w="1418" w:type="dxa"/>
            <w:tcBorders>
              <w:top w:val="nil"/>
              <w:bottom w:val="nil"/>
            </w:tcBorders>
          </w:tcPr>
          <w:p>
            <w:pPr>
              <w:pStyle w:val="TableParagraph"/>
              <w:spacing w:line="242" w:lineRule="exact"/>
              <w:ind w:left="102" w:right="104"/>
              <w:jc w:val="center"/>
              <w:rPr>
                <w:sz w:val="22"/>
              </w:rPr>
            </w:pPr>
            <w:r>
              <w:rPr>
                <w:sz w:val="22"/>
              </w:rPr>
              <w:t>la</w:t>
            </w:r>
          </w:p>
        </w:tc>
        <w:tc>
          <w:tcPr>
            <w:tcW w:w="1417" w:type="dxa"/>
            <w:tcBorders>
              <w:top w:val="nil"/>
              <w:bottom w:val="nil"/>
            </w:tcBorders>
          </w:tcPr>
          <w:p>
            <w:pPr>
              <w:pStyle w:val="TableParagraph"/>
              <w:spacing w:line="242" w:lineRule="exact"/>
              <w:ind w:left="100"/>
              <w:rPr>
                <w:sz w:val="22"/>
              </w:rPr>
            </w:pPr>
            <w:r>
              <w:rPr>
                <w:sz w:val="22"/>
              </w:rPr>
              <w:t>o Ejidal</w:t>
            </w:r>
          </w:p>
        </w:tc>
        <w:tc>
          <w:tcPr>
            <w:tcW w:w="1560" w:type="dxa"/>
            <w:tcBorders>
              <w:top w:val="nil"/>
              <w:bottom w:val="nil"/>
            </w:tcBorders>
          </w:tcPr>
          <w:p>
            <w:pPr>
              <w:pStyle w:val="TableParagraph"/>
              <w:spacing w:line="242" w:lineRule="exact"/>
              <w:ind w:right="143"/>
              <w:rPr>
                <w:sz w:val="22"/>
              </w:rPr>
            </w:pPr>
            <w:r>
              <w:rPr>
                <w:sz w:val="22"/>
              </w:rPr>
              <w:t>Timilpan se</w:t>
            </w:r>
          </w:p>
        </w:tc>
        <w:tc>
          <w:tcPr>
            <w:tcW w:w="991" w:type="dxa"/>
            <w:tcBorders>
              <w:top w:val="nil"/>
              <w:bottom w:val="nil"/>
            </w:tcBorders>
          </w:tcPr>
          <w:p>
            <w:pPr>
              <w:pStyle w:val="TableParagraph"/>
              <w:spacing w:line="242" w:lineRule="exact"/>
              <w:ind w:left="100"/>
              <w:rPr>
                <w:sz w:val="22"/>
              </w:rPr>
            </w:pPr>
            <w:r>
              <w:rPr>
                <w:sz w:val="22"/>
              </w:rPr>
              <w:t>ay,</w:t>
            </w:r>
          </w:p>
        </w:tc>
        <w:tc>
          <w:tcPr>
            <w:tcW w:w="1277" w:type="dxa"/>
            <w:tcBorders>
              <w:top w:val="nil"/>
              <w:bottom w:val="nil"/>
            </w:tcBorders>
          </w:tcPr>
          <w:p>
            <w:pPr>
              <w:pStyle w:val="TableParagraph"/>
              <w:spacing w:line="242" w:lineRule="exact"/>
              <w:ind w:right="92"/>
              <w:rPr>
                <w:sz w:val="22"/>
              </w:rPr>
            </w:pPr>
            <w:r>
              <w:rPr>
                <w:sz w:val="22"/>
              </w:rPr>
              <w:t>Andrés,</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1702" w:type="dxa"/>
            <w:tcBorders>
              <w:top w:val="nil"/>
              <w:bottom w:val="nil"/>
            </w:tcBorders>
          </w:tcPr>
          <w:p>
            <w:pPr>
              <w:pStyle w:val="TableParagraph"/>
              <w:tabs>
                <w:tab w:pos="700" w:val="left" w:leader="none"/>
                <w:tab w:pos="1160" w:val="left" w:leader="none"/>
              </w:tabs>
              <w:spacing w:line="242" w:lineRule="exact"/>
              <w:rPr>
                <w:sz w:val="22"/>
              </w:rPr>
            </w:pPr>
            <w:r>
              <w:rPr>
                <w:sz w:val="22"/>
              </w:rPr>
              <w:t>que</w:t>
              <w:tab/>
              <w:t>se</w:t>
              <w:tab/>
              <w:t>mira</w:t>
            </w:r>
          </w:p>
        </w:tc>
        <w:tc>
          <w:tcPr>
            <w:tcW w:w="1985" w:type="dxa"/>
            <w:tcBorders>
              <w:top w:val="nil"/>
              <w:bottom w:val="nil"/>
            </w:tcBorders>
          </w:tcPr>
          <w:p>
            <w:pPr>
              <w:pStyle w:val="TableParagraph"/>
              <w:tabs>
                <w:tab w:pos="894" w:val="left" w:leader="none"/>
              </w:tabs>
              <w:spacing w:line="242" w:lineRule="exact"/>
              <w:rPr>
                <w:sz w:val="22"/>
              </w:rPr>
            </w:pPr>
            <w:r>
              <w:rPr>
                <w:sz w:val="22"/>
              </w:rPr>
              <w:t>las</w:t>
              <w:tab/>
              <w:t>instancias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(3/8/2014)</w:t>
            </w:r>
          </w:p>
        </w:tc>
        <w:tc>
          <w:tcPr>
            <w:tcW w:w="1418" w:type="dxa"/>
            <w:tcBorders>
              <w:top w:val="nil"/>
              <w:bottom w:val="nil"/>
            </w:tcBorders>
          </w:tcPr>
          <w:p>
            <w:pPr>
              <w:pStyle w:val="TableParagraph"/>
              <w:spacing w:line="241" w:lineRule="exact"/>
              <w:ind w:left="97" w:right="104"/>
              <w:jc w:val="center"/>
              <w:rPr>
                <w:sz w:val="22"/>
              </w:rPr>
            </w:pPr>
            <w:r>
              <w:rPr>
                <w:sz w:val="22"/>
              </w:rPr>
              <w:t>Comisaría</w:t>
            </w: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18"/>
              <w:rPr>
                <w:sz w:val="22"/>
              </w:rPr>
            </w:pPr>
            <w:r>
              <w:rPr>
                <w:sz w:val="22"/>
              </w:rPr>
              <w:t>compone de:</w:t>
            </w:r>
          </w:p>
        </w:tc>
        <w:tc>
          <w:tcPr>
            <w:tcW w:w="991" w:type="dxa"/>
            <w:tcBorders>
              <w:top w:val="nil"/>
              <w:bottom w:val="nil"/>
            </w:tcBorders>
          </w:tcPr>
          <w:p>
            <w:pPr>
              <w:pStyle w:val="TableParagraph"/>
              <w:spacing w:line="241" w:lineRule="exact"/>
              <w:ind w:left="100"/>
              <w:rPr>
                <w:sz w:val="22"/>
              </w:rPr>
            </w:pPr>
            <w:r>
              <w:rPr>
                <w:sz w:val="22"/>
              </w:rPr>
              <w:t>Aculco</w:t>
            </w: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tabs>
                <w:tab w:pos="1098" w:val="left" w:leader="none"/>
              </w:tabs>
              <w:spacing w:line="241" w:lineRule="exact"/>
              <w:rPr>
                <w:sz w:val="22"/>
              </w:rPr>
            </w:pPr>
            <w:r>
              <w:rPr>
                <w:sz w:val="22"/>
              </w:rPr>
              <w:t>sin</w:t>
              <w:tab/>
              <w:t>tanto</w:t>
            </w:r>
          </w:p>
        </w:tc>
        <w:tc>
          <w:tcPr>
            <w:tcW w:w="1985" w:type="dxa"/>
            <w:tcBorders>
              <w:top w:val="nil"/>
              <w:bottom w:val="nil"/>
            </w:tcBorders>
          </w:tcPr>
          <w:p>
            <w:pPr>
              <w:pStyle w:val="TableParagraph"/>
              <w:spacing w:line="241" w:lineRule="exact"/>
              <w:rPr>
                <w:sz w:val="22"/>
              </w:rPr>
            </w:pPr>
            <w:r>
              <w:rPr>
                <w:sz w:val="22"/>
              </w:rPr>
              <w:t>federales </w:t>
            </w:r>
            <w:r>
              <w:rPr>
                <w:spacing w:val="55"/>
                <w:sz w:val="22"/>
              </w:rPr>
              <w:t> </w:t>
            </w:r>
            <w:r>
              <w:rPr>
                <w:sz w:val="22"/>
              </w:rPr>
              <w:t>porque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El Azafrán</w:t>
            </w:r>
          </w:p>
        </w:tc>
        <w:tc>
          <w:tcPr>
            <w:tcW w:w="991" w:type="dxa"/>
            <w:tcBorders>
              <w:top w:val="nil"/>
              <w:bottom w:val="nil"/>
            </w:tcBorders>
          </w:tcPr>
          <w:p>
            <w:pPr>
              <w:pStyle w:val="TableParagraph"/>
              <w:spacing w:line="241" w:lineRule="exact"/>
              <w:ind w:left="100"/>
              <w:rPr>
                <w:sz w:val="22"/>
              </w:rPr>
            </w:pPr>
            <w:r>
              <w:rPr>
                <w:w w:val="100"/>
                <w:sz w:val="22"/>
              </w:rPr>
              <w:t>y</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buscarle.</w:t>
            </w:r>
          </w:p>
        </w:tc>
        <w:tc>
          <w:tcPr>
            <w:tcW w:w="1985" w:type="dxa"/>
            <w:tcBorders>
              <w:top w:val="nil"/>
              <w:bottom w:val="nil"/>
            </w:tcBorders>
          </w:tcPr>
          <w:p>
            <w:pPr>
              <w:pStyle w:val="TableParagraph"/>
              <w:spacing w:line="241" w:lineRule="exact"/>
              <w:rPr>
                <w:sz w:val="22"/>
              </w:rPr>
            </w:pPr>
            <w:r>
              <w:rPr>
                <w:sz w:val="22"/>
              </w:rPr>
              <w:t>se  necesita llevar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18"/>
              <w:rPr>
                <w:sz w:val="22"/>
              </w:rPr>
            </w:pPr>
            <w:r>
              <w:rPr>
                <w:sz w:val="22"/>
              </w:rPr>
              <w:t>(Aculco), Los</w:t>
            </w:r>
          </w:p>
        </w:tc>
        <w:tc>
          <w:tcPr>
            <w:tcW w:w="991" w:type="dxa"/>
            <w:tcBorders>
              <w:top w:val="nil"/>
              <w:bottom w:val="nil"/>
            </w:tcBorders>
          </w:tcPr>
          <w:p>
            <w:pPr>
              <w:pStyle w:val="TableParagraph"/>
              <w:spacing w:line="242" w:lineRule="exact"/>
              <w:ind w:left="100"/>
              <w:rPr>
                <w:sz w:val="22"/>
              </w:rPr>
            </w:pPr>
            <w:r>
              <w:rPr>
                <w:sz w:val="22"/>
              </w:rPr>
              <w:t>Timilpa</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629" w:val="left" w:leader="none"/>
              </w:tabs>
              <w:spacing w:line="242" w:lineRule="exact"/>
              <w:rPr>
                <w:sz w:val="22"/>
              </w:rPr>
            </w:pPr>
            <w:r>
              <w:rPr>
                <w:sz w:val="22"/>
              </w:rPr>
              <w:t>acabo</w:t>
              <w:tab/>
              <w:t>un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Pilares</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429" w:val="left" w:leader="none"/>
              </w:tabs>
              <w:spacing w:line="241" w:lineRule="exact"/>
              <w:rPr>
                <w:sz w:val="22"/>
              </w:rPr>
            </w:pPr>
            <w:r>
              <w:rPr>
                <w:sz w:val="22"/>
              </w:rPr>
              <w:t>desazolve</w:t>
              <w:tab/>
              <w:t>para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captar  más agua.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Las Arenas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393" w:val="left" w:leader="none"/>
              </w:tabs>
              <w:spacing w:line="241" w:lineRule="exact"/>
              <w:rPr>
                <w:sz w:val="22"/>
              </w:rPr>
            </w:pPr>
            <w:r>
              <w:rPr>
                <w:sz w:val="22"/>
              </w:rPr>
              <w:t>Hay</w:t>
              <w:tab/>
              <w:t>poca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627" w:val="left" w:leader="none"/>
              </w:tabs>
              <w:spacing w:line="241" w:lineRule="exact"/>
              <w:rPr>
                <w:sz w:val="22"/>
              </w:rPr>
            </w:pPr>
            <w:r>
              <w:rPr>
                <w:sz w:val="22"/>
              </w:rPr>
              <w:t>planeación</w:t>
              <w:tab/>
              <w:t>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Las Trojes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aguas  residuales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638" w:val="left" w:leader="none"/>
                <w:tab w:pos="1762" w:val="left" w:leader="none"/>
              </w:tabs>
              <w:spacing w:line="241" w:lineRule="exact"/>
              <w:rPr>
                <w:sz w:val="22"/>
              </w:rPr>
            </w:pPr>
            <w:r>
              <w:rPr>
                <w:sz w:val="22"/>
              </w:rPr>
              <w:t>en</w:t>
              <w:tab/>
              <w:t>Timilpan</w:t>
              <w:tab/>
              <w:t>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Lomas 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93" w:val="left" w:leader="none"/>
                <w:tab w:pos="1640" w:val="left" w:leader="none"/>
              </w:tabs>
              <w:spacing w:line="242" w:lineRule="exact"/>
              <w:rPr>
                <w:sz w:val="22"/>
              </w:rPr>
            </w:pPr>
            <w:r>
              <w:rPr>
                <w:sz w:val="22"/>
              </w:rPr>
              <w:t>porque</w:t>
              <w:tab/>
              <w:t>no</w:t>
              <w:tab/>
              <w:t>se</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Emiliano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591" w:val="left" w:leader="none"/>
              </w:tabs>
              <w:spacing w:line="241" w:lineRule="exact"/>
              <w:rPr>
                <w:sz w:val="22"/>
              </w:rPr>
            </w:pPr>
            <w:r>
              <w:rPr>
                <w:sz w:val="22"/>
              </w:rPr>
              <w:t>planean</w:t>
              <w:tab/>
              <w:t>las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Zapata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comunidades 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(Timilpan),</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están arriba de  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laguna.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Campesina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(Timilpan),</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Style w:val="TableParagraph"/>
              <w:spacing w:line="242" w:lineRule="exact"/>
              <w:ind w:right="143"/>
              <w:rPr>
                <w:sz w:val="22"/>
              </w:rPr>
            </w:pPr>
            <w:r>
              <w:rPr>
                <w:sz w:val="22"/>
              </w:rPr>
              <w:t>Pueblo de</w:t>
            </w: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5070" w:hRule="exact"/>
        </w:trPr>
        <w:tc>
          <w:tcPr>
            <w:tcW w:w="1385" w:type="dxa"/>
          </w:tcPr>
          <w:p>
            <w:pPr/>
          </w:p>
        </w:tc>
        <w:tc>
          <w:tcPr>
            <w:tcW w:w="1418" w:type="dxa"/>
          </w:tcPr>
          <w:p>
            <w:pPr/>
          </w:p>
        </w:tc>
        <w:tc>
          <w:tcPr>
            <w:tcW w:w="1417" w:type="dxa"/>
          </w:tcPr>
          <w:p>
            <w:pPr/>
          </w:p>
        </w:tc>
        <w:tc>
          <w:tcPr>
            <w:tcW w:w="1560" w:type="dxa"/>
          </w:tcPr>
          <w:p>
            <w:pPr>
              <w:pStyle w:val="TableParagraph"/>
              <w:ind w:right="118"/>
              <w:rPr>
                <w:sz w:val="22"/>
              </w:rPr>
            </w:pPr>
            <w:r>
              <w:rPr>
                <w:sz w:val="22"/>
              </w:rPr>
              <w:t>Zaragoza (Timilpan), Barrio de Morelos (Timilpan), Montes de Bucio (Timilpan), pero hay un conflicto social porque desde 1958 se dividió El Ejido y una parte lo tiene Santa María Las Arenas, aunque esa parte está en conflicto.</w:t>
            </w:r>
          </w:p>
        </w:tc>
        <w:tc>
          <w:tcPr>
            <w:tcW w:w="991" w:type="dxa"/>
          </w:tcPr>
          <w:p>
            <w:pPr/>
          </w:p>
        </w:tc>
        <w:tc>
          <w:tcPr>
            <w:tcW w:w="1277" w:type="dxa"/>
          </w:tcPr>
          <w:p>
            <w:pPr/>
          </w:p>
        </w:tc>
        <w:tc>
          <w:tcPr>
            <w:tcW w:w="1133" w:type="dxa"/>
          </w:tcPr>
          <w:p>
            <w:pPr/>
          </w:p>
        </w:tc>
        <w:tc>
          <w:tcPr>
            <w:tcW w:w="1702" w:type="dxa"/>
          </w:tcPr>
          <w:p>
            <w:pPr/>
          </w:p>
        </w:tc>
        <w:tc>
          <w:tcPr>
            <w:tcW w:w="1985" w:type="dxa"/>
          </w:tcPr>
          <w:p>
            <w:pPr/>
          </w:p>
        </w:tc>
      </w:tr>
      <w:tr>
        <w:trPr>
          <w:trHeight w:val="3553" w:hRule="exact"/>
        </w:trPr>
        <w:tc>
          <w:tcPr>
            <w:tcW w:w="1385" w:type="dxa"/>
          </w:tcPr>
          <w:p>
            <w:pPr>
              <w:pStyle w:val="TableParagraph"/>
              <w:ind w:right="249"/>
              <w:rPr>
                <w:sz w:val="22"/>
              </w:rPr>
            </w:pPr>
            <w:r>
              <w:rPr>
                <w:sz w:val="22"/>
              </w:rPr>
              <w:t>José Antonio Martínez García (4/9/2014)</w:t>
            </w:r>
          </w:p>
        </w:tc>
        <w:tc>
          <w:tcPr>
            <w:tcW w:w="1418" w:type="dxa"/>
          </w:tcPr>
          <w:p>
            <w:pPr>
              <w:pStyle w:val="TableParagraph"/>
              <w:ind w:left="156" w:right="159"/>
              <w:jc w:val="center"/>
              <w:rPr>
                <w:sz w:val="22"/>
              </w:rPr>
            </w:pPr>
            <w:r>
              <w:rPr>
                <w:sz w:val="22"/>
              </w:rPr>
              <w:t>El campo y</w:t>
            </w:r>
            <w:r>
              <w:rPr>
                <w:w w:val="100"/>
                <w:sz w:val="22"/>
              </w:rPr>
              <w:t> </w:t>
            </w:r>
            <w:r>
              <w:rPr>
                <w:sz w:val="22"/>
              </w:rPr>
              <w:t>la     ganadería</w:t>
            </w:r>
          </w:p>
        </w:tc>
        <w:tc>
          <w:tcPr>
            <w:tcW w:w="1417" w:type="dxa"/>
          </w:tcPr>
          <w:p>
            <w:pPr>
              <w:pStyle w:val="TableParagraph"/>
              <w:spacing w:line="242" w:lineRule="auto"/>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Ruano</w:t>
            </w:r>
          </w:p>
        </w:tc>
        <w:tc>
          <w:tcPr>
            <w:tcW w:w="991" w:type="dxa"/>
          </w:tcPr>
          <w:p>
            <w:pPr>
              <w:pStyle w:val="TableParagraph"/>
              <w:spacing w:line="242" w:lineRule="auto"/>
              <w:ind w:left="100" w:right="201"/>
              <w:rPr>
                <w:sz w:val="22"/>
              </w:rPr>
            </w:pPr>
            <w:r>
              <w:rPr>
                <w:sz w:val="22"/>
              </w:rPr>
              <w:t>Polotitl án</w:t>
            </w:r>
          </w:p>
        </w:tc>
        <w:tc>
          <w:tcPr>
            <w:tcW w:w="1277" w:type="dxa"/>
          </w:tcPr>
          <w:p>
            <w:pPr>
              <w:pStyle w:val="TableParagraph"/>
              <w:spacing w:line="242" w:lineRule="auto"/>
              <w:ind w:right="239"/>
              <w:rPr>
                <w:sz w:val="22"/>
              </w:rPr>
            </w:pPr>
            <w:r>
              <w:rPr>
                <w:sz w:val="22"/>
              </w:rPr>
              <w:t>Ruano, Polotitlán</w:t>
            </w:r>
          </w:p>
        </w:tc>
        <w:tc>
          <w:tcPr>
            <w:tcW w:w="1133" w:type="dxa"/>
          </w:tcPr>
          <w:p>
            <w:pPr>
              <w:pStyle w:val="TableParagraph"/>
              <w:spacing w:line="242" w:lineRule="auto"/>
              <w:ind w:left="100" w:right="98"/>
              <w:rPr>
                <w:sz w:val="22"/>
              </w:rPr>
            </w:pPr>
            <w:r>
              <w:rPr>
                <w:sz w:val="22"/>
              </w:rPr>
              <w:t>Ruano, Polotitlán</w:t>
            </w:r>
          </w:p>
        </w:tc>
        <w:tc>
          <w:tcPr>
            <w:tcW w:w="1702" w:type="dxa"/>
          </w:tcPr>
          <w:p>
            <w:pPr>
              <w:pStyle w:val="TableParagraph"/>
              <w:tabs>
                <w:tab w:pos="1418" w:val="left" w:leader="none"/>
              </w:tabs>
              <w:ind w:right="98"/>
              <w:jc w:val="both"/>
              <w:rPr>
                <w:sz w:val="22"/>
              </w:rPr>
            </w:pPr>
            <w:r>
              <w:rPr>
                <w:sz w:val="22"/>
              </w:rPr>
              <w:t>El principal problema que tiene la laguna Huapango es que junta poca agua porque llueve poco y otro problema es</w:t>
              <w:tab/>
              <w:t>la</w:t>
            </w:r>
          </w:p>
          <w:p>
            <w:pPr>
              <w:pStyle w:val="TableParagraph"/>
              <w:spacing w:before="1"/>
              <w:jc w:val="both"/>
              <w:rPr>
                <w:sz w:val="22"/>
              </w:rPr>
            </w:pPr>
            <w:r>
              <w:rPr>
                <w:sz w:val="22"/>
              </w:rPr>
              <w:t>corrupción.</w:t>
            </w:r>
          </w:p>
        </w:tc>
        <w:tc>
          <w:tcPr>
            <w:tcW w:w="1985" w:type="dxa"/>
          </w:tcPr>
          <w:p>
            <w:pPr>
              <w:pStyle w:val="TableParagraph"/>
              <w:tabs>
                <w:tab w:pos="638" w:val="left" w:leader="none"/>
                <w:tab w:pos="678" w:val="left" w:leader="none"/>
                <w:tab w:pos="1518" w:val="left" w:leader="none"/>
                <w:tab w:pos="1556" w:val="left" w:leader="none"/>
                <w:tab w:pos="1702" w:val="left" w:leader="none"/>
              </w:tabs>
              <w:ind w:right="98"/>
              <w:rPr>
                <w:sz w:val="22"/>
              </w:rPr>
            </w:pPr>
            <w:r>
              <w:rPr>
                <w:sz w:val="22"/>
              </w:rPr>
              <w:t>Porque como el agua es una de las</w:t>
              <w:tab/>
            </w:r>
            <w:r>
              <w:rPr>
                <w:spacing w:val="-1"/>
                <w:sz w:val="22"/>
              </w:rPr>
              <w:t>necesidades </w:t>
            </w:r>
            <w:r>
              <w:rPr>
                <w:sz w:val="22"/>
              </w:rPr>
              <w:t>más grandes se presta para esto, por</w:t>
              <w:tab/>
              <w:tab/>
              <w:t>ejemplo</w:t>
              <w:tab/>
              <w:tab/>
              <w:tab/>
              <w:t>la presidenta municipal en su campaña</w:t>
              <w:tab/>
              <w:t>nos decía que iba a tecnificar</w:t>
              <w:tab/>
              <w:tab/>
              <w:tab/>
              <w:t>el campo para que regáramos</w:t>
              <w:tab/>
              <w:tab/>
              <w:t>por goteo,   pero </w:t>
            </w:r>
            <w:r>
              <w:rPr>
                <w:spacing w:val="54"/>
                <w:sz w:val="22"/>
              </w:rPr>
              <w:t> </w:t>
            </w:r>
            <w:r>
              <w:rPr>
                <w:sz w:val="22"/>
              </w:rPr>
              <w:t>eso</w:t>
            </w:r>
          </w:p>
        </w:tc>
      </w:tr>
    </w:tbl>
    <w:p>
      <w:pPr>
        <w:spacing w:after="0"/>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033"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
        </w:tc>
        <w:tc>
          <w:tcPr>
            <w:tcW w:w="1985" w:type="dxa"/>
          </w:tcPr>
          <w:p>
            <w:pPr>
              <w:pStyle w:val="TableParagraph"/>
              <w:tabs>
                <w:tab w:pos="768" w:val="left" w:leader="none"/>
                <w:tab w:pos="1190" w:val="left" w:leader="none"/>
                <w:tab w:pos="1506" w:val="left" w:leader="none"/>
              </w:tabs>
              <w:ind w:right="98"/>
              <w:rPr>
                <w:sz w:val="22"/>
              </w:rPr>
            </w:pPr>
            <w:r>
              <w:rPr>
                <w:sz w:val="22"/>
              </w:rPr>
              <w:t>no ha pasado ni pasará</w:t>
              <w:tab/>
            </w:r>
            <w:r>
              <w:rPr>
                <w:spacing w:val="-1"/>
                <w:sz w:val="22"/>
              </w:rPr>
              <w:t>porque </w:t>
            </w:r>
            <w:r>
              <w:rPr>
                <w:sz w:val="22"/>
              </w:rPr>
              <w:t>para</w:t>
              <w:tab/>
              <w:t>regar</w:t>
              <w:tab/>
              <w:t>una hectárea necesitamos</w:t>
            </w:r>
          </w:p>
          <w:p>
            <w:pPr>
              <w:pStyle w:val="TableParagraph"/>
              <w:ind w:right="99"/>
              <w:jc w:val="both"/>
              <w:rPr>
                <w:sz w:val="22"/>
              </w:rPr>
            </w:pPr>
            <w:r>
              <w:rPr>
                <w:sz w:val="22"/>
              </w:rPr>
              <w:t>$100,000 que casi nadie los tiene.</w:t>
            </w:r>
          </w:p>
        </w:tc>
      </w:tr>
      <w:tr>
        <w:trPr>
          <w:trHeight w:val="1529" w:hRule="exact"/>
        </w:trPr>
        <w:tc>
          <w:tcPr>
            <w:tcW w:w="1385" w:type="dxa"/>
          </w:tcPr>
          <w:p>
            <w:pPr>
              <w:pStyle w:val="TableParagraph"/>
              <w:tabs>
                <w:tab w:pos="796" w:val="left" w:leader="none"/>
              </w:tabs>
              <w:ind w:right="98"/>
              <w:rPr>
                <w:sz w:val="22"/>
              </w:rPr>
            </w:pPr>
            <w:r>
              <w:rPr>
                <w:sz w:val="22"/>
              </w:rPr>
              <w:t>José</w:t>
              <w:tab/>
              <w:t>Juan Juárez Rodriguez (4/9/2014)</w:t>
            </w:r>
          </w:p>
        </w:tc>
        <w:tc>
          <w:tcPr>
            <w:tcW w:w="1418" w:type="dxa"/>
          </w:tcPr>
          <w:p>
            <w:pPr>
              <w:pStyle w:val="TableParagraph"/>
              <w:ind w:left="127" w:right="127" w:hanging="4"/>
              <w:jc w:val="center"/>
              <w:rPr>
                <w:sz w:val="22"/>
              </w:rPr>
            </w:pPr>
            <w:r>
              <w:rPr>
                <w:sz w:val="22"/>
              </w:rPr>
              <w:t>El campo y empleado en el Rancho Santa Rosa</w:t>
            </w:r>
          </w:p>
        </w:tc>
        <w:tc>
          <w:tcPr>
            <w:tcW w:w="1417" w:type="dxa"/>
          </w:tcPr>
          <w:p>
            <w:pPr>
              <w:pStyle w:val="TableParagraph"/>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Encinillas</w:t>
            </w:r>
          </w:p>
        </w:tc>
        <w:tc>
          <w:tcPr>
            <w:tcW w:w="991" w:type="dxa"/>
          </w:tcPr>
          <w:p>
            <w:pPr>
              <w:pStyle w:val="TableParagraph"/>
              <w:ind w:left="100" w:right="201"/>
              <w:rPr>
                <w:sz w:val="22"/>
              </w:rPr>
            </w:pPr>
            <w:r>
              <w:rPr>
                <w:sz w:val="22"/>
              </w:rPr>
              <w:t>Polotitl án</w:t>
            </w:r>
          </w:p>
        </w:tc>
        <w:tc>
          <w:tcPr>
            <w:tcW w:w="1277" w:type="dxa"/>
          </w:tcPr>
          <w:p>
            <w:pPr>
              <w:pStyle w:val="TableParagraph"/>
              <w:ind w:right="92"/>
              <w:rPr>
                <w:sz w:val="22"/>
              </w:rPr>
            </w:pPr>
            <w:r>
              <w:rPr>
                <w:sz w:val="22"/>
              </w:rPr>
              <w:t>San Juan del Río, Querétaro.</w:t>
            </w:r>
          </w:p>
        </w:tc>
        <w:tc>
          <w:tcPr>
            <w:tcW w:w="1133" w:type="dxa"/>
          </w:tcPr>
          <w:p>
            <w:pPr>
              <w:pStyle w:val="TableParagraph"/>
              <w:ind w:left="100" w:right="98"/>
              <w:rPr>
                <w:sz w:val="22"/>
              </w:rPr>
            </w:pPr>
            <w:r>
              <w:rPr>
                <w:sz w:val="22"/>
              </w:rPr>
              <w:t>Encinilla s, Polotitlán desde hace 43 años.</w:t>
            </w:r>
          </w:p>
        </w:tc>
        <w:tc>
          <w:tcPr>
            <w:tcW w:w="1702" w:type="dxa"/>
          </w:tcPr>
          <w:p>
            <w:pPr>
              <w:pStyle w:val="TableParagraph"/>
              <w:tabs>
                <w:tab w:pos="618" w:val="left" w:leader="none"/>
                <w:tab w:pos="1110" w:val="left" w:leader="none"/>
              </w:tabs>
              <w:ind w:right="99"/>
              <w:rPr>
                <w:sz w:val="22"/>
              </w:rPr>
            </w:pPr>
            <w:r>
              <w:rPr>
                <w:sz w:val="22"/>
              </w:rPr>
              <w:t>Ya</w:t>
              <w:tab/>
              <w:t>no</w:t>
              <w:tab/>
              <w:t>junta mucha</w:t>
            </w:r>
            <w:r>
              <w:rPr>
                <w:spacing w:val="-3"/>
                <w:sz w:val="22"/>
              </w:rPr>
              <w:t> </w:t>
            </w:r>
            <w:r>
              <w:rPr>
                <w:sz w:val="22"/>
              </w:rPr>
              <w:t>agua.</w:t>
            </w:r>
          </w:p>
        </w:tc>
        <w:tc>
          <w:tcPr>
            <w:tcW w:w="1985" w:type="dxa"/>
          </w:tcPr>
          <w:p>
            <w:pPr>
              <w:pStyle w:val="TableParagraph"/>
              <w:rPr>
                <w:sz w:val="22"/>
              </w:rPr>
            </w:pPr>
            <w:r>
              <w:rPr>
                <w:sz w:val="22"/>
              </w:rPr>
              <w:t>Porque no llueve mucho.</w:t>
            </w:r>
          </w:p>
        </w:tc>
      </w:tr>
      <w:tr>
        <w:trPr>
          <w:trHeight w:val="1275" w:hRule="exact"/>
        </w:trPr>
        <w:tc>
          <w:tcPr>
            <w:tcW w:w="1385" w:type="dxa"/>
          </w:tcPr>
          <w:p>
            <w:pPr>
              <w:pStyle w:val="TableParagraph"/>
              <w:rPr>
                <w:sz w:val="22"/>
              </w:rPr>
            </w:pPr>
            <w:r>
              <w:rPr>
                <w:sz w:val="22"/>
              </w:rPr>
              <w:t>Álvaro Ortiz Alcántara (7/II/2015)</w:t>
            </w:r>
          </w:p>
        </w:tc>
        <w:tc>
          <w:tcPr>
            <w:tcW w:w="1418" w:type="dxa"/>
          </w:tcPr>
          <w:p>
            <w:pPr>
              <w:pStyle w:val="TableParagraph"/>
              <w:spacing w:line="251" w:lineRule="exact"/>
              <w:ind w:left="102" w:right="104"/>
              <w:jc w:val="center"/>
              <w:rPr>
                <w:sz w:val="22"/>
              </w:rPr>
            </w:pPr>
            <w:r>
              <w:rPr>
                <w:sz w:val="22"/>
              </w:rPr>
              <w:t>El campo</w:t>
            </w:r>
          </w:p>
        </w:tc>
        <w:tc>
          <w:tcPr>
            <w:tcW w:w="1417" w:type="dxa"/>
          </w:tcPr>
          <w:p>
            <w:pPr>
              <w:pStyle w:val="TableParagraph"/>
              <w:spacing w:line="252" w:lineRule="exact" w:before="2"/>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San Juanico</w:t>
            </w:r>
          </w:p>
        </w:tc>
        <w:tc>
          <w:tcPr>
            <w:tcW w:w="991" w:type="dxa"/>
          </w:tcPr>
          <w:p>
            <w:pPr>
              <w:pStyle w:val="TableParagraph"/>
              <w:spacing w:line="252" w:lineRule="exact" w:before="2"/>
              <w:ind w:left="100" w:right="176"/>
              <w:rPr>
                <w:sz w:val="22"/>
              </w:rPr>
            </w:pPr>
            <w:r>
              <w:rPr>
                <w:sz w:val="22"/>
              </w:rPr>
              <w:t>Acamb ay</w:t>
            </w:r>
          </w:p>
        </w:tc>
        <w:tc>
          <w:tcPr>
            <w:tcW w:w="1277" w:type="dxa"/>
          </w:tcPr>
          <w:p>
            <w:pPr>
              <w:pStyle w:val="TableParagraph"/>
              <w:ind w:right="227"/>
              <w:rPr>
                <w:sz w:val="22"/>
              </w:rPr>
            </w:pPr>
            <w:r>
              <w:rPr>
                <w:sz w:val="22"/>
              </w:rPr>
              <w:t>San Juanico, Acambay</w:t>
            </w:r>
          </w:p>
        </w:tc>
        <w:tc>
          <w:tcPr>
            <w:tcW w:w="1133" w:type="dxa"/>
          </w:tcPr>
          <w:p>
            <w:pPr>
              <w:pStyle w:val="TableParagraph"/>
              <w:ind w:left="100" w:right="86"/>
              <w:rPr>
                <w:sz w:val="22"/>
              </w:rPr>
            </w:pPr>
            <w:r>
              <w:rPr>
                <w:sz w:val="22"/>
              </w:rPr>
              <w:t>San Juanico, Acambay</w:t>
            </w:r>
          </w:p>
        </w:tc>
        <w:tc>
          <w:tcPr>
            <w:tcW w:w="1702" w:type="dxa"/>
          </w:tcPr>
          <w:p>
            <w:pPr>
              <w:pStyle w:val="TableParagraph"/>
              <w:spacing w:line="252" w:lineRule="exact" w:before="2"/>
              <w:ind w:right="150"/>
              <w:rPr>
                <w:sz w:val="22"/>
              </w:rPr>
            </w:pPr>
            <w:r>
              <w:rPr>
                <w:sz w:val="22"/>
              </w:rPr>
              <w:t>La contaminación</w:t>
            </w:r>
          </w:p>
        </w:tc>
        <w:tc>
          <w:tcPr>
            <w:tcW w:w="1985" w:type="dxa"/>
          </w:tcPr>
          <w:p>
            <w:pPr>
              <w:pStyle w:val="TableParagraph"/>
              <w:ind w:right="98"/>
              <w:jc w:val="both"/>
              <w:rPr>
                <w:sz w:val="22"/>
              </w:rPr>
            </w:pPr>
            <w:r>
              <w:rPr>
                <w:sz w:val="22"/>
              </w:rPr>
              <w:t>Por todos los drenajes que echan. Hay una fosa séptica, pero no da abasto.</w:t>
            </w:r>
          </w:p>
        </w:tc>
      </w:tr>
      <w:tr>
        <w:trPr>
          <w:trHeight w:val="267" w:hRule="exact"/>
        </w:trPr>
        <w:tc>
          <w:tcPr>
            <w:tcW w:w="1385" w:type="dxa"/>
            <w:tcBorders>
              <w:bottom w:val="nil"/>
            </w:tcBorders>
          </w:tcPr>
          <w:p>
            <w:pPr>
              <w:pStyle w:val="TableParagraph"/>
              <w:spacing w:line="251" w:lineRule="exact"/>
              <w:ind w:right="127"/>
              <w:rPr>
                <w:sz w:val="22"/>
              </w:rPr>
            </w:pPr>
            <w:r>
              <w:rPr>
                <w:sz w:val="22"/>
              </w:rPr>
              <w:t>Sabas</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417" w:type="dxa"/>
            <w:tcBorders>
              <w:bottom w:val="nil"/>
            </w:tcBorders>
          </w:tcPr>
          <w:p>
            <w:pPr>
              <w:pStyle w:val="TableParagraph"/>
              <w:spacing w:line="251" w:lineRule="exact"/>
              <w:ind w:left="100"/>
              <w:rPr>
                <w:i/>
                <w:sz w:val="22"/>
              </w:rPr>
            </w:pPr>
            <w:r>
              <w:rPr>
                <w:i/>
                <w:sz w:val="22"/>
              </w:rPr>
              <w:t>Presidente</w:t>
            </w:r>
          </w:p>
        </w:tc>
        <w:tc>
          <w:tcPr>
            <w:tcW w:w="1560" w:type="dxa"/>
            <w:tcBorders>
              <w:bottom w:val="nil"/>
            </w:tcBorders>
          </w:tcPr>
          <w:p>
            <w:pPr>
              <w:pStyle w:val="TableParagraph"/>
              <w:spacing w:line="251" w:lineRule="exact"/>
              <w:ind w:right="143"/>
              <w:rPr>
                <w:sz w:val="22"/>
              </w:rPr>
            </w:pPr>
            <w:r>
              <w:rPr>
                <w:sz w:val="22"/>
              </w:rPr>
              <w:t>Ejidos de</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Rincón de</w:t>
            </w:r>
          </w:p>
        </w:tc>
        <w:tc>
          <w:tcPr>
            <w:tcW w:w="1133" w:type="dxa"/>
            <w:tcBorders>
              <w:bottom w:val="nil"/>
            </w:tcBorders>
          </w:tcPr>
          <w:p>
            <w:pPr>
              <w:pStyle w:val="TableParagraph"/>
              <w:spacing w:line="251" w:lineRule="exact"/>
              <w:ind w:left="100" w:right="52"/>
              <w:rPr>
                <w:sz w:val="22"/>
              </w:rPr>
            </w:pPr>
            <w:r>
              <w:rPr>
                <w:sz w:val="22"/>
              </w:rPr>
              <w:t>Rincón</w:t>
            </w:r>
          </w:p>
        </w:tc>
        <w:tc>
          <w:tcPr>
            <w:tcW w:w="1702" w:type="dxa"/>
            <w:tcBorders>
              <w:bottom w:val="nil"/>
            </w:tcBorders>
          </w:tcPr>
          <w:p>
            <w:pPr>
              <w:pStyle w:val="TableParagraph"/>
              <w:spacing w:line="251" w:lineRule="exact"/>
              <w:rPr>
                <w:sz w:val="22"/>
              </w:rPr>
            </w:pPr>
            <w:r>
              <w:rPr>
                <w:sz w:val="22"/>
              </w:rPr>
              <w:t>Considero</w:t>
            </w:r>
            <w:r>
              <w:rPr>
                <w:spacing w:val="52"/>
                <w:sz w:val="22"/>
              </w:rPr>
              <w:t> </w:t>
            </w:r>
            <w:r>
              <w:rPr>
                <w:sz w:val="22"/>
              </w:rPr>
              <w:t>que</w:t>
            </w:r>
          </w:p>
        </w:tc>
        <w:tc>
          <w:tcPr>
            <w:tcW w:w="1985" w:type="dxa"/>
            <w:tcBorders>
              <w:bottom w:val="nil"/>
            </w:tcBorders>
          </w:tcPr>
          <w:p>
            <w:pPr>
              <w:pStyle w:val="TableParagraph"/>
              <w:tabs>
                <w:tab w:pos="1642" w:val="left" w:leader="none"/>
              </w:tabs>
              <w:spacing w:line="251" w:lineRule="exact"/>
              <w:rPr>
                <w:sz w:val="22"/>
              </w:rPr>
            </w:pPr>
            <w:r>
              <w:rPr>
                <w:sz w:val="22"/>
              </w:rPr>
              <w:t>Porque</w:t>
              <w:tab/>
              <w:t>se</w:t>
            </w:r>
          </w:p>
        </w:tc>
      </w:tr>
      <w:tr>
        <w:trPr>
          <w:trHeight w:val="253" w:hRule="exact"/>
        </w:trPr>
        <w:tc>
          <w:tcPr>
            <w:tcW w:w="1385" w:type="dxa"/>
            <w:tcBorders>
              <w:top w:val="nil"/>
              <w:bottom w:val="nil"/>
            </w:tcBorders>
          </w:tcPr>
          <w:p>
            <w:pPr>
              <w:pStyle w:val="TableParagraph"/>
              <w:spacing w:line="242" w:lineRule="exact"/>
              <w:rPr>
                <w:sz w:val="22"/>
              </w:rPr>
            </w:pPr>
            <w:r>
              <w:rPr>
                <w:sz w:val="22"/>
              </w:rPr>
              <w:t>Guadarram</w:t>
            </w:r>
          </w:p>
        </w:tc>
        <w:tc>
          <w:tcPr>
            <w:tcW w:w="1418" w:type="dxa"/>
            <w:tcBorders>
              <w:top w:val="nil"/>
              <w:bottom w:val="nil"/>
            </w:tcBorders>
          </w:tcPr>
          <w:p>
            <w:pPr>
              <w:pStyle w:val="TableParagraph"/>
              <w:spacing w:line="242" w:lineRule="exact"/>
              <w:ind w:left="102" w:right="103"/>
              <w:jc w:val="center"/>
              <w:rPr>
                <w:sz w:val="22"/>
              </w:rPr>
            </w:pPr>
            <w:r>
              <w:rPr>
                <w:sz w:val="22"/>
              </w:rPr>
              <w:t>representar</w:t>
            </w:r>
          </w:p>
        </w:tc>
        <w:tc>
          <w:tcPr>
            <w:tcW w:w="1417" w:type="dxa"/>
            <w:tcBorders>
              <w:top w:val="nil"/>
              <w:bottom w:val="nil"/>
            </w:tcBorders>
          </w:tcPr>
          <w:p>
            <w:pPr>
              <w:pStyle w:val="TableParagraph"/>
              <w:spacing w:line="242" w:lineRule="exact"/>
              <w:ind w:left="100"/>
              <w:rPr>
                <w:i/>
                <w:sz w:val="22"/>
              </w:rPr>
            </w:pPr>
            <w:r>
              <w:rPr>
                <w:i/>
                <w:sz w:val="22"/>
              </w:rPr>
              <w:t>de  la Unión</w:t>
            </w:r>
          </w:p>
        </w:tc>
        <w:tc>
          <w:tcPr>
            <w:tcW w:w="1560" w:type="dxa"/>
            <w:tcBorders>
              <w:top w:val="nil"/>
              <w:bottom w:val="nil"/>
            </w:tcBorders>
          </w:tcPr>
          <w:p>
            <w:pPr>
              <w:pStyle w:val="TableParagraph"/>
              <w:spacing w:line="242" w:lineRule="exact"/>
              <w:ind w:right="143"/>
              <w:rPr>
                <w:sz w:val="22"/>
              </w:rPr>
            </w:pPr>
            <w:r>
              <w:rPr>
                <w:sz w:val="22"/>
              </w:rPr>
              <w:t>Timilpan</w:t>
            </w: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Style w:val="TableParagraph"/>
              <w:spacing w:line="242" w:lineRule="exact"/>
              <w:ind w:right="92"/>
              <w:rPr>
                <w:sz w:val="22"/>
              </w:rPr>
            </w:pPr>
            <w:r>
              <w:rPr>
                <w:sz w:val="22"/>
              </w:rPr>
              <w:t>Bucio,</w:t>
            </w:r>
          </w:p>
        </w:tc>
        <w:tc>
          <w:tcPr>
            <w:tcW w:w="1133" w:type="dxa"/>
            <w:tcBorders>
              <w:top w:val="nil"/>
              <w:bottom w:val="nil"/>
            </w:tcBorders>
          </w:tcPr>
          <w:p>
            <w:pPr>
              <w:pStyle w:val="TableParagraph"/>
              <w:spacing w:line="242" w:lineRule="exact"/>
              <w:ind w:left="100" w:right="52"/>
              <w:rPr>
                <w:sz w:val="22"/>
              </w:rPr>
            </w:pPr>
            <w:r>
              <w:rPr>
                <w:sz w:val="22"/>
              </w:rPr>
              <w:t>de Bucio,</w:t>
            </w:r>
          </w:p>
        </w:tc>
        <w:tc>
          <w:tcPr>
            <w:tcW w:w="1702" w:type="dxa"/>
            <w:tcBorders>
              <w:top w:val="nil"/>
              <w:bottom w:val="nil"/>
            </w:tcBorders>
          </w:tcPr>
          <w:p>
            <w:pPr>
              <w:pStyle w:val="TableParagraph"/>
              <w:tabs>
                <w:tab w:pos="770" w:val="left" w:leader="none"/>
              </w:tabs>
              <w:spacing w:line="242" w:lineRule="exact"/>
              <w:rPr>
                <w:sz w:val="22"/>
              </w:rPr>
            </w:pPr>
            <w:r>
              <w:rPr>
                <w:sz w:val="22"/>
              </w:rPr>
              <w:t>el</w:t>
              <w:tab/>
              <w:t>principal</w:t>
            </w:r>
          </w:p>
        </w:tc>
        <w:tc>
          <w:tcPr>
            <w:tcW w:w="1985" w:type="dxa"/>
            <w:tcBorders>
              <w:top w:val="nil"/>
              <w:bottom w:val="nil"/>
            </w:tcBorders>
          </w:tcPr>
          <w:p>
            <w:pPr>
              <w:pStyle w:val="TableParagraph"/>
              <w:tabs>
                <w:tab w:pos="1588" w:val="left" w:leader="none"/>
              </w:tabs>
              <w:spacing w:line="242" w:lineRule="exact"/>
              <w:rPr>
                <w:sz w:val="22"/>
              </w:rPr>
            </w:pPr>
            <w:r>
              <w:rPr>
                <w:sz w:val="22"/>
              </w:rPr>
              <w:t>invaden</w:t>
              <w:tab/>
              <w:t>las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a Mendoza</w:t>
            </w:r>
          </w:p>
        </w:tc>
        <w:tc>
          <w:tcPr>
            <w:tcW w:w="1418" w:type="dxa"/>
            <w:tcBorders>
              <w:top w:val="nil"/>
              <w:bottom w:val="nil"/>
            </w:tcBorders>
          </w:tcPr>
          <w:p>
            <w:pPr>
              <w:pStyle w:val="TableParagraph"/>
              <w:spacing w:line="241" w:lineRule="exact"/>
              <w:ind w:left="101" w:right="104"/>
              <w:jc w:val="center"/>
              <w:rPr>
                <w:sz w:val="22"/>
              </w:rPr>
            </w:pPr>
            <w:r>
              <w:rPr>
                <w:sz w:val="22"/>
              </w:rPr>
              <w:t>a los ejidos</w:t>
            </w:r>
          </w:p>
        </w:tc>
        <w:tc>
          <w:tcPr>
            <w:tcW w:w="1417" w:type="dxa"/>
            <w:tcBorders>
              <w:top w:val="nil"/>
              <w:bottom w:val="nil"/>
            </w:tcBorders>
          </w:tcPr>
          <w:p>
            <w:pPr>
              <w:pStyle w:val="TableParagraph"/>
              <w:tabs>
                <w:tab w:pos="703" w:val="left" w:leader="none"/>
              </w:tabs>
              <w:spacing w:line="241" w:lineRule="exact"/>
              <w:ind w:left="100"/>
              <w:rPr>
                <w:i/>
                <w:sz w:val="22"/>
              </w:rPr>
            </w:pPr>
            <w:r>
              <w:rPr>
                <w:i/>
                <w:sz w:val="22"/>
              </w:rPr>
              <w:t>de</w:t>
              <w:tab/>
              <w:t>Ejidos</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problema   que</w:t>
            </w:r>
          </w:p>
        </w:tc>
        <w:tc>
          <w:tcPr>
            <w:tcW w:w="1985" w:type="dxa"/>
            <w:tcBorders>
              <w:top w:val="nil"/>
              <w:bottom w:val="nil"/>
            </w:tcBorders>
          </w:tcPr>
          <w:p>
            <w:pPr>
              <w:pStyle w:val="TableParagraph"/>
              <w:spacing w:line="241" w:lineRule="exact"/>
              <w:rPr>
                <w:sz w:val="22"/>
              </w:rPr>
            </w:pPr>
            <w:r>
              <w:rPr>
                <w:sz w:val="22"/>
              </w:rPr>
              <w:t>tierras ejidales sin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(12/I/2014)</w:t>
            </w:r>
          </w:p>
        </w:tc>
        <w:tc>
          <w:tcPr>
            <w:tcW w:w="1418" w:type="dxa"/>
            <w:tcBorders>
              <w:top w:val="nil"/>
              <w:bottom w:val="nil"/>
            </w:tcBorders>
          </w:tcPr>
          <w:p>
            <w:pPr>
              <w:pStyle w:val="TableParagraph"/>
              <w:spacing w:line="241" w:lineRule="exact"/>
              <w:ind w:left="100" w:right="104"/>
              <w:jc w:val="center"/>
              <w:rPr>
                <w:sz w:val="22"/>
              </w:rPr>
            </w:pPr>
            <w:r>
              <w:rPr>
                <w:sz w:val="22"/>
              </w:rPr>
              <w:t>del</w:t>
            </w:r>
          </w:p>
        </w:tc>
        <w:tc>
          <w:tcPr>
            <w:tcW w:w="1417" w:type="dxa"/>
            <w:tcBorders>
              <w:top w:val="nil"/>
              <w:bottom w:val="nil"/>
            </w:tcBorders>
          </w:tcPr>
          <w:p>
            <w:pPr>
              <w:pStyle w:val="TableParagraph"/>
              <w:spacing w:line="241" w:lineRule="exact"/>
              <w:ind w:left="100"/>
              <w:rPr>
                <w:i/>
                <w:sz w:val="22"/>
              </w:rPr>
            </w:pPr>
            <w:r>
              <w:rPr>
                <w:i/>
                <w:sz w:val="22"/>
              </w:rPr>
              <w:t>de Timilpan</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tiene la</w:t>
            </w:r>
            <w:r>
              <w:rPr>
                <w:spacing w:val="51"/>
                <w:sz w:val="22"/>
              </w:rPr>
              <w:t> </w:t>
            </w:r>
            <w:r>
              <w:rPr>
                <w:sz w:val="22"/>
              </w:rPr>
              <w:t>laguna</w:t>
            </w:r>
          </w:p>
        </w:tc>
        <w:tc>
          <w:tcPr>
            <w:tcW w:w="1985" w:type="dxa"/>
            <w:tcBorders>
              <w:top w:val="nil"/>
              <w:bottom w:val="nil"/>
            </w:tcBorders>
          </w:tcPr>
          <w:p>
            <w:pPr>
              <w:pStyle w:val="TableParagraph"/>
              <w:spacing w:line="241" w:lineRule="exact"/>
              <w:rPr>
                <w:sz w:val="22"/>
              </w:rPr>
            </w:pPr>
            <w:r>
              <w:rPr>
                <w:sz w:val="22"/>
              </w:rPr>
              <w:t>ningún  beneficio,</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2" w:right="104"/>
              <w:jc w:val="center"/>
              <w:rPr>
                <w:sz w:val="22"/>
              </w:rPr>
            </w:pPr>
            <w:r>
              <w:rPr>
                <w:sz w:val="22"/>
              </w:rPr>
              <w:t>municipio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73" w:val="left" w:leader="none"/>
              </w:tabs>
              <w:spacing w:line="242" w:lineRule="exact"/>
              <w:rPr>
                <w:sz w:val="22"/>
              </w:rPr>
            </w:pPr>
            <w:r>
              <w:rPr>
                <w:sz w:val="22"/>
              </w:rPr>
              <w:t>de</w:t>
              <w:tab/>
              <w:t>Huapango</w:t>
            </w:r>
          </w:p>
        </w:tc>
        <w:tc>
          <w:tcPr>
            <w:tcW w:w="1985" w:type="dxa"/>
            <w:tcBorders>
              <w:top w:val="nil"/>
              <w:bottom w:val="nil"/>
            </w:tcBorders>
          </w:tcPr>
          <w:p>
            <w:pPr>
              <w:pStyle w:val="TableParagraph"/>
              <w:spacing w:line="242" w:lineRule="exact"/>
              <w:rPr>
                <w:sz w:val="22"/>
              </w:rPr>
            </w:pPr>
            <w:r>
              <w:rPr>
                <w:sz w:val="22"/>
              </w:rPr>
              <w:t>la mayor parte</w:t>
            </w:r>
            <w:r>
              <w:rPr>
                <w:spacing w:val="52"/>
                <w:sz w:val="22"/>
              </w:rPr>
              <w:t> </w:t>
            </w:r>
            <w:r>
              <w:rPr>
                <w:sz w:val="22"/>
              </w:rPr>
              <w:t>de</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99" w:right="104"/>
              <w:jc w:val="center"/>
              <w:rPr>
                <w:sz w:val="22"/>
              </w:rPr>
            </w:pPr>
            <w:r>
              <w:rPr>
                <w:sz w:val="22"/>
              </w:rPr>
              <w:t>de Timilpan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es  que  no  se</w:t>
            </w:r>
          </w:p>
        </w:tc>
        <w:tc>
          <w:tcPr>
            <w:tcW w:w="1985" w:type="dxa"/>
            <w:tcBorders>
              <w:top w:val="nil"/>
              <w:bottom w:val="nil"/>
            </w:tcBorders>
          </w:tcPr>
          <w:p>
            <w:pPr>
              <w:pStyle w:val="TableParagraph"/>
              <w:spacing w:line="241" w:lineRule="exact"/>
              <w:rPr>
                <w:sz w:val="22"/>
              </w:rPr>
            </w:pPr>
            <w:r>
              <w:rPr>
                <w:sz w:val="22"/>
              </w:rPr>
              <w:t>tierras donde está</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3" w:val="left" w:leader="none"/>
              </w:tabs>
              <w:spacing w:line="242" w:lineRule="exact"/>
              <w:rPr>
                <w:sz w:val="22"/>
              </w:rPr>
            </w:pPr>
            <w:r>
              <w:rPr>
                <w:sz w:val="22"/>
              </w:rPr>
              <w:t>aprovecha</w:t>
              <w:tab/>
              <w:t>en</w:t>
            </w:r>
          </w:p>
        </w:tc>
        <w:tc>
          <w:tcPr>
            <w:tcW w:w="1985" w:type="dxa"/>
            <w:tcBorders>
              <w:top w:val="nil"/>
              <w:bottom w:val="nil"/>
            </w:tcBorders>
          </w:tcPr>
          <w:p>
            <w:pPr>
              <w:pStyle w:val="TableParagraph"/>
              <w:spacing w:line="242" w:lineRule="exact"/>
              <w:rPr>
                <w:sz w:val="22"/>
              </w:rPr>
            </w:pPr>
            <w:r>
              <w:rPr>
                <w:sz w:val="22"/>
              </w:rPr>
              <w:t>ubicada la laguna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el municipio de</w:t>
            </w:r>
          </w:p>
        </w:tc>
        <w:tc>
          <w:tcPr>
            <w:tcW w:w="1985" w:type="dxa"/>
            <w:tcBorders>
              <w:top w:val="nil"/>
              <w:bottom w:val="nil"/>
            </w:tcBorders>
          </w:tcPr>
          <w:p>
            <w:pPr>
              <w:pStyle w:val="TableParagraph"/>
              <w:tabs>
                <w:tab w:pos="1703" w:val="left" w:leader="none"/>
              </w:tabs>
              <w:spacing w:line="241" w:lineRule="exact"/>
              <w:rPr>
                <w:sz w:val="22"/>
              </w:rPr>
            </w:pPr>
            <w:r>
              <w:rPr>
                <w:sz w:val="22"/>
              </w:rPr>
              <w:t>corresponden</w:t>
              <w:tab/>
              <w:t>al</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Timilpan.</w:t>
            </w:r>
          </w:p>
        </w:tc>
        <w:tc>
          <w:tcPr>
            <w:tcW w:w="1985" w:type="dxa"/>
            <w:tcBorders>
              <w:top w:val="nil"/>
              <w:bottom w:val="nil"/>
            </w:tcBorders>
          </w:tcPr>
          <w:p>
            <w:pPr>
              <w:pStyle w:val="TableParagraph"/>
              <w:tabs>
                <w:tab w:pos="1626" w:val="left" w:leader="none"/>
              </w:tabs>
              <w:spacing w:line="241" w:lineRule="exact"/>
              <w:rPr>
                <w:sz w:val="22"/>
              </w:rPr>
            </w:pPr>
            <w:r>
              <w:rPr>
                <w:sz w:val="22"/>
              </w:rPr>
              <w:t>municipio</w:t>
              <w:tab/>
              <w:t>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703" w:val="left" w:leader="none"/>
              </w:tabs>
              <w:spacing w:line="243" w:lineRule="exact"/>
              <w:rPr>
                <w:sz w:val="22"/>
              </w:rPr>
            </w:pPr>
            <w:r>
              <w:rPr>
                <w:sz w:val="22"/>
              </w:rPr>
              <w:t>Timilpan,</w:t>
              <w:tab/>
              <w:t>le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959" w:val="left" w:leader="none"/>
                <w:tab w:pos="1383" w:val="left" w:leader="none"/>
              </w:tabs>
              <w:spacing w:line="241" w:lineRule="exact"/>
              <w:rPr>
                <w:sz w:val="22"/>
              </w:rPr>
            </w:pPr>
            <w:r>
              <w:rPr>
                <w:sz w:val="22"/>
              </w:rPr>
              <w:t>quitan</w:t>
              <w:tab/>
              <w:t>al</w:t>
              <w:tab/>
              <w:t>Ejido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866" w:val="left" w:leader="none"/>
                <w:tab w:pos="1384" w:val="left" w:leader="none"/>
              </w:tabs>
              <w:spacing w:line="242" w:lineRule="exact"/>
              <w:rPr>
                <w:sz w:val="22"/>
              </w:rPr>
            </w:pPr>
            <w:r>
              <w:rPr>
                <w:sz w:val="22"/>
              </w:rPr>
              <w:t>500</w:t>
              <w:tab/>
              <w:t>ó</w:t>
              <w:tab/>
              <w:t>1000</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434" w:val="left" w:leader="none"/>
              </w:tabs>
              <w:spacing w:line="241" w:lineRule="exact"/>
              <w:rPr>
                <w:sz w:val="22"/>
              </w:rPr>
            </w:pPr>
            <w:r>
              <w:rPr>
                <w:sz w:val="22"/>
              </w:rPr>
              <w:t>hectáreas</w:t>
              <w:tab/>
              <w:t>para</w:t>
            </w:r>
          </w:p>
        </w:tc>
      </w:tr>
      <w:tr>
        <w:trPr>
          <w:trHeight w:val="502"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uso de la laguna.</w:t>
            </w:r>
          </w:p>
        </w:tc>
      </w:tr>
    </w:tbl>
    <w:p>
      <w:pPr>
        <w:spacing w:after="0" w:line="24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66" w:hRule="exact"/>
        </w:trPr>
        <w:tc>
          <w:tcPr>
            <w:tcW w:w="1385" w:type="dxa"/>
            <w:vMerge w:val="restart"/>
          </w:tcPr>
          <w:p>
            <w:pPr/>
          </w:p>
        </w:tc>
        <w:tc>
          <w:tcPr>
            <w:tcW w:w="1418" w:type="dxa"/>
            <w:vMerge w:val="restart"/>
          </w:tcPr>
          <w:p>
            <w:pPr/>
          </w:p>
        </w:tc>
        <w:tc>
          <w:tcPr>
            <w:tcW w:w="1417" w:type="dxa"/>
            <w:vMerge w:val="restart"/>
          </w:tcPr>
          <w:p>
            <w:pPr/>
          </w:p>
        </w:tc>
        <w:tc>
          <w:tcPr>
            <w:tcW w:w="1560" w:type="dxa"/>
            <w:vMerge w:val="restart"/>
          </w:tcPr>
          <w:p>
            <w:pPr/>
          </w:p>
        </w:tc>
        <w:tc>
          <w:tcPr>
            <w:tcW w:w="991" w:type="dxa"/>
            <w:vMerge w:val="restart"/>
          </w:tcPr>
          <w:p>
            <w:pPr/>
          </w:p>
        </w:tc>
        <w:tc>
          <w:tcPr>
            <w:tcW w:w="1277" w:type="dxa"/>
            <w:vMerge w:val="restart"/>
          </w:tcPr>
          <w:p>
            <w:pPr/>
          </w:p>
        </w:tc>
        <w:tc>
          <w:tcPr>
            <w:tcW w:w="1133" w:type="dxa"/>
            <w:vMerge w:val="restart"/>
          </w:tcPr>
          <w:p>
            <w:pPr/>
          </w:p>
        </w:tc>
        <w:tc>
          <w:tcPr>
            <w:tcW w:w="1702" w:type="dxa"/>
            <w:tcBorders>
              <w:bottom w:val="nil"/>
            </w:tcBorders>
          </w:tcPr>
          <w:p>
            <w:pPr>
              <w:pStyle w:val="TableParagraph"/>
              <w:spacing w:line="251" w:lineRule="exact"/>
              <w:rPr>
                <w:sz w:val="22"/>
              </w:rPr>
            </w:pPr>
            <w:r>
              <w:rPr>
                <w:sz w:val="22"/>
              </w:rPr>
              <w:t>Otro  problema</w:t>
            </w:r>
          </w:p>
        </w:tc>
        <w:tc>
          <w:tcPr>
            <w:tcW w:w="1985" w:type="dxa"/>
            <w:tcBorders>
              <w:bottom w:val="nil"/>
            </w:tcBorders>
          </w:tcPr>
          <w:p>
            <w:pPr>
              <w:pStyle w:val="TableParagraph"/>
              <w:tabs>
                <w:tab w:pos="1105" w:val="left" w:leader="none"/>
                <w:tab w:pos="1640" w:val="left" w:leader="none"/>
              </w:tabs>
              <w:spacing w:line="251" w:lineRule="exact"/>
              <w:rPr>
                <w:sz w:val="22"/>
              </w:rPr>
            </w:pPr>
            <w:r>
              <w:rPr>
                <w:sz w:val="22"/>
              </w:rPr>
              <w:t>Porque</w:t>
              <w:tab/>
              <w:t>no</w:t>
              <w:tab/>
              <w:t>se</w:t>
            </w: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418" w:val="left" w:leader="none"/>
              </w:tabs>
              <w:spacing w:line="241" w:lineRule="exact"/>
              <w:rPr>
                <w:sz w:val="22"/>
              </w:rPr>
            </w:pPr>
            <w:r>
              <w:rPr>
                <w:sz w:val="22"/>
              </w:rPr>
              <w:t>es</w:t>
              <w:tab/>
              <w:t>la</w:t>
            </w:r>
          </w:p>
        </w:tc>
        <w:tc>
          <w:tcPr>
            <w:tcW w:w="1985" w:type="dxa"/>
            <w:tcBorders>
              <w:top w:val="nil"/>
              <w:bottom w:val="nil"/>
            </w:tcBorders>
          </w:tcPr>
          <w:p>
            <w:pPr>
              <w:pStyle w:val="TableParagraph"/>
              <w:tabs>
                <w:tab w:pos="1014" w:val="left" w:leader="none"/>
                <w:tab w:pos="1592" w:val="left" w:leader="none"/>
              </w:tabs>
              <w:spacing w:line="241" w:lineRule="exact"/>
              <w:rPr>
                <w:sz w:val="22"/>
              </w:rPr>
            </w:pPr>
            <w:r>
              <w:rPr>
                <w:sz w:val="22"/>
              </w:rPr>
              <w:t>trata</w:t>
              <w:tab/>
              <w:t>y</w:t>
              <w:tab/>
              <w:t>los</w:t>
            </w: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contaminación</w:t>
            </w:r>
          </w:p>
        </w:tc>
        <w:tc>
          <w:tcPr>
            <w:tcW w:w="1985" w:type="dxa"/>
            <w:tcBorders>
              <w:top w:val="nil"/>
              <w:bottom w:val="nil"/>
            </w:tcBorders>
          </w:tcPr>
          <w:p>
            <w:pPr>
              <w:pStyle w:val="TableParagraph"/>
              <w:spacing w:line="242" w:lineRule="exact"/>
              <w:rPr>
                <w:sz w:val="22"/>
              </w:rPr>
            </w:pPr>
            <w:r>
              <w:rPr>
                <w:sz w:val="22"/>
              </w:rPr>
              <w:t>municipios  no  se</w:t>
            </w: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por  descargas</w:t>
            </w:r>
          </w:p>
        </w:tc>
        <w:tc>
          <w:tcPr>
            <w:tcW w:w="1985" w:type="dxa"/>
            <w:tcBorders>
              <w:top w:val="nil"/>
              <w:bottom w:val="nil"/>
            </w:tcBorders>
          </w:tcPr>
          <w:p>
            <w:pPr>
              <w:pStyle w:val="TableParagraph"/>
              <w:spacing w:line="241" w:lineRule="exact"/>
              <w:rPr>
                <w:sz w:val="22"/>
              </w:rPr>
            </w:pPr>
            <w:r>
              <w:rPr>
                <w:sz w:val="22"/>
              </w:rPr>
              <w:t>responsabilizan.</w:t>
            </w: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990" w:val="left" w:leader="none"/>
              </w:tabs>
              <w:spacing w:line="242" w:lineRule="exact"/>
              <w:rPr>
                <w:sz w:val="22"/>
              </w:rPr>
            </w:pPr>
            <w:r>
              <w:rPr>
                <w:sz w:val="22"/>
              </w:rPr>
              <w:t>de</w:t>
              <w:tab/>
              <w:t>aguas</w:t>
            </w:r>
          </w:p>
        </w:tc>
        <w:tc>
          <w:tcPr>
            <w:tcW w:w="1985" w:type="dxa"/>
            <w:tcBorders>
              <w:top w:val="nil"/>
              <w:bottom w:val="nil"/>
            </w:tcBorders>
          </w:tcPr>
          <w:p>
            <w:pPr/>
          </w:p>
        </w:tc>
      </w:tr>
      <w:tr>
        <w:trPr>
          <w:trHeight w:val="252"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346" w:val="left" w:leader="none"/>
              </w:tabs>
              <w:spacing w:line="241" w:lineRule="exact"/>
              <w:rPr>
                <w:sz w:val="22"/>
              </w:rPr>
            </w:pPr>
            <w:r>
              <w:rPr>
                <w:sz w:val="22"/>
              </w:rPr>
              <w:t>residuales</w:t>
              <w:tab/>
              <w:t>de</w:t>
            </w:r>
          </w:p>
        </w:tc>
        <w:tc>
          <w:tcPr>
            <w:tcW w:w="1985" w:type="dxa"/>
            <w:tcBorders>
              <w:top w:val="nil"/>
              <w:bottom w:val="nil"/>
            </w:tcBorders>
          </w:tcPr>
          <w:p>
            <w:pPr/>
          </w:p>
        </w:tc>
      </w:tr>
      <w:tr>
        <w:trPr>
          <w:trHeight w:val="380"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tipo doméstico</w:t>
            </w:r>
          </w:p>
        </w:tc>
        <w:tc>
          <w:tcPr>
            <w:tcW w:w="1985" w:type="dxa"/>
            <w:tcBorders>
              <w:top w:val="nil"/>
              <w:bottom w:val="nil"/>
            </w:tcBorders>
          </w:tcPr>
          <w:p>
            <w:pPr/>
          </w:p>
        </w:tc>
      </w:tr>
      <w:tr>
        <w:trPr>
          <w:trHeight w:val="381"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before="115"/>
              <w:rPr>
                <w:sz w:val="22"/>
              </w:rPr>
            </w:pPr>
            <w:r>
              <w:rPr>
                <w:sz w:val="22"/>
              </w:rPr>
              <w:t>Además existe</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868" w:val="left" w:leader="none"/>
              </w:tabs>
              <w:spacing w:line="242" w:lineRule="exact"/>
              <w:rPr>
                <w:sz w:val="22"/>
              </w:rPr>
            </w:pPr>
            <w:r>
              <w:rPr>
                <w:sz w:val="22"/>
              </w:rPr>
              <w:t>una</w:t>
              <w:tab/>
              <w:t>cacería</w:t>
            </w:r>
          </w:p>
        </w:tc>
        <w:tc>
          <w:tcPr>
            <w:tcW w:w="1985" w:type="dxa"/>
            <w:tcBorders>
              <w:top w:val="nil"/>
              <w:bottom w:val="nil"/>
            </w:tcBorders>
          </w:tcPr>
          <w:p>
            <w:pPr/>
          </w:p>
        </w:tc>
      </w:tr>
      <w:tr>
        <w:trPr>
          <w:trHeight w:val="252"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295" w:val="left" w:leader="none"/>
              </w:tabs>
              <w:spacing w:line="241" w:lineRule="exact"/>
              <w:rPr>
                <w:sz w:val="22"/>
              </w:rPr>
            </w:pPr>
            <w:r>
              <w:rPr>
                <w:sz w:val="22"/>
              </w:rPr>
              <w:t>inhumana</w:t>
              <w:tab/>
              <w:t>del</w:t>
            </w:r>
          </w:p>
        </w:tc>
        <w:tc>
          <w:tcPr>
            <w:tcW w:w="1985" w:type="dxa"/>
            <w:tcBorders>
              <w:top w:val="nil"/>
              <w:bottom w:val="nil"/>
            </w:tcBorders>
          </w:tcPr>
          <w:p>
            <w:pPr/>
          </w:p>
        </w:tc>
      </w:tr>
      <w:tr>
        <w:trPr>
          <w:trHeight w:val="250"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tcBorders>
          </w:tcPr>
          <w:p>
            <w:pPr>
              <w:pStyle w:val="TableParagraph"/>
              <w:spacing w:line="241" w:lineRule="exact"/>
              <w:rPr>
                <w:sz w:val="22"/>
              </w:rPr>
            </w:pPr>
            <w:r>
              <w:rPr>
                <w:sz w:val="22"/>
              </w:rPr>
              <w:t>pato.</w:t>
            </w: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2702" w:right="397"/>
      </w:pPr>
      <w:r>
        <w:rPr/>
        <w:t>Tabla 6.7. Comisariados Ejidales (trabajo de campo)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2"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417" w:type="dxa"/>
            <w:tcBorders>
              <w:bottom w:val="nil"/>
            </w:tcBorders>
            <w:shd w:val="clear" w:color="auto" w:fill="F9BE8F"/>
          </w:tcPr>
          <w:p>
            <w:pPr>
              <w:pStyle w:val="TableParagraph"/>
              <w:spacing w:line="249" w:lineRule="exact"/>
              <w:ind w:left="100"/>
              <w:rPr>
                <w:b/>
                <w:sz w:val="22"/>
              </w:rPr>
            </w:pPr>
            <w:r>
              <w:rPr>
                <w:b/>
                <w:sz w:val="22"/>
              </w:rPr>
              <w:t>Cargo</w:t>
            </w:r>
          </w:p>
        </w:tc>
        <w:tc>
          <w:tcPr>
            <w:tcW w:w="1560" w:type="dxa"/>
            <w:tcBorders>
              <w:bottom w:val="nil"/>
            </w:tcBorders>
            <w:shd w:val="clear" w:color="auto" w:fill="F9BE8F"/>
          </w:tcPr>
          <w:p>
            <w:pPr>
              <w:pStyle w:val="TableParagraph"/>
              <w:spacing w:line="249" w:lineRule="exact"/>
              <w:ind w:right="143"/>
              <w:rPr>
                <w:b/>
                <w:sz w:val="22"/>
              </w:rPr>
            </w:pPr>
            <w:r>
              <w:rPr>
                <w:b/>
                <w:sz w:val="22"/>
              </w:rPr>
              <w:t>Núcleos</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9" w:lineRule="exact"/>
              <w:rPr>
                <w:b/>
                <w:sz w:val="22"/>
              </w:rPr>
            </w:pPr>
            <w:r>
              <w:rPr>
                <w:b/>
                <w:sz w:val="22"/>
              </w:rPr>
              <w:t>¿Qué</w:t>
            </w:r>
          </w:p>
        </w:tc>
        <w:tc>
          <w:tcPr>
            <w:tcW w:w="1985" w:type="dxa"/>
            <w:tcBorders>
              <w:bottom w:val="nil"/>
            </w:tcBorders>
            <w:shd w:val="clear" w:color="auto" w:fill="92CDDC"/>
          </w:tcPr>
          <w:p>
            <w:pPr>
              <w:pStyle w:val="TableParagraph"/>
              <w:spacing w:line="249" w:lineRule="exact"/>
              <w:rPr>
                <w:b/>
                <w:sz w:val="22"/>
              </w:rPr>
            </w:pPr>
            <w:r>
              <w:rPr>
                <w:b/>
                <w:sz w:val="22"/>
              </w:rPr>
              <w:t>¿Quiénes</w:t>
            </w:r>
            <w:r>
              <w:rPr>
                <w:b/>
                <w:spacing w:val="58"/>
                <w:sz w:val="22"/>
              </w:rPr>
              <w:t> </w:t>
            </w:r>
            <w:r>
              <w:rPr>
                <w:b/>
                <w:sz w:val="22"/>
              </w:rPr>
              <w:t>deben</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2" w:lineRule="exact"/>
              <w:ind w:left="100" w:right="101"/>
              <w:rPr>
                <w:b/>
                <w:sz w:val="22"/>
              </w:rPr>
            </w:pPr>
            <w:r>
              <w:rPr>
                <w:b/>
                <w:sz w:val="22"/>
              </w:rPr>
              <w:t>es</w:t>
            </w: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2" w:lineRule="exact"/>
              <w:ind w:right="118"/>
              <w:rPr>
                <w:b/>
                <w:sz w:val="22"/>
              </w:rPr>
            </w:pPr>
            <w:r>
              <w:rPr>
                <w:b/>
                <w:sz w:val="22"/>
              </w:rPr>
              <w:t>Ejidales que</w:t>
            </w:r>
          </w:p>
        </w:tc>
        <w:tc>
          <w:tcPr>
            <w:tcW w:w="991" w:type="dxa"/>
            <w:tcBorders>
              <w:top w:val="nil"/>
              <w:bottom w:val="nil"/>
            </w:tcBorders>
            <w:shd w:val="clear" w:color="auto" w:fill="F9BE8F"/>
          </w:tcPr>
          <w:p>
            <w:pPr>
              <w:pStyle w:val="TableParagraph"/>
              <w:spacing w:line="242"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2"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2"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2" w:lineRule="exact"/>
              <w:rPr>
                <w:b/>
                <w:sz w:val="22"/>
              </w:rPr>
            </w:pPr>
            <w:r>
              <w:rPr>
                <w:b/>
                <w:sz w:val="22"/>
              </w:rPr>
              <w:t>solución</w:t>
            </w:r>
          </w:p>
        </w:tc>
        <w:tc>
          <w:tcPr>
            <w:tcW w:w="1985" w:type="dxa"/>
            <w:tcBorders>
              <w:top w:val="nil"/>
              <w:bottom w:val="nil"/>
            </w:tcBorders>
            <w:shd w:val="clear" w:color="auto" w:fill="92CDDC"/>
          </w:tcPr>
          <w:p>
            <w:pPr>
              <w:pStyle w:val="TableParagraph"/>
              <w:tabs>
                <w:tab w:pos="1554" w:val="left" w:leader="none"/>
              </w:tabs>
              <w:spacing w:line="242" w:lineRule="exact"/>
              <w:rPr>
                <w:b/>
                <w:sz w:val="22"/>
              </w:rPr>
            </w:pPr>
            <w:r>
              <w:rPr>
                <w:b/>
                <w:sz w:val="22"/>
              </w:rPr>
              <w:t>solucionar</w:t>
              <w:tab/>
              <w:t>los</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1" w:lineRule="exact"/>
              <w:ind w:right="143"/>
              <w:rPr>
                <w:b/>
                <w:sz w:val="22"/>
              </w:rPr>
            </w:pPr>
            <w:r>
              <w:rPr>
                <w:b/>
                <w:sz w:val="22"/>
              </w:rPr>
              <w:t>representa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propone  para</w:t>
            </w:r>
          </w:p>
        </w:tc>
        <w:tc>
          <w:tcPr>
            <w:tcW w:w="1985" w:type="dxa"/>
            <w:tcBorders>
              <w:top w:val="nil"/>
              <w:bottom w:val="nil"/>
            </w:tcBorders>
            <w:shd w:val="clear" w:color="auto" w:fill="92CDDC"/>
          </w:tcPr>
          <w:p>
            <w:pPr>
              <w:pStyle w:val="TableParagraph"/>
              <w:spacing w:line="241" w:lineRule="exact"/>
              <w:rPr>
                <w:b/>
                <w:sz w:val="22"/>
              </w:rPr>
            </w:pPr>
            <w:r>
              <w:rPr>
                <w:b/>
                <w:sz w:val="22"/>
              </w:rPr>
              <w:t>problemas  de 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los</w:t>
            </w:r>
          </w:p>
        </w:tc>
        <w:tc>
          <w:tcPr>
            <w:tcW w:w="1985" w:type="dxa"/>
            <w:tcBorders>
              <w:top w:val="nil"/>
              <w:bottom w:val="nil"/>
            </w:tcBorders>
            <w:shd w:val="clear" w:color="auto" w:fill="92CDDC"/>
          </w:tcPr>
          <w:p>
            <w:pPr>
              <w:pStyle w:val="TableParagraph"/>
              <w:spacing w:line="242" w:lineRule="exact"/>
              <w:rPr>
                <w:b/>
                <w:sz w:val="22"/>
              </w:rPr>
            </w:pPr>
            <w:r>
              <w:rPr>
                <w:b/>
                <w:sz w:val="22"/>
              </w:rPr>
              <w:t>laguna</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problemas</w:t>
            </w:r>
            <w:r>
              <w:rPr>
                <w:b/>
                <w:spacing w:val="56"/>
                <w:sz w:val="22"/>
              </w:rPr>
              <w:t> </w:t>
            </w:r>
            <w:r>
              <w:rPr>
                <w:b/>
                <w:sz w:val="22"/>
              </w:rPr>
              <w:t>de</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880" w:val="left" w:leader="none"/>
              </w:tabs>
              <w:spacing w:line="241" w:lineRule="exact"/>
              <w:rPr>
                <w:b/>
                <w:sz w:val="22"/>
              </w:rPr>
            </w:pPr>
            <w:r>
              <w:rPr>
                <w:b/>
                <w:sz w:val="22"/>
              </w:rPr>
              <w:t>la</w:t>
              <w:tab/>
              <w:t>laguna</w:t>
            </w:r>
          </w:p>
        </w:tc>
        <w:tc>
          <w:tcPr>
            <w:tcW w:w="1985" w:type="dxa"/>
            <w:tcBorders>
              <w:top w:val="nil"/>
              <w:bottom w:val="nil"/>
            </w:tcBorders>
            <w:shd w:val="clear" w:color="auto" w:fill="92CDDC"/>
          </w:tcPr>
          <w:p>
            <w:pPr/>
          </w:p>
        </w:tc>
      </w:tr>
      <w:tr>
        <w:trPr>
          <w:trHeight w:val="251"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417" w:type="dxa"/>
            <w:tcBorders>
              <w:top w:val="nil"/>
            </w:tcBorders>
            <w:shd w:val="clear" w:color="auto" w:fill="F9BE8F"/>
          </w:tcPr>
          <w:p>
            <w:pPr/>
          </w:p>
        </w:tc>
        <w:tc>
          <w:tcPr>
            <w:tcW w:w="1560"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2" w:lineRule="exact"/>
              <w:rPr>
                <w:b/>
                <w:sz w:val="22"/>
              </w:rPr>
            </w:pPr>
            <w:r>
              <w:rPr>
                <w:b/>
                <w:sz w:val="22"/>
              </w:rPr>
              <w:t>Huapango?</w:t>
            </w:r>
          </w:p>
        </w:tc>
        <w:tc>
          <w:tcPr>
            <w:tcW w:w="1985"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Reynaldo</w:t>
            </w:r>
          </w:p>
        </w:tc>
        <w:tc>
          <w:tcPr>
            <w:tcW w:w="1418" w:type="dxa"/>
            <w:tcBorders>
              <w:bottom w:val="nil"/>
            </w:tcBorders>
          </w:tcPr>
          <w:p>
            <w:pPr>
              <w:pStyle w:val="TableParagraph"/>
              <w:spacing w:line="251" w:lineRule="exact"/>
              <w:ind w:left="100" w:right="101"/>
              <w:rPr>
                <w:sz w:val="22"/>
              </w:rPr>
            </w:pPr>
            <w:r>
              <w:rPr>
                <w:sz w:val="22"/>
              </w:rPr>
              <w:t>Comisariad</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Las Arenas</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spacing w:line="251" w:lineRule="exact"/>
              <w:rPr>
                <w:sz w:val="22"/>
              </w:rPr>
            </w:pPr>
            <w:r>
              <w:rPr>
                <w:sz w:val="22"/>
              </w:rPr>
              <w:t>Estos</w:t>
            </w:r>
          </w:p>
        </w:tc>
        <w:tc>
          <w:tcPr>
            <w:tcW w:w="1985" w:type="dxa"/>
            <w:tcBorders>
              <w:bottom w:val="nil"/>
            </w:tcBorders>
          </w:tcPr>
          <w:p>
            <w:pPr>
              <w:pStyle w:val="TableParagraph"/>
              <w:tabs>
                <w:tab w:pos="1336" w:val="left" w:leader="none"/>
              </w:tabs>
              <w:spacing w:line="251" w:lineRule="exact"/>
              <w:rPr>
                <w:sz w:val="22"/>
              </w:rPr>
            </w:pPr>
            <w:r>
              <w:rPr>
                <w:sz w:val="22"/>
              </w:rPr>
              <w:t>Nosotros</w:t>
              <w:tab/>
              <w:t>como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Sandoval</w:t>
            </w:r>
          </w:p>
        </w:tc>
        <w:tc>
          <w:tcPr>
            <w:tcW w:w="1418" w:type="dxa"/>
            <w:tcBorders>
              <w:top w:val="nil"/>
              <w:bottom w:val="nil"/>
            </w:tcBorders>
          </w:tcPr>
          <w:p>
            <w:pPr>
              <w:pStyle w:val="TableParagraph"/>
              <w:spacing w:line="242" w:lineRule="exact"/>
              <w:ind w:left="100" w:right="101"/>
              <w:rPr>
                <w:sz w:val="22"/>
              </w:rPr>
            </w:pPr>
            <w:r>
              <w:rPr>
                <w:sz w:val="22"/>
              </w:rPr>
              <w:t>o Ejidal y</w:t>
            </w:r>
          </w:p>
        </w:tc>
        <w:tc>
          <w:tcPr>
            <w:tcW w:w="1417" w:type="dxa"/>
            <w:tcBorders>
              <w:top w:val="nil"/>
              <w:bottom w:val="nil"/>
            </w:tcBorders>
          </w:tcPr>
          <w:p>
            <w:pPr>
              <w:pStyle w:val="TableParagraph"/>
              <w:spacing w:line="242"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2" w:lineRule="exact"/>
              <w:ind w:left="100"/>
              <w:rPr>
                <w:sz w:val="22"/>
              </w:rPr>
            </w:pPr>
            <w:r>
              <w:rPr>
                <w:sz w:val="22"/>
              </w:rPr>
              <w:t>ay</w:t>
            </w:r>
          </w:p>
        </w:tc>
        <w:tc>
          <w:tcPr>
            <w:tcW w:w="1277" w:type="dxa"/>
            <w:tcBorders>
              <w:top w:val="nil"/>
              <w:bottom w:val="nil"/>
            </w:tcBorders>
          </w:tcPr>
          <w:p>
            <w:pPr>
              <w:pStyle w:val="TableParagraph"/>
              <w:spacing w:line="242" w:lineRule="exact"/>
              <w:ind w:right="92"/>
              <w:rPr>
                <w:sz w:val="22"/>
              </w:rPr>
            </w:pPr>
            <w:r>
              <w:rPr>
                <w:sz w:val="22"/>
              </w:rPr>
              <w:t>Arenas,</w:t>
            </w:r>
          </w:p>
        </w:tc>
        <w:tc>
          <w:tcPr>
            <w:tcW w:w="1133" w:type="dxa"/>
            <w:tcBorders>
              <w:top w:val="nil"/>
              <w:bottom w:val="nil"/>
            </w:tcBorders>
          </w:tcPr>
          <w:p>
            <w:pPr>
              <w:pStyle w:val="TableParagraph"/>
              <w:spacing w:line="242" w:lineRule="exact"/>
              <w:ind w:left="100" w:right="52"/>
              <w:rPr>
                <w:sz w:val="22"/>
              </w:rPr>
            </w:pPr>
            <w:r>
              <w:rPr>
                <w:sz w:val="22"/>
              </w:rPr>
              <w:t>Arenas,</w:t>
            </w:r>
          </w:p>
        </w:tc>
        <w:tc>
          <w:tcPr>
            <w:tcW w:w="1702" w:type="dxa"/>
            <w:tcBorders>
              <w:top w:val="nil"/>
              <w:bottom w:val="nil"/>
            </w:tcBorders>
          </w:tcPr>
          <w:p>
            <w:pPr>
              <w:pStyle w:val="TableParagraph"/>
              <w:spacing w:line="242" w:lineRule="exact"/>
              <w:rPr>
                <w:sz w:val="22"/>
              </w:rPr>
            </w:pPr>
            <w:r>
              <w:rPr>
                <w:sz w:val="22"/>
              </w:rPr>
              <w:t>problemas</w:t>
            </w:r>
          </w:p>
        </w:tc>
        <w:tc>
          <w:tcPr>
            <w:tcW w:w="1985" w:type="dxa"/>
            <w:tcBorders>
              <w:top w:val="nil"/>
              <w:bottom w:val="nil"/>
            </w:tcBorders>
          </w:tcPr>
          <w:p>
            <w:pPr>
              <w:pStyle w:val="TableParagraph"/>
              <w:spacing w:line="242" w:lineRule="exact"/>
              <w:rPr>
                <w:sz w:val="22"/>
              </w:rPr>
            </w:pPr>
            <w:r>
              <w:rPr>
                <w:sz w:val="22"/>
              </w:rPr>
              <w:t>autoridad</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Director del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Acambay</w:t>
            </w:r>
          </w:p>
        </w:tc>
        <w:tc>
          <w:tcPr>
            <w:tcW w:w="1702" w:type="dxa"/>
            <w:tcBorders>
              <w:top w:val="nil"/>
              <w:bottom w:val="nil"/>
            </w:tcBorders>
          </w:tcPr>
          <w:p>
            <w:pPr>
              <w:pStyle w:val="TableParagraph"/>
              <w:spacing w:line="241" w:lineRule="exact"/>
              <w:rPr>
                <w:sz w:val="22"/>
              </w:rPr>
            </w:pPr>
            <w:r>
              <w:rPr>
                <w:sz w:val="22"/>
              </w:rPr>
              <w:t>pudieran</w:t>
            </w:r>
          </w:p>
        </w:tc>
        <w:tc>
          <w:tcPr>
            <w:tcW w:w="1985" w:type="dxa"/>
            <w:tcBorders>
              <w:top w:val="nil"/>
              <w:bottom w:val="nil"/>
            </w:tcBorders>
          </w:tcPr>
          <w:p>
            <w:pPr>
              <w:pStyle w:val="TableParagraph"/>
              <w:tabs>
                <w:tab w:pos="1703" w:val="left" w:leader="none"/>
              </w:tabs>
              <w:spacing w:line="241" w:lineRule="exact"/>
              <w:rPr>
                <w:sz w:val="22"/>
              </w:rPr>
            </w:pPr>
            <w:r>
              <w:rPr>
                <w:sz w:val="22"/>
              </w:rPr>
              <w:t>tenemos</w:t>
              <w:tab/>
              <w:t>la</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(21/I/2014)</w:t>
            </w:r>
          </w:p>
        </w:tc>
        <w:tc>
          <w:tcPr>
            <w:tcW w:w="1418" w:type="dxa"/>
            <w:tcBorders>
              <w:top w:val="nil"/>
              <w:bottom w:val="nil"/>
            </w:tcBorders>
          </w:tcPr>
          <w:p>
            <w:pPr>
              <w:pStyle w:val="TableParagraph"/>
              <w:spacing w:line="243" w:lineRule="exact"/>
              <w:ind w:left="100" w:right="101"/>
              <w:rPr>
                <w:sz w:val="22"/>
              </w:rPr>
            </w:pPr>
            <w:r>
              <w:rPr>
                <w:sz w:val="22"/>
              </w:rPr>
              <w:t>Medio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solucionarse</w:t>
            </w:r>
          </w:p>
        </w:tc>
        <w:tc>
          <w:tcPr>
            <w:tcW w:w="1985" w:type="dxa"/>
            <w:tcBorders>
              <w:top w:val="nil"/>
              <w:bottom w:val="nil"/>
            </w:tcBorders>
          </w:tcPr>
          <w:p>
            <w:pPr>
              <w:pStyle w:val="TableParagraph"/>
              <w:spacing w:line="243" w:lineRule="exact"/>
              <w:rPr>
                <w:sz w:val="22"/>
              </w:rPr>
            </w:pPr>
            <w:r>
              <w:rPr>
                <w:sz w:val="22"/>
              </w:rPr>
              <w:t>responsabilidad</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Ambiente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46" w:val="left" w:leader="none"/>
              </w:tabs>
              <w:spacing w:line="241" w:lineRule="exact"/>
              <w:rPr>
                <w:sz w:val="22"/>
              </w:rPr>
            </w:pPr>
            <w:r>
              <w:rPr>
                <w:sz w:val="22"/>
              </w:rPr>
              <w:t>con</w:t>
              <w:tab/>
              <w:t>nosotros</w:t>
            </w:r>
          </w:p>
        </w:tc>
        <w:tc>
          <w:tcPr>
            <w:tcW w:w="1985" w:type="dxa"/>
            <w:tcBorders>
              <w:top w:val="nil"/>
              <w:bottom w:val="nil"/>
            </w:tcBorders>
          </w:tcPr>
          <w:p>
            <w:pPr>
              <w:pStyle w:val="TableParagraph"/>
              <w:spacing w:line="241" w:lineRule="exact"/>
              <w:rPr>
                <w:sz w:val="22"/>
              </w:rPr>
            </w:pPr>
            <w:r>
              <w:rPr>
                <w:sz w:val="22"/>
              </w:rPr>
              <w:t>de   hacerlo </w:t>
            </w:r>
            <w:r>
              <w:rPr>
                <w:spacing w:val="55"/>
                <w:sz w:val="22"/>
              </w:rPr>
              <w:t> </w:t>
            </w:r>
            <w:r>
              <w:rPr>
                <w:sz w:val="22"/>
              </w:rPr>
              <w:t>para</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en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como</w:t>
            </w:r>
          </w:p>
        </w:tc>
        <w:tc>
          <w:tcPr>
            <w:tcW w:w="1985" w:type="dxa"/>
            <w:tcBorders>
              <w:top w:val="nil"/>
              <w:bottom w:val="nil"/>
            </w:tcBorders>
          </w:tcPr>
          <w:p>
            <w:pPr>
              <w:pStyle w:val="TableParagraph"/>
              <w:tabs>
                <w:tab w:pos="904" w:val="left" w:leader="none"/>
              </w:tabs>
              <w:spacing w:line="241" w:lineRule="exact"/>
              <w:rPr>
                <w:sz w:val="22"/>
              </w:rPr>
            </w:pPr>
            <w:r>
              <w:rPr>
                <w:sz w:val="22"/>
              </w:rPr>
              <w:t>cuidar</w:t>
              <w:tab/>
              <w:t>el  </w:t>
            </w:r>
            <w:r>
              <w:rPr>
                <w:spacing w:val="13"/>
                <w:sz w:val="22"/>
              </w:rPr>
              <w:t> </w:t>
            </w:r>
            <w:r>
              <w:rPr>
                <w:sz w:val="22"/>
              </w:rPr>
              <w:t>medio</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Acambay</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comunidad</w:t>
            </w:r>
          </w:p>
        </w:tc>
        <w:tc>
          <w:tcPr>
            <w:tcW w:w="1985" w:type="dxa"/>
            <w:tcBorders>
              <w:top w:val="nil"/>
              <w:bottom w:val="nil"/>
            </w:tcBorders>
          </w:tcPr>
          <w:p>
            <w:pPr>
              <w:pStyle w:val="TableParagraph"/>
              <w:spacing w:line="242" w:lineRule="exact"/>
              <w:rPr>
                <w:sz w:val="22"/>
              </w:rPr>
            </w:pPr>
            <w:r>
              <w:rPr>
                <w:sz w:val="22"/>
              </w:rPr>
              <w:t>ambiente.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91" w:val="left" w:leader="none"/>
                <w:tab w:pos="1417" w:val="left" w:leader="none"/>
              </w:tabs>
              <w:spacing w:line="241" w:lineRule="exact"/>
              <w:rPr>
                <w:sz w:val="22"/>
              </w:rPr>
            </w:pPr>
            <w:r>
              <w:rPr>
                <w:sz w:val="22"/>
              </w:rPr>
              <w:t>aledaña</w:t>
              <w:tab/>
              <w:t>a</w:t>
              <w:tab/>
              <w:t>la</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laguna,</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033"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tabs>
                <w:tab w:pos="758" w:val="left" w:leader="none"/>
              </w:tabs>
              <w:ind w:right="98"/>
              <w:rPr>
                <w:sz w:val="22"/>
              </w:rPr>
            </w:pPr>
            <w:r>
              <w:rPr>
                <w:sz w:val="22"/>
              </w:rPr>
              <w:t>debiéramos gestionar plantas tratadoras para</w:t>
              <w:tab/>
              <w:t>después verter el agua en milpas de sembradío.</w:t>
            </w:r>
          </w:p>
        </w:tc>
        <w:tc>
          <w:tcPr>
            <w:tcW w:w="1985" w:type="dxa"/>
          </w:tcPr>
          <w:p>
            <w:pPr/>
          </w:p>
        </w:tc>
      </w:tr>
      <w:tr>
        <w:trPr>
          <w:trHeight w:val="1649" w:hRule="exact"/>
        </w:trPr>
        <w:tc>
          <w:tcPr>
            <w:tcW w:w="1385" w:type="dxa"/>
          </w:tcPr>
          <w:p>
            <w:pPr>
              <w:pStyle w:val="TableParagraph"/>
              <w:ind w:right="188"/>
              <w:rPr>
                <w:sz w:val="22"/>
              </w:rPr>
            </w:pPr>
            <w:r>
              <w:rPr>
                <w:sz w:val="22"/>
              </w:rPr>
              <w:t>Juan García Jiménez (12/I/2014)</w:t>
            </w:r>
          </w:p>
        </w:tc>
        <w:tc>
          <w:tcPr>
            <w:tcW w:w="1418" w:type="dxa"/>
          </w:tcPr>
          <w:p>
            <w:pPr>
              <w:pStyle w:val="TableParagraph"/>
              <w:ind w:left="100" w:right="176"/>
              <w:rPr>
                <w:sz w:val="22"/>
              </w:rPr>
            </w:pPr>
            <w:r>
              <w:rPr>
                <w:sz w:val="22"/>
              </w:rPr>
              <w:t>Comisariad o Ejidal y campesino</w:t>
            </w:r>
          </w:p>
        </w:tc>
        <w:tc>
          <w:tcPr>
            <w:tcW w:w="1417" w:type="dxa"/>
          </w:tcPr>
          <w:p>
            <w:pPr>
              <w:pStyle w:val="TableParagraph"/>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Huapango</w:t>
            </w:r>
          </w:p>
        </w:tc>
        <w:tc>
          <w:tcPr>
            <w:tcW w:w="991" w:type="dxa"/>
          </w:tcPr>
          <w:p>
            <w:pPr>
              <w:pStyle w:val="TableParagraph"/>
              <w:ind w:left="100" w:right="152"/>
              <w:rPr>
                <w:sz w:val="22"/>
              </w:rPr>
            </w:pPr>
            <w:r>
              <w:rPr>
                <w:sz w:val="22"/>
              </w:rPr>
              <w:t>Timilpa n</w:t>
            </w:r>
          </w:p>
        </w:tc>
        <w:tc>
          <w:tcPr>
            <w:tcW w:w="1277" w:type="dxa"/>
          </w:tcPr>
          <w:p>
            <w:pPr>
              <w:pStyle w:val="TableParagraph"/>
              <w:spacing w:line="251" w:lineRule="exact"/>
              <w:ind w:right="92"/>
              <w:rPr>
                <w:sz w:val="22"/>
              </w:rPr>
            </w:pPr>
            <w:r>
              <w:rPr>
                <w:sz w:val="22"/>
              </w:rPr>
              <w:t>Huapango</w:t>
            </w:r>
          </w:p>
          <w:p>
            <w:pPr>
              <w:pStyle w:val="TableParagraph"/>
              <w:spacing w:before="1"/>
              <w:ind w:right="92"/>
              <w:rPr>
                <w:sz w:val="22"/>
              </w:rPr>
            </w:pPr>
            <w:r>
              <w:rPr>
                <w:sz w:val="22"/>
              </w:rPr>
              <w:t>, Timilpan</w:t>
            </w:r>
          </w:p>
        </w:tc>
        <w:tc>
          <w:tcPr>
            <w:tcW w:w="1133" w:type="dxa"/>
          </w:tcPr>
          <w:p>
            <w:pPr>
              <w:pStyle w:val="TableParagraph"/>
              <w:ind w:left="100" w:right="110"/>
              <w:rPr>
                <w:sz w:val="22"/>
              </w:rPr>
            </w:pPr>
            <w:r>
              <w:rPr>
                <w:sz w:val="22"/>
              </w:rPr>
              <w:t>Huapang o, Timilpan</w:t>
            </w:r>
          </w:p>
        </w:tc>
        <w:tc>
          <w:tcPr>
            <w:tcW w:w="1702" w:type="dxa"/>
          </w:tcPr>
          <w:p>
            <w:pPr>
              <w:pStyle w:val="TableParagraph"/>
              <w:tabs>
                <w:tab w:pos="794" w:val="left" w:leader="none"/>
              </w:tabs>
              <w:ind w:right="98"/>
              <w:rPr>
                <w:sz w:val="22"/>
              </w:rPr>
            </w:pPr>
            <w:r>
              <w:rPr>
                <w:sz w:val="22"/>
              </w:rPr>
              <w:t>Poniéndonos de</w:t>
              <w:tab/>
              <w:t>acuerdo entre autoridades.</w:t>
            </w:r>
          </w:p>
        </w:tc>
        <w:tc>
          <w:tcPr>
            <w:tcW w:w="1985" w:type="dxa"/>
          </w:tcPr>
          <w:p>
            <w:pPr>
              <w:pStyle w:val="TableParagraph"/>
              <w:spacing w:line="251" w:lineRule="exact"/>
              <w:rPr>
                <w:sz w:val="22"/>
              </w:rPr>
            </w:pPr>
            <w:r>
              <w:rPr>
                <w:sz w:val="22"/>
              </w:rPr>
              <w:t>Las autoridades.</w:t>
            </w:r>
          </w:p>
        </w:tc>
      </w:tr>
      <w:tr>
        <w:trPr>
          <w:trHeight w:val="267" w:hRule="exact"/>
        </w:trPr>
        <w:tc>
          <w:tcPr>
            <w:tcW w:w="1385" w:type="dxa"/>
            <w:tcBorders>
              <w:bottom w:val="nil"/>
            </w:tcBorders>
          </w:tcPr>
          <w:p>
            <w:pPr>
              <w:pStyle w:val="TableParagraph"/>
              <w:spacing w:line="251" w:lineRule="exact"/>
              <w:ind w:right="127"/>
              <w:rPr>
                <w:sz w:val="22"/>
              </w:rPr>
            </w:pPr>
            <w:r>
              <w:rPr>
                <w:sz w:val="22"/>
              </w:rPr>
              <w:t>Francisco</w:t>
            </w:r>
          </w:p>
        </w:tc>
        <w:tc>
          <w:tcPr>
            <w:tcW w:w="1418" w:type="dxa"/>
            <w:tcBorders>
              <w:bottom w:val="nil"/>
            </w:tcBorders>
          </w:tcPr>
          <w:p>
            <w:pPr>
              <w:pStyle w:val="TableParagraph"/>
              <w:spacing w:line="251" w:lineRule="exact"/>
              <w:ind w:left="100" w:right="101"/>
              <w:rPr>
                <w:sz w:val="22"/>
              </w:rPr>
            </w:pPr>
            <w:r>
              <w:rPr>
                <w:sz w:val="22"/>
              </w:rPr>
              <w:t>Comisariad</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Aldama</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Estos</w:t>
            </w:r>
          </w:p>
        </w:tc>
        <w:tc>
          <w:tcPr>
            <w:tcW w:w="1985" w:type="dxa"/>
            <w:tcBorders>
              <w:bottom w:val="nil"/>
            </w:tcBorders>
          </w:tcPr>
          <w:p>
            <w:pPr>
              <w:pStyle w:val="TableParagraph"/>
              <w:spacing w:line="251" w:lineRule="exact"/>
              <w:rPr>
                <w:sz w:val="22"/>
              </w:rPr>
            </w:pPr>
            <w:r>
              <w:rPr>
                <w:sz w:val="22"/>
              </w:rPr>
              <w:t>Los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Reyes</w:t>
            </w:r>
          </w:p>
        </w:tc>
        <w:tc>
          <w:tcPr>
            <w:tcW w:w="1418" w:type="dxa"/>
            <w:tcBorders>
              <w:top w:val="nil"/>
              <w:bottom w:val="nil"/>
            </w:tcBorders>
          </w:tcPr>
          <w:p>
            <w:pPr>
              <w:pStyle w:val="TableParagraph"/>
              <w:tabs>
                <w:tab w:pos="438" w:val="left" w:leader="none"/>
                <w:tab w:pos="1191" w:val="left" w:leader="none"/>
              </w:tabs>
              <w:spacing w:line="242" w:lineRule="exact"/>
              <w:ind w:left="100"/>
              <w:rPr>
                <w:sz w:val="22"/>
              </w:rPr>
            </w:pPr>
            <w:r>
              <w:rPr>
                <w:sz w:val="22"/>
              </w:rPr>
              <w:t>o</w:t>
              <w:tab/>
              <w:t>Ejidal</w:t>
              <w:tab/>
              <w:t>y</w:t>
            </w:r>
          </w:p>
        </w:tc>
        <w:tc>
          <w:tcPr>
            <w:tcW w:w="1417" w:type="dxa"/>
            <w:tcBorders>
              <w:top w:val="nil"/>
              <w:bottom w:val="nil"/>
            </w:tcBorders>
          </w:tcPr>
          <w:p>
            <w:pPr>
              <w:pStyle w:val="TableParagraph"/>
              <w:spacing w:line="242"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2" w:lineRule="exact"/>
              <w:ind w:left="100"/>
              <w:rPr>
                <w:sz w:val="22"/>
              </w:rPr>
            </w:pPr>
            <w:r>
              <w:rPr>
                <w:w w:val="100"/>
                <w:sz w:val="22"/>
              </w:rPr>
              <w:t>c</w:t>
            </w:r>
          </w:p>
        </w:tc>
        <w:tc>
          <w:tcPr>
            <w:tcW w:w="1277" w:type="dxa"/>
            <w:tcBorders>
              <w:top w:val="nil"/>
              <w:bottom w:val="nil"/>
            </w:tcBorders>
          </w:tcPr>
          <w:p>
            <w:pPr>
              <w:pStyle w:val="TableParagraph"/>
              <w:spacing w:line="242" w:lineRule="exact"/>
              <w:ind w:right="92"/>
              <w:rPr>
                <w:sz w:val="22"/>
              </w:rPr>
            </w:pPr>
            <w:r>
              <w:rPr>
                <w:sz w:val="22"/>
              </w:rPr>
              <w:t>Jilotepec</w:t>
            </w:r>
          </w:p>
        </w:tc>
        <w:tc>
          <w:tcPr>
            <w:tcW w:w="1133" w:type="dxa"/>
            <w:tcBorders>
              <w:top w:val="nil"/>
              <w:bottom w:val="nil"/>
            </w:tcBorders>
          </w:tcPr>
          <w:p>
            <w:pPr>
              <w:pStyle w:val="TableParagraph"/>
              <w:spacing w:line="242" w:lineRule="exact"/>
              <w:ind w:left="100" w:right="52"/>
              <w:rPr>
                <w:sz w:val="22"/>
              </w:rPr>
            </w:pPr>
            <w:r>
              <w:rPr>
                <w:sz w:val="22"/>
              </w:rPr>
              <w:t>Saltillo,</w:t>
            </w:r>
          </w:p>
        </w:tc>
        <w:tc>
          <w:tcPr>
            <w:tcW w:w="1702" w:type="dxa"/>
            <w:tcBorders>
              <w:top w:val="nil"/>
              <w:bottom w:val="nil"/>
            </w:tcBorders>
          </w:tcPr>
          <w:p>
            <w:pPr>
              <w:pStyle w:val="TableParagraph"/>
              <w:spacing w:line="242" w:lineRule="exact"/>
              <w:rPr>
                <w:sz w:val="22"/>
              </w:rPr>
            </w:pPr>
            <w:r>
              <w:rPr>
                <w:sz w:val="22"/>
              </w:rPr>
              <w:t>problemas</w:t>
            </w:r>
          </w:p>
        </w:tc>
        <w:tc>
          <w:tcPr>
            <w:tcW w:w="1985" w:type="dxa"/>
            <w:tcBorders>
              <w:top w:val="nil"/>
              <w:bottom w:val="nil"/>
            </w:tcBorders>
          </w:tcPr>
          <w:p>
            <w:pPr>
              <w:pStyle w:val="TableParagraph"/>
              <w:spacing w:line="242" w:lineRule="exact"/>
              <w:rPr>
                <w:sz w:val="22"/>
              </w:rPr>
            </w:pPr>
            <w:r>
              <w:rPr>
                <w:sz w:val="22"/>
              </w:rPr>
              <w:t>Ayuntamientos,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Huitrón</w:t>
            </w:r>
          </w:p>
        </w:tc>
        <w:tc>
          <w:tcPr>
            <w:tcW w:w="1418" w:type="dxa"/>
            <w:tcBorders>
              <w:top w:val="nil"/>
              <w:bottom w:val="nil"/>
            </w:tcBorders>
          </w:tcPr>
          <w:p>
            <w:pPr>
              <w:pStyle w:val="TableParagraph"/>
              <w:spacing w:line="241" w:lineRule="exact"/>
              <w:ind w:left="100" w:right="101"/>
              <w:rPr>
                <w:sz w:val="22"/>
              </w:rPr>
            </w:pPr>
            <w:r>
              <w:rPr>
                <w:sz w:val="22"/>
              </w:rPr>
              <w:t>Subdirector</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Style w:val="TableParagraph"/>
              <w:spacing w:line="241" w:lineRule="exact"/>
              <w:rPr>
                <w:sz w:val="22"/>
              </w:rPr>
            </w:pPr>
            <w:r>
              <w:rPr>
                <w:sz w:val="22"/>
              </w:rPr>
              <w:t>pueden</w:t>
            </w:r>
          </w:p>
        </w:tc>
        <w:tc>
          <w:tcPr>
            <w:tcW w:w="1985" w:type="dxa"/>
            <w:tcBorders>
              <w:top w:val="nil"/>
              <w:bottom w:val="nil"/>
            </w:tcBorders>
          </w:tcPr>
          <w:p>
            <w:pPr>
              <w:pStyle w:val="TableParagraph"/>
              <w:spacing w:line="241" w:lineRule="exact"/>
              <w:rPr>
                <w:sz w:val="22"/>
              </w:rPr>
            </w:pPr>
            <w:r>
              <w:rPr>
                <w:sz w:val="22"/>
              </w:rPr>
              <w:t>principalmente</w:t>
            </w:r>
          </w:p>
        </w:tc>
      </w:tr>
      <w:tr>
        <w:trPr>
          <w:trHeight w:val="253" w:hRule="exact"/>
        </w:trPr>
        <w:tc>
          <w:tcPr>
            <w:tcW w:w="1385" w:type="dxa"/>
            <w:tcBorders>
              <w:top w:val="nil"/>
              <w:bottom w:val="nil"/>
            </w:tcBorders>
          </w:tcPr>
          <w:p>
            <w:pPr>
              <w:pStyle w:val="TableParagraph"/>
              <w:spacing w:line="242" w:lineRule="exact"/>
              <w:rPr>
                <w:sz w:val="22"/>
              </w:rPr>
            </w:pPr>
            <w:r>
              <w:rPr>
                <w:sz w:val="22"/>
              </w:rPr>
              <w:t>(17/7/2014)</w:t>
            </w:r>
          </w:p>
        </w:tc>
        <w:tc>
          <w:tcPr>
            <w:tcW w:w="1418" w:type="dxa"/>
            <w:tcBorders>
              <w:top w:val="nil"/>
              <w:bottom w:val="nil"/>
            </w:tcBorders>
          </w:tcPr>
          <w:p>
            <w:pPr>
              <w:pStyle w:val="TableParagraph"/>
              <w:spacing w:line="242" w:lineRule="exact"/>
              <w:ind w:left="100" w:right="101"/>
              <w:rPr>
                <w:sz w:val="22"/>
              </w:rPr>
            </w:pPr>
            <w:r>
              <w:rPr>
                <w:sz w:val="22"/>
              </w:rPr>
              <w:t>de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solucionarse</w:t>
            </w:r>
          </w:p>
        </w:tc>
        <w:tc>
          <w:tcPr>
            <w:tcW w:w="1985" w:type="dxa"/>
            <w:tcBorders>
              <w:top w:val="nil"/>
              <w:bottom w:val="nil"/>
            </w:tcBorders>
          </w:tcPr>
          <w:p>
            <w:pPr>
              <w:pStyle w:val="TableParagraph"/>
              <w:tabs>
                <w:tab w:pos="842" w:val="left" w:leader="none"/>
                <w:tab w:pos="1504" w:val="left" w:leader="none"/>
              </w:tabs>
              <w:spacing w:line="242" w:lineRule="exact"/>
              <w:rPr>
                <w:sz w:val="22"/>
              </w:rPr>
            </w:pPr>
            <w:r>
              <w:rPr>
                <w:sz w:val="22"/>
              </w:rPr>
              <w:t>son</w:t>
              <w:tab/>
              <w:t>los</w:t>
              <w:tab/>
              <w:t>que</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Participació</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con una planta</w:t>
            </w:r>
          </w:p>
        </w:tc>
        <w:tc>
          <w:tcPr>
            <w:tcW w:w="1985" w:type="dxa"/>
            <w:tcBorders>
              <w:top w:val="nil"/>
              <w:bottom w:val="nil"/>
            </w:tcBorders>
          </w:tcPr>
          <w:p>
            <w:pPr>
              <w:pStyle w:val="TableParagraph"/>
              <w:spacing w:line="241" w:lineRule="exact"/>
              <w:rPr>
                <w:sz w:val="22"/>
              </w:rPr>
            </w:pPr>
            <w:r>
              <w:rPr>
                <w:sz w:val="22"/>
              </w:rPr>
              <w:t>deberían</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Pr>
                <w:sz w:val="22"/>
              </w:rPr>
            </w:pPr>
            <w:r>
              <w:rPr>
                <w:w w:val="100"/>
                <w:sz w:val="22"/>
              </w:rPr>
              <w:t>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5" w:val="left" w:leader="none"/>
              </w:tabs>
              <w:spacing w:line="241" w:lineRule="exact"/>
              <w:rPr>
                <w:sz w:val="22"/>
              </w:rPr>
            </w:pPr>
            <w:r>
              <w:rPr>
                <w:sz w:val="22"/>
              </w:rPr>
              <w:t>tratadora</w:t>
              <w:tab/>
              <w:t>en</w:t>
            </w:r>
          </w:p>
        </w:tc>
        <w:tc>
          <w:tcPr>
            <w:tcW w:w="1985" w:type="dxa"/>
            <w:tcBorders>
              <w:top w:val="nil"/>
              <w:bottom w:val="nil"/>
            </w:tcBorders>
          </w:tcPr>
          <w:p>
            <w:pPr>
              <w:pStyle w:val="TableParagraph"/>
              <w:tabs>
                <w:tab w:pos="1348" w:val="left" w:leader="none"/>
              </w:tabs>
              <w:spacing w:line="241" w:lineRule="exact"/>
              <w:rPr>
                <w:sz w:val="22"/>
              </w:rPr>
            </w:pPr>
            <w:r>
              <w:rPr>
                <w:sz w:val="22"/>
              </w:rPr>
              <w:t>solucionar</w:t>
              <w:tab/>
              <w:t>estos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Ciudadana</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2" w:lineRule="exact"/>
              <w:rPr>
                <w:sz w:val="22"/>
              </w:rPr>
            </w:pPr>
            <w:r>
              <w:rPr>
                <w:sz w:val="22"/>
              </w:rPr>
              <w:t>Timilpan,</w:t>
              <w:tab/>
              <w:t>ya</w:t>
            </w:r>
          </w:p>
        </w:tc>
        <w:tc>
          <w:tcPr>
            <w:tcW w:w="1985" w:type="dxa"/>
            <w:tcBorders>
              <w:top w:val="nil"/>
              <w:bottom w:val="nil"/>
            </w:tcBorders>
          </w:tcPr>
          <w:p>
            <w:pPr>
              <w:pStyle w:val="TableParagraph"/>
              <w:spacing w:line="242" w:lineRule="exact"/>
              <w:rPr>
                <w:sz w:val="22"/>
              </w:rPr>
            </w:pPr>
            <w:r>
              <w:rPr>
                <w:sz w:val="22"/>
              </w:rPr>
              <w:t>problemas   y   un</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Pr>
                <w:sz w:val="22"/>
              </w:rPr>
            </w:pPr>
            <w:r>
              <w:rPr>
                <w:sz w:val="22"/>
              </w:rPr>
              <w:t>y  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35" w:val="left" w:leader="none"/>
              </w:tabs>
              <w:spacing w:line="241" w:lineRule="exact"/>
              <w:rPr>
                <w:sz w:val="22"/>
              </w:rPr>
            </w:pPr>
            <w:r>
              <w:rPr>
                <w:sz w:val="22"/>
              </w:rPr>
              <w:t>hablaron</w:t>
              <w:tab/>
              <w:t>con</w:t>
            </w:r>
          </w:p>
        </w:tc>
        <w:tc>
          <w:tcPr>
            <w:tcW w:w="1985" w:type="dxa"/>
            <w:tcBorders>
              <w:top w:val="nil"/>
              <w:bottom w:val="nil"/>
            </w:tcBorders>
          </w:tcPr>
          <w:p>
            <w:pPr>
              <w:pStyle w:val="TableParagraph"/>
              <w:tabs>
                <w:tab w:pos="1151" w:val="left" w:leader="none"/>
              </w:tabs>
              <w:spacing w:line="241" w:lineRule="exact"/>
              <w:rPr>
                <w:sz w:val="22"/>
              </w:rPr>
            </w:pPr>
            <w:r>
              <w:rPr>
                <w:sz w:val="22"/>
              </w:rPr>
              <w:t>proyecto</w:t>
              <w:tab/>
              <w:t>integral</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tabs>
                <w:tab w:pos="1132" w:val="left" w:leader="none"/>
              </w:tabs>
              <w:spacing w:line="242" w:lineRule="exact"/>
              <w:ind w:left="100"/>
              <w:rPr>
                <w:sz w:val="22"/>
              </w:rPr>
            </w:pPr>
            <w:r>
              <w:rPr>
                <w:sz w:val="22"/>
              </w:rPr>
              <w:t>en</w:t>
              <w:tab/>
              <w:t>el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97" w:val="left" w:leader="none"/>
              </w:tabs>
              <w:spacing w:line="242" w:lineRule="exact"/>
              <w:rPr>
                <w:sz w:val="22"/>
              </w:rPr>
            </w:pPr>
            <w:r>
              <w:rPr>
                <w:sz w:val="22"/>
              </w:rPr>
              <w:t>el</w:t>
              <w:tab/>
              <w:t>municipio,</w:t>
            </w:r>
          </w:p>
        </w:tc>
        <w:tc>
          <w:tcPr>
            <w:tcW w:w="1985" w:type="dxa"/>
            <w:tcBorders>
              <w:top w:val="nil"/>
              <w:bottom w:val="nil"/>
            </w:tcBorders>
          </w:tcPr>
          <w:p>
            <w:pPr>
              <w:pStyle w:val="TableParagraph"/>
              <w:spacing w:line="242" w:lineRule="exact"/>
              <w:rPr>
                <w:sz w:val="22"/>
              </w:rPr>
            </w:pPr>
            <w:r>
              <w:rPr>
                <w:sz w:val="22"/>
              </w:rPr>
              <w:t>federal.</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municipio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67" w:val="left" w:leader="none"/>
                <w:tab w:pos="1235" w:val="left" w:leader="none"/>
              </w:tabs>
              <w:spacing w:line="241" w:lineRule="exact"/>
              <w:rPr>
                <w:sz w:val="22"/>
              </w:rPr>
            </w:pPr>
            <w:r>
              <w:rPr>
                <w:sz w:val="22"/>
              </w:rPr>
              <w:t>pero</w:t>
              <w:tab/>
              <w:t>no</w:t>
              <w:tab/>
              <w:t>hay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Pr>
                <w:sz w:val="22"/>
              </w:rPr>
            </w:pPr>
            <w:r>
              <w:rPr>
                <w:sz w:val="22"/>
              </w:rPr>
              <w:t>de Jilotepec</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79" w:val="left" w:leader="none"/>
                <w:tab w:pos="1417" w:val="left" w:leader="none"/>
              </w:tabs>
              <w:spacing w:line="242" w:lineRule="exact"/>
              <w:rPr>
                <w:sz w:val="22"/>
              </w:rPr>
            </w:pPr>
            <w:r>
              <w:rPr>
                <w:sz w:val="22"/>
              </w:rPr>
              <w:t>manera</w:t>
              <w:tab/>
              <w:t>y</w:t>
              <w:tab/>
              <w:t>el</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rancho</w:t>
              <w:tab/>
              <w:t>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Aldama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debieran</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clausurarlo.</w:t>
            </w: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Cipriano</w:t>
            </w:r>
          </w:p>
        </w:tc>
        <w:tc>
          <w:tcPr>
            <w:tcW w:w="1418" w:type="dxa"/>
            <w:tcBorders>
              <w:bottom w:val="nil"/>
            </w:tcBorders>
          </w:tcPr>
          <w:p>
            <w:pPr>
              <w:pStyle w:val="TableParagraph"/>
              <w:spacing w:line="251" w:lineRule="exact"/>
              <w:ind w:left="151" w:right="101"/>
              <w:rPr>
                <w:sz w:val="22"/>
              </w:rPr>
            </w:pPr>
            <w:r>
              <w:rPr>
                <w:sz w:val="22"/>
              </w:rPr>
              <w:t>Agricultor y</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San Martín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San</w:t>
            </w:r>
          </w:p>
        </w:tc>
        <w:tc>
          <w:tcPr>
            <w:tcW w:w="1702" w:type="dxa"/>
            <w:tcBorders>
              <w:bottom w:val="nil"/>
            </w:tcBorders>
          </w:tcPr>
          <w:p>
            <w:pPr>
              <w:pStyle w:val="TableParagraph"/>
              <w:tabs>
                <w:tab w:pos="964" w:val="left" w:leader="none"/>
              </w:tabs>
              <w:spacing w:line="251" w:lineRule="exact"/>
              <w:rPr>
                <w:sz w:val="22"/>
              </w:rPr>
            </w:pPr>
            <w:r>
              <w:rPr>
                <w:sz w:val="22"/>
              </w:rPr>
              <w:t>El</w:t>
              <w:tab/>
              <w:t>primer</w:t>
            </w:r>
          </w:p>
        </w:tc>
        <w:tc>
          <w:tcPr>
            <w:tcW w:w="1985" w:type="dxa"/>
            <w:tcBorders>
              <w:bottom w:val="nil"/>
            </w:tcBorders>
          </w:tcPr>
          <w:p>
            <w:pPr>
              <w:pStyle w:val="TableParagraph"/>
              <w:spacing w:line="251" w:lineRule="exact"/>
              <w:rPr>
                <w:sz w:val="22"/>
              </w:rPr>
            </w:pPr>
            <w:r>
              <w:rPr>
                <w:sz w:val="22"/>
              </w:rPr>
              <w:t>Quienes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Matías</w:t>
            </w:r>
          </w:p>
        </w:tc>
        <w:tc>
          <w:tcPr>
            <w:tcW w:w="1418" w:type="dxa"/>
            <w:tcBorders>
              <w:top w:val="nil"/>
              <w:bottom w:val="nil"/>
            </w:tcBorders>
          </w:tcPr>
          <w:p>
            <w:pPr>
              <w:pStyle w:val="TableParagraph"/>
              <w:spacing w:line="241" w:lineRule="exact"/>
              <w:ind w:left="102" w:right="104"/>
              <w:jc w:val="center"/>
              <w:rPr>
                <w:sz w:val="22"/>
              </w:rPr>
            </w:pPr>
            <w:r>
              <w:rPr>
                <w:sz w:val="22"/>
              </w:rPr>
              <w:t>la</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Martín,</w:t>
            </w:r>
          </w:p>
        </w:tc>
        <w:tc>
          <w:tcPr>
            <w:tcW w:w="1133" w:type="dxa"/>
            <w:tcBorders>
              <w:top w:val="nil"/>
              <w:bottom w:val="nil"/>
            </w:tcBorders>
          </w:tcPr>
          <w:p>
            <w:pPr>
              <w:pStyle w:val="TableParagraph"/>
              <w:spacing w:line="241" w:lineRule="exact"/>
              <w:ind w:left="100" w:right="52"/>
              <w:rPr>
                <w:sz w:val="22"/>
              </w:rPr>
            </w:pPr>
            <w:r>
              <w:rPr>
                <w:sz w:val="22"/>
              </w:rPr>
              <w:t>Martín,</w:t>
            </w:r>
          </w:p>
        </w:tc>
        <w:tc>
          <w:tcPr>
            <w:tcW w:w="1702" w:type="dxa"/>
            <w:tcBorders>
              <w:top w:val="nil"/>
              <w:bottom w:val="nil"/>
            </w:tcBorders>
          </w:tcPr>
          <w:p>
            <w:pPr>
              <w:pStyle w:val="TableParagraph"/>
              <w:spacing w:line="241" w:lineRule="exact"/>
              <w:rPr>
                <w:sz w:val="22"/>
              </w:rPr>
            </w:pPr>
            <w:r>
              <w:rPr>
                <w:sz w:val="22"/>
              </w:rPr>
              <w:t>problema</w:t>
            </w:r>
          </w:p>
        </w:tc>
        <w:tc>
          <w:tcPr>
            <w:tcW w:w="1985" w:type="dxa"/>
            <w:tcBorders>
              <w:top w:val="nil"/>
              <w:bottom w:val="nil"/>
            </w:tcBorders>
          </w:tcPr>
          <w:p>
            <w:pPr>
              <w:pStyle w:val="TableParagraph"/>
              <w:spacing w:line="241" w:lineRule="exact"/>
              <w:rPr>
                <w:sz w:val="22"/>
              </w:rPr>
            </w:pPr>
            <w:r>
              <w:rPr>
                <w:sz w:val="22"/>
              </w:rPr>
              <w:t>debiéramos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Juan</w:t>
            </w:r>
          </w:p>
        </w:tc>
        <w:tc>
          <w:tcPr>
            <w:tcW w:w="1418" w:type="dxa"/>
            <w:tcBorders>
              <w:top w:val="nil"/>
              <w:bottom w:val="nil"/>
            </w:tcBorders>
          </w:tcPr>
          <w:p>
            <w:pPr>
              <w:pStyle w:val="TableParagraph"/>
              <w:spacing w:line="242" w:lineRule="exact"/>
              <w:ind w:left="144" w:right="101"/>
              <w:rPr>
                <w:sz w:val="22"/>
              </w:rPr>
            </w:pPr>
            <w:r>
              <w:rPr>
                <w:sz w:val="22"/>
              </w:rPr>
              <w:t>construcció</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Aculco</w:t>
            </w:r>
          </w:p>
        </w:tc>
        <w:tc>
          <w:tcPr>
            <w:tcW w:w="1133" w:type="dxa"/>
            <w:tcBorders>
              <w:top w:val="nil"/>
              <w:bottom w:val="nil"/>
            </w:tcBorders>
          </w:tcPr>
          <w:p>
            <w:pPr>
              <w:pStyle w:val="TableParagraph"/>
              <w:spacing w:line="242" w:lineRule="exact"/>
              <w:ind w:left="100" w:right="52"/>
              <w:rPr>
                <w:sz w:val="22"/>
              </w:rPr>
            </w:pPr>
            <w:r>
              <w:rPr>
                <w:sz w:val="22"/>
              </w:rPr>
              <w:t>Aculco</w:t>
            </w:r>
          </w:p>
        </w:tc>
        <w:tc>
          <w:tcPr>
            <w:tcW w:w="1702" w:type="dxa"/>
            <w:tcBorders>
              <w:top w:val="nil"/>
              <w:bottom w:val="nil"/>
            </w:tcBorders>
          </w:tcPr>
          <w:p>
            <w:pPr>
              <w:pStyle w:val="TableParagraph"/>
              <w:spacing w:line="242" w:lineRule="exact"/>
              <w:rPr>
                <w:sz w:val="22"/>
              </w:rPr>
            </w:pPr>
            <w:r>
              <w:rPr>
                <w:sz w:val="22"/>
              </w:rPr>
              <w:t>podría</w:t>
            </w:r>
          </w:p>
        </w:tc>
        <w:tc>
          <w:tcPr>
            <w:tcW w:w="1985" w:type="dxa"/>
            <w:tcBorders>
              <w:top w:val="nil"/>
              <w:bottom w:val="nil"/>
            </w:tcBorders>
          </w:tcPr>
          <w:p>
            <w:pPr>
              <w:pStyle w:val="TableParagraph"/>
              <w:tabs>
                <w:tab w:pos="1593" w:val="left" w:leader="none"/>
              </w:tabs>
              <w:spacing w:line="242" w:lineRule="exact"/>
              <w:rPr>
                <w:sz w:val="22"/>
              </w:rPr>
            </w:pPr>
            <w:r>
              <w:rPr>
                <w:sz w:val="22"/>
              </w:rPr>
              <w:t>solucionar</w:t>
              <w:tab/>
              <w:t>los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(2/8/2014)</w:t>
            </w:r>
          </w:p>
        </w:tc>
        <w:tc>
          <w:tcPr>
            <w:tcW w:w="1418" w:type="dxa"/>
            <w:tcBorders>
              <w:top w:val="nil"/>
              <w:bottom w:val="nil"/>
            </w:tcBorders>
          </w:tcPr>
          <w:p>
            <w:pPr>
              <w:pStyle w:val="TableParagraph"/>
              <w:spacing w:line="241" w:lineRule="exact"/>
              <w:ind w:left="0" w:right="2"/>
              <w:jc w:val="center"/>
              <w:rPr>
                <w:sz w:val="22"/>
              </w:rPr>
            </w:pPr>
            <w:r>
              <w:rPr>
                <w:w w:val="100"/>
                <w:sz w:val="22"/>
              </w:rPr>
              <w:t>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solucionarse</w:t>
            </w:r>
          </w:p>
        </w:tc>
        <w:tc>
          <w:tcPr>
            <w:tcW w:w="1985" w:type="dxa"/>
            <w:tcBorders>
              <w:top w:val="nil"/>
              <w:bottom w:val="nil"/>
            </w:tcBorders>
          </w:tcPr>
          <w:p>
            <w:pPr>
              <w:pStyle w:val="TableParagraph"/>
              <w:spacing w:line="241" w:lineRule="exact"/>
              <w:rPr>
                <w:sz w:val="22"/>
              </w:rPr>
            </w:pPr>
            <w:r>
              <w:rPr>
                <w:sz w:val="22"/>
              </w:rPr>
              <w:t>problemas somos</w:t>
            </w: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con   que  todo</w:t>
            </w:r>
          </w:p>
        </w:tc>
        <w:tc>
          <w:tcPr>
            <w:tcW w:w="1985" w:type="dxa"/>
            <w:tcBorders>
              <w:top w:val="nil"/>
            </w:tcBorders>
          </w:tcPr>
          <w:p>
            <w:pPr>
              <w:pStyle w:val="TableParagraph"/>
              <w:tabs>
                <w:tab w:pos="1115" w:val="left" w:leader="none"/>
              </w:tabs>
              <w:spacing w:line="241" w:lineRule="exact"/>
              <w:rPr>
                <w:sz w:val="22"/>
              </w:rPr>
            </w:pPr>
            <w:r>
              <w:rPr>
                <w:sz w:val="22"/>
              </w:rPr>
              <w:t>los</w:t>
              <w:tab/>
              <w:t>mismos</w:t>
            </w:r>
          </w:p>
        </w:tc>
      </w:tr>
    </w:tbl>
    <w:p>
      <w:pPr>
        <w:spacing w:after="0" w:line="24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4057"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ind w:right="98"/>
              <w:jc w:val="both"/>
              <w:rPr>
                <w:sz w:val="22"/>
              </w:rPr>
            </w:pPr>
            <w:r>
              <w:rPr>
                <w:sz w:val="22"/>
              </w:rPr>
              <w:t>mundo hiciera sus fosas sépticas       de</w:t>
            </w:r>
          </w:p>
          <w:p>
            <w:pPr>
              <w:pStyle w:val="TableParagraph"/>
              <w:tabs>
                <w:tab w:pos="1173" w:val="left" w:leader="none"/>
              </w:tabs>
              <w:spacing w:line="252" w:lineRule="exact"/>
              <w:rPr>
                <w:sz w:val="22"/>
              </w:rPr>
            </w:pPr>
            <w:r>
              <w:rPr>
                <w:sz w:val="22"/>
              </w:rPr>
              <w:t>baños,</w:t>
              <w:tab/>
              <w:t>bien</w:t>
            </w:r>
          </w:p>
          <w:p>
            <w:pPr>
              <w:pStyle w:val="TableParagraph"/>
              <w:tabs>
                <w:tab w:pos="1233" w:val="left" w:leader="none"/>
                <w:tab w:pos="1343" w:val="left" w:leader="none"/>
              </w:tabs>
              <w:spacing w:before="1"/>
              <w:ind w:right="100"/>
              <w:rPr>
                <w:sz w:val="22"/>
              </w:rPr>
            </w:pPr>
            <w:r>
              <w:rPr>
                <w:sz w:val="22"/>
              </w:rPr>
              <w:t>hechas</w:t>
              <w:tab/>
              <w:t>tipo Cuernavaca, allá</w:t>
              <w:tab/>
              <w:tab/>
              <w:t>he</w:t>
            </w:r>
          </w:p>
          <w:p>
            <w:pPr>
              <w:pStyle w:val="TableParagraph"/>
              <w:tabs>
                <w:tab w:pos="1235" w:val="left" w:leader="none"/>
              </w:tabs>
              <w:spacing w:before="1"/>
              <w:ind w:right="98"/>
              <w:jc w:val="both"/>
              <w:rPr>
                <w:sz w:val="22"/>
              </w:rPr>
            </w:pPr>
            <w:r>
              <w:rPr>
                <w:sz w:val="22"/>
              </w:rPr>
              <w:t>trabajado y todos  tienen su biodigestor de</w:t>
              <w:tab/>
              <w:t>dos</w:t>
            </w:r>
          </w:p>
          <w:p>
            <w:pPr>
              <w:pStyle w:val="TableParagraph"/>
              <w:ind w:right="89"/>
              <w:rPr>
                <w:sz w:val="22"/>
              </w:rPr>
            </w:pPr>
            <w:r>
              <w:rPr>
                <w:sz w:val="22"/>
              </w:rPr>
              <w:t>cámaras y el segundo problema sería sólo limpiando la laguna.</w:t>
            </w:r>
          </w:p>
        </w:tc>
        <w:tc>
          <w:tcPr>
            <w:tcW w:w="1985" w:type="dxa"/>
          </w:tcPr>
          <w:p>
            <w:pPr>
              <w:pStyle w:val="TableParagraph"/>
              <w:spacing w:line="251" w:lineRule="exact"/>
              <w:rPr>
                <w:sz w:val="22"/>
              </w:rPr>
            </w:pPr>
            <w:r>
              <w:rPr>
                <w:sz w:val="22"/>
              </w:rPr>
              <w:t>ciudadanos.</w:t>
            </w:r>
          </w:p>
        </w:tc>
      </w:tr>
      <w:tr>
        <w:trPr>
          <w:trHeight w:val="4566" w:hRule="exact"/>
        </w:trPr>
        <w:tc>
          <w:tcPr>
            <w:tcW w:w="1385" w:type="dxa"/>
          </w:tcPr>
          <w:p>
            <w:pPr>
              <w:pStyle w:val="TableParagraph"/>
              <w:rPr>
                <w:sz w:val="22"/>
              </w:rPr>
            </w:pPr>
            <w:r>
              <w:rPr>
                <w:sz w:val="22"/>
              </w:rPr>
              <w:t>Félix Lucas Pablo (3/8/2014)</w:t>
            </w:r>
          </w:p>
        </w:tc>
        <w:tc>
          <w:tcPr>
            <w:tcW w:w="1418" w:type="dxa"/>
          </w:tcPr>
          <w:p>
            <w:pPr>
              <w:pStyle w:val="TableParagraph"/>
              <w:ind w:left="156" w:right="159"/>
              <w:jc w:val="center"/>
              <w:rPr>
                <w:sz w:val="22"/>
              </w:rPr>
            </w:pPr>
            <w:r>
              <w:rPr>
                <w:sz w:val="22"/>
              </w:rPr>
              <w:t>El campo y</w:t>
            </w:r>
            <w:r>
              <w:rPr>
                <w:w w:val="100"/>
                <w:sz w:val="22"/>
              </w:rPr>
              <w:t> </w:t>
            </w:r>
            <w:r>
              <w:rPr>
                <w:sz w:val="22"/>
              </w:rPr>
              <w:t>la     Comisaría</w:t>
            </w:r>
          </w:p>
        </w:tc>
        <w:tc>
          <w:tcPr>
            <w:tcW w:w="1417" w:type="dxa"/>
          </w:tcPr>
          <w:p>
            <w:pPr>
              <w:pStyle w:val="TableParagraph"/>
              <w:ind w:left="100" w:right="174"/>
              <w:rPr>
                <w:sz w:val="22"/>
              </w:rPr>
            </w:pPr>
            <w:r>
              <w:rPr>
                <w:sz w:val="22"/>
              </w:rPr>
              <w:t>Comisariad o Ejidal</w:t>
            </w:r>
          </w:p>
        </w:tc>
        <w:tc>
          <w:tcPr>
            <w:tcW w:w="1560" w:type="dxa"/>
          </w:tcPr>
          <w:p>
            <w:pPr>
              <w:pStyle w:val="TableParagraph"/>
              <w:ind w:right="159"/>
              <w:rPr>
                <w:sz w:val="22"/>
              </w:rPr>
            </w:pPr>
            <w:r>
              <w:rPr>
                <w:sz w:val="22"/>
              </w:rPr>
              <w:t>El Ejido de Timilpan se compone de: El Azafrán (Aculco), Los Pilares (Acambay), Las Arenas (Acambay), Las Trojes (Acambay), Lomas de Emiliano Zapata (Timilpan), La Campesina (Timilpan),</w:t>
            </w:r>
          </w:p>
        </w:tc>
        <w:tc>
          <w:tcPr>
            <w:tcW w:w="991" w:type="dxa"/>
          </w:tcPr>
          <w:p>
            <w:pPr>
              <w:pStyle w:val="TableParagraph"/>
              <w:ind w:left="100" w:right="152"/>
              <w:rPr>
                <w:sz w:val="22"/>
              </w:rPr>
            </w:pPr>
            <w:r>
              <w:rPr>
                <w:sz w:val="22"/>
              </w:rPr>
              <w:t>Acamb ay, Aculco y Timilpa n</w:t>
            </w:r>
          </w:p>
        </w:tc>
        <w:tc>
          <w:tcPr>
            <w:tcW w:w="1277" w:type="dxa"/>
          </w:tcPr>
          <w:p>
            <w:pPr>
              <w:pStyle w:val="TableParagraph"/>
              <w:ind w:right="313"/>
              <w:rPr>
                <w:sz w:val="22"/>
              </w:rPr>
            </w:pPr>
            <w:r>
              <w:rPr>
                <w:sz w:val="22"/>
              </w:rPr>
              <w:t>San Andrés, Timilpan</w:t>
            </w:r>
          </w:p>
        </w:tc>
        <w:tc>
          <w:tcPr>
            <w:tcW w:w="1133" w:type="dxa"/>
          </w:tcPr>
          <w:p>
            <w:pPr>
              <w:pStyle w:val="TableParagraph"/>
              <w:ind w:left="100" w:right="183"/>
              <w:rPr>
                <w:sz w:val="22"/>
              </w:rPr>
            </w:pPr>
            <w:r>
              <w:rPr>
                <w:sz w:val="22"/>
              </w:rPr>
              <w:t>El Azafrán, Aculco</w:t>
            </w:r>
          </w:p>
        </w:tc>
        <w:tc>
          <w:tcPr>
            <w:tcW w:w="1702" w:type="dxa"/>
          </w:tcPr>
          <w:p>
            <w:pPr>
              <w:pStyle w:val="TableParagraph"/>
              <w:tabs>
                <w:tab w:pos="578" w:val="left" w:leader="none"/>
                <w:tab w:pos="683" w:val="left" w:leader="none"/>
                <w:tab w:pos="892" w:val="left" w:leader="none"/>
                <w:tab w:pos="1038" w:val="left" w:leader="none"/>
                <w:tab w:pos="1310" w:val="left" w:leader="none"/>
                <w:tab w:pos="1343" w:val="left" w:leader="none"/>
                <w:tab w:pos="1468" w:val="left" w:leader="none"/>
              </w:tabs>
              <w:ind w:right="98"/>
              <w:rPr>
                <w:sz w:val="22"/>
              </w:rPr>
            </w:pPr>
            <w:r>
              <w:rPr>
                <w:sz w:val="22"/>
              </w:rPr>
              <w:t>No se sabe a quién</w:t>
              <w:tab/>
              <w:tab/>
              <w:t>recurrir porque</w:t>
              <w:tab/>
              <w:tab/>
              <w:tab/>
              <w:tab/>
              <w:t>de acuerdo a los convenios</w:t>
              <w:tab/>
              <w:tab/>
              <w:t>de las haciendas, nadamás vemos</w:t>
              <w:tab/>
              <w:tab/>
              <w:t>pasar el agua de la laguna y no se aprovecha, por eso</w:t>
              <w:tab/>
              <w:tab/>
              <w:t>debemos hacer</w:t>
              <w:tab/>
              <w:tab/>
              <w:tab/>
              <w:tab/>
              <w:tab/>
              <w:t>un replanteamient o para tomar en</w:t>
              <w:tab/>
              <w:t>cuenta</w:t>
              <w:tab/>
              <w:tab/>
              <w:tab/>
              <w:t>a todas</w:t>
              <w:tab/>
              <w:tab/>
              <w:tab/>
              <w:tab/>
              <w:t>las</w:t>
            </w:r>
          </w:p>
          <w:p>
            <w:pPr>
              <w:pStyle w:val="TableParagraph"/>
              <w:tabs>
                <w:tab w:pos="1220" w:val="left" w:leader="none"/>
              </w:tabs>
              <w:spacing w:before="1"/>
              <w:rPr>
                <w:sz w:val="22"/>
              </w:rPr>
            </w:pPr>
            <w:r>
              <w:rPr>
                <w:sz w:val="22"/>
              </w:rPr>
              <w:t>partes</w:t>
              <w:tab/>
              <w:t>que</w:t>
            </w:r>
          </w:p>
        </w:tc>
        <w:tc>
          <w:tcPr>
            <w:tcW w:w="1985" w:type="dxa"/>
          </w:tcPr>
          <w:p>
            <w:pPr>
              <w:pStyle w:val="TableParagraph"/>
              <w:tabs>
                <w:tab w:pos="707" w:val="left" w:leader="none"/>
                <w:tab w:pos="1274" w:val="left" w:leader="none"/>
                <w:tab w:pos="1626" w:val="left" w:leader="none"/>
                <w:tab w:pos="1752" w:val="left" w:leader="none"/>
              </w:tabs>
              <w:ind w:right="98"/>
              <w:rPr>
                <w:sz w:val="22"/>
              </w:rPr>
            </w:pPr>
            <w:r>
              <w:rPr>
                <w:sz w:val="22"/>
              </w:rPr>
              <w:t>Para resolver los problemas debemos implementar una responsabilidad para actuar, hay que incluir a los tres</w:t>
              <w:tab/>
              <w:t>niveles</w:t>
              <w:tab/>
              <w:t>de gobierno y a la misma sociedad, propagandizar</w:t>
              <w:tab/>
              <w:tab/>
              <w:t>a la sociedad con proyectos</w:t>
              <w:tab/>
              <w:tab/>
              <w:t>de cuidar el agua  y el</w:t>
              <w:tab/>
              <w:tab/>
              <w:t>medio</w:t>
            </w:r>
          </w:p>
          <w:p>
            <w:pPr>
              <w:pStyle w:val="TableParagraph"/>
              <w:spacing w:before="1"/>
              <w:rPr>
                <w:sz w:val="22"/>
              </w:rPr>
            </w:pPr>
            <w:r>
              <w:rPr>
                <w:sz w:val="22"/>
              </w:rPr>
              <w:t>ambiente.</w:t>
            </w:r>
          </w:p>
        </w:tc>
      </w:tr>
    </w:tbl>
    <w:p>
      <w:pPr>
        <w:spacing w:after="0"/>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5322" w:hRule="exact"/>
        </w:trPr>
        <w:tc>
          <w:tcPr>
            <w:tcW w:w="1385" w:type="dxa"/>
          </w:tcPr>
          <w:p>
            <w:pPr/>
          </w:p>
        </w:tc>
        <w:tc>
          <w:tcPr>
            <w:tcW w:w="1418" w:type="dxa"/>
          </w:tcPr>
          <w:p>
            <w:pPr/>
          </w:p>
        </w:tc>
        <w:tc>
          <w:tcPr>
            <w:tcW w:w="1417" w:type="dxa"/>
          </w:tcPr>
          <w:p>
            <w:pPr/>
          </w:p>
        </w:tc>
        <w:tc>
          <w:tcPr>
            <w:tcW w:w="1560" w:type="dxa"/>
          </w:tcPr>
          <w:p>
            <w:pPr>
              <w:pStyle w:val="TableParagraph"/>
              <w:ind w:right="118"/>
              <w:rPr>
                <w:sz w:val="22"/>
              </w:rPr>
            </w:pPr>
            <w:r>
              <w:rPr>
                <w:sz w:val="22"/>
              </w:rPr>
              <w:t>Pueblo de Zaragoza (Timilpan), Barrio de Morelos (Timilpan), Montes de Bucio (Timilpan), pero hay un conflicto social porque desde 1958 se dividió El Ejido y una parte lo tiene Santa María Las Arenas, aunque esa parte está en conflicto.</w:t>
            </w:r>
          </w:p>
        </w:tc>
        <w:tc>
          <w:tcPr>
            <w:tcW w:w="991" w:type="dxa"/>
          </w:tcPr>
          <w:p>
            <w:pPr/>
          </w:p>
        </w:tc>
        <w:tc>
          <w:tcPr>
            <w:tcW w:w="1277" w:type="dxa"/>
          </w:tcPr>
          <w:p>
            <w:pPr/>
          </w:p>
        </w:tc>
        <w:tc>
          <w:tcPr>
            <w:tcW w:w="1133" w:type="dxa"/>
          </w:tcPr>
          <w:p>
            <w:pPr/>
          </w:p>
        </w:tc>
        <w:tc>
          <w:tcPr>
            <w:tcW w:w="1702" w:type="dxa"/>
          </w:tcPr>
          <w:p>
            <w:pPr>
              <w:pStyle w:val="TableParagraph"/>
              <w:tabs>
                <w:tab w:pos="1283" w:val="left" w:leader="none"/>
                <w:tab w:pos="1346" w:val="left" w:leader="none"/>
              </w:tabs>
              <w:ind w:right="98"/>
              <w:rPr>
                <w:sz w:val="22"/>
              </w:rPr>
            </w:pPr>
            <w:r>
              <w:rPr>
                <w:sz w:val="22"/>
              </w:rPr>
              <w:t>debemos</w:t>
              <w:tab/>
              <w:t>ser involucradas porque debemos hacer</w:t>
              <w:tab/>
              <w:tab/>
              <w:t>un</w:t>
            </w:r>
          </w:p>
          <w:p>
            <w:pPr>
              <w:pStyle w:val="TableParagraph"/>
              <w:tabs>
                <w:tab w:pos="1065" w:val="left" w:leader="none"/>
                <w:tab w:pos="1468" w:val="left" w:leader="none"/>
              </w:tabs>
              <w:ind w:right="98"/>
              <w:rPr>
                <w:sz w:val="22"/>
              </w:rPr>
            </w:pPr>
            <w:r>
              <w:rPr>
                <w:sz w:val="22"/>
              </w:rPr>
              <w:t>proyecto</w:t>
              <w:tab/>
              <w:tab/>
              <w:t>a largo</w:t>
              <w:tab/>
            </w:r>
            <w:r>
              <w:rPr>
                <w:spacing w:val="-1"/>
                <w:sz w:val="22"/>
              </w:rPr>
              <w:t>plazo</w:t>
            </w:r>
          </w:p>
          <w:p>
            <w:pPr>
              <w:pStyle w:val="TableParagraph"/>
              <w:tabs>
                <w:tab w:pos="1221" w:val="left" w:leader="none"/>
              </w:tabs>
              <w:spacing w:before="1"/>
              <w:ind w:right="98"/>
              <w:jc w:val="both"/>
              <w:rPr>
                <w:sz w:val="22"/>
              </w:rPr>
            </w:pPr>
            <w:r>
              <w:rPr>
                <w:sz w:val="22"/>
              </w:rPr>
              <w:t>para</w:t>
              <w:tab/>
              <w:t>que nuestros hijos tengan riego, sembradío y una fuente de trabajo.</w:t>
            </w:r>
          </w:p>
        </w:tc>
        <w:tc>
          <w:tcPr>
            <w:tcW w:w="1985" w:type="dxa"/>
          </w:tcPr>
          <w:p>
            <w:pPr/>
          </w:p>
        </w:tc>
      </w:tr>
      <w:tr>
        <w:trPr>
          <w:trHeight w:val="2542" w:hRule="exact"/>
        </w:trPr>
        <w:tc>
          <w:tcPr>
            <w:tcW w:w="1385" w:type="dxa"/>
          </w:tcPr>
          <w:p>
            <w:pPr>
              <w:pStyle w:val="TableParagraph"/>
              <w:ind w:right="249"/>
              <w:rPr>
                <w:sz w:val="22"/>
              </w:rPr>
            </w:pPr>
            <w:r>
              <w:rPr>
                <w:sz w:val="22"/>
              </w:rPr>
              <w:t>José Antonio Martínez García (4/9/2014)</w:t>
            </w:r>
          </w:p>
        </w:tc>
        <w:tc>
          <w:tcPr>
            <w:tcW w:w="1418" w:type="dxa"/>
          </w:tcPr>
          <w:p>
            <w:pPr>
              <w:pStyle w:val="TableParagraph"/>
              <w:ind w:left="156" w:right="159"/>
              <w:jc w:val="center"/>
              <w:rPr>
                <w:sz w:val="22"/>
              </w:rPr>
            </w:pPr>
            <w:r>
              <w:rPr>
                <w:sz w:val="22"/>
              </w:rPr>
              <w:t>El campo y</w:t>
            </w:r>
            <w:r>
              <w:rPr>
                <w:w w:val="100"/>
                <w:sz w:val="22"/>
              </w:rPr>
              <w:t> </w:t>
            </w:r>
            <w:r>
              <w:rPr>
                <w:sz w:val="22"/>
              </w:rPr>
              <w:t>la     ganadería</w:t>
            </w:r>
          </w:p>
        </w:tc>
        <w:tc>
          <w:tcPr>
            <w:tcW w:w="1417" w:type="dxa"/>
          </w:tcPr>
          <w:p>
            <w:pPr>
              <w:pStyle w:val="TableParagraph"/>
              <w:ind w:left="100" w:right="174"/>
              <w:rPr>
                <w:sz w:val="22"/>
              </w:rPr>
            </w:pPr>
            <w:r>
              <w:rPr>
                <w:sz w:val="22"/>
              </w:rPr>
              <w:t>Comisariad o Ejidal</w:t>
            </w:r>
          </w:p>
        </w:tc>
        <w:tc>
          <w:tcPr>
            <w:tcW w:w="1560" w:type="dxa"/>
          </w:tcPr>
          <w:p>
            <w:pPr>
              <w:pStyle w:val="TableParagraph"/>
              <w:ind w:right="143"/>
              <w:rPr>
                <w:sz w:val="22"/>
              </w:rPr>
            </w:pPr>
            <w:r>
              <w:rPr>
                <w:sz w:val="22"/>
              </w:rPr>
              <w:t>Ruano</w:t>
            </w:r>
          </w:p>
        </w:tc>
        <w:tc>
          <w:tcPr>
            <w:tcW w:w="991" w:type="dxa"/>
          </w:tcPr>
          <w:p>
            <w:pPr>
              <w:pStyle w:val="TableParagraph"/>
              <w:ind w:left="100" w:right="201"/>
              <w:rPr>
                <w:sz w:val="22"/>
              </w:rPr>
            </w:pPr>
            <w:r>
              <w:rPr>
                <w:sz w:val="22"/>
              </w:rPr>
              <w:t>Polotitl án</w:t>
            </w:r>
          </w:p>
        </w:tc>
        <w:tc>
          <w:tcPr>
            <w:tcW w:w="1277" w:type="dxa"/>
          </w:tcPr>
          <w:p>
            <w:pPr>
              <w:pStyle w:val="TableParagraph"/>
              <w:ind w:right="239"/>
              <w:rPr>
                <w:sz w:val="22"/>
              </w:rPr>
            </w:pPr>
            <w:r>
              <w:rPr>
                <w:sz w:val="22"/>
              </w:rPr>
              <w:t>Ruano, Polotitlán</w:t>
            </w:r>
          </w:p>
        </w:tc>
        <w:tc>
          <w:tcPr>
            <w:tcW w:w="1133" w:type="dxa"/>
          </w:tcPr>
          <w:p>
            <w:pPr>
              <w:pStyle w:val="TableParagraph"/>
              <w:ind w:left="100" w:right="98"/>
              <w:rPr>
                <w:sz w:val="22"/>
              </w:rPr>
            </w:pPr>
            <w:r>
              <w:rPr>
                <w:sz w:val="22"/>
              </w:rPr>
              <w:t>Ruano, Polotitlán</w:t>
            </w:r>
          </w:p>
        </w:tc>
        <w:tc>
          <w:tcPr>
            <w:tcW w:w="1702" w:type="dxa"/>
          </w:tcPr>
          <w:p>
            <w:pPr>
              <w:pStyle w:val="TableParagraph"/>
              <w:tabs>
                <w:tab w:pos="880" w:val="left" w:leader="none"/>
                <w:tab w:pos="1247" w:val="left" w:leader="none"/>
              </w:tabs>
              <w:ind w:right="98"/>
              <w:rPr>
                <w:sz w:val="22"/>
              </w:rPr>
            </w:pPr>
            <w:r>
              <w:rPr>
                <w:sz w:val="22"/>
              </w:rPr>
              <w:t>Estos problemas podrían solucionarse con apoyos del gobierno, pero los</w:t>
              <w:tab/>
              <w:t>apoyos sólo han sido para</w:t>
              <w:tab/>
              <w:tab/>
              <w:t>sus allegados.</w:t>
            </w:r>
          </w:p>
        </w:tc>
        <w:tc>
          <w:tcPr>
            <w:tcW w:w="1985" w:type="dxa"/>
          </w:tcPr>
          <w:p>
            <w:pPr>
              <w:pStyle w:val="TableParagraph"/>
              <w:tabs>
                <w:tab w:pos="1065" w:val="left" w:leader="none"/>
              </w:tabs>
              <w:ind w:right="98"/>
              <w:jc w:val="both"/>
              <w:rPr>
                <w:sz w:val="22"/>
              </w:rPr>
            </w:pPr>
            <w:r>
              <w:rPr>
                <w:sz w:val="22"/>
              </w:rPr>
              <w:t>Quienes debieran solucionar estos problemas  son los</w:t>
              <w:tab/>
            </w:r>
            <w:r>
              <w:rPr>
                <w:spacing w:val="-1"/>
                <w:sz w:val="22"/>
              </w:rPr>
              <w:t>políticos </w:t>
            </w:r>
            <w:r>
              <w:rPr>
                <w:sz w:val="22"/>
              </w:rPr>
              <w:t>porque son los que traen la vara en la</w:t>
            </w:r>
            <w:r>
              <w:rPr>
                <w:spacing w:val="-2"/>
                <w:sz w:val="22"/>
              </w:rPr>
              <w:t> </w:t>
            </w:r>
            <w:r>
              <w:rPr>
                <w:sz w:val="22"/>
              </w:rPr>
              <w:t>mano.</w:t>
            </w:r>
          </w:p>
        </w:tc>
      </w:tr>
      <w:tr>
        <w:trPr>
          <w:trHeight w:val="768" w:hRule="exact"/>
        </w:trPr>
        <w:tc>
          <w:tcPr>
            <w:tcW w:w="1385" w:type="dxa"/>
          </w:tcPr>
          <w:p>
            <w:pPr>
              <w:pStyle w:val="TableParagraph"/>
              <w:tabs>
                <w:tab w:pos="796" w:val="left" w:leader="none"/>
              </w:tabs>
              <w:ind w:right="98"/>
              <w:rPr>
                <w:sz w:val="22"/>
              </w:rPr>
            </w:pPr>
            <w:r>
              <w:rPr>
                <w:sz w:val="22"/>
              </w:rPr>
              <w:t>José</w:t>
              <w:tab/>
              <w:t>Juan Juárez Rodriguez</w:t>
            </w:r>
          </w:p>
        </w:tc>
        <w:tc>
          <w:tcPr>
            <w:tcW w:w="1418" w:type="dxa"/>
          </w:tcPr>
          <w:p>
            <w:pPr>
              <w:pStyle w:val="TableParagraph"/>
              <w:ind w:left="156" w:right="159"/>
              <w:jc w:val="center"/>
              <w:rPr>
                <w:sz w:val="22"/>
              </w:rPr>
            </w:pPr>
            <w:r>
              <w:rPr>
                <w:sz w:val="22"/>
              </w:rPr>
              <w:t>El campo y</w:t>
            </w:r>
            <w:r>
              <w:rPr>
                <w:w w:val="100"/>
                <w:sz w:val="22"/>
              </w:rPr>
              <w:t> </w:t>
            </w:r>
            <w:r>
              <w:rPr>
                <w:sz w:val="22"/>
              </w:rPr>
              <w:t>empleado en el</w:t>
            </w:r>
          </w:p>
        </w:tc>
        <w:tc>
          <w:tcPr>
            <w:tcW w:w="1417" w:type="dxa"/>
          </w:tcPr>
          <w:p>
            <w:pPr>
              <w:pStyle w:val="TableParagraph"/>
              <w:spacing w:line="252" w:lineRule="exact" w:before="2"/>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Encinillas</w:t>
            </w:r>
          </w:p>
        </w:tc>
        <w:tc>
          <w:tcPr>
            <w:tcW w:w="991" w:type="dxa"/>
          </w:tcPr>
          <w:p>
            <w:pPr>
              <w:pStyle w:val="TableParagraph"/>
              <w:spacing w:line="252" w:lineRule="exact" w:before="2"/>
              <w:ind w:left="100" w:right="201"/>
              <w:rPr>
                <w:sz w:val="22"/>
              </w:rPr>
            </w:pPr>
            <w:r>
              <w:rPr>
                <w:sz w:val="22"/>
              </w:rPr>
              <w:t>Polotitl án</w:t>
            </w:r>
          </w:p>
        </w:tc>
        <w:tc>
          <w:tcPr>
            <w:tcW w:w="1277" w:type="dxa"/>
          </w:tcPr>
          <w:p>
            <w:pPr>
              <w:pStyle w:val="TableParagraph"/>
              <w:ind w:right="92"/>
              <w:rPr>
                <w:sz w:val="22"/>
              </w:rPr>
            </w:pPr>
            <w:r>
              <w:rPr>
                <w:sz w:val="22"/>
              </w:rPr>
              <w:t>San Juan del Río, Querétaro.</w:t>
            </w:r>
          </w:p>
        </w:tc>
        <w:tc>
          <w:tcPr>
            <w:tcW w:w="1133" w:type="dxa"/>
          </w:tcPr>
          <w:p>
            <w:pPr>
              <w:pStyle w:val="TableParagraph"/>
              <w:ind w:left="100" w:right="98"/>
              <w:rPr>
                <w:sz w:val="22"/>
              </w:rPr>
            </w:pPr>
            <w:r>
              <w:rPr>
                <w:sz w:val="22"/>
              </w:rPr>
              <w:t>Encinilla s, Polotitlán</w:t>
            </w:r>
          </w:p>
        </w:tc>
        <w:tc>
          <w:tcPr>
            <w:tcW w:w="1702" w:type="dxa"/>
          </w:tcPr>
          <w:p>
            <w:pPr>
              <w:pStyle w:val="TableParagraph"/>
              <w:rPr>
                <w:sz w:val="22"/>
              </w:rPr>
            </w:pPr>
            <w:r>
              <w:rPr>
                <w:sz w:val="22"/>
              </w:rPr>
              <w:t>Este problema podría solucionarse</w:t>
            </w:r>
          </w:p>
        </w:tc>
        <w:tc>
          <w:tcPr>
            <w:tcW w:w="1985" w:type="dxa"/>
          </w:tcPr>
          <w:p>
            <w:pPr>
              <w:pStyle w:val="TableParagraph"/>
              <w:tabs>
                <w:tab w:pos="1470" w:val="left" w:leader="none"/>
              </w:tabs>
              <w:ind w:right="99"/>
              <w:jc w:val="both"/>
              <w:rPr>
                <w:sz w:val="22"/>
              </w:rPr>
            </w:pPr>
            <w:r>
              <w:rPr>
                <w:sz w:val="22"/>
              </w:rPr>
              <w:t>Pues</w:t>
              <w:tab/>
              <w:t>sólo esperar a que esto    pase  </w:t>
            </w:r>
            <w:r>
              <w:rPr>
                <w:spacing w:val="7"/>
                <w:sz w:val="22"/>
              </w:rPr>
              <w:t> </w:t>
            </w:r>
            <w:r>
              <w:rPr>
                <w:sz w:val="22"/>
              </w:rPr>
              <w:t>(que</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768" w:hRule="exact"/>
        </w:trPr>
        <w:tc>
          <w:tcPr>
            <w:tcW w:w="1385" w:type="dxa"/>
          </w:tcPr>
          <w:p>
            <w:pPr>
              <w:pStyle w:val="TableParagraph"/>
              <w:spacing w:line="251" w:lineRule="exact"/>
              <w:ind w:right="127"/>
              <w:rPr>
                <w:sz w:val="22"/>
              </w:rPr>
            </w:pPr>
            <w:r>
              <w:rPr>
                <w:sz w:val="22"/>
              </w:rPr>
              <w:t>(4/9/2014)</w:t>
            </w:r>
          </w:p>
        </w:tc>
        <w:tc>
          <w:tcPr>
            <w:tcW w:w="1418" w:type="dxa"/>
          </w:tcPr>
          <w:p>
            <w:pPr>
              <w:pStyle w:val="TableParagraph"/>
              <w:spacing w:line="252" w:lineRule="exact" w:before="2"/>
              <w:ind w:left="127" w:right="112" w:firstLine="194"/>
              <w:rPr>
                <w:sz w:val="22"/>
              </w:rPr>
            </w:pPr>
            <w:r>
              <w:rPr>
                <w:sz w:val="22"/>
              </w:rPr>
              <w:t>Rancho Santa Rosa</w:t>
            </w:r>
          </w:p>
        </w:tc>
        <w:tc>
          <w:tcPr>
            <w:tcW w:w="1417" w:type="dxa"/>
          </w:tcPr>
          <w:p>
            <w:pPr/>
          </w:p>
        </w:tc>
        <w:tc>
          <w:tcPr>
            <w:tcW w:w="1560" w:type="dxa"/>
          </w:tcPr>
          <w:p>
            <w:pPr/>
          </w:p>
        </w:tc>
        <w:tc>
          <w:tcPr>
            <w:tcW w:w="991" w:type="dxa"/>
          </w:tcPr>
          <w:p>
            <w:pPr/>
          </w:p>
        </w:tc>
        <w:tc>
          <w:tcPr>
            <w:tcW w:w="1277" w:type="dxa"/>
          </w:tcPr>
          <w:p>
            <w:pPr/>
          </w:p>
        </w:tc>
        <w:tc>
          <w:tcPr>
            <w:tcW w:w="1133" w:type="dxa"/>
          </w:tcPr>
          <w:p>
            <w:pPr>
              <w:pStyle w:val="TableParagraph"/>
              <w:ind w:left="100" w:right="220"/>
              <w:rPr>
                <w:sz w:val="22"/>
              </w:rPr>
            </w:pPr>
            <w:r>
              <w:rPr>
                <w:sz w:val="22"/>
              </w:rPr>
              <w:t>desde hace 43 años.</w:t>
            </w:r>
          </w:p>
        </w:tc>
        <w:tc>
          <w:tcPr>
            <w:tcW w:w="1702" w:type="dxa"/>
          </w:tcPr>
          <w:p>
            <w:pPr>
              <w:pStyle w:val="TableParagraph"/>
              <w:spacing w:line="252" w:lineRule="exact" w:before="2"/>
              <w:rPr>
                <w:sz w:val="22"/>
              </w:rPr>
            </w:pPr>
            <w:r>
              <w:rPr>
                <w:sz w:val="22"/>
              </w:rPr>
              <w:t>con que llueva más.</w:t>
            </w:r>
          </w:p>
        </w:tc>
        <w:tc>
          <w:tcPr>
            <w:tcW w:w="1985" w:type="dxa"/>
          </w:tcPr>
          <w:p>
            <w:pPr>
              <w:pStyle w:val="TableParagraph"/>
              <w:tabs>
                <w:tab w:pos="1055" w:val="left" w:leader="none"/>
                <w:tab w:pos="1467" w:val="left" w:leader="none"/>
              </w:tabs>
              <w:spacing w:line="252" w:lineRule="exact" w:before="2"/>
              <w:ind w:right="102"/>
              <w:rPr>
                <w:sz w:val="22"/>
              </w:rPr>
            </w:pPr>
            <w:r>
              <w:rPr>
                <w:sz w:val="22"/>
              </w:rPr>
              <w:t>llueva)</w:t>
              <w:tab/>
              <w:t>y</w:t>
              <w:tab/>
              <w:t>sólo Dios</w:t>
            </w:r>
            <w:r>
              <w:rPr>
                <w:spacing w:val="-1"/>
                <w:sz w:val="22"/>
              </w:rPr>
              <w:t> </w:t>
            </w:r>
            <w:r>
              <w:rPr>
                <w:sz w:val="22"/>
              </w:rPr>
              <w:t>sabe.</w:t>
            </w:r>
          </w:p>
        </w:tc>
      </w:tr>
      <w:tr>
        <w:trPr>
          <w:trHeight w:val="770" w:hRule="exact"/>
        </w:trPr>
        <w:tc>
          <w:tcPr>
            <w:tcW w:w="1385" w:type="dxa"/>
          </w:tcPr>
          <w:p>
            <w:pPr>
              <w:pStyle w:val="TableParagraph"/>
              <w:rPr>
                <w:sz w:val="22"/>
              </w:rPr>
            </w:pPr>
            <w:r>
              <w:rPr>
                <w:sz w:val="22"/>
              </w:rPr>
              <w:t>Álvaro Ortiz Alcántara (7/II/2015)</w:t>
            </w:r>
          </w:p>
        </w:tc>
        <w:tc>
          <w:tcPr>
            <w:tcW w:w="1418" w:type="dxa"/>
          </w:tcPr>
          <w:p>
            <w:pPr>
              <w:pStyle w:val="TableParagraph"/>
              <w:spacing w:line="251" w:lineRule="exact"/>
              <w:ind w:left="242" w:right="101"/>
              <w:rPr>
                <w:sz w:val="22"/>
              </w:rPr>
            </w:pPr>
            <w:r>
              <w:rPr>
                <w:sz w:val="22"/>
              </w:rPr>
              <w:t>El campo</w:t>
            </w:r>
          </w:p>
        </w:tc>
        <w:tc>
          <w:tcPr>
            <w:tcW w:w="1417" w:type="dxa"/>
          </w:tcPr>
          <w:p>
            <w:pPr>
              <w:pStyle w:val="TableParagraph"/>
              <w:spacing w:line="242" w:lineRule="auto"/>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San Juanico</w:t>
            </w:r>
          </w:p>
        </w:tc>
        <w:tc>
          <w:tcPr>
            <w:tcW w:w="991" w:type="dxa"/>
          </w:tcPr>
          <w:p>
            <w:pPr>
              <w:pStyle w:val="TableParagraph"/>
              <w:spacing w:line="242" w:lineRule="auto"/>
              <w:ind w:left="100" w:right="176"/>
              <w:rPr>
                <w:sz w:val="22"/>
              </w:rPr>
            </w:pPr>
            <w:r>
              <w:rPr>
                <w:sz w:val="22"/>
              </w:rPr>
              <w:t>Acamb ay</w:t>
            </w:r>
          </w:p>
        </w:tc>
        <w:tc>
          <w:tcPr>
            <w:tcW w:w="1277" w:type="dxa"/>
          </w:tcPr>
          <w:p>
            <w:pPr>
              <w:pStyle w:val="TableParagraph"/>
              <w:ind w:right="227"/>
              <w:rPr>
                <w:sz w:val="22"/>
              </w:rPr>
            </w:pPr>
            <w:r>
              <w:rPr>
                <w:sz w:val="22"/>
              </w:rPr>
              <w:t>San Juanico, Acambay</w:t>
            </w:r>
          </w:p>
        </w:tc>
        <w:tc>
          <w:tcPr>
            <w:tcW w:w="1133" w:type="dxa"/>
          </w:tcPr>
          <w:p>
            <w:pPr>
              <w:pStyle w:val="TableParagraph"/>
              <w:ind w:left="100" w:right="86"/>
              <w:rPr>
                <w:sz w:val="22"/>
              </w:rPr>
            </w:pPr>
            <w:r>
              <w:rPr>
                <w:sz w:val="22"/>
              </w:rPr>
              <w:t>San Juanico, Acambay</w:t>
            </w:r>
          </w:p>
        </w:tc>
        <w:tc>
          <w:tcPr>
            <w:tcW w:w="1702" w:type="dxa"/>
          </w:tcPr>
          <w:p>
            <w:pPr>
              <w:pStyle w:val="TableParagraph"/>
              <w:spacing w:line="242" w:lineRule="auto"/>
              <w:rPr>
                <w:sz w:val="22"/>
              </w:rPr>
            </w:pPr>
            <w:r>
              <w:rPr>
                <w:sz w:val="22"/>
              </w:rPr>
              <w:t>Con ayuda del municipio.</w:t>
            </w:r>
          </w:p>
        </w:tc>
        <w:tc>
          <w:tcPr>
            <w:tcW w:w="1985" w:type="dxa"/>
          </w:tcPr>
          <w:p>
            <w:pPr>
              <w:pStyle w:val="TableParagraph"/>
              <w:tabs>
                <w:tab w:pos="1626" w:val="left" w:leader="none"/>
              </w:tabs>
              <w:spacing w:line="242" w:lineRule="auto"/>
              <w:ind w:right="99"/>
              <w:rPr>
                <w:sz w:val="22"/>
              </w:rPr>
            </w:pPr>
            <w:r>
              <w:rPr>
                <w:sz w:val="22"/>
              </w:rPr>
              <w:t>El municipio con ayuda</w:t>
              <w:tab/>
              <w:t>de</w:t>
            </w:r>
          </w:p>
          <w:p>
            <w:pPr>
              <w:pStyle w:val="TableParagraph"/>
              <w:spacing w:line="250" w:lineRule="exact"/>
              <w:rPr>
                <w:sz w:val="22"/>
              </w:rPr>
            </w:pPr>
            <w:r>
              <w:rPr>
                <w:sz w:val="22"/>
              </w:rPr>
              <w:t>nosotros.</w:t>
            </w:r>
          </w:p>
        </w:tc>
      </w:tr>
      <w:tr>
        <w:trPr>
          <w:trHeight w:val="2033" w:hRule="exact"/>
        </w:trPr>
        <w:tc>
          <w:tcPr>
            <w:tcW w:w="1385" w:type="dxa"/>
          </w:tcPr>
          <w:p>
            <w:pPr>
              <w:pStyle w:val="TableParagraph"/>
              <w:ind w:right="139"/>
              <w:rPr>
                <w:sz w:val="22"/>
              </w:rPr>
            </w:pPr>
            <w:r>
              <w:rPr>
                <w:sz w:val="22"/>
              </w:rPr>
              <w:t>Sabas Guadarram a Mendoza (12/I/2014)</w:t>
            </w:r>
          </w:p>
        </w:tc>
        <w:tc>
          <w:tcPr>
            <w:tcW w:w="1418" w:type="dxa"/>
          </w:tcPr>
          <w:p>
            <w:pPr>
              <w:pStyle w:val="TableParagraph"/>
              <w:ind w:left="132" w:right="137" w:firstLine="2"/>
              <w:jc w:val="center"/>
              <w:rPr>
                <w:sz w:val="22"/>
              </w:rPr>
            </w:pPr>
            <w:r>
              <w:rPr>
                <w:sz w:val="22"/>
              </w:rPr>
              <w:t>El campo y representar a los ejidos del   municipio de Timilpan</w:t>
            </w:r>
          </w:p>
        </w:tc>
        <w:tc>
          <w:tcPr>
            <w:tcW w:w="1417" w:type="dxa"/>
          </w:tcPr>
          <w:p>
            <w:pPr>
              <w:pStyle w:val="TableParagraph"/>
              <w:tabs>
                <w:tab w:pos="703" w:val="left" w:leader="none"/>
              </w:tabs>
              <w:ind w:left="100" w:right="103"/>
              <w:rPr>
                <w:i/>
                <w:sz w:val="22"/>
              </w:rPr>
            </w:pPr>
            <w:r>
              <w:rPr>
                <w:i/>
                <w:sz w:val="22"/>
              </w:rPr>
              <w:t>Presidente </w:t>
            </w:r>
            <w:r>
              <w:rPr>
                <w:i/>
                <w:sz w:val="22"/>
              </w:rPr>
              <w:t>de la Unión de</w:t>
              <w:tab/>
            </w:r>
            <w:r>
              <w:rPr>
                <w:i/>
                <w:spacing w:val="-1"/>
                <w:sz w:val="22"/>
              </w:rPr>
              <w:t>Ejidos </w:t>
            </w:r>
            <w:r>
              <w:rPr>
                <w:i/>
                <w:sz w:val="22"/>
              </w:rPr>
              <w:t>de</w:t>
            </w:r>
            <w:r>
              <w:rPr>
                <w:i/>
                <w:spacing w:val="-4"/>
                <w:sz w:val="22"/>
              </w:rPr>
              <w:t> </w:t>
            </w:r>
            <w:r>
              <w:rPr>
                <w:i/>
                <w:sz w:val="22"/>
              </w:rPr>
              <w:t>Timilpan</w:t>
            </w:r>
          </w:p>
        </w:tc>
        <w:tc>
          <w:tcPr>
            <w:tcW w:w="1560" w:type="dxa"/>
          </w:tcPr>
          <w:p>
            <w:pPr>
              <w:pStyle w:val="TableParagraph"/>
              <w:spacing w:line="252" w:lineRule="exact" w:before="2"/>
              <w:ind w:right="522"/>
              <w:rPr>
                <w:sz w:val="22"/>
              </w:rPr>
            </w:pPr>
            <w:r>
              <w:rPr>
                <w:sz w:val="22"/>
              </w:rPr>
              <w:t>Ejidos de Timilpan</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ind w:right="153"/>
              <w:rPr>
                <w:sz w:val="22"/>
              </w:rPr>
            </w:pPr>
            <w:r>
              <w:rPr>
                <w:sz w:val="22"/>
              </w:rPr>
              <w:t>Rincón de Bucio, Timilpan</w:t>
            </w:r>
          </w:p>
        </w:tc>
        <w:tc>
          <w:tcPr>
            <w:tcW w:w="1133" w:type="dxa"/>
          </w:tcPr>
          <w:p>
            <w:pPr>
              <w:pStyle w:val="TableParagraph"/>
              <w:ind w:left="100" w:right="93"/>
              <w:rPr>
                <w:sz w:val="22"/>
              </w:rPr>
            </w:pPr>
            <w:r>
              <w:rPr>
                <w:sz w:val="22"/>
              </w:rPr>
              <w:t>Rincón de Bucio, Timilpan</w:t>
            </w:r>
          </w:p>
        </w:tc>
        <w:tc>
          <w:tcPr>
            <w:tcW w:w="1702" w:type="dxa"/>
          </w:tcPr>
          <w:p>
            <w:pPr>
              <w:pStyle w:val="TableParagraph"/>
              <w:tabs>
                <w:tab w:pos="777" w:val="left" w:leader="none"/>
                <w:tab w:pos="1146" w:val="left" w:leader="none"/>
                <w:tab w:pos="1357" w:val="left" w:leader="none"/>
                <w:tab w:pos="1417" w:val="left" w:leader="none"/>
              </w:tabs>
              <w:ind w:right="99"/>
              <w:rPr>
                <w:sz w:val="22"/>
              </w:rPr>
            </w:pPr>
            <w:r>
              <w:rPr>
                <w:sz w:val="22"/>
              </w:rPr>
              <w:t>Para</w:t>
              <w:tab/>
              <w:t>que</w:t>
              <w:tab/>
              <w:tab/>
              <w:t>se solucionen estos problemas deben dar la licitación</w:t>
              <w:tab/>
              <w:t>para aprovechar</w:t>
              <w:tab/>
              <w:tab/>
              <w:t>el agua.</w:t>
            </w:r>
          </w:p>
        </w:tc>
        <w:tc>
          <w:tcPr>
            <w:tcW w:w="1985" w:type="dxa"/>
          </w:tcPr>
          <w:p>
            <w:pPr>
              <w:pStyle w:val="TableParagraph"/>
              <w:tabs>
                <w:tab w:pos="558" w:val="left" w:leader="none"/>
                <w:tab w:pos="1262" w:val="left" w:leader="none"/>
                <w:tab w:pos="1628" w:val="left" w:leader="none"/>
              </w:tabs>
              <w:ind w:right="99"/>
              <w:rPr>
                <w:sz w:val="22"/>
              </w:rPr>
            </w:pPr>
            <w:r>
              <w:rPr>
                <w:sz w:val="22"/>
              </w:rPr>
              <w:t>Quienes</w:t>
              <w:tab/>
            </w:r>
            <w:r>
              <w:rPr>
                <w:spacing w:val="-1"/>
                <w:sz w:val="22"/>
              </w:rPr>
              <w:t>deben </w:t>
            </w:r>
            <w:r>
              <w:rPr>
                <w:sz w:val="22"/>
              </w:rPr>
              <w:t>dar la solución al problema son las autoridades como la</w:t>
              <w:tab/>
              <w:t>Cámara</w:t>
              <w:tab/>
              <w:t>de Diputados Federal y</w:t>
            </w:r>
            <w:r>
              <w:rPr>
                <w:spacing w:val="-5"/>
                <w:sz w:val="22"/>
              </w:rPr>
              <w:t> </w:t>
            </w:r>
            <w:r>
              <w:rPr>
                <w:sz w:val="22"/>
              </w:rPr>
              <w:t>Estatal.</w:t>
            </w: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2702" w:right="397"/>
      </w:pPr>
      <w:r>
        <w:rPr/>
        <w:t>Tabla 6.7. Comisariados Ejidales (trabajo de campo)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3" w:hRule="exact"/>
        </w:trPr>
        <w:tc>
          <w:tcPr>
            <w:tcW w:w="6771" w:type="dxa"/>
            <w:gridSpan w:val="5"/>
            <w:vMerge/>
            <w:shd w:val="clear" w:color="auto" w:fill="F9BE8F"/>
          </w:tcPr>
          <w:p>
            <w:pPr/>
          </w:p>
        </w:tc>
        <w:tc>
          <w:tcPr>
            <w:tcW w:w="2410" w:type="dxa"/>
            <w:gridSpan w:val="2"/>
            <w:shd w:val="clear" w:color="auto" w:fill="92CDDC"/>
          </w:tcPr>
          <w:p>
            <w:pPr>
              <w:pStyle w:val="TableParagraph"/>
              <w:spacing w:line="248" w:lineRule="exact"/>
              <w:ind w:left="710"/>
              <w:rPr>
                <w:b/>
                <w:sz w:val="22"/>
              </w:rPr>
            </w:pPr>
            <w:r>
              <w:rPr>
                <w:b/>
                <w:sz w:val="22"/>
              </w:rPr>
              <w:t>Identidad</w:t>
            </w:r>
          </w:p>
        </w:tc>
        <w:tc>
          <w:tcPr>
            <w:tcW w:w="1702" w:type="dxa"/>
            <w:shd w:val="clear" w:color="auto" w:fill="92CDDC"/>
          </w:tcPr>
          <w:p>
            <w:pPr>
              <w:pStyle w:val="TableParagraph"/>
              <w:spacing w:line="248" w:lineRule="exact"/>
              <w:rPr>
                <w:b/>
                <w:sz w:val="22"/>
              </w:rPr>
            </w:pPr>
            <w:r>
              <w:rPr>
                <w:b/>
                <w:sz w:val="22"/>
              </w:rPr>
              <w:t>Autogestión</w:t>
            </w:r>
          </w:p>
        </w:tc>
        <w:tc>
          <w:tcPr>
            <w:tcW w:w="1985" w:type="dxa"/>
            <w:shd w:val="clear" w:color="auto" w:fill="92CDDC"/>
          </w:tcPr>
          <w:p>
            <w:pPr>
              <w:pStyle w:val="TableParagraph"/>
              <w:spacing w:line="248" w:lineRule="exact"/>
              <w:rPr>
                <w:b/>
                <w:sz w:val="22"/>
              </w:rPr>
            </w:pPr>
            <w:r>
              <w:rPr>
                <w:b/>
                <w:sz w:val="22"/>
              </w:rPr>
              <w:t>Cultura</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417" w:type="dxa"/>
            <w:tcBorders>
              <w:bottom w:val="nil"/>
            </w:tcBorders>
            <w:shd w:val="clear" w:color="auto" w:fill="F9BE8F"/>
          </w:tcPr>
          <w:p>
            <w:pPr>
              <w:pStyle w:val="TableParagraph"/>
              <w:spacing w:line="249" w:lineRule="exact"/>
              <w:ind w:left="100"/>
              <w:rPr>
                <w:b/>
                <w:sz w:val="22"/>
              </w:rPr>
            </w:pPr>
            <w:r>
              <w:rPr>
                <w:b/>
                <w:sz w:val="22"/>
              </w:rPr>
              <w:t>Cargo</w:t>
            </w:r>
          </w:p>
        </w:tc>
        <w:tc>
          <w:tcPr>
            <w:tcW w:w="1560" w:type="dxa"/>
            <w:tcBorders>
              <w:bottom w:val="nil"/>
            </w:tcBorders>
            <w:shd w:val="clear" w:color="auto" w:fill="F9BE8F"/>
          </w:tcPr>
          <w:p>
            <w:pPr>
              <w:pStyle w:val="TableParagraph"/>
              <w:spacing w:line="249" w:lineRule="exact"/>
              <w:ind w:right="143"/>
              <w:rPr>
                <w:b/>
                <w:sz w:val="22"/>
              </w:rPr>
            </w:pPr>
            <w:r>
              <w:rPr>
                <w:b/>
                <w:sz w:val="22"/>
              </w:rPr>
              <w:t>Núcleos</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9" w:lineRule="exact"/>
              <w:rPr>
                <w:b/>
                <w:sz w:val="22"/>
              </w:rPr>
            </w:pPr>
            <w:r>
              <w:rPr>
                <w:b/>
                <w:sz w:val="22"/>
              </w:rPr>
              <w:t>¿Es</w:t>
            </w:r>
          </w:p>
        </w:tc>
        <w:tc>
          <w:tcPr>
            <w:tcW w:w="1985" w:type="dxa"/>
            <w:tcBorders>
              <w:bottom w:val="nil"/>
            </w:tcBorders>
            <w:shd w:val="clear" w:color="auto" w:fill="92CDDC"/>
          </w:tcPr>
          <w:p>
            <w:pPr>
              <w:pStyle w:val="TableParagraph"/>
              <w:spacing w:line="249" w:lineRule="exact"/>
              <w:rPr>
                <w:b/>
                <w:sz w:val="22"/>
              </w:rPr>
            </w:pPr>
            <w:r>
              <w:rPr>
                <w:b/>
                <w:sz w:val="22"/>
              </w:rPr>
              <w:t>¿Considera  que</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1" w:lineRule="exact"/>
              <w:ind w:right="118"/>
              <w:rPr>
                <w:b/>
                <w:sz w:val="22"/>
              </w:rPr>
            </w:pPr>
            <w:r>
              <w:rPr>
                <w:b/>
                <w:sz w:val="22"/>
              </w:rPr>
              <w:t>Ejidales que</w:t>
            </w: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importante  la</w:t>
            </w:r>
          </w:p>
        </w:tc>
        <w:tc>
          <w:tcPr>
            <w:tcW w:w="1985" w:type="dxa"/>
            <w:tcBorders>
              <w:top w:val="nil"/>
              <w:bottom w:val="nil"/>
            </w:tcBorders>
            <w:shd w:val="clear" w:color="auto" w:fill="92CDDC"/>
          </w:tcPr>
          <w:p>
            <w:pPr>
              <w:pStyle w:val="TableParagraph"/>
              <w:tabs>
                <w:tab w:pos="1617" w:val="left" w:leader="none"/>
              </w:tabs>
              <w:spacing w:line="241" w:lineRule="exact"/>
              <w:rPr>
                <w:b/>
                <w:sz w:val="22"/>
              </w:rPr>
            </w:pPr>
            <w:r>
              <w:rPr>
                <w:b/>
                <w:sz w:val="22"/>
              </w:rPr>
              <w:t>se</w:t>
              <w:tab/>
              <w:t>ha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1" w:lineRule="exact"/>
              <w:ind w:right="143"/>
              <w:rPr>
                <w:b/>
                <w:sz w:val="22"/>
              </w:rPr>
            </w:pPr>
            <w:r>
              <w:rPr>
                <w:b/>
                <w:sz w:val="22"/>
              </w:rPr>
              <w:t>representa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3" w:val="left" w:leader="none"/>
              </w:tabs>
              <w:spacing w:line="241" w:lineRule="exact"/>
              <w:rPr>
                <w:b/>
                <w:sz w:val="22"/>
              </w:rPr>
            </w:pPr>
            <w:r>
              <w:rPr>
                <w:b/>
                <w:sz w:val="22"/>
              </w:rPr>
              <w:t>laguna</w:t>
              <w:tab/>
              <w:t>de</w:t>
            </w:r>
          </w:p>
        </w:tc>
        <w:tc>
          <w:tcPr>
            <w:tcW w:w="1985" w:type="dxa"/>
            <w:tcBorders>
              <w:top w:val="nil"/>
              <w:bottom w:val="nil"/>
            </w:tcBorders>
            <w:shd w:val="clear" w:color="auto" w:fill="92CDDC"/>
          </w:tcPr>
          <w:p>
            <w:pPr>
              <w:pStyle w:val="TableParagraph"/>
              <w:tabs>
                <w:tab w:pos="1688" w:val="left" w:leader="none"/>
              </w:tabs>
              <w:spacing w:line="241" w:lineRule="exact"/>
              <w:rPr>
                <w:b/>
                <w:sz w:val="22"/>
              </w:rPr>
            </w:pPr>
            <w:r>
              <w:rPr>
                <w:b/>
                <w:sz w:val="22"/>
              </w:rPr>
              <w:t>deteriorado</w:t>
              <w:tab/>
              <w:t>la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Huapango</w:t>
            </w: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laguna</w:t>
              <w:tab/>
              <w:t>de</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4" w:val="left" w:leader="none"/>
              </w:tabs>
              <w:spacing w:line="241" w:lineRule="exact"/>
              <w:rPr>
                <w:b/>
                <w:sz w:val="22"/>
              </w:rPr>
            </w:pPr>
            <w:r>
              <w:rPr>
                <w:b/>
                <w:sz w:val="22"/>
              </w:rPr>
              <w:t>para</w:t>
              <w:tab/>
              <w:t>su</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Núcleo  Ejidal</w:t>
            </w:r>
          </w:p>
        </w:tc>
        <w:tc>
          <w:tcPr>
            <w:tcW w:w="1985" w:type="dxa"/>
            <w:tcBorders>
              <w:top w:val="nil"/>
              <w:bottom w:val="nil"/>
            </w:tcBorders>
            <w:shd w:val="clear" w:color="auto" w:fill="92CDDC"/>
          </w:tcPr>
          <w:p>
            <w:pP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580" w:val="left" w:leader="none"/>
                <w:tab w:pos="1403" w:val="left" w:leader="none"/>
              </w:tabs>
              <w:spacing w:line="241" w:lineRule="exact"/>
              <w:rPr>
                <w:b/>
                <w:sz w:val="22"/>
              </w:rPr>
            </w:pPr>
            <w:r>
              <w:rPr>
                <w:b/>
                <w:sz w:val="22"/>
              </w:rPr>
              <w:t>y</w:t>
              <w:tab/>
              <w:t>para</w:t>
              <w:tab/>
              <w:t>la</w:t>
            </w:r>
          </w:p>
        </w:tc>
        <w:tc>
          <w:tcPr>
            <w:tcW w:w="1985"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417" w:type="dxa"/>
            <w:tcBorders>
              <w:top w:val="nil"/>
            </w:tcBorders>
            <w:shd w:val="clear" w:color="auto" w:fill="F9BE8F"/>
          </w:tcPr>
          <w:p>
            <w:pPr/>
          </w:p>
        </w:tc>
        <w:tc>
          <w:tcPr>
            <w:tcW w:w="1560"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1" w:lineRule="exact"/>
              <w:rPr>
                <w:b/>
                <w:sz w:val="22"/>
              </w:rPr>
            </w:pPr>
            <w:r>
              <w:rPr>
                <w:b/>
                <w:sz w:val="22"/>
              </w:rPr>
              <w:t>región?</w:t>
            </w:r>
          </w:p>
        </w:tc>
        <w:tc>
          <w:tcPr>
            <w:tcW w:w="1985"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Reynaldo</w:t>
            </w:r>
          </w:p>
        </w:tc>
        <w:tc>
          <w:tcPr>
            <w:tcW w:w="1418" w:type="dxa"/>
            <w:tcBorders>
              <w:bottom w:val="nil"/>
            </w:tcBorders>
          </w:tcPr>
          <w:p>
            <w:pPr>
              <w:pStyle w:val="TableParagraph"/>
              <w:spacing w:line="251" w:lineRule="exact"/>
              <w:ind w:left="100" w:right="101"/>
              <w:rPr>
                <w:sz w:val="22"/>
              </w:rPr>
            </w:pPr>
            <w:r>
              <w:rPr>
                <w:sz w:val="22"/>
              </w:rPr>
              <w:t>Comisariad</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Las Arenas</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spacing w:line="251" w:lineRule="exact"/>
              <w:rPr>
                <w:sz w:val="22"/>
              </w:rPr>
            </w:pPr>
            <w:r>
              <w:rPr>
                <w:sz w:val="22"/>
              </w:rPr>
              <w:t>No   porque  El</w:t>
            </w:r>
          </w:p>
        </w:tc>
        <w:tc>
          <w:tcPr>
            <w:tcW w:w="1985" w:type="dxa"/>
            <w:tcBorders>
              <w:bottom w:val="nil"/>
            </w:tcBorders>
          </w:tcPr>
          <w:p>
            <w:pPr>
              <w:pStyle w:val="TableParagraph"/>
              <w:spacing w:line="251" w:lineRule="exact"/>
              <w:rPr>
                <w:sz w:val="22"/>
              </w:rPr>
            </w:pPr>
            <w:r>
              <w:rPr>
                <w:sz w:val="22"/>
              </w:rPr>
              <w:t>La  laguna  se  ha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Sandoval</w:t>
            </w:r>
          </w:p>
        </w:tc>
        <w:tc>
          <w:tcPr>
            <w:tcW w:w="1418" w:type="dxa"/>
            <w:tcBorders>
              <w:top w:val="nil"/>
              <w:bottom w:val="nil"/>
            </w:tcBorders>
          </w:tcPr>
          <w:p>
            <w:pPr>
              <w:pStyle w:val="TableParagraph"/>
              <w:spacing w:line="241" w:lineRule="exact"/>
              <w:ind w:left="100" w:right="101"/>
              <w:rPr>
                <w:sz w:val="22"/>
              </w:rPr>
            </w:pPr>
            <w:r>
              <w:rPr>
                <w:sz w:val="22"/>
              </w:rPr>
              <w:t>o Ejidal y</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Arenas,</w:t>
            </w:r>
          </w:p>
        </w:tc>
        <w:tc>
          <w:tcPr>
            <w:tcW w:w="1133" w:type="dxa"/>
            <w:tcBorders>
              <w:top w:val="nil"/>
              <w:bottom w:val="nil"/>
            </w:tcBorders>
          </w:tcPr>
          <w:p>
            <w:pPr>
              <w:pStyle w:val="TableParagraph"/>
              <w:spacing w:line="241" w:lineRule="exact"/>
              <w:ind w:left="100" w:right="52"/>
              <w:rPr>
                <w:sz w:val="22"/>
              </w:rPr>
            </w:pPr>
            <w:r>
              <w:rPr>
                <w:sz w:val="22"/>
              </w:rPr>
              <w:t>Arenas,</w:t>
            </w:r>
          </w:p>
        </w:tc>
        <w:tc>
          <w:tcPr>
            <w:tcW w:w="1702" w:type="dxa"/>
            <w:tcBorders>
              <w:top w:val="nil"/>
              <w:bottom w:val="nil"/>
            </w:tcBorders>
          </w:tcPr>
          <w:p>
            <w:pPr>
              <w:pStyle w:val="TableParagraph"/>
              <w:tabs>
                <w:tab w:pos="1345" w:val="left" w:leader="none"/>
              </w:tabs>
              <w:spacing w:line="241" w:lineRule="exact"/>
              <w:rPr>
                <w:sz w:val="22"/>
              </w:rPr>
            </w:pPr>
            <w:r>
              <w:rPr>
                <w:sz w:val="22"/>
              </w:rPr>
              <w:t>Ejido</w:t>
              <w:tab/>
              <w:t>no</w:t>
            </w:r>
          </w:p>
        </w:tc>
        <w:tc>
          <w:tcPr>
            <w:tcW w:w="1985" w:type="dxa"/>
            <w:tcBorders>
              <w:top w:val="nil"/>
              <w:bottom w:val="nil"/>
            </w:tcBorders>
          </w:tcPr>
          <w:p>
            <w:pPr>
              <w:pStyle w:val="TableParagraph"/>
              <w:spacing w:line="241" w:lineRule="exact"/>
              <w:rPr>
                <w:sz w:val="22"/>
              </w:rPr>
            </w:pPr>
            <w:r>
              <w:rPr>
                <w:sz w:val="22"/>
              </w:rPr>
              <w:t>deteriorado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Director del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Acambay</w:t>
            </w:r>
          </w:p>
        </w:tc>
        <w:tc>
          <w:tcPr>
            <w:tcW w:w="1702" w:type="dxa"/>
            <w:tcBorders>
              <w:top w:val="nil"/>
              <w:bottom w:val="nil"/>
            </w:tcBorders>
          </w:tcPr>
          <w:p>
            <w:pPr>
              <w:pStyle w:val="TableParagraph"/>
              <w:spacing w:line="242" w:lineRule="exact"/>
              <w:rPr>
                <w:sz w:val="22"/>
              </w:rPr>
            </w:pPr>
            <w:r>
              <w:rPr>
                <w:sz w:val="22"/>
              </w:rPr>
              <w:t>aprovecha </w:t>
            </w:r>
            <w:r>
              <w:rPr>
                <w:spacing w:val="51"/>
                <w:sz w:val="22"/>
              </w:rPr>
              <w:t> </w:t>
            </w:r>
            <w:r>
              <w:rPr>
                <w:sz w:val="22"/>
              </w:rPr>
              <w:t>los</w:t>
            </w:r>
          </w:p>
        </w:tc>
        <w:tc>
          <w:tcPr>
            <w:tcW w:w="1985" w:type="dxa"/>
            <w:tcBorders>
              <w:top w:val="nil"/>
              <w:bottom w:val="nil"/>
            </w:tcBorders>
          </w:tcPr>
          <w:p>
            <w:pPr>
              <w:pStyle w:val="TableParagraph"/>
              <w:spacing w:line="242" w:lineRule="exact"/>
              <w:rPr>
                <w:sz w:val="22"/>
              </w:rPr>
            </w:pPr>
            <w:r>
              <w:rPr>
                <w:sz w:val="22"/>
              </w:rPr>
              <w:t>porque  no  se   le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(21/I/2014)</w:t>
            </w:r>
          </w:p>
        </w:tc>
        <w:tc>
          <w:tcPr>
            <w:tcW w:w="1418" w:type="dxa"/>
            <w:tcBorders>
              <w:top w:val="nil"/>
              <w:bottom w:val="nil"/>
            </w:tcBorders>
          </w:tcPr>
          <w:p>
            <w:pPr>
              <w:pStyle w:val="TableParagraph"/>
              <w:spacing w:line="241" w:lineRule="exact"/>
              <w:ind w:left="100" w:right="101"/>
              <w:rPr>
                <w:sz w:val="22"/>
              </w:rPr>
            </w:pPr>
            <w:r>
              <w:rPr>
                <w:sz w:val="22"/>
              </w:rPr>
              <w:t>Medio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95" w:val="left" w:leader="none"/>
              </w:tabs>
              <w:spacing w:line="241" w:lineRule="exact"/>
              <w:rPr>
                <w:sz w:val="22"/>
              </w:rPr>
            </w:pPr>
            <w:r>
              <w:rPr>
                <w:sz w:val="22"/>
              </w:rPr>
              <w:t>recursos</w:t>
              <w:tab/>
              <w:t>del</w:t>
            </w:r>
          </w:p>
        </w:tc>
        <w:tc>
          <w:tcPr>
            <w:tcW w:w="1985" w:type="dxa"/>
            <w:tcBorders>
              <w:top w:val="nil"/>
              <w:bottom w:val="nil"/>
            </w:tcBorders>
          </w:tcPr>
          <w:p>
            <w:pPr>
              <w:pStyle w:val="TableParagraph"/>
              <w:tabs>
                <w:tab w:pos="779" w:val="left" w:leader="none"/>
                <w:tab w:pos="1701" w:val="left" w:leader="none"/>
              </w:tabs>
              <w:spacing w:line="241" w:lineRule="exact"/>
              <w:rPr>
                <w:sz w:val="22"/>
              </w:rPr>
            </w:pPr>
            <w:r>
              <w:rPr>
                <w:sz w:val="22"/>
              </w:rPr>
              <w:t>ha</w:t>
              <w:tab/>
              <w:t>dado</w:t>
              <w:tab/>
              <w:t>el</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Ambiente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9" w:val="left" w:leader="none"/>
              </w:tabs>
              <w:spacing w:line="242" w:lineRule="exact"/>
              <w:rPr>
                <w:sz w:val="22"/>
              </w:rPr>
            </w:pPr>
            <w:r>
              <w:rPr>
                <w:sz w:val="22"/>
              </w:rPr>
              <w:t>agua</w:t>
              <w:tab/>
              <w:t>para</w:t>
            </w:r>
          </w:p>
        </w:tc>
        <w:tc>
          <w:tcPr>
            <w:tcW w:w="1985" w:type="dxa"/>
            <w:tcBorders>
              <w:top w:val="nil"/>
              <w:bottom w:val="nil"/>
            </w:tcBorders>
          </w:tcPr>
          <w:p>
            <w:pPr>
              <w:pStyle w:val="TableParagraph"/>
              <w:spacing w:line="242" w:lineRule="exact"/>
              <w:rPr>
                <w:sz w:val="22"/>
              </w:rPr>
            </w:pPr>
            <w:r>
              <w:rPr>
                <w:sz w:val="22"/>
              </w:rPr>
              <w:t>cuidado</w:t>
            </w:r>
          </w:p>
        </w:tc>
      </w:tr>
      <w:tr>
        <w:trPr>
          <w:trHeight w:val="250" w:hRule="exact"/>
        </w:trPr>
        <w:tc>
          <w:tcPr>
            <w:tcW w:w="1385" w:type="dxa"/>
            <w:tcBorders>
              <w:top w:val="nil"/>
            </w:tcBorders>
          </w:tcPr>
          <w:p>
            <w:pPr/>
          </w:p>
        </w:tc>
        <w:tc>
          <w:tcPr>
            <w:tcW w:w="1418" w:type="dxa"/>
            <w:tcBorders>
              <w:top w:val="nil"/>
            </w:tcBorders>
          </w:tcPr>
          <w:p>
            <w:pPr>
              <w:pStyle w:val="TableParagraph"/>
              <w:spacing w:line="241" w:lineRule="exact"/>
              <w:ind w:left="100" w:right="101"/>
              <w:rPr>
                <w:sz w:val="22"/>
              </w:rPr>
            </w:pPr>
            <w:r>
              <w:rPr>
                <w:sz w:val="22"/>
              </w:rPr>
              <w:t>en</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riego porque le</w:t>
            </w:r>
          </w:p>
        </w:tc>
        <w:tc>
          <w:tcPr>
            <w:tcW w:w="1985" w:type="dxa"/>
            <w:tcBorders>
              <w:top w:val="nil"/>
            </w:tcBorders>
          </w:tcPr>
          <w:p>
            <w:pPr>
              <w:pStyle w:val="TableParagraph"/>
              <w:spacing w:line="241" w:lineRule="exact"/>
              <w:rPr>
                <w:sz w:val="22"/>
              </w:rPr>
            </w:pPr>
            <w:r>
              <w:rPr>
                <w:sz w:val="22"/>
              </w:rPr>
              <w:t>necesario   a  esa</w:t>
            </w:r>
          </w:p>
        </w:tc>
      </w:tr>
    </w:tbl>
    <w:p>
      <w:pPr>
        <w:spacing w:after="0" w:line="241" w:lineRule="exact"/>
        <w:rPr>
          <w:sz w:val="22"/>
        </w:rPr>
        <w:sectPr>
          <w:footerReference w:type="default" r:id="rId183"/>
          <w:pgSz w:w="15840" w:h="12240" w:orient="landscape"/>
          <w:pgMar w:footer="943" w:header="0" w:top="1140" w:bottom="1140" w:left="1200" w:right="1300"/>
          <w:pgNumType w:start="27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792" w:hRule="exact"/>
        </w:trPr>
        <w:tc>
          <w:tcPr>
            <w:tcW w:w="1385" w:type="dxa"/>
          </w:tcPr>
          <w:p>
            <w:pPr/>
          </w:p>
        </w:tc>
        <w:tc>
          <w:tcPr>
            <w:tcW w:w="1418" w:type="dxa"/>
          </w:tcPr>
          <w:p>
            <w:pPr>
              <w:pStyle w:val="TableParagraph"/>
              <w:spacing w:line="251" w:lineRule="exact"/>
              <w:ind w:left="100" w:right="101"/>
              <w:rPr>
                <w:sz w:val="22"/>
              </w:rPr>
            </w:pPr>
            <w:r>
              <w:rPr>
                <w:sz w:val="22"/>
              </w:rPr>
              <w:t>Acambay</w:t>
            </w: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tabs>
                <w:tab w:pos="858" w:val="left" w:leader="none"/>
                <w:tab w:pos="1053" w:val="left" w:leader="none"/>
                <w:tab w:pos="1173" w:val="left" w:leader="none"/>
                <w:tab w:pos="1417" w:val="left" w:leader="none"/>
              </w:tabs>
              <w:ind w:right="98"/>
              <w:rPr>
                <w:sz w:val="22"/>
              </w:rPr>
            </w:pPr>
            <w:r>
              <w:rPr>
                <w:sz w:val="22"/>
              </w:rPr>
              <w:t>queda</w:t>
              <w:tab/>
              <w:tab/>
              <w:tab/>
              <w:t>muy lejos, sólo los que</w:t>
              <w:tab/>
              <w:tab/>
            </w:r>
            <w:r>
              <w:rPr>
                <w:spacing w:val="-1"/>
                <w:sz w:val="22"/>
              </w:rPr>
              <w:t>están </w:t>
            </w:r>
            <w:r>
              <w:rPr>
                <w:sz w:val="22"/>
              </w:rPr>
              <w:t>cerca a veces bombean agua,</w:t>
              <w:tab/>
              <w:t>con</w:t>
              <w:tab/>
              <w:t>el ganado si se aprovecha para pastar y para abrevadero.</w:t>
            </w:r>
          </w:p>
        </w:tc>
        <w:tc>
          <w:tcPr>
            <w:tcW w:w="1985" w:type="dxa"/>
          </w:tcPr>
          <w:p>
            <w:pPr>
              <w:pStyle w:val="TableParagraph"/>
              <w:spacing w:line="251" w:lineRule="exact"/>
              <w:rPr>
                <w:sz w:val="22"/>
              </w:rPr>
            </w:pPr>
            <w:r>
              <w:rPr>
                <w:sz w:val="22"/>
              </w:rPr>
              <w:t>hermosa laguna.</w:t>
            </w:r>
          </w:p>
        </w:tc>
      </w:tr>
      <w:tr>
        <w:trPr>
          <w:trHeight w:val="3552" w:hRule="exact"/>
        </w:trPr>
        <w:tc>
          <w:tcPr>
            <w:tcW w:w="1385" w:type="dxa"/>
          </w:tcPr>
          <w:p>
            <w:pPr>
              <w:pStyle w:val="TableParagraph"/>
              <w:ind w:right="188"/>
              <w:rPr>
                <w:sz w:val="22"/>
              </w:rPr>
            </w:pPr>
            <w:r>
              <w:rPr>
                <w:sz w:val="22"/>
              </w:rPr>
              <w:t>Juan García Jiménez (12/I/2014)</w:t>
            </w:r>
          </w:p>
        </w:tc>
        <w:tc>
          <w:tcPr>
            <w:tcW w:w="1418" w:type="dxa"/>
          </w:tcPr>
          <w:p>
            <w:pPr>
              <w:pStyle w:val="TableParagraph"/>
              <w:ind w:left="100" w:right="176"/>
              <w:rPr>
                <w:sz w:val="22"/>
              </w:rPr>
            </w:pPr>
            <w:r>
              <w:rPr>
                <w:sz w:val="22"/>
              </w:rPr>
              <w:t>Comisariad o Ejidal y campesino</w:t>
            </w:r>
          </w:p>
        </w:tc>
        <w:tc>
          <w:tcPr>
            <w:tcW w:w="1417" w:type="dxa"/>
          </w:tcPr>
          <w:p>
            <w:pPr>
              <w:pStyle w:val="TableParagraph"/>
              <w:ind w:left="100" w:right="174"/>
              <w:rPr>
                <w:sz w:val="22"/>
              </w:rPr>
            </w:pPr>
            <w:r>
              <w:rPr>
                <w:sz w:val="22"/>
              </w:rPr>
              <w:t>Comisariad o Ejidal</w:t>
            </w:r>
          </w:p>
        </w:tc>
        <w:tc>
          <w:tcPr>
            <w:tcW w:w="1560" w:type="dxa"/>
          </w:tcPr>
          <w:p>
            <w:pPr>
              <w:pStyle w:val="TableParagraph"/>
              <w:ind w:right="143"/>
              <w:rPr>
                <w:sz w:val="22"/>
              </w:rPr>
            </w:pPr>
            <w:r>
              <w:rPr>
                <w:sz w:val="22"/>
              </w:rPr>
              <w:t>Huapango</w:t>
            </w:r>
          </w:p>
        </w:tc>
        <w:tc>
          <w:tcPr>
            <w:tcW w:w="991" w:type="dxa"/>
          </w:tcPr>
          <w:p>
            <w:pPr>
              <w:pStyle w:val="TableParagraph"/>
              <w:ind w:left="100" w:right="152"/>
              <w:rPr>
                <w:sz w:val="22"/>
              </w:rPr>
            </w:pPr>
            <w:r>
              <w:rPr>
                <w:sz w:val="22"/>
              </w:rPr>
              <w:t>Timilpa n</w:t>
            </w:r>
          </w:p>
        </w:tc>
        <w:tc>
          <w:tcPr>
            <w:tcW w:w="1277" w:type="dxa"/>
          </w:tcPr>
          <w:p>
            <w:pPr>
              <w:pStyle w:val="TableParagraph"/>
              <w:spacing w:line="252" w:lineRule="exact"/>
              <w:ind w:right="92"/>
              <w:rPr>
                <w:sz w:val="22"/>
              </w:rPr>
            </w:pPr>
            <w:r>
              <w:rPr>
                <w:sz w:val="22"/>
              </w:rPr>
              <w:t>Huapango</w:t>
            </w:r>
          </w:p>
          <w:p>
            <w:pPr>
              <w:pStyle w:val="TableParagraph"/>
              <w:spacing w:line="252" w:lineRule="exact"/>
              <w:ind w:right="92"/>
              <w:rPr>
                <w:sz w:val="22"/>
              </w:rPr>
            </w:pPr>
            <w:r>
              <w:rPr>
                <w:sz w:val="22"/>
              </w:rPr>
              <w:t>, Timilpan</w:t>
            </w:r>
          </w:p>
        </w:tc>
        <w:tc>
          <w:tcPr>
            <w:tcW w:w="1133" w:type="dxa"/>
          </w:tcPr>
          <w:p>
            <w:pPr>
              <w:pStyle w:val="TableParagraph"/>
              <w:ind w:left="100" w:right="110"/>
              <w:rPr>
                <w:sz w:val="22"/>
              </w:rPr>
            </w:pPr>
            <w:r>
              <w:rPr>
                <w:sz w:val="22"/>
              </w:rPr>
              <w:t>Huapang o, Timilpan</w:t>
            </w:r>
          </w:p>
        </w:tc>
        <w:tc>
          <w:tcPr>
            <w:tcW w:w="1702" w:type="dxa"/>
          </w:tcPr>
          <w:p>
            <w:pPr>
              <w:pStyle w:val="TableParagraph"/>
              <w:tabs>
                <w:tab w:pos="503" w:val="left" w:leader="none"/>
                <w:tab w:pos="594" w:val="left" w:leader="none"/>
                <w:tab w:pos="685" w:val="left" w:leader="none"/>
                <w:tab w:pos="1149" w:val="left" w:leader="none"/>
                <w:tab w:pos="1221" w:val="left" w:leader="none"/>
                <w:tab w:pos="1417" w:val="left" w:leader="none"/>
              </w:tabs>
              <w:ind w:right="98"/>
              <w:rPr>
                <w:sz w:val="22"/>
              </w:rPr>
            </w:pPr>
            <w:r>
              <w:rPr>
                <w:sz w:val="22"/>
              </w:rPr>
              <w:t>La laguna es importante para el Ejido que represento y</w:t>
              <w:tab/>
              <w:tab/>
              <w:t>para</w:t>
              <w:tab/>
              <w:tab/>
              <w:tab/>
              <w:t>la región por los peces,</w:t>
              <w:tab/>
              <w:t>para sostener a los animales</w:t>
              <w:tab/>
              <w:tab/>
              <w:t>con el pastoreo y  el</w:t>
              <w:tab/>
              <w:t>agua</w:t>
              <w:tab/>
              <w:tab/>
              <w:t>que toman, por lo que</w:t>
              <w:tab/>
              <w:tab/>
              <w:tab/>
            </w:r>
            <w:r>
              <w:rPr>
                <w:spacing w:val="-1"/>
                <w:sz w:val="22"/>
              </w:rPr>
              <w:t>debemos </w:t>
            </w:r>
            <w:r>
              <w:rPr>
                <w:sz w:val="22"/>
              </w:rPr>
              <w:t>cuidarla.</w:t>
            </w:r>
          </w:p>
        </w:tc>
        <w:tc>
          <w:tcPr>
            <w:tcW w:w="1985" w:type="dxa"/>
          </w:tcPr>
          <w:p>
            <w:pPr>
              <w:pStyle w:val="TableParagraph"/>
              <w:ind w:right="98"/>
              <w:jc w:val="both"/>
              <w:rPr>
                <w:sz w:val="22"/>
              </w:rPr>
            </w:pPr>
            <w:r>
              <w:rPr>
                <w:sz w:val="22"/>
              </w:rPr>
              <w:t>La contaminación y la falta de mantenimiento la han deteriorado.</w:t>
            </w:r>
          </w:p>
        </w:tc>
      </w:tr>
      <w:tr>
        <w:trPr>
          <w:trHeight w:val="2288" w:hRule="exact"/>
        </w:trPr>
        <w:tc>
          <w:tcPr>
            <w:tcW w:w="1385" w:type="dxa"/>
          </w:tcPr>
          <w:p>
            <w:pPr>
              <w:pStyle w:val="TableParagraph"/>
              <w:ind w:right="127"/>
              <w:rPr>
                <w:sz w:val="22"/>
              </w:rPr>
            </w:pPr>
            <w:r>
              <w:rPr>
                <w:sz w:val="22"/>
              </w:rPr>
              <w:t>Francisco Reyes Huitrón (17/7/2014)</w:t>
            </w:r>
          </w:p>
        </w:tc>
        <w:tc>
          <w:tcPr>
            <w:tcW w:w="1418" w:type="dxa"/>
          </w:tcPr>
          <w:p>
            <w:pPr>
              <w:pStyle w:val="TableParagraph"/>
              <w:tabs>
                <w:tab w:pos="438" w:val="left" w:leader="none"/>
                <w:tab w:pos="1132" w:val="left" w:leader="none"/>
                <w:tab w:pos="1191" w:val="left" w:leader="none"/>
              </w:tabs>
              <w:ind w:left="100" w:right="101"/>
              <w:rPr>
                <w:sz w:val="22"/>
              </w:rPr>
            </w:pPr>
            <w:r>
              <w:rPr>
                <w:sz w:val="22"/>
              </w:rPr>
              <w:t>Comisariad o</w:t>
              <w:tab/>
              <w:t>Ejidal</w:t>
              <w:tab/>
              <w:tab/>
              <w:t>y Subdirector de Participació n Ciudadana y el Campo en</w:t>
              <w:tab/>
              <w:tab/>
              <w:t>el</w:t>
            </w:r>
          </w:p>
        </w:tc>
        <w:tc>
          <w:tcPr>
            <w:tcW w:w="1417" w:type="dxa"/>
          </w:tcPr>
          <w:p>
            <w:pPr>
              <w:pStyle w:val="TableParagraph"/>
              <w:spacing w:line="242" w:lineRule="auto"/>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Aldama</w:t>
            </w:r>
          </w:p>
        </w:tc>
        <w:tc>
          <w:tcPr>
            <w:tcW w:w="991" w:type="dxa"/>
          </w:tcPr>
          <w:p>
            <w:pPr>
              <w:pStyle w:val="TableParagraph"/>
              <w:spacing w:line="242" w:lineRule="auto"/>
              <w:ind w:left="100" w:right="103"/>
              <w:rPr>
                <w:sz w:val="22"/>
              </w:rPr>
            </w:pPr>
            <w:r>
              <w:rPr>
                <w:sz w:val="22"/>
              </w:rPr>
              <w:t>Jilotepe c</w:t>
            </w:r>
          </w:p>
        </w:tc>
        <w:tc>
          <w:tcPr>
            <w:tcW w:w="1277" w:type="dxa"/>
          </w:tcPr>
          <w:p>
            <w:pPr>
              <w:pStyle w:val="TableParagraph"/>
              <w:spacing w:line="242" w:lineRule="auto"/>
              <w:ind w:right="178"/>
              <w:rPr>
                <w:sz w:val="22"/>
              </w:rPr>
            </w:pPr>
            <w:r>
              <w:rPr>
                <w:sz w:val="22"/>
              </w:rPr>
              <w:t>El Saltillo, Jilotepec</w:t>
            </w:r>
          </w:p>
        </w:tc>
        <w:tc>
          <w:tcPr>
            <w:tcW w:w="1133" w:type="dxa"/>
          </w:tcPr>
          <w:p>
            <w:pPr>
              <w:pStyle w:val="TableParagraph"/>
              <w:ind w:left="100" w:right="134"/>
              <w:rPr>
                <w:sz w:val="22"/>
              </w:rPr>
            </w:pPr>
            <w:r>
              <w:rPr>
                <w:sz w:val="22"/>
              </w:rPr>
              <w:t>El Saltillo, Jilotepec</w:t>
            </w:r>
          </w:p>
        </w:tc>
        <w:tc>
          <w:tcPr>
            <w:tcW w:w="1702" w:type="dxa"/>
          </w:tcPr>
          <w:p>
            <w:pPr>
              <w:pStyle w:val="TableParagraph"/>
              <w:tabs>
                <w:tab w:pos="868" w:val="left" w:leader="none"/>
                <w:tab w:pos="1101" w:val="left" w:leader="none"/>
                <w:tab w:pos="1295" w:val="left" w:leader="none"/>
                <w:tab w:pos="1417" w:val="left" w:leader="none"/>
              </w:tabs>
              <w:ind w:right="98"/>
              <w:rPr>
                <w:sz w:val="22"/>
              </w:rPr>
            </w:pPr>
            <w:r>
              <w:rPr>
                <w:sz w:val="22"/>
              </w:rPr>
              <w:t>Considero importante</w:t>
              <w:tab/>
              <w:tab/>
              <w:t>la laguna Huapango como regulador</w:t>
              <w:tab/>
              <w:tab/>
              <w:t>del clima</w:t>
              <w:tab/>
              <w:t>cuando tiene</w:t>
              <w:tab/>
              <w:tab/>
              <w:t>agua porque   no </w:t>
            </w:r>
            <w:r>
              <w:rPr>
                <w:spacing w:val="17"/>
                <w:sz w:val="22"/>
              </w:rPr>
              <w:t> </w:t>
            </w:r>
            <w:r>
              <w:rPr>
                <w:sz w:val="22"/>
              </w:rPr>
              <w:t>se</w:t>
            </w:r>
          </w:p>
        </w:tc>
        <w:tc>
          <w:tcPr>
            <w:tcW w:w="1985" w:type="dxa"/>
          </w:tcPr>
          <w:p>
            <w:pPr>
              <w:pStyle w:val="TableParagraph"/>
              <w:tabs>
                <w:tab w:pos="1456" w:val="left" w:leader="none"/>
              </w:tabs>
              <w:ind w:right="99"/>
              <w:jc w:val="both"/>
              <w:rPr>
                <w:sz w:val="22"/>
              </w:rPr>
            </w:pPr>
            <w:r>
              <w:rPr>
                <w:sz w:val="22"/>
              </w:rPr>
              <w:t>Considero que la laguna Huapango se ha deteriorado con el tiempo porque todas las milpas se han erosionado y ya está</w:t>
              <w:tab/>
              <w:t>muy</w:t>
            </w:r>
          </w:p>
          <w:p>
            <w:pPr>
              <w:pStyle w:val="TableParagraph"/>
              <w:spacing w:before="1"/>
              <w:jc w:val="both"/>
              <w:rPr>
                <w:sz w:val="22"/>
              </w:rPr>
            </w:pPr>
            <w:r>
              <w:rPr>
                <w:sz w:val="22"/>
              </w:rPr>
              <w:t>azolvada.</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1526" w:hRule="exact"/>
        </w:trPr>
        <w:tc>
          <w:tcPr>
            <w:tcW w:w="1385" w:type="dxa"/>
          </w:tcPr>
          <w:p>
            <w:pPr/>
          </w:p>
        </w:tc>
        <w:tc>
          <w:tcPr>
            <w:tcW w:w="1418" w:type="dxa"/>
          </w:tcPr>
          <w:p>
            <w:pPr>
              <w:pStyle w:val="TableParagraph"/>
              <w:spacing w:line="252" w:lineRule="exact" w:before="2"/>
              <w:ind w:left="100" w:right="129"/>
              <w:rPr>
                <w:sz w:val="22"/>
              </w:rPr>
            </w:pPr>
            <w:r>
              <w:rPr>
                <w:sz w:val="22"/>
              </w:rPr>
              <w:t>municipio de</w:t>
            </w:r>
            <w:r>
              <w:rPr>
                <w:spacing w:val="-1"/>
                <w:sz w:val="22"/>
              </w:rPr>
              <w:t> </w:t>
            </w:r>
            <w:r>
              <w:rPr>
                <w:sz w:val="22"/>
              </w:rPr>
              <w:t>Jilotepec</w:t>
            </w: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tabs>
                <w:tab w:pos="705" w:val="left" w:leader="none"/>
                <w:tab w:pos="1075" w:val="left" w:leader="none"/>
                <w:tab w:pos="1418" w:val="left" w:leader="none"/>
              </w:tabs>
              <w:spacing w:line="252" w:lineRule="exact" w:before="2"/>
              <w:ind w:right="99"/>
              <w:rPr>
                <w:sz w:val="22"/>
              </w:rPr>
            </w:pPr>
            <w:r>
              <w:rPr>
                <w:sz w:val="22"/>
              </w:rPr>
              <w:t>puede</w:t>
              <w:tab/>
              <w:t>regar no</w:t>
              <w:tab/>
              <w:t>nos</w:t>
              <w:tab/>
              <w:tab/>
              <w:t>lo</w:t>
            </w:r>
          </w:p>
          <w:p>
            <w:pPr>
              <w:pStyle w:val="TableParagraph"/>
              <w:tabs>
                <w:tab w:pos="1480" w:val="left" w:leader="none"/>
              </w:tabs>
              <w:spacing w:line="250" w:lineRule="exact"/>
              <w:rPr>
                <w:sz w:val="22"/>
              </w:rPr>
            </w:pPr>
            <w:r>
              <w:rPr>
                <w:sz w:val="22"/>
              </w:rPr>
              <w:t>permiten</w:t>
              <w:tab/>
              <w:t>y</w:t>
            </w:r>
          </w:p>
          <w:p>
            <w:pPr>
              <w:pStyle w:val="TableParagraph"/>
              <w:tabs>
                <w:tab w:pos="1310" w:val="left" w:leader="none"/>
              </w:tabs>
              <w:spacing w:line="252" w:lineRule="exact"/>
              <w:rPr>
                <w:sz w:val="22"/>
              </w:rPr>
            </w:pPr>
            <w:r>
              <w:rPr>
                <w:sz w:val="22"/>
              </w:rPr>
              <w:t>porque</w:t>
              <w:tab/>
              <w:t>las</w:t>
            </w:r>
          </w:p>
          <w:p>
            <w:pPr>
              <w:pStyle w:val="TableParagraph"/>
              <w:tabs>
                <w:tab w:pos="1052" w:val="left" w:leader="none"/>
              </w:tabs>
              <w:spacing w:before="1"/>
              <w:ind w:right="99"/>
              <w:rPr>
                <w:sz w:val="22"/>
              </w:rPr>
            </w:pPr>
            <w:r>
              <w:rPr>
                <w:sz w:val="22"/>
              </w:rPr>
              <w:t>tierras</w:t>
              <w:tab/>
            </w:r>
            <w:r>
              <w:rPr>
                <w:spacing w:val="-1"/>
                <w:sz w:val="22"/>
              </w:rPr>
              <w:t>están </w:t>
            </w:r>
            <w:r>
              <w:rPr>
                <w:sz w:val="22"/>
              </w:rPr>
              <w:t>muy</w:t>
            </w:r>
            <w:r>
              <w:rPr>
                <w:spacing w:val="-1"/>
                <w:sz w:val="22"/>
              </w:rPr>
              <w:t> </w:t>
            </w:r>
            <w:r>
              <w:rPr>
                <w:sz w:val="22"/>
              </w:rPr>
              <w:t>arriba.</w:t>
            </w:r>
          </w:p>
        </w:tc>
        <w:tc>
          <w:tcPr>
            <w:tcW w:w="1985" w:type="dxa"/>
          </w:tcPr>
          <w:p>
            <w:pPr/>
          </w:p>
        </w:tc>
      </w:tr>
      <w:tr>
        <w:trPr>
          <w:trHeight w:val="2036" w:hRule="exact"/>
        </w:trPr>
        <w:tc>
          <w:tcPr>
            <w:tcW w:w="1385" w:type="dxa"/>
          </w:tcPr>
          <w:p>
            <w:pPr>
              <w:pStyle w:val="TableParagraph"/>
              <w:ind w:right="249"/>
              <w:rPr>
                <w:sz w:val="22"/>
              </w:rPr>
            </w:pPr>
            <w:r>
              <w:rPr>
                <w:sz w:val="22"/>
              </w:rPr>
              <w:t>Cipriano Matías Juan (2/8/2014)</w:t>
            </w:r>
          </w:p>
        </w:tc>
        <w:tc>
          <w:tcPr>
            <w:tcW w:w="1418" w:type="dxa"/>
          </w:tcPr>
          <w:p>
            <w:pPr>
              <w:pStyle w:val="TableParagraph"/>
              <w:ind w:left="144" w:right="149" w:firstLine="3"/>
              <w:jc w:val="center"/>
              <w:rPr>
                <w:sz w:val="22"/>
              </w:rPr>
            </w:pPr>
            <w:r>
              <w:rPr>
                <w:sz w:val="22"/>
              </w:rPr>
              <w:t>Agricultor y la     construcció n</w:t>
            </w:r>
          </w:p>
        </w:tc>
        <w:tc>
          <w:tcPr>
            <w:tcW w:w="1417" w:type="dxa"/>
          </w:tcPr>
          <w:p>
            <w:pPr>
              <w:pStyle w:val="TableParagraph"/>
              <w:ind w:left="100" w:right="174"/>
              <w:rPr>
                <w:sz w:val="22"/>
              </w:rPr>
            </w:pPr>
            <w:r>
              <w:rPr>
                <w:sz w:val="22"/>
              </w:rPr>
              <w:t>Comisariad o Ejidal</w:t>
            </w:r>
          </w:p>
        </w:tc>
        <w:tc>
          <w:tcPr>
            <w:tcW w:w="1560" w:type="dxa"/>
          </w:tcPr>
          <w:p>
            <w:pPr>
              <w:pStyle w:val="TableParagraph"/>
              <w:ind w:right="143"/>
              <w:rPr>
                <w:sz w:val="22"/>
              </w:rPr>
            </w:pPr>
            <w:r>
              <w:rPr>
                <w:sz w:val="22"/>
              </w:rPr>
              <w:t>San Martín</w:t>
            </w:r>
          </w:p>
        </w:tc>
        <w:tc>
          <w:tcPr>
            <w:tcW w:w="991" w:type="dxa"/>
          </w:tcPr>
          <w:p>
            <w:pPr>
              <w:pStyle w:val="TableParagraph"/>
              <w:ind w:left="100"/>
              <w:rPr>
                <w:sz w:val="22"/>
              </w:rPr>
            </w:pPr>
            <w:r>
              <w:rPr>
                <w:sz w:val="22"/>
              </w:rPr>
              <w:t>Aculco</w:t>
            </w:r>
          </w:p>
        </w:tc>
        <w:tc>
          <w:tcPr>
            <w:tcW w:w="1277" w:type="dxa"/>
          </w:tcPr>
          <w:p>
            <w:pPr>
              <w:pStyle w:val="TableParagraph"/>
              <w:ind w:right="460"/>
              <w:rPr>
                <w:sz w:val="22"/>
              </w:rPr>
            </w:pPr>
            <w:r>
              <w:rPr>
                <w:sz w:val="22"/>
              </w:rPr>
              <w:t>San Martín, Aculco</w:t>
            </w:r>
          </w:p>
        </w:tc>
        <w:tc>
          <w:tcPr>
            <w:tcW w:w="1133" w:type="dxa"/>
          </w:tcPr>
          <w:p>
            <w:pPr>
              <w:pStyle w:val="TableParagraph"/>
              <w:ind w:left="100" w:right="318"/>
              <w:rPr>
                <w:sz w:val="22"/>
              </w:rPr>
            </w:pPr>
            <w:r>
              <w:rPr>
                <w:sz w:val="22"/>
              </w:rPr>
              <w:t>San Martín, Aculco</w:t>
            </w:r>
          </w:p>
        </w:tc>
        <w:tc>
          <w:tcPr>
            <w:tcW w:w="1702" w:type="dxa"/>
          </w:tcPr>
          <w:p>
            <w:pPr>
              <w:pStyle w:val="TableParagraph"/>
              <w:tabs>
                <w:tab w:pos="741" w:val="left" w:leader="none"/>
                <w:tab w:pos="1340" w:val="left" w:leader="none"/>
              </w:tabs>
              <w:ind w:right="99"/>
              <w:rPr>
                <w:sz w:val="22"/>
              </w:rPr>
            </w:pPr>
            <w:r>
              <w:rPr>
                <w:sz w:val="22"/>
              </w:rPr>
              <w:t>Ah</w:t>
              <w:tab/>
              <w:t>sí,</w:t>
              <w:tab/>
              <w:t>de primera importancia por el sistema de riego para las</w:t>
              <w:tab/>
            </w:r>
            <w:r>
              <w:rPr>
                <w:spacing w:val="-1"/>
                <w:sz w:val="22"/>
              </w:rPr>
              <w:t>pasturas </w:t>
            </w:r>
            <w:r>
              <w:rPr>
                <w:sz w:val="22"/>
              </w:rPr>
              <w:t>de las vacas lecheras.</w:t>
            </w:r>
          </w:p>
        </w:tc>
        <w:tc>
          <w:tcPr>
            <w:tcW w:w="1985" w:type="dxa"/>
          </w:tcPr>
          <w:p>
            <w:pPr>
              <w:pStyle w:val="TableParagraph"/>
              <w:tabs>
                <w:tab w:pos="1629" w:val="left" w:leader="none"/>
              </w:tabs>
              <w:ind w:right="99"/>
              <w:rPr>
                <w:sz w:val="22"/>
              </w:rPr>
            </w:pPr>
            <w:r>
              <w:rPr>
                <w:sz w:val="22"/>
              </w:rPr>
              <w:t>La laguna se ha deteriorado nomas</w:t>
              <w:tab/>
              <w:t>en</w:t>
            </w:r>
          </w:p>
          <w:p>
            <w:pPr>
              <w:pStyle w:val="TableParagraph"/>
              <w:tabs>
                <w:tab w:pos="1629" w:val="left" w:leader="none"/>
              </w:tabs>
              <w:spacing w:before="1"/>
              <w:ind w:right="98"/>
              <w:rPr>
                <w:sz w:val="22"/>
              </w:rPr>
            </w:pPr>
            <w:r>
              <w:rPr>
                <w:sz w:val="22"/>
              </w:rPr>
              <w:t>cuestiones</w:t>
              <w:tab/>
              <w:t>de relleno</w:t>
            </w:r>
            <w:r>
              <w:rPr>
                <w:spacing w:val="-7"/>
                <w:sz w:val="22"/>
              </w:rPr>
              <w:t> </w:t>
            </w:r>
            <w:r>
              <w:rPr>
                <w:sz w:val="22"/>
              </w:rPr>
              <w:t>(azolve).</w:t>
            </w:r>
          </w:p>
        </w:tc>
      </w:tr>
      <w:tr>
        <w:trPr>
          <w:trHeight w:val="266" w:hRule="exact"/>
        </w:trPr>
        <w:tc>
          <w:tcPr>
            <w:tcW w:w="1385" w:type="dxa"/>
            <w:tcBorders>
              <w:bottom w:val="nil"/>
            </w:tcBorders>
          </w:tcPr>
          <w:p>
            <w:pPr>
              <w:pStyle w:val="TableParagraph"/>
              <w:spacing w:line="251" w:lineRule="exact"/>
              <w:rPr>
                <w:sz w:val="22"/>
              </w:rPr>
            </w:pPr>
            <w:r>
              <w:rPr>
                <w:sz w:val="22"/>
              </w:rPr>
              <w:t>Félix</w:t>
            </w:r>
            <w:r>
              <w:rPr>
                <w:spacing w:val="53"/>
                <w:sz w:val="22"/>
              </w:rPr>
              <w:t> </w:t>
            </w:r>
            <w:r>
              <w:rPr>
                <w:sz w:val="22"/>
              </w:rPr>
              <w:t>Lucas</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El Ejido de</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Para   El  Ejido</w:t>
            </w:r>
          </w:p>
        </w:tc>
        <w:tc>
          <w:tcPr>
            <w:tcW w:w="1985" w:type="dxa"/>
            <w:tcBorders>
              <w:bottom w:val="nil"/>
            </w:tcBorders>
          </w:tcPr>
          <w:p>
            <w:pPr>
              <w:pStyle w:val="TableParagraph"/>
              <w:spacing w:line="251" w:lineRule="exact"/>
              <w:rPr>
                <w:sz w:val="22"/>
              </w:rPr>
            </w:pPr>
            <w:r>
              <w:rPr>
                <w:sz w:val="22"/>
              </w:rPr>
              <w:t>Sí  porque  no  se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Pablo</w:t>
            </w:r>
          </w:p>
        </w:tc>
        <w:tc>
          <w:tcPr>
            <w:tcW w:w="1418" w:type="dxa"/>
            <w:tcBorders>
              <w:top w:val="nil"/>
              <w:bottom w:val="nil"/>
            </w:tcBorders>
          </w:tcPr>
          <w:p>
            <w:pPr>
              <w:pStyle w:val="TableParagraph"/>
              <w:spacing w:line="241" w:lineRule="exact"/>
              <w:ind w:left="102" w:right="104"/>
              <w:jc w:val="center"/>
              <w:rPr>
                <w:sz w:val="22"/>
              </w:rPr>
            </w:pPr>
            <w:r>
              <w:rPr>
                <w:sz w:val="22"/>
              </w:rPr>
              <w:t>la</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Style w:val="TableParagraph"/>
              <w:spacing w:line="241" w:lineRule="exact"/>
              <w:ind w:right="143"/>
              <w:rPr>
                <w:sz w:val="22"/>
              </w:rPr>
            </w:pPr>
            <w:r>
              <w:rPr>
                <w:sz w:val="22"/>
              </w:rPr>
              <w:t>Timilpan se</w:t>
            </w: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Andrés,</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spacing w:line="241" w:lineRule="exact"/>
              <w:rPr>
                <w:sz w:val="22"/>
              </w:rPr>
            </w:pPr>
            <w:r>
              <w:rPr>
                <w:sz w:val="22"/>
              </w:rPr>
              <w:t>no,  pero </w:t>
            </w:r>
            <w:r>
              <w:rPr>
                <w:spacing w:val="53"/>
                <w:sz w:val="22"/>
              </w:rPr>
              <w:t> </w:t>
            </w:r>
            <w:r>
              <w:rPr>
                <w:sz w:val="22"/>
              </w:rPr>
              <w:t>para</w:t>
            </w:r>
          </w:p>
        </w:tc>
        <w:tc>
          <w:tcPr>
            <w:tcW w:w="1985" w:type="dxa"/>
            <w:tcBorders>
              <w:top w:val="nil"/>
              <w:bottom w:val="nil"/>
            </w:tcBorders>
          </w:tcPr>
          <w:p>
            <w:pPr>
              <w:pStyle w:val="TableParagraph"/>
              <w:tabs>
                <w:tab w:pos="506" w:val="left" w:leader="none"/>
                <w:tab w:pos="983" w:val="left" w:leader="none"/>
                <w:tab w:pos="1703" w:val="left" w:leader="none"/>
              </w:tabs>
              <w:spacing w:line="241" w:lineRule="exact"/>
              <w:rPr>
                <w:sz w:val="22"/>
              </w:rPr>
            </w:pPr>
            <w:r>
              <w:rPr>
                <w:sz w:val="22"/>
              </w:rPr>
              <w:t>le</w:t>
              <w:tab/>
              <w:t>ha</w:t>
              <w:tab/>
              <w:t>dado</w:t>
              <w:tab/>
              <w:t>el</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(3/8/2014)</w:t>
            </w:r>
          </w:p>
        </w:tc>
        <w:tc>
          <w:tcPr>
            <w:tcW w:w="1418" w:type="dxa"/>
            <w:tcBorders>
              <w:top w:val="nil"/>
              <w:bottom w:val="nil"/>
            </w:tcBorders>
          </w:tcPr>
          <w:p>
            <w:pPr>
              <w:pStyle w:val="TableParagraph"/>
              <w:spacing w:line="242" w:lineRule="exact"/>
              <w:ind w:left="97" w:right="104"/>
              <w:jc w:val="center"/>
              <w:rPr>
                <w:sz w:val="22"/>
              </w:rPr>
            </w:pPr>
            <w:r>
              <w:rPr>
                <w:sz w:val="22"/>
              </w:rPr>
              <w:t>Comisaría</w:t>
            </w: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18"/>
              <w:rPr>
                <w:sz w:val="22"/>
              </w:rPr>
            </w:pPr>
            <w:r>
              <w:rPr>
                <w:sz w:val="22"/>
              </w:rPr>
              <w:t>compone de:</w:t>
            </w:r>
          </w:p>
        </w:tc>
        <w:tc>
          <w:tcPr>
            <w:tcW w:w="991" w:type="dxa"/>
            <w:tcBorders>
              <w:top w:val="nil"/>
              <w:bottom w:val="nil"/>
            </w:tcBorders>
          </w:tcPr>
          <w:p>
            <w:pPr>
              <w:pStyle w:val="TableParagraph"/>
              <w:spacing w:line="242" w:lineRule="exact"/>
              <w:ind w:left="100"/>
              <w:rPr>
                <w:sz w:val="22"/>
              </w:rPr>
            </w:pPr>
            <w:r>
              <w:rPr>
                <w:sz w:val="22"/>
              </w:rPr>
              <w:t>Aculco</w:t>
            </w:r>
          </w:p>
        </w:tc>
        <w:tc>
          <w:tcPr>
            <w:tcW w:w="1277" w:type="dxa"/>
            <w:tcBorders>
              <w:top w:val="nil"/>
              <w:bottom w:val="nil"/>
            </w:tcBorders>
          </w:tcPr>
          <w:p>
            <w:pPr>
              <w:pStyle w:val="TableParagraph"/>
              <w:spacing w:line="242" w:lineRule="exact"/>
              <w:ind w:right="92"/>
              <w:rPr>
                <w:sz w:val="22"/>
              </w:rPr>
            </w:pPr>
            <w:r>
              <w:rPr>
                <w:sz w:val="22"/>
              </w:rPr>
              <w:t>Timilpan</w:t>
            </w:r>
          </w:p>
        </w:tc>
        <w:tc>
          <w:tcPr>
            <w:tcW w:w="1133" w:type="dxa"/>
            <w:tcBorders>
              <w:top w:val="nil"/>
              <w:bottom w:val="nil"/>
            </w:tcBorders>
          </w:tcPr>
          <w:p>
            <w:pPr>
              <w:pStyle w:val="TableParagraph"/>
              <w:spacing w:line="242" w:lineRule="exact"/>
              <w:ind w:left="100" w:right="52"/>
              <w:rPr>
                <w:sz w:val="22"/>
              </w:rPr>
            </w:pPr>
            <w:r>
              <w:rPr>
                <w:sz w:val="22"/>
              </w:rPr>
              <w:t>Aculco</w:t>
            </w:r>
          </w:p>
        </w:tc>
        <w:tc>
          <w:tcPr>
            <w:tcW w:w="1702" w:type="dxa"/>
            <w:tcBorders>
              <w:top w:val="nil"/>
              <w:bottom w:val="nil"/>
            </w:tcBorders>
          </w:tcPr>
          <w:p>
            <w:pPr>
              <w:pStyle w:val="TableParagraph"/>
              <w:tabs>
                <w:tab w:pos="570" w:val="left" w:leader="none"/>
                <w:tab w:pos="1416" w:val="left" w:leader="none"/>
              </w:tabs>
              <w:spacing w:line="242" w:lineRule="exact"/>
              <w:rPr>
                <w:sz w:val="22"/>
              </w:rPr>
            </w:pPr>
            <w:r>
              <w:rPr>
                <w:sz w:val="22"/>
              </w:rPr>
              <w:t>mi</w:t>
              <w:tab/>
              <w:t>región</w:t>
              <w:tab/>
              <w:t>sí</w:t>
            </w:r>
          </w:p>
        </w:tc>
        <w:tc>
          <w:tcPr>
            <w:tcW w:w="1985" w:type="dxa"/>
            <w:tcBorders>
              <w:top w:val="nil"/>
              <w:bottom w:val="nil"/>
            </w:tcBorders>
          </w:tcPr>
          <w:p>
            <w:pPr>
              <w:pStyle w:val="TableParagraph"/>
              <w:spacing w:line="242" w:lineRule="exact"/>
              <w:rPr>
                <w:sz w:val="22"/>
              </w:rPr>
            </w:pPr>
            <w:r>
              <w:rPr>
                <w:sz w:val="22"/>
              </w:rPr>
              <w:t>mantenimiento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El Azafrán</w:t>
            </w:r>
          </w:p>
        </w:tc>
        <w:tc>
          <w:tcPr>
            <w:tcW w:w="991" w:type="dxa"/>
            <w:tcBorders>
              <w:top w:val="nil"/>
              <w:bottom w:val="nil"/>
            </w:tcBorders>
          </w:tcPr>
          <w:p>
            <w:pPr>
              <w:pStyle w:val="TableParagraph"/>
              <w:spacing w:line="241" w:lineRule="exact"/>
              <w:ind w:left="100"/>
              <w:rPr>
                <w:sz w:val="22"/>
              </w:rPr>
            </w:pPr>
            <w:r>
              <w:rPr>
                <w:w w:val="100"/>
                <w:sz w:val="22"/>
              </w:rPr>
              <w:t>y</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porque cuando</w:t>
            </w:r>
          </w:p>
        </w:tc>
        <w:tc>
          <w:tcPr>
            <w:tcW w:w="1985" w:type="dxa"/>
            <w:tcBorders>
              <w:top w:val="nil"/>
              <w:bottom w:val="nil"/>
            </w:tcBorders>
          </w:tcPr>
          <w:p>
            <w:pPr>
              <w:pStyle w:val="TableParagraph"/>
              <w:spacing w:line="241" w:lineRule="exact"/>
              <w:rPr>
                <w:sz w:val="22"/>
              </w:rPr>
            </w:pPr>
            <w:r>
              <w:rPr>
                <w:sz w:val="22"/>
              </w:rPr>
              <w:t>adecuado,  por  lo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3" w:lineRule="exact"/>
              <w:ind w:right="118"/>
              <w:rPr>
                <w:sz w:val="22"/>
              </w:rPr>
            </w:pPr>
            <w:r>
              <w:rPr>
                <w:sz w:val="22"/>
              </w:rPr>
              <w:t>(Aculco), Los</w:t>
            </w:r>
          </w:p>
        </w:tc>
        <w:tc>
          <w:tcPr>
            <w:tcW w:w="991" w:type="dxa"/>
            <w:tcBorders>
              <w:top w:val="nil"/>
              <w:bottom w:val="nil"/>
            </w:tcBorders>
          </w:tcPr>
          <w:p>
            <w:pPr>
              <w:pStyle w:val="TableParagraph"/>
              <w:spacing w:line="243" w:lineRule="exact"/>
              <w:ind w:left="100"/>
              <w:rPr>
                <w:sz w:val="22"/>
              </w:rPr>
            </w:pPr>
            <w:r>
              <w:rPr>
                <w:sz w:val="22"/>
              </w:rPr>
              <w:t>Timilpa</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tiene  agua</w:t>
            </w:r>
            <w:r>
              <w:rPr>
                <w:spacing w:val="51"/>
                <w:sz w:val="22"/>
              </w:rPr>
              <w:t> </w:t>
            </w:r>
            <w:r>
              <w:rPr>
                <w:sz w:val="22"/>
              </w:rPr>
              <w:t>las</w:t>
            </w:r>
          </w:p>
        </w:tc>
        <w:tc>
          <w:tcPr>
            <w:tcW w:w="1985" w:type="dxa"/>
            <w:tcBorders>
              <w:top w:val="nil"/>
              <w:bottom w:val="nil"/>
            </w:tcBorders>
          </w:tcPr>
          <w:p>
            <w:pPr>
              <w:pStyle w:val="TableParagraph"/>
              <w:tabs>
                <w:tab w:pos="724" w:val="left" w:leader="none"/>
              </w:tabs>
              <w:spacing w:line="243" w:lineRule="exact"/>
              <w:rPr>
                <w:sz w:val="22"/>
              </w:rPr>
            </w:pPr>
            <w:r>
              <w:rPr>
                <w:sz w:val="22"/>
              </w:rPr>
              <w:t>que</w:t>
              <w:tab/>
              <w:t>debiéramos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Pilares</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reservas están</w:t>
            </w:r>
          </w:p>
        </w:tc>
        <w:tc>
          <w:tcPr>
            <w:tcW w:w="1985" w:type="dxa"/>
            <w:tcBorders>
              <w:top w:val="nil"/>
              <w:bottom w:val="nil"/>
            </w:tcBorders>
          </w:tcPr>
          <w:p>
            <w:pPr>
              <w:pStyle w:val="TableParagraph"/>
              <w:spacing w:line="241" w:lineRule="exact"/>
              <w:rPr>
                <w:sz w:val="22"/>
              </w:rPr>
            </w:pPr>
            <w:r>
              <w:rPr>
                <w:sz w:val="22"/>
              </w:rPr>
              <w:t>limpiar el azolve 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aniveladas,</w:t>
            </w:r>
          </w:p>
        </w:tc>
        <w:tc>
          <w:tcPr>
            <w:tcW w:w="1985" w:type="dxa"/>
            <w:tcBorders>
              <w:top w:val="nil"/>
              <w:bottom w:val="nil"/>
            </w:tcBorders>
          </w:tcPr>
          <w:p>
            <w:pPr>
              <w:pStyle w:val="TableParagraph"/>
              <w:tabs>
                <w:tab w:pos="1750" w:val="left" w:leader="none"/>
              </w:tabs>
              <w:spacing w:line="241" w:lineRule="exact"/>
              <w:rPr>
                <w:sz w:val="22"/>
              </w:rPr>
            </w:pPr>
            <w:r>
              <w:rPr>
                <w:sz w:val="22"/>
              </w:rPr>
              <w:t>reintegrarlo</w:t>
              <w:tab/>
              <w:t>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Las Arenas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porque cuando</w:t>
            </w:r>
          </w:p>
        </w:tc>
        <w:tc>
          <w:tcPr>
            <w:tcW w:w="1985" w:type="dxa"/>
            <w:tcBorders>
              <w:top w:val="nil"/>
              <w:bottom w:val="nil"/>
            </w:tcBorders>
          </w:tcPr>
          <w:p>
            <w:pPr>
              <w:pStyle w:val="TableParagraph"/>
              <w:spacing w:line="242" w:lineRule="exact"/>
              <w:rPr>
                <w:sz w:val="22"/>
              </w:rPr>
            </w:pPr>
            <w:r>
              <w:rPr>
                <w:sz w:val="22"/>
              </w:rPr>
              <w:t>nuestros   cultivos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no   hay   agua</w:t>
            </w:r>
          </w:p>
        </w:tc>
        <w:tc>
          <w:tcPr>
            <w:tcW w:w="1985" w:type="dxa"/>
            <w:tcBorders>
              <w:top w:val="nil"/>
              <w:bottom w:val="nil"/>
            </w:tcBorders>
          </w:tcPr>
          <w:p>
            <w:pPr>
              <w:pStyle w:val="TableParagraph"/>
              <w:spacing w:line="241" w:lineRule="exact"/>
              <w:rPr>
                <w:sz w:val="22"/>
              </w:rPr>
            </w:pPr>
            <w:r>
              <w:rPr>
                <w:sz w:val="22"/>
              </w:rPr>
              <w:t>porque   les  sirve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Las Trojes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en la laguna</w:t>
            </w:r>
            <w:r>
              <w:rPr>
                <w:spacing w:val="51"/>
                <w:sz w:val="22"/>
              </w:rPr>
              <w:t> </w:t>
            </w:r>
            <w:r>
              <w:rPr>
                <w:sz w:val="22"/>
              </w:rPr>
              <w:t>el</w:t>
            </w:r>
          </w:p>
        </w:tc>
        <w:tc>
          <w:tcPr>
            <w:tcW w:w="1985" w:type="dxa"/>
            <w:tcBorders>
              <w:top w:val="nil"/>
              <w:bottom w:val="nil"/>
            </w:tcBorders>
          </w:tcPr>
          <w:p>
            <w:pPr>
              <w:pStyle w:val="TableParagraph"/>
              <w:spacing w:line="242" w:lineRule="exact"/>
              <w:rPr>
                <w:sz w:val="22"/>
              </w:rPr>
            </w:pPr>
            <w:r>
              <w:rPr>
                <w:sz w:val="22"/>
              </w:rPr>
              <w:t>de  abono  y  si se</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consumo</w:t>
              <w:tab/>
              <w:t>de</w:t>
            </w:r>
          </w:p>
        </w:tc>
        <w:tc>
          <w:tcPr>
            <w:tcW w:w="1985" w:type="dxa"/>
            <w:tcBorders>
              <w:top w:val="nil"/>
              <w:bottom w:val="nil"/>
            </w:tcBorders>
          </w:tcPr>
          <w:p>
            <w:pPr>
              <w:pStyle w:val="TableParagraph"/>
              <w:tabs>
                <w:tab w:pos="741" w:val="left" w:leader="none"/>
                <w:tab w:pos="1148" w:val="left" w:leader="none"/>
              </w:tabs>
              <w:spacing w:line="241" w:lineRule="exact"/>
              <w:rPr>
                <w:sz w:val="22"/>
              </w:rPr>
            </w:pPr>
            <w:r>
              <w:rPr>
                <w:sz w:val="22"/>
              </w:rPr>
              <w:t>hizo</w:t>
              <w:tab/>
              <w:t>la</w:t>
              <w:tab/>
              <w:t>muralla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Lomas 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agua</w:t>
            </w:r>
          </w:p>
        </w:tc>
        <w:tc>
          <w:tcPr>
            <w:tcW w:w="1985" w:type="dxa"/>
            <w:tcBorders>
              <w:top w:val="nil"/>
              <w:bottom w:val="nil"/>
            </w:tcBorders>
          </w:tcPr>
          <w:p>
            <w:pPr>
              <w:pStyle w:val="TableParagraph"/>
              <w:tabs>
                <w:tab w:pos="945" w:val="left" w:leader="none"/>
                <w:tab w:pos="1629" w:val="left" w:leader="none"/>
              </w:tabs>
              <w:spacing w:line="241" w:lineRule="exact"/>
              <w:rPr>
                <w:sz w:val="22"/>
              </w:rPr>
            </w:pPr>
            <w:r>
              <w:rPr>
                <w:sz w:val="22"/>
              </w:rPr>
              <w:t>china</w:t>
              <w:tab/>
              <w:t>que</w:t>
              <w:tab/>
              <w:t>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Emiliano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2" w:lineRule="exact"/>
              <w:rPr>
                <w:sz w:val="22"/>
              </w:rPr>
            </w:pPr>
            <w:r>
              <w:rPr>
                <w:sz w:val="22"/>
              </w:rPr>
              <w:t>doméstica</w:t>
              <w:tab/>
              <w:t>es</w:t>
            </w:r>
          </w:p>
        </w:tc>
        <w:tc>
          <w:tcPr>
            <w:tcW w:w="1985" w:type="dxa"/>
            <w:tcBorders>
              <w:top w:val="nil"/>
              <w:bottom w:val="nil"/>
            </w:tcBorders>
          </w:tcPr>
          <w:p>
            <w:pPr>
              <w:pStyle w:val="TableParagraph"/>
              <w:tabs>
                <w:tab w:pos="1324" w:val="left" w:leader="none"/>
              </w:tabs>
              <w:spacing w:line="242" w:lineRule="exact"/>
              <w:rPr>
                <w:sz w:val="22"/>
              </w:rPr>
            </w:pPr>
            <w:r>
              <w:rPr>
                <w:sz w:val="22"/>
              </w:rPr>
              <w:t>podamos</w:t>
              <w:tab/>
              <w:t>hacer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Zapata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mayor,  ya que</w:t>
            </w:r>
          </w:p>
        </w:tc>
        <w:tc>
          <w:tcPr>
            <w:tcW w:w="1985" w:type="dxa"/>
            <w:tcBorders>
              <w:top w:val="nil"/>
              <w:bottom w:val="nil"/>
            </w:tcBorders>
          </w:tcPr>
          <w:p>
            <w:pPr>
              <w:pStyle w:val="TableParagraph"/>
              <w:spacing w:line="241" w:lineRule="exact"/>
              <w:rPr>
                <w:sz w:val="22"/>
              </w:rPr>
            </w:pPr>
            <w:r>
              <w:rPr>
                <w:sz w:val="22"/>
              </w:rPr>
              <w:t>una cosita aquí.</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3" w:lineRule="exact"/>
              <w:ind w:right="143"/>
              <w:rPr>
                <w:sz w:val="22"/>
              </w:rPr>
            </w:pPr>
            <w:r>
              <w:rPr>
                <w:sz w:val="22"/>
              </w:rPr>
              <w:t>(Timilpan),</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18" w:val="left" w:leader="none"/>
              </w:tabs>
              <w:spacing w:line="243" w:lineRule="exact"/>
              <w:rPr>
                <w:sz w:val="22"/>
              </w:rPr>
            </w:pPr>
            <w:r>
              <w:rPr>
                <w:sz w:val="22"/>
              </w:rPr>
              <w:t>la</w:t>
              <w:tab/>
              <w:t>usamos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9" w:val="left" w:leader="none"/>
              </w:tabs>
              <w:spacing w:line="241" w:lineRule="exact"/>
              <w:rPr>
                <w:sz w:val="22"/>
              </w:rPr>
            </w:pPr>
            <w:r>
              <w:rPr>
                <w:sz w:val="22"/>
              </w:rPr>
              <w:t>también</w:t>
              <w:tab/>
              <w:t>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Campesina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que  tomen los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(Timilpan),</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animales.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Pueblo 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Style w:val="TableParagraph"/>
              <w:spacing w:line="242" w:lineRule="exact"/>
              <w:ind w:right="143"/>
              <w:rPr>
                <w:sz w:val="22"/>
              </w:rPr>
            </w:pPr>
            <w:r>
              <w:rPr>
                <w:sz w:val="22"/>
              </w:rPr>
              <w:t>Zaragoza</w:t>
            </w: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4818" w:hRule="exact"/>
        </w:trPr>
        <w:tc>
          <w:tcPr>
            <w:tcW w:w="1385" w:type="dxa"/>
          </w:tcPr>
          <w:p>
            <w:pPr/>
          </w:p>
        </w:tc>
        <w:tc>
          <w:tcPr>
            <w:tcW w:w="1418" w:type="dxa"/>
          </w:tcPr>
          <w:p>
            <w:pPr/>
          </w:p>
        </w:tc>
        <w:tc>
          <w:tcPr>
            <w:tcW w:w="1417" w:type="dxa"/>
          </w:tcPr>
          <w:p>
            <w:pPr/>
          </w:p>
        </w:tc>
        <w:tc>
          <w:tcPr>
            <w:tcW w:w="1560" w:type="dxa"/>
          </w:tcPr>
          <w:p>
            <w:pPr>
              <w:pStyle w:val="TableParagraph"/>
              <w:ind w:right="118"/>
              <w:rPr>
                <w:sz w:val="22"/>
              </w:rPr>
            </w:pPr>
            <w:r>
              <w:rPr>
                <w:sz w:val="22"/>
              </w:rPr>
              <w:t>(Timilpan), Barrio de Morelos (Timilpan), Montes de Bucio (Timilpan), pero hay un conflicto social porque desde 1958 se dividió El Ejido y una parte lo tiene Santa María Las Arenas, aunque esa parte está en conflicto.</w:t>
            </w:r>
          </w:p>
        </w:tc>
        <w:tc>
          <w:tcPr>
            <w:tcW w:w="991" w:type="dxa"/>
          </w:tcPr>
          <w:p>
            <w:pPr/>
          </w:p>
        </w:tc>
        <w:tc>
          <w:tcPr>
            <w:tcW w:w="1277" w:type="dxa"/>
          </w:tcPr>
          <w:p>
            <w:pPr/>
          </w:p>
        </w:tc>
        <w:tc>
          <w:tcPr>
            <w:tcW w:w="1133" w:type="dxa"/>
          </w:tcPr>
          <w:p>
            <w:pPr/>
          </w:p>
        </w:tc>
        <w:tc>
          <w:tcPr>
            <w:tcW w:w="1702" w:type="dxa"/>
          </w:tcPr>
          <w:p>
            <w:pPr/>
          </w:p>
        </w:tc>
        <w:tc>
          <w:tcPr>
            <w:tcW w:w="1985" w:type="dxa"/>
          </w:tcPr>
          <w:p>
            <w:pPr/>
          </w:p>
        </w:tc>
      </w:tr>
      <w:tr>
        <w:trPr>
          <w:trHeight w:val="3805" w:hRule="exact"/>
        </w:trPr>
        <w:tc>
          <w:tcPr>
            <w:tcW w:w="1385" w:type="dxa"/>
          </w:tcPr>
          <w:p>
            <w:pPr>
              <w:pStyle w:val="TableParagraph"/>
              <w:ind w:right="249"/>
              <w:rPr>
                <w:sz w:val="22"/>
              </w:rPr>
            </w:pPr>
            <w:r>
              <w:rPr>
                <w:sz w:val="22"/>
              </w:rPr>
              <w:t>José Antonio Martínez García (4/9/2014)</w:t>
            </w:r>
          </w:p>
        </w:tc>
        <w:tc>
          <w:tcPr>
            <w:tcW w:w="1418" w:type="dxa"/>
          </w:tcPr>
          <w:p>
            <w:pPr>
              <w:pStyle w:val="TableParagraph"/>
              <w:ind w:left="156" w:right="159"/>
              <w:jc w:val="center"/>
              <w:rPr>
                <w:sz w:val="22"/>
              </w:rPr>
            </w:pPr>
            <w:r>
              <w:rPr>
                <w:sz w:val="22"/>
              </w:rPr>
              <w:t>El campo y</w:t>
            </w:r>
            <w:r>
              <w:rPr>
                <w:w w:val="100"/>
                <w:sz w:val="22"/>
              </w:rPr>
              <w:t> </w:t>
            </w:r>
            <w:r>
              <w:rPr>
                <w:sz w:val="22"/>
              </w:rPr>
              <w:t>la     ganadería</w:t>
            </w:r>
          </w:p>
        </w:tc>
        <w:tc>
          <w:tcPr>
            <w:tcW w:w="1417" w:type="dxa"/>
          </w:tcPr>
          <w:p>
            <w:pPr>
              <w:pStyle w:val="TableParagraph"/>
              <w:spacing w:line="252" w:lineRule="exact" w:before="2"/>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Ruano</w:t>
            </w:r>
          </w:p>
        </w:tc>
        <w:tc>
          <w:tcPr>
            <w:tcW w:w="991" w:type="dxa"/>
          </w:tcPr>
          <w:p>
            <w:pPr>
              <w:pStyle w:val="TableParagraph"/>
              <w:spacing w:line="252" w:lineRule="exact" w:before="2"/>
              <w:ind w:left="100" w:right="201"/>
              <w:rPr>
                <w:sz w:val="22"/>
              </w:rPr>
            </w:pPr>
            <w:r>
              <w:rPr>
                <w:sz w:val="22"/>
              </w:rPr>
              <w:t>Polotitl án</w:t>
            </w:r>
          </w:p>
        </w:tc>
        <w:tc>
          <w:tcPr>
            <w:tcW w:w="1277" w:type="dxa"/>
          </w:tcPr>
          <w:p>
            <w:pPr>
              <w:pStyle w:val="TableParagraph"/>
              <w:spacing w:line="252" w:lineRule="exact" w:before="2"/>
              <w:ind w:right="239"/>
              <w:rPr>
                <w:sz w:val="22"/>
              </w:rPr>
            </w:pPr>
            <w:r>
              <w:rPr>
                <w:sz w:val="22"/>
              </w:rPr>
              <w:t>Ruano, Polotitlán</w:t>
            </w:r>
          </w:p>
        </w:tc>
        <w:tc>
          <w:tcPr>
            <w:tcW w:w="1133" w:type="dxa"/>
          </w:tcPr>
          <w:p>
            <w:pPr>
              <w:pStyle w:val="TableParagraph"/>
              <w:spacing w:line="252" w:lineRule="exact" w:before="2"/>
              <w:ind w:left="100" w:right="98"/>
              <w:rPr>
                <w:sz w:val="22"/>
              </w:rPr>
            </w:pPr>
            <w:r>
              <w:rPr>
                <w:sz w:val="22"/>
              </w:rPr>
              <w:t>Ruano, Polotitlán</w:t>
            </w:r>
          </w:p>
        </w:tc>
        <w:tc>
          <w:tcPr>
            <w:tcW w:w="1702" w:type="dxa"/>
          </w:tcPr>
          <w:p>
            <w:pPr>
              <w:pStyle w:val="TableParagraph"/>
              <w:tabs>
                <w:tab w:pos="928" w:val="left" w:leader="none"/>
                <w:tab w:pos="976" w:val="left" w:leader="none"/>
                <w:tab w:pos="1235" w:val="left" w:leader="none"/>
                <w:tab w:pos="1357" w:val="left" w:leader="none"/>
              </w:tabs>
              <w:ind w:right="98"/>
              <w:rPr>
                <w:sz w:val="22"/>
              </w:rPr>
            </w:pPr>
            <w:r>
              <w:rPr>
                <w:sz w:val="22"/>
              </w:rPr>
              <w:t>La</w:t>
              <w:tab/>
              <w:t>laguna Huapango</w:t>
              <w:tab/>
              <w:tab/>
              <w:t>es muy importante para el ejido y la</w:t>
              <w:tab/>
              <w:tab/>
              <w:t>región porque</w:t>
              <w:tab/>
              <w:tab/>
              <w:tab/>
              <w:t>nos</w:t>
            </w:r>
          </w:p>
          <w:p>
            <w:pPr>
              <w:pStyle w:val="TableParagraph"/>
              <w:tabs>
                <w:tab w:pos="1146" w:val="left" w:leader="none"/>
              </w:tabs>
              <w:spacing w:line="252" w:lineRule="exact" w:before="1"/>
              <w:rPr>
                <w:sz w:val="22"/>
              </w:rPr>
            </w:pPr>
            <w:r>
              <w:rPr>
                <w:sz w:val="22"/>
              </w:rPr>
              <w:t>sirve</w:t>
              <w:tab/>
              <w:t>para</w:t>
            </w:r>
          </w:p>
          <w:p>
            <w:pPr>
              <w:pStyle w:val="TableParagraph"/>
              <w:tabs>
                <w:tab w:pos="1038" w:val="left" w:leader="none"/>
                <w:tab w:pos="1148" w:val="left" w:leader="none"/>
              </w:tabs>
              <w:ind w:right="99"/>
              <w:rPr>
                <w:sz w:val="22"/>
              </w:rPr>
            </w:pPr>
            <w:r>
              <w:rPr>
                <w:sz w:val="22"/>
              </w:rPr>
              <w:t>regar,</w:t>
              <w:tab/>
              <w:tab/>
              <w:t>pero necesitamos que</w:t>
              <w:tab/>
              <w:t>tenga</w:t>
            </w:r>
          </w:p>
          <w:p>
            <w:pPr>
              <w:pStyle w:val="TableParagraph"/>
              <w:tabs>
                <w:tab w:pos="1345" w:val="left" w:leader="none"/>
              </w:tabs>
              <w:spacing w:line="252" w:lineRule="exact"/>
              <w:rPr>
                <w:sz w:val="22"/>
              </w:rPr>
            </w:pPr>
            <w:r>
              <w:rPr>
                <w:sz w:val="22"/>
              </w:rPr>
              <w:t>agua,</w:t>
              <w:tab/>
              <w:t>no</w:t>
            </w:r>
          </w:p>
          <w:p>
            <w:pPr>
              <w:pStyle w:val="TableParagraph"/>
              <w:tabs>
                <w:tab w:pos="1220" w:val="left" w:leader="none"/>
              </w:tabs>
              <w:spacing w:line="252" w:lineRule="exact" w:before="1"/>
              <w:rPr>
                <w:sz w:val="22"/>
              </w:rPr>
            </w:pPr>
            <w:r>
              <w:rPr>
                <w:sz w:val="22"/>
              </w:rPr>
              <w:t>importa</w:t>
              <w:tab/>
              <w:t>que</w:t>
            </w:r>
          </w:p>
          <w:p>
            <w:pPr>
              <w:pStyle w:val="TableParagraph"/>
              <w:tabs>
                <w:tab w:pos="1100" w:val="left" w:leader="none"/>
              </w:tabs>
              <w:ind w:right="99"/>
              <w:rPr>
                <w:sz w:val="22"/>
              </w:rPr>
            </w:pPr>
            <w:r>
              <w:rPr>
                <w:sz w:val="22"/>
              </w:rPr>
              <w:t>traigan</w:t>
              <w:tab/>
              <w:t>agua de</w:t>
            </w:r>
            <w:r>
              <w:rPr>
                <w:spacing w:val="-1"/>
                <w:sz w:val="22"/>
              </w:rPr>
              <w:t> </w:t>
            </w:r>
            <w:r>
              <w:rPr>
                <w:sz w:val="22"/>
              </w:rPr>
              <w:t>Toluca.</w:t>
            </w:r>
          </w:p>
        </w:tc>
        <w:tc>
          <w:tcPr>
            <w:tcW w:w="1985" w:type="dxa"/>
          </w:tcPr>
          <w:p>
            <w:pPr>
              <w:pStyle w:val="TableParagraph"/>
              <w:tabs>
                <w:tab w:pos="1211" w:val="left" w:leader="none"/>
              </w:tabs>
              <w:ind w:right="98"/>
              <w:jc w:val="both"/>
              <w:rPr>
                <w:sz w:val="22"/>
              </w:rPr>
            </w:pPr>
            <w:r>
              <w:rPr>
                <w:sz w:val="22"/>
              </w:rPr>
              <w:t>La</w:t>
              <w:tab/>
              <w:t>laguna Huapango se ha agrietado en su cortina por  falta de agua, ya que hay</w:t>
              <w:tab/>
              <w:t>mucha sequía.</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66" w:hRule="exact"/>
        </w:trPr>
        <w:tc>
          <w:tcPr>
            <w:tcW w:w="1385" w:type="dxa"/>
            <w:tcBorders>
              <w:bottom w:val="nil"/>
            </w:tcBorders>
          </w:tcPr>
          <w:p>
            <w:pPr>
              <w:pStyle w:val="TableParagraph"/>
              <w:tabs>
                <w:tab w:pos="796" w:val="left" w:leader="none"/>
              </w:tabs>
              <w:spacing w:line="251" w:lineRule="exact"/>
              <w:rPr>
                <w:sz w:val="22"/>
              </w:rPr>
            </w:pPr>
            <w:r>
              <w:rPr>
                <w:sz w:val="22"/>
              </w:rPr>
              <w:t>José</w:t>
              <w:tab/>
              <w:t>Juan</w:t>
            </w:r>
          </w:p>
        </w:tc>
        <w:tc>
          <w:tcPr>
            <w:tcW w:w="1418" w:type="dxa"/>
            <w:tcBorders>
              <w:bottom w:val="nil"/>
            </w:tcBorders>
          </w:tcPr>
          <w:p>
            <w:pPr>
              <w:pStyle w:val="TableParagraph"/>
              <w:spacing w:line="251" w:lineRule="exact"/>
              <w:ind w:left="0" w:right="159"/>
              <w:jc w:val="right"/>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Encinillas</w:t>
            </w:r>
          </w:p>
        </w:tc>
        <w:tc>
          <w:tcPr>
            <w:tcW w:w="991" w:type="dxa"/>
            <w:tcBorders>
              <w:bottom w:val="nil"/>
            </w:tcBorders>
          </w:tcPr>
          <w:p>
            <w:pPr>
              <w:pStyle w:val="TableParagraph"/>
              <w:spacing w:line="251" w:lineRule="exact"/>
              <w:ind w:left="100"/>
              <w:rPr>
                <w:sz w:val="22"/>
              </w:rPr>
            </w:pPr>
            <w:r>
              <w:rPr>
                <w:sz w:val="22"/>
              </w:rPr>
              <w:t>Polotitl</w:t>
            </w:r>
          </w:p>
        </w:tc>
        <w:tc>
          <w:tcPr>
            <w:tcW w:w="1277" w:type="dxa"/>
            <w:tcBorders>
              <w:bottom w:val="nil"/>
            </w:tcBorders>
          </w:tcPr>
          <w:p>
            <w:pPr>
              <w:pStyle w:val="TableParagraph"/>
              <w:spacing w:line="251" w:lineRule="exact"/>
              <w:ind w:right="92"/>
              <w:rPr>
                <w:sz w:val="22"/>
              </w:rPr>
            </w:pPr>
            <w:r>
              <w:rPr>
                <w:sz w:val="22"/>
              </w:rPr>
              <w:t>San Juan</w:t>
            </w:r>
          </w:p>
        </w:tc>
        <w:tc>
          <w:tcPr>
            <w:tcW w:w="1133" w:type="dxa"/>
            <w:tcBorders>
              <w:bottom w:val="nil"/>
            </w:tcBorders>
          </w:tcPr>
          <w:p>
            <w:pPr>
              <w:pStyle w:val="TableParagraph"/>
              <w:spacing w:line="251" w:lineRule="exact"/>
              <w:ind w:left="100" w:right="52"/>
              <w:rPr>
                <w:sz w:val="22"/>
              </w:rPr>
            </w:pPr>
            <w:r>
              <w:rPr>
                <w:sz w:val="22"/>
              </w:rPr>
              <w:t>Encinilla</w:t>
            </w:r>
          </w:p>
        </w:tc>
        <w:tc>
          <w:tcPr>
            <w:tcW w:w="1702" w:type="dxa"/>
            <w:tcBorders>
              <w:bottom w:val="nil"/>
            </w:tcBorders>
          </w:tcPr>
          <w:p>
            <w:pPr>
              <w:pStyle w:val="TableParagraph"/>
              <w:tabs>
                <w:tab w:pos="928" w:val="left" w:leader="none"/>
              </w:tabs>
              <w:spacing w:line="251" w:lineRule="exact"/>
              <w:rPr>
                <w:sz w:val="22"/>
              </w:rPr>
            </w:pPr>
            <w:r>
              <w:rPr>
                <w:sz w:val="22"/>
              </w:rPr>
              <w:t>La</w:t>
              <w:tab/>
              <w:t>laguna</w:t>
            </w:r>
          </w:p>
        </w:tc>
        <w:tc>
          <w:tcPr>
            <w:tcW w:w="1985" w:type="dxa"/>
            <w:tcBorders>
              <w:bottom w:val="nil"/>
            </w:tcBorders>
          </w:tcPr>
          <w:p>
            <w:pPr>
              <w:pStyle w:val="TableParagraph"/>
              <w:spacing w:line="251" w:lineRule="exact"/>
              <w:rPr>
                <w:sz w:val="22"/>
              </w:rPr>
            </w:pPr>
            <w:r>
              <w:rPr>
                <w:sz w:val="22"/>
              </w:rPr>
              <w:t>La  laguna  se  ha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Juárez</w:t>
            </w:r>
          </w:p>
        </w:tc>
        <w:tc>
          <w:tcPr>
            <w:tcW w:w="1418" w:type="dxa"/>
            <w:tcBorders>
              <w:top w:val="nil"/>
              <w:bottom w:val="nil"/>
            </w:tcBorders>
          </w:tcPr>
          <w:p>
            <w:pPr>
              <w:pStyle w:val="TableParagraph"/>
              <w:spacing w:line="241" w:lineRule="exact"/>
              <w:ind w:left="0" w:right="220"/>
              <w:jc w:val="right"/>
              <w:rPr>
                <w:sz w:val="22"/>
              </w:rPr>
            </w:pPr>
            <w:r>
              <w:rPr>
                <w:sz w:val="22"/>
              </w:rPr>
              <w:t>empleado</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án</w:t>
            </w:r>
          </w:p>
        </w:tc>
        <w:tc>
          <w:tcPr>
            <w:tcW w:w="1277" w:type="dxa"/>
            <w:tcBorders>
              <w:top w:val="nil"/>
              <w:bottom w:val="nil"/>
            </w:tcBorders>
          </w:tcPr>
          <w:p>
            <w:pPr>
              <w:pStyle w:val="TableParagraph"/>
              <w:spacing w:line="241" w:lineRule="exact"/>
              <w:ind w:right="92"/>
              <w:rPr>
                <w:sz w:val="22"/>
              </w:rPr>
            </w:pPr>
            <w:r>
              <w:rPr>
                <w:sz w:val="22"/>
              </w:rPr>
              <w:t>del Río,</w:t>
            </w:r>
          </w:p>
        </w:tc>
        <w:tc>
          <w:tcPr>
            <w:tcW w:w="1133" w:type="dxa"/>
            <w:tcBorders>
              <w:top w:val="nil"/>
              <w:bottom w:val="nil"/>
            </w:tcBorders>
          </w:tcPr>
          <w:p>
            <w:pPr>
              <w:pStyle w:val="TableParagraph"/>
              <w:spacing w:line="241" w:lineRule="exact"/>
              <w:ind w:left="100" w:right="52"/>
              <w:rPr>
                <w:sz w:val="22"/>
              </w:rPr>
            </w:pPr>
            <w:r>
              <w:rPr>
                <w:sz w:val="22"/>
              </w:rPr>
              <w:t>s,</w:t>
            </w:r>
          </w:p>
        </w:tc>
        <w:tc>
          <w:tcPr>
            <w:tcW w:w="1702" w:type="dxa"/>
            <w:tcBorders>
              <w:top w:val="nil"/>
              <w:bottom w:val="nil"/>
            </w:tcBorders>
          </w:tcPr>
          <w:p>
            <w:pPr>
              <w:pStyle w:val="TableParagraph"/>
              <w:tabs>
                <w:tab w:pos="1357" w:val="left" w:leader="none"/>
              </w:tabs>
              <w:spacing w:line="241" w:lineRule="exact"/>
              <w:rPr>
                <w:sz w:val="22"/>
              </w:rPr>
            </w:pPr>
            <w:r>
              <w:rPr>
                <w:sz w:val="22"/>
              </w:rPr>
              <w:t>Huapango</w:t>
              <w:tab/>
              <w:t>es</w:t>
            </w:r>
          </w:p>
        </w:tc>
        <w:tc>
          <w:tcPr>
            <w:tcW w:w="1985" w:type="dxa"/>
            <w:tcBorders>
              <w:top w:val="nil"/>
              <w:bottom w:val="nil"/>
            </w:tcBorders>
          </w:tcPr>
          <w:p>
            <w:pPr>
              <w:pStyle w:val="TableParagraph"/>
              <w:spacing w:line="241" w:lineRule="exact"/>
              <w:rPr>
                <w:sz w:val="22"/>
              </w:rPr>
            </w:pPr>
            <w:r>
              <w:rPr>
                <w:sz w:val="22"/>
              </w:rPr>
              <w:t>deteriorado con el</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Rodriguez</w:t>
            </w:r>
          </w:p>
        </w:tc>
        <w:tc>
          <w:tcPr>
            <w:tcW w:w="1418" w:type="dxa"/>
            <w:tcBorders>
              <w:top w:val="nil"/>
              <w:bottom w:val="nil"/>
            </w:tcBorders>
          </w:tcPr>
          <w:p>
            <w:pPr>
              <w:pStyle w:val="TableParagraph"/>
              <w:spacing w:line="242" w:lineRule="exact"/>
              <w:ind w:left="463" w:right="101"/>
              <w:rPr>
                <w:sz w:val="22"/>
              </w:rPr>
            </w:pPr>
            <w:r>
              <w:rPr>
                <w:sz w:val="22"/>
              </w:rPr>
              <w:t>en el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rPr>
                <w:sz w:val="22"/>
              </w:rPr>
            </w:pPr>
            <w:r>
              <w:rPr>
                <w:sz w:val="22"/>
              </w:rPr>
              <w:t>Querétaro.</w:t>
            </w:r>
          </w:p>
        </w:tc>
        <w:tc>
          <w:tcPr>
            <w:tcW w:w="1133" w:type="dxa"/>
            <w:tcBorders>
              <w:top w:val="nil"/>
              <w:bottom w:val="nil"/>
            </w:tcBorders>
          </w:tcPr>
          <w:p>
            <w:pPr>
              <w:pStyle w:val="TableParagraph"/>
              <w:spacing w:line="242" w:lineRule="exact"/>
              <w:ind w:left="100" w:right="52"/>
              <w:rPr>
                <w:sz w:val="22"/>
              </w:rPr>
            </w:pPr>
            <w:r>
              <w:rPr>
                <w:sz w:val="22"/>
              </w:rPr>
              <w:t>Polotitlán</w:t>
            </w:r>
          </w:p>
        </w:tc>
        <w:tc>
          <w:tcPr>
            <w:tcW w:w="1702" w:type="dxa"/>
            <w:tcBorders>
              <w:top w:val="nil"/>
              <w:bottom w:val="nil"/>
            </w:tcBorders>
          </w:tcPr>
          <w:p>
            <w:pPr>
              <w:pStyle w:val="TableParagraph"/>
              <w:spacing w:line="242" w:lineRule="exact"/>
              <w:rPr>
                <w:sz w:val="22"/>
              </w:rPr>
            </w:pPr>
            <w:r>
              <w:rPr>
                <w:sz w:val="22"/>
              </w:rPr>
              <w:t>importante</w:t>
            </w:r>
          </w:p>
        </w:tc>
        <w:tc>
          <w:tcPr>
            <w:tcW w:w="1985" w:type="dxa"/>
            <w:tcBorders>
              <w:top w:val="nil"/>
              <w:bottom w:val="nil"/>
            </w:tcBorders>
          </w:tcPr>
          <w:p>
            <w:pPr>
              <w:pStyle w:val="TableParagraph"/>
              <w:spacing w:line="242" w:lineRule="exact"/>
              <w:rPr>
                <w:sz w:val="22"/>
              </w:rPr>
            </w:pPr>
            <w:r>
              <w:rPr>
                <w:sz w:val="22"/>
              </w:rPr>
              <w:t>tiempo  porque se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(4/9/2014)</w:t>
            </w:r>
          </w:p>
        </w:tc>
        <w:tc>
          <w:tcPr>
            <w:tcW w:w="1418" w:type="dxa"/>
            <w:tcBorders>
              <w:top w:val="nil"/>
              <w:bottom w:val="nil"/>
            </w:tcBorders>
          </w:tcPr>
          <w:p>
            <w:pPr>
              <w:pStyle w:val="TableParagraph"/>
              <w:spacing w:line="241" w:lineRule="exact"/>
              <w:ind w:left="321" w:right="101"/>
              <w:rPr>
                <w:sz w:val="22"/>
              </w:rPr>
            </w:pPr>
            <w:r>
              <w:rPr>
                <w:sz w:val="22"/>
              </w:rPr>
              <w:t>Rancho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desde</w:t>
            </w:r>
          </w:p>
        </w:tc>
        <w:tc>
          <w:tcPr>
            <w:tcW w:w="1702" w:type="dxa"/>
            <w:tcBorders>
              <w:top w:val="nil"/>
              <w:bottom w:val="nil"/>
            </w:tcBorders>
          </w:tcPr>
          <w:p>
            <w:pPr>
              <w:pStyle w:val="TableParagraph"/>
              <w:spacing w:line="241" w:lineRule="exact"/>
              <w:rPr>
                <w:sz w:val="22"/>
              </w:rPr>
            </w:pPr>
            <w:r>
              <w:rPr>
                <w:sz w:val="22"/>
              </w:rPr>
              <w:t>para mi ejido</w:t>
            </w:r>
            <w:r>
              <w:rPr>
                <w:spacing w:val="52"/>
                <w:sz w:val="22"/>
              </w:rPr>
              <w:t> </w:t>
            </w:r>
            <w:r>
              <w:rPr>
                <w:sz w:val="22"/>
              </w:rPr>
              <w:t>y</w:t>
            </w:r>
          </w:p>
        </w:tc>
        <w:tc>
          <w:tcPr>
            <w:tcW w:w="1985" w:type="dxa"/>
            <w:tcBorders>
              <w:top w:val="nil"/>
              <w:bottom w:val="nil"/>
            </w:tcBorders>
          </w:tcPr>
          <w:p>
            <w:pPr>
              <w:pStyle w:val="TableParagraph"/>
              <w:spacing w:line="241" w:lineRule="exact"/>
              <w:rPr>
                <w:sz w:val="22"/>
              </w:rPr>
            </w:pPr>
            <w:r>
              <w:rPr>
                <w:sz w:val="22"/>
              </w:rPr>
              <w:t>ha azolvado.</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0" w:right="127"/>
              <w:jc w:val="right"/>
              <w:rPr>
                <w:sz w:val="22"/>
              </w:rPr>
            </w:pPr>
            <w:r>
              <w:rPr>
                <w:sz w:val="22"/>
              </w:rPr>
              <w:t>Santa Rosa</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hace 43</w:t>
            </w:r>
          </w:p>
        </w:tc>
        <w:tc>
          <w:tcPr>
            <w:tcW w:w="1702" w:type="dxa"/>
            <w:tcBorders>
              <w:top w:val="nil"/>
              <w:bottom w:val="nil"/>
            </w:tcBorders>
          </w:tcPr>
          <w:p>
            <w:pPr>
              <w:pStyle w:val="TableParagraph"/>
              <w:tabs>
                <w:tab w:pos="976" w:val="left" w:leader="none"/>
              </w:tabs>
              <w:spacing w:line="242" w:lineRule="exact"/>
              <w:rPr>
                <w:sz w:val="22"/>
              </w:rPr>
            </w:pPr>
            <w:r>
              <w:rPr>
                <w:sz w:val="22"/>
              </w:rPr>
              <w:t>la</w:t>
              <w:tab/>
              <w:t>región</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años.</w:t>
            </w:r>
          </w:p>
        </w:tc>
        <w:tc>
          <w:tcPr>
            <w:tcW w:w="1702" w:type="dxa"/>
            <w:tcBorders>
              <w:top w:val="nil"/>
              <w:bottom w:val="nil"/>
            </w:tcBorders>
          </w:tcPr>
          <w:p>
            <w:pPr>
              <w:pStyle w:val="TableParagraph"/>
              <w:spacing w:line="241" w:lineRule="exact"/>
              <w:rPr>
                <w:sz w:val="22"/>
              </w:rPr>
            </w:pPr>
            <w:r>
              <w:rPr>
                <w:sz w:val="22"/>
              </w:rPr>
              <w:t>porque   es   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5" w:val="left" w:leader="none"/>
              </w:tabs>
              <w:spacing w:line="241" w:lineRule="exact"/>
              <w:rPr>
                <w:sz w:val="22"/>
              </w:rPr>
            </w:pPr>
            <w:r>
              <w:rPr>
                <w:sz w:val="22"/>
              </w:rPr>
              <w:t>forma</w:t>
              <w:tab/>
              <w:t>de</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0" w:val="left" w:leader="none"/>
              </w:tabs>
              <w:spacing w:line="242" w:lineRule="exact"/>
              <w:rPr>
                <w:sz w:val="22"/>
              </w:rPr>
            </w:pPr>
            <w:r>
              <w:rPr>
                <w:sz w:val="22"/>
              </w:rPr>
              <w:t>sustento</w:t>
              <w:tab/>
              <w:t>que</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tenemos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nosotros   para</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vivir.</w:t>
            </w:r>
          </w:p>
        </w:tc>
        <w:tc>
          <w:tcPr>
            <w:tcW w:w="1985" w:type="dxa"/>
            <w:tcBorders>
              <w:top w:val="nil"/>
            </w:tcBorders>
          </w:tcPr>
          <w:p>
            <w:pPr/>
          </w:p>
        </w:tc>
      </w:tr>
      <w:tr>
        <w:trPr>
          <w:trHeight w:val="269" w:hRule="exact"/>
        </w:trPr>
        <w:tc>
          <w:tcPr>
            <w:tcW w:w="1385" w:type="dxa"/>
            <w:tcBorders>
              <w:bottom w:val="nil"/>
            </w:tcBorders>
          </w:tcPr>
          <w:p>
            <w:pPr>
              <w:pStyle w:val="TableParagraph"/>
              <w:rPr>
                <w:sz w:val="22"/>
              </w:rPr>
            </w:pPr>
            <w:r>
              <w:rPr>
                <w:sz w:val="22"/>
              </w:rPr>
              <w:t>Álvaro Ortiz</w:t>
            </w:r>
          </w:p>
        </w:tc>
        <w:tc>
          <w:tcPr>
            <w:tcW w:w="1418" w:type="dxa"/>
            <w:tcBorders>
              <w:bottom w:val="nil"/>
            </w:tcBorders>
          </w:tcPr>
          <w:p>
            <w:pPr>
              <w:pStyle w:val="TableParagraph"/>
              <w:ind w:left="242" w:right="101"/>
              <w:rPr>
                <w:sz w:val="22"/>
              </w:rPr>
            </w:pPr>
            <w:r>
              <w:rPr>
                <w:sz w:val="22"/>
              </w:rPr>
              <w:t>El campo</w:t>
            </w:r>
          </w:p>
        </w:tc>
        <w:tc>
          <w:tcPr>
            <w:tcW w:w="1417" w:type="dxa"/>
            <w:tcBorders>
              <w:bottom w:val="nil"/>
            </w:tcBorders>
          </w:tcPr>
          <w:p>
            <w:pPr>
              <w:pStyle w:val="TableParagraph"/>
              <w:ind w:left="100"/>
              <w:rPr>
                <w:sz w:val="22"/>
              </w:rPr>
            </w:pPr>
            <w:r>
              <w:rPr>
                <w:sz w:val="22"/>
              </w:rPr>
              <w:t>Comisariad</w:t>
            </w:r>
          </w:p>
        </w:tc>
        <w:tc>
          <w:tcPr>
            <w:tcW w:w="1560" w:type="dxa"/>
            <w:tcBorders>
              <w:bottom w:val="nil"/>
            </w:tcBorders>
          </w:tcPr>
          <w:p>
            <w:pPr>
              <w:pStyle w:val="TableParagraph"/>
              <w:ind w:right="143"/>
              <w:rPr>
                <w:sz w:val="22"/>
              </w:rPr>
            </w:pPr>
            <w:r>
              <w:rPr>
                <w:sz w:val="22"/>
              </w:rPr>
              <w:t>San Juanico</w:t>
            </w:r>
          </w:p>
        </w:tc>
        <w:tc>
          <w:tcPr>
            <w:tcW w:w="991" w:type="dxa"/>
            <w:tcBorders>
              <w:bottom w:val="nil"/>
            </w:tcBorders>
          </w:tcPr>
          <w:p>
            <w:pPr>
              <w:pStyle w:val="TableParagraph"/>
              <w:ind w:left="100"/>
              <w:rPr>
                <w:sz w:val="22"/>
              </w:rPr>
            </w:pPr>
            <w:r>
              <w:rPr>
                <w:sz w:val="22"/>
              </w:rPr>
              <w:t>Acamb</w:t>
            </w:r>
          </w:p>
        </w:tc>
        <w:tc>
          <w:tcPr>
            <w:tcW w:w="1277" w:type="dxa"/>
            <w:tcBorders>
              <w:bottom w:val="nil"/>
            </w:tcBorders>
          </w:tcPr>
          <w:p>
            <w:pPr>
              <w:pStyle w:val="TableParagraph"/>
              <w:ind w:right="92"/>
              <w:rPr>
                <w:sz w:val="22"/>
              </w:rPr>
            </w:pPr>
            <w:r>
              <w:rPr>
                <w:sz w:val="22"/>
              </w:rPr>
              <w:t>San</w:t>
            </w:r>
          </w:p>
        </w:tc>
        <w:tc>
          <w:tcPr>
            <w:tcW w:w="1133" w:type="dxa"/>
            <w:tcBorders>
              <w:bottom w:val="nil"/>
            </w:tcBorders>
          </w:tcPr>
          <w:p>
            <w:pPr>
              <w:pStyle w:val="TableParagraph"/>
              <w:ind w:left="100" w:right="52"/>
              <w:rPr>
                <w:sz w:val="22"/>
              </w:rPr>
            </w:pPr>
            <w:r>
              <w:rPr>
                <w:sz w:val="22"/>
              </w:rPr>
              <w:t>San</w:t>
            </w:r>
          </w:p>
        </w:tc>
        <w:tc>
          <w:tcPr>
            <w:tcW w:w="1702" w:type="dxa"/>
            <w:tcBorders>
              <w:bottom w:val="nil"/>
            </w:tcBorders>
          </w:tcPr>
          <w:p>
            <w:pPr>
              <w:pStyle w:val="TableParagraph"/>
              <w:tabs>
                <w:tab w:pos="901" w:val="left" w:leader="none"/>
              </w:tabs>
              <w:rPr>
                <w:sz w:val="22"/>
              </w:rPr>
            </w:pPr>
            <w:r>
              <w:rPr>
                <w:sz w:val="22"/>
              </w:rPr>
              <w:t>Sí</w:t>
              <w:tab/>
              <w:t>porque</w:t>
            </w:r>
          </w:p>
        </w:tc>
        <w:tc>
          <w:tcPr>
            <w:tcW w:w="1985" w:type="dxa"/>
            <w:tcBorders>
              <w:bottom w:val="nil"/>
            </w:tcBorders>
          </w:tcPr>
          <w:p>
            <w:pPr>
              <w:pStyle w:val="TableParagraph"/>
              <w:rPr>
                <w:sz w:val="22"/>
              </w:rPr>
            </w:pPr>
            <w:r>
              <w:rPr>
                <w:sz w:val="22"/>
              </w:rPr>
              <w:t>Sí   por   falta   de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Alcántara</w:t>
            </w: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Juanico,</w:t>
            </w:r>
          </w:p>
        </w:tc>
        <w:tc>
          <w:tcPr>
            <w:tcW w:w="1133" w:type="dxa"/>
            <w:tcBorders>
              <w:top w:val="nil"/>
              <w:bottom w:val="nil"/>
            </w:tcBorders>
          </w:tcPr>
          <w:p>
            <w:pPr>
              <w:pStyle w:val="TableParagraph"/>
              <w:spacing w:line="241" w:lineRule="exact"/>
              <w:ind w:left="100" w:right="52"/>
              <w:rPr>
                <w:sz w:val="22"/>
              </w:rPr>
            </w:pPr>
            <w:r>
              <w:rPr>
                <w:sz w:val="22"/>
              </w:rPr>
              <w:t>Juanico,</w:t>
            </w:r>
          </w:p>
        </w:tc>
        <w:tc>
          <w:tcPr>
            <w:tcW w:w="1702" w:type="dxa"/>
            <w:tcBorders>
              <w:top w:val="nil"/>
              <w:bottom w:val="nil"/>
            </w:tcBorders>
          </w:tcPr>
          <w:p>
            <w:pPr>
              <w:pStyle w:val="TableParagraph"/>
              <w:spacing w:line="241" w:lineRule="exact"/>
              <w:rPr>
                <w:sz w:val="22"/>
              </w:rPr>
            </w:pPr>
            <w:r>
              <w:rPr>
                <w:sz w:val="22"/>
              </w:rPr>
              <w:t>antes</w:t>
            </w:r>
          </w:p>
        </w:tc>
        <w:tc>
          <w:tcPr>
            <w:tcW w:w="1985" w:type="dxa"/>
            <w:tcBorders>
              <w:top w:val="nil"/>
              <w:bottom w:val="nil"/>
            </w:tcBorders>
          </w:tcPr>
          <w:p>
            <w:pPr>
              <w:pStyle w:val="TableParagraph"/>
              <w:spacing w:line="241" w:lineRule="exact"/>
              <w:rPr>
                <w:sz w:val="22"/>
              </w:rPr>
            </w:pPr>
            <w:r>
              <w:rPr>
                <w:sz w:val="22"/>
              </w:rPr>
              <w:t>agua y por el  mal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(7/II/2015)</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Acambay</w:t>
            </w:r>
          </w:p>
        </w:tc>
        <w:tc>
          <w:tcPr>
            <w:tcW w:w="1702" w:type="dxa"/>
            <w:tcBorders>
              <w:top w:val="nil"/>
              <w:bottom w:val="nil"/>
            </w:tcBorders>
          </w:tcPr>
          <w:p>
            <w:pPr>
              <w:pStyle w:val="TableParagraph"/>
              <w:spacing w:line="241" w:lineRule="exact"/>
              <w:rPr>
                <w:sz w:val="22"/>
              </w:rPr>
            </w:pPr>
            <w:r>
              <w:rPr>
                <w:sz w:val="22"/>
              </w:rPr>
              <w:t>teníamos</w:t>
            </w:r>
          </w:p>
        </w:tc>
        <w:tc>
          <w:tcPr>
            <w:tcW w:w="1985" w:type="dxa"/>
            <w:tcBorders>
              <w:top w:val="nil"/>
              <w:bottom w:val="nil"/>
            </w:tcBorders>
          </w:tcPr>
          <w:p>
            <w:pPr>
              <w:pStyle w:val="TableParagraph"/>
              <w:spacing w:line="241" w:lineRule="exact"/>
              <w:rPr>
                <w:sz w:val="22"/>
              </w:rPr>
            </w:pPr>
            <w:r>
              <w:rPr>
                <w:sz w:val="22"/>
              </w:rPr>
              <w:t>uso  del  agua, 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pesca y fauna.</w:t>
            </w:r>
          </w:p>
        </w:tc>
        <w:tc>
          <w:tcPr>
            <w:tcW w:w="1985" w:type="dxa"/>
            <w:tcBorders>
              <w:top w:val="nil"/>
              <w:bottom w:val="nil"/>
            </w:tcBorders>
          </w:tcPr>
          <w:p>
            <w:pPr>
              <w:pStyle w:val="TableParagraph"/>
              <w:tabs>
                <w:tab w:pos="1628" w:val="left" w:leader="none"/>
              </w:tabs>
              <w:spacing w:line="242" w:lineRule="exact"/>
              <w:rPr>
                <w:sz w:val="22"/>
              </w:rPr>
            </w:pPr>
            <w:r>
              <w:rPr>
                <w:sz w:val="22"/>
              </w:rPr>
              <w:t>beneficiarios</w:t>
              <w:tab/>
              <w:t>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la  cuidan,  echan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593" w:val="left" w:leader="none"/>
              </w:tabs>
              <w:spacing w:line="242" w:lineRule="exact"/>
              <w:rPr>
                <w:sz w:val="22"/>
              </w:rPr>
            </w:pPr>
            <w:r>
              <w:rPr>
                <w:sz w:val="22"/>
              </w:rPr>
              <w:t>todos</w:t>
              <w:tab/>
              <w:t>los</w:t>
            </w:r>
          </w:p>
        </w:tc>
      </w:tr>
      <w:tr>
        <w:trPr>
          <w:trHeight w:val="247"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drenajes.</w:t>
            </w:r>
          </w:p>
        </w:tc>
      </w:tr>
      <w:tr>
        <w:trPr>
          <w:trHeight w:val="269" w:hRule="exact"/>
        </w:trPr>
        <w:tc>
          <w:tcPr>
            <w:tcW w:w="1385" w:type="dxa"/>
            <w:tcBorders>
              <w:bottom w:val="nil"/>
            </w:tcBorders>
          </w:tcPr>
          <w:p>
            <w:pPr>
              <w:pStyle w:val="TableParagraph"/>
              <w:ind w:right="127"/>
              <w:rPr>
                <w:sz w:val="22"/>
              </w:rPr>
            </w:pPr>
            <w:r>
              <w:rPr>
                <w:sz w:val="22"/>
              </w:rPr>
              <w:t>Sabas</w:t>
            </w:r>
          </w:p>
        </w:tc>
        <w:tc>
          <w:tcPr>
            <w:tcW w:w="1418" w:type="dxa"/>
            <w:tcBorders>
              <w:bottom w:val="nil"/>
            </w:tcBorders>
          </w:tcPr>
          <w:p>
            <w:pPr>
              <w:pStyle w:val="TableParagraph"/>
              <w:ind w:left="0" w:right="159"/>
              <w:jc w:val="right"/>
              <w:rPr>
                <w:sz w:val="22"/>
              </w:rPr>
            </w:pPr>
            <w:r>
              <w:rPr>
                <w:sz w:val="22"/>
              </w:rPr>
              <w:t>El campo y</w:t>
            </w:r>
          </w:p>
        </w:tc>
        <w:tc>
          <w:tcPr>
            <w:tcW w:w="1417" w:type="dxa"/>
            <w:tcBorders>
              <w:bottom w:val="nil"/>
            </w:tcBorders>
          </w:tcPr>
          <w:p>
            <w:pPr>
              <w:pStyle w:val="TableParagraph"/>
              <w:ind w:left="100"/>
              <w:rPr>
                <w:i/>
                <w:sz w:val="22"/>
              </w:rPr>
            </w:pPr>
            <w:r>
              <w:rPr>
                <w:i/>
                <w:sz w:val="22"/>
              </w:rPr>
              <w:t>Presidente</w:t>
            </w:r>
          </w:p>
        </w:tc>
        <w:tc>
          <w:tcPr>
            <w:tcW w:w="1560" w:type="dxa"/>
            <w:tcBorders>
              <w:bottom w:val="nil"/>
            </w:tcBorders>
          </w:tcPr>
          <w:p>
            <w:pPr>
              <w:pStyle w:val="TableParagraph"/>
              <w:ind w:right="143"/>
              <w:rPr>
                <w:sz w:val="22"/>
              </w:rPr>
            </w:pPr>
            <w:r>
              <w:rPr>
                <w:sz w:val="22"/>
              </w:rPr>
              <w:t>Ejidos de</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Rincón de</w:t>
            </w:r>
          </w:p>
        </w:tc>
        <w:tc>
          <w:tcPr>
            <w:tcW w:w="1133" w:type="dxa"/>
            <w:tcBorders>
              <w:bottom w:val="nil"/>
            </w:tcBorders>
          </w:tcPr>
          <w:p>
            <w:pPr>
              <w:pStyle w:val="TableParagraph"/>
              <w:ind w:left="100" w:right="52"/>
              <w:rPr>
                <w:sz w:val="22"/>
              </w:rPr>
            </w:pPr>
            <w:r>
              <w:rPr>
                <w:sz w:val="22"/>
              </w:rPr>
              <w:t>Rincón</w:t>
            </w:r>
          </w:p>
        </w:tc>
        <w:tc>
          <w:tcPr>
            <w:tcW w:w="1702" w:type="dxa"/>
            <w:tcBorders>
              <w:bottom w:val="nil"/>
            </w:tcBorders>
          </w:tcPr>
          <w:p>
            <w:pPr>
              <w:pStyle w:val="TableParagraph"/>
              <w:tabs>
                <w:tab w:pos="928" w:val="left" w:leader="none"/>
              </w:tabs>
              <w:rPr>
                <w:sz w:val="22"/>
              </w:rPr>
            </w:pPr>
            <w:r>
              <w:rPr>
                <w:sz w:val="22"/>
              </w:rPr>
              <w:t>La</w:t>
              <w:tab/>
              <w:t>laguna</w:t>
            </w:r>
          </w:p>
        </w:tc>
        <w:tc>
          <w:tcPr>
            <w:tcW w:w="1985" w:type="dxa"/>
            <w:tcBorders>
              <w:bottom w:val="nil"/>
            </w:tcBorders>
          </w:tcPr>
          <w:p>
            <w:pPr/>
          </w:p>
        </w:tc>
      </w:tr>
      <w:tr>
        <w:trPr>
          <w:trHeight w:val="252" w:hRule="exact"/>
        </w:trPr>
        <w:tc>
          <w:tcPr>
            <w:tcW w:w="1385" w:type="dxa"/>
            <w:tcBorders>
              <w:top w:val="nil"/>
              <w:bottom w:val="nil"/>
            </w:tcBorders>
          </w:tcPr>
          <w:p>
            <w:pPr>
              <w:pStyle w:val="TableParagraph"/>
              <w:spacing w:line="241" w:lineRule="exact"/>
              <w:rPr>
                <w:sz w:val="22"/>
              </w:rPr>
            </w:pPr>
            <w:r>
              <w:rPr>
                <w:sz w:val="22"/>
              </w:rPr>
              <w:t>Guadarram</w:t>
            </w:r>
          </w:p>
        </w:tc>
        <w:tc>
          <w:tcPr>
            <w:tcW w:w="1418" w:type="dxa"/>
            <w:tcBorders>
              <w:top w:val="nil"/>
              <w:bottom w:val="nil"/>
            </w:tcBorders>
          </w:tcPr>
          <w:p>
            <w:pPr>
              <w:pStyle w:val="TableParagraph"/>
              <w:spacing w:line="241" w:lineRule="exact"/>
              <w:ind w:left="0" w:right="140"/>
              <w:jc w:val="right"/>
              <w:rPr>
                <w:sz w:val="22"/>
              </w:rPr>
            </w:pPr>
            <w:r>
              <w:rPr>
                <w:sz w:val="22"/>
              </w:rPr>
              <w:t>representar</w:t>
            </w:r>
          </w:p>
        </w:tc>
        <w:tc>
          <w:tcPr>
            <w:tcW w:w="1417" w:type="dxa"/>
            <w:tcBorders>
              <w:top w:val="nil"/>
              <w:bottom w:val="nil"/>
            </w:tcBorders>
          </w:tcPr>
          <w:p>
            <w:pPr>
              <w:pStyle w:val="TableParagraph"/>
              <w:spacing w:line="241" w:lineRule="exact"/>
              <w:ind w:left="100"/>
              <w:rPr>
                <w:i/>
                <w:sz w:val="22"/>
              </w:rPr>
            </w:pPr>
            <w:r>
              <w:rPr>
                <w:i/>
                <w:sz w:val="22"/>
              </w:rPr>
              <w:t>de  la Unión</w:t>
            </w:r>
          </w:p>
        </w:tc>
        <w:tc>
          <w:tcPr>
            <w:tcW w:w="1560" w:type="dxa"/>
            <w:tcBorders>
              <w:top w:val="nil"/>
              <w:bottom w:val="nil"/>
            </w:tcBorders>
          </w:tcPr>
          <w:p>
            <w:pPr>
              <w:pStyle w:val="TableParagraph"/>
              <w:spacing w:line="241" w:lineRule="exact"/>
              <w:ind w:right="143"/>
              <w:rPr>
                <w:sz w:val="22"/>
              </w:rPr>
            </w:pPr>
            <w:r>
              <w:rPr>
                <w:sz w:val="22"/>
              </w:rPr>
              <w:t>Timilpan</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Bucio,</w:t>
            </w:r>
          </w:p>
        </w:tc>
        <w:tc>
          <w:tcPr>
            <w:tcW w:w="1133" w:type="dxa"/>
            <w:tcBorders>
              <w:top w:val="nil"/>
              <w:bottom w:val="nil"/>
            </w:tcBorders>
          </w:tcPr>
          <w:p>
            <w:pPr>
              <w:pStyle w:val="TableParagraph"/>
              <w:spacing w:line="241" w:lineRule="exact"/>
              <w:ind w:left="100" w:right="52"/>
              <w:rPr>
                <w:sz w:val="22"/>
              </w:rPr>
            </w:pPr>
            <w:r>
              <w:rPr>
                <w:sz w:val="22"/>
              </w:rPr>
              <w:t>de Bucio,</w:t>
            </w:r>
          </w:p>
        </w:tc>
        <w:tc>
          <w:tcPr>
            <w:tcW w:w="1702" w:type="dxa"/>
            <w:tcBorders>
              <w:top w:val="nil"/>
              <w:bottom w:val="nil"/>
            </w:tcBorders>
          </w:tcPr>
          <w:p>
            <w:pPr>
              <w:pStyle w:val="TableParagraph"/>
              <w:spacing w:line="241" w:lineRule="exact"/>
              <w:rPr>
                <w:sz w:val="22"/>
              </w:rPr>
            </w:pPr>
            <w:r>
              <w:rPr>
                <w:sz w:val="22"/>
              </w:rPr>
              <w:t>debe  tener  un</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 Mendoza</w:t>
            </w:r>
          </w:p>
        </w:tc>
        <w:tc>
          <w:tcPr>
            <w:tcW w:w="1418" w:type="dxa"/>
            <w:tcBorders>
              <w:top w:val="nil"/>
              <w:bottom w:val="nil"/>
            </w:tcBorders>
          </w:tcPr>
          <w:p>
            <w:pPr>
              <w:pStyle w:val="TableParagraph"/>
              <w:spacing w:line="241" w:lineRule="exact"/>
              <w:ind w:left="0" w:right="154"/>
              <w:jc w:val="right"/>
              <w:rPr>
                <w:sz w:val="22"/>
              </w:rPr>
            </w:pPr>
            <w:r>
              <w:rPr>
                <w:sz w:val="22"/>
              </w:rPr>
              <w:t>a los ejidos</w:t>
            </w:r>
          </w:p>
        </w:tc>
        <w:tc>
          <w:tcPr>
            <w:tcW w:w="1417" w:type="dxa"/>
            <w:tcBorders>
              <w:top w:val="nil"/>
              <w:bottom w:val="nil"/>
            </w:tcBorders>
          </w:tcPr>
          <w:p>
            <w:pPr>
              <w:pStyle w:val="TableParagraph"/>
              <w:tabs>
                <w:tab w:pos="703" w:val="left" w:leader="none"/>
              </w:tabs>
              <w:spacing w:line="241" w:lineRule="exact"/>
              <w:ind w:left="100"/>
              <w:rPr>
                <w:i/>
                <w:sz w:val="22"/>
              </w:rPr>
            </w:pPr>
            <w:r>
              <w:rPr>
                <w:i/>
                <w:sz w:val="22"/>
              </w:rPr>
              <w:t>de</w:t>
              <w:tab/>
              <w:t>Ejidos</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impacto</w:t>
            </w:r>
          </w:p>
        </w:tc>
        <w:tc>
          <w:tcPr>
            <w:tcW w:w="1985" w:type="dxa"/>
            <w:tcBorders>
              <w:top w:val="nil"/>
              <w:bottom w:val="nil"/>
            </w:tcBorders>
          </w:tcPr>
          <w:p>
            <w:pPr>
              <w:pStyle w:val="TableParagraph"/>
              <w:spacing w:line="241" w:lineRule="exact"/>
              <w:ind w:left="1" w:right="2"/>
              <w:jc w:val="center"/>
              <w:rPr>
                <w:sz w:val="22"/>
              </w:rPr>
            </w:pPr>
            <w:r>
              <w:rPr>
                <w:sz w:val="22"/>
              </w:rPr>
              <w:t>N/C</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(12/I/2014)</w:t>
            </w:r>
          </w:p>
        </w:tc>
        <w:tc>
          <w:tcPr>
            <w:tcW w:w="1418" w:type="dxa"/>
            <w:tcBorders>
              <w:top w:val="nil"/>
              <w:bottom w:val="nil"/>
            </w:tcBorders>
          </w:tcPr>
          <w:p>
            <w:pPr>
              <w:pStyle w:val="TableParagraph"/>
              <w:spacing w:line="242" w:lineRule="exact"/>
              <w:ind w:left="100" w:right="104"/>
              <w:jc w:val="center"/>
              <w:rPr>
                <w:sz w:val="22"/>
              </w:rPr>
            </w:pPr>
            <w:r>
              <w:rPr>
                <w:sz w:val="22"/>
              </w:rPr>
              <w:t>del</w:t>
            </w:r>
          </w:p>
        </w:tc>
        <w:tc>
          <w:tcPr>
            <w:tcW w:w="1417" w:type="dxa"/>
            <w:tcBorders>
              <w:top w:val="nil"/>
              <w:bottom w:val="nil"/>
            </w:tcBorders>
          </w:tcPr>
          <w:p>
            <w:pPr>
              <w:pStyle w:val="TableParagraph"/>
              <w:spacing w:line="242" w:lineRule="exact"/>
              <w:ind w:left="100"/>
              <w:rPr>
                <w:i/>
                <w:sz w:val="22"/>
              </w:rPr>
            </w:pPr>
            <w:r>
              <w:rPr>
                <w:i/>
                <w:sz w:val="22"/>
              </w:rPr>
              <w:t>de Timilpan</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económico,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237" w:right="101"/>
              <w:rPr>
                <w:sz w:val="22"/>
              </w:rPr>
            </w:pPr>
            <w:r>
              <w:rPr>
                <w:sz w:val="22"/>
              </w:rPr>
              <w:t>municipio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78" w:val="left" w:leader="none"/>
              </w:tabs>
              <w:spacing w:line="241" w:lineRule="exact"/>
              <w:rPr>
                <w:sz w:val="22"/>
              </w:rPr>
            </w:pPr>
            <w:r>
              <w:rPr>
                <w:sz w:val="22"/>
              </w:rPr>
              <w:t>social</w:t>
              <w:tab/>
              <w:t>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0" w:right="137"/>
              <w:jc w:val="right"/>
              <w:rPr>
                <w:sz w:val="22"/>
              </w:rPr>
            </w:pPr>
            <w:r>
              <w:rPr>
                <w:sz w:val="22"/>
              </w:rPr>
              <w:t>de Timilpan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8" w:val="left" w:leader="none"/>
              </w:tabs>
              <w:spacing w:line="242" w:lineRule="exact"/>
              <w:rPr>
                <w:sz w:val="22"/>
              </w:rPr>
            </w:pPr>
            <w:r>
              <w:rPr>
                <w:sz w:val="22"/>
              </w:rPr>
              <w:t>turístico</w:t>
              <w:tab/>
              <w:t>para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nuestras</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comunidades.</w:t>
            </w: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2702" w:right="397"/>
      </w:pPr>
      <w:r>
        <w:rPr/>
        <w:t>Tabla 6.7. Comisariados Ejidales (trabajo de campo)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71"/>
        <w:gridCol w:w="2410"/>
        <w:gridCol w:w="1702"/>
        <w:gridCol w:w="1985"/>
      </w:tblGrid>
      <w:tr>
        <w:trPr>
          <w:trHeight w:val="526" w:hRule="exact"/>
        </w:trPr>
        <w:tc>
          <w:tcPr>
            <w:tcW w:w="6771" w:type="dxa"/>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516" w:hRule="exact"/>
        </w:trPr>
        <w:tc>
          <w:tcPr>
            <w:tcW w:w="6771" w:type="dxa"/>
            <w:vMerge/>
            <w:shd w:val="clear" w:color="auto" w:fill="F9BE8F"/>
          </w:tcPr>
          <w:p>
            <w:pPr/>
          </w:p>
        </w:tc>
        <w:tc>
          <w:tcPr>
            <w:tcW w:w="2410" w:type="dxa"/>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2" w:lineRule="exact" w:before="2"/>
              <w:ind w:right="239"/>
              <w:rPr>
                <w:b/>
                <w:i/>
                <w:sz w:val="22"/>
              </w:rPr>
            </w:pPr>
            <w:r>
              <w:rPr>
                <w:b/>
                <w:i/>
                <w:sz w:val="22"/>
              </w:rPr>
              <w:t>Gobernabilidad </w:t>
            </w:r>
            <w:r>
              <w:rPr>
                <w:b/>
                <w:i/>
                <w:sz w:val="22"/>
              </w:rPr>
              <w:t>y Cooperación</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288" w:hRule="exact"/>
        </w:trPr>
        <w:tc>
          <w:tcPr>
            <w:tcW w:w="1385" w:type="dxa"/>
            <w:shd w:val="clear" w:color="auto" w:fill="F9BE8F"/>
          </w:tcPr>
          <w:p>
            <w:pPr>
              <w:pStyle w:val="TableParagraph"/>
              <w:ind w:right="205"/>
              <w:jc w:val="both"/>
              <w:rPr>
                <w:b/>
                <w:sz w:val="22"/>
              </w:rPr>
            </w:pPr>
            <w:r>
              <w:rPr>
                <w:b/>
                <w:sz w:val="22"/>
              </w:rPr>
              <w:t>Nombre y Fecha de Entrevista</w:t>
            </w:r>
          </w:p>
        </w:tc>
        <w:tc>
          <w:tcPr>
            <w:tcW w:w="1418" w:type="dxa"/>
            <w:shd w:val="clear" w:color="auto" w:fill="F9BE8F"/>
          </w:tcPr>
          <w:p>
            <w:pPr>
              <w:pStyle w:val="TableParagraph"/>
              <w:spacing w:line="252" w:lineRule="exact"/>
              <w:ind w:left="100" w:right="151"/>
              <w:rPr>
                <w:b/>
                <w:sz w:val="22"/>
              </w:rPr>
            </w:pPr>
            <w:r>
              <w:rPr>
                <w:b/>
                <w:sz w:val="22"/>
              </w:rPr>
              <w:t>Ocupacion es</w:t>
            </w:r>
          </w:p>
        </w:tc>
        <w:tc>
          <w:tcPr>
            <w:tcW w:w="1417" w:type="dxa"/>
            <w:shd w:val="clear" w:color="auto" w:fill="F9BE8F"/>
          </w:tcPr>
          <w:p>
            <w:pPr>
              <w:pStyle w:val="TableParagraph"/>
              <w:spacing w:line="248" w:lineRule="exact"/>
              <w:ind w:left="100"/>
              <w:rPr>
                <w:b/>
                <w:sz w:val="22"/>
              </w:rPr>
            </w:pPr>
            <w:r>
              <w:rPr>
                <w:b/>
                <w:sz w:val="22"/>
              </w:rPr>
              <w:t>Cargo</w:t>
            </w:r>
          </w:p>
        </w:tc>
        <w:tc>
          <w:tcPr>
            <w:tcW w:w="1560" w:type="dxa"/>
            <w:shd w:val="clear" w:color="auto" w:fill="F9BE8F"/>
          </w:tcPr>
          <w:p>
            <w:pPr>
              <w:pStyle w:val="TableParagraph"/>
              <w:ind w:right="143"/>
              <w:rPr>
                <w:b/>
                <w:sz w:val="22"/>
              </w:rPr>
            </w:pPr>
            <w:r>
              <w:rPr>
                <w:b/>
                <w:sz w:val="22"/>
              </w:rPr>
              <w:t>Núcleos Ejidales que representa</w:t>
            </w:r>
          </w:p>
        </w:tc>
        <w:tc>
          <w:tcPr>
            <w:tcW w:w="991" w:type="dxa"/>
            <w:shd w:val="clear" w:color="auto" w:fill="F9BE8F"/>
          </w:tcPr>
          <w:p>
            <w:pPr>
              <w:pStyle w:val="TableParagraph"/>
              <w:spacing w:line="252" w:lineRule="exact"/>
              <w:ind w:left="100" w:right="164"/>
              <w:rPr>
                <w:b/>
                <w:sz w:val="22"/>
              </w:rPr>
            </w:pPr>
            <w:r>
              <w:rPr>
                <w:b/>
                <w:sz w:val="22"/>
              </w:rPr>
              <w:t>Munici pio</w:t>
            </w:r>
          </w:p>
        </w:tc>
        <w:tc>
          <w:tcPr>
            <w:tcW w:w="1277" w:type="dxa"/>
            <w:shd w:val="clear" w:color="auto" w:fill="92CDDC"/>
          </w:tcPr>
          <w:p>
            <w:pPr>
              <w:pStyle w:val="TableParagraph"/>
              <w:spacing w:line="252" w:lineRule="exact"/>
              <w:ind w:right="325"/>
              <w:rPr>
                <w:b/>
                <w:sz w:val="22"/>
              </w:rPr>
            </w:pPr>
            <w:r>
              <w:rPr>
                <w:b/>
                <w:sz w:val="22"/>
              </w:rPr>
              <w:t>¿Dónde nació?</w:t>
            </w:r>
          </w:p>
        </w:tc>
        <w:tc>
          <w:tcPr>
            <w:tcW w:w="1133" w:type="dxa"/>
            <w:shd w:val="clear" w:color="auto" w:fill="92CDDC"/>
          </w:tcPr>
          <w:p>
            <w:pPr>
              <w:pStyle w:val="TableParagraph"/>
              <w:spacing w:line="252" w:lineRule="exact"/>
              <w:ind w:left="100" w:right="184"/>
              <w:rPr>
                <w:b/>
                <w:sz w:val="22"/>
              </w:rPr>
            </w:pPr>
            <w:r>
              <w:rPr>
                <w:b/>
                <w:sz w:val="22"/>
              </w:rPr>
              <w:t>¿Dónde vive?</w:t>
            </w:r>
          </w:p>
        </w:tc>
        <w:tc>
          <w:tcPr>
            <w:tcW w:w="1702" w:type="dxa"/>
            <w:shd w:val="clear" w:color="auto" w:fill="92CDDC"/>
          </w:tcPr>
          <w:p>
            <w:pPr>
              <w:pStyle w:val="TableParagraph"/>
              <w:tabs>
                <w:tab w:pos="676" w:val="left" w:leader="none"/>
                <w:tab w:pos="1076" w:val="left" w:leader="none"/>
                <w:tab w:pos="1271" w:val="left" w:leader="none"/>
                <w:tab w:pos="1406" w:val="left" w:leader="none"/>
              </w:tabs>
              <w:ind w:right="98"/>
              <w:rPr>
                <w:b/>
                <w:sz w:val="22"/>
              </w:rPr>
            </w:pPr>
            <w:r>
              <w:rPr>
                <w:b/>
                <w:sz w:val="22"/>
              </w:rPr>
              <w:t>¿Existen problemas por</w:t>
              <w:tab/>
              <w:t>el</w:t>
              <w:tab/>
              <w:t>agua de la laguna de Huapango entre</w:t>
              <w:tab/>
              <w:tab/>
              <w:tab/>
              <w:t>los municipios que</w:t>
              <w:tab/>
              <w:tab/>
              <w:tab/>
              <w:tab/>
              <w:t>la</w:t>
            </w:r>
          </w:p>
          <w:p>
            <w:pPr>
              <w:pStyle w:val="TableParagraph"/>
              <w:spacing w:line="253" w:lineRule="exact"/>
              <w:rPr>
                <w:b/>
                <w:sz w:val="22"/>
              </w:rPr>
            </w:pPr>
            <w:r>
              <w:rPr>
                <w:b/>
                <w:sz w:val="22"/>
              </w:rPr>
              <w:t>colindan?</w:t>
            </w:r>
          </w:p>
        </w:tc>
        <w:tc>
          <w:tcPr>
            <w:tcW w:w="1985" w:type="dxa"/>
            <w:shd w:val="clear" w:color="auto" w:fill="92CDDC"/>
          </w:tcPr>
          <w:p>
            <w:pPr>
              <w:pStyle w:val="TableParagraph"/>
              <w:tabs>
                <w:tab w:pos="1482" w:val="left" w:leader="none"/>
              </w:tabs>
              <w:ind w:right="99"/>
              <w:jc w:val="both"/>
              <w:rPr>
                <w:b/>
                <w:sz w:val="22"/>
              </w:rPr>
            </w:pPr>
            <w:r>
              <w:rPr>
                <w:b/>
                <w:sz w:val="22"/>
              </w:rPr>
              <w:t>¿Qué acciones realiza el Núcleo Ejidal</w:t>
              <w:tab/>
              <w:t>que representa para conservar       </w:t>
            </w:r>
            <w:r>
              <w:rPr>
                <w:b/>
                <w:spacing w:val="45"/>
                <w:sz w:val="22"/>
              </w:rPr>
              <w:t> </w:t>
            </w:r>
            <w:r>
              <w:rPr>
                <w:b/>
                <w:sz w:val="22"/>
              </w:rPr>
              <w:t>la</w:t>
            </w:r>
          </w:p>
          <w:p>
            <w:pPr>
              <w:pStyle w:val="TableParagraph"/>
              <w:tabs>
                <w:tab w:pos="1617" w:val="left" w:leader="none"/>
              </w:tabs>
              <w:ind w:right="98"/>
              <w:jc w:val="both"/>
              <w:rPr>
                <w:b/>
                <w:sz w:val="22"/>
              </w:rPr>
            </w:pPr>
            <w:r>
              <w:rPr>
                <w:b/>
                <w:sz w:val="22"/>
              </w:rPr>
              <w:t>laguna</w:t>
              <w:tab/>
              <w:t>de Huapango?</w:t>
            </w:r>
          </w:p>
        </w:tc>
      </w:tr>
      <w:tr>
        <w:trPr>
          <w:trHeight w:val="266" w:hRule="exact"/>
        </w:trPr>
        <w:tc>
          <w:tcPr>
            <w:tcW w:w="1385" w:type="dxa"/>
            <w:tcBorders>
              <w:bottom w:val="nil"/>
            </w:tcBorders>
          </w:tcPr>
          <w:p>
            <w:pPr>
              <w:pStyle w:val="TableParagraph"/>
              <w:spacing w:line="251" w:lineRule="exact"/>
              <w:ind w:right="127"/>
              <w:rPr>
                <w:sz w:val="22"/>
              </w:rPr>
            </w:pPr>
            <w:r>
              <w:rPr>
                <w:sz w:val="22"/>
              </w:rPr>
              <w:t>Reynaldo</w:t>
            </w:r>
          </w:p>
        </w:tc>
        <w:tc>
          <w:tcPr>
            <w:tcW w:w="1418" w:type="dxa"/>
            <w:tcBorders>
              <w:bottom w:val="nil"/>
            </w:tcBorders>
          </w:tcPr>
          <w:p>
            <w:pPr>
              <w:pStyle w:val="TableParagraph"/>
              <w:spacing w:line="251" w:lineRule="exact"/>
              <w:ind w:left="100" w:right="101"/>
              <w:rPr>
                <w:sz w:val="22"/>
              </w:rPr>
            </w:pPr>
            <w:r>
              <w:rPr>
                <w:sz w:val="22"/>
              </w:rPr>
              <w:t>Comisariad</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Las Arenas</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tabs>
                <w:tab w:pos="1098" w:val="left" w:leader="none"/>
              </w:tabs>
              <w:spacing w:line="251" w:lineRule="exact"/>
              <w:rPr>
                <w:sz w:val="22"/>
              </w:rPr>
            </w:pPr>
            <w:r>
              <w:rPr>
                <w:sz w:val="22"/>
              </w:rPr>
              <w:t>El</w:t>
              <w:tab/>
              <w:t>agua</w:t>
            </w:r>
          </w:p>
        </w:tc>
        <w:tc>
          <w:tcPr>
            <w:tcW w:w="1985" w:type="dxa"/>
            <w:tcBorders>
              <w:bottom w:val="nil"/>
            </w:tcBorders>
          </w:tcPr>
          <w:p>
            <w:pPr>
              <w:pStyle w:val="TableParagraph"/>
              <w:tabs>
                <w:tab w:pos="1702" w:val="left" w:leader="none"/>
              </w:tabs>
              <w:spacing w:line="251" w:lineRule="exact"/>
              <w:rPr>
                <w:sz w:val="22"/>
              </w:rPr>
            </w:pPr>
            <w:r>
              <w:rPr>
                <w:sz w:val="22"/>
              </w:rPr>
              <w:t>Reforestar</w:t>
              <w:tab/>
              <w:t>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Sandoval</w:t>
            </w:r>
          </w:p>
        </w:tc>
        <w:tc>
          <w:tcPr>
            <w:tcW w:w="1418" w:type="dxa"/>
            <w:tcBorders>
              <w:top w:val="nil"/>
              <w:bottom w:val="nil"/>
            </w:tcBorders>
          </w:tcPr>
          <w:p>
            <w:pPr>
              <w:pStyle w:val="TableParagraph"/>
              <w:spacing w:line="241" w:lineRule="exact"/>
              <w:ind w:left="100" w:right="101"/>
              <w:rPr>
                <w:sz w:val="22"/>
              </w:rPr>
            </w:pPr>
            <w:r>
              <w:rPr>
                <w:sz w:val="22"/>
              </w:rPr>
              <w:t>o Ejidal y</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Arenas,</w:t>
            </w:r>
          </w:p>
        </w:tc>
        <w:tc>
          <w:tcPr>
            <w:tcW w:w="1133" w:type="dxa"/>
            <w:tcBorders>
              <w:top w:val="nil"/>
              <w:bottom w:val="nil"/>
            </w:tcBorders>
          </w:tcPr>
          <w:p>
            <w:pPr>
              <w:pStyle w:val="TableParagraph"/>
              <w:spacing w:line="241" w:lineRule="exact"/>
              <w:ind w:left="100" w:right="52"/>
              <w:rPr>
                <w:sz w:val="22"/>
              </w:rPr>
            </w:pPr>
            <w:r>
              <w:rPr>
                <w:sz w:val="22"/>
              </w:rPr>
              <w:t>Arenas,</w:t>
            </w:r>
          </w:p>
        </w:tc>
        <w:tc>
          <w:tcPr>
            <w:tcW w:w="1702" w:type="dxa"/>
            <w:tcBorders>
              <w:top w:val="nil"/>
              <w:bottom w:val="nil"/>
            </w:tcBorders>
          </w:tcPr>
          <w:p>
            <w:pPr>
              <w:pStyle w:val="TableParagraph"/>
              <w:tabs>
                <w:tab w:pos="1160" w:val="left" w:leader="none"/>
              </w:tabs>
              <w:spacing w:line="241" w:lineRule="exact"/>
              <w:rPr>
                <w:sz w:val="22"/>
              </w:rPr>
            </w:pPr>
            <w:r>
              <w:rPr>
                <w:sz w:val="22"/>
              </w:rPr>
              <w:t>siempre</w:t>
              <w:tab/>
              <w:t>será</w:t>
            </w:r>
          </w:p>
        </w:tc>
        <w:tc>
          <w:tcPr>
            <w:tcW w:w="1985" w:type="dxa"/>
            <w:tcBorders>
              <w:top w:val="nil"/>
              <w:bottom w:val="nil"/>
            </w:tcBorders>
          </w:tcPr>
          <w:p>
            <w:pPr>
              <w:pStyle w:val="TableParagraph"/>
              <w:spacing w:line="241" w:lineRule="exact"/>
              <w:rPr>
                <w:sz w:val="22"/>
              </w:rPr>
            </w:pPr>
            <w:r>
              <w:rPr>
                <w:sz w:val="22"/>
              </w:rPr>
              <w:t>bosque  para</w:t>
            </w:r>
            <w:r>
              <w:rPr>
                <w:spacing w:val="53"/>
                <w:sz w:val="22"/>
              </w:rPr>
              <w:t> </w:t>
            </w:r>
            <w:r>
              <w:rPr>
                <w:sz w:val="22"/>
              </w:rPr>
              <w:t>que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Director del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Acambay</w:t>
            </w:r>
          </w:p>
        </w:tc>
        <w:tc>
          <w:tcPr>
            <w:tcW w:w="1702" w:type="dxa"/>
            <w:tcBorders>
              <w:top w:val="nil"/>
              <w:bottom w:val="nil"/>
            </w:tcBorders>
          </w:tcPr>
          <w:p>
            <w:pPr>
              <w:pStyle w:val="TableParagraph"/>
              <w:tabs>
                <w:tab w:pos="671" w:val="left" w:leader="none"/>
              </w:tabs>
              <w:spacing w:line="242" w:lineRule="exact"/>
              <w:rPr>
                <w:sz w:val="22"/>
              </w:rPr>
            </w:pPr>
            <w:r>
              <w:rPr>
                <w:sz w:val="22"/>
              </w:rPr>
              <w:t>un</w:t>
              <w:tab/>
              <w:t>problema</w:t>
            </w:r>
          </w:p>
        </w:tc>
        <w:tc>
          <w:tcPr>
            <w:tcW w:w="1985" w:type="dxa"/>
            <w:tcBorders>
              <w:top w:val="nil"/>
              <w:bottom w:val="nil"/>
            </w:tcBorders>
          </w:tcPr>
          <w:p>
            <w:pPr>
              <w:pStyle w:val="TableParagraph"/>
              <w:tabs>
                <w:tab w:pos="1259" w:val="left" w:leader="none"/>
              </w:tabs>
              <w:spacing w:line="242" w:lineRule="exact"/>
              <w:rPr>
                <w:sz w:val="22"/>
              </w:rPr>
            </w:pPr>
            <w:r>
              <w:rPr>
                <w:sz w:val="22"/>
              </w:rPr>
              <w:t>haya</w:t>
              <w:tab/>
              <w:t>mayor</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(21/I/2014)</w:t>
            </w:r>
          </w:p>
        </w:tc>
        <w:tc>
          <w:tcPr>
            <w:tcW w:w="1418" w:type="dxa"/>
            <w:tcBorders>
              <w:top w:val="nil"/>
              <w:bottom w:val="nil"/>
            </w:tcBorders>
          </w:tcPr>
          <w:p>
            <w:pPr>
              <w:pStyle w:val="TableParagraph"/>
              <w:spacing w:line="241" w:lineRule="exact"/>
              <w:ind w:left="100" w:right="101"/>
              <w:rPr>
                <w:sz w:val="22"/>
              </w:rPr>
            </w:pPr>
            <w:r>
              <w:rPr>
                <w:sz w:val="22"/>
              </w:rPr>
              <w:t>Medio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porque se dice</w:t>
            </w:r>
          </w:p>
        </w:tc>
        <w:tc>
          <w:tcPr>
            <w:tcW w:w="1985" w:type="dxa"/>
            <w:tcBorders>
              <w:top w:val="nil"/>
              <w:bottom w:val="nil"/>
            </w:tcBorders>
          </w:tcPr>
          <w:p>
            <w:pPr>
              <w:pStyle w:val="TableParagraph"/>
              <w:tabs>
                <w:tab w:pos="1629" w:val="left" w:leader="none"/>
              </w:tabs>
              <w:spacing w:line="241" w:lineRule="exact"/>
              <w:rPr>
                <w:sz w:val="22"/>
              </w:rPr>
            </w:pPr>
            <w:r>
              <w:rPr>
                <w:sz w:val="22"/>
              </w:rPr>
              <w:t>captación</w:t>
              <w:tab/>
              <w:t>de</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Ambiente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que   ahora   la</w:t>
            </w:r>
          </w:p>
        </w:tc>
        <w:tc>
          <w:tcPr>
            <w:tcW w:w="1985" w:type="dxa"/>
            <w:tcBorders>
              <w:top w:val="nil"/>
              <w:bottom w:val="nil"/>
            </w:tcBorders>
          </w:tcPr>
          <w:p>
            <w:pPr>
              <w:pStyle w:val="TableParagraph"/>
              <w:tabs>
                <w:tab w:pos="1062" w:val="left" w:leader="none"/>
                <w:tab w:pos="1640" w:val="left" w:leader="none"/>
              </w:tabs>
              <w:spacing w:line="241" w:lineRule="exact"/>
              <w:rPr>
                <w:sz w:val="22"/>
              </w:rPr>
            </w:pPr>
            <w:r>
              <w:rPr>
                <w:sz w:val="22"/>
              </w:rPr>
              <w:t>agua</w:t>
              <w:tab/>
              <w:t>y</w:t>
              <w:tab/>
              <w:t>se</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en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guerra   va  ser</w:t>
            </w:r>
          </w:p>
        </w:tc>
        <w:tc>
          <w:tcPr>
            <w:tcW w:w="1985" w:type="dxa"/>
            <w:tcBorders>
              <w:top w:val="nil"/>
              <w:bottom w:val="nil"/>
            </w:tcBorders>
          </w:tcPr>
          <w:p>
            <w:pPr>
              <w:pStyle w:val="TableParagraph"/>
              <w:tabs>
                <w:tab w:pos="1566" w:val="left" w:leader="none"/>
              </w:tabs>
              <w:spacing w:line="242" w:lineRule="exact"/>
              <w:rPr>
                <w:sz w:val="22"/>
              </w:rPr>
            </w:pPr>
            <w:r>
              <w:rPr>
                <w:sz w:val="22"/>
              </w:rPr>
              <w:t>aproveche</w:t>
              <w:tab/>
              <w:t>(se</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Acambay</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por  el  agua  y</w:t>
            </w:r>
          </w:p>
        </w:tc>
        <w:tc>
          <w:tcPr>
            <w:tcW w:w="1985" w:type="dxa"/>
            <w:tcBorders>
              <w:top w:val="nil"/>
              <w:bottom w:val="nil"/>
            </w:tcBorders>
          </w:tcPr>
          <w:p>
            <w:pPr>
              <w:pStyle w:val="TableParagraph"/>
              <w:spacing w:line="241" w:lineRule="exact"/>
              <w:rPr>
                <w:sz w:val="22"/>
              </w:rPr>
            </w:pPr>
            <w:r>
              <w:rPr>
                <w:sz w:val="22"/>
              </w:rPr>
              <w:t>plantaron </w:t>
            </w:r>
            <w:r>
              <w:rPr>
                <w:spacing w:val="54"/>
                <w:sz w:val="22"/>
              </w:rPr>
              <w:t> </w:t>
            </w:r>
            <w:r>
              <w:rPr>
                <w:sz w:val="22"/>
              </w:rPr>
              <w:t>70,000</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26" w:val="left" w:leader="none"/>
              </w:tabs>
              <w:spacing w:line="242" w:lineRule="exact"/>
              <w:rPr>
                <w:sz w:val="22"/>
              </w:rPr>
            </w:pPr>
            <w:r>
              <w:rPr>
                <w:sz w:val="22"/>
              </w:rPr>
              <w:t>porque</w:t>
              <w:tab/>
              <w:t>ahora</w:t>
            </w:r>
          </w:p>
        </w:tc>
        <w:tc>
          <w:tcPr>
            <w:tcW w:w="1985" w:type="dxa"/>
            <w:tcBorders>
              <w:top w:val="nil"/>
              <w:bottom w:val="nil"/>
            </w:tcBorders>
          </w:tcPr>
          <w:p>
            <w:pPr>
              <w:pStyle w:val="TableParagraph"/>
              <w:spacing w:line="242" w:lineRule="exact"/>
              <w:rPr>
                <w:sz w:val="22"/>
              </w:rPr>
            </w:pPr>
            <w:r>
              <w:rPr>
                <w:sz w:val="22"/>
              </w:rPr>
              <w:t>plantas).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8" w:val="left" w:leader="none"/>
              </w:tabs>
              <w:spacing w:line="241" w:lineRule="exact"/>
              <w:rPr>
                <w:sz w:val="22"/>
              </w:rPr>
            </w:pPr>
            <w:r>
              <w:rPr>
                <w:sz w:val="22"/>
              </w:rPr>
              <w:t>en</w:t>
              <w:tab/>
              <w:t>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68" w:val="left" w:leader="none"/>
              </w:tabs>
              <w:spacing w:line="241" w:lineRule="exact"/>
              <w:rPr>
                <w:sz w:val="22"/>
              </w:rPr>
            </w:pPr>
            <w:r>
              <w:rPr>
                <w:sz w:val="22"/>
              </w:rPr>
              <w:t>comunidad</w:t>
              <w:tab/>
              <w:t>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35" w:val="left" w:leader="none"/>
              </w:tabs>
              <w:spacing w:line="242" w:lineRule="exact"/>
              <w:rPr>
                <w:sz w:val="22"/>
              </w:rPr>
            </w:pPr>
            <w:r>
              <w:rPr>
                <w:sz w:val="22"/>
              </w:rPr>
              <w:t>como</w:t>
              <w:tab/>
              <w:t>nos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venden un litro</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de agua.</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Juan</w:t>
            </w:r>
          </w:p>
        </w:tc>
        <w:tc>
          <w:tcPr>
            <w:tcW w:w="1418" w:type="dxa"/>
            <w:tcBorders>
              <w:bottom w:val="nil"/>
            </w:tcBorders>
          </w:tcPr>
          <w:p>
            <w:pPr>
              <w:pStyle w:val="TableParagraph"/>
              <w:spacing w:line="251" w:lineRule="exact"/>
              <w:ind w:left="100" w:right="101"/>
              <w:rPr>
                <w:sz w:val="22"/>
              </w:rPr>
            </w:pPr>
            <w:r>
              <w:rPr>
                <w:sz w:val="22"/>
              </w:rPr>
              <w:t>Comisariad</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Huapango</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tabs>
                <w:tab w:pos="1098" w:val="left" w:leader="none"/>
              </w:tabs>
              <w:spacing w:line="251" w:lineRule="exact"/>
              <w:rPr>
                <w:sz w:val="22"/>
              </w:rPr>
            </w:pPr>
            <w:r>
              <w:rPr>
                <w:sz w:val="22"/>
              </w:rPr>
              <w:t>No</w:t>
              <w:tab/>
              <w:t>aquí,</w:t>
            </w:r>
          </w:p>
        </w:tc>
        <w:tc>
          <w:tcPr>
            <w:tcW w:w="1985" w:type="dxa"/>
            <w:tcBorders>
              <w:bottom w:val="nil"/>
            </w:tcBorders>
          </w:tcPr>
          <w:p>
            <w:pPr>
              <w:pStyle w:val="TableParagraph"/>
              <w:tabs>
                <w:tab w:pos="808" w:val="left" w:leader="none"/>
              </w:tabs>
              <w:spacing w:line="251" w:lineRule="exact"/>
              <w:rPr>
                <w:sz w:val="22"/>
              </w:rPr>
            </w:pPr>
            <w:r>
              <w:rPr>
                <w:sz w:val="22"/>
              </w:rPr>
              <w:t>No</w:t>
              <w:tab/>
              <w:t>realizamos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García</w:t>
            </w:r>
          </w:p>
        </w:tc>
        <w:tc>
          <w:tcPr>
            <w:tcW w:w="1418" w:type="dxa"/>
            <w:tcBorders>
              <w:top w:val="nil"/>
              <w:bottom w:val="nil"/>
            </w:tcBorders>
          </w:tcPr>
          <w:p>
            <w:pPr>
              <w:pStyle w:val="TableParagraph"/>
              <w:spacing w:line="242" w:lineRule="exact"/>
              <w:ind w:left="100" w:right="101"/>
              <w:rPr>
                <w:sz w:val="22"/>
              </w:rPr>
            </w:pPr>
            <w:r>
              <w:rPr>
                <w:sz w:val="22"/>
              </w:rPr>
              <w:t>o Ejidal y</w:t>
            </w:r>
          </w:p>
        </w:tc>
        <w:tc>
          <w:tcPr>
            <w:tcW w:w="1417" w:type="dxa"/>
            <w:tcBorders>
              <w:top w:val="nil"/>
              <w:bottom w:val="nil"/>
            </w:tcBorders>
          </w:tcPr>
          <w:p>
            <w:pPr>
              <w:pStyle w:val="TableParagraph"/>
              <w:spacing w:line="242"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Style w:val="TableParagraph"/>
              <w:spacing w:line="242" w:lineRule="exact"/>
              <w:ind w:right="92"/>
              <w:rPr>
                <w:sz w:val="22"/>
              </w:rPr>
            </w:pPr>
            <w:r>
              <w:rPr>
                <w:sz w:val="22"/>
              </w:rPr>
              <w:t>, Timilpan</w:t>
            </w:r>
          </w:p>
        </w:tc>
        <w:tc>
          <w:tcPr>
            <w:tcW w:w="1133" w:type="dxa"/>
            <w:tcBorders>
              <w:top w:val="nil"/>
              <w:bottom w:val="nil"/>
            </w:tcBorders>
          </w:tcPr>
          <w:p>
            <w:pPr>
              <w:pStyle w:val="TableParagraph"/>
              <w:spacing w:line="242" w:lineRule="exact"/>
              <w:ind w:left="100" w:right="52"/>
              <w:rPr>
                <w:sz w:val="22"/>
              </w:rPr>
            </w:pPr>
            <w:r>
              <w:rPr>
                <w:sz w:val="22"/>
              </w:rPr>
              <w:t>o,</w:t>
            </w:r>
          </w:p>
        </w:tc>
        <w:tc>
          <w:tcPr>
            <w:tcW w:w="1702" w:type="dxa"/>
            <w:tcBorders>
              <w:top w:val="nil"/>
              <w:bottom w:val="nil"/>
            </w:tcBorders>
          </w:tcPr>
          <w:p>
            <w:pPr>
              <w:pStyle w:val="TableParagraph"/>
              <w:spacing w:line="242" w:lineRule="exact"/>
              <w:rPr>
                <w:sz w:val="22"/>
              </w:rPr>
            </w:pPr>
            <w:r>
              <w:rPr>
                <w:sz w:val="22"/>
              </w:rPr>
              <w:t>(refiriéndose  a</w:t>
            </w:r>
          </w:p>
        </w:tc>
        <w:tc>
          <w:tcPr>
            <w:tcW w:w="1985" w:type="dxa"/>
            <w:tcBorders>
              <w:top w:val="nil"/>
              <w:bottom w:val="nil"/>
            </w:tcBorders>
          </w:tcPr>
          <w:p>
            <w:pPr>
              <w:pStyle w:val="TableParagraph"/>
              <w:tabs>
                <w:tab w:pos="1432" w:val="left" w:leader="none"/>
              </w:tabs>
              <w:spacing w:line="242" w:lineRule="exact"/>
              <w:rPr>
                <w:sz w:val="22"/>
              </w:rPr>
            </w:pPr>
            <w:r>
              <w:rPr>
                <w:sz w:val="22"/>
              </w:rPr>
              <w:t>acciones</w:t>
              <w:tab/>
              <w:t>para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Jiménez</w:t>
            </w:r>
          </w:p>
        </w:tc>
        <w:tc>
          <w:tcPr>
            <w:tcW w:w="1418" w:type="dxa"/>
            <w:tcBorders>
              <w:top w:val="nil"/>
              <w:bottom w:val="nil"/>
            </w:tcBorders>
          </w:tcPr>
          <w:p>
            <w:pPr>
              <w:pStyle w:val="TableParagraph"/>
              <w:spacing w:line="241" w:lineRule="exact"/>
              <w:ind w:left="100" w:right="101"/>
              <w:rPr>
                <w:sz w:val="22"/>
              </w:rPr>
            </w:pPr>
            <w:r>
              <w:rPr>
                <w:sz w:val="22"/>
              </w:rPr>
              <w:t>campesino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Huapango),</w:t>
            </w:r>
          </w:p>
        </w:tc>
        <w:tc>
          <w:tcPr>
            <w:tcW w:w="1985" w:type="dxa"/>
            <w:tcBorders>
              <w:top w:val="nil"/>
              <w:bottom w:val="nil"/>
            </w:tcBorders>
          </w:tcPr>
          <w:p>
            <w:pPr>
              <w:pStyle w:val="TableParagraph"/>
              <w:tabs>
                <w:tab w:pos="1702" w:val="left" w:leader="none"/>
              </w:tabs>
              <w:spacing w:line="241" w:lineRule="exact"/>
              <w:rPr>
                <w:sz w:val="22"/>
              </w:rPr>
            </w:pPr>
            <w:r>
              <w:rPr>
                <w:sz w:val="22"/>
              </w:rPr>
              <w:t>proteger</w:t>
              <w:tab/>
              <w:t>la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(12/I/2014)</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pero   en  otros</w:t>
            </w:r>
          </w:p>
        </w:tc>
        <w:tc>
          <w:tcPr>
            <w:tcW w:w="1985" w:type="dxa"/>
            <w:tcBorders>
              <w:top w:val="nil"/>
              <w:bottom w:val="nil"/>
            </w:tcBorders>
          </w:tcPr>
          <w:p>
            <w:pPr>
              <w:pStyle w:val="TableParagraph"/>
              <w:spacing w:line="241" w:lineRule="exact"/>
              <w:rPr>
                <w:sz w:val="22"/>
              </w:rPr>
            </w:pPr>
            <w:r>
              <w:rPr>
                <w:sz w:val="22"/>
              </w:rPr>
              <w:t>laguna,   pero   ya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34" w:val="left" w:leader="none"/>
                <w:tab w:pos="1271" w:val="left" w:leader="none"/>
              </w:tabs>
              <w:spacing w:line="242" w:lineRule="exact"/>
              <w:rPr>
                <w:sz w:val="22"/>
              </w:rPr>
            </w:pPr>
            <w:r>
              <w:rPr>
                <w:sz w:val="22"/>
              </w:rPr>
              <w:t>lados</w:t>
              <w:tab/>
              <w:t>sí,</w:t>
              <w:tab/>
              <w:t>por</w:t>
            </w:r>
          </w:p>
        </w:tc>
        <w:tc>
          <w:tcPr>
            <w:tcW w:w="1985" w:type="dxa"/>
            <w:tcBorders>
              <w:top w:val="nil"/>
              <w:bottom w:val="nil"/>
            </w:tcBorders>
          </w:tcPr>
          <w:p>
            <w:pPr>
              <w:pStyle w:val="TableParagraph"/>
              <w:spacing w:line="242" w:lineRule="exact"/>
              <w:rPr>
                <w:sz w:val="22"/>
              </w:rPr>
            </w:pPr>
            <w:r>
              <w:rPr>
                <w:sz w:val="22"/>
              </w:rPr>
              <w:t>se  van  a  llevar 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ejemplo</w:t>
              <w:tab/>
              <w:t>en</w:t>
            </w:r>
          </w:p>
        </w:tc>
        <w:tc>
          <w:tcPr>
            <w:tcW w:w="1985" w:type="dxa"/>
            <w:tcBorders>
              <w:top w:val="nil"/>
              <w:bottom w:val="nil"/>
            </w:tcBorders>
          </w:tcPr>
          <w:p>
            <w:pPr>
              <w:pStyle w:val="TableParagraph"/>
              <w:tabs>
                <w:tab w:pos="907" w:val="left" w:leader="none"/>
              </w:tabs>
              <w:spacing w:line="241" w:lineRule="exact"/>
              <w:rPr>
                <w:sz w:val="22"/>
              </w:rPr>
            </w:pPr>
            <w:r>
              <w:rPr>
                <w:sz w:val="22"/>
              </w:rPr>
              <w:t>cabo</w:t>
              <w:tab/>
              <w:t>reuniones</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78" w:val="left" w:leader="none"/>
              </w:tabs>
              <w:spacing w:line="243" w:lineRule="exact"/>
              <w:rPr>
                <w:sz w:val="22"/>
              </w:rPr>
            </w:pPr>
            <w:r>
              <w:rPr>
                <w:sz w:val="22"/>
              </w:rPr>
              <w:t>Aculco</w:t>
              <w:tab/>
              <w:t>y</w:t>
            </w:r>
          </w:p>
        </w:tc>
        <w:tc>
          <w:tcPr>
            <w:tcW w:w="1985" w:type="dxa"/>
            <w:tcBorders>
              <w:top w:val="nil"/>
              <w:bottom w:val="nil"/>
            </w:tcBorders>
          </w:tcPr>
          <w:p>
            <w:pPr>
              <w:pStyle w:val="TableParagraph"/>
              <w:spacing w:line="243" w:lineRule="exact"/>
              <w:rPr>
                <w:sz w:val="22"/>
              </w:rPr>
            </w:pPr>
            <w:r>
              <w:rPr>
                <w:sz w:val="22"/>
              </w:rPr>
              <w:t>para cuidarla.</w:t>
            </w:r>
          </w:p>
        </w:tc>
      </w:tr>
      <w:tr>
        <w:trPr>
          <w:trHeight w:val="247"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Arroyo Zarco.</w:t>
            </w: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Francisco</w:t>
            </w:r>
          </w:p>
        </w:tc>
        <w:tc>
          <w:tcPr>
            <w:tcW w:w="1418" w:type="dxa"/>
            <w:tcBorders>
              <w:bottom w:val="nil"/>
            </w:tcBorders>
          </w:tcPr>
          <w:p>
            <w:pPr>
              <w:pStyle w:val="TableParagraph"/>
              <w:ind w:left="100" w:right="101"/>
              <w:rPr>
                <w:sz w:val="22"/>
              </w:rPr>
            </w:pPr>
            <w:r>
              <w:rPr>
                <w:sz w:val="22"/>
              </w:rPr>
              <w:t>Comisariad</w:t>
            </w:r>
          </w:p>
        </w:tc>
        <w:tc>
          <w:tcPr>
            <w:tcW w:w="1417" w:type="dxa"/>
            <w:tcBorders>
              <w:bottom w:val="nil"/>
            </w:tcBorders>
          </w:tcPr>
          <w:p>
            <w:pPr>
              <w:pStyle w:val="TableParagraph"/>
              <w:ind w:left="100"/>
              <w:rPr>
                <w:sz w:val="22"/>
              </w:rPr>
            </w:pPr>
            <w:r>
              <w:rPr>
                <w:sz w:val="22"/>
              </w:rPr>
              <w:t>Comisariad</w:t>
            </w:r>
          </w:p>
        </w:tc>
        <w:tc>
          <w:tcPr>
            <w:tcW w:w="1560" w:type="dxa"/>
            <w:tcBorders>
              <w:bottom w:val="nil"/>
            </w:tcBorders>
          </w:tcPr>
          <w:p>
            <w:pPr>
              <w:pStyle w:val="TableParagraph"/>
              <w:ind w:right="143"/>
              <w:rPr>
                <w:sz w:val="22"/>
              </w:rPr>
            </w:pPr>
            <w:r>
              <w:rPr>
                <w:sz w:val="22"/>
              </w:rPr>
              <w:t>Aldama</w:t>
            </w:r>
          </w:p>
        </w:tc>
        <w:tc>
          <w:tcPr>
            <w:tcW w:w="991" w:type="dxa"/>
            <w:tcBorders>
              <w:bottom w:val="nil"/>
            </w:tcBorders>
          </w:tcPr>
          <w:p>
            <w:pPr>
              <w:pStyle w:val="TableParagraph"/>
              <w:ind w:left="100"/>
              <w:rPr>
                <w:sz w:val="22"/>
              </w:rPr>
            </w:pPr>
            <w:r>
              <w:rPr>
                <w:sz w:val="22"/>
              </w:rPr>
              <w:t>Jilotepe</w:t>
            </w:r>
          </w:p>
        </w:tc>
        <w:tc>
          <w:tcPr>
            <w:tcW w:w="1277" w:type="dxa"/>
            <w:tcBorders>
              <w:bottom w:val="nil"/>
            </w:tcBorders>
          </w:tcPr>
          <w:p>
            <w:pPr>
              <w:pStyle w:val="TableParagraph"/>
              <w:ind w:right="92"/>
              <w:rPr>
                <w:sz w:val="22"/>
              </w:rPr>
            </w:pPr>
            <w:r>
              <w:rPr>
                <w:sz w:val="22"/>
              </w:rPr>
              <w:t>El Saltillo,</w:t>
            </w:r>
          </w:p>
        </w:tc>
        <w:tc>
          <w:tcPr>
            <w:tcW w:w="1133" w:type="dxa"/>
            <w:tcBorders>
              <w:bottom w:val="nil"/>
            </w:tcBorders>
          </w:tcPr>
          <w:p>
            <w:pPr>
              <w:pStyle w:val="TableParagraph"/>
              <w:ind w:left="100" w:right="52"/>
              <w:rPr>
                <w:sz w:val="22"/>
              </w:rPr>
            </w:pPr>
            <w:r>
              <w:rPr>
                <w:sz w:val="22"/>
              </w:rPr>
              <w:t>El</w:t>
            </w:r>
          </w:p>
        </w:tc>
        <w:tc>
          <w:tcPr>
            <w:tcW w:w="1702" w:type="dxa"/>
            <w:tcBorders>
              <w:bottom w:val="nil"/>
            </w:tcBorders>
          </w:tcPr>
          <w:p>
            <w:pPr>
              <w:pStyle w:val="TableParagraph"/>
              <w:tabs>
                <w:tab w:pos="892" w:val="left" w:leader="none"/>
              </w:tabs>
              <w:rPr>
                <w:sz w:val="22"/>
              </w:rPr>
            </w:pPr>
            <w:r>
              <w:rPr>
                <w:sz w:val="22"/>
              </w:rPr>
              <w:t>No</w:t>
              <w:tab/>
              <w:t>existen</w:t>
            </w:r>
          </w:p>
        </w:tc>
        <w:tc>
          <w:tcPr>
            <w:tcW w:w="1985" w:type="dxa"/>
            <w:tcBorders>
              <w:bottom w:val="nil"/>
            </w:tcBorders>
          </w:tcPr>
          <w:p>
            <w:pPr>
              <w:pStyle w:val="TableParagraph"/>
              <w:tabs>
                <w:tab w:pos="657" w:val="left" w:leader="none"/>
                <w:tab w:pos="1503" w:val="left" w:leader="none"/>
              </w:tabs>
              <w:rPr>
                <w:sz w:val="22"/>
              </w:rPr>
            </w:pPr>
            <w:r>
              <w:rPr>
                <w:sz w:val="22"/>
              </w:rPr>
              <w:t>El</w:t>
              <w:tab/>
              <w:t>Ejido</w:t>
              <w:tab/>
              <w:t>que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Reyes</w:t>
            </w:r>
          </w:p>
        </w:tc>
        <w:tc>
          <w:tcPr>
            <w:tcW w:w="1418" w:type="dxa"/>
            <w:tcBorders>
              <w:top w:val="nil"/>
              <w:bottom w:val="nil"/>
            </w:tcBorders>
          </w:tcPr>
          <w:p>
            <w:pPr>
              <w:pStyle w:val="TableParagraph"/>
              <w:tabs>
                <w:tab w:pos="438" w:val="left" w:leader="none"/>
                <w:tab w:pos="1191" w:val="left" w:leader="none"/>
              </w:tabs>
              <w:spacing w:line="241" w:lineRule="exact"/>
              <w:ind w:left="100"/>
              <w:rPr>
                <w:sz w:val="22"/>
              </w:rPr>
            </w:pPr>
            <w:r>
              <w:rPr>
                <w:sz w:val="22"/>
              </w:rPr>
              <w:t>o</w:t>
              <w:tab/>
              <w:t>Ejidal</w:t>
              <w:tab/>
              <w:t>y</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spacing w:line="241" w:lineRule="exact"/>
              <w:rPr>
                <w:sz w:val="22"/>
              </w:rPr>
            </w:pPr>
            <w:r>
              <w:rPr>
                <w:sz w:val="22"/>
              </w:rPr>
              <w:t>problemas</w:t>
            </w:r>
          </w:p>
        </w:tc>
        <w:tc>
          <w:tcPr>
            <w:tcW w:w="1985" w:type="dxa"/>
            <w:tcBorders>
              <w:top w:val="nil"/>
              <w:bottom w:val="nil"/>
            </w:tcBorders>
          </w:tcPr>
          <w:p>
            <w:pPr>
              <w:pStyle w:val="TableParagraph"/>
              <w:tabs>
                <w:tab w:pos="1628" w:val="left" w:leader="none"/>
              </w:tabs>
              <w:spacing w:line="241" w:lineRule="exact"/>
              <w:rPr>
                <w:sz w:val="22"/>
              </w:rPr>
            </w:pPr>
            <w:r>
              <w:rPr>
                <w:sz w:val="22"/>
              </w:rPr>
              <w:t>represento</w:t>
              <w:tab/>
              <w:t>no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Huitrón</w:t>
            </w:r>
          </w:p>
        </w:tc>
        <w:tc>
          <w:tcPr>
            <w:tcW w:w="1418" w:type="dxa"/>
            <w:tcBorders>
              <w:top w:val="nil"/>
              <w:bottom w:val="nil"/>
            </w:tcBorders>
          </w:tcPr>
          <w:p>
            <w:pPr>
              <w:pStyle w:val="TableParagraph"/>
              <w:spacing w:line="241" w:lineRule="exact"/>
              <w:ind w:left="100" w:right="101"/>
              <w:rPr>
                <w:sz w:val="22"/>
              </w:rPr>
            </w:pPr>
            <w:r>
              <w:rPr>
                <w:sz w:val="22"/>
              </w:rPr>
              <w:t>Subdirector</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Style w:val="TableParagraph"/>
              <w:tabs>
                <w:tab w:pos="1309" w:val="left" w:leader="none"/>
              </w:tabs>
              <w:spacing w:line="241" w:lineRule="exact"/>
              <w:rPr>
                <w:sz w:val="22"/>
              </w:rPr>
            </w:pPr>
            <w:r>
              <w:rPr>
                <w:sz w:val="22"/>
              </w:rPr>
              <w:t>entre</w:t>
              <w:tab/>
              <w:t>los</w:t>
            </w:r>
          </w:p>
        </w:tc>
        <w:tc>
          <w:tcPr>
            <w:tcW w:w="1985" w:type="dxa"/>
            <w:tcBorders>
              <w:top w:val="nil"/>
              <w:bottom w:val="nil"/>
            </w:tcBorders>
          </w:tcPr>
          <w:p>
            <w:pPr>
              <w:pStyle w:val="TableParagraph"/>
              <w:tabs>
                <w:tab w:pos="1002" w:val="left" w:leader="none"/>
              </w:tabs>
              <w:spacing w:line="241" w:lineRule="exact"/>
              <w:rPr>
                <w:sz w:val="22"/>
              </w:rPr>
            </w:pPr>
            <w:r>
              <w:rPr>
                <w:sz w:val="22"/>
              </w:rPr>
              <w:t>realiza</w:t>
              <w:tab/>
              <w:t>acciones</w:t>
            </w:r>
          </w:p>
        </w:tc>
      </w:tr>
      <w:tr>
        <w:trPr>
          <w:trHeight w:val="248" w:hRule="exact"/>
        </w:trPr>
        <w:tc>
          <w:tcPr>
            <w:tcW w:w="1385" w:type="dxa"/>
            <w:tcBorders>
              <w:top w:val="nil"/>
            </w:tcBorders>
          </w:tcPr>
          <w:p>
            <w:pPr>
              <w:pStyle w:val="TableParagraph"/>
              <w:spacing w:line="242" w:lineRule="exact"/>
              <w:rPr>
                <w:sz w:val="22"/>
              </w:rPr>
            </w:pPr>
            <w:r>
              <w:rPr>
                <w:sz w:val="22"/>
              </w:rPr>
              <w:t>(17/7/2014)</w:t>
            </w:r>
          </w:p>
        </w:tc>
        <w:tc>
          <w:tcPr>
            <w:tcW w:w="1418" w:type="dxa"/>
            <w:tcBorders>
              <w:top w:val="nil"/>
            </w:tcBorders>
          </w:tcPr>
          <w:p>
            <w:pPr>
              <w:pStyle w:val="TableParagraph"/>
              <w:spacing w:line="242" w:lineRule="exact"/>
              <w:ind w:left="100" w:right="101"/>
              <w:rPr>
                <w:sz w:val="22"/>
              </w:rPr>
            </w:pPr>
            <w:r>
              <w:rPr>
                <w:sz w:val="22"/>
              </w:rPr>
              <w:t>de</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tabs>
                <w:tab w:pos="1346" w:val="left" w:leader="none"/>
              </w:tabs>
              <w:spacing w:line="242" w:lineRule="exact"/>
              <w:rPr>
                <w:sz w:val="22"/>
              </w:rPr>
            </w:pPr>
            <w:r>
              <w:rPr>
                <w:sz w:val="22"/>
              </w:rPr>
              <w:t>habitantes</w:t>
              <w:tab/>
              <w:t>de</w:t>
            </w:r>
          </w:p>
        </w:tc>
        <w:tc>
          <w:tcPr>
            <w:tcW w:w="1985" w:type="dxa"/>
            <w:tcBorders>
              <w:top w:val="nil"/>
            </w:tcBorders>
          </w:tcPr>
          <w:p>
            <w:pPr>
              <w:pStyle w:val="TableParagraph"/>
              <w:spacing w:line="242" w:lineRule="exact"/>
              <w:rPr>
                <w:sz w:val="22"/>
              </w:rPr>
            </w:pPr>
            <w:r>
              <w:rPr>
                <w:sz w:val="22"/>
              </w:rPr>
              <w:t>para  conservar la</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1781" w:hRule="exact"/>
        </w:trPr>
        <w:tc>
          <w:tcPr>
            <w:tcW w:w="1385" w:type="dxa"/>
          </w:tcPr>
          <w:p>
            <w:pPr/>
          </w:p>
        </w:tc>
        <w:tc>
          <w:tcPr>
            <w:tcW w:w="1418" w:type="dxa"/>
          </w:tcPr>
          <w:p>
            <w:pPr>
              <w:pStyle w:val="TableParagraph"/>
              <w:tabs>
                <w:tab w:pos="1132" w:val="left" w:leader="none"/>
              </w:tabs>
              <w:ind w:left="100" w:right="101"/>
              <w:rPr>
                <w:sz w:val="22"/>
              </w:rPr>
            </w:pPr>
            <w:r>
              <w:rPr>
                <w:sz w:val="22"/>
              </w:rPr>
              <w:t>Participació n Ciudadana y el Campo en</w:t>
              <w:tab/>
              <w:t>el</w:t>
            </w:r>
          </w:p>
          <w:p>
            <w:pPr>
              <w:pStyle w:val="TableParagraph"/>
              <w:ind w:left="100" w:right="129"/>
              <w:rPr>
                <w:sz w:val="22"/>
              </w:rPr>
            </w:pPr>
            <w:r>
              <w:rPr>
                <w:sz w:val="22"/>
              </w:rPr>
              <w:t>municipio de</w:t>
            </w:r>
            <w:r>
              <w:rPr>
                <w:spacing w:val="-1"/>
                <w:sz w:val="22"/>
              </w:rPr>
              <w:t> </w:t>
            </w:r>
            <w:r>
              <w:rPr>
                <w:sz w:val="22"/>
              </w:rPr>
              <w:t>Jilotepec</w:t>
            </w: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ind w:right="98"/>
              <w:jc w:val="both"/>
              <w:rPr>
                <w:sz w:val="22"/>
              </w:rPr>
            </w:pPr>
            <w:r>
              <w:rPr>
                <w:sz w:val="22"/>
              </w:rPr>
              <w:t>los distintos municipios que colindan con la laguna.</w:t>
            </w:r>
          </w:p>
        </w:tc>
        <w:tc>
          <w:tcPr>
            <w:tcW w:w="1985" w:type="dxa"/>
          </w:tcPr>
          <w:p>
            <w:pPr>
              <w:pStyle w:val="TableParagraph"/>
              <w:spacing w:line="251" w:lineRule="exact"/>
              <w:rPr>
                <w:sz w:val="22"/>
              </w:rPr>
            </w:pPr>
            <w:r>
              <w:rPr>
                <w:sz w:val="22"/>
              </w:rPr>
              <w:t>laguna.</w:t>
            </w:r>
          </w:p>
        </w:tc>
      </w:tr>
      <w:tr>
        <w:trPr>
          <w:trHeight w:val="2033" w:hRule="exact"/>
        </w:trPr>
        <w:tc>
          <w:tcPr>
            <w:tcW w:w="1385" w:type="dxa"/>
          </w:tcPr>
          <w:p>
            <w:pPr>
              <w:pStyle w:val="TableParagraph"/>
              <w:ind w:right="249"/>
              <w:rPr>
                <w:sz w:val="22"/>
              </w:rPr>
            </w:pPr>
            <w:r>
              <w:rPr>
                <w:sz w:val="22"/>
              </w:rPr>
              <w:t>Cipriano Matías Juan (2/8/2014)</w:t>
            </w:r>
          </w:p>
        </w:tc>
        <w:tc>
          <w:tcPr>
            <w:tcW w:w="1418" w:type="dxa"/>
          </w:tcPr>
          <w:p>
            <w:pPr>
              <w:pStyle w:val="TableParagraph"/>
              <w:ind w:left="144" w:right="149" w:firstLine="3"/>
              <w:jc w:val="center"/>
              <w:rPr>
                <w:sz w:val="22"/>
              </w:rPr>
            </w:pPr>
            <w:r>
              <w:rPr>
                <w:sz w:val="22"/>
              </w:rPr>
              <w:t>Agricultor y la     construcció n</w:t>
            </w:r>
          </w:p>
        </w:tc>
        <w:tc>
          <w:tcPr>
            <w:tcW w:w="1417" w:type="dxa"/>
          </w:tcPr>
          <w:p>
            <w:pPr>
              <w:pStyle w:val="TableParagraph"/>
              <w:spacing w:line="252" w:lineRule="exact" w:before="2"/>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San Martín</w:t>
            </w:r>
          </w:p>
        </w:tc>
        <w:tc>
          <w:tcPr>
            <w:tcW w:w="991" w:type="dxa"/>
          </w:tcPr>
          <w:p>
            <w:pPr>
              <w:pStyle w:val="TableParagraph"/>
              <w:spacing w:line="251" w:lineRule="exact"/>
              <w:ind w:left="100"/>
              <w:rPr>
                <w:sz w:val="22"/>
              </w:rPr>
            </w:pPr>
            <w:r>
              <w:rPr>
                <w:sz w:val="22"/>
              </w:rPr>
              <w:t>Aculco</w:t>
            </w:r>
          </w:p>
        </w:tc>
        <w:tc>
          <w:tcPr>
            <w:tcW w:w="1277" w:type="dxa"/>
          </w:tcPr>
          <w:p>
            <w:pPr>
              <w:pStyle w:val="TableParagraph"/>
              <w:ind w:right="460"/>
              <w:rPr>
                <w:sz w:val="22"/>
              </w:rPr>
            </w:pPr>
            <w:r>
              <w:rPr>
                <w:sz w:val="22"/>
              </w:rPr>
              <w:t>San Martín, Aculco</w:t>
            </w:r>
          </w:p>
        </w:tc>
        <w:tc>
          <w:tcPr>
            <w:tcW w:w="1133" w:type="dxa"/>
          </w:tcPr>
          <w:p>
            <w:pPr>
              <w:pStyle w:val="TableParagraph"/>
              <w:ind w:left="100" w:right="318"/>
              <w:rPr>
                <w:sz w:val="22"/>
              </w:rPr>
            </w:pPr>
            <w:r>
              <w:rPr>
                <w:sz w:val="22"/>
              </w:rPr>
              <w:t>San Martín, Aculco</w:t>
            </w:r>
          </w:p>
        </w:tc>
        <w:tc>
          <w:tcPr>
            <w:tcW w:w="1702" w:type="dxa"/>
          </w:tcPr>
          <w:p>
            <w:pPr>
              <w:pStyle w:val="TableParagraph"/>
              <w:tabs>
                <w:tab w:pos="928" w:val="left" w:leader="none"/>
                <w:tab w:pos="976" w:val="left" w:leader="none"/>
                <w:tab w:pos="1113" w:val="left" w:leader="none"/>
                <w:tab w:pos="1345" w:val="left" w:leader="none"/>
              </w:tabs>
              <w:ind w:right="98"/>
              <w:rPr>
                <w:sz w:val="22"/>
              </w:rPr>
            </w:pPr>
            <w:r>
              <w:rPr>
                <w:sz w:val="22"/>
              </w:rPr>
              <w:t>No</w:t>
              <w:tab/>
              <w:tab/>
              <w:t>puedo responder porque</w:t>
              <w:tab/>
              <w:tab/>
              <w:tab/>
              <w:t>cada quien tiene su forma</w:t>
              <w:tab/>
              <w:tab/>
              <w:tab/>
              <w:tab/>
              <w:t>de pensar y no he visto</w:t>
              <w:tab/>
              <w:t>ningún problema.</w:t>
            </w:r>
          </w:p>
        </w:tc>
        <w:tc>
          <w:tcPr>
            <w:tcW w:w="1985" w:type="dxa"/>
          </w:tcPr>
          <w:p>
            <w:pPr>
              <w:pStyle w:val="TableParagraph"/>
              <w:ind w:right="99"/>
              <w:jc w:val="both"/>
              <w:rPr>
                <w:sz w:val="22"/>
              </w:rPr>
            </w:pPr>
            <w:r>
              <w:rPr>
                <w:sz w:val="22"/>
              </w:rPr>
              <w:t>Nomás el apoyo, según el distrito de riego, el  apoyo.</w:t>
            </w:r>
          </w:p>
        </w:tc>
      </w:tr>
      <w:tr>
        <w:trPr>
          <w:trHeight w:val="267" w:hRule="exact"/>
        </w:trPr>
        <w:tc>
          <w:tcPr>
            <w:tcW w:w="1385" w:type="dxa"/>
            <w:tcBorders>
              <w:bottom w:val="nil"/>
            </w:tcBorders>
          </w:tcPr>
          <w:p>
            <w:pPr>
              <w:pStyle w:val="TableParagraph"/>
              <w:spacing w:line="251" w:lineRule="exact"/>
              <w:rPr>
                <w:sz w:val="22"/>
              </w:rPr>
            </w:pPr>
            <w:r>
              <w:rPr>
                <w:sz w:val="22"/>
              </w:rPr>
              <w:t>Félix</w:t>
            </w:r>
            <w:r>
              <w:rPr>
                <w:spacing w:val="53"/>
                <w:sz w:val="22"/>
              </w:rPr>
              <w:t> </w:t>
            </w:r>
            <w:r>
              <w:rPr>
                <w:sz w:val="22"/>
              </w:rPr>
              <w:t>Lucas</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El Ejido de</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1233" w:val="left" w:leader="none"/>
              </w:tabs>
              <w:spacing w:line="251" w:lineRule="exact"/>
              <w:rPr>
                <w:sz w:val="22"/>
              </w:rPr>
            </w:pPr>
            <w:r>
              <w:rPr>
                <w:sz w:val="22"/>
              </w:rPr>
              <w:t>Sí</w:t>
              <w:tab/>
              <w:t>hay</w:t>
            </w:r>
          </w:p>
        </w:tc>
        <w:tc>
          <w:tcPr>
            <w:tcW w:w="1985" w:type="dxa"/>
            <w:tcBorders>
              <w:bottom w:val="nil"/>
            </w:tcBorders>
          </w:tcPr>
          <w:p>
            <w:pPr>
              <w:pStyle w:val="TableParagraph"/>
              <w:tabs>
                <w:tab w:pos="683" w:val="left" w:leader="none"/>
                <w:tab w:pos="1751" w:val="left" w:leader="none"/>
              </w:tabs>
              <w:spacing w:line="251" w:lineRule="exact"/>
              <w:rPr>
                <w:sz w:val="22"/>
              </w:rPr>
            </w:pPr>
            <w:r>
              <w:rPr>
                <w:sz w:val="22"/>
              </w:rPr>
              <w:t>Les</w:t>
              <w:tab/>
              <w:t>comento</w:t>
              <w:tab/>
              <w:t>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Pablo</w:t>
            </w:r>
          </w:p>
        </w:tc>
        <w:tc>
          <w:tcPr>
            <w:tcW w:w="1418" w:type="dxa"/>
            <w:tcBorders>
              <w:top w:val="nil"/>
              <w:bottom w:val="nil"/>
            </w:tcBorders>
          </w:tcPr>
          <w:p>
            <w:pPr>
              <w:pStyle w:val="TableParagraph"/>
              <w:spacing w:line="242" w:lineRule="exact"/>
              <w:ind w:left="102" w:right="104"/>
              <w:jc w:val="center"/>
              <w:rPr>
                <w:sz w:val="22"/>
              </w:rPr>
            </w:pPr>
            <w:r>
              <w:rPr>
                <w:sz w:val="22"/>
              </w:rPr>
              <w:t>la</w:t>
            </w:r>
          </w:p>
        </w:tc>
        <w:tc>
          <w:tcPr>
            <w:tcW w:w="1417" w:type="dxa"/>
            <w:tcBorders>
              <w:top w:val="nil"/>
              <w:bottom w:val="nil"/>
            </w:tcBorders>
          </w:tcPr>
          <w:p>
            <w:pPr>
              <w:pStyle w:val="TableParagraph"/>
              <w:spacing w:line="242" w:lineRule="exact"/>
              <w:ind w:left="100"/>
              <w:rPr>
                <w:sz w:val="22"/>
              </w:rPr>
            </w:pPr>
            <w:r>
              <w:rPr>
                <w:sz w:val="22"/>
              </w:rPr>
              <w:t>o Ejidal</w:t>
            </w:r>
          </w:p>
        </w:tc>
        <w:tc>
          <w:tcPr>
            <w:tcW w:w="1560" w:type="dxa"/>
            <w:tcBorders>
              <w:top w:val="nil"/>
              <w:bottom w:val="nil"/>
            </w:tcBorders>
          </w:tcPr>
          <w:p>
            <w:pPr>
              <w:pStyle w:val="TableParagraph"/>
              <w:spacing w:line="242" w:lineRule="exact"/>
              <w:ind w:right="143"/>
              <w:rPr>
                <w:sz w:val="22"/>
              </w:rPr>
            </w:pPr>
            <w:r>
              <w:rPr>
                <w:sz w:val="22"/>
              </w:rPr>
              <w:t>Timilpan se</w:t>
            </w:r>
          </w:p>
        </w:tc>
        <w:tc>
          <w:tcPr>
            <w:tcW w:w="991" w:type="dxa"/>
            <w:tcBorders>
              <w:top w:val="nil"/>
              <w:bottom w:val="nil"/>
            </w:tcBorders>
          </w:tcPr>
          <w:p>
            <w:pPr>
              <w:pStyle w:val="TableParagraph"/>
              <w:spacing w:line="242" w:lineRule="exact"/>
              <w:ind w:left="100"/>
              <w:rPr>
                <w:sz w:val="22"/>
              </w:rPr>
            </w:pPr>
            <w:r>
              <w:rPr>
                <w:sz w:val="22"/>
              </w:rPr>
              <w:t>ay,</w:t>
            </w:r>
          </w:p>
        </w:tc>
        <w:tc>
          <w:tcPr>
            <w:tcW w:w="1277" w:type="dxa"/>
            <w:tcBorders>
              <w:top w:val="nil"/>
              <w:bottom w:val="nil"/>
            </w:tcBorders>
          </w:tcPr>
          <w:p>
            <w:pPr>
              <w:pStyle w:val="TableParagraph"/>
              <w:spacing w:line="242" w:lineRule="exact"/>
              <w:ind w:right="92"/>
              <w:rPr>
                <w:sz w:val="22"/>
              </w:rPr>
            </w:pPr>
            <w:r>
              <w:rPr>
                <w:sz w:val="22"/>
              </w:rPr>
              <w:t>Andrés,</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1702" w:type="dxa"/>
            <w:tcBorders>
              <w:top w:val="nil"/>
              <w:bottom w:val="nil"/>
            </w:tcBorders>
          </w:tcPr>
          <w:p>
            <w:pPr>
              <w:pStyle w:val="TableParagraph"/>
              <w:spacing w:line="242" w:lineRule="exact"/>
              <w:rPr>
                <w:sz w:val="22"/>
              </w:rPr>
            </w:pPr>
            <w:r>
              <w:rPr>
                <w:sz w:val="22"/>
              </w:rPr>
              <w:t>inconformidad</w:t>
            </w:r>
          </w:p>
        </w:tc>
        <w:tc>
          <w:tcPr>
            <w:tcW w:w="1985" w:type="dxa"/>
            <w:tcBorders>
              <w:top w:val="nil"/>
              <w:bottom w:val="nil"/>
            </w:tcBorders>
          </w:tcPr>
          <w:p>
            <w:pPr>
              <w:pStyle w:val="TableParagraph"/>
              <w:tabs>
                <w:tab w:pos="870" w:val="left" w:leader="none"/>
              </w:tabs>
              <w:spacing w:line="242" w:lineRule="exact"/>
              <w:rPr>
                <w:sz w:val="22"/>
              </w:rPr>
            </w:pPr>
            <w:r>
              <w:rPr>
                <w:sz w:val="22"/>
              </w:rPr>
              <w:t>los</w:t>
              <w:tab/>
              <w:t>ejidatarios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(3/8/2014)</w:t>
            </w:r>
          </w:p>
        </w:tc>
        <w:tc>
          <w:tcPr>
            <w:tcW w:w="1418" w:type="dxa"/>
            <w:tcBorders>
              <w:top w:val="nil"/>
              <w:bottom w:val="nil"/>
            </w:tcBorders>
          </w:tcPr>
          <w:p>
            <w:pPr>
              <w:pStyle w:val="TableParagraph"/>
              <w:spacing w:line="241" w:lineRule="exact"/>
              <w:ind w:left="97" w:right="104"/>
              <w:jc w:val="center"/>
              <w:rPr>
                <w:sz w:val="22"/>
              </w:rPr>
            </w:pPr>
            <w:r>
              <w:rPr>
                <w:sz w:val="22"/>
              </w:rPr>
              <w:t>Comisaría</w:t>
            </w: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18"/>
              <w:rPr>
                <w:sz w:val="22"/>
              </w:rPr>
            </w:pPr>
            <w:r>
              <w:rPr>
                <w:sz w:val="22"/>
              </w:rPr>
              <w:t>compone de:</w:t>
            </w:r>
          </w:p>
        </w:tc>
        <w:tc>
          <w:tcPr>
            <w:tcW w:w="991" w:type="dxa"/>
            <w:tcBorders>
              <w:top w:val="nil"/>
              <w:bottom w:val="nil"/>
            </w:tcBorders>
          </w:tcPr>
          <w:p>
            <w:pPr>
              <w:pStyle w:val="TableParagraph"/>
              <w:spacing w:line="241" w:lineRule="exact"/>
              <w:ind w:left="100"/>
              <w:rPr>
                <w:sz w:val="22"/>
              </w:rPr>
            </w:pPr>
            <w:r>
              <w:rPr>
                <w:sz w:val="22"/>
              </w:rPr>
              <w:t>Aculco</w:t>
            </w: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spacing w:line="241" w:lineRule="exact"/>
              <w:rPr>
                <w:sz w:val="22"/>
              </w:rPr>
            </w:pPr>
            <w:r>
              <w:rPr>
                <w:sz w:val="22"/>
              </w:rPr>
              <w:t>porque el agua</w:t>
            </w:r>
          </w:p>
        </w:tc>
        <w:tc>
          <w:tcPr>
            <w:tcW w:w="1985" w:type="dxa"/>
            <w:tcBorders>
              <w:top w:val="nil"/>
              <w:bottom w:val="nil"/>
            </w:tcBorders>
          </w:tcPr>
          <w:p>
            <w:pPr>
              <w:pStyle w:val="TableParagraph"/>
              <w:tabs>
                <w:tab w:pos="1261" w:val="left" w:leader="none"/>
              </w:tabs>
              <w:spacing w:line="241" w:lineRule="exact"/>
              <w:rPr>
                <w:sz w:val="22"/>
              </w:rPr>
            </w:pPr>
            <w:r>
              <w:rPr>
                <w:sz w:val="22"/>
              </w:rPr>
              <w:t>que</w:t>
              <w:tab/>
              <w:t>tomen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3" w:lineRule="exact"/>
              <w:ind w:right="143"/>
              <w:rPr>
                <w:sz w:val="22"/>
              </w:rPr>
            </w:pPr>
            <w:r>
              <w:rPr>
                <w:sz w:val="22"/>
              </w:rPr>
              <w:t>El Azafrán</w:t>
            </w:r>
          </w:p>
        </w:tc>
        <w:tc>
          <w:tcPr>
            <w:tcW w:w="991" w:type="dxa"/>
            <w:tcBorders>
              <w:top w:val="nil"/>
              <w:bottom w:val="nil"/>
            </w:tcBorders>
          </w:tcPr>
          <w:p>
            <w:pPr>
              <w:pStyle w:val="TableParagraph"/>
              <w:spacing w:line="243" w:lineRule="exact"/>
              <w:ind w:left="100"/>
              <w:rPr>
                <w:sz w:val="22"/>
              </w:rPr>
            </w:pPr>
            <w:r>
              <w:rPr>
                <w:w w:val="100"/>
                <w:sz w:val="22"/>
              </w:rPr>
              <w:t>y</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73" w:val="left" w:leader="none"/>
              </w:tabs>
              <w:spacing w:line="243" w:lineRule="exact"/>
              <w:rPr>
                <w:sz w:val="22"/>
              </w:rPr>
            </w:pPr>
            <w:r>
              <w:rPr>
                <w:sz w:val="22"/>
              </w:rPr>
              <w:t>sólo</w:t>
              <w:tab/>
              <w:t>está</w:t>
            </w:r>
          </w:p>
        </w:tc>
        <w:tc>
          <w:tcPr>
            <w:tcW w:w="1985" w:type="dxa"/>
            <w:tcBorders>
              <w:top w:val="nil"/>
              <w:bottom w:val="nil"/>
            </w:tcBorders>
          </w:tcPr>
          <w:p>
            <w:pPr>
              <w:pStyle w:val="TableParagraph"/>
              <w:spacing w:line="243" w:lineRule="exact"/>
              <w:rPr>
                <w:sz w:val="22"/>
              </w:rPr>
            </w:pPr>
            <w:r>
              <w:rPr>
                <w:sz w:val="22"/>
              </w:rPr>
              <w:t>precauciones con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18"/>
              <w:rPr>
                <w:sz w:val="22"/>
              </w:rPr>
            </w:pPr>
            <w:r>
              <w:rPr>
                <w:sz w:val="22"/>
              </w:rPr>
              <w:t>(Aculco), Los</w:t>
            </w:r>
          </w:p>
        </w:tc>
        <w:tc>
          <w:tcPr>
            <w:tcW w:w="991" w:type="dxa"/>
            <w:tcBorders>
              <w:top w:val="nil"/>
              <w:bottom w:val="nil"/>
            </w:tcBorders>
          </w:tcPr>
          <w:p>
            <w:pPr>
              <w:pStyle w:val="TableParagraph"/>
              <w:spacing w:line="241" w:lineRule="exact"/>
              <w:ind w:left="100"/>
              <w:rPr>
                <w:sz w:val="22"/>
              </w:rPr>
            </w:pPr>
            <w:r>
              <w:rPr>
                <w:sz w:val="22"/>
              </w:rPr>
              <w:t>Timilpa</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68" w:val="left" w:leader="none"/>
              </w:tabs>
              <w:spacing w:line="241" w:lineRule="exact"/>
              <w:rPr>
                <w:sz w:val="22"/>
              </w:rPr>
            </w:pPr>
            <w:r>
              <w:rPr>
                <w:sz w:val="22"/>
              </w:rPr>
              <w:t>asignada</w:t>
              <w:tab/>
              <w:t>a</w:t>
            </w:r>
          </w:p>
        </w:tc>
        <w:tc>
          <w:tcPr>
            <w:tcW w:w="1985" w:type="dxa"/>
            <w:tcBorders>
              <w:top w:val="nil"/>
              <w:bottom w:val="nil"/>
            </w:tcBorders>
          </w:tcPr>
          <w:p>
            <w:pPr>
              <w:pStyle w:val="TableParagraph"/>
              <w:spacing w:line="241" w:lineRule="exact"/>
              <w:rPr>
                <w:sz w:val="22"/>
              </w:rPr>
            </w:pPr>
            <w:r>
              <w:rPr>
                <w:sz w:val="22"/>
              </w:rPr>
              <w:t>los  desechos </w:t>
            </w:r>
            <w:r>
              <w:rPr>
                <w:spacing w:val="57"/>
                <w:sz w:val="22"/>
              </w:rPr>
              <w:t> </w:t>
            </w:r>
            <w:r>
              <w:rPr>
                <w:sz w:val="22"/>
              </w:rPr>
              <w:t>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Pilares</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18" w:val="left" w:leader="none"/>
              </w:tabs>
              <w:spacing w:line="241" w:lineRule="exact"/>
              <w:rPr>
                <w:sz w:val="22"/>
              </w:rPr>
            </w:pPr>
            <w:r>
              <w:rPr>
                <w:sz w:val="22"/>
              </w:rPr>
              <w:t>unos</w:t>
              <w:tab/>
              <w:t>cuantos</w:t>
            </w:r>
          </w:p>
        </w:tc>
        <w:tc>
          <w:tcPr>
            <w:tcW w:w="1985" w:type="dxa"/>
            <w:tcBorders>
              <w:top w:val="nil"/>
              <w:bottom w:val="nil"/>
            </w:tcBorders>
          </w:tcPr>
          <w:p>
            <w:pPr>
              <w:pStyle w:val="TableParagraph"/>
              <w:tabs>
                <w:tab w:pos="808" w:val="left" w:leader="none"/>
              </w:tabs>
              <w:spacing w:line="241" w:lineRule="exact"/>
              <w:rPr>
                <w:sz w:val="22"/>
              </w:rPr>
            </w:pPr>
            <w:r>
              <w:rPr>
                <w:sz w:val="22"/>
              </w:rPr>
              <w:t>los</w:t>
              <w:tab/>
              <w:t>herbicidas,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pueblos </w:t>
            </w:r>
            <w:r>
              <w:rPr>
                <w:spacing w:val="54"/>
                <w:sz w:val="22"/>
              </w:rPr>
              <w:t> </w:t>
            </w:r>
            <w:r>
              <w:rPr>
                <w:sz w:val="22"/>
              </w:rPr>
              <w:t>como</w:t>
            </w:r>
          </w:p>
        </w:tc>
        <w:tc>
          <w:tcPr>
            <w:tcW w:w="1985" w:type="dxa"/>
            <w:tcBorders>
              <w:top w:val="nil"/>
              <w:bottom w:val="nil"/>
            </w:tcBorders>
          </w:tcPr>
          <w:p>
            <w:pPr>
              <w:pStyle w:val="TableParagraph"/>
              <w:spacing w:line="242" w:lineRule="exact"/>
              <w:rPr>
                <w:sz w:val="22"/>
              </w:rPr>
            </w:pPr>
            <w:r>
              <w:rPr>
                <w:sz w:val="22"/>
              </w:rPr>
              <w:t>insecticidas  y</w:t>
            </w:r>
            <w:r>
              <w:rPr>
                <w:spacing w:val="53"/>
                <w:sz w:val="22"/>
              </w:rPr>
              <w:t> </w:t>
            </w:r>
            <w:r>
              <w:rPr>
                <w:sz w:val="22"/>
              </w:rPr>
              <w:t>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Las Arenas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78" w:val="left" w:leader="none"/>
              </w:tabs>
              <w:spacing w:line="241" w:lineRule="exact"/>
              <w:rPr>
                <w:sz w:val="22"/>
              </w:rPr>
            </w:pPr>
            <w:r>
              <w:rPr>
                <w:sz w:val="22"/>
              </w:rPr>
              <w:t>Encinillas</w:t>
              <w:tab/>
              <w:t>y</w:t>
            </w:r>
          </w:p>
        </w:tc>
        <w:tc>
          <w:tcPr>
            <w:tcW w:w="1985" w:type="dxa"/>
            <w:tcBorders>
              <w:top w:val="nil"/>
              <w:bottom w:val="nil"/>
            </w:tcBorders>
          </w:tcPr>
          <w:p>
            <w:pPr>
              <w:pStyle w:val="TableParagraph"/>
              <w:spacing w:line="241" w:lineRule="exact"/>
              <w:rPr>
                <w:sz w:val="22"/>
              </w:rPr>
            </w:pPr>
            <w:r>
              <w:rPr>
                <w:sz w:val="22"/>
              </w:rPr>
              <w:t>medicamentos 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66" w:val="left" w:leader="none"/>
              </w:tabs>
              <w:spacing w:line="242" w:lineRule="exact"/>
              <w:rPr>
                <w:sz w:val="22"/>
              </w:rPr>
            </w:pPr>
            <w:r>
              <w:rPr>
                <w:sz w:val="22"/>
              </w:rPr>
              <w:t>Arroyo</w:t>
              <w:tab/>
              <w:t>Zarco,</w:t>
            </w:r>
          </w:p>
        </w:tc>
        <w:tc>
          <w:tcPr>
            <w:tcW w:w="1985" w:type="dxa"/>
            <w:tcBorders>
              <w:top w:val="nil"/>
              <w:bottom w:val="nil"/>
            </w:tcBorders>
          </w:tcPr>
          <w:p>
            <w:pPr>
              <w:pStyle w:val="TableParagraph"/>
              <w:tabs>
                <w:tab w:pos="993" w:val="left" w:leader="none"/>
              </w:tabs>
              <w:spacing w:line="242" w:lineRule="exact"/>
              <w:rPr>
                <w:sz w:val="22"/>
              </w:rPr>
            </w:pPr>
            <w:r>
              <w:rPr>
                <w:sz w:val="22"/>
              </w:rPr>
              <w:t>los</w:t>
              <w:tab/>
              <w:t>animales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Las Trojes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13" w:val="left" w:leader="none"/>
              </w:tabs>
              <w:spacing w:line="241" w:lineRule="exact"/>
              <w:rPr>
                <w:sz w:val="22"/>
              </w:rPr>
            </w:pPr>
            <w:r>
              <w:rPr>
                <w:sz w:val="22"/>
              </w:rPr>
              <w:t>desde</w:t>
              <w:tab/>
              <w:t>hace</w:t>
            </w:r>
          </w:p>
        </w:tc>
        <w:tc>
          <w:tcPr>
            <w:tcW w:w="1985" w:type="dxa"/>
            <w:tcBorders>
              <w:top w:val="nil"/>
              <w:bottom w:val="nil"/>
            </w:tcBorders>
          </w:tcPr>
          <w:p>
            <w:pPr>
              <w:pStyle w:val="TableParagraph"/>
              <w:spacing w:line="241" w:lineRule="exact"/>
              <w:rPr>
                <w:sz w:val="22"/>
              </w:rPr>
            </w:pPr>
            <w:r>
              <w:rPr>
                <w:sz w:val="22"/>
              </w:rPr>
              <w:t>porque  todo </w:t>
            </w:r>
            <w:r>
              <w:rPr>
                <w:spacing w:val="55"/>
                <w:sz w:val="22"/>
              </w:rPr>
              <w:t> </w:t>
            </w:r>
            <w:r>
              <w:rPr>
                <w:sz w:val="22"/>
              </w:rPr>
              <w:t>eso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tiempo   se  ha</w:t>
            </w:r>
          </w:p>
        </w:tc>
        <w:tc>
          <w:tcPr>
            <w:tcW w:w="1985" w:type="dxa"/>
            <w:tcBorders>
              <w:top w:val="nil"/>
              <w:bottom w:val="nil"/>
            </w:tcBorders>
          </w:tcPr>
          <w:p>
            <w:pPr>
              <w:pStyle w:val="TableParagraph"/>
              <w:spacing w:line="241" w:lineRule="exact"/>
              <w:rPr>
                <w:sz w:val="22"/>
              </w:rPr>
            </w:pPr>
            <w:r>
              <w:rPr>
                <w:sz w:val="22"/>
              </w:rPr>
              <w:t>se  va  a  el  agua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Lomas 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visualizado</w:t>
            </w:r>
          </w:p>
        </w:tc>
        <w:tc>
          <w:tcPr>
            <w:tcW w:w="1985" w:type="dxa"/>
            <w:tcBorders>
              <w:top w:val="nil"/>
              <w:bottom w:val="nil"/>
            </w:tcBorders>
          </w:tcPr>
          <w:p>
            <w:pPr>
              <w:pStyle w:val="TableParagraph"/>
              <w:spacing w:line="242" w:lineRule="exact"/>
              <w:rPr>
                <w:sz w:val="22"/>
              </w:rPr>
            </w:pPr>
            <w:r>
              <w:rPr>
                <w:sz w:val="22"/>
              </w:rPr>
              <w:t>de la laguna y  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Emiliano</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que   riegan   y</w:t>
            </w:r>
          </w:p>
        </w:tc>
        <w:tc>
          <w:tcPr>
            <w:tcW w:w="1985" w:type="dxa"/>
            <w:tcBorders>
              <w:top w:val="nil"/>
              <w:bottom w:val="nil"/>
            </w:tcBorders>
          </w:tcPr>
          <w:p>
            <w:pPr>
              <w:pStyle w:val="TableParagraph"/>
              <w:tabs>
                <w:tab w:pos="1177" w:val="left" w:leader="none"/>
              </w:tabs>
              <w:spacing w:line="241" w:lineRule="exact"/>
              <w:rPr>
                <w:sz w:val="22"/>
              </w:rPr>
            </w:pPr>
            <w:r>
              <w:rPr>
                <w:sz w:val="22"/>
              </w:rPr>
              <w:t>hemos</w:t>
              <w:tab/>
              <w:t>llevado</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3" w:lineRule="exact"/>
              <w:ind w:right="143"/>
              <w:rPr>
                <w:sz w:val="22"/>
              </w:rPr>
            </w:pPr>
            <w:r>
              <w:rPr>
                <w:sz w:val="22"/>
              </w:rPr>
              <w:t>Zapata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88" w:val="left" w:leader="none"/>
              </w:tabs>
              <w:spacing w:line="243" w:lineRule="exact"/>
              <w:rPr>
                <w:sz w:val="22"/>
              </w:rPr>
            </w:pPr>
            <w:r>
              <w:rPr>
                <w:sz w:val="22"/>
              </w:rPr>
              <w:t>hasta</w:t>
              <w:tab/>
              <w:t>tienen</w:t>
            </w:r>
          </w:p>
        </w:tc>
        <w:tc>
          <w:tcPr>
            <w:tcW w:w="1985" w:type="dxa"/>
            <w:tcBorders>
              <w:top w:val="nil"/>
              <w:bottom w:val="nil"/>
            </w:tcBorders>
          </w:tcPr>
          <w:p>
            <w:pPr>
              <w:pStyle w:val="TableParagraph"/>
              <w:spacing w:line="243" w:lineRule="exact"/>
              <w:rPr>
                <w:sz w:val="22"/>
              </w:rPr>
            </w:pPr>
            <w:r>
              <w:rPr>
                <w:sz w:val="22"/>
              </w:rPr>
              <w:t>acabo otra acción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(Timilpan),</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depósitos.</w:t>
            </w:r>
          </w:p>
        </w:tc>
        <w:tc>
          <w:tcPr>
            <w:tcW w:w="1985" w:type="dxa"/>
            <w:tcBorders>
              <w:top w:val="nil"/>
              <w:bottom w:val="nil"/>
            </w:tcBorders>
          </w:tcPr>
          <w:p>
            <w:pPr>
              <w:pStyle w:val="TableParagraph"/>
              <w:tabs>
                <w:tab w:pos="1629" w:val="left" w:leader="none"/>
              </w:tabs>
              <w:spacing w:line="241" w:lineRule="exact"/>
              <w:rPr>
                <w:sz w:val="22"/>
              </w:rPr>
            </w:pPr>
            <w:r>
              <w:rPr>
                <w:sz w:val="22"/>
              </w:rPr>
              <w:t>porque</w:t>
              <w:tab/>
              <w:t>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sabemos  cuál</w:t>
            </w:r>
            <w:r>
              <w:rPr>
                <w:spacing w:val="57"/>
                <w:sz w:val="22"/>
              </w:rPr>
              <w:t> </w:t>
            </w:r>
            <w:r>
              <w:rPr>
                <w:sz w:val="22"/>
              </w:rPr>
              <w:t>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Campesina</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503" w:val="left" w:leader="none"/>
                <w:tab w:pos="1504" w:val="left" w:leader="none"/>
              </w:tabs>
              <w:spacing w:line="242" w:lineRule="exact"/>
              <w:rPr>
                <w:sz w:val="22"/>
              </w:rPr>
            </w:pPr>
            <w:r>
              <w:rPr>
                <w:sz w:val="22"/>
              </w:rPr>
              <w:t>la</w:t>
              <w:tab/>
              <w:t>facultad</w:t>
              <w:tab/>
              <w:t>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(Timilpan),</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tenemos  con esa</w:t>
            </w: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Style w:val="TableParagraph"/>
              <w:spacing w:line="242" w:lineRule="exact"/>
              <w:ind w:right="143"/>
              <w:rPr>
                <w:sz w:val="22"/>
              </w:rPr>
            </w:pPr>
            <w:r>
              <w:rPr>
                <w:sz w:val="22"/>
              </w:rPr>
              <w:t>Pueblo de</w:t>
            </w: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2" w:lineRule="exact"/>
              <w:rPr>
                <w:sz w:val="22"/>
              </w:rPr>
            </w:pPr>
            <w:r>
              <w:rPr>
                <w:sz w:val="22"/>
              </w:rPr>
              <w:t>laguna.</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5070" w:hRule="exact"/>
        </w:trPr>
        <w:tc>
          <w:tcPr>
            <w:tcW w:w="1385" w:type="dxa"/>
          </w:tcPr>
          <w:p>
            <w:pPr/>
          </w:p>
        </w:tc>
        <w:tc>
          <w:tcPr>
            <w:tcW w:w="1418" w:type="dxa"/>
          </w:tcPr>
          <w:p>
            <w:pPr/>
          </w:p>
        </w:tc>
        <w:tc>
          <w:tcPr>
            <w:tcW w:w="1417" w:type="dxa"/>
          </w:tcPr>
          <w:p>
            <w:pPr/>
          </w:p>
        </w:tc>
        <w:tc>
          <w:tcPr>
            <w:tcW w:w="1560" w:type="dxa"/>
          </w:tcPr>
          <w:p>
            <w:pPr>
              <w:pStyle w:val="TableParagraph"/>
              <w:ind w:right="118"/>
              <w:rPr>
                <w:sz w:val="22"/>
              </w:rPr>
            </w:pPr>
            <w:r>
              <w:rPr>
                <w:sz w:val="22"/>
              </w:rPr>
              <w:t>Zaragoza (Timilpan), Barrio de Morelos (Timilpan), Montes de Bucio (Timilpan), pero hay un conflicto social porque desde 1958 se dividió El Ejido y una parte lo tiene Santa María Las Arenas, aunque esa parte está en conflicto.</w:t>
            </w:r>
          </w:p>
        </w:tc>
        <w:tc>
          <w:tcPr>
            <w:tcW w:w="991" w:type="dxa"/>
          </w:tcPr>
          <w:p>
            <w:pPr/>
          </w:p>
        </w:tc>
        <w:tc>
          <w:tcPr>
            <w:tcW w:w="1277" w:type="dxa"/>
          </w:tcPr>
          <w:p>
            <w:pPr/>
          </w:p>
        </w:tc>
        <w:tc>
          <w:tcPr>
            <w:tcW w:w="1133" w:type="dxa"/>
          </w:tcPr>
          <w:p>
            <w:pPr/>
          </w:p>
        </w:tc>
        <w:tc>
          <w:tcPr>
            <w:tcW w:w="1702" w:type="dxa"/>
          </w:tcPr>
          <w:p>
            <w:pPr/>
          </w:p>
        </w:tc>
        <w:tc>
          <w:tcPr>
            <w:tcW w:w="1985" w:type="dxa"/>
          </w:tcPr>
          <w:p>
            <w:pPr/>
          </w:p>
        </w:tc>
      </w:tr>
      <w:tr>
        <w:trPr>
          <w:trHeight w:val="3553" w:hRule="exact"/>
        </w:trPr>
        <w:tc>
          <w:tcPr>
            <w:tcW w:w="1385" w:type="dxa"/>
          </w:tcPr>
          <w:p>
            <w:pPr>
              <w:pStyle w:val="TableParagraph"/>
              <w:ind w:right="249"/>
              <w:rPr>
                <w:sz w:val="22"/>
              </w:rPr>
            </w:pPr>
            <w:r>
              <w:rPr>
                <w:sz w:val="22"/>
              </w:rPr>
              <w:t>José Antonio Martínez García (4/9/2014)</w:t>
            </w:r>
          </w:p>
        </w:tc>
        <w:tc>
          <w:tcPr>
            <w:tcW w:w="1418" w:type="dxa"/>
          </w:tcPr>
          <w:p>
            <w:pPr>
              <w:pStyle w:val="TableParagraph"/>
              <w:ind w:left="156" w:right="159"/>
              <w:jc w:val="center"/>
              <w:rPr>
                <w:sz w:val="22"/>
              </w:rPr>
            </w:pPr>
            <w:r>
              <w:rPr>
                <w:sz w:val="22"/>
              </w:rPr>
              <w:t>El campo y</w:t>
            </w:r>
            <w:r>
              <w:rPr>
                <w:w w:val="100"/>
                <w:sz w:val="22"/>
              </w:rPr>
              <w:t> </w:t>
            </w:r>
            <w:r>
              <w:rPr>
                <w:sz w:val="22"/>
              </w:rPr>
              <w:t>la     ganadería</w:t>
            </w:r>
          </w:p>
        </w:tc>
        <w:tc>
          <w:tcPr>
            <w:tcW w:w="1417" w:type="dxa"/>
          </w:tcPr>
          <w:p>
            <w:pPr>
              <w:pStyle w:val="TableParagraph"/>
              <w:spacing w:line="242" w:lineRule="auto"/>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Ruano</w:t>
            </w:r>
          </w:p>
        </w:tc>
        <w:tc>
          <w:tcPr>
            <w:tcW w:w="991" w:type="dxa"/>
          </w:tcPr>
          <w:p>
            <w:pPr>
              <w:pStyle w:val="TableParagraph"/>
              <w:spacing w:line="242" w:lineRule="auto"/>
              <w:ind w:left="100" w:right="201"/>
              <w:rPr>
                <w:sz w:val="22"/>
              </w:rPr>
            </w:pPr>
            <w:r>
              <w:rPr>
                <w:sz w:val="22"/>
              </w:rPr>
              <w:t>Polotitl án</w:t>
            </w:r>
          </w:p>
        </w:tc>
        <w:tc>
          <w:tcPr>
            <w:tcW w:w="1277" w:type="dxa"/>
          </w:tcPr>
          <w:p>
            <w:pPr>
              <w:pStyle w:val="TableParagraph"/>
              <w:spacing w:line="242" w:lineRule="auto"/>
              <w:ind w:right="239"/>
              <w:rPr>
                <w:sz w:val="22"/>
              </w:rPr>
            </w:pPr>
            <w:r>
              <w:rPr>
                <w:sz w:val="22"/>
              </w:rPr>
              <w:t>Ruano, Polotitlán</w:t>
            </w:r>
          </w:p>
        </w:tc>
        <w:tc>
          <w:tcPr>
            <w:tcW w:w="1133" w:type="dxa"/>
          </w:tcPr>
          <w:p>
            <w:pPr>
              <w:pStyle w:val="TableParagraph"/>
              <w:spacing w:line="242" w:lineRule="auto"/>
              <w:ind w:left="100" w:right="98"/>
              <w:rPr>
                <w:sz w:val="22"/>
              </w:rPr>
            </w:pPr>
            <w:r>
              <w:rPr>
                <w:sz w:val="22"/>
              </w:rPr>
              <w:t>Ruano, Polotitlán</w:t>
            </w:r>
          </w:p>
        </w:tc>
        <w:tc>
          <w:tcPr>
            <w:tcW w:w="1702" w:type="dxa"/>
          </w:tcPr>
          <w:p>
            <w:pPr>
              <w:pStyle w:val="TableParagraph"/>
              <w:tabs>
                <w:tab w:pos="1197" w:val="left" w:leader="none"/>
              </w:tabs>
              <w:ind w:right="98"/>
              <w:jc w:val="both"/>
              <w:rPr>
                <w:sz w:val="22"/>
              </w:rPr>
            </w:pPr>
            <w:r>
              <w:rPr>
                <w:sz w:val="22"/>
              </w:rPr>
              <w:t>No existen problemas por el agua entre los municipios que usan el agua porque está distribuida en</w:t>
              <w:tab/>
              <w:t>seis</w:t>
            </w:r>
          </w:p>
          <w:p>
            <w:pPr>
              <w:pStyle w:val="TableParagraph"/>
              <w:tabs>
                <w:tab w:pos="892" w:val="left" w:leader="none"/>
                <w:tab w:pos="1480" w:val="left" w:leader="none"/>
              </w:tabs>
              <w:ind w:right="99"/>
              <w:rPr>
                <w:sz w:val="22"/>
              </w:rPr>
            </w:pPr>
            <w:r>
              <w:rPr>
                <w:sz w:val="22"/>
              </w:rPr>
              <w:t>municipio: tres en el  Estado de</w:t>
              <w:tab/>
            </w:r>
            <w:r>
              <w:rPr>
                <w:spacing w:val="-1"/>
                <w:sz w:val="22"/>
              </w:rPr>
              <w:t>México </w:t>
            </w:r>
            <w:r>
              <w:rPr>
                <w:sz w:val="22"/>
              </w:rPr>
              <w:t>(Aculco, Jilotepec</w:t>
              <w:tab/>
              <w:t>y Polotitlán);</w:t>
            </w:r>
          </w:p>
        </w:tc>
        <w:tc>
          <w:tcPr>
            <w:tcW w:w="1985" w:type="dxa"/>
          </w:tcPr>
          <w:p>
            <w:pPr>
              <w:pStyle w:val="TableParagraph"/>
              <w:tabs>
                <w:tab w:pos="1629" w:val="left" w:leader="none"/>
              </w:tabs>
              <w:spacing w:line="242" w:lineRule="auto"/>
              <w:ind w:right="99"/>
              <w:jc w:val="both"/>
              <w:rPr>
                <w:sz w:val="22"/>
              </w:rPr>
            </w:pPr>
            <w:r>
              <w:rPr>
                <w:sz w:val="22"/>
              </w:rPr>
              <w:t>Para conservar la laguna,</w:t>
              <w:tab/>
              <w:t>en</w:t>
            </w:r>
          </w:p>
          <w:p>
            <w:pPr>
              <w:pStyle w:val="TableParagraph"/>
              <w:spacing w:line="249" w:lineRule="exact"/>
              <w:jc w:val="both"/>
              <w:rPr>
                <w:sz w:val="22"/>
              </w:rPr>
            </w:pPr>
            <w:r>
              <w:rPr>
                <w:sz w:val="22"/>
              </w:rPr>
              <w:t>nuestro         ejido</w:t>
            </w:r>
          </w:p>
          <w:p>
            <w:pPr>
              <w:pStyle w:val="TableParagraph"/>
              <w:ind w:right="98"/>
              <w:jc w:val="both"/>
              <w:rPr>
                <w:sz w:val="22"/>
              </w:rPr>
            </w:pPr>
            <w:r>
              <w:rPr>
                <w:sz w:val="22"/>
              </w:rPr>
              <w:t>limpiamos los canales para que nos llegue el servicio de riego bien.</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1526"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tabs>
                <w:tab w:pos="1343" w:val="left" w:leader="none"/>
              </w:tabs>
              <w:spacing w:line="250" w:lineRule="exact"/>
              <w:rPr>
                <w:sz w:val="22"/>
              </w:rPr>
            </w:pPr>
            <w:r>
              <w:rPr>
                <w:sz w:val="22"/>
              </w:rPr>
              <w:t>Dos</w:t>
              <w:tab/>
              <w:t>en</w:t>
            </w:r>
          </w:p>
          <w:p>
            <w:pPr>
              <w:pStyle w:val="TableParagraph"/>
              <w:tabs>
                <w:tab w:pos="597" w:val="left" w:leader="none"/>
                <w:tab w:pos="1223" w:val="left" w:leader="none"/>
                <w:tab w:pos="1480" w:val="left" w:leader="none"/>
              </w:tabs>
              <w:ind w:right="98"/>
              <w:rPr>
                <w:sz w:val="22"/>
              </w:rPr>
            </w:pPr>
            <w:r>
              <w:rPr>
                <w:sz w:val="22"/>
              </w:rPr>
              <w:t>Hidalgo (Huichapan</w:t>
              <w:tab/>
              <w:t>y Nopala);</w:t>
              <w:tab/>
              <w:t>uno en</w:t>
              <w:tab/>
              <w:t>Querétaro (Cazadero).</w:t>
            </w:r>
          </w:p>
        </w:tc>
        <w:tc>
          <w:tcPr>
            <w:tcW w:w="1985" w:type="dxa"/>
          </w:tcPr>
          <w:p>
            <w:pPr/>
          </w:p>
        </w:tc>
      </w:tr>
      <w:tr>
        <w:trPr>
          <w:trHeight w:val="269" w:hRule="exact"/>
        </w:trPr>
        <w:tc>
          <w:tcPr>
            <w:tcW w:w="1385" w:type="dxa"/>
            <w:tcBorders>
              <w:bottom w:val="nil"/>
            </w:tcBorders>
          </w:tcPr>
          <w:p>
            <w:pPr>
              <w:pStyle w:val="TableParagraph"/>
              <w:tabs>
                <w:tab w:pos="796" w:val="left" w:leader="none"/>
              </w:tabs>
              <w:rPr>
                <w:sz w:val="22"/>
              </w:rPr>
            </w:pPr>
            <w:r>
              <w:rPr>
                <w:sz w:val="22"/>
              </w:rPr>
              <w:t>José</w:t>
              <w:tab/>
              <w:t>Juan</w:t>
            </w:r>
          </w:p>
        </w:tc>
        <w:tc>
          <w:tcPr>
            <w:tcW w:w="1418" w:type="dxa"/>
            <w:tcBorders>
              <w:bottom w:val="nil"/>
            </w:tcBorders>
          </w:tcPr>
          <w:p>
            <w:pPr>
              <w:pStyle w:val="TableParagraph"/>
              <w:ind w:left="0" w:right="159"/>
              <w:jc w:val="right"/>
              <w:rPr>
                <w:sz w:val="22"/>
              </w:rPr>
            </w:pPr>
            <w:r>
              <w:rPr>
                <w:sz w:val="22"/>
              </w:rPr>
              <w:t>El campo y</w:t>
            </w:r>
          </w:p>
        </w:tc>
        <w:tc>
          <w:tcPr>
            <w:tcW w:w="1417" w:type="dxa"/>
            <w:tcBorders>
              <w:bottom w:val="nil"/>
            </w:tcBorders>
          </w:tcPr>
          <w:p>
            <w:pPr>
              <w:pStyle w:val="TableParagraph"/>
              <w:ind w:left="100"/>
              <w:rPr>
                <w:sz w:val="22"/>
              </w:rPr>
            </w:pPr>
            <w:r>
              <w:rPr>
                <w:sz w:val="22"/>
              </w:rPr>
              <w:t>Comisariad</w:t>
            </w:r>
          </w:p>
        </w:tc>
        <w:tc>
          <w:tcPr>
            <w:tcW w:w="1560" w:type="dxa"/>
            <w:tcBorders>
              <w:bottom w:val="nil"/>
            </w:tcBorders>
          </w:tcPr>
          <w:p>
            <w:pPr>
              <w:pStyle w:val="TableParagraph"/>
              <w:ind w:right="143"/>
              <w:rPr>
                <w:sz w:val="22"/>
              </w:rPr>
            </w:pPr>
            <w:r>
              <w:rPr>
                <w:sz w:val="22"/>
              </w:rPr>
              <w:t>Encinillas</w:t>
            </w:r>
          </w:p>
        </w:tc>
        <w:tc>
          <w:tcPr>
            <w:tcW w:w="991" w:type="dxa"/>
            <w:tcBorders>
              <w:bottom w:val="nil"/>
            </w:tcBorders>
          </w:tcPr>
          <w:p>
            <w:pPr>
              <w:pStyle w:val="TableParagraph"/>
              <w:ind w:left="100"/>
              <w:rPr>
                <w:sz w:val="22"/>
              </w:rPr>
            </w:pPr>
            <w:r>
              <w:rPr>
                <w:sz w:val="22"/>
              </w:rPr>
              <w:t>Polotitl</w:t>
            </w:r>
          </w:p>
        </w:tc>
        <w:tc>
          <w:tcPr>
            <w:tcW w:w="1277" w:type="dxa"/>
            <w:tcBorders>
              <w:bottom w:val="nil"/>
            </w:tcBorders>
          </w:tcPr>
          <w:p>
            <w:pPr>
              <w:pStyle w:val="TableParagraph"/>
              <w:ind w:right="92"/>
              <w:rPr>
                <w:sz w:val="22"/>
              </w:rPr>
            </w:pPr>
            <w:r>
              <w:rPr>
                <w:sz w:val="22"/>
              </w:rPr>
              <w:t>San Juan</w:t>
            </w:r>
          </w:p>
        </w:tc>
        <w:tc>
          <w:tcPr>
            <w:tcW w:w="1133" w:type="dxa"/>
            <w:tcBorders>
              <w:bottom w:val="nil"/>
            </w:tcBorders>
          </w:tcPr>
          <w:p>
            <w:pPr>
              <w:pStyle w:val="TableParagraph"/>
              <w:ind w:left="100" w:right="52"/>
              <w:rPr>
                <w:sz w:val="22"/>
              </w:rPr>
            </w:pPr>
            <w:r>
              <w:rPr>
                <w:sz w:val="22"/>
              </w:rPr>
              <w:t>Encinilla</w:t>
            </w:r>
          </w:p>
        </w:tc>
        <w:tc>
          <w:tcPr>
            <w:tcW w:w="1702" w:type="dxa"/>
            <w:tcBorders>
              <w:bottom w:val="nil"/>
            </w:tcBorders>
          </w:tcPr>
          <w:p>
            <w:pPr>
              <w:pStyle w:val="TableParagraph"/>
              <w:tabs>
                <w:tab w:pos="892" w:val="left" w:leader="none"/>
              </w:tabs>
              <w:rPr>
                <w:sz w:val="22"/>
              </w:rPr>
            </w:pPr>
            <w:r>
              <w:rPr>
                <w:sz w:val="22"/>
              </w:rPr>
              <w:t>No</w:t>
              <w:tab/>
              <w:t>existen</w:t>
            </w:r>
          </w:p>
        </w:tc>
        <w:tc>
          <w:tcPr>
            <w:tcW w:w="1985" w:type="dxa"/>
            <w:tcBorders>
              <w:bottom w:val="nil"/>
            </w:tcBorders>
          </w:tcPr>
          <w:p>
            <w:pPr>
              <w:pStyle w:val="TableParagraph"/>
              <w:tabs>
                <w:tab w:pos="808" w:val="left" w:leader="none"/>
              </w:tabs>
              <w:rPr>
                <w:sz w:val="22"/>
              </w:rPr>
            </w:pPr>
            <w:r>
              <w:rPr>
                <w:sz w:val="22"/>
              </w:rPr>
              <w:t>No</w:t>
              <w:tab/>
              <w:t>realizamos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Juárez</w:t>
            </w:r>
          </w:p>
        </w:tc>
        <w:tc>
          <w:tcPr>
            <w:tcW w:w="1418" w:type="dxa"/>
            <w:tcBorders>
              <w:top w:val="nil"/>
              <w:bottom w:val="nil"/>
            </w:tcBorders>
          </w:tcPr>
          <w:p>
            <w:pPr>
              <w:pStyle w:val="TableParagraph"/>
              <w:spacing w:line="241" w:lineRule="exact"/>
              <w:ind w:left="0" w:right="220"/>
              <w:jc w:val="right"/>
              <w:rPr>
                <w:sz w:val="22"/>
              </w:rPr>
            </w:pPr>
            <w:r>
              <w:rPr>
                <w:sz w:val="22"/>
              </w:rPr>
              <w:t>empleado</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án</w:t>
            </w:r>
          </w:p>
        </w:tc>
        <w:tc>
          <w:tcPr>
            <w:tcW w:w="1277" w:type="dxa"/>
            <w:tcBorders>
              <w:top w:val="nil"/>
              <w:bottom w:val="nil"/>
            </w:tcBorders>
          </w:tcPr>
          <w:p>
            <w:pPr>
              <w:pStyle w:val="TableParagraph"/>
              <w:spacing w:line="241" w:lineRule="exact"/>
              <w:ind w:right="92"/>
              <w:rPr>
                <w:sz w:val="22"/>
              </w:rPr>
            </w:pPr>
            <w:r>
              <w:rPr>
                <w:sz w:val="22"/>
              </w:rPr>
              <w:t>del Río,</w:t>
            </w:r>
          </w:p>
        </w:tc>
        <w:tc>
          <w:tcPr>
            <w:tcW w:w="1133" w:type="dxa"/>
            <w:tcBorders>
              <w:top w:val="nil"/>
              <w:bottom w:val="nil"/>
            </w:tcBorders>
          </w:tcPr>
          <w:p>
            <w:pPr>
              <w:pStyle w:val="TableParagraph"/>
              <w:spacing w:line="241" w:lineRule="exact"/>
              <w:ind w:left="100" w:right="52"/>
              <w:rPr>
                <w:sz w:val="22"/>
              </w:rPr>
            </w:pPr>
            <w:r>
              <w:rPr>
                <w:sz w:val="22"/>
              </w:rPr>
              <w:t>s,</w:t>
            </w:r>
          </w:p>
        </w:tc>
        <w:tc>
          <w:tcPr>
            <w:tcW w:w="1702" w:type="dxa"/>
            <w:tcBorders>
              <w:top w:val="nil"/>
              <w:bottom w:val="nil"/>
            </w:tcBorders>
          </w:tcPr>
          <w:p>
            <w:pPr>
              <w:pStyle w:val="TableParagraph"/>
              <w:spacing w:line="241" w:lineRule="exact"/>
              <w:rPr>
                <w:sz w:val="22"/>
              </w:rPr>
            </w:pPr>
            <w:r>
              <w:rPr>
                <w:sz w:val="22"/>
              </w:rPr>
              <w:t>problemas  por</w:t>
            </w:r>
          </w:p>
        </w:tc>
        <w:tc>
          <w:tcPr>
            <w:tcW w:w="1985" w:type="dxa"/>
            <w:tcBorders>
              <w:top w:val="nil"/>
              <w:bottom w:val="nil"/>
            </w:tcBorders>
          </w:tcPr>
          <w:p>
            <w:pPr>
              <w:pStyle w:val="TableParagraph"/>
              <w:tabs>
                <w:tab w:pos="1238" w:val="left" w:leader="none"/>
              </w:tabs>
              <w:spacing w:line="241" w:lineRule="exact"/>
              <w:rPr>
                <w:sz w:val="22"/>
              </w:rPr>
            </w:pPr>
            <w:r>
              <w:rPr>
                <w:sz w:val="22"/>
              </w:rPr>
              <w:t>ninguna</w:t>
              <w:tab/>
              <w:t>acción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Rodriguez</w:t>
            </w:r>
          </w:p>
        </w:tc>
        <w:tc>
          <w:tcPr>
            <w:tcW w:w="1418" w:type="dxa"/>
            <w:tcBorders>
              <w:top w:val="nil"/>
              <w:bottom w:val="nil"/>
            </w:tcBorders>
          </w:tcPr>
          <w:p>
            <w:pPr>
              <w:pStyle w:val="TableParagraph"/>
              <w:spacing w:line="241" w:lineRule="exact"/>
              <w:ind w:left="463" w:right="101"/>
              <w:rPr>
                <w:sz w:val="22"/>
              </w:rPr>
            </w:pPr>
            <w:r>
              <w:rPr>
                <w:sz w:val="22"/>
              </w:rPr>
              <w:t>en el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rPr>
                <w:sz w:val="22"/>
              </w:rPr>
            </w:pPr>
            <w:r>
              <w:rPr>
                <w:sz w:val="22"/>
              </w:rPr>
              <w:t>Querétaro.</w:t>
            </w:r>
          </w:p>
        </w:tc>
        <w:tc>
          <w:tcPr>
            <w:tcW w:w="1133" w:type="dxa"/>
            <w:tcBorders>
              <w:top w:val="nil"/>
              <w:bottom w:val="nil"/>
            </w:tcBorders>
          </w:tcPr>
          <w:p>
            <w:pPr>
              <w:pStyle w:val="TableParagraph"/>
              <w:spacing w:line="241" w:lineRule="exact"/>
              <w:ind w:left="100" w:right="52"/>
              <w:rPr>
                <w:sz w:val="22"/>
              </w:rPr>
            </w:pPr>
            <w:r>
              <w:rPr>
                <w:sz w:val="22"/>
              </w:rPr>
              <w:t>Polotitlán</w:t>
            </w:r>
          </w:p>
        </w:tc>
        <w:tc>
          <w:tcPr>
            <w:tcW w:w="1702" w:type="dxa"/>
            <w:tcBorders>
              <w:top w:val="nil"/>
              <w:bottom w:val="nil"/>
            </w:tcBorders>
          </w:tcPr>
          <w:p>
            <w:pPr>
              <w:pStyle w:val="TableParagraph"/>
              <w:spacing w:line="241" w:lineRule="exact"/>
              <w:rPr>
                <w:sz w:val="22"/>
              </w:rPr>
            </w:pPr>
            <w:r>
              <w:rPr>
                <w:sz w:val="22"/>
              </w:rPr>
              <w:t>el   agua  entre</w:t>
            </w:r>
          </w:p>
        </w:tc>
        <w:tc>
          <w:tcPr>
            <w:tcW w:w="1985" w:type="dxa"/>
            <w:tcBorders>
              <w:top w:val="nil"/>
              <w:bottom w:val="nil"/>
            </w:tcBorders>
          </w:tcPr>
          <w:p>
            <w:pPr>
              <w:pStyle w:val="TableParagraph"/>
              <w:spacing w:line="241" w:lineRule="exact"/>
              <w:rPr>
                <w:sz w:val="22"/>
              </w:rPr>
            </w:pPr>
            <w:r>
              <w:rPr>
                <w:sz w:val="22"/>
              </w:rPr>
              <w:t>para  conservar la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(4/9/2014)</w:t>
            </w:r>
          </w:p>
        </w:tc>
        <w:tc>
          <w:tcPr>
            <w:tcW w:w="1418" w:type="dxa"/>
            <w:tcBorders>
              <w:top w:val="nil"/>
              <w:bottom w:val="nil"/>
            </w:tcBorders>
          </w:tcPr>
          <w:p>
            <w:pPr>
              <w:pStyle w:val="TableParagraph"/>
              <w:spacing w:line="242" w:lineRule="exact"/>
              <w:ind w:left="321" w:right="101"/>
              <w:rPr>
                <w:sz w:val="22"/>
              </w:rPr>
            </w:pPr>
            <w:r>
              <w:rPr>
                <w:sz w:val="22"/>
              </w:rPr>
              <w:t>Rancho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desde</w:t>
            </w:r>
          </w:p>
        </w:tc>
        <w:tc>
          <w:tcPr>
            <w:tcW w:w="1702" w:type="dxa"/>
            <w:tcBorders>
              <w:top w:val="nil"/>
              <w:bottom w:val="nil"/>
            </w:tcBorders>
          </w:tcPr>
          <w:p>
            <w:pPr>
              <w:pStyle w:val="TableParagraph"/>
              <w:spacing w:line="242" w:lineRule="exact"/>
              <w:rPr>
                <w:sz w:val="22"/>
              </w:rPr>
            </w:pPr>
            <w:r>
              <w:rPr>
                <w:sz w:val="22"/>
              </w:rPr>
              <w:t>los   habitantes</w:t>
            </w:r>
          </w:p>
        </w:tc>
        <w:tc>
          <w:tcPr>
            <w:tcW w:w="1985" w:type="dxa"/>
            <w:tcBorders>
              <w:top w:val="nil"/>
              <w:bottom w:val="nil"/>
            </w:tcBorders>
          </w:tcPr>
          <w:p>
            <w:pPr>
              <w:pStyle w:val="TableParagraph"/>
              <w:spacing w:line="242" w:lineRule="exact"/>
              <w:rPr>
                <w:sz w:val="22"/>
              </w:rPr>
            </w:pPr>
            <w:r>
              <w:rPr>
                <w:sz w:val="22"/>
              </w:rPr>
              <w:t>laguna</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0" w:right="127"/>
              <w:jc w:val="right"/>
              <w:rPr>
                <w:sz w:val="22"/>
              </w:rPr>
            </w:pPr>
            <w:r>
              <w:rPr>
                <w:sz w:val="22"/>
              </w:rPr>
              <w:t>Santa Rosa</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hace 43</w:t>
            </w:r>
          </w:p>
        </w:tc>
        <w:tc>
          <w:tcPr>
            <w:tcW w:w="1702" w:type="dxa"/>
            <w:tcBorders>
              <w:top w:val="nil"/>
              <w:bottom w:val="nil"/>
            </w:tcBorders>
          </w:tcPr>
          <w:p>
            <w:pPr>
              <w:pStyle w:val="TableParagraph"/>
              <w:tabs>
                <w:tab w:pos="1307" w:val="left" w:leader="none"/>
              </w:tabs>
              <w:spacing w:line="241" w:lineRule="exact"/>
              <w:rPr>
                <w:sz w:val="22"/>
              </w:rPr>
            </w:pPr>
            <w:r>
              <w:rPr>
                <w:sz w:val="22"/>
              </w:rPr>
              <w:t>de</w:t>
              <w:tab/>
              <w:t>los</w:t>
            </w:r>
          </w:p>
        </w:tc>
        <w:tc>
          <w:tcPr>
            <w:tcW w:w="1985" w:type="dxa"/>
            <w:tcBorders>
              <w:top w:val="nil"/>
              <w:bottom w:val="nil"/>
            </w:tcBorders>
          </w:tcPr>
          <w:p>
            <w:pPr>
              <w:pStyle w:val="TableParagraph"/>
              <w:tabs>
                <w:tab w:pos="1456" w:val="left" w:leader="none"/>
              </w:tabs>
              <w:spacing w:line="241" w:lineRule="exact"/>
              <w:rPr>
                <w:sz w:val="22"/>
              </w:rPr>
            </w:pPr>
            <w:r>
              <w:rPr>
                <w:sz w:val="22"/>
              </w:rPr>
              <w:t>Huapango,</w:t>
              <w:tab/>
              <w:t>más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años.</w:t>
            </w:r>
          </w:p>
        </w:tc>
        <w:tc>
          <w:tcPr>
            <w:tcW w:w="1702" w:type="dxa"/>
            <w:tcBorders>
              <w:top w:val="nil"/>
              <w:bottom w:val="nil"/>
            </w:tcBorders>
          </w:tcPr>
          <w:p>
            <w:pPr>
              <w:pStyle w:val="TableParagraph"/>
              <w:spacing w:line="242" w:lineRule="exact"/>
              <w:rPr>
                <w:sz w:val="22"/>
              </w:rPr>
            </w:pPr>
            <w:r>
              <w:rPr>
                <w:sz w:val="22"/>
              </w:rPr>
              <w:t>municipios</w:t>
            </w:r>
          </w:p>
        </w:tc>
        <w:tc>
          <w:tcPr>
            <w:tcW w:w="1985" w:type="dxa"/>
            <w:tcBorders>
              <w:top w:val="nil"/>
              <w:bottom w:val="nil"/>
            </w:tcBorders>
          </w:tcPr>
          <w:p>
            <w:pPr>
              <w:pStyle w:val="TableParagraph"/>
              <w:tabs>
                <w:tab w:pos="1593" w:val="left" w:leader="none"/>
              </w:tabs>
              <w:spacing w:line="242" w:lineRule="exact"/>
              <w:rPr>
                <w:sz w:val="22"/>
              </w:rPr>
            </w:pPr>
            <w:r>
              <w:rPr>
                <w:sz w:val="22"/>
              </w:rPr>
              <w:t>que</w:t>
              <w:tab/>
              <w:t>las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aledaños  a </w:t>
            </w:r>
            <w:r>
              <w:rPr>
                <w:spacing w:val="51"/>
                <w:sz w:val="22"/>
              </w:rPr>
              <w:t> </w:t>
            </w:r>
            <w:r>
              <w:rPr>
                <w:sz w:val="22"/>
              </w:rPr>
              <w:t>la</w:t>
            </w:r>
          </w:p>
        </w:tc>
        <w:tc>
          <w:tcPr>
            <w:tcW w:w="1985" w:type="dxa"/>
            <w:tcBorders>
              <w:top w:val="nil"/>
              <w:bottom w:val="nil"/>
            </w:tcBorders>
          </w:tcPr>
          <w:p>
            <w:pPr>
              <w:pStyle w:val="TableParagraph"/>
              <w:spacing w:line="241" w:lineRule="exact"/>
              <w:rPr>
                <w:sz w:val="22"/>
              </w:rPr>
            </w:pPr>
            <w:r>
              <w:rPr>
                <w:sz w:val="22"/>
              </w:rPr>
              <w:t>administrativas,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laguna.</w:t>
            </w:r>
          </w:p>
        </w:tc>
        <w:tc>
          <w:tcPr>
            <w:tcW w:w="1985" w:type="dxa"/>
            <w:tcBorders>
              <w:top w:val="nil"/>
              <w:bottom w:val="nil"/>
            </w:tcBorders>
          </w:tcPr>
          <w:p>
            <w:pPr>
              <w:pStyle w:val="TableParagraph"/>
              <w:spacing w:line="241" w:lineRule="exact"/>
              <w:rPr>
                <w:sz w:val="22"/>
              </w:rPr>
            </w:pPr>
            <w:r>
              <w:rPr>
                <w:sz w:val="22"/>
              </w:rPr>
              <w:t>se dan las</w:t>
            </w:r>
            <w:r>
              <w:rPr>
                <w:spacing w:val="53"/>
                <w:sz w:val="22"/>
              </w:rPr>
              <w:t> </w:t>
            </w:r>
            <w:r>
              <w:rPr>
                <w:sz w:val="22"/>
              </w:rPr>
              <w:t>cuotas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de apoyo más 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921" w:val="left" w:leader="none"/>
                <w:tab w:pos="1384" w:val="left" w:leader="none"/>
              </w:tabs>
              <w:spacing w:line="241" w:lineRule="exact"/>
              <w:rPr>
                <w:sz w:val="22"/>
              </w:rPr>
            </w:pPr>
            <w:r>
              <w:rPr>
                <w:sz w:val="22"/>
              </w:rPr>
              <w:t>pagos</w:t>
              <w:tab/>
              <w:t>de</w:t>
              <w:tab/>
              <w:t>agua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que se usan  para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762" w:val="left" w:leader="none"/>
              </w:tabs>
              <w:spacing w:line="241" w:lineRule="exact"/>
              <w:rPr>
                <w:sz w:val="22"/>
              </w:rPr>
            </w:pPr>
            <w:r>
              <w:rPr>
                <w:sz w:val="22"/>
              </w:rPr>
              <w:t>mantenimiento</w:t>
              <w:tab/>
              <w:t>y</w:t>
            </w: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maquinaria.</w:t>
            </w:r>
          </w:p>
        </w:tc>
      </w:tr>
      <w:tr>
        <w:trPr>
          <w:trHeight w:val="266" w:hRule="exact"/>
        </w:trPr>
        <w:tc>
          <w:tcPr>
            <w:tcW w:w="1385" w:type="dxa"/>
            <w:tcBorders>
              <w:bottom w:val="nil"/>
            </w:tcBorders>
          </w:tcPr>
          <w:p>
            <w:pPr>
              <w:pStyle w:val="TableParagraph"/>
              <w:spacing w:line="251" w:lineRule="exact"/>
              <w:rPr>
                <w:sz w:val="22"/>
              </w:rPr>
            </w:pPr>
            <w:r>
              <w:rPr>
                <w:sz w:val="22"/>
              </w:rPr>
              <w:t>Álvaro Ortiz</w:t>
            </w:r>
          </w:p>
        </w:tc>
        <w:tc>
          <w:tcPr>
            <w:tcW w:w="1418" w:type="dxa"/>
            <w:tcBorders>
              <w:bottom w:val="nil"/>
            </w:tcBorders>
          </w:tcPr>
          <w:p>
            <w:pPr>
              <w:pStyle w:val="TableParagraph"/>
              <w:spacing w:line="251" w:lineRule="exact"/>
              <w:ind w:left="242" w:right="101"/>
              <w:rPr>
                <w:sz w:val="22"/>
              </w:rPr>
            </w:pPr>
            <w:r>
              <w:rPr>
                <w:sz w:val="22"/>
              </w:rPr>
              <w:t>El campo</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San Juanico</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San</w:t>
            </w:r>
          </w:p>
        </w:tc>
        <w:tc>
          <w:tcPr>
            <w:tcW w:w="1702" w:type="dxa"/>
            <w:tcBorders>
              <w:bottom w:val="nil"/>
            </w:tcBorders>
          </w:tcPr>
          <w:p>
            <w:pPr>
              <w:pStyle w:val="TableParagraph"/>
              <w:tabs>
                <w:tab w:pos="697" w:val="left" w:leader="none"/>
                <w:tab w:pos="1417" w:val="left" w:leader="none"/>
              </w:tabs>
              <w:spacing w:line="251" w:lineRule="exact"/>
              <w:rPr>
                <w:sz w:val="22"/>
              </w:rPr>
            </w:pPr>
            <w:r>
              <w:rPr>
                <w:sz w:val="22"/>
              </w:rPr>
              <w:t>Si</w:t>
              <w:tab/>
              <w:t>por</w:t>
              <w:tab/>
              <w:t>la</w:t>
            </w:r>
          </w:p>
        </w:tc>
        <w:tc>
          <w:tcPr>
            <w:tcW w:w="1985" w:type="dxa"/>
            <w:tcBorders>
              <w:bottom w:val="nil"/>
            </w:tcBorders>
          </w:tcPr>
          <w:p>
            <w:pPr>
              <w:pStyle w:val="TableParagraph"/>
              <w:spacing w:line="251" w:lineRule="exact"/>
              <w:rPr>
                <w:sz w:val="22"/>
              </w:rPr>
            </w:pPr>
            <w:r>
              <w:rPr>
                <w:sz w:val="22"/>
              </w:rPr>
              <w:t>En  la  laguna </w:t>
            </w:r>
            <w:r>
              <w:rPr>
                <w:spacing w:val="53"/>
                <w:sz w:val="22"/>
              </w:rPr>
              <w:t> </w:t>
            </w:r>
            <w:r>
              <w:rPr>
                <w:sz w:val="22"/>
              </w:rPr>
              <w:t>no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Alcántara</w:t>
            </w: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Juanico,</w:t>
            </w:r>
          </w:p>
        </w:tc>
        <w:tc>
          <w:tcPr>
            <w:tcW w:w="1133" w:type="dxa"/>
            <w:tcBorders>
              <w:top w:val="nil"/>
              <w:bottom w:val="nil"/>
            </w:tcBorders>
          </w:tcPr>
          <w:p>
            <w:pPr>
              <w:pStyle w:val="TableParagraph"/>
              <w:spacing w:line="241" w:lineRule="exact"/>
              <w:ind w:left="100" w:right="52"/>
              <w:rPr>
                <w:sz w:val="22"/>
              </w:rPr>
            </w:pPr>
            <w:r>
              <w:rPr>
                <w:sz w:val="22"/>
              </w:rPr>
              <w:t>Juanico,</w:t>
            </w:r>
          </w:p>
        </w:tc>
        <w:tc>
          <w:tcPr>
            <w:tcW w:w="1702" w:type="dxa"/>
            <w:tcBorders>
              <w:top w:val="nil"/>
              <w:bottom w:val="nil"/>
            </w:tcBorders>
          </w:tcPr>
          <w:p>
            <w:pPr>
              <w:pStyle w:val="TableParagraph"/>
              <w:tabs>
                <w:tab w:pos="1341" w:val="left" w:leader="none"/>
              </w:tabs>
              <w:spacing w:line="241" w:lineRule="exact"/>
              <w:rPr>
                <w:sz w:val="22"/>
              </w:rPr>
            </w:pPr>
            <w:r>
              <w:rPr>
                <w:sz w:val="22"/>
              </w:rPr>
              <w:t>invasión</w:t>
              <w:tab/>
              <w:t>de</w:t>
            </w:r>
          </w:p>
        </w:tc>
        <w:tc>
          <w:tcPr>
            <w:tcW w:w="1985" w:type="dxa"/>
            <w:tcBorders>
              <w:top w:val="nil"/>
              <w:bottom w:val="nil"/>
            </w:tcBorders>
          </w:tcPr>
          <w:p>
            <w:pPr>
              <w:pStyle w:val="TableParagraph"/>
              <w:tabs>
                <w:tab w:pos="621" w:val="left" w:leader="none"/>
                <w:tab w:pos="1384" w:val="left" w:leader="none"/>
              </w:tabs>
              <w:spacing w:line="241" w:lineRule="exact"/>
              <w:rPr>
                <w:sz w:val="22"/>
              </w:rPr>
            </w:pPr>
            <w:r>
              <w:rPr>
                <w:sz w:val="22"/>
              </w:rPr>
              <w:t>se</w:t>
              <w:tab/>
              <w:t>hace</w:t>
              <w:tab/>
              <w:t>nada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(7/II/2015)</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Acambay</w:t>
            </w:r>
          </w:p>
        </w:tc>
        <w:tc>
          <w:tcPr>
            <w:tcW w:w="1702" w:type="dxa"/>
            <w:tcBorders>
              <w:top w:val="nil"/>
              <w:bottom w:val="nil"/>
            </w:tcBorders>
          </w:tcPr>
          <w:p>
            <w:pPr>
              <w:pStyle w:val="TableParagraph"/>
              <w:tabs>
                <w:tab w:pos="1065" w:val="left" w:leader="none"/>
              </w:tabs>
              <w:spacing w:line="242" w:lineRule="exact"/>
              <w:rPr>
                <w:sz w:val="22"/>
              </w:rPr>
            </w:pPr>
            <w:r>
              <w:rPr>
                <w:sz w:val="22"/>
              </w:rPr>
              <w:t>nuestro</w:t>
              <w:tab/>
              <w:t>ejido,</w:t>
            </w:r>
          </w:p>
        </w:tc>
        <w:tc>
          <w:tcPr>
            <w:tcW w:w="1985" w:type="dxa"/>
            <w:tcBorders>
              <w:top w:val="nil"/>
              <w:bottom w:val="nil"/>
            </w:tcBorders>
          </w:tcPr>
          <w:p>
            <w:pPr>
              <w:pStyle w:val="TableParagraph"/>
              <w:tabs>
                <w:tab w:pos="1031" w:val="left" w:leader="none"/>
                <w:tab w:pos="1518" w:val="left" w:leader="none"/>
              </w:tabs>
              <w:spacing w:line="242" w:lineRule="exact"/>
              <w:rPr>
                <w:sz w:val="22"/>
              </w:rPr>
            </w:pPr>
            <w:r>
              <w:rPr>
                <w:sz w:val="22"/>
              </w:rPr>
              <w:t>porque</w:t>
              <w:tab/>
              <w:t>no</w:t>
              <w:tab/>
              <w:t>nos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ya  tiene</w:t>
            </w:r>
            <w:r>
              <w:rPr>
                <w:spacing w:val="53"/>
                <w:sz w:val="22"/>
              </w:rPr>
              <w:t> </w:t>
            </w:r>
            <w:r>
              <w:rPr>
                <w:sz w:val="22"/>
              </w:rPr>
              <w:t>como</w:t>
            </w:r>
          </w:p>
        </w:tc>
        <w:tc>
          <w:tcPr>
            <w:tcW w:w="1985" w:type="dxa"/>
            <w:tcBorders>
              <w:top w:val="nil"/>
              <w:bottom w:val="nil"/>
            </w:tcBorders>
          </w:tcPr>
          <w:p>
            <w:pPr>
              <w:pStyle w:val="TableParagraph"/>
              <w:tabs>
                <w:tab w:pos="1628" w:val="left" w:leader="none"/>
              </w:tabs>
              <w:spacing w:line="241" w:lineRule="exact"/>
              <w:rPr>
                <w:sz w:val="22"/>
              </w:rPr>
            </w:pPr>
            <w:r>
              <w:rPr>
                <w:sz w:val="22"/>
              </w:rPr>
              <w:t>beneficiamos</w:t>
              <w:tab/>
              <w:t>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13" w:val="left" w:leader="none"/>
              </w:tabs>
              <w:spacing w:line="242" w:lineRule="exact"/>
              <w:rPr>
                <w:sz w:val="22"/>
              </w:rPr>
            </w:pPr>
            <w:r>
              <w:rPr>
                <w:sz w:val="22"/>
              </w:rPr>
              <w:t>30</w:t>
              <w:tab/>
              <w:t>años</w:t>
            </w:r>
          </w:p>
        </w:tc>
        <w:tc>
          <w:tcPr>
            <w:tcW w:w="1985" w:type="dxa"/>
            <w:tcBorders>
              <w:top w:val="nil"/>
              <w:bottom w:val="nil"/>
            </w:tcBorders>
          </w:tcPr>
          <w:p>
            <w:pPr>
              <w:pStyle w:val="TableParagraph"/>
              <w:spacing w:line="242" w:lineRule="exact"/>
              <w:rPr>
                <w:sz w:val="22"/>
              </w:rPr>
            </w:pPr>
            <w:r>
              <w:rPr>
                <w:sz w:val="22"/>
              </w:rPr>
              <w:t>ella.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porque sube el</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68" w:val="left" w:leader="none"/>
              </w:tabs>
              <w:spacing w:line="241" w:lineRule="exact"/>
              <w:rPr>
                <w:sz w:val="22"/>
              </w:rPr>
            </w:pPr>
            <w:r>
              <w:rPr>
                <w:sz w:val="22"/>
              </w:rPr>
              <w:t>agua</w:t>
              <w:tab/>
              <w:t>cuando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99" w:val="left" w:leader="none"/>
                <w:tab w:pos="1230" w:val="left" w:leader="none"/>
              </w:tabs>
              <w:spacing w:line="242" w:lineRule="exact"/>
              <w:rPr>
                <w:sz w:val="22"/>
              </w:rPr>
            </w:pPr>
            <w:r>
              <w:rPr>
                <w:sz w:val="22"/>
              </w:rPr>
              <w:t>llueve</w:t>
              <w:tab/>
              <w:t>y</w:t>
              <w:tab/>
              <w:t>nos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invade</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nuestras</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tierras.</w:t>
            </w: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Sabas</w:t>
            </w:r>
          </w:p>
        </w:tc>
        <w:tc>
          <w:tcPr>
            <w:tcW w:w="1418" w:type="dxa"/>
            <w:tcBorders>
              <w:bottom w:val="nil"/>
            </w:tcBorders>
          </w:tcPr>
          <w:p>
            <w:pPr>
              <w:pStyle w:val="TableParagraph"/>
              <w:ind w:left="0" w:right="159"/>
              <w:jc w:val="right"/>
              <w:rPr>
                <w:sz w:val="22"/>
              </w:rPr>
            </w:pPr>
            <w:r>
              <w:rPr>
                <w:sz w:val="22"/>
              </w:rPr>
              <w:t>El campo y</w:t>
            </w:r>
          </w:p>
        </w:tc>
        <w:tc>
          <w:tcPr>
            <w:tcW w:w="1417" w:type="dxa"/>
            <w:tcBorders>
              <w:bottom w:val="nil"/>
            </w:tcBorders>
          </w:tcPr>
          <w:p>
            <w:pPr>
              <w:pStyle w:val="TableParagraph"/>
              <w:ind w:left="100"/>
              <w:rPr>
                <w:i/>
                <w:sz w:val="22"/>
              </w:rPr>
            </w:pPr>
            <w:r>
              <w:rPr>
                <w:i/>
                <w:sz w:val="22"/>
              </w:rPr>
              <w:t>Presidente</w:t>
            </w:r>
          </w:p>
        </w:tc>
        <w:tc>
          <w:tcPr>
            <w:tcW w:w="1560" w:type="dxa"/>
            <w:tcBorders>
              <w:bottom w:val="nil"/>
            </w:tcBorders>
          </w:tcPr>
          <w:p>
            <w:pPr>
              <w:pStyle w:val="TableParagraph"/>
              <w:ind w:right="143"/>
              <w:rPr>
                <w:sz w:val="22"/>
              </w:rPr>
            </w:pPr>
            <w:r>
              <w:rPr>
                <w:sz w:val="22"/>
              </w:rPr>
              <w:t>Ejidos de</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Rincón de</w:t>
            </w:r>
          </w:p>
        </w:tc>
        <w:tc>
          <w:tcPr>
            <w:tcW w:w="1133" w:type="dxa"/>
            <w:tcBorders>
              <w:bottom w:val="nil"/>
            </w:tcBorders>
          </w:tcPr>
          <w:p>
            <w:pPr>
              <w:pStyle w:val="TableParagraph"/>
              <w:ind w:left="100" w:right="52"/>
              <w:rPr>
                <w:sz w:val="22"/>
              </w:rPr>
            </w:pPr>
            <w:r>
              <w:rPr>
                <w:sz w:val="22"/>
              </w:rPr>
              <w:t>Rincón</w:t>
            </w:r>
          </w:p>
        </w:tc>
        <w:tc>
          <w:tcPr>
            <w:tcW w:w="1702" w:type="dxa"/>
            <w:tcBorders>
              <w:bottom w:val="nil"/>
            </w:tcBorders>
          </w:tcPr>
          <w:p>
            <w:pPr>
              <w:pStyle w:val="TableParagraph"/>
              <w:tabs>
                <w:tab w:pos="1223" w:val="left" w:leader="none"/>
              </w:tabs>
              <w:rPr>
                <w:sz w:val="22"/>
              </w:rPr>
            </w:pPr>
            <w:r>
              <w:rPr>
                <w:sz w:val="22"/>
              </w:rPr>
              <w:t>Siempre</w:t>
              <w:tab/>
              <w:t>han</w:t>
            </w:r>
          </w:p>
        </w:tc>
        <w:tc>
          <w:tcPr>
            <w:tcW w:w="1985" w:type="dxa"/>
            <w:tcBorders>
              <w:bottom w:val="nil"/>
            </w:tcBorders>
          </w:tcPr>
          <w:p>
            <w:pPr>
              <w:pStyle w:val="TableParagraph"/>
              <w:tabs>
                <w:tab w:pos="844" w:val="left" w:leader="none"/>
              </w:tabs>
              <w:rPr>
                <w:sz w:val="22"/>
              </w:rPr>
            </w:pPr>
            <w:r>
              <w:rPr>
                <w:sz w:val="22"/>
              </w:rPr>
              <w:t>El</w:t>
              <w:tab/>
              <w:t>presidente</w:t>
            </w:r>
          </w:p>
        </w:tc>
      </w:tr>
      <w:tr>
        <w:trPr>
          <w:trHeight w:val="252" w:hRule="exact"/>
        </w:trPr>
        <w:tc>
          <w:tcPr>
            <w:tcW w:w="1385" w:type="dxa"/>
            <w:tcBorders>
              <w:top w:val="nil"/>
              <w:bottom w:val="nil"/>
            </w:tcBorders>
          </w:tcPr>
          <w:p>
            <w:pPr>
              <w:pStyle w:val="TableParagraph"/>
              <w:spacing w:line="241" w:lineRule="exact"/>
              <w:rPr>
                <w:sz w:val="22"/>
              </w:rPr>
            </w:pPr>
            <w:r>
              <w:rPr>
                <w:sz w:val="22"/>
              </w:rPr>
              <w:t>Guadarram</w:t>
            </w:r>
          </w:p>
        </w:tc>
        <w:tc>
          <w:tcPr>
            <w:tcW w:w="1418" w:type="dxa"/>
            <w:tcBorders>
              <w:top w:val="nil"/>
              <w:bottom w:val="nil"/>
            </w:tcBorders>
          </w:tcPr>
          <w:p>
            <w:pPr>
              <w:pStyle w:val="TableParagraph"/>
              <w:spacing w:line="241" w:lineRule="exact"/>
              <w:ind w:left="0" w:right="140"/>
              <w:jc w:val="right"/>
              <w:rPr>
                <w:sz w:val="22"/>
              </w:rPr>
            </w:pPr>
            <w:r>
              <w:rPr>
                <w:sz w:val="22"/>
              </w:rPr>
              <w:t>representar</w:t>
            </w:r>
          </w:p>
        </w:tc>
        <w:tc>
          <w:tcPr>
            <w:tcW w:w="1417" w:type="dxa"/>
            <w:tcBorders>
              <w:top w:val="nil"/>
              <w:bottom w:val="nil"/>
            </w:tcBorders>
          </w:tcPr>
          <w:p>
            <w:pPr>
              <w:pStyle w:val="TableParagraph"/>
              <w:spacing w:line="241" w:lineRule="exact"/>
              <w:ind w:left="100"/>
              <w:rPr>
                <w:i/>
                <w:sz w:val="22"/>
              </w:rPr>
            </w:pPr>
            <w:r>
              <w:rPr>
                <w:i/>
                <w:sz w:val="22"/>
              </w:rPr>
              <w:t>de  la Unión</w:t>
            </w:r>
          </w:p>
        </w:tc>
        <w:tc>
          <w:tcPr>
            <w:tcW w:w="1560" w:type="dxa"/>
            <w:tcBorders>
              <w:top w:val="nil"/>
              <w:bottom w:val="nil"/>
            </w:tcBorders>
          </w:tcPr>
          <w:p>
            <w:pPr>
              <w:pStyle w:val="TableParagraph"/>
              <w:spacing w:line="241" w:lineRule="exact"/>
              <w:ind w:right="143"/>
              <w:rPr>
                <w:sz w:val="22"/>
              </w:rPr>
            </w:pPr>
            <w:r>
              <w:rPr>
                <w:sz w:val="22"/>
              </w:rPr>
              <w:t>Timilpan</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Bucio,</w:t>
            </w:r>
          </w:p>
        </w:tc>
        <w:tc>
          <w:tcPr>
            <w:tcW w:w="1133" w:type="dxa"/>
            <w:tcBorders>
              <w:top w:val="nil"/>
              <w:bottom w:val="nil"/>
            </w:tcBorders>
          </w:tcPr>
          <w:p>
            <w:pPr>
              <w:pStyle w:val="TableParagraph"/>
              <w:spacing w:line="241" w:lineRule="exact"/>
              <w:ind w:left="100" w:right="52"/>
              <w:rPr>
                <w:sz w:val="22"/>
              </w:rPr>
            </w:pPr>
            <w:r>
              <w:rPr>
                <w:sz w:val="22"/>
              </w:rPr>
              <w:t>de Bucio,</w:t>
            </w:r>
          </w:p>
        </w:tc>
        <w:tc>
          <w:tcPr>
            <w:tcW w:w="1702" w:type="dxa"/>
            <w:tcBorders>
              <w:top w:val="nil"/>
              <w:bottom w:val="nil"/>
            </w:tcBorders>
          </w:tcPr>
          <w:p>
            <w:pPr>
              <w:pStyle w:val="TableParagraph"/>
              <w:spacing w:line="241" w:lineRule="exact"/>
              <w:rPr>
                <w:sz w:val="22"/>
              </w:rPr>
            </w:pPr>
            <w:r>
              <w:rPr>
                <w:sz w:val="22"/>
              </w:rPr>
              <w:t>existido</w:t>
            </w:r>
          </w:p>
        </w:tc>
        <w:tc>
          <w:tcPr>
            <w:tcW w:w="1985" w:type="dxa"/>
            <w:tcBorders>
              <w:top w:val="nil"/>
              <w:bottom w:val="nil"/>
            </w:tcBorders>
          </w:tcPr>
          <w:p>
            <w:pPr>
              <w:pStyle w:val="TableParagraph"/>
              <w:tabs>
                <w:tab w:pos="1626" w:val="left" w:leader="none"/>
              </w:tabs>
              <w:spacing w:line="241" w:lineRule="exact"/>
              <w:rPr>
                <w:sz w:val="22"/>
              </w:rPr>
            </w:pPr>
            <w:r>
              <w:rPr>
                <w:sz w:val="22"/>
              </w:rPr>
              <w:t>municipal</w:t>
              <w:tab/>
              <w:t>no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 Mendoza</w:t>
            </w:r>
          </w:p>
        </w:tc>
        <w:tc>
          <w:tcPr>
            <w:tcW w:w="1418" w:type="dxa"/>
            <w:tcBorders>
              <w:top w:val="nil"/>
              <w:bottom w:val="nil"/>
            </w:tcBorders>
          </w:tcPr>
          <w:p>
            <w:pPr>
              <w:pStyle w:val="TableParagraph"/>
              <w:spacing w:line="241" w:lineRule="exact"/>
              <w:ind w:left="0" w:right="154"/>
              <w:jc w:val="right"/>
              <w:rPr>
                <w:sz w:val="22"/>
              </w:rPr>
            </w:pPr>
            <w:r>
              <w:rPr>
                <w:sz w:val="22"/>
              </w:rPr>
              <w:t>a los ejidos</w:t>
            </w:r>
          </w:p>
        </w:tc>
        <w:tc>
          <w:tcPr>
            <w:tcW w:w="1417" w:type="dxa"/>
            <w:tcBorders>
              <w:top w:val="nil"/>
              <w:bottom w:val="nil"/>
            </w:tcBorders>
          </w:tcPr>
          <w:p>
            <w:pPr>
              <w:pStyle w:val="TableParagraph"/>
              <w:tabs>
                <w:tab w:pos="703" w:val="left" w:leader="none"/>
              </w:tabs>
              <w:spacing w:line="241" w:lineRule="exact"/>
              <w:ind w:left="100"/>
              <w:rPr>
                <w:i/>
                <w:sz w:val="22"/>
              </w:rPr>
            </w:pPr>
            <w:r>
              <w:rPr>
                <w:i/>
                <w:sz w:val="22"/>
              </w:rPr>
              <w:t>de</w:t>
              <w:tab/>
              <w:t>Ejidos</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problemas  por</w:t>
            </w:r>
          </w:p>
        </w:tc>
        <w:tc>
          <w:tcPr>
            <w:tcW w:w="1985" w:type="dxa"/>
            <w:tcBorders>
              <w:top w:val="nil"/>
              <w:bottom w:val="nil"/>
            </w:tcBorders>
          </w:tcPr>
          <w:p>
            <w:pPr>
              <w:pStyle w:val="TableParagraph"/>
              <w:tabs>
                <w:tab w:pos="866" w:val="left" w:leader="none"/>
                <w:tab w:pos="1703" w:val="left" w:leader="none"/>
              </w:tabs>
              <w:spacing w:line="241" w:lineRule="exact"/>
              <w:rPr>
                <w:sz w:val="22"/>
              </w:rPr>
            </w:pPr>
            <w:r>
              <w:rPr>
                <w:sz w:val="22"/>
              </w:rPr>
              <w:t>hace</w:t>
              <w:tab/>
              <w:t>nada,</w:t>
              <w:tab/>
              <w:t>ni</w:t>
            </w:r>
          </w:p>
        </w:tc>
      </w:tr>
      <w:tr>
        <w:trPr>
          <w:trHeight w:val="248" w:hRule="exact"/>
        </w:trPr>
        <w:tc>
          <w:tcPr>
            <w:tcW w:w="1385" w:type="dxa"/>
            <w:tcBorders>
              <w:top w:val="nil"/>
            </w:tcBorders>
          </w:tcPr>
          <w:p>
            <w:pPr>
              <w:pStyle w:val="TableParagraph"/>
              <w:spacing w:line="242" w:lineRule="exact"/>
              <w:ind w:right="127"/>
              <w:rPr>
                <w:sz w:val="22"/>
              </w:rPr>
            </w:pPr>
            <w:r>
              <w:rPr>
                <w:sz w:val="22"/>
              </w:rPr>
              <w:t>(12/I/2014)</w:t>
            </w:r>
          </w:p>
        </w:tc>
        <w:tc>
          <w:tcPr>
            <w:tcW w:w="1418" w:type="dxa"/>
            <w:tcBorders>
              <w:top w:val="nil"/>
            </w:tcBorders>
          </w:tcPr>
          <w:p>
            <w:pPr>
              <w:pStyle w:val="TableParagraph"/>
              <w:spacing w:line="242" w:lineRule="exact"/>
              <w:ind w:left="100" w:right="104"/>
              <w:jc w:val="center"/>
              <w:rPr>
                <w:sz w:val="22"/>
              </w:rPr>
            </w:pPr>
            <w:r>
              <w:rPr>
                <w:sz w:val="22"/>
              </w:rPr>
              <w:t>del</w:t>
            </w:r>
          </w:p>
        </w:tc>
        <w:tc>
          <w:tcPr>
            <w:tcW w:w="1417" w:type="dxa"/>
            <w:tcBorders>
              <w:top w:val="nil"/>
            </w:tcBorders>
          </w:tcPr>
          <w:p>
            <w:pPr>
              <w:pStyle w:val="TableParagraph"/>
              <w:spacing w:line="242" w:lineRule="exact"/>
              <w:ind w:left="100"/>
              <w:rPr>
                <w:i/>
                <w:sz w:val="22"/>
              </w:rPr>
            </w:pPr>
            <w:r>
              <w:rPr>
                <w:i/>
                <w:sz w:val="22"/>
              </w:rPr>
              <w:t>de Timilpan</w:t>
            </w: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el   agua  entre</w:t>
            </w:r>
          </w:p>
        </w:tc>
        <w:tc>
          <w:tcPr>
            <w:tcW w:w="1985" w:type="dxa"/>
            <w:tcBorders>
              <w:top w:val="nil"/>
            </w:tcBorders>
          </w:tcPr>
          <w:p>
            <w:pPr>
              <w:pStyle w:val="TableParagraph"/>
              <w:tabs>
                <w:tab w:pos="1213" w:val="left" w:leader="none"/>
              </w:tabs>
              <w:spacing w:line="242" w:lineRule="exact"/>
              <w:rPr>
                <w:sz w:val="22"/>
              </w:rPr>
            </w:pPr>
            <w:r>
              <w:rPr>
                <w:sz w:val="22"/>
              </w:rPr>
              <w:t>tiene</w:t>
              <w:tab/>
              <w:t>ningún</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66" w:hRule="exact"/>
        </w:trPr>
        <w:tc>
          <w:tcPr>
            <w:tcW w:w="1385" w:type="dxa"/>
            <w:vMerge w:val="restart"/>
          </w:tcPr>
          <w:p>
            <w:pPr/>
          </w:p>
        </w:tc>
        <w:tc>
          <w:tcPr>
            <w:tcW w:w="1418" w:type="dxa"/>
            <w:tcBorders>
              <w:bottom w:val="nil"/>
            </w:tcBorders>
          </w:tcPr>
          <w:p>
            <w:pPr>
              <w:pStyle w:val="TableParagraph"/>
              <w:spacing w:line="251" w:lineRule="exact"/>
              <w:ind w:left="102" w:right="104"/>
              <w:jc w:val="center"/>
              <w:rPr>
                <w:sz w:val="22"/>
              </w:rPr>
            </w:pPr>
            <w:r>
              <w:rPr>
                <w:sz w:val="22"/>
              </w:rPr>
              <w:t>municipio</w:t>
            </w:r>
          </w:p>
        </w:tc>
        <w:tc>
          <w:tcPr>
            <w:tcW w:w="1417" w:type="dxa"/>
            <w:vMerge w:val="restart"/>
          </w:tcPr>
          <w:p>
            <w:pPr/>
          </w:p>
        </w:tc>
        <w:tc>
          <w:tcPr>
            <w:tcW w:w="1560" w:type="dxa"/>
            <w:vMerge w:val="restart"/>
          </w:tcPr>
          <w:p>
            <w:pPr/>
          </w:p>
        </w:tc>
        <w:tc>
          <w:tcPr>
            <w:tcW w:w="991" w:type="dxa"/>
            <w:vMerge w:val="restart"/>
          </w:tcPr>
          <w:p>
            <w:pPr/>
          </w:p>
        </w:tc>
        <w:tc>
          <w:tcPr>
            <w:tcW w:w="1277" w:type="dxa"/>
            <w:vMerge w:val="restart"/>
          </w:tcPr>
          <w:p>
            <w:pPr/>
          </w:p>
        </w:tc>
        <w:tc>
          <w:tcPr>
            <w:tcW w:w="1133" w:type="dxa"/>
            <w:vMerge w:val="restart"/>
          </w:tcPr>
          <w:p>
            <w:pPr/>
          </w:p>
        </w:tc>
        <w:tc>
          <w:tcPr>
            <w:tcW w:w="1702" w:type="dxa"/>
            <w:tcBorders>
              <w:bottom w:val="nil"/>
            </w:tcBorders>
          </w:tcPr>
          <w:p>
            <w:pPr>
              <w:pStyle w:val="TableParagraph"/>
              <w:spacing w:line="251" w:lineRule="exact"/>
              <w:rPr>
                <w:sz w:val="22"/>
              </w:rPr>
            </w:pPr>
            <w:r>
              <w:rPr>
                <w:sz w:val="22"/>
              </w:rPr>
              <w:t>los   habitantes</w:t>
            </w:r>
          </w:p>
        </w:tc>
        <w:tc>
          <w:tcPr>
            <w:tcW w:w="1985" w:type="dxa"/>
            <w:tcBorders>
              <w:bottom w:val="nil"/>
            </w:tcBorders>
          </w:tcPr>
          <w:p>
            <w:pPr>
              <w:pStyle w:val="TableParagraph"/>
              <w:tabs>
                <w:tab w:pos="1434" w:val="left" w:leader="none"/>
              </w:tabs>
              <w:spacing w:line="251" w:lineRule="exact"/>
              <w:rPr>
                <w:sz w:val="22"/>
              </w:rPr>
            </w:pPr>
            <w:r>
              <w:rPr>
                <w:sz w:val="22"/>
              </w:rPr>
              <w:t>interés</w:t>
              <w:tab/>
              <w:t>para</w:t>
            </w:r>
          </w:p>
        </w:tc>
      </w:tr>
      <w:tr>
        <w:trPr>
          <w:trHeight w:val="253" w:hRule="exact"/>
        </w:trPr>
        <w:tc>
          <w:tcPr>
            <w:tcW w:w="1385" w:type="dxa"/>
            <w:vMerge/>
          </w:tcPr>
          <w:p>
            <w:pPr/>
          </w:p>
        </w:tc>
        <w:tc>
          <w:tcPr>
            <w:tcW w:w="1418" w:type="dxa"/>
            <w:tcBorders>
              <w:top w:val="nil"/>
              <w:bottom w:val="nil"/>
            </w:tcBorders>
          </w:tcPr>
          <w:p>
            <w:pPr>
              <w:pStyle w:val="TableParagraph"/>
              <w:spacing w:line="241" w:lineRule="exact"/>
              <w:ind w:left="99" w:right="104"/>
              <w:jc w:val="center"/>
              <w:rPr>
                <w:sz w:val="22"/>
              </w:rPr>
            </w:pPr>
            <w:r>
              <w:rPr>
                <w:sz w:val="22"/>
              </w:rPr>
              <w:t>de Timilpan</w:t>
            </w: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de los distintos</w:t>
            </w:r>
          </w:p>
        </w:tc>
        <w:tc>
          <w:tcPr>
            <w:tcW w:w="1985" w:type="dxa"/>
            <w:tcBorders>
              <w:top w:val="nil"/>
              <w:bottom w:val="nil"/>
            </w:tcBorders>
          </w:tcPr>
          <w:p>
            <w:pPr>
              <w:pStyle w:val="TableParagraph"/>
              <w:tabs>
                <w:tab w:pos="1702" w:val="left" w:leader="none"/>
              </w:tabs>
              <w:spacing w:line="241" w:lineRule="exact"/>
              <w:rPr>
                <w:sz w:val="22"/>
              </w:rPr>
            </w:pPr>
            <w:r>
              <w:rPr>
                <w:sz w:val="22"/>
              </w:rPr>
              <w:t>proteger</w:t>
              <w:tab/>
              <w:t>la</w:t>
            </w:r>
          </w:p>
        </w:tc>
      </w:tr>
      <w:tr>
        <w:trPr>
          <w:trHeight w:val="253"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municipios que</w:t>
            </w:r>
          </w:p>
        </w:tc>
        <w:tc>
          <w:tcPr>
            <w:tcW w:w="1985" w:type="dxa"/>
            <w:tcBorders>
              <w:top w:val="nil"/>
              <w:bottom w:val="nil"/>
            </w:tcBorders>
          </w:tcPr>
          <w:p>
            <w:pPr>
              <w:pStyle w:val="TableParagraph"/>
              <w:tabs>
                <w:tab w:pos="1062" w:val="left" w:leader="none"/>
                <w:tab w:pos="1704" w:val="left" w:leader="none"/>
              </w:tabs>
              <w:spacing w:line="242" w:lineRule="exact"/>
              <w:rPr>
                <w:sz w:val="22"/>
              </w:rPr>
            </w:pPr>
            <w:r>
              <w:rPr>
                <w:sz w:val="22"/>
              </w:rPr>
              <w:t>laguna,</w:t>
              <w:tab/>
              <w:t>sólo</w:t>
              <w:tab/>
              <w:t>el</w:t>
            </w:r>
          </w:p>
        </w:tc>
      </w:tr>
      <w:tr>
        <w:trPr>
          <w:trHeight w:val="253"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colindan con la</w:t>
            </w:r>
          </w:p>
        </w:tc>
        <w:tc>
          <w:tcPr>
            <w:tcW w:w="1985" w:type="dxa"/>
            <w:tcBorders>
              <w:top w:val="nil"/>
              <w:bottom w:val="nil"/>
            </w:tcBorders>
          </w:tcPr>
          <w:p>
            <w:pPr>
              <w:pStyle w:val="TableParagraph"/>
              <w:tabs>
                <w:tab w:pos="1199" w:val="left" w:leader="none"/>
              </w:tabs>
              <w:spacing w:line="241" w:lineRule="exact"/>
              <w:rPr>
                <w:sz w:val="22"/>
              </w:rPr>
            </w:pPr>
            <w:r>
              <w:rPr>
                <w:sz w:val="22"/>
              </w:rPr>
              <w:t>gobierno</w:t>
              <w:tab/>
              <w:t>federal</w:t>
            </w:r>
          </w:p>
        </w:tc>
      </w:tr>
      <w:tr>
        <w:trPr>
          <w:trHeight w:val="253"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laguna  porque</w:t>
            </w:r>
          </w:p>
        </w:tc>
        <w:tc>
          <w:tcPr>
            <w:tcW w:w="1985" w:type="dxa"/>
            <w:tcBorders>
              <w:top w:val="nil"/>
              <w:bottom w:val="nil"/>
            </w:tcBorders>
          </w:tcPr>
          <w:p>
            <w:pPr>
              <w:pStyle w:val="TableParagraph"/>
              <w:tabs>
                <w:tab w:pos="829" w:val="left" w:leader="none"/>
                <w:tab w:pos="1590" w:val="left" w:leader="none"/>
              </w:tabs>
              <w:spacing w:line="242" w:lineRule="exact"/>
              <w:rPr>
                <w:sz w:val="22"/>
              </w:rPr>
            </w:pPr>
            <w:r>
              <w:rPr>
                <w:sz w:val="22"/>
              </w:rPr>
              <w:t>para</w:t>
              <w:tab/>
              <w:t>velar</w:t>
              <w:tab/>
              <w:t>las</w:t>
            </w:r>
          </w:p>
        </w:tc>
      </w:tr>
      <w:tr>
        <w:trPr>
          <w:trHeight w:val="252"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357" w:val="left" w:leader="none"/>
              </w:tabs>
              <w:spacing w:line="241" w:lineRule="exact"/>
              <w:rPr>
                <w:sz w:val="22"/>
              </w:rPr>
            </w:pPr>
            <w:r>
              <w:rPr>
                <w:sz w:val="22"/>
              </w:rPr>
              <w:t>algunos</w:t>
              <w:tab/>
              <w:t>se</w:t>
            </w:r>
          </w:p>
        </w:tc>
        <w:tc>
          <w:tcPr>
            <w:tcW w:w="1985" w:type="dxa"/>
            <w:tcBorders>
              <w:top w:val="nil"/>
              <w:bottom w:val="nil"/>
            </w:tcBorders>
          </w:tcPr>
          <w:p>
            <w:pPr>
              <w:pStyle w:val="TableParagraph"/>
              <w:spacing w:line="241" w:lineRule="exact"/>
              <w:rPr>
                <w:sz w:val="22"/>
              </w:rPr>
            </w:pPr>
            <w:r>
              <w:rPr>
                <w:sz w:val="22"/>
              </w:rPr>
              <w:t>armadas</w:t>
            </w:r>
            <w:r>
              <w:rPr>
                <w:spacing w:val="53"/>
                <w:sz w:val="22"/>
              </w:rPr>
              <w:t> </w:t>
            </w:r>
            <w:r>
              <w:rPr>
                <w:sz w:val="22"/>
              </w:rPr>
              <w:t>(cacería</w:t>
            </w:r>
          </w:p>
        </w:tc>
      </w:tr>
      <w:tr>
        <w:trPr>
          <w:trHeight w:val="253"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062" w:val="left" w:leader="none"/>
              </w:tabs>
              <w:spacing w:line="241" w:lineRule="exact"/>
              <w:rPr>
                <w:sz w:val="22"/>
              </w:rPr>
            </w:pPr>
            <w:r>
              <w:rPr>
                <w:sz w:val="22"/>
              </w:rPr>
              <w:t>hacen</w:t>
              <w:tab/>
              <w:t>ricos,</w:t>
            </w:r>
          </w:p>
        </w:tc>
        <w:tc>
          <w:tcPr>
            <w:tcW w:w="1985" w:type="dxa"/>
            <w:tcBorders>
              <w:top w:val="nil"/>
              <w:bottom w:val="nil"/>
            </w:tcBorders>
          </w:tcPr>
          <w:p>
            <w:pPr>
              <w:pStyle w:val="TableParagraph"/>
              <w:spacing w:line="241" w:lineRule="exact"/>
              <w:rPr>
                <w:sz w:val="22"/>
              </w:rPr>
            </w:pPr>
            <w:r>
              <w:rPr>
                <w:sz w:val="22"/>
              </w:rPr>
              <w:t>de patos).</w:t>
            </w:r>
          </w:p>
        </w:tc>
      </w:tr>
      <w:tr>
        <w:trPr>
          <w:trHeight w:val="254"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346" w:val="left" w:leader="none"/>
              </w:tabs>
              <w:spacing w:line="242" w:lineRule="exact"/>
              <w:rPr>
                <w:sz w:val="22"/>
              </w:rPr>
            </w:pPr>
            <w:r>
              <w:rPr>
                <w:sz w:val="22"/>
              </w:rPr>
              <w:t>como</w:t>
              <w:tab/>
              <w:t>en</w:t>
            </w:r>
          </w:p>
        </w:tc>
        <w:tc>
          <w:tcPr>
            <w:tcW w:w="1985" w:type="dxa"/>
            <w:tcBorders>
              <w:top w:val="nil"/>
              <w:bottom w:val="nil"/>
            </w:tcBorders>
          </w:tcPr>
          <w:p>
            <w:pPr/>
          </w:p>
        </w:tc>
      </w:tr>
      <w:tr>
        <w:trPr>
          <w:trHeight w:val="254"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478" w:val="left" w:leader="none"/>
              </w:tabs>
              <w:spacing w:line="241" w:lineRule="exact"/>
              <w:rPr>
                <w:sz w:val="22"/>
              </w:rPr>
            </w:pPr>
            <w:r>
              <w:rPr>
                <w:sz w:val="22"/>
              </w:rPr>
              <w:t>Encinillas</w:t>
              <w:tab/>
              <w:t>y</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468" w:val="left" w:leader="none"/>
              </w:tabs>
              <w:spacing w:line="242" w:lineRule="exact"/>
              <w:rPr>
                <w:sz w:val="22"/>
              </w:rPr>
            </w:pPr>
            <w:r>
              <w:rPr>
                <w:sz w:val="22"/>
              </w:rPr>
              <w:t>Aculco,</w:t>
              <w:tab/>
              <w:t>a</w:t>
            </w:r>
          </w:p>
        </w:tc>
        <w:tc>
          <w:tcPr>
            <w:tcW w:w="1985" w:type="dxa"/>
            <w:tcBorders>
              <w:top w:val="nil"/>
              <w:bottom w:val="nil"/>
            </w:tcBorders>
          </w:tcPr>
          <w:p>
            <w:pPr/>
          </w:p>
        </w:tc>
      </w:tr>
      <w:tr>
        <w:trPr>
          <w:trHeight w:val="252"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846" w:val="left" w:leader="none"/>
                <w:tab w:pos="1309" w:val="left" w:leader="none"/>
              </w:tabs>
              <w:spacing w:line="241" w:lineRule="exact"/>
              <w:rPr>
                <w:sz w:val="22"/>
              </w:rPr>
            </w:pPr>
            <w:r>
              <w:rPr>
                <w:sz w:val="22"/>
              </w:rPr>
              <w:t>costa</w:t>
              <w:tab/>
              <w:t>de</w:t>
              <w:tab/>
              <w:t>los</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demás,  por  lo</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786" w:val="left" w:leader="none"/>
                <w:tab w:pos="1417" w:val="left" w:leader="none"/>
              </w:tabs>
              <w:spacing w:line="242" w:lineRule="exact"/>
              <w:rPr>
                <w:sz w:val="22"/>
              </w:rPr>
            </w:pPr>
            <w:r>
              <w:rPr>
                <w:sz w:val="22"/>
              </w:rPr>
              <w:t>que</w:t>
              <w:tab/>
              <w:t>por</w:t>
              <w:tab/>
              <w:t>el</w:t>
            </w:r>
          </w:p>
        </w:tc>
        <w:tc>
          <w:tcPr>
            <w:tcW w:w="1985" w:type="dxa"/>
            <w:tcBorders>
              <w:top w:val="nil"/>
              <w:bottom w:val="nil"/>
            </w:tcBorders>
          </w:tcPr>
          <w:p>
            <w:pPr/>
          </w:p>
        </w:tc>
      </w:tr>
      <w:tr>
        <w:trPr>
          <w:trHeight w:val="253"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808" w:val="left" w:leader="none"/>
              </w:tabs>
              <w:spacing w:line="241" w:lineRule="exact"/>
              <w:rPr>
                <w:sz w:val="22"/>
              </w:rPr>
            </w:pPr>
            <w:r>
              <w:rPr>
                <w:sz w:val="22"/>
              </w:rPr>
              <w:t>agua</w:t>
              <w:tab/>
              <w:t>siempre</w:t>
            </w:r>
          </w:p>
        </w:tc>
        <w:tc>
          <w:tcPr>
            <w:tcW w:w="1985" w:type="dxa"/>
            <w:tcBorders>
              <w:top w:val="nil"/>
              <w:bottom w:val="nil"/>
            </w:tcBorders>
          </w:tcPr>
          <w:p>
            <w:pPr/>
          </w:p>
        </w:tc>
      </w:tr>
      <w:tr>
        <w:trPr>
          <w:trHeight w:val="249" w:hRule="exact"/>
        </w:trPr>
        <w:tc>
          <w:tcPr>
            <w:tcW w:w="1385" w:type="dxa"/>
            <w:vMerge/>
          </w:tcPr>
          <w:p>
            <w:pPr/>
          </w:p>
        </w:tc>
        <w:tc>
          <w:tcPr>
            <w:tcW w:w="1418" w:type="dxa"/>
            <w:tcBorders>
              <w:top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tcBorders>
          </w:tcPr>
          <w:p>
            <w:pPr>
              <w:pStyle w:val="TableParagraph"/>
              <w:spacing w:line="242" w:lineRule="exact"/>
              <w:rPr>
                <w:sz w:val="22"/>
              </w:rPr>
            </w:pPr>
            <w:r>
              <w:rPr>
                <w:sz w:val="22"/>
              </w:rPr>
              <w:t>pelearemos.</w:t>
            </w: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2702" w:right="397"/>
      </w:pPr>
      <w:r>
        <w:rPr/>
        <w:t>Tabla 6.7. Comisariados Ejidales (trabajo de campo)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516"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3687" w:type="dxa"/>
            <w:shd w:val="clear" w:color="auto" w:fill="92CDDC"/>
          </w:tcPr>
          <w:p>
            <w:pPr>
              <w:pStyle w:val="TableParagraph"/>
              <w:tabs>
                <w:tab w:pos="2041" w:val="left" w:leader="none"/>
                <w:tab w:pos="2483" w:val="left" w:leader="none"/>
              </w:tabs>
              <w:spacing w:line="252" w:lineRule="exact" w:before="2"/>
              <w:ind w:right="99"/>
              <w:rPr>
                <w:b/>
                <w:i/>
                <w:sz w:val="22"/>
              </w:rPr>
            </w:pPr>
            <w:r>
              <w:rPr>
                <w:b/>
                <w:i/>
                <w:sz w:val="22"/>
              </w:rPr>
              <w:t>Gobernabilidad</w:t>
              <w:tab/>
              <w:t>y</w:t>
              <w:tab/>
              <w:t>relaciones </w:t>
            </w:r>
            <w:r>
              <w:rPr>
                <w:b/>
                <w:i/>
                <w:sz w:val="22"/>
              </w:rPr>
              <w:t>intermunicipales</w:t>
            </w:r>
          </w:p>
        </w:tc>
      </w:tr>
      <w:tr>
        <w:trPr>
          <w:trHeight w:val="1274" w:hRule="exact"/>
        </w:trPr>
        <w:tc>
          <w:tcPr>
            <w:tcW w:w="1385" w:type="dxa"/>
            <w:shd w:val="clear" w:color="auto" w:fill="F9BE8F"/>
          </w:tcPr>
          <w:p>
            <w:pPr>
              <w:pStyle w:val="TableParagraph"/>
              <w:ind w:right="205"/>
              <w:jc w:val="both"/>
              <w:rPr>
                <w:b/>
                <w:sz w:val="22"/>
              </w:rPr>
            </w:pPr>
            <w:r>
              <w:rPr>
                <w:b/>
                <w:sz w:val="22"/>
              </w:rPr>
              <w:t>Nombre y Fecha de Entrevista</w:t>
            </w:r>
          </w:p>
        </w:tc>
        <w:tc>
          <w:tcPr>
            <w:tcW w:w="1418" w:type="dxa"/>
            <w:shd w:val="clear" w:color="auto" w:fill="F9BE8F"/>
          </w:tcPr>
          <w:p>
            <w:pPr>
              <w:pStyle w:val="TableParagraph"/>
              <w:spacing w:line="252" w:lineRule="exact"/>
              <w:ind w:left="100" w:right="151"/>
              <w:rPr>
                <w:b/>
                <w:sz w:val="22"/>
              </w:rPr>
            </w:pPr>
            <w:r>
              <w:rPr>
                <w:b/>
                <w:sz w:val="22"/>
              </w:rPr>
              <w:t>Ocupacion es</w:t>
            </w:r>
          </w:p>
        </w:tc>
        <w:tc>
          <w:tcPr>
            <w:tcW w:w="1417" w:type="dxa"/>
            <w:shd w:val="clear" w:color="auto" w:fill="F9BE8F"/>
          </w:tcPr>
          <w:p>
            <w:pPr>
              <w:pStyle w:val="TableParagraph"/>
              <w:spacing w:line="248" w:lineRule="exact"/>
              <w:ind w:left="100"/>
              <w:rPr>
                <w:b/>
                <w:sz w:val="22"/>
              </w:rPr>
            </w:pPr>
            <w:r>
              <w:rPr>
                <w:b/>
                <w:sz w:val="22"/>
              </w:rPr>
              <w:t>Cargo</w:t>
            </w:r>
          </w:p>
        </w:tc>
        <w:tc>
          <w:tcPr>
            <w:tcW w:w="1560" w:type="dxa"/>
            <w:shd w:val="clear" w:color="auto" w:fill="F9BE8F"/>
          </w:tcPr>
          <w:p>
            <w:pPr>
              <w:pStyle w:val="TableParagraph"/>
              <w:ind w:right="143"/>
              <w:rPr>
                <w:b/>
                <w:sz w:val="22"/>
              </w:rPr>
            </w:pPr>
            <w:r>
              <w:rPr>
                <w:b/>
                <w:sz w:val="22"/>
              </w:rPr>
              <w:t>Núcleos Ejidales que representa</w:t>
            </w:r>
          </w:p>
        </w:tc>
        <w:tc>
          <w:tcPr>
            <w:tcW w:w="991" w:type="dxa"/>
            <w:shd w:val="clear" w:color="auto" w:fill="F9BE8F"/>
          </w:tcPr>
          <w:p>
            <w:pPr>
              <w:pStyle w:val="TableParagraph"/>
              <w:spacing w:line="252" w:lineRule="exact"/>
              <w:ind w:left="100" w:right="164"/>
              <w:rPr>
                <w:b/>
                <w:sz w:val="22"/>
              </w:rPr>
            </w:pPr>
            <w:r>
              <w:rPr>
                <w:b/>
                <w:sz w:val="22"/>
              </w:rPr>
              <w:t>Munici pio</w:t>
            </w:r>
          </w:p>
        </w:tc>
        <w:tc>
          <w:tcPr>
            <w:tcW w:w="1277" w:type="dxa"/>
            <w:shd w:val="clear" w:color="auto" w:fill="92CDDC"/>
          </w:tcPr>
          <w:p>
            <w:pPr>
              <w:pStyle w:val="TableParagraph"/>
              <w:spacing w:line="252" w:lineRule="exact"/>
              <w:ind w:right="325"/>
              <w:rPr>
                <w:b/>
                <w:sz w:val="22"/>
              </w:rPr>
            </w:pPr>
            <w:r>
              <w:rPr>
                <w:b/>
                <w:sz w:val="22"/>
              </w:rPr>
              <w:t>¿Dónde nació?</w:t>
            </w:r>
          </w:p>
        </w:tc>
        <w:tc>
          <w:tcPr>
            <w:tcW w:w="1133" w:type="dxa"/>
            <w:shd w:val="clear" w:color="auto" w:fill="92CDDC"/>
          </w:tcPr>
          <w:p>
            <w:pPr>
              <w:pStyle w:val="TableParagraph"/>
              <w:spacing w:line="252" w:lineRule="exact"/>
              <w:ind w:left="100" w:right="184"/>
              <w:rPr>
                <w:b/>
                <w:sz w:val="22"/>
              </w:rPr>
            </w:pPr>
            <w:r>
              <w:rPr>
                <w:b/>
                <w:sz w:val="22"/>
              </w:rPr>
              <w:t>¿Dónde vive?</w:t>
            </w:r>
          </w:p>
        </w:tc>
        <w:tc>
          <w:tcPr>
            <w:tcW w:w="3687" w:type="dxa"/>
            <w:shd w:val="clear" w:color="auto" w:fill="92CDDC"/>
          </w:tcPr>
          <w:p>
            <w:pPr>
              <w:pStyle w:val="TableParagraph"/>
              <w:ind w:right="101"/>
              <w:jc w:val="both"/>
              <w:rPr>
                <w:b/>
                <w:sz w:val="22"/>
              </w:rPr>
            </w:pPr>
            <w:r>
              <w:rPr>
                <w:b/>
                <w:sz w:val="22"/>
              </w:rPr>
              <w:t>¿Considera apropiado que  exista un Comité Intermunicipal con su Reglamento para el uso, cuidado y defensa de la laguna Huapango?</w:t>
            </w:r>
          </w:p>
        </w:tc>
      </w:tr>
      <w:tr>
        <w:trPr>
          <w:trHeight w:val="1781" w:hRule="exact"/>
        </w:trPr>
        <w:tc>
          <w:tcPr>
            <w:tcW w:w="1385" w:type="dxa"/>
          </w:tcPr>
          <w:p>
            <w:pPr>
              <w:pStyle w:val="TableParagraph"/>
              <w:ind w:right="188"/>
              <w:rPr>
                <w:sz w:val="22"/>
              </w:rPr>
            </w:pPr>
            <w:r>
              <w:rPr>
                <w:sz w:val="22"/>
              </w:rPr>
              <w:t>Reynaldo Sandoval Martínez (21/I/2014)</w:t>
            </w:r>
          </w:p>
        </w:tc>
        <w:tc>
          <w:tcPr>
            <w:tcW w:w="1418" w:type="dxa"/>
          </w:tcPr>
          <w:p>
            <w:pPr>
              <w:pStyle w:val="TableParagraph"/>
              <w:ind w:left="100" w:right="164"/>
              <w:rPr>
                <w:sz w:val="22"/>
              </w:rPr>
            </w:pPr>
            <w:r>
              <w:rPr>
                <w:sz w:val="22"/>
              </w:rPr>
              <w:t>Comisariad o Ejidal y Director del Medio Ambiente en Acambay</w:t>
            </w:r>
          </w:p>
        </w:tc>
        <w:tc>
          <w:tcPr>
            <w:tcW w:w="1417" w:type="dxa"/>
          </w:tcPr>
          <w:p>
            <w:pPr>
              <w:pStyle w:val="TableParagraph"/>
              <w:spacing w:line="242" w:lineRule="auto"/>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Las Arenas</w:t>
            </w:r>
          </w:p>
        </w:tc>
        <w:tc>
          <w:tcPr>
            <w:tcW w:w="991" w:type="dxa"/>
          </w:tcPr>
          <w:p>
            <w:pPr>
              <w:pStyle w:val="TableParagraph"/>
              <w:spacing w:line="242" w:lineRule="auto"/>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3687" w:type="dxa"/>
          </w:tcPr>
          <w:p>
            <w:pPr>
              <w:pStyle w:val="TableParagraph"/>
              <w:ind w:right="99"/>
              <w:jc w:val="both"/>
              <w:rPr>
                <w:sz w:val="22"/>
              </w:rPr>
            </w:pPr>
            <w:r>
              <w:rPr>
                <w:sz w:val="22"/>
              </w:rPr>
              <w:t>Sí para que haya un mejor control  y para cuidar que la basura no se genere mucho, mediante el  cuidado de no contaminar ríos, barrancas y mantos</w:t>
            </w:r>
            <w:r>
              <w:rPr>
                <w:spacing w:val="-9"/>
                <w:sz w:val="22"/>
              </w:rPr>
              <w:t> </w:t>
            </w:r>
            <w:r>
              <w:rPr>
                <w:sz w:val="22"/>
              </w:rPr>
              <w:t>acuíferos.</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1649" w:hRule="exact"/>
        </w:trPr>
        <w:tc>
          <w:tcPr>
            <w:tcW w:w="1385" w:type="dxa"/>
          </w:tcPr>
          <w:p>
            <w:pPr>
              <w:pStyle w:val="TableParagraph"/>
              <w:ind w:right="188"/>
              <w:rPr>
                <w:sz w:val="22"/>
              </w:rPr>
            </w:pPr>
            <w:r>
              <w:rPr>
                <w:sz w:val="22"/>
              </w:rPr>
              <w:t>Juan García Jiménez (12/I/2014)</w:t>
            </w:r>
          </w:p>
        </w:tc>
        <w:tc>
          <w:tcPr>
            <w:tcW w:w="1418" w:type="dxa"/>
          </w:tcPr>
          <w:p>
            <w:pPr>
              <w:pStyle w:val="TableParagraph"/>
              <w:ind w:left="100" w:right="176"/>
              <w:rPr>
                <w:sz w:val="22"/>
              </w:rPr>
            </w:pPr>
            <w:r>
              <w:rPr>
                <w:sz w:val="22"/>
              </w:rPr>
              <w:t>Comisariad o Ejidal y campesino</w:t>
            </w:r>
          </w:p>
        </w:tc>
        <w:tc>
          <w:tcPr>
            <w:tcW w:w="1417" w:type="dxa"/>
          </w:tcPr>
          <w:p>
            <w:pPr>
              <w:pStyle w:val="TableParagraph"/>
              <w:spacing w:line="252" w:lineRule="exact" w:before="2"/>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Huapango</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spacing w:line="250" w:lineRule="exact"/>
              <w:ind w:right="92"/>
              <w:rPr>
                <w:sz w:val="22"/>
              </w:rPr>
            </w:pPr>
            <w:r>
              <w:rPr>
                <w:sz w:val="22"/>
              </w:rPr>
              <w:t>Huapango</w:t>
            </w:r>
          </w:p>
          <w:p>
            <w:pPr>
              <w:pStyle w:val="TableParagraph"/>
              <w:spacing w:line="252" w:lineRule="exact"/>
              <w:ind w:right="92"/>
              <w:rPr>
                <w:sz w:val="22"/>
              </w:rPr>
            </w:pPr>
            <w:r>
              <w:rPr>
                <w:sz w:val="22"/>
              </w:rPr>
              <w:t>, Timilpan</w:t>
            </w:r>
          </w:p>
        </w:tc>
        <w:tc>
          <w:tcPr>
            <w:tcW w:w="1133" w:type="dxa"/>
          </w:tcPr>
          <w:p>
            <w:pPr>
              <w:pStyle w:val="TableParagraph"/>
              <w:ind w:left="100" w:right="110"/>
              <w:rPr>
                <w:sz w:val="22"/>
              </w:rPr>
            </w:pPr>
            <w:r>
              <w:rPr>
                <w:sz w:val="22"/>
              </w:rPr>
              <w:t>Huapang o, Timilpan</w:t>
            </w:r>
          </w:p>
        </w:tc>
        <w:tc>
          <w:tcPr>
            <w:tcW w:w="3687" w:type="dxa"/>
          </w:tcPr>
          <w:p>
            <w:pPr>
              <w:pStyle w:val="TableParagraph"/>
              <w:ind w:right="100"/>
              <w:jc w:val="both"/>
              <w:rPr>
                <w:sz w:val="22"/>
              </w:rPr>
            </w:pPr>
            <w:r>
              <w:rPr>
                <w:sz w:val="22"/>
              </w:rPr>
              <w:t>Sí se requiere un reglamento intermunicipal, pero sería difícil ponernos de acuerdo por los conflictos que hay entre algunos municipios.</w:t>
            </w:r>
          </w:p>
        </w:tc>
      </w:tr>
      <w:tr>
        <w:trPr>
          <w:trHeight w:val="266" w:hRule="exact"/>
        </w:trPr>
        <w:tc>
          <w:tcPr>
            <w:tcW w:w="1385" w:type="dxa"/>
            <w:tcBorders>
              <w:bottom w:val="nil"/>
            </w:tcBorders>
          </w:tcPr>
          <w:p>
            <w:pPr>
              <w:pStyle w:val="TableParagraph"/>
              <w:spacing w:line="251" w:lineRule="exact"/>
              <w:ind w:right="127"/>
              <w:rPr>
                <w:sz w:val="22"/>
              </w:rPr>
            </w:pPr>
            <w:r>
              <w:rPr>
                <w:sz w:val="22"/>
              </w:rPr>
              <w:t>Francisco</w:t>
            </w:r>
          </w:p>
        </w:tc>
        <w:tc>
          <w:tcPr>
            <w:tcW w:w="1418" w:type="dxa"/>
            <w:tcBorders>
              <w:bottom w:val="nil"/>
            </w:tcBorders>
          </w:tcPr>
          <w:p>
            <w:pPr>
              <w:pStyle w:val="TableParagraph"/>
              <w:spacing w:line="251" w:lineRule="exact"/>
              <w:ind w:left="100" w:right="101"/>
              <w:rPr>
                <w:sz w:val="22"/>
              </w:rPr>
            </w:pPr>
            <w:r>
              <w:rPr>
                <w:sz w:val="22"/>
              </w:rPr>
              <w:t>Comisariad</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Aldama</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3687" w:type="dxa"/>
            <w:tcBorders>
              <w:bottom w:val="nil"/>
            </w:tcBorders>
          </w:tcPr>
          <w:p>
            <w:pPr>
              <w:pStyle w:val="TableParagraph"/>
              <w:spacing w:line="251" w:lineRule="exact"/>
              <w:rPr>
                <w:sz w:val="22"/>
              </w:rPr>
            </w:pPr>
            <w:r>
              <w:rPr>
                <w:sz w:val="22"/>
              </w:rPr>
              <w:t>Considero   importante   que exista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Reyes</w:t>
            </w:r>
          </w:p>
        </w:tc>
        <w:tc>
          <w:tcPr>
            <w:tcW w:w="1418" w:type="dxa"/>
            <w:tcBorders>
              <w:top w:val="nil"/>
              <w:bottom w:val="nil"/>
            </w:tcBorders>
          </w:tcPr>
          <w:p>
            <w:pPr>
              <w:pStyle w:val="TableParagraph"/>
              <w:tabs>
                <w:tab w:pos="438" w:val="left" w:leader="none"/>
                <w:tab w:pos="1191" w:val="left" w:leader="none"/>
              </w:tabs>
              <w:spacing w:line="241" w:lineRule="exact"/>
              <w:ind w:left="100"/>
              <w:rPr>
                <w:sz w:val="22"/>
              </w:rPr>
            </w:pPr>
            <w:r>
              <w:rPr>
                <w:sz w:val="22"/>
              </w:rPr>
              <w:t>o</w:t>
              <w:tab/>
              <w:t>Ejidal</w:t>
              <w:tab/>
              <w:t>y</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3687" w:type="dxa"/>
            <w:tcBorders>
              <w:top w:val="nil"/>
              <w:bottom w:val="nil"/>
            </w:tcBorders>
          </w:tcPr>
          <w:p>
            <w:pPr>
              <w:pStyle w:val="TableParagraph"/>
              <w:spacing w:line="241" w:lineRule="exact"/>
              <w:rPr>
                <w:sz w:val="22"/>
              </w:rPr>
            </w:pPr>
            <w:r>
              <w:rPr>
                <w:sz w:val="22"/>
              </w:rPr>
              <w:t>un  reglamento  intermunicipal para</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Huitrón</w:t>
            </w:r>
          </w:p>
        </w:tc>
        <w:tc>
          <w:tcPr>
            <w:tcW w:w="1418" w:type="dxa"/>
            <w:tcBorders>
              <w:top w:val="nil"/>
              <w:bottom w:val="nil"/>
            </w:tcBorders>
          </w:tcPr>
          <w:p>
            <w:pPr>
              <w:pStyle w:val="TableParagraph"/>
              <w:spacing w:line="243" w:lineRule="exact"/>
              <w:ind w:left="100" w:right="101"/>
              <w:rPr>
                <w:sz w:val="22"/>
              </w:rPr>
            </w:pPr>
            <w:r>
              <w:rPr>
                <w:sz w:val="22"/>
              </w:rPr>
              <w:t>Subdirector</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3" w:lineRule="exact"/>
              <w:ind w:left="100" w:right="52"/>
              <w:rPr>
                <w:sz w:val="22"/>
              </w:rPr>
            </w:pPr>
            <w:r>
              <w:rPr>
                <w:sz w:val="22"/>
              </w:rPr>
              <w:t>Jilotepec</w:t>
            </w:r>
          </w:p>
        </w:tc>
        <w:tc>
          <w:tcPr>
            <w:tcW w:w="3687" w:type="dxa"/>
            <w:tcBorders>
              <w:top w:val="nil"/>
              <w:bottom w:val="nil"/>
            </w:tcBorders>
          </w:tcPr>
          <w:p>
            <w:pPr>
              <w:pStyle w:val="TableParagraph"/>
              <w:spacing w:line="243" w:lineRule="exact"/>
              <w:rPr>
                <w:sz w:val="22"/>
              </w:rPr>
            </w:pPr>
            <w:r>
              <w:rPr>
                <w:sz w:val="22"/>
              </w:rPr>
              <w:t>el   uso   de   la   laguna   porque la</w:t>
            </w:r>
          </w:p>
        </w:tc>
      </w:tr>
      <w:tr>
        <w:trPr>
          <w:trHeight w:val="253" w:hRule="exact"/>
        </w:trPr>
        <w:tc>
          <w:tcPr>
            <w:tcW w:w="1385" w:type="dxa"/>
            <w:tcBorders>
              <w:top w:val="nil"/>
              <w:bottom w:val="nil"/>
            </w:tcBorders>
          </w:tcPr>
          <w:p>
            <w:pPr>
              <w:pStyle w:val="TableParagraph"/>
              <w:spacing w:line="241" w:lineRule="exact"/>
              <w:rPr>
                <w:sz w:val="22"/>
              </w:rPr>
            </w:pPr>
            <w:r>
              <w:rPr>
                <w:sz w:val="22"/>
              </w:rPr>
              <w:t>(17/7/2014)</w:t>
            </w:r>
          </w:p>
        </w:tc>
        <w:tc>
          <w:tcPr>
            <w:tcW w:w="1418" w:type="dxa"/>
            <w:tcBorders>
              <w:top w:val="nil"/>
              <w:bottom w:val="nil"/>
            </w:tcBorders>
          </w:tcPr>
          <w:p>
            <w:pPr>
              <w:pStyle w:val="TableParagraph"/>
              <w:spacing w:line="241" w:lineRule="exact"/>
              <w:ind w:left="100" w:right="101"/>
              <w:rPr>
                <w:sz w:val="22"/>
              </w:rPr>
            </w:pPr>
            <w:r>
              <w:rPr>
                <w:sz w:val="22"/>
              </w:rPr>
              <w:t>de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pesca es indiscriminada, en Aculco</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Participació</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ponen  sus  tumbos  y  por ejemplo</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Pr>
                <w:sz w:val="22"/>
              </w:rPr>
            </w:pPr>
            <w:r>
              <w:rPr>
                <w:w w:val="100"/>
                <w:sz w:val="22"/>
              </w:rPr>
              <w:t>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Erasmo  se hizo  rico  y por  eso en</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Ciudadana</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tabs>
                <w:tab w:pos="688" w:val="left" w:leader="none"/>
                <w:tab w:pos="1503" w:val="left" w:leader="none"/>
                <w:tab w:pos="2098" w:val="left" w:leader="none"/>
                <w:tab w:pos="2804" w:val="left" w:leader="none"/>
              </w:tabs>
              <w:spacing w:line="241" w:lineRule="exact"/>
              <w:rPr>
                <w:sz w:val="22"/>
              </w:rPr>
            </w:pPr>
            <w:r>
              <w:rPr>
                <w:sz w:val="22"/>
              </w:rPr>
              <w:t>mi</w:t>
              <w:tab/>
              <w:t>ejido</w:t>
              <w:tab/>
              <w:t>no</w:t>
              <w:tab/>
              <w:t>hay</w:t>
              <w:tab/>
              <w:t>muchas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Pr>
                <w:sz w:val="22"/>
              </w:rPr>
            </w:pPr>
            <w:r>
              <w:rPr>
                <w:sz w:val="22"/>
              </w:rPr>
              <w:t>y  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cooperativas  porque  mejor  tienen</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tabs>
                <w:tab w:pos="1132" w:val="left" w:leader="none"/>
              </w:tabs>
              <w:spacing w:line="241" w:lineRule="exact"/>
              <w:ind w:left="100"/>
              <w:rPr>
                <w:sz w:val="22"/>
              </w:rPr>
            </w:pPr>
            <w:r>
              <w:rPr>
                <w:sz w:val="22"/>
              </w:rPr>
              <w:t>en</w:t>
              <w:tab/>
              <w:t>el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peces en sus bordos.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municipio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Style w:val="TableParagraph"/>
              <w:spacing w:line="241" w:lineRule="exact"/>
              <w:ind w:left="100"/>
              <w:rPr>
                <w:sz w:val="22"/>
              </w:rPr>
            </w:pPr>
            <w:r>
              <w:rPr>
                <w:sz w:val="22"/>
              </w:rPr>
              <w:t>de Jilotepec</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Cipriano</w:t>
            </w:r>
          </w:p>
        </w:tc>
        <w:tc>
          <w:tcPr>
            <w:tcW w:w="1418" w:type="dxa"/>
            <w:tcBorders>
              <w:bottom w:val="nil"/>
            </w:tcBorders>
          </w:tcPr>
          <w:p>
            <w:pPr>
              <w:pStyle w:val="TableParagraph"/>
              <w:ind w:left="151" w:right="101"/>
              <w:rPr>
                <w:sz w:val="22"/>
              </w:rPr>
            </w:pPr>
            <w:r>
              <w:rPr>
                <w:sz w:val="22"/>
              </w:rPr>
              <w:t>Agricultor y</w:t>
            </w:r>
          </w:p>
        </w:tc>
        <w:tc>
          <w:tcPr>
            <w:tcW w:w="1417" w:type="dxa"/>
            <w:tcBorders>
              <w:bottom w:val="nil"/>
            </w:tcBorders>
          </w:tcPr>
          <w:p>
            <w:pPr>
              <w:pStyle w:val="TableParagraph"/>
              <w:ind w:left="100"/>
              <w:rPr>
                <w:sz w:val="22"/>
              </w:rPr>
            </w:pPr>
            <w:r>
              <w:rPr>
                <w:sz w:val="22"/>
              </w:rPr>
              <w:t>Comisariad</w:t>
            </w:r>
          </w:p>
        </w:tc>
        <w:tc>
          <w:tcPr>
            <w:tcW w:w="1560" w:type="dxa"/>
            <w:tcBorders>
              <w:bottom w:val="nil"/>
            </w:tcBorders>
          </w:tcPr>
          <w:p>
            <w:pPr>
              <w:pStyle w:val="TableParagraph"/>
              <w:ind w:right="143"/>
              <w:rPr>
                <w:sz w:val="22"/>
              </w:rPr>
            </w:pPr>
            <w:r>
              <w:rPr>
                <w:sz w:val="22"/>
              </w:rPr>
              <w:t>San Martín</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San</w:t>
            </w:r>
          </w:p>
        </w:tc>
        <w:tc>
          <w:tcPr>
            <w:tcW w:w="1133" w:type="dxa"/>
            <w:tcBorders>
              <w:bottom w:val="nil"/>
            </w:tcBorders>
          </w:tcPr>
          <w:p>
            <w:pPr>
              <w:pStyle w:val="TableParagraph"/>
              <w:ind w:left="100" w:right="52"/>
              <w:rPr>
                <w:sz w:val="22"/>
              </w:rPr>
            </w:pPr>
            <w:r>
              <w:rPr>
                <w:sz w:val="22"/>
              </w:rPr>
              <w:t>San</w:t>
            </w:r>
          </w:p>
        </w:tc>
        <w:tc>
          <w:tcPr>
            <w:tcW w:w="3687" w:type="dxa"/>
            <w:tcBorders>
              <w:bottom w:val="nil"/>
            </w:tcBorders>
          </w:tcPr>
          <w:p>
            <w:pPr>
              <w:pStyle w:val="TableParagraph"/>
              <w:rPr>
                <w:sz w:val="22"/>
              </w:rPr>
            </w:pPr>
            <w:r>
              <w:rPr>
                <w:sz w:val="22"/>
              </w:rPr>
              <w:t>Tampoco   lo   sé   porque   estaría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Matías</w:t>
            </w:r>
          </w:p>
        </w:tc>
        <w:tc>
          <w:tcPr>
            <w:tcW w:w="1418" w:type="dxa"/>
            <w:tcBorders>
              <w:top w:val="nil"/>
              <w:bottom w:val="nil"/>
            </w:tcBorders>
          </w:tcPr>
          <w:p>
            <w:pPr>
              <w:pStyle w:val="TableParagraph"/>
              <w:spacing w:line="241" w:lineRule="exact"/>
              <w:ind w:left="102" w:right="104"/>
              <w:jc w:val="center"/>
              <w:rPr>
                <w:sz w:val="22"/>
              </w:rPr>
            </w:pPr>
            <w:r>
              <w:rPr>
                <w:sz w:val="22"/>
              </w:rPr>
              <w:t>la</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Martín,</w:t>
            </w:r>
          </w:p>
        </w:tc>
        <w:tc>
          <w:tcPr>
            <w:tcW w:w="1133" w:type="dxa"/>
            <w:tcBorders>
              <w:top w:val="nil"/>
              <w:bottom w:val="nil"/>
            </w:tcBorders>
          </w:tcPr>
          <w:p>
            <w:pPr>
              <w:pStyle w:val="TableParagraph"/>
              <w:spacing w:line="241" w:lineRule="exact"/>
              <w:ind w:left="100" w:right="52"/>
              <w:rPr>
                <w:sz w:val="22"/>
              </w:rPr>
            </w:pPr>
            <w:r>
              <w:rPr>
                <w:sz w:val="22"/>
              </w:rPr>
              <w:t>Martín,</w:t>
            </w:r>
          </w:p>
        </w:tc>
        <w:tc>
          <w:tcPr>
            <w:tcW w:w="3687" w:type="dxa"/>
            <w:tcBorders>
              <w:top w:val="nil"/>
              <w:bottom w:val="nil"/>
            </w:tcBorders>
          </w:tcPr>
          <w:p>
            <w:pPr>
              <w:pStyle w:val="TableParagraph"/>
              <w:spacing w:line="241" w:lineRule="exact"/>
              <w:rPr>
                <w:sz w:val="22"/>
              </w:rPr>
            </w:pPr>
            <w:r>
              <w:rPr>
                <w:sz w:val="22"/>
              </w:rPr>
              <w:t>viendo  que  tanto  al  municipio   le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Juan</w:t>
            </w:r>
          </w:p>
        </w:tc>
        <w:tc>
          <w:tcPr>
            <w:tcW w:w="1418" w:type="dxa"/>
            <w:tcBorders>
              <w:top w:val="nil"/>
              <w:bottom w:val="nil"/>
            </w:tcBorders>
          </w:tcPr>
          <w:p>
            <w:pPr>
              <w:pStyle w:val="TableParagraph"/>
              <w:spacing w:line="241" w:lineRule="exact"/>
              <w:ind w:left="144" w:right="101"/>
              <w:rPr>
                <w:sz w:val="22"/>
              </w:rPr>
            </w:pPr>
            <w:r>
              <w:rPr>
                <w:sz w:val="22"/>
              </w:rPr>
              <w:t>construcció</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3687" w:type="dxa"/>
            <w:tcBorders>
              <w:top w:val="nil"/>
              <w:bottom w:val="nil"/>
            </w:tcBorders>
          </w:tcPr>
          <w:p>
            <w:pPr>
              <w:pStyle w:val="TableParagraph"/>
              <w:tabs>
                <w:tab w:pos="916" w:val="left" w:leader="none"/>
                <w:tab w:pos="1986" w:val="left" w:leader="none"/>
                <w:tab w:pos="2357" w:val="left" w:leader="none"/>
                <w:tab w:pos="3403" w:val="left" w:leader="none"/>
              </w:tabs>
              <w:spacing w:line="241" w:lineRule="exact"/>
              <w:rPr>
                <w:sz w:val="22"/>
              </w:rPr>
            </w:pPr>
            <w:r>
              <w:rPr>
                <w:sz w:val="22"/>
              </w:rPr>
              <w:t>pueda</w:t>
              <w:tab/>
              <w:t>importar,</w:t>
              <w:tab/>
              <w:t>le</w:t>
              <w:tab/>
              <w:t>compete</w:t>
              <w:tab/>
              <w:t>al</w:t>
            </w:r>
          </w:p>
        </w:tc>
      </w:tr>
      <w:tr>
        <w:trPr>
          <w:trHeight w:val="249" w:hRule="exact"/>
        </w:trPr>
        <w:tc>
          <w:tcPr>
            <w:tcW w:w="1385" w:type="dxa"/>
            <w:tcBorders>
              <w:top w:val="nil"/>
            </w:tcBorders>
          </w:tcPr>
          <w:p>
            <w:pPr>
              <w:pStyle w:val="TableParagraph"/>
              <w:spacing w:line="242" w:lineRule="exact"/>
              <w:ind w:right="127"/>
              <w:rPr>
                <w:sz w:val="22"/>
              </w:rPr>
            </w:pPr>
            <w:r>
              <w:rPr>
                <w:sz w:val="22"/>
              </w:rPr>
              <w:t>(2/8/2014)</w:t>
            </w:r>
          </w:p>
        </w:tc>
        <w:tc>
          <w:tcPr>
            <w:tcW w:w="1418" w:type="dxa"/>
            <w:tcBorders>
              <w:top w:val="nil"/>
            </w:tcBorders>
          </w:tcPr>
          <w:p>
            <w:pPr>
              <w:pStyle w:val="TableParagraph"/>
              <w:spacing w:line="242" w:lineRule="exact"/>
              <w:ind w:left="0" w:right="2"/>
              <w:jc w:val="center"/>
              <w:rPr>
                <w:sz w:val="22"/>
              </w:rPr>
            </w:pPr>
            <w:r>
              <w:rPr>
                <w:w w:val="100"/>
                <w:sz w:val="22"/>
              </w:rPr>
              <w:t>n</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Style w:val="TableParagraph"/>
              <w:spacing w:line="242" w:lineRule="exact"/>
              <w:rPr>
                <w:sz w:val="22"/>
              </w:rPr>
            </w:pPr>
            <w:r>
              <w:rPr>
                <w:sz w:val="22"/>
              </w:rPr>
              <w:t>municipio.</w:t>
            </w:r>
          </w:p>
        </w:tc>
      </w:tr>
      <w:tr>
        <w:trPr>
          <w:trHeight w:val="267" w:hRule="exact"/>
        </w:trPr>
        <w:tc>
          <w:tcPr>
            <w:tcW w:w="1385" w:type="dxa"/>
            <w:tcBorders>
              <w:bottom w:val="nil"/>
            </w:tcBorders>
          </w:tcPr>
          <w:p>
            <w:pPr>
              <w:pStyle w:val="TableParagraph"/>
              <w:spacing w:line="251" w:lineRule="exact"/>
              <w:rPr>
                <w:sz w:val="22"/>
              </w:rPr>
            </w:pPr>
            <w:r>
              <w:rPr>
                <w:sz w:val="22"/>
              </w:rPr>
              <w:t>Félix</w:t>
            </w:r>
            <w:r>
              <w:rPr>
                <w:spacing w:val="53"/>
                <w:sz w:val="22"/>
              </w:rPr>
              <w:t> </w:t>
            </w:r>
            <w:r>
              <w:rPr>
                <w:sz w:val="22"/>
              </w:rPr>
              <w:t>Lucas</w:t>
            </w:r>
          </w:p>
        </w:tc>
        <w:tc>
          <w:tcPr>
            <w:tcW w:w="1418" w:type="dxa"/>
            <w:tcBorders>
              <w:bottom w:val="nil"/>
            </w:tcBorders>
          </w:tcPr>
          <w:p>
            <w:pPr>
              <w:pStyle w:val="TableParagraph"/>
              <w:spacing w:line="251" w:lineRule="exact"/>
              <w:ind w:left="156" w:right="101"/>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El Ejido de</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El</w:t>
            </w:r>
          </w:p>
        </w:tc>
        <w:tc>
          <w:tcPr>
            <w:tcW w:w="3687" w:type="dxa"/>
            <w:tcBorders>
              <w:bottom w:val="nil"/>
            </w:tcBorders>
          </w:tcPr>
          <w:p>
            <w:pPr>
              <w:pStyle w:val="TableParagraph"/>
              <w:tabs>
                <w:tab w:pos="971" w:val="left" w:leader="none"/>
                <w:tab w:pos="1887" w:val="left" w:leader="none"/>
                <w:tab w:pos="2472" w:val="left" w:leader="none"/>
              </w:tabs>
              <w:spacing w:line="251" w:lineRule="exact"/>
              <w:rPr>
                <w:sz w:val="22"/>
              </w:rPr>
            </w:pPr>
            <w:r>
              <w:rPr>
                <w:sz w:val="22"/>
              </w:rPr>
              <w:t>Debe</w:t>
              <w:tab/>
              <w:t>existir</w:t>
              <w:tab/>
              <w:t>un</w:t>
              <w:tab/>
              <w:t>reglamento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Pablo</w:t>
            </w:r>
          </w:p>
        </w:tc>
        <w:tc>
          <w:tcPr>
            <w:tcW w:w="1418" w:type="dxa"/>
            <w:tcBorders>
              <w:top w:val="nil"/>
              <w:bottom w:val="nil"/>
            </w:tcBorders>
          </w:tcPr>
          <w:p>
            <w:pPr>
              <w:pStyle w:val="TableParagraph"/>
              <w:spacing w:line="242" w:lineRule="exact"/>
              <w:ind w:left="102" w:right="104"/>
              <w:jc w:val="center"/>
              <w:rPr>
                <w:sz w:val="22"/>
              </w:rPr>
            </w:pPr>
            <w:r>
              <w:rPr>
                <w:sz w:val="22"/>
              </w:rPr>
              <w:t>la</w:t>
            </w:r>
          </w:p>
        </w:tc>
        <w:tc>
          <w:tcPr>
            <w:tcW w:w="1417" w:type="dxa"/>
            <w:tcBorders>
              <w:top w:val="nil"/>
              <w:bottom w:val="nil"/>
            </w:tcBorders>
          </w:tcPr>
          <w:p>
            <w:pPr>
              <w:pStyle w:val="TableParagraph"/>
              <w:spacing w:line="242" w:lineRule="exact"/>
              <w:ind w:left="100"/>
              <w:rPr>
                <w:sz w:val="22"/>
              </w:rPr>
            </w:pPr>
            <w:r>
              <w:rPr>
                <w:sz w:val="22"/>
              </w:rPr>
              <w:t>o Ejidal</w:t>
            </w:r>
          </w:p>
        </w:tc>
        <w:tc>
          <w:tcPr>
            <w:tcW w:w="1560" w:type="dxa"/>
            <w:tcBorders>
              <w:top w:val="nil"/>
              <w:bottom w:val="nil"/>
            </w:tcBorders>
          </w:tcPr>
          <w:p>
            <w:pPr>
              <w:pStyle w:val="TableParagraph"/>
              <w:spacing w:line="242" w:lineRule="exact"/>
              <w:ind w:right="143"/>
              <w:rPr>
                <w:sz w:val="22"/>
              </w:rPr>
            </w:pPr>
            <w:r>
              <w:rPr>
                <w:sz w:val="22"/>
              </w:rPr>
              <w:t>Timilpan se</w:t>
            </w:r>
          </w:p>
        </w:tc>
        <w:tc>
          <w:tcPr>
            <w:tcW w:w="991" w:type="dxa"/>
            <w:tcBorders>
              <w:top w:val="nil"/>
              <w:bottom w:val="nil"/>
            </w:tcBorders>
          </w:tcPr>
          <w:p>
            <w:pPr>
              <w:pStyle w:val="TableParagraph"/>
              <w:spacing w:line="242" w:lineRule="exact"/>
              <w:ind w:left="100"/>
              <w:rPr>
                <w:sz w:val="22"/>
              </w:rPr>
            </w:pPr>
            <w:r>
              <w:rPr>
                <w:sz w:val="22"/>
              </w:rPr>
              <w:t>ay,</w:t>
            </w:r>
          </w:p>
        </w:tc>
        <w:tc>
          <w:tcPr>
            <w:tcW w:w="1277" w:type="dxa"/>
            <w:tcBorders>
              <w:top w:val="nil"/>
              <w:bottom w:val="nil"/>
            </w:tcBorders>
          </w:tcPr>
          <w:p>
            <w:pPr>
              <w:pStyle w:val="TableParagraph"/>
              <w:spacing w:line="242" w:lineRule="exact"/>
              <w:ind w:right="92"/>
              <w:rPr>
                <w:sz w:val="22"/>
              </w:rPr>
            </w:pPr>
            <w:r>
              <w:rPr>
                <w:sz w:val="22"/>
              </w:rPr>
              <w:t>Andrés,</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3687" w:type="dxa"/>
            <w:tcBorders>
              <w:top w:val="nil"/>
              <w:bottom w:val="nil"/>
            </w:tcBorders>
          </w:tcPr>
          <w:p>
            <w:pPr>
              <w:pStyle w:val="TableParagraph"/>
              <w:spacing w:line="242" w:lineRule="exact"/>
              <w:rPr>
                <w:sz w:val="22"/>
              </w:rPr>
            </w:pPr>
            <w:r>
              <w:rPr>
                <w:sz w:val="22"/>
              </w:rPr>
              <w:t>intermunicipal  para  el  uso  de   la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(3/8/2014)</w:t>
            </w:r>
          </w:p>
        </w:tc>
        <w:tc>
          <w:tcPr>
            <w:tcW w:w="1418" w:type="dxa"/>
            <w:tcBorders>
              <w:top w:val="nil"/>
              <w:bottom w:val="nil"/>
            </w:tcBorders>
          </w:tcPr>
          <w:p>
            <w:pPr>
              <w:pStyle w:val="TableParagraph"/>
              <w:spacing w:line="241" w:lineRule="exact"/>
              <w:ind w:left="199" w:right="101"/>
              <w:rPr>
                <w:sz w:val="22"/>
              </w:rPr>
            </w:pPr>
            <w:r>
              <w:rPr>
                <w:sz w:val="22"/>
              </w:rPr>
              <w:t>Comisaría</w:t>
            </w: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18"/>
              <w:rPr>
                <w:sz w:val="22"/>
              </w:rPr>
            </w:pPr>
            <w:r>
              <w:rPr>
                <w:sz w:val="22"/>
              </w:rPr>
              <w:t>compone de:</w:t>
            </w:r>
          </w:p>
        </w:tc>
        <w:tc>
          <w:tcPr>
            <w:tcW w:w="991" w:type="dxa"/>
            <w:tcBorders>
              <w:top w:val="nil"/>
              <w:bottom w:val="nil"/>
            </w:tcBorders>
          </w:tcPr>
          <w:p>
            <w:pPr>
              <w:pStyle w:val="TableParagraph"/>
              <w:spacing w:line="241" w:lineRule="exact"/>
              <w:ind w:left="100"/>
              <w:rPr>
                <w:sz w:val="22"/>
              </w:rPr>
            </w:pPr>
            <w:r>
              <w:rPr>
                <w:sz w:val="22"/>
              </w:rPr>
              <w:t>Aculco</w:t>
            </w: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3687" w:type="dxa"/>
            <w:tcBorders>
              <w:top w:val="nil"/>
              <w:bottom w:val="nil"/>
            </w:tcBorders>
          </w:tcPr>
          <w:p>
            <w:pPr>
              <w:pStyle w:val="TableParagraph"/>
              <w:spacing w:line="241" w:lineRule="exact"/>
              <w:rPr>
                <w:sz w:val="22"/>
              </w:rPr>
            </w:pPr>
            <w:r>
              <w:rPr>
                <w:sz w:val="22"/>
              </w:rPr>
              <w:t>laguna y debemos de pensar    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El Azafrán</w:t>
            </w:r>
          </w:p>
        </w:tc>
        <w:tc>
          <w:tcPr>
            <w:tcW w:w="991" w:type="dxa"/>
            <w:tcBorders>
              <w:top w:val="nil"/>
              <w:bottom w:val="nil"/>
            </w:tcBorders>
          </w:tcPr>
          <w:p>
            <w:pPr>
              <w:pStyle w:val="TableParagraph"/>
              <w:spacing w:line="242" w:lineRule="exact"/>
              <w:ind w:left="100"/>
              <w:rPr>
                <w:sz w:val="22"/>
              </w:rPr>
            </w:pPr>
            <w:r>
              <w:rPr>
                <w:w w:val="100"/>
                <w:sz w:val="22"/>
              </w:rPr>
              <w:t>y</w:t>
            </w: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debe haber una corresponsabilidad</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18"/>
              <w:rPr>
                <w:sz w:val="22"/>
              </w:rPr>
            </w:pPr>
            <w:r>
              <w:rPr>
                <w:sz w:val="22"/>
              </w:rPr>
              <w:t>(Aculco), Los</w:t>
            </w:r>
          </w:p>
        </w:tc>
        <w:tc>
          <w:tcPr>
            <w:tcW w:w="991" w:type="dxa"/>
            <w:tcBorders>
              <w:top w:val="nil"/>
              <w:bottom w:val="nil"/>
            </w:tcBorders>
          </w:tcPr>
          <w:p>
            <w:pPr>
              <w:pStyle w:val="TableParagraph"/>
              <w:spacing w:line="241" w:lineRule="exact"/>
              <w:ind w:left="100"/>
              <w:rPr>
                <w:sz w:val="22"/>
              </w:rPr>
            </w:pPr>
            <w:r>
              <w:rPr>
                <w:sz w:val="22"/>
              </w:rPr>
              <w:t>Timilpa</w:t>
            </w: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entre El Ejido y El Municipio, ya  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Pilares</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pensar  que el  Ejido es  autónomo.</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Es necesario incrementar foros </w:t>
            </w:r>
            <w:r>
              <w:rPr>
                <w:spacing w:val="50"/>
                <w:sz w:val="22"/>
              </w:rPr>
              <w:t> </w:t>
            </w:r>
            <w:r>
              <w:rPr>
                <w:sz w:val="22"/>
              </w:rPr>
              <w:t>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Las Arenas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tabs>
                <w:tab w:pos="724" w:val="left" w:leader="none"/>
                <w:tab w:pos="1146" w:val="left" w:leader="none"/>
                <w:tab w:pos="2329" w:val="left" w:leader="none"/>
                <w:tab w:pos="3073" w:val="left" w:leader="none"/>
              </w:tabs>
              <w:spacing w:line="241" w:lineRule="exact"/>
              <w:rPr>
                <w:sz w:val="22"/>
              </w:rPr>
            </w:pPr>
            <w:r>
              <w:rPr>
                <w:sz w:val="22"/>
              </w:rPr>
              <w:t>que</w:t>
              <w:tab/>
              <w:t>el</w:t>
              <w:tab/>
              <w:t>municipio</w:t>
              <w:tab/>
              <w:t>debe</w:t>
              <w:tab/>
              <w:t>tener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funciones   de   regularizar   porque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Las Trojes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por  ejemplo  van  los  policías para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castigar   a   los   cazadores   y  les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Lomas 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dicen yo traigo mi permiso de</w:t>
            </w:r>
            <w:r>
              <w:rPr>
                <w:spacing w:val="57"/>
                <w:sz w:val="22"/>
              </w:rPr>
              <w:t> </w:t>
            </w:r>
            <w:r>
              <w:rPr>
                <w:sz w:val="22"/>
              </w:rPr>
              <w:t>caza</w:t>
            </w: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Style w:val="TableParagraph"/>
              <w:spacing w:line="241" w:lineRule="exact"/>
              <w:ind w:right="143"/>
              <w:rPr>
                <w:sz w:val="22"/>
              </w:rPr>
            </w:pPr>
            <w:r>
              <w:rPr>
                <w:sz w:val="22"/>
              </w:rPr>
              <w:t>Emiliano</w:t>
            </w: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Style w:val="TableParagraph"/>
              <w:tabs>
                <w:tab w:pos="501" w:val="left" w:leader="none"/>
                <w:tab w:pos="961" w:val="left" w:leader="none"/>
                <w:tab w:pos="1849" w:val="left" w:leader="none"/>
                <w:tab w:pos="2379" w:val="left" w:leader="none"/>
                <w:tab w:pos="3329" w:val="left" w:leader="none"/>
              </w:tabs>
              <w:spacing w:line="241" w:lineRule="exact"/>
              <w:rPr>
                <w:sz w:val="22"/>
              </w:rPr>
            </w:pPr>
            <w:r>
              <w:rPr>
                <w:sz w:val="22"/>
              </w:rPr>
              <w:t>y</w:t>
              <w:tab/>
              <w:t>lo</w:t>
              <w:tab/>
              <w:t>hacen</w:t>
              <w:tab/>
              <w:t>en</w:t>
              <w:tab/>
              <w:t>tiempo</w:t>
              <w:tab/>
              <w:t>de</w:t>
            </w:r>
          </w:p>
        </w:tc>
      </w:tr>
    </w:tbl>
    <w:p>
      <w:pPr>
        <w:spacing w:after="0" w:line="241" w:lineRule="exact"/>
        <w:rPr>
          <w:sz w:val="22"/>
        </w:rPr>
        <w:sectPr>
          <w:footerReference w:type="default" r:id="rId184"/>
          <w:pgSz w:w="15840" w:h="12240" w:orient="landscape"/>
          <w:pgMar w:footer="943" w:header="0" w:top="1140" w:bottom="1140" w:left="1200" w:right="1300"/>
          <w:pgNumType w:start="2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6589" w:hRule="exact"/>
        </w:trPr>
        <w:tc>
          <w:tcPr>
            <w:tcW w:w="1385" w:type="dxa"/>
          </w:tcPr>
          <w:p>
            <w:pPr/>
          </w:p>
        </w:tc>
        <w:tc>
          <w:tcPr>
            <w:tcW w:w="1418" w:type="dxa"/>
          </w:tcPr>
          <w:p>
            <w:pPr/>
          </w:p>
        </w:tc>
        <w:tc>
          <w:tcPr>
            <w:tcW w:w="1417" w:type="dxa"/>
          </w:tcPr>
          <w:p>
            <w:pPr/>
          </w:p>
        </w:tc>
        <w:tc>
          <w:tcPr>
            <w:tcW w:w="1560" w:type="dxa"/>
          </w:tcPr>
          <w:p>
            <w:pPr>
              <w:pStyle w:val="TableParagraph"/>
              <w:ind w:right="134"/>
              <w:rPr>
                <w:sz w:val="22"/>
              </w:rPr>
            </w:pPr>
            <w:r>
              <w:rPr>
                <w:sz w:val="22"/>
              </w:rPr>
              <w:t>Zapata (Timilpan), La Campesina (Timilpan), Pueblo de Zaragoza (Timilpan), Barrio de Morelos (Timilpan), Montes de Bucio (Timilpan), pero hay un conflicto social porque desde 1958 se dividió El Ejido y una parte lo tiene Santa María Las Arenas, aunque esa parte está en conflicto.</w:t>
            </w:r>
          </w:p>
        </w:tc>
        <w:tc>
          <w:tcPr>
            <w:tcW w:w="991" w:type="dxa"/>
          </w:tcPr>
          <w:p>
            <w:pPr/>
          </w:p>
        </w:tc>
        <w:tc>
          <w:tcPr>
            <w:tcW w:w="1277" w:type="dxa"/>
          </w:tcPr>
          <w:p>
            <w:pPr/>
          </w:p>
        </w:tc>
        <w:tc>
          <w:tcPr>
            <w:tcW w:w="1133" w:type="dxa"/>
          </w:tcPr>
          <w:p>
            <w:pPr/>
          </w:p>
        </w:tc>
        <w:tc>
          <w:tcPr>
            <w:tcW w:w="3687" w:type="dxa"/>
          </w:tcPr>
          <w:p>
            <w:pPr>
              <w:pStyle w:val="TableParagraph"/>
              <w:ind w:right="100"/>
              <w:jc w:val="both"/>
              <w:rPr>
                <w:sz w:val="22"/>
              </w:rPr>
            </w:pPr>
            <w:r>
              <w:rPr>
                <w:sz w:val="22"/>
              </w:rPr>
              <w:t>reproducción de los animales, cosa que en Estados Unidos está prohibido.</w:t>
            </w:r>
          </w:p>
        </w:tc>
      </w:tr>
      <w:tr>
        <w:trPr>
          <w:trHeight w:val="1527" w:hRule="exact"/>
        </w:trPr>
        <w:tc>
          <w:tcPr>
            <w:tcW w:w="1385" w:type="dxa"/>
          </w:tcPr>
          <w:p>
            <w:pPr>
              <w:pStyle w:val="TableParagraph"/>
              <w:ind w:right="249"/>
              <w:rPr>
                <w:sz w:val="22"/>
              </w:rPr>
            </w:pPr>
            <w:r>
              <w:rPr>
                <w:sz w:val="22"/>
              </w:rPr>
              <w:t>José Antonio Martínez García (4/9/2014)</w:t>
            </w:r>
          </w:p>
        </w:tc>
        <w:tc>
          <w:tcPr>
            <w:tcW w:w="1418" w:type="dxa"/>
          </w:tcPr>
          <w:p>
            <w:pPr>
              <w:pStyle w:val="TableParagraph"/>
              <w:ind w:left="156" w:right="159"/>
              <w:jc w:val="center"/>
              <w:rPr>
                <w:sz w:val="22"/>
              </w:rPr>
            </w:pPr>
            <w:r>
              <w:rPr>
                <w:sz w:val="22"/>
              </w:rPr>
              <w:t>El campo y</w:t>
            </w:r>
            <w:r>
              <w:rPr>
                <w:w w:val="100"/>
                <w:sz w:val="22"/>
              </w:rPr>
              <w:t> </w:t>
            </w:r>
            <w:r>
              <w:rPr>
                <w:sz w:val="22"/>
              </w:rPr>
              <w:t>la     ganadería</w:t>
            </w:r>
          </w:p>
        </w:tc>
        <w:tc>
          <w:tcPr>
            <w:tcW w:w="1417" w:type="dxa"/>
          </w:tcPr>
          <w:p>
            <w:pPr>
              <w:pStyle w:val="TableParagraph"/>
              <w:spacing w:line="252" w:lineRule="exact" w:before="2"/>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Ruano</w:t>
            </w:r>
          </w:p>
        </w:tc>
        <w:tc>
          <w:tcPr>
            <w:tcW w:w="991" w:type="dxa"/>
          </w:tcPr>
          <w:p>
            <w:pPr>
              <w:pStyle w:val="TableParagraph"/>
              <w:spacing w:line="252" w:lineRule="exact" w:before="2"/>
              <w:ind w:left="100" w:right="201"/>
              <w:rPr>
                <w:sz w:val="22"/>
              </w:rPr>
            </w:pPr>
            <w:r>
              <w:rPr>
                <w:sz w:val="22"/>
              </w:rPr>
              <w:t>Polotitl án</w:t>
            </w:r>
          </w:p>
        </w:tc>
        <w:tc>
          <w:tcPr>
            <w:tcW w:w="1277" w:type="dxa"/>
          </w:tcPr>
          <w:p>
            <w:pPr>
              <w:pStyle w:val="TableParagraph"/>
              <w:spacing w:line="252" w:lineRule="exact" w:before="2"/>
              <w:ind w:right="239"/>
              <w:rPr>
                <w:sz w:val="22"/>
              </w:rPr>
            </w:pPr>
            <w:r>
              <w:rPr>
                <w:sz w:val="22"/>
              </w:rPr>
              <w:t>Ruano, Polotitlán</w:t>
            </w:r>
          </w:p>
        </w:tc>
        <w:tc>
          <w:tcPr>
            <w:tcW w:w="1133" w:type="dxa"/>
          </w:tcPr>
          <w:p>
            <w:pPr>
              <w:pStyle w:val="TableParagraph"/>
              <w:spacing w:line="252" w:lineRule="exact" w:before="2"/>
              <w:ind w:left="100" w:right="98"/>
              <w:rPr>
                <w:sz w:val="22"/>
              </w:rPr>
            </w:pPr>
            <w:r>
              <w:rPr>
                <w:sz w:val="22"/>
              </w:rPr>
              <w:t>Ruano, Polotitlán</w:t>
            </w:r>
          </w:p>
        </w:tc>
        <w:tc>
          <w:tcPr>
            <w:tcW w:w="3687" w:type="dxa"/>
          </w:tcPr>
          <w:p>
            <w:pPr>
              <w:pStyle w:val="TableParagraph"/>
              <w:ind w:right="100"/>
              <w:jc w:val="both"/>
              <w:rPr>
                <w:sz w:val="22"/>
              </w:rPr>
            </w:pPr>
            <w:r>
              <w:rPr>
                <w:sz w:val="22"/>
              </w:rPr>
              <w:t>Considero necesario que exista un reglamento intermunicipal para el uso de la laguna, pero que sea con la ciudadanía porque la laguna depende de la asociación civil y si intervienen otros sería política.</w:t>
            </w:r>
          </w:p>
        </w:tc>
      </w:tr>
      <w:tr>
        <w:trPr>
          <w:trHeight w:val="516" w:hRule="exact"/>
        </w:trPr>
        <w:tc>
          <w:tcPr>
            <w:tcW w:w="1385" w:type="dxa"/>
          </w:tcPr>
          <w:p>
            <w:pPr>
              <w:pStyle w:val="TableParagraph"/>
              <w:tabs>
                <w:tab w:pos="796" w:val="left" w:leader="none"/>
              </w:tabs>
              <w:spacing w:line="242" w:lineRule="auto"/>
              <w:ind w:right="98"/>
              <w:rPr>
                <w:sz w:val="22"/>
              </w:rPr>
            </w:pPr>
            <w:r>
              <w:rPr>
                <w:sz w:val="22"/>
              </w:rPr>
              <w:t>José</w:t>
              <w:tab/>
              <w:t>Juan Juárez</w:t>
            </w:r>
          </w:p>
        </w:tc>
        <w:tc>
          <w:tcPr>
            <w:tcW w:w="1418" w:type="dxa"/>
          </w:tcPr>
          <w:p>
            <w:pPr>
              <w:pStyle w:val="TableParagraph"/>
              <w:spacing w:line="242" w:lineRule="auto"/>
              <w:ind w:left="218" w:right="145" w:hanging="63"/>
              <w:rPr>
                <w:sz w:val="22"/>
              </w:rPr>
            </w:pPr>
            <w:r>
              <w:rPr>
                <w:sz w:val="22"/>
              </w:rPr>
              <w:t>El campo y empleado</w:t>
            </w:r>
          </w:p>
        </w:tc>
        <w:tc>
          <w:tcPr>
            <w:tcW w:w="1417" w:type="dxa"/>
          </w:tcPr>
          <w:p>
            <w:pPr>
              <w:pStyle w:val="TableParagraph"/>
              <w:spacing w:line="242" w:lineRule="auto"/>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Encinillas</w:t>
            </w:r>
          </w:p>
        </w:tc>
        <w:tc>
          <w:tcPr>
            <w:tcW w:w="991" w:type="dxa"/>
          </w:tcPr>
          <w:p>
            <w:pPr>
              <w:pStyle w:val="TableParagraph"/>
              <w:spacing w:line="242" w:lineRule="auto"/>
              <w:ind w:left="100" w:right="201"/>
              <w:rPr>
                <w:sz w:val="22"/>
              </w:rPr>
            </w:pPr>
            <w:r>
              <w:rPr>
                <w:sz w:val="22"/>
              </w:rPr>
              <w:t>Polotitl án</w:t>
            </w:r>
          </w:p>
        </w:tc>
        <w:tc>
          <w:tcPr>
            <w:tcW w:w="1277" w:type="dxa"/>
          </w:tcPr>
          <w:p>
            <w:pPr>
              <w:pStyle w:val="TableParagraph"/>
              <w:spacing w:line="242" w:lineRule="auto"/>
              <w:ind w:right="214"/>
              <w:rPr>
                <w:sz w:val="22"/>
              </w:rPr>
            </w:pPr>
            <w:r>
              <w:rPr>
                <w:sz w:val="22"/>
              </w:rPr>
              <w:t>San Juan del Río,</w:t>
            </w:r>
          </w:p>
        </w:tc>
        <w:tc>
          <w:tcPr>
            <w:tcW w:w="1133" w:type="dxa"/>
          </w:tcPr>
          <w:p>
            <w:pPr>
              <w:pStyle w:val="TableParagraph"/>
              <w:spacing w:line="242" w:lineRule="auto"/>
              <w:ind w:left="100" w:right="52"/>
              <w:rPr>
                <w:sz w:val="22"/>
              </w:rPr>
            </w:pPr>
            <w:r>
              <w:rPr>
                <w:sz w:val="22"/>
              </w:rPr>
              <w:t>Encinilla s,</w:t>
            </w:r>
          </w:p>
        </w:tc>
        <w:tc>
          <w:tcPr>
            <w:tcW w:w="3687" w:type="dxa"/>
          </w:tcPr>
          <w:p>
            <w:pPr>
              <w:pStyle w:val="TableParagraph"/>
              <w:spacing w:line="242" w:lineRule="auto"/>
              <w:rPr>
                <w:sz w:val="22"/>
              </w:rPr>
            </w:pPr>
            <w:r>
              <w:rPr>
                <w:sz w:val="22"/>
              </w:rPr>
              <w:t>Considero necesario que exista un reglamento   intermunicipal  porque</w:t>
            </w:r>
          </w:p>
        </w:tc>
      </w:tr>
    </w:tbl>
    <w:p>
      <w:pPr>
        <w:spacing w:after="0" w:line="242" w:lineRule="auto"/>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1022" w:hRule="exact"/>
        </w:trPr>
        <w:tc>
          <w:tcPr>
            <w:tcW w:w="1385" w:type="dxa"/>
          </w:tcPr>
          <w:p>
            <w:pPr>
              <w:pStyle w:val="TableParagraph"/>
              <w:spacing w:line="252" w:lineRule="exact" w:before="2"/>
              <w:ind w:right="249"/>
              <w:rPr>
                <w:sz w:val="22"/>
              </w:rPr>
            </w:pPr>
            <w:r>
              <w:rPr>
                <w:sz w:val="22"/>
              </w:rPr>
              <w:t>Rodriguez (4/9/2014)</w:t>
            </w:r>
          </w:p>
        </w:tc>
        <w:tc>
          <w:tcPr>
            <w:tcW w:w="1418" w:type="dxa"/>
          </w:tcPr>
          <w:p>
            <w:pPr>
              <w:pStyle w:val="TableParagraph"/>
              <w:ind w:left="127" w:right="127" w:hanging="2"/>
              <w:jc w:val="center"/>
              <w:rPr>
                <w:sz w:val="22"/>
              </w:rPr>
            </w:pPr>
            <w:r>
              <w:rPr>
                <w:sz w:val="22"/>
              </w:rPr>
              <w:t>en el Rancho Santa Rosa</w:t>
            </w:r>
          </w:p>
        </w:tc>
        <w:tc>
          <w:tcPr>
            <w:tcW w:w="1417" w:type="dxa"/>
          </w:tcPr>
          <w:p>
            <w:pPr/>
          </w:p>
        </w:tc>
        <w:tc>
          <w:tcPr>
            <w:tcW w:w="1560" w:type="dxa"/>
          </w:tcPr>
          <w:p>
            <w:pPr/>
          </w:p>
        </w:tc>
        <w:tc>
          <w:tcPr>
            <w:tcW w:w="991" w:type="dxa"/>
          </w:tcPr>
          <w:p>
            <w:pPr/>
          </w:p>
        </w:tc>
        <w:tc>
          <w:tcPr>
            <w:tcW w:w="1277" w:type="dxa"/>
          </w:tcPr>
          <w:p>
            <w:pPr>
              <w:pStyle w:val="TableParagraph"/>
              <w:spacing w:line="251" w:lineRule="exact"/>
              <w:rPr>
                <w:sz w:val="22"/>
              </w:rPr>
            </w:pPr>
            <w:r>
              <w:rPr>
                <w:sz w:val="22"/>
              </w:rPr>
              <w:t>Querétaro.</w:t>
            </w:r>
          </w:p>
        </w:tc>
        <w:tc>
          <w:tcPr>
            <w:tcW w:w="1133" w:type="dxa"/>
          </w:tcPr>
          <w:p>
            <w:pPr>
              <w:pStyle w:val="TableParagraph"/>
              <w:ind w:left="100" w:right="98"/>
              <w:rPr>
                <w:sz w:val="22"/>
              </w:rPr>
            </w:pPr>
            <w:r>
              <w:rPr>
                <w:sz w:val="22"/>
              </w:rPr>
              <w:t>Polotitlán desde hace 43 años.</w:t>
            </w:r>
          </w:p>
        </w:tc>
        <w:tc>
          <w:tcPr>
            <w:tcW w:w="3687" w:type="dxa"/>
          </w:tcPr>
          <w:p>
            <w:pPr>
              <w:pStyle w:val="TableParagraph"/>
              <w:ind w:right="100"/>
              <w:jc w:val="both"/>
              <w:rPr>
                <w:sz w:val="22"/>
              </w:rPr>
            </w:pPr>
            <w:r>
              <w:rPr>
                <w:sz w:val="22"/>
              </w:rPr>
              <w:t>es una asociación de usuarios, pero que no tiene que ver con el municipio sólo con el</w:t>
            </w:r>
            <w:r>
              <w:rPr>
                <w:spacing w:val="-10"/>
                <w:sz w:val="22"/>
              </w:rPr>
              <w:t> </w:t>
            </w:r>
            <w:r>
              <w:rPr>
                <w:sz w:val="22"/>
              </w:rPr>
              <w:t>pueblo.</w:t>
            </w:r>
          </w:p>
        </w:tc>
      </w:tr>
      <w:tr>
        <w:trPr>
          <w:trHeight w:val="768" w:hRule="exact"/>
        </w:trPr>
        <w:tc>
          <w:tcPr>
            <w:tcW w:w="1385" w:type="dxa"/>
          </w:tcPr>
          <w:p>
            <w:pPr>
              <w:pStyle w:val="TableParagraph"/>
              <w:rPr>
                <w:sz w:val="22"/>
              </w:rPr>
            </w:pPr>
            <w:r>
              <w:rPr>
                <w:sz w:val="22"/>
              </w:rPr>
              <w:t>Álvaro Ortiz Alcántara (7/II/2015)</w:t>
            </w:r>
          </w:p>
        </w:tc>
        <w:tc>
          <w:tcPr>
            <w:tcW w:w="1418" w:type="dxa"/>
          </w:tcPr>
          <w:p>
            <w:pPr>
              <w:pStyle w:val="TableParagraph"/>
              <w:spacing w:line="251" w:lineRule="exact"/>
              <w:ind w:left="242" w:right="101"/>
              <w:rPr>
                <w:sz w:val="22"/>
              </w:rPr>
            </w:pPr>
            <w:r>
              <w:rPr>
                <w:sz w:val="22"/>
              </w:rPr>
              <w:t>El campo</w:t>
            </w:r>
          </w:p>
        </w:tc>
        <w:tc>
          <w:tcPr>
            <w:tcW w:w="1417" w:type="dxa"/>
          </w:tcPr>
          <w:p>
            <w:pPr>
              <w:pStyle w:val="TableParagraph"/>
              <w:spacing w:line="252" w:lineRule="exact" w:before="2"/>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San Juanico</w:t>
            </w:r>
          </w:p>
        </w:tc>
        <w:tc>
          <w:tcPr>
            <w:tcW w:w="991" w:type="dxa"/>
          </w:tcPr>
          <w:p>
            <w:pPr>
              <w:pStyle w:val="TableParagraph"/>
              <w:spacing w:line="252" w:lineRule="exact" w:before="2"/>
              <w:ind w:left="100" w:right="176"/>
              <w:rPr>
                <w:sz w:val="22"/>
              </w:rPr>
            </w:pPr>
            <w:r>
              <w:rPr>
                <w:sz w:val="22"/>
              </w:rPr>
              <w:t>Acamb ay</w:t>
            </w:r>
          </w:p>
        </w:tc>
        <w:tc>
          <w:tcPr>
            <w:tcW w:w="1277" w:type="dxa"/>
          </w:tcPr>
          <w:p>
            <w:pPr>
              <w:pStyle w:val="TableParagraph"/>
              <w:ind w:right="227"/>
              <w:rPr>
                <w:sz w:val="22"/>
              </w:rPr>
            </w:pPr>
            <w:r>
              <w:rPr>
                <w:sz w:val="22"/>
              </w:rPr>
              <w:t>San Juanico, Acambay</w:t>
            </w:r>
          </w:p>
        </w:tc>
        <w:tc>
          <w:tcPr>
            <w:tcW w:w="1133" w:type="dxa"/>
          </w:tcPr>
          <w:p>
            <w:pPr>
              <w:pStyle w:val="TableParagraph"/>
              <w:ind w:left="100" w:right="86"/>
              <w:rPr>
                <w:sz w:val="22"/>
              </w:rPr>
            </w:pPr>
            <w:r>
              <w:rPr>
                <w:sz w:val="22"/>
              </w:rPr>
              <w:t>San Juanico, Acambay</w:t>
            </w:r>
          </w:p>
        </w:tc>
        <w:tc>
          <w:tcPr>
            <w:tcW w:w="3687" w:type="dxa"/>
          </w:tcPr>
          <w:p>
            <w:pPr>
              <w:pStyle w:val="TableParagraph"/>
              <w:ind w:right="100"/>
              <w:jc w:val="both"/>
              <w:rPr>
                <w:sz w:val="22"/>
              </w:rPr>
            </w:pPr>
            <w:r>
              <w:rPr>
                <w:sz w:val="22"/>
              </w:rPr>
              <w:t>Pues desde hace años que dicen que se iba a cuidar, pero no se ha hecho nada.</w:t>
            </w:r>
          </w:p>
        </w:tc>
      </w:tr>
      <w:tr>
        <w:trPr>
          <w:trHeight w:val="1529" w:hRule="exact"/>
        </w:trPr>
        <w:tc>
          <w:tcPr>
            <w:tcW w:w="1385" w:type="dxa"/>
          </w:tcPr>
          <w:p>
            <w:pPr>
              <w:pStyle w:val="TableParagraph"/>
              <w:ind w:right="139"/>
              <w:rPr>
                <w:sz w:val="22"/>
              </w:rPr>
            </w:pPr>
            <w:r>
              <w:rPr>
                <w:sz w:val="22"/>
              </w:rPr>
              <w:t>Sabas Guadarram a Mendoza (12/I/2014)</w:t>
            </w:r>
          </w:p>
        </w:tc>
        <w:tc>
          <w:tcPr>
            <w:tcW w:w="1418" w:type="dxa"/>
          </w:tcPr>
          <w:p>
            <w:pPr>
              <w:pStyle w:val="TableParagraph"/>
              <w:ind w:left="132" w:right="137" w:firstLine="2"/>
              <w:jc w:val="center"/>
              <w:rPr>
                <w:sz w:val="22"/>
              </w:rPr>
            </w:pPr>
            <w:r>
              <w:rPr>
                <w:sz w:val="22"/>
              </w:rPr>
              <w:t>El campo y representar a los ejidos del   municipio de Timilpan</w:t>
            </w:r>
          </w:p>
        </w:tc>
        <w:tc>
          <w:tcPr>
            <w:tcW w:w="1417" w:type="dxa"/>
          </w:tcPr>
          <w:p>
            <w:pPr>
              <w:pStyle w:val="TableParagraph"/>
              <w:tabs>
                <w:tab w:pos="703" w:val="left" w:leader="none"/>
              </w:tabs>
              <w:ind w:left="100" w:right="103"/>
              <w:rPr>
                <w:i/>
                <w:sz w:val="22"/>
              </w:rPr>
            </w:pPr>
            <w:r>
              <w:rPr>
                <w:i/>
                <w:sz w:val="22"/>
              </w:rPr>
              <w:t>Presidente </w:t>
            </w:r>
            <w:r>
              <w:rPr>
                <w:i/>
                <w:sz w:val="22"/>
              </w:rPr>
              <w:t>de la Unión de</w:t>
              <w:tab/>
            </w:r>
            <w:r>
              <w:rPr>
                <w:i/>
                <w:spacing w:val="-1"/>
                <w:sz w:val="22"/>
              </w:rPr>
              <w:t>Ejidos </w:t>
            </w:r>
            <w:r>
              <w:rPr>
                <w:i/>
                <w:sz w:val="22"/>
              </w:rPr>
              <w:t>de</w:t>
            </w:r>
            <w:r>
              <w:rPr>
                <w:i/>
                <w:spacing w:val="-4"/>
                <w:sz w:val="22"/>
              </w:rPr>
              <w:t> </w:t>
            </w:r>
            <w:r>
              <w:rPr>
                <w:i/>
                <w:sz w:val="22"/>
              </w:rPr>
              <w:t>Timilpan</w:t>
            </w:r>
          </w:p>
        </w:tc>
        <w:tc>
          <w:tcPr>
            <w:tcW w:w="1560" w:type="dxa"/>
          </w:tcPr>
          <w:p>
            <w:pPr>
              <w:pStyle w:val="TableParagraph"/>
              <w:spacing w:line="242" w:lineRule="auto"/>
              <w:ind w:right="522"/>
              <w:rPr>
                <w:sz w:val="22"/>
              </w:rPr>
            </w:pPr>
            <w:r>
              <w:rPr>
                <w:sz w:val="22"/>
              </w:rPr>
              <w:t>Ejidos de Timilpan</w:t>
            </w:r>
          </w:p>
        </w:tc>
        <w:tc>
          <w:tcPr>
            <w:tcW w:w="991" w:type="dxa"/>
          </w:tcPr>
          <w:p>
            <w:pPr>
              <w:pStyle w:val="TableParagraph"/>
              <w:spacing w:line="242" w:lineRule="auto"/>
              <w:ind w:left="100" w:right="152"/>
              <w:rPr>
                <w:sz w:val="22"/>
              </w:rPr>
            </w:pPr>
            <w:r>
              <w:rPr>
                <w:sz w:val="22"/>
              </w:rPr>
              <w:t>Timilpa n</w:t>
            </w:r>
          </w:p>
        </w:tc>
        <w:tc>
          <w:tcPr>
            <w:tcW w:w="1277" w:type="dxa"/>
          </w:tcPr>
          <w:p>
            <w:pPr>
              <w:pStyle w:val="TableParagraph"/>
              <w:ind w:right="153"/>
              <w:rPr>
                <w:sz w:val="22"/>
              </w:rPr>
            </w:pPr>
            <w:r>
              <w:rPr>
                <w:sz w:val="22"/>
              </w:rPr>
              <w:t>Rincón de Bucio, Timilpan</w:t>
            </w:r>
          </w:p>
        </w:tc>
        <w:tc>
          <w:tcPr>
            <w:tcW w:w="1133" w:type="dxa"/>
          </w:tcPr>
          <w:p>
            <w:pPr>
              <w:pStyle w:val="TableParagraph"/>
              <w:ind w:left="100" w:right="93"/>
              <w:rPr>
                <w:sz w:val="22"/>
              </w:rPr>
            </w:pPr>
            <w:r>
              <w:rPr>
                <w:sz w:val="22"/>
              </w:rPr>
              <w:t>Rincón de Bucio, Timilpan</w:t>
            </w:r>
          </w:p>
        </w:tc>
        <w:tc>
          <w:tcPr>
            <w:tcW w:w="3687" w:type="dxa"/>
          </w:tcPr>
          <w:p>
            <w:pPr>
              <w:pStyle w:val="TableParagraph"/>
              <w:ind w:right="99"/>
              <w:jc w:val="both"/>
              <w:rPr>
                <w:sz w:val="22"/>
              </w:rPr>
            </w:pPr>
            <w:r>
              <w:rPr>
                <w:sz w:val="22"/>
              </w:rPr>
              <w:t>Se hace necesario un reglamento intermunicipal porque existe un desorden en el uso del agua y eso ocasiona mucho conflicto entre los municipios.</w:t>
            </w: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spacing w:after="6"/>
        <w:ind w:left="2702" w:right="397"/>
      </w:pPr>
      <w:r>
        <w:rPr/>
        <w:t>Tabla 6.7. Comisariados Ejidales (trabajo de campo)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524" w:hRule="exact"/>
        </w:trPr>
        <w:tc>
          <w:tcPr>
            <w:tcW w:w="6771" w:type="dxa"/>
            <w:gridSpan w:val="5"/>
            <w:vMerge w:val="restart"/>
            <w:shd w:val="clear" w:color="auto" w:fill="F9BE8F"/>
          </w:tcPr>
          <w:p>
            <w:pPr>
              <w:pStyle w:val="TableParagraph"/>
              <w:spacing w:before="5"/>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5"/>
              <w:ind w:left="0"/>
              <w:rPr>
                <w:b/>
                <w:sz w:val="21"/>
              </w:rPr>
            </w:pPr>
          </w:p>
          <w:p>
            <w:pPr>
              <w:pStyle w:val="TableParagraph"/>
              <w:ind w:left="1404"/>
              <w:rPr>
                <w:b/>
                <w:sz w:val="22"/>
              </w:rPr>
            </w:pPr>
            <w:r>
              <w:rPr>
                <w:b/>
                <w:sz w:val="22"/>
              </w:rPr>
              <w:t>PRINCIPIOS DE GOBERNANZA</w:t>
            </w:r>
          </w:p>
        </w:tc>
      </w:tr>
      <w:tr>
        <w:trPr>
          <w:trHeight w:val="770" w:hRule="exact"/>
        </w:trPr>
        <w:tc>
          <w:tcPr>
            <w:tcW w:w="6771" w:type="dxa"/>
            <w:gridSpan w:val="5"/>
            <w:vMerge/>
            <w:shd w:val="clear" w:color="auto" w:fill="F9BE8F"/>
          </w:tcPr>
          <w:p>
            <w:pPr/>
          </w:p>
        </w:tc>
        <w:tc>
          <w:tcPr>
            <w:tcW w:w="2410" w:type="dxa"/>
            <w:gridSpan w:val="2"/>
            <w:shd w:val="clear" w:color="auto" w:fill="92CDDC"/>
          </w:tcPr>
          <w:p>
            <w:pPr>
              <w:pStyle w:val="TableParagraph"/>
              <w:spacing w:line="252" w:lineRule="exact"/>
              <w:ind w:left="710"/>
              <w:rPr>
                <w:b/>
                <w:i/>
                <w:sz w:val="22"/>
              </w:rPr>
            </w:pPr>
            <w:r>
              <w:rPr>
                <w:b/>
                <w:i/>
                <w:sz w:val="22"/>
              </w:rPr>
              <w:t>Identidad</w:t>
            </w:r>
          </w:p>
        </w:tc>
        <w:tc>
          <w:tcPr>
            <w:tcW w:w="3687" w:type="dxa"/>
            <w:shd w:val="clear" w:color="auto" w:fill="92CDDC"/>
          </w:tcPr>
          <w:p>
            <w:pPr>
              <w:pStyle w:val="TableParagraph"/>
              <w:ind w:right="99"/>
              <w:jc w:val="both"/>
              <w:rPr>
                <w:b/>
                <w:i/>
                <w:sz w:val="22"/>
              </w:rPr>
            </w:pPr>
            <w:r>
              <w:rPr>
                <w:b/>
                <w:i/>
                <w:sz w:val="22"/>
              </w:rPr>
              <w:t>Democracia y voluntariedad  de </w:t>
            </w:r>
            <w:r>
              <w:rPr>
                <w:b/>
                <w:i/>
                <w:sz w:val="22"/>
              </w:rPr>
              <w:t>la sociedad, cooperación y participación social</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417" w:type="dxa"/>
            <w:tcBorders>
              <w:bottom w:val="nil"/>
            </w:tcBorders>
            <w:shd w:val="clear" w:color="auto" w:fill="F9BE8F"/>
          </w:tcPr>
          <w:p>
            <w:pPr>
              <w:pStyle w:val="TableParagraph"/>
              <w:spacing w:line="248" w:lineRule="exact"/>
              <w:ind w:left="100"/>
              <w:rPr>
                <w:b/>
                <w:sz w:val="22"/>
              </w:rPr>
            </w:pPr>
            <w:r>
              <w:rPr>
                <w:b/>
                <w:sz w:val="22"/>
              </w:rPr>
              <w:t>Cargo</w:t>
            </w:r>
          </w:p>
        </w:tc>
        <w:tc>
          <w:tcPr>
            <w:tcW w:w="1560" w:type="dxa"/>
            <w:tcBorders>
              <w:bottom w:val="nil"/>
            </w:tcBorders>
            <w:shd w:val="clear" w:color="auto" w:fill="F9BE8F"/>
          </w:tcPr>
          <w:p>
            <w:pPr>
              <w:pStyle w:val="TableParagraph"/>
              <w:spacing w:line="248" w:lineRule="exact"/>
              <w:ind w:right="143"/>
              <w:rPr>
                <w:b/>
                <w:sz w:val="22"/>
              </w:rPr>
            </w:pPr>
            <w:r>
              <w:rPr>
                <w:b/>
                <w:sz w:val="22"/>
              </w:rPr>
              <w:t>Núcleos</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3687" w:type="dxa"/>
            <w:tcBorders>
              <w:bottom w:val="nil"/>
            </w:tcBorders>
            <w:shd w:val="clear" w:color="auto" w:fill="92CDDC"/>
          </w:tcPr>
          <w:p>
            <w:pPr>
              <w:pStyle w:val="TableParagraph"/>
              <w:tabs>
                <w:tab w:pos="1257" w:val="left" w:leader="none"/>
                <w:tab w:pos="2127" w:val="left" w:leader="none"/>
                <w:tab w:pos="3451" w:val="left" w:leader="none"/>
              </w:tabs>
              <w:spacing w:line="248" w:lineRule="exact"/>
              <w:rPr>
                <w:b/>
                <w:sz w:val="22"/>
              </w:rPr>
            </w:pPr>
            <w:r>
              <w:rPr>
                <w:b/>
                <w:sz w:val="22"/>
              </w:rPr>
              <w:t>¿Estaría</w:t>
              <w:tab/>
              <w:t>usted</w:t>
              <w:tab/>
              <w:t>dispuesto</w:t>
              <w:tab/>
              <w:t>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1" w:lineRule="exact"/>
              <w:ind w:right="118"/>
              <w:rPr>
                <w:b/>
                <w:sz w:val="22"/>
              </w:rPr>
            </w:pPr>
            <w:r>
              <w:rPr>
                <w:b/>
                <w:sz w:val="22"/>
              </w:rPr>
              <w:t>Ejidales que</w:t>
            </w: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3687" w:type="dxa"/>
            <w:tcBorders>
              <w:top w:val="nil"/>
              <w:bottom w:val="nil"/>
            </w:tcBorders>
            <w:shd w:val="clear" w:color="auto" w:fill="92CDDC"/>
          </w:tcPr>
          <w:p>
            <w:pPr>
              <w:pStyle w:val="TableParagraph"/>
              <w:spacing w:line="241" w:lineRule="exact"/>
              <w:rPr>
                <w:b/>
                <w:sz w:val="22"/>
              </w:rPr>
            </w:pPr>
            <w:r>
              <w:rPr>
                <w:b/>
                <w:sz w:val="22"/>
              </w:rPr>
              <w:t>asistir  a  una  reunión para tratar</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2" w:lineRule="exact"/>
              <w:ind w:right="143"/>
              <w:rPr>
                <w:b/>
                <w:sz w:val="22"/>
              </w:rPr>
            </w:pPr>
            <w:r>
              <w:rPr>
                <w:b/>
                <w:sz w:val="22"/>
              </w:rPr>
              <w:t>representa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3687" w:type="dxa"/>
            <w:tcBorders>
              <w:top w:val="nil"/>
              <w:bottom w:val="nil"/>
            </w:tcBorders>
            <w:shd w:val="clear" w:color="auto" w:fill="92CDDC"/>
          </w:tcPr>
          <w:p>
            <w:pPr>
              <w:pStyle w:val="TableParagraph"/>
              <w:tabs>
                <w:tab w:pos="1180" w:val="left" w:leader="none"/>
                <w:tab w:pos="2768" w:val="left" w:leader="none"/>
                <w:tab w:pos="3389" w:val="left" w:leader="none"/>
              </w:tabs>
              <w:spacing w:line="242" w:lineRule="exact"/>
              <w:rPr>
                <w:b/>
                <w:sz w:val="22"/>
              </w:rPr>
            </w:pPr>
            <w:r>
              <w:rPr>
                <w:b/>
                <w:sz w:val="22"/>
              </w:rPr>
              <w:t>asuntos</w:t>
              <w:tab/>
              <w:t>relacionados</w:t>
              <w:tab/>
              <w:t>con</w:t>
              <w:tab/>
              <w:t>la</w:t>
            </w: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417" w:type="dxa"/>
            <w:tcBorders>
              <w:top w:val="nil"/>
            </w:tcBorders>
            <w:shd w:val="clear" w:color="auto" w:fill="F9BE8F"/>
          </w:tcPr>
          <w:p>
            <w:pPr/>
          </w:p>
        </w:tc>
        <w:tc>
          <w:tcPr>
            <w:tcW w:w="1560"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3687" w:type="dxa"/>
            <w:tcBorders>
              <w:top w:val="nil"/>
            </w:tcBorders>
            <w:shd w:val="clear" w:color="auto" w:fill="92CDDC"/>
          </w:tcPr>
          <w:p>
            <w:pPr>
              <w:pStyle w:val="TableParagraph"/>
              <w:spacing w:line="241" w:lineRule="exact"/>
              <w:rPr>
                <w:b/>
                <w:sz w:val="22"/>
              </w:rPr>
            </w:pPr>
            <w:r>
              <w:rPr>
                <w:b/>
                <w:sz w:val="22"/>
              </w:rPr>
              <w:t>laguna de Huapango?</w:t>
            </w:r>
          </w:p>
        </w:tc>
      </w:tr>
      <w:tr>
        <w:trPr>
          <w:trHeight w:val="266" w:hRule="exact"/>
        </w:trPr>
        <w:tc>
          <w:tcPr>
            <w:tcW w:w="1385" w:type="dxa"/>
            <w:tcBorders>
              <w:bottom w:val="nil"/>
            </w:tcBorders>
          </w:tcPr>
          <w:p>
            <w:pPr>
              <w:pStyle w:val="TableParagraph"/>
              <w:spacing w:line="251" w:lineRule="exact"/>
              <w:ind w:right="127"/>
              <w:rPr>
                <w:sz w:val="22"/>
              </w:rPr>
            </w:pPr>
            <w:r>
              <w:rPr>
                <w:sz w:val="22"/>
              </w:rPr>
              <w:t>Reynaldo</w:t>
            </w:r>
          </w:p>
        </w:tc>
        <w:tc>
          <w:tcPr>
            <w:tcW w:w="1418" w:type="dxa"/>
            <w:tcBorders>
              <w:bottom w:val="nil"/>
            </w:tcBorders>
          </w:tcPr>
          <w:p>
            <w:pPr>
              <w:pStyle w:val="TableParagraph"/>
              <w:spacing w:line="251" w:lineRule="exact"/>
              <w:ind w:left="100" w:right="101"/>
              <w:rPr>
                <w:sz w:val="22"/>
              </w:rPr>
            </w:pPr>
            <w:r>
              <w:rPr>
                <w:sz w:val="22"/>
              </w:rPr>
              <w:t>Comisariad</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Las Arenas</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3687" w:type="dxa"/>
            <w:tcBorders>
              <w:bottom w:val="nil"/>
            </w:tcBorders>
          </w:tcPr>
          <w:p>
            <w:pPr>
              <w:pStyle w:val="TableParagraph"/>
              <w:tabs>
                <w:tab w:pos="753" w:val="left" w:leader="none"/>
                <w:tab w:pos="1943" w:val="left" w:leader="none"/>
                <w:tab w:pos="2616" w:val="left" w:leader="none"/>
                <w:tab w:pos="3218" w:val="left" w:leader="none"/>
              </w:tabs>
              <w:spacing w:line="251" w:lineRule="exact"/>
              <w:rPr>
                <w:sz w:val="22"/>
              </w:rPr>
            </w:pPr>
            <w:r>
              <w:rPr>
                <w:sz w:val="22"/>
              </w:rPr>
              <w:t>¡Por</w:t>
              <w:tab/>
              <w:t>supuesto!</w:t>
              <w:tab/>
              <w:t>para</w:t>
              <w:tab/>
              <w:t>que</w:t>
              <w:tab/>
              <w:t>nos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Sandoval</w:t>
            </w:r>
          </w:p>
        </w:tc>
        <w:tc>
          <w:tcPr>
            <w:tcW w:w="1418" w:type="dxa"/>
            <w:tcBorders>
              <w:top w:val="nil"/>
              <w:bottom w:val="nil"/>
            </w:tcBorders>
          </w:tcPr>
          <w:p>
            <w:pPr>
              <w:pStyle w:val="TableParagraph"/>
              <w:spacing w:line="241" w:lineRule="exact"/>
              <w:ind w:left="100" w:right="101"/>
              <w:rPr>
                <w:sz w:val="22"/>
              </w:rPr>
            </w:pPr>
            <w:r>
              <w:rPr>
                <w:sz w:val="22"/>
              </w:rPr>
              <w:t>o Ejidal y</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Arenas,</w:t>
            </w:r>
          </w:p>
        </w:tc>
        <w:tc>
          <w:tcPr>
            <w:tcW w:w="1133" w:type="dxa"/>
            <w:tcBorders>
              <w:top w:val="nil"/>
              <w:bottom w:val="nil"/>
            </w:tcBorders>
          </w:tcPr>
          <w:p>
            <w:pPr>
              <w:pStyle w:val="TableParagraph"/>
              <w:spacing w:line="241" w:lineRule="exact"/>
              <w:ind w:left="100" w:right="52"/>
              <w:rPr>
                <w:sz w:val="22"/>
              </w:rPr>
            </w:pPr>
            <w:r>
              <w:rPr>
                <w:sz w:val="22"/>
              </w:rPr>
              <w:t>Arenas,</w:t>
            </w:r>
          </w:p>
        </w:tc>
        <w:tc>
          <w:tcPr>
            <w:tcW w:w="3687" w:type="dxa"/>
            <w:tcBorders>
              <w:top w:val="nil"/>
              <w:bottom w:val="nil"/>
            </w:tcBorders>
          </w:tcPr>
          <w:p>
            <w:pPr>
              <w:pStyle w:val="TableParagraph"/>
              <w:spacing w:line="241" w:lineRule="exact"/>
              <w:rPr>
                <w:sz w:val="22"/>
              </w:rPr>
            </w:pPr>
            <w:r>
              <w:rPr>
                <w:sz w:val="22"/>
              </w:rPr>
              <w:t>pongamos   de   acuerdo   en  </w:t>
            </w:r>
            <w:r>
              <w:rPr>
                <w:spacing w:val="54"/>
                <w:sz w:val="22"/>
              </w:rPr>
              <w:t> </w:t>
            </w:r>
            <w:r>
              <w:rPr>
                <w:sz w:val="22"/>
              </w:rPr>
              <w:t>qué</w:t>
            </w:r>
          </w:p>
        </w:tc>
      </w:tr>
      <w:tr>
        <w:trPr>
          <w:trHeight w:val="254"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Director del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Acambay</w:t>
            </w:r>
          </w:p>
        </w:tc>
        <w:tc>
          <w:tcPr>
            <w:tcW w:w="3687" w:type="dxa"/>
            <w:tcBorders>
              <w:top w:val="nil"/>
              <w:bottom w:val="nil"/>
            </w:tcBorders>
          </w:tcPr>
          <w:p>
            <w:pPr>
              <w:pStyle w:val="TableParagraph"/>
              <w:tabs>
                <w:tab w:pos="952" w:val="left" w:leader="none"/>
                <w:tab w:pos="1784" w:val="left" w:leader="none"/>
                <w:tab w:pos="3205" w:val="left" w:leader="none"/>
              </w:tabs>
              <w:spacing w:line="242" w:lineRule="exact"/>
              <w:rPr>
                <w:sz w:val="22"/>
              </w:rPr>
            </w:pPr>
            <w:r>
              <w:rPr>
                <w:sz w:val="22"/>
              </w:rPr>
              <w:t>hacer</w:t>
              <w:tab/>
              <w:t>como</w:t>
              <w:tab/>
              <w:t>ciudadanos</w:t>
              <w:tab/>
              <w:t>que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(21/I/2014)</w:t>
            </w:r>
          </w:p>
        </w:tc>
        <w:tc>
          <w:tcPr>
            <w:tcW w:w="1418" w:type="dxa"/>
            <w:tcBorders>
              <w:top w:val="nil"/>
              <w:bottom w:val="nil"/>
            </w:tcBorders>
          </w:tcPr>
          <w:p>
            <w:pPr>
              <w:pStyle w:val="TableParagraph"/>
              <w:spacing w:line="241" w:lineRule="exact"/>
              <w:ind w:left="100" w:right="101"/>
              <w:rPr>
                <w:sz w:val="22"/>
              </w:rPr>
            </w:pPr>
            <w:r>
              <w:rPr>
                <w:sz w:val="22"/>
              </w:rPr>
              <w:t>Medio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somos y para tener un control.</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Ambiente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en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Style w:val="TableParagraph"/>
              <w:spacing w:line="241" w:lineRule="exact"/>
              <w:ind w:left="100" w:right="101"/>
              <w:rPr>
                <w:sz w:val="22"/>
              </w:rPr>
            </w:pPr>
            <w:r>
              <w:rPr>
                <w:sz w:val="22"/>
              </w:rPr>
              <w:t>Acambay</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1649" w:hRule="exact"/>
        </w:trPr>
        <w:tc>
          <w:tcPr>
            <w:tcW w:w="1385" w:type="dxa"/>
          </w:tcPr>
          <w:p>
            <w:pPr>
              <w:pStyle w:val="TableParagraph"/>
              <w:ind w:right="188"/>
              <w:rPr>
                <w:sz w:val="22"/>
              </w:rPr>
            </w:pPr>
            <w:r>
              <w:rPr>
                <w:sz w:val="22"/>
              </w:rPr>
              <w:t>Juan García Jiménez (12/I/2014)</w:t>
            </w:r>
          </w:p>
        </w:tc>
        <w:tc>
          <w:tcPr>
            <w:tcW w:w="1418" w:type="dxa"/>
          </w:tcPr>
          <w:p>
            <w:pPr>
              <w:pStyle w:val="TableParagraph"/>
              <w:ind w:left="100" w:right="176"/>
              <w:rPr>
                <w:sz w:val="22"/>
              </w:rPr>
            </w:pPr>
            <w:r>
              <w:rPr>
                <w:sz w:val="22"/>
              </w:rPr>
              <w:t>Comisariad o Ejidal y campesino</w:t>
            </w:r>
          </w:p>
        </w:tc>
        <w:tc>
          <w:tcPr>
            <w:tcW w:w="1417" w:type="dxa"/>
          </w:tcPr>
          <w:p>
            <w:pPr>
              <w:pStyle w:val="TableParagraph"/>
              <w:spacing w:line="252" w:lineRule="exact" w:before="2"/>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Huapango</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spacing w:line="250" w:lineRule="exact"/>
              <w:ind w:right="92"/>
              <w:rPr>
                <w:sz w:val="22"/>
              </w:rPr>
            </w:pPr>
            <w:r>
              <w:rPr>
                <w:sz w:val="22"/>
              </w:rPr>
              <w:t>Huapango</w:t>
            </w:r>
          </w:p>
          <w:p>
            <w:pPr>
              <w:pStyle w:val="TableParagraph"/>
              <w:spacing w:line="252" w:lineRule="exact"/>
              <w:ind w:right="92"/>
              <w:rPr>
                <w:sz w:val="22"/>
              </w:rPr>
            </w:pPr>
            <w:r>
              <w:rPr>
                <w:sz w:val="22"/>
              </w:rPr>
              <w:t>, Timilpan</w:t>
            </w:r>
          </w:p>
        </w:tc>
        <w:tc>
          <w:tcPr>
            <w:tcW w:w="1133" w:type="dxa"/>
          </w:tcPr>
          <w:p>
            <w:pPr>
              <w:pStyle w:val="TableParagraph"/>
              <w:ind w:left="100" w:right="110"/>
              <w:rPr>
                <w:sz w:val="22"/>
              </w:rPr>
            </w:pPr>
            <w:r>
              <w:rPr>
                <w:sz w:val="22"/>
              </w:rPr>
              <w:t>Huapang o, Timilpan</w:t>
            </w:r>
          </w:p>
        </w:tc>
        <w:tc>
          <w:tcPr>
            <w:tcW w:w="3687" w:type="dxa"/>
          </w:tcPr>
          <w:p>
            <w:pPr>
              <w:pStyle w:val="TableParagraph"/>
              <w:ind w:right="100"/>
              <w:jc w:val="both"/>
              <w:rPr>
                <w:sz w:val="22"/>
              </w:rPr>
            </w:pPr>
            <w:r>
              <w:rPr>
                <w:sz w:val="22"/>
              </w:rPr>
              <w:t>Sí asistiría para tratar de llegar a acuerdos para cuidar la laguna porque cada día está peor.</w:t>
            </w:r>
          </w:p>
        </w:tc>
      </w:tr>
      <w:tr>
        <w:trPr>
          <w:trHeight w:val="266" w:hRule="exact"/>
        </w:trPr>
        <w:tc>
          <w:tcPr>
            <w:tcW w:w="1385" w:type="dxa"/>
            <w:tcBorders>
              <w:bottom w:val="nil"/>
            </w:tcBorders>
          </w:tcPr>
          <w:p>
            <w:pPr>
              <w:pStyle w:val="TableParagraph"/>
              <w:spacing w:line="251" w:lineRule="exact"/>
              <w:ind w:right="127"/>
              <w:rPr>
                <w:sz w:val="22"/>
              </w:rPr>
            </w:pPr>
            <w:r>
              <w:rPr>
                <w:sz w:val="22"/>
              </w:rPr>
              <w:t>Francisco</w:t>
            </w:r>
          </w:p>
        </w:tc>
        <w:tc>
          <w:tcPr>
            <w:tcW w:w="1418" w:type="dxa"/>
            <w:tcBorders>
              <w:bottom w:val="nil"/>
            </w:tcBorders>
          </w:tcPr>
          <w:p>
            <w:pPr>
              <w:pStyle w:val="TableParagraph"/>
              <w:spacing w:line="251" w:lineRule="exact"/>
              <w:ind w:left="100" w:right="101"/>
              <w:rPr>
                <w:sz w:val="22"/>
              </w:rPr>
            </w:pPr>
            <w:r>
              <w:rPr>
                <w:sz w:val="22"/>
              </w:rPr>
              <w:t>Comisariad</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Aldama</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3687" w:type="dxa"/>
            <w:tcBorders>
              <w:bottom w:val="nil"/>
            </w:tcBorders>
          </w:tcPr>
          <w:p>
            <w:pPr>
              <w:pStyle w:val="TableParagraph"/>
              <w:spacing w:line="251" w:lineRule="exact"/>
              <w:rPr>
                <w:sz w:val="22"/>
              </w:rPr>
            </w:pPr>
            <w:r>
              <w:rPr>
                <w:sz w:val="22"/>
              </w:rPr>
              <w:t>Sí   asistiría   a   una   reunión para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Reyes</w:t>
            </w:r>
          </w:p>
        </w:tc>
        <w:tc>
          <w:tcPr>
            <w:tcW w:w="1418" w:type="dxa"/>
            <w:tcBorders>
              <w:top w:val="nil"/>
              <w:bottom w:val="nil"/>
            </w:tcBorders>
          </w:tcPr>
          <w:p>
            <w:pPr>
              <w:pStyle w:val="TableParagraph"/>
              <w:tabs>
                <w:tab w:pos="438" w:val="left" w:leader="none"/>
                <w:tab w:pos="1191" w:val="left" w:leader="none"/>
              </w:tabs>
              <w:spacing w:line="241" w:lineRule="exact"/>
              <w:ind w:left="100"/>
              <w:rPr>
                <w:sz w:val="22"/>
              </w:rPr>
            </w:pPr>
            <w:r>
              <w:rPr>
                <w:sz w:val="22"/>
              </w:rPr>
              <w:t>o</w:t>
              <w:tab/>
              <w:t>Ejidal</w:t>
              <w:tab/>
              <w:t>y</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3687" w:type="dxa"/>
            <w:tcBorders>
              <w:top w:val="nil"/>
              <w:bottom w:val="nil"/>
            </w:tcBorders>
          </w:tcPr>
          <w:p>
            <w:pPr>
              <w:pStyle w:val="TableParagraph"/>
              <w:spacing w:line="241" w:lineRule="exact"/>
              <w:rPr>
                <w:sz w:val="22"/>
              </w:rPr>
            </w:pPr>
            <w:r>
              <w:rPr>
                <w:sz w:val="22"/>
              </w:rPr>
              <w:t>tratar  asuntos  relacionados  con la</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Huitrón</w:t>
            </w:r>
          </w:p>
        </w:tc>
        <w:tc>
          <w:tcPr>
            <w:tcW w:w="1418" w:type="dxa"/>
            <w:tcBorders>
              <w:top w:val="nil"/>
              <w:bottom w:val="nil"/>
            </w:tcBorders>
          </w:tcPr>
          <w:p>
            <w:pPr>
              <w:pStyle w:val="TableParagraph"/>
              <w:spacing w:line="243" w:lineRule="exact"/>
              <w:ind w:left="100" w:right="101"/>
              <w:rPr>
                <w:sz w:val="22"/>
              </w:rPr>
            </w:pPr>
            <w:r>
              <w:rPr>
                <w:sz w:val="22"/>
              </w:rPr>
              <w:t>Subdirector</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3" w:lineRule="exact"/>
              <w:ind w:left="100" w:right="52"/>
              <w:rPr>
                <w:sz w:val="22"/>
              </w:rPr>
            </w:pPr>
            <w:r>
              <w:rPr>
                <w:sz w:val="22"/>
              </w:rPr>
              <w:t>Jilotepec</w:t>
            </w:r>
          </w:p>
        </w:tc>
        <w:tc>
          <w:tcPr>
            <w:tcW w:w="3687" w:type="dxa"/>
            <w:tcBorders>
              <w:top w:val="nil"/>
              <w:bottom w:val="nil"/>
            </w:tcBorders>
          </w:tcPr>
          <w:p>
            <w:pPr>
              <w:pStyle w:val="TableParagraph"/>
              <w:spacing w:line="243" w:lineRule="exact"/>
              <w:rPr>
                <w:sz w:val="22"/>
              </w:rPr>
            </w:pPr>
            <w:r>
              <w:rPr>
                <w:sz w:val="22"/>
              </w:rPr>
              <w:t>laguna  porque  podría  exponer   y</w:t>
            </w:r>
          </w:p>
        </w:tc>
      </w:tr>
      <w:tr>
        <w:trPr>
          <w:trHeight w:val="253" w:hRule="exact"/>
        </w:trPr>
        <w:tc>
          <w:tcPr>
            <w:tcW w:w="1385" w:type="dxa"/>
            <w:tcBorders>
              <w:top w:val="nil"/>
              <w:bottom w:val="nil"/>
            </w:tcBorders>
          </w:tcPr>
          <w:p>
            <w:pPr>
              <w:pStyle w:val="TableParagraph"/>
              <w:spacing w:line="241" w:lineRule="exact"/>
              <w:rPr>
                <w:sz w:val="22"/>
              </w:rPr>
            </w:pPr>
            <w:r>
              <w:rPr>
                <w:sz w:val="22"/>
              </w:rPr>
              <w:t>(17/7/2014)</w:t>
            </w:r>
          </w:p>
        </w:tc>
        <w:tc>
          <w:tcPr>
            <w:tcW w:w="1418" w:type="dxa"/>
            <w:tcBorders>
              <w:top w:val="nil"/>
              <w:bottom w:val="nil"/>
            </w:tcBorders>
          </w:tcPr>
          <w:p>
            <w:pPr>
              <w:pStyle w:val="TableParagraph"/>
              <w:spacing w:line="241" w:lineRule="exact"/>
              <w:ind w:left="100" w:right="101"/>
              <w:rPr>
                <w:sz w:val="22"/>
              </w:rPr>
            </w:pPr>
            <w:r>
              <w:rPr>
                <w:sz w:val="22"/>
              </w:rPr>
              <w:t>de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tabs>
                <w:tab w:pos="1276" w:val="left" w:leader="none"/>
                <w:tab w:pos="1797" w:val="left" w:leader="none"/>
                <w:tab w:pos="2355" w:val="left" w:leader="none"/>
                <w:tab w:pos="3294" w:val="left" w:leader="none"/>
              </w:tabs>
              <w:spacing w:line="241" w:lineRule="exact"/>
              <w:rPr>
                <w:sz w:val="22"/>
              </w:rPr>
            </w:pPr>
            <w:r>
              <w:rPr>
                <w:sz w:val="22"/>
              </w:rPr>
              <w:t>escuchar</w:t>
              <w:tab/>
              <w:t>de</w:t>
              <w:tab/>
              <w:t>los</w:t>
              <w:tab/>
              <w:t>demás</w:t>
              <w:tab/>
              <w:t>los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Participació</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problemas que tiene  para  llegar  a</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Pr>
                <w:sz w:val="22"/>
              </w:rPr>
            </w:pPr>
            <w:r>
              <w:rPr>
                <w:w w:val="100"/>
                <w:sz w:val="22"/>
              </w:rPr>
              <w:t>n</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una solución.</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Ciudadana</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Pr>
                <w:sz w:val="22"/>
              </w:rPr>
            </w:pPr>
            <w:r>
              <w:rPr>
                <w:sz w:val="22"/>
              </w:rPr>
              <w:t>y  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tabs>
                <w:tab w:pos="1132" w:val="left" w:leader="none"/>
              </w:tabs>
              <w:spacing w:line="241" w:lineRule="exact"/>
              <w:ind w:left="100"/>
              <w:rPr>
                <w:sz w:val="22"/>
              </w:rPr>
            </w:pPr>
            <w:r>
              <w:rPr>
                <w:sz w:val="22"/>
              </w:rPr>
              <w:t>en</w:t>
              <w:tab/>
              <w:t>el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municipio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Style w:val="TableParagraph"/>
              <w:spacing w:line="241" w:lineRule="exact"/>
              <w:ind w:left="100"/>
              <w:rPr>
                <w:sz w:val="22"/>
              </w:rPr>
            </w:pPr>
            <w:r>
              <w:rPr>
                <w:sz w:val="22"/>
              </w:rPr>
              <w:t>de Jilotepec</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Cipriano</w:t>
            </w:r>
          </w:p>
        </w:tc>
        <w:tc>
          <w:tcPr>
            <w:tcW w:w="1418" w:type="dxa"/>
            <w:tcBorders>
              <w:bottom w:val="nil"/>
            </w:tcBorders>
          </w:tcPr>
          <w:p>
            <w:pPr>
              <w:pStyle w:val="TableParagraph"/>
              <w:ind w:left="151" w:right="101"/>
              <w:rPr>
                <w:sz w:val="22"/>
              </w:rPr>
            </w:pPr>
            <w:r>
              <w:rPr>
                <w:sz w:val="22"/>
              </w:rPr>
              <w:t>Agricultor y</w:t>
            </w:r>
          </w:p>
        </w:tc>
        <w:tc>
          <w:tcPr>
            <w:tcW w:w="1417" w:type="dxa"/>
            <w:tcBorders>
              <w:bottom w:val="nil"/>
            </w:tcBorders>
          </w:tcPr>
          <w:p>
            <w:pPr>
              <w:pStyle w:val="TableParagraph"/>
              <w:ind w:left="100"/>
              <w:rPr>
                <w:sz w:val="22"/>
              </w:rPr>
            </w:pPr>
            <w:r>
              <w:rPr>
                <w:sz w:val="22"/>
              </w:rPr>
              <w:t>Comisariad</w:t>
            </w:r>
          </w:p>
        </w:tc>
        <w:tc>
          <w:tcPr>
            <w:tcW w:w="1560" w:type="dxa"/>
            <w:tcBorders>
              <w:bottom w:val="nil"/>
            </w:tcBorders>
          </w:tcPr>
          <w:p>
            <w:pPr>
              <w:pStyle w:val="TableParagraph"/>
              <w:ind w:right="143"/>
              <w:rPr>
                <w:sz w:val="22"/>
              </w:rPr>
            </w:pPr>
            <w:r>
              <w:rPr>
                <w:sz w:val="22"/>
              </w:rPr>
              <w:t>San Martín</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San</w:t>
            </w:r>
          </w:p>
        </w:tc>
        <w:tc>
          <w:tcPr>
            <w:tcW w:w="1133" w:type="dxa"/>
            <w:tcBorders>
              <w:bottom w:val="nil"/>
            </w:tcBorders>
          </w:tcPr>
          <w:p>
            <w:pPr>
              <w:pStyle w:val="TableParagraph"/>
              <w:ind w:left="100" w:right="52"/>
              <w:rPr>
                <w:sz w:val="22"/>
              </w:rPr>
            </w:pPr>
            <w:r>
              <w:rPr>
                <w:sz w:val="22"/>
              </w:rPr>
              <w:t>San</w:t>
            </w:r>
          </w:p>
        </w:tc>
        <w:tc>
          <w:tcPr>
            <w:tcW w:w="3687" w:type="dxa"/>
            <w:tcBorders>
              <w:bottom w:val="nil"/>
            </w:tcBorders>
          </w:tcPr>
          <w:p>
            <w:pPr>
              <w:pStyle w:val="TableParagraph"/>
              <w:rPr>
                <w:sz w:val="22"/>
              </w:rPr>
            </w:pPr>
            <w:r>
              <w:rPr>
                <w:sz w:val="22"/>
              </w:rPr>
              <w:t>Sí porque es beneficio para todos y</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Matías</w:t>
            </w:r>
          </w:p>
        </w:tc>
        <w:tc>
          <w:tcPr>
            <w:tcW w:w="1418" w:type="dxa"/>
            <w:tcBorders>
              <w:top w:val="nil"/>
              <w:bottom w:val="nil"/>
            </w:tcBorders>
          </w:tcPr>
          <w:p>
            <w:pPr>
              <w:pStyle w:val="TableParagraph"/>
              <w:spacing w:line="241" w:lineRule="exact"/>
              <w:ind w:left="102" w:right="104"/>
              <w:jc w:val="center"/>
              <w:rPr>
                <w:sz w:val="22"/>
              </w:rPr>
            </w:pPr>
            <w:r>
              <w:rPr>
                <w:sz w:val="22"/>
              </w:rPr>
              <w:t>la</w:t>
            </w:r>
          </w:p>
        </w:tc>
        <w:tc>
          <w:tcPr>
            <w:tcW w:w="1417" w:type="dxa"/>
            <w:tcBorders>
              <w:top w:val="nil"/>
              <w:bottom w:val="nil"/>
            </w:tcBorders>
          </w:tcPr>
          <w:p>
            <w:pPr>
              <w:pStyle w:val="TableParagraph"/>
              <w:spacing w:line="241" w:lineRule="exact"/>
              <w:ind w:left="100"/>
              <w:rPr>
                <w:sz w:val="22"/>
              </w:rPr>
            </w:pPr>
            <w:r>
              <w:rPr>
                <w:sz w:val="22"/>
              </w:rPr>
              <w:t>o Ejidal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Martín,</w:t>
            </w:r>
          </w:p>
        </w:tc>
        <w:tc>
          <w:tcPr>
            <w:tcW w:w="1133" w:type="dxa"/>
            <w:tcBorders>
              <w:top w:val="nil"/>
              <w:bottom w:val="nil"/>
            </w:tcBorders>
          </w:tcPr>
          <w:p>
            <w:pPr>
              <w:pStyle w:val="TableParagraph"/>
              <w:spacing w:line="241" w:lineRule="exact"/>
              <w:ind w:left="100" w:right="52"/>
              <w:rPr>
                <w:sz w:val="22"/>
              </w:rPr>
            </w:pPr>
            <w:r>
              <w:rPr>
                <w:sz w:val="22"/>
              </w:rPr>
              <w:t>Martín,</w:t>
            </w:r>
          </w:p>
        </w:tc>
        <w:tc>
          <w:tcPr>
            <w:tcW w:w="3687" w:type="dxa"/>
            <w:tcBorders>
              <w:top w:val="nil"/>
              <w:bottom w:val="nil"/>
            </w:tcBorders>
          </w:tcPr>
          <w:p>
            <w:pPr>
              <w:pStyle w:val="TableParagraph"/>
              <w:spacing w:line="241" w:lineRule="exact"/>
              <w:rPr>
                <w:sz w:val="22"/>
              </w:rPr>
            </w:pPr>
            <w:r>
              <w:rPr>
                <w:sz w:val="22"/>
              </w:rPr>
              <w:t>porque represento un núcleo  ejidal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Juan</w:t>
            </w:r>
          </w:p>
        </w:tc>
        <w:tc>
          <w:tcPr>
            <w:tcW w:w="1418" w:type="dxa"/>
            <w:tcBorders>
              <w:top w:val="nil"/>
              <w:bottom w:val="nil"/>
            </w:tcBorders>
          </w:tcPr>
          <w:p>
            <w:pPr>
              <w:pStyle w:val="TableParagraph"/>
              <w:spacing w:line="241" w:lineRule="exact"/>
              <w:ind w:left="144" w:right="101"/>
              <w:rPr>
                <w:sz w:val="22"/>
              </w:rPr>
            </w:pPr>
            <w:r>
              <w:rPr>
                <w:sz w:val="22"/>
              </w:rPr>
              <w:t>construcció</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3687" w:type="dxa"/>
            <w:tcBorders>
              <w:top w:val="nil"/>
              <w:bottom w:val="nil"/>
            </w:tcBorders>
          </w:tcPr>
          <w:p>
            <w:pPr>
              <w:pStyle w:val="TableParagraph"/>
              <w:spacing w:line="241" w:lineRule="exact"/>
              <w:rPr>
                <w:sz w:val="22"/>
              </w:rPr>
            </w:pPr>
            <w:r>
              <w:rPr>
                <w:sz w:val="22"/>
              </w:rPr>
              <w:t>y le beneficia.</w:t>
            </w:r>
          </w:p>
        </w:tc>
      </w:tr>
      <w:tr>
        <w:trPr>
          <w:trHeight w:val="249" w:hRule="exact"/>
        </w:trPr>
        <w:tc>
          <w:tcPr>
            <w:tcW w:w="1385" w:type="dxa"/>
            <w:tcBorders>
              <w:top w:val="nil"/>
            </w:tcBorders>
          </w:tcPr>
          <w:p>
            <w:pPr>
              <w:pStyle w:val="TableParagraph"/>
              <w:spacing w:line="242" w:lineRule="exact"/>
              <w:ind w:right="127"/>
              <w:rPr>
                <w:sz w:val="22"/>
              </w:rPr>
            </w:pPr>
            <w:r>
              <w:rPr>
                <w:sz w:val="22"/>
              </w:rPr>
              <w:t>(2/8/2014)</w:t>
            </w:r>
          </w:p>
        </w:tc>
        <w:tc>
          <w:tcPr>
            <w:tcW w:w="1418" w:type="dxa"/>
            <w:tcBorders>
              <w:top w:val="nil"/>
            </w:tcBorders>
          </w:tcPr>
          <w:p>
            <w:pPr>
              <w:pStyle w:val="TableParagraph"/>
              <w:spacing w:line="242" w:lineRule="exact"/>
              <w:ind w:left="0" w:right="2"/>
              <w:jc w:val="center"/>
              <w:rPr>
                <w:sz w:val="22"/>
              </w:rPr>
            </w:pPr>
            <w:r>
              <w:rPr>
                <w:w w:val="100"/>
                <w:sz w:val="22"/>
              </w:rPr>
              <w:t>n</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7" w:hRule="exact"/>
        </w:trPr>
        <w:tc>
          <w:tcPr>
            <w:tcW w:w="1385" w:type="dxa"/>
            <w:tcBorders>
              <w:bottom w:val="nil"/>
            </w:tcBorders>
          </w:tcPr>
          <w:p>
            <w:pPr>
              <w:pStyle w:val="TableParagraph"/>
              <w:spacing w:line="251" w:lineRule="exact"/>
              <w:rPr>
                <w:sz w:val="22"/>
              </w:rPr>
            </w:pPr>
            <w:r>
              <w:rPr>
                <w:sz w:val="22"/>
              </w:rPr>
              <w:t>Félix</w:t>
            </w:r>
            <w:r>
              <w:rPr>
                <w:spacing w:val="53"/>
                <w:sz w:val="22"/>
              </w:rPr>
              <w:t> </w:t>
            </w:r>
            <w:r>
              <w:rPr>
                <w:sz w:val="22"/>
              </w:rPr>
              <w:t>Lucas</w:t>
            </w:r>
          </w:p>
        </w:tc>
        <w:tc>
          <w:tcPr>
            <w:tcW w:w="1418" w:type="dxa"/>
            <w:tcBorders>
              <w:bottom w:val="nil"/>
            </w:tcBorders>
          </w:tcPr>
          <w:p>
            <w:pPr>
              <w:pStyle w:val="TableParagraph"/>
              <w:spacing w:line="251" w:lineRule="exact"/>
              <w:ind w:left="156" w:right="101"/>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Comisariad</w:t>
            </w:r>
          </w:p>
        </w:tc>
        <w:tc>
          <w:tcPr>
            <w:tcW w:w="1560" w:type="dxa"/>
            <w:tcBorders>
              <w:bottom w:val="nil"/>
            </w:tcBorders>
          </w:tcPr>
          <w:p>
            <w:pPr>
              <w:pStyle w:val="TableParagraph"/>
              <w:spacing w:line="251" w:lineRule="exact"/>
              <w:ind w:right="143"/>
              <w:rPr>
                <w:sz w:val="22"/>
              </w:rPr>
            </w:pPr>
            <w:r>
              <w:rPr>
                <w:sz w:val="22"/>
              </w:rPr>
              <w:t>El Ejido de</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El</w:t>
            </w:r>
          </w:p>
        </w:tc>
        <w:tc>
          <w:tcPr>
            <w:tcW w:w="3687" w:type="dxa"/>
            <w:tcBorders>
              <w:bottom w:val="nil"/>
            </w:tcBorders>
          </w:tcPr>
          <w:p>
            <w:pPr>
              <w:pStyle w:val="TableParagraph"/>
              <w:spacing w:line="251" w:lineRule="exact"/>
              <w:rPr>
                <w:sz w:val="22"/>
              </w:rPr>
            </w:pPr>
            <w:r>
              <w:rPr>
                <w:sz w:val="22"/>
              </w:rPr>
              <w:t>¡Claro  que  sí!  porque  sería  </w:t>
            </w:r>
            <w:r>
              <w:rPr>
                <w:spacing w:val="50"/>
                <w:sz w:val="22"/>
              </w:rPr>
              <w:t> </w:t>
            </w:r>
            <w:r>
              <w:rPr>
                <w:sz w:val="22"/>
              </w:rPr>
              <w:t>una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Pablo</w:t>
            </w:r>
          </w:p>
        </w:tc>
        <w:tc>
          <w:tcPr>
            <w:tcW w:w="1418" w:type="dxa"/>
            <w:tcBorders>
              <w:top w:val="nil"/>
              <w:bottom w:val="nil"/>
            </w:tcBorders>
          </w:tcPr>
          <w:p>
            <w:pPr>
              <w:pStyle w:val="TableParagraph"/>
              <w:spacing w:line="242" w:lineRule="exact"/>
              <w:ind w:left="102" w:right="104"/>
              <w:jc w:val="center"/>
              <w:rPr>
                <w:sz w:val="22"/>
              </w:rPr>
            </w:pPr>
            <w:r>
              <w:rPr>
                <w:sz w:val="22"/>
              </w:rPr>
              <w:t>la</w:t>
            </w:r>
          </w:p>
        </w:tc>
        <w:tc>
          <w:tcPr>
            <w:tcW w:w="1417" w:type="dxa"/>
            <w:tcBorders>
              <w:top w:val="nil"/>
              <w:bottom w:val="nil"/>
            </w:tcBorders>
          </w:tcPr>
          <w:p>
            <w:pPr>
              <w:pStyle w:val="TableParagraph"/>
              <w:spacing w:line="242" w:lineRule="exact"/>
              <w:ind w:left="100"/>
              <w:rPr>
                <w:sz w:val="22"/>
              </w:rPr>
            </w:pPr>
            <w:r>
              <w:rPr>
                <w:sz w:val="22"/>
              </w:rPr>
              <w:t>o Ejidal</w:t>
            </w:r>
          </w:p>
        </w:tc>
        <w:tc>
          <w:tcPr>
            <w:tcW w:w="1560" w:type="dxa"/>
            <w:tcBorders>
              <w:top w:val="nil"/>
              <w:bottom w:val="nil"/>
            </w:tcBorders>
          </w:tcPr>
          <w:p>
            <w:pPr>
              <w:pStyle w:val="TableParagraph"/>
              <w:spacing w:line="242" w:lineRule="exact"/>
              <w:ind w:right="143"/>
              <w:rPr>
                <w:sz w:val="22"/>
              </w:rPr>
            </w:pPr>
            <w:r>
              <w:rPr>
                <w:sz w:val="22"/>
              </w:rPr>
              <w:t>Timilpan se</w:t>
            </w:r>
          </w:p>
        </w:tc>
        <w:tc>
          <w:tcPr>
            <w:tcW w:w="991" w:type="dxa"/>
            <w:tcBorders>
              <w:top w:val="nil"/>
              <w:bottom w:val="nil"/>
            </w:tcBorders>
          </w:tcPr>
          <w:p>
            <w:pPr>
              <w:pStyle w:val="TableParagraph"/>
              <w:spacing w:line="242" w:lineRule="exact"/>
              <w:ind w:left="100"/>
              <w:rPr>
                <w:sz w:val="22"/>
              </w:rPr>
            </w:pPr>
            <w:r>
              <w:rPr>
                <w:sz w:val="22"/>
              </w:rPr>
              <w:t>ay,</w:t>
            </w:r>
          </w:p>
        </w:tc>
        <w:tc>
          <w:tcPr>
            <w:tcW w:w="1277" w:type="dxa"/>
            <w:tcBorders>
              <w:top w:val="nil"/>
              <w:bottom w:val="nil"/>
            </w:tcBorders>
          </w:tcPr>
          <w:p>
            <w:pPr>
              <w:pStyle w:val="TableParagraph"/>
              <w:spacing w:line="242" w:lineRule="exact"/>
              <w:ind w:right="92"/>
              <w:rPr>
                <w:sz w:val="22"/>
              </w:rPr>
            </w:pPr>
            <w:r>
              <w:rPr>
                <w:sz w:val="22"/>
              </w:rPr>
              <w:t>Andrés,</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3687" w:type="dxa"/>
            <w:tcBorders>
              <w:top w:val="nil"/>
              <w:bottom w:val="nil"/>
            </w:tcBorders>
          </w:tcPr>
          <w:p>
            <w:pPr>
              <w:pStyle w:val="TableParagraph"/>
              <w:spacing w:line="242" w:lineRule="exact"/>
              <w:rPr>
                <w:sz w:val="22"/>
              </w:rPr>
            </w:pPr>
            <w:r>
              <w:rPr>
                <w:sz w:val="22"/>
              </w:rPr>
              <w:t>gran oportunidad para ponernos de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(3/8/2014)</w:t>
            </w:r>
          </w:p>
        </w:tc>
        <w:tc>
          <w:tcPr>
            <w:tcW w:w="1418" w:type="dxa"/>
            <w:tcBorders>
              <w:top w:val="nil"/>
              <w:bottom w:val="nil"/>
            </w:tcBorders>
          </w:tcPr>
          <w:p>
            <w:pPr>
              <w:pStyle w:val="TableParagraph"/>
              <w:spacing w:line="241" w:lineRule="exact"/>
              <w:ind w:left="199" w:right="101"/>
              <w:rPr>
                <w:sz w:val="22"/>
              </w:rPr>
            </w:pPr>
            <w:r>
              <w:rPr>
                <w:sz w:val="22"/>
              </w:rPr>
              <w:t>Comisaría</w:t>
            </w: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18"/>
              <w:rPr>
                <w:sz w:val="22"/>
              </w:rPr>
            </w:pPr>
            <w:r>
              <w:rPr>
                <w:sz w:val="22"/>
              </w:rPr>
              <w:t>compone de:</w:t>
            </w:r>
          </w:p>
        </w:tc>
        <w:tc>
          <w:tcPr>
            <w:tcW w:w="991" w:type="dxa"/>
            <w:tcBorders>
              <w:top w:val="nil"/>
              <w:bottom w:val="nil"/>
            </w:tcBorders>
          </w:tcPr>
          <w:p>
            <w:pPr>
              <w:pStyle w:val="TableParagraph"/>
              <w:spacing w:line="241" w:lineRule="exact"/>
              <w:ind w:left="100"/>
              <w:rPr>
                <w:sz w:val="22"/>
              </w:rPr>
            </w:pPr>
            <w:r>
              <w:rPr>
                <w:sz w:val="22"/>
              </w:rPr>
              <w:t>Aculco</w:t>
            </w: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3687" w:type="dxa"/>
            <w:tcBorders>
              <w:top w:val="nil"/>
              <w:bottom w:val="nil"/>
            </w:tcBorders>
          </w:tcPr>
          <w:p>
            <w:pPr>
              <w:pStyle w:val="TableParagraph"/>
              <w:spacing w:line="241" w:lineRule="exact"/>
              <w:rPr>
                <w:sz w:val="22"/>
              </w:rPr>
            </w:pPr>
            <w:r>
              <w:rPr>
                <w:sz w:val="22"/>
              </w:rPr>
              <w:t>acuerdo  y  hacer  algo  entre todos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El Azafrán</w:t>
            </w:r>
          </w:p>
        </w:tc>
        <w:tc>
          <w:tcPr>
            <w:tcW w:w="991" w:type="dxa"/>
            <w:tcBorders>
              <w:top w:val="nil"/>
              <w:bottom w:val="nil"/>
            </w:tcBorders>
          </w:tcPr>
          <w:p>
            <w:pPr>
              <w:pStyle w:val="TableParagraph"/>
              <w:spacing w:line="242" w:lineRule="exact"/>
              <w:ind w:left="100"/>
              <w:rPr>
                <w:sz w:val="22"/>
              </w:rPr>
            </w:pPr>
            <w:r>
              <w:rPr>
                <w:w w:val="100"/>
                <w:sz w:val="22"/>
              </w:rPr>
              <w:t>y</w:t>
            </w: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para rescatar la laguna.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18"/>
              <w:rPr>
                <w:sz w:val="22"/>
              </w:rPr>
            </w:pPr>
            <w:r>
              <w:rPr>
                <w:sz w:val="22"/>
              </w:rPr>
              <w:t>(Aculco), Los</w:t>
            </w:r>
          </w:p>
        </w:tc>
        <w:tc>
          <w:tcPr>
            <w:tcW w:w="991" w:type="dxa"/>
            <w:tcBorders>
              <w:top w:val="nil"/>
              <w:bottom w:val="nil"/>
            </w:tcBorders>
          </w:tcPr>
          <w:p>
            <w:pPr>
              <w:pStyle w:val="TableParagraph"/>
              <w:spacing w:line="241" w:lineRule="exact"/>
              <w:ind w:left="100"/>
              <w:rPr>
                <w:sz w:val="22"/>
              </w:rPr>
            </w:pPr>
            <w:r>
              <w:rPr>
                <w:sz w:val="22"/>
              </w:rPr>
              <w:t>Timilpa</w:t>
            </w: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Pilares</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Las Arenas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Las Trojes</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2" w:lineRule="exact"/>
              <w:ind w:right="143"/>
              <w:rPr>
                <w:sz w:val="22"/>
              </w:rPr>
            </w:pPr>
            <w:r>
              <w:rPr>
                <w:sz w:val="22"/>
              </w:rPr>
              <w:t>(Acambay),</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Style w:val="TableParagraph"/>
              <w:spacing w:line="241" w:lineRule="exact"/>
              <w:ind w:right="143"/>
              <w:rPr>
                <w:sz w:val="22"/>
              </w:rPr>
            </w:pPr>
            <w:r>
              <w:rPr>
                <w:sz w:val="22"/>
              </w:rPr>
              <w:t>Lomas de</w:t>
            </w: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Style w:val="TableParagraph"/>
              <w:spacing w:line="241" w:lineRule="exact"/>
              <w:ind w:right="143"/>
              <w:rPr>
                <w:sz w:val="22"/>
              </w:rPr>
            </w:pPr>
            <w:r>
              <w:rPr>
                <w:sz w:val="22"/>
              </w:rPr>
              <w:t>Emiliano</w:t>
            </w: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6589" w:hRule="exact"/>
        </w:trPr>
        <w:tc>
          <w:tcPr>
            <w:tcW w:w="1385" w:type="dxa"/>
          </w:tcPr>
          <w:p>
            <w:pPr/>
          </w:p>
        </w:tc>
        <w:tc>
          <w:tcPr>
            <w:tcW w:w="1418" w:type="dxa"/>
          </w:tcPr>
          <w:p>
            <w:pPr/>
          </w:p>
        </w:tc>
        <w:tc>
          <w:tcPr>
            <w:tcW w:w="1417" w:type="dxa"/>
          </w:tcPr>
          <w:p>
            <w:pPr/>
          </w:p>
        </w:tc>
        <w:tc>
          <w:tcPr>
            <w:tcW w:w="1560" w:type="dxa"/>
          </w:tcPr>
          <w:p>
            <w:pPr>
              <w:pStyle w:val="TableParagraph"/>
              <w:ind w:right="134"/>
              <w:rPr>
                <w:sz w:val="22"/>
              </w:rPr>
            </w:pPr>
            <w:r>
              <w:rPr>
                <w:sz w:val="22"/>
              </w:rPr>
              <w:t>Zapata (Timilpan), La Campesina (Timilpan), Pueblo de Zaragoza (Timilpan), Barrio de Morelos (Timilpan), Montes de Bucio (Timilpan), pero hay un conflicto social porque desde 1958 se dividió El Ejido y una parte lo tiene Santa María Las Arenas, aunque esa parte está en conflicto.</w:t>
            </w:r>
          </w:p>
        </w:tc>
        <w:tc>
          <w:tcPr>
            <w:tcW w:w="991" w:type="dxa"/>
          </w:tcPr>
          <w:p>
            <w:pPr/>
          </w:p>
        </w:tc>
        <w:tc>
          <w:tcPr>
            <w:tcW w:w="1277" w:type="dxa"/>
          </w:tcPr>
          <w:p>
            <w:pPr/>
          </w:p>
        </w:tc>
        <w:tc>
          <w:tcPr>
            <w:tcW w:w="1133" w:type="dxa"/>
          </w:tcPr>
          <w:p>
            <w:pPr/>
          </w:p>
        </w:tc>
        <w:tc>
          <w:tcPr>
            <w:tcW w:w="3687" w:type="dxa"/>
          </w:tcPr>
          <w:p>
            <w:pPr/>
          </w:p>
        </w:tc>
      </w:tr>
      <w:tr>
        <w:trPr>
          <w:trHeight w:val="1275" w:hRule="exact"/>
        </w:trPr>
        <w:tc>
          <w:tcPr>
            <w:tcW w:w="1385" w:type="dxa"/>
          </w:tcPr>
          <w:p>
            <w:pPr>
              <w:pStyle w:val="TableParagraph"/>
              <w:ind w:right="249"/>
              <w:rPr>
                <w:sz w:val="22"/>
              </w:rPr>
            </w:pPr>
            <w:r>
              <w:rPr>
                <w:sz w:val="22"/>
              </w:rPr>
              <w:t>José Antonio Martínez García (4/9/2014)</w:t>
            </w:r>
          </w:p>
        </w:tc>
        <w:tc>
          <w:tcPr>
            <w:tcW w:w="1418" w:type="dxa"/>
          </w:tcPr>
          <w:p>
            <w:pPr>
              <w:pStyle w:val="TableParagraph"/>
              <w:ind w:left="156" w:right="159"/>
              <w:jc w:val="center"/>
              <w:rPr>
                <w:sz w:val="22"/>
              </w:rPr>
            </w:pPr>
            <w:r>
              <w:rPr>
                <w:sz w:val="22"/>
              </w:rPr>
              <w:t>El campo y</w:t>
            </w:r>
            <w:r>
              <w:rPr>
                <w:w w:val="100"/>
                <w:sz w:val="22"/>
              </w:rPr>
              <w:t> </w:t>
            </w:r>
            <w:r>
              <w:rPr>
                <w:sz w:val="22"/>
              </w:rPr>
              <w:t>la     ganadería</w:t>
            </w:r>
          </w:p>
        </w:tc>
        <w:tc>
          <w:tcPr>
            <w:tcW w:w="1417" w:type="dxa"/>
          </w:tcPr>
          <w:p>
            <w:pPr>
              <w:pStyle w:val="TableParagraph"/>
              <w:spacing w:line="252" w:lineRule="exact" w:before="2"/>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Ruano</w:t>
            </w:r>
          </w:p>
        </w:tc>
        <w:tc>
          <w:tcPr>
            <w:tcW w:w="991" w:type="dxa"/>
          </w:tcPr>
          <w:p>
            <w:pPr>
              <w:pStyle w:val="TableParagraph"/>
              <w:spacing w:line="252" w:lineRule="exact" w:before="2"/>
              <w:ind w:left="100" w:right="201"/>
              <w:rPr>
                <w:sz w:val="22"/>
              </w:rPr>
            </w:pPr>
            <w:r>
              <w:rPr>
                <w:sz w:val="22"/>
              </w:rPr>
              <w:t>Polotitl án</w:t>
            </w:r>
          </w:p>
        </w:tc>
        <w:tc>
          <w:tcPr>
            <w:tcW w:w="1277" w:type="dxa"/>
          </w:tcPr>
          <w:p>
            <w:pPr>
              <w:pStyle w:val="TableParagraph"/>
              <w:spacing w:line="252" w:lineRule="exact" w:before="2"/>
              <w:ind w:right="239"/>
              <w:rPr>
                <w:sz w:val="22"/>
              </w:rPr>
            </w:pPr>
            <w:r>
              <w:rPr>
                <w:sz w:val="22"/>
              </w:rPr>
              <w:t>Ruano, Polotitlán</w:t>
            </w:r>
          </w:p>
        </w:tc>
        <w:tc>
          <w:tcPr>
            <w:tcW w:w="1133" w:type="dxa"/>
          </w:tcPr>
          <w:p>
            <w:pPr>
              <w:pStyle w:val="TableParagraph"/>
              <w:spacing w:line="252" w:lineRule="exact" w:before="2"/>
              <w:ind w:left="100" w:right="98"/>
              <w:rPr>
                <w:sz w:val="22"/>
              </w:rPr>
            </w:pPr>
            <w:r>
              <w:rPr>
                <w:sz w:val="22"/>
              </w:rPr>
              <w:t>Ruano, Polotitlán</w:t>
            </w:r>
          </w:p>
        </w:tc>
        <w:tc>
          <w:tcPr>
            <w:tcW w:w="3687" w:type="dxa"/>
          </w:tcPr>
          <w:p>
            <w:pPr>
              <w:pStyle w:val="TableParagraph"/>
              <w:ind w:right="99"/>
              <w:jc w:val="both"/>
              <w:rPr>
                <w:sz w:val="22"/>
              </w:rPr>
            </w:pPr>
            <w:r>
              <w:rPr>
                <w:sz w:val="22"/>
              </w:rPr>
              <w:t>Sí asistiría porque nos interesa como ejido y para que nos den informes de cómo se está trabajando.</w:t>
            </w:r>
          </w:p>
        </w:tc>
      </w:tr>
      <w:tr>
        <w:trPr>
          <w:trHeight w:val="768" w:hRule="exact"/>
        </w:trPr>
        <w:tc>
          <w:tcPr>
            <w:tcW w:w="1385" w:type="dxa"/>
          </w:tcPr>
          <w:p>
            <w:pPr>
              <w:pStyle w:val="TableParagraph"/>
              <w:tabs>
                <w:tab w:pos="796" w:val="left" w:leader="none"/>
              </w:tabs>
              <w:ind w:right="98"/>
              <w:rPr>
                <w:sz w:val="22"/>
              </w:rPr>
            </w:pPr>
            <w:r>
              <w:rPr>
                <w:sz w:val="22"/>
              </w:rPr>
              <w:t>José</w:t>
              <w:tab/>
              <w:t>Juan Juárez Rodriguez</w:t>
            </w:r>
          </w:p>
        </w:tc>
        <w:tc>
          <w:tcPr>
            <w:tcW w:w="1418" w:type="dxa"/>
          </w:tcPr>
          <w:p>
            <w:pPr>
              <w:pStyle w:val="TableParagraph"/>
              <w:ind w:left="156" w:right="159"/>
              <w:jc w:val="center"/>
              <w:rPr>
                <w:sz w:val="22"/>
              </w:rPr>
            </w:pPr>
            <w:r>
              <w:rPr>
                <w:sz w:val="22"/>
              </w:rPr>
              <w:t>El campo y</w:t>
            </w:r>
            <w:r>
              <w:rPr>
                <w:w w:val="100"/>
                <w:sz w:val="22"/>
              </w:rPr>
              <w:t> </w:t>
            </w:r>
            <w:r>
              <w:rPr>
                <w:sz w:val="22"/>
              </w:rPr>
              <w:t>empleado en el</w:t>
            </w:r>
          </w:p>
        </w:tc>
        <w:tc>
          <w:tcPr>
            <w:tcW w:w="1417" w:type="dxa"/>
          </w:tcPr>
          <w:p>
            <w:pPr>
              <w:pStyle w:val="TableParagraph"/>
              <w:spacing w:line="252" w:lineRule="exact" w:before="2"/>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Encinillas</w:t>
            </w:r>
          </w:p>
        </w:tc>
        <w:tc>
          <w:tcPr>
            <w:tcW w:w="991" w:type="dxa"/>
          </w:tcPr>
          <w:p>
            <w:pPr>
              <w:pStyle w:val="TableParagraph"/>
              <w:spacing w:line="252" w:lineRule="exact" w:before="2"/>
              <w:ind w:left="100" w:right="201"/>
              <w:rPr>
                <w:sz w:val="22"/>
              </w:rPr>
            </w:pPr>
            <w:r>
              <w:rPr>
                <w:sz w:val="22"/>
              </w:rPr>
              <w:t>Polotitl án</w:t>
            </w:r>
          </w:p>
        </w:tc>
        <w:tc>
          <w:tcPr>
            <w:tcW w:w="1277" w:type="dxa"/>
          </w:tcPr>
          <w:p>
            <w:pPr>
              <w:pStyle w:val="TableParagraph"/>
              <w:ind w:right="92"/>
              <w:rPr>
                <w:sz w:val="22"/>
              </w:rPr>
            </w:pPr>
            <w:r>
              <w:rPr>
                <w:sz w:val="22"/>
              </w:rPr>
              <w:t>San Juan del Río, Querétaro.</w:t>
            </w:r>
          </w:p>
        </w:tc>
        <w:tc>
          <w:tcPr>
            <w:tcW w:w="1133" w:type="dxa"/>
          </w:tcPr>
          <w:p>
            <w:pPr>
              <w:pStyle w:val="TableParagraph"/>
              <w:ind w:left="100" w:right="98"/>
              <w:rPr>
                <w:sz w:val="22"/>
              </w:rPr>
            </w:pPr>
            <w:r>
              <w:rPr>
                <w:sz w:val="22"/>
              </w:rPr>
              <w:t>Encinilla s, Polotitlán</w:t>
            </w:r>
          </w:p>
        </w:tc>
        <w:tc>
          <w:tcPr>
            <w:tcW w:w="3687" w:type="dxa"/>
          </w:tcPr>
          <w:p>
            <w:pPr>
              <w:pStyle w:val="TableParagraph"/>
              <w:ind w:right="100"/>
              <w:jc w:val="both"/>
              <w:rPr>
                <w:sz w:val="22"/>
              </w:rPr>
            </w:pPr>
            <w:r>
              <w:rPr>
                <w:sz w:val="22"/>
              </w:rPr>
              <w:t>Sí porque es nuestra responsabilidad y en la asociación de usuarios son responsables de lo</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768" w:hRule="exact"/>
        </w:trPr>
        <w:tc>
          <w:tcPr>
            <w:tcW w:w="1385" w:type="dxa"/>
          </w:tcPr>
          <w:p>
            <w:pPr>
              <w:pStyle w:val="TableParagraph"/>
              <w:spacing w:line="251" w:lineRule="exact"/>
              <w:ind w:right="127"/>
              <w:rPr>
                <w:sz w:val="22"/>
              </w:rPr>
            </w:pPr>
            <w:r>
              <w:rPr>
                <w:sz w:val="22"/>
              </w:rPr>
              <w:t>(4/9/2014)</w:t>
            </w:r>
          </w:p>
        </w:tc>
        <w:tc>
          <w:tcPr>
            <w:tcW w:w="1418" w:type="dxa"/>
          </w:tcPr>
          <w:p>
            <w:pPr>
              <w:pStyle w:val="TableParagraph"/>
              <w:spacing w:line="252" w:lineRule="exact" w:before="2"/>
              <w:ind w:left="127" w:right="112" w:firstLine="194"/>
              <w:rPr>
                <w:sz w:val="22"/>
              </w:rPr>
            </w:pPr>
            <w:r>
              <w:rPr>
                <w:sz w:val="22"/>
              </w:rPr>
              <w:t>Rancho Santa Rosa</w:t>
            </w:r>
          </w:p>
        </w:tc>
        <w:tc>
          <w:tcPr>
            <w:tcW w:w="1417" w:type="dxa"/>
          </w:tcPr>
          <w:p>
            <w:pPr/>
          </w:p>
        </w:tc>
        <w:tc>
          <w:tcPr>
            <w:tcW w:w="1560" w:type="dxa"/>
          </w:tcPr>
          <w:p>
            <w:pPr/>
          </w:p>
        </w:tc>
        <w:tc>
          <w:tcPr>
            <w:tcW w:w="991" w:type="dxa"/>
          </w:tcPr>
          <w:p>
            <w:pPr/>
          </w:p>
        </w:tc>
        <w:tc>
          <w:tcPr>
            <w:tcW w:w="1277" w:type="dxa"/>
          </w:tcPr>
          <w:p>
            <w:pPr/>
          </w:p>
        </w:tc>
        <w:tc>
          <w:tcPr>
            <w:tcW w:w="1133" w:type="dxa"/>
          </w:tcPr>
          <w:p>
            <w:pPr>
              <w:pStyle w:val="TableParagraph"/>
              <w:ind w:left="100" w:right="220"/>
              <w:rPr>
                <w:sz w:val="22"/>
              </w:rPr>
            </w:pPr>
            <w:r>
              <w:rPr>
                <w:sz w:val="22"/>
              </w:rPr>
              <w:t>desde hace 43 años.</w:t>
            </w:r>
          </w:p>
        </w:tc>
        <w:tc>
          <w:tcPr>
            <w:tcW w:w="3687" w:type="dxa"/>
          </w:tcPr>
          <w:p>
            <w:pPr>
              <w:pStyle w:val="TableParagraph"/>
              <w:spacing w:line="251" w:lineRule="exact"/>
              <w:rPr>
                <w:sz w:val="22"/>
              </w:rPr>
            </w:pPr>
            <w:r>
              <w:rPr>
                <w:sz w:val="22"/>
              </w:rPr>
              <w:t>que se decide.</w:t>
            </w:r>
          </w:p>
        </w:tc>
      </w:tr>
      <w:tr>
        <w:trPr>
          <w:trHeight w:val="2036" w:hRule="exact"/>
        </w:trPr>
        <w:tc>
          <w:tcPr>
            <w:tcW w:w="1385" w:type="dxa"/>
          </w:tcPr>
          <w:p>
            <w:pPr>
              <w:pStyle w:val="TableParagraph"/>
              <w:rPr>
                <w:sz w:val="22"/>
              </w:rPr>
            </w:pPr>
            <w:r>
              <w:rPr>
                <w:sz w:val="22"/>
              </w:rPr>
              <w:t>Álvaro Ortiz Alcántara (7/II/2015)</w:t>
            </w:r>
          </w:p>
        </w:tc>
        <w:tc>
          <w:tcPr>
            <w:tcW w:w="1418" w:type="dxa"/>
          </w:tcPr>
          <w:p>
            <w:pPr>
              <w:pStyle w:val="TableParagraph"/>
              <w:spacing w:line="251" w:lineRule="exact"/>
              <w:ind w:left="242" w:right="101"/>
              <w:rPr>
                <w:sz w:val="22"/>
              </w:rPr>
            </w:pPr>
            <w:r>
              <w:rPr>
                <w:sz w:val="22"/>
              </w:rPr>
              <w:t>El campo</w:t>
            </w:r>
          </w:p>
        </w:tc>
        <w:tc>
          <w:tcPr>
            <w:tcW w:w="1417" w:type="dxa"/>
          </w:tcPr>
          <w:p>
            <w:pPr>
              <w:pStyle w:val="TableParagraph"/>
              <w:spacing w:line="242" w:lineRule="auto"/>
              <w:ind w:left="100" w:right="174"/>
              <w:rPr>
                <w:sz w:val="22"/>
              </w:rPr>
            </w:pPr>
            <w:r>
              <w:rPr>
                <w:sz w:val="22"/>
              </w:rPr>
              <w:t>Comisariad o Ejidal</w:t>
            </w:r>
          </w:p>
        </w:tc>
        <w:tc>
          <w:tcPr>
            <w:tcW w:w="1560" w:type="dxa"/>
          </w:tcPr>
          <w:p>
            <w:pPr>
              <w:pStyle w:val="TableParagraph"/>
              <w:spacing w:line="251" w:lineRule="exact"/>
              <w:ind w:right="143"/>
              <w:rPr>
                <w:sz w:val="22"/>
              </w:rPr>
            </w:pPr>
            <w:r>
              <w:rPr>
                <w:sz w:val="22"/>
              </w:rPr>
              <w:t>San Juanico</w:t>
            </w:r>
          </w:p>
        </w:tc>
        <w:tc>
          <w:tcPr>
            <w:tcW w:w="991" w:type="dxa"/>
          </w:tcPr>
          <w:p>
            <w:pPr>
              <w:pStyle w:val="TableParagraph"/>
              <w:spacing w:line="242" w:lineRule="auto"/>
              <w:ind w:left="100" w:right="176"/>
              <w:rPr>
                <w:sz w:val="22"/>
              </w:rPr>
            </w:pPr>
            <w:r>
              <w:rPr>
                <w:sz w:val="22"/>
              </w:rPr>
              <w:t>Acamb ay</w:t>
            </w:r>
          </w:p>
        </w:tc>
        <w:tc>
          <w:tcPr>
            <w:tcW w:w="1277" w:type="dxa"/>
          </w:tcPr>
          <w:p>
            <w:pPr>
              <w:pStyle w:val="TableParagraph"/>
              <w:ind w:right="227"/>
              <w:rPr>
                <w:sz w:val="22"/>
              </w:rPr>
            </w:pPr>
            <w:r>
              <w:rPr>
                <w:sz w:val="22"/>
              </w:rPr>
              <w:t>San Juanico, Acambay</w:t>
            </w:r>
          </w:p>
        </w:tc>
        <w:tc>
          <w:tcPr>
            <w:tcW w:w="1133" w:type="dxa"/>
          </w:tcPr>
          <w:p>
            <w:pPr>
              <w:pStyle w:val="TableParagraph"/>
              <w:ind w:left="100" w:right="86"/>
              <w:rPr>
                <w:sz w:val="22"/>
              </w:rPr>
            </w:pPr>
            <w:r>
              <w:rPr>
                <w:sz w:val="22"/>
              </w:rPr>
              <w:t>San Juanico, Acambay</w:t>
            </w:r>
          </w:p>
        </w:tc>
        <w:tc>
          <w:tcPr>
            <w:tcW w:w="3687" w:type="dxa"/>
          </w:tcPr>
          <w:p>
            <w:pPr>
              <w:pStyle w:val="TableParagraph"/>
              <w:ind w:right="100"/>
              <w:jc w:val="both"/>
              <w:rPr>
                <w:sz w:val="22"/>
              </w:rPr>
            </w:pPr>
            <w:r>
              <w:rPr>
                <w:sz w:val="22"/>
              </w:rPr>
              <w:t>Sí para exponer nuestro  problema y ver a qué arreglo se llega porque el gobierno se apropió de nuestras tierras cuando vino el Procede, las puso como federales y son de nuestro Ejido. Hace años que estamos peleando, pero no nos hacen caso.</w:t>
            </w:r>
          </w:p>
        </w:tc>
      </w:tr>
      <w:tr>
        <w:trPr>
          <w:trHeight w:val="1526" w:hRule="exact"/>
        </w:trPr>
        <w:tc>
          <w:tcPr>
            <w:tcW w:w="1385" w:type="dxa"/>
          </w:tcPr>
          <w:p>
            <w:pPr>
              <w:pStyle w:val="TableParagraph"/>
              <w:ind w:right="139"/>
              <w:rPr>
                <w:sz w:val="22"/>
              </w:rPr>
            </w:pPr>
            <w:r>
              <w:rPr>
                <w:sz w:val="22"/>
              </w:rPr>
              <w:t>Sabas Guadarram a Mendoza (12/I/2014)</w:t>
            </w:r>
          </w:p>
        </w:tc>
        <w:tc>
          <w:tcPr>
            <w:tcW w:w="1418" w:type="dxa"/>
          </w:tcPr>
          <w:p>
            <w:pPr>
              <w:pStyle w:val="TableParagraph"/>
              <w:ind w:left="132" w:right="137" w:firstLine="2"/>
              <w:jc w:val="center"/>
              <w:rPr>
                <w:sz w:val="22"/>
              </w:rPr>
            </w:pPr>
            <w:r>
              <w:rPr>
                <w:sz w:val="22"/>
              </w:rPr>
              <w:t>El campo y representar a los ejidos del   municipio de Timilpan</w:t>
            </w:r>
          </w:p>
        </w:tc>
        <w:tc>
          <w:tcPr>
            <w:tcW w:w="1417" w:type="dxa"/>
          </w:tcPr>
          <w:p>
            <w:pPr>
              <w:pStyle w:val="TableParagraph"/>
              <w:tabs>
                <w:tab w:pos="703" w:val="left" w:leader="none"/>
              </w:tabs>
              <w:ind w:left="100" w:right="103"/>
              <w:rPr>
                <w:i/>
                <w:sz w:val="22"/>
              </w:rPr>
            </w:pPr>
            <w:r>
              <w:rPr>
                <w:i/>
                <w:sz w:val="22"/>
              </w:rPr>
              <w:t>Presidente </w:t>
            </w:r>
            <w:r>
              <w:rPr>
                <w:i/>
                <w:sz w:val="22"/>
              </w:rPr>
              <w:t>de la Unión de</w:t>
              <w:tab/>
            </w:r>
            <w:r>
              <w:rPr>
                <w:i/>
                <w:spacing w:val="-1"/>
                <w:sz w:val="22"/>
              </w:rPr>
              <w:t>Ejidos </w:t>
            </w:r>
            <w:r>
              <w:rPr>
                <w:i/>
                <w:sz w:val="22"/>
              </w:rPr>
              <w:t>de</w:t>
            </w:r>
            <w:r>
              <w:rPr>
                <w:i/>
                <w:spacing w:val="-4"/>
                <w:sz w:val="22"/>
              </w:rPr>
              <w:t> </w:t>
            </w:r>
            <w:r>
              <w:rPr>
                <w:i/>
                <w:sz w:val="22"/>
              </w:rPr>
              <w:t>Timilpan</w:t>
            </w:r>
          </w:p>
        </w:tc>
        <w:tc>
          <w:tcPr>
            <w:tcW w:w="1560" w:type="dxa"/>
          </w:tcPr>
          <w:p>
            <w:pPr>
              <w:pStyle w:val="TableParagraph"/>
              <w:spacing w:line="252" w:lineRule="exact" w:before="2"/>
              <w:ind w:right="522"/>
              <w:rPr>
                <w:sz w:val="22"/>
              </w:rPr>
            </w:pPr>
            <w:r>
              <w:rPr>
                <w:sz w:val="22"/>
              </w:rPr>
              <w:t>Ejidos de Timilpan</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ind w:right="153"/>
              <w:rPr>
                <w:sz w:val="22"/>
              </w:rPr>
            </w:pPr>
            <w:r>
              <w:rPr>
                <w:sz w:val="22"/>
              </w:rPr>
              <w:t>Rincón de Bucio, Timilpan</w:t>
            </w:r>
          </w:p>
        </w:tc>
        <w:tc>
          <w:tcPr>
            <w:tcW w:w="1133" w:type="dxa"/>
          </w:tcPr>
          <w:p>
            <w:pPr>
              <w:pStyle w:val="TableParagraph"/>
              <w:ind w:left="100" w:right="93"/>
              <w:rPr>
                <w:sz w:val="22"/>
              </w:rPr>
            </w:pPr>
            <w:r>
              <w:rPr>
                <w:sz w:val="22"/>
              </w:rPr>
              <w:t>Rincón de Bucio, Timilpan</w:t>
            </w:r>
          </w:p>
        </w:tc>
        <w:tc>
          <w:tcPr>
            <w:tcW w:w="3687" w:type="dxa"/>
          </w:tcPr>
          <w:p>
            <w:pPr>
              <w:pStyle w:val="TableParagraph"/>
              <w:ind w:right="101"/>
              <w:jc w:val="both"/>
              <w:rPr>
                <w:sz w:val="22"/>
              </w:rPr>
            </w:pPr>
            <w:r>
              <w:rPr>
                <w:sz w:val="22"/>
              </w:rPr>
              <w:t>¡Por supuesto que sí! para pelear por los derechos de los ejidatarios de Timilpan.</w:t>
            </w: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3955" w:right="397"/>
      </w:pPr>
      <w:r>
        <w:rPr/>
        <w:t>Tabla 6.8. Delegados Municipales (trabajo de campo)</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4"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 y cultura</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417" w:type="dxa"/>
            <w:tcBorders>
              <w:bottom w:val="nil"/>
            </w:tcBorders>
            <w:shd w:val="clear" w:color="auto" w:fill="F9BE8F"/>
          </w:tcPr>
          <w:p>
            <w:pPr>
              <w:pStyle w:val="TableParagraph"/>
              <w:spacing w:line="248" w:lineRule="exact"/>
              <w:ind w:left="100"/>
              <w:rPr>
                <w:b/>
                <w:sz w:val="22"/>
              </w:rPr>
            </w:pPr>
            <w:r>
              <w:rPr>
                <w:b/>
                <w:sz w:val="22"/>
              </w:rPr>
              <w:t>Cargo</w:t>
            </w:r>
          </w:p>
        </w:tc>
        <w:tc>
          <w:tcPr>
            <w:tcW w:w="1560" w:type="dxa"/>
            <w:tcBorders>
              <w:bottom w:val="nil"/>
            </w:tcBorders>
            <w:shd w:val="clear" w:color="auto" w:fill="F9BE8F"/>
          </w:tcPr>
          <w:p>
            <w:pPr>
              <w:pStyle w:val="TableParagraph"/>
              <w:spacing w:line="248" w:lineRule="exact"/>
              <w:ind w:right="143"/>
              <w:rPr>
                <w:b/>
                <w:sz w:val="22"/>
              </w:rPr>
            </w:pPr>
            <w:r>
              <w:rPr>
                <w:b/>
                <w:sz w:val="22"/>
              </w:rPr>
              <w:t>Comunidad</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1702" w:type="dxa"/>
            <w:tcBorders>
              <w:bottom w:val="nil"/>
            </w:tcBorders>
            <w:shd w:val="clear" w:color="auto" w:fill="92CDDC"/>
          </w:tcPr>
          <w:p>
            <w:pPr>
              <w:pStyle w:val="TableParagraph"/>
              <w:tabs>
                <w:tab w:pos="1199" w:val="left" w:leader="none"/>
              </w:tabs>
              <w:spacing w:line="248" w:lineRule="exact"/>
              <w:rPr>
                <w:b/>
                <w:sz w:val="22"/>
              </w:rPr>
            </w:pPr>
            <w:r>
              <w:rPr>
                <w:b/>
                <w:sz w:val="22"/>
              </w:rPr>
              <w:t>¿Cuáles</w:t>
              <w:tab/>
              <w:t>son</w:t>
            </w:r>
          </w:p>
        </w:tc>
        <w:tc>
          <w:tcPr>
            <w:tcW w:w="1985" w:type="dxa"/>
            <w:tcBorders>
              <w:bottom w:val="nil"/>
            </w:tcBorders>
            <w:shd w:val="clear" w:color="auto" w:fill="92CDDC"/>
          </w:tcPr>
          <w:p>
            <w:pPr>
              <w:pStyle w:val="TableParagraph"/>
              <w:spacing w:line="248" w:lineRule="exact"/>
              <w:rPr>
                <w:b/>
                <w:sz w:val="22"/>
              </w:rPr>
            </w:pPr>
            <w:r>
              <w:rPr>
                <w:b/>
                <w:sz w:val="22"/>
              </w:rPr>
              <w:t>¿Por   qué </w:t>
            </w:r>
            <w:r>
              <w:rPr>
                <w:b/>
                <w:spacing w:val="55"/>
                <w:sz w:val="22"/>
              </w:rPr>
              <w:t> </w:t>
            </w:r>
            <w:r>
              <w:rPr>
                <w:b/>
                <w:sz w:val="22"/>
              </w:rPr>
              <w:t>tiene</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1" w:lineRule="exact"/>
              <w:ind w:right="143"/>
              <w:rPr>
                <w:b/>
                <w:sz w:val="22"/>
              </w:rPr>
            </w:pPr>
            <w:r>
              <w:rPr>
                <w:b/>
                <w:sz w:val="22"/>
              </w:rPr>
              <w:t>que</w:t>
            </w: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los</w:t>
            </w:r>
          </w:p>
        </w:tc>
        <w:tc>
          <w:tcPr>
            <w:tcW w:w="1985" w:type="dxa"/>
            <w:tcBorders>
              <w:top w:val="nil"/>
              <w:bottom w:val="nil"/>
            </w:tcBorders>
            <w:shd w:val="clear" w:color="auto" w:fill="92CDDC"/>
          </w:tcPr>
          <w:p>
            <w:pPr>
              <w:pStyle w:val="TableParagraph"/>
              <w:tabs>
                <w:tab w:pos="1688" w:val="left" w:leader="none"/>
              </w:tabs>
              <w:spacing w:line="241" w:lineRule="exact"/>
              <w:rPr>
                <w:b/>
                <w:sz w:val="22"/>
              </w:rPr>
            </w:pPr>
            <w:r>
              <w:rPr>
                <w:b/>
                <w:sz w:val="22"/>
              </w:rPr>
              <w:t>problemas</w:t>
              <w:tab/>
              <w:t>la</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2" w:lineRule="exact"/>
              <w:ind w:right="143"/>
              <w:rPr>
                <w:b/>
                <w:sz w:val="22"/>
              </w:rPr>
            </w:pPr>
            <w:r>
              <w:rPr>
                <w:b/>
                <w:sz w:val="22"/>
              </w:rPr>
              <w:t>representa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problemas</w:t>
            </w: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laguna</w:t>
              <w:tab/>
              <w:t>de</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que   tiene   la</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3" w:val="left" w:leader="none"/>
              </w:tabs>
              <w:spacing w:line="241" w:lineRule="exact"/>
              <w:rPr>
                <w:b/>
                <w:sz w:val="22"/>
              </w:rPr>
            </w:pPr>
            <w:r>
              <w:rPr>
                <w:b/>
                <w:sz w:val="22"/>
              </w:rPr>
              <w:t>laguna</w:t>
              <w:tab/>
              <w:t>de</w:t>
            </w:r>
          </w:p>
        </w:tc>
        <w:tc>
          <w:tcPr>
            <w:tcW w:w="1985" w:type="dxa"/>
            <w:tcBorders>
              <w:top w:val="nil"/>
              <w:bottom w:val="nil"/>
            </w:tcBorders>
            <w:shd w:val="clear" w:color="auto" w:fill="92CDDC"/>
          </w:tcPr>
          <w:p>
            <w:pPr/>
          </w:p>
        </w:tc>
      </w:tr>
      <w:tr>
        <w:trPr>
          <w:trHeight w:val="251"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417" w:type="dxa"/>
            <w:tcBorders>
              <w:top w:val="nil"/>
            </w:tcBorders>
            <w:shd w:val="clear" w:color="auto" w:fill="F9BE8F"/>
          </w:tcPr>
          <w:p>
            <w:pPr/>
          </w:p>
        </w:tc>
        <w:tc>
          <w:tcPr>
            <w:tcW w:w="1560"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3" w:lineRule="exact"/>
              <w:rPr>
                <w:b/>
                <w:sz w:val="22"/>
              </w:rPr>
            </w:pPr>
            <w:r>
              <w:rPr>
                <w:b/>
                <w:sz w:val="22"/>
              </w:rPr>
              <w:t>Huapango?</w:t>
            </w:r>
          </w:p>
        </w:tc>
        <w:tc>
          <w:tcPr>
            <w:tcW w:w="1985"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Gabriel</w:t>
            </w:r>
          </w:p>
        </w:tc>
        <w:tc>
          <w:tcPr>
            <w:tcW w:w="1418" w:type="dxa"/>
            <w:tcBorders>
              <w:bottom w:val="nil"/>
            </w:tcBorders>
          </w:tcPr>
          <w:p>
            <w:pPr>
              <w:pStyle w:val="TableParagraph"/>
              <w:spacing w:line="251" w:lineRule="exact"/>
              <w:ind w:left="100" w:right="101"/>
              <w:rPr>
                <w:sz w:val="22"/>
              </w:rPr>
            </w:pPr>
            <w:r>
              <w:rPr>
                <w:sz w:val="22"/>
              </w:rPr>
              <w:t>El comercio</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Aldama</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Aldama,</w:t>
            </w:r>
          </w:p>
        </w:tc>
        <w:tc>
          <w:tcPr>
            <w:tcW w:w="1133" w:type="dxa"/>
            <w:tcBorders>
              <w:bottom w:val="nil"/>
            </w:tcBorders>
          </w:tcPr>
          <w:p>
            <w:pPr>
              <w:pStyle w:val="TableParagraph"/>
              <w:spacing w:line="251" w:lineRule="exact"/>
              <w:ind w:left="100" w:right="52"/>
              <w:rPr>
                <w:sz w:val="22"/>
              </w:rPr>
            </w:pPr>
            <w:r>
              <w:rPr>
                <w:sz w:val="22"/>
              </w:rPr>
              <w:t>Aldama,</w:t>
            </w:r>
          </w:p>
        </w:tc>
        <w:tc>
          <w:tcPr>
            <w:tcW w:w="1702" w:type="dxa"/>
            <w:tcBorders>
              <w:bottom w:val="nil"/>
            </w:tcBorders>
          </w:tcPr>
          <w:p>
            <w:pPr>
              <w:pStyle w:val="TableParagraph"/>
              <w:tabs>
                <w:tab w:pos="767" w:val="left" w:leader="none"/>
              </w:tabs>
              <w:spacing w:line="251" w:lineRule="exact"/>
              <w:rPr>
                <w:sz w:val="22"/>
              </w:rPr>
            </w:pPr>
            <w:r>
              <w:rPr>
                <w:sz w:val="22"/>
              </w:rPr>
              <w:t>El</w:t>
              <w:tab/>
              <w:t>principal</w:t>
            </w:r>
          </w:p>
        </w:tc>
        <w:tc>
          <w:tcPr>
            <w:tcW w:w="1985" w:type="dxa"/>
            <w:tcBorders>
              <w:bottom w:val="nil"/>
            </w:tcBorders>
          </w:tcPr>
          <w:p>
            <w:pPr>
              <w:pStyle w:val="TableParagraph"/>
              <w:tabs>
                <w:tab w:pos="1458" w:val="left" w:leader="none"/>
              </w:tabs>
              <w:spacing w:line="251" w:lineRule="exact"/>
              <w:rPr>
                <w:sz w:val="22"/>
              </w:rPr>
            </w:pPr>
            <w:r>
              <w:rPr>
                <w:sz w:val="22"/>
              </w:rPr>
              <w:t>Porque</w:t>
              <w:tab/>
              <w:t>está</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(tienda de</w:t>
            </w:r>
          </w:p>
        </w:tc>
        <w:tc>
          <w:tcPr>
            <w:tcW w:w="1417" w:type="dxa"/>
            <w:tcBorders>
              <w:top w:val="nil"/>
              <w:bottom w:val="nil"/>
            </w:tcBorders>
          </w:tcPr>
          <w:p>
            <w:pPr>
              <w:pStyle w:val="TableParagraph"/>
              <w:spacing w:line="242"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2" w:lineRule="exact"/>
              <w:ind w:left="100"/>
              <w:rPr>
                <w:sz w:val="22"/>
              </w:rPr>
            </w:pPr>
            <w:r>
              <w:rPr>
                <w:w w:val="100"/>
                <w:sz w:val="22"/>
              </w:rPr>
              <w:t>c</w:t>
            </w:r>
          </w:p>
        </w:tc>
        <w:tc>
          <w:tcPr>
            <w:tcW w:w="1277" w:type="dxa"/>
            <w:tcBorders>
              <w:top w:val="nil"/>
              <w:bottom w:val="nil"/>
            </w:tcBorders>
          </w:tcPr>
          <w:p>
            <w:pPr>
              <w:pStyle w:val="TableParagraph"/>
              <w:spacing w:line="242" w:lineRule="exact"/>
              <w:ind w:right="92"/>
              <w:rPr>
                <w:sz w:val="22"/>
              </w:rPr>
            </w:pPr>
            <w:r>
              <w:rPr>
                <w:sz w:val="22"/>
              </w:rPr>
              <w:t>Jilotepec</w:t>
            </w: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spacing w:line="242" w:lineRule="exact"/>
              <w:rPr>
                <w:sz w:val="22"/>
              </w:rPr>
            </w:pPr>
            <w:r>
              <w:rPr>
                <w:sz w:val="22"/>
              </w:rPr>
              <w:t>problema   que</w:t>
            </w:r>
          </w:p>
        </w:tc>
        <w:tc>
          <w:tcPr>
            <w:tcW w:w="1985" w:type="dxa"/>
            <w:tcBorders>
              <w:top w:val="nil"/>
              <w:bottom w:val="nil"/>
            </w:tcBorders>
          </w:tcPr>
          <w:p>
            <w:pPr>
              <w:pStyle w:val="TableParagraph"/>
              <w:tabs>
                <w:tab w:pos="1703" w:val="left" w:leader="none"/>
              </w:tabs>
              <w:spacing w:line="242" w:lineRule="exact"/>
              <w:rPr>
                <w:sz w:val="22"/>
              </w:rPr>
            </w:pPr>
            <w:r>
              <w:rPr>
                <w:sz w:val="22"/>
              </w:rPr>
              <w:t>creciendo</w:t>
              <w:tab/>
              <w:t>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González</w:t>
            </w:r>
          </w:p>
        </w:tc>
        <w:tc>
          <w:tcPr>
            <w:tcW w:w="1418" w:type="dxa"/>
            <w:tcBorders>
              <w:top w:val="nil"/>
              <w:bottom w:val="nil"/>
            </w:tcBorders>
          </w:tcPr>
          <w:p>
            <w:pPr>
              <w:pStyle w:val="TableParagraph"/>
              <w:spacing w:line="241" w:lineRule="exact"/>
              <w:ind w:left="100"/>
              <w:rPr>
                <w:sz w:val="22"/>
              </w:rPr>
            </w:pPr>
            <w:r>
              <w:rPr>
                <w:sz w:val="22"/>
              </w:rPr>
              <w:t>abarrotes) y</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tiene la</w:t>
            </w:r>
            <w:r>
              <w:rPr>
                <w:spacing w:val="51"/>
                <w:sz w:val="22"/>
              </w:rPr>
              <w:t> </w:t>
            </w:r>
            <w:r>
              <w:rPr>
                <w:sz w:val="22"/>
              </w:rPr>
              <w:t>laguna</w:t>
            </w:r>
          </w:p>
        </w:tc>
        <w:tc>
          <w:tcPr>
            <w:tcW w:w="1985" w:type="dxa"/>
            <w:tcBorders>
              <w:top w:val="nil"/>
              <w:bottom w:val="nil"/>
            </w:tcBorders>
          </w:tcPr>
          <w:p>
            <w:pPr>
              <w:pStyle w:val="TableParagraph"/>
              <w:tabs>
                <w:tab w:pos="1276" w:val="left" w:leader="none"/>
                <w:tab w:pos="1628" w:val="left" w:leader="none"/>
              </w:tabs>
              <w:spacing w:line="241" w:lineRule="exact"/>
              <w:rPr>
                <w:sz w:val="22"/>
              </w:rPr>
            </w:pPr>
            <w:r>
              <w:rPr>
                <w:sz w:val="22"/>
              </w:rPr>
              <w:t>municipio</w:t>
              <w:tab/>
              <w:t>y</w:t>
              <w:tab/>
              <w:t>no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(7/7/2014)</w:t>
            </w:r>
          </w:p>
        </w:tc>
        <w:tc>
          <w:tcPr>
            <w:tcW w:w="1418" w:type="dxa"/>
            <w:tcBorders>
              <w:top w:val="nil"/>
              <w:bottom w:val="nil"/>
            </w:tcBorders>
          </w:tcPr>
          <w:p>
            <w:pPr>
              <w:pStyle w:val="TableParagraph"/>
              <w:spacing w:line="242" w:lineRule="exact"/>
              <w:ind w:left="100" w:right="101"/>
              <w:rPr>
                <w:sz w:val="22"/>
              </w:rPr>
            </w:pPr>
            <w:r>
              <w:rPr>
                <w:sz w:val="22"/>
              </w:rPr>
              <w:t>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73" w:val="left" w:leader="none"/>
              </w:tabs>
              <w:spacing w:line="242" w:lineRule="exact"/>
              <w:rPr>
                <w:sz w:val="22"/>
              </w:rPr>
            </w:pPr>
            <w:r>
              <w:rPr>
                <w:sz w:val="22"/>
              </w:rPr>
              <w:t>de</w:t>
              <w:tab/>
              <w:t>Huapango</w:t>
            </w:r>
          </w:p>
        </w:tc>
        <w:tc>
          <w:tcPr>
            <w:tcW w:w="1985" w:type="dxa"/>
            <w:tcBorders>
              <w:top w:val="nil"/>
              <w:bottom w:val="nil"/>
            </w:tcBorders>
          </w:tcPr>
          <w:p>
            <w:pPr>
              <w:pStyle w:val="TableParagraph"/>
              <w:spacing w:line="242" w:lineRule="exact"/>
              <w:rPr>
                <w:sz w:val="22"/>
              </w:rPr>
            </w:pPr>
            <w:r>
              <w:rPr>
                <w:sz w:val="22"/>
              </w:rPr>
              <w:t>hay   lugar  donde</w:t>
            </w: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tabs>
                <w:tab w:pos="662" w:val="left" w:leader="none"/>
                <w:tab w:pos="1357" w:val="left" w:leader="none"/>
              </w:tabs>
              <w:spacing w:line="241" w:lineRule="exact"/>
              <w:rPr>
                <w:sz w:val="22"/>
              </w:rPr>
            </w:pPr>
            <w:r>
              <w:rPr>
                <w:sz w:val="22"/>
              </w:rPr>
              <w:t>es</w:t>
              <w:tab/>
              <w:t>que</w:t>
              <w:tab/>
              <w:t>se</w:t>
            </w:r>
          </w:p>
        </w:tc>
        <w:tc>
          <w:tcPr>
            <w:tcW w:w="1985" w:type="dxa"/>
            <w:tcBorders>
              <w:top w:val="nil"/>
            </w:tcBorders>
          </w:tcPr>
          <w:p>
            <w:pPr>
              <w:pStyle w:val="TableParagraph"/>
              <w:spacing w:line="241" w:lineRule="exact"/>
              <w:rPr>
                <w:sz w:val="22"/>
              </w:rPr>
            </w:pPr>
            <w:r>
              <w:rPr>
                <w:sz w:val="22"/>
              </w:rPr>
              <w:t>tratar el agua.</w:t>
            </w:r>
          </w:p>
        </w:tc>
      </w:tr>
    </w:tbl>
    <w:p>
      <w:pPr>
        <w:spacing w:after="0" w:line="24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66" w:hRule="exact"/>
        </w:trPr>
        <w:tc>
          <w:tcPr>
            <w:tcW w:w="1385" w:type="dxa"/>
            <w:vMerge w:val="restart"/>
          </w:tcPr>
          <w:p>
            <w:pPr/>
          </w:p>
        </w:tc>
        <w:tc>
          <w:tcPr>
            <w:tcW w:w="1418" w:type="dxa"/>
            <w:vMerge w:val="restart"/>
          </w:tcPr>
          <w:p>
            <w:pPr/>
          </w:p>
        </w:tc>
        <w:tc>
          <w:tcPr>
            <w:tcW w:w="1417" w:type="dxa"/>
            <w:vMerge w:val="restart"/>
          </w:tcPr>
          <w:p>
            <w:pPr/>
          </w:p>
        </w:tc>
        <w:tc>
          <w:tcPr>
            <w:tcW w:w="1560" w:type="dxa"/>
            <w:vMerge w:val="restart"/>
          </w:tcPr>
          <w:p>
            <w:pPr/>
          </w:p>
        </w:tc>
        <w:tc>
          <w:tcPr>
            <w:tcW w:w="991" w:type="dxa"/>
            <w:vMerge w:val="restart"/>
          </w:tcPr>
          <w:p>
            <w:pPr/>
          </w:p>
        </w:tc>
        <w:tc>
          <w:tcPr>
            <w:tcW w:w="1277" w:type="dxa"/>
            <w:vMerge w:val="restart"/>
          </w:tcPr>
          <w:p>
            <w:pPr/>
          </w:p>
        </w:tc>
        <w:tc>
          <w:tcPr>
            <w:tcW w:w="1133" w:type="dxa"/>
            <w:vMerge w:val="restart"/>
          </w:tcPr>
          <w:p>
            <w:pPr/>
          </w:p>
        </w:tc>
        <w:tc>
          <w:tcPr>
            <w:tcW w:w="1702" w:type="dxa"/>
            <w:tcBorders>
              <w:bottom w:val="nil"/>
            </w:tcBorders>
          </w:tcPr>
          <w:p>
            <w:pPr>
              <w:pStyle w:val="TableParagraph"/>
              <w:spacing w:line="251" w:lineRule="exact"/>
              <w:rPr>
                <w:sz w:val="22"/>
              </w:rPr>
            </w:pPr>
            <w:r>
              <w:rPr>
                <w:sz w:val="22"/>
              </w:rPr>
              <w:t>escuchan</w:t>
            </w:r>
          </w:p>
        </w:tc>
        <w:tc>
          <w:tcPr>
            <w:tcW w:w="1985" w:type="dxa"/>
            <w:tcBorders>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221" w:val="left" w:leader="none"/>
              </w:tabs>
              <w:spacing w:line="241" w:lineRule="exact"/>
              <w:rPr>
                <w:sz w:val="22"/>
              </w:rPr>
            </w:pPr>
            <w:r>
              <w:rPr>
                <w:sz w:val="22"/>
              </w:rPr>
              <w:t>rumores</w:t>
              <w:tab/>
              <w:t>que</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758" w:val="left" w:leader="none"/>
              </w:tabs>
              <w:spacing w:line="242" w:lineRule="exact"/>
              <w:rPr>
                <w:sz w:val="22"/>
              </w:rPr>
            </w:pPr>
            <w:r>
              <w:rPr>
                <w:sz w:val="22"/>
              </w:rPr>
              <w:t>está</w:t>
              <w:tab/>
              <w:t>llegando</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agua</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contaminada</w:t>
            </w:r>
          </w:p>
        </w:tc>
        <w:tc>
          <w:tcPr>
            <w:tcW w:w="1985" w:type="dxa"/>
            <w:tcBorders>
              <w:top w:val="nil"/>
              <w:bottom w:val="nil"/>
            </w:tcBorders>
          </w:tcPr>
          <w:p>
            <w:pPr/>
          </w:p>
        </w:tc>
      </w:tr>
      <w:tr>
        <w:trPr>
          <w:trHeight w:val="379"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de Timilpan.</w:t>
            </w:r>
          </w:p>
        </w:tc>
        <w:tc>
          <w:tcPr>
            <w:tcW w:w="1985" w:type="dxa"/>
            <w:tcBorders>
              <w:top w:val="nil"/>
              <w:bottom w:val="nil"/>
            </w:tcBorders>
          </w:tcPr>
          <w:p>
            <w:pPr/>
          </w:p>
        </w:tc>
      </w:tr>
      <w:tr>
        <w:trPr>
          <w:trHeight w:val="380"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before="115"/>
              <w:rPr>
                <w:sz w:val="22"/>
              </w:rPr>
            </w:pPr>
            <w:r>
              <w:rPr>
                <w:sz w:val="22"/>
              </w:rPr>
              <w:t>Otro  problema</w:t>
            </w:r>
          </w:p>
        </w:tc>
        <w:tc>
          <w:tcPr>
            <w:tcW w:w="1985" w:type="dxa"/>
            <w:tcBorders>
              <w:top w:val="nil"/>
              <w:bottom w:val="nil"/>
            </w:tcBorders>
          </w:tcPr>
          <w:p>
            <w:pPr>
              <w:pStyle w:val="TableParagraph"/>
              <w:tabs>
                <w:tab w:pos="1151" w:val="left" w:leader="none"/>
              </w:tabs>
              <w:spacing w:before="115"/>
              <w:rPr>
                <w:sz w:val="22"/>
              </w:rPr>
            </w:pPr>
            <w:r>
              <w:rPr>
                <w:sz w:val="22"/>
              </w:rPr>
              <w:t>Porque</w:t>
              <w:tab/>
              <w:t>cuando</w:t>
            </w:r>
          </w:p>
        </w:tc>
      </w:tr>
      <w:tr>
        <w:trPr>
          <w:trHeight w:val="254"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705" w:val="left" w:leader="none"/>
                <w:tab w:pos="1417" w:val="left" w:leader="none"/>
              </w:tabs>
              <w:spacing w:line="241" w:lineRule="exact"/>
              <w:rPr>
                <w:sz w:val="22"/>
              </w:rPr>
            </w:pPr>
            <w:r>
              <w:rPr>
                <w:sz w:val="22"/>
              </w:rPr>
              <w:t>que</w:t>
              <w:tab/>
              <w:t>tiene</w:t>
              <w:tab/>
              <w:t>la</w:t>
            </w:r>
          </w:p>
        </w:tc>
        <w:tc>
          <w:tcPr>
            <w:tcW w:w="1985" w:type="dxa"/>
            <w:tcBorders>
              <w:top w:val="nil"/>
              <w:bottom w:val="nil"/>
            </w:tcBorders>
          </w:tcPr>
          <w:p>
            <w:pPr>
              <w:pStyle w:val="TableParagraph"/>
              <w:tabs>
                <w:tab w:pos="1638" w:val="left" w:leader="none"/>
              </w:tabs>
              <w:spacing w:line="241" w:lineRule="exact"/>
              <w:rPr>
                <w:sz w:val="22"/>
              </w:rPr>
            </w:pPr>
            <w:r>
              <w:rPr>
                <w:sz w:val="22"/>
              </w:rPr>
              <w:t>llueve</w:t>
              <w:tab/>
              <w:t>se</w:t>
            </w: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laguna  es que</w:t>
            </w:r>
          </w:p>
        </w:tc>
        <w:tc>
          <w:tcPr>
            <w:tcW w:w="1985" w:type="dxa"/>
            <w:tcBorders>
              <w:top w:val="nil"/>
              <w:bottom w:val="nil"/>
            </w:tcBorders>
          </w:tcPr>
          <w:p>
            <w:pPr>
              <w:pStyle w:val="TableParagraph"/>
              <w:tabs>
                <w:tab w:pos="1761" w:val="left" w:leader="none"/>
              </w:tabs>
              <w:spacing w:line="242" w:lineRule="exact"/>
              <w:rPr>
                <w:sz w:val="22"/>
              </w:rPr>
            </w:pPr>
            <w:r>
              <w:rPr>
                <w:sz w:val="22"/>
              </w:rPr>
              <w:t>deslavaban</w:t>
              <w:tab/>
              <w:t>y</w:t>
            </w:r>
          </w:p>
        </w:tc>
      </w:tr>
      <w:tr>
        <w:trPr>
          <w:trHeight w:val="252"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307" w:val="left" w:leader="none"/>
              </w:tabs>
              <w:spacing w:line="241" w:lineRule="exact"/>
              <w:rPr>
                <w:sz w:val="22"/>
              </w:rPr>
            </w:pPr>
            <w:r>
              <w:rPr>
                <w:sz w:val="22"/>
              </w:rPr>
              <w:t>llegan</w:t>
              <w:tab/>
              <w:t>los</w:t>
            </w:r>
          </w:p>
        </w:tc>
        <w:tc>
          <w:tcPr>
            <w:tcW w:w="1985" w:type="dxa"/>
            <w:tcBorders>
              <w:top w:val="nil"/>
              <w:bottom w:val="nil"/>
            </w:tcBorders>
          </w:tcPr>
          <w:p>
            <w:pPr>
              <w:pStyle w:val="TableParagraph"/>
              <w:spacing w:line="241" w:lineRule="exact"/>
              <w:rPr>
                <w:sz w:val="22"/>
              </w:rPr>
            </w:pPr>
            <w:r>
              <w:rPr>
                <w:sz w:val="22"/>
              </w:rPr>
              <w:t>llegan para allá.</w:t>
            </w: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insecticidas</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358" w:val="left" w:leader="none"/>
              </w:tabs>
              <w:spacing w:line="242" w:lineRule="exact"/>
              <w:rPr>
                <w:sz w:val="22"/>
              </w:rPr>
            </w:pPr>
            <w:r>
              <w:rPr>
                <w:sz w:val="22"/>
              </w:rPr>
              <w:t>cuando</w:t>
              <w:tab/>
              <w:t>se</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tabs>
                <w:tab w:pos="1309" w:val="left" w:leader="none"/>
              </w:tabs>
              <w:spacing w:line="241" w:lineRule="exact"/>
              <w:rPr>
                <w:sz w:val="22"/>
              </w:rPr>
            </w:pPr>
            <w:r>
              <w:rPr>
                <w:sz w:val="22"/>
              </w:rPr>
              <w:t>fumigan</w:t>
              <w:tab/>
              <w:t>las</w:t>
            </w:r>
          </w:p>
        </w:tc>
        <w:tc>
          <w:tcPr>
            <w:tcW w:w="1985" w:type="dxa"/>
            <w:tcBorders>
              <w:top w:val="nil"/>
              <w:bottom w:val="nil"/>
            </w:tcBorders>
          </w:tcPr>
          <w:p>
            <w:pPr/>
          </w:p>
        </w:tc>
      </w:tr>
      <w:tr>
        <w:trPr>
          <w:trHeight w:val="249"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tcBorders>
          </w:tcPr>
          <w:p>
            <w:pPr>
              <w:pStyle w:val="TableParagraph"/>
              <w:spacing w:line="242" w:lineRule="exact"/>
              <w:rPr>
                <w:sz w:val="22"/>
              </w:rPr>
            </w:pPr>
            <w:r>
              <w:rPr>
                <w:sz w:val="22"/>
              </w:rPr>
              <w:t>milpas.</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Abel</w:t>
            </w:r>
          </w:p>
        </w:tc>
        <w:tc>
          <w:tcPr>
            <w:tcW w:w="1418" w:type="dxa"/>
            <w:tcBorders>
              <w:bottom w:val="nil"/>
            </w:tcBorders>
          </w:tcPr>
          <w:p>
            <w:pPr>
              <w:pStyle w:val="TableParagraph"/>
              <w:spacing w:line="251" w:lineRule="exact"/>
              <w:ind w:left="100" w:right="101"/>
              <w:rPr>
                <w:sz w:val="22"/>
              </w:rPr>
            </w:pPr>
            <w:r>
              <w:rPr>
                <w:sz w:val="22"/>
              </w:rPr>
              <w:t>Profesor de</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Huapango</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spacing w:line="251" w:lineRule="exact"/>
              <w:rPr>
                <w:sz w:val="22"/>
              </w:rPr>
            </w:pPr>
            <w:r>
              <w:rPr>
                <w:sz w:val="22"/>
              </w:rPr>
              <w:t>La</w:t>
            </w:r>
          </w:p>
        </w:tc>
        <w:tc>
          <w:tcPr>
            <w:tcW w:w="1985" w:type="dxa"/>
            <w:tcBorders>
              <w:bottom w:val="nil"/>
            </w:tcBorders>
          </w:tcPr>
          <w:p>
            <w:pPr>
              <w:pStyle w:val="TableParagraph"/>
              <w:spacing w:line="251" w:lineRule="exact"/>
              <w:rPr>
                <w:sz w:val="22"/>
              </w:rPr>
            </w:pPr>
            <w:r>
              <w:rPr>
                <w:sz w:val="22"/>
              </w:rPr>
              <w:t>Porque desaguan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Miranda</w:t>
            </w:r>
          </w:p>
        </w:tc>
        <w:tc>
          <w:tcPr>
            <w:tcW w:w="1418" w:type="dxa"/>
            <w:tcBorders>
              <w:top w:val="nil"/>
              <w:bottom w:val="nil"/>
            </w:tcBorders>
          </w:tcPr>
          <w:p>
            <w:pPr>
              <w:pStyle w:val="TableParagraph"/>
              <w:spacing w:line="242" w:lineRule="exact"/>
              <w:ind w:left="100" w:right="101"/>
              <w:rPr>
                <w:sz w:val="22"/>
              </w:rPr>
            </w:pPr>
            <w:r>
              <w:rPr>
                <w:sz w:val="22"/>
              </w:rPr>
              <w:t>secundaria</w:t>
            </w:r>
          </w:p>
        </w:tc>
        <w:tc>
          <w:tcPr>
            <w:tcW w:w="1417" w:type="dxa"/>
            <w:tcBorders>
              <w:top w:val="nil"/>
              <w:bottom w:val="nil"/>
            </w:tcBorders>
          </w:tcPr>
          <w:p>
            <w:pPr>
              <w:pStyle w:val="TableParagraph"/>
              <w:spacing w:line="242"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Style w:val="TableParagraph"/>
              <w:spacing w:line="242" w:lineRule="exact"/>
              <w:ind w:right="92"/>
              <w:rPr>
                <w:sz w:val="22"/>
              </w:rPr>
            </w:pPr>
            <w:r>
              <w:rPr>
                <w:sz w:val="22"/>
              </w:rPr>
              <w:t>, Timilpan</w:t>
            </w:r>
          </w:p>
        </w:tc>
        <w:tc>
          <w:tcPr>
            <w:tcW w:w="1133" w:type="dxa"/>
            <w:tcBorders>
              <w:top w:val="nil"/>
              <w:bottom w:val="nil"/>
            </w:tcBorders>
          </w:tcPr>
          <w:p>
            <w:pPr>
              <w:pStyle w:val="TableParagraph"/>
              <w:spacing w:line="242" w:lineRule="exact"/>
              <w:ind w:left="100" w:right="52"/>
              <w:rPr>
                <w:sz w:val="22"/>
              </w:rPr>
            </w:pPr>
            <w:r>
              <w:rPr>
                <w:sz w:val="22"/>
              </w:rPr>
              <w:t>o,</w:t>
            </w:r>
          </w:p>
        </w:tc>
        <w:tc>
          <w:tcPr>
            <w:tcW w:w="1702" w:type="dxa"/>
            <w:tcBorders>
              <w:top w:val="nil"/>
              <w:bottom w:val="nil"/>
            </w:tcBorders>
          </w:tcPr>
          <w:p>
            <w:pPr>
              <w:pStyle w:val="TableParagraph"/>
              <w:spacing w:line="242" w:lineRule="exact"/>
              <w:rPr>
                <w:sz w:val="22"/>
              </w:rPr>
            </w:pPr>
            <w:r>
              <w:rPr>
                <w:sz w:val="22"/>
              </w:rPr>
              <w:t>contaminación</w:t>
            </w:r>
          </w:p>
        </w:tc>
        <w:tc>
          <w:tcPr>
            <w:tcW w:w="1985" w:type="dxa"/>
            <w:tcBorders>
              <w:top w:val="nil"/>
              <w:bottom w:val="nil"/>
            </w:tcBorders>
          </w:tcPr>
          <w:p>
            <w:pPr>
              <w:pStyle w:val="TableParagraph"/>
              <w:spacing w:line="242" w:lineRule="exact"/>
              <w:rPr>
                <w:sz w:val="22"/>
              </w:rPr>
            </w:pPr>
            <w:r>
              <w:rPr>
                <w:sz w:val="22"/>
              </w:rPr>
              <w:t>muchos  drenajes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Miranda</w:t>
            </w:r>
          </w:p>
        </w:tc>
        <w:tc>
          <w:tcPr>
            <w:tcW w:w="1418" w:type="dxa"/>
            <w:tcBorders>
              <w:top w:val="nil"/>
              <w:bottom w:val="nil"/>
            </w:tcBorders>
          </w:tcPr>
          <w:p>
            <w:pPr>
              <w:pStyle w:val="TableParagraph"/>
              <w:spacing w:line="241" w:lineRule="exact"/>
              <w:ind w:left="100" w:right="101"/>
              <w:rPr>
                <w:sz w:val="22"/>
              </w:rPr>
            </w:pPr>
            <w:r>
              <w:rPr>
                <w:sz w:val="22"/>
              </w:rPr>
              <w:t>y 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de Timilpan.</w:t>
            </w:r>
          </w:p>
        </w:tc>
      </w:tr>
      <w:tr>
        <w:trPr>
          <w:trHeight w:val="876" w:hRule="exact"/>
        </w:trPr>
        <w:tc>
          <w:tcPr>
            <w:tcW w:w="1385" w:type="dxa"/>
            <w:tcBorders>
              <w:top w:val="nil"/>
            </w:tcBorders>
          </w:tcPr>
          <w:p>
            <w:pPr>
              <w:pStyle w:val="TableParagraph"/>
              <w:spacing w:line="241" w:lineRule="exact"/>
              <w:ind w:right="127"/>
              <w:rPr>
                <w:sz w:val="22"/>
              </w:rPr>
            </w:pPr>
            <w:r>
              <w:rPr>
                <w:sz w:val="22"/>
              </w:rPr>
              <w:t>(7/7/2014)</w:t>
            </w: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Yolanda</w:t>
            </w:r>
          </w:p>
        </w:tc>
        <w:tc>
          <w:tcPr>
            <w:tcW w:w="1418" w:type="dxa"/>
            <w:tcBorders>
              <w:bottom w:val="nil"/>
            </w:tcBorders>
          </w:tcPr>
          <w:p>
            <w:pPr>
              <w:pStyle w:val="TableParagraph"/>
              <w:spacing w:line="251" w:lineRule="exact"/>
              <w:ind w:left="100"/>
              <w:rPr>
                <w:sz w:val="22"/>
              </w:rPr>
            </w:pPr>
            <w:r>
              <w:rPr>
                <w:sz w:val="22"/>
              </w:rPr>
              <w:t>El   hogar  y</w:t>
            </w:r>
          </w:p>
        </w:tc>
        <w:tc>
          <w:tcPr>
            <w:tcW w:w="1417" w:type="dxa"/>
            <w:tcBorders>
              <w:bottom w:val="nil"/>
            </w:tcBorders>
          </w:tcPr>
          <w:p>
            <w:pPr>
              <w:pStyle w:val="TableParagraph"/>
              <w:spacing w:line="251" w:lineRule="exact"/>
              <w:ind w:left="100"/>
              <w:rPr>
                <w:sz w:val="22"/>
              </w:rPr>
            </w:pPr>
            <w:r>
              <w:rPr>
                <w:sz w:val="22"/>
              </w:rPr>
              <w:t>Delegada</w:t>
            </w:r>
          </w:p>
        </w:tc>
        <w:tc>
          <w:tcPr>
            <w:tcW w:w="1560" w:type="dxa"/>
            <w:tcBorders>
              <w:bottom w:val="nil"/>
            </w:tcBorders>
          </w:tcPr>
          <w:p>
            <w:pPr>
              <w:pStyle w:val="TableParagraph"/>
              <w:spacing w:line="251" w:lineRule="exact"/>
              <w:ind w:right="143"/>
              <w:rPr>
                <w:sz w:val="22"/>
              </w:rPr>
            </w:pPr>
            <w:r>
              <w:rPr>
                <w:sz w:val="22"/>
              </w:rPr>
              <w:t>El Saltillo</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990" w:val="left" w:leader="none"/>
              </w:tabs>
              <w:spacing w:line="251" w:lineRule="exact"/>
              <w:rPr>
                <w:sz w:val="22"/>
              </w:rPr>
            </w:pPr>
            <w:r>
              <w:rPr>
                <w:sz w:val="22"/>
              </w:rPr>
              <w:t>Las</w:t>
              <w:tab/>
              <w:t>aguas</w:t>
            </w:r>
          </w:p>
        </w:tc>
        <w:tc>
          <w:tcPr>
            <w:tcW w:w="1985" w:type="dxa"/>
            <w:tcBorders>
              <w:bottom w:val="nil"/>
            </w:tcBorders>
          </w:tcPr>
          <w:p>
            <w:pPr>
              <w:pStyle w:val="TableParagraph"/>
              <w:tabs>
                <w:tab w:pos="1629" w:val="left" w:leader="none"/>
              </w:tabs>
              <w:spacing w:line="251" w:lineRule="exact"/>
              <w:rPr>
                <w:sz w:val="22"/>
              </w:rPr>
            </w:pPr>
            <w:r>
              <w:rPr>
                <w:sz w:val="22"/>
              </w:rPr>
              <w:t>Porque</w:t>
              <w:tab/>
              <w:t>en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Lovera</w:t>
            </w:r>
          </w:p>
        </w:tc>
        <w:tc>
          <w:tcPr>
            <w:tcW w:w="1418" w:type="dxa"/>
            <w:tcBorders>
              <w:top w:val="nil"/>
              <w:bottom w:val="nil"/>
            </w:tcBorders>
          </w:tcPr>
          <w:p>
            <w:pPr>
              <w:pStyle w:val="TableParagraph"/>
              <w:spacing w:line="242" w:lineRule="exact"/>
              <w:ind w:left="100" w:right="101"/>
              <w:rPr>
                <w:sz w:val="22"/>
              </w:rPr>
            </w:pPr>
            <w:r>
              <w:rPr>
                <w:sz w:val="22"/>
              </w:rPr>
              <w:t>ser</w:t>
            </w:r>
          </w:p>
        </w:tc>
        <w:tc>
          <w:tcPr>
            <w:tcW w:w="1417" w:type="dxa"/>
            <w:tcBorders>
              <w:top w:val="nil"/>
              <w:bottom w:val="nil"/>
            </w:tcBorders>
          </w:tcPr>
          <w:p>
            <w:pPr>
              <w:pStyle w:val="TableParagraph"/>
              <w:spacing w:line="242"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2" w:lineRule="exact"/>
              <w:ind w:left="100"/>
              <w:rPr>
                <w:sz w:val="22"/>
              </w:rPr>
            </w:pPr>
            <w:r>
              <w:rPr>
                <w:w w:val="100"/>
                <w:sz w:val="22"/>
              </w:rPr>
              <w:t>c</w:t>
            </w:r>
          </w:p>
        </w:tc>
        <w:tc>
          <w:tcPr>
            <w:tcW w:w="1277" w:type="dxa"/>
            <w:tcBorders>
              <w:top w:val="nil"/>
              <w:bottom w:val="nil"/>
            </w:tcBorders>
          </w:tcPr>
          <w:p>
            <w:pPr>
              <w:pStyle w:val="TableParagraph"/>
              <w:spacing w:line="242" w:lineRule="exact"/>
              <w:ind w:right="92"/>
              <w:rPr>
                <w:sz w:val="22"/>
              </w:rPr>
            </w:pPr>
            <w:r>
              <w:rPr>
                <w:sz w:val="22"/>
              </w:rPr>
              <w:t>Jilotepec</w:t>
            </w:r>
          </w:p>
        </w:tc>
        <w:tc>
          <w:tcPr>
            <w:tcW w:w="1133" w:type="dxa"/>
            <w:tcBorders>
              <w:top w:val="nil"/>
              <w:bottom w:val="nil"/>
            </w:tcBorders>
          </w:tcPr>
          <w:p>
            <w:pPr>
              <w:pStyle w:val="TableParagraph"/>
              <w:spacing w:line="242" w:lineRule="exact"/>
              <w:ind w:left="100" w:right="52"/>
              <w:rPr>
                <w:sz w:val="22"/>
              </w:rPr>
            </w:pPr>
            <w:r>
              <w:rPr>
                <w:sz w:val="22"/>
              </w:rPr>
              <w:t>Saltillo,</w:t>
            </w:r>
          </w:p>
        </w:tc>
        <w:tc>
          <w:tcPr>
            <w:tcW w:w="1702" w:type="dxa"/>
            <w:tcBorders>
              <w:top w:val="nil"/>
              <w:bottom w:val="nil"/>
            </w:tcBorders>
          </w:tcPr>
          <w:p>
            <w:pPr>
              <w:pStyle w:val="TableParagraph"/>
              <w:spacing w:line="242" w:lineRule="exact"/>
              <w:rPr>
                <w:sz w:val="22"/>
              </w:rPr>
            </w:pPr>
            <w:r>
              <w:rPr>
                <w:sz w:val="22"/>
              </w:rPr>
              <w:t>negras.</w:t>
            </w:r>
          </w:p>
        </w:tc>
        <w:tc>
          <w:tcPr>
            <w:tcW w:w="1985" w:type="dxa"/>
            <w:tcBorders>
              <w:top w:val="nil"/>
              <w:bottom w:val="nil"/>
            </w:tcBorders>
          </w:tcPr>
          <w:p>
            <w:pPr>
              <w:pStyle w:val="TableParagraph"/>
              <w:spacing w:line="242" w:lineRule="exact"/>
              <w:rPr>
                <w:sz w:val="22"/>
              </w:rPr>
            </w:pPr>
            <w:r>
              <w:rPr>
                <w:sz w:val="22"/>
              </w:rPr>
              <w:t>Zaragoza,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Style w:val="TableParagraph"/>
              <w:spacing w:line="241" w:lineRule="exact"/>
              <w:ind w:left="100" w:right="101"/>
              <w:rPr>
                <w:sz w:val="22"/>
              </w:rPr>
            </w:pPr>
            <w:r>
              <w:rPr>
                <w:sz w:val="22"/>
              </w:rPr>
              <w:t>delegada</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
        </w:tc>
        <w:tc>
          <w:tcPr>
            <w:tcW w:w="1985" w:type="dxa"/>
            <w:tcBorders>
              <w:top w:val="nil"/>
              <w:bottom w:val="nil"/>
            </w:tcBorders>
          </w:tcPr>
          <w:p>
            <w:pPr>
              <w:pStyle w:val="TableParagraph"/>
              <w:tabs>
                <w:tab w:pos="1626" w:val="left" w:leader="none"/>
              </w:tabs>
              <w:spacing w:line="241" w:lineRule="exact"/>
              <w:rPr>
                <w:sz w:val="22"/>
              </w:rPr>
            </w:pPr>
            <w:r>
              <w:rPr>
                <w:sz w:val="22"/>
              </w:rPr>
              <w:t>municipio</w:t>
              <w:tab/>
              <w:t>de</w:t>
            </w:r>
          </w:p>
        </w:tc>
      </w:tr>
      <w:tr>
        <w:trPr>
          <w:trHeight w:val="253" w:hRule="exact"/>
        </w:trPr>
        <w:tc>
          <w:tcPr>
            <w:tcW w:w="1385" w:type="dxa"/>
            <w:tcBorders>
              <w:top w:val="nil"/>
              <w:bottom w:val="nil"/>
            </w:tcBorders>
          </w:tcPr>
          <w:p>
            <w:pPr>
              <w:pStyle w:val="TableParagraph"/>
              <w:spacing w:line="242" w:lineRule="exact"/>
              <w:rPr>
                <w:sz w:val="22"/>
              </w:rPr>
            </w:pPr>
            <w:r>
              <w:rPr>
                <w:sz w:val="22"/>
              </w:rPr>
              <w:t>(18/7/2014)</w:t>
            </w:r>
          </w:p>
        </w:tc>
        <w:tc>
          <w:tcPr>
            <w:tcW w:w="1418" w:type="dxa"/>
            <w:tcBorders>
              <w:top w:val="nil"/>
              <w:bottom w:val="nil"/>
            </w:tcBorders>
          </w:tcPr>
          <w:p>
            <w:pPr>
              <w:pStyle w:val="TableParagraph"/>
              <w:spacing w:line="242" w:lineRule="exact"/>
              <w:ind w:left="100" w:right="101"/>
              <w:rPr>
                <w:sz w:val="22"/>
              </w:rPr>
            </w:pPr>
            <w:r>
              <w:rPr>
                <w:sz w:val="22"/>
              </w:rPr>
              <w:t>municipal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336" w:val="left" w:leader="none"/>
              </w:tabs>
              <w:spacing w:line="242" w:lineRule="exact"/>
              <w:rPr>
                <w:sz w:val="22"/>
              </w:rPr>
            </w:pPr>
            <w:r>
              <w:rPr>
                <w:sz w:val="22"/>
              </w:rPr>
              <w:t>Timilpan</w:t>
              <w:tab/>
              <w:t>están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descargando</w:t>
            </w: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estas aguas.</w:t>
            </w:r>
          </w:p>
        </w:tc>
      </w:tr>
      <w:tr>
        <w:trPr>
          <w:trHeight w:val="381"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before="115"/>
              <w:rPr>
                <w:sz w:val="22"/>
              </w:rPr>
            </w:pPr>
            <w:r>
              <w:rPr>
                <w:sz w:val="22"/>
              </w:rPr>
              <w:t>Otro  problema</w:t>
            </w:r>
          </w:p>
        </w:tc>
        <w:tc>
          <w:tcPr>
            <w:tcW w:w="1985" w:type="dxa"/>
            <w:tcBorders>
              <w:top w:val="nil"/>
              <w:bottom w:val="nil"/>
            </w:tcBorders>
          </w:tcPr>
          <w:p>
            <w:pPr>
              <w:pStyle w:val="TableParagraph"/>
              <w:tabs>
                <w:tab w:pos="1043" w:val="left" w:leader="none"/>
                <w:tab w:pos="1518" w:val="left" w:leader="none"/>
              </w:tabs>
              <w:spacing w:before="115"/>
              <w:rPr>
                <w:sz w:val="22"/>
              </w:rPr>
            </w:pPr>
            <w:r>
              <w:rPr>
                <w:sz w:val="22"/>
              </w:rPr>
              <w:t>Porque</w:t>
              <w:tab/>
              <w:t>no</w:t>
              <w:tab/>
              <w:t>hay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63" w:val="left" w:leader="none"/>
                <w:tab w:pos="1160" w:val="left" w:leader="none"/>
              </w:tabs>
              <w:spacing w:line="242" w:lineRule="exact"/>
              <w:rPr>
                <w:sz w:val="22"/>
              </w:rPr>
            </w:pPr>
            <w:r>
              <w:rPr>
                <w:sz w:val="22"/>
              </w:rPr>
              <w:t>es</w:t>
              <w:tab/>
              <w:t>que</w:t>
              <w:tab/>
              <w:t>tiran</w:t>
            </w:r>
          </w:p>
        </w:tc>
        <w:tc>
          <w:tcPr>
            <w:tcW w:w="1985" w:type="dxa"/>
            <w:tcBorders>
              <w:top w:val="nil"/>
              <w:bottom w:val="nil"/>
            </w:tcBorders>
          </w:tcPr>
          <w:p>
            <w:pPr>
              <w:pStyle w:val="TableParagraph"/>
              <w:tabs>
                <w:tab w:pos="719" w:val="left" w:leader="none"/>
                <w:tab w:pos="1629" w:val="left" w:leader="none"/>
              </w:tabs>
              <w:spacing w:line="242" w:lineRule="exact"/>
              <w:rPr>
                <w:sz w:val="22"/>
              </w:rPr>
            </w:pPr>
            <w:r>
              <w:rPr>
                <w:sz w:val="22"/>
              </w:rPr>
              <w:t>una</w:t>
              <w:tab/>
              <w:t>cultura</w:t>
              <w:tab/>
              <w:t>de</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07" w:val="left" w:leader="none"/>
              </w:tabs>
              <w:spacing w:line="241" w:lineRule="exact"/>
              <w:rPr>
                <w:sz w:val="22"/>
              </w:rPr>
            </w:pPr>
            <w:r>
              <w:rPr>
                <w:sz w:val="22"/>
              </w:rPr>
              <w:t>los</w:t>
              <w:tab/>
              <w:t>animales</w:t>
            </w:r>
          </w:p>
        </w:tc>
        <w:tc>
          <w:tcPr>
            <w:tcW w:w="1985" w:type="dxa"/>
            <w:tcBorders>
              <w:top w:val="nil"/>
              <w:bottom w:val="nil"/>
            </w:tcBorders>
          </w:tcPr>
          <w:p>
            <w:pPr>
              <w:pStyle w:val="TableParagraph"/>
              <w:spacing w:line="241" w:lineRule="exact"/>
              <w:rPr>
                <w:sz w:val="22"/>
              </w:rPr>
            </w:pPr>
            <w:r>
              <w:rPr>
                <w:sz w:val="22"/>
              </w:rPr>
              <w:t>cuidado.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03" w:val="left" w:leader="none"/>
                <w:tab w:pos="1417" w:val="left" w:leader="none"/>
              </w:tabs>
              <w:spacing w:line="241" w:lineRule="exact"/>
              <w:rPr>
                <w:sz w:val="22"/>
              </w:rPr>
            </w:pPr>
            <w:r>
              <w:rPr>
                <w:sz w:val="22"/>
              </w:rPr>
              <w:t>muertos</w:t>
              <w:tab/>
              <w:t>y</w:t>
              <w:tab/>
              <w:t>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9" w:val="left" w:leader="none"/>
              </w:tabs>
              <w:spacing w:line="242" w:lineRule="exact"/>
              <w:rPr>
                <w:sz w:val="22"/>
              </w:rPr>
            </w:pPr>
            <w:r>
              <w:rPr>
                <w:sz w:val="22"/>
              </w:rPr>
              <w:t>basura,</w:t>
              <w:tab/>
              <w:t>los</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tabs>
                <w:tab w:pos="805" w:val="left" w:leader="none"/>
              </w:tabs>
              <w:spacing w:line="241" w:lineRule="exact"/>
              <w:rPr>
                <w:sz w:val="22"/>
              </w:rPr>
            </w:pPr>
            <w:r>
              <w:rPr>
                <w:sz w:val="22"/>
              </w:rPr>
              <w:t>que</w:t>
              <w:tab/>
              <w:t>campan</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1022"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ind w:right="98"/>
              <w:jc w:val="both"/>
              <w:rPr>
                <w:sz w:val="22"/>
              </w:rPr>
            </w:pPr>
            <w:r>
              <w:rPr>
                <w:sz w:val="22"/>
              </w:rPr>
              <w:t>dejan basura y los  vecinos son los que limpian.</w:t>
            </w:r>
          </w:p>
        </w:tc>
        <w:tc>
          <w:tcPr>
            <w:tcW w:w="1985" w:type="dxa"/>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Ricardo</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San Martín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San</w:t>
            </w:r>
          </w:p>
        </w:tc>
        <w:tc>
          <w:tcPr>
            <w:tcW w:w="1702" w:type="dxa"/>
            <w:tcBorders>
              <w:bottom w:val="nil"/>
            </w:tcBorders>
          </w:tcPr>
          <w:p>
            <w:pPr>
              <w:pStyle w:val="TableParagraph"/>
              <w:spacing w:line="251" w:lineRule="exact"/>
              <w:rPr>
                <w:sz w:val="22"/>
              </w:rPr>
            </w:pPr>
            <w:r>
              <w:rPr>
                <w:sz w:val="22"/>
              </w:rPr>
              <w:t>La   laguna  ya</w:t>
            </w:r>
          </w:p>
        </w:tc>
        <w:tc>
          <w:tcPr>
            <w:tcW w:w="1985" w:type="dxa"/>
            <w:vMerge w:val="restart"/>
          </w:tcPr>
          <w:p>
            <w:pPr>
              <w:pStyle w:val="TableParagraph"/>
              <w:tabs>
                <w:tab w:pos="1593" w:val="left" w:leader="none"/>
              </w:tabs>
              <w:spacing w:line="252" w:lineRule="exact" w:before="2"/>
              <w:ind w:right="99" w:firstLine="62"/>
              <w:rPr>
                <w:sz w:val="22"/>
              </w:rPr>
            </w:pPr>
            <w:r>
              <w:rPr>
                <w:sz w:val="22"/>
              </w:rPr>
              <w:t>Porque descargan</w:t>
              <w:tab/>
              <w:t>los</w:t>
            </w:r>
          </w:p>
          <w:p>
            <w:pPr>
              <w:pStyle w:val="TableParagraph"/>
              <w:tabs>
                <w:tab w:pos="1629" w:val="left" w:leader="none"/>
              </w:tabs>
              <w:spacing w:line="250" w:lineRule="exact"/>
              <w:rPr>
                <w:sz w:val="22"/>
              </w:rPr>
            </w:pPr>
            <w:r>
              <w:rPr>
                <w:sz w:val="22"/>
              </w:rPr>
              <w:t>drenajes</w:t>
              <w:tab/>
              <w:t>de</w:t>
            </w:r>
          </w:p>
          <w:p>
            <w:pPr>
              <w:pStyle w:val="TableParagraph"/>
              <w:tabs>
                <w:tab w:pos="1763" w:val="left" w:leader="none"/>
              </w:tabs>
              <w:ind w:right="100"/>
              <w:rPr>
                <w:sz w:val="22"/>
              </w:rPr>
            </w:pPr>
            <w:r>
              <w:rPr>
                <w:sz w:val="22"/>
              </w:rPr>
              <w:t>Timilpan</w:t>
              <w:tab/>
              <w:t>y Aculco, principalmente.</w:t>
            </w:r>
          </w:p>
          <w:p>
            <w:pPr>
              <w:pStyle w:val="TableParagraph"/>
              <w:tabs>
                <w:tab w:pos="1641" w:val="left" w:leader="none"/>
              </w:tabs>
              <w:ind w:right="98"/>
              <w:jc w:val="both"/>
              <w:rPr>
                <w:sz w:val="22"/>
              </w:rPr>
            </w:pPr>
            <w:r>
              <w:rPr>
                <w:sz w:val="22"/>
              </w:rPr>
              <w:t>Antes podíamos tomar agua de la laguna,</w:t>
              <w:tab/>
              <w:t>yo tomaba, ahora ni los animales la toma porque está contaminada y quieren meter el río Lerma para acá, beneficia para riego, pero  si es un grave problema para la población.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418" w:type="dxa"/>
            <w:tcBorders>
              <w:top w:val="nil"/>
              <w:bottom w:val="nil"/>
            </w:tcBorders>
          </w:tcPr>
          <w:p>
            <w:pPr>
              <w:pStyle w:val="TableParagraph"/>
              <w:spacing w:line="241" w:lineRule="exact"/>
              <w:ind w:left="102" w:right="102"/>
              <w:jc w:val="center"/>
              <w:rPr>
                <w:sz w:val="22"/>
              </w:rPr>
            </w:pPr>
            <w:r>
              <w:rPr>
                <w:sz w:val="22"/>
              </w:rPr>
              <w:t>el ganado</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Martín,</w:t>
            </w:r>
          </w:p>
        </w:tc>
        <w:tc>
          <w:tcPr>
            <w:tcW w:w="1133" w:type="dxa"/>
            <w:tcBorders>
              <w:top w:val="nil"/>
              <w:bottom w:val="nil"/>
            </w:tcBorders>
          </w:tcPr>
          <w:p>
            <w:pPr>
              <w:pStyle w:val="TableParagraph"/>
              <w:spacing w:line="241" w:lineRule="exact"/>
              <w:ind w:left="100" w:right="52"/>
              <w:rPr>
                <w:sz w:val="22"/>
              </w:rPr>
            </w:pPr>
            <w:r>
              <w:rPr>
                <w:sz w:val="22"/>
              </w:rPr>
              <w:t>Martín,</w:t>
            </w:r>
          </w:p>
        </w:tc>
        <w:tc>
          <w:tcPr>
            <w:tcW w:w="1702" w:type="dxa"/>
            <w:tcBorders>
              <w:top w:val="nil"/>
              <w:bottom w:val="nil"/>
            </w:tcBorders>
          </w:tcPr>
          <w:p>
            <w:pPr>
              <w:pStyle w:val="TableParagraph"/>
              <w:tabs>
                <w:tab w:pos="928" w:val="left" w:leader="none"/>
              </w:tabs>
              <w:spacing w:line="241" w:lineRule="exact"/>
              <w:rPr>
                <w:sz w:val="22"/>
              </w:rPr>
            </w:pPr>
            <w:r>
              <w:rPr>
                <w:sz w:val="22"/>
              </w:rPr>
              <w:t>tiene</w:t>
              <w:tab/>
              <w:t>mucha</w:t>
            </w:r>
          </w:p>
        </w:tc>
        <w:tc>
          <w:tcPr>
            <w:tcW w:w="1985" w:type="dxa"/>
            <w:vMerge/>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Galván</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Aculco</w:t>
            </w:r>
          </w:p>
        </w:tc>
        <w:tc>
          <w:tcPr>
            <w:tcW w:w="1133" w:type="dxa"/>
            <w:tcBorders>
              <w:top w:val="nil"/>
              <w:bottom w:val="nil"/>
            </w:tcBorders>
          </w:tcPr>
          <w:p>
            <w:pPr>
              <w:pStyle w:val="TableParagraph"/>
              <w:spacing w:line="242" w:lineRule="exact"/>
              <w:ind w:left="100" w:right="52"/>
              <w:rPr>
                <w:sz w:val="22"/>
              </w:rPr>
            </w:pPr>
            <w:r>
              <w:rPr>
                <w:sz w:val="22"/>
              </w:rPr>
              <w:t>Aculco</w:t>
            </w:r>
          </w:p>
        </w:tc>
        <w:tc>
          <w:tcPr>
            <w:tcW w:w="1702" w:type="dxa"/>
            <w:tcBorders>
              <w:top w:val="nil"/>
              <w:bottom w:val="nil"/>
            </w:tcBorders>
          </w:tcPr>
          <w:p>
            <w:pPr>
              <w:pStyle w:val="TableParagraph"/>
              <w:spacing w:line="242" w:lineRule="exact"/>
              <w:rPr>
                <w:sz w:val="22"/>
              </w:rPr>
            </w:pPr>
            <w:r>
              <w:rPr>
                <w:sz w:val="22"/>
              </w:rPr>
              <w:t>contaminación.</w:t>
            </w:r>
          </w:p>
        </w:tc>
        <w:tc>
          <w:tcPr>
            <w:tcW w:w="1985" w:type="dxa"/>
            <w:vMerge/>
          </w:tcPr>
          <w:p>
            <w:pPr/>
          </w:p>
        </w:tc>
      </w:tr>
      <w:tr>
        <w:trPr>
          <w:trHeight w:val="4297" w:hRule="exact"/>
        </w:trPr>
        <w:tc>
          <w:tcPr>
            <w:tcW w:w="1385" w:type="dxa"/>
            <w:tcBorders>
              <w:top w:val="nil"/>
            </w:tcBorders>
          </w:tcPr>
          <w:p>
            <w:pPr>
              <w:pStyle w:val="TableParagraph"/>
              <w:spacing w:line="241" w:lineRule="exact"/>
              <w:ind w:right="127"/>
              <w:rPr>
                <w:sz w:val="22"/>
              </w:rPr>
            </w:pPr>
            <w:r>
              <w:rPr>
                <w:sz w:val="22"/>
              </w:rPr>
              <w:t>(3/8/2014)</w:t>
            </w: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vMerge/>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Ricardo</w:t>
            </w:r>
          </w:p>
        </w:tc>
        <w:tc>
          <w:tcPr>
            <w:tcW w:w="1418" w:type="dxa"/>
            <w:tcBorders>
              <w:bottom w:val="nil"/>
            </w:tcBorders>
          </w:tcPr>
          <w:p>
            <w:pPr>
              <w:pStyle w:val="TableParagraph"/>
              <w:spacing w:line="251" w:lineRule="exact"/>
              <w:ind w:left="99" w:right="104"/>
              <w:jc w:val="center"/>
              <w:rPr>
                <w:sz w:val="22"/>
              </w:rPr>
            </w:pPr>
            <w:r>
              <w:rPr>
                <w:sz w:val="22"/>
              </w:rPr>
              <w:t>Albañilería</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El Azafrán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El</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La</w:t>
            </w:r>
          </w:p>
        </w:tc>
        <w:tc>
          <w:tcPr>
            <w:tcW w:w="1985" w:type="dxa"/>
            <w:tcBorders>
              <w:bottom w:val="nil"/>
            </w:tcBorders>
          </w:tcPr>
          <w:p>
            <w:pPr>
              <w:pStyle w:val="TableParagraph"/>
              <w:tabs>
                <w:tab w:pos="1629" w:val="left" w:leader="none"/>
              </w:tabs>
              <w:spacing w:line="251" w:lineRule="exact"/>
              <w:rPr>
                <w:sz w:val="22"/>
              </w:rPr>
            </w:pPr>
            <w:r>
              <w:rPr>
                <w:sz w:val="22"/>
              </w:rPr>
              <w:t>Porque</w:t>
              <w:tab/>
              <w:t>no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Cristóbal</w:t>
            </w:r>
          </w:p>
        </w:tc>
        <w:tc>
          <w:tcPr>
            <w:tcW w:w="1418" w:type="dxa"/>
            <w:tcBorders>
              <w:top w:val="nil"/>
              <w:bottom w:val="nil"/>
            </w:tcBorders>
          </w:tcPr>
          <w:p>
            <w:pPr>
              <w:pStyle w:val="TableParagraph"/>
              <w:spacing w:line="241" w:lineRule="exact"/>
              <w:ind w:left="102" w:right="102"/>
              <w:jc w:val="center"/>
              <w:rPr>
                <w:sz w:val="22"/>
              </w:rPr>
            </w:pPr>
            <w:r>
              <w:rPr>
                <w:sz w:val="22"/>
              </w:rPr>
              <w:t>y el campo</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Azafrán,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spacing w:line="241" w:lineRule="exact"/>
              <w:rPr>
                <w:sz w:val="22"/>
              </w:rPr>
            </w:pPr>
            <w:r>
              <w:rPr>
                <w:sz w:val="22"/>
              </w:rPr>
              <w:t>contaminación.</w:t>
            </w:r>
          </w:p>
        </w:tc>
        <w:tc>
          <w:tcPr>
            <w:tcW w:w="1985" w:type="dxa"/>
            <w:tcBorders>
              <w:top w:val="nil"/>
              <w:bottom w:val="nil"/>
            </w:tcBorders>
          </w:tcPr>
          <w:p>
            <w:pPr>
              <w:pStyle w:val="TableParagraph"/>
              <w:tabs>
                <w:tab w:pos="1506" w:val="left" w:leader="none"/>
              </w:tabs>
              <w:spacing w:line="241" w:lineRule="exact"/>
              <w:rPr>
                <w:sz w:val="22"/>
              </w:rPr>
            </w:pPr>
            <w:r>
              <w:rPr>
                <w:sz w:val="22"/>
              </w:rPr>
              <w:t>tenemos</w:t>
              <w:tab/>
              <w:t>una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Ramírez</w:t>
            </w:r>
          </w:p>
        </w:tc>
        <w:tc>
          <w:tcPr>
            <w:tcW w:w="1418" w:type="dxa"/>
            <w:tcBorders>
              <w:top w:val="nil"/>
              <w:bottom w:val="nil"/>
            </w:tcBorders>
          </w:tcPr>
          <w:p>
            <w:pPr/>
          </w:p>
        </w:tc>
        <w:tc>
          <w:tcPr>
            <w:tcW w:w="1417" w:type="dxa"/>
            <w:tcBorders>
              <w:top w:val="nil"/>
              <w:bottom w:val="nil"/>
            </w:tcBorders>
          </w:tcPr>
          <w:p>
            <w:pPr>
              <w:pStyle w:val="TableParagraph"/>
              <w:tabs>
                <w:tab w:pos="1132" w:val="left" w:leader="none"/>
              </w:tabs>
              <w:spacing w:line="242"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Aculco</w:t>
            </w:r>
          </w:p>
        </w:tc>
        <w:tc>
          <w:tcPr>
            <w:tcW w:w="1133" w:type="dxa"/>
            <w:tcBorders>
              <w:top w:val="nil"/>
              <w:bottom w:val="nil"/>
            </w:tcBorders>
          </w:tcPr>
          <w:p>
            <w:pPr>
              <w:pStyle w:val="TableParagraph"/>
              <w:spacing w:line="242" w:lineRule="exact"/>
              <w:ind w:left="100" w:right="52"/>
              <w:rPr>
                <w:sz w:val="22"/>
              </w:rPr>
            </w:pPr>
            <w:r>
              <w:rPr>
                <w:sz w:val="22"/>
              </w:rPr>
              <w:t>Aculco</w:t>
            </w:r>
          </w:p>
        </w:tc>
        <w:tc>
          <w:tcPr>
            <w:tcW w:w="1702" w:type="dxa"/>
            <w:tcBorders>
              <w:top w:val="nil"/>
              <w:bottom w:val="nil"/>
            </w:tcBorders>
          </w:tcPr>
          <w:p>
            <w:pPr/>
          </w:p>
        </w:tc>
        <w:tc>
          <w:tcPr>
            <w:tcW w:w="1985" w:type="dxa"/>
            <w:tcBorders>
              <w:top w:val="nil"/>
              <w:bottom w:val="nil"/>
            </w:tcBorders>
          </w:tcPr>
          <w:p>
            <w:pPr>
              <w:pStyle w:val="TableParagraph"/>
              <w:tabs>
                <w:tab w:pos="1432" w:val="left" w:leader="none"/>
              </w:tabs>
              <w:spacing w:line="242" w:lineRule="exact"/>
              <w:rPr>
                <w:sz w:val="22"/>
              </w:rPr>
            </w:pPr>
            <w:r>
              <w:rPr>
                <w:sz w:val="22"/>
              </w:rPr>
              <w:t>educación</w:t>
              <w:tab/>
              <w:t>para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(3/8/2014)</w:t>
            </w: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Primera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592" w:val="left" w:leader="none"/>
              </w:tabs>
              <w:spacing w:line="241" w:lineRule="exact"/>
              <w:rPr>
                <w:sz w:val="22"/>
              </w:rPr>
            </w:pPr>
            <w:r>
              <w:rPr>
                <w:sz w:val="22"/>
              </w:rPr>
              <w:t>enterrar</w:t>
              <w:tab/>
              <w:t>los</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3"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3" w:lineRule="exact"/>
              <w:rPr>
                <w:sz w:val="22"/>
              </w:rPr>
            </w:pPr>
            <w:r>
              <w:rPr>
                <w:sz w:val="22"/>
              </w:rPr>
              <w:t>residuos,  todo va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1108" w:val="left" w:leader="none"/>
              </w:tabs>
              <w:spacing w:line="241" w:lineRule="exact"/>
              <w:ind w:left="100"/>
              <w:rPr>
                <w:sz w:val="22"/>
              </w:rPr>
            </w:pPr>
            <w:r>
              <w:rPr>
                <w:sz w:val="22"/>
              </w:rPr>
              <w:t>de</w:t>
              <w:tab/>
              <w:t>El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para la laguna.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Azafrán</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2" w:lineRule="exact"/>
              <w:rPr>
                <w:sz w:val="22"/>
              </w:rPr>
            </w:pPr>
            <w:r>
              <w:rPr>
                <w:sz w:val="22"/>
              </w:rPr>
              <w:t>También</w:t>
              <w:tab/>
              <w:t>ya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43" w:val="left" w:leader="none"/>
                <w:tab w:pos="1235" w:val="left" w:leader="none"/>
              </w:tabs>
              <w:spacing w:line="241" w:lineRule="exact"/>
              <w:rPr>
                <w:sz w:val="22"/>
              </w:rPr>
            </w:pPr>
            <w:r>
              <w:rPr>
                <w:sz w:val="22"/>
              </w:rPr>
              <w:t>casi</w:t>
              <w:tab/>
              <w:t>no</w:t>
              <w:tab/>
              <w:t>hay</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tabs>
                <w:tab w:pos="897" w:val="left" w:leader="none"/>
                <w:tab w:pos="1417" w:val="left" w:leader="none"/>
              </w:tabs>
              <w:spacing w:line="242" w:lineRule="exact"/>
              <w:rPr>
                <w:sz w:val="22"/>
              </w:rPr>
            </w:pPr>
            <w:r>
              <w:rPr>
                <w:sz w:val="22"/>
              </w:rPr>
              <w:t>peces</w:t>
              <w:tab/>
              <w:t>por</w:t>
              <w:tab/>
              <w:t>la</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90"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spacing w:line="251" w:lineRule="exact"/>
              <w:rPr>
                <w:sz w:val="22"/>
              </w:rPr>
            </w:pPr>
            <w:r>
              <w:rPr>
                <w:sz w:val="22"/>
              </w:rPr>
              <w:t>contaminación.</w:t>
            </w:r>
          </w:p>
        </w:tc>
        <w:tc>
          <w:tcPr>
            <w:tcW w:w="1985" w:type="dxa"/>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Pablo</w:t>
            </w:r>
          </w:p>
        </w:tc>
        <w:tc>
          <w:tcPr>
            <w:tcW w:w="1418" w:type="dxa"/>
            <w:tcBorders>
              <w:bottom w:val="nil"/>
            </w:tcBorders>
          </w:tcPr>
          <w:p>
            <w:pPr>
              <w:pStyle w:val="TableParagraph"/>
              <w:spacing w:line="251" w:lineRule="exact"/>
              <w:ind w:left="100" w:right="101"/>
              <w:rPr>
                <w:sz w:val="22"/>
              </w:rPr>
            </w:pPr>
            <w:r>
              <w:rPr>
                <w:sz w:val="22"/>
              </w:rPr>
              <w:t>La</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El Azafrán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El</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La</w:t>
            </w:r>
          </w:p>
        </w:tc>
        <w:tc>
          <w:tcPr>
            <w:tcW w:w="1985" w:type="dxa"/>
            <w:tcBorders>
              <w:bottom w:val="nil"/>
            </w:tcBorders>
          </w:tcPr>
          <w:p>
            <w:pPr>
              <w:pStyle w:val="TableParagraph"/>
              <w:spacing w:line="251" w:lineRule="exact"/>
              <w:rPr>
                <w:sz w:val="22"/>
              </w:rPr>
            </w:pPr>
            <w:r>
              <w:rPr>
                <w:sz w:val="22"/>
              </w:rPr>
              <w:t>Por  los </w:t>
            </w:r>
            <w:r>
              <w:rPr>
                <w:spacing w:val="56"/>
                <w:sz w:val="22"/>
              </w:rPr>
              <w:t> </w:t>
            </w:r>
            <w:r>
              <w:rPr>
                <w:sz w:val="22"/>
              </w:rPr>
              <w:t>drenajes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construcció</w:t>
            </w:r>
          </w:p>
        </w:tc>
        <w:tc>
          <w:tcPr>
            <w:tcW w:w="1417" w:type="dxa"/>
            <w:tcBorders>
              <w:top w:val="nil"/>
              <w:bottom w:val="nil"/>
            </w:tcBorders>
          </w:tcPr>
          <w:p>
            <w:pPr>
              <w:pStyle w:val="TableParagraph"/>
              <w:spacing w:line="242"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Azafrán,</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1702" w:type="dxa"/>
            <w:tcBorders>
              <w:top w:val="nil"/>
              <w:bottom w:val="nil"/>
            </w:tcBorders>
          </w:tcPr>
          <w:p>
            <w:pPr>
              <w:pStyle w:val="TableParagraph"/>
              <w:spacing w:line="242" w:lineRule="exact"/>
              <w:rPr>
                <w:sz w:val="22"/>
              </w:rPr>
            </w:pPr>
            <w:r>
              <w:rPr>
                <w:sz w:val="22"/>
              </w:rPr>
              <w:t>contaminación.</w:t>
            </w:r>
          </w:p>
        </w:tc>
        <w:tc>
          <w:tcPr>
            <w:tcW w:w="1985" w:type="dxa"/>
            <w:tcBorders>
              <w:top w:val="nil"/>
              <w:bottom w:val="nil"/>
            </w:tcBorders>
          </w:tcPr>
          <w:p>
            <w:pPr>
              <w:pStyle w:val="TableParagraph"/>
              <w:tabs>
                <w:tab w:pos="1593" w:val="left" w:leader="none"/>
              </w:tabs>
              <w:spacing w:line="242" w:lineRule="exact"/>
              <w:rPr>
                <w:sz w:val="22"/>
              </w:rPr>
            </w:pPr>
            <w:r>
              <w:rPr>
                <w:sz w:val="22"/>
              </w:rPr>
              <w:t>de</w:t>
              <w:tab/>
              <w:t>los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García</w:t>
            </w:r>
          </w:p>
        </w:tc>
        <w:tc>
          <w:tcPr>
            <w:tcW w:w="1418" w:type="dxa"/>
            <w:tcBorders>
              <w:top w:val="nil"/>
              <w:bottom w:val="nil"/>
            </w:tcBorders>
          </w:tcPr>
          <w:p>
            <w:pPr>
              <w:pStyle w:val="TableParagraph"/>
              <w:tabs>
                <w:tab w:pos="623" w:val="left" w:leader="none"/>
                <w:tab w:pos="1132" w:val="left" w:leader="none"/>
              </w:tabs>
              <w:spacing w:line="241" w:lineRule="exact"/>
              <w:ind w:left="100"/>
              <w:rPr>
                <w:sz w:val="22"/>
              </w:rPr>
            </w:pPr>
            <w:r>
              <w:rPr>
                <w:sz w:val="22"/>
              </w:rPr>
              <w:t>n</w:t>
              <w:tab/>
              <w:t>y</w:t>
              <w:tab/>
              <w:t>el</w:t>
            </w:r>
          </w:p>
        </w:tc>
        <w:tc>
          <w:tcPr>
            <w:tcW w:w="1417" w:type="dxa"/>
            <w:tcBorders>
              <w:top w:val="nil"/>
              <w:bottom w:val="nil"/>
            </w:tcBorders>
          </w:tcPr>
          <w:p>
            <w:pPr>
              <w:pStyle w:val="TableParagraph"/>
              <w:tabs>
                <w:tab w:pos="1132" w:val="left" w:leader="none"/>
              </w:tabs>
              <w:spacing w:line="241"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alrededores.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(3/8/2014)</w:t>
            </w:r>
          </w:p>
        </w:tc>
        <w:tc>
          <w:tcPr>
            <w:tcW w:w="1418" w:type="dxa"/>
            <w:tcBorders>
              <w:top w:val="nil"/>
              <w:bottom w:val="nil"/>
            </w:tcBorders>
          </w:tcPr>
          <w:p>
            <w:pPr>
              <w:pStyle w:val="TableParagraph"/>
              <w:spacing w:line="241" w:lineRule="exact"/>
              <w:ind w:left="100" w:right="101"/>
              <w:rPr>
                <w:sz w:val="22"/>
              </w:rPr>
            </w:pPr>
            <w:r>
              <w:rPr>
                <w:sz w:val="22"/>
              </w:rPr>
              <w:t>campo</w:t>
            </w:r>
          </w:p>
        </w:tc>
        <w:tc>
          <w:tcPr>
            <w:tcW w:w="1417" w:type="dxa"/>
            <w:tcBorders>
              <w:top w:val="nil"/>
              <w:bottom w:val="nil"/>
            </w:tcBorders>
          </w:tcPr>
          <w:p>
            <w:pPr>
              <w:pStyle w:val="TableParagraph"/>
              <w:spacing w:line="241" w:lineRule="exact"/>
              <w:ind w:left="100"/>
              <w:rPr>
                <w:sz w:val="22"/>
              </w:rPr>
            </w:pPr>
            <w:r>
              <w:rPr>
                <w:sz w:val="22"/>
              </w:rPr>
              <w:t>Segunda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2"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Está azolvada.</w:t>
            </w:r>
          </w:p>
        </w:tc>
        <w:tc>
          <w:tcPr>
            <w:tcW w:w="1985" w:type="dxa"/>
            <w:tcBorders>
              <w:top w:val="nil"/>
              <w:bottom w:val="nil"/>
            </w:tcBorders>
          </w:tcPr>
          <w:p>
            <w:pPr>
              <w:pStyle w:val="TableParagraph"/>
              <w:spacing w:line="242" w:lineRule="exact"/>
              <w:rPr>
                <w:sz w:val="22"/>
              </w:rPr>
            </w:pPr>
            <w:r>
              <w:rPr>
                <w:sz w:val="22"/>
              </w:rPr>
              <w:t>Porque tiene toda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1108" w:val="left" w:leader="none"/>
              </w:tabs>
              <w:spacing w:line="241" w:lineRule="exact"/>
              <w:ind w:left="100"/>
              <w:rPr>
                <w:sz w:val="22"/>
              </w:rPr>
            </w:pPr>
            <w:r>
              <w:rPr>
                <w:sz w:val="22"/>
              </w:rPr>
              <w:t>de</w:t>
              <w:tab/>
              <w:t>El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640" w:val="left" w:leader="none"/>
                <w:tab w:pos="1503" w:val="left" w:leader="none"/>
              </w:tabs>
              <w:spacing w:line="241" w:lineRule="exact"/>
              <w:rPr>
                <w:sz w:val="22"/>
              </w:rPr>
            </w:pPr>
            <w:r>
              <w:rPr>
                <w:sz w:val="22"/>
              </w:rPr>
              <w:t>la</w:t>
              <w:tab/>
              <w:t>tierra</w:t>
              <w:tab/>
              <w:t>que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2" w:lineRule="exact"/>
              <w:ind w:left="100"/>
              <w:rPr>
                <w:sz w:val="22"/>
              </w:rPr>
            </w:pPr>
            <w:r>
              <w:rPr>
                <w:sz w:val="22"/>
              </w:rPr>
              <w:t>Azafrán</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105" w:val="left" w:leader="none"/>
                <w:tab w:pos="1592" w:val="left" w:leader="none"/>
              </w:tabs>
              <w:spacing w:line="242" w:lineRule="exact"/>
              <w:rPr>
                <w:sz w:val="22"/>
              </w:rPr>
            </w:pPr>
            <w:r>
              <w:rPr>
                <w:sz w:val="22"/>
              </w:rPr>
              <w:t>arrastra</w:t>
              <w:tab/>
              <w:t>de</w:t>
              <w:tab/>
              <w:t>las</w:t>
            </w: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1" w:lineRule="exact"/>
              <w:rPr>
                <w:sz w:val="22"/>
              </w:rPr>
            </w:pPr>
            <w:r>
              <w:rPr>
                <w:sz w:val="22"/>
              </w:rPr>
              <w:t>milpas.</w:t>
            </w:r>
          </w:p>
        </w:tc>
      </w:tr>
      <w:tr>
        <w:trPr>
          <w:trHeight w:val="269" w:hRule="exact"/>
        </w:trPr>
        <w:tc>
          <w:tcPr>
            <w:tcW w:w="1385" w:type="dxa"/>
            <w:tcBorders>
              <w:bottom w:val="nil"/>
            </w:tcBorders>
          </w:tcPr>
          <w:p>
            <w:pPr>
              <w:pStyle w:val="TableParagraph"/>
              <w:ind w:right="127"/>
              <w:rPr>
                <w:sz w:val="22"/>
              </w:rPr>
            </w:pPr>
            <w:r>
              <w:rPr>
                <w:sz w:val="22"/>
              </w:rPr>
              <w:t>Tomás</w:t>
            </w:r>
          </w:p>
        </w:tc>
        <w:tc>
          <w:tcPr>
            <w:tcW w:w="1418" w:type="dxa"/>
            <w:tcBorders>
              <w:bottom w:val="nil"/>
            </w:tcBorders>
          </w:tcPr>
          <w:p>
            <w:pPr>
              <w:pStyle w:val="TableParagraph"/>
              <w:ind w:left="156" w:right="101"/>
              <w:rPr>
                <w:sz w:val="22"/>
              </w:rPr>
            </w:pPr>
            <w:r>
              <w:rPr>
                <w:sz w:val="22"/>
              </w:rPr>
              <w:t>El campo y</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El Azafrán</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El</w:t>
            </w:r>
          </w:p>
        </w:tc>
        <w:tc>
          <w:tcPr>
            <w:tcW w:w="1133" w:type="dxa"/>
            <w:tcBorders>
              <w:bottom w:val="nil"/>
            </w:tcBorders>
          </w:tcPr>
          <w:p>
            <w:pPr>
              <w:pStyle w:val="TableParagraph"/>
              <w:ind w:left="100" w:right="52"/>
              <w:rPr>
                <w:sz w:val="22"/>
              </w:rPr>
            </w:pPr>
            <w:r>
              <w:rPr>
                <w:sz w:val="22"/>
              </w:rPr>
              <w:t>El</w:t>
            </w:r>
          </w:p>
        </w:tc>
        <w:tc>
          <w:tcPr>
            <w:tcW w:w="1702" w:type="dxa"/>
            <w:tcBorders>
              <w:bottom w:val="nil"/>
            </w:tcBorders>
          </w:tcPr>
          <w:p>
            <w:pPr>
              <w:pStyle w:val="TableParagraph"/>
              <w:rPr>
                <w:sz w:val="22"/>
              </w:rPr>
            </w:pPr>
            <w:r>
              <w:rPr>
                <w:sz w:val="22"/>
              </w:rPr>
              <w:t>Nos</w:t>
            </w:r>
          </w:p>
        </w:tc>
        <w:tc>
          <w:tcPr>
            <w:tcW w:w="1985" w:type="dxa"/>
            <w:tcBorders>
              <w:bottom w:val="nil"/>
            </w:tcBorders>
          </w:tcPr>
          <w:p>
            <w:pPr>
              <w:pStyle w:val="TableParagraph"/>
              <w:rPr>
                <w:sz w:val="22"/>
              </w:rPr>
            </w:pPr>
            <w:r>
              <w:rPr>
                <w:sz w:val="22"/>
              </w:rPr>
              <w:t>Principalmente de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Lucas</w:t>
            </w:r>
          </w:p>
        </w:tc>
        <w:tc>
          <w:tcPr>
            <w:tcW w:w="1418" w:type="dxa"/>
            <w:tcBorders>
              <w:top w:val="nil"/>
              <w:bottom w:val="nil"/>
            </w:tcBorders>
          </w:tcPr>
          <w:p>
            <w:pPr>
              <w:pStyle w:val="TableParagraph"/>
              <w:spacing w:line="241" w:lineRule="exact"/>
              <w:ind w:left="139" w:right="101"/>
              <w:rPr>
                <w:sz w:val="22"/>
              </w:rPr>
            </w:pPr>
            <w:r>
              <w:rPr>
                <w:sz w:val="22"/>
              </w:rPr>
              <w:t>el comercio</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Azafrán,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spacing w:line="241" w:lineRule="exact"/>
              <w:rPr>
                <w:sz w:val="22"/>
              </w:rPr>
            </w:pPr>
            <w:r>
              <w:rPr>
                <w:sz w:val="22"/>
              </w:rPr>
              <w:t>preocupan  las</w:t>
            </w:r>
          </w:p>
        </w:tc>
        <w:tc>
          <w:tcPr>
            <w:tcW w:w="1985" w:type="dxa"/>
            <w:tcBorders>
              <w:top w:val="nil"/>
              <w:bottom w:val="nil"/>
            </w:tcBorders>
          </w:tcPr>
          <w:p>
            <w:pPr>
              <w:pStyle w:val="TableParagraph"/>
              <w:spacing w:line="241" w:lineRule="exact"/>
              <w:rPr>
                <w:sz w:val="22"/>
              </w:rPr>
            </w:pPr>
            <w:r>
              <w:rPr>
                <w:sz w:val="22"/>
              </w:rPr>
              <w:t>Timilpan.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211" w:right="101"/>
              <w:rPr>
                <w:sz w:val="22"/>
              </w:rPr>
            </w:pPr>
            <w:r>
              <w:rPr>
                <w:sz w:val="22"/>
              </w:rPr>
              <w:t>(tienda de</w:t>
            </w:r>
          </w:p>
        </w:tc>
        <w:tc>
          <w:tcPr>
            <w:tcW w:w="1417" w:type="dxa"/>
            <w:tcBorders>
              <w:top w:val="nil"/>
              <w:bottom w:val="nil"/>
            </w:tcBorders>
          </w:tcPr>
          <w:p>
            <w:pPr>
              <w:pStyle w:val="TableParagraph"/>
              <w:tabs>
                <w:tab w:pos="1132" w:val="left" w:leader="none"/>
              </w:tabs>
              <w:spacing w:line="241"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tabs>
                <w:tab w:pos="916" w:val="left" w:leader="none"/>
              </w:tabs>
              <w:spacing w:line="241" w:lineRule="exact"/>
              <w:rPr>
                <w:sz w:val="22"/>
              </w:rPr>
            </w:pPr>
            <w:r>
              <w:rPr>
                <w:sz w:val="22"/>
              </w:rPr>
              <w:t>aguas</w:t>
              <w:tab/>
              <w:t>negras</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(3/8/2014)</w:t>
            </w:r>
          </w:p>
        </w:tc>
        <w:tc>
          <w:tcPr>
            <w:tcW w:w="1418" w:type="dxa"/>
            <w:tcBorders>
              <w:top w:val="nil"/>
              <w:bottom w:val="nil"/>
            </w:tcBorders>
          </w:tcPr>
          <w:p>
            <w:pPr>
              <w:pStyle w:val="TableParagraph"/>
              <w:spacing w:line="242" w:lineRule="exact"/>
              <w:ind w:left="170" w:right="101"/>
              <w:rPr>
                <w:sz w:val="22"/>
              </w:rPr>
            </w:pPr>
            <w:r>
              <w:rPr>
                <w:sz w:val="22"/>
              </w:rPr>
              <w:t>abarrotes).</w:t>
            </w:r>
          </w:p>
        </w:tc>
        <w:tc>
          <w:tcPr>
            <w:tcW w:w="1417" w:type="dxa"/>
            <w:tcBorders>
              <w:top w:val="nil"/>
              <w:bottom w:val="nil"/>
            </w:tcBorders>
          </w:tcPr>
          <w:p>
            <w:pPr>
              <w:pStyle w:val="TableParagraph"/>
              <w:spacing w:line="242" w:lineRule="exact"/>
              <w:ind w:left="100"/>
              <w:rPr>
                <w:sz w:val="22"/>
              </w:rPr>
            </w:pPr>
            <w:r>
              <w:rPr>
                <w:sz w:val="22"/>
              </w:rPr>
              <w:t>Tercera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51" w:val="left" w:leader="none"/>
              </w:tabs>
              <w:spacing w:line="242" w:lineRule="exact"/>
              <w:rPr>
                <w:sz w:val="22"/>
              </w:rPr>
            </w:pPr>
            <w:r>
              <w:rPr>
                <w:sz w:val="22"/>
              </w:rPr>
              <w:t>de</w:t>
              <w:tab/>
              <w:t>todas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partes   porque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1108" w:val="left" w:leader="none"/>
              </w:tabs>
              <w:spacing w:line="242" w:lineRule="exact"/>
              <w:ind w:left="100"/>
              <w:rPr>
                <w:sz w:val="22"/>
              </w:rPr>
            </w:pPr>
            <w:r>
              <w:rPr>
                <w:sz w:val="22"/>
              </w:rPr>
              <w:t>de</w:t>
              <w:tab/>
              <w:t>El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están</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Azafrán</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contaminando</w:t>
            </w:r>
          </w:p>
        </w:tc>
        <w:tc>
          <w:tcPr>
            <w:tcW w:w="1985" w:type="dxa"/>
            <w:tcBorders>
              <w:top w:val="nil"/>
              <w:bottom w:val="nil"/>
            </w:tcBorders>
          </w:tcPr>
          <w:p>
            <w:pP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los peces.</w:t>
            </w:r>
          </w:p>
        </w:tc>
        <w:tc>
          <w:tcPr>
            <w:tcW w:w="1985" w:type="dxa"/>
            <w:tcBorders>
              <w:top w:val="nil"/>
              <w:bottom w:val="nil"/>
            </w:tcBorders>
          </w:tcPr>
          <w:p>
            <w:pPr/>
          </w:p>
        </w:tc>
      </w:tr>
      <w:tr>
        <w:trPr>
          <w:trHeight w:val="381"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before="115"/>
              <w:rPr>
                <w:sz w:val="22"/>
              </w:rPr>
            </w:pPr>
            <w:r>
              <w:rPr>
                <w:sz w:val="22"/>
              </w:rPr>
              <w:t>También,</w:t>
              <w:tab/>
              <w:t>ya</w:t>
            </w:r>
          </w:p>
        </w:tc>
        <w:tc>
          <w:tcPr>
            <w:tcW w:w="1985" w:type="dxa"/>
            <w:tcBorders>
              <w:top w:val="nil"/>
              <w:bottom w:val="nil"/>
            </w:tcBorders>
          </w:tcPr>
          <w:p>
            <w:pPr>
              <w:pStyle w:val="TableParagraph"/>
              <w:tabs>
                <w:tab w:pos="1105" w:val="left" w:leader="none"/>
                <w:tab w:pos="1628" w:val="left" w:leader="none"/>
              </w:tabs>
              <w:spacing w:before="115"/>
              <w:rPr>
                <w:sz w:val="22"/>
              </w:rPr>
            </w:pPr>
            <w:r>
              <w:rPr>
                <w:sz w:val="22"/>
              </w:rPr>
              <w:t>Porque</w:t>
              <w:tab/>
              <w:t>ya</w:t>
              <w:tab/>
              <w:t>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18" w:val="left" w:leader="none"/>
              </w:tabs>
              <w:spacing w:line="242" w:lineRule="exact"/>
              <w:rPr>
                <w:sz w:val="22"/>
              </w:rPr>
            </w:pPr>
            <w:r>
              <w:rPr>
                <w:sz w:val="22"/>
              </w:rPr>
              <w:t>los</w:t>
              <w:tab/>
              <w:t>tiempos</w:t>
            </w:r>
          </w:p>
        </w:tc>
        <w:tc>
          <w:tcPr>
            <w:tcW w:w="1985" w:type="dxa"/>
            <w:tcBorders>
              <w:top w:val="nil"/>
              <w:bottom w:val="nil"/>
            </w:tcBorders>
          </w:tcPr>
          <w:p>
            <w:pPr>
              <w:pStyle w:val="TableParagraph"/>
              <w:tabs>
                <w:tab w:pos="1701" w:val="left" w:leader="none"/>
              </w:tabs>
              <w:spacing w:line="242" w:lineRule="exact"/>
              <w:rPr>
                <w:sz w:val="22"/>
              </w:rPr>
            </w:pPr>
            <w:r>
              <w:rPr>
                <w:sz w:val="22"/>
              </w:rPr>
              <w:t>llueve</w:t>
              <w:tab/>
              <w:t>lo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han cambiado,</w:t>
            </w:r>
          </w:p>
        </w:tc>
        <w:tc>
          <w:tcPr>
            <w:tcW w:w="1985" w:type="dxa"/>
            <w:tcBorders>
              <w:top w:val="nil"/>
              <w:bottom w:val="nil"/>
            </w:tcBorders>
          </w:tcPr>
          <w:p>
            <w:pPr>
              <w:pStyle w:val="TableParagraph"/>
              <w:spacing w:line="241" w:lineRule="exact"/>
              <w:rPr>
                <w:sz w:val="22"/>
              </w:rPr>
            </w:pPr>
            <w:r>
              <w:rPr>
                <w:sz w:val="22"/>
              </w:rPr>
              <w:t>suficiente.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ya no se  llena,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2" w:lineRule="exact"/>
              <w:rPr>
                <w:sz w:val="22"/>
              </w:rPr>
            </w:pPr>
            <w:r>
              <w:rPr>
                <w:sz w:val="22"/>
              </w:rPr>
              <w:t>antes</w:t>
              <w:tab/>
              <w:t>se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72" w:val="left" w:leader="none"/>
              </w:tabs>
              <w:spacing w:line="241" w:lineRule="exact"/>
              <w:rPr>
                <w:sz w:val="22"/>
              </w:rPr>
            </w:pPr>
            <w:r>
              <w:rPr>
                <w:sz w:val="22"/>
              </w:rPr>
              <w:t>miraba</w:t>
              <w:tab/>
              <w:t>muy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bonita,   ya  no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entra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suficiente</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agua.</w:t>
            </w: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Raúl</w:t>
            </w:r>
          </w:p>
        </w:tc>
        <w:tc>
          <w:tcPr>
            <w:tcW w:w="1418" w:type="dxa"/>
            <w:tcBorders>
              <w:bottom w:val="nil"/>
            </w:tcBorders>
          </w:tcPr>
          <w:p>
            <w:pPr>
              <w:pStyle w:val="TableParagraph"/>
              <w:ind w:left="100" w:right="101"/>
              <w:rPr>
                <w:sz w:val="22"/>
              </w:rPr>
            </w:pPr>
            <w:r>
              <w:rPr>
                <w:sz w:val="22"/>
              </w:rPr>
              <w:t>Cocinero</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Ruano</w:t>
            </w:r>
          </w:p>
        </w:tc>
        <w:tc>
          <w:tcPr>
            <w:tcW w:w="991" w:type="dxa"/>
            <w:tcBorders>
              <w:bottom w:val="nil"/>
            </w:tcBorders>
          </w:tcPr>
          <w:p>
            <w:pPr>
              <w:pStyle w:val="TableParagraph"/>
              <w:ind w:left="100"/>
              <w:rPr>
                <w:sz w:val="22"/>
              </w:rPr>
            </w:pPr>
            <w:r>
              <w:rPr>
                <w:sz w:val="22"/>
              </w:rPr>
              <w:t>Polotitl</w:t>
            </w:r>
          </w:p>
        </w:tc>
        <w:tc>
          <w:tcPr>
            <w:tcW w:w="1277" w:type="dxa"/>
            <w:tcBorders>
              <w:bottom w:val="nil"/>
            </w:tcBorders>
          </w:tcPr>
          <w:p>
            <w:pPr>
              <w:pStyle w:val="TableParagraph"/>
              <w:ind w:right="92"/>
              <w:rPr>
                <w:sz w:val="22"/>
              </w:rPr>
            </w:pPr>
            <w:r>
              <w:rPr>
                <w:sz w:val="22"/>
              </w:rPr>
              <w:t>Ruano,</w:t>
            </w:r>
          </w:p>
        </w:tc>
        <w:tc>
          <w:tcPr>
            <w:tcW w:w="1133" w:type="dxa"/>
            <w:tcBorders>
              <w:bottom w:val="nil"/>
            </w:tcBorders>
          </w:tcPr>
          <w:p>
            <w:pPr>
              <w:pStyle w:val="TableParagraph"/>
              <w:ind w:left="100" w:right="52"/>
              <w:rPr>
                <w:sz w:val="22"/>
              </w:rPr>
            </w:pPr>
            <w:r>
              <w:rPr>
                <w:sz w:val="22"/>
              </w:rPr>
              <w:t>Ruano,</w:t>
            </w:r>
          </w:p>
        </w:tc>
        <w:tc>
          <w:tcPr>
            <w:tcW w:w="1702" w:type="dxa"/>
            <w:tcBorders>
              <w:bottom w:val="nil"/>
            </w:tcBorders>
          </w:tcPr>
          <w:p>
            <w:pPr>
              <w:pStyle w:val="TableParagraph"/>
              <w:tabs>
                <w:tab w:pos="1346" w:val="left" w:leader="none"/>
              </w:tabs>
              <w:rPr>
                <w:sz w:val="22"/>
              </w:rPr>
            </w:pPr>
            <w:r>
              <w:rPr>
                <w:sz w:val="22"/>
              </w:rPr>
              <w:t>Comité</w:t>
              <w:tab/>
              <w:t>de</w:t>
            </w:r>
          </w:p>
        </w:tc>
        <w:tc>
          <w:tcPr>
            <w:tcW w:w="1985" w:type="dxa"/>
            <w:tcBorders>
              <w:bottom w:val="nil"/>
            </w:tcBorders>
          </w:tcPr>
          <w:p>
            <w:pPr>
              <w:pStyle w:val="TableParagraph"/>
              <w:rPr>
                <w:sz w:val="22"/>
              </w:rPr>
            </w:pPr>
            <w:r>
              <w:rPr>
                <w:sz w:val="22"/>
              </w:rPr>
              <w:t>Porque   en   esta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Cuevas</w:t>
            </w:r>
          </w:p>
        </w:tc>
        <w:tc>
          <w:tcPr>
            <w:tcW w:w="1418" w:type="dxa"/>
            <w:tcBorders>
              <w:top w:val="nil"/>
              <w:bottom w:val="nil"/>
            </w:tcBorders>
          </w:tcPr>
          <w:p>
            <w:pPr>
              <w:pStyle w:val="TableParagraph"/>
              <w:tabs>
                <w:tab w:pos="1060" w:val="left" w:leader="none"/>
              </w:tabs>
              <w:spacing w:line="241" w:lineRule="exact"/>
              <w:ind w:left="100"/>
              <w:rPr>
                <w:sz w:val="22"/>
              </w:rPr>
            </w:pPr>
            <w:r>
              <w:rPr>
                <w:sz w:val="22"/>
              </w:rPr>
              <w:t>(tiene</w:t>
              <w:tab/>
              <w:t>un</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án</w:t>
            </w:r>
          </w:p>
        </w:tc>
        <w:tc>
          <w:tcPr>
            <w:tcW w:w="1277" w:type="dxa"/>
            <w:tcBorders>
              <w:top w:val="nil"/>
              <w:bottom w:val="nil"/>
            </w:tcBorders>
          </w:tcPr>
          <w:p>
            <w:pPr>
              <w:pStyle w:val="TableParagraph"/>
              <w:spacing w:line="241" w:lineRule="exact"/>
              <w:ind w:right="92"/>
              <w:rPr>
                <w:sz w:val="22"/>
              </w:rPr>
            </w:pPr>
            <w:r>
              <w:rPr>
                <w:sz w:val="22"/>
              </w:rPr>
              <w:t>Polotitlán</w:t>
            </w:r>
          </w:p>
        </w:tc>
        <w:tc>
          <w:tcPr>
            <w:tcW w:w="1133" w:type="dxa"/>
            <w:tcBorders>
              <w:top w:val="nil"/>
              <w:bottom w:val="nil"/>
            </w:tcBorders>
          </w:tcPr>
          <w:p>
            <w:pPr>
              <w:pStyle w:val="TableParagraph"/>
              <w:spacing w:line="241" w:lineRule="exact"/>
              <w:ind w:left="100" w:right="52"/>
              <w:rPr>
                <w:sz w:val="22"/>
              </w:rPr>
            </w:pPr>
            <w:r>
              <w:rPr>
                <w:sz w:val="22"/>
              </w:rPr>
              <w:t>Polotitlán</w:t>
            </w:r>
          </w:p>
        </w:tc>
        <w:tc>
          <w:tcPr>
            <w:tcW w:w="1702" w:type="dxa"/>
            <w:tcBorders>
              <w:top w:val="nil"/>
              <w:bottom w:val="nil"/>
            </w:tcBorders>
          </w:tcPr>
          <w:p>
            <w:pPr>
              <w:pStyle w:val="TableParagraph"/>
              <w:spacing w:line="241" w:lineRule="exact"/>
              <w:rPr>
                <w:sz w:val="22"/>
              </w:rPr>
            </w:pPr>
            <w:r>
              <w:rPr>
                <w:sz w:val="22"/>
              </w:rPr>
              <w:t>Riego que está</w:t>
            </w:r>
          </w:p>
        </w:tc>
        <w:tc>
          <w:tcPr>
            <w:tcW w:w="1985" w:type="dxa"/>
            <w:tcBorders>
              <w:top w:val="nil"/>
              <w:bottom w:val="nil"/>
            </w:tcBorders>
          </w:tcPr>
          <w:p>
            <w:pPr>
              <w:pStyle w:val="TableParagraph"/>
              <w:tabs>
                <w:tab w:pos="1593" w:val="left" w:leader="none"/>
              </w:tabs>
              <w:spacing w:line="241" w:lineRule="exact"/>
              <w:rPr>
                <w:sz w:val="22"/>
              </w:rPr>
            </w:pPr>
            <w:r>
              <w:rPr>
                <w:sz w:val="22"/>
              </w:rPr>
              <w:t>temporada</w:t>
              <w:tab/>
              <w:t>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Espinoza</w:t>
            </w:r>
          </w:p>
        </w:tc>
        <w:tc>
          <w:tcPr>
            <w:tcW w:w="1418" w:type="dxa"/>
            <w:tcBorders>
              <w:top w:val="nil"/>
              <w:bottom w:val="nil"/>
            </w:tcBorders>
          </w:tcPr>
          <w:p>
            <w:pPr>
              <w:pStyle w:val="TableParagraph"/>
              <w:spacing w:line="241" w:lineRule="exact"/>
              <w:ind w:left="100" w:right="101"/>
              <w:rPr>
                <w:sz w:val="22"/>
              </w:rPr>
            </w:pPr>
            <w:r>
              <w:rPr>
                <w:sz w:val="22"/>
              </w:rPr>
              <w:t>restaurante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en su período.</w:t>
            </w:r>
          </w:p>
        </w:tc>
        <w:tc>
          <w:tcPr>
            <w:tcW w:w="1985" w:type="dxa"/>
            <w:tcBorders>
              <w:top w:val="nil"/>
              <w:bottom w:val="nil"/>
            </w:tcBorders>
          </w:tcPr>
          <w:p>
            <w:pPr>
              <w:pStyle w:val="TableParagraph"/>
              <w:tabs>
                <w:tab w:pos="1261" w:val="left" w:leader="none"/>
              </w:tabs>
              <w:spacing w:line="241" w:lineRule="exact"/>
              <w:rPr>
                <w:sz w:val="22"/>
              </w:rPr>
            </w:pPr>
            <w:r>
              <w:rPr>
                <w:sz w:val="22"/>
              </w:rPr>
              <w:t>que</w:t>
              <w:tab/>
              <w:t>tenían</w:t>
            </w:r>
          </w:p>
        </w:tc>
      </w:tr>
      <w:tr>
        <w:trPr>
          <w:trHeight w:val="253" w:hRule="exact"/>
        </w:trPr>
        <w:tc>
          <w:tcPr>
            <w:tcW w:w="1385" w:type="dxa"/>
            <w:tcBorders>
              <w:top w:val="nil"/>
              <w:bottom w:val="nil"/>
            </w:tcBorders>
          </w:tcPr>
          <w:p>
            <w:pPr>
              <w:pStyle w:val="TableParagraph"/>
              <w:spacing w:line="242" w:lineRule="exact"/>
              <w:rPr>
                <w:sz w:val="22"/>
              </w:rPr>
            </w:pPr>
            <w:r>
              <w:rPr>
                <w:sz w:val="22"/>
              </w:rPr>
              <w:t>(20/8/2014)</w:t>
            </w:r>
          </w:p>
        </w:tc>
        <w:tc>
          <w:tcPr>
            <w:tcW w:w="1418" w:type="dxa"/>
            <w:tcBorders>
              <w:top w:val="nil"/>
              <w:bottom w:val="nil"/>
            </w:tcBorders>
          </w:tcPr>
          <w:p>
            <w:pPr>
              <w:pStyle w:val="TableParagraph"/>
              <w:spacing w:line="242" w:lineRule="exact"/>
              <w:ind w:left="100"/>
              <w:rPr>
                <w:sz w:val="22"/>
              </w:rPr>
            </w:pPr>
            <w:r>
              <w:rPr>
                <w:sz w:val="22"/>
              </w:rPr>
              <w:t>en el</w:t>
            </w:r>
            <w:r>
              <w:rPr>
                <w:spacing w:val="51"/>
                <w:sz w:val="22"/>
              </w:rPr>
              <w:t> </w:t>
            </w:r>
            <w:r>
              <w:rPr>
                <w:sz w:val="22"/>
              </w:rPr>
              <w:t>centro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094" w:val="left" w:leader="none"/>
                <w:tab w:pos="1593" w:val="left" w:leader="none"/>
              </w:tabs>
              <w:spacing w:line="242" w:lineRule="exact"/>
              <w:rPr>
                <w:sz w:val="22"/>
              </w:rPr>
            </w:pPr>
            <w:r>
              <w:rPr>
                <w:sz w:val="22"/>
              </w:rPr>
              <w:t>pastura</w:t>
              <w:tab/>
              <w:t>no</w:t>
              <w:tab/>
              <w:t>les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de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dieron para maíz.</w:t>
            </w:r>
          </w:p>
        </w:tc>
      </w:tr>
      <w:tr>
        <w:trPr>
          <w:trHeight w:val="248" w:hRule="exact"/>
        </w:trPr>
        <w:tc>
          <w:tcPr>
            <w:tcW w:w="1385" w:type="dxa"/>
            <w:tcBorders>
              <w:top w:val="nil"/>
            </w:tcBorders>
          </w:tcPr>
          <w:p>
            <w:pPr/>
          </w:p>
        </w:tc>
        <w:tc>
          <w:tcPr>
            <w:tcW w:w="1418" w:type="dxa"/>
            <w:tcBorders>
              <w:top w:val="nil"/>
            </w:tcBorders>
          </w:tcPr>
          <w:p>
            <w:pPr>
              <w:pStyle w:val="TableParagraph"/>
              <w:spacing w:line="242" w:lineRule="exact"/>
              <w:ind w:left="100"/>
              <w:rPr>
                <w:sz w:val="22"/>
              </w:rPr>
            </w:pPr>
            <w:r>
              <w:rPr>
                <w:sz w:val="22"/>
              </w:rPr>
              <w:t>Polotitlán)</w:t>
            </w:r>
            <w:r>
              <w:rPr>
                <w:spacing w:val="53"/>
                <w:sz w:val="22"/>
              </w:rPr>
              <w:t> </w:t>
            </w:r>
            <w:r>
              <w:rPr>
                <w:sz w:val="22"/>
              </w:rPr>
              <w:t>y</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66" w:hRule="exact"/>
        </w:trPr>
        <w:tc>
          <w:tcPr>
            <w:tcW w:w="1385" w:type="dxa"/>
            <w:vMerge w:val="restart"/>
          </w:tcPr>
          <w:p>
            <w:pPr/>
          </w:p>
        </w:tc>
        <w:tc>
          <w:tcPr>
            <w:tcW w:w="1418" w:type="dxa"/>
            <w:tcBorders>
              <w:bottom w:val="nil"/>
            </w:tcBorders>
          </w:tcPr>
          <w:p>
            <w:pPr>
              <w:pStyle w:val="TableParagraph"/>
              <w:spacing w:line="251" w:lineRule="exact"/>
              <w:ind w:left="100" w:right="101"/>
              <w:rPr>
                <w:sz w:val="22"/>
              </w:rPr>
            </w:pPr>
            <w:r>
              <w:rPr>
                <w:sz w:val="22"/>
              </w:rPr>
              <w:t>el campo</w:t>
            </w:r>
          </w:p>
        </w:tc>
        <w:tc>
          <w:tcPr>
            <w:tcW w:w="1417" w:type="dxa"/>
            <w:vMerge w:val="restart"/>
          </w:tcPr>
          <w:p>
            <w:pPr/>
          </w:p>
        </w:tc>
        <w:tc>
          <w:tcPr>
            <w:tcW w:w="1560" w:type="dxa"/>
            <w:vMerge w:val="restart"/>
          </w:tcPr>
          <w:p>
            <w:pPr/>
          </w:p>
        </w:tc>
        <w:tc>
          <w:tcPr>
            <w:tcW w:w="991" w:type="dxa"/>
            <w:vMerge w:val="restart"/>
          </w:tcPr>
          <w:p>
            <w:pPr/>
          </w:p>
        </w:tc>
        <w:tc>
          <w:tcPr>
            <w:tcW w:w="1277" w:type="dxa"/>
            <w:vMerge w:val="restart"/>
          </w:tcPr>
          <w:p>
            <w:pPr/>
          </w:p>
        </w:tc>
        <w:tc>
          <w:tcPr>
            <w:tcW w:w="1133" w:type="dxa"/>
            <w:vMerge w:val="restart"/>
          </w:tcPr>
          <w:p>
            <w:pPr/>
          </w:p>
        </w:tc>
        <w:tc>
          <w:tcPr>
            <w:tcW w:w="1702" w:type="dxa"/>
            <w:tcBorders>
              <w:bottom w:val="nil"/>
            </w:tcBorders>
          </w:tcPr>
          <w:p>
            <w:pPr>
              <w:pStyle w:val="TableParagraph"/>
              <w:spacing w:line="251" w:lineRule="exact"/>
              <w:rPr>
                <w:sz w:val="22"/>
              </w:rPr>
            </w:pPr>
            <w:r>
              <w:rPr>
                <w:sz w:val="22"/>
              </w:rPr>
              <w:t>Otro  problema</w:t>
            </w:r>
          </w:p>
        </w:tc>
        <w:tc>
          <w:tcPr>
            <w:tcW w:w="1985" w:type="dxa"/>
            <w:tcBorders>
              <w:bottom w:val="nil"/>
            </w:tcBorders>
          </w:tcPr>
          <w:p>
            <w:pPr>
              <w:pStyle w:val="TableParagraph"/>
              <w:spacing w:line="251" w:lineRule="exact"/>
              <w:rPr>
                <w:sz w:val="22"/>
              </w:rPr>
            </w:pPr>
            <w:r>
              <w:rPr>
                <w:sz w:val="22"/>
              </w:rPr>
              <w:t>Porque  ya  no se</w:t>
            </w:r>
          </w:p>
        </w:tc>
      </w:tr>
      <w:tr>
        <w:trPr>
          <w:trHeight w:val="253"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es  la  falta </w:t>
            </w:r>
            <w:r>
              <w:rPr>
                <w:spacing w:val="52"/>
                <w:sz w:val="22"/>
              </w:rPr>
              <w:t> </w:t>
            </w:r>
            <w:r>
              <w:rPr>
                <w:sz w:val="22"/>
              </w:rPr>
              <w:t>de</w:t>
            </w:r>
          </w:p>
        </w:tc>
        <w:tc>
          <w:tcPr>
            <w:tcW w:w="1985" w:type="dxa"/>
            <w:tcBorders>
              <w:top w:val="nil"/>
              <w:bottom w:val="nil"/>
            </w:tcBorders>
          </w:tcPr>
          <w:p>
            <w:pPr>
              <w:pStyle w:val="TableParagraph"/>
              <w:tabs>
                <w:tab w:pos="1334" w:val="left" w:leader="none"/>
              </w:tabs>
              <w:spacing w:line="241" w:lineRule="exact"/>
              <w:rPr>
                <w:sz w:val="22"/>
              </w:rPr>
            </w:pPr>
            <w:r>
              <w:rPr>
                <w:sz w:val="22"/>
              </w:rPr>
              <w:t>limpian</w:t>
              <w:tab/>
              <w:t>como</w:t>
            </w:r>
          </w:p>
        </w:tc>
      </w:tr>
      <w:tr>
        <w:trPr>
          <w:trHeight w:val="253"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limpia   de   los</w:t>
            </w:r>
          </w:p>
        </w:tc>
        <w:tc>
          <w:tcPr>
            <w:tcW w:w="1985" w:type="dxa"/>
            <w:tcBorders>
              <w:top w:val="nil"/>
              <w:bottom w:val="nil"/>
            </w:tcBorders>
          </w:tcPr>
          <w:p>
            <w:pPr>
              <w:pStyle w:val="TableParagraph"/>
              <w:spacing w:line="242" w:lineRule="exact"/>
              <w:rPr>
                <w:sz w:val="22"/>
              </w:rPr>
            </w:pPr>
            <w:r>
              <w:rPr>
                <w:sz w:val="22"/>
              </w:rPr>
              <w:t>antes,   antes  era</w:t>
            </w:r>
          </w:p>
        </w:tc>
      </w:tr>
      <w:tr>
        <w:trPr>
          <w:trHeight w:val="253" w:hRule="exact"/>
        </w:trPr>
        <w:tc>
          <w:tcPr>
            <w:tcW w:w="1385" w:type="dxa"/>
            <w:vMerge/>
          </w:tcPr>
          <w:p>
            <w:pPr/>
          </w:p>
        </w:tc>
        <w:tc>
          <w:tcPr>
            <w:tcW w:w="1418" w:type="dxa"/>
            <w:tcBorders>
              <w:top w:val="nil"/>
              <w:bottom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ramales</w:t>
            </w:r>
          </w:p>
        </w:tc>
        <w:tc>
          <w:tcPr>
            <w:tcW w:w="1985" w:type="dxa"/>
            <w:tcBorders>
              <w:top w:val="nil"/>
              <w:bottom w:val="nil"/>
            </w:tcBorders>
          </w:tcPr>
          <w:p>
            <w:pPr>
              <w:pStyle w:val="TableParagraph"/>
              <w:spacing w:line="241" w:lineRule="exact"/>
              <w:rPr>
                <w:sz w:val="22"/>
              </w:rPr>
            </w:pPr>
            <w:r>
              <w:rPr>
                <w:sz w:val="22"/>
              </w:rPr>
              <w:t>cada año.</w:t>
            </w:r>
          </w:p>
        </w:tc>
      </w:tr>
      <w:tr>
        <w:trPr>
          <w:trHeight w:val="249" w:hRule="exact"/>
        </w:trPr>
        <w:tc>
          <w:tcPr>
            <w:tcW w:w="1385" w:type="dxa"/>
            <w:vMerge/>
          </w:tcPr>
          <w:p>
            <w:pPr/>
          </w:p>
        </w:tc>
        <w:tc>
          <w:tcPr>
            <w:tcW w:w="1418" w:type="dxa"/>
            <w:tcBorders>
              <w:top w:val="nil"/>
            </w:tcBorders>
          </w:tcPr>
          <w:p>
            <w:pPr/>
          </w:p>
        </w:tc>
        <w:tc>
          <w:tcPr>
            <w:tcW w:w="1417" w:type="dxa"/>
            <w:vMerge/>
          </w:tcPr>
          <w:p>
            <w:pPr/>
          </w:p>
        </w:tc>
        <w:tc>
          <w:tcPr>
            <w:tcW w:w="1560" w:type="dxa"/>
            <w:vMerge/>
          </w:tcPr>
          <w:p>
            <w:pPr/>
          </w:p>
        </w:tc>
        <w:tc>
          <w:tcPr>
            <w:tcW w:w="991" w:type="dxa"/>
            <w:vMerge/>
          </w:tcPr>
          <w:p>
            <w:pPr/>
          </w:p>
        </w:tc>
        <w:tc>
          <w:tcPr>
            <w:tcW w:w="1277" w:type="dxa"/>
            <w:vMerge/>
          </w:tcPr>
          <w:p>
            <w:pPr/>
          </w:p>
        </w:tc>
        <w:tc>
          <w:tcPr>
            <w:tcW w:w="1133" w:type="dxa"/>
            <w:vMerge/>
          </w:tcPr>
          <w:p>
            <w:pPr/>
          </w:p>
        </w:tc>
        <w:tc>
          <w:tcPr>
            <w:tcW w:w="1702" w:type="dxa"/>
            <w:tcBorders>
              <w:top w:val="nil"/>
            </w:tcBorders>
          </w:tcPr>
          <w:p>
            <w:pPr>
              <w:pStyle w:val="TableParagraph"/>
              <w:spacing w:line="242" w:lineRule="exact"/>
              <w:rPr>
                <w:sz w:val="22"/>
              </w:rPr>
            </w:pPr>
            <w:r>
              <w:rPr>
                <w:sz w:val="22"/>
              </w:rPr>
              <w:t>(canales).</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Fernando</w:t>
            </w:r>
          </w:p>
        </w:tc>
        <w:tc>
          <w:tcPr>
            <w:tcW w:w="1418" w:type="dxa"/>
            <w:tcBorders>
              <w:bottom w:val="nil"/>
            </w:tcBorders>
          </w:tcPr>
          <w:p>
            <w:pPr>
              <w:pStyle w:val="TableParagraph"/>
              <w:tabs>
                <w:tab w:pos="937" w:val="left" w:leader="none"/>
              </w:tabs>
              <w:spacing w:line="251" w:lineRule="exact"/>
              <w:ind w:left="100"/>
              <w:rPr>
                <w:sz w:val="22"/>
              </w:rPr>
            </w:pPr>
            <w:r>
              <w:rPr>
                <w:sz w:val="22"/>
              </w:rPr>
              <w:t>Vigilar</w:t>
              <w:tab/>
              <w:t>una</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Encinillas</w:t>
            </w:r>
          </w:p>
        </w:tc>
        <w:tc>
          <w:tcPr>
            <w:tcW w:w="991" w:type="dxa"/>
            <w:tcBorders>
              <w:bottom w:val="nil"/>
            </w:tcBorders>
          </w:tcPr>
          <w:p>
            <w:pPr>
              <w:pStyle w:val="TableParagraph"/>
              <w:spacing w:line="251" w:lineRule="exact"/>
              <w:ind w:left="100"/>
              <w:rPr>
                <w:sz w:val="22"/>
              </w:rPr>
            </w:pPr>
            <w:r>
              <w:rPr>
                <w:sz w:val="22"/>
              </w:rPr>
              <w:t>Polotitl</w:t>
            </w:r>
          </w:p>
        </w:tc>
        <w:tc>
          <w:tcPr>
            <w:tcW w:w="1277" w:type="dxa"/>
            <w:tcBorders>
              <w:bottom w:val="nil"/>
            </w:tcBorders>
          </w:tcPr>
          <w:p>
            <w:pPr>
              <w:pStyle w:val="TableParagraph"/>
              <w:spacing w:line="251" w:lineRule="exact"/>
              <w:ind w:right="92"/>
              <w:rPr>
                <w:sz w:val="22"/>
              </w:rPr>
            </w:pPr>
            <w:r>
              <w:rPr>
                <w:sz w:val="22"/>
              </w:rPr>
              <w:t>Distrito</w:t>
            </w:r>
          </w:p>
        </w:tc>
        <w:tc>
          <w:tcPr>
            <w:tcW w:w="1133" w:type="dxa"/>
            <w:tcBorders>
              <w:bottom w:val="nil"/>
            </w:tcBorders>
          </w:tcPr>
          <w:p>
            <w:pPr>
              <w:pStyle w:val="TableParagraph"/>
              <w:spacing w:line="251" w:lineRule="exact"/>
              <w:ind w:left="100" w:right="52"/>
              <w:rPr>
                <w:sz w:val="22"/>
              </w:rPr>
            </w:pPr>
            <w:r>
              <w:rPr>
                <w:sz w:val="22"/>
              </w:rPr>
              <w:t>Encinilla</w:t>
            </w:r>
          </w:p>
        </w:tc>
        <w:tc>
          <w:tcPr>
            <w:tcW w:w="1702" w:type="dxa"/>
            <w:tcBorders>
              <w:bottom w:val="nil"/>
            </w:tcBorders>
          </w:tcPr>
          <w:p>
            <w:pPr>
              <w:pStyle w:val="TableParagraph"/>
              <w:spacing w:line="251" w:lineRule="exact"/>
              <w:rPr>
                <w:sz w:val="22"/>
              </w:rPr>
            </w:pPr>
            <w:r>
              <w:rPr>
                <w:sz w:val="22"/>
              </w:rPr>
              <w:t>El   agua   está</w:t>
            </w:r>
          </w:p>
        </w:tc>
        <w:tc>
          <w:tcPr>
            <w:tcW w:w="1985" w:type="dxa"/>
            <w:tcBorders>
              <w:bottom w:val="nil"/>
            </w:tcBorders>
          </w:tcPr>
          <w:p>
            <w:pPr>
              <w:pStyle w:val="TableParagraph"/>
              <w:tabs>
                <w:tab w:pos="1703" w:val="left" w:leader="none"/>
              </w:tabs>
              <w:spacing w:line="251" w:lineRule="exact"/>
              <w:rPr>
                <w:sz w:val="22"/>
              </w:rPr>
            </w:pPr>
            <w:r>
              <w:rPr>
                <w:sz w:val="22"/>
              </w:rPr>
              <w:t>Porque</w:t>
              <w:tab/>
              <w:t>la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Caballero</w:t>
            </w:r>
          </w:p>
        </w:tc>
        <w:tc>
          <w:tcPr>
            <w:tcW w:w="1418" w:type="dxa"/>
            <w:tcBorders>
              <w:top w:val="nil"/>
              <w:bottom w:val="nil"/>
            </w:tcBorders>
          </w:tcPr>
          <w:p>
            <w:pPr>
              <w:pStyle w:val="TableParagraph"/>
              <w:spacing w:line="242" w:lineRule="exact"/>
              <w:ind w:left="100"/>
              <w:rPr>
                <w:sz w:val="22"/>
              </w:rPr>
            </w:pPr>
            <w:r>
              <w:rPr>
                <w:sz w:val="22"/>
              </w:rPr>
              <w:t>gasera  y  el</w:t>
            </w:r>
          </w:p>
        </w:tc>
        <w:tc>
          <w:tcPr>
            <w:tcW w:w="1417" w:type="dxa"/>
            <w:tcBorders>
              <w:top w:val="nil"/>
              <w:bottom w:val="nil"/>
            </w:tcBorders>
          </w:tcPr>
          <w:p>
            <w:pPr>
              <w:pStyle w:val="TableParagraph"/>
              <w:spacing w:line="242"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2" w:lineRule="exact"/>
              <w:ind w:left="100"/>
              <w:rPr>
                <w:sz w:val="22"/>
              </w:rPr>
            </w:pPr>
            <w:r>
              <w:rPr>
                <w:sz w:val="22"/>
              </w:rPr>
              <w:t>án</w:t>
            </w:r>
          </w:p>
        </w:tc>
        <w:tc>
          <w:tcPr>
            <w:tcW w:w="1277" w:type="dxa"/>
            <w:tcBorders>
              <w:top w:val="nil"/>
              <w:bottom w:val="nil"/>
            </w:tcBorders>
          </w:tcPr>
          <w:p>
            <w:pPr>
              <w:pStyle w:val="TableParagraph"/>
              <w:spacing w:line="242" w:lineRule="exact"/>
              <w:ind w:right="92"/>
              <w:rPr>
                <w:sz w:val="22"/>
              </w:rPr>
            </w:pPr>
            <w:r>
              <w:rPr>
                <w:sz w:val="22"/>
              </w:rPr>
              <w:t>Federal,</w:t>
            </w:r>
          </w:p>
        </w:tc>
        <w:tc>
          <w:tcPr>
            <w:tcW w:w="1133" w:type="dxa"/>
            <w:tcBorders>
              <w:top w:val="nil"/>
              <w:bottom w:val="nil"/>
            </w:tcBorders>
          </w:tcPr>
          <w:p>
            <w:pPr>
              <w:pStyle w:val="TableParagraph"/>
              <w:spacing w:line="242" w:lineRule="exact"/>
              <w:ind w:left="100" w:right="52"/>
              <w:rPr>
                <w:sz w:val="22"/>
              </w:rPr>
            </w:pPr>
            <w:r>
              <w:rPr>
                <w:sz w:val="22"/>
              </w:rPr>
              <w:t>s,</w:t>
            </w:r>
          </w:p>
        </w:tc>
        <w:tc>
          <w:tcPr>
            <w:tcW w:w="1702" w:type="dxa"/>
            <w:tcBorders>
              <w:top w:val="nil"/>
              <w:bottom w:val="nil"/>
            </w:tcBorders>
          </w:tcPr>
          <w:p>
            <w:pPr>
              <w:pStyle w:val="TableParagraph"/>
              <w:spacing w:line="242" w:lineRule="exact"/>
              <w:rPr>
                <w:sz w:val="22"/>
              </w:rPr>
            </w:pPr>
            <w:r>
              <w:rPr>
                <w:sz w:val="22"/>
              </w:rPr>
              <w:t>contaminada.</w:t>
            </w:r>
          </w:p>
        </w:tc>
        <w:tc>
          <w:tcPr>
            <w:tcW w:w="1985" w:type="dxa"/>
            <w:tcBorders>
              <w:top w:val="nil"/>
              <w:bottom w:val="nil"/>
            </w:tcBorders>
          </w:tcPr>
          <w:p>
            <w:pPr>
              <w:pStyle w:val="TableParagraph"/>
              <w:spacing w:line="242" w:lineRule="exact"/>
              <w:rPr>
                <w:sz w:val="22"/>
              </w:rPr>
            </w:pPr>
            <w:r>
              <w:rPr>
                <w:sz w:val="22"/>
              </w:rPr>
              <w:t>población</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López</w:t>
            </w:r>
          </w:p>
        </w:tc>
        <w:tc>
          <w:tcPr>
            <w:tcW w:w="1418" w:type="dxa"/>
            <w:tcBorders>
              <w:top w:val="nil"/>
              <w:bottom w:val="nil"/>
            </w:tcBorders>
          </w:tcPr>
          <w:p>
            <w:pPr>
              <w:pStyle w:val="TableParagraph"/>
              <w:spacing w:line="241" w:lineRule="exact"/>
              <w:ind w:left="100" w:right="101"/>
              <w:rPr>
                <w:sz w:val="22"/>
              </w:rPr>
            </w:pPr>
            <w:r>
              <w:rPr>
                <w:sz w:val="22"/>
              </w:rPr>
              <w:t>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pero</w:t>
            </w:r>
          </w:p>
        </w:tc>
        <w:tc>
          <w:tcPr>
            <w:tcW w:w="1133" w:type="dxa"/>
            <w:tcBorders>
              <w:top w:val="nil"/>
              <w:bottom w:val="nil"/>
            </w:tcBorders>
          </w:tcPr>
          <w:p>
            <w:pPr>
              <w:pStyle w:val="TableParagraph"/>
              <w:spacing w:line="241" w:lineRule="exact"/>
              <w:ind w:left="100" w:right="52"/>
              <w:rPr>
                <w:sz w:val="22"/>
              </w:rPr>
            </w:pPr>
            <w:r>
              <w:rPr>
                <w:sz w:val="22"/>
              </w:rPr>
              <w:t>Polotitlán</w:t>
            </w:r>
          </w:p>
        </w:tc>
        <w:tc>
          <w:tcPr>
            <w:tcW w:w="1702" w:type="dxa"/>
            <w:tcBorders>
              <w:top w:val="nil"/>
              <w:bottom w:val="nil"/>
            </w:tcBorders>
          </w:tcPr>
          <w:p>
            <w:pPr/>
          </w:p>
        </w:tc>
        <w:tc>
          <w:tcPr>
            <w:tcW w:w="1985" w:type="dxa"/>
            <w:tcBorders>
              <w:top w:val="nil"/>
              <w:bottom w:val="nil"/>
            </w:tcBorders>
          </w:tcPr>
          <w:p>
            <w:pPr>
              <w:pStyle w:val="TableParagraph"/>
              <w:tabs>
                <w:tab w:pos="1701" w:val="left" w:leader="none"/>
              </w:tabs>
              <w:spacing w:line="241" w:lineRule="exact"/>
              <w:rPr>
                <w:sz w:val="22"/>
              </w:rPr>
            </w:pPr>
            <w:r>
              <w:rPr>
                <w:sz w:val="22"/>
              </w:rPr>
              <w:t>aledaña</w:t>
              <w:tab/>
              <w:t>la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(4/9/2014)</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llegue a</w:t>
            </w: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518" w:val="left" w:leader="none"/>
              </w:tabs>
              <w:spacing w:line="241" w:lineRule="exact"/>
              <w:rPr>
                <w:sz w:val="22"/>
              </w:rPr>
            </w:pPr>
            <w:r>
              <w:rPr>
                <w:sz w:val="22"/>
              </w:rPr>
              <w:t>contamina</w:t>
              <w:tab/>
              <w:t>con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Encinillas</w:t>
            </w: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basura,  animales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desde que</w:t>
            </w: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muertos  de </w:t>
            </w:r>
            <w:r>
              <w:rPr>
                <w:spacing w:val="54"/>
                <w:sz w:val="22"/>
              </w:rPr>
              <w:t> </w:t>
            </w:r>
            <w:r>
              <w:rPr>
                <w:sz w:val="22"/>
              </w:rPr>
              <w:t>todo</w:t>
            </w: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era niño.</w:t>
            </w: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tipo.</w:t>
            </w: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before="114"/>
              <w:rPr>
                <w:sz w:val="22"/>
              </w:rPr>
            </w:pPr>
            <w:r>
              <w:rPr>
                <w:sz w:val="22"/>
              </w:rPr>
              <w:t>Otro  problema</w:t>
            </w:r>
          </w:p>
        </w:tc>
        <w:tc>
          <w:tcPr>
            <w:tcW w:w="1985" w:type="dxa"/>
            <w:tcBorders>
              <w:top w:val="nil"/>
              <w:bottom w:val="nil"/>
            </w:tcBorders>
          </w:tcPr>
          <w:p>
            <w:pPr>
              <w:pStyle w:val="TableParagraph"/>
              <w:tabs>
                <w:tab w:pos="1043" w:val="left" w:leader="none"/>
                <w:tab w:pos="1518" w:val="left" w:leader="none"/>
              </w:tabs>
              <w:spacing w:before="114"/>
              <w:rPr>
                <w:sz w:val="22"/>
              </w:rPr>
            </w:pPr>
            <w:r>
              <w:rPr>
                <w:sz w:val="22"/>
              </w:rPr>
              <w:t>Porque</w:t>
              <w:tab/>
              <w:t>no</w:t>
              <w:tab/>
              <w:t>hay</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676" w:val="left" w:leader="none"/>
                <w:tab w:pos="1357" w:val="left" w:leader="none"/>
              </w:tabs>
              <w:spacing w:line="242" w:lineRule="exact"/>
              <w:rPr>
                <w:sz w:val="22"/>
              </w:rPr>
            </w:pPr>
            <w:r>
              <w:rPr>
                <w:sz w:val="22"/>
              </w:rPr>
              <w:t>que</w:t>
              <w:tab/>
              <w:t>tiene</w:t>
              <w:tab/>
              <w:t>es</w:t>
            </w:r>
          </w:p>
        </w:tc>
        <w:tc>
          <w:tcPr>
            <w:tcW w:w="1985" w:type="dxa"/>
            <w:tcBorders>
              <w:top w:val="nil"/>
              <w:bottom w:val="nil"/>
            </w:tcBorders>
          </w:tcPr>
          <w:p>
            <w:pPr>
              <w:pStyle w:val="TableParagraph"/>
              <w:spacing w:line="242" w:lineRule="exact"/>
              <w:rPr>
                <w:sz w:val="22"/>
              </w:rPr>
            </w:pPr>
            <w:r>
              <w:rPr>
                <w:sz w:val="22"/>
              </w:rPr>
              <w:t>mantenimiento.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9" w:val="left" w:leader="none"/>
              </w:tabs>
              <w:spacing w:line="241" w:lineRule="exact"/>
              <w:rPr>
                <w:sz w:val="22"/>
              </w:rPr>
            </w:pPr>
            <w:r>
              <w:rPr>
                <w:sz w:val="22"/>
              </w:rPr>
              <w:t>que</w:t>
              <w:tab/>
              <w:t>los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canales   están</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en mal estado.</w:t>
            </w: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Felipe</w:t>
            </w:r>
          </w:p>
        </w:tc>
        <w:tc>
          <w:tcPr>
            <w:tcW w:w="1418" w:type="dxa"/>
            <w:tcBorders>
              <w:bottom w:val="nil"/>
            </w:tcBorders>
          </w:tcPr>
          <w:p>
            <w:pPr>
              <w:pStyle w:val="TableParagraph"/>
              <w:ind w:left="156" w:right="101"/>
              <w:rPr>
                <w:sz w:val="22"/>
              </w:rPr>
            </w:pPr>
            <w:r>
              <w:rPr>
                <w:sz w:val="22"/>
              </w:rPr>
              <w:t>El campo y</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La</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La</w:t>
            </w:r>
          </w:p>
        </w:tc>
        <w:tc>
          <w:tcPr>
            <w:tcW w:w="1133" w:type="dxa"/>
            <w:tcBorders>
              <w:bottom w:val="nil"/>
            </w:tcBorders>
          </w:tcPr>
          <w:p>
            <w:pPr>
              <w:pStyle w:val="TableParagraph"/>
              <w:ind w:left="100" w:right="52"/>
              <w:rPr>
                <w:sz w:val="22"/>
              </w:rPr>
            </w:pPr>
            <w:r>
              <w:rPr>
                <w:sz w:val="22"/>
              </w:rPr>
              <w:t>La</w:t>
            </w:r>
          </w:p>
        </w:tc>
        <w:tc>
          <w:tcPr>
            <w:tcW w:w="1702" w:type="dxa"/>
            <w:tcBorders>
              <w:bottom w:val="nil"/>
            </w:tcBorders>
          </w:tcPr>
          <w:p>
            <w:pPr>
              <w:pStyle w:val="TableParagraph"/>
              <w:tabs>
                <w:tab w:pos="746" w:val="left" w:leader="none"/>
              </w:tabs>
              <w:rPr>
                <w:sz w:val="22"/>
              </w:rPr>
            </w:pPr>
            <w:r>
              <w:rPr>
                <w:sz w:val="22"/>
              </w:rPr>
              <w:t>Los</w:t>
              <w:tab/>
              <w:t>drenajes</w:t>
            </w:r>
          </w:p>
        </w:tc>
        <w:tc>
          <w:tcPr>
            <w:tcW w:w="1985" w:type="dxa"/>
            <w:tcBorders>
              <w:bottom w:val="nil"/>
            </w:tcBorders>
          </w:tcPr>
          <w:p>
            <w:pPr>
              <w:pStyle w:val="TableParagraph"/>
              <w:rPr>
                <w:sz w:val="22"/>
              </w:rPr>
            </w:pPr>
            <w:r>
              <w:rPr>
                <w:sz w:val="22"/>
              </w:rPr>
              <w:t>Porque en todo el</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Tapia</w:t>
            </w:r>
          </w:p>
        </w:tc>
        <w:tc>
          <w:tcPr>
            <w:tcW w:w="1418" w:type="dxa"/>
            <w:tcBorders>
              <w:top w:val="nil"/>
              <w:bottom w:val="nil"/>
            </w:tcBorders>
          </w:tcPr>
          <w:p>
            <w:pPr>
              <w:pStyle w:val="TableParagraph"/>
              <w:spacing w:line="241" w:lineRule="exact"/>
              <w:ind w:left="384" w:right="101"/>
              <w:rPr>
                <w:sz w:val="22"/>
              </w:rPr>
            </w:pPr>
            <w:r>
              <w:rPr>
                <w:sz w:val="22"/>
              </w:rPr>
              <w:t>albañil</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Style w:val="TableParagraph"/>
              <w:spacing w:line="241" w:lineRule="exact"/>
              <w:ind w:right="143"/>
              <w:rPr>
                <w:sz w:val="22"/>
              </w:rPr>
            </w:pPr>
            <w:r>
              <w:rPr>
                <w:sz w:val="22"/>
              </w:rPr>
              <w:t>Campesina</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spacing w:line="241" w:lineRule="exact"/>
              <w:rPr>
                <w:sz w:val="22"/>
              </w:rPr>
            </w:pPr>
            <w:r>
              <w:rPr>
                <w:sz w:val="22"/>
              </w:rPr>
              <w:t>que echan.</w:t>
            </w:r>
          </w:p>
        </w:tc>
        <w:tc>
          <w:tcPr>
            <w:tcW w:w="1985" w:type="dxa"/>
            <w:tcBorders>
              <w:top w:val="nil"/>
              <w:bottom w:val="nil"/>
            </w:tcBorders>
          </w:tcPr>
          <w:p>
            <w:pPr>
              <w:pStyle w:val="TableParagraph"/>
              <w:tabs>
                <w:tab w:pos="1518" w:val="left" w:leader="none"/>
              </w:tabs>
              <w:spacing w:line="241" w:lineRule="exact"/>
              <w:rPr>
                <w:sz w:val="22"/>
              </w:rPr>
            </w:pPr>
            <w:r>
              <w:rPr>
                <w:sz w:val="22"/>
              </w:rPr>
              <w:t>municipio</w:t>
              <w:tab/>
              <w:t>hay</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Chimal</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una  fosa séptica,</w:t>
            </w:r>
          </w:p>
        </w:tc>
      </w:tr>
      <w:tr>
        <w:trPr>
          <w:trHeight w:val="380" w:hRule="exact"/>
        </w:trPr>
        <w:tc>
          <w:tcPr>
            <w:tcW w:w="1385" w:type="dxa"/>
            <w:tcBorders>
              <w:top w:val="nil"/>
              <w:bottom w:val="nil"/>
            </w:tcBorders>
          </w:tcPr>
          <w:p>
            <w:pPr>
              <w:pStyle w:val="TableParagraph"/>
              <w:spacing w:line="242" w:lineRule="exact"/>
              <w:ind w:right="127"/>
              <w:rPr>
                <w:sz w:val="22"/>
              </w:rPr>
            </w:pPr>
            <w:r>
              <w:rPr>
                <w:sz w:val="22"/>
              </w:rPr>
              <w:t>(4/9/2014)</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Timilpan</w:t>
            </w: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pero no funciona.</w:t>
            </w: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before="115"/>
              <w:rPr>
                <w:sz w:val="22"/>
              </w:rPr>
            </w:pPr>
            <w:r>
              <w:rPr>
                <w:sz w:val="22"/>
              </w:rPr>
              <w:t>Otro  problema</w:t>
            </w:r>
          </w:p>
        </w:tc>
        <w:tc>
          <w:tcPr>
            <w:tcW w:w="1985" w:type="dxa"/>
            <w:tcBorders>
              <w:top w:val="nil"/>
              <w:bottom w:val="nil"/>
            </w:tcBorders>
          </w:tcPr>
          <w:p>
            <w:pPr>
              <w:pStyle w:val="TableParagraph"/>
              <w:spacing w:before="115"/>
              <w:rPr>
                <w:sz w:val="22"/>
              </w:rPr>
            </w:pPr>
            <w:r>
              <w:rPr>
                <w:sz w:val="22"/>
              </w:rPr>
              <w:t>Porque les tiran 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son   las   aves</w:t>
            </w:r>
          </w:p>
        </w:tc>
        <w:tc>
          <w:tcPr>
            <w:tcW w:w="1985" w:type="dxa"/>
            <w:tcBorders>
              <w:top w:val="nil"/>
              <w:bottom w:val="nil"/>
            </w:tcBorders>
          </w:tcPr>
          <w:p>
            <w:pPr>
              <w:pStyle w:val="TableParagraph"/>
              <w:tabs>
                <w:tab w:pos="712" w:val="left" w:leader="none"/>
                <w:tab w:pos="1580" w:val="left" w:leader="none"/>
              </w:tabs>
              <w:spacing w:line="241" w:lineRule="exact"/>
              <w:rPr>
                <w:sz w:val="22"/>
              </w:rPr>
            </w:pPr>
            <w:r>
              <w:rPr>
                <w:sz w:val="22"/>
              </w:rPr>
              <w:t>los</w:t>
              <w:tab/>
              <w:t>patos</w:t>
              <w:tab/>
              <w:t>del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silvestres.</w:t>
            </w:r>
          </w:p>
        </w:tc>
        <w:tc>
          <w:tcPr>
            <w:tcW w:w="1985" w:type="dxa"/>
            <w:tcBorders>
              <w:top w:val="nil"/>
              <w:bottom w:val="nil"/>
            </w:tcBorders>
          </w:tcPr>
          <w:p>
            <w:pPr>
              <w:pStyle w:val="TableParagraph"/>
              <w:spacing w:line="241" w:lineRule="exact"/>
              <w:rPr>
                <w:sz w:val="22"/>
              </w:rPr>
            </w:pPr>
            <w:r>
              <w:rPr>
                <w:sz w:val="22"/>
              </w:rPr>
              <w:t>municipio y llenan</w:t>
            </w:r>
          </w:p>
        </w:tc>
      </w:tr>
      <w:tr>
        <w:trPr>
          <w:trHeight w:val="249"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Style w:val="TableParagraph"/>
              <w:spacing w:line="242" w:lineRule="exact"/>
              <w:rPr>
                <w:sz w:val="22"/>
              </w:rPr>
            </w:pPr>
            <w:r>
              <w:rPr>
                <w:sz w:val="22"/>
              </w:rPr>
              <w:t>camionetas.</w:t>
            </w:r>
          </w:p>
        </w:tc>
      </w:tr>
      <w:tr>
        <w:trPr>
          <w:trHeight w:val="268" w:hRule="exact"/>
        </w:trPr>
        <w:tc>
          <w:tcPr>
            <w:tcW w:w="1385" w:type="dxa"/>
            <w:tcBorders>
              <w:bottom w:val="nil"/>
            </w:tcBorders>
          </w:tcPr>
          <w:p>
            <w:pPr>
              <w:pStyle w:val="TableParagraph"/>
              <w:spacing w:line="251" w:lineRule="exact"/>
              <w:ind w:right="127"/>
              <w:rPr>
                <w:sz w:val="22"/>
              </w:rPr>
            </w:pPr>
            <w:r>
              <w:rPr>
                <w:sz w:val="22"/>
              </w:rPr>
              <w:t>Audencio</w:t>
            </w:r>
          </w:p>
        </w:tc>
        <w:tc>
          <w:tcPr>
            <w:tcW w:w="1418" w:type="dxa"/>
            <w:tcBorders>
              <w:bottom w:val="nil"/>
            </w:tcBorders>
          </w:tcPr>
          <w:p>
            <w:pPr>
              <w:pStyle w:val="TableParagraph"/>
              <w:spacing w:line="251" w:lineRule="exact"/>
              <w:ind w:left="156" w:right="101"/>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Las Arenas</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spacing w:line="251" w:lineRule="exact"/>
              <w:rPr>
                <w:sz w:val="22"/>
              </w:rPr>
            </w:pPr>
            <w:r>
              <w:rPr>
                <w:sz w:val="22"/>
              </w:rPr>
              <w:t>La</w:t>
            </w:r>
          </w:p>
        </w:tc>
        <w:tc>
          <w:tcPr>
            <w:tcW w:w="1985" w:type="dxa"/>
            <w:tcBorders>
              <w:bottom w:val="nil"/>
            </w:tcBorders>
          </w:tcPr>
          <w:p>
            <w:pPr>
              <w:pStyle w:val="TableParagraph"/>
              <w:tabs>
                <w:tab w:pos="1211" w:val="left" w:leader="none"/>
              </w:tabs>
              <w:spacing w:line="251" w:lineRule="exact"/>
              <w:rPr>
                <w:sz w:val="22"/>
              </w:rPr>
            </w:pPr>
            <w:r>
              <w:rPr>
                <w:sz w:val="22"/>
              </w:rPr>
              <w:t>Porque</w:t>
              <w:tab/>
              <w:t>mucha</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Santiago</w:t>
            </w:r>
          </w:p>
        </w:tc>
        <w:tc>
          <w:tcPr>
            <w:tcW w:w="1418" w:type="dxa"/>
            <w:tcBorders>
              <w:top w:val="nil"/>
              <w:bottom w:val="nil"/>
            </w:tcBorders>
          </w:tcPr>
          <w:p>
            <w:pPr>
              <w:pStyle w:val="TableParagraph"/>
              <w:spacing w:line="243" w:lineRule="exact"/>
              <w:ind w:left="384" w:right="101"/>
              <w:rPr>
                <w:sz w:val="22"/>
              </w:rPr>
            </w:pPr>
            <w:r>
              <w:rPr>
                <w:sz w:val="22"/>
              </w:rPr>
              <w:t>albañil</w:t>
            </w:r>
          </w:p>
        </w:tc>
        <w:tc>
          <w:tcPr>
            <w:tcW w:w="1417" w:type="dxa"/>
            <w:tcBorders>
              <w:top w:val="nil"/>
              <w:bottom w:val="nil"/>
            </w:tcBorders>
          </w:tcPr>
          <w:p>
            <w:pPr>
              <w:pStyle w:val="TableParagraph"/>
              <w:spacing w:line="243"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3" w:lineRule="exact"/>
              <w:ind w:left="100"/>
              <w:rPr>
                <w:sz w:val="22"/>
              </w:rPr>
            </w:pPr>
            <w:r>
              <w:rPr>
                <w:sz w:val="22"/>
              </w:rPr>
              <w:t>ay</w:t>
            </w:r>
          </w:p>
        </w:tc>
        <w:tc>
          <w:tcPr>
            <w:tcW w:w="1277" w:type="dxa"/>
            <w:tcBorders>
              <w:top w:val="nil"/>
              <w:bottom w:val="nil"/>
            </w:tcBorders>
          </w:tcPr>
          <w:p>
            <w:pPr>
              <w:pStyle w:val="TableParagraph"/>
              <w:spacing w:line="243" w:lineRule="exact"/>
              <w:ind w:right="92"/>
              <w:rPr>
                <w:sz w:val="22"/>
              </w:rPr>
            </w:pPr>
            <w:r>
              <w:rPr>
                <w:sz w:val="22"/>
              </w:rPr>
              <w:t>Arenas,</w:t>
            </w:r>
          </w:p>
        </w:tc>
        <w:tc>
          <w:tcPr>
            <w:tcW w:w="1133" w:type="dxa"/>
            <w:tcBorders>
              <w:top w:val="nil"/>
              <w:bottom w:val="nil"/>
            </w:tcBorders>
          </w:tcPr>
          <w:p>
            <w:pPr>
              <w:pStyle w:val="TableParagraph"/>
              <w:spacing w:line="243" w:lineRule="exact"/>
              <w:ind w:left="100" w:right="52"/>
              <w:rPr>
                <w:sz w:val="22"/>
              </w:rPr>
            </w:pPr>
            <w:r>
              <w:rPr>
                <w:sz w:val="22"/>
              </w:rPr>
              <w:t>Arenas,</w:t>
            </w:r>
          </w:p>
        </w:tc>
        <w:tc>
          <w:tcPr>
            <w:tcW w:w="1702" w:type="dxa"/>
            <w:tcBorders>
              <w:top w:val="nil"/>
              <w:bottom w:val="nil"/>
            </w:tcBorders>
          </w:tcPr>
          <w:p>
            <w:pPr>
              <w:pStyle w:val="TableParagraph"/>
              <w:spacing w:line="243" w:lineRule="exact"/>
              <w:rPr>
                <w:sz w:val="22"/>
              </w:rPr>
            </w:pPr>
            <w:r>
              <w:rPr>
                <w:sz w:val="22"/>
              </w:rPr>
              <w:t>contaminación.</w:t>
            </w:r>
          </w:p>
        </w:tc>
        <w:tc>
          <w:tcPr>
            <w:tcW w:w="1985" w:type="dxa"/>
            <w:tcBorders>
              <w:top w:val="nil"/>
              <w:bottom w:val="nil"/>
            </w:tcBorders>
          </w:tcPr>
          <w:p>
            <w:pPr>
              <w:pStyle w:val="TableParagraph"/>
              <w:spacing w:line="243" w:lineRule="exact"/>
              <w:rPr>
                <w:sz w:val="22"/>
              </w:rPr>
            </w:pPr>
            <w:r>
              <w:rPr>
                <w:sz w:val="22"/>
              </w:rPr>
              <w:t>gente   no  recicla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Valentín</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Acambay</w:t>
            </w: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la basura y la  tira</w:t>
            </w:r>
          </w:p>
        </w:tc>
      </w:tr>
      <w:tr>
        <w:trPr>
          <w:trHeight w:val="379" w:hRule="exact"/>
        </w:trPr>
        <w:tc>
          <w:tcPr>
            <w:tcW w:w="1385" w:type="dxa"/>
            <w:tcBorders>
              <w:top w:val="nil"/>
              <w:bottom w:val="nil"/>
            </w:tcBorders>
          </w:tcPr>
          <w:p>
            <w:pPr>
              <w:pStyle w:val="TableParagraph"/>
              <w:spacing w:line="242" w:lineRule="exact"/>
              <w:rPr>
                <w:sz w:val="22"/>
              </w:rPr>
            </w:pPr>
            <w:r>
              <w:rPr>
                <w:sz w:val="22"/>
              </w:rPr>
              <w:t>(24/1/2015)</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2" w:lineRule="exact"/>
              <w:rPr>
                <w:sz w:val="22"/>
              </w:rPr>
            </w:pPr>
            <w:r>
              <w:rPr>
                <w:sz w:val="22"/>
              </w:rPr>
              <w:t>a los arroyos.</w:t>
            </w:r>
          </w:p>
        </w:tc>
      </w:tr>
      <w:tr>
        <w:trPr>
          <w:trHeight w:val="379"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before="114"/>
              <w:rPr>
                <w:sz w:val="22"/>
              </w:rPr>
            </w:pPr>
            <w:r>
              <w:rPr>
                <w:sz w:val="22"/>
              </w:rPr>
              <w:t>Otro  problema</w:t>
            </w:r>
          </w:p>
        </w:tc>
        <w:tc>
          <w:tcPr>
            <w:tcW w:w="1985" w:type="dxa"/>
            <w:tcBorders>
              <w:top w:val="nil"/>
              <w:bottom w:val="nil"/>
            </w:tcBorders>
          </w:tcPr>
          <w:p>
            <w:pPr>
              <w:pStyle w:val="TableParagraph"/>
              <w:spacing w:before="114"/>
              <w:rPr>
                <w:sz w:val="22"/>
              </w:rPr>
            </w:pPr>
            <w:r>
              <w:rPr>
                <w:sz w:val="22"/>
              </w:rPr>
              <w:t>Porque   tiran  los</w:t>
            </w: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que  tiene  son</w:t>
            </w:r>
          </w:p>
        </w:tc>
        <w:tc>
          <w:tcPr>
            <w:tcW w:w="1985" w:type="dxa"/>
            <w:tcBorders>
              <w:top w:val="nil"/>
            </w:tcBorders>
          </w:tcPr>
          <w:p>
            <w:pPr>
              <w:pStyle w:val="TableParagraph"/>
              <w:spacing w:line="242" w:lineRule="exact"/>
              <w:rPr>
                <w:sz w:val="22"/>
              </w:rPr>
            </w:pPr>
            <w:r>
              <w:rPr>
                <w:sz w:val="22"/>
              </w:rPr>
              <w:t>envases.</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516"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tabs>
                <w:tab w:pos="585" w:val="left" w:leader="none"/>
              </w:tabs>
              <w:spacing w:line="252" w:lineRule="exact" w:before="2"/>
              <w:ind w:right="101"/>
              <w:rPr>
                <w:sz w:val="22"/>
              </w:rPr>
            </w:pPr>
            <w:r>
              <w:rPr>
                <w:sz w:val="22"/>
              </w:rPr>
              <w:t>los</w:t>
              <w:tab/>
            </w:r>
            <w:r>
              <w:rPr>
                <w:spacing w:val="-1"/>
                <w:sz w:val="22"/>
              </w:rPr>
              <w:t>herbicidas </w:t>
            </w:r>
            <w:r>
              <w:rPr>
                <w:sz w:val="22"/>
              </w:rPr>
              <w:t>y</w:t>
            </w:r>
            <w:r>
              <w:rPr>
                <w:spacing w:val="-2"/>
                <w:sz w:val="22"/>
              </w:rPr>
              <w:t> </w:t>
            </w:r>
            <w:r>
              <w:rPr>
                <w:sz w:val="22"/>
              </w:rPr>
              <w:t>matahiervas.</w:t>
            </w:r>
          </w:p>
        </w:tc>
        <w:tc>
          <w:tcPr>
            <w:tcW w:w="1985" w:type="dxa"/>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Ponciano</w:t>
            </w:r>
          </w:p>
        </w:tc>
        <w:tc>
          <w:tcPr>
            <w:tcW w:w="1418" w:type="dxa"/>
            <w:tcBorders>
              <w:bottom w:val="nil"/>
            </w:tcBorders>
          </w:tcPr>
          <w:p>
            <w:pPr>
              <w:pStyle w:val="TableParagraph"/>
              <w:spacing w:line="251" w:lineRule="exact"/>
              <w:ind w:left="102" w:right="104"/>
              <w:jc w:val="center"/>
              <w:rPr>
                <w:sz w:val="22"/>
              </w:rPr>
            </w:pPr>
            <w:r>
              <w:rPr>
                <w:sz w:val="22"/>
              </w:rPr>
              <w:t>El campo</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San Juanico</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San</w:t>
            </w:r>
          </w:p>
        </w:tc>
        <w:tc>
          <w:tcPr>
            <w:tcW w:w="1702" w:type="dxa"/>
            <w:tcBorders>
              <w:bottom w:val="nil"/>
            </w:tcBorders>
          </w:tcPr>
          <w:p>
            <w:pPr>
              <w:pStyle w:val="TableParagraph"/>
              <w:tabs>
                <w:tab w:pos="585" w:val="left" w:leader="none"/>
              </w:tabs>
              <w:spacing w:line="251" w:lineRule="exact"/>
              <w:rPr>
                <w:sz w:val="22"/>
              </w:rPr>
            </w:pPr>
            <w:r>
              <w:rPr>
                <w:sz w:val="22"/>
              </w:rPr>
              <w:t>La</w:t>
              <w:tab/>
              <w:t>afectación</w:t>
            </w:r>
          </w:p>
        </w:tc>
        <w:tc>
          <w:tcPr>
            <w:tcW w:w="1985" w:type="dxa"/>
            <w:tcBorders>
              <w:bottom w:val="nil"/>
            </w:tcBorders>
          </w:tcPr>
          <w:p>
            <w:pPr>
              <w:pStyle w:val="TableParagraph"/>
              <w:tabs>
                <w:tab w:pos="1029" w:val="left" w:leader="none"/>
              </w:tabs>
              <w:spacing w:line="251" w:lineRule="exact"/>
              <w:rPr>
                <w:sz w:val="22"/>
              </w:rPr>
            </w:pPr>
            <w:r>
              <w:rPr>
                <w:sz w:val="22"/>
              </w:rPr>
              <w:t>Porque</w:t>
              <w:tab/>
              <w:t>subieron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Olmos</w:t>
            </w: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Juanico,</w:t>
            </w:r>
          </w:p>
        </w:tc>
        <w:tc>
          <w:tcPr>
            <w:tcW w:w="1133" w:type="dxa"/>
            <w:tcBorders>
              <w:top w:val="nil"/>
              <w:bottom w:val="nil"/>
            </w:tcBorders>
          </w:tcPr>
          <w:p>
            <w:pPr>
              <w:pStyle w:val="TableParagraph"/>
              <w:spacing w:line="241" w:lineRule="exact"/>
              <w:ind w:left="100" w:right="52"/>
              <w:rPr>
                <w:sz w:val="22"/>
              </w:rPr>
            </w:pPr>
            <w:r>
              <w:rPr>
                <w:sz w:val="22"/>
              </w:rPr>
              <w:t>Juanico,</w:t>
            </w:r>
          </w:p>
        </w:tc>
        <w:tc>
          <w:tcPr>
            <w:tcW w:w="1702" w:type="dxa"/>
            <w:tcBorders>
              <w:top w:val="nil"/>
              <w:bottom w:val="nil"/>
            </w:tcBorders>
          </w:tcPr>
          <w:p>
            <w:pPr>
              <w:pStyle w:val="TableParagraph"/>
              <w:spacing w:line="241" w:lineRule="exact"/>
              <w:rPr>
                <w:sz w:val="22"/>
              </w:rPr>
            </w:pPr>
            <w:r>
              <w:rPr>
                <w:sz w:val="22"/>
              </w:rPr>
              <w:t>de  la  siembra</w:t>
            </w:r>
          </w:p>
        </w:tc>
        <w:tc>
          <w:tcPr>
            <w:tcW w:w="1985" w:type="dxa"/>
            <w:tcBorders>
              <w:top w:val="nil"/>
              <w:bottom w:val="nil"/>
            </w:tcBorders>
          </w:tcPr>
          <w:p>
            <w:pPr>
              <w:pStyle w:val="TableParagraph"/>
              <w:tabs>
                <w:tab w:pos="621" w:val="left" w:leader="none"/>
                <w:tab w:pos="1628" w:val="left" w:leader="none"/>
              </w:tabs>
              <w:spacing w:line="241" w:lineRule="exact"/>
              <w:rPr>
                <w:sz w:val="22"/>
              </w:rPr>
            </w:pPr>
            <w:r>
              <w:rPr>
                <w:sz w:val="22"/>
              </w:rPr>
              <w:t>la</w:t>
              <w:tab/>
              <w:t>cortina</w:t>
              <w:tab/>
              <w:t>de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Correa</w:t>
            </w:r>
          </w:p>
        </w:tc>
        <w:tc>
          <w:tcPr>
            <w:tcW w:w="1418" w:type="dxa"/>
            <w:tcBorders>
              <w:top w:val="nil"/>
              <w:bottom w:val="nil"/>
            </w:tcBorders>
          </w:tcPr>
          <w:p>
            <w:pPr/>
          </w:p>
        </w:tc>
        <w:tc>
          <w:tcPr>
            <w:tcW w:w="1417" w:type="dxa"/>
            <w:tcBorders>
              <w:top w:val="nil"/>
              <w:bottom w:val="nil"/>
            </w:tcBorders>
          </w:tcPr>
          <w:p>
            <w:pPr>
              <w:pStyle w:val="TableParagraph"/>
              <w:tabs>
                <w:tab w:pos="1132" w:val="left" w:leader="none"/>
              </w:tabs>
              <w:spacing w:line="242"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Acambay</w:t>
            </w:r>
          </w:p>
        </w:tc>
        <w:tc>
          <w:tcPr>
            <w:tcW w:w="1702" w:type="dxa"/>
            <w:tcBorders>
              <w:top w:val="nil"/>
              <w:bottom w:val="nil"/>
            </w:tcBorders>
          </w:tcPr>
          <w:p>
            <w:pPr>
              <w:pStyle w:val="TableParagraph"/>
              <w:tabs>
                <w:tab w:pos="1346" w:val="left" w:leader="none"/>
              </w:tabs>
              <w:spacing w:line="242" w:lineRule="exact"/>
              <w:rPr>
                <w:sz w:val="22"/>
              </w:rPr>
            </w:pPr>
            <w:r>
              <w:rPr>
                <w:sz w:val="22"/>
              </w:rPr>
              <w:t>porque</w:t>
              <w:tab/>
              <w:t>ha</w:t>
            </w:r>
          </w:p>
        </w:tc>
        <w:tc>
          <w:tcPr>
            <w:tcW w:w="1985" w:type="dxa"/>
            <w:tcBorders>
              <w:top w:val="nil"/>
              <w:bottom w:val="nil"/>
            </w:tcBorders>
          </w:tcPr>
          <w:p>
            <w:pPr>
              <w:pStyle w:val="TableParagraph"/>
              <w:spacing w:line="242" w:lineRule="exact"/>
              <w:rPr>
                <w:sz w:val="22"/>
              </w:rPr>
            </w:pPr>
            <w:r>
              <w:rPr>
                <w:sz w:val="22"/>
              </w:rPr>
              <w:t>nivel.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(7/II/2015)</w:t>
            </w: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Primera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7" w:val="left" w:leader="none"/>
              </w:tabs>
              <w:spacing w:line="241" w:lineRule="exact"/>
              <w:rPr>
                <w:sz w:val="22"/>
              </w:rPr>
            </w:pPr>
            <w:r>
              <w:rPr>
                <w:sz w:val="22"/>
              </w:rPr>
              <w:t>invadido</w:t>
              <w:tab/>
              <w:t>las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2"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milpas el agua.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911" w:val="left" w:leader="none"/>
              </w:tabs>
              <w:spacing w:line="241" w:lineRule="exact"/>
              <w:ind w:left="100"/>
              <w:rPr>
                <w:sz w:val="22"/>
              </w:rPr>
            </w:pPr>
            <w:r>
              <w:rPr>
                <w:sz w:val="22"/>
              </w:rPr>
              <w:t>de</w:t>
              <w:tab/>
              <w:t>San</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Juanico.</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Problemas hay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muchos: ya</w:t>
            </w:r>
            <w:r>
              <w:rPr>
                <w:spacing w:val="52"/>
                <w:sz w:val="22"/>
              </w:rPr>
              <w:t> </w:t>
            </w:r>
            <w:r>
              <w:rPr>
                <w:sz w:val="22"/>
              </w:rPr>
              <w:t>no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26" w:val="left" w:leader="none"/>
              </w:tabs>
              <w:spacing w:line="241" w:lineRule="exact"/>
              <w:rPr>
                <w:sz w:val="22"/>
              </w:rPr>
            </w:pPr>
            <w:r>
              <w:rPr>
                <w:sz w:val="22"/>
              </w:rPr>
              <w:t>hay</w:t>
              <w:tab/>
              <w:t>mucho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pasto   para  el</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ganado  y más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1" w:lineRule="exact"/>
              <w:rPr>
                <w:sz w:val="22"/>
              </w:rPr>
            </w:pPr>
            <w:r>
              <w:rPr>
                <w:sz w:val="22"/>
              </w:rPr>
              <w:t>antes</w:t>
              <w:tab/>
              <w:t>se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pescaba, ya se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625" w:val="left" w:leader="none"/>
                <w:tab w:pos="1345" w:val="left" w:leader="none"/>
              </w:tabs>
              <w:spacing w:line="241" w:lineRule="exact"/>
              <w:rPr>
                <w:sz w:val="22"/>
              </w:rPr>
            </w:pPr>
            <w:r>
              <w:rPr>
                <w:sz w:val="22"/>
              </w:rPr>
              <w:t>les</w:t>
              <w:tab/>
              <w:t>quito</w:t>
              <w:tab/>
              <w:t>un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75" w:val="left" w:leader="none"/>
              </w:tabs>
              <w:spacing w:line="242" w:lineRule="exact"/>
              <w:rPr>
                <w:sz w:val="22"/>
              </w:rPr>
            </w:pPr>
            <w:r>
              <w:rPr>
                <w:sz w:val="22"/>
              </w:rPr>
              <w:t>sustento</w:t>
              <w:tab/>
              <w:t>libre</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porque   si   no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68" w:val="left" w:leader="none"/>
              </w:tabs>
              <w:spacing w:line="241" w:lineRule="exact"/>
              <w:rPr>
                <w:sz w:val="22"/>
              </w:rPr>
            </w:pPr>
            <w:r>
              <w:rPr>
                <w:sz w:val="22"/>
              </w:rPr>
              <w:t>pertenece</w:t>
              <w:tab/>
              <w:t>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una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cooperativa</w:t>
            </w:r>
            <w:r>
              <w:rPr>
                <w:spacing w:val="51"/>
                <w:sz w:val="22"/>
              </w:rPr>
              <w:t> </w:t>
            </w:r>
            <w:r>
              <w:rPr>
                <w:sz w:val="22"/>
              </w:rPr>
              <w:t>ya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76" w:val="left" w:leader="none"/>
              </w:tabs>
              <w:spacing w:line="242" w:lineRule="exact"/>
              <w:rPr>
                <w:sz w:val="22"/>
              </w:rPr>
            </w:pPr>
            <w:r>
              <w:rPr>
                <w:sz w:val="22"/>
              </w:rPr>
              <w:t>no</w:t>
              <w:tab/>
              <w:t>puede</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pescar.</w:t>
            </w: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Gabriel</w:t>
            </w:r>
          </w:p>
        </w:tc>
        <w:tc>
          <w:tcPr>
            <w:tcW w:w="1418" w:type="dxa"/>
            <w:tcBorders>
              <w:bottom w:val="nil"/>
            </w:tcBorders>
          </w:tcPr>
          <w:p>
            <w:pPr>
              <w:pStyle w:val="TableParagraph"/>
              <w:ind w:left="101" w:right="104"/>
              <w:jc w:val="center"/>
              <w:rPr>
                <w:sz w:val="22"/>
              </w:rPr>
            </w:pPr>
            <w:r>
              <w:rPr>
                <w:sz w:val="22"/>
              </w:rPr>
              <w:t>El campo y</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San Juanico</w:t>
            </w:r>
          </w:p>
        </w:tc>
        <w:tc>
          <w:tcPr>
            <w:tcW w:w="991" w:type="dxa"/>
            <w:tcBorders>
              <w:bottom w:val="nil"/>
            </w:tcBorders>
          </w:tcPr>
          <w:p>
            <w:pPr>
              <w:pStyle w:val="TableParagraph"/>
              <w:ind w:left="100"/>
              <w:rPr>
                <w:sz w:val="22"/>
              </w:rPr>
            </w:pPr>
            <w:r>
              <w:rPr>
                <w:sz w:val="22"/>
              </w:rPr>
              <w:t>Acamb</w:t>
            </w:r>
          </w:p>
        </w:tc>
        <w:tc>
          <w:tcPr>
            <w:tcW w:w="1277" w:type="dxa"/>
            <w:tcBorders>
              <w:bottom w:val="nil"/>
            </w:tcBorders>
          </w:tcPr>
          <w:p>
            <w:pPr>
              <w:pStyle w:val="TableParagraph"/>
              <w:ind w:right="92"/>
              <w:rPr>
                <w:sz w:val="22"/>
              </w:rPr>
            </w:pPr>
            <w:r>
              <w:rPr>
                <w:sz w:val="22"/>
              </w:rPr>
              <w:t>San</w:t>
            </w:r>
          </w:p>
        </w:tc>
        <w:tc>
          <w:tcPr>
            <w:tcW w:w="1133" w:type="dxa"/>
            <w:tcBorders>
              <w:bottom w:val="nil"/>
            </w:tcBorders>
          </w:tcPr>
          <w:p>
            <w:pPr>
              <w:pStyle w:val="TableParagraph"/>
              <w:ind w:left="100" w:right="52"/>
              <w:rPr>
                <w:sz w:val="22"/>
              </w:rPr>
            </w:pPr>
            <w:r>
              <w:rPr>
                <w:sz w:val="22"/>
              </w:rPr>
              <w:t>San</w:t>
            </w:r>
          </w:p>
        </w:tc>
        <w:tc>
          <w:tcPr>
            <w:tcW w:w="1702" w:type="dxa"/>
            <w:tcBorders>
              <w:bottom w:val="nil"/>
            </w:tcBorders>
          </w:tcPr>
          <w:p>
            <w:pPr>
              <w:pStyle w:val="TableParagraph"/>
              <w:rPr>
                <w:sz w:val="22"/>
              </w:rPr>
            </w:pPr>
            <w:r>
              <w:rPr>
                <w:sz w:val="22"/>
              </w:rPr>
              <w:t>La</w:t>
            </w:r>
          </w:p>
        </w:tc>
        <w:tc>
          <w:tcPr>
            <w:tcW w:w="1985" w:type="dxa"/>
            <w:tcBorders>
              <w:bottom w:val="nil"/>
            </w:tcBorders>
          </w:tcPr>
          <w:p>
            <w:pPr>
              <w:pStyle w:val="TableParagraph"/>
              <w:tabs>
                <w:tab w:pos="719" w:val="left" w:leader="none"/>
                <w:tab w:pos="1273" w:val="left" w:leader="none"/>
              </w:tabs>
              <w:rPr>
                <w:sz w:val="22"/>
              </w:rPr>
            </w:pPr>
            <w:r>
              <w:rPr>
                <w:sz w:val="22"/>
              </w:rPr>
              <w:t>Por</w:t>
              <w:tab/>
              <w:t>las</w:t>
              <w:tab/>
              <w:t>aguas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Pérez</w:t>
            </w:r>
          </w:p>
        </w:tc>
        <w:tc>
          <w:tcPr>
            <w:tcW w:w="1418" w:type="dxa"/>
            <w:tcBorders>
              <w:top w:val="nil"/>
              <w:bottom w:val="nil"/>
            </w:tcBorders>
          </w:tcPr>
          <w:p>
            <w:pPr>
              <w:pStyle w:val="TableParagraph"/>
              <w:spacing w:line="241" w:lineRule="exact"/>
              <w:ind w:left="102" w:right="104"/>
              <w:jc w:val="center"/>
              <w:rPr>
                <w:sz w:val="22"/>
              </w:rPr>
            </w:pPr>
            <w:r>
              <w:rPr>
                <w:sz w:val="22"/>
              </w:rPr>
              <w:t>la</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Juanico,</w:t>
            </w:r>
          </w:p>
        </w:tc>
        <w:tc>
          <w:tcPr>
            <w:tcW w:w="1133" w:type="dxa"/>
            <w:tcBorders>
              <w:top w:val="nil"/>
              <w:bottom w:val="nil"/>
            </w:tcBorders>
          </w:tcPr>
          <w:p>
            <w:pPr>
              <w:pStyle w:val="TableParagraph"/>
              <w:spacing w:line="241" w:lineRule="exact"/>
              <w:ind w:left="100" w:right="52"/>
              <w:rPr>
                <w:sz w:val="22"/>
              </w:rPr>
            </w:pPr>
            <w:r>
              <w:rPr>
                <w:sz w:val="22"/>
              </w:rPr>
              <w:t>Juanico,</w:t>
            </w:r>
          </w:p>
        </w:tc>
        <w:tc>
          <w:tcPr>
            <w:tcW w:w="1702" w:type="dxa"/>
            <w:tcBorders>
              <w:top w:val="nil"/>
              <w:bottom w:val="nil"/>
            </w:tcBorders>
          </w:tcPr>
          <w:p>
            <w:pPr>
              <w:pStyle w:val="TableParagraph"/>
              <w:spacing w:line="241" w:lineRule="exact"/>
              <w:rPr>
                <w:sz w:val="22"/>
              </w:rPr>
            </w:pPr>
            <w:r>
              <w:rPr>
                <w:sz w:val="22"/>
              </w:rPr>
              <w:t>contaminación.</w:t>
            </w:r>
          </w:p>
        </w:tc>
        <w:tc>
          <w:tcPr>
            <w:tcW w:w="1985" w:type="dxa"/>
            <w:tcBorders>
              <w:top w:val="nil"/>
              <w:bottom w:val="nil"/>
            </w:tcBorders>
          </w:tcPr>
          <w:p>
            <w:pPr>
              <w:pStyle w:val="TableParagraph"/>
              <w:tabs>
                <w:tab w:pos="1000" w:val="left" w:leader="none"/>
                <w:tab w:pos="1640" w:val="left" w:leader="none"/>
              </w:tabs>
              <w:spacing w:line="241" w:lineRule="exact"/>
              <w:rPr>
                <w:sz w:val="22"/>
              </w:rPr>
            </w:pPr>
            <w:r>
              <w:rPr>
                <w:sz w:val="22"/>
              </w:rPr>
              <w:t>sucias</w:t>
              <w:tab/>
              <w:t>que</w:t>
              <w:tab/>
              <w:t>se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Padilla</w:t>
            </w:r>
          </w:p>
        </w:tc>
        <w:tc>
          <w:tcPr>
            <w:tcW w:w="1418" w:type="dxa"/>
            <w:tcBorders>
              <w:top w:val="nil"/>
              <w:bottom w:val="nil"/>
            </w:tcBorders>
          </w:tcPr>
          <w:p>
            <w:pPr>
              <w:pStyle w:val="TableParagraph"/>
              <w:spacing w:line="241" w:lineRule="exact"/>
              <w:ind w:left="100" w:right="104"/>
              <w:jc w:val="center"/>
              <w:rPr>
                <w:sz w:val="22"/>
              </w:rPr>
            </w:pPr>
            <w:r>
              <w:rPr>
                <w:sz w:val="22"/>
              </w:rPr>
              <w:t>albañilería</w:t>
            </w:r>
          </w:p>
        </w:tc>
        <w:tc>
          <w:tcPr>
            <w:tcW w:w="1417" w:type="dxa"/>
            <w:tcBorders>
              <w:top w:val="nil"/>
              <w:bottom w:val="nil"/>
            </w:tcBorders>
          </w:tcPr>
          <w:p>
            <w:pPr>
              <w:pStyle w:val="TableParagraph"/>
              <w:tabs>
                <w:tab w:pos="1132" w:val="left" w:leader="none"/>
              </w:tabs>
              <w:spacing w:line="241"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Acambay</w:t>
            </w:r>
          </w:p>
        </w:tc>
        <w:tc>
          <w:tcPr>
            <w:tcW w:w="1702" w:type="dxa"/>
            <w:tcBorders>
              <w:top w:val="nil"/>
              <w:bottom w:val="nil"/>
            </w:tcBorders>
          </w:tcPr>
          <w:p>
            <w:pPr/>
          </w:p>
        </w:tc>
        <w:tc>
          <w:tcPr>
            <w:tcW w:w="1985" w:type="dxa"/>
            <w:tcBorders>
              <w:top w:val="nil"/>
              <w:bottom w:val="nil"/>
            </w:tcBorders>
          </w:tcPr>
          <w:p>
            <w:pPr>
              <w:pStyle w:val="TableParagraph"/>
              <w:tabs>
                <w:tab w:pos="1069" w:val="left" w:leader="none"/>
                <w:tab w:pos="1592" w:val="left" w:leader="none"/>
              </w:tabs>
              <w:spacing w:line="241" w:lineRule="exact"/>
              <w:rPr>
                <w:sz w:val="22"/>
              </w:rPr>
            </w:pPr>
            <w:r>
              <w:rPr>
                <w:sz w:val="22"/>
              </w:rPr>
              <w:t>arrojan</w:t>
              <w:tab/>
              <w:t>de</w:t>
              <w:tab/>
              <w:t>los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(7/II/2015)</w:t>
            </w:r>
          </w:p>
        </w:tc>
        <w:tc>
          <w:tcPr>
            <w:tcW w:w="1418" w:type="dxa"/>
            <w:tcBorders>
              <w:top w:val="nil"/>
              <w:bottom w:val="nil"/>
            </w:tcBorders>
          </w:tcPr>
          <w:p>
            <w:pPr/>
          </w:p>
        </w:tc>
        <w:tc>
          <w:tcPr>
            <w:tcW w:w="1417" w:type="dxa"/>
            <w:tcBorders>
              <w:top w:val="nil"/>
              <w:bottom w:val="nil"/>
            </w:tcBorders>
          </w:tcPr>
          <w:p>
            <w:pPr>
              <w:pStyle w:val="TableParagraph"/>
              <w:spacing w:line="242" w:lineRule="exact"/>
              <w:ind w:left="100"/>
              <w:rPr>
                <w:sz w:val="22"/>
              </w:rPr>
            </w:pPr>
            <w:r>
              <w:rPr>
                <w:sz w:val="22"/>
              </w:rPr>
              <w:t>Segunda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tabs>
                <w:tab w:pos="1630" w:val="left" w:leader="none"/>
              </w:tabs>
              <w:spacing w:line="242" w:lineRule="exact"/>
              <w:rPr>
                <w:sz w:val="22"/>
              </w:rPr>
            </w:pPr>
            <w:r>
              <w:rPr>
                <w:sz w:val="22"/>
              </w:rPr>
              <w:t>pueblos</w:t>
              <w:tab/>
              <w:t>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Style w:val="TableParagraph"/>
              <w:spacing w:line="241" w:lineRule="exact"/>
              <w:rPr>
                <w:sz w:val="22"/>
              </w:rPr>
            </w:pPr>
            <w:r>
              <w:rPr>
                <w:sz w:val="22"/>
              </w:rPr>
              <w:t>alrededor.</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911" w:val="left" w:leader="none"/>
              </w:tabs>
              <w:spacing w:line="243" w:lineRule="exact"/>
              <w:ind w:left="100"/>
              <w:rPr>
                <w:sz w:val="22"/>
              </w:rPr>
            </w:pPr>
            <w:r>
              <w:rPr>
                <w:sz w:val="22"/>
              </w:rPr>
              <w:t>de</w:t>
              <w:tab/>
              <w:t>San</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Style w:val="TableParagraph"/>
              <w:spacing w:line="241" w:lineRule="exact"/>
              <w:ind w:left="100"/>
              <w:rPr>
                <w:sz w:val="22"/>
              </w:rPr>
            </w:pPr>
            <w:r>
              <w:rPr>
                <w:sz w:val="22"/>
              </w:rPr>
              <w:t>Juanico.</w:t>
            </w: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spacing w:after="0" w:line="248" w:lineRule="exact"/>
        <w:sectPr>
          <w:footerReference w:type="default" r:id="rId185"/>
          <w:pgSz w:w="15840" w:h="12240" w:orient="landscape"/>
          <w:pgMar w:footer="943" w:header="0" w:top="1140" w:bottom="1140" w:left="1200" w:right="1300"/>
          <w:pgNumType w:start="290"/>
        </w:sectPr>
      </w:pPr>
    </w:p>
    <w:p>
      <w:pPr>
        <w:pStyle w:val="BodyText"/>
        <w:rPr>
          <w:sz w:val="20"/>
        </w:rPr>
      </w:pPr>
    </w:p>
    <w:p>
      <w:pPr>
        <w:pStyle w:val="BodyText"/>
        <w:spacing w:before="1"/>
      </w:pPr>
    </w:p>
    <w:p>
      <w:pPr>
        <w:pStyle w:val="Heading6"/>
        <w:spacing w:before="73" w:after="4"/>
        <w:ind w:left="2662" w:right="397"/>
      </w:pPr>
      <w:r>
        <w:rPr/>
        <w:t>Tabla 6.8. Delegados Municipales (trabajo de campo)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700"/>
        <w:gridCol w:w="1277"/>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3"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1702" w:type="dxa"/>
            <w:shd w:val="clear" w:color="auto" w:fill="92CDDC"/>
          </w:tcPr>
          <w:p>
            <w:pPr>
              <w:pStyle w:val="TableParagraph"/>
              <w:spacing w:line="251" w:lineRule="exact"/>
              <w:rPr>
                <w:b/>
                <w:i/>
                <w:sz w:val="22"/>
              </w:rPr>
            </w:pPr>
            <w:r>
              <w:rPr>
                <w:b/>
                <w:i/>
                <w:sz w:val="22"/>
              </w:rPr>
              <w:t>Poder</w:t>
            </w:r>
          </w:p>
        </w:tc>
        <w:tc>
          <w:tcPr>
            <w:tcW w:w="1985" w:type="dxa"/>
            <w:shd w:val="clear" w:color="auto" w:fill="92CDDC"/>
          </w:tcPr>
          <w:p>
            <w:pPr>
              <w:pStyle w:val="TableParagraph"/>
              <w:spacing w:line="251" w:lineRule="exact"/>
              <w:rPr>
                <w:b/>
                <w:i/>
                <w:sz w:val="22"/>
              </w:rPr>
            </w:pPr>
            <w:r>
              <w:rPr>
                <w:b/>
                <w:i/>
                <w:sz w:val="22"/>
              </w:rPr>
              <w:t>Poder</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700" w:type="dxa"/>
            <w:tcBorders>
              <w:bottom w:val="nil"/>
            </w:tcBorders>
            <w:shd w:val="clear" w:color="auto" w:fill="F9BE8F"/>
          </w:tcPr>
          <w:p>
            <w:pPr>
              <w:pStyle w:val="TableParagraph"/>
              <w:spacing w:line="249" w:lineRule="exact"/>
              <w:ind w:left="100" w:right="20"/>
              <w:rPr>
                <w:b/>
                <w:sz w:val="22"/>
              </w:rPr>
            </w:pPr>
            <w:r>
              <w:rPr>
                <w:b/>
                <w:sz w:val="22"/>
              </w:rPr>
              <w:t>Cargo</w:t>
            </w:r>
          </w:p>
        </w:tc>
        <w:tc>
          <w:tcPr>
            <w:tcW w:w="1277" w:type="dxa"/>
            <w:tcBorders>
              <w:bottom w:val="nil"/>
            </w:tcBorders>
            <w:shd w:val="clear" w:color="auto" w:fill="F9BE8F"/>
          </w:tcPr>
          <w:p>
            <w:pPr>
              <w:pStyle w:val="TableParagraph"/>
              <w:spacing w:line="249" w:lineRule="exact"/>
              <w:rPr>
                <w:b/>
                <w:sz w:val="22"/>
              </w:rPr>
            </w:pPr>
            <w:r>
              <w:rPr>
                <w:b/>
                <w:sz w:val="22"/>
              </w:rPr>
              <w:t>Comunid</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9" w:lineRule="exact"/>
              <w:rPr>
                <w:b/>
                <w:sz w:val="22"/>
              </w:rPr>
            </w:pPr>
            <w:r>
              <w:rPr>
                <w:b/>
                <w:sz w:val="22"/>
              </w:rPr>
              <w:t>¿Qué</w:t>
            </w:r>
          </w:p>
        </w:tc>
        <w:tc>
          <w:tcPr>
            <w:tcW w:w="1985" w:type="dxa"/>
            <w:tcBorders>
              <w:bottom w:val="nil"/>
            </w:tcBorders>
            <w:shd w:val="clear" w:color="auto" w:fill="92CDDC"/>
          </w:tcPr>
          <w:p>
            <w:pPr>
              <w:pStyle w:val="TableParagraph"/>
              <w:spacing w:line="249" w:lineRule="exact"/>
              <w:rPr>
                <w:b/>
                <w:sz w:val="22"/>
              </w:rPr>
            </w:pPr>
            <w:r>
              <w:rPr>
                <w:b/>
                <w:sz w:val="22"/>
              </w:rPr>
              <w:t>¿Quiénes</w:t>
            </w:r>
            <w:r>
              <w:rPr>
                <w:b/>
                <w:spacing w:val="58"/>
                <w:sz w:val="22"/>
              </w:rPr>
              <w:t> </w:t>
            </w:r>
            <w:r>
              <w:rPr>
                <w:b/>
                <w:sz w:val="22"/>
              </w:rPr>
              <w:t>deben</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700" w:type="dxa"/>
            <w:tcBorders>
              <w:top w:val="nil"/>
              <w:bottom w:val="nil"/>
            </w:tcBorders>
            <w:shd w:val="clear" w:color="auto" w:fill="F9BE8F"/>
          </w:tcPr>
          <w:p>
            <w:pPr/>
          </w:p>
        </w:tc>
        <w:tc>
          <w:tcPr>
            <w:tcW w:w="1277" w:type="dxa"/>
            <w:tcBorders>
              <w:top w:val="nil"/>
              <w:bottom w:val="nil"/>
            </w:tcBorders>
            <w:shd w:val="clear" w:color="auto" w:fill="F9BE8F"/>
          </w:tcPr>
          <w:p>
            <w:pPr>
              <w:pStyle w:val="TableParagraph"/>
              <w:spacing w:line="241" w:lineRule="exact"/>
              <w:rPr>
                <w:b/>
                <w:sz w:val="22"/>
              </w:rPr>
            </w:pPr>
            <w:r>
              <w:rPr>
                <w:b/>
                <w:sz w:val="22"/>
              </w:rPr>
              <w:t>ad que</w:t>
            </w: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solución</w:t>
            </w:r>
          </w:p>
        </w:tc>
        <w:tc>
          <w:tcPr>
            <w:tcW w:w="1985" w:type="dxa"/>
            <w:tcBorders>
              <w:top w:val="nil"/>
              <w:bottom w:val="nil"/>
            </w:tcBorders>
            <w:shd w:val="clear" w:color="auto" w:fill="92CDDC"/>
          </w:tcPr>
          <w:p>
            <w:pPr>
              <w:pStyle w:val="TableParagraph"/>
              <w:tabs>
                <w:tab w:pos="1554" w:val="left" w:leader="none"/>
              </w:tabs>
              <w:spacing w:line="241" w:lineRule="exact"/>
              <w:rPr>
                <w:b/>
                <w:sz w:val="22"/>
              </w:rPr>
            </w:pPr>
            <w:r>
              <w:rPr>
                <w:b/>
                <w:sz w:val="22"/>
              </w:rPr>
              <w:t>solucionar</w:t>
              <w:tab/>
              <w:t>los</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700" w:type="dxa"/>
            <w:tcBorders>
              <w:top w:val="nil"/>
              <w:bottom w:val="nil"/>
            </w:tcBorders>
            <w:shd w:val="clear" w:color="auto" w:fill="F9BE8F"/>
          </w:tcPr>
          <w:p>
            <w:pPr/>
          </w:p>
        </w:tc>
        <w:tc>
          <w:tcPr>
            <w:tcW w:w="1277" w:type="dxa"/>
            <w:tcBorders>
              <w:top w:val="nil"/>
              <w:bottom w:val="nil"/>
            </w:tcBorders>
            <w:shd w:val="clear" w:color="auto" w:fill="F9BE8F"/>
          </w:tcPr>
          <w:p>
            <w:pPr>
              <w:pStyle w:val="TableParagraph"/>
              <w:spacing w:line="241" w:lineRule="exact"/>
              <w:rPr>
                <w:b/>
                <w:sz w:val="22"/>
              </w:rPr>
            </w:pPr>
            <w:r>
              <w:rPr>
                <w:b/>
                <w:sz w:val="22"/>
              </w:rPr>
              <w:t>represent</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propone  para</w:t>
            </w:r>
          </w:p>
        </w:tc>
        <w:tc>
          <w:tcPr>
            <w:tcW w:w="1985" w:type="dxa"/>
            <w:tcBorders>
              <w:top w:val="nil"/>
              <w:bottom w:val="nil"/>
            </w:tcBorders>
            <w:shd w:val="clear" w:color="auto" w:fill="92CDDC"/>
          </w:tcPr>
          <w:p>
            <w:pPr>
              <w:pStyle w:val="TableParagraph"/>
              <w:spacing w:line="241" w:lineRule="exact"/>
              <w:rPr>
                <w:b/>
                <w:sz w:val="22"/>
              </w:rPr>
            </w:pPr>
            <w:r>
              <w:rPr>
                <w:b/>
                <w:sz w:val="22"/>
              </w:rPr>
              <w:t>problemas  de la</w:t>
            </w:r>
          </w:p>
        </w:tc>
      </w:tr>
      <w:tr>
        <w:trPr>
          <w:trHeight w:val="254"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700" w:type="dxa"/>
            <w:tcBorders>
              <w:top w:val="nil"/>
              <w:bottom w:val="nil"/>
            </w:tcBorders>
            <w:shd w:val="clear" w:color="auto" w:fill="F9BE8F"/>
          </w:tcPr>
          <w:p>
            <w:pPr/>
          </w:p>
        </w:tc>
        <w:tc>
          <w:tcPr>
            <w:tcW w:w="1277" w:type="dxa"/>
            <w:tcBorders>
              <w:top w:val="nil"/>
              <w:bottom w:val="nil"/>
            </w:tcBorders>
            <w:shd w:val="clear" w:color="auto" w:fill="F9BE8F"/>
          </w:tcPr>
          <w:p>
            <w:pPr>
              <w:pStyle w:val="TableParagraph"/>
              <w:spacing w:line="242" w:lineRule="exact"/>
              <w:rPr>
                <w:b/>
                <w:sz w:val="22"/>
              </w:rPr>
            </w:pPr>
            <w:r>
              <w:rPr>
                <w:b/>
                <w:w w:val="100"/>
                <w:sz w:val="22"/>
              </w:rPr>
              <w:t>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los</w:t>
            </w:r>
          </w:p>
        </w:tc>
        <w:tc>
          <w:tcPr>
            <w:tcW w:w="1985" w:type="dxa"/>
            <w:tcBorders>
              <w:top w:val="nil"/>
              <w:bottom w:val="nil"/>
            </w:tcBorders>
            <w:shd w:val="clear" w:color="auto" w:fill="92CDDC"/>
          </w:tcPr>
          <w:p>
            <w:pPr>
              <w:pStyle w:val="TableParagraph"/>
              <w:spacing w:line="242" w:lineRule="exact"/>
              <w:rPr>
                <w:b/>
                <w:sz w:val="22"/>
              </w:rPr>
            </w:pPr>
            <w:r>
              <w:rPr>
                <w:b/>
                <w:sz w:val="22"/>
              </w:rPr>
              <w:t>laguna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700" w:type="dxa"/>
            <w:tcBorders>
              <w:top w:val="nil"/>
              <w:bottom w:val="nil"/>
            </w:tcBorders>
            <w:shd w:val="clear" w:color="auto" w:fill="F9BE8F"/>
          </w:tcPr>
          <w:p>
            <w:pPr/>
          </w:p>
        </w:tc>
        <w:tc>
          <w:tcPr>
            <w:tcW w:w="1277"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problemas</w:t>
            </w:r>
            <w:r>
              <w:rPr>
                <w:b/>
                <w:spacing w:val="56"/>
                <w:sz w:val="22"/>
              </w:rPr>
              <w:t> </w:t>
            </w:r>
            <w:r>
              <w:rPr>
                <w:b/>
                <w:sz w:val="22"/>
              </w:rPr>
              <w:t>de</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700" w:type="dxa"/>
            <w:tcBorders>
              <w:top w:val="nil"/>
              <w:bottom w:val="nil"/>
            </w:tcBorders>
            <w:shd w:val="clear" w:color="auto" w:fill="F9BE8F"/>
          </w:tcPr>
          <w:p>
            <w:pPr/>
          </w:p>
        </w:tc>
        <w:tc>
          <w:tcPr>
            <w:tcW w:w="1277"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880" w:val="left" w:leader="none"/>
              </w:tabs>
              <w:spacing w:line="242" w:lineRule="exact"/>
              <w:rPr>
                <w:b/>
                <w:sz w:val="22"/>
              </w:rPr>
            </w:pPr>
            <w:r>
              <w:rPr>
                <w:b/>
                <w:sz w:val="22"/>
              </w:rPr>
              <w:t>la</w:t>
              <w:tab/>
              <w:t>laguna</w:t>
            </w:r>
          </w:p>
        </w:tc>
        <w:tc>
          <w:tcPr>
            <w:tcW w:w="1985"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700" w:type="dxa"/>
            <w:tcBorders>
              <w:top w:val="nil"/>
            </w:tcBorders>
            <w:shd w:val="clear" w:color="auto" w:fill="F9BE8F"/>
          </w:tcPr>
          <w:p>
            <w:pPr/>
          </w:p>
        </w:tc>
        <w:tc>
          <w:tcPr>
            <w:tcW w:w="1277"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1" w:lineRule="exact"/>
              <w:rPr>
                <w:b/>
                <w:sz w:val="22"/>
              </w:rPr>
            </w:pPr>
            <w:r>
              <w:rPr>
                <w:b/>
                <w:sz w:val="22"/>
              </w:rPr>
              <w:t>Huapango?</w:t>
            </w:r>
          </w:p>
        </w:tc>
        <w:tc>
          <w:tcPr>
            <w:tcW w:w="1985"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Gabriel</w:t>
            </w:r>
          </w:p>
        </w:tc>
        <w:tc>
          <w:tcPr>
            <w:tcW w:w="1418" w:type="dxa"/>
            <w:tcBorders>
              <w:bottom w:val="nil"/>
            </w:tcBorders>
          </w:tcPr>
          <w:p>
            <w:pPr>
              <w:pStyle w:val="TableParagraph"/>
              <w:spacing w:line="251" w:lineRule="exact"/>
              <w:ind w:left="100" w:right="101"/>
              <w:rPr>
                <w:sz w:val="22"/>
              </w:rPr>
            </w:pPr>
            <w:r>
              <w:rPr>
                <w:sz w:val="22"/>
              </w:rPr>
              <w:t>El comercio</w:t>
            </w:r>
          </w:p>
        </w:tc>
        <w:tc>
          <w:tcPr>
            <w:tcW w:w="1700" w:type="dxa"/>
            <w:tcBorders>
              <w:bottom w:val="nil"/>
            </w:tcBorders>
          </w:tcPr>
          <w:p>
            <w:pPr>
              <w:pStyle w:val="TableParagraph"/>
              <w:spacing w:line="251" w:lineRule="exact"/>
              <w:ind w:left="100" w:right="20"/>
              <w:rPr>
                <w:sz w:val="22"/>
              </w:rPr>
            </w:pPr>
            <w:r>
              <w:rPr>
                <w:sz w:val="22"/>
              </w:rPr>
              <w:t>Delegado</w:t>
            </w:r>
          </w:p>
        </w:tc>
        <w:tc>
          <w:tcPr>
            <w:tcW w:w="1277" w:type="dxa"/>
            <w:tcBorders>
              <w:bottom w:val="nil"/>
            </w:tcBorders>
          </w:tcPr>
          <w:p>
            <w:pPr>
              <w:pStyle w:val="TableParagraph"/>
              <w:spacing w:line="251" w:lineRule="exact"/>
              <w:rPr>
                <w:sz w:val="22"/>
              </w:rPr>
            </w:pPr>
            <w:r>
              <w:rPr>
                <w:sz w:val="22"/>
              </w:rPr>
              <w:t>Aldama</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Aldama,</w:t>
            </w:r>
          </w:p>
        </w:tc>
        <w:tc>
          <w:tcPr>
            <w:tcW w:w="1133" w:type="dxa"/>
            <w:tcBorders>
              <w:bottom w:val="nil"/>
            </w:tcBorders>
          </w:tcPr>
          <w:p>
            <w:pPr>
              <w:pStyle w:val="TableParagraph"/>
              <w:spacing w:line="251" w:lineRule="exact"/>
              <w:ind w:left="100" w:right="52"/>
              <w:rPr>
                <w:sz w:val="22"/>
              </w:rPr>
            </w:pPr>
            <w:r>
              <w:rPr>
                <w:sz w:val="22"/>
              </w:rPr>
              <w:t>Aldama,</w:t>
            </w:r>
          </w:p>
        </w:tc>
        <w:tc>
          <w:tcPr>
            <w:tcW w:w="1702" w:type="dxa"/>
            <w:tcBorders>
              <w:bottom w:val="nil"/>
            </w:tcBorders>
          </w:tcPr>
          <w:p>
            <w:pPr>
              <w:pStyle w:val="TableParagraph"/>
              <w:spacing w:line="251" w:lineRule="exact"/>
              <w:rPr>
                <w:sz w:val="22"/>
              </w:rPr>
            </w:pPr>
            <w:r>
              <w:rPr>
                <w:sz w:val="22"/>
              </w:rPr>
              <w:t>Para</w:t>
            </w:r>
          </w:p>
        </w:tc>
        <w:tc>
          <w:tcPr>
            <w:tcW w:w="1985" w:type="dxa"/>
            <w:tcBorders>
              <w:bottom w:val="nil"/>
            </w:tcBorders>
          </w:tcPr>
          <w:p>
            <w:pPr>
              <w:pStyle w:val="TableParagraph"/>
              <w:spacing w:line="251" w:lineRule="exact"/>
              <w:rPr>
                <w:sz w:val="22"/>
              </w:rPr>
            </w:pPr>
            <w:r>
              <w:rPr>
                <w:sz w:val="22"/>
              </w:rPr>
              <w:t>Los que</w:t>
            </w:r>
            <w:r>
              <w:rPr>
                <w:spacing w:val="52"/>
                <w:sz w:val="22"/>
              </w:rPr>
              <w:t> </w:t>
            </w:r>
            <w:r>
              <w:rPr>
                <w:sz w:val="22"/>
              </w:rPr>
              <w:t>deberían</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(tienda de</w:t>
            </w:r>
          </w:p>
        </w:tc>
        <w:tc>
          <w:tcPr>
            <w:tcW w:w="1700" w:type="dxa"/>
            <w:tcBorders>
              <w:top w:val="nil"/>
              <w:bottom w:val="nil"/>
            </w:tcBorders>
          </w:tcPr>
          <w:p>
            <w:pPr>
              <w:pStyle w:val="TableParagraph"/>
              <w:spacing w:line="241" w:lineRule="exact"/>
              <w:ind w:left="100" w:right="20"/>
              <w:rPr>
                <w:sz w:val="22"/>
              </w:rPr>
            </w:pPr>
            <w:r>
              <w:rPr>
                <w:sz w:val="22"/>
              </w:rPr>
              <w:t>Municipal</w:t>
            </w:r>
          </w:p>
        </w:tc>
        <w:tc>
          <w:tcPr>
            <w:tcW w:w="1277"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Style w:val="TableParagraph"/>
              <w:spacing w:line="241" w:lineRule="exact"/>
              <w:rPr>
                <w:sz w:val="22"/>
              </w:rPr>
            </w:pPr>
            <w:r>
              <w:rPr>
                <w:sz w:val="22"/>
              </w:rPr>
              <w:t>solucionar</w:t>
            </w:r>
          </w:p>
        </w:tc>
        <w:tc>
          <w:tcPr>
            <w:tcW w:w="1985" w:type="dxa"/>
            <w:tcBorders>
              <w:top w:val="nil"/>
              <w:bottom w:val="nil"/>
            </w:tcBorders>
          </w:tcPr>
          <w:p>
            <w:pPr>
              <w:pStyle w:val="TableParagraph"/>
              <w:spacing w:line="241" w:lineRule="exact"/>
              <w:rPr>
                <w:sz w:val="22"/>
              </w:rPr>
            </w:pPr>
            <w:r>
              <w:rPr>
                <w:sz w:val="22"/>
              </w:rPr>
              <w:t>de  solucionar</w:t>
            </w:r>
            <w:r>
              <w:rPr>
                <w:spacing w:val="55"/>
                <w:sz w:val="22"/>
              </w:rPr>
              <w:t> </w:t>
            </w:r>
            <w:r>
              <w:rPr>
                <w:sz w:val="22"/>
              </w:rPr>
              <w:t>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González</w:t>
            </w:r>
          </w:p>
        </w:tc>
        <w:tc>
          <w:tcPr>
            <w:tcW w:w="1418" w:type="dxa"/>
            <w:tcBorders>
              <w:top w:val="nil"/>
              <w:bottom w:val="nil"/>
            </w:tcBorders>
          </w:tcPr>
          <w:p>
            <w:pPr>
              <w:pStyle w:val="TableParagraph"/>
              <w:spacing w:line="241" w:lineRule="exact"/>
              <w:ind w:left="100"/>
              <w:rPr>
                <w:sz w:val="22"/>
              </w:rPr>
            </w:pPr>
            <w:r>
              <w:rPr>
                <w:sz w:val="22"/>
              </w:rPr>
              <w:t>abarrotes) y</w:t>
            </w: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estos</w:t>
            </w:r>
          </w:p>
        </w:tc>
        <w:tc>
          <w:tcPr>
            <w:tcW w:w="1985" w:type="dxa"/>
            <w:tcBorders>
              <w:top w:val="nil"/>
              <w:bottom w:val="nil"/>
            </w:tcBorders>
          </w:tcPr>
          <w:p>
            <w:pPr>
              <w:pStyle w:val="TableParagraph"/>
              <w:tabs>
                <w:tab w:pos="1518" w:val="left" w:leader="none"/>
              </w:tabs>
              <w:spacing w:line="241" w:lineRule="exact"/>
              <w:rPr>
                <w:sz w:val="22"/>
              </w:rPr>
            </w:pPr>
            <w:r>
              <w:rPr>
                <w:sz w:val="22"/>
              </w:rPr>
              <w:t>problemas</w:t>
              <w:tab/>
              <w:t>son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(7/7/2014)</w:t>
            </w:r>
          </w:p>
        </w:tc>
        <w:tc>
          <w:tcPr>
            <w:tcW w:w="1418" w:type="dxa"/>
            <w:tcBorders>
              <w:top w:val="nil"/>
              <w:bottom w:val="nil"/>
            </w:tcBorders>
          </w:tcPr>
          <w:p>
            <w:pPr>
              <w:pStyle w:val="TableParagraph"/>
              <w:spacing w:line="242" w:lineRule="exact"/>
              <w:ind w:left="100" w:right="101"/>
              <w:rPr>
                <w:sz w:val="22"/>
              </w:rPr>
            </w:pPr>
            <w:r>
              <w:rPr>
                <w:sz w:val="22"/>
              </w:rPr>
              <w:t>el campo</w:t>
            </w: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2" w:lineRule="exact"/>
              <w:rPr>
                <w:sz w:val="22"/>
              </w:rPr>
            </w:pPr>
            <w:r>
              <w:rPr>
                <w:sz w:val="22"/>
              </w:rPr>
              <w:t>problemas</w:t>
              <w:tab/>
              <w:t>se</w:t>
            </w:r>
          </w:p>
        </w:tc>
        <w:tc>
          <w:tcPr>
            <w:tcW w:w="1985" w:type="dxa"/>
            <w:tcBorders>
              <w:top w:val="nil"/>
              <w:bottom w:val="nil"/>
            </w:tcBorders>
          </w:tcPr>
          <w:p>
            <w:pPr>
              <w:pStyle w:val="TableParagraph"/>
              <w:tabs>
                <w:tab w:pos="722" w:val="left" w:leader="none"/>
              </w:tabs>
              <w:spacing w:line="242" w:lineRule="exact"/>
              <w:rPr>
                <w:sz w:val="22"/>
              </w:rPr>
            </w:pPr>
            <w:r>
              <w:rPr>
                <w:sz w:val="22"/>
              </w:rPr>
              <w:t>las</w:t>
              <w:tab/>
              <w:t>autoridades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necesita</w:t>
            </w:r>
          </w:p>
        </w:tc>
        <w:tc>
          <w:tcPr>
            <w:tcW w:w="1985" w:type="dxa"/>
            <w:tcBorders>
              <w:top w:val="nil"/>
              <w:bottom w:val="nil"/>
            </w:tcBorders>
          </w:tcPr>
          <w:p>
            <w:pPr>
              <w:pStyle w:val="TableParagraph"/>
              <w:tabs>
                <w:tab w:pos="817" w:val="left" w:leader="none"/>
                <w:tab w:pos="1703" w:val="left" w:leader="none"/>
              </w:tabs>
              <w:spacing w:line="241" w:lineRule="exact"/>
              <w:rPr>
                <w:sz w:val="22"/>
              </w:rPr>
            </w:pPr>
            <w:r>
              <w:rPr>
                <w:sz w:val="22"/>
              </w:rPr>
              <w:t>que</w:t>
              <w:tab/>
              <w:t>están</w:t>
              <w:tab/>
              <w:t>al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7" w:val="left" w:leader="none"/>
              </w:tabs>
              <w:spacing w:line="242" w:lineRule="exact"/>
              <w:rPr>
                <w:sz w:val="22"/>
              </w:rPr>
            </w:pPr>
            <w:r>
              <w:rPr>
                <w:sz w:val="22"/>
              </w:rPr>
              <w:t>eliminar</w:t>
              <w:tab/>
              <w:t>las</w:t>
            </w:r>
          </w:p>
        </w:tc>
        <w:tc>
          <w:tcPr>
            <w:tcW w:w="1985" w:type="dxa"/>
            <w:tcBorders>
              <w:top w:val="nil"/>
              <w:bottom w:val="nil"/>
            </w:tcBorders>
          </w:tcPr>
          <w:p>
            <w:pPr>
              <w:pStyle w:val="TableParagraph"/>
              <w:tabs>
                <w:tab w:pos="1007" w:val="left" w:leader="none"/>
                <w:tab w:pos="1592" w:val="left" w:leader="none"/>
              </w:tabs>
              <w:spacing w:line="242" w:lineRule="exact"/>
              <w:rPr>
                <w:sz w:val="22"/>
              </w:rPr>
            </w:pPr>
            <w:r>
              <w:rPr>
                <w:sz w:val="22"/>
              </w:rPr>
              <w:t>frente</w:t>
              <w:tab/>
              <w:t>de</w:t>
              <w:tab/>
              <w:t>los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fumigaciones y</w:t>
            </w:r>
          </w:p>
        </w:tc>
        <w:tc>
          <w:tcPr>
            <w:tcW w:w="1985" w:type="dxa"/>
            <w:tcBorders>
              <w:top w:val="nil"/>
              <w:bottom w:val="nil"/>
            </w:tcBorders>
          </w:tcPr>
          <w:p>
            <w:pPr>
              <w:pStyle w:val="TableParagraph"/>
              <w:spacing w:line="241" w:lineRule="exact"/>
              <w:rPr>
                <w:sz w:val="22"/>
              </w:rPr>
            </w:pPr>
            <w:r>
              <w:rPr>
                <w:sz w:val="22"/>
              </w:rPr>
              <w:t>municipios.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line="243" w:lineRule="exact"/>
              <w:rPr>
                <w:sz w:val="22"/>
              </w:rPr>
            </w:pPr>
            <w:r>
              <w:rPr>
                <w:sz w:val="22"/>
              </w:rPr>
              <w:t>para</w:t>
              <w:tab/>
              <w:t>la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contaminación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01" w:val="left" w:leader="none"/>
              </w:tabs>
              <w:spacing w:line="241" w:lineRule="exact"/>
              <w:rPr>
                <w:sz w:val="22"/>
              </w:rPr>
            </w:pPr>
            <w:r>
              <w:rPr>
                <w:sz w:val="22"/>
              </w:rPr>
              <w:t>se</w:t>
              <w:tab/>
              <w:t>debe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line="242" w:lineRule="exact"/>
              <w:rPr>
                <w:sz w:val="22"/>
              </w:rPr>
            </w:pPr>
            <w:r>
              <w:rPr>
                <w:sz w:val="22"/>
              </w:rPr>
              <w:t>buscar</w:t>
              <w:tab/>
              <w:t>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9" w:val="left" w:leader="none"/>
              </w:tabs>
              <w:spacing w:line="241" w:lineRule="exact"/>
              <w:rPr>
                <w:sz w:val="22"/>
              </w:rPr>
            </w:pPr>
            <w:r>
              <w:rPr>
                <w:sz w:val="22"/>
              </w:rPr>
              <w:t>solución</w:t>
              <w:tab/>
              <w:t>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3" w:val="left" w:leader="none"/>
              </w:tabs>
              <w:spacing w:line="242" w:lineRule="exact"/>
              <w:rPr>
                <w:sz w:val="22"/>
              </w:rPr>
            </w:pPr>
            <w:r>
              <w:rPr>
                <w:sz w:val="22"/>
              </w:rPr>
              <w:t>hacer</w:t>
              <w:tab/>
              <w:t>una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planta</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700" w:type="dxa"/>
            <w:tcBorders>
              <w:top w:val="nil"/>
            </w:tcBorders>
          </w:tcPr>
          <w:p>
            <w:pPr/>
          </w:p>
        </w:tc>
        <w:tc>
          <w:tcPr>
            <w:tcW w:w="1277"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tratadora.</w:t>
            </w: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Abel</w:t>
            </w:r>
          </w:p>
        </w:tc>
        <w:tc>
          <w:tcPr>
            <w:tcW w:w="1418" w:type="dxa"/>
            <w:tcBorders>
              <w:bottom w:val="nil"/>
            </w:tcBorders>
          </w:tcPr>
          <w:p>
            <w:pPr>
              <w:pStyle w:val="TableParagraph"/>
              <w:spacing w:line="251" w:lineRule="exact"/>
              <w:ind w:left="100" w:right="101"/>
              <w:rPr>
                <w:sz w:val="22"/>
              </w:rPr>
            </w:pPr>
            <w:r>
              <w:rPr>
                <w:sz w:val="22"/>
              </w:rPr>
              <w:t>Profesor de</w:t>
            </w:r>
          </w:p>
        </w:tc>
        <w:tc>
          <w:tcPr>
            <w:tcW w:w="1700" w:type="dxa"/>
            <w:tcBorders>
              <w:bottom w:val="nil"/>
            </w:tcBorders>
          </w:tcPr>
          <w:p>
            <w:pPr>
              <w:pStyle w:val="TableParagraph"/>
              <w:spacing w:line="251" w:lineRule="exact"/>
              <w:ind w:left="100" w:right="20"/>
              <w:rPr>
                <w:sz w:val="22"/>
              </w:rPr>
            </w:pPr>
            <w:r>
              <w:rPr>
                <w:sz w:val="22"/>
              </w:rPr>
              <w:t>Delegado</w:t>
            </w:r>
          </w:p>
        </w:tc>
        <w:tc>
          <w:tcPr>
            <w:tcW w:w="1277" w:type="dxa"/>
            <w:tcBorders>
              <w:bottom w:val="nil"/>
            </w:tcBorders>
          </w:tcPr>
          <w:p>
            <w:pPr>
              <w:pStyle w:val="TableParagraph"/>
              <w:spacing w:line="251" w:lineRule="exact"/>
              <w:rPr>
                <w:sz w:val="22"/>
              </w:rPr>
            </w:pPr>
            <w:r>
              <w:rPr>
                <w:sz w:val="22"/>
              </w:rPr>
              <w:t>Huapango</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spacing w:line="251" w:lineRule="exact"/>
              <w:rPr>
                <w:sz w:val="22"/>
              </w:rPr>
            </w:pPr>
            <w:r>
              <w:rPr>
                <w:sz w:val="22"/>
              </w:rPr>
              <w:t>Este  problema</w:t>
            </w:r>
          </w:p>
        </w:tc>
        <w:tc>
          <w:tcPr>
            <w:tcW w:w="1985" w:type="dxa"/>
            <w:tcBorders>
              <w:bottom w:val="nil"/>
            </w:tcBorders>
          </w:tcPr>
          <w:p>
            <w:pPr>
              <w:pStyle w:val="TableParagraph"/>
              <w:spacing w:line="251" w:lineRule="exact"/>
              <w:rPr>
                <w:sz w:val="22"/>
              </w:rPr>
            </w:pPr>
            <w:r>
              <w:rPr>
                <w:sz w:val="22"/>
              </w:rPr>
              <w:t>Quienes debieran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Miranda</w:t>
            </w:r>
          </w:p>
        </w:tc>
        <w:tc>
          <w:tcPr>
            <w:tcW w:w="1418" w:type="dxa"/>
            <w:tcBorders>
              <w:top w:val="nil"/>
              <w:bottom w:val="nil"/>
            </w:tcBorders>
          </w:tcPr>
          <w:p>
            <w:pPr>
              <w:pStyle w:val="TableParagraph"/>
              <w:spacing w:line="241" w:lineRule="exact"/>
              <w:ind w:left="100" w:right="101"/>
              <w:rPr>
                <w:sz w:val="22"/>
              </w:rPr>
            </w:pPr>
            <w:r>
              <w:rPr>
                <w:sz w:val="22"/>
              </w:rPr>
              <w:t>secundaria</w:t>
            </w:r>
          </w:p>
        </w:tc>
        <w:tc>
          <w:tcPr>
            <w:tcW w:w="1700" w:type="dxa"/>
            <w:tcBorders>
              <w:top w:val="nil"/>
              <w:bottom w:val="nil"/>
            </w:tcBorders>
          </w:tcPr>
          <w:p>
            <w:pPr>
              <w:pStyle w:val="TableParagraph"/>
              <w:spacing w:line="241" w:lineRule="exact"/>
              <w:ind w:left="100" w:right="20"/>
              <w:rPr>
                <w:sz w:val="22"/>
              </w:rPr>
            </w:pPr>
            <w:r>
              <w:rPr>
                <w:sz w:val="22"/>
              </w:rPr>
              <w:t>Municipal</w:t>
            </w:r>
          </w:p>
        </w:tc>
        <w:tc>
          <w:tcPr>
            <w:tcW w:w="1277"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1702" w:type="dxa"/>
            <w:tcBorders>
              <w:top w:val="nil"/>
              <w:bottom w:val="nil"/>
            </w:tcBorders>
          </w:tcPr>
          <w:p>
            <w:pPr>
              <w:pStyle w:val="TableParagraph"/>
              <w:spacing w:line="241" w:lineRule="exact"/>
              <w:rPr>
                <w:sz w:val="22"/>
              </w:rPr>
            </w:pPr>
            <w:r>
              <w:rPr>
                <w:sz w:val="22"/>
              </w:rPr>
              <w:t>podría</w:t>
            </w:r>
          </w:p>
        </w:tc>
        <w:tc>
          <w:tcPr>
            <w:tcW w:w="1985" w:type="dxa"/>
            <w:tcBorders>
              <w:top w:val="nil"/>
              <w:bottom w:val="nil"/>
            </w:tcBorders>
          </w:tcPr>
          <w:p>
            <w:pPr>
              <w:pStyle w:val="TableParagraph"/>
              <w:tabs>
                <w:tab w:pos="1459" w:val="left" w:leader="none"/>
              </w:tabs>
              <w:spacing w:line="241" w:lineRule="exact"/>
              <w:rPr>
                <w:sz w:val="22"/>
              </w:rPr>
            </w:pPr>
            <w:r>
              <w:rPr>
                <w:sz w:val="22"/>
              </w:rPr>
              <w:t>solucionar</w:t>
              <w:tab/>
              <w:t>este</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Miranda</w:t>
            </w:r>
          </w:p>
        </w:tc>
        <w:tc>
          <w:tcPr>
            <w:tcW w:w="1418" w:type="dxa"/>
            <w:tcBorders>
              <w:top w:val="nil"/>
              <w:bottom w:val="nil"/>
            </w:tcBorders>
          </w:tcPr>
          <w:p>
            <w:pPr>
              <w:pStyle w:val="TableParagraph"/>
              <w:spacing w:line="243" w:lineRule="exact"/>
              <w:ind w:left="100" w:right="101"/>
              <w:rPr>
                <w:sz w:val="22"/>
              </w:rPr>
            </w:pPr>
            <w:r>
              <w:rPr>
                <w:sz w:val="22"/>
              </w:rPr>
              <w:t>y el campo</w:t>
            </w: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3" w:lineRule="exact"/>
              <w:ind w:left="100" w:right="52"/>
              <w:rPr>
                <w:sz w:val="22"/>
              </w:rPr>
            </w:pPr>
            <w:r>
              <w:rPr>
                <w:sz w:val="22"/>
              </w:rPr>
              <w:t>Timilpan</w:t>
            </w:r>
          </w:p>
        </w:tc>
        <w:tc>
          <w:tcPr>
            <w:tcW w:w="1702" w:type="dxa"/>
            <w:tcBorders>
              <w:top w:val="nil"/>
              <w:bottom w:val="nil"/>
            </w:tcBorders>
          </w:tcPr>
          <w:p>
            <w:pPr>
              <w:pStyle w:val="TableParagraph"/>
              <w:spacing w:line="243" w:lineRule="exact"/>
              <w:rPr>
                <w:sz w:val="22"/>
              </w:rPr>
            </w:pPr>
            <w:r>
              <w:rPr>
                <w:sz w:val="22"/>
              </w:rPr>
              <w:t>solucionarse</w:t>
            </w:r>
          </w:p>
        </w:tc>
        <w:tc>
          <w:tcPr>
            <w:tcW w:w="1985" w:type="dxa"/>
            <w:tcBorders>
              <w:top w:val="nil"/>
              <w:bottom w:val="nil"/>
            </w:tcBorders>
          </w:tcPr>
          <w:p>
            <w:pPr>
              <w:pStyle w:val="TableParagraph"/>
              <w:tabs>
                <w:tab w:pos="1518" w:val="left" w:leader="none"/>
              </w:tabs>
              <w:spacing w:line="243" w:lineRule="exact"/>
              <w:rPr>
                <w:sz w:val="22"/>
              </w:rPr>
            </w:pPr>
            <w:r>
              <w:rPr>
                <w:sz w:val="22"/>
              </w:rPr>
              <w:t>problema</w:t>
              <w:tab/>
              <w:t>son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(7/7/2014)</w:t>
            </w: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80" w:val="left" w:leader="none"/>
              </w:tabs>
              <w:spacing w:line="241" w:lineRule="exact"/>
              <w:rPr>
                <w:sz w:val="22"/>
              </w:rPr>
            </w:pPr>
            <w:r>
              <w:rPr>
                <w:sz w:val="22"/>
              </w:rPr>
              <w:t>con</w:t>
              <w:tab/>
              <w:t>plantas</w:t>
            </w:r>
          </w:p>
        </w:tc>
        <w:tc>
          <w:tcPr>
            <w:tcW w:w="1985" w:type="dxa"/>
            <w:tcBorders>
              <w:top w:val="nil"/>
              <w:bottom w:val="nil"/>
            </w:tcBorders>
          </w:tcPr>
          <w:p>
            <w:pPr>
              <w:pStyle w:val="TableParagraph"/>
              <w:tabs>
                <w:tab w:pos="796" w:val="left" w:leader="none"/>
              </w:tabs>
              <w:spacing w:line="241" w:lineRule="exact"/>
              <w:rPr>
                <w:sz w:val="22"/>
              </w:rPr>
            </w:pPr>
            <w:r>
              <w:rPr>
                <w:sz w:val="22"/>
              </w:rPr>
              <w:t>cada</w:t>
              <w:tab/>
              <w:t>comunidad</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tratadoras,</w:t>
            </w:r>
          </w:p>
        </w:tc>
        <w:tc>
          <w:tcPr>
            <w:tcW w:w="1985" w:type="dxa"/>
            <w:tcBorders>
              <w:top w:val="nil"/>
              <w:bottom w:val="nil"/>
            </w:tcBorders>
          </w:tcPr>
          <w:p>
            <w:pPr>
              <w:pStyle w:val="TableParagraph"/>
              <w:tabs>
                <w:tab w:pos="964" w:val="left" w:leader="none"/>
                <w:tab w:pos="1703" w:val="left" w:leader="none"/>
              </w:tabs>
              <w:spacing w:line="242" w:lineRule="exact"/>
              <w:rPr>
                <w:sz w:val="22"/>
              </w:rPr>
            </w:pPr>
            <w:r>
              <w:rPr>
                <w:sz w:val="22"/>
              </w:rPr>
              <w:t>junto</w:t>
              <w:tab/>
              <w:t>con</w:t>
              <w:tab/>
              <w:t>el</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pero   el   agua</w:t>
            </w:r>
          </w:p>
        </w:tc>
        <w:tc>
          <w:tcPr>
            <w:tcW w:w="1985" w:type="dxa"/>
            <w:tcBorders>
              <w:top w:val="nil"/>
              <w:bottom w:val="nil"/>
            </w:tcBorders>
          </w:tcPr>
          <w:p>
            <w:pPr>
              <w:pStyle w:val="TableParagraph"/>
              <w:spacing w:line="241" w:lineRule="exact"/>
              <w:rPr>
                <w:sz w:val="22"/>
              </w:rPr>
            </w:pPr>
            <w:r>
              <w:rPr>
                <w:sz w:val="22"/>
              </w:rPr>
              <w:t>Ayuntamiento.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38" w:val="left" w:leader="none"/>
              </w:tabs>
              <w:spacing w:line="241" w:lineRule="exact"/>
              <w:rPr>
                <w:sz w:val="22"/>
              </w:rPr>
            </w:pPr>
            <w:r>
              <w:rPr>
                <w:sz w:val="22"/>
              </w:rPr>
              <w:t>está</w:t>
              <w:tab/>
              <w:t>verde</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700" w:type="dxa"/>
            <w:tcBorders>
              <w:top w:val="nil"/>
            </w:tcBorders>
          </w:tcPr>
          <w:p>
            <w:pPr/>
          </w:p>
        </w:tc>
        <w:tc>
          <w:tcPr>
            <w:tcW w:w="1277"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creo que no es</w:t>
            </w:r>
          </w:p>
        </w:tc>
        <w:tc>
          <w:tcPr>
            <w:tcW w:w="1985" w:type="dxa"/>
            <w:tcBorders>
              <w:top w:val="nil"/>
            </w:tcBorders>
          </w:tcPr>
          <w:p>
            <w:pPr/>
          </w:p>
        </w:tc>
      </w:tr>
    </w:tbl>
    <w:p>
      <w:pPr>
        <w:spacing w:after="0"/>
        <w:sectPr>
          <w:pgSz w:w="15840" w:h="12240" w:orient="landscape"/>
          <w:pgMar w:header="0" w:footer="943" w:top="1140" w:bottom="120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700"/>
        <w:gridCol w:w="1277"/>
        <w:gridCol w:w="991"/>
        <w:gridCol w:w="1277"/>
        <w:gridCol w:w="1133"/>
        <w:gridCol w:w="1702"/>
        <w:gridCol w:w="1985"/>
      </w:tblGrid>
      <w:tr>
        <w:trPr>
          <w:trHeight w:val="1649" w:hRule="exact"/>
        </w:trPr>
        <w:tc>
          <w:tcPr>
            <w:tcW w:w="1385" w:type="dxa"/>
          </w:tcPr>
          <w:p>
            <w:pPr/>
          </w:p>
        </w:tc>
        <w:tc>
          <w:tcPr>
            <w:tcW w:w="1418" w:type="dxa"/>
          </w:tcPr>
          <w:p>
            <w:pPr/>
          </w:p>
        </w:tc>
        <w:tc>
          <w:tcPr>
            <w:tcW w:w="1700" w:type="dxa"/>
          </w:tcPr>
          <w:p>
            <w:pPr/>
          </w:p>
        </w:tc>
        <w:tc>
          <w:tcPr>
            <w:tcW w:w="1277" w:type="dxa"/>
          </w:tcPr>
          <w:p>
            <w:pPr/>
          </w:p>
        </w:tc>
        <w:tc>
          <w:tcPr>
            <w:tcW w:w="991" w:type="dxa"/>
          </w:tcPr>
          <w:p>
            <w:pPr/>
          </w:p>
        </w:tc>
        <w:tc>
          <w:tcPr>
            <w:tcW w:w="1277" w:type="dxa"/>
          </w:tcPr>
          <w:p>
            <w:pPr/>
          </w:p>
        </w:tc>
        <w:tc>
          <w:tcPr>
            <w:tcW w:w="1133" w:type="dxa"/>
          </w:tcPr>
          <w:p>
            <w:pPr/>
          </w:p>
        </w:tc>
        <w:tc>
          <w:tcPr>
            <w:tcW w:w="1702" w:type="dxa"/>
          </w:tcPr>
          <w:p>
            <w:pPr>
              <w:pStyle w:val="TableParagraph"/>
              <w:spacing w:line="251" w:lineRule="exact"/>
              <w:rPr>
                <w:sz w:val="22"/>
              </w:rPr>
            </w:pPr>
            <w:r>
              <w:rPr>
                <w:sz w:val="22"/>
              </w:rPr>
              <w:t>suficiente.</w:t>
            </w:r>
          </w:p>
        </w:tc>
        <w:tc>
          <w:tcPr>
            <w:tcW w:w="1985" w:type="dxa"/>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Yolanda</w:t>
            </w:r>
          </w:p>
        </w:tc>
        <w:tc>
          <w:tcPr>
            <w:tcW w:w="1418" w:type="dxa"/>
            <w:tcBorders>
              <w:bottom w:val="nil"/>
            </w:tcBorders>
          </w:tcPr>
          <w:p>
            <w:pPr>
              <w:pStyle w:val="TableParagraph"/>
              <w:spacing w:line="251" w:lineRule="exact"/>
              <w:ind w:left="100"/>
              <w:rPr>
                <w:sz w:val="22"/>
              </w:rPr>
            </w:pPr>
            <w:r>
              <w:rPr>
                <w:sz w:val="22"/>
              </w:rPr>
              <w:t>El   hogar  y</w:t>
            </w:r>
          </w:p>
        </w:tc>
        <w:tc>
          <w:tcPr>
            <w:tcW w:w="1700" w:type="dxa"/>
            <w:tcBorders>
              <w:bottom w:val="nil"/>
            </w:tcBorders>
          </w:tcPr>
          <w:p>
            <w:pPr>
              <w:pStyle w:val="TableParagraph"/>
              <w:spacing w:line="251" w:lineRule="exact"/>
              <w:ind w:left="100" w:right="20"/>
              <w:rPr>
                <w:sz w:val="22"/>
              </w:rPr>
            </w:pPr>
            <w:r>
              <w:rPr>
                <w:sz w:val="22"/>
              </w:rPr>
              <w:t>Delegada</w:t>
            </w:r>
          </w:p>
        </w:tc>
        <w:tc>
          <w:tcPr>
            <w:tcW w:w="1277" w:type="dxa"/>
            <w:tcBorders>
              <w:bottom w:val="nil"/>
            </w:tcBorders>
          </w:tcPr>
          <w:p>
            <w:pPr>
              <w:pStyle w:val="TableParagraph"/>
              <w:spacing w:line="251" w:lineRule="exact"/>
              <w:rPr>
                <w:sz w:val="22"/>
              </w:rPr>
            </w:pPr>
            <w:r>
              <w:rPr>
                <w:sz w:val="22"/>
              </w:rPr>
              <w:t>El Saltillo</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Estos</w:t>
            </w:r>
          </w:p>
        </w:tc>
        <w:tc>
          <w:tcPr>
            <w:tcW w:w="1985" w:type="dxa"/>
            <w:tcBorders>
              <w:bottom w:val="nil"/>
            </w:tcBorders>
          </w:tcPr>
          <w:p>
            <w:pPr>
              <w:pStyle w:val="TableParagraph"/>
              <w:spacing w:line="251" w:lineRule="exact"/>
              <w:rPr>
                <w:sz w:val="22"/>
              </w:rPr>
            </w:pPr>
            <w:r>
              <w:rPr>
                <w:sz w:val="22"/>
              </w:rPr>
              <w:t>Quienes debieran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Style w:val="TableParagraph"/>
              <w:spacing w:line="241" w:lineRule="exact"/>
              <w:ind w:left="100" w:right="101"/>
              <w:rPr>
                <w:sz w:val="22"/>
              </w:rPr>
            </w:pPr>
            <w:r>
              <w:rPr>
                <w:sz w:val="22"/>
              </w:rPr>
              <w:t>ser</w:t>
            </w:r>
          </w:p>
        </w:tc>
        <w:tc>
          <w:tcPr>
            <w:tcW w:w="1700" w:type="dxa"/>
            <w:tcBorders>
              <w:top w:val="nil"/>
              <w:bottom w:val="nil"/>
            </w:tcBorders>
          </w:tcPr>
          <w:p>
            <w:pPr>
              <w:pStyle w:val="TableParagraph"/>
              <w:spacing w:line="241" w:lineRule="exact"/>
              <w:ind w:left="100" w:right="20"/>
              <w:rPr>
                <w:sz w:val="22"/>
              </w:rPr>
            </w:pPr>
            <w:r>
              <w:rPr>
                <w:sz w:val="22"/>
              </w:rPr>
              <w:t>Municipal</w:t>
            </w:r>
          </w:p>
        </w:tc>
        <w:tc>
          <w:tcPr>
            <w:tcW w:w="1277"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spacing w:line="241" w:lineRule="exact"/>
              <w:rPr>
                <w:sz w:val="22"/>
              </w:rPr>
            </w:pPr>
            <w:r>
              <w:rPr>
                <w:sz w:val="22"/>
              </w:rPr>
              <w:t>problemas</w:t>
            </w:r>
          </w:p>
        </w:tc>
        <w:tc>
          <w:tcPr>
            <w:tcW w:w="1985" w:type="dxa"/>
            <w:tcBorders>
              <w:top w:val="nil"/>
              <w:bottom w:val="nil"/>
            </w:tcBorders>
          </w:tcPr>
          <w:p>
            <w:pPr>
              <w:pStyle w:val="TableParagraph"/>
              <w:tabs>
                <w:tab w:pos="1593" w:val="left" w:leader="none"/>
              </w:tabs>
              <w:spacing w:line="241" w:lineRule="exact"/>
              <w:rPr>
                <w:sz w:val="22"/>
              </w:rPr>
            </w:pPr>
            <w:r>
              <w:rPr>
                <w:sz w:val="22"/>
              </w:rPr>
              <w:t>solucionar</w:t>
              <w:tab/>
              <w:t>los</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Hernández</w:t>
            </w:r>
          </w:p>
        </w:tc>
        <w:tc>
          <w:tcPr>
            <w:tcW w:w="1418" w:type="dxa"/>
            <w:tcBorders>
              <w:top w:val="nil"/>
              <w:bottom w:val="nil"/>
            </w:tcBorders>
          </w:tcPr>
          <w:p>
            <w:pPr>
              <w:pStyle w:val="TableParagraph"/>
              <w:spacing w:line="243" w:lineRule="exact"/>
              <w:ind w:left="100" w:right="101"/>
              <w:rPr>
                <w:sz w:val="22"/>
              </w:rPr>
            </w:pPr>
            <w:r>
              <w:rPr>
                <w:sz w:val="22"/>
              </w:rPr>
              <w:t>delegada</w:t>
            </w: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3" w:lineRule="exact"/>
              <w:ind w:left="100" w:right="52"/>
              <w:rPr>
                <w:sz w:val="22"/>
              </w:rPr>
            </w:pPr>
            <w:r>
              <w:rPr>
                <w:sz w:val="22"/>
              </w:rPr>
              <w:t>Jilotepec</w:t>
            </w:r>
          </w:p>
        </w:tc>
        <w:tc>
          <w:tcPr>
            <w:tcW w:w="1702" w:type="dxa"/>
            <w:tcBorders>
              <w:top w:val="nil"/>
              <w:bottom w:val="nil"/>
            </w:tcBorders>
          </w:tcPr>
          <w:p>
            <w:pPr>
              <w:pStyle w:val="TableParagraph"/>
              <w:spacing w:line="243" w:lineRule="exact"/>
              <w:rPr>
                <w:sz w:val="22"/>
              </w:rPr>
            </w:pPr>
            <w:r>
              <w:rPr>
                <w:sz w:val="22"/>
              </w:rPr>
              <w:t>podrían</w:t>
            </w:r>
          </w:p>
        </w:tc>
        <w:tc>
          <w:tcPr>
            <w:tcW w:w="1985" w:type="dxa"/>
            <w:tcBorders>
              <w:top w:val="nil"/>
              <w:bottom w:val="nil"/>
            </w:tcBorders>
          </w:tcPr>
          <w:p>
            <w:pPr>
              <w:pStyle w:val="TableParagraph"/>
              <w:spacing w:line="243" w:lineRule="exact"/>
              <w:rPr>
                <w:sz w:val="22"/>
              </w:rPr>
            </w:pPr>
            <w:r>
              <w:rPr>
                <w:sz w:val="22"/>
              </w:rPr>
              <w:t>problemas somos</w:t>
            </w: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Style w:val="TableParagraph"/>
              <w:spacing w:line="241" w:lineRule="exact"/>
              <w:ind w:left="100" w:right="101"/>
              <w:rPr>
                <w:sz w:val="22"/>
              </w:rPr>
            </w:pPr>
            <w:r>
              <w:rPr>
                <w:sz w:val="22"/>
              </w:rPr>
              <w:t>municipal</w:t>
            </w: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solucionarse</w:t>
            </w:r>
          </w:p>
        </w:tc>
        <w:tc>
          <w:tcPr>
            <w:tcW w:w="1985" w:type="dxa"/>
            <w:tcBorders>
              <w:top w:val="nil"/>
              <w:bottom w:val="nil"/>
            </w:tcBorders>
          </w:tcPr>
          <w:p>
            <w:pPr>
              <w:pStyle w:val="TableParagraph"/>
              <w:tabs>
                <w:tab w:pos="1336" w:val="left" w:leader="none"/>
              </w:tabs>
              <w:spacing w:line="241" w:lineRule="exact"/>
              <w:rPr>
                <w:sz w:val="22"/>
              </w:rPr>
            </w:pPr>
            <w:r>
              <w:rPr>
                <w:sz w:val="22"/>
              </w:rPr>
              <w:t>nosotros</w:t>
              <w:tab/>
              <w:t>como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28" w:val="left" w:leader="none"/>
              </w:tabs>
              <w:spacing w:line="242" w:lineRule="exact"/>
              <w:rPr>
                <w:sz w:val="22"/>
              </w:rPr>
            </w:pPr>
            <w:r>
              <w:rPr>
                <w:sz w:val="22"/>
              </w:rPr>
              <w:t>con</w:t>
              <w:tab/>
              <w:t>cultura</w:t>
            </w:r>
          </w:p>
        </w:tc>
        <w:tc>
          <w:tcPr>
            <w:tcW w:w="1985" w:type="dxa"/>
            <w:tcBorders>
              <w:top w:val="nil"/>
              <w:bottom w:val="nil"/>
            </w:tcBorders>
          </w:tcPr>
          <w:p>
            <w:pPr>
              <w:pStyle w:val="TableParagraph"/>
              <w:spacing w:line="242" w:lineRule="exact"/>
              <w:rPr>
                <w:sz w:val="22"/>
              </w:rPr>
            </w:pPr>
            <w:r>
              <w:rPr>
                <w:sz w:val="22"/>
              </w:rPr>
              <w:t>ciudadanos,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39" w:val="left" w:leader="none"/>
                <w:tab w:pos="1221" w:val="left" w:leader="none"/>
              </w:tabs>
              <w:spacing w:line="241" w:lineRule="exact"/>
              <w:rPr>
                <w:sz w:val="22"/>
              </w:rPr>
            </w:pPr>
            <w:r>
              <w:rPr>
                <w:sz w:val="22"/>
              </w:rPr>
              <w:t>hacia</w:t>
              <w:tab/>
              <w:t>lo</w:t>
              <w:tab/>
              <w:t>que</w:t>
            </w:r>
          </w:p>
        </w:tc>
        <w:tc>
          <w:tcPr>
            <w:tcW w:w="1985" w:type="dxa"/>
            <w:tcBorders>
              <w:top w:val="nil"/>
              <w:bottom w:val="nil"/>
            </w:tcBorders>
          </w:tcPr>
          <w:p>
            <w:pPr>
              <w:pStyle w:val="TableParagraph"/>
              <w:tabs>
                <w:tab w:pos="1151" w:val="left" w:leader="none"/>
                <w:tab w:pos="1701" w:val="left" w:leader="none"/>
              </w:tabs>
              <w:spacing w:line="241" w:lineRule="exact"/>
              <w:rPr>
                <w:sz w:val="22"/>
              </w:rPr>
            </w:pPr>
            <w:r>
              <w:rPr>
                <w:sz w:val="22"/>
              </w:rPr>
              <w:t>vecinos</w:t>
              <w:tab/>
              <w:t>de</w:t>
              <w:tab/>
              <w:t>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tienen, hacia la</w:t>
            </w:r>
          </w:p>
        </w:tc>
        <w:tc>
          <w:tcPr>
            <w:tcW w:w="1985" w:type="dxa"/>
            <w:tcBorders>
              <w:top w:val="nil"/>
              <w:bottom w:val="nil"/>
            </w:tcBorders>
          </w:tcPr>
          <w:p>
            <w:pPr>
              <w:pStyle w:val="TableParagraph"/>
              <w:spacing w:line="241" w:lineRule="exact"/>
              <w:rPr>
                <w:sz w:val="22"/>
              </w:rPr>
            </w:pPr>
            <w:r>
              <w:rPr>
                <w:sz w:val="22"/>
              </w:rPr>
              <w:t>laguna.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line="242" w:lineRule="exact"/>
              <w:rPr>
                <w:sz w:val="22"/>
              </w:rPr>
            </w:pPr>
            <w:r>
              <w:rPr>
                <w:sz w:val="22"/>
              </w:rPr>
              <w:t>laguna,</w:t>
              <w:tab/>
              <w:t>sí</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conocemos</w:t>
            </w:r>
            <w:r>
              <w:rPr>
                <w:spacing w:val="55"/>
                <w:sz w:val="22"/>
              </w:rPr>
              <w:t> </w:t>
            </w:r>
            <w:r>
              <w:rPr>
                <w:sz w:val="22"/>
              </w:rPr>
              <w:t>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659" w:val="left" w:leader="none"/>
              </w:tabs>
              <w:spacing w:line="242" w:lineRule="exact"/>
              <w:rPr>
                <w:sz w:val="22"/>
              </w:rPr>
            </w:pPr>
            <w:r>
              <w:rPr>
                <w:sz w:val="22"/>
              </w:rPr>
              <w:t>los</w:t>
              <w:tab/>
              <w:t>principios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1" w:val="left" w:leader="none"/>
              </w:tabs>
              <w:spacing w:line="241" w:lineRule="exact"/>
              <w:rPr>
                <w:sz w:val="22"/>
              </w:rPr>
            </w:pPr>
            <w:r>
              <w:rPr>
                <w:sz w:val="22"/>
              </w:rPr>
              <w:t>hay</w:t>
              <w:tab/>
              <w:t>que</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700" w:type="dxa"/>
            <w:tcBorders>
              <w:top w:val="nil"/>
            </w:tcBorders>
          </w:tcPr>
          <w:p>
            <w:pPr/>
          </w:p>
        </w:tc>
        <w:tc>
          <w:tcPr>
            <w:tcW w:w="1277"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tenerla limpia.</w:t>
            </w: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Ricardo</w:t>
            </w:r>
          </w:p>
        </w:tc>
        <w:tc>
          <w:tcPr>
            <w:tcW w:w="1418" w:type="dxa"/>
            <w:tcBorders>
              <w:bottom w:val="nil"/>
            </w:tcBorders>
          </w:tcPr>
          <w:p>
            <w:pPr>
              <w:pStyle w:val="TableParagraph"/>
              <w:spacing w:line="251" w:lineRule="exact"/>
              <w:ind w:left="156" w:right="101"/>
              <w:rPr>
                <w:sz w:val="22"/>
              </w:rPr>
            </w:pPr>
            <w:r>
              <w:rPr>
                <w:sz w:val="22"/>
              </w:rPr>
              <w:t>El campo y</w:t>
            </w:r>
          </w:p>
        </w:tc>
        <w:tc>
          <w:tcPr>
            <w:tcW w:w="1700" w:type="dxa"/>
            <w:tcBorders>
              <w:bottom w:val="nil"/>
            </w:tcBorders>
          </w:tcPr>
          <w:p>
            <w:pPr>
              <w:pStyle w:val="TableParagraph"/>
              <w:spacing w:line="251" w:lineRule="exact"/>
              <w:ind w:left="100" w:right="20"/>
              <w:rPr>
                <w:sz w:val="22"/>
              </w:rPr>
            </w:pPr>
            <w:r>
              <w:rPr>
                <w:sz w:val="22"/>
              </w:rPr>
              <w:t>Delegado</w:t>
            </w:r>
          </w:p>
        </w:tc>
        <w:tc>
          <w:tcPr>
            <w:tcW w:w="1277" w:type="dxa"/>
            <w:tcBorders>
              <w:bottom w:val="nil"/>
            </w:tcBorders>
          </w:tcPr>
          <w:p>
            <w:pPr>
              <w:pStyle w:val="TableParagraph"/>
              <w:spacing w:line="251" w:lineRule="exact"/>
              <w:rPr>
                <w:sz w:val="22"/>
              </w:rPr>
            </w:pPr>
            <w:r>
              <w:rPr>
                <w:sz w:val="22"/>
              </w:rPr>
              <w:t>San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San</w:t>
            </w:r>
          </w:p>
        </w:tc>
        <w:tc>
          <w:tcPr>
            <w:tcW w:w="1702" w:type="dxa"/>
            <w:tcBorders>
              <w:bottom w:val="nil"/>
            </w:tcBorders>
          </w:tcPr>
          <w:p>
            <w:pPr>
              <w:pStyle w:val="TableParagraph"/>
              <w:spacing w:line="251" w:lineRule="exact"/>
              <w:rPr>
                <w:sz w:val="22"/>
              </w:rPr>
            </w:pPr>
            <w:r>
              <w:rPr>
                <w:sz w:val="22"/>
              </w:rPr>
              <w:t>Creo que entre</w:t>
            </w:r>
          </w:p>
        </w:tc>
        <w:tc>
          <w:tcPr>
            <w:tcW w:w="1985" w:type="dxa"/>
            <w:tcBorders>
              <w:bottom w:val="nil"/>
            </w:tcBorders>
          </w:tcPr>
          <w:p>
            <w:pPr>
              <w:pStyle w:val="TableParagraph"/>
              <w:tabs>
                <w:tab w:pos="1139" w:val="left" w:leader="none"/>
              </w:tabs>
              <w:spacing w:line="251" w:lineRule="exact"/>
              <w:rPr>
                <w:sz w:val="22"/>
              </w:rPr>
            </w:pPr>
            <w:r>
              <w:rPr>
                <w:sz w:val="22"/>
              </w:rPr>
              <w:t>Quien</w:t>
              <w:tab/>
              <w:t>debiera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418" w:type="dxa"/>
            <w:tcBorders>
              <w:top w:val="nil"/>
              <w:bottom w:val="nil"/>
            </w:tcBorders>
          </w:tcPr>
          <w:p>
            <w:pPr>
              <w:pStyle w:val="TableParagraph"/>
              <w:spacing w:line="241" w:lineRule="exact"/>
              <w:ind w:left="218" w:right="101"/>
              <w:rPr>
                <w:sz w:val="22"/>
              </w:rPr>
            </w:pPr>
            <w:r>
              <w:rPr>
                <w:sz w:val="22"/>
              </w:rPr>
              <w:t>el ganado</w:t>
            </w:r>
          </w:p>
        </w:tc>
        <w:tc>
          <w:tcPr>
            <w:tcW w:w="1700" w:type="dxa"/>
            <w:tcBorders>
              <w:top w:val="nil"/>
              <w:bottom w:val="nil"/>
            </w:tcBorders>
          </w:tcPr>
          <w:p>
            <w:pPr>
              <w:pStyle w:val="TableParagraph"/>
              <w:spacing w:line="241" w:lineRule="exact"/>
              <w:ind w:left="100" w:right="20"/>
              <w:rPr>
                <w:sz w:val="22"/>
              </w:rPr>
            </w:pPr>
            <w:r>
              <w:rPr>
                <w:sz w:val="22"/>
              </w:rPr>
              <w:t>Municipal</w:t>
            </w:r>
          </w:p>
        </w:tc>
        <w:tc>
          <w:tcPr>
            <w:tcW w:w="1277" w:type="dxa"/>
            <w:tcBorders>
              <w:top w:val="nil"/>
              <w:bottom w:val="nil"/>
            </w:tcBorders>
          </w:tcPr>
          <w:p>
            <w:pPr>
              <w:pStyle w:val="TableParagraph"/>
              <w:spacing w:line="241" w:lineRule="exact"/>
              <w:rPr>
                <w:sz w:val="22"/>
              </w:rPr>
            </w:pPr>
            <w:r>
              <w:rPr>
                <w:sz w:val="22"/>
              </w:rPr>
              <w:t>Martín</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Martín,</w:t>
            </w:r>
          </w:p>
        </w:tc>
        <w:tc>
          <w:tcPr>
            <w:tcW w:w="1133" w:type="dxa"/>
            <w:tcBorders>
              <w:top w:val="nil"/>
              <w:bottom w:val="nil"/>
            </w:tcBorders>
          </w:tcPr>
          <w:p>
            <w:pPr>
              <w:pStyle w:val="TableParagraph"/>
              <w:spacing w:line="241" w:lineRule="exact"/>
              <w:ind w:left="100" w:right="52"/>
              <w:rPr>
                <w:sz w:val="22"/>
              </w:rPr>
            </w:pPr>
            <w:r>
              <w:rPr>
                <w:sz w:val="22"/>
              </w:rPr>
              <w:t>Martín,</w:t>
            </w:r>
          </w:p>
        </w:tc>
        <w:tc>
          <w:tcPr>
            <w:tcW w:w="1702" w:type="dxa"/>
            <w:tcBorders>
              <w:top w:val="nil"/>
              <w:bottom w:val="nil"/>
            </w:tcBorders>
          </w:tcPr>
          <w:p>
            <w:pPr>
              <w:pStyle w:val="TableParagraph"/>
              <w:spacing w:line="241" w:lineRule="exact"/>
              <w:rPr>
                <w:sz w:val="22"/>
              </w:rPr>
            </w:pPr>
            <w:r>
              <w:rPr>
                <w:sz w:val="22"/>
              </w:rPr>
              <w:t>todos</w:t>
            </w:r>
          </w:p>
        </w:tc>
        <w:tc>
          <w:tcPr>
            <w:tcW w:w="1985" w:type="dxa"/>
            <w:tcBorders>
              <w:top w:val="nil"/>
              <w:bottom w:val="nil"/>
            </w:tcBorders>
          </w:tcPr>
          <w:p>
            <w:pPr>
              <w:pStyle w:val="TableParagraph"/>
              <w:tabs>
                <w:tab w:pos="1348" w:val="left" w:leader="none"/>
              </w:tabs>
              <w:spacing w:line="241" w:lineRule="exact"/>
              <w:rPr>
                <w:sz w:val="22"/>
              </w:rPr>
            </w:pPr>
            <w:r>
              <w:rPr>
                <w:sz w:val="22"/>
              </w:rPr>
              <w:t>solucionar</w:t>
              <w:tab/>
              <w:t>estos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Galván</w:t>
            </w: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Aculco</w:t>
            </w:r>
          </w:p>
        </w:tc>
        <w:tc>
          <w:tcPr>
            <w:tcW w:w="1133" w:type="dxa"/>
            <w:tcBorders>
              <w:top w:val="nil"/>
              <w:bottom w:val="nil"/>
            </w:tcBorders>
          </w:tcPr>
          <w:p>
            <w:pPr>
              <w:pStyle w:val="TableParagraph"/>
              <w:spacing w:line="242" w:lineRule="exact"/>
              <w:ind w:left="100" w:right="52"/>
              <w:rPr>
                <w:sz w:val="22"/>
              </w:rPr>
            </w:pPr>
            <w:r>
              <w:rPr>
                <w:sz w:val="22"/>
              </w:rPr>
              <w:t>Aculco</w:t>
            </w:r>
          </w:p>
        </w:tc>
        <w:tc>
          <w:tcPr>
            <w:tcW w:w="1702" w:type="dxa"/>
            <w:tcBorders>
              <w:top w:val="nil"/>
              <w:bottom w:val="nil"/>
            </w:tcBorders>
          </w:tcPr>
          <w:p>
            <w:pPr>
              <w:pStyle w:val="TableParagraph"/>
              <w:spacing w:line="242" w:lineRule="exact"/>
              <w:rPr>
                <w:sz w:val="22"/>
              </w:rPr>
            </w:pPr>
            <w:r>
              <w:rPr>
                <w:sz w:val="22"/>
              </w:rPr>
              <w:t>debiéramos</w:t>
            </w:r>
          </w:p>
        </w:tc>
        <w:tc>
          <w:tcPr>
            <w:tcW w:w="1985" w:type="dxa"/>
            <w:tcBorders>
              <w:top w:val="nil"/>
              <w:bottom w:val="nil"/>
            </w:tcBorders>
          </w:tcPr>
          <w:p>
            <w:pPr>
              <w:pStyle w:val="TableParagraph"/>
              <w:spacing w:line="242" w:lineRule="exact"/>
              <w:rPr>
                <w:sz w:val="22"/>
              </w:rPr>
            </w:pPr>
            <w:r>
              <w:rPr>
                <w:sz w:val="22"/>
              </w:rPr>
              <w:t>problemas   es  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(3/8/2014)</w:t>
            </w: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8" w:val="left" w:leader="none"/>
              </w:tabs>
              <w:spacing w:line="241" w:lineRule="exact"/>
              <w:rPr>
                <w:sz w:val="22"/>
              </w:rPr>
            </w:pPr>
            <w:r>
              <w:rPr>
                <w:sz w:val="22"/>
              </w:rPr>
              <w:t>solucionar</w:t>
              <w:tab/>
              <w:t>el</w:t>
            </w:r>
          </w:p>
        </w:tc>
        <w:tc>
          <w:tcPr>
            <w:tcW w:w="1985" w:type="dxa"/>
            <w:tcBorders>
              <w:top w:val="nil"/>
              <w:bottom w:val="nil"/>
            </w:tcBorders>
          </w:tcPr>
          <w:p>
            <w:pPr>
              <w:pStyle w:val="TableParagraph"/>
              <w:tabs>
                <w:tab w:pos="1580" w:val="left" w:leader="none"/>
              </w:tabs>
              <w:spacing w:line="241" w:lineRule="exact"/>
              <w:rPr>
                <w:sz w:val="22"/>
              </w:rPr>
            </w:pPr>
            <w:r>
              <w:rPr>
                <w:sz w:val="22"/>
              </w:rPr>
              <w:t>gobierno</w:t>
              <w:tab/>
              <w:t>del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problema, pero</w:t>
            </w:r>
          </w:p>
        </w:tc>
        <w:tc>
          <w:tcPr>
            <w:tcW w:w="1985" w:type="dxa"/>
            <w:tcBorders>
              <w:top w:val="nil"/>
              <w:bottom w:val="nil"/>
            </w:tcBorders>
          </w:tcPr>
          <w:p>
            <w:pPr>
              <w:pStyle w:val="TableParagraph"/>
              <w:spacing w:line="242" w:lineRule="exact"/>
              <w:rPr>
                <w:sz w:val="22"/>
              </w:rPr>
            </w:pPr>
            <w:r>
              <w:rPr>
                <w:sz w:val="22"/>
              </w:rPr>
              <w:t>Estado de México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con  ayuda</w:t>
            </w:r>
            <w:r>
              <w:rPr>
                <w:spacing w:val="53"/>
                <w:sz w:val="22"/>
              </w:rPr>
              <w:t> </w:t>
            </w:r>
            <w:r>
              <w:rPr>
                <w:sz w:val="22"/>
              </w:rPr>
              <w:t>del</w:t>
            </w:r>
          </w:p>
        </w:tc>
        <w:tc>
          <w:tcPr>
            <w:tcW w:w="1985" w:type="dxa"/>
            <w:tcBorders>
              <w:top w:val="nil"/>
              <w:bottom w:val="nil"/>
            </w:tcBorders>
          </w:tcPr>
          <w:p>
            <w:pPr>
              <w:pStyle w:val="TableParagraph"/>
              <w:spacing w:line="241" w:lineRule="exact"/>
              <w:rPr>
                <w:sz w:val="22"/>
              </w:rPr>
            </w:pPr>
            <w:r>
              <w:rPr>
                <w:sz w:val="22"/>
              </w:rPr>
              <w:t>y  nosotros  como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gobierno   para</w:t>
            </w:r>
          </w:p>
        </w:tc>
        <w:tc>
          <w:tcPr>
            <w:tcW w:w="1985" w:type="dxa"/>
            <w:tcBorders>
              <w:top w:val="nil"/>
              <w:bottom w:val="nil"/>
            </w:tcBorders>
          </w:tcPr>
          <w:p>
            <w:pPr>
              <w:pStyle w:val="TableParagraph"/>
              <w:spacing w:line="242" w:lineRule="exact"/>
              <w:rPr>
                <w:sz w:val="22"/>
              </w:rPr>
            </w:pPr>
            <w:r>
              <w:rPr>
                <w:sz w:val="22"/>
              </w:rPr>
              <w:t>población.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que  no traigan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agua</w:t>
            </w:r>
          </w:p>
        </w:tc>
        <w:tc>
          <w:tcPr>
            <w:tcW w:w="1985" w:type="dxa"/>
            <w:tcBorders>
              <w:top w:val="nil"/>
              <w:bottom w:val="nil"/>
            </w:tcBorders>
          </w:tcPr>
          <w:p>
            <w:pPr/>
          </w:p>
        </w:tc>
      </w:tr>
      <w:tr>
        <w:trPr>
          <w:trHeight w:val="249" w:hRule="exact"/>
        </w:trPr>
        <w:tc>
          <w:tcPr>
            <w:tcW w:w="1385" w:type="dxa"/>
            <w:tcBorders>
              <w:top w:val="nil"/>
              <w:bottom w:val="single" w:sz="4" w:space="0" w:color="000000"/>
            </w:tcBorders>
          </w:tcPr>
          <w:p>
            <w:pPr/>
          </w:p>
        </w:tc>
        <w:tc>
          <w:tcPr>
            <w:tcW w:w="1418" w:type="dxa"/>
            <w:tcBorders>
              <w:top w:val="nil"/>
              <w:bottom w:val="single" w:sz="4" w:space="0" w:color="000000"/>
            </w:tcBorders>
          </w:tcPr>
          <w:p>
            <w:pPr/>
          </w:p>
        </w:tc>
        <w:tc>
          <w:tcPr>
            <w:tcW w:w="1700" w:type="dxa"/>
            <w:tcBorders>
              <w:top w:val="nil"/>
              <w:bottom w:val="single" w:sz="4" w:space="0" w:color="000000"/>
            </w:tcBorders>
          </w:tcPr>
          <w:p>
            <w:pPr/>
          </w:p>
        </w:tc>
        <w:tc>
          <w:tcPr>
            <w:tcW w:w="1277" w:type="dxa"/>
            <w:tcBorders>
              <w:top w:val="nil"/>
              <w:bottom w:val="single" w:sz="4" w:space="0" w:color="000000"/>
            </w:tcBorders>
          </w:tcPr>
          <w:p>
            <w:pPr/>
          </w:p>
        </w:tc>
        <w:tc>
          <w:tcPr>
            <w:tcW w:w="991" w:type="dxa"/>
            <w:tcBorders>
              <w:top w:val="nil"/>
              <w:bottom w:val="single" w:sz="4" w:space="0" w:color="000000"/>
            </w:tcBorders>
          </w:tcPr>
          <w:p>
            <w:pPr/>
          </w:p>
        </w:tc>
        <w:tc>
          <w:tcPr>
            <w:tcW w:w="1277" w:type="dxa"/>
            <w:tcBorders>
              <w:top w:val="nil"/>
              <w:bottom w:val="single" w:sz="4" w:space="0" w:color="000000"/>
            </w:tcBorders>
          </w:tcPr>
          <w:p>
            <w:pPr/>
          </w:p>
        </w:tc>
        <w:tc>
          <w:tcPr>
            <w:tcW w:w="1133" w:type="dxa"/>
            <w:tcBorders>
              <w:top w:val="nil"/>
              <w:bottom w:val="single" w:sz="4" w:space="0" w:color="000000"/>
            </w:tcBorders>
          </w:tcPr>
          <w:p>
            <w:pPr/>
          </w:p>
        </w:tc>
        <w:tc>
          <w:tcPr>
            <w:tcW w:w="1702" w:type="dxa"/>
            <w:tcBorders>
              <w:top w:val="nil"/>
              <w:bottom w:val="single" w:sz="4" w:space="0" w:color="000000"/>
            </w:tcBorders>
          </w:tcPr>
          <w:p>
            <w:pPr>
              <w:pStyle w:val="TableParagraph"/>
              <w:spacing w:line="242" w:lineRule="exact"/>
              <w:rPr>
                <w:sz w:val="22"/>
              </w:rPr>
            </w:pPr>
            <w:r>
              <w:rPr>
                <w:sz w:val="22"/>
              </w:rPr>
              <w:t>contaminada.</w:t>
            </w:r>
          </w:p>
        </w:tc>
        <w:tc>
          <w:tcPr>
            <w:tcW w:w="1985" w:type="dxa"/>
            <w:tcBorders>
              <w:top w:val="nil"/>
              <w:bottom w:val="single" w:sz="4" w:space="0" w:color="000000"/>
            </w:tcBorders>
          </w:tcPr>
          <w:p>
            <w:pPr/>
          </w:p>
        </w:tc>
      </w:tr>
      <w:tr>
        <w:trPr>
          <w:trHeight w:val="268" w:hRule="exact"/>
        </w:trPr>
        <w:tc>
          <w:tcPr>
            <w:tcW w:w="1385" w:type="dxa"/>
            <w:tcBorders>
              <w:top w:val="single" w:sz="4" w:space="0" w:color="000000"/>
              <w:bottom w:val="nil"/>
            </w:tcBorders>
          </w:tcPr>
          <w:p>
            <w:pPr>
              <w:pStyle w:val="TableParagraph"/>
              <w:spacing w:line="251" w:lineRule="exact"/>
              <w:ind w:right="127"/>
              <w:rPr>
                <w:sz w:val="22"/>
              </w:rPr>
            </w:pPr>
            <w:r>
              <w:rPr>
                <w:sz w:val="22"/>
              </w:rPr>
              <w:t>Ricardo</w:t>
            </w:r>
          </w:p>
        </w:tc>
        <w:tc>
          <w:tcPr>
            <w:tcW w:w="1418" w:type="dxa"/>
            <w:tcBorders>
              <w:top w:val="single" w:sz="4" w:space="0" w:color="000000"/>
              <w:bottom w:val="nil"/>
            </w:tcBorders>
          </w:tcPr>
          <w:p>
            <w:pPr>
              <w:pStyle w:val="TableParagraph"/>
              <w:spacing w:line="251" w:lineRule="exact"/>
              <w:ind w:left="182" w:right="101"/>
              <w:rPr>
                <w:sz w:val="22"/>
              </w:rPr>
            </w:pPr>
            <w:r>
              <w:rPr>
                <w:sz w:val="22"/>
              </w:rPr>
              <w:t>Albañilería</w:t>
            </w:r>
          </w:p>
        </w:tc>
        <w:tc>
          <w:tcPr>
            <w:tcW w:w="1700" w:type="dxa"/>
            <w:tcBorders>
              <w:top w:val="single" w:sz="4" w:space="0" w:color="000000"/>
              <w:bottom w:val="nil"/>
            </w:tcBorders>
          </w:tcPr>
          <w:p>
            <w:pPr>
              <w:pStyle w:val="TableParagraph"/>
              <w:spacing w:line="251" w:lineRule="exact"/>
              <w:ind w:left="100" w:right="20"/>
              <w:rPr>
                <w:sz w:val="22"/>
              </w:rPr>
            </w:pPr>
            <w:r>
              <w:rPr>
                <w:sz w:val="22"/>
              </w:rPr>
              <w:t>Delegado</w:t>
            </w:r>
          </w:p>
        </w:tc>
        <w:tc>
          <w:tcPr>
            <w:tcW w:w="1277" w:type="dxa"/>
            <w:tcBorders>
              <w:top w:val="single" w:sz="4" w:space="0" w:color="000000"/>
              <w:bottom w:val="nil"/>
            </w:tcBorders>
          </w:tcPr>
          <w:p>
            <w:pPr>
              <w:pStyle w:val="TableParagraph"/>
              <w:spacing w:line="251" w:lineRule="exact"/>
              <w:rPr>
                <w:sz w:val="22"/>
              </w:rPr>
            </w:pPr>
            <w:r>
              <w:rPr>
                <w:sz w:val="22"/>
              </w:rPr>
              <w:t>El Azafrán</w:t>
            </w:r>
          </w:p>
        </w:tc>
        <w:tc>
          <w:tcPr>
            <w:tcW w:w="991" w:type="dxa"/>
            <w:tcBorders>
              <w:top w:val="single" w:sz="4" w:space="0" w:color="000000"/>
              <w:bottom w:val="nil"/>
            </w:tcBorders>
          </w:tcPr>
          <w:p>
            <w:pPr>
              <w:pStyle w:val="TableParagraph"/>
              <w:spacing w:line="251" w:lineRule="exact"/>
              <w:ind w:left="100"/>
              <w:rPr>
                <w:sz w:val="22"/>
              </w:rPr>
            </w:pPr>
            <w:r>
              <w:rPr>
                <w:sz w:val="22"/>
              </w:rPr>
              <w:t>Aculco</w:t>
            </w:r>
          </w:p>
        </w:tc>
        <w:tc>
          <w:tcPr>
            <w:tcW w:w="1277" w:type="dxa"/>
            <w:tcBorders>
              <w:top w:val="single" w:sz="4" w:space="0" w:color="000000"/>
              <w:bottom w:val="nil"/>
            </w:tcBorders>
          </w:tcPr>
          <w:p>
            <w:pPr>
              <w:pStyle w:val="TableParagraph"/>
              <w:spacing w:line="251" w:lineRule="exact"/>
              <w:ind w:right="92"/>
              <w:rPr>
                <w:sz w:val="22"/>
              </w:rPr>
            </w:pPr>
            <w:r>
              <w:rPr>
                <w:sz w:val="22"/>
              </w:rPr>
              <w:t>El</w:t>
            </w:r>
          </w:p>
        </w:tc>
        <w:tc>
          <w:tcPr>
            <w:tcW w:w="1133" w:type="dxa"/>
            <w:tcBorders>
              <w:top w:val="single" w:sz="4" w:space="0" w:color="000000"/>
              <w:bottom w:val="nil"/>
            </w:tcBorders>
          </w:tcPr>
          <w:p>
            <w:pPr>
              <w:pStyle w:val="TableParagraph"/>
              <w:spacing w:line="251" w:lineRule="exact"/>
              <w:ind w:left="100" w:right="52"/>
              <w:rPr>
                <w:sz w:val="22"/>
              </w:rPr>
            </w:pPr>
            <w:r>
              <w:rPr>
                <w:sz w:val="22"/>
              </w:rPr>
              <w:t>El</w:t>
            </w:r>
          </w:p>
        </w:tc>
        <w:tc>
          <w:tcPr>
            <w:tcW w:w="1702" w:type="dxa"/>
            <w:tcBorders>
              <w:top w:val="single" w:sz="4" w:space="0" w:color="000000"/>
              <w:bottom w:val="nil"/>
            </w:tcBorders>
          </w:tcPr>
          <w:p>
            <w:pPr>
              <w:pStyle w:val="TableParagraph"/>
              <w:spacing w:line="251" w:lineRule="exact"/>
              <w:rPr>
                <w:sz w:val="22"/>
              </w:rPr>
            </w:pPr>
            <w:r>
              <w:rPr>
                <w:sz w:val="22"/>
              </w:rPr>
              <w:t>Concientizand</w:t>
            </w:r>
          </w:p>
        </w:tc>
        <w:tc>
          <w:tcPr>
            <w:tcW w:w="1985" w:type="dxa"/>
            <w:tcBorders>
              <w:top w:val="single" w:sz="4" w:space="0" w:color="000000"/>
              <w:bottom w:val="nil"/>
            </w:tcBorders>
          </w:tcPr>
          <w:p>
            <w:pPr>
              <w:pStyle w:val="TableParagraph"/>
              <w:spacing w:line="251" w:lineRule="exact"/>
              <w:rPr>
                <w:sz w:val="22"/>
              </w:rPr>
            </w:pPr>
            <w:r>
              <w:rPr>
                <w:sz w:val="22"/>
              </w:rPr>
              <w:t>Quienes debieran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Cristóbal</w:t>
            </w:r>
          </w:p>
        </w:tc>
        <w:tc>
          <w:tcPr>
            <w:tcW w:w="1418" w:type="dxa"/>
            <w:tcBorders>
              <w:top w:val="nil"/>
              <w:bottom w:val="nil"/>
            </w:tcBorders>
          </w:tcPr>
          <w:p>
            <w:pPr>
              <w:pStyle w:val="TableParagraph"/>
              <w:spacing w:line="242" w:lineRule="exact"/>
              <w:ind w:left="170" w:right="101"/>
              <w:rPr>
                <w:sz w:val="22"/>
              </w:rPr>
            </w:pPr>
            <w:r>
              <w:rPr>
                <w:sz w:val="22"/>
              </w:rPr>
              <w:t>y el campo</w:t>
            </w:r>
          </w:p>
        </w:tc>
        <w:tc>
          <w:tcPr>
            <w:tcW w:w="1700" w:type="dxa"/>
            <w:tcBorders>
              <w:top w:val="nil"/>
              <w:bottom w:val="nil"/>
            </w:tcBorders>
          </w:tcPr>
          <w:p>
            <w:pPr>
              <w:pStyle w:val="TableParagraph"/>
              <w:spacing w:line="242" w:lineRule="exact"/>
              <w:ind w:left="100" w:right="20"/>
              <w:rPr>
                <w:sz w:val="22"/>
              </w:rPr>
            </w:pPr>
            <w:r>
              <w:rPr>
                <w:sz w:val="22"/>
              </w:rPr>
              <w:t>Municipal de la</w:t>
            </w: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Azafrán,</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1702" w:type="dxa"/>
            <w:tcBorders>
              <w:top w:val="nil"/>
              <w:bottom w:val="nil"/>
            </w:tcBorders>
          </w:tcPr>
          <w:p>
            <w:pPr>
              <w:pStyle w:val="TableParagraph"/>
              <w:spacing w:line="242" w:lineRule="exact"/>
              <w:rPr>
                <w:sz w:val="22"/>
              </w:rPr>
            </w:pPr>
            <w:r>
              <w:rPr>
                <w:sz w:val="22"/>
              </w:rPr>
              <w:t>o   a   la  gente</w:t>
            </w:r>
          </w:p>
        </w:tc>
        <w:tc>
          <w:tcPr>
            <w:tcW w:w="1985" w:type="dxa"/>
            <w:tcBorders>
              <w:top w:val="nil"/>
              <w:bottom w:val="nil"/>
            </w:tcBorders>
          </w:tcPr>
          <w:p>
            <w:pPr>
              <w:pStyle w:val="TableParagraph"/>
              <w:tabs>
                <w:tab w:pos="1593" w:val="left" w:leader="none"/>
              </w:tabs>
              <w:spacing w:line="242" w:lineRule="exact"/>
              <w:rPr>
                <w:sz w:val="22"/>
              </w:rPr>
            </w:pPr>
            <w:r>
              <w:rPr>
                <w:sz w:val="22"/>
              </w:rPr>
              <w:t>solucionar</w:t>
              <w:tab/>
              <w:t>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Ramírez</w:t>
            </w:r>
          </w:p>
        </w:tc>
        <w:tc>
          <w:tcPr>
            <w:tcW w:w="1418" w:type="dxa"/>
            <w:tcBorders>
              <w:top w:val="nil"/>
              <w:bottom w:val="nil"/>
            </w:tcBorders>
          </w:tcPr>
          <w:p>
            <w:pPr/>
          </w:p>
        </w:tc>
        <w:tc>
          <w:tcPr>
            <w:tcW w:w="1700" w:type="dxa"/>
            <w:tcBorders>
              <w:top w:val="nil"/>
              <w:bottom w:val="nil"/>
            </w:tcBorders>
          </w:tcPr>
          <w:p>
            <w:pPr>
              <w:pStyle w:val="TableParagraph"/>
              <w:spacing w:line="241" w:lineRule="exact"/>
              <w:ind w:left="100" w:right="20"/>
              <w:rPr>
                <w:sz w:val="22"/>
              </w:rPr>
            </w:pPr>
            <w:r>
              <w:rPr>
                <w:sz w:val="22"/>
              </w:rPr>
              <w:t>primera</w:t>
            </w: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tabs>
                <w:tab w:pos="755" w:val="left" w:leader="none"/>
                <w:tab w:pos="1283" w:val="left" w:leader="none"/>
              </w:tabs>
              <w:spacing w:line="241" w:lineRule="exact"/>
              <w:rPr>
                <w:sz w:val="22"/>
              </w:rPr>
            </w:pPr>
            <w:r>
              <w:rPr>
                <w:sz w:val="22"/>
              </w:rPr>
              <w:t>que</w:t>
              <w:tab/>
              <w:t>no</w:t>
              <w:tab/>
              <w:t>tire</w:t>
            </w:r>
          </w:p>
        </w:tc>
        <w:tc>
          <w:tcPr>
            <w:tcW w:w="1985" w:type="dxa"/>
            <w:tcBorders>
              <w:top w:val="nil"/>
              <w:bottom w:val="nil"/>
            </w:tcBorders>
          </w:tcPr>
          <w:p>
            <w:pPr>
              <w:pStyle w:val="TableParagraph"/>
              <w:tabs>
                <w:tab w:pos="1518" w:val="left" w:leader="none"/>
              </w:tabs>
              <w:spacing w:line="241" w:lineRule="exact"/>
              <w:rPr>
                <w:sz w:val="22"/>
              </w:rPr>
            </w:pPr>
            <w:r>
              <w:rPr>
                <w:sz w:val="22"/>
              </w:rPr>
              <w:t>problemas</w:t>
              <w:tab/>
              <w:t>son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(3/8/2014)</w:t>
            </w:r>
          </w:p>
        </w:tc>
        <w:tc>
          <w:tcPr>
            <w:tcW w:w="1418" w:type="dxa"/>
            <w:tcBorders>
              <w:top w:val="nil"/>
              <w:bottom w:val="nil"/>
            </w:tcBorders>
          </w:tcPr>
          <w:p>
            <w:pPr/>
          </w:p>
        </w:tc>
        <w:tc>
          <w:tcPr>
            <w:tcW w:w="1700" w:type="dxa"/>
            <w:tcBorders>
              <w:top w:val="nil"/>
              <w:bottom w:val="nil"/>
            </w:tcBorders>
          </w:tcPr>
          <w:p>
            <w:pPr>
              <w:pStyle w:val="TableParagraph"/>
              <w:spacing w:line="242" w:lineRule="exact"/>
              <w:ind w:left="100" w:right="20"/>
              <w:rPr>
                <w:sz w:val="22"/>
              </w:rPr>
            </w:pPr>
            <w:r>
              <w:rPr>
                <w:sz w:val="22"/>
              </w:rPr>
              <w:t>manzana de El</w:t>
            </w: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basura   y  con</w:t>
            </w:r>
          </w:p>
        </w:tc>
        <w:tc>
          <w:tcPr>
            <w:tcW w:w="1985" w:type="dxa"/>
            <w:tcBorders>
              <w:top w:val="nil"/>
              <w:bottom w:val="nil"/>
            </w:tcBorders>
          </w:tcPr>
          <w:p>
            <w:pPr>
              <w:pStyle w:val="TableParagraph"/>
              <w:tabs>
                <w:tab w:pos="827" w:val="left" w:leader="none"/>
                <w:tab w:pos="1640" w:val="left" w:leader="none"/>
              </w:tabs>
              <w:spacing w:line="242" w:lineRule="exact"/>
              <w:rPr>
                <w:sz w:val="22"/>
              </w:rPr>
            </w:pPr>
            <w:r>
              <w:rPr>
                <w:sz w:val="22"/>
              </w:rPr>
              <w:t>los</w:t>
              <w:tab/>
              <w:t>que</w:t>
              <w:tab/>
              <w:t>se</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Style w:val="TableParagraph"/>
              <w:spacing w:line="241" w:lineRule="exact"/>
              <w:ind w:left="100" w:right="20"/>
              <w:rPr>
                <w:sz w:val="22"/>
              </w:rPr>
            </w:pPr>
            <w:r>
              <w:rPr>
                <w:sz w:val="22"/>
              </w:rPr>
              <w:t>Azafrán</w:t>
            </w: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plantas</w:t>
              <w:tab/>
              <w:t>de</w:t>
            </w:r>
          </w:p>
        </w:tc>
        <w:tc>
          <w:tcPr>
            <w:tcW w:w="1985" w:type="dxa"/>
            <w:tcBorders>
              <w:top w:val="nil"/>
              <w:bottom w:val="nil"/>
            </w:tcBorders>
          </w:tcPr>
          <w:p>
            <w:pPr>
              <w:pStyle w:val="TableParagraph"/>
              <w:tabs>
                <w:tab w:pos="1432" w:val="left" w:leader="none"/>
              </w:tabs>
              <w:spacing w:line="241" w:lineRule="exact"/>
              <w:rPr>
                <w:sz w:val="22"/>
              </w:rPr>
            </w:pPr>
            <w:r>
              <w:rPr>
                <w:sz w:val="22"/>
              </w:rPr>
              <w:t>benefician</w:t>
              <w:tab/>
              <w:t>para</w:t>
            </w:r>
          </w:p>
        </w:tc>
      </w:tr>
      <w:tr>
        <w:trPr>
          <w:trHeight w:val="250" w:hRule="exact"/>
        </w:trPr>
        <w:tc>
          <w:tcPr>
            <w:tcW w:w="1385" w:type="dxa"/>
            <w:tcBorders>
              <w:top w:val="nil"/>
            </w:tcBorders>
          </w:tcPr>
          <w:p>
            <w:pPr/>
          </w:p>
        </w:tc>
        <w:tc>
          <w:tcPr>
            <w:tcW w:w="1418" w:type="dxa"/>
            <w:tcBorders>
              <w:top w:val="nil"/>
            </w:tcBorders>
          </w:tcPr>
          <w:p>
            <w:pPr/>
          </w:p>
        </w:tc>
        <w:tc>
          <w:tcPr>
            <w:tcW w:w="1700" w:type="dxa"/>
            <w:tcBorders>
              <w:top w:val="nil"/>
            </w:tcBorders>
          </w:tcPr>
          <w:p>
            <w:pPr/>
          </w:p>
        </w:tc>
        <w:tc>
          <w:tcPr>
            <w:tcW w:w="1277"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tratamiento.</w:t>
            </w:r>
          </w:p>
        </w:tc>
        <w:tc>
          <w:tcPr>
            <w:tcW w:w="1985" w:type="dxa"/>
            <w:tcBorders>
              <w:top w:val="nil"/>
            </w:tcBorders>
          </w:tcPr>
          <w:p>
            <w:pPr>
              <w:pStyle w:val="TableParagraph"/>
              <w:tabs>
                <w:tab w:pos="1093" w:val="left" w:leader="none"/>
                <w:tab w:pos="1703" w:val="left" w:leader="none"/>
              </w:tabs>
              <w:spacing w:line="241" w:lineRule="exact"/>
              <w:rPr>
                <w:sz w:val="22"/>
              </w:rPr>
            </w:pPr>
            <w:r>
              <w:rPr>
                <w:sz w:val="22"/>
              </w:rPr>
              <w:t>riego</w:t>
              <w:tab/>
              <w:t>y</w:t>
              <w:tab/>
              <w:t>la</w:t>
            </w:r>
          </w:p>
        </w:tc>
      </w:tr>
    </w:tbl>
    <w:p>
      <w:pPr>
        <w:spacing w:after="0" w:line="24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700"/>
        <w:gridCol w:w="1277"/>
        <w:gridCol w:w="991"/>
        <w:gridCol w:w="1277"/>
        <w:gridCol w:w="1133"/>
        <w:gridCol w:w="1702"/>
        <w:gridCol w:w="1985"/>
      </w:tblGrid>
      <w:tr>
        <w:trPr>
          <w:trHeight w:val="516" w:hRule="exact"/>
        </w:trPr>
        <w:tc>
          <w:tcPr>
            <w:tcW w:w="1385" w:type="dxa"/>
          </w:tcPr>
          <w:p>
            <w:pPr/>
          </w:p>
        </w:tc>
        <w:tc>
          <w:tcPr>
            <w:tcW w:w="1418" w:type="dxa"/>
          </w:tcPr>
          <w:p>
            <w:pPr/>
          </w:p>
        </w:tc>
        <w:tc>
          <w:tcPr>
            <w:tcW w:w="1700" w:type="dxa"/>
          </w:tcPr>
          <w:p>
            <w:pPr/>
          </w:p>
        </w:tc>
        <w:tc>
          <w:tcPr>
            <w:tcW w:w="1277" w:type="dxa"/>
          </w:tcPr>
          <w:p>
            <w:pPr/>
          </w:p>
        </w:tc>
        <w:tc>
          <w:tcPr>
            <w:tcW w:w="991" w:type="dxa"/>
          </w:tcPr>
          <w:p>
            <w:pPr/>
          </w:p>
        </w:tc>
        <w:tc>
          <w:tcPr>
            <w:tcW w:w="1277" w:type="dxa"/>
          </w:tcPr>
          <w:p>
            <w:pPr/>
          </w:p>
        </w:tc>
        <w:tc>
          <w:tcPr>
            <w:tcW w:w="1133" w:type="dxa"/>
          </w:tcPr>
          <w:p>
            <w:pPr/>
          </w:p>
        </w:tc>
        <w:tc>
          <w:tcPr>
            <w:tcW w:w="1702" w:type="dxa"/>
          </w:tcPr>
          <w:p>
            <w:pPr/>
          </w:p>
        </w:tc>
        <w:tc>
          <w:tcPr>
            <w:tcW w:w="1985" w:type="dxa"/>
          </w:tcPr>
          <w:p>
            <w:pPr>
              <w:pStyle w:val="TableParagraph"/>
              <w:tabs>
                <w:tab w:pos="1504" w:val="left" w:leader="none"/>
              </w:tabs>
              <w:spacing w:line="252" w:lineRule="exact" w:before="2"/>
              <w:ind w:right="98"/>
              <w:rPr>
                <w:sz w:val="22"/>
              </w:rPr>
            </w:pPr>
            <w:r>
              <w:rPr>
                <w:sz w:val="22"/>
              </w:rPr>
              <w:t>población</w:t>
              <w:tab/>
              <w:t>que vive</w:t>
            </w:r>
            <w:r>
              <w:rPr>
                <w:spacing w:val="-2"/>
                <w:sz w:val="22"/>
              </w:rPr>
              <w:t> </w:t>
            </w:r>
            <w:r>
              <w:rPr>
                <w:sz w:val="22"/>
              </w:rPr>
              <w:t>cerca.</w:t>
            </w:r>
          </w:p>
        </w:tc>
      </w:tr>
      <w:tr>
        <w:trPr>
          <w:trHeight w:val="2540" w:hRule="exact"/>
        </w:trPr>
        <w:tc>
          <w:tcPr>
            <w:tcW w:w="1385" w:type="dxa"/>
          </w:tcPr>
          <w:p>
            <w:pPr>
              <w:pStyle w:val="TableParagraph"/>
              <w:ind w:right="249"/>
              <w:rPr>
                <w:sz w:val="22"/>
              </w:rPr>
            </w:pPr>
            <w:r>
              <w:rPr>
                <w:sz w:val="22"/>
              </w:rPr>
              <w:t>Pablo Martínez García (3/8/2014)</w:t>
            </w:r>
          </w:p>
        </w:tc>
        <w:tc>
          <w:tcPr>
            <w:tcW w:w="1418" w:type="dxa"/>
          </w:tcPr>
          <w:p>
            <w:pPr>
              <w:pStyle w:val="TableParagraph"/>
              <w:tabs>
                <w:tab w:pos="623" w:val="left" w:leader="none"/>
                <w:tab w:pos="1132" w:val="left" w:leader="none"/>
              </w:tabs>
              <w:ind w:left="100" w:right="102"/>
              <w:rPr>
                <w:sz w:val="22"/>
              </w:rPr>
            </w:pPr>
            <w:r>
              <w:rPr>
                <w:sz w:val="22"/>
              </w:rPr>
              <w:t>La construcció n</w:t>
              <w:tab/>
              <w:t>y</w:t>
              <w:tab/>
              <w:t>el campo</w:t>
            </w:r>
          </w:p>
        </w:tc>
        <w:tc>
          <w:tcPr>
            <w:tcW w:w="1700" w:type="dxa"/>
          </w:tcPr>
          <w:p>
            <w:pPr>
              <w:pStyle w:val="TableParagraph"/>
              <w:ind w:left="100" w:right="20"/>
              <w:rPr>
                <w:sz w:val="22"/>
              </w:rPr>
            </w:pPr>
            <w:r>
              <w:rPr>
                <w:sz w:val="22"/>
              </w:rPr>
              <w:t>Delegado Municipal de la segunda manzana de El Azafrán</w:t>
            </w:r>
          </w:p>
        </w:tc>
        <w:tc>
          <w:tcPr>
            <w:tcW w:w="1277" w:type="dxa"/>
          </w:tcPr>
          <w:p>
            <w:pPr>
              <w:pStyle w:val="TableParagraph"/>
              <w:spacing w:line="251" w:lineRule="exact"/>
              <w:rPr>
                <w:sz w:val="22"/>
              </w:rPr>
            </w:pPr>
            <w:r>
              <w:rPr>
                <w:sz w:val="22"/>
              </w:rPr>
              <w:t>El Azafrán</w:t>
            </w:r>
          </w:p>
        </w:tc>
        <w:tc>
          <w:tcPr>
            <w:tcW w:w="991" w:type="dxa"/>
          </w:tcPr>
          <w:p>
            <w:pPr>
              <w:pStyle w:val="TableParagraph"/>
              <w:spacing w:line="251" w:lineRule="exact"/>
              <w:ind w:left="100"/>
              <w:rPr>
                <w:sz w:val="22"/>
              </w:rPr>
            </w:pPr>
            <w:r>
              <w:rPr>
                <w:sz w:val="22"/>
              </w:rPr>
              <w:t>Aculco</w:t>
            </w:r>
          </w:p>
        </w:tc>
        <w:tc>
          <w:tcPr>
            <w:tcW w:w="1277" w:type="dxa"/>
          </w:tcPr>
          <w:p>
            <w:pPr>
              <w:pStyle w:val="TableParagraph"/>
              <w:ind w:right="325"/>
              <w:rPr>
                <w:sz w:val="22"/>
              </w:rPr>
            </w:pPr>
            <w:r>
              <w:rPr>
                <w:sz w:val="22"/>
              </w:rPr>
              <w:t>El Azafrán, Aculco</w:t>
            </w:r>
          </w:p>
        </w:tc>
        <w:tc>
          <w:tcPr>
            <w:tcW w:w="1133" w:type="dxa"/>
          </w:tcPr>
          <w:p>
            <w:pPr>
              <w:pStyle w:val="TableParagraph"/>
              <w:ind w:left="100" w:right="183"/>
              <w:rPr>
                <w:sz w:val="22"/>
              </w:rPr>
            </w:pPr>
            <w:r>
              <w:rPr>
                <w:sz w:val="22"/>
              </w:rPr>
              <w:t>El Azafrán, Aculco</w:t>
            </w:r>
          </w:p>
        </w:tc>
        <w:tc>
          <w:tcPr>
            <w:tcW w:w="1702" w:type="dxa"/>
          </w:tcPr>
          <w:p>
            <w:pPr>
              <w:pStyle w:val="TableParagraph"/>
              <w:tabs>
                <w:tab w:pos="1098" w:val="left" w:leader="none"/>
              </w:tabs>
              <w:ind w:right="100"/>
              <w:rPr>
                <w:sz w:val="22"/>
              </w:rPr>
            </w:pPr>
            <w:r>
              <w:rPr>
                <w:sz w:val="22"/>
              </w:rPr>
              <w:t>Estos problemas podrían solucionarse inyectándole un</w:t>
              <w:tab/>
              <w:t>buen</w:t>
            </w:r>
          </w:p>
          <w:p>
            <w:pPr>
              <w:pStyle w:val="TableParagraph"/>
              <w:tabs>
                <w:tab w:pos="1271" w:val="left" w:leader="none"/>
              </w:tabs>
              <w:spacing w:line="253" w:lineRule="exact"/>
              <w:rPr>
                <w:sz w:val="22"/>
              </w:rPr>
            </w:pPr>
            <w:r>
              <w:rPr>
                <w:sz w:val="22"/>
              </w:rPr>
              <w:t>recurso</w:t>
              <w:tab/>
              <w:t>por</w:t>
            </w:r>
          </w:p>
          <w:p>
            <w:pPr>
              <w:pStyle w:val="TableParagraph"/>
              <w:tabs>
                <w:tab w:pos="1295" w:val="left" w:leader="none"/>
              </w:tabs>
              <w:spacing w:before="1"/>
              <w:ind w:right="100"/>
              <w:rPr>
                <w:sz w:val="22"/>
              </w:rPr>
            </w:pPr>
            <w:r>
              <w:rPr>
                <w:sz w:val="22"/>
              </w:rPr>
              <w:t>parte</w:t>
              <w:tab/>
              <w:t>del gobierno federal.</w:t>
            </w:r>
          </w:p>
        </w:tc>
        <w:tc>
          <w:tcPr>
            <w:tcW w:w="1985" w:type="dxa"/>
          </w:tcPr>
          <w:p>
            <w:pPr>
              <w:pStyle w:val="TableParagraph"/>
              <w:tabs>
                <w:tab w:pos="1015" w:val="left" w:leader="none"/>
              </w:tabs>
              <w:ind w:right="99"/>
              <w:jc w:val="both"/>
              <w:rPr>
                <w:sz w:val="22"/>
              </w:rPr>
            </w:pPr>
            <w:r>
              <w:rPr>
                <w:sz w:val="22"/>
              </w:rPr>
              <w:t>Pero quien debe solucionarlos  es el</w:t>
              <w:tab/>
              <w:t>gobierno federal, estatal y municipal, es decir los tres poderes.</w:t>
            </w:r>
          </w:p>
        </w:tc>
      </w:tr>
      <w:tr>
        <w:trPr>
          <w:trHeight w:val="2288" w:hRule="exact"/>
        </w:trPr>
        <w:tc>
          <w:tcPr>
            <w:tcW w:w="1385" w:type="dxa"/>
          </w:tcPr>
          <w:p>
            <w:pPr>
              <w:pStyle w:val="TableParagraph"/>
              <w:ind w:right="249"/>
              <w:rPr>
                <w:sz w:val="22"/>
              </w:rPr>
            </w:pPr>
            <w:r>
              <w:rPr>
                <w:sz w:val="22"/>
              </w:rPr>
              <w:t>Tomás Lucas Santiago (3/8/2014)</w:t>
            </w:r>
          </w:p>
        </w:tc>
        <w:tc>
          <w:tcPr>
            <w:tcW w:w="1418" w:type="dxa"/>
          </w:tcPr>
          <w:p>
            <w:pPr>
              <w:pStyle w:val="TableParagraph"/>
              <w:ind w:left="139" w:right="141" w:hanging="1"/>
              <w:jc w:val="center"/>
              <w:rPr>
                <w:sz w:val="22"/>
              </w:rPr>
            </w:pPr>
            <w:r>
              <w:rPr>
                <w:sz w:val="22"/>
              </w:rPr>
              <w:t>El campo y el comercio (tienda de abarrotes).</w:t>
            </w:r>
          </w:p>
        </w:tc>
        <w:tc>
          <w:tcPr>
            <w:tcW w:w="1700" w:type="dxa"/>
          </w:tcPr>
          <w:p>
            <w:pPr>
              <w:pStyle w:val="TableParagraph"/>
              <w:ind w:left="100" w:right="20"/>
              <w:rPr>
                <w:sz w:val="22"/>
              </w:rPr>
            </w:pPr>
            <w:r>
              <w:rPr>
                <w:sz w:val="22"/>
              </w:rPr>
              <w:t>Delegado Municipal de la tercera manzana de El Azafrán</w:t>
            </w:r>
          </w:p>
        </w:tc>
        <w:tc>
          <w:tcPr>
            <w:tcW w:w="1277" w:type="dxa"/>
          </w:tcPr>
          <w:p>
            <w:pPr>
              <w:pStyle w:val="TableParagraph"/>
              <w:spacing w:line="251" w:lineRule="exact"/>
              <w:rPr>
                <w:sz w:val="22"/>
              </w:rPr>
            </w:pPr>
            <w:r>
              <w:rPr>
                <w:sz w:val="22"/>
              </w:rPr>
              <w:t>El Azafrán</w:t>
            </w:r>
          </w:p>
        </w:tc>
        <w:tc>
          <w:tcPr>
            <w:tcW w:w="991" w:type="dxa"/>
          </w:tcPr>
          <w:p>
            <w:pPr>
              <w:pStyle w:val="TableParagraph"/>
              <w:spacing w:line="251" w:lineRule="exact"/>
              <w:ind w:left="100"/>
              <w:rPr>
                <w:sz w:val="22"/>
              </w:rPr>
            </w:pPr>
            <w:r>
              <w:rPr>
                <w:sz w:val="22"/>
              </w:rPr>
              <w:t>Aculco</w:t>
            </w:r>
          </w:p>
        </w:tc>
        <w:tc>
          <w:tcPr>
            <w:tcW w:w="1277" w:type="dxa"/>
          </w:tcPr>
          <w:p>
            <w:pPr>
              <w:pStyle w:val="TableParagraph"/>
              <w:ind w:right="325"/>
              <w:rPr>
                <w:sz w:val="22"/>
              </w:rPr>
            </w:pPr>
            <w:r>
              <w:rPr>
                <w:sz w:val="22"/>
              </w:rPr>
              <w:t>El Azafrán, Aculco</w:t>
            </w:r>
          </w:p>
        </w:tc>
        <w:tc>
          <w:tcPr>
            <w:tcW w:w="1133" w:type="dxa"/>
          </w:tcPr>
          <w:p>
            <w:pPr>
              <w:pStyle w:val="TableParagraph"/>
              <w:ind w:left="100" w:right="183"/>
              <w:rPr>
                <w:sz w:val="22"/>
              </w:rPr>
            </w:pPr>
            <w:r>
              <w:rPr>
                <w:sz w:val="22"/>
              </w:rPr>
              <w:t>El Azafrán, Aculco</w:t>
            </w:r>
          </w:p>
        </w:tc>
        <w:tc>
          <w:tcPr>
            <w:tcW w:w="1702" w:type="dxa"/>
          </w:tcPr>
          <w:p>
            <w:pPr>
              <w:pStyle w:val="TableParagraph"/>
              <w:ind w:right="99"/>
              <w:jc w:val="both"/>
              <w:rPr>
                <w:sz w:val="22"/>
              </w:rPr>
            </w:pPr>
            <w:r>
              <w:rPr>
                <w:sz w:val="22"/>
              </w:rPr>
              <w:t>Para resolver el problema debemos tener purificada el agua negra y meterla a la laguna.</w:t>
            </w:r>
          </w:p>
        </w:tc>
        <w:tc>
          <w:tcPr>
            <w:tcW w:w="1985" w:type="dxa"/>
          </w:tcPr>
          <w:p>
            <w:pPr>
              <w:pStyle w:val="TableParagraph"/>
              <w:tabs>
                <w:tab w:pos="841" w:val="left" w:leader="none"/>
                <w:tab w:pos="1434" w:val="left" w:leader="none"/>
                <w:tab w:pos="1593" w:val="left" w:leader="none"/>
                <w:tab w:pos="1702" w:val="left" w:leader="none"/>
                <w:tab w:pos="1761" w:val="left" w:leader="none"/>
              </w:tabs>
              <w:ind w:right="99"/>
              <w:rPr>
                <w:sz w:val="22"/>
              </w:rPr>
            </w:pPr>
            <w:r>
              <w:rPr>
                <w:sz w:val="22"/>
              </w:rPr>
              <w:t>Quienes debieran solucionar</w:t>
              <w:tab/>
              <w:tab/>
              <w:t>los problemas es la misma ciudadanía</w:t>
              <w:tab/>
              <w:tab/>
              <w:tab/>
              <w:tab/>
              <w:t>y darle a saber al gobernador</w:t>
              <w:tab/>
            </w:r>
            <w:r>
              <w:rPr>
                <w:spacing w:val="-1"/>
                <w:sz w:val="22"/>
              </w:rPr>
              <w:t>para </w:t>
            </w:r>
            <w:r>
              <w:rPr>
                <w:sz w:val="22"/>
              </w:rPr>
              <w:t>que</w:t>
              <w:tab/>
              <w:t>tome</w:t>
              <w:tab/>
              <w:tab/>
              <w:tab/>
              <w:t>el asunto.</w:t>
            </w:r>
          </w:p>
        </w:tc>
      </w:tr>
      <w:tr>
        <w:trPr>
          <w:trHeight w:val="266" w:hRule="exact"/>
        </w:trPr>
        <w:tc>
          <w:tcPr>
            <w:tcW w:w="1385" w:type="dxa"/>
            <w:tcBorders>
              <w:bottom w:val="nil"/>
            </w:tcBorders>
          </w:tcPr>
          <w:p>
            <w:pPr>
              <w:pStyle w:val="TableParagraph"/>
              <w:spacing w:line="251" w:lineRule="exact"/>
              <w:ind w:right="127"/>
              <w:rPr>
                <w:sz w:val="22"/>
              </w:rPr>
            </w:pPr>
            <w:r>
              <w:rPr>
                <w:sz w:val="22"/>
              </w:rPr>
              <w:t>Raúl</w:t>
            </w:r>
          </w:p>
        </w:tc>
        <w:tc>
          <w:tcPr>
            <w:tcW w:w="1418" w:type="dxa"/>
            <w:tcBorders>
              <w:bottom w:val="nil"/>
            </w:tcBorders>
          </w:tcPr>
          <w:p>
            <w:pPr>
              <w:pStyle w:val="TableParagraph"/>
              <w:spacing w:line="251" w:lineRule="exact"/>
              <w:ind w:left="100" w:right="101"/>
              <w:rPr>
                <w:sz w:val="22"/>
              </w:rPr>
            </w:pPr>
            <w:r>
              <w:rPr>
                <w:sz w:val="22"/>
              </w:rPr>
              <w:t>Cocinero</w:t>
            </w:r>
          </w:p>
        </w:tc>
        <w:tc>
          <w:tcPr>
            <w:tcW w:w="1700" w:type="dxa"/>
            <w:tcBorders>
              <w:bottom w:val="nil"/>
            </w:tcBorders>
          </w:tcPr>
          <w:p>
            <w:pPr>
              <w:pStyle w:val="TableParagraph"/>
              <w:spacing w:line="251" w:lineRule="exact"/>
              <w:ind w:left="100" w:right="20"/>
              <w:rPr>
                <w:sz w:val="22"/>
              </w:rPr>
            </w:pPr>
            <w:r>
              <w:rPr>
                <w:sz w:val="22"/>
              </w:rPr>
              <w:t>Delegado</w:t>
            </w:r>
          </w:p>
        </w:tc>
        <w:tc>
          <w:tcPr>
            <w:tcW w:w="1277" w:type="dxa"/>
            <w:tcBorders>
              <w:bottom w:val="nil"/>
            </w:tcBorders>
          </w:tcPr>
          <w:p>
            <w:pPr>
              <w:pStyle w:val="TableParagraph"/>
              <w:spacing w:line="251" w:lineRule="exact"/>
              <w:rPr>
                <w:sz w:val="22"/>
              </w:rPr>
            </w:pPr>
            <w:r>
              <w:rPr>
                <w:sz w:val="22"/>
              </w:rPr>
              <w:t>Ruano</w:t>
            </w:r>
          </w:p>
        </w:tc>
        <w:tc>
          <w:tcPr>
            <w:tcW w:w="991" w:type="dxa"/>
            <w:tcBorders>
              <w:bottom w:val="nil"/>
            </w:tcBorders>
          </w:tcPr>
          <w:p>
            <w:pPr>
              <w:pStyle w:val="TableParagraph"/>
              <w:spacing w:line="251" w:lineRule="exact"/>
              <w:ind w:left="100"/>
              <w:rPr>
                <w:sz w:val="22"/>
              </w:rPr>
            </w:pPr>
            <w:r>
              <w:rPr>
                <w:sz w:val="22"/>
              </w:rPr>
              <w:t>Polotitl</w:t>
            </w:r>
          </w:p>
        </w:tc>
        <w:tc>
          <w:tcPr>
            <w:tcW w:w="1277" w:type="dxa"/>
            <w:tcBorders>
              <w:bottom w:val="nil"/>
            </w:tcBorders>
          </w:tcPr>
          <w:p>
            <w:pPr>
              <w:pStyle w:val="TableParagraph"/>
              <w:spacing w:line="251" w:lineRule="exact"/>
              <w:ind w:right="92"/>
              <w:rPr>
                <w:sz w:val="22"/>
              </w:rPr>
            </w:pPr>
            <w:r>
              <w:rPr>
                <w:sz w:val="22"/>
              </w:rPr>
              <w:t>Ruano,</w:t>
            </w:r>
          </w:p>
        </w:tc>
        <w:tc>
          <w:tcPr>
            <w:tcW w:w="1133" w:type="dxa"/>
            <w:tcBorders>
              <w:bottom w:val="nil"/>
            </w:tcBorders>
          </w:tcPr>
          <w:p>
            <w:pPr>
              <w:pStyle w:val="TableParagraph"/>
              <w:spacing w:line="251" w:lineRule="exact"/>
              <w:ind w:left="80" w:right="290"/>
              <w:jc w:val="center"/>
              <w:rPr>
                <w:sz w:val="22"/>
              </w:rPr>
            </w:pPr>
            <w:r>
              <w:rPr>
                <w:sz w:val="22"/>
              </w:rPr>
              <w:t>Ruano,</w:t>
            </w:r>
          </w:p>
        </w:tc>
        <w:tc>
          <w:tcPr>
            <w:tcW w:w="1702" w:type="dxa"/>
            <w:tcBorders>
              <w:bottom w:val="nil"/>
            </w:tcBorders>
          </w:tcPr>
          <w:p>
            <w:pPr>
              <w:pStyle w:val="TableParagraph"/>
              <w:spacing w:line="251" w:lineRule="exact"/>
              <w:rPr>
                <w:sz w:val="22"/>
              </w:rPr>
            </w:pPr>
            <w:r>
              <w:rPr>
                <w:sz w:val="22"/>
              </w:rPr>
              <w:t>Estos</w:t>
            </w:r>
          </w:p>
        </w:tc>
        <w:tc>
          <w:tcPr>
            <w:tcW w:w="1985" w:type="dxa"/>
            <w:tcBorders>
              <w:bottom w:val="nil"/>
            </w:tcBorders>
          </w:tcPr>
          <w:p>
            <w:pPr>
              <w:pStyle w:val="TableParagraph"/>
              <w:spacing w:line="251" w:lineRule="exact"/>
              <w:rPr>
                <w:sz w:val="22"/>
              </w:rPr>
            </w:pPr>
            <w:r>
              <w:rPr>
                <w:sz w:val="22"/>
              </w:rPr>
              <w:t>Quienes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Cuevas</w:t>
            </w:r>
          </w:p>
        </w:tc>
        <w:tc>
          <w:tcPr>
            <w:tcW w:w="1418" w:type="dxa"/>
            <w:tcBorders>
              <w:top w:val="nil"/>
              <w:bottom w:val="nil"/>
            </w:tcBorders>
          </w:tcPr>
          <w:p>
            <w:pPr>
              <w:pStyle w:val="TableParagraph"/>
              <w:tabs>
                <w:tab w:pos="1060" w:val="left" w:leader="none"/>
              </w:tabs>
              <w:spacing w:line="241" w:lineRule="exact"/>
              <w:ind w:left="100"/>
              <w:rPr>
                <w:sz w:val="22"/>
              </w:rPr>
            </w:pPr>
            <w:r>
              <w:rPr>
                <w:sz w:val="22"/>
              </w:rPr>
              <w:t>(tiene</w:t>
              <w:tab/>
              <w:t>un</w:t>
            </w:r>
          </w:p>
        </w:tc>
        <w:tc>
          <w:tcPr>
            <w:tcW w:w="1700" w:type="dxa"/>
            <w:tcBorders>
              <w:top w:val="nil"/>
              <w:bottom w:val="nil"/>
            </w:tcBorders>
          </w:tcPr>
          <w:p>
            <w:pPr>
              <w:pStyle w:val="TableParagraph"/>
              <w:spacing w:line="241" w:lineRule="exact"/>
              <w:ind w:left="100" w:right="20"/>
              <w:rPr>
                <w:sz w:val="22"/>
              </w:rPr>
            </w:pPr>
            <w:r>
              <w:rPr>
                <w:sz w:val="22"/>
              </w:rPr>
              <w:t>Municipal</w:t>
            </w:r>
          </w:p>
        </w:tc>
        <w:tc>
          <w:tcPr>
            <w:tcW w:w="1277"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án</w:t>
            </w:r>
          </w:p>
        </w:tc>
        <w:tc>
          <w:tcPr>
            <w:tcW w:w="1277" w:type="dxa"/>
            <w:tcBorders>
              <w:top w:val="nil"/>
              <w:bottom w:val="nil"/>
            </w:tcBorders>
          </w:tcPr>
          <w:p>
            <w:pPr>
              <w:pStyle w:val="TableParagraph"/>
              <w:spacing w:line="241" w:lineRule="exact"/>
              <w:ind w:right="92"/>
              <w:rPr>
                <w:sz w:val="22"/>
              </w:rPr>
            </w:pPr>
            <w:r>
              <w:rPr>
                <w:sz w:val="22"/>
              </w:rPr>
              <w:t>Polotitlán</w:t>
            </w:r>
          </w:p>
        </w:tc>
        <w:tc>
          <w:tcPr>
            <w:tcW w:w="1133" w:type="dxa"/>
            <w:tcBorders>
              <w:top w:val="nil"/>
              <w:bottom w:val="nil"/>
            </w:tcBorders>
          </w:tcPr>
          <w:p>
            <w:pPr>
              <w:pStyle w:val="TableParagraph"/>
              <w:spacing w:line="241" w:lineRule="exact"/>
              <w:ind w:left="80" w:right="94"/>
              <w:jc w:val="center"/>
              <w:rPr>
                <w:sz w:val="22"/>
              </w:rPr>
            </w:pPr>
            <w:r>
              <w:rPr>
                <w:sz w:val="22"/>
              </w:rPr>
              <w:t>Polotitlán</w:t>
            </w:r>
          </w:p>
        </w:tc>
        <w:tc>
          <w:tcPr>
            <w:tcW w:w="1702" w:type="dxa"/>
            <w:tcBorders>
              <w:top w:val="nil"/>
              <w:bottom w:val="nil"/>
            </w:tcBorders>
          </w:tcPr>
          <w:p>
            <w:pPr>
              <w:pStyle w:val="TableParagraph"/>
              <w:spacing w:line="241" w:lineRule="exact"/>
              <w:rPr>
                <w:sz w:val="22"/>
              </w:rPr>
            </w:pPr>
            <w:r>
              <w:rPr>
                <w:sz w:val="22"/>
              </w:rPr>
              <w:t>problemas</w:t>
            </w:r>
          </w:p>
        </w:tc>
        <w:tc>
          <w:tcPr>
            <w:tcW w:w="1985" w:type="dxa"/>
            <w:tcBorders>
              <w:top w:val="nil"/>
              <w:bottom w:val="nil"/>
            </w:tcBorders>
          </w:tcPr>
          <w:p>
            <w:pPr>
              <w:pStyle w:val="TableParagraph"/>
              <w:spacing w:line="241" w:lineRule="exact"/>
              <w:rPr>
                <w:sz w:val="22"/>
              </w:rPr>
            </w:pPr>
            <w:r>
              <w:rPr>
                <w:sz w:val="22"/>
              </w:rPr>
              <w:t>debiéramos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Espinoza</w:t>
            </w:r>
          </w:p>
        </w:tc>
        <w:tc>
          <w:tcPr>
            <w:tcW w:w="1418" w:type="dxa"/>
            <w:tcBorders>
              <w:top w:val="nil"/>
              <w:bottom w:val="nil"/>
            </w:tcBorders>
          </w:tcPr>
          <w:p>
            <w:pPr>
              <w:pStyle w:val="TableParagraph"/>
              <w:spacing w:line="242" w:lineRule="exact"/>
              <w:ind w:left="100" w:right="101"/>
              <w:rPr>
                <w:sz w:val="22"/>
              </w:rPr>
            </w:pPr>
            <w:r>
              <w:rPr>
                <w:sz w:val="22"/>
              </w:rPr>
              <w:t>restaurante</w:t>
            </w: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podrían</w:t>
            </w:r>
          </w:p>
        </w:tc>
        <w:tc>
          <w:tcPr>
            <w:tcW w:w="1985" w:type="dxa"/>
            <w:tcBorders>
              <w:top w:val="nil"/>
              <w:bottom w:val="nil"/>
            </w:tcBorders>
          </w:tcPr>
          <w:p>
            <w:pPr>
              <w:pStyle w:val="TableParagraph"/>
              <w:tabs>
                <w:tab w:pos="1593" w:val="left" w:leader="none"/>
              </w:tabs>
              <w:spacing w:line="242" w:lineRule="exact"/>
              <w:rPr>
                <w:sz w:val="22"/>
              </w:rPr>
            </w:pPr>
            <w:r>
              <w:rPr>
                <w:sz w:val="22"/>
              </w:rPr>
              <w:t>solucionar</w:t>
              <w:tab/>
              <w:t>los</w:t>
            </w:r>
          </w:p>
        </w:tc>
      </w:tr>
      <w:tr>
        <w:trPr>
          <w:trHeight w:val="253" w:hRule="exact"/>
        </w:trPr>
        <w:tc>
          <w:tcPr>
            <w:tcW w:w="1385" w:type="dxa"/>
            <w:tcBorders>
              <w:top w:val="nil"/>
              <w:bottom w:val="nil"/>
            </w:tcBorders>
          </w:tcPr>
          <w:p>
            <w:pPr>
              <w:pStyle w:val="TableParagraph"/>
              <w:spacing w:line="241" w:lineRule="exact"/>
              <w:rPr>
                <w:sz w:val="22"/>
              </w:rPr>
            </w:pPr>
            <w:r>
              <w:rPr>
                <w:sz w:val="22"/>
              </w:rPr>
              <w:t>(20/8/2014)</w:t>
            </w:r>
          </w:p>
        </w:tc>
        <w:tc>
          <w:tcPr>
            <w:tcW w:w="1418" w:type="dxa"/>
            <w:tcBorders>
              <w:top w:val="nil"/>
              <w:bottom w:val="nil"/>
            </w:tcBorders>
          </w:tcPr>
          <w:p>
            <w:pPr>
              <w:pStyle w:val="TableParagraph"/>
              <w:spacing w:line="241" w:lineRule="exact"/>
              <w:ind w:left="100"/>
              <w:rPr>
                <w:sz w:val="22"/>
              </w:rPr>
            </w:pPr>
            <w:r>
              <w:rPr>
                <w:sz w:val="22"/>
              </w:rPr>
              <w:t>en el</w:t>
            </w:r>
            <w:r>
              <w:rPr>
                <w:spacing w:val="51"/>
                <w:sz w:val="22"/>
              </w:rPr>
              <w:t> </w:t>
            </w:r>
            <w:r>
              <w:rPr>
                <w:sz w:val="22"/>
              </w:rPr>
              <w:t>centro</w:t>
            </w: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solucionarse</w:t>
            </w:r>
          </w:p>
        </w:tc>
        <w:tc>
          <w:tcPr>
            <w:tcW w:w="1985" w:type="dxa"/>
            <w:tcBorders>
              <w:top w:val="nil"/>
              <w:bottom w:val="nil"/>
            </w:tcBorders>
          </w:tcPr>
          <w:p>
            <w:pPr>
              <w:pStyle w:val="TableParagraph"/>
              <w:spacing w:line="241" w:lineRule="exact"/>
              <w:rPr>
                <w:sz w:val="22"/>
              </w:rPr>
            </w:pPr>
            <w:r>
              <w:rPr>
                <w:sz w:val="22"/>
              </w:rPr>
              <w:t>problemas somos</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ight="101"/>
              <w:rPr>
                <w:sz w:val="22"/>
              </w:rPr>
            </w:pPr>
            <w:r>
              <w:rPr>
                <w:sz w:val="22"/>
              </w:rPr>
              <w:t>de</w:t>
            </w: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68" w:val="left" w:leader="none"/>
              </w:tabs>
              <w:spacing w:line="242" w:lineRule="exact"/>
              <w:rPr>
                <w:sz w:val="22"/>
              </w:rPr>
            </w:pPr>
            <w:r>
              <w:rPr>
                <w:sz w:val="22"/>
              </w:rPr>
              <w:t>llegando</w:t>
              <w:tab/>
              <w:t>a</w:t>
            </w:r>
          </w:p>
        </w:tc>
        <w:tc>
          <w:tcPr>
            <w:tcW w:w="1985" w:type="dxa"/>
            <w:tcBorders>
              <w:top w:val="nil"/>
              <w:bottom w:val="nil"/>
            </w:tcBorders>
          </w:tcPr>
          <w:p>
            <w:pPr>
              <w:pStyle w:val="TableParagraph"/>
              <w:tabs>
                <w:tab w:pos="1041" w:val="left" w:leader="none"/>
              </w:tabs>
              <w:spacing w:line="242" w:lineRule="exact"/>
              <w:rPr>
                <w:sz w:val="22"/>
              </w:rPr>
            </w:pPr>
            <w:r>
              <w:rPr>
                <w:sz w:val="22"/>
              </w:rPr>
              <w:t>los</w:t>
              <w:tab/>
              <w:t>usuarios</w:t>
            </w: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Pr>
                <w:sz w:val="22"/>
              </w:rPr>
            </w:pPr>
            <w:r>
              <w:rPr>
                <w:sz w:val="22"/>
              </w:rPr>
              <w:t>Polotitlán)</w:t>
            </w:r>
            <w:r>
              <w:rPr>
                <w:spacing w:val="53"/>
                <w:sz w:val="22"/>
              </w:rPr>
              <w:t> </w:t>
            </w:r>
            <w:r>
              <w:rPr>
                <w:sz w:val="22"/>
              </w:rPr>
              <w:t>y</w:t>
            </w: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80" w:val="left" w:leader="none"/>
              </w:tabs>
              <w:spacing w:line="241" w:lineRule="exact"/>
              <w:rPr>
                <w:sz w:val="22"/>
              </w:rPr>
            </w:pPr>
            <w:r>
              <w:rPr>
                <w:sz w:val="22"/>
              </w:rPr>
              <w:t>acuerdos</w:t>
              <w:tab/>
              <w:t>y</w:t>
            </w:r>
          </w:p>
        </w:tc>
        <w:tc>
          <w:tcPr>
            <w:tcW w:w="1985" w:type="dxa"/>
            <w:tcBorders>
              <w:top w:val="nil"/>
              <w:bottom w:val="nil"/>
            </w:tcBorders>
          </w:tcPr>
          <w:p>
            <w:pPr>
              <w:pStyle w:val="TableParagraph"/>
              <w:spacing w:line="241" w:lineRule="exact"/>
              <w:rPr>
                <w:sz w:val="22"/>
              </w:rPr>
            </w:pPr>
            <w:r>
              <w:rPr>
                <w:sz w:val="22"/>
              </w:rPr>
              <w:t>porque somos los</w:t>
            </w:r>
          </w:p>
        </w:tc>
      </w:tr>
      <w:tr>
        <w:trPr>
          <w:trHeight w:val="254"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el campo</w:t>
            </w: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1" w:lineRule="exact"/>
              <w:rPr>
                <w:sz w:val="22"/>
              </w:rPr>
            </w:pPr>
            <w:r>
              <w:rPr>
                <w:sz w:val="22"/>
              </w:rPr>
              <w:t>que</w:t>
              <w:tab/>
              <w:t>se</w:t>
            </w:r>
          </w:p>
        </w:tc>
        <w:tc>
          <w:tcPr>
            <w:tcW w:w="1985" w:type="dxa"/>
            <w:tcBorders>
              <w:top w:val="nil"/>
              <w:bottom w:val="nil"/>
            </w:tcBorders>
          </w:tcPr>
          <w:p>
            <w:pPr>
              <w:pStyle w:val="TableParagraph"/>
              <w:spacing w:line="241" w:lineRule="exact"/>
              <w:rPr>
                <w:sz w:val="22"/>
              </w:rPr>
            </w:pPr>
            <w:r>
              <w:rPr>
                <w:sz w:val="22"/>
              </w:rPr>
              <w:t>afectados.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cumplan,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algún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reglamento</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78" w:val="left" w:leader="none"/>
              </w:tabs>
              <w:spacing w:line="241" w:lineRule="exact"/>
              <w:rPr>
                <w:sz w:val="22"/>
              </w:rPr>
            </w:pPr>
            <w:r>
              <w:rPr>
                <w:sz w:val="22"/>
              </w:rPr>
              <w:t>que</w:t>
              <w:tab/>
              <w:t>deban</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700" w:type="dxa"/>
            <w:tcBorders>
              <w:top w:val="nil"/>
            </w:tcBorders>
          </w:tcPr>
          <w:p>
            <w:pPr/>
          </w:p>
        </w:tc>
        <w:tc>
          <w:tcPr>
            <w:tcW w:w="1277"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tener.</w:t>
            </w:r>
          </w:p>
        </w:tc>
        <w:tc>
          <w:tcPr>
            <w:tcW w:w="1985" w:type="dxa"/>
            <w:tcBorders>
              <w:top w:val="nil"/>
            </w:tcBorders>
          </w:tcPr>
          <w:p>
            <w:pPr/>
          </w:p>
        </w:tc>
      </w:tr>
      <w:tr>
        <w:trPr>
          <w:trHeight w:val="290" w:hRule="exact"/>
        </w:trPr>
        <w:tc>
          <w:tcPr>
            <w:tcW w:w="1385" w:type="dxa"/>
          </w:tcPr>
          <w:p>
            <w:pPr>
              <w:pStyle w:val="TableParagraph"/>
              <w:spacing w:line="251" w:lineRule="exact"/>
              <w:ind w:right="127"/>
              <w:rPr>
                <w:sz w:val="22"/>
              </w:rPr>
            </w:pPr>
            <w:r>
              <w:rPr>
                <w:sz w:val="22"/>
              </w:rPr>
              <w:t>Fernando</w:t>
            </w:r>
          </w:p>
        </w:tc>
        <w:tc>
          <w:tcPr>
            <w:tcW w:w="1418" w:type="dxa"/>
          </w:tcPr>
          <w:p>
            <w:pPr>
              <w:pStyle w:val="TableParagraph"/>
              <w:tabs>
                <w:tab w:pos="937" w:val="left" w:leader="none"/>
              </w:tabs>
              <w:spacing w:line="251" w:lineRule="exact"/>
              <w:ind w:left="100"/>
              <w:rPr>
                <w:sz w:val="22"/>
              </w:rPr>
            </w:pPr>
            <w:r>
              <w:rPr>
                <w:sz w:val="22"/>
              </w:rPr>
              <w:t>Vigilar</w:t>
              <w:tab/>
              <w:t>una</w:t>
            </w:r>
          </w:p>
        </w:tc>
        <w:tc>
          <w:tcPr>
            <w:tcW w:w="1700" w:type="dxa"/>
          </w:tcPr>
          <w:p>
            <w:pPr>
              <w:pStyle w:val="TableParagraph"/>
              <w:spacing w:line="251" w:lineRule="exact"/>
              <w:ind w:left="100" w:right="20"/>
              <w:rPr>
                <w:sz w:val="22"/>
              </w:rPr>
            </w:pPr>
            <w:r>
              <w:rPr>
                <w:sz w:val="22"/>
              </w:rPr>
              <w:t>Delegado</w:t>
            </w:r>
          </w:p>
        </w:tc>
        <w:tc>
          <w:tcPr>
            <w:tcW w:w="1277" w:type="dxa"/>
          </w:tcPr>
          <w:p>
            <w:pPr>
              <w:pStyle w:val="TableParagraph"/>
              <w:spacing w:line="251" w:lineRule="exact"/>
              <w:rPr>
                <w:sz w:val="22"/>
              </w:rPr>
            </w:pPr>
            <w:r>
              <w:rPr>
                <w:sz w:val="22"/>
              </w:rPr>
              <w:t>Encinillas</w:t>
            </w:r>
          </w:p>
        </w:tc>
        <w:tc>
          <w:tcPr>
            <w:tcW w:w="991" w:type="dxa"/>
          </w:tcPr>
          <w:p>
            <w:pPr>
              <w:pStyle w:val="TableParagraph"/>
              <w:spacing w:line="251" w:lineRule="exact"/>
              <w:ind w:left="100"/>
              <w:rPr>
                <w:sz w:val="22"/>
              </w:rPr>
            </w:pPr>
            <w:r>
              <w:rPr>
                <w:sz w:val="22"/>
              </w:rPr>
              <w:t>Polotitl</w:t>
            </w:r>
          </w:p>
        </w:tc>
        <w:tc>
          <w:tcPr>
            <w:tcW w:w="1277" w:type="dxa"/>
          </w:tcPr>
          <w:p>
            <w:pPr>
              <w:pStyle w:val="TableParagraph"/>
              <w:spacing w:line="251" w:lineRule="exact"/>
              <w:ind w:right="92"/>
              <w:rPr>
                <w:sz w:val="22"/>
              </w:rPr>
            </w:pPr>
            <w:r>
              <w:rPr>
                <w:sz w:val="22"/>
              </w:rPr>
              <w:t>Distrito</w:t>
            </w:r>
          </w:p>
        </w:tc>
        <w:tc>
          <w:tcPr>
            <w:tcW w:w="1133" w:type="dxa"/>
          </w:tcPr>
          <w:p>
            <w:pPr>
              <w:pStyle w:val="TableParagraph"/>
              <w:spacing w:line="251" w:lineRule="exact"/>
              <w:ind w:left="80" w:right="183"/>
              <w:jc w:val="center"/>
              <w:rPr>
                <w:sz w:val="22"/>
              </w:rPr>
            </w:pPr>
            <w:r>
              <w:rPr>
                <w:sz w:val="22"/>
              </w:rPr>
              <w:t>Encinilla</w:t>
            </w:r>
          </w:p>
        </w:tc>
        <w:tc>
          <w:tcPr>
            <w:tcW w:w="1702" w:type="dxa"/>
          </w:tcPr>
          <w:p>
            <w:pPr>
              <w:pStyle w:val="TableParagraph"/>
              <w:spacing w:line="251" w:lineRule="exact"/>
              <w:rPr>
                <w:sz w:val="22"/>
              </w:rPr>
            </w:pPr>
            <w:r>
              <w:rPr>
                <w:sz w:val="22"/>
              </w:rPr>
              <w:t>Estos</w:t>
            </w:r>
          </w:p>
        </w:tc>
        <w:tc>
          <w:tcPr>
            <w:tcW w:w="1985" w:type="dxa"/>
          </w:tcPr>
          <w:p>
            <w:pPr>
              <w:pStyle w:val="TableParagraph"/>
              <w:spacing w:line="251" w:lineRule="exact"/>
              <w:rPr>
                <w:sz w:val="22"/>
              </w:rPr>
            </w:pPr>
            <w:r>
              <w:rPr>
                <w:sz w:val="22"/>
              </w:rPr>
              <w:t>Quienes debieran</w:t>
            </w:r>
          </w:p>
        </w:tc>
      </w:tr>
    </w:tbl>
    <w:p>
      <w:pPr>
        <w:spacing w:after="0" w:line="25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700"/>
        <w:gridCol w:w="1277"/>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right="127"/>
              <w:rPr>
                <w:sz w:val="22"/>
              </w:rPr>
            </w:pPr>
            <w:r>
              <w:rPr>
                <w:sz w:val="22"/>
              </w:rPr>
              <w:t>Caballero</w:t>
            </w:r>
          </w:p>
        </w:tc>
        <w:tc>
          <w:tcPr>
            <w:tcW w:w="1418" w:type="dxa"/>
            <w:tcBorders>
              <w:bottom w:val="nil"/>
            </w:tcBorders>
          </w:tcPr>
          <w:p>
            <w:pPr>
              <w:pStyle w:val="TableParagraph"/>
              <w:spacing w:line="251" w:lineRule="exact"/>
              <w:ind w:left="100"/>
              <w:rPr>
                <w:sz w:val="22"/>
              </w:rPr>
            </w:pPr>
            <w:r>
              <w:rPr>
                <w:sz w:val="22"/>
              </w:rPr>
              <w:t>gasera  y  el</w:t>
            </w:r>
          </w:p>
        </w:tc>
        <w:tc>
          <w:tcPr>
            <w:tcW w:w="1700" w:type="dxa"/>
            <w:tcBorders>
              <w:bottom w:val="nil"/>
            </w:tcBorders>
          </w:tcPr>
          <w:p>
            <w:pPr>
              <w:pStyle w:val="TableParagraph"/>
              <w:spacing w:line="251" w:lineRule="exact"/>
              <w:ind w:left="100" w:right="20"/>
              <w:rPr>
                <w:sz w:val="22"/>
              </w:rPr>
            </w:pPr>
            <w:r>
              <w:rPr>
                <w:sz w:val="22"/>
              </w:rPr>
              <w:t>Municipal</w:t>
            </w:r>
          </w:p>
        </w:tc>
        <w:tc>
          <w:tcPr>
            <w:tcW w:w="1277" w:type="dxa"/>
            <w:vMerge w:val="restart"/>
          </w:tcPr>
          <w:p>
            <w:pPr/>
          </w:p>
        </w:tc>
        <w:tc>
          <w:tcPr>
            <w:tcW w:w="991" w:type="dxa"/>
            <w:tcBorders>
              <w:bottom w:val="nil"/>
            </w:tcBorders>
          </w:tcPr>
          <w:p>
            <w:pPr>
              <w:pStyle w:val="TableParagraph"/>
              <w:spacing w:line="251" w:lineRule="exact"/>
              <w:ind w:left="100"/>
              <w:rPr>
                <w:sz w:val="22"/>
              </w:rPr>
            </w:pPr>
            <w:r>
              <w:rPr>
                <w:sz w:val="22"/>
              </w:rPr>
              <w:t>án</w:t>
            </w:r>
          </w:p>
        </w:tc>
        <w:tc>
          <w:tcPr>
            <w:tcW w:w="1277" w:type="dxa"/>
            <w:tcBorders>
              <w:bottom w:val="nil"/>
            </w:tcBorders>
          </w:tcPr>
          <w:p>
            <w:pPr>
              <w:pStyle w:val="TableParagraph"/>
              <w:spacing w:line="251" w:lineRule="exact"/>
              <w:ind w:right="92"/>
              <w:rPr>
                <w:sz w:val="22"/>
              </w:rPr>
            </w:pPr>
            <w:r>
              <w:rPr>
                <w:sz w:val="22"/>
              </w:rPr>
              <w:t>Federal,</w:t>
            </w:r>
          </w:p>
        </w:tc>
        <w:tc>
          <w:tcPr>
            <w:tcW w:w="1133" w:type="dxa"/>
            <w:tcBorders>
              <w:bottom w:val="nil"/>
            </w:tcBorders>
          </w:tcPr>
          <w:p>
            <w:pPr>
              <w:pStyle w:val="TableParagraph"/>
              <w:spacing w:line="251" w:lineRule="exact"/>
              <w:ind w:left="100" w:right="52"/>
              <w:rPr>
                <w:sz w:val="22"/>
              </w:rPr>
            </w:pPr>
            <w:r>
              <w:rPr>
                <w:sz w:val="22"/>
              </w:rPr>
              <w:t>s,</w:t>
            </w:r>
          </w:p>
        </w:tc>
        <w:tc>
          <w:tcPr>
            <w:tcW w:w="1702" w:type="dxa"/>
            <w:tcBorders>
              <w:bottom w:val="nil"/>
            </w:tcBorders>
          </w:tcPr>
          <w:p>
            <w:pPr>
              <w:pStyle w:val="TableParagraph"/>
              <w:spacing w:line="251" w:lineRule="exact"/>
              <w:rPr>
                <w:sz w:val="22"/>
              </w:rPr>
            </w:pPr>
            <w:r>
              <w:rPr>
                <w:sz w:val="22"/>
              </w:rPr>
              <w:t>problemas</w:t>
            </w:r>
          </w:p>
        </w:tc>
        <w:tc>
          <w:tcPr>
            <w:tcW w:w="1985" w:type="dxa"/>
            <w:tcBorders>
              <w:bottom w:val="nil"/>
            </w:tcBorders>
          </w:tcPr>
          <w:p>
            <w:pPr>
              <w:pStyle w:val="TableParagraph"/>
              <w:tabs>
                <w:tab w:pos="1593" w:val="left" w:leader="none"/>
              </w:tabs>
              <w:spacing w:line="251" w:lineRule="exact"/>
              <w:rPr>
                <w:sz w:val="22"/>
              </w:rPr>
            </w:pPr>
            <w:r>
              <w:rPr>
                <w:sz w:val="22"/>
              </w:rPr>
              <w:t>solucionar</w:t>
              <w:tab/>
              <w:t>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López</w:t>
            </w:r>
          </w:p>
        </w:tc>
        <w:tc>
          <w:tcPr>
            <w:tcW w:w="1418" w:type="dxa"/>
            <w:tcBorders>
              <w:top w:val="nil"/>
              <w:bottom w:val="nil"/>
            </w:tcBorders>
          </w:tcPr>
          <w:p>
            <w:pPr>
              <w:pStyle w:val="TableParagraph"/>
              <w:spacing w:line="241" w:lineRule="exact"/>
              <w:ind w:left="100" w:right="101"/>
              <w:rPr>
                <w:sz w:val="22"/>
              </w:rPr>
            </w:pPr>
            <w:r>
              <w:rPr>
                <w:sz w:val="22"/>
              </w:rPr>
              <w:t>campo</w:t>
            </w:r>
          </w:p>
        </w:tc>
        <w:tc>
          <w:tcPr>
            <w:tcW w:w="1700" w:type="dxa"/>
            <w:tcBorders>
              <w:top w:val="nil"/>
              <w:bottom w:val="nil"/>
            </w:tcBorders>
          </w:tcPr>
          <w:p>
            <w:pPr/>
          </w:p>
        </w:tc>
        <w:tc>
          <w:tcPr>
            <w:tcW w:w="1277" w:type="dxa"/>
            <w:vMerge/>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pero</w:t>
            </w:r>
          </w:p>
        </w:tc>
        <w:tc>
          <w:tcPr>
            <w:tcW w:w="1133" w:type="dxa"/>
            <w:tcBorders>
              <w:top w:val="nil"/>
              <w:bottom w:val="nil"/>
            </w:tcBorders>
          </w:tcPr>
          <w:p>
            <w:pPr>
              <w:pStyle w:val="TableParagraph"/>
              <w:spacing w:line="241" w:lineRule="exact"/>
              <w:ind w:left="100" w:right="52"/>
              <w:rPr>
                <w:sz w:val="22"/>
              </w:rPr>
            </w:pPr>
            <w:r>
              <w:rPr>
                <w:sz w:val="22"/>
              </w:rPr>
              <w:t>Polotitlán</w:t>
            </w:r>
          </w:p>
        </w:tc>
        <w:tc>
          <w:tcPr>
            <w:tcW w:w="1702" w:type="dxa"/>
            <w:tcBorders>
              <w:top w:val="nil"/>
              <w:bottom w:val="nil"/>
            </w:tcBorders>
          </w:tcPr>
          <w:p>
            <w:pPr>
              <w:pStyle w:val="TableParagraph"/>
              <w:spacing w:line="241" w:lineRule="exact"/>
              <w:rPr>
                <w:sz w:val="22"/>
              </w:rPr>
            </w:pPr>
            <w:r>
              <w:rPr>
                <w:sz w:val="22"/>
              </w:rPr>
              <w:t>podrían</w:t>
            </w:r>
          </w:p>
        </w:tc>
        <w:tc>
          <w:tcPr>
            <w:tcW w:w="1985" w:type="dxa"/>
            <w:tcBorders>
              <w:top w:val="nil"/>
              <w:bottom w:val="nil"/>
            </w:tcBorders>
          </w:tcPr>
          <w:p>
            <w:pPr>
              <w:pStyle w:val="TableParagraph"/>
              <w:tabs>
                <w:tab w:pos="1518" w:val="left" w:leader="none"/>
              </w:tabs>
              <w:spacing w:line="241" w:lineRule="exact"/>
              <w:rPr>
                <w:sz w:val="22"/>
              </w:rPr>
            </w:pPr>
            <w:r>
              <w:rPr>
                <w:sz w:val="22"/>
              </w:rPr>
              <w:t>problemas</w:t>
              <w:tab/>
              <w:t>son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(4/9/2014)</w:t>
            </w:r>
          </w:p>
        </w:tc>
        <w:tc>
          <w:tcPr>
            <w:tcW w:w="1418" w:type="dxa"/>
            <w:tcBorders>
              <w:top w:val="nil"/>
              <w:bottom w:val="nil"/>
            </w:tcBorders>
          </w:tcPr>
          <w:p>
            <w:pPr/>
          </w:p>
        </w:tc>
        <w:tc>
          <w:tcPr>
            <w:tcW w:w="1700" w:type="dxa"/>
            <w:tcBorders>
              <w:top w:val="nil"/>
              <w:bottom w:val="nil"/>
            </w:tcBorders>
          </w:tcPr>
          <w:p>
            <w:pPr/>
          </w:p>
        </w:tc>
        <w:tc>
          <w:tcPr>
            <w:tcW w:w="1277" w:type="dxa"/>
            <w:vMerge/>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llegue a</w:t>
            </w: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solucionarse si</w:t>
            </w:r>
          </w:p>
        </w:tc>
        <w:tc>
          <w:tcPr>
            <w:tcW w:w="1985" w:type="dxa"/>
            <w:tcBorders>
              <w:top w:val="nil"/>
              <w:bottom w:val="nil"/>
            </w:tcBorders>
          </w:tcPr>
          <w:p>
            <w:pPr>
              <w:pStyle w:val="TableParagraph"/>
              <w:spacing w:line="242" w:lineRule="exact"/>
              <w:rPr>
                <w:sz w:val="22"/>
              </w:rPr>
            </w:pPr>
            <w:r>
              <w:rPr>
                <w:sz w:val="22"/>
              </w:rPr>
              <w:t>por  una  parte  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vMerge/>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Encinillas</w:t>
            </w:r>
          </w:p>
        </w:tc>
        <w:tc>
          <w:tcPr>
            <w:tcW w:w="1133" w:type="dxa"/>
            <w:tcBorders>
              <w:top w:val="nil"/>
              <w:bottom w:val="nil"/>
            </w:tcBorders>
          </w:tcPr>
          <w:p>
            <w:pPr/>
          </w:p>
        </w:tc>
        <w:tc>
          <w:tcPr>
            <w:tcW w:w="1702" w:type="dxa"/>
            <w:tcBorders>
              <w:top w:val="nil"/>
              <w:bottom w:val="nil"/>
            </w:tcBorders>
          </w:tcPr>
          <w:p>
            <w:pPr>
              <w:pStyle w:val="TableParagraph"/>
              <w:tabs>
                <w:tab w:pos="940" w:val="left" w:leader="none"/>
              </w:tabs>
              <w:spacing w:line="241" w:lineRule="exact"/>
              <w:rPr>
                <w:sz w:val="22"/>
              </w:rPr>
            </w:pPr>
            <w:r>
              <w:rPr>
                <w:sz w:val="22"/>
              </w:rPr>
              <w:t>se</w:t>
              <w:tab/>
              <w:t>hiciera</w:t>
            </w:r>
          </w:p>
        </w:tc>
        <w:tc>
          <w:tcPr>
            <w:tcW w:w="1985" w:type="dxa"/>
            <w:tcBorders>
              <w:top w:val="nil"/>
              <w:bottom w:val="nil"/>
            </w:tcBorders>
          </w:tcPr>
          <w:p>
            <w:pPr>
              <w:pStyle w:val="TableParagraph"/>
              <w:tabs>
                <w:tab w:pos="1204" w:val="left" w:leader="none"/>
                <w:tab w:pos="1556" w:val="left" w:leader="none"/>
              </w:tabs>
              <w:spacing w:line="241" w:lineRule="exact"/>
              <w:rPr>
                <w:sz w:val="22"/>
              </w:rPr>
            </w:pPr>
            <w:r>
              <w:rPr>
                <w:sz w:val="22"/>
              </w:rPr>
              <w:t>gobierno</w:t>
              <w:tab/>
              <w:t>y</w:t>
              <w:tab/>
              <w:t>por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vMerge/>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desde que</w:t>
            </w:r>
          </w:p>
        </w:tc>
        <w:tc>
          <w:tcPr>
            <w:tcW w:w="1133" w:type="dxa"/>
            <w:tcBorders>
              <w:top w:val="nil"/>
              <w:bottom w:val="nil"/>
            </w:tcBorders>
          </w:tcPr>
          <w:p>
            <w:pPr/>
          </w:p>
        </w:tc>
        <w:tc>
          <w:tcPr>
            <w:tcW w:w="1702" w:type="dxa"/>
            <w:tcBorders>
              <w:top w:val="nil"/>
              <w:bottom w:val="nil"/>
            </w:tcBorders>
          </w:tcPr>
          <w:p>
            <w:pPr>
              <w:pStyle w:val="TableParagraph"/>
              <w:tabs>
                <w:tab w:pos="1477" w:val="left" w:leader="none"/>
              </w:tabs>
              <w:spacing w:line="242" w:lineRule="exact"/>
              <w:rPr>
                <w:sz w:val="22"/>
              </w:rPr>
            </w:pPr>
            <w:r>
              <w:rPr>
                <w:sz w:val="22"/>
              </w:rPr>
              <w:t>limpieza</w:t>
              <w:tab/>
              <w:t>y</w:t>
            </w:r>
          </w:p>
        </w:tc>
        <w:tc>
          <w:tcPr>
            <w:tcW w:w="1985" w:type="dxa"/>
            <w:tcBorders>
              <w:top w:val="nil"/>
              <w:bottom w:val="nil"/>
            </w:tcBorders>
          </w:tcPr>
          <w:p>
            <w:pPr>
              <w:pStyle w:val="TableParagraph"/>
              <w:spacing w:line="242" w:lineRule="exact"/>
              <w:rPr>
                <w:sz w:val="22"/>
              </w:rPr>
            </w:pPr>
            <w:r>
              <w:rPr>
                <w:sz w:val="22"/>
              </w:rPr>
              <w:t>otra la población.</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vMerge/>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era niño.</w:t>
            </w: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darles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vMerge/>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mantenimiento</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700" w:type="dxa"/>
            <w:tcBorders>
              <w:top w:val="nil"/>
            </w:tcBorders>
          </w:tcPr>
          <w:p>
            <w:pPr/>
          </w:p>
        </w:tc>
        <w:tc>
          <w:tcPr>
            <w:tcW w:w="1277" w:type="dxa"/>
            <w:vMerge/>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a los canales.</w:t>
            </w:r>
          </w:p>
        </w:tc>
        <w:tc>
          <w:tcPr>
            <w:tcW w:w="1985" w:type="dxa"/>
            <w:tcBorders>
              <w:top w:val="nil"/>
            </w:tcBorders>
          </w:tcPr>
          <w:p>
            <w:pPr/>
          </w:p>
        </w:tc>
      </w:tr>
      <w:tr>
        <w:trPr>
          <w:trHeight w:val="268" w:hRule="exact"/>
        </w:trPr>
        <w:tc>
          <w:tcPr>
            <w:tcW w:w="1385" w:type="dxa"/>
            <w:tcBorders>
              <w:bottom w:val="nil"/>
            </w:tcBorders>
          </w:tcPr>
          <w:p>
            <w:pPr>
              <w:pStyle w:val="TableParagraph"/>
              <w:spacing w:line="251" w:lineRule="exact"/>
              <w:ind w:right="127"/>
              <w:rPr>
                <w:sz w:val="22"/>
              </w:rPr>
            </w:pPr>
            <w:r>
              <w:rPr>
                <w:sz w:val="22"/>
              </w:rPr>
              <w:t>Felipe</w:t>
            </w:r>
          </w:p>
        </w:tc>
        <w:tc>
          <w:tcPr>
            <w:tcW w:w="1418" w:type="dxa"/>
            <w:tcBorders>
              <w:bottom w:val="nil"/>
            </w:tcBorders>
          </w:tcPr>
          <w:p>
            <w:pPr>
              <w:pStyle w:val="TableParagraph"/>
              <w:spacing w:line="251" w:lineRule="exact"/>
              <w:ind w:left="156" w:right="101"/>
              <w:rPr>
                <w:sz w:val="22"/>
              </w:rPr>
            </w:pPr>
            <w:r>
              <w:rPr>
                <w:sz w:val="22"/>
              </w:rPr>
              <w:t>El campo y</w:t>
            </w:r>
          </w:p>
        </w:tc>
        <w:tc>
          <w:tcPr>
            <w:tcW w:w="1700" w:type="dxa"/>
            <w:tcBorders>
              <w:bottom w:val="nil"/>
            </w:tcBorders>
          </w:tcPr>
          <w:p>
            <w:pPr>
              <w:pStyle w:val="TableParagraph"/>
              <w:spacing w:line="251" w:lineRule="exact"/>
              <w:ind w:left="100" w:right="20"/>
              <w:rPr>
                <w:sz w:val="22"/>
              </w:rPr>
            </w:pPr>
            <w:r>
              <w:rPr>
                <w:sz w:val="22"/>
              </w:rPr>
              <w:t>Delegado</w:t>
            </w:r>
          </w:p>
        </w:tc>
        <w:tc>
          <w:tcPr>
            <w:tcW w:w="1277" w:type="dxa"/>
            <w:tcBorders>
              <w:bottom w:val="nil"/>
            </w:tcBorders>
          </w:tcPr>
          <w:p>
            <w:pPr>
              <w:pStyle w:val="TableParagraph"/>
              <w:spacing w:line="251" w:lineRule="exact"/>
              <w:rPr>
                <w:sz w:val="22"/>
              </w:rPr>
            </w:pPr>
            <w:r>
              <w:rPr>
                <w:sz w:val="22"/>
              </w:rPr>
              <w:t>La</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1702" w:type="dxa"/>
            <w:tcBorders>
              <w:bottom w:val="nil"/>
            </w:tcBorders>
          </w:tcPr>
          <w:p>
            <w:pPr>
              <w:pStyle w:val="TableParagraph"/>
              <w:tabs>
                <w:tab w:pos="854" w:val="left" w:leader="none"/>
              </w:tabs>
              <w:spacing w:line="251" w:lineRule="exact"/>
              <w:rPr>
                <w:sz w:val="22"/>
              </w:rPr>
            </w:pPr>
            <w:r>
              <w:rPr>
                <w:sz w:val="22"/>
              </w:rPr>
              <w:t>El</w:t>
              <w:tab/>
              <w:t>drenaje</w:t>
            </w:r>
          </w:p>
        </w:tc>
        <w:tc>
          <w:tcPr>
            <w:tcW w:w="1985" w:type="dxa"/>
            <w:tcBorders>
              <w:bottom w:val="nil"/>
            </w:tcBorders>
          </w:tcPr>
          <w:p>
            <w:pPr>
              <w:pStyle w:val="TableParagraph"/>
              <w:tabs>
                <w:tab w:pos="724" w:val="left" w:leader="none"/>
              </w:tabs>
              <w:spacing w:line="251" w:lineRule="exact"/>
              <w:rPr>
                <w:sz w:val="22"/>
              </w:rPr>
            </w:pPr>
            <w:r>
              <w:rPr>
                <w:sz w:val="22"/>
              </w:rPr>
              <w:t>Las</w:t>
              <w:tab/>
              <w:t>autoridades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Tapia</w:t>
            </w:r>
          </w:p>
        </w:tc>
        <w:tc>
          <w:tcPr>
            <w:tcW w:w="1418" w:type="dxa"/>
            <w:tcBorders>
              <w:top w:val="nil"/>
              <w:bottom w:val="nil"/>
            </w:tcBorders>
          </w:tcPr>
          <w:p>
            <w:pPr>
              <w:pStyle w:val="TableParagraph"/>
              <w:spacing w:line="242" w:lineRule="exact"/>
              <w:ind w:left="384" w:right="101"/>
              <w:rPr>
                <w:sz w:val="22"/>
              </w:rPr>
            </w:pPr>
            <w:r>
              <w:rPr>
                <w:sz w:val="22"/>
              </w:rPr>
              <w:t>albañil</w:t>
            </w:r>
          </w:p>
        </w:tc>
        <w:tc>
          <w:tcPr>
            <w:tcW w:w="1700" w:type="dxa"/>
            <w:tcBorders>
              <w:top w:val="nil"/>
              <w:bottom w:val="nil"/>
            </w:tcBorders>
          </w:tcPr>
          <w:p>
            <w:pPr>
              <w:pStyle w:val="TableParagraph"/>
              <w:spacing w:line="242" w:lineRule="exact"/>
              <w:ind w:left="100" w:right="20"/>
              <w:rPr>
                <w:sz w:val="22"/>
              </w:rPr>
            </w:pPr>
            <w:r>
              <w:rPr>
                <w:sz w:val="22"/>
              </w:rPr>
              <w:t>Municipal</w:t>
            </w:r>
          </w:p>
        </w:tc>
        <w:tc>
          <w:tcPr>
            <w:tcW w:w="1277" w:type="dxa"/>
            <w:tcBorders>
              <w:top w:val="nil"/>
              <w:bottom w:val="nil"/>
            </w:tcBorders>
          </w:tcPr>
          <w:p>
            <w:pPr>
              <w:pStyle w:val="TableParagraph"/>
              <w:spacing w:line="242" w:lineRule="exact"/>
              <w:rPr>
                <w:sz w:val="22"/>
              </w:rPr>
            </w:pPr>
            <w:r>
              <w:rPr>
                <w:sz w:val="22"/>
              </w:rPr>
              <w:t>Campesin</w:t>
            </w:r>
          </w:p>
        </w:tc>
        <w:tc>
          <w:tcPr>
            <w:tcW w:w="991" w:type="dxa"/>
            <w:tcBorders>
              <w:top w:val="nil"/>
              <w:bottom w:val="nil"/>
            </w:tcBorders>
          </w:tcPr>
          <w:p>
            <w:pPr>
              <w:pStyle w:val="TableParagraph"/>
              <w:spacing w:line="242" w:lineRule="exact"/>
              <w:ind w:left="100"/>
              <w:rPr>
                <w:sz w:val="22"/>
              </w:rPr>
            </w:pPr>
            <w:r>
              <w:rPr>
                <w:w w:val="100"/>
                <w:sz w:val="22"/>
              </w:rPr>
              <w:t>n</w:t>
            </w:r>
          </w:p>
        </w:tc>
        <w:tc>
          <w:tcPr>
            <w:tcW w:w="1277" w:type="dxa"/>
            <w:tcBorders>
              <w:top w:val="nil"/>
              <w:bottom w:val="nil"/>
            </w:tcBorders>
          </w:tcPr>
          <w:p>
            <w:pPr>
              <w:pStyle w:val="TableParagraph"/>
              <w:spacing w:line="242" w:lineRule="exact"/>
              <w:ind w:right="92"/>
              <w:rPr>
                <w:sz w:val="22"/>
              </w:rPr>
            </w:pPr>
            <w:r>
              <w:rPr>
                <w:sz w:val="22"/>
              </w:rPr>
              <w:t>Campesin</w:t>
            </w:r>
          </w:p>
        </w:tc>
        <w:tc>
          <w:tcPr>
            <w:tcW w:w="1133" w:type="dxa"/>
            <w:tcBorders>
              <w:top w:val="nil"/>
              <w:bottom w:val="nil"/>
            </w:tcBorders>
          </w:tcPr>
          <w:p>
            <w:pPr>
              <w:pStyle w:val="TableParagraph"/>
              <w:spacing w:line="242" w:lineRule="exact"/>
              <w:ind w:left="100" w:right="52"/>
              <w:rPr>
                <w:sz w:val="22"/>
              </w:rPr>
            </w:pPr>
            <w:r>
              <w:rPr>
                <w:sz w:val="22"/>
              </w:rPr>
              <w:t>Campesi</w:t>
            </w:r>
          </w:p>
        </w:tc>
        <w:tc>
          <w:tcPr>
            <w:tcW w:w="1702" w:type="dxa"/>
            <w:tcBorders>
              <w:top w:val="nil"/>
              <w:bottom w:val="nil"/>
            </w:tcBorders>
          </w:tcPr>
          <w:p>
            <w:pPr>
              <w:pStyle w:val="TableParagraph"/>
              <w:spacing w:line="242" w:lineRule="exact"/>
              <w:rPr>
                <w:sz w:val="22"/>
              </w:rPr>
            </w:pPr>
            <w:r>
              <w:rPr>
                <w:sz w:val="22"/>
              </w:rPr>
              <w:t>debiera</w:t>
            </w:r>
          </w:p>
        </w:tc>
        <w:tc>
          <w:tcPr>
            <w:tcW w:w="1985" w:type="dxa"/>
            <w:tcBorders>
              <w:top w:val="nil"/>
              <w:bottom w:val="nil"/>
            </w:tcBorders>
          </w:tcPr>
          <w:p>
            <w:pPr>
              <w:pStyle w:val="TableParagraph"/>
              <w:spacing w:line="242" w:lineRule="exact"/>
              <w:rPr>
                <w:sz w:val="22"/>
              </w:rPr>
            </w:pPr>
            <w:r>
              <w:rPr>
                <w:sz w:val="22"/>
              </w:rPr>
              <w:t>del municipio y  la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Chimal</w:t>
            </w: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Style w:val="TableParagraph"/>
              <w:spacing w:line="241" w:lineRule="exact"/>
              <w:rPr>
                <w:sz w:val="22"/>
              </w:rPr>
            </w:pPr>
            <w:r>
              <w:rPr>
                <w:w w:val="100"/>
                <w:sz w:val="22"/>
              </w:rPr>
              <w:t>a</w:t>
            </w: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w:t>
            </w:r>
          </w:p>
        </w:tc>
        <w:tc>
          <w:tcPr>
            <w:tcW w:w="1133" w:type="dxa"/>
            <w:tcBorders>
              <w:top w:val="nil"/>
              <w:bottom w:val="nil"/>
            </w:tcBorders>
          </w:tcPr>
          <w:p>
            <w:pPr>
              <w:pStyle w:val="TableParagraph"/>
              <w:spacing w:line="241" w:lineRule="exact"/>
              <w:ind w:left="100" w:right="52"/>
              <w:rPr>
                <w:sz w:val="22"/>
              </w:rPr>
            </w:pPr>
            <w:r>
              <w:rPr>
                <w:sz w:val="22"/>
              </w:rPr>
              <w:t>na,</w:t>
            </w:r>
          </w:p>
        </w:tc>
        <w:tc>
          <w:tcPr>
            <w:tcW w:w="1702" w:type="dxa"/>
            <w:tcBorders>
              <w:top w:val="nil"/>
              <w:bottom w:val="nil"/>
            </w:tcBorders>
          </w:tcPr>
          <w:p>
            <w:pPr>
              <w:pStyle w:val="TableParagraph"/>
              <w:spacing w:line="241" w:lineRule="exact"/>
              <w:rPr>
                <w:sz w:val="22"/>
              </w:rPr>
            </w:pPr>
            <w:r>
              <w:rPr>
                <w:sz w:val="22"/>
              </w:rPr>
              <w:t>solucionarlo  el</w:t>
            </w:r>
          </w:p>
        </w:tc>
        <w:tc>
          <w:tcPr>
            <w:tcW w:w="1985" w:type="dxa"/>
            <w:tcBorders>
              <w:top w:val="nil"/>
              <w:bottom w:val="nil"/>
            </w:tcBorders>
          </w:tcPr>
          <w:p>
            <w:pPr>
              <w:pStyle w:val="TableParagraph"/>
              <w:spacing w:line="241" w:lineRule="exact"/>
              <w:rPr>
                <w:sz w:val="22"/>
              </w:rPr>
            </w:pPr>
            <w:r>
              <w:rPr>
                <w:sz w:val="22"/>
              </w:rPr>
              <w:t>federal.</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(4/9/2014)</w:t>
            </w: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Timilpan</w:t>
            </w: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Style w:val="TableParagraph"/>
              <w:spacing w:line="242" w:lineRule="exact"/>
              <w:rPr>
                <w:sz w:val="22"/>
              </w:rPr>
            </w:pPr>
            <w:r>
              <w:rPr>
                <w:sz w:val="22"/>
              </w:rPr>
              <w:t>presidente</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700" w:type="dxa"/>
            <w:tcBorders>
              <w:top w:val="nil"/>
            </w:tcBorders>
          </w:tcPr>
          <w:p>
            <w:pPr/>
          </w:p>
        </w:tc>
        <w:tc>
          <w:tcPr>
            <w:tcW w:w="1277"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municipal.</w:t>
            </w: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Audencio</w:t>
            </w:r>
          </w:p>
        </w:tc>
        <w:tc>
          <w:tcPr>
            <w:tcW w:w="1418" w:type="dxa"/>
            <w:tcBorders>
              <w:bottom w:val="nil"/>
            </w:tcBorders>
          </w:tcPr>
          <w:p>
            <w:pPr>
              <w:pStyle w:val="TableParagraph"/>
              <w:ind w:left="156" w:right="101"/>
              <w:rPr>
                <w:sz w:val="22"/>
              </w:rPr>
            </w:pPr>
            <w:r>
              <w:rPr>
                <w:sz w:val="22"/>
              </w:rPr>
              <w:t>El campo y</w:t>
            </w:r>
          </w:p>
        </w:tc>
        <w:tc>
          <w:tcPr>
            <w:tcW w:w="1700" w:type="dxa"/>
            <w:tcBorders>
              <w:bottom w:val="nil"/>
            </w:tcBorders>
          </w:tcPr>
          <w:p>
            <w:pPr>
              <w:pStyle w:val="TableParagraph"/>
              <w:ind w:left="100" w:right="20"/>
              <w:rPr>
                <w:sz w:val="22"/>
              </w:rPr>
            </w:pPr>
            <w:r>
              <w:rPr>
                <w:sz w:val="22"/>
              </w:rPr>
              <w:t>Delegado</w:t>
            </w:r>
          </w:p>
        </w:tc>
        <w:tc>
          <w:tcPr>
            <w:tcW w:w="1277" w:type="dxa"/>
            <w:tcBorders>
              <w:bottom w:val="nil"/>
            </w:tcBorders>
          </w:tcPr>
          <w:p>
            <w:pPr>
              <w:pStyle w:val="TableParagraph"/>
              <w:rPr>
                <w:sz w:val="22"/>
              </w:rPr>
            </w:pPr>
            <w:r>
              <w:rPr>
                <w:sz w:val="22"/>
              </w:rPr>
              <w:t>Las</w:t>
            </w:r>
          </w:p>
        </w:tc>
        <w:tc>
          <w:tcPr>
            <w:tcW w:w="991" w:type="dxa"/>
            <w:tcBorders>
              <w:bottom w:val="nil"/>
            </w:tcBorders>
          </w:tcPr>
          <w:p>
            <w:pPr>
              <w:pStyle w:val="TableParagraph"/>
              <w:ind w:left="100"/>
              <w:rPr>
                <w:sz w:val="22"/>
              </w:rPr>
            </w:pPr>
            <w:r>
              <w:rPr>
                <w:sz w:val="22"/>
              </w:rPr>
              <w:t>Acamb</w:t>
            </w:r>
          </w:p>
        </w:tc>
        <w:tc>
          <w:tcPr>
            <w:tcW w:w="1277" w:type="dxa"/>
            <w:tcBorders>
              <w:bottom w:val="nil"/>
            </w:tcBorders>
          </w:tcPr>
          <w:p>
            <w:pPr>
              <w:pStyle w:val="TableParagraph"/>
              <w:ind w:right="92"/>
              <w:rPr>
                <w:sz w:val="22"/>
              </w:rPr>
            </w:pPr>
            <w:r>
              <w:rPr>
                <w:sz w:val="22"/>
              </w:rPr>
              <w:t>Las</w:t>
            </w:r>
          </w:p>
        </w:tc>
        <w:tc>
          <w:tcPr>
            <w:tcW w:w="1133" w:type="dxa"/>
            <w:tcBorders>
              <w:bottom w:val="nil"/>
            </w:tcBorders>
          </w:tcPr>
          <w:p>
            <w:pPr>
              <w:pStyle w:val="TableParagraph"/>
              <w:ind w:left="100" w:right="52"/>
              <w:rPr>
                <w:sz w:val="22"/>
              </w:rPr>
            </w:pPr>
            <w:r>
              <w:rPr>
                <w:sz w:val="22"/>
              </w:rPr>
              <w:t>Las</w:t>
            </w:r>
          </w:p>
        </w:tc>
        <w:tc>
          <w:tcPr>
            <w:tcW w:w="1702" w:type="dxa"/>
            <w:tcBorders>
              <w:bottom w:val="nil"/>
            </w:tcBorders>
          </w:tcPr>
          <w:p>
            <w:pPr>
              <w:pStyle w:val="TableParagraph"/>
              <w:rPr>
                <w:sz w:val="22"/>
              </w:rPr>
            </w:pPr>
            <w:r>
              <w:rPr>
                <w:sz w:val="22"/>
              </w:rPr>
              <w:t>Habiendo</w:t>
            </w:r>
          </w:p>
        </w:tc>
        <w:tc>
          <w:tcPr>
            <w:tcW w:w="1985" w:type="dxa"/>
            <w:tcBorders>
              <w:bottom w:val="nil"/>
            </w:tcBorders>
          </w:tcPr>
          <w:p>
            <w:pPr>
              <w:pStyle w:val="TableParagraph"/>
              <w:tabs>
                <w:tab w:pos="1116" w:val="left" w:leader="none"/>
              </w:tabs>
              <w:rPr>
                <w:sz w:val="22"/>
              </w:rPr>
            </w:pPr>
            <w:r>
              <w:rPr>
                <w:sz w:val="22"/>
              </w:rPr>
              <w:t>Los</w:t>
              <w:tab/>
              <w:t>mismos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384" w:right="101"/>
              <w:rPr>
                <w:sz w:val="22"/>
              </w:rPr>
            </w:pPr>
            <w:r>
              <w:rPr>
                <w:sz w:val="22"/>
              </w:rPr>
              <w:t>albañil</w:t>
            </w:r>
          </w:p>
        </w:tc>
        <w:tc>
          <w:tcPr>
            <w:tcW w:w="1700" w:type="dxa"/>
            <w:tcBorders>
              <w:top w:val="nil"/>
              <w:bottom w:val="nil"/>
            </w:tcBorders>
          </w:tcPr>
          <w:p>
            <w:pPr>
              <w:pStyle w:val="TableParagraph"/>
              <w:spacing w:line="241" w:lineRule="exact"/>
              <w:ind w:left="100" w:right="20"/>
              <w:rPr>
                <w:sz w:val="22"/>
              </w:rPr>
            </w:pPr>
            <w:r>
              <w:rPr>
                <w:sz w:val="22"/>
              </w:rPr>
              <w:t>Municipal</w:t>
            </w:r>
          </w:p>
        </w:tc>
        <w:tc>
          <w:tcPr>
            <w:tcW w:w="1277" w:type="dxa"/>
            <w:tcBorders>
              <w:top w:val="nil"/>
              <w:bottom w:val="nil"/>
            </w:tcBorders>
          </w:tcPr>
          <w:p>
            <w:pPr>
              <w:pStyle w:val="TableParagraph"/>
              <w:spacing w:line="241" w:lineRule="exact"/>
              <w:rPr>
                <w:sz w:val="22"/>
              </w:rPr>
            </w:pPr>
            <w:r>
              <w:rPr>
                <w:sz w:val="22"/>
              </w:rPr>
              <w:t>Arenas</w:t>
            </w: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Arenas,</w:t>
            </w:r>
          </w:p>
        </w:tc>
        <w:tc>
          <w:tcPr>
            <w:tcW w:w="1133" w:type="dxa"/>
            <w:tcBorders>
              <w:top w:val="nil"/>
              <w:bottom w:val="nil"/>
            </w:tcBorders>
          </w:tcPr>
          <w:p>
            <w:pPr>
              <w:pStyle w:val="TableParagraph"/>
              <w:spacing w:line="241" w:lineRule="exact"/>
              <w:ind w:left="100" w:right="52"/>
              <w:rPr>
                <w:sz w:val="22"/>
              </w:rPr>
            </w:pPr>
            <w:r>
              <w:rPr>
                <w:sz w:val="22"/>
              </w:rPr>
              <w:t>Arenas,</w:t>
            </w:r>
          </w:p>
        </w:tc>
        <w:tc>
          <w:tcPr>
            <w:tcW w:w="1702" w:type="dxa"/>
            <w:tcBorders>
              <w:top w:val="nil"/>
              <w:bottom w:val="nil"/>
            </w:tcBorders>
          </w:tcPr>
          <w:p>
            <w:pPr>
              <w:pStyle w:val="TableParagraph"/>
              <w:tabs>
                <w:tab w:pos="1223" w:val="left" w:leader="none"/>
              </w:tabs>
              <w:spacing w:line="241" w:lineRule="exact"/>
              <w:rPr>
                <w:sz w:val="22"/>
              </w:rPr>
            </w:pPr>
            <w:r>
              <w:rPr>
                <w:sz w:val="22"/>
              </w:rPr>
              <w:t>como</w:t>
              <w:tab/>
              <w:t>una</w:t>
            </w:r>
          </w:p>
        </w:tc>
        <w:tc>
          <w:tcPr>
            <w:tcW w:w="1985" w:type="dxa"/>
            <w:tcBorders>
              <w:top w:val="nil"/>
              <w:bottom w:val="nil"/>
            </w:tcBorders>
          </w:tcPr>
          <w:p>
            <w:pPr>
              <w:pStyle w:val="TableParagraph"/>
              <w:spacing w:line="241" w:lineRule="exact"/>
              <w:rPr>
                <w:sz w:val="22"/>
              </w:rPr>
            </w:pPr>
            <w:r>
              <w:rPr>
                <w:sz w:val="22"/>
              </w:rPr>
              <w:t>ciudadanos.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Valentín</w:t>
            </w: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Acambay</w:t>
            </w:r>
          </w:p>
        </w:tc>
        <w:tc>
          <w:tcPr>
            <w:tcW w:w="1702" w:type="dxa"/>
            <w:tcBorders>
              <w:top w:val="nil"/>
              <w:bottom w:val="nil"/>
            </w:tcBorders>
          </w:tcPr>
          <w:p>
            <w:pPr>
              <w:pStyle w:val="TableParagraph"/>
              <w:spacing w:line="241" w:lineRule="exact"/>
              <w:rPr>
                <w:sz w:val="22"/>
              </w:rPr>
            </w:pPr>
            <w:r>
              <w:rPr>
                <w:sz w:val="22"/>
              </w:rPr>
              <w:t>cooperativa</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rPr>
                <w:sz w:val="22"/>
              </w:rPr>
            </w:pPr>
            <w:r>
              <w:rPr>
                <w:sz w:val="22"/>
              </w:rPr>
              <w:t>(24/1/2015)</w:t>
            </w: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que  vigile más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de</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700" w:type="dxa"/>
            <w:tcBorders>
              <w:top w:val="nil"/>
            </w:tcBorders>
          </w:tcPr>
          <w:p>
            <w:pPr/>
          </w:p>
        </w:tc>
        <w:tc>
          <w:tcPr>
            <w:tcW w:w="1277"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3" w:lineRule="exact"/>
              <w:rPr>
                <w:sz w:val="22"/>
              </w:rPr>
            </w:pPr>
            <w:r>
              <w:rPr>
                <w:sz w:val="22"/>
              </w:rPr>
              <w:t>ciudadanos.</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Ponciano</w:t>
            </w:r>
          </w:p>
        </w:tc>
        <w:tc>
          <w:tcPr>
            <w:tcW w:w="1418" w:type="dxa"/>
            <w:tcBorders>
              <w:bottom w:val="nil"/>
            </w:tcBorders>
          </w:tcPr>
          <w:p>
            <w:pPr>
              <w:pStyle w:val="TableParagraph"/>
              <w:spacing w:line="251" w:lineRule="exact"/>
              <w:ind w:left="242" w:right="101"/>
              <w:rPr>
                <w:sz w:val="22"/>
              </w:rPr>
            </w:pPr>
            <w:r>
              <w:rPr>
                <w:sz w:val="22"/>
              </w:rPr>
              <w:t>El campo</w:t>
            </w:r>
          </w:p>
        </w:tc>
        <w:tc>
          <w:tcPr>
            <w:tcW w:w="1700" w:type="dxa"/>
            <w:tcBorders>
              <w:bottom w:val="nil"/>
            </w:tcBorders>
          </w:tcPr>
          <w:p>
            <w:pPr>
              <w:pStyle w:val="TableParagraph"/>
              <w:spacing w:line="251" w:lineRule="exact"/>
              <w:ind w:left="100" w:right="20"/>
              <w:rPr>
                <w:sz w:val="22"/>
              </w:rPr>
            </w:pPr>
            <w:r>
              <w:rPr>
                <w:sz w:val="22"/>
              </w:rPr>
              <w:t>Delegado</w:t>
            </w:r>
          </w:p>
        </w:tc>
        <w:tc>
          <w:tcPr>
            <w:tcW w:w="1277" w:type="dxa"/>
            <w:tcBorders>
              <w:bottom w:val="nil"/>
            </w:tcBorders>
          </w:tcPr>
          <w:p>
            <w:pPr>
              <w:pStyle w:val="TableParagraph"/>
              <w:spacing w:line="251" w:lineRule="exact"/>
              <w:rPr>
                <w:sz w:val="22"/>
              </w:rPr>
            </w:pPr>
            <w:r>
              <w:rPr>
                <w:sz w:val="22"/>
              </w:rPr>
              <w:t>San</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San</w:t>
            </w:r>
          </w:p>
        </w:tc>
        <w:tc>
          <w:tcPr>
            <w:tcW w:w="1702" w:type="dxa"/>
            <w:tcBorders>
              <w:bottom w:val="nil"/>
            </w:tcBorders>
          </w:tcPr>
          <w:p>
            <w:pPr>
              <w:pStyle w:val="TableParagraph"/>
              <w:spacing w:line="251" w:lineRule="exact"/>
              <w:rPr>
                <w:sz w:val="22"/>
              </w:rPr>
            </w:pPr>
            <w:r>
              <w:rPr>
                <w:sz w:val="22"/>
              </w:rPr>
              <w:t>Yo  creo  ya no</w:t>
            </w:r>
          </w:p>
        </w:tc>
        <w:tc>
          <w:tcPr>
            <w:tcW w:w="1985" w:type="dxa"/>
            <w:tcBorders>
              <w:bottom w:val="nil"/>
            </w:tcBorders>
          </w:tcPr>
          <w:p>
            <w:pPr>
              <w:pStyle w:val="TableParagraph"/>
              <w:tabs>
                <w:tab w:pos="724" w:val="left" w:leader="none"/>
              </w:tabs>
              <w:spacing w:line="251" w:lineRule="exact"/>
              <w:rPr>
                <w:sz w:val="22"/>
              </w:rPr>
            </w:pPr>
            <w:r>
              <w:rPr>
                <w:sz w:val="22"/>
              </w:rPr>
              <w:t>Las</w:t>
              <w:tab/>
              <w:t>autoridades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Olmos</w:t>
            </w:r>
          </w:p>
        </w:tc>
        <w:tc>
          <w:tcPr>
            <w:tcW w:w="1418" w:type="dxa"/>
            <w:tcBorders>
              <w:top w:val="nil"/>
              <w:bottom w:val="nil"/>
            </w:tcBorders>
          </w:tcPr>
          <w:p>
            <w:pPr/>
          </w:p>
        </w:tc>
        <w:tc>
          <w:tcPr>
            <w:tcW w:w="1700" w:type="dxa"/>
            <w:tcBorders>
              <w:top w:val="nil"/>
              <w:bottom w:val="nil"/>
            </w:tcBorders>
          </w:tcPr>
          <w:p>
            <w:pPr>
              <w:pStyle w:val="TableParagraph"/>
              <w:spacing w:line="242" w:lineRule="exact"/>
              <w:ind w:left="100" w:right="20"/>
              <w:rPr>
                <w:sz w:val="22"/>
              </w:rPr>
            </w:pPr>
            <w:r>
              <w:rPr>
                <w:sz w:val="22"/>
              </w:rPr>
              <w:t>Municipal de la</w:t>
            </w:r>
          </w:p>
        </w:tc>
        <w:tc>
          <w:tcPr>
            <w:tcW w:w="1277" w:type="dxa"/>
            <w:tcBorders>
              <w:top w:val="nil"/>
              <w:bottom w:val="nil"/>
            </w:tcBorders>
          </w:tcPr>
          <w:p>
            <w:pPr>
              <w:pStyle w:val="TableParagraph"/>
              <w:spacing w:line="242" w:lineRule="exact"/>
              <w:rPr>
                <w:sz w:val="22"/>
              </w:rPr>
            </w:pPr>
            <w:r>
              <w:rPr>
                <w:sz w:val="22"/>
              </w:rPr>
              <w:t>Juanico</w:t>
            </w:r>
          </w:p>
        </w:tc>
        <w:tc>
          <w:tcPr>
            <w:tcW w:w="991" w:type="dxa"/>
            <w:tcBorders>
              <w:top w:val="nil"/>
              <w:bottom w:val="nil"/>
            </w:tcBorders>
          </w:tcPr>
          <w:p>
            <w:pPr>
              <w:pStyle w:val="TableParagraph"/>
              <w:spacing w:line="242" w:lineRule="exact"/>
              <w:ind w:left="100"/>
              <w:rPr>
                <w:sz w:val="22"/>
              </w:rPr>
            </w:pPr>
            <w:r>
              <w:rPr>
                <w:sz w:val="22"/>
              </w:rPr>
              <w:t>ay</w:t>
            </w:r>
          </w:p>
        </w:tc>
        <w:tc>
          <w:tcPr>
            <w:tcW w:w="1277" w:type="dxa"/>
            <w:tcBorders>
              <w:top w:val="nil"/>
              <w:bottom w:val="nil"/>
            </w:tcBorders>
          </w:tcPr>
          <w:p>
            <w:pPr>
              <w:pStyle w:val="TableParagraph"/>
              <w:spacing w:line="242" w:lineRule="exact"/>
              <w:ind w:right="92"/>
              <w:rPr>
                <w:sz w:val="22"/>
              </w:rPr>
            </w:pPr>
            <w:r>
              <w:rPr>
                <w:sz w:val="22"/>
              </w:rPr>
              <w:t>Juanico,</w:t>
            </w:r>
          </w:p>
        </w:tc>
        <w:tc>
          <w:tcPr>
            <w:tcW w:w="1133" w:type="dxa"/>
            <w:tcBorders>
              <w:top w:val="nil"/>
              <w:bottom w:val="nil"/>
            </w:tcBorders>
          </w:tcPr>
          <w:p>
            <w:pPr>
              <w:pStyle w:val="TableParagraph"/>
              <w:spacing w:line="242" w:lineRule="exact"/>
              <w:ind w:left="100" w:right="52"/>
              <w:rPr>
                <w:sz w:val="22"/>
              </w:rPr>
            </w:pPr>
            <w:r>
              <w:rPr>
                <w:sz w:val="22"/>
              </w:rPr>
              <w:t>Juanico,</w:t>
            </w:r>
          </w:p>
        </w:tc>
        <w:tc>
          <w:tcPr>
            <w:tcW w:w="1702" w:type="dxa"/>
            <w:tcBorders>
              <w:top w:val="nil"/>
              <w:bottom w:val="nil"/>
            </w:tcBorders>
          </w:tcPr>
          <w:p>
            <w:pPr>
              <w:pStyle w:val="TableParagraph"/>
              <w:tabs>
                <w:tab w:pos="659" w:val="left" w:leader="none"/>
              </w:tabs>
              <w:spacing w:line="242" w:lineRule="exact"/>
              <w:rPr>
                <w:sz w:val="22"/>
              </w:rPr>
            </w:pPr>
            <w:r>
              <w:rPr>
                <w:sz w:val="22"/>
              </w:rPr>
              <w:t>se</w:t>
              <w:tab/>
              <w:t>soluciona</w:t>
            </w:r>
          </w:p>
        </w:tc>
        <w:tc>
          <w:tcPr>
            <w:tcW w:w="1985" w:type="dxa"/>
            <w:tcBorders>
              <w:top w:val="nil"/>
              <w:bottom w:val="nil"/>
            </w:tcBorders>
          </w:tcPr>
          <w:p>
            <w:pPr>
              <w:pStyle w:val="TableParagraph"/>
              <w:spacing w:line="242" w:lineRule="exact"/>
              <w:rPr>
                <w:sz w:val="22"/>
              </w:rPr>
            </w:pPr>
            <w:r>
              <w:rPr>
                <w:sz w:val="22"/>
              </w:rPr>
              <w:t>competentes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Correa</w:t>
            </w:r>
          </w:p>
        </w:tc>
        <w:tc>
          <w:tcPr>
            <w:tcW w:w="1418" w:type="dxa"/>
            <w:tcBorders>
              <w:top w:val="nil"/>
              <w:bottom w:val="nil"/>
            </w:tcBorders>
          </w:tcPr>
          <w:p>
            <w:pPr/>
          </w:p>
        </w:tc>
        <w:tc>
          <w:tcPr>
            <w:tcW w:w="1700" w:type="dxa"/>
            <w:tcBorders>
              <w:top w:val="nil"/>
              <w:bottom w:val="nil"/>
            </w:tcBorders>
          </w:tcPr>
          <w:p>
            <w:pPr>
              <w:pStyle w:val="TableParagraph"/>
              <w:spacing w:line="241" w:lineRule="exact"/>
              <w:ind w:left="100" w:right="20"/>
              <w:rPr>
                <w:sz w:val="22"/>
              </w:rPr>
            </w:pPr>
            <w:r>
              <w:rPr>
                <w:sz w:val="22"/>
              </w:rPr>
              <w:t>Primera</w:t>
            </w: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Acambay</w:t>
            </w:r>
          </w:p>
        </w:tc>
        <w:tc>
          <w:tcPr>
            <w:tcW w:w="1702" w:type="dxa"/>
            <w:tcBorders>
              <w:top w:val="nil"/>
              <w:bottom w:val="nil"/>
            </w:tcBorders>
          </w:tcPr>
          <w:p>
            <w:pPr>
              <w:pStyle w:val="TableParagraph"/>
              <w:tabs>
                <w:tab w:pos="904" w:val="left" w:leader="none"/>
              </w:tabs>
              <w:spacing w:line="241" w:lineRule="exact"/>
              <w:rPr>
                <w:sz w:val="22"/>
              </w:rPr>
            </w:pPr>
            <w:r>
              <w:rPr>
                <w:sz w:val="22"/>
              </w:rPr>
              <w:t>nada</w:t>
              <w:tab/>
              <w:t>porque</w:t>
            </w:r>
          </w:p>
        </w:tc>
        <w:tc>
          <w:tcPr>
            <w:tcW w:w="1985" w:type="dxa"/>
            <w:tcBorders>
              <w:top w:val="nil"/>
              <w:bottom w:val="nil"/>
            </w:tcBorders>
          </w:tcPr>
          <w:p>
            <w:pPr>
              <w:pStyle w:val="TableParagraph"/>
              <w:spacing w:line="241" w:lineRule="exact"/>
              <w:rPr>
                <w:sz w:val="22"/>
              </w:rPr>
            </w:pPr>
            <w:r>
              <w:rPr>
                <w:sz w:val="22"/>
              </w:rPr>
              <w:t>como  Conagua y</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(7/II/2015)</w:t>
            </w:r>
          </w:p>
        </w:tc>
        <w:tc>
          <w:tcPr>
            <w:tcW w:w="1418" w:type="dxa"/>
            <w:tcBorders>
              <w:top w:val="nil"/>
              <w:bottom w:val="nil"/>
            </w:tcBorders>
          </w:tcPr>
          <w:p>
            <w:pPr/>
          </w:p>
        </w:tc>
        <w:tc>
          <w:tcPr>
            <w:tcW w:w="1700" w:type="dxa"/>
            <w:tcBorders>
              <w:top w:val="nil"/>
              <w:bottom w:val="nil"/>
            </w:tcBorders>
          </w:tcPr>
          <w:p>
            <w:pPr>
              <w:pStyle w:val="TableParagraph"/>
              <w:tabs>
                <w:tab w:pos="1338" w:val="left" w:leader="none"/>
              </w:tabs>
              <w:spacing w:line="241" w:lineRule="exact"/>
              <w:ind w:left="100" w:right="20"/>
              <w:rPr>
                <w:sz w:val="22"/>
              </w:rPr>
            </w:pPr>
            <w:r>
              <w:rPr>
                <w:sz w:val="22"/>
              </w:rPr>
              <w:t>Manzana</w:t>
              <w:tab/>
              <w:t>de</w:t>
            </w: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Conagua</w:t>
            </w:r>
          </w:p>
        </w:tc>
        <w:tc>
          <w:tcPr>
            <w:tcW w:w="1985" w:type="dxa"/>
            <w:tcBorders>
              <w:top w:val="nil"/>
              <w:bottom w:val="nil"/>
            </w:tcBorders>
          </w:tcPr>
          <w:p>
            <w:pPr>
              <w:pStyle w:val="TableParagraph"/>
              <w:tabs>
                <w:tab w:pos="1015" w:val="left" w:leader="none"/>
              </w:tabs>
              <w:spacing w:line="241" w:lineRule="exact"/>
              <w:rPr>
                <w:sz w:val="22"/>
              </w:rPr>
            </w:pPr>
            <w:r>
              <w:rPr>
                <w:sz w:val="22"/>
              </w:rPr>
              <w:t>el</w:t>
              <w:tab/>
              <w:t>gobierno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Style w:val="TableParagraph"/>
              <w:spacing w:line="242" w:lineRule="exact"/>
              <w:ind w:left="100" w:right="20"/>
              <w:rPr>
                <w:sz w:val="22"/>
              </w:rPr>
            </w:pPr>
            <w:r>
              <w:rPr>
                <w:sz w:val="22"/>
              </w:rPr>
              <w:t>San Juanico.</w:t>
            </w: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91" w:val="left" w:leader="none"/>
              </w:tabs>
              <w:spacing w:line="242" w:lineRule="exact"/>
              <w:rPr>
                <w:sz w:val="22"/>
              </w:rPr>
            </w:pPr>
            <w:r>
              <w:rPr>
                <w:sz w:val="22"/>
              </w:rPr>
              <w:t>expropio</w:t>
              <w:tab/>
              <w:t>El</w:t>
            </w:r>
          </w:p>
        </w:tc>
        <w:tc>
          <w:tcPr>
            <w:tcW w:w="1985" w:type="dxa"/>
            <w:tcBorders>
              <w:top w:val="nil"/>
              <w:bottom w:val="nil"/>
            </w:tcBorders>
          </w:tcPr>
          <w:p>
            <w:pPr>
              <w:pStyle w:val="TableParagraph"/>
              <w:tabs>
                <w:tab w:pos="1446" w:val="left" w:leader="none"/>
              </w:tabs>
              <w:spacing w:line="242" w:lineRule="exact"/>
              <w:rPr>
                <w:sz w:val="22"/>
              </w:rPr>
            </w:pPr>
            <w:r>
              <w:rPr>
                <w:sz w:val="22"/>
              </w:rPr>
              <w:t>porque</w:t>
              <w:tab/>
              <w:t>aquí</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Ejido   y  como</w:t>
            </w:r>
          </w:p>
        </w:tc>
        <w:tc>
          <w:tcPr>
            <w:tcW w:w="1985" w:type="dxa"/>
            <w:tcBorders>
              <w:top w:val="nil"/>
              <w:bottom w:val="nil"/>
            </w:tcBorders>
          </w:tcPr>
          <w:p>
            <w:pPr>
              <w:pStyle w:val="TableParagraph"/>
              <w:spacing w:line="241" w:lineRule="exact"/>
              <w:rPr>
                <w:sz w:val="22"/>
              </w:rPr>
            </w:pPr>
            <w:r>
              <w:rPr>
                <w:sz w:val="22"/>
              </w:rPr>
              <w:t>podemos   pelear,</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700" w:type="dxa"/>
            <w:tcBorders>
              <w:top w:val="nil"/>
              <w:bottom w:val="nil"/>
            </w:tcBorders>
          </w:tcPr>
          <w:p>
            <w:pP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es   federal  se</w:t>
            </w:r>
          </w:p>
        </w:tc>
        <w:tc>
          <w:tcPr>
            <w:tcW w:w="1985" w:type="dxa"/>
            <w:tcBorders>
              <w:top w:val="nil"/>
              <w:bottom w:val="nil"/>
            </w:tcBorders>
          </w:tcPr>
          <w:p>
            <w:pPr>
              <w:pStyle w:val="TableParagraph"/>
              <w:spacing w:line="242" w:lineRule="exact"/>
              <w:rPr>
                <w:sz w:val="22"/>
              </w:rPr>
            </w:pPr>
            <w:r>
              <w:rPr>
                <w:sz w:val="22"/>
              </w:rPr>
              <w:t>pero ellos no  dan</w:t>
            </w:r>
          </w:p>
        </w:tc>
      </w:tr>
      <w:tr>
        <w:trPr>
          <w:trHeight w:val="247" w:hRule="exact"/>
        </w:trPr>
        <w:tc>
          <w:tcPr>
            <w:tcW w:w="1385" w:type="dxa"/>
            <w:tcBorders>
              <w:top w:val="nil"/>
            </w:tcBorders>
          </w:tcPr>
          <w:p>
            <w:pPr/>
          </w:p>
        </w:tc>
        <w:tc>
          <w:tcPr>
            <w:tcW w:w="1418" w:type="dxa"/>
            <w:tcBorders>
              <w:top w:val="nil"/>
            </w:tcBorders>
          </w:tcPr>
          <w:p>
            <w:pPr/>
          </w:p>
        </w:tc>
        <w:tc>
          <w:tcPr>
            <w:tcW w:w="1700" w:type="dxa"/>
            <w:tcBorders>
              <w:top w:val="nil"/>
            </w:tcBorders>
          </w:tcPr>
          <w:p>
            <w:pPr/>
          </w:p>
        </w:tc>
        <w:tc>
          <w:tcPr>
            <w:tcW w:w="1277"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lo agarraron.</w:t>
            </w:r>
          </w:p>
        </w:tc>
        <w:tc>
          <w:tcPr>
            <w:tcW w:w="1985" w:type="dxa"/>
            <w:tcBorders>
              <w:top w:val="nil"/>
            </w:tcBorders>
          </w:tcPr>
          <w:p>
            <w:pPr>
              <w:pStyle w:val="TableParagraph"/>
              <w:spacing w:line="241" w:lineRule="exact"/>
              <w:rPr>
                <w:sz w:val="22"/>
              </w:rPr>
            </w:pPr>
            <w:r>
              <w:rPr>
                <w:sz w:val="22"/>
              </w:rPr>
              <w:t>solución.</w:t>
            </w:r>
          </w:p>
        </w:tc>
      </w:tr>
      <w:tr>
        <w:trPr>
          <w:trHeight w:val="269" w:hRule="exact"/>
        </w:trPr>
        <w:tc>
          <w:tcPr>
            <w:tcW w:w="1385" w:type="dxa"/>
            <w:tcBorders>
              <w:bottom w:val="nil"/>
            </w:tcBorders>
          </w:tcPr>
          <w:p>
            <w:pPr>
              <w:pStyle w:val="TableParagraph"/>
              <w:ind w:right="127"/>
              <w:rPr>
                <w:sz w:val="22"/>
              </w:rPr>
            </w:pPr>
            <w:r>
              <w:rPr>
                <w:sz w:val="22"/>
              </w:rPr>
              <w:t>Gabriel</w:t>
            </w:r>
          </w:p>
        </w:tc>
        <w:tc>
          <w:tcPr>
            <w:tcW w:w="1418" w:type="dxa"/>
            <w:tcBorders>
              <w:bottom w:val="nil"/>
            </w:tcBorders>
          </w:tcPr>
          <w:p>
            <w:pPr>
              <w:pStyle w:val="TableParagraph"/>
              <w:ind w:left="156" w:right="101"/>
              <w:rPr>
                <w:sz w:val="22"/>
              </w:rPr>
            </w:pPr>
            <w:r>
              <w:rPr>
                <w:sz w:val="22"/>
              </w:rPr>
              <w:t>El campo y</w:t>
            </w:r>
          </w:p>
        </w:tc>
        <w:tc>
          <w:tcPr>
            <w:tcW w:w="1700" w:type="dxa"/>
            <w:tcBorders>
              <w:bottom w:val="nil"/>
            </w:tcBorders>
          </w:tcPr>
          <w:p>
            <w:pPr>
              <w:pStyle w:val="TableParagraph"/>
              <w:ind w:left="100" w:right="20"/>
              <w:rPr>
                <w:sz w:val="22"/>
              </w:rPr>
            </w:pPr>
            <w:r>
              <w:rPr>
                <w:sz w:val="22"/>
              </w:rPr>
              <w:t>Delegado</w:t>
            </w:r>
          </w:p>
        </w:tc>
        <w:tc>
          <w:tcPr>
            <w:tcW w:w="1277" w:type="dxa"/>
            <w:tcBorders>
              <w:bottom w:val="nil"/>
            </w:tcBorders>
          </w:tcPr>
          <w:p>
            <w:pPr>
              <w:pStyle w:val="TableParagraph"/>
              <w:rPr>
                <w:sz w:val="22"/>
              </w:rPr>
            </w:pPr>
            <w:r>
              <w:rPr>
                <w:sz w:val="22"/>
              </w:rPr>
              <w:t>San</w:t>
            </w:r>
          </w:p>
        </w:tc>
        <w:tc>
          <w:tcPr>
            <w:tcW w:w="991" w:type="dxa"/>
            <w:tcBorders>
              <w:bottom w:val="nil"/>
            </w:tcBorders>
          </w:tcPr>
          <w:p>
            <w:pPr>
              <w:pStyle w:val="TableParagraph"/>
              <w:ind w:left="100"/>
              <w:rPr>
                <w:sz w:val="22"/>
              </w:rPr>
            </w:pPr>
            <w:r>
              <w:rPr>
                <w:sz w:val="22"/>
              </w:rPr>
              <w:t>Acamb</w:t>
            </w:r>
          </w:p>
        </w:tc>
        <w:tc>
          <w:tcPr>
            <w:tcW w:w="1277" w:type="dxa"/>
            <w:tcBorders>
              <w:bottom w:val="nil"/>
            </w:tcBorders>
          </w:tcPr>
          <w:p>
            <w:pPr>
              <w:pStyle w:val="TableParagraph"/>
              <w:ind w:right="92"/>
              <w:rPr>
                <w:sz w:val="22"/>
              </w:rPr>
            </w:pPr>
            <w:r>
              <w:rPr>
                <w:sz w:val="22"/>
              </w:rPr>
              <w:t>San</w:t>
            </w:r>
          </w:p>
        </w:tc>
        <w:tc>
          <w:tcPr>
            <w:tcW w:w="1133" w:type="dxa"/>
            <w:tcBorders>
              <w:bottom w:val="nil"/>
            </w:tcBorders>
          </w:tcPr>
          <w:p>
            <w:pPr>
              <w:pStyle w:val="TableParagraph"/>
              <w:ind w:left="100" w:right="52"/>
              <w:rPr>
                <w:sz w:val="22"/>
              </w:rPr>
            </w:pPr>
            <w:r>
              <w:rPr>
                <w:sz w:val="22"/>
              </w:rPr>
              <w:t>San</w:t>
            </w:r>
          </w:p>
        </w:tc>
        <w:tc>
          <w:tcPr>
            <w:tcW w:w="1702" w:type="dxa"/>
            <w:tcBorders>
              <w:bottom w:val="nil"/>
            </w:tcBorders>
          </w:tcPr>
          <w:p>
            <w:pPr>
              <w:pStyle w:val="TableParagraph"/>
              <w:rPr>
                <w:sz w:val="22"/>
              </w:rPr>
            </w:pPr>
            <w:r>
              <w:rPr>
                <w:sz w:val="22"/>
              </w:rPr>
              <w:t>No  sé,  tal vez</w:t>
            </w:r>
          </w:p>
        </w:tc>
        <w:tc>
          <w:tcPr>
            <w:tcW w:w="1985" w:type="dxa"/>
            <w:tcBorders>
              <w:bottom w:val="nil"/>
            </w:tcBorders>
          </w:tcPr>
          <w:p>
            <w:pPr>
              <w:pStyle w:val="TableParagraph"/>
              <w:tabs>
                <w:tab w:pos="1014" w:val="left" w:leader="none"/>
              </w:tabs>
              <w:rPr>
                <w:sz w:val="22"/>
              </w:rPr>
            </w:pPr>
            <w:r>
              <w:rPr>
                <w:sz w:val="22"/>
              </w:rPr>
              <w:t>El</w:t>
              <w:tab/>
              <w:t>gobierno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Pérez</w:t>
            </w:r>
          </w:p>
        </w:tc>
        <w:tc>
          <w:tcPr>
            <w:tcW w:w="1418" w:type="dxa"/>
            <w:tcBorders>
              <w:top w:val="nil"/>
              <w:bottom w:val="nil"/>
            </w:tcBorders>
          </w:tcPr>
          <w:p>
            <w:pPr>
              <w:pStyle w:val="TableParagraph"/>
              <w:spacing w:line="241" w:lineRule="exact"/>
              <w:ind w:left="102" w:right="104"/>
              <w:jc w:val="center"/>
              <w:rPr>
                <w:sz w:val="22"/>
              </w:rPr>
            </w:pPr>
            <w:r>
              <w:rPr>
                <w:sz w:val="22"/>
              </w:rPr>
              <w:t>la</w:t>
            </w:r>
          </w:p>
        </w:tc>
        <w:tc>
          <w:tcPr>
            <w:tcW w:w="1700" w:type="dxa"/>
            <w:tcBorders>
              <w:top w:val="nil"/>
              <w:bottom w:val="nil"/>
            </w:tcBorders>
          </w:tcPr>
          <w:p>
            <w:pPr>
              <w:pStyle w:val="TableParagraph"/>
              <w:spacing w:line="241" w:lineRule="exact"/>
              <w:ind w:left="100" w:right="20"/>
              <w:rPr>
                <w:sz w:val="22"/>
              </w:rPr>
            </w:pPr>
            <w:r>
              <w:rPr>
                <w:sz w:val="22"/>
              </w:rPr>
              <w:t>Municipal de la</w:t>
            </w:r>
          </w:p>
        </w:tc>
        <w:tc>
          <w:tcPr>
            <w:tcW w:w="1277" w:type="dxa"/>
            <w:tcBorders>
              <w:top w:val="nil"/>
              <w:bottom w:val="nil"/>
            </w:tcBorders>
          </w:tcPr>
          <w:p>
            <w:pPr>
              <w:pStyle w:val="TableParagraph"/>
              <w:spacing w:line="241" w:lineRule="exact"/>
              <w:rPr>
                <w:sz w:val="22"/>
              </w:rPr>
            </w:pPr>
            <w:r>
              <w:rPr>
                <w:sz w:val="22"/>
              </w:rPr>
              <w:t>Juanico</w:t>
            </w: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Juanico,</w:t>
            </w:r>
          </w:p>
        </w:tc>
        <w:tc>
          <w:tcPr>
            <w:tcW w:w="1133" w:type="dxa"/>
            <w:tcBorders>
              <w:top w:val="nil"/>
              <w:bottom w:val="nil"/>
            </w:tcBorders>
          </w:tcPr>
          <w:p>
            <w:pPr>
              <w:pStyle w:val="TableParagraph"/>
              <w:spacing w:line="241" w:lineRule="exact"/>
              <w:ind w:left="100" w:right="52"/>
              <w:rPr>
                <w:sz w:val="22"/>
              </w:rPr>
            </w:pPr>
            <w:r>
              <w:rPr>
                <w:sz w:val="22"/>
              </w:rPr>
              <w:t>Juanico,</w:t>
            </w:r>
          </w:p>
        </w:tc>
        <w:tc>
          <w:tcPr>
            <w:tcW w:w="1702" w:type="dxa"/>
            <w:tcBorders>
              <w:top w:val="nil"/>
              <w:bottom w:val="nil"/>
            </w:tcBorders>
          </w:tcPr>
          <w:p>
            <w:pPr>
              <w:pStyle w:val="TableParagraph"/>
              <w:tabs>
                <w:tab w:pos="1418" w:val="left" w:leader="none"/>
              </w:tabs>
              <w:spacing w:line="241" w:lineRule="exact"/>
              <w:rPr>
                <w:sz w:val="22"/>
              </w:rPr>
            </w:pPr>
            <w:r>
              <w:rPr>
                <w:sz w:val="22"/>
              </w:rPr>
              <w:t>con</w:t>
              <w:tab/>
              <w:t>la</w:t>
            </w:r>
          </w:p>
        </w:tc>
        <w:tc>
          <w:tcPr>
            <w:tcW w:w="1985" w:type="dxa"/>
            <w:tcBorders>
              <w:top w:val="nil"/>
              <w:bottom w:val="nil"/>
            </w:tcBorders>
          </w:tcPr>
          <w:p>
            <w:pPr>
              <w:pStyle w:val="TableParagraph"/>
              <w:spacing w:line="241" w:lineRule="exact"/>
              <w:rPr>
                <w:sz w:val="22"/>
              </w:rPr>
            </w:pPr>
            <w:r>
              <w:rPr>
                <w:sz w:val="22"/>
              </w:rPr>
              <w:t>federal, municipal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Padilla</w:t>
            </w:r>
          </w:p>
        </w:tc>
        <w:tc>
          <w:tcPr>
            <w:tcW w:w="1418" w:type="dxa"/>
            <w:tcBorders>
              <w:top w:val="nil"/>
              <w:bottom w:val="nil"/>
            </w:tcBorders>
          </w:tcPr>
          <w:p>
            <w:pPr>
              <w:pStyle w:val="TableParagraph"/>
              <w:spacing w:line="241" w:lineRule="exact"/>
              <w:ind w:left="194" w:right="101"/>
              <w:rPr>
                <w:sz w:val="22"/>
              </w:rPr>
            </w:pPr>
            <w:r>
              <w:rPr>
                <w:sz w:val="22"/>
              </w:rPr>
              <w:t>albañilería</w:t>
            </w:r>
          </w:p>
        </w:tc>
        <w:tc>
          <w:tcPr>
            <w:tcW w:w="1700" w:type="dxa"/>
            <w:tcBorders>
              <w:top w:val="nil"/>
              <w:bottom w:val="nil"/>
            </w:tcBorders>
          </w:tcPr>
          <w:p>
            <w:pPr>
              <w:pStyle w:val="TableParagraph"/>
              <w:spacing w:line="241" w:lineRule="exact"/>
              <w:ind w:left="100" w:right="20"/>
              <w:rPr>
                <w:sz w:val="22"/>
              </w:rPr>
            </w:pPr>
            <w:r>
              <w:rPr>
                <w:sz w:val="22"/>
              </w:rPr>
              <w:t>Segunda</w:t>
            </w: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Acambay</w:t>
            </w:r>
          </w:p>
        </w:tc>
        <w:tc>
          <w:tcPr>
            <w:tcW w:w="1133" w:type="dxa"/>
            <w:tcBorders>
              <w:top w:val="nil"/>
              <w:bottom w:val="nil"/>
            </w:tcBorders>
          </w:tcPr>
          <w:p>
            <w:pPr>
              <w:pStyle w:val="TableParagraph"/>
              <w:spacing w:line="241" w:lineRule="exact"/>
              <w:ind w:left="100" w:right="52"/>
              <w:rPr>
                <w:sz w:val="22"/>
              </w:rPr>
            </w:pPr>
            <w:r>
              <w:rPr>
                <w:sz w:val="22"/>
              </w:rPr>
              <w:t>Acambay</w:t>
            </w:r>
          </w:p>
        </w:tc>
        <w:tc>
          <w:tcPr>
            <w:tcW w:w="1702" w:type="dxa"/>
            <w:tcBorders>
              <w:top w:val="nil"/>
              <w:bottom w:val="nil"/>
            </w:tcBorders>
          </w:tcPr>
          <w:p>
            <w:pPr>
              <w:pStyle w:val="TableParagraph"/>
              <w:spacing w:line="241" w:lineRule="exact"/>
              <w:rPr>
                <w:sz w:val="22"/>
              </w:rPr>
            </w:pPr>
            <w:r>
              <w:rPr>
                <w:sz w:val="22"/>
              </w:rPr>
              <w:t>intervención</w:t>
            </w:r>
          </w:p>
        </w:tc>
        <w:tc>
          <w:tcPr>
            <w:tcW w:w="1985" w:type="dxa"/>
            <w:tcBorders>
              <w:top w:val="nil"/>
              <w:bottom w:val="nil"/>
            </w:tcBorders>
          </w:tcPr>
          <w:p>
            <w:pPr>
              <w:pStyle w:val="TableParagraph"/>
              <w:spacing w:line="241" w:lineRule="exact"/>
              <w:rPr>
                <w:sz w:val="22"/>
              </w:rPr>
            </w:pPr>
            <w:r>
              <w:rPr>
                <w:sz w:val="22"/>
              </w:rPr>
              <w:t>y estatal.</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(7/II/2015)</w:t>
            </w:r>
          </w:p>
        </w:tc>
        <w:tc>
          <w:tcPr>
            <w:tcW w:w="1418" w:type="dxa"/>
            <w:tcBorders>
              <w:top w:val="nil"/>
              <w:bottom w:val="nil"/>
            </w:tcBorders>
          </w:tcPr>
          <w:p>
            <w:pPr/>
          </w:p>
        </w:tc>
        <w:tc>
          <w:tcPr>
            <w:tcW w:w="1700" w:type="dxa"/>
            <w:tcBorders>
              <w:top w:val="nil"/>
              <w:bottom w:val="nil"/>
            </w:tcBorders>
          </w:tcPr>
          <w:p>
            <w:pPr>
              <w:pStyle w:val="TableParagraph"/>
              <w:tabs>
                <w:tab w:pos="1338" w:val="left" w:leader="none"/>
              </w:tabs>
              <w:spacing w:line="242" w:lineRule="exact"/>
              <w:ind w:left="100" w:right="20"/>
              <w:rPr>
                <w:sz w:val="22"/>
              </w:rPr>
            </w:pPr>
            <w:r>
              <w:rPr>
                <w:sz w:val="22"/>
              </w:rPr>
              <w:t>Manzana</w:t>
              <w:tab/>
              <w:t>de</w:t>
            </w:r>
          </w:p>
        </w:tc>
        <w:tc>
          <w:tcPr>
            <w:tcW w:w="1277"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del gobierno.</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700" w:type="dxa"/>
            <w:tcBorders>
              <w:top w:val="nil"/>
            </w:tcBorders>
          </w:tcPr>
          <w:p>
            <w:pPr>
              <w:pStyle w:val="TableParagraph"/>
              <w:spacing w:line="241" w:lineRule="exact"/>
              <w:ind w:left="100" w:right="20"/>
              <w:rPr>
                <w:sz w:val="22"/>
              </w:rPr>
            </w:pPr>
            <w:r>
              <w:rPr>
                <w:sz w:val="22"/>
              </w:rPr>
              <w:t>San Juanico.</w:t>
            </w:r>
          </w:p>
        </w:tc>
        <w:tc>
          <w:tcPr>
            <w:tcW w:w="1277"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
        </w:tc>
        <w:tc>
          <w:tcPr>
            <w:tcW w:w="1985"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spacing w:after="0" w:line="248" w:lineRule="exact"/>
        <w:sectPr>
          <w:pgSz w:w="15840" w:h="12240" w:orient="landscape"/>
          <w:pgMar w:header="0" w:footer="943" w:top="1140" w:bottom="1140" w:left="1200" w:right="1300"/>
        </w:sectPr>
      </w:pPr>
    </w:p>
    <w:p>
      <w:pPr>
        <w:pStyle w:val="BodyText"/>
        <w:rPr>
          <w:sz w:val="20"/>
        </w:rPr>
      </w:pPr>
    </w:p>
    <w:p>
      <w:pPr>
        <w:pStyle w:val="BodyText"/>
        <w:spacing w:before="1"/>
      </w:pPr>
    </w:p>
    <w:p>
      <w:pPr>
        <w:pStyle w:val="Heading6"/>
        <w:spacing w:before="73" w:after="4"/>
        <w:ind w:left="2662" w:right="397"/>
      </w:pPr>
      <w:r>
        <w:rPr/>
        <w:t>Tabla 6.8. Delegados Municipales (trabajo de campo)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263" w:hRule="exact"/>
        </w:trPr>
        <w:tc>
          <w:tcPr>
            <w:tcW w:w="6771" w:type="dxa"/>
            <w:gridSpan w:val="5"/>
            <w:vMerge/>
            <w:shd w:val="clear" w:color="auto" w:fill="F9BE8F"/>
          </w:tcPr>
          <w:p>
            <w:pPr/>
          </w:p>
        </w:tc>
        <w:tc>
          <w:tcPr>
            <w:tcW w:w="2410" w:type="dxa"/>
            <w:gridSpan w:val="2"/>
            <w:shd w:val="clear" w:color="auto" w:fill="92CDDC"/>
          </w:tcPr>
          <w:p>
            <w:pPr>
              <w:pStyle w:val="TableParagraph"/>
              <w:spacing w:line="248" w:lineRule="exact"/>
              <w:ind w:left="710"/>
              <w:rPr>
                <w:b/>
                <w:sz w:val="22"/>
              </w:rPr>
            </w:pPr>
            <w:r>
              <w:rPr>
                <w:b/>
                <w:sz w:val="22"/>
              </w:rPr>
              <w:t>Identidad</w:t>
            </w:r>
          </w:p>
        </w:tc>
        <w:tc>
          <w:tcPr>
            <w:tcW w:w="1702" w:type="dxa"/>
            <w:shd w:val="clear" w:color="auto" w:fill="92CDDC"/>
          </w:tcPr>
          <w:p>
            <w:pPr>
              <w:pStyle w:val="TableParagraph"/>
              <w:spacing w:line="248" w:lineRule="exact"/>
              <w:rPr>
                <w:b/>
                <w:sz w:val="22"/>
              </w:rPr>
            </w:pPr>
            <w:r>
              <w:rPr>
                <w:b/>
                <w:sz w:val="22"/>
              </w:rPr>
              <w:t>Autogestión</w:t>
            </w:r>
          </w:p>
        </w:tc>
        <w:tc>
          <w:tcPr>
            <w:tcW w:w="1985" w:type="dxa"/>
            <w:shd w:val="clear" w:color="auto" w:fill="92CDDC"/>
          </w:tcPr>
          <w:p>
            <w:pPr>
              <w:pStyle w:val="TableParagraph"/>
              <w:spacing w:line="248" w:lineRule="exact"/>
              <w:rPr>
                <w:b/>
                <w:sz w:val="22"/>
              </w:rPr>
            </w:pPr>
            <w:r>
              <w:rPr>
                <w:b/>
                <w:sz w:val="22"/>
              </w:rPr>
              <w:t>Cultura</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417" w:type="dxa"/>
            <w:tcBorders>
              <w:bottom w:val="nil"/>
            </w:tcBorders>
            <w:shd w:val="clear" w:color="auto" w:fill="F9BE8F"/>
          </w:tcPr>
          <w:p>
            <w:pPr>
              <w:pStyle w:val="TableParagraph"/>
              <w:spacing w:line="249" w:lineRule="exact"/>
              <w:ind w:left="100"/>
              <w:rPr>
                <w:b/>
                <w:sz w:val="22"/>
              </w:rPr>
            </w:pPr>
            <w:r>
              <w:rPr>
                <w:b/>
                <w:sz w:val="22"/>
              </w:rPr>
              <w:t>Cargo</w:t>
            </w:r>
          </w:p>
        </w:tc>
        <w:tc>
          <w:tcPr>
            <w:tcW w:w="1560" w:type="dxa"/>
            <w:tcBorders>
              <w:bottom w:val="nil"/>
            </w:tcBorders>
            <w:shd w:val="clear" w:color="auto" w:fill="F9BE8F"/>
          </w:tcPr>
          <w:p>
            <w:pPr>
              <w:pStyle w:val="TableParagraph"/>
              <w:spacing w:line="249" w:lineRule="exact"/>
              <w:ind w:right="143"/>
              <w:rPr>
                <w:b/>
                <w:sz w:val="22"/>
              </w:rPr>
            </w:pPr>
            <w:r>
              <w:rPr>
                <w:b/>
                <w:sz w:val="22"/>
              </w:rPr>
              <w:t>Comunidad</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9" w:lineRule="exact"/>
              <w:rPr>
                <w:b/>
                <w:sz w:val="22"/>
              </w:rPr>
            </w:pPr>
            <w:r>
              <w:rPr>
                <w:b/>
                <w:sz w:val="22"/>
              </w:rPr>
              <w:t>¿Considera</w:t>
            </w:r>
          </w:p>
        </w:tc>
        <w:tc>
          <w:tcPr>
            <w:tcW w:w="1985" w:type="dxa"/>
            <w:tcBorders>
              <w:bottom w:val="nil"/>
            </w:tcBorders>
            <w:shd w:val="clear" w:color="auto" w:fill="92CDDC"/>
          </w:tcPr>
          <w:p>
            <w:pPr>
              <w:pStyle w:val="TableParagraph"/>
              <w:spacing w:line="249" w:lineRule="exact"/>
              <w:rPr>
                <w:b/>
                <w:sz w:val="22"/>
              </w:rPr>
            </w:pPr>
            <w:r>
              <w:rPr>
                <w:b/>
                <w:sz w:val="22"/>
              </w:rPr>
              <w:t>¿Considera  que</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1" w:lineRule="exact"/>
              <w:ind w:right="143"/>
              <w:rPr>
                <w:b/>
                <w:sz w:val="22"/>
              </w:rPr>
            </w:pPr>
            <w:r>
              <w:rPr>
                <w:b/>
                <w:sz w:val="22"/>
              </w:rPr>
              <w:t>que</w:t>
            </w: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importante  la</w:t>
            </w:r>
          </w:p>
        </w:tc>
        <w:tc>
          <w:tcPr>
            <w:tcW w:w="1985" w:type="dxa"/>
            <w:tcBorders>
              <w:top w:val="nil"/>
              <w:bottom w:val="nil"/>
            </w:tcBorders>
            <w:shd w:val="clear" w:color="auto" w:fill="92CDDC"/>
          </w:tcPr>
          <w:p>
            <w:pPr>
              <w:pStyle w:val="TableParagraph"/>
              <w:tabs>
                <w:tab w:pos="1617" w:val="left" w:leader="none"/>
              </w:tabs>
              <w:spacing w:line="241" w:lineRule="exact"/>
              <w:rPr>
                <w:b/>
                <w:sz w:val="22"/>
              </w:rPr>
            </w:pPr>
            <w:r>
              <w:rPr>
                <w:b/>
                <w:sz w:val="22"/>
              </w:rPr>
              <w:t>se</w:t>
              <w:tab/>
              <w:t>ha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1" w:lineRule="exact"/>
              <w:ind w:right="143"/>
              <w:rPr>
                <w:b/>
                <w:sz w:val="22"/>
              </w:rPr>
            </w:pPr>
            <w:r>
              <w:rPr>
                <w:b/>
                <w:sz w:val="22"/>
              </w:rPr>
              <w:t>representa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3" w:val="left" w:leader="none"/>
              </w:tabs>
              <w:spacing w:line="241" w:lineRule="exact"/>
              <w:rPr>
                <w:b/>
                <w:sz w:val="22"/>
              </w:rPr>
            </w:pPr>
            <w:r>
              <w:rPr>
                <w:b/>
                <w:sz w:val="22"/>
              </w:rPr>
              <w:t>laguna</w:t>
              <w:tab/>
              <w:t>de</w:t>
            </w:r>
          </w:p>
        </w:tc>
        <w:tc>
          <w:tcPr>
            <w:tcW w:w="1985" w:type="dxa"/>
            <w:tcBorders>
              <w:top w:val="nil"/>
              <w:bottom w:val="nil"/>
            </w:tcBorders>
            <w:shd w:val="clear" w:color="auto" w:fill="92CDDC"/>
          </w:tcPr>
          <w:p>
            <w:pPr>
              <w:pStyle w:val="TableParagraph"/>
              <w:tabs>
                <w:tab w:pos="1688" w:val="left" w:leader="none"/>
              </w:tabs>
              <w:spacing w:line="241" w:lineRule="exact"/>
              <w:rPr>
                <w:b/>
                <w:sz w:val="22"/>
              </w:rPr>
            </w:pPr>
            <w:r>
              <w:rPr>
                <w:b/>
                <w:sz w:val="22"/>
              </w:rPr>
              <w:t>deteriorado</w:t>
              <w:tab/>
              <w:t>la</w:t>
            </w:r>
          </w:p>
        </w:tc>
      </w:tr>
      <w:tr>
        <w:trPr>
          <w:trHeight w:val="254"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Huapango</w:t>
            </w:r>
          </w:p>
        </w:tc>
        <w:tc>
          <w:tcPr>
            <w:tcW w:w="1985" w:type="dxa"/>
            <w:tcBorders>
              <w:top w:val="nil"/>
              <w:bottom w:val="nil"/>
            </w:tcBorders>
            <w:shd w:val="clear" w:color="auto" w:fill="92CDDC"/>
          </w:tcPr>
          <w:p>
            <w:pPr>
              <w:pStyle w:val="TableParagraph"/>
              <w:tabs>
                <w:tab w:pos="1617" w:val="left" w:leader="none"/>
              </w:tabs>
              <w:spacing w:line="242" w:lineRule="exact"/>
              <w:rPr>
                <w:b/>
                <w:sz w:val="22"/>
              </w:rPr>
            </w:pPr>
            <w:r>
              <w:rPr>
                <w:b/>
                <w:sz w:val="22"/>
              </w:rPr>
              <w:t>laguna</w:t>
              <w:tab/>
              <w:t>de</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334" w:val="left" w:leader="none"/>
              </w:tabs>
              <w:spacing w:line="241" w:lineRule="exact"/>
              <w:rPr>
                <w:b/>
                <w:sz w:val="22"/>
              </w:rPr>
            </w:pPr>
            <w:r>
              <w:rPr>
                <w:b/>
                <w:sz w:val="22"/>
              </w:rPr>
              <w:t>para</w:t>
              <w:tab/>
              <w:t>su</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comunidad   y</w:t>
            </w:r>
          </w:p>
        </w:tc>
        <w:tc>
          <w:tcPr>
            <w:tcW w:w="1985"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417" w:type="dxa"/>
            <w:tcBorders>
              <w:top w:val="nil"/>
            </w:tcBorders>
            <w:shd w:val="clear" w:color="auto" w:fill="F9BE8F"/>
          </w:tcPr>
          <w:p>
            <w:pPr/>
          </w:p>
        </w:tc>
        <w:tc>
          <w:tcPr>
            <w:tcW w:w="1560"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1" w:lineRule="exact"/>
              <w:rPr>
                <w:b/>
                <w:sz w:val="22"/>
              </w:rPr>
            </w:pPr>
            <w:r>
              <w:rPr>
                <w:b/>
                <w:sz w:val="22"/>
              </w:rPr>
              <w:t>la región?</w:t>
            </w:r>
          </w:p>
        </w:tc>
        <w:tc>
          <w:tcPr>
            <w:tcW w:w="1985"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Gabriel</w:t>
            </w:r>
          </w:p>
        </w:tc>
        <w:tc>
          <w:tcPr>
            <w:tcW w:w="1418" w:type="dxa"/>
            <w:tcBorders>
              <w:bottom w:val="nil"/>
            </w:tcBorders>
          </w:tcPr>
          <w:p>
            <w:pPr>
              <w:pStyle w:val="TableParagraph"/>
              <w:spacing w:line="251" w:lineRule="exact"/>
              <w:ind w:left="100" w:right="101"/>
              <w:rPr>
                <w:sz w:val="22"/>
              </w:rPr>
            </w:pPr>
            <w:r>
              <w:rPr>
                <w:sz w:val="22"/>
              </w:rPr>
              <w:t>El comercio</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Aldama</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Aldama,</w:t>
            </w:r>
          </w:p>
        </w:tc>
        <w:tc>
          <w:tcPr>
            <w:tcW w:w="1133" w:type="dxa"/>
            <w:tcBorders>
              <w:bottom w:val="nil"/>
            </w:tcBorders>
          </w:tcPr>
          <w:p>
            <w:pPr>
              <w:pStyle w:val="TableParagraph"/>
              <w:spacing w:line="251" w:lineRule="exact"/>
              <w:ind w:left="100" w:right="52"/>
              <w:rPr>
                <w:sz w:val="22"/>
              </w:rPr>
            </w:pPr>
            <w:r>
              <w:rPr>
                <w:sz w:val="22"/>
              </w:rPr>
              <w:t>Aldama,</w:t>
            </w:r>
          </w:p>
        </w:tc>
        <w:tc>
          <w:tcPr>
            <w:tcW w:w="1702" w:type="dxa"/>
            <w:tcBorders>
              <w:bottom w:val="nil"/>
            </w:tcBorders>
          </w:tcPr>
          <w:p>
            <w:pPr>
              <w:pStyle w:val="TableParagraph"/>
              <w:spacing w:line="251" w:lineRule="exact"/>
              <w:rPr>
                <w:sz w:val="22"/>
              </w:rPr>
            </w:pPr>
            <w:r>
              <w:rPr>
                <w:sz w:val="22"/>
              </w:rPr>
              <w:t>La   laguna  de</w:t>
            </w:r>
          </w:p>
        </w:tc>
        <w:tc>
          <w:tcPr>
            <w:tcW w:w="1985" w:type="dxa"/>
            <w:tcBorders>
              <w:bottom w:val="nil"/>
            </w:tcBorders>
          </w:tcPr>
          <w:p>
            <w:pPr>
              <w:pStyle w:val="TableParagraph"/>
              <w:spacing w:line="251" w:lineRule="exact"/>
              <w:rPr>
                <w:sz w:val="22"/>
              </w:rPr>
            </w:pPr>
            <w:r>
              <w:rPr>
                <w:sz w:val="22"/>
              </w:rPr>
              <w:t>Considero  que la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(tienda de</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Style w:val="TableParagraph"/>
              <w:tabs>
                <w:tab w:pos="1357" w:val="left" w:leader="none"/>
              </w:tabs>
              <w:spacing w:line="241" w:lineRule="exact"/>
              <w:rPr>
                <w:sz w:val="22"/>
              </w:rPr>
            </w:pPr>
            <w:r>
              <w:rPr>
                <w:sz w:val="22"/>
              </w:rPr>
              <w:t>Huapango</w:t>
              <w:tab/>
              <w:t>es</w:t>
            </w:r>
          </w:p>
        </w:tc>
        <w:tc>
          <w:tcPr>
            <w:tcW w:w="1985" w:type="dxa"/>
            <w:tcBorders>
              <w:top w:val="nil"/>
              <w:bottom w:val="nil"/>
            </w:tcBorders>
          </w:tcPr>
          <w:p>
            <w:pPr>
              <w:pStyle w:val="TableParagraph"/>
              <w:spacing w:line="241" w:lineRule="exact"/>
              <w:rPr>
                <w:sz w:val="22"/>
              </w:rPr>
            </w:pPr>
            <w:r>
              <w:rPr>
                <w:sz w:val="22"/>
              </w:rPr>
              <w:t>laguna  no  se  ha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González</w:t>
            </w:r>
          </w:p>
        </w:tc>
        <w:tc>
          <w:tcPr>
            <w:tcW w:w="1418" w:type="dxa"/>
            <w:tcBorders>
              <w:top w:val="nil"/>
              <w:bottom w:val="nil"/>
            </w:tcBorders>
          </w:tcPr>
          <w:p>
            <w:pPr>
              <w:pStyle w:val="TableParagraph"/>
              <w:spacing w:line="241" w:lineRule="exact"/>
              <w:ind w:left="100"/>
              <w:rPr>
                <w:sz w:val="22"/>
              </w:rPr>
            </w:pPr>
            <w:r>
              <w:rPr>
                <w:sz w:val="22"/>
              </w:rPr>
              <w:t>abarrotes) y</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importante</w:t>
            </w:r>
          </w:p>
        </w:tc>
        <w:tc>
          <w:tcPr>
            <w:tcW w:w="1985" w:type="dxa"/>
            <w:tcBorders>
              <w:top w:val="nil"/>
              <w:bottom w:val="nil"/>
            </w:tcBorders>
          </w:tcPr>
          <w:p>
            <w:pPr>
              <w:pStyle w:val="TableParagraph"/>
              <w:spacing w:line="241" w:lineRule="exact"/>
              <w:rPr>
                <w:sz w:val="22"/>
              </w:rPr>
            </w:pPr>
            <w:r>
              <w:rPr>
                <w:sz w:val="22"/>
              </w:rPr>
              <w:t>deteriorado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(7/7/2014)</w:t>
            </w:r>
          </w:p>
        </w:tc>
        <w:tc>
          <w:tcPr>
            <w:tcW w:w="1418" w:type="dxa"/>
            <w:tcBorders>
              <w:top w:val="nil"/>
              <w:bottom w:val="nil"/>
            </w:tcBorders>
          </w:tcPr>
          <w:p>
            <w:pPr>
              <w:pStyle w:val="TableParagraph"/>
              <w:spacing w:line="242" w:lineRule="exact"/>
              <w:ind w:left="100" w:right="101"/>
              <w:rPr>
                <w:sz w:val="22"/>
              </w:rPr>
            </w:pPr>
            <w:r>
              <w:rPr>
                <w:sz w:val="22"/>
              </w:rPr>
              <w:t>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5" w:val="left" w:leader="none"/>
              </w:tabs>
              <w:spacing w:line="242" w:lineRule="exact"/>
              <w:rPr>
                <w:sz w:val="22"/>
              </w:rPr>
            </w:pPr>
            <w:r>
              <w:rPr>
                <w:sz w:val="22"/>
              </w:rPr>
              <w:t>para</w:t>
              <w:tab/>
              <w:t>mi</w:t>
            </w:r>
          </w:p>
        </w:tc>
        <w:tc>
          <w:tcPr>
            <w:tcW w:w="1985" w:type="dxa"/>
            <w:tcBorders>
              <w:top w:val="nil"/>
              <w:bottom w:val="nil"/>
            </w:tcBorders>
          </w:tcPr>
          <w:p>
            <w:pPr>
              <w:pStyle w:val="TableParagraph"/>
              <w:tabs>
                <w:tab w:pos="1070" w:val="left" w:leader="none"/>
                <w:tab w:pos="1751" w:val="left" w:leader="none"/>
              </w:tabs>
              <w:spacing w:line="242" w:lineRule="exact"/>
              <w:rPr>
                <w:sz w:val="22"/>
              </w:rPr>
            </w:pPr>
            <w:r>
              <w:rPr>
                <w:sz w:val="22"/>
              </w:rPr>
              <w:t>mucho,</w:t>
              <w:tab/>
              <w:t>pero</w:t>
              <w:tab/>
              <w:t>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municipio  y  la</w:t>
            </w:r>
          </w:p>
        </w:tc>
        <w:tc>
          <w:tcPr>
            <w:tcW w:w="1985" w:type="dxa"/>
            <w:tcBorders>
              <w:top w:val="nil"/>
              <w:bottom w:val="nil"/>
            </w:tcBorders>
          </w:tcPr>
          <w:p>
            <w:pPr>
              <w:pStyle w:val="TableParagraph"/>
              <w:spacing w:line="241" w:lineRule="exact"/>
              <w:rPr>
                <w:sz w:val="22"/>
              </w:rPr>
            </w:pPr>
            <w:r>
              <w:rPr>
                <w:sz w:val="22"/>
              </w:rPr>
              <w:t>futuro sí.</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12" w:val="left" w:leader="none"/>
              </w:tabs>
              <w:spacing w:line="242" w:lineRule="exact"/>
              <w:rPr>
                <w:sz w:val="22"/>
              </w:rPr>
            </w:pPr>
            <w:r>
              <w:rPr>
                <w:sz w:val="22"/>
              </w:rPr>
              <w:t>región,</w:t>
              <w:tab/>
              <w:t>pues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97" w:val="left" w:leader="none"/>
                <w:tab w:pos="1101" w:val="left" w:leader="none"/>
              </w:tabs>
              <w:spacing w:line="241" w:lineRule="exact"/>
              <w:rPr>
                <w:sz w:val="22"/>
              </w:rPr>
            </w:pPr>
            <w:r>
              <w:rPr>
                <w:sz w:val="22"/>
              </w:rPr>
              <w:t>es</w:t>
              <w:tab/>
              <w:t>un</w:t>
              <w:tab/>
              <w:t>lugar</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donde</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tenemos agua,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78" w:val="left" w:leader="none"/>
              </w:tabs>
              <w:spacing w:line="241" w:lineRule="exact"/>
              <w:rPr>
                <w:sz w:val="22"/>
              </w:rPr>
            </w:pPr>
            <w:r>
              <w:rPr>
                <w:sz w:val="22"/>
              </w:rPr>
              <w:t>se</w:t>
              <w:tab/>
              <w:t>puede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9" w:val="left" w:leader="none"/>
              </w:tabs>
              <w:spacing w:line="242" w:lineRule="exact"/>
              <w:rPr>
                <w:sz w:val="22"/>
              </w:rPr>
            </w:pPr>
            <w:r>
              <w:rPr>
                <w:sz w:val="22"/>
              </w:rPr>
              <w:t>pescar,</w:t>
              <w:tab/>
              <w:t>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turismo porque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78" w:val="left" w:leader="none"/>
              </w:tabs>
              <w:spacing w:line="242" w:lineRule="exact"/>
              <w:rPr>
                <w:sz w:val="22"/>
              </w:rPr>
            </w:pPr>
            <w:r>
              <w:rPr>
                <w:sz w:val="22"/>
              </w:rPr>
              <w:t>se</w:t>
              <w:tab/>
              <w:t>puede</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visitar y vienen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82" w:val="left" w:leader="none"/>
              </w:tabs>
              <w:spacing w:line="241" w:lineRule="exact"/>
              <w:rPr>
                <w:sz w:val="22"/>
              </w:rPr>
            </w:pPr>
            <w:r>
              <w:rPr>
                <w:sz w:val="22"/>
              </w:rPr>
              <w:t>a</w:t>
              <w:tab/>
              <w:t>visitarla.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line="242" w:lineRule="exact"/>
              <w:rPr>
                <w:sz w:val="22"/>
              </w:rPr>
            </w:pPr>
            <w:r>
              <w:rPr>
                <w:sz w:val="22"/>
              </w:rPr>
              <w:t>Además,</w:t>
              <w:tab/>
              <w:t>el</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agua la utilizan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para   riego  en</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el municipio 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78" w:val="left" w:leader="none"/>
              </w:tabs>
              <w:spacing w:line="241" w:lineRule="exact"/>
              <w:rPr>
                <w:sz w:val="22"/>
              </w:rPr>
            </w:pPr>
            <w:r>
              <w:rPr>
                <w:sz w:val="22"/>
              </w:rPr>
              <w:t>Aculco</w:t>
              <w:tab/>
              <w:t>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Polotitlán, aquí</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únicamente </w:t>
            </w:r>
            <w:r>
              <w:rPr>
                <w:spacing w:val="51"/>
                <w:sz w:val="22"/>
              </w:rPr>
              <w:t> </w:t>
            </w:r>
            <w:r>
              <w:rPr>
                <w:sz w:val="22"/>
              </w:rPr>
              <w:t>la</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tenemos</w:t>
            </w:r>
          </w:p>
        </w:tc>
        <w:tc>
          <w:tcPr>
            <w:tcW w:w="1985" w:type="dxa"/>
            <w:tcBorders>
              <w:top w:val="nil"/>
            </w:tcBorders>
          </w:tcPr>
          <w:p>
            <w:pPr/>
          </w:p>
        </w:tc>
      </w:tr>
    </w:tbl>
    <w:p>
      <w:pPr>
        <w:spacing w:after="0"/>
        <w:sectPr>
          <w:pgSz w:w="15840" w:h="12240" w:orient="landscape"/>
          <w:pgMar w:header="0" w:footer="943" w:top="1140" w:bottom="120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540"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tabs>
                <w:tab w:pos="1149" w:val="left" w:leader="none"/>
              </w:tabs>
              <w:spacing w:line="252" w:lineRule="exact" w:before="2"/>
              <w:ind w:right="99"/>
              <w:rPr>
                <w:sz w:val="22"/>
              </w:rPr>
            </w:pPr>
            <w:r>
              <w:rPr>
                <w:sz w:val="22"/>
              </w:rPr>
              <w:t>siquiera</w:t>
              <w:tab/>
              <w:t>para verla.</w:t>
            </w:r>
          </w:p>
        </w:tc>
        <w:tc>
          <w:tcPr>
            <w:tcW w:w="1985" w:type="dxa"/>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Abel</w:t>
            </w:r>
          </w:p>
        </w:tc>
        <w:tc>
          <w:tcPr>
            <w:tcW w:w="1418" w:type="dxa"/>
            <w:tcBorders>
              <w:bottom w:val="nil"/>
            </w:tcBorders>
          </w:tcPr>
          <w:p>
            <w:pPr>
              <w:pStyle w:val="TableParagraph"/>
              <w:spacing w:line="251" w:lineRule="exact"/>
              <w:ind w:left="100" w:right="101"/>
              <w:rPr>
                <w:sz w:val="22"/>
              </w:rPr>
            </w:pPr>
            <w:r>
              <w:rPr>
                <w:sz w:val="22"/>
              </w:rPr>
              <w:t>Profesor de</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Huapango</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spacing w:line="251" w:lineRule="exact"/>
              <w:rPr>
                <w:sz w:val="22"/>
              </w:rPr>
            </w:pPr>
            <w:r>
              <w:rPr>
                <w:sz w:val="22"/>
              </w:rPr>
              <w:t>Es   importante</w:t>
            </w:r>
          </w:p>
        </w:tc>
        <w:tc>
          <w:tcPr>
            <w:tcW w:w="1985" w:type="dxa"/>
            <w:tcBorders>
              <w:bottom w:val="nil"/>
            </w:tcBorders>
          </w:tcPr>
          <w:p>
            <w:pPr>
              <w:pStyle w:val="TableParagraph"/>
              <w:spacing w:line="251" w:lineRule="exact"/>
              <w:rPr>
                <w:sz w:val="22"/>
              </w:rPr>
            </w:pPr>
            <w:r>
              <w:rPr>
                <w:sz w:val="22"/>
              </w:rPr>
              <w:t>La  laguna  se  ha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Miranda</w:t>
            </w:r>
          </w:p>
        </w:tc>
        <w:tc>
          <w:tcPr>
            <w:tcW w:w="1418" w:type="dxa"/>
            <w:tcBorders>
              <w:top w:val="nil"/>
              <w:bottom w:val="nil"/>
            </w:tcBorders>
          </w:tcPr>
          <w:p>
            <w:pPr>
              <w:pStyle w:val="TableParagraph"/>
              <w:spacing w:line="241" w:lineRule="exact"/>
              <w:ind w:left="100" w:right="101"/>
              <w:rPr>
                <w:sz w:val="22"/>
              </w:rPr>
            </w:pPr>
            <w:r>
              <w:rPr>
                <w:sz w:val="22"/>
              </w:rPr>
              <w:t>secundaria</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1702" w:type="dxa"/>
            <w:tcBorders>
              <w:top w:val="nil"/>
              <w:bottom w:val="nil"/>
            </w:tcBorders>
          </w:tcPr>
          <w:p>
            <w:pPr>
              <w:pStyle w:val="TableParagraph"/>
              <w:spacing w:line="241" w:lineRule="exact"/>
              <w:rPr>
                <w:sz w:val="22"/>
              </w:rPr>
            </w:pPr>
            <w:r>
              <w:rPr>
                <w:sz w:val="22"/>
              </w:rPr>
              <w:t>para el turismo</w:t>
            </w:r>
          </w:p>
        </w:tc>
        <w:tc>
          <w:tcPr>
            <w:tcW w:w="1985" w:type="dxa"/>
            <w:tcBorders>
              <w:top w:val="nil"/>
              <w:bottom w:val="nil"/>
            </w:tcBorders>
          </w:tcPr>
          <w:p>
            <w:pPr>
              <w:pStyle w:val="TableParagraph"/>
              <w:spacing w:line="241" w:lineRule="exact"/>
              <w:rPr>
                <w:sz w:val="22"/>
              </w:rPr>
            </w:pPr>
            <w:r>
              <w:rPr>
                <w:sz w:val="22"/>
              </w:rPr>
              <w:t>deteriorado con la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Miranda</w:t>
            </w:r>
          </w:p>
        </w:tc>
        <w:tc>
          <w:tcPr>
            <w:tcW w:w="1418" w:type="dxa"/>
            <w:tcBorders>
              <w:top w:val="nil"/>
              <w:bottom w:val="nil"/>
            </w:tcBorders>
          </w:tcPr>
          <w:p>
            <w:pPr>
              <w:pStyle w:val="TableParagraph"/>
              <w:spacing w:line="242" w:lineRule="exact"/>
              <w:ind w:left="100" w:right="101"/>
              <w:rPr>
                <w:sz w:val="22"/>
              </w:rPr>
            </w:pPr>
            <w:r>
              <w:rPr>
                <w:sz w:val="22"/>
              </w:rPr>
              <w:t>y 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Style w:val="TableParagraph"/>
              <w:spacing w:line="242" w:lineRule="exact"/>
              <w:rPr>
                <w:sz w:val="22"/>
              </w:rPr>
            </w:pPr>
            <w:r>
              <w:rPr>
                <w:sz w:val="22"/>
              </w:rPr>
              <w:t>en mi localidad</w:t>
            </w:r>
          </w:p>
        </w:tc>
        <w:tc>
          <w:tcPr>
            <w:tcW w:w="1985" w:type="dxa"/>
            <w:tcBorders>
              <w:top w:val="nil"/>
              <w:bottom w:val="nil"/>
            </w:tcBorders>
          </w:tcPr>
          <w:p>
            <w:pPr>
              <w:pStyle w:val="TableParagraph"/>
              <w:spacing w:line="242" w:lineRule="exact"/>
              <w:rPr>
                <w:sz w:val="22"/>
              </w:rPr>
            </w:pPr>
            <w:r>
              <w:rPr>
                <w:sz w:val="22"/>
              </w:rPr>
              <w:t>contaminación.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(7/7/2014)</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39" w:val="left" w:leader="none"/>
                <w:tab w:pos="1309" w:val="left" w:leader="none"/>
              </w:tabs>
              <w:spacing w:line="241" w:lineRule="exact"/>
              <w:rPr>
                <w:sz w:val="22"/>
              </w:rPr>
            </w:pPr>
            <w:r>
              <w:rPr>
                <w:sz w:val="22"/>
              </w:rPr>
              <w:t>y</w:t>
              <w:tab/>
              <w:t>para</w:t>
              <w:tab/>
              <w:t>los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animales  en la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región   porque</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se  utiliza</w:t>
            </w:r>
            <w:r>
              <w:rPr>
                <w:spacing w:val="60"/>
                <w:sz w:val="22"/>
              </w:rPr>
              <w:t> </w:t>
            </w:r>
            <w:r>
              <w:rPr>
                <w:sz w:val="22"/>
              </w:rPr>
              <w:t>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14" w:val="left" w:leader="none"/>
              </w:tabs>
              <w:spacing w:line="242" w:lineRule="exact"/>
              <w:rPr>
                <w:sz w:val="22"/>
              </w:rPr>
            </w:pPr>
            <w:r>
              <w:rPr>
                <w:sz w:val="22"/>
              </w:rPr>
              <w:t>riego,</w:t>
              <w:tab/>
              <w:t>existe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una asociación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40" w:val="left" w:leader="none"/>
              </w:tabs>
              <w:spacing w:line="242" w:lineRule="exact"/>
              <w:rPr>
                <w:sz w:val="22"/>
              </w:rPr>
            </w:pPr>
            <w:r>
              <w:rPr>
                <w:sz w:val="22"/>
              </w:rPr>
              <w:t>en</w:t>
              <w:tab/>
              <w:t>Arroyo</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Zarco  quienes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line="241" w:lineRule="exact"/>
              <w:rPr>
                <w:sz w:val="22"/>
              </w:rPr>
            </w:pPr>
            <w:r>
              <w:rPr>
                <w:sz w:val="22"/>
              </w:rPr>
              <w:t>tienen</w:t>
              <w:tab/>
              <w:t>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concesión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para  Aculco  y</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Polotitlán.</w:t>
            </w:r>
          </w:p>
        </w:tc>
        <w:tc>
          <w:tcPr>
            <w:tcW w:w="1985" w:type="dxa"/>
            <w:tcBorders>
              <w:top w:val="nil"/>
            </w:tcBorders>
          </w:tcPr>
          <w:p>
            <w:pPr/>
          </w:p>
        </w:tc>
      </w:tr>
      <w:tr>
        <w:trPr>
          <w:trHeight w:val="268" w:hRule="exact"/>
        </w:trPr>
        <w:tc>
          <w:tcPr>
            <w:tcW w:w="1385" w:type="dxa"/>
            <w:tcBorders>
              <w:bottom w:val="nil"/>
            </w:tcBorders>
          </w:tcPr>
          <w:p>
            <w:pPr>
              <w:pStyle w:val="TableParagraph"/>
              <w:spacing w:line="251" w:lineRule="exact"/>
              <w:ind w:right="127"/>
              <w:rPr>
                <w:sz w:val="22"/>
              </w:rPr>
            </w:pPr>
            <w:r>
              <w:rPr>
                <w:sz w:val="22"/>
              </w:rPr>
              <w:t>Yolanda</w:t>
            </w:r>
          </w:p>
        </w:tc>
        <w:tc>
          <w:tcPr>
            <w:tcW w:w="1418" w:type="dxa"/>
            <w:tcBorders>
              <w:bottom w:val="nil"/>
            </w:tcBorders>
          </w:tcPr>
          <w:p>
            <w:pPr>
              <w:pStyle w:val="TableParagraph"/>
              <w:spacing w:line="251" w:lineRule="exact"/>
              <w:ind w:left="100"/>
              <w:rPr>
                <w:sz w:val="22"/>
              </w:rPr>
            </w:pPr>
            <w:r>
              <w:rPr>
                <w:sz w:val="22"/>
              </w:rPr>
              <w:t>El   hogar  y</w:t>
            </w:r>
          </w:p>
        </w:tc>
        <w:tc>
          <w:tcPr>
            <w:tcW w:w="1417" w:type="dxa"/>
            <w:tcBorders>
              <w:bottom w:val="nil"/>
            </w:tcBorders>
          </w:tcPr>
          <w:p>
            <w:pPr>
              <w:pStyle w:val="TableParagraph"/>
              <w:spacing w:line="251" w:lineRule="exact"/>
              <w:ind w:left="100"/>
              <w:rPr>
                <w:sz w:val="22"/>
              </w:rPr>
            </w:pPr>
            <w:r>
              <w:rPr>
                <w:sz w:val="22"/>
              </w:rPr>
              <w:t>Delegada</w:t>
            </w:r>
          </w:p>
        </w:tc>
        <w:tc>
          <w:tcPr>
            <w:tcW w:w="1560" w:type="dxa"/>
            <w:tcBorders>
              <w:bottom w:val="nil"/>
            </w:tcBorders>
          </w:tcPr>
          <w:p>
            <w:pPr>
              <w:pStyle w:val="TableParagraph"/>
              <w:spacing w:line="251" w:lineRule="exact"/>
              <w:ind w:right="143"/>
              <w:rPr>
                <w:sz w:val="22"/>
              </w:rPr>
            </w:pPr>
            <w:r>
              <w:rPr>
                <w:sz w:val="22"/>
              </w:rPr>
              <w:t>El Saltillo</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633" w:val="left" w:leader="none"/>
              </w:tabs>
              <w:spacing w:line="251" w:lineRule="exact"/>
              <w:rPr>
                <w:sz w:val="22"/>
              </w:rPr>
            </w:pPr>
            <w:r>
              <w:rPr>
                <w:sz w:val="22"/>
              </w:rPr>
              <w:t>Sí</w:t>
              <w:tab/>
              <w:t>considero</w:t>
            </w:r>
          </w:p>
        </w:tc>
        <w:tc>
          <w:tcPr>
            <w:tcW w:w="1985" w:type="dxa"/>
            <w:tcBorders>
              <w:bottom w:val="nil"/>
            </w:tcBorders>
          </w:tcPr>
          <w:p>
            <w:pPr>
              <w:pStyle w:val="TableParagraph"/>
              <w:spacing w:line="251" w:lineRule="exact"/>
              <w:rPr>
                <w:sz w:val="22"/>
              </w:rPr>
            </w:pPr>
            <w:r>
              <w:rPr>
                <w:sz w:val="22"/>
              </w:rPr>
              <w:t>La  laguna  se  ha</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Lovera</w:t>
            </w:r>
          </w:p>
        </w:tc>
        <w:tc>
          <w:tcPr>
            <w:tcW w:w="1418" w:type="dxa"/>
            <w:tcBorders>
              <w:top w:val="nil"/>
              <w:bottom w:val="nil"/>
            </w:tcBorders>
          </w:tcPr>
          <w:p>
            <w:pPr>
              <w:pStyle w:val="TableParagraph"/>
              <w:spacing w:line="243" w:lineRule="exact"/>
              <w:ind w:left="100" w:right="101"/>
              <w:rPr>
                <w:sz w:val="22"/>
              </w:rPr>
            </w:pPr>
            <w:r>
              <w:rPr>
                <w:sz w:val="22"/>
              </w:rPr>
              <w:t>ser</w:t>
            </w:r>
          </w:p>
        </w:tc>
        <w:tc>
          <w:tcPr>
            <w:tcW w:w="1417" w:type="dxa"/>
            <w:tcBorders>
              <w:top w:val="nil"/>
              <w:bottom w:val="nil"/>
            </w:tcBorders>
          </w:tcPr>
          <w:p>
            <w:pPr>
              <w:pStyle w:val="TableParagraph"/>
              <w:spacing w:line="243"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3" w:lineRule="exact"/>
              <w:ind w:left="100"/>
              <w:rPr>
                <w:sz w:val="22"/>
              </w:rPr>
            </w:pPr>
            <w:r>
              <w:rPr>
                <w:w w:val="100"/>
                <w:sz w:val="22"/>
              </w:rPr>
              <w:t>c</w:t>
            </w:r>
          </w:p>
        </w:tc>
        <w:tc>
          <w:tcPr>
            <w:tcW w:w="1277" w:type="dxa"/>
            <w:tcBorders>
              <w:top w:val="nil"/>
              <w:bottom w:val="nil"/>
            </w:tcBorders>
          </w:tcPr>
          <w:p>
            <w:pPr>
              <w:pStyle w:val="TableParagraph"/>
              <w:spacing w:line="243" w:lineRule="exact"/>
              <w:ind w:right="92"/>
              <w:rPr>
                <w:sz w:val="22"/>
              </w:rPr>
            </w:pPr>
            <w:r>
              <w:rPr>
                <w:sz w:val="22"/>
              </w:rPr>
              <w:t>Jilotepec</w:t>
            </w:r>
          </w:p>
        </w:tc>
        <w:tc>
          <w:tcPr>
            <w:tcW w:w="1133" w:type="dxa"/>
            <w:tcBorders>
              <w:top w:val="nil"/>
              <w:bottom w:val="nil"/>
            </w:tcBorders>
          </w:tcPr>
          <w:p>
            <w:pPr>
              <w:pStyle w:val="TableParagraph"/>
              <w:spacing w:line="243" w:lineRule="exact"/>
              <w:ind w:left="100" w:right="52"/>
              <w:rPr>
                <w:sz w:val="22"/>
              </w:rPr>
            </w:pPr>
            <w:r>
              <w:rPr>
                <w:sz w:val="22"/>
              </w:rPr>
              <w:t>Saltillo,</w:t>
            </w:r>
          </w:p>
        </w:tc>
        <w:tc>
          <w:tcPr>
            <w:tcW w:w="1702" w:type="dxa"/>
            <w:tcBorders>
              <w:top w:val="nil"/>
              <w:bottom w:val="nil"/>
            </w:tcBorders>
          </w:tcPr>
          <w:p>
            <w:pPr>
              <w:pStyle w:val="TableParagraph"/>
              <w:tabs>
                <w:tab w:pos="1417" w:val="left" w:leader="none"/>
              </w:tabs>
              <w:spacing w:line="243" w:lineRule="exact"/>
              <w:rPr>
                <w:sz w:val="22"/>
              </w:rPr>
            </w:pPr>
            <w:r>
              <w:rPr>
                <w:sz w:val="22"/>
              </w:rPr>
              <w:t>importante</w:t>
              <w:tab/>
              <w:t>la</w:t>
            </w:r>
          </w:p>
        </w:tc>
        <w:tc>
          <w:tcPr>
            <w:tcW w:w="1985" w:type="dxa"/>
            <w:tcBorders>
              <w:top w:val="nil"/>
              <w:bottom w:val="nil"/>
            </w:tcBorders>
          </w:tcPr>
          <w:p>
            <w:pPr>
              <w:pStyle w:val="TableParagraph"/>
              <w:spacing w:line="243" w:lineRule="exact"/>
              <w:rPr>
                <w:sz w:val="22"/>
              </w:rPr>
            </w:pPr>
            <w:r>
              <w:rPr>
                <w:sz w:val="22"/>
              </w:rPr>
              <w:t>deteriorado con el</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Style w:val="TableParagraph"/>
              <w:spacing w:line="241" w:lineRule="exact"/>
              <w:ind w:left="100" w:right="101"/>
              <w:rPr>
                <w:sz w:val="22"/>
              </w:rPr>
            </w:pPr>
            <w:r>
              <w:rPr>
                <w:sz w:val="22"/>
              </w:rPr>
              <w:t>delegada</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Style w:val="TableParagraph"/>
              <w:spacing w:line="241" w:lineRule="exact"/>
              <w:rPr>
                <w:sz w:val="22"/>
              </w:rPr>
            </w:pPr>
            <w:r>
              <w:rPr>
                <w:sz w:val="22"/>
              </w:rPr>
              <w:t>laguna para mi</w:t>
            </w:r>
          </w:p>
        </w:tc>
        <w:tc>
          <w:tcPr>
            <w:tcW w:w="1985" w:type="dxa"/>
            <w:tcBorders>
              <w:top w:val="nil"/>
              <w:bottom w:val="nil"/>
            </w:tcBorders>
          </w:tcPr>
          <w:p>
            <w:pPr>
              <w:pStyle w:val="TableParagraph"/>
              <w:tabs>
                <w:tab w:pos="1074" w:val="left" w:leader="none"/>
                <w:tab w:pos="1703" w:val="left" w:leader="none"/>
              </w:tabs>
              <w:spacing w:line="241" w:lineRule="exact"/>
              <w:rPr>
                <w:sz w:val="22"/>
              </w:rPr>
            </w:pPr>
            <w:r>
              <w:rPr>
                <w:sz w:val="22"/>
              </w:rPr>
              <w:t>tiempo</w:t>
              <w:tab/>
              <w:t>por</w:t>
              <w:tab/>
              <w:t>la</w:t>
            </w: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418" w:type="dxa"/>
            <w:tcBorders>
              <w:top w:val="nil"/>
              <w:bottom w:val="nil"/>
            </w:tcBorders>
          </w:tcPr>
          <w:p>
            <w:pPr>
              <w:pStyle w:val="TableParagraph"/>
              <w:spacing w:line="241" w:lineRule="exact"/>
              <w:ind w:left="100" w:right="101"/>
              <w:rPr>
                <w:sz w:val="22"/>
              </w:rPr>
            </w:pPr>
            <w:r>
              <w:rPr>
                <w:sz w:val="22"/>
              </w:rPr>
              <w:t>municipal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comunidad y la</w:t>
            </w:r>
          </w:p>
        </w:tc>
        <w:tc>
          <w:tcPr>
            <w:tcW w:w="1985" w:type="dxa"/>
            <w:tcBorders>
              <w:top w:val="nil"/>
              <w:bottom w:val="nil"/>
            </w:tcBorders>
          </w:tcPr>
          <w:p>
            <w:pPr>
              <w:pStyle w:val="TableParagraph"/>
              <w:spacing w:line="241" w:lineRule="exact"/>
              <w:rPr>
                <w:sz w:val="22"/>
              </w:rPr>
            </w:pPr>
            <w:r>
              <w:rPr>
                <w:sz w:val="22"/>
              </w:rPr>
              <w:t>maleza,  la hierba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región   por   el</w:t>
            </w:r>
          </w:p>
        </w:tc>
        <w:tc>
          <w:tcPr>
            <w:tcW w:w="1985" w:type="dxa"/>
            <w:tcBorders>
              <w:top w:val="nil"/>
              <w:bottom w:val="nil"/>
            </w:tcBorders>
          </w:tcPr>
          <w:p>
            <w:pPr>
              <w:pStyle w:val="TableParagraph"/>
              <w:tabs>
                <w:tab w:pos="1698" w:val="left" w:leader="none"/>
              </w:tabs>
              <w:spacing w:line="242" w:lineRule="exact"/>
              <w:rPr>
                <w:sz w:val="22"/>
              </w:rPr>
            </w:pPr>
            <w:r>
              <w:rPr>
                <w:sz w:val="22"/>
              </w:rPr>
              <w:t>y</w:t>
              <w:tab/>
              <w:t>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9" w:val="left" w:leader="none"/>
              </w:tabs>
              <w:spacing w:line="241" w:lineRule="exact"/>
              <w:rPr>
                <w:sz w:val="22"/>
              </w:rPr>
            </w:pPr>
            <w:r>
              <w:rPr>
                <w:sz w:val="22"/>
              </w:rPr>
              <w:t>agua,</w:t>
              <w:tab/>
              <w:t>los</w:t>
            </w:r>
          </w:p>
        </w:tc>
        <w:tc>
          <w:tcPr>
            <w:tcW w:w="1985" w:type="dxa"/>
            <w:tcBorders>
              <w:top w:val="nil"/>
              <w:bottom w:val="nil"/>
            </w:tcBorders>
          </w:tcPr>
          <w:p>
            <w:pPr>
              <w:pStyle w:val="TableParagraph"/>
              <w:spacing w:line="241" w:lineRule="exact"/>
              <w:rPr>
                <w:sz w:val="22"/>
              </w:rPr>
            </w:pPr>
            <w:r>
              <w:rPr>
                <w:sz w:val="22"/>
              </w:rPr>
              <w:t>contaminación.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80" w:val="left" w:leader="none"/>
              </w:tabs>
              <w:spacing w:line="242" w:lineRule="exact"/>
              <w:rPr>
                <w:sz w:val="22"/>
              </w:rPr>
            </w:pPr>
            <w:r>
              <w:rPr>
                <w:sz w:val="22"/>
              </w:rPr>
              <w:t>peces</w:t>
              <w:tab/>
              <w:t>y</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porque  mucha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35" w:val="left" w:leader="none"/>
              </w:tabs>
              <w:spacing w:line="241" w:lineRule="exact"/>
              <w:rPr>
                <w:sz w:val="22"/>
              </w:rPr>
            </w:pPr>
            <w:r>
              <w:rPr>
                <w:sz w:val="22"/>
              </w:rPr>
              <w:t>gente</w:t>
              <w:tab/>
              <w:t>nos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mantenemos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de   aquí   y  el</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agua  se utiliza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para   riego  en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66" w:val="left" w:leader="none"/>
              </w:tabs>
              <w:spacing w:line="241" w:lineRule="exact"/>
              <w:rPr>
                <w:sz w:val="22"/>
              </w:rPr>
            </w:pPr>
            <w:r>
              <w:rPr>
                <w:sz w:val="22"/>
              </w:rPr>
              <w:t>Arroyo</w:t>
              <w:tab/>
              <w:t>Zarco,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Aculco,</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Encinillas, etc</w:t>
            </w:r>
          </w:p>
        </w:tc>
        <w:tc>
          <w:tcPr>
            <w:tcW w:w="1985" w:type="dxa"/>
            <w:tcBorders>
              <w:top w:val="nil"/>
            </w:tcBorders>
          </w:tcPr>
          <w:p>
            <w:pPr/>
          </w:p>
        </w:tc>
      </w:tr>
      <w:tr>
        <w:trPr>
          <w:trHeight w:val="290" w:hRule="exact"/>
        </w:trPr>
        <w:tc>
          <w:tcPr>
            <w:tcW w:w="1385" w:type="dxa"/>
          </w:tcPr>
          <w:p>
            <w:pPr>
              <w:pStyle w:val="TableParagraph"/>
              <w:spacing w:line="251" w:lineRule="exact"/>
              <w:ind w:right="127"/>
              <w:rPr>
                <w:sz w:val="22"/>
              </w:rPr>
            </w:pPr>
            <w:r>
              <w:rPr>
                <w:sz w:val="22"/>
              </w:rPr>
              <w:t>Ricardo</w:t>
            </w:r>
          </w:p>
        </w:tc>
        <w:tc>
          <w:tcPr>
            <w:tcW w:w="1418" w:type="dxa"/>
          </w:tcPr>
          <w:p>
            <w:pPr>
              <w:pStyle w:val="TableParagraph"/>
              <w:spacing w:line="251" w:lineRule="exact"/>
              <w:ind w:left="156" w:right="101"/>
              <w:rPr>
                <w:sz w:val="22"/>
              </w:rPr>
            </w:pPr>
            <w:r>
              <w:rPr>
                <w:sz w:val="22"/>
              </w:rPr>
              <w:t>El campo y</w:t>
            </w:r>
          </w:p>
        </w:tc>
        <w:tc>
          <w:tcPr>
            <w:tcW w:w="1417" w:type="dxa"/>
          </w:tcPr>
          <w:p>
            <w:pPr>
              <w:pStyle w:val="TableParagraph"/>
              <w:spacing w:line="251" w:lineRule="exact"/>
              <w:ind w:left="100"/>
              <w:rPr>
                <w:sz w:val="22"/>
              </w:rPr>
            </w:pPr>
            <w:r>
              <w:rPr>
                <w:sz w:val="22"/>
              </w:rPr>
              <w:t>Delegado</w:t>
            </w:r>
          </w:p>
        </w:tc>
        <w:tc>
          <w:tcPr>
            <w:tcW w:w="1560" w:type="dxa"/>
          </w:tcPr>
          <w:p>
            <w:pPr>
              <w:pStyle w:val="TableParagraph"/>
              <w:spacing w:line="251" w:lineRule="exact"/>
              <w:ind w:right="143"/>
              <w:rPr>
                <w:sz w:val="22"/>
              </w:rPr>
            </w:pPr>
            <w:r>
              <w:rPr>
                <w:sz w:val="22"/>
              </w:rPr>
              <w:t>San Martín</w:t>
            </w:r>
          </w:p>
        </w:tc>
        <w:tc>
          <w:tcPr>
            <w:tcW w:w="991" w:type="dxa"/>
          </w:tcPr>
          <w:p>
            <w:pPr>
              <w:pStyle w:val="TableParagraph"/>
              <w:spacing w:line="251" w:lineRule="exact"/>
              <w:ind w:left="100"/>
              <w:rPr>
                <w:sz w:val="22"/>
              </w:rPr>
            </w:pPr>
            <w:r>
              <w:rPr>
                <w:sz w:val="22"/>
              </w:rPr>
              <w:t>Aculco</w:t>
            </w:r>
          </w:p>
        </w:tc>
        <w:tc>
          <w:tcPr>
            <w:tcW w:w="1277" w:type="dxa"/>
          </w:tcPr>
          <w:p>
            <w:pPr>
              <w:pStyle w:val="TableParagraph"/>
              <w:spacing w:line="251" w:lineRule="exact"/>
              <w:ind w:right="92"/>
              <w:rPr>
                <w:sz w:val="22"/>
              </w:rPr>
            </w:pPr>
            <w:r>
              <w:rPr>
                <w:sz w:val="22"/>
              </w:rPr>
              <w:t>San</w:t>
            </w:r>
          </w:p>
        </w:tc>
        <w:tc>
          <w:tcPr>
            <w:tcW w:w="1133" w:type="dxa"/>
          </w:tcPr>
          <w:p>
            <w:pPr>
              <w:pStyle w:val="TableParagraph"/>
              <w:spacing w:line="251" w:lineRule="exact"/>
              <w:ind w:left="100" w:right="52"/>
              <w:rPr>
                <w:sz w:val="22"/>
              </w:rPr>
            </w:pPr>
            <w:r>
              <w:rPr>
                <w:sz w:val="22"/>
              </w:rPr>
              <w:t>San</w:t>
            </w:r>
          </w:p>
        </w:tc>
        <w:tc>
          <w:tcPr>
            <w:tcW w:w="1702" w:type="dxa"/>
          </w:tcPr>
          <w:p>
            <w:pPr>
              <w:pStyle w:val="TableParagraph"/>
              <w:spacing w:line="251" w:lineRule="exact"/>
              <w:rPr>
                <w:sz w:val="22"/>
              </w:rPr>
            </w:pPr>
            <w:r>
              <w:rPr>
                <w:sz w:val="22"/>
              </w:rPr>
              <w:t>Sí   cómo   no!,</w:t>
            </w:r>
          </w:p>
        </w:tc>
        <w:tc>
          <w:tcPr>
            <w:tcW w:w="1985" w:type="dxa"/>
          </w:tcPr>
          <w:p>
            <w:pPr>
              <w:pStyle w:val="TableParagraph"/>
              <w:spacing w:line="251" w:lineRule="exact"/>
              <w:rPr>
                <w:sz w:val="22"/>
              </w:rPr>
            </w:pPr>
            <w:r>
              <w:rPr>
                <w:sz w:val="22"/>
              </w:rPr>
              <w:t>No   es   tanto,  el</w:t>
            </w:r>
          </w:p>
        </w:tc>
      </w:tr>
    </w:tbl>
    <w:p>
      <w:pPr>
        <w:spacing w:after="0" w:line="25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right="127"/>
              <w:rPr>
                <w:sz w:val="22"/>
              </w:rPr>
            </w:pPr>
            <w:r>
              <w:rPr>
                <w:sz w:val="22"/>
              </w:rPr>
              <w:t>Rodríguez</w:t>
            </w:r>
          </w:p>
        </w:tc>
        <w:tc>
          <w:tcPr>
            <w:tcW w:w="1418" w:type="dxa"/>
            <w:tcBorders>
              <w:bottom w:val="nil"/>
            </w:tcBorders>
          </w:tcPr>
          <w:p>
            <w:pPr>
              <w:pStyle w:val="TableParagraph"/>
              <w:spacing w:line="251" w:lineRule="exact"/>
              <w:ind w:left="102" w:right="102"/>
              <w:jc w:val="center"/>
              <w:rPr>
                <w:sz w:val="22"/>
              </w:rPr>
            </w:pPr>
            <w:r>
              <w:rPr>
                <w:sz w:val="22"/>
              </w:rPr>
              <w:t>el ganado</w:t>
            </w:r>
          </w:p>
        </w:tc>
        <w:tc>
          <w:tcPr>
            <w:tcW w:w="1417" w:type="dxa"/>
            <w:tcBorders>
              <w:bottom w:val="nil"/>
            </w:tcBorders>
          </w:tcPr>
          <w:p>
            <w:pPr>
              <w:pStyle w:val="TableParagraph"/>
              <w:spacing w:line="251" w:lineRule="exact"/>
              <w:ind w:left="100"/>
              <w:rPr>
                <w:sz w:val="22"/>
              </w:rPr>
            </w:pPr>
            <w:r>
              <w:rPr>
                <w:sz w:val="22"/>
              </w:rPr>
              <w:t>Municipal</w:t>
            </w:r>
          </w:p>
        </w:tc>
        <w:tc>
          <w:tcPr>
            <w:tcW w:w="1560" w:type="dxa"/>
            <w:vMerge w:val="restart"/>
          </w:tcPr>
          <w:p>
            <w:pPr/>
          </w:p>
        </w:tc>
        <w:tc>
          <w:tcPr>
            <w:tcW w:w="991" w:type="dxa"/>
            <w:vMerge w:val="restart"/>
          </w:tcPr>
          <w:p>
            <w:pPr/>
          </w:p>
        </w:tc>
        <w:tc>
          <w:tcPr>
            <w:tcW w:w="1277" w:type="dxa"/>
            <w:tcBorders>
              <w:bottom w:val="nil"/>
            </w:tcBorders>
          </w:tcPr>
          <w:p>
            <w:pPr>
              <w:pStyle w:val="TableParagraph"/>
              <w:spacing w:line="251" w:lineRule="exact"/>
              <w:ind w:right="92"/>
              <w:rPr>
                <w:sz w:val="22"/>
              </w:rPr>
            </w:pPr>
            <w:r>
              <w:rPr>
                <w:sz w:val="22"/>
              </w:rPr>
              <w:t>Martín,</w:t>
            </w:r>
          </w:p>
        </w:tc>
        <w:tc>
          <w:tcPr>
            <w:tcW w:w="1133" w:type="dxa"/>
            <w:tcBorders>
              <w:bottom w:val="nil"/>
            </w:tcBorders>
          </w:tcPr>
          <w:p>
            <w:pPr>
              <w:pStyle w:val="TableParagraph"/>
              <w:spacing w:line="251" w:lineRule="exact"/>
              <w:ind w:left="100" w:right="52"/>
              <w:rPr>
                <w:sz w:val="22"/>
              </w:rPr>
            </w:pPr>
            <w:r>
              <w:rPr>
                <w:sz w:val="22"/>
              </w:rPr>
              <w:t>Martín,</w:t>
            </w:r>
          </w:p>
        </w:tc>
        <w:tc>
          <w:tcPr>
            <w:tcW w:w="1702" w:type="dxa"/>
            <w:tcBorders>
              <w:bottom w:val="nil"/>
            </w:tcBorders>
          </w:tcPr>
          <w:p>
            <w:pPr>
              <w:pStyle w:val="TableParagraph"/>
              <w:tabs>
                <w:tab w:pos="1235" w:val="left" w:leader="none"/>
              </w:tabs>
              <w:spacing w:line="251" w:lineRule="exact"/>
              <w:rPr>
                <w:sz w:val="22"/>
              </w:rPr>
            </w:pPr>
            <w:r>
              <w:rPr>
                <w:sz w:val="22"/>
              </w:rPr>
              <w:t>porque</w:t>
              <w:tab/>
              <w:t>son</w:t>
            </w:r>
          </w:p>
        </w:tc>
        <w:tc>
          <w:tcPr>
            <w:tcW w:w="1985" w:type="dxa"/>
            <w:tcBorders>
              <w:bottom w:val="nil"/>
            </w:tcBorders>
          </w:tcPr>
          <w:p>
            <w:pPr>
              <w:pStyle w:val="TableParagraph"/>
              <w:spacing w:line="251" w:lineRule="exact"/>
              <w:rPr>
                <w:sz w:val="22"/>
              </w:rPr>
            </w:pPr>
            <w:r>
              <w:rPr>
                <w:sz w:val="22"/>
              </w:rPr>
              <w:t>problema  es  que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Galván</w:t>
            </w: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spacing w:line="241" w:lineRule="exact"/>
              <w:rPr>
                <w:sz w:val="22"/>
              </w:rPr>
            </w:pPr>
            <w:r>
              <w:rPr>
                <w:sz w:val="22"/>
              </w:rPr>
              <w:t>beneficiadas</w:t>
            </w:r>
          </w:p>
        </w:tc>
        <w:tc>
          <w:tcPr>
            <w:tcW w:w="1985" w:type="dxa"/>
            <w:tcBorders>
              <w:top w:val="nil"/>
              <w:bottom w:val="nil"/>
            </w:tcBorders>
          </w:tcPr>
          <w:p>
            <w:pPr>
              <w:pStyle w:val="TableParagraph"/>
              <w:spacing w:line="241" w:lineRule="exact"/>
              <w:rPr>
                <w:sz w:val="22"/>
              </w:rPr>
            </w:pPr>
            <w:r>
              <w:rPr>
                <w:sz w:val="22"/>
              </w:rPr>
              <w:t>ya   no   se  llena,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(3/8/2014)</w:t>
            </w: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48</w:t>
            </w:r>
          </w:p>
        </w:tc>
        <w:tc>
          <w:tcPr>
            <w:tcW w:w="1985" w:type="dxa"/>
            <w:tcBorders>
              <w:top w:val="nil"/>
              <w:bottom w:val="nil"/>
            </w:tcBorders>
          </w:tcPr>
          <w:p>
            <w:pPr>
              <w:pStyle w:val="TableParagraph"/>
              <w:spacing w:line="242" w:lineRule="exact"/>
              <w:rPr>
                <w:sz w:val="22"/>
              </w:rPr>
            </w:pPr>
            <w:r>
              <w:rPr>
                <w:sz w:val="22"/>
              </w:rPr>
              <w:t>recuerdo  que  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comunidades,</w:t>
            </w:r>
          </w:p>
        </w:tc>
        <w:tc>
          <w:tcPr>
            <w:tcW w:w="1985" w:type="dxa"/>
            <w:tcBorders>
              <w:top w:val="nil"/>
              <w:bottom w:val="nil"/>
            </w:tcBorders>
          </w:tcPr>
          <w:p>
            <w:pPr>
              <w:pStyle w:val="TableParagraph"/>
              <w:spacing w:line="241" w:lineRule="exact"/>
              <w:rPr>
                <w:sz w:val="22"/>
              </w:rPr>
            </w:pPr>
            <w:r>
              <w:rPr>
                <w:sz w:val="22"/>
              </w:rPr>
              <w:t>el  66  si  se llenó,</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575" w:val="left" w:leader="none"/>
                <w:tab w:pos="1343" w:val="left" w:leader="none"/>
              </w:tabs>
              <w:spacing w:line="242" w:lineRule="exact"/>
              <w:rPr>
                <w:sz w:val="22"/>
              </w:rPr>
            </w:pPr>
            <w:r>
              <w:rPr>
                <w:sz w:val="22"/>
              </w:rPr>
              <w:t>el</w:t>
              <w:tab/>
              <w:t>ejido</w:t>
              <w:tab/>
              <w:t>de</w:t>
            </w:r>
          </w:p>
        </w:tc>
        <w:tc>
          <w:tcPr>
            <w:tcW w:w="1985" w:type="dxa"/>
            <w:tcBorders>
              <w:top w:val="nil"/>
              <w:bottom w:val="nil"/>
            </w:tcBorders>
          </w:tcPr>
          <w:p>
            <w:pPr>
              <w:pStyle w:val="TableParagraph"/>
              <w:spacing w:line="242" w:lineRule="exact"/>
              <w:rPr>
                <w:sz w:val="22"/>
              </w:rPr>
            </w:pPr>
            <w:r>
              <w:rPr>
                <w:sz w:val="22"/>
              </w:rPr>
              <w:t>llegaba   hasta  la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41" w:val="left" w:leader="none"/>
                <w:tab w:pos="1197" w:val="left" w:leader="none"/>
              </w:tabs>
              <w:spacing w:line="241" w:lineRule="exact"/>
              <w:rPr>
                <w:sz w:val="22"/>
              </w:rPr>
            </w:pPr>
            <w:r>
              <w:rPr>
                <w:sz w:val="22"/>
              </w:rPr>
              <w:t>aquí</w:t>
              <w:tab/>
              <w:t>de</w:t>
              <w:tab/>
              <w:t>San</w:t>
            </w:r>
          </w:p>
        </w:tc>
        <w:tc>
          <w:tcPr>
            <w:tcW w:w="1985" w:type="dxa"/>
            <w:tcBorders>
              <w:top w:val="nil"/>
              <w:bottom w:val="nil"/>
            </w:tcBorders>
          </w:tcPr>
          <w:p>
            <w:pPr>
              <w:pStyle w:val="TableParagraph"/>
              <w:tabs>
                <w:tab w:pos="1628" w:val="left" w:leader="none"/>
              </w:tabs>
              <w:spacing w:line="241" w:lineRule="exact"/>
              <w:rPr>
                <w:sz w:val="22"/>
              </w:rPr>
            </w:pPr>
            <w:r>
              <w:rPr>
                <w:sz w:val="22"/>
              </w:rPr>
              <w:t>carretera</w:t>
              <w:tab/>
              <w:t>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Martín  se creó</w:t>
            </w:r>
          </w:p>
        </w:tc>
        <w:tc>
          <w:tcPr>
            <w:tcW w:w="1985" w:type="dxa"/>
            <w:tcBorders>
              <w:top w:val="nil"/>
              <w:bottom w:val="nil"/>
            </w:tcBorders>
          </w:tcPr>
          <w:p>
            <w:pPr>
              <w:pStyle w:val="TableParagraph"/>
              <w:tabs>
                <w:tab w:pos="1763" w:val="left" w:leader="none"/>
              </w:tabs>
              <w:spacing w:line="241" w:lineRule="exact"/>
              <w:rPr>
                <w:sz w:val="22"/>
              </w:rPr>
            </w:pPr>
            <w:r>
              <w:rPr>
                <w:sz w:val="22"/>
              </w:rPr>
              <w:t>Timilpan</w:t>
              <w:tab/>
              <w:t>y</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98" w:val="left" w:leader="none"/>
              </w:tabs>
              <w:spacing w:line="242" w:lineRule="exact"/>
              <w:rPr>
                <w:sz w:val="22"/>
              </w:rPr>
            </w:pPr>
            <w:r>
              <w:rPr>
                <w:sz w:val="22"/>
              </w:rPr>
              <w:t>en</w:t>
              <w:tab/>
              <w:t>1933</w:t>
            </w:r>
          </w:p>
        </w:tc>
        <w:tc>
          <w:tcPr>
            <w:tcW w:w="1985" w:type="dxa"/>
            <w:tcBorders>
              <w:top w:val="nil"/>
              <w:bottom w:val="nil"/>
            </w:tcBorders>
          </w:tcPr>
          <w:p>
            <w:pPr>
              <w:pStyle w:val="TableParagraph"/>
              <w:spacing w:line="242" w:lineRule="exact"/>
              <w:rPr>
                <w:sz w:val="22"/>
              </w:rPr>
            </w:pPr>
            <w:r>
              <w:rPr>
                <w:sz w:val="22"/>
              </w:rPr>
              <w:t>Acambay.</w:t>
            </w: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53" w:val="left" w:leader="none"/>
              </w:tabs>
              <w:spacing w:line="241" w:lineRule="exact"/>
              <w:rPr>
                <w:sz w:val="22"/>
              </w:rPr>
            </w:pPr>
            <w:r>
              <w:rPr>
                <w:sz w:val="22"/>
              </w:rPr>
              <w:t>porque</w:t>
              <w:tab/>
              <w:t>antes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43" w:val="left" w:leader="none"/>
                <w:tab w:pos="1310" w:val="left" w:leader="none"/>
              </w:tabs>
              <w:spacing w:line="242" w:lineRule="exact"/>
              <w:rPr>
                <w:sz w:val="22"/>
              </w:rPr>
            </w:pPr>
            <w:r>
              <w:rPr>
                <w:sz w:val="22"/>
              </w:rPr>
              <w:t>era</w:t>
              <w:tab/>
              <w:t>de</w:t>
              <w:tab/>
              <w:t>los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hacendados.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614" w:val="left" w:leader="none"/>
                <w:tab w:pos="1418" w:val="left" w:leader="none"/>
              </w:tabs>
              <w:spacing w:line="241" w:lineRule="exact"/>
              <w:rPr>
                <w:sz w:val="22"/>
              </w:rPr>
            </w:pPr>
            <w:r>
              <w:rPr>
                <w:sz w:val="22"/>
              </w:rPr>
              <w:t>El</w:t>
              <w:tab/>
              <w:t>agua</w:t>
              <w:tab/>
              <w:t>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4" w:val="left" w:leader="none"/>
              </w:tabs>
              <w:spacing w:line="242" w:lineRule="exact"/>
              <w:rPr>
                <w:sz w:val="22"/>
              </w:rPr>
            </w:pPr>
            <w:r>
              <w:rPr>
                <w:sz w:val="22"/>
              </w:rPr>
              <w:t>utilizan</w:t>
              <w:tab/>
              <w:t>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80" w:val="left" w:leader="none"/>
              </w:tabs>
              <w:spacing w:line="241" w:lineRule="exact"/>
              <w:rPr>
                <w:sz w:val="22"/>
              </w:rPr>
            </w:pPr>
            <w:r>
              <w:rPr>
                <w:sz w:val="22"/>
              </w:rPr>
              <w:t>forraje</w:t>
              <w:tab/>
              <w:t>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praderas   más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para vacas, en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78" w:val="left" w:leader="none"/>
              </w:tabs>
              <w:spacing w:line="241" w:lineRule="exact"/>
              <w:rPr>
                <w:sz w:val="22"/>
              </w:rPr>
            </w:pPr>
            <w:r>
              <w:rPr>
                <w:sz w:val="22"/>
              </w:rPr>
              <w:t>Encinillas</w:t>
              <w:tab/>
              <w:t>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26" w:val="left" w:leader="none"/>
              </w:tabs>
              <w:spacing w:line="242" w:lineRule="exact"/>
              <w:rPr>
                <w:sz w:val="22"/>
              </w:rPr>
            </w:pPr>
            <w:r>
              <w:rPr>
                <w:sz w:val="22"/>
              </w:rPr>
              <w:t>Arroyo</w:t>
              <w:tab/>
              <w:t>Zarco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vMerge/>
          </w:tcPr>
          <w:p>
            <w:pPr/>
          </w:p>
        </w:tc>
        <w:tc>
          <w:tcPr>
            <w:tcW w:w="991" w:type="dxa"/>
            <w:vMerge/>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es  donde más</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vMerge/>
          </w:tcPr>
          <w:p>
            <w:pPr/>
          </w:p>
        </w:tc>
        <w:tc>
          <w:tcPr>
            <w:tcW w:w="991" w:type="dxa"/>
            <w:vMerge/>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se benefician.</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Ricardo</w:t>
            </w:r>
          </w:p>
        </w:tc>
        <w:tc>
          <w:tcPr>
            <w:tcW w:w="1418" w:type="dxa"/>
            <w:tcBorders>
              <w:bottom w:val="nil"/>
            </w:tcBorders>
          </w:tcPr>
          <w:p>
            <w:pPr>
              <w:pStyle w:val="TableParagraph"/>
              <w:spacing w:line="251" w:lineRule="exact"/>
              <w:ind w:left="99" w:right="104"/>
              <w:jc w:val="center"/>
              <w:rPr>
                <w:sz w:val="22"/>
              </w:rPr>
            </w:pPr>
            <w:r>
              <w:rPr>
                <w:sz w:val="22"/>
              </w:rPr>
              <w:t>Albañilería</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El Azafrán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El</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tabs>
                <w:tab w:pos="1355" w:val="left" w:leader="none"/>
              </w:tabs>
              <w:spacing w:line="251" w:lineRule="exact"/>
              <w:rPr>
                <w:sz w:val="22"/>
              </w:rPr>
            </w:pPr>
            <w:r>
              <w:rPr>
                <w:sz w:val="22"/>
              </w:rPr>
              <w:t>Sí</w:t>
              <w:tab/>
              <w:t>es</w:t>
            </w:r>
          </w:p>
        </w:tc>
        <w:tc>
          <w:tcPr>
            <w:tcW w:w="1985" w:type="dxa"/>
            <w:tcBorders>
              <w:bottom w:val="nil"/>
            </w:tcBorders>
          </w:tcPr>
          <w:p>
            <w:pPr>
              <w:pStyle w:val="TableParagraph"/>
              <w:tabs>
                <w:tab w:pos="657" w:val="left" w:leader="none"/>
                <w:tab w:pos="1629" w:val="left" w:leader="none"/>
              </w:tabs>
              <w:spacing w:line="251" w:lineRule="exact"/>
              <w:rPr>
                <w:sz w:val="22"/>
              </w:rPr>
            </w:pPr>
            <w:r>
              <w:rPr>
                <w:sz w:val="22"/>
              </w:rPr>
              <w:t>La</w:t>
              <w:tab/>
              <w:t>laguna</w:t>
              <w:tab/>
              <w:t>de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Cristóbal</w:t>
            </w:r>
          </w:p>
        </w:tc>
        <w:tc>
          <w:tcPr>
            <w:tcW w:w="1418" w:type="dxa"/>
            <w:tcBorders>
              <w:top w:val="nil"/>
              <w:bottom w:val="nil"/>
            </w:tcBorders>
          </w:tcPr>
          <w:p>
            <w:pPr>
              <w:pStyle w:val="TableParagraph"/>
              <w:spacing w:line="242" w:lineRule="exact"/>
              <w:ind w:left="102" w:right="102"/>
              <w:jc w:val="center"/>
              <w:rPr>
                <w:sz w:val="22"/>
              </w:rPr>
            </w:pPr>
            <w:r>
              <w:rPr>
                <w:sz w:val="22"/>
              </w:rPr>
              <w:t>y el campo</w:t>
            </w:r>
          </w:p>
        </w:tc>
        <w:tc>
          <w:tcPr>
            <w:tcW w:w="1417" w:type="dxa"/>
            <w:tcBorders>
              <w:top w:val="nil"/>
              <w:bottom w:val="nil"/>
            </w:tcBorders>
          </w:tcPr>
          <w:p>
            <w:pPr>
              <w:pStyle w:val="TableParagraph"/>
              <w:spacing w:line="242"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Azafrán,</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1702" w:type="dxa"/>
            <w:tcBorders>
              <w:top w:val="nil"/>
              <w:bottom w:val="nil"/>
            </w:tcBorders>
          </w:tcPr>
          <w:p>
            <w:pPr>
              <w:pStyle w:val="TableParagraph"/>
              <w:spacing w:line="242" w:lineRule="exact"/>
              <w:rPr>
                <w:sz w:val="22"/>
              </w:rPr>
            </w:pPr>
            <w:r>
              <w:rPr>
                <w:sz w:val="22"/>
              </w:rPr>
              <w:t>importante</w:t>
            </w:r>
          </w:p>
        </w:tc>
        <w:tc>
          <w:tcPr>
            <w:tcW w:w="1985" w:type="dxa"/>
            <w:tcBorders>
              <w:top w:val="nil"/>
              <w:bottom w:val="nil"/>
            </w:tcBorders>
          </w:tcPr>
          <w:p>
            <w:pPr>
              <w:pStyle w:val="TableParagraph"/>
              <w:spacing w:line="242" w:lineRule="exact"/>
              <w:rPr>
                <w:sz w:val="22"/>
              </w:rPr>
            </w:pPr>
            <w:r>
              <w:rPr>
                <w:sz w:val="22"/>
              </w:rPr>
              <w:t>Huapango  se  ha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Ramírez</w:t>
            </w:r>
          </w:p>
        </w:tc>
        <w:tc>
          <w:tcPr>
            <w:tcW w:w="1418" w:type="dxa"/>
            <w:tcBorders>
              <w:top w:val="nil"/>
              <w:bottom w:val="nil"/>
            </w:tcBorders>
          </w:tcPr>
          <w:p>
            <w:pPr/>
          </w:p>
        </w:tc>
        <w:tc>
          <w:tcPr>
            <w:tcW w:w="1417" w:type="dxa"/>
            <w:tcBorders>
              <w:top w:val="nil"/>
              <w:bottom w:val="nil"/>
            </w:tcBorders>
          </w:tcPr>
          <w:p>
            <w:pPr>
              <w:pStyle w:val="TableParagraph"/>
              <w:tabs>
                <w:tab w:pos="1132" w:val="left" w:leader="none"/>
              </w:tabs>
              <w:spacing w:line="241"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tabs>
                <w:tab w:pos="1417" w:val="left" w:leader="none"/>
              </w:tabs>
              <w:spacing w:line="241" w:lineRule="exact"/>
              <w:rPr>
                <w:sz w:val="22"/>
              </w:rPr>
            </w:pPr>
            <w:r>
              <w:rPr>
                <w:sz w:val="22"/>
              </w:rPr>
              <w:t>para</w:t>
              <w:tab/>
              <w:t>la</w:t>
            </w:r>
          </w:p>
        </w:tc>
        <w:tc>
          <w:tcPr>
            <w:tcW w:w="1985" w:type="dxa"/>
            <w:tcBorders>
              <w:top w:val="nil"/>
              <w:bottom w:val="nil"/>
            </w:tcBorders>
          </w:tcPr>
          <w:p>
            <w:pPr>
              <w:pStyle w:val="TableParagraph"/>
              <w:spacing w:line="241" w:lineRule="exact"/>
              <w:rPr>
                <w:sz w:val="22"/>
              </w:rPr>
            </w:pPr>
            <w:r>
              <w:rPr>
                <w:sz w:val="22"/>
              </w:rPr>
              <w:t>deteriorado con 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(3/8/2014)</w:t>
            </w: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primera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comunidad y la</w:t>
            </w:r>
          </w:p>
        </w:tc>
        <w:tc>
          <w:tcPr>
            <w:tcW w:w="1985" w:type="dxa"/>
            <w:tcBorders>
              <w:top w:val="nil"/>
              <w:bottom w:val="nil"/>
            </w:tcBorders>
          </w:tcPr>
          <w:p>
            <w:pPr>
              <w:pStyle w:val="TableParagraph"/>
              <w:tabs>
                <w:tab w:pos="1074" w:val="left" w:leader="none"/>
                <w:tab w:pos="1703" w:val="left" w:leader="none"/>
              </w:tabs>
              <w:spacing w:line="241" w:lineRule="exact"/>
              <w:rPr>
                <w:sz w:val="22"/>
              </w:rPr>
            </w:pPr>
            <w:r>
              <w:rPr>
                <w:sz w:val="22"/>
              </w:rPr>
              <w:t>tiempo</w:t>
              <w:tab/>
              <w:t>por</w:t>
              <w:tab/>
              <w:t>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2"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región   porque</w:t>
            </w:r>
          </w:p>
        </w:tc>
        <w:tc>
          <w:tcPr>
            <w:tcW w:w="1985" w:type="dxa"/>
            <w:tcBorders>
              <w:top w:val="nil"/>
              <w:bottom w:val="nil"/>
            </w:tcBorders>
          </w:tcPr>
          <w:p>
            <w:pPr>
              <w:pStyle w:val="TableParagraph"/>
              <w:spacing w:line="242" w:lineRule="exact"/>
              <w:rPr>
                <w:sz w:val="22"/>
              </w:rPr>
            </w:pPr>
            <w:r>
              <w:rPr>
                <w:sz w:val="22"/>
              </w:rPr>
              <w:t>contaminación.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1108" w:val="left" w:leader="none"/>
              </w:tabs>
              <w:spacing w:line="241" w:lineRule="exact"/>
              <w:ind w:left="100"/>
              <w:rPr>
                <w:sz w:val="22"/>
              </w:rPr>
            </w:pPr>
            <w:r>
              <w:rPr>
                <w:sz w:val="22"/>
              </w:rPr>
              <w:t>de</w:t>
              <w:tab/>
              <w:t>El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tenemos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2" w:lineRule="exact"/>
              <w:ind w:left="100"/>
              <w:rPr>
                <w:sz w:val="22"/>
              </w:rPr>
            </w:pPr>
            <w:r>
              <w:rPr>
                <w:sz w:val="22"/>
              </w:rPr>
              <w:t>Azafrán</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muchos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line="241" w:lineRule="exact"/>
              <w:rPr>
                <w:sz w:val="22"/>
              </w:rPr>
            </w:pPr>
            <w:r>
              <w:rPr>
                <w:sz w:val="22"/>
              </w:rPr>
              <w:t>beneficios,</w:t>
              <w:tab/>
              <w:t>lo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único   es </w:t>
            </w:r>
            <w:r>
              <w:rPr>
                <w:spacing w:val="54"/>
                <w:sz w:val="22"/>
              </w:rPr>
              <w:t> </w:t>
            </w:r>
            <w:r>
              <w:rPr>
                <w:sz w:val="22"/>
              </w:rPr>
              <w:t>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683" w:val="left" w:leader="none"/>
              </w:tabs>
              <w:spacing w:line="242" w:lineRule="exact"/>
              <w:rPr>
                <w:sz w:val="22"/>
              </w:rPr>
            </w:pPr>
            <w:r>
              <w:rPr>
                <w:sz w:val="22"/>
              </w:rPr>
              <w:t>no</w:t>
              <w:tab/>
              <w:t>podemos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7" w:val="left" w:leader="none"/>
              </w:tabs>
              <w:spacing w:line="241" w:lineRule="exact"/>
              <w:rPr>
                <w:sz w:val="22"/>
              </w:rPr>
            </w:pPr>
            <w:r>
              <w:rPr>
                <w:sz w:val="22"/>
              </w:rPr>
              <w:t>agarrar</w:t>
              <w:tab/>
              <w:t>el</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904" w:val="left" w:leader="none"/>
              </w:tabs>
              <w:spacing w:line="242" w:lineRule="exact"/>
              <w:rPr>
                <w:sz w:val="22"/>
              </w:rPr>
            </w:pPr>
            <w:r>
              <w:rPr>
                <w:sz w:val="22"/>
              </w:rPr>
              <w:t>agua</w:t>
              <w:tab/>
              <w:t>porque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418" w:val="left" w:leader="none"/>
              </w:tabs>
              <w:spacing w:line="241" w:lineRule="exact"/>
              <w:rPr>
                <w:sz w:val="22"/>
              </w:rPr>
            </w:pPr>
            <w:r>
              <w:rPr>
                <w:sz w:val="22"/>
              </w:rPr>
              <w:t>nos</w:t>
              <w:tab/>
              <w:t>lo</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prohíben</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3046"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tabs>
                <w:tab w:pos="554" w:val="left" w:leader="none"/>
                <w:tab w:pos="884" w:val="left" w:leader="none"/>
                <w:tab w:pos="930" w:val="left" w:leader="none"/>
                <w:tab w:pos="1199" w:val="left" w:leader="none"/>
                <w:tab w:pos="1417" w:val="left" w:leader="none"/>
                <w:tab w:pos="1478" w:val="left" w:leader="none"/>
              </w:tabs>
              <w:ind w:right="98"/>
              <w:rPr>
                <w:sz w:val="22"/>
              </w:rPr>
            </w:pPr>
            <w:r>
              <w:rPr>
                <w:sz w:val="22"/>
              </w:rPr>
              <w:t>porque el agua de</w:t>
              <w:tab/>
              <w:t>la</w:t>
              <w:tab/>
              <w:tab/>
            </w:r>
            <w:r>
              <w:rPr>
                <w:spacing w:val="-1"/>
                <w:sz w:val="22"/>
              </w:rPr>
              <w:t>laguna </w:t>
            </w:r>
            <w:r>
              <w:rPr>
                <w:sz w:val="22"/>
              </w:rPr>
              <w:t>de</w:t>
              <w:tab/>
              <w:t>Huapango la utilizan para riego</w:t>
              <w:tab/>
              <w:t>en</w:t>
              <w:tab/>
              <w:tab/>
              <w:t>el Ejido de San Martín, Arroyo Zarco,</w:t>
              <w:tab/>
              <w:tab/>
              <w:tab/>
              <w:t>San Juan del Río, Encinillas</w:t>
              <w:tab/>
              <w:tab/>
              <w:tab/>
              <w:t>y otras comunidades.</w:t>
            </w:r>
          </w:p>
        </w:tc>
        <w:tc>
          <w:tcPr>
            <w:tcW w:w="1985" w:type="dxa"/>
          </w:tcPr>
          <w:p>
            <w:pPr/>
          </w:p>
        </w:tc>
      </w:tr>
      <w:tr>
        <w:trPr>
          <w:trHeight w:val="5576" w:hRule="exact"/>
        </w:trPr>
        <w:tc>
          <w:tcPr>
            <w:tcW w:w="1385" w:type="dxa"/>
          </w:tcPr>
          <w:p>
            <w:pPr>
              <w:pStyle w:val="TableParagraph"/>
              <w:ind w:right="249"/>
              <w:rPr>
                <w:sz w:val="22"/>
              </w:rPr>
            </w:pPr>
            <w:r>
              <w:rPr>
                <w:sz w:val="22"/>
              </w:rPr>
              <w:t>Pablo Martínez García (3/8/2014)</w:t>
            </w:r>
          </w:p>
        </w:tc>
        <w:tc>
          <w:tcPr>
            <w:tcW w:w="1418" w:type="dxa"/>
          </w:tcPr>
          <w:p>
            <w:pPr>
              <w:pStyle w:val="TableParagraph"/>
              <w:tabs>
                <w:tab w:pos="623" w:val="left" w:leader="none"/>
                <w:tab w:pos="1132" w:val="left" w:leader="none"/>
              </w:tabs>
              <w:ind w:left="100" w:right="102"/>
              <w:rPr>
                <w:sz w:val="22"/>
              </w:rPr>
            </w:pPr>
            <w:r>
              <w:rPr>
                <w:sz w:val="22"/>
              </w:rPr>
              <w:t>La construcció n</w:t>
              <w:tab/>
              <w:t>y</w:t>
              <w:tab/>
              <w:t>el campo</w:t>
            </w:r>
          </w:p>
        </w:tc>
        <w:tc>
          <w:tcPr>
            <w:tcW w:w="1417" w:type="dxa"/>
          </w:tcPr>
          <w:p>
            <w:pPr>
              <w:pStyle w:val="TableParagraph"/>
              <w:tabs>
                <w:tab w:pos="1132" w:val="left" w:leader="none"/>
              </w:tabs>
              <w:ind w:left="100" w:right="101"/>
              <w:rPr>
                <w:sz w:val="22"/>
              </w:rPr>
            </w:pPr>
            <w:r>
              <w:rPr>
                <w:sz w:val="22"/>
              </w:rPr>
              <w:t>Delegado Municipal de</w:t>
              <w:tab/>
              <w:t>la</w:t>
            </w:r>
          </w:p>
          <w:p>
            <w:pPr>
              <w:pStyle w:val="TableParagraph"/>
              <w:tabs>
                <w:tab w:pos="1108" w:val="left" w:leader="none"/>
              </w:tabs>
              <w:ind w:left="100" w:right="100"/>
              <w:rPr>
                <w:sz w:val="22"/>
              </w:rPr>
            </w:pPr>
            <w:r>
              <w:rPr>
                <w:sz w:val="22"/>
              </w:rPr>
              <w:t>segunda manzana de</w:t>
              <w:tab/>
              <w:t>El</w:t>
            </w:r>
          </w:p>
          <w:p>
            <w:pPr>
              <w:pStyle w:val="TableParagraph"/>
              <w:spacing w:line="252" w:lineRule="exact"/>
              <w:ind w:left="100"/>
              <w:rPr>
                <w:sz w:val="22"/>
              </w:rPr>
            </w:pPr>
            <w:r>
              <w:rPr>
                <w:sz w:val="22"/>
              </w:rPr>
              <w:t>Azafrán</w:t>
            </w:r>
          </w:p>
        </w:tc>
        <w:tc>
          <w:tcPr>
            <w:tcW w:w="1560" w:type="dxa"/>
          </w:tcPr>
          <w:p>
            <w:pPr>
              <w:pStyle w:val="TableParagraph"/>
              <w:spacing w:line="251" w:lineRule="exact"/>
              <w:ind w:right="143"/>
              <w:rPr>
                <w:sz w:val="22"/>
              </w:rPr>
            </w:pPr>
            <w:r>
              <w:rPr>
                <w:sz w:val="22"/>
              </w:rPr>
              <w:t>El Azafrán</w:t>
            </w:r>
          </w:p>
        </w:tc>
        <w:tc>
          <w:tcPr>
            <w:tcW w:w="991" w:type="dxa"/>
          </w:tcPr>
          <w:p>
            <w:pPr>
              <w:pStyle w:val="TableParagraph"/>
              <w:spacing w:line="251" w:lineRule="exact"/>
              <w:ind w:left="100"/>
              <w:rPr>
                <w:sz w:val="22"/>
              </w:rPr>
            </w:pPr>
            <w:r>
              <w:rPr>
                <w:sz w:val="22"/>
              </w:rPr>
              <w:t>Aculco</w:t>
            </w:r>
          </w:p>
        </w:tc>
        <w:tc>
          <w:tcPr>
            <w:tcW w:w="1277" w:type="dxa"/>
          </w:tcPr>
          <w:p>
            <w:pPr>
              <w:pStyle w:val="TableParagraph"/>
              <w:ind w:right="325"/>
              <w:rPr>
                <w:sz w:val="22"/>
              </w:rPr>
            </w:pPr>
            <w:r>
              <w:rPr>
                <w:sz w:val="22"/>
              </w:rPr>
              <w:t>El Azafrán, Aculco</w:t>
            </w:r>
          </w:p>
        </w:tc>
        <w:tc>
          <w:tcPr>
            <w:tcW w:w="1133" w:type="dxa"/>
          </w:tcPr>
          <w:p>
            <w:pPr>
              <w:pStyle w:val="TableParagraph"/>
              <w:ind w:left="100" w:right="183"/>
              <w:rPr>
                <w:sz w:val="22"/>
              </w:rPr>
            </w:pPr>
            <w:r>
              <w:rPr>
                <w:sz w:val="22"/>
              </w:rPr>
              <w:t>El Azafrán, Aculco</w:t>
            </w:r>
          </w:p>
        </w:tc>
        <w:tc>
          <w:tcPr>
            <w:tcW w:w="1702" w:type="dxa"/>
          </w:tcPr>
          <w:p>
            <w:pPr>
              <w:pStyle w:val="TableParagraph"/>
              <w:tabs>
                <w:tab w:pos="657" w:val="left" w:leader="none"/>
                <w:tab w:pos="880" w:val="left" w:leader="none"/>
                <w:tab w:pos="942" w:val="left" w:leader="none"/>
                <w:tab w:pos="1149" w:val="left" w:leader="none"/>
                <w:tab w:pos="1199" w:val="left" w:leader="none"/>
                <w:tab w:pos="1346" w:val="left" w:leader="none"/>
                <w:tab w:pos="1394" w:val="left" w:leader="none"/>
              </w:tabs>
              <w:ind w:right="98"/>
              <w:rPr>
                <w:sz w:val="22"/>
              </w:rPr>
            </w:pPr>
            <w:r>
              <w:rPr>
                <w:sz w:val="22"/>
              </w:rPr>
              <w:t>La laguna de Huapango</w:t>
              <w:tab/>
              <w:tab/>
              <w:tab/>
              <w:t>es importante para la  pesca y</w:t>
              <w:tab/>
              <w:t>bebedero porque no nos dejan</w:t>
              <w:tab/>
              <w:tab/>
              <w:t>agarrar agua</w:t>
              <w:tab/>
              <w:tab/>
              <w:tab/>
              <w:tab/>
              <w:t>para riego porque el agua es usada para riego en una parte del Estado</w:t>
              <w:tab/>
              <w:tab/>
              <w:tab/>
              <w:tab/>
              <w:tab/>
              <w:t>de México (Polotitlán, San</w:t>
              <w:tab/>
              <w:tab/>
              <w:tab/>
              <w:t>Martín</w:t>
            </w:r>
            <w:r>
              <w:rPr>
                <w:w w:val="100"/>
                <w:sz w:val="22"/>
              </w:rPr>
              <w:t> </w:t>
            </w:r>
            <w:r>
              <w:rPr>
                <w:spacing w:val="-1"/>
                <w:sz w:val="22"/>
              </w:rPr>
              <w:t>Ejido,</w:t>
              <w:tab/>
              <w:tab/>
              <w:tab/>
              <w:t>Arroyo </w:t>
            </w:r>
            <w:r>
              <w:rPr>
                <w:sz w:val="22"/>
              </w:rPr>
              <w:t>Zarco,</w:t>
              <w:tab/>
              <w:tab/>
              <w:tab/>
              <w:tab/>
              <w:t>San Antonio Ejido, Bonshi,</w:t>
              <w:tab/>
              <w:tab/>
              <w:tab/>
              <w:tab/>
              <w:tab/>
              <w:tab/>
              <w:t>El</w:t>
            </w:r>
          </w:p>
          <w:p>
            <w:pPr>
              <w:pStyle w:val="TableParagraph"/>
              <w:tabs>
                <w:tab w:pos="1101" w:val="left" w:leader="none"/>
              </w:tabs>
              <w:spacing w:line="252" w:lineRule="exact"/>
              <w:rPr>
                <w:sz w:val="22"/>
              </w:rPr>
            </w:pPr>
            <w:r>
              <w:rPr>
                <w:sz w:val="22"/>
              </w:rPr>
              <w:t>Rosal,</w:t>
              <w:tab/>
              <w:t>etc.),</w:t>
            </w:r>
          </w:p>
          <w:p>
            <w:pPr>
              <w:pStyle w:val="TableParagraph"/>
              <w:tabs>
                <w:tab w:pos="1480" w:val="left" w:leader="none"/>
              </w:tabs>
              <w:spacing w:before="1"/>
              <w:rPr>
                <w:sz w:val="22"/>
              </w:rPr>
            </w:pPr>
            <w:r>
              <w:rPr>
                <w:sz w:val="22"/>
              </w:rPr>
              <w:t>Hidalgo</w:t>
              <w:tab/>
              <w:t>y</w:t>
            </w:r>
          </w:p>
        </w:tc>
        <w:tc>
          <w:tcPr>
            <w:tcW w:w="1985" w:type="dxa"/>
          </w:tcPr>
          <w:p>
            <w:pPr>
              <w:pStyle w:val="TableParagraph"/>
              <w:tabs>
                <w:tab w:pos="1629" w:val="left" w:leader="none"/>
              </w:tabs>
              <w:ind w:right="98"/>
              <w:jc w:val="both"/>
              <w:rPr>
                <w:sz w:val="22"/>
              </w:rPr>
            </w:pPr>
            <w:r>
              <w:rPr>
                <w:sz w:val="22"/>
              </w:rPr>
              <w:t>La laguna se ha deteriorado con el tiempo por la entrada</w:t>
              <w:tab/>
              <w:t>de azolve.</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90"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spacing w:line="251" w:lineRule="exact"/>
              <w:rPr>
                <w:sz w:val="22"/>
              </w:rPr>
            </w:pPr>
            <w:r>
              <w:rPr>
                <w:sz w:val="22"/>
              </w:rPr>
              <w:t>Querétaro.</w:t>
            </w:r>
          </w:p>
        </w:tc>
        <w:tc>
          <w:tcPr>
            <w:tcW w:w="1985" w:type="dxa"/>
          </w:tcPr>
          <w:p>
            <w:pPr/>
          </w:p>
        </w:tc>
      </w:tr>
      <w:tr>
        <w:trPr>
          <w:trHeight w:val="2033" w:hRule="exact"/>
        </w:trPr>
        <w:tc>
          <w:tcPr>
            <w:tcW w:w="1385" w:type="dxa"/>
          </w:tcPr>
          <w:p>
            <w:pPr>
              <w:pStyle w:val="TableParagraph"/>
              <w:ind w:right="249"/>
              <w:rPr>
                <w:sz w:val="22"/>
              </w:rPr>
            </w:pPr>
            <w:r>
              <w:rPr>
                <w:sz w:val="22"/>
              </w:rPr>
              <w:t>Tomás Lucas Santiago (3/8/2014)</w:t>
            </w:r>
          </w:p>
        </w:tc>
        <w:tc>
          <w:tcPr>
            <w:tcW w:w="1418" w:type="dxa"/>
          </w:tcPr>
          <w:p>
            <w:pPr>
              <w:pStyle w:val="TableParagraph"/>
              <w:ind w:left="139" w:right="141" w:hanging="1"/>
              <w:jc w:val="center"/>
              <w:rPr>
                <w:sz w:val="22"/>
              </w:rPr>
            </w:pPr>
            <w:r>
              <w:rPr>
                <w:sz w:val="22"/>
              </w:rPr>
              <w:t>El campo y el comercio (tienda de abarrotes).</w:t>
            </w:r>
          </w:p>
        </w:tc>
        <w:tc>
          <w:tcPr>
            <w:tcW w:w="1417" w:type="dxa"/>
          </w:tcPr>
          <w:p>
            <w:pPr>
              <w:pStyle w:val="TableParagraph"/>
              <w:tabs>
                <w:tab w:pos="1132" w:val="left" w:leader="none"/>
              </w:tabs>
              <w:ind w:left="100" w:right="101"/>
              <w:rPr>
                <w:sz w:val="22"/>
              </w:rPr>
            </w:pPr>
            <w:r>
              <w:rPr>
                <w:sz w:val="22"/>
              </w:rPr>
              <w:t>Delegado Municipal de</w:t>
              <w:tab/>
              <w:t>la</w:t>
            </w:r>
          </w:p>
          <w:p>
            <w:pPr>
              <w:pStyle w:val="TableParagraph"/>
              <w:tabs>
                <w:tab w:pos="1108" w:val="left" w:leader="none"/>
              </w:tabs>
              <w:ind w:left="100" w:right="100"/>
              <w:rPr>
                <w:sz w:val="22"/>
              </w:rPr>
            </w:pPr>
            <w:r>
              <w:rPr>
                <w:sz w:val="22"/>
              </w:rPr>
              <w:t>tercera manzana de</w:t>
              <w:tab/>
              <w:t>El</w:t>
            </w:r>
          </w:p>
          <w:p>
            <w:pPr>
              <w:pStyle w:val="TableParagraph"/>
              <w:spacing w:before="1"/>
              <w:ind w:left="100"/>
              <w:rPr>
                <w:sz w:val="22"/>
              </w:rPr>
            </w:pPr>
            <w:r>
              <w:rPr>
                <w:sz w:val="22"/>
              </w:rPr>
              <w:t>Azafrán</w:t>
            </w:r>
          </w:p>
        </w:tc>
        <w:tc>
          <w:tcPr>
            <w:tcW w:w="1560" w:type="dxa"/>
          </w:tcPr>
          <w:p>
            <w:pPr>
              <w:pStyle w:val="TableParagraph"/>
              <w:spacing w:line="251" w:lineRule="exact"/>
              <w:ind w:right="143"/>
              <w:rPr>
                <w:sz w:val="22"/>
              </w:rPr>
            </w:pPr>
            <w:r>
              <w:rPr>
                <w:sz w:val="22"/>
              </w:rPr>
              <w:t>El Azafrán</w:t>
            </w:r>
          </w:p>
        </w:tc>
        <w:tc>
          <w:tcPr>
            <w:tcW w:w="991" w:type="dxa"/>
          </w:tcPr>
          <w:p>
            <w:pPr>
              <w:pStyle w:val="TableParagraph"/>
              <w:spacing w:line="251" w:lineRule="exact"/>
              <w:ind w:left="100"/>
              <w:rPr>
                <w:sz w:val="22"/>
              </w:rPr>
            </w:pPr>
            <w:r>
              <w:rPr>
                <w:sz w:val="22"/>
              </w:rPr>
              <w:t>Aculco</w:t>
            </w:r>
          </w:p>
        </w:tc>
        <w:tc>
          <w:tcPr>
            <w:tcW w:w="1277" w:type="dxa"/>
          </w:tcPr>
          <w:p>
            <w:pPr>
              <w:pStyle w:val="TableParagraph"/>
              <w:ind w:right="325"/>
              <w:rPr>
                <w:sz w:val="22"/>
              </w:rPr>
            </w:pPr>
            <w:r>
              <w:rPr>
                <w:sz w:val="22"/>
              </w:rPr>
              <w:t>El Azafrán, Aculco</w:t>
            </w:r>
          </w:p>
        </w:tc>
        <w:tc>
          <w:tcPr>
            <w:tcW w:w="1133" w:type="dxa"/>
          </w:tcPr>
          <w:p>
            <w:pPr>
              <w:pStyle w:val="TableParagraph"/>
              <w:ind w:left="100" w:right="183"/>
              <w:rPr>
                <w:sz w:val="22"/>
              </w:rPr>
            </w:pPr>
            <w:r>
              <w:rPr>
                <w:sz w:val="22"/>
              </w:rPr>
              <w:t>El Azafrán, Aculco</w:t>
            </w:r>
          </w:p>
        </w:tc>
        <w:tc>
          <w:tcPr>
            <w:tcW w:w="1702" w:type="dxa"/>
          </w:tcPr>
          <w:p>
            <w:pPr>
              <w:pStyle w:val="TableParagraph"/>
              <w:ind w:right="98"/>
              <w:jc w:val="both"/>
              <w:rPr>
                <w:sz w:val="22"/>
              </w:rPr>
            </w:pPr>
            <w:r>
              <w:rPr>
                <w:sz w:val="22"/>
              </w:rPr>
              <w:t>Pues sí, más que nada, es una zona de pesca. El agua de la laguna la utilizan     para</w:t>
            </w:r>
          </w:p>
          <w:p>
            <w:pPr>
              <w:pStyle w:val="TableParagraph"/>
              <w:spacing w:before="1"/>
              <w:ind w:right="99"/>
              <w:jc w:val="both"/>
              <w:rPr>
                <w:sz w:val="22"/>
              </w:rPr>
            </w:pPr>
            <w:r>
              <w:rPr>
                <w:sz w:val="22"/>
              </w:rPr>
              <w:t>regar para forraje.</w:t>
            </w:r>
          </w:p>
        </w:tc>
        <w:tc>
          <w:tcPr>
            <w:tcW w:w="1985" w:type="dxa"/>
          </w:tcPr>
          <w:p>
            <w:pPr>
              <w:pStyle w:val="TableParagraph"/>
              <w:tabs>
                <w:tab w:pos="1211" w:val="left" w:leader="none"/>
              </w:tabs>
              <w:ind w:right="99"/>
              <w:rPr>
                <w:sz w:val="22"/>
              </w:rPr>
            </w:pPr>
            <w:r>
              <w:rPr>
                <w:sz w:val="22"/>
              </w:rPr>
              <w:t>La</w:t>
              <w:tab/>
              <w:t>laguna Huapango se ha deteriorado porque hace falta lluvia y no sube a su</w:t>
            </w:r>
            <w:r>
              <w:rPr>
                <w:spacing w:val="-4"/>
                <w:sz w:val="22"/>
              </w:rPr>
              <w:t> </w:t>
            </w:r>
            <w:r>
              <w:rPr>
                <w:sz w:val="22"/>
              </w:rPr>
              <w:t>nivel.</w:t>
            </w:r>
          </w:p>
        </w:tc>
      </w:tr>
      <w:tr>
        <w:trPr>
          <w:trHeight w:val="269" w:hRule="exact"/>
        </w:trPr>
        <w:tc>
          <w:tcPr>
            <w:tcW w:w="1385" w:type="dxa"/>
            <w:tcBorders>
              <w:bottom w:val="nil"/>
            </w:tcBorders>
          </w:tcPr>
          <w:p>
            <w:pPr>
              <w:pStyle w:val="TableParagraph"/>
              <w:ind w:right="127"/>
              <w:rPr>
                <w:sz w:val="22"/>
              </w:rPr>
            </w:pPr>
            <w:r>
              <w:rPr>
                <w:sz w:val="22"/>
              </w:rPr>
              <w:t>Raúl</w:t>
            </w:r>
          </w:p>
        </w:tc>
        <w:tc>
          <w:tcPr>
            <w:tcW w:w="1418" w:type="dxa"/>
            <w:tcBorders>
              <w:bottom w:val="nil"/>
            </w:tcBorders>
          </w:tcPr>
          <w:p>
            <w:pPr>
              <w:pStyle w:val="TableParagraph"/>
              <w:ind w:left="100" w:right="101"/>
              <w:rPr>
                <w:sz w:val="22"/>
              </w:rPr>
            </w:pPr>
            <w:r>
              <w:rPr>
                <w:sz w:val="22"/>
              </w:rPr>
              <w:t>Cocinero</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Ruano</w:t>
            </w:r>
          </w:p>
        </w:tc>
        <w:tc>
          <w:tcPr>
            <w:tcW w:w="991" w:type="dxa"/>
            <w:tcBorders>
              <w:bottom w:val="nil"/>
            </w:tcBorders>
          </w:tcPr>
          <w:p>
            <w:pPr>
              <w:pStyle w:val="TableParagraph"/>
              <w:ind w:left="100"/>
              <w:rPr>
                <w:sz w:val="22"/>
              </w:rPr>
            </w:pPr>
            <w:r>
              <w:rPr>
                <w:sz w:val="22"/>
              </w:rPr>
              <w:t>Polotitl</w:t>
            </w:r>
          </w:p>
        </w:tc>
        <w:tc>
          <w:tcPr>
            <w:tcW w:w="1277" w:type="dxa"/>
            <w:tcBorders>
              <w:bottom w:val="nil"/>
            </w:tcBorders>
          </w:tcPr>
          <w:p>
            <w:pPr>
              <w:pStyle w:val="TableParagraph"/>
              <w:ind w:right="92"/>
              <w:rPr>
                <w:sz w:val="22"/>
              </w:rPr>
            </w:pPr>
            <w:r>
              <w:rPr>
                <w:sz w:val="22"/>
              </w:rPr>
              <w:t>Ruano,</w:t>
            </w:r>
          </w:p>
        </w:tc>
        <w:tc>
          <w:tcPr>
            <w:tcW w:w="1133" w:type="dxa"/>
            <w:tcBorders>
              <w:bottom w:val="nil"/>
            </w:tcBorders>
          </w:tcPr>
          <w:p>
            <w:pPr>
              <w:pStyle w:val="TableParagraph"/>
              <w:ind w:left="100" w:right="52"/>
              <w:rPr>
                <w:sz w:val="22"/>
              </w:rPr>
            </w:pPr>
            <w:r>
              <w:rPr>
                <w:sz w:val="22"/>
              </w:rPr>
              <w:t>Ruano,</w:t>
            </w:r>
          </w:p>
        </w:tc>
        <w:tc>
          <w:tcPr>
            <w:tcW w:w="1702" w:type="dxa"/>
            <w:tcBorders>
              <w:bottom w:val="nil"/>
            </w:tcBorders>
          </w:tcPr>
          <w:p>
            <w:pPr>
              <w:pStyle w:val="TableParagraph"/>
              <w:tabs>
                <w:tab w:pos="705" w:val="left" w:leader="none"/>
                <w:tab w:pos="1417" w:val="left" w:leader="none"/>
              </w:tabs>
              <w:rPr>
                <w:sz w:val="22"/>
              </w:rPr>
            </w:pPr>
            <w:r>
              <w:rPr>
                <w:sz w:val="22"/>
              </w:rPr>
              <w:t>Sí</w:t>
              <w:tab/>
              <w:t>por</w:t>
              <w:tab/>
              <w:t>el</w:t>
            </w:r>
          </w:p>
        </w:tc>
        <w:tc>
          <w:tcPr>
            <w:tcW w:w="1985" w:type="dxa"/>
            <w:tcBorders>
              <w:bottom w:val="nil"/>
            </w:tcBorders>
          </w:tcPr>
          <w:p>
            <w:pPr>
              <w:pStyle w:val="TableParagraph"/>
              <w:rPr>
                <w:sz w:val="22"/>
              </w:rPr>
            </w:pPr>
            <w:r>
              <w:rPr>
                <w:sz w:val="22"/>
              </w:rPr>
              <w:t>No  sé  porque  sí</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Cuevas</w:t>
            </w:r>
          </w:p>
        </w:tc>
        <w:tc>
          <w:tcPr>
            <w:tcW w:w="1418" w:type="dxa"/>
            <w:tcBorders>
              <w:top w:val="nil"/>
              <w:bottom w:val="nil"/>
            </w:tcBorders>
          </w:tcPr>
          <w:p>
            <w:pPr>
              <w:pStyle w:val="TableParagraph"/>
              <w:tabs>
                <w:tab w:pos="1060" w:val="left" w:leader="none"/>
              </w:tabs>
              <w:spacing w:line="241" w:lineRule="exact"/>
              <w:ind w:left="100"/>
              <w:rPr>
                <w:sz w:val="22"/>
              </w:rPr>
            </w:pPr>
            <w:r>
              <w:rPr>
                <w:sz w:val="22"/>
              </w:rPr>
              <w:t>(tiene</w:t>
              <w:tab/>
              <w:t>un</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án</w:t>
            </w:r>
          </w:p>
        </w:tc>
        <w:tc>
          <w:tcPr>
            <w:tcW w:w="1277" w:type="dxa"/>
            <w:tcBorders>
              <w:top w:val="nil"/>
              <w:bottom w:val="nil"/>
            </w:tcBorders>
          </w:tcPr>
          <w:p>
            <w:pPr>
              <w:pStyle w:val="TableParagraph"/>
              <w:spacing w:line="241" w:lineRule="exact"/>
              <w:ind w:right="92"/>
              <w:rPr>
                <w:sz w:val="22"/>
              </w:rPr>
            </w:pPr>
            <w:r>
              <w:rPr>
                <w:sz w:val="22"/>
              </w:rPr>
              <w:t>Polotitlán</w:t>
            </w:r>
          </w:p>
        </w:tc>
        <w:tc>
          <w:tcPr>
            <w:tcW w:w="1133" w:type="dxa"/>
            <w:tcBorders>
              <w:top w:val="nil"/>
              <w:bottom w:val="nil"/>
            </w:tcBorders>
          </w:tcPr>
          <w:p>
            <w:pPr>
              <w:pStyle w:val="TableParagraph"/>
              <w:spacing w:line="241" w:lineRule="exact"/>
              <w:ind w:left="100" w:right="52"/>
              <w:rPr>
                <w:sz w:val="22"/>
              </w:rPr>
            </w:pPr>
            <w:r>
              <w:rPr>
                <w:sz w:val="22"/>
              </w:rPr>
              <w:t>Polotitlán</w:t>
            </w:r>
          </w:p>
        </w:tc>
        <w:tc>
          <w:tcPr>
            <w:tcW w:w="1702" w:type="dxa"/>
            <w:tcBorders>
              <w:top w:val="nil"/>
              <w:bottom w:val="nil"/>
            </w:tcBorders>
          </w:tcPr>
          <w:p>
            <w:pPr>
              <w:pStyle w:val="TableParagraph"/>
              <w:tabs>
                <w:tab w:pos="1346" w:val="left" w:leader="none"/>
              </w:tabs>
              <w:spacing w:line="241" w:lineRule="exact"/>
              <w:rPr>
                <w:sz w:val="22"/>
              </w:rPr>
            </w:pPr>
            <w:r>
              <w:rPr>
                <w:sz w:val="22"/>
              </w:rPr>
              <w:t>sistema</w:t>
              <w:tab/>
              <w:t>de</w:t>
            </w:r>
          </w:p>
        </w:tc>
        <w:tc>
          <w:tcPr>
            <w:tcW w:w="1985" w:type="dxa"/>
            <w:tcBorders>
              <w:top w:val="nil"/>
              <w:bottom w:val="nil"/>
            </w:tcBorders>
          </w:tcPr>
          <w:p>
            <w:pPr>
              <w:pStyle w:val="TableParagraph"/>
              <w:spacing w:line="241" w:lineRule="exact"/>
              <w:rPr>
                <w:sz w:val="22"/>
              </w:rPr>
            </w:pPr>
            <w:r>
              <w:rPr>
                <w:sz w:val="22"/>
              </w:rPr>
              <w:t>he ido, pero  hace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Espinoza</w:t>
            </w:r>
          </w:p>
        </w:tc>
        <w:tc>
          <w:tcPr>
            <w:tcW w:w="1418" w:type="dxa"/>
            <w:tcBorders>
              <w:top w:val="nil"/>
              <w:bottom w:val="nil"/>
            </w:tcBorders>
          </w:tcPr>
          <w:p>
            <w:pPr>
              <w:pStyle w:val="TableParagraph"/>
              <w:spacing w:line="241" w:lineRule="exact"/>
              <w:ind w:left="100" w:right="101"/>
              <w:rPr>
                <w:sz w:val="22"/>
              </w:rPr>
            </w:pPr>
            <w:r>
              <w:rPr>
                <w:sz w:val="22"/>
              </w:rPr>
              <w:t>restaurante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riego, no todos</w:t>
            </w:r>
          </w:p>
        </w:tc>
        <w:tc>
          <w:tcPr>
            <w:tcW w:w="1985" w:type="dxa"/>
            <w:tcBorders>
              <w:top w:val="nil"/>
              <w:bottom w:val="nil"/>
            </w:tcBorders>
          </w:tcPr>
          <w:p>
            <w:pPr>
              <w:pStyle w:val="TableParagraph"/>
              <w:spacing w:line="241" w:lineRule="exact"/>
              <w:rPr>
                <w:sz w:val="22"/>
              </w:rPr>
            </w:pPr>
            <w:r>
              <w:rPr>
                <w:sz w:val="22"/>
              </w:rPr>
              <w:t>como 3  ó 4  años</w:t>
            </w:r>
          </w:p>
        </w:tc>
      </w:tr>
      <w:tr>
        <w:trPr>
          <w:trHeight w:val="253" w:hRule="exact"/>
        </w:trPr>
        <w:tc>
          <w:tcPr>
            <w:tcW w:w="1385" w:type="dxa"/>
            <w:tcBorders>
              <w:top w:val="nil"/>
              <w:bottom w:val="nil"/>
            </w:tcBorders>
          </w:tcPr>
          <w:p>
            <w:pPr>
              <w:pStyle w:val="TableParagraph"/>
              <w:spacing w:line="242" w:lineRule="exact"/>
              <w:rPr>
                <w:sz w:val="22"/>
              </w:rPr>
            </w:pPr>
            <w:r>
              <w:rPr>
                <w:sz w:val="22"/>
              </w:rPr>
              <w:t>(20/8/2014)</w:t>
            </w:r>
          </w:p>
        </w:tc>
        <w:tc>
          <w:tcPr>
            <w:tcW w:w="1418" w:type="dxa"/>
            <w:tcBorders>
              <w:top w:val="nil"/>
              <w:bottom w:val="nil"/>
            </w:tcBorders>
          </w:tcPr>
          <w:p>
            <w:pPr>
              <w:pStyle w:val="TableParagraph"/>
              <w:spacing w:line="242" w:lineRule="exact"/>
              <w:ind w:left="100"/>
              <w:rPr>
                <w:sz w:val="22"/>
              </w:rPr>
            </w:pPr>
            <w:r>
              <w:rPr>
                <w:sz w:val="22"/>
              </w:rPr>
              <w:t>en el</w:t>
            </w:r>
            <w:r>
              <w:rPr>
                <w:spacing w:val="51"/>
                <w:sz w:val="22"/>
              </w:rPr>
              <w:t> </w:t>
            </w:r>
            <w:r>
              <w:rPr>
                <w:sz w:val="22"/>
              </w:rPr>
              <w:t>centro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9" w:val="left" w:leader="none"/>
              </w:tabs>
              <w:spacing w:line="242" w:lineRule="exact"/>
              <w:rPr>
                <w:sz w:val="22"/>
              </w:rPr>
            </w:pPr>
            <w:r>
              <w:rPr>
                <w:sz w:val="22"/>
              </w:rPr>
              <w:t>riegan,</w:t>
              <w:tab/>
              <w:t>pero</w:t>
            </w:r>
          </w:p>
        </w:tc>
        <w:tc>
          <w:tcPr>
            <w:tcW w:w="1985" w:type="dxa"/>
            <w:tcBorders>
              <w:top w:val="nil"/>
              <w:bottom w:val="nil"/>
            </w:tcBorders>
          </w:tcPr>
          <w:p>
            <w:pPr>
              <w:pStyle w:val="TableParagraph"/>
              <w:spacing w:line="242" w:lineRule="exact"/>
              <w:rPr>
                <w:sz w:val="22"/>
              </w:rPr>
            </w:pPr>
            <w:r>
              <w:rPr>
                <w:sz w:val="22"/>
              </w:rPr>
              <w:t>que no voy.</w:t>
            </w: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de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los  que riegan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Style w:val="TableParagraph"/>
              <w:spacing w:line="242" w:lineRule="exact"/>
              <w:ind w:left="100"/>
              <w:rPr>
                <w:sz w:val="22"/>
              </w:rPr>
            </w:pPr>
            <w:r>
              <w:rPr>
                <w:sz w:val="22"/>
              </w:rPr>
              <w:t>Polotitlán)</w:t>
            </w:r>
            <w:r>
              <w:rPr>
                <w:spacing w:val="53"/>
                <w:sz w:val="22"/>
              </w:rPr>
              <w:t> </w:t>
            </w:r>
            <w:r>
              <w:rPr>
                <w:sz w:val="22"/>
              </w:rPr>
              <w:t>y</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se   benefician.</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614" w:val="left" w:leader="none"/>
                <w:tab w:pos="1417" w:val="left" w:leader="none"/>
              </w:tabs>
              <w:spacing w:line="241" w:lineRule="exact"/>
              <w:rPr>
                <w:sz w:val="22"/>
              </w:rPr>
            </w:pPr>
            <w:r>
              <w:rPr>
                <w:sz w:val="22"/>
              </w:rPr>
              <w:t>El</w:t>
              <w:tab/>
              <w:t>agua</w:t>
              <w:tab/>
              <w:t>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utilizamos 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84" w:val="left" w:leader="none"/>
                <w:tab w:pos="1417" w:val="left" w:leader="none"/>
              </w:tabs>
              <w:spacing w:line="242" w:lineRule="exact"/>
              <w:rPr>
                <w:sz w:val="22"/>
              </w:rPr>
            </w:pPr>
            <w:r>
              <w:rPr>
                <w:sz w:val="22"/>
              </w:rPr>
              <w:t>riego</w:t>
              <w:tab/>
              <w:t>de</w:t>
              <w:tab/>
              <w:t>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siembra y 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pastura,  todos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95" w:val="left" w:leader="none"/>
              </w:tabs>
              <w:spacing w:line="241" w:lineRule="exact"/>
              <w:rPr>
                <w:sz w:val="22"/>
              </w:rPr>
            </w:pPr>
            <w:r>
              <w:rPr>
                <w:sz w:val="22"/>
              </w:rPr>
              <w:t>los</w:t>
              <w:tab/>
              <w:t>del</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municipio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regamos una 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media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hectárea,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aunque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algunos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dejaron</w:t>
            </w:r>
            <w:r>
              <w:rPr>
                <w:spacing w:val="52"/>
                <w:sz w:val="22"/>
              </w:rPr>
              <w:t> </w:t>
            </w:r>
            <w:r>
              <w:rPr>
                <w:sz w:val="22"/>
              </w:rPr>
              <w:t>perder</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686" w:val="left" w:leader="none"/>
              </w:tabs>
              <w:spacing w:line="241" w:lineRule="exact"/>
              <w:rPr>
                <w:sz w:val="22"/>
              </w:rPr>
            </w:pPr>
            <w:r>
              <w:rPr>
                <w:sz w:val="22"/>
              </w:rPr>
              <w:t>sus</w:t>
              <w:tab/>
              <w:t>derechos</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de riego.</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Fernando</w:t>
            </w:r>
          </w:p>
        </w:tc>
        <w:tc>
          <w:tcPr>
            <w:tcW w:w="1418" w:type="dxa"/>
            <w:tcBorders>
              <w:bottom w:val="nil"/>
            </w:tcBorders>
          </w:tcPr>
          <w:p>
            <w:pPr>
              <w:pStyle w:val="TableParagraph"/>
              <w:spacing w:line="251" w:lineRule="exact"/>
              <w:ind w:left="100" w:right="101"/>
              <w:rPr>
                <w:sz w:val="22"/>
              </w:rPr>
            </w:pPr>
            <w:r>
              <w:rPr>
                <w:sz w:val="22"/>
              </w:rPr>
              <w:t>Vigilante en</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Encinillas</w:t>
            </w:r>
          </w:p>
        </w:tc>
        <w:tc>
          <w:tcPr>
            <w:tcW w:w="991" w:type="dxa"/>
            <w:tcBorders>
              <w:bottom w:val="nil"/>
            </w:tcBorders>
          </w:tcPr>
          <w:p>
            <w:pPr>
              <w:pStyle w:val="TableParagraph"/>
              <w:spacing w:line="251" w:lineRule="exact"/>
              <w:ind w:left="100"/>
              <w:rPr>
                <w:sz w:val="22"/>
              </w:rPr>
            </w:pPr>
            <w:r>
              <w:rPr>
                <w:sz w:val="22"/>
              </w:rPr>
              <w:t>Polotitl</w:t>
            </w:r>
          </w:p>
        </w:tc>
        <w:tc>
          <w:tcPr>
            <w:tcW w:w="1277" w:type="dxa"/>
            <w:tcBorders>
              <w:bottom w:val="nil"/>
            </w:tcBorders>
          </w:tcPr>
          <w:p>
            <w:pPr>
              <w:pStyle w:val="TableParagraph"/>
              <w:spacing w:line="251" w:lineRule="exact"/>
              <w:ind w:right="92"/>
              <w:rPr>
                <w:sz w:val="22"/>
              </w:rPr>
            </w:pPr>
            <w:r>
              <w:rPr>
                <w:sz w:val="22"/>
              </w:rPr>
              <w:t>Distrito</w:t>
            </w:r>
          </w:p>
        </w:tc>
        <w:tc>
          <w:tcPr>
            <w:tcW w:w="1133" w:type="dxa"/>
            <w:tcBorders>
              <w:bottom w:val="nil"/>
            </w:tcBorders>
          </w:tcPr>
          <w:p>
            <w:pPr>
              <w:pStyle w:val="TableParagraph"/>
              <w:spacing w:line="251" w:lineRule="exact"/>
              <w:ind w:left="100" w:right="52"/>
              <w:rPr>
                <w:sz w:val="22"/>
              </w:rPr>
            </w:pPr>
            <w:r>
              <w:rPr>
                <w:sz w:val="22"/>
              </w:rPr>
              <w:t>Encinilla</w:t>
            </w:r>
          </w:p>
        </w:tc>
        <w:tc>
          <w:tcPr>
            <w:tcW w:w="1702" w:type="dxa"/>
            <w:tcBorders>
              <w:bottom w:val="nil"/>
            </w:tcBorders>
          </w:tcPr>
          <w:p>
            <w:pPr>
              <w:pStyle w:val="TableParagraph"/>
              <w:spacing w:line="251" w:lineRule="exact"/>
              <w:rPr>
                <w:sz w:val="22"/>
              </w:rPr>
            </w:pPr>
            <w:r>
              <w:rPr>
                <w:sz w:val="22"/>
              </w:rPr>
              <w:t>La   laguna  es</w:t>
            </w:r>
          </w:p>
        </w:tc>
        <w:tc>
          <w:tcPr>
            <w:tcW w:w="1985" w:type="dxa"/>
            <w:tcBorders>
              <w:bottom w:val="nil"/>
            </w:tcBorders>
          </w:tcPr>
          <w:p>
            <w:pPr>
              <w:pStyle w:val="TableParagraph"/>
              <w:spacing w:line="251" w:lineRule="exact"/>
              <w:rPr>
                <w:sz w:val="22"/>
              </w:rPr>
            </w:pPr>
            <w:r>
              <w:rPr>
                <w:sz w:val="22"/>
              </w:rPr>
              <w:t>La  laguna  se  ha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Caballero</w:t>
            </w:r>
          </w:p>
        </w:tc>
        <w:tc>
          <w:tcPr>
            <w:tcW w:w="1418" w:type="dxa"/>
            <w:tcBorders>
              <w:top w:val="nil"/>
              <w:bottom w:val="nil"/>
            </w:tcBorders>
          </w:tcPr>
          <w:p>
            <w:pPr>
              <w:pStyle w:val="TableParagraph"/>
              <w:spacing w:line="242" w:lineRule="exact"/>
              <w:ind w:left="100" w:right="101"/>
              <w:rPr>
                <w:sz w:val="22"/>
              </w:rPr>
            </w:pPr>
            <w:r>
              <w:rPr>
                <w:sz w:val="22"/>
              </w:rPr>
              <w:t>una  gasera</w:t>
            </w:r>
          </w:p>
        </w:tc>
        <w:tc>
          <w:tcPr>
            <w:tcW w:w="1417" w:type="dxa"/>
            <w:tcBorders>
              <w:top w:val="nil"/>
              <w:bottom w:val="nil"/>
            </w:tcBorders>
          </w:tcPr>
          <w:p>
            <w:pPr>
              <w:pStyle w:val="TableParagraph"/>
              <w:spacing w:line="242"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2" w:lineRule="exact"/>
              <w:ind w:left="100"/>
              <w:rPr>
                <w:sz w:val="22"/>
              </w:rPr>
            </w:pPr>
            <w:r>
              <w:rPr>
                <w:sz w:val="22"/>
              </w:rPr>
              <w:t>án</w:t>
            </w:r>
          </w:p>
        </w:tc>
        <w:tc>
          <w:tcPr>
            <w:tcW w:w="1277" w:type="dxa"/>
            <w:tcBorders>
              <w:top w:val="nil"/>
              <w:bottom w:val="nil"/>
            </w:tcBorders>
          </w:tcPr>
          <w:p>
            <w:pPr>
              <w:pStyle w:val="TableParagraph"/>
              <w:spacing w:line="242" w:lineRule="exact"/>
              <w:ind w:right="92"/>
              <w:rPr>
                <w:sz w:val="22"/>
              </w:rPr>
            </w:pPr>
            <w:r>
              <w:rPr>
                <w:sz w:val="22"/>
              </w:rPr>
              <w:t>Federal,</w:t>
            </w:r>
          </w:p>
        </w:tc>
        <w:tc>
          <w:tcPr>
            <w:tcW w:w="1133" w:type="dxa"/>
            <w:tcBorders>
              <w:top w:val="nil"/>
              <w:bottom w:val="nil"/>
            </w:tcBorders>
          </w:tcPr>
          <w:p>
            <w:pPr>
              <w:pStyle w:val="TableParagraph"/>
              <w:spacing w:line="242" w:lineRule="exact"/>
              <w:ind w:left="100" w:right="52"/>
              <w:rPr>
                <w:sz w:val="22"/>
              </w:rPr>
            </w:pPr>
            <w:r>
              <w:rPr>
                <w:sz w:val="22"/>
              </w:rPr>
              <w:t>s,</w:t>
            </w:r>
          </w:p>
        </w:tc>
        <w:tc>
          <w:tcPr>
            <w:tcW w:w="1702" w:type="dxa"/>
            <w:tcBorders>
              <w:top w:val="nil"/>
              <w:bottom w:val="nil"/>
            </w:tcBorders>
          </w:tcPr>
          <w:p>
            <w:pPr>
              <w:pStyle w:val="TableParagraph"/>
              <w:spacing w:line="242" w:lineRule="exact"/>
              <w:rPr>
                <w:sz w:val="22"/>
              </w:rPr>
            </w:pPr>
            <w:r>
              <w:rPr>
                <w:sz w:val="22"/>
              </w:rPr>
              <w:t>muy</w:t>
            </w:r>
          </w:p>
        </w:tc>
        <w:tc>
          <w:tcPr>
            <w:tcW w:w="1985" w:type="dxa"/>
            <w:tcBorders>
              <w:top w:val="nil"/>
              <w:bottom w:val="nil"/>
            </w:tcBorders>
          </w:tcPr>
          <w:p>
            <w:pPr>
              <w:pStyle w:val="TableParagraph"/>
              <w:spacing w:line="242" w:lineRule="exact"/>
              <w:rPr>
                <w:sz w:val="22"/>
              </w:rPr>
            </w:pPr>
            <w:r>
              <w:rPr>
                <w:sz w:val="22"/>
              </w:rPr>
              <w:t>deteriorado con 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López</w:t>
            </w:r>
          </w:p>
        </w:tc>
        <w:tc>
          <w:tcPr>
            <w:tcW w:w="1418" w:type="dxa"/>
            <w:tcBorders>
              <w:top w:val="nil"/>
              <w:bottom w:val="nil"/>
            </w:tcBorders>
          </w:tcPr>
          <w:p>
            <w:pPr>
              <w:pStyle w:val="TableParagraph"/>
              <w:spacing w:line="241" w:lineRule="exact"/>
              <w:ind w:left="100" w:right="101"/>
              <w:rPr>
                <w:sz w:val="22"/>
              </w:rPr>
            </w:pPr>
            <w:r>
              <w:rPr>
                <w:sz w:val="22"/>
              </w:rPr>
              <w:t>y 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pero</w:t>
            </w:r>
          </w:p>
        </w:tc>
        <w:tc>
          <w:tcPr>
            <w:tcW w:w="1133" w:type="dxa"/>
            <w:tcBorders>
              <w:top w:val="nil"/>
              <w:bottom w:val="nil"/>
            </w:tcBorders>
          </w:tcPr>
          <w:p>
            <w:pPr>
              <w:pStyle w:val="TableParagraph"/>
              <w:spacing w:line="241" w:lineRule="exact"/>
              <w:ind w:left="100" w:right="52"/>
              <w:rPr>
                <w:sz w:val="22"/>
              </w:rPr>
            </w:pPr>
            <w:r>
              <w:rPr>
                <w:sz w:val="22"/>
              </w:rPr>
              <w:t>Polotitlán</w:t>
            </w:r>
          </w:p>
        </w:tc>
        <w:tc>
          <w:tcPr>
            <w:tcW w:w="1702" w:type="dxa"/>
            <w:tcBorders>
              <w:top w:val="nil"/>
              <w:bottom w:val="nil"/>
            </w:tcBorders>
          </w:tcPr>
          <w:p>
            <w:pPr>
              <w:pStyle w:val="TableParagraph"/>
              <w:spacing w:line="241" w:lineRule="exact"/>
              <w:rPr>
                <w:sz w:val="22"/>
              </w:rPr>
            </w:pPr>
            <w:r>
              <w:rPr>
                <w:sz w:val="22"/>
              </w:rPr>
              <w:t>importante</w:t>
            </w:r>
          </w:p>
        </w:tc>
        <w:tc>
          <w:tcPr>
            <w:tcW w:w="1985" w:type="dxa"/>
            <w:tcBorders>
              <w:top w:val="nil"/>
              <w:bottom w:val="nil"/>
            </w:tcBorders>
          </w:tcPr>
          <w:p>
            <w:pPr>
              <w:pStyle w:val="TableParagraph"/>
              <w:spacing w:line="241" w:lineRule="exact"/>
              <w:rPr>
                <w:sz w:val="22"/>
              </w:rPr>
            </w:pPr>
            <w:r>
              <w:rPr>
                <w:sz w:val="22"/>
              </w:rPr>
              <w:t>tiempo porque</w:t>
            </w:r>
            <w:r>
              <w:rPr>
                <w:spacing w:val="54"/>
                <w:sz w:val="22"/>
              </w:rPr>
              <w:t> </w:t>
            </w:r>
            <w:r>
              <w:rPr>
                <w:sz w:val="22"/>
              </w:rPr>
              <w:t>no</w:t>
            </w:r>
          </w:p>
        </w:tc>
      </w:tr>
      <w:tr>
        <w:trPr>
          <w:trHeight w:val="248" w:hRule="exact"/>
        </w:trPr>
        <w:tc>
          <w:tcPr>
            <w:tcW w:w="1385" w:type="dxa"/>
            <w:tcBorders>
              <w:top w:val="nil"/>
            </w:tcBorders>
          </w:tcPr>
          <w:p>
            <w:pPr>
              <w:pStyle w:val="TableParagraph"/>
              <w:spacing w:line="242" w:lineRule="exact"/>
              <w:ind w:right="127"/>
              <w:rPr>
                <w:sz w:val="22"/>
              </w:rPr>
            </w:pPr>
            <w:r>
              <w:rPr>
                <w:sz w:val="22"/>
              </w:rPr>
              <w:t>(4/9/2014)</w:t>
            </w: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Style w:val="TableParagraph"/>
              <w:spacing w:line="242" w:lineRule="exact"/>
              <w:ind w:right="92"/>
              <w:rPr>
                <w:sz w:val="22"/>
              </w:rPr>
            </w:pPr>
            <w:r>
              <w:rPr>
                <w:sz w:val="22"/>
              </w:rPr>
              <w:t>llegue a</w:t>
            </w:r>
          </w:p>
        </w:tc>
        <w:tc>
          <w:tcPr>
            <w:tcW w:w="1133" w:type="dxa"/>
            <w:tcBorders>
              <w:top w:val="nil"/>
            </w:tcBorders>
          </w:tcPr>
          <w:p>
            <w:pPr/>
          </w:p>
        </w:tc>
        <w:tc>
          <w:tcPr>
            <w:tcW w:w="1702" w:type="dxa"/>
            <w:tcBorders>
              <w:top w:val="nil"/>
            </w:tcBorders>
          </w:tcPr>
          <w:p>
            <w:pPr>
              <w:pStyle w:val="TableParagraph"/>
              <w:tabs>
                <w:tab w:pos="1417" w:val="left" w:leader="none"/>
              </w:tabs>
              <w:spacing w:line="242" w:lineRule="exact"/>
              <w:rPr>
                <w:sz w:val="22"/>
              </w:rPr>
            </w:pPr>
            <w:r>
              <w:rPr>
                <w:sz w:val="22"/>
              </w:rPr>
              <w:t>para</w:t>
              <w:tab/>
              <w:t>la</w:t>
            </w:r>
          </w:p>
        </w:tc>
        <w:tc>
          <w:tcPr>
            <w:tcW w:w="1985" w:type="dxa"/>
            <w:tcBorders>
              <w:top w:val="nil"/>
            </w:tcBorders>
          </w:tcPr>
          <w:p>
            <w:pPr>
              <w:pStyle w:val="TableParagraph"/>
              <w:tabs>
                <w:tab w:pos="1211" w:val="left" w:leader="none"/>
              </w:tabs>
              <w:spacing w:line="242" w:lineRule="exact"/>
              <w:rPr>
                <w:sz w:val="22"/>
              </w:rPr>
            </w:pPr>
            <w:r>
              <w:rPr>
                <w:sz w:val="22"/>
              </w:rPr>
              <w:t>le</w:t>
              <w:tab/>
              <w:t>damos</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66" w:hRule="exact"/>
        </w:trPr>
        <w:tc>
          <w:tcPr>
            <w:tcW w:w="1385" w:type="dxa"/>
            <w:vMerge w:val="restart"/>
          </w:tcPr>
          <w:p>
            <w:pPr/>
          </w:p>
        </w:tc>
        <w:tc>
          <w:tcPr>
            <w:tcW w:w="1418" w:type="dxa"/>
            <w:vMerge w:val="restart"/>
          </w:tcPr>
          <w:p>
            <w:pPr/>
          </w:p>
        </w:tc>
        <w:tc>
          <w:tcPr>
            <w:tcW w:w="1417" w:type="dxa"/>
            <w:vMerge w:val="restart"/>
          </w:tcPr>
          <w:p>
            <w:pPr/>
          </w:p>
        </w:tc>
        <w:tc>
          <w:tcPr>
            <w:tcW w:w="1560" w:type="dxa"/>
            <w:vMerge w:val="restart"/>
          </w:tcPr>
          <w:p>
            <w:pPr/>
          </w:p>
        </w:tc>
        <w:tc>
          <w:tcPr>
            <w:tcW w:w="991" w:type="dxa"/>
            <w:vMerge w:val="restart"/>
          </w:tcPr>
          <w:p>
            <w:pPr/>
          </w:p>
        </w:tc>
        <w:tc>
          <w:tcPr>
            <w:tcW w:w="1277" w:type="dxa"/>
            <w:tcBorders>
              <w:bottom w:val="nil"/>
            </w:tcBorders>
          </w:tcPr>
          <w:p>
            <w:pPr>
              <w:pStyle w:val="TableParagraph"/>
              <w:spacing w:line="251" w:lineRule="exact"/>
              <w:ind w:right="92"/>
              <w:rPr>
                <w:sz w:val="22"/>
              </w:rPr>
            </w:pPr>
            <w:r>
              <w:rPr>
                <w:sz w:val="22"/>
              </w:rPr>
              <w:t>Encinillas</w:t>
            </w:r>
          </w:p>
        </w:tc>
        <w:tc>
          <w:tcPr>
            <w:tcW w:w="1133" w:type="dxa"/>
            <w:vMerge w:val="restart"/>
          </w:tcPr>
          <w:p>
            <w:pPr/>
          </w:p>
        </w:tc>
        <w:tc>
          <w:tcPr>
            <w:tcW w:w="1702" w:type="dxa"/>
            <w:tcBorders>
              <w:bottom w:val="nil"/>
            </w:tcBorders>
          </w:tcPr>
          <w:p>
            <w:pPr>
              <w:pStyle w:val="TableParagraph"/>
              <w:spacing w:line="251" w:lineRule="exact"/>
              <w:rPr>
                <w:sz w:val="22"/>
              </w:rPr>
            </w:pPr>
            <w:r>
              <w:rPr>
                <w:sz w:val="22"/>
              </w:rPr>
              <w:t>comunidad y la</w:t>
            </w:r>
          </w:p>
        </w:tc>
        <w:tc>
          <w:tcPr>
            <w:tcW w:w="1985" w:type="dxa"/>
            <w:tcBorders>
              <w:bottom w:val="nil"/>
            </w:tcBorders>
          </w:tcPr>
          <w:p>
            <w:pPr>
              <w:pStyle w:val="TableParagraph"/>
              <w:spacing w:line="251" w:lineRule="exact"/>
              <w:rPr>
                <w:sz w:val="22"/>
              </w:rPr>
            </w:pPr>
            <w:r>
              <w:rPr>
                <w:sz w:val="22"/>
              </w:rPr>
              <w:t>mantenimiento.</w:t>
            </w: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Style w:val="TableParagraph"/>
              <w:spacing w:line="241" w:lineRule="exact"/>
              <w:ind w:right="92"/>
              <w:rPr>
                <w:sz w:val="22"/>
              </w:rPr>
            </w:pPr>
            <w:r>
              <w:rPr>
                <w:sz w:val="22"/>
              </w:rPr>
              <w:t>desde que</w:t>
            </w:r>
          </w:p>
        </w:tc>
        <w:tc>
          <w:tcPr>
            <w:tcW w:w="1133" w:type="dxa"/>
            <w:vMerge/>
          </w:tcPr>
          <w:p>
            <w:pPr/>
          </w:p>
        </w:tc>
        <w:tc>
          <w:tcPr>
            <w:tcW w:w="1702" w:type="dxa"/>
            <w:tcBorders>
              <w:top w:val="nil"/>
              <w:bottom w:val="nil"/>
            </w:tcBorders>
          </w:tcPr>
          <w:p>
            <w:pPr>
              <w:pStyle w:val="TableParagraph"/>
              <w:spacing w:line="241" w:lineRule="exact"/>
              <w:rPr>
                <w:sz w:val="22"/>
              </w:rPr>
            </w:pPr>
            <w:r>
              <w:rPr>
                <w:sz w:val="22"/>
              </w:rPr>
              <w:t>región   porque</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Style w:val="TableParagraph"/>
              <w:spacing w:line="242" w:lineRule="exact"/>
              <w:ind w:right="92"/>
              <w:rPr>
                <w:sz w:val="22"/>
              </w:rPr>
            </w:pPr>
            <w:r>
              <w:rPr>
                <w:sz w:val="22"/>
              </w:rPr>
              <w:t>era niño.</w:t>
            </w:r>
          </w:p>
        </w:tc>
        <w:tc>
          <w:tcPr>
            <w:tcW w:w="1133" w:type="dxa"/>
            <w:vMerge/>
          </w:tcPr>
          <w:p>
            <w:pPr/>
          </w:p>
        </w:tc>
        <w:tc>
          <w:tcPr>
            <w:tcW w:w="1702" w:type="dxa"/>
            <w:tcBorders>
              <w:top w:val="nil"/>
              <w:bottom w:val="nil"/>
            </w:tcBorders>
          </w:tcPr>
          <w:p>
            <w:pPr>
              <w:pStyle w:val="TableParagraph"/>
              <w:tabs>
                <w:tab w:pos="1235" w:val="left" w:leader="none"/>
              </w:tabs>
              <w:spacing w:line="242" w:lineRule="exact"/>
              <w:rPr>
                <w:sz w:val="22"/>
              </w:rPr>
            </w:pPr>
            <w:r>
              <w:rPr>
                <w:sz w:val="22"/>
              </w:rPr>
              <w:t>de</w:t>
              <w:tab/>
              <w:t>eso</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vivimos, de ahí</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
        </w:tc>
        <w:tc>
          <w:tcPr>
            <w:tcW w:w="1133" w:type="dxa"/>
            <w:vMerge/>
          </w:tcPr>
          <w:p>
            <w:pPr/>
          </w:p>
        </w:tc>
        <w:tc>
          <w:tcPr>
            <w:tcW w:w="1702" w:type="dxa"/>
            <w:tcBorders>
              <w:top w:val="nil"/>
              <w:bottom w:val="nil"/>
            </w:tcBorders>
          </w:tcPr>
          <w:p>
            <w:pPr>
              <w:pStyle w:val="TableParagraph"/>
              <w:spacing w:line="242" w:lineRule="exact"/>
              <w:rPr>
                <w:sz w:val="22"/>
              </w:rPr>
            </w:pPr>
            <w:r>
              <w:rPr>
                <w:sz w:val="22"/>
              </w:rPr>
              <w:t>sembramos,</w:t>
            </w:r>
          </w:p>
        </w:tc>
        <w:tc>
          <w:tcPr>
            <w:tcW w:w="1985" w:type="dxa"/>
            <w:tcBorders>
              <w:top w:val="nil"/>
              <w:bottom w:val="nil"/>
            </w:tcBorders>
          </w:tcPr>
          <w:p>
            <w:pPr/>
          </w:p>
        </w:tc>
      </w:tr>
      <w:tr>
        <w:trPr>
          <w:trHeight w:val="252"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sin   la   laguna</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
        </w:tc>
        <w:tc>
          <w:tcPr>
            <w:tcW w:w="1133" w:type="dxa"/>
            <w:vMerge/>
          </w:tcPr>
          <w:p>
            <w:pPr/>
          </w:p>
        </w:tc>
        <w:tc>
          <w:tcPr>
            <w:tcW w:w="1702" w:type="dxa"/>
            <w:tcBorders>
              <w:top w:val="nil"/>
              <w:bottom w:val="nil"/>
            </w:tcBorders>
          </w:tcPr>
          <w:p>
            <w:pPr>
              <w:pStyle w:val="TableParagraph"/>
              <w:tabs>
                <w:tab w:pos="940" w:val="left" w:leader="none"/>
              </w:tabs>
              <w:spacing w:line="241" w:lineRule="exact"/>
              <w:rPr>
                <w:sz w:val="22"/>
              </w:rPr>
            </w:pPr>
            <w:r>
              <w:rPr>
                <w:sz w:val="22"/>
              </w:rPr>
              <w:t>no</w:t>
              <w:tab/>
              <w:t>somos</w:t>
            </w:r>
          </w:p>
        </w:tc>
        <w:tc>
          <w:tcPr>
            <w:tcW w:w="1985" w:type="dxa"/>
            <w:tcBorders>
              <w:top w:val="nil"/>
              <w:bottom w:val="nil"/>
            </w:tcBorders>
          </w:tcPr>
          <w:p>
            <w:pPr/>
          </w:p>
        </w:tc>
      </w:tr>
      <w:tr>
        <w:trPr>
          <w:trHeight w:val="254"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
        </w:tc>
        <w:tc>
          <w:tcPr>
            <w:tcW w:w="1133" w:type="dxa"/>
            <w:vMerge/>
          </w:tcPr>
          <w:p>
            <w:pPr/>
          </w:p>
        </w:tc>
        <w:tc>
          <w:tcPr>
            <w:tcW w:w="1702" w:type="dxa"/>
            <w:tcBorders>
              <w:top w:val="nil"/>
              <w:bottom w:val="nil"/>
            </w:tcBorders>
          </w:tcPr>
          <w:p>
            <w:pPr>
              <w:pStyle w:val="TableParagraph"/>
              <w:tabs>
                <w:tab w:pos="882" w:val="left" w:leader="none"/>
                <w:tab w:pos="1417" w:val="left" w:leader="none"/>
              </w:tabs>
              <w:spacing w:line="242" w:lineRule="exact"/>
              <w:rPr>
                <w:sz w:val="22"/>
              </w:rPr>
            </w:pPr>
            <w:r>
              <w:rPr>
                <w:sz w:val="22"/>
              </w:rPr>
              <w:t>nada</w:t>
              <w:tab/>
              <w:t>en</w:t>
              <w:tab/>
              <w:t>la</w:t>
            </w:r>
          </w:p>
        </w:tc>
        <w:tc>
          <w:tcPr>
            <w:tcW w:w="1985" w:type="dxa"/>
            <w:tcBorders>
              <w:top w:val="nil"/>
              <w:bottom w:val="nil"/>
            </w:tcBorders>
          </w:tcPr>
          <w:p>
            <w:pPr/>
          </w:p>
        </w:tc>
      </w:tr>
      <w:tr>
        <w:trPr>
          <w:trHeight w:val="254"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comunidad</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
        </w:tc>
        <w:tc>
          <w:tcPr>
            <w:tcW w:w="1133" w:type="dxa"/>
            <w:vMerge/>
          </w:tcPr>
          <w:p>
            <w:pPr/>
          </w:p>
        </w:tc>
        <w:tc>
          <w:tcPr>
            <w:tcW w:w="1702" w:type="dxa"/>
            <w:tcBorders>
              <w:top w:val="nil"/>
              <w:bottom w:val="nil"/>
            </w:tcBorders>
          </w:tcPr>
          <w:p>
            <w:pPr>
              <w:pStyle w:val="TableParagraph"/>
              <w:tabs>
                <w:tab w:pos="1235" w:val="left" w:leader="none"/>
              </w:tabs>
              <w:spacing w:line="242" w:lineRule="exact"/>
              <w:rPr>
                <w:sz w:val="22"/>
              </w:rPr>
            </w:pPr>
            <w:r>
              <w:rPr>
                <w:sz w:val="22"/>
              </w:rPr>
              <w:t>porque</w:t>
              <w:tab/>
              <w:t>nos</w:t>
            </w:r>
          </w:p>
        </w:tc>
        <w:tc>
          <w:tcPr>
            <w:tcW w:w="1985" w:type="dxa"/>
            <w:tcBorders>
              <w:top w:val="nil"/>
              <w:bottom w:val="nil"/>
            </w:tcBorders>
          </w:tcPr>
          <w:p>
            <w:pPr/>
          </w:p>
        </w:tc>
      </w:tr>
      <w:tr>
        <w:trPr>
          <w:trHeight w:val="252"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
        </w:tc>
        <w:tc>
          <w:tcPr>
            <w:tcW w:w="1133" w:type="dxa"/>
            <w:vMerge/>
          </w:tcPr>
          <w:p>
            <w:pPr/>
          </w:p>
        </w:tc>
        <w:tc>
          <w:tcPr>
            <w:tcW w:w="1702" w:type="dxa"/>
            <w:tcBorders>
              <w:top w:val="nil"/>
              <w:bottom w:val="nil"/>
            </w:tcBorders>
          </w:tcPr>
          <w:p>
            <w:pPr>
              <w:pStyle w:val="TableParagraph"/>
              <w:tabs>
                <w:tab w:pos="875" w:val="left" w:leader="none"/>
                <w:tab w:pos="1307" w:val="left" w:leader="none"/>
              </w:tabs>
              <w:spacing w:line="241" w:lineRule="exact"/>
              <w:rPr>
                <w:sz w:val="22"/>
              </w:rPr>
            </w:pPr>
            <w:r>
              <w:rPr>
                <w:sz w:val="22"/>
              </w:rPr>
              <w:t>sirve</w:t>
              <w:tab/>
              <w:t>a</w:t>
              <w:tab/>
              <w:t>los</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
        </w:tc>
        <w:tc>
          <w:tcPr>
            <w:tcW w:w="1133" w:type="dxa"/>
            <w:vMerge/>
          </w:tcPr>
          <w:p>
            <w:pPr/>
          </w:p>
        </w:tc>
        <w:tc>
          <w:tcPr>
            <w:tcW w:w="1702" w:type="dxa"/>
            <w:tcBorders>
              <w:top w:val="nil"/>
              <w:bottom w:val="nil"/>
            </w:tcBorders>
          </w:tcPr>
          <w:p>
            <w:pPr>
              <w:pStyle w:val="TableParagraph"/>
              <w:spacing w:line="241" w:lineRule="exact"/>
              <w:rPr>
                <w:sz w:val="22"/>
              </w:rPr>
            </w:pPr>
            <w:r>
              <w:rPr>
                <w:sz w:val="22"/>
              </w:rPr>
              <w:t>agricultores</w:t>
            </w:r>
          </w:p>
        </w:tc>
        <w:tc>
          <w:tcPr>
            <w:tcW w:w="1985" w:type="dxa"/>
            <w:tcBorders>
              <w:top w:val="nil"/>
              <w:bottom w:val="nil"/>
            </w:tcBorders>
          </w:tcPr>
          <w:p>
            <w:pPr/>
          </w:p>
        </w:tc>
      </w:tr>
      <w:tr>
        <w:trPr>
          <w:trHeight w:val="253"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bottom w:val="nil"/>
            </w:tcBorders>
          </w:tcPr>
          <w:p>
            <w:pPr/>
          </w:p>
        </w:tc>
        <w:tc>
          <w:tcPr>
            <w:tcW w:w="1133" w:type="dxa"/>
            <w:vMerge/>
          </w:tcPr>
          <w:p>
            <w:pPr/>
          </w:p>
        </w:tc>
        <w:tc>
          <w:tcPr>
            <w:tcW w:w="1702" w:type="dxa"/>
            <w:tcBorders>
              <w:top w:val="nil"/>
              <w:bottom w:val="nil"/>
            </w:tcBorders>
          </w:tcPr>
          <w:p>
            <w:pPr>
              <w:pStyle w:val="TableParagraph"/>
              <w:tabs>
                <w:tab w:pos="767" w:val="left" w:leader="none"/>
                <w:tab w:pos="1479" w:val="left" w:leader="none"/>
              </w:tabs>
              <w:spacing w:line="242" w:lineRule="exact"/>
              <w:rPr>
                <w:sz w:val="22"/>
              </w:rPr>
            </w:pPr>
            <w:r>
              <w:rPr>
                <w:sz w:val="22"/>
              </w:rPr>
              <w:t>para</w:t>
              <w:tab/>
              <w:t>riego</w:t>
              <w:tab/>
              <w:t>y</w:t>
            </w:r>
          </w:p>
        </w:tc>
        <w:tc>
          <w:tcPr>
            <w:tcW w:w="1985" w:type="dxa"/>
            <w:tcBorders>
              <w:top w:val="nil"/>
              <w:bottom w:val="nil"/>
            </w:tcBorders>
          </w:tcPr>
          <w:p>
            <w:pPr/>
          </w:p>
        </w:tc>
      </w:tr>
      <w:tr>
        <w:trPr>
          <w:trHeight w:val="250" w:hRule="exact"/>
        </w:trPr>
        <w:tc>
          <w:tcPr>
            <w:tcW w:w="1385" w:type="dxa"/>
            <w:vMerge/>
          </w:tcPr>
          <w:p>
            <w:pPr/>
          </w:p>
        </w:tc>
        <w:tc>
          <w:tcPr>
            <w:tcW w:w="1418" w:type="dxa"/>
            <w:vMerge/>
          </w:tcPr>
          <w:p>
            <w:pPr/>
          </w:p>
        </w:tc>
        <w:tc>
          <w:tcPr>
            <w:tcW w:w="1417" w:type="dxa"/>
            <w:vMerge/>
          </w:tcPr>
          <w:p>
            <w:pPr/>
          </w:p>
        </w:tc>
        <w:tc>
          <w:tcPr>
            <w:tcW w:w="1560" w:type="dxa"/>
            <w:vMerge/>
          </w:tcPr>
          <w:p>
            <w:pPr/>
          </w:p>
        </w:tc>
        <w:tc>
          <w:tcPr>
            <w:tcW w:w="991" w:type="dxa"/>
            <w:vMerge/>
          </w:tcPr>
          <w:p>
            <w:pPr/>
          </w:p>
        </w:tc>
        <w:tc>
          <w:tcPr>
            <w:tcW w:w="1277" w:type="dxa"/>
            <w:tcBorders>
              <w:top w:val="nil"/>
            </w:tcBorders>
          </w:tcPr>
          <w:p>
            <w:pPr/>
          </w:p>
        </w:tc>
        <w:tc>
          <w:tcPr>
            <w:tcW w:w="1133" w:type="dxa"/>
            <w:vMerge/>
          </w:tcPr>
          <w:p>
            <w:pPr/>
          </w:p>
        </w:tc>
        <w:tc>
          <w:tcPr>
            <w:tcW w:w="1702" w:type="dxa"/>
            <w:tcBorders>
              <w:top w:val="nil"/>
            </w:tcBorders>
          </w:tcPr>
          <w:p>
            <w:pPr>
              <w:pStyle w:val="TableParagraph"/>
              <w:spacing w:line="241" w:lineRule="exact"/>
              <w:rPr>
                <w:sz w:val="22"/>
              </w:rPr>
            </w:pPr>
            <w:r>
              <w:rPr>
                <w:sz w:val="22"/>
              </w:rPr>
              <w:t>abrevaderos.</w:t>
            </w: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Felipe</w:t>
            </w:r>
          </w:p>
        </w:tc>
        <w:tc>
          <w:tcPr>
            <w:tcW w:w="1418" w:type="dxa"/>
            <w:tcBorders>
              <w:bottom w:val="nil"/>
            </w:tcBorders>
          </w:tcPr>
          <w:p>
            <w:pPr>
              <w:pStyle w:val="TableParagraph"/>
              <w:spacing w:line="251" w:lineRule="exact"/>
              <w:ind w:left="100"/>
              <w:rPr>
                <w:sz w:val="22"/>
              </w:rPr>
            </w:pPr>
            <w:r>
              <w:rPr>
                <w:sz w:val="22"/>
              </w:rPr>
              <w:t>El  campo</w:t>
            </w:r>
            <w:r>
              <w:rPr>
                <w:spacing w:val="53"/>
                <w:sz w:val="22"/>
              </w:rPr>
              <w:t> </w:t>
            </w:r>
            <w:r>
              <w:rPr>
                <w:sz w:val="22"/>
              </w:rPr>
              <w:t>y</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La</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La</w:t>
            </w:r>
          </w:p>
        </w:tc>
        <w:tc>
          <w:tcPr>
            <w:tcW w:w="1133" w:type="dxa"/>
            <w:tcBorders>
              <w:bottom w:val="nil"/>
            </w:tcBorders>
          </w:tcPr>
          <w:p>
            <w:pPr>
              <w:pStyle w:val="TableParagraph"/>
              <w:spacing w:line="251" w:lineRule="exact"/>
              <w:ind w:left="100" w:right="52"/>
              <w:rPr>
                <w:sz w:val="22"/>
              </w:rPr>
            </w:pPr>
            <w:r>
              <w:rPr>
                <w:sz w:val="22"/>
              </w:rPr>
              <w:t>La</w:t>
            </w:r>
          </w:p>
        </w:tc>
        <w:tc>
          <w:tcPr>
            <w:tcW w:w="1702" w:type="dxa"/>
            <w:tcBorders>
              <w:bottom w:val="nil"/>
            </w:tcBorders>
          </w:tcPr>
          <w:p>
            <w:pPr>
              <w:pStyle w:val="TableParagraph"/>
              <w:spacing w:line="251" w:lineRule="exact"/>
              <w:rPr>
                <w:sz w:val="22"/>
              </w:rPr>
            </w:pPr>
            <w:r>
              <w:rPr>
                <w:sz w:val="22"/>
              </w:rPr>
              <w:t>Sí   porque </w:t>
            </w:r>
            <w:r>
              <w:rPr>
                <w:spacing w:val="53"/>
                <w:sz w:val="22"/>
              </w:rPr>
              <w:t> </w:t>
            </w:r>
            <w:r>
              <w:rPr>
                <w:sz w:val="22"/>
              </w:rPr>
              <w:t>se</w:t>
            </w:r>
          </w:p>
        </w:tc>
        <w:tc>
          <w:tcPr>
            <w:tcW w:w="1985" w:type="dxa"/>
            <w:tcBorders>
              <w:bottom w:val="nil"/>
            </w:tcBorders>
          </w:tcPr>
          <w:p>
            <w:pPr>
              <w:pStyle w:val="TableParagraph"/>
              <w:spacing w:line="251" w:lineRule="exact"/>
              <w:rPr>
                <w:sz w:val="22"/>
              </w:rPr>
            </w:pPr>
            <w:r>
              <w:rPr>
                <w:sz w:val="22"/>
              </w:rPr>
              <w:t>Sí por todo lo que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Tapia</w:t>
            </w:r>
          </w:p>
        </w:tc>
        <w:tc>
          <w:tcPr>
            <w:tcW w:w="1418" w:type="dxa"/>
            <w:tcBorders>
              <w:top w:val="nil"/>
              <w:bottom w:val="nil"/>
            </w:tcBorders>
          </w:tcPr>
          <w:p>
            <w:pPr>
              <w:pStyle w:val="TableParagraph"/>
              <w:spacing w:line="241" w:lineRule="exact"/>
              <w:ind w:left="100" w:right="101"/>
              <w:rPr>
                <w:sz w:val="22"/>
              </w:rPr>
            </w:pPr>
            <w:r>
              <w:rPr>
                <w:sz w:val="22"/>
              </w:rPr>
              <w:t>albañil</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Style w:val="TableParagraph"/>
              <w:spacing w:line="241" w:lineRule="exact"/>
              <w:ind w:right="143"/>
              <w:rPr>
                <w:sz w:val="22"/>
              </w:rPr>
            </w:pPr>
            <w:r>
              <w:rPr>
                <w:sz w:val="22"/>
              </w:rPr>
              <w:t>Campesina</w:t>
            </w: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Campesin</w:t>
            </w:r>
          </w:p>
        </w:tc>
        <w:tc>
          <w:tcPr>
            <w:tcW w:w="1133" w:type="dxa"/>
            <w:tcBorders>
              <w:top w:val="nil"/>
              <w:bottom w:val="nil"/>
            </w:tcBorders>
          </w:tcPr>
          <w:p>
            <w:pPr>
              <w:pStyle w:val="TableParagraph"/>
              <w:spacing w:line="241" w:lineRule="exact"/>
              <w:ind w:left="100" w:right="52"/>
              <w:rPr>
                <w:sz w:val="22"/>
              </w:rPr>
            </w:pPr>
            <w:r>
              <w:rPr>
                <w:sz w:val="22"/>
              </w:rPr>
              <w:t>Campesi</w:t>
            </w:r>
          </w:p>
        </w:tc>
        <w:tc>
          <w:tcPr>
            <w:tcW w:w="1702" w:type="dxa"/>
            <w:tcBorders>
              <w:top w:val="nil"/>
              <w:bottom w:val="nil"/>
            </w:tcBorders>
          </w:tcPr>
          <w:p>
            <w:pPr>
              <w:pStyle w:val="TableParagraph"/>
              <w:spacing w:line="241" w:lineRule="exact"/>
              <w:rPr>
                <w:sz w:val="22"/>
              </w:rPr>
            </w:pPr>
            <w:r>
              <w:rPr>
                <w:sz w:val="22"/>
              </w:rPr>
              <w:t>divierten  ahí</w:t>
            </w:r>
            <w:r>
              <w:rPr>
                <w:spacing w:val="50"/>
                <w:sz w:val="22"/>
              </w:rPr>
              <w:t> </w:t>
            </w:r>
            <w:r>
              <w:rPr>
                <w:sz w:val="22"/>
              </w:rPr>
              <w:t>y</w:t>
            </w:r>
          </w:p>
        </w:tc>
        <w:tc>
          <w:tcPr>
            <w:tcW w:w="1985" w:type="dxa"/>
            <w:tcBorders>
              <w:top w:val="nil"/>
              <w:bottom w:val="nil"/>
            </w:tcBorders>
          </w:tcPr>
          <w:p>
            <w:pPr>
              <w:pStyle w:val="TableParagraph"/>
              <w:spacing w:line="241" w:lineRule="exact"/>
              <w:rPr>
                <w:sz w:val="22"/>
              </w:rPr>
            </w:pPr>
            <w:r>
              <w:rPr>
                <w:sz w:val="22"/>
              </w:rPr>
              <w:t>se  le  echa  a   la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Chimal</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w:t>
            </w:r>
          </w:p>
        </w:tc>
        <w:tc>
          <w:tcPr>
            <w:tcW w:w="1133" w:type="dxa"/>
            <w:tcBorders>
              <w:top w:val="nil"/>
              <w:bottom w:val="nil"/>
            </w:tcBorders>
          </w:tcPr>
          <w:p>
            <w:pPr>
              <w:pStyle w:val="TableParagraph"/>
              <w:spacing w:line="242" w:lineRule="exact"/>
              <w:ind w:left="100" w:right="52"/>
              <w:rPr>
                <w:sz w:val="22"/>
              </w:rPr>
            </w:pPr>
            <w:r>
              <w:rPr>
                <w:sz w:val="22"/>
              </w:rPr>
              <w:t>na,</w:t>
            </w:r>
          </w:p>
        </w:tc>
        <w:tc>
          <w:tcPr>
            <w:tcW w:w="1702" w:type="dxa"/>
            <w:tcBorders>
              <w:top w:val="nil"/>
              <w:bottom w:val="nil"/>
            </w:tcBorders>
          </w:tcPr>
          <w:p>
            <w:pPr>
              <w:pStyle w:val="TableParagraph"/>
              <w:spacing w:line="242" w:lineRule="exact"/>
              <w:rPr>
                <w:sz w:val="22"/>
              </w:rPr>
            </w:pPr>
            <w:r>
              <w:rPr>
                <w:sz w:val="22"/>
              </w:rPr>
              <w:t>comen</w:t>
            </w:r>
          </w:p>
        </w:tc>
        <w:tc>
          <w:tcPr>
            <w:tcW w:w="1985" w:type="dxa"/>
            <w:tcBorders>
              <w:top w:val="nil"/>
              <w:bottom w:val="nil"/>
            </w:tcBorders>
          </w:tcPr>
          <w:p>
            <w:pPr>
              <w:pStyle w:val="TableParagraph"/>
              <w:tabs>
                <w:tab w:pos="1274" w:val="left" w:leader="none"/>
              </w:tabs>
              <w:spacing w:line="242" w:lineRule="exact"/>
              <w:rPr>
                <w:sz w:val="22"/>
              </w:rPr>
            </w:pPr>
            <w:r>
              <w:rPr>
                <w:sz w:val="22"/>
              </w:rPr>
              <w:t>laguna,</w:t>
              <w:tab/>
              <w:t>tantos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(4/9/2014)</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Timilpan</w:t>
            </w:r>
          </w:p>
        </w:tc>
        <w:tc>
          <w:tcPr>
            <w:tcW w:w="1133" w:type="dxa"/>
            <w:tcBorders>
              <w:top w:val="nil"/>
              <w:bottom w:val="nil"/>
            </w:tcBorders>
          </w:tcPr>
          <w:p>
            <w:pPr>
              <w:pStyle w:val="TableParagraph"/>
              <w:spacing w:line="241" w:lineRule="exact"/>
              <w:ind w:left="100" w:right="52"/>
              <w:rPr>
                <w:sz w:val="22"/>
              </w:rPr>
            </w:pPr>
            <w:r>
              <w:rPr>
                <w:sz w:val="22"/>
              </w:rPr>
              <w:t>Timilpan</w:t>
            </w:r>
          </w:p>
        </w:tc>
        <w:tc>
          <w:tcPr>
            <w:tcW w:w="1702" w:type="dxa"/>
            <w:tcBorders>
              <w:top w:val="nil"/>
              <w:bottom w:val="nil"/>
            </w:tcBorders>
          </w:tcPr>
          <w:p>
            <w:pPr>
              <w:pStyle w:val="TableParagraph"/>
              <w:spacing w:line="241" w:lineRule="exact"/>
              <w:rPr>
                <w:sz w:val="22"/>
              </w:rPr>
            </w:pPr>
            <w:r>
              <w:rPr>
                <w:sz w:val="22"/>
              </w:rPr>
              <w:t>pescado,  pero</w:t>
            </w:r>
          </w:p>
        </w:tc>
        <w:tc>
          <w:tcPr>
            <w:tcW w:w="1985" w:type="dxa"/>
            <w:tcBorders>
              <w:top w:val="nil"/>
              <w:bottom w:val="nil"/>
            </w:tcBorders>
          </w:tcPr>
          <w:p>
            <w:pPr>
              <w:pStyle w:val="TableParagraph"/>
              <w:spacing w:line="241" w:lineRule="exact"/>
              <w:rPr>
                <w:sz w:val="22"/>
              </w:rPr>
            </w:pPr>
            <w:r>
              <w:rPr>
                <w:sz w:val="22"/>
              </w:rPr>
              <w:t>contaminantes.</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00" w:val="left" w:leader="none"/>
                <w:tab w:pos="1100" w:val="left" w:leader="none"/>
              </w:tabs>
              <w:spacing w:line="241" w:lineRule="exact"/>
              <w:rPr>
                <w:sz w:val="22"/>
              </w:rPr>
            </w:pPr>
            <w:r>
              <w:rPr>
                <w:sz w:val="22"/>
              </w:rPr>
              <w:t>que</w:t>
              <w:tab/>
              <w:t>el</w:t>
              <w:tab/>
              <w:t>agua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esté   limpia   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6" w:val="left" w:leader="none"/>
              </w:tabs>
              <w:spacing w:line="241" w:lineRule="exact"/>
              <w:rPr>
                <w:sz w:val="22"/>
              </w:rPr>
            </w:pPr>
            <w:r>
              <w:rPr>
                <w:sz w:val="22"/>
              </w:rPr>
              <w:t>sirve</w:t>
              <w:tab/>
              <w:t>para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8" w:val="left" w:leader="none"/>
              </w:tabs>
              <w:spacing w:line="242" w:lineRule="exact"/>
              <w:rPr>
                <w:sz w:val="22"/>
              </w:rPr>
            </w:pPr>
            <w:r>
              <w:rPr>
                <w:sz w:val="22"/>
              </w:rPr>
              <w:t>riego,</w:t>
              <w:tab/>
              <w:t>pero</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51" w:val="left" w:leader="none"/>
                <w:tab w:pos="1417" w:val="left" w:leader="none"/>
              </w:tabs>
              <w:spacing w:line="241" w:lineRule="exact"/>
              <w:rPr>
                <w:sz w:val="22"/>
              </w:rPr>
            </w:pPr>
            <w:r>
              <w:rPr>
                <w:sz w:val="22"/>
              </w:rPr>
              <w:t>aquí</w:t>
              <w:tab/>
              <w:t>no</w:t>
              <w:tab/>
              <w:t>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utilizan  y  ni sé</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bien   quien  la</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usa.</w:t>
            </w:r>
          </w:p>
        </w:tc>
        <w:tc>
          <w:tcPr>
            <w:tcW w:w="1985"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Audencio</w:t>
            </w:r>
          </w:p>
        </w:tc>
        <w:tc>
          <w:tcPr>
            <w:tcW w:w="1418" w:type="dxa"/>
            <w:tcBorders>
              <w:bottom w:val="nil"/>
            </w:tcBorders>
          </w:tcPr>
          <w:p>
            <w:pPr>
              <w:pStyle w:val="TableParagraph"/>
              <w:spacing w:line="251" w:lineRule="exact"/>
              <w:ind w:left="100"/>
              <w:rPr>
                <w:sz w:val="22"/>
              </w:rPr>
            </w:pPr>
            <w:r>
              <w:rPr>
                <w:sz w:val="22"/>
              </w:rPr>
              <w:t>El  campo</w:t>
            </w:r>
            <w:r>
              <w:rPr>
                <w:spacing w:val="53"/>
                <w:sz w:val="22"/>
              </w:rPr>
              <w:t> </w:t>
            </w:r>
            <w:r>
              <w:rPr>
                <w:sz w:val="22"/>
              </w:rPr>
              <w:t>y</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Las Arenas</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Las</w:t>
            </w:r>
          </w:p>
        </w:tc>
        <w:tc>
          <w:tcPr>
            <w:tcW w:w="1133" w:type="dxa"/>
            <w:tcBorders>
              <w:bottom w:val="nil"/>
            </w:tcBorders>
          </w:tcPr>
          <w:p>
            <w:pPr>
              <w:pStyle w:val="TableParagraph"/>
              <w:spacing w:line="251" w:lineRule="exact"/>
              <w:ind w:left="100" w:right="52"/>
              <w:rPr>
                <w:sz w:val="22"/>
              </w:rPr>
            </w:pPr>
            <w:r>
              <w:rPr>
                <w:sz w:val="22"/>
              </w:rPr>
              <w:t>Las</w:t>
            </w:r>
          </w:p>
        </w:tc>
        <w:tc>
          <w:tcPr>
            <w:tcW w:w="1702" w:type="dxa"/>
            <w:tcBorders>
              <w:bottom w:val="nil"/>
            </w:tcBorders>
          </w:tcPr>
          <w:p>
            <w:pPr>
              <w:pStyle w:val="TableParagraph"/>
              <w:spacing w:line="251" w:lineRule="exact"/>
              <w:rPr>
                <w:sz w:val="22"/>
              </w:rPr>
            </w:pPr>
            <w:r>
              <w:rPr>
                <w:sz w:val="22"/>
              </w:rPr>
              <w:t>Sí   porque </w:t>
            </w:r>
            <w:r>
              <w:rPr>
                <w:spacing w:val="53"/>
                <w:sz w:val="22"/>
              </w:rPr>
              <w:t> </w:t>
            </w:r>
            <w:r>
              <w:rPr>
                <w:sz w:val="22"/>
              </w:rPr>
              <w:t>se</w:t>
            </w:r>
          </w:p>
        </w:tc>
        <w:tc>
          <w:tcPr>
            <w:tcW w:w="1985" w:type="dxa"/>
            <w:tcBorders>
              <w:bottom w:val="nil"/>
            </w:tcBorders>
          </w:tcPr>
          <w:p>
            <w:pPr>
              <w:pStyle w:val="TableParagraph"/>
              <w:spacing w:line="251" w:lineRule="exact"/>
              <w:rPr>
                <w:sz w:val="22"/>
              </w:rPr>
            </w:pPr>
            <w:r>
              <w:rPr>
                <w:sz w:val="22"/>
              </w:rPr>
              <w:t>Sí  porque  ya  no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100" w:right="101"/>
              <w:rPr>
                <w:sz w:val="22"/>
              </w:rPr>
            </w:pPr>
            <w:r>
              <w:rPr>
                <w:sz w:val="22"/>
              </w:rPr>
              <w:t>albañil</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Arenas,</w:t>
            </w:r>
          </w:p>
        </w:tc>
        <w:tc>
          <w:tcPr>
            <w:tcW w:w="1133" w:type="dxa"/>
            <w:tcBorders>
              <w:top w:val="nil"/>
              <w:bottom w:val="nil"/>
            </w:tcBorders>
          </w:tcPr>
          <w:p>
            <w:pPr>
              <w:pStyle w:val="TableParagraph"/>
              <w:spacing w:line="241" w:lineRule="exact"/>
              <w:ind w:left="100" w:right="52"/>
              <w:rPr>
                <w:sz w:val="22"/>
              </w:rPr>
            </w:pPr>
            <w:r>
              <w:rPr>
                <w:sz w:val="22"/>
              </w:rPr>
              <w:t>Arenas,</w:t>
            </w:r>
          </w:p>
        </w:tc>
        <w:tc>
          <w:tcPr>
            <w:tcW w:w="1702" w:type="dxa"/>
            <w:tcBorders>
              <w:top w:val="nil"/>
              <w:bottom w:val="nil"/>
            </w:tcBorders>
          </w:tcPr>
          <w:p>
            <w:pPr>
              <w:pStyle w:val="TableParagraph"/>
              <w:spacing w:line="241" w:lineRule="exact"/>
              <w:rPr>
                <w:sz w:val="22"/>
              </w:rPr>
            </w:pPr>
            <w:r>
              <w:rPr>
                <w:sz w:val="22"/>
              </w:rPr>
              <w:t>beneficia</w:t>
            </w:r>
          </w:p>
        </w:tc>
        <w:tc>
          <w:tcPr>
            <w:tcW w:w="1985" w:type="dxa"/>
            <w:tcBorders>
              <w:top w:val="nil"/>
              <w:bottom w:val="nil"/>
            </w:tcBorders>
          </w:tcPr>
          <w:p>
            <w:pPr>
              <w:pStyle w:val="TableParagraph"/>
              <w:spacing w:line="241" w:lineRule="exact"/>
              <w:rPr>
                <w:sz w:val="22"/>
              </w:rPr>
            </w:pPr>
            <w:r>
              <w:rPr>
                <w:sz w:val="22"/>
              </w:rPr>
              <w:t>llueve mucho y ya</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Valentín</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3" w:lineRule="exact"/>
              <w:ind w:right="92"/>
              <w:rPr>
                <w:sz w:val="22"/>
              </w:rPr>
            </w:pPr>
            <w:r>
              <w:rPr>
                <w:sz w:val="22"/>
              </w:rPr>
              <w:t>Acambay</w:t>
            </w:r>
          </w:p>
        </w:tc>
        <w:tc>
          <w:tcPr>
            <w:tcW w:w="1133" w:type="dxa"/>
            <w:tcBorders>
              <w:top w:val="nil"/>
              <w:bottom w:val="nil"/>
            </w:tcBorders>
          </w:tcPr>
          <w:p>
            <w:pPr>
              <w:pStyle w:val="TableParagraph"/>
              <w:spacing w:line="243" w:lineRule="exact"/>
              <w:ind w:left="100" w:right="52"/>
              <w:rPr>
                <w:sz w:val="22"/>
              </w:rPr>
            </w:pPr>
            <w:r>
              <w:rPr>
                <w:sz w:val="22"/>
              </w:rPr>
              <w:t>Acambay</w:t>
            </w:r>
          </w:p>
        </w:tc>
        <w:tc>
          <w:tcPr>
            <w:tcW w:w="1702" w:type="dxa"/>
            <w:tcBorders>
              <w:top w:val="nil"/>
              <w:bottom w:val="nil"/>
            </w:tcBorders>
          </w:tcPr>
          <w:p>
            <w:pPr>
              <w:pStyle w:val="TableParagraph"/>
              <w:tabs>
                <w:tab w:pos="976" w:val="left" w:leader="none"/>
              </w:tabs>
              <w:spacing w:line="243" w:lineRule="exact"/>
              <w:rPr>
                <w:sz w:val="22"/>
              </w:rPr>
            </w:pPr>
            <w:r>
              <w:rPr>
                <w:sz w:val="22"/>
              </w:rPr>
              <w:t>mucha</w:t>
              <w:tab/>
              <w:t>gente,</w:t>
            </w:r>
          </w:p>
        </w:tc>
        <w:tc>
          <w:tcPr>
            <w:tcW w:w="1985" w:type="dxa"/>
            <w:tcBorders>
              <w:top w:val="nil"/>
              <w:bottom w:val="nil"/>
            </w:tcBorders>
          </w:tcPr>
          <w:p>
            <w:pPr>
              <w:pStyle w:val="TableParagraph"/>
              <w:tabs>
                <w:tab w:pos="582" w:val="left" w:leader="none"/>
                <w:tab w:pos="1283" w:val="left" w:leader="none"/>
                <w:tab w:pos="1640" w:val="left" w:leader="none"/>
              </w:tabs>
              <w:spacing w:line="243" w:lineRule="exact"/>
              <w:rPr>
                <w:sz w:val="22"/>
              </w:rPr>
            </w:pPr>
            <w:r>
              <w:rPr>
                <w:sz w:val="22"/>
              </w:rPr>
              <w:t>no</w:t>
              <w:tab/>
              <w:t>llega</w:t>
              <w:tab/>
              <w:t>a</w:t>
              <w:tab/>
              <w:t>su</w:t>
            </w:r>
          </w:p>
        </w:tc>
      </w:tr>
      <w:tr>
        <w:trPr>
          <w:trHeight w:val="252" w:hRule="exact"/>
        </w:trPr>
        <w:tc>
          <w:tcPr>
            <w:tcW w:w="1385" w:type="dxa"/>
            <w:tcBorders>
              <w:top w:val="nil"/>
              <w:bottom w:val="nil"/>
            </w:tcBorders>
          </w:tcPr>
          <w:p>
            <w:pPr>
              <w:pStyle w:val="TableParagraph"/>
              <w:spacing w:line="241" w:lineRule="exact"/>
              <w:rPr>
                <w:sz w:val="22"/>
              </w:rPr>
            </w:pPr>
            <w:r>
              <w:rPr>
                <w:sz w:val="22"/>
              </w:rPr>
              <w:t>(24/1/2015)</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35" w:val="left" w:leader="none"/>
              </w:tabs>
              <w:spacing w:line="241" w:lineRule="exact"/>
              <w:rPr>
                <w:sz w:val="22"/>
              </w:rPr>
            </w:pPr>
            <w:r>
              <w:rPr>
                <w:sz w:val="22"/>
              </w:rPr>
              <w:t>pescan</w:t>
              <w:tab/>
              <w:t>hay</w:t>
            </w:r>
          </w:p>
        </w:tc>
        <w:tc>
          <w:tcPr>
            <w:tcW w:w="1985" w:type="dxa"/>
            <w:tcBorders>
              <w:top w:val="nil"/>
              <w:bottom w:val="nil"/>
            </w:tcBorders>
          </w:tcPr>
          <w:p>
            <w:pPr>
              <w:pStyle w:val="TableParagraph"/>
              <w:spacing w:line="241" w:lineRule="exact"/>
              <w:rPr>
                <w:sz w:val="22"/>
              </w:rPr>
            </w:pPr>
            <w:r>
              <w:rPr>
                <w:sz w:val="22"/>
              </w:rPr>
              <w:t>nivel.</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mucho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empleo,</w:t>
            </w:r>
            <w:r>
              <w:rPr>
                <w:spacing w:val="55"/>
                <w:sz w:val="22"/>
              </w:rPr>
              <w:t> </w:t>
            </w:r>
            <w:r>
              <w:rPr>
                <w:sz w:val="22"/>
              </w:rPr>
              <w:t>sacan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149" w:val="left" w:leader="none"/>
              </w:tabs>
              <w:spacing w:line="241" w:lineRule="exact"/>
              <w:rPr>
                <w:sz w:val="22"/>
              </w:rPr>
            </w:pPr>
            <w:r>
              <w:rPr>
                <w:sz w:val="22"/>
              </w:rPr>
              <w:t>pescado</w:t>
              <w:tab/>
              <w:t>para</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su  hogar  y su</w:t>
            </w:r>
          </w:p>
        </w:tc>
        <w:tc>
          <w:tcPr>
            <w:tcW w:w="1985" w:type="dxa"/>
            <w:tcBorders>
              <w:top w:val="nil"/>
            </w:tcBorders>
          </w:tcPr>
          <w:p>
            <w:pPr/>
          </w:p>
        </w:tc>
      </w:tr>
    </w:tbl>
    <w:p>
      <w:pPr>
        <w:spacing w:after="0"/>
        <w:sectPr>
          <w:footerReference w:type="default" r:id="rId186"/>
          <w:pgSz w:w="15840" w:h="12240" w:orient="landscape"/>
          <w:pgMar w:footer="943" w:header="0" w:top="1140" w:bottom="1140" w:left="1200" w:right="1300"/>
          <w:pgNumType w:start="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3046"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tabs>
                <w:tab w:pos="1345" w:val="left" w:leader="none"/>
              </w:tabs>
              <w:spacing w:line="252" w:lineRule="exact" w:before="2"/>
              <w:ind w:right="98"/>
              <w:jc w:val="both"/>
              <w:rPr>
                <w:sz w:val="22"/>
              </w:rPr>
            </w:pPr>
            <w:r>
              <w:rPr>
                <w:sz w:val="22"/>
              </w:rPr>
              <w:t>familia y para riego</w:t>
              <w:tab/>
              <w:t>en</w:t>
            </w:r>
          </w:p>
          <w:p>
            <w:pPr>
              <w:pStyle w:val="TableParagraph"/>
              <w:spacing w:line="252" w:lineRule="exact" w:before="2"/>
              <w:ind w:right="98"/>
              <w:jc w:val="both"/>
              <w:rPr>
                <w:sz w:val="22"/>
              </w:rPr>
            </w:pPr>
            <w:r>
              <w:rPr>
                <w:sz w:val="22"/>
              </w:rPr>
              <w:t>Aculco y no sé hasta     dónde</w:t>
            </w:r>
          </w:p>
          <w:p>
            <w:pPr>
              <w:pStyle w:val="TableParagraph"/>
              <w:ind w:right="98"/>
              <w:jc w:val="both"/>
              <w:rPr>
                <w:sz w:val="22"/>
              </w:rPr>
            </w:pPr>
            <w:r>
              <w:rPr>
                <w:sz w:val="22"/>
              </w:rPr>
              <w:t>llega. Aquí para pesca no dejan regar y no se puede regar por eso aquí tenemos nuestro pozo artesano.</w:t>
            </w:r>
          </w:p>
        </w:tc>
        <w:tc>
          <w:tcPr>
            <w:tcW w:w="1985" w:type="dxa"/>
          </w:tcPr>
          <w:p>
            <w:pPr/>
          </w:p>
        </w:tc>
      </w:tr>
      <w:tr>
        <w:trPr>
          <w:trHeight w:val="4056" w:hRule="exact"/>
        </w:trPr>
        <w:tc>
          <w:tcPr>
            <w:tcW w:w="1385" w:type="dxa"/>
          </w:tcPr>
          <w:p>
            <w:pPr>
              <w:pStyle w:val="TableParagraph"/>
              <w:ind w:right="249"/>
              <w:rPr>
                <w:sz w:val="22"/>
              </w:rPr>
            </w:pPr>
            <w:r>
              <w:rPr>
                <w:sz w:val="22"/>
              </w:rPr>
              <w:t>Ponciano Olmos Correa (7/II/2015)</w:t>
            </w:r>
          </w:p>
        </w:tc>
        <w:tc>
          <w:tcPr>
            <w:tcW w:w="1418" w:type="dxa"/>
          </w:tcPr>
          <w:p>
            <w:pPr>
              <w:pStyle w:val="TableParagraph"/>
              <w:spacing w:line="251" w:lineRule="exact"/>
              <w:ind w:left="242" w:right="101"/>
              <w:rPr>
                <w:sz w:val="22"/>
              </w:rPr>
            </w:pPr>
            <w:r>
              <w:rPr>
                <w:sz w:val="22"/>
              </w:rPr>
              <w:t>El campo</w:t>
            </w:r>
          </w:p>
        </w:tc>
        <w:tc>
          <w:tcPr>
            <w:tcW w:w="1417" w:type="dxa"/>
          </w:tcPr>
          <w:p>
            <w:pPr>
              <w:pStyle w:val="TableParagraph"/>
              <w:tabs>
                <w:tab w:pos="1132" w:val="left" w:leader="none"/>
              </w:tabs>
              <w:ind w:left="100" w:right="101"/>
              <w:rPr>
                <w:sz w:val="22"/>
              </w:rPr>
            </w:pPr>
            <w:r>
              <w:rPr>
                <w:sz w:val="22"/>
              </w:rPr>
              <w:t>Delegado Municipal de</w:t>
              <w:tab/>
              <w:t>la</w:t>
            </w:r>
          </w:p>
          <w:p>
            <w:pPr>
              <w:pStyle w:val="TableParagraph"/>
              <w:tabs>
                <w:tab w:pos="911" w:val="left" w:leader="none"/>
              </w:tabs>
              <w:ind w:left="100" w:right="101"/>
              <w:rPr>
                <w:sz w:val="22"/>
              </w:rPr>
            </w:pPr>
            <w:r>
              <w:rPr>
                <w:sz w:val="22"/>
              </w:rPr>
              <w:t>Primera Manzana de</w:t>
              <w:tab/>
              <w:t>San Juanico.</w:t>
            </w:r>
          </w:p>
        </w:tc>
        <w:tc>
          <w:tcPr>
            <w:tcW w:w="1560" w:type="dxa"/>
          </w:tcPr>
          <w:p>
            <w:pPr>
              <w:pStyle w:val="TableParagraph"/>
              <w:spacing w:line="251" w:lineRule="exact"/>
              <w:ind w:right="143"/>
              <w:rPr>
                <w:sz w:val="22"/>
              </w:rPr>
            </w:pPr>
            <w:r>
              <w:rPr>
                <w:sz w:val="22"/>
              </w:rPr>
              <w:t>San Juanico</w:t>
            </w:r>
          </w:p>
        </w:tc>
        <w:tc>
          <w:tcPr>
            <w:tcW w:w="991" w:type="dxa"/>
          </w:tcPr>
          <w:p>
            <w:pPr>
              <w:pStyle w:val="TableParagraph"/>
              <w:spacing w:line="252" w:lineRule="exact" w:before="2"/>
              <w:ind w:left="100" w:right="176"/>
              <w:rPr>
                <w:sz w:val="22"/>
              </w:rPr>
            </w:pPr>
            <w:r>
              <w:rPr>
                <w:sz w:val="22"/>
              </w:rPr>
              <w:t>Acamb ay</w:t>
            </w:r>
          </w:p>
        </w:tc>
        <w:tc>
          <w:tcPr>
            <w:tcW w:w="1277" w:type="dxa"/>
          </w:tcPr>
          <w:p>
            <w:pPr>
              <w:pStyle w:val="TableParagraph"/>
              <w:ind w:right="227"/>
              <w:rPr>
                <w:sz w:val="22"/>
              </w:rPr>
            </w:pPr>
            <w:r>
              <w:rPr>
                <w:sz w:val="22"/>
              </w:rPr>
              <w:t>San Juanico, Acambay</w:t>
            </w:r>
          </w:p>
        </w:tc>
        <w:tc>
          <w:tcPr>
            <w:tcW w:w="1133" w:type="dxa"/>
          </w:tcPr>
          <w:p>
            <w:pPr>
              <w:pStyle w:val="TableParagraph"/>
              <w:ind w:left="100" w:right="86"/>
              <w:rPr>
                <w:sz w:val="22"/>
              </w:rPr>
            </w:pPr>
            <w:r>
              <w:rPr>
                <w:sz w:val="22"/>
              </w:rPr>
              <w:t>San Juanico, Acambay</w:t>
            </w:r>
          </w:p>
        </w:tc>
        <w:tc>
          <w:tcPr>
            <w:tcW w:w="1702" w:type="dxa"/>
          </w:tcPr>
          <w:p>
            <w:pPr>
              <w:pStyle w:val="TableParagraph"/>
              <w:tabs>
                <w:tab w:pos="1310" w:val="left" w:leader="none"/>
                <w:tab w:pos="1357" w:val="left" w:leader="none"/>
              </w:tabs>
              <w:ind w:right="98"/>
              <w:rPr>
                <w:sz w:val="22"/>
              </w:rPr>
            </w:pPr>
            <w:r>
              <w:rPr>
                <w:sz w:val="22"/>
              </w:rPr>
              <w:t>Sí, quien no, habiendo agua siempre</w:t>
              <w:tab/>
              <w:tab/>
              <w:t>es importante para</w:t>
              <w:tab/>
              <w:t>los</w:t>
            </w:r>
          </w:p>
          <w:p>
            <w:pPr>
              <w:pStyle w:val="TableParagraph"/>
              <w:ind w:right="98"/>
              <w:jc w:val="both"/>
              <w:rPr>
                <w:sz w:val="22"/>
              </w:rPr>
            </w:pPr>
            <w:r>
              <w:rPr>
                <w:sz w:val="22"/>
              </w:rPr>
              <w:t>animales,  es un vital líquido y para riego en San Juan del Río, Polotitlán, Aculco y aquí las parcelas que están a 100     ó     300</w:t>
            </w:r>
          </w:p>
          <w:p>
            <w:pPr>
              <w:pStyle w:val="TableParagraph"/>
              <w:spacing w:before="1"/>
              <w:rPr>
                <w:sz w:val="22"/>
              </w:rPr>
            </w:pPr>
            <w:r>
              <w:rPr>
                <w:sz w:val="22"/>
              </w:rPr>
              <w:t>metros riegan también.</w:t>
            </w:r>
          </w:p>
        </w:tc>
        <w:tc>
          <w:tcPr>
            <w:tcW w:w="1985" w:type="dxa"/>
          </w:tcPr>
          <w:p>
            <w:pPr>
              <w:pStyle w:val="TableParagraph"/>
              <w:ind w:right="99"/>
              <w:jc w:val="both"/>
              <w:rPr>
                <w:sz w:val="22"/>
              </w:rPr>
            </w:pPr>
            <w:r>
              <w:rPr>
                <w:sz w:val="22"/>
              </w:rPr>
              <w:t>Sí porque antes no había ensolve y ahora hay mucha.</w:t>
            </w:r>
          </w:p>
        </w:tc>
      </w:tr>
      <w:tr>
        <w:trPr>
          <w:trHeight w:val="1529" w:hRule="exact"/>
        </w:trPr>
        <w:tc>
          <w:tcPr>
            <w:tcW w:w="1385" w:type="dxa"/>
          </w:tcPr>
          <w:p>
            <w:pPr>
              <w:pStyle w:val="TableParagraph"/>
              <w:ind w:right="249"/>
              <w:rPr>
                <w:sz w:val="22"/>
              </w:rPr>
            </w:pPr>
            <w:r>
              <w:rPr>
                <w:sz w:val="22"/>
              </w:rPr>
              <w:t>Gabriel Pérez Padilla (7/II/2015)</w:t>
            </w:r>
          </w:p>
        </w:tc>
        <w:tc>
          <w:tcPr>
            <w:tcW w:w="1418" w:type="dxa"/>
          </w:tcPr>
          <w:p>
            <w:pPr>
              <w:pStyle w:val="TableParagraph"/>
              <w:ind w:left="156" w:right="159"/>
              <w:jc w:val="center"/>
              <w:rPr>
                <w:sz w:val="22"/>
              </w:rPr>
            </w:pPr>
            <w:r>
              <w:rPr>
                <w:sz w:val="22"/>
              </w:rPr>
              <w:t>El campo y</w:t>
            </w:r>
            <w:r>
              <w:rPr>
                <w:w w:val="100"/>
                <w:sz w:val="22"/>
              </w:rPr>
              <w:t> </w:t>
            </w:r>
            <w:r>
              <w:rPr>
                <w:sz w:val="22"/>
              </w:rPr>
              <w:t>la     albañilería</w:t>
            </w:r>
          </w:p>
        </w:tc>
        <w:tc>
          <w:tcPr>
            <w:tcW w:w="1417" w:type="dxa"/>
          </w:tcPr>
          <w:p>
            <w:pPr>
              <w:pStyle w:val="TableParagraph"/>
              <w:tabs>
                <w:tab w:pos="1132" w:val="left" w:leader="none"/>
              </w:tabs>
              <w:ind w:left="100" w:right="101"/>
              <w:rPr>
                <w:sz w:val="22"/>
              </w:rPr>
            </w:pPr>
            <w:r>
              <w:rPr>
                <w:sz w:val="22"/>
              </w:rPr>
              <w:t>Delegado Municipal de</w:t>
              <w:tab/>
              <w:t>la</w:t>
            </w:r>
          </w:p>
          <w:p>
            <w:pPr>
              <w:pStyle w:val="TableParagraph"/>
              <w:tabs>
                <w:tab w:pos="911" w:val="left" w:leader="none"/>
              </w:tabs>
              <w:spacing w:before="1"/>
              <w:ind w:left="100" w:right="101"/>
              <w:rPr>
                <w:sz w:val="22"/>
              </w:rPr>
            </w:pPr>
            <w:r>
              <w:rPr>
                <w:sz w:val="22"/>
              </w:rPr>
              <w:t>Segunda Manzana de</w:t>
              <w:tab/>
              <w:t>San</w:t>
            </w:r>
          </w:p>
        </w:tc>
        <w:tc>
          <w:tcPr>
            <w:tcW w:w="1560" w:type="dxa"/>
          </w:tcPr>
          <w:p>
            <w:pPr>
              <w:pStyle w:val="TableParagraph"/>
              <w:ind w:right="143"/>
              <w:rPr>
                <w:sz w:val="22"/>
              </w:rPr>
            </w:pPr>
            <w:r>
              <w:rPr>
                <w:sz w:val="22"/>
              </w:rPr>
              <w:t>San Juanico</w:t>
            </w:r>
          </w:p>
        </w:tc>
        <w:tc>
          <w:tcPr>
            <w:tcW w:w="991" w:type="dxa"/>
          </w:tcPr>
          <w:p>
            <w:pPr>
              <w:pStyle w:val="TableParagraph"/>
              <w:ind w:left="100" w:right="176"/>
              <w:rPr>
                <w:sz w:val="22"/>
              </w:rPr>
            </w:pPr>
            <w:r>
              <w:rPr>
                <w:sz w:val="22"/>
              </w:rPr>
              <w:t>Acamb ay</w:t>
            </w:r>
          </w:p>
        </w:tc>
        <w:tc>
          <w:tcPr>
            <w:tcW w:w="1277" w:type="dxa"/>
          </w:tcPr>
          <w:p>
            <w:pPr>
              <w:pStyle w:val="TableParagraph"/>
              <w:ind w:right="227"/>
              <w:rPr>
                <w:sz w:val="22"/>
              </w:rPr>
            </w:pPr>
            <w:r>
              <w:rPr>
                <w:sz w:val="22"/>
              </w:rPr>
              <w:t>San Juanico, Acambay</w:t>
            </w:r>
          </w:p>
        </w:tc>
        <w:tc>
          <w:tcPr>
            <w:tcW w:w="1133" w:type="dxa"/>
          </w:tcPr>
          <w:p>
            <w:pPr>
              <w:pStyle w:val="TableParagraph"/>
              <w:ind w:left="100" w:right="86"/>
              <w:rPr>
                <w:sz w:val="22"/>
              </w:rPr>
            </w:pPr>
            <w:r>
              <w:rPr>
                <w:sz w:val="22"/>
              </w:rPr>
              <w:t>San Juanico, Acambay</w:t>
            </w:r>
          </w:p>
        </w:tc>
        <w:tc>
          <w:tcPr>
            <w:tcW w:w="1702" w:type="dxa"/>
          </w:tcPr>
          <w:p>
            <w:pPr>
              <w:pStyle w:val="TableParagraph"/>
              <w:ind w:right="98"/>
              <w:jc w:val="both"/>
              <w:rPr>
                <w:sz w:val="22"/>
              </w:rPr>
            </w:pPr>
            <w:r>
              <w:rPr>
                <w:sz w:val="22"/>
              </w:rPr>
              <w:t>Sí porque sirve para el  riego de las parcelas que están cerca de la laguna  y  para</w:t>
            </w:r>
          </w:p>
        </w:tc>
        <w:tc>
          <w:tcPr>
            <w:tcW w:w="1985" w:type="dxa"/>
          </w:tcPr>
          <w:p>
            <w:pPr>
              <w:pStyle w:val="TableParagraph"/>
              <w:ind w:right="99"/>
              <w:jc w:val="both"/>
              <w:rPr>
                <w:sz w:val="22"/>
              </w:rPr>
            </w:pPr>
            <w:r>
              <w:rPr>
                <w:sz w:val="22"/>
              </w:rPr>
              <w:t>En la cortina, pero no sé bien porque no voy para</w:t>
            </w:r>
            <w:r>
              <w:rPr>
                <w:spacing w:val="-2"/>
                <w:sz w:val="22"/>
              </w:rPr>
              <w:t> </w:t>
            </w:r>
            <w:r>
              <w:rPr>
                <w:sz w:val="22"/>
              </w:rPr>
              <w:t>allá.</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1022" w:hRule="exact"/>
        </w:trPr>
        <w:tc>
          <w:tcPr>
            <w:tcW w:w="1385" w:type="dxa"/>
          </w:tcPr>
          <w:p>
            <w:pPr/>
          </w:p>
        </w:tc>
        <w:tc>
          <w:tcPr>
            <w:tcW w:w="1418" w:type="dxa"/>
          </w:tcPr>
          <w:p>
            <w:pPr/>
          </w:p>
        </w:tc>
        <w:tc>
          <w:tcPr>
            <w:tcW w:w="1417" w:type="dxa"/>
          </w:tcPr>
          <w:p>
            <w:pPr>
              <w:pStyle w:val="TableParagraph"/>
              <w:spacing w:line="251" w:lineRule="exact"/>
              <w:ind w:left="100"/>
              <w:rPr>
                <w:sz w:val="22"/>
              </w:rPr>
            </w:pPr>
            <w:r>
              <w:rPr>
                <w:sz w:val="22"/>
              </w:rPr>
              <w:t>Juanico.</w:t>
            </w: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ind w:right="99"/>
              <w:jc w:val="both"/>
              <w:rPr>
                <w:sz w:val="22"/>
              </w:rPr>
            </w:pPr>
            <w:r>
              <w:rPr>
                <w:sz w:val="22"/>
              </w:rPr>
              <w:t>el ganado y para riego en Polotitlán y Aculco.</w:t>
            </w:r>
          </w:p>
        </w:tc>
        <w:tc>
          <w:tcPr>
            <w:tcW w:w="1985" w:type="dxa"/>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spacing w:after="6"/>
        <w:ind w:left="2662" w:right="397"/>
      </w:pPr>
      <w:r>
        <w:rPr/>
        <w:t>Tabla 6.8. Delegados Municipales (trabajo de campo)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525" w:hRule="exact"/>
        </w:trPr>
        <w:tc>
          <w:tcPr>
            <w:tcW w:w="6771" w:type="dxa"/>
            <w:gridSpan w:val="5"/>
            <w:vMerge w:val="restart"/>
            <w:shd w:val="clear" w:color="auto" w:fill="F9BE8F"/>
          </w:tcPr>
          <w:p>
            <w:pPr>
              <w:pStyle w:val="TableParagraph"/>
              <w:spacing w:before="6"/>
              <w:ind w:left="0"/>
              <w:rPr>
                <w:b/>
                <w:sz w:val="21"/>
              </w:rPr>
            </w:pPr>
          </w:p>
          <w:p>
            <w:pPr>
              <w:pStyle w:val="TableParagraph"/>
              <w:ind w:left="1814"/>
              <w:rPr>
                <w:b/>
                <w:sz w:val="22"/>
              </w:rPr>
            </w:pPr>
            <w:r>
              <w:rPr>
                <w:b/>
                <w:sz w:val="22"/>
              </w:rPr>
              <w:t>IDENTIFICACIÓN DEL ACTOR</w:t>
            </w:r>
          </w:p>
        </w:tc>
        <w:tc>
          <w:tcPr>
            <w:tcW w:w="6097" w:type="dxa"/>
            <w:gridSpan w:val="4"/>
            <w:shd w:val="clear" w:color="auto" w:fill="92CDDC"/>
          </w:tcPr>
          <w:p>
            <w:pPr>
              <w:pStyle w:val="TableParagraph"/>
              <w:spacing w:before="6"/>
              <w:ind w:left="0"/>
              <w:rPr>
                <w:b/>
                <w:sz w:val="21"/>
              </w:rPr>
            </w:pPr>
          </w:p>
          <w:p>
            <w:pPr>
              <w:pStyle w:val="TableParagraph"/>
              <w:ind w:left="1404"/>
              <w:rPr>
                <w:b/>
                <w:sz w:val="22"/>
              </w:rPr>
            </w:pPr>
            <w:r>
              <w:rPr>
                <w:b/>
                <w:sz w:val="22"/>
              </w:rPr>
              <w:t>PRINCIPIOS DE GOBERNANZA</w:t>
            </w:r>
          </w:p>
        </w:tc>
      </w:tr>
      <w:tr>
        <w:trPr>
          <w:trHeight w:val="516" w:hRule="exact"/>
        </w:trPr>
        <w:tc>
          <w:tcPr>
            <w:tcW w:w="6771" w:type="dxa"/>
            <w:gridSpan w:val="5"/>
            <w:vMerge/>
            <w:shd w:val="clear" w:color="auto" w:fill="F9BE8F"/>
          </w:tcPr>
          <w:p>
            <w:pPr/>
          </w:p>
        </w:tc>
        <w:tc>
          <w:tcPr>
            <w:tcW w:w="2410" w:type="dxa"/>
            <w:gridSpan w:val="2"/>
            <w:shd w:val="clear" w:color="auto" w:fill="92CDDC"/>
          </w:tcPr>
          <w:p>
            <w:pPr>
              <w:pStyle w:val="TableParagraph"/>
              <w:spacing w:line="252" w:lineRule="exact"/>
              <w:ind w:left="710"/>
              <w:rPr>
                <w:b/>
                <w:i/>
                <w:sz w:val="22"/>
              </w:rPr>
            </w:pPr>
            <w:r>
              <w:rPr>
                <w:b/>
                <w:i/>
                <w:sz w:val="22"/>
              </w:rPr>
              <w:t>Identidad</w:t>
            </w:r>
          </w:p>
        </w:tc>
        <w:tc>
          <w:tcPr>
            <w:tcW w:w="1702" w:type="dxa"/>
            <w:shd w:val="clear" w:color="auto" w:fill="92CDDC"/>
          </w:tcPr>
          <w:p>
            <w:pPr>
              <w:pStyle w:val="TableParagraph"/>
              <w:spacing w:line="252" w:lineRule="exact"/>
              <w:rPr>
                <w:b/>
                <w:i/>
                <w:sz w:val="22"/>
              </w:rPr>
            </w:pPr>
            <w:r>
              <w:rPr>
                <w:b/>
                <w:i/>
                <w:sz w:val="22"/>
              </w:rPr>
              <w:t>Poder</w:t>
            </w:r>
          </w:p>
        </w:tc>
        <w:tc>
          <w:tcPr>
            <w:tcW w:w="1985" w:type="dxa"/>
            <w:shd w:val="clear" w:color="auto" w:fill="92CDDC"/>
          </w:tcPr>
          <w:p>
            <w:pPr>
              <w:pStyle w:val="TableParagraph"/>
              <w:ind w:right="239"/>
              <w:rPr>
                <w:b/>
                <w:i/>
                <w:sz w:val="22"/>
              </w:rPr>
            </w:pPr>
            <w:r>
              <w:rPr>
                <w:b/>
                <w:i/>
                <w:sz w:val="22"/>
              </w:rPr>
              <w:t>Gobernabilidad </w:t>
            </w:r>
            <w:r>
              <w:rPr>
                <w:b/>
                <w:i/>
                <w:sz w:val="22"/>
              </w:rPr>
              <w:t>y Cooperación</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418" w:type="dxa"/>
            <w:tcBorders>
              <w:bottom w:val="nil"/>
            </w:tcBorders>
            <w:shd w:val="clear" w:color="auto" w:fill="F9BE8F"/>
          </w:tcPr>
          <w:p>
            <w:pPr>
              <w:pStyle w:val="TableParagraph"/>
              <w:spacing w:line="249" w:lineRule="exact"/>
              <w:ind w:left="100" w:right="101"/>
              <w:rPr>
                <w:b/>
                <w:sz w:val="22"/>
              </w:rPr>
            </w:pPr>
            <w:r>
              <w:rPr>
                <w:b/>
                <w:sz w:val="22"/>
              </w:rPr>
              <w:t>Ocupacion</w:t>
            </w:r>
          </w:p>
        </w:tc>
        <w:tc>
          <w:tcPr>
            <w:tcW w:w="1417" w:type="dxa"/>
            <w:tcBorders>
              <w:bottom w:val="nil"/>
            </w:tcBorders>
            <w:shd w:val="clear" w:color="auto" w:fill="F9BE8F"/>
          </w:tcPr>
          <w:p>
            <w:pPr>
              <w:pStyle w:val="TableParagraph"/>
              <w:spacing w:line="249" w:lineRule="exact"/>
              <w:ind w:left="100"/>
              <w:rPr>
                <w:b/>
                <w:sz w:val="22"/>
              </w:rPr>
            </w:pPr>
            <w:r>
              <w:rPr>
                <w:b/>
                <w:sz w:val="22"/>
              </w:rPr>
              <w:t>Cargo</w:t>
            </w:r>
          </w:p>
        </w:tc>
        <w:tc>
          <w:tcPr>
            <w:tcW w:w="1560" w:type="dxa"/>
            <w:tcBorders>
              <w:bottom w:val="nil"/>
            </w:tcBorders>
            <w:shd w:val="clear" w:color="auto" w:fill="F9BE8F"/>
          </w:tcPr>
          <w:p>
            <w:pPr>
              <w:pStyle w:val="TableParagraph"/>
              <w:spacing w:line="249" w:lineRule="exact"/>
              <w:ind w:right="143"/>
              <w:rPr>
                <w:b/>
                <w:sz w:val="22"/>
              </w:rPr>
            </w:pPr>
            <w:r>
              <w:rPr>
                <w:b/>
                <w:sz w:val="22"/>
              </w:rPr>
              <w:t>Comunidad</w:t>
            </w:r>
          </w:p>
        </w:tc>
        <w:tc>
          <w:tcPr>
            <w:tcW w:w="991" w:type="dxa"/>
            <w:tcBorders>
              <w:bottom w:val="nil"/>
            </w:tcBorders>
            <w:shd w:val="clear" w:color="auto" w:fill="F9BE8F"/>
          </w:tcPr>
          <w:p>
            <w:pPr>
              <w:pStyle w:val="TableParagraph"/>
              <w:spacing w:line="249" w:lineRule="exact"/>
              <w:ind w:left="100"/>
              <w:rPr>
                <w:b/>
                <w:sz w:val="22"/>
              </w:rPr>
            </w:pPr>
            <w:r>
              <w:rPr>
                <w:b/>
                <w:sz w:val="22"/>
              </w:rPr>
              <w:t>Munici</w:t>
            </w:r>
          </w:p>
        </w:tc>
        <w:tc>
          <w:tcPr>
            <w:tcW w:w="1277" w:type="dxa"/>
            <w:tcBorders>
              <w:bottom w:val="nil"/>
            </w:tcBorders>
            <w:shd w:val="clear" w:color="auto" w:fill="92CDDC"/>
          </w:tcPr>
          <w:p>
            <w:pPr>
              <w:pStyle w:val="TableParagraph"/>
              <w:spacing w:line="249" w:lineRule="exact"/>
              <w:ind w:right="92"/>
              <w:rPr>
                <w:b/>
                <w:sz w:val="22"/>
              </w:rPr>
            </w:pPr>
            <w:r>
              <w:rPr>
                <w:b/>
                <w:sz w:val="22"/>
              </w:rPr>
              <w:t>¿Dónde</w:t>
            </w:r>
          </w:p>
        </w:tc>
        <w:tc>
          <w:tcPr>
            <w:tcW w:w="1133" w:type="dxa"/>
            <w:tcBorders>
              <w:bottom w:val="nil"/>
            </w:tcBorders>
            <w:shd w:val="clear" w:color="auto" w:fill="92CDDC"/>
          </w:tcPr>
          <w:p>
            <w:pPr>
              <w:pStyle w:val="TableParagraph"/>
              <w:spacing w:line="249" w:lineRule="exact"/>
              <w:ind w:left="100" w:right="52"/>
              <w:rPr>
                <w:b/>
                <w:sz w:val="22"/>
              </w:rPr>
            </w:pPr>
            <w:r>
              <w:rPr>
                <w:b/>
                <w:sz w:val="22"/>
              </w:rPr>
              <w:t>¿Dónde</w:t>
            </w:r>
          </w:p>
        </w:tc>
        <w:tc>
          <w:tcPr>
            <w:tcW w:w="1702" w:type="dxa"/>
            <w:tcBorders>
              <w:bottom w:val="nil"/>
            </w:tcBorders>
            <w:shd w:val="clear" w:color="auto" w:fill="92CDDC"/>
          </w:tcPr>
          <w:p>
            <w:pPr>
              <w:pStyle w:val="TableParagraph"/>
              <w:spacing w:line="249" w:lineRule="exact"/>
              <w:rPr>
                <w:b/>
                <w:sz w:val="22"/>
              </w:rPr>
            </w:pPr>
            <w:r>
              <w:rPr>
                <w:b/>
                <w:sz w:val="22"/>
              </w:rPr>
              <w:t>¿Existen</w:t>
            </w:r>
          </w:p>
        </w:tc>
        <w:tc>
          <w:tcPr>
            <w:tcW w:w="1985" w:type="dxa"/>
            <w:tcBorders>
              <w:bottom w:val="nil"/>
            </w:tcBorders>
            <w:shd w:val="clear" w:color="auto" w:fill="92CDDC"/>
          </w:tcPr>
          <w:p>
            <w:pPr>
              <w:pStyle w:val="TableParagraph"/>
              <w:tabs>
                <w:tab w:pos="1481" w:val="left" w:leader="none"/>
              </w:tabs>
              <w:spacing w:line="249" w:lineRule="exact"/>
              <w:rPr>
                <w:b/>
                <w:sz w:val="22"/>
              </w:rPr>
            </w:pPr>
            <w:r>
              <w:rPr>
                <w:b/>
                <w:sz w:val="22"/>
              </w:rPr>
              <w:t>¿Acciones</w:t>
              <w:tab/>
              <w:t>que</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1" w:lineRule="exact"/>
              <w:ind w:right="143"/>
              <w:rPr>
                <w:b/>
                <w:sz w:val="22"/>
              </w:rPr>
            </w:pPr>
            <w:r>
              <w:rPr>
                <w:b/>
                <w:sz w:val="22"/>
              </w:rPr>
              <w:t>que</w:t>
            </w: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1702" w:type="dxa"/>
            <w:tcBorders>
              <w:top w:val="nil"/>
              <w:bottom w:val="nil"/>
            </w:tcBorders>
            <w:shd w:val="clear" w:color="auto" w:fill="92CDDC"/>
          </w:tcPr>
          <w:p>
            <w:pPr>
              <w:pStyle w:val="TableParagraph"/>
              <w:spacing w:line="241" w:lineRule="exact"/>
              <w:rPr>
                <w:b/>
                <w:sz w:val="22"/>
              </w:rPr>
            </w:pPr>
            <w:r>
              <w:rPr>
                <w:b/>
                <w:sz w:val="22"/>
              </w:rPr>
              <w:t>problemas</w:t>
            </w:r>
          </w:p>
        </w:tc>
        <w:tc>
          <w:tcPr>
            <w:tcW w:w="1985" w:type="dxa"/>
            <w:tcBorders>
              <w:top w:val="nil"/>
              <w:bottom w:val="nil"/>
            </w:tcBorders>
            <w:shd w:val="clear" w:color="auto" w:fill="92CDDC"/>
          </w:tcPr>
          <w:p>
            <w:pPr>
              <w:pStyle w:val="TableParagraph"/>
              <w:tabs>
                <w:tab w:pos="1689" w:val="left" w:leader="none"/>
              </w:tabs>
              <w:spacing w:line="241" w:lineRule="exact"/>
              <w:rPr>
                <w:b/>
                <w:sz w:val="22"/>
              </w:rPr>
            </w:pPr>
            <w:r>
              <w:rPr>
                <w:b/>
                <w:sz w:val="22"/>
              </w:rPr>
              <w:t>realiza</w:t>
              <w:tab/>
              <w:t>la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1" w:lineRule="exact"/>
              <w:ind w:right="143"/>
              <w:rPr>
                <w:b/>
                <w:sz w:val="22"/>
              </w:rPr>
            </w:pPr>
            <w:r>
              <w:rPr>
                <w:b/>
                <w:sz w:val="22"/>
              </w:rPr>
              <w:t>representa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676" w:val="left" w:leader="none"/>
                <w:tab w:pos="1076" w:val="left" w:leader="none"/>
              </w:tabs>
              <w:spacing w:line="241" w:lineRule="exact"/>
              <w:rPr>
                <w:b/>
                <w:sz w:val="22"/>
              </w:rPr>
            </w:pPr>
            <w:r>
              <w:rPr>
                <w:b/>
                <w:sz w:val="22"/>
              </w:rPr>
              <w:t>por</w:t>
              <w:tab/>
              <w:t>el</w:t>
              <w:tab/>
              <w:t>agua</w:t>
            </w:r>
          </w:p>
        </w:tc>
        <w:tc>
          <w:tcPr>
            <w:tcW w:w="1985" w:type="dxa"/>
            <w:tcBorders>
              <w:top w:val="nil"/>
              <w:bottom w:val="nil"/>
            </w:tcBorders>
            <w:shd w:val="clear" w:color="auto" w:fill="92CDDC"/>
          </w:tcPr>
          <w:p>
            <w:pPr>
              <w:pStyle w:val="TableParagraph"/>
              <w:tabs>
                <w:tab w:pos="1482" w:val="left" w:leader="none"/>
              </w:tabs>
              <w:spacing w:line="241" w:lineRule="exact"/>
              <w:rPr>
                <w:b/>
                <w:sz w:val="22"/>
              </w:rPr>
            </w:pPr>
            <w:r>
              <w:rPr>
                <w:b/>
                <w:sz w:val="22"/>
              </w:rPr>
              <w:t>Delegación</w:t>
              <w:tab/>
              <w:t>que</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2" w:lineRule="exact"/>
              <w:rPr>
                <w:b/>
                <w:sz w:val="22"/>
              </w:rPr>
            </w:pPr>
            <w:r>
              <w:rPr>
                <w:b/>
                <w:sz w:val="22"/>
              </w:rPr>
              <w:t>de   la  laguna</w:t>
            </w:r>
          </w:p>
        </w:tc>
        <w:tc>
          <w:tcPr>
            <w:tcW w:w="1985" w:type="dxa"/>
            <w:tcBorders>
              <w:top w:val="nil"/>
              <w:bottom w:val="nil"/>
            </w:tcBorders>
            <w:shd w:val="clear" w:color="auto" w:fill="92CDDC"/>
          </w:tcPr>
          <w:p>
            <w:pPr>
              <w:pStyle w:val="TableParagraph"/>
              <w:spacing w:line="242" w:lineRule="exact"/>
              <w:rPr>
                <w:b/>
                <w:sz w:val="22"/>
              </w:rPr>
            </w:pPr>
            <w:r>
              <w:rPr>
                <w:b/>
                <w:sz w:val="22"/>
              </w:rPr>
              <w:t>usted</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Huapango</w:t>
            </w:r>
          </w:p>
        </w:tc>
        <w:tc>
          <w:tcPr>
            <w:tcW w:w="1985" w:type="dxa"/>
            <w:tcBorders>
              <w:top w:val="nil"/>
              <w:bottom w:val="nil"/>
            </w:tcBorders>
            <w:shd w:val="clear" w:color="auto" w:fill="92CDDC"/>
          </w:tcPr>
          <w:p>
            <w:pPr>
              <w:pStyle w:val="TableParagraph"/>
              <w:spacing w:line="241" w:lineRule="exact"/>
              <w:rPr>
                <w:b/>
                <w:sz w:val="22"/>
              </w:rPr>
            </w:pPr>
            <w:r>
              <w:rPr>
                <w:b/>
                <w:sz w:val="22"/>
              </w:rPr>
              <w:t>representa </w:t>
            </w:r>
            <w:r>
              <w:rPr>
                <w:b/>
                <w:spacing w:val="57"/>
                <w:sz w:val="22"/>
              </w:rPr>
              <w:t> </w:t>
            </w:r>
            <w:r>
              <w:rPr>
                <w:b/>
                <w:sz w:val="22"/>
              </w:rPr>
              <w:t>para</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271" w:val="left" w:leader="none"/>
              </w:tabs>
              <w:spacing w:line="242" w:lineRule="exact"/>
              <w:rPr>
                <w:b/>
                <w:sz w:val="22"/>
              </w:rPr>
            </w:pPr>
            <w:r>
              <w:rPr>
                <w:b/>
                <w:sz w:val="22"/>
              </w:rPr>
              <w:t>entre</w:t>
              <w:tab/>
              <w:t>los</w:t>
            </w:r>
          </w:p>
        </w:tc>
        <w:tc>
          <w:tcPr>
            <w:tcW w:w="1985" w:type="dxa"/>
            <w:tcBorders>
              <w:top w:val="nil"/>
              <w:bottom w:val="nil"/>
            </w:tcBorders>
            <w:shd w:val="clear" w:color="auto" w:fill="92CDDC"/>
          </w:tcPr>
          <w:p>
            <w:pPr>
              <w:pStyle w:val="TableParagraph"/>
              <w:tabs>
                <w:tab w:pos="1689" w:val="left" w:leader="none"/>
              </w:tabs>
              <w:spacing w:line="242" w:lineRule="exact"/>
              <w:rPr>
                <w:b/>
                <w:sz w:val="22"/>
              </w:rPr>
            </w:pPr>
            <w:r>
              <w:rPr>
                <w:b/>
                <w:sz w:val="22"/>
              </w:rPr>
              <w:t>conservar</w:t>
              <w:tab/>
              <w:t>la</w:t>
            </w:r>
          </w:p>
        </w:tc>
      </w:tr>
      <w:tr>
        <w:trPr>
          <w:trHeight w:val="252"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spacing w:line="241" w:lineRule="exact"/>
              <w:rPr>
                <w:b/>
                <w:sz w:val="22"/>
              </w:rPr>
            </w:pPr>
            <w:r>
              <w:rPr>
                <w:b/>
                <w:sz w:val="22"/>
              </w:rPr>
              <w:t>municipios</w:t>
            </w:r>
          </w:p>
        </w:tc>
        <w:tc>
          <w:tcPr>
            <w:tcW w:w="1985" w:type="dxa"/>
            <w:tcBorders>
              <w:top w:val="nil"/>
              <w:bottom w:val="nil"/>
            </w:tcBorders>
            <w:shd w:val="clear" w:color="auto" w:fill="92CDDC"/>
          </w:tcPr>
          <w:p>
            <w:pPr>
              <w:pStyle w:val="TableParagraph"/>
              <w:tabs>
                <w:tab w:pos="1617" w:val="left" w:leader="none"/>
              </w:tabs>
              <w:spacing w:line="241" w:lineRule="exact"/>
              <w:rPr>
                <w:b/>
                <w:sz w:val="22"/>
              </w:rPr>
            </w:pPr>
            <w:r>
              <w:rPr>
                <w:b/>
                <w:sz w:val="22"/>
              </w:rPr>
              <w:t>laguna</w:t>
              <w:tab/>
              <w:t>de</w:t>
            </w:r>
          </w:p>
        </w:tc>
      </w:tr>
      <w:tr>
        <w:trPr>
          <w:trHeight w:val="253" w:hRule="exact"/>
        </w:trPr>
        <w:tc>
          <w:tcPr>
            <w:tcW w:w="1385" w:type="dxa"/>
            <w:tcBorders>
              <w:top w:val="nil"/>
              <w:bottom w:val="nil"/>
            </w:tcBorders>
            <w:shd w:val="clear" w:color="auto" w:fill="F9BE8F"/>
          </w:tcPr>
          <w:p>
            <w:pP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1702" w:type="dxa"/>
            <w:tcBorders>
              <w:top w:val="nil"/>
              <w:bottom w:val="nil"/>
            </w:tcBorders>
            <w:shd w:val="clear" w:color="auto" w:fill="92CDDC"/>
          </w:tcPr>
          <w:p>
            <w:pPr>
              <w:pStyle w:val="TableParagraph"/>
              <w:tabs>
                <w:tab w:pos="1406" w:val="left" w:leader="none"/>
              </w:tabs>
              <w:spacing w:line="241" w:lineRule="exact"/>
              <w:rPr>
                <w:b/>
                <w:sz w:val="22"/>
              </w:rPr>
            </w:pPr>
            <w:r>
              <w:rPr>
                <w:b/>
                <w:sz w:val="22"/>
              </w:rPr>
              <w:t>que</w:t>
              <w:tab/>
              <w:t>la</w:t>
            </w:r>
          </w:p>
        </w:tc>
        <w:tc>
          <w:tcPr>
            <w:tcW w:w="1985"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1"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417" w:type="dxa"/>
            <w:tcBorders>
              <w:top w:val="nil"/>
            </w:tcBorders>
            <w:shd w:val="clear" w:color="auto" w:fill="F9BE8F"/>
          </w:tcPr>
          <w:p>
            <w:pPr/>
          </w:p>
        </w:tc>
        <w:tc>
          <w:tcPr>
            <w:tcW w:w="1560"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1702" w:type="dxa"/>
            <w:tcBorders>
              <w:top w:val="nil"/>
            </w:tcBorders>
            <w:shd w:val="clear" w:color="auto" w:fill="92CDDC"/>
          </w:tcPr>
          <w:p>
            <w:pPr>
              <w:pStyle w:val="TableParagraph"/>
              <w:spacing w:line="242" w:lineRule="exact"/>
              <w:rPr>
                <w:b/>
                <w:sz w:val="22"/>
              </w:rPr>
            </w:pPr>
            <w:r>
              <w:rPr>
                <w:b/>
                <w:sz w:val="22"/>
              </w:rPr>
              <w:t>colindan?</w:t>
            </w:r>
          </w:p>
        </w:tc>
        <w:tc>
          <w:tcPr>
            <w:tcW w:w="1985"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Gabriel</w:t>
            </w:r>
          </w:p>
        </w:tc>
        <w:tc>
          <w:tcPr>
            <w:tcW w:w="1418" w:type="dxa"/>
            <w:tcBorders>
              <w:bottom w:val="nil"/>
            </w:tcBorders>
          </w:tcPr>
          <w:p>
            <w:pPr>
              <w:pStyle w:val="TableParagraph"/>
              <w:spacing w:line="251" w:lineRule="exact"/>
              <w:ind w:left="100" w:right="101"/>
              <w:rPr>
                <w:sz w:val="22"/>
              </w:rPr>
            </w:pPr>
            <w:r>
              <w:rPr>
                <w:sz w:val="22"/>
              </w:rPr>
              <w:t>El comercio</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Aldama</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Aldama,</w:t>
            </w:r>
          </w:p>
        </w:tc>
        <w:tc>
          <w:tcPr>
            <w:tcW w:w="1133" w:type="dxa"/>
            <w:tcBorders>
              <w:bottom w:val="nil"/>
            </w:tcBorders>
          </w:tcPr>
          <w:p>
            <w:pPr>
              <w:pStyle w:val="TableParagraph"/>
              <w:spacing w:line="251" w:lineRule="exact"/>
              <w:ind w:left="100" w:right="52"/>
              <w:rPr>
                <w:sz w:val="22"/>
              </w:rPr>
            </w:pPr>
            <w:r>
              <w:rPr>
                <w:sz w:val="22"/>
              </w:rPr>
              <w:t>Aldama,</w:t>
            </w:r>
          </w:p>
        </w:tc>
        <w:tc>
          <w:tcPr>
            <w:tcW w:w="1702" w:type="dxa"/>
            <w:tcBorders>
              <w:bottom w:val="nil"/>
            </w:tcBorders>
          </w:tcPr>
          <w:p>
            <w:pPr>
              <w:pStyle w:val="TableParagraph"/>
              <w:tabs>
                <w:tab w:pos="892" w:val="left" w:leader="none"/>
              </w:tabs>
              <w:spacing w:line="251" w:lineRule="exact"/>
              <w:rPr>
                <w:sz w:val="22"/>
              </w:rPr>
            </w:pPr>
            <w:r>
              <w:rPr>
                <w:sz w:val="22"/>
              </w:rPr>
              <w:t>No</w:t>
              <w:tab/>
              <w:t>existen</w:t>
            </w:r>
          </w:p>
        </w:tc>
        <w:tc>
          <w:tcPr>
            <w:tcW w:w="1985" w:type="dxa"/>
            <w:tcBorders>
              <w:bottom w:val="nil"/>
            </w:tcBorders>
          </w:tcPr>
          <w:p>
            <w:pPr>
              <w:pStyle w:val="TableParagraph"/>
              <w:tabs>
                <w:tab w:pos="1593" w:val="left" w:leader="none"/>
              </w:tabs>
              <w:spacing w:line="251" w:lineRule="exact"/>
              <w:rPr>
                <w:sz w:val="22"/>
              </w:rPr>
            </w:pPr>
            <w:r>
              <w:rPr>
                <w:sz w:val="22"/>
              </w:rPr>
              <w:t>Únicamente</w:t>
              <w:tab/>
              <w:t>los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(tienda de</w:t>
            </w:r>
          </w:p>
        </w:tc>
        <w:tc>
          <w:tcPr>
            <w:tcW w:w="1417" w:type="dxa"/>
            <w:tcBorders>
              <w:top w:val="nil"/>
              <w:bottom w:val="nil"/>
            </w:tcBorders>
          </w:tcPr>
          <w:p>
            <w:pPr>
              <w:pStyle w:val="TableParagraph"/>
              <w:spacing w:line="242"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2" w:lineRule="exact"/>
              <w:ind w:left="100"/>
              <w:rPr>
                <w:sz w:val="22"/>
              </w:rPr>
            </w:pPr>
            <w:r>
              <w:rPr>
                <w:w w:val="100"/>
                <w:sz w:val="22"/>
              </w:rPr>
              <w:t>c</w:t>
            </w:r>
          </w:p>
        </w:tc>
        <w:tc>
          <w:tcPr>
            <w:tcW w:w="1277" w:type="dxa"/>
            <w:tcBorders>
              <w:top w:val="nil"/>
              <w:bottom w:val="nil"/>
            </w:tcBorders>
          </w:tcPr>
          <w:p>
            <w:pPr>
              <w:pStyle w:val="TableParagraph"/>
              <w:spacing w:line="242" w:lineRule="exact"/>
              <w:ind w:right="92"/>
              <w:rPr>
                <w:sz w:val="22"/>
              </w:rPr>
            </w:pPr>
            <w:r>
              <w:rPr>
                <w:sz w:val="22"/>
              </w:rPr>
              <w:t>Jilotepec</w:t>
            </w:r>
          </w:p>
        </w:tc>
        <w:tc>
          <w:tcPr>
            <w:tcW w:w="1133" w:type="dxa"/>
            <w:tcBorders>
              <w:top w:val="nil"/>
              <w:bottom w:val="nil"/>
            </w:tcBorders>
          </w:tcPr>
          <w:p>
            <w:pPr>
              <w:pStyle w:val="TableParagraph"/>
              <w:spacing w:line="242" w:lineRule="exact"/>
              <w:ind w:left="100" w:right="52"/>
              <w:rPr>
                <w:sz w:val="22"/>
              </w:rPr>
            </w:pPr>
            <w:r>
              <w:rPr>
                <w:sz w:val="22"/>
              </w:rPr>
              <w:t>Jilotepec</w:t>
            </w:r>
          </w:p>
        </w:tc>
        <w:tc>
          <w:tcPr>
            <w:tcW w:w="1702" w:type="dxa"/>
            <w:tcBorders>
              <w:top w:val="nil"/>
              <w:bottom w:val="nil"/>
            </w:tcBorders>
          </w:tcPr>
          <w:p>
            <w:pPr>
              <w:pStyle w:val="TableParagraph"/>
              <w:spacing w:line="242" w:lineRule="exact"/>
              <w:rPr>
                <w:sz w:val="22"/>
              </w:rPr>
            </w:pPr>
            <w:r>
              <w:rPr>
                <w:sz w:val="22"/>
              </w:rPr>
              <w:t>problemas  por</w:t>
            </w:r>
          </w:p>
        </w:tc>
        <w:tc>
          <w:tcPr>
            <w:tcW w:w="1985" w:type="dxa"/>
            <w:tcBorders>
              <w:top w:val="nil"/>
              <w:bottom w:val="nil"/>
            </w:tcBorders>
          </w:tcPr>
          <w:p>
            <w:pPr>
              <w:pStyle w:val="TableParagraph"/>
              <w:tabs>
                <w:tab w:pos="1185" w:val="left" w:leader="none"/>
                <w:tab w:pos="1703" w:val="left" w:leader="none"/>
              </w:tabs>
              <w:spacing w:line="242" w:lineRule="exact"/>
              <w:rPr>
                <w:sz w:val="22"/>
              </w:rPr>
            </w:pPr>
            <w:r>
              <w:rPr>
                <w:sz w:val="22"/>
              </w:rPr>
              <w:t>Comités</w:t>
              <w:tab/>
              <w:t>de</w:t>
              <w:tab/>
              <w:t>la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González</w:t>
            </w:r>
          </w:p>
        </w:tc>
        <w:tc>
          <w:tcPr>
            <w:tcW w:w="1418" w:type="dxa"/>
            <w:tcBorders>
              <w:top w:val="nil"/>
              <w:bottom w:val="nil"/>
            </w:tcBorders>
          </w:tcPr>
          <w:p>
            <w:pPr>
              <w:pStyle w:val="TableParagraph"/>
              <w:spacing w:line="241" w:lineRule="exact"/>
              <w:ind w:left="100"/>
              <w:rPr>
                <w:sz w:val="22"/>
              </w:rPr>
            </w:pPr>
            <w:r>
              <w:rPr>
                <w:sz w:val="22"/>
              </w:rPr>
              <w:t>abarrotes) y</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el   agua  entre</w:t>
            </w:r>
          </w:p>
        </w:tc>
        <w:tc>
          <w:tcPr>
            <w:tcW w:w="1985" w:type="dxa"/>
            <w:tcBorders>
              <w:top w:val="nil"/>
              <w:bottom w:val="nil"/>
            </w:tcBorders>
          </w:tcPr>
          <w:p>
            <w:pPr>
              <w:pStyle w:val="TableParagraph"/>
              <w:tabs>
                <w:tab w:pos="964" w:val="left" w:leader="none"/>
                <w:tab w:pos="1593" w:val="left" w:leader="none"/>
              </w:tabs>
              <w:spacing w:line="241" w:lineRule="exact"/>
              <w:rPr>
                <w:sz w:val="22"/>
              </w:rPr>
            </w:pPr>
            <w:r>
              <w:rPr>
                <w:sz w:val="22"/>
              </w:rPr>
              <w:t>pesca</w:t>
              <w:tab/>
              <w:t>son</w:t>
              <w:tab/>
              <w:t>los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(7/7/2014)</w:t>
            </w:r>
          </w:p>
        </w:tc>
        <w:tc>
          <w:tcPr>
            <w:tcW w:w="1418" w:type="dxa"/>
            <w:tcBorders>
              <w:top w:val="nil"/>
              <w:bottom w:val="nil"/>
            </w:tcBorders>
          </w:tcPr>
          <w:p>
            <w:pPr>
              <w:pStyle w:val="TableParagraph"/>
              <w:spacing w:line="242" w:lineRule="exact"/>
              <w:ind w:left="100" w:right="101"/>
              <w:rPr>
                <w:sz w:val="22"/>
              </w:rPr>
            </w:pPr>
            <w:r>
              <w:rPr>
                <w:sz w:val="22"/>
              </w:rPr>
              <w:t>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82" w:val="left" w:leader="none"/>
              </w:tabs>
              <w:spacing w:line="242" w:lineRule="exact"/>
              <w:rPr>
                <w:sz w:val="22"/>
              </w:rPr>
            </w:pPr>
            <w:r>
              <w:rPr>
                <w:sz w:val="22"/>
              </w:rPr>
              <w:t>los</w:t>
              <w:tab/>
              <w:t>distintos</w:t>
            </w:r>
          </w:p>
        </w:tc>
        <w:tc>
          <w:tcPr>
            <w:tcW w:w="1985" w:type="dxa"/>
            <w:tcBorders>
              <w:top w:val="nil"/>
              <w:bottom w:val="nil"/>
            </w:tcBorders>
          </w:tcPr>
          <w:p>
            <w:pPr>
              <w:pStyle w:val="TableParagraph"/>
              <w:tabs>
                <w:tab w:pos="817" w:val="left" w:leader="none"/>
                <w:tab w:pos="1703" w:val="left" w:leader="none"/>
              </w:tabs>
              <w:spacing w:line="242" w:lineRule="exact"/>
              <w:rPr>
                <w:sz w:val="22"/>
              </w:rPr>
            </w:pPr>
            <w:r>
              <w:rPr>
                <w:sz w:val="22"/>
              </w:rPr>
              <w:t>que</w:t>
              <w:tab/>
              <w:t>están</w:t>
              <w:tab/>
              <w:t>al</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municipios que</w:t>
            </w:r>
          </w:p>
        </w:tc>
        <w:tc>
          <w:tcPr>
            <w:tcW w:w="1985" w:type="dxa"/>
            <w:tcBorders>
              <w:top w:val="nil"/>
              <w:bottom w:val="nil"/>
            </w:tcBorders>
          </w:tcPr>
          <w:p>
            <w:pPr>
              <w:pStyle w:val="TableParagraph"/>
              <w:spacing w:line="241" w:lineRule="exact"/>
              <w:rPr>
                <w:sz w:val="22"/>
              </w:rPr>
            </w:pPr>
            <w:r>
              <w:rPr>
                <w:sz w:val="22"/>
              </w:rPr>
              <w:t>frente.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colindan con 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35" w:val="left" w:leader="none"/>
              </w:tabs>
              <w:spacing w:line="242" w:lineRule="exact"/>
              <w:rPr>
                <w:sz w:val="22"/>
              </w:rPr>
            </w:pPr>
            <w:r>
              <w:rPr>
                <w:sz w:val="22"/>
              </w:rPr>
              <w:t>laguna,</w:t>
              <w:tab/>
              <w:t>hay</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problemas</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porque   no   la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ocupan,</w:t>
              <w:tab/>
              <w:t>no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está  permitido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2" w:lineRule="exact"/>
              <w:rPr>
                <w:sz w:val="22"/>
              </w:rPr>
            </w:pPr>
            <w:r>
              <w:rPr>
                <w:sz w:val="22"/>
              </w:rPr>
              <w:t>porque</w:t>
              <w:tab/>
              <w:t>es</w:t>
            </w:r>
          </w:p>
        </w:tc>
        <w:tc>
          <w:tcPr>
            <w:tcW w:w="1985"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federal.</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266" w:hRule="exact"/>
        </w:trPr>
        <w:tc>
          <w:tcPr>
            <w:tcW w:w="1385" w:type="dxa"/>
            <w:tcBorders>
              <w:bottom w:val="nil"/>
            </w:tcBorders>
          </w:tcPr>
          <w:p>
            <w:pPr>
              <w:pStyle w:val="TableParagraph"/>
              <w:spacing w:line="251" w:lineRule="exact"/>
              <w:ind w:right="127"/>
              <w:rPr>
                <w:sz w:val="22"/>
              </w:rPr>
            </w:pPr>
            <w:r>
              <w:rPr>
                <w:sz w:val="22"/>
              </w:rPr>
              <w:t>Abel</w:t>
            </w:r>
          </w:p>
        </w:tc>
        <w:tc>
          <w:tcPr>
            <w:tcW w:w="1418" w:type="dxa"/>
            <w:tcBorders>
              <w:bottom w:val="nil"/>
            </w:tcBorders>
          </w:tcPr>
          <w:p>
            <w:pPr>
              <w:pStyle w:val="TableParagraph"/>
              <w:spacing w:line="251" w:lineRule="exact"/>
              <w:ind w:left="100" w:right="101"/>
              <w:rPr>
                <w:sz w:val="22"/>
              </w:rPr>
            </w:pPr>
            <w:r>
              <w:rPr>
                <w:sz w:val="22"/>
              </w:rPr>
              <w:t>Profesor de</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Huapango</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1702" w:type="dxa"/>
            <w:tcBorders>
              <w:bottom w:val="nil"/>
            </w:tcBorders>
          </w:tcPr>
          <w:p>
            <w:pPr>
              <w:pStyle w:val="TableParagraph"/>
              <w:tabs>
                <w:tab w:pos="892" w:val="left" w:leader="none"/>
              </w:tabs>
              <w:spacing w:line="251" w:lineRule="exact"/>
              <w:rPr>
                <w:sz w:val="22"/>
              </w:rPr>
            </w:pPr>
            <w:r>
              <w:rPr>
                <w:sz w:val="22"/>
              </w:rPr>
              <w:t>No</w:t>
              <w:tab/>
              <w:t>existen</w:t>
            </w:r>
          </w:p>
        </w:tc>
        <w:tc>
          <w:tcPr>
            <w:tcW w:w="1985" w:type="dxa"/>
            <w:tcBorders>
              <w:bottom w:val="nil"/>
            </w:tcBorders>
          </w:tcPr>
          <w:p>
            <w:pPr>
              <w:pStyle w:val="TableParagraph"/>
              <w:spacing w:line="251" w:lineRule="exact"/>
              <w:rPr>
                <w:sz w:val="22"/>
              </w:rPr>
            </w:pPr>
            <w:r>
              <w:rPr>
                <w:sz w:val="22"/>
              </w:rPr>
              <w:t>No se hace nada.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Miranda</w:t>
            </w:r>
          </w:p>
        </w:tc>
        <w:tc>
          <w:tcPr>
            <w:tcW w:w="1418" w:type="dxa"/>
            <w:tcBorders>
              <w:top w:val="nil"/>
              <w:bottom w:val="nil"/>
            </w:tcBorders>
          </w:tcPr>
          <w:p>
            <w:pPr>
              <w:pStyle w:val="TableParagraph"/>
              <w:spacing w:line="241" w:lineRule="exact"/>
              <w:ind w:left="100" w:right="101"/>
              <w:rPr>
                <w:sz w:val="22"/>
              </w:rPr>
            </w:pPr>
            <w:r>
              <w:rPr>
                <w:sz w:val="22"/>
              </w:rPr>
              <w:t>secundaria</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1702" w:type="dxa"/>
            <w:tcBorders>
              <w:top w:val="nil"/>
              <w:bottom w:val="nil"/>
            </w:tcBorders>
          </w:tcPr>
          <w:p>
            <w:pPr>
              <w:pStyle w:val="TableParagraph"/>
              <w:spacing w:line="241" w:lineRule="exact"/>
              <w:rPr>
                <w:sz w:val="22"/>
              </w:rPr>
            </w:pPr>
            <w:r>
              <w:rPr>
                <w:sz w:val="22"/>
              </w:rPr>
              <w:t>problemas  por</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Miranda</w:t>
            </w:r>
          </w:p>
        </w:tc>
        <w:tc>
          <w:tcPr>
            <w:tcW w:w="1418" w:type="dxa"/>
            <w:tcBorders>
              <w:top w:val="nil"/>
              <w:bottom w:val="nil"/>
            </w:tcBorders>
          </w:tcPr>
          <w:p>
            <w:pPr>
              <w:pStyle w:val="TableParagraph"/>
              <w:spacing w:line="242" w:lineRule="exact"/>
              <w:ind w:left="100" w:right="101"/>
              <w:rPr>
                <w:sz w:val="22"/>
              </w:rPr>
            </w:pPr>
            <w:r>
              <w:rPr>
                <w:sz w:val="22"/>
              </w:rPr>
              <w:t>y 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Timilpan</w:t>
            </w:r>
          </w:p>
        </w:tc>
        <w:tc>
          <w:tcPr>
            <w:tcW w:w="1702" w:type="dxa"/>
            <w:tcBorders>
              <w:top w:val="nil"/>
              <w:bottom w:val="nil"/>
            </w:tcBorders>
          </w:tcPr>
          <w:p>
            <w:pPr>
              <w:pStyle w:val="TableParagraph"/>
              <w:spacing w:line="242" w:lineRule="exact"/>
              <w:rPr>
                <w:sz w:val="22"/>
              </w:rPr>
            </w:pPr>
            <w:r>
              <w:rPr>
                <w:sz w:val="22"/>
              </w:rPr>
              <w:t>el   agua  entre</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(7/7/2014)</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los   habitantes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7" w:val="left" w:leader="none"/>
              </w:tabs>
              <w:spacing w:line="242" w:lineRule="exact"/>
              <w:rPr>
                <w:sz w:val="22"/>
              </w:rPr>
            </w:pPr>
            <w:r>
              <w:rPr>
                <w:sz w:val="22"/>
              </w:rPr>
              <w:t>de</w:t>
              <w:tab/>
              <w:t>los</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municipios 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colindan con la</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laguna  porque</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48" w:val="left" w:leader="none"/>
              </w:tabs>
              <w:spacing w:line="241" w:lineRule="exact"/>
              <w:rPr>
                <w:sz w:val="22"/>
              </w:rPr>
            </w:pPr>
            <w:r>
              <w:rPr>
                <w:sz w:val="22"/>
              </w:rPr>
              <w:t>cada</w:t>
              <w:tab/>
              <w:t>quien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15" w:val="left" w:leader="none"/>
                <w:tab w:pos="1417" w:val="left" w:leader="none"/>
              </w:tabs>
              <w:spacing w:line="242" w:lineRule="exact"/>
              <w:rPr>
                <w:sz w:val="22"/>
              </w:rPr>
            </w:pPr>
            <w:r>
              <w:rPr>
                <w:sz w:val="22"/>
              </w:rPr>
              <w:t>sabe</w:t>
              <w:tab/>
              <w:t>que</w:t>
              <w:tab/>
              <w:t>le</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toca y que no.</w:t>
            </w: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Yolanda</w:t>
            </w:r>
          </w:p>
        </w:tc>
        <w:tc>
          <w:tcPr>
            <w:tcW w:w="1418" w:type="dxa"/>
            <w:tcBorders>
              <w:bottom w:val="nil"/>
            </w:tcBorders>
          </w:tcPr>
          <w:p>
            <w:pPr>
              <w:pStyle w:val="TableParagraph"/>
              <w:ind w:left="100"/>
              <w:rPr>
                <w:sz w:val="22"/>
              </w:rPr>
            </w:pPr>
            <w:r>
              <w:rPr>
                <w:sz w:val="22"/>
              </w:rPr>
              <w:t>El   hogar  y</w:t>
            </w:r>
          </w:p>
        </w:tc>
        <w:tc>
          <w:tcPr>
            <w:tcW w:w="1417" w:type="dxa"/>
            <w:tcBorders>
              <w:bottom w:val="nil"/>
            </w:tcBorders>
          </w:tcPr>
          <w:p>
            <w:pPr>
              <w:pStyle w:val="TableParagraph"/>
              <w:ind w:left="100"/>
              <w:rPr>
                <w:sz w:val="22"/>
              </w:rPr>
            </w:pPr>
            <w:r>
              <w:rPr>
                <w:sz w:val="22"/>
              </w:rPr>
              <w:t>Delegada</w:t>
            </w:r>
          </w:p>
        </w:tc>
        <w:tc>
          <w:tcPr>
            <w:tcW w:w="1560" w:type="dxa"/>
            <w:tcBorders>
              <w:bottom w:val="nil"/>
            </w:tcBorders>
          </w:tcPr>
          <w:p>
            <w:pPr>
              <w:pStyle w:val="TableParagraph"/>
              <w:ind w:right="143"/>
              <w:rPr>
                <w:sz w:val="22"/>
              </w:rPr>
            </w:pPr>
            <w:r>
              <w:rPr>
                <w:sz w:val="22"/>
              </w:rPr>
              <w:t>El Saltillo</w:t>
            </w:r>
          </w:p>
        </w:tc>
        <w:tc>
          <w:tcPr>
            <w:tcW w:w="991" w:type="dxa"/>
            <w:tcBorders>
              <w:bottom w:val="nil"/>
            </w:tcBorders>
          </w:tcPr>
          <w:p>
            <w:pPr>
              <w:pStyle w:val="TableParagraph"/>
              <w:ind w:left="100"/>
              <w:rPr>
                <w:sz w:val="22"/>
              </w:rPr>
            </w:pPr>
            <w:r>
              <w:rPr>
                <w:sz w:val="22"/>
              </w:rPr>
              <w:t>Jilotepe</w:t>
            </w:r>
          </w:p>
        </w:tc>
        <w:tc>
          <w:tcPr>
            <w:tcW w:w="1277" w:type="dxa"/>
            <w:tcBorders>
              <w:bottom w:val="nil"/>
            </w:tcBorders>
          </w:tcPr>
          <w:p>
            <w:pPr>
              <w:pStyle w:val="TableParagraph"/>
              <w:ind w:right="92"/>
              <w:rPr>
                <w:sz w:val="22"/>
              </w:rPr>
            </w:pPr>
            <w:r>
              <w:rPr>
                <w:sz w:val="22"/>
              </w:rPr>
              <w:t>El Saltillo,</w:t>
            </w:r>
          </w:p>
        </w:tc>
        <w:tc>
          <w:tcPr>
            <w:tcW w:w="1133" w:type="dxa"/>
            <w:tcBorders>
              <w:bottom w:val="nil"/>
            </w:tcBorders>
          </w:tcPr>
          <w:p>
            <w:pPr>
              <w:pStyle w:val="TableParagraph"/>
              <w:ind w:left="100" w:right="52"/>
              <w:rPr>
                <w:sz w:val="22"/>
              </w:rPr>
            </w:pPr>
            <w:r>
              <w:rPr>
                <w:sz w:val="22"/>
              </w:rPr>
              <w:t>El</w:t>
            </w:r>
          </w:p>
        </w:tc>
        <w:tc>
          <w:tcPr>
            <w:tcW w:w="1702" w:type="dxa"/>
            <w:tcBorders>
              <w:bottom w:val="nil"/>
            </w:tcBorders>
          </w:tcPr>
          <w:p>
            <w:pPr>
              <w:pStyle w:val="TableParagraph"/>
              <w:tabs>
                <w:tab w:pos="892" w:val="left" w:leader="none"/>
              </w:tabs>
              <w:rPr>
                <w:sz w:val="22"/>
              </w:rPr>
            </w:pPr>
            <w:r>
              <w:rPr>
                <w:sz w:val="22"/>
              </w:rPr>
              <w:t>No</w:t>
              <w:tab/>
              <w:t>existen</w:t>
            </w:r>
          </w:p>
        </w:tc>
        <w:tc>
          <w:tcPr>
            <w:tcW w:w="1985" w:type="dxa"/>
            <w:tcBorders>
              <w:bottom w:val="nil"/>
            </w:tcBorders>
          </w:tcPr>
          <w:p>
            <w:pPr>
              <w:pStyle w:val="TableParagraph"/>
              <w:tabs>
                <w:tab w:pos="796" w:val="left" w:leader="none"/>
              </w:tabs>
              <w:rPr>
                <w:sz w:val="22"/>
              </w:rPr>
            </w:pPr>
            <w:r>
              <w:rPr>
                <w:sz w:val="22"/>
              </w:rPr>
              <w:t>La</w:t>
              <w:tab/>
              <w:t>comunidad</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Style w:val="TableParagraph"/>
              <w:spacing w:line="241" w:lineRule="exact"/>
              <w:ind w:left="100" w:right="101"/>
              <w:rPr>
                <w:sz w:val="22"/>
              </w:rPr>
            </w:pPr>
            <w:r>
              <w:rPr>
                <w:sz w:val="22"/>
              </w:rPr>
              <w:t>ser</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1702" w:type="dxa"/>
            <w:tcBorders>
              <w:top w:val="nil"/>
              <w:bottom w:val="nil"/>
            </w:tcBorders>
          </w:tcPr>
          <w:p>
            <w:pPr>
              <w:pStyle w:val="TableParagraph"/>
              <w:spacing w:line="241" w:lineRule="exact"/>
              <w:rPr>
                <w:sz w:val="22"/>
              </w:rPr>
            </w:pPr>
            <w:r>
              <w:rPr>
                <w:sz w:val="22"/>
              </w:rPr>
              <w:t>problemas  por</w:t>
            </w:r>
          </w:p>
        </w:tc>
        <w:tc>
          <w:tcPr>
            <w:tcW w:w="1985" w:type="dxa"/>
            <w:tcBorders>
              <w:top w:val="nil"/>
              <w:bottom w:val="nil"/>
            </w:tcBorders>
          </w:tcPr>
          <w:p>
            <w:pPr>
              <w:pStyle w:val="TableParagraph"/>
              <w:tabs>
                <w:tab w:pos="820" w:val="left" w:leader="none"/>
              </w:tabs>
              <w:spacing w:line="241" w:lineRule="exact"/>
              <w:rPr>
                <w:sz w:val="22"/>
              </w:rPr>
            </w:pPr>
            <w:r>
              <w:rPr>
                <w:sz w:val="22"/>
              </w:rPr>
              <w:t>que</w:t>
              <w:tab/>
              <w:t>represento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418" w:type="dxa"/>
            <w:tcBorders>
              <w:top w:val="nil"/>
              <w:bottom w:val="nil"/>
            </w:tcBorders>
          </w:tcPr>
          <w:p>
            <w:pPr>
              <w:pStyle w:val="TableParagraph"/>
              <w:spacing w:line="241" w:lineRule="exact"/>
              <w:ind w:left="100" w:right="101"/>
              <w:rPr>
                <w:sz w:val="22"/>
              </w:rPr>
            </w:pPr>
            <w:r>
              <w:rPr>
                <w:sz w:val="22"/>
              </w:rPr>
              <w:t>delegada</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Jilotepec</w:t>
            </w:r>
          </w:p>
        </w:tc>
        <w:tc>
          <w:tcPr>
            <w:tcW w:w="1702" w:type="dxa"/>
            <w:tcBorders>
              <w:top w:val="nil"/>
              <w:bottom w:val="nil"/>
            </w:tcBorders>
          </w:tcPr>
          <w:p>
            <w:pPr>
              <w:pStyle w:val="TableParagraph"/>
              <w:spacing w:line="241" w:lineRule="exact"/>
              <w:rPr>
                <w:sz w:val="22"/>
              </w:rPr>
            </w:pPr>
            <w:r>
              <w:rPr>
                <w:sz w:val="22"/>
              </w:rPr>
              <w:t>el   agua  entre</w:t>
            </w:r>
          </w:p>
        </w:tc>
        <w:tc>
          <w:tcPr>
            <w:tcW w:w="1985" w:type="dxa"/>
            <w:tcBorders>
              <w:top w:val="nil"/>
              <w:bottom w:val="nil"/>
            </w:tcBorders>
          </w:tcPr>
          <w:p>
            <w:pPr>
              <w:pStyle w:val="TableParagraph"/>
              <w:tabs>
                <w:tab w:pos="1226" w:val="left" w:leader="none"/>
              </w:tabs>
              <w:spacing w:line="241" w:lineRule="exact"/>
              <w:rPr>
                <w:sz w:val="22"/>
              </w:rPr>
            </w:pPr>
            <w:r>
              <w:rPr>
                <w:sz w:val="22"/>
              </w:rPr>
              <w:t>no</w:t>
              <w:tab/>
              <w:t>realiza</w:t>
            </w:r>
          </w:p>
        </w:tc>
      </w:tr>
      <w:tr>
        <w:trPr>
          <w:trHeight w:val="253" w:hRule="exact"/>
        </w:trPr>
        <w:tc>
          <w:tcPr>
            <w:tcW w:w="1385" w:type="dxa"/>
            <w:tcBorders>
              <w:top w:val="nil"/>
              <w:bottom w:val="nil"/>
            </w:tcBorders>
          </w:tcPr>
          <w:p>
            <w:pPr>
              <w:pStyle w:val="TableParagraph"/>
              <w:spacing w:line="242" w:lineRule="exact"/>
              <w:rPr>
                <w:sz w:val="22"/>
              </w:rPr>
            </w:pPr>
            <w:r>
              <w:rPr>
                <w:sz w:val="22"/>
              </w:rPr>
              <w:t>(18/7/2014)</w:t>
            </w:r>
          </w:p>
        </w:tc>
        <w:tc>
          <w:tcPr>
            <w:tcW w:w="1418" w:type="dxa"/>
            <w:tcBorders>
              <w:top w:val="nil"/>
              <w:bottom w:val="nil"/>
            </w:tcBorders>
          </w:tcPr>
          <w:p>
            <w:pPr>
              <w:pStyle w:val="TableParagraph"/>
              <w:spacing w:line="242" w:lineRule="exact"/>
              <w:ind w:left="100" w:right="101"/>
              <w:rPr>
                <w:sz w:val="22"/>
              </w:rPr>
            </w:pPr>
            <w:r>
              <w:rPr>
                <w:sz w:val="22"/>
              </w:rPr>
              <w:t>municipal</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los   habitantes</w:t>
            </w:r>
          </w:p>
        </w:tc>
        <w:tc>
          <w:tcPr>
            <w:tcW w:w="1985" w:type="dxa"/>
            <w:tcBorders>
              <w:top w:val="nil"/>
              <w:bottom w:val="nil"/>
            </w:tcBorders>
          </w:tcPr>
          <w:p>
            <w:pPr>
              <w:pStyle w:val="TableParagraph"/>
              <w:tabs>
                <w:tab w:pos="1238" w:val="left" w:leader="none"/>
              </w:tabs>
              <w:spacing w:line="242" w:lineRule="exact"/>
              <w:rPr>
                <w:sz w:val="22"/>
              </w:rPr>
            </w:pPr>
            <w:r>
              <w:rPr>
                <w:sz w:val="22"/>
              </w:rPr>
              <w:t>ninguna</w:t>
              <w:tab/>
              <w:t>acción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de los distintos</w:t>
            </w:r>
          </w:p>
        </w:tc>
        <w:tc>
          <w:tcPr>
            <w:tcW w:w="1985" w:type="dxa"/>
            <w:tcBorders>
              <w:top w:val="nil"/>
              <w:bottom w:val="nil"/>
            </w:tcBorders>
          </w:tcPr>
          <w:p>
            <w:pPr>
              <w:pStyle w:val="TableParagraph"/>
              <w:spacing w:line="241" w:lineRule="exact"/>
              <w:rPr>
                <w:sz w:val="22"/>
              </w:rPr>
            </w:pPr>
            <w:r>
              <w:rPr>
                <w:sz w:val="22"/>
              </w:rPr>
              <w:t>para  conservar 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municipios que</w:t>
            </w:r>
          </w:p>
        </w:tc>
        <w:tc>
          <w:tcPr>
            <w:tcW w:w="1985" w:type="dxa"/>
            <w:tcBorders>
              <w:top w:val="nil"/>
              <w:bottom w:val="nil"/>
            </w:tcBorders>
          </w:tcPr>
          <w:p>
            <w:pPr>
              <w:pStyle w:val="TableParagraph"/>
              <w:spacing w:line="242" w:lineRule="exact"/>
              <w:rPr>
                <w:sz w:val="22"/>
              </w:rPr>
            </w:pPr>
            <w:r>
              <w:rPr>
                <w:sz w:val="22"/>
              </w:rPr>
              <w:t>laguna.</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colindan con la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laguna  porque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48" w:val="left" w:leader="none"/>
              </w:tabs>
              <w:spacing w:line="242" w:lineRule="exact"/>
              <w:rPr>
                <w:sz w:val="22"/>
              </w:rPr>
            </w:pPr>
            <w:r>
              <w:rPr>
                <w:sz w:val="22"/>
              </w:rPr>
              <w:t>cada</w:t>
              <w:tab/>
              <w:t>quien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1" w:lineRule="exact"/>
              <w:rPr>
                <w:sz w:val="22"/>
              </w:rPr>
            </w:pPr>
            <w:r>
              <w:rPr>
                <w:sz w:val="22"/>
              </w:rPr>
              <w:t>tiene</w:t>
              <w:tab/>
              <w:t>su</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55" w:val="left" w:leader="none"/>
                <w:tab w:pos="1417" w:val="left" w:leader="none"/>
              </w:tabs>
              <w:spacing w:line="242" w:lineRule="exact"/>
              <w:rPr>
                <w:sz w:val="22"/>
              </w:rPr>
            </w:pPr>
            <w:r>
              <w:rPr>
                <w:sz w:val="22"/>
              </w:rPr>
              <w:t>camino</w:t>
              <w:tab/>
              <w:t>a</w:t>
              <w:tab/>
              <w:t>la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036" w:val="left" w:leader="none"/>
                <w:tab w:pos="1417" w:val="left" w:leader="none"/>
              </w:tabs>
              <w:spacing w:line="241" w:lineRule="exact"/>
              <w:rPr>
                <w:sz w:val="22"/>
              </w:rPr>
            </w:pPr>
            <w:r>
              <w:rPr>
                <w:sz w:val="22"/>
              </w:rPr>
              <w:t>laguna</w:t>
              <w:tab/>
              <w:t>y</w:t>
              <w:tab/>
              <w:t>sí</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57" w:val="left" w:leader="none"/>
              </w:tabs>
              <w:spacing w:line="241" w:lineRule="exact"/>
              <w:rPr>
                <w:sz w:val="22"/>
              </w:rPr>
            </w:pPr>
            <w:r>
              <w:rPr>
                <w:sz w:val="22"/>
              </w:rPr>
              <w:t>riegan</w:t>
              <w:tab/>
              <w:t>es</w:t>
            </w:r>
          </w:p>
        </w:tc>
        <w:tc>
          <w:tcPr>
            <w:tcW w:w="1985" w:type="dxa"/>
            <w:tcBorders>
              <w:top w:val="nil"/>
              <w:bottom w:val="nil"/>
            </w:tcBorders>
          </w:tcPr>
          <w:p>
            <w:pPr/>
          </w:p>
        </w:tc>
      </w:tr>
      <w:tr>
        <w:trPr>
          <w:trHeight w:val="249"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delito federal.</w:t>
            </w:r>
          </w:p>
        </w:tc>
        <w:tc>
          <w:tcPr>
            <w:tcW w:w="198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Ricardo</w:t>
            </w:r>
          </w:p>
        </w:tc>
        <w:tc>
          <w:tcPr>
            <w:tcW w:w="1418" w:type="dxa"/>
            <w:tcBorders>
              <w:bottom w:val="nil"/>
            </w:tcBorders>
          </w:tcPr>
          <w:p>
            <w:pPr>
              <w:pStyle w:val="TableParagraph"/>
              <w:spacing w:line="251" w:lineRule="exact"/>
              <w:ind w:left="156" w:right="101"/>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San Martín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San</w:t>
            </w:r>
          </w:p>
        </w:tc>
        <w:tc>
          <w:tcPr>
            <w:tcW w:w="1702" w:type="dxa"/>
            <w:tcBorders>
              <w:bottom w:val="nil"/>
            </w:tcBorders>
          </w:tcPr>
          <w:p>
            <w:pPr>
              <w:pStyle w:val="TableParagraph"/>
              <w:tabs>
                <w:tab w:pos="774" w:val="left" w:leader="none"/>
                <w:tab w:pos="1345" w:val="left" w:leader="none"/>
              </w:tabs>
              <w:spacing w:line="251" w:lineRule="exact"/>
              <w:rPr>
                <w:sz w:val="22"/>
              </w:rPr>
            </w:pPr>
            <w:r>
              <w:rPr>
                <w:sz w:val="22"/>
              </w:rPr>
              <w:t>No,</w:t>
              <w:tab/>
              <w:t>no</w:t>
              <w:tab/>
              <w:t>ha</w:t>
            </w:r>
          </w:p>
        </w:tc>
        <w:tc>
          <w:tcPr>
            <w:tcW w:w="1985" w:type="dxa"/>
            <w:tcBorders>
              <w:bottom w:val="nil"/>
            </w:tcBorders>
          </w:tcPr>
          <w:p>
            <w:pPr>
              <w:pStyle w:val="TableParagraph"/>
              <w:tabs>
                <w:tab w:pos="760" w:val="left" w:leader="none"/>
                <w:tab w:pos="1211" w:val="left" w:leader="none"/>
              </w:tabs>
              <w:spacing w:line="251" w:lineRule="exact"/>
              <w:rPr>
                <w:sz w:val="22"/>
              </w:rPr>
            </w:pPr>
            <w:r>
              <w:rPr>
                <w:sz w:val="22"/>
              </w:rPr>
              <w:t>Aquí</w:t>
              <w:tab/>
              <w:t>no</w:t>
              <w:tab/>
              <w:t>afecta,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Rodríguez</w:t>
            </w:r>
          </w:p>
        </w:tc>
        <w:tc>
          <w:tcPr>
            <w:tcW w:w="1418" w:type="dxa"/>
            <w:tcBorders>
              <w:top w:val="nil"/>
              <w:bottom w:val="nil"/>
            </w:tcBorders>
          </w:tcPr>
          <w:p>
            <w:pPr>
              <w:pStyle w:val="TableParagraph"/>
              <w:spacing w:line="242" w:lineRule="exact"/>
              <w:ind w:left="218" w:right="101"/>
              <w:rPr>
                <w:sz w:val="22"/>
              </w:rPr>
            </w:pPr>
            <w:r>
              <w:rPr>
                <w:sz w:val="22"/>
              </w:rPr>
              <w:t>el ganado</w:t>
            </w:r>
          </w:p>
        </w:tc>
        <w:tc>
          <w:tcPr>
            <w:tcW w:w="1417" w:type="dxa"/>
            <w:tcBorders>
              <w:top w:val="nil"/>
              <w:bottom w:val="nil"/>
            </w:tcBorders>
          </w:tcPr>
          <w:p>
            <w:pPr>
              <w:pStyle w:val="TableParagraph"/>
              <w:spacing w:line="242"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Martín,</w:t>
            </w:r>
          </w:p>
        </w:tc>
        <w:tc>
          <w:tcPr>
            <w:tcW w:w="1133" w:type="dxa"/>
            <w:tcBorders>
              <w:top w:val="nil"/>
              <w:bottom w:val="nil"/>
            </w:tcBorders>
          </w:tcPr>
          <w:p>
            <w:pPr>
              <w:pStyle w:val="TableParagraph"/>
              <w:spacing w:line="242" w:lineRule="exact"/>
              <w:ind w:left="100" w:right="52"/>
              <w:rPr>
                <w:sz w:val="22"/>
              </w:rPr>
            </w:pPr>
            <w:r>
              <w:rPr>
                <w:sz w:val="22"/>
              </w:rPr>
              <w:t>Martín,</w:t>
            </w:r>
          </w:p>
        </w:tc>
        <w:tc>
          <w:tcPr>
            <w:tcW w:w="1702" w:type="dxa"/>
            <w:tcBorders>
              <w:top w:val="nil"/>
              <w:bottom w:val="nil"/>
            </w:tcBorders>
          </w:tcPr>
          <w:p>
            <w:pPr>
              <w:pStyle w:val="TableParagraph"/>
              <w:spacing w:line="242" w:lineRule="exact"/>
              <w:rPr>
                <w:sz w:val="22"/>
              </w:rPr>
            </w:pPr>
            <w:r>
              <w:rPr>
                <w:sz w:val="22"/>
              </w:rPr>
              <w:t>habido</w:t>
            </w:r>
          </w:p>
        </w:tc>
        <w:tc>
          <w:tcPr>
            <w:tcW w:w="1985" w:type="dxa"/>
            <w:tcBorders>
              <w:top w:val="nil"/>
              <w:bottom w:val="nil"/>
            </w:tcBorders>
          </w:tcPr>
          <w:p>
            <w:pPr>
              <w:pStyle w:val="TableParagraph"/>
              <w:tabs>
                <w:tab w:pos="1003" w:val="left" w:leader="none"/>
                <w:tab w:pos="1384" w:val="left" w:leader="none"/>
              </w:tabs>
              <w:spacing w:line="242" w:lineRule="exact"/>
              <w:rPr>
                <w:sz w:val="22"/>
              </w:rPr>
            </w:pPr>
            <w:r>
              <w:rPr>
                <w:sz w:val="22"/>
              </w:rPr>
              <w:t>porque</w:t>
              <w:tab/>
              <w:t>el</w:t>
              <w:tab/>
              <w:t>agua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Galván</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spacing w:line="241" w:lineRule="exact"/>
              <w:rPr>
                <w:sz w:val="22"/>
              </w:rPr>
            </w:pPr>
            <w:r>
              <w:rPr>
                <w:sz w:val="22"/>
              </w:rPr>
              <w:t>problemas</w:t>
            </w:r>
          </w:p>
        </w:tc>
        <w:tc>
          <w:tcPr>
            <w:tcW w:w="1985" w:type="dxa"/>
            <w:tcBorders>
              <w:top w:val="nil"/>
              <w:bottom w:val="nil"/>
            </w:tcBorders>
          </w:tcPr>
          <w:p>
            <w:pPr>
              <w:pStyle w:val="TableParagraph"/>
              <w:tabs>
                <w:tab w:pos="1029" w:val="left" w:leader="none"/>
                <w:tab w:pos="1676" w:val="left" w:leader="none"/>
              </w:tabs>
              <w:spacing w:line="241" w:lineRule="exact"/>
              <w:rPr>
                <w:sz w:val="22"/>
              </w:rPr>
            </w:pPr>
            <w:r>
              <w:rPr>
                <w:sz w:val="22"/>
              </w:rPr>
              <w:t>viene</w:t>
              <w:tab/>
              <w:t>de</w:t>
              <w:tab/>
              <w:t>El</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(3/8/2014)</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09" w:val="left" w:leader="none"/>
              </w:tabs>
              <w:spacing w:line="243" w:lineRule="exact"/>
              <w:rPr>
                <w:sz w:val="22"/>
              </w:rPr>
            </w:pPr>
            <w:r>
              <w:rPr>
                <w:sz w:val="22"/>
              </w:rPr>
              <w:t>entre</w:t>
              <w:tab/>
              <w:t>los</w:t>
            </w:r>
          </w:p>
        </w:tc>
        <w:tc>
          <w:tcPr>
            <w:tcW w:w="1985" w:type="dxa"/>
            <w:tcBorders>
              <w:top w:val="nil"/>
              <w:bottom w:val="nil"/>
            </w:tcBorders>
          </w:tcPr>
          <w:p>
            <w:pPr>
              <w:pStyle w:val="TableParagraph"/>
              <w:spacing w:line="243" w:lineRule="exact"/>
              <w:rPr>
                <w:sz w:val="22"/>
              </w:rPr>
            </w:pPr>
            <w:r>
              <w:rPr>
                <w:sz w:val="22"/>
              </w:rPr>
              <w:t>Saltillo y Fondo.</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346" w:val="left" w:leader="none"/>
              </w:tabs>
              <w:spacing w:line="241" w:lineRule="exact"/>
              <w:rPr>
                <w:sz w:val="22"/>
              </w:rPr>
            </w:pPr>
            <w:r>
              <w:rPr>
                <w:sz w:val="22"/>
              </w:rPr>
              <w:t>habitantes</w:t>
              <w:tab/>
              <w:t>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782" w:val="left" w:leader="none"/>
              </w:tabs>
              <w:spacing w:line="241" w:lineRule="exact"/>
              <w:rPr>
                <w:sz w:val="22"/>
              </w:rPr>
            </w:pPr>
            <w:r>
              <w:rPr>
                <w:sz w:val="22"/>
              </w:rPr>
              <w:t>los</w:t>
              <w:tab/>
              <w:t>distintos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municipios 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colindad con la</w:t>
            </w:r>
          </w:p>
        </w:tc>
        <w:tc>
          <w:tcPr>
            <w:tcW w:w="1985"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laguna  porque</w:t>
            </w:r>
          </w:p>
        </w:tc>
        <w:tc>
          <w:tcPr>
            <w:tcW w:w="1985"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768" w:hRule="exact"/>
        </w:trPr>
        <w:tc>
          <w:tcPr>
            <w:tcW w:w="1385" w:type="dxa"/>
          </w:tcPr>
          <w:p>
            <w:pPr/>
          </w:p>
        </w:tc>
        <w:tc>
          <w:tcPr>
            <w:tcW w:w="1418" w:type="dxa"/>
          </w:tcPr>
          <w:p>
            <w:pP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rPr>
                <w:sz w:val="22"/>
              </w:rPr>
            </w:pPr>
            <w:r>
              <w:rPr>
                <w:sz w:val="22"/>
              </w:rPr>
              <w:t>la laguna está reconocida federal.</w:t>
            </w:r>
          </w:p>
        </w:tc>
        <w:tc>
          <w:tcPr>
            <w:tcW w:w="1985" w:type="dxa"/>
          </w:tcPr>
          <w:p>
            <w:pPr/>
          </w:p>
        </w:tc>
      </w:tr>
      <w:tr>
        <w:trPr>
          <w:trHeight w:val="2288" w:hRule="exact"/>
        </w:trPr>
        <w:tc>
          <w:tcPr>
            <w:tcW w:w="1385" w:type="dxa"/>
          </w:tcPr>
          <w:p>
            <w:pPr>
              <w:pStyle w:val="TableParagraph"/>
              <w:ind w:right="249"/>
              <w:rPr>
                <w:sz w:val="22"/>
              </w:rPr>
            </w:pPr>
            <w:r>
              <w:rPr>
                <w:sz w:val="22"/>
              </w:rPr>
              <w:t>Ricardo Cristóbal Ramírez (3/8/2014)</w:t>
            </w:r>
          </w:p>
        </w:tc>
        <w:tc>
          <w:tcPr>
            <w:tcW w:w="1418" w:type="dxa"/>
          </w:tcPr>
          <w:p>
            <w:pPr>
              <w:pStyle w:val="TableParagraph"/>
              <w:spacing w:line="242" w:lineRule="auto"/>
              <w:ind w:left="170" w:right="155" w:firstLine="12"/>
              <w:rPr>
                <w:sz w:val="22"/>
              </w:rPr>
            </w:pPr>
            <w:r>
              <w:rPr>
                <w:sz w:val="22"/>
              </w:rPr>
              <w:t>Albañilería y el campo</w:t>
            </w:r>
          </w:p>
        </w:tc>
        <w:tc>
          <w:tcPr>
            <w:tcW w:w="1417" w:type="dxa"/>
          </w:tcPr>
          <w:p>
            <w:pPr>
              <w:pStyle w:val="TableParagraph"/>
              <w:tabs>
                <w:tab w:pos="1132" w:val="left" w:leader="none"/>
              </w:tabs>
              <w:ind w:left="100" w:right="101"/>
              <w:rPr>
                <w:sz w:val="22"/>
              </w:rPr>
            </w:pPr>
            <w:r>
              <w:rPr>
                <w:sz w:val="22"/>
              </w:rPr>
              <w:t>Delegado Municipal de</w:t>
              <w:tab/>
              <w:t>la</w:t>
            </w:r>
          </w:p>
          <w:p>
            <w:pPr>
              <w:pStyle w:val="TableParagraph"/>
              <w:tabs>
                <w:tab w:pos="1108" w:val="left" w:leader="none"/>
              </w:tabs>
              <w:spacing w:before="1"/>
              <w:ind w:left="100" w:right="100"/>
              <w:rPr>
                <w:sz w:val="22"/>
              </w:rPr>
            </w:pPr>
            <w:r>
              <w:rPr>
                <w:sz w:val="22"/>
              </w:rPr>
              <w:t>primera manzana de</w:t>
              <w:tab/>
              <w:t>El</w:t>
            </w:r>
          </w:p>
          <w:p>
            <w:pPr>
              <w:pStyle w:val="TableParagraph"/>
              <w:spacing w:before="1"/>
              <w:ind w:left="100"/>
              <w:rPr>
                <w:sz w:val="22"/>
              </w:rPr>
            </w:pPr>
            <w:r>
              <w:rPr>
                <w:sz w:val="22"/>
              </w:rPr>
              <w:t>Azafrán</w:t>
            </w:r>
          </w:p>
        </w:tc>
        <w:tc>
          <w:tcPr>
            <w:tcW w:w="1560" w:type="dxa"/>
          </w:tcPr>
          <w:p>
            <w:pPr>
              <w:pStyle w:val="TableParagraph"/>
              <w:spacing w:line="251" w:lineRule="exact"/>
              <w:ind w:right="143"/>
              <w:rPr>
                <w:sz w:val="22"/>
              </w:rPr>
            </w:pPr>
            <w:r>
              <w:rPr>
                <w:sz w:val="22"/>
              </w:rPr>
              <w:t>El Azafrán</w:t>
            </w:r>
          </w:p>
        </w:tc>
        <w:tc>
          <w:tcPr>
            <w:tcW w:w="991" w:type="dxa"/>
          </w:tcPr>
          <w:p>
            <w:pPr>
              <w:pStyle w:val="TableParagraph"/>
              <w:spacing w:line="251" w:lineRule="exact"/>
              <w:ind w:left="100"/>
              <w:rPr>
                <w:sz w:val="22"/>
              </w:rPr>
            </w:pPr>
            <w:r>
              <w:rPr>
                <w:sz w:val="22"/>
              </w:rPr>
              <w:t>Aculco</w:t>
            </w:r>
          </w:p>
        </w:tc>
        <w:tc>
          <w:tcPr>
            <w:tcW w:w="1277" w:type="dxa"/>
          </w:tcPr>
          <w:p>
            <w:pPr>
              <w:pStyle w:val="TableParagraph"/>
              <w:ind w:right="325"/>
              <w:rPr>
                <w:sz w:val="22"/>
              </w:rPr>
            </w:pPr>
            <w:r>
              <w:rPr>
                <w:sz w:val="22"/>
              </w:rPr>
              <w:t>El Azafrán, Aculco</w:t>
            </w:r>
          </w:p>
        </w:tc>
        <w:tc>
          <w:tcPr>
            <w:tcW w:w="1133" w:type="dxa"/>
          </w:tcPr>
          <w:p>
            <w:pPr>
              <w:pStyle w:val="TableParagraph"/>
              <w:ind w:left="100" w:right="183"/>
              <w:rPr>
                <w:sz w:val="22"/>
              </w:rPr>
            </w:pPr>
            <w:r>
              <w:rPr>
                <w:sz w:val="22"/>
              </w:rPr>
              <w:t>El Azafrán, Aculco</w:t>
            </w:r>
          </w:p>
        </w:tc>
        <w:tc>
          <w:tcPr>
            <w:tcW w:w="1702" w:type="dxa"/>
          </w:tcPr>
          <w:p>
            <w:pPr>
              <w:pStyle w:val="TableParagraph"/>
              <w:ind w:right="98"/>
              <w:jc w:val="both"/>
              <w:rPr>
                <w:sz w:val="22"/>
              </w:rPr>
            </w:pPr>
            <w:r>
              <w:rPr>
                <w:sz w:val="22"/>
              </w:rPr>
              <w:t>No existen problemas por el agua entre los habitantes de los distintos municipios que colindan con la laguna.</w:t>
            </w:r>
          </w:p>
        </w:tc>
        <w:tc>
          <w:tcPr>
            <w:tcW w:w="1985" w:type="dxa"/>
          </w:tcPr>
          <w:p>
            <w:pPr>
              <w:pStyle w:val="TableParagraph"/>
              <w:tabs>
                <w:tab w:pos="539" w:val="left" w:leader="none"/>
                <w:tab w:pos="592" w:val="left" w:leader="none"/>
                <w:tab w:pos="731" w:val="left" w:leader="none"/>
                <w:tab w:pos="1079" w:val="left" w:leader="none"/>
                <w:tab w:pos="1149" w:val="left" w:leader="none"/>
                <w:tab w:pos="1309" w:val="left" w:leader="none"/>
                <w:tab w:pos="1557" w:val="left" w:leader="none"/>
                <w:tab w:pos="1593" w:val="left" w:leader="none"/>
                <w:tab w:pos="1702" w:val="left" w:leader="none"/>
              </w:tabs>
              <w:ind w:right="99"/>
              <w:rPr>
                <w:sz w:val="22"/>
              </w:rPr>
            </w:pPr>
            <w:r>
              <w:rPr>
                <w:sz w:val="22"/>
              </w:rPr>
              <w:t>El</w:t>
              <w:tab/>
              <w:t>año</w:t>
              <w:tab/>
              <w:tab/>
              <w:t>pasado sembramos peces y en las asambleas</w:t>
              <w:tab/>
              <w:tab/>
              <w:tab/>
              <w:t>les digo</w:t>
              <w:tab/>
              <w:tab/>
              <w:tab/>
              <w:t>que</w:t>
              <w:tab/>
              <w:tab/>
              <w:t>traten de</w:t>
              <w:tab/>
              <w:tab/>
              <w:t>no</w:t>
              <w:tab/>
              <w:t>tirar</w:t>
              <w:tab/>
              <w:tab/>
              <w:tab/>
              <w:t>la basura</w:t>
              <w:tab/>
              <w:tab/>
              <w:tab/>
              <w:tab/>
            </w:r>
            <w:r>
              <w:rPr>
                <w:spacing w:val="-1"/>
                <w:sz w:val="22"/>
              </w:rPr>
              <w:t>por </w:t>
            </w:r>
            <w:r>
              <w:rPr>
                <w:sz w:val="22"/>
              </w:rPr>
              <w:t>ejemplo la de los insecticidas.</w:t>
            </w:r>
          </w:p>
        </w:tc>
      </w:tr>
      <w:tr>
        <w:trPr>
          <w:trHeight w:val="267" w:hRule="exact"/>
        </w:trPr>
        <w:tc>
          <w:tcPr>
            <w:tcW w:w="1385" w:type="dxa"/>
            <w:tcBorders>
              <w:bottom w:val="nil"/>
            </w:tcBorders>
          </w:tcPr>
          <w:p>
            <w:pPr>
              <w:pStyle w:val="TableParagraph"/>
              <w:spacing w:line="251" w:lineRule="exact"/>
              <w:ind w:right="127"/>
              <w:rPr>
                <w:sz w:val="22"/>
              </w:rPr>
            </w:pPr>
            <w:r>
              <w:rPr>
                <w:sz w:val="22"/>
              </w:rPr>
              <w:t>Pablo</w:t>
            </w:r>
          </w:p>
        </w:tc>
        <w:tc>
          <w:tcPr>
            <w:tcW w:w="1418" w:type="dxa"/>
            <w:tcBorders>
              <w:bottom w:val="nil"/>
            </w:tcBorders>
          </w:tcPr>
          <w:p>
            <w:pPr>
              <w:pStyle w:val="TableParagraph"/>
              <w:spacing w:line="251" w:lineRule="exact"/>
              <w:ind w:left="100" w:right="101"/>
              <w:rPr>
                <w:sz w:val="22"/>
              </w:rPr>
            </w:pPr>
            <w:r>
              <w:rPr>
                <w:sz w:val="22"/>
              </w:rPr>
              <w:t>La</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El Azafrán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El</w:t>
            </w:r>
          </w:p>
        </w:tc>
        <w:tc>
          <w:tcPr>
            <w:tcW w:w="1133" w:type="dxa"/>
            <w:tcBorders>
              <w:bottom w:val="nil"/>
            </w:tcBorders>
          </w:tcPr>
          <w:p>
            <w:pPr>
              <w:pStyle w:val="TableParagraph"/>
              <w:spacing w:line="251" w:lineRule="exact"/>
              <w:ind w:left="100" w:right="52"/>
              <w:rPr>
                <w:sz w:val="22"/>
              </w:rPr>
            </w:pPr>
            <w:r>
              <w:rPr>
                <w:sz w:val="22"/>
              </w:rPr>
              <w:t>El</w:t>
            </w:r>
          </w:p>
        </w:tc>
        <w:tc>
          <w:tcPr>
            <w:tcW w:w="1702" w:type="dxa"/>
            <w:tcBorders>
              <w:bottom w:val="nil"/>
            </w:tcBorders>
          </w:tcPr>
          <w:p>
            <w:pPr>
              <w:pStyle w:val="TableParagraph"/>
              <w:spacing w:line="251" w:lineRule="exact"/>
              <w:rPr>
                <w:sz w:val="22"/>
              </w:rPr>
            </w:pPr>
            <w:r>
              <w:rPr>
                <w:sz w:val="22"/>
              </w:rPr>
              <w:t>Lamentableme</w:t>
            </w:r>
          </w:p>
        </w:tc>
        <w:tc>
          <w:tcPr>
            <w:tcW w:w="1985" w:type="dxa"/>
            <w:tcBorders>
              <w:bottom w:val="nil"/>
            </w:tcBorders>
          </w:tcPr>
          <w:p>
            <w:pPr>
              <w:pStyle w:val="TableParagraph"/>
              <w:tabs>
                <w:tab w:pos="561" w:val="left" w:leader="none"/>
                <w:tab w:pos="1578" w:val="left" w:leader="none"/>
              </w:tabs>
              <w:spacing w:line="251" w:lineRule="exact"/>
              <w:rPr>
                <w:sz w:val="22"/>
              </w:rPr>
            </w:pPr>
            <w:r>
              <w:rPr>
                <w:sz w:val="22"/>
              </w:rPr>
              <w:t>La</w:t>
              <w:tab/>
              <w:t>limpieza</w:t>
              <w:tab/>
              <w:t>del</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418" w:type="dxa"/>
            <w:tcBorders>
              <w:top w:val="nil"/>
              <w:bottom w:val="nil"/>
            </w:tcBorders>
          </w:tcPr>
          <w:p>
            <w:pPr>
              <w:pStyle w:val="TableParagraph"/>
              <w:spacing w:line="242" w:lineRule="exact"/>
              <w:ind w:left="100" w:right="101"/>
              <w:rPr>
                <w:sz w:val="22"/>
              </w:rPr>
            </w:pPr>
            <w:r>
              <w:rPr>
                <w:sz w:val="22"/>
              </w:rPr>
              <w:t>construcció</w:t>
            </w:r>
          </w:p>
        </w:tc>
        <w:tc>
          <w:tcPr>
            <w:tcW w:w="1417" w:type="dxa"/>
            <w:tcBorders>
              <w:top w:val="nil"/>
              <w:bottom w:val="nil"/>
            </w:tcBorders>
          </w:tcPr>
          <w:p>
            <w:pPr>
              <w:pStyle w:val="TableParagraph"/>
              <w:spacing w:line="242"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Azafrán,</w:t>
            </w:r>
          </w:p>
        </w:tc>
        <w:tc>
          <w:tcPr>
            <w:tcW w:w="1133" w:type="dxa"/>
            <w:tcBorders>
              <w:top w:val="nil"/>
              <w:bottom w:val="nil"/>
            </w:tcBorders>
          </w:tcPr>
          <w:p>
            <w:pPr>
              <w:pStyle w:val="TableParagraph"/>
              <w:spacing w:line="242" w:lineRule="exact"/>
              <w:ind w:left="100" w:right="52"/>
              <w:rPr>
                <w:sz w:val="22"/>
              </w:rPr>
            </w:pPr>
            <w:r>
              <w:rPr>
                <w:sz w:val="22"/>
              </w:rPr>
              <w:t>Azafrán,</w:t>
            </w:r>
          </w:p>
        </w:tc>
        <w:tc>
          <w:tcPr>
            <w:tcW w:w="1702" w:type="dxa"/>
            <w:tcBorders>
              <w:top w:val="nil"/>
              <w:bottom w:val="nil"/>
            </w:tcBorders>
          </w:tcPr>
          <w:p>
            <w:pPr>
              <w:pStyle w:val="TableParagraph"/>
              <w:spacing w:line="242" w:lineRule="exact"/>
              <w:rPr>
                <w:sz w:val="22"/>
              </w:rPr>
            </w:pPr>
            <w:r>
              <w:rPr>
                <w:sz w:val="22"/>
              </w:rPr>
              <w:t>nte   sí  porque</w:t>
            </w:r>
          </w:p>
        </w:tc>
        <w:tc>
          <w:tcPr>
            <w:tcW w:w="1985" w:type="dxa"/>
            <w:tcBorders>
              <w:top w:val="nil"/>
              <w:bottom w:val="nil"/>
            </w:tcBorders>
          </w:tcPr>
          <w:p>
            <w:pPr>
              <w:pStyle w:val="TableParagraph"/>
              <w:spacing w:line="242" w:lineRule="exact"/>
              <w:rPr>
                <w:sz w:val="22"/>
              </w:rPr>
            </w:pPr>
            <w:r>
              <w:rPr>
                <w:sz w:val="22"/>
              </w:rPr>
              <w:t>lirio acuático.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García</w:t>
            </w:r>
          </w:p>
        </w:tc>
        <w:tc>
          <w:tcPr>
            <w:tcW w:w="1418" w:type="dxa"/>
            <w:tcBorders>
              <w:top w:val="nil"/>
              <w:bottom w:val="nil"/>
            </w:tcBorders>
          </w:tcPr>
          <w:p>
            <w:pPr>
              <w:pStyle w:val="TableParagraph"/>
              <w:tabs>
                <w:tab w:pos="623" w:val="left" w:leader="none"/>
                <w:tab w:pos="1132" w:val="left" w:leader="none"/>
              </w:tabs>
              <w:spacing w:line="241" w:lineRule="exact"/>
              <w:ind w:left="100"/>
              <w:rPr>
                <w:sz w:val="22"/>
              </w:rPr>
            </w:pPr>
            <w:r>
              <w:rPr>
                <w:sz w:val="22"/>
              </w:rPr>
              <w:t>n</w:t>
              <w:tab/>
              <w:t>y</w:t>
              <w:tab/>
              <w:t>el</w:t>
            </w:r>
          </w:p>
        </w:tc>
        <w:tc>
          <w:tcPr>
            <w:tcW w:w="1417" w:type="dxa"/>
            <w:tcBorders>
              <w:top w:val="nil"/>
              <w:bottom w:val="nil"/>
            </w:tcBorders>
          </w:tcPr>
          <w:p>
            <w:pPr>
              <w:pStyle w:val="TableParagraph"/>
              <w:tabs>
                <w:tab w:pos="1132" w:val="left" w:leader="none"/>
              </w:tabs>
              <w:spacing w:line="241"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spacing w:line="241" w:lineRule="exact"/>
              <w:rPr>
                <w:sz w:val="22"/>
              </w:rPr>
            </w:pPr>
            <w:r>
              <w:rPr>
                <w:sz w:val="22"/>
              </w:rPr>
              <w:t>no   nos  dejan</w:t>
            </w:r>
          </w:p>
        </w:tc>
        <w:tc>
          <w:tcPr>
            <w:tcW w:w="1985"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(3/8/2014)</w:t>
            </w:r>
          </w:p>
        </w:tc>
        <w:tc>
          <w:tcPr>
            <w:tcW w:w="1418" w:type="dxa"/>
            <w:tcBorders>
              <w:top w:val="nil"/>
              <w:bottom w:val="nil"/>
            </w:tcBorders>
          </w:tcPr>
          <w:p>
            <w:pPr>
              <w:pStyle w:val="TableParagraph"/>
              <w:spacing w:line="241" w:lineRule="exact"/>
              <w:ind w:left="100" w:right="101"/>
              <w:rPr>
                <w:sz w:val="22"/>
              </w:rPr>
            </w:pPr>
            <w:r>
              <w:rPr>
                <w:sz w:val="22"/>
              </w:rPr>
              <w:t>campo</w:t>
            </w:r>
          </w:p>
        </w:tc>
        <w:tc>
          <w:tcPr>
            <w:tcW w:w="1417" w:type="dxa"/>
            <w:tcBorders>
              <w:top w:val="nil"/>
              <w:bottom w:val="nil"/>
            </w:tcBorders>
          </w:tcPr>
          <w:p>
            <w:pPr>
              <w:pStyle w:val="TableParagraph"/>
              <w:spacing w:line="241" w:lineRule="exact"/>
              <w:ind w:left="100"/>
              <w:rPr>
                <w:sz w:val="22"/>
              </w:rPr>
            </w:pPr>
            <w:r>
              <w:rPr>
                <w:sz w:val="22"/>
              </w:rPr>
              <w:t>segunda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agarrar agua 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2"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1221" w:val="left" w:leader="none"/>
              </w:tabs>
              <w:spacing w:line="242" w:lineRule="exact"/>
              <w:rPr>
                <w:sz w:val="22"/>
              </w:rPr>
            </w:pPr>
            <w:r>
              <w:rPr>
                <w:sz w:val="22"/>
              </w:rPr>
              <w:t>los</w:t>
              <w:tab/>
              <w:t>que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1108" w:val="left" w:leader="none"/>
              </w:tabs>
              <w:spacing w:line="241" w:lineRule="exact"/>
              <w:ind w:left="100"/>
              <w:rPr>
                <w:sz w:val="22"/>
              </w:rPr>
            </w:pPr>
            <w:r>
              <w:rPr>
                <w:sz w:val="22"/>
              </w:rPr>
              <w:t>de</w:t>
              <w:tab/>
              <w:t>El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vivimos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3" w:lineRule="exact"/>
              <w:ind w:left="100"/>
              <w:rPr>
                <w:sz w:val="22"/>
              </w:rPr>
            </w:pPr>
            <w:r>
              <w:rPr>
                <w:sz w:val="22"/>
              </w:rPr>
              <w:t>Azafrán</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alrededor de la</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laguna,  sólo</w:t>
            </w:r>
            <w:r>
              <w:rPr>
                <w:spacing w:val="53"/>
                <w:sz w:val="22"/>
              </w:rPr>
              <w:t> </w:t>
            </w:r>
            <w:r>
              <w:rPr>
                <w:sz w:val="22"/>
              </w:rPr>
              <w:t>a</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los  que</w:t>
            </w:r>
            <w:r>
              <w:rPr>
                <w:spacing w:val="50"/>
                <w:sz w:val="22"/>
              </w:rPr>
              <w:t> </w:t>
            </w:r>
            <w:r>
              <w:rPr>
                <w:sz w:val="22"/>
              </w:rPr>
              <w:t>tienen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concesión,</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hemos  pedido</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que  nos dejen</w:t>
            </w:r>
          </w:p>
        </w:tc>
        <w:tc>
          <w:tcPr>
            <w:tcW w:w="1985"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sacar  agua de</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tabs>
                <w:tab w:pos="829" w:val="left" w:leader="none"/>
              </w:tabs>
              <w:spacing w:line="241" w:lineRule="exact"/>
              <w:rPr>
                <w:sz w:val="22"/>
              </w:rPr>
            </w:pPr>
            <w:r>
              <w:rPr>
                <w:sz w:val="22"/>
              </w:rPr>
              <w:t>los</w:t>
              <w:tab/>
              <w:t>canales</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2" w:lineRule="exact"/>
              <w:rPr>
                <w:sz w:val="22"/>
              </w:rPr>
            </w:pPr>
            <w:r>
              <w:rPr>
                <w:sz w:val="22"/>
              </w:rPr>
              <w:t>que  pasan por</w:t>
            </w:r>
          </w:p>
        </w:tc>
        <w:tc>
          <w:tcPr>
            <w:tcW w:w="1985"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1" w:lineRule="exact"/>
              <w:rPr>
                <w:sz w:val="22"/>
              </w:rPr>
            </w:pPr>
            <w:r>
              <w:rPr>
                <w:sz w:val="22"/>
              </w:rPr>
              <w:t>nuestra</w:t>
            </w:r>
          </w:p>
        </w:tc>
        <w:tc>
          <w:tcPr>
            <w:tcW w:w="1985"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1702" w:type="dxa"/>
            <w:tcBorders>
              <w:top w:val="nil"/>
              <w:bottom w:val="nil"/>
            </w:tcBorders>
          </w:tcPr>
          <w:p>
            <w:pPr>
              <w:pStyle w:val="TableParagraph"/>
              <w:spacing w:line="243" w:lineRule="exact"/>
              <w:rPr>
                <w:sz w:val="22"/>
              </w:rPr>
            </w:pPr>
            <w:r>
              <w:rPr>
                <w:sz w:val="22"/>
              </w:rPr>
              <w:t>comunidad y ni</w:t>
            </w:r>
          </w:p>
        </w:tc>
        <w:tc>
          <w:tcPr>
            <w:tcW w:w="1985"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1" w:lineRule="exact"/>
              <w:rPr>
                <w:sz w:val="22"/>
              </w:rPr>
            </w:pPr>
            <w:r>
              <w:rPr>
                <w:sz w:val="22"/>
              </w:rPr>
              <w:t>eso quieren.</w:t>
            </w:r>
          </w:p>
        </w:tc>
        <w:tc>
          <w:tcPr>
            <w:tcW w:w="198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Tomás</w:t>
            </w:r>
          </w:p>
        </w:tc>
        <w:tc>
          <w:tcPr>
            <w:tcW w:w="1418" w:type="dxa"/>
            <w:tcBorders>
              <w:bottom w:val="nil"/>
            </w:tcBorders>
          </w:tcPr>
          <w:p>
            <w:pPr>
              <w:pStyle w:val="TableParagraph"/>
              <w:ind w:left="156" w:right="101"/>
              <w:rPr>
                <w:sz w:val="22"/>
              </w:rPr>
            </w:pPr>
            <w:r>
              <w:rPr>
                <w:sz w:val="22"/>
              </w:rPr>
              <w:t>El campo y</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El Azafrán</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El</w:t>
            </w:r>
          </w:p>
        </w:tc>
        <w:tc>
          <w:tcPr>
            <w:tcW w:w="1133" w:type="dxa"/>
            <w:tcBorders>
              <w:bottom w:val="nil"/>
            </w:tcBorders>
          </w:tcPr>
          <w:p>
            <w:pPr>
              <w:pStyle w:val="TableParagraph"/>
              <w:ind w:left="100" w:right="52"/>
              <w:rPr>
                <w:sz w:val="22"/>
              </w:rPr>
            </w:pPr>
            <w:r>
              <w:rPr>
                <w:sz w:val="22"/>
              </w:rPr>
              <w:t>El</w:t>
            </w:r>
          </w:p>
        </w:tc>
        <w:tc>
          <w:tcPr>
            <w:tcW w:w="1702" w:type="dxa"/>
            <w:tcBorders>
              <w:bottom w:val="nil"/>
            </w:tcBorders>
          </w:tcPr>
          <w:p>
            <w:pPr>
              <w:pStyle w:val="TableParagraph"/>
              <w:rPr>
                <w:sz w:val="22"/>
              </w:rPr>
            </w:pPr>
            <w:r>
              <w:rPr>
                <w:sz w:val="22"/>
              </w:rPr>
              <w:t>No se ha  visto</w:t>
            </w:r>
          </w:p>
        </w:tc>
        <w:tc>
          <w:tcPr>
            <w:tcW w:w="1985" w:type="dxa"/>
            <w:tcBorders>
              <w:bottom w:val="nil"/>
            </w:tcBorders>
          </w:tcPr>
          <w:p>
            <w:pPr>
              <w:pStyle w:val="TableParagraph"/>
              <w:tabs>
                <w:tab w:pos="609" w:val="left" w:leader="none"/>
                <w:tab w:pos="1210" w:val="left" w:leader="none"/>
              </w:tabs>
              <w:rPr>
                <w:sz w:val="22"/>
              </w:rPr>
            </w:pPr>
            <w:r>
              <w:rPr>
                <w:sz w:val="22"/>
              </w:rPr>
              <w:t>No</w:t>
              <w:tab/>
              <w:t>tirar</w:t>
              <w:tab/>
              <w:t>mucha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Lucas</w:t>
            </w:r>
          </w:p>
        </w:tc>
        <w:tc>
          <w:tcPr>
            <w:tcW w:w="1418" w:type="dxa"/>
            <w:tcBorders>
              <w:top w:val="nil"/>
              <w:bottom w:val="nil"/>
            </w:tcBorders>
          </w:tcPr>
          <w:p>
            <w:pPr>
              <w:pStyle w:val="TableParagraph"/>
              <w:spacing w:line="241" w:lineRule="exact"/>
              <w:ind w:left="139" w:right="101"/>
              <w:rPr>
                <w:sz w:val="22"/>
              </w:rPr>
            </w:pPr>
            <w:r>
              <w:rPr>
                <w:sz w:val="22"/>
              </w:rPr>
              <w:t>el comercio</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Azafrán,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1702" w:type="dxa"/>
            <w:tcBorders>
              <w:top w:val="nil"/>
              <w:bottom w:val="nil"/>
            </w:tcBorders>
          </w:tcPr>
          <w:p>
            <w:pPr>
              <w:pStyle w:val="TableParagraph"/>
              <w:spacing w:line="241" w:lineRule="exact"/>
              <w:rPr>
                <w:sz w:val="22"/>
              </w:rPr>
            </w:pPr>
            <w:r>
              <w:rPr>
                <w:sz w:val="22"/>
              </w:rPr>
              <w:t>ningún</w:t>
            </w:r>
          </w:p>
        </w:tc>
        <w:tc>
          <w:tcPr>
            <w:tcW w:w="1985" w:type="dxa"/>
            <w:tcBorders>
              <w:top w:val="nil"/>
              <w:bottom w:val="nil"/>
            </w:tcBorders>
          </w:tcPr>
          <w:p>
            <w:pPr>
              <w:pStyle w:val="TableParagraph"/>
              <w:tabs>
                <w:tab w:pos="1593" w:val="left" w:leader="none"/>
              </w:tabs>
              <w:spacing w:line="241" w:lineRule="exact"/>
              <w:rPr>
                <w:sz w:val="22"/>
              </w:rPr>
            </w:pPr>
            <w:r>
              <w:rPr>
                <w:sz w:val="22"/>
              </w:rPr>
              <w:t>basura,</w:t>
              <w:tab/>
              <w:t>las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211" w:right="101"/>
              <w:rPr>
                <w:sz w:val="22"/>
              </w:rPr>
            </w:pPr>
            <w:r>
              <w:rPr>
                <w:sz w:val="22"/>
              </w:rPr>
              <w:t>(tienda de</w:t>
            </w:r>
          </w:p>
        </w:tc>
        <w:tc>
          <w:tcPr>
            <w:tcW w:w="1417" w:type="dxa"/>
            <w:tcBorders>
              <w:top w:val="nil"/>
              <w:bottom w:val="nil"/>
            </w:tcBorders>
          </w:tcPr>
          <w:p>
            <w:pPr>
              <w:pStyle w:val="TableParagraph"/>
              <w:tabs>
                <w:tab w:pos="1132" w:val="left" w:leader="none"/>
              </w:tabs>
              <w:spacing w:line="241"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1702" w:type="dxa"/>
            <w:tcBorders>
              <w:top w:val="nil"/>
              <w:bottom w:val="nil"/>
            </w:tcBorders>
          </w:tcPr>
          <w:p>
            <w:pPr>
              <w:pStyle w:val="TableParagraph"/>
              <w:spacing w:line="241" w:lineRule="exact"/>
              <w:rPr>
                <w:sz w:val="22"/>
              </w:rPr>
            </w:pPr>
            <w:r>
              <w:rPr>
                <w:sz w:val="22"/>
              </w:rPr>
              <w:t>problema entre</w:t>
            </w:r>
          </w:p>
        </w:tc>
        <w:tc>
          <w:tcPr>
            <w:tcW w:w="1985" w:type="dxa"/>
            <w:tcBorders>
              <w:top w:val="nil"/>
              <w:bottom w:val="nil"/>
            </w:tcBorders>
          </w:tcPr>
          <w:p>
            <w:pPr>
              <w:pStyle w:val="TableParagraph"/>
              <w:spacing w:line="241" w:lineRule="exact"/>
              <w:rPr>
                <w:sz w:val="22"/>
              </w:rPr>
            </w:pPr>
            <w:r>
              <w:rPr>
                <w:sz w:val="22"/>
              </w:rPr>
              <w:t>señoras   salen  a</w:t>
            </w:r>
          </w:p>
        </w:tc>
      </w:tr>
      <w:tr>
        <w:trPr>
          <w:trHeight w:val="248" w:hRule="exact"/>
        </w:trPr>
        <w:tc>
          <w:tcPr>
            <w:tcW w:w="1385" w:type="dxa"/>
            <w:tcBorders>
              <w:top w:val="nil"/>
            </w:tcBorders>
          </w:tcPr>
          <w:p>
            <w:pPr>
              <w:pStyle w:val="TableParagraph"/>
              <w:spacing w:line="242" w:lineRule="exact"/>
              <w:ind w:right="127"/>
              <w:rPr>
                <w:sz w:val="22"/>
              </w:rPr>
            </w:pPr>
            <w:r>
              <w:rPr>
                <w:sz w:val="22"/>
              </w:rPr>
              <w:t>(3/8/2014)</w:t>
            </w:r>
          </w:p>
        </w:tc>
        <w:tc>
          <w:tcPr>
            <w:tcW w:w="1418" w:type="dxa"/>
            <w:tcBorders>
              <w:top w:val="nil"/>
            </w:tcBorders>
          </w:tcPr>
          <w:p>
            <w:pPr>
              <w:pStyle w:val="TableParagraph"/>
              <w:spacing w:line="242" w:lineRule="exact"/>
              <w:ind w:left="170" w:right="101"/>
              <w:rPr>
                <w:sz w:val="22"/>
              </w:rPr>
            </w:pPr>
            <w:r>
              <w:rPr>
                <w:sz w:val="22"/>
              </w:rPr>
              <w:t>abarrotes).</w:t>
            </w:r>
          </w:p>
        </w:tc>
        <w:tc>
          <w:tcPr>
            <w:tcW w:w="1417" w:type="dxa"/>
            <w:tcBorders>
              <w:top w:val="nil"/>
            </w:tcBorders>
          </w:tcPr>
          <w:p>
            <w:pPr>
              <w:pStyle w:val="TableParagraph"/>
              <w:spacing w:line="242" w:lineRule="exact"/>
              <w:ind w:left="100"/>
              <w:rPr>
                <w:sz w:val="22"/>
              </w:rPr>
            </w:pPr>
            <w:r>
              <w:rPr>
                <w:sz w:val="22"/>
              </w:rPr>
              <w:t>tercera</w:t>
            </w: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1702" w:type="dxa"/>
            <w:tcBorders>
              <w:top w:val="nil"/>
            </w:tcBorders>
          </w:tcPr>
          <w:p>
            <w:pPr>
              <w:pStyle w:val="TableParagraph"/>
              <w:spacing w:line="242" w:lineRule="exact"/>
              <w:rPr>
                <w:sz w:val="22"/>
              </w:rPr>
            </w:pPr>
            <w:r>
              <w:rPr>
                <w:sz w:val="22"/>
              </w:rPr>
              <w:t>los   habitantes</w:t>
            </w:r>
          </w:p>
        </w:tc>
        <w:tc>
          <w:tcPr>
            <w:tcW w:w="1985" w:type="dxa"/>
            <w:tcBorders>
              <w:top w:val="nil"/>
            </w:tcBorders>
          </w:tcPr>
          <w:p>
            <w:pPr>
              <w:pStyle w:val="TableParagraph"/>
              <w:tabs>
                <w:tab w:pos="1062" w:val="left" w:leader="none"/>
                <w:tab w:pos="1702" w:val="left" w:leader="none"/>
              </w:tabs>
              <w:spacing w:line="242" w:lineRule="exact"/>
              <w:rPr>
                <w:sz w:val="22"/>
              </w:rPr>
            </w:pPr>
            <w:r>
              <w:rPr>
                <w:sz w:val="22"/>
              </w:rPr>
              <w:t>recoger</w:t>
              <w:tab/>
              <w:t>toda</w:t>
              <w:tab/>
              <w:t>la</w:t>
            </w:r>
          </w:p>
        </w:tc>
      </w:tr>
    </w:tbl>
    <w:p>
      <w:pPr>
        <w:spacing w:after="0" w:line="24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1274" w:hRule="exact"/>
        </w:trPr>
        <w:tc>
          <w:tcPr>
            <w:tcW w:w="1385" w:type="dxa"/>
          </w:tcPr>
          <w:p>
            <w:pPr/>
          </w:p>
        </w:tc>
        <w:tc>
          <w:tcPr>
            <w:tcW w:w="1418" w:type="dxa"/>
          </w:tcPr>
          <w:p>
            <w:pPr/>
          </w:p>
        </w:tc>
        <w:tc>
          <w:tcPr>
            <w:tcW w:w="1417" w:type="dxa"/>
          </w:tcPr>
          <w:p>
            <w:pPr>
              <w:pStyle w:val="TableParagraph"/>
              <w:tabs>
                <w:tab w:pos="1108" w:val="left" w:leader="none"/>
              </w:tabs>
              <w:spacing w:line="252" w:lineRule="exact" w:before="2"/>
              <w:ind w:left="100" w:right="100"/>
              <w:rPr>
                <w:sz w:val="22"/>
              </w:rPr>
            </w:pPr>
            <w:r>
              <w:rPr>
                <w:sz w:val="22"/>
              </w:rPr>
              <w:t>manzana de</w:t>
              <w:tab/>
              <w:t>El</w:t>
            </w:r>
          </w:p>
          <w:p>
            <w:pPr>
              <w:pStyle w:val="TableParagraph"/>
              <w:spacing w:line="251" w:lineRule="exact"/>
              <w:ind w:left="100"/>
              <w:rPr>
                <w:sz w:val="22"/>
              </w:rPr>
            </w:pPr>
            <w:r>
              <w:rPr>
                <w:sz w:val="22"/>
              </w:rPr>
              <w:t>Azafrán</w:t>
            </w:r>
          </w:p>
        </w:tc>
        <w:tc>
          <w:tcPr>
            <w:tcW w:w="1560" w:type="dxa"/>
          </w:tcPr>
          <w:p>
            <w:pPr/>
          </w:p>
        </w:tc>
        <w:tc>
          <w:tcPr>
            <w:tcW w:w="991" w:type="dxa"/>
          </w:tcPr>
          <w:p>
            <w:pPr/>
          </w:p>
        </w:tc>
        <w:tc>
          <w:tcPr>
            <w:tcW w:w="1277" w:type="dxa"/>
          </w:tcPr>
          <w:p>
            <w:pPr/>
          </w:p>
        </w:tc>
        <w:tc>
          <w:tcPr>
            <w:tcW w:w="1133" w:type="dxa"/>
          </w:tcPr>
          <w:p>
            <w:pPr/>
          </w:p>
        </w:tc>
        <w:tc>
          <w:tcPr>
            <w:tcW w:w="1702" w:type="dxa"/>
          </w:tcPr>
          <w:p>
            <w:pPr>
              <w:pStyle w:val="TableParagraph"/>
              <w:ind w:right="98"/>
              <w:jc w:val="both"/>
              <w:rPr>
                <w:sz w:val="22"/>
              </w:rPr>
            </w:pPr>
            <w:r>
              <w:rPr>
                <w:sz w:val="22"/>
              </w:rPr>
              <w:t>de los distintos municipios que colindan con la laguna.</w:t>
            </w:r>
          </w:p>
        </w:tc>
        <w:tc>
          <w:tcPr>
            <w:tcW w:w="1985" w:type="dxa"/>
          </w:tcPr>
          <w:p>
            <w:pPr>
              <w:pStyle w:val="TableParagraph"/>
              <w:tabs>
                <w:tab w:pos="1629" w:val="left" w:leader="none"/>
              </w:tabs>
              <w:ind w:right="98"/>
              <w:jc w:val="both"/>
              <w:rPr>
                <w:sz w:val="22"/>
              </w:rPr>
            </w:pPr>
            <w:r>
              <w:rPr>
                <w:sz w:val="22"/>
              </w:rPr>
              <w:t>basura para que no llegue a la laguna, son del Comité</w:t>
              <w:tab/>
              <w:t>de Progresa.</w:t>
            </w:r>
          </w:p>
        </w:tc>
      </w:tr>
      <w:tr>
        <w:trPr>
          <w:trHeight w:val="2033" w:hRule="exact"/>
        </w:trPr>
        <w:tc>
          <w:tcPr>
            <w:tcW w:w="1385" w:type="dxa"/>
          </w:tcPr>
          <w:p>
            <w:pPr>
              <w:pStyle w:val="TableParagraph"/>
              <w:ind w:right="127"/>
              <w:rPr>
                <w:sz w:val="22"/>
              </w:rPr>
            </w:pPr>
            <w:r>
              <w:rPr>
                <w:sz w:val="22"/>
              </w:rPr>
              <w:t>Raúl Cuevas Espinoza (20/8/2014)</w:t>
            </w:r>
          </w:p>
        </w:tc>
        <w:tc>
          <w:tcPr>
            <w:tcW w:w="1418" w:type="dxa"/>
          </w:tcPr>
          <w:p>
            <w:pPr>
              <w:pStyle w:val="TableParagraph"/>
              <w:tabs>
                <w:tab w:pos="1060" w:val="left" w:leader="none"/>
              </w:tabs>
              <w:ind w:left="100" w:right="101"/>
              <w:rPr>
                <w:sz w:val="22"/>
              </w:rPr>
            </w:pPr>
            <w:r>
              <w:rPr>
                <w:sz w:val="22"/>
              </w:rPr>
              <w:t>Cocinero (tiene</w:t>
              <w:tab/>
              <w:t>un restaurante en el centro de Polotitlán) y el</w:t>
            </w:r>
            <w:r>
              <w:rPr>
                <w:spacing w:val="1"/>
                <w:sz w:val="22"/>
              </w:rPr>
              <w:t> </w:t>
            </w:r>
            <w:r>
              <w:rPr>
                <w:sz w:val="22"/>
              </w:rPr>
              <w:t>campo</w:t>
            </w:r>
          </w:p>
        </w:tc>
        <w:tc>
          <w:tcPr>
            <w:tcW w:w="1417" w:type="dxa"/>
          </w:tcPr>
          <w:p>
            <w:pPr>
              <w:pStyle w:val="TableParagraph"/>
              <w:spacing w:line="242" w:lineRule="auto"/>
              <w:ind w:left="100" w:right="345"/>
              <w:rPr>
                <w:sz w:val="22"/>
              </w:rPr>
            </w:pPr>
            <w:r>
              <w:rPr>
                <w:sz w:val="22"/>
              </w:rPr>
              <w:t>Delegado Municipal</w:t>
            </w:r>
          </w:p>
        </w:tc>
        <w:tc>
          <w:tcPr>
            <w:tcW w:w="1560" w:type="dxa"/>
          </w:tcPr>
          <w:p>
            <w:pPr>
              <w:pStyle w:val="TableParagraph"/>
              <w:spacing w:line="251" w:lineRule="exact"/>
              <w:ind w:right="143"/>
              <w:rPr>
                <w:sz w:val="22"/>
              </w:rPr>
            </w:pPr>
            <w:r>
              <w:rPr>
                <w:sz w:val="22"/>
              </w:rPr>
              <w:t>Ruano</w:t>
            </w:r>
          </w:p>
        </w:tc>
        <w:tc>
          <w:tcPr>
            <w:tcW w:w="991" w:type="dxa"/>
          </w:tcPr>
          <w:p>
            <w:pPr>
              <w:pStyle w:val="TableParagraph"/>
              <w:spacing w:line="242" w:lineRule="auto"/>
              <w:ind w:left="100" w:right="201"/>
              <w:rPr>
                <w:sz w:val="22"/>
              </w:rPr>
            </w:pPr>
            <w:r>
              <w:rPr>
                <w:sz w:val="22"/>
              </w:rPr>
              <w:t>Polotitl án</w:t>
            </w:r>
          </w:p>
        </w:tc>
        <w:tc>
          <w:tcPr>
            <w:tcW w:w="1277" w:type="dxa"/>
          </w:tcPr>
          <w:p>
            <w:pPr>
              <w:pStyle w:val="TableParagraph"/>
              <w:spacing w:line="242" w:lineRule="auto"/>
              <w:ind w:right="239"/>
              <w:rPr>
                <w:sz w:val="22"/>
              </w:rPr>
            </w:pPr>
            <w:r>
              <w:rPr>
                <w:sz w:val="22"/>
              </w:rPr>
              <w:t>Ruano, Polotitlán</w:t>
            </w:r>
          </w:p>
        </w:tc>
        <w:tc>
          <w:tcPr>
            <w:tcW w:w="1133" w:type="dxa"/>
          </w:tcPr>
          <w:p>
            <w:pPr>
              <w:pStyle w:val="TableParagraph"/>
              <w:spacing w:line="242" w:lineRule="auto"/>
              <w:ind w:left="100" w:right="98"/>
              <w:rPr>
                <w:sz w:val="22"/>
              </w:rPr>
            </w:pPr>
            <w:r>
              <w:rPr>
                <w:sz w:val="22"/>
              </w:rPr>
              <w:t>Ruano, Polotitlán</w:t>
            </w:r>
          </w:p>
        </w:tc>
        <w:tc>
          <w:tcPr>
            <w:tcW w:w="1702" w:type="dxa"/>
          </w:tcPr>
          <w:p>
            <w:pPr>
              <w:pStyle w:val="TableParagraph"/>
              <w:spacing w:line="251" w:lineRule="exact"/>
              <w:rPr>
                <w:sz w:val="22"/>
              </w:rPr>
            </w:pPr>
            <w:r>
              <w:rPr>
                <w:sz w:val="22"/>
              </w:rPr>
              <w:t>No sé.</w:t>
            </w:r>
          </w:p>
        </w:tc>
        <w:tc>
          <w:tcPr>
            <w:tcW w:w="1985" w:type="dxa"/>
          </w:tcPr>
          <w:p>
            <w:pPr>
              <w:pStyle w:val="TableParagraph"/>
              <w:ind w:right="98"/>
              <w:jc w:val="both"/>
              <w:rPr>
                <w:sz w:val="22"/>
              </w:rPr>
            </w:pPr>
            <w:r>
              <w:rPr>
                <w:sz w:val="22"/>
              </w:rPr>
              <w:t>Nada porque están los de Conagua que son los que se encargan, a la laguna no, pero en los canales sí trabajamos.</w:t>
            </w:r>
          </w:p>
        </w:tc>
      </w:tr>
      <w:tr>
        <w:trPr>
          <w:trHeight w:val="4566" w:hRule="exact"/>
        </w:trPr>
        <w:tc>
          <w:tcPr>
            <w:tcW w:w="1385" w:type="dxa"/>
          </w:tcPr>
          <w:p>
            <w:pPr>
              <w:pStyle w:val="TableParagraph"/>
              <w:ind w:right="249"/>
              <w:rPr>
                <w:sz w:val="22"/>
              </w:rPr>
            </w:pPr>
            <w:r>
              <w:rPr>
                <w:sz w:val="22"/>
              </w:rPr>
              <w:t>Fernando Caballero López (4/9/2014)</w:t>
            </w:r>
          </w:p>
        </w:tc>
        <w:tc>
          <w:tcPr>
            <w:tcW w:w="1418" w:type="dxa"/>
          </w:tcPr>
          <w:p>
            <w:pPr>
              <w:pStyle w:val="TableParagraph"/>
              <w:ind w:left="100" w:right="101"/>
              <w:jc w:val="both"/>
              <w:rPr>
                <w:sz w:val="22"/>
              </w:rPr>
            </w:pPr>
            <w:r>
              <w:rPr>
                <w:sz w:val="22"/>
              </w:rPr>
              <w:t>Vigilar una gasera y el campo</w:t>
            </w:r>
          </w:p>
        </w:tc>
        <w:tc>
          <w:tcPr>
            <w:tcW w:w="1417" w:type="dxa"/>
          </w:tcPr>
          <w:p>
            <w:pPr>
              <w:pStyle w:val="TableParagraph"/>
              <w:ind w:left="100" w:right="345"/>
              <w:rPr>
                <w:sz w:val="22"/>
              </w:rPr>
            </w:pPr>
            <w:r>
              <w:rPr>
                <w:sz w:val="22"/>
              </w:rPr>
              <w:t>Delegado Municipal</w:t>
            </w:r>
          </w:p>
        </w:tc>
        <w:tc>
          <w:tcPr>
            <w:tcW w:w="1560" w:type="dxa"/>
          </w:tcPr>
          <w:p>
            <w:pPr>
              <w:pStyle w:val="TableParagraph"/>
              <w:ind w:right="143"/>
              <w:rPr>
                <w:sz w:val="22"/>
              </w:rPr>
            </w:pPr>
            <w:r>
              <w:rPr>
                <w:sz w:val="22"/>
              </w:rPr>
              <w:t>Encinillas</w:t>
            </w:r>
          </w:p>
        </w:tc>
        <w:tc>
          <w:tcPr>
            <w:tcW w:w="991" w:type="dxa"/>
          </w:tcPr>
          <w:p>
            <w:pPr>
              <w:pStyle w:val="TableParagraph"/>
              <w:ind w:left="100" w:right="201"/>
              <w:rPr>
                <w:sz w:val="22"/>
              </w:rPr>
            </w:pPr>
            <w:r>
              <w:rPr>
                <w:sz w:val="22"/>
              </w:rPr>
              <w:t>Polotitl án</w:t>
            </w:r>
          </w:p>
        </w:tc>
        <w:tc>
          <w:tcPr>
            <w:tcW w:w="1277" w:type="dxa"/>
          </w:tcPr>
          <w:p>
            <w:pPr>
              <w:pStyle w:val="TableParagraph"/>
              <w:ind w:right="132"/>
              <w:rPr>
                <w:sz w:val="22"/>
              </w:rPr>
            </w:pPr>
            <w:r>
              <w:rPr>
                <w:sz w:val="22"/>
              </w:rPr>
              <w:t>Distrito Federal, pero llegue a Encinillas desde que era niño.</w:t>
            </w:r>
          </w:p>
        </w:tc>
        <w:tc>
          <w:tcPr>
            <w:tcW w:w="1133" w:type="dxa"/>
          </w:tcPr>
          <w:p>
            <w:pPr>
              <w:pStyle w:val="TableParagraph"/>
              <w:ind w:left="100" w:right="98"/>
              <w:rPr>
                <w:sz w:val="22"/>
              </w:rPr>
            </w:pPr>
            <w:r>
              <w:rPr>
                <w:sz w:val="22"/>
              </w:rPr>
              <w:t>Encinilla s, Polotitlán</w:t>
            </w:r>
          </w:p>
        </w:tc>
        <w:tc>
          <w:tcPr>
            <w:tcW w:w="1702" w:type="dxa"/>
          </w:tcPr>
          <w:p>
            <w:pPr>
              <w:pStyle w:val="TableParagraph"/>
              <w:tabs>
                <w:tab w:pos="1014" w:val="left" w:leader="none"/>
              </w:tabs>
              <w:spacing w:line="252" w:lineRule="exact"/>
              <w:rPr>
                <w:sz w:val="22"/>
              </w:rPr>
            </w:pPr>
            <w:r>
              <w:rPr>
                <w:sz w:val="22"/>
              </w:rPr>
              <w:t>A</w:t>
              <w:tab/>
              <w:t>veces</w:t>
            </w:r>
          </w:p>
          <w:p>
            <w:pPr>
              <w:pStyle w:val="TableParagraph"/>
              <w:tabs>
                <w:tab w:pos="769" w:val="left" w:leader="none"/>
                <w:tab w:pos="1310" w:val="left" w:leader="none"/>
                <w:tab w:pos="1346" w:val="left" w:leader="none"/>
              </w:tabs>
              <w:ind w:right="98"/>
              <w:rPr>
                <w:sz w:val="22"/>
              </w:rPr>
            </w:pPr>
            <w:r>
              <w:rPr>
                <w:sz w:val="22"/>
              </w:rPr>
              <w:t>existen problemas por el agua entre habitantes</w:t>
              <w:tab/>
              <w:tab/>
              <w:t>de los municipios que</w:t>
              <w:tab/>
              <w:t>colindan con la laguna porque a unas personas</w:t>
              <w:tab/>
              <w:t>les</w:t>
            </w:r>
          </w:p>
          <w:p>
            <w:pPr>
              <w:pStyle w:val="TableParagraph"/>
              <w:tabs>
                <w:tab w:pos="1173" w:val="left" w:leader="none"/>
              </w:tabs>
              <w:spacing w:line="252" w:lineRule="exact" w:before="1"/>
              <w:rPr>
                <w:sz w:val="22"/>
              </w:rPr>
            </w:pPr>
            <w:r>
              <w:rPr>
                <w:sz w:val="22"/>
              </w:rPr>
              <w:t>dan</w:t>
              <w:tab/>
              <w:t>más</w:t>
            </w:r>
          </w:p>
          <w:p>
            <w:pPr>
              <w:pStyle w:val="TableParagraph"/>
              <w:ind w:right="98"/>
              <w:jc w:val="both"/>
              <w:rPr>
                <w:sz w:val="22"/>
              </w:rPr>
            </w:pPr>
            <w:r>
              <w:rPr>
                <w:sz w:val="22"/>
              </w:rPr>
              <w:t>volumen de agua y otros menos por la superficie de tierra, al que paga más le dan más.</w:t>
            </w:r>
          </w:p>
        </w:tc>
        <w:tc>
          <w:tcPr>
            <w:tcW w:w="1985" w:type="dxa"/>
          </w:tcPr>
          <w:p>
            <w:pPr>
              <w:pStyle w:val="TableParagraph"/>
              <w:tabs>
                <w:tab w:pos="1223" w:val="left" w:leader="none"/>
              </w:tabs>
              <w:ind w:right="98"/>
              <w:jc w:val="both"/>
              <w:rPr>
                <w:sz w:val="22"/>
              </w:rPr>
            </w:pPr>
            <w:r>
              <w:rPr>
                <w:sz w:val="22"/>
              </w:rPr>
              <w:t>No</w:t>
              <w:tab/>
              <w:t>realizo acciones      </w:t>
            </w:r>
            <w:r>
              <w:rPr>
                <w:spacing w:val="32"/>
                <w:sz w:val="22"/>
              </w:rPr>
              <w:t> </w:t>
            </w:r>
            <w:r>
              <w:rPr>
                <w:sz w:val="22"/>
              </w:rPr>
              <w:t>para</w:t>
            </w:r>
          </w:p>
          <w:p>
            <w:pPr>
              <w:pStyle w:val="TableParagraph"/>
              <w:ind w:right="99"/>
              <w:jc w:val="both"/>
              <w:rPr>
                <w:sz w:val="22"/>
              </w:rPr>
            </w:pPr>
            <w:r>
              <w:rPr>
                <w:sz w:val="22"/>
              </w:rPr>
              <w:t>conservar la laguna porque no nos han  invitado a limpiar, pero si lo hicieran  iría con mi gente.</w:t>
            </w:r>
          </w:p>
        </w:tc>
      </w:tr>
      <w:tr>
        <w:trPr>
          <w:trHeight w:val="768" w:hRule="exact"/>
        </w:trPr>
        <w:tc>
          <w:tcPr>
            <w:tcW w:w="1385" w:type="dxa"/>
          </w:tcPr>
          <w:p>
            <w:pPr>
              <w:pStyle w:val="TableParagraph"/>
              <w:ind w:right="568"/>
              <w:rPr>
                <w:sz w:val="22"/>
              </w:rPr>
            </w:pPr>
            <w:r>
              <w:rPr>
                <w:sz w:val="22"/>
              </w:rPr>
              <w:t>Felipe Tapia Chimal</w:t>
            </w:r>
          </w:p>
        </w:tc>
        <w:tc>
          <w:tcPr>
            <w:tcW w:w="1418" w:type="dxa"/>
          </w:tcPr>
          <w:p>
            <w:pPr>
              <w:pStyle w:val="TableParagraph"/>
              <w:spacing w:line="252" w:lineRule="exact" w:before="2"/>
              <w:ind w:left="384" w:right="144" w:hanging="228"/>
              <w:rPr>
                <w:sz w:val="22"/>
              </w:rPr>
            </w:pPr>
            <w:r>
              <w:rPr>
                <w:sz w:val="22"/>
              </w:rPr>
              <w:t>El campo y albañil</w:t>
            </w:r>
          </w:p>
        </w:tc>
        <w:tc>
          <w:tcPr>
            <w:tcW w:w="1417" w:type="dxa"/>
          </w:tcPr>
          <w:p>
            <w:pPr>
              <w:pStyle w:val="TableParagraph"/>
              <w:spacing w:line="252" w:lineRule="exact" w:before="2"/>
              <w:ind w:left="100" w:right="345"/>
              <w:rPr>
                <w:sz w:val="22"/>
              </w:rPr>
            </w:pPr>
            <w:r>
              <w:rPr>
                <w:sz w:val="22"/>
              </w:rPr>
              <w:t>Delegado Municipal</w:t>
            </w:r>
          </w:p>
        </w:tc>
        <w:tc>
          <w:tcPr>
            <w:tcW w:w="1560" w:type="dxa"/>
          </w:tcPr>
          <w:p>
            <w:pPr>
              <w:pStyle w:val="TableParagraph"/>
              <w:spacing w:line="252" w:lineRule="exact" w:before="2"/>
              <w:ind w:right="314"/>
              <w:rPr>
                <w:sz w:val="22"/>
              </w:rPr>
            </w:pPr>
            <w:r>
              <w:rPr>
                <w:sz w:val="22"/>
              </w:rPr>
              <w:t>La Campesina</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ind w:right="154"/>
              <w:rPr>
                <w:sz w:val="22"/>
              </w:rPr>
            </w:pPr>
            <w:r>
              <w:rPr>
                <w:sz w:val="22"/>
              </w:rPr>
              <w:t>La Campesin a,</w:t>
            </w:r>
          </w:p>
        </w:tc>
        <w:tc>
          <w:tcPr>
            <w:tcW w:w="1133" w:type="dxa"/>
          </w:tcPr>
          <w:p>
            <w:pPr>
              <w:pStyle w:val="TableParagraph"/>
              <w:ind w:left="100" w:right="135"/>
              <w:rPr>
                <w:sz w:val="22"/>
              </w:rPr>
            </w:pPr>
            <w:r>
              <w:rPr>
                <w:sz w:val="22"/>
              </w:rPr>
              <w:t>La Campesi na,</w:t>
            </w:r>
          </w:p>
        </w:tc>
        <w:tc>
          <w:tcPr>
            <w:tcW w:w="1702" w:type="dxa"/>
          </w:tcPr>
          <w:p>
            <w:pPr>
              <w:pStyle w:val="TableParagraph"/>
              <w:ind w:right="98"/>
              <w:jc w:val="both"/>
              <w:rPr>
                <w:sz w:val="22"/>
              </w:rPr>
            </w:pPr>
            <w:r>
              <w:rPr>
                <w:sz w:val="22"/>
              </w:rPr>
              <w:t>No porque no carecemos del servicio       del</w:t>
            </w:r>
          </w:p>
        </w:tc>
        <w:tc>
          <w:tcPr>
            <w:tcW w:w="1985" w:type="dxa"/>
          </w:tcPr>
          <w:p>
            <w:pPr>
              <w:pStyle w:val="TableParagraph"/>
              <w:ind w:right="99"/>
              <w:jc w:val="both"/>
              <w:rPr>
                <w:sz w:val="22"/>
              </w:rPr>
            </w:pPr>
            <w:r>
              <w:rPr>
                <w:sz w:val="22"/>
              </w:rPr>
              <w:t>No hacemos nada, no hay organización  y</w:t>
            </w:r>
            <w:r>
              <w:rPr>
                <w:spacing w:val="51"/>
                <w:sz w:val="22"/>
              </w:rPr>
              <w:t> </w:t>
            </w:r>
            <w:r>
              <w:rPr>
                <w:sz w:val="22"/>
              </w:rPr>
              <w:t>la</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1702"/>
        <w:gridCol w:w="1985"/>
      </w:tblGrid>
      <w:tr>
        <w:trPr>
          <w:trHeight w:val="768" w:hRule="exact"/>
        </w:trPr>
        <w:tc>
          <w:tcPr>
            <w:tcW w:w="1385" w:type="dxa"/>
          </w:tcPr>
          <w:p>
            <w:pPr>
              <w:pStyle w:val="TableParagraph"/>
              <w:spacing w:line="251" w:lineRule="exact"/>
              <w:ind w:right="127"/>
              <w:rPr>
                <w:sz w:val="22"/>
              </w:rPr>
            </w:pPr>
            <w:r>
              <w:rPr>
                <w:sz w:val="22"/>
              </w:rPr>
              <w:t>(4/9/2014)</w:t>
            </w:r>
          </w:p>
        </w:tc>
        <w:tc>
          <w:tcPr>
            <w:tcW w:w="1418" w:type="dxa"/>
          </w:tcPr>
          <w:p>
            <w:pPr/>
          </w:p>
        </w:tc>
        <w:tc>
          <w:tcPr>
            <w:tcW w:w="1417" w:type="dxa"/>
          </w:tcPr>
          <w:p>
            <w:pPr/>
          </w:p>
        </w:tc>
        <w:tc>
          <w:tcPr>
            <w:tcW w:w="1560" w:type="dxa"/>
          </w:tcPr>
          <w:p>
            <w:pPr/>
          </w:p>
        </w:tc>
        <w:tc>
          <w:tcPr>
            <w:tcW w:w="991" w:type="dxa"/>
          </w:tcPr>
          <w:p>
            <w:pPr/>
          </w:p>
        </w:tc>
        <w:tc>
          <w:tcPr>
            <w:tcW w:w="1277" w:type="dxa"/>
          </w:tcPr>
          <w:p>
            <w:pPr>
              <w:pStyle w:val="TableParagraph"/>
              <w:spacing w:line="251" w:lineRule="exact"/>
              <w:ind w:right="92"/>
              <w:rPr>
                <w:sz w:val="22"/>
              </w:rPr>
            </w:pPr>
            <w:r>
              <w:rPr>
                <w:sz w:val="22"/>
              </w:rPr>
              <w:t>Timilpan</w:t>
            </w:r>
          </w:p>
        </w:tc>
        <w:tc>
          <w:tcPr>
            <w:tcW w:w="1133" w:type="dxa"/>
          </w:tcPr>
          <w:p>
            <w:pPr>
              <w:pStyle w:val="TableParagraph"/>
              <w:spacing w:line="251" w:lineRule="exact"/>
              <w:ind w:left="100" w:right="52"/>
              <w:rPr>
                <w:sz w:val="22"/>
              </w:rPr>
            </w:pPr>
            <w:r>
              <w:rPr>
                <w:sz w:val="22"/>
              </w:rPr>
              <w:t>Timilpan</w:t>
            </w:r>
          </w:p>
        </w:tc>
        <w:tc>
          <w:tcPr>
            <w:tcW w:w="1702" w:type="dxa"/>
          </w:tcPr>
          <w:p>
            <w:pPr>
              <w:pStyle w:val="TableParagraph"/>
              <w:ind w:right="98"/>
              <w:jc w:val="both"/>
              <w:rPr>
                <w:sz w:val="22"/>
              </w:rPr>
            </w:pPr>
            <w:r>
              <w:rPr>
                <w:sz w:val="22"/>
              </w:rPr>
              <w:t>agua porque tenemos un pozo artesano.</w:t>
            </w:r>
          </w:p>
        </w:tc>
        <w:tc>
          <w:tcPr>
            <w:tcW w:w="1985" w:type="dxa"/>
          </w:tcPr>
          <w:p>
            <w:pPr>
              <w:pStyle w:val="TableParagraph"/>
              <w:tabs>
                <w:tab w:pos="1458" w:val="left" w:leader="none"/>
              </w:tabs>
              <w:ind w:right="99"/>
              <w:jc w:val="both"/>
              <w:rPr>
                <w:sz w:val="22"/>
              </w:rPr>
            </w:pPr>
            <w:r>
              <w:rPr>
                <w:sz w:val="22"/>
              </w:rPr>
              <w:t>gente</w:t>
              <w:tab/>
            </w:r>
            <w:r>
              <w:rPr>
                <w:spacing w:val="-1"/>
                <w:sz w:val="22"/>
              </w:rPr>
              <w:t>está </w:t>
            </w:r>
            <w:r>
              <w:rPr>
                <w:sz w:val="22"/>
              </w:rPr>
              <w:t>cuando le dan, cuando no</w:t>
            </w:r>
            <w:r>
              <w:rPr>
                <w:spacing w:val="-2"/>
                <w:sz w:val="22"/>
              </w:rPr>
              <w:t> </w:t>
            </w:r>
            <w:r>
              <w:rPr>
                <w:sz w:val="22"/>
              </w:rPr>
              <w:t>no.</w:t>
            </w:r>
          </w:p>
        </w:tc>
      </w:tr>
      <w:tr>
        <w:trPr>
          <w:trHeight w:val="1022" w:hRule="exact"/>
        </w:trPr>
        <w:tc>
          <w:tcPr>
            <w:tcW w:w="1385" w:type="dxa"/>
          </w:tcPr>
          <w:p>
            <w:pPr>
              <w:pStyle w:val="TableParagraph"/>
              <w:ind w:right="127"/>
              <w:rPr>
                <w:sz w:val="22"/>
              </w:rPr>
            </w:pPr>
            <w:r>
              <w:rPr>
                <w:sz w:val="22"/>
              </w:rPr>
              <w:t>Audencio Santiago Valentín (24/1/2015)</w:t>
            </w:r>
          </w:p>
        </w:tc>
        <w:tc>
          <w:tcPr>
            <w:tcW w:w="1418" w:type="dxa"/>
          </w:tcPr>
          <w:p>
            <w:pPr>
              <w:pStyle w:val="TableParagraph"/>
              <w:spacing w:line="242" w:lineRule="auto"/>
              <w:ind w:left="384" w:right="144" w:hanging="228"/>
              <w:rPr>
                <w:sz w:val="22"/>
              </w:rPr>
            </w:pPr>
            <w:r>
              <w:rPr>
                <w:sz w:val="22"/>
              </w:rPr>
              <w:t>El campo y albañil</w:t>
            </w:r>
          </w:p>
        </w:tc>
        <w:tc>
          <w:tcPr>
            <w:tcW w:w="1417" w:type="dxa"/>
          </w:tcPr>
          <w:p>
            <w:pPr>
              <w:pStyle w:val="TableParagraph"/>
              <w:spacing w:line="242" w:lineRule="auto"/>
              <w:ind w:left="100" w:right="345"/>
              <w:rPr>
                <w:sz w:val="22"/>
              </w:rPr>
            </w:pPr>
            <w:r>
              <w:rPr>
                <w:sz w:val="22"/>
              </w:rPr>
              <w:t>Delegado Municipal</w:t>
            </w:r>
          </w:p>
        </w:tc>
        <w:tc>
          <w:tcPr>
            <w:tcW w:w="1560" w:type="dxa"/>
          </w:tcPr>
          <w:p>
            <w:pPr>
              <w:pStyle w:val="TableParagraph"/>
              <w:spacing w:line="251" w:lineRule="exact"/>
              <w:ind w:right="143"/>
              <w:rPr>
                <w:sz w:val="22"/>
              </w:rPr>
            </w:pPr>
            <w:r>
              <w:rPr>
                <w:sz w:val="22"/>
              </w:rPr>
              <w:t>Las Arenas</w:t>
            </w:r>
          </w:p>
        </w:tc>
        <w:tc>
          <w:tcPr>
            <w:tcW w:w="991" w:type="dxa"/>
          </w:tcPr>
          <w:p>
            <w:pPr>
              <w:pStyle w:val="TableParagraph"/>
              <w:spacing w:line="242" w:lineRule="auto"/>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1702" w:type="dxa"/>
          </w:tcPr>
          <w:p>
            <w:pPr>
              <w:pStyle w:val="TableParagraph"/>
              <w:tabs>
                <w:tab w:pos="1281" w:val="left" w:leader="none"/>
              </w:tabs>
              <w:spacing w:line="251" w:lineRule="exact"/>
              <w:jc w:val="both"/>
              <w:rPr>
                <w:sz w:val="22"/>
              </w:rPr>
            </w:pPr>
            <w:r>
              <w:rPr>
                <w:sz w:val="22"/>
              </w:rPr>
              <w:t>Casi</w:t>
              <w:tab/>
              <w:t>no,</w:t>
            </w:r>
          </w:p>
          <w:p>
            <w:pPr>
              <w:pStyle w:val="TableParagraph"/>
              <w:spacing w:before="1"/>
              <w:ind w:right="98"/>
              <w:jc w:val="both"/>
              <w:rPr>
                <w:sz w:val="22"/>
              </w:rPr>
            </w:pPr>
            <w:r>
              <w:rPr>
                <w:sz w:val="22"/>
              </w:rPr>
              <w:t>porque no agarran agua, no la usan.</w:t>
            </w:r>
          </w:p>
        </w:tc>
        <w:tc>
          <w:tcPr>
            <w:tcW w:w="1985" w:type="dxa"/>
          </w:tcPr>
          <w:p>
            <w:pPr>
              <w:pStyle w:val="TableParagraph"/>
              <w:spacing w:line="242" w:lineRule="auto"/>
              <w:rPr>
                <w:sz w:val="22"/>
              </w:rPr>
            </w:pPr>
            <w:r>
              <w:rPr>
                <w:sz w:val="22"/>
              </w:rPr>
              <w:t>Nada, no se ha hecho nada.</w:t>
            </w:r>
          </w:p>
        </w:tc>
      </w:tr>
      <w:tr>
        <w:trPr>
          <w:trHeight w:val="1781" w:hRule="exact"/>
        </w:trPr>
        <w:tc>
          <w:tcPr>
            <w:tcW w:w="1385" w:type="dxa"/>
          </w:tcPr>
          <w:p>
            <w:pPr>
              <w:pStyle w:val="TableParagraph"/>
              <w:ind w:right="249"/>
              <w:rPr>
                <w:sz w:val="22"/>
              </w:rPr>
            </w:pPr>
            <w:r>
              <w:rPr>
                <w:sz w:val="22"/>
              </w:rPr>
              <w:t>Ponciano Olmos Correa (7/II/2015)</w:t>
            </w:r>
          </w:p>
        </w:tc>
        <w:tc>
          <w:tcPr>
            <w:tcW w:w="1418" w:type="dxa"/>
          </w:tcPr>
          <w:p>
            <w:pPr>
              <w:pStyle w:val="TableParagraph"/>
              <w:spacing w:line="251" w:lineRule="exact"/>
              <w:ind w:left="242" w:right="101"/>
              <w:rPr>
                <w:sz w:val="22"/>
              </w:rPr>
            </w:pPr>
            <w:r>
              <w:rPr>
                <w:sz w:val="22"/>
              </w:rPr>
              <w:t>El campo</w:t>
            </w:r>
          </w:p>
        </w:tc>
        <w:tc>
          <w:tcPr>
            <w:tcW w:w="1417" w:type="dxa"/>
          </w:tcPr>
          <w:p>
            <w:pPr>
              <w:pStyle w:val="TableParagraph"/>
              <w:tabs>
                <w:tab w:pos="1132" w:val="left" w:leader="none"/>
              </w:tabs>
              <w:ind w:left="100" w:right="101"/>
              <w:rPr>
                <w:sz w:val="22"/>
              </w:rPr>
            </w:pPr>
            <w:r>
              <w:rPr>
                <w:sz w:val="22"/>
              </w:rPr>
              <w:t>Delegado Municipal de</w:t>
              <w:tab/>
              <w:t>la</w:t>
            </w:r>
          </w:p>
          <w:p>
            <w:pPr>
              <w:pStyle w:val="TableParagraph"/>
              <w:tabs>
                <w:tab w:pos="911" w:val="left" w:leader="none"/>
              </w:tabs>
              <w:ind w:left="100" w:right="101"/>
              <w:rPr>
                <w:sz w:val="22"/>
              </w:rPr>
            </w:pPr>
            <w:r>
              <w:rPr>
                <w:sz w:val="22"/>
              </w:rPr>
              <w:t>Primera Manzana de</w:t>
              <w:tab/>
              <w:t>San Juanico.</w:t>
            </w:r>
          </w:p>
        </w:tc>
        <w:tc>
          <w:tcPr>
            <w:tcW w:w="1560" w:type="dxa"/>
          </w:tcPr>
          <w:p>
            <w:pPr>
              <w:pStyle w:val="TableParagraph"/>
              <w:spacing w:line="251" w:lineRule="exact"/>
              <w:ind w:right="143"/>
              <w:rPr>
                <w:sz w:val="22"/>
              </w:rPr>
            </w:pPr>
            <w:r>
              <w:rPr>
                <w:sz w:val="22"/>
              </w:rPr>
              <w:t>San Juanico</w:t>
            </w:r>
          </w:p>
        </w:tc>
        <w:tc>
          <w:tcPr>
            <w:tcW w:w="991" w:type="dxa"/>
          </w:tcPr>
          <w:p>
            <w:pPr>
              <w:pStyle w:val="TableParagraph"/>
              <w:spacing w:line="242" w:lineRule="auto"/>
              <w:ind w:left="100" w:right="176"/>
              <w:rPr>
                <w:sz w:val="22"/>
              </w:rPr>
            </w:pPr>
            <w:r>
              <w:rPr>
                <w:sz w:val="22"/>
              </w:rPr>
              <w:t>Acamb ay</w:t>
            </w:r>
          </w:p>
        </w:tc>
        <w:tc>
          <w:tcPr>
            <w:tcW w:w="1277" w:type="dxa"/>
          </w:tcPr>
          <w:p>
            <w:pPr>
              <w:pStyle w:val="TableParagraph"/>
              <w:ind w:right="227"/>
              <w:rPr>
                <w:sz w:val="22"/>
              </w:rPr>
            </w:pPr>
            <w:r>
              <w:rPr>
                <w:sz w:val="22"/>
              </w:rPr>
              <w:t>San Juanico, Acambay</w:t>
            </w:r>
          </w:p>
        </w:tc>
        <w:tc>
          <w:tcPr>
            <w:tcW w:w="1133" w:type="dxa"/>
          </w:tcPr>
          <w:p>
            <w:pPr>
              <w:pStyle w:val="TableParagraph"/>
              <w:ind w:left="100" w:right="86"/>
              <w:rPr>
                <w:sz w:val="22"/>
              </w:rPr>
            </w:pPr>
            <w:r>
              <w:rPr>
                <w:sz w:val="22"/>
              </w:rPr>
              <w:t>San Juanico, Acambay</w:t>
            </w:r>
          </w:p>
        </w:tc>
        <w:tc>
          <w:tcPr>
            <w:tcW w:w="1702" w:type="dxa"/>
          </w:tcPr>
          <w:p>
            <w:pPr>
              <w:pStyle w:val="TableParagraph"/>
              <w:spacing w:line="242" w:lineRule="auto"/>
              <w:rPr>
                <w:sz w:val="22"/>
              </w:rPr>
            </w:pPr>
            <w:r>
              <w:rPr>
                <w:sz w:val="22"/>
              </w:rPr>
              <w:t>No, que sepa no.</w:t>
            </w:r>
          </w:p>
        </w:tc>
        <w:tc>
          <w:tcPr>
            <w:tcW w:w="1985" w:type="dxa"/>
          </w:tcPr>
          <w:p>
            <w:pPr>
              <w:pStyle w:val="TableParagraph"/>
              <w:tabs>
                <w:tab w:pos="1298" w:val="left" w:leader="none"/>
              </w:tabs>
              <w:spacing w:line="251" w:lineRule="exact"/>
              <w:jc w:val="both"/>
              <w:rPr>
                <w:sz w:val="22"/>
              </w:rPr>
            </w:pPr>
            <w:r>
              <w:rPr>
                <w:sz w:val="22"/>
              </w:rPr>
              <w:t>A</w:t>
              <w:tab/>
              <w:t>veces</w:t>
            </w:r>
          </w:p>
          <w:p>
            <w:pPr>
              <w:pStyle w:val="TableParagraph"/>
              <w:tabs>
                <w:tab w:pos="1641" w:val="left" w:leader="none"/>
              </w:tabs>
              <w:spacing w:before="2"/>
              <w:ind w:right="99"/>
              <w:jc w:val="both"/>
              <w:rPr>
                <w:sz w:val="22"/>
              </w:rPr>
            </w:pPr>
            <w:r>
              <w:rPr>
                <w:sz w:val="22"/>
              </w:rPr>
              <w:t>limpiamos el lirio porque</w:t>
              <w:tab/>
              <w:t>va subiendo a las parcelas y se limpia la</w:t>
            </w:r>
            <w:r>
              <w:rPr>
                <w:spacing w:val="-2"/>
                <w:sz w:val="22"/>
              </w:rPr>
              <w:t> </w:t>
            </w:r>
            <w:r>
              <w:rPr>
                <w:sz w:val="22"/>
              </w:rPr>
              <w:t>basura.</w:t>
            </w:r>
          </w:p>
        </w:tc>
      </w:tr>
      <w:tr>
        <w:trPr>
          <w:trHeight w:val="1781" w:hRule="exact"/>
        </w:trPr>
        <w:tc>
          <w:tcPr>
            <w:tcW w:w="1385" w:type="dxa"/>
          </w:tcPr>
          <w:p>
            <w:pPr>
              <w:pStyle w:val="TableParagraph"/>
              <w:ind w:right="249"/>
              <w:rPr>
                <w:sz w:val="22"/>
              </w:rPr>
            </w:pPr>
            <w:r>
              <w:rPr>
                <w:sz w:val="22"/>
              </w:rPr>
              <w:t>Gabriel Pérez Padilla (7/II/2015)</w:t>
            </w:r>
          </w:p>
        </w:tc>
        <w:tc>
          <w:tcPr>
            <w:tcW w:w="1418" w:type="dxa"/>
          </w:tcPr>
          <w:p>
            <w:pPr>
              <w:pStyle w:val="TableParagraph"/>
              <w:ind w:left="156" w:right="159"/>
              <w:jc w:val="center"/>
              <w:rPr>
                <w:sz w:val="22"/>
              </w:rPr>
            </w:pPr>
            <w:r>
              <w:rPr>
                <w:sz w:val="22"/>
              </w:rPr>
              <w:t>El campo y</w:t>
            </w:r>
            <w:r>
              <w:rPr>
                <w:w w:val="100"/>
                <w:sz w:val="22"/>
              </w:rPr>
              <w:t> </w:t>
            </w:r>
            <w:r>
              <w:rPr>
                <w:sz w:val="22"/>
              </w:rPr>
              <w:t>la     albañilería</w:t>
            </w:r>
          </w:p>
        </w:tc>
        <w:tc>
          <w:tcPr>
            <w:tcW w:w="1417" w:type="dxa"/>
          </w:tcPr>
          <w:p>
            <w:pPr>
              <w:pStyle w:val="TableParagraph"/>
              <w:tabs>
                <w:tab w:pos="1132" w:val="left" w:leader="none"/>
              </w:tabs>
              <w:ind w:left="100" w:right="101"/>
              <w:rPr>
                <w:sz w:val="22"/>
              </w:rPr>
            </w:pPr>
            <w:r>
              <w:rPr>
                <w:sz w:val="22"/>
              </w:rPr>
              <w:t>Delegado Municipal de</w:t>
              <w:tab/>
              <w:t>la</w:t>
            </w:r>
          </w:p>
          <w:p>
            <w:pPr>
              <w:pStyle w:val="TableParagraph"/>
              <w:tabs>
                <w:tab w:pos="911" w:val="left" w:leader="none"/>
              </w:tabs>
              <w:ind w:left="100" w:right="101"/>
              <w:rPr>
                <w:sz w:val="22"/>
              </w:rPr>
            </w:pPr>
            <w:r>
              <w:rPr>
                <w:sz w:val="22"/>
              </w:rPr>
              <w:t>Segunda Manzana de</w:t>
              <w:tab/>
              <w:t>San Juanico.</w:t>
            </w:r>
          </w:p>
        </w:tc>
        <w:tc>
          <w:tcPr>
            <w:tcW w:w="1560" w:type="dxa"/>
          </w:tcPr>
          <w:p>
            <w:pPr>
              <w:pStyle w:val="TableParagraph"/>
              <w:spacing w:line="251" w:lineRule="exact"/>
              <w:ind w:right="143"/>
              <w:rPr>
                <w:sz w:val="22"/>
              </w:rPr>
            </w:pPr>
            <w:r>
              <w:rPr>
                <w:sz w:val="22"/>
              </w:rPr>
              <w:t>San Juanico</w:t>
            </w:r>
          </w:p>
        </w:tc>
        <w:tc>
          <w:tcPr>
            <w:tcW w:w="991" w:type="dxa"/>
          </w:tcPr>
          <w:p>
            <w:pPr>
              <w:pStyle w:val="TableParagraph"/>
              <w:spacing w:line="242" w:lineRule="auto"/>
              <w:ind w:left="100" w:right="176"/>
              <w:rPr>
                <w:sz w:val="22"/>
              </w:rPr>
            </w:pPr>
            <w:r>
              <w:rPr>
                <w:sz w:val="22"/>
              </w:rPr>
              <w:t>Acamb ay</w:t>
            </w:r>
          </w:p>
        </w:tc>
        <w:tc>
          <w:tcPr>
            <w:tcW w:w="1277" w:type="dxa"/>
          </w:tcPr>
          <w:p>
            <w:pPr>
              <w:pStyle w:val="TableParagraph"/>
              <w:ind w:right="227"/>
              <w:rPr>
                <w:sz w:val="22"/>
              </w:rPr>
            </w:pPr>
            <w:r>
              <w:rPr>
                <w:sz w:val="22"/>
              </w:rPr>
              <w:t>San Juanico, Acambay</w:t>
            </w:r>
          </w:p>
        </w:tc>
        <w:tc>
          <w:tcPr>
            <w:tcW w:w="1133" w:type="dxa"/>
          </w:tcPr>
          <w:p>
            <w:pPr>
              <w:pStyle w:val="TableParagraph"/>
              <w:ind w:left="100" w:right="86"/>
              <w:rPr>
                <w:sz w:val="22"/>
              </w:rPr>
            </w:pPr>
            <w:r>
              <w:rPr>
                <w:sz w:val="22"/>
              </w:rPr>
              <w:t>San Juanico, Acambay</w:t>
            </w:r>
          </w:p>
        </w:tc>
        <w:tc>
          <w:tcPr>
            <w:tcW w:w="1702" w:type="dxa"/>
          </w:tcPr>
          <w:p>
            <w:pPr>
              <w:pStyle w:val="TableParagraph"/>
              <w:spacing w:line="251" w:lineRule="exact"/>
              <w:rPr>
                <w:sz w:val="22"/>
              </w:rPr>
            </w:pPr>
            <w:r>
              <w:rPr>
                <w:sz w:val="22"/>
              </w:rPr>
              <w:t>No.</w:t>
            </w:r>
          </w:p>
        </w:tc>
        <w:tc>
          <w:tcPr>
            <w:tcW w:w="1985" w:type="dxa"/>
          </w:tcPr>
          <w:p>
            <w:pPr>
              <w:pStyle w:val="TableParagraph"/>
              <w:spacing w:line="251" w:lineRule="exact"/>
              <w:rPr>
                <w:sz w:val="22"/>
              </w:rPr>
            </w:pPr>
            <w:r>
              <w:rPr>
                <w:sz w:val="22"/>
              </w:rPr>
              <w:t>Ninguna.</w:t>
            </w:r>
          </w:p>
        </w:tc>
      </w:tr>
    </w:tbl>
    <w:p>
      <w:pPr>
        <w:pStyle w:val="BodyText"/>
        <w:spacing w:line="248" w:lineRule="exact"/>
        <w:ind w:left="218" w:right="397"/>
      </w:pPr>
      <w:r>
        <w:rPr>
          <w:b/>
        </w:rPr>
        <w:t>Fuente: </w:t>
      </w:r>
      <w:r>
        <w:rPr/>
        <w:t>Elaboración propia con base en el Trabajo de Campo, García (2013-2015).</w:t>
      </w:r>
    </w:p>
    <w:p>
      <w:pPr>
        <w:pStyle w:val="BodyText"/>
        <w:spacing w:before="9"/>
        <w:rPr>
          <w:sz w:val="20"/>
        </w:rPr>
      </w:pPr>
    </w:p>
    <w:p>
      <w:pPr>
        <w:pStyle w:val="Heading6"/>
        <w:spacing w:after="4"/>
        <w:ind w:left="2662" w:right="397"/>
      </w:pPr>
      <w:r>
        <w:rPr/>
        <w:t>Tabla 6.8. Delegados Municipales (trabajo de campo)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526" w:hRule="exact"/>
        </w:trPr>
        <w:tc>
          <w:tcPr>
            <w:tcW w:w="6771" w:type="dxa"/>
            <w:gridSpan w:val="5"/>
            <w:vMerge w:val="restart"/>
            <w:shd w:val="clear" w:color="auto" w:fill="F9BE8F"/>
          </w:tcPr>
          <w:p>
            <w:pPr>
              <w:pStyle w:val="TableParagraph"/>
              <w:spacing w:before="8"/>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8"/>
              <w:ind w:left="0"/>
              <w:rPr>
                <w:b/>
                <w:sz w:val="21"/>
              </w:rPr>
            </w:pPr>
          </w:p>
          <w:p>
            <w:pPr>
              <w:pStyle w:val="TableParagraph"/>
              <w:ind w:left="1404"/>
              <w:rPr>
                <w:b/>
                <w:sz w:val="22"/>
              </w:rPr>
            </w:pPr>
            <w:r>
              <w:rPr>
                <w:b/>
                <w:sz w:val="22"/>
              </w:rPr>
              <w:t>PRINCIPIOS DE GOBERNANZA</w:t>
            </w:r>
          </w:p>
        </w:tc>
      </w:tr>
      <w:tr>
        <w:trPr>
          <w:trHeight w:val="516" w:hRule="exact"/>
        </w:trPr>
        <w:tc>
          <w:tcPr>
            <w:tcW w:w="6771" w:type="dxa"/>
            <w:gridSpan w:val="5"/>
            <w:vMerge/>
            <w:shd w:val="clear" w:color="auto" w:fill="F9BE8F"/>
          </w:tcPr>
          <w:p>
            <w:pPr/>
          </w:p>
        </w:tc>
        <w:tc>
          <w:tcPr>
            <w:tcW w:w="2410" w:type="dxa"/>
            <w:gridSpan w:val="2"/>
            <w:shd w:val="clear" w:color="auto" w:fill="92CDDC"/>
          </w:tcPr>
          <w:p>
            <w:pPr>
              <w:pStyle w:val="TableParagraph"/>
              <w:spacing w:line="251" w:lineRule="exact"/>
              <w:ind w:left="710"/>
              <w:rPr>
                <w:b/>
                <w:i/>
                <w:sz w:val="22"/>
              </w:rPr>
            </w:pPr>
            <w:r>
              <w:rPr>
                <w:b/>
                <w:i/>
                <w:sz w:val="22"/>
              </w:rPr>
              <w:t>Identidad</w:t>
            </w:r>
          </w:p>
        </w:tc>
        <w:tc>
          <w:tcPr>
            <w:tcW w:w="3687" w:type="dxa"/>
            <w:shd w:val="clear" w:color="auto" w:fill="92CDDC"/>
          </w:tcPr>
          <w:p>
            <w:pPr>
              <w:pStyle w:val="TableParagraph"/>
              <w:tabs>
                <w:tab w:pos="2041" w:val="left" w:leader="none"/>
                <w:tab w:pos="2483" w:val="left" w:leader="none"/>
              </w:tabs>
              <w:spacing w:line="252" w:lineRule="exact" w:before="2"/>
              <w:ind w:right="99"/>
              <w:rPr>
                <w:b/>
                <w:i/>
                <w:sz w:val="22"/>
              </w:rPr>
            </w:pPr>
            <w:r>
              <w:rPr>
                <w:b/>
                <w:i/>
                <w:sz w:val="22"/>
              </w:rPr>
              <w:t>Gobernabilidad</w:t>
              <w:tab/>
              <w:t>y</w:t>
              <w:tab/>
              <w:t>relaciones </w:t>
            </w:r>
            <w:r>
              <w:rPr>
                <w:b/>
                <w:i/>
                <w:sz w:val="22"/>
              </w:rPr>
              <w:t>intermunicipales</w:t>
            </w:r>
          </w:p>
        </w:tc>
      </w:tr>
      <w:tr>
        <w:trPr>
          <w:trHeight w:val="1275" w:hRule="exact"/>
        </w:trPr>
        <w:tc>
          <w:tcPr>
            <w:tcW w:w="1385" w:type="dxa"/>
            <w:shd w:val="clear" w:color="auto" w:fill="F9BE8F"/>
          </w:tcPr>
          <w:p>
            <w:pPr>
              <w:pStyle w:val="TableParagraph"/>
              <w:ind w:right="205"/>
              <w:jc w:val="both"/>
              <w:rPr>
                <w:b/>
                <w:sz w:val="22"/>
              </w:rPr>
            </w:pPr>
            <w:r>
              <w:rPr>
                <w:b/>
                <w:sz w:val="22"/>
              </w:rPr>
              <w:t>Nombre y Fecha de Entrevista</w:t>
            </w:r>
          </w:p>
        </w:tc>
        <w:tc>
          <w:tcPr>
            <w:tcW w:w="1418" w:type="dxa"/>
            <w:shd w:val="clear" w:color="auto" w:fill="F9BE8F"/>
          </w:tcPr>
          <w:p>
            <w:pPr>
              <w:pStyle w:val="TableParagraph"/>
              <w:spacing w:line="252" w:lineRule="exact"/>
              <w:ind w:left="100" w:right="151"/>
              <w:rPr>
                <w:b/>
                <w:sz w:val="22"/>
              </w:rPr>
            </w:pPr>
            <w:r>
              <w:rPr>
                <w:b/>
                <w:sz w:val="22"/>
              </w:rPr>
              <w:t>Ocupacion es</w:t>
            </w:r>
          </w:p>
        </w:tc>
        <w:tc>
          <w:tcPr>
            <w:tcW w:w="1417" w:type="dxa"/>
            <w:shd w:val="clear" w:color="auto" w:fill="F9BE8F"/>
          </w:tcPr>
          <w:p>
            <w:pPr>
              <w:pStyle w:val="TableParagraph"/>
              <w:spacing w:line="249" w:lineRule="exact"/>
              <w:ind w:left="100"/>
              <w:rPr>
                <w:b/>
                <w:sz w:val="22"/>
              </w:rPr>
            </w:pPr>
            <w:r>
              <w:rPr>
                <w:b/>
                <w:sz w:val="22"/>
              </w:rPr>
              <w:t>Cargo</w:t>
            </w:r>
          </w:p>
        </w:tc>
        <w:tc>
          <w:tcPr>
            <w:tcW w:w="1560" w:type="dxa"/>
            <w:shd w:val="clear" w:color="auto" w:fill="F9BE8F"/>
          </w:tcPr>
          <w:p>
            <w:pPr>
              <w:pStyle w:val="TableParagraph"/>
              <w:ind w:right="217"/>
              <w:rPr>
                <w:b/>
                <w:sz w:val="22"/>
              </w:rPr>
            </w:pPr>
            <w:r>
              <w:rPr>
                <w:b/>
                <w:sz w:val="22"/>
              </w:rPr>
              <w:t>Comunidad que representa</w:t>
            </w:r>
          </w:p>
        </w:tc>
        <w:tc>
          <w:tcPr>
            <w:tcW w:w="991" w:type="dxa"/>
            <w:shd w:val="clear" w:color="auto" w:fill="F9BE8F"/>
          </w:tcPr>
          <w:p>
            <w:pPr>
              <w:pStyle w:val="TableParagraph"/>
              <w:spacing w:line="252" w:lineRule="exact"/>
              <w:ind w:left="100" w:right="164"/>
              <w:rPr>
                <w:b/>
                <w:sz w:val="22"/>
              </w:rPr>
            </w:pPr>
            <w:r>
              <w:rPr>
                <w:b/>
                <w:sz w:val="22"/>
              </w:rPr>
              <w:t>Munici pio</w:t>
            </w:r>
          </w:p>
        </w:tc>
        <w:tc>
          <w:tcPr>
            <w:tcW w:w="1277" w:type="dxa"/>
            <w:shd w:val="clear" w:color="auto" w:fill="92CDDC"/>
          </w:tcPr>
          <w:p>
            <w:pPr>
              <w:pStyle w:val="TableParagraph"/>
              <w:spacing w:line="252" w:lineRule="exact"/>
              <w:ind w:right="325"/>
              <w:rPr>
                <w:b/>
                <w:sz w:val="22"/>
              </w:rPr>
            </w:pPr>
            <w:r>
              <w:rPr>
                <w:b/>
                <w:sz w:val="22"/>
              </w:rPr>
              <w:t>¿Dónde nació?</w:t>
            </w:r>
          </w:p>
        </w:tc>
        <w:tc>
          <w:tcPr>
            <w:tcW w:w="1133" w:type="dxa"/>
            <w:shd w:val="clear" w:color="auto" w:fill="92CDDC"/>
          </w:tcPr>
          <w:p>
            <w:pPr>
              <w:pStyle w:val="TableParagraph"/>
              <w:spacing w:line="252" w:lineRule="exact"/>
              <w:ind w:left="100" w:right="184"/>
              <w:rPr>
                <w:b/>
                <w:sz w:val="22"/>
              </w:rPr>
            </w:pPr>
            <w:r>
              <w:rPr>
                <w:b/>
                <w:sz w:val="22"/>
              </w:rPr>
              <w:t>¿Dónde vive?</w:t>
            </w:r>
          </w:p>
        </w:tc>
        <w:tc>
          <w:tcPr>
            <w:tcW w:w="3687" w:type="dxa"/>
            <w:shd w:val="clear" w:color="auto" w:fill="92CDDC"/>
          </w:tcPr>
          <w:p>
            <w:pPr>
              <w:pStyle w:val="TableParagraph"/>
              <w:ind w:right="100"/>
              <w:jc w:val="both"/>
              <w:rPr>
                <w:b/>
                <w:sz w:val="22"/>
              </w:rPr>
            </w:pPr>
            <w:r>
              <w:rPr>
                <w:b/>
                <w:sz w:val="22"/>
              </w:rPr>
              <w:t>¿Considera apropiado que  exista un Comité Intermunicipal con su Reglamento para el uso, cuidado y defensa de la laguna Huapango?</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266" w:hRule="exact"/>
        </w:trPr>
        <w:tc>
          <w:tcPr>
            <w:tcW w:w="1385" w:type="dxa"/>
            <w:tcBorders>
              <w:bottom w:val="nil"/>
            </w:tcBorders>
          </w:tcPr>
          <w:p>
            <w:pPr>
              <w:pStyle w:val="TableParagraph"/>
              <w:spacing w:line="251" w:lineRule="exact"/>
              <w:ind w:right="127"/>
              <w:rPr>
                <w:sz w:val="22"/>
              </w:rPr>
            </w:pPr>
            <w:r>
              <w:rPr>
                <w:sz w:val="22"/>
              </w:rPr>
              <w:t>Gabriel</w:t>
            </w:r>
          </w:p>
        </w:tc>
        <w:tc>
          <w:tcPr>
            <w:tcW w:w="1418" w:type="dxa"/>
            <w:tcBorders>
              <w:bottom w:val="nil"/>
            </w:tcBorders>
          </w:tcPr>
          <w:p>
            <w:pPr>
              <w:pStyle w:val="TableParagraph"/>
              <w:spacing w:line="251" w:lineRule="exact"/>
              <w:ind w:left="100" w:right="101"/>
              <w:rPr>
                <w:sz w:val="22"/>
              </w:rPr>
            </w:pPr>
            <w:r>
              <w:rPr>
                <w:sz w:val="22"/>
              </w:rPr>
              <w:t>El comercio</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Aldama</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Aldama,</w:t>
            </w:r>
          </w:p>
        </w:tc>
        <w:tc>
          <w:tcPr>
            <w:tcW w:w="1133" w:type="dxa"/>
            <w:tcBorders>
              <w:bottom w:val="nil"/>
            </w:tcBorders>
          </w:tcPr>
          <w:p>
            <w:pPr>
              <w:pStyle w:val="TableParagraph"/>
              <w:spacing w:line="251" w:lineRule="exact"/>
              <w:ind w:left="100" w:right="52"/>
              <w:rPr>
                <w:sz w:val="22"/>
              </w:rPr>
            </w:pPr>
            <w:r>
              <w:rPr>
                <w:sz w:val="22"/>
              </w:rPr>
              <w:t>Aldama,</w:t>
            </w:r>
          </w:p>
        </w:tc>
        <w:tc>
          <w:tcPr>
            <w:tcW w:w="3687" w:type="dxa"/>
            <w:tcBorders>
              <w:bottom w:val="nil"/>
            </w:tcBorders>
          </w:tcPr>
          <w:p>
            <w:pPr>
              <w:pStyle w:val="TableParagraph"/>
              <w:spacing w:line="251" w:lineRule="exact"/>
              <w:rPr>
                <w:sz w:val="22"/>
              </w:rPr>
            </w:pPr>
            <w:r>
              <w:rPr>
                <w:sz w:val="22"/>
              </w:rPr>
              <w:t>Considero apropiado que exista un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(tienda de</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Jilotepec</w:t>
            </w:r>
          </w:p>
        </w:tc>
        <w:tc>
          <w:tcPr>
            <w:tcW w:w="3687" w:type="dxa"/>
            <w:tcBorders>
              <w:top w:val="nil"/>
              <w:bottom w:val="nil"/>
            </w:tcBorders>
          </w:tcPr>
          <w:p>
            <w:pPr>
              <w:pStyle w:val="TableParagraph"/>
              <w:spacing w:line="241" w:lineRule="exact"/>
              <w:rPr>
                <w:sz w:val="22"/>
              </w:rPr>
            </w:pPr>
            <w:r>
              <w:rPr>
                <w:sz w:val="22"/>
              </w:rPr>
              <w:t>reglamento  intermunicipal  para  el</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González</w:t>
            </w:r>
          </w:p>
        </w:tc>
        <w:tc>
          <w:tcPr>
            <w:tcW w:w="1418" w:type="dxa"/>
            <w:tcBorders>
              <w:top w:val="nil"/>
              <w:bottom w:val="nil"/>
            </w:tcBorders>
          </w:tcPr>
          <w:p>
            <w:pPr>
              <w:pStyle w:val="TableParagraph"/>
              <w:spacing w:line="242" w:lineRule="exact"/>
              <w:ind w:left="100"/>
              <w:rPr>
                <w:sz w:val="22"/>
              </w:rPr>
            </w:pPr>
            <w:r>
              <w:rPr>
                <w:sz w:val="22"/>
              </w:rPr>
              <w:t>abarrotes) y</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uso  del  agua  de  la  laguna, pues,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(7/7/2014)</w:t>
            </w:r>
          </w:p>
        </w:tc>
        <w:tc>
          <w:tcPr>
            <w:tcW w:w="1418" w:type="dxa"/>
            <w:tcBorders>
              <w:top w:val="nil"/>
              <w:bottom w:val="nil"/>
            </w:tcBorders>
          </w:tcPr>
          <w:p>
            <w:pPr>
              <w:pStyle w:val="TableParagraph"/>
              <w:spacing w:line="241" w:lineRule="exact"/>
              <w:ind w:left="100" w:right="101"/>
              <w:rPr>
                <w:sz w:val="22"/>
              </w:rPr>
            </w:pPr>
            <w:r>
              <w:rPr>
                <w:sz w:val="22"/>
              </w:rPr>
              <w:t>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para   que   les   pertenezca,   en la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pesca  podrían  utilizarla  todos  los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municipios porque para bombear el</w:t>
            </w: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Style w:val="TableParagraph"/>
              <w:spacing w:line="241" w:lineRule="exact"/>
              <w:rPr>
                <w:sz w:val="22"/>
              </w:rPr>
            </w:pPr>
            <w:r>
              <w:rPr>
                <w:sz w:val="22"/>
              </w:rPr>
              <w:t>agua sería muy costoso.</w:t>
            </w:r>
          </w:p>
        </w:tc>
      </w:tr>
      <w:tr>
        <w:trPr>
          <w:trHeight w:val="267" w:hRule="exact"/>
        </w:trPr>
        <w:tc>
          <w:tcPr>
            <w:tcW w:w="1385" w:type="dxa"/>
            <w:tcBorders>
              <w:bottom w:val="nil"/>
            </w:tcBorders>
          </w:tcPr>
          <w:p>
            <w:pPr>
              <w:pStyle w:val="TableParagraph"/>
              <w:spacing w:line="251" w:lineRule="exact"/>
              <w:ind w:right="127"/>
              <w:rPr>
                <w:sz w:val="22"/>
              </w:rPr>
            </w:pPr>
            <w:r>
              <w:rPr>
                <w:sz w:val="22"/>
              </w:rPr>
              <w:t>Abel</w:t>
            </w:r>
          </w:p>
        </w:tc>
        <w:tc>
          <w:tcPr>
            <w:tcW w:w="1418" w:type="dxa"/>
            <w:tcBorders>
              <w:bottom w:val="nil"/>
            </w:tcBorders>
          </w:tcPr>
          <w:p>
            <w:pPr>
              <w:pStyle w:val="TableParagraph"/>
              <w:spacing w:line="251" w:lineRule="exact"/>
              <w:ind w:left="100" w:right="101"/>
              <w:rPr>
                <w:sz w:val="22"/>
              </w:rPr>
            </w:pPr>
            <w:r>
              <w:rPr>
                <w:sz w:val="22"/>
              </w:rPr>
              <w:t>Profesor de</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Huapango</w:t>
            </w:r>
          </w:p>
        </w:tc>
        <w:tc>
          <w:tcPr>
            <w:tcW w:w="991" w:type="dxa"/>
            <w:tcBorders>
              <w:bottom w:val="nil"/>
            </w:tcBorders>
          </w:tcPr>
          <w:p>
            <w:pPr>
              <w:pStyle w:val="TableParagraph"/>
              <w:spacing w:line="251" w:lineRule="exact"/>
              <w:ind w:left="100"/>
              <w:rPr>
                <w:sz w:val="22"/>
              </w:rPr>
            </w:pPr>
            <w:r>
              <w:rPr>
                <w:sz w:val="22"/>
              </w:rPr>
              <w:t>Timilpa</w:t>
            </w:r>
          </w:p>
        </w:tc>
        <w:tc>
          <w:tcPr>
            <w:tcW w:w="1277" w:type="dxa"/>
            <w:tcBorders>
              <w:bottom w:val="nil"/>
            </w:tcBorders>
          </w:tcPr>
          <w:p>
            <w:pPr>
              <w:pStyle w:val="TableParagraph"/>
              <w:spacing w:line="251" w:lineRule="exact"/>
              <w:ind w:right="92"/>
              <w:rPr>
                <w:sz w:val="22"/>
              </w:rPr>
            </w:pPr>
            <w:r>
              <w:rPr>
                <w:sz w:val="22"/>
              </w:rPr>
              <w:t>Huapango</w:t>
            </w:r>
          </w:p>
        </w:tc>
        <w:tc>
          <w:tcPr>
            <w:tcW w:w="1133" w:type="dxa"/>
            <w:tcBorders>
              <w:bottom w:val="nil"/>
            </w:tcBorders>
          </w:tcPr>
          <w:p>
            <w:pPr>
              <w:pStyle w:val="TableParagraph"/>
              <w:spacing w:line="251" w:lineRule="exact"/>
              <w:ind w:left="100" w:right="52"/>
              <w:rPr>
                <w:sz w:val="22"/>
              </w:rPr>
            </w:pPr>
            <w:r>
              <w:rPr>
                <w:sz w:val="22"/>
              </w:rPr>
              <w:t>Huapang</w:t>
            </w:r>
          </w:p>
        </w:tc>
        <w:tc>
          <w:tcPr>
            <w:tcW w:w="3687" w:type="dxa"/>
            <w:tcBorders>
              <w:bottom w:val="nil"/>
            </w:tcBorders>
          </w:tcPr>
          <w:p>
            <w:pPr>
              <w:pStyle w:val="TableParagraph"/>
              <w:spacing w:line="251" w:lineRule="exact"/>
              <w:rPr>
                <w:sz w:val="22"/>
              </w:rPr>
            </w:pPr>
            <w:r>
              <w:rPr>
                <w:sz w:val="22"/>
              </w:rPr>
              <w:t>Pudiera  ser  importante  que exista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Miranda</w:t>
            </w:r>
          </w:p>
        </w:tc>
        <w:tc>
          <w:tcPr>
            <w:tcW w:w="1418" w:type="dxa"/>
            <w:tcBorders>
              <w:top w:val="nil"/>
              <w:bottom w:val="nil"/>
            </w:tcBorders>
          </w:tcPr>
          <w:p>
            <w:pPr>
              <w:pStyle w:val="TableParagraph"/>
              <w:spacing w:line="241" w:lineRule="exact"/>
              <w:ind w:left="100" w:right="101"/>
              <w:rPr>
                <w:sz w:val="22"/>
              </w:rPr>
            </w:pPr>
            <w:r>
              <w:rPr>
                <w:sz w:val="22"/>
              </w:rPr>
              <w:t>secundaria</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3687" w:type="dxa"/>
            <w:tcBorders>
              <w:top w:val="nil"/>
              <w:bottom w:val="nil"/>
            </w:tcBorders>
          </w:tcPr>
          <w:p>
            <w:pPr>
              <w:pStyle w:val="TableParagraph"/>
              <w:spacing w:line="241" w:lineRule="exact"/>
              <w:rPr>
                <w:sz w:val="22"/>
              </w:rPr>
            </w:pPr>
            <w:r>
              <w:rPr>
                <w:sz w:val="22"/>
              </w:rPr>
              <w:t>un  reglamento  intermunicipal para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Miranda</w:t>
            </w:r>
          </w:p>
        </w:tc>
        <w:tc>
          <w:tcPr>
            <w:tcW w:w="1418" w:type="dxa"/>
            <w:tcBorders>
              <w:top w:val="nil"/>
              <w:bottom w:val="nil"/>
            </w:tcBorders>
          </w:tcPr>
          <w:p>
            <w:pPr>
              <w:pStyle w:val="TableParagraph"/>
              <w:spacing w:line="242" w:lineRule="exact"/>
              <w:ind w:left="100" w:right="101"/>
              <w:rPr>
                <w:sz w:val="22"/>
              </w:rPr>
            </w:pPr>
            <w:r>
              <w:rPr>
                <w:sz w:val="22"/>
              </w:rPr>
              <w:t>y 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Timilpan</w:t>
            </w:r>
          </w:p>
        </w:tc>
        <w:tc>
          <w:tcPr>
            <w:tcW w:w="3687" w:type="dxa"/>
            <w:tcBorders>
              <w:top w:val="nil"/>
              <w:bottom w:val="nil"/>
            </w:tcBorders>
          </w:tcPr>
          <w:p>
            <w:pPr>
              <w:pStyle w:val="TableParagraph"/>
              <w:spacing w:line="242" w:lineRule="exact"/>
              <w:rPr>
                <w:sz w:val="22"/>
              </w:rPr>
            </w:pPr>
            <w:r>
              <w:rPr>
                <w:sz w:val="22"/>
              </w:rPr>
              <w:t>regular   el   uso   del   agua   de  la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(7/7/2014)</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laguna, pero la concesión la</w:t>
            </w:r>
            <w:r>
              <w:rPr>
                <w:spacing w:val="58"/>
                <w:sz w:val="22"/>
              </w:rPr>
              <w:t> </w:t>
            </w:r>
            <w:r>
              <w:rPr>
                <w:sz w:val="22"/>
              </w:rPr>
              <w:t>tienen</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un grupo determinado de personas</w:t>
            </w: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y son los que tienen el permiso </w:t>
            </w:r>
            <w:r>
              <w:rPr>
                <w:spacing w:val="59"/>
                <w:sz w:val="22"/>
              </w:rPr>
              <w:t> </w:t>
            </w:r>
            <w:r>
              <w:rPr>
                <w:sz w:val="22"/>
              </w:rPr>
              <w:t>de</w:t>
            </w: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Style w:val="TableParagraph"/>
              <w:spacing w:line="241" w:lineRule="exact"/>
              <w:rPr>
                <w:sz w:val="22"/>
              </w:rPr>
            </w:pPr>
            <w:r>
              <w:rPr>
                <w:sz w:val="22"/>
              </w:rPr>
              <w:t>usarla.</w:t>
            </w:r>
          </w:p>
        </w:tc>
      </w:tr>
      <w:tr>
        <w:trPr>
          <w:trHeight w:val="266" w:hRule="exact"/>
        </w:trPr>
        <w:tc>
          <w:tcPr>
            <w:tcW w:w="1385" w:type="dxa"/>
            <w:tcBorders>
              <w:bottom w:val="nil"/>
            </w:tcBorders>
          </w:tcPr>
          <w:p>
            <w:pPr>
              <w:pStyle w:val="TableParagraph"/>
              <w:spacing w:line="251" w:lineRule="exact"/>
              <w:ind w:right="127"/>
              <w:rPr>
                <w:sz w:val="22"/>
              </w:rPr>
            </w:pPr>
            <w:r>
              <w:rPr>
                <w:sz w:val="22"/>
              </w:rPr>
              <w:t>Yolanda</w:t>
            </w:r>
          </w:p>
        </w:tc>
        <w:tc>
          <w:tcPr>
            <w:tcW w:w="1418" w:type="dxa"/>
            <w:tcBorders>
              <w:bottom w:val="nil"/>
            </w:tcBorders>
          </w:tcPr>
          <w:p>
            <w:pPr>
              <w:pStyle w:val="TableParagraph"/>
              <w:spacing w:line="251" w:lineRule="exact"/>
              <w:ind w:left="100"/>
              <w:rPr>
                <w:sz w:val="22"/>
              </w:rPr>
            </w:pPr>
            <w:r>
              <w:rPr>
                <w:sz w:val="22"/>
              </w:rPr>
              <w:t>El   hogar  y</w:t>
            </w:r>
          </w:p>
        </w:tc>
        <w:tc>
          <w:tcPr>
            <w:tcW w:w="1417" w:type="dxa"/>
            <w:tcBorders>
              <w:bottom w:val="nil"/>
            </w:tcBorders>
          </w:tcPr>
          <w:p>
            <w:pPr>
              <w:pStyle w:val="TableParagraph"/>
              <w:spacing w:line="251" w:lineRule="exact"/>
              <w:ind w:left="100"/>
              <w:rPr>
                <w:sz w:val="22"/>
              </w:rPr>
            </w:pPr>
            <w:r>
              <w:rPr>
                <w:sz w:val="22"/>
              </w:rPr>
              <w:t>Delegada</w:t>
            </w:r>
          </w:p>
        </w:tc>
        <w:tc>
          <w:tcPr>
            <w:tcW w:w="1560" w:type="dxa"/>
            <w:tcBorders>
              <w:bottom w:val="nil"/>
            </w:tcBorders>
          </w:tcPr>
          <w:p>
            <w:pPr>
              <w:pStyle w:val="TableParagraph"/>
              <w:spacing w:line="251" w:lineRule="exact"/>
              <w:ind w:right="143"/>
              <w:rPr>
                <w:sz w:val="22"/>
              </w:rPr>
            </w:pPr>
            <w:r>
              <w:rPr>
                <w:sz w:val="22"/>
              </w:rPr>
              <w:t>El Saltillo</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3687" w:type="dxa"/>
            <w:tcBorders>
              <w:bottom w:val="nil"/>
            </w:tcBorders>
          </w:tcPr>
          <w:p>
            <w:pPr>
              <w:pStyle w:val="TableParagraph"/>
              <w:spacing w:line="251" w:lineRule="exact"/>
              <w:rPr>
                <w:sz w:val="22"/>
              </w:rPr>
            </w:pPr>
            <w:r>
              <w:rPr>
                <w:sz w:val="22"/>
              </w:rPr>
              <w:t>Sí porque podrían obtener mejores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Style w:val="TableParagraph"/>
              <w:spacing w:line="241" w:lineRule="exact"/>
              <w:ind w:left="100" w:right="101"/>
              <w:rPr>
                <w:sz w:val="22"/>
              </w:rPr>
            </w:pPr>
            <w:r>
              <w:rPr>
                <w:sz w:val="22"/>
              </w:rPr>
              <w:t>ser</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3687" w:type="dxa"/>
            <w:tcBorders>
              <w:top w:val="nil"/>
              <w:bottom w:val="nil"/>
            </w:tcBorders>
          </w:tcPr>
          <w:p>
            <w:pPr>
              <w:pStyle w:val="TableParagraph"/>
              <w:spacing w:line="241" w:lineRule="exact"/>
              <w:rPr>
                <w:sz w:val="22"/>
              </w:rPr>
            </w:pPr>
            <w:r>
              <w:rPr>
                <w:sz w:val="22"/>
              </w:rPr>
              <w:t>siembras.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418" w:type="dxa"/>
            <w:tcBorders>
              <w:top w:val="nil"/>
              <w:bottom w:val="nil"/>
            </w:tcBorders>
          </w:tcPr>
          <w:p>
            <w:pPr>
              <w:pStyle w:val="TableParagraph"/>
              <w:spacing w:line="242" w:lineRule="exact"/>
              <w:ind w:left="100" w:right="101"/>
              <w:rPr>
                <w:sz w:val="22"/>
              </w:rPr>
            </w:pPr>
            <w:r>
              <w:rPr>
                <w:sz w:val="22"/>
              </w:rPr>
              <w:t>delegada</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Jilotepec</w:t>
            </w:r>
          </w:p>
        </w:tc>
        <w:tc>
          <w:tcPr>
            <w:tcW w:w="3687" w:type="dxa"/>
            <w:tcBorders>
              <w:top w:val="nil"/>
              <w:bottom w:val="nil"/>
            </w:tcBorders>
          </w:tcPr>
          <w:p>
            <w:pPr/>
          </w:p>
        </w:tc>
      </w:tr>
      <w:tr>
        <w:trPr>
          <w:trHeight w:val="250" w:hRule="exact"/>
        </w:trPr>
        <w:tc>
          <w:tcPr>
            <w:tcW w:w="1385" w:type="dxa"/>
            <w:tcBorders>
              <w:top w:val="nil"/>
            </w:tcBorders>
          </w:tcPr>
          <w:p>
            <w:pPr>
              <w:pStyle w:val="TableParagraph"/>
              <w:spacing w:line="241" w:lineRule="exact"/>
              <w:rPr>
                <w:sz w:val="22"/>
              </w:rPr>
            </w:pPr>
            <w:r>
              <w:rPr>
                <w:sz w:val="22"/>
              </w:rPr>
              <w:t>(18/7/2014)</w:t>
            </w:r>
          </w:p>
        </w:tc>
        <w:tc>
          <w:tcPr>
            <w:tcW w:w="1418" w:type="dxa"/>
            <w:tcBorders>
              <w:top w:val="nil"/>
            </w:tcBorders>
          </w:tcPr>
          <w:p>
            <w:pPr>
              <w:pStyle w:val="TableParagraph"/>
              <w:spacing w:line="241" w:lineRule="exact"/>
              <w:ind w:left="100" w:right="101"/>
              <w:rPr>
                <w:sz w:val="22"/>
              </w:rPr>
            </w:pPr>
            <w:r>
              <w:rPr>
                <w:sz w:val="22"/>
              </w:rPr>
              <w:t>municipal</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Ricardo</w:t>
            </w:r>
          </w:p>
        </w:tc>
        <w:tc>
          <w:tcPr>
            <w:tcW w:w="1418" w:type="dxa"/>
            <w:tcBorders>
              <w:bottom w:val="nil"/>
            </w:tcBorders>
          </w:tcPr>
          <w:p>
            <w:pPr>
              <w:pStyle w:val="TableParagraph"/>
              <w:spacing w:line="251" w:lineRule="exact"/>
              <w:ind w:left="156" w:right="101"/>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San Martín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San</w:t>
            </w:r>
          </w:p>
        </w:tc>
        <w:tc>
          <w:tcPr>
            <w:tcW w:w="3687" w:type="dxa"/>
            <w:tcBorders>
              <w:bottom w:val="nil"/>
            </w:tcBorders>
          </w:tcPr>
          <w:p>
            <w:pPr>
              <w:pStyle w:val="TableParagraph"/>
              <w:spacing w:line="251" w:lineRule="exact"/>
              <w:rPr>
                <w:sz w:val="22"/>
              </w:rPr>
            </w:pPr>
            <w:r>
              <w:rPr>
                <w:sz w:val="22"/>
              </w:rPr>
              <w:t>Sí,   pero   sería   entonces   a nivel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418" w:type="dxa"/>
            <w:tcBorders>
              <w:top w:val="nil"/>
              <w:bottom w:val="nil"/>
            </w:tcBorders>
          </w:tcPr>
          <w:p>
            <w:pPr>
              <w:pStyle w:val="TableParagraph"/>
              <w:spacing w:line="241" w:lineRule="exact"/>
              <w:ind w:left="218" w:right="101"/>
              <w:rPr>
                <w:sz w:val="22"/>
              </w:rPr>
            </w:pPr>
            <w:r>
              <w:rPr>
                <w:sz w:val="22"/>
              </w:rPr>
              <w:t>el ganado</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Martín,</w:t>
            </w:r>
          </w:p>
        </w:tc>
        <w:tc>
          <w:tcPr>
            <w:tcW w:w="1133" w:type="dxa"/>
            <w:tcBorders>
              <w:top w:val="nil"/>
              <w:bottom w:val="nil"/>
            </w:tcBorders>
          </w:tcPr>
          <w:p>
            <w:pPr>
              <w:pStyle w:val="TableParagraph"/>
              <w:spacing w:line="241" w:lineRule="exact"/>
              <w:ind w:left="100" w:right="52"/>
              <w:rPr>
                <w:sz w:val="22"/>
              </w:rPr>
            </w:pPr>
            <w:r>
              <w:rPr>
                <w:sz w:val="22"/>
              </w:rPr>
              <w:t>Martín,</w:t>
            </w:r>
          </w:p>
        </w:tc>
        <w:tc>
          <w:tcPr>
            <w:tcW w:w="3687" w:type="dxa"/>
            <w:tcBorders>
              <w:top w:val="nil"/>
              <w:bottom w:val="nil"/>
            </w:tcBorders>
          </w:tcPr>
          <w:p>
            <w:pPr>
              <w:pStyle w:val="TableParagraph"/>
              <w:spacing w:line="241" w:lineRule="exact"/>
              <w:rPr>
                <w:sz w:val="22"/>
              </w:rPr>
            </w:pPr>
            <w:r>
              <w:rPr>
                <w:sz w:val="22"/>
              </w:rPr>
              <w:t>federal porque tienen la  concesión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Galván</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Aculco</w:t>
            </w:r>
          </w:p>
        </w:tc>
        <w:tc>
          <w:tcPr>
            <w:tcW w:w="1133" w:type="dxa"/>
            <w:tcBorders>
              <w:top w:val="nil"/>
              <w:bottom w:val="nil"/>
            </w:tcBorders>
          </w:tcPr>
          <w:p>
            <w:pPr>
              <w:pStyle w:val="TableParagraph"/>
              <w:spacing w:line="242" w:lineRule="exact"/>
              <w:ind w:left="100" w:right="52"/>
              <w:rPr>
                <w:sz w:val="22"/>
              </w:rPr>
            </w:pPr>
            <w:r>
              <w:rPr>
                <w:sz w:val="22"/>
              </w:rPr>
              <w:t>Aculco</w:t>
            </w:r>
          </w:p>
        </w:tc>
        <w:tc>
          <w:tcPr>
            <w:tcW w:w="3687" w:type="dxa"/>
            <w:tcBorders>
              <w:top w:val="nil"/>
              <w:bottom w:val="nil"/>
            </w:tcBorders>
          </w:tcPr>
          <w:p>
            <w:pPr>
              <w:pStyle w:val="TableParagraph"/>
              <w:spacing w:line="242" w:lineRule="exact"/>
              <w:rPr>
                <w:sz w:val="22"/>
              </w:rPr>
            </w:pPr>
            <w:r>
              <w:rPr>
                <w:sz w:val="22"/>
              </w:rPr>
              <w:t>ellos.</w:t>
            </w:r>
          </w:p>
        </w:tc>
      </w:tr>
      <w:tr>
        <w:trPr>
          <w:trHeight w:val="247" w:hRule="exact"/>
        </w:trPr>
        <w:tc>
          <w:tcPr>
            <w:tcW w:w="1385" w:type="dxa"/>
            <w:tcBorders>
              <w:top w:val="nil"/>
            </w:tcBorders>
          </w:tcPr>
          <w:p>
            <w:pPr>
              <w:pStyle w:val="TableParagraph"/>
              <w:spacing w:line="241" w:lineRule="exact"/>
              <w:ind w:right="127"/>
              <w:rPr>
                <w:sz w:val="22"/>
              </w:rPr>
            </w:pPr>
            <w:r>
              <w:rPr>
                <w:sz w:val="22"/>
              </w:rPr>
              <w:t>(3/8/2014)</w:t>
            </w: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Ricardo</w:t>
            </w:r>
          </w:p>
        </w:tc>
        <w:tc>
          <w:tcPr>
            <w:tcW w:w="1418" w:type="dxa"/>
            <w:tcBorders>
              <w:bottom w:val="nil"/>
            </w:tcBorders>
          </w:tcPr>
          <w:p>
            <w:pPr>
              <w:pStyle w:val="TableParagraph"/>
              <w:ind w:left="182" w:right="101"/>
              <w:rPr>
                <w:sz w:val="22"/>
              </w:rPr>
            </w:pPr>
            <w:r>
              <w:rPr>
                <w:sz w:val="22"/>
              </w:rPr>
              <w:t>Albañilería</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El Azafrán</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El</w:t>
            </w:r>
          </w:p>
        </w:tc>
        <w:tc>
          <w:tcPr>
            <w:tcW w:w="1133" w:type="dxa"/>
            <w:tcBorders>
              <w:bottom w:val="nil"/>
            </w:tcBorders>
          </w:tcPr>
          <w:p>
            <w:pPr>
              <w:pStyle w:val="TableParagraph"/>
              <w:ind w:left="100" w:right="52"/>
              <w:rPr>
                <w:sz w:val="22"/>
              </w:rPr>
            </w:pPr>
            <w:r>
              <w:rPr>
                <w:sz w:val="22"/>
              </w:rPr>
              <w:t>El</w:t>
            </w:r>
          </w:p>
        </w:tc>
        <w:tc>
          <w:tcPr>
            <w:tcW w:w="3687" w:type="dxa"/>
            <w:tcBorders>
              <w:bottom w:val="nil"/>
            </w:tcBorders>
          </w:tcPr>
          <w:p>
            <w:pPr>
              <w:pStyle w:val="TableParagraph"/>
              <w:rPr>
                <w:sz w:val="22"/>
              </w:rPr>
            </w:pPr>
            <w:r>
              <w:rPr>
                <w:sz w:val="22"/>
              </w:rPr>
              <w:t>Considero apropiado que exista un</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Cristóbal</w:t>
            </w:r>
          </w:p>
        </w:tc>
        <w:tc>
          <w:tcPr>
            <w:tcW w:w="1418" w:type="dxa"/>
            <w:tcBorders>
              <w:top w:val="nil"/>
              <w:bottom w:val="nil"/>
            </w:tcBorders>
          </w:tcPr>
          <w:p>
            <w:pPr>
              <w:pStyle w:val="TableParagraph"/>
              <w:spacing w:line="241" w:lineRule="exact"/>
              <w:ind w:left="170" w:right="101"/>
              <w:rPr>
                <w:sz w:val="22"/>
              </w:rPr>
            </w:pPr>
            <w:r>
              <w:rPr>
                <w:sz w:val="22"/>
              </w:rPr>
              <w:t>y el campo</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Azafrán,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3687" w:type="dxa"/>
            <w:tcBorders>
              <w:top w:val="nil"/>
              <w:bottom w:val="nil"/>
            </w:tcBorders>
          </w:tcPr>
          <w:p>
            <w:pPr>
              <w:pStyle w:val="TableParagraph"/>
              <w:spacing w:line="241" w:lineRule="exact"/>
              <w:rPr>
                <w:sz w:val="22"/>
              </w:rPr>
            </w:pPr>
            <w:r>
              <w:rPr>
                <w:sz w:val="22"/>
              </w:rPr>
              <w:t>reglamento   intermunicipal  porque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Ramírez</w:t>
            </w:r>
          </w:p>
        </w:tc>
        <w:tc>
          <w:tcPr>
            <w:tcW w:w="1418" w:type="dxa"/>
            <w:tcBorders>
              <w:top w:val="nil"/>
              <w:bottom w:val="nil"/>
            </w:tcBorders>
          </w:tcPr>
          <w:p>
            <w:pPr/>
          </w:p>
        </w:tc>
        <w:tc>
          <w:tcPr>
            <w:tcW w:w="1417" w:type="dxa"/>
            <w:tcBorders>
              <w:top w:val="nil"/>
              <w:bottom w:val="nil"/>
            </w:tcBorders>
          </w:tcPr>
          <w:p>
            <w:pPr>
              <w:pStyle w:val="TableParagraph"/>
              <w:tabs>
                <w:tab w:pos="1132" w:val="left" w:leader="none"/>
              </w:tabs>
              <w:spacing w:line="241"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3687" w:type="dxa"/>
            <w:tcBorders>
              <w:top w:val="nil"/>
              <w:bottom w:val="nil"/>
            </w:tcBorders>
          </w:tcPr>
          <w:p>
            <w:pPr>
              <w:pStyle w:val="TableParagraph"/>
              <w:tabs>
                <w:tab w:pos="1254" w:val="left" w:leader="none"/>
                <w:tab w:pos="2456" w:val="left" w:leader="none"/>
                <w:tab w:pos="3464" w:val="left" w:leader="none"/>
              </w:tabs>
              <w:spacing w:line="241" w:lineRule="exact"/>
              <w:rPr>
                <w:sz w:val="22"/>
              </w:rPr>
            </w:pPr>
            <w:r>
              <w:rPr>
                <w:sz w:val="22"/>
              </w:rPr>
              <w:t>evitaría</w:t>
              <w:tab/>
              <w:t>muchas</w:t>
              <w:tab/>
              <w:t>cosas</w:t>
              <w:tab/>
              <w:t>y</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(3/8/2014)</w:t>
            </w:r>
          </w:p>
        </w:tc>
        <w:tc>
          <w:tcPr>
            <w:tcW w:w="1418" w:type="dxa"/>
            <w:tcBorders>
              <w:top w:val="nil"/>
              <w:bottom w:val="nil"/>
            </w:tcBorders>
          </w:tcPr>
          <w:p>
            <w:pPr/>
          </w:p>
        </w:tc>
        <w:tc>
          <w:tcPr>
            <w:tcW w:w="1417" w:type="dxa"/>
            <w:tcBorders>
              <w:top w:val="nil"/>
              <w:bottom w:val="nil"/>
            </w:tcBorders>
          </w:tcPr>
          <w:p>
            <w:pPr>
              <w:pStyle w:val="TableParagraph"/>
              <w:spacing w:line="242" w:lineRule="exact"/>
              <w:ind w:left="100"/>
              <w:rPr>
                <w:sz w:val="22"/>
              </w:rPr>
            </w:pPr>
            <w:r>
              <w:rPr>
                <w:sz w:val="22"/>
              </w:rPr>
              <w:t>primera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tendríamos el beneficio para riego.</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1108" w:val="left" w:leader="none"/>
              </w:tabs>
              <w:spacing w:line="242" w:lineRule="exact"/>
              <w:ind w:left="100"/>
              <w:rPr>
                <w:sz w:val="22"/>
              </w:rPr>
            </w:pPr>
            <w:r>
              <w:rPr>
                <w:sz w:val="22"/>
              </w:rPr>
              <w:t>de</w:t>
              <w:tab/>
              <w:t>El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Style w:val="TableParagraph"/>
              <w:spacing w:line="241" w:lineRule="exact"/>
              <w:ind w:left="100"/>
              <w:rPr>
                <w:sz w:val="22"/>
              </w:rPr>
            </w:pPr>
            <w:r>
              <w:rPr>
                <w:sz w:val="22"/>
              </w:rPr>
              <w:t>Azafrán</w:t>
            </w: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Pablo</w:t>
            </w:r>
          </w:p>
        </w:tc>
        <w:tc>
          <w:tcPr>
            <w:tcW w:w="1418" w:type="dxa"/>
            <w:tcBorders>
              <w:bottom w:val="nil"/>
            </w:tcBorders>
          </w:tcPr>
          <w:p>
            <w:pPr>
              <w:pStyle w:val="TableParagraph"/>
              <w:ind w:left="100" w:right="101"/>
              <w:rPr>
                <w:sz w:val="22"/>
              </w:rPr>
            </w:pPr>
            <w:r>
              <w:rPr>
                <w:sz w:val="22"/>
              </w:rPr>
              <w:t>La</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El Azafrán</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El</w:t>
            </w:r>
          </w:p>
        </w:tc>
        <w:tc>
          <w:tcPr>
            <w:tcW w:w="1133" w:type="dxa"/>
            <w:tcBorders>
              <w:bottom w:val="nil"/>
            </w:tcBorders>
          </w:tcPr>
          <w:p>
            <w:pPr>
              <w:pStyle w:val="TableParagraph"/>
              <w:ind w:left="100" w:right="52"/>
              <w:rPr>
                <w:sz w:val="22"/>
              </w:rPr>
            </w:pPr>
            <w:r>
              <w:rPr>
                <w:sz w:val="22"/>
              </w:rPr>
              <w:t>El</w:t>
            </w:r>
          </w:p>
        </w:tc>
        <w:tc>
          <w:tcPr>
            <w:tcW w:w="3687" w:type="dxa"/>
            <w:tcBorders>
              <w:bottom w:val="nil"/>
            </w:tcBorders>
          </w:tcPr>
          <w:p>
            <w:pPr>
              <w:pStyle w:val="TableParagraph"/>
              <w:rPr>
                <w:sz w:val="22"/>
              </w:rPr>
            </w:pPr>
            <w:r>
              <w:rPr>
                <w:sz w:val="22"/>
              </w:rPr>
              <w:t>Sí  al  100%  para  que  a  todos les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construcció</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Azafrán,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3687" w:type="dxa"/>
            <w:tcBorders>
              <w:top w:val="nil"/>
              <w:bottom w:val="nil"/>
            </w:tcBorders>
          </w:tcPr>
          <w:p>
            <w:pPr>
              <w:pStyle w:val="TableParagraph"/>
              <w:tabs>
                <w:tab w:pos="884" w:val="left" w:leader="none"/>
                <w:tab w:pos="1661" w:val="left" w:leader="none"/>
                <w:tab w:pos="2623" w:val="left" w:leader="none"/>
                <w:tab w:pos="3206" w:val="left" w:leader="none"/>
              </w:tabs>
              <w:spacing w:line="241" w:lineRule="exact"/>
              <w:rPr>
                <w:sz w:val="22"/>
              </w:rPr>
            </w:pPr>
            <w:r>
              <w:rPr>
                <w:sz w:val="22"/>
              </w:rPr>
              <w:t>toque</w:t>
              <w:tab/>
              <w:t>agua,</w:t>
              <w:tab/>
              <w:t>aunque</w:t>
              <w:tab/>
              <w:t>sea</w:t>
              <w:tab/>
              <w:t>una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García</w:t>
            </w:r>
          </w:p>
        </w:tc>
        <w:tc>
          <w:tcPr>
            <w:tcW w:w="1418" w:type="dxa"/>
            <w:tcBorders>
              <w:top w:val="nil"/>
              <w:bottom w:val="nil"/>
            </w:tcBorders>
          </w:tcPr>
          <w:p>
            <w:pPr>
              <w:pStyle w:val="TableParagraph"/>
              <w:tabs>
                <w:tab w:pos="623" w:val="left" w:leader="none"/>
                <w:tab w:pos="1132" w:val="left" w:leader="none"/>
              </w:tabs>
              <w:spacing w:line="241" w:lineRule="exact"/>
              <w:ind w:left="100"/>
              <w:rPr>
                <w:sz w:val="22"/>
              </w:rPr>
            </w:pPr>
            <w:r>
              <w:rPr>
                <w:sz w:val="22"/>
              </w:rPr>
              <w:t>n</w:t>
              <w:tab/>
              <w:t>y</w:t>
              <w:tab/>
              <w:t>el</w:t>
            </w:r>
          </w:p>
        </w:tc>
        <w:tc>
          <w:tcPr>
            <w:tcW w:w="1417" w:type="dxa"/>
            <w:tcBorders>
              <w:top w:val="nil"/>
              <w:bottom w:val="nil"/>
            </w:tcBorders>
          </w:tcPr>
          <w:p>
            <w:pPr>
              <w:pStyle w:val="TableParagraph"/>
              <w:tabs>
                <w:tab w:pos="1132" w:val="left" w:leader="none"/>
              </w:tabs>
              <w:spacing w:line="241"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3687" w:type="dxa"/>
            <w:tcBorders>
              <w:top w:val="nil"/>
              <w:bottom w:val="nil"/>
            </w:tcBorders>
          </w:tcPr>
          <w:p>
            <w:pPr>
              <w:pStyle w:val="TableParagraph"/>
              <w:spacing w:line="241" w:lineRule="exact"/>
              <w:rPr>
                <w:sz w:val="22"/>
              </w:rPr>
            </w:pPr>
            <w:r>
              <w:rPr>
                <w:sz w:val="22"/>
              </w:rPr>
              <w:t>mínima parte.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(3/8/2014)</w:t>
            </w:r>
          </w:p>
        </w:tc>
        <w:tc>
          <w:tcPr>
            <w:tcW w:w="1418" w:type="dxa"/>
            <w:tcBorders>
              <w:top w:val="nil"/>
              <w:bottom w:val="nil"/>
            </w:tcBorders>
          </w:tcPr>
          <w:p>
            <w:pPr>
              <w:pStyle w:val="TableParagraph"/>
              <w:spacing w:line="242" w:lineRule="exact"/>
              <w:ind w:left="100" w:right="101"/>
              <w:rPr>
                <w:sz w:val="22"/>
              </w:rPr>
            </w:pPr>
            <w:r>
              <w:rPr>
                <w:sz w:val="22"/>
              </w:rPr>
              <w:t>campo</w:t>
            </w:r>
          </w:p>
        </w:tc>
        <w:tc>
          <w:tcPr>
            <w:tcW w:w="1417" w:type="dxa"/>
            <w:tcBorders>
              <w:top w:val="nil"/>
              <w:bottom w:val="nil"/>
            </w:tcBorders>
          </w:tcPr>
          <w:p>
            <w:pPr>
              <w:pStyle w:val="TableParagraph"/>
              <w:spacing w:line="242" w:lineRule="exact"/>
              <w:ind w:left="100"/>
              <w:rPr>
                <w:sz w:val="22"/>
              </w:rPr>
            </w:pPr>
            <w:r>
              <w:rPr>
                <w:sz w:val="22"/>
              </w:rPr>
              <w:t>segunda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Style w:val="TableParagraph"/>
              <w:spacing w:line="241" w:lineRule="exact"/>
              <w:ind w:left="100"/>
              <w:rPr>
                <w:sz w:val="22"/>
              </w:rPr>
            </w:pPr>
            <w:r>
              <w:rPr>
                <w:sz w:val="22"/>
              </w:rPr>
              <w:t>manzana</w:t>
            </w: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516" w:hRule="exact"/>
        </w:trPr>
        <w:tc>
          <w:tcPr>
            <w:tcW w:w="1385" w:type="dxa"/>
          </w:tcPr>
          <w:p>
            <w:pPr/>
          </w:p>
        </w:tc>
        <w:tc>
          <w:tcPr>
            <w:tcW w:w="1418" w:type="dxa"/>
          </w:tcPr>
          <w:p>
            <w:pPr/>
          </w:p>
        </w:tc>
        <w:tc>
          <w:tcPr>
            <w:tcW w:w="1417" w:type="dxa"/>
          </w:tcPr>
          <w:p>
            <w:pPr>
              <w:pStyle w:val="TableParagraph"/>
              <w:tabs>
                <w:tab w:pos="1108" w:val="left" w:leader="none"/>
              </w:tabs>
              <w:spacing w:line="250" w:lineRule="exact"/>
              <w:ind w:left="100"/>
              <w:rPr>
                <w:sz w:val="22"/>
              </w:rPr>
            </w:pPr>
            <w:r>
              <w:rPr>
                <w:sz w:val="22"/>
              </w:rPr>
              <w:t>de</w:t>
              <w:tab/>
              <w:t>El</w:t>
            </w:r>
          </w:p>
          <w:p>
            <w:pPr>
              <w:pStyle w:val="TableParagraph"/>
              <w:spacing w:line="252" w:lineRule="exact"/>
              <w:ind w:left="100"/>
              <w:rPr>
                <w:sz w:val="22"/>
              </w:rPr>
            </w:pPr>
            <w:r>
              <w:rPr>
                <w:sz w:val="22"/>
              </w:rPr>
              <w:t>Azafrán</w:t>
            </w:r>
          </w:p>
        </w:tc>
        <w:tc>
          <w:tcPr>
            <w:tcW w:w="1560" w:type="dxa"/>
          </w:tcPr>
          <w:p>
            <w:pPr/>
          </w:p>
        </w:tc>
        <w:tc>
          <w:tcPr>
            <w:tcW w:w="991" w:type="dxa"/>
          </w:tcPr>
          <w:p>
            <w:pPr/>
          </w:p>
        </w:tc>
        <w:tc>
          <w:tcPr>
            <w:tcW w:w="1277" w:type="dxa"/>
          </w:tcPr>
          <w:p>
            <w:pPr/>
          </w:p>
        </w:tc>
        <w:tc>
          <w:tcPr>
            <w:tcW w:w="1133" w:type="dxa"/>
          </w:tcPr>
          <w:p>
            <w:pPr/>
          </w:p>
        </w:tc>
        <w:tc>
          <w:tcPr>
            <w:tcW w:w="3687" w:type="dxa"/>
          </w:tcPr>
          <w:p>
            <w:pPr/>
          </w:p>
        </w:tc>
      </w:tr>
      <w:tr>
        <w:trPr>
          <w:trHeight w:val="1781" w:hRule="exact"/>
        </w:trPr>
        <w:tc>
          <w:tcPr>
            <w:tcW w:w="1385" w:type="dxa"/>
          </w:tcPr>
          <w:p>
            <w:pPr>
              <w:pStyle w:val="TableParagraph"/>
              <w:ind w:right="249"/>
              <w:rPr>
                <w:sz w:val="22"/>
              </w:rPr>
            </w:pPr>
            <w:r>
              <w:rPr>
                <w:sz w:val="22"/>
              </w:rPr>
              <w:t>Tomás Lucas Santiago (3/8/2014)</w:t>
            </w:r>
          </w:p>
        </w:tc>
        <w:tc>
          <w:tcPr>
            <w:tcW w:w="1418" w:type="dxa"/>
          </w:tcPr>
          <w:p>
            <w:pPr>
              <w:pStyle w:val="TableParagraph"/>
              <w:ind w:left="139" w:right="141" w:hanging="1"/>
              <w:jc w:val="center"/>
              <w:rPr>
                <w:sz w:val="22"/>
              </w:rPr>
            </w:pPr>
            <w:r>
              <w:rPr>
                <w:sz w:val="22"/>
              </w:rPr>
              <w:t>El campo y el comercio (tienda de abarrotes).</w:t>
            </w:r>
          </w:p>
        </w:tc>
        <w:tc>
          <w:tcPr>
            <w:tcW w:w="1417" w:type="dxa"/>
          </w:tcPr>
          <w:p>
            <w:pPr>
              <w:pStyle w:val="TableParagraph"/>
              <w:tabs>
                <w:tab w:pos="1132" w:val="left" w:leader="none"/>
              </w:tabs>
              <w:ind w:left="100" w:right="101"/>
              <w:rPr>
                <w:sz w:val="22"/>
              </w:rPr>
            </w:pPr>
            <w:r>
              <w:rPr>
                <w:sz w:val="22"/>
              </w:rPr>
              <w:t>Delegado Municipal de</w:t>
              <w:tab/>
              <w:t>la</w:t>
            </w:r>
          </w:p>
          <w:p>
            <w:pPr>
              <w:pStyle w:val="TableParagraph"/>
              <w:tabs>
                <w:tab w:pos="1108" w:val="left" w:leader="none"/>
              </w:tabs>
              <w:ind w:left="100" w:right="100"/>
              <w:rPr>
                <w:sz w:val="22"/>
              </w:rPr>
            </w:pPr>
            <w:r>
              <w:rPr>
                <w:sz w:val="22"/>
              </w:rPr>
              <w:t>tercera manzana de</w:t>
              <w:tab/>
              <w:t>El</w:t>
            </w:r>
          </w:p>
          <w:p>
            <w:pPr>
              <w:pStyle w:val="TableParagraph"/>
              <w:spacing w:line="253" w:lineRule="exact"/>
              <w:ind w:left="100"/>
              <w:rPr>
                <w:sz w:val="22"/>
              </w:rPr>
            </w:pPr>
            <w:r>
              <w:rPr>
                <w:sz w:val="22"/>
              </w:rPr>
              <w:t>Azafrán</w:t>
            </w:r>
          </w:p>
        </w:tc>
        <w:tc>
          <w:tcPr>
            <w:tcW w:w="1560" w:type="dxa"/>
          </w:tcPr>
          <w:p>
            <w:pPr>
              <w:pStyle w:val="TableParagraph"/>
              <w:spacing w:line="251" w:lineRule="exact"/>
              <w:ind w:right="143"/>
              <w:rPr>
                <w:sz w:val="22"/>
              </w:rPr>
            </w:pPr>
            <w:r>
              <w:rPr>
                <w:sz w:val="22"/>
              </w:rPr>
              <w:t>El Azafrán</w:t>
            </w:r>
          </w:p>
        </w:tc>
        <w:tc>
          <w:tcPr>
            <w:tcW w:w="991" w:type="dxa"/>
          </w:tcPr>
          <w:p>
            <w:pPr>
              <w:pStyle w:val="TableParagraph"/>
              <w:spacing w:line="251" w:lineRule="exact"/>
              <w:ind w:left="100"/>
              <w:rPr>
                <w:sz w:val="22"/>
              </w:rPr>
            </w:pPr>
            <w:r>
              <w:rPr>
                <w:sz w:val="22"/>
              </w:rPr>
              <w:t>Aculco</w:t>
            </w:r>
          </w:p>
        </w:tc>
        <w:tc>
          <w:tcPr>
            <w:tcW w:w="1277" w:type="dxa"/>
          </w:tcPr>
          <w:p>
            <w:pPr>
              <w:pStyle w:val="TableParagraph"/>
              <w:ind w:right="325"/>
              <w:rPr>
                <w:sz w:val="22"/>
              </w:rPr>
            </w:pPr>
            <w:r>
              <w:rPr>
                <w:sz w:val="22"/>
              </w:rPr>
              <w:t>El Azafrán, Aculco</w:t>
            </w:r>
          </w:p>
        </w:tc>
        <w:tc>
          <w:tcPr>
            <w:tcW w:w="1133" w:type="dxa"/>
          </w:tcPr>
          <w:p>
            <w:pPr>
              <w:pStyle w:val="TableParagraph"/>
              <w:ind w:left="100" w:right="183"/>
              <w:rPr>
                <w:sz w:val="22"/>
              </w:rPr>
            </w:pPr>
            <w:r>
              <w:rPr>
                <w:sz w:val="22"/>
              </w:rPr>
              <w:t>El Azafrán, Aculco</w:t>
            </w:r>
          </w:p>
        </w:tc>
        <w:tc>
          <w:tcPr>
            <w:tcW w:w="3687" w:type="dxa"/>
          </w:tcPr>
          <w:p>
            <w:pPr>
              <w:pStyle w:val="TableParagraph"/>
              <w:ind w:right="98"/>
              <w:jc w:val="both"/>
              <w:rPr>
                <w:sz w:val="22"/>
              </w:rPr>
            </w:pPr>
            <w:r>
              <w:rPr>
                <w:sz w:val="22"/>
              </w:rPr>
              <w:t>Podría ser también, porque así, pues se cobraría una cuota para que el municipio tuviera más recursos para su comunidad.</w:t>
            </w:r>
          </w:p>
        </w:tc>
      </w:tr>
      <w:tr>
        <w:trPr>
          <w:trHeight w:val="1781" w:hRule="exact"/>
        </w:trPr>
        <w:tc>
          <w:tcPr>
            <w:tcW w:w="1385" w:type="dxa"/>
          </w:tcPr>
          <w:p>
            <w:pPr>
              <w:pStyle w:val="TableParagraph"/>
              <w:ind w:right="127"/>
              <w:rPr>
                <w:sz w:val="22"/>
              </w:rPr>
            </w:pPr>
            <w:r>
              <w:rPr>
                <w:sz w:val="22"/>
              </w:rPr>
              <w:t>Raúl Cuevas Espinoza (20/8/2014)</w:t>
            </w:r>
          </w:p>
        </w:tc>
        <w:tc>
          <w:tcPr>
            <w:tcW w:w="1418" w:type="dxa"/>
          </w:tcPr>
          <w:p>
            <w:pPr>
              <w:pStyle w:val="TableParagraph"/>
              <w:tabs>
                <w:tab w:pos="1060" w:val="left" w:leader="none"/>
              </w:tabs>
              <w:ind w:left="100" w:right="101"/>
              <w:rPr>
                <w:sz w:val="22"/>
              </w:rPr>
            </w:pPr>
            <w:r>
              <w:rPr>
                <w:sz w:val="22"/>
              </w:rPr>
              <w:t>Cocinero (tiene</w:t>
              <w:tab/>
              <w:t>un restaurante en el centro de Polotitlán) y el</w:t>
            </w:r>
            <w:r>
              <w:rPr>
                <w:spacing w:val="1"/>
                <w:sz w:val="22"/>
              </w:rPr>
              <w:t> </w:t>
            </w:r>
            <w:r>
              <w:rPr>
                <w:sz w:val="22"/>
              </w:rPr>
              <w:t>campo</w:t>
            </w:r>
          </w:p>
        </w:tc>
        <w:tc>
          <w:tcPr>
            <w:tcW w:w="1417" w:type="dxa"/>
          </w:tcPr>
          <w:p>
            <w:pPr>
              <w:pStyle w:val="TableParagraph"/>
              <w:spacing w:line="252" w:lineRule="exact" w:before="2"/>
              <w:ind w:left="100" w:right="345"/>
              <w:rPr>
                <w:sz w:val="22"/>
              </w:rPr>
            </w:pPr>
            <w:r>
              <w:rPr>
                <w:sz w:val="22"/>
              </w:rPr>
              <w:t>Delegado Municipal</w:t>
            </w:r>
          </w:p>
        </w:tc>
        <w:tc>
          <w:tcPr>
            <w:tcW w:w="1560" w:type="dxa"/>
          </w:tcPr>
          <w:p>
            <w:pPr>
              <w:pStyle w:val="TableParagraph"/>
              <w:spacing w:line="251" w:lineRule="exact"/>
              <w:ind w:right="143"/>
              <w:rPr>
                <w:sz w:val="22"/>
              </w:rPr>
            </w:pPr>
            <w:r>
              <w:rPr>
                <w:sz w:val="22"/>
              </w:rPr>
              <w:t>Ruano</w:t>
            </w:r>
          </w:p>
        </w:tc>
        <w:tc>
          <w:tcPr>
            <w:tcW w:w="991" w:type="dxa"/>
          </w:tcPr>
          <w:p>
            <w:pPr>
              <w:pStyle w:val="TableParagraph"/>
              <w:spacing w:line="252" w:lineRule="exact" w:before="2"/>
              <w:ind w:left="100" w:right="201"/>
              <w:rPr>
                <w:sz w:val="22"/>
              </w:rPr>
            </w:pPr>
            <w:r>
              <w:rPr>
                <w:sz w:val="22"/>
              </w:rPr>
              <w:t>Polotitl án</w:t>
            </w:r>
          </w:p>
        </w:tc>
        <w:tc>
          <w:tcPr>
            <w:tcW w:w="1277" w:type="dxa"/>
          </w:tcPr>
          <w:p>
            <w:pPr>
              <w:pStyle w:val="TableParagraph"/>
              <w:spacing w:line="252" w:lineRule="exact" w:before="2"/>
              <w:ind w:right="239"/>
              <w:rPr>
                <w:sz w:val="22"/>
              </w:rPr>
            </w:pPr>
            <w:r>
              <w:rPr>
                <w:sz w:val="22"/>
              </w:rPr>
              <w:t>Ruano, Polotitlán</w:t>
            </w:r>
          </w:p>
        </w:tc>
        <w:tc>
          <w:tcPr>
            <w:tcW w:w="1133" w:type="dxa"/>
          </w:tcPr>
          <w:p>
            <w:pPr>
              <w:pStyle w:val="TableParagraph"/>
              <w:spacing w:line="252" w:lineRule="exact" w:before="2"/>
              <w:ind w:left="100" w:right="98"/>
              <w:rPr>
                <w:sz w:val="22"/>
              </w:rPr>
            </w:pPr>
            <w:r>
              <w:rPr>
                <w:sz w:val="22"/>
              </w:rPr>
              <w:t>Ruano, Polotitlán</w:t>
            </w:r>
          </w:p>
        </w:tc>
        <w:tc>
          <w:tcPr>
            <w:tcW w:w="3687" w:type="dxa"/>
          </w:tcPr>
          <w:p>
            <w:pPr>
              <w:pStyle w:val="TableParagraph"/>
              <w:ind w:right="100"/>
              <w:jc w:val="both"/>
              <w:rPr>
                <w:sz w:val="22"/>
              </w:rPr>
            </w:pPr>
            <w:r>
              <w:rPr>
                <w:sz w:val="22"/>
              </w:rPr>
              <w:t>Sí porque así estaríamos más de acuerdo con el porcentaje que nos toca de riego.</w:t>
            </w:r>
          </w:p>
        </w:tc>
      </w:tr>
      <w:tr>
        <w:trPr>
          <w:trHeight w:val="1781" w:hRule="exact"/>
        </w:trPr>
        <w:tc>
          <w:tcPr>
            <w:tcW w:w="1385" w:type="dxa"/>
          </w:tcPr>
          <w:p>
            <w:pPr>
              <w:pStyle w:val="TableParagraph"/>
              <w:ind w:right="249"/>
              <w:rPr>
                <w:sz w:val="22"/>
              </w:rPr>
            </w:pPr>
            <w:r>
              <w:rPr>
                <w:sz w:val="22"/>
              </w:rPr>
              <w:t>Fernando Caballero López (4/9/2014)</w:t>
            </w:r>
          </w:p>
        </w:tc>
        <w:tc>
          <w:tcPr>
            <w:tcW w:w="1418" w:type="dxa"/>
          </w:tcPr>
          <w:p>
            <w:pPr>
              <w:pStyle w:val="TableParagraph"/>
              <w:ind w:left="100" w:right="101"/>
              <w:jc w:val="both"/>
              <w:rPr>
                <w:sz w:val="22"/>
              </w:rPr>
            </w:pPr>
            <w:r>
              <w:rPr>
                <w:sz w:val="22"/>
              </w:rPr>
              <w:t>Vigilar una gasera y el campo</w:t>
            </w:r>
          </w:p>
        </w:tc>
        <w:tc>
          <w:tcPr>
            <w:tcW w:w="1417" w:type="dxa"/>
          </w:tcPr>
          <w:p>
            <w:pPr>
              <w:pStyle w:val="TableParagraph"/>
              <w:spacing w:line="252" w:lineRule="exact" w:before="2"/>
              <w:ind w:left="100" w:right="345"/>
              <w:rPr>
                <w:sz w:val="22"/>
              </w:rPr>
            </w:pPr>
            <w:r>
              <w:rPr>
                <w:sz w:val="22"/>
              </w:rPr>
              <w:t>Delegado Municipal</w:t>
            </w:r>
          </w:p>
        </w:tc>
        <w:tc>
          <w:tcPr>
            <w:tcW w:w="1560" w:type="dxa"/>
          </w:tcPr>
          <w:p>
            <w:pPr>
              <w:pStyle w:val="TableParagraph"/>
              <w:spacing w:line="251" w:lineRule="exact"/>
              <w:ind w:right="143"/>
              <w:rPr>
                <w:sz w:val="22"/>
              </w:rPr>
            </w:pPr>
            <w:r>
              <w:rPr>
                <w:sz w:val="22"/>
              </w:rPr>
              <w:t>Encinillas</w:t>
            </w:r>
          </w:p>
        </w:tc>
        <w:tc>
          <w:tcPr>
            <w:tcW w:w="991" w:type="dxa"/>
          </w:tcPr>
          <w:p>
            <w:pPr>
              <w:pStyle w:val="TableParagraph"/>
              <w:spacing w:line="252" w:lineRule="exact" w:before="2"/>
              <w:ind w:left="100" w:right="201"/>
              <w:rPr>
                <w:sz w:val="22"/>
              </w:rPr>
            </w:pPr>
            <w:r>
              <w:rPr>
                <w:sz w:val="22"/>
              </w:rPr>
              <w:t>Polotitl án</w:t>
            </w:r>
          </w:p>
        </w:tc>
        <w:tc>
          <w:tcPr>
            <w:tcW w:w="1277" w:type="dxa"/>
          </w:tcPr>
          <w:p>
            <w:pPr>
              <w:pStyle w:val="TableParagraph"/>
              <w:ind w:right="132"/>
              <w:rPr>
                <w:sz w:val="22"/>
              </w:rPr>
            </w:pPr>
            <w:r>
              <w:rPr>
                <w:sz w:val="22"/>
              </w:rPr>
              <w:t>Distrito Federal, pero llegue a Encinillas desde que era niño.</w:t>
            </w:r>
          </w:p>
        </w:tc>
        <w:tc>
          <w:tcPr>
            <w:tcW w:w="1133" w:type="dxa"/>
          </w:tcPr>
          <w:p>
            <w:pPr>
              <w:pStyle w:val="TableParagraph"/>
              <w:ind w:left="100" w:right="98"/>
              <w:rPr>
                <w:sz w:val="22"/>
              </w:rPr>
            </w:pPr>
            <w:r>
              <w:rPr>
                <w:sz w:val="22"/>
              </w:rPr>
              <w:t>Encinilla s, Polotitlán</w:t>
            </w:r>
          </w:p>
        </w:tc>
        <w:tc>
          <w:tcPr>
            <w:tcW w:w="3687" w:type="dxa"/>
          </w:tcPr>
          <w:p>
            <w:pPr>
              <w:pStyle w:val="TableParagraph"/>
              <w:ind w:right="98"/>
              <w:jc w:val="both"/>
              <w:rPr>
                <w:sz w:val="22"/>
              </w:rPr>
            </w:pPr>
            <w:r>
              <w:rPr>
                <w:sz w:val="22"/>
              </w:rPr>
              <w:t>No considero apropiado que exista un reglamento intermunicipal para el uso del agua de la laguna porque ya se maneja con un Comité de</w:t>
            </w:r>
            <w:r>
              <w:rPr>
                <w:spacing w:val="-4"/>
                <w:sz w:val="22"/>
              </w:rPr>
              <w:t> </w:t>
            </w:r>
            <w:r>
              <w:rPr>
                <w:sz w:val="22"/>
              </w:rPr>
              <w:t>Riego.</w:t>
            </w:r>
          </w:p>
        </w:tc>
      </w:tr>
      <w:tr>
        <w:trPr>
          <w:trHeight w:val="1022" w:hRule="exact"/>
        </w:trPr>
        <w:tc>
          <w:tcPr>
            <w:tcW w:w="1385" w:type="dxa"/>
          </w:tcPr>
          <w:p>
            <w:pPr>
              <w:pStyle w:val="TableParagraph"/>
              <w:ind w:right="249"/>
              <w:rPr>
                <w:sz w:val="22"/>
              </w:rPr>
            </w:pPr>
            <w:r>
              <w:rPr>
                <w:sz w:val="22"/>
              </w:rPr>
              <w:t>Felipe Tapia Chimal (4/9/2014)</w:t>
            </w:r>
          </w:p>
        </w:tc>
        <w:tc>
          <w:tcPr>
            <w:tcW w:w="1418" w:type="dxa"/>
          </w:tcPr>
          <w:p>
            <w:pPr>
              <w:pStyle w:val="TableParagraph"/>
              <w:spacing w:line="252" w:lineRule="exact" w:before="2"/>
              <w:ind w:left="384" w:right="144" w:hanging="228"/>
              <w:rPr>
                <w:sz w:val="22"/>
              </w:rPr>
            </w:pPr>
            <w:r>
              <w:rPr>
                <w:sz w:val="22"/>
              </w:rPr>
              <w:t>El campo y albañil</w:t>
            </w:r>
          </w:p>
        </w:tc>
        <w:tc>
          <w:tcPr>
            <w:tcW w:w="1417" w:type="dxa"/>
          </w:tcPr>
          <w:p>
            <w:pPr>
              <w:pStyle w:val="TableParagraph"/>
              <w:spacing w:line="252" w:lineRule="exact" w:before="2"/>
              <w:ind w:left="100" w:right="345"/>
              <w:rPr>
                <w:sz w:val="22"/>
              </w:rPr>
            </w:pPr>
            <w:r>
              <w:rPr>
                <w:sz w:val="22"/>
              </w:rPr>
              <w:t>Delegado Municipal</w:t>
            </w:r>
          </w:p>
        </w:tc>
        <w:tc>
          <w:tcPr>
            <w:tcW w:w="1560" w:type="dxa"/>
          </w:tcPr>
          <w:p>
            <w:pPr>
              <w:pStyle w:val="TableParagraph"/>
              <w:spacing w:line="252" w:lineRule="exact" w:before="2"/>
              <w:ind w:right="314"/>
              <w:rPr>
                <w:sz w:val="22"/>
              </w:rPr>
            </w:pPr>
            <w:r>
              <w:rPr>
                <w:sz w:val="22"/>
              </w:rPr>
              <w:t>La Campesina</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ind w:right="154"/>
              <w:rPr>
                <w:sz w:val="22"/>
              </w:rPr>
            </w:pPr>
            <w:r>
              <w:rPr>
                <w:sz w:val="22"/>
              </w:rPr>
              <w:t>La Campesin a, Timilpan</w:t>
            </w:r>
          </w:p>
        </w:tc>
        <w:tc>
          <w:tcPr>
            <w:tcW w:w="1133" w:type="dxa"/>
          </w:tcPr>
          <w:p>
            <w:pPr>
              <w:pStyle w:val="TableParagraph"/>
              <w:ind w:left="100" w:right="135"/>
              <w:rPr>
                <w:sz w:val="22"/>
              </w:rPr>
            </w:pPr>
            <w:r>
              <w:rPr>
                <w:sz w:val="22"/>
              </w:rPr>
              <w:t>La Campesi na, Timilpan</w:t>
            </w:r>
          </w:p>
        </w:tc>
        <w:tc>
          <w:tcPr>
            <w:tcW w:w="3687" w:type="dxa"/>
          </w:tcPr>
          <w:p>
            <w:pPr>
              <w:pStyle w:val="TableParagraph"/>
              <w:spacing w:line="251" w:lineRule="exact"/>
              <w:rPr>
                <w:sz w:val="22"/>
              </w:rPr>
            </w:pPr>
            <w:r>
              <w:rPr>
                <w:sz w:val="22"/>
              </w:rPr>
              <w:t>No sé, desconozco.</w:t>
            </w:r>
          </w:p>
        </w:tc>
      </w:tr>
      <w:tr>
        <w:trPr>
          <w:trHeight w:val="1021" w:hRule="exact"/>
        </w:trPr>
        <w:tc>
          <w:tcPr>
            <w:tcW w:w="1385" w:type="dxa"/>
          </w:tcPr>
          <w:p>
            <w:pPr>
              <w:pStyle w:val="TableParagraph"/>
              <w:ind w:right="127"/>
              <w:rPr>
                <w:sz w:val="22"/>
              </w:rPr>
            </w:pPr>
            <w:r>
              <w:rPr>
                <w:sz w:val="22"/>
              </w:rPr>
              <w:t>Audencio Santiago Valentín (24/1/2015)</w:t>
            </w:r>
          </w:p>
        </w:tc>
        <w:tc>
          <w:tcPr>
            <w:tcW w:w="1418" w:type="dxa"/>
          </w:tcPr>
          <w:p>
            <w:pPr>
              <w:pStyle w:val="TableParagraph"/>
              <w:spacing w:line="252" w:lineRule="exact" w:before="2"/>
              <w:ind w:left="384" w:right="144" w:hanging="228"/>
              <w:rPr>
                <w:sz w:val="22"/>
              </w:rPr>
            </w:pPr>
            <w:r>
              <w:rPr>
                <w:sz w:val="22"/>
              </w:rPr>
              <w:t>El campo y albañil</w:t>
            </w:r>
          </w:p>
        </w:tc>
        <w:tc>
          <w:tcPr>
            <w:tcW w:w="1417" w:type="dxa"/>
          </w:tcPr>
          <w:p>
            <w:pPr>
              <w:pStyle w:val="TableParagraph"/>
              <w:spacing w:line="252" w:lineRule="exact" w:before="2"/>
              <w:ind w:left="100" w:right="345"/>
              <w:rPr>
                <w:sz w:val="22"/>
              </w:rPr>
            </w:pPr>
            <w:r>
              <w:rPr>
                <w:sz w:val="22"/>
              </w:rPr>
              <w:t>Delegado Municipal</w:t>
            </w:r>
          </w:p>
        </w:tc>
        <w:tc>
          <w:tcPr>
            <w:tcW w:w="1560" w:type="dxa"/>
          </w:tcPr>
          <w:p>
            <w:pPr>
              <w:pStyle w:val="TableParagraph"/>
              <w:spacing w:line="251" w:lineRule="exact"/>
              <w:ind w:right="143"/>
              <w:rPr>
                <w:sz w:val="22"/>
              </w:rPr>
            </w:pPr>
            <w:r>
              <w:rPr>
                <w:sz w:val="22"/>
              </w:rPr>
              <w:t>Las Arenas</w:t>
            </w:r>
          </w:p>
        </w:tc>
        <w:tc>
          <w:tcPr>
            <w:tcW w:w="991" w:type="dxa"/>
          </w:tcPr>
          <w:p>
            <w:pPr>
              <w:pStyle w:val="TableParagraph"/>
              <w:spacing w:line="252" w:lineRule="exact" w:before="2"/>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3687" w:type="dxa"/>
          </w:tcPr>
          <w:p>
            <w:pPr>
              <w:pStyle w:val="TableParagraph"/>
              <w:ind w:right="101"/>
              <w:jc w:val="both"/>
              <w:rPr>
                <w:sz w:val="22"/>
              </w:rPr>
            </w:pPr>
            <w:r>
              <w:rPr>
                <w:sz w:val="22"/>
              </w:rPr>
              <w:t>Sí para que ya no saquen tanta agua y no se saque toda el agua y haya un nivel.</w:t>
            </w:r>
          </w:p>
        </w:tc>
      </w:tr>
      <w:tr>
        <w:trPr>
          <w:trHeight w:val="770" w:hRule="exact"/>
        </w:trPr>
        <w:tc>
          <w:tcPr>
            <w:tcW w:w="1385" w:type="dxa"/>
          </w:tcPr>
          <w:p>
            <w:pPr>
              <w:pStyle w:val="TableParagraph"/>
              <w:ind w:right="335"/>
              <w:rPr>
                <w:sz w:val="22"/>
              </w:rPr>
            </w:pPr>
            <w:r>
              <w:rPr>
                <w:sz w:val="22"/>
              </w:rPr>
              <w:t>Ponciano Olmos Correa</w:t>
            </w:r>
          </w:p>
        </w:tc>
        <w:tc>
          <w:tcPr>
            <w:tcW w:w="1418" w:type="dxa"/>
          </w:tcPr>
          <w:p>
            <w:pPr>
              <w:pStyle w:val="TableParagraph"/>
              <w:ind w:left="242" w:right="101"/>
              <w:rPr>
                <w:sz w:val="22"/>
              </w:rPr>
            </w:pPr>
            <w:r>
              <w:rPr>
                <w:sz w:val="22"/>
              </w:rPr>
              <w:t>El campo</w:t>
            </w:r>
          </w:p>
        </w:tc>
        <w:tc>
          <w:tcPr>
            <w:tcW w:w="1417" w:type="dxa"/>
          </w:tcPr>
          <w:p>
            <w:pPr>
              <w:pStyle w:val="TableParagraph"/>
              <w:tabs>
                <w:tab w:pos="1132" w:val="left" w:leader="none"/>
              </w:tabs>
              <w:ind w:left="100" w:right="101"/>
              <w:rPr>
                <w:sz w:val="22"/>
              </w:rPr>
            </w:pPr>
            <w:r>
              <w:rPr>
                <w:sz w:val="22"/>
              </w:rPr>
              <w:t>Delegado Municipal de</w:t>
              <w:tab/>
              <w:t>la</w:t>
            </w:r>
          </w:p>
        </w:tc>
        <w:tc>
          <w:tcPr>
            <w:tcW w:w="1560" w:type="dxa"/>
          </w:tcPr>
          <w:p>
            <w:pPr>
              <w:pStyle w:val="TableParagraph"/>
              <w:ind w:right="143"/>
              <w:rPr>
                <w:sz w:val="22"/>
              </w:rPr>
            </w:pPr>
            <w:r>
              <w:rPr>
                <w:sz w:val="22"/>
              </w:rPr>
              <w:t>San Juanico</w:t>
            </w:r>
          </w:p>
        </w:tc>
        <w:tc>
          <w:tcPr>
            <w:tcW w:w="991" w:type="dxa"/>
          </w:tcPr>
          <w:p>
            <w:pPr>
              <w:pStyle w:val="TableParagraph"/>
              <w:ind w:left="100" w:right="176"/>
              <w:rPr>
                <w:sz w:val="22"/>
              </w:rPr>
            </w:pPr>
            <w:r>
              <w:rPr>
                <w:sz w:val="22"/>
              </w:rPr>
              <w:t>Acamb ay</w:t>
            </w:r>
          </w:p>
        </w:tc>
        <w:tc>
          <w:tcPr>
            <w:tcW w:w="1277" w:type="dxa"/>
          </w:tcPr>
          <w:p>
            <w:pPr>
              <w:pStyle w:val="TableParagraph"/>
              <w:ind w:right="227"/>
              <w:rPr>
                <w:sz w:val="22"/>
              </w:rPr>
            </w:pPr>
            <w:r>
              <w:rPr>
                <w:sz w:val="22"/>
              </w:rPr>
              <w:t>San Juanico, Acambay</w:t>
            </w:r>
          </w:p>
        </w:tc>
        <w:tc>
          <w:tcPr>
            <w:tcW w:w="1133" w:type="dxa"/>
          </w:tcPr>
          <w:p>
            <w:pPr>
              <w:pStyle w:val="TableParagraph"/>
              <w:ind w:left="100" w:right="86"/>
              <w:rPr>
                <w:sz w:val="22"/>
              </w:rPr>
            </w:pPr>
            <w:r>
              <w:rPr>
                <w:sz w:val="22"/>
              </w:rPr>
              <w:t>San Juanico, Acambay</w:t>
            </w:r>
          </w:p>
        </w:tc>
        <w:tc>
          <w:tcPr>
            <w:tcW w:w="3687" w:type="dxa"/>
          </w:tcPr>
          <w:p>
            <w:pPr>
              <w:pStyle w:val="TableParagraph"/>
              <w:ind w:right="101"/>
              <w:jc w:val="both"/>
              <w:rPr>
                <w:sz w:val="22"/>
              </w:rPr>
            </w:pPr>
            <w:r>
              <w:rPr>
                <w:sz w:val="22"/>
              </w:rPr>
              <w:t>Este tema aunque es difícil puede realizarse ya que lo que se necesita  es  cuidarla  porque</w:t>
            </w:r>
            <w:r>
              <w:rPr>
                <w:spacing w:val="33"/>
                <w:sz w:val="22"/>
              </w:rPr>
              <w:t> </w:t>
            </w:r>
            <w:r>
              <w:rPr>
                <w:sz w:val="22"/>
              </w:rPr>
              <w:t>sería</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1022" w:hRule="exact"/>
        </w:trPr>
        <w:tc>
          <w:tcPr>
            <w:tcW w:w="1385" w:type="dxa"/>
          </w:tcPr>
          <w:p>
            <w:pPr>
              <w:pStyle w:val="TableParagraph"/>
              <w:spacing w:line="251" w:lineRule="exact"/>
              <w:ind w:right="127"/>
              <w:rPr>
                <w:sz w:val="22"/>
              </w:rPr>
            </w:pPr>
            <w:r>
              <w:rPr>
                <w:sz w:val="22"/>
              </w:rPr>
              <w:t>(7/II/2015)</w:t>
            </w:r>
          </w:p>
        </w:tc>
        <w:tc>
          <w:tcPr>
            <w:tcW w:w="1418" w:type="dxa"/>
          </w:tcPr>
          <w:p>
            <w:pPr/>
          </w:p>
        </w:tc>
        <w:tc>
          <w:tcPr>
            <w:tcW w:w="1417" w:type="dxa"/>
          </w:tcPr>
          <w:p>
            <w:pPr>
              <w:pStyle w:val="TableParagraph"/>
              <w:tabs>
                <w:tab w:pos="911" w:val="left" w:leader="none"/>
              </w:tabs>
              <w:ind w:left="100" w:right="101"/>
              <w:rPr>
                <w:sz w:val="22"/>
              </w:rPr>
            </w:pPr>
            <w:r>
              <w:rPr>
                <w:sz w:val="22"/>
              </w:rPr>
              <w:t>Primera Manzana de</w:t>
              <w:tab/>
              <w:t>San Juanico.</w:t>
            </w:r>
          </w:p>
        </w:tc>
        <w:tc>
          <w:tcPr>
            <w:tcW w:w="1560" w:type="dxa"/>
          </w:tcPr>
          <w:p>
            <w:pPr/>
          </w:p>
        </w:tc>
        <w:tc>
          <w:tcPr>
            <w:tcW w:w="991" w:type="dxa"/>
          </w:tcPr>
          <w:p>
            <w:pPr/>
          </w:p>
        </w:tc>
        <w:tc>
          <w:tcPr>
            <w:tcW w:w="1277" w:type="dxa"/>
          </w:tcPr>
          <w:p>
            <w:pPr/>
          </w:p>
        </w:tc>
        <w:tc>
          <w:tcPr>
            <w:tcW w:w="1133" w:type="dxa"/>
          </w:tcPr>
          <w:p>
            <w:pPr/>
          </w:p>
        </w:tc>
        <w:tc>
          <w:tcPr>
            <w:tcW w:w="3687" w:type="dxa"/>
          </w:tcPr>
          <w:p>
            <w:pPr>
              <w:pStyle w:val="TableParagraph"/>
              <w:spacing w:line="251" w:lineRule="exact"/>
              <w:rPr>
                <w:sz w:val="22"/>
              </w:rPr>
            </w:pPr>
            <w:r>
              <w:rPr>
                <w:sz w:val="22"/>
              </w:rPr>
              <w:t>una reserva.</w:t>
            </w:r>
          </w:p>
        </w:tc>
      </w:tr>
      <w:tr>
        <w:trPr>
          <w:trHeight w:val="266" w:hRule="exact"/>
        </w:trPr>
        <w:tc>
          <w:tcPr>
            <w:tcW w:w="1385" w:type="dxa"/>
            <w:tcBorders>
              <w:bottom w:val="nil"/>
            </w:tcBorders>
          </w:tcPr>
          <w:p>
            <w:pPr>
              <w:pStyle w:val="TableParagraph"/>
              <w:spacing w:line="251" w:lineRule="exact"/>
              <w:ind w:right="127"/>
              <w:rPr>
                <w:sz w:val="22"/>
              </w:rPr>
            </w:pPr>
            <w:r>
              <w:rPr>
                <w:sz w:val="22"/>
              </w:rPr>
              <w:t>Gabriel</w:t>
            </w:r>
          </w:p>
        </w:tc>
        <w:tc>
          <w:tcPr>
            <w:tcW w:w="1418" w:type="dxa"/>
            <w:tcBorders>
              <w:bottom w:val="nil"/>
            </w:tcBorders>
          </w:tcPr>
          <w:p>
            <w:pPr>
              <w:pStyle w:val="TableParagraph"/>
              <w:spacing w:line="251" w:lineRule="exact"/>
              <w:ind w:left="101" w:right="104"/>
              <w:jc w:val="center"/>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San Juanico</w:t>
            </w:r>
          </w:p>
        </w:tc>
        <w:tc>
          <w:tcPr>
            <w:tcW w:w="991" w:type="dxa"/>
            <w:tcBorders>
              <w:bottom w:val="nil"/>
            </w:tcBorders>
          </w:tcPr>
          <w:p>
            <w:pPr>
              <w:pStyle w:val="TableParagraph"/>
              <w:spacing w:line="251" w:lineRule="exact"/>
              <w:ind w:left="100"/>
              <w:rPr>
                <w:sz w:val="22"/>
              </w:rPr>
            </w:pPr>
            <w:r>
              <w:rPr>
                <w:sz w:val="22"/>
              </w:rPr>
              <w:t>Acamb</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San</w:t>
            </w:r>
          </w:p>
        </w:tc>
        <w:tc>
          <w:tcPr>
            <w:tcW w:w="3687" w:type="dxa"/>
            <w:tcBorders>
              <w:bottom w:val="nil"/>
            </w:tcBorders>
          </w:tcPr>
          <w:p>
            <w:pPr>
              <w:pStyle w:val="TableParagraph"/>
              <w:spacing w:line="251" w:lineRule="exact"/>
              <w:rPr>
                <w:sz w:val="22"/>
              </w:rPr>
            </w:pPr>
            <w:r>
              <w:rPr>
                <w:sz w:val="22"/>
              </w:rPr>
              <w:t>Sí tiene que haber un    reglamento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Pérez</w:t>
            </w:r>
          </w:p>
        </w:tc>
        <w:tc>
          <w:tcPr>
            <w:tcW w:w="1418" w:type="dxa"/>
            <w:tcBorders>
              <w:top w:val="nil"/>
              <w:bottom w:val="nil"/>
            </w:tcBorders>
          </w:tcPr>
          <w:p>
            <w:pPr>
              <w:pStyle w:val="TableParagraph"/>
              <w:spacing w:line="241" w:lineRule="exact"/>
              <w:ind w:left="102" w:right="104"/>
              <w:jc w:val="center"/>
              <w:rPr>
                <w:sz w:val="22"/>
              </w:rPr>
            </w:pPr>
            <w:r>
              <w:rPr>
                <w:sz w:val="22"/>
              </w:rPr>
              <w:t>la</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ay</w:t>
            </w:r>
          </w:p>
        </w:tc>
        <w:tc>
          <w:tcPr>
            <w:tcW w:w="1277" w:type="dxa"/>
            <w:tcBorders>
              <w:top w:val="nil"/>
              <w:bottom w:val="nil"/>
            </w:tcBorders>
          </w:tcPr>
          <w:p>
            <w:pPr>
              <w:pStyle w:val="TableParagraph"/>
              <w:spacing w:line="241" w:lineRule="exact"/>
              <w:ind w:right="92"/>
              <w:rPr>
                <w:sz w:val="22"/>
              </w:rPr>
            </w:pPr>
            <w:r>
              <w:rPr>
                <w:sz w:val="22"/>
              </w:rPr>
              <w:t>Juanico,</w:t>
            </w:r>
          </w:p>
        </w:tc>
        <w:tc>
          <w:tcPr>
            <w:tcW w:w="1133" w:type="dxa"/>
            <w:tcBorders>
              <w:top w:val="nil"/>
              <w:bottom w:val="nil"/>
            </w:tcBorders>
          </w:tcPr>
          <w:p>
            <w:pPr>
              <w:pStyle w:val="TableParagraph"/>
              <w:spacing w:line="241" w:lineRule="exact"/>
              <w:ind w:left="100" w:right="52"/>
              <w:rPr>
                <w:sz w:val="22"/>
              </w:rPr>
            </w:pPr>
            <w:r>
              <w:rPr>
                <w:sz w:val="22"/>
              </w:rPr>
              <w:t>Juanico,</w:t>
            </w:r>
          </w:p>
        </w:tc>
        <w:tc>
          <w:tcPr>
            <w:tcW w:w="3687" w:type="dxa"/>
            <w:tcBorders>
              <w:top w:val="nil"/>
              <w:bottom w:val="nil"/>
            </w:tcBorders>
          </w:tcPr>
          <w:p>
            <w:pPr>
              <w:pStyle w:val="TableParagraph"/>
              <w:spacing w:line="241" w:lineRule="exact"/>
              <w:rPr>
                <w:sz w:val="22"/>
              </w:rPr>
            </w:pPr>
            <w:r>
              <w:rPr>
                <w:sz w:val="22"/>
              </w:rPr>
              <w:t>para la conservación de la  </w:t>
            </w:r>
            <w:r>
              <w:rPr>
                <w:spacing w:val="50"/>
                <w:sz w:val="22"/>
              </w:rPr>
              <w:t> </w:t>
            </w:r>
            <w:r>
              <w:rPr>
                <w:sz w:val="22"/>
              </w:rPr>
              <w:t>laguna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Padilla</w:t>
            </w:r>
          </w:p>
        </w:tc>
        <w:tc>
          <w:tcPr>
            <w:tcW w:w="1418" w:type="dxa"/>
            <w:tcBorders>
              <w:top w:val="nil"/>
              <w:bottom w:val="nil"/>
            </w:tcBorders>
          </w:tcPr>
          <w:p>
            <w:pPr>
              <w:pStyle w:val="TableParagraph"/>
              <w:spacing w:line="242" w:lineRule="exact"/>
              <w:ind w:left="100" w:right="104"/>
              <w:jc w:val="center"/>
              <w:rPr>
                <w:sz w:val="22"/>
              </w:rPr>
            </w:pPr>
            <w:r>
              <w:rPr>
                <w:sz w:val="22"/>
              </w:rPr>
              <w:t>albañilería</w:t>
            </w:r>
          </w:p>
        </w:tc>
        <w:tc>
          <w:tcPr>
            <w:tcW w:w="1417" w:type="dxa"/>
            <w:tcBorders>
              <w:top w:val="nil"/>
              <w:bottom w:val="nil"/>
            </w:tcBorders>
          </w:tcPr>
          <w:p>
            <w:pPr>
              <w:pStyle w:val="TableParagraph"/>
              <w:tabs>
                <w:tab w:pos="1132" w:val="left" w:leader="none"/>
              </w:tabs>
              <w:spacing w:line="242"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Acambay</w:t>
            </w:r>
          </w:p>
        </w:tc>
        <w:tc>
          <w:tcPr>
            <w:tcW w:w="1133" w:type="dxa"/>
            <w:tcBorders>
              <w:top w:val="nil"/>
              <w:bottom w:val="nil"/>
            </w:tcBorders>
          </w:tcPr>
          <w:p>
            <w:pPr>
              <w:pStyle w:val="TableParagraph"/>
              <w:spacing w:line="242" w:lineRule="exact"/>
              <w:ind w:left="100" w:right="52"/>
              <w:rPr>
                <w:sz w:val="22"/>
              </w:rPr>
            </w:pPr>
            <w:r>
              <w:rPr>
                <w:sz w:val="22"/>
              </w:rPr>
              <w:t>Acambay</w:t>
            </w:r>
          </w:p>
        </w:tc>
        <w:tc>
          <w:tcPr>
            <w:tcW w:w="3687" w:type="dxa"/>
            <w:tcBorders>
              <w:top w:val="nil"/>
              <w:bottom w:val="nil"/>
            </w:tcBorders>
          </w:tcPr>
          <w:p>
            <w:pPr>
              <w:pStyle w:val="TableParagraph"/>
              <w:spacing w:line="242" w:lineRule="exact"/>
              <w:rPr>
                <w:sz w:val="22"/>
              </w:rPr>
            </w:pPr>
            <w:r>
              <w:rPr>
                <w:sz w:val="22"/>
              </w:rPr>
              <w:t>para que no se pierda el envase de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(7/II/2015)</w:t>
            </w: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Segunda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la laguna.</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911" w:val="left" w:leader="none"/>
              </w:tabs>
              <w:spacing w:line="242" w:lineRule="exact"/>
              <w:ind w:left="100"/>
              <w:rPr>
                <w:sz w:val="22"/>
              </w:rPr>
            </w:pPr>
            <w:r>
              <w:rPr>
                <w:sz w:val="22"/>
              </w:rPr>
              <w:t>de</w:t>
              <w:tab/>
              <w:t>San</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0" w:hRule="exact"/>
        </w:trPr>
        <w:tc>
          <w:tcPr>
            <w:tcW w:w="1385" w:type="dxa"/>
            <w:tcBorders>
              <w:top w:val="nil"/>
            </w:tcBorders>
          </w:tcPr>
          <w:p>
            <w:pPr/>
          </w:p>
        </w:tc>
        <w:tc>
          <w:tcPr>
            <w:tcW w:w="1418" w:type="dxa"/>
            <w:tcBorders>
              <w:top w:val="nil"/>
            </w:tcBorders>
          </w:tcPr>
          <w:p>
            <w:pPr/>
          </w:p>
        </w:tc>
        <w:tc>
          <w:tcPr>
            <w:tcW w:w="1417" w:type="dxa"/>
            <w:tcBorders>
              <w:top w:val="nil"/>
            </w:tcBorders>
          </w:tcPr>
          <w:p>
            <w:pPr>
              <w:pStyle w:val="TableParagraph"/>
              <w:spacing w:line="241" w:lineRule="exact"/>
              <w:ind w:left="100"/>
              <w:rPr>
                <w:sz w:val="22"/>
              </w:rPr>
            </w:pPr>
            <w:r>
              <w:rPr>
                <w:sz w:val="22"/>
              </w:rPr>
              <w:t>Juanico.</w:t>
            </w: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bl>
    <w:p>
      <w:pPr>
        <w:pStyle w:val="BodyText"/>
        <w:spacing w:line="248" w:lineRule="exact"/>
        <w:ind w:left="218" w:right="397"/>
      </w:pPr>
      <w:r>
        <w:rPr>
          <w:b/>
        </w:rPr>
        <w:t>Fuente: </w:t>
      </w:r>
      <w:r>
        <w:rPr/>
        <w:t>Elaboración propia con base en el Trabajo de Campo, García (2013-2015).</w:t>
      </w:r>
    </w:p>
    <w:p>
      <w:pPr>
        <w:pStyle w:val="BodyText"/>
        <w:spacing w:before="6"/>
        <w:rPr>
          <w:sz w:val="20"/>
        </w:rPr>
      </w:pPr>
    </w:p>
    <w:p>
      <w:pPr>
        <w:pStyle w:val="Heading6"/>
        <w:spacing w:after="6"/>
        <w:ind w:left="2662" w:right="397"/>
      </w:pPr>
      <w:r>
        <w:rPr/>
        <w:t>Tabla 6.8. Delegados Municipales (trabajo de campo)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524" w:hRule="exact"/>
        </w:trPr>
        <w:tc>
          <w:tcPr>
            <w:tcW w:w="6771" w:type="dxa"/>
            <w:gridSpan w:val="5"/>
            <w:vMerge w:val="restart"/>
            <w:shd w:val="clear" w:color="auto" w:fill="F9BE8F"/>
          </w:tcPr>
          <w:p>
            <w:pPr>
              <w:pStyle w:val="TableParagraph"/>
              <w:spacing w:before="5"/>
              <w:ind w:left="0"/>
              <w:rPr>
                <w:b/>
                <w:sz w:val="21"/>
              </w:rPr>
            </w:pPr>
          </w:p>
          <w:p>
            <w:pPr>
              <w:pStyle w:val="TableParagraph"/>
              <w:ind w:left="1814"/>
              <w:rPr>
                <w:b/>
                <w:sz w:val="22"/>
              </w:rPr>
            </w:pPr>
            <w:r>
              <w:rPr>
                <w:b/>
                <w:sz w:val="22"/>
              </w:rPr>
              <w:t>IDENTIFICACIÓN DEL ACTOR</w:t>
            </w:r>
          </w:p>
        </w:tc>
        <w:tc>
          <w:tcPr>
            <w:tcW w:w="6097" w:type="dxa"/>
            <w:gridSpan w:val="3"/>
            <w:shd w:val="clear" w:color="auto" w:fill="92CDDC"/>
          </w:tcPr>
          <w:p>
            <w:pPr>
              <w:pStyle w:val="TableParagraph"/>
              <w:spacing w:before="5"/>
              <w:ind w:left="0"/>
              <w:rPr>
                <w:b/>
                <w:sz w:val="21"/>
              </w:rPr>
            </w:pPr>
          </w:p>
          <w:p>
            <w:pPr>
              <w:pStyle w:val="TableParagraph"/>
              <w:ind w:left="1404"/>
              <w:rPr>
                <w:b/>
                <w:sz w:val="22"/>
              </w:rPr>
            </w:pPr>
            <w:r>
              <w:rPr>
                <w:b/>
                <w:sz w:val="22"/>
              </w:rPr>
              <w:t>PRINCIPIOS DE GOBERNANZA</w:t>
            </w:r>
          </w:p>
        </w:tc>
      </w:tr>
      <w:tr>
        <w:trPr>
          <w:trHeight w:val="770" w:hRule="exact"/>
        </w:trPr>
        <w:tc>
          <w:tcPr>
            <w:tcW w:w="6771" w:type="dxa"/>
            <w:gridSpan w:val="5"/>
            <w:vMerge/>
            <w:shd w:val="clear" w:color="auto" w:fill="F9BE8F"/>
          </w:tcPr>
          <w:p>
            <w:pPr/>
          </w:p>
        </w:tc>
        <w:tc>
          <w:tcPr>
            <w:tcW w:w="2410" w:type="dxa"/>
            <w:gridSpan w:val="2"/>
            <w:shd w:val="clear" w:color="auto" w:fill="92CDDC"/>
          </w:tcPr>
          <w:p>
            <w:pPr>
              <w:pStyle w:val="TableParagraph"/>
              <w:spacing w:line="252" w:lineRule="exact"/>
              <w:ind w:left="710"/>
              <w:rPr>
                <w:b/>
                <w:i/>
                <w:sz w:val="22"/>
              </w:rPr>
            </w:pPr>
            <w:r>
              <w:rPr>
                <w:b/>
                <w:i/>
                <w:sz w:val="22"/>
              </w:rPr>
              <w:t>Identidad</w:t>
            </w:r>
          </w:p>
        </w:tc>
        <w:tc>
          <w:tcPr>
            <w:tcW w:w="3687" w:type="dxa"/>
            <w:shd w:val="clear" w:color="auto" w:fill="92CDDC"/>
          </w:tcPr>
          <w:p>
            <w:pPr>
              <w:pStyle w:val="TableParagraph"/>
              <w:ind w:right="99"/>
              <w:jc w:val="both"/>
              <w:rPr>
                <w:b/>
                <w:i/>
                <w:sz w:val="22"/>
              </w:rPr>
            </w:pPr>
            <w:r>
              <w:rPr>
                <w:b/>
                <w:i/>
                <w:sz w:val="22"/>
              </w:rPr>
              <w:t>Democracia y voluntariedad  de </w:t>
            </w:r>
            <w:r>
              <w:rPr>
                <w:b/>
                <w:i/>
                <w:sz w:val="22"/>
              </w:rPr>
              <w:t>la sociedad, cooperación y participación social</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Ocupacion</w:t>
            </w:r>
          </w:p>
        </w:tc>
        <w:tc>
          <w:tcPr>
            <w:tcW w:w="1417" w:type="dxa"/>
            <w:tcBorders>
              <w:bottom w:val="nil"/>
            </w:tcBorders>
            <w:shd w:val="clear" w:color="auto" w:fill="F9BE8F"/>
          </w:tcPr>
          <w:p>
            <w:pPr>
              <w:pStyle w:val="TableParagraph"/>
              <w:spacing w:line="248" w:lineRule="exact"/>
              <w:ind w:left="100"/>
              <w:rPr>
                <w:b/>
                <w:sz w:val="22"/>
              </w:rPr>
            </w:pPr>
            <w:r>
              <w:rPr>
                <w:b/>
                <w:sz w:val="22"/>
              </w:rPr>
              <w:t>Cargo</w:t>
            </w:r>
          </w:p>
        </w:tc>
        <w:tc>
          <w:tcPr>
            <w:tcW w:w="1560" w:type="dxa"/>
            <w:tcBorders>
              <w:bottom w:val="nil"/>
            </w:tcBorders>
            <w:shd w:val="clear" w:color="auto" w:fill="F9BE8F"/>
          </w:tcPr>
          <w:p>
            <w:pPr>
              <w:pStyle w:val="TableParagraph"/>
              <w:spacing w:line="248" w:lineRule="exact"/>
              <w:ind w:right="143"/>
              <w:rPr>
                <w:b/>
                <w:sz w:val="22"/>
              </w:rPr>
            </w:pPr>
            <w:r>
              <w:rPr>
                <w:b/>
                <w:sz w:val="22"/>
              </w:rPr>
              <w:t>Comunidad</w:t>
            </w:r>
          </w:p>
        </w:tc>
        <w:tc>
          <w:tcPr>
            <w:tcW w:w="991" w:type="dxa"/>
            <w:tcBorders>
              <w:bottom w:val="nil"/>
            </w:tcBorders>
            <w:shd w:val="clear" w:color="auto" w:fill="F9BE8F"/>
          </w:tcPr>
          <w:p>
            <w:pPr>
              <w:pStyle w:val="TableParagraph"/>
              <w:spacing w:line="248" w:lineRule="exact"/>
              <w:ind w:left="100"/>
              <w:rPr>
                <w:b/>
                <w:sz w:val="22"/>
              </w:rPr>
            </w:pPr>
            <w:r>
              <w:rPr>
                <w:b/>
                <w:sz w:val="22"/>
              </w:rPr>
              <w:t>Munici</w:t>
            </w:r>
          </w:p>
        </w:tc>
        <w:tc>
          <w:tcPr>
            <w:tcW w:w="1277" w:type="dxa"/>
            <w:tcBorders>
              <w:bottom w:val="nil"/>
            </w:tcBorders>
            <w:shd w:val="clear" w:color="auto" w:fill="92CDDC"/>
          </w:tcPr>
          <w:p>
            <w:pPr>
              <w:pStyle w:val="TableParagraph"/>
              <w:spacing w:line="248" w:lineRule="exact"/>
              <w:ind w:right="92"/>
              <w:rPr>
                <w:b/>
                <w:sz w:val="22"/>
              </w:rPr>
            </w:pPr>
            <w:r>
              <w:rPr>
                <w:b/>
                <w:sz w:val="22"/>
              </w:rPr>
              <w:t>¿Dónde</w:t>
            </w:r>
          </w:p>
        </w:tc>
        <w:tc>
          <w:tcPr>
            <w:tcW w:w="1133" w:type="dxa"/>
            <w:tcBorders>
              <w:bottom w:val="nil"/>
            </w:tcBorders>
            <w:shd w:val="clear" w:color="auto" w:fill="92CDDC"/>
          </w:tcPr>
          <w:p>
            <w:pPr>
              <w:pStyle w:val="TableParagraph"/>
              <w:spacing w:line="248" w:lineRule="exact"/>
              <w:ind w:left="100" w:right="52"/>
              <w:rPr>
                <w:b/>
                <w:sz w:val="22"/>
              </w:rPr>
            </w:pPr>
            <w:r>
              <w:rPr>
                <w:b/>
                <w:sz w:val="22"/>
              </w:rPr>
              <w:t>¿Dónde</w:t>
            </w:r>
          </w:p>
        </w:tc>
        <w:tc>
          <w:tcPr>
            <w:tcW w:w="3687" w:type="dxa"/>
            <w:tcBorders>
              <w:bottom w:val="nil"/>
            </w:tcBorders>
            <w:shd w:val="clear" w:color="auto" w:fill="92CDDC"/>
          </w:tcPr>
          <w:p>
            <w:pPr>
              <w:pStyle w:val="TableParagraph"/>
              <w:tabs>
                <w:tab w:pos="1257" w:val="left" w:leader="none"/>
                <w:tab w:pos="2127" w:val="left" w:leader="none"/>
                <w:tab w:pos="3451" w:val="left" w:leader="none"/>
              </w:tabs>
              <w:spacing w:line="248" w:lineRule="exact"/>
              <w:rPr>
                <w:b/>
                <w:sz w:val="22"/>
              </w:rPr>
            </w:pPr>
            <w:r>
              <w:rPr>
                <w:b/>
                <w:sz w:val="22"/>
              </w:rPr>
              <w:t>¿Estaría</w:t>
              <w:tab/>
              <w:t>usted</w:t>
              <w:tab/>
              <w:t>dispuesto</w:t>
              <w:tab/>
              <w:t>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es</w:t>
            </w: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1" w:lineRule="exact"/>
              <w:ind w:right="143"/>
              <w:rPr>
                <w:b/>
                <w:sz w:val="22"/>
              </w:rPr>
            </w:pPr>
            <w:r>
              <w:rPr>
                <w:b/>
                <w:sz w:val="22"/>
              </w:rPr>
              <w:t>que</w:t>
            </w:r>
          </w:p>
        </w:tc>
        <w:tc>
          <w:tcPr>
            <w:tcW w:w="991" w:type="dxa"/>
            <w:tcBorders>
              <w:top w:val="nil"/>
              <w:bottom w:val="nil"/>
            </w:tcBorders>
            <w:shd w:val="clear" w:color="auto" w:fill="F9BE8F"/>
          </w:tcPr>
          <w:p>
            <w:pPr>
              <w:pStyle w:val="TableParagraph"/>
              <w:spacing w:line="241" w:lineRule="exact"/>
              <w:ind w:left="100"/>
              <w:rPr>
                <w:b/>
                <w:sz w:val="22"/>
              </w:rPr>
            </w:pPr>
            <w:r>
              <w:rPr>
                <w:b/>
                <w:sz w:val="22"/>
              </w:rPr>
              <w:t>pio</w:t>
            </w:r>
          </w:p>
        </w:tc>
        <w:tc>
          <w:tcPr>
            <w:tcW w:w="1277" w:type="dxa"/>
            <w:tcBorders>
              <w:top w:val="nil"/>
              <w:bottom w:val="nil"/>
            </w:tcBorders>
            <w:shd w:val="clear" w:color="auto" w:fill="92CDDC"/>
          </w:tcPr>
          <w:p>
            <w:pPr>
              <w:pStyle w:val="TableParagraph"/>
              <w:spacing w:line="241" w:lineRule="exact"/>
              <w:ind w:right="92"/>
              <w:rPr>
                <w:b/>
                <w:sz w:val="22"/>
              </w:rPr>
            </w:pPr>
            <w:r>
              <w:rPr>
                <w:b/>
                <w:sz w:val="22"/>
              </w:rPr>
              <w:t>nació?</w:t>
            </w:r>
          </w:p>
        </w:tc>
        <w:tc>
          <w:tcPr>
            <w:tcW w:w="1133" w:type="dxa"/>
            <w:tcBorders>
              <w:top w:val="nil"/>
              <w:bottom w:val="nil"/>
            </w:tcBorders>
            <w:shd w:val="clear" w:color="auto" w:fill="92CDDC"/>
          </w:tcPr>
          <w:p>
            <w:pPr>
              <w:pStyle w:val="TableParagraph"/>
              <w:spacing w:line="241" w:lineRule="exact"/>
              <w:ind w:left="100" w:right="52"/>
              <w:rPr>
                <w:b/>
                <w:sz w:val="22"/>
              </w:rPr>
            </w:pPr>
            <w:r>
              <w:rPr>
                <w:b/>
                <w:sz w:val="22"/>
              </w:rPr>
              <w:t>vive?</w:t>
            </w:r>
          </w:p>
        </w:tc>
        <w:tc>
          <w:tcPr>
            <w:tcW w:w="3687" w:type="dxa"/>
            <w:tcBorders>
              <w:top w:val="nil"/>
              <w:bottom w:val="nil"/>
            </w:tcBorders>
            <w:shd w:val="clear" w:color="auto" w:fill="92CDDC"/>
          </w:tcPr>
          <w:p>
            <w:pPr>
              <w:pStyle w:val="TableParagraph"/>
              <w:spacing w:line="241" w:lineRule="exact"/>
              <w:rPr>
                <w:b/>
                <w:sz w:val="22"/>
              </w:rPr>
            </w:pPr>
            <w:r>
              <w:rPr>
                <w:b/>
                <w:sz w:val="22"/>
              </w:rPr>
              <w:t>asistir  a  una  reunión para tratar</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417" w:type="dxa"/>
            <w:tcBorders>
              <w:top w:val="nil"/>
              <w:bottom w:val="nil"/>
            </w:tcBorders>
            <w:shd w:val="clear" w:color="auto" w:fill="F9BE8F"/>
          </w:tcPr>
          <w:p>
            <w:pPr/>
          </w:p>
        </w:tc>
        <w:tc>
          <w:tcPr>
            <w:tcW w:w="1560" w:type="dxa"/>
            <w:tcBorders>
              <w:top w:val="nil"/>
              <w:bottom w:val="nil"/>
            </w:tcBorders>
            <w:shd w:val="clear" w:color="auto" w:fill="F9BE8F"/>
          </w:tcPr>
          <w:p>
            <w:pPr>
              <w:pStyle w:val="TableParagraph"/>
              <w:spacing w:line="242" w:lineRule="exact"/>
              <w:ind w:right="143"/>
              <w:rPr>
                <w:b/>
                <w:sz w:val="22"/>
              </w:rPr>
            </w:pPr>
            <w:r>
              <w:rPr>
                <w:b/>
                <w:sz w:val="22"/>
              </w:rPr>
              <w:t>representa</w:t>
            </w:r>
          </w:p>
        </w:tc>
        <w:tc>
          <w:tcPr>
            <w:tcW w:w="991" w:type="dxa"/>
            <w:tcBorders>
              <w:top w:val="nil"/>
              <w:bottom w:val="nil"/>
            </w:tcBorders>
            <w:shd w:val="clear" w:color="auto" w:fill="F9BE8F"/>
          </w:tcPr>
          <w:p>
            <w:pPr/>
          </w:p>
        </w:tc>
        <w:tc>
          <w:tcPr>
            <w:tcW w:w="1277" w:type="dxa"/>
            <w:tcBorders>
              <w:top w:val="nil"/>
              <w:bottom w:val="nil"/>
            </w:tcBorders>
            <w:shd w:val="clear" w:color="auto" w:fill="92CDDC"/>
          </w:tcPr>
          <w:p>
            <w:pPr/>
          </w:p>
        </w:tc>
        <w:tc>
          <w:tcPr>
            <w:tcW w:w="1133" w:type="dxa"/>
            <w:tcBorders>
              <w:top w:val="nil"/>
              <w:bottom w:val="nil"/>
            </w:tcBorders>
            <w:shd w:val="clear" w:color="auto" w:fill="92CDDC"/>
          </w:tcPr>
          <w:p>
            <w:pPr/>
          </w:p>
        </w:tc>
        <w:tc>
          <w:tcPr>
            <w:tcW w:w="3687" w:type="dxa"/>
            <w:tcBorders>
              <w:top w:val="nil"/>
              <w:bottom w:val="nil"/>
            </w:tcBorders>
            <w:shd w:val="clear" w:color="auto" w:fill="92CDDC"/>
          </w:tcPr>
          <w:p>
            <w:pPr>
              <w:pStyle w:val="TableParagraph"/>
              <w:tabs>
                <w:tab w:pos="1180" w:val="left" w:leader="none"/>
                <w:tab w:pos="2768" w:val="left" w:leader="none"/>
                <w:tab w:pos="3389" w:val="left" w:leader="none"/>
              </w:tabs>
              <w:spacing w:line="242" w:lineRule="exact"/>
              <w:rPr>
                <w:b/>
                <w:sz w:val="22"/>
              </w:rPr>
            </w:pPr>
            <w:r>
              <w:rPr>
                <w:b/>
                <w:sz w:val="22"/>
              </w:rPr>
              <w:t>asuntos</w:t>
              <w:tab/>
              <w:t>relacionados</w:t>
              <w:tab/>
              <w:t>con</w:t>
              <w:tab/>
              <w:t>la</w:t>
            </w: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417" w:type="dxa"/>
            <w:tcBorders>
              <w:top w:val="nil"/>
            </w:tcBorders>
            <w:shd w:val="clear" w:color="auto" w:fill="F9BE8F"/>
          </w:tcPr>
          <w:p>
            <w:pPr/>
          </w:p>
        </w:tc>
        <w:tc>
          <w:tcPr>
            <w:tcW w:w="1560" w:type="dxa"/>
            <w:tcBorders>
              <w:top w:val="nil"/>
            </w:tcBorders>
            <w:shd w:val="clear" w:color="auto" w:fill="F9BE8F"/>
          </w:tcPr>
          <w:p>
            <w:pPr/>
          </w:p>
        </w:tc>
        <w:tc>
          <w:tcPr>
            <w:tcW w:w="991" w:type="dxa"/>
            <w:tcBorders>
              <w:top w:val="nil"/>
            </w:tcBorders>
            <w:shd w:val="clear" w:color="auto" w:fill="F9BE8F"/>
          </w:tcPr>
          <w:p>
            <w:pPr/>
          </w:p>
        </w:tc>
        <w:tc>
          <w:tcPr>
            <w:tcW w:w="1277" w:type="dxa"/>
            <w:tcBorders>
              <w:top w:val="nil"/>
            </w:tcBorders>
            <w:shd w:val="clear" w:color="auto" w:fill="92CDDC"/>
          </w:tcPr>
          <w:p>
            <w:pPr/>
          </w:p>
        </w:tc>
        <w:tc>
          <w:tcPr>
            <w:tcW w:w="1133" w:type="dxa"/>
            <w:tcBorders>
              <w:top w:val="nil"/>
            </w:tcBorders>
            <w:shd w:val="clear" w:color="auto" w:fill="92CDDC"/>
          </w:tcPr>
          <w:p>
            <w:pPr/>
          </w:p>
        </w:tc>
        <w:tc>
          <w:tcPr>
            <w:tcW w:w="3687" w:type="dxa"/>
            <w:tcBorders>
              <w:top w:val="nil"/>
            </w:tcBorders>
            <w:shd w:val="clear" w:color="auto" w:fill="92CDDC"/>
          </w:tcPr>
          <w:p>
            <w:pPr>
              <w:pStyle w:val="TableParagraph"/>
              <w:spacing w:line="241" w:lineRule="exact"/>
              <w:rPr>
                <w:b/>
                <w:sz w:val="22"/>
              </w:rPr>
            </w:pPr>
            <w:r>
              <w:rPr>
                <w:b/>
                <w:sz w:val="22"/>
              </w:rPr>
              <w:t>laguna de Huapango?</w:t>
            </w:r>
          </w:p>
        </w:tc>
      </w:tr>
      <w:tr>
        <w:trPr>
          <w:trHeight w:val="266" w:hRule="exact"/>
        </w:trPr>
        <w:tc>
          <w:tcPr>
            <w:tcW w:w="1385" w:type="dxa"/>
            <w:tcBorders>
              <w:bottom w:val="nil"/>
            </w:tcBorders>
          </w:tcPr>
          <w:p>
            <w:pPr>
              <w:pStyle w:val="TableParagraph"/>
              <w:spacing w:line="251" w:lineRule="exact"/>
              <w:ind w:right="127"/>
              <w:rPr>
                <w:sz w:val="22"/>
              </w:rPr>
            </w:pPr>
            <w:r>
              <w:rPr>
                <w:sz w:val="22"/>
              </w:rPr>
              <w:t>Gabriel</w:t>
            </w:r>
          </w:p>
        </w:tc>
        <w:tc>
          <w:tcPr>
            <w:tcW w:w="1418" w:type="dxa"/>
            <w:tcBorders>
              <w:bottom w:val="nil"/>
            </w:tcBorders>
          </w:tcPr>
          <w:p>
            <w:pPr>
              <w:pStyle w:val="TableParagraph"/>
              <w:spacing w:line="251" w:lineRule="exact"/>
              <w:ind w:left="100" w:right="101"/>
              <w:rPr>
                <w:sz w:val="22"/>
              </w:rPr>
            </w:pPr>
            <w:r>
              <w:rPr>
                <w:sz w:val="22"/>
              </w:rPr>
              <w:t>El comercio</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Aldama</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Aldama,</w:t>
            </w:r>
          </w:p>
        </w:tc>
        <w:tc>
          <w:tcPr>
            <w:tcW w:w="1133" w:type="dxa"/>
            <w:tcBorders>
              <w:bottom w:val="nil"/>
            </w:tcBorders>
          </w:tcPr>
          <w:p>
            <w:pPr>
              <w:pStyle w:val="TableParagraph"/>
              <w:spacing w:line="251" w:lineRule="exact"/>
              <w:ind w:left="100" w:right="52"/>
              <w:rPr>
                <w:sz w:val="22"/>
              </w:rPr>
            </w:pPr>
            <w:r>
              <w:rPr>
                <w:sz w:val="22"/>
              </w:rPr>
              <w:t>Aldama,</w:t>
            </w:r>
          </w:p>
        </w:tc>
        <w:tc>
          <w:tcPr>
            <w:tcW w:w="3687" w:type="dxa"/>
            <w:tcBorders>
              <w:bottom w:val="nil"/>
            </w:tcBorders>
          </w:tcPr>
          <w:p>
            <w:pPr>
              <w:pStyle w:val="TableParagraph"/>
              <w:spacing w:line="251" w:lineRule="exact"/>
              <w:rPr>
                <w:sz w:val="22"/>
              </w:rPr>
            </w:pPr>
            <w:r>
              <w:rPr>
                <w:sz w:val="22"/>
              </w:rPr>
              <w:t>Sí  asistiría  para  escuchar  cuáles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(tienda de</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Jilotepec</w:t>
            </w:r>
          </w:p>
        </w:tc>
        <w:tc>
          <w:tcPr>
            <w:tcW w:w="3687" w:type="dxa"/>
            <w:tcBorders>
              <w:top w:val="nil"/>
              <w:bottom w:val="nil"/>
            </w:tcBorders>
          </w:tcPr>
          <w:p>
            <w:pPr>
              <w:pStyle w:val="TableParagraph"/>
              <w:spacing w:line="241" w:lineRule="exact"/>
              <w:rPr>
                <w:sz w:val="22"/>
              </w:rPr>
            </w:pPr>
            <w:r>
              <w:rPr>
                <w:sz w:val="22"/>
              </w:rPr>
              <w:t>son las propuestas de solución  del</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González</w:t>
            </w:r>
          </w:p>
        </w:tc>
        <w:tc>
          <w:tcPr>
            <w:tcW w:w="1418" w:type="dxa"/>
            <w:tcBorders>
              <w:top w:val="nil"/>
              <w:bottom w:val="nil"/>
            </w:tcBorders>
          </w:tcPr>
          <w:p>
            <w:pPr>
              <w:pStyle w:val="TableParagraph"/>
              <w:spacing w:line="242" w:lineRule="exact"/>
              <w:ind w:left="100"/>
              <w:rPr>
                <w:sz w:val="22"/>
              </w:rPr>
            </w:pPr>
            <w:r>
              <w:rPr>
                <w:sz w:val="22"/>
              </w:rPr>
              <w:t>abarrotes) y</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gobierno y para ver que se indica.</w:t>
            </w:r>
          </w:p>
        </w:tc>
      </w:tr>
      <w:tr>
        <w:trPr>
          <w:trHeight w:val="247" w:hRule="exact"/>
        </w:trPr>
        <w:tc>
          <w:tcPr>
            <w:tcW w:w="1385" w:type="dxa"/>
            <w:tcBorders>
              <w:top w:val="nil"/>
            </w:tcBorders>
          </w:tcPr>
          <w:p>
            <w:pPr>
              <w:pStyle w:val="TableParagraph"/>
              <w:spacing w:line="241" w:lineRule="exact"/>
              <w:ind w:right="127"/>
              <w:rPr>
                <w:sz w:val="22"/>
              </w:rPr>
            </w:pPr>
            <w:r>
              <w:rPr>
                <w:sz w:val="22"/>
              </w:rPr>
              <w:t>(7/7/2014)</w:t>
            </w:r>
          </w:p>
        </w:tc>
        <w:tc>
          <w:tcPr>
            <w:tcW w:w="1418" w:type="dxa"/>
            <w:tcBorders>
              <w:top w:val="nil"/>
            </w:tcBorders>
          </w:tcPr>
          <w:p>
            <w:pPr>
              <w:pStyle w:val="TableParagraph"/>
              <w:spacing w:line="241" w:lineRule="exact"/>
              <w:ind w:left="100" w:right="101"/>
              <w:rPr>
                <w:sz w:val="22"/>
              </w:rPr>
            </w:pPr>
            <w:r>
              <w:rPr>
                <w:sz w:val="22"/>
              </w:rPr>
              <w:t>el campo</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Abel</w:t>
            </w:r>
          </w:p>
        </w:tc>
        <w:tc>
          <w:tcPr>
            <w:tcW w:w="1418" w:type="dxa"/>
            <w:tcBorders>
              <w:bottom w:val="nil"/>
            </w:tcBorders>
          </w:tcPr>
          <w:p>
            <w:pPr>
              <w:pStyle w:val="TableParagraph"/>
              <w:ind w:left="100" w:right="101"/>
              <w:rPr>
                <w:sz w:val="22"/>
              </w:rPr>
            </w:pPr>
            <w:r>
              <w:rPr>
                <w:sz w:val="22"/>
              </w:rPr>
              <w:t>Profesor de</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Huapango</w:t>
            </w:r>
          </w:p>
        </w:tc>
        <w:tc>
          <w:tcPr>
            <w:tcW w:w="991" w:type="dxa"/>
            <w:tcBorders>
              <w:bottom w:val="nil"/>
            </w:tcBorders>
          </w:tcPr>
          <w:p>
            <w:pPr>
              <w:pStyle w:val="TableParagraph"/>
              <w:ind w:left="100"/>
              <w:rPr>
                <w:sz w:val="22"/>
              </w:rPr>
            </w:pPr>
            <w:r>
              <w:rPr>
                <w:sz w:val="22"/>
              </w:rPr>
              <w:t>Timilpa</w:t>
            </w:r>
          </w:p>
        </w:tc>
        <w:tc>
          <w:tcPr>
            <w:tcW w:w="1277" w:type="dxa"/>
            <w:tcBorders>
              <w:bottom w:val="nil"/>
            </w:tcBorders>
          </w:tcPr>
          <w:p>
            <w:pPr>
              <w:pStyle w:val="TableParagraph"/>
              <w:ind w:right="92"/>
              <w:rPr>
                <w:sz w:val="22"/>
              </w:rPr>
            </w:pPr>
            <w:r>
              <w:rPr>
                <w:sz w:val="22"/>
              </w:rPr>
              <w:t>Huapango</w:t>
            </w:r>
          </w:p>
        </w:tc>
        <w:tc>
          <w:tcPr>
            <w:tcW w:w="1133" w:type="dxa"/>
            <w:tcBorders>
              <w:bottom w:val="nil"/>
            </w:tcBorders>
          </w:tcPr>
          <w:p>
            <w:pPr>
              <w:pStyle w:val="TableParagraph"/>
              <w:ind w:left="100" w:right="52"/>
              <w:rPr>
                <w:sz w:val="22"/>
              </w:rPr>
            </w:pPr>
            <w:r>
              <w:rPr>
                <w:sz w:val="22"/>
              </w:rPr>
              <w:t>Huapang</w:t>
            </w:r>
          </w:p>
        </w:tc>
        <w:tc>
          <w:tcPr>
            <w:tcW w:w="3687" w:type="dxa"/>
            <w:tcBorders>
              <w:bottom w:val="nil"/>
            </w:tcBorders>
          </w:tcPr>
          <w:p>
            <w:pPr>
              <w:pStyle w:val="TableParagraph"/>
              <w:rPr>
                <w:sz w:val="22"/>
              </w:rPr>
            </w:pPr>
            <w:r>
              <w:rPr>
                <w:sz w:val="22"/>
              </w:rPr>
              <w:t>Sí   asistiría   porque   es  beneficio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Miranda</w:t>
            </w:r>
          </w:p>
        </w:tc>
        <w:tc>
          <w:tcPr>
            <w:tcW w:w="1418" w:type="dxa"/>
            <w:tcBorders>
              <w:top w:val="nil"/>
              <w:bottom w:val="nil"/>
            </w:tcBorders>
          </w:tcPr>
          <w:p>
            <w:pPr>
              <w:pStyle w:val="TableParagraph"/>
              <w:spacing w:line="241" w:lineRule="exact"/>
              <w:ind w:left="100" w:right="101"/>
              <w:rPr>
                <w:sz w:val="22"/>
              </w:rPr>
            </w:pPr>
            <w:r>
              <w:rPr>
                <w:sz w:val="22"/>
              </w:rPr>
              <w:t>secundaria</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n</w:t>
            </w:r>
          </w:p>
        </w:tc>
        <w:tc>
          <w:tcPr>
            <w:tcW w:w="1277" w:type="dxa"/>
            <w:tcBorders>
              <w:top w:val="nil"/>
              <w:bottom w:val="nil"/>
            </w:tcBorders>
          </w:tcPr>
          <w:p>
            <w:pPr>
              <w:pStyle w:val="TableParagraph"/>
              <w:spacing w:line="241" w:lineRule="exact"/>
              <w:ind w:right="92"/>
              <w:rPr>
                <w:sz w:val="22"/>
              </w:rPr>
            </w:pPr>
            <w:r>
              <w:rPr>
                <w:sz w:val="22"/>
              </w:rPr>
              <w:t>, Timilpan</w:t>
            </w:r>
          </w:p>
        </w:tc>
        <w:tc>
          <w:tcPr>
            <w:tcW w:w="1133" w:type="dxa"/>
            <w:tcBorders>
              <w:top w:val="nil"/>
              <w:bottom w:val="nil"/>
            </w:tcBorders>
          </w:tcPr>
          <w:p>
            <w:pPr>
              <w:pStyle w:val="TableParagraph"/>
              <w:spacing w:line="241" w:lineRule="exact"/>
              <w:ind w:left="100" w:right="52"/>
              <w:rPr>
                <w:sz w:val="22"/>
              </w:rPr>
            </w:pPr>
            <w:r>
              <w:rPr>
                <w:sz w:val="22"/>
              </w:rPr>
              <w:t>o,</w:t>
            </w:r>
          </w:p>
        </w:tc>
        <w:tc>
          <w:tcPr>
            <w:tcW w:w="3687" w:type="dxa"/>
            <w:tcBorders>
              <w:top w:val="nil"/>
              <w:bottom w:val="nil"/>
            </w:tcBorders>
          </w:tcPr>
          <w:p>
            <w:pPr>
              <w:pStyle w:val="TableParagraph"/>
              <w:spacing w:line="241" w:lineRule="exact"/>
              <w:rPr>
                <w:sz w:val="22"/>
              </w:rPr>
            </w:pPr>
            <w:r>
              <w:rPr>
                <w:sz w:val="22"/>
              </w:rPr>
              <w:t>para todos.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Miranda</w:t>
            </w:r>
          </w:p>
        </w:tc>
        <w:tc>
          <w:tcPr>
            <w:tcW w:w="1418" w:type="dxa"/>
            <w:tcBorders>
              <w:top w:val="nil"/>
              <w:bottom w:val="nil"/>
            </w:tcBorders>
          </w:tcPr>
          <w:p>
            <w:pPr>
              <w:pStyle w:val="TableParagraph"/>
              <w:spacing w:line="241" w:lineRule="exact"/>
              <w:ind w:left="100" w:right="101"/>
              <w:rPr>
                <w:sz w:val="22"/>
              </w:rPr>
            </w:pPr>
            <w:r>
              <w:rPr>
                <w:sz w:val="22"/>
              </w:rPr>
              <w:t>y el campo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1" w:lineRule="exact"/>
              <w:ind w:left="100" w:right="52"/>
              <w:rPr>
                <w:sz w:val="22"/>
              </w:rPr>
            </w:pPr>
            <w:r>
              <w:rPr>
                <w:sz w:val="22"/>
              </w:rPr>
              <w:t>Timilpan</w:t>
            </w:r>
          </w:p>
        </w:tc>
        <w:tc>
          <w:tcPr>
            <w:tcW w:w="3687" w:type="dxa"/>
            <w:tcBorders>
              <w:top w:val="nil"/>
              <w:bottom w:val="nil"/>
            </w:tcBorders>
          </w:tcPr>
          <w:p>
            <w:pPr/>
          </w:p>
        </w:tc>
      </w:tr>
      <w:tr>
        <w:trPr>
          <w:trHeight w:val="877" w:hRule="exact"/>
        </w:trPr>
        <w:tc>
          <w:tcPr>
            <w:tcW w:w="1385" w:type="dxa"/>
            <w:tcBorders>
              <w:top w:val="nil"/>
            </w:tcBorders>
          </w:tcPr>
          <w:p>
            <w:pPr>
              <w:pStyle w:val="TableParagraph"/>
              <w:spacing w:line="242" w:lineRule="exact"/>
              <w:ind w:right="127"/>
              <w:rPr>
                <w:sz w:val="22"/>
              </w:rPr>
            </w:pPr>
            <w:r>
              <w:rPr>
                <w:sz w:val="22"/>
              </w:rPr>
              <w:t>(7/7/2014)</w:t>
            </w: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266" w:hRule="exact"/>
        </w:trPr>
        <w:tc>
          <w:tcPr>
            <w:tcW w:w="1385" w:type="dxa"/>
            <w:tcBorders>
              <w:bottom w:val="nil"/>
            </w:tcBorders>
          </w:tcPr>
          <w:p>
            <w:pPr>
              <w:pStyle w:val="TableParagraph"/>
              <w:spacing w:line="251" w:lineRule="exact"/>
              <w:ind w:right="127"/>
              <w:rPr>
                <w:sz w:val="22"/>
              </w:rPr>
            </w:pPr>
            <w:r>
              <w:rPr>
                <w:sz w:val="22"/>
              </w:rPr>
              <w:t>Yolanda</w:t>
            </w:r>
          </w:p>
        </w:tc>
        <w:tc>
          <w:tcPr>
            <w:tcW w:w="1418" w:type="dxa"/>
            <w:tcBorders>
              <w:bottom w:val="nil"/>
            </w:tcBorders>
          </w:tcPr>
          <w:p>
            <w:pPr>
              <w:pStyle w:val="TableParagraph"/>
              <w:spacing w:line="251" w:lineRule="exact"/>
              <w:ind w:left="100"/>
              <w:rPr>
                <w:sz w:val="22"/>
              </w:rPr>
            </w:pPr>
            <w:r>
              <w:rPr>
                <w:sz w:val="22"/>
              </w:rPr>
              <w:t>El   hogar  y</w:t>
            </w:r>
          </w:p>
        </w:tc>
        <w:tc>
          <w:tcPr>
            <w:tcW w:w="1417" w:type="dxa"/>
            <w:tcBorders>
              <w:bottom w:val="nil"/>
            </w:tcBorders>
          </w:tcPr>
          <w:p>
            <w:pPr>
              <w:pStyle w:val="TableParagraph"/>
              <w:spacing w:line="251" w:lineRule="exact"/>
              <w:ind w:left="100"/>
              <w:rPr>
                <w:sz w:val="22"/>
              </w:rPr>
            </w:pPr>
            <w:r>
              <w:rPr>
                <w:sz w:val="22"/>
              </w:rPr>
              <w:t>Delegada</w:t>
            </w:r>
          </w:p>
        </w:tc>
        <w:tc>
          <w:tcPr>
            <w:tcW w:w="1560" w:type="dxa"/>
            <w:tcBorders>
              <w:bottom w:val="nil"/>
            </w:tcBorders>
          </w:tcPr>
          <w:p>
            <w:pPr>
              <w:pStyle w:val="TableParagraph"/>
              <w:spacing w:line="251" w:lineRule="exact"/>
              <w:ind w:right="143"/>
              <w:rPr>
                <w:sz w:val="22"/>
              </w:rPr>
            </w:pPr>
            <w:r>
              <w:rPr>
                <w:sz w:val="22"/>
              </w:rPr>
              <w:t>El Saltillo</w:t>
            </w:r>
          </w:p>
        </w:tc>
        <w:tc>
          <w:tcPr>
            <w:tcW w:w="991" w:type="dxa"/>
            <w:tcBorders>
              <w:bottom w:val="nil"/>
            </w:tcBorders>
          </w:tcPr>
          <w:p>
            <w:pPr>
              <w:pStyle w:val="TableParagraph"/>
              <w:spacing w:line="251" w:lineRule="exact"/>
              <w:ind w:left="100"/>
              <w:rPr>
                <w:sz w:val="22"/>
              </w:rPr>
            </w:pPr>
            <w:r>
              <w:rPr>
                <w:sz w:val="22"/>
              </w:rPr>
              <w:t>Jilotepe</w:t>
            </w:r>
          </w:p>
        </w:tc>
        <w:tc>
          <w:tcPr>
            <w:tcW w:w="1277" w:type="dxa"/>
            <w:tcBorders>
              <w:bottom w:val="nil"/>
            </w:tcBorders>
          </w:tcPr>
          <w:p>
            <w:pPr>
              <w:pStyle w:val="TableParagraph"/>
              <w:spacing w:line="251" w:lineRule="exact"/>
              <w:ind w:right="92"/>
              <w:rPr>
                <w:sz w:val="22"/>
              </w:rPr>
            </w:pPr>
            <w:r>
              <w:rPr>
                <w:sz w:val="22"/>
              </w:rPr>
              <w:t>El Saltillo,</w:t>
            </w:r>
          </w:p>
        </w:tc>
        <w:tc>
          <w:tcPr>
            <w:tcW w:w="1133" w:type="dxa"/>
            <w:tcBorders>
              <w:bottom w:val="nil"/>
            </w:tcBorders>
          </w:tcPr>
          <w:p>
            <w:pPr>
              <w:pStyle w:val="TableParagraph"/>
              <w:spacing w:line="251" w:lineRule="exact"/>
              <w:ind w:left="100" w:right="52"/>
              <w:rPr>
                <w:sz w:val="22"/>
              </w:rPr>
            </w:pPr>
            <w:r>
              <w:rPr>
                <w:sz w:val="22"/>
              </w:rPr>
              <w:t>El</w:t>
            </w:r>
          </w:p>
        </w:tc>
        <w:tc>
          <w:tcPr>
            <w:tcW w:w="3687" w:type="dxa"/>
            <w:tcBorders>
              <w:bottom w:val="nil"/>
            </w:tcBorders>
          </w:tcPr>
          <w:p>
            <w:pPr>
              <w:pStyle w:val="TableParagraph"/>
              <w:spacing w:line="251" w:lineRule="exact"/>
              <w:rPr>
                <w:sz w:val="22"/>
              </w:rPr>
            </w:pPr>
            <w:r>
              <w:rPr>
                <w:sz w:val="22"/>
              </w:rPr>
              <w:t>Sí   asistiría   porque   me  interesa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Lovera</w:t>
            </w:r>
          </w:p>
        </w:tc>
        <w:tc>
          <w:tcPr>
            <w:tcW w:w="1418" w:type="dxa"/>
            <w:tcBorders>
              <w:top w:val="nil"/>
              <w:bottom w:val="nil"/>
            </w:tcBorders>
          </w:tcPr>
          <w:p>
            <w:pPr>
              <w:pStyle w:val="TableParagraph"/>
              <w:spacing w:line="241" w:lineRule="exact"/>
              <w:ind w:left="100" w:right="101"/>
              <w:rPr>
                <w:sz w:val="22"/>
              </w:rPr>
            </w:pPr>
            <w:r>
              <w:rPr>
                <w:sz w:val="22"/>
              </w:rPr>
              <w:t>ser</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w w:val="100"/>
                <w:sz w:val="22"/>
              </w:rPr>
              <w:t>c</w:t>
            </w:r>
          </w:p>
        </w:tc>
        <w:tc>
          <w:tcPr>
            <w:tcW w:w="1277" w:type="dxa"/>
            <w:tcBorders>
              <w:top w:val="nil"/>
              <w:bottom w:val="nil"/>
            </w:tcBorders>
          </w:tcPr>
          <w:p>
            <w:pPr>
              <w:pStyle w:val="TableParagraph"/>
              <w:spacing w:line="241" w:lineRule="exact"/>
              <w:ind w:right="92"/>
              <w:rPr>
                <w:sz w:val="22"/>
              </w:rPr>
            </w:pPr>
            <w:r>
              <w:rPr>
                <w:sz w:val="22"/>
              </w:rPr>
              <w:t>Jilotepec</w:t>
            </w:r>
          </w:p>
        </w:tc>
        <w:tc>
          <w:tcPr>
            <w:tcW w:w="1133" w:type="dxa"/>
            <w:tcBorders>
              <w:top w:val="nil"/>
              <w:bottom w:val="nil"/>
            </w:tcBorders>
          </w:tcPr>
          <w:p>
            <w:pPr>
              <w:pStyle w:val="TableParagraph"/>
              <w:spacing w:line="241" w:lineRule="exact"/>
              <w:ind w:left="100" w:right="52"/>
              <w:rPr>
                <w:sz w:val="22"/>
              </w:rPr>
            </w:pPr>
            <w:r>
              <w:rPr>
                <w:sz w:val="22"/>
              </w:rPr>
              <w:t>Saltillo,</w:t>
            </w:r>
          </w:p>
        </w:tc>
        <w:tc>
          <w:tcPr>
            <w:tcW w:w="3687" w:type="dxa"/>
            <w:tcBorders>
              <w:top w:val="nil"/>
              <w:bottom w:val="nil"/>
            </w:tcBorders>
          </w:tcPr>
          <w:p>
            <w:pPr>
              <w:pStyle w:val="TableParagraph"/>
              <w:spacing w:line="241" w:lineRule="exact"/>
              <w:rPr>
                <w:sz w:val="22"/>
              </w:rPr>
            </w:pPr>
            <w:r>
              <w:rPr>
                <w:sz w:val="22"/>
              </w:rPr>
              <w:t>porque  la  laguna  es  parte  de  mi</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418" w:type="dxa"/>
            <w:tcBorders>
              <w:top w:val="nil"/>
              <w:bottom w:val="nil"/>
            </w:tcBorders>
          </w:tcPr>
          <w:p>
            <w:pPr>
              <w:pStyle w:val="TableParagraph"/>
              <w:spacing w:line="242" w:lineRule="exact"/>
              <w:ind w:left="100" w:right="101"/>
              <w:rPr>
                <w:sz w:val="22"/>
              </w:rPr>
            </w:pPr>
            <w:r>
              <w:rPr>
                <w:sz w:val="22"/>
              </w:rPr>
              <w:t>delegada</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Style w:val="TableParagraph"/>
              <w:spacing w:line="242" w:lineRule="exact"/>
              <w:ind w:left="100" w:right="52"/>
              <w:rPr>
                <w:sz w:val="22"/>
              </w:rPr>
            </w:pPr>
            <w:r>
              <w:rPr>
                <w:sz w:val="22"/>
              </w:rPr>
              <w:t>Jilotepec</w:t>
            </w:r>
          </w:p>
        </w:tc>
        <w:tc>
          <w:tcPr>
            <w:tcW w:w="3687" w:type="dxa"/>
            <w:tcBorders>
              <w:top w:val="nil"/>
              <w:bottom w:val="nil"/>
            </w:tcBorders>
          </w:tcPr>
          <w:p>
            <w:pPr>
              <w:pStyle w:val="TableParagraph"/>
              <w:spacing w:line="242" w:lineRule="exact"/>
              <w:rPr>
                <w:sz w:val="22"/>
              </w:rPr>
            </w:pPr>
            <w:r>
              <w:rPr>
                <w:sz w:val="22"/>
              </w:rPr>
              <w:t>comunidad.</w:t>
            </w:r>
          </w:p>
        </w:tc>
      </w:tr>
      <w:tr>
        <w:trPr>
          <w:trHeight w:val="250" w:hRule="exact"/>
        </w:trPr>
        <w:tc>
          <w:tcPr>
            <w:tcW w:w="1385" w:type="dxa"/>
            <w:tcBorders>
              <w:top w:val="nil"/>
            </w:tcBorders>
          </w:tcPr>
          <w:p>
            <w:pPr>
              <w:pStyle w:val="TableParagraph"/>
              <w:spacing w:line="241" w:lineRule="exact"/>
              <w:rPr>
                <w:sz w:val="22"/>
              </w:rPr>
            </w:pPr>
            <w:r>
              <w:rPr>
                <w:sz w:val="22"/>
              </w:rPr>
              <w:t>(18/7/2014)</w:t>
            </w:r>
          </w:p>
        </w:tc>
        <w:tc>
          <w:tcPr>
            <w:tcW w:w="1418" w:type="dxa"/>
            <w:tcBorders>
              <w:top w:val="nil"/>
            </w:tcBorders>
          </w:tcPr>
          <w:p>
            <w:pPr>
              <w:pStyle w:val="TableParagraph"/>
              <w:spacing w:line="241" w:lineRule="exact"/>
              <w:ind w:left="100" w:right="101"/>
              <w:rPr>
                <w:sz w:val="22"/>
              </w:rPr>
            </w:pPr>
            <w:r>
              <w:rPr>
                <w:sz w:val="22"/>
              </w:rPr>
              <w:t>municipal</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Ricardo</w:t>
            </w:r>
          </w:p>
        </w:tc>
        <w:tc>
          <w:tcPr>
            <w:tcW w:w="1418" w:type="dxa"/>
            <w:tcBorders>
              <w:bottom w:val="nil"/>
            </w:tcBorders>
          </w:tcPr>
          <w:p>
            <w:pPr>
              <w:pStyle w:val="TableParagraph"/>
              <w:spacing w:line="251" w:lineRule="exact"/>
              <w:ind w:left="156" w:right="101"/>
              <w:rPr>
                <w:sz w:val="22"/>
              </w:rPr>
            </w:pPr>
            <w:r>
              <w:rPr>
                <w:sz w:val="22"/>
              </w:rPr>
              <w:t>El campo y</w:t>
            </w:r>
          </w:p>
        </w:tc>
        <w:tc>
          <w:tcPr>
            <w:tcW w:w="1417" w:type="dxa"/>
            <w:tcBorders>
              <w:bottom w:val="nil"/>
            </w:tcBorders>
          </w:tcPr>
          <w:p>
            <w:pPr>
              <w:pStyle w:val="TableParagraph"/>
              <w:spacing w:line="251" w:lineRule="exact"/>
              <w:ind w:left="100"/>
              <w:rPr>
                <w:sz w:val="22"/>
              </w:rPr>
            </w:pPr>
            <w:r>
              <w:rPr>
                <w:sz w:val="22"/>
              </w:rPr>
              <w:t>Delegado</w:t>
            </w:r>
          </w:p>
        </w:tc>
        <w:tc>
          <w:tcPr>
            <w:tcW w:w="1560" w:type="dxa"/>
            <w:tcBorders>
              <w:bottom w:val="nil"/>
            </w:tcBorders>
          </w:tcPr>
          <w:p>
            <w:pPr>
              <w:pStyle w:val="TableParagraph"/>
              <w:spacing w:line="251" w:lineRule="exact"/>
              <w:ind w:right="143"/>
              <w:rPr>
                <w:sz w:val="22"/>
              </w:rPr>
            </w:pPr>
            <w:r>
              <w:rPr>
                <w:sz w:val="22"/>
              </w:rPr>
              <w:t>San Martín</w:t>
            </w:r>
          </w:p>
        </w:tc>
        <w:tc>
          <w:tcPr>
            <w:tcW w:w="991" w:type="dxa"/>
            <w:tcBorders>
              <w:bottom w:val="nil"/>
            </w:tcBorders>
          </w:tcPr>
          <w:p>
            <w:pPr>
              <w:pStyle w:val="TableParagraph"/>
              <w:spacing w:line="251" w:lineRule="exact"/>
              <w:ind w:left="100"/>
              <w:rPr>
                <w:sz w:val="22"/>
              </w:rPr>
            </w:pPr>
            <w:r>
              <w:rPr>
                <w:sz w:val="22"/>
              </w:rPr>
              <w:t>Aculco</w:t>
            </w:r>
          </w:p>
        </w:tc>
        <w:tc>
          <w:tcPr>
            <w:tcW w:w="1277" w:type="dxa"/>
            <w:tcBorders>
              <w:bottom w:val="nil"/>
            </w:tcBorders>
          </w:tcPr>
          <w:p>
            <w:pPr>
              <w:pStyle w:val="TableParagraph"/>
              <w:spacing w:line="251" w:lineRule="exact"/>
              <w:ind w:right="92"/>
              <w:rPr>
                <w:sz w:val="22"/>
              </w:rPr>
            </w:pPr>
            <w:r>
              <w:rPr>
                <w:sz w:val="22"/>
              </w:rPr>
              <w:t>San</w:t>
            </w:r>
          </w:p>
        </w:tc>
        <w:tc>
          <w:tcPr>
            <w:tcW w:w="1133" w:type="dxa"/>
            <w:tcBorders>
              <w:bottom w:val="nil"/>
            </w:tcBorders>
          </w:tcPr>
          <w:p>
            <w:pPr>
              <w:pStyle w:val="TableParagraph"/>
              <w:spacing w:line="251" w:lineRule="exact"/>
              <w:ind w:left="100" w:right="52"/>
              <w:rPr>
                <w:sz w:val="22"/>
              </w:rPr>
            </w:pPr>
            <w:r>
              <w:rPr>
                <w:sz w:val="22"/>
              </w:rPr>
              <w:t>San</w:t>
            </w:r>
          </w:p>
        </w:tc>
        <w:tc>
          <w:tcPr>
            <w:tcW w:w="3687" w:type="dxa"/>
            <w:tcBorders>
              <w:bottom w:val="nil"/>
            </w:tcBorders>
          </w:tcPr>
          <w:p>
            <w:pPr>
              <w:pStyle w:val="TableParagraph"/>
              <w:tabs>
                <w:tab w:pos="767" w:val="left" w:leader="none"/>
                <w:tab w:pos="1257" w:val="left" w:leader="none"/>
                <w:tab w:pos="1969" w:val="left" w:leader="none"/>
                <w:tab w:pos="2457" w:val="left" w:leader="none"/>
                <w:tab w:pos="3071" w:val="left" w:leader="none"/>
              </w:tabs>
              <w:spacing w:line="251" w:lineRule="exact"/>
              <w:rPr>
                <w:sz w:val="22"/>
              </w:rPr>
            </w:pPr>
            <w:r>
              <w:rPr>
                <w:sz w:val="22"/>
              </w:rPr>
              <w:t>Qué</w:t>
              <w:tab/>
              <w:t>en</w:t>
              <w:tab/>
              <w:t>caso</w:t>
              <w:tab/>
              <w:t>de</w:t>
              <w:tab/>
              <w:t>que</w:t>
              <w:tab/>
              <w:t>fuera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418" w:type="dxa"/>
            <w:tcBorders>
              <w:top w:val="nil"/>
              <w:bottom w:val="nil"/>
            </w:tcBorders>
          </w:tcPr>
          <w:p>
            <w:pPr>
              <w:pStyle w:val="TableParagraph"/>
              <w:spacing w:line="241" w:lineRule="exact"/>
              <w:ind w:left="218" w:right="101"/>
              <w:rPr>
                <w:sz w:val="22"/>
              </w:rPr>
            </w:pPr>
            <w:r>
              <w:rPr>
                <w:sz w:val="22"/>
              </w:rPr>
              <w:t>el ganado</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Martín,</w:t>
            </w:r>
          </w:p>
        </w:tc>
        <w:tc>
          <w:tcPr>
            <w:tcW w:w="1133" w:type="dxa"/>
            <w:tcBorders>
              <w:top w:val="nil"/>
              <w:bottom w:val="nil"/>
            </w:tcBorders>
          </w:tcPr>
          <w:p>
            <w:pPr>
              <w:pStyle w:val="TableParagraph"/>
              <w:spacing w:line="241" w:lineRule="exact"/>
              <w:ind w:left="100" w:right="52"/>
              <w:rPr>
                <w:sz w:val="22"/>
              </w:rPr>
            </w:pPr>
            <w:r>
              <w:rPr>
                <w:sz w:val="22"/>
              </w:rPr>
              <w:t>Martín,</w:t>
            </w:r>
          </w:p>
        </w:tc>
        <w:tc>
          <w:tcPr>
            <w:tcW w:w="3687" w:type="dxa"/>
            <w:tcBorders>
              <w:top w:val="nil"/>
              <w:bottom w:val="nil"/>
            </w:tcBorders>
          </w:tcPr>
          <w:p>
            <w:pPr>
              <w:pStyle w:val="TableParagraph"/>
              <w:tabs>
                <w:tab w:pos="1367" w:val="left" w:leader="none"/>
                <w:tab w:pos="2053" w:val="left" w:leader="none"/>
                <w:tab w:pos="2468" w:val="left" w:leader="none"/>
                <w:tab w:pos="3085" w:val="left" w:leader="none"/>
              </w:tabs>
              <w:spacing w:line="241" w:lineRule="exact"/>
              <w:rPr>
                <w:sz w:val="22"/>
              </w:rPr>
            </w:pPr>
            <w:r>
              <w:rPr>
                <w:sz w:val="22"/>
              </w:rPr>
              <w:t>necesario,</w:t>
              <w:tab/>
              <w:t>pero</w:t>
              <w:tab/>
              <w:t>el</w:t>
              <w:tab/>
              <w:t>que</w:t>
              <w:tab/>
              <w:t>debe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Galván</w:t>
            </w:r>
          </w:p>
        </w:tc>
        <w:tc>
          <w:tcPr>
            <w:tcW w:w="1418" w:type="dxa"/>
            <w:tcBorders>
              <w:top w:val="nil"/>
              <w:bottom w:val="nil"/>
            </w:tcBorders>
          </w:tcPr>
          <w:p>
            <w:pP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2" w:lineRule="exact"/>
              <w:ind w:right="92"/>
              <w:rPr>
                <w:sz w:val="22"/>
              </w:rPr>
            </w:pPr>
            <w:r>
              <w:rPr>
                <w:sz w:val="22"/>
              </w:rPr>
              <w:t>Aculco</w:t>
            </w:r>
          </w:p>
        </w:tc>
        <w:tc>
          <w:tcPr>
            <w:tcW w:w="1133" w:type="dxa"/>
            <w:tcBorders>
              <w:top w:val="nil"/>
              <w:bottom w:val="nil"/>
            </w:tcBorders>
          </w:tcPr>
          <w:p>
            <w:pPr>
              <w:pStyle w:val="TableParagraph"/>
              <w:spacing w:line="242" w:lineRule="exact"/>
              <w:ind w:left="100" w:right="52"/>
              <w:rPr>
                <w:sz w:val="22"/>
              </w:rPr>
            </w:pPr>
            <w:r>
              <w:rPr>
                <w:sz w:val="22"/>
              </w:rPr>
              <w:t>Aculco</w:t>
            </w:r>
          </w:p>
        </w:tc>
        <w:tc>
          <w:tcPr>
            <w:tcW w:w="3687" w:type="dxa"/>
            <w:tcBorders>
              <w:top w:val="nil"/>
              <w:bottom w:val="nil"/>
            </w:tcBorders>
          </w:tcPr>
          <w:p>
            <w:pPr>
              <w:pStyle w:val="TableParagraph"/>
              <w:spacing w:line="242" w:lineRule="exact"/>
              <w:rPr>
                <w:sz w:val="22"/>
              </w:rPr>
            </w:pPr>
            <w:r>
              <w:rPr>
                <w:sz w:val="22"/>
              </w:rPr>
              <w:t>enfrentar   esos   problemas   es  el</w:t>
            </w:r>
          </w:p>
        </w:tc>
      </w:tr>
      <w:tr>
        <w:trPr>
          <w:trHeight w:val="247" w:hRule="exact"/>
        </w:trPr>
        <w:tc>
          <w:tcPr>
            <w:tcW w:w="1385" w:type="dxa"/>
            <w:tcBorders>
              <w:top w:val="nil"/>
            </w:tcBorders>
          </w:tcPr>
          <w:p>
            <w:pPr>
              <w:pStyle w:val="TableParagraph"/>
              <w:spacing w:line="241" w:lineRule="exact"/>
              <w:ind w:right="127"/>
              <w:rPr>
                <w:sz w:val="22"/>
              </w:rPr>
            </w:pPr>
            <w:r>
              <w:rPr>
                <w:sz w:val="22"/>
              </w:rPr>
              <w:t>(3/8/2014)</w:t>
            </w:r>
          </w:p>
        </w:tc>
        <w:tc>
          <w:tcPr>
            <w:tcW w:w="1418" w:type="dxa"/>
            <w:tcBorders>
              <w:top w:val="nil"/>
            </w:tcBorders>
          </w:tcPr>
          <w:p>
            <w:pP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Style w:val="TableParagraph"/>
              <w:spacing w:line="241" w:lineRule="exact"/>
              <w:rPr>
                <w:sz w:val="22"/>
              </w:rPr>
            </w:pPr>
            <w:r>
              <w:rPr>
                <w:sz w:val="22"/>
              </w:rPr>
              <w:t>Comisariado Ejidal porque es ejido.</w:t>
            </w:r>
          </w:p>
        </w:tc>
      </w:tr>
      <w:tr>
        <w:trPr>
          <w:trHeight w:val="269" w:hRule="exact"/>
        </w:trPr>
        <w:tc>
          <w:tcPr>
            <w:tcW w:w="1385" w:type="dxa"/>
            <w:tcBorders>
              <w:bottom w:val="nil"/>
            </w:tcBorders>
          </w:tcPr>
          <w:p>
            <w:pPr>
              <w:pStyle w:val="TableParagraph"/>
              <w:ind w:right="127"/>
              <w:rPr>
                <w:sz w:val="22"/>
              </w:rPr>
            </w:pPr>
            <w:r>
              <w:rPr>
                <w:sz w:val="22"/>
              </w:rPr>
              <w:t>Ricardo</w:t>
            </w:r>
          </w:p>
        </w:tc>
        <w:tc>
          <w:tcPr>
            <w:tcW w:w="1418" w:type="dxa"/>
            <w:tcBorders>
              <w:bottom w:val="nil"/>
            </w:tcBorders>
          </w:tcPr>
          <w:p>
            <w:pPr>
              <w:pStyle w:val="TableParagraph"/>
              <w:ind w:left="182" w:right="101"/>
              <w:rPr>
                <w:sz w:val="22"/>
              </w:rPr>
            </w:pPr>
            <w:r>
              <w:rPr>
                <w:sz w:val="22"/>
              </w:rPr>
              <w:t>Albañilería</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El Azafrán</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El</w:t>
            </w:r>
          </w:p>
        </w:tc>
        <w:tc>
          <w:tcPr>
            <w:tcW w:w="1133" w:type="dxa"/>
            <w:tcBorders>
              <w:bottom w:val="nil"/>
            </w:tcBorders>
          </w:tcPr>
          <w:p>
            <w:pPr>
              <w:pStyle w:val="TableParagraph"/>
              <w:ind w:left="100" w:right="52"/>
              <w:rPr>
                <w:sz w:val="22"/>
              </w:rPr>
            </w:pPr>
            <w:r>
              <w:rPr>
                <w:sz w:val="22"/>
              </w:rPr>
              <w:t>El</w:t>
            </w:r>
          </w:p>
        </w:tc>
        <w:tc>
          <w:tcPr>
            <w:tcW w:w="3687" w:type="dxa"/>
            <w:tcBorders>
              <w:bottom w:val="nil"/>
            </w:tcBorders>
          </w:tcPr>
          <w:p>
            <w:pPr>
              <w:pStyle w:val="TableParagraph"/>
              <w:rPr>
                <w:sz w:val="22"/>
              </w:rPr>
            </w:pPr>
            <w:r>
              <w:rPr>
                <w:sz w:val="22"/>
              </w:rPr>
              <w:t>Claro que sí!, porque me    interesa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Cristóbal</w:t>
            </w:r>
          </w:p>
        </w:tc>
        <w:tc>
          <w:tcPr>
            <w:tcW w:w="1418" w:type="dxa"/>
            <w:tcBorders>
              <w:top w:val="nil"/>
              <w:bottom w:val="nil"/>
            </w:tcBorders>
          </w:tcPr>
          <w:p>
            <w:pPr>
              <w:pStyle w:val="TableParagraph"/>
              <w:spacing w:line="241" w:lineRule="exact"/>
              <w:ind w:left="170" w:right="101"/>
              <w:rPr>
                <w:sz w:val="22"/>
              </w:rPr>
            </w:pPr>
            <w:r>
              <w:rPr>
                <w:sz w:val="22"/>
              </w:rPr>
              <w:t>y el campo</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Azafrán,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3687" w:type="dxa"/>
            <w:tcBorders>
              <w:top w:val="nil"/>
              <w:bottom w:val="nil"/>
            </w:tcBorders>
          </w:tcPr>
          <w:p>
            <w:pPr>
              <w:pStyle w:val="TableParagraph"/>
              <w:spacing w:line="241" w:lineRule="exact"/>
              <w:rPr>
                <w:sz w:val="22"/>
              </w:rPr>
            </w:pPr>
            <w:r>
              <w:rPr>
                <w:sz w:val="22"/>
              </w:rPr>
              <w:t>estoy dentro de la jurisdicción   que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Ramírez</w:t>
            </w:r>
          </w:p>
        </w:tc>
        <w:tc>
          <w:tcPr>
            <w:tcW w:w="1418" w:type="dxa"/>
            <w:tcBorders>
              <w:top w:val="nil"/>
              <w:bottom w:val="nil"/>
            </w:tcBorders>
          </w:tcPr>
          <w:p>
            <w:pPr/>
          </w:p>
        </w:tc>
        <w:tc>
          <w:tcPr>
            <w:tcW w:w="1417" w:type="dxa"/>
            <w:tcBorders>
              <w:top w:val="nil"/>
              <w:bottom w:val="nil"/>
            </w:tcBorders>
          </w:tcPr>
          <w:p>
            <w:pPr>
              <w:pStyle w:val="TableParagraph"/>
              <w:tabs>
                <w:tab w:pos="1132" w:val="left" w:leader="none"/>
              </w:tabs>
              <w:spacing w:line="241"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3687" w:type="dxa"/>
            <w:tcBorders>
              <w:top w:val="nil"/>
              <w:bottom w:val="nil"/>
            </w:tcBorders>
          </w:tcPr>
          <w:p>
            <w:pPr>
              <w:pStyle w:val="TableParagraph"/>
              <w:spacing w:line="241" w:lineRule="exact"/>
              <w:rPr>
                <w:sz w:val="22"/>
              </w:rPr>
            </w:pPr>
            <w:r>
              <w:rPr>
                <w:sz w:val="22"/>
              </w:rPr>
              <w:t>abarca la laguna.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(3/8/2014)</w:t>
            </w:r>
          </w:p>
        </w:tc>
        <w:tc>
          <w:tcPr>
            <w:tcW w:w="1418" w:type="dxa"/>
            <w:tcBorders>
              <w:top w:val="nil"/>
              <w:bottom w:val="nil"/>
            </w:tcBorders>
          </w:tcPr>
          <w:p>
            <w:pPr/>
          </w:p>
        </w:tc>
        <w:tc>
          <w:tcPr>
            <w:tcW w:w="1417" w:type="dxa"/>
            <w:tcBorders>
              <w:top w:val="nil"/>
              <w:bottom w:val="nil"/>
            </w:tcBorders>
          </w:tcPr>
          <w:p>
            <w:pPr>
              <w:pStyle w:val="TableParagraph"/>
              <w:spacing w:line="242" w:lineRule="exact"/>
              <w:ind w:left="100"/>
              <w:rPr>
                <w:sz w:val="22"/>
              </w:rPr>
            </w:pPr>
            <w:r>
              <w:rPr>
                <w:sz w:val="22"/>
              </w:rPr>
              <w:t>primera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1108" w:val="left" w:leader="none"/>
              </w:tabs>
              <w:spacing w:line="242" w:lineRule="exact"/>
              <w:ind w:left="100"/>
              <w:rPr>
                <w:sz w:val="22"/>
              </w:rPr>
            </w:pPr>
            <w:r>
              <w:rPr>
                <w:sz w:val="22"/>
              </w:rPr>
              <w:t>de</w:t>
              <w:tab/>
              <w:t>El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417" w:type="dxa"/>
            <w:tcBorders>
              <w:top w:val="nil"/>
            </w:tcBorders>
          </w:tcPr>
          <w:p>
            <w:pPr>
              <w:pStyle w:val="TableParagraph"/>
              <w:spacing w:line="241" w:lineRule="exact"/>
              <w:ind w:left="100"/>
              <w:rPr>
                <w:sz w:val="22"/>
              </w:rPr>
            </w:pPr>
            <w:r>
              <w:rPr>
                <w:sz w:val="22"/>
              </w:rPr>
              <w:t>Azafrán</w:t>
            </w: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Pablo</w:t>
            </w:r>
          </w:p>
        </w:tc>
        <w:tc>
          <w:tcPr>
            <w:tcW w:w="1418" w:type="dxa"/>
            <w:tcBorders>
              <w:bottom w:val="nil"/>
            </w:tcBorders>
          </w:tcPr>
          <w:p>
            <w:pPr>
              <w:pStyle w:val="TableParagraph"/>
              <w:ind w:left="100" w:right="101"/>
              <w:rPr>
                <w:sz w:val="22"/>
              </w:rPr>
            </w:pPr>
            <w:r>
              <w:rPr>
                <w:sz w:val="22"/>
              </w:rPr>
              <w:t>La</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El Azafrán</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El</w:t>
            </w:r>
          </w:p>
        </w:tc>
        <w:tc>
          <w:tcPr>
            <w:tcW w:w="1133" w:type="dxa"/>
            <w:tcBorders>
              <w:bottom w:val="nil"/>
            </w:tcBorders>
          </w:tcPr>
          <w:p>
            <w:pPr>
              <w:pStyle w:val="TableParagraph"/>
              <w:ind w:left="100" w:right="52"/>
              <w:rPr>
                <w:sz w:val="22"/>
              </w:rPr>
            </w:pPr>
            <w:r>
              <w:rPr>
                <w:sz w:val="22"/>
              </w:rPr>
              <w:t>El</w:t>
            </w:r>
          </w:p>
        </w:tc>
        <w:tc>
          <w:tcPr>
            <w:tcW w:w="3687" w:type="dxa"/>
            <w:tcBorders>
              <w:bottom w:val="nil"/>
            </w:tcBorders>
          </w:tcPr>
          <w:p>
            <w:pPr>
              <w:pStyle w:val="TableParagraph"/>
              <w:rPr>
                <w:sz w:val="22"/>
              </w:rPr>
            </w:pPr>
            <w:r>
              <w:rPr>
                <w:sz w:val="22"/>
              </w:rPr>
              <w:t>Sí porque no estoy de acuerdo que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418" w:type="dxa"/>
            <w:tcBorders>
              <w:top w:val="nil"/>
              <w:bottom w:val="nil"/>
            </w:tcBorders>
          </w:tcPr>
          <w:p>
            <w:pPr>
              <w:pStyle w:val="TableParagraph"/>
              <w:spacing w:line="241" w:lineRule="exact"/>
              <w:ind w:left="100" w:right="101"/>
              <w:rPr>
                <w:sz w:val="22"/>
              </w:rPr>
            </w:pPr>
            <w:r>
              <w:rPr>
                <w:sz w:val="22"/>
              </w:rPr>
              <w:t>construcció</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Azafrán,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3687" w:type="dxa"/>
            <w:tcBorders>
              <w:top w:val="nil"/>
              <w:bottom w:val="nil"/>
            </w:tcBorders>
          </w:tcPr>
          <w:p>
            <w:pPr>
              <w:pStyle w:val="TableParagraph"/>
              <w:spacing w:line="241" w:lineRule="exact"/>
              <w:rPr>
                <w:sz w:val="22"/>
              </w:rPr>
            </w:pPr>
            <w:r>
              <w:rPr>
                <w:sz w:val="22"/>
              </w:rPr>
              <w:t>no tengamos el uso del agua, debe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García</w:t>
            </w:r>
          </w:p>
        </w:tc>
        <w:tc>
          <w:tcPr>
            <w:tcW w:w="1418" w:type="dxa"/>
            <w:tcBorders>
              <w:top w:val="nil"/>
              <w:bottom w:val="nil"/>
            </w:tcBorders>
          </w:tcPr>
          <w:p>
            <w:pPr>
              <w:pStyle w:val="TableParagraph"/>
              <w:tabs>
                <w:tab w:pos="623" w:val="left" w:leader="none"/>
                <w:tab w:pos="1132" w:val="left" w:leader="none"/>
              </w:tabs>
              <w:spacing w:line="241" w:lineRule="exact"/>
              <w:ind w:left="100"/>
              <w:rPr>
                <w:sz w:val="22"/>
              </w:rPr>
            </w:pPr>
            <w:r>
              <w:rPr>
                <w:sz w:val="22"/>
              </w:rPr>
              <w:t>n</w:t>
              <w:tab/>
              <w:t>y</w:t>
              <w:tab/>
              <w:t>el</w:t>
            </w:r>
          </w:p>
        </w:tc>
        <w:tc>
          <w:tcPr>
            <w:tcW w:w="1417" w:type="dxa"/>
            <w:tcBorders>
              <w:top w:val="nil"/>
              <w:bottom w:val="nil"/>
            </w:tcBorders>
          </w:tcPr>
          <w:p>
            <w:pPr>
              <w:pStyle w:val="TableParagraph"/>
              <w:tabs>
                <w:tab w:pos="1132" w:val="left" w:leader="none"/>
              </w:tabs>
              <w:spacing w:line="241"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3687" w:type="dxa"/>
            <w:tcBorders>
              <w:top w:val="nil"/>
              <w:bottom w:val="nil"/>
            </w:tcBorders>
          </w:tcPr>
          <w:p>
            <w:pPr>
              <w:pStyle w:val="TableParagraph"/>
              <w:tabs>
                <w:tab w:pos="863" w:val="left" w:leader="none"/>
                <w:tab w:pos="1374" w:val="left" w:leader="none"/>
                <w:tab w:pos="1813" w:val="left" w:leader="none"/>
                <w:tab w:pos="2765" w:val="left" w:leader="none"/>
                <w:tab w:pos="3403" w:val="left" w:leader="none"/>
              </w:tabs>
              <w:spacing w:line="241" w:lineRule="exact"/>
              <w:rPr>
                <w:sz w:val="22"/>
              </w:rPr>
            </w:pPr>
            <w:r>
              <w:rPr>
                <w:sz w:val="22"/>
              </w:rPr>
              <w:t>estar</w:t>
              <w:tab/>
              <w:t>en</w:t>
              <w:tab/>
              <w:t>el</w:t>
              <w:tab/>
              <w:t>Estado</w:t>
              <w:tab/>
              <w:t>que</w:t>
              <w:tab/>
              <w:t>le</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(3/8/2014)</w:t>
            </w:r>
          </w:p>
        </w:tc>
        <w:tc>
          <w:tcPr>
            <w:tcW w:w="1418" w:type="dxa"/>
            <w:tcBorders>
              <w:top w:val="nil"/>
              <w:bottom w:val="nil"/>
            </w:tcBorders>
          </w:tcPr>
          <w:p>
            <w:pPr>
              <w:pStyle w:val="TableParagraph"/>
              <w:spacing w:line="243" w:lineRule="exact"/>
              <w:ind w:left="100" w:right="101"/>
              <w:rPr>
                <w:sz w:val="22"/>
              </w:rPr>
            </w:pPr>
            <w:r>
              <w:rPr>
                <w:sz w:val="22"/>
              </w:rPr>
              <w:t>campo</w:t>
            </w:r>
          </w:p>
        </w:tc>
        <w:tc>
          <w:tcPr>
            <w:tcW w:w="1417" w:type="dxa"/>
            <w:tcBorders>
              <w:top w:val="nil"/>
              <w:bottom w:val="nil"/>
            </w:tcBorders>
          </w:tcPr>
          <w:p>
            <w:pPr>
              <w:pStyle w:val="TableParagraph"/>
              <w:spacing w:line="243" w:lineRule="exact"/>
              <w:ind w:left="100"/>
              <w:rPr>
                <w:sz w:val="22"/>
              </w:rPr>
            </w:pPr>
            <w:r>
              <w:rPr>
                <w:sz w:val="22"/>
              </w:rPr>
              <w:t>segunda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3" w:lineRule="exact"/>
              <w:rPr>
                <w:sz w:val="22"/>
              </w:rPr>
            </w:pPr>
            <w:r>
              <w:rPr>
                <w:sz w:val="22"/>
              </w:rPr>
              <w:t>corresponde.</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1108" w:val="left" w:leader="none"/>
              </w:tabs>
              <w:spacing w:line="242" w:lineRule="exact"/>
              <w:ind w:left="100"/>
              <w:rPr>
                <w:sz w:val="22"/>
              </w:rPr>
            </w:pPr>
            <w:r>
              <w:rPr>
                <w:sz w:val="22"/>
              </w:rPr>
              <w:t>de</w:t>
              <w:tab/>
              <w:t>El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47" w:hRule="exact"/>
        </w:trPr>
        <w:tc>
          <w:tcPr>
            <w:tcW w:w="1385" w:type="dxa"/>
            <w:tcBorders>
              <w:top w:val="nil"/>
            </w:tcBorders>
          </w:tcPr>
          <w:p>
            <w:pPr/>
          </w:p>
        </w:tc>
        <w:tc>
          <w:tcPr>
            <w:tcW w:w="1418" w:type="dxa"/>
            <w:tcBorders>
              <w:top w:val="nil"/>
            </w:tcBorders>
          </w:tcPr>
          <w:p>
            <w:pPr/>
          </w:p>
        </w:tc>
        <w:tc>
          <w:tcPr>
            <w:tcW w:w="1417" w:type="dxa"/>
            <w:tcBorders>
              <w:top w:val="nil"/>
            </w:tcBorders>
          </w:tcPr>
          <w:p>
            <w:pPr>
              <w:pStyle w:val="TableParagraph"/>
              <w:spacing w:line="241" w:lineRule="exact"/>
              <w:ind w:left="100"/>
              <w:rPr>
                <w:sz w:val="22"/>
              </w:rPr>
            </w:pPr>
            <w:r>
              <w:rPr>
                <w:sz w:val="22"/>
              </w:rPr>
              <w:t>Azafrán</w:t>
            </w: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Tomás</w:t>
            </w:r>
          </w:p>
        </w:tc>
        <w:tc>
          <w:tcPr>
            <w:tcW w:w="1418" w:type="dxa"/>
            <w:tcBorders>
              <w:bottom w:val="nil"/>
            </w:tcBorders>
          </w:tcPr>
          <w:p>
            <w:pPr>
              <w:pStyle w:val="TableParagraph"/>
              <w:ind w:left="156" w:right="101"/>
              <w:rPr>
                <w:sz w:val="22"/>
              </w:rPr>
            </w:pPr>
            <w:r>
              <w:rPr>
                <w:sz w:val="22"/>
              </w:rPr>
              <w:t>El campo y</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El Azafrán</w:t>
            </w:r>
          </w:p>
        </w:tc>
        <w:tc>
          <w:tcPr>
            <w:tcW w:w="991" w:type="dxa"/>
            <w:tcBorders>
              <w:bottom w:val="nil"/>
            </w:tcBorders>
          </w:tcPr>
          <w:p>
            <w:pPr>
              <w:pStyle w:val="TableParagraph"/>
              <w:ind w:left="100"/>
              <w:rPr>
                <w:sz w:val="22"/>
              </w:rPr>
            </w:pPr>
            <w:r>
              <w:rPr>
                <w:sz w:val="22"/>
              </w:rPr>
              <w:t>Aculco</w:t>
            </w:r>
          </w:p>
        </w:tc>
        <w:tc>
          <w:tcPr>
            <w:tcW w:w="1277" w:type="dxa"/>
            <w:tcBorders>
              <w:bottom w:val="nil"/>
            </w:tcBorders>
          </w:tcPr>
          <w:p>
            <w:pPr>
              <w:pStyle w:val="TableParagraph"/>
              <w:ind w:right="92"/>
              <w:rPr>
                <w:sz w:val="22"/>
              </w:rPr>
            </w:pPr>
            <w:r>
              <w:rPr>
                <w:sz w:val="22"/>
              </w:rPr>
              <w:t>El</w:t>
            </w:r>
          </w:p>
        </w:tc>
        <w:tc>
          <w:tcPr>
            <w:tcW w:w="1133" w:type="dxa"/>
            <w:tcBorders>
              <w:bottom w:val="nil"/>
            </w:tcBorders>
          </w:tcPr>
          <w:p>
            <w:pPr>
              <w:pStyle w:val="TableParagraph"/>
              <w:ind w:left="100" w:right="52"/>
              <w:rPr>
                <w:sz w:val="22"/>
              </w:rPr>
            </w:pPr>
            <w:r>
              <w:rPr>
                <w:sz w:val="22"/>
              </w:rPr>
              <w:t>El</w:t>
            </w:r>
          </w:p>
        </w:tc>
        <w:tc>
          <w:tcPr>
            <w:tcW w:w="3687" w:type="dxa"/>
            <w:tcBorders>
              <w:bottom w:val="nil"/>
            </w:tcBorders>
          </w:tcPr>
          <w:p>
            <w:pPr>
              <w:pStyle w:val="TableParagraph"/>
              <w:rPr>
                <w:sz w:val="22"/>
              </w:rPr>
            </w:pPr>
            <w:r>
              <w:rPr>
                <w:sz w:val="22"/>
              </w:rPr>
              <w:t>Podría   ser   también,   porque así,</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Lucas</w:t>
            </w:r>
          </w:p>
        </w:tc>
        <w:tc>
          <w:tcPr>
            <w:tcW w:w="1418" w:type="dxa"/>
            <w:tcBorders>
              <w:top w:val="nil"/>
              <w:bottom w:val="nil"/>
            </w:tcBorders>
          </w:tcPr>
          <w:p>
            <w:pPr>
              <w:pStyle w:val="TableParagraph"/>
              <w:spacing w:line="241" w:lineRule="exact"/>
              <w:ind w:left="139" w:right="101"/>
              <w:rPr>
                <w:sz w:val="22"/>
              </w:rPr>
            </w:pPr>
            <w:r>
              <w:rPr>
                <w:sz w:val="22"/>
              </w:rPr>
              <w:t>el comercio</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Azafrán,</w:t>
            </w:r>
          </w:p>
        </w:tc>
        <w:tc>
          <w:tcPr>
            <w:tcW w:w="1133" w:type="dxa"/>
            <w:tcBorders>
              <w:top w:val="nil"/>
              <w:bottom w:val="nil"/>
            </w:tcBorders>
          </w:tcPr>
          <w:p>
            <w:pPr>
              <w:pStyle w:val="TableParagraph"/>
              <w:spacing w:line="241" w:lineRule="exact"/>
              <w:ind w:left="100" w:right="52"/>
              <w:rPr>
                <w:sz w:val="22"/>
              </w:rPr>
            </w:pPr>
            <w:r>
              <w:rPr>
                <w:sz w:val="22"/>
              </w:rPr>
              <w:t>Azafrán,</w:t>
            </w:r>
          </w:p>
        </w:tc>
        <w:tc>
          <w:tcPr>
            <w:tcW w:w="3687" w:type="dxa"/>
            <w:tcBorders>
              <w:top w:val="nil"/>
              <w:bottom w:val="nil"/>
            </w:tcBorders>
          </w:tcPr>
          <w:p>
            <w:pPr>
              <w:pStyle w:val="TableParagraph"/>
              <w:spacing w:line="241" w:lineRule="exact"/>
              <w:rPr>
                <w:sz w:val="22"/>
              </w:rPr>
            </w:pPr>
            <w:r>
              <w:rPr>
                <w:sz w:val="22"/>
              </w:rPr>
              <w:t>pues  se  cobraría  una  cuota</w:t>
            </w:r>
            <w:r>
              <w:rPr>
                <w:spacing w:val="53"/>
                <w:sz w:val="22"/>
              </w:rPr>
              <w:t> </w:t>
            </w:r>
            <w:r>
              <w:rPr>
                <w:sz w:val="22"/>
              </w:rPr>
              <w:t>para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Santiago</w:t>
            </w:r>
          </w:p>
        </w:tc>
        <w:tc>
          <w:tcPr>
            <w:tcW w:w="1418" w:type="dxa"/>
            <w:tcBorders>
              <w:top w:val="nil"/>
              <w:bottom w:val="nil"/>
            </w:tcBorders>
          </w:tcPr>
          <w:p>
            <w:pPr>
              <w:pStyle w:val="TableParagraph"/>
              <w:spacing w:line="241" w:lineRule="exact"/>
              <w:ind w:left="211" w:right="101"/>
              <w:rPr>
                <w:sz w:val="22"/>
              </w:rPr>
            </w:pPr>
            <w:r>
              <w:rPr>
                <w:sz w:val="22"/>
              </w:rPr>
              <w:t>(tienda de</w:t>
            </w:r>
          </w:p>
        </w:tc>
        <w:tc>
          <w:tcPr>
            <w:tcW w:w="1417" w:type="dxa"/>
            <w:tcBorders>
              <w:top w:val="nil"/>
              <w:bottom w:val="nil"/>
            </w:tcBorders>
          </w:tcPr>
          <w:p>
            <w:pPr>
              <w:pStyle w:val="TableParagraph"/>
              <w:tabs>
                <w:tab w:pos="1132" w:val="left" w:leader="none"/>
              </w:tabs>
              <w:spacing w:line="241" w:lineRule="exact"/>
              <w:ind w:left="100"/>
              <w:rPr>
                <w:sz w:val="22"/>
              </w:rPr>
            </w:pPr>
            <w:r>
              <w:rPr>
                <w:sz w:val="22"/>
              </w:rPr>
              <w:t>de</w:t>
              <w:tab/>
              <w:t>la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Style w:val="TableParagraph"/>
              <w:spacing w:line="241" w:lineRule="exact"/>
              <w:ind w:right="92"/>
              <w:rPr>
                <w:sz w:val="22"/>
              </w:rPr>
            </w:pPr>
            <w:r>
              <w:rPr>
                <w:sz w:val="22"/>
              </w:rPr>
              <w:t>Aculco</w:t>
            </w:r>
          </w:p>
        </w:tc>
        <w:tc>
          <w:tcPr>
            <w:tcW w:w="1133" w:type="dxa"/>
            <w:tcBorders>
              <w:top w:val="nil"/>
              <w:bottom w:val="nil"/>
            </w:tcBorders>
          </w:tcPr>
          <w:p>
            <w:pPr>
              <w:pStyle w:val="TableParagraph"/>
              <w:spacing w:line="241" w:lineRule="exact"/>
              <w:ind w:left="100" w:right="52"/>
              <w:rPr>
                <w:sz w:val="22"/>
              </w:rPr>
            </w:pPr>
            <w:r>
              <w:rPr>
                <w:sz w:val="22"/>
              </w:rPr>
              <w:t>Aculco</w:t>
            </w:r>
          </w:p>
        </w:tc>
        <w:tc>
          <w:tcPr>
            <w:tcW w:w="3687" w:type="dxa"/>
            <w:tcBorders>
              <w:top w:val="nil"/>
              <w:bottom w:val="nil"/>
            </w:tcBorders>
          </w:tcPr>
          <w:p>
            <w:pPr>
              <w:pStyle w:val="TableParagraph"/>
              <w:tabs>
                <w:tab w:pos="702" w:val="left" w:leader="none"/>
                <w:tab w:pos="1105" w:val="left" w:leader="none"/>
                <w:tab w:pos="2266" w:val="left" w:leader="none"/>
                <w:tab w:pos="3156" w:val="left" w:leader="none"/>
              </w:tabs>
              <w:spacing w:line="241" w:lineRule="exact"/>
              <w:rPr>
                <w:sz w:val="22"/>
              </w:rPr>
            </w:pPr>
            <w:r>
              <w:rPr>
                <w:sz w:val="22"/>
              </w:rPr>
              <w:t>que</w:t>
              <w:tab/>
              <w:t>el</w:t>
              <w:tab/>
              <w:t>municipio</w:t>
              <w:tab/>
              <w:t>tuviera</w:t>
              <w:tab/>
              <w:t>más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(3/8/2014)</w:t>
            </w:r>
          </w:p>
        </w:tc>
        <w:tc>
          <w:tcPr>
            <w:tcW w:w="1418" w:type="dxa"/>
            <w:tcBorders>
              <w:top w:val="nil"/>
              <w:bottom w:val="nil"/>
            </w:tcBorders>
          </w:tcPr>
          <w:p>
            <w:pPr>
              <w:pStyle w:val="TableParagraph"/>
              <w:spacing w:line="242" w:lineRule="exact"/>
              <w:ind w:left="170" w:right="101"/>
              <w:rPr>
                <w:sz w:val="22"/>
              </w:rPr>
            </w:pPr>
            <w:r>
              <w:rPr>
                <w:sz w:val="22"/>
              </w:rPr>
              <w:t>abarrotes).</w:t>
            </w:r>
          </w:p>
        </w:tc>
        <w:tc>
          <w:tcPr>
            <w:tcW w:w="1417" w:type="dxa"/>
            <w:tcBorders>
              <w:top w:val="nil"/>
              <w:bottom w:val="nil"/>
            </w:tcBorders>
          </w:tcPr>
          <w:p>
            <w:pPr>
              <w:pStyle w:val="TableParagraph"/>
              <w:spacing w:line="242" w:lineRule="exact"/>
              <w:ind w:left="100"/>
              <w:rPr>
                <w:sz w:val="22"/>
              </w:rPr>
            </w:pPr>
            <w:r>
              <w:rPr>
                <w:sz w:val="22"/>
              </w:rPr>
              <w:t>tercera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recursos para su comunidad.</w:t>
            </w: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spacing w:line="241" w:lineRule="exact"/>
              <w:ind w:left="100"/>
              <w:rPr>
                <w:sz w:val="22"/>
              </w:rPr>
            </w:pPr>
            <w:r>
              <w:rPr>
                <w:sz w:val="22"/>
              </w:rPr>
              <w:t>manzana</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54" w:hRule="exact"/>
        </w:trPr>
        <w:tc>
          <w:tcPr>
            <w:tcW w:w="1385" w:type="dxa"/>
            <w:tcBorders>
              <w:top w:val="nil"/>
              <w:bottom w:val="nil"/>
            </w:tcBorders>
          </w:tcPr>
          <w:p>
            <w:pPr/>
          </w:p>
        </w:tc>
        <w:tc>
          <w:tcPr>
            <w:tcW w:w="1418" w:type="dxa"/>
            <w:tcBorders>
              <w:top w:val="nil"/>
              <w:bottom w:val="nil"/>
            </w:tcBorders>
          </w:tcPr>
          <w:p>
            <w:pPr/>
          </w:p>
        </w:tc>
        <w:tc>
          <w:tcPr>
            <w:tcW w:w="1417" w:type="dxa"/>
            <w:tcBorders>
              <w:top w:val="nil"/>
              <w:bottom w:val="nil"/>
            </w:tcBorders>
          </w:tcPr>
          <w:p>
            <w:pPr>
              <w:pStyle w:val="TableParagraph"/>
              <w:tabs>
                <w:tab w:pos="1108" w:val="left" w:leader="none"/>
              </w:tabs>
              <w:spacing w:line="242" w:lineRule="exact"/>
              <w:ind w:left="100"/>
              <w:rPr>
                <w:sz w:val="22"/>
              </w:rPr>
            </w:pPr>
            <w:r>
              <w:rPr>
                <w:sz w:val="22"/>
              </w:rPr>
              <w:t>de</w:t>
              <w:tab/>
              <w:t>El</w:t>
            </w: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417" w:type="dxa"/>
            <w:tcBorders>
              <w:top w:val="nil"/>
            </w:tcBorders>
          </w:tcPr>
          <w:p>
            <w:pPr>
              <w:pStyle w:val="TableParagraph"/>
              <w:spacing w:line="241" w:lineRule="exact"/>
              <w:ind w:left="100"/>
              <w:rPr>
                <w:sz w:val="22"/>
              </w:rPr>
            </w:pPr>
            <w:r>
              <w:rPr>
                <w:sz w:val="22"/>
              </w:rPr>
              <w:t>Azafrán</w:t>
            </w: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Raúl</w:t>
            </w:r>
          </w:p>
        </w:tc>
        <w:tc>
          <w:tcPr>
            <w:tcW w:w="1418" w:type="dxa"/>
            <w:tcBorders>
              <w:bottom w:val="nil"/>
            </w:tcBorders>
          </w:tcPr>
          <w:p>
            <w:pPr>
              <w:pStyle w:val="TableParagraph"/>
              <w:ind w:left="100" w:right="101"/>
              <w:rPr>
                <w:sz w:val="22"/>
              </w:rPr>
            </w:pPr>
            <w:r>
              <w:rPr>
                <w:sz w:val="22"/>
              </w:rPr>
              <w:t>Cocinero</w:t>
            </w:r>
          </w:p>
        </w:tc>
        <w:tc>
          <w:tcPr>
            <w:tcW w:w="1417" w:type="dxa"/>
            <w:tcBorders>
              <w:bottom w:val="nil"/>
            </w:tcBorders>
          </w:tcPr>
          <w:p>
            <w:pPr>
              <w:pStyle w:val="TableParagraph"/>
              <w:ind w:left="100"/>
              <w:rPr>
                <w:sz w:val="22"/>
              </w:rPr>
            </w:pPr>
            <w:r>
              <w:rPr>
                <w:sz w:val="22"/>
              </w:rPr>
              <w:t>Delegado</w:t>
            </w:r>
          </w:p>
        </w:tc>
        <w:tc>
          <w:tcPr>
            <w:tcW w:w="1560" w:type="dxa"/>
            <w:tcBorders>
              <w:bottom w:val="nil"/>
            </w:tcBorders>
          </w:tcPr>
          <w:p>
            <w:pPr>
              <w:pStyle w:val="TableParagraph"/>
              <w:ind w:right="143"/>
              <w:rPr>
                <w:sz w:val="22"/>
              </w:rPr>
            </w:pPr>
            <w:r>
              <w:rPr>
                <w:sz w:val="22"/>
              </w:rPr>
              <w:t>Ruano</w:t>
            </w:r>
          </w:p>
        </w:tc>
        <w:tc>
          <w:tcPr>
            <w:tcW w:w="991" w:type="dxa"/>
            <w:tcBorders>
              <w:bottom w:val="nil"/>
            </w:tcBorders>
          </w:tcPr>
          <w:p>
            <w:pPr>
              <w:pStyle w:val="TableParagraph"/>
              <w:ind w:left="100"/>
              <w:rPr>
                <w:sz w:val="22"/>
              </w:rPr>
            </w:pPr>
            <w:r>
              <w:rPr>
                <w:sz w:val="22"/>
              </w:rPr>
              <w:t>Polotitl</w:t>
            </w:r>
          </w:p>
        </w:tc>
        <w:tc>
          <w:tcPr>
            <w:tcW w:w="1277" w:type="dxa"/>
            <w:tcBorders>
              <w:bottom w:val="nil"/>
            </w:tcBorders>
          </w:tcPr>
          <w:p>
            <w:pPr>
              <w:pStyle w:val="TableParagraph"/>
              <w:ind w:right="92"/>
              <w:rPr>
                <w:sz w:val="22"/>
              </w:rPr>
            </w:pPr>
            <w:r>
              <w:rPr>
                <w:sz w:val="22"/>
              </w:rPr>
              <w:t>Ruano,</w:t>
            </w:r>
          </w:p>
        </w:tc>
        <w:tc>
          <w:tcPr>
            <w:tcW w:w="1133" w:type="dxa"/>
            <w:tcBorders>
              <w:bottom w:val="nil"/>
            </w:tcBorders>
          </w:tcPr>
          <w:p>
            <w:pPr>
              <w:pStyle w:val="TableParagraph"/>
              <w:ind w:left="100" w:right="52"/>
              <w:rPr>
                <w:sz w:val="22"/>
              </w:rPr>
            </w:pPr>
            <w:r>
              <w:rPr>
                <w:sz w:val="22"/>
              </w:rPr>
              <w:t>Ruano,</w:t>
            </w:r>
          </w:p>
        </w:tc>
        <w:tc>
          <w:tcPr>
            <w:tcW w:w="3687" w:type="dxa"/>
            <w:tcBorders>
              <w:bottom w:val="nil"/>
            </w:tcBorders>
          </w:tcPr>
          <w:p>
            <w:pPr>
              <w:pStyle w:val="TableParagraph"/>
              <w:rPr>
                <w:sz w:val="22"/>
              </w:rPr>
            </w:pPr>
            <w:r>
              <w:rPr>
                <w:sz w:val="22"/>
              </w:rPr>
              <w:t>Sí porque es importante tener    los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Cuevas</w:t>
            </w:r>
          </w:p>
        </w:tc>
        <w:tc>
          <w:tcPr>
            <w:tcW w:w="1418" w:type="dxa"/>
            <w:tcBorders>
              <w:top w:val="nil"/>
              <w:bottom w:val="nil"/>
            </w:tcBorders>
          </w:tcPr>
          <w:p>
            <w:pPr>
              <w:pStyle w:val="TableParagraph"/>
              <w:tabs>
                <w:tab w:pos="1060" w:val="left" w:leader="none"/>
              </w:tabs>
              <w:spacing w:line="241" w:lineRule="exact"/>
              <w:ind w:left="100"/>
              <w:rPr>
                <w:sz w:val="22"/>
              </w:rPr>
            </w:pPr>
            <w:r>
              <w:rPr>
                <w:sz w:val="22"/>
              </w:rPr>
              <w:t>(tiene</w:t>
              <w:tab/>
              <w:t>un</w:t>
            </w:r>
          </w:p>
        </w:tc>
        <w:tc>
          <w:tcPr>
            <w:tcW w:w="1417" w:type="dxa"/>
            <w:tcBorders>
              <w:top w:val="nil"/>
              <w:bottom w:val="nil"/>
            </w:tcBorders>
          </w:tcPr>
          <w:p>
            <w:pPr>
              <w:pStyle w:val="TableParagraph"/>
              <w:spacing w:line="241" w:lineRule="exact"/>
              <w:ind w:left="100"/>
              <w:rPr>
                <w:sz w:val="22"/>
              </w:rPr>
            </w:pPr>
            <w:r>
              <w:rPr>
                <w:sz w:val="22"/>
              </w:rPr>
              <w:t>Municipal</w:t>
            </w:r>
          </w:p>
        </w:tc>
        <w:tc>
          <w:tcPr>
            <w:tcW w:w="1560" w:type="dxa"/>
            <w:tcBorders>
              <w:top w:val="nil"/>
              <w:bottom w:val="nil"/>
            </w:tcBorders>
          </w:tcPr>
          <w:p>
            <w:pPr/>
          </w:p>
        </w:tc>
        <w:tc>
          <w:tcPr>
            <w:tcW w:w="991" w:type="dxa"/>
            <w:tcBorders>
              <w:top w:val="nil"/>
              <w:bottom w:val="nil"/>
            </w:tcBorders>
          </w:tcPr>
          <w:p>
            <w:pPr>
              <w:pStyle w:val="TableParagraph"/>
              <w:spacing w:line="241" w:lineRule="exact"/>
              <w:ind w:left="100"/>
              <w:rPr>
                <w:sz w:val="22"/>
              </w:rPr>
            </w:pPr>
            <w:r>
              <w:rPr>
                <w:sz w:val="22"/>
              </w:rPr>
              <w:t>án</w:t>
            </w:r>
          </w:p>
        </w:tc>
        <w:tc>
          <w:tcPr>
            <w:tcW w:w="1277" w:type="dxa"/>
            <w:tcBorders>
              <w:top w:val="nil"/>
              <w:bottom w:val="nil"/>
            </w:tcBorders>
          </w:tcPr>
          <w:p>
            <w:pPr>
              <w:pStyle w:val="TableParagraph"/>
              <w:spacing w:line="241" w:lineRule="exact"/>
              <w:ind w:right="92"/>
              <w:rPr>
                <w:sz w:val="22"/>
              </w:rPr>
            </w:pPr>
            <w:r>
              <w:rPr>
                <w:sz w:val="22"/>
              </w:rPr>
              <w:t>Polotitlán</w:t>
            </w:r>
          </w:p>
        </w:tc>
        <w:tc>
          <w:tcPr>
            <w:tcW w:w="1133" w:type="dxa"/>
            <w:tcBorders>
              <w:top w:val="nil"/>
              <w:bottom w:val="nil"/>
            </w:tcBorders>
          </w:tcPr>
          <w:p>
            <w:pPr>
              <w:pStyle w:val="TableParagraph"/>
              <w:spacing w:line="241" w:lineRule="exact"/>
              <w:ind w:left="100" w:right="52"/>
              <w:rPr>
                <w:sz w:val="22"/>
              </w:rPr>
            </w:pPr>
            <w:r>
              <w:rPr>
                <w:sz w:val="22"/>
              </w:rPr>
              <w:t>Polotitlán</w:t>
            </w:r>
          </w:p>
        </w:tc>
        <w:tc>
          <w:tcPr>
            <w:tcW w:w="3687" w:type="dxa"/>
            <w:tcBorders>
              <w:top w:val="nil"/>
              <w:bottom w:val="nil"/>
            </w:tcBorders>
          </w:tcPr>
          <w:p>
            <w:pPr>
              <w:pStyle w:val="TableParagraph"/>
              <w:spacing w:line="241" w:lineRule="exact"/>
              <w:rPr>
                <w:sz w:val="22"/>
              </w:rPr>
            </w:pPr>
            <w:r>
              <w:rPr>
                <w:sz w:val="22"/>
              </w:rPr>
              <w:t>conocimientos  de  cómo  están las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Espinoza</w:t>
            </w:r>
          </w:p>
        </w:tc>
        <w:tc>
          <w:tcPr>
            <w:tcW w:w="1418" w:type="dxa"/>
            <w:tcBorders>
              <w:top w:val="nil"/>
              <w:bottom w:val="nil"/>
            </w:tcBorders>
          </w:tcPr>
          <w:p>
            <w:pPr>
              <w:pStyle w:val="TableParagraph"/>
              <w:spacing w:line="241" w:lineRule="exact"/>
              <w:ind w:left="100" w:right="101"/>
              <w:rPr>
                <w:sz w:val="22"/>
              </w:rPr>
            </w:pPr>
            <w:r>
              <w:rPr>
                <w:sz w:val="22"/>
              </w:rPr>
              <w:t>restaurante</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1" w:lineRule="exact"/>
              <w:rPr>
                <w:sz w:val="22"/>
              </w:rPr>
            </w:pPr>
            <w:r>
              <w:rPr>
                <w:sz w:val="22"/>
              </w:rPr>
              <w:t>cosas para traer un beneficio   para</w:t>
            </w:r>
          </w:p>
        </w:tc>
      </w:tr>
      <w:tr>
        <w:trPr>
          <w:trHeight w:val="253" w:hRule="exact"/>
        </w:trPr>
        <w:tc>
          <w:tcPr>
            <w:tcW w:w="1385" w:type="dxa"/>
            <w:tcBorders>
              <w:top w:val="nil"/>
              <w:bottom w:val="nil"/>
            </w:tcBorders>
          </w:tcPr>
          <w:p>
            <w:pPr>
              <w:pStyle w:val="TableParagraph"/>
              <w:spacing w:line="242" w:lineRule="exact"/>
              <w:rPr>
                <w:sz w:val="22"/>
              </w:rPr>
            </w:pPr>
            <w:r>
              <w:rPr>
                <w:sz w:val="22"/>
              </w:rPr>
              <w:t>(20/8/2014)</w:t>
            </w:r>
          </w:p>
        </w:tc>
        <w:tc>
          <w:tcPr>
            <w:tcW w:w="1418" w:type="dxa"/>
            <w:tcBorders>
              <w:top w:val="nil"/>
              <w:bottom w:val="nil"/>
            </w:tcBorders>
          </w:tcPr>
          <w:p>
            <w:pPr>
              <w:pStyle w:val="TableParagraph"/>
              <w:spacing w:line="242" w:lineRule="exact"/>
              <w:ind w:left="100"/>
              <w:rPr>
                <w:sz w:val="22"/>
              </w:rPr>
            </w:pPr>
            <w:r>
              <w:rPr>
                <w:sz w:val="22"/>
              </w:rPr>
              <w:t>en el</w:t>
            </w:r>
            <w:r>
              <w:rPr>
                <w:spacing w:val="51"/>
                <w:sz w:val="22"/>
              </w:rPr>
              <w:t> </w:t>
            </w:r>
            <w:r>
              <w:rPr>
                <w:sz w:val="22"/>
              </w:rPr>
              <w:t>centro</w:t>
            </w:r>
          </w:p>
        </w:tc>
        <w:tc>
          <w:tcPr>
            <w:tcW w:w="1417" w:type="dxa"/>
            <w:tcBorders>
              <w:top w:val="nil"/>
              <w:bottom w:val="nil"/>
            </w:tcBorders>
          </w:tcPr>
          <w:p>
            <w:pPr/>
          </w:p>
        </w:tc>
        <w:tc>
          <w:tcPr>
            <w:tcW w:w="1560" w:type="dxa"/>
            <w:tcBorders>
              <w:top w:val="nil"/>
              <w:bottom w:val="nil"/>
            </w:tcBorders>
          </w:tcPr>
          <w:p>
            <w:pPr/>
          </w:p>
        </w:tc>
        <w:tc>
          <w:tcPr>
            <w:tcW w:w="991" w:type="dxa"/>
            <w:tcBorders>
              <w:top w:val="nil"/>
              <w:bottom w:val="nil"/>
            </w:tcBorders>
          </w:tcPr>
          <w:p>
            <w:pPr/>
          </w:p>
        </w:tc>
        <w:tc>
          <w:tcPr>
            <w:tcW w:w="1277" w:type="dxa"/>
            <w:tcBorders>
              <w:top w:val="nil"/>
              <w:bottom w:val="nil"/>
            </w:tcBorders>
          </w:tcPr>
          <w:p>
            <w:pPr/>
          </w:p>
        </w:tc>
        <w:tc>
          <w:tcPr>
            <w:tcW w:w="1133" w:type="dxa"/>
            <w:tcBorders>
              <w:top w:val="nil"/>
              <w:bottom w:val="nil"/>
            </w:tcBorders>
          </w:tcPr>
          <w:p>
            <w:pPr/>
          </w:p>
        </w:tc>
        <w:tc>
          <w:tcPr>
            <w:tcW w:w="3687" w:type="dxa"/>
            <w:tcBorders>
              <w:top w:val="nil"/>
              <w:bottom w:val="nil"/>
            </w:tcBorders>
          </w:tcPr>
          <w:p>
            <w:pPr>
              <w:pStyle w:val="TableParagraph"/>
              <w:spacing w:line="242" w:lineRule="exact"/>
              <w:rPr>
                <w:sz w:val="22"/>
              </w:rPr>
            </w:pPr>
            <w:r>
              <w:rPr>
                <w:sz w:val="22"/>
              </w:rPr>
              <w:t>la comunidad de alguna  propuesta</w:t>
            </w:r>
          </w:p>
        </w:tc>
      </w:tr>
      <w:tr>
        <w:trPr>
          <w:trHeight w:val="250" w:hRule="exact"/>
        </w:trPr>
        <w:tc>
          <w:tcPr>
            <w:tcW w:w="1385" w:type="dxa"/>
            <w:tcBorders>
              <w:top w:val="nil"/>
            </w:tcBorders>
          </w:tcPr>
          <w:p>
            <w:pPr/>
          </w:p>
        </w:tc>
        <w:tc>
          <w:tcPr>
            <w:tcW w:w="1418" w:type="dxa"/>
            <w:tcBorders>
              <w:top w:val="nil"/>
            </w:tcBorders>
          </w:tcPr>
          <w:p>
            <w:pPr>
              <w:pStyle w:val="TableParagraph"/>
              <w:spacing w:line="241" w:lineRule="exact"/>
              <w:ind w:left="100" w:right="101"/>
              <w:rPr>
                <w:sz w:val="22"/>
              </w:rPr>
            </w:pPr>
            <w:r>
              <w:rPr>
                <w:sz w:val="22"/>
              </w:rPr>
              <w:t>de</w:t>
            </w:r>
          </w:p>
        </w:tc>
        <w:tc>
          <w:tcPr>
            <w:tcW w:w="1417" w:type="dxa"/>
            <w:tcBorders>
              <w:top w:val="nil"/>
            </w:tcBorders>
          </w:tcPr>
          <w:p>
            <w:pPr/>
          </w:p>
        </w:tc>
        <w:tc>
          <w:tcPr>
            <w:tcW w:w="1560" w:type="dxa"/>
            <w:tcBorders>
              <w:top w:val="nil"/>
            </w:tcBorders>
          </w:tcPr>
          <w:p>
            <w:pPr/>
          </w:p>
        </w:tc>
        <w:tc>
          <w:tcPr>
            <w:tcW w:w="991" w:type="dxa"/>
            <w:tcBorders>
              <w:top w:val="nil"/>
            </w:tcBorders>
          </w:tcPr>
          <w:p>
            <w:pPr/>
          </w:p>
        </w:tc>
        <w:tc>
          <w:tcPr>
            <w:tcW w:w="1277" w:type="dxa"/>
            <w:tcBorders>
              <w:top w:val="nil"/>
            </w:tcBorders>
          </w:tcPr>
          <w:p>
            <w:pPr/>
          </w:p>
        </w:tc>
        <w:tc>
          <w:tcPr>
            <w:tcW w:w="1133" w:type="dxa"/>
            <w:tcBorders>
              <w:top w:val="nil"/>
            </w:tcBorders>
          </w:tcPr>
          <w:p>
            <w:pPr/>
          </w:p>
        </w:tc>
        <w:tc>
          <w:tcPr>
            <w:tcW w:w="3687" w:type="dxa"/>
            <w:tcBorders>
              <w:top w:val="nil"/>
            </w:tcBorders>
          </w:tcPr>
          <w:p>
            <w:pPr>
              <w:pStyle w:val="TableParagraph"/>
              <w:spacing w:line="241" w:lineRule="exact"/>
              <w:rPr>
                <w:sz w:val="22"/>
              </w:rPr>
            </w:pPr>
            <w:r>
              <w:rPr>
                <w:sz w:val="22"/>
              </w:rPr>
              <w:t>o algo.</w:t>
            </w:r>
          </w:p>
        </w:tc>
      </w:tr>
    </w:tbl>
    <w:p>
      <w:pPr>
        <w:spacing w:after="0" w:line="241" w:lineRule="exact"/>
        <w:rPr>
          <w:sz w:val="22"/>
        </w:rPr>
        <w:sectPr>
          <w:footerReference w:type="default" r:id="rId187"/>
          <w:pgSz w:w="15840" w:h="12240" w:orient="landscape"/>
          <w:pgMar w:footer="943" w:header="0" w:top="1140" w:bottom="1140" w:left="1200" w:right="1300"/>
          <w:pgNumType w:start="31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417"/>
        <w:gridCol w:w="1560"/>
        <w:gridCol w:w="991"/>
        <w:gridCol w:w="1277"/>
        <w:gridCol w:w="1133"/>
        <w:gridCol w:w="3687"/>
      </w:tblGrid>
      <w:tr>
        <w:trPr>
          <w:trHeight w:val="516" w:hRule="exact"/>
        </w:trPr>
        <w:tc>
          <w:tcPr>
            <w:tcW w:w="1385" w:type="dxa"/>
          </w:tcPr>
          <w:p>
            <w:pPr/>
          </w:p>
        </w:tc>
        <w:tc>
          <w:tcPr>
            <w:tcW w:w="1418" w:type="dxa"/>
          </w:tcPr>
          <w:p>
            <w:pPr>
              <w:pStyle w:val="TableParagraph"/>
              <w:spacing w:line="252" w:lineRule="exact" w:before="2"/>
              <w:ind w:left="100" w:right="101"/>
              <w:rPr>
                <w:sz w:val="22"/>
              </w:rPr>
            </w:pPr>
            <w:r>
              <w:rPr>
                <w:sz w:val="22"/>
              </w:rPr>
              <w:t>Polotitlán) y el campo</w:t>
            </w:r>
          </w:p>
        </w:tc>
        <w:tc>
          <w:tcPr>
            <w:tcW w:w="1417" w:type="dxa"/>
          </w:tcPr>
          <w:p>
            <w:pPr/>
          </w:p>
        </w:tc>
        <w:tc>
          <w:tcPr>
            <w:tcW w:w="1560" w:type="dxa"/>
          </w:tcPr>
          <w:p>
            <w:pPr/>
          </w:p>
        </w:tc>
        <w:tc>
          <w:tcPr>
            <w:tcW w:w="991" w:type="dxa"/>
          </w:tcPr>
          <w:p>
            <w:pPr/>
          </w:p>
        </w:tc>
        <w:tc>
          <w:tcPr>
            <w:tcW w:w="1277" w:type="dxa"/>
          </w:tcPr>
          <w:p>
            <w:pPr/>
          </w:p>
        </w:tc>
        <w:tc>
          <w:tcPr>
            <w:tcW w:w="1133" w:type="dxa"/>
          </w:tcPr>
          <w:p>
            <w:pPr/>
          </w:p>
        </w:tc>
        <w:tc>
          <w:tcPr>
            <w:tcW w:w="3687" w:type="dxa"/>
          </w:tcPr>
          <w:p>
            <w:pPr/>
          </w:p>
        </w:tc>
      </w:tr>
      <w:tr>
        <w:trPr>
          <w:trHeight w:val="1781" w:hRule="exact"/>
        </w:trPr>
        <w:tc>
          <w:tcPr>
            <w:tcW w:w="1385" w:type="dxa"/>
          </w:tcPr>
          <w:p>
            <w:pPr>
              <w:pStyle w:val="TableParagraph"/>
              <w:ind w:right="249"/>
              <w:rPr>
                <w:sz w:val="22"/>
              </w:rPr>
            </w:pPr>
            <w:r>
              <w:rPr>
                <w:sz w:val="22"/>
              </w:rPr>
              <w:t>Fernando Caballero López (4/9/2014)</w:t>
            </w:r>
          </w:p>
        </w:tc>
        <w:tc>
          <w:tcPr>
            <w:tcW w:w="1418" w:type="dxa"/>
          </w:tcPr>
          <w:p>
            <w:pPr>
              <w:pStyle w:val="TableParagraph"/>
              <w:ind w:left="100" w:right="101"/>
              <w:jc w:val="both"/>
              <w:rPr>
                <w:sz w:val="22"/>
              </w:rPr>
            </w:pPr>
            <w:r>
              <w:rPr>
                <w:sz w:val="22"/>
              </w:rPr>
              <w:t>Vigilar una gasera y el campo</w:t>
            </w:r>
          </w:p>
        </w:tc>
        <w:tc>
          <w:tcPr>
            <w:tcW w:w="1417" w:type="dxa"/>
          </w:tcPr>
          <w:p>
            <w:pPr>
              <w:pStyle w:val="TableParagraph"/>
              <w:spacing w:line="252" w:lineRule="exact" w:before="2"/>
              <w:ind w:left="100" w:right="345"/>
              <w:rPr>
                <w:sz w:val="22"/>
              </w:rPr>
            </w:pPr>
            <w:r>
              <w:rPr>
                <w:sz w:val="22"/>
              </w:rPr>
              <w:t>Delegado Municipal</w:t>
            </w:r>
          </w:p>
        </w:tc>
        <w:tc>
          <w:tcPr>
            <w:tcW w:w="1560" w:type="dxa"/>
          </w:tcPr>
          <w:p>
            <w:pPr>
              <w:pStyle w:val="TableParagraph"/>
              <w:spacing w:line="251" w:lineRule="exact"/>
              <w:ind w:right="143"/>
              <w:rPr>
                <w:sz w:val="22"/>
              </w:rPr>
            </w:pPr>
            <w:r>
              <w:rPr>
                <w:sz w:val="22"/>
              </w:rPr>
              <w:t>Encinillas</w:t>
            </w:r>
          </w:p>
        </w:tc>
        <w:tc>
          <w:tcPr>
            <w:tcW w:w="991" w:type="dxa"/>
          </w:tcPr>
          <w:p>
            <w:pPr>
              <w:pStyle w:val="TableParagraph"/>
              <w:spacing w:line="252" w:lineRule="exact" w:before="2"/>
              <w:ind w:left="100" w:right="201"/>
              <w:rPr>
                <w:sz w:val="22"/>
              </w:rPr>
            </w:pPr>
            <w:r>
              <w:rPr>
                <w:sz w:val="22"/>
              </w:rPr>
              <w:t>Polotitl án</w:t>
            </w:r>
          </w:p>
        </w:tc>
        <w:tc>
          <w:tcPr>
            <w:tcW w:w="1277" w:type="dxa"/>
          </w:tcPr>
          <w:p>
            <w:pPr>
              <w:pStyle w:val="TableParagraph"/>
              <w:ind w:right="132"/>
              <w:rPr>
                <w:sz w:val="22"/>
              </w:rPr>
            </w:pPr>
            <w:r>
              <w:rPr>
                <w:sz w:val="22"/>
              </w:rPr>
              <w:t>Distrito Federal, pero llegue a Encinillas desde que era niño.</w:t>
            </w:r>
          </w:p>
        </w:tc>
        <w:tc>
          <w:tcPr>
            <w:tcW w:w="1133" w:type="dxa"/>
          </w:tcPr>
          <w:p>
            <w:pPr>
              <w:pStyle w:val="TableParagraph"/>
              <w:ind w:left="100" w:right="98"/>
              <w:rPr>
                <w:sz w:val="22"/>
              </w:rPr>
            </w:pPr>
            <w:r>
              <w:rPr>
                <w:sz w:val="22"/>
              </w:rPr>
              <w:t>Encinilla s, Polotitlán</w:t>
            </w:r>
          </w:p>
        </w:tc>
        <w:tc>
          <w:tcPr>
            <w:tcW w:w="3687" w:type="dxa"/>
          </w:tcPr>
          <w:p>
            <w:pPr>
              <w:pStyle w:val="TableParagraph"/>
              <w:ind w:right="99"/>
              <w:jc w:val="both"/>
              <w:rPr>
                <w:sz w:val="22"/>
              </w:rPr>
            </w:pPr>
            <w:r>
              <w:rPr>
                <w:sz w:val="22"/>
              </w:rPr>
              <w:t>Sí estoy dispuesto a asistir a una reunión para tratar asuntos relacionados con la laguna porque también soy beneficiario, también riego y hago limpieza en las compuertas de riego de los canales.</w:t>
            </w:r>
          </w:p>
        </w:tc>
      </w:tr>
      <w:tr>
        <w:trPr>
          <w:trHeight w:val="1022" w:hRule="exact"/>
        </w:trPr>
        <w:tc>
          <w:tcPr>
            <w:tcW w:w="1385" w:type="dxa"/>
          </w:tcPr>
          <w:p>
            <w:pPr>
              <w:pStyle w:val="TableParagraph"/>
              <w:ind w:right="249"/>
              <w:rPr>
                <w:sz w:val="22"/>
              </w:rPr>
            </w:pPr>
            <w:r>
              <w:rPr>
                <w:sz w:val="22"/>
              </w:rPr>
              <w:t>Felipe Tapia Chimal (4/9/2014)</w:t>
            </w:r>
          </w:p>
        </w:tc>
        <w:tc>
          <w:tcPr>
            <w:tcW w:w="1418" w:type="dxa"/>
          </w:tcPr>
          <w:p>
            <w:pPr>
              <w:pStyle w:val="TableParagraph"/>
              <w:spacing w:line="252" w:lineRule="exact" w:before="2"/>
              <w:ind w:left="384" w:right="144" w:hanging="228"/>
              <w:rPr>
                <w:sz w:val="22"/>
              </w:rPr>
            </w:pPr>
            <w:r>
              <w:rPr>
                <w:sz w:val="22"/>
              </w:rPr>
              <w:t>El campo y albañil</w:t>
            </w:r>
          </w:p>
        </w:tc>
        <w:tc>
          <w:tcPr>
            <w:tcW w:w="1417" w:type="dxa"/>
          </w:tcPr>
          <w:p>
            <w:pPr>
              <w:pStyle w:val="TableParagraph"/>
              <w:spacing w:line="252" w:lineRule="exact" w:before="2"/>
              <w:ind w:left="100" w:right="345"/>
              <w:rPr>
                <w:sz w:val="22"/>
              </w:rPr>
            </w:pPr>
            <w:r>
              <w:rPr>
                <w:sz w:val="22"/>
              </w:rPr>
              <w:t>Delegado Municipal</w:t>
            </w:r>
          </w:p>
        </w:tc>
        <w:tc>
          <w:tcPr>
            <w:tcW w:w="1560" w:type="dxa"/>
          </w:tcPr>
          <w:p>
            <w:pPr>
              <w:pStyle w:val="TableParagraph"/>
              <w:spacing w:line="252" w:lineRule="exact" w:before="2"/>
              <w:ind w:right="314"/>
              <w:rPr>
                <w:sz w:val="22"/>
              </w:rPr>
            </w:pPr>
            <w:r>
              <w:rPr>
                <w:sz w:val="22"/>
              </w:rPr>
              <w:t>La Campesina</w:t>
            </w:r>
          </w:p>
        </w:tc>
        <w:tc>
          <w:tcPr>
            <w:tcW w:w="991" w:type="dxa"/>
          </w:tcPr>
          <w:p>
            <w:pPr>
              <w:pStyle w:val="TableParagraph"/>
              <w:spacing w:line="252" w:lineRule="exact" w:before="2"/>
              <w:ind w:left="100" w:right="152"/>
              <w:rPr>
                <w:sz w:val="22"/>
              </w:rPr>
            </w:pPr>
            <w:r>
              <w:rPr>
                <w:sz w:val="22"/>
              </w:rPr>
              <w:t>Timilpa n</w:t>
            </w:r>
          </w:p>
        </w:tc>
        <w:tc>
          <w:tcPr>
            <w:tcW w:w="1277" w:type="dxa"/>
          </w:tcPr>
          <w:p>
            <w:pPr>
              <w:pStyle w:val="TableParagraph"/>
              <w:ind w:right="154"/>
              <w:rPr>
                <w:sz w:val="22"/>
              </w:rPr>
            </w:pPr>
            <w:r>
              <w:rPr>
                <w:sz w:val="22"/>
              </w:rPr>
              <w:t>La Campesin a, Timilpan</w:t>
            </w:r>
          </w:p>
        </w:tc>
        <w:tc>
          <w:tcPr>
            <w:tcW w:w="1133" w:type="dxa"/>
          </w:tcPr>
          <w:p>
            <w:pPr>
              <w:pStyle w:val="TableParagraph"/>
              <w:ind w:left="100" w:right="135"/>
              <w:rPr>
                <w:sz w:val="22"/>
              </w:rPr>
            </w:pPr>
            <w:r>
              <w:rPr>
                <w:sz w:val="22"/>
              </w:rPr>
              <w:t>La Campesi na, Timilpan</w:t>
            </w:r>
          </w:p>
        </w:tc>
        <w:tc>
          <w:tcPr>
            <w:tcW w:w="3687" w:type="dxa"/>
          </w:tcPr>
          <w:p>
            <w:pPr>
              <w:pStyle w:val="TableParagraph"/>
              <w:ind w:right="101"/>
              <w:jc w:val="both"/>
              <w:rPr>
                <w:sz w:val="22"/>
              </w:rPr>
            </w:pPr>
            <w:r>
              <w:rPr>
                <w:sz w:val="22"/>
              </w:rPr>
              <w:t>Claro que sí! porque sí nos  interesa que haya un dialogo para ver qué solución se le da al problema de la</w:t>
            </w:r>
            <w:r>
              <w:rPr>
                <w:spacing w:val="-2"/>
                <w:sz w:val="22"/>
              </w:rPr>
              <w:t> </w:t>
            </w:r>
            <w:r>
              <w:rPr>
                <w:sz w:val="22"/>
              </w:rPr>
              <w:t>laguna.</w:t>
            </w:r>
          </w:p>
        </w:tc>
      </w:tr>
      <w:tr>
        <w:trPr>
          <w:trHeight w:val="1020" w:hRule="exact"/>
        </w:trPr>
        <w:tc>
          <w:tcPr>
            <w:tcW w:w="1385" w:type="dxa"/>
          </w:tcPr>
          <w:p>
            <w:pPr>
              <w:pStyle w:val="TableParagraph"/>
              <w:ind w:right="127"/>
              <w:rPr>
                <w:sz w:val="22"/>
              </w:rPr>
            </w:pPr>
            <w:r>
              <w:rPr>
                <w:sz w:val="22"/>
              </w:rPr>
              <w:t>Audencio Santiago Valentín (24/1/2015)</w:t>
            </w:r>
          </w:p>
        </w:tc>
        <w:tc>
          <w:tcPr>
            <w:tcW w:w="1418" w:type="dxa"/>
          </w:tcPr>
          <w:p>
            <w:pPr>
              <w:pStyle w:val="TableParagraph"/>
              <w:spacing w:line="252" w:lineRule="exact" w:before="2"/>
              <w:ind w:left="384" w:right="144" w:hanging="228"/>
              <w:rPr>
                <w:sz w:val="22"/>
              </w:rPr>
            </w:pPr>
            <w:r>
              <w:rPr>
                <w:sz w:val="22"/>
              </w:rPr>
              <w:t>El campo y albañil</w:t>
            </w:r>
          </w:p>
        </w:tc>
        <w:tc>
          <w:tcPr>
            <w:tcW w:w="1417" w:type="dxa"/>
          </w:tcPr>
          <w:p>
            <w:pPr>
              <w:pStyle w:val="TableParagraph"/>
              <w:spacing w:line="252" w:lineRule="exact" w:before="2"/>
              <w:ind w:left="100" w:right="345"/>
              <w:rPr>
                <w:sz w:val="22"/>
              </w:rPr>
            </w:pPr>
            <w:r>
              <w:rPr>
                <w:sz w:val="22"/>
              </w:rPr>
              <w:t>Delegado Municipal</w:t>
            </w:r>
          </w:p>
        </w:tc>
        <w:tc>
          <w:tcPr>
            <w:tcW w:w="1560" w:type="dxa"/>
          </w:tcPr>
          <w:p>
            <w:pPr>
              <w:pStyle w:val="TableParagraph"/>
              <w:spacing w:line="251" w:lineRule="exact"/>
              <w:ind w:right="143"/>
              <w:rPr>
                <w:sz w:val="22"/>
              </w:rPr>
            </w:pPr>
            <w:r>
              <w:rPr>
                <w:sz w:val="22"/>
              </w:rPr>
              <w:t>Las Arenas</w:t>
            </w:r>
          </w:p>
        </w:tc>
        <w:tc>
          <w:tcPr>
            <w:tcW w:w="991" w:type="dxa"/>
          </w:tcPr>
          <w:p>
            <w:pPr>
              <w:pStyle w:val="TableParagraph"/>
              <w:spacing w:line="252" w:lineRule="exact" w:before="2"/>
              <w:ind w:left="100" w:right="176"/>
              <w:rPr>
                <w:sz w:val="22"/>
              </w:rPr>
            </w:pPr>
            <w:r>
              <w:rPr>
                <w:sz w:val="22"/>
              </w:rPr>
              <w:t>Acamb ay</w:t>
            </w:r>
          </w:p>
        </w:tc>
        <w:tc>
          <w:tcPr>
            <w:tcW w:w="1277" w:type="dxa"/>
          </w:tcPr>
          <w:p>
            <w:pPr>
              <w:pStyle w:val="TableParagraph"/>
              <w:ind w:right="227"/>
              <w:rPr>
                <w:sz w:val="22"/>
              </w:rPr>
            </w:pPr>
            <w:r>
              <w:rPr>
                <w:sz w:val="22"/>
              </w:rPr>
              <w:t>Las Arenas, Acambay</w:t>
            </w:r>
          </w:p>
        </w:tc>
        <w:tc>
          <w:tcPr>
            <w:tcW w:w="1133" w:type="dxa"/>
          </w:tcPr>
          <w:p>
            <w:pPr>
              <w:pStyle w:val="TableParagraph"/>
              <w:ind w:left="100" w:right="86"/>
              <w:rPr>
                <w:sz w:val="22"/>
              </w:rPr>
            </w:pPr>
            <w:r>
              <w:rPr>
                <w:sz w:val="22"/>
              </w:rPr>
              <w:t>Las Arenas, Acambay</w:t>
            </w:r>
          </w:p>
        </w:tc>
        <w:tc>
          <w:tcPr>
            <w:tcW w:w="3687" w:type="dxa"/>
          </w:tcPr>
          <w:p>
            <w:pPr>
              <w:pStyle w:val="TableParagraph"/>
              <w:ind w:right="100"/>
              <w:jc w:val="both"/>
              <w:rPr>
                <w:sz w:val="22"/>
              </w:rPr>
            </w:pPr>
            <w:r>
              <w:rPr>
                <w:sz w:val="22"/>
              </w:rPr>
              <w:t>Sí porque me interesa porque es una fuente de empleo para toda mi gente porque pescan.</w:t>
            </w:r>
          </w:p>
        </w:tc>
      </w:tr>
      <w:tr>
        <w:trPr>
          <w:trHeight w:val="1781" w:hRule="exact"/>
        </w:trPr>
        <w:tc>
          <w:tcPr>
            <w:tcW w:w="1385" w:type="dxa"/>
          </w:tcPr>
          <w:p>
            <w:pPr>
              <w:pStyle w:val="TableParagraph"/>
              <w:ind w:right="249"/>
              <w:rPr>
                <w:sz w:val="22"/>
              </w:rPr>
            </w:pPr>
            <w:r>
              <w:rPr>
                <w:sz w:val="22"/>
              </w:rPr>
              <w:t>Ponciano Olmos Correa (7/II/2015)</w:t>
            </w:r>
          </w:p>
        </w:tc>
        <w:tc>
          <w:tcPr>
            <w:tcW w:w="1418" w:type="dxa"/>
          </w:tcPr>
          <w:p>
            <w:pPr>
              <w:pStyle w:val="TableParagraph"/>
              <w:ind w:left="242" w:right="101"/>
              <w:rPr>
                <w:sz w:val="22"/>
              </w:rPr>
            </w:pPr>
            <w:r>
              <w:rPr>
                <w:sz w:val="22"/>
              </w:rPr>
              <w:t>El campo</w:t>
            </w:r>
          </w:p>
        </w:tc>
        <w:tc>
          <w:tcPr>
            <w:tcW w:w="1417" w:type="dxa"/>
          </w:tcPr>
          <w:p>
            <w:pPr>
              <w:pStyle w:val="TableParagraph"/>
              <w:tabs>
                <w:tab w:pos="1132" w:val="left" w:leader="none"/>
              </w:tabs>
              <w:ind w:left="100" w:right="101"/>
              <w:rPr>
                <w:sz w:val="22"/>
              </w:rPr>
            </w:pPr>
            <w:r>
              <w:rPr>
                <w:sz w:val="22"/>
              </w:rPr>
              <w:t>Delegado Municipal de</w:t>
              <w:tab/>
              <w:t>la</w:t>
            </w:r>
          </w:p>
          <w:p>
            <w:pPr>
              <w:pStyle w:val="TableParagraph"/>
              <w:tabs>
                <w:tab w:pos="911" w:val="left" w:leader="none"/>
              </w:tabs>
              <w:spacing w:before="1"/>
              <w:ind w:left="100" w:right="101"/>
              <w:rPr>
                <w:sz w:val="22"/>
              </w:rPr>
            </w:pPr>
            <w:r>
              <w:rPr>
                <w:sz w:val="22"/>
              </w:rPr>
              <w:t>Primera Manzana de</w:t>
              <w:tab/>
              <w:t>San Juanico.</w:t>
            </w:r>
          </w:p>
        </w:tc>
        <w:tc>
          <w:tcPr>
            <w:tcW w:w="1560" w:type="dxa"/>
          </w:tcPr>
          <w:p>
            <w:pPr>
              <w:pStyle w:val="TableParagraph"/>
              <w:ind w:right="143"/>
              <w:rPr>
                <w:sz w:val="22"/>
              </w:rPr>
            </w:pPr>
            <w:r>
              <w:rPr>
                <w:sz w:val="22"/>
              </w:rPr>
              <w:t>San Juanico</w:t>
            </w:r>
          </w:p>
        </w:tc>
        <w:tc>
          <w:tcPr>
            <w:tcW w:w="991" w:type="dxa"/>
          </w:tcPr>
          <w:p>
            <w:pPr>
              <w:pStyle w:val="TableParagraph"/>
              <w:ind w:left="100" w:right="176"/>
              <w:rPr>
                <w:sz w:val="22"/>
              </w:rPr>
            </w:pPr>
            <w:r>
              <w:rPr>
                <w:sz w:val="22"/>
              </w:rPr>
              <w:t>Acamb ay</w:t>
            </w:r>
          </w:p>
        </w:tc>
        <w:tc>
          <w:tcPr>
            <w:tcW w:w="1277" w:type="dxa"/>
          </w:tcPr>
          <w:p>
            <w:pPr>
              <w:pStyle w:val="TableParagraph"/>
              <w:ind w:right="227"/>
              <w:rPr>
                <w:sz w:val="22"/>
              </w:rPr>
            </w:pPr>
            <w:r>
              <w:rPr>
                <w:sz w:val="22"/>
              </w:rPr>
              <w:t>San Juanico, Acambay</w:t>
            </w:r>
          </w:p>
        </w:tc>
        <w:tc>
          <w:tcPr>
            <w:tcW w:w="1133" w:type="dxa"/>
          </w:tcPr>
          <w:p>
            <w:pPr>
              <w:pStyle w:val="TableParagraph"/>
              <w:ind w:left="100" w:right="86"/>
              <w:rPr>
                <w:sz w:val="22"/>
              </w:rPr>
            </w:pPr>
            <w:r>
              <w:rPr>
                <w:sz w:val="22"/>
              </w:rPr>
              <w:t>San Juanico, Acambay</w:t>
            </w:r>
          </w:p>
        </w:tc>
        <w:tc>
          <w:tcPr>
            <w:tcW w:w="3687" w:type="dxa"/>
          </w:tcPr>
          <w:p>
            <w:pPr>
              <w:pStyle w:val="TableParagraph"/>
              <w:ind w:right="98"/>
              <w:jc w:val="both"/>
              <w:rPr>
                <w:sz w:val="22"/>
              </w:rPr>
            </w:pPr>
            <w:r>
              <w:rPr>
                <w:sz w:val="22"/>
              </w:rPr>
              <w:t>¡Claro que sí!, hay muchas inconveniencias que necesitan que se aclaren por la subida de la cortina porque ellos si se benefician y a nosotros nos afectan o que desazolven la laguna para que no se llene hasta</w:t>
            </w:r>
            <w:r>
              <w:rPr>
                <w:spacing w:val="-6"/>
                <w:sz w:val="22"/>
              </w:rPr>
              <w:t> </w:t>
            </w:r>
            <w:r>
              <w:rPr>
                <w:sz w:val="22"/>
              </w:rPr>
              <w:t>acá.</w:t>
            </w:r>
          </w:p>
        </w:tc>
      </w:tr>
      <w:tr>
        <w:trPr>
          <w:trHeight w:val="1784" w:hRule="exact"/>
        </w:trPr>
        <w:tc>
          <w:tcPr>
            <w:tcW w:w="1385" w:type="dxa"/>
          </w:tcPr>
          <w:p>
            <w:pPr>
              <w:pStyle w:val="TableParagraph"/>
              <w:ind w:right="249"/>
              <w:rPr>
                <w:sz w:val="22"/>
              </w:rPr>
            </w:pPr>
            <w:r>
              <w:rPr>
                <w:sz w:val="22"/>
              </w:rPr>
              <w:t>Gabriel Pérez Padilla (7/II/2015)</w:t>
            </w:r>
          </w:p>
        </w:tc>
        <w:tc>
          <w:tcPr>
            <w:tcW w:w="1418" w:type="dxa"/>
          </w:tcPr>
          <w:p>
            <w:pPr>
              <w:pStyle w:val="TableParagraph"/>
              <w:ind w:left="156" w:right="159"/>
              <w:jc w:val="center"/>
              <w:rPr>
                <w:sz w:val="22"/>
              </w:rPr>
            </w:pPr>
            <w:r>
              <w:rPr>
                <w:sz w:val="22"/>
              </w:rPr>
              <w:t>El campo y</w:t>
            </w:r>
            <w:r>
              <w:rPr>
                <w:w w:val="100"/>
                <w:sz w:val="22"/>
              </w:rPr>
              <w:t> </w:t>
            </w:r>
            <w:r>
              <w:rPr>
                <w:sz w:val="22"/>
              </w:rPr>
              <w:t>la     albañilería</w:t>
            </w:r>
          </w:p>
        </w:tc>
        <w:tc>
          <w:tcPr>
            <w:tcW w:w="1417" w:type="dxa"/>
          </w:tcPr>
          <w:p>
            <w:pPr>
              <w:pStyle w:val="TableParagraph"/>
              <w:tabs>
                <w:tab w:pos="1132" w:val="left" w:leader="none"/>
              </w:tabs>
              <w:ind w:left="100" w:right="101"/>
              <w:rPr>
                <w:sz w:val="22"/>
              </w:rPr>
            </w:pPr>
            <w:r>
              <w:rPr>
                <w:sz w:val="22"/>
              </w:rPr>
              <w:t>Delegado Municipal de</w:t>
              <w:tab/>
              <w:t>la</w:t>
            </w:r>
          </w:p>
          <w:p>
            <w:pPr>
              <w:pStyle w:val="TableParagraph"/>
              <w:tabs>
                <w:tab w:pos="911" w:val="left" w:leader="none"/>
              </w:tabs>
              <w:spacing w:before="1"/>
              <w:ind w:left="100" w:right="101"/>
              <w:rPr>
                <w:sz w:val="22"/>
              </w:rPr>
            </w:pPr>
            <w:r>
              <w:rPr>
                <w:sz w:val="22"/>
              </w:rPr>
              <w:t>Segunda Manzana de</w:t>
              <w:tab/>
              <w:t>San Juanico.</w:t>
            </w:r>
          </w:p>
        </w:tc>
        <w:tc>
          <w:tcPr>
            <w:tcW w:w="1560" w:type="dxa"/>
          </w:tcPr>
          <w:p>
            <w:pPr>
              <w:pStyle w:val="TableParagraph"/>
              <w:ind w:right="143"/>
              <w:rPr>
                <w:sz w:val="22"/>
              </w:rPr>
            </w:pPr>
            <w:r>
              <w:rPr>
                <w:sz w:val="22"/>
              </w:rPr>
              <w:t>San Juanico</w:t>
            </w:r>
          </w:p>
        </w:tc>
        <w:tc>
          <w:tcPr>
            <w:tcW w:w="991" w:type="dxa"/>
          </w:tcPr>
          <w:p>
            <w:pPr>
              <w:pStyle w:val="TableParagraph"/>
              <w:ind w:left="100" w:right="176"/>
              <w:rPr>
                <w:sz w:val="22"/>
              </w:rPr>
            </w:pPr>
            <w:r>
              <w:rPr>
                <w:sz w:val="22"/>
              </w:rPr>
              <w:t>Acamb ay</w:t>
            </w:r>
          </w:p>
        </w:tc>
        <w:tc>
          <w:tcPr>
            <w:tcW w:w="1277" w:type="dxa"/>
          </w:tcPr>
          <w:p>
            <w:pPr>
              <w:pStyle w:val="TableParagraph"/>
              <w:ind w:right="227"/>
              <w:rPr>
                <w:sz w:val="22"/>
              </w:rPr>
            </w:pPr>
            <w:r>
              <w:rPr>
                <w:sz w:val="22"/>
              </w:rPr>
              <w:t>San Juanico, Acambay</w:t>
            </w:r>
          </w:p>
        </w:tc>
        <w:tc>
          <w:tcPr>
            <w:tcW w:w="1133" w:type="dxa"/>
          </w:tcPr>
          <w:p>
            <w:pPr>
              <w:pStyle w:val="TableParagraph"/>
              <w:ind w:left="100" w:right="86"/>
              <w:rPr>
                <w:sz w:val="22"/>
              </w:rPr>
            </w:pPr>
            <w:r>
              <w:rPr>
                <w:sz w:val="22"/>
              </w:rPr>
              <w:t>San Juanico, Acambay</w:t>
            </w:r>
          </w:p>
        </w:tc>
        <w:tc>
          <w:tcPr>
            <w:tcW w:w="3687" w:type="dxa"/>
          </w:tcPr>
          <w:p>
            <w:pPr>
              <w:pStyle w:val="TableParagraph"/>
              <w:ind w:right="101"/>
              <w:jc w:val="both"/>
              <w:rPr>
                <w:sz w:val="22"/>
              </w:rPr>
            </w:pPr>
            <w:r>
              <w:rPr>
                <w:sz w:val="22"/>
              </w:rPr>
              <w:t>Si me invitan, sí voy para saber el problema de la laguna y saber qué problema hay en el futuro.</w:t>
            </w:r>
          </w:p>
        </w:tc>
      </w:tr>
    </w:tbl>
    <w:p>
      <w:pPr>
        <w:pStyle w:val="BodyText"/>
        <w:spacing w:line="248" w:lineRule="exact"/>
        <w:ind w:left="218" w:right="397"/>
      </w:pPr>
      <w:r>
        <w:rPr>
          <w:b/>
        </w:rPr>
        <w:t>Fuente: </w:t>
      </w:r>
      <w:r>
        <w:rPr/>
        <w:t>Elaboración propia con base en el Trabajo de Campo, García (2013-2015).</w:t>
      </w:r>
    </w:p>
    <w:p>
      <w:pPr>
        <w:spacing w:after="0" w:line="248" w:lineRule="exact"/>
        <w:sectPr>
          <w:pgSz w:w="15840" w:h="12240" w:orient="landscape"/>
          <w:pgMar w:header="0" w:footer="943" w:top="1140" w:bottom="1140" w:left="1200" w:right="1300"/>
        </w:sectPr>
      </w:pPr>
    </w:p>
    <w:p>
      <w:pPr>
        <w:pStyle w:val="BodyText"/>
        <w:rPr>
          <w:sz w:val="20"/>
        </w:rPr>
      </w:pPr>
    </w:p>
    <w:p>
      <w:pPr>
        <w:pStyle w:val="BodyText"/>
        <w:spacing w:before="1"/>
      </w:pPr>
    </w:p>
    <w:p>
      <w:pPr>
        <w:pStyle w:val="Heading6"/>
        <w:numPr>
          <w:ilvl w:val="2"/>
          <w:numId w:val="52"/>
        </w:numPr>
        <w:tabs>
          <w:tab w:pos="4006" w:val="left" w:leader="none"/>
        </w:tabs>
        <w:spacing w:line="240" w:lineRule="auto" w:before="73" w:after="0"/>
        <w:ind w:left="4005" w:right="0" w:hanging="616"/>
        <w:jc w:val="left"/>
      </w:pPr>
      <w:bookmarkStart w:name="_TOC_250026" w:id="47"/>
      <w:r>
        <w:rPr>
          <w:u w:val="thick"/>
        </w:rPr>
        <w:t>ACTORES MUNICIPALES (AUTORIDADES</w:t>
      </w:r>
      <w:r>
        <w:rPr>
          <w:spacing w:val="-33"/>
          <w:u w:val="thick"/>
        </w:rPr>
        <w:t> </w:t>
      </w:r>
      <w:bookmarkEnd w:id="47"/>
      <w:r>
        <w:rPr>
          <w:u w:val="thick"/>
        </w:rPr>
        <w:t>MUNICIPALES)</w:t>
      </w:r>
    </w:p>
    <w:p>
      <w:pPr>
        <w:pStyle w:val="BodyText"/>
        <w:spacing w:before="3"/>
        <w:rPr>
          <w:b/>
          <w:sz w:val="14"/>
        </w:rPr>
      </w:pPr>
    </w:p>
    <w:p>
      <w:pPr>
        <w:spacing w:before="72" w:after="6"/>
        <w:ind w:left="3590" w:right="778" w:firstLine="0"/>
        <w:jc w:val="left"/>
        <w:rPr>
          <w:b/>
          <w:sz w:val="22"/>
        </w:rPr>
      </w:pPr>
      <w:r>
        <w:rPr>
          <w:b/>
          <w:sz w:val="22"/>
        </w:rPr>
        <w:t>Tabla 6.9. Municipio de Acambay (Autoridades Municipales)</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7" w:right="4870"/>
              <w:jc w:val="center"/>
              <w:rPr>
                <w:b/>
                <w:sz w:val="22"/>
              </w:rPr>
            </w:pPr>
            <w:r>
              <w:rPr>
                <w:b/>
                <w:sz w:val="22"/>
              </w:rPr>
              <w:t>ACAMBAY</w:t>
            </w:r>
          </w:p>
        </w:tc>
      </w:tr>
      <w:tr>
        <w:trPr>
          <w:trHeight w:val="526" w:hRule="exact"/>
        </w:trPr>
        <w:tc>
          <w:tcPr>
            <w:tcW w:w="4547" w:type="dxa"/>
            <w:gridSpan w:val="3"/>
            <w:vMerge w:val="restart"/>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line="248" w:lineRule="exact"/>
              <w:ind w:left="2695"/>
              <w:rPr>
                <w:b/>
                <w:sz w:val="22"/>
              </w:rPr>
            </w:pPr>
            <w:r>
              <w:rPr>
                <w:b/>
                <w:sz w:val="22"/>
              </w:rPr>
              <w:t>PRINCIPIOS DE GOBERNANZA</w:t>
            </w:r>
          </w:p>
        </w:tc>
      </w:tr>
      <w:tr>
        <w:trPr>
          <w:trHeight w:val="262"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Poder</w:t>
            </w:r>
          </w:p>
        </w:tc>
        <w:tc>
          <w:tcPr>
            <w:tcW w:w="3901" w:type="dxa"/>
            <w:shd w:val="clear" w:color="auto" w:fill="92CDDC"/>
          </w:tcPr>
          <w:p>
            <w:pPr>
              <w:pStyle w:val="TableParagraph"/>
              <w:spacing w:line="251" w:lineRule="exact"/>
              <w:rPr>
                <w:b/>
                <w:i/>
                <w:sz w:val="22"/>
              </w:rPr>
            </w:pPr>
            <w:r>
              <w:rPr>
                <w:b/>
                <w:i/>
                <w:sz w:val="22"/>
              </w:rPr>
              <w:t>Poder y cultura</w:t>
            </w:r>
          </w:p>
        </w:tc>
      </w:tr>
      <w:tr>
        <w:trPr>
          <w:trHeight w:val="265"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tabs>
                <w:tab w:pos="1225" w:val="left" w:leader="none"/>
                <w:tab w:pos="1883" w:val="left" w:leader="none"/>
              </w:tabs>
              <w:spacing w:line="248" w:lineRule="exact"/>
              <w:ind w:left="100"/>
              <w:rPr>
                <w:b/>
                <w:sz w:val="22"/>
              </w:rPr>
            </w:pPr>
            <w:r>
              <w:rPr>
                <w:b/>
                <w:sz w:val="22"/>
              </w:rPr>
              <w:t>¿Cuáles</w:t>
              <w:tab/>
              <w:t>son</w:t>
              <w:tab/>
              <w:t>los</w:t>
            </w:r>
          </w:p>
        </w:tc>
        <w:tc>
          <w:tcPr>
            <w:tcW w:w="3901" w:type="dxa"/>
            <w:tcBorders>
              <w:bottom w:val="nil"/>
            </w:tcBorders>
            <w:shd w:val="clear" w:color="auto" w:fill="92CDDC"/>
          </w:tcPr>
          <w:p>
            <w:pPr>
              <w:pStyle w:val="TableParagraph"/>
              <w:tabs>
                <w:tab w:pos="851" w:val="left" w:leader="none"/>
                <w:tab w:pos="1487" w:val="left" w:leader="none"/>
                <w:tab w:pos="2245" w:val="left" w:leader="none"/>
                <w:tab w:pos="3603" w:val="left" w:leader="none"/>
              </w:tabs>
              <w:spacing w:line="248" w:lineRule="exact"/>
              <w:rPr>
                <w:b/>
                <w:sz w:val="22"/>
              </w:rPr>
            </w:pPr>
            <w:r>
              <w:rPr>
                <w:b/>
                <w:sz w:val="22"/>
              </w:rPr>
              <w:t>¿Por</w:t>
              <w:tab/>
              <w:t>qué</w:t>
              <w:tab/>
              <w:t>tiene</w:t>
              <w:tab/>
              <w:t>problemas</w:t>
              <w:tab/>
              <w:t>la</w:t>
            </w:r>
          </w:p>
        </w:tc>
      </w:tr>
      <w:tr>
        <w:trPr>
          <w:trHeight w:val="253" w:hRule="exact"/>
        </w:trPr>
        <w:tc>
          <w:tcPr>
            <w:tcW w:w="1385" w:type="dxa"/>
            <w:tcBorders>
              <w:top w:val="nil"/>
              <w:bottom w:val="nil"/>
            </w:tcBorders>
            <w:shd w:val="clear" w:color="auto" w:fill="F9BE8F"/>
          </w:tcPr>
          <w:p>
            <w:pPr>
              <w:pStyle w:val="TableParagraph"/>
              <w:spacing w:line="243"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3"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3" w:lineRule="exact"/>
              <w:rPr>
                <w:b/>
                <w:sz w:val="22"/>
              </w:rPr>
            </w:pPr>
            <w:r>
              <w:rPr>
                <w:b/>
                <w:sz w:val="22"/>
              </w:rPr>
              <w:t>nació?</w:t>
            </w:r>
          </w:p>
        </w:tc>
        <w:tc>
          <w:tcPr>
            <w:tcW w:w="1174" w:type="dxa"/>
            <w:tcBorders>
              <w:top w:val="nil"/>
              <w:bottom w:val="nil"/>
            </w:tcBorders>
            <w:shd w:val="clear" w:color="auto" w:fill="92CDDC"/>
          </w:tcPr>
          <w:p>
            <w:pPr>
              <w:pStyle w:val="TableParagraph"/>
              <w:spacing w:line="243" w:lineRule="exact"/>
              <w:rPr>
                <w:b/>
                <w:sz w:val="22"/>
              </w:rPr>
            </w:pPr>
            <w:r>
              <w:rPr>
                <w:b/>
                <w:sz w:val="22"/>
              </w:rPr>
              <w:t>vive?</w:t>
            </w:r>
          </w:p>
        </w:tc>
        <w:tc>
          <w:tcPr>
            <w:tcW w:w="2314" w:type="dxa"/>
            <w:tcBorders>
              <w:top w:val="nil"/>
              <w:bottom w:val="nil"/>
            </w:tcBorders>
            <w:shd w:val="clear" w:color="auto" w:fill="92CDDC"/>
          </w:tcPr>
          <w:p>
            <w:pPr>
              <w:pStyle w:val="TableParagraph"/>
              <w:tabs>
                <w:tab w:pos="1811" w:val="left" w:leader="none"/>
              </w:tabs>
              <w:spacing w:line="243" w:lineRule="exact"/>
              <w:ind w:left="100"/>
              <w:rPr>
                <w:b/>
                <w:sz w:val="22"/>
              </w:rPr>
            </w:pPr>
            <w:r>
              <w:rPr>
                <w:b/>
                <w:sz w:val="22"/>
              </w:rPr>
              <w:t>problemas</w:t>
              <w:tab/>
              <w:t>que</w:t>
            </w:r>
          </w:p>
        </w:tc>
        <w:tc>
          <w:tcPr>
            <w:tcW w:w="3901" w:type="dxa"/>
            <w:tcBorders>
              <w:top w:val="nil"/>
              <w:bottom w:val="nil"/>
            </w:tcBorders>
            <w:shd w:val="clear" w:color="auto" w:fill="92CDDC"/>
          </w:tcPr>
          <w:p>
            <w:pPr>
              <w:pStyle w:val="TableParagraph"/>
              <w:spacing w:line="243" w:lineRule="exact"/>
              <w:rPr>
                <w:b/>
                <w:sz w:val="22"/>
              </w:rPr>
            </w:pPr>
            <w:r>
              <w:rPr>
                <w:b/>
                <w:sz w:val="22"/>
              </w:rPr>
              <w:t>laguna de Huapango?</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1" w:lineRule="exact"/>
              <w:ind w:left="100"/>
              <w:rPr>
                <w:b/>
                <w:sz w:val="22"/>
              </w:rPr>
            </w:pPr>
            <w:r>
              <w:rPr>
                <w:b/>
                <w:sz w:val="22"/>
              </w:rPr>
              <w:t>tiene  la  laguna   de</w:t>
            </w:r>
          </w:p>
        </w:tc>
        <w:tc>
          <w:tcPr>
            <w:tcW w:w="3901" w:type="dxa"/>
            <w:tcBorders>
              <w:top w:val="nil"/>
              <w:bottom w:val="nil"/>
            </w:tcBorders>
            <w:shd w:val="clear" w:color="auto" w:fill="92CDDC"/>
          </w:tcPr>
          <w:p>
            <w:pPr/>
          </w:p>
        </w:tc>
      </w:tr>
      <w:tr>
        <w:trPr>
          <w:trHeight w:val="251"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2" w:lineRule="exact"/>
              <w:ind w:left="100"/>
              <w:rPr>
                <w:b/>
                <w:sz w:val="22"/>
              </w:rPr>
            </w:pPr>
            <w:r>
              <w:rPr>
                <w:b/>
                <w:sz w:val="22"/>
              </w:rPr>
              <w:t>Huapango?</w:t>
            </w:r>
          </w:p>
        </w:tc>
        <w:tc>
          <w:tcPr>
            <w:tcW w:w="3901"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Irineo Ruiz</w:t>
            </w:r>
          </w:p>
        </w:tc>
        <w:tc>
          <w:tcPr>
            <w:tcW w:w="1274" w:type="dxa"/>
            <w:tcBorders>
              <w:bottom w:val="nil"/>
            </w:tcBorders>
          </w:tcPr>
          <w:p>
            <w:pPr>
              <w:pStyle w:val="TableParagraph"/>
              <w:spacing w:line="251" w:lineRule="exact"/>
              <w:ind w:left="100" w:right="98"/>
              <w:rPr>
                <w:sz w:val="22"/>
              </w:rPr>
            </w:pPr>
            <w:r>
              <w:rPr>
                <w:sz w:val="22"/>
              </w:rPr>
              <w:t>Profesor</w:t>
            </w:r>
          </w:p>
        </w:tc>
        <w:tc>
          <w:tcPr>
            <w:tcW w:w="1887" w:type="dxa"/>
            <w:tcBorders>
              <w:bottom w:val="nil"/>
            </w:tcBorders>
          </w:tcPr>
          <w:p>
            <w:pPr>
              <w:pStyle w:val="TableParagraph"/>
              <w:spacing w:line="251" w:lineRule="exact"/>
              <w:rPr>
                <w:sz w:val="22"/>
              </w:rPr>
            </w:pPr>
            <w:r>
              <w:rPr>
                <w:sz w:val="22"/>
              </w:rPr>
              <w:t>Presidente</w:t>
            </w:r>
          </w:p>
        </w:tc>
        <w:tc>
          <w:tcPr>
            <w:tcW w:w="1289" w:type="dxa"/>
            <w:tcBorders>
              <w:bottom w:val="nil"/>
            </w:tcBorders>
          </w:tcPr>
          <w:p>
            <w:pPr>
              <w:pStyle w:val="TableParagraph"/>
              <w:spacing w:line="251" w:lineRule="exact"/>
              <w:rPr>
                <w:sz w:val="22"/>
              </w:rPr>
            </w:pPr>
            <w:r>
              <w:rPr>
                <w:sz w:val="22"/>
              </w:rPr>
              <w:t>Acambay</w:t>
            </w:r>
          </w:p>
        </w:tc>
        <w:tc>
          <w:tcPr>
            <w:tcW w:w="1174" w:type="dxa"/>
            <w:tcBorders>
              <w:bottom w:val="nil"/>
            </w:tcBorders>
          </w:tcPr>
          <w:p>
            <w:pPr>
              <w:pStyle w:val="TableParagraph"/>
              <w:spacing w:line="251" w:lineRule="exact"/>
              <w:rPr>
                <w:sz w:val="22"/>
              </w:rPr>
            </w:pPr>
            <w:r>
              <w:rPr>
                <w:sz w:val="22"/>
              </w:rPr>
              <w:t>Acambay</w:t>
            </w:r>
          </w:p>
        </w:tc>
        <w:tc>
          <w:tcPr>
            <w:tcW w:w="2314" w:type="dxa"/>
            <w:tcBorders>
              <w:bottom w:val="nil"/>
            </w:tcBorders>
          </w:tcPr>
          <w:p>
            <w:pPr>
              <w:pStyle w:val="TableParagraph"/>
              <w:spacing w:line="248" w:lineRule="exact"/>
              <w:ind w:left="100"/>
              <w:rPr>
                <w:sz w:val="22"/>
              </w:rPr>
            </w:pPr>
            <w:r>
              <w:rPr>
                <w:b/>
                <w:sz w:val="22"/>
              </w:rPr>
              <w:t>La contaminación</w:t>
            </w:r>
            <w:r>
              <w:rPr>
                <w:b/>
                <w:spacing w:val="58"/>
                <w:sz w:val="22"/>
              </w:rPr>
              <w:t> </w:t>
            </w:r>
            <w:r>
              <w:rPr>
                <w:sz w:val="22"/>
              </w:rPr>
              <w:t>y</w:t>
            </w:r>
          </w:p>
        </w:tc>
        <w:tc>
          <w:tcPr>
            <w:tcW w:w="3901" w:type="dxa"/>
            <w:tcBorders>
              <w:bottom w:val="nil"/>
            </w:tcBorders>
          </w:tcPr>
          <w:p>
            <w:pPr>
              <w:pStyle w:val="TableParagraph"/>
              <w:spacing w:line="251" w:lineRule="exact"/>
              <w:rPr>
                <w:sz w:val="22"/>
              </w:rPr>
            </w:pPr>
            <w:r>
              <w:rPr>
                <w:sz w:val="22"/>
              </w:rPr>
              <w:t>Porque la periferia va creciendo y</w:t>
            </w:r>
            <w:r>
              <w:rPr>
                <w:spacing w:val="51"/>
                <w:sz w:val="22"/>
              </w:rPr>
              <w:t> </w:t>
            </w:r>
            <w:r>
              <w:rPr>
                <w:sz w:val="22"/>
              </w:rPr>
              <w:t>las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González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con la contaminación</w:t>
            </w:r>
          </w:p>
        </w:tc>
        <w:tc>
          <w:tcPr>
            <w:tcW w:w="3901" w:type="dxa"/>
            <w:tcBorders>
              <w:top w:val="nil"/>
              <w:bottom w:val="nil"/>
            </w:tcBorders>
          </w:tcPr>
          <w:p>
            <w:pPr>
              <w:pStyle w:val="TableParagraph"/>
              <w:tabs>
                <w:tab w:pos="1412" w:val="left" w:leader="none"/>
                <w:tab w:pos="2487" w:val="left" w:leader="none"/>
                <w:tab w:pos="2890" w:val="left" w:leader="none"/>
                <w:tab w:pos="3430" w:val="left" w:leader="none"/>
              </w:tabs>
              <w:spacing w:line="242" w:lineRule="exact"/>
              <w:rPr>
                <w:sz w:val="22"/>
              </w:rPr>
            </w:pPr>
            <w:r>
              <w:rPr>
                <w:sz w:val="22"/>
              </w:rPr>
              <w:t>descargas</w:t>
              <w:tab/>
              <w:t>también</w:t>
              <w:tab/>
              <w:t>y</w:t>
              <w:tab/>
              <w:t>no</w:t>
              <w:tab/>
              <w:t>hay</w:t>
            </w:r>
          </w:p>
        </w:tc>
      </w:tr>
      <w:tr>
        <w:trPr>
          <w:trHeight w:val="251"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se   ocasiona  mucho</w:t>
            </w:r>
          </w:p>
        </w:tc>
        <w:tc>
          <w:tcPr>
            <w:tcW w:w="3901" w:type="dxa"/>
            <w:tcBorders>
              <w:top w:val="nil"/>
              <w:bottom w:val="nil"/>
            </w:tcBorders>
          </w:tcPr>
          <w:p>
            <w:pPr>
              <w:pStyle w:val="TableParagraph"/>
              <w:spacing w:line="241" w:lineRule="exact"/>
              <w:rPr>
                <w:sz w:val="22"/>
              </w:rPr>
            </w:pPr>
            <w:r>
              <w:rPr>
                <w:sz w:val="22"/>
              </w:rPr>
              <w:t>tratamiento de agua residual.</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(13/I/2015)</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08" w:val="left" w:leader="none"/>
                <w:tab w:pos="2017" w:val="left" w:leader="none"/>
              </w:tabs>
              <w:spacing w:line="240" w:lineRule="exact"/>
              <w:ind w:left="100"/>
              <w:rPr>
                <w:b/>
                <w:sz w:val="22"/>
              </w:rPr>
            </w:pPr>
            <w:r>
              <w:rPr>
                <w:b/>
                <w:sz w:val="22"/>
              </w:rPr>
              <w:t>deterioro</w:t>
              <w:tab/>
              <w:t>en</w:t>
              <w:tab/>
              <w:t>la</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b/>
                <w:sz w:val="22"/>
              </w:rPr>
            </w:pPr>
            <w:r>
              <w:rPr>
                <w:b/>
                <w:sz w:val="22"/>
              </w:rPr>
              <w:t>fauna</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Ana María</w:t>
            </w:r>
          </w:p>
        </w:tc>
        <w:tc>
          <w:tcPr>
            <w:tcW w:w="1274" w:type="dxa"/>
            <w:tcBorders>
              <w:bottom w:val="nil"/>
            </w:tcBorders>
          </w:tcPr>
          <w:p>
            <w:pPr>
              <w:pStyle w:val="TableParagraph"/>
              <w:spacing w:line="251" w:lineRule="exact"/>
              <w:ind w:left="100" w:right="98"/>
              <w:rPr>
                <w:sz w:val="22"/>
              </w:rPr>
            </w:pPr>
            <w:r>
              <w:rPr>
                <w:sz w:val="22"/>
              </w:rPr>
              <w:t>Abogada</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Acambay</w:t>
            </w:r>
          </w:p>
        </w:tc>
        <w:tc>
          <w:tcPr>
            <w:tcW w:w="1174" w:type="dxa"/>
            <w:tcBorders>
              <w:bottom w:val="nil"/>
            </w:tcBorders>
          </w:tcPr>
          <w:p>
            <w:pPr>
              <w:pStyle w:val="TableParagraph"/>
              <w:spacing w:line="251" w:lineRule="exact"/>
              <w:rPr>
                <w:sz w:val="22"/>
              </w:rPr>
            </w:pPr>
            <w:r>
              <w:rPr>
                <w:sz w:val="22"/>
              </w:rPr>
              <w:t>Acambay</w:t>
            </w:r>
          </w:p>
        </w:tc>
        <w:tc>
          <w:tcPr>
            <w:tcW w:w="6215" w:type="dxa"/>
            <w:gridSpan w:val="2"/>
            <w:tcBorders>
              <w:bottom w:val="nil"/>
            </w:tcBorders>
          </w:tcPr>
          <w:p>
            <w:pPr>
              <w:pStyle w:val="TableParagraph"/>
              <w:spacing w:line="251" w:lineRule="exact"/>
              <w:ind w:left="100" w:right="105"/>
              <w:rPr>
                <w:i/>
                <w:sz w:val="22"/>
              </w:rPr>
            </w:pPr>
            <w:r>
              <w:rPr>
                <w:i/>
                <w:sz w:val="22"/>
              </w:rPr>
              <w:t>El tercer regidor no quiso contestar la entrevista porque dijo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Contreras</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Encargada de</w:t>
            </w:r>
          </w:p>
        </w:tc>
        <w:tc>
          <w:tcPr>
            <w:tcW w:w="1289" w:type="dxa"/>
            <w:tcBorders>
              <w:top w:val="nil"/>
              <w:bottom w:val="nil"/>
            </w:tcBorders>
          </w:tcPr>
          <w:p>
            <w:pPr/>
          </w:p>
        </w:tc>
        <w:tc>
          <w:tcPr>
            <w:tcW w:w="1174" w:type="dxa"/>
            <w:tcBorders>
              <w:top w:val="nil"/>
              <w:bottom w:val="nil"/>
            </w:tcBorders>
          </w:tcPr>
          <w:p>
            <w:pPr/>
          </w:p>
        </w:tc>
        <w:tc>
          <w:tcPr>
            <w:tcW w:w="6215" w:type="dxa"/>
            <w:gridSpan w:val="2"/>
            <w:tcBorders>
              <w:top w:val="nil"/>
              <w:bottom w:val="nil"/>
            </w:tcBorders>
          </w:tcPr>
          <w:p>
            <w:pPr>
              <w:pStyle w:val="TableParagraph"/>
              <w:spacing w:line="242" w:lineRule="exact"/>
              <w:ind w:left="100" w:right="105"/>
              <w:rPr>
                <w:i/>
                <w:sz w:val="22"/>
              </w:rPr>
            </w:pPr>
            <w:r>
              <w:rPr>
                <w:i/>
                <w:sz w:val="22"/>
              </w:rPr>
              <w:t>que no conoce bien la presa y porque ella sólo está</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Valdez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preservar,</w:t>
            </w:r>
          </w:p>
        </w:tc>
        <w:tc>
          <w:tcPr>
            <w:tcW w:w="1289" w:type="dxa"/>
            <w:tcBorders>
              <w:top w:val="nil"/>
              <w:bottom w:val="nil"/>
            </w:tcBorders>
          </w:tcPr>
          <w:p>
            <w:pPr/>
          </w:p>
        </w:tc>
        <w:tc>
          <w:tcPr>
            <w:tcW w:w="1174" w:type="dxa"/>
            <w:tcBorders>
              <w:top w:val="nil"/>
              <w:bottom w:val="nil"/>
            </w:tcBorders>
          </w:tcPr>
          <w:p>
            <w:pPr/>
          </w:p>
        </w:tc>
        <w:tc>
          <w:tcPr>
            <w:tcW w:w="6215" w:type="dxa"/>
            <w:gridSpan w:val="2"/>
            <w:tcBorders>
              <w:top w:val="nil"/>
              <w:bottom w:val="nil"/>
            </w:tcBorders>
          </w:tcPr>
          <w:p>
            <w:pPr>
              <w:pStyle w:val="TableParagraph"/>
              <w:spacing w:line="241" w:lineRule="exact"/>
              <w:ind w:left="100" w:right="105"/>
              <w:rPr>
                <w:i/>
                <w:sz w:val="22"/>
              </w:rPr>
            </w:pPr>
            <w:r>
              <w:rPr>
                <w:i/>
                <w:sz w:val="22"/>
              </w:rPr>
              <w:t>encargada del área forestal y agropecuaria.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conservar y</w:t>
            </w:r>
          </w:p>
        </w:tc>
        <w:tc>
          <w:tcPr>
            <w:tcW w:w="1289" w:type="dxa"/>
            <w:tcBorders>
              <w:top w:val="nil"/>
              <w:bottom w:val="nil"/>
            </w:tcBorders>
          </w:tcPr>
          <w:p>
            <w:pPr/>
          </w:p>
        </w:tc>
        <w:tc>
          <w:tcPr>
            <w:tcW w:w="1174" w:type="dxa"/>
            <w:tcBorders>
              <w:top w:val="nil"/>
              <w:bottom w:val="nil"/>
            </w:tcBorders>
          </w:tcPr>
          <w:p>
            <w:pPr/>
          </w:p>
        </w:tc>
        <w:tc>
          <w:tcPr>
            <w:tcW w:w="6215" w:type="dxa"/>
            <w:gridSpan w:val="2"/>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restaurar el</w:t>
            </w:r>
          </w:p>
        </w:tc>
        <w:tc>
          <w:tcPr>
            <w:tcW w:w="1289" w:type="dxa"/>
            <w:tcBorders>
              <w:top w:val="nil"/>
              <w:bottom w:val="nil"/>
            </w:tcBorders>
          </w:tcPr>
          <w:p>
            <w:pPr/>
          </w:p>
        </w:tc>
        <w:tc>
          <w:tcPr>
            <w:tcW w:w="1174" w:type="dxa"/>
            <w:tcBorders>
              <w:top w:val="nil"/>
              <w:bottom w:val="nil"/>
            </w:tcBorders>
          </w:tcPr>
          <w:p>
            <w:pPr/>
          </w:p>
        </w:tc>
        <w:tc>
          <w:tcPr>
            <w:tcW w:w="6215" w:type="dxa"/>
            <w:gridSpan w:val="2"/>
            <w:tcBorders>
              <w:top w:val="nil"/>
              <w:bottom w:val="nil"/>
            </w:tcBorders>
          </w:tcPr>
          <w:p>
            <w:pPr/>
          </w:p>
        </w:tc>
      </w:tr>
      <w:tr>
        <w:trPr>
          <w:trHeight w:val="502" w:hRule="exact"/>
        </w:trPr>
        <w:tc>
          <w:tcPr>
            <w:tcW w:w="1385" w:type="dxa"/>
            <w:tcBorders>
              <w:top w:val="nil"/>
            </w:tcBorders>
          </w:tcPr>
          <w:p>
            <w:pPr>
              <w:pStyle w:val="TableParagraph"/>
              <w:spacing w:line="241" w:lineRule="exact"/>
              <w:ind w:right="127"/>
              <w:rPr>
                <w:sz w:val="22"/>
              </w:rPr>
            </w:pPr>
            <w:r>
              <w:rPr>
                <w:sz w:val="22"/>
              </w:rPr>
              <w:t>(21/I/2014)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medio ambiente</w:t>
            </w:r>
          </w:p>
        </w:tc>
        <w:tc>
          <w:tcPr>
            <w:tcW w:w="1289" w:type="dxa"/>
            <w:tcBorders>
              <w:top w:val="nil"/>
            </w:tcBorders>
          </w:tcPr>
          <w:p>
            <w:pPr/>
          </w:p>
        </w:tc>
        <w:tc>
          <w:tcPr>
            <w:tcW w:w="1174" w:type="dxa"/>
            <w:tcBorders>
              <w:top w:val="nil"/>
            </w:tcBorders>
          </w:tcPr>
          <w:p>
            <w:pPr/>
          </w:p>
        </w:tc>
        <w:tc>
          <w:tcPr>
            <w:tcW w:w="6215" w:type="dxa"/>
            <w:gridSpan w:val="2"/>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Pedro</w:t>
            </w:r>
          </w:p>
        </w:tc>
        <w:tc>
          <w:tcPr>
            <w:tcW w:w="1274" w:type="dxa"/>
            <w:tcBorders>
              <w:bottom w:val="nil"/>
            </w:tcBorders>
          </w:tcPr>
          <w:p>
            <w:pPr>
              <w:pStyle w:val="TableParagraph"/>
              <w:spacing w:line="251" w:lineRule="exact"/>
              <w:ind w:left="100" w:right="98"/>
              <w:rPr>
                <w:sz w:val="22"/>
              </w:rPr>
            </w:pPr>
            <w:r>
              <w:rPr>
                <w:sz w:val="22"/>
              </w:rPr>
              <w:t>Médico</w:t>
            </w:r>
          </w:p>
        </w:tc>
        <w:tc>
          <w:tcPr>
            <w:tcW w:w="1887" w:type="dxa"/>
            <w:tcBorders>
              <w:bottom w:val="nil"/>
            </w:tcBorders>
          </w:tcPr>
          <w:p>
            <w:pPr>
              <w:pStyle w:val="TableParagraph"/>
              <w:spacing w:line="251" w:lineRule="exact"/>
              <w:rPr>
                <w:sz w:val="22"/>
              </w:rPr>
            </w:pPr>
            <w:r>
              <w:rPr>
                <w:sz w:val="22"/>
              </w:rPr>
              <w:t>Decimo Regidor.</w:t>
            </w:r>
          </w:p>
        </w:tc>
        <w:tc>
          <w:tcPr>
            <w:tcW w:w="1289" w:type="dxa"/>
            <w:tcBorders>
              <w:bottom w:val="nil"/>
            </w:tcBorders>
          </w:tcPr>
          <w:p>
            <w:pPr>
              <w:pStyle w:val="TableParagraph"/>
              <w:spacing w:line="251" w:lineRule="exact"/>
              <w:rPr>
                <w:sz w:val="22"/>
              </w:rPr>
            </w:pPr>
            <w:r>
              <w:rPr>
                <w:sz w:val="22"/>
              </w:rPr>
              <w:t>Villa</w:t>
            </w:r>
          </w:p>
        </w:tc>
        <w:tc>
          <w:tcPr>
            <w:tcW w:w="1174" w:type="dxa"/>
            <w:tcBorders>
              <w:bottom w:val="nil"/>
            </w:tcBorders>
          </w:tcPr>
          <w:p>
            <w:pPr>
              <w:pStyle w:val="TableParagraph"/>
              <w:spacing w:line="251" w:lineRule="exact"/>
              <w:rPr>
                <w:sz w:val="22"/>
              </w:rPr>
            </w:pPr>
            <w:r>
              <w:rPr>
                <w:sz w:val="22"/>
              </w:rPr>
              <w:t>Acambay</w:t>
            </w:r>
          </w:p>
        </w:tc>
        <w:tc>
          <w:tcPr>
            <w:tcW w:w="2314" w:type="dxa"/>
            <w:tcBorders>
              <w:bottom w:val="nil"/>
            </w:tcBorders>
          </w:tcPr>
          <w:p>
            <w:pPr>
              <w:pStyle w:val="TableParagraph"/>
              <w:spacing w:line="251" w:lineRule="exact"/>
              <w:ind w:left="100"/>
              <w:rPr>
                <w:sz w:val="22"/>
              </w:rPr>
            </w:pPr>
            <w:r>
              <w:rPr>
                <w:sz w:val="22"/>
              </w:rPr>
              <w:t>La contaminación y</w:t>
            </w:r>
          </w:p>
        </w:tc>
        <w:tc>
          <w:tcPr>
            <w:tcW w:w="3901" w:type="dxa"/>
            <w:tcBorders>
              <w:bottom w:val="nil"/>
            </w:tcBorders>
          </w:tcPr>
          <w:p>
            <w:pPr>
              <w:pStyle w:val="TableParagraph"/>
              <w:spacing w:line="251" w:lineRule="exact"/>
              <w:rPr>
                <w:sz w:val="22"/>
              </w:rPr>
            </w:pPr>
            <w:r>
              <w:rPr>
                <w:sz w:val="22"/>
              </w:rPr>
              <w:t>Porque  desembocan  hacia  el  agua</w:t>
            </w:r>
          </w:p>
        </w:tc>
      </w:tr>
      <w:tr>
        <w:trPr>
          <w:trHeight w:val="254" w:hRule="exact"/>
        </w:trPr>
        <w:tc>
          <w:tcPr>
            <w:tcW w:w="1385" w:type="dxa"/>
            <w:tcBorders>
              <w:top w:val="nil"/>
              <w:bottom w:val="nil"/>
            </w:tcBorders>
          </w:tcPr>
          <w:p>
            <w:pPr>
              <w:pStyle w:val="TableParagraph"/>
              <w:spacing w:line="244" w:lineRule="exact"/>
              <w:ind w:right="127"/>
              <w:rPr>
                <w:sz w:val="22"/>
              </w:rPr>
            </w:pPr>
            <w:r>
              <w:rPr>
                <w:sz w:val="22"/>
              </w:rPr>
              <w:t>Carbajal</w:t>
            </w:r>
          </w:p>
        </w:tc>
        <w:tc>
          <w:tcPr>
            <w:tcW w:w="1274" w:type="dxa"/>
            <w:tcBorders>
              <w:top w:val="nil"/>
              <w:bottom w:val="nil"/>
            </w:tcBorders>
          </w:tcPr>
          <w:p>
            <w:pPr>
              <w:pStyle w:val="TableParagraph"/>
              <w:spacing w:line="244" w:lineRule="exact"/>
              <w:ind w:left="100" w:right="98"/>
              <w:rPr>
                <w:sz w:val="22"/>
              </w:rPr>
            </w:pPr>
            <w:r>
              <w:rPr>
                <w:sz w:val="22"/>
              </w:rPr>
              <w:t>General</w:t>
            </w:r>
          </w:p>
        </w:tc>
        <w:tc>
          <w:tcPr>
            <w:tcW w:w="1887" w:type="dxa"/>
            <w:tcBorders>
              <w:top w:val="nil"/>
              <w:bottom w:val="nil"/>
            </w:tcBorders>
          </w:tcPr>
          <w:p>
            <w:pPr>
              <w:pStyle w:val="TableParagraph"/>
              <w:tabs>
                <w:tab w:pos="1528" w:val="left" w:leader="none"/>
              </w:tabs>
              <w:spacing w:line="244" w:lineRule="exact"/>
              <w:rPr>
                <w:sz w:val="22"/>
              </w:rPr>
            </w:pPr>
            <w:r>
              <w:rPr>
                <w:sz w:val="22"/>
              </w:rPr>
              <w:t>Encargado</w:t>
              <w:tab/>
              <w:t>de</w:t>
            </w:r>
          </w:p>
        </w:tc>
        <w:tc>
          <w:tcPr>
            <w:tcW w:w="1289" w:type="dxa"/>
            <w:tcBorders>
              <w:top w:val="nil"/>
              <w:bottom w:val="nil"/>
            </w:tcBorders>
          </w:tcPr>
          <w:p>
            <w:pPr>
              <w:pStyle w:val="TableParagraph"/>
              <w:spacing w:line="244" w:lineRule="exact"/>
              <w:rPr>
                <w:sz w:val="22"/>
              </w:rPr>
            </w:pPr>
            <w:r>
              <w:rPr>
                <w:sz w:val="22"/>
              </w:rPr>
              <w:t>Victoria</w:t>
            </w:r>
          </w:p>
        </w:tc>
        <w:tc>
          <w:tcPr>
            <w:tcW w:w="1174" w:type="dxa"/>
            <w:tcBorders>
              <w:top w:val="nil"/>
              <w:bottom w:val="nil"/>
            </w:tcBorders>
          </w:tcPr>
          <w:p>
            <w:pPr>
              <w:pStyle w:val="TableParagraph"/>
              <w:spacing w:line="244" w:lineRule="exact"/>
              <w:rPr>
                <w:sz w:val="22"/>
              </w:rPr>
            </w:pPr>
            <w:r>
              <w:rPr>
                <w:sz w:val="22"/>
              </w:rPr>
              <w:t>desde</w:t>
            </w:r>
          </w:p>
        </w:tc>
        <w:tc>
          <w:tcPr>
            <w:tcW w:w="2314" w:type="dxa"/>
            <w:tcBorders>
              <w:top w:val="nil"/>
              <w:bottom w:val="nil"/>
            </w:tcBorders>
          </w:tcPr>
          <w:p>
            <w:pPr>
              <w:pStyle w:val="TableParagraph"/>
              <w:spacing w:line="241" w:lineRule="exact"/>
              <w:ind w:left="100"/>
              <w:rPr>
                <w:sz w:val="22"/>
              </w:rPr>
            </w:pPr>
            <w:r>
              <w:rPr>
                <w:b/>
                <w:sz w:val="22"/>
              </w:rPr>
              <w:t>el lirio acuático </w:t>
            </w:r>
            <w:r>
              <w:rPr>
                <w:sz w:val="22"/>
              </w:rPr>
              <w:t>que</w:t>
            </w:r>
          </w:p>
        </w:tc>
        <w:tc>
          <w:tcPr>
            <w:tcW w:w="3901" w:type="dxa"/>
            <w:tcBorders>
              <w:top w:val="nil"/>
              <w:bottom w:val="nil"/>
            </w:tcBorders>
          </w:tcPr>
          <w:p>
            <w:pPr>
              <w:pStyle w:val="TableParagraph"/>
              <w:tabs>
                <w:tab w:pos="666" w:val="left" w:leader="none"/>
                <w:tab w:pos="1888" w:val="left" w:leader="none"/>
                <w:tab w:pos="2538" w:val="left" w:leader="none"/>
                <w:tab w:pos="3507" w:val="left" w:leader="none"/>
              </w:tabs>
              <w:spacing w:line="244" w:lineRule="exact"/>
              <w:rPr>
                <w:sz w:val="22"/>
              </w:rPr>
            </w:pPr>
            <w:r>
              <w:rPr>
                <w:sz w:val="22"/>
              </w:rPr>
              <w:t>los</w:t>
              <w:tab/>
              <w:t>desechos</w:t>
              <w:tab/>
              <w:t>que</w:t>
              <w:tab/>
              <w:t>arrojan</w:t>
              <w:tab/>
              <w:t>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Suárez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preservar,</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hace 32</w:t>
            </w:r>
          </w:p>
        </w:tc>
        <w:tc>
          <w:tcPr>
            <w:tcW w:w="2314" w:type="dxa"/>
            <w:tcBorders>
              <w:top w:val="nil"/>
              <w:bottom w:val="nil"/>
            </w:tcBorders>
          </w:tcPr>
          <w:p>
            <w:pPr>
              <w:pStyle w:val="TableParagraph"/>
              <w:spacing w:line="241" w:lineRule="exact"/>
              <w:ind w:left="100"/>
              <w:rPr>
                <w:sz w:val="22"/>
              </w:rPr>
            </w:pPr>
            <w:r>
              <w:rPr>
                <w:sz w:val="22"/>
              </w:rPr>
              <w:t>se ha desarrollado</w:t>
            </w:r>
          </w:p>
        </w:tc>
        <w:tc>
          <w:tcPr>
            <w:tcW w:w="3901" w:type="dxa"/>
            <w:tcBorders>
              <w:top w:val="nil"/>
              <w:bottom w:val="nil"/>
            </w:tcBorders>
          </w:tcPr>
          <w:p>
            <w:pPr>
              <w:pStyle w:val="TableParagraph"/>
              <w:spacing w:line="241" w:lineRule="exact"/>
              <w:rPr>
                <w:sz w:val="22"/>
              </w:rPr>
            </w:pPr>
            <w:r>
              <w:rPr>
                <w:sz w:val="22"/>
              </w:rPr>
              <w:t>ciudadanos  sin  conciencia  y  el</w:t>
            </w:r>
            <w:r>
              <w:rPr>
                <w:spacing w:val="51"/>
                <w:sz w:val="22"/>
              </w:rPr>
              <w:t> </w:t>
            </w:r>
            <w:r>
              <w:rPr>
                <w:sz w:val="22"/>
              </w:rPr>
              <w:t>lirio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42" w:lineRule="exact"/>
              <w:rPr>
                <w:sz w:val="22"/>
              </w:rPr>
            </w:pPr>
            <w:r>
              <w:rPr>
                <w:sz w:val="22"/>
              </w:rPr>
              <w:t>conservar</w:t>
              <w:tab/>
              <w:t>y</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años</w:t>
            </w:r>
          </w:p>
        </w:tc>
        <w:tc>
          <w:tcPr>
            <w:tcW w:w="2314" w:type="dxa"/>
            <w:tcBorders>
              <w:top w:val="nil"/>
              <w:bottom w:val="nil"/>
            </w:tcBorders>
          </w:tcPr>
          <w:p>
            <w:pPr>
              <w:pStyle w:val="TableParagraph"/>
              <w:spacing w:line="242" w:lineRule="exact"/>
              <w:ind w:left="100"/>
              <w:rPr>
                <w:sz w:val="22"/>
              </w:rPr>
            </w:pPr>
            <w:r>
              <w:rPr>
                <w:sz w:val="22"/>
              </w:rPr>
              <w:t>en la presa.</w:t>
            </w:r>
          </w:p>
        </w:tc>
        <w:tc>
          <w:tcPr>
            <w:tcW w:w="3901" w:type="dxa"/>
            <w:tcBorders>
              <w:top w:val="nil"/>
              <w:bottom w:val="nil"/>
            </w:tcBorders>
          </w:tcPr>
          <w:p>
            <w:pPr>
              <w:pStyle w:val="TableParagraph"/>
              <w:tabs>
                <w:tab w:pos="1130" w:val="left" w:leader="none"/>
                <w:tab w:pos="1566" w:val="left" w:leader="none"/>
                <w:tab w:pos="3092" w:val="left" w:leader="none"/>
                <w:tab w:pos="3615" w:val="left" w:leader="none"/>
              </w:tabs>
              <w:spacing w:line="242" w:lineRule="exact"/>
              <w:rPr>
                <w:sz w:val="22"/>
              </w:rPr>
            </w:pPr>
            <w:r>
              <w:rPr>
                <w:sz w:val="22"/>
              </w:rPr>
              <w:t>acuático</w:t>
              <w:tab/>
              <w:t>es</w:t>
              <w:tab/>
              <w:t>precisamente</w:t>
              <w:tab/>
              <w:t>por</w:t>
              <w:tab/>
              <w:t>la</w:t>
            </w:r>
          </w:p>
        </w:tc>
      </w:tr>
      <w:tr>
        <w:trPr>
          <w:trHeight w:val="253" w:hRule="exact"/>
        </w:trPr>
        <w:tc>
          <w:tcPr>
            <w:tcW w:w="1385" w:type="dxa"/>
            <w:tcBorders>
              <w:top w:val="nil"/>
              <w:bottom w:val="nil"/>
            </w:tcBorders>
          </w:tcPr>
          <w:p>
            <w:pPr>
              <w:pStyle w:val="TableParagraph"/>
              <w:spacing w:line="241" w:lineRule="exact"/>
              <w:ind w:left="155"/>
              <w:rPr>
                <w:sz w:val="22"/>
              </w:rPr>
            </w:pPr>
            <w:r>
              <w:rPr>
                <w:sz w:val="22"/>
              </w:rPr>
              <w:t>(21/I/2014)</w:t>
            </w:r>
          </w:p>
        </w:tc>
        <w:tc>
          <w:tcPr>
            <w:tcW w:w="1274" w:type="dxa"/>
            <w:tcBorders>
              <w:top w:val="nil"/>
              <w:bottom w:val="nil"/>
            </w:tcBorders>
          </w:tcPr>
          <w:p>
            <w:pPr/>
          </w:p>
        </w:tc>
        <w:tc>
          <w:tcPr>
            <w:tcW w:w="1887" w:type="dxa"/>
            <w:tcBorders>
              <w:top w:val="nil"/>
              <w:bottom w:val="nil"/>
            </w:tcBorders>
          </w:tcPr>
          <w:p>
            <w:pPr>
              <w:pStyle w:val="TableParagraph"/>
              <w:tabs>
                <w:tab w:pos="1602" w:val="left" w:leader="none"/>
              </w:tabs>
              <w:spacing w:line="241" w:lineRule="exact"/>
              <w:rPr>
                <w:sz w:val="22"/>
              </w:rPr>
            </w:pPr>
            <w:r>
              <w:rPr>
                <w:sz w:val="22"/>
              </w:rPr>
              <w:t>restaurar</w:t>
              <w:tab/>
              <w:t>el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contaminación.</w:t>
            </w:r>
          </w:p>
        </w:tc>
      </w:tr>
      <w:tr>
        <w:trPr>
          <w:trHeight w:val="369"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3" w:lineRule="exact"/>
              <w:rPr>
                <w:sz w:val="22"/>
              </w:rPr>
            </w:pPr>
            <w:r>
              <w:rPr>
                <w:sz w:val="22"/>
              </w:rPr>
              <w:t>medio ambiente</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Reynaldo</w:t>
            </w:r>
          </w:p>
        </w:tc>
        <w:tc>
          <w:tcPr>
            <w:tcW w:w="1274" w:type="dxa"/>
            <w:tcBorders>
              <w:bottom w:val="nil"/>
            </w:tcBorders>
          </w:tcPr>
          <w:p>
            <w:pPr/>
          </w:p>
        </w:tc>
        <w:tc>
          <w:tcPr>
            <w:tcW w:w="1887" w:type="dxa"/>
            <w:tcBorders>
              <w:bottom w:val="nil"/>
            </w:tcBorders>
          </w:tcPr>
          <w:p>
            <w:pPr>
              <w:pStyle w:val="TableParagraph"/>
              <w:tabs>
                <w:tab w:pos="1480" w:val="left" w:leader="none"/>
              </w:tabs>
              <w:rPr>
                <w:sz w:val="22"/>
              </w:rPr>
            </w:pPr>
            <w:r>
              <w:rPr>
                <w:sz w:val="22"/>
              </w:rPr>
              <w:t>Director</w:t>
              <w:tab/>
              <w:t>del</w:t>
            </w:r>
          </w:p>
        </w:tc>
        <w:tc>
          <w:tcPr>
            <w:tcW w:w="1289" w:type="dxa"/>
            <w:tcBorders>
              <w:bottom w:val="nil"/>
            </w:tcBorders>
          </w:tcPr>
          <w:p>
            <w:pPr>
              <w:pStyle w:val="TableParagraph"/>
              <w:rPr>
                <w:sz w:val="22"/>
              </w:rPr>
            </w:pPr>
            <w:r>
              <w:rPr>
                <w:sz w:val="22"/>
              </w:rPr>
              <w:t>Las</w:t>
            </w:r>
          </w:p>
        </w:tc>
        <w:tc>
          <w:tcPr>
            <w:tcW w:w="1174" w:type="dxa"/>
            <w:tcBorders>
              <w:bottom w:val="nil"/>
            </w:tcBorders>
          </w:tcPr>
          <w:p>
            <w:pPr>
              <w:pStyle w:val="TableParagraph"/>
              <w:rPr>
                <w:sz w:val="22"/>
              </w:rPr>
            </w:pPr>
            <w:r>
              <w:rPr>
                <w:sz w:val="22"/>
              </w:rPr>
              <w:t>Las</w:t>
            </w:r>
          </w:p>
        </w:tc>
        <w:tc>
          <w:tcPr>
            <w:tcW w:w="2314" w:type="dxa"/>
            <w:tcBorders>
              <w:bottom w:val="nil"/>
            </w:tcBorders>
          </w:tcPr>
          <w:p>
            <w:pPr>
              <w:pStyle w:val="TableParagraph"/>
              <w:tabs>
                <w:tab w:pos="645" w:val="left" w:leader="none"/>
                <w:tab w:pos="1201" w:val="left" w:leader="none"/>
                <w:tab w:pos="1954" w:val="left" w:leader="none"/>
              </w:tabs>
              <w:ind w:left="100"/>
              <w:rPr>
                <w:sz w:val="22"/>
              </w:rPr>
            </w:pPr>
            <w:r>
              <w:rPr>
                <w:sz w:val="22"/>
              </w:rPr>
              <w:t>En</w:t>
              <w:tab/>
              <w:t>los</w:t>
              <w:tab/>
              <w:t>años</w:t>
              <w:tab/>
              <w:t>70</w:t>
            </w:r>
          </w:p>
        </w:tc>
        <w:tc>
          <w:tcPr>
            <w:tcW w:w="3901" w:type="dxa"/>
            <w:tcBorders>
              <w:bottom w:val="nil"/>
            </w:tcBorders>
          </w:tcPr>
          <w:p>
            <w:pPr>
              <w:pStyle w:val="TableParagraph"/>
              <w:rPr>
                <w:sz w:val="22"/>
              </w:rPr>
            </w:pPr>
            <w:r>
              <w:rPr>
                <w:sz w:val="22"/>
              </w:rPr>
              <w:t>Porque   ahora   ya   hay   poca</w:t>
            </w:r>
            <w:r>
              <w:rPr>
                <w:spacing w:val="60"/>
                <w:sz w:val="22"/>
              </w:rPr>
              <w:t> </w:t>
            </w:r>
            <w:r>
              <w:rPr>
                <w:sz w:val="22"/>
              </w:rPr>
              <w:t>agua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Sandoval</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Medio  Ambiente</w:t>
            </w:r>
          </w:p>
        </w:tc>
        <w:tc>
          <w:tcPr>
            <w:tcW w:w="1289" w:type="dxa"/>
            <w:tcBorders>
              <w:top w:val="nil"/>
              <w:bottom w:val="nil"/>
            </w:tcBorders>
          </w:tcPr>
          <w:p>
            <w:pPr>
              <w:pStyle w:val="TableParagraph"/>
              <w:spacing w:line="241" w:lineRule="exact"/>
              <w:rPr>
                <w:sz w:val="22"/>
              </w:rPr>
            </w:pPr>
            <w:r>
              <w:rPr>
                <w:sz w:val="22"/>
              </w:rPr>
              <w:t>Arenas,</w:t>
            </w:r>
          </w:p>
        </w:tc>
        <w:tc>
          <w:tcPr>
            <w:tcW w:w="1174" w:type="dxa"/>
            <w:tcBorders>
              <w:top w:val="nil"/>
              <w:bottom w:val="nil"/>
            </w:tcBorders>
          </w:tcPr>
          <w:p>
            <w:pPr>
              <w:pStyle w:val="TableParagraph"/>
              <w:spacing w:line="241" w:lineRule="exact"/>
              <w:rPr>
                <w:sz w:val="22"/>
              </w:rPr>
            </w:pPr>
            <w:r>
              <w:rPr>
                <w:sz w:val="22"/>
              </w:rPr>
              <w:t>Arenas,</w:t>
            </w:r>
          </w:p>
        </w:tc>
        <w:tc>
          <w:tcPr>
            <w:tcW w:w="2314" w:type="dxa"/>
            <w:tcBorders>
              <w:top w:val="nil"/>
              <w:bottom w:val="nil"/>
            </w:tcBorders>
          </w:tcPr>
          <w:p>
            <w:pPr>
              <w:pStyle w:val="TableParagraph"/>
              <w:spacing w:line="241" w:lineRule="exact"/>
              <w:ind w:left="100"/>
              <w:rPr>
                <w:sz w:val="22"/>
              </w:rPr>
            </w:pPr>
            <w:r>
              <w:rPr>
                <w:sz w:val="22"/>
              </w:rPr>
              <w:t>cuando  llega  el pato</w:t>
            </w:r>
          </w:p>
        </w:tc>
        <w:tc>
          <w:tcPr>
            <w:tcW w:w="3901" w:type="dxa"/>
            <w:tcBorders>
              <w:top w:val="nil"/>
              <w:bottom w:val="nil"/>
            </w:tcBorders>
          </w:tcPr>
          <w:p>
            <w:pPr>
              <w:pStyle w:val="TableParagraph"/>
              <w:spacing w:line="241" w:lineRule="exact"/>
              <w:rPr>
                <w:sz w:val="22"/>
              </w:rPr>
            </w:pPr>
            <w:r>
              <w:rPr>
                <w:sz w:val="22"/>
              </w:rPr>
              <w:t>porque   riegan   encinillas   y Aculco,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en Acambay</w:t>
            </w:r>
          </w:p>
        </w:tc>
        <w:tc>
          <w:tcPr>
            <w:tcW w:w="1289" w:type="dxa"/>
            <w:tcBorders>
              <w:top w:val="nil"/>
              <w:bottom w:val="nil"/>
            </w:tcBorders>
          </w:tcPr>
          <w:p>
            <w:pPr>
              <w:pStyle w:val="TableParagraph"/>
              <w:spacing w:line="241" w:lineRule="exact"/>
              <w:rPr>
                <w:sz w:val="22"/>
              </w:rPr>
            </w:pPr>
            <w:r>
              <w:rPr>
                <w:sz w:val="22"/>
              </w:rPr>
              <w:t>Acambay</w:t>
            </w:r>
          </w:p>
        </w:tc>
        <w:tc>
          <w:tcPr>
            <w:tcW w:w="1174" w:type="dxa"/>
            <w:tcBorders>
              <w:top w:val="nil"/>
              <w:bottom w:val="nil"/>
            </w:tcBorders>
          </w:tcPr>
          <w:p>
            <w:pPr>
              <w:pStyle w:val="TableParagraph"/>
              <w:spacing w:line="241" w:lineRule="exact"/>
              <w:rPr>
                <w:sz w:val="22"/>
              </w:rPr>
            </w:pPr>
            <w:r>
              <w:rPr>
                <w:sz w:val="22"/>
              </w:rPr>
              <w:t>Acambay</w:t>
            </w:r>
          </w:p>
        </w:tc>
        <w:tc>
          <w:tcPr>
            <w:tcW w:w="2314" w:type="dxa"/>
            <w:tcBorders>
              <w:top w:val="nil"/>
              <w:bottom w:val="nil"/>
            </w:tcBorders>
          </w:tcPr>
          <w:p>
            <w:pPr>
              <w:pStyle w:val="TableParagraph"/>
              <w:spacing w:line="241" w:lineRule="exact"/>
              <w:ind w:left="100"/>
              <w:rPr>
                <w:sz w:val="22"/>
              </w:rPr>
            </w:pPr>
            <w:r>
              <w:rPr>
                <w:sz w:val="22"/>
              </w:rPr>
              <w:t>de   Canadá   y</w:t>
            </w:r>
            <w:r>
              <w:rPr>
                <w:spacing w:val="54"/>
                <w:sz w:val="22"/>
              </w:rPr>
              <w:t> </w:t>
            </w:r>
            <w:r>
              <w:rPr>
                <w:sz w:val="22"/>
              </w:rPr>
              <w:t>otras</w:t>
            </w:r>
          </w:p>
        </w:tc>
        <w:tc>
          <w:tcPr>
            <w:tcW w:w="3901" w:type="dxa"/>
            <w:tcBorders>
              <w:top w:val="nil"/>
              <w:bottom w:val="nil"/>
            </w:tcBorders>
          </w:tcPr>
          <w:p>
            <w:pPr>
              <w:pStyle w:val="TableParagraph"/>
              <w:spacing w:line="241" w:lineRule="exact"/>
              <w:rPr>
                <w:sz w:val="22"/>
              </w:rPr>
            </w:pPr>
            <w:r>
              <w:rPr>
                <w:sz w:val="22"/>
              </w:rPr>
              <w:t>pero  cabe  señalar  que  en  el</w:t>
            </w:r>
            <w:r>
              <w:rPr>
                <w:spacing w:val="57"/>
                <w:sz w:val="22"/>
              </w:rPr>
              <w:t> </w:t>
            </w:r>
            <w:r>
              <w:rPr>
                <w:sz w:val="22"/>
              </w:rPr>
              <w:t>canal</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aves migratorias</w:t>
            </w:r>
            <w:r>
              <w:rPr>
                <w:spacing w:val="53"/>
                <w:sz w:val="22"/>
              </w:rPr>
              <w:t> </w:t>
            </w:r>
            <w:r>
              <w:rPr>
                <w:sz w:val="22"/>
              </w:rPr>
              <w:t>que</w:t>
            </w:r>
          </w:p>
        </w:tc>
        <w:tc>
          <w:tcPr>
            <w:tcW w:w="3901" w:type="dxa"/>
            <w:tcBorders>
              <w:top w:val="nil"/>
              <w:bottom w:val="nil"/>
            </w:tcBorders>
          </w:tcPr>
          <w:p>
            <w:pPr>
              <w:pStyle w:val="TableParagraph"/>
              <w:spacing w:line="242" w:lineRule="exact"/>
              <w:rPr>
                <w:sz w:val="22"/>
              </w:rPr>
            </w:pPr>
            <w:r>
              <w:rPr>
                <w:sz w:val="22"/>
              </w:rPr>
              <w:t>principal  para  repartir  el  agua   hay</w:t>
            </w: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han  llegado después</w:t>
            </w:r>
          </w:p>
        </w:tc>
        <w:tc>
          <w:tcPr>
            <w:tcW w:w="3901" w:type="dxa"/>
            <w:tcBorders>
              <w:top w:val="nil"/>
            </w:tcBorders>
          </w:tcPr>
          <w:p>
            <w:pPr>
              <w:pStyle w:val="TableParagraph"/>
              <w:spacing w:line="241" w:lineRule="exact"/>
              <w:rPr>
                <w:sz w:val="22"/>
              </w:rPr>
            </w:pPr>
            <w:r>
              <w:rPr>
                <w:sz w:val="22"/>
              </w:rPr>
              <w:t>mucho lirio acuático.</w:t>
            </w:r>
          </w:p>
        </w:tc>
      </w:tr>
    </w:tbl>
    <w:p>
      <w:pPr>
        <w:spacing w:after="0" w:line="241" w:lineRule="exact"/>
        <w:rPr>
          <w:sz w:val="22"/>
        </w:rPr>
        <w:sectPr>
          <w:pgSz w:w="15840" w:h="12240" w:orient="landscape"/>
          <w:pgMar w:header="0" w:footer="94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475"/>
        <w:gridCol w:w="412"/>
        <w:gridCol w:w="1289"/>
        <w:gridCol w:w="1174"/>
        <w:gridCol w:w="2314"/>
        <w:gridCol w:w="3901"/>
      </w:tblGrid>
      <w:tr>
        <w:trPr>
          <w:trHeight w:val="4818" w:hRule="exact"/>
        </w:trPr>
        <w:tc>
          <w:tcPr>
            <w:tcW w:w="1385" w:type="dxa"/>
          </w:tcPr>
          <w:p>
            <w:pPr>
              <w:pStyle w:val="TableParagraph"/>
              <w:spacing w:before="8"/>
              <w:ind w:left="0"/>
              <w:rPr>
                <w:b/>
                <w:sz w:val="21"/>
              </w:rPr>
            </w:pPr>
          </w:p>
          <w:p>
            <w:pPr>
              <w:pStyle w:val="TableParagraph"/>
              <w:ind w:left="155"/>
              <w:rPr>
                <w:sz w:val="22"/>
              </w:rPr>
            </w:pPr>
            <w:r>
              <w:rPr>
                <w:sz w:val="22"/>
              </w:rPr>
              <w:t>(21/I/2014)</w:t>
            </w:r>
          </w:p>
        </w:tc>
        <w:tc>
          <w:tcPr>
            <w:tcW w:w="1274" w:type="dxa"/>
          </w:tcPr>
          <w:p>
            <w:pPr/>
          </w:p>
        </w:tc>
        <w:tc>
          <w:tcPr>
            <w:tcW w:w="1887" w:type="dxa"/>
            <w:gridSpan w:val="2"/>
          </w:tcPr>
          <w:p>
            <w:pPr/>
          </w:p>
        </w:tc>
        <w:tc>
          <w:tcPr>
            <w:tcW w:w="1289" w:type="dxa"/>
          </w:tcPr>
          <w:p>
            <w:pPr/>
          </w:p>
        </w:tc>
        <w:tc>
          <w:tcPr>
            <w:tcW w:w="1174" w:type="dxa"/>
          </w:tcPr>
          <w:p>
            <w:pPr/>
          </w:p>
        </w:tc>
        <w:tc>
          <w:tcPr>
            <w:tcW w:w="2314" w:type="dxa"/>
          </w:tcPr>
          <w:p>
            <w:pPr>
              <w:pStyle w:val="TableParagraph"/>
              <w:tabs>
                <w:tab w:pos="1833" w:val="left" w:leader="none"/>
              </w:tabs>
              <w:ind w:left="100" w:right="101"/>
              <w:jc w:val="both"/>
              <w:rPr>
                <w:sz w:val="22"/>
              </w:rPr>
            </w:pPr>
            <w:r>
              <w:rPr>
                <w:sz w:val="22"/>
              </w:rPr>
              <w:t>como la garza, los chicuilotes y los clarines</w:t>
              <w:tab/>
              <w:t>han</w:t>
            </w:r>
          </w:p>
          <w:p>
            <w:pPr>
              <w:pStyle w:val="TableParagraph"/>
              <w:tabs>
                <w:tab w:pos="1955" w:val="left" w:leader="none"/>
              </w:tabs>
              <w:ind w:left="100" w:right="98"/>
              <w:jc w:val="both"/>
              <w:rPr>
                <w:sz w:val="22"/>
              </w:rPr>
            </w:pPr>
            <w:r>
              <w:rPr>
                <w:sz w:val="22"/>
              </w:rPr>
              <w:t>ocasionado</w:t>
              <w:tab/>
              <w:t>un </w:t>
            </w:r>
            <w:r>
              <w:rPr>
                <w:b/>
                <w:sz w:val="22"/>
              </w:rPr>
              <w:t>problema de caza masiva</w:t>
            </w:r>
            <w:r>
              <w:rPr>
                <w:sz w:val="22"/>
              </w:rPr>
              <w:t>, aunque ahora ya hay protección contra la caza, lo que ha generado que la garza anide en la laguna.</w:t>
            </w:r>
          </w:p>
          <w:p>
            <w:pPr>
              <w:pStyle w:val="TableParagraph"/>
              <w:ind w:left="0"/>
              <w:rPr>
                <w:b/>
                <w:sz w:val="22"/>
              </w:rPr>
            </w:pPr>
          </w:p>
          <w:p>
            <w:pPr>
              <w:pStyle w:val="TableParagraph"/>
              <w:ind w:left="100" w:right="98"/>
              <w:jc w:val="both"/>
              <w:rPr>
                <w:sz w:val="22"/>
              </w:rPr>
            </w:pPr>
            <w:r>
              <w:rPr>
                <w:sz w:val="22"/>
              </w:rPr>
              <w:t>Se había generado un problema de </w:t>
            </w:r>
            <w:r>
              <w:rPr>
                <w:b/>
                <w:sz w:val="22"/>
              </w:rPr>
              <w:t>lirio acuático, </w:t>
            </w:r>
            <w:r>
              <w:rPr>
                <w:sz w:val="22"/>
              </w:rPr>
              <w:t>pero el agua bajo mucho y la parte dañada se secó.</w:t>
            </w:r>
          </w:p>
        </w:tc>
        <w:tc>
          <w:tcPr>
            <w:tcW w:w="3901" w:type="dxa"/>
          </w:tcPr>
          <w:p>
            <w:pPr/>
          </w:p>
        </w:tc>
      </w:tr>
      <w:tr>
        <w:trPr>
          <w:trHeight w:val="265" w:hRule="exact"/>
        </w:trPr>
        <w:tc>
          <w:tcPr>
            <w:tcW w:w="1385" w:type="dxa"/>
            <w:tcBorders>
              <w:bottom w:val="nil"/>
            </w:tcBorders>
          </w:tcPr>
          <w:p>
            <w:pPr>
              <w:pStyle w:val="TableParagraph"/>
              <w:spacing w:line="251" w:lineRule="exact"/>
              <w:ind w:right="127"/>
              <w:rPr>
                <w:sz w:val="22"/>
              </w:rPr>
            </w:pPr>
            <w:r>
              <w:rPr>
                <w:sz w:val="22"/>
              </w:rPr>
              <w:t>Juan</w:t>
            </w:r>
          </w:p>
        </w:tc>
        <w:tc>
          <w:tcPr>
            <w:tcW w:w="1274" w:type="dxa"/>
            <w:tcBorders>
              <w:bottom w:val="nil"/>
            </w:tcBorders>
          </w:tcPr>
          <w:p>
            <w:pPr>
              <w:pStyle w:val="TableParagraph"/>
              <w:spacing w:line="251" w:lineRule="exact"/>
              <w:ind w:left="100"/>
              <w:rPr>
                <w:sz w:val="22"/>
              </w:rPr>
            </w:pPr>
            <w:r>
              <w:rPr>
                <w:sz w:val="22"/>
              </w:rPr>
              <w:t>Preparator</w:t>
            </w:r>
          </w:p>
        </w:tc>
        <w:tc>
          <w:tcPr>
            <w:tcW w:w="1475" w:type="dxa"/>
            <w:tcBorders>
              <w:bottom w:val="nil"/>
              <w:right w:val="nil"/>
            </w:tcBorders>
          </w:tcPr>
          <w:p>
            <w:pPr>
              <w:pStyle w:val="TableParagraph"/>
              <w:spacing w:line="251" w:lineRule="exact"/>
              <w:rPr>
                <w:sz w:val="22"/>
              </w:rPr>
            </w:pPr>
            <w:r>
              <w:rPr>
                <w:sz w:val="22"/>
              </w:rPr>
              <w:t>Director</w:t>
            </w:r>
          </w:p>
        </w:tc>
        <w:tc>
          <w:tcPr>
            <w:tcW w:w="412" w:type="dxa"/>
            <w:tcBorders>
              <w:left w:val="nil"/>
              <w:bottom w:val="nil"/>
            </w:tcBorders>
          </w:tcPr>
          <w:p>
            <w:pPr>
              <w:pStyle w:val="TableParagraph"/>
              <w:spacing w:line="251" w:lineRule="exact"/>
              <w:ind w:left="0" w:right="101"/>
              <w:jc w:val="right"/>
              <w:rPr>
                <w:sz w:val="22"/>
              </w:rPr>
            </w:pPr>
            <w:r>
              <w:rPr>
                <w:sz w:val="22"/>
              </w:rPr>
              <w:t>de</w:t>
            </w:r>
          </w:p>
        </w:tc>
        <w:tc>
          <w:tcPr>
            <w:tcW w:w="1289" w:type="dxa"/>
            <w:tcBorders>
              <w:bottom w:val="nil"/>
            </w:tcBorders>
          </w:tcPr>
          <w:p>
            <w:pPr>
              <w:pStyle w:val="TableParagraph"/>
              <w:spacing w:line="251" w:lineRule="exact"/>
              <w:rPr>
                <w:sz w:val="22"/>
              </w:rPr>
            </w:pPr>
            <w:r>
              <w:rPr>
                <w:sz w:val="22"/>
              </w:rPr>
              <w:t>Pathé,</w:t>
            </w:r>
          </w:p>
        </w:tc>
        <w:tc>
          <w:tcPr>
            <w:tcW w:w="1174" w:type="dxa"/>
            <w:tcBorders>
              <w:bottom w:val="nil"/>
            </w:tcBorders>
          </w:tcPr>
          <w:p>
            <w:pPr>
              <w:pStyle w:val="TableParagraph"/>
              <w:spacing w:line="251" w:lineRule="exact"/>
              <w:rPr>
                <w:sz w:val="22"/>
              </w:rPr>
            </w:pPr>
            <w:r>
              <w:rPr>
                <w:sz w:val="22"/>
              </w:rPr>
              <w:t>Pathé,</w:t>
            </w:r>
          </w:p>
        </w:tc>
        <w:tc>
          <w:tcPr>
            <w:tcW w:w="2314" w:type="dxa"/>
            <w:tcBorders>
              <w:bottom w:val="nil"/>
            </w:tcBorders>
          </w:tcPr>
          <w:p>
            <w:pPr>
              <w:pStyle w:val="TableParagraph"/>
              <w:spacing w:line="248" w:lineRule="exact"/>
              <w:ind w:left="100"/>
              <w:rPr>
                <w:b/>
                <w:sz w:val="22"/>
              </w:rPr>
            </w:pPr>
            <w:r>
              <w:rPr>
                <w:b/>
                <w:sz w:val="22"/>
              </w:rPr>
              <w:t>Las descargas de</w:t>
            </w:r>
          </w:p>
        </w:tc>
        <w:tc>
          <w:tcPr>
            <w:tcW w:w="3901" w:type="dxa"/>
            <w:tcBorders>
              <w:bottom w:val="nil"/>
            </w:tcBorders>
          </w:tcPr>
          <w:p>
            <w:pPr>
              <w:pStyle w:val="TableParagraph"/>
              <w:spacing w:line="251" w:lineRule="exact"/>
              <w:rPr>
                <w:sz w:val="22"/>
              </w:rPr>
            </w:pPr>
            <w:r>
              <w:rPr>
                <w:sz w:val="22"/>
              </w:rPr>
              <w:t>Por   la   falta   de   infraestructura    y</w:t>
            </w:r>
          </w:p>
        </w:tc>
      </w:tr>
      <w:tr>
        <w:trPr>
          <w:trHeight w:val="254" w:hRule="exact"/>
        </w:trPr>
        <w:tc>
          <w:tcPr>
            <w:tcW w:w="1385" w:type="dxa"/>
            <w:tcBorders>
              <w:top w:val="nil"/>
              <w:bottom w:val="nil"/>
            </w:tcBorders>
          </w:tcPr>
          <w:p>
            <w:pPr>
              <w:pStyle w:val="TableParagraph"/>
              <w:spacing w:line="242" w:lineRule="exact"/>
              <w:ind w:right="127"/>
              <w:rPr>
                <w:sz w:val="22"/>
              </w:rPr>
            </w:pPr>
            <w:r>
              <w:rPr>
                <w:sz w:val="22"/>
              </w:rPr>
              <w:t>Carlos</w:t>
            </w:r>
          </w:p>
        </w:tc>
        <w:tc>
          <w:tcPr>
            <w:tcW w:w="1274" w:type="dxa"/>
            <w:tcBorders>
              <w:top w:val="nil"/>
              <w:bottom w:val="nil"/>
            </w:tcBorders>
          </w:tcPr>
          <w:p>
            <w:pPr>
              <w:pStyle w:val="TableParagraph"/>
              <w:spacing w:line="242" w:lineRule="exact"/>
              <w:ind w:left="100" w:right="98"/>
              <w:rPr>
                <w:sz w:val="22"/>
              </w:rPr>
            </w:pPr>
            <w:r>
              <w:rPr>
                <w:sz w:val="22"/>
              </w:rPr>
              <w:t>ia</w:t>
            </w:r>
          </w:p>
        </w:tc>
        <w:tc>
          <w:tcPr>
            <w:tcW w:w="1475" w:type="dxa"/>
            <w:tcBorders>
              <w:top w:val="nil"/>
              <w:bottom w:val="nil"/>
              <w:right w:val="nil"/>
            </w:tcBorders>
          </w:tcPr>
          <w:p>
            <w:pPr>
              <w:pStyle w:val="TableParagraph"/>
              <w:spacing w:line="242" w:lineRule="exact"/>
              <w:rPr>
                <w:sz w:val="22"/>
              </w:rPr>
            </w:pPr>
            <w:r>
              <w:rPr>
                <w:sz w:val="22"/>
              </w:rPr>
              <w:t>Desarrollo</w:t>
            </w:r>
          </w:p>
        </w:tc>
        <w:tc>
          <w:tcPr>
            <w:tcW w:w="412" w:type="dxa"/>
            <w:tcBorders>
              <w:top w:val="nil"/>
              <w:left w:val="nil"/>
              <w:bottom w:val="nil"/>
            </w:tcBorders>
          </w:tcPr>
          <w:p>
            <w:pPr/>
          </w:p>
        </w:tc>
        <w:tc>
          <w:tcPr>
            <w:tcW w:w="1289" w:type="dxa"/>
            <w:tcBorders>
              <w:top w:val="nil"/>
              <w:bottom w:val="nil"/>
            </w:tcBorders>
          </w:tcPr>
          <w:p>
            <w:pPr>
              <w:pStyle w:val="TableParagraph"/>
              <w:spacing w:line="242" w:lineRule="exact"/>
              <w:rPr>
                <w:sz w:val="22"/>
              </w:rPr>
            </w:pPr>
            <w:r>
              <w:rPr>
                <w:sz w:val="22"/>
              </w:rPr>
              <w:t>Acambay</w:t>
            </w:r>
          </w:p>
        </w:tc>
        <w:tc>
          <w:tcPr>
            <w:tcW w:w="1174" w:type="dxa"/>
            <w:tcBorders>
              <w:top w:val="nil"/>
              <w:bottom w:val="nil"/>
            </w:tcBorders>
          </w:tcPr>
          <w:p>
            <w:pPr>
              <w:pStyle w:val="TableParagraph"/>
              <w:spacing w:line="242" w:lineRule="exact"/>
              <w:rPr>
                <w:sz w:val="22"/>
              </w:rPr>
            </w:pPr>
            <w:r>
              <w:rPr>
                <w:sz w:val="22"/>
              </w:rPr>
              <w:t>Acambay</w:t>
            </w:r>
          </w:p>
        </w:tc>
        <w:tc>
          <w:tcPr>
            <w:tcW w:w="2314" w:type="dxa"/>
            <w:tcBorders>
              <w:top w:val="nil"/>
              <w:bottom w:val="nil"/>
            </w:tcBorders>
          </w:tcPr>
          <w:p>
            <w:pPr>
              <w:pStyle w:val="TableParagraph"/>
              <w:spacing w:line="240" w:lineRule="exact"/>
              <w:ind w:left="100"/>
              <w:rPr>
                <w:b/>
                <w:sz w:val="22"/>
              </w:rPr>
            </w:pPr>
            <w:r>
              <w:rPr>
                <w:b/>
                <w:sz w:val="22"/>
              </w:rPr>
              <w:t>aguas residuales.</w:t>
            </w:r>
          </w:p>
        </w:tc>
        <w:tc>
          <w:tcPr>
            <w:tcW w:w="3901" w:type="dxa"/>
            <w:tcBorders>
              <w:top w:val="nil"/>
              <w:bottom w:val="nil"/>
            </w:tcBorders>
          </w:tcPr>
          <w:p>
            <w:pPr>
              <w:pStyle w:val="TableParagraph"/>
              <w:spacing w:line="242" w:lineRule="exact"/>
              <w:rPr>
                <w:sz w:val="22"/>
              </w:rPr>
            </w:pPr>
            <w:r>
              <w:rPr>
                <w:sz w:val="22"/>
              </w:rPr>
              <w:t>drenaje y construcción de plantas  de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Sámano</w:t>
            </w:r>
          </w:p>
        </w:tc>
        <w:tc>
          <w:tcPr>
            <w:tcW w:w="1274" w:type="dxa"/>
            <w:tcBorders>
              <w:top w:val="nil"/>
              <w:bottom w:val="nil"/>
            </w:tcBorders>
          </w:tcPr>
          <w:p>
            <w:pPr/>
          </w:p>
        </w:tc>
        <w:tc>
          <w:tcPr>
            <w:tcW w:w="1475" w:type="dxa"/>
            <w:tcBorders>
              <w:top w:val="nil"/>
              <w:bottom w:val="nil"/>
              <w:right w:val="nil"/>
            </w:tcBorders>
          </w:tcPr>
          <w:p>
            <w:pPr>
              <w:pStyle w:val="TableParagraph"/>
              <w:spacing w:line="242" w:lineRule="exact"/>
              <w:rPr>
                <w:sz w:val="22"/>
              </w:rPr>
            </w:pPr>
            <w:r>
              <w:rPr>
                <w:sz w:val="22"/>
              </w:rPr>
              <w:t>Agropecuario</w:t>
            </w: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tratamiento de las aguas.</w:t>
            </w:r>
          </w:p>
        </w:tc>
      </w:tr>
      <w:tr>
        <w:trPr>
          <w:trHeight w:val="251" w:hRule="exact"/>
        </w:trPr>
        <w:tc>
          <w:tcPr>
            <w:tcW w:w="1385" w:type="dxa"/>
            <w:tcBorders>
              <w:top w:val="nil"/>
              <w:bottom w:val="nil"/>
            </w:tcBorders>
          </w:tcPr>
          <w:p>
            <w:pPr>
              <w:pStyle w:val="TableParagraph"/>
              <w:spacing w:line="241" w:lineRule="exact"/>
              <w:ind w:right="127"/>
              <w:rPr>
                <w:sz w:val="22"/>
              </w:rPr>
            </w:pPr>
            <w:r>
              <w:rPr>
                <w:sz w:val="22"/>
              </w:rPr>
              <w:t>Díaz</w:t>
            </w:r>
          </w:p>
        </w:tc>
        <w:tc>
          <w:tcPr>
            <w:tcW w:w="1274" w:type="dxa"/>
            <w:tcBorders>
              <w:top w:val="nil"/>
              <w:bottom w:val="nil"/>
            </w:tcBorders>
          </w:tcPr>
          <w:p>
            <w:pPr/>
          </w:p>
        </w:tc>
        <w:tc>
          <w:tcPr>
            <w:tcW w:w="1475" w:type="dxa"/>
            <w:tcBorders>
              <w:top w:val="nil"/>
              <w:bottom w:val="nil"/>
              <w:right w:val="nil"/>
            </w:tcBorders>
          </w:tcPr>
          <w:p>
            <w:pP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4" w:hRule="exact"/>
        </w:trPr>
        <w:tc>
          <w:tcPr>
            <w:tcW w:w="1385" w:type="dxa"/>
            <w:tcBorders>
              <w:top w:val="nil"/>
              <w:bottom w:val="nil"/>
            </w:tcBorders>
          </w:tcPr>
          <w:p>
            <w:pPr>
              <w:pStyle w:val="TableParagraph"/>
              <w:spacing w:line="242" w:lineRule="exact"/>
              <w:ind w:right="127"/>
              <w:rPr>
                <w:sz w:val="22"/>
              </w:rPr>
            </w:pPr>
            <w:r>
              <w:rPr>
                <w:sz w:val="22"/>
              </w:rPr>
              <w:t>(27/I/2015)</w:t>
            </w:r>
          </w:p>
        </w:tc>
        <w:tc>
          <w:tcPr>
            <w:tcW w:w="1274" w:type="dxa"/>
            <w:tcBorders>
              <w:top w:val="nil"/>
              <w:bottom w:val="nil"/>
            </w:tcBorders>
          </w:tcPr>
          <w:p>
            <w:pPr/>
          </w:p>
        </w:tc>
        <w:tc>
          <w:tcPr>
            <w:tcW w:w="1475" w:type="dxa"/>
            <w:tcBorders>
              <w:top w:val="nil"/>
              <w:bottom w:val="nil"/>
              <w:right w:val="nil"/>
            </w:tcBorders>
          </w:tcPr>
          <w:p>
            <w:pP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0" w:lineRule="exact"/>
              <w:ind w:left="100"/>
              <w:rPr>
                <w:b/>
                <w:sz w:val="22"/>
              </w:rPr>
            </w:pPr>
            <w:r>
              <w:rPr>
                <w:b/>
                <w:sz w:val="22"/>
              </w:rPr>
              <w:t>El mal uso del agua</w:t>
            </w:r>
          </w:p>
        </w:tc>
        <w:tc>
          <w:tcPr>
            <w:tcW w:w="3901" w:type="dxa"/>
            <w:tcBorders>
              <w:top w:val="nil"/>
              <w:bottom w:val="nil"/>
            </w:tcBorders>
          </w:tcPr>
          <w:p>
            <w:pPr>
              <w:pStyle w:val="TableParagraph"/>
              <w:spacing w:line="242" w:lineRule="exact"/>
              <w:rPr>
                <w:sz w:val="22"/>
              </w:rPr>
            </w:pPr>
            <w:r>
              <w:rPr>
                <w:sz w:val="22"/>
              </w:rPr>
              <w:t>Porque con esa se riega el Bajío y se</w:t>
            </w:r>
          </w:p>
        </w:tc>
      </w:tr>
      <w:tr>
        <w:trPr>
          <w:trHeight w:val="249" w:hRule="exact"/>
        </w:trPr>
        <w:tc>
          <w:tcPr>
            <w:tcW w:w="1385" w:type="dxa"/>
            <w:tcBorders>
              <w:top w:val="nil"/>
            </w:tcBorders>
          </w:tcPr>
          <w:p>
            <w:pPr/>
          </w:p>
        </w:tc>
        <w:tc>
          <w:tcPr>
            <w:tcW w:w="1274" w:type="dxa"/>
            <w:tcBorders>
              <w:top w:val="nil"/>
            </w:tcBorders>
          </w:tcPr>
          <w:p>
            <w:pPr/>
          </w:p>
        </w:tc>
        <w:tc>
          <w:tcPr>
            <w:tcW w:w="1475" w:type="dxa"/>
            <w:tcBorders>
              <w:top w:val="nil"/>
              <w:right w:val="nil"/>
            </w:tcBorders>
          </w:tcPr>
          <w:p>
            <w:pPr/>
          </w:p>
        </w:tc>
        <w:tc>
          <w:tcPr>
            <w:tcW w:w="412" w:type="dxa"/>
            <w:tcBorders>
              <w:top w:val="nil"/>
              <w:left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2" w:lineRule="exact"/>
              <w:rPr>
                <w:sz w:val="22"/>
              </w:rPr>
            </w:pPr>
            <w:r>
              <w:rPr>
                <w:sz w:val="22"/>
              </w:rPr>
              <w:t>usa indiscriminadamente.</w:t>
            </w:r>
          </w:p>
        </w:tc>
      </w:tr>
      <w:tr>
        <w:trPr>
          <w:trHeight w:val="267" w:hRule="exact"/>
        </w:trPr>
        <w:tc>
          <w:tcPr>
            <w:tcW w:w="1385" w:type="dxa"/>
            <w:tcBorders>
              <w:bottom w:val="nil"/>
            </w:tcBorders>
          </w:tcPr>
          <w:p>
            <w:pPr>
              <w:pStyle w:val="TableParagraph"/>
              <w:spacing w:line="251" w:lineRule="exact"/>
              <w:ind w:right="127"/>
              <w:rPr>
                <w:sz w:val="22"/>
              </w:rPr>
            </w:pPr>
            <w:r>
              <w:rPr>
                <w:sz w:val="22"/>
              </w:rPr>
              <w:t>Adán</w:t>
            </w:r>
          </w:p>
        </w:tc>
        <w:tc>
          <w:tcPr>
            <w:tcW w:w="1274" w:type="dxa"/>
            <w:tcBorders>
              <w:bottom w:val="nil"/>
            </w:tcBorders>
          </w:tcPr>
          <w:p>
            <w:pPr/>
          </w:p>
        </w:tc>
        <w:tc>
          <w:tcPr>
            <w:tcW w:w="1475" w:type="dxa"/>
            <w:tcBorders>
              <w:bottom w:val="nil"/>
              <w:right w:val="nil"/>
            </w:tcBorders>
          </w:tcPr>
          <w:p>
            <w:pPr>
              <w:pStyle w:val="TableParagraph"/>
              <w:spacing w:line="251" w:lineRule="exact"/>
              <w:rPr>
                <w:sz w:val="22"/>
              </w:rPr>
            </w:pPr>
            <w:r>
              <w:rPr>
                <w:sz w:val="22"/>
              </w:rPr>
              <w:t>Director</w:t>
            </w:r>
          </w:p>
        </w:tc>
        <w:tc>
          <w:tcPr>
            <w:tcW w:w="412" w:type="dxa"/>
            <w:tcBorders>
              <w:left w:val="nil"/>
              <w:bottom w:val="nil"/>
            </w:tcBorders>
          </w:tcPr>
          <w:p>
            <w:pPr>
              <w:pStyle w:val="TableParagraph"/>
              <w:spacing w:line="251" w:lineRule="exact"/>
              <w:ind w:left="0" w:right="101"/>
              <w:jc w:val="right"/>
              <w:rPr>
                <w:sz w:val="22"/>
              </w:rPr>
            </w:pPr>
            <w:r>
              <w:rPr>
                <w:sz w:val="22"/>
              </w:rPr>
              <w:t>de</w:t>
            </w:r>
          </w:p>
        </w:tc>
        <w:tc>
          <w:tcPr>
            <w:tcW w:w="1289" w:type="dxa"/>
            <w:tcBorders>
              <w:bottom w:val="nil"/>
            </w:tcBorders>
          </w:tcPr>
          <w:p>
            <w:pPr>
              <w:pStyle w:val="TableParagraph"/>
              <w:spacing w:line="251" w:lineRule="exact"/>
              <w:rPr>
                <w:sz w:val="22"/>
              </w:rPr>
            </w:pPr>
            <w:r>
              <w:rPr>
                <w:sz w:val="22"/>
              </w:rPr>
              <w:t>Atlacomul</w:t>
            </w:r>
          </w:p>
        </w:tc>
        <w:tc>
          <w:tcPr>
            <w:tcW w:w="1174" w:type="dxa"/>
            <w:tcBorders>
              <w:bottom w:val="nil"/>
            </w:tcBorders>
          </w:tcPr>
          <w:p>
            <w:pPr>
              <w:pStyle w:val="TableParagraph"/>
              <w:spacing w:line="251" w:lineRule="exact"/>
              <w:rPr>
                <w:sz w:val="22"/>
              </w:rPr>
            </w:pPr>
            <w:r>
              <w:rPr>
                <w:sz w:val="22"/>
              </w:rPr>
              <w:t>Pathé,</w:t>
            </w:r>
          </w:p>
        </w:tc>
        <w:tc>
          <w:tcPr>
            <w:tcW w:w="2314" w:type="dxa"/>
            <w:tcBorders>
              <w:bottom w:val="nil"/>
            </w:tcBorders>
          </w:tcPr>
          <w:p>
            <w:pPr>
              <w:pStyle w:val="TableParagraph"/>
              <w:spacing w:line="251" w:lineRule="exact"/>
              <w:ind w:left="100"/>
              <w:rPr>
                <w:sz w:val="22"/>
              </w:rPr>
            </w:pPr>
            <w:r>
              <w:rPr>
                <w:sz w:val="22"/>
              </w:rPr>
              <w:t>La contaminación</w:t>
            </w:r>
          </w:p>
        </w:tc>
        <w:tc>
          <w:tcPr>
            <w:tcW w:w="3901" w:type="dxa"/>
            <w:tcBorders>
              <w:bottom w:val="nil"/>
            </w:tcBorders>
          </w:tcPr>
          <w:p>
            <w:pPr>
              <w:pStyle w:val="TableParagraph"/>
              <w:spacing w:line="251" w:lineRule="exact"/>
              <w:rPr>
                <w:sz w:val="22"/>
              </w:rPr>
            </w:pPr>
            <w:r>
              <w:rPr>
                <w:sz w:val="22"/>
              </w:rPr>
              <w:t>Porque no hay quien se encargue de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Sámano</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475" w:type="dxa"/>
            <w:tcBorders>
              <w:top w:val="nil"/>
              <w:bottom w:val="nil"/>
              <w:right w:val="nil"/>
            </w:tcBorders>
          </w:tcPr>
          <w:p>
            <w:pPr>
              <w:pStyle w:val="TableParagraph"/>
              <w:spacing w:line="242" w:lineRule="exact"/>
              <w:rPr>
                <w:sz w:val="22"/>
              </w:rPr>
            </w:pPr>
            <w:r>
              <w:rPr>
                <w:sz w:val="22"/>
              </w:rPr>
              <w:t>Turismo</w:t>
            </w:r>
          </w:p>
        </w:tc>
        <w:tc>
          <w:tcPr>
            <w:tcW w:w="412" w:type="dxa"/>
            <w:tcBorders>
              <w:top w:val="nil"/>
              <w:left w:val="nil"/>
              <w:bottom w:val="nil"/>
            </w:tcBorders>
          </w:tcPr>
          <w:p>
            <w:pPr>
              <w:pStyle w:val="TableParagraph"/>
              <w:spacing w:line="242" w:lineRule="exact"/>
              <w:ind w:left="0" w:right="99"/>
              <w:jc w:val="right"/>
              <w:rPr>
                <w:sz w:val="22"/>
              </w:rPr>
            </w:pPr>
            <w:r>
              <w:rPr>
                <w:w w:val="100"/>
                <w:sz w:val="22"/>
              </w:rPr>
              <w:t>y</w:t>
            </w:r>
          </w:p>
        </w:tc>
        <w:tc>
          <w:tcPr>
            <w:tcW w:w="1289" w:type="dxa"/>
            <w:tcBorders>
              <w:top w:val="nil"/>
              <w:bottom w:val="nil"/>
            </w:tcBorders>
          </w:tcPr>
          <w:p>
            <w:pPr>
              <w:pStyle w:val="TableParagraph"/>
              <w:spacing w:line="242" w:lineRule="exact"/>
              <w:rPr>
                <w:sz w:val="22"/>
              </w:rPr>
            </w:pPr>
            <w:r>
              <w:rPr>
                <w:sz w:val="22"/>
              </w:rPr>
              <w:t>co</w:t>
            </w:r>
          </w:p>
        </w:tc>
        <w:tc>
          <w:tcPr>
            <w:tcW w:w="1174" w:type="dxa"/>
            <w:tcBorders>
              <w:top w:val="nil"/>
              <w:bottom w:val="nil"/>
            </w:tcBorders>
          </w:tcPr>
          <w:p>
            <w:pPr>
              <w:pStyle w:val="TableParagraph"/>
              <w:spacing w:line="242" w:lineRule="exact"/>
              <w:rPr>
                <w:sz w:val="22"/>
              </w:rPr>
            </w:pPr>
            <w:r>
              <w:rPr>
                <w:sz w:val="22"/>
              </w:rPr>
              <w:t>Acambay</w:t>
            </w: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que la gente no tire basura.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Peralta</w:t>
            </w:r>
          </w:p>
        </w:tc>
        <w:tc>
          <w:tcPr>
            <w:tcW w:w="1274" w:type="dxa"/>
            <w:tcBorders>
              <w:top w:val="nil"/>
              <w:bottom w:val="nil"/>
            </w:tcBorders>
          </w:tcPr>
          <w:p>
            <w:pPr/>
          </w:p>
        </w:tc>
        <w:tc>
          <w:tcPr>
            <w:tcW w:w="1475" w:type="dxa"/>
            <w:tcBorders>
              <w:top w:val="nil"/>
              <w:bottom w:val="nil"/>
              <w:right w:val="nil"/>
            </w:tcBorders>
          </w:tcPr>
          <w:p>
            <w:pPr>
              <w:pStyle w:val="TableParagraph"/>
              <w:spacing w:line="241" w:lineRule="exact"/>
              <w:rPr>
                <w:sz w:val="22"/>
              </w:rPr>
            </w:pPr>
            <w:r>
              <w:rPr>
                <w:sz w:val="22"/>
              </w:rPr>
              <w:t>Fomento</w:t>
            </w: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475" w:type="dxa"/>
            <w:tcBorders>
              <w:top w:val="nil"/>
              <w:bottom w:val="nil"/>
              <w:right w:val="nil"/>
            </w:tcBorders>
          </w:tcPr>
          <w:p>
            <w:pPr>
              <w:pStyle w:val="TableParagraph"/>
              <w:spacing w:line="243" w:lineRule="exact"/>
              <w:rPr>
                <w:sz w:val="22"/>
              </w:rPr>
            </w:pPr>
            <w:r>
              <w:rPr>
                <w:sz w:val="22"/>
              </w:rPr>
              <w:t>Económico</w:t>
            </w: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Sacan toda el agua y</w:t>
            </w:r>
          </w:p>
        </w:tc>
        <w:tc>
          <w:tcPr>
            <w:tcW w:w="3901" w:type="dxa"/>
            <w:tcBorders>
              <w:top w:val="nil"/>
              <w:bottom w:val="nil"/>
            </w:tcBorders>
          </w:tcPr>
          <w:p>
            <w:pPr>
              <w:pStyle w:val="TableParagraph"/>
              <w:spacing w:line="243" w:lineRule="exact"/>
              <w:rPr>
                <w:sz w:val="22"/>
              </w:rPr>
            </w:pPr>
            <w:r>
              <w:rPr>
                <w:sz w:val="22"/>
              </w:rPr>
              <w:t>Porque se la llevan para riego.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(27/I/2015)</w:t>
            </w:r>
          </w:p>
        </w:tc>
        <w:tc>
          <w:tcPr>
            <w:tcW w:w="1274" w:type="dxa"/>
            <w:tcBorders>
              <w:top w:val="nil"/>
              <w:bottom w:val="nil"/>
            </w:tcBorders>
          </w:tcPr>
          <w:p>
            <w:pPr/>
          </w:p>
        </w:tc>
        <w:tc>
          <w:tcPr>
            <w:tcW w:w="1475" w:type="dxa"/>
            <w:tcBorders>
              <w:top w:val="nil"/>
              <w:bottom w:val="nil"/>
              <w:right w:val="nil"/>
            </w:tcBorders>
          </w:tcPr>
          <w:p>
            <w:pP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se queda vacía y hay</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475" w:type="dxa"/>
            <w:tcBorders>
              <w:top w:val="nil"/>
              <w:right w:val="nil"/>
            </w:tcBorders>
          </w:tcPr>
          <w:p>
            <w:pPr/>
          </w:p>
        </w:tc>
        <w:tc>
          <w:tcPr>
            <w:tcW w:w="412" w:type="dxa"/>
            <w:tcBorders>
              <w:top w:val="nil"/>
              <w:left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zonas con hierba.</w:t>
            </w:r>
          </w:p>
        </w:tc>
        <w:tc>
          <w:tcPr>
            <w:tcW w:w="3901"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pgSz w:w="15840" w:h="12240" w:orient="landscape"/>
          <w:pgMar w:header="0" w:footer="943" w:top="1140" w:bottom="1200" w:left="1200" w:right="1180"/>
        </w:sectPr>
      </w:pPr>
    </w:p>
    <w:p>
      <w:pPr>
        <w:pStyle w:val="BodyText"/>
        <w:rPr>
          <w:sz w:val="20"/>
        </w:rPr>
      </w:pPr>
    </w:p>
    <w:p>
      <w:pPr>
        <w:pStyle w:val="BodyText"/>
        <w:spacing w:before="1"/>
      </w:pPr>
    </w:p>
    <w:p>
      <w:pPr>
        <w:pStyle w:val="Heading6"/>
        <w:spacing w:before="73" w:after="4"/>
        <w:ind w:left="2294" w:right="778"/>
      </w:pPr>
      <w:r>
        <w:rPr/>
        <w:t>Tabla 6.9. Municipio de Acambay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2" w:hRule="exact"/>
        </w:trPr>
        <w:tc>
          <w:tcPr>
            <w:tcW w:w="13224" w:type="dxa"/>
            <w:gridSpan w:val="7"/>
            <w:shd w:val="clear" w:color="auto" w:fill="9BBA58"/>
          </w:tcPr>
          <w:p>
            <w:pPr>
              <w:pStyle w:val="TableParagraph"/>
              <w:spacing w:line="248" w:lineRule="exact"/>
              <w:ind w:left="4867" w:right="4870"/>
              <w:jc w:val="center"/>
              <w:rPr>
                <w:b/>
                <w:sz w:val="22"/>
              </w:rPr>
            </w:pPr>
            <w:r>
              <w:rPr>
                <w:b/>
                <w:sz w:val="22"/>
              </w:rPr>
              <w:t>ACAMBAY</w:t>
            </w:r>
          </w:p>
        </w:tc>
      </w:tr>
      <w:tr>
        <w:trPr>
          <w:trHeight w:val="524" w:hRule="exact"/>
        </w:trPr>
        <w:tc>
          <w:tcPr>
            <w:tcW w:w="4547" w:type="dxa"/>
            <w:gridSpan w:val="3"/>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4"/>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264"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Poder</w:t>
            </w:r>
          </w:p>
        </w:tc>
        <w:tc>
          <w:tcPr>
            <w:tcW w:w="3901" w:type="dxa"/>
            <w:shd w:val="clear" w:color="auto" w:fill="92CDDC"/>
          </w:tcPr>
          <w:p>
            <w:pPr>
              <w:pStyle w:val="TableParagraph"/>
              <w:spacing w:line="251" w:lineRule="exact"/>
              <w:rPr>
                <w:b/>
                <w:i/>
                <w:sz w:val="22"/>
              </w:rPr>
            </w:pPr>
            <w:r>
              <w:rPr>
                <w:b/>
                <w:i/>
                <w:sz w:val="22"/>
              </w:rPr>
              <w:t>Poder</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tabs>
                <w:tab w:pos="1298" w:val="left" w:leader="none"/>
              </w:tabs>
              <w:spacing w:line="248" w:lineRule="exact"/>
              <w:ind w:left="100"/>
              <w:rPr>
                <w:b/>
                <w:sz w:val="22"/>
              </w:rPr>
            </w:pPr>
            <w:r>
              <w:rPr>
                <w:b/>
                <w:sz w:val="22"/>
              </w:rPr>
              <w:t>¿Qué</w:t>
              <w:tab/>
              <w:t>solución</w:t>
            </w:r>
          </w:p>
        </w:tc>
        <w:tc>
          <w:tcPr>
            <w:tcW w:w="3901" w:type="dxa"/>
            <w:tcBorders>
              <w:bottom w:val="nil"/>
            </w:tcBorders>
            <w:shd w:val="clear" w:color="auto" w:fill="92CDDC"/>
          </w:tcPr>
          <w:p>
            <w:pPr>
              <w:pStyle w:val="TableParagraph"/>
              <w:tabs>
                <w:tab w:pos="2157" w:val="left" w:leader="none"/>
              </w:tabs>
              <w:spacing w:line="248" w:lineRule="exact"/>
              <w:rPr>
                <w:b/>
                <w:sz w:val="22"/>
              </w:rPr>
            </w:pPr>
            <w:r>
              <w:rPr>
                <w:b/>
                <w:sz w:val="22"/>
              </w:rPr>
              <w:t>¿Quiénes  </w:t>
            </w:r>
            <w:r>
              <w:rPr>
                <w:b/>
                <w:spacing w:val="15"/>
                <w:sz w:val="22"/>
              </w:rPr>
              <w:t> </w:t>
            </w:r>
            <w:r>
              <w:rPr>
                <w:b/>
                <w:sz w:val="22"/>
              </w:rPr>
              <w:t>deben</w:t>
              <w:tab/>
              <w:t>solucionar  </w:t>
            </w:r>
            <w:r>
              <w:rPr>
                <w:b/>
                <w:spacing w:val="11"/>
                <w:sz w:val="22"/>
              </w:rPr>
              <w:t> </w:t>
            </w:r>
            <w:r>
              <w:rPr>
                <w:b/>
                <w:sz w:val="22"/>
              </w:rPr>
              <w:t>los</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1199" w:val="left" w:leader="none"/>
                <w:tab w:pos="1883" w:val="left" w:leader="none"/>
              </w:tabs>
              <w:spacing w:line="241" w:lineRule="exact"/>
              <w:ind w:left="100"/>
              <w:rPr>
                <w:b/>
                <w:sz w:val="22"/>
              </w:rPr>
            </w:pPr>
            <w:r>
              <w:rPr>
                <w:b/>
                <w:sz w:val="22"/>
              </w:rPr>
              <w:t>propone</w:t>
              <w:tab/>
              <w:t>para</w:t>
              <w:tab/>
              <w:t>los</w:t>
            </w:r>
          </w:p>
        </w:tc>
        <w:tc>
          <w:tcPr>
            <w:tcW w:w="3901" w:type="dxa"/>
            <w:tcBorders>
              <w:top w:val="nil"/>
              <w:bottom w:val="nil"/>
            </w:tcBorders>
            <w:shd w:val="clear" w:color="auto" w:fill="92CDDC"/>
          </w:tcPr>
          <w:p>
            <w:pPr>
              <w:pStyle w:val="TableParagraph"/>
              <w:tabs>
                <w:tab w:pos="1691" w:val="left" w:leader="none"/>
                <w:tab w:pos="2420" w:val="left" w:leader="none"/>
                <w:tab w:pos="3078" w:val="left" w:leader="none"/>
              </w:tabs>
              <w:spacing w:line="241" w:lineRule="exact"/>
              <w:rPr>
                <w:b/>
                <w:sz w:val="22"/>
              </w:rPr>
            </w:pPr>
            <w:r>
              <w:rPr>
                <w:b/>
                <w:sz w:val="22"/>
              </w:rPr>
              <w:t>problemas</w:t>
              <w:tab/>
              <w:t>de</w:t>
              <w:tab/>
              <w:t>la</w:t>
              <w:tab/>
              <w:t>laguna</w:t>
            </w:r>
          </w:p>
        </w:tc>
      </w:tr>
      <w:tr>
        <w:trPr>
          <w:trHeight w:val="254"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487" w:val="left" w:leader="none"/>
                <w:tab w:pos="2017" w:val="left" w:leader="none"/>
              </w:tabs>
              <w:spacing w:line="242" w:lineRule="exact"/>
              <w:ind w:left="100"/>
              <w:rPr>
                <w:b/>
                <w:sz w:val="22"/>
              </w:rPr>
            </w:pPr>
            <w:r>
              <w:rPr>
                <w:b/>
                <w:sz w:val="22"/>
              </w:rPr>
              <w:t>problemas</w:t>
              <w:tab/>
              <w:t>de</w:t>
              <w:tab/>
              <w:t>la</w:t>
            </w:r>
          </w:p>
        </w:tc>
        <w:tc>
          <w:tcPr>
            <w:tcW w:w="3901" w:type="dxa"/>
            <w:tcBorders>
              <w:top w:val="nil"/>
              <w:bottom w:val="nil"/>
            </w:tcBorders>
            <w:shd w:val="clear" w:color="auto" w:fill="92CDDC"/>
          </w:tcPr>
          <w:p>
            <w:pPr>
              <w:pStyle w:val="TableParagraph"/>
              <w:spacing w:line="242" w:lineRule="exact"/>
              <w:rPr>
                <w:b/>
                <w:sz w:val="22"/>
              </w:rPr>
            </w:pPr>
            <w:r>
              <w:rPr>
                <w:b/>
                <w:sz w:val="22"/>
              </w:rPr>
              <w:t>Huapango?</w:t>
            </w: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laguna Huapango?</w:t>
            </w:r>
          </w:p>
        </w:tc>
        <w:tc>
          <w:tcPr>
            <w:tcW w:w="3901" w:type="dxa"/>
            <w:tcBorders>
              <w:top w:val="nil"/>
            </w:tcBorders>
            <w:shd w:val="clear" w:color="auto" w:fill="92CDDC"/>
          </w:tcPr>
          <w:p>
            <w:pPr/>
          </w:p>
        </w:tc>
      </w:tr>
      <w:tr>
        <w:trPr>
          <w:trHeight w:val="265" w:hRule="exact"/>
        </w:trPr>
        <w:tc>
          <w:tcPr>
            <w:tcW w:w="1385" w:type="dxa"/>
            <w:tcBorders>
              <w:bottom w:val="nil"/>
            </w:tcBorders>
          </w:tcPr>
          <w:p>
            <w:pPr>
              <w:pStyle w:val="TableParagraph"/>
              <w:spacing w:line="251" w:lineRule="exact"/>
              <w:ind w:right="127"/>
              <w:rPr>
                <w:sz w:val="22"/>
              </w:rPr>
            </w:pPr>
            <w:r>
              <w:rPr>
                <w:sz w:val="22"/>
              </w:rPr>
              <w:t>Irineo Ruiz</w:t>
            </w:r>
          </w:p>
        </w:tc>
        <w:tc>
          <w:tcPr>
            <w:tcW w:w="1274" w:type="dxa"/>
            <w:tcBorders>
              <w:bottom w:val="nil"/>
            </w:tcBorders>
          </w:tcPr>
          <w:p>
            <w:pPr>
              <w:pStyle w:val="TableParagraph"/>
              <w:spacing w:line="251" w:lineRule="exact"/>
              <w:ind w:left="100" w:right="98"/>
              <w:rPr>
                <w:sz w:val="22"/>
              </w:rPr>
            </w:pPr>
            <w:r>
              <w:rPr>
                <w:sz w:val="22"/>
              </w:rPr>
              <w:t>Profesor</w:t>
            </w:r>
          </w:p>
        </w:tc>
        <w:tc>
          <w:tcPr>
            <w:tcW w:w="1887" w:type="dxa"/>
            <w:tcBorders>
              <w:bottom w:val="nil"/>
            </w:tcBorders>
          </w:tcPr>
          <w:p>
            <w:pPr>
              <w:pStyle w:val="TableParagraph"/>
              <w:spacing w:line="251" w:lineRule="exact"/>
              <w:rPr>
                <w:sz w:val="22"/>
              </w:rPr>
            </w:pPr>
            <w:r>
              <w:rPr>
                <w:sz w:val="22"/>
              </w:rPr>
              <w:t>Presidente</w:t>
            </w:r>
          </w:p>
        </w:tc>
        <w:tc>
          <w:tcPr>
            <w:tcW w:w="1289" w:type="dxa"/>
            <w:tcBorders>
              <w:bottom w:val="nil"/>
            </w:tcBorders>
          </w:tcPr>
          <w:p>
            <w:pPr>
              <w:pStyle w:val="TableParagraph"/>
              <w:spacing w:line="251" w:lineRule="exact"/>
              <w:rPr>
                <w:sz w:val="22"/>
              </w:rPr>
            </w:pPr>
            <w:r>
              <w:rPr>
                <w:sz w:val="22"/>
              </w:rPr>
              <w:t>Acambay</w:t>
            </w:r>
          </w:p>
        </w:tc>
        <w:tc>
          <w:tcPr>
            <w:tcW w:w="1174" w:type="dxa"/>
            <w:tcBorders>
              <w:bottom w:val="nil"/>
            </w:tcBorders>
          </w:tcPr>
          <w:p>
            <w:pPr>
              <w:pStyle w:val="TableParagraph"/>
              <w:spacing w:line="251" w:lineRule="exact"/>
              <w:rPr>
                <w:sz w:val="22"/>
              </w:rPr>
            </w:pPr>
            <w:r>
              <w:rPr>
                <w:sz w:val="22"/>
              </w:rPr>
              <w:t>Acambay</w:t>
            </w:r>
          </w:p>
        </w:tc>
        <w:tc>
          <w:tcPr>
            <w:tcW w:w="2314" w:type="dxa"/>
            <w:tcBorders>
              <w:bottom w:val="nil"/>
            </w:tcBorders>
          </w:tcPr>
          <w:p>
            <w:pPr>
              <w:pStyle w:val="TableParagraph"/>
              <w:spacing w:line="248" w:lineRule="exact"/>
              <w:ind w:left="100"/>
              <w:rPr>
                <w:b/>
                <w:sz w:val="22"/>
              </w:rPr>
            </w:pPr>
            <w:r>
              <w:rPr>
                <w:sz w:val="22"/>
              </w:rPr>
              <w:t>Participando </w:t>
            </w:r>
            <w:r>
              <w:rPr>
                <w:b/>
                <w:sz w:val="22"/>
              </w:rPr>
              <w:t>los tres</w:t>
            </w:r>
          </w:p>
        </w:tc>
        <w:tc>
          <w:tcPr>
            <w:tcW w:w="3901" w:type="dxa"/>
            <w:tcBorders>
              <w:bottom w:val="nil"/>
            </w:tcBorders>
          </w:tcPr>
          <w:p>
            <w:pPr>
              <w:pStyle w:val="TableParagraph"/>
              <w:spacing w:line="251" w:lineRule="exact"/>
              <w:rPr>
                <w:sz w:val="22"/>
              </w:rPr>
            </w:pPr>
            <w:r>
              <w:rPr>
                <w:sz w:val="22"/>
              </w:rPr>
              <w:t>Los tres niveles de gobierno</w:t>
            </w:r>
          </w:p>
        </w:tc>
      </w:tr>
      <w:tr>
        <w:trPr>
          <w:trHeight w:val="254" w:hRule="exact"/>
        </w:trPr>
        <w:tc>
          <w:tcPr>
            <w:tcW w:w="1385" w:type="dxa"/>
            <w:tcBorders>
              <w:top w:val="nil"/>
              <w:bottom w:val="nil"/>
            </w:tcBorders>
          </w:tcPr>
          <w:p>
            <w:pPr>
              <w:pStyle w:val="TableParagraph"/>
              <w:spacing w:line="242" w:lineRule="exact"/>
              <w:ind w:right="127"/>
              <w:rPr>
                <w:sz w:val="22"/>
              </w:rPr>
            </w:pPr>
            <w:r>
              <w:rPr>
                <w:sz w:val="22"/>
              </w:rPr>
              <w:t>González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0" w:lineRule="exact"/>
              <w:ind w:left="100"/>
              <w:rPr>
                <w:b/>
                <w:sz w:val="22"/>
              </w:rPr>
            </w:pPr>
            <w:r>
              <w:rPr>
                <w:b/>
                <w:sz w:val="22"/>
              </w:rPr>
              <w:t>niveles de gobierno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81" w:val="left" w:leader="none"/>
                <w:tab w:pos="1958" w:val="left" w:leader="none"/>
              </w:tabs>
              <w:spacing w:line="242" w:lineRule="exact"/>
              <w:ind w:left="100"/>
              <w:rPr>
                <w:sz w:val="22"/>
              </w:rPr>
            </w:pPr>
            <w:r>
              <w:rPr>
                <w:sz w:val="22"/>
              </w:rPr>
              <w:t>con</w:t>
              <w:tab/>
              <w:t>programas</w:t>
              <w:tab/>
              <w:t>de</w:t>
            </w:r>
          </w:p>
        </w:tc>
        <w:tc>
          <w:tcPr>
            <w:tcW w:w="3901" w:type="dxa"/>
            <w:tcBorders>
              <w:top w:val="nil"/>
              <w:bottom w:val="nil"/>
            </w:tcBorders>
          </w:tcPr>
          <w:p>
            <w:pPr/>
          </w:p>
        </w:tc>
      </w:tr>
      <w:tr>
        <w:trPr>
          <w:trHeight w:val="502" w:hRule="exact"/>
        </w:trPr>
        <w:tc>
          <w:tcPr>
            <w:tcW w:w="1385" w:type="dxa"/>
            <w:tcBorders>
              <w:top w:val="nil"/>
            </w:tcBorders>
          </w:tcPr>
          <w:p>
            <w:pPr>
              <w:pStyle w:val="TableParagraph"/>
              <w:spacing w:line="241" w:lineRule="exact"/>
              <w:ind w:right="127"/>
              <w:rPr>
                <w:sz w:val="22"/>
              </w:rPr>
            </w:pPr>
            <w:r>
              <w:rPr>
                <w:sz w:val="22"/>
              </w:rPr>
              <w:t>(13/I/2015)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saneamiento.</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Ana María</w:t>
            </w:r>
          </w:p>
        </w:tc>
        <w:tc>
          <w:tcPr>
            <w:tcW w:w="1274" w:type="dxa"/>
            <w:tcBorders>
              <w:bottom w:val="nil"/>
            </w:tcBorders>
          </w:tcPr>
          <w:p>
            <w:pPr>
              <w:pStyle w:val="TableParagraph"/>
              <w:spacing w:line="251" w:lineRule="exact"/>
              <w:ind w:left="100" w:right="98"/>
              <w:rPr>
                <w:sz w:val="22"/>
              </w:rPr>
            </w:pPr>
            <w:r>
              <w:rPr>
                <w:sz w:val="22"/>
              </w:rPr>
              <w:t>Abogada</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Acambay</w:t>
            </w:r>
          </w:p>
        </w:tc>
        <w:tc>
          <w:tcPr>
            <w:tcW w:w="1174" w:type="dxa"/>
            <w:tcBorders>
              <w:bottom w:val="nil"/>
            </w:tcBorders>
          </w:tcPr>
          <w:p>
            <w:pPr>
              <w:pStyle w:val="TableParagraph"/>
              <w:spacing w:line="251" w:lineRule="exact"/>
              <w:rPr>
                <w:sz w:val="22"/>
              </w:rPr>
            </w:pPr>
            <w:r>
              <w:rPr>
                <w:sz w:val="22"/>
              </w:rPr>
              <w:t>Acambay</w:t>
            </w:r>
          </w:p>
        </w:tc>
        <w:tc>
          <w:tcPr>
            <w:tcW w:w="2314" w:type="dxa"/>
            <w:tcBorders>
              <w:bottom w:val="nil"/>
            </w:tcBorders>
          </w:tcPr>
          <w:p>
            <w:pPr/>
          </w:p>
        </w:tc>
        <w:tc>
          <w:tcPr>
            <w:tcW w:w="3901" w:type="dxa"/>
            <w:tcBorders>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Contreras</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Encargada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942" w:right="943"/>
              <w:jc w:val="center"/>
              <w:rPr>
                <w:sz w:val="22"/>
              </w:rPr>
            </w:pPr>
            <w:r>
              <w:rPr>
                <w:sz w:val="22"/>
              </w:rPr>
              <w:t>N/C</w:t>
            </w:r>
          </w:p>
        </w:tc>
        <w:tc>
          <w:tcPr>
            <w:tcW w:w="3901" w:type="dxa"/>
            <w:tcBorders>
              <w:top w:val="nil"/>
              <w:bottom w:val="nil"/>
            </w:tcBorders>
          </w:tcPr>
          <w:p>
            <w:pPr>
              <w:pStyle w:val="TableParagraph"/>
              <w:spacing w:line="241" w:lineRule="exact"/>
              <w:ind w:left="1736" w:right="1736"/>
              <w:jc w:val="center"/>
              <w:rPr>
                <w:sz w:val="22"/>
              </w:rPr>
            </w:pPr>
            <w:r>
              <w:rPr>
                <w:sz w:val="22"/>
              </w:rPr>
              <w:t>N/C</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Valdez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preservar,</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conservar 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(21/I/2014)</w:t>
            </w:r>
          </w:p>
        </w:tc>
        <w:tc>
          <w:tcPr>
            <w:tcW w:w="1274" w:type="dxa"/>
            <w:tcBorders>
              <w:top w:val="nil"/>
              <w:bottom w:val="nil"/>
            </w:tcBorders>
          </w:tcPr>
          <w:p>
            <w:pPr/>
          </w:p>
        </w:tc>
        <w:tc>
          <w:tcPr>
            <w:tcW w:w="1887" w:type="dxa"/>
            <w:tcBorders>
              <w:top w:val="nil"/>
              <w:bottom w:val="nil"/>
            </w:tcBorders>
          </w:tcPr>
          <w:p>
            <w:pPr>
              <w:pStyle w:val="TableParagraph"/>
              <w:spacing w:line="243" w:lineRule="exact"/>
              <w:rPr>
                <w:sz w:val="22"/>
              </w:rPr>
            </w:pPr>
            <w:r>
              <w:rPr>
                <w:sz w:val="22"/>
              </w:rPr>
              <w:t>restaurar el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medio ambiente</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Pedro</w:t>
            </w:r>
          </w:p>
        </w:tc>
        <w:tc>
          <w:tcPr>
            <w:tcW w:w="1274" w:type="dxa"/>
            <w:tcBorders>
              <w:bottom w:val="nil"/>
            </w:tcBorders>
          </w:tcPr>
          <w:p>
            <w:pPr>
              <w:pStyle w:val="TableParagraph"/>
              <w:ind w:left="100" w:right="98"/>
              <w:rPr>
                <w:sz w:val="22"/>
              </w:rPr>
            </w:pPr>
            <w:r>
              <w:rPr>
                <w:sz w:val="22"/>
              </w:rPr>
              <w:t>Médico</w:t>
            </w:r>
          </w:p>
        </w:tc>
        <w:tc>
          <w:tcPr>
            <w:tcW w:w="1887" w:type="dxa"/>
            <w:tcBorders>
              <w:bottom w:val="nil"/>
            </w:tcBorders>
          </w:tcPr>
          <w:p>
            <w:pPr>
              <w:pStyle w:val="TableParagraph"/>
              <w:rPr>
                <w:sz w:val="22"/>
              </w:rPr>
            </w:pPr>
            <w:r>
              <w:rPr>
                <w:sz w:val="22"/>
              </w:rPr>
              <w:t>Decimo Regidor.</w:t>
            </w:r>
          </w:p>
        </w:tc>
        <w:tc>
          <w:tcPr>
            <w:tcW w:w="1289" w:type="dxa"/>
            <w:tcBorders>
              <w:bottom w:val="nil"/>
            </w:tcBorders>
          </w:tcPr>
          <w:p>
            <w:pPr>
              <w:pStyle w:val="TableParagraph"/>
              <w:rPr>
                <w:sz w:val="22"/>
              </w:rPr>
            </w:pPr>
            <w:r>
              <w:rPr>
                <w:sz w:val="22"/>
              </w:rPr>
              <w:t>Villa</w:t>
            </w:r>
          </w:p>
        </w:tc>
        <w:tc>
          <w:tcPr>
            <w:tcW w:w="1174" w:type="dxa"/>
            <w:tcBorders>
              <w:bottom w:val="nil"/>
            </w:tcBorders>
          </w:tcPr>
          <w:p>
            <w:pPr>
              <w:pStyle w:val="TableParagraph"/>
              <w:rPr>
                <w:sz w:val="22"/>
              </w:rPr>
            </w:pPr>
            <w:r>
              <w:rPr>
                <w:sz w:val="22"/>
              </w:rPr>
              <w:t>Acambay</w:t>
            </w:r>
          </w:p>
        </w:tc>
        <w:tc>
          <w:tcPr>
            <w:tcW w:w="2314" w:type="dxa"/>
            <w:tcBorders>
              <w:bottom w:val="nil"/>
            </w:tcBorders>
          </w:tcPr>
          <w:p>
            <w:pPr>
              <w:pStyle w:val="TableParagraph"/>
              <w:tabs>
                <w:tab w:pos="1175" w:val="left" w:leader="none"/>
              </w:tabs>
              <w:ind w:left="100"/>
              <w:rPr>
                <w:sz w:val="22"/>
              </w:rPr>
            </w:pPr>
            <w:r>
              <w:rPr>
                <w:sz w:val="22"/>
              </w:rPr>
              <w:t>Estos</w:t>
              <w:tab/>
              <w:t>problemas</w:t>
            </w:r>
          </w:p>
        </w:tc>
        <w:tc>
          <w:tcPr>
            <w:tcW w:w="3901" w:type="dxa"/>
            <w:tcBorders>
              <w:bottom w:val="nil"/>
            </w:tcBorders>
          </w:tcPr>
          <w:p>
            <w:pPr>
              <w:pStyle w:val="TableParagraph"/>
              <w:rPr>
                <w:sz w:val="22"/>
              </w:rPr>
            </w:pPr>
            <w:r>
              <w:rPr>
                <w:sz w:val="22"/>
              </w:rPr>
              <w:t>Los de la Conagua y los de la CAEM.</w:t>
            </w:r>
          </w:p>
        </w:tc>
      </w:tr>
      <w:tr>
        <w:trPr>
          <w:trHeight w:val="251" w:hRule="exact"/>
        </w:trPr>
        <w:tc>
          <w:tcPr>
            <w:tcW w:w="1385" w:type="dxa"/>
            <w:tcBorders>
              <w:top w:val="nil"/>
              <w:bottom w:val="nil"/>
            </w:tcBorders>
          </w:tcPr>
          <w:p>
            <w:pPr>
              <w:pStyle w:val="TableParagraph"/>
              <w:spacing w:line="241" w:lineRule="exact"/>
              <w:ind w:right="127"/>
              <w:rPr>
                <w:sz w:val="22"/>
              </w:rPr>
            </w:pPr>
            <w:r>
              <w:rPr>
                <w:sz w:val="22"/>
              </w:rPr>
              <w:t>Carbajal</w:t>
            </w:r>
          </w:p>
        </w:tc>
        <w:tc>
          <w:tcPr>
            <w:tcW w:w="1274" w:type="dxa"/>
            <w:tcBorders>
              <w:top w:val="nil"/>
              <w:bottom w:val="nil"/>
            </w:tcBorders>
          </w:tcPr>
          <w:p>
            <w:pPr>
              <w:pStyle w:val="TableParagraph"/>
              <w:spacing w:line="241" w:lineRule="exact"/>
              <w:ind w:left="100" w:right="98"/>
              <w:rPr>
                <w:sz w:val="22"/>
              </w:rPr>
            </w:pPr>
            <w:r>
              <w:rPr>
                <w:sz w:val="22"/>
              </w:rPr>
              <w:t>General</w:t>
            </w:r>
          </w:p>
        </w:tc>
        <w:tc>
          <w:tcPr>
            <w:tcW w:w="1887" w:type="dxa"/>
            <w:tcBorders>
              <w:top w:val="nil"/>
              <w:bottom w:val="nil"/>
            </w:tcBorders>
          </w:tcPr>
          <w:p>
            <w:pPr>
              <w:pStyle w:val="TableParagraph"/>
              <w:tabs>
                <w:tab w:pos="1528" w:val="left" w:leader="none"/>
              </w:tabs>
              <w:spacing w:line="241" w:lineRule="exact"/>
              <w:rPr>
                <w:sz w:val="22"/>
              </w:rPr>
            </w:pPr>
            <w:r>
              <w:rPr>
                <w:sz w:val="22"/>
              </w:rPr>
              <w:t>Encargado</w:t>
              <w:tab/>
              <w:t>de</w:t>
            </w:r>
          </w:p>
        </w:tc>
        <w:tc>
          <w:tcPr>
            <w:tcW w:w="1289" w:type="dxa"/>
            <w:tcBorders>
              <w:top w:val="nil"/>
              <w:bottom w:val="nil"/>
            </w:tcBorders>
          </w:tcPr>
          <w:p>
            <w:pPr>
              <w:pStyle w:val="TableParagraph"/>
              <w:spacing w:line="241" w:lineRule="exact"/>
              <w:rPr>
                <w:sz w:val="22"/>
              </w:rPr>
            </w:pPr>
            <w:r>
              <w:rPr>
                <w:sz w:val="22"/>
              </w:rPr>
              <w:t>Victoria</w:t>
            </w:r>
          </w:p>
        </w:tc>
        <w:tc>
          <w:tcPr>
            <w:tcW w:w="1174" w:type="dxa"/>
            <w:tcBorders>
              <w:top w:val="nil"/>
              <w:bottom w:val="nil"/>
            </w:tcBorders>
          </w:tcPr>
          <w:p>
            <w:pPr>
              <w:pStyle w:val="TableParagraph"/>
              <w:spacing w:line="241" w:lineRule="exact"/>
              <w:rPr>
                <w:sz w:val="22"/>
              </w:rPr>
            </w:pPr>
            <w:r>
              <w:rPr>
                <w:sz w:val="22"/>
              </w:rPr>
              <w:t>desde</w:t>
            </w:r>
          </w:p>
        </w:tc>
        <w:tc>
          <w:tcPr>
            <w:tcW w:w="2314" w:type="dxa"/>
            <w:tcBorders>
              <w:top w:val="nil"/>
              <w:bottom w:val="nil"/>
            </w:tcBorders>
          </w:tcPr>
          <w:p>
            <w:pPr>
              <w:pStyle w:val="TableParagraph"/>
              <w:spacing w:line="241" w:lineRule="exact"/>
              <w:ind w:left="100"/>
              <w:rPr>
                <w:sz w:val="22"/>
              </w:rPr>
            </w:pPr>
            <w:r>
              <w:rPr>
                <w:sz w:val="22"/>
              </w:rPr>
              <w:t>podrían</w:t>
            </w:r>
            <w:r>
              <w:rPr>
                <w:spacing w:val="53"/>
                <w:sz w:val="22"/>
              </w:rPr>
              <w:t> </w:t>
            </w:r>
            <w:r>
              <w:rPr>
                <w:sz w:val="22"/>
              </w:rPr>
              <w:t>solucionarse</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Suárez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preservar,</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hace 32</w:t>
            </w:r>
          </w:p>
        </w:tc>
        <w:tc>
          <w:tcPr>
            <w:tcW w:w="2314" w:type="dxa"/>
            <w:tcBorders>
              <w:top w:val="nil"/>
              <w:bottom w:val="nil"/>
            </w:tcBorders>
          </w:tcPr>
          <w:p>
            <w:pPr>
              <w:pStyle w:val="TableParagraph"/>
              <w:spacing w:line="240" w:lineRule="exact"/>
              <w:ind w:left="100"/>
              <w:rPr>
                <w:b/>
                <w:sz w:val="22"/>
              </w:rPr>
            </w:pPr>
            <w:r>
              <w:rPr>
                <w:b/>
                <w:sz w:val="22"/>
              </w:rPr>
              <w:t>con  una educación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44" w:lineRule="exact"/>
              <w:rPr>
                <w:sz w:val="22"/>
              </w:rPr>
            </w:pPr>
            <w:r>
              <w:rPr>
                <w:sz w:val="22"/>
              </w:rPr>
              <w:t>conservar</w:t>
              <w:tab/>
              <w:t>y</w:t>
            </w:r>
          </w:p>
        </w:tc>
        <w:tc>
          <w:tcPr>
            <w:tcW w:w="1289" w:type="dxa"/>
            <w:tcBorders>
              <w:top w:val="nil"/>
              <w:bottom w:val="nil"/>
            </w:tcBorders>
          </w:tcPr>
          <w:p>
            <w:pPr/>
          </w:p>
        </w:tc>
        <w:tc>
          <w:tcPr>
            <w:tcW w:w="1174" w:type="dxa"/>
            <w:tcBorders>
              <w:top w:val="nil"/>
              <w:bottom w:val="nil"/>
            </w:tcBorders>
          </w:tcPr>
          <w:p>
            <w:pPr>
              <w:pStyle w:val="TableParagraph"/>
              <w:spacing w:line="244" w:lineRule="exact"/>
              <w:rPr>
                <w:sz w:val="22"/>
              </w:rPr>
            </w:pPr>
            <w:r>
              <w:rPr>
                <w:sz w:val="22"/>
              </w:rPr>
              <w:t>años</w:t>
            </w:r>
          </w:p>
        </w:tc>
        <w:tc>
          <w:tcPr>
            <w:tcW w:w="2314" w:type="dxa"/>
            <w:tcBorders>
              <w:top w:val="nil"/>
              <w:bottom w:val="nil"/>
            </w:tcBorders>
          </w:tcPr>
          <w:p>
            <w:pPr>
              <w:pStyle w:val="TableParagraph"/>
              <w:tabs>
                <w:tab w:pos="1636" w:val="left" w:leader="none"/>
              </w:tabs>
              <w:spacing w:line="241" w:lineRule="exact"/>
              <w:ind w:left="100"/>
              <w:rPr>
                <w:b/>
                <w:sz w:val="22"/>
              </w:rPr>
            </w:pPr>
            <w:r>
              <w:rPr>
                <w:b/>
                <w:sz w:val="22"/>
              </w:rPr>
              <w:t>preventiva</w:t>
              <w:tab/>
              <w:t>hacia</w:t>
            </w:r>
          </w:p>
        </w:tc>
        <w:tc>
          <w:tcPr>
            <w:tcW w:w="3901" w:type="dxa"/>
            <w:tcBorders>
              <w:top w:val="nil"/>
              <w:bottom w:val="nil"/>
            </w:tcBorders>
          </w:tcPr>
          <w:p>
            <w:pPr/>
          </w:p>
        </w:tc>
      </w:tr>
      <w:tr>
        <w:trPr>
          <w:trHeight w:val="254" w:hRule="exact"/>
        </w:trPr>
        <w:tc>
          <w:tcPr>
            <w:tcW w:w="1385" w:type="dxa"/>
            <w:tcBorders>
              <w:top w:val="nil"/>
              <w:bottom w:val="nil"/>
            </w:tcBorders>
          </w:tcPr>
          <w:p>
            <w:pPr>
              <w:pStyle w:val="TableParagraph"/>
              <w:spacing w:line="242" w:lineRule="exact"/>
              <w:ind w:left="155"/>
              <w:rPr>
                <w:sz w:val="22"/>
              </w:rPr>
            </w:pPr>
            <w:r>
              <w:rPr>
                <w:sz w:val="22"/>
              </w:rPr>
              <w:t>(21/I/2014)</w:t>
            </w:r>
          </w:p>
        </w:tc>
        <w:tc>
          <w:tcPr>
            <w:tcW w:w="1274" w:type="dxa"/>
            <w:tcBorders>
              <w:top w:val="nil"/>
              <w:bottom w:val="nil"/>
            </w:tcBorders>
          </w:tcPr>
          <w:p>
            <w:pPr/>
          </w:p>
        </w:tc>
        <w:tc>
          <w:tcPr>
            <w:tcW w:w="1887" w:type="dxa"/>
            <w:tcBorders>
              <w:top w:val="nil"/>
              <w:bottom w:val="nil"/>
            </w:tcBorders>
          </w:tcPr>
          <w:p>
            <w:pPr>
              <w:pStyle w:val="TableParagraph"/>
              <w:tabs>
                <w:tab w:pos="1602" w:val="left" w:leader="none"/>
              </w:tabs>
              <w:spacing w:line="242" w:lineRule="exact"/>
              <w:rPr>
                <w:sz w:val="22"/>
              </w:rPr>
            </w:pPr>
            <w:r>
              <w:rPr>
                <w:sz w:val="22"/>
              </w:rPr>
              <w:t>restaurar</w:t>
              <w:tab/>
              <w:t>el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0" w:lineRule="exact"/>
              <w:ind w:left="100"/>
              <w:rPr>
                <w:sz w:val="22"/>
              </w:rPr>
            </w:pPr>
            <w:r>
              <w:rPr>
                <w:b/>
                <w:sz w:val="22"/>
              </w:rPr>
              <w:t>los ciudadanos,</w:t>
            </w:r>
            <w:r>
              <w:rPr>
                <w:b/>
                <w:spacing w:val="55"/>
                <w:sz w:val="22"/>
              </w:rPr>
              <w:t> </w:t>
            </w:r>
            <w:r>
              <w:rPr>
                <w:sz w:val="22"/>
              </w:rPr>
              <w:t>por</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medio ambiente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lo   que   se  necesita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761" w:val="left" w:leader="none"/>
              </w:tabs>
              <w:spacing w:line="241" w:lineRule="exact"/>
              <w:ind w:left="100"/>
              <w:rPr>
                <w:sz w:val="22"/>
              </w:rPr>
            </w:pPr>
            <w:r>
              <w:rPr>
                <w:sz w:val="22"/>
              </w:rPr>
              <w:t>capacitarlos</w:t>
              <w:tab/>
              <w:t>para</w:t>
            </w:r>
          </w:p>
        </w:tc>
        <w:tc>
          <w:tcPr>
            <w:tcW w:w="3901" w:type="dxa"/>
            <w:tcBorders>
              <w:top w:val="nil"/>
              <w:bottom w:val="nil"/>
            </w:tcBorders>
          </w:tcPr>
          <w:p>
            <w:pP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274" w:val="left" w:leader="none"/>
                <w:tab w:pos="1919" w:val="left" w:leader="none"/>
              </w:tabs>
              <w:spacing w:line="241" w:lineRule="exact"/>
              <w:ind w:left="100"/>
              <w:rPr>
                <w:sz w:val="22"/>
              </w:rPr>
            </w:pPr>
            <w:r>
              <w:rPr>
                <w:sz w:val="22"/>
              </w:rPr>
              <w:t>hacerles</w:t>
              <w:tab/>
              <w:t>ver</w:t>
              <w:tab/>
              <w:t>los</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3" w:lineRule="exact"/>
              <w:ind w:left="100"/>
              <w:rPr>
                <w:sz w:val="22"/>
              </w:rPr>
            </w:pPr>
            <w:r>
              <w:rPr>
                <w:sz w:val="22"/>
              </w:rPr>
              <w:t>riesgos.</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Reynaldo</w:t>
            </w:r>
          </w:p>
        </w:tc>
        <w:tc>
          <w:tcPr>
            <w:tcW w:w="1274" w:type="dxa"/>
            <w:tcBorders>
              <w:bottom w:val="nil"/>
            </w:tcBorders>
          </w:tcPr>
          <w:p>
            <w:pPr/>
          </w:p>
        </w:tc>
        <w:tc>
          <w:tcPr>
            <w:tcW w:w="1887" w:type="dxa"/>
            <w:tcBorders>
              <w:bottom w:val="nil"/>
            </w:tcBorders>
          </w:tcPr>
          <w:p>
            <w:pPr>
              <w:pStyle w:val="TableParagraph"/>
              <w:tabs>
                <w:tab w:pos="1480" w:val="left" w:leader="none"/>
              </w:tabs>
              <w:spacing w:line="251" w:lineRule="exact"/>
              <w:rPr>
                <w:sz w:val="22"/>
              </w:rPr>
            </w:pPr>
            <w:r>
              <w:rPr>
                <w:sz w:val="22"/>
              </w:rPr>
              <w:t>Director</w:t>
              <w:tab/>
              <w:t>del</w:t>
            </w:r>
          </w:p>
        </w:tc>
        <w:tc>
          <w:tcPr>
            <w:tcW w:w="1289" w:type="dxa"/>
            <w:tcBorders>
              <w:bottom w:val="nil"/>
            </w:tcBorders>
          </w:tcPr>
          <w:p>
            <w:pPr>
              <w:pStyle w:val="TableParagraph"/>
              <w:spacing w:line="251" w:lineRule="exact"/>
              <w:rPr>
                <w:sz w:val="22"/>
              </w:rPr>
            </w:pPr>
            <w:r>
              <w:rPr>
                <w:sz w:val="22"/>
              </w:rPr>
              <w:t>Las</w:t>
            </w:r>
          </w:p>
        </w:tc>
        <w:tc>
          <w:tcPr>
            <w:tcW w:w="1174" w:type="dxa"/>
            <w:tcBorders>
              <w:bottom w:val="nil"/>
            </w:tcBorders>
          </w:tcPr>
          <w:p>
            <w:pPr>
              <w:pStyle w:val="TableParagraph"/>
              <w:spacing w:line="251" w:lineRule="exact"/>
              <w:rPr>
                <w:sz w:val="22"/>
              </w:rPr>
            </w:pPr>
            <w:r>
              <w:rPr>
                <w:sz w:val="22"/>
              </w:rPr>
              <w:t>Las</w:t>
            </w:r>
          </w:p>
        </w:tc>
        <w:tc>
          <w:tcPr>
            <w:tcW w:w="2314" w:type="dxa"/>
            <w:tcBorders>
              <w:bottom w:val="nil"/>
            </w:tcBorders>
          </w:tcPr>
          <w:p>
            <w:pPr>
              <w:pStyle w:val="TableParagraph"/>
              <w:tabs>
                <w:tab w:pos="1175" w:val="left" w:leader="none"/>
              </w:tabs>
              <w:spacing w:line="251" w:lineRule="exact"/>
              <w:ind w:left="100"/>
              <w:rPr>
                <w:sz w:val="22"/>
              </w:rPr>
            </w:pPr>
            <w:r>
              <w:rPr>
                <w:sz w:val="22"/>
              </w:rPr>
              <w:t>Estos</w:t>
              <w:tab/>
              <w:t>problemas</w:t>
            </w:r>
          </w:p>
        </w:tc>
        <w:tc>
          <w:tcPr>
            <w:tcW w:w="3901" w:type="dxa"/>
            <w:tcBorders>
              <w:bottom w:val="nil"/>
            </w:tcBorders>
          </w:tcPr>
          <w:p>
            <w:pPr>
              <w:pStyle w:val="TableParagraph"/>
              <w:spacing w:line="251" w:lineRule="exact"/>
              <w:rPr>
                <w:sz w:val="22"/>
              </w:rPr>
            </w:pPr>
            <w:r>
              <w:rPr>
                <w:sz w:val="22"/>
              </w:rPr>
              <w:t>Nosotros como comunidad aledaña a</w:t>
            </w:r>
          </w:p>
        </w:tc>
      </w:tr>
      <w:tr>
        <w:trPr>
          <w:trHeight w:val="252" w:hRule="exact"/>
        </w:trPr>
        <w:tc>
          <w:tcPr>
            <w:tcW w:w="1385" w:type="dxa"/>
            <w:tcBorders>
              <w:top w:val="nil"/>
              <w:bottom w:val="nil"/>
            </w:tcBorders>
          </w:tcPr>
          <w:p>
            <w:pPr>
              <w:pStyle w:val="TableParagraph"/>
              <w:spacing w:line="242" w:lineRule="exact"/>
              <w:ind w:right="127"/>
              <w:rPr>
                <w:sz w:val="22"/>
              </w:rPr>
            </w:pPr>
            <w:r>
              <w:rPr>
                <w:sz w:val="22"/>
              </w:rPr>
              <w:t>Sandoval</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spacing w:line="242" w:lineRule="exact"/>
              <w:rPr>
                <w:sz w:val="22"/>
              </w:rPr>
            </w:pPr>
            <w:r>
              <w:rPr>
                <w:sz w:val="22"/>
              </w:rPr>
              <w:t>Medio  Ambiente</w:t>
            </w:r>
          </w:p>
        </w:tc>
        <w:tc>
          <w:tcPr>
            <w:tcW w:w="1289" w:type="dxa"/>
            <w:tcBorders>
              <w:top w:val="nil"/>
              <w:bottom w:val="nil"/>
            </w:tcBorders>
          </w:tcPr>
          <w:p>
            <w:pPr>
              <w:pStyle w:val="TableParagraph"/>
              <w:spacing w:line="242" w:lineRule="exact"/>
              <w:rPr>
                <w:sz w:val="22"/>
              </w:rPr>
            </w:pPr>
            <w:r>
              <w:rPr>
                <w:sz w:val="22"/>
              </w:rPr>
              <w:t>Arenas,</w:t>
            </w:r>
          </w:p>
        </w:tc>
        <w:tc>
          <w:tcPr>
            <w:tcW w:w="1174" w:type="dxa"/>
            <w:tcBorders>
              <w:top w:val="nil"/>
              <w:bottom w:val="nil"/>
            </w:tcBorders>
          </w:tcPr>
          <w:p>
            <w:pPr>
              <w:pStyle w:val="TableParagraph"/>
              <w:spacing w:line="242" w:lineRule="exact"/>
              <w:rPr>
                <w:sz w:val="22"/>
              </w:rPr>
            </w:pPr>
            <w:r>
              <w:rPr>
                <w:sz w:val="22"/>
              </w:rPr>
              <w:t>Arenas,</w:t>
            </w:r>
          </w:p>
        </w:tc>
        <w:tc>
          <w:tcPr>
            <w:tcW w:w="2314" w:type="dxa"/>
            <w:tcBorders>
              <w:top w:val="nil"/>
              <w:bottom w:val="nil"/>
            </w:tcBorders>
          </w:tcPr>
          <w:p>
            <w:pPr>
              <w:pStyle w:val="TableParagraph"/>
              <w:spacing w:line="242" w:lineRule="exact"/>
              <w:ind w:left="100"/>
              <w:rPr>
                <w:sz w:val="22"/>
              </w:rPr>
            </w:pPr>
            <w:r>
              <w:rPr>
                <w:sz w:val="22"/>
              </w:rPr>
              <w:t>pudieran</w:t>
            </w:r>
          </w:p>
        </w:tc>
        <w:tc>
          <w:tcPr>
            <w:tcW w:w="3901" w:type="dxa"/>
            <w:tcBorders>
              <w:top w:val="nil"/>
              <w:bottom w:val="nil"/>
            </w:tcBorders>
          </w:tcPr>
          <w:p>
            <w:pPr>
              <w:pStyle w:val="TableParagraph"/>
              <w:spacing w:line="242" w:lineRule="exact"/>
              <w:rPr>
                <w:sz w:val="22"/>
              </w:rPr>
            </w:pPr>
            <w:r>
              <w:rPr>
                <w:sz w:val="22"/>
              </w:rPr>
              <w:t>la laguna y como autoridad.</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en Acambay</w:t>
            </w:r>
          </w:p>
        </w:tc>
        <w:tc>
          <w:tcPr>
            <w:tcW w:w="1289" w:type="dxa"/>
            <w:tcBorders>
              <w:top w:val="nil"/>
              <w:bottom w:val="nil"/>
            </w:tcBorders>
          </w:tcPr>
          <w:p>
            <w:pPr>
              <w:pStyle w:val="TableParagraph"/>
              <w:spacing w:line="242" w:lineRule="exact"/>
              <w:rPr>
                <w:sz w:val="22"/>
              </w:rPr>
            </w:pPr>
            <w:r>
              <w:rPr>
                <w:sz w:val="22"/>
              </w:rPr>
              <w:t>Acambay</w:t>
            </w:r>
          </w:p>
        </w:tc>
        <w:tc>
          <w:tcPr>
            <w:tcW w:w="1174" w:type="dxa"/>
            <w:tcBorders>
              <w:top w:val="nil"/>
              <w:bottom w:val="nil"/>
            </w:tcBorders>
          </w:tcPr>
          <w:p>
            <w:pPr>
              <w:pStyle w:val="TableParagraph"/>
              <w:spacing w:line="242" w:lineRule="exact"/>
              <w:rPr>
                <w:sz w:val="22"/>
              </w:rPr>
            </w:pPr>
            <w:r>
              <w:rPr>
                <w:sz w:val="22"/>
              </w:rPr>
              <w:t>Acambay</w:t>
            </w:r>
          </w:p>
        </w:tc>
        <w:tc>
          <w:tcPr>
            <w:tcW w:w="2314" w:type="dxa"/>
            <w:tcBorders>
              <w:top w:val="nil"/>
              <w:bottom w:val="nil"/>
            </w:tcBorders>
          </w:tcPr>
          <w:p>
            <w:pPr>
              <w:pStyle w:val="TableParagraph"/>
              <w:tabs>
                <w:tab w:pos="1812" w:val="left" w:leader="none"/>
              </w:tabs>
              <w:spacing w:line="240" w:lineRule="exact"/>
              <w:ind w:left="100"/>
              <w:rPr>
                <w:b/>
                <w:sz w:val="22"/>
              </w:rPr>
            </w:pPr>
            <w:r>
              <w:rPr>
                <w:sz w:val="22"/>
              </w:rPr>
              <w:t>solucionarse</w:t>
              <w:tab/>
            </w:r>
            <w:r>
              <w:rPr>
                <w:b/>
                <w:sz w:val="22"/>
              </w:rPr>
              <w:t>con</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614" w:val="left" w:leader="none"/>
              </w:tabs>
              <w:spacing w:line="241" w:lineRule="exact"/>
              <w:ind w:left="100"/>
              <w:rPr>
                <w:b/>
                <w:sz w:val="22"/>
              </w:rPr>
            </w:pPr>
            <w:r>
              <w:rPr>
                <w:b/>
                <w:sz w:val="22"/>
              </w:rPr>
              <w:t>nosotros</w:t>
              <w:tab/>
              <w:t>como</w:t>
            </w:r>
          </w:p>
        </w:tc>
        <w:tc>
          <w:tcPr>
            <w:tcW w:w="3901" w:type="dxa"/>
            <w:tcBorders>
              <w:top w:val="nil"/>
              <w:bottom w:val="nil"/>
            </w:tcBorders>
          </w:tcPr>
          <w:p>
            <w:pPr/>
          </w:p>
        </w:tc>
      </w:tr>
      <w:tr>
        <w:trPr>
          <w:trHeight w:val="252"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b/>
                <w:sz w:val="22"/>
              </w:rPr>
            </w:pPr>
            <w:r>
              <w:rPr>
                <w:b/>
                <w:sz w:val="22"/>
              </w:rPr>
              <w:t>comunidad aledaña</w:t>
            </w:r>
          </w:p>
        </w:tc>
        <w:tc>
          <w:tcPr>
            <w:tcW w:w="3901" w:type="dxa"/>
            <w:tcBorders>
              <w:top w:val="nil"/>
            </w:tcBorders>
          </w:tcPr>
          <w:p>
            <w:pPr/>
          </w:p>
        </w:tc>
      </w:tr>
    </w:tbl>
    <w:p>
      <w:pPr>
        <w:spacing w:after="0"/>
        <w:sectPr>
          <w:pgSz w:w="15840" w:h="12240" w:orient="landscape"/>
          <w:pgMar w:header="0" w:footer="94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4563" w:hRule="exact"/>
        </w:trPr>
        <w:tc>
          <w:tcPr>
            <w:tcW w:w="1385" w:type="dxa"/>
          </w:tcPr>
          <w:p>
            <w:pPr>
              <w:pStyle w:val="TableParagraph"/>
              <w:spacing w:line="251" w:lineRule="exact"/>
              <w:ind w:left="155"/>
              <w:rPr>
                <w:sz w:val="22"/>
              </w:rPr>
            </w:pPr>
            <w:r>
              <w:rPr>
                <w:sz w:val="22"/>
              </w:rPr>
              <w:t>(21/I/2014)</w:t>
            </w: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tabs>
                <w:tab w:pos="736" w:val="left" w:leader="none"/>
                <w:tab w:pos="1429" w:val="left" w:leader="none"/>
                <w:tab w:pos="1491" w:val="left" w:leader="none"/>
              </w:tabs>
              <w:spacing w:line="242" w:lineRule="auto"/>
              <w:ind w:left="100" w:right="99"/>
              <w:rPr>
                <w:sz w:val="22"/>
              </w:rPr>
            </w:pPr>
            <w:r>
              <w:rPr>
                <w:b/>
                <w:sz w:val="22"/>
              </w:rPr>
              <w:t>a</w:t>
              <w:tab/>
              <w:t>la</w:t>
              <w:tab/>
              <w:t>laguna, </w:t>
            </w:r>
            <w:r>
              <w:rPr>
                <w:sz w:val="22"/>
              </w:rPr>
              <w:t>debiéramos gestionar</w:t>
              <w:tab/>
              <w:tab/>
              <w:t>plantas</w:t>
            </w:r>
          </w:p>
          <w:p>
            <w:pPr>
              <w:pStyle w:val="TableParagraph"/>
              <w:tabs>
                <w:tab w:pos="1760" w:val="left" w:leader="none"/>
              </w:tabs>
              <w:ind w:left="100" w:right="99"/>
              <w:jc w:val="both"/>
              <w:rPr>
                <w:sz w:val="22"/>
              </w:rPr>
            </w:pPr>
            <w:r>
              <w:rPr>
                <w:sz w:val="22"/>
              </w:rPr>
              <w:t>tratadoras</w:t>
              <w:tab/>
              <w:t>para después verter el agua en milpas de sembradío.</w:t>
            </w:r>
          </w:p>
          <w:p>
            <w:pPr>
              <w:pStyle w:val="TableParagraph"/>
              <w:spacing w:before="10"/>
              <w:ind w:left="0"/>
              <w:rPr>
                <w:b/>
                <w:sz w:val="21"/>
              </w:rPr>
            </w:pPr>
          </w:p>
          <w:p>
            <w:pPr>
              <w:pStyle w:val="TableParagraph"/>
              <w:tabs>
                <w:tab w:pos="2030" w:val="left" w:leader="none"/>
              </w:tabs>
              <w:ind w:left="100" w:right="98"/>
              <w:jc w:val="both"/>
              <w:rPr>
                <w:sz w:val="22"/>
              </w:rPr>
            </w:pPr>
            <w:r>
              <w:rPr>
                <w:sz w:val="22"/>
              </w:rPr>
              <w:t>Además, </w:t>
            </w:r>
            <w:r>
              <w:rPr>
                <w:b/>
                <w:sz w:val="22"/>
              </w:rPr>
              <w:t>nosotros como autoridad </w:t>
            </w:r>
            <w:r>
              <w:rPr>
                <w:sz w:val="22"/>
              </w:rPr>
              <w:t>tenemos</w:t>
              <w:tab/>
              <w:t>la</w:t>
            </w:r>
          </w:p>
          <w:p>
            <w:pPr>
              <w:pStyle w:val="TableParagraph"/>
              <w:ind w:left="100" w:right="98"/>
              <w:jc w:val="both"/>
              <w:rPr>
                <w:sz w:val="22"/>
              </w:rPr>
            </w:pPr>
            <w:r>
              <w:rPr>
                <w:sz w:val="22"/>
              </w:rPr>
              <w:t>responsabilidad de hacerlo para cuidar  el medio ambiente y donde tengamos que poner nuestros ojos, ahí actuar y hacerlo ya.</w:t>
            </w:r>
          </w:p>
        </w:tc>
        <w:tc>
          <w:tcPr>
            <w:tcW w:w="3901" w:type="dxa"/>
          </w:tcPr>
          <w:p>
            <w:pPr/>
          </w:p>
        </w:tc>
      </w:tr>
      <w:tr>
        <w:trPr>
          <w:trHeight w:val="1529" w:hRule="exact"/>
        </w:trPr>
        <w:tc>
          <w:tcPr>
            <w:tcW w:w="1385" w:type="dxa"/>
          </w:tcPr>
          <w:p>
            <w:pPr>
              <w:pStyle w:val="TableParagraph"/>
              <w:ind w:right="188"/>
              <w:rPr>
                <w:sz w:val="22"/>
              </w:rPr>
            </w:pPr>
            <w:r>
              <w:rPr>
                <w:sz w:val="22"/>
              </w:rPr>
              <w:t>Juan Carlos Sámano Díaz (27/I/2015)</w:t>
            </w:r>
          </w:p>
        </w:tc>
        <w:tc>
          <w:tcPr>
            <w:tcW w:w="1274" w:type="dxa"/>
          </w:tcPr>
          <w:p>
            <w:pPr>
              <w:pStyle w:val="TableParagraph"/>
              <w:ind w:left="100" w:right="105"/>
              <w:rPr>
                <w:sz w:val="22"/>
              </w:rPr>
            </w:pPr>
            <w:r>
              <w:rPr>
                <w:sz w:val="22"/>
              </w:rPr>
              <w:t>Preparator ia</w:t>
            </w:r>
          </w:p>
        </w:tc>
        <w:tc>
          <w:tcPr>
            <w:tcW w:w="1887" w:type="dxa"/>
          </w:tcPr>
          <w:p>
            <w:pPr>
              <w:pStyle w:val="TableParagraph"/>
              <w:ind w:right="445"/>
              <w:rPr>
                <w:sz w:val="22"/>
              </w:rPr>
            </w:pPr>
            <w:r>
              <w:rPr>
                <w:sz w:val="22"/>
              </w:rPr>
              <w:t>Director de Desarrollo Agropecuario</w:t>
            </w:r>
          </w:p>
        </w:tc>
        <w:tc>
          <w:tcPr>
            <w:tcW w:w="1289" w:type="dxa"/>
          </w:tcPr>
          <w:p>
            <w:pPr>
              <w:pStyle w:val="TableParagraph"/>
              <w:ind w:right="239"/>
              <w:rPr>
                <w:sz w:val="22"/>
              </w:rPr>
            </w:pPr>
            <w:r>
              <w:rPr>
                <w:sz w:val="22"/>
              </w:rPr>
              <w:t>Pathé, Acambay</w:t>
            </w:r>
          </w:p>
        </w:tc>
        <w:tc>
          <w:tcPr>
            <w:tcW w:w="1174" w:type="dxa"/>
          </w:tcPr>
          <w:p>
            <w:pPr>
              <w:pStyle w:val="TableParagraph"/>
              <w:ind w:right="123"/>
              <w:rPr>
                <w:sz w:val="22"/>
              </w:rPr>
            </w:pPr>
            <w:r>
              <w:rPr>
                <w:sz w:val="22"/>
              </w:rPr>
              <w:t>Pathé, Acambay</w:t>
            </w:r>
          </w:p>
        </w:tc>
        <w:tc>
          <w:tcPr>
            <w:tcW w:w="2314" w:type="dxa"/>
          </w:tcPr>
          <w:p>
            <w:pPr>
              <w:pStyle w:val="TableParagraph"/>
              <w:ind w:left="100" w:right="99"/>
              <w:jc w:val="both"/>
              <w:rPr>
                <w:sz w:val="22"/>
              </w:rPr>
            </w:pPr>
            <w:r>
              <w:rPr>
                <w:sz w:val="22"/>
              </w:rPr>
              <w:t>Con la construcción de infraestructura para su tratamiento del agua y evitar las descargas a la laguna.</w:t>
            </w:r>
          </w:p>
        </w:tc>
        <w:tc>
          <w:tcPr>
            <w:tcW w:w="3901" w:type="dxa"/>
          </w:tcPr>
          <w:p>
            <w:pPr>
              <w:pStyle w:val="TableParagraph"/>
              <w:ind w:right="102"/>
              <w:jc w:val="both"/>
              <w:rPr>
                <w:sz w:val="22"/>
              </w:rPr>
            </w:pPr>
            <w:r>
              <w:rPr>
                <w:sz w:val="22"/>
              </w:rPr>
              <w:t>Tanto el gobierno local, estatal, federal y por supuesto la participación de la población en general, es decir, converger</w:t>
            </w:r>
            <w:r>
              <w:rPr>
                <w:spacing w:val="-6"/>
                <w:sz w:val="22"/>
              </w:rPr>
              <w:t> </w:t>
            </w:r>
            <w:r>
              <w:rPr>
                <w:sz w:val="22"/>
              </w:rPr>
              <w:t>todos.</w:t>
            </w:r>
          </w:p>
        </w:tc>
      </w:tr>
      <w:tr>
        <w:trPr>
          <w:trHeight w:val="2033" w:hRule="exact"/>
        </w:trPr>
        <w:tc>
          <w:tcPr>
            <w:tcW w:w="1385" w:type="dxa"/>
          </w:tcPr>
          <w:p>
            <w:pPr>
              <w:pStyle w:val="TableParagraph"/>
              <w:ind w:right="127"/>
              <w:rPr>
                <w:sz w:val="22"/>
              </w:rPr>
            </w:pPr>
            <w:r>
              <w:rPr>
                <w:sz w:val="22"/>
              </w:rPr>
              <w:t>Adán Sámano Peralta</w:t>
            </w:r>
          </w:p>
          <w:p>
            <w:pPr>
              <w:pStyle w:val="TableParagraph"/>
              <w:spacing w:before="1"/>
              <w:ind w:left="0"/>
              <w:rPr>
                <w:b/>
                <w:sz w:val="22"/>
              </w:rPr>
            </w:pPr>
          </w:p>
          <w:p>
            <w:pPr>
              <w:pStyle w:val="TableParagraph"/>
              <w:ind w:right="127"/>
              <w:rPr>
                <w:sz w:val="22"/>
              </w:rPr>
            </w:pPr>
            <w:r>
              <w:rPr>
                <w:sz w:val="22"/>
              </w:rPr>
              <w:t>(27/I/2015)</w:t>
            </w:r>
          </w:p>
        </w:tc>
        <w:tc>
          <w:tcPr>
            <w:tcW w:w="1274" w:type="dxa"/>
          </w:tcPr>
          <w:p>
            <w:pPr>
              <w:pStyle w:val="TableParagraph"/>
              <w:spacing w:before="8"/>
              <w:ind w:left="0"/>
              <w:rPr>
                <w:b/>
                <w:sz w:val="21"/>
              </w:rPr>
            </w:pPr>
          </w:p>
          <w:p>
            <w:pPr>
              <w:pStyle w:val="TableParagraph"/>
              <w:ind w:left="104" w:right="105"/>
              <w:jc w:val="center"/>
              <w:rPr>
                <w:sz w:val="22"/>
              </w:rPr>
            </w:pPr>
            <w:r>
              <w:rPr>
                <w:sz w:val="22"/>
              </w:rPr>
              <w:t>S/D</w:t>
            </w:r>
          </w:p>
        </w:tc>
        <w:tc>
          <w:tcPr>
            <w:tcW w:w="1887" w:type="dxa"/>
          </w:tcPr>
          <w:p>
            <w:pPr>
              <w:pStyle w:val="TableParagraph"/>
              <w:tabs>
                <w:tab w:pos="1527" w:val="left" w:leader="none"/>
              </w:tabs>
              <w:spacing w:line="250" w:lineRule="exact"/>
              <w:rPr>
                <w:sz w:val="22"/>
              </w:rPr>
            </w:pPr>
            <w:r>
              <w:rPr>
                <w:sz w:val="22"/>
              </w:rPr>
              <w:t>Director</w:t>
              <w:tab/>
              <w:t>de</w:t>
            </w:r>
          </w:p>
          <w:p>
            <w:pPr>
              <w:pStyle w:val="TableParagraph"/>
              <w:tabs>
                <w:tab w:pos="1665" w:val="left" w:leader="none"/>
              </w:tabs>
              <w:ind w:right="99"/>
              <w:rPr>
                <w:sz w:val="22"/>
              </w:rPr>
            </w:pPr>
            <w:r>
              <w:rPr>
                <w:sz w:val="22"/>
              </w:rPr>
              <w:t>Turismo</w:t>
              <w:tab/>
              <w:t>y Fomento Económico</w:t>
            </w:r>
          </w:p>
        </w:tc>
        <w:tc>
          <w:tcPr>
            <w:tcW w:w="1289" w:type="dxa"/>
          </w:tcPr>
          <w:p>
            <w:pPr>
              <w:pStyle w:val="TableParagraph"/>
              <w:spacing w:line="252" w:lineRule="exact" w:before="2"/>
              <w:ind w:right="190"/>
              <w:rPr>
                <w:sz w:val="22"/>
              </w:rPr>
            </w:pPr>
            <w:r>
              <w:rPr>
                <w:sz w:val="22"/>
              </w:rPr>
              <w:t>Atlacomul co</w:t>
            </w:r>
          </w:p>
        </w:tc>
        <w:tc>
          <w:tcPr>
            <w:tcW w:w="1174" w:type="dxa"/>
          </w:tcPr>
          <w:p>
            <w:pPr>
              <w:pStyle w:val="TableParagraph"/>
              <w:spacing w:line="252" w:lineRule="exact" w:before="2"/>
              <w:ind w:right="123"/>
              <w:rPr>
                <w:sz w:val="22"/>
              </w:rPr>
            </w:pPr>
            <w:r>
              <w:rPr>
                <w:sz w:val="22"/>
              </w:rPr>
              <w:t>Pathé, Acambay</w:t>
            </w:r>
          </w:p>
        </w:tc>
        <w:tc>
          <w:tcPr>
            <w:tcW w:w="2314" w:type="dxa"/>
          </w:tcPr>
          <w:p>
            <w:pPr>
              <w:pStyle w:val="TableParagraph"/>
              <w:tabs>
                <w:tab w:pos="741" w:val="left" w:leader="none"/>
                <w:tab w:pos="1050" w:val="left" w:leader="none"/>
                <w:tab w:pos="1199" w:val="left" w:leader="none"/>
                <w:tab w:pos="1919" w:val="left" w:leader="none"/>
                <w:tab w:pos="2029" w:val="left" w:leader="none"/>
              </w:tabs>
              <w:ind w:left="100" w:right="99"/>
              <w:rPr>
                <w:sz w:val="22"/>
              </w:rPr>
            </w:pPr>
            <w:r>
              <w:rPr>
                <w:sz w:val="22"/>
              </w:rPr>
              <w:t>Que</w:t>
              <w:tab/>
              <w:t>se</w:t>
              <w:tab/>
              <w:tab/>
            </w:r>
            <w:r>
              <w:rPr>
                <w:spacing w:val="-1"/>
                <w:sz w:val="22"/>
              </w:rPr>
              <w:t>involucren </w:t>
            </w:r>
            <w:r>
              <w:rPr>
                <w:sz w:val="22"/>
              </w:rPr>
              <w:t>las</w:t>
              <w:tab/>
              <w:tab/>
              <w:t>autoridades auxiliares,</w:t>
              <w:tab/>
              <w:tab/>
              <w:t>los delegados, comisariados ejidales,</w:t>
              <w:tab/>
              <w:tab/>
              <w:tab/>
              <w:tab/>
              <w:t>la</w:t>
            </w:r>
          </w:p>
          <w:p>
            <w:pPr>
              <w:pStyle w:val="TableParagraph"/>
              <w:ind w:left="100" w:right="102"/>
              <w:rPr>
                <w:sz w:val="22"/>
              </w:rPr>
            </w:pPr>
            <w:r>
              <w:rPr>
                <w:sz w:val="22"/>
              </w:rPr>
              <w:t>asociación de pesca y el</w:t>
            </w:r>
            <w:r>
              <w:rPr>
                <w:spacing w:val="-4"/>
                <w:sz w:val="22"/>
              </w:rPr>
              <w:t> </w:t>
            </w:r>
            <w:r>
              <w:rPr>
                <w:sz w:val="22"/>
              </w:rPr>
              <w:t>Ayuntamiento.</w:t>
            </w:r>
          </w:p>
        </w:tc>
        <w:tc>
          <w:tcPr>
            <w:tcW w:w="3901" w:type="dxa"/>
          </w:tcPr>
          <w:p>
            <w:pPr>
              <w:pStyle w:val="TableParagraph"/>
              <w:spacing w:line="252" w:lineRule="exact" w:before="2"/>
              <w:ind w:right="478"/>
              <w:rPr>
                <w:sz w:val="22"/>
              </w:rPr>
            </w:pPr>
            <w:r>
              <w:rPr>
                <w:sz w:val="22"/>
              </w:rPr>
              <w:t>Involucrarse todos con las autoridades estatales y federales.</w:t>
            </w: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pgSz w:w="15840" w:h="12240" w:orient="landscape"/>
          <w:pgMar w:header="0" w:footer="943" w:top="1140" w:bottom="1200" w:left="1200" w:right="1180"/>
        </w:sectPr>
      </w:pPr>
    </w:p>
    <w:p>
      <w:pPr>
        <w:pStyle w:val="BodyText"/>
        <w:rPr>
          <w:sz w:val="20"/>
        </w:rPr>
      </w:pPr>
    </w:p>
    <w:p>
      <w:pPr>
        <w:pStyle w:val="BodyText"/>
        <w:spacing w:before="1"/>
      </w:pPr>
    </w:p>
    <w:p>
      <w:pPr>
        <w:pStyle w:val="Heading6"/>
        <w:spacing w:before="73" w:after="4"/>
        <w:ind w:left="2294" w:right="778"/>
      </w:pPr>
      <w:r>
        <w:rPr/>
        <w:t>Tabla 6.9. Municipio de Acambay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2" w:hRule="exact"/>
        </w:trPr>
        <w:tc>
          <w:tcPr>
            <w:tcW w:w="13224" w:type="dxa"/>
            <w:gridSpan w:val="7"/>
            <w:shd w:val="clear" w:color="auto" w:fill="9BBA58"/>
          </w:tcPr>
          <w:p>
            <w:pPr>
              <w:pStyle w:val="TableParagraph"/>
              <w:spacing w:line="248" w:lineRule="exact"/>
              <w:ind w:left="4867" w:right="4870"/>
              <w:jc w:val="center"/>
              <w:rPr>
                <w:b/>
                <w:sz w:val="22"/>
              </w:rPr>
            </w:pPr>
            <w:r>
              <w:rPr>
                <w:b/>
                <w:sz w:val="22"/>
              </w:rPr>
              <w:t>ACAMBAY</w:t>
            </w:r>
          </w:p>
        </w:tc>
      </w:tr>
      <w:tr>
        <w:trPr>
          <w:trHeight w:val="524" w:hRule="exact"/>
        </w:trPr>
        <w:tc>
          <w:tcPr>
            <w:tcW w:w="4547" w:type="dxa"/>
            <w:gridSpan w:val="3"/>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4"/>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264"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Autogestión</w:t>
            </w:r>
          </w:p>
        </w:tc>
        <w:tc>
          <w:tcPr>
            <w:tcW w:w="3901" w:type="dxa"/>
            <w:shd w:val="clear" w:color="auto" w:fill="92CDDC"/>
          </w:tcPr>
          <w:p>
            <w:pPr>
              <w:pStyle w:val="TableParagraph"/>
              <w:spacing w:line="251" w:lineRule="exact"/>
              <w:rPr>
                <w:b/>
                <w:i/>
                <w:sz w:val="22"/>
              </w:rPr>
            </w:pPr>
            <w:r>
              <w:rPr>
                <w:b/>
                <w:i/>
                <w:sz w:val="22"/>
              </w:rPr>
              <w:t>Gobernabilidad</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spacing w:line="248" w:lineRule="exact"/>
              <w:ind w:left="100"/>
              <w:rPr>
                <w:b/>
                <w:sz w:val="22"/>
              </w:rPr>
            </w:pPr>
            <w:r>
              <w:rPr>
                <w:b/>
                <w:sz w:val="22"/>
              </w:rPr>
              <w:t>¿Es   importante   la</w:t>
            </w:r>
          </w:p>
        </w:tc>
        <w:tc>
          <w:tcPr>
            <w:tcW w:w="3901" w:type="dxa"/>
            <w:tcBorders>
              <w:bottom w:val="nil"/>
            </w:tcBorders>
            <w:shd w:val="clear" w:color="auto" w:fill="92CDDC"/>
          </w:tcPr>
          <w:p>
            <w:pPr>
              <w:pStyle w:val="TableParagraph"/>
              <w:spacing w:line="248" w:lineRule="exact"/>
              <w:rPr>
                <w:b/>
                <w:sz w:val="22"/>
              </w:rPr>
            </w:pPr>
            <w:r>
              <w:rPr>
                <w:b/>
                <w:sz w:val="22"/>
              </w:rPr>
              <w:t>¿Quiénes y para qué usan el agua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1945" w:val="left" w:leader="none"/>
              </w:tabs>
              <w:spacing w:line="241"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1" w:lineRule="exact"/>
              <w:rPr>
                <w:b/>
                <w:sz w:val="22"/>
              </w:rPr>
            </w:pPr>
            <w:r>
              <w:rPr>
                <w:b/>
                <w:sz w:val="22"/>
              </w:rPr>
              <w:t>de la laguna de Huapango?</w:t>
            </w:r>
          </w:p>
        </w:tc>
      </w:tr>
      <w:tr>
        <w:trPr>
          <w:trHeight w:val="254"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2" w:lineRule="exact"/>
              <w:ind w:left="100"/>
              <w:rPr>
                <w:b/>
                <w:sz w:val="22"/>
              </w:rPr>
            </w:pPr>
            <w:r>
              <w:rPr>
                <w:b/>
                <w:sz w:val="22"/>
              </w:rPr>
              <w:t>Huapango  para </w:t>
            </w:r>
            <w:r>
              <w:rPr>
                <w:b/>
                <w:spacing w:val="55"/>
                <w:sz w:val="22"/>
              </w:rPr>
              <w:t> </w:t>
            </w:r>
            <w:r>
              <w:rPr>
                <w:b/>
                <w:sz w:val="22"/>
              </w:rPr>
              <w:t>su</w:t>
            </w:r>
          </w:p>
        </w:tc>
        <w:tc>
          <w:tcPr>
            <w:tcW w:w="3901" w:type="dxa"/>
            <w:tcBorders>
              <w:top w:val="nil"/>
              <w:bottom w:val="nil"/>
            </w:tcBorders>
            <w:shd w:val="clear" w:color="auto" w:fill="92CDDC"/>
          </w:tcPr>
          <w:p>
            <w:pP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518" w:val="left" w:leader="none"/>
                <w:tab w:pos="2015" w:val="left" w:leader="none"/>
              </w:tabs>
              <w:spacing w:line="241" w:lineRule="exact"/>
              <w:ind w:left="100"/>
              <w:rPr>
                <w:b/>
                <w:sz w:val="22"/>
              </w:rPr>
            </w:pPr>
            <w:r>
              <w:rPr>
                <w:b/>
                <w:sz w:val="22"/>
              </w:rPr>
              <w:t>municipio</w:t>
              <w:tab/>
              <w:t>y</w:t>
              <w:tab/>
              <w:t>la</w:t>
            </w:r>
          </w:p>
        </w:tc>
        <w:tc>
          <w:tcPr>
            <w:tcW w:w="3901" w:type="dxa"/>
            <w:tcBorders>
              <w:top w:val="nil"/>
              <w:bottom w:val="nil"/>
            </w:tcBorders>
            <w:shd w:val="clear" w:color="auto" w:fill="92CDDC"/>
          </w:tcPr>
          <w:p>
            <w:pPr/>
          </w:p>
        </w:tc>
      </w:tr>
      <w:tr>
        <w:trPr>
          <w:trHeight w:val="251"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2" w:lineRule="exact"/>
              <w:ind w:left="100"/>
              <w:rPr>
                <w:b/>
                <w:sz w:val="22"/>
              </w:rPr>
            </w:pPr>
            <w:r>
              <w:rPr>
                <w:b/>
                <w:sz w:val="22"/>
              </w:rPr>
              <w:t>región?</w:t>
            </w:r>
          </w:p>
        </w:tc>
        <w:tc>
          <w:tcPr>
            <w:tcW w:w="3901"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Irineo Ruiz</w:t>
            </w:r>
          </w:p>
        </w:tc>
        <w:tc>
          <w:tcPr>
            <w:tcW w:w="1274" w:type="dxa"/>
            <w:tcBorders>
              <w:bottom w:val="nil"/>
            </w:tcBorders>
          </w:tcPr>
          <w:p>
            <w:pPr>
              <w:pStyle w:val="TableParagraph"/>
              <w:spacing w:line="251" w:lineRule="exact"/>
              <w:ind w:left="100" w:right="98"/>
              <w:rPr>
                <w:sz w:val="22"/>
              </w:rPr>
            </w:pPr>
            <w:r>
              <w:rPr>
                <w:sz w:val="22"/>
              </w:rPr>
              <w:t>Profesor</w:t>
            </w:r>
          </w:p>
        </w:tc>
        <w:tc>
          <w:tcPr>
            <w:tcW w:w="1887" w:type="dxa"/>
            <w:tcBorders>
              <w:bottom w:val="nil"/>
            </w:tcBorders>
          </w:tcPr>
          <w:p>
            <w:pPr>
              <w:pStyle w:val="TableParagraph"/>
              <w:spacing w:line="251" w:lineRule="exact"/>
              <w:rPr>
                <w:sz w:val="22"/>
              </w:rPr>
            </w:pPr>
            <w:r>
              <w:rPr>
                <w:sz w:val="22"/>
              </w:rPr>
              <w:t>Presidente</w:t>
            </w:r>
          </w:p>
        </w:tc>
        <w:tc>
          <w:tcPr>
            <w:tcW w:w="1289" w:type="dxa"/>
            <w:tcBorders>
              <w:bottom w:val="nil"/>
            </w:tcBorders>
          </w:tcPr>
          <w:p>
            <w:pPr>
              <w:pStyle w:val="TableParagraph"/>
              <w:spacing w:line="251" w:lineRule="exact"/>
              <w:rPr>
                <w:sz w:val="22"/>
              </w:rPr>
            </w:pPr>
            <w:r>
              <w:rPr>
                <w:sz w:val="22"/>
              </w:rPr>
              <w:t>Acambay</w:t>
            </w:r>
          </w:p>
        </w:tc>
        <w:tc>
          <w:tcPr>
            <w:tcW w:w="1174" w:type="dxa"/>
            <w:tcBorders>
              <w:bottom w:val="nil"/>
            </w:tcBorders>
          </w:tcPr>
          <w:p>
            <w:pPr>
              <w:pStyle w:val="TableParagraph"/>
              <w:spacing w:line="251" w:lineRule="exact"/>
              <w:rPr>
                <w:sz w:val="22"/>
              </w:rPr>
            </w:pPr>
            <w:r>
              <w:rPr>
                <w:sz w:val="22"/>
              </w:rPr>
              <w:t>Acambay</w:t>
            </w:r>
          </w:p>
        </w:tc>
        <w:tc>
          <w:tcPr>
            <w:tcW w:w="2314" w:type="dxa"/>
            <w:tcBorders>
              <w:bottom w:val="nil"/>
            </w:tcBorders>
          </w:tcPr>
          <w:p>
            <w:pPr>
              <w:pStyle w:val="TableParagraph"/>
              <w:spacing w:line="251" w:lineRule="exact"/>
              <w:ind w:left="100"/>
              <w:rPr>
                <w:sz w:val="22"/>
              </w:rPr>
            </w:pPr>
            <w:r>
              <w:rPr>
                <w:sz w:val="22"/>
              </w:rPr>
              <w:t>Para  el  municipio es</w:t>
            </w:r>
          </w:p>
        </w:tc>
        <w:tc>
          <w:tcPr>
            <w:tcW w:w="3901" w:type="dxa"/>
            <w:tcBorders>
              <w:bottom w:val="nil"/>
            </w:tcBorders>
          </w:tcPr>
          <w:p>
            <w:pPr>
              <w:pStyle w:val="TableParagraph"/>
              <w:tabs>
                <w:tab w:pos="585" w:val="left" w:leader="none"/>
                <w:tab w:pos="1616" w:val="left" w:leader="none"/>
                <w:tab w:pos="2295" w:val="left" w:leader="none"/>
                <w:tab w:pos="3024" w:val="left" w:leader="none"/>
                <w:tab w:pos="3372" w:val="left" w:leader="none"/>
              </w:tabs>
              <w:spacing w:line="251" w:lineRule="exact"/>
              <w:rPr>
                <w:sz w:val="22"/>
              </w:rPr>
            </w:pPr>
            <w:r>
              <w:rPr>
                <w:sz w:val="22"/>
              </w:rPr>
              <w:t>La</w:t>
              <w:tab/>
              <w:t>mayoría</w:t>
              <w:tab/>
              <w:t>para</w:t>
              <w:tab/>
              <w:t>riego</w:t>
              <w:tab/>
              <w:t>y</w:t>
              <w:tab/>
              <w:t>esto</w:t>
            </w:r>
          </w:p>
        </w:tc>
      </w:tr>
      <w:tr>
        <w:trPr>
          <w:trHeight w:val="252" w:hRule="exact"/>
        </w:trPr>
        <w:tc>
          <w:tcPr>
            <w:tcW w:w="1385" w:type="dxa"/>
            <w:tcBorders>
              <w:top w:val="nil"/>
              <w:bottom w:val="nil"/>
            </w:tcBorders>
          </w:tcPr>
          <w:p>
            <w:pPr>
              <w:pStyle w:val="TableParagraph"/>
              <w:spacing w:line="242" w:lineRule="exact"/>
              <w:ind w:right="127"/>
              <w:rPr>
                <w:sz w:val="22"/>
              </w:rPr>
            </w:pPr>
            <w:r>
              <w:rPr>
                <w:sz w:val="22"/>
              </w:rPr>
              <w:t>González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62" w:val="left" w:leader="none"/>
                <w:tab w:pos="2028" w:val="left" w:leader="none"/>
              </w:tabs>
              <w:spacing w:line="242" w:lineRule="exact"/>
              <w:ind w:left="100"/>
              <w:rPr>
                <w:sz w:val="22"/>
              </w:rPr>
            </w:pPr>
            <w:r>
              <w:rPr>
                <w:sz w:val="22"/>
              </w:rPr>
              <w:t>importante</w:t>
              <w:tab/>
              <w:t>en</w:t>
              <w:tab/>
              <w:t>la</w:t>
            </w:r>
          </w:p>
        </w:tc>
        <w:tc>
          <w:tcPr>
            <w:tcW w:w="3901" w:type="dxa"/>
            <w:tcBorders>
              <w:top w:val="nil"/>
              <w:bottom w:val="nil"/>
            </w:tcBorders>
          </w:tcPr>
          <w:p>
            <w:pPr>
              <w:pStyle w:val="TableParagraph"/>
              <w:spacing w:line="242" w:lineRule="exact"/>
              <w:rPr>
                <w:sz w:val="22"/>
              </w:rPr>
            </w:pPr>
            <w:r>
              <w:rPr>
                <w:sz w:val="22"/>
              </w:rPr>
              <w:t>contribuye a actividades pecuarias en</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259" w:val="left" w:leader="none"/>
              </w:tabs>
              <w:spacing w:line="240" w:lineRule="exact"/>
              <w:ind w:left="100"/>
              <w:rPr>
                <w:b/>
                <w:sz w:val="22"/>
              </w:rPr>
            </w:pPr>
            <w:r>
              <w:rPr>
                <w:b/>
                <w:sz w:val="22"/>
              </w:rPr>
              <w:t>actividad</w:t>
              <w:tab/>
              <w:t>piscícola</w:t>
            </w:r>
          </w:p>
        </w:tc>
        <w:tc>
          <w:tcPr>
            <w:tcW w:w="3901" w:type="dxa"/>
            <w:tcBorders>
              <w:top w:val="nil"/>
              <w:bottom w:val="nil"/>
            </w:tcBorders>
          </w:tcPr>
          <w:p>
            <w:pPr>
              <w:pStyle w:val="TableParagraph"/>
              <w:spacing w:line="242" w:lineRule="exact"/>
              <w:rPr>
                <w:sz w:val="22"/>
              </w:rPr>
            </w:pPr>
            <w:r>
              <w:rPr>
                <w:sz w:val="22"/>
              </w:rPr>
              <w:t>Jilotepec, Aculco, Polo, San Juan</w:t>
            </w:r>
            <w:r>
              <w:rPr>
                <w:spacing w:val="57"/>
                <w:sz w:val="22"/>
              </w:rPr>
              <w:t> </w:t>
            </w:r>
            <w:r>
              <w:rPr>
                <w:sz w:val="22"/>
              </w:rPr>
              <w:t>del</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(13/I/2015)</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05" w:val="left" w:leader="none"/>
                <w:tab w:pos="2017" w:val="left" w:leader="none"/>
              </w:tabs>
              <w:spacing w:line="240" w:lineRule="exact"/>
              <w:ind w:left="100"/>
              <w:rPr>
                <w:b/>
                <w:sz w:val="22"/>
              </w:rPr>
            </w:pPr>
            <w:r>
              <w:rPr>
                <w:b/>
                <w:sz w:val="22"/>
              </w:rPr>
              <w:t>porque</w:t>
              <w:tab/>
              <w:t>en</w:t>
              <w:tab/>
              <w:t>la</w:t>
            </w:r>
          </w:p>
        </w:tc>
        <w:tc>
          <w:tcPr>
            <w:tcW w:w="3901" w:type="dxa"/>
            <w:tcBorders>
              <w:top w:val="nil"/>
              <w:bottom w:val="nil"/>
            </w:tcBorders>
          </w:tcPr>
          <w:p>
            <w:pPr>
              <w:pStyle w:val="TableParagraph"/>
              <w:spacing w:line="242" w:lineRule="exact"/>
              <w:rPr>
                <w:sz w:val="22"/>
              </w:rPr>
            </w:pPr>
            <w:r>
              <w:rPr>
                <w:sz w:val="22"/>
              </w:rPr>
              <w:t>Río  (Querétaro)  y  Nopala,  Hidalgo;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94" w:val="left" w:leader="none"/>
                <w:tab w:pos="2017" w:val="left" w:leader="none"/>
              </w:tabs>
              <w:spacing w:line="241" w:lineRule="exact"/>
              <w:ind w:left="100"/>
              <w:rPr>
                <w:b/>
                <w:sz w:val="22"/>
              </w:rPr>
            </w:pPr>
            <w:r>
              <w:rPr>
                <w:b/>
                <w:sz w:val="22"/>
              </w:rPr>
              <w:t>agricultura</w:t>
              <w:tab/>
              <w:t>no</w:t>
              <w:tab/>
              <w:t>la</w:t>
            </w:r>
          </w:p>
        </w:tc>
        <w:tc>
          <w:tcPr>
            <w:tcW w:w="3901" w:type="dxa"/>
            <w:tcBorders>
              <w:top w:val="nil"/>
              <w:bottom w:val="nil"/>
            </w:tcBorders>
          </w:tcPr>
          <w:p>
            <w:pPr>
              <w:pStyle w:val="TableParagraph"/>
              <w:spacing w:line="244" w:lineRule="exact"/>
              <w:rPr>
                <w:sz w:val="22"/>
              </w:rPr>
            </w:pPr>
            <w:r>
              <w:rPr>
                <w:sz w:val="22"/>
              </w:rPr>
              <w:t>esta zona es una cuenca lechera.</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0" w:lineRule="exact"/>
              <w:ind w:left="100"/>
              <w:rPr>
                <w:b/>
                <w:sz w:val="22"/>
              </w:rPr>
            </w:pPr>
            <w:r>
              <w:rPr>
                <w:b/>
                <w:sz w:val="22"/>
              </w:rPr>
              <w:t>utiliza  sólo  la   ven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70" w:val="left" w:leader="none"/>
                <w:tab w:pos="1760" w:val="left" w:leader="none"/>
              </w:tabs>
              <w:spacing w:line="242" w:lineRule="exact"/>
              <w:ind w:left="100"/>
              <w:rPr>
                <w:b/>
                <w:sz w:val="22"/>
              </w:rPr>
            </w:pPr>
            <w:r>
              <w:rPr>
                <w:b/>
                <w:sz w:val="22"/>
              </w:rPr>
              <w:t>porque</w:t>
              <w:tab/>
              <w:t>no</w:t>
              <w:tab/>
              <w:t>está</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b/>
                <w:sz w:val="22"/>
              </w:rPr>
            </w:pPr>
            <w:r>
              <w:rPr>
                <w:b/>
                <w:sz w:val="22"/>
              </w:rPr>
              <w:t>permitido regar.</w:t>
            </w:r>
          </w:p>
        </w:tc>
        <w:tc>
          <w:tcPr>
            <w:tcW w:w="3901"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Ana María</w:t>
            </w:r>
          </w:p>
        </w:tc>
        <w:tc>
          <w:tcPr>
            <w:tcW w:w="1274" w:type="dxa"/>
            <w:tcBorders>
              <w:bottom w:val="nil"/>
            </w:tcBorders>
          </w:tcPr>
          <w:p>
            <w:pPr>
              <w:pStyle w:val="TableParagraph"/>
              <w:ind w:left="100" w:right="98"/>
              <w:rPr>
                <w:sz w:val="22"/>
              </w:rPr>
            </w:pPr>
            <w:r>
              <w:rPr>
                <w:sz w:val="22"/>
              </w:rPr>
              <w:t>Abogada</w:t>
            </w:r>
          </w:p>
        </w:tc>
        <w:tc>
          <w:tcPr>
            <w:tcW w:w="1887" w:type="dxa"/>
            <w:tcBorders>
              <w:bottom w:val="nil"/>
            </w:tcBorders>
          </w:tcPr>
          <w:p>
            <w:pPr>
              <w:pStyle w:val="TableParagraph"/>
              <w:rPr>
                <w:sz w:val="22"/>
              </w:rPr>
            </w:pPr>
            <w:r>
              <w:rPr>
                <w:sz w:val="22"/>
              </w:rPr>
              <w:t>Tercer Regidor.</w:t>
            </w:r>
          </w:p>
        </w:tc>
        <w:tc>
          <w:tcPr>
            <w:tcW w:w="1289" w:type="dxa"/>
            <w:tcBorders>
              <w:bottom w:val="nil"/>
            </w:tcBorders>
          </w:tcPr>
          <w:p>
            <w:pPr>
              <w:pStyle w:val="TableParagraph"/>
              <w:rPr>
                <w:sz w:val="22"/>
              </w:rPr>
            </w:pPr>
            <w:r>
              <w:rPr>
                <w:sz w:val="22"/>
              </w:rPr>
              <w:t>Acambay</w:t>
            </w:r>
          </w:p>
        </w:tc>
        <w:tc>
          <w:tcPr>
            <w:tcW w:w="1174" w:type="dxa"/>
            <w:tcBorders>
              <w:bottom w:val="nil"/>
            </w:tcBorders>
          </w:tcPr>
          <w:p>
            <w:pPr>
              <w:pStyle w:val="TableParagraph"/>
              <w:rPr>
                <w:sz w:val="22"/>
              </w:rPr>
            </w:pPr>
            <w:r>
              <w:rPr>
                <w:sz w:val="22"/>
              </w:rPr>
              <w:t>Acambay</w:t>
            </w:r>
          </w:p>
        </w:tc>
        <w:tc>
          <w:tcPr>
            <w:tcW w:w="2314" w:type="dxa"/>
            <w:tcBorders>
              <w:bottom w:val="nil"/>
            </w:tcBorders>
          </w:tcPr>
          <w:p>
            <w:pPr/>
          </w:p>
        </w:tc>
        <w:tc>
          <w:tcPr>
            <w:tcW w:w="3901" w:type="dxa"/>
            <w:tcBorders>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Contreras</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Encargada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942" w:right="943"/>
              <w:jc w:val="center"/>
              <w:rPr>
                <w:sz w:val="22"/>
              </w:rPr>
            </w:pPr>
            <w:r>
              <w:rPr>
                <w:sz w:val="22"/>
              </w:rPr>
              <w:t>N/C</w:t>
            </w:r>
          </w:p>
        </w:tc>
        <w:tc>
          <w:tcPr>
            <w:tcW w:w="3901" w:type="dxa"/>
            <w:tcBorders>
              <w:top w:val="nil"/>
              <w:bottom w:val="nil"/>
            </w:tcBorders>
          </w:tcPr>
          <w:p>
            <w:pPr>
              <w:pStyle w:val="TableParagraph"/>
              <w:spacing w:line="241" w:lineRule="exact"/>
              <w:ind w:left="1736" w:right="1736"/>
              <w:jc w:val="center"/>
              <w:rPr>
                <w:sz w:val="22"/>
              </w:rPr>
            </w:pPr>
            <w:r>
              <w:rPr>
                <w:sz w:val="22"/>
              </w:rPr>
              <w:t>N/C</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Valdez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preservar,</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conservar 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(21/I/2014)</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restaurar el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medio ambiente</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Pedro</w:t>
            </w:r>
          </w:p>
        </w:tc>
        <w:tc>
          <w:tcPr>
            <w:tcW w:w="1274" w:type="dxa"/>
            <w:tcBorders>
              <w:bottom w:val="nil"/>
            </w:tcBorders>
          </w:tcPr>
          <w:p>
            <w:pPr>
              <w:pStyle w:val="TableParagraph"/>
              <w:spacing w:line="251" w:lineRule="exact"/>
              <w:ind w:left="100" w:right="98"/>
              <w:rPr>
                <w:sz w:val="22"/>
              </w:rPr>
            </w:pPr>
            <w:r>
              <w:rPr>
                <w:sz w:val="22"/>
              </w:rPr>
              <w:t>Médico</w:t>
            </w:r>
          </w:p>
        </w:tc>
        <w:tc>
          <w:tcPr>
            <w:tcW w:w="1887" w:type="dxa"/>
            <w:tcBorders>
              <w:bottom w:val="nil"/>
            </w:tcBorders>
          </w:tcPr>
          <w:p>
            <w:pPr>
              <w:pStyle w:val="TableParagraph"/>
              <w:spacing w:line="251" w:lineRule="exact"/>
              <w:rPr>
                <w:sz w:val="22"/>
              </w:rPr>
            </w:pPr>
            <w:r>
              <w:rPr>
                <w:sz w:val="22"/>
              </w:rPr>
              <w:t>Decimo Regidor.</w:t>
            </w:r>
          </w:p>
        </w:tc>
        <w:tc>
          <w:tcPr>
            <w:tcW w:w="1289" w:type="dxa"/>
            <w:tcBorders>
              <w:bottom w:val="nil"/>
            </w:tcBorders>
          </w:tcPr>
          <w:p>
            <w:pPr>
              <w:pStyle w:val="TableParagraph"/>
              <w:spacing w:line="251" w:lineRule="exact"/>
              <w:rPr>
                <w:sz w:val="22"/>
              </w:rPr>
            </w:pPr>
            <w:r>
              <w:rPr>
                <w:sz w:val="22"/>
              </w:rPr>
              <w:t>Villa</w:t>
            </w:r>
          </w:p>
        </w:tc>
        <w:tc>
          <w:tcPr>
            <w:tcW w:w="1174" w:type="dxa"/>
            <w:tcBorders>
              <w:bottom w:val="nil"/>
            </w:tcBorders>
          </w:tcPr>
          <w:p>
            <w:pPr>
              <w:pStyle w:val="TableParagraph"/>
              <w:spacing w:line="251" w:lineRule="exact"/>
              <w:rPr>
                <w:sz w:val="22"/>
              </w:rPr>
            </w:pPr>
            <w:r>
              <w:rPr>
                <w:sz w:val="22"/>
              </w:rPr>
              <w:t>Acambay</w:t>
            </w:r>
          </w:p>
        </w:tc>
        <w:tc>
          <w:tcPr>
            <w:tcW w:w="2314" w:type="dxa"/>
            <w:tcBorders>
              <w:bottom w:val="nil"/>
            </w:tcBorders>
          </w:tcPr>
          <w:p>
            <w:pPr>
              <w:pStyle w:val="TableParagraph"/>
              <w:spacing w:line="251" w:lineRule="exact"/>
              <w:ind w:left="100"/>
              <w:rPr>
                <w:sz w:val="22"/>
              </w:rPr>
            </w:pPr>
            <w:r>
              <w:rPr>
                <w:sz w:val="22"/>
              </w:rPr>
              <w:t>Porque   sirve   como</w:t>
            </w:r>
          </w:p>
        </w:tc>
        <w:tc>
          <w:tcPr>
            <w:tcW w:w="3901" w:type="dxa"/>
            <w:tcBorders>
              <w:bottom w:val="nil"/>
            </w:tcBorders>
          </w:tcPr>
          <w:p>
            <w:pPr>
              <w:pStyle w:val="TableParagraph"/>
              <w:spacing w:line="251" w:lineRule="exact"/>
              <w:rPr>
                <w:sz w:val="22"/>
              </w:rPr>
            </w:pPr>
            <w:r>
              <w:rPr>
                <w:sz w:val="22"/>
              </w:rPr>
              <w:t>Para riego por la gente de Aculco y</w:t>
            </w:r>
          </w:p>
        </w:tc>
      </w:tr>
      <w:tr>
        <w:trPr>
          <w:trHeight w:val="253" w:hRule="exact"/>
        </w:trPr>
        <w:tc>
          <w:tcPr>
            <w:tcW w:w="1385" w:type="dxa"/>
            <w:tcBorders>
              <w:top w:val="nil"/>
              <w:bottom w:val="nil"/>
            </w:tcBorders>
          </w:tcPr>
          <w:p>
            <w:pPr>
              <w:pStyle w:val="TableParagraph"/>
              <w:spacing w:line="244" w:lineRule="exact"/>
              <w:ind w:right="127"/>
              <w:rPr>
                <w:sz w:val="22"/>
              </w:rPr>
            </w:pPr>
            <w:r>
              <w:rPr>
                <w:sz w:val="22"/>
              </w:rPr>
              <w:t>Carbajal</w:t>
            </w:r>
          </w:p>
        </w:tc>
        <w:tc>
          <w:tcPr>
            <w:tcW w:w="1274" w:type="dxa"/>
            <w:tcBorders>
              <w:top w:val="nil"/>
              <w:bottom w:val="nil"/>
            </w:tcBorders>
          </w:tcPr>
          <w:p>
            <w:pPr>
              <w:pStyle w:val="TableParagraph"/>
              <w:spacing w:line="244" w:lineRule="exact"/>
              <w:ind w:left="100" w:right="98"/>
              <w:rPr>
                <w:sz w:val="22"/>
              </w:rPr>
            </w:pPr>
            <w:r>
              <w:rPr>
                <w:sz w:val="22"/>
              </w:rPr>
              <w:t>General</w:t>
            </w:r>
          </w:p>
        </w:tc>
        <w:tc>
          <w:tcPr>
            <w:tcW w:w="1887" w:type="dxa"/>
            <w:tcBorders>
              <w:top w:val="nil"/>
              <w:bottom w:val="nil"/>
            </w:tcBorders>
          </w:tcPr>
          <w:p>
            <w:pPr>
              <w:pStyle w:val="TableParagraph"/>
              <w:tabs>
                <w:tab w:pos="1528" w:val="left" w:leader="none"/>
              </w:tabs>
              <w:spacing w:line="244" w:lineRule="exact"/>
              <w:rPr>
                <w:sz w:val="22"/>
              </w:rPr>
            </w:pPr>
            <w:r>
              <w:rPr>
                <w:sz w:val="22"/>
              </w:rPr>
              <w:t>Encargado</w:t>
              <w:tab/>
              <w:t>de</w:t>
            </w:r>
          </w:p>
        </w:tc>
        <w:tc>
          <w:tcPr>
            <w:tcW w:w="1289" w:type="dxa"/>
            <w:tcBorders>
              <w:top w:val="nil"/>
              <w:bottom w:val="nil"/>
            </w:tcBorders>
          </w:tcPr>
          <w:p>
            <w:pPr>
              <w:pStyle w:val="TableParagraph"/>
              <w:spacing w:line="244" w:lineRule="exact"/>
              <w:rPr>
                <w:sz w:val="22"/>
              </w:rPr>
            </w:pPr>
            <w:r>
              <w:rPr>
                <w:sz w:val="22"/>
              </w:rPr>
              <w:t>Victoria</w:t>
            </w:r>
          </w:p>
        </w:tc>
        <w:tc>
          <w:tcPr>
            <w:tcW w:w="1174" w:type="dxa"/>
            <w:tcBorders>
              <w:top w:val="nil"/>
              <w:bottom w:val="nil"/>
            </w:tcBorders>
          </w:tcPr>
          <w:p>
            <w:pPr>
              <w:pStyle w:val="TableParagraph"/>
              <w:spacing w:line="244" w:lineRule="exact"/>
              <w:rPr>
                <w:sz w:val="22"/>
              </w:rPr>
            </w:pPr>
            <w:r>
              <w:rPr>
                <w:sz w:val="22"/>
              </w:rPr>
              <w:t>desde</w:t>
            </w:r>
          </w:p>
        </w:tc>
        <w:tc>
          <w:tcPr>
            <w:tcW w:w="2314" w:type="dxa"/>
            <w:tcBorders>
              <w:top w:val="nil"/>
              <w:bottom w:val="nil"/>
            </w:tcBorders>
          </w:tcPr>
          <w:p>
            <w:pPr>
              <w:pStyle w:val="TableParagraph"/>
              <w:tabs>
                <w:tab w:pos="1084" w:val="left" w:leader="none"/>
                <w:tab w:pos="1662" w:val="left" w:leader="none"/>
              </w:tabs>
              <w:spacing w:line="241" w:lineRule="exact"/>
              <w:ind w:left="100"/>
              <w:rPr>
                <w:b/>
                <w:sz w:val="22"/>
              </w:rPr>
            </w:pPr>
            <w:r>
              <w:rPr>
                <w:b/>
                <w:sz w:val="22"/>
              </w:rPr>
              <w:t>fuente</w:t>
              <w:tab/>
              <w:t>de</w:t>
              <w:tab/>
              <w:t>riego</w:t>
            </w:r>
          </w:p>
        </w:tc>
        <w:tc>
          <w:tcPr>
            <w:tcW w:w="3901" w:type="dxa"/>
            <w:tcBorders>
              <w:top w:val="nil"/>
              <w:bottom w:val="nil"/>
            </w:tcBorders>
          </w:tcPr>
          <w:p>
            <w:pPr>
              <w:pStyle w:val="TableParagraph"/>
              <w:spacing w:line="244" w:lineRule="exact"/>
              <w:rPr>
                <w:sz w:val="22"/>
              </w:rPr>
            </w:pPr>
            <w:r>
              <w:rPr>
                <w:sz w:val="22"/>
              </w:rPr>
              <w:t>San Juan del Río.</w:t>
            </w:r>
          </w:p>
        </w:tc>
      </w:tr>
      <w:tr>
        <w:trPr>
          <w:trHeight w:val="252" w:hRule="exact"/>
        </w:trPr>
        <w:tc>
          <w:tcPr>
            <w:tcW w:w="1385" w:type="dxa"/>
            <w:tcBorders>
              <w:top w:val="nil"/>
              <w:bottom w:val="nil"/>
            </w:tcBorders>
          </w:tcPr>
          <w:p>
            <w:pPr>
              <w:pStyle w:val="TableParagraph"/>
              <w:spacing w:line="242" w:lineRule="exact"/>
              <w:ind w:right="127"/>
              <w:rPr>
                <w:sz w:val="22"/>
              </w:rPr>
            </w:pPr>
            <w:r>
              <w:rPr>
                <w:sz w:val="22"/>
              </w:rPr>
              <w:t>Suárez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preservar,</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hace 32</w:t>
            </w:r>
          </w:p>
        </w:tc>
        <w:tc>
          <w:tcPr>
            <w:tcW w:w="2314" w:type="dxa"/>
            <w:tcBorders>
              <w:top w:val="nil"/>
              <w:bottom w:val="nil"/>
            </w:tcBorders>
          </w:tcPr>
          <w:p>
            <w:pPr>
              <w:pStyle w:val="TableParagraph"/>
              <w:spacing w:line="240" w:lineRule="exact"/>
              <w:ind w:left="100"/>
              <w:rPr>
                <w:b/>
                <w:sz w:val="22"/>
              </w:rPr>
            </w:pPr>
            <w:r>
              <w:rPr>
                <w:b/>
                <w:sz w:val="22"/>
              </w:rPr>
              <w:t>para   Aculco   y  de</w:t>
            </w:r>
          </w:p>
        </w:tc>
        <w:tc>
          <w:tcPr>
            <w:tcW w:w="3901" w:type="dxa"/>
            <w:tcBorders>
              <w:top w:val="nil"/>
              <w:bottom w:val="nil"/>
            </w:tcBorders>
          </w:tcPr>
          <w:p>
            <w:pP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42" w:lineRule="exact"/>
              <w:rPr>
                <w:sz w:val="22"/>
              </w:rPr>
            </w:pPr>
            <w:r>
              <w:rPr>
                <w:sz w:val="22"/>
              </w:rPr>
              <w:t>conservar</w:t>
              <w:tab/>
              <w:t>y</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años</w:t>
            </w:r>
          </w:p>
        </w:tc>
        <w:tc>
          <w:tcPr>
            <w:tcW w:w="2314" w:type="dxa"/>
            <w:tcBorders>
              <w:top w:val="nil"/>
              <w:bottom w:val="nil"/>
            </w:tcBorders>
          </w:tcPr>
          <w:p>
            <w:pPr>
              <w:pStyle w:val="TableParagraph"/>
              <w:tabs>
                <w:tab w:pos="1737" w:val="left" w:leader="none"/>
              </w:tabs>
              <w:spacing w:line="240" w:lineRule="exact"/>
              <w:ind w:left="100"/>
              <w:rPr>
                <w:b/>
                <w:sz w:val="22"/>
              </w:rPr>
            </w:pPr>
            <w:r>
              <w:rPr>
                <w:b/>
                <w:sz w:val="22"/>
              </w:rPr>
              <w:t>alimentación</w:t>
              <w:tab/>
              <w:t>para</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4" w:lineRule="exact"/>
              <w:ind w:left="155"/>
              <w:rPr>
                <w:sz w:val="22"/>
              </w:rPr>
            </w:pPr>
            <w:r>
              <w:rPr>
                <w:sz w:val="22"/>
              </w:rPr>
              <w:t>(21/I/2014)</w:t>
            </w:r>
          </w:p>
        </w:tc>
        <w:tc>
          <w:tcPr>
            <w:tcW w:w="1274" w:type="dxa"/>
            <w:tcBorders>
              <w:top w:val="nil"/>
              <w:bottom w:val="nil"/>
            </w:tcBorders>
          </w:tcPr>
          <w:p>
            <w:pPr/>
          </w:p>
        </w:tc>
        <w:tc>
          <w:tcPr>
            <w:tcW w:w="1887" w:type="dxa"/>
            <w:tcBorders>
              <w:top w:val="nil"/>
              <w:bottom w:val="nil"/>
            </w:tcBorders>
          </w:tcPr>
          <w:p>
            <w:pPr>
              <w:pStyle w:val="TableParagraph"/>
              <w:tabs>
                <w:tab w:pos="1602" w:val="left" w:leader="none"/>
              </w:tabs>
              <w:spacing w:line="244" w:lineRule="exact"/>
              <w:rPr>
                <w:sz w:val="22"/>
              </w:rPr>
            </w:pPr>
            <w:r>
              <w:rPr>
                <w:sz w:val="22"/>
              </w:rPr>
              <w:t>restaurar</w:t>
              <w:tab/>
              <w:t>el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b/>
                <w:sz w:val="22"/>
              </w:rPr>
            </w:pPr>
            <w:r>
              <w:rPr>
                <w:b/>
                <w:sz w:val="22"/>
              </w:rPr>
              <w:t>los  peces  famosos</w:t>
            </w:r>
          </w:p>
        </w:tc>
        <w:tc>
          <w:tcPr>
            <w:tcW w:w="3901" w:type="dxa"/>
            <w:tcBorders>
              <w:top w:val="nil"/>
              <w:bottom w:val="nil"/>
            </w:tcBorders>
          </w:tcPr>
          <w:p>
            <w:pPr/>
          </w:p>
        </w:tc>
      </w:tr>
      <w:tr>
        <w:trPr>
          <w:trHeight w:val="251"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medio ambiente</w:t>
            </w: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0" w:lineRule="exact"/>
              <w:ind w:left="100"/>
              <w:rPr>
                <w:b/>
                <w:sz w:val="22"/>
              </w:rPr>
            </w:pPr>
            <w:r>
              <w:rPr>
                <w:b/>
                <w:sz w:val="22"/>
              </w:rPr>
              <w:t>de Timilpan.</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Reynaldo</w:t>
            </w:r>
          </w:p>
        </w:tc>
        <w:tc>
          <w:tcPr>
            <w:tcW w:w="1274" w:type="dxa"/>
            <w:tcBorders>
              <w:bottom w:val="nil"/>
            </w:tcBorders>
          </w:tcPr>
          <w:p>
            <w:pPr/>
          </w:p>
        </w:tc>
        <w:tc>
          <w:tcPr>
            <w:tcW w:w="1887" w:type="dxa"/>
            <w:tcBorders>
              <w:bottom w:val="nil"/>
            </w:tcBorders>
          </w:tcPr>
          <w:p>
            <w:pPr>
              <w:pStyle w:val="TableParagraph"/>
              <w:tabs>
                <w:tab w:pos="1480" w:val="left" w:leader="none"/>
              </w:tabs>
              <w:spacing w:line="251" w:lineRule="exact"/>
              <w:rPr>
                <w:sz w:val="22"/>
              </w:rPr>
            </w:pPr>
            <w:r>
              <w:rPr>
                <w:sz w:val="22"/>
              </w:rPr>
              <w:t>Director</w:t>
              <w:tab/>
              <w:t>del</w:t>
            </w:r>
          </w:p>
        </w:tc>
        <w:tc>
          <w:tcPr>
            <w:tcW w:w="1289" w:type="dxa"/>
            <w:tcBorders>
              <w:bottom w:val="nil"/>
            </w:tcBorders>
          </w:tcPr>
          <w:p>
            <w:pPr>
              <w:pStyle w:val="TableParagraph"/>
              <w:spacing w:line="251" w:lineRule="exact"/>
              <w:rPr>
                <w:sz w:val="22"/>
              </w:rPr>
            </w:pPr>
            <w:r>
              <w:rPr>
                <w:sz w:val="22"/>
              </w:rPr>
              <w:t>Las</w:t>
            </w:r>
          </w:p>
        </w:tc>
        <w:tc>
          <w:tcPr>
            <w:tcW w:w="1174" w:type="dxa"/>
            <w:tcBorders>
              <w:bottom w:val="nil"/>
            </w:tcBorders>
          </w:tcPr>
          <w:p>
            <w:pPr>
              <w:pStyle w:val="TableParagraph"/>
              <w:spacing w:line="251" w:lineRule="exact"/>
              <w:rPr>
                <w:sz w:val="22"/>
              </w:rPr>
            </w:pPr>
            <w:r>
              <w:rPr>
                <w:sz w:val="22"/>
              </w:rPr>
              <w:t>Las</w:t>
            </w:r>
          </w:p>
        </w:tc>
        <w:tc>
          <w:tcPr>
            <w:tcW w:w="2314" w:type="dxa"/>
            <w:tcBorders>
              <w:bottom w:val="nil"/>
            </w:tcBorders>
          </w:tcPr>
          <w:p>
            <w:pPr>
              <w:pStyle w:val="TableParagraph"/>
              <w:tabs>
                <w:tab w:pos="1590" w:val="left" w:leader="none"/>
              </w:tabs>
              <w:spacing w:line="251" w:lineRule="exact"/>
              <w:ind w:left="100"/>
              <w:rPr>
                <w:sz w:val="22"/>
              </w:rPr>
            </w:pPr>
            <w:r>
              <w:rPr>
                <w:sz w:val="22"/>
              </w:rPr>
              <w:t>Debemos</w:t>
              <w:tab/>
              <w:t>actuar</w:t>
            </w:r>
          </w:p>
        </w:tc>
        <w:tc>
          <w:tcPr>
            <w:tcW w:w="3901" w:type="dxa"/>
            <w:tcBorders>
              <w:bottom w:val="nil"/>
            </w:tcBorders>
          </w:tcPr>
          <w:p>
            <w:pPr>
              <w:pStyle w:val="TableParagraph"/>
              <w:spacing w:line="251" w:lineRule="exact"/>
              <w:rPr>
                <w:sz w:val="22"/>
              </w:rPr>
            </w:pPr>
            <w:r>
              <w:rPr>
                <w:sz w:val="22"/>
              </w:rPr>
              <w:t>El agua la  utilizan para  regadíos  de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Sandoval</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Medio  Ambiente</w:t>
            </w:r>
          </w:p>
        </w:tc>
        <w:tc>
          <w:tcPr>
            <w:tcW w:w="1289" w:type="dxa"/>
            <w:tcBorders>
              <w:top w:val="nil"/>
              <w:bottom w:val="nil"/>
            </w:tcBorders>
          </w:tcPr>
          <w:p>
            <w:pPr>
              <w:pStyle w:val="TableParagraph"/>
              <w:spacing w:line="241" w:lineRule="exact"/>
              <w:rPr>
                <w:sz w:val="22"/>
              </w:rPr>
            </w:pPr>
            <w:r>
              <w:rPr>
                <w:sz w:val="22"/>
              </w:rPr>
              <w:t>Arenas,</w:t>
            </w:r>
          </w:p>
        </w:tc>
        <w:tc>
          <w:tcPr>
            <w:tcW w:w="1174" w:type="dxa"/>
            <w:tcBorders>
              <w:top w:val="nil"/>
              <w:bottom w:val="nil"/>
            </w:tcBorders>
          </w:tcPr>
          <w:p>
            <w:pPr>
              <w:pStyle w:val="TableParagraph"/>
              <w:spacing w:line="241" w:lineRule="exact"/>
              <w:rPr>
                <w:sz w:val="22"/>
              </w:rPr>
            </w:pPr>
            <w:r>
              <w:rPr>
                <w:sz w:val="22"/>
              </w:rPr>
              <w:t>Arenas,</w:t>
            </w:r>
          </w:p>
        </w:tc>
        <w:tc>
          <w:tcPr>
            <w:tcW w:w="2314" w:type="dxa"/>
            <w:tcBorders>
              <w:top w:val="nil"/>
              <w:bottom w:val="nil"/>
            </w:tcBorders>
          </w:tcPr>
          <w:p>
            <w:pPr>
              <w:pStyle w:val="TableParagraph"/>
              <w:spacing w:line="241" w:lineRule="exact"/>
              <w:ind w:left="100"/>
              <w:rPr>
                <w:sz w:val="22"/>
              </w:rPr>
            </w:pPr>
            <w:r>
              <w:rPr>
                <w:sz w:val="22"/>
              </w:rPr>
              <w:t>porque  la  laguna de</w:t>
            </w:r>
          </w:p>
        </w:tc>
        <w:tc>
          <w:tcPr>
            <w:tcW w:w="3901" w:type="dxa"/>
            <w:tcBorders>
              <w:top w:val="nil"/>
              <w:bottom w:val="nil"/>
            </w:tcBorders>
          </w:tcPr>
          <w:p>
            <w:pPr>
              <w:pStyle w:val="TableParagraph"/>
              <w:spacing w:line="241" w:lineRule="exact"/>
              <w:rPr>
                <w:sz w:val="22"/>
              </w:rPr>
            </w:pPr>
            <w:r>
              <w:rPr>
                <w:sz w:val="22"/>
              </w:rPr>
              <w:t>forraje (pasto, alfalfa, cebada,   trigo),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en Acambay</w:t>
            </w:r>
          </w:p>
        </w:tc>
        <w:tc>
          <w:tcPr>
            <w:tcW w:w="1289" w:type="dxa"/>
            <w:tcBorders>
              <w:top w:val="nil"/>
              <w:bottom w:val="nil"/>
            </w:tcBorders>
          </w:tcPr>
          <w:p>
            <w:pPr>
              <w:pStyle w:val="TableParagraph"/>
              <w:spacing w:line="242" w:lineRule="exact"/>
              <w:rPr>
                <w:sz w:val="22"/>
              </w:rPr>
            </w:pPr>
            <w:r>
              <w:rPr>
                <w:sz w:val="22"/>
              </w:rPr>
              <w:t>Acambay</w:t>
            </w:r>
          </w:p>
        </w:tc>
        <w:tc>
          <w:tcPr>
            <w:tcW w:w="1174" w:type="dxa"/>
            <w:tcBorders>
              <w:top w:val="nil"/>
              <w:bottom w:val="nil"/>
            </w:tcBorders>
          </w:tcPr>
          <w:p>
            <w:pPr>
              <w:pStyle w:val="TableParagraph"/>
              <w:spacing w:line="242" w:lineRule="exact"/>
              <w:rPr>
                <w:sz w:val="22"/>
              </w:rPr>
            </w:pPr>
            <w:r>
              <w:rPr>
                <w:sz w:val="22"/>
              </w:rPr>
              <w:t>Acambay</w:t>
            </w:r>
          </w:p>
        </w:tc>
        <w:tc>
          <w:tcPr>
            <w:tcW w:w="2314" w:type="dxa"/>
            <w:tcBorders>
              <w:top w:val="nil"/>
              <w:bottom w:val="nil"/>
            </w:tcBorders>
          </w:tcPr>
          <w:p>
            <w:pPr>
              <w:pStyle w:val="TableParagraph"/>
              <w:tabs>
                <w:tab w:pos="1336" w:val="left" w:leader="none"/>
                <w:tab w:pos="1784" w:val="left" w:leader="none"/>
              </w:tabs>
              <w:spacing w:line="242" w:lineRule="exact"/>
              <w:ind w:left="100"/>
              <w:rPr>
                <w:sz w:val="22"/>
              </w:rPr>
            </w:pPr>
            <w:r>
              <w:rPr>
                <w:sz w:val="22"/>
              </w:rPr>
              <w:t>Huapango</w:t>
              <w:tab/>
              <w:t>es</w:t>
              <w:tab/>
              <w:t>muy</w:t>
            </w:r>
          </w:p>
        </w:tc>
        <w:tc>
          <w:tcPr>
            <w:tcW w:w="3901" w:type="dxa"/>
            <w:tcBorders>
              <w:top w:val="nil"/>
              <w:bottom w:val="nil"/>
            </w:tcBorders>
          </w:tcPr>
          <w:p>
            <w:pPr>
              <w:pStyle w:val="TableParagraph"/>
              <w:spacing w:line="242" w:lineRule="exact"/>
              <w:rPr>
                <w:sz w:val="22"/>
              </w:rPr>
            </w:pPr>
            <w:r>
              <w:rPr>
                <w:sz w:val="22"/>
              </w:rPr>
              <w:t>haba, frijol en Aculco, Polotitlán,  San</w:t>
            </w: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tabs>
                <w:tab w:pos="1537" w:val="left" w:leader="none"/>
                <w:tab w:pos="2041" w:val="left" w:leader="none"/>
              </w:tabs>
              <w:spacing w:line="241" w:lineRule="exact"/>
              <w:ind w:left="100"/>
              <w:rPr>
                <w:sz w:val="22"/>
              </w:rPr>
            </w:pPr>
            <w:r>
              <w:rPr>
                <w:sz w:val="22"/>
              </w:rPr>
              <w:t>importante</w:t>
              <w:tab/>
              <w:t>y</w:t>
              <w:tab/>
              <w:t>si</w:t>
            </w:r>
          </w:p>
        </w:tc>
        <w:tc>
          <w:tcPr>
            <w:tcW w:w="3901" w:type="dxa"/>
            <w:tcBorders>
              <w:top w:val="nil"/>
            </w:tcBorders>
          </w:tcPr>
          <w:p>
            <w:pPr>
              <w:pStyle w:val="TableParagraph"/>
              <w:spacing w:line="241" w:lineRule="exact"/>
              <w:rPr>
                <w:sz w:val="22"/>
              </w:rPr>
            </w:pPr>
            <w:r>
              <w:rPr>
                <w:sz w:val="22"/>
              </w:rPr>
              <w:t>Juan   del   Río,   Querétaro,  Nopala,</w:t>
            </w:r>
          </w:p>
        </w:tc>
      </w:tr>
    </w:tbl>
    <w:p>
      <w:pPr>
        <w:spacing w:after="0" w:line="241" w:lineRule="exact"/>
        <w:rPr>
          <w:sz w:val="22"/>
        </w:rPr>
        <w:sectPr>
          <w:pgSz w:w="15840" w:h="12240" w:orient="landscape"/>
          <w:pgMar w:header="0" w:footer="94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475"/>
        <w:gridCol w:w="412"/>
        <w:gridCol w:w="1289"/>
        <w:gridCol w:w="1174"/>
        <w:gridCol w:w="2314"/>
        <w:gridCol w:w="3901"/>
      </w:tblGrid>
      <w:tr>
        <w:trPr>
          <w:trHeight w:val="3298" w:hRule="exact"/>
        </w:trPr>
        <w:tc>
          <w:tcPr>
            <w:tcW w:w="1385" w:type="dxa"/>
          </w:tcPr>
          <w:p>
            <w:pPr>
              <w:pStyle w:val="TableParagraph"/>
              <w:spacing w:before="8"/>
              <w:ind w:left="0"/>
              <w:rPr>
                <w:b/>
                <w:sz w:val="21"/>
              </w:rPr>
            </w:pPr>
          </w:p>
          <w:p>
            <w:pPr>
              <w:pStyle w:val="TableParagraph"/>
              <w:ind w:left="155"/>
              <w:rPr>
                <w:sz w:val="22"/>
              </w:rPr>
            </w:pPr>
            <w:r>
              <w:rPr>
                <w:sz w:val="22"/>
              </w:rPr>
              <w:t>(21/I/2014)</w:t>
            </w:r>
          </w:p>
        </w:tc>
        <w:tc>
          <w:tcPr>
            <w:tcW w:w="1274" w:type="dxa"/>
          </w:tcPr>
          <w:p>
            <w:pPr/>
          </w:p>
        </w:tc>
        <w:tc>
          <w:tcPr>
            <w:tcW w:w="1887" w:type="dxa"/>
            <w:gridSpan w:val="2"/>
          </w:tcPr>
          <w:p>
            <w:pPr/>
          </w:p>
        </w:tc>
        <w:tc>
          <w:tcPr>
            <w:tcW w:w="1289" w:type="dxa"/>
          </w:tcPr>
          <w:p>
            <w:pPr/>
          </w:p>
        </w:tc>
        <w:tc>
          <w:tcPr>
            <w:tcW w:w="1174" w:type="dxa"/>
          </w:tcPr>
          <w:p>
            <w:pPr/>
          </w:p>
        </w:tc>
        <w:tc>
          <w:tcPr>
            <w:tcW w:w="2314" w:type="dxa"/>
          </w:tcPr>
          <w:p>
            <w:pPr>
              <w:pStyle w:val="TableParagraph"/>
              <w:ind w:left="100" w:right="98"/>
              <w:jc w:val="both"/>
              <w:rPr>
                <w:sz w:val="22"/>
              </w:rPr>
            </w:pPr>
            <w:r>
              <w:rPr>
                <w:sz w:val="22"/>
              </w:rPr>
              <w:t>nosotros le diéramos el cuidado que se merece, </w:t>
            </w:r>
            <w:r>
              <w:rPr>
                <w:b/>
                <w:sz w:val="22"/>
              </w:rPr>
              <w:t>sería un centro  recreativo</w:t>
            </w:r>
            <w:r>
              <w:rPr>
                <w:sz w:val="22"/>
              </w:rPr>
              <w:t>, ya que la extensión de tierra es mucha y por ejemplo, en 200 metros en la orilla puede divertirse y hacer un centro recreativo,  ahora más con la carretera arco norte.</w:t>
            </w:r>
          </w:p>
        </w:tc>
        <w:tc>
          <w:tcPr>
            <w:tcW w:w="3901" w:type="dxa"/>
          </w:tcPr>
          <w:p>
            <w:pPr>
              <w:pStyle w:val="TableParagraph"/>
              <w:spacing w:line="251" w:lineRule="exact"/>
              <w:rPr>
                <w:sz w:val="22"/>
              </w:rPr>
            </w:pPr>
            <w:r>
              <w:rPr>
                <w:sz w:val="22"/>
              </w:rPr>
              <w:t>Hidalgo.</w:t>
            </w:r>
          </w:p>
        </w:tc>
      </w:tr>
      <w:tr>
        <w:trPr>
          <w:trHeight w:val="267" w:hRule="exact"/>
        </w:trPr>
        <w:tc>
          <w:tcPr>
            <w:tcW w:w="1385" w:type="dxa"/>
            <w:tcBorders>
              <w:bottom w:val="nil"/>
            </w:tcBorders>
          </w:tcPr>
          <w:p>
            <w:pPr>
              <w:pStyle w:val="TableParagraph"/>
              <w:spacing w:line="251" w:lineRule="exact"/>
              <w:ind w:right="127"/>
              <w:rPr>
                <w:sz w:val="22"/>
              </w:rPr>
            </w:pPr>
            <w:r>
              <w:rPr>
                <w:sz w:val="22"/>
              </w:rPr>
              <w:t>Juan</w:t>
            </w:r>
          </w:p>
        </w:tc>
        <w:tc>
          <w:tcPr>
            <w:tcW w:w="1274" w:type="dxa"/>
            <w:tcBorders>
              <w:bottom w:val="nil"/>
            </w:tcBorders>
          </w:tcPr>
          <w:p>
            <w:pPr>
              <w:pStyle w:val="TableParagraph"/>
              <w:spacing w:line="251" w:lineRule="exact"/>
              <w:ind w:left="100"/>
              <w:rPr>
                <w:sz w:val="22"/>
              </w:rPr>
            </w:pPr>
            <w:r>
              <w:rPr>
                <w:sz w:val="22"/>
              </w:rPr>
              <w:t>Preparator</w:t>
            </w:r>
          </w:p>
        </w:tc>
        <w:tc>
          <w:tcPr>
            <w:tcW w:w="1887" w:type="dxa"/>
            <w:gridSpan w:val="2"/>
            <w:tcBorders>
              <w:bottom w:val="nil"/>
            </w:tcBorders>
          </w:tcPr>
          <w:p>
            <w:pPr>
              <w:pStyle w:val="TableParagraph"/>
              <w:spacing w:line="251" w:lineRule="exact"/>
              <w:rPr>
                <w:sz w:val="22"/>
              </w:rPr>
            </w:pPr>
            <w:r>
              <w:rPr>
                <w:sz w:val="22"/>
              </w:rPr>
              <w:t>Director de</w:t>
            </w:r>
          </w:p>
        </w:tc>
        <w:tc>
          <w:tcPr>
            <w:tcW w:w="1289" w:type="dxa"/>
            <w:tcBorders>
              <w:bottom w:val="nil"/>
            </w:tcBorders>
          </w:tcPr>
          <w:p>
            <w:pPr>
              <w:pStyle w:val="TableParagraph"/>
              <w:spacing w:line="251" w:lineRule="exact"/>
              <w:rPr>
                <w:sz w:val="22"/>
              </w:rPr>
            </w:pPr>
            <w:r>
              <w:rPr>
                <w:sz w:val="22"/>
              </w:rPr>
              <w:t>Pathé,</w:t>
            </w:r>
          </w:p>
        </w:tc>
        <w:tc>
          <w:tcPr>
            <w:tcW w:w="1174" w:type="dxa"/>
            <w:tcBorders>
              <w:bottom w:val="nil"/>
            </w:tcBorders>
          </w:tcPr>
          <w:p>
            <w:pPr>
              <w:pStyle w:val="TableParagraph"/>
              <w:spacing w:line="251" w:lineRule="exact"/>
              <w:rPr>
                <w:sz w:val="22"/>
              </w:rPr>
            </w:pPr>
            <w:r>
              <w:rPr>
                <w:sz w:val="22"/>
              </w:rPr>
              <w:t>Pathé,</w:t>
            </w:r>
          </w:p>
        </w:tc>
        <w:tc>
          <w:tcPr>
            <w:tcW w:w="2314" w:type="dxa"/>
            <w:tcBorders>
              <w:bottom w:val="nil"/>
            </w:tcBorders>
          </w:tcPr>
          <w:p>
            <w:pPr>
              <w:pStyle w:val="TableParagraph"/>
              <w:spacing w:line="251" w:lineRule="exact"/>
              <w:ind w:left="100"/>
              <w:rPr>
                <w:sz w:val="22"/>
              </w:rPr>
            </w:pPr>
            <w:r>
              <w:rPr>
                <w:sz w:val="22"/>
              </w:rPr>
              <w:t>Claro!,   pues   es  un</w:t>
            </w:r>
          </w:p>
        </w:tc>
        <w:tc>
          <w:tcPr>
            <w:tcW w:w="3901" w:type="dxa"/>
            <w:tcBorders>
              <w:bottom w:val="nil"/>
            </w:tcBorders>
          </w:tcPr>
          <w:p>
            <w:pPr>
              <w:pStyle w:val="TableParagraph"/>
              <w:spacing w:line="251" w:lineRule="exact"/>
              <w:rPr>
                <w:sz w:val="22"/>
              </w:rPr>
            </w:pPr>
            <w:r>
              <w:rPr>
                <w:sz w:val="22"/>
              </w:rPr>
              <w:t>Para riego los ejidatarios de la zona y</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Carlos</w:t>
            </w:r>
          </w:p>
        </w:tc>
        <w:tc>
          <w:tcPr>
            <w:tcW w:w="1274" w:type="dxa"/>
            <w:tcBorders>
              <w:top w:val="nil"/>
              <w:bottom w:val="nil"/>
            </w:tcBorders>
          </w:tcPr>
          <w:p>
            <w:pPr>
              <w:pStyle w:val="TableParagraph"/>
              <w:spacing w:line="242" w:lineRule="exact"/>
              <w:ind w:left="100" w:right="98"/>
              <w:rPr>
                <w:sz w:val="22"/>
              </w:rPr>
            </w:pPr>
            <w:r>
              <w:rPr>
                <w:sz w:val="22"/>
              </w:rPr>
              <w:t>ia</w:t>
            </w:r>
          </w:p>
        </w:tc>
        <w:tc>
          <w:tcPr>
            <w:tcW w:w="1887" w:type="dxa"/>
            <w:gridSpan w:val="2"/>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Style w:val="TableParagraph"/>
              <w:spacing w:line="242" w:lineRule="exact"/>
              <w:rPr>
                <w:sz w:val="22"/>
              </w:rPr>
            </w:pPr>
            <w:r>
              <w:rPr>
                <w:sz w:val="22"/>
              </w:rPr>
              <w:t>Acambay</w:t>
            </w:r>
          </w:p>
        </w:tc>
        <w:tc>
          <w:tcPr>
            <w:tcW w:w="1174" w:type="dxa"/>
            <w:tcBorders>
              <w:top w:val="nil"/>
              <w:bottom w:val="nil"/>
            </w:tcBorders>
          </w:tcPr>
          <w:p>
            <w:pPr>
              <w:pStyle w:val="TableParagraph"/>
              <w:spacing w:line="242" w:lineRule="exact"/>
              <w:rPr>
                <w:sz w:val="22"/>
              </w:rPr>
            </w:pPr>
            <w:r>
              <w:rPr>
                <w:sz w:val="22"/>
              </w:rPr>
              <w:t>Acambay</w:t>
            </w:r>
          </w:p>
        </w:tc>
        <w:tc>
          <w:tcPr>
            <w:tcW w:w="2314" w:type="dxa"/>
            <w:tcBorders>
              <w:top w:val="nil"/>
              <w:bottom w:val="nil"/>
            </w:tcBorders>
          </w:tcPr>
          <w:p>
            <w:pPr>
              <w:pStyle w:val="TableParagraph"/>
              <w:spacing w:line="242" w:lineRule="exact"/>
              <w:ind w:left="100"/>
              <w:rPr>
                <w:sz w:val="22"/>
              </w:rPr>
            </w:pPr>
            <w:r>
              <w:rPr>
                <w:sz w:val="22"/>
              </w:rPr>
              <w:t>vaso captador pluvial</w:t>
            </w:r>
          </w:p>
        </w:tc>
        <w:tc>
          <w:tcPr>
            <w:tcW w:w="3901" w:type="dxa"/>
            <w:tcBorders>
              <w:top w:val="nil"/>
              <w:bottom w:val="nil"/>
            </w:tcBorders>
          </w:tcPr>
          <w:p>
            <w:pPr>
              <w:pStyle w:val="TableParagraph"/>
              <w:spacing w:line="242" w:lineRule="exact"/>
              <w:rPr>
                <w:sz w:val="22"/>
              </w:rPr>
            </w:pPr>
            <w:r>
              <w:rPr>
                <w:sz w:val="22"/>
              </w:rPr>
              <w:t>para pesca.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Sámano</w:t>
            </w:r>
          </w:p>
        </w:tc>
        <w:tc>
          <w:tcPr>
            <w:tcW w:w="1274" w:type="dxa"/>
            <w:tcBorders>
              <w:top w:val="nil"/>
              <w:bottom w:val="nil"/>
            </w:tcBorders>
          </w:tcPr>
          <w:p>
            <w:pPr/>
          </w:p>
        </w:tc>
        <w:tc>
          <w:tcPr>
            <w:tcW w:w="1887" w:type="dxa"/>
            <w:gridSpan w:val="2"/>
            <w:tcBorders>
              <w:top w:val="nil"/>
              <w:bottom w:val="nil"/>
            </w:tcBorders>
          </w:tcPr>
          <w:p>
            <w:pPr>
              <w:pStyle w:val="TableParagraph"/>
              <w:spacing w:line="241"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820" w:val="left" w:leader="none"/>
                <w:tab w:pos="1918" w:val="left" w:leader="none"/>
              </w:tabs>
              <w:spacing w:line="241" w:lineRule="exact"/>
              <w:ind w:left="100"/>
              <w:rPr>
                <w:sz w:val="22"/>
              </w:rPr>
            </w:pPr>
            <w:r>
              <w:rPr>
                <w:sz w:val="22"/>
              </w:rPr>
              <w:t>que</w:t>
              <w:tab/>
              <w:t>recarga</w:t>
              <w:tab/>
              <w:t>los</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Díaz</w:t>
            </w:r>
          </w:p>
        </w:tc>
        <w:tc>
          <w:tcPr>
            <w:tcW w:w="1274" w:type="dxa"/>
            <w:tcBorders>
              <w:top w:val="nil"/>
              <w:bottom w:val="nil"/>
            </w:tcBorders>
          </w:tcPr>
          <w:p>
            <w:pPr/>
          </w:p>
        </w:tc>
        <w:tc>
          <w:tcPr>
            <w:tcW w:w="1887" w:type="dxa"/>
            <w:gridSpan w:val="2"/>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mantos freáticos y de</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gridSpan w:val="2"/>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alguna  manera sirve</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(27/I/2015)</w:t>
            </w:r>
          </w:p>
        </w:tc>
        <w:tc>
          <w:tcPr>
            <w:tcW w:w="1274" w:type="dxa"/>
            <w:tcBorders>
              <w:top w:val="nil"/>
              <w:bottom w:val="nil"/>
            </w:tcBorders>
          </w:tcPr>
          <w:p>
            <w:pPr/>
          </w:p>
        </w:tc>
        <w:tc>
          <w:tcPr>
            <w:tcW w:w="1887" w:type="dxa"/>
            <w:gridSpan w:val="2"/>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para  el  riego  de los</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gridSpan w:val="2"/>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cultivos de la región</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Adán</w:t>
            </w:r>
          </w:p>
        </w:tc>
        <w:tc>
          <w:tcPr>
            <w:tcW w:w="1274" w:type="dxa"/>
            <w:tcBorders>
              <w:bottom w:val="nil"/>
            </w:tcBorders>
          </w:tcPr>
          <w:p>
            <w:pPr/>
          </w:p>
        </w:tc>
        <w:tc>
          <w:tcPr>
            <w:tcW w:w="1475" w:type="dxa"/>
            <w:tcBorders>
              <w:bottom w:val="nil"/>
              <w:right w:val="nil"/>
            </w:tcBorders>
          </w:tcPr>
          <w:p>
            <w:pPr>
              <w:pStyle w:val="TableParagraph"/>
              <w:spacing w:line="251" w:lineRule="exact"/>
              <w:rPr>
                <w:sz w:val="22"/>
              </w:rPr>
            </w:pPr>
            <w:r>
              <w:rPr>
                <w:sz w:val="22"/>
              </w:rPr>
              <w:t>Director</w:t>
            </w:r>
          </w:p>
        </w:tc>
        <w:tc>
          <w:tcPr>
            <w:tcW w:w="412" w:type="dxa"/>
            <w:tcBorders>
              <w:left w:val="nil"/>
              <w:bottom w:val="nil"/>
            </w:tcBorders>
          </w:tcPr>
          <w:p>
            <w:pPr>
              <w:pStyle w:val="TableParagraph"/>
              <w:spacing w:line="251" w:lineRule="exact"/>
              <w:ind w:left="0" w:right="101"/>
              <w:jc w:val="right"/>
              <w:rPr>
                <w:sz w:val="22"/>
              </w:rPr>
            </w:pPr>
            <w:r>
              <w:rPr>
                <w:sz w:val="22"/>
              </w:rPr>
              <w:t>de</w:t>
            </w:r>
          </w:p>
        </w:tc>
        <w:tc>
          <w:tcPr>
            <w:tcW w:w="1289" w:type="dxa"/>
            <w:tcBorders>
              <w:bottom w:val="nil"/>
            </w:tcBorders>
          </w:tcPr>
          <w:p>
            <w:pPr>
              <w:pStyle w:val="TableParagraph"/>
              <w:spacing w:line="251" w:lineRule="exact"/>
              <w:rPr>
                <w:sz w:val="22"/>
              </w:rPr>
            </w:pPr>
            <w:r>
              <w:rPr>
                <w:sz w:val="22"/>
              </w:rPr>
              <w:t>Atlacomul</w:t>
            </w:r>
          </w:p>
        </w:tc>
        <w:tc>
          <w:tcPr>
            <w:tcW w:w="1174" w:type="dxa"/>
            <w:tcBorders>
              <w:bottom w:val="nil"/>
            </w:tcBorders>
          </w:tcPr>
          <w:p>
            <w:pPr>
              <w:pStyle w:val="TableParagraph"/>
              <w:spacing w:line="251" w:lineRule="exact"/>
              <w:rPr>
                <w:sz w:val="22"/>
              </w:rPr>
            </w:pPr>
            <w:r>
              <w:rPr>
                <w:sz w:val="22"/>
              </w:rPr>
              <w:t>Pathé,</w:t>
            </w:r>
          </w:p>
        </w:tc>
        <w:tc>
          <w:tcPr>
            <w:tcW w:w="2314" w:type="dxa"/>
            <w:tcBorders>
              <w:bottom w:val="nil"/>
            </w:tcBorders>
          </w:tcPr>
          <w:p>
            <w:pPr>
              <w:pStyle w:val="TableParagraph"/>
              <w:spacing w:line="251" w:lineRule="exact"/>
              <w:ind w:left="100"/>
              <w:rPr>
                <w:sz w:val="22"/>
              </w:rPr>
            </w:pPr>
            <w:r>
              <w:rPr>
                <w:sz w:val="22"/>
              </w:rPr>
              <w:t>Sí  porque dependen</w:t>
            </w:r>
          </w:p>
        </w:tc>
        <w:tc>
          <w:tcPr>
            <w:tcW w:w="3901" w:type="dxa"/>
            <w:tcBorders>
              <w:bottom w:val="nil"/>
            </w:tcBorders>
          </w:tcPr>
          <w:p>
            <w:pPr>
              <w:pStyle w:val="TableParagraph"/>
              <w:spacing w:line="251" w:lineRule="exact"/>
              <w:rPr>
                <w:sz w:val="22"/>
              </w:rPr>
            </w:pPr>
            <w:r>
              <w:rPr>
                <w:sz w:val="22"/>
              </w:rPr>
              <w:t>Para riego en San Juan del Río,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Sámano</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475" w:type="dxa"/>
            <w:tcBorders>
              <w:top w:val="nil"/>
              <w:bottom w:val="nil"/>
              <w:right w:val="nil"/>
            </w:tcBorders>
          </w:tcPr>
          <w:p>
            <w:pPr>
              <w:pStyle w:val="TableParagraph"/>
              <w:spacing w:line="242" w:lineRule="exact"/>
              <w:rPr>
                <w:sz w:val="22"/>
              </w:rPr>
            </w:pPr>
            <w:r>
              <w:rPr>
                <w:sz w:val="22"/>
              </w:rPr>
              <w:t>Turismo</w:t>
            </w:r>
          </w:p>
        </w:tc>
        <w:tc>
          <w:tcPr>
            <w:tcW w:w="412" w:type="dxa"/>
            <w:tcBorders>
              <w:top w:val="nil"/>
              <w:left w:val="nil"/>
              <w:bottom w:val="nil"/>
            </w:tcBorders>
          </w:tcPr>
          <w:p>
            <w:pPr>
              <w:pStyle w:val="TableParagraph"/>
              <w:spacing w:line="242" w:lineRule="exact"/>
              <w:ind w:left="0" w:right="99"/>
              <w:jc w:val="right"/>
              <w:rPr>
                <w:sz w:val="22"/>
              </w:rPr>
            </w:pPr>
            <w:r>
              <w:rPr>
                <w:w w:val="100"/>
                <w:sz w:val="22"/>
              </w:rPr>
              <w:t>y</w:t>
            </w:r>
          </w:p>
        </w:tc>
        <w:tc>
          <w:tcPr>
            <w:tcW w:w="1289" w:type="dxa"/>
            <w:tcBorders>
              <w:top w:val="nil"/>
              <w:bottom w:val="nil"/>
            </w:tcBorders>
          </w:tcPr>
          <w:p>
            <w:pPr>
              <w:pStyle w:val="TableParagraph"/>
              <w:spacing w:line="242" w:lineRule="exact"/>
              <w:rPr>
                <w:sz w:val="22"/>
              </w:rPr>
            </w:pPr>
            <w:r>
              <w:rPr>
                <w:sz w:val="22"/>
              </w:rPr>
              <w:t>co</w:t>
            </w:r>
          </w:p>
        </w:tc>
        <w:tc>
          <w:tcPr>
            <w:tcW w:w="1174" w:type="dxa"/>
            <w:tcBorders>
              <w:top w:val="nil"/>
              <w:bottom w:val="nil"/>
            </w:tcBorders>
          </w:tcPr>
          <w:p>
            <w:pPr>
              <w:pStyle w:val="TableParagraph"/>
              <w:spacing w:line="242" w:lineRule="exact"/>
              <w:rPr>
                <w:sz w:val="22"/>
              </w:rPr>
            </w:pPr>
            <w:r>
              <w:rPr>
                <w:sz w:val="22"/>
              </w:rPr>
              <w:t>Acambay</w:t>
            </w:r>
          </w:p>
        </w:tc>
        <w:tc>
          <w:tcPr>
            <w:tcW w:w="2314" w:type="dxa"/>
            <w:tcBorders>
              <w:top w:val="nil"/>
              <w:bottom w:val="nil"/>
            </w:tcBorders>
          </w:tcPr>
          <w:p>
            <w:pPr>
              <w:pStyle w:val="TableParagraph"/>
              <w:spacing w:line="242" w:lineRule="exact"/>
              <w:ind w:left="100"/>
              <w:rPr>
                <w:sz w:val="22"/>
              </w:rPr>
            </w:pPr>
            <w:r>
              <w:rPr>
                <w:sz w:val="22"/>
              </w:rPr>
              <w:t>muchas familias para</w:t>
            </w:r>
          </w:p>
        </w:tc>
        <w:tc>
          <w:tcPr>
            <w:tcW w:w="3901" w:type="dxa"/>
            <w:tcBorders>
              <w:top w:val="nil"/>
              <w:bottom w:val="nil"/>
            </w:tcBorders>
          </w:tcPr>
          <w:p>
            <w:pPr>
              <w:pStyle w:val="TableParagraph"/>
              <w:spacing w:line="242" w:lineRule="exact"/>
              <w:rPr>
                <w:sz w:val="22"/>
              </w:rPr>
            </w:pPr>
            <w:r>
              <w:rPr>
                <w:sz w:val="22"/>
              </w:rPr>
              <w:t>Aculco y Polotitlán.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Peralta</w:t>
            </w:r>
          </w:p>
        </w:tc>
        <w:tc>
          <w:tcPr>
            <w:tcW w:w="1274" w:type="dxa"/>
            <w:tcBorders>
              <w:top w:val="nil"/>
              <w:bottom w:val="nil"/>
            </w:tcBorders>
          </w:tcPr>
          <w:p>
            <w:pPr/>
          </w:p>
        </w:tc>
        <w:tc>
          <w:tcPr>
            <w:tcW w:w="1475" w:type="dxa"/>
            <w:tcBorders>
              <w:top w:val="nil"/>
              <w:bottom w:val="nil"/>
              <w:right w:val="nil"/>
            </w:tcBorders>
          </w:tcPr>
          <w:p>
            <w:pPr>
              <w:pStyle w:val="TableParagraph"/>
              <w:spacing w:line="241" w:lineRule="exact"/>
              <w:rPr>
                <w:sz w:val="22"/>
              </w:rPr>
            </w:pPr>
            <w:r>
              <w:rPr>
                <w:sz w:val="22"/>
              </w:rPr>
              <w:t>Fomento</w:t>
            </w: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sus   cosechas,  para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475" w:type="dxa"/>
            <w:tcBorders>
              <w:top w:val="nil"/>
              <w:bottom w:val="nil"/>
              <w:right w:val="nil"/>
            </w:tcBorders>
          </w:tcPr>
          <w:p>
            <w:pPr>
              <w:pStyle w:val="TableParagraph"/>
              <w:spacing w:line="242" w:lineRule="exact"/>
              <w:rPr>
                <w:sz w:val="22"/>
              </w:rPr>
            </w:pPr>
            <w:r>
              <w:rPr>
                <w:sz w:val="22"/>
              </w:rPr>
              <w:t>Económico</w:t>
            </w: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55" w:val="left" w:leader="none"/>
                <w:tab w:pos="1321" w:val="left" w:leader="none"/>
              </w:tabs>
              <w:spacing w:line="242" w:lineRule="exact"/>
              <w:ind w:left="100"/>
              <w:rPr>
                <w:sz w:val="22"/>
              </w:rPr>
            </w:pPr>
            <w:r>
              <w:rPr>
                <w:sz w:val="22"/>
              </w:rPr>
              <w:t>que</w:t>
              <w:tab/>
              <w:t>los</w:t>
              <w:tab/>
              <w:t>animales</w:t>
            </w:r>
          </w:p>
        </w:tc>
        <w:tc>
          <w:tcPr>
            <w:tcW w:w="3901"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(27/I/2015)</w:t>
            </w:r>
          </w:p>
        </w:tc>
        <w:tc>
          <w:tcPr>
            <w:tcW w:w="1274" w:type="dxa"/>
            <w:tcBorders>
              <w:top w:val="nil"/>
              <w:bottom w:val="nil"/>
            </w:tcBorders>
          </w:tcPr>
          <w:p>
            <w:pPr/>
          </w:p>
        </w:tc>
        <w:tc>
          <w:tcPr>
            <w:tcW w:w="1475" w:type="dxa"/>
            <w:tcBorders>
              <w:top w:val="nil"/>
              <w:bottom w:val="nil"/>
              <w:right w:val="nil"/>
            </w:tcBorders>
          </w:tcPr>
          <w:p>
            <w:pP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tomen   agua  porque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475" w:type="dxa"/>
            <w:tcBorders>
              <w:top w:val="nil"/>
              <w:bottom w:val="nil"/>
              <w:right w:val="nil"/>
            </w:tcBorders>
          </w:tcPr>
          <w:p>
            <w:pP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479" w:val="left" w:leader="none"/>
                <w:tab w:pos="1348" w:val="left" w:leader="none"/>
                <w:tab w:pos="1784" w:val="left" w:leader="none"/>
              </w:tabs>
              <w:spacing w:line="241" w:lineRule="exact"/>
              <w:ind w:left="100"/>
              <w:rPr>
                <w:sz w:val="22"/>
              </w:rPr>
            </w:pPr>
            <w:r>
              <w:rPr>
                <w:sz w:val="22"/>
              </w:rPr>
              <w:t>la</w:t>
              <w:tab/>
              <w:t>laguna</w:t>
              <w:tab/>
              <w:t>es</w:t>
              <w:tab/>
              <w:t>muy</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475" w:type="dxa"/>
            <w:tcBorders>
              <w:top w:val="nil"/>
              <w:bottom w:val="nil"/>
              <w:right w:val="nil"/>
            </w:tcBorders>
          </w:tcPr>
          <w:p>
            <w:pP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63" w:val="left" w:leader="none"/>
                <w:tab w:pos="1957" w:val="left" w:leader="none"/>
              </w:tabs>
              <w:spacing w:line="242" w:lineRule="exact"/>
              <w:ind w:left="100"/>
              <w:rPr>
                <w:sz w:val="22"/>
              </w:rPr>
            </w:pPr>
            <w:r>
              <w:rPr>
                <w:sz w:val="22"/>
              </w:rPr>
              <w:t>grande,</w:t>
              <w:tab/>
              <w:t>tiene</w:t>
              <w:tab/>
              <w:t>37</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475" w:type="dxa"/>
            <w:tcBorders>
              <w:top w:val="nil"/>
              <w:bottom w:val="nil"/>
              <w:right w:val="nil"/>
            </w:tcBorders>
          </w:tcPr>
          <w:p>
            <w:pP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7" w:val="left" w:leader="none"/>
              </w:tabs>
              <w:spacing w:line="241" w:lineRule="exact"/>
              <w:ind w:left="100"/>
              <w:rPr>
                <w:sz w:val="22"/>
              </w:rPr>
            </w:pPr>
            <w:r>
              <w:rPr>
                <w:sz w:val="22"/>
              </w:rPr>
              <w:t>kilómetros</w:t>
              <w:tab/>
              <w:t>de</w:t>
            </w:r>
          </w:p>
        </w:tc>
        <w:tc>
          <w:tcPr>
            <w:tcW w:w="3901" w:type="dxa"/>
            <w:tcBorders>
              <w:top w:val="nil"/>
              <w:bottom w:val="nil"/>
            </w:tcBorders>
          </w:tcPr>
          <w:p>
            <w:pP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475" w:type="dxa"/>
            <w:tcBorders>
              <w:top w:val="nil"/>
              <w:bottom w:val="nil"/>
              <w:right w:val="nil"/>
            </w:tcBorders>
          </w:tcPr>
          <w:p>
            <w:pP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longitud,  da </w:t>
            </w:r>
            <w:r>
              <w:rPr>
                <w:spacing w:val="51"/>
                <w:sz w:val="22"/>
              </w:rPr>
              <w:t> </w:t>
            </w:r>
            <w:r>
              <w:rPr>
                <w:sz w:val="22"/>
              </w:rPr>
              <w:t>empleo</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475" w:type="dxa"/>
            <w:tcBorders>
              <w:top w:val="nil"/>
              <w:bottom w:val="nil"/>
              <w:right w:val="nil"/>
            </w:tcBorders>
          </w:tcPr>
          <w:p>
            <w:pP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para los</w:t>
            </w:r>
            <w:r>
              <w:rPr>
                <w:spacing w:val="53"/>
                <w:sz w:val="22"/>
              </w:rPr>
              <w:t> </w:t>
            </w:r>
            <w:r>
              <w:rPr>
                <w:sz w:val="22"/>
              </w:rPr>
              <w:t>pescadores,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475" w:type="dxa"/>
            <w:tcBorders>
              <w:top w:val="nil"/>
              <w:bottom w:val="nil"/>
              <w:right w:val="nil"/>
            </w:tcBorders>
          </w:tcPr>
          <w:p>
            <w:pP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49" w:val="left" w:leader="none"/>
                <w:tab w:pos="1127" w:val="left" w:leader="none"/>
                <w:tab w:pos="1957" w:val="left" w:leader="none"/>
              </w:tabs>
              <w:spacing w:line="241" w:lineRule="exact"/>
              <w:ind w:left="100"/>
              <w:rPr>
                <w:sz w:val="22"/>
              </w:rPr>
            </w:pPr>
            <w:r>
              <w:rPr>
                <w:sz w:val="22"/>
              </w:rPr>
              <w:t>es</w:t>
              <w:tab/>
              <w:t>una</w:t>
              <w:tab/>
              <w:t>fuente</w:t>
              <w:tab/>
              <w:t>de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475" w:type="dxa"/>
            <w:tcBorders>
              <w:top w:val="nil"/>
              <w:bottom w:val="nil"/>
              <w:right w:val="nil"/>
            </w:tcBorders>
          </w:tcPr>
          <w:p>
            <w:pP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empleo  de  ahí   vive</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475" w:type="dxa"/>
            <w:tcBorders>
              <w:top w:val="nil"/>
              <w:right w:val="nil"/>
            </w:tcBorders>
          </w:tcPr>
          <w:p>
            <w:pPr/>
          </w:p>
        </w:tc>
        <w:tc>
          <w:tcPr>
            <w:tcW w:w="412" w:type="dxa"/>
            <w:tcBorders>
              <w:top w:val="nil"/>
              <w:left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mucha gente.</w:t>
            </w:r>
          </w:p>
        </w:tc>
        <w:tc>
          <w:tcPr>
            <w:tcW w:w="3901"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pgSz w:w="15840" w:h="12240" w:orient="landscape"/>
          <w:pgMar w:header="0" w:footer="943" w:top="1140" w:bottom="1200" w:left="1200" w:right="1180"/>
        </w:sectPr>
      </w:pPr>
    </w:p>
    <w:p>
      <w:pPr>
        <w:pStyle w:val="BodyText"/>
        <w:rPr>
          <w:sz w:val="20"/>
        </w:rPr>
      </w:pPr>
    </w:p>
    <w:p>
      <w:pPr>
        <w:pStyle w:val="BodyText"/>
        <w:spacing w:before="1"/>
      </w:pPr>
    </w:p>
    <w:p>
      <w:pPr>
        <w:pStyle w:val="Heading6"/>
        <w:spacing w:before="73" w:after="4"/>
        <w:ind w:left="2294" w:right="778"/>
      </w:pPr>
      <w:r>
        <w:rPr/>
        <w:t>Tabla 6.9. Municipio de Acambay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2" w:hRule="exact"/>
        </w:trPr>
        <w:tc>
          <w:tcPr>
            <w:tcW w:w="13224" w:type="dxa"/>
            <w:gridSpan w:val="7"/>
            <w:shd w:val="clear" w:color="auto" w:fill="9BBA58"/>
          </w:tcPr>
          <w:p>
            <w:pPr>
              <w:pStyle w:val="TableParagraph"/>
              <w:spacing w:line="248" w:lineRule="exact"/>
              <w:ind w:left="4867" w:right="4870"/>
              <w:jc w:val="center"/>
              <w:rPr>
                <w:b/>
                <w:sz w:val="22"/>
              </w:rPr>
            </w:pPr>
            <w:r>
              <w:rPr>
                <w:b/>
                <w:sz w:val="22"/>
              </w:rPr>
              <w:t>ACAMBAY</w:t>
            </w:r>
          </w:p>
        </w:tc>
      </w:tr>
      <w:tr>
        <w:trPr>
          <w:trHeight w:val="524" w:hRule="exact"/>
        </w:trPr>
        <w:tc>
          <w:tcPr>
            <w:tcW w:w="4547" w:type="dxa"/>
            <w:gridSpan w:val="3"/>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4"/>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1022"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Cultura</w:t>
            </w:r>
          </w:p>
        </w:tc>
        <w:tc>
          <w:tcPr>
            <w:tcW w:w="3901" w:type="dxa"/>
            <w:shd w:val="clear" w:color="auto" w:fill="92CDDC"/>
          </w:tcPr>
          <w:p>
            <w:pPr>
              <w:pStyle w:val="TableParagraph"/>
              <w:tabs>
                <w:tab w:pos="2418" w:val="left" w:leader="none"/>
              </w:tabs>
              <w:ind w:right="100"/>
              <w:jc w:val="both"/>
              <w:rPr>
                <w:b/>
                <w:i/>
                <w:sz w:val="22"/>
              </w:rPr>
            </w:pPr>
            <w:r>
              <w:rPr>
                <w:b/>
                <w:i/>
                <w:sz w:val="22"/>
              </w:rPr>
              <w:t>Democracia y voluntariedad de la </w:t>
            </w:r>
            <w:r>
              <w:rPr>
                <w:b/>
                <w:i/>
                <w:sz w:val="22"/>
              </w:rPr>
              <w:t>sociedad,</w:t>
              <w:tab/>
            </w:r>
            <w:r>
              <w:rPr>
                <w:b/>
                <w:i/>
                <w:spacing w:val="-1"/>
                <w:sz w:val="22"/>
              </w:rPr>
              <w:t>cooperación, </w:t>
            </w:r>
            <w:r>
              <w:rPr>
                <w:b/>
                <w:i/>
                <w:sz w:val="22"/>
              </w:rPr>
              <w:t>participación social y relaciones intermunicipales</w:t>
            </w:r>
          </w:p>
        </w:tc>
      </w:tr>
      <w:tr>
        <w:trPr>
          <w:trHeight w:val="266"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274" w:type="dxa"/>
            <w:tcBorders>
              <w:bottom w:val="nil"/>
            </w:tcBorders>
            <w:shd w:val="clear" w:color="auto" w:fill="F9BE8F"/>
          </w:tcPr>
          <w:p>
            <w:pPr>
              <w:pStyle w:val="TableParagraph"/>
              <w:spacing w:line="249" w:lineRule="exact"/>
              <w:ind w:left="100" w:right="98"/>
              <w:rPr>
                <w:b/>
                <w:sz w:val="22"/>
              </w:rPr>
            </w:pPr>
            <w:r>
              <w:rPr>
                <w:b/>
                <w:sz w:val="22"/>
              </w:rPr>
              <w:t>Nivel</w:t>
            </w:r>
          </w:p>
        </w:tc>
        <w:tc>
          <w:tcPr>
            <w:tcW w:w="1887" w:type="dxa"/>
            <w:tcBorders>
              <w:bottom w:val="nil"/>
            </w:tcBorders>
            <w:shd w:val="clear" w:color="auto" w:fill="F9BE8F"/>
          </w:tcPr>
          <w:p>
            <w:pPr>
              <w:pStyle w:val="TableParagraph"/>
              <w:spacing w:line="249" w:lineRule="exact"/>
              <w:rPr>
                <w:b/>
                <w:sz w:val="22"/>
              </w:rPr>
            </w:pPr>
            <w:r>
              <w:rPr>
                <w:b/>
                <w:sz w:val="22"/>
              </w:rPr>
              <w:t>Cargo Público</w:t>
            </w:r>
          </w:p>
        </w:tc>
        <w:tc>
          <w:tcPr>
            <w:tcW w:w="1289" w:type="dxa"/>
            <w:tcBorders>
              <w:bottom w:val="nil"/>
            </w:tcBorders>
            <w:shd w:val="clear" w:color="auto" w:fill="92CDDC"/>
          </w:tcPr>
          <w:p>
            <w:pPr>
              <w:pStyle w:val="TableParagraph"/>
              <w:spacing w:line="249" w:lineRule="exact"/>
              <w:rPr>
                <w:b/>
                <w:sz w:val="22"/>
              </w:rPr>
            </w:pPr>
            <w:r>
              <w:rPr>
                <w:b/>
                <w:sz w:val="22"/>
              </w:rPr>
              <w:t>¿Dónde</w:t>
            </w:r>
          </w:p>
        </w:tc>
        <w:tc>
          <w:tcPr>
            <w:tcW w:w="1174" w:type="dxa"/>
            <w:tcBorders>
              <w:bottom w:val="nil"/>
            </w:tcBorders>
            <w:shd w:val="clear" w:color="auto" w:fill="92CDDC"/>
          </w:tcPr>
          <w:p>
            <w:pPr>
              <w:pStyle w:val="TableParagraph"/>
              <w:spacing w:line="249" w:lineRule="exact"/>
              <w:rPr>
                <w:b/>
                <w:sz w:val="22"/>
              </w:rPr>
            </w:pPr>
            <w:r>
              <w:rPr>
                <w:b/>
                <w:sz w:val="22"/>
              </w:rPr>
              <w:t>¿Dónde</w:t>
            </w:r>
          </w:p>
        </w:tc>
        <w:tc>
          <w:tcPr>
            <w:tcW w:w="2314" w:type="dxa"/>
            <w:tcBorders>
              <w:bottom w:val="nil"/>
            </w:tcBorders>
            <w:shd w:val="clear" w:color="auto" w:fill="92CDDC"/>
          </w:tcPr>
          <w:p>
            <w:pPr>
              <w:pStyle w:val="TableParagraph"/>
              <w:spacing w:line="249" w:lineRule="exact"/>
              <w:ind w:left="100"/>
              <w:rPr>
                <w:b/>
                <w:sz w:val="22"/>
              </w:rPr>
            </w:pPr>
            <w:r>
              <w:rPr>
                <w:b/>
                <w:sz w:val="22"/>
              </w:rPr>
              <w:t>¿Considera  que  se</w:t>
            </w:r>
          </w:p>
        </w:tc>
        <w:tc>
          <w:tcPr>
            <w:tcW w:w="3901" w:type="dxa"/>
            <w:tcBorders>
              <w:bottom w:val="nil"/>
            </w:tcBorders>
            <w:shd w:val="clear" w:color="auto" w:fill="92CDDC"/>
          </w:tcPr>
          <w:p>
            <w:pPr>
              <w:pStyle w:val="TableParagraph"/>
              <w:spacing w:line="249" w:lineRule="exact"/>
              <w:rPr>
                <w:b/>
                <w:sz w:val="22"/>
              </w:rPr>
            </w:pPr>
            <w:r>
              <w:rPr>
                <w:b/>
                <w:sz w:val="22"/>
              </w:rPr>
              <w:t>¿Considera que debe cooperar su</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2"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2" w:lineRule="exact"/>
              <w:rPr>
                <w:b/>
                <w:sz w:val="22"/>
              </w:rPr>
            </w:pPr>
            <w:r>
              <w:rPr>
                <w:b/>
                <w:sz w:val="22"/>
              </w:rPr>
              <w:t>nació?</w:t>
            </w:r>
          </w:p>
        </w:tc>
        <w:tc>
          <w:tcPr>
            <w:tcW w:w="1174" w:type="dxa"/>
            <w:tcBorders>
              <w:top w:val="nil"/>
              <w:bottom w:val="nil"/>
            </w:tcBorders>
            <w:shd w:val="clear" w:color="auto" w:fill="92CDDC"/>
          </w:tcPr>
          <w:p>
            <w:pPr>
              <w:pStyle w:val="TableParagraph"/>
              <w:spacing w:line="242" w:lineRule="exact"/>
              <w:rPr>
                <w:b/>
                <w:sz w:val="22"/>
              </w:rPr>
            </w:pPr>
            <w:r>
              <w:rPr>
                <w:b/>
                <w:sz w:val="22"/>
              </w:rPr>
              <w:t>vive?</w:t>
            </w:r>
          </w:p>
        </w:tc>
        <w:tc>
          <w:tcPr>
            <w:tcW w:w="2314" w:type="dxa"/>
            <w:tcBorders>
              <w:top w:val="nil"/>
              <w:bottom w:val="nil"/>
            </w:tcBorders>
            <w:shd w:val="clear" w:color="auto" w:fill="92CDDC"/>
          </w:tcPr>
          <w:p>
            <w:pPr>
              <w:pStyle w:val="TableParagraph"/>
              <w:tabs>
                <w:tab w:pos="582" w:val="left" w:leader="none"/>
                <w:tab w:pos="2017" w:val="left" w:leader="none"/>
              </w:tabs>
              <w:spacing w:line="242" w:lineRule="exact"/>
              <w:ind w:left="100"/>
              <w:rPr>
                <w:b/>
                <w:sz w:val="22"/>
              </w:rPr>
            </w:pPr>
            <w:r>
              <w:rPr>
                <w:b/>
                <w:sz w:val="22"/>
              </w:rPr>
              <w:t>ha</w:t>
              <w:tab/>
              <w:t>deteriorado</w:t>
              <w:tab/>
              <w:t>la</w:t>
            </w:r>
          </w:p>
        </w:tc>
        <w:tc>
          <w:tcPr>
            <w:tcW w:w="3901" w:type="dxa"/>
            <w:tcBorders>
              <w:top w:val="nil"/>
              <w:bottom w:val="nil"/>
            </w:tcBorders>
            <w:shd w:val="clear" w:color="auto" w:fill="92CDDC"/>
          </w:tcPr>
          <w:p>
            <w:pPr>
              <w:pStyle w:val="TableParagraph"/>
              <w:spacing w:line="242" w:lineRule="exact"/>
              <w:rPr>
                <w:b/>
                <w:sz w:val="22"/>
              </w:rPr>
            </w:pPr>
            <w:r>
              <w:rPr>
                <w:b/>
                <w:sz w:val="22"/>
              </w:rPr>
              <w:t>municipio para que no se deteriore</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945" w:val="left" w:leader="none"/>
              </w:tabs>
              <w:spacing w:line="241"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1" w:lineRule="exact"/>
              <w:rPr>
                <w:b/>
                <w:sz w:val="22"/>
              </w:rPr>
            </w:pPr>
            <w:r>
              <w:rPr>
                <w:b/>
                <w:sz w:val="22"/>
              </w:rPr>
              <w:t>la laguna de Huapango?</w:t>
            </w: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Huapango?</w:t>
            </w:r>
          </w:p>
        </w:tc>
        <w:tc>
          <w:tcPr>
            <w:tcW w:w="3901"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Irineo Ruiz</w:t>
            </w:r>
          </w:p>
        </w:tc>
        <w:tc>
          <w:tcPr>
            <w:tcW w:w="1274" w:type="dxa"/>
            <w:tcBorders>
              <w:bottom w:val="nil"/>
            </w:tcBorders>
          </w:tcPr>
          <w:p>
            <w:pPr>
              <w:pStyle w:val="TableParagraph"/>
              <w:spacing w:line="251" w:lineRule="exact"/>
              <w:ind w:left="100" w:right="98"/>
              <w:rPr>
                <w:sz w:val="22"/>
              </w:rPr>
            </w:pPr>
            <w:r>
              <w:rPr>
                <w:sz w:val="22"/>
              </w:rPr>
              <w:t>Profesor</w:t>
            </w:r>
          </w:p>
        </w:tc>
        <w:tc>
          <w:tcPr>
            <w:tcW w:w="1887" w:type="dxa"/>
            <w:tcBorders>
              <w:bottom w:val="nil"/>
            </w:tcBorders>
          </w:tcPr>
          <w:p>
            <w:pPr>
              <w:pStyle w:val="TableParagraph"/>
              <w:spacing w:line="251" w:lineRule="exact"/>
              <w:rPr>
                <w:sz w:val="22"/>
              </w:rPr>
            </w:pPr>
            <w:r>
              <w:rPr>
                <w:sz w:val="22"/>
              </w:rPr>
              <w:t>Presidente</w:t>
            </w:r>
          </w:p>
        </w:tc>
        <w:tc>
          <w:tcPr>
            <w:tcW w:w="1289" w:type="dxa"/>
            <w:tcBorders>
              <w:bottom w:val="nil"/>
            </w:tcBorders>
          </w:tcPr>
          <w:p>
            <w:pPr>
              <w:pStyle w:val="TableParagraph"/>
              <w:spacing w:line="251" w:lineRule="exact"/>
              <w:rPr>
                <w:sz w:val="22"/>
              </w:rPr>
            </w:pPr>
            <w:r>
              <w:rPr>
                <w:sz w:val="22"/>
              </w:rPr>
              <w:t>Acambay</w:t>
            </w:r>
          </w:p>
        </w:tc>
        <w:tc>
          <w:tcPr>
            <w:tcW w:w="1174" w:type="dxa"/>
            <w:tcBorders>
              <w:bottom w:val="nil"/>
            </w:tcBorders>
          </w:tcPr>
          <w:p>
            <w:pPr>
              <w:pStyle w:val="TableParagraph"/>
              <w:spacing w:line="251" w:lineRule="exact"/>
              <w:rPr>
                <w:sz w:val="22"/>
              </w:rPr>
            </w:pPr>
            <w:r>
              <w:rPr>
                <w:sz w:val="22"/>
              </w:rPr>
              <w:t>Acambay</w:t>
            </w:r>
          </w:p>
        </w:tc>
        <w:tc>
          <w:tcPr>
            <w:tcW w:w="2314" w:type="dxa"/>
            <w:tcBorders>
              <w:bottom w:val="nil"/>
            </w:tcBorders>
          </w:tcPr>
          <w:p>
            <w:pPr>
              <w:pStyle w:val="TableParagraph"/>
              <w:tabs>
                <w:tab w:pos="551" w:val="left" w:leader="none"/>
                <w:tab w:pos="1480" w:val="left" w:leader="none"/>
                <w:tab w:pos="1957" w:val="left" w:leader="none"/>
              </w:tabs>
              <w:spacing w:line="251" w:lineRule="exact"/>
              <w:ind w:left="100"/>
              <w:rPr>
                <w:sz w:val="22"/>
              </w:rPr>
            </w:pPr>
            <w:r>
              <w:rPr>
                <w:sz w:val="22"/>
              </w:rPr>
              <w:t>Sí</w:t>
              <w:tab/>
              <w:t>porque</w:t>
              <w:tab/>
              <w:t>se</w:t>
              <w:tab/>
              <w:t>ha</w:t>
            </w:r>
          </w:p>
        </w:tc>
        <w:tc>
          <w:tcPr>
            <w:tcW w:w="3901" w:type="dxa"/>
            <w:tcBorders>
              <w:bottom w:val="nil"/>
            </w:tcBorders>
          </w:tcPr>
          <w:p>
            <w:pPr>
              <w:pStyle w:val="TableParagraph"/>
              <w:spacing w:line="251" w:lineRule="exact"/>
              <w:rPr>
                <w:sz w:val="22"/>
              </w:rPr>
            </w:pPr>
            <w:r>
              <w:rPr>
                <w:sz w:val="22"/>
              </w:rPr>
              <w:t>Claro!  Porque  es  un  santuario   del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González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azolvado  y  el azolve</w:t>
            </w:r>
          </w:p>
        </w:tc>
        <w:tc>
          <w:tcPr>
            <w:tcW w:w="3901" w:type="dxa"/>
            <w:tcBorders>
              <w:top w:val="nil"/>
              <w:bottom w:val="nil"/>
            </w:tcBorders>
          </w:tcPr>
          <w:p>
            <w:pPr>
              <w:pStyle w:val="TableParagraph"/>
              <w:spacing w:line="241" w:lineRule="exact"/>
              <w:rPr>
                <w:sz w:val="22"/>
              </w:rPr>
            </w:pPr>
            <w:r>
              <w:rPr>
                <w:sz w:val="22"/>
              </w:rPr>
              <w:t>agua  y  obviamente  permite  que </w:t>
            </w:r>
            <w:r>
              <w:rPr>
                <w:spacing w:val="52"/>
                <w:sz w:val="22"/>
              </w:rPr>
              <w:t> </w:t>
            </w:r>
            <w:r>
              <w:rPr>
                <w:sz w:val="22"/>
              </w:rPr>
              <w:t>la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en su mayoría es  de</w:t>
            </w:r>
          </w:p>
        </w:tc>
        <w:tc>
          <w:tcPr>
            <w:tcW w:w="3901" w:type="dxa"/>
            <w:tcBorders>
              <w:top w:val="nil"/>
              <w:bottom w:val="nil"/>
            </w:tcBorders>
          </w:tcPr>
          <w:p>
            <w:pPr>
              <w:pStyle w:val="TableParagraph"/>
              <w:tabs>
                <w:tab w:pos="784" w:val="left" w:leader="none"/>
                <w:tab w:pos="1542" w:val="left" w:leader="none"/>
                <w:tab w:pos="2615" w:val="left" w:leader="none"/>
                <w:tab w:pos="3675" w:val="left" w:leader="none"/>
              </w:tabs>
              <w:spacing w:line="242" w:lineRule="exact"/>
              <w:rPr>
                <w:sz w:val="22"/>
              </w:rPr>
            </w:pPr>
            <w:r>
              <w:rPr>
                <w:sz w:val="22"/>
              </w:rPr>
              <w:t>zona</w:t>
              <w:tab/>
              <w:t>tenga</w:t>
              <w:tab/>
              <w:t>actividad</w:t>
              <w:tab/>
              <w:t>piscícola</w:t>
              <w:tab/>
              <w:t>y</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(13/I/2015)</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8" w:val="left" w:leader="none"/>
              </w:tabs>
              <w:spacing w:line="241" w:lineRule="exact"/>
              <w:ind w:left="100"/>
              <w:rPr>
                <w:sz w:val="22"/>
              </w:rPr>
            </w:pPr>
            <w:r>
              <w:rPr>
                <w:sz w:val="22"/>
              </w:rPr>
              <w:t>desechos</w:t>
              <w:tab/>
              <w:t>de</w:t>
            </w:r>
          </w:p>
        </w:tc>
        <w:tc>
          <w:tcPr>
            <w:tcW w:w="3901" w:type="dxa"/>
            <w:tcBorders>
              <w:top w:val="nil"/>
              <w:bottom w:val="nil"/>
            </w:tcBorders>
          </w:tcPr>
          <w:p>
            <w:pPr>
              <w:pStyle w:val="TableParagraph"/>
              <w:spacing w:line="241" w:lineRule="exact"/>
              <w:rPr>
                <w:sz w:val="22"/>
              </w:rPr>
            </w:pPr>
            <w:r>
              <w:rPr>
                <w:sz w:val="22"/>
              </w:rPr>
              <w:t>porque se tiene agua y    quisiéramos</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descargas</w:t>
            </w:r>
          </w:p>
        </w:tc>
        <w:tc>
          <w:tcPr>
            <w:tcW w:w="3901" w:type="dxa"/>
            <w:tcBorders>
              <w:top w:val="nil"/>
              <w:bottom w:val="nil"/>
            </w:tcBorders>
          </w:tcPr>
          <w:p>
            <w:pPr>
              <w:pStyle w:val="TableParagraph"/>
              <w:spacing w:line="242" w:lineRule="exact"/>
              <w:rPr>
                <w:sz w:val="22"/>
              </w:rPr>
            </w:pPr>
            <w:r>
              <w:rPr>
                <w:sz w:val="22"/>
              </w:rPr>
              <w:t>que fuera turístico.</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residuales,  así como</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la erosión de la zona.</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Ana María</w:t>
            </w:r>
          </w:p>
        </w:tc>
        <w:tc>
          <w:tcPr>
            <w:tcW w:w="1274" w:type="dxa"/>
            <w:tcBorders>
              <w:bottom w:val="nil"/>
            </w:tcBorders>
          </w:tcPr>
          <w:p>
            <w:pPr>
              <w:pStyle w:val="TableParagraph"/>
              <w:spacing w:line="251" w:lineRule="exact"/>
              <w:ind w:left="100" w:right="98"/>
              <w:rPr>
                <w:sz w:val="22"/>
              </w:rPr>
            </w:pPr>
            <w:r>
              <w:rPr>
                <w:sz w:val="22"/>
              </w:rPr>
              <w:t>Abogada</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Acambay</w:t>
            </w:r>
          </w:p>
        </w:tc>
        <w:tc>
          <w:tcPr>
            <w:tcW w:w="1174" w:type="dxa"/>
            <w:tcBorders>
              <w:bottom w:val="nil"/>
            </w:tcBorders>
          </w:tcPr>
          <w:p>
            <w:pPr>
              <w:pStyle w:val="TableParagraph"/>
              <w:spacing w:line="251" w:lineRule="exact"/>
              <w:rPr>
                <w:sz w:val="22"/>
              </w:rPr>
            </w:pPr>
            <w:r>
              <w:rPr>
                <w:sz w:val="22"/>
              </w:rPr>
              <w:t>Acambay</w:t>
            </w:r>
          </w:p>
        </w:tc>
        <w:tc>
          <w:tcPr>
            <w:tcW w:w="2314" w:type="dxa"/>
            <w:tcBorders>
              <w:bottom w:val="nil"/>
            </w:tcBorders>
          </w:tcPr>
          <w:p>
            <w:pPr/>
          </w:p>
        </w:tc>
        <w:tc>
          <w:tcPr>
            <w:tcW w:w="3901" w:type="dxa"/>
            <w:tcBorders>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Contreras</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Encargada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942" w:right="943"/>
              <w:jc w:val="center"/>
              <w:rPr>
                <w:sz w:val="22"/>
              </w:rPr>
            </w:pPr>
            <w:r>
              <w:rPr>
                <w:sz w:val="22"/>
              </w:rPr>
              <w:t>N/C</w:t>
            </w:r>
          </w:p>
        </w:tc>
        <w:tc>
          <w:tcPr>
            <w:tcW w:w="3901" w:type="dxa"/>
            <w:tcBorders>
              <w:top w:val="nil"/>
              <w:bottom w:val="nil"/>
            </w:tcBorders>
          </w:tcPr>
          <w:p>
            <w:pPr>
              <w:pStyle w:val="TableParagraph"/>
              <w:spacing w:line="241" w:lineRule="exact"/>
              <w:ind w:left="1736" w:right="1736"/>
              <w:jc w:val="center"/>
              <w:rPr>
                <w:sz w:val="22"/>
              </w:rPr>
            </w:pPr>
            <w:r>
              <w:rPr>
                <w:sz w:val="22"/>
              </w:rPr>
              <w:t>N/C</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Valdez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preservar,</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conservar 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(21/I/2014)</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restaurar el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medio ambiente</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Pedro</w:t>
            </w:r>
          </w:p>
        </w:tc>
        <w:tc>
          <w:tcPr>
            <w:tcW w:w="1274" w:type="dxa"/>
            <w:tcBorders>
              <w:bottom w:val="nil"/>
            </w:tcBorders>
          </w:tcPr>
          <w:p>
            <w:pPr>
              <w:pStyle w:val="TableParagraph"/>
              <w:ind w:left="100" w:right="98"/>
              <w:rPr>
                <w:sz w:val="22"/>
              </w:rPr>
            </w:pPr>
            <w:r>
              <w:rPr>
                <w:sz w:val="22"/>
              </w:rPr>
              <w:t>Médico</w:t>
            </w:r>
          </w:p>
        </w:tc>
        <w:tc>
          <w:tcPr>
            <w:tcW w:w="1887" w:type="dxa"/>
            <w:tcBorders>
              <w:bottom w:val="nil"/>
            </w:tcBorders>
          </w:tcPr>
          <w:p>
            <w:pPr>
              <w:pStyle w:val="TableParagraph"/>
              <w:rPr>
                <w:sz w:val="22"/>
              </w:rPr>
            </w:pPr>
            <w:r>
              <w:rPr>
                <w:sz w:val="22"/>
              </w:rPr>
              <w:t>Decimo Regidor.</w:t>
            </w:r>
          </w:p>
        </w:tc>
        <w:tc>
          <w:tcPr>
            <w:tcW w:w="1289" w:type="dxa"/>
            <w:tcBorders>
              <w:bottom w:val="nil"/>
            </w:tcBorders>
          </w:tcPr>
          <w:p>
            <w:pPr>
              <w:pStyle w:val="TableParagraph"/>
              <w:rPr>
                <w:sz w:val="22"/>
              </w:rPr>
            </w:pPr>
            <w:r>
              <w:rPr>
                <w:sz w:val="22"/>
              </w:rPr>
              <w:t>Villa</w:t>
            </w:r>
          </w:p>
        </w:tc>
        <w:tc>
          <w:tcPr>
            <w:tcW w:w="1174" w:type="dxa"/>
            <w:tcBorders>
              <w:bottom w:val="nil"/>
            </w:tcBorders>
          </w:tcPr>
          <w:p>
            <w:pPr>
              <w:pStyle w:val="TableParagraph"/>
              <w:rPr>
                <w:sz w:val="22"/>
              </w:rPr>
            </w:pPr>
            <w:r>
              <w:rPr>
                <w:sz w:val="22"/>
              </w:rPr>
              <w:t>Acambay</w:t>
            </w:r>
          </w:p>
        </w:tc>
        <w:tc>
          <w:tcPr>
            <w:tcW w:w="2314" w:type="dxa"/>
            <w:tcBorders>
              <w:bottom w:val="nil"/>
            </w:tcBorders>
          </w:tcPr>
          <w:p>
            <w:pPr>
              <w:pStyle w:val="TableParagraph"/>
              <w:ind w:left="100"/>
              <w:rPr>
                <w:sz w:val="22"/>
              </w:rPr>
            </w:pPr>
            <w:r>
              <w:rPr>
                <w:sz w:val="22"/>
              </w:rPr>
              <w:t>Yo  no  conozco bien,</w:t>
            </w:r>
          </w:p>
        </w:tc>
        <w:tc>
          <w:tcPr>
            <w:tcW w:w="3901" w:type="dxa"/>
            <w:tcBorders>
              <w:bottom w:val="nil"/>
            </w:tcBorders>
          </w:tcPr>
          <w:p>
            <w:pPr>
              <w:pStyle w:val="TableParagraph"/>
              <w:rPr>
                <w:sz w:val="22"/>
              </w:rPr>
            </w:pPr>
            <w:r>
              <w:rPr>
                <w:sz w:val="22"/>
              </w:rPr>
              <w:t>Sí   para   darle   mantenimiento   a la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Carbajal</w:t>
            </w:r>
          </w:p>
        </w:tc>
        <w:tc>
          <w:tcPr>
            <w:tcW w:w="1274" w:type="dxa"/>
            <w:tcBorders>
              <w:top w:val="nil"/>
              <w:bottom w:val="nil"/>
            </w:tcBorders>
          </w:tcPr>
          <w:p>
            <w:pPr>
              <w:pStyle w:val="TableParagraph"/>
              <w:spacing w:line="241" w:lineRule="exact"/>
              <w:ind w:left="100" w:right="98"/>
              <w:rPr>
                <w:sz w:val="22"/>
              </w:rPr>
            </w:pPr>
            <w:r>
              <w:rPr>
                <w:sz w:val="22"/>
              </w:rPr>
              <w:t>General</w:t>
            </w:r>
          </w:p>
        </w:tc>
        <w:tc>
          <w:tcPr>
            <w:tcW w:w="1887" w:type="dxa"/>
            <w:tcBorders>
              <w:top w:val="nil"/>
              <w:bottom w:val="nil"/>
            </w:tcBorders>
          </w:tcPr>
          <w:p>
            <w:pPr>
              <w:pStyle w:val="TableParagraph"/>
              <w:tabs>
                <w:tab w:pos="1528" w:val="left" w:leader="none"/>
              </w:tabs>
              <w:spacing w:line="241" w:lineRule="exact"/>
              <w:rPr>
                <w:sz w:val="22"/>
              </w:rPr>
            </w:pPr>
            <w:r>
              <w:rPr>
                <w:sz w:val="22"/>
              </w:rPr>
              <w:t>Encargado</w:t>
              <w:tab/>
              <w:t>de</w:t>
            </w:r>
          </w:p>
        </w:tc>
        <w:tc>
          <w:tcPr>
            <w:tcW w:w="1289" w:type="dxa"/>
            <w:tcBorders>
              <w:top w:val="nil"/>
              <w:bottom w:val="nil"/>
            </w:tcBorders>
          </w:tcPr>
          <w:p>
            <w:pPr>
              <w:pStyle w:val="TableParagraph"/>
              <w:spacing w:line="241" w:lineRule="exact"/>
              <w:rPr>
                <w:sz w:val="22"/>
              </w:rPr>
            </w:pPr>
            <w:r>
              <w:rPr>
                <w:sz w:val="22"/>
              </w:rPr>
              <w:t>Victoria</w:t>
            </w:r>
          </w:p>
        </w:tc>
        <w:tc>
          <w:tcPr>
            <w:tcW w:w="1174" w:type="dxa"/>
            <w:tcBorders>
              <w:top w:val="nil"/>
              <w:bottom w:val="nil"/>
            </w:tcBorders>
          </w:tcPr>
          <w:p>
            <w:pPr>
              <w:pStyle w:val="TableParagraph"/>
              <w:spacing w:line="241" w:lineRule="exact"/>
              <w:rPr>
                <w:sz w:val="22"/>
              </w:rPr>
            </w:pPr>
            <w:r>
              <w:rPr>
                <w:sz w:val="22"/>
              </w:rPr>
              <w:t>desde</w:t>
            </w:r>
          </w:p>
        </w:tc>
        <w:tc>
          <w:tcPr>
            <w:tcW w:w="2314" w:type="dxa"/>
            <w:tcBorders>
              <w:top w:val="nil"/>
              <w:bottom w:val="nil"/>
            </w:tcBorders>
          </w:tcPr>
          <w:p>
            <w:pPr>
              <w:pStyle w:val="TableParagraph"/>
              <w:spacing w:line="241" w:lineRule="exact"/>
              <w:ind w:left="100"/>
              <w:rPr>
                <w:sz w:val="22"/>
              </w:rPr>
            </w:pPr>
            <w:r>
              <w:rPr>
                <w:sz w:val="22"/>
              </w:rPr>
              <w:t>pero  si  debe   haber</w:t>
            </w:r>
          </w:p>
        </w:tc>
        <w:tc>
          <w:tcPr>
            <w:tcW w:w="3901" w:type="dxa"/>
            <w:tcBorders>
              <w:top w:val="nil"/>
              <w:bottom w:val="nil"/>
            </w:tcBorders>
          </w:tcPr>
          <w:p>
            <w:pPr>
              <w:pStyle w:val="TableParagraph"/>
              <w:spacing w:line="241" w:lineRule="exact"/>
              <w:rPr>
                <w:sz w:val="22"/>
              </w:rPr>
            </w:pPr>
            <w:r>
              <w:rPr>
                <w:sz w:val="22"/>
              </w:rPr>
              <w:t>laguna para uso de la población.</w:t>
            </w:r>
          </w:p>
        </w:tc>
      </w:tr>
      <w:tr>
        <w:trPr>
          <w:trHeight w:val="254" w:hRule="exact"/>
        </w:trPr>
        <w:tc>
          <w:tcPr>
            <w:tcW w:w="1385" w:type="dxa"/>
            <w:tcBorders>
              <w:top w:val="nil"/>
              <w:bottom w:val="nil"/>
            </w:tcBorders>
          </w:tcPr>
          <w:p>
            <w:pPr>
              <w:pStyle w:val="TableParagraph"/>
              <w:spacing w:line="241" w:lineRule="exact"/>
              <w:ind w:right="127"/>
              <w:rPr>
                <w:sz w:val="22"/>
              </w:rPr>
            </w:pPr>
            <w:r>
              <w:rPr>
                <w:sz w:val="22"/>
              </w:rPr>
              <w:t>Suárez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preservar,</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hace 32</w:t>
            </w:r>
          </w:p>
        </w:tc>
        <w:tc>
          <w:tcPr>
            <w:tcW w:w="2314" w:type="dxa"/>
            <w:tcBorders>
              <w:top w:val="nil"/>
              <w:bottom w:val="nil"/>
            </w:tcBorders>
          </w:tcPr>
          <w:p>
            <w:pPr>
              <w:pStyle w:val="TableParagraph"/>
              <w:spacing w:line="241" w:lineRule="exact"/>
              <w:ind w:left="100"/>
              <w:rPr>
                <w:sz w:val="22"/>
              </w:rPr>
            </w:pPr>
            <w:r>
              <w:rPr>
                <w:sz w:val="22"/>
              </w:rPr>
              <w:t>deterioro   porque   la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43" w:lineRule="exact"/>
              <w:rPr>
                <w:sz w:val="22"/>
              </w:rPr>
            </w:pPr>
            <w:r>
              <w:rPr>
                <w:sz w:val="22"/>
              </w:rPr>
              <w:t>conservar</w:t>
              <w:tab/>
              <w:t>y</w:t>
            </w:r>
          </w:p>
        </w:tc>
        <w:tc>
          <w:tcPr>
            <w:tcW w:w="1289" w:type="dxa"/>
            <w:tcBorders>
              <w:top w:val="nil"/>
              <w:bottom w:val="nil"/>
            </w:tcBorders>
          </w:tcPr>
          <w:p>
            <w:pPr/>
          </w:p>
        </w:tc>
        <w:tc>
          <w:tcPr>
            <w:tcW w:w="1174" w:type="dxa"/>
            <w:tcBorders>
              <w:top w:val="nil"/>
              <w:bottom w:val="nil"/>
            </w:tcBorders>
          </w:tcPr>
          <w:p>
            <w:pPr>
              <w:pStyle w:val="TableParagraph"/>
              <w:spacing w:line="243" w:lineRule="exact"/>
              <w:rPr>
                <w:sz w:val="22"/>
              </w:rPr>
            </w:pPr>
            <w:r>
              <w:rPr>
                <w:sz w:val="22"/>
              </w:rPr>
              <w:t>años</w:t>
            </w:r>
          </w:p>
        </w:tc>
        <w:tc>
          <w:tcPr>
            <w:tcW w:w="2314" w:type="dxa"/>
            <w:tcBorders>
              <w:top w:val="nil"/>
              <w:bottom w:val="nil"/>
            </w:tcBorders>
          </w:tcPr>
          <w:p>
            <w:pPr>
              <w:pStyle w:val="TableParagraph"/>
              <w:spacing w:line="243" w:lineRule="exact"/>
              <w:ind w:left="100"/>
              <w:rPr>
                <w:sz w:val="22"/>
              </w:rPr>
            </w:pPr>
            <w:r>
              <w:rPr>
                <w:sz w:val="22"/>
              </w:rPr>
              <w:t>gente   comenta  que</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left="155"/>
              <w:rPr>
                <w:sz w:val="22"/>
              </w:rPr>
            </w:pPr>
            <w:r>
              <w:rPr>
                <w:sz w:val="22"/>
              </w:rPr>
              <w:t>(21/I/2014)</w:t>
            </w:r>
          </w:p>
        </w:tc>
        <w:tc>
          <w:tcPr>
            <w:tcW w:w="1274" w:type="dxa"/>
            <w:tcBorders>
              <w:top w:val="nil"/>
              <w:bottom w:val="nil"/>
            </w:tcBorders>
          </w:tcPr>
          <w:p>
            <w:pPr/>
          </w:p>
        </w:tc>
        <w:tc>
          <w:tcPr>
            <w:tcW w:w="1887" w:type="dxa"/>
            <w:tcBorders>
              <w:top w:val="nil"/>
              <w:bottom w:val="nil"/>
            </w:tcBorders>
          </w:tcPr>
          <w:p>
            <w:pPr>
              <w:pStyle w:val="TableParagraph"/>
              <w:tabs>
                <w:tab w:pos="1602" w:val="left" w:leader="none"/>
              </w:tabs>
              <w:spacing w:line="241" w:lineRule="exact"/>
              <w:rPr>
                <w:sz w:val="22"/>
              </w:rPr>
            </w:pPr>
            <w:r>
              <w:rPr>
                <w:sz w:val="22"/>
              </w:rPr>
              <w:t>restaurar</w:t>
              <w:tab/>
              <w:t>el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se   le   debe   de dar</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medio ambiente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mantenimiento   a  la</w:t>
            </w: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laguna.</w:t>
            </w:r>
          </w:p>
        </w:tc>
        <w:tc>
          <w:tcPr>
            <w:tcW w:w="3901" w:type="dxa"/>
            <w:tcBorders>
              <w:top w:val="nil"/>
            </w:tcBorders>
          </w:tcPr>
          <w:p>
            <w:pPr/>
          </w:p>
        </w:tc>
      </w:tr>
      <w:tr>
        <w:trPr>
          <w:trHeight w:val="518" w:hRule="exact"/>
        </w:trPr>
        <w:tc>
          <w:tcPr>
            <w:tcW w:w="1385" w:type="dxa"/>
          </w:tcPr>
          <w:p>
            <w:pPr>
              <w:pStyle w:val="TableParagraph"/>
              <w:ind w:right="323"/>
              <w:rPr>
                <w:sz w:val="22"/>
              </w:rPr>
            </w:pPr>
            <w:r>
              <w:rPr>
                <w:sz w:val="22"/>
              </w:rPr>
              <w:t>Reynaldo Sandoval</w:t>
            </w:r>
          </w:p>
        </w:tc>
        <w:tc>
          <w:tcPr>
            <w:tcW w:w="1274" w:type="dxa"/>
          </w:tcPr>
          <w:p>
            <w:pPr>
              <w:pStyle w:val="TableParagraph"/>
              <w:spacing w:before="10"/>
              <w:ind w:left="0"/>
              <w:rPr>
                <w:b/>
                <w:sz w:val="21"/>
              </w:rPr>
            </w:pPr>
          </w:p>
          <w:p>
            <w:pPr>
              <w:pStyle w:val="TableParagraph"/>
              <w:ind w:left="104" w:right="105"/>
              <w:jc w:val="center"/>
              <w:rPr>
                <w:sz w:val="22"/>
              </w:rPr>
            </w:pPr>
            <w:r>
              <w:rPr>
                <w:sz w:val="22"/>
              </w:rPr>
              <w:t>S/D</w:t>
            </w:r>
          </w:p>
        </w:tc>
        <w:tc>
          <w:tcPr>
            <w:tcW w:w="1887" w:type="dxa"/>
          </w:tcPr>
          <w:p>
            <w:pPr>
              <w:pStyle w:val="TableParagraph"/>
              <w:tabs>
                <w:tab w:pos="1480" w:val="left" w:leader="none"/>
              </w:tabs>
              <w:ind w:right="101"/>
              <w:rPr>
                <w:sz w:val="22"/>
              </w:rPr>
            </w:pPr>
            <w:r>
              <w:rPr>
                <w:sz w:val="22"/>
              </w:rPr>
              <w:t>Director</w:t>
              <w:tab/>
              <w:t>del Medio </w:t>
            </w:r>
            <w:r>
              <w:rPr>
                <w:spacing w:val="14"/>
                <w:sz w:val="22"/>
              </w:rPr>
              <w:t> </w:t>
            </w:r>
            <w:r>
              <w:rPr>
                <w:sz w:val="22"/>
              </w:rPr>
              <w:t>Ambiente</w:t>
            </w:r>
          </w:p>
        </w:tc>
        <w:tc>
          <w:tcPr>
            <w:tcW w:w="1289" w:type="dxa"/>
          </w:tcPr>
          <w:p>
            <w:pPr>
              <w:pStyle w:val="TableParagraph"/>
              <w:ind w:right="398"/>
              <w:rPr>
                <w:sz w:val="22"/>
              </w:rPr>
            </w:pPr>
            <w:r>
              <w:rPr>
                <w:sz w:val="22"/>
              </w:rPr>
              <w:t>Las Arenas,</w:t>
            </w:r>
          </w:p>
        </w:tc>
        <w:tc>
          <w:tcPr>
            <w:tcW w:w="1174" w:type="dxa"/>
          </w:tcPr>
          <w:p>
            <w:pPr>
              <w:pStyle w:val="TableParagraph"/>
              <w:ind w:right="282"/>
              <w:rPr>
                <w:sz w:val="22"/>
              </w:rPr>
            </w:pPr>
            <w:r>
              <w:rPr>
                <w:sz w:val="22"/>
              </w:rPr>
              <w:t>Las Arenas,</w:t>
            </w:r>
          </w:p>
        </w:tc>
        <w:tc>
          <w:tcPr>
            <w:tcW w:w="2314" w:type="dxa"/>
          </w:tcPr>
          <w:p>
            <w:pPr>
              <w:pStyle w:val="TableParagraph"/>
              <w:tabs>
                <w:tab w:pos="585" w:val="left" w:leader="none"/>
                <w:tab w:pos="1484" w:val="left" w:leader="none"/>
                <w:tab w:pos="1516" w:val="left" w:leader="none"/>
                <w:tab w:pos="1957" w:val="left" w:leader="none"/>
              </w:tabs>
              <w:ind w:left="100" w:right="99"/>
              <w:rPr>
                <w:sz w:val="22"/>
              </w:rPr>
            </w:pPr>
            <w:r>
              <w:rPr>
                <w:sz w:val="22"/>
              </w:rPr>
              <w:t>La</w:t>
              <w:tab/>
              <w:t>laguna</w:t>
              <w:tab/>
              <w:t>se</w:t>
              <w:tab/>
              <w:t>ha deteriorado</w:t>
              <w:tab/>
              <w:tab/>
              <w:t>porque</w:t>
            </w:r>
          </w:p>
        </w:tc>
        <w:tc>
          <w:tcPr>
            <w:tcW w:w="3901" w:type="dxa"/>
          </w:tcPr>
          <w:p>
            <w:pPr>
              <w:pStyle w:val="TableParagraph"/>
              <w:ind w:right="96"/>
              <w:rPr>
                <w:sz w:val="22"/>
              </w:rPr>
            </w:pPr>
            <w:r>
              <w:rPr>
                <w:sz w:val="22"/>
              </w:rPr>
              <w:t>El municipio que represento debe cooperar para que no se  deteriore </w:t>
            </w:r>
            <w:r>
              <w:rPr>
                <w:spacing w:val="52"/>
                <w:sz w:val="22"/>
              </w:rPr>
              <w:t> </w:t>
            </w:r>
            <w:r>
              <w:rPr>
                <w:sz w:val="22"/>
              </w:rPr>
              <w:t>y</w:t>
            </w:r>
          </w:p>
        </w:tc>
      </w:tr>
    </w:tbl>
    <w:p>
      <w:pPr>
        <w:spacing w:after="0"/>
        <w:rPr>
          <w:sz w:val="22"/>
        </w:rPr>
        <w:sectPr>
          <w:pgSz w:w="15840" w:h="12240" w:orient="landscape"/>
          <w:pgMar w:header="0" w:footer="94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1022" w:hRule="exact"/>
        </w:trPr>
        <w:tc>
          <w:tcPr>
            <w:tcW w:w="1385" w:type="dxa"/>
          </w:tcPr>
          <w:p>
            <w:pPr>
              <w:pStyle w:val="TableParagraph"/>
              <w:spacing w:line="480" w:lineRule="auto"/>
              <w:ind w:right="188"/>
              <w:rPr>
                <w:sz w:val="22"/>
              </w:rPr>
            </w:pPr>
            <w:r>
              <w:rPr>
                <w:sz w:val="22"/>
              </w:rPr>
              <w:t>Martínez (21/I/2014)</w:t>
            </w:r>
          </w:p>
        </w:tc>
        <w:tc>
          <w:tcPr>
            <w:tcW w:w="1274" w:type="dxa"/>
          </w:tcPr>
          <w:p>
            <w:pPr/>
          </w:p>
        </w:tc>
        <w:tc>
          <w:tcPr>
            <w:tcW w:w="1887" w:type="dxa"/>
          </w:tcPr>
          <w:p>
            <w:pPr>
              <w:pStyle w:val="TableParagraph"/>
              <w:spacing w:line="251" w:lineRule="exact"/>
              <w:rPr>
                <w:sz w:val="22"/>
              </w:rPr>
            </w:pPr>
            <w:r>
              <w:rPr>
                <w:sz w:val="22"/>
              </w:rPr>
              <w:t>en Acambay</w:t>
            </w:r>
          </w:p>
        </w:tc>
        <w:tc>
          <w:tcPr>
            <w:tcW w:w="1289" w:type="dxa"/>
          </w:tcPr>
          <w:p>
            <w:pPr>
              <w:pStyle w:val="TableParagraph"/>
              <w:spacing w:line="251" w:lineRule="exact"/>
              <w:rPr>
                <w:sz w:val="22"/>
              </w:rPr>
            </w:pPr>
            <w:r>
              <w:rPr>
                <w:sz w:val="22"/>
              </w:rPr>
              <w:t>Acambay</w:t>
            </w:r>
          </w:p>
        </w:tc>
        <w:tc>
          <w:tcPr>
            <w:tcW w:w="1174" w:type="dxa"/>
          </w:tcPr>
          <w:p>
            <w:pPr>
              <w:pStyle w:val="TableParagraph"/>
              <w:spacing w:line="251" w:lineRule="exact"/>
              <w:rPr>
                <w:sz w:val="22"/>
              </w:rPr>
            </w:pPr>
            <w:r>
              <w:rPr>
                <w:sz w:val="22"/>
              </w:rPr>
              <w:t>Acambay</w:t>
            </w:r>
          </w:p>
        </w:tc>
        <w:tc>
          <w:tcPr>
            <w:tcW w:w="2314" w:type="dxa"/>
          </w:tcPr>
          <w:p>
            <w:pPr>
              <w:pStyle w:val="TableParagraph"/>
              <w:ind w:left="100" w:right="99"/>
              <w:jc w:val="both"/>
              <w:rPr>
                <w:sz w:val="22"/>
              </w:rPr>
            </w:pPr>
            <w:r>
              <w:rPr>
                <w:sz w:val="22"/>
              </w:rPr>
              <w:t>no se le ha dado el cuidado necesario a esa hermosa laguna.</w:t>
            </w:r>
          </w:p>
        </w:tc>
        <w:tc>
          <w:tcPr>
            <w:tcW w:w="3901" w:type="dxa"/>
          </w:tcPr>
          <w:p>
            <w:pPr>
              <w:pStyle w:val="TableParagraph"/>
              <w:ind w:right="100"/>
              <w:jc w:val="both"/>
              <w:rPr>
                <w:sz w:val="22"/>
              </w:rPr>
            </w:pPr>
            <w:r>
              <w:rPr>
                <w:sz w:val="22"/>
              </w:rPr>
              <w:t>es por ello que el presidente municipal se está preocupando por velar por ello.</w:t>
            </w:r>
          </w:p>
        </w:tc>
      </w:tr>
      <w:tr>
        <w:trPr>
          <w:trHeight w:val="2285" w:hRule="exact"/>
        </w:trPr>
        <w:tc>
          <w:tcPr>
            <w:tcW w:w="1385" w:type="dxa"/>
          </w:tcPr>
          <w:p>
            <w:pPr>
              <w:pStyle w:val="TableParagraph"/>
              <w:ind w:right="188"/>
              <w:rPr>
                <w:sz w:val="22"/>
              </w:rPr>
            </w:pPr>
            <w:r>
              <w:rPr>
                <w:sz w:val="22"/>
              </w:rPr>
              <w:t>Juan Carlos Sámano Díaz</w:t>
            </w:r>
          </w:p>
          <w:p>
            <w:pPr>
              <w:pStyle w:val="TableParagraph"/>
              <w:spacing w:before="1"/>
              <w:ind w:left="0"/>
              <w:rPr>
                <w:b/>
                <w:sz w:val="22"/>
              </w:rPr>
            </w:pPr>
          </w:p>
          <w:p>
            <w:pPr>
              <w:pStyle w:val="TableParagraph"/>
              <w:ind w:right="127"/>
              <w:rPr>
                <w:sz w:val="22"/>
              </w:rPr>
            </w:pPr>
            <w:r>
              <w:rPr>
                <w:sz w:val="22"/>
              </w:rPr>
              <w:t>(27/I/2015)</w:t>
            </w:r>
          </w:p>
        </w:tc>
        <w:tc>
          <w:tcPr>
            <w:tcW w:w="1274" w:type="dxa"/>
          </w:tcPr>
          <w:p>
            <w:pPr>
              <w:pStyle w:val="TableParagraph"/>
              <w:spacing w:line="252" w:lineRule="exact" w:before="2"/>
              <w:ind w:left="100" w:right="105"/>
              <w:rPr>
                <w:sz w:val="22"/>
              </w:rPr>
            </w:pPr>
            <w:r>
              <w:rPr>
                <w:sz w:val="22"/>
              </w:rPr>
              <w:t>Preparator ia</w:t>
            </w:r>
          </w:p>
        </w:tc>
        <w:tc>
          <w:tcPr>
            <w:tcW w:w="1887" w:type="dxa"/>
          </w:tcPr>
          <w:p>
            <w:pPr>
              <w:pStyle w:val="TableParagraph"/>
              <w:ind w:right="445"/>
              <w:rPr>
                <w:sz w:val="22"/>
              </w:rPr>
            </w:pPr>
            <w:r>
              <w:rPr>
                <w:sz w:val="22"/>
              </w:rPr>
              <w:t>Director de Desarrollo Agropecuario</w:t>
            </w:r>
          </w:p>
        </w:tc>
        <w:tc>
          <w:tcPr>
            <w:tcW w:w="1289" w:type="dxa"/>
          </w:tcPr>
          <w:p>
            <w:pPr>
              <w:pStyle w:val="TableParagraph"/>
              <w:spacing w:line="252" w:lineRule="exact" w:before="2"/>
              <w:ind w:right="239"/>
              <w:rPr>
                <w:sz w:val="22"/>
              </w:rPr>
            </w:pPr>
            <w:r>
              <w:rPr>
                <w:sz w:val="22"/>
              </w:rPr>
              <w:t>Pathé, Acambay</w:t>
            </w:r>
          </w:p>
        </w:tc>
        <w:tc>
          <w:tcPr>
            <w:tcW w:w="1174" w:type="dxa"/>
          </w:tcPr>
          <w:p>
            <w:pPr>
              <w:pStyle w:val="TableParagraph"/>
              <w:spacing w:line="252" w:lineRule="exact" w:before="2"/>
              <w:ind w:right="123"/>
              <w:rPr>
                <w:sz w:val="22"/>
              </w:rPr>
            </w:pPr>
            <w:r>
              <w:rPr>
                <w:sz w:val="22"/>
              </w:rPr>
              <w:t>Pathé, Acambay</w:t>
            </w:r>
          </w:p>
        </w:tc>
        <w:tc>
          <w:tcPr>
            <w:tcW w:w="2314" w:type="dxa"/>
          </w:tcPr>
          <w:p>
            <w:pPr>
              <w:pStyle w:val="TableParagraph"/>
              <w:ind w:left="100" w:right="99"/>
              <w:jc w:val="both"/>
              <w:rPr>
                <w:sz w:val="22"/>
              </w:rPr>
            </w:pPr>
            <w:r>
              <w:rPr>
                <w:sz w:val="22"/>
              </w:rPr>
              <w:t>Sí por el mismo azolve y la construcción de la Autopista Arco Norte porque desde que la construyeron         ha</w:t>
            </w:r>
          </w:p>
          <w:p>
            <w:pPr>
              <w:pStyle w:val="TableParagraph"/>
              <w:tabs>
                <w:tab w:pos="2029" w:val="left" w:leader="none"/>
              </w:tabs>
              <w:spacing w:line="252" w:lineRule="exact"/>
              <w:ind w:left="100"/>
              <w:jc w:val="both"/>
              <w:rPr>
                <w:sz w:val="22"/>
              </w:rPr>
            </w:pPr>
            <w:r>
              <w:rPr>
                <w:sz w:val="22"/>
              </w:rPr>
              <w:t>disminuido</w:t>
              <w:tab/>
              <w:t>la</w:t>
            </w:r>
          </w:p>
          <w:p>
            <w:pPr>
              <w:pStyle w:val="TableParagraph"/>
              <w:spacing w:before="1"/>
              <w:ind w:left="100" w:right="101"/>
              <w:jc w:val="both"/>
              <w:rPr>
                <w:sz w:val="22"/>
              </w:rPr>
            </w:pPr>
            <w:r>
              <w:rPr>
                <w:sz w:val="22"/>
              </w:rPr>
              <w:t>permanencia del agua, se fuga, se va.</w:t>
            </w:r>
          </w:p>
        </w:tc>
        <w:tc>
          <w:tcPr>
            <w:tcW w:w="3901" w:type="dxa"/>
          </w:tcPr>
          <w:p>
            <w:pPr>
              <w:pStyle w:val="TableParagraph"/>
              <w:ind w:right="101"/>
              <w:jc w:val="both"/>
              <w:rPr>
                <w:sz w:val="22"/>
              </w:rPr>
            </w:pPr>
            <w:r>
              <w:rPr>
                <w:sz w:val="22"/>
              </w:rPr>
              <w:t>Claro!, porque si no cuidamos nosotros nuestros propios recursos naturales, nadie de fuera lo va a venir a hacer.</w:t>
            </w:r>
          </w:p>
        </w:tc>
      </w:tr>
      <w:tr>
        <w:trPr>
          <w:trHeight w:val="1784" w:hRule="exact"/>
        </w:trPr>
        <w:tc>
          <w:tcPr>
            <w:tcW w:w="1385" w:type="dxa"/>
          </w:tcPr>
          <w:p>
            <w:pPr>
              <w:pStyle w:val="TableParagraph"/>
              <w:ind w:right="127"/>
              <w:rPr>
                <w:sz w:val="22"/>
              </w:rPr>
            </w:pPr>
            <w:r>
              <w:rPr>
                <w:sz w:val="22"/>
              </w:rPr>
              <w:t>Adán Sámano Peralta</w:t>
            </w:r>
          </w:p>
          <w:p>
            <w:pPr>
              <w:pStyle w:val="TableParagraph"/>
              <w:ind w:left="0"/>
              <w:rPr>
                <w:b/>
                <w:sz w:val="22"/>
              </w:rPr>
            </w:pPr>
          </w:p>
          <w:p>
            <w:pPr>
              <w:pStyle w:val="TableParagraph"/>
              <w:ind w:right="127"/>
              <w:rPr>
                <w:sz w:val="22"/>
              </w:rPr>
            </w:pPr>
            <w:r>
              <w:rPr>
                <w:sz w:val="22"/>
              </w:rPr>
              <w:t>(27/I/2015)</w:t>
            </w:r>
          </w:p>
        </w:tc>
        <w:tc>
          <w:tcPr>
            <w:tcW w:w="1274" w:type="dxa"/>
          </w:tcPr>
          <w:p>
            <w:pPr>
              <w:pStyle w:val="TableParagraph"/>
              <w:spacing w:before="10"/>
              <w:ind w:left="0"/>
              <w:rPr>
                <w:b/>
                <w:sz w:val="21"/>
              </w:rPr>
            </w:pPr>
          </w:p>
          <w:p>
            <w:pPr>
              <w:pStyle w:val="TableParagraph"/>
              <w:ind w:left="104" w:right="105"/>
              <w:jc w:val="center"/>
              <w:rPr>
                <w:sz w:val="22"/>
              </w:rPr>
            </w:pPr>
            <w:r>
              <w:rPr>
                <w:sz w:val="22"/>
              </w:rPr>
              <w:t>S/D</w:t>
            </w:r>
          </w:p>
        </w:tc>
        <w:tc>
          <w:tcPr>
            <w:tcW w:w="1887" w:type="dxa"/>
          </w:tcPr>
          <w:p>
            <w:pPr>
              <w:pStyle w:val="TableParagraph"/>
              <w:tabs>
                <w:tab w:pos="1527" w:val="left" w:leader="none"/>
              </w:tabs>
              <w:spacing w:line="252" w:lineRule="exact"/>
              <w:rPr>
                <w:sz w:val="22"/>
              </w:rPr>
            </w:pPr>
            <w:r>
              <w:rPr>
                <w:sz w:val="22"/>
              </w:rPr>
              <w:t>Director</w:t>
              <w:tab/>
              <w:t>de</w:t>
            </w:r>
          </w:p>
          <w:p>
            <w:pPr>
              <w:pStyle w:val="TableParagraph"/>
              <w:tabs>
                <w:tab w:pos="1665" w:val="left" w:leader="none"/>
              </w:tabs>
              <w:ind w:right="99"/>
              <w:rPr>
                <w:sz w:val="22"/>
              </w:rPr>
            </w:pPr>
            <w:r>
              <w:rPr>
                <w:sz w:val="22"/>
              </w:rPr>
              <w:t>Turismo</w:t>
              <w:tab/>
              <w:t>y Fomento Económico</w:t>
            </w:r>
          </w:p>
        </w:tc>
        <w:tc>
          <w:tcPr>
            <w:tcW w:w="1289" w:type="dxa"/>
          </w:tcPr>
          <w:p>
            <w:pPr>
              <w:pStyle w:val="TableParagraph"/>
              <w:ind w:right="190"/>
              <w:rPr>
                <w:sz w:val="22"/>
              </w:rPr>
            </w:pPr>
            <w:r>
              <w:rPr>
                <w:sz w:val="22"/>
              </w:rPr>
              <w:t>Atlacomul co</w:t>
            </w:r>
          </w:p>
        </w:tc>
        <w:tc>
          <w:tcPr>
            <w:tcW w:w="1174" w:type="dxa"/>
          </w:tcPr>
          <w:p>
            <w:pPr>
              <w:pStyle w:val="TableParagraph"/>
              <w:ind w:right="123"/>
              <w:rPr>
                <w:sz w:val="22"/>
              </w:rPr>
            </w:pPr>
            <w:r>
              <w:rPr>
                <w:sz w:val="22"/>
              </w:rPr>
              <w:t>Pathé, Acambay</w:t>
            </w:r>
          </w:p>
        </w:tc>
        <w:tc>
          <w:tcPr>
            <w:tcW w:w="2314" w:type="dxa"/>
          </w:tcPr>
          <w:p>
            <w:pPr>
              <w:pStyle w:val="TableParagraph"/>
              <w:ind w:left="100" w:right="99"/>
              <w:jc w:val="both"/>
              <w:rPr>
                <w:sz w:val="22"/>
              </w:rPr>
            </w:pPr>
            <w:r>
              <w:rPr>
                <w:sz w:val="22"/>
              </w:rPr>
              <w:t>Sí por falta de atención, no se le ha dado la importancia para conservarla porque realmente es muy importante en esta zona.</w:t>
            </w:r>
          </w:p>
        </w:tc>
        <w:tc>
          <w:tcPr>
            <w:tcW w:w="3901" w:type="dxa"/>
          </w:tcPr>
          <w:p>
            <w:pPr>
              <w:pStyle w:val="TableParagraph"/>
              <w:ind w:right="101"/>
              <w:jc w:val="both"/>
              <w:rPr>
                <w:sz w:val="22"/>
              </w:rPr>
            </w:pPr>
            <w:r>
              <w:rPr>
                <w:sz w:val="22"/>
              </w:rPr>
              <w:t>Sí porque de ahí se sostienen varias familias y es muy importante para  que se mantengan los animales y las cosechas.</w:t>
            </w:r>
          </w:p>
        </w:tc>
      </w:tr>
    </w:tbl>
    <w:p>
      <w:pPr>
        <w:pStyle w:val="BodyText"/>
        <w:spacing w:line="248" w:lineRule="exact"/>
        <w:ind w:left="218" w:right="778"/>
      </w:pPr>
      <w:r>
        <w:rPr>
          <w:b/>
        </w:rPr>
        <w:t>Fuente: </w:t>
      </w:r>
      <w:r>
        <w:rPr/>
        <w:t>Elaboración propia con base en el Trabajo de Campo, García (2013-2015).</w:t>
      </w:r>
    </w:p>
    <w:p>
      <w:pPr>
        <w:pStyle w:val="BodyText"/>
        <w:spacing w:before="6"/>
        <w:rPr>
          <w:sz w:val="20"/>
        </w:rPr>
      </w:pPr>
    </w:p>
    <w:p>
      <w:pPr>
        <w:pStyle w:val="Heading6"/>
        <w:spacing w:after="6"/>
        <w:ind w:left="2294" w:right="778"/>
      </w:pPr>
      <w:r>
        <w:rPr/>
        <w:t>Tabla 6.9. Municipio de Acambay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7" w:right="4870"/>
              <w:jc w:val="center"/>
              <w:rPr>
                <w:b/>
                <w:sz w:val="22"/>
              </w:rPr>
            </w:pPr>
            <w:r>
              <w:rPr>
                <w:b/>
                <w:sz w:val="22"/>
              </w:rPr>
              <w:t>ACAMBAY</w:t>
            </w:r>
          </w:p>
        </w:tc>
      </w:tr>
      <w:tr>
        <w:trPr>
          <w:trHeight w:val="526" w:hRule="exact"/>
        </w:trPr>
        <w:tc>
          <w:tcPr>
            <w:tcW w:w="4547" w:type="dxa"/>
            <w:gridSpan w:val="3"/>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1021"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ind w:left="100" w:right="179"/>
              <w:rPr>
                <w:b/>
                <w:i/>
                <w:sz w:val="22"/>
              </w:rPr>
            </w:pPr>
            <w:r>
              <w:rPr>
                <w:b/>
                <w:i/>
                <w:sz w:val="22"/>
              </w:rPr>
              <w:t>Cooperación, </w:t>
            </w:r>
            <w:r>
              <w:rPr>
                <w:b/>
                <w:i/>
                <w:sz w:val="22"/>
              </w:rPr>
              <w:t>democracia y voluntariedad de la sociedad</w:t>
            </w:r>
          </w:p>
        </w:tc>
        <w:tc>
          <w:tcPr>
            <w:tcW w:w="3901" w:type="dxa"/>
            <w:shd w:val="clear" w:color="auto" w:fill="92CDDC"/>
          </w:tcPr>
          <w:p>
            <w:pPr>
              <w:pStyle w:val="TableParagraph"/>
              <w:spacing w:line="251" w:lineRule="exact"/>
              <w:rPr>
                <w:b/>
                <w:i/>
                <w:sz w:val="22"/>
              </w:rPr>
            </w:pPr>
            <w:r>
              <w:rPr>
                <w:b/>
                <w:i/>
                <w:sz w:val="22"/>
              </w:rPr>
              <w:t>Poder</w:t>
            </w:r>
          </w:p>
        </w:tc>
      </w:tr>
      <w:tr>
        <w:trPr>
          <w:trHeight w:val="1022"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42" w:lineRule="auto"/>
              <w:ind w:left="100" w:right="93"/>
              <w:rPr>
                <w:b/>
                <w:sz w:val="22"/>
              </w:rPr>
            </w:pPr>
            <w:r>
              <w:rPr>
                <w:b/>
                <w:sz w:val="22"/>
              </w:rPr>
              <w:t>Nivel Educativo</w:t>
            </w:r>
          </w:p>
        </w:tc>
        <w:tc>
          <w:tcPr>
            <w:tcW w:w="1887" w:type="dxa"/>
            <w:shd w:val="clear" w:color="auto" w:fill="F9BE8F"/>
          </w:tcPr>
          <w:p>
            <w:pPr>
              <w:pStyle w:val="TableParagraph"/>
              <w:spacing w:line="248" w:lineRule="exact"/>
              <w:rPr>
                <w:b/>
                <w:sz w:val="22"/>
              </w:rPr>
            </w:pPr>
            <w:r>
              <w:rPr>
                <w:b/>
                <w:sz w:val="22"/>
              </w:rPr>
              <w:t>Cargo Público</w:t>
            </w:r>
          </w:p>
        </w:tc>
        <w:tc>
          <w:tcPr>
            <w:tcW w:w="1289" w:type="dxa"/>
            <w:shd w:val="clear" w:color="auto" w:fill="92CDDC"/>
          </w:tcPr>
          <w:p>
            <w:pPr>
              <w:pStyle w:val="TableParagraph"/>
              <w:spacing w:line="242" w:lineRule="auto"/>
              <w:ind w:right="337"/>
              <w:rPr>
                <w:b/>
                <w:sz w:val="22"/>
              </w:rPr>
            </w:pPr>
            <w:r>
              <w:rPr>
                <w:b/>
                <w:sz w:val="22"/>
              </w:rPr>
              <w:t>¿Dónde nació?</w:t>
            </w:r>
          </w:p>
        </w:tc>
        <w:tc>
          <w:tcPr>
            <w:tcW w:w="1174" w:type="dxa"/>
            <w:shd w:val="clear" w:color="auto" w:fill="92CDDC"/>
          </w:tcPr>
          <w:p>
            <w:pPr>
              <w:pStyle w:val="TableParagraph"/>
              <w:spacing w:line="242" w:lineRule="auto"/>
              <w:ind w:right="222"/>
              <w:rPr>
                <w:b/>
                <w:sz w:val="22"/>
              </w:rPr>
            </w:pPr>
            <w:r>
              <w:rPr>
                <w:b/>
                <w:sz w:val="22"/>
              </w:rPr>
              <w:t>¿Dónde vive?</w:t>
            </w:r>
          </w:p>
        </w:tc>
        <w:tc>
          <w:tcPr>
            <w:tcW w:w="2314" w:type="dxa"/>
            <w:shd w:val="clear" w:color="auto" w:fill="92CDDC"/>
          </w:tcPr>
          <w:p>
            <w:pPr>
              <w:pStyle w:val="TableParagraph"/>
              <w:tabs>
                <w:tab w:pos="1259" w:val="left" w:leader="none"/>
              </w:tabs>
              <w:spacing w:line="248" w:lineRule="exact"/>
              <w:ind w:left="100"/>
              <w:rPr>
                <w:b/>
                <w:sz w:val="22"/>
              </w:rPr>
            </w:pPr>
            <w:r>
              <w:rPr>
                <w:b/>
                <w:sz w:val="22"/>
              </w:rPr>
              <w:t>¿Qué</w:t>
              <w:tab/>
              <w:t>acciones</w:t>
            </w:r>
          </w:p>
          <w:p>
            <w:pPr>
              <w:pStyle w:val="TableParagraph"/>
              <w:tabs>
                <w:tab w:pos="1945" w:val="left" w:leader="none"/>
              </w:tabs>
              <w:spacing w:line="252" w:lineRule="exact" w:before="1"/>
              <w:ind w:left="100"/>
              <w:rPr>
                <w:b/>
                <w:sz w:val="22"/>
              </w:rPr>
            </w:pPr>
            <w:r>
              <w:rPr>
                <w:b/>
                <w:sz w:val="22"/>
              </w:rPr>
              <w:t>realiza</w:t>
              <w:tab/>
              <w:t>su</w:t>
            </w:r>
          </w:p>
          <w:p>
            <w:pPr>
              <w:pStyle w:val="TableParagraph"/>
              <w:ind w:left="100"/>
              <w:rPr>
                <w:b/>
                <w:sz w:val="22"/>
              </w:rPr>
            </w:pPr>
            <w:r>
              <w:rPr>
                <w:b/>
                <w:sz w:val="22"/>
              </w:rPr>
              <w:t>municipio para que no   se  deteriore  la</w:t>
            </w:r>
          </w:p>
        </w:tc>
        <w:tc>
          <w:tcPr>
            <w:tcW w:w="3901" w:type="dxa"/>
            <w:shd w:val="clear" w:color="auto" w:fill="92CDDC"/>
          </w:tcPr>
          <w:p>
            <w:pPr>
              <w:pStyle w:val="TableParagraph"/>
              <w:ind w:right="100"/>
              <w:jc w:val="both"/>
              <w:rPr>
                <w:b/>
                <w:sz w:val="22"/>
              </w:rPr>
            </w:pPr>
            <w:r>
              <w:rPr>
                <w:b/>
                <w:sz w:val="22"/>
              </w:rPr>
              <w:t>¿Existen problemas por el agua de la laguna de Huapango entre los habitantes de los municipios que se benefician de ella?</w:t>
            </w:r>
          </w:p>
        </w:tc>
      </w:tr>
    </w:tbl>
    <w:p>
      <w:pPr>
        <w:spacing w:after="0"/>
        <w:jc w:val="both"/>
        <w:rPr>
          <w:sz w:val="22"/>
        </w:rPr>
        <w:sectPr>
          <w:pgSz w:w="15840" w:h="12240" w:orient="landscape"/>
          <w:pgMar w:header="0" w:footer="943" w:top="1140" w:bottom="120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526" w:hRule="exact"/>
        </w:trPr>
        <w:tc>
          <w:tcPr>
            <w:tcW w:w="1385" w:type="dxa"/>
            <w:shd w:val="clear" w:color="auto" w:fill="F9BE8F"/>
          </w:tcPr>
          <w:p>
            <w:pPr/>
          </w:p>
        </w:tc>
        <w:tc>
          <w:tcPr>
            <w:tcW w:w="1274" w:type="dxa"/>
            <w:shd w:val="clear" w:color="auto" w:fill="F9BE8F"/>
          </w:tcPr>
          <w:p>
            <w:pPr/>
          </w:p>
        </w:tc>
        <w:tc>
          <w:tcPr>
            <w:tcW w:w="1887" w:type="dxa"/>
            <w:shd w:val="clear" w:color="auto" w:fill="F9BE8F"/>
          </w:tcPr>
          <w:p>
            <w:pPr/>
          </w:p>
        </w:tc>
        <w:tc>
          <w:tcPr>
            <w:tcW w:w="1289" w:type="dxa"/>
            <w:shd w:val="clear" w:color="auto" w:fill="92CDDC"/>
          </w:tcPr>
          <w:p>
            <w:pPr/>
          </w:p>
        </w:tc>
        <w:tc>
          <w:tcPr>
            <w:tcW w:w="1174" w:type="dxa"/>
            <w:shd w:val="clear" w:color="auto" w:fill="92CDDC"/>
          </w:tcPr>
          <w:p>
            <w:pPr/>
          </w:p>
        </w:tc>
        <w:tc>
          <w:tcPr>
            <w:tcW w:w="2314" w:type="dxa"/>
            <w:shd w:val="clear" w:color="auto" w:fill="92CDDC"/>
          </w:tcPr>
          <w:p>
            <w:pPr>
              <w:pStyle w:val="TableParagraph"/>
              <w:tabs>
                <w:tab w:pos="1945" w:val="left" w:leader="none"/>
              </w:tabs>
              <w:spacing w:line="248" w:lineRule="exact"/>
              <w:ind w:left="100"/>
              <w:rPr>
                <w:b/>
                <w:sz w:val="22"/>
              </w:rPr>
            </w:pPr>
            <w:r>
              <w:rPr>
                <w:b/>
                <w:sz w:val="22"/>
              </w:rPr>
              <w:t>laguna</w:t>
              <w:tab/>
              <w:t>de</w:t>
            </w:r>
          </w:p>
          <w:p>
            <w:pPr>
              <w:pStyle w:val="TableParagraph"/>
              <w:spacing w:line="252" w:lineRule="exact"/>
              <w:ind w:left="100"/>
              <w:rPr>
                <w:b/>
                <w:sz w:val="22"/>
              </w:rPr>
            </w:pPr>
            <w:r>
              <w:rPr>
                <w:b/>
                <w:sz w:val="22"/>
              </w:rPr>
              <w:t>Huapango?</w:t>
            </w:r>
          </w:p>
        </w:tc>
        <w:tc>
          <w:tcPr>
            <w:tcW w:w="3901" w:type="dxa"/>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Irineo Ruiz</w:t>
            </w:r>
          </w:p>
        </w:tc>
        <w:tc>
          <w:tcPr>
            <w:tcW w:w="1274" w:type="dxa"/>
            <w:tcBorders>
              <w:bottom w:val="nil"/>
            </w:tcBorders>
          </w:tcPr>
          <w:p>
            <w:pPr>
              <w:pStyle w:val="TableParagraph"/>
              <w:spacing w:line="251" w:lineRule="exact"/>
              <w:ind w:left="100" w:right="98"/>
              <w:rPr>
                <w:sz w:val="22"/>
              </w:rPr>
            </w:pPr>
            <w:r>
              <w:rPr>
                <w:sz w:val="22"/>
              </w:rPr>
              <w:t>Profesor</w:t>
            </w:r>
          </w:p>
        </w:tc>
        <w:tc>
          <w:tcPr>
            <w:tcW w:w="1887" w:type="dxa"/>
            <w:tcBorders>
              <w:bottom w:val="nil"/>
            </w:tcBorders>
          </w:tcPr>
          <w:p>
            <w:pPr>
              <w:pStyle w:val="TableParagraph"/>
              <w:spacing w:line="251" w:lineRule="exact"/>
              <w:rPr>
                <w:sz w:val="22"/>
              </w:rPr>
            </w:pPr>
            <w:r>
              <w:rPr>
                <w:sz w:val="22"/>
              </w:rPr>
              <w:t>Presidente</w:t>
            </w:r>
          </w:p>
        </w:tc>
        <w:tc>
          <w:tcPr>
            <w:tcW w:w="1289" w:type="dxa"/>
            <w:tcBorders>
              <w:bottom w:val="nil"/>
            </w:tcBorders>
          </w:tcPr>
          <w:p>
            <w:pPr>
              <w:pStyle w:val="TableParagraph"/>
              <w:spacing w:line="251" w:lineRule="exact"/>
              <w:rPr>
                <w:sz w:val="22"/>
              </w:rPr>
            </w:pPr>
            <w:r>
              <w:rPr>
                <w:sz w:val="22"/>
              </w:rPr>
              <w:t>Acambay</w:t>
            </w:r>
          </w:p>
        </w:tc>
        <w:tc>
          <w:tcPr>
            <w:tcW w:w="1174" w:type="dxa"/>
            <w:tcBorders>
              <w:bottom w:val="nil"/>
            </w:tcBorders>
          </w:tcPr>
          <w:p>
            <w:pPr>
              <w:pStyle w:val="TableParagraph"/>
              <w:spacing w:line="251" w:lineRule="exact"/>
              <w:rPr>
                <w:sz w:val="22"/>
              </w:rPr>
            </w:pPr>
            <w:r>
              <w:rPr>
                <w:sz w:val="22"/>
              </w:rPr>
              <w:t>Acambay</w:t>
            </w:r>
          </w:p>
        </w:tc>
        <w:tc>
          <w:tcPr>
            <w:tcW w:w="2314" w:type="dxa"/>
            <w:tcBorders>
              <w:bottom w:val="nil"/>
            </w:tcBorders>
          </w:tcPr>
          <w:p>
            <w:pPr>
              <w:pStyle w:val="TableParagraph"/>
              <w:tabs>
                <w:tab w:pos="2029" w:val="left" w:leader="none"/>
              </w:tabs>
              <w:spacing w:line="251" w:lineRule="exact"/>
              <w:ind w:left="100"/>
              <w:rPr>
                <w:sz w:val="22"/>
              </w:rPr>
            </w:pPr>
            <w:r>
              <w:rPr>
                <w:sz w:val="22"/>
              </w:rPr>
              <w:t>Contener</w:t>
              <w:tab/>
              <w:t>la</w:t>
            </w:r>
          </w:p>
        </w:tc>
        <w:tc>
          <w:tcPr>
            <w:tcW w:w="3901" w:type="dxa"/>
            <w:tcBorders>
              <w:bottom w:val="nil"/>
            </w:tcBorders>
          </w:tcPr>
          <w:p>
            <w:pPr>
              <w:pStyle w:val="TableParagraph"/>
              <w:spacing w:line="251" w:lineRule="exact"/>
              <w:rPr>
                <w:sz w:val="22"/>
              </w:rPr>
            </w:pPr>
            <w:r>
              <w:rPr>
                <w:sz w:val="22"/>
              </w:rPr>
              <w:t>No  existen  problemas  por  el   agua</w:t>
            </w:r>
          </w:p>
        </w:tc>
      </w:tr>
      <w:tr>
        <w:trPr>
          <w:trHeight w:val="251" w:hRule="exact"/>
        </w:trPr>
        <w:tc>
          <w:tcPr>
            <w:tcW w:w="1385" w:type="dxa"/>
            <w:tcBorders>
              <w:top w:val="nil"/>
              <w:bottom w:val="nil"/>
            </w:tcBorders>
          </w:tcPr>
          <w:p>
            <w:pPr>
              <w:pStyle w:val="TableParagraph"/>
              <w:spacing w:line="241" w:lineRule="exact"/>
              <w:ind w:right="127"/>
              <w:rPr>
                <w:sz w:val="22"/>
              </w:rPr>
            </w:pPr>
            <w:r>
              <w:rPr>
                <w:sz w:val="22"/>
              </w:rPr>
              <w:t>González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contaminación</w:t>
            </w:r>
          </w:p>
        </w:tc>
        <w:tc>
          <w:tcPr>
            <w:tcW w:w="3901" w:type="dxa"/>
            <w:tcBorders>
              <w:top w:val="nil"/>
              <w:bottom w:val="nil"/>
            </w:tcBorders>
          </w:tcPr>
          <w:p>
            <w:pPr>
              <w:pStyle w:val="TableParagraph"/>
              <w:spacing w:line="241" w:lineRule="exact"/>
              <w:rPr>
                <w:sz w:val="22"/>
              </w:rPr>
            </w:pPr>
            <w:r>
              <w:rPr>
                <w:sz w:val="22"/>
              </w:rPr>
              <w:t>entre  los  habitantes  de  los distintos</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0" w:lineRule="exact"/>
              <w:ind w:left="100"/>
              <w:rPr>
                <w:b/>
                <w:sz w:val="22"/>
              </w:rPr>
            </w:pPr>
            <w:r>
              <w:rPr>
                <w:b/>
                <w:sz w:val="22"/>
              </w:rPr>
              <w:t>mediante el drenaje</w:t>
            </w:r>
          </w:p>
        </w:tc>
        <w:tc>
          <w:tcPr>
            <w:tcW w:w="3901" w:type="dxa"/>
            <w:tcBorders>
              <w:top w:val="nil"/>
              <w:bottom w:val="nil"/>
            </w:tcBorders>
          </w:tcPr>
          <w:p>
            <w:pPr>
              <w:pStyle w:val="TableParagraph"/>
              <w:tabs>
                <w:tab w:pos="1374" w:val="left" w:leader="none"/>
                <w:tab w:pos="1976" w:val="left" w:leader="none"/>
                <w:tab w:pos="3030" w:val="left" w:leader="none"/>
                <w:tab w:pos="3617" w:val="left" w:leader="none"/>
              </w:tabs>
              <w:spacing w:line="242" w:lineRule="exact"/>
              <w:rPr>
                <w:sz w:val="22"/>
              </w:rPr>
            </w:pPr>
            <w:r>
              <w:rPr>
                <w:sz w:val="22"/>
              </w:rPr>
              <w:t>municipios</w:t>
              <w:tab/>
              <w:t>que</w:t>
              <w:tab/>
              <w:t>colindan</w:t>
              <w:tab/>
              <w:t>con</w:t>
              <w:tab/>
              <w:t>la</w:t>
            </w:r>
          </w:p>
        </w:tc>
      </w:tr>
      <w:tr>
        <w:trPr>
          <w:trHeight w:val="254" w:hRule="exact"/>
        </w:trPr>
        <w:tc>
          <w:tcPr>
            <w:tcW w:w="1385" w:type="dxa"/>
            <w:tcBorders>
              <w:top w:val="nil"/>
              <w:bottom w:val="nil"/>
            </w:tcBorders>
          </w:tcPr>
          <w:p>
            <w:pPr>
              <w:pStyle w:val="TableParagraph"/>
              <w:spacing w:line="244" w:lineRule="exact"/>
              <w:ind w:right="127"/>
              <w:rPr>
                <w:sz w:val="22"/>
              </w:rPr>
            </w:pPr>
            <w:r>
              <w:rPr>
                <w:sz w:val="22"/>
              </w:rPr>
              <w:t>(13/I/2015)</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b/>
                <w:sz w:val="22"/>
              </w:rPr>
            </w:pPr>
            <w:r>
              <w:rPr>
                <w:b/>
                <w:sz w:val="22"/>
              </w:rPr>
              <w:t>y alcantarillado.</w:t>
            </w:r>
          </w:p>
        </w:tc>
        <w:tc>
          <w:tcPr>
            <w:tcW w:w="3901" w:type="dxa"/>
            <w:tcBorders>
              <w:top w:val="nil"/>
              <w:bottom w:val="nil"/>
            </w:tcBorders>
          </w:tcPr>
          <w:p>
            <w:pPr>
              <w:pStyle w:val="TableParagraph"/>
              <w:spacing w:line="244" w:lineRule="exact"/>
              <w:rPr>
                <w:sz w:val="22"/>
              </w:rPr>
            </w:pPr>
            <w:r>
              <w:rPr>
                <w:sz w:val="22"/>
              </w:rPr>
              <w:t>laguna,  sólo  que  no  dejan utilizarla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para riego, se pelean por el  reducido</w:t>
            </w: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2" w:lineRule="exact"/>
              <w:rPr>
                <w:sz w:val="22"/>
              </w:rPr>
            </w:pPr>
            <w:r>
              <w:rPr>
                <w:sz w:val="22"/>
              </w:rPr>
              <w:t>caudal.</w:t>
            </w:r>
          </w:p>
        </w:tc>
      </w:tr>
      <w:tr>
        <w:trPr>
          <w:trHeight w:val="268" w:hRule="exact"/>
        </w:trPr>
        <w:tc>
          <w:tcPr>
            <w:tcW w:w="1385" w:type="dxa"/>
            <w:tcBorders>
              <w:bottom w:val="nil"/>
            </w:tcBorders>
          </w:tcPr>
          <w:p>
            <w:pPr>
              <w:pStyle w:val="TableParagraph"/>
              <w:spacing w:line="251" w:lineRule="exact"/>
              <w:ind w:right="127"/>
              <w:rPr>
                <w:sz w:val="22"/>
              </w:rPr>
            </w:pPr>
            <w:r>
              <w:rPr>
                <w:sz w:val="22"/>
              </w:rPr>
              <w:t>Ana María</w:t>
            </w:r>
          </w:p>
        </w:tc>
        <w:tc>
          <w:tcPr>
            <w:tcW w:w="1274" w:type="dxa"/>
            <w:tcBorders>
              <w:bottom w:val="nil"/>
            </w:tcBorders>
          </w:tcPr>
          <w:p>
            <w:pPr>
              <w:pStyle w:val="TableParagraph"/>
              <w:spacing w:line="251" w:lineRule="exact"/>
              <w:ind w:left="100" w:right="98"/>
              <w:rPr>
                <w:sz w:val="22"/>
              </w:rPr>
            </w:pPr>
            <w:r>
              <w:rPr>
                <w:sz w:val="22"/>
              </w:rPr>
              <w:t>Abogada</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Acambay</w:t>
            </w:r>
          </w:p>
        </w:tc>
        <w:tc>
          <w:tcPr>
            <w:tcW w:w="1174" w:type="dxa"/>
            <w:tcBorders>
              <w:bottom w:val="nil"/>
            </w:tcBorders>
          </w:tcPr>
          <w:p>
            <w:pPr>
              <w:pStyle w:val="TableParagraph"/>
              <w:spacing w:line="251" w:lineRule="exact"/>
              <w:rPr>
                <w:sz w:val="22"/>
              </w:rPr>
            </w:pPr>
            <w:r>
              <w:rPr>
                <w:sz w:val="22"/>
              </w:rPr>
              <w:t>Acambay</w:t>
            </w:r>
          </w:p>
        </w:tc>
        <w:tc>
          <w:tcPr>
            <w:tcW w:w="2314" w:type="dxa"/>
            <w:tcBorders>
              <w:bottom w:val="nil"/>
            </w:tcBorders>
          </w:tcPr>
          <w:p>
            <w:pPr/>
          </w:p>
        </w:tc>
        <w:tc>
          <w:tcPr>
            <w:tcW w:w="3901" w:type="dxa"/>
            <w:tcBorders>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Contreras</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Encargada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942" w:right="943"/>
              <w:jc w:val="center"/>
              <w:rPr>
                <w:sz w:val="22"/>
              </w:rPr>
            </w:pPr>
            <w:r>
              <w:rPr>
                <w:sz w:val="22"/>
              </w:rPr>
              <w:t>N/C</w:t>
            </w:r>
          </w:p>
        </w:tc>
        <w:tc>
          <w:tcPr>
            <w:tcW w:w="3901" w:type="dxa"/>
            <w:tcBorders>
              <w:top w:val="nil"/>
              <w:bottom w:val="nil"/>
            </w:tcBorders>
          </w:tcPr>
          <w:p>
            <w:pPr>
              <w:pStyle w:val="TableParagraph"/>
              <w:spacing w:line="242" w:lineRule="exact"/>
              <w:ind w:left="1736" w:right="1736"/>
              <w:jc w:val="center"/>
              <w:rPr>
                <w:sz w:val="22"/>
              </w:rPr>
            </w:pPr>
            <w:r>
              <w:rPr>
                <w:sz w:val="22"/>
              </w:rPr>
              <w:t>N/C</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Valdez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preservar,</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conservar 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(21/I/2014)</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restaurar el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medio ambiente</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Pedro</w:t>
            </w:r>
          </w:p>
        </w:tc>
        <w:tc>
          <w:tcPr>
            <w:tcW w:w="1274" w:type="dxa"/>
            <w:tcBorders>
              <w:bottom w:val="nil"/>
            </w:tcBorders>
          </w:tcPr>
          <w:p>
            <w:pPr>
              <w:pStyle w:val="TableParagraph"/>
              <w:spacing w:line="251" w:lineRule="exact"/>
              <w:ind w:left="100" w:right="98"/>
              <w:rPr>
                <w:sz w:val="22"/>
              </w:rPr>
            </w:pPr>
            <w:r>
              <w:rPr>
                <w:sz w:val="22"/>
              </w:rPr>
              <w:t>Médico</w:t>
            </w:r>
          </w:p>
        </w:tc>
        <w:tc>
          <w:tcPr>
            <w:tcW w:w="1887" w:type="dxa"/>
            <w:tcBorders>
              <w:bottom w:val="nil"/>
            </w:tcBorders>
          </w:tcPr>
          <w:p>
            <w:pPr>
              <w:pStyle w:val="TableParagraph"/>
              <w:spacing w:line="251" w:lineRule="exact"/>
              <w:rPr>
                <w:sz w:val="22"/>
              </w:rPr>
            </w:pPr>
            <w:r>
              <w:rPr>
                <w:sz w:val="22"/>
              </w:rPr>
              <w:t>Decimo Regidor.</w:t>
            </w:r>
          </w:p>
        </w:tc>
        <w:tc>
          <w:tcPr>
            <w:tcW w:w="1289" w:type="dxa"/>
            <w:tcBorders>
              <w:bottom w:val="nil"/>
            </w:tcBorders>
          </w:tcPr>
          <w:p>
            <w:pPr>
              <w:pStyle w:val="TableParagraph"/>
              <w:spacing w:line="251" w:lineRule="exact"/>
              <w:rPr>
                <w:sz w:val="22"/>
              </w:rPr>
            </w:pPr>
            <w:r>
              <w:rPr>
                <w:sz w:val="22"/>
              </w:rPr>
              <w:t>Villa</w:t>
            </w:r>
          </w:p>
        </w:tc>
        <w:tc>
          <w:tcPr>
            <w:tcW w:w="1174" w:type="dxa"/>
            <w:tcBorders>
              <w:bottom w:val="nil"/>
            </w:tcBorders>
          </w:tcPr>
          <w:p>
            <w:pPr>
              <w:pStyle w:val="TableParagraph"/>
              <w:spacing w:line="251" w:lineRule="exact"/>
              <w:rPr>
                <w:sz w:val="22"/>
              </w:rPr>
            </w:pPr>
            <w:r>
              <w:rPr>
                <w:sz w:val="22"/>
              </w:rPr>
              <w:t>Acambay</w:t>
            </w:r>
          </w:p>
        </w:tc>
        <w:tc>
          <w:tcPr>
            <w:tcW w:w="2314" w:type="dxa"/>
            <w:tcBorders>
              <w:bottom w:val="nil"/>
            </w:tcBorders>
          </w:tcPr>
          <w:p>
            <w:pPr>
              <w:pStyle w:val="TableParagraph"/>
              <w:tabs>
                <w:tab w:pos="659" w:val="left" w:leader="none"/>
                <w:tab w:pos="1952" w:val="left" w:leader="none"/>
              </w:tabs>
              <w:spacing w:line="251" w:lineRule="exact"/>
              <w:ind w:left="100"/>
              <w:rPr>
                <w:sz w:val="22"/>
              </w:rPr>
            </w:pPr>
            <w:r>
              <w:rPr>
                <w:sz w:val="22"/>
              </w:rPr>
              <w:t>El</w:t>
              <w:tab/>
              <w:t>municipio</w:t>
              <w:tab/>
              <w:t>no</w:t>
            </w:r>
          </w:p>
        </w:tc>
        <w:tc>
          <w:tcPr>
            <w:tcW w:w="3901" w:type="dxa"/>
            <w:tcBorders>
              <w:bottom w:val="nil"/>
            </w:tcBorders>
          </w:tcPr>
          <w:p>
            <w:pPr>
              <w:pStyle w:val="TableParagraph"/>
              <w:spacing w:line="251" w:lineRule="exact"/>
              <w:rPr>
                <w:sz w:val="22"/>
              </w:rPr>
            </w:pPr>
            <w:r>
              <w:rPr>
                <w:sz w:val="22"/>
              </w:rPr>
              <w:t>No  existen  problemas  por  el   agua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Carbajal</w:t>
            </w:r>
          </w:p>
        </w:tc>
        <w:tc>
          <w:tcPr>
            <w:tcW w:w="1274" w:type="dxa"/>
            <w:tcBorders>
              <w:top w:val="nil"/>
              <w:bottom w:val="nil"/>
            </w:tcBorders>
          </w:tcPr>
          <w:p>
            <w:pPr>
              <w:pStyle w:val="TableParagraph"/>
              <w:spacing w:line="241" w:lineRule="exact"/>
              <w:ind w:left="100" w:right="98"/>
              <w:rPr>
                <w:sz w:val="22"/>
              </w:rPr>
            </w:pPr>
            <w:r>
              <w:rPr>
                <w:sz w:val="22"/>
              </w:rPr>
              <w:t>General</w:t>
            </w:r>
          </w:p>
        </w:tc>
        <w:tc>
          <w:tcPr>
            <w:tcW w:w="1887" w:type="dxa"/>
            <w:tcBorders>
              <w:top w:val="nil"/>
              <w:bottom w:val="nil"/>
            </w:tcBorders>
          </w:tcPr>
          <w:p>
            <w:pPr>
              <w:pStyle w:val="TableParagraph"/>
              <w:tabs>
                <w:tab w:pos="1528" w:val="left" w:leader="none"/>
              </w:tabs>
              <w:spacing w:line="241" w:lineRule="exact"/>
              <w:rPr>
                <w:sz w:val="22"/>
              </w:rPr>
            </w:pPr>
            <w:r>
              <w:rPr>
                <w:sz w:val="22"/>
              </w:rPr>
              <w:t>Encargado</w:t>
              <w:tab/>
              <w:t>de</w:t>
            </w:r>
          </w:p>
        </w:tc>
        <w:tc>
          <w:tcPr>
            <w:tcW w:w="1289" w:type="dxa"/>
            <w:tcBorders>
              <w:top w:val="nil"/>
              <w:bottom w:val="nil"/>
            </w:tcBorders>
          </w:tcPr>
          <w:p>
            <w:pPr>
              <w:pStyle w:val="TableParagraph"/>
              <w:spacing w:line="241" w:lineRule="exact"/>
              <w:rPr>
                <w:sz w:val="22"/>
              </w:rPr>
            </w:pPr>
            <w:r>
              <w:rPr>
                <w:sz w:val="22"/>
              </w:rPr>
              <w:t>Victoria</w:t>
            </w:r>
          </w:p>
        </w:tc>
        <w:tc>
          <w:tcPr>
            <w:tcW w:w="1174" w:type="dxa"/>
            <w:tcBorders>
              <w:top w:val="nil"/>
              <w:bottom w:val="nil"/>
            </w:tcBorders>
          </w:tcPr>
          <w:p>
            <w:pPr>
              <w:pStyle w:val="TableParagraph"/>
              <w:spacing w:line="241" w:lineRule="exact"/>
              <w:rPr>
                <w:sz w:val="22"/>
              </w:rPr>
            </w:pPr>
            <w:r>
              <w:rPr>
                <w:sz w:val="22"/>
              </w:rPr>
              <w:t>desde</w:t>
            </w:r>
          </w:p>
        </w:tc>
        <w:tc>
          <w:tcPr>
            <w:tcW w:w="2314" w:type="dxa"/>
            <w:tcBorders>
              <w:top w:val="nil"/>
              <w:bottom w:val="nil"/>
            </w:tcBorders>
          </w:tcPr>
          <w:p>
            <w:pPr>
              <w:pStyle w:val="TableParagraph"/>
              <w:spacing w:line="241" w:lineRule="exact"/>
              <w:ind w:left="100"/>
              <w:rPr>
                <w:sz w:val="22"/>
              </w:rPr>
            </w:pPr>
            <w:r>
              <w:rPr>
                <w:sz w:val="22"/>
              </w:rPr>
              <w:t>realiza acciones para</w:t>
            </w:r>
          </w:p>
        </w:tc>
        <w:tc>
          <w:tcPr>
            <w:tcW w:w="3901" w:type="dxa"/>
            <w:tcBorders>
              <w:top w:val="nil"/>
              <w:bottom w:val="nil"/>
            </w:tcBorders>
          </w:tcPr>
          <w:p>
            <w:pPr>
              <w:pStyle w:val="TableParagraph"/>
              <w:spacing w:line="241" w:lineRule="exact"/>
              <w:rPr>
                <w:sz w:val="22"/>
              </w:rPr>
            </w:pPr>
            <w:r>
              <w:rPr>
                <w:sz w:val="22"/>
              </w:rPr>
              <w:t>entre  los  municipios  aledaños  a </w:t>
            </w:r>
            <w:r>
              <w:rPr>
                <w:spacing w:val="53"/>
                <w:sz w:val="22"/>
              </w:rPr>
              <w:t> </w:t>
            </w:r>
            <w:r>
              <w:rPr>
                <w:sz w:val="22"/>
              </w:rPr>
              <w:t>la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Suárez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preservar,</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hace 32</w:t>
            </w:r>
          </w:p>
        </w:tc>
        <w:tc>
          <w:tcPr>
            <w:tcW w:w="2314" w:type="dxa"/>
            <w:tcBorders>
              <w:top w:val="nil"/>
              <w:bottom w:val="nil"/>
            </w:tcBorders>
          </w:tcPr>
          <w:p>
            <w:pPr>
              <w:pStyle w:val="TableParagraph"/>
              <w:spacing w:line="242" w:lineRule="exact"/>
              <w:ind w:left="100"/>
              <w:rPr>
                <w:sz w:val="22"/>
              </w:rPr>
            </w:pPr>
            <w:r>
              <w:rPr>
                <w:sz w:val="22"/>
              </w:rPr>
              <w:t>cuidar  el  agua  de la</w:t>
            </w:r>
          </w:p>
        </w:tc>
        <w:tc>
          <w:tcPr>
            <w:tcW w:w="3901" w:type="dxa"/>
            <w:tcBorders>
              <w:top w:val="nil"/>
              <w:bottom w:val="nil"/>
            </w:tcBorders>
          </w:tcPr>
          <w:p>
            <w:pPr>
              <w:pStyle w:val="TableParagraph"/>
              <w:spacing w:line="242" w:lineRule="exact"/>
              <w:rPr>
                <w:sz w:val="22"/>
              </w:rPr>
            </w:pPr>
            <w:r>
              <w:rPr>
                <w:sz w:val="22"/>
              </w:rPr>
              <w:t>laguna   porque   existe   un  acuerdo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41" w:lineRule="exact"/>
              <w:rPr>
                <w:sz w:val="22"/>
              </w:rPr>
            </w:pPr>
            <w:r>
              <w:rPr>
                <w:sz w:val="22"/>
              </w:rPr>
              <w:t>conservar</w:t>
              <w:tab/>
              <w:t>y</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años</w:t>
            </w:r>
          </w:p>
        </w:tc>
        <w:tc>
          <w:tcPr>
            <w:tcW w:w="2314" w:type="dxa"/>
            <w:tcBorders>
              <w:top w:val="nil"/>
              <w:bottom w:val="nil"/>
            </w:tcBorders>
          </w:tcPr>
          <w:p>
            <w:pPr>
              <w:pStyle w:val="TableParagraph"/>
              <w:spacing w:line="241" w:lineRule="exact"/>
              <w:ind w:left="100"/>
              <w:rPr>
                <w:sz w:val="22"/>
              </w:rPr>
            </w:pPr>
            <w:r>
              <w:rPr>
                <w:sz w:val="22"/>
              </w:rPr>
              <w:t>laguna,  pero  Aculco</w:t>
            </w:r>
          </w:p>
        </w:tc>
        <w:tc>
          <w:tcPr>
            <w:tcW w:w="3901" w:type="dxa"/>
            <w:tcBorders>
              <w:top w:val="nil"/>
              <w:bottom w:val="nil"/>
            </w:tcBorders>
          </w:tcPr>
          <w:p>
            <w:pPr>
              <w:pStyle w:val="TableParagraph"/>
              <w:spacing w:line="241" w:lineRule="exact"/>
              <w:rPr>
                <w:sz w:val="22"/>
              </w:rPr>
            </w:pPr>
            <w:r>
              <w:rPr>
                <w:sz w:val="22"/>
              </w:rPr>
              <w:t>entre  todos  los  municipios,  aunque</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(21/I/2014)</w:t>
            </w:r>
          </w:p>
        </w:tc>
        <w:tc>
          <w:tcPr>
            <w:tcW w:w="1274" w:type="dxa"/>
            <w:tcBorders>
              <w:top w:val="nil"/>
              <w:bottom w:val="nil"/>
            </w:tcBorders>
          </w:tcPr>
          <w:p>
            <w:pPr/>
          </w:p>
        </w:tc>
        <w:tc>
          <w:tcPr>
            <w:tcW w:w="1887" w:type="dxa"/>
            <w:tcBorders>
              <w:top w:val="nil"/>
              <w:bottom w:val="nil"/>
            </w:tcBorders>
          </w:tcPr>
          <w:p>
            <w:pPr>
              <w:pStyle w:val="TableParagraph"/>
              <w:tabs>
                <w:tab w:pos="1602" w:val="left" w:leader="none"/>
              </w:tabs>
              <w:spacing w:line="243" w:lineRule="exact"/>
              <w:rPr>
                <w:sz w:val="22"/>
              </w:rPr>
            </w:pPr>
            <w:r>
              <w:rPr>
                <w:sz w:val="22"/>
              </w:rPr>
              <w:t>restaurar</w:t>
              <w:tab/>
              <w:t>el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si  tiene  un   Comité,</w:t>
            </w:r>
          </w:p>
        </w:tc>
        <w:tc>
          <w:tcPr>
            <w:tcW w:w="3901" w:type="dxa"/>
            <w:tcBorders>
              <w:top w:val="nil"/>
              <w:bottom w:val="nil"/>
            </w:tcBorders>
          </w:tcPr>
          <w:p>
            <w:pPr>
              <w:pStyle w:val="TableParagraph"/>
              <w:spacing w:line="243" w:lineRule="exact"/>
              <w:rPr>
                <w:sz w:val="22"/>
              </w:rPr>
            </w:pPr>
            <w:r>
              <w:rPr>
                <w:sz w:val="22"/>
              </w:rPr>
              <w:t>nunca dejan de existir problemas.</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medio ambiente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75" w:val="left" w:leader="none"/>
                <w:tab w:pos="1369" w:val="left" w:leader="none"/>
                <w:tab w:pos="1968" w:val="left" w:leader="none"/>
              </w:tabs>
              <w:spacing w:line="241" w:lineRule="exact"/>
              <w:ind w:left="100"/>
              <w:rPr>
                <w:sz w:val="22"/>
              </w:rPr>
            </w:pPr>
            <w:r>
              <w:rPr>
                <w:sz w:val="22"/>
              </w:rPr>
              <w:t>un</w:t>
              <w:tab/>
              <w:t>grupo</w:t>
              <w:tab/>
              <w:t>que</w:t>
              <w:tab/>
              <w:t>se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encarga  de controlar</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el agua.</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Reynaldo</w:t>
            </w:r>
          </w:p>
        </w:tc>
        <w:tc>
          <w:tcPr>
            <w:tcW w:w="1274" w:type="dxa"/>
            <w:tcBorders>
              <w:bottom w:val="nil"/>
            </w:tcBorders>
          </w:tcPr>
          <w:p>
            <w:pPr/>
          </w:p>
        </w:tc>
        <w:tc>
          <w:tcPr>
            <w:tcW w:w="1887" w:type="dxa"/>
            <w:tcBorders>
              <w:bottom w:val="nil"/>
            </w:tcBorders>
          </w:tcPr>
          <w:p>
            <w:pPr>
              <w:pStyle w:val="TableParagraph"/>
              <w:tabs>
                <w:tab w:pos="1480" w:val="left" w:leader="none"/>
              </w:tabs>
              <w:spacing w:line="251" w:lineRule="exact"/>
              <w:rPr>
                <w:sz w:val="22"/>
              </w:rPr>
            </w:pPr>
            <w:r>
              <w:rPr>
                <w:sz w:val="22"/>
              </w:rPr>
              <w:t>Director</w:t>
              <w:tab/>
              <w:t>del</w:t>
            </w:r>
          </w:p>
        </w:tc>
        <w:tc>
          <w:tcPr>
            <w:tcW w:w="1289" w:type="dxa"/>
            <w:tcBorders>
              <w:bottom w:val="nil"/>
            </w:tcBorders>
          </w:tcPr>
          <w:p>
            <w:pPr>
              <w:pStyle w:val="TableParagraph"/>
              <w:spacing w:line="251" w:lineRule="exact"/>
              <w:rPr>
                <w:sz w:val="22"/>
              </w:rPr>
            </w:pPr>
            <w:r>
              <w:rPr>
                <w:sz w:val="22"/>
              </w:rPr>
              <w:t>Las</w:t>
            </w:r>
          </w:p>
        </w:tc>
        <w:tc>
          <w:tcPr>
            <w:tcW w:w="1174" w:type="dxa"/>
            <w:tcBorders>
              <w:bottom w:val="nil"/>
            </w:tcBorders>
          </w:tcPr>
          <w:p>
            <w:pPr>
              <w:pStyle w:val="TableParagraph"/>
              <w:spacing w:line="251" w:lineRule="exact"/>
              <w:rPr>
                <w:sz w:val="22"/>
              </w:rPr>
            </w:pPr>
            <w:r>
              <w:rPr>
                <w:sz w:val="22"/>
              </w:rPr>
              <w:t>Las</w:t>
            </w:r>
          </w:p>
        </w:tc>
        <w:tc>
          <w:tcPr>
            <w:tcW w:w="2314" w:type="dxa"/>
            <w:tcBorders>
              <w:bottom w:val="nil"/>
            </w:tcBorders>
          </w:tcPr>
          <w:p>
            <w:pPr>
              <w:pStyle w:val="TableParagraph"/>
              <w:spacing w:line="251" w:lineRule="exact"/>
              <w:ind w:left="100"/>
              <w:rPr>
                <w:sz w:val="22"/>
              </w:rPr>
            </w:pPr>
            <w:r>
              <w:rPr>
                <w:sz w:val="22"/>
              </w:rPr>
              <w:t>Mediante  el  cuidado</w:t>
            </w:r>
          </w:p>
        </w:tc>
        <w:tc>
          <w:tcPr>
            <w:tcW w:w="3901" w:type="dxa"/>
            <w:tcBorders>
              <w:bottom w:val="nil"/>
            </w:tcBorders>
          </w:tcPr>
          <w:p>
            <w:pPr>
              <w:pStyle w:val="TableParagraph"/>
              <w:spacing w:line="251" w:lineRule="exact"/>
              <w:rPr>
                <w:sz w:val="22"/>
              </w:rPr>
            </w:pPr>
            <w:r>
              <w:rPr>
                <w:sz w:val="22"/>
              </w:rPr>
              <w:t>No  tanto  como  problemas,  pero </w:t>
            </w:r>
            <w:r>
              <w:rPr>
                <w:spacing w:val="58"/>
                <w:sz w:val="22"/>
              </w:rPr>
              <w:t> </w:t>
            </w:r>
            <w:r>
              <w:rPr>
                <w:sz w:val="22"/>
              </w:rPr>
              <w:t>el</w:t>
            </w:r>
          </w:p>
        </w:tc>
      </w:tr>
      <w:tr>
        <w:trPr>
          <w:trHeight w:val="252" w:hRule="exact"/>
        </w:trPr>
        <w:tc>
          <w:tcPr>
            <w:tcW w:w="1385" w:type="dxa"/>
            <w:tcBorders>
              <w:top w:val="nil"/>
              <w:bottom w:val="nil"/>
            </w:tcBorders>
          </w:tcPr>
          <w:p>
            <w:pPr>
              <w:pStyle w:val="TableParagraph"/>
              <w:spacing w:line="242" w:lineRule="exact"/>
              <w:ind w:right="127"/>
              <w:rPr>
                <w:sz w:val="22"/>
              </w:rPr>
            </w:pPr>
            <w:r>
              <w:rPr>
                <w:sz w:val="22"/>
              </w:rPr>
              <w:t>Sandoval</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spacing w:line="242" w:lineRule="exact"/>
              <w:rPr>
                <w:sz w:val="22"/>
              </w:rPr>
            </w:pPr>
            <w:r>
              <w:rPr>
                <w:sz w:val="22"/>
              </w:rPr>
              <w:t>Medio  Ambiente</w:t>
            </w:r>
          </w:p>
        </w:tc>
        <w:tc>
          <w:tcPr>
            <w:tcW w:w="1289" w:type="dxa"/>
            <w:tcBorders>
              <w:top w:val="nil"/>
              <w:bottom w:val="nil"/>
            </w:tcBorders>
          </w:tcPr>
          <w:p>
            <w:pPr>
              <w:pStyle w:val="TableParagraph"/>
              <w:spacing w:line="242" w:lineRule="exact"/>
              <w:rPr>
                <w:sz w:val="22"/>
              </w:rPr>
            </w:pPr>
            <w:r>
              <w:rPr>
                <w:sz w:val="22"/>
              </w:rPr>
              <w:t>Arenas,</w:t>
            </w:r>
          </w:p>
        </w:tc>
        <w:tc>
          <w:tcPr>
            <w:tcW w:w="1174" w:type="dxa"/>
            <w:tcBorders>
              <w:top w:val="nil"/>
              <w:bottom w:val="nil"/>
            </w:tcBorders>
          </w:tcPr>
          <w:p>
            <w:pPr>
              <w:pStyle w:val="TableParagraph"/>
              <w:spacing w:line="242" w:lineRule="exact"/>
              <w:rPr>
                <w:sz w:val="22"/>
              </w:rPr>
            </w:pPr>
            <w:r>
              <w:rPr>
                <w:sz w:val="22"/>
              </w:rPr>
              <w:t>Arenas,</w:t>
            </w:r>
          </w:p>
        </w:tc>
        <w:tc>
          <w:tcPr>
            <w:tcW w:w="2314" w:type="dxa"/>
            <w:tcBorders>
              <w:top w:val="nil"/>
              <w:bottom w:val="nil"/>
            </w:tcBorders>
          </w:tcPr>
          <w:p>
            <w:pPr>
              <w:pStyle w:val="TableParagraph"/>
              <w:spacing w:line="242" w:lineRule="exact"/>
              <w:ind w:left="100"/>
              <w:rPr>
                <w:sz w:val="22"/>
              </w:rPr>
            </w:pPr>
            <w:r>
              <w:rPr>
                <w:sz w:val="22"/>
              </w:rPr>
              <w:t>del agua a través  de</w:t>
            </w:r>
          </w:p>
        </w:tc>
        <w:tc>
          <w:tcPr>
            <w:tcW w:w="3901" w:type="dxa"/>
            <w:tcBorders>
              <w:top w:val="nil"/>
              <w:bottom w:val="nil"/>
            </w:tcBorders>
          </w:tcPr>
          <w:p>
            <w:pPr>
              <w:pStyle w:val="TableParagraph"/>
              <w:tabs>
                <w:tab w:pos="798" w:val="left" w:leader="none"/>
                <w:tab w:pos="1787" w:val="left" w:leader="none"/>
                <w:tab w:pos="2420" w:val="left" w:leader="none"/>
                <w:tab w:pos="2868" w:val="left" w:leader="none"/>
              </w:tabs>
              <w:spacing w:line="242" w:lineRule="exact"/>
              <w:rPr>
                <w:sz w:val="22"/>
              </w:rPr>
            </w:pPr>
            <w:r>
              <w:rPr>
                <w:sz w:val="22"/>
              </w:rPr>
              <w:t>agua</w:t>
              <w:tab/>
              <w:t>siempre</w:t>
              <w:tab/>
              <w:t>será</w:t>
              <w:tab/>
              <w:t>un</w:t>
              <w:tab/>
              <w:t>problema</w:t>
            </w:r>
          </w:p>
        </w:tc>
      </w:tr>
      <w:tr>
        <w:trPr>
          <w:trHeight w:val="254"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en Acambay</w:t>
            </w:r>
          </w:p>
        </w:tc>
        <w:tc>
          <w:tcPr>
            <w:tcW w:w="1289" w:type="dxa"/>
            <w:tcBorders>
              <w:top w:val="nil"/>
              <w:bottom w:val="nil"/>
            </w:tcBorders>
          </w:tcPr>
          <w:p>
            <w:pPr>
              <w:pStyle w:val="TableParagraph"/>
              <w:spacing w:line="242" w:lineRule="exact"/>
              <w:rPr>
                <w:sz w:val="22"/>
              </w:rPr>
            </w:pPr>
            <w:r>
              <w:rPr>
                <w:sz w:val="22"/>
              </w:rPr>
              <w:t>Acambay</w:t>
            </w:r>
          </w:p>
        </w:tc>
        <w:tc>
          <w:tcPr>
            <w:tcW w:w="1174" w:type="dxa"/>
            <w:tcBorders>
              <w:top w:val="nil"/>
              <w:bottom w:val="nil"/>
            </w:tcBorders>
          </w:tcPr>
          <w:p>
            <w:pPr>
              <w:pStyle w:val="TableParagraph"/>
              <w:spacing w:line="242" w:lineRule="exact"/>
              <w:rPr>
                <w:sz w:val="22"/>
              </w:rPr>
            </w:pPr>
            <w:r>
              <w:rPr>
                <w:sz w:val="22"/>
              </w:rPr>
              <w:t>Acambay</w:t>
            </w:r>
          </w:p>
        </w:tc>
        <w:tc>
          <w:tcPr>
            <w:tcW w:w="2314" w:type="dxa"/>
            <w:tcBorders>
              <w:top w:val="nil"/>
              <w:bottom w:val="nil"/>
            </w:tcBorders>
          </w:tcPr>
          <w:p>
            <w:pPr>
              <w:pStyle w:val="TableParagraph"/>
              <w:tabs>
                <w:tab w:pos="877" w:val="left" w:leader="none"/>
              </w:tabs>
              <w:spacing w:line="240" w:lineRule="exact"/>
              <w:ind w:left="100"/>
              <w:rPr>
                <w:sz w:val="22"/>
              </w:rPr>
            </w:pPr>
            <w:r>
              <w:rPr>
                <w:b/>
                <w:sz w:val="22"/>
              </w:rPr>
              <w:t>fosas</w:t>
              <w:tab/>
              <w:t>sépticas  </w:t>
            </w:r>
            <w:r>
              <w:rPr>
                <w:b/>
                <w:spacing w:val="14"/>
                <w:sz w:val="22"/>
              </w:rPr>
              <w:t> </w:t>
            </w:r>
            <w:r>
              <w:rPr>
                <w:sz w:val="22"/>
              </w:rPr>
              <w:t>de</w:t>
            </w:r>
          </w:p>
        </w:tc>
        <w:tc>
          <w:tcPr>
            <w:tcW w:w="3901" w:type="dxa"/>
            <w:tcBorders>
              <w:top w:val="nil"/>
              <w:bottom w:val="nil"/>
            </w:tcBorders>
          </w:tcPr>
          <w:p>
            <w:pPr>
              <w:pStyle w:val="TableParagraph"/>
              <w:spacing w:line="242" w:lineRule="exact"/>
              <w:rPr>
                <w:sz w:val="22"/>
              </w:rPr>
            </w:pPr>
            <w:r>
              <w:rPr>
                <w:sz w:val="22"/>
              </w:rPr>
              <w:t>porque  se dice que ahora  la   guerra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tratamiento  para que</w:t>
            </w:r>
          </w:p>
        </w:tc>
        <w:tc>
          <w:tcPr>
            <w:tcW w:w="3901" w:type="dxa"/>
            <w:tcBorders>
              <w:top w:val="nil"/>
              <w:bottom w:val="nil"/>
            </w:tcBorders>
          </w:tcPr>
          <w:p>
            <w:pPr>
              <w:pStyle w:val="TableParagraph"/>
              <w:spacing w:line="242" w:lineRule="exact"/>
              <w:rPr>
                <w:sz w:val="22"/>
              </w:rPr>
            </w:pPr>
            <w:r>
              <w:rPr>
                <w:sz w:val="22"/>
              </w:rPr>
              <w:t>va ser por el agua y porque ahora  en</w:t>
            </w:r>
          </w:p>
        </w:tc>
      </w:tr>
      <w:tr>
        <w:trPr>
          <w:trHeight w:val="252" w:hRule="exact"/>
        </w:trPr>
        <w:tc>
          <w:tcPr>
            <w:tcW w:w="1385" w:type="dxa"/>
            <w:tcBorders>
              <w:top w:val="nil"/>
              <w:bottom w:val="nil"/>
            </w:tcBorders>
          </w:tcPr>
          <w:p>
            <w:pPr>
              <w:pStyle w:val="TableParagraph"/>
              <w:spacing w:line="241" w:lineRule="exact"/>
              <w:ind w:left="155"/>
              <w:rPr>
                <w:sz w:val="22"/>
              </w:rPr>
            </w:pPr>
            <w:r>
              <w:rPr>
                <w:sz w:val="22"/>
              </w:rPr>
              <w:t>(21/I/2014)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73" w:val="left" w:leader="none"/>
                <w:tab w:pos="1034" w:val="left" w:leader="none"/>
                <w:tab w:pos="1919" w:val="left" w:leader="none"/>
              </w:tabs>
              <w:spacing w:line="241" w:lineRule="exact"/>
              <w:ind w:left="100"/>
              <w:rPr>
                <w:sz w:val="22"/>
              </w:rPr>
            </w:pPr>
            <w:r>
              <w:rPr>
                <w:sz w:val="22"/>
              </w:rPr>
              <w:t>no</w:t>
              <w:tab/>
              <w:t>se</w:t>
              <w:tab/>
              <w:t>viertan</w:t>
              <w:tab/>
              <w:t>las</w:t>
            </w:r>
          </w:p>
        </w:tc>
        <w:tc>
          <w:tcPr>
            <w:tcW w:w="3901" w:type="dxa"/>
            <w:tcBorders>
              <w:top w:val="nil"/>
              <w:bottom w:val="nil"/>
            </w:tcBorders>
          </w:tcPr>
          <w:p>
            <w:pPr>
              <w:pStyle w:val="TableParagraph"/>
              <w:spacing w:line="241" w:lineRule="exact"/>
              <w:rPr>
                <w:sz w:val="22"/>
              </w:rPr>
            </w:pPr>
            <w:r>
              <w:rPr>
                <w:sz w:val="22"/>
              </w:rPr>
              <w:t>la comunidad a como nos venden  un</w:t>
            </w: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aguas sucias.</w:t>
            </w:r>
          </w:p>
        </w:tc>
        <w:tc>
          <w:tcPr>
            <w:tcW w:w="3901" w:type="dxa"/>
            <w:tcBorders>
              <w:top w:val="nil"/>
            </w:tcBorders>
          </w:tcPr>
          <w:p>
            <w:pPr>
              <w:pStyle w:val="TableParagraph"/>
              <w:spacing w:line="241" w:lineRule="exact"/>
              <w:rPr>
                <w:sz w:val="22"/>
              </w:rPr>
            </w:pPr>
            <w:r>
              <w:rPr>
                <w:sz w:val="22"/>
              </w:rPr>
              <w:t>litro de agua.</w:t>
            </w:r>
          </w:p>
        </w:tc>
      </w:tr>
      <w:tr>
        <w:trPr>
          <w:trHeight w:val="266" w:hRule="exact"/>
        </w:trPr>
        <w:tc>
          <w:tcPr>
            <w:tcW w:w="1385" w:type="dxa"/>
            <w:tcBorders>
              <w:bottom w:val="nil"/>
            </w:tcBorders>
          </w:tcPr>
          <w:p>
            <w:pPr>
              <w:pStyle w:val="TableParagraph"/>
              <w:spacing w:line="251" w:lineRule="exact"/>
              <w:ind w:right="127"/>
              <w:rPr>
                <w:sz w:val="22"/>
              </w:rPr>
            </w:pPr>
            <w:r>
              <w:rPr>
                <w:sz w:val="22"/>
              </w:rPr>
              <w:t>Juan</w:t>
            </w:r>
          </w:p>
        </w:tc>
        <w:tc>
          <w:tcPr>
            <w:tcW w:w="1274" w:type="dxa"/>
            <w:tcBorders>
              <w:bottom w:val="nil"/>
            </w:tcBorders>
          </w:tcPr>
          <w:p>
            <w:pPr>
              <w:pStyle w:val="TableParagraph"/>
              <w:spacing w:line="251" w:lineRule="exact"/>
              <w:ind w:left="100"/>
              <w:rPr>
                <w:sz w:val="22"/>
              </w:rPr>
            </w:pPr>
            <w:r>
              <w:rPr>
                <w:sz w:val="22"/>
              </w:rPr>
              <w:t>Preparator</w:t>
            </w:r>
          </w:p>
        </w:tc>
        <w:tc>
          <w:tcPr>
            <w:tcW w:w="1887" w:type="dxa"/>
            <w:tcBorders>
              <w:bottom w:val="nil"/>
            </w:tcBorders>
          </w:tcPr>
          <w:p>
            <w:pPr>
              <w:pStyle w:val="TableParagraph"/>
              <w:spacing w:line="251" w:lineRule="exact"/>
              <w:rPr>
                <w:sz w:val="22"/>
              </w:rPr>
            </w:pPr>
            <w:r>
              <w:rPr>
                <w:sz w:val="22"/>
              </w:rPr>
              <w:t>Director de</w:t>
            </w:r>
          </w:p>
        </w:tc>
        <w:tc>
          <w:tcPr>
            <w:tcW w:w="1289" w:type="dxa"/>
            <w:tcBorders>
              <w:bottom w:val="nil"/>
            </w:tcBorders>
          </w:tcPr>
          <w:p>
            <w:pPr>
              <w:pStyle w:val="TableParagraph"/>
              <w:spacing w:line="251" w:lineRule="exact"/>
              <w:rPr>
                <w:sz w:val="22"/>
              </w:rPr>
            </w:pPr>
            <w:r>
              <w:rPr>
                <w:sz w:val="22"/>
              </w:rPr>
              <w:t>Pathé,</w:t>
            </w:r>
          </w:p>
        </w:tc>
        <w:tc>
          <w:tcPr>
            <w:tcW w:w="1174" w:type="dxa"/>
            <w:tcBorders>
              <w:bottom w:val="nil"/>
            </w:tcBorders>
          </w:tcPr>
          <w:p>
            <w:pPr>
              <w:pStyle w:val="TableParagraph"/>
              <w:spacing w:line="251" w:lineRule="exact"/>
              <w:rPr>
                <w:sz w:val="22"/>
              </w:rPr>
            </w:pPr>
            <w:r>
              <w:rPr>
                <w:sz w:val="22"/>
              </w:rPr>
              <w:t>Pathé,</w:t>
            </w:r>
          </w:p>
        </w:tc>
        <w:tc>
          <w:tcPr>
            <w:tcW w:w="2314" w:type="dxa"/>
            <w:tcBorders>
              <w:bottom w:val="nil"/>
            </w:tcBorders>
          </w:tcPr>
          <w:p>
            <w:pPr>
              <w:pStyle w:val="TableParagraph"/>
              <w:spacing w:line="249" w:lineRule="exact"/>
              <w:ind w:left="100"/>
              <w:rPr>
                <w:b/>
                <w:sz w:val="22"/>
              </w:rPr>
            </w:pPr>
            <w:r>
              <w:rPr>
                <w:b/>
                <w:sz w:val="22"/>
              </w:rPr>
              <w:t>Dar pláticas para  el</w:t>
            </w:r>
          </w:p>
        </w:tc>
        <w:tc>
          <w:tcPr>
            <w:tcW w:w="3901" w:type="dxa"/>
            <w:tcBorders>
              <w:bottom w:val="nil"/>
            </w:tcBorders>
          </w:tcPr>
          <w:p>
            <w:pPr>
              <w:pStyle w:val="TableParagraph"/>
              <w:tabs>
                <w:tab w:pos="1646" w:val="left" w:leader="none"/>
                <w:tab w:pos="2159" w:val="left" w:leader="none"/>
                <w:tab w:pos="2660" w:val="left" w:leader="none"/>
                <w:tab w:pos="3089" w:val="left" w:leader="none"/>
              </w:tabs>
              <w:spacing w:line="251" w:lineRule="exact"/>
              <w:rPr>
                <w:sz w:val="22"/>
              </w:rPr>
            </w:pPr>
            <w:r>
              <w:rPr>
                <w:sz w:val="22"/>
              </w:rPr>
              <w:t>Desconozco,</w:t>
              <w:tab/>
              <w:t>no</w:t>
              <w:tab/>
              <w:t>sé</w:t>
              <w:tab/>
              <w:t>si</w:t>
              <w:tab/>
              <w:t>existen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Carlos</w:t>
            </w:r>
          </w:p>
        </w:tc>
        <w:tc>
          <w:tcPr>
            <w:tcW w:w="1274" w:type="dxa"/>
            <w:tcBorders>
              <w:top w:val="nil"/>
              <w:bottom w:val="nil"/>
            </w:tcBorders>
          </w:tcPr>
          <w:p>
            <w:pPr>
              <w:pStyle w:val="TableParagraph"/>
              <w:spacing w:line="242" w:lineRule="exact"/>
              <w:ind w:left="100" w:right="98"/>
              <w:rPr>
                <w:sz w:val="22"/>
              </w:rPr>
            </w:pPr>
            <w:r>
              <w:rPr>
                <w:sz w:val="22"/>
              </w:rPr>
              <w:t>ia</w:t>
            </w: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Style w:val="TableParagraph"/>
              <w:spacing w:line="242" w:lineRule="exact"/>
              <w:rPr>
                <w:sz w:val="22"/>
              </w:rPr>
            </w:pPr>
            <w:r>
              <w:rPr>
                <w:sz w:val="22"/>
              </w:rPr>
              <w:t>Acambay</w:t>
            </w:r>
          </w:p>
        </w:tc>
        <w:tc>
          <w:tcPr>
            <w:tcW w:w="1174" w:type="dxa"/>
            <w:tcBorders>
              <w:top w:val="nil"/>
              <w:bottom w:val="nil"/>
            </w:tcBorders>
          </w:tcPr>
          <w:p>
            <w:pPr>
              <w:pStyle w:val="TableParagraph"/>
              <w:spacing w:line="242" w:lineRule="exact"/>
              <w:rPr>
                <w:sz w:val="22"/>
              </w:rPr>
            </w:pPr>
            <w:r>
              <w:rPr>
                <w:sz w:val="22"/>
              </w:rPr>
              <w:t>Acambay</w:t>
            </w:r>
          </w:p>
        </w:tc>
        <w:tc>
          <w:tcPr>
            <w:tcW w:w="2314" w:type="dxa"/>
            <w:tcBorders>
              <w:top w:val="nil"/>
              <w:bottom w:val="nil"/>
            </w:tcBorders>
          </w:tcPr>
          <w:p>
            <w:pPr>
              <w:pStyle w:val="TableParagraph"/>
              <w:tabs>
                <w:tab w:pos="741" w:val="left" w:leader="none"/>
                <w:tab w:pos="1882" w:val="left" w:leader="none"/>
              </w:tabs>
              <w:spacing w:line="240" w:lineRule="exact"/>
              <w:ind w:left="100"/>
              <w:rPr>
                <w:b/>
                <w:sz w:val="22"/>
              </w:rPr>
            </w:pPr>
            <w:r>
              <w:rPr>
                <w:b/>
                <w:sz w:val="22"/>
              </w:rPr>
              <w:t>uso</w:t>
              <w:tab/>
              <w:t>eficiente</w:t>
              <w:tab/>
              <w:t>del</w:t>
            </w:r>
          </w:p>
        </w:tc>
        <w:tc>
          <w:tcPr>
            <w:tcW w:w="3901" w:type="dxa"/>
            <w:tcBorders>
              <w:top w:val="nil"/>
              <w:bottom w:val="nil"/>
            </w:tcBorders>
          </w:tcPr>
          <w:p>
            <w:pPr>
              <w:pStyle w:val="TableParagraph"/>
              <w:spacing w:line="242" w:lineRule="exact"/>
              <w:rPr>
                <w:sz w:val="22"/>
              </w:rPr>
            </w:pPr>
            <w:r>
              <w:rPr>
                <w:sz w:val="22"/>
              </w:rPr>
              <w:t>problemas.</w:t>
            </w:r>
          </w:p>
        </w:tc>
      </w:tr>
      <w:tr>
        <w:trPr>
          <w:trHeight w:val="254" w:hRule="exact"/>
        </w:trPr>
        <w:tc>
          <w:tcPr>
            <w:tcW w:w="1385" w:type="dxa"/>
            <w:tcBorders>
              <w:top w:val="nil"/>
              <w:bottom w:val="nil"/>
            </w:tcBorders>
          </w:tcPr>
          <w:p>
            <w:pPr>
              <w:pStyle w:val="TableParagraph"/>
              <w:spacing w:line="244" w:lineRule="exact"/>
              <w:ind w:right="127"/>
              <w:rPr>
                <w:sz w:val="22"/>
              </w:rPr>
            </w:pPr>
            <w:r>
              <w:rPr>
                <w:sz w:val="22"/>
              </w:rPr>
              <w:t>Sámano</w:t>
            </w:r>
          </w:p>
        </w:tc>
        <w:tc>
          <w:tcPr>
            <w:tcW w:w="1274" w:type="dxa"/>
            <w:tcBorders>
              <w:top w:val="nil"/>
              <w:bottom w:val="nil"/>
            </w:tcBorders>
          </w:tcPr>
          <w:p>
            <w:pPr/>
          </w:p>
        </w:tc>
        <w:tc>
          <w:tcPr>
            <w:tcW w:w="1887" w:type="dxa"/>
            <w:tcBorders>
              <w:top w:val="nil"/>
              <w:bottom w:val="nil"/>
            </w:tcBorders>
          </w:tcPr>
          <w:p>
            <w:pPr>
              <w:pStyle w:val="TableParagraph"/>
              <w:spacing w:line="244"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b/>
                <w:sz w:val="22"/>
              </w:rPr>
              <w:t>agua,  </w:t>
            </w:r>
            <w:r>
              <w:rPr>
                <w:sz w:val="22"/>
              </w:rPr>
              <w:t>por  lo  menos</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Díaz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damos tres al año.</w:t>
            </w:r>
          </w:p>
        </w:tc>
        <w:tc>
          <w:tcPr>
            <w:tcW w:w="3901" w:type="dxa"/>
            <w:tcBorders>
              <w:top w:val="nil"/>
              <w:bottom w:val="nil"/>
            </w:tcBorders>
          </w:tcPr>
          <w:p>
            <w:pPr/>
          </w:p>
        </w:tc>
      </w:tr>
      <w:tr>
        <w:trPr>
          <w:trHeight w:val="503" w:hRule="exact"/>
        </w:trPr>
        <w:tc>
          <w:tcPr>
            <w:tcW w:w="1385" w:type="dxa"/>
            <w:tcBorders>
              <w:top w:val="nil"/>
            </w:tcBorders>
          </w:tcPr>
          <w:p>
            <w:pPr>
              <w:pStyle w:val="TableParagraph"/>
              <w:spacing w:line="242" w:lineRule="exact"/>
              <w:ind w:right="127"/>
              <w:rPr>
                <w:sz w:val="22"/>
              </w:rPr>
            </w:pPr>
            <w:r>
              <w:rPr>
                <w:sz w:val="22"/>
              </w:rPr>
              <w:t>(27/I/2015)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bl>
    <w:p>
      <w:pPr>
        <w:spacing w:after="0"/>
        <w:sectPr>
          <w:footerReference w:type="default" r:id="rId188"/>
          <w:pgSz w:w="15840" w:h="12240" w:orient="landscape"/>
          <w:pgMar w:footer="943" w:header="0" w:top="1140" w:bottom="1140" w:left="1200" w:right="1180"/>
          <w:pgNumType w:start="32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366"/>
        <w:gridCol w:w="521"/>
        <w:gridCol w:w="1289"/>
        <w:gridCol w:w="1174"/>
        <w:gridCol w:w="2314"/>
        <w:gridCol w:w="3901"/>
      </w:tblGrid>
      <w:tr>
        <w:trPr>
          <w:trHeight w:val="266" w:hRule="exact"/>
        </w:trPr>
        <w:tc>
          <w:tcPr>
            <w:tcW w:w="1385" w:type="dxa"/>
            <w:tcBorders>
              <w:bottom w:val="nil"/>
            </w:tcBorders>
          </w:tcPr>
          <w:p>
            <w:pPr>
              <w:pStyle w:val="TableParagraph"/>
              <w:spacing w:line="251" w:lineRule="exact"/>
              <w:ind w:right="127"/>
              <w:rPr>
                <w:sz w:val="22"/>
              </w:rPr>
            </w:pPr>
            <w:r>
              <w:rPr>
                <w:sz w:val="22"/>
              </w:rPr>
              <w:t>Adán</w:t>
            </w:r>
          </w:p>
        </w:tc>
        <w:tc>
          <w:tcPr>
            <w:tcW w:w="1274" w:type="dxa"/>
            <w:tcBorders>
              <w:bottom w:val="nil"/>
            </w:tcBorders>
          </w:tcPr>
          <w:p>
            <w:pPr/>
          </w:p>
        </w:tc>
        <w:tc>
          <w:tcPr>
            <w:tcW w:w="1366" w:type="dxa"/>
            <w:tcBorders>
              <w:bottom w:val="nil"/>
              <w:right w:val="nil"/>
            </w:tcBorders>
          </w:tcPr>
          <w:p>
            <w:pPr>
              <w:pStyle w:val="TableParagraph"/>
              <w:spacing w:line="251" w:lineRule="exact"/>
              <w:rPr>
                <w:sz w:val="22"/>
              </w:rPr>
            </w:pPr>
            <w:r>
              <w:rPr>
                <w:sz w:val="22"/>
              </w:rPr>
              <w:t>Director</w:t>
            </w:r>
          </w:p>
        </w:tc>
        <w:tc>
          <w:tcPr>
            <w:tcW w:w="521" w:type="dxa"/>
            <w:tcBorders>
              <w:left w:val="nil"/>
              <w:bottom w:val="nil"/>
            </w:tcBorders>
          </w:tcPr>
          <w:p>
            <w:pPr>
              <w:pStyle w:val="TableParagraph"/>
              <w:spacing w:line="251" w:lineRule="exact"/>
              <w:ind w:left="0" w:right="101"/>
              <w:jc w:val="right"/>
              <w:rPr>
                <w:sz w:val="22"/>
              </w:rPr>
            </w:pPr>
            <w:r>
              <w:rPr>
                <w:sz w:val="22"/>
              </w:rPr>
              <w:t>de</w:t>
            </w:r>
          </w:p>
        </w:tc>
        <w:tc>
          <w:tcPr>
            <w:tcW w:w="1289" w:type="dxa"/>
            <w:tcBorders>
              <w:bottom w:val="nil"/>
            </w:tcBorders>
          </w:tcPr>
          <w:p>
            <w:pPr>
              <w:pStyle w:val="TableParagraph"/>
              <w:spacing w:line="251" w:lineRule="exact"/>
              <w:rPr>
                <w:sz w:val="22"/>
              </w:rPr>
            </w:pPr>
            <w:r>
              <w:rPr>
                <w:sz w:val="22"/>
              </w:rPr>
              <w:t>Atlacomul</w:t>
            </w:r>
          </w:p>
        </w:tc>
        <w:tc>
          <w:tcPr>
            <w:tcW w:w="1174" w:type="dxa"/>
            <w:tcBorders>
              <w:bottom w:val="nil"/>
            </w:tcBorders>
          </w:tcPr>
          <w:p>
            <w:pPr>
              <w:pStyle w:val="TableParagraph"/>
              <w:spacing w:line="251" w:lineRule="exact"/>
              <w:rPr>
                <w:sz w:val="22"/>
              </w:rPr>
            </w:pPr>
            <w:r>
              <w:rPr>
                <w:sz w:val="22"/>
              </w:rPr>
              <w:t>Pathé,</w:t>
            </w:r>
          </w:p>
        </w:tc>
        <w:tc>
          <w:tcPr>
            <w:tcW w:w="2314" w:type="dxa"/>
            <w:tcBorders>
              <w:bottom w:val="nil"/>
            </w:tcBorders>
          </w:tcPr>
          <w:p>
            <w:pPr>
              <w:pStyle w:val="TableParagraph"/>
              <w:spacing w:line="251" w:lineRule="exact"/>
              <w:ind w:left="100"/>
              <w:rPr>
                <w:sz w:val="22"/>
              </w:rPr>
            </w:pPr>
            <w:r>
              <w:rPr>
                <w:sz w:val="22"/>
              </w:rPr>
              <w:t>Evitando la cacería y</w:t>
            </w:r>
          </w:p>
        </w:tc>
        <w:tc>
          <w:tcPr>
            <w:tcW w:w="3901" w:type="dxa"/>
            <w:tcBorders>
              <w:bottom w:val="nil"/>
            </w:tcBorders>
          </w:tcPr>
          <w:p>
            <w:pPr>
              <w:pStyle w:val="TableParagraph"/>
              <w:spacing w:line="251" w:lineRule="exact"/>
              <w:rPr>
                <w:sz w:val="22"/>
              </w:rPr>
            </w:pPr>
            <w:r>
              <w:rPr>
                <w:sz w:val="22"/>
              </w:rPr>
              <w:t>La gente de esta zona no quiere  que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Sámano</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366" w:type="dxa"/>
            <w:tcBorders>
              <w:top w:val="nil"/>
              <w:bottom w:val="nil"/>
              <w:right w:val="nil"/>
            </w:tcBorders>
          </w:tcPr>
          <w:p>
            <w:pPr>
              <w:pStyle w:val="TableParagraph"/>
              <w:spacing w:line="241" w:lineRule="exact"/>
              <w:rPr>
                <w:sz w:val="22"/>
              </w:rPr>
            </w:pPr>
            <w:r>
              <w:rPr>
                <w:sz w:val="22"/>
              </w:rPr>
              <w:t>Turismo</w:t>
            </w:r>
          </w:p>
        </w:tc>
        <w:tc>
          <w:tcPr>
            <w:tcW w:w="521" w:type="dxa"/>
            <w:tcBorders>
              <w:top w:val="nil"/>
              <w:left w:val="nil"/>
              <w:bottom w:val="nil"/>
            </w:tcBorders>
          </w:tcPr>
          <w:p>
            <w:pPr>
              <w:pStyle w:val="TableParagraph"/>
              <w:spacing w:line="241" w:lineRule="exact"/>
              <w:ind w:left="0" w:right="99"/>
              <w:jc w:val="right"/>
              <w:rPr>
                <w:sz w:val="22"/>
              </w:rPr>
            </w:pPr>
            <w:r>
              <w:rPr>
                <w:w w:val="100"/>
                <w:sz w:val="22"/>
              </w:rPr>
              <w:t>y</w:t>
            </w:r>
          </w:p>
        </w:tc>
        <w:tc>
          <w:tcPr>
            <w:tcW w:w="1289" w:type="dxa"/>
            <w:tcBorders>
              <w:top w:val="nil"/>
              <w:bottom w:val="nil"/>
            </w:tcBorders>
          </w:tcPr>
          <w:p>
            <w:pPr>
              <w:pStyle w:val="TableParagraph"/>
              <w:spacing w:line="241" w:lineRule="exact"/>
              <w:rPr>
                <w:sz w:val="22"/>
              </w:rPr>
            </w:pPr>
            <w:r>
              <w:rPr>
                <w:sz w:val="22"/>
              </w:rPr>
              <w:t>co</w:t>
            </w:r>
          </w:p>
        </w:tc>
        <w:tc>
          <w:tcPr>
            <w:tcW w:w="1174" w:type="dxa"/>
            <w:tcBorders>
              <w:top w:val="nil"/>
              <w:bottom w:val="nil"/>
            </w:tcBorders>
          </w:tcPr>
          <w:p>
            <w:pPr>
              <w:pStyle w:val="TableParagraph"/>
              <w:spacing w:line="241" w:lineRule="exact"/>
              <w:rPr>
                <w:sz w:val="22"/>
              </w:rPr>
            </w:pPr>
            <w:r>
              <w:rPr>
                <w:sz w:val="22"/>
              </w:rPr>
              <w:t>Acambay</w:t>
            </w:r>
          </w:p>
        </w:tc>
        <w:tc>
          <w:tcPr>
            <w:tcW w:w="2314" w:type="dxa"/>
            <w:tcBorders>
              <w:top w:val="nil"/>
              <w:bottom w:val="nil"/>
            </w:tcBorders>
          </w:tcPr>
          <w:p>
            <w:pPr>
              <w:pStyle w:val="TableParagraph"/>
              <w:tabs>
                <w:tab w:pos="1917" w:val="left" w:leader="none"/>
              </w:tabs>
              <w:spacing w:line="241" w:lineRule="exact"/>
              <w:ind w:left="100"/>
              <w:rPr>
                <w:sz w:val="22"/>
              </w:rPr>
            </w:pPr>
            <w:r>
              <w:rPr>
                <w:sz w:val="22"/>
              </w:rPr>
              <w:t>evitando</w:t>
              <w:tab/>
              <w:t>las</w:t>
            </w:r>
          </w:p>
        </w:tc>
        <w:tc>
          <w:tcPr>
            <w:tcW w:w="3901" w:type="dxa"/>
            <w:tcBorders>
              <w:top w:val="nil"/>
              <w:bottom w:val="nil"/>
            </w:tcBorders>
          </w:tcPr>
          <w:p>
            <w:pPr>
              <w:pStyle w:val="TableParagraph"/>
              <w:spacing w:line="241" w:lineRule="exact"/>
              <w:rPr>
                <w:sz w:val="22"/>
              </w:rPr>
            </w:pPr>
            <w:r>
              <w:rPr>
                <w:sz w:val="22"/>
              </w:rPr>
              <w:t>se  lleven  el  agua,  pero  existe    un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Peralta</w:t>
            </w:r>
          </w:p>
        </w:tc>
        <w:tc>
          <w:tcPr>
            <w:tcW w:w="1274" w:type="dxa"/>
            <w:tcBorders>
              <w:top w:val="nil"/>
              <w:bottom w:val="nil"/>
            </w:tcBorders>
          </w:tcPr>
          <w:p>
            <w:pPr/>
          </w:p>
        </w:tc>
        <w:tc>
          <w:tcPr>
            <w:tcW w:w="1366" w:type="dxa"/>
            <w:tcBorders>
              <w:top w:val="nil"/>
              <w:bottom w:val="nil"/>
              <w:right w:val="nil"/>
            </w:tcBorders>
          </w:tcPr>
          <w:p>
            <w:pPr>
              <w:pStyle w:val="TableParagraph"/>
              <w:spacing w:line="242" w:lineRule="exact"/>
              <w:rPr>
                <w:sz w:val="22"/>
              </w:rPr>
            </w:pPr>
            <w:r>
              <w:rPr>
                <w:sz w:val="22"/>
              </w:rPr>
              <w:t>Fomento</w:t>
            </w:r>
          </w:p>
        </w:tc>
        <w:tc>
          <w:tcPr>
            <w:tcW w:w="521"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8" w:val="left" w:leader="none"/>
              </w:tabs>
              <w:spacing w:line="242" w:lineRule="exact"/>
              <w:ind w:left="100"/>
              <w:rPr>
                <w:sz w:val="22"/>
              </w:rPr>
            </w:pPr>
            <w:r>
              <w:rPr>
                <w:sz w:val="22"/>
              </w:rPr>
              <w:t>descargas</w:t>
              <w:tab/>
              <w:t>de</w:t>
            </w:r>
          </w:p>
        </w:tc>
        <w:tc>
          <w:tcPr>
            <w:tcW w:w="3901" w:type="dxa"/>
            <w:tcBorders>
              <w:top w:val="nil"/>
              <w:bottom w:val="nil"/>
            </w:tcBorders>
          </w:tcPr>
          <w:p>
            <w:pPr>
              <w:pStyle w:val="TableParagraph"/>
              <w:spacing w:line="242" w:lineRule="exact"/>
              <w:rPr>
                <w:sz w:val="22"/>
              </w:rPr>
            </w:pPr>
            <w:r>
              <w:rPr>
                <w:sz w:val="22"/>
              </w:rPr>
              <w:t>convenio   de   hace   mucho  tiempo,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366" w:type="dxa"/>
            <w:tcBorders>
              <w:top w:val="nil"/>
              <w:bottom w:val="nil"/>
              <w:right w:val="nil"/>
            </w:tcBorders>
          </w:tcPr>
          <w:p>
            <w:pPr>
              <w:pStyle w:val="TableParagraph"/>
              <w:spacing w:line="241" w:lineRule="exact"/>
              <w:rPr>
                <w:sz w:val="22"/>
              </w:rPr>
            </w:pPr>
            <w:r>
              <w:rPr>
                <w:sz w:val="22"/>
              </w:rPr>
              <w:t>Económico</w:t>
            </w:r>
          </w:p>
        </w:tc>
        <w:tc>
          <w:tcPr>
            <w:tcW w:w="521"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7" w:val="left" w:leader="none"/>
              </w:tabs>
              <w:spacing w:line="241" w:lineRule="exact"/>
              <w:ind w:left="100"/>
              <w:rPr>
                <w:sz w:val="22"/>
              </w:rPr>
            </w:pPr>
            <w:r>
              <w:rPr>
                <w:sz w:val="22"/>
              </w:rPr>
              <w:t>drenajes,</w:t>
              <w:tab/>
              <w:t>en</w:t>
            </w:r>
          </w:p>
        </w:tc>
        <w:tc>
          <w:tcPr>
            <w:tcW w:w="3901" w:type="dxa"/>
            <w:tcBorders>
              <w:top w:val="nil"/>
              <w:bottom w:val="nil"/>
            </w:tcBorders>
          </w:tcPr>
          <w:p>
            <w:pPr>
              <w:pStyle w:val="TableParagraph"/>
              <w:spacing w:line="241" w:lineRule="exact"/>
              <w:rPr>
                <w:sz w:val="22"/>
              </w:rPr>
            </w:pPr>
            <w:r>
              <w:rPr>
                <w:sz w:val="22"/>
              </w:rPr>
              <w:t>pero ya no quieren que se la lleven.</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366" w:type="dxa"/>
            <w:tcBorders>
              <w:top w:val="nil"/>
              <w:bottom w:val="nil"/>
              <w:right w:val="nil"/>
            </w:tcBorders>
          </w:tcPr>
          <w:p>
            <w:pPr/>
          </w:p>
        </w:tc>
        <w:tc>
          <w:tcPr>
            <w:tcW w:w="521"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comunidades</w:t>
            </w:r>
          </w:p>
        </w:tc>
        <w:tc>
          <w:tcPr>
            <w:tcW w:w="3901"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(27/I/2015)</w:t>
            </w:r>
          </w:p>
        </w:tc>
        <w:tc>
          <w:tcPr>
            <w:tcW w:w="1274" w:type="dxa"/>
            <w:tcBorders>
              <w:top w:val="nil"/>
              <w:bottom w:val="nil"/>
            </w:tcBorders>
          </w:tcPr>
          <w:p>
            <w:pPr/>
          </w:p>
        </w:tc>
        <w:tc>
          <w:tcPr>
            <w:tcW w:w="1366" w:type="dxa"/>
            <w:tcBorders>
              <w:top w:val="nil"/>
              <w:bottom w:val="nil"/>
              <w:right w:val="nil"/>
            </w:tcBorders>
          </w:tcPr>
          <w:p>
            <w:pPr/>
          </w:p>
        </w:tc>
        <w:tc>
          <w:tcPr>
            <w:tcW w:w="521"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aledañas se les  pide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366" w:type="dxa"/>
            <w:tcBorders>
              <w:top w:val="nil"/>
              <w:bottom w:val="nil"/>
              <w:right w:val="nil"/>
            </w:tcBorders>
          </w:tcPr>
          <w:p>
            <w:pPr/>
          </w:p>
        </w:tc>
        <w:tc>
          <w:tcPr>
            <w:tcW w:w="521"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67" w:val="left" w:leader="none"/>
                <w:tab w:pos="1674" w:val="left" w:leader="none"/>
              </w:tabs>
              <w:spacing w:line="241" w:lineRule="exact"/>
              <w:ind w:left="100"/>
              <w:rPr>
                <w:sz w:val="22"/>
              </w:rPr>
            </w:pPr>
            <w:r>
              <w:rPr>
                <w:sz w:val="22"/>
              </w:rPr>
              <w:t>que</w:t>
              <w:tab/>
              <w:t>hagan</w:t>
              <w:tab/>
              <w:t>fosas</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366" w:type="dxa"/>
            <w:tcBorders>
              <w:top w:val="nil"/>
              <w:right w:val="nil"/>
            </w:tcBorders>
          </w:tcPr>
          <w:p>
            <w:pPr/>
          </w:p>
        </w:tc>
        <w:tc>
          <w:tcPr>
            <w:tcW w:w="521" w:type="dxa"/>
            <w:tcBorders>
              <w:top w:val="nil"/>
              <w:left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sépticas.</w:t>
            </w:r>
          </w:p>
        </w:tc>
        <w:tc>
          <w:tcPr>
            <w:tcW w:w="3901" w:type="dxa"/>
            <w:tcBorders>
              <w:top w:val="nil"/>
            </w:tcBorders>
          </w:tcPr>
          <w:p>
            <w:pPr/>
          </w:p>
        </w:tc>
      </w:tr>
    </w:tbl>
    <w:p>
      <w:pPr>
        <w:pStyle w:val="BodyText"/>
        <w:spacing w:line="249"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4"/>
        <w:ind w:left="2294" w:right="778"/>
      </w:pPr>
      <w:r>
        <w:rPr/>
        <w:t>Tabla 6.9. Municipio de Acambay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600"/>
        <w:gridCol w:w="3615"/>
      </w:tblGrid>
      <w:tr>
        <w:trPr>
          <w:trHeight w:val="293" w:hRule="exact"/>
        </w:trPr>
        <w:tc>
          <w:tcPr>
            <w:tcW w:w="13224" w:type="dxa"/>
            <w:gridSpan w:val="7"/>
            <w:shd w:val="clear" w:color="auto" w:fill="9BBA58"/>
          </w:tcPr>
          <w:p>
            <w:pPr>
              <w:pStyle w:val="TableParagraph"/>
              <w:spacing w:line="248" w:lineRule="exact"/>
              <w:ind w:left="4867" w:right="4870"/>
              <w:jc w:val="center"/>
              <w:rPr>
                <w:b/>
                <w:sz w:val="22"/>
              </w:rPr>
            </w:pPr>
            <w:r>
              <w:rPr>
                <w:b/>
                <w:sz w:val="22"/>
              </w:rPr>
              <w:t>ACAMBAY</w:t>
            </w:r>
          </w:p>
        </w:tc>
      </w:tr>
      <w:tr>
        <w:trPr>
          <w:trHeight w:val="523" w:hRule="exact"/>
        </w:trPr>
        <w:tc>
          <w:tcPr>
            <w:tcW w:w="4547" w:type="dxa"/>
            <w:gridSpan w:val="3"/>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516"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600" w:type="dxa"/>
            <w:shd w:val="clear" w:color="auto" w:fill="92CDDC"/>
          </w:tcPr>
          <w:p>
            <w:pPr>
              <w:pStyle w:val="TableParagraph"/>
              <w:spacing w:line="251" w:lineRule="exact"/>
              <w:ind w:left="100"/>
              <w:rPr>
                <w:b/>
                <w:i/>
                <w:sz w:val="22"/>
              </w:rPr>
            </w:pPr>
            <w:r>
              <w:rPr>
                <w:b/>
                <w:i/>
                <w:sz w:val="22"/>
              </w:rPr>
              <w:t>Autogestión</w:t>
            </w:r>
          </w:p>
        </w:tc>
        <w:tc>
          <w:tcPr>
            <w:tcW w:w="3615" w:type="dxa"/>
            <w:shd w:val="clear" w:color="auto" w:fill="92CDDC"/>
          </w:tcPr>
          <w:p>
            <w:pPr>
              <w:pStyle w:val="TableParagraph"/>
              <w:tabs>
                <w:tab w:pos="2003" w:val="left" w:leader="none"/>
                <w:tab w:pos="2413" w:val="left" w:leader="none"/>
              </w:tabs>
              <w:spacing w:line="242" w:lineRule="auto"/>
              <w:ind w:left="100" w:right="99"/>
              <w:rPr>
                <w:b/>
                <w:i/>
                <w:sz w:val="22"/>
              </w:rPr>
            </w:pPr>
            <w:r>
              <w:rPr>
                <w:b/>
                <w:i/>
                <w:sz w:val="22"/>
              </w:rPr>
              <w:t>Gobernabilidad</w:t>
              <w:tab/>
              <w:t>y</w:t>
              <w:tab/>
            </w:r>
            <w:r>
              <w:rPr>
                <w:b/>
                <w:i/>
                <w:spacing w:val="-1"/>
                <w:sz w:val="22"/>
              </w:rPr>
              <w:t>relaciones </w:t>
            </w:r>
            <w:r>
              <w:rPr>
                <w:b/>
                <w:i/>
                <w:sz w:val="22"/>
              </w:rPr>
              <w:t>intermunicipales</w:t>
            </w:r>
          </w:p>
        </w:tc>
      </w:tr>
      <w:tr>
        <w:trPr>
          <w:trHeight w:val="1275"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42" w:lineRule="auto"/>
              <w:ind w:left="100" w:right="93"/>
              <w:rPr>
                <w:b/>
                <w:sz w:val="22"/>
              </w:rPr>
            </w:pPr>
            <w:r>
              <w:rPr>
                <w:b/>
                <w:sz w:val="22"/>
              </w:rPr>
              <w:t>Nivel Educativo</w:t>
            </w:r>
          </w:p>
        </w:tc>
        <w:tc>
          <w:tcPr>
            <w:tcW w:w="1887" w:type="dxa"/>
            <w:shd w:val="clear" w:color="auto" w:fill="F9BE8F"/>
          </w:tcPr>
          <w:p>
            <w:pPr>
              <w:pStyle w:val="TableParagraph"/>
              <w:spacing w:line="248" w:lineRule="exact"/>
              <w:rPr>
                <w:b/>
                <w:sz w:val="22"/>
              </w:rPr>
            </w:pPr>
            <w:r>
              <w:rPr>
                <w:b/>
                <w:sz w:val="22"/>
              </w:rPr>
              <w:t>Cargo Público</w:t>
            </w:r>
          </w:p>
        </w:tc>
        <w:tc>
          <w:tcPr>
            <w:tcW w:w="1289" w:type="dxa"/>
            <w:shd w:val="clear" w:color="auto" w:fill="92CDDC"/>
          </w:tcPr>
          <w:p>
            <w:pPr>
              <w:pStyle w:val="TableParagraph"/>
              <w:spacing w:line="242" w:lineRule="auto"/>
              <w:ind w:right="337"/>
              <w:rPr>
                <w:b/>
                <w:sz w:val="22"/>
              </w:rPr>
            </w:pPr>
            <w:r>
              <w:rPr>
                <w:b/>
                <w:sz w:val="22"/>
              </w:rPr>
              <w:t>¿Dónde nació?</w:t>
            </w:r>
          </w:p>
        </w:tc>
        <w:tc>
          <w:tcPr>
            <w:tcW w:w="1174" w:type="dxa"/>
            <w:shd w:val="clear" w:color="auto" w:fill="92CDDC"/>
          </w:tcPr>
          <w:p>
            <w:pPr>
              <w:pStyle w:val="TableParagraph"/>
              <w:spacing w:line="242" w:lineRule="auto"/>
              <w:ind w:right="222"/>
              <w:rPr>
                <w:b/>
                <w:sz w:val="22"/>
              </w:rPr>
            </w:pPr>
            <w:r>
              <w:rPr>
                <w:b/>
                <w:sz w:val="22"/>
              </w:rPr>
              <w:t>¿Dónde vive?</w:t>
            </w:r>
          </w:p>
        </w:tc>
        <w:tc>
          <w:tcPr>
            <w:tcW w:w="2600" w:type="dxa"/>
            <w:shd w:val="clear" w:color="auto" w:fill="92CDDC"/>
          </w:tcPr>
          <w:p>
            <w:pPr>
              <w:pStyle w:val="TableParagraph"/>
              <w:ind w:left="100" w:right="102"/>
              <w:jc w:val="both"/>
              <w:rPr>
                <w:b/>
                <w:sz w:val="22"/>
              </w:rPr>
            </w:pPr>
            <w:r>
              <w:rPr>
                <w:b/>
                <w:sz w:val="22"/>
              </w:rPr>
              <w:t>¿Cuál es el principal beneficio que recibe su municipio de la laguna de</w:t>
            </w:r>
            <w:r>
              <w:rPr>
                <w:b/>
                <w:spacing w:val="-3"/>
                <w:sz w:val="22"/>
              </w:rPr>
              <w:t> </w:t>
            </w:r>
            <w:r>
              <w:rPr>
                <w:b/>
                <w:sz w:val="22"/>
              </w:rPr>
              <w:t>Huapango?</w:t>
            </w:r>
          </w:p>
        </w:tc>
        <w:tc>
          <w:tcPr>
            <w:tcW w:w="3615" w:type="dxa"/>
            <w:shd w:val="clear" w:color="auto" w:fill="92CDDC"/>
          </w:tcPr>
          <w:p>
            <w:pPr>
              <w:pStyle w:val="TableParagraph"/>
              <w:ind w:left="100" w:right="99"/>
              <w:jc w:val="both"/>
              <w:rPr>
                <w:b/>
                <w:sz w:val="22"/>
              </w:rPr>
            </w:pPr>
            <w:r>
              <w:rPr>
                <w:b/>
                <w:sz w:val="22"/>
              </w:rPr>
              <w:t>¿Considera apropiado que exista un Comité Intermunicipal con su Reglamento para el uso, cuidado y defensa de la laguna de Huapango?</w:t>
            </w:r>
          </w:p>
        </w:tc>
      </w:tr>
      <w:tr>
        <w:trPr>
          <w:trHeight w:val="1277" w:hRule="exact"/>
        </w:trPr>
        <w:tc>
          <w:tcPr>
            <w:tcW w:w="1385" w:type="dxa"/>
          </w:tcPr>
          <w:p>
            <w:pPr>
              <w:pStyle w:val="TableParagraph"/>
              <w:ind w:right="201"/>
              <w:rPr>
                <w:sz w:val="22"/>
              </w:rPr>
            </w:pPr>
            <w:r>
              <w:rPr>
                <w:sz w:val="22"/>
              </w:rPr>
              <w:t>Irineo Ruiz González</w:t>
            </w:r>
          </w:p>
          <w:p>
            <w:pPr>
              <w:pStyle w:val="TableParagraph"/>
              <w:ind w:left="0"/>
              <w:rPr>
                <w:b/>
                <w:sz w:val="22"/>
              </w:rPr>
            </w:pPr>
          </w:p>
          <w:p>
            <w:pPr>
              <w:pStyle w:val="TableParagraph"/>
              <w:ind w:right="127"/>
              <w:rPr>
                <w:sz w:val="22"/>
              </w:rPr>
            </w:pPr>
            <w:r>
              <w:rPr>
                <w:sz w:val="22"/>
              </w:rPr>
              <w:t>(13/I/2015)</w:t>
            </w:r>
          </w:p>
        </w:tc>
        <w:tc>
          <w:tcPr>
            <w:tcW w:w="1274" w:type="dxa"/>
          </w:tcPr>
          <w:p>
            <w:pPr>
              <w:pStyle w:val="TableParagraph"/>
              <w:ind w:left="100" w:right="98"/>
              <w:rPr>
                <w:sz w:val="22"/>
              </w:rPr>
            </w:pPr>
            <w:r>
              <w:rPr>
                <w:sz w:val="22"/>
              </w:rPr>
              <w:t>Profesor</w:t>
            </w:r>
          </w:p>
        </w:tc>
        <w:tc>
          <w:tcPr>
            <w:tcW w:w="1887" w:type="dxa"/>
          </w:tcPr>
          <w:p>
            <w:pPr>
              <w:pStyle w:val="TableParagraph"/>
              <w:ind w:right="702"/>
              <w:rPr>
                <w:sz w:val="22"/>
              </w:rPr>
            </w:pPr>
            <w:r>
              <w:rPr>
                <w:sz w:val="22"/>
              </w:rPr>
              <w:t>Presidente Municipal</w:t>
            </w:r>
          </w:p>
        </w:tc>
        <w:tc>
          <w:tcPr>
            <w:tcW w:w="1289" w:type="dxa"/>
          </w:tcPr>
          <w:p>
            <w:pPr>
              <w:pStyle w:val="TableParagraph"/>
              <w:rPr>
                <w:sz w:val="22"/>
              </w:rPr>
            </w:pPr>
            <w:r>
              <w:rPr>
                <w:sz w:val="22"/>
              </w:rPr>
              <w:t>Acambay</w:t>
            </w:r>
          </w:p>
        </w:tc>
        <w:tc>
          <w:tcPr>
            <w:tcW w:w="1174" w:type="dxa"/>
          </w:tcPr>
          <w:p>
            <w:pPr>
              <w:pStyle w:val="TableParagraph"/>
              <w:ind w:left="73" w:right="109"/>
              <w:jc w:val="center"/>
              <w:rPr>
                <w:sz w:val="22"/>
              </w:rPr>
            </w:pPr>
            <w:r>
              <w:rPr>
                <w:sz w:val="22"/>
              </w:rPr>
              <w:t>Acambay</w:t>
            </w:r>
          </w:p>
        </w:tc>
        <w:tc>
          <w:tcPr>
            <w:tcW w:w="2600" w:type="dxa"/>
          </w:tcPr>
          <w:p>
            <w:pPr>
              <w:pStyle w:val="TableParagraph"/>
              <w:ind w:left="100"/>
              <w:rPr>
                <w:sz w:val="22"/>
              </w:rPr>
            </w:pPr>
            <w:r>
              <w:rPr>
                <w:sz w:val="22"/>
              </w:rPr>
              <w:t>La actividad piscícola</w:t>
            </w:r>
          </w:p>
        </w:tc>
        <w:tc>
          <w:tcPr>
            <w:tcW w:w="3615" w:type="dxa"/>
          </w:tcPr>
          <w:p>
            <w:pPr>
              <w:pStyle w:val="TableParagraph"/>
              <w:ind w:left="100" w:right="99"/>
              <w:jc w:val="both"/>
              <w:rPr>
                <w:sz w:val="22"/>
              </w:rPr>
            </w:pPr>
            <w:r>
              <w:rPr>
                <w:sz w:val="22"/>
              </w:rPr>
              <w:t>Sí porque es importante que Conagua nos participe porque somos productores del agua y hay comunidades rivereñas que deben utilizar el agua.</w:t>
            </w:r>
          </w:p>
        </w:tc>
      </w:tr>
      <w:tr>
        <w:trPr>
          <w:trHeight w:val="1527" w:hRule="exact"/>
        </w:trPr>
        <w:tc>
          <w:tcPr>
            <w:tcW w:w="1385" w:type="dxa"/>
          </w:tcPr>
          <w:p>
            <w:pPr>
              <w:pStyle w:val="TableParagraph"/>
              <w:ind w:right="205"/>
              <w:jc w:val="both"/>
              <w:rPr>
                <w:sz w:val="22"/>
              </w:rPr>
            </w:pPr>
            <w:r>
              <w:rPr>
                <w:sz w:val="22"/>
              </w:rPr>
              <w:t>Ana María Contreras Valdez</w:t>
            </w:r>
          </w:p>
          <w:p>
            <w:pPr>
              <w:pStyle w:val="TableParagraph"/>
              <w:spacing w:before="9"/>
              <w:ind w:left="0"/>
              <w:rPr>
                <w:b/>
                <w:sz w:val="21"/>
              </w:rPr>
            </w:pPr>
          </w:p>
          <w:p>
            <w:pPr>
              <w:pStyle w:val="TableParagraph"/>
              <w:jc w:val="both"/>
              <w:rPr>
                <w:sz w:val="22"/>
              </w:rPr>
            </w:pPr>
            <w:r>
              <w:rPr>
                <w:sz w:val="22"/>
              </w:rPr>
              <w:t>(21/I/2014)</w:t>
            </w:r>
          </w:p>
        </w:tc>
        <w:tc>
          <w:tcPr>
            <w:tcW w:w="1274" w:type="dxa"/>
          </w:tcPr>
          <w:p>
            <w:pPr>
              <w:pStyle w:val="TableParagraph"/>
              <w:spacing w:line="251" w:lineRule="exact"/>
              <w:ind w:left="100" w:right="98"/>
              <w:rPr>
                <w:sz w:val="22"/>
              </w:rPr>
            </w:pPr>
            <w:r>
              <w:rPr>
                <w:sz w:val="22"/>
              </w:rPr>
              <w:t>Abogada</w:t>
            </w:r>
          </w:p>
        </w:tc>
        <w:tc>
          <w:tcPr>
            <w:tcW w:w="1887" w:type="dxa"/>
          </w:tcPr>
          <w:p>
            <w:pPr>
              <w:pStyle w:val="TableParagraph"/>
              <w:ind w:right="189"/>
              <w:rPr>
                <w:sz w:val="22"/>
              </w:rPr>
            </w:pPr>
            <w:r>
              <w:rPr>
                <w:sz w:val="22"/>
              </w:rPr>
              <w:t>Tercer Regidor. Encargada de preservar, conservar y restaurar el medio ambiente</w:t>
            </w:r>
          </w:p>
        </w:tc>
        <w:tc>
          <w:tcPr>
            <w:tcW w:w="1289" w:type="dxa"/>
          </w:tcPr>
          <w:p>
            <w:pPr>
              <w:pStyle w:val="TableParagraph"/>
              <w:spacing w:line="251" w:lineRule="exact"/>
              <w:rPr>
                <w:sz w:val="22"/>
              </w:rPr>
            </w:pPr>
            <w:r>
              <w:rPr>
                <w:sz w:val="22"/>
              </w:rPr>
              <w:t>Acambay</w:t>
            </w:r>
          </w:p>
        </w:tc>
        <w:tc>
          <w:tcPr>
            <w:tcW w:w="1174" w:type="dxa"/>
          </w:tcPr>
          <w:p>
            <w:pPr>
              <w:pStyle w:val="TableParagraph"/>
              <w:spacing w:line="251" w:lineRule="exact"/>
              <w:ind w:left="73" w:right="109"/>
              <w:jc w:val="center"/>
              <w:rPr>
                <w:sz w:val="22"/>
              </w:rPr>
            </w:pPr>
            <w:r>
              <w:rPr>
                <w:sz w:val="22"/>
              </w:rPr>
              <w:t>Acambay</w:t>
            </w:r>
          </w:p>
        </w:tc>
        <w:tc>
          <w:tcPr>
            <w:tcW w:w="2600" w:type="dxa"/>
          </w:tcPr>
          <w:p>
            <w:pPr>
              <w:pStyle w:val="TableParagraph"/>
              <w:spacing w:before="8"/>
              <w:ind w:left="0"/>
              <w:rPr>
                <w:b/>
                <w:sz w:val="21"/>
              </w:rPr>
            </w:pPr>
          </w:p>
          <w:p>
            <w:pPr>
              <w:pStyle w:val="TableParagraph"/>
              <w:ind w:left="1083" w:right="1087"/>
              <w:jc w:val="center"/>
              <w:rPr>
                <w:sz w:val="22"/>
              </w:rPr>
            </w:pPr>
            <w:r>
              <w:rPr>
                <w:sz w:val="22"/>
              </w:rPr>
              <w:t>N/C</w:t>
            </w:r>
          </w:p>
        </w:tc>
        <w:tc>
          <w:tcPr>
            <w:tcW w:w="3615" w:type="dxa"/>
          </w:tcPr>
          <w:p>
            <w:pPr>
              <w:pStyle w:val="TableParagraph"/>
              <w:spacing w:before="8"/>
              <w:ind w:left="0"/>
              <w:rPr>
                <w:b/>
                <w:sz w:val="21"/>
              </w:rPr>
            </w:pPr>
          </w:p>
          <w:p>
            <w:pPr>
              <w:pStyle w:val="TableParagraph"/>
              <w:ind w:left="1592" w:right="1593"/>
              <w:jc w:val="center"/>
              <w:rPr>
                <w:sz w:val="22"/>
              </w:rPr>
            </w:pPr>
            <w:r>
              <w:rPr>
                <w:sz w:val="22"/>
              </w:rPr>
              <w:t>N/C</w:t>
            </w:r>
          </w:p>
        </w:tc>
      </w:tr>
      <w:tr>
        <w:trPr>
          <w:trHeight w:val="516" w:hRule="exact"/>
        </w:trPr>
        <w:tc>
          <w:tcPr>
            <w:tcW w:w="1385" w:type="dxa"/>
          </w:tcPr>
          <w:p>
            <w:pPr>
              <w:pStyle w:val="TableParagraph"/>
              <w:spacing w:line="242" w:lineRule="auto"/>
              <w:ind w:right="433"/>
              <w:rPr>
                <w:sz w:val="22"/>
              </w:rPr>
            </w:pPr>
            <w:r>
              <w:rPr>
                <w:sz w:val="22"/>
              </w:rPr>
              <w:t>Pedro Carbajal</w:t>
            </w:r>
          </w:p>
        </w:tc>
        <w:tc>
          <w:tcPr>
            <w:tcW w:w="1274" w:type="dxa"/>
          </w:tcPr>
          <w:p>
            <w:pPr>
              <w:pStyle w:val="TableParagraph"/>
              <w:spacing w:line="242" w:lineRule="auto"/>
              <w:ind w:left="100" w:right="362"/>
              <w:rPr>
                <w:sz w:val="22"/>
              </w:rPr>
            </w:pPr>
            <w:r>
              <w:rPr>
                <w:sz w:val="22"/>
              </w:rPr>
              <w:t>Médico General</w:t>
            </w:r>
          </w:p>
        </w:tc>
        <w:tc>
          <w:tcPr>
            <w:tcW w:w="1887" w:type="dxa"/>
          </w:tcPr>
          <w:p>
            <w:pPr>
              <w:pStyle w:val="TableParagraph"/>
              <w:tabs>
                <w:tab w:pos="1528" w:val="left" w:leader="none"/>
              </w:tabs>
              <w:spacing w:line="242" w:lineRule="auto"/>
              <w:ind w:right="101"/>
              <w:rPr>
                <w:sz w:val="22"/>
              </w:rPr>
            </w:pPr>
            <w:r>
              <w:rPr>
                <w:sz w:val="22"/>
              </w:rPr>
              <w:t>Decimo Regidor. Encargado</w:t>
              <w:tab/>
              <w:t>de</w:t>
            </w:r>
          </w:p>
        </w:tc>
        <w:tc>
          <w:tcPr>
            <w:tcW w:w="1289" w:type="dxa"/>
          </w:tcPr>
          <w:p>
            <w:pPr>
              <w:pStyle w:val="TableParagraph"/>
              <w:spacing w:line="242" w:lineRule="auto"/>
              <w:ind w:right="422"/>
              <w:rPr>
                <w:sz w:val="22"/>
              </w:rPr>
            </w:pPr>
            <w:r>
              <w:rPr>
                <w:sz w:val="22"/>
              </w:rPr>
              <w:t>Villa Victoria</w:t>
            </w:r>
          </w:p>
        </w:tc>
        <w:tc>
          <w:tcPr>
            <w:tcW w:w="1174" w:type="dxa"/>
          </w:tcPr>
          <w:p>
            <w:pPr>
              <w:pStyle w:val="TableParagraph"/>
              <w:spacing w:line="242" w:lineRule="auto"/>
              <w:ind w:right="123"/>
              <w:rPr>
                <w:sz w:val="22"/>
              </w:rPr>
            </w:pPr>
            <w:r>
              <w:rPr>
                <w:sz w:val="22"/>
              </w:rPr>
              <w:t>Acambay desde</w:t>
            </w:r>
          </w:p>
        </w:tc>
        <w:tc>
          <w:tcPr>
            <w:tcW w:w="2600" w:type="dxa"/>
          </w:tcPr>
          <w:p>
            <w:pPr>
              <w:pStyle w:val="TableParagraph"/>
              <w:tabs>
                <w:tab w:pos="539" w:val="left" w:leader="none"/>
                <w:tab w:pos="1602" w:val="left" w:leader="none"/>
              </w:tabs>
              <w:spacing w:line="242" w:lineRule="auto"/>
              <w:ind w:left="100" w:right="104"/>
              <w:rPr>
                <w:sz w:val="22"/>
              </w:rPr>
            </w:pPr>
            <w:r>
              <w:rPr>
                <w:sz w:val="22"/>
              </w:rPr>
              <w:t>El</w:t>
              <w:tab/>
              <w:t>principal</w:t>
              <w:tab/>
            </w:r>
            <w:r>
              <w:rPr>
                <w:spacing w:val="-1"/>
                <w:sz w:val="22"/>
              </w:rPr>
              <w:t>beneficio </w:t>
            </w:r>
            <w:r>
              <w:rPr>
                <w:sz w:val="22"/>
              </w:rPr>
              <w:t>que  tiene  el  </w:t>
            </w:r>
            <w:r>
              <w:rPr>
                <w:spacing w:val="1"/>
                <w:sz w:val="22"/>
              </w:rPr>
              <w:t> </w:t>
            </w:r>
            <w:r>
              <w:rPr>
                <w:sz w:val="22"/>
              </w:rPr>
              <w:t>municipio</w:t>
            </w:r>
          </w:p>
        </w:tc>
        <w:tc>
          <w:tcPr>
            <w:tcW w:w="3615" w:type="dxa"/>
          </w:tcPr>
          <w:p>
            <w:pPr>
              <w:pStyle w:val="TableParagraph"/>
              <w:tabs>
                <w:tab w:pos="741" w:val="left" w:leader="none"/>
                <w:tab w:pos="1132" w:val="left" w:leader="none"/>
                <w:tab w:pos="1931" w:val="left" w:leader="none"/>
                <w:tab w:pos="2399" w:val="left" w:leader="none"/>
              </w:tabs>
              <w:spacing w:line="242" w:lineRule="auto"/>
              <w:ind w:left="100" w:right="98"/>
              <w:rPr>
                <w:sz w:val="22"/>
              </w:rPr>
            </w:pPr>
            <w:r>
              <w:rPr>
                <w:sz w:val="22"/>
              </w:rPr>
              <w:t>Que</w:t>
              <w:tab/>
              <w:t>sí</w:t>
              <w:tab/>
              <w:t>exista</w:t>
              <w:tab/>
              <w:t>un</w:t>
              <w:tab/>
              <w:t>reglamento intermunicipal  para  darle  un </w:t>
            </w:r>
            <w:r>
              <w:rPr>
                <w:spacing w:val="17"/>
                <w:sz w:val="22"/>
              </w:rPr>
              <w:t> </w:t>
            </w:r>
            <w:r>
              <w:rPr>
                <w:sz w:val="22"/>
              </w:rPr>
              <w:t>uso</w:t>
            </w:r>
          </w:p>
        </w:tc>
      </w:tr>
    </w:tbl>
    <w:p>
      <w:pPr>
        <w:spacing w:after="0" w:line="242" w:lineRule="auto"/>
        <w:rPr>
          <w:sz w:val="22"/>
        </w:rPr>
        <w:sectPr>
          <w:pgSz w:w="15840" w:h="12240" w:orient="landscape"/>
          <w:pgMar w:header="0" w:footer="943" w:top="1140" w:bottom="114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600"/>
        <w:gridCol w:w="3615"/>
      </w:tblGrid>
      <w:tr>
        <w:trPr>
          <w:trHeight w:val="266" w:hRule="exact"/>
        </w:trPr>
        <w:tc>
          <w:tcPr>
            <w:tcW w:w="1385" w:type="dxa"/>
            <w:tcBorders>
              <w:bottom w:val="nil"/>
            </w:tcBorders>
          </w:tcPr>
          <w:p>
            <w:pPr>
              <w:pStyle w:val="TableParagraph"/>
              <w:spacing w:line="251" w:lineRule="exact"/>
              <w:ind w:right="127"/>
              <w:rPr>
                <w:sz w:val="22"/>
              </w:rPr>
            </w:pPr>
            <w:r>
              <w:rPr>
                <w:sz w:val="22"/>
              </w:rPr>
              <w:t>Suárez</w:t>
            </w:r>
          </w:p>
        </w:tc>
        <w:tc>
          <w:tcPr>
            <w:tcW w:w="1274" w:type="dxa"/>
            <w:vMerge w:val="restart"/>
          </w:tcPr>
          <w:p>
            <w:pPr/>
          </w:p>
        </w:tc>
        <w:tc>
          <w:tcPr>
            <w:tcW w:w="1887" w:type="dxa"/>
            <w:tcBorders>
              <w:bottom w:val="nil"/>
            </w:tcBorders>
          </w:tcPr>
          <w:p>
            <w:pPr>
              <w:pStyle w:val="TableParagraph"/>
              <w:spacing w:line="251" w:lineRule="exact"/>
              <w:rPr>
                <w:sz w:val="22"/>
              </w:rPr>
            </w:pPr>
            <w:r>
              <w:rPr>
                <w:sz w:val="22"/>
              </w:rPr>
              <w:t>preservar,</w:t>
            </w:r>
          </w:p>
        </w:tc>
        <w:tc>
          <w:tcPr>
            <w:tcW w:w="1289" w:type="dxa"/>
            <w:vMerge w:val="restart"/>
          </w:tcPr>
          <w:p>
            <w:pPr/>
          </w:p>
        </w:tc>
        <w:tc>
          <w:tcPr>
            <w:tcW w:w="1174" w:type="dxa"/>
            <w:tcBorders>
              <w:bottom w:val="nil"/>
            </w:tcBorders>
          </w:tcPr>
          <w:p>
            <w:pPr>
              <w:pStyle w:val="TableParagraph"/>
              <w:spacing w:line="251" w:lineRule="exact"/>
              <w:rPr>
                <w:sz w:val="22"/>
              </w:rPr>
            </w:pPr>
            <w:r>
              <w:rPr>
                <w:sz w:val="22"/>
              </w:rPr>
              <w:t>hace 32</w:t>
            </w:r>
          </w:p>
        </w:tc>
        <w:tc>
          <w:tcPr>
            <w:tcW w:w="2600" w:type="dxa"/>
            <w:tcBorders>
              <w:bottom w:val="nil"/>
            </w:tcBorders>
          </w:tcPr>
          <w:p>
            <w:pPr>
              <w:pStyle w:val="TableParagraph"/>
              <w:spacing w:line="251" w:lineRule="exact"/>
              <w:ind w:left="100"/>
              <w:rPr>
                <w:sz w:val="22"/>
              </w:rPr>
            </w:pPr>
            <w:r>
              <w:rPr>
                <w:sz w:val="22"/>
              </w:rPr>
              <w:t>de la laguna es el  riego</w:t>
            </w:r>
          </w:p>
        </w:tc>
        <w:tc>
          <w:tcPr>
            <w:tcW w:w="3615" w:type="dxa"/>
            <w:tcBorders>
              <w:bottom w:val="nil"/>
            </w:tcBorders>
          </w:tcPr>
          <w:p>
            <w:pPr>
              <w:pStyle w:val="TableParagraph"/>
              <w:spacing w:line="251" w:lineRule="exact"/>
              <w:ind w:left="100" w:right="99"/>
              <w:rPr>
                <w:sz w:val="22"/>
              </w:rPr>
            </w:pPr>
            <w:r>
              <w:rPr>
                <w:sz w:val="22"/>
              </w:rPr>
              <w:t>racional al líquido.</w:t>
            </w: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1665" w:val="left" w:leader="none"/>
              </w:tabs>
              <w:spacing w:line="241" w:lineRule="exact"/>
              <w:rPr>
                <w:sz w:val="22"/>
              </w:rPr>
            </w:pPr>
            <w:r>
              <w:rPr>
                <w:sz w:val="22"/>
              </w:rPr>
              <w:t>conservar</w:t>
              <w:tab/>
              <w:t>y</w:t>
            </w:r>
          </w:p>
        </w:tc>
        <w:tc>
          <w:tcPr>
            <w:tcW w:w="1289" w:type="dxa"/>
            <w:vMerge/>
          </w:tcPr>
          <w:p>
            <w:pPr/>
          </w:p>
        </w:tc>
        <w:tc>
          <w:tcPr>
            <w:tcW w:w="1174" w:type="dxa"/>
            <w:tcBorders>
              <w:top w:val="nil"/>
              <w:bottom w:val="nil"/>
            </w:tcBorders>
          </w:tcPr>
          <w:p>
            <w:pPr>
              <w:pStyle w:val="TableParagraph"/>
              <w:spacing w:line="241" w:lineRule="exact"/>
              <w:rPr>
                <w:sz w:val="22"/>
              </w:rPr>
            </w:pPr>
            <w:r>
              <w:rPr>
                <w:sz w:val="22"/>
              </w:rPr>
              <w:t>años</w:t>
            </w:r>
          </w:p>
        </w:tc>
        <w:tc>
          <w:tcPr>
            <w:tcW w:w="2600" w:type="dxa"/>
            <w:tcBorders>
              <w:top w:val="nil"/>
              <w:bottom w:val="nil"/>
            </w:tcBorders>
          </w:tcPr>
          <w:p>
            <w:pPr>
              <w:pStyle w:val="TableParagraph"/>
              <w:spacing w:line="241" w:lineRule="exact"/>
              <w:ind w:left="100"/>
              <w:rPr>
                <w:sz w:val="22"/>
              </w:rPr>
            </w:pPr>
            <w:r>
              <w:rPr>
                <w:sz w:val="22"/>
              </w:rPr>
              <w:t>y la pesca.</w:t>
            </w:r>
          </w:p>
        </w:tc>
        <w:tc>
          <w:tcPr>
            <w:tcW w:w="3615"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(21/I/2014)</w:t>
            </w:r>
          </w:p>
        </w:tc>
        <w:tc>
          <w:tcPr>
            <w:tcW w:w="1274" w:type="dxa"/>
            <w:vMerge/>
          </w:tcPr>
          <w:p>
            <w:pPr/>
          </w:p>
        </w:tc>
        <w:tc>
          <w:tcPr>
            <w:tcW w:w="1887" w:type="dxa"/>
            <w:tcBorders>
              <w:top w:val="nil"/>
              <w:bottom w:val="nil"/>
            </w:tcBorders>
          </w:tcPr>
          <w:p>
            <w:pPr>
              <w:pStyle w:val="TableParagraph"/>
              <w:tabs>
                <w:tab w:pos="1602" w:val="left" w:leader="none"/>
              </w:tabs>
              <w:spacing w:line="242" w:lineRule="exact"/>
              <w:rPr>
                <w:sz w:val="22"/>
              </w:rPr>
            </w:pPr>
            <w:r>
              <w:rPr>
                <w:sz w:val="22"/>
              </w:rPr>
              <w:t>restaurar</w:t>
              <w:tab/>
              <w:t>el</w:t>
            </w:r>
          </w:p>
        </w:tc>
        <w:tc>
          <w:tcPr>
            <w:tcW w:w="1289" w:type="dxa"/>
            <w:vMerge/>
          </w:tcPr>
          <w:p>
            <w:pPr/>
          </w:p>
        </w:tc>
        <w:tc>
          <w:tcPr>
            <w:tcW w:w="1174" w:type="dxa"/>
            <w:tcBorders>
              <w:top w:val="nil"/>
              <w:bottom w:val="nil"/>
            </w:tcBorders>
          </w:tcPr>
          <w:p>
            <w:pPr/>
          </w:p>
        </w:tc>
        <w:tc>
          <w:tcPr>
            <w:tcW w:w="2600" w:type="dxa"/>
            <w:tcBorders>
              <w:top w:val="nil"/>
              <w:bottom w:val="nil"/>
            </w:tcBorders>
          </w:tcPr>
          <w:p>
            <w:pPr/>
          </w:p>
        </w:tc>
        <w:tc>
          <w:tcPr>
            <w:tcW w:w="3615" w:type="dxa"/>
            <w:tcBorders>
              <w:top w:val="nil"/>
              <w:bottom w:val="nil"/>
            </w:tcBorders>
          </w:tcPr>
          <w:p>
            <w:pPr/>
          </w:p>
        </w:tc>
      </w:tr>
      <w:tr>
        <w:trPr>
          <w:trHeight w:val="250" w:hRule="exact"/>
        </w:trPr>
        <w:tc>
          <w:tcPr>
            <w:tcW w:w="1385" w:type="dxa"/>
            <w:tcBorders>
              <w:top w:val="nil"/>
            </w:tcBorders>
          </w:tcPr>
          <w:p>
            <w:pPr/>
          </w:p>
        </w:tc>
        <w:tc>
          <w:tcPr>
            <w:tcW w:w="1274" w:type="dxa"/>
            <w:vMerge/>
          </w:tcPr>
          <w:p>
            <w:pPr/>
          </w:p>
        </w:tc>
        <w:tc>
          <w:tcPr>
            <w:tcW w:w="1887" w:type="dxa"/>
            <w:tcBorders>
              <w:top w:val="nil"/>
            </w:tcBorders>
          </w:tcPr>
          <w:p>
            <w:pPr>
              <w:pStyle w:val="TableParagraph"/>
              <w:spacing w:line="241" w:lineRule="exact"/>
              <w:rPr>
                <w:sz w:val="22"/>
              </w:rPr>
            </w:pPr>
            <w:r>
              <w:rPr>
                <w:sz w:val="22"/>
              </w:rPr>
              <w:t>medio ambiente</w:t>
            </w:r>
          </w:p>
        </w:tc>
        <w:tc>
          <w:tcPr>
            <w:tcW w:w="1289" w:type="dxa"/>
            <w:vMerge/>
          </w:tcPr>
          <w:p>
            <w:pPr/>
          </w:p>
        </w:tc>
        <w:tc>
          <w:tcPr>
            <w:tcW w:w="1174" w:type="dxa"/>
            <w:tcBorders>
              <w:top w:val="nil"/>
            </w:tcBorders>
          </w:tcPr>
          <w:p>
            <w:pPr/>
          </w:p>
        </w:tc>
        <w:tc>
          <w:tcPr>
            <w:tcW w:w="2600" w:type="dxa"/>
            <w:tcBorders>
              <w:top w:val="nil"/>
            </w:tcBorders>
          </w:tcPr>
          <w:p>
            <w:pPr/>
          </w:p>
        </w:tc>
        <w:tc>
          <w:tcPr>
            <w:tcW w:w="3615"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Reynaldo</w:t>
            </w:r>
          </w:p>
        </w:tc>
        <w:tc>
          <w:tcPr>
            <w:tcW w:w="1274" w:type="dxa"/>
            <w:tcBorders>
              <w:bottom w:val="nil"/>
            </w:tcBorders>
          </w:tcPr>
          <w:p>
            <w:pPr/>
          </w:p>
        </w:tc>
        <w:tc>
          <w:tcPr>
            <w:tcW w:w="1887" w:type="dxa"/>
            <w:tcBorders>
              <w:bottom w:val="nil"/>
            </w:tcBorders>
          </w:tcPr>
          <w:p>
            <w:pPr>
              <w:pStyle w:val="TableParagraph"/>
              <w:tabs>
                <w:tab w:pos="1480" w:val="left" w:leader="none"/>
              </w:tabs>
              <w:spacing w:line="251" w:lineRule="exact"/>
              <w:rPr>
                <w:sz w:val="22"/>
              </w:rPr>
            </w:pPr>
            <w:r>
              <w:rPr>
                <w:sz w:val="22"/>
              </w:rPr>
              <w:t>Director</w:t>
              <w:tab/>
              <w:t>del</w:t>
            </w:r>
          </w:p>
        </w:tc>
        <w:tc>
          <w:tcPr>
            <w:tcW w:w="1289" w:type="dxa"/>
            <w:tcBorders>
              <w:bottom w:val="nil"/>
            </w:tcBorders>
          </w:tcPr>
          <w:p>
            <w:pPr>
              <w:pStyle w:val="TableParagraph"/>
              <w:spacing w:line="251" w:lineRule="exact"/>
              <w:rPr>
                <w:sz w:val="22"/>
              </w:rPr>
            </w:pPr>
            <w:r>
              <w:rPr>
                <w:sz w:val="22"/>
              </w:rPr>
              <w:t>Las</w:t>
            </w:r>
          </w:p>
        </w:tc>
        <w:tc>
          <w:tcPr>
            <w:tcW w:w="1174" w:type="dxa"/>
            <w:tcBorders>
              <w:bottom w:val="nil"/>
            </w:tcBorders>
          </w:tcPr>
          <w:p>
            <w:pPr>
              <w:pStyle w:val="TableParagraph"/>
              <w:spacing w:line="251" w:lineRule="exact"/>
              <w:rPr>
                <w:sz w:val="22"/>
              </w:rPr>
            </w:pPr>
            <w:r>
              <w:rPr>
                <w:sz w:val="22"/>
              </w:rPr>
              <w:t>Las</w:t>
            </w:r>
          </w:p>
        </w:tc>
        <w:tc>
          <w:tcPr>
            <w:tcW w:w="2600" w:type="dxa"/>
            <w:tcBorders>
              <w:bottom w:val="nil"/>
            </w:tcBorders>
          </w:tcPr>
          <w:p>
            <w:pPr>
              <w:pStyle w:val="TableParagraph"/>
              <w:spacing w:line="251" w:lineRule="exact"/>
              <w:ind w:left="100"/>
              <w:rPr>
                <w:sz w:val="22"/>
              </w:rPr>
            </w:pPr>
            <w:r>
              <w:rPr>
                <w:sz w:val="22"/>
              </w:rPr>
              <w:t>La  pesca, abrevaderos,</w:t>
            </w:r>
          </w:p>
        </w:tc>
        <w:tc>
          <w:tcPr>
            <w:tcW w:w="3615" w:type="dxa"/>
            <w:tcBorders>
              <w:bottom w:val="nil"/>
            </w:tcBorders>
          </w:tcPr>
          <w:p>
            <w:pPr>
              <w:pStyle w:val="TableParagraph"/>
              <w:spacing w:line="251" w:lineRule="exact"/>
              <w:ind w:left="100"/>
              <w:rPr>
                <w:sz w:val="22"/>
              </w:rPr>
            </w:pPr>
            <w:r>
              <w:rPr>
                <w:sz w:val="22"/>
              </w:rPr>
              <w:t>Sí  debiera  haber  un </w:t>
            </w:r>
            <w:r>
              <w:rPr>
                <w:spacing w:val="52"/>
                <w:sz w:val="22"/>
              </w:rPr>
              <w:t> </w:t>
            </w:r>
            <w:r>
              <w:rPr>
                <w:sz w:val="22"/>
              </w:rPr>
              <w:t>reglamento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Sandoval</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Medio  Ambiente</w:t>
            </w:r>
          </w:p>
        </w:tc>
        <w:tc>
          <w:tcPr>
            <w:tcW w:w="1289" w:type="dxa"/>
            <w:tcBorders>
              <w:top w:val="nil"/>
              <w:bottom w:val="nil"/>
            </w:tcBorders>
          </w:tcPr>
          <w:p>
            <w:pPr>
              <w:pStyle w:val="TableParagraph"/>
              <w:spacing w:line="241" w:lineRule="exact"/>
              <w:rPr>
                <w:sz w:val="22"/>
              </w:rPr>
            </w:pPr>
            <w:r>
              <w:rPr>
                <w:sz w:val="22"/>
              </w:rPr>
              <w:t>Arenas,</w:t>
            </w:r>
          </w:p>
        </w:tc>
        <w:tc>
          <w:tcPr>
            <w:tcW w:w="1174" w:type="dxa"/>
            <w:tcBorders>
              <w:top w:val="nil"/>
              <w:bottom w:val="nil"/>
            </w:tcBorders>
          </w:tcPr>
          <w:p>
            <w:pPr>
              <w:pStyle w:val="TableParagraph"/>
              <w:spacing w:line="241" w:lineRule="exact"/>
              <w:rPr>
                <w:sz w:val="22"/>
              </w:rPr>
            </w:pPr>
            <w:r>
              <w:rPr>
                <w:sz w:val="22"/>
              </w:rPr>
              <w:t>Arenas,</w:t>
            </w:r>
          </w:p>
        </w:tc>
        <w:tc>
          <w:tcPr>
            <w:tcW w:w="2600" w:type="dxa"/>
            <w:tcBorders>
              <w:top w:val="nil"/>
              <w:bottom w:val="nil"/>
            </w:tcBorders>
          </w:tcPr>
          <w:p>
            <w:pPr>
              <w:pStyle w:val="TableParagraph"/>
              <w:tabs>
                <w:tab w:pos="1221" w:val="left" w:leader="none"/>
                <w:tab w:pos="2205" w:val="left" w:leader="none"/>
              </w:tabs>
              <w:spacing w:line="241" w:lineRule="exact"/>
              <w:ind w:left="100"/>
              <w:rPr>
                <w:sz w:val="22"/>
              </w:rPr>
            </w:pPr>
            <w:r>
              <w:rPr>
                <w:sz w:val="22"/>
              </w:rPr>
              <w:t>pastoreo</w:t>
              <w:tab/>
              <w:t>cuando</w:t>
              <w:tab/>
              <w:t>las</w:t>
            </w:r>
          </w:p>
        </w:tc>
        <w:tc>
          <w:tcPr>
            <w:tcW w:w="3615" w:type="dxa"/>
            <w:tcBorders>
              <w:top w:val="nil"/>
              <w:bottom w:val="nil"/>
            </w:tcBorders>
          </w:tcPr>
          <w:p>
            <w:pPr>
              <w:pStyle w:val="TableParagraph"/>
              <w:spacing w:line="241" w:lineRule="exact"/>
              <w:ind w:left="100"/>
              <w:rPr>
                <w:sz w:val="22"/>
              </w:rPr>
            </w:pPr>
            <w:r>
              <w:rPr>
                <w:sz w:val="22"/>
              </w:rPr>
              <w:t>intermunicipal  para  que  haya  un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en Acambay</w:t>
            </w:r>
          </w:p>
        </w:tc>
        <w:tc>
          <w:tcPr>
            <w:tcW w:w="1289" w:type="dxa"/>
            <w:tcBorders>
              <w:top w:val="nil"/>
              <w:bottom w:val="nil"/>
            </w:tcBorders>
          </w:tcPr>
          <w:p>
            <w:pPr>
              <w:pStyle w:val="TableParagraph"/>
              <w:spacing w:line="242" w:lineRule="exact"/>
              <w:rPr>
                <w:sz w:val="22"/>
              </w:rPr>
            </w:pPr>
            <w:r>
              <w:rPr>
                <w:sz w:val="22"/>
              </w:rPr>
              <w:t>Acambay</w:t>
            </w:r>
          </w:p>
        </w:tc>
        <w:tc>
          <w:tcPr>
            <w:tcW w:w="1174" w:type="dxa"/>
            <w:tcBorders>
              <w:top w:val="nil"/>
              <w:bottom w:val="nil"/>
            </w:tcBorders>
          </w:tcPr>
          <w:p>
            <w:pPr>
              <w:pStyle w:val="TableParagraph"/>
              <w:spacing w:line="242" w:lineRule="exact"/>
              <w:rPr>
                <w:sz w:val="22"/>
              </w:rPr>
            </w:pPr>
            <w:r>
              <w:rPr>
                <w:sz w:val="22"/>
              </w:rPr>
              <w:t>Acambay</w:t>
            </w:r>
          </w:p>
        </w:tc>
        <w:tc>
          <w:tcPr>
            <w:tcW w:w="2600" w:type="dxa"/>
            <w:tcBorders>
              <w:top w:val="nil"/>
              <w:bottom w:val="nil"/>
            </w:tcBorders>
          </w:tcPr>
          <w:p>
            <w:pPr>
              <w:pStyle w:val="TableParagraph"/>
              <w:tabs>
                <w:tab w:pos="942" w:val="left" w:leader="none"/>
                <w:tab w:pos="1720" w:val="left" w:leader="none"/>
                <w:tab w:pos="2204" w:val="left" w:leader="none"/>
              </w:tabs>
              <w:spacing w:line="242" w:lineRule="exact"/>
              <w:ind w:left="100"/>
              <w:rPr>
                <w:sz w:val="22"/>
              </w:rPr>
            </w:pPr>
            <w:r>
              <w:rPr>
                <w:sz w:val="22"/>
              </w:rPr>
              <w:t>aguas</w:t>
              <w:tab/>
              <w:t>bajan</w:t>
              <w:tab/>
              <w:t>en</w:t>
              <w:tab/>
              <w:t>las</w:t>
            </w:r>
          </w:p>
        </w:tc>
        <w:tc>
          <w:tcPr>
            <w:tcW w:w="3615" w:type="dxa"/>
            <w:tcBorders>
              <w:top w:val="nil"/>
              <w:bottom w:val="nil"/>
            </w:tcBorders>
          </w:tcPr>
          <w:p>
            <w:pPr>
              <w:pStyle w:val="TableParagraph"/>
              <w:spacing w:line="242" w:lineRule="exact"/>
              <w:ind w:left="100" w:right="99"/>
              <w:rPr>
                <w:sz w:val="22"/>
              </w:rPr>
            </w:pPr>
            <w:r>
              <w:rPr>
                <w:sz w:val="22"/>
              </w:rPr>
              <w:t>mejor control.</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tabs>
                <w:tab w:pos="1648" w:val="left" w:leader="none"/>
                <w:tab w:pos="2130" w:val="left" w:leader="none"/>
              </w:tabs>
              <w:spacing w:line="241" w:lineRule="exact"/>
              <w:ind w:left="100"/>
              <w:rPr>
                <w:sz w:val="22"/>
              </w:rPr>
            </w:pPr>
            <w:r>
              <w:rPr>
                <w:sz w:val="22"/>
              </w:rPr>
              <w:t>comunidades</w:t>
              <w:tab/>
              <w:t>de</w:t>
              <w:tab/>
              <w:t>Las</w:t>
            </w:r>
          </w:p>
        </w:tc>
        <w:tc>
          <w:tcPr>
            <w:tcW w:w="3615"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tabs>
                <w:tab w:pos="1098" w:val="left" w:leader="none"/>
                <w:tab w:pos="1728" w:val="left" w:leader="none"/>
              </w:tabs>
              <w:spacing w:line="241" w:lineRule="exact"/>
              <w:ind w:left="100"/>
              <w:rPr>
                <w:sz w:val="22"/>
              </w:rPr>
            </w:pPr>
            <w:r>
              <w:rPr>
                <w:sz w:val="22"/>
              </w:rPr>
              <w:t>Arenas,</w:t>
              <w:tab/>
              <w:t>San</w:t>
              <w:tab/>
              <w:t>Juanico</w:t>
            </w:r>
          </w:p>
        </w:tc>
        <w:tc>
          <w:tcPr>
            <w:tcW w:w="3615"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left="155"/>
              <w:rPr>
                <w:sz w:val="22"/>
              </w:rPr>
            </w:pPr>
            <w:r>
              <w:rPr>
                <w:sz w:val="22"/>
              </w:rPr>
              <w:t>(21/I/2014)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spacing w:line="242" w:lineRule="exact"/>
              <w:ind w:left="100"/>
              <w:rPr>
                <w:sz w:val="22"/>
              </w:rPr>
            </w:pPr>
            <w:r>
              <w:rPr>
                <w:sz w:val="22"/>
              </w:rPr>
              <w:t>Sector I,  La Venta,  Las</w:t>
            </w:r>
          </w:p>
        </w:tc>
        <w:tc>
          <w:tcPr>
            <w:tcW w:w="3615"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spacing w:line="241" w:lineRule="exact"/>
              <w:ind w:left="100"/>
              <w:rPr>
                <w:sz w:val="22"/>
              </w:rPr>
            </w:pPr>
            <w:r>
              <w:rPr>
                <w:sz w:val="22"/>
              </w:rPr>
              <w:t>Trojes,  Mado  Sector II,</w:t>
            </w:r>
          </w:p>
        </w:tc>
        <w:tc>
          <w:tcPr>
            <w:tcW w:w="3615"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spacing w:line="242" w:lineRule="exact"/>
              <w:ind w:left="100"/>
              <w:rPr>
                <w:sz w:val="22"/>
              </w:rPr>
            </w:pPr>
            <w:r>
              <w:rPr>
                <w:sz w:val="22"/>
              </w:rPr>
              <w:t>Santa María las  Arenas</w:t>
            </w:r>
          </w:p>
        </w:tc>
        <w:tc>
          <w:tcPr>
            <w:tcW w:w="3615"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600" w:type="dxa"/>
            <w:tcBorders>
              <w:top w:val="nil"/>
            </w:tcBorders>
          </w:tcPr>
          <w:p>
            <w:pPr>
              <w:pStyle w:val="TableParagraph"/>
              <w:spacing w:line="241" w:lineRule="exact"/>
              <w:ind w:left="100"/>
              <w:rPr>
                <w:sz w:val="22"/>
              </w:rPr>
            </w:pPr>
            <w:r>
              <w:rPr>
                <w:sz w:val="22"/>
              </w:rPr>
              <w:t>I y II, Pilares.</w:t>
            </w:r>
          </w:p>
        </w:tc>
        <w:tc>
          <w:tcPr>
            <w:tcW w:w="361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Juan</w:t>
            </w:r>
          </w:p>
        </w:tc>
        <w:tc>
          <w:tcPr>
            <w:tcW w:w="1274" w:type="dxa"/>
            <w:tcBorders>
              <w:bottom w:val="nil"/>
            </w:tcBorders>
          </w:tcPr>
          <w:p>
            <w:pPr>
              <w:pStyle w:val="TableParagraph"/>
              <w:ind w:left="100"/>
              <w:rPr>
                <w:sz w:val="22"/>
              </w:rPr>
            </w:pPr>
            <w:r>
              <w:rPr>
                <w:sz w:val="22"/>
              </w:rPr>
              <w:t>Preparator</w:t>
            </w:r>
          </w:p>
        </w:tc>
        <w:tc>
          <w:tcPr>
            <w:tcW w:w="1887" w:type="dxa"/>
            <w:tcBorders>
              <w:bottom w:val="nil"/>
            </w:tcBorders>
          </w:tcPr>
          <w:p>
            <w:pPr>
              <w:pStyle w:val="TableParagraph"/>
              <w:rPr>
                <w:sz w:val="22"/>
              </w:rPr>
            </w:pPr>
            <w:r>
              <w:rPr>
                <w:sz w:val="22"/>
              </w:rPr>
              <w:t>Director de</w:t>
            </w:r>
          </w:p>
        </w:tc>
        <w:tc>
          <w:tcPr>
            <w:tcW w:w="1289" w:type="dxa"/>
            <w:tcBorders>
              <w:bottom w:val="nil"/>
            </w:tcBorders>
          </w:tcPr>
          <w:p>
            <w:pPr>
              <w:pStyle w:val="TableParagraph"/>
              <w:rPr>
                <w:sz w:val="22"/>
              </w:rPr>
            </w:pPr>
            <w:r>
              <w:rPr>
                <w:sz w:val="22"/>
              </w:rPr>
              <w:t>Pathé,</w:t>
            </w:r>
          </w:p>
        </w:tc>
        <w:tc>
          <w:tcPr>
            <w:tcW w:w="1174" w:type="dxa"/>
            <w:tcBorders>
              <w:bottom w:val="nil"/>
            </w:tcBorders>
          </w:tcPr>
          <w:p>
            <w:pPr>
              <w:pStyle w:val="TableParagraph"/>
              <w:rPr>
                <w:sz w:val="22"/>
              </w:rPr>
            </w:pPr>
            <w:r>
              <w:rPr>
                <w:sz w:val="22"/>
              </w:rPr>
              <w:t>Pathé,</w:t>
            </w:r>
          </w:p>
        </w:tc>
        <w:tc>
          <w:tcPr>
            <w:tcW w:w="2600" w:type="dxa"/>
            <w:tcBorders>
              <w:bottom w:val="nil"/>
            </w:tcBorders>
          </w:tcPr>
          <w:p>
            <w:pPr>
              <w:pStyle w:val="TableParagraph"/>
              <w:ind w:left="100"/>
              <w:rPr>
                <w:sz w:val="22"/>
              </w:rPr>
            </w:pPr>
            <w:r>
              <w:rPr>
                <w:sz w:val="22"/>
              </w:rPr>
              <w:t>El  riego  porque  riegan</w:t>
            </w:r>
          </w:p>
        </w:tc>
        <w:tc>
          <w:tcPr>
            <w:tcW w:w="3615" w:type="dxa"/>
            <w:tcBorders>
              <w:bottom w:val="nil"/>
            </w:tcBorders>
          </w:tcPr>
          <w:p>
            <w:pPr>
              <w:pStyle w:val="TableParagraph"/>
              <w:ind w:left="100" w:right="99"/>
              <w:rPr>
                <w:sz w:val="22"/>
              </w:rPr>
            </w:pPr>
            <w:r>
              <w:rPr>
                <w:sz w:val="22"/>
              </w:rPr>
              <w:t>Sí porque con esto se tendría un</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Carlos</w:t>
            </w:r>
          </w:p>
        </w:tc>
        <w:tc>
          <w:tcPr>
            <w:tcW w:w="1274" w:type="dxa"/>
            <w:tcBorders>
              <w:top w:val="nil"/>
              <w:bottom w:val="nil"/>
            </w:tcBorders>
          </w:tcPr>
          <w:p>
            <w:pPr>
              <w:pStyle w:val="TableParagraph"/>
              <w:spacing w:line="241" w:lineRule="exact"/>
              <w:ind w:left="100" w:right="98"/>
              <w:rPr>
                <w:sz w:val="22"/>
              </w:rPr>
            </w:pPr>
            <w:r>
              <w:rPr>
                <w:sz w:val="22"/>
              </w:rPr>
              <w:t>ia</w:t>
            </w: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Style w:val="TableParagraph"/>
              <w:spacing w:line="241" w:lineRule="exact"/>
              <w:rPr>
                <w:sz w:val="22"/>
              </w:rPr>
            </w:pPr>
            <w:r>
              <w:rPr>
                <w:sz w:val="22"/>
              </w:rPr>
              <w:t>Acambay</w:t>
            </w:r>
          </w:p>
        </w:tc>
        <w:tc>
          <w:tcPr>
            <w:tcW w:w="1174" w:type="dxa"/>
            <w:tcBorders>
              <w:top w:val="nil"/>
              <w:bottom w:val="nil"/>
            </w:tcBorders>
          </w:tcPr>
          <w:p>
            <w:pPr>
              <w:pStyle w:val="TableParagraph"/>
              <w:spacing w:line="241" w:lineRule="exact"/>
              <w:rPr>
                <w:sz w:val="22"/>
              </w:rPr>
            </w:pPr>
            <w:r>
              <w:rPr>
                <w:sz w:val="22"/>
              </w:rPr>
              <w:t>Acambay</w:t>
            </w:r>
          </w:p>
        </w:tc>
        <w:tc>
          <w:tcPr>
            <w:tcW w:w="2600" w:type="dxa"/>
            <w:tcBorders>
              <w:top w:val="nil"/>
              <w:bottom w:val="nil"/>
            </w:tcBorders>
          </w:tcPr>
          <w:p>
            <w:pPr>
              <w:pStyle w:val="TableParagraph"/>
              <w:spacing w:line="241" w:lineRule="exact"/>
              <w:ind w:left="100"/>
              <w:rPr>
                <w:sz w:val="22"/>
              </w:rPr>
            </w:pPr>
            <w:r>
              <w:rPr>
                <w:sz w:val="22"/>
              </w:rPr>
              <w:t>San   Juanico   Sector I,</w:t>
            </w:r>
          </w:p>
        </w:tc>
        <w:tc>
          <w:tcPr>
            <w:tcW w:w="3615" w:type="dxa"/>
            <w:tcBorders>
              <w:top w:val="nil"/>
              <w:bottom w:val="nil"/>
            </w:tcBorders>
          </w:tcPr>
          <w:p>
            <w:pPr>
              <w:pStyle w:val="TableParagraph"/>
              <w:spacing w:line="241" w:lineRule="exact"/>
              <w:ind w:left="100" w:right="99"/>
              <w:rPr>
                <w:sz w:val="22"/>
              </w:rPr>
            </w:pPr>
            <w:r>
              <w:rPr>
                <w:sz w:val="22"/>
              </w:rPr>
              <w:t>uso racional del vital líquido y</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Sámano</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spacing w:line="241" w:lineRule="exact"/>
              <w:ind w:left="100"/>
              <w:rPr>
                <w:sz w:val="22"/>
              </w:rPr>
            </w:pPr>
            <w:r>
              <w:rPr>
                <w:sz w:val="22"/>
              </w:rPr>
              <w:t>La Venta, Las Arenas  y</w:t>
            </w:r>
          </w:p>
        </w:tc>
        <w:tc>
          <w:tcPr>
            <w:tcW w:w="3615" w:type="dxa"/>
            <w:tcBorders>
              <w:top w:val="nil"/>
              <w:bottom w:val="nil"/>
            </w:tcBorders>
          </w:tcPr>
          <w:p>
            <w:pPr>
              <w:pStyle w:val="TableParagraph"/>
              <w:spacing w:line="241" w:lineRule="exact"/>
              <w:ind w:left="100" w:right="99"/>
              <w:rPr>
                <w:sz w:val="22"/>
              </w:rPr>
            </w:pPr>
            <w:r>
              <w:rPr>
                <w:sz w:val="22"/>
              </w:rPr>
              <w:t>habría una mayor coordinación.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Díaz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spacing w:line="242" w:lineRule="exact"/>
              <w:ind w:left="100"/>
              <w:rPr>
                <w:sz w:val="22"/>
              </w:rPr>
            </w:pPr>
            <w:r>
              <w:rPr>
                <w:sz w:val="22"/>
              </w:rPr>
              <w:t>Los  Pilares  y  la</w:t>
            </w:r>
            <w:r>
              <w:rPr>
                <w:spacing w:val="53"/>
                <w:sz w:val="22"/>
              </w:rPr>
              <w:t> </w:t>
            </w:r>
            <w:r>
              <w:rPr>
                <w:sz w:val="22"/>
              </w:rPr>
              <w:t>pesca</w:t>
            </w:r>
          </w:p>
        </w:tc>
        <w:tc>
          <w:tcPr>
            <w:tcW w:w="3615"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spacing w:line="241" w:lineRule="exact"/>
              <w:ind w:left="100"/>
              <w:rPr>
                <w:sz w:val="22"/>
              </w:rPr>
            </w:pPr>
            <w:r>
              <w:rPr>
                <w:sz w:val="22"/>
              </w:rPr>
              <w:t>porque  en  la  zona hay</w:t>
            </w:r>
          </w:p>
        </w:tc>
        <w:tc>
          <w:tcPr>
            <w:tcW w:w="3615"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spacing w:line="243" w:lineRule="exact"/>
              <w:ind w:left="100"/>
              <w:rPr>
                <w:sz w:val="22"/>
              </w:rPr>
            </w:pPr>
            <w:r>
              <w:rPr>
                <w:sz w:val="22"/>
              </w:rPr>
              <w:t>varios   productores   de</w:t>
            </w:r>
          </w:p>
        </w:tc>
        <w:tc>
          <w:tcPr>
            <w:tcW w:w="3615"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(27/I/2015)</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tabs>
                <w:tab w:pos="1072" w:val="left" w:leader="none"/>
                <w:tab w:pos="1600" w:val="left" w:leader="none"/>
                <w:tab w:pos="2252" w:val="left" w:leader="none"/>
              </w:tabs>
              <w:spacing w:line="241" w:lineRule="exact"/>
              <w:ind w:left="100"/>
              <w:rPr>
                <w:sz w:val="22"/>
              </w:rPr>
            </w:pPr>
            <w:r>
              <w:rPr>
                <w:sz w:val="22"/>
              </w:rPr>
              <w:t>carpa</w:t>
              <w:tab/>
              <w:t>y</w:t>
              <w:tab/>
              <w:t>es</w:t>
              <w:tab/>
              <w:t>su</w:t>
            </w:r>
          </w:p>
        </w:tc>
        <w:tc>
          <w:tcPr>
            <w:tcW w:w="3615"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spacing w:line="241" w:lineRule="exact"/>
              <w:ind w:left="100"/>
              <w:rPr>
                <w:sz w:val="22"/>
              </w:rPr>
            </w:pPr>
            <w:r>
              <w:rPr>
                <w:sz w:val="22"/>
              </w:rPr>
              <w:t>fundamental   fuente  de</w:t>
            </w:r>
          </w:p>
        </w:tc>
        <w:tc>
          <w:tcPr>
            <w:tcW w:w="3615"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600" w:type="dxa"/>
            <w:tcBorders>
              <w:top w:val="nil"/>
            </w:tcBorders>
          </w:tcPr>
          <w:p>
            <w:pPr>
              <w:pStyle w:val="TableParagraph"/>
              <w:spacing w:line="242" w:lineRule="exact"/>
              <w:ind w:left="100"/>
              <w:rPr>
                <w:sz w:val="22"/>
              </w:rPr>
            </w:pPr>
            <w:r>
              <w:rPr>
                <w:sz w:val="22"/>
              </w:rPr>
              <w:t>ingresos.</w:t>
            </w:r>
          </w:p>
        </w:tc>
        <w:tc>
          <w:tcPr>
            <w:tcW w:w="361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Adán</w:t>
            </w:r>
          </w:p>
        </w:tc>
        <w:tc>
          <w:tcPr>
            <w:tcW w:w="1274" w:type="dxa"/>
            <w:tcBorders>
              <w:bottom w:val="nil"/>
            </w:tcBorders>
          </w:tcPr>
          <w:p>
            <w:pP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rPr>
                <w:sz w:val="22"/>
              </w:rPr>
            </w:pPr>
            <w:r>
              <w:rPr>
                <w:sz w:val="22"/>
              </w:rPr>
              <w:t>Atlacomul</w:t>
            </w:r>
          </w:p>
        </w:tc>
        <w:tc>
          <w:tcPr>
            <w:tcW w:w="1174" w:type="dxa"/>
            <w:tcBorders>
              <w:bottom w:val="nil"/>
            </w:tcBorders>
          </w:tcPr>
          <w:p>
            <w:pPr>
              <w:pStyle w:val="TableParagraph"/>
              <w:spacing w:line="251" w:lineRule="exact"/>
              <w:rPr>
                <w:sz w:val="22"/>
              </w:rPr>
            </w:pPr>
            <w:r>
              <w:rPr>
                <w:sz w:val="22"/>
              </w:rPr>
              <w:t>Pathé,</w:t>
            </w:r>
          </w:p>
        </w:tc>
        <w:tc>
          <w:tcPr>
            <w:tcW w:w="2600" w:type="dxa"/>
            <w:tcBorders>
              <w:bottom w:val="nil"/>
            </w:tcBorders>
          </w:tcPr>
          <w:p>
            <w:pPr>
              <w:pStyle w:val="TableParagraph"/>
              <w:spacing w:line="251" w:lineRule="exact"/>
              <w:ind w:left="100"/>
              <w:rPr>
                <w:sz w:val="22"/>
              </w:rPr>
            </w:pPr>
            <w:r>
              <w:rPr>
                <w:sz w:val="22"/>
              </w:rPr>
              <w:t>Las  fuentes  de empleo</w:t>
            </w:r>
          </w:p>
        </w:tc>
        <w:tc>
          <w:tcPr>
            <w:tcW w:w="3615" w:type="dxa"/>
            <w:tcBorders>
              <w:bottom w:val="nil"/>
            </w:tcBorders>
          </w:tcPr>
          <w:p>
            <w:pPr>
              <w:pStyle w:val="TableParagraph"/>
              <w:spacing w:line="251" w:lineRule="exact"/>
              <w:ind w:left="100"/>
              <w:rPr>
                <w:sz w:val="22"/>
              </w:rPr>
            </w:pPr>
            <w:r>
              <w:rPr>
                <w:sz w:val="22"/>
              </w:rPr>
              <w:t>Sí  tendrán  que  involucrarse  </w:t>
            </w:r>
            <w:r>
              <w:rPr>
                <w:spacing w:val="53"/>
                <w:sz w:val="22"/>
              </w:rPr>
              <w:t> </w:t>
            </w:r>
            <w:r>
              <w:rPr>
                <w:sz w:val="22"/>
              </w:rPr>
              <w:t>los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Sámano</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tabs>
                <w:tab w:pos="1665" w:val="left" w:leader="none"/>
              </w:tabs>
              <w:spacing w:line="242" w:lineRule="exact"/>
              <w:rPr>
                <w:sz w:val="22"/>
              </w:rPr>
            </w:pPr>
            <w:r>
              <w:rPr>
                <w:sz w:val="22"/>
              </w:rPr>
              <w:t>Turismo</w:t>
              <w:tab/>
              <w:t>y</w:t>
            </w:r>
          </w:p>
        </w:tc>
        <w:tc>
          <w:tcPr>
            <w:tcW w:w="1289" w:type="dxa"/>
            <w:tcBorders>
              <w:top w:val="nil"/>
              <w:bottom w:val="nil"/>
            </w:tcBorders>
          </w:tcPr>
          <w:p>
            <w:pPr>
              <w:pStyle w:val="TableParagraph"/>
              <w:spacing w:line="242" w:lineRule="exact"/>
              <w:rPr>
                <w:sz w:val="22"/>
              </w:rPr>
            </w:pPr>
            <w:r>
              <w:rPr>
                <w:sz w:val="22"/>
              </w:rPr>
              <w:t>co</w:t>
            </w:r>
          </w:p>
        </w:tc>
        <w:tc>
          <w:tcPr>
            <w:tcW w:w="1174" w:type="dxa"/>
            <w:tcBorders>
              <w:top w:val="nil"/>
              <w:bottom w:val="nil"/>
            </w:tcBorders>
          </w:tcPr>
          <w:p>
            <w:pPr>
              <w:pStyle w:val="TableParagraph"/>
              <w:spacing w:line="242" w:lineRule="exact"/>
              <w:rPr>
                <w:sz w:val="22"/>
              </w:rPr>
            </w:pPr>
            <w:r>
              <w:rPr>
                <w:sz w:val="22"/>
              </w:rPr>
              <w:t>Acambay</w:t>
            </w:r>
          </w:p>
        </w:tc>
        <w:tc>
          <w:tcPr>
            <w:tcW w:w="2600" w:type="dxa"/>
            <w:tcBorders>
              <w:top w:val="nil"/>
              <w:bottom w:val="nil"/>
            </w:tcBorders>
          </w:tcPr>
          <w:p>
            <w:pPr>
              <w:pStyle w:val="TableParagraph"/>
              <w:spacing w:line="242" w:lineRule="exact"/>
              <w:ind w:left="100"/>
              <w:rPr>
                <w:sz w:val="22"/>
              </w:rPr>
            </w:pPr>
            <w:r>
              <w:rPr>
                <w:sz w:val="22"/>
              </w:rPr>
              <w:t>o  autoempleo,  como la</w:t>
            </w:r>
          </w:p>
        </w:tc>
        <w:tc>
          <w:tcPr>
            <w:tcW w:w="3615" w:type="dxa"/>
            <w:tcBorders>
              <w:top w:val="nil"/>
              <w:bottom w:val="nil"/>
            </w:tcBorders>
          </w:tcPr>
          <w:p>
            <w:pPr>
              <w:pStyle w:val="TableParagraph"/>
              <w:spacing w:line="242" w:lineRule="exact"/>
              <w:ind w:left="100" w:right="99"/>
              <w:rPr>
                <w:sz w:val="22"/>
              </w:rPr>
            </w:pPr>
            <w:r>
              <w:rPr>
                <w:sz w:val="22"/>
              </w:rPr>
              <w:t>municipios,  pero  quien determina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Peralta</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Fomento</w:t>
            </w: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spacing w:line="241" w:lineRule="exact"/>
              <w:ind w:left="100"/>
              <w:rPr>
                <w:sz w:val="22"/>
              </w:rPr>
            </w:pPr>
            <w:r>
              <w:rPr>
                <w:sz w:val="22"/>
              </w:rPr>
              <w:t>pesca,  pastar</w:t>
            </w:r>
            <w:r>
              <w:rPr>
                <w:spacing w:val="55"/>
                <w:sz w:val="22"/>
              </w:rPr>
              <w:t> </w:t>
            </w:r>
            <w:r>
              <w:rPr>
                <w:sz w:val="22"/>
              </w:rPr>
              <w:t>animales</w:t>
            </w:r>
          </w:p>
        </w:tc>
        <w:tc>
          <w:tcPr>
            <w:tcW w:w="3615" w:type="dxa"/>
            <w:tcBorders>
              <w:top w:val="nil"/>
              <w:bottom w:val="nil"/>
            </w:tcBorders>
          </w:tcPr>
          <w:p>
            <w:pPr>
              <w:pStyle w:val="TableParagraph"/>
              <w:spacing w:line="241" w:lineRule="exact"/>
              <w:ind w:left="100" w:right="99"/>
              <w:rPr>
                <w:sz w:val="22"/>
              </w:rPr>
            </w:pPr>
            <w:r>
              <w:rPr>
                <w:sz w:val="22"/>
              </w:rPr>
              <w:t>es Conagua.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spacing w:line="242" w:lineRule="exact"/>
              <w:ind w:left="100"/>
              <w:rPr>
                <w:sz w:val="22"/>
              </w:rPr>
            </w:pPr>
            <w:r>
              <w:rPr>
                <w:sz w:val="22"/>
              </w:rPr>
              <w:t>y riego. Algo de  turismo</w:t>
            </w:r>
          </w:p>
        </w:tc>
        <w:tc>
          <w:tcPr>
            <w:tcW w:w="3615"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600" w:type="dxa"/>
            <w:tcBorders>
              <w:top w:val="nil"/>
              <w:bottom w:val="nil"/>
            </w:tcBorders>
          </w:tcPr>
          <w:p>
            <w:pPr>
              <w:pStyle w:val="TableParagraph"/>
              <w:spacing w:line="241" w:lineRule="exact"/>
              <w:ind w:left="100"/>
              <w:rPr>
                <w:sz w:val="22"/>
              </w:rPr>
            </w:pPr>
            <w:r>
              <w:rPr>
                <w:sz w:val="22"/>
              </w:rPr>
              <w:t>por eso hay basura y no</w:t>
            </w:r>
          </w:p>
        </w:tc>
        <w:tc>
          <w:tcPr>
            <w:tcW w:w="3615" w:type="dxa"/>
            <w:tcBorders>
              <w:top w:val="nil"/>
              <w:bottom w:val="nil"/>
            </w:tcBorders>
          </w:tcPr>
          <w:p>
            <w:pPr/>
          </w:p>
        </w:tc>
      </w:tr>
      <w:tr>
        <w:trPr>
          <w:trHeight w:val="502" w:hRule="exact"/>
        </w:trPr>
        <w:tc>
          <w:tcPr>
            <w:tcW w:w="1385" w:type="dxa"/>
            <w:tcBorders>
              <w:top w:val="nil"/>
            </w:tcBorders>
          </w:tcPr>
          <w:p>
            <w:pPr>
              <w:pStyle w:val="TableParagraph"/>
              <w:spacing w:line="241" w:lineRule="exact"/>
              <w:ind w:right="127"/>
              <w:rPr>
                <w:sz w:val="22"/>
              </w:rPr>
            </w:pPr>
            <w:r>
              <w:rPr>
                <w:sz w:val="22"/>
              </w:rPr>
              <w:t>(27/I/2015)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600" w:type="dxa"/>
            <w:tcBorders>
              <w:top w:val="nil"/>
            </w:tcBorders>
          </w:tcPr>
          <w:p>
            <w:pPr>
              <w:pStyle w:val="TableParagraph"/>
              <w:spacing w:line="241" w:lineRule="exact"/>
              <w:ind w:left="100"/>
              <w:rPr>
                <w:sz w:val="22"/>
              </w:rPr>
            </w:pPr>
            <w:r>
              <w:rPr>
                <w:sz w:val="22"/>
              </w:rPr>
              <w:t>hay cultura.</w:t>
            </w:r>
          </w:p>
        </w:tc>
        <w:tc>
          <w:tcPr>
            <w:tcW w:w="3615"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pgSz w:w="15840" w:h="12240" w:orient="landscape"/>
          <w:pgMar w:header="0" w:footer="943" w:top="1140" w:bottom="1200" w:left="1200" w:right="1180"/>
        </w:sectPr>
      </w:pPr>
    </w:p>
    <w:p>
      <w:pPr>
        <w:pStyle w:val="BodyText"/>
        <w:rPr>
          <w:sz w:val="20"/>
        </w:rPr>
      </w:pPr>
    </w:p>
    <w:p>
      <w:pPr>
        <w:pStyle w:val="BodyText"/>
        <w:spacing w:before="1"/>
      </w:pPr>
    </w:p>
    <w:p>
      <w:pPr>
        <w:pStyle w:val="Heading6"/>
        <w:spacing w:before="73" w:after="4"/>
        <w:ind w:left="2294" w:right="778"/>
      </w:pPr>
      <w:r>
        <w:rPr/>
        <w:t>Tabla 6.9. Municipio de Acambay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6215"/>
      </w:tblGrid>
      <w:tr>
        <w:trPr>
          <w:trHeight w:val="292" w:hRule="exact"/>
        </w:trPr>
        <w:tc>
          <w:tcPr>
            <w:tcW w:w="13224" w:type="dxa"/>
            <w:gridSpan w:val="6"/>
            <w:shd w:val="clear" w:color="auto" w:fill="9BBA58"/>
          </w:tcPr>
          <w:p>
            <w:pPr>
              <w:pStyle w:val="TableParagraph"/>
              <w:spacing w:line="248" w:lineRule="exact"/>
              <w:ind w:left="4867" w:right="4870"/>
              <w:jc w:val="center"/>
              <w:rPr>
                <w:b/>
                <w:sz w:val="22"/>
              </w:rPr>
            </w:pPr>
            <w:r>
              <w:rPr>
                <w:b/>
                <w:sz w:val="22"/>
              </w:rPr>
              <w:t>ACAMBAY</w:t>
            </w:r>
          </w:p>
        </w:tc>
      </w:tr>
      <w:tr>
        <w:trPr>
          <w:trHeight w:val="524" w:hRule="exact"/>
        </w:trPr>
        <w:tc>
          <w:tcPr>
            <w:tcW w:w="4547" w:type="dxa"/>
            <w:gridSpan w:val="3"/>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3"/>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516" w:hRule="exact"/>
        </w:trPr>
        <w:tc>
          <w:tcPr>
            <w:tcW w:w="4547" w:type="dxa"/>
            <w:gridSpan w:val="3"/>
            <w:vMerge/>
            <w:shd w:val="clear" w:color="auto" w:fill="F9BE8F"/>
          </w:tcPr>
          <w:p>
            <w:pPr/>
          </w:p>
        </w:tc>
        <w:tc>
          <w:tcPr>
            <w:tcW w:w="2462" w:type="dxa"/>
            <w:gridSpan w:val="2"/>
            <w:shd w:val="clear" w:color="auto" w:fill="92CDDC"/>
          </w:tcPr>
          <w:p>
            <w:pPr>
              <w:pStyle w:val="TableParagraph"/>
              <w:spacing w:line="248" w:lineRule="exact"/>
              <w:ind w:left="736"/>
              <w:rPr>
                <w:b/>
                <w:sz w:val="22"/>
              </w:rPr>
            </w:pPr>
            <w:r>
              <w:rPr>
                <w:b/>
                <w:sz w:val="22"/>
              </w:rPr>
              <w:t>Identidad</w:t>
            </w:r>
          </w:p>
        </w:tc>
        <w:tc>
          <w:tcPr>
            <w:tcW w:w="6215" w:type="dxa"/>
            <w:shd w:val="clear" w:color="auto" w:fill="92CDDC"/>
          </w:tcPr>
          <w:p>
            <w:pPr>
              <w:pStyle w:val="TableParagraph"/>
              <w:tabs>
                <w:tab w:pos="1736" w:val="left" w:leader="none"/>
                <w:tab w:pos="3414" w:val="left" w:leader="none"/>
                <w:tab w:pos="3761" w:val="left" w:leader="none"/>
                <w:tab w:pos="5431" w:val="left" w:leader="none"/>
                <w:tab w:pos="5916" w:val="left" w:leader="none"/>
              </w:tabs>
              <w:spacing w:line="242" w:lineRule="auto"/>
              <w:ind w:left="100" w:right="101"/>
              <w:rPr>
                <w:b/>
                <w:sz w:val="22"/>
              </w:rPr>
            </w:pPr>
            <w:r>
              <w:rPr>
                <w:b/>
                <w:sz w:val="22"/>
              </w:rPr>
              <w:t>Cooperación,</w:t>
              <w:tab/>
              <w:t>democracia</w:t>
              <w:tab/>
              <w:t>y</w:t>
              <w:tab/>
              <w:t>voluntariedad</w:t>
              <w:tab/>
              <w:t>de</w:t>
              <w:tab/>
              <w:t>la sociedad, participación</w:t>
            </w:r>
            <w:r>
              <w:rPr>
                <w:b/>
                <w:spacing w:val="-6"/>
                <w:sz w:val="22"/>
              </w:rPr>
              <w:t> </w:t>
            </w:r>
            <w:r>
              <w:rPr>
                <w:b/>
                <w:sz w:val="22"/>
              </w:rPr>
              <w:t>social</w:t>
            </w:r>
          </w:p>
        </w:tc>
      </w:tr>
      <w:tr>
        <w:trPr>
          <w:trHeight w:val="771"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42" w:lineRule="auto"/>
              <w:ind w:left="100" w:right="93"/>
              <w:rPr>
                <w:b/>
                <w:sz w:val="22"/>
              </w:rPr>
            </w:pPr>
            <w:r>
              <w:rPr>
                <w:b/>
                <w:sz w:val="22"/>
              </w:rPr>
              <w:t>Nivel Educativo</w:t>
            </w:r>
          </w:p>
        </w:tc>
        <w:tc>
          <w:tcPr>
            <w:tcW w:w="1887" w:type="dxa"/>
            <w:shd w:val="clear" w:color="auto" w:fill="F9BE8F"/>
          </w:tcPr>
          <w:p>
            <w:pPr>
              <w:pStyle w:val="TableParagraph"/>
              <w:spacing w:line="248" w:lineRule="exact"/>
              <w:rPr>
                <w:b/>
                <w:sz w:val="22"/>
              </w:rPr>
            </w:pPr>
            <w:r>
              <w:rPr>
                <w:b/>
                <w:sz w:val="22"/>
              </w:rPr>
              <w:t>Cargo Público</w:t>
            </w:r>
          </w:p>
        </w:tc>
        <w:tc>
          <w:tcPr>
            <w:tcW w:w="1289" w:type="dxa"/>
            <w:shd w:val="clear" w:color="auto" w:fill="92CDDC"/>
          </w:tcPr>
          <w:p>
            <w:pPr>
              <w:pStyle w:val="TableParagraph"/>
              <w:spacing w:line="242" w:lineRule="auto"/>
              <w:ind w:right="337"/>
              <w:rPr>
                <w:b/>
                <w:sz w:val="22"/>
              </w:rPr>
            </w:pPr>
            <w:r>
              <w:rPr>
                <w:b/>
                <w:sz w:val="22"/>
              </w:rPr>
              <w:t>¿Dónde nació?</w:t>
            </w:r>
          </w:p>
        </w:tc>
        <w:tc>
          <w:tcPr>
            <w:tcW w:w="1174" w:type="dxa"/>
            <w:shd w:val="clear" w:color="auto" w:fill="92CDDC"/>
          </w:tcPr>
          <w:p>
            <w:pPr>
              <w:pStyle w:val="TableParagraph"/>
              <w:spacing w:line="242" w:lineRule="auto"/>
              <w:ind w:right="222"/>
              <w:rPr>
                <w:b/>
                <w:sz w:val="22"/>
              </w:rPr>
            </w:pPr>
            <w:r>
              <w:rPr>
                <w:b/>
                <w:sz w:val="22"/>
              </w:rPr>
              <w:t>¿Dónde vive?</w:t>
            </w:r>
          </w:p>
        </w:tc>
        <w:tc>
          <w:tcPr>
            <w:tcW w:w="6215" w:type="dxa"/>
            <w:shd w:val="clear" w:color="auto" w:fill="92CDDC"/>
          </w:tcPr>
          <w:p>
            <w:pPr>
              <w:pStyle w:val="TableParagraph"/>
              <w:spacing w:line="242" w:lineRule="auto"/>
              <w:ind w:left="100" w:right="105"/>
              <w:rPr>
                <w:b/>
                <w:sz w:val="22"/>
              </w:rPr>
            </w:pPr>
            <w:r>
              <w:rPr>
                <w:b/>
                <w:sz w:val="22"/>
              </w:rPr>
              <w:t>¿Estaría usted dispuesto a asistir a una reunión para tratar asuntos relacionados con la laguna de Huapango?</w:t>
            </w:r>
          </w:p>
        </w:tc>
      </w:tr>
      <w:tr>
        <w:trPr>
          <w:trHeight w:val="1274" w:hRule="exact"/>
        </w:trPr>
        <w:tc>
          <w:tcPr>
            <w:tcW w:w="1385" w:type="dxa"/>
          </w:tcPr>
          <w:p>
            <w:pPr>
              <w:pStyle w:val="TableParagraph"/>
              <w:spacing w:line="252" w:lineRule="exact" w:before="2"/>
              <w:ind w:right="201"/>
              <w:rPr>
                <w:sz w:val="22"/>
              </w:rPr>
            </w:pPr>
            <w:r>
              <w:rPr>
                <w:sz w:val="22"/>
              </w:rPr>
              <w:t>Irineo Ruiz González</w:t>
            </w:r>
          </w:p>
          <w:p>
            <w:pPr>
              <w:pStyle w:val="TableParagraph"/>
              <w:spacing w:before="8"/>
              <w:ind w:left="0"/>
              <w:rPr>
                <w:b/>
                <w:sz w:val="21"/>
              </w:rPr>
            </w:pPr>
          </w:p>
          <w:p>
            <w:pPr>
              <w:pStyle w:val="TableParagraph"/>
              <w:ind w:right="127"/>
              <w:rPr>
                <w:sz w:val="22"/>
              </w:rPr>
            </w:pPr>
            <w:r>
              <w:rPr>
                <w:sz w:val="22"/>
              </w:rPr>
              <w:t>(13/I/2015)</w:t>
            </w:r>
          </w:p>
        </w:tc>
        <w:tc>
          <w:tcPr>
            <w:tcW w:w="1274" w:type="dxa"/>
          </w:tcPr>
          <w:p>
            <w:pPr>
              <w:pStyle w:val="TableParagraph"/>
              <w:spacing w:line="251" w:lineRule="exact"/>
              <w:ind w:left="100" w:right="98"/>
              <w:rPr>
                <w:sz w:val="22"/>
              </w:rPr>
            </w:pPr>
            <w:r>
              <w:rPr>
                <w:sz w:val="22"/>
              </w:rPr>
              <w:t>Profesor</w:t>
            </w:r>
          </w:p>
        </w:tc>
        <w:tc>
          <w:tcPr>
            <w:tcW w:w="1887" w:type="dxa"/>
          </w:tcPr>
          <w:p>
            <w:pPr>
              <w:pStyle w:val="TableParagraph"/>
              <w:spacing w:line="252" w:lineRule="exact" w:before="2"/>
              <w:ind w:right="702"/>
              <w:rPr>
                <w:sz w:val="22"/>
              </w:rPr>
            </w:pPr>
            <w:r>
              <w:rPr>
                <w:sz w:val="22"/>
              </w:rPr>
              <w:t>Presidente Municipal</w:t>
            </w:r>
          </w:p>
        </w:tc>
        <w:tc>
          <w:tcPr>
            <w:tcW w:w="1289" w:type="dxa"/>
          </w:tcPr>
          <w:p>
            <w:pPr>
              <w:pStyle w:val="TableParagraph"/>
              <w:spacing w:line="251" w:lineRule="exact"/>
              <w:rPr>
                <w:sz w:val="22"/>
              </w:rPr>
            </w:pPr>
            <w:r>
              <w:rPr>
                <w:sz w:val="22"/>
              </w:rPr>
              <w:t>Acambay</w:t>
            </w:r>
          </w:p>
        </w:tc>
        <w:tc>
          <w:tcPr>
            <w:tcW w:w="1174" w:type="dxa"/>
          </w:tcPr>
          <w:p>
            <w:pPr>
              <w:pStyle w:val="TableParagraph"/>
              <w:spacing w:line="251" w:lineRule="exact"/>
              <w:ind w:left="73" w:right="109"/>
              <w:jc w:val="center"/>
              <w:rPr>
                <w:sz w:val="22"/>
              </w:rPr>
            </w:pPr>
            <w:r>
              <w:rPr>
                <w:sz w:val="22"/>
              </w:rPr>
              <w:t>Acambay</w:t>
            </w:r>
          </w:p>
        </w:tc>
        <w:tc>
          <w:tcPr>
            <w:tcW w:w="6215" w:type="dxa"/>
          </w:tcPr>
          <w:p>
            <w:pPr>
              <w:pStyle w:val="TableParagraph"/>
              <w:ind w:left="100" w:right="99"/>
              <w:jc w:val="both"/>
              <w:rPr>
                <w:sz w:val="22"/>
              </w:rPr>
            </w:pPr>
            <w:r>
              <w:rPr>
                <w:sz w:val="22"/>
              </w:rPr>
              <w:t>Sí porque me interesa que el agua esté en buenas condiciones y para realizar actividades agrícolas y un proyecto ecoturístico.</w:t>
            </w:r>
          </w:p>
        </w:tc>
      </w:tr>
      <w:tr>
        <w:trPr>
          <w:trHeight w:val="1527" w:hRule="exact"/>
        </w:trPr>
        <w:tc>
          <w:tcPr>
            <w:tcW w:w="1385" w:type="dxa"/>
          </w:tcPr>
          <w:p>
            <w:pPr>
              <w:pStyle w:val="TableParagraph"/>
              <w:ind w:right="205"/>
              <w:jc w:val="both"/>
              <w:rPr>
                <w:sz w:val="22"/>
              </w:rPr>
            </w:pPr>
            <w:r>
              <w:rPr>
                <w:sz w:val="22"/>
              </w:rPr>
              <w:t>Ana María Contreras Valdez</w:t>
            </w:r>
          </w:p>
          <w:p>
            <w:pPr>
              <w:pStyle w:val="TableParagraph"/>
              <w:ind w:left="0"/>
              <w:rPr>
                <w:b/>
                <w:sz w:val="22"/>
              </w:rPr>
            </w:pPr>
          </w:p>
          <w:p>
            <w:pPr>
              <w:pStyle w:val="TableParagraph"/>
              <w:spacing w:before="1"/>
              <w:jc w:val="both"/>
              <w:rPr>
                <w:sz w:val="22"/>
              </w:rPr>
            </w:pPr>
            <w:r>
              <w:rPr>
                <w:sz w:val="22"/>
              </w:rPr>
              <w:t>(21/I/2014)</w:t>
            </w:r>
          </w:p>
        </w:tc>
        <w:tc>
          <w:tcPr>
            <w:tcW w:w="1274" w:type="dxa"/>
          </w:tcPr>
          <w:p>
            <w:pPr>
              <w:pStyle w:val="TableParagraph"/>
              <w:spacing w:line="251" w:lineRule="exact"/>
              <w:ind w:left="100" w:right="98"/>
              <w:rPr>
                <w:sz w:val="22"/>
              </w:rPr>
            </w:pPr>
            <w:r>
              <w:rPr>
                <w:sz w:val="22"/>
              </w:rPr>
              <w:t>Abogada</w:t>
            </w:r>
          </w:p>
        </w:tc>
        <w:tc>
          <w:tcPr>
            <w:tcW w:w="1887" w:type="dxa"/>
          </w:tcPr>
          <w:p>
            <w:pPr>
              <w:pStyle w:val="TableParagraph"/>
              <w:ind w:right="189"/>
              <w:rPr>
                <w:sz w:val="22"/>
              </w:rPr>
            </w:pPr>
            <w:r>
              <w:rPr>
                <w:sz w:val="22"/>
              </w:rPr>
              <w:t>Tercer Regidor. Encargada de preservar, conservar y restaurar el medio ambiente</w:t>
            </w:r>
          </w:p>
        </w:tc>
        <w:tc>
          <w:tcPr>
            <w:tcW w:w="1289" w:type="dxa"/>
          </w:tcPr>
          <w:p>
            <w:pPr>
              <w:pStyle w:val="TableParagraph"/>
              <w:spacing w:line="251" w:lineRule="exact"/>
              <w:rPr>
                <w:sz w:val="22"/>
              </w:rPr>
            </w:pPr>
            <w:r>
              <w:rPr>
                <w:sz w:val="22"/>
              </w:rPr>
              <w:t>Acambay</w:t>
            </w:r>
          </w:p>
        </w:tc>
        <w:tc>
          <w:tcPr>
            <w:tcW w:w="1174" w:type="dxa"/>
          </w:tcPr>
          <w:p>
            <w:pPr>
              <w:pStyle w:val="TableParagraph"/>
              <w:spacing w:line="251" w:lineRule="exact"/>
              <w:ind w:left="73" w:right="109"/>
              <w:jc w:val="center"/>
              <w:rPr>
                <w:sz w:val="22"/>
              </w:rPr>
            </w:pPr>
            <w:r>
              <w:rPr>
                <w:sz w:val="22"/>
              </w:rPr>
              <w:t>Acambay</w:t>
            </w:r>
          </w:p>
        </w:tc>
        <w:tc>
          <w:tcPr>
            <w:tcW w:w="6215" w:type="dxa"/>
          </w:tcPr>
          <w:p>
            <w:pPr>
              <w:pStyle w:val="TableParagraph"/>
              <w:spacing w:before="8"/>
              <w:ind w:left="0"/>
              <w:rPr>
                <w:b/>
                <w:sz w:val="21"/>
              </w:rPr>
            </w:pPr>
          </w:p>
          <w:p>
            <w:pPr>
              <w:pStyle w:val="TableParagraph"/>
              <w:ind w:left="2693" w:right="2697"/>
              <w:jc w:val="center"/>
              <w:rPr>
                <w:sz w:val="22"/>
              </w:rPr>
            </w:pPr>
            <w:r>
              <w:rPr>
                <w:sz w:val="22"/>
              </w:rPr>
              <w:t>N/C</w:t>
            </w:r>
          </w:p>
        </w:tc>
      </w:tr>
      <w:tr>
        <w:trPr>
          <w:trHeight w:val="1529" w:hRule="exact"/>
        </w:trPr>
        <w:tc>
          <w:tcPr>
            <w:tcW w:w="1385" w:type="dxa"/>
          </w:tcPr>
          <w:p>
            <w:pPr>
              <w:pStyle w:val="TableParagraph"/>
              <w:ind w:right="127"/>
              <w:rPr>
                <w:sz w:val="22"/>
              </w:rPr>
            </w:pPr>
            <w:r>
              <w:rPr>
                <w:sz w:val="22"/>
              </w:rPr>
              <w:t>Pedro Carbajal Suárez</w:t>
            </w:r>
          </w:p>
          <w:p>
            <w:pPr>
              <w:pStyle w:val="TableParagraph"/>
              <w:ind w:left="0"/>
              <w:rPr>
                <w:b/>
                <w:sz w:val="22"/>
              </w:rPr>
            </w:pPr>
          </w:p>
          <w:p>
            <w:pPr>
              <w:pStyle w:val="TableParagraph"/>
              <w:ind w:left="155"/>
              <w:rPr>
                <w:sz w:val="22"/>
              </w:rPr>
            </w:pPr>
            <w:r>
              <w:rPr>
                <w:sz w:val="22"/>
              </w:rPr>
              <w:t>(21/I/2014)</w:t>
            </w:r>
          </w:p>
        </w:tc>
        <w:tc>
          <w:tcPr>
            <w:tcW w:w="1274" w:type="dxa"/>
          </w:tcPr>
          <w:p>
            <w:pPr>
              <w:pStyle w:val="TableParagraph"/>
              <w:ind w:left="100" w:right="362"/>
              <w:rPr>
                <w:sz w:val="22"/>
              </w:rPr>
            </w:pPr>
            <w:r>
              <w:rPr>
                <w:sz w:val="22"/>
              </w:rPr>
              <w:t>Médico General</w:t>
            </w:r>
          </w:p>
        </w:tc>
        <w:tc>
          <w:tcPr>
            <w:tcW w:w="1887" w:type="dxa"/>
          </w:tcPr>
          <w:p>
            <w:pPr>
              <w:pStyle w:val="TableParagraph"/>
              <w:tabs>
                <w:tab w:pos="1528" w:val="left" w:leader="none"/>
                <w:tab w:pos="1665" w:val="left" w:leader="none"/>
              </w:tabs>
              <w:ind w:right="99"/>
              <w:rPr>
                <w:sz w:val="22"/>
              </w:rPr>
            </w:pPr>
            <w:r>
              <w:rPr>
                <w:sz w:val="22"/>
              </w:rPr>
              <w:t>Decimo Regidor. Encargado</w:t>
              <w:tab/>
              <w:t>de preservar, conservar</w:t>
              <w:tab/>
              <w:tab/>
              <w:t>y</w:t>
            </w:r>
          </w:p>
          <w:p>
            <w:pPr>
              <w:pStyle w:val="TableParagraph"/>
              <w:tabs>
                <w:tab w:pos="1602" w:val="left" w:leader="none"/>
              </w:tabs>
              <w:ind w:right="101"/>
              <w:rPr>
                <w:sz w:val="22"/>
              </w:rPr>
            </w:pPr>
            <w:r>
              <w:rPr>
                <w:sz w:val="22"/>
              </w:rPr>
              <w:t>restaurar</w:t>
              <w:tab/>
              <w:t>el medio</w:t>
            </w:r>
            <w:r>
              <w:rPr>
                <w:spacing w:val="-3"/>
                <w:sz w:val="22"/>
              </w:rPr>
              <w:t> </w:t>
            </w:r>
            <w:r>
              <w:rPr>
                <w:sz w:val="22"/>
              </w:rPr>
              <w:t>ambiente</w:t>
            </w:r>
          </w:p>
        </w:tc>
        <w:tc>
          <w:tcPr>
            <w:tcW w:w="1289" w:type="dxa"/>
          </w:tcPr>
          <w:p>
            <w:pPr>
              <w:pStyle w:val="TableParagraph"/>
              <w:ind w:right="422"/>
              <w:rPr>
                <w:sz w:val="22"/>
              </w:rPr>
            </w:pPr>
            <w:r>
              <w:rPr>
                <w:sz w:val="22"/>
              </w:rPr>
              <w:t>Villa Victoria</w:t>
            </w:r>
          </w:p>
        </w:tc>
        <w:tc>
          <w:tcPr>
            <w:tcW w:w="1174" w:type="dxa"/>
          </w:tcPr>
          <w:p>
            <w:pPr>
              <w:pStyle w:val="TableParagraph"/>
              <w:ind w:right="123"/>
              <w:rPr>
                <w:sz w:val="22"/>
              </w:rPr>
            </w:pPr>
            <w:r>
              <w:rPr>
                <w:sz w:val="22"/>
              </w:rPr>
              <w:t>Acambay desde hace 32 años</w:t>
            </w:r>
          </w:p>
        </w:tc>
        <w:tc>
          <w:tcPr>
            <w:tcW w:w="6215" w:type="dxa"/>
          </w:tcPr>
          <w:p>
            <w:pPr>
              <w:pStyle w:val="TableParagraph"/>
              <w:ind w:left="100" w:right="264"/>
              <w:rPr>
                <w:sz w:val="22"/>
              </w:rPr>
            </w:pPr>
            <w:r>
              <w:rPr>
                <w:sz w:val="22"/>
              </w:rPr>
              <w:t>Sí asistiría para conocer la problemática y darle solución de forma equitativa.</w:t>
            </w:r>
          </w:p>
        </w:tc>
      </w:tr>
      <w:tr>
        <w:trPr>
          <w:trHeight w:val="1275" w:hRule="exact"/>
        </w:trPr>
        <w:tc>
          <w:tcPr>
            <w:tcW w:w="1385" w:type="dxa"/>
          </w:tcPr>
          <w:p>
            <w:pPr>
              <w:pStyle w:val="TableParagraph"/>
              <w:ind w:right="188"/>
              <w:rPr>
                <w:sz w:val="22"/>
              </w:rPr>
            </w:pPr>
            <w:r>
              <w:rPr>
                <w:sz w:val="22"/>
              </w:rPr>
              <w:t>Reynaldo Sandoval Martínez (21/I/2014)</w:t>
            </w:r>
          </w:p>
        </w:tc>
        <w:tc>
          <w:tcPr>
            <w:tcW w:w="1274" w:type="dxa"/>
          </w:tcPr>
          <w:p>
            <w:pPr>
              <w:pStyle w:val="TableParagraph"/>
              <w:spacing w:before="10"/>
              <w:ind w:left="0"/>
              <w:rPr>
                <w:b/>
                <w:sz w:val="21"/>
              </w:rPr>
            </w:pPr>
          </w:p>
          <w:p>
            <w:pPr>
              <w:pStyle w:val="TableParagraph"/>
              <w:ind w:left="104" w:right="105"/>
              <w:jc w:val="center"/>
              <w:rPr>
                <w:sz w:val="22"/>
              </w:rPr>
            </w:pPr>
            <w:r>
              <w:rPr>
                <w:sz w:val="22"/>
              </w:rPr>
              <w:t>S/D</w:t>
            </w:r>
          </w:p>
        </w:tc>
        <w:tc>
          <w:tcPr>
            <w:tcW w:w="1887" w:type="dxa"/>
          </w:tcPr>
          <w:p>
            <w:pPr>
              <w:pStyle w:val="TableParagraph"/>
              <w:ind w:right="101"/>
              <w:jc w:val="both"/>
              <w:rPr>
                <w:sz w:val="22"/>
              </w:rPr>
            </w:pPr>
            <w:r>
              <w:rPr>
                <w:sz w:val="22"/>
              </w:rPr>
              <w:t>Director del Medio Ambiente en Acambay</w:t>
            </w:r>
          </w:p>
        </w:tc>
        <w:tc>
          <w:tcPr>
            <w:tcW w:w="1289" w:type="dxa"/>
          </w:tcPr>
          <w:p>
            <w:pPr>
              <w:pStyle w:val="TableParagraph"/>
              <w:ind w:right="239"/>
              <w:rPr>
                <w:sz w:val="22"/>
              </w:rPr>
            </w:pPr>
            <w:r>
              <w:rPr>
                <w:sz w:val="22"/>
              </w:rPr>
              <w:t>Las Arenas, Acambay</w:t>
            </w:r>
          </w:p>
        </w:tc>
        <w:tc>
          <w:tcPr>
            <w:tcW w:w="1174" w:type="dxa"/>
          </w:tcPr>
          <w:p>
            <w:pPr>
              <w:pStyle w:val="TableParagraph"/>
              <w:ind w:right="123"/>
              <w:rPr>
                <w:sz w:val="22"/>
              </w:rPr>
            </w:pPr>
            <w:r>
              <w:rPr>
                <w:sz w:val="22"/>
              </w:rPr>
              <w:t>Las Arenas, Acambay</w:t>
            </w:r>
          </w:p>
        </w:tc>
        <w:tc>
          <w:tcPr>
            <w:tcW w:w="6215" w:type="dxa"/>
          </w:tcPr>
          <w:p>
            <w:pPr>
              <w:pStyle w:val="TableParagraph"/>
              <w:spacing w:line="251" w:lineRule="exact"/>
              <w:ind w:left="100" w:right="105"/>
              <w:rPr>
                <w:sz w:val="22"/>
              </w:rPr>
            </w:pPr>
            <w:r>
              <w:rPr>
                <w:sz w:val="22"/>
              </w:rPr>
              <w:t>Asistiría con mucho gusto.</w:t>
            </w:r>
          </w:p>
        </w:tc>
      </w:tr>
      <w:tr>
        <w:trPr>
          <w:trHeight w:val="770" w:hRule="exact"/>
        </w:trPr>
        <w:tc>
          <w:tcPr>
            <w:tcW w:w="1385" w:type="dxa"/>
          </w:tcPr>
          <w:p>
            <w:pPr>
              <w:pStyle w:val="TableParagraph"/>
              <w:ind w:right="433"/>
              <w:rPr>
                <w:sz w:val="22"/>
              </w:rPr>
            </w:pPr>
            <w:r>
              <w:rPr>
                <w:sz w:val="22"/>
              </w:rPr>
              <w:t>Juan Carlos Sámano</w:t>
            </w:r>
          </w:p>
        </w:tc>
        <w:tc>
          <w:tcPr>
            <w:tcW w:w="1274" w:type="dxa"/>
          </w:tcPr>
          <w:p>
            <w:pPr>
              <w:pStyle w:val="TableParagraph"/>
              <w:spacing w:line="242" w:lineRule="auto"/>
              <w:ind w:left="100" w:right="105"/>
              <w:rPr>
                <w:sz w:val="22"/>
              </w:rPr>
            </w:pPr>
            <w:r>
              <w:rPr>
                <w:sz w:val="22"/>
              </w:rPr>
              <w:t>Preparator ia</w:t>
            </w:r>
          </w:p>
        </w:tc>
        <w:tc>
          <w:tcPr>
            <w:tcW w:w="1887" w:type="dxa"/>
          </w:tcPr>
          <w:p>
            <w:pPr>
              <w:pStyle w:val="TableParagraph"/>
              <w:ind w:right="445"/>
              <w:rPr>
                <w:sz w:val="22"/>
              </w:rPr>
            </w:pPr>
            <w:r>
              <w:rPr>
                <w:sz w:val="22"/>
              </w:rPr>
              <w:t>Director de Desarrollo Agropecuario</w:t>
            </w:r>
          </w:p>
        </w:tc>
        <w:tc>
          <w:tcPr>
            <w:tcW w:w="1289" w:type="dxa"/>
          </w:tcPr>
          <w:p>
            <w:pPr>
              <w:pStyle w:val="TableParagraph"/>
              <w:spacing w:line="242" w:lineRule="auto"/>
              <w:ind w:right="239"/>
              <w:rPr>
                <w:sz w:val="22"/>
              </w:rPr>
            </w:pPr>
            <w:r>
              <w:rPr>
                <w:sz w:val="22"/>
              </w:rPr>
              <w:t>Pathé, Acambay</w:t>
            </w:r>
          </w:p>
        </w:tc>
        <w:tc>
          <w:tcPr>
            <w:tcW w:w="1174" w:type="dxa"/>
          </w:tcPr>
          <w:p>
            <w:pPr>
              <w:pStyle w:val="TableParagraph"/>
              <w:spacing w:line="242" w:lineRule="auto"/>
              <w:ind w:right="123"/>
              <w:rPr>
                <w:sz w:val="22"/>
              </w:rPr>
            </w:pPr>
            <w:r>
              <w:rPr>
                <w:sz w:val="22"/>
              </w:rPr>
              <w:t>Pathé, Acambay</w:t>
            </w:r>
          </w:p>
        </w:tc>
        <w:tc>
          <w:tcPr>
            <w:tcW w:w="6215" w:type="dxa"/>
          </w:tcPr>
          <w:p>
            <w:pPr>
              <w:pStyle w:val="TableParagraph"/>
              <w:spacing w:line="242" w:lineRule="auto"/>
              <w:ind w:left="100" w:right="105"/>
              <w:rPr>
                <w:sz w:val="22"/>
              </w:rPr>
            </w:pPr>
            <w:r>
              <w:rPr>
                <w:sz w:val="22"/>
              </w:rPr>
              <w:t>Sí porque me interesa que en un momento dado se pueda dar soluciones a esta laguna.</w:t>
            </w:r>
          </w:p>
        </w:tc>
      </w:tr>
    </w:tbl>
    <w:p>
      <w:pPr>
        <w:spacing w:after="0" w:line="242" w:lineRule="auto"/>
        <w:rPr>
          <w:sz w:val="22"/>
        </w:rPr>
        <w:sectPr>
          <w:pgSz w:w="15840" w:h="12240" w:orient="landscape"/>
          <w:pgMar w:header="0" w:footer="94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366"/>
        <w:gridCol w:w="521"/>
        <w:gridCol w:w="1289"/>
        <w:gridCol w:w="1174"/>
        <w:gridCol w:w="6215"/>
      </w:tblGrid>
      <w:tr>
        <w:trPr>
          <w:trHeight w:val="768" w:hRule="exact"/>
        </w:trPr>
        <w:tc>
          <w:tcPr>
            <w:tcW w:w="1385" w:type="dxa"/>
          </w:tcPr>
          <w:p>
            <w:pPr>
              <w:pStyle w:val="TableParagraph"/>
              <w:spacing w:line="252" w:lineRule="exact" w:before="2"/>
              <w:ind w:right="188"/>
              <w:rPr>
                <w:sz w:val="22"/>
              </w:rPr>
            </w:pPr>
            <w:r>
              <w:rPr>
                <w:sz w:val="22"/>
              </w:rPr>
              <w:t>Díaz (27/I/2015)</w:t>
            </w:r>
          </w:p>
        </w:tc>
        <w:tc>
          <w:tcPr>
            <w:tcW w:w="1274" w:type="dxa"/>
          </w:tcPr>
          <w:p>
            <w:pPr/>
          </w:p>
        </w:tc>
        <w:tc>
          <w:tcPr>
            <w:tcW w:w="1887" w:type="dxa"/>
            <w:gridSpan w:val="2"/>
          </w:tcPr>
          <w:p>
            <w:pPr/>
          </w:p>
        </w:tc>
        <w:tc>
          <w:tcPr>
            <w:tcW w:w="1289" w:type="dxa"/>
          </w:tcPr>
          <w:p>
            <w:pPr/>
          </w:p>
        </w:tc>
        <w:tc>
          <w:tcPr>
            <w:tcW w:w="1174" w:type="dxa"/>
          </w:tcPr>
          <w:p>
            <w:pPr/>
          </w:p>
        </w:tc>
        <w:tc>
          <w:tcPr>
            <w:tcW w:w="6215" w:type="dxa"/>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Adán</w:t>
            </w:r>
          </w:p>
        </w:tc>
        <w:tc>
          <w:tcPr>
            <w:tcW w:w="1274" w:type="dxa"/>
            <w:tcBorders>
              <w:bottom w:val="nil"/>
            </w:tcBorders>
          </w:tcPr>
          <w:p>
            <w:pPr/>
          </w:p>
        </w:tc>
        <w:tc>
          <w:tcPr>
            <w:tcW w:w="1366" w:type="dxa"/>
            <w:tcBorders>
              <w:bottom w:val="nil"/>
              <w:right w:val="nil"/>
            </w:tcBorders>
          </w:tcPr>
          <w:p>
            <w:pPr>
              <w:pStyle w:val="TableParagraph"/>
              <w:spacing w:line="251" w:lineRule="exact"/>
              <w:rPr>
                <w:sz w:val="22"/>
              </w:rPr>
            </w:pPr>
            <w:r>
              <w:rPr>
                <w:sz w:val="22"/>
              </w:rPr>
              <w:t>Director</w:t>
            </w:r>
          </w:p>
        </w:tc>
        <w:tc>
          <w:tcPr>
            <w:tcW w:w="521" w:type="dxa"/>
            <w:tcBorders>
              <w:left w:val="nil"/>
              <w:bottom w:val="nil"/>
            </w:tcBorders>
          </w:tcPr>
          <w:p>
            <w:pPr>
              <w:pStyle w:val="TableParagraph"/>
              <w:spacing w:line="251" w:lineRule="exact"/>
              <w:ind w:left="0" w:right="101"/>
              <w:jc w:val="right"/>
              <w:rPr>
                <w:sz w:val="22"/>
              </w:rPr>
            </w:pPr>
            <w:r>
              <w:rPr>
                <w:sz w:val="22"/>
              </w:rPr>
              <w:t>de</w:t>
            </w:r>
          </w:p>
        </w:tc>
        <w:tc>
          <w:tcPr>
            <w:tcW w:w="1289" w:type="dxa"/>
            <w:tcBorders>
              <w:bottom w:val="nil"/>
            </w:tcBorders>
          </w:tcPr>
          <w:p>
            <w:pPr>
              <w:pStyle w:val="TableParagraph"/>
              <w:spacing w:line="251" w:lineRule="exact"/>
              <w:rPr>
                <w:sz w:val="22"/>
              </w:rPr>
            </w:pPr>
            <w:r>
              <w:rPr>
                <w:sz w:val="22"/>
              </w:rPr>
              <w:t>Atlacomul</w:t>
            </w:r>
          </w:p>
        </w:tc>
        <w:tc>
          <w:tcPr>
            <w:tcW w:w="1174" w:type="dxa"/>
            <w:tcBorders>
              <w:bottom w:val="nil"/>
            </w:tcBorders>
          </w:tcPr>
          <w:p>
            <w:pPr>
              <w:pStyle w:val="TableParagraph"/>
              <w:spacing w:line="251" w:lineRule="exact"/>
              <w:rPr>
                <w:sz w:val="22"/>
              </w:rPr>
            </w:pPr>
            <w:r>
              <w:rPr>
                <w:sz w:val="22"/>
              </w:rPr>
              <w:t>Pathé,</w:t>
            </w:r>
          </w:p>
        </w:tc>
        <w:tc>
          <w:tcPr>
            <w:tcW w:w="6215" w:type="dxa"/>
            <w:tcBorders>
              <w:bottom w:val="nil"/>
            </w:tcBorders>
          </w:tcPr>
          <w:p>
            <w:pPr>
              <w:pStyle w:val="TableParagraph"/>
              <w:spacing w:line="251" w:lineRule="exact"/>
              <w:ind w:left="100"/>
              <w:rPr>
                <w:sz w:val="22"/>
              </w:rPr>
            </w:pPr>
            <w:r>
              <w:rPr>
                <w:sz w:val="22"/>
              </w:rPr>
              <w:t>Sí para ver si podemos apoyar en algo o como representante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Sámano</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366" w:type="dxa"/>
            <w:tcBorders>
              <w:top w:val="nil"/>
              <w:bottom w:val="nil"/>
              <w:right w:val="nil"/>
            </w:tcBorders>
          </w:tcPr>
          <w:p>
            <w:pPr>
              <w:pStyle w:val="TableParagraph"/>
              <w:spacing w:line="242" w:lineRule="exact"/>
              <w:rPr>
                <w:sz w:val="22"/>
              </w:rPr>
            </w:pPr>
            <w:r>
              <w:rPr>
                <w:sz w:val="22"/>
              </w:rPr>
              <w:t>Turismo</w:t>
            </w:r>
          </w:p>
        </w:tc>
        <w:tc>
          <w:tcPr>
            <w:tcW w:w="521" w:type="dxa"/>
            <w:tcBorders>
              <w:top w:val="nil"/>
              <w:left w:val="nil"/>
              <w:bottom w:val="nil"/>
            </w:tcBorders>
          </w:tcPr>
          <w:p>
            <w:pPr>
              <w:pStyle w:val="TableParagraph"/>
              <w:spacing w:line="242" w:lineRule="exact"/>
              <w:ind w:left="0" w:right="99"/>
              <w:jc w:val="right"/>
              <w:rPr>
                <w:sz w:val="22"/>
              </w:rPr>
            </w:pPr>
            <w:r>
              <w:rPr>
                <w:w w:val="100"/>
                <w:sz w:val="22"/>
              </w:rPr>
              <w:t>y</w:t>
            </w:r>
          </w:p>
        </w:tc>
        <w:tc>
          <w:tcPr>
            <w:tcW w:w="1289" w:type="dxa"/>
            <w:tcBorders>
              <w:top w:val="nil"/>
              <w:bottom w:val="nil"/>
            </w:tcBorders>
          </w:tcPr>
          <w:p>
            <w:pPr>
              <w:pStyle w:val="TableParagraph"/>
              <w:spacing w:line="242" w:lineRule="exact"/>
              <w:rPr>
                <w:sz w:val="22"/>
              </w:rPr>
            </w:pPr>
            <w:r>
              <w:rPr>
                <w:sz w:val="22"/>
              </w:rPr>
              <w:t>co</w:t>
            </w:r>
          </w:p>
        </w:tc>
        <w:tc>
          <w:tcPr>
            <w:tcW w:w="1174" w:type="dxa"/>
            <w:tcBorders>
              <w:top w:val="nil"/>
              <w:bottom w:val="nil"/>
            </w:tcBorders>
          </w:tcPr>
          <w:p>
            <w:pPr>
              <w:pStyle w:val="TableParagraph"/>
              <w:spacing w:line="242" w:lineRule="exact"/>
              <w:rPr>
                <w:sz w:val="22"/>
              </w:rPr>
            </w:pPr>
            <w:r>
              <w:rPr>
                <w:sz w:val="22"/>
              </w:rPr>
              <w:t>Acambay</w:t>
            </w:r>
          </w:p>
        </w:tc>
        <w:tc>
          <w:tcPr>
            <w:tcW w:w="6215" w:type="dxa"/>
            <w:tcBorders>
              <w:top w:val="nil"/>
              <w:bottom w:val="nil"/>
            </w:tcBorders>
          </w:tcPr>
          <w:p>
            <w:pPr>
              <w:pStyle w:val="TableParagraph"/>
              <w:spacing w:line="242" w:lineRule="exact"/>
              <w:ind w:left="100" w:right="105"/>
              <w:rPr>
                <w:sz w:val="22"/>
              </w:rPr>
            </w:pPr>
            <w:r>
              <w:rPr>
                <w:sz w:val="22"/>
              </w:rPr>
              <w:t>del ayuntamiento.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Peralta</w:t>
            </w:r>
          </w:p>
        </w:tc>
        <w:tc>
          <w:tcPr>
            <w:tcW w:w="1274" w:type="dxa"/>
            <w:tcBorders>
              <w:top w:val="nil"/>
              <w:bottom w:val="nil"/>
            </w:tcBorders>
          </w:tcPr>
          <w:p>
            <w:pPr/>
          </w:p>
        </w:tc>
        <w:tc>
          <w:tcPr>
            <w:tcW w:w="1366" w:type="dxa"/>
            <w:tcBorders>
              <w:top w:val="nil"/>
              <w:bottom w:val="nil"/>
              <w:right w:val="nil"/>
            </w:tcBorders>
          </w:tcPr>
          <w:p>
            <w:pPr>
              <w:pStyle w:val="TableParagraph"/>
              <w:spacing w:line="241" w:lineRule="exact"/>
              <w:rPr>
                <w:sz w:val="22"/>
              </w:rPr>
            </w:pPr>
            <w:r>
              <w:rPr>
                <w:sz w:val="22"/>
              </w:rPr>
              <w:t>Fomento</w:t>
            </w:r>
          </w:p>
        </w:tc>
        <w:tc>
          <w:tcPr>
            <w:tcW w:w="521"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366" w:type="dxa"/>
            <w:tcBorders>
              <w:top w:val="nil"/>
              <w:bottom w:val="nil"/>
              <w:right w:val="nil"/>
            </w:tcBorders>
          </w:tcPr>
          <w:p>
            <w:pPr>
              <w:pStyle w:val="TableParagraph"/>
              <w:spacing w:line="242" w:lineRule="exact"/>
              <w:rPr>
                <w:sz w:val="22"/>
              </w:rPr>
            </w:pPr>
            <w:r>
              <w:rPr>
                <w:sz w:val="22"/>
              </w:rPr>
              <w:t>Económico</w:t>
            </w:r>
          </w:p>
        </w:tc>
        <w:tc>
          <w:tcPr>
            <w:tcW w:w="521"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
        </w:tc>
      </w:tr>
      <w:tr>
        <w:trPr>
          <w:trHeight w:val="502" w:hRule="exact"/>
        </w:trPr>
        <w:tc>
          <w:tcPr>
            <w:tcW w:w="1385" w:type="dxa"/>
            <w:tcBorders>
              <w:top w:val="nil"/>
            </w:tcBorders>
          </w:tcPr>
          <w:p>
            <w:pPr>
              <w:pStyle w:val="TableParagraph"/>
              <w:spacing w:line="241" w:lineRule="exact"/>
              <w:ind w:right="127"/>
              <w:rPr>
                <w:sz w:val="22"/>
              </w:rPr>
            </w:pPr>
            <w:r>
              <w:rPr>
                <w:sz w:val="22"/>
              </w:rPr>
              <w:t>(27/I/2015)</w:t>
            </w:r>
          </w:p>
        </w:tc>
        <w:tc>
          <w:tcPr>
            <w:tcW w:w="1274" w:type="dxa"/>
            <w:tcBorders>
              <w:top w:val="nil"/>
            </w:tcBorders>
          </w:tcPr>
          <w:p>
            <w:pPr/>
          </w:p>
        </w:tc>
        <w:tc>
          <w:tcPr>
            <w:tcW w:w="1366" w:type="dxa"/>
            <w:tcBorders>
              <w:top w:val="nil"/>
              <w:right w:val="nil"/>
            </w:tcBorders>
          </w:tcPr>
          <w:p>
            <w:pPr/>
          </w:p>
        </w:tc>
        <w:tc>
          <w:tcPr>
            <w:tcW w:w="521" w:type="dxa"/>
            <w:tcBorders>
              <w:top w:val="nil"/>
              <w:left w:val="nil"/>
            </w:tcBorders>
          </w:tcPr>
          <w:p>
            <w:pPr/>
          </w:p>
        </w:tc>
        <w:tc>
          <w:tcPr>
            <w:tcW w:w="1289" w:type="dxa"/>
            <w:tcBorders>
              <w:top w:val="nil"/>
            </w:tcBorders>
          </w:tcPr>
          <w:p>
            <w:pPr/>
          </w:p>
        </w:tc>
        <w:tc>
          <w:tcPr>
            <w:tcW w:w="1174" w:type="dxa"/>
            <w:tcBorders>
              <w:top w:val="nil"/>
            </w:tcBorders>
          </w:tcPr>
          <w:p>
            <w:pPr/>
          </w:p>
        </w:tc>
        <w:tc>
          <w:tcPr>
            <w:tcW w:w="6215"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pStyle w:val="BodyText"/>
        <w:spacing w:before="6"/>
        <w:rPr>
          <w:sz w:val="20"/>
        </w:rPr>
      </w:pPr>
    </w:p>
    <w:p>
      <w:pPr>
        <w:pStyle w:val="Heading6"/>
        <w:spacing w:after="6"/>
        <w:ind w:left="3650" w:right="778"/>
      </w:pPr>
      <w:r>
        <w:rPr/>
        <w:t>Tabla 6.10. Municipio de Aculco (Autoridades Municipales)</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375"/>
        <w:gridCol w:w="1087"/>
        <w:gridCol w:w="2314"/>
        <w:gridCol w:w="3901"/>
      </w:tblGrid>
      <w:tr>
        <w:trPr>
          <w:trHeight w:val="290" w:hRule="exact"/>
        </w:trPr>
        <w:tc>
          <w:tcPr>
            <w:tcW w:w="13224" w:type="dxa"/>
            <w:gridSpan w:val="7"/>
            <w:shd w:val="clear" w:color="auto" w:fill="9BBA58"/>
          </w:tcPr>
          <w:p>
            <w:pPr>
              <w:pStyle w:val="TableParagraph"/>
              <w:spacing w:line="248" w:lineRule="exact"/>
              <w:ind w:left="4868" w:right="4870"/>
              <w:jc w:val="center"/>
              <w:rPr>
                <w:b/>
                <w:sz w:val="22"/>
              </w:rPr>
            </w:pPr>
            <w:r>
              <w:rPr>
                <w:b/>
                <w:sz w:val="22"/>
              </w:rPr>
              <w:t>ACULCO</w:t>
            </w:r>
          </w:p>
        </w:tc>
      </w:tr>
      <w:tr>
        <w:trPr>
          <w:trHeight w:val="526" w:hRule="exact"/>
        </w:trPr>
        <w:tc>
          <w:tcPr>
            <w:tcW w:w="4547" w:type="dxa"/>
            <w:gridSpan w:val="3"/>
            <w:vMerge w:val="restart"/>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8"/>
              <w:ind w:left="0"/>
              <w:rPr>
                <w:b/>
                <w:sz w:val="21"/>
              </w:rPr>
            </w:pPr>
          </w:p>
          <w:p>
            <w:pPr>
              <w:pStyle w:val="TableParagraph"/>
              <w:ind w:left="2695"/>
              <w:rPr>
                <w:b/>
                <w:sz w:val="22"/>
              </w:rPr>
            </w:pPr>
            <w:r>
              <w:rPr>
                <w:b/>
                <w:sz w:val="22"/>
              </w:rPr>
              <w:t>PRINCIPIOS DE GOBERNANZA</w:t>
            </w:r>
          </w:p>
        </w:tc>
      </w:tr>
      <w:tr>
        <w:trPr>
          <w:trHeight w:val="263"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Poder</w:t>
            </w:r>
          </w:p>
        </w:tc>
        <w:tc>
          <w:tcPr>
            <w:tcW w:w="3901" w:type="dxa"/>
            <w:shd w:val="clear" w:color="auto" w:fill="92CDDC"/>
          </w:tcPr>
          <w:p>
            <w:pPr>
              <w:pStyle w:val="TableParagraph"/>
              <w:spacing w:line="251" w:lineRule="exact"/>
              <w:rPr>
                <w:b/>
                <w:i/>
                <w:sz w:val="22"/>
              </w:rPr>
            </w:pPr>
            <w:r>
              <w:rPr>
                <w:b/>
                <w:i/>
                <w:sz w:val="22"/>
              </w:rPr>
              <w:t>Poder y cultura</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274" w:type="dxa"/>
            <w:tcBorders>
              <w:bottom w:val="nil"/>
            </w:tcBorders>
            <w:shd w:val="clear" w:color="auto" w:fill="F9BE8F"/>
          </w:tcPr>
          <w:p>
            <w:pPr>
              <w:pStyle w:val="TableParagraph"/>
              <w:spacing w:line="249" w:lineRule="exact"/>
              <w:ind w:left="100" w:right="98"/>
              <w:rPr>
                <w:b/>
                <w:sz w:val="22"/>
              </w:rPr>
            </w:pPr>
            <w:r>
              <w:rPr>
                <w:b/>
                <w:sz w:val="22"/>
              </w:rPr>
              <w:t>Nivel</w:t>
            </w:r>
          </w:p>
        </w:tc>
        <w:tc>
          <w:tcPr>
            <w:tcW w:w="1887" w:type="dxa"/>
            <w:tcBorders>
              <w:bottom w:val="nil"/>
            </w:tcBorders>
            <w:shd w:val="clear" w:color="auto" w:fill="F9BE8F"/>
          </w:tcPr>
          <w:p>
            <w:pPr>
              <w:pStyle w:val="TableParagraph"/>
              <w:spacing w:line="249" w:lineRule="exact"/>
              <w:rPr>
                <w:b/>
                <w:sz w:val="22"/>
              </w:rPr>
            </w:pPr>
            <w:r>
              <w:rPr>
                <w:b/>
                <w:sz w:val="22"/>
              </w:rPr>
              <w:t>Cargo Público</w:t>
            </w:r>
          </w:p>
        </w:tc>
        <w:tc>
          <w:tcPr>
            <w:tcW w:w="1375" w:type="dxa"/>
            <w:tcBorders>
              <w:bottom w:val="nil"/>
            </w:tcBorders>
            <w:shd w:val="clear" w:color="auto" w:fill="92CDDC"/>
          </w:tcPr>
          <w:p>
            <w:pPr>
              <w:pStyle w:val="TableParagraph"/>
              <w:spacing w:line="249" w:lineRule="exact"/>
              <w:rPr>
                <w:b/>
                <w:sz w:val="22"/>
              </w:rPr>
            </w:pPr>
            <w:r>
              <w:rPr>
                <w:b/>
                <w:sz w:val="22"/>
              </w:rPr>
              <w:t>¿Dónde</w:t>
            </w:r>
          </w:p>
        </w:tc>
        <w:tc>
          <w:tcPr>
            <w:tcW w:w="1087" w:type="dxa"/>
            <w:tcBorders>
              <w:bottom w:val="nil"/>
            </w:tcBorders>
            <w:shd w:val="clear" w:color="auto" w:fill="92CDDC"/>
          </w:tcPr>
          <w:p>
            <w:pPr>
              <w:pStyle w:val="TableParagraph"/>
              <w:spacing w:line="249" w:lineRule="exact"/>
              <w:ind w:left="100"/>
              <w:rPr>
                <w:b/>
                <w:sz w:val="22"/>
              </w:rPr>
            </w:pPr>
            <w:r>
              <w:rPr>
                <w:b/>
                <w:sz w:val="22"/>
              </w:rPr>
              <w:t>¿Dónde</w:t>
            </w:r>
          </w:p>
        </w:tc>
        <w:tc>
          <w:tcPr>
            <w:tcW w:w="2314" w:type="dxa"/>
            <w:tcBorders>
              <w:bottom w:val="nil"/>
            </w:tcBorders>
            <w:shd w:val="clear" w:color="auto" w:fill="92CDDC"/>
          </w:tcPr>
          <w:p>
            <w:pPr>
              <w:pStyle w:val="TableParagraph"/>
              <w:tabs>
                <w:tab w:pos="1225" w:val="left" w:leader="none"/>
                <w:tab w:pos="1883" w:val="left" w:leader="none"/>
              </w:tabs>
              <w:spacing w:line="249" w:lineRule="exact"/>
              <w:ind w:left="100"/>
              <w:rPr>
                <w:b/>
                <w:sz w:val="22"/>
              </w:rPr>
            </w:pPr>
            <w:r>
              <w:rPr>
                <w:b/>
                <w:sz w:val="22"/>
              </w:rPr>
              <w:t>¿Cuáles</w:t>
              <w:tab/>
              <w:t>son</w:t>
              <w:tab/>
              <w:t>los</w:t>
            </w:r>
          </w:p>
        </w:tc>
        <w:tc>
          <w:tcPr>
            <w:tcW w:w="3901" w:type="dxa"/>
            <w:tcBorders>
              <w:bottom w:val="nil"/>
            </w:tcBorders>
            <w:shd w:val="clear" w:color="auto" w:fill="92CDDC"/>
          </w:tcPr>
          <w:p>
            <w:pPr>
              <w:pStyle w:val="TableParagraph"/>
              <w:tabs>
                <w:tab w:pos="851" w:val="left" w:leader="none"/>
                <w:tab w:pos="1487" w:val="left" w:leader="none"/>
                <w:tab w:pos="2245" w:val="left" w:leader="none"/>
                <w:tab w:pos="3603" w:val="left" w:leader="none"/>
              </w:tabs>
              <w:spacing w:line="249" w:lineRule="exact"/>
              <w:rPr>
                <w:b/>
                <w:sz w:val="22"/>
              </w:rPr>
            </w:pPr>
            <w:r>
              <w:rPr>
                <w:b/>
                <w:sz w:val="22"/>
              </w:rPr>
              <w:t>¿Por</w:t>
              <w:tab/>
              <w:t>qué</w:t>
              <w:tab/>
              <w:t>tiene</w:t>
              <w:tab/>
              <w:t>problemas</w:t>
              <w:tab/>
              <w:t>la</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375" w:type="dxa"/>
            <w:tcBorders>
              <w:top w:val="nil"/>
              <w:bottom w:val="nil"/>
            </w:tcBorders>
            <w:shd w:val="clear" w:color="auto" w:fill="92CDDC"/>
          </w:tcPr>
          <w:p>
            <w:pPr>
              <w:pStyle w:val="TableParagraph"/>
              <w:spacing w:line="241" w:lineRule="exact"/>
              <w:rPr>
                <w:b/>
                <w:sz w:val="22"/>
              </w:rPr>
            </w:pPr>
            <w:r>
              <w:rPr>
                <w:b/>
                <w:sz w:val="22"/>
              </w:rPr>
              <w:t>nació?</w:t>
            </w:r>
          </w:p>
        </w:tc>
        <w:tc>
          <w:tcPr>
            <w:tcW w:w="1087" w:type="dxa"/>
            <w:tcBorders>
              <w:top w:val="nil"/>
              <w:bottom w:val="nil"/>
            </w:tcBorders>
            <w:shd w:val="clear" w:color="auto" w:fill="92CDDC"/>
          </w:tcPr>
          <w:p>
            <w:pPr>
              <w:pStyle w:val="TableParagraph"/>
              <w:spacing w:line="241" w:lineRule="exact"/>
              <w:ind w:left="100"/>
              <w:rPr>
                <w:b/>
                <w:sz w:val="22"/>
              </w:rPr>
            </w:pPr>
            <w:r>
              <w:rPr>
                <w:b/>
                <w:sz w:val="22"/>
              </w:rPr>
              <w:t>vive?</w:t>
            </w:r>
          </w:p>
        </w:tc>
        <w:tc>
          <w:tcPr>
            <w:tcW w:w="2314" w:type="dxa"/>
            <w:tcBorders>
              <w:top w:val="nil"/>
              <w:bottom w:val="nil"/>
            </w:tcBorders>
            <w:shd w:val="clear" w:color="auto" w:fill="92CDDC"/>
          </w:tcPr>
          <w:p>
            <w:pPr>
              <w:pStyle w:val="TableParagraph"/>
              <w:tabs>
                <w:tab w:pos="1811" w:val="left" w:leader="none"/>
              </w:tabs>
              <w:spacing w:line="241" w:lineRule="exact"/>
              <w:ind w:left="100"/>
              <w:rPr>
                <w:b/>
                <w:sz w:val="22"/>
              </w:rPr>
            </w:pPr>
            <w:r>
              <w:rPr>
                <w:b/>
                <w:sz w:val="22"/>
              </w:rPr>
              <w:t>problemas</w:t>
              <w:tab/>
              <w:t>que</w:t>
            </w:r>
          </w:p>
        </w:tc>
        <w:tc>
          <w:tcPr>
            <w:tcW w:w="3901" w:type="dxa"/>
            <w:tcBorders>
              <w:top w:val="nil"/>
              <w:bottom w:val="nil"/>
            </w:tcBorders>
            <w:shd w:val="clear" w:color="auto" w:fill="92CDDC"/>
          </w:tcPr>
          <w:p>
            <w:pPr>
              <w:pStyle w:val="TableParagraph"/>
              <w:spacing w:line="241" w:lineRule="exact"/>
              <w:rPr>
                <w:b/>
                <w:sz w:val="22"/>
              </w:rPr>
            </w:pPr>
            <w:r>
              <w:rPr>
                <w:b/>
                <w:sz w:val="22"/>
              </w:rPr>
              <w:t>laguna de Huapango?</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375" w:type="dxa"/>
            <w:tcBorders>
              <w:top w:val="nil"/>
              <w:bottom w:val="nil"/>
            </w:tcBorders>
            <w:shd w:val="clear" w:color="auto" w:fill="92CDDC"/>
          </w:tcPr>
          <w:p>
            <w:pPr/>
          </w:p>
        </w:tc>
        <w:tc>
          <w:tcPr>
            <w:tcW w:w="1087"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1" w:lineRule="exact"/>
              <w:ind w:left="100"/>
              <w:rPr>
                <w:b/>
                <w:sz w:val="22"/>
              </w:rPr>
            </w:pPr>
            <w:r>
              <w:rPr>
                <w:b/>
                <w:sz w:val="22"/>
              </w:rPr>
              <w:t>tiene  la  laguna   de</w:t>
            </w:r>
          </w:p>
        </w:tc>
        <w:tc>
          <w:tcPr>
            <w:tcW w:w="3901" w:type="dxa"/>
            <w:tcBorders>
              <w:top w:val="nil"/>
              <w:bottom w:val="nil"/>
            </w:tcBorders>
            <w:shd w:val="clear" w:color="auto" w:fill="92CDDC"/>
          </w:tcPr>
          <w:p>
            <w:pPr/>
          </w:p>
        </w:tc>
      </w:tr>
      <w:tr>
        <w:trPr>
          <w:trHeight w:val="251"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375" w:type="dxa"/>
            <w:tcBorders>
              <w:top w:val="nil"/>
            </w:tcBorders>
            <w:shd w:val="clear" w:color="auto" w:fill="92CDDC"/>
          </w:tcPr>
          <w:p>
            <w:pPr/>
          </w:p>
        </w:tc>
        <w:tc>
          <w:tcPr>
            <w:tcW w:w="1087" w:type="dxa"/>
            <w:tcBorders>
              <w:top w:val="nil"/>
            </w:tcBorders>
            <w:shd w:val="clear" w:color="auto" w:fill="92CDDC"/>
          </w:tcPr>
          <w:p>
            <w:pPr/>
          </w:p>
        </w:tc>
        <w:tc>
          <w:tcPr>
            <w:tcW w:w="2314" w:type="dxa"/>
            <w:tcBorders>
              <w:top w:val="nil"/>
            </w:tcBorders>
            <w:shd w:val="clear" w:color="auto" w:fill="92CDDC"/>
          </w:tcPr>
          <w:p>
            <w:pPr>
              <w:pStyle w:val="TableParagraph"/>
              <w:spacing w:line="242" w:lineRule="exact"/>
              <w:ind w:left="100"/>
              <w:rPr>
                <w:b/>
                <w:sz w:val="22"/>
              </w:rPr>
            </w:pPr>
            <w:r>
              <w:rPr>
                <w:b/>
                <w:sz w:val="22"/>
              </w:rPr>
              <w:t>Huapango?</w:t>
            </w:r>
          </w:p>
        </w:tc>
        <w:tc>
          <w:tcPr>
            <w:tcW w:w="3901"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Salvador</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spacing w:line="251" w:lineRule="exact"/>
              <w:rPr>
                <w:sz w:val="22"/>
              </w:rPr>
            </w:pPr>
            <w:r>
              <w:rPr>
                <w:sz w:val="22"/>
              </w:rPr>
              <w:t>Presidente</w:t>
            </w:r>
          </w:p>
        </w:tc>
        <w:tc>
          <w:tcPr>
            <w:tcW w:w="1375" w:type="dxa"/>
            <w:tcBorders>
              <w:bottom w:val="nil"/>
            </w:tcBorders>
          </w:tcPr>
          <w:p>
            <w:pPr>
              <w:pStyle w:val="TableParagraph"/>
              <w:spacing w:line="251" w:lineRule="exact"/>
              <w:rPr>
                <w:sz w:val="22"/>
              </w:rPr>
            </w:pPr>
            <w:r>
              <w:rPr>
                <w:sz w:val="22"/>
              </w:rPr>
              <w:t>Aculco</w:t>
            </w:r>
          </w:p>
        </w:tc>
        <w:tc>
          <w:tcPr>
            <w:tcW w:w="1087" w:type="dxa"/>
            <w:tcBorders>
              <w:bottom w:val="nil"/>
            </w:tcBorders>
          </w:tcPr>
          <w:p>
            <w:pPr>
              <w:pStyle w:val="TableParagraph"/>
              <w:spacing w:line="251" w:lineRule="exact"/>
              <w:ind w:left="100"/>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La contaminación.</w:t>
            </w:r>
          </w:p>
        </w:tc>
        <w:tc>
          <w:tcPr>
            <w:tcW w:w="3901" w:type="dxa"/>
            <w:tcBorders>
              <w:bottom w:val="nil"/>
            </w:tcBorders>
          </w:tcPr>
          <w:p>
            <w:pPr>
              <w:pStyle w:val="TableParagraph"/>
              <w:spacing w:line="251" w:lineRule="exact"/>
              <w:rPr>
                <w:sz w:val="22"/>
              </w:rPr>
            </w:pPr>
            <w:r>
              <w:rPr>
                <w:sz w:val="22"/>
              </w:rPr>
              <w:t>Porque  hay  descargas  de  drenajes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del Río</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Municipal</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tabs>
                <w:tab w:pos="678" w:val="left" w:leader="none"/>
                <w:tab w:pos="1290" w:val="left" w:leader="none"/>
                <w:tab w:pos="2929" w:val="left" w:leader="none"/>
                <w:tab w:pos="3505" w:val="left" w:leader="none"/>
              </w:tabs>
              <w:spacing w:line="242" w:lineRule="exact"/>
              <w:rPr>
                <w:sz w:val="22"/>
              </w:rPr>
            </w:pPr>
            <w:r>
              <w:rPr>
                <w:sz w:val="22"/>
              </w:rPr>
              <w:t>de</w:t>
              <w:tab/>
              <w:t>las</w:t>
              <w:tab/>
              <w:t>comunidades</w:t>
              <w:tab/>
              <w:t>de</w:t>
              <w:tab/>
              <w:t>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0" w:right="98"/>
              <w:rPr>
                <w:sz w:val="22"/>
              </w:rPr>
            </w:pPr>
            <w:r>
              <w:rPr>
                <w:sz w:val="22"/>
              </w:rPr>
              <w:t>Ciencias</w:t>
            </w: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municipios   de   Timilpan,   Jilotepec,</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Políticas y</w:t>
            </w: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como El Saltillo y Acambay.</w:t>
            </w:r>
          </w:p>
        </w:tc>
      </w:tr>
      <w:tr>
        <w:trPr>
          <w:trHeight w:val="252" w:hRule="exact"/>
        </w:trPr>
        <w:tc>
          <w:tcPr>
            <w:tcW w:w="1385" w:type="dxa"/>
            <w:tcBorders>
              <w:top w:val="nil"/>
              <w:bottom w:val="nil"/>
            </w:tcBorders>
          </w:tcPr>
          <w:p>
            <w:pPr>
              <w:pStyle w:val="TableParagraph"/>
              <w:spacing w:line="241" w:lineRule="exact"/>
              <w:rPr>
                <w:sz w:val="22"/>
              </w:rPr>
            </w:pPr>
            <w:r>
              <w:rPr>
                <w:sz w:val="22"/>
              </w:rPr>
              <w:t>(18/7/2014)</w:t>
            </w:r>
          </w:p>
        </w:tc>
        <w:tc>
          <w:tcPr>
            <w:tcW w:w="1274" w:type="dxa"/>
            <w:tcBorders>
              <w:top w:val="nil"/>
              <w:bottom w:val="nil"/>
            </w:tcBorders>
          </w:tcPr>
          <w:p>
            <w:pPr>
              <w:pStyle w:val="TableParagraph"/>
              <w:spacing w:line="241" w:lineRule="exact"/>
              <w:ind w:left="100"/>
              <w:rPr>
                <w:sz w:val="22"/>
              </w:rPr>
            </w:pPr>
            <w:r>
              <w:rPr>
                <w:sz w:val="22"/>
              </w:rPr>
              <w:t>Administra</w:t>
            </w: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ción</w:t>
            </w: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Style w:val="TableParagraph"/>
              <w:spacing w:line="242" w:lineRule="exact"/>
              <w:ind w:left="100" w:right="98"/>
              <w:rPr>
                <w:sz w:val="22"/>
              </w:rPr>
            </w:pPr>
            <w:r>
              <w:rPr>
                <w:sz w:val="22"/>
              </w:rPr>
              <w:t>Pública</w:t>
            </w:r>
          </w:p>
        </w:tc>
        <w:tc>
          <w:tcPr>
            <w:tcW w:w="1887" w:type="dxa"/>
            <w:tcBorders>
              <w:top w:val="nil"/>
            </w:tcBorders>
          </w:tcPr>
          <w:p>
            <w:pPr/>
          </w:p>
        </w:tc>
        <w:tc>
          <w:tcPr>
            <w:tcW w:w="1375" w:type="dxa"/>
            <w:tcBorders>
              <w:top w:val="nil"/>
            </w:tcBorders>
          </w:tcPr>
          <w:p>
            <w:pPr/>
          </w:p>
        </w:tc>
        <w:tc>
          <w:tcPr>
            <w:tcW w:w="1087" w:type="dxa"/>
            <w:tcBorders>
              <w:top w:val="nil"/>
            </w:tcBorders>
          </w:tcPr>
          <w:p>
            <w:pPr/>
          </w:p>
        </w:tc>
        <w:tc>
          <w:tcPr>
            <w:tcW w:w="2314" w:type="dxa"/>
            <w:tcBorders>
              <w:top w:val="nil"/>
            </w:tcBorders>
          </w:tcPr>
          <w:p>
            <w:pPr/>
          </w:p>
        </w:tc>
        <w:tc>
          <w:tcPr>
            <w:tcW w:w="3901" w:type="dxa"/>
            <w:tcBorders>
              <w:top w:val="nil"/>
            </w:tcBorders>
          </w:tcPr>
          <w:p>
            <w:pPr/>
          </w:p>
        </w:tc>
      </w:tr>
      <w:tr>
        <w:trPr>
          <w:trHeight w:val="268" w:hRule="exact"/>
        </w:trPr>
        <w:tc>
          <w:tcPr>
            <w:tcW w:w="1385" w:type="dxa"/>
            <w:tcBorders>
              <w:bottom w:val="nil"/>
            </w:tcBorders>
          </w:tcPr>
          <w:p>
            <w:pPr>
              <w:pStyle w:val="TableParagraph"/>
              <w:spacing w:line="251" w:lineRule="exact"/>
              <w:ind w:right="127"/>
              <w:rPr>
                <w:sz w:val="22"/>
              </w:rPr>
            </w:pPr>
            <w:r>
              <w:rPr>
                <w:sz w:val="22"/>
              </w:rPr>
              <w:t>Rosalba</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spacing w:line="251" w:lineRule="exact"/>
              <w:rPr>
                <w:sz w:val="22"/>
              </w:rPr>
            </w:pPr>
            <w:r>
              <w:rPr>
                <w:sz w:val="22"/>
              </w:rPr>
              <w:t>Tercer Regidor.</w:t>
            </w:r>
          </w:p>
        </w:tc>
        <w:tc>
          <w:tcPr>
            <w:tcW w:w="1375" w:type="dxa"/>
            <w:tcBorders>
              <w:bottom w:val="nil"/>
            </w:tcBorders>
          </w:tcPr>
          <w:p>
            <w:pPr>
              <w:pStyle w:val="TableParagraph"/>
              <w:spacing w:line="251" w:lineRule="exact"/>
              <w:rPr>
                <w:sz w:val="22"/>
              </w:rPr>
            </w:pPr>
            <w:r>
              <w:rPr>
                <w:sz w:val="22"/>
              </w:rPr>
              <w:t>Aculco</w:t>
            </w:r>
          </w:p>
        </w:tc>
        <w:tc>
          <w:tcPr>
            <w:tcW w:w="1087" w:type="dxa"/>
            <w:tcBorders>
              <w:bottom w:val="nil"/>
            </w:tcBorders>
          </w:tcPr>
          <w:p>
            <w:pPr>
              <w:pStyle w:val="TableParagraph"/>
              <w:spacing w:line="251" w:lineRule="exact"/>
              <w:ind w:left="100"/>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La contaminación.</w:t>
            </w:r>
          </w:p>
        </w:tc>
        <w:tc>
          <w:tcPr>
            <w:tcW w:w="3901" w:type="dxa"/>
            <w:tcBorders>
              <w:bottom w:val="nil"/>
            </w:tcBorders>
          </w:tcPr>
          <w:p>
            <w:pPr>
              <w:pStyle w:val="TableParagraph"/>
              <w:spacing w:line="251" w:lineRule="exact"/>
              <w:rPr>
                <w:sz w:val="22"/>
              </w:rPr>
            </w:pPr>
            <w:r>
              <w:rPr>
                <w:sz w:val="22"/>
              </w:rPr>
              <w:t>Porque arrojan las aguas negras de</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Peralta</w:t>
            </w:r>
          </w:p>
        </w:tc>
        <w:tc>
          <w:tcPr>
            <w:tcW w:w="1274" w:type="dxa"/>
            <w:tcBorders>
              <w:top w:val="nil"/>
              <w:bottom w:val="nil"/>
            </w:tcBorders>
          </w:tcPr>
          <w:p>
            <w:pPr>
              <w:pStyle w:val="TableParagraph"/>
              <w:spacing w:line="243" w:lineRule="exact"/>
              <w:ind w:left="100" w:right="98"/>
              <w:rPr>
                <w:sz w:val="22"/>
              </w:rPr>
            </w:pPr>
            <w:r>
              <w:rPr>
                <w:sz w:val="22"/>
              </w:rPr>
              <w:t>en</w:t>
            </w:r>
          </w:p>
        </w:tc>
        <w:tc>
          <w:tcPr>
            <w:tcW w:w="1887" w:type="dxa"/>
            <w:tcBorders>
              <w:top w:val="nil"/>
              <w:bottom w:val="nil"/>
            </w:tcBorders>
          </w:tcPr>
          <w:p>
            <w:pPr>
              <w:pStyle w:val="TableParagraph"/>
              <w:spacing w:line="243" w:lineRule="exact"/>
              <w:rPr>
                <w:sz w:val="22"/>
              </w:rPr>
            </w:pPr>
            <w:r>
              <w:rPr>
                <w:sz w:val="22"/>
              </w:rPr>
              <w:t>Encargada de</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3" w:lineRule="exact"/>
              <w:rPr>
                <w:sz w:val="22"/>
              </w:rPr>
            </w:pPr>
            <w:r>
              <w:rPr>
                <w:sz w:val="22"/>
              </w:rPr>
              <w:t>los hogares.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Tovar</w:t>
            </w:r>
          </w:p>
        </w:tc>
        <w:tc>
          <w:tcPr>
            <w:tcW w:w="1274" w:type="dxa"/>
            <w:tcBorders>
              <w:top w:val="nil"/>
              <w:bottom w:val="nil"/>
            </w:tcBorders>
          </w:tcPr>
          <w:p>
            <w:pPr>
              <w:pStyle w:val="TableParagraph"/>
              <w:spacing w:line="241" w:lineRule="exact"/>
              <w:ind w:left="100"/>
              <w:rPr>
                <w:sz w:val="22"/>
              </w:rPr>
            </w:pPr>
            <w:r>
              <w:rPr>
                <w:sz w:val="22"/>
              </w:rPr>
              <w:t>Educación</w:t>
            </w:r>
          </w:p>
        </w:tc>
        <w:tc>
          <w:tcPr>
            <w:tcW w:w="1887" w:type="dxa"/>
            <w:tcBorders>
              <w:top w:val="nil"/>
              <w:bottom w:val="nil"/>
            </w:tcBorders>
          </w:tcPr>
          <w:p>
            <w:pPr>
              <w:pStyle w:val="TableParagraph"/>
              <w:spacing w:line="241" w:lineRule="exact"/>
              <w:rPr>
                <w:sz w:val="22"/>
              </w:rPr>
            </w:pPr>
            <w:r>
              <w:rPr>
                <w:sz w:val="22"/>
              </w:rPr>
              <w:t>ecología y</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Asuntos</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rPr>
                <w:sz w:val="22"/>
              </w:rPr>
            </w:pPr>
            <w:r>
              <w:rPr>
                <w:sz w:val="22"/>
              </w:rPr>
              <w:t>(18/7/2014)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Indígenas</w:t>
            </w:r>
          </w:p>
        </w:tc>
        <w:tc>
          <w:tcPr>
            <w:tcW w:w="1375" w:type="dxa"/>
            <w:tcBorders>
              <w:top w:val="nil"/>
            </w:tcBorders>
          </w:tcPr>
          <w:p>
            <w:pPr/>
          </w:p>
        </w:tc>
        <w:tc>
          <w:tcPr>
            <w:tcW w:w="1087" w:type="dxa"/>
            <w:tcBorders>
              <w:top w:val="nil"/>
            </w:tcBorders>
          </w:tcPr>
          <w:p>
            <w:pPr/>
          </w:p>
        </w:tc>
        <w:tc>
          <w:tcPr>
            <w:tcW w:w="2314" w:type="dxa"/>
            <w:tcBorders>
              <w:top w:val="nil"/>
            </w:tcBorders>
          </w:tcPr>
          <w:p>
            <w:pPr/>
          </w:p>
        </w:tc>
        <w:tc>
          <w:tcPr>
            <w:tcW w:w="3901" w:type="dxa"/>
            <w:tcBorders>
              <w:top w:val="nil"/>
            </w:tcBorders>
          </w:tcPr>
          <w:p>
            <w:pPr/>
          </w:p>
        </w:tc>
      </w:tr>
    </w:tbl>
    <w:p>
      <w:pPr>
        <w:spacing w:after="0"/>
        <w:sectPr>
          <w:pgSz w:w="15840" w:h="12240" w:orient="landscape"/>
          <w:pgMar w:header="0" w:footer="943" w:top="1140" w:bottom="120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375"/>
        <w:gridCol w:w="1087"/>
        <w:gridCol w:w="2314"/>
        <w:gridCol w:w="3901"/>
      </w:tblGrid>
      <w:tr>
        <w:trPr>
          <w:trHeight w:val="266" w:hRule="exact"/>
        </w:trPr>
        <w:tc>
          <w:tcPr>
            <w:tcW w:w="1385" w:type="dxa"/>
            <w:tcBorders>
              <w:bottom w:val="nil"/>
            </w:tcBorders>
          </w:tcPr>
          <w:p>
            <w:pPr>
              <w:pStyle w:val="TableParagraph"/>
              <w:tabs>
                <w:tab w:pos="1029" w:val="left" w:leader="none"/>
              </w:tabs>
              <w:spacing w:line="251" w:lineRule="exact"/>
              <w:rPr>
                <w:sz w:val="22"/>
              </w:rPr>
            </w:pPr>
            <w:r>
              <w:rPr>
                <w:sz w:val="22"/>
              </w:rPr>
              <w:t>Yanet</w:t>
              <w:tab/>
              <w:t>de</w:t>
            </w:r>
          </w:p>
        </w:tc>
        <w:tc>
          <w:tcPr>
            <w:tcW w:w="1274" w:type="dxa"/>
            <w:tcBorders>
              <w:bottom w:val="nil"/>
            </w:tcBorders>
          </w:tcPr>
          <w:p>
            <w:pPr>
              <w:pStyle w:val="TableParagraph"/>
              <w:spacing w:line="251" w:lineRule="exact"/>
              <w:ind w:left="100"/>
              <w:rPr>
                <w:sz w:val="22"/>
              </w:rPr>
            </w:pPr>
            <w:r>
              <w:rPr>
                <w:sz w:val="22"/>
              </w:rPr>
              <w:t>Preparator</w:t>
            </w:r>
          </w:p>
        </w:tc>
        <w:tc>
          <w:tcPr>
            <w:tcW w:w="1887" w:type="dxa"/>
            <w:tcBorders>
              <w:bottom w:val="nil"/>
            </w:tcBorders>
          </w:tcPr>
          <w:p>
            <w:pPr>
              <w:pStyle w:val="TableParagraph"/>
              <w:spacing w:line="251" w:lineRule="exact"/>
              <w:rPr>
                <w:sz w:val="22"/>
              </w:rPr>
            </w:pPr>
            <w:r>
              <w:rPr>
                <w:sz w:val="22"/>
              </w:rPr>
              <w:t>Cuarto  Regidor.</w:t>
            </w:r>
          </w:p>
        </w:tc>
        <w:tc>
          <w:tcPr>
            <w:tcW w:w="1375" w:type="dxa"/>
            <w:tcBorders>
              <w:bottom w:val="nil"/>
            </w:tcBorders>
          </w:tcPr>
          <w:p>
            <w:pPr>
              <w:pStyle w:val="TableParagraph"/>
              <w:spacing w:line="251" w:lineRule="exact"/>
              <w:ind w:left="247" w:right="247"/>
              <w:jc w:val="center"/>
              <w:rPr>
                <w:sz w:val="22"/>
              </w:rPr>
            </w:pPr>
            <w:r>
              <w:rPr>
                <w:sz w:val="22"/>
              </w:rPr>
              <w:t>Timilpan</w:t>
            </w:r>
          </w:p>
        </w:tc>
        <w:tc>
          <w:tcPr>
            <w:tcW w:w="1087" w:type="dxa"/>
            <w:tcBorders>
              <w:bottom w:val="nil"/>
            </w:tcBorders>
          </w:tcPr>
          <w:p>
            <w:pPr>
              <w:pStyle w:val="TableParagraph"/>
              <w:spacing w:line="251" w:lineRule="exact"/>
              <w:ind w:left="0" w:right="208"/>
              <w:jc w:val="righ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La contaminación.</w:t>
            </w:r>
          </w:p>
        </w:tc>
        <w:tc>
          <w:tcPr>
            <w:tcW w:w="3901" w:type="dxa"/>
            <w:tcBorders>
              <w:bottom w:val="nil"/>
            </w:tcBorders>
          </w:tcPr>
          <w:p>
            <w:pPr>
              <w:pStyle w:val="TableParagraph"/>
              <w:spacing w:line="251" w:lineRule="exact"/>
              <w:rPr>
                <w:sz w:val="22"/>
              </w:rPr>
            </w:pPr>
            <w:r>
              <w:rPr>
                <w:sz w:val="22"/>
              </w:rPr>
              <w:t>Porque   hay   descargas   de   aguas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Jesús</w:t>
            </w:r>
          </w:p>
        </w:tc>
        <w:tc>
          <w:tcPr>
            <w:tcW w:w="1274" w:type="dxa"/>
            <w:tcBorders>
              <w:top w:val="nil"/>
              <w:bottom w:val="nil"/>
            </w:tcBorders>
          </w:tcPr>
          <w:p>
            <w:pPr>
              <w:pStyle w:val="TableParagraph"/>
              <w:spacing w:line="241" w:lineRule="exact"/>
              <w:ind w:left="100" w:right="98"/>
              <w:rPr>
                <w:sz w:val="22"/>
              </w:rPr>
            </w:pPr>
            <w:r>
              <w:rPr>
                <w:sz w:val="22"/>
              </w:rPr>
              <w:t>ia</w:t>
            </w:r>
          </w:p>
        </w:tc>
        <w:tc>
          <w:tcPr>
            <w:tcW w:w="1887" w:type="dxa"/>
            <w:tcBorders>
              <w:top w:val="nil"/>
              <w:bottom w:val="nil"/>
            </w:tcBorders>
          </w:tcPr>
          <w:p>
            <w:pPr>
              <w:pStyle w:val="TableParagraph"/>
              <w:tabs>
                <w:tab w:pos="1528" w:val="left" w:leader="none"/>
              </w:tabs>
              <w:spacing w:line="241" w:lineRule="exact"/>
              <w:rPr>
                <w:sz w:val="22"/>
              </w:rPr>
            </w:pPr>
            <w:r>
              <w:rPr>
                <w:sz w:val="22"/>
              </w:rPr>
              <w:t>Encargada</w:t>
              <w:tab/>
              <w:t>de</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residuales.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Carmen</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Turismo,</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tabs>
                <w:tab w:pos="875" w:val="left" w:leader="none"/>
                <w:tab w:pos="1957" w:val="left" w:leader="none"/>
              </w:tabs>
              <w:spacing w:line="241" w:lineRule="exact"/>
              <w:ind w:left="100"/>
              <w:rPr>
                <w:sz w:val="22"/>
              </w:rPr>
            </w:pPr>
            <w:r>
              <w:rPr>
                <w:sz w:val="22"/>
              </w:rPr>
              <w:t>La</w:t>
              <w:tab/>
              <w:t>gente</w:t>
              <w:tab/>
              <w:t>de</w:t>
            </w:r>
          </w:p>
        </w:tc>
        <w:tc>
          <w:tcPr>
            <w:tcW w:w="3901" w:type="dxa"/>
            <w:tcBorders>
              <w:top w:val="nil"/>
              <w:bottom w:val="nil"/>
            </w:tcBorders>
          </w:tcPr>
          <w:p>
            <w:pPr>
              <w:pStyle w:val="TableParagraph"/>
              <w:spacing w:line="241" w:lineRule="exact"/>
              <w:rPr>
                <w:sz w:val="22"/>
              </w:rPr>
            </w:pPr>
            <w:r>
              <w:rPr>
                <w:sz w:val="22"/>
              </w:rPr>
              <w:t>Porque dicen que el beneficio no   </w:t>
            </w:r>
            <w:r>
              <w:rPr>
                <w:spacing w:val="52"/>
                <w:sz w:val="22"/>
              </w:rPr>
              <w:t> </w:t>
            </w:r>
            <w:r>
              <w:rPr>
                <w:sz w:val="22"/>
              </w:rPr>
              <w:t>lo</w:t>
            </w:r>
          </w:p>
        </w:tc>
      </w:tr>
      <w:tr>
        <w:trPr>
          <w:trHeight w:val="253" w:hRule="exact"/>
        </w:trPr>
        <w:tc>
          <w:tcPr>
            <w:tcW w:w="1385" w:type="dxa"/>
            <w:tcBorders>
              <w:top w:val="nil"/>
              <w:bottom w:val="nil"/>
            </w:tcBorders>
          </w:tcPr>
          <w:p>
            <w:pPr>
              <w:pStyle w:val="TableParagraph"/>
              <w:spacing w:line="242" w:lineRule="exact"/>
              <w:rPr>
                <w:sz w:val="22"/>
              </w:rPr>
            </w:pPr>
            <w:r>
              <w:rPr>
                <w:sz w:val="22"/>
              </w:rPr>
              <w:t>(18/7/2014)</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Económico,</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alrededor   no  quiere</w:t>
            </w:r>
          </w:p>
        </w:tc>
        <w:tc>
          <w:tcPr>
            <w:tcW w:w="3901" w:type="dxa"/>
            <w:tcBorders>
              <w:top w:val="nil"/>
              <w:bottom w:val="nil"/>
            </w:tcBorders>
          </w:tcPr>
          <w:p>
            <w:pPr>
              <w:pStyle w:val="TableParagraph"/>
              <w:spacing w:line="242" w:lineRule="exact"/>
              <w:rPr>
                <w:sz w:val="22"/>
              </w:rPr>
            </w:pPr>
            <w:r>
              <w:rPr>
                <w:sz w:val="22"/>
              </w:rPr>
              <w:t>obtienen ellos.</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2" w:val="left" w:leader="none"/>
              </w:tabs>
              <w:spacing w:line="241" w:lineRule="exact"/>
              <w:rPr>
                <w:sz w:val="22"/>
              </w:rPr>
            </w:pPr>
            <w:r>
              <w:rPr>
                <w:sz w:val="22"/>
              </w:rPr>
              <w:t>Mercados</w:t>
              <w:tab/>
              <w:t>y</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tabs>
                <w:tab w:pos="1760" w:val="left" w:leader="none"/>
              </w:tabs>
              <w:spacing w:line="241" w:lineRule="exact"/>
              <w:ind w:left="100"/>
              <w:rPr>
                <w:sz w:val="22"/>
              </w:rPr>
            </w:pPr>
            <w:r>
              <w:rPr>
                <w:sz w:val="22"/>
              </w:rPr>
              <w:t>participar</w:t>
              <w:tab/>
              <w:t>para</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Tianguis</w:t>
            </w:r>
          </w:p>
        </w:tc>
        <w:tc>
          <w:tcPr>
            <w:tcW w:w="1375" w:type="dxa"/>
            <w:tcBorders>
              <w:top w:val="nil"/>
            </w:tcBorders>
          </w:tcPr>
          <w:p>
            <w:pPr/>
          </w:p>
        </w:tc>
        <w:tc>
          <w:tcPr>
            <w:tcW w:w="1087" w:type="dxa"/>
            <w:tcBorders>
              <w:top w:val="nil"/>
            </w:tcBorders>
          </w:tcPr>
          <w:p>
            <w:pPr/>
          </w:p>
        </w:tc>
        <w:tc>
          <w:tcPr>
            <w:tcW w:w="2314" w:type="dxa"/>
            <w:tcBorders>
              <w:top w:val="nil"/>
            </w:tcBorders>
          </w:tcPr>
          <w:p>
            <w:pPr>
              <w:pStyle w:val="TableParagraph"/>
              <w:spacing w:line="241" w:lineRule="exact"/>
              <w:ind w:left="100"/>
              <w:rPr>
                <w:sz w:val="22"/>
              </w:rPr>
            </w:pPr>
            <w:r>
              <w:rPr>
                <w:sz w:val="22"/>
              </w:rPr>
              <w:t>limpiarla.</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rPr>
                <w:sz w:val="22"/>
              </w:rPr>
            </w:pPr>
            <w:r>
              <w:rPr>
                <w:sz w:val="22"/>
              </w:rPr>
              <w:t>Edgar Nava</w:t>
            </w:r>
          </w:p>
        </w:tc>
        <w:tc>
          <w:tcPr>
            <w:tcW w:w="1274" w:type="dxa"/>
            <w:tcBorders>
              <w:bottom w:val="nil"/>
            </w:tcBorders>
          </w:tcPr>
          <w:p>
            <w:pPr>
              <w:pStyle w:val="TableParagraph"/>
              <w:spacing w:line="251" w:lineRule="exact"/>
              <w:ind w:left="105"/>
              <w:rPr>
                <w:sz w:val="22"/>
              </w:rPr>
            </w:pPr>
            <w:r>
              <w:rPr>
                <w:sz w:val="22"/>
              </w:rPr>
              <w:t>Licenciado</w:t>
            </w: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375" w:type="dxa"/>
            <w:tcBorders>
              <w:bottom w:val="nil"/>
            </w:tcBorders>
          </w:tcPr>
          <w:p>
            <w:pPr>
              <w:pStyle w:val="TableParagraph"/>
              <w:spacing w:line="251" w:lineRule="exact"/>
              <w:ind w:left="247" w:right="244"/>
              <w:jc w:val="center"/>
              <w:rPr>
                <w:sz w:val="22"/>
              </w:rPr>
            </w:pPr>
            <w:r>
              <w:rPr>
                <w:sz w:val="22"/>
              </w:rPr>
              <w:t>Toluca</w:t>
            </w:r>
          </w:p>
        </w:tc>
        <w:tc>
          <w:tcPr>
            <w:tcW w:w="1087" w:type="dxa"/>
            <w:tcBorders>
              <w:bottom w:val="nil"/>
            </w:tcBorders>
          </w:tcPr>
          <w:p>
            <w:pPr>
              <w:pStyle w:val="TableParagraph"/>
              <w:spacing w:line="251" w:lineRule="exact"/>
              <w:ind w:left="0" w:right="208"/>
              <w:jc w:val="righ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La sequía.</w:t>
            </w:r>
          </w:p>
        </w:tc>
        <w:tc>
          <w:tcPr>
            <w:tcW w:w="3901" w:type="dxa"/>
            <w:tcBorders>
              <w:bottom w:val="nil"/>
            </w:tcBorders>
          </w:tcPr>
          <w:p>
            <w:pPr>
              <w:pStyle w:val="TableParagraph"/>
              <w:spacing w:line="251" w:lineRule="exact"/>
              <w:rPr>
                <w:sz w:val="22"/>
              </w:rPr>
            </w:pPr>
            <w:r>
              <w:rPr>
                <w:sz w:val="22"/>
              </w:rPr>
              <w:t>Porque hay disminución de captación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Hidalgo</w:t>
            </w:r>
          </w:p>
        </w:tc>
        <w:tc>
          <w:tcPr>
            <w:tcW w:w="1274" w:type="dxa"/>
            <w:tcBorders>
              <w:top w:val="nil"/>
              <w:bottom w:val="nil"/>
            </w:tcBorders>
          </w:tcPr>
          <w:p>
            <w:pPr>
              <w:pStyle w:val="TableParagraph"/>
              <w:spacing w:line="241" w:lineRule="exact"/>
              <w:ind w:left="105" w:right="105"/>
              <w:jc w:val="center"/>
              <w:rPr>
                <w:sz w:val="22"/>
              </w:rPr>
            </w:pPr>
            <w:r>
              <w:rPr>
                <w:sz w:val="22"/>
              </w:rPr>
              <w:t>en</w:t>
            </w:r>
          </w:p>
        </w:tc>
        <w:tc>
          <w:tcPr>
            <w:tcW w:w="1887" w:type="dxa"/>
            <w:tcBorders>
              <w:top w:val="nil"/>
              <w:bottom w:val="nil"/>
            </w:tcBorders>
          </w:tcPr>
          <w:p>
            <w:pPr>
              <w:pStyle w:val="TableParagraph"/>
              <w:tabs>
                <w:tab w:pos="1660" w:val="left" w:leader="none"/>
              </w:tabs>
              <w:spacing w:line="241" w:lineRule="exact"/>
              <w:rPr>
                <w:sz w:val="22"/>
              </w:rPr>
            </w:pPr>
            <w:r>
              <w:rPr>
                <w:sz w:val="22"/>
              </w:rPr>
              <w:t>Ecología</w:t>
              <w:tab/>
              <w:t>y</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de agua, por lo cual las   </w:t>
            </w:r>
            <w:r>
              <w:rPr>
                <w:spacing w:val="54"/>
                <w:sz w:val="22"/>
              </w:rPr>
              <w:t> </w:t>
            </w:r>
            <w:r>
              <w:rPr>
                <w:sz w:val="22"/>
              </w:rPr>
              <w:t>actividades</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213" w:right="98"/>
              <w:rPr>
                <w:sz w:val="22"/>
              </w:rPr>
            </w:pPr>
            <w:r>
              <w:rPr>
                <w:sz w:val="22"/>
              </w:rPr>
              <w:t>Derecho</w:t>
            </w:r>
          </w:p>
        </w:tc>
        <w:tc>
          <w:tcPr>
            <w:tcW w:w="1887" w:type="dxa"/>
            <w:tcBorders>
              <w:top w:val="nil"/>
              <w:bottom w:val="nil"/>
            </w:tcBorders>
          </w:tcPr>
          <w:p>
            <w:pPr>
              <w:pStyle w:val="TableParagraph"/>
              <w:spacing w:line="242" w:lineRule="exact"/>
              <w:rPr>
                <w:sz w:val="22"/>
              </w:rPr>
            </w:pPr>
            <w:r>
              <w:rPr>
                <w:sz w:val="22"/>
              </w:rPr>
              <w:t>Medio Ambiente</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agropecuarias  de  la  región  se </w:t>
            </w:r>
            <w:r>
              <w:rPr>
                <w:spacing w:val="56"/>
                <w:sz w:val="22"/>
              </w:rPr>
              <w:t> </w:t>
            </w:r>
            <w:r>
              <w:rPr>
                <w:sz w:val="22"/>
              </w:rPr>
              <w:t>ven</w:t>
            </w:r>
          </w:p>
        </w:tc>
      </w:tr>
      <w:tr>
        <w:trPr>
          <w:trHeight w:val="379" w:hRule="exact"/>
        </w:trPr>
        <w:tc>
          <w:tcPr>
            <w:tcW w:w="1385" w:type="dxa"/>
            <w:tcBorders>
              <w:top w:val="nil"/>
              <w:bottom w:val="nil"/>
            </w:tcBorders>
          </w:tcPr>
          <w:p>
            <w:pPr>
              <w:pStyle w:val="TableParagraph"/>
              <w:spacing w:line="241" w:lineRule="exact"/>
              <w:ind w:right="127"/>
              <w:rPr>
                <w:sz w:val="22"/>
              </w:rPr>
            </w:pPr>
            <w:r>
              <w:rPr>
                <w:sz w:val="22"/>
              </w:rPr>
              <w:t>(21/I/2014)</w:t>
            </w: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severamente afectadas.</w:t>
            </w:r>
          </w:p>
        </w:tc>
      </w:tr>
      <w:tr>
        <w:trPr>
          <w:trHeight w:val="379"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tabs>
                <w:tab w:pos="1353" w:val="left" w:leader="none"/>
              </w:tabs>
              <w:spacing w:before="115"/>
              <w:ind w:left="100"/>
              <w:rPr>
                <w:sz w:val="22"/>
              </w:rPr>
            </w:pPr>
            <w:r>
              <w:rPr>
                <w:sz w:val="22"/>
              </w:rPr>
              <w:t>Hay</w:t>
              <w:tab/>
              <w:t>desagüe</w:t>
            </w:r>
          </w:p>
        </w:tc>
        <w:tc>
          <w:tcPr>
            <w:tcW w:w="3901" w:type="dxa"/>
            <w:tcBorders>
              <w:top w:val="nil"/>
              <w:bottom w:val="nil"/>
            </w:tcBorders>
          </w:tcPr>
          <w:p>
            <w:pPr>
              <w:pStyle w:val="TableParagraph"/>
              <w:spacing w:before="115"/>
              <w:rPr>
                <w:sz w:val="22"/>
              </w:rPr>
            </w:pPr>
            <w:r>
              <w:rPr>
                <w:sz w:val="22"/>
              </w:rPr>
              <w:t>Porque  la  planta  de  tratamiento</w:t>
            </w:r>
            <w:r>
              <w:rPr>
                <w:spacing w:val="55"/>
                <w:sz w:val="22"/>
              </w:rPr>
              <w:t> </w:t>
            </w:r>
            <w:r>
              <w:rPr>
                <w:sz w:val="22"/>
              </w:rPr>
              <w:t>de</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tabs>
                <w:tab w:pos="1401" w:val="left" w:leader="none"/>
                <w:tab w:pos="1955" w:val="left" w:leader="none"/>
              </w:tabs>
              <w:spacing w:line="241" w:lineRule="exact"/>
              <w:ind w:left="100"/>
              <w:rPr>
                <w:sz w:val="22"/>
              </w:rPr>
            </w:pPr>
            <w:r>
              <w:rPr>
                <w:sz w:val="22"/>
              </w:rPr>
              <w:t>excesivo</w:t>
              <w:tab/>
              <w:t>y</w:t>
              <w:tab/>
              <w:t>no</w:t>
            </w:r>
          </w:p>
        </w:tc>
        <w:tc>
          <w:tcPr>
            <w:tcW w:w="3901" w:type="dxa"/>
            <w:tcBorders>
              <w:top w:val="nil"/>
              <w:bottom w:val="nil"/>
            </w:tcBorders>
          </w:tcPr>
          <w:p>
            <w:pPr>
              <w:pStyle w:val="TableParagraph"/>
              <w:spacing w:line="241" w:lineRule="exact"/>
              <w:rPr>
                <w:sz w:val="22"/>
              </w:rPr>
            </w:pPr>
            <w:r>
              <w:rPr>
                <w:sz w:val="22"/>
              </w:rPr>
              <w:t>aguas  residuales  del  municipio  </w:t>
            </w:r>
            <w:r>
              <w:rPr>
                <w:spacing w:val="54"/>
                <w:sz w:val="22"/>
              </w:rPr>
              <w:t> </w:t>
            </w:r>
            <w:r>
              <w:rPr>
                <w:sz w:val="22"/>
              </w:rPr>
              <w:t>de</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regulado.</w:t>
            </w:r>
          </w:p>
        </w:tc>
        <w:tc>
          <w:tcPr>
            <w:tcW w:w="3901" w:type="dxa"/>
            <w:tcBorders>
              <w:top w:val="nil"/>
              <w:bottom w:val="nil"/>
            </w:tcBorders>
          </w:tcPr>
          <w:p>
            <w:pPr>
              <w:pStyle w:val="TableParagraph"/>
              <w:spacing w:line="242" w:lineRule="exact"/>
              <w:rPr>
                <w:sz w:val="22"/>
              </w:rPr>
            </w:pPr>
            <w:r>
              <w:rPr>
                <w:sz w:val="22"/>
              </w:rPr>
              <w:t>Timilpan se encuentra asentada a</w:t>
            </w:r>
            <w:r>
              <w:rPr>
                <w:spacing w:val="53"/>
                <w:sz w:val="22"/>
              </w:rPr>
              <w:t> </w:t>
            </w:r>
            <w:r>
              <w:rPr>
                <w:sz w:val="22"/>
              </w:rPr>
              <w:t>un</w:t>
            </w: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375" w:type="dxa"/>
            <w:tcBorders>
              <w:top w:val="nil"/>
            </w:tcBorders>
          </w:tcPr>
          <w:p>
            <w:pPr/>
          </w:p>
        </w:tc>
        <w:tc>
          <w:tcPr>
            <w:tcW w:w="1087" w:type="dxa"/>
            <w:tcBorders>
              <w:top w:val="nil"/>
            </w:tcBorders>
          </w:tcPr>
          <w:p>
            <w:pPr/>
          </w:p>
        </w:tc>
        <w:tc>
          <w:tcPr>
            <w:tcW w:w="2314" w:type="dxa"/>
            <w:tcBorders>
              <w:top w:val="nil"/>
            </w:tcBorders>
          </w:tcPr>
          <w:p>
            <w:pPr/>
          </w:p>
        </w:tc>
        <w:tc>
          <w:tcPr>
            <w:tcW w:w="3901" w:type="dxa"/>
            <w:tcBorders>
              <w:top w:val="nil"/>
            </w:tcBorders>
          </w:tcPr>
          <w:p>
            <w:pPr>
              <w:pStyle w:val="TableParagraph"/>
              <w:spacing w:line="241" w:lineRule="exact"/>
              <w:rPr>
                <w:sz w:val="22"/>
              </w:rPr>
            </w:pPr>
            <w:r>
              <w:rPr>
                <w:sz w:val="22"/>
              </w:rPr>
              <w:t>costado de la laguna de Huapango.</w:t>
            </w:r>
          </w:p>
        </w:tc>
      </w:tr>
      <w:tr>
        <w:trPr>
          <w:trHeight w:val="266"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Style w:val="TableParagraph"/>
              <w:spacing w:line="251" w:lineRule="exact"/>
              <w:ind w:left="170" w:right="98"/>
              <w:rPr>
                <w:sz w:val="22"/>
              </w:rPr>
            </w:pPr>
            <w:r>
              <w:rPr>
                <w:sz w:val="22"/>
              </w:rPr>
              <w:t>Ingeniero</w:t>
            </w: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375" w:type="dxa"/>
            <w:tcBorders>
              <w:bottom w:val="nil"/>
            </w:tcBorders>
          </w:tcPr>
          <w:p>
            <w:pPr>
              <w:pStyle w:val="TableParagraph"/>
              <w:spacing w:line="251" w:lineRule="exact"/>
              <w:ind w:left="247" w:right="247"/>
              <w:jc w:val="center"/>
              <w:rPr>
                <w:sz w:val="22"/>
              </w:rPr>
            </w:pPr>
            <w:r>
              <w:rPr>
                <w:sz w:val="22"/>
              </w:rPr>
              <w:t>Aculco</w:t>
            </w:r>
          </w:p>
        </w:tc>
        <w:tc>
          <w:tcPr>
            <w:tcW w:w="1087" w:type="dxa"/>
            <w:tcBorders>
              <w:bottom w:val="nil"/>
            </w:tcBorders>
          </w:tcPr>
          <w:p>
            <w:pPr>
              <w:pStyle w:val="TableParagraph"/>
              <w:spacing w:line="251" w:lineRule="exact"/>
              <w:ind w:left="100"/>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La contaminación.</w:t>
            </w:r>
          </w:p>
        </w:tc>
        <w:tc>
          <w:tcPr>
            <w:tcW w:w="3901" w:type="dxa"/>
            <w:tcBorders>
              <w:bottom w:val="nil"/>
            </w:tcBorders>
          </w:tcPr>
          <w:p>
            <w:pPr>
              <w:pStyle w:val="TableParagraph"/>
              <w:spacing w:line="251" w:lineRule="exact"/>
              <w:rPr>
                <w:sz w:val="22"/>
              </w:rPr>
            </w:pPr>
            <w:r>
              <w:rPr>
                <w:sz w:val="22"/>
              </w:rPr>
              <w:t>Porque ya se ha trabajado con el lirio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Andrade</w:t>
            </w:r>
          </w:p>
        </w:tc>
        <w:tc>
          <w:tcPr>
            <w:tcW w:w="1274" w:type="dxa"/>
            <w:tcBorders>
              <w:top w:val="nil"/>
              <w:bottom w:val="nil"/>
            </w:tcBorders>
          </w:tcPr>
          <w:p>
            <w:pPr>
              <w:pStyle w:val="TableParagraph"/>
              <w:spacing w:line="241" w:lineRule="exact"/>
              <w:ind w:left="122"/>
              <w:rPr>
                <w:sz w:val="22"/>
              </w:rPr>
            </w:pPr>
            <w:r>
              <w:rPr>
                <w:sz w:val="22"/>
              </w:rPr>
              <w:t>Agrónomo</w:t>
            </w:r>
          </w:p>
        </w:tc>
        <w:tc>
          <w:tcPr>
            <w:tcW w:w="1887" w:type="dxa"/>
            <w:tcBorders>
              <w:top w:val="nil"/>
              <w:bottom w:val="nil"/>
            </w:tcBorders>
          </w:tcPr>
          <w:p>
            <w:pPr>
              <w:pStyle w:val="TableParagraph"/>
              <w:spacing w:line="241" w:lineRule="exact"/>
              <w:rPr>
                <w:sz w:val="22"/>
              </w:rPr>
            </w:pPr>
            <w:r>
              <w:rPr>
                <w:sz w:val="22"/>
              </w:rPr>
              <w:t>Desarrollo</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acuático  en  la  compuerta  y  con  el</w:t>
            </w:r>
          </w:p>
        </w:tc>
      </w:tr>
      <w:tr>
        <w:trPr>
          <w:trHeight w:val="379" w:hRule="exact"/>
        </w:trPr>
        <w:tc>
          <w:tcPr>
            <w:tcW w:w="1385" w:type="dxa"/>
            <w:tcBorders>
              <w:top w:val="nil"/>
              <w:bottom w:val="nil"/>
            </w:tcBorders>
          </w:tcPr>
          <w:p>
            <w:pPr>
              <w:pStyle w:val="TableParagraph"/>
              <w:spacing w:line="243" w:lineRule="exact"/>
              <w:ind w:right="127"/>
              <w:rPr>
                <w:sz w:val="22"/>
              </w:rPr>
            </w:pPr>
            <w:r>
              <w:rPr>
                <w:sz w:val="22"/>
              </w:rPr>
              <w:t>Lugo</w:t>
            </w:r>
          </w:p>
        </w:tc>
        <w:tc>
          <w:tcPr>
            <w:tcW w:w="1274" w:type="dxa"/>
            <w:tcBorders>
              <w:top w:val="nil"/>
              <w:bottom w:val="nil"/>
            </w:tcBorders>
          </w:tcPr>
          <w:p>
            <w:pPr/>
          </w:p>
        </w:tc>
        <w:tc>
          <w:tcPr>
            <w:tcW w:w="1887" w:type="dxa"/>
            <w:tcBorders>
              <w:top w:val="nil"/>
              <w:bottom w:val="nil"/>
            </w:tcBorders>
          </w:tcPr>
          <w:p>
            <w:pPr>
              <w:pStyle w:val="TableParagraph"/>
              <w:spacing w:line="243" w:lineRule="exact"/>
              <w:rPr>
                <w:sz w:val="22"/>
              </w:rPr>
            </w:pPr>
            <w:r>
              <w:rPr>
                <w:sz w:val="22"/>
              </w:rPr>
              <w:t>Agropecuario</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3" w:lineRule="exact"/>
              <w:rPr>
                <w:sz w:val="22"/>
              </w:rPr>
            </w:pPr>
            <w:r>
              <w:rPr>
                <w:sz w:val="22"/>
              </w:rPr>
              <w:t>drenaje de los lugares aledaños.</w:t>
            </w:r>
          </w:p>
        </w:tc>
      </w:tr>
      <w:tr>
        <w:trPr>
          <w:trHeight w:val="376" w:hRule="exact"/>
        </w:trPr>
        <w:tc>
          <w:tcPr>
            <w:tcW w:w="1385" w:type="dxa"/>
            <w:tcBorders>
              <w:top w:val="nil"/>
            </w:tcBorders>
          </w:tcPr>
          <w:p>
            <w:pPr>
              <w:pStyle w:val="TableParagraph"/>
              <w:spacing w:before="114"/>
              <w:ind w:left="155"/>
              <w:rPr>
                <w:sz w:val="22"/>
              </w:rPr>
            </w:pPr>
            <w:r>
              <w:rPr>
                <w:sz w:val="22"/>
              </w:rPr>
              <w:t>(31/I/2015)</w:t>
            </w:r>
          </w:p>
        </w:tc>
        <w:tc>
          <w:tcPr>
            <w:tcW w:w="1274" w:type="dxa"/>
            <w:tcBorders>
              <w:top w:val="nil"/>
            </w:tcBorders>
          </w:tcPr>
          <w:p>
            <w:pPr/>
          </w:p>
        </w:tc>
        <w:tc>
          <w:tcPr>
            <w:tcW w:w="1887" w:type="dxa"/>
            <w:tcBorders>
              <w:top w:val="nil"/>
            </w:tcBorders>
          </w:tcPr>
          <w:p>
            <w:pPr/>
          </w:p>
        </w:tc>
        <w:tc>
          <w:tcPr>
            <w:tcW w:w="1375" w:type="dxa"/>
            <w:tcBorders>
              <w:top w:val="nil"/>
            </w:tcBorders>
          </w:tcPr>
          <w:p>
            <w:pPr/>
          </w:p>
        </w:tc>
        <w:tc>
          <w:tcPr>
            <w:tcW w:w="1087" w:type="dxa"/>
            <w:tcBorders>
              <w:top w:val="nil"/>
            </w:tcBorders>
          </w:tcPr>
          <w:p>
            <w:pPr/>
          </w:p>
        </w:tc>
        <w:tc>
          <w:tcPr>
            <w:tcW w:w="2314" w:type="dxa"/>
            <w:tcBorders>
              <w:top w:val="nil"/>
            </w:tcBorders>
          </w:tcPr>
          <w:p>
            <w:pP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rPr>
                <w:sz w:val="22"/>
              </w:rPr>
            </w:pPr>
            <w:r>
              <w:rPr>
                <w:sz w:val="22"/>
              </w:rPr>
              <w:t>Isac del Río</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tabs>
                <w:tab w:pos="1528" w:val="left" w:leader="none"/>
              </w:tabs>
              <w:spacing w:line="251" w:lineRule="exact"/>
              <w:rPr>
                <w:sz w:val="22"/>
              </w:rPr>
            </w:pPr>
            <w:r>
              <w:rPr>
                <w:sz w:val="22"/>
              </w:rPr>
              <w:t>Coordinador</w:t>
              <w:tab/>
              <w:t>de</w:t>
            </w:r>
          </w:p>
        </w:tc>
        <w:tc>
          <w:tcPr>
            <w:tcW w:w="1375" w:type="dxa"/>
            <w:tcBorders>
              <w:bottom w:val="nil"/>
            </w:tcBorders>
          </w:tcPr>
          <w:p>
            <w:pPr>
              <w:pStyle w:val="TableParagraph"/>
              <w:spacing w:line="251" w:lineRule="exact"/>
              <w:ind w:left="247" w:right="247"/>
              <w:jc w:val="center"/>
              <w:rPr>
                <w:sz w:val="22"/>
              </w:rPr>
            </w:pPr>
            <w:r>
              <w:rPr>
                <w:sz w:val="22"/>
              </w:rPr>
              <w:t>Aculco</w:t>
            </w:r>
          </w:p>
        </w:tc>
        <w:tc>
          <w:tcPr>
            <w:tcW w:w="1087" w:type="dxa"/>
            <w:tcBorders>
              <w:bottom w:val="nil"/>
            </w:tcBorders>
          </w:tcPr>
          <w:p>
            <w:pPr>
              <w:pStyle w:val="TableParagraph"/>
              <w:spacing w:line="251" w:lineRule="exact"/>
              <w:ind w:left="0" w:right="208"/>
              <w:jc w:val="righ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La  contaminación de</w:t>
            </w:r>
          </w:p>
        </w:tc>
        <w:tc>
          <w:tcPr>
            <w:tcW w:w="3901" w:type="dxa"/>
            <w:tcBorders>
              <w:bottom w:val="nil"/>
            </w:tcBorders>
          </w:tcPr>
          <w:p>
            <w:pPr>
              <w:pStyle w:val="TableParagraph"/>
              <w:spacing w:line="251" w:lineRule="exact"/>
              <w:rPr>
                <w:sz w:val="22"/>
              </w:rPr>
            </w:pPr>
            <w:r>
              <w:rPr>
                <w:sz w:val="22"/>
              </w:rPr>
              <w:t>Por las descargas de Timilpan.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Desarrollo</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drenajes.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Comunica</w:t>
            </w:r>
          </w:p>
        </w:tc>
        <w:tc>
          <w:tcPr>
            <w:tcW w:w="1887" w:type="dxa"/>
            <w:tcBorders>
              <w:top w:val="nil"/>
              <w:bottom w:val="nil"/>
            </w:tcBorders>
          </w:tcPr>
          <w:p>
            <w:pPr>
              <w:pStyle w:val="TableParagraph"/>
              <w:spacing w:line="242" w:lineRule="exact"/>
              <w:rPr>
                <w:sz w:val="22"/>
              </w:rPr>
            </w:pPr>
            <w:r>
              <w:rPr>
                <w:sz w:val="22"/>
              </w:rPr>
              <w:t>Económico</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(27/I/2015)</w:t>
            </w:r>
          </w:p>
        </w:tc>
        <w:tc>
          <w:tcPr>
            <w:tcW w:w="1274" w:type="dxa"/>
            <w:tcBorders>
              <w:top w:val="nil"/>
              <w:bottom w:val="nil"/>
            </w:tcBorders>
          </w:tcPr>
          <w:p>
            <w:pPr>
              <w:pStyle w:val="TableParagraph"/>
              <w:spacing w:line="241" w:lineRule="exact"/>
              <w:ind w:left="100" w:right="98"/>
              <w:rPr>
                <w:sz w:val="22"/>
              </w:rPr>
            </w:pPr>
            <w:r>
              <w:rPr>
                <w:sz w:val="22"/>
              </w:rPr>
              <w:t>ción</w:t>
            </w: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El lirio acuático.</w:t>
            </w:r>
          </w:p>
        </w:tc>
        <w:tc>
          <w:tcPr>
            <w:tcW w:w="3901" w:type="dxa"/>
            <w:tcBorders>
              <w:top w:val="nil"/>
              <w:bottom w:val="nil"/>
            </w:tcBorders>
          </w:tcPr>
          <w:p>
            <w:pPr>
              <w:pStyle w:val="TableParagraph"/>
              <w:spacing w:line="241" w:lineRule="exact"/>
              <w:rPr>
                <w:sz w:val="22"/>
              </w:rPr>
            </w:pPr>
            <w:r>
              <w:rPr>
                <w:sz w:val="22"/>
              </w:rPr>
              <w:t>Porque  hay  contaminación  por   los</w:t>
            </w: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375" w:type="dxa"/>
            <w:tcBorders>
              <w:top w:val="nil"/>
            </w:tcBorders>
          </w:tcPr>
          <w:p>
            <w:pPr/>
          </w:p>
        </w:tc>
        <w:tc>
          <w:tcPr>
            <w:tcW w:w="1087" w:type="dxa"/>
            <w:tcBorders>
              <w:top w:val="nil"/>
            </w:tcBorders>
          </w:tcPr>
          <w:p>
            <w:pPr/>
          </w:p>
        </w:tc>
        <w:tc>
          <w:tcPr>
            <w:tcW w:w="2314" w:type="dxa"/>
            <w:tcBorders>
              <w:top w:val="nil"/>
            </w:tcBorders>
          </w:tcPr>
          <w:p>
            <w:pPr/>
          </w:p>
        </w:tc>
        <w:tc>
          <w:tcPr>
            <w:tcW w:w="3901" w:type="dxa"/>
            <w:tcBorders>
              <w:top w:val="nil"/>
            </w:tcBorders>
          </w:tcPr>
          <w:p>
            <w:pPr>
              <w:pStyle w:val="TableParagraph"/>
              <w:spacing w:line="242" w:lineRule="exact"/>
              <w:rPr>
                <w:sz w:val="22"/>
              </w:rPr>
            </w:pPr>
            <w:r>
              <w:rPr>
                <w:sz w:val="22"/>
              </w:rPr>
              <w:t>sedimentos.</w:t>
            </w:r>
          </w:p>
        </w:tc>
      </w:tr>
      <w:tr>
        <w:trPr>
          <w:trHeight w:val="267" w:hRule="exact"/>
        </w:trPr>
        <w:tc>
          <w:tcPr>
            <w:tcW w:w="1385" w:type="dxa"/>
            <w:tcBorders>
              <w:bottom w:val="nil"/>
            </w:tcBorders>
          </w:tcPr>
          <w:p>
            <w:pPr>
              <w:pStyle w:val="TableParagraph"/>
              <w:spacing w:line="251" w:lineRule="exact"/>
              <w:ind w:right="127"/>
              <w:rPr>
                <w:sz w:val="22"/>
              </w:rPr>
            </w:pPr>
            <w:r>
              <w:rPr>
                <w:sz w:val="22"/>
              </w:rPr>
              <w:t>Arturo</w:t>
            </w:r>
          </w:p>
        </w:tc>
        <w:tc>
          <w:tcPr>
            <w:tcW w:w="1274" w:type="dxa"/>
            <w:tcBorders>
              <w:bottom w:val="nil"/>
            </w:tcBorders>
          </w:tcPr>
          <w:p>
            <w:pPr>
              <w:pStyle w:val="TableParagraph"/>
              <w:spacing w:line="251" w:lineRule="exact"/>
              <w:ind w:left="100" w:right="98"/>
              <w:rPr>
                <w:sz w:val="22"/>
              </w:rPr>
            </w:pPr>
            <w:r>
              <w:rPr>
                <w:sz w:val="22"/>
              </w:rPr>
              <w:t>Ingeniero</w:t>
            </w: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375" w:type="dxa"/>
            <w:tcBorders>
              <w:bottom w:val="nil"/>
            </w:tcBorders>
          </w:tcPr>
          <w:p>
            <w:pPr>
              <w:pStyle w:val="TableParagraph"/>
              <w:spacing w:line="251" w:lineRule="exact"/>
              <w:ind w:left="247" w:right="247"/>
              <w:jc w:val="center"/>
              <w:rPr>
                <w:sz w:val="22"/>
              </w:rPr>
            </w:pPr>
            <w:r>
              <w:rPr>
                <w:sz w:val="22"/>
              </w:rPr>
              <w:t>Arroyo</w:t>
            </w:r>
          </w:p>
        </w:tc>
        <w:tc>
          <w:tcPr>
            <w:tcW w:w="1087" w:type="dxa"/>
            <w:tcBorders>
              <w:bottom w:val="nil"/>
            </w:tcBorders>
          </w:tcPr>
          <w:p>
            <w:pPr>
              <w:pStyle w:val="TableParagraph"/>
              <w:spacing w:line="251" w:lineRule="exact"/>
              <w:ind w:left="0" w:right="216"/>
              <w:jc w:val="right"/>
              <w:rPr>
                <w:sz w:val="22"/>
              </w:rPr>
            </w:pPr>
            <w:r>
              <w:rPr>
                <w:sz w:val="22"/>
              </w:rPr>
              <w:t>Arroyo</w:t>
            </w:r>
          </w:p>
        </w:tc>
        <w:tc>
          <w:tcPr>
            <w:tcW w:w="2314" w:type="dxa"/>
            <w:tcBorders>
              <w:bottom w:val="nil"/>
            </w:tcBorders>
          </w:tcPr>
          <w:p>
            <w:pPr>
              <w:pStyle w:val="TableParagraph"/>
              <w:spacing w:line="251" w:lineRule="exact"/>
              <w:ind w:left="100"/>
              <w:rPr>
                <w:sz w:val="22"/>
              </w:rPr>
            </w:pPr>
            <w:r>
              <w:rPr>
                <w:sz w:val="22"/>
              </w:rPr>
              <w:t>La contaminación.</w:t>
            </w:r>
          </w:p>
        </w:tc>
        <w:tc>
          <w:tcPr>
            <w:tcW w:w="3901" w:type="dxa"/>
            <w:tcBorders>
              <w:bottom w:val="nil"/>
            </w:tcBorders>
          </w:tcPr>
          <w:p>
            <w:pPr>
              <w:pStyle w:val="TableParagraph"/>
              <w:spacing w:line="251" w:lineRule="exact"/>
              <w:rPr>
                <w:sz w:val="22"/>
              </w:rPr>
            </w:pPr>
            <w:r>
              <w:rPr>
                <w:sz w:val="22"/>
              </w:rPr>
              <w:t>Porque   no   se   han   controlado las</w:t>
            </w:r>
          </w:p>
        </w:tc>
      </w:tr>
      <w:tr>
        <w:trPr>
          <w:trHeight w:val="254" w:hRule="exact"/>
        </w:trPr>
        <w:tc>
          <w:tcPr>
            <w:tcW w:w="1385" w:type="dxa"/>
            <w:tcBorders>
              <w:top w:val="nil"/>
              <w:bottom w:val="nil"/>
            </w:tcBorders>
          </w:tcPr>
          <w:p>
            <w:pPr>
              <w:pStyle w:val="TableParagraph"/>
              <w:spacing w:line="242" w:lineRule="exact"/>
              <w:ind w:right="127"/>
              <w:rPr>
                <w:sz w:val="22"/>
              </w:rPr>
            </w:pPr>
            <w:r>
              <w:rPr>
                <w:sz w:val="22"/>
              </w:rPr>
              <w:t>Becerril</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Departamento</w:t>
            </w:r>
          </w:p>
        </w:tc>
        <w:tc>
          <w:tcPr>
            <w:tcW w:w="1375" w:type="dxa"/>
            <w:tcBorders>
              <w:top w:val="nil"/>
              <w:bottom w:val="nil"/>
            </w:tcBorders>
          </w:tcPr>
          <w:p>
            <w:pPr>
              <w:pStyle w:val="TableParagraph"/>
              <w:spacing w:line="242" w:lineRule="exact"/>
              <w:ind w:left="247" w:right="247"/>
              <w:jc w:val="center"/>
              <w:rPr>
                <w:sz w:val="22"/>
              </w:rPr>
            </w:pPr>
            <w:r>
              <w:rPr>
                <w:sz w:val="22"/>
              </w:rPr>
              <w:t>Zarco,</w:t>
            </w:r>
          </w:p>
        </w:tc>
        <w:tc>
          <w:tcPr>
            <w:tcW w:w="1087" w:type="dxa"/>
            <w:tcBorders>
              <w:top w:val="nil"/>
              <w:bottom w:val="nil"/>
            </w:tcBorders>
          </w:tcPr>
          <w:p>
            <w:pPr>
              <w:pStyle w:val="TableParagraph"/>
              <w:spacing w:line="242" w:lineRule="exact"/>
              <w:ind w:left="0" w:right="226"/>
              <w:jc w:val="right"/>
              <w:rPr>
                <w:sz w:val="22"/>
              </w:rPr>
            </w:pPr>
            <w:r>
              <w:rPr>
                <w:sz w:val="22"/>
              </w:rPr>
              <w:t>Zarco,</w:t>
            </w: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descargas  de  aguas  residuales   de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Ortega</w:t>
            </w:r>
          </w:p>
        </w:tc>
        <w:tc>
          <w:tcPr>
            <w:tcW w:w="1274" w:type="dxa"/>
            <w:tcBorders>
              <w:top w:val="nil"/>
              <w:bottom w:val="nil"/>
            </w:tcBorders>
          </w:tcPr>
          <w:p>
            <w:pPr>
              <w:pStyle w:val="TableParagraph"/>
              <w:spacing w:line="241" w:lineRule="exact"/>
              <w:ind w:left="100" w:right="98"/>
              <w:rPr>
                <w:sz w:val="22"/>
              </w:rPr>
            </w:pPr>
            <w:r>
              <w:rPr>
                <w:sz w:val="22"/>
              </w:rPr>
              <w:t>Sistemas</w:t>
            </w:r>
          </w:p>
        </w:tc>
        <w:tc>
          <w:tcPr>
            <w:tcW w:w="1887" w:type="dxa"/>
            <w:tcBorders>
              <w:top w:val="nil"/>
              <w:bottom w:val="nil"/>
            </w:tcBorders>
          </w:tcPr>
          <w:p>
            <w:pPr>
              <w:pStyle w:val="TableParagraph"/>
              <w:tabs>
                <w:tab w:pos="1149" w:val="left" w:leader="none"/>
              </w:tabs>
              <w:spacing w:line="241" w:lineRule="exact"/>
              <w:rPr>
                <w:sz w:val="22"/>
              </w:rPr>
            </w:pPr>
            <w:r>
              <w:rPr>
                <w:sz w:val="22"/>
              </w:rPr>
              <w:t>de</w:t>
              <w:tab/>
              <w:t>Aguas</w:t>
            </w:r>
          </w:p>
        </w:tc>
        <w:tc>
          <w:tcPr>
            <w:tcW w:w="1375" w:type="dxa"/>
            <w:tcBorders>
              <w:top w:val="nil"/>
              <w:bottom w:val="nil"/>
            </w:tcBorders>
          </w:tcPr>
          <w:p>
            <w:pPr>
              <w:pStyle w:val="TableParagraph"/>
              <w:spacing w:line="241" w:lineRule="exact"/>
              <w:ind w:left="247" w:right="247"/>
              <w:jc w:val="center"/>
              <w:rPr>
                <w:sz w:val="22"/>
              </w:rPr>
            </w:pPr>
            <w:r>
              <w:rPr>
                <w:sz w:val="22"/>
              </w:rPr>
              <w:t>Aculco</w:t>
            </w:r>
          </w:p>
        </w:tc>
        <w:tc>
          <w:tcPr>
            <w:tcW w:w="1087" w:type="dxa"/>
            <w:tcBorders>
              <w:top w:val="nil"/>
              <w:bottom w:val="nil"/>
            </w:tcBorders>
          </w:tcPr>
          <w:p>
            <w:pPr>
              <w:pStyle w:val="TableParagraph"/>
              <w:spacing w:line="241" w:lineRule="exact"/>
              <w:ind w:left="0" w:right="208"/>
              <w:jc w:val="right"/>
              <w:rPr>
                <w:sz w:val="22"/>
              </w:rPr>
            </w:pPr>
            <w:r>
              <w:rPr>
                <w:sz w:val="22"/>
              </w:rPr>
              <w:t>Aculco</w:t>
            </w: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algunos municipios y se ve   afectada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3" w:val="left" w:leader="none"/>
              </w:tabs>
              <w:spacing w:line="241" w:lineRule="exact"/>
              <w:rPr>
                <w:sz w:val="22"/>
              </w:rPr>
            </w:pPr>
            <w:r>
              <w:rPr>
                <w:sz w:val="22"/>
              </w:rPr>
              <w:t>Residuales</w:t>
              <w:tab/>
              <w:t>y</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la   pesca,   por   ejemplo   hace  seis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(27/I/2015)</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Saneamiento</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meses  hubo  una  mortandad masiva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de   peses,   estaban   flotando   en la</w:t>
            </w:r>
          </w:p>
        </w:tc>
      </w:tr>
      <w:tr>
        <w:trPr>
          <w:trHeight w:val="503"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375" w:type="dxa"/>
            <w:tcBorders>
              <w:top w:val="nil"/>
            </w:tcBorders>
          </w:tcPr>
          <w:p>
            <w:pPr/>
          </w:p>
        </w:tc>
        <w:tc>
          <w:tcPr>
            <w:tcW w:w="1087" w:type="dxa"/>
            <w:tcBorders>
              <w:top w:val="nil"/>
            </w:tcBorders>
          </w:tcPr>
          <w:p>
            <w:pPr/>
          </w:p>
        </w:tc>
        <w:tc>
          <w:tcPr>
            <w:tcW w:w="2314" w:type="dxa"/>
            <w:tcBorders>
              <w:top w:val="nil"/>
            </w:tcBorders>
          </w:tcPr>
          <w:p>
            <w:pPr/>
          </w:p>
        </w:tc>
        <w:tc>
          <w:tcPr>
            <w:tcW w:w="3901" w:type="dxa"/>
            <w:tcBorders>
              <w:top w:val="nil"/>
            </w:tcBorders>
          </w:tcPr>
          <w:p>
            <w:pPr>
              <w:pStyle w:val="TableParagraph"/>
              <w:spacing w:line="242" w:lineRule="exact"/>
              <w:rPr>
                <w:sz w:val="22"/>
              </w:rPr>
            </w:pPr>
            <w:r>
              <w:rPr>
                <w:sz w:val="22"/>
              </w:rPr>
              <w:t>cortina.</w:t>
            </w:r>
          </w:p>
        </w:tc>
      </w:tr>
    </w:tbl>
    <w:p>
      <w:pPr>
        <w:spacing w:after="0" w:line="242" w:lineRule="exact"/>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375"/>
        <w:gridCol w:w="1087"/>
        <w:gridCol w:w="2314"/>
        <w:gridCol w:w="3901"/>
      </w:tblGrid>
      <w:tr>
        <w:trPr>
          <w:trHeight w:val="266" w:hRule="exact"/>
        </w:trPr>
        <w:tc>
          <w:tcPr>
            <w:tcW w:w="1385" w:type="dxa"/>
            <w:vMerge w:val="restart"/>
          </w:tcPr>
          <w:p>
            <w:pPr/>
          </w:p>
        </w:tc>
        <w:tc>
          <w:tcPr>
            <w:tcW w:w="1274" w:type="dxa"/>
            <w:vMerge w:val="restart"/>
          </w:tcPr>
          <w:p>
            <w:pPr/>
          </w:p>
        </w:tc>
        <w:tc>
          <w:tcPr>
            <w:tcW w:w="1887" w:type="dxa"/>
            <w:vMerge w:val="restart"/>
          </w:tcPr>
          <w:p>
            <w:pPr/>
          </w:p>
        </w:tc>
        <w:tc>
          <w:tcPr>
            <w:tcW w:w="1375" w:type="dxa"/>
            <w:vMerge w:val="restart"/>
          </w:tcPr>
          <w:p>
            <w:pPr/>
          </w:p>
        </w:tc>
        <w:tc>
          <w:tcPr>
            <w:tcW w:w="1087" w:type="dxa"/>
            <w:vMerge w:val="restart"/>
          </w:tcPr>
          <w:p>
            <w:pPr/>
          </w:p>
        </w:tc>
        <w:tc>
          <w:tcPr>
            <w:tcW w:w="2314" w:type="dxa"/>
            <w:tcBorders>
              <w:bottom w:val="nil"/>
            </w:tcBorders>
          </w:tcPr>
          <w:p>
            <w:pPr>
              <w:pStyle w:val="TableParagraph"/>
              <w:tabs>
                <w:tab w:pos="1235" w:val="left" w:leader="none"/>
              </w:tabs>
              <w:spacing w:line="251" w:lineRule="exact"/>
              <w:ind w:left="100"/>
              <w:rPr>
                <w:sz w:val="22"/>
              </w:rPr>
            </w:pPr>
            <w:r>
              <w:rPr>
                <w:sz w:val="22"/>
              </w:rPr>
              <w:t>Las</w:t>
              <w:tab/>
              <w:t>empresas</w:t>
            </w:r>
          </w:p>
        </w:tc>
        <w:tc>
          <w:tcPr>
            <w:tcW w:w="3901" w:type="dxa"/>
            <w:tcBorders>
              <w:bottom w:val="nil"/>
            </w:tcBorders>
          </w:tcPr>
          <w:p>
            <w:pPr>
              <w:pStyle w:val="TableParagraph"/>
              <w:tabs>
                <w:tab w:pos="1050" w:val="left" w:leader="none"/>
                <w:tab w:pos="1640" w:val="left" w:leader="none"/>
                <w:tab w:pos="2243" w:val="left" w:leader="none"/>
                <w:tab w:pos="3495" w:val="left" w:leader="none"/>
              </w:tabs>
              <w:spacing w:line="251" w:lineRule="exact"/>
              <w:rPr>
                <w:sz w:val="22"/>
              </w:rPr>
            </w:pPr>
            <w:r>
              <w:rPr>
                <w:sz w:val="22"/>
              </w:rPr>
              <w:t>Porque</w:t>
              <w:tab/>
              <w:t>hay</w:t>
              <w:tab/>
              <w:t>una</w:t>
              <w:tab/>
              <w:t>regulación</w:t>
              <w:tab/>
              <w:t>del</w:t>
            </w:r>
          </w:p>
        </w:tc>
      </w:tr>
      <w:tr>
        <w:trPr>
          <w:trHeight w:val="253" w:hRule="exact"/>
        </w:trPr>
        <w:tc>
          <w:tcPr>
            <w:tcW w:w="1385" w:type="dxa"/>
            <w:vMerge/>
          </w:tcPr>
          <w:p>
            <w:pPr/>
          </w:p>
        </w:tc>
        <w:tc>
          <w:tcPr>
            <w:tcW w:w="1274" w:type="dxa"/>
            <w:vMerge/>
          </w:tcPr>
          <w:p>
            <w:pPr/>
          </w:p>
        </w:tc>
        <w:tc>
          <w:tcPr>
            <w:tcW w:w="1887" w:type="dxa"/>
            <w:vMerge/>
          </w:tcPr>
          <w:p>
            <w:pPr/>
          </w:p>
        </w:tc>
        <w:tc>
          <w:tcPr>
            <w:tcW w:w="1375" w:type="dxa"/>
            <w:vMerge/>
          </w:tcPr>
          <w:p>
            <w:pPr/>
          </w:p>
        </w:tc>
        <w:tc>
          <w:tcPr>
            <w:tcW w:w="1087" w:type="dxa"/>
            <w:vMerge/>
          </w:tcPr>
          <w:p>
            <w:pPr/>
          </w:p>
        </w:tc>
        <w:tc>
          <w:tcPr>
            <w:tcW w:w="2314" w:type="dxa"/>
            <w:tcBorders>
              <w:top w:val="nil"/>
              <w:bottom w:val="nil"/>
            </w:tcBorders>
          </w:tcPr>
          <w:p>
            <w:pPr>
              <w:pStyle w:val="TableParagraph"/>
              <w:tabs>
                <w:tab w:pos="1040" w:val="left" w:leader="none"/>
                <w:tab w:pos="1539" w:val="left" w:leader="none"/>
              </w:tabs>
              <w:spacing w:line="241" w:lineRule="exact"/>
              <w:ind w:left="100"/>
              <w:rPr>
                <w:sz w:val="22"/>
              </w:rPr>
            </w:pPr>
            <w:r>
              <w:rPr>
                <w:sz w:val="22"/>
              </w:rPr>
              <w:t>textiles</w:t>
              <w:tab/>
              <w:t>en</w:t>
              <w:tab/>
              <w:t>Aculco</w:t>
            </w:r>
          </w:p>
        </w:tc>
        <w:tc>
          <w:tcPr>
            <w:tcW w:w="3901" w:type="dxa"/>
            <w:tcBorders>
              <w:top w:val="nil"/>
              <w:bottom w:val="nil"/>
            </w:tcBorders>
          </w:tcPr>
          <w:p>
            <w:pPr>
              <w:pStyle w:val="TableParagraph"/>
              <w:tabs>
                <w:tab w:pos="1333" w:val="left" w:leader="none"/>
                <w:tab w:pos="2012" w:val="left" w:leader="none"/>
                <w:tab w:pos="2703" w:val="left" w:leader="none"/>
                <w:tab w:pos="3543" w:val="left" w:leader="none"/>
              </w:tabs>
              <w:spacing w:line="241" w:lineRule="exact"/>
              <w:rPr>
                <w:sz w:val="22"/>
              </w:rPr>
            </w:pPr>
            <w:r>
              <w:rPr>
                <w:sz w:val="22"/>
              </w:rPr>
              <w:t>municipio,</w:t>
              <w:tab/>
              <w:t>pero</w:t>
              <w:tab/>
              <w:t>ellos</w:t>
              <w:tab/>
              <w:t>tienen</w:t>
              <w:tab/>
              <w:t>un</w:t>
            </w:r>
          </w:p>
        </w:tc>
      </w:tr>
      <w:tr>
        <w:trPr>
          <w:trHeight w:val="253" w:hRule="exact"/>
        </w:trPr>
        <w:tc>
          <w:tcPr>
            <w:tcW w:w="1385" w:type="dxa"/>
            <w:vMerge/>
          </w:tcPr>
          <w:p>
            <w:pPr/>
          </w:p>
        </w:tc>
        <w:tc>
          <w:tcPr>
            <w:tcW w:w="1274" w:type="dxa"/>
            <w:vMerge/>
          </w:tcPr>
          <w:p>
            <w:pPr/>
          </w:p>
        </w:tc>
        <w:tc>
          <w:tcPr>
            <w:tcW w:w="1887" w:type="dxa"/>
            <w:vMerge/>
          </w:tcPr>
          <w:p>
            <w:pPr/>
          </w:p>
        </w:tc>
        <w:tc>
          <w:tcPr>
            <w:tcW w:w="1375" w:type="dxa"/>
            <w:vMerge/>
          </w:tcPr>
          <w:p>
            <w:pPr/>
          </w:p>
        </w:tc>
        <w:tc>
          <w:tcPr>
            <w:tcW w:w="1087" w:type="dxa"/>
            <w:vMerge/>
          </w:tcPr>
          <w:p>
            <w:pPr/>
          </w:p>
        </w:tc>
        <w:tc>
          <w:tcPr>
            <w:tcW w:w="2314" w:type="dxa"/>
            <w:tcBorders>
              <w:top w:val="nil"/>
              <w:bottom w:val="nil"/>
            </w:tcBorders>
          </w:tcPr>
          <w:p>
            <w:pPr>
              <w:pStyle w:val="TableParagraph"/>
              <w:spacing w:line="242" w:lineRule="exact"/>
              <w:ind w:left="100"/>
              <w:rPr>
                <w:sz w:val="22"/>
              </w:rPr>
            </w:pPr>
            <w:r>
              <w:rPr>
                <w:sz w:val="22"/>
              </w:rPr>
              <w:t>descargan  las aguas</w:t>
            </w:r>
          </w:p>
        </w:tc>
        <w:tc>
          <w:tcPr>
            <w:tcW w:w="3901" w:type="dxa"/>
            <w:tcBorders>
              <w:top w:val="nil"/>
              <w:bottom w:val="nil"/>
            </w:tcBorders>
          </w:tcPr>
          <w:p>
            <w:pPr>
              <w:pStyle w:val="TableParagraph"/>
              <w:spacing w:line="242" w:lineRule="exact"/>
              <w:rPr>
                <w:sz w:val="22"/>
              </w:rPr>
            </w:pPr>
            <w:r>
              <w:rPr>
                <w:sz w:val="22"/>
              </w:rPr>
              <w:t>permiso  federal   y   el  municipio  no</w:t>
            </w:r>
          </w:p>
        </w:tc>
      </w:tr>
      <w:tr>
        <w:trPr>
          <w:trHeight w:val="253" w:hRule="exact"/>
        </w:trPr>
        <w:tc>
          <w:tcPr>
            <w:tcW w:w="1385" w:type="dxa"/>
            <w:vMerge/>
          </w:tcPr>
          <w:p>
            <w:pPr/>
          </w:p>
        </w:tc>
        <w:tc>
          <w:tcPr>
            <w:tcW w:w="1274" w:type="dxa"/>
            <w:vMerge/>
          </w:tcPr>
          <w:p>
            <w:pPr/>
          </w:p>
        </w:tc>
        <w:tc>
          <w:tcPr>
            <w:tcW w:w="1887" w:type="dxa"/>
            <w:vMerge/>
          </w:tcPr>
          <w:p>
            <w:pPr/>
          </w:p>
        </w:tc>
        <w:tc>
          <w:tcPr>
            <w:tcW w:w="1375" w:type="dxa"/>
            <w:vMerge/>
          </w:tcPr>
          <w:p>
            <w:pPr/>
          </w:p>
        </w:tc>
        <w:tc>
          <w:tcPr>
            <w:tcW w:w="1087" w:type="dxa"/>
            <w:vMerge/>
          </w:tcPr>
          <w:p>
            <w:pPr/>
          </w:p>
        </w:tc>
        <w:tc>
          <w:tcPr>
            <w:tcW w:w="2314" w:type="dxa"/>
            <w:tcBorders>
              <w:top w:val="nil"/>
              <w:bottom w:val="nil"/>
            </w:tcBorders>
          </w:tcPr>
          <w:p>
            <w:pPr>
              <w:pStyle w:val="TableParagraph"/>
              <w:spacing w:line="241" w:lineRule="exact"/>
              <w:ind w:left="100"/>
              <w:rPr>
                <w:sz w:val="22"/>
              </w:rPr>
            </w:pPr>
            <w:r>
              <w:rPr>
                <w:sz w:val="22"/>
              </w:rPr>
              <w:t>residuales  al  río con</w:t>
            </w:r>
          </w:p>
        </w:tc>
        <w:tc>
          <w:tcPr>
            <w:tcW w:w="3901" w:type="dxa"/>
            <w:tcBorders>
              <w:top w:val="nil"/>
              <w:bottom w:val="nil"/>
            </w:tcBorders>
          </w:tcPr>
          <w:p>
            <w:pPr>
              <w:pStyle w:val="TableParagraph"/>
              <w:spacing w:line="241" w:lineRule="exact"/>
              <w:rPr>
                <w:sz w:val="22"/>
              </w:rPr>
            </w:pPr>
            <w:r>
              <w:rPr>
                <w:sz w:val="22"/>
              </w:rPr>
              <w:t>puede hacerles nada, aunque sea un</w:t>
            </w:r>
          </w:p>
        </w:tc>
      </w:tr>
      <w:tr>
        <w:trPr>
          <w:trHeight w:val="379" w:hRule="exact"/>
        </w:trPr>
        <w:tc>
          <w:tcPr>
            <w:tcW w:w="1385" w:type="dxa"/>
            <w:vMerge/>
          </w:tcPr>
          <w:p>
            <w:pPr/>
          </w:p>
        </w:tc>
        <w:tc>
          <w:tcPr>
            <w:tcW w:w="1274" w:type="dxa"/>
            <w:vMerge/>
          </w:tcPr>
          <w:p>
            <w:pPr/>
          </w:p>
        </w:tc>
        <w:tc>
          <w:tcPr>
            <w:tcW w:w="1887" w:type="dxa"/>
            <w:vMerge/>
          </w:tcPr>
          <w:p>
            <w:pPr/>
          </w:p>
        </w:tc>
        <w:tc>
          <w:tcPr>
            <w:tcW w:w="1375" w:type="dxa"/>
            <w:vMerge/>
          </w:tcPr>
          <w:p>
            <w:pPr/>
          </w:p>
        </w:tc>
        <w:tc>
          <w:tcPr>
            <w:tcW w:w="1087" w:type="dxa"/>
            <w:vMerge/>
          </w:tcPr>
          <w:p>
            <w:pPr/>
          </w:p>
        </w:tc>
        <w:tc>
          <w:tcPr>
            <w:tcW w:w="2314" w:type="dxa"/>
            <w:tcBorders>
              <w:top w:val="nil"/>
              <w:bottom w:val="nil"/>
            </w:tcBorders>
          </w:tcPr>
          <w:p>
            <w:pPr>
              <w:pStyle w:val="TableParagraph"/>
              <w:spacing w:line="242" w:lineRule="exact"/>
              <w:ind w:left="100"/>
              <w:rPr>
                <w:sz w:val="22"/>
              </w:rPr>
            </w:pPr>
            <w:r>
              <w:rPr>
                <w:sz w:val="22"/>
              </w:rPr>
              <w:t>tintes y químicos.</w:t>
            </w:r>
          </w:p>
        </w:tc>
        <w:tc>
          <w:tcPr>
            <w:tcW w:w="3901" w:type="dxa"/>
            <w:tcBorders>
              <w:top w:val="nil"/>
              <w:bottom w:val="nil"/>
            </w:tcBorders>
          </w:tcPr>
          <w:p>
            <w:pPr>
              <w:pStyle w:val="TableParagraph"/>
              <w:spacing w:line="242" w:lineRule="exact"/>
              <w:rPr>
                <w:sz w:val="22"/>
              </w:rPr>
            </w:pPr>
            <w:r>
              <w:rPr>
                <w:sz w:val="22"/>
              </w:rPr>
              <w:t>pueblo mágico.</w:t>
            </w:r>
          </w:p>
        </w:tc>
      </w:tr>
      <w:tr>
        <w:trPr>
          <w:trHeight w:val="379" w:hRule="exact"/>
        </w:trPr>
        <w:tc>
          <w:tcPr>
            <w:tcW w:w="1385" w:type="dxa"/>
            <w:vMerge/>
          </w:tcPr>
          <w:p>
            <w:pPr/>
          </w:p>
        </w:tc>
        <w:tc>
          <w:tcPr>
            <w:tcW w:w="1274" w:type="dxa"/>
            <w:vMerge/>
          </w:tcPr>
          <w:p>
            <w:pPr/>
          </w:p>
        </w:tc>
        <w:tc>
          <w:tcPr>
            <w:tcW w:w="1887" w:type="dxa"/>
            <w:vMerge/>
          </w:tcPr>
          <w:p>
            <w:pPr/>
          </w:p>
        </w:tc>
        <w:tc>
          <w:tcPr>
            <w:tcW w:w="1375" w:type="dxa"/>
            <w:vMerge/>
          </w:tcPr>
          <w:p>
            <w:pPr/>
          </w:p>
        </w:tc>
        <w:tc>
          <w:tcPr>
            <w:tcW w:w="1087" w:type="dxa"/>
            <w:vMerge/>
          </w:tcPr>
          <w:p>
            <w:pPr/>
          </w:p>
        </w:tc>
        <w:tc>
          <w:tcPr>
            <w:tcW w:w="2314" w:type="dxa"/>
            <w:tcBorders>
              <w:top w:val="nil"/>
              <w:bottom w:val="nil"/>
            </w:tcBorders>
          </w:tcPr>
          <w:p>
            <w:pPr>
              <w:pStyle w:val="TableParagraph"/>
              <w:tabs>
                <w:tab w:pos="570" w:val="left" w:leader="none"/>
                <w:tab w:pos="1398" w:val="left" w:leader="none"/>
                <w:tab w:pos="1919" w:val="left" w:leader="none"/>
              </w:tabs>
              <w:spacing w:before="114"/>
              <w:ind w:left="100"/>
              <w:rPr>
                <w:sz w:val="22"/>
              </w:rPr>
            </w:pPr>
            <w:r>
              <w:rPr>
                <w:sz w:val="22"/>
              </w:rPr>
              <w:t>El</w:t>
              <w:tab/>
              <w:t>suero</w:t>
              <w:tab/>
              <w:t>de</w:t>
              <w:tab/>
              <w:t>las</w:t>
            </w:r>
          </w:p>
        </w:tc>
        <w:tc>
          <w:tcPr>
            <w:tcW w:w="3901" w:type="dxa"/>
            <w:tcBorders>
              <w:top w:val="nil"/>
              <w:bottom w:val="nil"/>
            </w:tcBorders>
          </w:tcPr>
          <w:p>
            <w:pPr>
              <w:pStyle w:val="TableParagraph"/>
              <w:spacing w:before="114"/>
              <w:rPr>
                <w:sz w:val="22"/>
              </w:rPr>
            </w:pPr>
            <w:r>
              <w:rPr>
                <w:sz w:val="22"/>
              </w:rPr>
              <w:t>Porque no tienen trampas de grasa</w:t>
            </w:r>
            <w:r>
              <w:rPr>
                <w:spacing w:val="52"/>
                <w:sz w:val="22"/>
              </w:rPr>
              <w:t> </w:t>
            </w:r>
            <w:r>
              <w:rPr>
                <w:sz w:val="22"/>
              </w:rPr>
              <w:t>y</w:t>
            </w:r>
          </w:p>
        </w:tc>
      </w:tr>
      <w:tr>
        <w:trPr>
          <w:trHeight w:val="254" w:hRule="exact"/>
        </w:trPr>
        <w:tc>
          <w:tcPr>
            <w:tcW w:w="1385" w:type="dxa"/>
            <w:vMerge/>
          </w:tcPr>
          <w:p>
            <w:pPr/>
          </w:p>
        </w:tc>
        <w:tc>
          <w:tcPr>
            <w:tcW w:w="1274" w:type="dxa"/>
            <w:vMerge/>
          </w:tcPr>
          <w:p>
            <w:pPr/>
          </w:p>
        </w:tc>
        <w:tc>
          <w:tcPr>
            <w:tcW w:w="1887" w:type="dxa"/>
            <w:vMerge/>
          </w:tcPr>
          <w:p>
            <w:pPr/>
          </w:p>
        </w:tc>
        <w:tc>
          <w:tcPr>
            <w:tcW w:w="1375" w:type="dxa"/>
            <w:vMerge/>
          </w:tcPr>
          <w:p>
            <w:pPr/>
          </w:p>
        </w:tc>
        <w:tc>
          <w:tcPr>
            <w:tcW w:w="1087" w:type="dxa"/>
            <w:vMerge/>
          </w:tcPr>
          <w:p>
            <w:pPr/>
          </w:p>
        </w:tc>
        <w:tc>
          <w:tcPr>
            <w:tcW w:w="2314" w:type="dxa"/>
            <w:tcBorders>
              <w:top w:val="nil"/>
              <w:bottom w:val="nil"/>
            </w:tcBorders>
          </w:tcPr>
          <w:p>
            <w:pPr>
              <w:pStyle w:val="TableParagraph"/>
              <w:spacing w:line="242" w:lineRule="exact"/>
              <w:ind w:left="100"/>
              <w:rPr>
                <w:sz w:val="22"/>
              </w:rPr>
            </w:pPr>
            <w:r>
              <w:rPr>
                <w:sz w:val="22"/>
              </w:rPr>
              <w:t>queserías.</w:t>
            </w:r>
          </w:p>
        </w:tc>
        <w:tc>
          <w:tcPr>
            <w:tcW w:w="3901" w:type="dxa"/>
            <w:tcBorders>
              <w:top w:val="nil"/>
              <w:bottom w:val="nil"/>
            </w:tcBorders>
          </w:tcPr>
          <w:p>
            <w:pPr>
              <w:pStyle w:val="TableParagraph"/>
              <w:tabs>
                <w:tab w:pos="1518" w:val="left" w:leader="none"/>
                <w:tab w:pos="2797" w:val="left" w:leader="none"/>
              </w:tabs>
              <w:spacing w:line="242" w:lineRule="exact"/>
              <w:rPr>
                <w:sz w:val="22"/>
              </w:rPr>
            </w:pPr>
            <w:r>
              <w:rPr>
                <w:sz w:val="22"/>
              </w:rPr>
              <w:t>tenemos</w:t>
              <w:tab/>
              <w:t>plantas</w:t>
              <w:tab/>
              <w:t>tratadoras</w:t>
            </w:r>
          </w:p>
        </w:tc>
      </w:tr>
      <w:tr>
        <w:trPr>
          <w:trHeight w:val="254" w:hRule="exact"/>
        </w:trPr>
        <w:tc>
          <w:tcPr>
            <w:tcW w:w="1385" w:type="dxa"/>
            <w:vMerge/>
          </w:tcPr>
          <w:p>
            <w:pPr/>
          </w:p>
        </w:tc>
        <w:tc>
          <w:tcPr>
            <w:tcW w:w="1274" w:type="dxa"/>
            <w:vMerge/>
          </w:tcPr>
          <w:p>
            <w:pPr/>
          </w:p>
        </w:tc>
        <w:tc>
          <w:tcPr>
            <w:tcW w:w="1887" w:type="dxa"/>
            <w:vMerge/>
          </w:tcPr>
          <w:p>
            <w:pPr/>
          </w:p>
        </w:tc>
        <w:tc>
          <w:tcPr>
            <w:tcW w:w="1375" w:type="dxa"/>
            <w:vMerge/>
          </w:tcPr>
          <w:p>
            <w:pPr/>
          </w:p>
        </w:tc>
        <w:tc>
          <w:tcPr>
            <w:tcW w:w="1087" w:type="dxa"/>
            <w:vMerge/>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bacteriológicas por lo que al verter  el</w:t>
            </w:r>
          </w:p>
        </w:tc>
      </w:tr>
      <w:tr>
        <w:trPr>
          <w:trHeight w:val="249" w:hRule="exact"/>
        </w:trPr>
        <w:tc>
          <w:tcPr>
            <w:tcW w:w="1385" w:type="dxa"/>
            <w:vMerge/>
          </w:tcPr>
          <w:p>
            <w:pPr/>
          </w:p>
        </w:tc>
        <w:tc>
          <w:tcPr>
            <w:tcW w:w="1274" w:type="dxa"/>
            <w:vMerge/>
          </w:tcPr>
          <w:p>
            <w:pPr/>
          </w:p>
        </w:tc>
        <w:tc>
          <w:tcPr>
            <w:tcW w:w="1887" w:type="dxa"/>
            <w:vMerge/>
          </w:tcPr>
          <w:p>
            <w:pPr/>
          </w:p>
        </w:tc>
        <w:tc>
          <w:tcPr>
            <w:tcW w:w="1375" w:type="dxa"/>
            <w:vMerge/>
          </w:tcPr>
          <w:p>
            <w:pPr/>
          </w:p>
        </w:tc>
        <w:tc>
          <w:tcPr>
            <w:tcW w:w="1087" w:type="dxa"/>
            <w:vMerge/>
          </w:tcPr>
          <w:p>
            <w:pPr/>
          </w:p>
        </w:tc>
        <w:tc>
          <w:tcPr>
            <w:tcW w:w="2314" w:type="dxa"/>
            <w:tcBorders>
              <w:top w:val="nil"/>
            </w:tcBorders>
          </w:tcPr>
          <w:p>
            <w:pPr/>
          </w:p>
        </w:tc>
        <w:tc>
          <w:tcPr>
            <w:tcW w:w="3901" w:type="dxa"/>
            <w:tcBorders>
              <w:top w:val="nil"/>
            </w:tcBorders>
          </w:tcPr>
          <w:p>
            <w:pPr>
              <w:pStyle w:val="TableParagraph"/>
              <w:spacing w:line="242" w:lineRule="exact"/>
              <w:rPr>
                <w:sz w:val="22"/>
              </w:rPr>
            </w:pPr>
            <w:r>
              <w:rPr>
                <w:sz w:val="22"/>
              </w:rPr>
              <w:t>suero matarían las bacterias.</w:t>
            </w: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4"/>
        <w:ind w:left="2357" w:right="778"/>
      </w:pPr>
      <w:r>
        <w:rPr/>
        <w:t>Tabla 6.10. Municipio de Aculco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2" w:hRule="exact"/>
        </w:trPr>
        <w:tc>
          <w:tcPr>
            <w:tcW w:w="13224" w:type="dxa"/>
            <w:gridSpan w:val="7"/>
            <w:shd w:val="clear" w:color="auto" w:fill="9BBA58"/>
          </w:tcPr>
          <w:p>
            <w:pPr>
              <w:pStyle w:val="TableParagraph"/>
              <w:spacing w:line="248" w:lineRule="exact"/>
              <w:ind w:left="4868" w:right="4870"/>
              <w:jc w:val="center"/>
              <w:rPr>
                <w:b/>
                <w:sz w:val="22"/>
              </w:rPr>
            </w:pPr>
            <w:r>
              <w:rPr>
                <w:b/>
                <w:sz w:val="22"/>
              </w:rPr>
              <w:t>ACULCO</w:t>
            </w:r>
          </w:p>
        </w:tc>
      </w:tr>
      <w:tr>
        <w:trPr>
          <w:trHeight w:val="524" w:hRule="exact"/>
        </w:trPr>
        <w:tc>
          <w:tcPr>
            <w:tcW w:w="4547" w:type="dxa"/>
            <w:gridSpan w:val="3"/>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4"/>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264"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Poder</w:t>
            </w:r>
          </w:p>
        </w:tc>
        <w:tc>
          <w:tcPr>
            <w:tcW w:w="3901" w:type="dxa"/>
            <w:shd w:val="clear" w:color="auto" w:fill="92CDDC"/>
          </w:tcPr>
          <w:p>
            <w:pPr>
              <w:pStyle w:val="TableParagraph"/>
              <w:spacing w:line="251" w:lineRule="exact"/>
              <w:rPr>
                <w:b/>
                <w:i/>
                <w:sz w:val="22"/>
              </w:rPr>
            </w:pPr>
            <w:r>
              <w:rPr>
                <w:b/>
                <w:i/>
                <w:sz w:val="22"/>
              </w:rPr>
              <w:t>Poder</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tabs>
                <w:tab w:pos="1298" w:val="left" w:leader="none"/>
              </w:tabs>
              <w:spacing w:line="248" w:lineRule="exact"/>
              <w:ind w:left="100"/>
              <w:rPr>
                <w:b/>
                <w:sz w:val="22"/>
              </w:rPr>
            </w:pPr>
            <w:r>
              <w:rPr>
                <w:b/>
                <w:sz w:val="22"/>
              </w:rPr>
              <w:t>¿Qué</w:t>
              <w:tab/>
              <w:t>solución</w:t>
            </w:r>
          </w:p>
        </w:tc>
        <w:tc>
          <w:tcPr>
            <w:tcW w:w="3901" w:type="dxa"/>
            <w:tcBorders>
              <w:bottom w:val="nil"/>
            </w:tcBorders>
            <w:shd w:val="clear" w:color="auto" w:fill="92CDDC"/>
          </w:tcPr>
          <w:p>
            <w:pPr>
              <w:pStyle w:val="TableParagraph"/>
              <w:tabs>
                <w:tab w:pos="2157" w:val="left" w:leader="none"/>
              </w:tabs>
              <w:spacing w:line="248" w:lineRule="exact"/>
              <w:rPr>
                <w:b/>
                <w:sz w:val="22"/>
              </w:rPr>
            </w:pPr>
            <w:r>
              <w:rPr>
                <w:b/>
                <w:sz w:val="22"/>
              </w:rPr>
              <w:t>¿Quiénes  </w:t>
            </w:r>
            <w:r>
              <w:rPr>
                <w:b/>
                <w:spacing w:val="15"/>
                <w:sz w:val="22"/>
              </w:rPr>
              <w:t> </w:t>
            </w:r>
            <w:r>
              <w:rPr>
                <w:b/>
                <w:sz w:val="22"/>
              </w:rPr>
              <w:t>deben</w:t>
              <w:tab/>
              <w:t>solucionar  </w:t>
            </w:r>
            <w:r>
              <w:rPr>
                <w:b/>
                <w:spacing w:val="11"/>
                <w:sz w:val="22"/>
              </w:rPr>
              <w:t> </w:t>
            </w:r>
            <w:r>
              <w:rPr>
                <w:b/>
                <w:sz w:val="22"/>
              </w:rPr>
              <w:t>los</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1199" w:val="left" w:leader="none"/>
                <w:tab w:pos="1883" w:val="left" w:leader="none"/>
              </w:tabs>
              <w:spacing w:line="241" w:lineRule="exact"/>
              <w:ind w:left="100"/>
              <w:rPr>
                <w:b/>
                <w:sz w:val="22"/>
              </w:rPr>
            </w:pPr>
            <w:r>
              <w:rPr>
                <w:b/>
                <w:sz w:val="22"/>
              </w:rPr>
              <w:t>propone</w:t>
              <w:tab/>
              <w:t>para</w:t>
              <w:tab/>
              <w:t>los</w:t>
            </w:r>
          </w:p>
        </w:tc>
        <w:tc>
          <w:tcPr>
            <w:tcW w:w="3901" w:type="dxa"/>
            <w:tcBorders>
              <w:top w:val="nil"/>
              <w:bottom w:val="nil"/>
            </w:tcBorders>
            <w:shd w:val="clear" w:color="auto" w:fill="92CDDC"/>
          </w:tcPr>
          <w:p>
            <w:pPr>
              <w:pStyle w:val="TableParagraph"/>
              <w:tabs>
                <w:tab w:pos="1691" w:val="left" w:leader="none"/>
                <w:tab w:pos="2420" w:val="left" w:leader="none"/>
                <w:tab w:pos="3078" w:val="left" w:leader="none"/>
              </w:tabs>
              <w:spacing w:line="241" w:lineRule="exact"/>
              <w:rPr>
                <w:b/>
                <w:sz w:val="22"/>
              </w:rPr>
            </w:pPr>
            <w:r>
              <w:rPr>
                <w:b/>
                <w:sz w:val="22"/>
              </w:rPr>
              <w:t>problemas</w:t>
              <w:tab/>
              <w:t>de</w:t>
              <w:tab/>
              <w:t>la</w:t>
              <w:tab/>
              <w:t>laguna</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487" w:val="left" w:leader="none"/>
                <w:tab w:pos="2017" w:val="left" w:leader="none"/>
              </w:tabs>
              <w:spacing w:line="242" w:lineRule="exact"/>
              <w:ind w:left="100"/>
              <w:rPr>
                <w:b/>
                <w:sz w:val="22"/>
              </w:rPr>
            </w:pPr>
            <w:r>
              <w:rPr>
                <w:b/>
                <w:sz w:val="22"/>
              </w:rPr>
              <w:t>problemas</w:t>
              <w:tab/>
              <w:t>de</w:t>
              <w:tab/>
              <w:t>la</w:t>
            </w:r>
          </w:p>
        </w:tc>
        <w:tc>
          <w:tcPr>
            <w:tcW w:w="3901" w:type="dxa"/>
            <w:tcBorders>
              <w:top w:val="nil"/>
              <w:bottom w:val="nil"/>
            </w:tcBorders>
            <w:shd w:val="clear" w:color="auto" w:fill="92CDDC"/>
          </w:tcPr>
          <w:p>
            <w:pPr>
              <w:pStyle w:val="TableParagraph"/>
              <w:spacing w:line="242" w:lineRule="exact"/>
              <w:rPr>
                <w:b/>
                <w:sz w:val="22"/>
              </w:rPr>
            </w:pPr>
            <w:r>
              <w:rPr>
                <w:b/>
                <w:sz w:val="22"/>
              </w:rPr>
              <w:t>Huapango?</w:t>
            </w:r>
          </w:p>
        </w:tc>
      </w:tr>
      <w:tr>
        <w:trPr>
          <w:trHeight w:val="250"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laguna Huapango?</w:t>
            </w:r>
          </w:p>
        </w:tc>
        <w:tc>
          <w:tcPr>
            <w:tcW w:w="3901" w:type="dxa"/>
            <w:tcBorders>
              <w:top w:val="nil"/>
            </w:tcBorders>
            <w:shd w:val="clear" w:color="auto" w:fill="92CDDC"/>
          </w:tcPr>
          <w:p>
            <w:pPr/>
          </w:p>
        </w:tc>
      </w:tr>
      <w:tr>
        <w:trPr>
          <w:trHeight w:val="269" w:hRule="exact"/>
        </w:trPr>
        <w:tc>
          <w:tcPr>
            <w:tcW w:w="1385" w:type="dxa"/>
            <w:tcBorders>
              <w:bottom w:val="nil"/>
            </w:tcBorders>
          </w:tcPr>
          <w:p>
            <w:pPr>
              <w:pStyle w:val="TableParagraph"/>
              <w:ind w:right="127"/>
              <w:rPr>
                <w:sz w:val="22"/>
              </w:rPr>
            </w:pPr>
            <w:r>
              <w:rPr>
                <w:sz w:val="22"/>
              </w:rPr>
              <w:t>Salvador</w:t>
            </w:r>
          </w:p>
        </w:tc>
        <w:tc>
          <w:tcPr>
            <w:tcW w:w="1274" w:type="dxa"/>
            <w:tcBorders>
              <w:bottom w:val="nil"/>
            </w:tcBorders>
          </w:tcPr>
          <w:p>
            <w:pPr>
              <w:pStyle w:val="TableParagraph"/>
              <w:ind w:left="100"/>
              <w:rPr>
                <w:sz w:val="22"/>
              </w:rPr>
            </w:pPr>
            <w:r>
              <w:rPr>
                <w:sz w:val="22"/>
              </w:rPr>
              <w:t>Licenciado</w:t>
            </w:r>
          </w:p>
        </w:tc>
        <w:tc>
          <w:tcPr>
            <w:tcW w:w="1887" w:type="dxa"/>
            <w:tcBorders>
              <w:bottom w:val="nil"/>
            </w:tcBorders>
          </w:tcPr>
          <w:p>
            <w:pPr>
              <w:pStyle w:val="TableParagraph"/>
              <w:rPr>
                <w:sz w:val="22"/>
              </w:rPr>
            </w:pPr>
            <w:r>
              <w:rPr>
                <w:sz w:val="22"/>
              </w:rPr>
              <w:t>Presidente</w:t>
            </w:r>
          </w:p>
        </w:tc>
        <w:tc>
          <w:tcPr>
            <w:tcW w:w="1289" w:type="dxa"/>
            <w:tcBorders>
              <w:bottom w:val="nil"/>
            </w:tcBorders>
          </w:tcPr>
          <w:p>
            <w:pPr>
              <w:pStyle w:val="TableParagraph"/>
              <w:rPr>
                <w:sz w:val="22"/>
              </w:rPr>
            </w:pPr>
            <w:r>
              <w:rPr>
                <w:sz w:val="22"/>
              </w:rPr>
              <w:t>Aculco</w:t>
            </w:r>
          </w:p>
        </w:tc>
        <w:tc>
          <w:tcPr>
            <w:tcW w:w="1174" w:type="dxa"/>
            <w:tcBorders>
              <w:bottom w:val="nil"/>
            </w:tcBorders>
          </w:tcPr>
          <w:p>
            <w:pPr>
              <w:pStyle w:val="TableParagraph"/>
              <w:rPr>
                <w:sz w:val="22"/>
              </w:rPr>
            </w:pPr>
            <w:r>
              <w:rPr>
                <w:sz w:val="22"/>
              </w:rPr>
              <w:t>Aculco</w:t>
            </w:r>
          </w:p>
        </w:tc>
        <w:tc>
          <w:tcPr>
            <w:tcW w:w="2314" w:type="dxa"/>
            <w:tcBorders>
              <w:bottom w:val="nil"/>
            </w:tcBorders>
          </w:tcPr>
          <w:p>
            <w:pPr>
              <w:pStyle w:val="TableParagraph"/>
              <w:ind w:left="100"/>
              <w:rPr>
                <w:sz w:val="22"/>
              </w:rPr>
            </w:pPr>
            <w:r>
              <w:rPr>
                <w:sz w:val="22"/>
              </w:rPr>
              <w:t>No   permitiendo   las</w:t>
            </w:r>
          </w:p>
        </w:tc>
        <w:tc>
          <w:tcPr>
            <w:tcW w:w="3901" w:type="dxa"/>
            <w:tcBorders>
              <w:bottom w:val="nil"/>
            </w:tcBorders>
          </w:tcPr>
          <w:p>
            <w:pPr>
              <w:pStyle w:val="TableParagraph"/>
              <w:rPr>
                <w:sz w:val="22"/>
              </w:rPr>
            </w:pPr>
            <w:r>
              <w:rPr>
                <w:sz w:val="22"/>
              </w:rPr>
              <w:t>La Conagua, El gobierno del estado y</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del Río</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15" w:val="left" w:leader="none"/>
                <w:tab w:pos="1832" w:val="left" w:leader="none"/>
              </w:tabs>
              <w:spacing w:line="241" w:lineRule="exact"/>
              <w:ind w:left="100"/>
              <w:rPr>
                <w:sz w:val="22"/>
              </w:rPr>
            </w:pPr>
            <w:r>
              <w:rPr>
                <w:sz w:val="22"/>
              </w:rPr>
              <w:t>descargas</w:t>
              <w:tab/>
              <w:t>o</w:t>
              <w:tab/>
              <w:t>que</w:t>
            </w:r>
          </w:p>
        </w:tc>
        <w:tc>
          <w:tcPr>
            <w:tcW w:w="3901" w:type="dxa"/>
            <w:tcBorders>
              <w:top w:val="nil"/>
              <w:bottom w:val="nil"/>
            </w:tcBorders>
          </w:tcPr>
          <w:p>
            <w:pPr>
              <w:pStyle w:val="TableParagraph"/>
              <w:spacing w:line="241" w:lineRule="exact"/>
              <w:rPr>
                <w:sz w:val="22"/>
              </w:rPr>
            </w:pPr>
            <w:r>
              <w:rPr>
                <w:sz w:val="22"/>
              </w:rPr>
              <w:t>el  gobierno  municipal,  es  decir,</w:t>
            </w:r>
            <w:r>
              <w:rPr>
                <w:spacing w:val="51"/>
                <w:sz w:val="22"/>
              </w:rPr>
              <w:t> </w:t>
            </w:r>
            <w:r>
              <w:rPr>
                <w:sz w:val="22"/>
              </w:rPr>
              <w:t>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0" w:right="98"/>
              <w:rPr>
                <w:sz w:val="22"/>
              </w:rPr>
            </w:pPr>
            <w:r>
              <w:rPr>
                <w:sz w:val="22"/>
              </w:rPr>
              <w:t>Ciencias</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sean aguas tratadas,</w:t>
            </w:r>
          </w:p>
        </w:tc>
        <w:tc>
          <w:tcPr>
            <w:tcW w:w="3901" w:type="dxa"/>
            <w:tcBorders>
              <w:top w:val="nil"/>
              <w:bottom w:val="nil"/>
            </w:tcBorders>
          </w:tcPr>
          <w:p>
            <w:pPr>
              <w:pStyle w:val="TableParagraph"/>
              <w:spacing w:line="241" w:lineRule="exact"/>
              <w:rPr>
                <w:sz w:val="22"/>
              </w:rPr>
            </w:pPr>
            <w:r>
              <w:rPr>
                <w:sz w:val="22"/>
              </w:rPr>
              <w:t>tres órdenes de gobierno.</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Políticas y</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66" w:val="left" w:leader="none"/>
                <w:tab w:pos="1384" w:val="left" w:leader="none"/>
                <w:tab w:pos="1957" w:val="left" w:leader="none"/>
              </w:tabs>
              <w:spacing w:line="242" w:lineRule="exact"/>
              <w:ind w:left="100"/>
              <w:rPr>
                <w:sz w:val="22"/>
              </w:rPr>
            </w:pPr>
            <w:r>
              <w:rPr>
                <w:sz w:val="22"/>
              </w:rPr>
              <w:t>de</w:t>
              <w:tab/>
              <w:t>hecho</w:t>
              <w:tab/>
              <w:t>hay</w:t>
              <w:tab/>
              <w:t>un</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274" w:type="dxa"/>
            <w:tcBorders>
              <w:top w:val="nil"/>
              <w:bottom w:val="nil"/>
            </w:tcBorders>
          </w:tcPr>
          <w:p>
            <w:pPr>
              <w:pStyle w:val="TableParagraph"/>
              <w:spacing w:line="241" w:lineRule="exact"/>
              <w:ind w:left="100"/>
              <w:rPr>
                <w:sz w:val="22"/>
              </w:rPr>
            </w:pPr>
            <w:r>
              <w:rPr>
                <w:sz w:val="22"/>
              </w:rPr>
              <w:t>Administra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proyecto ejecutivo de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ción</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66" w:val="left" w:leader="none"/>
                <w:tab w:pos="1957" w:val="left" w:leader="none"/>
              </w:tabs>
              <w:spacing w:line="242" w:lineRule="exact"/>
              <w:ind w:left="100"/>
              <w:rPr>
                <w:sz w:val="22"/>
              </w:rPr>
            </w:pPr>
            <w:r>
              <w:rPr>
                <w:sz w:val="22"/>
              </w:rPr>
              <w:t>la</w:t>
              <w:tab/>
              <w:t>Conagua</w:t>
              <w:tab/>
              <w:t>de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Pública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94" w:val="left" w:leader="none"/>
              </w:tabs>
              <w:spacing w:line="241" w:lineRule="exact"/>
              <w:ind w:left="100"/>
              <w:rPr>
                <w:sz w:val="22"/>
              </w:rPr>
            </w:pPr>
            <w:r>
              <w:rPr>
                <w:sz w:val="22"/>
              </w:rPr>
              <w:t>$300,000</w:t>
              <w:tab/>
              <w:t>millones</w:t>
            </w:r>
          </w:p>
        </w:tc>
        <w:tc>
          <w:tcPr>
            <w:tcW w:w="3901" w:type="dxa"/>
            <w:tcBorders>
              <w:top w:val="nil"/>
              <w:bottom w:val="nil"/>
            </w:tcBorders>
          </w:tcPr>
          <w:p>
            <w:pP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para   traer   el </w:t>
            </w:r>
            <w:r>
              <w:rPr>
                <w:spacing w:val="54"/>
                <w:sz w:val="22"/>
              </w:rPr>
              <w:t> </w:t>
            </w:r>
            <w:r>
              <w:rPr>
                <w:sz w:val="22"/>
              </w:rPr>
              <w:t>agua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tratada  de  Toluca  y</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meterla  a  la  laguna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808" w:val="left" w:leader="none"/>
                <w:tab w:pos="1443" w:val="left" w:leader="none"/>
              </w:tabs>
              <w:spacing w:line="242" w:lineRule="exact"/>
              <w:ind w:left="100"/>
              <w:rPr>
                <w:sz w:val="22"/>
              </w:rPr>
            </w:pPr>
            <w:r>
              <w:rPr>
                <w:sz w:val="22"/>
              </w:rPr>
              <w:t>para</w:t>
              <w:tab/>
              <w:t>que</w:t>
              <w:tab/>
              <w:t>alcance</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para regar.</w:t>
            </w:r>
          </w:p>
        </w:tc>
        <w:tc>
          <w:tcPr>
            <w:tcW w:w="3901" w:type="dxa"/>
            <w:tcBorders>
              <w:top w:val="nil"/>
            </w:tcBorders>
          </w:tcPr>
          <w:p>
            <w:pPr/>
          </w:p>
        </w:tc>
      </w:tr>
      <w:tr>
        <w:trPr>
          <w:trHeight w:val="262" w:hRule="exact"/>
        </w:trPr>
        <w:tc>
          <w:tcPr>
            <w:tcW w:w="1385" w:type="dxa"/>
          </w:tcPr>
          <w:p>
            <w:pPr>
              <w:pStyle w:val="TableParagraph"/>
              <w:spacing w:line="251" w:lineRule="exact"/>
              <w:ind w:right="127"/>
              <w:rPr>
                <w:sz w:val="22"/>
              </w:rPr>
            </w:pPr>
            <w:r>
              <w:rPr>
                <w:sz w:val="22"/>
              </w:rPr>
              <w:t>Rosalba</w:t>
            </w:r>
          </w:p>
        </w:tc>
        <w:tc>
          <w:tcPr>
            <w:tcW w:w="1274" w:type="dxa"/>
          </w:tcPr>
          <w:p>
            <w:pPr>
              <w:pStyle w:val="TableParagraph"/>
              <w:spacing w:line="251" w:lineRule="exact"/>
              <w:ind w:left="100"/>
              <w:rPr>
                <w:sz w:val="22"/>
              </w:rPr>
            </w:pPr>
            <w:r>
              <w:rPr>
                <w:sz w:val="22"/>
              </w:rPr>
              <w:t>Licenciada</w:t>
            </w:r>
          </w:p>
        </w:tc>
        <w:tc>
          <w:tcPr>
            <w:tcW w:w="1887" w:type="dxa"/>
          </w:tcPr>
          <w:p>
            <w:pPr>
              <w:pStyle w:val="TableParagraph"/>
              <w:spacing w:line="251" w:lineRule="exact"/>
              <w:rPr>
                <w:sz w:val="22"/>
              </w:rPr>
            </w:pPr>
            <w:r>
              <w:rPr>
                <w:sz w:val="22"/>
              </w:rPr>
              <w:t>Tercer Regidor.</w:t>
            </w:r>
          </w:p>
        </w:tc>
        <w:tc>
          <w:tcPr>
            <w:tcW w:w="1289" w:type="dxa"/>
          </w:tcPr>
          <w:p>
            <w:pPr>
              <w:pStyle w:val="TableParagraph"/>
              <w:spacing w:line="251" w:lineRule="exact"/>
              <w:rPr>
                <w:sz w:val="22"/>
              </w:rPr>
            </w:pPr>
            <w:r>
              <w:rPr>
                <w:sz w:val="22"/>
              </w:rPr>
              <w:t>Aculco</w:t>
            </w:r>
          </w:p>
        </w:tc>
        <w:tc>
          <w:tcPr>
            <w:tcW w:w="1174" w:type="dxa"/>
          </w:tcPr>
          <w:p>
            <w:pPr>
              <w:pStyle w:val="TableParagraph"/>
              <w:spacing w:line="251" w:lineRule="exact"/>
              <w:rPr>
                <w:sz w:val="22"/>
              </w:rPr>
            </w:pPr>
            <w:r>
              <w:rPr>
                <w:sz w:val="22"/>
              </w:rPr>
              <w:t>Aculco</w:t>
            </w:r>
          </w:p>
        </w:tc>
        <w:tc>
          <w:tcPr>
            <w:tcW w:w="2314" w:type="dxa"/>
          </w:tcPr>
          <w:p>
            <w:pPr>
              <w:pStyle w:val="TableParagraph"/>
              <w:spacing w:line="251" w:lineRule="exact"/>
              <w:ind w:left="100"/>
              <w:rPr>
                <w:sz w:val="22"/>
              </w:rPr>
            </w:pPr>
            <w:r>
              <w:rPr>
                <w:sz w:val="22"/>
              </w:rPr>
              <w:t>El   problema </w:t>
            </w:r>
            <w:r>
              <w:rPr>
                <w:spacing w:val="52"/>
                <w:sz w:val="22"/>
              </w:rPr>
              <w:t> </w:t>
            </w:r>
            <w:r>
              <w:rPr>
                <w:sz w:val="22"/>
              </w:rPr>
              <w:t>podría</w:t>
            </w:r>
          </w:p>
        </w:tc>
        <w:tc>
          <w:tcPr>
            <w:tcW w:w="3901" w:type="dxa"/>
          </w:tcPr>
          <w:p>
            <w:pPr>
              <w:pStyle w:val="TableParagraph"/>
              <w:spacing w:line="251" w:lineRule="exact"/>
              <w:rPr>
                <w:sz w:val="22"/>
              </w:rPr>
            </w:pPr>
            <w:r>
              <w:rPr>
                <w:sz w:val="22"/>
              </w:rPr>
              <w:t>Las autoridades municipales.</w:t>
            </w:r>
          </w:p>
        </w:tc>
      </w:tr>
    </w:tbl>
    <w:p>
      <w:pPr>
        <w:spacing w:after="0" w:line="251" w:lineRule="exact"/>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1022" w:hRule="exact"/>
        </w:trPr>
        <w:tc>
          <w:tcPr>
            <w:tcW w:w="1385" w:type="dxa"/>
          </w:tcPr>
          <w:p>
            <w:pPr>
              <w:pStyle w:val="TableParagraph"/>
              <w:spacing w:line="252" w:lineRule="exact" w:before="2"/>
              <w:ind w:right="127"/>
              <w:rPr>
                <w:sz w:val="22"/>
              </w:rPr>
            </w:pPr>
            <w:r>
              <w:rPr>
                <w:sz w:val="22"/>
              </w:rPr>
              <w:t>Peralta Tovar</w:t>
            </w:r>
          </w:p>
          <w:p>
            <w:pPr>
              <w:pStyle w:val="TableParagraph"/>
              <w:spacing w:before="8"/>
              <w:ind w:left="0"/>
              <w:rPr>
                <w:rFonts w:ascii="Times New Roman"/>
                <w:sz w:val="21"/>
              </w:rPr>
            </w:pPr>
          </w:p>
          <w:p>
            <w:pPr>
              <w:pStyle w:val="TableParagraph"/>
              <w:rPr>
                <w:sz w:val="22"/>
              </w:rPr>
            </w:pPr>
            <w:r>
              <w:rPr>
                <w:sz w:val="22"/>
              </w:rPr>
              <w:t>(18/7/2014)</w:t>
            </w:r>
          </w:p>
        </w:tc>
        <w:tc>
          <w:tcPr>
            <w:tcW w:w="1274" w:type="dxa"/>
          </w:tcPr>
          <w:p>
            <w:pPr>
              <w:pStyle w:val="TableParagraph"/>
              <w:spacing w:line="252" w:lineRule="exact" w:before="2"/>
              <w:ind w:left="100" w:right="117"/>
              <w:rPr>
                <w:sz w:val="22"/>
              </w:rPr>
            </w:pPr>
            <w:r>
              <w:rPr>
                <w:sz w:val="22"/>
              </w:rPr>
              <w:t>en Educación</w:t>
            </w:r>
          </w:p>
        </w:tc>
        <w:tc>
          <w:tcPr>
            <w:tcW w:w="1887" w:type="dxa"/>
          </w:tcPr>
          <w:p>
            <w:pPr>
              <w:pStyle w:val="TableParagraph"/>
              <w:ind w:right="384"/>
              <w:rPr>
                <w:sz w:val="22"/>
              </w:rPr>
            </w:pPr>
            <w:r>
              <w:rPr>
                <w:sz w:val="22"/>
              </w:rPr>
              <w:t>Encargada de ecología y Asuntos Indígenas</w:t>
            </w:r>
          </w:p>
        </w:tc>
        <w:tc>
          <w:tcPr>
            <w:tcW w:w="1289" w:type="dxa"/>
          </w:tcPr>
          <w:p>
            <w:pPr/>
          </w:p>
        </w:tc>
        <w:tc>
          <w:tcPr>
            <w:tcW w:w="1174" w:type="dxa"/>
          </w:tcPr>
          <w:p>
            <w:pPr/>
          </w:p>
        </w:tc>
        <w:tc>
          <w:tcPr>
            <w:tcW w:w="2314" w:type="dxa"/>
          </w:tcPr>
          <w:p>
            <w:pPr>
              <w:pStyle w:val="TableParagraph"/>
              <w:ind w:left="100" w:right="109"/>
              <w:rPr>
                <w:sz w:val="22"/>
              </w:rPr>
            </w:pPr>
            <w:r>
              <w:rPr>
                <w:sz w:val="22"/>
              </w:rPr>
              <w:t>solucionarse tomando medidas en el</w:t>
            </w:r>
            <w:r>
              <w:rPr>
                <w:spacing w:val="1"/>
                <w:sz w:val="22"/>
              </w:rPr>
              <w:t> </w:t>
            </w:r>
            <w:r>
              <w:rPr>
                <w:sz w:val="22"/>
              </w:rPr>
              <w:t>asunto.</w:t>
            </w:r>
          </w:p>
        </w:tc>
        <w:tc>
          <w:tcPr>
            <w:tcW w:w="3901" w:type="dxa"/>
          </w:tcPr>
          <w:p>
            <w:pPr/>
          </w:p>
        </w:tc>
      </w:tr>
      <w:tr>
        <w:trPr>
          <w:trHeight w:val="1781" w:hRule="exact"/>
        </w:trPr>
        <w:tc>
          <w:tcPr>
            <w:tcW w:w="1385" w:type="dxa"/>
          </w:tcPr>
          <w:p>
            <w:pPr>
              <w:pStyle w:val="TableParagraph"/>
              <w:tabs>
                <w:tab w:pos="1029" w:val="left" w:leader="none"/>
              </w:tabs>
              <w:ind w:right="98"/>
              <w:rPr>
                <w:sz w:val="22"/>
              </w:rPr>
            </w:pPr>
            <w:r>
              <w:rPr>
                <w:sz w:val="22"/>
              </w:rPr>
              <w:t>Yanet</w:t>
              <w:tab/>
              <w:t>de Jesús Carmen</w:t>
            </w:r>
          </w:p>
          <w:p>
            <w:pPr>
              <w:pStyle w:val="TableParagraph"/>
              <w:spacing w:before="10"/>
              <w:ind w:left="0"/>
              <w:rPr>
                <w:rFonts w:ascii="Times New Roman"/>
                <w:sz w:val="21"/>
              </w:rPr>
            </w:pPr>
          </w:p>
          <w:p>
            <w:pPr>
              <w:pStyle w:val="TableParagraph"/>
              <w:rPr>
                <w:sz w:val="22"/>
              </w:rPr>
            </w:pPr>
            <w:r>
              <w:rPr>
                <w:sz w:val="22"/>
              </w:rPr>
              <w:t>(18/7/2014)</w:t>
            </w:r>
          </w:p>
        </w:tc>
        <w:tc>
          <w:tcPr>
            <w:tcW w:w="1274" w:type="dxa"/>
          </w:tcPr>
          <w:p>
            <w:pPr>
              <w:pStyle w:val="TableParagraph"/>
              <w:spacing w:line="252" w:lineRule="exact" w:before="2"/>
              <w:ind w:left="100" w:right="105"/>
              <w:rPr>
                <w:sz w:val="22"/>
              </w:rPr>
            </w:pPr>
            <w:r>
              <w:rPr>
                <w:sz w:val="22"/>
              </w:rPr>
              <w:t>Preparator ia</w:t>
            </w:r>
          </w:p>
        </w:tc>
        <w:tc>
          <w:tcPr>
            <w:tcW w:w="1887" w:type="dxa"/>
          </w:tcPr>
          <w:p>
            <w:pPr>
              <w:pStyle w:val="TableParagraph"/>
              <w:tabs>
                <w:tab w:pos="1528" w:val="left" w:leader="none"/>
                <w:tab w:pos="1662" w:val="left" w:leader="none"/>
              </w:tabs>
              <w:ind w:right="101"/>
              <w:rPr>
                <w:sz w:val="22"/>
              </w:rPr>
            </w:pPr>
            <w:r>
              <w:rPr>
                <w:sz w:val="22"/>
              </w:rPr>
              <w:t>Cuarto Regidor. Encargada</w:t>
              <w:tab/>
              <w:t>de Turismo, Desarrollo Económico, Mercados</w:t>
              <w:tab/>
              <w:tab/>
              <w:t>y Tianguis</w:t>
            </w:r>
          </w:p>
        </w:tc>
        <w:tc>
          <w:tcPr>
            <w:tcW w:w="1289" w:type="dxa"/>
          </w:tcPr>
          <w:p>
            <w:pPr>
              <w:pStyle w:val="TableParagraph"/>
              <w:spacing w:line="251" w:lineRule="exact"/>
              <w:ind w:left="223"/>
              <w:rPr>
                <w:sz w:val="22"/>
              </w:rPr>
            </w:pPr>
            <w:r>
              <w:rPr>
                <w:sz w:val="22"/>
              </w:rPr>
              <w:t>Timilpan</w:t>
            </w:r>
          </w:p>
        </w:tc>
        <w:tc>
          <w:tcPr>
            <w:tcW w:w="1174" w:type="dxa"/>
          </w:tcPr>
          <w:p>
            <w:pPr>
              <w:pStyle w:val="TableParagraph"/>
              <w:spacing w:line="251" w:lineRule="exact"/>
              <w:ind w:left="0" w:right="249"/>
              <w:jc w:val="right"/>
              <w:rPr>
                <w:sz w:val="22"/>
              </w:rPr>
            </w:pPr>
            <w:r>
              <w:rPr>
                <w:sz w:val="22"/>
              </w:rPr>
              <w:t>Aculco</w:t>
            </w:r>
          </w:p>
        </w:tc>
        <w:tc>
          <w:tcPr>
            <w:tcW w:w="2314" w:type="dxa"/>
          </w:tcPr>
          <w:p>
            <w:pPr>
              <w:pStyle w:val="TableParagraph"/>
              <w:ind w:left="100" w:right="99"/>
              <w:jc w:val="both"/>
              <w:rPr>
                <w:sz w:val="22"/>
              </w:rPr>
            </w:pPr>
            <w:r>
              <w:rPr>
                <w:sz w:val="22"/>
              </w:rPr>
              <w:t>Concientizando a la gente y hacer que participe la  gente que se beneficia  de la laguna.</w:t>
            </w:r>
          </w:p>
        </w:tc>
        <w:tc>
          <w:tcPr>
            <w:tcW w:w="3901" w:type="dxa"/>
          </w:tcPr>
          <w:p>
            <w:pPr>
              <w:pStyle w:val="TableParagraph"/>
              <w:ind w:right="100"/>
              <w:jc w:val="both"/>
              <w:rPr>
                <w:sz w:val="22"/>
              </w:rPr>
            </w:pPr>
            <w:r>
              <w:rPr>
                <w:sz w:val="22"/>
              </w:rPr>
              <w:t>Todos: el gobierno federal, el gobierno estatal, el gobierno municipal y los ciudadanos.</w:t>
            </w:r>
          </w:p>
        </w:tc>
      </w:tr>
      <w:tr>
        <w:trPr>
          <w:trHeight w:val="266" w:hRule="exact"/>
        </w:trPr>
        <w:tc>
          <w:tcPr>
            <w:tcW w:w="1385" w:type="dxa"/>
            <w:tcBorders>
              <w:bottom w:val="nil"/>
            </w:tcBorders>
          </w:tcPr>
          <w:p>
            <w:pPr>
              <w:pStyle w:val="TableParagraph"/>
              <w:spacing w:line="251" w:lineRule="exact"/>
              <w:rPr>
                <w:sz w:val="22"/>
              </w:rPr>
            </w:pPr>
            <w:r>
              <w:rPr>
                <w:sz w:val="22"/>
              </w:rPr>
              <w:t>Edgar Nava</w:t>
            </w:r>
          </w:p>
        </w:tc>
        <w:tc>
          <w:tcPr>
            <w:tcW w:w="1274" w:type="dxa"/>
            <w:tcBorders>
              <w:bottom w:val="nil"/>
            </w:tcBorders>
          </w:tcPr>
          <w:p>
            <w:pPr>
              <w:pStyle w:val="TableParagraph"/>
              <w:spacing w:line="251" w:lineRule="exact"/>
              <w:ind w:left="105"/>
              <w:rPr>
                <w:sz w:val="22"/>
              </w:rPr>
            </w:pPr>
            <w:r>
              <w:rPr>
                <w:sz w:val="22"/>
              </w:rPr>
              <w:t>Licenciado</w:t>
            </w: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ind w:left="309"/>
              <w:rPr>
                <w:sz w:val="22"/>
              </w:rPr>
            </w:pPr>
            <w:r>
              <w:rPr>
                <w:sz w:val="22"/>
              </w:rPr>
              <w:t>Toluca</w:t>
            </w:r>
          </w:p>
        </w:tc>
        <w:tc>
          <w:tcPr>
            <w:tcW w:w="1174" w:type="dxa"/>
            <w:tcBorders>
              <w:bottom w:val="nil"/>
            </w:tcBorders>
          </w:tcPr>
          <w:p>
            <w:pPr>
              <w:pStyle w:val="TableParagraph"/>
              <w:spacing w:line="251" w:lineRule="exact"/>
              <w:ind w:left="0" w:right="249"/>
              <w:jc w:val="righ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Realizando</w:t>
            </w:r>
          </w:p>
        </w:tc>
        <w:tc>
          <w:tcPr>
            <w:tcW w:w="3901" w:type="dxa"/>
            <w:tcBorders>
              <w:bottom w:val="nil"/>
            </w:tcBorders>
          </w:tcPr>
          <w:p>
            <w:pPr>
              <w:pStyle w:val="TableParagraph"/>
              <w:spacing w:line="251" w:lineRule="exact"/>
              <w:rPr>
                <w:sz w:val="22"/>
              </w:rPr>
            </w:pPr>
            <w:r>
              <w:rPr>
                <w:sz w:val="22"/>
              </w:rPr>
              <w:t>La federación, el Gobierno del estado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Hidalgo</w:t>
            </w:r>
          </w:p>
        </w:tc>
        <w:tc>
          <w:tcPr>
            <w:tcW w:w="1274" w:type="dxa"/>
            <w:tcBorders>
              <w:top w:val="nil"/>
              <w:bottom w:val="nil"/>
            </w:tcBorders>
          </w:tcPr>
          <w:p>
            <w:pPr>
              <w:pStyle w:val="TableParagraph"/>
              <w:spacing w:line="241" w:lineRule="exact"/>
              <w:ind w:left="105" w:right="105"/>
              <w:jc w:val="center"/>
              <w:rPr>
                <w:sz w:val="22"/>
              </w:rPr>
            </w:pPr>
            <w:r>
              <w:rPr>
                <w:sz w:val="22"/>
              </w:rPr>
              <w:t>en</w:t>
            </w:r>
          </w:p>
        </w:tc>
        <w:tc>
          <w:tcPr>
            <w:tcW w:w="1887" w:type="dxa"/>
            <w:tcBorders>
              <w:top w:val="nil"/>
              <w:bottom w:val="nil"/>
            </w:tcBorders>
          </w:tcPr>
          <w:p>
            <w:pPr>
              <w:pStyle w:val="TableParagraph"/>
              <w:tabs>
                <w:tab w:pos="1660" w:val="left" w:leader="none"/>
              </w:tabs>
              <w:spacing w:line="241" w:lineRule="exact"/>
              <w:rPr>
                <w:sz w:val="22"/>
              </w:rPr>
            </w:pPr>
            <w:r>
              <w:rPr>
                <w:sz w:val="22"/>
              </w:rPr>
              <w:t>Ecología</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91" w:val="left" w:leader="none"/>
              </w:tabs>
              <w:spacing w:line="241" w:lineRule="exact"/>
              <w:ind w:left="100"/>
              <w:rPr>
                <w:sz w:val="22"/>
              </w:rPr>
            </w:pPr>
            <w:r>
              <w:rPr>
                <w:sz w:val="22"/>
              </w:rPr>
              <w:t>programas</w:t>
              <w:tab/>
              <w:t>y</w:t>
            </w:r>
          </w:p>
        </w:tc>
        <w:tc>
          <w:tcPr>
            <w:tcW w:w="3901" w:type="dxa"/>
            <w:tcBorders>
              <w:top w:val="nil"/>
              <w:bottom w:val="nil"/>
            </w:tcBorders>
          </w:tcPr>
          <w:p>
            <w:pPr>
              <w:pStyle w:val="TableParagraph"/>
              <w:spacing w:line="241" w:lineRule="exact"/>
              <w:rPr>
                <w:sz w:val="22"/>
              </w:rPr>
            </w:pPr>
            <w:r>
              <w:rPr>
                <w:sz w:val="22"/>
              </w:rPr>
              <w:t>y el municipio.</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213" w:right="98"/>
              <w:rPr>
                <w:sz w:val="22"/>
              </w:rPr>
            </w:pPr>
            <w:r>
              <w:rPr>
                <w:sz w:val="22"/>
              </w:rPr>
              <w:t>Derecho</w:t>
            </w:r>
          </w:p>
        </w:tc>
        <w:tc>
          <w:tcPr>
            <w:tcW w:w="1887" w:type="dxa"/>
            <w:tcBorders>
              <w:top w:val="nil"/>
              <w:bottom w:val="nil"/>
            </w:tcBorders>
          </w:tcPr>
          <w:p>
            <w:pPr>
              <w:pStyle w:val="TableParagraph"/>
              <w:spacing w:line="242" w:lineRule="exact"/>
              <w:rPr>
                <w:sz w:val="22"/>
              </w:rPr>
            </w:pPr>
            <w:r>
              <w:rPr>
                <w:sz w:val="22"/>
              </w:rPr>
              <w:t>Medio Ambiente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acciones</w:t>
            </w:r>
          </w:p>
        </w:tc>
        <w:tc>
          <w:tcPr>
            <w:tcW w:w="3901"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(21/I/2014)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coordinadas  con  las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270" w:val="left" w:leader="none"/>
              </w:tabs>
              <w:spacing w:line="241" w:lineRule="exact"/>
              <w:ind w:left="100"/>
              <w:rPr>
                <w:sz w:val="22"/>
              </w:rPr>
            </w:pPr>
            <w:r>
              <w:rPr>
                <w:sz w:val="22"/>
              </w:rPr>
              <w:t>diferentes</w:t>
              <w:tab/>
              <w:t>estancias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federales, estatales y</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760" w:val="left" w:leader="none"/>
              </w:tabs>
              <w:spacing w:line="241" w:lineRule="exact"/>
              <w:ind w:left="100"/>
              <w:rPr>
                <w:sz w:val="22"/>
              </w:rPr>
            </w:pPr>
            <w:r>
              <w:rPr>
                <w:sz w:val="22"/>
              </w:rPr>
              <w:t>municipales</w:t>
              <w:tab/>
              <w:t>para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69" w:val="left" w:leader="none"/>
              </w:tabs>
              <w:spacing w:line="243" w:lineRule="exact"/>
              <w:ind w:left="100"/>
              <w:rPr>
                <w:sz w:val="22"/>
              </w:rPr>
            </w:pPr>
            <w:r>
              <w:rPr>
                <w:sz w:val="22"/>
              </w:rPr>
              <w:t>recuperar</w:t>
              <w:tab/>
              <w:t>su</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89" w:val="left" w:leader="none"/>
              </w:tabs>
              <w:spacing w:line="241" w:lineRule="exact"/>
              <w:ind w:left="100"/>
              <w:rPr>
                <w:sz w:val="22"/>
              </w:rPr>
            </w:pPr>
            <w:r>
              <w:rPr>
                <w:sz w:val="22"/>
              </w:rPr>
              <w:t>importante</w:t>
              <w:tab/>
              <w:t>función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que  es  la  captación</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de agua pluvial.</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Style w:val="TableParagraph"/>
              <w:spacing w:line="251" w:lineRule="exact"/>
              <w:ind w:left="170" w:right="98"/>
              <w:rPr>
                <w:sz w:val="22"/>
              </w:rPr>
            </w:pPr>
            <w:r>
              <w:rPr>
                <w:sz w:val="22"/>
              </w:rPr>
              <w:t>Ingeniero</w:t>
            </w: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Concientizando  a  la</w:t>
            </w:r>
          </w:p>
        </w:tc>
        <w:tc>
          <w:tcPr>
            <w:tcW w:w="3901" w:type="dxa"/>
            <w:tcBorders>
              <w:bottom w:val="nil"/>
            </w:tcBorders>
          </w:tcPr>
          <w:p>
            <w:pPr>
              <w:pStyle w:val="TableParagraph"/>
              <w:spacing w:line="251" w:lineRule="exact"/>
              <w:rPr>
                <w:sz w:val="22"/>
              </w:rPr>
            </w:pPr>
            <w:r>
              <w:rPr>
                <w:sz w:val="22"/>
              </w:rPr>
              <w:t>Las autoridades y la misma gente.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Andrade</w:t>
            </w:r>
          </w:p>
        </w:tc>
        <w:tc>
          <w:tcPr>
            <w:tcW w:w="1274" w:type="dxa"/>
            <w:tcBorders>
              <w:top w:val="nil"/>
              <w:bottom w:val="nil"/>
            </w:tcBorders>
          </w:tcPr>
          <w:p>
            <w:pPr>
              <w:pStyle w:val="TableParagraph"/>
              <w:spacing w:line="242" w:lineRule="exact"/>
              <w:ind w:left="122"/>
              <w:rPr>
                <w:sz w:val="22"/>
              </w:rPr>
            </w:pPr>
            <w:r>
              <w:rPr>
                <w:sz w:val="22"/>
              </w:rPr>
              <w:t>Agrónomo</w:t>
            </w: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25" w:val="left" w:leader="none"/>
                <w:tab w:pos="1306" w:val="left" w:leader="none"/>
              </w:tabs>
              <w:spacing w:line="242" w:lineRule="exact"/>
              <w:ind w:left="100"/>
              <w:rPr>
                <w:sz w:val="22"/>
              </w:rPr>
            </w:pPr>
            <w:r>
              <w:rPr>
                <w:sz w:val="22"/>
              </w:rPr>
              <w:t>gente</w:t>
              <w:tab/>
              <w:t>y</w:t>
              <w:tab/>
              <w:t>haciendo</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Lugo</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57" w:val="left" w:leader="none"/>
                <w:tab w:pos="2091" w:val="left" w:leader="none"/>
              </w:tabs>
              <w:spacing w:line="241" w:lineRule="exact"/>
              <w:ind w:left="100"/>
              <w:rPr>
                <w:sz w:val="22"/>
              </w:rPr>
            </w:pPr>
            <w:r>
              <w:rPr>
                <w:sz w:val="22"/>
              </w:rPr>
              <w:t>fosas</w:t>
              <w:tab/>
              <w:t>sépticas</w:t>
              <w:tab/>
              <w:t>y</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tratando el lirio.</w:t>
            </w:r>
          </w:p>
        </w:tc>
        <w:tc>
          <w:tcPr>
            <w:tcW w:w="3901" w:type="dxa"/>
            <w:tcBorders>
              <w:top w:val="nil"/>
              <w:bottom w:val="nil"/>
            </w:tcBorders>
          </w:tcPr>
          <w:p>
            <w:pPr/>
          </w:p>
        </w:tc>
      </w:tr>
      <w:tr>
        <w:trPr>
          <w:trHeight w:val="247" w:hRule="exact"/>
        </w:trPr>
        <w:tc>
          <w:tcPr>
            <w:tcW w:w="1385" w:type="dxa"/>
            <w:tcBorders>
              <w:top w:val="nil"/>
            </w:tcBorders>
          </w:tcPr>
          <w:p>
            <w:pPr>
              <w:pStyle w:val="TableParagraph"/>
              <w:spacing w:line="241" w:lineRule="exact"/>
              <w:ind w:left="155"/>
              <w:rPr>
                <w:sz w:val="22"/>
              </w:rPr>
            </w:pPr>
            <w:r>
              <w:rPr>
                <w:sz w:val="22"/>
              </w:rPr>
              <w:t>(31/I/2015)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9" w:hRule="exact"/>
        </w:trPr>
        <w:tc>
          <w:tcPr>
            <w:tcW w:w="1385" w:type="dxa"/>
            <w:tcBorders>
              <w:bottom w:val="nil"/>
            </w:tcBorders>
          </w:tcPr>
          <w:p>
            <w:pPr>
              <w:pStyle w:val="TableParagraph"/>
              <w:rPr>
                <w:sz w:val="22"/>
              </w:rPr>
            </w:pPr>
            <w:r>
              <w:rPr>
                <w:sz w:val="22"/>
              </w:rPr>
              <w:t>Isac del Río</w:t>
            </w:r>
          </w:p>
        </w:tc>
        <w:tc>
          <w:tcPr>
            <w:tcW w:w="1274" w:type="dxa"/>
            <w:tcBorders>
              <w:bottom w:val="nil"/>
            </w:tcBorders>
          </w:tcPr>
          <w:p>
            <w:pPr>
              <w:pStyle w:val="TableParagraph"/>
              <w:ind w:left="100"/>
              <w:rPr>
                <w:sz w:val="22"/>
              </w:rPr>
            </w:pPr>
            <w:r>
              <w:rPr>
                <w:sz w:val="22"/>
              </w:rPr>
              <w:t>Licenciado</w:t>
            </w:r>
          </w:p>
        </w:tc>
        <w:tc>
          <w:tcPr>
            <w:tcW w:w="1887" w:type="dxa"/>
            <w:tcBorders>
              <w:bottom w:val="nil"/>
            </w:tcBorders>
          </w:tcPr>
          <w:p>
            <w:pPr>
              <w:pStyle w:val="TableParagraph"/>
              <w:tabs>
                <w:tab w:pos="1528" w:val="left" w:leader="none"/>
              </w:tabs>
              <w:rPr>
                <w:sz w:val="22"/>
              </w:rPr>
            </w:pPr>
            <w:r>
              <w:rPr>
                <w:sz w:val="22"/>
              </w:rPr>
              <w:t>Coordinador</w:t>
              <w:tab/>
              <w:t>de</w:t>
            </w:r>
          </w:p>
        </w:tc>
        <w:tc>
          <w:tcPr>
            <w:tcW w:w="1289" w:type="dxa"/>
            <w:tcBorders>
              <w:bottom w:val="nil"/>
            </w:tcBorders>
          </w:tcPr>
          <w:p>
            <w:pPr>
              <w:pStyle w:val="TableParagraph"/>
              <w:ind w:left="309"/>
              <w:rPr>
                <w:sz w:val="22"/>
              </w:rPr>
            </w:pPr>
            <w:r>
              <w:rPr>
                <w:sz w:val="22"/>
              </w:rPr>
              <w:t>Aculco</w:t>
            </w:r>
          </w:p>
        </w:tc>
        <w:tc>
          <w:tcPr>
            <w:tcW w:w="1174" w:type="dxa"/>
            <w:tcBorders>
              <w:bottom w:val="nil"/>
            </w:tcBorders>
          </w:tcPr>
          <w:p>
            <w:pPr>
              <w:pStyle w:val="TableParagraph"/>
              <w:ind w:left="0" w:right="249"/>
              <w:jc w:val="right"/>
              <w:rPr>
                <w:sz w:val="22"/>
              </w:rPr>
            </w:pPr>
            <w:r>
              <w:rPr>
                <w:sz w:val="22"/>
              </w:rPr>
              <w:t>Aculco</w:t>
            </w:r>
          </w:p>
        </w:tc>
        <w:tc>
          <w:tcPr>
            <w:tcW w:w="2314" w:type="dxa"/>
            <w:tcBorders>
              <w:bottom w:val="nil"/>
            </w:tcBorders>
          </w:tcPr>
          <w:p>
            <w:pPr>
              <w:pStyle w:val="TableParagraph"/>
              <w:tabs>
                <w:tab w:pos="2027" w:val="left" w:leader="none"/>
              </w:tabs>
              <w:ind w:left="100"/>
              <w:rPr>
                <w:sz w:val="22"/>
              </w:rPr>
            </w:pPr>
            <w:r>
              <w:rPr>
                <w:sz w:val="22"/>
              </w:rPr>
              <w:t>Evitando</w:t>
              <w:tab/>
              <w:t>la</w:t>
            </w:r>
          </w:p>
        </w:tc>
        <w:tc>
          <w:tcPr>
            <w:tcW w:w="3901" w:type="dxa"/>
            <w:tcBorders>
              <w:bottom w:val="nil"/>
            </w:tcBorders>
          </w:tcPr>
          <w:p>
            <w:pPr>
              <w:pStyle w:val="TableParagraph"/>
              <w:rPr>
                <w:sz w:val="22"/>
              </w:rPr>
            </w:pPr>
            <w:r>
              <w:rPr>
                <w:sz w:val="22"/>
              </w:rPr>
              <w:t>La misma población es la que debe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descarga.</w:t>
            </w:r>
          </w:p>
        </w:tc>
        <w:tc>
          <w:tcPr>
            <w:tcW w:w="3901" w:type="dxa"/>
            <w:tcBorders>
              <w:top w:val="nil"/>
              <w:bottom w:val="nil"/>
            </w:tcBorders>
          </w:tcPr>
          <w:p>
            <w:pPr>
              <w:pStyle w:val="TableParagraph"/>
              <w:spacing w:line="241" w:lineRule="exact"/>
              <w:rPr>
                <w:sz w:val="22"/>
              </w:rPr>
            </w:pPr>
            <w:r>
              <w:rPr>
                <w:sz w:val="22"/>
              </w:rPr>
              <w:t>tomar cartas en el asunto.</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Comunica</w:t>
            </w:r>
          </w:p>
        </w:tc>
        <w:tc>
          <w:tcPr>
            <w:tcW w:w="1887" w:type="dxa"/>
            <w:tcBorders>
              <w:top w:val="nil"/>
              <w:bottom w:val="nil"/>
            </w:tcBorders>
          </w:tcPr>
          <w:p>
            <w:pPr>
              <w:pStyle w:val="TableParagraph"/>
              <w:spacing w:line="241"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9" w:hRule="exact"/>
        </w:trPr>
        <w:tc>
          <w:tcPr>
            <w:tcW w:w="1385" w:type="dxa"/>
            <w:tcBorders>
              <w:top w:val="nil"/>
            </w:tcBorders>
          </w:tcPr>
          <w:p>
            <w:pPr>
              <w:pStyle w:val="TableParagraph"/>
              <w:spacing w:line="242" w:lineRule="exact"/>
              <w:ind w:right="127"/>
              <w:rPr>
                <w:sz w:val="22"/>
              </w:rPr>
            </w:pPr>
            <w:r>
              <w:rPr>
                <w:sz w:val="22"/>
              </w:rPr>
              <w:t>(27/I/2015)</w:t>
            </w:r>
          </w:p>
        </w:tc>
        <w:tc>
          <w:tcPr>
            <w:tcW w:w="1274" w:type="dxa"/>
            <w:tcBorders>
              <w:top w:val="nil"/>
            </w:tcBorders>
          </w:tcPr>
          <w:p>
            <w:pPr>
              <w:pStyle w:val="TableParagraph"/>
              <w:spacing w:line="242" w:lineRule="exact"/>
              <w:ind w:left="100" w:right="98"/>
              <w:rPr>
                <w:sz w:val="22"/>
              </w:rPr>
            </w:pPr>
            <w:r>
              <w:rPr>
                <w:sz w:val="22"/>
              </w:rPr>
              <w:t>ción</w:t>
            </w: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770" w:hRule="exact"/>
        </w:trPr>
        <w:tc>
          <w:tcPr>
            <w:tcW w:w="1385" w:type="dxa"/>
          </w:tcPr>
          <w:p>
            <w:pPr>
              <w:pStyle w:val="TableParagraph"/>
              <w:ind w:right="506"/>
              <w:rPr>
                <w:sz w:val="22"/>
              </w:rPr>
            </w:pPr>
            <w:r>
              <w:rPr>
                <w:sz w:val="22"/>
              </w:rPr>
              <w:t>Arturo Becerril Ortega</w:t>
            </w:r>
          </w:p>
        </w:tc>
        <w:tc>
          <w:tcPr>
            <w:tcW w:w="1274" w:type="dxa"/>
          </w:tcPr>
          <w:p>
            <w:pPr>
              <w:pStyle w:val="TableParagraph"/>
              <w:ind w:left="100" w:right="227"/>
              <w:rPr>
                <w:sz w:val="22"/>
              </w:rPr>
            </w:pPr>
            <w:r>
              <w:rPr>
                <w:sz w:val="22"/>
              </w:rPr>
              <w:t>Ingeniero en Sistemas</w:t>
            </w:r>
          </w:p>
        </w:tc>
        <w:tc>
          <w:tcPr>
            <w:tcW w:w="1887" w:type="dxa"/>
          </w:tcPr>
          <w:p>
            <w:pPr>
              <w:pStyle w:val="TableParagraph"/>
              <w:tabs>
                <w:tab w:pos="1480" w:val="left" w:leader="none"/>
              </w:tabs>
              <w:spacing w:line="251" w:lineRule="exact"/>
              <w:rPr>
                <w:sz w:val="22"/>
              </w:rPr>
            </w:pPr>
            <w:r>
              <w:rPr>
                <w:sz w:val="22"/>
              </w:rPr>
              <w:t>Jefe</w:t>
              <w:tab/>
              <w:t>del</w:t>
            </w:r>
          </w:p>
          <w:p>
            <w:pPr>
              <w:pStyle w:val="TableParagraph"/>
              <w:tabs>
                <w:tab w:pos="1149" w:val="left" w:leader="none"/>
              </w:tabs>
              <w:spacing w:before="1"/>
              <w:ind w:right="102"/>
              <w:rPr>
                <w:sz w:val="22"/>
              </w:rPr>
            </w:pPr>
            <w:r>
              <w:rPr>
                <w:sz w:val="22"/>
              </w:rPr>
              <w:t>Departamento de</w:t>
              <w:tab/>
            </w:r>
            <w:r>
              <w:rPr>
                <w:spacing w:val="-1"/>
                <w:sz w:val="22"/>
              </w:rPr>
              <w:t>Aguas</w:t>
            </w:r>
          </w:p>
        </w:tc>
        <w:tc>
          <w:tcPr>
            <w:tcW w:w="1289" w:type="dxa"/>
          </w:tcPr>
          <w:p>
            <w:pPr>
              <w:pStyle w:val="TableParagraph"/>
              <w:ind w:left="309" w:right="307" w:firstLine="4"/>
              <w:jc w:val="both"/>
              <w:rPr>
                <w:sz w:val="22"/>
              </w:rPr>
            </w:pPr>
            <w:r>
              <w:rPr>
                <w:sz w:val="22"/>
              </w:rPr>
              <w:t>Arroyo Zarco, Aculco</w:t>
            </w:r>
          </w:p>
        </w:tc>
        <w:tc>
          <w:tcPr>
            <w:tcW w:w="1174" w:type="dxa"/>
          </w:tcPr>
          <w:p>
            <w:pPr>
              <w:pStyle w:val="TableParagraph"/>
              <w:ind w:left="251" w:right="249" w:firstLine="4"/>
              <w:jc w:val="both"/>
              <w:rPr>
                <w:sz w:val="22"/>
              </w:rPr>
            </w:pPr>
            <w:r>
              <w:rPr>
                <w:sz w:val="22"/>
              </w:rPr>
              <w:t>Arroyo Zarco, Aculco</w:t>
            </w:r>
          </w:p>
        </w:tc>
        <w:tc>
          <w:tcPr>
            <w:tcW w:w="2314" w:type="dxa"/>
          </w:tcPr>
          <w:p>
            <w:pPr>
              <w:pStyle w:val="TableParagraph"/>
              <w:tabs>
                <w:tab w:pos="1859" w:val="left" w:leader="none"/>
              </w:tabs>
              <w:ind w:left="100" w:right="99"/>
              <w:rPr>
                <w:sz w:val="22"/>
              </w:rPr>
            </w:pPr>
            <w:r>
              <w:rPr>
                <w:sz w:val="22"/>
              </w:rPr>
              <w:t>Operando debidamente</w:t>
              <w:tab/>
              <w:t>sus plantas  tratadoras </w:t>
            </w:r>
            <w:r>
              <w:rPr>
                <w:spacing w:val="41"/>
                <w:sz w:val="22"/>
              </w:rPr>
              <w:t> </w:t>
            </w:r>
            <w:r>
              <w:rPr>
                <w:sz w:val="22"/>
              </w:rPr>
              <w:t>y</w:t>
            </w:r>
          </w:p>
        </w:tc>
        <w:tc>
          <w:tcPr>
            <w:tcW w:w="3901" w:type="dxa"/>
          </w:tcPr>
          <w:p>
            <w:pPr>
              <w:pStyle w:val="TableParagraph"/>
              <w:ind w:right="100"/>
              <w:jc w:val="both"/>
              <w:rPr>
                <w:sz w:val="22"/>
              </w:rPr>
            </w:pPr>
            <w:r>
              <w:rPr>
                <w:sz w:val="22"/>
              </w:rPr>
              <w:t>La misma ciudadanía porque el gobierno no puede luchar en contra de la falta de cultura.</w:t>
            </w:r>
          </w:p>
        </w:tc>
      </w:tr>
    </w:tbl>
    <w:p>
      <w:pPr>
        <w:spacing w:after="0"/>
        <w:jc w:val="both"/>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537"/>
        <w:gridCol w:w="350"/>
        <w:gridCol w:w="1289"/>
        <w:gridCol w:w="1174"/>
        <w:gridCol w:w="2314"/>
        <w:gridCol w:w="3901"/>
      </w:tblGrid>
      <w:tr>
        <w:trPr>
          <w:trHeight w:val="266" w:hRule="exact"/>
        </w:trPr>
        <w:tc>
          <w:tcPr>
            <w:tcW w:w="1385" w:type="dxa"/>
            <w:tcBorders>
              <w:bottom w:val="nil"/>
            </w:tcBorders>
          </w:tcPr>
          <w:p>
            <w:pPr/>
          </w:p>
        </w:tc>
        <w:tc>
          <w:tcPr>
            <w:tcW w:w="1274" w:type="dxa"/>
            <w:vMerge w:val="restart"/>
          </w:tcPr>
          <w:p>
            <w:pPr/>
          </w:p>
        </w:tc>
        <w:tc>
          <w:tcPr>
            <w:tcW w:w="1537" w:type="dxa"/>
            <w:tcBorders>
              <w:bottom w:val="nil"/>
              <w:right w:val="nil"/>
            </w:tcBorders>
          </w:tcPr>
          <w:p>
            <w:pPr>
              <w:pStyle w:val="TableParagraph"/>
              <w:spacing w:line="251" w:lineRule="exact"/>
              <w:rPr>
                <w:sz w:val="22"/>
              </w:rPr>
            </w:pPr>
            <w:r>
              <w:rPr>
                <w:sz w:val="22"/>
              </w:rPr>
              <w:t>Residuales</w:t>
            </w:r>
          </w:p>
        </w:tc>
        <w:tc>
          <w:tcPr>
            <w:tcW w:w="350" w:type="dxa"/>
            <w:tcBorders>
              <w:left w:val="nil"/>
              <w:bottom w:val="nil"/>
            </w:tcBorders>
          </w:tcPr>
          <w:p>
            <w:pPr>
              <w:pStyle w:val="TableParagraph"/>
              <w:spacing w:line="251" w:lineRule="exact"/>
              <w:ind w:left="130"/>
              <w:rPr>
                <w:sz w:val="22"/>
              </w:rPr>
            </w:pPr>
            <w:r>
              <w:rPr>
                <w:w w:val="100"/>
                <w:sz w:val="22"/>
              </w:rPr>
              <w:t>y</w:t>
            </w:r>
          </w:p>
        </w:tc>
        <w:tc>
          <w:tcPr>
            <w:tcW w:w="1289" w:type="dxa"/>
            <w:vMerge w:val="restart"/>
          </w:tcPr>
          <w:p>
            <w:pPr/>
          </w:p>
        </w:tc>
        <w:tc>
          <w:tcPr>
            <w:tcW w:w="1174" w:type="dxa"/>
            <w:vMerge w:val="restart"/>
          </w:tcPr>
          <w:p>
            <w:pPr/>
          </w:p>
        </w:tc>
        <w:tc>
          <w:tcPr>
            <w:tcW w:w="2314" w:type="dxa"/>
            <w:tcBorders>
              <w:bottom w:val="nil"/>
            </w:tcBorders>
          </w:tcPr>
          <w:p>
            <w:pPr>
              <w:pStyle w:val="TableParagraph"/>
              <w:tabs>
                <w:tab w:pos="844" w:val="left" w:leader="none"/>
                <w:tab w:pos="1600" w:val="left" w:leader="none"/>
              </w:tabs>
              <w:spacing w:line="251" w:lineRule="exact"/>
              <w:ind w:left="100"/>
              <w:rPr>
                <w:sz w:val="22"/>
              </w:rPr>
            </w:pPr>
            <w:r>
              <w:rPr>
                <w:sz w:val="22"/>
              </w:rPr>
              <w:t>los</w:t>
              <w:tab/>
              <w:t>del</w:t>
              <w:tab/>
              <w:t>queso</w:t>
            </w:r>
          </w:p>
        </w:tc>
        <w:tc>
          <w:tcPr>
            <w:tcW w:w="3901" w:type="dxa"/>
            <w:vMerge w:val="restart"/>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(27/I/2015)</w:t>
            </w:r>
          </w:p>
        </w:tc>
        <w:tc>
          <w:tcPr>
            <w:tcW w:w="1274" w:type="dxa"/>
            <w:vMerge/>
          </w:tcPr>
          <w:p>
            <w:pPr/>
          </w:p>
        </w:tc>
        <w:tc>
          <w:tcPr>
            <w:tcW w:w="1537" w:type="dxa"/>
            <w:tcBorders>
              <w:top w:val="nil"/>
              <w:bottom w:val="nil"/>
              <w:right w:val="nil"/>
            </w:tcBorders>
          </w:tcPr>
          <w:p>
            <w:pPr>
              <w:pStyle w:val="TableParagraph"/>
              <w:spacing w:line="241" w:lineRule="exact"/>
              <w:rPr>
                <w:sz w:val="22"/>
              </w:rPr>
            </w:pPr>
            <w:r>
              <w:rPr>
                <w:sz w:val="22"/>
              </w:rPr>
              <w:t>Saneamiento</w:t>
            </w:r>
          </w:p>
        </w:tc>
        <w:tc>
          <w:tcPr>
            <w:tcW w:w="350" w:type="dxa"/>
            <w:tcBorders>
              <w:top w:val="nil"/>
              <w:left w:val="nil"/>
              <w:bottom w:val="nil"/>
            </w:tcBorders>
          </w:tcPr>
          <w:p>
            <w:pPr/>
          </w:p>
        </w:tc>
        <w:tc>
          <w:tcPr>
            <w:tcW w:w="1289" w:type="dxa"/>
            <w:vMerge/>
          </w:tcPr>
          <w:p>
            <w:pPr/>
          </w:p>
        </w:tc>
        <w:tc>
          <w:tcPr>
            <w:tcW w:w="1174" w:type="dxa"/>
            <w:vMerge/>
          </w:tcPr>
          <w:p>
            <w:pPr/>
          </w:p>
        </w:tc>
        <w:tc>
          <w:tcPr>
            <w:tcW w:w="2314" w:type="dxa"/>
            <w:tcBorders>
              <w:top w:val="nil"/>
              <w:bottom w:val="nil"/>
            </w:tcBorders>
          </w:tcPr>
          <w:p>
            <w:pPr>
              <w:pStyle w:val="TableParagraph"/>
              <w:spacing w:line="241" w:lineRule="exact"/>
              <w:ind w:left="100"/>
              <w:rPr>
                <w:sz w:val="22"/>
              </w:rPr>
            </w:pPr>
            <w:r>
              <w:rPr>
                <w:sz w:val="22"/>
              </w:rPr>
              <w:t>necesitan  poner  sus</w:t>
            </w: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537" w:type="dxa"/>
            <w:tcBorders>
              <w:top w:val="nil"/>
              <w:bottom w:val="nil"/>
              <w:right w:val="nil"/>
            </w:tcBorders>
          </w:tcPr>
          <w:p>
            <w:pPr/>
          </w:p>
        </w:tc>
        <w:tc>
          <w:tcPr>
            <w:tcW w:w="350" w:type="dxa"/>
            <w:tcBorders>
              <w:top w:val="nil"/>
              <w:left w:val="nil"/>
              <w:bottom w:val="nil"/>
            </w:tcBorders>
          </w:tcPr>
          <w:p>
            <w:pPr/>
          </w:p>
        </w:tc>
        <w:tc>
          <w:tcPr>
            <w:tcW w:w="1289" w:type="dxa"/>
            <w:vMerge/>
          </w:tcPr>
          <w:p>
            <w:pPr/>
          </w:p>
        </w:tc>
        <w:tc>
          <w:tcPr>
            <w:tcW w:w="1174" w:type="dxa"/>
            <w:vMerge/>
          </w:tcPr>
          <w:p>
            <w:pPr/>
          </w:p>
        </w:tc>
        <w:tc>
          <w:tcPr>
            <w:tcW w:w="2314" w:type="dxa"/>
            <w:tcBorders>
              <w:top w:val="nil"/>
              <w:bottom w:val="nil"/>
            </w:tcBorders>
          </w:tcPr>
          <w:p>
            <w:pPr>
              <w:pStyle w:val="TableParagraph"/>
              <w:spacing w:line="242" w:lineRule="exact"/>
              <w:ind w:left="100"/>
              <w:rPr>
                <w:sz w:val="22"/>
              </w:rPr>
            </w:pPr>
            <w:r>
              <w:rPr>
                <w:sz w:val="22"/>
              </w:rPr>
              <w:t>trampas  de  grasa  o</w:t>
            </w: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537" w:type="dxa"/>
            <w:tcBorders>
              <w:top w:val="nil"/>
              <w:bottom w:val="nil"/>
              <w:right w:val="nil"/>
            </w:tcBorders>
          </w:tcPr>
          <w:p>
            <w:pPr/>
          </w:p>
        </w:tc>
        <w:tc>
          <w:tcPr>
            <w:tcW w:w="350" w:type="dxa"/>
            <w:tcBorders>
              <w:top w:val="nil"/>
              <w:left w:val="nil"/>
              <w:bottom w:val="nil"/>
            </w:tcBorders>
          </w:tcPr>
          <w:p>
            <w:pPr/>
          </w:p>
        </w:tc>
        <w:tc>
          <w:tcPr>
            <w:tcW w:w="1289" w:type="dxa"/>
            <w:vMerge/>
          </w:tcPr>
          <w:p>
            <w:pPr/>
          </w:p>
        </w:tc>
        <w:tc>
          <w:tcPr>
            <w:tcW w:w="1174" w:type="dxa"/>
            <w:vMerge/>
          </w:tcPr>
          <w:p>
            <w:pPr/>
          </w:p>
        </w:tc>
        <w:tc>
          <w:tcPr>
            <w:tcW w:w="2314" w:type="dxa"/>
            <w:tcBorders>
              <w:top w:val="nil"/>
              <w:bottom w:val="nil"/>
            </w:tcBorders>
          </w:tcPr>
          <w:p>
            <w:pPr>
              <w:pStyle w:val="TableParagraph"/>
              <w:spacing w:line="241" w:lineRule="exact"/>
              <w:ind w:left="100"/>
              <w:rPr>
                <w:sz w:val="22"/>
              </w:rPr>
            </w:pPr>
            <w:r>
              <w:rPr>
                <w:sz w:val="22"/>
              </w:rPr>
              <w:t>que regalen  el suero</w:t>
            </w: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537" w:type="dxa"/>
            <w:tcBorders>
              <w:top w:val="nil"/>
              <w:bottom w:val="nil"/>
              <w:right w:val="nil"/>
            </w:tcBorders>
          </w:tcPr>
          <w:p>
            <w:pPr/>
          </w:p>
        </w:tc>
        <w:tc>
          <w:tcPr>
            <w:tcW w:w="350" w:type="dxa"/>
            <w:tcBorders>
              <w:top w:val="nil"/>
              <w:left w:val="nil"/>
              <w:bottom w:val="nil"/>
            </w:tcBorders>
          </w:tcPr>
          <w:p>
            <w:pPr/>
          </w:p>
        </w:tc>
        <w:tc>
          <w:tcPr>
            <w:tcW w:w="1289" w:type="dxa"/>
            <w:vMerge/>
          </w:tcPr>
          <w:p>
            <w:pPr/>
          </w:p>
        </w:tc>
        <w:tc>
          <w:tcPr>
            <w:tcW w:w="1174" w:type="dxa"/>
            <w:vMerge/>
          </w:tcPr>
          <w:p>
            <w:pPr/>
          </w:p>
        </w:tc>
        <w:tc>
          <w:tcPr>
            <w:tcW w:w="2314" w:type="dxa"/>
            <w:tcBorders>
              <w:top w:val="nil"/>
              <w:bottom w:val="nil"/>
            </w:tcBorders>
          </w:tcPr>
          <w:p>
            <w:pPr>
              <w:pStyle w:val="TableParagraph"/>
              <w:spacing w:line="242" w:lineRule="exact"/>
              <w:ind w:left="100"/>
              <w:rPr>
                <w:sz w:val="22"/>
              </w:rPr>
            </w:pPr>
            <w:r>
              <w:rPr>
                <w:sz w:val="22"/>
              </w:rPr>
              <w:t>o  lo  reutilicen  y que</w:t>
            </w:r>
          </w:p>
        </w:tc>
        <w:tc>
          <w:tcPr>
            <w:tcW w:w="3901" w:type="dxa"/>
            <w:vMerge/>
          </w:tcPr>
          <w:p>
            <w:pPr/>
          </w:p>
        </w:tc>
      </w:tr>
      <w:tr>
        <w:trPr>
          <w:trHeight w:val="252" w:hRule="exact"/>
        </w:trPr>
        <w:tc>
          <w:tcPr>
            <w:tcW w:w="1385" w:type="dxa"/>
            <w:tcBorders>
              <w:top w:val="nil"/>
              <w:bottom w:val="nil"/>
            </w:tcBorders>
          </w:tcPr>
          <w:p>
            <w:pPr/>
          </w:p>
        </w:tc>
        <w:tc>
          <w:tcPr>
            <w:tcW w:w="1274" w:type="dxa"/>
            <w:vMerge/>
          </w:tcPr>
          <w:p>
            <w:pPr/>
          </w:p>
        </w:tc>
        <w:tc>
          <w:tcPr>
            <w:tcW w:w="1537" w:type="dxa"/>
            <w:tcBorders>
              <w:top w:val="nil"/>
              <w:bottom w:val="nil"/>
              <w:right w:val="nil"/>
            </w:tcBorders>
          </w:tcPr>
          <w:p>
            <w:pPr/>
          </w:p>
        </w:tc>
        <w:tc>
          <w:tcPr>
            <w:tcW w:w="350" w:type="dxa"/>
            <w:tcBorders>
              <w:top w:val="nil"/>
              <w:left w:val="nil"/>
              <w:bottom w:val="nil"/>
            </w:tcBorders>
          </w:tcPr>
          <w:p>
            <w:pPr/>
          </w:p>
        </w:tc>
        <w:tc>
          <w:tcPr>
            <w:tcW w:w="1289" w:type="dxa"/>
            <w:vMerge/>
          </w:tcPr>
          <w:p>
            <w:pPr/>
          </w:p>
        </w:tc>
        <w:tc>
          <w:tcPr>
            <w:tcW w:w="1174" w:type="dxa"/>
            <w:vMerge/>
          </w:tcPr>
          <w:p>
            <w:pPr/>
          </w:p>
        </w:tc>
        <w:tc>
          <w:tcPr>
            <w:tcW w:w="2314" w:type="dxa"/>
            <w:tcBorders>
              <w:top w:val="nil"/>
              <w:bottom w:val="nil"/>
            </w:tcBorders>
          </w:tcPr>
          <w:p>
            <w:pPr>
              <w:pStyle w:val="TableParagraph"/>
              <w:spacing w:line="241" w:lineRule="exact"/>
              <w:ind w:left="100"/>
              <w:rPr>
                <w:sz w:val="22"/>
              </w:rPr>
            </w:pPr>
            <w:r>
              <w:rPr>
                <w:sz w:val="22"/>
              </w:rPr>
              <w:t>no   fabriquen  queso</w:t>
            </w: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537" w:type="dxa"/>
            <w:tcBorders>
              <w:top w:val="nil"/>
              <w:bottom w:val="nil"/>
              <w:right w:val="nil"/>
            </w:tcBorders>
          </w:tcPr>
          <w:p>
            <w:pPr/>
          </w:p>
        </w:tc>
        <w:tc>
          <w:tcPr>
            <w:tcW w:w="350" w:type="dxa"/>
            <w:tcBorders>
              <w:top w:val="nil"/>
              <w:left w:val="nil"/>
              <w:bottom w:val="nil"/>
            </w:tcBorders>
          </w:tcPr>
          <w:p>
            <w:pPr/>
          </w:p>
        </w:tc>
        <w:tc>
          <w:tcPr>
            <w:tcW w:w="1289" w:type="dxa"/>
            <w:vMerge/>
          </w:tcPr>
          <w:p>
            <w:pPr/>
          </w:p>
        </w:tc>
        <w:tc>
          <w:tcPr>
            <w:tcW w:w="1174" w:type="dxa"/>
            <w:vMerge/>
          </w:tcPr>
          <w:p>
            <w:pPr/>
          </w:p>
        </w:tc>
        <w:tc>
          <w:tcPr>
            <w:tcW w:w="2314" w:type="dxa"/>
            <w:tcBorders>
              <w:top w:val="nil"/>
              <w:bottom w:val="nil"/>
            </w:tcBorders>
          </w:tcPr>
          <w:p>
            <w:pPr>
              <w:pStyle w:val="TableParagraph"/>
              <w:tabs>
                <w:tab w:pos="736" w:val="left" w:leader="none"/>
                <w:tab w:pos="1295" w:val="left" w:leader="none"/>
              </w:tabs>
              <w:spacing w:line="241" w:lineRule="exact"/>
              <w:ind w:left="100"/>
              <w:rPr>
                <w:sz w:val="22"/>
              </w:rPr>
            </w:pPr>
            <w:r>
              <w:rPr>
                <w:sz w:val="22"/>
              </w:rPr>
              <w:t>en</w:t>
              <w:tab/>
              <w:t>la</w:t>
              <w:tab/>
              <w:t>cabecera</w:t>
            </w:r>
          </w:p>
        </w:tc>
        <w:tc>
          <w:tcPr>
            <w:tcW w:w="3901" w:type="dxa"/>
            <w:vMerge/>
          </w:tcPr>
          <w:p>
            <w:pPr/>
          </w:p>
        </w:tc>
      </w:tr>
      <w:tr>
        <w:trPr>
          <w:trHeight w:val="249" w:hRule="exact"/>
        </w:trPr>
        <w:tc>
          <w:tcPr>
            <w:tcW w:w="1385" w:type="dxa"/>
            <w:tcBorders>
              <w:top w:val="nil"/>
            </w:tcBorders>
          </w:tcPr>
          <w:p>
            <w:pPr/>
          </w:p>
        </w:tc>
        <w:tc>
          <w:tcPr>
            <w:tcW w:w="1274" w:type="dxa"/>
            <w:vMerge/>
          </w:tcPr>
          <w:p>
            <w:pPr/>
          </w:p>
        </w:tc>
        <w:tc>
          <w:tcPr>
            <w:tcW w:w="1537" w:type="dxa"/>
            <w:tcBorders>
              <w:top w:val="nil"/>
              <w:right w:val="nil"/>
            </w:tcBorders>
          </w:tcPr>
          <w:p>
            <w:pPr/>
          </w:p>
        </w:tc>
        <w:tc>
          <w:tcPr>
            <w:tcW w:w="350" w:type="dxa"/>
            <w:tcBorders>
              <w:top w:val="nil"/>
              <w:left w:val="nil"/>
            </w:tcBorders>
          </w:tcPr>
          <w:p>
            <w:pPr/>
          </w:p>
        </w:tc>
        <w:tc>
          <w:tcPr>
            <w:tcW w:w="1289" w:type="dxa"/>
            <w:vMerge/>
          </w:tcPr>
          <w:p>
            <w:pPr/>
          </w:p>
        </w:tc>
        <w:tc>
          <w:tcPr>
            <w:tcW w:w="1174" w:type="dxa"/>
            <w:vMerge/>
          </w:tcPr>
          <w:p>
            <w:pPr/>
          </w:p>
        </w:tc>
        <w:tc>
          <w:tcPr>
            <w:tcW w:w="2314" w:type="dxa"/>
            <w:tcBorders>
              <w:top w:val="nil"/>
            </w:tcBorders>
          </w:tcPr>
          <w:p>
            <w:pPr>
              <w:pStyle w:val="TableParagraph"/>
              <w:spacing w:line="242" w:lineRule="exact"/>
              <w:ind w:left="100"/>
              <w:rPr>
                <w:sz w:val="22"/>
              </w:rPr>
            </w:pPr>
            <w:r>
              <w:rPr>
                <w:sz w:val="22"/>
              </w:rPr>
              <w:t>municipal.</w:t>
            </w:r>
          </w:p>
        </w:tc>
        <w:tc>
          <w:tcPr>
            <w:tcW w:w="3901" w:type="dxa"/>
            <w:vMerge/>
          </w:tcPr>
          <w:p>
            <w:pPr/>
          </w:p>
        </w:tc>
      </w:tr>
    </w:tbl>
    <w:p>
      <w:pPr>
        <w:pStyle w:val="BodyText"/>
        <w:spacing w:line="249"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4"/>
        <w:ind w:left="2357" w:right="778"/>
      </w:pPr>
      <w:r>
        <w:rPr/>
        <w:t>Tabla 6.10. Municipio de Aculco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3" w:hRule="exact"/>
        </w:trPr>
        <w:tc>
          <w:tcPr>
            <w:tcW w:w="13224" w:type="dxa"/>
            <w:gridSpan w:val="7"/>
            <w:shd w:val="clear" w:color="auto" w:fill="9BBA58"/>
          </w:tcPr>
          <w:p>
            <w:pPr>
              <w:pStyle w:val="TableParagraph"/>
              <w:spacing w:line="248" w:lineRule="exact"/>
              <w:ind w:left="4868" w:right="4870"/>
              <w:jc w:val="center"/>
              <w:rPr>
                <w:b/>
                <w:sz w:val="22"/>
              </w:rPr>
            </w:pPr>
            <w:r>
              <w:rPr>
                <w:b/>
                <w:sz w:val="22"/>
              </w:rPr>
              <w:t>ACULCO</w:t>
            </w:r>
          </w:p>
        </w:tc>
      </w:tr>
      <w:tr>
        <w:trPr>
          <w:trHeight w:val="523" w:hRule="exact"/>
        </w:trPr>
        <w:tc>
          <w:tcPr>
            <w:tcW w:w="4547" w:type="dxa"/>
            <w:gridSpan w:val="3"/>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264"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Autogestión</w:t>
            </w:r>
          </w:p>
        </w:tc>
        <w:tc>
          <w:tcPr>
            <w:tcW w:w="3901" w:type="dxa"/>
            <w:shd w:val="clear" w:color="auto" w:fill="92CDDC"/>
          </w:tcPr>
          <w:p>
            <w:pPr>
              <w:pStyle w:val="TableParagraph"/>
              <w:spacing w:line="251" w:lineRule="exact"/>
              <w:rPr>
                <w:b/>
                <w:i/>
                <w:sz w:val="22"/>
              </w:rPr>
            </w:pPr>
            <w:r>
              <w:rPr>
                <w:b/>
                <w:i/>
                <w:sz w:val="22"/>
              </w:rPr>
              <w:t>Gobernabilidad</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spacing w:line="248" w:lineRule="exact"/>
              <w:ind w:left="100"/>
              <w:rPr>
                <w:b/>
                <w:sz w:val="22"/>
              </w:rPr>
            </w:pPr>
            <w:r>
              <w:rPr>
                <w:b/>
                <w:sz w:val="22"/>
              </w:rPr>
              <w:t>¿Es   importante   la</w:t>
            </w:r>
          </w:p>
        </w:tc>
        <w:tc>
          <w:tcPr>
            <w:tcW w:w="3901" w:type="dxa"/>
            <w:tcBorders>
              <w:bottom w:val="nil"/>
            </w:tcBorders>
            <w:shd w:val="clear" w:color="auto" w:fill="92CDDC"/>
          </w:tcPr>
          <w:p>
            <w:pPr>
              <w:pStyle w:val="TableParagraph"/>
              <w:spacing w:line="248" w:lineRule="exact"/>
              <w:rPr>
                <w:b/>
                <w:sz w:val="22"/>
              </w:rPr>
            </w:pPr>
            <w:r>
              <w:rPr>
                <w:b/>
                <w:sz w:val="22"/>
              </w:rPr>
              <w:t>¿Quiénes y para qué usan el agua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1945" w:val="left" w:leader="none"/>
              </w:tabs>
              <w:spacing w:line="241"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1" w:lineRule="exact"/>
              <w:rPr>
                <w:b/>
                <w:sz w:val="22"/>
              </w:rPr>
            </w:pPr>
            <w:r>
              <w:rPr>
                <w:b/>
                <w:sz w:val="22"/>
              </w:rPr>
              <w:t>de la laguna de Huapango?</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2" w:lineRule="exact"/>
              <w:ind w:left="100"/>
              <w:rPr>
                <w:b/>
                <w:sz w:val="22"/>
              </w:rPr>
            </w:pPr>
            <w:r>
              <w:rPr>
                <w:b/>
                <w:sz w:val="22"/>
              </w:rPr>
              <w:t>Huapango  para </w:t>
            </w:r>
            <w:r>
              <w:rPr>
                <w:b/>
                <w:spacing w:val="55"/>
                <w:sz w:val="22"/>
              </w:rPr>
              <w:t> </w:t>
            </w:r>
            <w:r>
              <w:rPr>
                <w:b/>
                <w:sz w:val="22"/>
              </w:rPr>
              <w:t>su</w:t>
            </w:r>
          </w:p>
        </w:tc>
        <w:tc>
          <w:tcPr>
            <w:tcW w:w="3901" w:type="dxa"/>
            <w:tcBorders>
              <w:top w:val="nil"/>
              <w:bottom w:val="nil"/>
            </w:tcBorders>
            <w:shd w:val="clear" w:color="auto" w:fill="92CDDC"/>
          </w:tcPr>
          <w:p>
            <w:pP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518" w:val="left" w:leader="none"/>
                <w:tab w:pos="2015" w:val="left" w:leader="none"/>
              </w:tabs>
              <w:spacing w:line="241" w:lineRule="exact"/>
              <w:ind w:left="100"/>
              <w:rPr>
                <w:b/>
                <w:sz w:val="22"/>
              </w:rPr>
            </w:pPr>
            <w:r>
              <w:rPr>
                <w:b/>
                <w:sz w:val="22"/>
              </w:rPr>
              <w:t>municipio</w:t>
              <w:tab/>
              <w:t>y</w:t>
              <w:tab/>
              <w:t>la</w:t>
            </w:r>
          </w:p>
        </w:tc>
        <w:tc>
          <w:tcPr>
            <w:tcW w:w="3901" w:type="dxa"/>
            <w:tcBorders>
              <w:top w:val="nil"/>
              <w:bottom w:val="nil"/>
            </w:tcBorders>
            <w:shd w:val="clear" w:color="auto" w:fill="92CDDC"/>
          </w:tcPr>
          <w:p>
            <w:pPr/>
          </w:p>
        </w:tc>
      </w:tr>
      <w:tr>
        <w:trPr>
          <w:trHeight w:val="251"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2" w:lineRule="exact"/>
              <w:ind w:left="100"/>
              <w:rPr>
                <w:b/>
                <w:sz w:val="22"/>
              </w:rPr>
            </w:pPr>
            <w:r>
              <w:rPr>
                <w:b/>
                <w:sz w:val="22"/>
              </w:rPr>
              <w:t>región?</w:t>
            </w:r>
          </w:p>
        </w:tc>
        <w:tc>
          <w:tcPr>
            <w:tcW w:w="3901"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Salvador</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spacing w:line="251" w:lineRule="exact"/>
              <w:rPr>
                <w:sz w:val="22"/>
              </w:rPr>
            </w:pPr>
            <w:r>
              <w:rPr>
                <w:sz w:val="22"/>
              </w:rPr>
              <w:t>Presidente</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Porque es una de las</w:t>
            </w:r>
          </w:p>
        </w:tc>
        <w:tc>
          <w:tcPr>
            <w:tcW w:w="3901" w:type="dxa"/>
            <w:tcBorders>
              <w:bottom w:val="nil"/>
            </w:tcBorders>
          </w:tcPr>
          <w:p>
            <w:pPr>
              <w:pStyle w:val="TableParagraph"/>
              <w:spacing w:line="251" w:lineRule="exact"/>
              <w:rPr>
                <w:sz w:val="22"/>
              </w:rPr>
            </w:pPr>
            <w:r>
              <w:rPr>
                <w:sz w:val="22"/>
              </w:rPr>
              <w:t>El agua de la laguna la utilizan  </w:t>
            </w:r>
            <w:r>
              <w:rPr>
                <w:spacing w:val="61"/>
                <w:sz w:val="22"/>
              </w:rPr>
              <w:t> </w:t>
            </w:r>
            <w:r>
              <w:rPr>
                <w:sz w:val="22"/>
              </w:rPr>
              <w:t>para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del Río</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784" w:val="left" w:leader="none"/>
              </w:tabs>
              <w:spacing w:line="242" w:lineRule="exact"/>
              <w:ind w:left="100"/>
              <w:rPr>
                <w:sz w:val="22"/>
              </w:rPr>
            </w:pPr>
            <w:r>
              <w:rPr>
                <w:sz w:val="22"/>
              </w:rPr>
              <w:t>lagunas</w:t>
              <w:tab/>
              <w:t>más</w:t>
            </w:r>
          </w:p>
        </w:tc>
        <w:tc>
          <w:tcPr>
            <w:tcW w:w="3901" w:type="dxa"/>
            <w:tcBorders>
              <w:top w:val="nil"/>
              <w:bottom w:val="nil"/>
            </w:tcBorders>
          </w:tcPr>
          <w:p>
            <w:pPr>
              <w:pStyle w:val="TableParagraph"/>
              <w:spacing w:line="242" w:lineRule="exact"/>
              <w:rPr>
                <w:sz w:val="22"/>
              </w:rPr>
            </w:pPr>
            <w:r>
              <w:rPr>
                <w:sz w:val="22"/>
              </w:rPr>
              <w:t>riego los agricultores de Polo, Aculco,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0" w:right="98"/>
              <w:rPr>
                <w:sz w:val="22"/>
              </w:rPr>
            </w:pPr>
            <w:r>
              <w:rPr>
                <w:sz w:val="22"/>
              </w:rPr>
              <w:t>Ciencias</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06" w:val="left" w:leader="none"/>
              </w:tabs>
              <w:spacing w:line="241" w:lineRule="exact"/>
              <w:ind w:left="100"/>
              <w:rPr>
                <w:sz w:val="22"/>
              </w:rPr>
            </w:pPr>
            <w:r>
              <w:rPr>
                <w:sz w:val="22"/>
              </w:rPr>
              <w:t>importantes</w:t>
              <w:tab/>
              <w:t>del</w:t>
            </w:r>
          </w:p>
        </w:tc>
        <w:tc>
          <w:tcPr>
            <w:tcW w:w="3901" w:type="dxa"/>
            <w:tcBorders>
              <w:top w:val="nil"/>
              <w:bottom w:val="nil"/>
            </w:tcBorders>
          </w:tcPr>
          <w:p>
            <w:pPr>
              <w:pStyle w:val="TableParagraph"/>
              <w:tabs>
                <w:tab w:pos="1259" w:val="left" w:leader="none"/>
                <w:tab w:pos="1876" w:val="left" w:leader="none"/>
                <w:tab w:pos="2576" w:val="left" w:leader="none"/>
                <w:tab w:pos="3094" w:val="left" w:leader="none"/>
                <w:tab w:pos="3660" w:val="left" w:leader="none"/>
              </w:tabs>
              <w:spacing w:line="241" w:lineRule="exact"/>
              <w:rPr>
                <w:sz w:val="22"/>
              </w:rPr>
            </w:pPr>
            <w:r>
              <w:rPr>
                <w:sz w:val="22"/>
              </w:rPr>
              <w:t>Jilotepec,</w:t>
              <w:tab/>
              <w:t>San</w:t>
              <w:tab/>
              <w:t>Juan</w:t>
              <w:tab/>
              <w:t>del</w:t>
              <w:tab/>
              <w:t>Río</w:t>
              <w:tab/>
              <w:t>e</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Políticas y</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93" w:val="left" w:leader="none"/>
                <w:tab w:pos="1444" w:val="left" w:leader="none"/>
              </w:tabs>
              <w:spacing w:line="241" w:lineRule="exact"/>
              <w:ind w:left="100"/>
              <w:rPr>
                <w:sz w:val="22"/>
              </w:rPr>
            </w:pPr>
            <w:r>
              <w:rPr>
                <w:sz w:val="22"/>
              </w:rPr>
              <w:t>Estado</w:t>
              <w:tab/>
              <w:t>de</w:t>
              <w:tab/>
              <w:t>México,</w:t>
            </w:r>
          </w:p>
        </w:tc>
        <w:tc>
          <w:tcPr>
            <w:tcW w:w="3901" w:type="dxa"/>
            <w:tcBorders>
              <w:top w:val="nil"/>
              <w:bottom w:val="nil"/>
            </w:tcBorders>
          </w:tcPr>
          <w:p>
            <w:pPr>
              <w:pStyle w:val="TableParagraph"/>
              <w:spacing w:line="241" w:lineRule="exact"/>
              <w:rPr>
                <w:sz w:val="22"/>
              </w:rPr>
            </w:pPr>
            <w:r>
              <w:rPr>
                <w:sz w:val="22"/>
              </w:rPr>
              <w:t>Hidalgo.</w:t>
            </w:r>
          </w:p>
        </w:tc>
      </w:tr>
      <w:tr>
        <w:trPr>
          <w:trHeight w:val="253" w:hRule="exact"/>
        </w:trPr>
        <w:tc>
          <w:tcPr>
            <w:tcW w:w="1385" w:type="dxa"/>
            <w:tcBorders>
              <w:top w:val="nil"/>
              <w:bottom w:val="nil"/>
            </w:tcBorders>
          </w:tcPr>
          <w:p>
            <w:pPr>
              <w:pStyle w:val="TableParagraph"/>
              <w:spacing w:line="242" w:lineRule="exact"/>
              <w:rPr>
                <w:sz w:val="22"/>
              </w:rPr>
            </w:pPr>
            <w:r>
              <w:rPr>
                <w:sz w:val="22"/>
              </w:rPr>
              <w:t>(18/7/2014)</w:t>
            </w:r>
          </w:p>
        </w:tc>
        <w:tc>
          <w:tcPr>
            <w:tcW w:w="1274" w:type="dxa"/>
            <w:tcBorders>
              <w:top w:val="nil"/>
              <w:bottom w:val="nil"/>
            </w:tcBorders>
          </w:tcPr>
          <w:p>
            <w:pPr>
              <w:pStyle w:val="TableParagraph"/>
              <w:spacing w:line="242" w:lineRule="exact"/>
              <w:ind w:left="100"/>
              <w:rPr>
                <w:sz w:val="22"/>
              </w:rPr>
            </w:pPr>
            <w:r>
              <w:rPr>
                <w:sz w:val="22"/>
              </w:rPr>
              <w:t>Administra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de  hecho  cada  año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ción</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hay  una  fiesta  en la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Pública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cortina  de  la</w:t>
            </w:r>
            <w:r>
              <w:rPr>
                <w:spacing w:val="54"/>
                <w:sz w:val="22"/>
              </w:rPr>
              <w:t> </w:t>
            </w:r>
            <w:r>
              <w:rPr>
                <w:sz w:val="22"/>
              </w:rPr>
              <w:t>laguna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95" w:val="left" w:leader="none"/>
                <w:tab w:pos="1339" w:val="left" w:leader="none"/>
                <w:tab w:pos="1811" w:val="left" w:leader="none"/>
              </w:tabs>
              <w:spacing w:line="241" w:lineRule="exact"/>
              <w:ind w:left="100"/>
              <w:rPr>
                <w:sz w:val="22"/>
              </w:rPr>
            </w:pPr>
            <w:r>
              <w:rPr>
                <w:sz w:val="22"/>
              </w:rPr>
              <w:t>que</w:t>
              <w:tab/>
              <w:t>está</w:t>
              <w:tab/>
              <w:t>en</w:t>
              <w:tab/>
              <w:t>San</w:t>
            </w:r>
          </w:p>
        </w:tc>
        <w:tc>
          <w:tcPr>
            <w:tcW w:w="3901" w:type="dxa"/>
            <w:tcBorders>
              <w:top w:val="nil"/>
              <w:bottom w:val="nil"/>
            </w:tcBorders>
          </w:tcPr>
          <w:p>
            <w:pP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47" w:val="left" w:leader="none"/>
                <w:tab w:pos="1724" w:val="left" w:leader="none"/>
              </w:tabs>
              <w:spacing w:line="243" w:lineRule="exact"/>
              <w:ind w:left="100"/>
              <w:rPr>
                <w:sz w:val="22"/>
              </w:rPr>
            </w:pPr>
            <w:r>
              <w:rPr>
                <w:sz w:val="22"/>
              </w:rPr>
              <w:t>Martín</w:t>
              <w:tab/>
              <w:t>Ejido,</w:t>
              <w:tab/>
              <w:t>cada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año   varía   la fecha,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pero  creo  que  es el</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día de Santa Teresa,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acuden  alrededor de</w:t>
            </w:r>
          </w:p>
        </w:tc>
        <w:tc>
          <w:tcPr>
            <w:tcW w:w="3901" w:type="dxa"/>
            <w:tcBorders>
              <w:top w:val="nil"/>
              <w:bottom w:val="nil"/>
            </w:tcBorders>
          </w:tcPr>
          <w:p>
            <w:pPr/>
          </w:p>
        </w:tc>
      </w:tr>
      <w:tr>
        <w:trPr>
          <w:trHeight w:val="248"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tabs>
                <w:tab w:pos="1029" w:val="left" w:leader="none"/>
                <w:tab w:pos="1528" w:val="left" w:leader="none"/>
              </w:tabs>
              <w:spacing w:line="242" w:lineRule="exact"/>
              <w:ind w:left="100"/>
              <w:rPr>
                <w:sz w:val="22"/>
              </w:rPr>
            </w:pPr>
            <w:r>
              <w:rPr>
                <w:sz w:val="22"/>
              </w:rPr>
              <w:t>5,000</w:t>
              <w:tab/>
              <w:t>ó</w:t>
              <w:tab/>
              <w:t>10,000</w:t>
            </w:r>
          </w:p>
        </w:tc>
        <w:tc>
          <w:tcPr>
            <w:tcW w:w="3901" w:type="dxa"/>
            <w:tcBorders>
              <w:top w:val="nil"/>
            </w:tcBorders>
          </w:tcPr>
          <w:p>
            <w:pPr/>
          </w:p>
        </w:tc>
      </w:tr>
    </w:tbl>
    <w:p>
      <w:pPr>
        <w:spacing w:after="0"/>
        <w:sectPr>
          <w:pgSz w:w="15840" w:h="12240" w:orient="landscape"/>
          <w:pgMar w:header="0" w:footer="943" w:top="1140" w:bottom="114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540" w:hRule="exact"/>
        </w:trPr>
        <w:tc>
          <w:tcPr>
            <w:tcW w:w="1385" w:type="dxa"/>
          </w:tcPr>
          <w:p>
            <w:pP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spacing w:line="251" w:lineRule="exact"/>
              <w:ind w:left="100"/>
              <w:rPr>
                <w:sz w:val="22"/>
              </w:rPr>
            </w:pPr>
            <w:r>
              <w:rPr>
                <w:sz w:val="22"/>
              </w:rPr>
              <w:t>personas.</w:t>
            </w:r>
          </w:p>
        </w:tc>
        <w:tc>
          <w:tcPr>
            <w:tcW w:w="3901" w:type="dxa"/>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Rosalba</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Considero</w:t>
            </w:r>
          </w:p>
        </w:tc>
        <w:tc>
          <w:tcPr>
            <w:tcW w:w="3901" w:type="dxa"/>
            <w:tcBorders>
              <w:bottom w:val="nil"/>
            </w:tcBorders>
          </w:tcPr>
          <w:p>
            <w:pPr>
              <w:pStyle w:val="TableParagraph"/>
              <w:spacing w:line="251" w:lineRule="exact"/>
              <w:rPr>
                <w:sz w:val="22"/>
              </w:rPr>
            </w:pPr>
            <w:r>
              <w:rPr>
                <w:sz w:val="22"/>
              </w:rPr>
              <w:t>Su agua es usada por la   ciudadanía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Peralta</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Encargada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importante  la laguna</w:t>
            </w:r>
          </w:p>
        </w:tc>
        <w:tc>
          <w:tcPr>
            <w:tcW w:w="3901" w:type="dxa"/>
            <w:tcBorders>
              <w:top w:val="nil"/>
              <w:bottom w:val="nil"/>
            </w:tcBorders>
          </w:tcPr>
          <w:p>
            <w:pPr>
              <w:pStyle w:val="TableParagraph"/>
              <w:spacing w:line="241" w:lineRule="exact"/>
              <w:rPr>
                <w:sz w:val="22"/>
              </w:rPr>
            </w:pPr>
            <w:r>
              <w:rPr>
                <w:sz w:val="22"/>
              </w:rPr>
              <w:t>en general para riego.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Tovar</w:t>
            </w:r>
          </w:p>
        </w:tc>
        <w:tc>
          <w:tcPr>
            <w:tcW w:w="1274" w:type="dxa"/>
            <w:tcBorders>
              <w:top w:val="nil"/>
              <w:bottom w:val="nil"/>
            </w:tcBorders>
          </w:tcPr>
          <w:p>
            <w:pPr>
              <w:pStyle w:val="TableParagraph"/>
              <w:spacing w:line="242" w:lineRule="exact"/>
              <w:ind w:left="100"/>
              <w:rPr>
                <w:sz w:val="22"/>
              </w:rPr>
            </w:pPr>
            <w:r>
              <w:rPr>
                <w:sz w:val="22"/>
              </w:rPr>
              <w:t>Educación</w:t>
            </w:r>
          </w:p>
        </w:tc>
        <w:tc>
          <w:tcPr>
            <w:tcW w:w="1887" w:type="dxa"/>
            <w:tcBorders>
              <w:top w:val="nil"/>
              <w:bottom w:val="nil"/>
            </w:tcBorders>
          </w:tcPr>
          <w:p>
            <w:pPr>
              <w:pStyle w:val="TableParagraph"/>
              <w:spacing w:line="242" w:lineRule="exact"/>
              <w:rPr>
                <w:sz w:val="22"/>
              </w:rPr>
            </w:pPr>
            <w:r>
              <w:rPr>
                <w:sz w:val="22"/>
              </w:rPr>
              <w:t>ecología 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por  sus  aguas  para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Asuntos</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75" w:val="left" w:leader="none"/>
                <w:tab w:pos="1371" w:val="left" w:leader="none"/>
                <w:tab w:pos="1918" w:val="left" w:leader="none"/>
              </w:tabs>
              <w:spacing w:line="241" w:lineRule="exact"/>
              <w:ind w:left="100"/>
              <w:rPr>
                <w:sz w:val="22"/>
              </w:rPr>
            </w:pPr>
            <w:r>
              <w:rPr>
                <w:sz w:val="22"/>
              </w:rPr>
              <w:t>el</w:t>
              <w:tab/>
              <w:t>riego</w:t>
              <w:tab/>
              <w:t>de</w:t>
              <w:tab/>
              <w:t>las</w:t>
            </w:r>
          </w:p>
        </w:tc>
        <w:tc>
          <w:tcPr>
            <w:tcW w:w="3901" w:type="dxa"/>
            <w:tcBorders>
              <w:top w:val="nil"/>
              <w:bottom w:val="nil"/>
            </w:tcBorders>
          </w:tcPr>
          <w:p>
            <w:pPr/>
          </w:p>
        </w:tc>
      </w:tr>
      <w:tr>
        <w:trPr>
          <w:trHeight w:val="249" w:hRule="exact"/>
        </w:trPr>
        <w:tc>
          <w:tcPr>
            <w:tcW w:w="1385" w:type="dxa"/>
            <w:tcBorders>
              <w:top w:val="nil"/>
            </w:tcBorders>
          </w:tcPr>
          <w:p>
            <w:pPr>
              <w:pStyle w:val="TableParagraph"/>
              <w:spacing w:line="242" w:lineRule="exact"/>
              <w:rPr>
                <w:sz w:val="22"/>
              </w:rPr>
            </w:pPr>
            <w:r>
              <w:rPr>
                <w:sz w:val="22"/>
              </w:rPr>
              <w:t>(18/7/2014)</w:t>
            </w: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Indígenas</w:t>
            </w: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milpas.</w:t>
            </w:r>
          </w:p>
        </w:tc>
        <w:tc>
          <w:tcPr>
            <w:tcW w:w="3901" w:type="dxa"/>
            <w:tcBorders>
              <w:top w:val="nil"/>
            </w:tcBorders>
          </w:tcPr>
          <w:p>
            <w:pPr/>
          </w:p>
        </w:tc>
      </w:tr>
      <w:tr>
        <w:trPr>
          <w:trHeight w:val="268" w:hRule="exact"/>
        </w:trPr>
        <w:tc>
          <w:tcPr>
            <w:tcW w:w="1385" w:type="dxa"/>
            <w:tcBorders>
              <w:bottom w:val="nil"/>
            </w:tcBorders>
          </w:tcPr>
          <w:p>
            <w:pPr>
              <w:pStyle w:val="TableParagraph"/>
              <w:tabs>
                <w:tab w:pos="1029" w:val="left" w:leader="none"/>
              </w:tabs>
              <w:spacing w:line="251" w:lineRule="exact"/>
              <w:rPr>
                <w:sz w:val="22"/>
              </w:rPr>
            </w:pPr>
            <w:r>
              <w:rPr>
                <w:sz w:val="22"/>
              </w:rPr>
              <w:t>Yanet</w:t>
              <w:tab/>
              <w:t>de</w:t>
            </w:r>
          </w:p>
        </w:tc>
        <w:tc>
          <w:tcPr>
            <w:tcW w:w="1274" w:type="dxa"/>
            <w:tcBorders>
              <w:bottom w:val="nil"/>
            </w:tcBorders>
          </w:tcPr>
          <w:p>
            <w:pPr>
              <w:pStyle w:val="TableParagraph"/>
              <w:spacing w:line="251" w:lineRule="exact"/>
              <w:ind w:left="100"/>
              <w:rPr>
                <w:sz w:val="22"/>
              </w:rPr>
            </w:pPr>
            <w:r>
              <w:rPr>
                <w:sz w:val="22"/>
              </w:rPr>
              <w:t>Preparator</w:t>
            </w:r>
          </w:p>
        </w:tc>
        <w:tc>
          <w:tcPr>
            <w:tcW w:w="1887" w:type="dxa"/>
            <w:tcBorders>
              <w:bottom w:val="nil"/>
            </w:tcBorders>
          </w:tcPr>
          <w:p>
            <w:pPr>
              <w:pStyle w:val="TableParagraph"/>
              <w:spacing w:line="251" w:lineRule="exact"/>
              <w:rPr>
                <w:sz w:val="22"/>
              </w:rPr>
            </w:pPr>
            <w:r>
              <w:rPr>
                <w:sz w:val="22"/>
              </w:rPr>
              <w:t>Cuarto  Regidor.</w:t>
            </w:r>
          </w:p>
        </w:tc>
        <w:tc>
          <w:tcPr>
            <w:tcW w:w="1289" w:type="dxa"/>
            <w:tcBorders>
              <w:bottom w:val="nil"/>
            </w:tcBorders>
          </w:tcPr>
          <w:p>
            <w:pPr>
              <w:pStyle w:val="TableParagraph"/>
              <w:spacing w:line="251" w:lineRule="exact"/>
              <w:ind w:left="223"/>
              <w:rPr>
                <w:sz w:val="22"/>
              </w:rPr>
            </w:pPr>
            <w:r>
              <w:rPr>
                <w:sz w:val="22"/>
              </w:rPr>
              <w:t>Timilpan</w:t>
            </w:r>
          </w:p>
        </w:tc>
        <w:tc>
          <w:tcPr>
            <w:tcW w:w="1174" w:type="dxa"/>
            <w:tcBorders>
              <w:bottom w:val="nil"/>
            </w:tcBorders>
          </w:tcPr>
          <w:p>
            <w:pPr>
              <w:pStyle w:val="TableParagraph"/>
              <w:spacing w:line="251" w:lineRule="exact"/>
              <w:ind w:left="0" w:right="249"/>
              <w:jc w:val="right"/>
              <w:rPr>
                <w:sz w:val="22"/>
              </w:rPr>
            </w:pPr>
            <w:r>
              <w:rPr>
                <w:sz w:val="22"/>
              </w:rPr>
              <w:t>Aculco</w:t>
            </w:r>
          </w:p>
        </w:tc>
        <w:tc>
          <w:tcPr>
            <w:tcW w:w="2314" w:type="dxa"/>
            <w:tcBorders>
              <w:bottom w:val="nil"/>
            </w:tcBorders>
          </w:tcPr>
          <w:p>
            <w:pPr>
              <w:pStyle w:val="TableParagraph"/>
              <w:tabs>
                <w:tab w:pos="827" w:val="left" w:leader="none"/>
                <w:tab w:pos="1969" w:val="left" w:leader="none"/>
              </w:tabs>
              <w:spacing w:line="251" w:lineRule="exact"/>
              <w:ind w:left="100"/>
              <w:rPr>
                <w:sz w:val="22"/>
              </w:rPr>
            </w:pPr>
            <w:r>
              <w:rPr>
                <w:sz w:val="22"/>
              </w:rPr>
              <w:t>La</w:t>
              <w:tab/>
              <w:t>laguna</w:t>
              <w:tab/>
              <w:t>es</w:t>
            </w:r>
          </w:p>
        </w:tc>
        <w:tc>
          <w:tcPr>
            <w:tcW w:w="3901" w:type="dxa"/>
            <w:tcBorders>
              <w:bottom w:val="nil"/>
            </w:tcBorders>
          </w:tcPr>
          <w:p>
            <w:pPr>
              <w:pStyle w:val="TableParagraph"/>
              <w:spacing w:line="251" w:lineRule="exact"/>
              <w:rPr>
                <w:sz w:val="22"/>
              </w:rPr>
            </w:pPr>
            <w:r>
              <w:rPr>
                <w:sz w:val="22"/>
              </w:rPr>
              <w:t>El  agua  la   utilizan  para   riego   los</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Jesús</w:t>
            </w:r>
          </w:p>
        </w:tc>
        <w:tc>
          <w:tcPr>
            <w:tcW w:w="1274" w:type="dxa"/>
            <w:tcBorders>
              <w:top w:val="nil"/>
              <w:bottom w:val="nil"/>
            </w:tcBorders>
          </w:tcPr>
          <w:p>
            <w:pPr>
              <w:pStyle w:val="TableParagraph"/>
              <w:spacing w:line="243" w:lineRule="exact"/>
              <w:ind w:left="100" w:right="98"/>
              <w:rPr>
                <w:sz w:val="22"/>
              </w:rPr>
            </w:pPr>
            <w:r>
              <w:rPr>
                <w:sz w:val="22"/>
              </w:rPr>
              <w:t>ia</w:t>
            </w:r>
          </w:p>
        </w:tc>
        <w:tc>
          <w:tcPr>
            <w:tcW w:w="1887" w:type="dxa"/>
            <w:tcBorders>
              <w:top w:val="nil"/>
              <w:bottom w:val="nil"/>
            </w:tcBorders>
          </w:tcPr>
          <w:p>
            <w:pPr>
              <w:pStyle w:val="TableParagraph"/>
              <w:tabs>
                <w:tab w:pos="1528" w:val="left" w:leader="none"/>
              </w:tabs>
              <w:spacing w:line="243" w:lineRule="exact"/>
              <w:rPr>
                <w:sz w:val="22"/>
              </w:rPr>
            </w:pPr>
            <w:r>
              <w:rPr>
                <w:sz w:val="22"/>
              </w:rPr>
              <w:t>Encargada</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importante   para   mi</w:t>
            </w:r>
          </w:p>
        </w:tc>
        <w:tc>
          <w:tcPr>
            <w:tcW w:w="3901" w:type="dxa"/>
            <w:tcBorders>
              <w:top w:val="nil"/>
              <w:bottom w:val="nil"/>
            </w:tcBorders>
          </w:tcPr>
          <w:p>
            <w:pPr>
              <w:pStyle w:val="TableParagraph"/>
              <w:spacing w:line="243" w:lineRule="exact"/>
              <w:rPr>
                <w:sz w:val="22"/>
              </w:rPr>
            </w:pPr>
            <w:r>
              <w:rPr>
                <w:sz w:val="22"/>
              </w:rPr>
              <w:t>comuneros  de  Polo,  San  Juan   del</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Carmen</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municipio y la  región</w:t>
            </w:r>
          </w:p>
        </w:tc>
        <w:tc>
          <w:tcPr>
            <w:tcW w:w="3901" w:type="dxa"/>
            <w:tcBorders>
              <w:top w:val="nil"/>
              <w:bottom w:val="nil"/>
            </w:tcBorders>
          </w:tcPr>
          <w:p>
            <w:pPr>
              <w:pStyle w:val="TableParagraph"/>
              <w:spacing w:line="241" w:lineRule="exact"/>
              <w:rPr>
                <w:sz w:val="22"/>
              </w:rPr>
            </w:pPr>
            <w:r>
              <w:rPr>
                <w:sz w:val="22"/>
              </w:rPr>
              <w:t>Río y pocos del Municipio de Aculco.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porque es una de las</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rPr>
                <w:sz w:val="22"/>
              </w:rPr>
            </w:pPr>
            <w:r>
              <w:rPr>
                <w:sz w:val="22"/>
              </w:rPr>
              <w:t>(18/7/2014)</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784" w:val="left" w:leader="none"/>
              </w:tabs>
              <w:spacing w:line="242" w:lineRule="exact"/>
              <w:ind w:left="100"/>
              <w:rPr>
                <w:sz w:val="22"/>
              </w:rPr>
            </w:pPr>
            <w:r>
              <w:rPr>
                <w:sz w:val="22"/>
              </w:rPr>
              <w:t>lagunas</w:t>
              <w:tab/>
              <w:t>más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2" w:val="left" w:leader="none"/>
              </w:tabs>
              <w:spacing w:line="241" w:lineRule="exact"/>
              <w:rPr>
                <w:sz w:val="22"/>
              </w:rPr>
            </w:pPr>
            <w:r>
              <w:rPr>
                <w:sz w:val="22"/>
              </w:rPr>
              <w:t>Mercados</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grandes   del  Estado</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Tianguis</w:t>
            </w: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de México.</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rPr>
                <w:sz w:val="22"/>
              </w:rPr>
            </w:pPr>
            <w:r>
              <w:rPr>
                <w:sz w:val="22"/>
              </w:rPr>
              <w:t>Edgar Nava</w:t>
            </w:r>
          </w:p>
        </w:tc>
        <w:tc>
          <w:tcPr>
            <w:tcW w:w="1274" w:type="dxa"/>
            <w:tcBorders>
              <w:bottom w:val="nil"/>
            </w:tcBorders>
          </w:tcPr>
          <w:p>
            <w:pPr>
              <w:pStyle w:val="TableParagraph"/>
              <w:spacing w:line="251" w:lineRule="exact"/>
              <w:ind w:left="105"/>
              <w:rPr>
                <w:sz w:val="22"/>
              </w:rPr>
            </w:pPr>
            <w:r>
              <w:rPr>
                <w:sz w:val="22"/>
              </w:rPr>
              <w:t>Licenciado</w:t>
            </w: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ind w:left="309"/>
              <w:rPr>
                <w:sz w:val="22"/>
              </w:rPr>
            </w:pPr>
            <w:r>
              <w:rPr>
                <w:sz w:val="22"/>
              </w:rPr>
              <w:t>Toluca</w:t>
            </w:r>
          </w:p>
        </w:tc>
        <w:tc>
          <w:tcPr>
            <w:tcW w:w="1174" w:type="dxa"/>
            <w:tcBorders>
              <w:bottom w:val="nil"/>
            </w:tcBorders>
          </w:tcPr>
          <w:p>
            <w:pPr>
              <w:pStyle w:val="TableParagraph"/>
              <w:spacing w:line="251" w:lineRule="exact"/>
              <w:ind w:left="0" w:right="249"/>
              <w:jc w:val="righ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Porque   es  utilizada</w:t>
            </w:r>
          </w:p>
        </w:tc>
        <w:tc>
          <w:tcPr>
            <w:tcW w:w="3901" w:type="dxa"/>
            <w:tcBorders>
              <w:bottom w:val="nil"/>
            </w:tcBorders>
          </w:tcPr>
          <w:p>
            <w:pPr>
              <w:pStyle w:val="TableParagraph"/>
              <w:spacing w:line="251" w:lineRule="exact"/>
              <w:rPr>
                <w:sz w:val="22"/>
              </w:rPr>
            </w:pPr>
            <w:r>
              <w:rPr>
                <w:sz w:val="22"/>
              </w:rPr>
              <w:t>En   Aculco   la   comunidad   de  San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Hidalgo</w:t>
            </w:r>
          </w:p>
        </w:tc>
        <w:tc>
          <w:tcPr>
            <w:tcW w:w="1274" w:type="dxa"/>
            <w:tcBorders>
              <w:top w:val="nil"/>
              <w:bottom w:val="nil"/>
            </w:tcBorders>
          </w:tcPr>
          <w:p>
            <w:pPr>
              <w:pStyle w:val="TableParagraph"/>
              <w:spacing w:line="242" w:lineRule="exact"/>
              <w:ind w:left="105" w:right="105"/>
              <w:jc w:val="center"/>
              <w:rPr>
                <w:sz w:val="22"/>
              </w:rPr>
            </w:pPr>
            <w:r>
              <w:rPr>
                <w:sz w:val="22"/>
              </w:rPr>
              <w:t>en</w:t>
            </w:r>
          </w:p>
        </w:tc>
        <w:tc>
          <w:tcPr>
            <w:tcW w:w="1887" w:type="dxa"/>
            <w:tcBorders>
              <w:top w:val="nil"/>
              <w:bottom w:val="nil"/>
            </w:tcBorders>
          </w:tcPr>
          <w:p>
            <w:pPr>
              <w:pStyle w:val="TableParagraph"/>
              <w:tabs>
                <w:tab w:pos="1660" w:val="left" w:leader="none"/>
              </w:tabs>
              <w:spacing w:line="242" w:lineRule="exact"/>
              <w:rPr>
                <w:sz w:val="22"/>
              </w:rPr>
            </w:pPr>
            <w:r>
              <w:rPr>
                <w:sz w:val="22"/>
              </w:rPr>
              <w:t>Ecología</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735" w:val="left" w:leader="none"/>
              </w:tabs>
              <w:spacing w:line="242" w:lineRule="exact"/>
              <w:ind w:left="100"/>
              <w:rPr>
                <w:sz w:val="22"/>
              </w:rPr>
            </w:pPr>
            <w:r>
              <w:rPr>
                <w:sz w:val="22"/>
              </w:rPr>
              <w:t>para</w:t>
              <w:tab/>
              <w:t>fines</w:t>
            </w:r>
          </w:p>
        </w:tc>
        <w:tc>
          <w:tcPr>
            <w:tcW w:w="3901" w:type="dxa"/>
            <w:tcBorders>
              <w:top w:val="nil"/>
              <w:bottom w:val="nil"/>
            </w:tcBorders>
          </w:tcPr>
          <w:p>
            <w:pPr>
              <w:pStyle w:val="TableParagraph"/>
              <w:spacing w:line="242" w:lineRule="exact"/>
              <w:rPr>
                <w:sz w:val="22"/>
              </w:rPr>
            </w:pPr>
            <w:r>
              <w:rPr>
                <w:sz w:val="22"/>
              </w:rPr>
              <w:t>Martín,   Santa   Ana,   etc.   y   en  la</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213" w:right="98"/>
              <w:rPr>
                <w:sz w:val="22"/>
              </w:rPr>
            </w:pPr>
            <w:r>
              <w:rPr>
                <w:sz w:val="22"/>
              </w:rPr>
              <w:t>Derecho</w:t>
            </w:r>
          </w:p>
        </w:tc>
        <w:tc>
          <w:tcPr>
            <w:tcW w:w="1887" w:type="dxa"/>
            <w:tcBorders>
              <w:top w:val="nil"/>
              <w:bottom w:val="nil"/>
            </w:tcBorders>
          </w:tcPr>
          <w:p>
            <w:pPr>
              <w:pStyle w:val="TableParagraph"/>
              <w:spacing w:line="241" w:lineRule="exact"/>
              <w:rPr>
                <w:sz w:val="22"/>
              </w:rPr>
            </w:pPr>
            <w:r>
              <w:rPr>
                <w:sz w:val="22"/>
              </w:rPr>
              <w:t>Medio Ambiente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agropecuarios.</w:t>
            </w:r>
          </w:p>
        </w:tc>
        <w:tc>
          <w:tcPr>
            <w:tcW w:w="3901" w:type="dxa"/>
            <w:tcBorders>
              <w:top w:val="nil"/>
              <w:bottom w:val="nil"/>
            </w:tcBorders>
          </w:tcPr>
          <w:p>
            <w:pPr>
              <w:pStyle w:val="TableParagraph"/>
              <w:spacing w:line="241" w:lineRule="exact"/>
              <w:rPr>
                <w:sz w:val="22"/>
              </w:rPr>
            </w:pPr>
            <w:r>
              <w:rPr>
                <w:sz w:val="22"/>
              </w:rPr>
              <w:t>comunidad   de   El   Azafrán   para la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(21/I/2014)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tabs>
                <w:tab w:pos="2855" w:val="left" w:leader="none"/>
              </w:tabs>
              <w:spacing w:line="241" w:lineRule="exact"/>
              <w:rPr>
                <w:sz w:val="22"/>
              </w:rPr>
            </w:pPr>
            <w:r>
              <w:rPr>
                <w:sz w:val="22"/>
              </w:rPr>
              <w:t>producción  </w:t>
            </w:r>
            <w:r>
              <w:rPr>
                <w:spacing w:val="14"/>
                <w:sz w:val="22"/>
              </w:rPr>
              <w:t> </w:t>
            </w:r>
            <w:r>
              <w:rPr>
                <w:sz w:val="22"/>
              </w:rPr>
              <w:t>de  </w:t>
            </w:r>
            <w:r>
              <w:rPr>
                <w:spacing w:val="14"/>
                <w:sz w:val="22"/>
              </w:rPr>
              <w:t> </w:t>
            </w:r>
            <w:r>
              <w:rPr>
                <w:sz w:val="22"/>
              </w:rPr>
              <w:t>pescado</w:t>
              <w:tab/>
              <w:t>(carpa  </w:t>
            </w:r>
            <w:r>
              <w:rPr>
                <w:spacing w:val="15"/>
                <w:sz w:val="22"/>
              </w:rPr>
              <w:t> </w:t>
            </w:r>
            <w:r>
              <w:rPr>
                <w:sz w:val="22"/>
              </w:rPr>
              <w:t>y</w:t>
            </w: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3" w:lineRule="exact"/>
              <w:rPr>
                <w:sz w:val="22"/>
              </w:rPr>
            </w:pPr>
            <w:r>
              <w:rPr>
                <w:sz w:val="22"/>
              </w:rPr>
              <w:t>mojarra).</w:t>
            </w:r>
          </w:p>
        </w:tc>
      </w:tr>
      <w:tr>
        <w:trPr>
          <w:trHeight w:val="267"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Style w:val="TableParagraph"/>
              <w:spacing w:line="251" w:lineRule="exact"/>
              <w:ind w:left="170" w:right="98"/>
              <w:rPr>
                <w:sz w:val="22"/>
              </w:rPr>
            </w:pPr>
            <w:r>
              <w:rPr>
                <w:sz w:val="22"/>
              </w:rPr>
              <w:t>Ingeniero</w:t>
            </w: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¡Sí, totalmente!, pues</w:t>
            </w:r>
          </w:p>
        </w:tc>
        <w:tc>
          <w:tcPr>
            <w:tcW w:w="3901" w:type="dxa"/>
            <w:tcBorders>
              <w:bottom w:val="nil"/>
            </w:tcBorders>
          </w:tcPr>
          <w:p>
            <w:pPr>
              <w:pStyle w:val="TableParagraph"/>
              <w:spacing w:line="251" w:lineRule="exact"/>
              <w:rPr>
                <w:sz w:val="22"/>
              </w:rPr>
            </w:pPr>
            <w:r>
              <w:rPr>
                <w:sz w:val="22"/>
              </w:rPr>
              <w:t>Para riego principalmente.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Andrade</w:t>
            </w:r>
          </w:p>
        </w:tc>
        <w:tc>
          <w:tcPr>
            <w:tcW w:w="1274" w:type="dxa"/>
            <w:tcBorders>
              <w:top w:val="nil"/>
              <w:bottom w:val="nil"/>
            </w:tcBorders>
          </w:tcPr>
          <w:p>
            <w:pPr>
              <w:pStyle w:val="TableParagraph"/>
              <w:spacing w:line="242" w:lineRule="exact"/>
              <w:ind w:left="122"/>
              <w:rPr>
                <w:sz w:val="22"/>
              </w:rPr>
            </w:pPr>
            <w:r>
              <w:rPr>
                <w:sz w:val="22"/>
              </w:rPr>
              <w:t>Agrónomo</w:t>
            </w: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es  el  principal  riego</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Lugo</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10" w:val="left" w:leader="none"/>
                <w:tab w:pos="1955" w:val="left" w:leader="none"/>
              </w:tabs>
              <w:spacing w:line="241" w:lineRule="exact"/>
              <w:ind w:left="100"/>
              <w:rPr>
                <w:sz w:val="22"/>
              </w:rPr>
            </w:pPr>
            <w:r>
              <w:rPr>
                <w:sz w:val="22"/>
              </w:rPr>
              <w:t>del</w:t>
              <w:tab/>
              <w:t>municipio</w:t>
              <w:tab/>
              <w:t>de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Polo,  San  Juan  y la</w:t>
            </w:r>
          </w:p>
        </w:tc>
        <w:tc>
          <w:tcPr>
            <w:tcW w:w="3901" w:type="dxa"/>
            <w:tcBorders>
              <w:top w:val="nil"/>
              <w:bottom w:val="nil"/>
            </w:tcBorders>
          </w:tcPr>
          <w:p>
            <w:pPr/>
          </w:p>
        </w:tc>
      </w:tr>
      <w:tr>
        <w:trPr>
          <w:trHeight w:val="247" w:hRule="exact"/>
        </w:trPr>
        <w:tc>
          <w:tcPr>
            <w:tcW w:w="1385" w:type="dxa"/>
            <w:tcBorders>
              <w:top w:val="nil"/>
            </w:tcBorders>
          </w:tcPr>
          <w:p>
            <w:pPr>
              <w:pStyle w:val="TableParagraph"/>
              <w:spacing w:line="241" w:lineRule="exact"/>
              <w:ind w:left="155"/>
              <w:rPr>
                <w:sz w:val="22"/>
              </w:rPr>
            </w:pPr>
            <w:r>
              <w:rPr>
                <w:sz w:val="22"/>
              </w:rPr>
              <w:t>(31/I/2015)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producción de peces.</w:t>
            </w:r>
          </w:p>
        </w:tc>
        <w:tc>
          <w:tcPr>
            <w:tcW w:w="3901" w:type="dxa"/>
            <w:tcBorders>
              <w:top w:val="nil"/>
            </w:tcBorders>
          </w:tcPr>
          <w:p>
            <w:pPr/>
          </w:p>
        </w:tc>
      </w:tr>
      <w:tr>
        <w:trPr>
          <w:trHeight w:val="269" w:hRule="exact"/>
        </w:trPr>
        <w:tc>
          <w:tcPr>
            <w:tcW w:w="1385" w:type="dxa"/>
            <w:tcBorders>
              <w:bottom w:val="nil"/>
            </w:tcBorders>
          </w:tcPr>
          <w:p>
            <w:pPr>
              <w:pStyle w:val="TableParagraph"/>
              <w:rPr>
                <w:sz w:val="22"/>
              </w:rPr>
            </w:pPr>
            <w:r>
              <w:rPr>
                <w:sz w:val="22"/>
              </w:rPr>
              <w:t>Isac del Río</w:t>
            </w:r>
          </w:p>
        </w:tc>
        <w:tc>
          <w:tcPr>
            <w:tcW w:w="1274" w:type="dxa"/>
            <w:tcBorders>
              <w:bottom w:val="nil"/>
            </w:tcBorders>
          </w:tcPr>
          <w:p>
            <w:pPr>
              <w:pStyle w:val="TableParagraph"/>
              <w:ind w:left="100"/>
              <w:rPr>
                <w:sz w:val="22"/>
              </w:rPr>
            </w:pPr>
            <w:r>
              <w:rPr>
                <w:sz w:val="22"/>
              </w:rPr>
              <w:t>Licenciado</w:t>
            </w:r>
          </w:p>
        </w:tc>
        <w:tc>
          <w:tcPr>
            <w:tcW w:w="1887" w:type="dxa"/>
            <w:tcBorders>
              <w:bottom w:val="nil"/>
            </w:tcBorders>
          </w:tcPr>
          <w:p>
            <w:pPr>
              <w:pStyle w:val="TableParagraph"/>
              <w:tabs>
                <w:tab w:pos="1528" w:val="left" w:leader="none"/>
              </w:tabs>
              <w:rPr>
                <w:sz w:val="22"/>
              </w:rPr>
            </w:pPr>
            <w:r>
              <w:rPr>
                <w:sz w:val="22"/>
              </w:rPr>
              <w:t>Coordinador</w:t>
              <w:tab/>
              <w:t>de</w:t>
            </w:r>
          </w:p>
        </w:tc>
        <w:tc>
          <w:tcPr>
            <w:tcW w:w="1289" w:type="dxa"/>
            <w:tcBorders>
              <w:bottom w:val="nil"/>
            </w:tcBorders>
          </w:tcPr>
          <w:p>
            <w:pPr>
              <w:pStyle w:val="TableParagraph"/>
              <w:ind w:left="309"/>
              <w:rPr>
                <w:sz w:val="22"/>
              </w:rPr>
            </w:pPr>
            <w:r>
              <w:rPr>
                <w:sz w:val="22"/>
              </w:rPr>
              <w:t>Aculco</w:t>
            </w:r>
          </w:p>
        </w:tc>
        <w:tc>
          <w:tcPr>
            <w:tcW w:w="1174" w:type="dxa"/>
            <w:tcBorders>
              <w:bottom w:val="nil"/>
            </w:tcBorders>
          </w:tcPr>
          <w:p>
            <w:pPr>
              <w:pStyle w:val="TableParagraph"/>
              <w:ind w:left="0" w:right="249"/>
              <w:jc w:val="right"/>
              <w:rPr>
                <w:sz w:val="22"/>
              </w:rPr>
            </w:pPr>
            <w:r>
              <w:rPr>
                <w:sz w:val="22"/>
              </w:rPr>
              <w:t>Aculco</w:t>
            </w:r>
          </w:p>
        </w:tc>
        <w:tc>
          <w:tcPr>
            <w:tcW w:w="2314" w:type="dxa"/>
            <w:tcBorders>
              <w:bottom w:val="nil"/>
            </w:tcBorders>
          </w:tcPr>
          <w:p>
            <w:pPr>
              <w:pStyle w:val="TableParagraph"/>
              <w:ind w:left="100"/>
              <w:rPr>
                <w:sz w:val="22"/>
              </w:rPr>
            </w:pPr>
            <w:r>
              <w:rPr>
                <w:sz w:val="22"/>
              </w:rPr>
              <w:t>Sí por la pesca como</w:t>
            </w:r>
          </w:p>
        </w:tc>
        <w:tc>
          <w:tcPr>
            <w:tcW w:w="3901" w:type="dxa"/>
            <w:tcBorders>
              <w:bottom w:val="nil"/>
            </w:tcBorders>
          </w:tcPr>
          <w:p>
            <w:pPr>
              <w:pStyle w:val="TableParagraph"/>
              <w:rPr>
                <w:sz w:val="22"/>
              </w:rPr>
            </w:pPr>
            <w:r>
              <w:rPr>
                <w:sz w:val="22"/>
              </w:rPr>
              <w:t>Para  riego  de  Aculco,  Acambay  </w:t>
            </w:r>
            <w:r>
              <w:rPr>
                <w:spacing w:val="59"/>
                <w:sz w:val="22"/>
              </w:rPr>
              <w:t> </w:t>
            </w:r>
            <w:r>
              <w:rPr>
                <w:sz w:val="22"/>
              </w:rPr>
              <w:t>y</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actividad  económica</w:t>
            </w:r>
          </w:p>
        </w:tc>
        <w:tc>
          <w:tcPr>
            <w:tcW w:w="3901" w:type="dxa"/>
            <w:tcBorders>
              <w:top w:val="nil"/>
              <w:bottom w:val="nil"/>
            </w:tcBorders>
          </w:tcPr>
          <w:p>
            <w:pPr>
              <w:pStyle w:val="TableParagraph"/>
              <w:spacing w:line="241" w:lineRule="exact"/>
              <w:rPr>
                <w:sz w:val="22"/>
              </w:rPr>
            </w:pPr>
            <w:r>
              <w:rPr>
                <w:sz w:val="22"/>
              </w:rPr>
              <w:t>Timilpan.</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Comunica</w:t>
            </w:r>
          </w:p>
        </w:tc>
        <w:tc>
          <w:tcPr>
            <w:tcW w:w="1887" w:type="dxa"/>
            <w:tcBorders>
              <w:top w:val="nil"/>
              <w:bottom w:val="nil"/>
            </w:tcBorders>
          </w:tcPr>
          <w:p>
            <w:pPr>
              <w:pStyle w:val="TableParagraph"/>
              <w:spacing w:line="241"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fuerte  y  el  riego  en</w:t>
            </w:r>
          </w:p>
        </w:tc>
        <w:tc>
          <w:tcPr>
            <w:tcW w:w="3901" w:type="dxa"/>
            <w:tcBorders>
              <w:top w:val="nil"/>
              <w:bottom w:val="nil"/>
            </w:tcBorders>
          </w:tcPr>
          <w:p>
            <w:pPr/>
          </w:p>
        </w:tc>
      </w:tr>
      <w:tr>
        <w:trPr>
          <w:trHeight w:val="249" w:hRule="exact"/>
        </w:trPr>
        <w:tc>
          <w:tcPr>
            <w:tcW w:w="1385" w:type="dxa"/>
            <w:tcBorders>
              <w:top w:val="nil"/>
            </w:tcBorders>
          </w:tcPr>
          <w:p>
            <w:pPr>
              <w:pStyle w:val="TableParagraph"/>
              <w:spacing w:line="242" w:lineRule="exact"/>
              <w:ind w:right="127"/>
              <w:rPr>
                <w:sz w:val="22"/>
              </w:rPr>
            </w:pPr>
            <w:r>
              <w:rPr>
                <w:sz w:val="22"/>
              </w:rPr>
              <w:t>(27/I/2015)</w:t>
            </w:r>
          </w:p>
        </w:tc>
        <w:tc>
          <w:tcPr>
            <w:tcW w:w="1274" w:type="dxa"/>
            <w:tcBorders>
              <w:top w:val="nil"/>
            </w:tcBorders>
          </w:tcPr>
          <w:p>
            <w:pPr>
              <w:pStyle w:val="TableParagraph"/>
              <w:spacing w:line="242" w:lineRule="exact"/>
              <w:ind w:left="100" w:right="98"/>
              <w:rPr>
                <w:sz w:val="22"/>
              </w:rPr>
            </w:pPr>
            <w:r>
              <w:rPr>
                <w:sz w:val="22"/>
              </w:rPr>
              <w:t>ción</w:t>
            </w: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parte del municipio.</w:t>
            </w:r>
          </w:p>
        </w:tc>
        <w:tc>
          <w:tcPr>
            <w:tcW w:w="3901" w:type="dxa"/>
            <w:tcBorders>
              <w:top w:val="nil"/>
            </w:tcBorders>
          </w:tcPr>
          <w:p>
            <w:pPr/>
          </w:p>
        </w:tc>
      </w:tr>
      <w:tr>
        <w:trPr>
          <w:trHeight w:val="268" w:hRule="exact"/>
        </w:trPr>
        <w:tc>
          <w:tcPr>
            <w:tcW w:w="1385" w:type="dxa"/>
            <w:tcBorders>
              <w:bottom w:val="nil"/>
            </w:tcBorders>
          </w:tcPr>
          <w:p>
            <w:pPr>
              <w:pStyle w:val="TableParagraph"/>
              <w:spacing w:line="251" w:lineRule="exact"/>
              <w:ind w:right="127"/>
              <w:rPr>
                <w:sz w:val="22"/>
              </w:rPr>
            </w:pPr>
            <w:r>
              <w:rPr>
                <w:sz w:val="22"/>
              </w:rPr>
              <w:t>Arturo</w:t>
            </w:r>
          </w:p>
        </w:tc>
        <w:tc>
          <w:tcPr>
            <w:tcW w:w="1274" w:type="dxa"/>
            <w:tcBorders>
              <w:bottom w:val="nil"/>
            </w:tcBorders>
          </w:tcPr>
          <w:p>
            <w:pPr>
              <w:pStyle w:val="TableParagraph"/>
              <w:spacing w:line="251" w:lineRule="exact"/>
              <w:ind w:left="100" w:right="98"/>
              <w:rPr>
                <w:sz w:val="22"/>
              </w:rPr>
            </w:pPr>
            <w:r>
              <w:rPr>
                <w:sz w:val="22"/>
              </w:rPr>
              <w:t>Ingeniero</w:t>
            </w: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289" w:type="dxa"/>
            <w:tcBorders>
              <w:bottom w:val="nil"/>
            </w:tcBorders>
          </w:tcPr>
          <w:p>
            <w:pPr>
              <w:pStyle w:val="TableParagraph"/>
              <w:spacing w:line="251" w:lineRule="exact"/>
              <w:ind w:left="314"/>
              <w:rPr>
                <w:sz w:val="22"/>
              </w:rPr>
            </w:pPr>
            <w:r>
              <w:rPr>
                <w:sz w:val="22"/>
              </w:rPr>
              <w:t>Arroyo</w:t>
            </w:r>
          </w:p>
        </w:tc>
        <w:tc>
          <w:tcPr>
            <w:tcW w:w="1174" w:type="dxa"/>
            <w:tcBorders>
              <w:bottom w:val="nil"/>
            </w:tcBorders>
          </w:tcPr>
          <w:p>
            <w:pPr>
              <w:pStyle w:val="TableParagraph"/>
              <w:spacing w:line="251" w:lineRule="exact"/>
              <w:ind w:left="0" w:right="257"/>
              <w:jc w:val="right"/>
              <w:rPr>
                <w:sz w:val="22"/>
              </w:rPr>
            </w:pPr>
            <w:r>
              <w:rPr>
                <w:sz w:val="22"/>
              </w:rPr>
              <w:t>Arroyo</w:t>
            </w:r>
          </w:p>
        </w:tc>
        <w:tc>
          <w:tcPr>
            <w:tcW w:w="2314" w:type="dxa"/>
            <w:tcBorders>
              <w:bottom w:val="nil"/>
            </w:tcBorders>
          </w:tcPr>
          <w:p>
            <w:pPr>
              <w:pStyle w:val="TableParagraph"/>
              <w:tabs>
                <w:tab w:pos="575" w:val="left" w:leader="none"/>
                <w:tab w:pos="1529" w:val="left" w:leader="none"/>
                <w:tab w:pos="2028" w:val="left" w:leader="none"/>
              </w:tabs>
              <w:spacing w:line="251" w:lineRule="exact"/>
              <w:ind w:left="100"/>
              <w:rPr>
                <w:sz w:val="22"/>
              </w:rPr>
            </w:pPr>
            <w:r>
              <w:rPr>
                <w:sz w:val="22"/>
              </w:rPr>
              <w:t>Sí</w:t>
              <w:tab/>
              <w:t>porque</w:t>
              <w:tab/>
              <w:t>es</w:t>
              <w:tab/>
              <w:t>el</w:t>
            </w:r>
          </w:p>
        </w:tc>
        <w:tc>
          <w:tcPr>
            <w:tcW w:w="3901" w:type="dxa"/>
            <w:tcBorders>
              <w:bottom w:val="nil"/>
            </w:tcBorders>
          </w:tcPr>
          <w:p>
            <w:pPr>
              <w:pStyle w:val="TableParagraph"/>
              <w:spacing w:line="251" w:lineRule="exact"/>
              <w:rPr>
                <w:sz w:val="22"/>
              </w:rPr>
            </w:pPr>
            <w:r>
              <w:rPr>
                <w:sz w:val="22"/>
              </w:rPr>
              <w:t>Para riego y abrevadero de los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Becerril</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Departamento</w:t>
            </w:r>
          </w:p>
        </w:tc>
        <w:tc>
          <w:tcPr>
            <w:tcW w:w="1289" w:type="dxa"/>
            <w:tcBorders>
              <w:top w:val="nil"/>
              <w:bottom w:val="nil"/>
            </w:tcBorders>
          </w:tcPr>
          <w:p>
            <w:pPr>
              <w:pStyle w:val="TableParagraph"/>
              <w:spacing w:line="242" w:lineRule="exact"/>
              <w:ind w:left="326"/>
              <w:rPr>
                <w:sz w:val="22"/>
              </w:rPr>
            </w:pPr>
            <w:r>
              <w:rPr>
                <w:sz w:val="22"/>
              </w:rPr>
              <w:t>Zarco,</w:t>
            </w:r>
          </w:p>
        </w:tc>
        <w:tc>
          <w:tcPr>
            <w:tcW w:w="1174" w:type="dxa"/>
            <w:tcBorders>
              <w:top w:val="nil"/>
              <w:bottom w:val="nil"/>
            </w:tcBorders>
          </w:tcPr>
          <w:p>
            <w:pPr>
              <w:pStyle w:val="TableParagraph"/>
              <w:spacing w:line="242" w:lineRule="exact"/>
              <w:ind w:left="0" w:right="267"/>
              <w:jc w:val="right"/>
              <w:rPr>
                <w:sz w:val="22"/>
              </w:rPr>
            </w:pPr>
            <w:r>
              <w:rPr>
                <w:sz w:val="22"/>
              </w:rPr>
              <w:t>Zarco,</w:t>
            </w:r>
          </w:p>
        </w:tc>
        <w:tc>
          <w:tcPr>
            <w:tcW w:w="2314" w:type="dxa"/>
            <w:tcBorders>
              <w:top w:val="nil"/>
              <w:bottom w:val="nil"/>
            </w:tcBorders>
          </w:tcPr>
          <w:p>
            <w:pPr>
              <w:pStyle w:val="TableParagraph"/>
              <w:spacing w:line="242" w:lineRule="exact"/>
              <w:ind w:left="100"/>
              <w:rPr>
                <w:sz w:val="22"/>
              </w:rPr>
            </w:pPr>
            <w:r>
              <w:rPr>
                <w:sz w:val="22"/>
              </w:rPr>
              <w:t>sustento de todos los</w:t>
            </w:r>
          </w:p>
        </w:tc>
        <w:tc>
          <w:tcPr>
            <w:tcW w:w="3901" w:type="dxa"/>
            <w:tcBorders>
              <w:top w:val="nil"/>
              <w:bottom w:val="nil"/>
            </w:tcBorders>
          </w:tcPr>
          <w:p>
            <w:pPr>
              <w:pStyle w:val="TableParagraph"/>
              <w:spacing w:line="242" w:lineRule="exact"/>
              <w:rPr>
                <w:sz w:val="22"/>
              </w:rPr>
            </w:pPr>
            <w:r>
              <w:rPr>
                <w:sz w:val="22"/>
              </w:rPr>
              <w:t>animales y la usan los ejidatarios de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Ortega</w:t>
            </w:r>
          </w:p>
        </w:tc>
        <w:tc>
          <w:tcPr>
            <w:tcW w:w="1274" w:type="dxa"/>
            <w:tcBorders>
              <w:top w:val="nil"/>
              <w:bottom w:val="nil"/>
            </w:tcBorders>
          </w:tcPr>
          <w:p>
            <w:pPr>
              <w:pStyle w:val="TableParagraph"/>
              <w:spacing w:line="241" w:lineRule="exact"/>
              <w:ind w:left="100" w:right="98"/>
              <w:rPr>
                <w:sz w:val="22"/>
              </w:rPr>
            </w:pPr>
            <w:r>
              <w:rPr>
                <w:sz w:val="22"/>
              </w:rPr>
              <w:t>Sistemas</w:t>
            </w:r>
          </w:p>
        </w:tc>
        <w:tc>
          <w:tcPr>
            <w:tcW w:w="1887" w:type="dxa"/>
            <w:tcBorders>
              <w:top w:val="nil"/>
              <w:bottom w:val="nil"/>
            </w:tcBorders>
          </w:tcPr>
          <w:p>
            <w:pPr>
              <w:pStyle w:val="TableParagraph"/>
              <w:tabs>
                <w:tab w:pos="1149" w:val="left" w:leader="none"/>
              </w:tabs>
              <w:spacing w:line="241" w:lineRule="exact"/>
              <w:rPr>
                <w:sz w:val="22"/>
              </w:rPr>
            </w:pPr>
            <w:r>
              <w:rPr>
                <w:sz w:val="22"/>
              </w:rPr>
              <w:t>de</w:t>
              <w:tab/>
              <w:t>Aguas</w:t>
            </w:r>
          </w:p>
        </w:tc>
        <w:tc>
          <w:tcPr>
            <w:tcW w:w="1289" w:type="dxa"/>
            <w:tcBorders>
              <w:top w:val="nil"/>
              <w:bottom w:val="nil"/>
            </w:tcBorders>
          </w:tcPr>
          <w:p>
            <w:pPr>
              <w:pStyle w:val="TableParagraph"/>
              <w:spacing w:line="241" w:lineRule="exact"/>
              <w:ind w:left="309"/>
              <w:rPr>
                <w:sz w:val="22"/>
              </w:rPr>
            </w:pPr>
            <w:r>
              <w:rPr>
                <w:sz w:val="22"/>
              </w:rPr>
              <w:t>Aculco</w:t>
            </w:r>
          </w:p>
        </w:tc>
        <w:tc>
          <w:tcPr>
            <w:tcW w:w="1174" w:type="dxa"/>
            <w:tcBorders>
              <w:top w:val="nil"/>
              <w:bottom w:val="nil"/>
            </w:tcBorders>
          </w:tcPr>
          <w:p>
            <w:pPr>
              <w:pStyle w:val="TableParagraph"/>
              <w:spacing w:line="241" w:lineRule="exact"/>
              <w:ind w:left="0" w:right="249"/>
              <w:jc w:val="right"/>
              <w:rPr>
                <w:sz w:val="22"/>
              </w:rPr>
            </w:pPr>
            <w:r>
              <w:rPr>
                <w:sz w:val="22"/>
              </w:rPr>
              <w:t>Aculco</w:t>
            </w:r>
          </w:p>
        </w:tc>
        <w:tc>
          <w:tcPr>
            <w:tcW w:w="2314" w:type="dxa"/>
            <w:tcBorders>
              <w:top w:val="nil"/>
              <w:bottom w:val="nil"/>
            </w:tcBorders>
          </w:tcPr>
          <w:p>
            <w:pPr>
              <w:pStyle w:val="TableParagraph"/>
              <w:spacing w:line="241" w:lineRule="exact"/>
              <w:ind w:left="100"/>
              <w:rPr>
                <w:sz w:val="22"/>
              </w:rPr>
            </w:pPr>
            <w:r>
              <w:rPr>
                <w:sz w:val="22"/>
              </w:rPr>
              <w:t>campesinos,  es muy</w:t>
            </w:r>
          </w:p>
        </w:tc>
        <w:tc>
          <w:tcPr>
            <w:tcW w:w="3901" w:type="dxa"/>
            <w:tcBorders>
              <w:top w:val="nil"/>
              <w:bottom w:val="nil"/>
            </w:tcBorders>
          </w:tcPr>
          <w:p>
            <w:pPr>
              <w:pStyle w:val="TableParagraph"/>
              <w:spacing w:line="241" w:lineRule="exact"/>
              <w:rPr>
                <w:sz w:val="22"/>
              </w:rPr>
            </w:pPr>
            <w:r>
              <w:rPr>
                <w:sz w:val="22"/>
              </w:rPr>
              <w:t>todo el municipio.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3" w:val="left" w:leader="none"/>
              </w:tabs>
              <w:spacing w:line="242" w:lineRule="exact"/>
              <w:rPr>
                <w:sz w:val="22"/>
              </w:rPr>
            </w:pPr>
            <w:r>
              <w:rPr>
                <w:sz w:val="22"/>
              </w:rPr>
              <w:t>Residuales</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importante el apoyo.</w:t>
            </w: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ind w:right="127"/>
              <w:rPr>
                <w:sz w:val="22"/>
              </w:rPr>
            </w:pPr>
            <w:r>
              <w:rPr>
                <w:sz w:val="22"/>
              </w:rPr>
              <w:t>(27/I/2015)</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Saneamiento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pgSz w:w="15840" w:h="12240" w:orient="landscape"/>
          <w:pgMar w:header="0" w:footer="943" w:top="1140" w:bottom="1200" w:left="1200" w:right="1180"/>
        </w:sectPr>
      </w:pPr>
    </w:p>
    <w:p>
      <w:pPr>
        <w:pStyle w:val="BodyText"/>
        <w:rPr>
          <w:sz w:val="20"/>
        </w:rPr>
      </w:pPr>
    </w:p>
    <w:p>
      <w:pPr>
        <w:pStyle w:val="BodyText"/>
        <w:spacing w:before="1"/>
      </w:pPr>
    </w:p>
    <w:p>
      <w:pPr>
        <w:pStyle w:val="Heading6"/>
        <w:spacing w:before="73" w:after="4"/>
        <w:ind w:left="2357" w:right="778"/>
      </w:pPr>
      <w:r>
        <w:rPr/>
        <w:t>Tabla 6.10. Municipio de Aculco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2" w:hRule="exact"/>
        </w:trPr>
        <w:tc>
          <w:tcPr>
            <w:tcW w:w="13224" w:type="dxa"/>
            <w:gridSpan w:val="7"/>
            <w:shd w:val="clear" w:color="auto" w:fill="9BBA58"/>
          </w:tcPr>
          <w:p>
            <w:pPr>
              <w:pStyle w:val="TableParagraph"/>
              <w:spacing w:line="248" w:lineRule="exact"/>
              <w:ind w:left="4868" w:right="4870"/>
              <w:jc w:val="center"/>
              <w:rPr>
                <w:b/>
                <w:sz w:val="22"/>
              </w:rPr>
            </w:pPr>
            <w:r>
              <w:rPr>
                <w:b/>
                <w:sz w:val="22"/>
              </w:rPr>
              <w:t>ACULCO</w:t>
            </w:r>
          </w:p>
        </w:tc>
      </w:tr>
      <w:tr>
        <w:trPr>
          <w:trHeight w:val="524" w:hRule="exact"/>
        </w:trPr>
        <w:tc>
          <w:tcPr>
            <w:tcW w:w="4547" w:type="dxa"/>
            <w:gridSpan w:val="3"/>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4"/>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1022"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Cultura</w:t>
            </w:r>
          </w:p>
        </w:tc>
        <w:tc>
          <w:tcPr>
            <w:tcW w:w="3901" w:type="dxa"/>
            <w:shd w:val="clear" w:color="auto" w:fill="92CDDC"/>
          </w:tcPr>
          <w:p>
            <w:pPr>
              <w:pStyle w:val="TableParagraph"/>
              <w:tabs>
                <w:tab w:pos="2418" w:val="left" w:leader="none"/>
              </w:tabs>
              <w:ind w:right="98"/>
              <w:jc w:val="both"/>
              <w:rPr>
                <w:b/>
                <w:i/>
                <w:sz w:val="22"/>
              </w:rPr>
            </w:pPr>
            <w:r>
              <w:rPr>
                <w:b/>
                <w:i/>
                <w:sz w:val="22"/>
              </w:rPr>
              <w:t>Democracia y voluntariedad de la </w:t>
            </w:r>
            <w:r>
              <w:rPr>
                <w:b/>
                <w:i/>
                <w:sz w:val="22"/>
              </w:rPr>
              <w:t>sociedad,</w:t>
              <w:tab/>
            </w:r>
            <w:r>
              <w:rPr>
                <w:b/>
                <w:i/>
                <w:spacing w:val="-1"/>
                <w:sz w:val="22"/>
              </w:rPr>
              <w:t>cooperación, </w:t>
            </w:r>
            <w:r>
              <w:rPr>
                <w:b/>
                <w:i/>
                <w:sz w:val="22"/>
              </w:rPr>
              <w:t>participación social y relaciones intermunicipales</w:t>
            </w:r>
          </w:p>
        </w:tc>
      </w:tr>
      <w:tr>
        <w:trPr>
          <w:trHeight w:val="266"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274" w:type="dxa"/>
            <w:tcBorders>
              <w:bottom w:val="nil"/>
            </w:tcBorders>
            <w:shd w:val="clear" w:color="auto" w:fill="F9BE8F"/>
          </w:tcPr>
          <w:p>
            <w:pPr>
              <w:pStyle w:val="TableParagraph"/>
              <w:spacing w:line="249" w:lineRule="exact"/>
              <w:ind w:left="100" w:right="98"/>
              <w:rPr>
                <w:b/>
                <w:sz w:val="22"/>
              </w:rPr>
            </w:pPr>
            <w:r>
              <w:rPr>
                <w:b/>
                <w:sz w:val="22"/>
              </w:rPr>
              <w:t>Nivel</w:t>
            </w:r>
          </w:p>
        </w:tc>
        <w:tc>
          <w:tcPr>
            <w:tcW w:w="1887" w:type="dxa"/>
            <w:tcBorders>
              <w:bottom w:val="nil"/>
            </w:tcBorders>
            <w:shd w:val="clear" w:color="auto" w:fill="F9BE8F"/>
          </w:tcPr>
          <w:p>
            <w:pPr>
              <w:pStyle w:val="TableParagraph"/>
              <w:spacing w:line="249" w:lineRule="exact"/>
              <w:rPr>
                <w:b/>
                <w:sz w:val="22"/>
              </w:rPr>
            </w:pPr>
            <w:r>
              <w:rPr>
                <w:b/>
                <w:sz w:val="22"/>
              </w:rPr>
              <w:t>Cargo Público</w:t>
            </w:r>
          </w:p>
        </w:tc>
        <w:tc>
          <w:tcPr>
            <w:tcW w:w="1289" w:type="dxa"/>
            <w:tcBorders>
              <w:bottom w:val="nil"/>
            </w:tcBorders>
            <w:shd w:val="clear" w:color="auto" w:fill="92CDDC"/>
          </w:tcPr>
          <w:p>
            <w:pPr>
              <w:pStyle w:val="TableParagraph"/>
              <w:spacing w:line="249" w:lineRule="exact"/>
              <w:rPr>
                <w:b/>
                <w:sz w:val="22"/>
              </w:rPr>
            </w:pPr>
            <w:r>
              <w:rPr>
                <w:b/>
                <w:sz w:val="22"/>
              </w:rPr>
              <w:t>¿Dónde</w:t>
            </w:r>
          </w:p>
        </w:tc>
        <w:tc>
          <w:tcPr>
            <w:tcW w:w="1174" w:type="dxa"/>
            <w:tcBorders>
              <w:bottom w:val="nil"/>
            </w:tcBorders>
            <w:shd w:val="clear" w:color="auto" w:fill="92CDDC"/>
          </w:tcPr>
          <w:p>
            <w:pPr>
              <w:pStyle w:val="TableParagraph"/>
              <w:spacing w:line="249" w:lineRule="exact"/>
              <w:rPr>
                <w:b/>
                <w:sz w:val="22"/>
              </w:rPr>
            </w:pPr>
            <w:r>
              <w:rPr>
                <w:b/>
                <w:sz w:val="22"/>
              </w:rPr>
              <w:t>¿Dónde</w:t>
            </w:r>
          </w:p>
        </w:tc>
        <w:tc>
          <w:tcPr>
            <w:tcW w:w="2314" w:type="dxa"/>
            <w:tcBorders>
              <w:bottom w:val="nil"/>
            </w:tcBorders>
            <w:shd w:val="clear" w:color="auto" w:fill="92CDDC"/>
          </w:tcPr>
          <w:p>
            <w:pPr>
              <w:pStyle w:val="TableParagraph"/>
              <w:spacing w:line="249" w:lineRule="exact"/>
              <w:ind w:left="100"/>
              <w:rPr>
                <w:b/>
                <w:sz w:val="22"/>
              </w:rPr>
            </w:pPr>
            <w:r>
              <w:rPr>
                <w:b/>
                <w:sz w:val="22"/>
              </w:rPr>
              <w:t>¿Considera  que  se</w:t>
            </w:r>
          </w:p>
        </w:tc>
        <w:tc>
          <w:tcPr>
            <w:tcW w:w="3901" w:type="dxa"/>
            <w:tcBorders>
              <w:bottom w:val="nil"/>
            </w:tcBorders>
            <w:shd w:val="clear" w:color="auto" w:fill="92CDDC"/>
          </w:tcPr>
          <w:p>
            <w:pPr>
              <w:pStyle w:val="TableParagraph"/>
              <w:spacing w:line="249" w:lineRule="exact"/>
              <w:rPr>
                <w:b/>
                <w:sz w:val="22"/>
              </w:rPr>
            </w:pPr>
            <w:r>
              <w:rPr>
                <w:b/>
                <w:sz w:val="22"/>
              </w:rPr>
              <w:t>¿Considera que debe cooperar su</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2"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2" w:lineRule="exact"/>
              <w:rPr>
                <w:b/>
                <w:sz w:val="22"/>
              </w:rPr>
            </w:pPr>
            <w:r>
              <w:rPr>
                <w:b/>
                <w:sz w:val="22"/>
              </w:rPr>
              <w:t>nació?</w:t>
            </w:r>
          </w:p>
        </w:tc>
        <w:tc>
          <w:tcPr>
            <w:tcW w:w="1174" w:type="dxa"/>
            <w:tcBorders>
              <w:top w:val="nil"/>
              <w:bottom w:val="nil"/>
            </w:tcBorders>
            <w:shd w:val="clear" w:color="auto" w:fill="92CDDC"/>
          </w:tcPr>
          <w:p>
            <w:pPr>
              <w:pStyle w:val="TableParagraph"/>
              <w:spacing w:line="242" w:lineRule="exact"/>
              <w:rPr>
                <w:b/>
                <w:sz w:val="22"/>
              </w:rPr>
            </w:pPr>
            <w:r>
              <w:rPr>
                <w:b/>
                <w:sz w:val="22"/>
              </w:rPr>
              <w:t>vive?</w:t>
            </w:r>
          </w:p>
        </w:tc>
        <w:tc>
          <w:tcPr>
            <w:tcW w:w="2314" w:type="dxa"/>
            <w:tcBorders>
              <w:top w:val="nil"/>
              <w:bottom w:val="nil"/>
            </w:tcBorders>
            <w:shd w:val="clear" w:color="auto" w:fill="92CDDC"/>
          </w:tcPr>
          <w:p>
            <w:pPr>
              <w:pStyle w:val="TableParagraph"/>
              <w:tabs>
                <w:tab w:pos="582" w:val="left" w:leader="none"/>
                <w:tab w:pos="2017" w:val="left" w:leader="none"/>
              </w:tabs>
              <w:spacing w:line="242" w:lineRule="exact"/>
              <w:ind w:left="100"/>
              <w:rPr>
                <w:b/>
                <w:sz w:val="22"/>
              </w:rPr>
            </w:pPr>
            <w:r>
              <w:rPr>
                <w:b/>
                <w:sz w:val="22"/>
              </w:rPr>
              <w:t>ha</w:t>
              <w:tab/>
              <w:t>deteriorado</w:t>
              <w:tab/>
              <w:t>la</w:t>
            </w:r>
          </w:p>
        </w:tc>
        <w:tc>
          <w:tcPr>
            <w:tcW w:w="3901" w:type="dxa"/>
            <w:tcBorders>
              <w:top w:val="nil"/>
              <w:bottom w:val="nil"/>
            </w:tcBorders>
            <w:shd w:val="clear" w:color="auto" w:fill="92CDDC"/>
          </w:tcPr>
          <w:p>
            <w:pPr>
              <w:pStyle w:val="TableParagraph"/>
              <w:spacing w:line="242" w:lineRule="exact"/>
              <w:rPr>
                <w:b/>
                <w:sz w:val="22"/>
              </w:rPr>
            </w:pPr>
            <w:r>
              <w:rPr>
                <w:b/>
                <w:sz w:val="22"/>
              </w:rPr>
              <w:t>municipio para que no se deteriore</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945" w:val="left" w:leader="none"/>
              </w:tabs>
              <w:spacing w:line="241"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1" w:lineRule="exact"/>
              <w:rPr>
                <w:b/>
                <w:sz w:val="22"/>
              </w:rPr>
            </w:pPr>
            <w:r>
              <w:rPr>
                <w:b/>
                <w:sz w:val="22"/>
              </w:rPr>
              <w:t>la laguna de Huapango?</w:t>
            </w: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Huapango?</w:t>
            </w:r>
          </w:p>
        </w:tc>
        <w:tc>
          <w:tcPr>
            <w:tcW w:w="3901"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Salvador</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spacing w:line="251" w:lineRule="exact"/>
              <w:rPr>
                <w:sz w:val="22"/>
              </w:rPr>
            </w:pPr>
            <w:r>
              <w:rPr>
                <w:sz w:val="22"/>
              </w:rPr>
              <w:t>Presidente</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tabs>
                <w:tab w:pos="585" w:val="left" w:leader="none"/>
                <w:tab w:pos="1484" w:val="left" w:leader="none"/>
                <w:tab w:pos="1957" w:val="left" w:leader="none"/>
              </w:tabs>
              <w:spacing w:line="251" w:lineRule="exact"/>
              <w:ind w:left="100"/>
              <w:rPr>
                <w:sz w:val="22"/>
              </w:rPr>
            </w:pPr>
            <w:r>
              <w:rPr>
                <w:sz w:val="22"/>
              </w:rPr>
              <w:t>La</w:t>
              <w:tab/>
              <w:t>laguna</w:t>
              <w:tab/>
              <w:t>se</w:t>
              <w:tab/>
              <w:t>ha</w:t>
            </w:r>
          </w:p>
        </w:tc>
        <w:tc>
          <w:tcPr>
            <w:tcW w:w="3901" w:type="dxa"/>
            <w:tcBorders>
              <w:bottom w:val="nil"/>
            </w:tcBorders>
          </w:tcPr>
          <w:p>
            <w:pPr>
              <w:pStyle w:val="TableParagraph"/>
              <w:spacing w:line="251" w:lineRule="exact"/>
              <w:rPr>
                <w:sz w:val="22"/>
              </w:rPr>
            </w:pPr>
            <w:r>
              <w:rPr>
                <w:sz w:val="22"/>
              </w:rPr>
              <w:t>Sí  porque  es  una  parte  importante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del Río</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44" w:val="left" w:leader="none"/>
                <w:tab w:pos="2029" w:val="left" w:leader="none"/>
              </w:tabs>
              <w:spacing w:line="241" w:lineRule="exact"/>
              <w:ind w:left="100"/>
              <w:rPr>
                <w:sz w:val="22"/>
              </w:rPr>
            </w:pPr>
            <w:r>
              <w:rPr>
                <w:sz w:val="22"/>
              </w:rPr>
              <w:t>deteriorado</w:t>
              <w:tab/>
              <w:t>con</w:t>
              <w:tab/>
              <w:t>el</w:t>
            </w:r>
          </w:p>
        </w:tc>
        <w:tc>
          <w:tcPr>
            <w:tcW w:w="3901" w:type="dxa"/>
            <w:tcBorders>
              <w:top w:val="nil"/>
              <w:bottom w:val="nil"/>
            </w:tcBorders>
          </w:tcPr>
          <w:p>
            <w:pPr>
              <w:pStyle w:val="TableParagraph"/>
              <w:spacing w:line="241" w:lineRule="exact"/>
              <w:rPr>
                <w:sz w:val="22"/>
              </w:rPr>
            </w:pPr>
            <w:r>
              <w:rPr>
                <w:sz w:val="22"/>
              </w:rPr>
              <w:t>del municipio y sirve como fuente </w:t>
            </w:r>
            <w:r>
              <w:rPr>
                <w:spacing w:val="50"/>
                <w:sz w:val="22"/>
              </w:rPr>
              <w:t> </w:t>
            </w:r>
            <w:r>
              <w:rPr>
                <w:sz w:val="22"/>
              </w:rPr>
              <w:t>de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274" w:type="dxa"/>
            <w:tcBorders>
              <w:top w:val="nil"/>
              <w:bottom w:val="nil"/>
            </w:tcBorders>
          </w:tcPr>
          <w:p>
            <w:pPr>
              <w:pStyle w:val="TableParagraph"/>
              <w:spacing w:line="242" w:lineRule="exact"/>
              <w:ind w:left="100" w:right="98"/>
              <w:rPr>
                <w:sz w:val="22"/>
              </w:rPr>
            </w:pPr>
            <w:r>
              <w:rPr>
                <w:sz w:val="22"/>
              </w:rPr>
              <w:t>Ciencias</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tiempo,  por  ejemplo</w:t>
            </w:r>
          </w:p>
        </w:tc>
        <w:tc>
          <w:tcPr>
            <w:tcW w:w="3901" w:type="dxa"/>
            <w:tcBorders>
              <w:top w:val="nil"/>
              <w:bottom w:val="nil"/>
            </w:tcBorders>
          </w:tcPr>
          <w:p>
            <w:pPr>
              <w:pStyle w:val="TableParagraph"/>
              <w:spacing w:line="242" w:lineRule="exact"/>
              <w:rPr>
                <w:sz w:val="22"/>
              </w:rPr>
            </w:pPr>
            <w:r>
              <w:rPr>
                <w:sz w:val="22"/>
              </w:rPr>
              <w:t>ingresos y genera trabajos.</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Políticas y</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44" w:val="left" w:leader="none"/>
                <w:tab w:pos="1000" w:val="left" w:leader="none"/>
                <w:tab w:pos="2089" w:val="left" w:leader="none"/>
              </w:tabs>
              <w:spacing w:line="241" w:lineRule="exact"/>
              <w:ind w:left="100"/>
              <w:rPr>
                <w:sz w:val="22"/>
              </w:rPr>
            </w:pPr>
            <w:r>
              <w:rPr>
                <w:sz w:val="22"/>
              </w:rPr>
              <w:t>se</w:t>
              <w:tab/>
              <w:t>ha</w:t>
              <w:tab/>
              <w:t>azolvado</w:t>
              <w:tab/>
              <w:t>y</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rPr>
                <w:sz w:val="22"/>
              </w:rPr>
            </w:pPr>
            <w:r>
              <w:rPr>
                <w:sz w:val="22"/>
              </w:rPr>
              <w:t>(18/7/2014)</w:t>
            </w:r>
          </w:p>
        </w:tc>
        <w:tc>
          <w:tcPr>
            <w:tcW w:w="1274" w:type="dxa"/>
            <w:tcBorders>
              <w:top w:val="nil"/>
              <w:bottom w:val="nil"/>
            </w:tcBorders>
          </w:tcPr>
          <w:p>
            <w:pPr>
              <w:pStyle w:val="TableParagraph"/>
              <w:spacing w:line="242" w:lineRule="exact"/>
              <w:ind w:left="100"/>
              <w:rPr>
                <w:sz w:val="22"/>
              </w:rPr>
            </w:pPr>
            <w:r>
              <w:rPr>
                <w:sz w:val="22"/>
              </w:rPr>
              <w:t>Administra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tenía   lirio   acuático,</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ción</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pero  cuando  estuvo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Pública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Arturo  Osornio como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4" w:val="left" w:leader="none"/>
              </w:tabs>
              <w:spacing w:line="242" w:lineRule="exact"/>
              <w:ind w:left="100"/>
              <w:rPr>
                <w:sz w:val="22"/>
              </w:rPr>
            </w:pPr>
            <w:r>
              <w:rPr>
                <w:sz w:val="22"/>
              </w:rPr>
              <w:t>Secretario</w:t>
              <w:tab/>
              <w:t>de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Desarrollo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847" w:val="left" w:leader="none"/>
              </w:tabs>
              <w:spacing w:line="242" w:lineRule="exact"/>
              <w:ind w:left="100"/>
              <w:rPr>
                <w:sz w:val="22"/>
              </w:rPr>
            </w:pPr>
            <w:r>
              <w:rPr>
                <w:sz w:val="22"/>
              </w:rPr>
              <w:t>Agropecuario</w:t>
              <w:tab/>
              <w:t>nos</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prestó  una  máquina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25" w:val="left" w:leader="none"/>
                <w:tab w:pos="1669" w:val="left" w:leader="none"/>
                <w:tab w:pos="2029" w:val="left" w:leader="none"/>
              </w:tabs>
              <w:spacing w:line="241" w:lineRule="exact"/>
              <w:ind w:left="100"/>
              <w:rPr>
                <w:sz w:val="22"/>
              </w:rPr>
            </w:pPr>
            <w:r>
              <w:rPr>
                <w:sz w:val="22"/>
              </w:rPr>
              <w:t>Brazo</w:t>
              <w:tab/>
              <w:t>largo</w:t>
              <w:tab/>
              <w:t>y</w:t>
              <w:tab/>
              <w:t>lo</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sacamos.</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Rosalba</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Considero  que  si se</w:t>
            </w:r>
          </w:p>
        </w:tc>
        <w:tc>
          <w:tcPr>
            <w:tcW w:w="3901" w:type="dxa"/>
            <w:tcBorders>
              <w:bottom w:val="nil"/>
            </w:tcBorders>
          </w:tcPr>
          <w:p>
            <w:pPr>
              <w:pStyle w:val="TableParagraph"/>
              <w:spacing w:line="251" w:lineRule="exact"/>
              <w:rPr>
                <w:sz w:val="22"/>
              </w:rPr>
            </w:pPr>
            <w:r>
              <w:rPr>
                <w:sz w:val="22"/>
              </w:rPr>
              <w:t>Sí debe cooperar para que la  laguna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Peralta</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Encargada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30" w:val="left" w:leader="none"/>
                <w:tab w:pos="2029" w:val="left" w:leader="none"/>
              </w:tabs>
              <w:spacing w:line="242" w:lineRule="exact"/>
              <w:ind w:left="100"/>
              <w:rPr>
                <w:sz w:val="22"/>
              </w:rPr>
            </w:pPr>
            <w:r>
              <w:rPr>
                <w:sz w:val="22"/>
              </w:rPr>
              <w:t>ha</w:t>
              <w:tab/>
              <w:t>deteriorado</w:t>
              <w:tab/>
              <w:t>la</w:t>
            </w:r>
          </w:p>
        </w:tc>
        <w:tc>
          <w:tcPr>
            <w:tcW w:w="3901" w:type="dxa"/>
            <w:tcBorders>
              <w:top w:val="nil"/>
              <w:bottom w:val="nil"/>
            </w:tcBorders>
          </w:tcPr>
          <w:p>
            <w:pPr>
              <w:pStyle w:val="TableParagraph"/>
              <w:spacing w:line="242" w:lineRule="exact"/>
              <w:rPr>
                <w:sz w:val="22"/>
              </w:rPr>
            </w:pPr>
            <w:r>
              <w:rPr>
                <w:sz w:val="22"/>
              </w:rPr>
              <w:t>no se deteriore.</w:t>
            </w:r>
          </w:p>
        </w:tc>
      </w:tr>
      <w:tr>
        <w:trPr>
          <w:trHeight w:val="254" w:hRule="exact"/>
        </w:trPr>
        <w:tc>
          <w:tcPr>
            <w:tcW w:w="1385" w:type="dxa"/>
            <w:tcBorders>
              <w:top w:val="nil"/>
              <w:bottom w:val="nil"/>
            </w:tcBorders>
          </w:tcPr>
          <w:p>
            <w:pPr>
              <w:pStyle w:val="TableParagraph"/>
              <w:spacing w:line="241" w:lineRule="exact"/>
              <w:ind w:right="127"/>
              <w:rPr>
                <w:sz w:val="22"/>
              </w:rPr>
            </w:pPr>
            <w:r>
              <w:rPr>
                <w:sz w:val="22"/>
              </w:rPr>
              <w:t>Tovar</w:t>
            </w:r>
          </w:p>
        </w:tc>
        <w:tc>
          <w:tcPr>
            <w:tcW w:w="1274" w:type="dxa"/>
            <w:tcBorders>
              <w:top w:val="nil"/>
              <w:bottom w:val="nil"/>
            </w:tcBorders>
          </w:tcPr>
          <w:p>
            <w:pPr>
              <w:pStyle w:val="TableParagraph"/>
              <w:spacing w:line="241" w:lineRule="exact"/>
              <w:ind w:left="100"/>
              <w:rPr>
                <w:sz w:val="22"/>
              </w:rPr>
            </w:pPr>
            <w:r>
              <w:rPr>
                <w:sz w:val="22"/>
              </w:rPr>
              <w:t>Educación</w:t>
            </w:r>
          </w:p>
        </w:tc>
        <w:tc>
          <w:tcPr>
            <w:tcW w:w="1887" w:type="dxa"/>
            <w:tcBorders>
              <w:top w:val="nil"/>
              <w:bottom w:val="nil"/>
            </w:tcBorders>
          </w:tcPr>
          <w:p>
            <w:pPr>
              <w:pStyle w:val="TableParagraph"/>
              <w:spacing w:line="241" w:lineRule="exact"/>
              <w:rPr>
                <w:sz w:val="22"/>
              </w:rPr>
            </w:pPr>
            <w:r>
              <w:rPr>
                <w:sz w:val="22"/>
              </w:rPr>
              <w:t>ecología 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laguna, por lo que  le</w:t>
            </w:r>
          </w:p>
        </w:tc>
        <w:tc>
          <w:tcPr>
            <w:tcW w:w="3901" w:type="dxa"/>
            <w:tcBorders>
              <w:top w:val="nil"/>
              <w:bottom w:val="nil"/>
            </w:tcBorders>
          </w:tcPr>
          <w:p>
            <w:pP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3" w:lineRule="exact"/>
              <w:rPr>
                <w:sz w:val="22"/>
              </w:rPr>
            </w:pPr>
            <w:r>
              <w:rPr>
                <w:sz w:val="22"/>
              </w:rPr>
              <w:t>Asuntos</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hace falta limpiarla.</w:t>
            </w:r>
          </w:p>
        </w:tc>
        <w:tc>
          <w:tcPr>
            <w:tcW w:w="3901" w:type="dxa"/>
            <w:tcBorders>
              <w:top w:val="nil"/>
              <w:bottom w:val="nil"/>
            </w:tcBorders>
          </w:tcPr>
          <w:p>
            <w:pPr/>
          </w:p>
        </w:tc>
      </w:tr>
      <w:tr>
        <w:trPr>
          <w:trHeight w:val="247" w:hRule="exact"/>
        </w:trPr>
        <w:tc>
          <w:tcPr>
            <w:tcW w:w="1385" w:type="dxa"/>
            <w:tcBorders>
              <w:top w:val="nil"/>
            </w:tcBorders>
          </w:tcPr>
          <w:p>
            <w:pPr>
              <w:pStyle w:val="TableParagraph"/>
              <w:spacing w:line="241" w:lineRule="exact"/>
              <w:rPr>
                <w:sz w:val="22"/>
              </w:rPr>
            </w:pPr>
            <w:r>
              <w:rPr>
                <w:sz w:val="22"/>
              </w:rPr>
              <w:t>(18/7/2014)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Indígenas</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9" w:hRule="exact"/>
        </w:trPr>
        <w:tc>
          <w:tcPr>
            <w:tcW w:w="1385" w:type="dxa"/>
            <w:tcBorders>
              <w:bottom w:val="nil"/>
            </w:tcBorders>
          </w:tcPr>
          <w:p>
            <w:pPr>
              <w:pStyle w:val="TableParagraph"/>
              <w:tabs>
                <w:tab w:pos="1029" w:val="left" w:leader="none"/>
              </w:tabs>
              <w:rPr>
                <w:sz w:val="22"/>
              </w:rPr>
            </w:pPr>
            <w:r>
              <w:rPr>
                <w:sz w:val="22"/>
              </w:rPr>
              <w:t>Yanet</w:t>
              <w:tab/>
              <w:t>de</w:t>
            </w:r>
          </w:p>
        </w:tc>
        <w:tc>
          <w:tcPr>
            <w:tcW w:w="1274" w:type="dxa"/>
            <w:tcBorders>
              <w:bottom w:val="nil"/>
            </w:tcBorders>
          </w:tcPr>
          <w:p>
            <w:pPr>
              <w:pStyle w:val="TableParagraph"/>
              <w:ind w:left="100"/>
              <w:rPr>
                <w:sz w:val="22"/>
              </w:rPr>
            </w:pPr>
            <w:r>
              <w:rPr>
                <w:sz w:val="22"/>
              </w:rPr>
              <w:t>Preparator</w:t>
            </w:r>
          </w:p>
        </w:tc>
        <w:tc>
          <w:tcPr>
            <w:tcW w:w="1887" w:type="dxa"/>
            <w:tcBorders>
              <w:bottom w:val="nil"/>
            </w:tcBorders>
          </w:tcPr>
          <w:p>
            <w:pPr>
              <w:pStyle w:val="TableParagraph"/>
              <w:rPr>
                <w:sz w:val="22"/>
              </w:rPr>
            </w:pPr>
            <w:r>
              <w:rPr>
                <w:sz w:val="22"/>
              </w:rPr>
              <w:t>Cuarto  Regidor.</w:t>
            </w:r>
          </w:p>
        </w:tc>
        <w:tc>
          <w:tcPr>
            <w:tcW w:w="1289" w:type="dxa"/>
            <w:tcBorders>
              <w:bottom w:val="nil"/>
            </w:tcBorders>
          </w:tcPr>
          <w:p>
            <w:pPr>
              <w:pStyle w:val="TableParagraph"/>
              <w:ind w:left="223"/>
              <w:rPr>
                <w:sz w:val="22"/>
              </w:rPr>
            </w:pPr>
            <w:r>
              <w:rPr>
                <w:sz w:val="22"/>
              </w:rPr>
              <w:t>Timilpan</w:t>
            </w:r>
          </w:p>
        </w:tc>
        <w:tc>
          <w:tcPr>
            <w:tcW w:w="1174" w:type="dxa"/>
            <w:tcBorders>
              <w:bottom w:val="nil"/>
            </w:tcBorders>
          </w:tcPr>
          <w:p>
            <w:pPr>
              <w:pStyle w:val="TableParagraph"/>
              <w:ind w:left="251"/>
              <w:rPr>
                <w:sz w:val="22"/>
              </w:rPr>
            </w:pPr>
            <w:r>
              <w:rPr>
                <w:sz w:val="22"/>
              </w:rPr>
              <w:t>Aculco</w:t>
            </w:r>
          </w:p>
        </w:tc>
        <w:tc>
          <w:tcPr>
            <w:tcW w:w="2314" w:type="dxa"/>
            <w:tcBorders>
              <w:bottom w:val="nil"/>
            </w:tcBorders>
          </w:tcPr>
          <w:p>
            <w:pPr>
              <w:pStyle w:val="TableParagraph"/>
              <w:ind w:left="100"/>
              <w:rPr>
                <w:sz w:val="22"/>
              </w:rPr>
            </w:pPr>
            <w:r>
              <w:rPr>
                <w:sz w:val="22"/>
              </w:rPr>
              <w:t>No se ha deteriorado</w:t>
            </w:r>
          </w:p>
        </w:tc>
        <w:tc>
          <w:tcPr>
            <w:tcW w:w="3901" w:type="dxa"/>
            <w:tcBorders>
              <w:bottom w:val="nil"/>
            </w:tcBorders>
          </w:tcPr>
          <w:p>
            <w:pPr>
              <w:pStyle w:val="TableParagraph"/>
              <w:rPr>
                <w:sz w:val="22"/>
              </w:rPr>
            </w:pPr>
            <w:r>
              <w:rPr>
                <w:sz w:val="22"/>
              </w:rPr>
              <w:t>Sí,  deberíamos  de  hacer  algo para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Jesús</w:t>
            </w:r>
          </w:p>
        </w:tc>
        <w:tc>
          <w:tcPr>
            <w:tcW w:w="1274" w:type="dxa"/>
            <w:tcBorders>
              <w:top w:val="nil"/>
              <w:bottom w:val="nil"/>
            </w:tcBorders>
          </w:tcPr>
          <w:p>
            <w:pPr>
              <w:pStyle w:val="TableParagraph"/>
              <w:spacing w:line="241" w:lineRule="exact"/>
              <w:ind w:left="100" w:right="98"/>
              <w:rPr>
                <w:sz w:val="22"/>
              </w:rPr>
            </w:pPr>
            <w:r>
              <w:rPr>
                <w:sz w:val="22"/>
              </w:rPr>
              <w:t>ia</w:t>
            </w:r>
          </w:p>
        </w:tc>
        <w:tc>
          <w:tcPr>
            <w:tcW w:w="1887" w:type="dxa"/>
            <w:tcBorders>
              <w:top w:val="nil"/>
              <w:bottom w:val="nil"/>
            </w:tcBorders>
          </w:tcPr>
          <w:p>
            <w:pPr>
              <w:pStyle w:val="TableParagraph"/>
              <w:tabs>
                <w:tab w:pos="1528" w:val="left" w:leader="none"/>
              </w:tabs>
              <w:spacing w:line="241" w:lineRule="exact"/>
              <w:rPr>
                <w:sz w:val="22"/>
              </w:rPr>
            </w:pPr>
            <w:r>
              <w:rPr>
                <w:sz w:val="22"/>
              </w:rPr>
              <w:t>Encargada</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18" w:val="left" w:leader="none"/>
                <w:tab w:pos="1427" w:val="left" w:leader="none"/>
                <w:tab w:pos="2029" w:val="left" w:leader="none"/>
              </w:tabs>
              <w:spacing w:line="241" w:lineRule="exact"/>
              <w:ind w:left="100"/>
              <w:rPr>
                <w:sz w:val="22"/>
              </w:rPr>
            </w:pPr>
            <w:r>
              <w:rPr>
                <w:sz w:val="22"/>
              </w:rPr>
              <w:t>la</w:t>
              <w:tab/>
              <w:t>laguna</w:t>
              <w:tab/>
              <w:t>con</w:t>
              <w:tab/>
              <w:t>el</w:t>
            </w:r>
          </w:p>
        </w:tc>
        <w:tc>
          <w:tcPr>
            <w:tcW w:w="3901" w:type="dxa"/>
            <w:tcBorders>
              <w:top w:val="nil"/>
              <w:bottom w:val="nil"/>
            </w:tcBorders>
          </w:tcPr>
          <w:p>
            <w:pPr>
              <w:pStyle w:val="TableParagraph"/>
              <w:spacing w:line="241" w:lineRule="exact"/>
              <w:rPr>
                <w:sz w:val="22"/>
              </w:rPr>
            </w:pPr>
            <w:r>
              <w:rPr>
                <w:sz w:val="22"/>
              </w:rPr>
              <w:t>darle  mantenimiento  porque está en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Carmen</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tiempo.</w:t>
            </w:r>
          </w:p>
        </w:tc>
        <w:tc>
          <w:tcPr>
            <w:tcW w:w="3901" w:type="dxa"/>
            <w:tcBorders>
              <w:top w:val="nil"/>
              <w:bottom w:val="nil"/>
            </w:tcBorders>
          </w:tcPr>
          <w:p>
            <w:pPr>
              <w:pStyle w:val="TableParagraph"/>
              <w:spacing w:line="241" w:lineRule="exact"/>
              <w:rPr>
                <w:sz w:val="22"/>
              </w:rPr>
            </w:pPr>
            <w:r>
              <w:rPr>
                <w:sz w:val="22"/>
              </w:rPr>
              <w:t>el municipio.</w:t>
            </w:r>
          </w:p>
        </w:tc>
      </w:tr>
      <w:tr>
        <w:trPr>
          <w:trHeight w:val="248"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Desarrollo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bl>
    <w:p>
      <w:pPr>
        <w:spacing w:after="0"/>
        <w:sectPr>
          <w:footerReference w:type="default" r:id="rId189"/>
          <w:pgSz w:w="15840" w:h="12240" w:orient="landscape"/>
          <w:pgMar w:footer="943" w:header="0" w:top="1140" w:bottom="1140" w:left="1200" w:right="1180"/>
          <w:pgNumType w:start="33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768" w:hRule="exact"/>
        </w:trPr>
        <w:tc>
          <w:tcPr>
            <w:tcW w:w="1385" w:type="dxa"/>
          </w:tcPr>
          <w:p>
            <w:pPr>
              <w:pStyle w:val="TableParagraph"/>
              <w:spacing w:line="251" w:lineRule="exact"/>
              <w:rPr>
                <w:sz w:val="22"/>
              </w:rPr>
            </w:pPr>
            <w:r>
              <w:rPr>
                <w:sz w:val="22"/>
              </w:rPr>
              <w:t>(18/7/2014)</w:t>
            </w:r>
          </w:p>
        </w:tc>
        <w:tc>
          <w:tcPr>
            <w:tcW w:w="1274" w:type="dxa"/>
          </w:tcPr>
          <w:p>
            <w:pPr/>
          </w:p>
        </w:tc>
        <w:tc>
          <w:tcPr>
            <w:tcW w:w="1887" w:type="dxa"/>
          </w:tcPr>
          <w:p>
            <w:pPr>
              <w:pStyle w:val="TableParagraph"/>
              <w:tabs>
                <w:tab w:pos="1662" w:val="left" w:leader="none"/>
              </w:tabs>
              <w:ind w:right="102"/>
              <w:rPr>
                <w:sz w:val="22"/>
              </w:rPr>
            </w:pPr>
            <w:r>
              <w:rPr>
                <w:sz w:val="22"/>
              </w:rPr>
              <w:t>Económico, Mercados</w:t>
              <w:tab/>
              <w:t>y Tianguis</w:t>
            </w:r>
          </w:p>
        </w:tc>
        <w:tc>
          <w:tcPr>
            <w:tcW w:w="1289" w:type="dxa"/>
          </w:tcPr>
          <w:p>
            <w:pPr/>
          </w:p>
        </w:tc>
        <w:tc>
          <w:tcPr>
            <w:tcW w:w="1174" w:type="dxa"/>
          </w:tcPr>
          <w:p>
            <w:pPr/>
          </w:p>
        </w:tc>
        <w:tc>
          <w:tcPr>
            <w:tcW w:w="2314" w:type="dxa"/>
          </w:tcPr>
          <w:p>
            <w:pPr/>
          </w:p>
        </w:tc>
        <w:tc>
          <w:tcPr>
            <w:tcW w:w="3901" w:type="dxa"/>
          </w:tcPr>
          <w:p>
            <w:pPr/>
          </w:p>
        </w:tc>
      </w:tr>
      <w:tr>
        <w:trPr>
          <w:trHeight w:val="267" w:hRule="exact"/>
        </w:trPr>
        <w:tc>
          <w:tcPr>
            <w:tcW w:w="1385" w:type="dxa"/>
            <w:tcBorders>
              <w:bottom w:val="nil"/>
            </w:tcBorders>
          </w:tcPr>
          <w:p>
            <w:pPr>
              <w:pStyle w:val="TableParagraph"/>
              <w:spacing w:line="251" w:lineRule="exact"/>
              <w:rPr>
                <w:sz w:val="22"/>
              </w:rPr>
            </w:pPr>
            <w:r>
              <w:rPr>
                <w:sz w:val="22"/>
              </w:rPr>
              <w:t>Edgar Nava</w:t>
            </w:r>
          </w:p>
        </w:tc>
        <w:tc>
          <w:tcPr>
            <w:tcW w:w="1274" w:type="dxa"/>
            <w:tcBorders>
              <w:bottom w:val="nil"/>
            </w:tcBorders>
          </w:tcPr>
          <w:p>
            <w:pPr>
              <w:pStyle w:val="TableParagraph"/>
              <w:spacing w:line="251" w:lineRule="exact"/>
              <w:ind w:left="105"/>
              <w:rPr>
                <w:sz w:val="22"/>
              </w:rPr>
            </w:pPr>
            <w:r>
              <w:rPr>
                <w:sz w:val="22"/>
              </w:rPr>
              <w:t>Licenciado</w:t>
            </w: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ind w:left="0" w:right="304"/>
              <w:jc w:val="right"/>
              <w:rPr>
                <w:sz w:val="22"/>
              </w:rPr>
            </w:pPr>
            <w:r>
              <w:rPr>
                <w:sz w:val="22"/>
              </w:rPr>
              <w:t>Toluca</w:t>
            </w:r>
          </w:p>
        </w:tc>
        <w:tc>
          <w:tcPr>
            <w:tcW w:w="1174" w:type="dxa"/>
            <w:tcBorders>
              <w:bottom w:val="nil"/>
            </w:tcBorders>
          </w:tcPr>
          <w:p>
            <w:pPr>
              <w:pStyle w:val="TableParagraph"/>
              <w:spacing w:line="251" w:lineRule="exact"/>
              <w:ind w:left="0" w:right="249"/>
              <w:jc w:val="right"/>
              <w:rPr>
                <w:sz w:val="22"/>
              </w:rPr>
            </w:pPr>
            <w:r>
              <w:rPr>
                <w:sz w:val="22"/>
              </w:rPr>
              <w:t>Aculco</w:t>
            </w:r>
          </w:p>
        </w:tc>
        <w:tc>
          <w:tcPr>
            <w:tcW w:w="2314" w:type="dxa"/>
            <w:tcBorders>
              <w:bottom w:val="nil"/>
            </w:tcBorders>
          </w:tcPr>
          <w:p>
            <w:pPr>
              <w:pStyle w:val="TableParagraph"/>
              <w:tabs>
                <w:tab w:pos="606" w:val="left" w:leader="none"/>
                <w:tab w:pos="1089" w:val="left" w:leader="none"/>
              </w:tabs>
              <w:spacing w:line="251" w:lineRule="exact"/>
              <w:ind w:left="100"/>
              <w:rPr>
                <w:sz w:val="22"/>
              </w:rPr>
            </w:pPr>
            <w:r>
              <w:rPr>
                <w:sz w:val="22"/>
              </w:rPr>
              <w:t>Se</w:t>
              <w:tab/>
              <w:t>ha</w:t>
              <w:tab/>
              <w:t>deteriorado</w:t>
            </w:r>
          </w:p>
        </w:tc>
        <w:tc>
          <w:tcPr>
            <w:tcW w:w="3901" w:type="dxa"/>
            <w:tcBorders>
              <w:bottom w:val="nil"/>
            </w:tcBorders>
          </w:tcPr>
          <w:p>
            <w:pPr>
              <w:pStyle w:val="TableParagraph"/>
              <w:spacing w:line="251" w:lineRule="exact"/>
              <w:rPr>
                <w:sz w:val="22"/>
              </w:rPr>
            </w:pPr>
            <w:r>
              <w:rPr>
                <w:sz w:val="22"/>
              </w:rPr>
              <w:t>Sí  debe   cooperar   el  municipio  de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Hidalgo</w:t>
            </w:r>
          </w:p>
        </w:tc>
        <w:tc>
          <w:tcPr>
            <w:tcW w:w="1274" w:type="dxa"/>
            <w:tcBorders>
              <w:top w:val="nil"/>
              <w:bottom w:val="nil"/>
            </w:tcBorders>
          </w:tcPr>
          <w:p>
            <w:pPr>
              <w:pStyle w:val="TableParagraph"/>
              <w:spacing w:line="242" w:lineRule="exact"/>
              <w:ind w:left="105" w:right="105"/>
              <w:jc w:val="center"/>
              <w:rPr>
                <w:sz w:val="22"/>
              </w:rPr>
            </w:pPr>
            <w:r>
              <w:rPr>
                <w:sz w:val="22"/>
              </w:rPr>
              <w:t>en</w:t>
            </w:r>
          </w:p>
        </w:tc>
        <w:tc>
          <w:tcPr>
            <w:tcW w:w="1887" w:type="dxa"/>
            <w:tcBorders>
              <w:top w:val="nil"/>
              <w:bottom w:val="nil"/>
            </w:tcBorders>
          </w:tcPr>
          <w:p>
            <w:pPr>
              <w:pStyle w:val="TableParagraph"/>
              <w:tabs>
                <w:tab w:pos="1660" w:val="left" w:leader="none"/>
              </w:tabs>
              <w:spacing w:line="242" w:lineRule="exact"/>
              <w:rPr>
                <w:sz w:val="22"/>
              </w:rPr>
            </w:pPr>
            <w:r>
              <w:rPr>
                <w:sz w:val="22"/>
              </w:rPr>
              <w:t>Ecología</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con   el   tiempo   por</w:t>
            </w:r>
          </w:p>
        </w:tc>
        <w:tc>
          <w:tcPr>
            <w:tcW w:w="3901" w:type="dxa"/>
            <w:tcBorders>
              <w:top w:val="nil"/>
              <w:bottom w:val="nil"/>
            </w:tcBorders>
          </w:tcPr>
          <w:p>
            <w:pPr>
              <w:pStyle w:val="TableParagraph"/>
              <w:spacing w:line="242" w:lineRule="exact"/>
              <w:rPr>
                <w:sz w:val="22"/>
              </w:rPr>
            </w:pPr>
            <w:r>
              <w:rPr>
                <w:sz w:val="22"/>
              </w:rPr>
              <w:t>Aculco  para  que  la  laguna  no    se</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213" w:right="98"/>
              <w:rPr>
                <w:sz w:val="22"/>
              </w:rPr>
            </w:pPr>
            <w:r>
              <w:rPr>
                <w:sz w:val="22"/>
              </w:rPr>
              <w:t>Derecho</w:t>
            </w:r>
          </w:p>
        </w:tc>
        <w:tc>
          <w:tcPr>
            <w:tcW w:w="1887" w:type="dxa"/>
            <w:tcBorders>
              <w:top w:val="nil"/>
              <w:bottom w:val="nil"/>
            </w:tcBorders>
          </w:tcPr>
          <w:p>
            <w:pPr>
              <w:pStyle w:val="TableParagraph"/>
              <w:spacing w:line="241" w:lineRule="exact"/>
              <w:rPr>
                <w:sz w:val="22"/>
              </w:rPr>
            </w:pPr>
            <w:r>
              <w:rPr>
                <w:sz w:val="22"/>
              </w:rPr>
              <w:t>Medio Ambiente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falta de captación  de</w:t>
            </w:r>
          </w:p>
        </w:tc>
        <w:tc>
          <w:tcPr>
            <w:tcW w:w="3901" w:type="dxa"/>
            <w:tcBorders>
              <w:top w:val="nil"/>
              <w:bottom w:val="nil"/>
            </w:tcBorders>
          </w:tcPr>
          <w:p>
            <w:pPr>
              <w:pStyle w:val="TableParagraph"/>
              <w:spacing w:line="241" w:lineRule="exact"/>
              <w:rPr>
                <w:sz w:val="22"/>
              </w:rPr>
            </w:pPr>
            <w:r>
              <w:rPr>
                <w:sz w:val="22"/>
              </w:rPr>
              <w:t>deteriore.</w:t>
            </w:r>
          </w:p>
        </w:tc>
      </w:tr>
      <w:tr>
        <w:trPr>
          <w:trHeight w:val="249" w:hRule="exact"/>
        </w:trPr>
        <w:tc>
          <w:tcPr>
            <w:tcW w:w="1385" w:type="dxa"/>
            <w:tcBorders>
              <w:top w:val="nil"/>
            </w:tcBorders>
          </w:tcPr>
          <w:p>
            <w:pPr>
              <w:pStyle w:val="TableParagraph"/>
              <w:spacing w:line="242" w:lineRule="exact"/>
              <w:ind w:right="127"/>
              <w:rPr>
                <w:sz w:val="22"/>
              </w:rPr>
            </w:pPr>
            <w:r>
              <w:rPr>
                <w:sz w:val="22"/>
              </w:rPr>
              <w:t>(21/I/2014)</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agua.</w:t>
            </w:r>
          </w:p>
        </w:tc>
        <w:tc>
          <w:tcPr>
            <w:tcW w:w="3901" w:type="dxa"/>
            <w:tcBorders>
              <w:top w:val="nil"/>
            </w:tcBorders>
          </w:tcPr>
          <w:p>
            <w:pPr/>
          </w:p>
        </w:tc>
      </w:tr>
      <w:tr>
        <w:trPr>
          <w:trHeight w:val="268"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Style w:val="TableParagraph"/>
              <w:spacing w:line="251" w:lineRule="exact"/>
              <w:ind w:left="170" w:right="98"/>
              <w:rPr>
                <w:sz w:val="22"/>
              </w:rPr>
            </w:pPr>
            <w:r>
              <w:rPr>
                <w:sz w:val="22"/>
              </w:rPr>
              <w:t>Ingeniero</w:t>
            </w: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Se ha enzolvado.</w:t>
            </w:r>
          </w:p>
        </w:tc>
        <w:tc>
          <w:tcPr>
            <w:tcW w:w="3901" w:type="dxa"/>
            <w:tcBorders>
              <w:bottom w:val="nil"/>
            </w:tcBorders>
          </w:tcPr>
          <w:p>
            <w:pPr>
              <w:pStyle w:val="TableParagraph"/>
              <w:tabs>
                <w:tab w:pos="561" w:val="left" w:leader="none"/>
                <w:tab w:pos="1496" w:val="left" w:leader="none"/>
                <w:tab w:pos="2393" w:val="left" w:leader="none"/>
                <w:tab w:pos="3009" w:val="left" w:leader="none"/>
                <w:tab w:pos="3504" w:val="left" w:leader="none"/>
              </w:tabs>
              <w:spacing w:line="251" w:lineRule="exact"/>
              <w:rPr>
                <w:sz w:val="22"/>
              </w:rPr>
            </w:pPr>
            <w:r>
              <w:rPr>
                <w:sz w:val="22"/>
              </w:rPr>
              <w:t>Sí</w:t>
              <w:tab/>
              <w:t>porque</w:t>
              <w:tab/>
              <w:t>somos</w:t>
              <w:tab/>
              <w:t>uno</w:t>
              <w:tab/>
              <w:t>de</w:t>
              <w:tab/>
              <w:t>los</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Andrade</w:t>
            </w:r>
          </w:p>
        </w:tc>
        <w:tc>
          <w:tcPr>
            <w:tcW w:w="1274" w:type="dxa"/>
            <w:tcBorders>
              <w:top w:val="nil"/>
              <w:bottom w:val="nil"/>
            </w:tcBorders>
          </w:tcPr>
          <w:p>
            <w:pPr>
              <w:pStyle w:val="TableParagraph"/>
              <w:spacing w:line="243" w:lineRule="exact"/>
              <w:ind w:left="122"/>
              <w:rPr>
                <w:sz w:val="22"/>
              </w:rPr>
            </w:pPr>
            <w:r>
              <w:rPr>
                <w:sz w:val="22"/>
              </w:rPr>
              <w:t>Agrónomo</w:t>
            </w:r>
          </w:p>
        </w:tc>
        <w:tc>
          <w:tcPr>
            <w:tcW w:w="1887" w:type="dxa"/>
            <w:tcBorders>
              <w:top w:val="nil"/>
              <w:bottom w:val="nil"/>
            </w:tcBorders>
          </w:tcPr>
          <w:p>
            <w:pPr>
              <w:pStyle w:val="TableParagraph"/>
              <w:spacing w:line="243"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3" w:lineRule="exact"/>
              <w:rPr>
                <w:sz w:val="22"/>
              </w:rPr>
            </w:pPr>
            <w:r>
              <w:rPr>
                <w:sz w:val="22"/>
              </w:rPr>
              <w:t>principales beneficiarios.</w:t>
            </w:r>
          </w:p>
        </w:tc>
      </w:tr>
      <w:tr>
        <w:trPr>
          <w:trHeight w:val="379" w:hRule="exact"/>
        </w:trPr>
        <w:tc>
          <w:tcPr>
            <w:tcW w:w="1385" w:type="dxa"/>
            <w:tcBorders>
              <w:top w:val="nil"/>
              <w:bottom w:val="nil"/>
            </w:tcBorders>
          </w:tcPr>
          <w:p>
            <w:pPr>
              <w:pStyle w:val="TableParagraph"/>
              <w:spacing w:line="241" w:lineRule="exact"/>
              <w:ind w:right="127"/>
              <w:rPr>
                <w:sz w:val="22"/>
              </w:rPr>
            </w:pPr>
            <w:r>
              <w:rPr>
                <w:sz w:val="22"/>
              </w:rPr>
              <w:t>Lugo</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375" w:hRule="exact"/>
        </w:trPr>
        <w:tc>
          <w:tcPr>
            <w:tcW w:w="1385" w:type="dxa"/>
            <w:tcBorders>
              <w:top w:val="nil"/>
            </w:tcBorders>
          </w:tcPr>
          <w:p>
            <w:pPr>
              <w:pStyle w:val="TableParagraph"/>
              <w:spacing w:before="115"/>
              <w:ind w:left="155"/>
              <w:rPr>
                <w:sz w:val="22"/>
              </w:rPr>
            </w:pPr>
            <w:r>
              <w:rPr>
                <w:sz w:val="22"/>
              </w:rPr>
              <w:t>(31/I/2015)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rPr>
                <w:sz w:val="22"/>
              </w:rPr>
            </w:pPr>
            <w:r>
              <w:rPr>
                <w:sz w:val="22"/>
              </w:rPr>
              <w:t>Isac del Río</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tabs>
                <w:tab w:pos="1528" w:val="left" w:leader="none"/>
              </w:tabs>
              <w:spacing w:line="251" w:lineRule="exact"/>
              <w:rPr>
                <w:sz w:val="22"/>
              </w:rPr>
            </w:pPr>
            <w:r>
              <w:rPr>
                <w:sz w:val="22"/>
              </w:rPr>
              <w:t>Coordinador</w:t>
              <w:tab/>
              <w:t>de</w:t>
            </w:r>
          </w:p>
        </w:tc>
        <w:tc>
          <w:tcPr>
            <w:tcW w:w="1289" w:type="dxa"/>
            <w:tcBorders>
              <w:bottom w:val="nil"/>
            </w:tcBorders>
          </w:tcPr>
          <w:p>
            <w:pPr>
              <w:pStyle w:val="TableParagraph"/>
              <w:spacing w:line="251" w:lineRule="exact"/>
              <w:ind w:left="0" w:right="307"/>
              <w:jc w:val="right"/>
              <w:rPr>
                <w:sz w:val="22"/>
              </w:rPr>
            </w:pPr>
            <w:r>
              <w:rPr>
                <w:sz w:val="22"/>
              </w:rPr>
              <w:t>Aculco</w:t>
            </w:r>
          </w:p>
        </w:tc>
        <w:tc>
          <w:tcPr>
            <w:tcW w:w="1174" w:type="dxa"/>
            <w:tcBorders>
              <w:bottom w:val="nil"/>
            </w:tcBorders>
          </w:tcPr>
          <w:p>
            <w:pPr>
              <w:pStyle w:val="TableParagraph"/>
              <w:spacing w:line="251" w:lineRule="exact"/>
              <w:ind w:left="0" w:right="249"/>
              <w:jc w:val="right"/>
              <w:rPr>
                <w:sz w:val="22"/>
              </w:rPr>
            </w:pPr>
            <w:r>
              <w:rPr>
                <w:sz w:val="22"/>
              </w:rPr>
              <w:t>Aculco</w:t>
            </w:r>
          </w:p>
        </w:tc>
        <w:tc>
          <w:tcPr>
            <w:tcW w:w="2314" w:type="dxa"/>
            <w:tcBorders>
              <w:bottom w:val="nil"/>
            </w:tcBorders>
          </w:tcPr>
          <w:p>
            <w:pPr>
              <w:pStyle w:val="TableParagraph"/>
              <w:tabs>
                <w:tab w:pos="702" w:val="left" w:leader="none"/>
                <w:tab w:pos="1784" w:val="left" w:leader="none"/>
              </w:tabs>
              <w:spacing w:line="251" w:lineRule="exact"/>
              <w:ind w:left="100"/>
              <w:rPr>
                <w:sz w:val="22"/>
              </w:rPr>
            </w:pPr>
            <w:r>
              <w:rPr>
                <w:sz w:val="22"/>
              </w:rPr>
              <w:t>Sí</w:t>
              <w:tab/>
              <w:t>porque</w:t>
              <w:tab/>
              <w:t>está</w:t>
            </w:r>
          </w:p>
        </w:tc>
        <w:tc>
          <w:tcPr>
            <w:tcW w:w="3901" w:type="dxa"/>
            <w:tcBorders>
              <w:bottom w:val="nil"/>
            </w:tcBorders>
          </w:tcPr>
          <w:p>
            <w:pPr>
              <w:pStyle w:val="TableParagraph"/>
              <w:spacing w:line="251" w:lineRule="exact"/>
              <w:rPr>
                <w:sz w:val="22"/>
              </w:rPr>
            </w:pPr>
            <w:r>
              <w:rPr>
                <w:sz w:val="22"/>
              </w:rPr>
              <w:t>Sí  mediante  la  gestión   porque   se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contaminada y por</w:t>
            </w:r>
            <w:r>
              <w:rPr>
                <w:spacing w:val="52"/>
                <w:sz w:val="22"/>
              </w:rPr>
              <w:t> </w:t>
            </w:r>
            <w:r>
              <w:rPr>
                <w:sz w:val="22"/>
              </w:rPr>
              <w:t>la</w:t>
            </w:r>
          </w:p>
        </w:tc>
        <w:tc>
          <w:tcPr>
            <w:tcW w:w="3901" w:type="dxa"/>
            <w:tcBorders>
              <w:top w:val="nil"/>
              <w:bottom w:val="nil"/>
            </w:tcBorders>
          </w:tcPr>
          <w:p>
            <w:pPr>
              <w:pStyle w:val="TableParagraph"/>
              <w:spacing w:line="242" w:lineRule="exact"/>
              <w:rPr>
                <w:sz w:val="22"/>
              </w:rPr>
            </w:pPr>
            <w:r>
              <w:rPr>
                <w:sz w:val="22"/>
              </w:rPr>
              <w:t>hace  uso  de  ella  y  el  beneficio  es</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Comunica</w:t>
            </w:r>
          </w:p>
        </w:tc>
        <w:tc>
          <w:tcPr>
            <w:tcW w:w="1887" w:type="dxa"/>
            <w:tcBorders>
              <w:top w:val="nil"/>
              <w:bottom w:val="nil"/>
            </w:tcBorders>
          </w:tcPr>
          <w:p>
            <w:pPr>
              <w:pStyle w:val="TableParagraph"/>
              <w:spacing w:line="241"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7" w:val="left" w:leader="none"/>
              </w:tabs>
              <w:spacing w:line="241" w:lineRule="exact"/>
              <w:ind w:left="100"/>
              <w:rPr>
                <w:sz w:val="22"/>
              </w:rPr>
            </w:pPr>
            <w:r>
              <w:rPr>
                <w:sz w:val="22"/>
              </w:rPr>
              <w:t>falta</w:t>
              <w:tab/>
              <w:t>de</w:t>
            </w:r>
          </w:p>
        </w:tc>
        <w:tc>
          <w:tcPr>
            <w:tcW w:w="3901" w:type="dxa"/>
            <w:tcBorders>
              <w:top w:val="nil"/>
              <w:bottom w:val="nil"/>
            </w:tcBorders>
          </w:tcPr>
          <w:p>
            <w:pPr>
              <w:pStyle w:val="TableParagraph"/>
              <w:spacing w:line="241" w:lineRule="exact"/>
              <w:rPr>
                <w:sz w:val="22"/>
              </w:rPr>
            </w:pPr>
            <w:r>
              <w:rPr>
                <w:sz w:val="22"/>
              </w:rPr>
              <w:t>para los propios habitantes.</w:t>
            </w:r>
          </w:p>
        </w:tc>
      </w:tr>
      <w:tr>
        <w:trPr>
          <w:trHeight w:val="249" w:hRule="exact"/>
        </w:trPr>
        <w:tc>
          <w:tcPr>
            <w:tcW w:w="1385" w:type="dxa"/>
            <w:tcBorders>
              <w:top w:val="nil"/>
            </w:tcBorders>
          </w:tcPr>
          <w:p>
            <w:pPr>
              <w:pStyle w:val="TableParagraph"/>
              <w:spacing w:line="242" w:lineRule="exact"/>
              <w:ind w:right="127"/>
              <w:rPr>
                <w:sz w:val="22"/>
              </w:rPr>
            </w:pPr>
            <w:r>
              <w:rPr>
                <w:sz w:val="22"/>
              </w:rPr>
              <w:t>(27/I/2015)</w:t>
            </w:r>
          </w:p>
        </w:tc>
        <w:tc>
          <w:tcPr>
            <w:tcW w:w="1274" w:type="dxa"/>
            <w:tcBorders>
              <w:top w:val="nil"/>
            </w:tcBorders>
          </w:tcPr>
          <w:p>
            <w:pPr>
              <w:pStyle w:val="TableParagraph"/>
              <w:spacing w:line="242" w:lineRule="exact"/>
              <w:ind w:left="100" w:right="98"/>
              <w:rPr>
                <w:sz w:val="22"/>
              </w:rPr>
            </w:pPr>
            <w:r>
              <w:rPr>
                <w:sz w:val="22"/>
              </w:rPr>
              <w:t>ción</w:t>
            </w: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mantenimiento.</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Arturo</w:t>
            </w:r>
          </w:p>
        </w:tc>
        <w:tc>
          <w:tcPr>
            <w:tcW w:w="1274" w:type="dxa"/>
            <w:tcBorders>
              <w:bottom w:val="nil"/>
            </w:tcBorders>
          </w:tcPr>
          <w:p>
            <w:pPr>
              <w:pStyle w:val="TableParagraph"/>
              <w:spacing w:line="251" w:lineRule="exact"/>
              <w:ind w:left="100" w:right="98"/>
              <w:rPr>
                <w:sz w:val="22"/>
              </w:rPr>
            </w:pPr>
            <w:r>
              <w:rPr>
                <w:sz w:val="22"/>
              </w:rPr>
              <w:t>Ingeniero</w:t>
            </w: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289" w:type="dxa"/>
            <w:tcBorders>
              <w:bottom w:val="nil"/>
            </w:tcBorders>
          </w:tcPr>
          <w:p>
            <w:pPr>
              <w:pStyle w:val="TableParagraph"/>
              <w:spacing w:line="251" w:lineRule="exact"/>
              <w:ind w:left="0" w:right="314"/>
              <w:jc w:val="right"/>
              <w:rPr>
                <w:sz w:val="22"/>
              </w:rPr>
            </w:pPr>
            <w:r>
              <w:rPr>
                <w:sz w:val="22"/>
              </w:rPr>
              <w:t>Arroyo</w:t>
            </w:r>
          </w:p>
        </w:tc>
        <w:tc>
          <w:tcPr>
            <w:tcW w:w="1174" w:type="dxa"/>
            <w:tcBorders>
              <w:bottom w:val="nil"/>
            </w:tcBorders>
          </w:tcPr>
          <w:p>
            <w:pPr>
              <w:pStyle w:val="TableParagraph"/>
              <w:spacing w:line="251" w:lineRule="exact"/>
              <w:ind w:left="0" w:right="257"/>
              <w:jc w:val="right"/>
              <w:rPr>
                <w:sz w:val="22"/>
              </w:rPr>
            </w:pPr>
            <w:r>
              <w:rPr>
                <w:sz w:val="22"/>
              </w:rPr>
              <w:t>Arroyo</w:t>
            </w:r>
          </w:p>
        </w:tc>
        <w:tc>
          <w:tcPr>
            <w:tcW w:w="2314" w:type="dxa"/>
            <w:tcBorders>
              <w:bottom w:val="nil"/>
            </w:tcBorders>
          </w:tcPr>
          <w:p>
            <w:pPr>
              <w:pStyle w:val="TableParagraph"/>
              <w:spacing w:line="251" w:lineRule="exact"/>
              <w:ind w:left="100"/>
              <w:rPr>
                <w:sz w:val="22"/>
              </w:rPr>
            </w:pPr>
            <w:r>
              <w:rPr>
                <w:sz w:val="22"/>
              </w:rPr>
              <w:t>Sí  muchísimo  a falta</w:t>
            </w:r>
          </w:p>
        </w:tc>
        <w:tc>
          <w:tcPr>
            <w:tcW w:w="3901" w:type="dxa"/>
            <w:tcBorders>
              <w:bottom w:val="nil"/>
            </w:tcBorders>
          </w:tcPr>
          <w:p>
            <w:pPr>
              <w:pStyle w:val="TableParagraph"/>
              <w:spacing w:line="251" w:lineRule="exact"/>
              <w:rPr>
                <w:sz w:val="22"/>
              </w:rPr>
            </w:pPr>
            <w:r>
              <w:rPr>
                <w:sz w:val="22"/>
              </w:rPr>
              <w:t>Sí debemos de hacerlo porque es  un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Becerril</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Departamento</w:t>
            </w:r>
          </w:p>
        </w:tc>
        <w:tc>
          <w:tcPr>
            <w:tcW w:w="1289" w:type="dxa"/>
            <w:tcBorders>
              <w:top w:val="nil"/>
              <w:bottom w:val="nil"/>
            </w:tcBorders>
          </w:tcPr>
          <w:p>
            <w:pPr>
              <w:pStyle w:val="TableParagraph"/>
              <w:spacing w:line="242" w:lineRule="exact"/>
              <w:ind w:left="0" w:right="325"/>
              <w:jc w:val="right"/>
              <w:rPr>
                <w:sz w:val="22"/>
              </w:rPr>
            </w:pPr>
            <w:r>
              <w:rPr>
                <w:sz w:val="22"/>
              </w:rPr>
              <w:t>Zarco,</w:t>
            </w:r>
          </w:p>
        </w:tc>
        <w:tc>
          <w:tcPr>
            <w:tcW w:w="1174" w:type="dxa"/>
            <w:tcBorders>
              <w:top w:val="nil"/>
              <w:bottom w:val="nil"/>
            </w:tcBorders>
          </w:tcPr>
          <w:p>
            <w:pPr>
              <w:pStyle w:val="TableParagraph"/>
              <w:spacing w:line="242" w:lineRule="exact"/>
              <w:ind w:left="0" w:right="267"/>
              <w:jc w:val="right"/>
              <w:rPr>
                <w:sz w:val="22"/>
              </w:rPr>
            </w:pPr>
            <w:r>
              <w:rPr>
                <w:sz w:val="22"/>
              </w:rPr>
              <w:t>Zarco,</w:t>
            </w:r>
          </w:p>
        </w:tc>
        <w:tc>
          <w:tcPr>
            <w:tcW w:w="2314" w:type="dxa"/>
            <w:tcBorders>
              <w:top w:val="nil"/>
              <w:bottom w:val="nil"/>
            </w:tcBorders>
          </w:tcPr>
          <w:p>
            <w:pPr>
              <w:pStyle w:val="TableParagraph"/>
              <w:tabs>
                <w:tab w:pos="765" w:val="left" w:leader="none"/>
                <w:tab w:pos="1955" w:val="left" w:leader="none"/>
              </w:tabs>
              <w:spacing w:line="242" w:lineRule="exact"/>
              <w:ind w:left="100"/>
              <w:rPr>
                <w:sz w:val="22"/>
              </w:rPr>
            </w:pPr>
            <w:r>
              <w:rPr>
                <w:sz w:val="22"/>
              </w:rPr>
              <w:t>de</w:t>
              <w:tab/>
              <w:t>cuidado</w:t>
              <w:tab/>
              <w:t>de</w:t>
            </w:r>
          </w:p>
        </w:tc>
        <w:tc>
          <w:tcPr>
            <w:tcW w:w="3901" w:type="dxa"/>
            <w:tcBorders>
              <w:top w:val="nil"/>
              <w:bottom w:val="nil"/>
            </w:tcBorders>
          </w:tcPr>
          <w:p>
            <w:pPr>
              <w:pStyle w:val="TableParagraph"/>
              <w:spacing w:line="242" w:lineRule="exact"/>
              <w:rPr>
                <w:sz w:val="22"/>
              </w:rPr>
            </w:pPr>
            <w:r>
              <w:rPr>
                <w:sz w:val="22"/>
              </w:rPr>
              <w:t>compromiso como gobierno.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Ortega</w:t>
            </w:r>
          </w:p>
        </w:tc>
        <w:tc>
          <w:tcPr>
            <w:tcW w:w="1274" w:type="dxa"/>
            <w:tcBorders>
              <w:top w:val="nil"/>
              <w:bottom w:val="nil"/>
            </w:tcBorders>
          </w:tcPr>
          <w:p>
            <w:pPr>
              <w:pStyle w:val="TableParagraph"/>
              <w:spacing w:line="241" w:lineRule="exact"/>
              <w:ind w:left="100" w:right="98"/>
              <w:rPr>
                <w:sz w:val="22"/>
              </w:rPr>
            </w:pPr>
            <w:r>
              <w:rPr>
                <w:sz w:val="22"/>
              </w:rPr>
              <w:t>Sistemas</w:t>
            </w:r>
          </w:p>
        </w:tc>
        <w:tc>
          <w:tcPr>
            <w:tcW w:w="1887" w:type="dxa"/>
            <w:tcBorders>
              <w:top w:val="nil"/>
              <w:bottom w:val="nil"/>
            </w:tcBorders>
          </w:tcPr>
          <w:p>
            <w:pPr>
              <w:pStyle w:val="TableParagraph"/>
              <w:tabs>
                <w:tab w:pos="1149" w:val="left" w:leader="none"/>
              </w:tabs>
              <w:spacing w:line="241" w:lineRule="exact"/>
              <w:rPr>
                <w:sz w:val="22"/>
              </w:rPr>
            </w:pPr>
            <w:r>
              <w:rPr>
                <w:sz w:val="22"/>
              </w:rPr>
              <w:t>de</w:t>
              <w:tab/>
              <w:t>Aguas</w:t>
            </w:r>
          </w:p>
        </w:tc>
        <w:tc>
          <w:tcPr>
            <w:tcW w:w="1289" w:type="dxa"/>
            <w:tcBorders>
              <w:top w:val="nil"/>
              <w:bottom w:val="nil"/>
            </w:tcBorders>
          </w:tcPr>
          <w:p>
            <w:pPr>
              <w:pStyle w:val="TableParagraph"/>
              <w:spacing w:line="241" w:lineRule="exact"/>
              <w:ind w:left="0" w:right="307"/>
              <w:jc w:val="right"/>
              <w:rPr>
                <w:sz w:val="22"/>
              </w:rPr>
            </w:pPr>
            <w:r>
              <w:rPr>
                <w:sz w:val="22"/>
              </w:rPr>
              <w:t>Aculco</w:t>
            </w:r>
          </w:p>
        </w:tc>
        <w:tc>
          <w:tcPr>
            <w:tcW w:w="1174" w:type="dxa"/>
            <w:tcBorders>
              <w:top w:val="nil"/>
              <w:bottom w:val="nil"/>
            </w:tcBorders>
          </w:tcPr>
          <w:p>
            <w:pPr>
              <w:pStyle w:val="TableParagraph"/>
              <w:spacing w:line="241" w:lineRule="exact"/>
              <w:ind w:left="0" w:right="249"/>
              <w:jc w:val="right"/>
              <w:rPr>
                <w:sz w:val="22"/>
              </w:rPr>
            </w:pPr>
            <w:r>
              <w:rPr>
                <w:sz w:val="22"/>
              </w:rPr>
              <w:t>Aculco</w:t>
            </w:r>
          </w:p>
        </w:tc>
        <w:tc>
          <w:tcPr>
            <w:tcW w:w="2314" w:type="dxa"/>
            <w:tcBorders>
              <w:top w:val="nil"/>
              <w:bottom w:val="nil"/>
            </w:tcBorders>
          </w:tcPr>
          <w:p>
            <w:pPr>
              <w:pStyle w:val="TableParagraph"/>
              <w:spacing w:line="241" w:lineRule="exact"/>
              <w:ind w:left="100"/>
              <w:rPr>
                <w:sz w:val="22"/>
              </w:rPr>
            </w:pPr>
            <w:r>
              <w:rPr>
                <w:sz w:val="22"/>
              </w:rPr>
              <w:t>nosotros mismos.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3" w:val="left" w:leader="none"/>
              </w:tabs>
              <w:spacing w:line="241" w:lineRule="exact"/>
              <w:rPr>
                <w:sz w:val="22"/>
              </w:rPr>
            </w:pPr>
            <w:r>
              <w:rPr>
                <w:sz w:val="22"/>
              </w:rPr>
              <w:t>Residuales</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9" w:hRule="exact"/>
        </w:trPr>
        <w:tc>
          <w:tcPr>
            <w:tcW w:w="1385" w:type="dxa"/>
            <w:tcBorders>
              <w:top w:val="nil"/>
            </w:tcBorders>
          </w:tcPr>
          <w:p>
            <w:pPr>
              <w:pStyle w:val="TableParagraph"/>
              <w:spacing w:line="242" w:lineRule="exact"/>
              <w:ind w:right="127"/>
              <w:rPr>
                <w:sz w:val="22"/>
              </w:rPr>
            </w:pPr>
            <w:r>
              <w:rPr>
                <w:sz w:val="22"/>
              </w:rPr>
              <w:t>(27/I/2015)</w:t>
            </w: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Saneamiento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4"/>
        <w:ind w:left="2357" w:right="778"/>
      </w:pPr>
      <w:r>
        <w:rPr/>
        <w:t>Tabla 6.10. Municipio de Aculco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3" w:hRule="exact"/>
        </w:trPr>
        <w:tc>
          <w:tcPr>
            <w:tcW w:w="13224" w:type="dxa"/>
            <w:gridSpan w:val="7"/>
            <w:shd w:val="clear" w:color="auto" w:fill="9BBA58"/>
          </w:tcPr>
          <w:p>
            <w:pPr>
              <w:pStyle w:val="TableParagraph"/>
              <w:spacing w:line="248" w:lineRule="exact"/>
              <w:ind w:left="4868" w:right="4870"/>
              <w:jc w:val="center"/>
              <w:rPr>
                <w:b/>
                <w:sz w:val="22"/>
              </w:rPr>
            </w:pPr>
            <w:r>
              <w:rPr>
                <w:b/>
                <w:sz w:val="22"/>
              </w:rPr>
              <w:t>ACULCO</w:t>
            </w:r>
          </w:p>
        </w:tc>
      </w:tr>
      <w:tr>
        <w:trPr>
          <w:trHeight w:val="523" w:hRule="exact"/>
        </w:trPr>
        <w:tc>
          <w:tcPr>
            <w:tcW w:w="4547" w:type="dxa"/>
            <w:gridSpan w:val="3"/>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1023"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ind w:left="100" w:right="179"/>
              <w:rPr>
                <w:b/>
                <w:i/>
                <w:sz w:val="22"/>
              </w:rPr>
            </w:pPr>
            <w:r>
              <w:rPr>
                <w:b/>
                <w:i/>
                <w:sz w:val="22"/>
              </w:rPr>
              <w:t>Cooperación, </w:t>
            </w:r>
            <w:r>
              <w:rPr>
                <w:b/>
                <w:i/>
                <w:sz w:val="22"/>
              </w:rPr>
              <w:t>democracia y voluntariedad de la sociedad</w:t>
            </w:r>
          </w:p>
        </w:tc>
        <w:tc>
          <w:tcPr>
            <w:tcW w:w="3901" w:type="dxa"/>
            <w:shd w:val="clear" w:color="auto" w:fill="92CDDC"/>
          </w:tcPr>
          <w:p>
            <w:pPr>
              <w:pStyle w:val="TableParagraph"/>
              <w:spacing w:line="251" w:lineRule="exact"/>
              <w:rPr>
                <w:b/>
                <w:i/>
                <w:sz w:val="22"/>
              </w:rPr>
            </w:pPr>
            <w:r>
              <w:rPr>
                <w:b/>
                <w:i/>
                <w:sz w:val="22"/>
              </w:rPr>
              <w:t>Poder</w:t>
            </w:r>
          </w:p>
        </w:tc>
      </w:tr>
      <w:tr>
        <w:trPr>
          <w:trHeight w:val="769"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42" w:lineRule="auto"/>
              <w:ind w:left="100" w:right="93"/>
              <w:rPr>
                <w:b/>
                <w:sz w:val="22"/>
              </w:rPr>
            </w:pPr>
            <w:r>
              <w:rPr>
                <w:b/>
                <w:sz w:val="22"/>
              </w:rPr>
              <w:t>Nivel Educativo</w:t>
            </w:r>
          </w:p>
        </w:tc>
        <w:tc>
          <w:tcPr>
            <w:tcW w:w="1887" w:type="dxa"/>
            <w:shd w:val="clear" w:color="auto" w:fill="F9BE8F"/>
          </w:tcPr>
          <w:p>
            <w:pPr>
              <w:pStyle w:val="TableParagraph"/>
              <w:spacing w:line="248" w:lineRule="exact"/>
              <w:rPr>
                <w:b/>
                <w:sz w:val="22"/>
              </w:rPr>
            </w:pPr>
            <w:r>
              <w:rPr>
                <w:b/>
                <w:sz w:val="22"/>
              </w:rPr>
              <w:t>Cargo Público</w:t>
            </w:r>
          </w:p>
        </w:tc>
        <w:tc>
          <w:tcPr>
            <w:tcW w:w="1289" w:type="dxa"/>
            <w:shd w:val="clear" w:color="auto" w:fill="92CDDC"/>
          </w:tcPr>
          <w:p>
            <w:pPr>
              <w:pStyle w:val="TableParagraph"/>
              <w:spacing w:line="242" w:lineRule="auto"/>
              <w:ind w:right="337"/>
              <w:rPr>
                <w:b/>
                <w:sz w:val="22"/>
              </w:rPr>
            </w:pPr>
            <w:r>
              <w:rPr>
                <w:b/>
                <w:sz w:val="22"/>
              </w:rPr>
              <w:t>¿Dónde nació?</w:t>
            </w:r>
          </w:p>
        </w:tc>
        <w:tc>
          <w:tcPr>
            <w:tcW w:w="1174" w:type="dxa"/>
            <w:shd w:val="clear" w:color="auto" w:fill="92CDDC"/>
          </w:tcPr>
          <w:p>
            <w:pPr>
              <w:pStyle w:val="TableParagraph"/>
              <w:spacing w:line="242" w:lineRule="auto"/>
              <w:ind w:right="222"/>
              <w:rPr>
                <w:b/>
                <w:sz w:val="22"/>
              </w:rPr>
            </w:pPr>
            <w:r>
              <w:rPr>
                <w:b/>
                <w:sz w:val="22"/>
              </w:rPr>
              <w:t>¿Dónde vive?</w:t>
            </w:r>
          </w:p>
        </w:tc>
        <w:tc>
          <w:tcPr>
            <w:tcW w:w="2314" w:type="dxa"/>
            <w:shd w:val="clear" w:color="auto" w:fill="92CDDC"/>
          </w:tcPr>
          <w:p>
            <w:pPr>
              <w:pStyle w:val="TableParagraph"/>
              <w:tabs>
                <w:tab w:pos="1259" w:val="left" w:leader="none"/>
              </w:tabs>
              <w:spacing w:line="248" w:lineRule="exact"/>
              <w:ind w:left="100"/>
              <w:rPr>
                <w:b/>
                <w:sz w:val="22"/>
              </w:rPr>
            </w:pPr>
            <w:r>
              <w:rPr>
                <w:b/>
                <w:sz w:val="22"/>
              </w:rPr>
              <w:t>¿Qué</w:t>
              <w:tab/>
              <w:t>acciones</w:t>
            </w:r>
          </w:p>
          <w:p>
            <w:pPr>
              <w:pStyle w:val="TableParagraph"/>
              <w:tabs>
                <w:tab w:pos="1945" w:val="left" w:leader="none"/>
              </w:tabs>
              <w:spacing w:line="252" w:lineRule="exact" w:before="1"/>
              <w:ind w:left="100"/>
              <w:rPr>
                <w:b/>
                <w:sz w:val="22"/>
              </w:rPr>
            </w:pPr>
            <w:r>
              <w:rPr>
                <w:b/>
                <w:sz w:val="22"/>
              </w:rPr>
              <w:t>realiza</w:t>
              <w:tab/>
              <w:t>su</w:t>
            </w:r>
          </w:p>
          <w:p>
            <w:pPr>
              <w:pStyle w:val="TableParagraph"/>
              <w:spacing w:line="252" w:lineRule="exact"/>
              <w:ind w:left="100"/>
              <w:rPr>
                <w:b/>
                <w:sz w:val="22"/>
              </w:rPr>
            </w:pPr>
            <w:r>
              <w:rPr>
                <w:b/>
                <w:sz w:val="22"/>
              </w:rPr>
              <w:t>municipio  para que</w:t>
            </w:r>
          </w:p>
        </w:tc>
        <w:tc>
          <w:tcPr>
            <w:tcW w:w="3901" w:type="dxa"/>
            <w:shd w:val="clear" w:color="auto" w:fill="92CDDC"/>
          </w:tcPr>
          <w:p>
            <w:pPr>
              <w:pStyle w:val="TableParagraph"/>
              <w:ind w:right="100"/>
              <w:jc w:val="both"/>
              <w:rPr>
                <w:b/>
                <w:sz w:val="22"/>
              </w:rPr>
            </w:pPr>
            <w:r>
              <w:rPr>
                <w:b/>
                <w:sz w:val="22"/>
              </w:rPr>
              <w:t>¿Existen problemas por el agua de la laguna de Huapango entre los habitantes  de  los  municipios que</w:t>
            </w:r>
          </w:p>
        </w:tc>
      </w:tr>
    </w:tbl>
    <w:p>
      <w:pPr>
        <w:spacing w:after="0"/>
        <w:jc w:val="both"/>
        <w:rPr>
          <w:sz w:val="22"/>
        </w:rPr>
        <w:sectPr>
          <w:pgSz w:w="15840" w:h="12240" w:orient="landscape"/>
          <w:pgMar w:header="0" w:footer="943" w:top="1140" w:bottom="120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768" w:hRule="exact"/>
        </w:trPr>
        <w:tc>
          <w:tcPr>
            <w:tcW w:w="1385" w:type="dxa"/>
            <w:shd w:val="clear" w:color="auto" w:fill="F9BE8F"/>
          </w:tcPr>
          <w:p>
            <w:pPr/>
          </w:p>
        </w:tc>
        <w:tc>
          <w:tcPr>
            <w:tcW w:w="1274" w:type="dxa"/>
            <w:shd w:val="clear" w:color="auto" w:fill="F9BE8F"/>
          </w:tcPr>
          <w:p>
            <w:pPr/>
          </w:p>
        </w:tc>
        <w:tc>
          <w:tcPr>
            <w:tcW w:w="1887" w:type="dxa"/>
            <w:shd w:val="clear" w:color="auto" w:fill="F9BE8F"/>
          </w:tcPr>
          <w:p>
            <w:pPr/>
          </w:p>
        </w:tc>
        <w:tc>
          <w:tcPr>
            <w:tcW w:w="1289" w:type="dxa"/>
            <w:shd w:val="clear" w:color="auto" w:fill="92CDDC"/>
          </w:tcPr>
          <w:p>
            <w:pPr/>
          </w:p>
        </w:tc>
        <w:tc>
          <w:tcPr>
            <w:tcW w:w="1174" w:type="dxa"/>
            <w:shd w:val="clear" w:color="auto" w:fill="92CDDC"/>
          </w:tcPr>
          <w:p>
            <w:pPr/>
          </w:p>
        </w:tc>
        <w:tc>
          <w:tcPr>
            <w:tcW w:w="2314" w:type="dxa"/>
            <w:shd w:val="clear" w:color="auto" w:fill="92CDDC"/>
          </w:tcPr>
          <w:p>
            <w:pPr>
              <w:pStyle w:val="TableParagraph"/>
              <w:tabs>
                <w:tab w:pos="1945" w:val="left" w:leader="none"/>
              </w:tabs>
              <w:spacing w:line="252" w:lineRule="exact"/>
              <w:ind w:left="100" w:right="98"/>
              <w:rPr>
                <w:b/>
                <w:sz w:val="22"/>
              </w:rPr>
            </w:pPr>
            <w:r>
              <w:rPr>
                <w:b/>
                <w:sz w:val="22"/>
              </w:rPr>
              <w:t>no se deteriore la laguna</w:t>
              <w:tab/>
              <w:t>de</w:t>
            </w:r>
          </w:p>
          <w:p>
            <w:pPr>
              <w:pStyle w:val="TableParagraph"/>
              <w:spacing w:line="251" w:lineRule="exact"/>
              <w:ind w:left="100"/>
              <w:rPr>
                <w:b/>
                <w:sz w:val="22"/>
              </w:rPr>
            </w:pPr>
            <w:r>
              <w:rPr>
                <w:b/>
                <w:sz w:val="22"/>
              </w:rPr>
              <w:t>Huapango?</w:t>
            </w:r>
          </w:p>
        </w:tc>
        <w:tc>
          <w:tcPr>
            <w:tcW w:w="3901" w:type="dxa"/>
            <w:shd w:val="clear" w:color="auto" w:fill="92CDDC"/>
          </w:tcPr>
          <w:p>
            <w:pPr>
              <w:pStyle w:val="TableParagraph"/>
              <w:spacing w:line="248" w:lineRule="exact"/>
              <w:rPr>
                <w:b/>
                <w:sz w:val="22"/>
              </w:rPr>
            </w:pPr>
            <w:r>
              <w:rPr>
                <w:b/>
                <w:sz w:val="22"/>
              </w:rPr>
              <w:t>se benefician de ella?</w:t>
            </w:r>
          </w:p>
        </w:tc>
      </w:tr>
      <w:tr>
        <w:trPr>
          <w:trHeight w:val="267" w:hRule="exact"/>
        </w:trPr>
        <w:tc>
          <w:tcPr>
            <w:tcW w:w="1385" w:type="dxa"/>
            <w:tcBorders>
              <w:bottom w:val="nil"/>
            </w:tcBorders>
          </w:tcPr>
          <w:p>
            <w:pPr>
              <w:pStyle w:val="TableParagraph"/>
              <w:spacing w:line="251" w:lineRule="exact"/>
              <w:ind w:right="127"/>
              <w:rPr>
                <w:sz w:val="22"/>
              </w:rPr>
            </w:pPr>
            <w:r>
              <w:rPr>
                <w:sz w:val="22"/>
              </w:rPr>
              <w:t>Salvador</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spacing w:line="251" w:lineRule="exact"/>
              <w:rPr>
                <w:sz w:val="22"/>
              </w:rPr>
            </w:pPr>
            <w:r>
              <w:rPr>
                <w:sz w:val="22"/>
              </w:rPr>
              <w:t>Presidente</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tabs>
                <w:tab w:pos="544" w:val="left" w:leader="none"/>
                <w:tab w:pos="1722" w:val="left" w:leader="none"/>
              </w:tabs>
              <w:spacing w:line="251" w:lineRule="exact"/>
              <w:ind w:left="100"/>
              <w:rPr>
                <w:sz w:val="22"/>
              </w:rPr>
            </w:pPr>
            <w:r>
              <w:rPr>
                <w:sz w:val="22"/>
              </w:rPr>
              <w:t>El</w:t>
              <w:tab/>
              <w:t>municipio</w:t>
              <w:tab/>
              <w:t>tiene</w:t>
            </w:r>
          </w:p>
        </w:tc>
        <w:tc>
          <w:tcPr>
            <w:tcW w:w="3901" w:type="dxa"/>
            <w:tcBorders>
              <w:bottom w:val="nil"/>
            </w:tcBorders>
          </w:tcPr>
          <w:p>
            <w:pPr>
              <w:pStyle w:val="TableParagraph"/>
              <w:spacing w:line="251" w:lineRule="exact"/>
              <w:rPr>
                <w:sz w:val="22"/>
              </w:rPr>
            </w:pPr>
            <w:r>
              <w:rPr>
                <w:sz w:val="22"/>
              </w:rPr>
              <w:t>No porque la regula la Conagua y por</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del Río</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cuidado   de   que no</w:t>
            </w:r>
          </w:p>
        </w:tc>
        <w:tc>
          <w:tcPr>
            <w:tcW w:w="3901" w:type="dxa"/>
            <w:tcBorders>
              <w:top w:val="nil"/>
              <w:bottom w:val="nil"/>
            </w:tcBorders>
          </w:tcPr>
          <w:p>
            <w:pPr>
              <w:pStyle w:val="TableParagraph"/>
              <w:spacing w:line="242" w:lineRule="exact"/>
              <w:rPr>
                <w:sz w:val="22"/>
              </w:rPr>
            </w:pPr>
            <w:r>
              <w:rPr>
                <w:sz w:val="22"/>
              </w:rPr>
              <w:t>eso existe un módulo de riego, donde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0" w:right="98"/>
              <w:rPr>
                <w:sz w:val="22"/>
              </w:rPr>
            </w:pPr>
            <w:r>
              <w:rPr>
                <w:sz w:val="22"/>
              </w:rPr>
              <w:t>Ciencias</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050" w:val="left" w:leader="none"/>
              </w:tabs>
              <w:spacing w:line="241" w:lineRule="exact"/>
              <w:ind w:left="100"/>
              <w:rPr>
                <w:sz w:val="22"/>
              </w:rPr>
            </w:pPr>
            <w:r>
              <w:rPr>
                <w:sz w:val="22"/>
              </w:rPr>
              <w:t>se</w:t>
              <w:tab/>
              <w:t>descarguen</w:t>
            </w:r>
          </w:p>
        </w:tc>
        <w:tc>
          <w:tcPr>
            <w:tcW w:w="3901" w:type="dxa"/>
            <w:tcBorders>
              <w:top w:val="nil"/>
              <w:bottom w:val="nil"/>
            </w:tcBorders>
          </w:tcPr>
          <w:p>
            <w:pPr>
              <w:pStyle w:val="TableParagraph"/>
              <w:spacing w:line="241" w:lineRule="exact"/>
              <w:rPr>
                <w:sz w:val="22"/>
              </w:rPr>
            </w:pPr>
            <w:r>
              <w:rPr>
                <w:sz w:val="22"/>
              </w:rPr>
              <w:t>hay un Comité que regula con  reglas</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Políticas y</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060" w:val="left" w:leader="none"/>
                <w:tab w:pos="2091" w:val="left" w:leader="none"/>
              </w:tabs>
              <w:spacing w:line="242" w:lineRule="exact"/>
              <w:ind w:left="100"/>
              <w:rPr>
                <w:sz w:val="22"/>
              </w:rPr>
            </w:pPr>
            <w:r>
              <w:rPr>
                <w:sz w:val="22"/>
              </w:rPr>
              <w:t>aguas</w:t>
              <w:tab/>
              <w:t>negras</w:t>
              <w:tab/>
              <w:t>y</w:t>
            </w:r>
          </w:p>
        </w:tc>
        <w:tc>
          <w:tcPr>
            <w:tcW w:w="3901" w:type="dxa"/>
            <w:tcBorders>
              <w:top w:val="nil"/>
              <w:bottom w:val="nil"/>
            </w:tcBorders>
          </w:tcPr>
          <w:p>
            <w:pPr>
              <w:pStyle w:val="TableParagraph"/>
              <w:spacing w:line="242" w:lineRule="exact"/>
              <w:rPr>
                <w:sz w:val="22"/>
              </w:rPr>
            </w:pPr>
            <w:r>
              <w:rPr>
                <w:sz w:val="22"/>
              </w:rPr>
              <w:t>de la Conagua.</w:t>
            </w:r>
          </w:p>
        </w:tc>
      </w:tr>
      <w:tr>
        <w:trPr>
          <w:trHeight w:val="252" w:hRule="exact"/>
        </w:trPr>
        <w:tc>
          <w:tcPr>
            <w:tcW w:w="1385" w:type="dxa"/>
            <w:tcBorders>
              <w:top w:val="nil"/>
              <w:bottom w:val="nil"/>
            </w:tcBorders>
          </w:tcPr>
          <w:p>
            <w:pPr>
              <w:pStyle w:val="TableParagraph"/>
              <w:spacing w:line="241" w:lineRule="exact"/>
              <w:rPr>
                <w:sz w:val="22"/>
              </w:rPr>
            </w:pPr>
            <w:r>
              <w:rPr>
                <w:sz w:val="22"/>
              </w:rPr>
              <w:t>(18/7/2014)</w:t>
            </w:r>
          </w:p>
        </w:tc>
        <w:tc>
          <w:tcPr>
            <w:tcW w:w="1274" w:type="dxa"/>
            <w:tcBorders>
              <w:top w:val="nil"/>
              <w:bottom w:val="nil"/>
            </w:tcBorders>
          </w:tcPr>
          <w:p>
            <w:pPr>
              <w:pStyle w:val="TableParagraph"/>
              <w:spacing w:line="241" w:lineRule="exact"/>
              <w:ind w:left="100"/>
              <w:rPr>
                <w:sz w:val="22"/>
              </w:rPr>
            </w:pPr>
            <w:r>
              <w:rPr>
                <w:sz w:val="22"/>
              </w:rPr>
              <w:t>Administra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regula  el  gasto para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ción</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no  vaciarla,  sólo  se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Pública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permite  determinado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90" w:val="left" w:leader="none"/>
                <w:tab w:pos="1170" w:val="left" w:leader="none"/>
                <w:tab w:pos="1957" w:val="left" w:leader="none"/>
              </w:tabs>
              <w:spacing w:line="241" w:lineRule="exact"/>
              <w:ind w:left="100"/>
              <w:rPr>
                <w:sz w:val="22"/>
              </w:rPr>
            </w:pPr>
            <w:r>
              <w:rPr>
                <w:sz w:val="22"/>
              </w:rPr>
              <w:t>uso</w:t>
              <w:tab/>
              <w:t>de</w:t>
              <w:tab/>
              <w:t>agua,</w:t>
              <w:tab/>
              <w:t>de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540" w:val="left" w:leader="none"/>
              </w:tabs>
              <w:spacing w:line="242" w:lineRule="exact"/>
              <w:ind w:left="100"/>
              <w:rPr>
                <w:sz w:val="22"/>
              </w:rPr>
            </w:pPr>
            <w:r>
              <w:rPr>
                <w:sz w:val="22"/>
              </w:rPr>
              <w:t>hecho</w:t>
              <w:tab/>
              <w:t>hemos</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29" w:val="left" w:leader="none"/>
              </w:tabs>
              <w:spacing w:line="241" w:lineRule="exact"/>
              <w:ind w:left="100"/>
              <w:rPr>
                <w:sz w:val="22"/>
              </w:rPr>
            </w:pPr>
            <w:r>
              <w:rPr>
                <w:sz w:val="22"/>
              </w:rPr>
              <w:t>construido</w:t>
              <w:tab/>
              <w:t>muchos</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bordos.</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Rosalba</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tabs>
                <w:tab w:pos="448" w:val="left" w:leader="none"/>
              </w:tabs>
              <w:spacing w:line="251" w:lineRule="exact"/>
              <w:ind w:left="100"/>
              <w:rPr>
                <w:sz w:val="22"/>
              </w:rPr>
            </w:pPr>
            <w:r>
              <w:rPr>
                <w:sz w:val="22"/>
              </w:rPr>
              <w:t>A</w:t>
              <w:tab/>
              <w:t>cada  </w:t>
            </w:r>
            <w:r>
              <w:rPr>
                <w:spacing w:val="12"/>
                <w:sz w:val="22"/>
              </w:rPr>
              <w:t> </w:t>
            </w:r>
            <w:r>
              <w:rPr>
                <w:sz w:val="22"/>
              </w:rPr>
              <w:t>comunidad</w:t>
            </w:r>
          </w:p>
        </w:tc>
        <w:tc>
          <w:tcPr>
            <w:tcW w:w="3901" w:type="dxa"/>
            <w:tcBorders>
              <w:bottom w:val="nil"/>
            </w:tcBorders>
          </w:tcPr>
          <w:p>
            <w:pPr>
              <w:pStyle w:val="TableParagraph"/>
              <w:tabs>
                <w:tab w:pos="609" w:val="left" w:leader="none"/>
                <w:tab w:pos="1530" w:val="left" w:leader="none"/>
                <w:tab w:pos="2780" w:val="left" w:leader="none"/>
                <w:tab w:pos="3504" w:val="left" w:leader="none"/>
              </w:tabs>
              <w:spacing w:line="251" w:lineRule="exact"/>
              <w:rPr>
                <w:sz w:val="22"/>
              </w:rPr>
            </w:pPr>
            <w:r>
              <w:rPr>
                <w:sz w:val="22"/>
              </w:rPr>
              <w:t>No</w:t>
              <w:tab/>
              <w:t>existen</w:t>
              <w:tab/>
              <w:t>problemas</w:t>
              <w:tab/>
              <w:t>entre</w:t>
              <w:tab/>
              <w:t>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Peralta</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Encargada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se  le  dice  que tome</w:t>
            </w:r>
          </w:p>
        </w:tc>
        <w:tc>
          <w:tcPr>
            <w:tcW w:w="3901" w:type="dxa"/>
            <w:tcBorders>
              <w:top w:val="nil"/>
              <w:bottom w:val="nil"/>
            </w:tcBorders>
          </w:tcPr>
          <w:p>
            <w:pPr>
              <w:pStyle w:val="TableParagraph"/>
              <w:spacing w:line="241" w:lineRule="exact"/>
              <w:rPr>
                <w:sz w:val="22"/>
              </w:rPr>
            </w:pPr>
            <w:r>
              <w:rPr>
                <w:sz w:val="22"/>
              </w:rPr>
              <w:t>habitantes de los distintos municipios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Tovar</w:t>
            </w:r>
          </w:p>
        </w:tc>
        <w:tc>
          <w:tcPr>
            <w:tcW w:w="1274" w:type="dxa"/>
            <w:tcBorders>
              <w:top w:val="nil"/>
              <w:bottom w:val="nil"/>
            </w:tcBorders>
          </w:tcPr>
          <w:p>
            <w:pPr>
              <w:pStyle w:val="TableParagraph"/>
              <w:spacing w:line="242" w:lineRule="exact"/>
              <w:ind w:left="100"/>
              <w:rPr>
                <w:sz w:val="22"/>
              </w:rPr>
            </w:pPr>
            <w:r>
              <w:rPr>
                <w:sz w:val="22"/>
              </w:rPr>
              <w:t>Educación</w:t>
            </w:r>
          </w:p>
        </w:tc>
        <w:tc>
          <w:tcPr>
            <w:tcW w:w="1887" w:type="dxa"/>
            <w:tcBorders>
              <w:top w:val="nil"/>
              <w:bottom w:val="nil"/>
            </w:tcBorders>
          </w:tcPr>
          <w:p>
            <w:pPr>
              <w:pStyle w:val="TableParagraph"/>
              <w:spacing w:line="242" w:lineRule="exact"/>
              <w:rPr>
                <w:sz w:val="22"/>
              </w:rPr>
            </w:pPr>
            <w:r>
              <w:rPr>
                <w:sz w:val="22"/>
              </w:rPr>
              <w:t>ecología 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en   cuenta   que   no</w:t>
            </w:r>
          </w:p>
        </w:tc>
        <w:tc>
          <w:tcPr>
            <w:tcW w:w="3901" w:type="dxa"/>
            <w:tcBorders>
              <w:top w:val="nil"/>
              <w:bottom w:val="nil"/>
            </w:tcBorders>
          </w:tcPr>
          <w:p>
            <w:pPr>
              <w:pStyle w:val="TableParagraph"/>
              <w:spacing w:line="242" w:lineRule="exact"/>
              <w:rPr>
                <w:sz w:val="22"/>
              </w:rPr>
            </w:pPr>
            <w:r>
              <w:rPr>
                <w:sz w:val="22"/>
              </w:rPr>
              <w:t>que  colindan  con  la  laguna  porque</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Asuntos</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861" w:val="left" w:leader="none"/>
                <w:tab w:pos="1761" w:val="left" w:leader="none"/>
              </w:tabs>
              <w:spacing w:line="241" w:lineRule="exact"/>
              <w:ind w:left="100"/>
              <w:rPr>
                <w:sz w:val="22"/>
              </w:rPr>
            </w:pPr>
            <w:r>
              <w:rPr>
                <w:sz w:val="22"/>
              </w:rPr>
              <w:t>hay</w:t>
              <w:tab/>
              <w:t>agua</w:t>
              <w:tab/>
              <w:t>para</w:t>
            </w:r>
          </w:p>
        </w:tc>
        <w:tc>
          <w:tcPr>
            <w:tcW w:w="3901" w:type="dxa"/>
            <w:tcBorders>
              <w:top w:val="nil"/>
              <w:bottom w:val="nil"/>
            </w:tcBorders>
          </w:tcPr>
          <w:p>
            <w:pPr>
              <w:pStyle w:val="TableParagraph"/>
              <w:spacing w:line="241" w:lineRule="exact"/>
              <w:rPr>
                <w:sz w:val="22"/>
              </w:rPr>
            </w:pPr>
            <w:r>
              <w:rPr>
                <w:sz w:val="22"/>
              </w:rPr>
              <w:t>están organizados.</w:t>
            </w:r>
          </w:p>
        </w:tc>
      </w:tr>
      <w:tr>
        <w:trPr>
          <w:trHeight w:val="253" w:hRule="exact"/>
        </w:trPr>
        <w:tc>
          <w:tcPr>
            <w:tcW w:w="1385" w:type="dxa"/>
            <w:tcBorders>
              <w:top w:val="nil"/>
              <w:bottom w:val="nil"/>
            </w:tcBorders>
          </w:tcPr>
          <w:p>
            <w:pPr>
              <w:pStyle w:val="TableParagraph"/>
              <w:spacing w:line="243" w:lineRule="exact"/>
              <w:rPr>
                <w:sz w:val="22"/>
              </w:rPr>
            </w:pPr>
            <w:r>
              <w:rPr>
                <w:sz w:val="22"/>
              </w:rPr>
              <w:t>(18/7/2014)</w:t>
            </w:r>
          </w:p>
        </w:tc>
        <w:tc>
          <w:tcPr>
            <w:tcW w:w="1274" w:type="dxa"/>
            <w:tcBorders>
              <w:top w:val="nil"/>
              <w:bottom w:val="nil"/>
            </w:tcBorders>
          </w:tcPr>
          <w:p>
            <w:pPr/>
          </w:p>
        </w:tc>
        <w:tc>
          <w:tcPr>
            <w:tcW w:w="1887" w:type="dxa"/>
            <w:tcBorders>
              <w:top w:val="nil"/>
              <w:bottom w:val="nil"/>
            </w:tcBorders>
          </w:tcPr>
          <w:p>
            <w:pPr>
              <w:pStyle w:val="TableParagraph"/>
              <w:spacing w:line="243" w:lineRule="exact"/>
              <w:rPr>
                <w:sz w:val="22"/>
              </w:rPr>
            </w:pPr>
            <w:r>
              <w:rPr>
                <w:sz w:val="22"/>
              </w:rPr>
              <w:t>Indígenas</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609" w:val="left" w:leader="none"/>
                <w:tab w:pos="1955" w:val="left" w:leader="none"/>
              </w:tabs>
              <w:spacing w:line="243" w:lineRule="exact"/>
              <w:ind w:left="100"/>
              <w:rPr>
                <w:sz w:val="22"/>
              </w:rPr>
            </w:pPr>
            <w:r>
              <w:rPr>
                <w:sz w:val="22"/>
              </w:rPr>
              <w:t>aprovecharla</w:t>
              <w:tab/>
              <w:t>y</w:t>
              <w:tab/>
              <w:t>no</w:t>
            </w: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desperdiciarla.</w:t>
            </w:r>
          </w:p>
        </w:tc>
        <w:tc>
          <w:tcPr>
            <w:tcW w:w="3901" w:type="dxa"/>
            <w:tcBorders>
              <w:top w:val="nil"/>
            </w:tcBorders>
          </w:tcPr>
          <w:p>
            <w:pPr/>
          </w:p>
        </w:tc>
      </w:tr>
      <w:tr>
        <w:trPr>
          <w:trHeight w:val="269" w:hRule="exact"/>
        </w:trPr>
        <w:tc>
          <w:tcPr>
            <w:tcW w:w="1385" w:type="dxa"/>
            <w:tcBorders>
              <w:bottom w:val="nil"/>
            </w:tcBorders>
          </w:tcPr>
          <w:p>
            <w:pPr>
              <w:pStyle w:val="TableParagraph"/>
              <w:tabs>
                <w:tab w:pos="1029" w:val="left" w:leader="none"/>
              </w:tabs>
              <w:rPr>
                <w:sz w:val="22"/>
              </w:rPr>
            </w:pPr>
            <w:r>
              <w:rPr>
                <w:sz w:val="22"/>
              </w:rPr>
              <w:t>Yanet</w:t>
              <w:tab/>
              <w:t>de</w:t>
            </w:r>
          </w:p>
        </w:tc>
        <w:tc>
          <w:tcPr>
            <w:tcW w:w="1274" w:type="dxa"/>
            <w:tcBorders>
              <w:bottom w:val="nil"/>
            </w:tcBorders>
          </w:tcPr>
          <w:p>
            <w:pPr>
              <w:pStyle w:val="TableParagraph"/>
              <w:ind w:left="100"/>
              <w:rPr>
                <w:sz w:val="22"/>
              </w:rPr>
            </w:pPr>
            <w:r>
              <w:rPr>
                <w:sz w:val="22"/>
              </w:rPr>
              <w:t>Preparator</w:t>
            </w:r>
          </w:p>
        </w:tc>
        <w:tc>
          <w:tcPr>
            <w:tcW w:w="1887" w:type="dxa"/>
            <w:tcBorders>
              <w:bottom w:val="nil"/>
            </w:tcBorders>
          </w:tcPr>
          <w:p>
            <w:pPr>
              <w:pStyle w:val="TableParagraph"/>
              <w:rPr>
                <w:sz w:val="22"/>
              </w:rPr>
            </w:pPr>
            <w:r>
              <w:rPr>
                <w:sz w:val="22"/>
              </w:rPr>
              <w:t>Cuarto  Regidor.</w:t>
            </w:r>
          </w:p>
        </w:tc>
        <w:tc>
          <w:tcPr>
            <w:tcW w:w="1289" w:type="dxa"/>
            <w:tcBorders>
              <w:bottom w:val="nil"/>
            </w:tcBorders>
          </w:tcPr>
          <w:p>
            <w:pPr>
              <w:pStyle w:val="TableParagraph"/>
              <w:ind w:left="223"/>
              <w:rPr>
                <w:sz w:val="22"/>
              </w:rPr>
            </w:pPr>
            <w:r>
              <w:rPr>
                <w:sz w:val="22"/>
              </w:rPr>
              <w:t>Timilpan</w:t>
            </w:r>
          </w:p>
        </w:tc>
        <w:tc>
          <w:tcPr>
            <w:tcW w:w="1174" w:type="dxa"/>
            <w:tcBorders>
              <w:bottom w:val="nil"/>
            </w:tcBorders>
          </w:tcPr>
          <w:p>
            <w:pPr>
              <w:pStyle w:val="TableParagraph"/>
              <w:ind w:left="0" w:right="249"/>
              <w:jc w:val="right"/>
              <w:rPr>
                <w:sz w:val="22"/>
              </w:rPr>
            </w:pPr>
            <w:r>
              <w:rPr>
                <w:sz w:val="22"/>
              </w:rPr>
              <w:t>Aculco</w:t>
            </w:r>
          </w:p>
        </w:tc>
        <w:tc>
          <w:tcPr>
            <w:tcW w:w="2314" w:type="dxa"/>
            <w:tcBorders>
              <w:bottom w:val="nil"/>
            </w:tcBorders>
          </w:tcPr>
          <w:p>
            <w:pPr>
              <w:pStyle w:val="TableParagraph"/>
              <w:tabs>
                <w:tab w:pos="1833" w:val="left" w:leader="none"/>
              </w:tabs>
              <w:ind w:left="100"/>
              <w:rPr>
                <w:sz w:val="22"/>
              </w:rPr>
            </w:pPr>
            <w:r>
              <w:rPr>
                <w:sz w:val="22"/>
              </w:rPr>
              <w:t>Desconozco</w:t>
              <w:tab/>
              <w:t>qué</w:t>
            </w:r>
          </w:p>
        </w:tc>
        <w:tc>
          <w:tcPr>
            <w:tcW w:w="3901" w:type="dxa"/>
            <w:tcBorders>
              <w:bottom w:val="nil"/>
            </w:tcBorders>
          </w:tcPr>
          <w:p>
            <w:pPr>
              <w:pStyle w:val="TableParagraph"/>
              <w:tabs>
                <w:tab w:pos="947" w:val="left" w:leader="none"/>
                <w:tab w:pos="2123" w:val="left" w:leader="none"/>
                <w:tab w:pos="3346" w:val="left" w:leader="none"/>
              </w:tabs>
              <w:rPr>
                <w:sz w:val="22"/>
              </w:rPr>
            </w:pPr>
            <w:r>
              <w:rPr>
                <w:sz w:val="22"/>
              </w:rPr>
              <w:t>Sólo</w:t>
              <w:tab/>
              <w:t>algunos</w:t>
              <w:tab/>
              <w:t>detalles,</w:t>
              <w:tab/>
              <w:t>pero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Jesús</w:t>
            </w:r>
          </w:p>
        </w:tc>
        <w:tc>
          <w:tcPr>
            <w:tcW w:w="1274" w:type="dxa"/>
            <w:tcBorders>
              <w:top w:val="nil"/>
              <w:bottom w:val="nil"/>
            </w:tcBorders>
          </w:tcPr>
          <w:p>
            <w:pPr>
              <w:pStyle w:val="TableParagraph"/>
              <w:spacing w:line="241" w:lineRule="exact"/>
              <w:ind w:left="100" w:right="98"/>
              <w:rPr>
                <w:sz w:val="22"/>
              </w:rPr>
            </w:pPr>
            <w:r>
              <w:rPr>
                <w:sz w:val="22"/>
              </w:rPr>
              <w:t>ia</w:t>
            </w:r>
          </w:p>
        </w:tc>
        <w:tc>
          <w:tcPr>
            <w:tcW w:w="1887" w:type="dxa"/>
            <w:tcBorders>
              <w:top w:val="nil"/>
              <w:bottom w:val="nil"/>
            </w:tcBorders>
          </w:tcPr>
          <w:p>
            <w:pPr>
              <w:pStyle w:val="TableParagraph"/>
              <w:tabs>
                <w:tab w:pos="1528" w:val="left" w:leader="none"/>
              </w:tabs>
              <w:spacing w:line="241" w:lineRule="exact"/>
              <w:rPr>
                <w:sz w:val="22"/>
              </w:rPr>
            </w:pPr>
            <w:r>
              <w:rPr>
                <w:sz w:val="22"/>
              </w:rPr>
              <w:t>Encargada</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75" w:val="left" w:leader="none"/>
                <w:tab w:pos="2027" w:val="left" w:leader="none"/>
              </w:tabs>
              <w:spacing w:line="241" w:lineRule="exact"/>
              <w:ind w:left="100"/>
              <w:rPr>
                <w:sz w:val="22"/>
              </w:rPr>
            </w:pPr>
            <w:r>
              <w:rPr>
                <w:sz w:val="22"/>
              </w:rPr>
              <w:t>acciones</w:t>
              <w:tab/>
              <w:t>realiza</w:t>
              <w:tab/>
              <w:t>el</w:t>
            </w:r>
          </w:p>
        </w:tc>
        <w:tc>
          <w:tcPr>
            <w:tcW w:w="3901" w:type="dxa"/>
            <w:tcBorders>
              <w:top w:val="nil"/>
              <w:bottom w:val="nil"/>
            </w:tcBorders>
          </w:tcPr>
          <w:p>
            <w:pPr>
              <w:pStyle w:val="TableParagraph"/>
              <w:spacing w:line="241" w:lineRule="exact"/>
              <w:rPr>
                <w:sz w:val="22"/>
              </w:rPr>
            </w:pPr>
            <w:r>
              <w:rPr>
                <w:sz w:val="22"/>
              </w:rPr>
              <w:t>problemas  no,  se  dan  cuando   hay</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Carmen</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municipio para cuidar</w:t>
            </w:r>
          </w:p>
        </w:tc>
        <w:tc>
          <w:tcPr>
            <w:tcW w:w="3901" w:type="dxa"/>
            <w:tcBorders>
              <w:top w:val="nil"/>
              <w:bottom w:val="nil"/>
            </w:tcBorders>
          </w:tcPr>
          <w:p>
            <w:pPr>
              <w:pStyle w:val="TableParagraph"/>
              <w:spacing w:line="241" w:lineRule="exact"/>
              <w:rPr>
                <w:sz w:val="22"/>
              </w:rPr>
            </w:pPr>
            <w:r>
              <w:rPr>
                <w:sz w:val="22"/>
              </w:rPr>
              <w:t>cambio de Comité.</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la laguna.</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2" w:val="left" w:leader="none"/>
              </w:tabs>
              <w:spacing w:line="242" w:lineRule="exact"/>
              <w:rPr>
                <w:sz w:val="22"/>
              </w:rPr>
            </w:pPr>
            <w:r>
              <w:rPr>
                <w:sz w:val="22"/>
              </w:rPr>
              <w:t>Mercados</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Tianguis</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9" w:hRule="exact"/>
        </w:trPr>
        <w:tc>
          <w:tcPr>
            <w:tcW w:w="1385" w:type="dxa"/>
            <w:tcBorders>
              <w:bottom w:val="nil"/>
            </w:tcBorders>
          </w:tcPr>
          <w:p>
            <w:pPr>
              <w:pStyle w:val="TableParagraph"/>
              <w:rPr>
                <w:sz w:val="22"/>
              </w:rPr>
            </w:pPr>
            <w:r>
              <w:rPr>
                <w:sz w:val="22"/>
              </w:rPr>
              <w:t>Edgar Nava</w:t>
            </w:r>
          </w:p>
        </w:tc>
        <w:tc>
          <w:tcPr>
            <w:tcW w:w="1274" w:type="dxa"/>
            <w:tcBorders>
              <w:bottom w:val="nil"/>
            </w:tcBorders>
          </w:tcPr>
          <w:p>
            <w:pPr>
              <w:pStyle w:val="TableParagraph"/>
              <w:ind w:left="105"/>
              <w:rPr>
                <w:sz w:val="22"/>
              </w:rPr>
            </w:pPr>
            <w:r>
              <w:rPr>
                <w:sz w:val="22"/>
              </w:rPr>
              <w:t>Licenciado</w:t>
            </w:r>
          </w:p>
        </w:tc>
        <w:tc>
          <w:tcPr>
            <w:tcW w:w="1887" w:type="dxa"/>
            <w:tcBorders>
              <w:bottom w:val="nil"/>
            </w:tcBorders>
          </w:tcPr>
          <w:p>
            <w:pPr>
              <w:pStyle w:val="TableParagraph"/>
              <w:tabs>
                <w:tab w:pos="1527" w:val="left" w:leader="none"/>
              </w:tabs>
              <w:rPr>
                <w:sz w:val="22"/>
              </w:rPr>
            </w:pPr>
            <w:r>
              <w:rPr>
                <w:sz w:val="22"/>
              </w:rPr>
              <w:t>Director</w:t>
              <w:tab/>
              <w:t>de</w:t>
            </w:r>
          </w:p>
        </w:tc>
        <w:tc>
          <w:tcPr>
            <w:tcW w:w="1289" w:type="dxa"/>
            <w:tcBorders>
              <w:bottom w:val="nil"/>
            </w:tcBorders>
          </w:tcPr>
          <w:p>
            <w:pPr>
              <w:pStyle w:val="TableParagraph"/>
              <w:ind w:left="309"/>
              <w:rPr>
                <w:sz w:val="22"/>
              </w:rPr>
            </w:pPr>
            <w:r>
              <w:rPr>
                <w:sz w:val="22"/>
              </w:rPr>
              <w:t>Toluca</w:t>
            </w:r>
          </w:p>
        </w:tc>
        <w:tc>
          <w:tcPr>
            <w:tcW w:w="1174" w:type="dxa"/>
            <w:tcBorders>
              <w:bottom w:val="nil"/>
            </w:tcBorders>
          </w:tcPr>
          <w:p>
            <w:pPr>
              <w:pStyle w:val="TableParagraph"/>
              <w:ind w:left="0" w:right="249"/>
              <w:jc w:val="right"/>
              <w:rPr>
                <w:sz w:val="22"/>
              </w:rPr>
            </w:pPr>
            <w:r>
              <w:rPr>
                <w:sz w:val="22"/>
              </w:rPr>
              <w:t>Aculco</w:t>
            </w:r>
          </w:p>
        </w:tc>
        <w:tc>
          <w:tcPr>
            <w:tcW w:w="2314" w:type="dxa"/>
            <w:tcBorders>
              <w:bottom w:val="nil"/>
            </w:tcBorders>
          </w:tcPr>
          <w:p>
            <w:pPr>
              <w:pStyle w:val="TableParagraph"/>
              <w:ind w:left="100"/>
              <w:rPr>
                <w:sz w:val="22"/>
              </w:rPr>
            </w:pPr>
            <w:r>
              <w:rPr>
                <w:sz w:val="22"/>
              </w:rPr>
              <w:t>El   municipio  realiza</w:t>
            </w:r>
          </w:p>
        </w:tc>
        <w:tc>
          <w:tcPr>
            <w:tcW w:w="3901" w:type="dxa"/>
            <w:tcBorders>
              <w:bottom w:val="nil"/>
            </w:tcBorders>
          </w:tcPr>
          <w:p>
            <w:pPr>
              <w:pStyle w:val="TableParagraph"/>
              <w:rPr>
                <w:sz w:val="22"/>
              </w:rPr>
            </w:pPr>
            <w:r>
              <w:rPr>
                <w:sz w:val="22"/>
              </w:rPr>
              <w:t>Por  el  derrame  a  la  laguna,    tales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Hidalgo</w:t>
            </w:r>
          </w:p>
        </w:tc>
        <w:tc>
          <w:tcPr>
            <w:tcW w:w="1274" w:type="dxa"/>
            <w:tcBorders>
              <w:top w:val="nil"/>
              <w:bottom w:val="nil"/>
            </w:tcBorders>
          </w:tcPr>
          <w:p>
            <w:pPr>
              <w:pStyle w:val="TableParagraph"/>
              <w:spacing w:line="241" w:lineRule="exact"/>
              <w:ind w:left="105" w:right="105"/>
              <w:jc w:val="center"/>
              <w:rPr>
                <w:sz w:val="22"/>
              </w:rPr>
            </w:pPr>
            <w:r>
              <w:rPr>
                <w:sz w:val="22"/>
              </w:rPr>
              <w:t>en</w:t>
            </w:r>
          </w:p>
        </w:tc>
        <w:tc>
          <w:tcPr>
            <w:tcW w:w="1887" w:type="dxa"/>
            <w:tcBorders>
              <w:top w:val="nil"/>
              <w:bottom w:val="nil"/>
            </w:tcBorders>
          </w:tcPr>
          <w:p>
            <w:pPr>
              <w:pStyle w:val="TableParagraph"/>
              <w:tabs>
                <w:tab w:pos="1660" w:val="left" w:leader="none"/>
              </w:tabs>
              <w:spacing w:line="241" w:lineRule="exact"/>
              <w:rPr>
                <w:sz w:val="22"/>
              </w:rPr>
            </w:pPr>
            <w:r>
              <w:rPr>
                <w:sz w:val="22"/>
              </w:rPr>
              <w:t>Ecología</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conferencias   en  las</w:t>
            </w:r>
          </w:p>
        </w:tc>
        <w:tc>
          <w:tcPr>
            <w:tcW w:w="3901" w:type="dxa"/>
            <w:tcBorders>
              <w:top w:val="nil"/>
              <w:bottom w:val="nil"/>
            </w:tcBorders>
          </w:tcPr>
          <w:p>
            <w:pPr>
              <w:pStyle w:val="TableParagraph"/>
              <w:spacing w:line="241" w:lineRule="exact"/>
              <w:rPr>
                <w:sz w:val="22"/>
              </w:rPr>
            </w:pPr>
            <w:r>
              <w:rPr>
                <w:sz w:val="22"/>
              </w:rPr>
              <w:t>como el drenaje.</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213" w:right="98"/>
              <w:rPr>
                <w:sz w:val="22"/>
              </w:rPr>
            </w:pPr>
            <w:r>
              <w:rPr>
                <w:sz w:val="22"/>
              </w:rPr>
              <w:t>Derecho</w:t>
            </w:r>
          </w:p>
        </w:tc>
        <w:tc>
          <w:tcPr>
            <w:tcW w:w="1887" w:type="dxa"/>
            <w:tcBorders>
              <w:top w:val="nil"/>
              <w:bottom w:val="nil"/>
            </w:tcBorders>
          </w:tcPr>
          <w:p>
            <w:pPr>
              <w:pStyle w:val="TableParagraph"/>
              <w:spacing w:line="241" w:lineRule="exact"/>
              <w:rPr>
                <w:sz w:val="22"/>
              </w:rPr>
            </w:pPr>
            <w:r>
              <w:rPr>
                <w:sz w:val="22"/>
              </w:rPr>
              <w:t>Medio Ambiente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diferentes</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(21/I/2014)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761" w:val="left" w:leader="none"/>
              </w:tabs>
              <w:spacing w:line="242" w:lineRule="exact"/>
              <w:ind w:left="100"/>
              <w:rPr>
                <w:sz w:val="22"/>
              </w:rPr>
            </w:pPr>
            <w:r>
              <w:rPr>
                <w:sz w:val="22"/>
              </w:rPr>
              <w:t>comunidades</w:t>
              <w:tab/>
              <w:t>para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29" w:val="left" w:leader="none"/>
              </w:tabs>
              <w:spacing w:line="241" w:lineRule="exact"/>
              <w:ind w:left="100"/>
              <w:rPr>
                <w:sz w:val="22"/>
              </w:rPr>
            </w:pPr>
            <w:r>
              <w:rPr>
                <w:sz w:val="22"/>
              </w:rPr>
              <w:t>informar</w:t>
              <w:tab/>
              <w:t>la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74" w:val="left" w:leader="none"/>
                <w:tab w:pos="1957" w:val="left" w:leader="none"/>
              </w:tabs>
              <w:spacing w:line="242" w:lineRule="exact"/>
              <w:ind w:left="100"/>
              <w:rPr>
                <w:sz w:val="22"/>
              </w:rPr>
            </w:pPr>
            <w:r>
              <w:rPr>
                <w:sz w:val="22"/>
              </w:rPr>
              <w:t>importancia</w:t>
              <w:tab/>
              <w:t>de</w:t>
              <w:tab/>
              <w:t>no</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tabs>
                <w:tab w:pos="1674" w:val="left" w:leader="none"/>
              </w:tabs>
              <w:spacing w:line="241" w:lineRule="exact"/>
              <w:ind w:left="100"/>
              <w:rPr>
                <w:sz w:val="22"/>
              </w:rPr>
            </w:pPr>
            <w:r>
              <w:rPr>
                <w:sz w:val="22"/>
              </w:rPr>
              <w:t>contaminar</w:t>
              <w:tab/>
              <w:t>dicha</w:t>
            </w:r>
          </w:p>
        </w:tc>
        <w:tc>
          <w:tcPr>
            <w:tcW w:w="3901" w:type="dxa"/>
            <w:tcBorders>
              <w:top w:val="nil"/>
            </w:tcBorders>
          </w:tcPr>
          <w:p>
            <w:pPr/>
          </w:p>
        </w:tc>
      </w:tr>
    </w:tbl>
    <w:p>
      <w:pPr>
        <w:spacing w:after="0"/>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1022" w:hRule="exact"/>
        </w:trPr>
        <w:tc>
          <w:tcPr>
            <w:tcW w:w="1385" w:type="dxa"/>
          </w:tcPr>
          <w:p>
            <w:pP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ind w:left="100" w:right="101"/>
              <w:jc w:val="both"/>
              <w:rPr>
                <w:sz w:val="22"/>
              </w:rPr>
            </w:pPr>
            <w:r>
              <w:rPr>
                <w:sz w:val="22"/>
              </w:rPr>
              <w:t>laguna con asesoría de la Secretaría del Medio Ambiente y la Comisión de Agua.</w:t>
            </w:r>
          </w:p>
        </w:tc>
        <w:tc>
          <w:tcPr>
            <w:tcW w:w="3901" w:type="dxa"/>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Style w:val="TableParagraph"/>
              <w:spacing w:line="251" w:lineRule="exact"/>
              <w:ind w:left="170" w:right="98"/>
              <w:rPr>
                <w:sz w:val="22"/>
              </w:rPr>
            </w:pPr>
            <w:r>
              <w:rPr>
                <w:sz w:val="22"/>
              </w:rPr>
              <w:t>Ingeniero</w:t>
            </w: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tabs>
                <w:tab w:pos="580" w:val="left" w:leader="none"/>
                <w:tab w:pos="1024" w:val="left" w:leader="none"/>
                <w:tab w:pos="1602" w:val="left" w:leader="none"/>
              </w:tabs>
              <w:spacing w:line="251" w:lineRule="exact"/>
              <w:ind w:left="100"/>
              <w:rPr>
                <w:sz w:val="22"/>
              </w:rPr>
            </w:pPr>
            <w:r>
              <w:rPr>
                <w:sz w:val="22"/>
              </w:rPr>
              <w:t>Ya</w:t>
              <w:tab/>
              <w:t>se</w:t>
              <w:tab/>
              <w:t>han</w:t>
              <w:tab/>
              <w:t>hecho</w:t>
            </w:r>
          </w:p>
        </w:tc>
        <w:tc>
          <w:tcPr>
            <w:tcW w:w="3901" w:type="dxa"/>
            <w:tcBorders>
              <w:bottom w:val="nil"/>
            </w:tcBorders>
          </w:tcPr>
          <w:p>
            <w:pPr>
              <w:pStyle w:val="TableParagraph"/>
              <w:spacing w:line="251" w:lineRule="exact"/>
              <w:rPr>
                <w:sz w:val="22"/>
              </w:rPr>
            </w:pPr>
            <w:r>
              <w:rPr>
                <w:sz w:val="22"/>
              </w:rPr>
              <w:t>Hasta ahorita que sepa no.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Andrade</w:t>
            </w:r>
          </w:p>
        </w:tc>
        <w:tc>
          <w:tcPr>
            <w:tcW w:w="1274" w:type="dxa"/>
            <w:tcBorders>
              <w:top w:val="nil"/>
              <w:bottom w:val="nil"/>
            </w:tcBorders>
          </w:tcPr>
          <w:p>
            <w:pPr>
              <w:pStyle w:val="TableParagraph"/>
              <w:spacing w:line="241" w:lineRule="exact"/>
              <w:ind w:left="122"/>
              <w:rPr>
                <w:sz w:val="22"/>
              </w:rPr>
            </w:pPr>
            <w:r>
              <w:rPr>
                <w:sz w:val="22"/>
              </w:rPr>
              <w:t>Agrónomo</w:t>
            </w: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jornadas  para cuidar</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Lugo</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los  drenajes,  se   ha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prestado  maquinaria</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left="155"/>
              <w:rPr>
                <w:sz w:val="22"/>
              </w:rPr>
            </w:pPr>
            <w:r>
              <w:rPr>
                <w:sz w:val="22"/>
              </w:rPr>
              <w:t>(31/I/2015)</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y   una   máquina  de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866" w:val="left" w:leader="none"/>
                <w:tab w:pos="1571" w:val="left" w:leader="none"/>
                <w:tab w:pos="2029" w:val="left" w:leader="none"/>
              </w:tabs>
              <w:spacing w:line="242" w:lineRule="exact"/>
              <w:ind w:left="100"/>
              <w:rPr>
                <w:sz w:val="22"/>
              </w:rPr>
            </w:pPr>
            <w:r>
              <w:rPr>
                <w:sz w:val="22"/>
              </w:rPr>
              <w:t>brazo</w:t>
              <w:tab/>
              <w:t>largo</w:t>
              <w:tab/>
              <w:t>de</w:t>
              <w:tab/>
              <w:t>la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Sedagro estuvo ocho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meses   limpiando  la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89" w:val="left" w:leader="none"/>
                <w:tab w:pos="1860" w:val="left" w:leader="none"/>
              </w:tabs>
              <w:spacing w:line="241" w:lineRule="exact"/>
              <w:ind w:left="100"/>
              <w:rPr>
                <w:sz w:val="22"/>
              </w:rPr>
            </w:pPr>
            <w:r>
              <w:rPr>
                <w:sz w:val="22"/>
              </w:rPr>
              <w:t>cortina</w:t>
              <w:tab/>
              <w:t>de</w:t>
              <w:tab/>
              <w:t>lirio</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acuático.</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rPr>
                <w:sz w:val="22"/>
              </w:rPr>
            </w:pPr>
            <w:r>
              <w:rPr>
                <w:sz w:val="22"/>
              </w:rPr>
              <w:t>Isac del Río</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tabs>
                <w:tab w:pos="1528" w:val="left" w:leader="none"/>
              </w:tabs>
              <w:spacing w:line="251" w:lineRule="exact"/>
              <w:rPr>
                <w:sz w:val="22"/>
              </w:rPr>
            </w:pPr>
            <w:r>
              <w:rPr>
                <w:sz w:val="22"/>
              </w:rPr>
              <w:t>Coordinador</w:t>
              <w:tab/>
              <w:t>de</w:t>
            </w:r>
          </w:p>
        </w:tc>
        <w:tc>
          <w:tcPr>
            <w:tcW w:w="1289" w:type="dxa"/>
            <w:tcBorders>
              <w:bottom w:val="nil"/>
            </w:tcBorders>
          </w:tcPr>
          <w:p>
            <w:pPr>
              <w:pStyle w:val="TableParagraph"/>
              <w:spacing w:line="251" w:lineRule="exact"/>
              <w:ind w:left="0" w:right="307"/>
              <w:jc w:val="right"/>
              <w:rPr>
                <w:sz w:val="22"/>
              </w:rPr>
            </w:pPr>
            <w:r>
              <w:rPr>
                <w:sz w:val="22"/>
              </w:rPr>
              <w:t>Aculco</w:t>
            </w:r>
          </w:p>
        </w:tc>
        <w:tc>
          <w:tcPr>
            <w:tcW w:w="1174" w:type="dxa"/>
            <w:tcBorders>
              <w:bottom w:val="nil"/>
            </w:tcBorders>
          </w:tcPr>
          <w:p>
            <w:pPr>
              <w:pStyle w:val="TableParagraph"/>
              <w:spacing w:line="251" w:lineRule="exact"/>
              <w:ind w:left="0" w:right="249"/>
              <w:jc w:val="righ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Metieron  la máquina</w:t>
            </w:r>
          </w:p>
        </w:tc>
        <w:tc>
          <w:tcPr>
            <w:tcW w:w="3901" w:type="dxa"/>
            <w:tcBorders>
              <w:bottom w:val="nil"/>
            </w:tcBorders>
          </w:tcPr>
          <w:p>
            <w:pPr>
              <w:pStyle w:val="TableParagraph"/>
              <w:spacing w:line="251" w:lineRule="exact"/>
              <w:rPr>
                <w:sz w:val="22"/>
              </w:rPr>
            </w:pPr>
            <w:r>
              <w:rPr>
                <w:sz w:val="22"/>
              </w:rPr>
              <w:t>No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para desazolvar.</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Comunica</w:t>
            </w:r>
          </w:p>
        </w:tc>
        <w:tc>
          <w:tcPr>
            <w:tcW w:w="1887" w:type="dxa"/>
            <w:tcBorders>
              <w:top w:val="nil"/>
              <w:bottom w:val="nil"/>
            </w:tcBorders>
          </w:tcPr>
          <w:p>
            <w:pPr>
              <w:pStyle w:val="TableParagraph"/>
              <w:spacing w:line="242"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ind w:right="127"/>
              <w:rPr>
                <w:sz w:val="22"/>
              </w:rPr>
            </w:pPr>
            <w:r>
              <w:rPr>
                <w:sz w:val="22"/>
              </w:rPr>
              <w:t>(27/I/2015)</w:t>
            </w:r>
          </w:p>
        </w:tc>
        <w:tc>
          <w:tcPr>
            <w:tcW w:w="1274" w:type="dxa"/>
            <w:tcBorders>
              <w:top w:val="nil"/>
            </w:tcBorders>
          </w:tcPr>
          <w:p>
            <w:pPr>
              <w:pStyle w:val="TableParagraph"/>
              <w:spacing w:line="241" w:lineRule="exact"/>
              <w:ind w:left="100" w:right="98"/>
              <w:rPr>
                <w:sz w:val="22"/>
              </w:rPr>
            </w:pPr>
            <w:r>
              <w:rPr>
                <w:sz w:val="22"/>
              </w:rPr>
              <w:t>ción</w:t>
            </w: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Arturo</w:t>
            </w:r>
          </w:p>
        </w:tc>
        <w:tc>
          <w:tcPr>
            <w:tcW w:w="1274" w:type="dxa"/>
            <w:tcBorders>
              <w:bottom w:val="nil"/>
            </w:tcBorders>
          </w:tcPr>
          <w:p>
            <w:pPr>
              <w:pStyle w:val="TableParagraph"/>
              <w:spacing w:line="251" w:lineRule="exact"/>
              <w:ind w:left="100" w:right="98"/>
              <w:rPr>
                <w:sz w:val="22"/>
              </w:rPr>
            </w:pPr>
            <w:r>
              <w:rPr>
                <w:sz w:val="22"/>
              </w:rPr>
              <w:t>Ingeniero</w:t>
            </w: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289" w:type="dxa"/>
            <w:tcBorders>
              <w:bottom w:val="nil"/>
            </w:tcBorders>
          </w:tcPr>
          <w:p>
            <w:pPr>
              <w:pStyle w:val="TableParagraph"/>
              <w:spacing w:line="251" w:lineRule="exact"/>
              <w:ind w:left="0" w:right="314"/>
              <w:jc w:val="right"/>
              <w:rPr>
                <w:sz w:val="22"/>
              </w:rPr>
            </w:pPr>
            <w:r>
              <w:rPr>
                <w:sz w:val="22"/>
              </w:rPr>
              <w:t>Arroyo</w:t>
            </w:r>
          </w:p>
        </w:tc>
        <w:tc>
          <w:tcPr>
            <w:tcW w:w="1174" w:type="dxa"/>
            <w:tcBorders>
              <w:bottom w:val="nil"/>
            </w:tcBorders>
          </w:tcPr>
          <w:p>
            <w:pPr>
              <w:pStyle w:val="TableParagraph"/>
              <w:spacing w:line="251" w:lineRule="exact"/>
              <w:ind w:left="0" w:right="257"/>
              <w:jc w:val="right"/>
              <w:rPr>
                <w:sz w:val="22"/>
              </w:rPr>
            </w:pPr>
            <w:r>
              <w:rPr>
                <w:sz w:val="22"/>
              </w:rPr>
              <w:t>Arroyo</w:t>
            </w:r>
          </w:p>
        </w:tc>
        <w:tc>
          <w:tcPr>
            <w:tcW w:w="2314" w:type="dxa"/>
            <w:tcBorders>
              <w:bottom w:val="nil"/>
            </w:tcBorders>
          </w:tcPr>
          <w:p>
            <w:pPr>
              <w:pStyle w:val="TableParagraph"/>
              <w:tabs>
                <w:tab w:pos="1650" w:val="left" w:leader="none"/>
              </w:tabs>
              <w:spacing w:line="251" w:lineRule="exact"/>
              <w:ind w:left="100"/>
              <w:rPr>
                <w:sz w:val="22"/>
              </w:rPr>
            </w:pPr>
            <w:r>
              <w:rPr>
                <w:sz w:val="22"/>
              </w:rPr>
              <w:t>Ahorita</w:t>
              <w:tab/>
              <w:t>hacer</w:t>
            </w:r>
          </w:p>
        </w:tc>
        <w:tc>
          <w:tcPr>
            <w:tcW w:w="3901" w:type="dxa"/>
            <w:tcBorders>
              <w:bottom w:val="nil"/>
            </w:tcBorders>
          </w:tcPr>
          <w:p>
            <w:pPr>
              <w:pStyle w:val="TableParagraph"/>
              <w:spacing w:line="251" w:lineRule="exact"/>
              <w:rPr>
                <w:sz w:val="22"/>
              </w:rPr>
            </w:pPr>
            <w:r>
              <w:rPr>
                <w:sz w:val="22"/>
              </w:rPr>
              <w:t>No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Becerril</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Departamento</w:t>
            </w:r>
          </w:p>
        </w:tc>
        <w:tc>
          <w:tcPr>
            <w:tcW w:w="1289" w:type="dxa"/>
            <w:tcBorders>
              <w:top w:val="nil"/>
              <w:bottom w:val="nil"/>
            </w:tcBorders>
          </w:tcPr>
          <w:p>
            <w:pPr>
              <w:pStyle w:val="TableParagraph"/>
              <w:spacing w:line="241" w:lineRule="exact"/>
              <w:ind w:left="0" w:right="325"/>
              <w:jc w:val="right"/>
              <w:rPr>
                <w:sz w:val="22"/>
              </w:rPr>
            </w:pPr>
            <w:r>
              <w:rPr>
                <w:sz w:val="22"/>
              </w:rPr>
              <w:t>Zarco,</w:t>
            </w:r>
          </w:p>
        </w:tc>
        <w:tc>
          <w:tcPr>
            <w:tcW w:w="1174" w:type="dxa"/>
            <w:tcBorders>
              <w:top w:val="nil"/>
              <w:bottom w:val="nil"/>
            </w:tcBorders>
          </w:tcPr>
          <w:p>
            <w:pPr>
              <w:pStyle w:val="TableParagraph"/>
              <w:spacing w:line="241" w:lineRule="exact"/>
              <w:ind w:left="0" w:right="267"/>
              <w:jc w:val="right"/>
              <w:rPr>
                <w:sz w:val="22"/>
              </w:rPr>
            </w:pPr>
            <w:r>
              <w:rPr>
                <w:sz w:val="22"/>
              </w:rPr>
              <w:t>Zarco,</w:t>
            </w:r>
          </w:p>
        </w:tc>
        <w:tc>
          <w:tcPr>
            <w:tcW w:w="2314" w:type="dxa"/>
            <w:tcBorders>
              <w:top w:val="nil"/>
              <w:bottom w:val="nil"/>
            </w:tcBorders>
          </w:tcPr>
          <w:p>
            <w:pPr>
              <w:pStyle w:val="TableParagraph"/>
              <w:spacing w:line="241" w:lineRule="exact"/>
              <w:ind w:left="100"/>
              <w:rPr>
                <w:sz w:val="22"/>
              </w:rPr>
            </w:pPr>
            <w:r>
              <w:rPr>
                <w:sz w:val="22"/>
              </w:rPr>
              <w:t>estudios  para  saber</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Ortega</w:t>
            </w:r>
          </w:p>
        </w:tc>
        <w:tc>
          <w:tcPr>
            <w:tcW w:w="1274" w:type="dxa"/>
            <w:tcBorders>
              <w:top w:val="nil"/>
              <w:bottom w:val="nil"/>
            </w:tcBorders>
          </w:tcPr>
          <w:p>
            <w:pPr>
              <w:pStyle w:val="TableParagraph"/>
              <w:spacing w:line="242" w:lineRule="exact"/>
              <w:ind w:left="100" w:right="98"/>
              <w:rPr>
                <w:sz w:val="22"/>
              </w:rPr>
            </w:pPr>
            <w:r>
              <w:rPr>
                <w:sz w:val="22"/>
              </w:rPr>
              <w:t>Sistemas</w:t>
            </w:r>
          </w:p>
        </w:tc>
        <w:tc>
          <w:tcPr>
            <w:tcW w:w="1887" w:type="dxa"/>
            <w:tcBorders>
              <w:top w:val="nil"/>
              <w:bottom w:val="nil"/>
            </w:tcBorders>
          </w:tcPr>
          <w:p>
            <w:pPr>
              <w:pStyle w:val="TableParagraph"/>
              <w:tabs>
                <w:tab w:pos="1149" w:val="left" w:leader="none"/>
              </w:tabs>
              <w:spacing w:line="242" w:lineRule="exact"/>
              <w:rPr>
                <w:sz w:val="22"/>
              </w:rPr>
            </w:pPr>
            <w:r>
              <w:rPr>
                <w:sz w:val="22"/>
              </w:rPr>
              <w:t>de</w:t>
              <w:tab/>
              <w:t>Aguas</w:t>
            </w:r>
          </w:p>
        </w:tc>
        <w:tc>
          <w:tcPr>
            <w:tcW w:w="1289" w:type="dxa"/>
            <w:tcBorders>
              <w:top w:val="nil"/>
              <w:bottom w:val="nil"/>
            </w:tcBorders>
          </w:tcPr>
          <w:p>
            <w:pPr>
              <w:pStyle w:val="TableParagraph"/>
              <w:spacing w:line="242" w:lineRule="exact"/>
              <w:ind w:left="0" w:right="307"/>
              <w:jc w:val="right"/>
              <w:rPr>
                <w:sz w:val="22"/>
              </w:rPr>
            </w:pPr>
            <w:r>
              <w:rPr>
                <w:sz w:val="22"/>
              </w:rPr>
              <w:t>Aculco</w:t>
            </w:r>
          </w:p>
        </w:tc>
        <w:tc>
          <w:tcPr>
            <w:tcW w:w="1174" w:type="dxa"/>
            <w:tcBorders>
              <w:top w:val="nil"/>
              <w:bottom w:val="nil"/>
            </w:tcBorders>
          </w:tcPr>
          <w:p>
            <w:pPr>
              <w:pStyle w:val="TableParagraph"/>
              <w:spacing w:line="242" w:lineRule="exact"/>
              <w:ind w:left="0" w:right="249"/>
              <w:jc w:val="right"/>
              <w:rPr>
                <w:sz w:val="22"/>
              </w:rPr>
            </w:pPr>
            <w:r>
              <w:rPr>
                <w:sz w:val="22"/>
              </w:rPr>
              <w:t>Aculco</w:t>
            </w:r>
          </w:p>
        </w:tc>
        <w:tc>
          <w:tcPr>
            <w:tcW w:w="2314" w:type="dxa"/>
            <w:tcBorders>
              <w:top w:val="nil"/>
              <w:bottom w:val="nil"/>
            </w:tcBorders>
          </w:tcPr>
          <w:p>
            <w:pPr>
              <w:pStyle w:val="TableParagraph"/>
              <w:spacing w:line="242" w:lineRule="exact"/>
              <w:ind w:left="100"/>
              <w:rPr>
                <w:sz w:val="22"/>
              </w:rPr>
            </w:pPr>
            <w:r>
              <w:rPr>
                <w:sz w:val="22"/>
              </w:rPr>
              <w:t>en   qué  condiciones</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3" w:val="left" w:leader="none"/>
              </w:tabs>
              <w:spacing w:line="241" w:lineRule="exact"/>
              <w:rPr>
                <w:sz w:val="22"/>
              </w:rPr>
            </w:pPr>
            <w:r>
              <w:rPr>
                <w:sz w:val="22"/>
              </w:rPr>
              <w:t>Residuales</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está.</w:t>
            </w: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ind w:right="127"/>
              <w:rPr>
                <w:sz w:val="22"/>
              </w:rPr>
            </w:pPr>
            <w:r>
              <w:rPr>
                <w:sz w:val="22"/>
              </w:rPr>
              <w:t>(27/I/2015)</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Saneamiento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4"/>
        <w:ind w:left="2357" w:right="778"/>
      </w:pPr>
      <w:r>
        <w:rPr/>
        <w:t>Tabla 6.10. Municipio de Aculco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8" w:right="4870"/>
              <w:jc w:val="center"/>
              <w:rPr>
                <w:b/>
                <w:sz w:val="22"/>
              </w:rPr>
            </w:pPr>
            <w:r>
              <w:rPr>
                <w:b/>
                <w:sz w:val="22"/>
              </w:rPr>
              <w:t>ACULCO</w:t>
            </w:r>
          </w:p>
        </w:tc>
      </w:tr>
      <w:tr>
        <w:trPr>
          <w:trHeight w:val="526" w:hRule="exact"/>
        </w:trPr>
        <w:tc>
          <w:tcPr>
            <w:tcW w:w="4547" w:type="dxa"/>
            <w:gridSpan w:val="3"/>
            <w:vMerge w:val="restart"/>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8"/>
              <w:ind w:left="0"/>
              <w:rPr>
                <w:b/>
                <w:sz w:val="21"/>
              </w:rPr>
            </w:pPr>
          </w:p>
          <w:p>
            <w:pPr>
              <w:pStyle w:val="TableParagraph"/>
              <w:ind w:left="2695"/>
              <w:rPr>
                <w:b/>
                <w:sz w:val="22"/>
              </w:rPr>
            </w:pPr>
            <w:r>
              <w:rPr>
                <w:b/>
                <w:sz w:val="22"/>
              </w:rPr>
              <w:t>PRINCIPIOS DE GOBERNANZA</w:t>
            </w:r>
          </w:p>
        </w:tc>
      </w:tr>
      <w:tr>
        <w:trPr>
          <w:trHeight w:val="516"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Autogestión</w:t>
            </w:r>
          </w:p>
        </w:tc>
        <w:tc>
          <w:tcPr>
            <w:tcW w:w="3901" w:type="dxa"/>
            <w:shd w:val="clear" w:color="auto" w:fill="92CDDC"/>
          </w:tcPr>
          <w:p>
            <w:pPr>
              <w:pStyle w:val="TableParagraph"/>
              <w:tabs>
                <w:tab w:pos="2147" w:val="left" w:leader="none"/>
                <w:tab w:pos="2696" w:val="left" w:leader="none"/>
              </w:tabs>
              <w:spacing w:line="252" w:lineRule="exact" w:before="2"/>
              <w:ind w:right="102"/>
              <w:rPr>
                <w:b/>
                <w:i/>
                <w:sz w:val="22"/>
              </w:rPr>
            </w:pPr>
            <w:r>
              <w:rPr>
                <w:b/>
                <w:i/>
                <w:sz w:val="22"/>
              </w:rPr>
              <w:t>Gobernabilidad</w:t>
              <w:tab/>
              <w:t>y</w:t>
              <w:tab/>
            </w:r>
            <w:r>
              <w:rPr>
                <w:b/>
                <w:i/>
                <w:spacing w:val="-1"/>
                <w:sz w:val="22"/>
              </w:rPr>
              <w:t>relaciones </w:t>
            </w:r>
            <w:r>
              <w:rPr>
                <w:b/>
                <w:i/>
                <w:sz w:val="22"/>
              </w:rPr>
              <w:t>intermunicipales</w:t>
            </w:r>
          </w:p>
        </w:tc>
      </w:tr>
      <w:tr>
        <w:trPr>
          <w:trHeight w:val="768"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52" w:lineRule="exact"/>
              <w:ind w:left="100" w:right="93"/>
              <w:rPr>
                <w:b/>
                <w:sz w:val="22"/>
              </w:rPr>
            </w:pPr>
            <w:r>
              <w:rPr>
                <w:b/>
                <w:sz w:val="22"/>
              </w:rPr>
              <w:t>Nivel Educativo</w:t>
            </w:r>
          </w:p>
        </w:tc>
        <w:tc>
          <w:tcPr>
            <w:tcW w:w="1887" w:type="dxa"/>
            <w:shd w:val="clear" w:color="auto" w:fill="F9BE8F"/>
          </w:tcPr>
          <w:p>
            <w:pPr>
              <w:pStyle w:val="TableParagraph"/>
              <w:spacing w:line="248" w:lineRule="exact"/>
              <w:rPr>
                <w:b/>
                <w:sz w:val="22"/>
              </w:rPr>
            </w:pPr>
            <w:r>
              <w:rPr>
                <w:b/>
                <w:sz w:val="22"/>
              </w:rPr>
              <w:t>Cargo Público</w:t>
            </w:r>
          </w:p>
        </w:tc>
        <w:tc>
          <w:tcPr>
            <w:tcW w:w="1289" w:type="dxa"/>
            <w:shd w:val="clear" w:color="auto" w:fill="92CDDC"/>
          </w:tcPr>
          <w:p>
            <w:pPr>
              <w:pStyle w:val="TableParagraph"/>
              <w:spacing w:line="252" w:lineRule="exact"/>
              <w:ind w:right="337"/>
              <w:rPr>
                <w:b/>
                <w:sz w:val="22"/>
              </w:rPr>
            </w:pPr>
            <w:r>
              <w:rPr>
                <w:b/>
                <w:sz w:val="22"/>
              </w:rPr>
              <w:t>¿Dónde nació?</w:t>
            </w:r>
          </w:p>
        </w:tc>
        <w:tc>
          <w:tcPr>
            <w:tcW w:w="1174" w:type="dxa"/>
            <w:shd w:val="clear" w:color="auto" w:fill="92CDDC"/>
          </w:tcPr>
          <w:p>
            <w:pPr>
              <w:pStyle w:val="TableParagraph"/>
              <w:spacing w:line="252" w:lineRule="exact"/>
              <w:ind w:right="222"/>
              <w:rPr>
                <w:b/>
                <w:sz w:val="22"/>
              </w:rPr>
            </w:pPr>
            <w:r>
              <w:rPr>
                <w:b/>
                <w:sz w:val="22"/>
              </w:rPr>
              <w:t>¿Dónde vive?</w:t>
            </w:r>
          </w:p>
        </w:tc>
        <w:tc>
          <w:tcPr>
            <w:tcW w:w="2314" w:type="dxa"/>
            <w:shd w:val="clear" w:color="auto" w:fill="92CDDC"/>
          </w:tcPr>
          <w:p>
            <w:pPr>
              <w:pStyle w:val="TableParagraph"/>
              <w:ind w:left="100" w:right="99"/>
              <w:jc w:val="both"/>
              <w:rPr>
                <w:b/>
                <w:sz w:val="22"/>
              </w:rPr>
            </w:pPr>
            <w:r>
              <w:rPr>
                <w:b/>
                <w:sz w:val="22"/>
              </w:rPr>
              <w:t>¿Cuál es el  principal beneficio que       recibe     </w:t>
            </w:r>
            <w:r>
              <w:rPr>
                <w:b/>
                <w:spacing w:val="8"/>
                <w:sz w:val="22"/>
              </w:rPr>
              <w:t> </w:t>
            </w:r>
            <w:r>
              <w:rPr>
                <w:b/>
                <w:sz w:val="22"/>
              </w:rPr>
              <w:t>su</w:t>
            </w:r>
          </w:p>
        </w:tc>
        <w:tc>
          <w:tcPr>
            <w:tcW w:w="3901" w:type="dxa"/>
            <w:shd w:val="clear" w:color="auto" w:fill="92CDDC"/>
          </w:tcPr>
          <w:p>
            <w:pPr>
              <w:pStyle w:val="TableParagraph"/>
              <w:ind w:right="100"/>
              <w:jc w:val="both"/>
              <w:rPr>
                <w:b/>
                <w:sz w:val="22"/>
              </w:rPr>
            </w:pPr>
            <w:r>
              <w:rPr>
                <w:b/>
                <w:sz w:val="22"/>
              </w:rPr>
              <w:t>¿Considera apropiado que exista un Comité Intermunicipal con su Reglamento para el uso, cuidado y</w:t>
            </w:r>
          </w:p>
        </w:tc>
      </w:tr>
    </w:tbl>
    <w:p>
      <w:pPr>
        <w:spacing w:after="0"/>
        <w:jc w:val="both"/>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768" w:hRule="exact"/>
        </w:trPr>
        <w:tc>
          <w:tcPr>
            <w:tcW w:w="1385" w:type="dxa"/>
            <w:shd w:val="clear" w:color="auto" w:fill="F9BE8F"/>
          </w:tcPr>
          <w:p>
            <w:pPr/>
          </w:p>
        </w:tc>
        <w:tc>
          <w:tcPr>
            <w:tcW w:w="1274" w:type="dxa"/>
            <w:shd w:val="clear" w:color="auto" w:fill="F9BE8F"/>
          </w:tcPr>
          <w:p>
            <w:pPr/>
          </w:p>
        </w:tc>
        <w:tc>
          <w:tcPr>
            <w:tcW w:w="1887" w:type="dxa"/>
            <w:shd w:val="clear" w:color="auto" w:fill="F9BE8F"/>
          </w:tcPr>
          <w:p>
            <w:pPr/>
          </w:p>
        </w:tc>
        <w:tc>
          <w:tcPr>
            <w:tcW w:w="1289" w:type="dxa"/>
            <w:shd w:val="clear" w:color="auto" w:fill="92CDDC"/>
          </w:tcPr>
          <w:p>
            <w:pPr/>
          </w:p>
        </w:tc>
        <w:tc>
          <w:tcPr>
            <w:tcW w:w="1174" w:type="dxa"/>
            <w:shd w:val="clear" w:color="auto" w:fill="92CDDC"/>
          </w:tcPr>
          <w:p>
            <w:pPr/>
          </w:p>
        </w:tc>
        <w:tc>
          <w:tcPr>
            <w:tcW w:w="2314" w:type="dxa"/>
            <w:shd w:val="clear" w:color="auto" w:fill="92CDDC"/>
          </w:tcPr>
          <w:p>
            <w:pPr>
              <w:pStyle w:val="TableParagraph"/>
              <w:tabs>
                <w:tab w:pos="1451" w:val="left" w:leader="none"/>
                <w:tab w:pos="1945" w:val="left" w:leader="none"/>
                <w:tab w:pos="2017" w:val="left" w:leader="none"/>
              </w:tabs>
              <w:spacing w:line="252" w:lineRule="exact"/>
              <w:ind w:left="100" w:right="98"/>
              <w:rPr>
                <w:b/>
                <w:sz w:val="22"/>
              </w:rPr>
            </w:pPr>
            <w:r>
              <w:rPr>
                <w:b/>
                <w:sz w:val="22"/>
              </w:rPr>
              <w:t>municipio</w:t>
              <w:tab/>
              <w:t>de</w:t>
              <w:tab/>
              <w:tab/>
              <w:t>la laguna</w:t>
              <w:tab/>
              <w:tab/>
              <w:t>de</w:t>
            </w:r>
          </w:p>
          <w:p>
            <w:pPr>
              <w:pStyle w:val="TableParagraph"/>
              <w:spacing w:line="251" w:lineRule="exact"/>
              <w:ind w:left="100"/>
              <w:rPr>
                <w:b/>
                <w:sz w:val="22"/>
              </w:rPr>
            </w:pPr>
            <w:r>
              <w:rPr>
                <w:b/>
                <w:sz w:val="22"/>
              </w:rPr>
              <w:t>Huapango?</w:t>
            </w:r>
          </w:p>
        </w:tc>
        <w:tc>
          <w:tcPr>
            <w:tcW w:w="3901" w:type="dxa"/>
            <w:shd w:val="clear" w:color="auto" w:fill="92CDDC"/>
          </w:tcPr>
          <w:p>
            <w:pPr>
              <w:pStyle w:val="TableParagraph"/>
              <w:tabs>
                <w:tab w:pos="1297" w:val="left" w:leader="none"/>
                <w:tab w:pos="1914" w:val="left" w:leader="none"/>
                <w:tab w:pos="2458" w:val="left" w:leader="none"/>
                <w:tab w:pos="3529" w:val="left" w:leader="none"/>
              </w:tabs>
              <w:spacing w:line="252" w:lineRule="exact"/>
              <w:ind w:right="102"/>
              <w:rPr>
                <w:b/>
                <w:sz w:val="22"/>
              </w:rPr>
            </w:pPr>
            <w:r>
              <w:rPr>
                <w:b/>
                <w:sz w:val="22"/>
              </w:rPr>
              <w:t>defensa</w:t>
              <w:tab/>
              <w:t>de</w:t>
              <w:tab/>
              <w:t>la</w:t>
              <w:tab/>
              <w:t>laguna</w:t>
              <w:tab/>
              <w:t>de Huapango?</w:t>
            </w:r>
          </w:p>
        </w:tc>
      </w:tr>
      <w:tr>
        <w:trPr>
          <w:trHeight w:val="267" w:hRule="exact"/>
        </w:trPr>
        <w:tc>
          <w:tcPr>
            <w:tcW w:w="1385" w:type="dxa"/>
            <w:tcBorders>
              <w:bottom w:val="nil"/>
            </w:tcBorders>
          </w:tcPr>
          <w:p>
            <w:pPr>
              <w:pStyle w:val="TableParagraph"/>
              <w:spacing w:line="251" w:lineRule="exact"/>
              <w:ind w:right="127"/>
              <w:rPr>
                <w:sz w:val="22"/>
              </w:rPr>
            </w:pPr>
            <w:r>
              <w:rPr>
                <w:sz w:val="22"/>
              </w:rPr>
              <w:t>Salvador</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spacing w:line="251" w:lineRule="exact"/>
              <w:rPr>
                <w:sz w:val="22"/>
              </w:rPr>
            </w:pPr>
            <w:r>
              <w:rPr>
                <w:sz w:val="22"/>
              </w:rPr>
              <w:t>Presidente</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tabs>
                <w:tab w:pos="1125" w:val="left" w:leader="none"/>
              </w:tabs>
              <w:spacing w:line="251" w:lineRule="exact"/>
              <w:ind w:left="100"/>
              <w:rPr>
                <w:sz w:val="22"/>
              </w:rPr>
            </w:pPr>
            <w:r>
              <w:rPr>
                <w:sz w:val="22"/>
              </w:rPr>
              <w:t>La</w:t>
              <w:tab/>
              <w:t>producción</w:t>
            </w:r>
          </w:p>
        </w:tc>
        <w:tc>
          <w:tcPr>
            <w:tcW w:w="3901" w:type="dxa"/>
            <w:tcBorders>
              <w:bottom w:val="nil"/>
            </w:tcBorders>
          </w:tcPr>
          <w:p>
            <w:pPr>
              <w:pStyle w:val="TableParagraph"/>
              <w:spacing w:line="251" w:lineRule="exact"/>
              <w:rPr>
                <w:sz w:val="22"/>
              </w:rPr>
            </w:pPr>
            <w:r>
              <w:rPr>
                <w:sz w:val="22"/>
              </w:rPr>
              <w:t>El  ordenamiento  es  federal </w:t>
            </w:r>
            <w:r>
              <w:rPr>
                <w:spacing w:val="56"/>
                <w:sz w:val="22"/>
              </w:rPr>
              <w:t> </w:t>
            </w:r>
            <w:r>
              <w:rPr>
                <w:sz w:val="22"/>
              </w:rPr>
              <w:t>porque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del Río</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agrícola   y </w:t>
            </w:r>
            <w:r>
              <w:rPr>
                <w:spacing w:val="50"/>
                <w:sz w:val="22"/>
              </w:rPr>
              <w:t> </w:t>
            </w:r>
            <w:r>
              <w:rPr>
                <w:sz w:val="22"/>
              </w:rPr>
              <w:t>pecuaria</w:t>
            </w:r>
          </w:p>
        </w:tc>
        <w:tc>
          <w:tcPr>
            <w:tcW w:w="3901" w:type="dxa"/>
            <w:tcBorders>
              <w:top w:val="nil"/>
              <w:bottom w:val="nil"/>
            </w:tcBorders>
          </w:tcPr>
          <w:p>
            <w:pPr>
              <w:pStyle w:val="TableParagraph"/>
              <w:spacing w:line="242" w:lineRule="exact"/>
              <w:rPr>
                <w:sz w:val="22"/>
              </w:rPr>
            </w:pPr>
            <w:r>
              <w:rPr>
                <w:sz w:val="22"/>
              </w:rPr>
              <w:t>aunque se tengan tierras  en la </w:t>
            </w:r>
            <w:r>
              <w:rPr>
                <w:spacing w:val="52"/>
                <w:sz w:val="22"/>
              </w:rPr>
              <w:t> </w:t>
            </w:r>
            <w:r>
              <w:rPr>
                <w:sz w:val="22"/>
              </w:rPr>
              <w:t>orilla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0" w:right="98"/>
              <w:rPr>
                <w:sz w:val="22"/>
              </w:rPr>
            </w:pPr>
            <w:r>
              <w:rPr>
                <w:sz w:val="22"/>
              </w:rPr>
              <w:t>Ciencias</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porque   el   agua  es</w:t>
            </w:r>
          </w:p>
        </w:tc>
        <w:tc>
          <w:tcPr>
            <w:tcW w:w="3901" w:type="dxa"/>
            <w:tcBorders>
              <w:top w:val="nil"/>
              <w:bottom w:val="nil"/>
            </w:tcBorders>
          </w:tcPr>
          <w:p>
            <w:pPr>
              <w:pStyle w:val="TableParagraph"/>
              <w:spacing w:line="241" w:lineRule="exact"/>
              <w:rPr>
                <w:sz w:val="22"/>
              </w:rPr>
            </w:pPr>
            <w:r>
              <w:rPr>
                <w:sz w:val="22"/>
              </w:rPr>
              <w:t>de   la   laguna   no   se   puede regar</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Políticas y</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oro molido.</w:t>
            </w:r>
          </w:p>
        </w:tc>
        <w:tc>
          <w:tcPr>
            <w:tcW w:w="3901" w:type="dxa"/>
            <w:tcBorders>
              <w:top w:val="nil"/>
              <w:bottom w:val="nil"/>
            </w:tcBorders>
          </w:tcPr>
          <w:p>
            <w:pPr>
              <w:pStyle w:val="TableParagraph"/>
              <w:spacing w:line="242" w:lineRule="exact"/>
              <w:rPr>
                <w:sz w:val="22"/>
              </w:rPr>
            </w:pPr>
            <w:r>
              <w:rPr>
                <w:sz w:val="22"/>
              </w:rPr>
              <w:t>porque no los dejan.</w:t>
            </w:r>
          </w:p>
        </w:tc>
      </w:tr>
      <w:tr>
        <w:trPr>
          <w:trHeight w:val="252" w:hRule="exact"/>
        </w:trPr>
        <w:tc>
          <w:tcPr>
            <w:tcW w:w="1385" w:type="dxa"/>
            <w:tcBorders>
              <w:top w:val="nil"/>
              <w:bottom w:val="nil"/>
            </w:tcBorders>
          </w:tcPr>
          <w:p>
            <w:pPr>
              <w:pStyle w:val="TableParagraph"/>
              <w:spacing w:line="241" w:lineRule="exact"/>
              <w:rPr>
                <w:sz w:val="22"/>
              </w:rPr>
            </w:pPr>
            <w:r>
              <w:rPr>
                <w:sz w:val="22"/>
              </w:rPr>
              <w:t>(18/7/2014)</w:t>
            </w:r>
          </w:p>
        </w:tc>
        <w:tc>
          <w:tcPr>
            <w:tcW w:w="1274" w:type="dxa"/>
            <w:tcBorders>
              <w:top w:val="nil"/>
              <w:bottom w:val="nil"/>
            </w:tcBorders>
          </w:tcPr>
          <w:p>
            <w:pPr>
              <w:pStyle w:val="TableParagraph"/>
              <w:spacing w:line="241" w:lineRule="exact"/>
              <w:ind w:left="100"/>
              <w:rPr>
                <w:sz w:val="22"/>
              </w:rPr>
            </w:pPr>
            <w:r>
              <w:rPr>
                <w:sz w:val="22"/>
              </w:rPr>
              <w:t>Administra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ción</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Style w:val="TableParagraph"/>
              <w:spacing w:line="242" w:lineRule="exact"/>
              <w:ind w:left="100" w:right="98"/>
              <w:rPr>
                <w:sz w:val="22"/>
              </w:rPr>
            </w:pPr>
            <w:r>
              <w:rPr>
                <w:sz w:val="22"/>
              </w:rPr>
              <w:t>Pública</w:t>
            </w: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Rosalba</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El riego.</w:t>
            </w:r>
          </w:p>
        </w:tc>
        <w:tc>
          <w:tcPr>
            <w:tcW w:w="3901" w:type="dxa"/>
            <w:tcBorders>
              <w:bottom w:val="nil"/>
            </w:tcBorders>
          </w:tcPr>
          <w:p>
            <w:pPr>
              <w:pStyle w:val="TableParagraph"/>
              <w:spacing w:line="251" w:lineRule="exact"/>
              <w:rPr>
                <w:sz w:val="22"/>
              </w:rPr>
            </w:pPr>
            <w:r>
              <w:rPr>
                <w:sz w:val="22"/>
              </w:rPr>
              <w:t>Sí, sería depurar el que ya existe.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Peralta</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Encargada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Tovar</w:t>
            </w:r>
          </w:p>
        </w:tc>
        <w:tc>
          <w:tcPr>
            <w:tcW w:w="1274" w:type="dxa"/>
            <w:tcBorders>
              <w:top w:val="nil"/>
              <w:bottom w:val="nil"/>
            </w:tcBorders>
          </w:tcPr>
          <w:p>
            <w:pPr>
              <w:pStyle w:val="TableParagraph"/>
              <w:spacing w:line="241" w:lineRule="exact"/>
              <w:ind w:left="100"/>
              <w:rPr>
                <w:sz w:val="22"/>
              </w:rPr>
            </w:pPr>
            <w:r>
              <w:rPr>
                <w:sz w:val="22"/>
              </w:rPr>
              <w:t>Educación</w:t>
            </w:r>
          </w:p>
        </w:tc>
        <w:tc>
          <w:tcPr>
            <w:tcW w:w="1887" w:type="dxa"/>
            <w:tcBorders>
              <w:top w:val="nil"/>
              <w:bottom w:val="nil"/>
            </w:tcBorders>
          </w:tcPr>
          <w:p>
            <w:pPr>
              <w:pStyle w:val="TableParagraph"/>
              <w:spacing w:line="241" w:lineRule="exact"/>
              <w:rPr>
                <w:sz w:val="22"/>
              </w:rPr>
            </w:pPr>
            <w:r>
              <w:rPr>
                <w:sz w:val="22"/>
              </w:rPr>
              <w:t>ecología 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Asuntos</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7" w:hRule="exact"/>
        </w:trPr>
        <w:tc>
          <w:tcPr>
            <w:tcW w:w="1385" w:type="dxa"/>
            <w:tcBorders>
              <w:top w:val="nil"/>
            </w:tcBorders>
          </w:tcPr>
          <w:p>
            <w:pPr>
              <w:pStyle w:val="TableParagraph"/>
              <w:spacing w:line="241" w:lineRule="exact"/>
              <w:rPr>
                <w:sz w:val="22"/>
              </w:rPr>
            </w:pPr>
            <w:r>
              <w:rPr>
                <w:sz w:val="22"/>
              </w:rPr>
              <w:t>(18/7/2014)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Indígenas</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9" w:hRule="exact"/>
        </w:trPr>
        <w:tc>
          <w:tcPr>
            <w:tcW w:w="1385" w:type="dxa"/>
            <w:tcBorders>
              <w:bottom w:val="nil"/>
            </w:tcBorders>
          </w:tcPr>
          <w:p>
            <w:pPr>
              <w:pStyle w:val="TableParagraph"/>
              <w:tabs>
                <w:tab w:pos="1029" w:val="left" w:leader="none"/>
              </w:tabs>
              <w:rPr>
                <w:sz w:val="22"/>
              </w:rPr>
            </w:pPr>
            <w:r>
              <w:rPr>
                <w:sz w:val="22"/>
              </w:rPr>
              <w:t>Yanet</w:t>
              <w:tab/>
              <w:t>de</w:t>
            </w:r>
          </w:p>
        </w:tc>
        <w:tc>
          <w:tcPr>
            <w:tcW w:w="1274" w:type="dxa"/>
            <w:tcBorders>
              <w:bottom w:val="nil"/>
            </w:tcBorders>
          </w:tcPr>
          <w:p>
            <w:pPr>
              <w:pStyle w:val="TableParagraph"/>
              <w:ind w:left="100"/>
              <w:rPr>
                <w:sz w:val="22"/>
              </w:rPr>
            </w:pPr>
            <w:r>
              <w:rPr>
                <w:sz w:val="22"/>
              </w:rPr>
              <w:t>Preparator</w:t>
            </w:r>
          </w:p>
        </w:tc>
        <w:tc>
          <w:tcPr>
            <w:tcW w:w="1887" w:type="dxa"/>
            <w:tcBorders>
              <w:bottom w:val="nil"/>
            </w:tcBorders>
          </w:tcPr>
          <w:p>
            <w:pPr>
              <w:pStyle w:val="TableParagraph"/>
              <w:rPr>
                <w:sz w:val="22"/>
              </w:rPr>
            </w:pPr>
            <w:r>
              <w:rPr>
                <w:sz w:val="22"/>
              </w:rPr>
              <w:t>Cuarto  Regidor.</w:t>
            </w:r>
          </w:p>
        </w:tc>
        <w:tc>
          <w:tcPr>
            <w:tcW w:w="1289" w:type="dxa"/>
            <w:tcBorders>
              <w:bottom w:val="nil"/>
            </w:tcBorders>
          </w:tcPr>
          <w:p>
            <w:pPr>
              <w:pStyle w:val="TableParagraph"/>
              <w:ind w:left="223"/>
              <w:rPr>
                <w:sz w:val="22"/>
              </w:rPr>
            </w:pPr>
            <w:r>
              <w:rPr>
                <w:sz w:val="22"/>
              </w:rPr>
              <w:t>Timilpan</w:t>
            </w:r>
          </w:p>
        </w:tc>
        <w:tc>
          <w:tcPr>
            <w:tcW w:w="1174" w:type="dxa"/>
            <w:tcBorders>
              <w:bottom w:val="nil"/>
            </w:tcBorders>
          </w:tcPr>
          <w:p>
            <w:pPr>
              <w:pStyle w:val="TableParagraph"/>
              <w:ind w:left="0" w:right="249"/>
              <w:jc w:val="right"/>
              <w:rPr>
                <w:sz w:val="22"/>
              </w:rPr>
            </w:pPr>
            <w:r>
              <w:rPr>
                <w:sz w:val="22"/>
              </w:rPr>
              <w:t>Aculco</w:t>
            </w:r>
          </w:p>
        </w:tc>
        <w:tc>
          <w:tcPr>
            <w:tcW w:w="2314" w:type="dxa"/>
            <w:tcBorders>
              <w:bottom w:val="nil"/>
            </w:tcBorders>
          </w:tcPr>
          <w:p>
            <w:pPr>
              <w:pStyle w:val="TableParagraph"/>
              <w:ind w:left="100"/>
              <w:rPr>
                <w:sz w:val="22"/>
              </w:rPr>
            </w:pPr>
            <w:r>
              <w:rPr>
                <w:sz w:val="22"/>
              </w:rPr>
              <w:t>El  principal beneficio</w:t>
            </w:r>
          </w:p>
        </w:tc>
        <w:tc>
          <w:tcPr>
            <w:tcW w:w="3901" w:type="dxa"/>
            <w:tcBorders>
              <w:bottom w:val="nil"/>
            </w:tcBorders>
          </w:tcPr>
          <w:p>
            <w:pPr>
              <w:pStyle w:val="TableParagraph"/>
              <w:rPr>
                <w:sz w:val="22"/>
              </w:rPr>
            </w:pPr>
            <w:r>
              <w:rPr>
                <w:sz w:val="22"/>
              </w:rPr>
              <w:t>Sí,   sería   importante   para   que no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Jesús</w:t>
            </w:r>
          </w:p>
        </w:tc>
        <w:tc>
          <w:tcPr>
            <w:tcW w:w="1274" w:type="dxa"/>
            <w:tcBorders>
              <w:top w:val="nil"/>
              <w:bottom w:val="nil"/>
            </w:tcBorders>
          </w:tcPr>
          <w:p>
            <w:pPr>
              <w:pStyle w:val="TableParagraph"/>
              <w:spacing w:line="241" w:lineRule="exact"/>
              <w:ind w:left="100" w:right="98"/>
              <w:rPr>
                <w:sz w:val="22"/>
              </w:rPr>
            </w:pPr>
            <w:r>
              <w:rPr>
                <w:sz w:val="22"/>
              </w:rPr>
              <w:t>ia</w:t>
            </w:r>
          </w:p>
        </w:tc>
        <w:tc>
          <w:tcPr>
            <w:tcW w:w="1887" w:type="dxa"/>
            <w:tcBorders>
              <w:top w:val="nil"/>
              <w:bottom w:val="nil"/>
            </w:tcBorders>
          </w:tcPr>
          <w:p>
            <w:pPr>
              <w:pStyle w:val="TableParagraph"/>
              <w:tabs>
                <w:tab w:pos="1528" w:val="left" w:leader="none"/>
              </w:tabs>
              <w:spacing w:line="241" w:lineRule="exact"/>
              <w:rPr>
                <w:sz w:val="22"/>
              </w:rPr>
            </w:pPr>
            <w:r>
              <w:rPr>
                <w:sz w:val="22"/>
              </w:rPr>
              <w:t>Encargada</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889" w:val="left" w:leader="none"/>
                <w:tab w:pos="2029" w:val="left" w:leader="none"/>
              </w:tabs>
              <w:spacing w:line="241" w:lineRule="exact"/>
              <w:ind w:left="100"/>
              <w:rPr>
                <w:sz w:val="22"/>
              </w:rPr>
            </w:pPr>
            <w:r>
              <w:rPr>
                <w:sz w:val="22"/>
              </w:rPr>
              <w:t>que</w:t>
              <w:tab/>
              <w:t>obtiene</w:t>
              <w:tab/>
              <w:t>el</w:t>
            </w:r>
          </w:p>
        </w:tc>
        <w:tc>
          <w:tcPr>
            <w:tcW w:w="3901" w:type="dxa"/>
            <w:tcBorders>
              <w:top w:val="nil"/>
              <w:bottom w:val="nil"/>
            </w:tcBorders>
          </w:tcPr>
          <w:p>
            <w:pPr>
              <w:pStyle w:val="TableParagraph"/>
              <w:tabs>
                <w:tab w:pos="1019" w:val="left" w:leader="none"/>
                <w:tab w:pos="2060" w:val="left" w:leader="none"/>
                <w:tab w:pos="2720" w:val="left" w:leader="none"/>
                <w:tab w:pos="3310" w:val="left" w:leader="none"/>
              </w:tabs>
              <w:spacing w:line="241" w:lineRule="exact"/>
              <w:rPr>
                <w:sz w:val="22"/>
              </w:rPr>
            </w:pPr>
            <w:r>
              <w:rPr>
                <w:sz w:val="22"/>
              </w:rPr>
              <w:t>existan</w:t>
              <w:tab/>
              <w:t>detalles,</w:t>
              <w:tab/>
              <w:t>para</w:t>
              <w:tab/>
              <w:t>que</w:t>
              <w:tab/>
              <w:t>haya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Carmen</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08" w:val="left" w:leader="none"/>
                <w:tab w:pos="2029" w:val="left" w:leader="none"/>
              </w:tabs>
              <w:spacing w:line="241" w:lineRule="exact"/>
              <w:ind w:left="100"/>
              <w:rPr>
                <w:sz w:val="22"/>
              </w:rPr>
            </w:pPr>
            <w:r>
              <w:rPr>
                <w:sz w:val="22"/>
              </w:rPr>
              <w:t>municipio</w:t>
              <w:tab/>
              <w:t>de</w:t>
              <w:tab/>
              <w:t>la</w:t>
            </w:r>
          </w:p>
        </w:tc>
        <w:tc>
          <w:tcPr>
            <w:tcW w:w="3901" w:type="dxa"/>
            <w:tcBorders>
              <w:top w:val="nil"/>
              <w:bottom w:val="nil"/>
            </w:tcBorders>
          </w:tcPr>
          <w:p>
            <w:pPr>
              <w:pStyle w:val="TableParagraph"/>
              <w:spacing w:line="241" w:lineRule="exact"/>
              <w:rPr>
                <w:sz w:val="22"/>
              </w:rPr>
            </w:pPr>
            <w:r>
              <w:rPr>
                <w:sz w:val="22"/>
              </w:rPr>
              <w:t>acuerdo y se respeten.</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3"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63" w:val="left" w:leader="none"/>
                <w:tab w:pos="1919" w:val="left" w:leader="none"/>
              </w:tabs>
              <w:spacing w:line="243" w:lineRule="exact"/>
              <w:ind w:left="100"/>
              <w:rPr>
                <w:sz w:val="22"/>
              </w:rPr>
            </w:pPr>
            <w:r>
              <w:rPr>
                <w:sz w:val="22"/>
              </w:rPr>
              <w:t>laguna</w:t>
              <w:tab/>
              <w:t>son</w:t>
              <w:tab/>
              <w:t>los</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833" w:val="left" w:leader="none"/>
              </w:tabs>
              <w:spacing w:line="241" w:lineRule="exact"/>
              <w:ind w:left="100"/>
              <w:rPr>
                <w:sz w:val="22"/>
              </w:rPr>
            </w:pPr>
            <w:r>
              <w:rPr>
                <w:sz w:val="22"/>
              </w:rPr>
              <w:t>comuneros</w:t>
              <w:tab/>
              <w:t>que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2" w:val="left" w:leader="none"/>
              </w:tabs>
              <w:spacing w:line="242" w:lineRule="exact"/>
              <w:rPr>
                <w:sz w:val="22"/>
              </w:rPr>
            </w:pPr>
            <w:r>
              <w:rPr>
                <w:sz w:val="22"/>
              </w:rPr>
              <w:t>Mercados</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riegan.</w:t>
            </w: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Tianguis</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9" w:hRule="exact"/>
        </w:trPr>
        <w:tc>
          <w:tcPr>
            <w:tcW w:w="1385" w:type="dxa"/>
            <w:tcBorders>
              <w:bottom w:val="nil"/>
            </w:tcBorders>
          </w:tcPr>
          <w:p>
            <w:pPr>
              <w:pStyle w:val="TableParagraph"/>
              <w:rPr>
                <w:sz w:val="22"/>
              </w:rPr>
            </w:pPr>
            <w:r>
              <w:rPr>
                <w:sz w:val="22"/>
              </w:rPr>
              <w:t>Edgar Nava</w:t>
            </w:r>
          </w:p>
        </w:tc>
        <w:tc>
          <w:tcPr>
            <w:tcW w:w="1274" w:type="dxa"/>
            <w:tcBorders>
              <w:bottom w:val="nil"/>
            </w:tcBorders>
          </w:tcPr>
          <w:p>
            <w:pPr>
              <w:pStyle w:val="TableParagraph"/>
              <w:ind w:left="105"/>
              <w:rPr>
                <w:sz w:val="22"/>
              </w:rPr>
            </w:pPr>
            <w:r>
              <w:rPr>
                <w:sz w:val="22"/>
              </w:rPr>
              <w:t>Licenciado</w:t>
            </w:r>
          </w:p>
        </w:tc>
        <w:tc>
          <w:tcPr>
            <w:tcW w:w="1887" w:type="dxa"/>
            <w:tcBorders>
              <w:bottom w:val="nil"/>
            </w:tcBorders>
          </w:tcPr>
          <w:p>
            <w:pPr>
              <w:pStyle w:val="TableParagraph"/>
              <w:tabs>
                <w:tab w:pos="1527" w:val="left" w:leader="none"/>
              </w:tabs>
              <w:rPr>
                <w:sz w:val="22"/>
              </w:rPr>
            </w:pPr>
            <w:r>
              <w:rPr>
                <w:sz w:val="22"/>
              </w:rPr>
              <w:t>Director</w:t>
              <w:tab/>
              <w:t>de</w:t>
            </w:r>
          </w:p>
        </w:tc>
        <w:tc>
          <w:tcPr>
            <w:tcW w:w="1289" w:type="dxa"/>
            <w:tcBorders>
              <w:bottom w:val="nil"/>
            </w:tcBorders>
          </w:tcPr>
          <w:p>
            <w:pPr>
              <w:pStyle w:val="TableParagraph"/>
              <w:ind w:left="309"/>
              <w:rPr>
                <w:sz w:val="22"/>
              </w:rPr>
            </w:pPr>
            <w:r>
              <w:rPr>
                <w:sz w:val="22"/>
              </w:rPr>
              <w:t>Toluca</w:t>
            </w:r>
          </w:p>
        </w:tc>
        <w:tc>
          <w:tcPr>
            <w:tcW w:w="1174" w:type="dxa"/>
            <w:tcBorders>
              <w:bottom w:val="nil"/>
            </w:tcBorders>
          </w:tcPr>
          <w:p>
            <w:pPr>
              <w:pStyle w:val="TableParagraph"/>
              <w:ind w:left="0" w:right="249"/>
              <w:jc w:val="right"/>
              <w:rPr>
                <w:sz w:val="22"/>
              </w:rPr>
            </w:pPr>
            <w:r>
              <w:rPr>
                <w:sz w:val="22"/>
              </w:rPr>
              <w:t>Aculco</w:t>
            </w:r>
          </w:p>
        </w:tc>
        <w:tc>
          <w:tcPr>
            <w:tcW w:w="2314" w:type="dxa"/>
            <w:tcBorders>
              <w:bottom w:val="nil"/>
            </w:tcBorders>
          </w:tcPr>
          <w:p>
            <w:pPr>
              <w:pStyle w:val="TableParagraph"/>
              <w:tabs>
                <w:tab w:pos="568" w:val="left" w:leader="none"/>
                <w:tab w:pos="1196" w:val="left" w:leader="none"/>
                <w:tab w:pos="1710" w:val="left" w:leader="none"/>
              </w:tabs>
              <w:ind w:left="100"/>
              <w:rPr>
                <w:sz w:val="22"/>
              </w:rPr>
            </w:pPr>
            <w:r>
              <w:rPr>
                <w:sz w:val="22"/>
              </w:rPr>
              <w:t>El</w:t>
              <w:tab/>
              <w:t>uso</w:t>
              <w:tab/>
              <w:t>de</w:t>
              <w:tab/>
              <w:t>riego</w:t>
            </w:r>
          </w:p>
        </w:tc>
        <w:tc>
          <w:tcPr>
            <w:tcW w:w="3901" w:type="dxa"/>
            <w:tcBorders>
              <w:bottom w:val="nil"/>
            </w:tcBorders>
          </w:tcPr>
          <w:p>
            <w:pPr>
              <w:pStyle w:val="TableParagraph"/>
              <w:rPr>
                <w:sz w:val="22"/>
              </w:rPr>
            </w:pPr>
            <w:r>
              <w:rPr>
                <w:sz w:val="22"/>
              </w:rPr>
              <w:t>Considero   que   la   federación debe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Hidalgo</w:t>
            </w:r>
          </w:p>
        </w:tc>
        <w:tc>
          <w:tcPr>
            <w:tcW w:w="1274" w:type="dxa"/>
            <w:tcBorders>
              <w:top w:val="nil"/>
              <w:bottom w:val="nil"/>
            </w:tcBorders>
          </w:tcPr>
          <w:p>
            <w:pPr>
              <w:pStyle w:val="TableParagraph"/>
              <w:spacing w:line="241" w:lineRule="exact"/>
              <w:ind w:left="105" w:right="105"/>
              <w:jc w:val="center"/>
              <w:rPr>
                <w:sz w:val="22"/>
              </w:rPr>
            </w:pPr>
            <w:r>
              <w:rPr>
                <w:sz w:val="22"/>
              </w:rPr>
              <w:t>en</w:t>
            </w:r>
          </w:p>
        </w:tc>
        <w:tc>
          <w:tcPr>
            <w:tcW w:w="1887" w:type="dxa"/>
            <w:tcBorders>
              <w:top w:val="nil"/>
              <w:bottom w:val="nil"/>
            </w:tcBorders>
          </w:tcPr>
          <w:p>
            <w:pPr>
              <w:pStyle w:val="TableParagraph"/>
              <w:tabs>
                <w:tab w:pos="1660" w:val="left" w:leader="none"/>
              </w:tabs>
              <w:spacing w:line="241" w:lineRule="exact"/>
              <w:rPr>
                <w:sz w:val="22"/>
              </w:rPr>
            </w:pPr>
            <w:r>
              <w:rPr>
                <w:sz w:val="22"/>
              </w:rPr>
              <w:t>Ecología</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agrícola.</w:t>
            </w:r>
          </w:p>
        </w:tc>
        <w:tc>
          <w:tcPr>
            <w:tcW w:w="3901" w:type="dxa"/>
            <w:tcBorders>
              <w:top w:val="nil"/>
              <w:bottom w:val="nil"/>
            </w:tcBorders>
          </w:tcPr>
          <w:p>
            <w:pPr>
              <w:pStyle w:val="TableParagraph"/>
              <w:spacing w:line="241" w:lineRule="exact"/>
              <w:rPr>
                <w:sz w:val="22"/>
              </w:rPr>
            </w:pPr>
            <w:r>
              <w:rPr>
                <w:sz w:val="22"/>
              </w:rPr>
              <w:t>tener  más  reguladas  las  descargas</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213" w:right="98"/>
              <w:rPr>
                <w:sz w:val="22"/>
              </w:rPr>
            </w:pPr>
            <w:r>
              <w:rPr>
                <w:sz w:val="22"/>
              </w:rPr>
              <w:t>Derecho</w:t>
            </w:r>
          </w:p>
        </w:tc>
        <w:tc>
          <w:tcPr>
            <w:tcW w:w="1887" w:type="dxa"/>
            <w:tcBorders>
              <w:top w:val="nil"/>
              <w:bottom w:val="nil"/>
            </w:tcBorders>
          </w:tcPr>
          <w:p>
            <w:pPr>
              <w:pStyle w:val="TableParagraph"/>
              <w:spacing w:line="241" w:lineRule="exact"/>
              <w:rPr>
                <w:sz w:val="22"/>
              </w:rPr>
            </w:pPr>
            <w:r>
              <w:rPr>
                <w:sz w:val="22"/>
              </w:rPr>
              <w:t>Medio Ambiente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que  se  generan  en  la   laguna    de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(21/I/2014)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Huapango,  al mismo  tiempo realizar</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estudios   de   bioquímica   sobre  las</w:t>
            </w: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descargas  y  normar  las  plantas  de</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tratamiento  que   descarguen  aguas</w:t>
            </w: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1" w:lineRule="exact"/>
              <w:rPr>
                <w:sz w:val="22"/>
              </w:rPr>
            </w:pPr>
            <w:r>
              <w:rPr>
                <w:sz w:val="22"/>
              </w:rPr>
              <w:t>residuales.</w:t>
            </w:r>
          </w:p>
        </w:tc>
      </w:tr>
      <w:tr>
        <w:trPr>
          <w:trHeight w:val="266"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Style w:val="TableParagraph"/>
              <w:spacing w:line="251" w:lineRule="exact"/>
              <w:ind w:left="170" w:right="98"/>
              <w:rPr>
                <w:sz w:val="22"/>
              </w:rPr>
            </w:pPr>
            <w:r>
              <w:rPr>
                <w:sz w:val="22"/>
              </w:rPr>
              <w:t>Ingeniero</w:t>
            </w: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2314" w:type="dxa"/>
            <w:tcBorders>
              <w:bottom w:val="nil"/>
            </w:tcBorders>
          </w:tcPr>
          <w:p>
            <w:pPr>
              <w:pStyle w:val="TableParagraph"/>
              <w:spacing w:line="251" w:lineRule="exact"/>
              <w:ind w:left="100"/>
              <w:rPr>
                <w:sz w:val="22"/>
              </w:rPr>
            </w:pPr>
            <w:r>
              <w:rPr>
                <w:sz w:val="22"/>
              </w:rPr>
              <w:t>El riego y la pesca.</w:t>
            </w:r>
          </w:p>
        </w:tc>
        <w:tc>
          <w:tcPr>
            <w:tcW w:w="3901" w:type="dxa"/>
            <w:tcBorders>
              <w:bottom w:val="nil"/>
            </w:tcBorders>
          </w:tcPr>
          <w:p>
            <w:pPr>
              <w:pStyle w:val="TableParagraph"/>
              <w:spacing w:line="251" w:lineRule="exact"/>
              <w:rPr>
                <w:sz w:val="22"/>
              </w:rPr>
            </w:pPr>
            <w:r>
              <w:rPr>
                <w:sz w:val="22"/>
              </w:rPr>
              <w:t>Sí porque eso ayudaría  a la    laguna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Andrade</w:t>
            </w:r>
          </w:p>
        </w:tc>
        <w:tc>
          <w:tcPr>
            <w:tcW w:w="1274" w:type="dxa"/>
            <w:tcBorders>
              <w:top w:val="nil"/>
              <w:bottom w:val="nil"/>
            </w:tcBorders>
          </w:tcPr>
          <w:p>
            <w:pPr>
              <w:pStyle w:val="TableParagraph"/>
              <w:spacing w:line="241" w:lineRule="exact"/>
              <w:ind w:left="122"/>
              <w:rPr>
                <w:sz w:val="22"/>
              </w:rPr>
            </w:pPr>
            <w:r>
              <w:rPr>
                <w:sz w:val="22"/>
              </w:rPr>
              <w:t>Agrónomo</w:t>
            </w: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para regular en cuestión de  sanidad,</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Lugo</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sino   hasta   un   futuro   quisiéramos</w:t>
            </w: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1" w:lineRule="exact"/>
              <w:rPr>
                <w:sz w:val="22"/>
              </w:rPr>
            </w:pPr>
            <w:r>
              <w:rPr>
                <w:sz w:val="22"/>
              </w:rPr>
              <w:t>hacer  algo  por  la  laguna,  ya   para</w:t>
            </w:r>
          </w:p>
        </w:tc>
      </w:tr>
    </w:tbl>
    <w:p>
      <w:pPr>
        <w:spacing w:after="0" w:line="241" w:lineRule="exact"/>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032"/>
        <w:gridCol w:w="282"/>
        <w:gridCol w:w="3901"/>
      </w:tblGrid>
      <w:tr>
        <w:trPr>
          <w:trHeight w:val="290" w:hRule="exact"/>
        </w:trPr>
        <w:tc>
          <w:tcPr>
            <w:tcW w:w="1385" w:type="dxa"/>
          </w:tcPr>
          <w:p>
            <w:pPr>
              <w:pStyle w:val="TableParagraph"/>
              <w:spacing w:line="251" w:lineRule="exact"/>
              <w:ind w:left="155"/>
              <w:rPr>
                <w:sz w:val="22"/>
              </w:rPr>
            </w:pPr>
            <w:r>
              <w:rPr>
                <w:sz w:val="22"/>
              </w:rPr>
              <w:t>(31/I/2015)</w:t>
            </w:r>
          </w:p>
        </w:tc>
        <w:tc>
          <w:tcPr>
            <w:tcW w:w="1274" w:type="dxa"/>
          </w:tcPr>
          <w:p>
            <w:pPr/>
          </w:p>
        </w:tc>
        <w:tc>
          <w:tcPr>
            <w:tcW w:w="1887" w:type="dxa"/>
          </w:tcPr>
          <w:p>
            <w:pPr/>
          </w:p>
        </w:tc>
        <w:tc>
          <w:tcPr>
            <w:tcW w:w="1289" w:type="dxa"/>
          </w:tcPr>
          <w:p>
            <w:pPr/>
          </w:p>
        </w:tc>
        <w:tc>
          <w:tcPr>
            <w:tcW w:w="1174" w:type="dxa"/>
          </w:tcPr>
          <w:p>
            <w:pPr/>
          </w:p>
        </w:tc>
        <w:tc>
          <w:tcPr>
            <w:tcW w:w="2314" w:type="dxa"/>
            <w:gridSpan w:val="2"/>
          </w:tcPr>
          <w:p>
            <w:pPr/>
          </w:p>
        </w:tc>
        <w:tc>
          <w:tcPr>
            <w:tcW w:w="3901" w:type="dxa"/>
          </w:tcPr>
          <w:p>
            <w:pPr>
              <w:pStyle w:val="TableParagraph"/>
              <w:spacing w:line="251" w:lineRule="exact"/>
              <w:rPr>
                <w:sz w:val="22"/>
              </w:rPr>
            </w:pPr>
            <w:r>
              <w:rPr>
                <w:sz w:val="22"/>
              </w:rPr>
              <w:t>qué.</w:t>
            </w:r>
          </w:p>
        </w:tc>
      </w:tr>
      <w:tr>
        <w:trPr>
          <w:trHeight w:val="267" w:hRule="exact"/>
        </w:trPr>
        <w:tc>
          <w:tcPr>
            <w:tcW w:w="1385" w:type="dxa"/>
            <w:tcBorders>
              <w:bottom w:val="nil"/>
            </w:tcBorders>
          </w:tcPr>
          <w:p>
            <w:pPr>
              <w:pStyle w:val="TableParagraph"/>
              <w:spacing w:line="251" w:lineRule="exact"/>
              <w:rPr>
                <w:sz w:val="22"/>
              </w:rPr>
            </w:pPr>
            <w:r>
              <w:rPr>
                <w:sz w:val="22"/>
              </w:rPr>
              <w:t>Isac del Río</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tabs>
                <w:tab w:pos="1528" w:val="left" w:leader="none"/>
              </w:tabs>
              <w:spacing w:line="251" w:lineRule="exact"/>
              <w:rPr>
                <w:sz w:val="22"/>
              </w:rPr>
            </w:pPr>
            <w:r>
              <w:rPr>
                <w:sz w:val="22"/>
              </w:rPr>
              <w:t>Coordinador</w:t>
              <w:tab/>
              <w:t>de</w:t>
            </w:r>
          </w:p>
        </w:tc>
        <w:tc>
          <w:tcPr>
            <w:tcW w:w="1289" w:type="dxa"/>
            <w:tcBorders>
              <w:bottom w:val="nil"/>
            </w:tcBorders>
          </w:tcPr>
          <w:p>
            <w:pPr>
              <w:pStyle w:val="TableParagraph"/>
              <w:spacing w:line="251" w:lineRule="exact"/>
              <w:ind w:left="136" w:right="136"/>
              <w:jc w:val="center"/>
              <w:rPr>
                <w:sz w:val="22"/>
              </w:rPr>
            </w:pPr>
            <w:r>
              <w:rPr>
                <w:sz w:val="22"/>
              </w:rPr>
              <w:t>Aculco</w:t>
            </w:r>
          </w:p>
        </w:tc>
        <w:tc>
          <w:tcPr>
            <w:tcW w:w="1174" w:type="dxa"/>
            <w:tcBorders>
              <w:bottom w:val="nil"/>
            </w:tcBorders>
          </w:tcPr>
          <w:p>
            <w:pPr>
              <w:pStyle w:val="TableParagraph"/>
              <w:spacing w:line="251" w:lineRule="exact"/>
              <w:ind w:left="0" w:right="249"/>
              <w:jc w:val="right"/>
              <w:rPr>
                <w:sz w:val="22"/>
              </w:rPr>
            </w:pPr>
            <w:r>
              <w:rPr>
                <w:sz w:val="22"/>
              </w:rPr>
              <w:t>Aculco</w:t>
            </w:r>
          </w:p>
        </w:tc>
        <w:tc>
          <w:tcPr>
            <w:tcW w:w="2314" w:type="dxa"/>
            <w:gridSpan w:val="2"/>
            <w:tcBorders>
              <w:bottom w:val="nil"/>
            </w:tcBorders>
          </w:tcPr>
          <w:p>
            <w:pPr>
              <w:pStyle w:val="TableParagraph"/>
              <w:spacing w:line="251" w:lineRule="exact"/>
              <w:ind w:left="100"/>
              <w:rPr>
                <w:sz w:val="22"/>
              </w:rPr>
            </w:pPr>
            <w:r>
              <w:rPr>
                <w:sz w:val="22"/>
              </w:rPr>
              <w:t>El riego y la pesca.</w:t>
            </w:r>
          </w:p>
        </w:tc>
        <w:tc>
          <w:tcPr>
            <w:tcW w:w="3901" w:type="dxa"/>
            <w:tcBorders>
              <w:bottom w:val="nil"/>
            </w:tcBorders>
          </w:tcPr>
          <w:p>
            <w:pPr>
              <w:pStyle w:val="TableParagraph"/>
              <w:spacing w:line="251" w:lineRule="exact"/>
              <w:rPr>
                <w:sz w:val="22"/>
              </w:rPr>
            </w:pPr>
            <w:r>
              <w:rPr>
                <w:sz w:val="22"/>
              </w:rPr>
              <w:t>Sí   debería   existir   para   que  cada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gridSpan w:val="2"/>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quien  ponga   lo  que  le   toca   para</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Comunica</w:t>
            </w:r>
          </w:p>
        </w:tc>
        <w:tc>
          <w:tcPr>
            <w:tcW w:w="1887" w:type="dxa"/>
            <w:tcBorders>
              <w:top w:val="nil"/>
              <w:bottom w:val="nil"/>
            </w:tcBorders>
          </w:tcPr>
          <w:p>
            <w:pPr>
              <w:pStyle w:val="TableParagraph"/>
              <w:spacing w:line="241"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314" w:type="dxa"/>
            <w:gridSpan w:val="2"/>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preservar el recurso del agua.</w:t>
            </w:r>
          </w:p>
        </w:tc>
      </w:tr>
      <w:tr>
        <w:trPr>
          <w:trHeight w:val="250" w:hRule="exact"/>
        </w:trPr>
        <w:tc>
          <w:tcPr>
            <w:tcW w:w="1385" w:type="dxa"/>
            <w:tcBorders>
              <w:top w:val="nil"/>
            </w:tcBorders>
          </w:tcPr>
          <w:p>
            <w:pPr>
              <w:pStyle w:val="TableParagraph"/>
              <w:spacing w:line="241" w:lineRule="exact"/>
              <w:ind w:right="127"/>
              <w:rPr>
                <w:sz w:val="22"/>
              </w:rPr>
            </w:pPr>
            <w:r>
              <w:rPr>
                <w:sz w:val="22"/>
              </w:rPr>
              <w:t>(27/I/2015)</w:t>
            </w:r>
          </w:p>
        </w:tc>
        <w:tc>
          <w:tcPr>
            <w:tcW w:w="1274" w:type="dxa"/>
            <w:tcBorders>
              <w:top w:val="nil"/>
            </w:tcBorders>
          </w:tcPr>
          <w:p>
            <w:pPr>
              <w:pStyle w:val="TableParagraph"/>
              <w:spacing w:line="241" w:lineRule="exact"/>
              <w:ind w:left="100" w:right="98"/>
              <w:rPr>
                <w:sz w:val="22"/>
              </w:rPr>
            </w:pPr>
            <w:r>
              <w:rPr>
                <w:sz w:val="22"/>
              </w:rPr>
              <w:t>ción</w:t>
            </w: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gridSpan w:val="2"/>
            <w:tcBorders>
              <w:top w:val="nil"/>
            </w:tcBorders>
          </w:tcPr>
          <w:p>
            <w:pP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Arturo</w:t>
            </w:r>
          </w:p>
        </w:tc>
        <w:tc>
          <w:tcPr>
            <w:tcW w:w="1274" w:type="dxa"/>
            <w:tcBorders>
              <w:bottom w:val="nil"/>
            </w:tcBorders>
          </w:tcPr>
          <w:p>
            <w:pPr>
              <w:pStyle w:val="TableParagraph"/>
              <w:spacing w:line="251" w:lineRule="exact"/>
              <w:ind w:left="100" w:right="98"/>
              <w:rPr>
                <w:sz w:val="22"/>
              </w:rPr>
            </w:pPr>
            <w:r>
              <w:rPr>
                <w:sz w:val="22"/>
              </w:rPr>
              <w:t>Ingeniero</w:t>
            </w: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289" w:type="dxa"/>
            <w:tcBorders>
              <w:bottom w:val="nil"/>
            </w:tcBorders>
          </w:tcPr>
          <w:p>
            <w:pPr>
              <w:pStyle w:val="TableParagraph"/>
              <w:spacing w:line="251" w:lineRule="exact"/>
              <w:ind w:left="136" w:right="136"/>
              <w:jc w:val="center"/>
              <w:rPr>
                <w:sz w:val="22"/>
              </w:rPr>
            </w:pPr>
            <w:r>
              <w:rPr>
                <w:sz w:val="22"/>
              </w:rPr>
              <w:t>Arroyo</w:t>
            </w:r>
          </w:p>
        </w:tc>
        <w:tc>
          <w:tcPr>
            <w:tcW w:w="1174" w:type="dxa"/>
            <w:tcBorders>
              <w:bottom w:val="nil"/>
            </w:tcBorders>
          </w:tcPr>
          <w:p>
            <w:pPr>
              <w:pStyle w:val="TableParagraph"/>
              <w:spacing w:line="251" w:lineRule="exact"/>
              <w:ind w:left="0" w:right="257"/>
              <w:jc w:val="right"/>
              <w:rPr>
                <w:sz w:val="22"/>
              </w:rPr>
            </w:pPr>
            <w:r>
              <w:rPr>
                <w:sz w:val="22"/>
              </w:rPr>
              <w:t>Arroyo</w:t>
            </w:r>
          </w:p>
        </w:tc>
        <w:tc>
          <w:tcPr>
            <w:tcW w:w="2032" w:type="dxa"/>
            <w:tcBorders>
              <w:bottom w:val="nil"/>
              <w:right w:val="nil"/>
            </w:tcBorders>
          </w:tcPr>
          <w:p>
            <w:pPr>
              <w:pStyle w:val="TableParagraph"/>
              <w:tabs>
                <w:tab w:pos="947" w:val="left" w:leader="none"/>
              </w:tabs>
              <w:spacing w:line="251" w:lineRule="exact"/>
              <w:ind w:left="100"/>
              <w:rPr>
                <w:sz w:val="22"/>
              </w:rPr>
            </w:pPr>
            <w:r>
              <w:rPr>
                <w:sz w:val="22"/>
              </w:rPr>
              <w:t>El</w:t>
              <w:tab/>
              <w:t>riego</w:t>
            </w:r>
          </w:p>
        </w:tc>
        <w:tc>
          <w:tcPr>
            <w:tcW w:w="282" w:type="dxa"/>
            <w:tcBorders>
              <w:left w:val="nil"/>
              <w:bottom w:val="nil"/>
            </w:tcBorders>
          </w:tcPr>
          <w:p>
            <w:pPr>
              <w:pStyle w:val="TableParagraph"/>
              <w:spacing w:line="251" w:lineRule="exact"/>
              <w:ind w:left="65"/>
              <w:rPr>
                <w:sz w:val="22"/>
              </w:rPr>
            </w:pPr>
            <w:r>
              <w:rPr>
                <w:w w:val="100"/>
                <w:sz w:val="22"/>
              </w:rPr>
              <w:t>y</w:t>
            </w:r>
          </w:p>
        </w:tc>
        <w:tc>
          <w:tcPr>
            <w:tcW w:w="3901" w:type="dxa"/>
            <w:tcBorders>
              <w:bottom w:val="nil"/>
            </w:tcBorders>
          </w:tcPr>
          <w:p>
            <w:pPr>
              <w:pStyle w:val="TableParagraph"/>
              <w:spacing w:line="251" w:lineRule="exact"/>
              <w:rPr>
                <w:sz w:val="22"/>
              </w:rPr>
            </w:pPr>
            <w:r>
              <w:rPr>
                <w:sz w:val="22"/>
              </w:rPr>
              <w:t>Sí sería muy bueno porque todos  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Becerril</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Departamento</w:t>
            </w:r>
          </w:p>
        </w:tc>
        <w:tc>
          <w:tcPr>
            <w:tcW w:w="1289" w:type="dxa"/>
            <w:tcBorders>
              <w:top w:val="nil"/>
              <w:bottom w:val="nil"/>
            </w:tcBorders>
          </w:tcPr>
          <w:p>
            <w:pPr>
              <w:pStyle w:val="TableParagraph"/>
              <w:spacing w:line="241" w:lineRule="exact"/>
              <w:ind w:left="136" w:right="136"/>
              <w:jc w:val="center"/>
              <w:rPr>
                <w:sz w:val="22"/>
              </w:rPr>
            </w:pPr>
            <w:r>
              <w:rPr>
                <w:sz w:val="22"/>
              </w:rPr>
              <w:t>Zarco,</w:t>
            </w:r>
          </w:p>
        </w:tc>
        <w:tc>
          <w:tcPr>
            <w:tcW w:w="1174" w:type="dxa"/>
            <w:tcBorders>
              <w:top w:val="nil"/>
              <w:bottom w:val="nil"/>
            </w:tcBorders>
          </w:tcPr>
          <w:p>
            <w:pPr>
              <w:pStyle w:val="TableParagraph"/>
              <w:spacing w:line="241" w:lineRule="exact"/>
              <w:ind w:left="0" w:right="267"/>
              <w:jc w:val="right"/>
              <w:rPr>
                <w:sz w:val="22"/>
              </w:rPr>
            </w:pPr>
            <w:r>
              <w:rPr>
                <w:sz w:val="22"/>
              </w:rPr>
              <w:t>Zarco,</w:t>
            </w:r>
          </w:p>
        </w:tc>
        <w:tc>
          <w:tcPr>
            <w:tcW w:w="2032" w:type="dxa"/>
            <w:tcBorders>
              <w:top w:val="nil"/>
              <w:bottom w:val="nil"/>
              <w:right w:val="nil"/>
            </w:tcBorders>
          </w:tcPr>
          <w:p>
            <w:pPr>
              <w:pStyle w:val="TableParagraph"/>
              <w:spacing w:line="241" w:lineRule="exact"/>
              <w:ind w:left="100"/>
              <w:rPr>
                <w:sz w:val="22"/>
              </w:rPr>
            </w:pPr>
            <w:r>
              <w:rPr>
                <w:sz w:val="22"/>
              </w:rPr>
              <w:t>abrevaderos.</w:t>
            </w:r>
          </w:p>
        </w:tc>
        <w:tc>
          <w:tcPr>
            <w:tcW w:w="282" w:type="dxa"/>
            <w:tcBorders>
              <w:top w:val="nil"/>
              <w:left w:val="nil"/>
              <w:bottom w:val="nil"/>
            </w:tcBorders>
          </w:tcPr>
          <w:p>
            <w:pPr/>
          </w:p>
        </w:tc>
        <w:tc>
          <w:tcPr>
            <w:tcW w:w="3901" w:type="dxa"/>
            <w:tcBorders>
              <w:top w:val="nil"/>
              <w:bottom w:val="nil"/>
            </w:tcBorders>
          </w:tcPr>
          <w:p>
            <w:pPr>
              <w:pStyle w:val="TableParagraph"/>
              <w:tabs>
                <w:tab w:pos="1391" w:val="left" w:leader="none"/>
                <w:tab w:pos="1873" w:val="left" w:leader="none"/>
                <w:tab w:pos="3121" w:val="left" w:leader="none"/>
                <w:tab w:pos="3615" w:val="left" w:leader="none"/>
              </w:tabs>
              <w:spacing w:line="241" w:lineRule="exact"/>
              <w:rPr>
                <w:sz w:val="22"/>
              </w:rPr>
            </w:pPr>
            <w:r>
              <w:rPr>
                <w:sz w:val="22"/>
              </w:rPr>
              <w:t>municipios</w:t>
              <w:tab/>
              <w:t>se</w:t>
              <w:tab/>
              <w:t>benefician</w:t>
              <w:tab/>
              <w:t>de</w:t>
              <w:tab/>
              <w:t>la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Ortega</w:t>
            </w:r>
          </w:p>
        </w:tc>
        <w:tc>
          <w:tcPr>
            <w:tcW w:w="1274" w:type="dxa"/>
            <w:tcBorders>
              <w:top w:val="nil"/>
              <w:bottom w:val="nil"/>
            </w:tcBorders>
          </w:tcPr>
          <w:p>
            <w:pPr>
              <w:pStyle w:val="TableParagraph"/>
              <w:spacing w:line="242" w:lineRule="exact"/>
              <w:ind w:left="100" w:right="98"/>
              <w:rPr>
                <w:sz w:val="22"/>
              </w:rPr>
            </w:pPr>
            <w:r>
              <w:rPr>
                <w:sz w:val="22"/>
              </w:rPr>
              <w:t>Sistemas</w:t>
            </w:r>
          </w:p>
        </w:tc>
        <w:tc>
          <w:tcPr>
            <w:tcW w:w="1887" w:type="dxa"/>
            <w:tcBorders>
              <w:top w:val="nil"/>
              <w:bottom w:val="nil"/>
            </w:tcBorders>
          </w:tcPr>
          <w:p>
            <w:pPr>
              <w:pStyle w:val="TableParagraph"/>
              <w:tabs>
                <w:tab w:pos="1149" w:val="left" w:leader="none"/>
              </w:tabs>
              <w:spacing w:line="242" w:lineRule="exact"/>
              <w:rPr>
                <w:sz w:val="22"/>
              </w:rPr>
            </w:pPr>
            <w:r>
              <w:rPr>
                <w:sz w:val="22"/>
              </w:rPr>
              <w:t>de</w:t>
              <w:tab/>
              <w:t>Aguas</w:t>
            </w:r>
          </w:p>
        </w:tc>
        <w:tc>
          <w:tcPr>
            <w:tcW w:w="1289" w:type="dxa"/>
            <w:tcBorders>
              <w:top w:val="nil"/>
              <w:bottom w:val="nil"/>
            </w:tcBorders>
          </w:tcPr>
          <w:p>
            <w:pPr>
              <w:pStyle w:val="TableParagraph"/>
              <w:spacing w:line="242" w:lineRule="exact"/>
              <w:ind w:left="136" w:right="136"/>
              <w:jc w:val="center"/>
              <w:rPr>
                <w:sz w:val="22"/>
              </w:rPr>
            </w:pPr>
            <w:r>
              <w:rPr>
                <w:sz w:val="22"/>
              </w:rPr>
              <w:t>Aculco</w:t>
            </w:r>
          </w:p>
        </w:tc>
        <w:tc>
          <w:tcPr>
            <w:tcW w:w="1174" w:type="dxa"/>
            <w:tcBorders>
              <w:top w:val="nil"/>
              <w:bottom w:val="nil"/>
            </w:tcBorders>
          </w:tcPr>
          <w:p>
            <w:pPr>
              <w:pStyle w:val="TableParagraph"/>
              <w:spacing w:line="242" w:lineRule="exact"/>
              <w:ind w:left="0" w:right="249"/>
              <w:jc w:val="right"/>
              <w:rPr>
                <w:sz w:val="22"/>
              </w:rPr>
            </w:pPr>
            <w:r>
              <w:rPr>
                <w:sz w:val="22"/>
              </w:rPr>
              <w:t>Aculco</w:t>
            </w:r>
          </w:p>
        </w:tc>
        <w:tc>
          <w:tcPr>
            <w:tcW w:w="2032" w:type="dxa"/>
            <w:tcBorders>
              <w:top w:val="nil"/>
              <w:bottom w:val="nil"/>
              <w:right w:val="nil"/>
            </w:tcBorders>
          </w:tcPr>
          <w:p>
            <w:pPr/>
          </w:p>
        </w:tc>
        <w:tc>
          <w:tcPr>
            <w:tcW w:w="282" w:type="dxa"/>
            <w:tcBorders>
              <w:top w:val="nil"/>
              <w:left w:val="nil"/>
              <w:bottom w:val="nil"/>
            </w:tcBorders>
          </w:tcPr>
          <w:p>
            <w:pPr/>
          </w:p>
        </w:tc>
        <w:tc>
          <w:tcPr>
            <w:tcW w:w="3901" w:type="dxa"/>
            <w:tcBorders>
              <w:top w:val="nil"/>
              <w:bottom w:val="nil"/>
            </w:tcBorders>
          </w:tcPr>
          <w:p>
            <w:pPr>
              <w:pStyle w:val="TableParagraph"/>
              <w:spacing w:line="242" w:lineRule="exact"/>
              <w:rPr>
                <w:sz w:val="22"/>
              </w:rPr>
            </w:pPr>
            <w:r>
              <w:rPr>
                <w:sz w:val="22"/>
              </w:rPr>
              <w:t>laguna,   y   como   dicen,   entre más</w:t>
            </w: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3" w:val="left" w:leader="none"/>
              </w:tabs>
              <w:spacing w:line="241" w:lineRule="exact"/>
              <w:rPr>
                <w:sz w:val="22"/>
              </w:rPr>
            </w:pPr>
            <w:r>
              <w:rPr>
                <w:sz w:val="22"/>
              </w:rPr>
              <w:t>Residuales</w:t>
              <w:tab/>
              <w:t>y</w:t>
            </w:r>
          </w:p>
        </w:tc>
        <w:tc>
          <w:tcPr>
            <w:tcW w:w="1289" w:type="dxa"/>
            <w:tcBorders>
              <w:top w:val="nil"/>
              <w:bottom w:val="nil"/>
            </w:tcBorders>
          </w:tcPr>
          <w:p>
            <w:pPr/>
          </w:p>
        </w:tc>
        <w:tc>
          <w:tcPr>
            <w:tcW w:w="1174" w:type="dxa"/>
            <w:tcBorders>
              <w:top w:val="nil"/>
              <w:bottom w:val="nil"/>
            </w:tcBorders>
          </w:tcPr>
          <w:p>
            <w:pPr/>
          </w:p>
        </w:tc>
        <w:tc>
          <w:tcPr>
            <w:tcW w:w="2032" w:type="dxa"/>
            <w:tcBorders>
              <w:top w:val="nil"/>
              <w:bottom w:val="nil"/>
              <w:right w:val="nil"/>
            </w:tcBorders>
          </w:tcPr>
          <w:p>
            <w:pPr/>
          </w:p>
        </w:tc>
        <w:tc>
          <w:tcPr>
            <w:tcW w:w="282" w:type="dxa"/>
            <w:tcBorders>
              <w:top w:val="nil"/>
              <w:left w:val="nil"/>
              <w:bottom w:val="nil"/>
            </w:tcBorders>
          </w:tcPr>
          <w:p>
            <w:pPr/>
          </w:p>
        </w:tc>
        <w:tc>
          <w:tcPr>
            <w:tcW w:w="3901" w:type="dxa"/>
            <w:tcBorders>
              <w:top w:val="nil"/>
              <w:bottom w:val="nil"/>
            </w:tcBorders>
          </w:tcPr>
          <w:p>
            <w:pPr>
              <w:pStyle w:val="TableParagraph"/>
              <w:spacing w:line="241" w:lineRule="exact"/>
              <w:rPr>
                <w:sz w:val="22"/>
              </w:rPr>
            </w:pPr>
            <w:r>
              <w:rPr>
                <w:sz w:val="22"/>
              </w:rPr>
              <w:t>gente cargue el muerto pesa menos.</w:t>
            </w:r>
          </w:p>
        </w:tc>
      </w:tr>
      <w:tr>
        <w:trPr>
          <w:trHeight w:val="249" w:hRule="exact"/>
        </w:trPr>
        <w:tc>
          <w:tcPr>
            <w:tcW w:w="1385" w:type="dxa"/>
            <w:tcBorders>
              <w:top w:val="nil"/>
            </w:tcBorders>
          </w:tcPr>
          <w:p>
            <w:pPr>
              <w:pStyle w:val="TableParagraph"/>
              <w:spacing w:line="242" w:lineRule="exact"/>
              <w:ind w:right="127"/>
              <w:rPr>
                <w:sz w:val="22"/>
              </w:rPr>
            </w:pPr>
            <w:r>
              <w:rPr>
                <w:sz w:val="22"/>
              </w:rPr>
              <w:t>(27/I/2015)</w:t>
            </w: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Saneamiento</w:t>
            </w:r>
          </w:p>
        </w:tc>
        <w:tc>
          <w:tcPr>
            <w:tcW w:w="1289" w:type="dxa"/>
            <w:tcBorders>
              <w:top w:val="nil"/>
            </w:tcBorders>
          </w:tcPr>
          <w:p>
            <w:pPr/>
          </w:p>
        </w:tc>
        <w:tc>
          <w:tcPr>
            <w:tcW w:w="1174" w:type="dxa"/>
            <w:tcBorders>
              <w:top w:val="nil"/>
            </w:tcBorders>
          </w:tcPr>
          <w:p>
            <w:pPr/>
          </w:p>
        </w:tc>
        <w:tc>
          <w:tcPr>
            <w:tcW w:w="2032" w:type="dxa"/>
            <w:tcBorders>
              <w:top w:val="nil"/>
              <w:right w:val="nil"/>
            </w:tcBorders>
          </w:tcPr>
          <w:p>
            <w:pPr/>
          </w:p>
        </w:tc>
        <w:tc>
          <w:tcPr>
            <w:tcW w:w="282" w:type="dxa"/>
            <w:tcBorders>
              <w:top w:val="nil"/>
              <w:left w:val="nil"/>
            </w:tcBorders>
          </w:tcPr>
          <w:p>
            <w:pPr/>
          </w:p>
        </w:tc>
        <w:tc>
          <w:tcPr>
            <w:tcW w:w="3901"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4"/>
        <w:ind w:left="2357" w:right="778"/>
      </w:pPr>
      <w:r>
        <w:rPr/>
        <w:t>Tabla 6.10. Municipio de Aculco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6215"/>
      </w:tblGrid>
      <w:tr>
        <w:trPr>
          <w:trHeight w:val="292" w:hRule="exact"/>
        </w:trPr>
        <w:tc>
          <w:tcPr>
            <w:tcW w:w="13224" w:type="dxa"/>
            <w:gridSpan w:val="6"/>
            <w:shd w:val="clear" w:color="auto" w:fill="9BBA58"/>
          </w:tcPr>
          <w:p>
            <w:pPr>
              <w:pStyle w:val="TableParagraph"/>
              <w:spacing w:line="248" w:lineRule="exact"/>
              <w:ind w:left="4868" w:right="4870"/>
              <w:jc w:val="center"/>
              <w:rPr>
                <w:b/>
                <w:sz w:val="22"/>
              </w:rPr>
            </w:pPr>
            <w:r>
              <w:rPr>
                <w:b/>
                <w:sz w:val="22"/>
              </w:rPr>
              <w:t>ACULCO</w:t>
            </w:r>
          </w:p>
        </w:tc>
      </w:tr>
      <w:tr>
        <w:trPr>
          <w:trHeight w:val="524" w:hRule="exact"/>
        </w:trPr>
        <w:tc>
          <w:tcPr>
            <w:tcW w:w="4547" w:type="dxa"/>
            <w:gridSpan w:val="3"/>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3"/>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516"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6215" w:type="dxa"/>
            <w:shd w:val="clear" w:color="auto" w:fill="92CDDC"/>
          </w:tcPr>
          <w:p>
            <w:pPr>
              <w:pStyle w:val="TableParagraph"/>
              <w:tabs>
                <w:tab w:pos="1737" w:val="left" w:leader="none"/>
                <w:tab w:pos="3415" w:val="left" w:leader="none"/>
                <w:tab w:pos="3765" w:val="left" w:leader="none"/>
                <w:tab w:pos="5432" w:val="left" w:leader="none"/>
                <w:tab w:pos="5917" w:val="left" w:leader="none"/>
              </w:tabs>
              <w:spacing w:line="242" w:lineRule="auto"/>
              <w:ind w:left="100" w:right="100"/>
              <w:rPr>
                <w:b/>
                <w:i/>
                <w:sz w:val="22"/>
              </w:rPr>
            </w:pPr>
            <w:r>
              <w:rPr>
                <w:b/>
                <w:i/>
                <w:sz w:val="22"/>
              </w:rPr>
              <w:t>Cooperación,</w:t>
              <w:tab/>
              <w:t>democracia</w:t>
              <w:tab/>
              <w:t>y</w:t>
              <w:tab/>
              <w:t>voluntariedad</w:t>
              <w:tab/>
              <w:t>de</w:t>
              <w:tab/>
              <w:t>la </w:t>
            </w:r>
            <w:r>
              <w:rPr>
                <w:b/>
                <w:i/>
                <w:sz w:val="22"/>
              </w:rPr>
              <w:t>sociedad, participación</w:t>
            </w:r>
            <w:r>
              <w:rPr>
                <w:b/>
                <w:i/>
                <w:spacing w:val="-6"/>
                <w:sz w:val="22"/>
              </w:rPr>
              <w:t> </w:t>
            </w:r>
            <w:r>
              <w:rPr>
                <w:b/>
                <w:i/>
                <w:sz w:val="22"/>
              </w:rPr>
              <w:t>social</w:t>
            </w:r>
          </w:p>
        </w:tc>
      </w:tr>
      <w:tr>
        <w:trPr>
          <w:trHeight w:val="771"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42" w:lineRule="auto"/>
              <w:ind w:left="100" w:right="93"/>
              <w:rPr>
                <w:b/>
                <w:sz w:val="22"/>
              </w:rPr>
            </w:pPr>
            <w:r>
              <w:rPr>
                <w:b/>
                <w:sz w:val="22"/>
              </w:rPr>
              <w:t>Nivel Educativo</w:t>
            </w:r>
          </w:p>
        </w:tc>
        <w:tc>
          <w:tcPr>
            <w:tcW w:w="1887" w:type="dxa"/>
            <w:shd w:val="clear" w:color="auto" w:fill="F9BE8F"/>
          </w:tcPr>
          <w:p>
            <w:pPr>
              <w:pStyle w:val="TableParagraph"/>
              <w:spacing w:line="249" w:lineRule="exact"/>
              <w:rPr>
                <w:b/>
                <w:sz w:val="22"/>
              </w:rPr>
            </w:pPr>
            <w:r>
              <w:rPr>
                <w:b/>
                <w:sz w:val="22"/>
              </w:rPr>
              <w:t>Cargo Público</w:t>
            </w:r>
          </w:p>
        </w:tc>
        <w:tc>
          <w:tcPr>
            <w:tcW w:w="1289" w:type="dxa"/>
            <w:shd w:val="clear" w:color="auto" w:fill="92CDDC"/>
          </w:tcPr>
          <w:p>
            <w:pPr>
              <w:pStyle w:val="TableParagraph"/>
              <w:spacing w:line="242" w:lineRule="auto"/>
              <w:ind w:right="337"/>
              <w:rPr>
                <w:b/>
                <w:sz w:val="22"/>
              </w:rPr>
            </w:pPr>
            <w:r>
              <w:rPr>
                <w:b/>
                <w:sz w:val="22"/>
              </w:rPr>
              <w:t>¿Dónde nació?</w:t>
            </w:r>
          </w:p>
        </w:tc>
        <w:tc>
          <w:tcPr>
            <w:tcW w:w="1174" w:type="dxa"/>
            <w:shd w:val="clear" w:color="auto" w:fill="92CDDC"/>
          </w:tcPr>
          <w:p>
            <w:pPr>
              <w:pStyle w:val="TableParagraph"/>
              <w:spacing w:line="242" w:lineRule="auto"/>
              <w:ind w:right="222"/>
              <w:rPr>
                <w:b/>
                <w:sz w:val="22"/>
              </w:rPr>
            </w:pPr>
            <w:r>
              <w:rPr>
                <w:b/>
                <w:sz w:val="22"/>
              </w:rPr>
              <w:t>¿Dónde vive?</w:t>
            </w:r>
          </w:p>
        </w:tc>
        <w:tc>
          <w:tcPr>
            <w:tcW w:w="6215" w:type="dxa"/>
            <w:shd w:val="clear" w:color="auto" w:fill="92CDDC"/>
          </w:tcPr>
          <w:p>
            <w:pPr>
              <w:pStyle w:val="TableParagraph"/>
              <w:spacing w:line="242" w:lineRule="auto"/>
              <w:ind w:left="100" w:right="105"/>
              <w:rPr>
                <w:b/>
                <w:sz w:val="22"/>
              </w:rPr>
            </w:pPr>
            <w:r>
              <w:rPr>
                <w:b/>
                <w:sz w:val="22"/>
              </w:rPr>
              <w:t>¿Estaría usted dispuesto a asistir a una reunión para tratar asuntos relacionados con la laguna de Huapango?</w:t>
            </w:r>
          </w:p>
        </w:tc>
      </w:tr>
      <w:tr>
        <w:trPr>
          <w:trHeight w:val="266" w:hRule="exact"/>
        </w:trPr>
        <w:tc>
          <w:tcPr>
            <w:tcW w:w="1385" w:type="dxa"/>
            <w:tcBorders>
              <w:bottom w:val="nil"/>
            </w:tcBorders>
          </w:tcPr>
          <w:p>
            <w:pPr>
              <w:pStyle w:val="TableParagraph"/>
              <w:spacing w:line="251" w:lineRule="exact"/>
              <w:ind w:right="127"/>
              <w:rPr>
                <w:sz w:val="22"/>
              </w:rPr>
            </w:pPr>
            <w:r>
              <w:rPr>
                <w:sz w:val="22"/>
              </w:rPr>
              <w:t>Salvador</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spacing w:line="251" w:lineRule="exact"/>
              <w:rPr>
                <w:sz w:val="22"/>
              </w:rPr>
            </w:pPr>
            <w:r>
              <w:rPr>
                <w:sz w:val="22"/>
              </w:rPr>
              <w:t>Presidente</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6215" w:type="dxa"/>
            <w:tcBorders>
              <w:bottom w:val="nil"/>
            </w:tcBorders>
          </w:tcPr>
          <w:p>
            <w:pPr>
              <w:pStyle w:val="TableParagraph"/>
              <w:spacing w:line="251" w:lineRule="exact"/>
              <w:ind w:left="100" w:right="105"/>
              <w:rPr>
                <w:sz w:val="22"/>
              </w:rPr>
            </w:pPr>
            <w:r>
              <w:rPr>
                <w:sz w:val="22"/>
              </w:rPr>
              <w:t>Sí asistiría a una reunión para tratar asuntos relacionados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del Río</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1" w:lineRule="exact"/>
              <w:ind w:left="100"/>
              <w:rPr>
                <w:sz w:val="22"/>
              </w:rPr>
            </w:pPr>
            <w:r>
              <w:rPr>
                <w:sz w:val="22"/>
              </w:rPr>
              <w:t>con  la  laguna,  porque  cuando  ha  habido  reuniones  en 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0" w:right="98"/>
              <w:rPr>
                <w:sz w:val="22"/>
              </w:rPr>
            </w:pPr>
            <w:r>
              <w:rPr>
                <w:sz w:val="22"/>
              </w:rPr>
              <w:t>Ciencias</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1" w:lineRule="exact"/>
              <w:ind w:left="100" w:right="105"/>
              <w:rPr>
                <w:sz w:val="22"/>
              </w:rPr>
            </w:pPr>
            <w:r>
              <w:rPr>
                <w:sz w:val="22"/>
              </w:rPr>
              <w:t>módulo de riego no se me invita como Presidente  municipal,</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Políticas y</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2" w:lineRule="exact"/>
              <w:ind w:left="100"/>
              <w:rPr>
                <w:sz w:val="22"/>
              </w:rPr>
            </w:pPr>
            <w:r>
              <w:rPr>
                <w:sz w:val="22"/>
              </w:rPr>
              <w:t>sólo asisten los permisionarios; hacen reuniones con </w:t>
            </w:r>
            <w:r>
              <w:rPr>
                <w:spacing w:val="54"/>
                <w:sz w:val="22"/>
              </w:rPr>
              <w:t> </w:t>
            </w:r>
            <w:r>
              <w:rPr>
                <w:sz w:val="22"/>
              </w:rPr>
              <w:t>motivo</w:t>
            </w:r>
          </w:p>
        </w:tc>
      </w:tr>
      <w:tr>
        <w:trPr>
          <w:trHeight w:val="253" w:hRule="exact"/>
        </w:trPr>
        <w:tc>
          <w:tcPr>
            <w:tcW w:w="1385" w:type="dxa"/>
            <w:tcBorders>
              <w:top w:val="nil"/>
              <w:bottom w:val="nil"/>
            </w:tcBorders>
          </w:tcPr>
          <w:p>
            <w:pPr>
              <w:pStyle w:val="TableParagraph"/>
              <w:spacing w:line="241" w:lineRule="exact"/>
              <w:rPr>
                <w:sz w:val="22"/>
              </w:rPr>
            </w:pPr>
            <w:r>
              <w:rPr>
                <w:sz w:val="22"/>
              </w:rPr>
              <w:t>(18/7/2014)</w:t>
            </w:r>
          </w:p>
        </w:tc>
        <w:tc>
          <w:tcPr>
            <w:tcW w:w="1274" w:type="dxa"/>
            <w:tcBorders>
              <w:top w:val="nil"/>
              <w:bottom w:val="nil"/>
            </w:tcBorders>
          </w:tcPr>
          <w:p>
            <w:pPr>
              <w:pStyle w:val="TableParagraph"/>
              <w:spacing w:line="241" w:lineRule="exact"/>
              <w:ind w:left="100"/>
              <w:rPr>
                <w:sz w:val="22"/>
              </w:rPr>
            </w:pPr>
            <w:r>
              <w:rPr>
                <w:sz w:val="22"/>
              </w:rPr>
              <w:t>Administra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1" w:lineRule="exact"/>
              <w:ind w:left="100" w:right="105"/>
              <w:rPr>
                <w:sz w:val="22"/>
              </w:rPr>
            </w:pPr>
            <w:r>
              <w:rPr>
                <w:sz w:val="22"/>
              </w:rPr>
              <w:t>de  actualización  del  padrón  de  beneficiarios  y  cuándo  el</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ción</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2" w:lineRule="exact"/>
              <w:ind w:left="100" w:right="105"/>
              <w:rPr>
                <w:sz w:val="22"/>
              </w:rPr>
            </w:pPr>
            <w:r>
              <w:rPr>
                <w:sz w:val="22"/>
              </w:rPr>
              <w:t>Comité es removido.</w:t>
            </w:r>
          </w:p>
        </w:tc>
      </w:tr>
      <w:tr>
        <w:trPr>
          <w:trHeight w:val="250" w:hRule="exact"/>
        </w:trPr>
        <w:tc>
          <w:tcPr>
            <w:tcW w:w="1385" w:type="dxa"/>
            <w:tcBorders>
              <w:top w:val="nil"/>
            </w:tcBorders>
          </w:tcPr>
          <w:p>
            <w:pPr/>
          </w:p>
        </w:tc>
        <w:tc>
          <w:tcPr>
            <w:tcW w:w="1274" w:type="dxa"/>
            <w:tcBorders>
              <w:top w:val="nil"/>
            </w:tcBorders>
          </w:tcPr>
          <w:p>
            <w:pPr>
              <w:pStyle w:val="TableParagraph"/>
              <w:spacing w:line="241" w:lineRule="exact"/>
              <w:ind w:left="100" w:right="98"/>
              <w:rPr>
                <w:sz w:val="22"/>
              </w:rPr>
            </w:pPr>
            <w:r>
              <w:rPr>
                <w:sz w:val="22"/>
              </w:rPr>
              <w:t>Pública</w:t>
            </w: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6215"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Rosalba</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Aculco</w:t>
            </w:r>
          </w:p>
        </w:tc>
        <w:tc>
          <w:tcPr>
            <w:tcW w:w="1174" w:type="dxa"/>
            <w:tcBorders>
              <w:bottom w:val="nil"/>
            </w:tcBorders>
          </w:tcPr>
          <w:p>
            <w:pPr>
              <w:pStyle w:val="TableParagraph"/>
              <w:spacing w:line="251" w:lineRule="exact"/>
              <w:rPr>
                <w:sz w:val="22"/>
              </w:rPr>
            </w:pPr>
            <w:r>
              <w:rPr>
                <w:sz w:val="22"/>
              </w:rPr>
              <w:t>Aculco</w:t>
            </w:r>
          </w:p>
        </w:tc>
        <w:tc>
          <w:tcPr>
            <w:tcW w:w="6215" w:type="dxa"/>
            <w:tcBorders>
              <w:bottom w:val="nil"/>
            </w:tcBorders>
          </w:tcPr>
          <w:p>
            <w:pPr>
              <w:pStyle w:val="TableParagraph"/>
              <w:spacing w:line="251" w:lineRule="exact"/>
              <w:ind w:left="100" w:right="105"/>
              <w:rPr>
                <w:sz w:val="22"/>
              </w:rPr>
            </w:pPr>
            <w:r>
              <w:rPr>
                <w:sz w:val="22"/>
              </w:rPr>
              <w:t>Sí para saber cómo está y para conocer más.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Peralta</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Encargada de</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Tovar</w:t>
            </w:r>
          </w:p>
        </w:tc>
        <w:tc>
          <w:tcPr>
            <w:tcW w:w="1274" w:type="dxa"/>
            <w:tcBorders>
              <w:top w:val="nil"/>
              <w:bottom w:val="nil"/>
            </w:tcBorders>
          </w:tcPr>
          <w:p>
            <w:pPr>
              <w:pStyle w:val="TableParagraph"/>
              <w:spacing w:line="242" w:lineRule="exact"/>
              <w:ind w:left="100"/>
              <w:rPr>
                <w:sz w:val="22"/>
              </w:rPr>
            </w:pPr>
            <w:r>
              <w:rPr>
                <w:sz w:val="22"/>
              </w:rPr>
              <w:t>Educación</w:t>
            </w:r>
          </w:p>
        </w:tc>
        <w:tc>
          <w:tcPr>
            <w:tcW w:w="1887" w:type="dxa"/>
            <w:tcBorders>
              <w:top w:val="nil"/>
              <w:bottom w:val="nil"/>
            </w:tcBorders>
          </w:tcPr>
          <w:p>
            <w:pPr>
              <w:pStyle w:val="TableParagraph"/>
              <w:spacing w:line="242" w:lineRule="exact"/>
              <w:rPr>
                <w:sz w:val="22"/>
              </w:rPr>
            </w:pPr>
            <w:r>
              <w:rPr>
                <w:sz w:val="22"/>
              </w:rPr>
              <w:t>ecología y</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Asuntos</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
        </w:tc>
      </w:tr>
      <w:tr>
        <w:trPr>
          <w:trHeight w:val="250" w:hRule="exact"/>
        </w:trPr>
        <w:tc>
          <w:tcPr>
            <w:tcW w:w="1385" w:type="dxa"/>
            <w:tcBorders>
              <w:top w:val="nil"/>
            </w:tcBorders>
          </w:tcPr>
          <w:p>
            <w:pPr>
              <w:pStyle w:val="TableParagraph"/>
              <w:spacing w:line="241" w:lineRule="exact"/>
              <w:rPr>
                <w:sz w:val="22"/>
              </w:rPr>
            </w:pPr>
            <w:r>
              <w:rPr>
                <w:sz w:val="22"/>
              </w:rPr>
              <w:t>(18/7/2014)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Indígenas</w:t>
            </w:r>
          </w:p>
        </w:tc>
        <w:tc>
          <w:tcPr>
            <w:tcW w:w="1289" w:type="dxa"/>
            <w:tcBorders>
              <w:top w:val="nil"/>
            </w:tcBorders>
          </w:tcPr>
          <w:p>
            <w:pPr/>
          </w:p>
        </w:tc>
        <w:tc>
          <w:tcPr>
            <w:tcW w:w="1174" w:type="dxa"/>
            <w:tcBorders>
              <w:top w:val="nil"/>
            </w:tcBorders>
          </w:tcPr>
          <w:p>
            <w:pPr/>
          </w:p>
        </w:tc>
        <w:tc>
          <w:tcPr>
            <w:tcW w:w="6215" w:type="dxa"/>
            <w:tcBorders>
              <w:top w:val="nil"/>
            </w:tcBorders>
          </w:tcPr>
          <w:p>
            <w:pPr/>
          </w:p>
        </w:tc>
      </w:tr>
      <w:tr>
        <w:trPr>
          <w:trHeight w:val="290" w:hRule="exact"/>
        </w:trPr>
        <w:tc>
          <w:tcPr>
            <w:tcW w:w="1385" w:type="dxa"/>
          </w:tcPr>
          <w:p>
            <w:pPr>
              <w:pStyle w:val="TableParagraph"/>
              <w:tabs>
                <w:tab w:pos="1029" w:val="left" w:leader="none"/>
              </w:tabs>
              <w:spacing w:line="251" w:lineRule="exact"/>
              <w:rPr>
                <w:sz w:val="22"/>
              </w:rPr>
            </w:pPr>
            <w:r>
              <w:rPr>
                <w:sz w:val="22"/>
              </w:rPr>
              <w:t>Yanet</w:t>
              <w:tab/>
              <w:t>de</w:t>
            </w:r>
          </w:p>
        </w:tc>
        <w:tc>
          <w:tcPr>
            <w:tcW w:w="1274" w:type="dxa"/>
          </w:tcPr>
          <w:p>
            <w:pPr>
              <w:pStyle w:val="TableParagraph"/>
              <w:spacing w:line="251" w:lineRule="exact"/>
              <w:ind w:left="100"/>
              <w:rPr>
                <w:sz w:val="22"/>
              </w:rPr>
            </w:pPr>
            <w:r>
              <w:rPr>
                <w:sz w:val="22"/>
              </w:rPr>
              <w:t>Preparator</w:t>
            </w:r>
          </w:p>
        </w:tc>
        <w:tc>
          <w:tcPr>
            <w:tcW w:w="1887" w:type="dxa"/>
          </w:tcPr>
          <w:p>
            <w:pPr>
              <w:pStyle w:val="TableParagraph"/>
              <w:spacing w:line="251" w:lineRule="exact"/>
              <w:rPr>
                <w:sz w:val="22"/>
              </w:rPr>
            </w:pPr>
            <w:r>
              <w:rPr>
                <w:sz w:val="22"/>
              </w:rPr>
              <w:t>Cuarto  Regidor.</w:t>
            </w:r>
          </w:p>
        </w:tc>
        <w:tc>
          <w:tcPr>
            <w:tcW w:w="1289" w:type="dxa"/>
          </w:tcPr>
          <w:p>
            <w:pPr>
              <w:pStyle w:val="TableParagraph"/>
              <w:spacing w:line="251" w:lineRule="exact"/>
              <w:ind w:left="223"/>
              <w:rPr>
                <w:sz w:val="22"/>
              </w:rPr>
            </w:pPr>
            <w:r>
              <w:rPr>
                <w:sz w:val="22"/>
              </w:rPr>
              <w:t>Timilpan</w:t>
            </w:r>
          </w:p>
        </w:tc>
        <w:tc>
          <w:tcPr>
            <w:tcW w:w="1174" w:type="dxa"/>
          </w:tcPr>
          <w:p>
            <w:pPr>
              <w:pStyle w:val="TableParagraph"/>
              <w:spacing w:line="251" w:lineRule="exact"/>
              <w:ind w:left="251"/>
              <w:rPr>
                <w:sz w:val="22"/>
              </w:rPr>
            </w:pPr>
            <w:r>
              <w:rPr>
                <w:sz w:val="22"/>
              </w:rPr>
              <w:t>Aculco</w:t>
            </w:r>
          </w:p>
        </w:tc>
        <w:tc>
          <w:tcPr>
            <w:tcW w:w="6215" w:type="dxa"/>
          </w:tcPr>
          <w:p>
            <w:pPr>
              <w:pStyle w:val="TableParagraph"/>
              <w:spacing w:line="251" w:lineRule="exact"/>
              <w:ind w:left="100" w:right="105"/>
              <w:rPr>
                <w:sz w:val="22"/>
              </w:rPr>
            </w:pPr>
            <w:r>
              <w:rPr>
                <w:sz w:val="22"/>
              </w:rPr>
              <w:t>Sí asistiría porque considero importante estar enterada de</w:t>
            </w:r>
          </w:p>
        </w:tc>
      </w:tr>
    </w:tbl>
    <w:p>
      <w:pPr>
        <w:spacing w:after="0" w:line="251" w:lineRule="exact"/>
        <w:rPr>
          <w:sz w:val="22"/>
        </w:rPr>
        <w:sectPr>
          <w:pgSz w:w="15840" w:h="12240" w:orient="landscape"/>
          <w:pgMar w:header="0" w:footer="943" w:top="1140" w:bottom="114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6215"/>
      </w:tblGrid>
      <w:tr>
        <w:trPr>
          <w:trHeight w:val="1526" w:hRule="exact"/>
        </w:trPr>
        <w:tc>
          <w:tcPr>
            <w:tcW w:w="1385" w:type="dxa"/>
          </w:tcPr>
          <w:p>
            <w:pPr>
              <w:pStyle w:val="TableParagraph"/>
              <w:spacing w:line="252" w:lineRule="exact" w:before="2"/>
              <w:ind w:right="127"/>
              <w:rPr>
                <w:sz w:val="22"/>
              </w:rPr>
            </w:pPr>
            <w:r>
              <w:rPr>
                <w:sz w:val="22"/>
              </w:rPr>
              <w:t>Jesús Carmen</w:t>
            </w:r>
          </w:p>
          <w:p>
            <w:pPr>
              <w:pStyle w:val="TableParagraph"/>
              <w:spacing w:before="8"/>
              <w:ind w:left="0"/>
              <w:rPr>
                <w:b/>
                <w:sz w:val="21"/>
              </w:rPr>
            </w:pPr>
          </w:p>
          <w:p>
            <w:pPr>
              <w:pStyle w:val="TableParagraph"/>
              <w:rPr>
                <w:sz w:val="22"/>
              </w:rPr>
            </w:pPr>
            <w:r>
              <w:rPr>
                <w:sz w:val="22"/>
              </w:rPr>
              <w:t>(18/7/2014)</w:t>
            </w:r>
          </w:p>
        </w:tc>
        <w:tc>
          <w:tcPr>
            <w:tcW w:w="1274" w:type="dxa"/>
          </w:tcPr>
          <w:p>
            <w:pPr>
              <w:pStyle w:val="TableParagraph"/>
              <w:spacing w:line="251" w:lineRule="exact"/>
              <w:ind w:left="100" w:right="98"/>
              <w:rPr>
                <w:sz w:val="22"/>
              </w:rPr>
            </w:pPr>
            <w:r>
              <w:rPr>
                <w:sz w:val="22"/>
              </w:rPr>
              <w:t>ia</w:t>
            </w:r>
          </w:p>
        </w:tc>
        <w:tc>
          <w:tcPr>
            <w:tcW w:w="1887" w:type="dxa"/>
          </w:tcPr>
          <w:p>
            <w:pPr>
              <w:pStyle w:val="TableParagraph"/>
              <w:tabs>
                <w:tab w:pos="1528" w:val="left" w:leader="none"/>
                <w:tab w:pos="1662" w:val="left" w:leader="none"/>
              </w:tabs>
              <w:ind w:right="101"/>
              <w:rPr>
                <w:sz w:val="22"/>
              </w:rPr>
            </w:pPr>
            <w:r>
              <w:rPr>
                <w:sz w:val="22"/>
              </w:rPr>
              <w:t>Encargada</w:t>
              <w:tab/>
              <w:t>de Turismo, Desarrollo Económico, Mercados</w:t>
              <w:tab/>
              <w:tab/>
              <w:t>y Tianguis</w:t>
            </w:r>
          </w:p>
        </w:tc>
        <w:tc>
          <w:tcPr>
            <w:tcW w:w="1289" w:type="dxa"/>
          </w:tcPr>
          <w:p>
            <w:pPr/>
          </w:p>
        </w:tc>
        <w:tc>
          <w:tcPr>
            <w:tcW w:w="1174" w:type="dxa"/>
          </w:tcPr>
          <w:p>
            <w:pPr/>
          </w:p>
        </w:tc>
        <w:tc>
          <w:tcPr>
            <w:tcW w:w="6215" w:type="dxa"/>
          </w:tcPr>
          <w:p>
            <w:pPr>
              <w:pStyle w:val="TableParagraph"/>
              <w:spacing w:line="252" w:lineRule="exact" w:before="2"/>
              <w:ind w:left="100" w:right="826"/>
              <w:rPr>
                <w:sz w:val="22"/>
              </w:rPr>
            </w:pPr>
            <w:r>
              <w:rPr>
                <w:sz w:val="22"/>
              </w:rPr>
              <w:t>los acuerdos y conocer más sobre cómo se maneja la laguna.</w:t>
            </w:r>
          </w:p>
        </w:tc>
      </w:tr>
      <w:tr>
        <w:trPr>
          <w:trHeight w:val="1023" w:hRule="exact"/>
        </w:trPr>
        <w:tc>
          <w:tcPr>
            <w:tcW w:w="1385" w:type="dxa"/>
          </w:tcPr>
          <w:p>
            <w:pPr>
              <w:pStyle w:val="TableParagraph"/>
              <w:ind w:right="90"/>
              <w:rPr>
                <w:sz w:val="22"/>
              </w:rPr>
            </w:pPr>
            <w:r>
              <w:rPr>
                <w:sz w:val="22"/>
              </w:rPr>
              <w:t>Edgar Nava Hidalgo</w:t>
            </w:r>
          </w:p>
          <w:p>
            <w:pPr>
              <w:pStyle w:val="TableParagraph"/>
              <w:spacing w:before="1"/>
              <w:ind w:left="0"/>
              <w:rPr>
                <w:b/>
                <w:sz w:val="22"/>
              </w:rPr>
            </w:pPr>
          </w:p>
          <w:p>
            <w:pPr>
              <w:pStyle w:val="TableParagraph"/>
              <w:ind w:right="127"/>
              <w:rPr>
                <w:sz w:val="22"/>
              </w:rPr>
            </w:pPr>
            <w:r>
              <w:rPr>
                <w:sz w:val="22"/>
              </w:rPr>
              <w:t>(21/I/2014)</w:t>
            </w:r>
          </w:p>
        </w:tc>
        <w:tc>
          <w:tcPr>
            <w:tcW w:w="1274" w:type="dxa"/>
          </w:tcPr>
          <w:p>
            <w:pPr>
              <w:pStyle w:val="TableParagraph"/>
              <w:ind w:left="105" w:right="105"/>
              <w:jc w:val="center"/>
              <w:rPr>
                <w:sz w:val="22"/>
              </w:rPr>
            </w:pPr>
            <w:r>
              <w:rPr>
                <w:sz w:val="22"/>
              </w:rPr>
              <w:t>Licenciado en   Derecho</w:t>
            </w:r>
          </w:p>
        </w:tc>
        <w:tc>
          <w:tcPr>
            <w:tcW w:w="1887" w:type="dxa"/>
          </w:tcPr>
          <w:p>
            <w:pPr>
              <w:pStyle w:val="TableParagraph"/>
              <w:tabs>
                <w:tab w:pos="1527" w:val="left" w:leader="none"/>
              </w:tabs>
              <w:spacing w:line="252" w:lineRule="exact"/>
              <w:rPr>
                <w:sz w:val="22"/>
              </w:rPr>
            </w:pPr>
            <w:r>
              <w:rPr>
                <w:sz w:val="22"/>
              </w:rPr>
              <w:t>Director</w:t>
              <w:tab/>
              <w:t>de</w:t>
            </w:r>
          </w:p>
          <w:p>
            <w:pPr>
              <w:pStyle w:val="TableParagraph"/>
              <w:tabs>
                <w:tab w:pos="1660" w:val="left" w:leader="none"/>
              </w:tabs>
              <w:ind w:right="104"/>
              <w:rPr>
                <w:sz w:val="22"/>
              </w:rPr>
            </w:pPr>
            <w:r>
              <w:rPr>
                <w:sz w:val="22"/>
              </w:rPr>
              <w:t>Ecología</w:t>
              <w:tab/>
              <w:t>y Medio</w:t>
            </w:r>
            <w:r>
              <w:rPr>
                <w:spacing w:val="-2"/>
                <w:sz w:val="22"/>
              </w:rPr>
              <w:t> </w:t>
            </w:r>
            <w:r>
              <w:rPr>
                <w:sz w:val="22"/>
              </w:rPr>
              <w:t>Ambiente</w:t>
            </w:r>
          </w:p>
        </w:tc>
        <w:tc>
          <w:tcPr>
            <w:tcW w:w="1289" w:type="dxa"/>
          </w:tcPr>
          <w:p>
            <w:pPr>
              <w:pStyle w:val="TableParagraph"/>
              <w:ind w:left="0" w:right="304"/>
              <w:jc w:val="right"/>
              <w:rPr>
                <w:sz w:val="22"/>
              </w:rPr>
            </w:pPr>
            <w:r>
              <w:rPr>
                <w:sz w:val="22"/>
              </w:rPr>
              <w:t>Toluca</w:t>
            </w:r>
          </w:p>
        </w:tc>
        <w:tc>
          <w:tcPr>
            <w:tcW w:w="1174" w:type="dxa"/>
          </w:tcPr>
          <w:p>
            <w:pPr>
              <w:pStyle w:val="TableParagraph"/>
              <w:ind w:left="0" w:right="249"/>
              <w:jc w:val="right"/>
              <w:rPr>
                <w:sz w:val="22"/>
              </w:rPr>
            </w:pPr>
            <w:r>
              <w:rPr>
                <w:sz w:val="22"/>
              </w:rPr>
              <w:t>Aculco</w:t>
            </w:r>
          </w:p>
        </w:tc>
        <w:tc>
          <w:tcPr>
            <w:tcW w:w="6215" w:type="dxa"/>
          </w:tcPr>
          <w:p>
            <w:pPr>
              <w:pStyle w:val="TableParagraph"/>
              <w:ind w:left="100" w:right="105"/>
              <w:rPr>
                <w:sz w:val="22"/>
              </w:rPr>
            </w:pPr>
            <w:r>
              <w:rPr>
                <w:sz w:val="22"/>
              </w:rPr>
              <w:t>Sí estaría dispuesto a asistir a una reunión para tratar asuntos relacionados con la laguna.</w:t>
            </w:r>
          </w:p>
        </w:tc>
      </w:tr>
      <w:tr>
        <w:trPr>
          <w:trHeight w:val="1274" w:hRule="exact"/>
        </w:trPr>
        <w:tc>
          <w:tcPr>
            <w:tcW w:w="1385" w:type="dxa"/>
          </w:tcPr>
          <w:p>
            <w:pPr>
              <w:pStyle w:val="TableParagraph"/>
              <w:ind w:right="127"/>
              <w:rPr>
                <w:sz w:val="22"/>
              </w:rPr>
            </w:pPr>
            <w:r>
              <w:rPr>
                <w:sz w:val="22"/>
              </w:rPr>
              <w:t>Alfonso Andrade Lugo</w:t>
            </w:r>
          </w:p>
          <w:p>
            <w:pPr>
              <w:pStyle w:val="TableParagraph"/>
              <w:ind w:left="0"/>
              <w:rPr>
                <w:b/>
                <w:sz w:val="22"/>
              </w:rPr>
            </w:pPr>
          </w:p>
          <w:p>
            <w:pPr>
              <w:pStyle w:val="TableParagraph"/>
              <w:ind w:left="155"/>
              <w:rPr>
                <w:sz w:val="22"/>
              </w:rPr>
            </w:pPr>
            <w:r>
              <w:rPr>
                <w:sz w:val="22"/>
              </w:rPr>
              <w:t>(31/I/2015)</w:t>
            </w:r>
          </w:p>
        </w:tc>
        <w:tc>
          <w:tcPr>
            <w:tcW w:w="1274" w:type="dxa"/>
          </w:tcPr>
          <w:p>
            <w:pPr>
              <w:pStyle w:val="TableParagraph"/>
              <w:spacing w:line="242" w:lineRule="auto"/>
              <w:ind w:left="122" w:right="107" w:firstLine="48"/>
              <w:rPr>
                <w:sz w:val="22"/>
              </w:rPr>
            </w:pPr>
            <w:r>
              <w:rPr>
                <w:sz w:val="22"/>
              </w:rPr>
              <w:t>Ingeniero Agrónomo</w:t>
            </w:r>
          </w:p>
        </w:tc>
        <w:tc>
          <w:tcPr>
            <w:tcW w:w="1887" w:type="dxa"/>
          </w:tcPr>
          <w:p>
            <w:pPr>
              <w:pStyle w:val="TableParagraph"/>
              <w:tabs>
                <w:tab w:pos="1527" w:val="left" w:leader="none"/>
              </w:tabs>
              <w:ind w:right="101"/>
              <w:rPr>
                <w:sz w:val="22"/>
              </w:rPr>
            </w:pPr>
            <w:r>
              <w:rPr>
                <w:sz w:val="22"/>
              </w:rPr>
              <w:t>Director</w:t>
              <w:tab/>
              <w:t>de Desarrollo Agropecuario</w:t>
            </w:r>
          </w:p>
        </w:tc>
        <w:tc>
          <w:tcPr>
            <w:tcW w:w="1289" w:type="dxa"/>
          </w:tcPr>
          <w:p>
            <w:pPr>
              <w:pStyle w:val="TableParagraph"/>
              <w:spacing w:line="251" w:lineRule="exact"/>
              <w:rPr>
                <w:sz w:val="22"/>
              </w:rPr>
            </w:pPr>
            <w:r>
              <w:rPr>
                <w:sz w:val="22"/>
              </w:rPr>
              <w:t>Aculco</w:t>
            </w:r>
          </w:p>
        </w:tc>
        <w:tc>
          <w:tcPr>
            <w:tcW w:w="1174" w:type="dxa"/>
          </w:tcPr>
          <w:p>
            <w:pPr>
              <w:pStyle w:val="TableParagraph"/>
              <w:spacing w:line="251" w:lineRule="exact"/>
              <w:rPr>
                <w:sz w:val="22"/>
              </w:rPr>
            </w:pPr>
            <w:r>
              <w:rPr>
                <w:sz w:val="22"/>
              </w:rPr>
              <w:t>Aculco</w:t>
            </w:r>
          </w:p>
        </w:tc>
        <w:tc>
          <w:tcPr>
            <w:tcW w:w="6215" w:type="dxa"/>
          </w:tcPr>
          <w:p>
            <w:pPr>
              <w:pStyle w:val="TableParagraph"/>
              <w:spacing w:line="242" w:lineRule="auto"/>
              <w:ind w:left="100" w:right="105"/>
              <w:rPr>
                <w:sz w:val="22"/>
              </w:rPr>
            </w:pPr>
            <w:r>
              <w:rPr>
                <w:sz w:val="22"/>
              </w:rPr>
              <w:t>Sí por la importancia que tiene para el municipio y todos los productores de la región.</w:t>
            </w:r>
          </w:p>
        </w:tc>
      </w:tr>
      <w:tr>
        <w:trPr>
          <w:trHeight w:val="1023" w:hRule="exact"/>
        </w:trPr>
        <w:tc>
          <w:tcPr>
            <w:tcW w:w="1385" w:type="dxa"/>
          </w:tcPr>
          <w:p>
            <w:pPr>
              <w:pStyle w:val="TableParagraph"/>
              <w:ind w:right="90"/>
              <w:rPr>
                <w:sz w:val="22"/>
              </w:rPr>
            </w:pPr>
            <w:r>
              <w:rPr>
                <w:sz w:val="22"/>
              </w:rPr>
              <w:t>Isac del Río Martínez</w:t>
            </w:r>
          </w:p>
          <w:p>
            <w:pPr>
              <w:pStyle w:val="TableParagraph"/>
              <w:ind w:left="0"/>
              <w:rPr>
                <w:b/>
                <w:sz w:val="22"/>
              </w:rPr>
            </w:pPr>
          </w:p>
          <w:p>
            <w:pPr>
              <w:pStyle w:val="TableParagraph"/>
              <w:spacing w:before="1"/>
              <w:ind w:right="127"/>
              <w:rPr>
                <w:sz w:val="22"/>
              </w:rPr>
            </w:pPr>
            <w:r>
              <w:rPr>
                <w:sz w:val="22"/>
              </w:rPr>
              <w:t>(27/I/2015)</w:t>
            </w:r>
          </w:p>
        </w:tc>
        <w:tc>
          <w:tcPr>
            <w:tcW w:w="1274" w:type="dxa"/>
          </w:tcPr>
          <w:p>
            <w:pPr>
              <w:pStyle w:val="TableParagraph"/>
              <w:ind w:left="100" w:right="92"/>
              <w:rPr>
                <w:sz w:val="22"/>
              </w:rPr>
            </w:pPr>
            <w:r>
              <w:rPr>
                <w:sz w:val="22"/>
              </w:rPr>
              <w:t>Licenciado en Comunica ción</w:t>
            </w:r>
          </w:p>
        </w:tc>
        <w:tc>
          <w:tcPr>
            <w:tcW w:w="1887" w:type="dxa"/>
          </w:tcPr>
          <w:p>
            <w:pPr>
              <w:pStyle w:val="TableParagraph"/>
              <w:tabs>
                <w:tab w:pos="1528" w:val="left" w:leader="none"/>
              </w:tabs>
              <w:ind w:right="101"/>
              <w:rPr>
                <w:sz w:val="22"/>
              </w:rPr>
            </w:pPr>
            <w:r>
              <w:rPr>
                <w:sz w:val="22"/>
              </w:rPr>
              <w:t>Coordinador</w:t>
              <w:tab/>
              <w:t>de Desarrollo Económico</w:t>
            </w:r>
          </w:p>
        </w:tc>
        <w:tc>
          <w:tcPr>
            <w:tcW w:w="1289" w:type="dxa"/>
          </w:tcPr>
          <w:p>
            <w:pPr>
              <w:pStyle w:val="TableParagraph"/>
              <w:ind w:left="0" w:right="307"/>
              <w:jc w:val="right"/>
              <w:rPr>
                <w:sz w:val="22"/>
              </w:rPr>
            </w:pPr>
            <w:r>
              <w:rPr>
                <w:sz w:val="22"/>
              </w:rPr>
              <w:t>Aculco</w:t>
            </w:r>
          </w:p>
        </w:tc>
        <w:tc>
          <w:tcPr>
            <w:tcW w:w="1174" w:type="dxa"/>
          </w:tcPr>
          <w:p>
            <w:pPr>
              <w:pStyle w:val="TableParagraph"/>
              <w:ind w:left="0" w:right="249"/>
              <w:jc w:val="right"/>
              <w:rPr>
                <w:sz w:val="22"/>
              </w:rPr>
            </w:pPr>
            <w:r>
              <w:rPr>
                <w:sz w:val="22"/>
              </w:rPr>
              <w:t>Aculco</w:t>
            </w:r>
          </w:p>
        </w:tc>
        <w:tc>
          <w:tcPr>
            <w:tcW w:w="6215" w:type="dxa"/>
          </w:tcPr>
          <w:p>
            <w:pPr>
              <w:pStyle w:val="TableParagraph"/>
              <w:ind w:left="100" w:right="105"/>
              <w:rPr>
                <w:sz w:val="22"/>
              </w:rPr>
            </w:pPr>
            <w:r>
              <w:rPr>
                <w:sz w:val="22"/>
              </w:rPr>
              <w:t>Sí porque es la parte que nos toca y vemos el fomento económico de la pesca.</w:t>
            </w:r>
          </w:p>
        </w:tc>
      </w:tr>
      <w:tr>
        <w:trPr>
          <w:trHeight w:val="1277" w:hRule="exact"/>
        </w:trPr>
        <w:tc>
          <w:tcPr>
            <w:tcW w:w="1385" w:type="dxa"/>
          </w:tcPr>
          <w:p>
            <w:pPr>
              <w:pStyle w:val="TableParagraph"/>
              <w:ind w:right="127"/>
              <w:rPr>
                <w:sz w:val="22"/>
              </w:rPr>
            </w:pPr>
            <w:r>
              <w:rPr>
                <w:sz w:val="22"/>
              </w:rPr>
              <w:t>Arturo Becerril Ortega</w:t>
            </w:r>
          </w:p>
          <w:p>
            <w:pPr>
              <w:pStyle w:val="TableParagraph"/>
              <w:ind w:left="0"/>
              <w:rPr>
                <w:b/>
                <w:sz w:val="22"/>
              </w:rPr>
            </w:pPr>
          </w:p>
          <w:p>
            <w:pPr>
              <w:pStyle w:val="TableParagraph"/>
              <w:ind w:right="127"/>
              <w:rPr>
                <w:sz w:val="22"/>
              </w:rPr>
            </w:pPr>
            <w:r>
              <w:rPr>
                <w:sz w:val="22"/>
              </w:rPr>
              <w:t>(27/I/2015)</w:t>
            </w:r>
          </w:p>
        </w:tc>
        <w:tc>
          <w:tcPr>
            <w:tcW w:w="1274" w:type="dxa"/>
          </w:tcPr>
          <w:p>
            <w:pPr>
              <w:pStyle w:val="TableParagraph"/>
              <w:ind w:left="100" w:right="227"/>
              <w:rPr>
                <w:sz w:val="22"/>
              </w:rPr>
            </w:pPr>
            <w:r>
              <w:rPr>
                <w:sz w:val="22"/>
              </w:rPr>
              <w:t>Ingeniero en Sistemas</w:t>
            </w:r>
          </w:p>
        </w:tc>
        <w:tc>
          <w:tcPr>
            <w:tcW w:w="1887" w:type="dxa"/>
          </w:tcPr>
          <w:p>
            <w:pPr>
              <w:pStyle w:val="TableParagraph"/>
              <w:tabs>
                <w:tab w:pos="1480" w:val="left" w:leader="none"/>
              </w:tabs>
              <w:spacing w:line="251" w:lineRule="exact"/>
              <w:rPr>
                <w:sz w:val="22"/>
              </w:rPr>
            </w:pPr>
            <w:r>
              <w:rPr>
                <w:sz w:val="22"/>
              </w:rPr>
              <w:t>Jefe</w:t>
              <w:tab/>
              <w:t>del</w:t>
            </w:r>
          </w:p>
          <w:p>
            <w:pPr>
              <w:pStyle w:val="TableParagraph"/>
              <w:tabs>
                <w:tab w:pos="1149" w:val="left" w:leader="none"/>
                <w:tab w:pos="1663" w:val="left" w:leader="none"/>
              </w:tabs>
              <w:spacing w:before="1"/>
              <w:ind w:right="101"/>
              <w:rPr>
                <w:sz w:val="22"/>
              </w:rPr>
            </w:pPr>
            <w:r>
              <w:rPr>
                <w:sz w:val="22"/>
              </w:rPr>
              <w:t>Departamento de</w:t>
              <w:tab/>
            </w:r>
            <w:r>
              <w:rPr>
                <w:spacing w:val="-1"/>
                <w:sz w:val="22"/>
              </w:rPr>
              <w:t>Aguas </w:t>
            </w:r>
            <w:r>
              <w:rPr>
                <w:sz w:val="22"/>
              </w:rPr>
              <w:t>Residuales</w:t>
              <w:tab/>
              <w:t>y Saneamiento</w:t>
            </w:r>
          </w:p>
        </w:tc>
        <w:tc>
          <w:tcPr>
            <w:tcW w:w="1289" w:type="dxa"/>
          </w:tcPr>
          <w:p>
            <w:pPr>
              <w:pStyle w:val="TableParagraph"/>
              <w:ind w:left="309" w:right="307" w:firstLine="4"/>
              <w:jc w:val="both"/>
              <w:rPr>
                <w:sz w:val="22"/>
              </w:rPr>
            </w:pPr>
            <w:r>
              <w:rPr>
                <w:sz w:val="22"/>
              </w:rPr>
              <w:t>Arroyo Zarco, Aculco</w:t>
            </w:r>
          </w:p>
        </w:tc>
        <w:tc>
          <w:tcPr>
            <w:tcW w:w="1174" w:type="dxa"/>
          </w:tcPr>
          <w:p>
            <w:pPr>
              <w:pStyle w:val="TableParagraph"/>
              <w:ind w:left="251" w:right="249" w:firstLine="4"/>
              <w:jc w:val="both"/>
              <w:rPr>
                <w:sz w:val="22"/>
              </w:rPr>
            </w:pPr>
            <w:r>
              <w:rPr>
                <w:sz w:val="22"/>
              </w:rPr>
              <w:t>Arroyo Zarco, Aculco</w:t>
            </w:r>
          </w:p>
        </w:tc>
        <w:tc>
          <w:tcPr>
            <w:tcW w:w="6215" w:type="dxa"/>
          </w:tcPr>
          <w:p>
            <w:pPr>
              <w:pStyle w:val="TableParagraph"/>
              <w:spacing w:line="242" w:lineRule="auto"/>
              <w:ind w:left="100" w:right="105"/>
              <w:rPr>
                <w:sz w:val="22"/>
              </w:rPr>
            </w:pPr>
            <w:r>
              <w:rPr>
                <w:sz w:val="22"/>
              </w:rPr>
              <w:t>¡Claro que sí! porque la laguna es muy importante para la vida de la región.</w:t>
            </w:r>
          </w:p>
        </w:tc>
      </w:tr>
    </w:tbl>
    <w:p>
      <w:pPr>
        <w:pStyle w:val="BodyText"/>
        <w:spacing w:line="248" w:lineRule="exact"/>
        <w:ind w:left="218" w:right="778"/>
      </w:pPr>
      <w:r>
        <w:rPr>
          <w:b/>
        </w:rPr>
        <w:t>Fuente: </w:t>
      </w:r>
      <w:r>
        <w:rPr/>
        <w:t>Elaboración propia con base en el Trabajo de Campo, García (2013-2015).</w:t>
      </w:r>
    </w:p>
    <w:p>
      <w:pPr>
        <w:pStyle w:val="BodyText"/>
        <w:spacing w:before="6"/>
        <w:rPr>
          <w:sz w:val="20"/>
        </w:rPr>
      </w:pPr>
    </w:p>
    <w:p>
      <w:pPr>
        <w:pStyle w:val="Heading6"/>
        <w:spacing w:after="5"/>
        <w:ind w:left="3540" w:right="778"/>
      </w:pPr>
      <w:r>
        <w:rPr/>
        <w:t>Tabla 6.11. Municipio de Jilotepec (Autoridades Municipales)</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7"/>
        <w:gridCol w:w="2462"/>
        <w:gridCol w:w="2314"/>
        <w:gridCol w:w="3901"/>
      </w:tblGrid>
      <w:tr>
        <w:trPr>
          <w:trHeight w:val="292" w:hRule="exact"/>
        </w:trPr>
        <w:tc>
          <w:tcPr>
            <w:tcW w:w="13224" w:type="dxa"/>
            <w:gridSpan w:val="4"/>
            <w:shd w:val="clear" w:color="auto" w:fill="9BBA58"/>
          </w:tcPr>
          <w:p>
            <w:pPr>
              <w:pStyle w:val="TableParagraph"/>
              <w:spacing w:line="249" w:lineRule="exact"/>
              <w:ind w:left="4869" w:right="4869"/>
              <w:jc w:val="center"/>
              <w:rPr>
                <w:b/>
                <w:sz w:val="22"/>
              </w:rPr>
            </w:pPr>
            <w:r>
              <w:rPr>
                <w:b/>
                <w:sz w:val="22"/>
              </w:rPr>
              <w:t>JILOTEPEC</w:t>
            </w:r>
          </w:p>
        </w:tc>
      </w:tr>
      <w:tr>
        <w:trPr>
          <w:trHeight w:val="525" w:hRule="exact"/>
        </w:trPr>
        <w:tc>
          <w:tcPr>
            <w:tcW w:w="4547" w:type="dxa"/>
            <w:vMerge w:val="restart"/>
            <w:shd w:val="clear" w:color="auto" w:fill="F9BE8F"/>
          </w:tcPr>
          <w:p>
            <w:pPr>
              <w:pStyle w:val="TableParagraph"/>
              <w:spacing w:before="6"/>
              <w:ind w:left="0"/>
              <w:rPr>
                <w:b/>
                <w:sz w:val="21"/>
              </w:rPr>
            </w:pPr>
          </w:p>
          <w:p>
            <w:pPr>
              <w:pStyle w:val="TableParagraph"/>
              <w:ind w:left="703" w:right="141"/>
              <w:rPr>
                <w:b/>
                <w:sz w:val="22"/>
              </w:rPr>
            </w:pPr>
            <w:r>
              <w:rPr>
                <w:b/>
                <w:sz w:val="22"/>
              </w:rPr>
              <w:t>IDENTIFICACIÓN DEL ACTOR</w:t>
            </w:r>
          </w:p>
        </w:tc>
        <w:tc>
          <w:tcPr>
            <w:tcW w:w="8677" w:type="dxa"/>
            <w:gridSpan w:val="3"/>
            <w:shd w:val="clear" w:color="auto" w:fill="92CDDC"/>
          </w:tcPr>
          <w:p>
            <w:pPr>
              <w:pStyle w:val="TableParagraph"/>
              <w:spacing w:before="6"/>
              <w:ind w:left="0"/>
              <w:rPr>
                <w:b/>
                <w:sz w:val="21"/>
              </w:rPr>
            </w:pPr>
          </w:p>
          <w:p>
            <w:pPr>
              <w:pStyle w:val="TableParagraph"/>
              <w:ind w:left="2695"/>
              <w:rPr>
                <w:b/>
                <w:sz w:val="22"/>
              </w:rPr>
            </w:pPr>
            <w:r>
              <w:rPr>
                <w:b/>
                <w:sz w:val="22"/>
              </w:rPr>
              <w:t>PRINCIPIOS DE GOBERNANZA</w:t>
            </w:r>
          </w:p>
        </w:tc>
      </w:tr>
      <w:tr>
        <w:trPr>
          <w:trHeight w:val="263" w:hRule="exact"/>
        </w:trPr>
        <w:tc>
          <w:tcPr>
            <w:tcW w:w="4547" w:type="dxa"/>
            <w:vMerge/>
            <w:shd w:val="clear" w:color="auto" w:fill="F9BE8F"/>
          </w:tcPr>
          <w:p>
            <w:pPr/>
          </w:p>
        </w:tc>
        <w:tc>
          <w:tcPr>
            <w:tcW w:w="2462" w:type="dxa"/>
            <w:shd w:val="clear" w:color="auto" w:fill="92CDDC"/>
          </w:tcPr>
          <w:p>
            <w:pPr>
              <w:pStyle w:val="TableParagraph"/>
              <w:spacing w:line="252" w:lineRule="exact"/>
              <w:ind w:left="736"/>
              <w:rPr>
                <w:b/>
                <w:i/>
                <w:sz w:val="22"/>
              </w:rPr>
            </w:pPr>
            <w:r>
              <w:rPr>
                <w:b/>
                <w:i/>
                <w:sz w:val="22"/>
              </w:rPr>
              <w:t>Identidad</w:t>
            </w:r>
          </w:p>
        </w:tc>
        <w:tc>
          <w:tcPr>
            <w:tcW w:w="2314" w:type="dxa"/>
            <w:shd w:val="clear" w:color="auto" w:fill="92CDDC"/>
          </w:tcPr>
          <w:p>
            <w:pPr>
              <w:pStyle w:val="TableParagraph"/>
              <w:spacing w:line="252" w:lineRule="exact"/>
              <w:ind w:left="100"/>
              <w:rPr>
                <w:b/>
                <w:i/>
                <w:sz w:val="22"/>
              </w:rPr>
            </w:pPr>
            <w:r>
              <w:rPr>
                <w:b/>
                <w:i/>
                <w:sz w:val="22"/>
              </w:rPr>
              <w:t>Poder</w:t>
            </w:r>
          </w:p>
        </w:tc>
        <w:tc>
          <w:tcPr>
            <w:tcW w:w="3901" w:type="dxa"/>
            <w:shd w:val="clear" w:color="auto" w:fill="92CDDC"/>
          </w:tcPr>
          <w:p>
            <w:pPr>
              <w:pStyle w:val="TableParagraph"/>
              <w:spacing w:line="252" w:lineRule="exact"/>
              <w:rPr>
                <w:b/>
                <w:i/>
                <w:sz w:val="22"/>
              </w:rPr>
            </w:pPr>
            <w:r>
              <w:rPr>
                <w:b/>
                <w:i/>
                <w:sz w:val="22"/>
              </w:rPr>
              <w:t>Poder y cultura</w:t>
            </w:r>
          </w:p>
        </w:tc>
      </w:tr>
    </w:tbl>
    <w:p>
      <w:pPr>
        <w:spacing w:after="0" w:line="252" w:lineRule="exact"/>
        <w:rPr>
          <w:sz w:val="22"/>
        </w:rPr>
        <w:sectPr>
          <w:pgSz w:w="15840" w:h="12240" w:orient="landscape"/>
          <w:pgMar w:header="0" w:footer="943" w:top="1140" w:bottom="120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375"/>
        <w:gridCol w:w="1087"/>
        <w:gridCol w:w="2314"/>
        <w:gridCol w:w="3901"/>
      </w:tblGrid>
      <w:tr>
        <w:trPr>
          <w:trHeight w:val="1022"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52" w:lineRule="exact"/>
              <w:ind w:left="100" w:right="93"/>
              <w:rPr>
                <w:b/>
                <w:sz w:val="22"/>
              </w:rPr>
            </w:pPr>
            <w:r>
              <w:rPr>
                <w:b/>
                <w:sz w:val="22"/>
              </w:rPr>
              <w:t>Nivel Educativo</w:t>
            </w:r>
          </w:p>
        </w:tc>
        <w:tc>
          <w:tcPr>
            <w:tcW w:w="1887" w:type="dxa"/>
            <w:shd w:val="clear" w:color="auto" w:fill="F9BE8F"/>
          </w:tcPr>
          <w:p>
            <w:pPr>
              <w:pStyle w:val="TableParagraph"/>
              <w:spacing w:line="248" w:lineRule="exact"/>
              <w:rPr>
                <w:b/>
                <w:sz w:val="22"/>
              </w:rPr>
            </w:pPr>
            <w:r>
              <w:rPr>
                <w:b/>
                <w:sz w:val="22"/>
              </w:rPr>
              <w:t>Cargo Público</w:t>
            </w:r>
          </w:p>
        </w:tc>
        <w:tc>
          <w:tcPr>
            <w:tcW w:w="1375" w:type="dxa"/>
            <w:shd w:val="clear" w:color="auto" w:fill="92CDDC"/>
          </w:tcPr>
          <w:p>
            <w:pPr>
              <w:pStyle w:val="TableParagraph"/>
              <w:spacing w:line="252" w:lineRule="exact"/>
              <w:ind w:right="423"/>
              <w:rPr>
                <w:b/>
                <w:sz w:val="22"/>
              </w:rPr>
            </w:pPr>
            <w:r>
              <w:rPr>
                <w:b/>
                <w:sz w:val="22"/>
              </w:rPr>
              <w:t>¿Dónde nació?</w:t>
            </w:r>
          </w:p>
        </w:tc>
        <w:tc>
          <w:tcPr>
            <w:tcW w:w="1087" w:type="dxa"/>
            <w:shd w:val="clear" w:color="auto" w:fill="92CDDC"/>
          </w:tcPr>
          <w:p>
            <w:pPr>
              <w:pStyle w:val="TableParagraph"/>
              <w:spacing w:line="252" w:lineRule="exact"/>
              <w:ind w:left="100" w:right="138"/>
              <w:rPr>
                <w:b/>
                <w:sz w:val="22"/>
              </w:rPr>
            </w:pPr>
            <w:r>
              <w:rPr>
                <w:b/>
                <w:sz w:val="22"/>
              </w:rPr>
              <w:t>¿Dónde vive?</w:t>
            </w:r>
          </w:p>
        </w:tc>
        <w:tc>
          <w:tcPr>
            <w:tcW w:w="2314" w:type="dxa"/>
            <w:shd w:val="clear" w:color="auto" w:fill="92CDDC"/>
          </w:tcPr>
          <w:p>
            <w:pPr>
              <w:pStyle w:val="TableParagraph"/>
              <w:ind w:left="100" w:right="99"/>
              <w:jc w:val="both"/>
              <w:rPr>
                <w:b/>
                <w:sz w:val="22"/>
              </w:rPr>
            </w:pPr>
            <w:r>
              <w:rPr>
                <w:b/>
                <w:sz w:val="22"/>
              </w:rPr>
              <w:t>¿Cuáles son los problemas que tiene la laguna de Huapango?</w:t>
            </w:r>
          </w:p>
        </w:tc>
        <w:tc>
          <w:tcPr>
            <w:tcW w:w="3901" w:type="dxa"/>
            <w:shd w:val="clear" w:color="auto" w:fill="92CDDC"/>
          </w:tcPr>
          <w:p>
            <w:pPr>
              <w:pStyle w:val="TableParagraph"/>
              <w:tabs>
                <w:tab w:pos="851" w:val="left" w:leader="none"/>
                <w:tab w:pos="1487" w:val="left" w:leader="none"/>
                <w:tab w:pos="2245" w:val="left" w:leader="none"/>
                <w:tab w:pos="3603" w:val="left" w:leader="none"/>
              </w:tabs>
              <w:spacing w:line="252" w:lineRule="exact"/>
              <w:ind w:right="100"/>
              <w:rPr>
                <w:b/>
                <w:sz w:val="22"/>
              </w:rPr>
            </w:pPr>
            <w:r>
              <w:rPr>
                <w:b/>
                <w:sz w:val="22"/>
              </w:rPr>
              <w:t>¿Por</w:t>
              <w:tab/>
              <w:t>qué</w:t>
              <w:tab/>
              <w:t>tiene</w:t>
              <w:tab/>
              <w:t>problemas</w:t>
              <w:tab/>
              <w:t>la laguna de</w:t>
            </w:r>
            <w:r>
              <w:rPr>
                <w:b/>
                <w:spacing w:val="-3"/>
                <w:sz w:val="22"/>
              </w:rPr>
              <w:t> </w:t>
            </w:r>
            <w:r>
              <w:rPr>
                <w:b/>
                <w:sz w:val="22"/>
              </w:rPr>
              <w:t>Huapango?</w:t>
            </w:r>
          </w:p>
        </w:tc>
      </w:tr>
      <w:tr>
        <w:trPr>
          <w:trHeight w:val="266" w:hRule="exact"/>
        </w:trPr>
        <w:tc>
          <w:tcPr>
            <w:tcW w:w="1385" w:type="dxa"/>
            <w:tcBorders>
              <w:bottom w:val="nil"/>
            </w:tcBorders>
          </w:tcPr>
          <w:p>
            <w:pPr>
              <w:pStyle w:val="TableParagraph"/>
              <w:spacing w:line="251" w:lineRule="exact"/>
              <w:ind w:right="127"/>
              <w:rPr>
                <w:sz w:val="22"/>
              </w:rPr>
            </w:pPr>
            <w:r>
              <w:rPr>
                <w:sz w:val="22"/>
              </w:rPr>
              <w:t>Edgar</w:t>
            </w:r>
          </w:p>
        </w:tc>
        <w:tc>
          <w:tcPr>
            <w:tcW w:w="1274" w:type="dxa"/>
            <w:tcBorders>
              <w:bottom w:val="nil"/>
            </w:tcBorders>
          </w:tcPr>
          <w:p>
            <w:pPr>
              <w:pStyle w:val="TableParagraph"/>
              <w:spacing w:line="251" w:lineRule="exact"/>
              <w:ind w:left="100" w:right="98"/>
              <w:rPr>
                <w:sz w:val="22"/>
              </w:rPr>
            </w:pPr>
            <w:r>
              <w:rPr>
                <w:sz w:val="22"/>
              </w:rPr>
              <w:t>Abogado</w:t>
            </w:r>
          </w:p>
        </w:tc>
        <w:tc>
          <w:tcPr>
            <w:tcW w:w="1887" w:type="dxa"/>
            <w:tcBorders>
              <w:bottom w:val="nil"/>
            </w:tcBorders>
          </w:tcPr>
          <w:p>
            <w:pPr>
              <w:pStyle w:val="TableParagraph"/>
              <w:spacing w:line="251" w:lineRule="exact"/>
              <w:rPr>
                <w:sz w:val="22"/>
              </w:rPr>
            </w:pPr>
            <w:r>
              <w:rPr>
                <w:sz w:val="22"/>
              </w:rPr>
              <w:t>Presidente</w:t>
            </w:r>
          </w:p>
        </w:tc>
        <w:tc>
          <w:tcPr>
            <w:tcW w:w="1375" w:type="dxa"/>
            <w:tcBorders>
              <w:bottom w:val="nil"/>
            </w:tcBorders>
          </w:tcPr>
          <w:p>
            <w:pPr>
              <w:pStyle w:val="TableParagraph"/>
              <w:spacing w:line="251" w:lineRule="exact"/>
              <w:rPr>
                <w:sz w:val="22"/>
              </w:rPr>
            </w:pPr>
            <w:r>
              <w:rPr>
                <w:sz w:val="22"/>
              </w:rPr>
              <w:t>Jilotepec</w:t>
            </w:r>
          </w:p>
        </w:tc>
        <w:tc>
          <w:tcPr>
            <w:tcW w:w="1087" w:type="dxa"/>
            <w:tcBorders>
              <w:bottom w:val="nil"/>
            </w:tcBorders>
          </w:tcPr>
          <w:p>
            <w:pPr>
              <w:pStyle w:val="TableParagraph"/>
              <w:spacing w:line="251" w:lineRule="exact"/>
              <w:ind w:left="0" w:right="105"/>
              <w:jc w:val="right"/>
              <w:rPr>
                <w:sz w:val="22"/>
              </w:rPr>
            </w:pPr>
            <w:r>
              <w:rPr>
                <w:sz w:val="22"/>
              </w:rPr>
              <w:t>Jilotepec</w:t>
            </w:r>
          </w:p>
        </w:tc>
        <w:tc>
          <w:tcPr>
            <w:tcW w:w="2314" w:type="dxa"/>
            <w:tcBorders>
              <w:bottom w:val="nil"/>
            </w:tcBorders>
          </w:tcPr>
          <w:p>
            <w:pPr>
              <w:pStyle w:val="TableParagraph"/>
              <w:tabs>
                <w:tab w:pos="587" w:val="left" w:leader="none"/>
                <w:tab w:pos="1957" w:val="left" w:leader="none"/>
              </w:tabs>
              <w:spacing w:line="251" w:lineRule="exact"/>
              <w:ind w:left="100"/>
              <w:rPr>
                <w:sz w:val="22"/>
              </w:rPr>
            </w:pPr>
            <w:r>
              <w:rPr>
                <w:sz w:val="22"/>
              </w:rPr>
              <w:t>El</w:t>
              <w:tab/>
              <w:t>desabasto,</w:t>
              <w:tab/>
              <w:t>no</w:t>
            </w:r>
          </w:p>
        </w:tc>
        <w:tc>
          <w:tcPr>
            <w:tcW w:w="3901" w:type="dxa"/>
            <w:tcBorders>
              <w:bottom w:val="nil"/>
            </w:tcBorders>
          </w:tcPr>
          <w:p>
            <w:pPr>
              <w:pStyle w:val="TableParagraph"/>
              <w:spacing w:line="251" w:lineRule="exact"/>
              <w:rPr>
                <w:sz w:val="22"/>
              </w:rPr>
            </w:pPr>
            <w:r>
              <w:rPr>
                <w:sz w:val="22"/>
              </w:rPr>
              <w:t>Porque   no   ha   cumplido   con  sus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Castillo</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Municipal</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tabs>
                <w:tab w:pos="753" w:val="left" w:leader="none"/>
                <w:tab w:pos="1158" w:val="left" w:leader="none"/>
                <w:tab w:pos="1958" w:val="left" w:leader="none"/>
              </w:tabs>
              <w:spacing w:line="241" w:lineRule="exact"/>
              <w:ind w:left="100"/>
              <w:rPr>
                <w:sz w:val="22"/>
              </w:rPr>
            </w:pPr>
            <w:r>
              <w:rPr>
                <w:sz w:val="22"/>
              </w:rPr>
              <w:t>está</w:t>
              <w:tab/>
              <w:t>al</w:t>
              <w:tab/>
              <w:t>100%</w:t>
              <w:tab/>
              <w:t>de</w:t>
            </w:r>
          </w:p>
        </w:tc>
        <w:tc>
          <w:tcPr>
            <w:tcW w:w="3901" w:type="dxa"/>
            <w:tcBorders>
              <w:top w:val="nil"/>
              <w:bottom w:val="nil"/>
            </w:tcBorders>
          </w:tcPr>
          <w:p>
            <w:pPr>
              <w:pStyle w:val="TableParagraph"/>
              <w:spacing w:line="241" w:lineRule="exact"/>
              <w:rPr>
                <w:sz w:val="22"/>
              </w:rPr>
            </w:pPr>
            <w:r>
              <w:rPr>
                <w:sz w:val="22"/>
              </w:rPr>
              <w:t>niveles de agua.</w:t>
            </w:r>
          </w:p>
        </w:tc>
      </w:tr>
      <w:tr>
        <w:trPr>
          <w:trHeight w:val="379"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llena.</w:t>
            </w:r>
          </w:p>
        </w:tc>
        <w:tc>
          <w:tcPr>
            <w:tcW w:w="3901" w:type="dxa"/>
            <w:tcBorders>
              <w:top w:val="nil"/>
              <w:bottom w:val="nil"/>
            </w:tcBorders>
          </w:tcPr>
          <w:p>
            <w:pPr/>
          </w:p>
        </w:tc>
      </w:tr>
      <w:tr>
        <w:trPr>
          <w:trHeight w:val="379" w:hRule="exact"/>
        </w:trPr>
        <w:tc>
          <w:tcPr>
            <w:tcW w:w="1385" w:type="dxa"/>
            <w:tcBorders>
              <w:top w:val="nil"/>
              <w:bottom w:val="nil"/>
            </w:tcBorders>
          </w:tcPr>
          <w:p>
            <w:pPr>
              <w:pStyle w:val="TableParagraph"/>
              <w:spacing w:before="114"/>
              <w:rPr>
                <w:sz w:val="22"/>
              </w:rPr>
            </w:pPr>
            <w:r>
              <w:rPr>
                <w:sz w:val="22"/>
              </w:rPr>
              <w:t>(29/8/2014)</w:t>
            </w: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tabs>
                <w:tab w:pos="698" w:val="left" w:leader="none"/>
                <w:tab w:pos="1957" w:val="left" w:leader="none"/>
              </w:tabs>
              <w:spacing w:before="114"/>
              <w:ind w:left="100"/>
              <w:rPr>
                <w:sz w:val="22"/>
              </w:rPr>
            </w:pPr>
            <w:r>
              <w:rPr>
                <w:sz w:val="22"/>
              </w:rPr>
              <w:t>Las</w:t>
              <w:tab/>
              <w:t>descargas</w:t>
              <w:tab/>
              <w:t>de</w:t>
            </w:r>
          </w:p>
        </w:tc>
        <w:tc>
          <w:tcPr>
            <w:tcW w:w="3901" w:type="dxa"/>
            <w:tcBorders>
              <w:top w:val="nil"/>
              <w:bottom w:val="nil"/>
            </w:tcBorders>
          </w:tcPr>
          <w:p>
            <w:pPr>
              <w:pStyle w:val="TableParagraph"/>
              <w:spacing w:before="114"/>
              <w:rPr>
                <w:sz w:val="22"/>
              </w:rPr>
            </w:pPr>
            <w:r>
              <w:rPr>
                <w:sz w:val="22"/>
              </w:rPr>
              <w:t>Porque ya no se llena y los usan para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drenajes</w:t>
            </w:r>
          </w:p>
        </w:tc>
        <w:tc>
          <w:tcPr>
            <w:tcW w:w="3901" w:type="dxa"/>
            <w:tcBorders>
              <w:top w:val="nil"/>
              <w:bottom w:val="nil"/>
            </w:tcBorders>
          </w:tcPr>
          <w:p>
            <w:pPr>
              <w:pStyle w:val="TableParagraph"/>
              <w:spacing w:line="242" w:lineRule="exact"/>
              <w:rPr>
                <w:sz w:val="22"/>
              </w:rPr>
            </w:pPr>
            <w:r>
              <w:rPr>
                <w:sz w:val="22"/>
              </w:rPr>
              <w:t>cultivo.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tabs>
                <w:tab w:pos="1614" w:val="left" w:leader="none"/>
                <w:tab w:pos="2026" w:val="left" w:leader="none"/>
              </w:tabs>
              <w:spacing w:line="241" w:lineRule="exact"/>
              <w:ind w:left="100"/>
              <w:rPr>
                <w:sz w:val="22"/>
              </w:rPr>
            </w:pPr>
            <w:r>
              <w:rPr>
                <w:sz w:val="22"/>
              </w:rPr>
              <w:t>domiciliarias</w:t>
              <w:tab/>
              <w:t>y</w:t>
              <w:tab/>
              <w:t>el</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tabs>
                <w:tab w:pos="1506" w:val="left" w:leader="none"/>
                <w:tab w:pos="2029" w:val="left" w:leader="none"/>
              </w:tabs>
              <w:spacing w:line="242" w:lineRule="exact"/>
              <w:ind w:left="100"/>
              <w:rPr>
                <w:sz w:val="22"/>
              </w:rPr>
            </w:pPr>
            <w:r>
              <w:rPr>
                <w:sz w:val="22"/>
              </w:rPr>
              <w:t>crecimiento</w:t>
              <w:tab/>
              <w:t>de</w:t>
              <w:tab/>
              <w:t>la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invasión  de</w:t>
            </w:r>
            <w:r>
              <w:rPr>
                <w:spacing w:val="54"/>
                <w:sz w:val="22"/>
              </w:rPr>
              <w:t> </w:t>
            </w:r>
            <w:r>
              <w:rPr>
                <w:sz w:val="22"/>
              </w:rPr>
              <w:t>terrenos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tabs>
                <w:tab w:pos="2029" w:val="left" w:leader="none"/>
              </w:tabs>
              <w:spacing w:line="241" w:lineRule="exact"/>
              <w:ind w:left="100"/>
              <w:rPr>
                <w:sz w:val="22"/>
              </w:rPr>
            </w:pPr>
            <w:r>
              <w:rPr>
                <w:sz w:val="22"/>
              </w:rPr>
              <w:t>correspondientes</w:t>
              <w:tab/>
              <w:t>al</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vaso  de  agua en los</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375" w:type="dxa"/>
            <w:tcBorders>
              <w:top w:val="nil"/>
            </w:tcBorders>
          </w:tcPr>
          <w:p>
            <w:pPr/>
          </w:p>
        </w:tc>
        <w:tc>
          <w:tcPr>
            <w:tcW w:w="1087" w:type="dxa"/>
            <w:tcBorders>
              <w:top w:val="nil"/>
            </w:tcBorders>
          </w:tcPr>
          <w:p>
            <w:pPr/>
          </w:p>
        </w:tc>
        <w:tc>
          <w:tcPr>
            <w:tcW w:w="2314" w:type="dxa"/>
            <w:tcBorders>
              <w:top w:val="nil"/>
            </w:tcBorders>
          </w:tcPr>
          <w:p>
            <w:pPr>
              <w:pStyle w:val="TableParagraph"/>
              <w:spacing w:line="241" w:lineRule="exact"/>
              <w:ind w:left="100"/>
              <w:rPr>
                <w:sz w:val="22"/>
              </w:rPr>
            </w:pPr>
            <w:r>
              <w:rPr>
                <w:sz w:val="22"/>
              </w:rPr>
              <w:t>alrededores.</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left="208" w:right="127"/>
              <w:rPr>
                <w:sz w:val="22"/>
              </w:rPr>
            </w:pPr>
            <w:r>
              <w:rPr>
                <w:sz w:val="22"/>
              </w:rPr>
              <w:t>Francisco</w:t>
            </w:r>
          </w:p>
        </w:tc>
        <w:tc>
          <w:tcPr>
            <w:tcW w:w="1274" w:type="dxa"/>
            <w:tcBorders>
              <w:bottom w:val="nil"/>
            </w:tcBorders>
          </w:tcPr>
          <w:p>
            <w:pPr>
              <w:pStyle w:val="TableParagraph"/>
              <w:spacing w:line="251" w:lineRule="exact"/>
              <w:ind w:left="100" w:right="98"/>
              <w:rPr>
                <w:sz w:val="22"/>
              </w:rPr>
            </w:pPr>
            <w:r>
              <w:rPr>
                <w:sz w:val="22"/>
              </w:rPr>
              <w:t>Profesor</w:t>
            </w:r>
          </w:p>
        </w:tc>
        <w:tc>
          <w:tcPr>
            <w:tcW w:w="1887" w:type="dxa"/>
            <w:tcBorders>
              <w:bottom w:val="nil"/>
            </w:tcBorders>
          </w:tcPr>
          <w:p>
            <w:pPr>
              <w:pStyle w:val="TableParagraph"/>
              <w:spacing w:line="251" w:lineRule="exact"/>
              <w:rPr>
                <w:sz w:val="22"/>
              </w:rPr>
            </w:pPr>
            <w:r>
              <w:rPr>
                <w:sz w:val="22"/>
              </w:rPr>
              <w:t>Tercer Regidor.</w:t>
            </w:r>
          </w:p>
        </w:tc>
        <w:tc>
          <w:tcPr>
            <w:tcW w:w="1375" w:type="dxa"/>
            <w:tcBorders>
              <w:bottom w:val="nil"/>
            </w:tcBorders>
          </w:tcPr>
          <w:p>
            <w:pPr>
              <w:pStyle w:val="TableParagraph"/>
              <w:spacing w:line="251" w:lineRule="exact"/>
              <w:rPr>
                <w:sz w:val="22"/>
              </w:rPr>
            </w:pPr>
            <w:r>
              <w:rPr>
                <w:sz w:val="22"/>
              </w:rPr>
              <w:t>Axochiapan</w:t>
            </w:r>
          </w:p>
        </w:tc>
        <w:tc>
          <w:tcPr>
            <w:tcW w:w="1087" w:type="dxa"/>
            <w:tcBorders>
              <w:bottom w:val="nil"/>
            </w:tcBorders>
          </w:tcPr>
          <w:p>
            <w:pPr>
              <w:pStyle w:val="TableParagraph"/>
              <w:spacing w:line="251" w:lineRule="exact"/>
              <w:ind w:left="0" w:right="105"/>
              <w:jc w:val="right"/>
              <w:rPr>
                <w:sz w:val="22"/>
              </w:rPr>
            </w:pPr>
            <w:r>
              <w:rPr>
                <w:sz w:val="22"/>
              </w:rPr>
              <w:t>Jilotepec</w:t>
            </w:r>
          </w:p>
        </w:tc>
        <w:tc>
          <w:tcPr>
            <w:tcW w:w="2314" w:type="dxa"/>
            <w:tcBorders>
              <w:bottom w:val="nil"/>
            </w:tcBorders>
          </w:tcPr>
          <w:p>
            <w:pPr>
              <w:pStyle w:val="TableParagraph"/>
              <w:tabs>
                <w:tab w:pos="623" w:val="left" w:leader="none"/>
                <w:tab w:pos="1833" w:val="left" w:leader="none"/>
              </w:tabs>
              <w:spacing w:line="251" w:lineRule="exact"/>
              <w:ind w:left="100"/>
              <w:rPr>
                <w:sz w:val="22"/>
              </w:rPr>
            </w:pPr>
            <w:r>
              <w:rPr>
                <w:sz w:val="22"/>
              </w:rPr>
              <w:t>El</w:t>
              <w:tab/>
              <w:t>descuido</w:t>
              <w:tab/>
              <w:t>que</w:t>
            </w:r>
          </w:p>
        </w:tc>
        <w:tc>
          <w:tcPr>
            <w:tcW w:w="3901" w:type="dxa"/>
            <w:tcBorders>
              <w:bottom w:val="nil"/>
            </w:tcBorders>
          </w:tcPr>
          <w:p>
            <w:pPr>
              <w:pStyle w:val="TableParagraph"/>
              <w:spacing w:line="251" w:lineRule="exact"/>
              <w:rPr>
                <w:sz w:val="22"/>
              </w:rPr>
            </w:pPr>
            <w:r>
              <w:rPr>
                <w:sz w:val="22"/>
              </w:rPr>
              <w:t>Porque ya no se le da el</w:t>
            </w:r>
          </w:p>
        </w:tc>
      </w:tr>
      <w:tr>
        <w:trPr>
          <w:trHeight w:val="253" w:hRule="exact"/>
        </w:trPr>
        <w:tc>
          <w:tcPr>
            <w:tcW w:w="1385" w:type="dxa"/>
            <w:tcBorders>
              <w:top w:val="nil"/>
              <w:bottom w:val="nil"/>
            </w:tcBorders>
          </w:tcPr>
          <w:p>
            <w:pPr>
              <w:pStyle w:val="TableParagraph"/>
              <w:spacing w:line="241" w:lineRule="exact"/>
              <w:ind w:left="331" w:right="127"/>
              <w:rPr>
                <w:sz w:val="22"/>
              </w:rPr>
            </w:pPr>
            <w:r>
              <w:rPr>
                <w:sz w:val="22"/>
              </w:rPr>
              <w:t>Gómez</w:t>
            </w:r>
          </w:p>
        </w:tc>
        <w:tc>
          <w:tcPr>
            <w:tcW w:w="1274" w:type="dxa"/>
            <w:tcBorders>
              <w:top w:val="nil"/>
              <w:bottom w:val="nil"/>
            </w:tcBorders>
          </w:tcPr>
          <w:p>
            <w:pPr>
              <w:pStyle w:val="TableParagraph"/>
              <w:spacing w:line="241" w:lineRule="exact"/>
              <w:ind w:left="100" w:right="98"/>
              <w:rPr>
                <w:sz w:val="22"/>
              </w:rPr>
            </w:pPr>
            <w:r>
              <w:rPr>
                <w:sz w:val="22"/>
              </w:rPr>
              <w:t>de</w:t>
            </w:r>
          </w:p>
        </w:tc>
        <w:tc>
          <w:tcPr>
            <w:tcW w:w="1887" w:type="dxa"/>
            <w:tcBorders>
              <w:top w:val="nil"/>
              <w:bottom w:val="nil"/>
            </w:tcBorders>
          </w:tcPr>
          <w:p>
            <w:pPr>
              <w:pStyle w:val="TableParagraph"/>
              <w:spacing w:line="241" w:lineRule="exact"/>
              <w:rPr>
                <w:sz w:val="22"/>
              </w:rPr>
            </w:pPr>
            <w:r>
              <w:rPr>
                <w:sz w:val="22"/>
              </w:rPr>
              <w:t>Encargado de la</w:t>
            </w:r>
          </w:p>
        </w:tc>
        <w:tc>
          <w:tcPr>
            <w:tcW w:w="1375" w:type="dxa"/>
            <w:tcBorders>
              <w:top w:val="nil"/>
              <w:bottom w:val="nil"/>
            </w:tcBorders>
          </w:tcPr>
          <w:p>
            <w:pPr>
              <w:pStyle w:val="TableParagraph"/>
              <w:spacing w:line="241" w:lineRule="exact"/>
              <w:rPr>
                <w:sz w:val="22"/>
              </w:rPr>
            </w:pPr>
            <w:r>
              <w:rPr>
                <w:sz w:val="22"/>
              </w:rPr>
              <w:t>, Morelos</w:t>
            </w:r>
          </w:p>
        </w:tc>
        <w:tc>
          <w:tcPr>
            <w:tcW w:w="1087"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tiene la gente.</w:t>
            </w:r>
          </w:p>
        </w:tc>
        <w:tc>
          <w:tcPr>
            <w:tcW w:w="3901" w:type="dxa"/>
            <w:tcBorders>
              <w:top w:val="nil"/>
              <w:bottom w:val="nil"/>
            </w:tcBorders>
          </w:tcPr>
          <w:p>
            <w:pPr>
              <w:pStyle w:val="TableParagraph"/>
              <w:spacing w:line="241" w:lineRule="exact"/>
              <w:rPr>
                <w:sz w:val="22"/>
              </w:rPr>
            </w:pPr>
            <w:r>
              <w:rPr>
                <w:sz w:val="22"/>
              </w:rPr>
              <w:t>mantenimiento que antes.</w:t>
            </w:r>
          </w:p>
        </w:tc>
      </w:tr>
      <w:tr>
        <w:trPr>
          <w:trHeight w:val="253" w:hRule="exact"/>
        </w:trPr>
        <w:tc>
          <w:tcPr>
            <w:tcW w:w="1385" w:type="dxa"/>
            <w:tcBorders>
              <w:top w:val="nil"/>
              <w:bottom w:val="nil"/>
            </w:tcBorders>
          </w:tcPr>
          <w:p>
            <w:pPr>
              <w:pStyle w:val="TableParagraph"/>
              <w:spacing w:line="243" w:lineRule="exact"/>
              <w:ind w:left="405" w:right="127"/>
              <w:rPr>
                <w:sz w:val="22"/>
              </w:rPr>
            </w:pPr>
            <w:r>
              <w:rPr>
                <w:sz w:val="22"/>
              </w:rPr>
              <w:t>Marín</w:t>
            </w:r>
          </w:p>
        </w:tc>
        <w:tc>
          <w:tcPr>
            <w:tcW w:w="1274" w:type="dxa"/>
            <w:tcBorders>
              <w:top w:val="nil"/>
              <w:bottom w:val="nil"/>
            </w:tcBorders>
          </w:tcPr>
          <w:p>
            <w:pPr>
              <w:pStyle w:val="TableParagraph"/>
              <w:spacing w:line="243" w:lineRule="exact"/>
              <w:ind w:left="100" w:right="98"/>
              <w:rPr>
                <w:sz w:val="22"/>
              </w:rPr>
            </w:pPr>
            <w:r>
              <w:rPr>
                <w:sz w:val="22"/>
              </w:rPr>
              <w:t>Primaria</w:t>
            </w:r>
          </w:p>
        </w:tc>
        <w:tc>
          <w:tcPr>
            <w:tcW w:w="1887" w:type="dxa"/>
            <w:tcBorders>
              <w:top w:val="nil"/>
              <w:bottom w:val="nil"/>
            </w:tcBorders>
          </w:tcPr>
          <w:p>
            <w:pPr>
              <w:pStyle w:val="TableParagraph"/>
              <w:spacing w:line="243" w:lineRule="exact"/>
              <w:rPr>
                <w:sz w:val="22"/>
              </w:rPr>
            </w:pPr>
            <w:r>
              <w:rPr>
                <w:sz w:val="22"/>
              </w:rPr>
              <w:t>Comisión de</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left="124"/>
              <w:rPr>
                <w:sz w:val="22"/>
              </w:rPr>
            </w:pPr>
            <w:r>
              <w:rPr>
                <w:sz w:val="22"/>
              </w:rPr>
              <w:t>(29/8/2014)</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La  falta  de  agua es</w:t>
            </w:r>
          </w:p>
        </w:tc>
        <w:tc>
          <w:tcPr>
            <w:tcW w:w="3901" w:type="dxa"/>
            <w:tcBorders>
              <w:top w:val="nil"/>
              <w:bottom w:val="nil"/>
            </w:tcBorders>
          </w:tcPr>
          <w:p>
            <w:pPr>
              <w:pStyle w:val="TableParagraph"/>
              <w:spacing w:line="241" w:lineRule="exact"/>
              <w:rPr>
                <w:sz w:val="22"/>
              </w:rPr>
            </w:pPr>
            <w:r>
              <w:rPr>
                <w:sz w:val="22"/>
              </w:rPr>
              <w:t>Por falta de lluvias.</w:t>
            </w: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Agropecuario.</w:t>
            </w:r>
          </w:p>
        </w:tc>
        <w:tc>
          <w:tcPr>
            <w:tcW w:w="1375" w:type="dxa"/>
            <w:tcBorders>
              <w:top w:val="nil"/>
            </w:tcBorders>
          </w:tcPr>
          <w:p>
            <w:pPr/>
          </w:p>
        </w:tc>
        <w:tc>
          <w:tcPr>
            <w:tcW w:w="1087" w:type="dxa"/>
            <w:tcBorders>
              <w:top w:val="nil"/>
            </w:tcBorders>
          </w:tcPr>
          <w:p>
            <w:pPr/>
          </w:p>
        </w:tc>
        <w:tc>
          <w:tcPr>
            <w:tcW w:w="2314" w:type="dxa"/>
            <w:tcBorders>
              <w:top w:val="nil"/>
            </w:tcBorders>
          </w:tcPr>
          <w:p>
            <w:pPr>
              <w:pStyle w:val="TableParagraph"/>
              <w:spacing w:line="241" w:lineRule="exact"/>
              <w:ind w:left="100"/>
              <w:rPr>
                <w:sz w:val="22"/>
              </w:rPr>
            </w:pPr>
            <w:r>
              <w:rPr>
                <w:sz w:val="22"/>
              </w:rPr>
              <w:t>otro problema.</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left="376" w:right="127"/>
              <w:rPr>
                <w:sz w:val="22"/>
              </w:rPr>
            </w:pPr>
            <w:r>
              <w:rPr>
                <w:sz w:val="22"/>
              </w:rPr>
              <w:t>Daniel</w:t>
            </w:r>
          </w:p>
        </w:tc>
        <w:tc>
          <w:tcPr>
            <w:tcW w:w="1274" w:type="dxa"/>
            <w:tcBorders>
              <w:bottom w:val="nil"/>
            </w:tcBorders>
          </w:tcPr>
          <w:p>
            <w:pPr>
              <w:pStyle w:val="TableParagraph"/>
              <w:spacing w:line="251" w:lineRule="exact"/>
              <w:ind w:left="100" w:right="98"/>
              <w:rPr>
                <w:sz w:val="22"/>
              </w:rPr>
            </w:pPr>
            <w:r>
              <w:rPr>
                <w:sz w:val="22"/>
              </w:rPr>
              <w:t>Ingeniería</w:t>
            </w:r>
          </w:p>
        </w:tc>
        <w:tc>
          <w:tcPr>
            <w:tcW w:w="1887" w:type="dxa"/>
            <w:tcBorders>
              <w:bottom w:val="nil"/>
            </w:tcBorders>
          </w:tcPr>
          <w:p>
            <w:pPr>
              <w:pStyle w:val="TableParagraph"/>
              <w:spacing w:line="251" w:lineRule="exact"/>
              <w:rPr>
                <w:sz w:val="22"/>
              </w:rPr>
            </w:pPr>
            <w:r>
              <w:rPr>
                <w:sz w:val="22"/>
              </w:rPr>
              <w:t>Décimo Regidor.</w:t>
            </w:r>
          </w:p>
        </w:tc>
        <w:tc>
          <w:tcPr>
            <w:tcW w:w="1375" w:type="dxa"/>
            <w:tcBorders>
              <w:bottom w:val="nil"/>
            </w:tcBorders>
          </w:tcPr>
          <w:p>
            <w:pPr>
              <w:pStyle w:val="TableParagraph"/>
              <w:spacing w:line="251" w:lineRule="exact"/>
              <w:ind w:left="338"/>
              <w:rPr>
                <w:sz w:val="22"/>
              </w:rPr>
            </w:pPr>
            <w:r>
              <w:rPr>
                <w:sz w:val="22"/>
              </w:rPr>
              <w:t>Distrito</w:t>
            </w:r>
          </w:p>
        </w:tc>
        <w:tc>
          <w:tcPr>
            <w:tcW w:w="1087" w:type="dxa"/>
            <w:tcBorders>
              <w:bottom w:val="nil"/>
            </w:tcBorders>
          </w:tcPr>
          <w:p>
            <w:pPr>
              <w:pStyle w:val="TableParagraph"/>
              <w:spacing w:line="251" w:lineRule="exact"/>
              <w:ind w:left="0" w:right="105"/>
              <w:jc w:val="right"/>
              <w:rPr>
                <w:sz w:val="22"/>
              </w:rPr>
            </w:pPr>
            <w:r>
              <w:rPr>
                <w:sz w:val="22"/>
              </w:rPr>
              <w:t>Jilotepec</w:t>
            </w:r>
          </w:p>
        </w:tc>
        <w:tc>
          <w:tcPr>
            <w:tcW w:w="2314" w:type="dxa"/>
            <w:tcBorders>
              <w:bottom w:val="nil"/>
            </w:tcBorders>
          </w:tcPr>
          <w:p>
            <w:pPr>
              <w:pStyle w:val="TableParagraph"/>
              <w:spacing w:line="251" w:lineRule="exact"/>
              <w:ind w:left="100"/>
              <w:rPr>
                <w:sz w:val="22"/>
              </w:rPr>
            </w:pPr>
            <w:r>
              <w:rPr>
                <w:sz w:val="22"/>
              </w:rPr>
              <w:t>La contaminación.</w:t>
            </w:r>
          </w:p>
        </w:tc>
        <w:tc>
          <w:tcPr>
            <w:tcW w:w="3901" w:type="dxa"/>
            <w:tcBorders>
              <w:bottom w:val="nil"/>
            </w:tcBorders>
          </w:tcPr>
          <w:p>
            <w:pPr>
              <w:pStyle w:val="TableParagraph"/>
              <w:spacing w:line="251" w:lineRule="exact"/>
              <w:rPr>
                <w:sz w:val="22"/>
              </w:rPr>
            </w:pPr>
            <w:r>
              <w:rPr>
                <w:sz w:val="22"/>
              </w:rPr>
              <w:t>Porque  muchas  personas  tiran  sus</w:t>
            </w:r>
          </w:p>
        </w:tc>
      </w:tr>
      <w:tr>
        <w:trPr>
          <w:trHeight w:val="253" w:hRule="exact"/>
        </w:trPr>
        <w:tc>
          <w:tcPr>
            <w:tcW w:w="1385" w:type="dxa"/>
            <w:tcBorders>
              <w:top w:val="nil"/>
              <w:bottom w:val="nil"/>
            </w:tcBorders>
          </w:tcPr>
          <w:p>
            <w:pPr>
              <w:pStyle w:val="TableParagraph"/>
              <w:spacing w:line="241" w:lineRule="exact"/>
              <w:ind w:left="227" w:right="127"/>
              <w:rPr>
                <w:sz w:val="22"/>
              </w:rPr>
            </w:pPr>
            <w:r>
              <w:rPr>
                <w:sz w:val="22"/>
              </w:rPr>
              <w:t>Arciniega</w:t>
            </w:r>
          </w:p>
        </w:tc>
        <w:tc>
          <w:tcPr>
            <w:tcW w:w="1274" w:type="dxa"/>
            <w:tcBorders>
              <w:top w:val="nil"/>
              <w:bottom w:val="nil"/>
            </w:tcBorders>
          </w:tcPr>
          <w:p>
            <w:pPr>
              <w:pStyle w:val="TableParagraph"/>
              <w:spacing w:line="241" w:lineRule="exact"/>
              <w:ind w:left="100" w:right="98"/>
              <w:rPr>
                <w:sz w:val="22"/>
              </w:rPr>
            </w:pPr>
            <w:r>
              <w:rPr>
                <w:sz w:val="22"/>
              </w:rPr>
              <w:t>Industrial</w:t>
            </w:r>
          </w:p>
        </w:tc>
        <w:tc>
          <w:tcPr>
            <w:tcW w:w="1887" w:type="dxa"/>
            <w:tcBorders>
              <w:top w:val="nil"/>
              <w:bottom w:val="nil"/>
            </w:tcBorders>
          </w:tcPr>
          <w:p>
            <w:pPr>
              <w:pStyle w:val="TableParagraph"/>
              <w:spacing w:line="241" w:lineRule="exact"/>
              <w:rPr>
                <w:sz w:val="22"/>
              </w:rPr>
            </w:pPr>
            <w:r>
              <w:rPr>
                <w:sz w:val="22"/>
              </w:rPr>
              <w:t>Encargado  de la</w:t>
            </w:r>
          </w:p>
        </w:tc>
        <w:tc>
          <w:tcPr>
            <w:tcW w:w="1375" w:type="dxa"/>
            <w:tcBorders>
              <w:top w:val="nil"/>
              <w:bottom w:val="nil"/>
            </w:tcBorders>
          </w:tcPr>
          <w:p>
            <w:pPr>
              <w:pStyle w:val="TableParagraph"/>
              <w:spacing w:line="241" w:lineRule="exact"/>
              <w:ind w:left="309"/>
              <w:rPr>
                <w:sz w:val="22"/>
              </w:rPr>
            </w:pPr>
            <w:r>
              <w:rPr>
                <w:sz w:val="22"/>
              </w:rPr>
              <w:t>Federal</w:t>
            </w: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residuos a la laguna.</w:t>
            </w:r>
          </w:p>
        </w:tc>
      </w:tr>
      <w:tr>
        <w:trPr>
          <w:trHeight w:val="253" w:hRule="exact"/>
        </w:trPr>
        <w:tc>
          <w:tcPr>
            <w:tcW w:w="1385" w:type="dxa"/>
            <w:tcBorders>
              <w:top w:val="nil"/>
              <w:bottom w:val="nil"/>
            </w:tcBorders>
          </w:tcPr>
          <w:p>
            <w:pPr>
              <w:pStyle w:val="TableParagraph"/>
              <w:spacing w:line="242" w:lineRule="exact"/>
              <w:ind w:left="227" w:right="127"/>
              <w:rPr>
                <w:sz w:val="22"/>
              </w:rPr>
            </w:pPr>
            <w:r>
              <w:rPr>
                <w:sz w:val="22"/>
              </w:rPr>
              <w:t>Sandoval</w:t>
            </w:r>
          </w:p>
        </w:tc>
        <w:tc>
          <w:tcPr>
            <w:tcW w:w="1274" w:type="dxa"/>
            <w:tcBorders>
              <w:top w:val="nil"/>
              <w:bottom w:val="nil"/>
            </w:tcBorders>
          </w:tcPr>
          <w:p>
            <w:pPr>
              <w:pStyle w:val="TableParagraph"/>
              <w:spacing w:line="242" w:lineRule="exact"/>
              <w:ind w:left="100" w:right="98"/>
              <w:rPr>
                <w:sz w:val="22"/>
              </w:rPr>
            </w:pPr>
            <w:r>
              <w:rPr>
                <w:sz w:val="22"/>
              </w:rPr>
              <w:t>Textil</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(carrera</w:t>
            </w:r>
          </w:p>
        </w:tc>
        <w:tc>
          <w:tcPr>
            <w:tcW w:w="1887" w:type="dxa"/>
            <w:tcBorders>
              <w:top w:val="nil"/>
              <w:bottom w:val="nil"/>
            </w:tcBorders>
          </w:tcPr>
          <w:p>
            <w:pPr>
              <w:pStyle w:val="TableParagraph"/>
              <w:spacing w:line="241" w:lineRule="exact"/>
              <w:rPr>
                <w:sz w:val="22"/>
              </w:rPr>
            </w:pPr>
            <w:r>
              <w:rPr>
                <w:sz w:val="22"/>
              </w:rPr>
              <w:t>Turismo.</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El estiaje o la sequía.</w:t>
            </w:r>
          </w:p>
        </w:tc>
        <w:tc>
          <w:tcPr>
            <w:tcW w:w="3901" w:type="dxa"/>
            <w:tcBorders>
              <w:top w:val="nil"/>
              <w:bottom w:val="nil"/>
            </w:tcBorders>
          </w:tcPr>
          <w:p>
            <w:pPr>
              <w:pStyle w:val="TableParagraph"/>
              <w:spacing w:line="241" w:lineRule="exact"/>
              <w:rPr>
                <w:sz w:val="22"/>
              </w:rPr>
            </w:pPr>
            <w:r>
              <w:rPr>
                <w:sz w:val="22"/>
              </w:rPr>
              <w:t>Por falta de lluvia.</w:t>
            </w:r>
          </w:p>
        </w:tc>
      </w:tr>
      <w:tr>
        <w:trPr>
          <w:trHeight w:val="445" w:hRule="exact"/>
        </w:trPr>
        <w:tc>
          <w:tcPr>
            <w:tcW w:w="1385" w:type="dxa"/>
            <w:tcBorders>
              <w:top w:val="nil"/>
            </w:tcBorders>
          </w:tcPr>
          <w:p>
            <w:pPr>
              <w:pStyle w:val="TableParagraph"/>
              <w:spacing w:line="242" w:lineRule="exact"/>
              <w:ind w:left="124"/>
              <w:rPr>
                <w:sz w:val="22"/>
              </w:rPr>
            </w:pPr>
            <w:r>
              <w:rPr>
                <w:sz w:val="22"/>
              </w:rPr>
              <w:t>(29/8/2014)</w:t>
            </w:r>
          </w:p>
        </w:tc>
        <w:tc>
          <w:tcPr>
            <w:tcW w:w="1274" w:type="dxa"/>
            <w:tcBorders>
              <w:top w:val="nil"/>
            </w:tcBorders>
          </w:tcPr>
          <w:p>
            <w:pPr>
              <w:pStyle w:val="TableParagraph"/>
              <w:spacing w:line="242" w:lineRule="exact"/>
              <w:ind w:left="100" w:right="98"/>
              <w:rPr>
                <w:sz w:val="22"/>
              </w:rPr>
            </w:pPr>
            <w:r>
              <w:rPr>
                <w:sz w:val="22"/>
              </w:rPr>
              <w:t>trunca)</w:t>
            </w:r>
          </w:p>
        </w:tc>
        <w:tc>
          <w:tcPr>
            <w:tcW w:w="1887" w:type="dxa"/>
            <w:tcBorders>
              <w:top w:val="nil"/>
            </w:tcBorders>
          </w:tcPr>
          <w:p>
            <w:pPr/>
          </w:p>
        </w:tc>
        <w:tc>
          <w:tcPr>
            <w:tcW w:w="1375" w:type="dxa"/>
            <w:tcBorders>
              <w:top w:val="nil"/>
            </w:tcBorders>
          </w:tcPr>
          <w:p>
            <w:pPr/>
          </w:p>
        </w:tc>
        <w:tc>
          <w:tcPr>
            <w:tcW w:w="1087" w:type="dxa"/>
            <w:tcBorders>
              <w:top w:val="nil"/>
            </w:tcBorders>
          </w:tcPr>
          <w:p>
            <w:pPr/>
          </w:p>
        </w:tc>
        <w:tc>
          <w:tcPr>
            <w:tcW w:w="2314" w:type="dxa"/>
            <w:tcBorders>
              <w:top w:val="nil"/>
            </w:tcBorders>
          </w:tcPr>
          <w:p>
            <w:pPr/>
          </w:p>
        </w:tc>
        <w:tc>
          <w:tcPr>
            <w:tcW w:w="3901" w:type="dxa"/>
            <w:tcBorders>
              <w:top w:val="nil"/>
            </w:tcBorders>
          </w:tcPr>
          <w:p>
            <w:pPr/>
          </w:p>
        </w:tc>
      </w:tr>
      <w:tr>
        <w:trPr>
          <w:trHeight w:val="268" w:hRule="exact"/>
        </w:trPr>
        <w:tc>
          <w:tcPr>
            <w:tcW w:w="1385" w:type="dxa"/>
            <w:tcBorders>
              <w:bottom w:val="nil"/>
            </w:tcBorders>
          </w:tcPr>
          <w:p>
            <w:pPr>
              <w:pStyle w:val="TableParagraph"/>
              <w:spacing w:line="251" w:lineRule="exact"/>
              <w:ind w:left="343" w:right="127"/>
              <w:rPr>
                <w:sz w:val="22"/>
              </w:rPr>
            </w:pPr>
            <w:r>
              <w:rPr>
                <w:sz w:val="22"/>
              </w:rPr>
              <w:t>Santos</w:t>
            </w:r>
          </w:p>
        </w:tc>
        <w:tc>
          <w:tcPr>
            <w:tcW w:w="1274" w:type="dxa"/>
            <w:tcBorders>
              <w:bottom w:val="nil"/>
            </w:tcBorders>
          </w:tcPr>
          <w:p>
            <w:pP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375" w:type="dxa"/>
            <w:tcBorders>
              <w:bottom w:val="nil"/>
            </w:tcBorders>
          </w:tcPr>
          <w:p>
            <w:pPr>
              <w:pStyle w:val="TableParagraph"/>
              <w:spacing w:line="251" w:lineRule="exact"/>
              <w:rPr>
                <w:sz w:val="22"/>
              </w:rPr>
            </w:pPr>
            <w:r>
              <w:rPr>
                <w:sz w:val="22"/>
              </w:rPr>
              <w:t>Jilotepec</w:t>
            </w:r>
          </w:p>
        </w:tc>
        <w:tc>
          <w:tcPr>
            <w:tcW w:w="1087" w:type="dxa"/>
            <w:tcBorders>
              <w:bottom w:val="nil"/>
            </w:tcBorders>
          </w:tcPr>
          <w:p>
            <w:pPr>
              <w:pStyle w:val="TableParagraph"/>
              <w:spacing w:line="251" w:lineRule="exact"/>
              <w:ind w:left="0" w:right="105"/>
              <w:jc w:val="right"/>
              <w:rPr>
                <w:sz w:val="22"/>
              </w:rPr>
            </w:pPr>
            <w:r>
              <w:rPr>
                <w:sz w:val="22"/>
              </w:rPr>
              <w:t>Jilotepec</w:t>
            </w:r>
          </w:p>
        </w:tc>
        <w:tc>
          <w:tcPr>
            <w:tcW w:w="2314" w:type="dxa"/>
            <w:tcBorders>
              <w:bottom w:val="nil"/>
            </w:tcBorders>
          </w:tcPr>
          <w:p>
            <w:pPr>
              <w:pStyle w:val="TableParagraph"/>
              <w:tabs>
                <w:tab w:pos="570" w:val="left" w:leader="none"/>
                <w:tab w:pos="2029" w:val="left" w:leader="none"/>
              </w:tabs>
              <w:spacing w:line="251" w:lineRule="exact"/>
              <w:ind w:left="100"/>
              <w:rPr>
                <w:sz w:val="22"/>
              </w:rPr>
            </w:pPr>
            <w:r>
              <w:rPr>
                <w:sz w:val="22"/>
              </w:rPr>
              <w:t>Es</w:t>
              <w:tab/>
              <w:t>básicamente</w:t>
              <w:tab/>
              <w:t>la</w:t>
            </w:r>
          </w:p>
        </w:tc>
        <w:tc>
          <w:tcPr>
            <w:tcW w:w="3901" w:type="dxa"/>
            <w:tcBorders>
              <w:bottom w:val="nil"/>
            </w:tcBorders>
          </w:tcPr>
          <w:p>
            <w:pPr>
              <w:pStyle w:val="TableParagraph"/>
              <w:spacing w:line="251" w:lineRule="exact"/>
              <w:rPr>
                <w:sz w:val="22"/>
              </w:rPr>
            </w:pPr>
            <w:r>
              <w:rPr>
                <w:sz w:val="22"/>
              </w:rPr>
              <w:t>Porque  está  rodeada  de   población</w:t>
            </w:r>
          </w:p>
        </w:tc>
      </w:tr>
      <w:tr>
        <w:trPr>
          <w:trHeight w:val="254" w:hRule="exact"/>
        </w:trPr>
        <w:tc>
          <w:tcPr>
            <w:tcW w:w="1385" w:type="dxa"/>
            <w:tcBorders>
              <w:top w:val="nil"/>
              <w:bottom w:val="nil"/>
            </w:tcBorders>
          </w:tcPr>
          <w:p>
            <w:pPr>
              <w:pStyle w:val="TableParagraph"/>
              <w:spacing w:line="243" w:lineRule="exact"/>
              <w:ind w:left="259" w:right="127"/>
              <w:rPr>
                <w:sz w:val="22"/>
              </w:rPr>
            </w:pPr>
            <w:r>
              <w:rPr>
                <w:sz w:val="22"/>
              </w:rPr>
              <w:t>Martínez</w:t>
            </w:r>
          </w:p>
        </w:tc>
        <w:tc>
          <w:tcPr>
            <w:tcW w:w="1274" w:type="dxa"/>
            <w:tcBorders>
              <w:top w:val="nil"/>
              <w:bottom w:val="nil"/>
            </w:tcBorders>
          </w:tcPr>
          <w:p>
            <w:pPr>
              <w:pStyle w:val="TableParagraph"/>
              <w:spacing w:line="243" w:lineRule="exact"/>
              <w:ind w:left="104" w:right="105"/>
              <w:jc w:val="center"/>
              <w:rPr>
                <w:sz w:val="22"/>
              </w:rPr>
            </w:pPr>
            <w:r>
              <w:rPr>
                <w:sz w:val="22"/>
              </w:rPr>
              <w:t>S/D</w:t>
            </w:r>
          </w:p>
        </w:tc>
        <w:tc>
          <w:tcPr>
            <w:tcW w:w="1887" w:type="dxa"/>
            <w:tcBorders>
              <w:top w:val="nil"/>
              <w:bottom w:val="nil"/>
            </w:tcBorders>
          </w:tcPr>
          <w:p>
            <w:pPr>
              <w:pStyle w:val="TableParagraph"/>
              <w:spacing w:line="243" w:lineRule="exact"/>
              <w:rPr>
                <w:sz w:val="22"/>
              </w:rPr>
            </w:pPr>
            <w:r>
              <w:rPr>
                <w:sz w:val="22"/>
              </w:rPr>
              <w:t>Departamento</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contaminación.</w:t>
            </w:r>
          </w:p>
        </w:tc>
        <w:tc>
          <w:tcPr>
            <w:tcW w:w="3901" w:type="dxa"/>
            <w:tcBorders>
              <w:top w:val="nil"/>
              <w:bottom w:val="nil"/>
            </w:tcBorders>
          </w:tcPr>
          <w:p>
            <w:pPr>
              <w:pStyle w:val="TableParagraph"/>
              <w:spacing w:line="243" w:lineRule="exact"/>
              <w:rPr>
                <w:sz w:val="22"/>
              </w:rPr>
            </w:pPr>
            <w:r>
              <w:rPr>
                <w:sz w:val="22"/>
              </w:rPr>
              <w:t>que contamina con drenajes.</w:t>
            </w:r>
          </w:p>
        </w:tc>
      </w:tr>
      <w:tr>
        <w:trPr>
          <w:trHeight w:val="379" w:hRule="exact"/>
        </w:trPr>
        <w:tc>
          <w:tcPr>
            <w:tcW w:w="1385" w:type="dxa"/>
            <w:tcBorders>
              <w:top w:val="nil"/>
              <w:bottom w:val="nil"/>
            </w:tcBorders>
          </w:tcPr>
          <w:p>
            <w:pPr>
              <w:pStyle w:val="TableParagraph"/>
              <w:spacing w:line="241" w:lineRule="exact"/>
              <w:ind w:left="223" w:right="127"/>
              <w:rPr>
                <w:sz w:val="22"/>
              </w:rPr>
            </w:pPr>
            <w:r>
              <w:rPr>
                <w:sz w:val="22"/>
              </w:rPr>
              <w:t>Alcántara</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 Ecología</w:t>
            </w:r>
          </w:p>
        </w:tc>
        <w:tc>
          <w:tcPr>
            <w:tcW w:w="1375" w:type="dxa"/>
            <w:tcBorders>
              <w:top w:val="nil"/>
              <w:bottom w:val="nil"/>
            </w:tcBorders>
          </w:tcPr>
          <w:p>
            <w:pPr/>
          </w:p>
        </w:tc>
        <w:tc>
          <w:tcPr>
            <w:tcW w:w="1087"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375" w:hRule="exact"/>
        </w:trPr>
        <w:tc>
          <w:tcPr>
            <w:tcW w:w="1385" w:type="dxa"/>
            <w:tcBorders>
              <w:top w:val="nil"/>
            </w:tcBorders>
          </w:tcPr>
          <w:p>
            <w:pPr>
              <w:pStyle w:val="TableParagraph"/>
              <w:spacing w:before="115"/>
              <w:ind w:left="155"/>
              <w:rPr>
                <w:sz w:val="22"/>
              </w:rPr>
            </w:pPr>
            <w:r>
              <w:rPr>
                <w:sz w:val="22"/>
              </w:rPr>
              <w:t>(15/I/2014)</w:t>
            </w:r>
          </w:p>
        </w:tc>
        <w:tc>
          <w:tcPr>
            <w:tcW w:w="1274" w:type="dxa"/>
            <w:tcBorders>
              <w:top w:val="nil"/>
            </w:tcBorders>
          </w:tcPr>
          <w:p>
            <w:pPr/>
          </w:p>
        </w:tc>
        <w:tc>
          <w:tcPr>
            <w:tcW w:w="1887" w:type="dxa"/>
            <w:tcBorders>
              <w:top w:val="nil"/>
            </w:tcBorders>
          </w:tcPr>
          <w:p>
            <w:pPr/>
          </w:p>
        </w:tc>
        <w:tc>
          <w:tcPr>
            <w:tcW w:w="1375" w:type="dxa"/>
            <w:tcBorders>
              <w:top w:val="nil"/>
            </w:tcBorders>
          </w:tcPr>
          <w:p>
            <w:pPr/>
          </w:p>
        </w:tc>
        <w:tc>
          <w:tcPr>
            <w:tcW w:w="1087" w:type="dxa"/>
            <w:tcBorders>
              <w:top w:val="nil"/>
            </w:tcBorders>
          </w:tcPr>
          <w:p>
            <w:pPr/>
          </w:p>
        </w:tc>
        <w:tc>
          <w:tcPr>
            <w:tcW w:w="2314" w:type="dxa"/>
            <w:tcBorders>
              <w:top w:val="nil"/>
            </w:tcBorders>
          </w:tcPr>
          <w:p>
            <w:pPr/>
          </w:p>
        </w:tc>
        <w:tc>
          <w:tcPr>
            <w:tcW w:w="3901" w:type="dxa"/>
            <w:tcBorders>
              <w:top w:val="nil"/>
            </w:tcBorders>
          </w:tcPr>
          <w:p>
            <w:pPr/>
          </w:p>
        </w:tc>
      </w:tr>
      <w:tr>
        <w:trPr>
          <w:trHeight w:val="518" w:hRule="exact"/>
        </w:trPr>
        <w:tc>
          <w:tcPr>
            <w:tcW w:w="1385" w:type="dxa"/>
          </w:tcPr>
          <w:p>
            <w:pPr>
              <w:pStyle w:val="TableParagraph"/>
              <w:ind w:left="259" w:right="240" w:firstLine="134"/>
              <w:rPr>
                <w:sz w:val="22"/>
              </w:rPr>
            </w:pPr>
            <w:r>
              <w:rPr>
                <w:sz w:val="22"/>
              </w:rPr>
              <w:t>Jaime Sánchez</w:t>
            </w:r>
          </w:p>
        </w:tc>
        <w:tc>
          <w:tcPr>
            <w:tcW w:w="1274" w:type="dxa"/>
          </w:tcPr>
          <w:p>
            <w:pPr/>
          </w:p>
        </w:tc>
        <w:tc>
          <w:tcPr>
            <w:tcW w:w="1887" w:type="dxa"/>
          </w:tcPr>
          <w:p>
            <w:pPr>
              <w:pStyle w:val="TableParagraph"/>
              <w:tabs>
                <w:tab w:pos="1480" w:val="left" w:leader="none"/>
              </w:tabs>
              <w:spacing w:line="252" w:lineRule="exact"/>
              <w:rPr>
                <w:sz w:val="22"/>
              </w:rPr>
            </w:pPr>
            <w:r>
              <w:rPr>
                <w:sz w:val="22"/>
              </w:rPr>
              <w:t>Jefe</w:t>
              <w:tab/>
              <w:t>del</w:t>
            </w:r>
          </w:p>
          <w:p>
            <w:pPr>
              <w:pStyle w:val="TableParagraph"/>
              <w:spacing w:line="252" w:lineRule="exact"/>
              <w:rPr>
                <w:sz w:val="22"/>
              </w:rPr>
            </w:pPr>
            <w:r>
              <w:rPr>
                <w:sz w:val="22"/>
              </w:rPr>
              <w:t>Departamento</w:t>
            </w:r>
          </w:p>
        </w:tc>
        <w:tc>
          <w:tcPr>
            <w:tcW w:w="1375" w:type="dxa"/>
          </w:tcPr>
          <w:p>
            <w:pPr>
              <w:pStyle w:val="TableParagraph"/>
              <w:ind w:left="309" w:right="290" w:firstLine="28"/>
              <w:rPr>
                <w:sz w:val="22"/>
              </w:rPr>
            </w:pPr>
            <w:r>
              <w:rPr>
                <w:sz w:val="22"/>
              </w:rPr>
              <w:t>Distrito Federal</w:t>
            </w:r>
          </w:p>
        </w:tc>
        <w:tc>
          <w:tcPr>
            <w:tcW w:w="1087" w:type="dxa"/>
          </w:tcPr>
          <w:p>
            <w:pPr>
              <w:pStyle w:val="TableParagraph"/>
              <w:ind w:left="0" w:right="105"/>
              <w:jc w:val="right"/>
              <w:rPr>
                <w:sz w:val="22"/>
              </w:rPr>
            </w:pPr>
            <w:r>
              <w:rPr>
                <w:sz w:val="22"/>
              </w:rPr>
              <w:t>Jilotepec</w:t>
            </w:r>
          </w:p>
        </w:tc>
        <w:tc>
          <w:tcPr>
            <w:tcW w:w="2314" w:type="dxa"/>
          </w:tcPr>
          <w:p>
            <w:pPr>
              <w:pStyle w:val="TableParagraph"/>
              <w:ind w:left="100"/>
              <w:rPr>
                <w:sz w:val="22"/>
              </w:rPr>
            </w:pPr>
            <w:r>
              <w:rPr>
                <w:sz w:val="22"/>
              </w:rPr>
              <w:t>La contaminación.</w:t>
            </w:r>
          </w:p>
        </w:tc>
        <w:tc>
          <w:tcPr>
            <w:tcW w:w="3901" w:type="dxa"/>
          </w:tcPr>
          <w:p>
            <w:pPr>
              <w:pStyle w:val="TableParagraph"/>
              <w:tabs>
                <w:tab w:pos="1000" w:val="left" w:leader="none"/>
                <w:tab w:pos="1468" w:val="left" w:leader="none"/>
                <w:tab w:pos="1972" w:val="left" w:leader="none"/>
                <w:tab w:pos="3039" w:val="left" w:leader="none"/>
                <w:tab w:pos="3507" w:val="left" w:leader="none"/>
              </w:tabs>
              <w:ind w:right="100"/>
              <w:rPr>
                <w:sz w:val="22"/>
              </w:rPr>
            </w:pPr>
            <w:r>
              <w:rPr>
                <w:sz w:val="22"/>
              </w:rPr>
              <w:t>Porque llegan descargas de aguas negras</w:t>
              <w:tab/>
              <w:t>de</w:t>
              <w:tab/>
              <w:t>los</w:t>
              <w:tab/>
              <w:t>drenajes</w:t>
              <w:tab/>
              <w:t>de</w:t>
              <w:tab/>
              <w:t>los</w:t>
            </w:r>
          </w:p>
        </w:tc>
      </w:tr>
    </w:tbl>
    <w:p>
      <w:pPr>
        <w:spacing w:after="0"/>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375"/>
        <w:gridCol w:w="1087"/>
        <w:gridCol w:w="2314"/>
        <w:gridCol w:w="3901"/>
      </w:tblGrid>
      <w:tr>
        <w:trPr>
          <w:trHeight w:val="1022" w:hRule="exact"/>
        </w:trPr>
        <w:tc>
          <w:tcPr>
            <w:tcW w:w="1385" w:type="dxa"/>
          </w:tcPr>
          <w:p>
            <w:pPr>
              <w:pStyle w:val="TableParagraph"/>
              <w:spacing w:line="480" w:lineRule="auto"/>
              <w:ind w:left="155" w:right="136" w:firstLine="134"/>
              <w:rPr>
                <w:sz w:val="22"/>
              </w:rPr>
            </w:pPr>
            <w:r>
              <w:rPr>
                <w:sz w:val="22"/>
              </w:rPr>
              <w:t>Miranda (15/I/2014)</w:t>
            </w:r>
          </w:p>
        </w:tc>
        <w:tc>
          <w:tcPr>
            <w:tcW w:w="1274" w:type="dxa"/>
          </w:tcPr>
          <w:p>
            <w:pPr>
              <w:pStyle w:val="TableParagraph"/>
              <w:ind w:left="100" w:right="92"/>
              <w:rPr>
                <w:sz w:val="22"/>
              </w:rPr>
            </w:pPr>
            <w:r>
              <w:rPr>
                <w:sz w:val="22"/>
              </w:rPr>
              <w:t>Licenciado en Economía</w:t>
            </w:r>
          </w:p>
        </w:tc>
        <w:tc>
          <w:tcPr>
            <w:tcW w:w="1887" w:type="dxa"/>
          </w:tcPr>
          <w:p>
            <w:pPr>
              <w:pStyle w:val="TableParagraph"/>
              <w:ind w:right="99"/>
              <w:jc w:val="both"/>
              <w:rPr>
                <w:sz w:val="22"/>
              </w:rPr>
            </w:pPr>
            <w:r>
              <w:rPr>
                <w:sz w:val="22"/>
              </w:rPr>
              <w:t>de Fomento Económico y Turismo</w:t>
            </w:r>
          </w:p>
        </w:tc>
        <w:tc>
          <w:tcPr>
            <w:tcW w:w="1375" w:type="dxa"/>
          </w:tcPr>
          <w:p>
            <w:pPr/>
          </w:p>
        </w:tc>
        <w:tc>
          <w:tcPr>
            <w:tcW w:w="1087" w:type="dxa"/>
          </w:tcPr>
          <w:p>
            <w:pPr/>
          </w:p>
        </w:tc>
        <w:tc>
          <w:tcPr>
            <w:tcW w:w="2314" w:type="dxa"/>
          </w:tcPr>
          <w:p>
            <w:pPr/>
          </w:p>
        </w:tc>
        <w:tc>
          <w:tcPr>
            <w:tcW w:w="3901" w:type="dxa"/>
          </w:tcPr>
          <w:p>
            <w:pPr>
              <w:pStyle w:val="TableParagraph"/>
              <w:spacing w:line="252" w:lineRule="exact" w:before="2"/>
              <w:rPr>
                <w:sz w:val="22"/>
              </w:rPr>
            </w:pPr>
            <w:r>
              <w:rPr>
                <w:sz w:val="22"/>
              </w:rPr>
              <w:t>hogares y algunas fábricas también desembocan sus aguas negras.</w:t>
            </w:r>
          </w:p>
        </w:tc>
      </w:tr>
    </w:tbl>
    <w:p>
      <w:pPr>
        <w:pStyle w:val="BodyText"/>
        <w:spacing w:line="248" w:lineRule="exact"/>
        <w:ind w:left="218" w:right="778"/>
      </w:pPr>
      <w:r>
        <w:rPr>
          <w:b/>
        </w:rPr>
        <w:t>Fuente: </w:t>
      </w:r>
      <w:r>
        <w:rPr/>
        <w:t>Elaboración propia con base en el Trabajo de Campo, García (2013-2015).</w:t>
      </w:r>
    </w:p>
    <w:p>
      <w:pPr>
        <w:pStyle w:val="BodyText"/>
        <w:spacing w:before="6"/>
        <w:rPr>
          <w:sz w:val="20"/>
        </w:rPr>
      </w:pPr>
    </w:p>
    <w:p>
      <w:pPr>
        <w:pStyle w:val="Heading6"/>
        <w:spacing w:after="6"/>
        <w:ind w:left="2244" w:right="778"/>
      </w:pPr>
      <w:r>
        <w:rPr/>
        <w:t>Tabla 6.11. Municipio de Jilotepec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9" w:right="4869"/>
              <w:jc w:val="center"/>
              <w:rPr>
                <w:b/>
                <w:sz w:val="22"/>
              </w:rPr>
            </w:pPr>
            <w:r>
              <w:rPr>
                <w:b/>
                <w:sz w:val="22"/>
              </w:rPr>
              <w:t>JILOTEPEC</w:t>
            </w:r>
          </w:p>
        </w:tc>
      </w:tr>
      <w:tr>
        <w:trPr>
          <w:trHeight w:val="526" w:hRule="exact"/>
        </w:trPr>
        <w:tc>
          <w:tcPr>
            <w:tcW w:w="4547" w:type="dxa"/>
            <w:gridSpan w:val="3"/>
            <w:vMerge w:val="restart"/>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8"/>
              <w:ind w:left="0"/>
              <w:rPr>
                <w:b/>
                <w:sz w:val="21"/>
              </w:rPr>
            </w:pPr>
          </w:p>
          <w:p>
            <w:pPr>
              <w:pStyle w:val="TableParagraph"/>
              <w:ind w:left="2695"/>
              <w:rPr>
                <w:b/>
                <w:sz w:val="22"/>
              </w:rPr>
            </w:pPr>
            <w:r>
              <w:rPr>
                <w:b/>
                <w:sz w:val="22"/>
              </w:rPr>
              <w:t>PRINCIPIOS DE GOBERNANZA</w:t>
            </w:r>
          </w:p>
        </w:tc>
      </w:tr>
      <w:tr>
        <w:trPr>
          <w:trHeight w:val="262"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Poder</w:t>
            </w:r>
          </w:p>
        </w:tc>
        <w:tc>
          <w:tcPr>
            <w:tcW w:w="3901" w:type="dxa"/>
            <w:shd w:val="clear" w:color="auto" w:fill="92CDDC"/>
          </w:tcPr>
          <w:p>
            <w:pPr>
              <w:pStyle w:val="TableParagraph"/>
              <w:spacing w:line="251" w:lineRule="exact"/>
              <w:rPr>
                <w:b/>
                <w:i/>
                <w:sz w:val="22"/>
              </w:rPr>
            </w:pPr>
            <w:r>
              <w:rPr>
                <w:b/>
                <w:i/>
                <w:sz w:val="22"/>
              </w:rPr>
              <w:t>Poder</w:t>
            </w:r>
          </w:p>
        </w:tc>
      </w:tr>
      <w:tr>
        <w:trPr>
          <w:trHeight w:val="265"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tabs>
                <w:tab w:pos="1298" w:val="left" w:leader="none"/>
              </w:tabs>
              <w:spacing w:line="248" w:lineRule="exact"/>
              <w:ind w:left="100"/>
              <w:rPr>
                <w:b/>
                <w:sz w:val="22"/>
              </w:rPr>
            </w:pPr>
            <w:r>
              <w:rPr>
                <w:b/>
                <w:sz w:val="22"/>
              </w:rPr>
              <w:t>¿Qué</w:t>
              <w:tab/>
              <w:t>solución</w:t>
            </w:r>
          </w:p>
        </w:tc>
        <w:tc>
          <w:tcPr>
            <w:tcW w:w="3901" w:type="dxa"/>
            <w:tcBorders>
              <w:bottom w:val="nil"/>
            </w:tcBorders>
            <w:shd w:val="clear" w:color="auto" w:fill="92CDDC"/>
          </w:tcPr>
          <w:p>
            <w:pPr>
              <w:pStyle w:val="TableParagraph"/>
              <w:tabs>
                <w:tab w:pos="2157" w:val="left" w:leader="none"/>
              </w:tabs>
              <w:spacing w:line="248" w:lineRule="exact"/>
              <w:rPr>
                <w:b/>
                <w:sz w:val="22"/>
              </w:rPr>
            </w:pPr>
            <w:r>
              <w:rPr>
                <w:b/>
                <w:sz w:val="22"/>
              </w:rPr>
              <w:t>¿Quiénes  </w:t>
            </w:r>
            <w:r>
              <w:rPr>
                <w:b/>
                <w:spacing w:val="15"/>
                <w:sz w:val="22"/>
              </w:rPr>
              <w:t> </w:t>
            </w:r>
            <w:r>
              <w:rPr>
                <w:b/>
                <w:sz w:val="22"/>
              </w:rPr>
              <w:t>deben</w:t>
              <w:tab/>
              <w:t>solucionar  </w:t>
            </w:r>
            <w:r>
              <w:rPr>
                <w:b/>
                <w:spacing w:val="11"/>
                <w:sz w:val="22"/>
              </w:rPr>
              <w:t> </w:t>
            </w:r>
            <w:r>
              <w:rPr>
                <w:b/>
                <w:sz w:val="22"/>
              </w:rPr>
              <w:t>los</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2"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2" w:lineRule="exact"/>
              <w:rPr>
                <w:b/>
                <w:sz w:val="22"/>
              </w:rPr>
            </w:pPr>
            <w:r>
              <w:rPr>
                <w:b/>
                <w:sz w:val="22"/>
              </w:rPr>
              <w:t>nació?</w:t>
            </w:r>
          </w:p>
        </w:tc>
        <w:tc>
          <w:tcPr>
            <w:tcW w:w="1174" w:type="dxa"/>
            <w:tcBorders>
              <w:top w:val="nil"/>
              <w:bottom w:val="nil"/>
            </w:tcBorders>
            <w:shd w:val="clear" w:color="auto" w:fill="92CDDC"/>
          </w:tcPr>
          <w:p>
            <w:pPr>
              <w:pStyle w:val="TableParagraph"/>
              <w:spacing w:line="242" w:lineRule="exact"/>
              <w:rPr>
                <w:b/>
                <w:sz w:val="22"/>
              </w:rPr>
            </w:pPr>
            <w:r>
              <w:rPr>
                <w:b/>
                <w:sz w:val="22"/>
              </w:rPr>
              <w:t>vive?</w:t>
            </w:r>
          </w:p>
        </w:tc>
        <w:tc>
          <w:tcPr>
            <w:tcW w:w="2314" w:type="dxa"/>
            <w:tcBorders>
              <w:top w:val="nil"/>
              <w:bottom w:val="nil"/>
            </w:tcBorders>
            <w:shd w:val="clear" w:color="auto" w:fill="92CDDC"/>
          </w:tcPr>
          <w:p>
            <w:pPr>
              <w:pStyle w:val="TableParagraph"/>
              <w:tabs>
                <w:tab w:pos="1199" w:val="left" w:leader="none"/>
                <w:tab w:pos="1883" w:val="left" w:leader="none"/>
              </w:tabs>
              <w:spacing w:line="242" w:lineRule="exact"/>
              <w:ind w:left="100"/>
              <w:rPr>
                <w:b/>
                <w:sz w:val="22"/>
              </w:rPr>
            </w:pPr>
            <w:r>
              <w:rPr>
                <w:b/>
                <w:sz w:val="22"/>
              </w:rPr>
              <w:t>propone</w:t>
              <w:tab/>
              <w:t>para</w:t>
              <w:tab/>
              <w:t>los</w:t>
            </w:r>
          </w:p>
        </w:tc>
        <w:tc>
          <w:tcPr>
            <w:tcW w:w="3901" w:type="dxa"/>
            <w:tcBorders>
              <w:top w:val="nil"/>
              <w:bottom w:val="nil"/>
            </w:tcBorders>
            <w:shd w:val="clear" w:color="auto" w:fill="92CDDC"/>
          </w:tcPr>
          <w:p>
            <w:pPr>
              <w:pStyle w:val="TableParagraph"/>
              <w:tabs>
                <w:tab w:pos="1691" w:val="left" w:leader="none"/>
                <w:tab w:pos="2420" w:val="left" w:leader="none"/>
                <w:tab w:pos="3078" w:val="left" w:leader="none"/>
              </w:tabs>
              <w:spacing w:line="242" w:lineRule="exact"/>
              <w:rPr>
                <w:b/>
                <w:sz w:val="22"/>
              </w:rPr>
            </w:pPr>
            <w:r>
              <w:rPr>
                <w:b/>
                <w:sz w:val="22"/>
              </w:rPr>
              <w:t>problemas</w:t>
              <w:tab/>
              <w:t>de</w:t>
              <w:tab/>
              <w:t>la</w:t>
              <w:tab/>
              <w:t>laguna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487" w:val="left" w:leader="none"/>
                <w:tab w:pos="2017" w:val="left" w:leader="none"/>
              </w:tabs>
              <w:spacing w:line="241" w:lineRule="exact"/>
              <w:ind w:left="100"/>
              <w:rPr>
                <w:b/>
                <w:sz w:val="22"/>
              </w:rPr>
            </w:pPr>
            <w:r>
              <w:rPr>
                <w:b/>
                <w:sz w:val="22"/>
              </w:rPr>
              <w:t>problemas</w:t>
              <w:tab/>
              <w:t>de</w:t>
              <w:tab/>
              <w:t>la</w:t>
            </w:r>
          </w:p>
        </w:tc>
        <w:tc>
          <w:tcPr>
            <w:tcW w:w="3901"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1"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2" w:lineRule="exact"/>
              <w:ind w:left="100"/>
              <w:rPr>
                <w:b/>
                <w:sz w:val="22"/>
              </w:rPr>
            </w:pPr>
            <w:r>
              <w:rPr>
                <w:b/>
                <w:sz w:val="22"/>
              </w:rPr>
              <w:t>laguna Huapango?</w:t>
            </w:r>
          </w:p>
        </w:tc>
        <w:tc>
          <w:tcPr>
            <w:tcW w:w="3901"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Edgar</w:t>
            </w:r>
          </w:p>
        </w:tc>
        <w:tc>
          <w:tcPr>
            <w:tcW w:w="1274" w:type="dxa"/>
            <w:tcBorders>
              <w:bottom w:val="nil"/>
            </w:tcBorders>
          </w:tcPr>
          <w:p>
            <w:pPr>
              <w:pStyle w:val="TableParagraph"/>
              <w:spacing w:line="251" w:lineRule="exact"/>
              <w:ind w:left="100" w:right="98"/>
              <w:rPr>
                <w:sz w:val="22"/>
              </w:rPr>
            </w:pPr>
            <w:r>
              <w:rPr>
                <w:sz w:val="22"/>
              </w:rPr>
              <w:t>Abogado</w:t>
            </w:r>
          </w:p>
        </w:tc>
        <w:tc>
          <w:tcPr>
            <w:tcW w:w="1887" w:type="dxa"/>
            <w:tcBorders>
              <w:bottom w:val="nil"/>
            </w:tcBorders>
          </w:tcPr>
          <w:p>
            <w:pPr>
              <w:pStyle w:val="TableParagraph"/>
              <w:spacing w:line="251" w:lineRule="exact"/>
              <w:rPr>
                <w:sz w:val="22"/>
              </w:rPr>
            </w:pPr>
            <w:r>
              <w:rPr>
                <w:sz w:val="22"/>
              </w:rPr>
              <w:t>Presidente</w:t>
            </w:r>
          </w:p>
        </w:tc>
        <w:tc>
          <w:tcPr>
            <w:tcW w:w="1289" w:type="dxa"/>
            <w:tcBorders>
              <w:bottom w:val="nil"/>
            </w:tcBorders>
          </w:tcPr>
          <w:p>
            <w:pPr>
              <w:pStyle w:val="TableParagraph"/>
              <w:spacing w:line="251" w:lineRule="exact"/>
              <w:ind w:left="203"/>
              <w:rPr>
                <w:sz w:val="22"/>
              </w:rPr>
            </w:pPr>
            <w:r>
              <w:rPr>
                <w:sz w:val="22"/>
              </w:rPr>
              <w:t>Jilotepec</w:t>
            </w:r>
          </w:p>
        </w:tc>
        <w:tc>
          <w:tcPr>
            <w:tcW w:w="1174" w:type="dxa"/>
            <w:tcBorders>
              <w:bottom w:val="nil"/>
            </w:tcBorders>
          </w:tcPr>
          <w:p>
            <w:pPr>
              <w:pStyle w:val="TableParagraph"/>
              <w:spacing w:line="251" w:lineRule="exact"/>
              <w:ind w:left="146"/>
              <w:rPr>
                <w:sz w:val="22"/>
              </w:rPr>
            </w:pPr>
            <w:r>
              <w:rPr>
                <w:sz w:val="22"/>
              </w:rPr>
              <w:t>Jilotepec</w:t>
            </w:r>
          </w:p>
        </w:tc>
        <w:tc>
          <w:tcPr>
            <w:tcW w:w="2314" w:type="dxa"/>
            <w:tcBorders>
              <w:bottom w:val="nil"/>
            </w:tcBorders>
          </w:tcPr>
          <w:p>
            <w:pPr>
              <w:pStyle w:val="TableParagraph"/>
              <w:tabs>
                <w:tab w:pos="1638" w:val="left" w:leader="none"/>
              </w:tabs>
              <w:spacing w:line="251" w:lineRule="exact"/>
              <w:ind w:left="100"/>
              <w:rPr>
                <w:sz w:val="22"/>
              </w:rPr>
            </w:pPr>
            <w:r>
              <w:rPr>
                <w:sz w:val="22"/>
              </w:rPr>
              <w:t>Para</w:t>
              <w:tab/>
              <w:t>poder</w:t>
            </w:r>
          </w:p>
        </w:tc>
        <w:tc>
          <w:tcPr>
            <w:tcW w:w="3901" w:type="dxa"/>
            <w:tcBorders>
              <w:bottom w:val="nil"/>
            </w:tcBorders>
          </w:tcPr>
          <w:p>
            <w:pPr>
              <w:pStyle w:val="TableParagraph"/>
              <w:spacing w:line="251" w:lineRule="exact"/>
              <w:rPr>
                <w:sz w:val="22"/>
              </w:rPr>
            </w:pPr>
            <w:r>
              <w:rPr>
                <w:sz w:val="22"/>
              </w:rPr>
              <w:t>Es  Conagua  quien  debe  solucionar</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Castillo</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675" w:val="left" w:leader="none"/>
              </w:tabs>
              <w:spacing w:line="242" w:lineRule="exact"/>
              <w:ind w:left="100"/>
              <w:rPr>
                <w:sz w:val="22"/>
              </w:rPr>
            </w:pPr>
            <w:r>
              <w:rPr>
                <w:sz w:val="22"/>
              </w:rPr>
              <w:t>solucionar</w:t>
              <w:tab/>
              <w:t>estos</w:t>
            </w:r>
          </w:p>
        </w:tc>
        <w:tc>
          <w:tcPr>
            <w:tcW w:w="3901" w:type="dxa"/>
            <w:tcBorders>
              <w:top w:val="nil"/>
              <w:bottom w:val="nil"/>
            </w:tcBorders>
          </w:tcPr>
          <w:p>
            <w:pPr>
              <w:pStyle w:val="TableParagraph"/>
              <w:spacing w:line="242" w:lineRule="exact"/>
              <w:rPr>
                <w:sz w:val="22"/>
              </w:rPr>
            </w:pPr>
            <w:r>
              <w:rPr>
                <w:sz w:val="22"/>
              </w:rPr>
              <w:t>los problemas marcando el vaso    de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516" w:val="left" w:leader="none"/>
              </w:tabs>
              <w:spacing w:line="241" w:lineRule="exact"/>
              <w:ind w:left="100"/>
              <w:rPr>
                <w:sz w:val="22"/>
              </w:rPr>
            </w:pPr>
            <w:r>
              <w:rPr>
                <w:sz w:val="22"/>
              </w:rPr>
              <w:t>problemas</w:t>
              <w:tab/>
              <w:t>tendría</w:t>
            </w:r>
          </w:p>
        </w:tc>
        <w:tc>
          <w:tcPr>
            <w:tcW w:w="3901" w:type="dxa"/>
            <w:tcBorders>
              <w:top w:val="nil"/>
              <w:bottom w:val="nil"/>
            </w:tcBorders>
          </w:tcPr>
          <w:p>
            <w:pPr>
              <w:pStyle w:val="TableParagraph"/>
              <w:spacing w:line="241" w:lineRule="exact"/>
              <w:rPr>
                <w:sz w:val="22"/>
              </w:rPr>
            </w:pPr>
            <w:r>
              <w:rPr>
                <w:sz w:val="22"/>
              </w:rPr>
              <w:t>agua  físicamente  para  que nosotros</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97" w:val="left" w:leader="none"/>
                <w:tab w:pos="1835" w:val="left" w:leader="none"/>
              </w:tabs>
              <w:spacing w:line="241" w:lineRule="exact"/>
              <w:ind w:left="100"/>
              <w:rPr>
                <w:sz w:val="22"/>
              </w:rPr>
            </w:pPr>
            <w:r>
              <w:rPr>
                <w:sz w:val="22"/>
              </w:rPr>
              <w:t>que</w:t>
              <w:tab/>
              <w:t>ser</w:t>
              <w:tab/>
              <w:t>una</w:t>
            </w:r>
          </w:p>
        </w:tc>
        <w:tc>
          <w:tcPr>
            <w:tcW w:w="3901" w:type="dxa"/>
            <w:tcBorders>
              <w:top w:val="nil"/>
              <w:bottom w:val="nil"/>
            </w:tcBorders>
          </w:tcPr>
          <w:p>
            <w:pPr>
              <w:pStyle w:val="TableParagraph"/>
              <w:tabs>
                <w:tab w:pos="1060" w:val="left" w:leader="none"/>
                <w:tab w:pos="2624" w:val="left" w:leader="none"/>
              </w:tabs>
              <w:spacing w:line="241" w:lineRule="exact"/>
              <w:rPr>
                <w:sz w:val="22"/>
              </w:rPr>
            </w:pPr>
            <w:r>
              <w:rPr>
                <w:sz w:val="22"/>
              </w:rPr>
              <w:t>como</w:t>
              <w:tab/>
              <w:t>autoridades</w:t>
              <w:tab/>
              <w:t>municipales</w:t>
            </w:r>
          </w:p>
        </w:tc>
      </w:tr>
      <w:tr>
        <w:trPr>
          <w:trHeight w:val="253" w:hRule="exact"/>
        </w:trPr>
        <w:tc>
          <w:tcPr>
            <w:tcW w:w="1385" w:type="dxa"/>
            <w:tcBorders>
              <w:top w:val="nil"/>
              <w:bottom w:val="nil"/>
            </w:tcBorders>
          </w:tcPr>
          <w:p>
            <w:pPr>
              <w:pStyle w:val="TableParagraph"/>
              <w:spacing w:line="242" w:lineRule="exact"/>
              <w:rPr>
                <w:sz w:val="22"/>
              </w:rPr>
            </w:pPr>
            <w:r>
              <w:rPr>
                <w:sz w:val="22"/>
              </w:rPr>
              <w:t>(29/8/2014)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85" w:val="left" w:leader="none"/>
                <w:tab w:pos="2027" w:val="left" w:leader="none"/>
              </w:tabs>
              <w:spacing w:line="242" w:lineRule="exact"/>
              <w:ind w:left="100"/>
              <w:rPr>
                <w:sz w:val="22"/>
              </w:rPr>
            </w:pPr>
            <w:r>
              <w:rPr>
                <w:sz w:val="22"/>
              </w:rPr>
              <w:t>disposición</w:t>
              <w:tab/>
              <w:t>de</w:t>
              <w:tab/>
              <w:t>la</w:t>
            </w:r>
          </w:p>
        </w:tc>
        <w:tc>
          <w:tcPr>
            <w:tcW w:w="3901" w:type="dxa"/>
            <w:tcBorders>
              <w:top w:val="nil"/>
              <w:bottom w:val="nil"/>
            </w:tcBorders>
          </w:tcPr>
          <w:p>
            <w:pPr>
              <w:pStyle w:val="TableParagraph"/>
              <w:spacing w:line="242" w:lineRule="exact"/>
              <w:rPr>
                <w:sz w:val="22"/>
              </w:rPr>
            </w:pPr>
            <w:r>
              <w:rPr>
                <w:sz w:val="22"/>
              </w:rPr>
              <w:t>podamos   fungir   como   tales,  sino,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Conagua,   hacer  un</w:t>
            </w:r>
          </w:p>
        </w:tc>
        <w:tc>
          <w:tcPr>
            <w:tcW w:w="3901" w:type="dxa"/>
            <w:tcBorders>
              <w:top w:val="nil"/>
              <w:bottom w:val="nil"/>
            </w:tcBorders>
          </w:tcPr>
          <w:p>
            <w:pPr>
              <w:pStyle w:val="TableParagraph"/>
              <w:spacing w:line="241" w:lineRule="exact"/>
              <w:rPr>
                <w:sz w:val="22"/>
              </w:rPr>
            </w:pPr>
            <w:r>
              <w:rPr>
                <w:sz w:val="22"/>
              </w:rPr>
              <w:t>como dicen, no tenemos charola.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recorrido  físico  para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ver  la  vocación   del</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060" w:val="left" w:leader="none"/>
                <w:tab w:pos="1638" w:val="left" w:leader="none"/>
              </w:tabs>
              <w:spacing w:line="241" w:lineRule="exact"/>
              <w:ind w:left="100"/>
              <w:rPr>
                <w:sz w:val="22"/>
              </w:rPr>
            </w:pPr>
            <w:r>
              <w:rPr>
                <w:sz w:val="22"/>
              </w:rPr>
              <w:t>agua</w:t>
              <w:tab/>
              <w:t>y</w:t>
              <w:tab/>
              <w:t>tomar</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70" w:val="left" w:leader="none"/>
              </w:tabs>
              <w:spacing w:line="242" w:lineRule="exact"/>
              <w:ind w:left="100"/>
              <w:rPr>
                <w:sz w:val="22"/>
              </w:rPr>
            </w:pPr>
            <w:r>
              <w:rPr>
                <w:sz w:val="22"/>
              </w:rPr>
              <w:t>medidas</w:t>
              <w:tab/>
              <w:t>severas,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662" w:val="left" w:leader="none"/>
              </w:tabs>
              <w:spacing w:line="241" w:lineRule="exact"/>
              <w:ind w:left="100"/>
              <w:rPr>
                <w:sz w:val="22"/>
              </w:rPr>
            </w:pPr>
            <w:r>
              <w:rPr>
                <w:sz w:val="22"/>
              </w:rPr>
              <w:t>nosotros</w:t>
              <w:tab/>
              <w:t>como</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Ayuntamiento.</w:t>
            </w:r>
          </w:p>
        </w:tc>
        <w:tc>
          <w:tcPr>
            <w:tcW w:w="3901" w:type="dxa"/>
            <w:tcBorders>
              <w:top w:val="nil"/>
            </w:tcBorders>
          </w:tcPr>
          <w:p>
            <w:pPr/>
          </w:p>
        </w:tc>
      </w:tr>
      <w:tr>
        <w:trPr>
          <w:trHeight w:val="268" w:hRule="exact"/>
        </w:trPr>
        <w:tc>
          <w:tcPr>
            <w:tcW w:w="1385" w:type="dxa"/>
            <w:tcBorders>
              <w:bottom w:val="nil"/>
            </w:tcBorders>
          </w:tcPr>
          <w:p>
            <w:pPr>
              <w:pStyle w:val="TableParagraph"/>
              <w:spacing w:line="251" w:lineRule="exact"/>
              <w:ind w:right="127"/>
              <w:rPr>
                <w:sz w:val="22"/>
              </w:rPr>
            </w:pPr>
            <w:r>
              <w:rPr>
                <w:sz w:val="22"/>
              </w:rPr>
              <w:t>Francisco</w:t>
            </w:r>
          </w:p>
        </w:tc>
        <w:tc>
          <w:tcPr>
            <w:tcW w:w="1274" w:type="dxa"/>
            <w:tcBorders>
              <w:bottom w:val="nil"/>
            </w:tcBorders>
          </w:tcPr>
          <w:p>
            <w:pPr>
              <w:pStyle w:val="TableParagraph"/>
              <w:spacing w:line="251" w:lineRule="exact"/>
              <w:ind w:left="100" w:right="98"/>
              <w:rPr>
                <w:sz w:val="22"/>
              </w:rPr>
            </w:pPr>
            <w:r>
              <w:rPr>
                <w:sz w:val="22"/>
              </w:rPr>
              <w:t>Profesor</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Axochiapa</w:t>
            </w:r>
          </w:p>
        </w:tc>
        <w:tc>
          <w:tcPr>
            <w:tcW w:w="1174" w:type="dxa"/>
            <w:tcBorders>
              <w:bottom w:val="nil"/>
            </w:tcBorders>
          </w:tcPr>
          <w:p>
            <w:pPr>
              <w:pStyle w:val="TableParagraph"/>
              <w:spacing w:line="251" w:lineRule="exact"/>
              <w:rPr>
                <w:sz w:val="22"/>
              </w:rPr>
            </w:pPr>
            <w:r>
              <w:rPr>
                <w:sz w:val="22"/>
              </w:rPr>
              <w:t>Jilotepec</w:t>
            </w:r>
          </w:p>
        </w:tc>
        <w:tc>
          <w:tcPr>
            <w:tcW w:w="2314" w:type="dxa"/>
            <w:tcBorders>
              <w:bottom w:val="nil"/>
            </w:tcBorders>
          </w:tcPr>
          <w:p>
            <w:pPr>
              <w:pStyle w:val="TableParagraph"/>
              <w:spacing w:line="251" w:lineRule="exact"/>
              <w:ind w:left="172"/>
              <w:rPr>
                <w:sz w:val="22"/>
              </w:rPr>
            </w:pPr>
            <w:r>
              <w:rPr>
                <w:sz w:val="22"/>
              </w:rPr>
              <w:t>Mediante convenios</w:t>
            </w:r>
          </w:p>
        </w:tc>
        <w:tc>
          <w:tcPr>
            <w:tcW w:w="3901" w:type="dxa"/>
            <w:tcBorders>
              <w:bottom w:val="nil"/>
            </w:tcBorders>
          </w:tcPr>
          <w:p>
            <w:pPr>
              <w:pStyle w:val="TableParagraph"/>
              <w:spacing w:line="251" w:lineRule="exact"/>
              <w:rPr>
                <w:sz w:val="22"/>
              </w:rPr>
            </w:pPr>
            <w:r>
              <w:rPr>
                <w:sz w:val="22"/>
              </w:rPr>
              <w:t>Entre el gobierno y los ciudadanos:</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Gómez</w:t>
            </w:r>
          </w:p>
        </w:tc>
        <w:tc>
          <w:tcPr>
            <w:tcW w:w="1274" w:type="dxa"/>
            <w:tcBorders>
              <w:top w:val="nil"/>
              <w:bottom w:val="nil"/>
            </w:tcBorders>
          </w:tcPr>
          <w:p>
            <w:pPr>
              <w:pStyle w:val="TableParagraph"/>
              <w:spacing w:line="243" w:lineRule="exact"/>
              <w:ind w:left="100" w:right="98"/>
              <w:rPr>
                <w:sz w:val="22"/>
              </w:rPr>
            </w:pPr>
            <w:r>
              <w:rPr>
                <w:sz w:val="22"/>
              </w:rPr>
              <w:t>de</w:t>
            </w:r>
          </w:p>
        </w:tc>
        <w:tc>
          <w:tcPr>
            <w:tcW w:w="1887" w:type="dxa"/>
            <w:tcBorders>
              <w:top w:val="nil"/>
              <w:bottom w:val="nil"/>
            </w:tcBorders>
          </w:tcPr>
          <w:p>
            <w:pPr>
              <w:pStyle w:val="TableParagraph"/>
              <w:spacing w:line="243" w:lineRule="exact"/>
              <w:rPr>
                <w:sz w:val="22"/>
              </w:rPr>
            </w:pPr>
            <w:r>
              <w:rPr>
                <w:sz w:val="22"/>
              </w:rPr>
              <w:t>Encargado de la</w:t>
            </w:r>
          </w:p>
        </w:tc>
        <w:tc>
          <w:tcPr>
            <w:tcW w:w="1289" w:type="dxa"/>
            <w:tcBorders>
              <w:top w:val="nil"/>
              <w:bottom w:val="nil"/>
            </w:tcBorders>
          </w:tcPr>
          <w:p>
            <w:pPr>
              <w:pStyle w:val="TableParagraph"/>
              <w:spacing w:line="243" w:lineRule="exact"/>
              <w:rPr>
                <w:sz w:val="22"/>
              </w:rPr>
            </w:pPr>
            <w:r>
              <w:rPr>
                <w:sz w:val="22"/>
              </w:rPr>
              <w:t>n, Morelos</w:t>
            </w: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3" w:lineRule="exact"/>
              <w:rPr>
                <w:sz w:val="22"/>
              </w:rPr>
            </w:pPr>
            <w:r>
              <w:rPr>
                <w:sz w:val="22"/>
              </w:rPr>
              <w:t>“porque todo quieren que se los haga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Marín</w:t>
            </w:r>
          </w:p>
        </w:tc>
        <w:tc>
          <w:tcPr>
            <w:tcW w:w="1274" w:type="dxa"/>
            <w:tcBorders>
              <w:top w:val="nil"/>
              <w:bottom w:val="nil"/>
            </w:tcBorders>
          </w:tcPr>
          <w:p>
            <w:pPr>
              <w:pStyle w:val="TableParagraph"/>
              <w:spacing w:line="241" w:lineRule="exact"/>
              <w:ind w:left="100" w:right="98"/>
              <w:rPr>
                <w:sz w:val="22"/>
              </w:rPr>
            </w:pPr>
            <w:r>
              <w:rPr>
                <w:sz w:val="22"/>
              </w:rPr>
              <w:t>Primaria</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uno”.</w:t>
            </w:r>
          </w:p>
        </w:tc>
      </w:tr>
      <w:tr>
        <w:trPr>
          <w:trHeight w:val="253" w:hRule="exact"/>
        </w:trPr>
        <w:tc>
          <w:tcPr>
            <w:tcW w:w="1385" w:type="dxa"/>
            <w:tcBorders>
              <w:top w:val="nil"/>
              <w:bottom w:val="nil"/>
            </w:tcBorders>
          </w:tcPr>
          <w:p>
            <w:pPr>
              <w:pStyle w:val="TableParagraph"/>
              <w:spacing w:line="241" w:lineRule="exact"/>
              <w:rPr>
                <w:sz w:val="22"/>
              </w:rPr>
            </w:pPr>
            <w:r>
              <w:rPr>
                <w:sz w:val="22"/>
              </w:rPr>
              <w:t>(29/8/2014)</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Agropecuario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516" w:hRule="exact"/>
        </w:trPr>
        <w:tc>
          <w:tcPr>
            <w:tcW w:w="1385" w:type="dxa"/>
          </w:tcPr>
          <w:p>
            <w:pPr>
              <w:pStyle w:val="TableParagraph"/>
              <w:spacing w:line="242" w:lineRule="auto"/>
              <w:ind w:right="335"/>
              <w:rPr>
                <w:sz w:val="22"/>
              </w:rPr>
            </w:pPr>
            <w:r>
              <w:rPr>
                <w:sz w:val="22"/>
              </w:rPr>
              <w:t>Daniel Arciniega</w:t>
            </w:r>
          </w:p>
        </w:tc>
        <w:tc>
          <w:tcPr>
            <w:tcW w:w="1274" w:type="dxa"/>
          </w:tcPr>
          <w:p>
            <w:pPr>
              <w:pStyle w:val="TableParagraph"/>
              <w:spacing w:line="242" w:lineRule="auto"/>
              <w:ind w:left="100" w:right="166"/>
              <w:rPr>
                <w:sz w:val="22"/>
              </w:rPr>
            </w:pPr>
            <w:r>
              <w:rPr>
                <w:sz w:val="22"/>
              </w:rPr>
              <w:t>Ingeniería Industrial</w:t>
            </w:r>
          </w:p>
        </w:tc>
        <w:tc>
          <w:tcPr>
            <w:tcW w:w="1887" w:type="dxa"/>
          </w:tcPr>
          <w:p>
            <w:pPr>
              <w:pStyle w:val="TableParagraph"/>
              <w:spacing w:line="242" w:lineRule="auto"/>
              <w:ind w:right="90"/>
              <w:rPr>
                <w:sz w:val="22"/>
              </w:rPr>
            </w:pPr>
            <w:r>
              <w:rPr>
                <w:sz w:val="22"/>
              </w:rPr>
              <w:t>Décimo Regidor. Encargado  de la</w:t>
            </w:r>
          </w:p>
        </w:tc>
        <w:tc>
          <w:tcPr>
            <w:tcW w:w="1289" w:type="dxa"/>
          </w:tcPr>
          <w:p>
            <w:pPr>
              <w:pStyle w:val="TableParagraph"/>
              <w:spacing w:line="242" w:lineRule="auto"/>
              <w:ind w:right="410"/>
              <w:rPr>
                <w:sz w:val="22"/>
              </w:rPr>
            </w:pPr>
            <w:r>
              <w:rPr>
                <w:sz w:val="22"/>
              </w:rPr>
              <w:t>Distrito Federal</w:t>
            </w:r>
          </w:p>
        </w:tc>
        <w:tc>
          <w:tcPr>
            <w:tcW w:w="1174" w:type="dxa"/>
          </w:tcPr>
          <w:p>
            <w:pPr>
              <w:pStyle w:val="TableParagraph"/>
              <w:spacing w:line="251" w:lineRule="exact"/>
              <w:rPr>
                <w:sz w:val="22"/>
              </w:rPr>
            </w:pPr>
            <w:r>
              <w:rPr>
                <w:sz w:val="22"/>
              </w:rPr>
              <w:t>Jilotepec</w:t>
            </w:r>
          </w:p>
        </w:tc>
        <w:tc>
          <w:tcPr>
            <w:tcW w:w="2314" w:type="dxa"/>
          </w:tcPr>
          <w:p>
            <w:pPr>
              <w:pStyle w:val="TableParagraph"/>
              <w:tabs>
                <w:tab w:pos="1540" w:val="left" w:leader="none"/>
                <w:tab w:pos="1761" w:val="left" w:leader="none"/>
              </w:tabs>
              <w:spacing w:line="242" w:lineRule="auto"/>
              <w:ind w:left="100" w:right="99"/>
              <w:rPr>
                <w:sz w:val="22"/>
              </w:rPr>
            </w:pPr>
            <w:r>
              <w:rPr>
                <w:sz w:val="22"/>
              </w:rPr>
              <w:t>Con</w:t>
              <w:tab/>
              <w:t>cultura ciudadana</w:t>
              <w:tab/>
              <w:tab/>
              <w:t>para</w:t>
            </w:r>
          </w:p>
        </w:tc>
        <w:tc>
          <w:tcPr>
            <w:tcW w:w="3901" w:type="dxa"/>
          </w:tcPr>
          <w:p>
            <w:pPr>
              <w:pStyle w:val="TableParagraph"/>
              <w:tabs>
                <w:tab w:pos="642" w:val="left" w:leader="none"/>
                <w:tab w:pos="1731" w:val="left" w:leader="none"/>
                <w:tab w:pos="2196" w:val="left" w:leader="none"/>
                <w:tab w:pos="2906" w:val="left" w:leader="none"/>
                <w:tab w:pos="3422" w:val="left" w:leader="none"/>
              </w:tabs>
              <w:spacing w:line="242" w:lineRule="auto"/>
              <w:ind w:right="98"/>
              <w:rPr>
                <w:sz w:val="22"/>
              </w:rPr>
            </w:pPr>
            <w:r>
              <w:rPr>
                <w:sz w:val="22"/>
              </w:rPr>
              <w:t>La solución de los problemas debe ser</w:t>
              <w:tab/>
              <w:t>tripartita,</w:t>
              <w:tab/>
              <w:t>es</w:t>
              <w:tab/>
              <w:t>decir</w:t>
              <w:tab/>
              <w:t>los</w:t>
              <w:tab/>
              <w:t>tres</w:t>
            </w:r>
          </w:p>
        </w:tc>
      </w:tr>
    </w:tbl>
    <w:p>
      <w:pPr>
        <w:spacing w:after="0" w:line="242" w:lineRule="auto"/>
        <w:rPr>
          <w:sz w:val="22"/>
        </w:rPr>
        <w:sectPr>
          <w:pgSz w:w="15840" w:h="12240" w:orient="landscape"/>
          <w:pgMar w:header="0" w:footer="943" w:top="1140" w:bottom="114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768" w:hRule="exact"/>
        </w:trPr>
        <w:tc>
          <w:tcPr>
            <w:tcW w:w="1385" w:type="dxa"/>
          </w:tcPr>
          <w:p>
            <w:pPr>
              <w:pStyle w:val="TableParagraph"/>
              <w:spacing w:line="251" w:lineRule="exact"/>
              <w:ind w:right="127"/>
              <w:rPr>
                <w:sz w:val="22"/>
              </w:rPr>
            </w:pPr>
            <w:r>
              <w:rPr>
                <w:sz w:val="22"/>
              </w:rPr>
              <w:t>Sandoval</w:t>
            </w:r>
          </w:p>
          <w:p>
            <w:pPr>
              <w:pStyle w:val="TableParagraph"/>
              <w:ind w:left="0"/>
              <w:rPr>
                <w:b/>
                <w:sz w:val="22"/>
              </w:rPr>
            </w:pPr>
          </w:p>
          <w:p>
            <w:pPr>
              <w:pStyle w:val="TableParagraph"/>
              <w:rPr>
                <w:sz w:val="22"/>
              </w:rPr>
            </w:pPr>
            <w:r>
              <w:rPr>
                <w:sz w:val="22"/>
              </w:rPr>
              <w:t>(29/8/2014)</w:t>
            </w:r>
          </w:p>
        </w:tc>
        <w:tc>
          <w:tcPr>
            <w:tcW w:w="1274" w:type="dxa"/>
          </w:tcPr>
          <w:p>
            <w:pPr>
              <w:pStyle w:val="TableParagraph"/>
              <w:ind w:left="100" w:right="374"/>
              <w:rPr>
                <w:sz w:val="22"/>
              </w:rPr>
            </w:pPr>
            <w:r>
              <w:rPr>
                <w:sz w:val="22"/>
              </w:rPr>
              <w:t>Textil (carrera trunca)</w:t>
            </w:r>
          </w:p>
        </w:tc>
        <w:tc>
          <w:tcPr>
            <w:tcW w:w="1887" w:type="dxa"/>
          </w:tcPr>
          <w:p>
            <w:pPr>
              <w:pStyle w:val="TableParagraph"/>
              <w:tabs>
                <w:tab w:pos="1528" w:val="left" w:leader="none"/>
              </w:tabs>
              <w:spacing w:line="252" w:lineRule="exact" w:before="2"/>
              <w:ind w:right="101"/>
              <w:rPr>
                <w:sz w:val="22"/>
              </w:rPr>
            </w:pPr>
            <w:r>
              <w:rPr>
                <w:sz w:val="22"/>
              </w:rPr>
              <w:t>Comisión</w:t>
              <w:tab/>
              <w:t>de Turismo,</w:t>
            </w:r>
          </w:p>
        </w:tc>
        <w:tc>
          <w:tcPr>
            <w:tcW w:w="1289" w:type="dxa"/>
          </w:tcPr>
          <w:p>
            <w:pPr/>
          </w:p>
        </w:tc>
        <w:tc>
          <w:tcPr>
            <w:tcW w:w="1174" w:type="dxa"/>
          </w:tcPr>
          <w:p>
            <w:pPr/>
          </w:p>
        </w:tc>
        <w:tc>
          <w:tcPr>
            <w:tcW w:w="2314" w:type="dxa"/>
          </w:tcPr>
          <w:p>
            <w:pPr>
              <w:pStyle w:val="TableParagraph"/>
              <w:tabs>
                <w:tab w:pos="1089" w:val="left" w:leader="none"/>
                <w:tab w:pos="1918" w:val="left" w:leader="none"/>
              </w:tabs>
              <w:spacing w:line="252" w:lineRule="exact" w:before="2"/>
              <w:ind w:left="100" w:right="102"/>
              <w:rPr>
                <w:sz w:val="22"/>
              </w:rPr>
            </w:pPr>
            <w:r>
              <w:rPr>
                <w:sz w:val="22"/>
              </w:rPr>
              <w:t>evitar</w:t>
              <w:tab/>
              <w:t>tirar</w:t>
              <w:tab/>
              <w:t>los residuos.</w:t>
            </w:r>
          </w:p>
        </w:tc>
        <w:tc>
          <w:tcPr>
            <w:tcW w:w="3901" w:type="dxa"/>
          </w:tcPr>
          <w:p>
            <w:pPr>
              <w:pStyle w:val="TableParagraph"/>
              <w:spacing w:line="251" w:lineRule="exact"/>
              <w:rPr>
                <w:sz w:val="22"/>
              </w:rPr>
            </w:pPr>
            <w:r>
              <w:rPr>
                <w:sz w:val="22"/>
              </w:rPr>
              <w:t>poderes.</w:t>
            </w:r>
          </w:p>
        </w:tc>
      </w:tr>
      <w:tr>
        <w:trPr>
          <w:trHeight w:val="1274" w:hRule="exact"/>
        </w:trPr>
        <w:tc>
          <w:tcPr>
            <w:tcW w:w="1385" w:type="dxa"/>
          </w:tcPr>
          <w:p>
            <w:pPr>
              <w:pStyle w:val="TableParagraph"/>
              <w:ind w:right="127"/>
              <w:rPr>
                <w:sz w:val="22"/>
              </w:rPr>
            </w:pPr>
            <w:r>
              <w:rPr>
                <w:sz w:val="22"/>
              </w:rPr>
              <w:t>Santos Martínez Alcántara</w:t>
            </w:r>
          </w:p>
          <w:p>
            <w:pPr>
              <w:pStyle w:val="TableParagraph"/>
              <w:ind w:left="0"/>
              <w:rPr>
                <w:b/>
                <w:sz w:val="22"/>
              </w:rPr>
            </w:pPr>
          </w:p>
          <w:p>
            <w:pPr>
              <w:pStyle w:val="TableParagraph"/>
              <w:ind w:right="127"/>
              <w:rPr>
                <w:sz w:val="22"/>
              </w:rPr>
            </w:pPr>
            <w:r>
              <w:rPr>
                <w:sz w:val="22"/>
              </w:rPr>
              <w:t>(15/I/2014)</w:t>
            </w:r>
          </w:p>
        </w:tc>
        <w:tc>
          <w:tcPr>
            <w:tcW w:w="1274" w:type="dxa"/>
          </w:tcPr>
          <w:p>
            <w:pPr>
              <w:pStyle w:val="TableParagraph"/>
              <w:spacing w:before="10"/>
              <w:ind w:left="0"/>
              <w:rPr>
                <w:b/>
                <w:sz w:val="21"/>
              </w:rPr>
            </w:pPr>
          </w:p>
          <w:p>
            <w:pPr>
              <w:pStyle w:val="TableParagraph"/>
              <w:ind w:left="104" w:right="105"/>
              <w:jc w:val="center"/>
              <w:rPr>
                <w:sz w:val="22"/>
              </w:rPr>
            </w:pPr>
            <w:r>
              <w:rPr>
                <w:sz w:val="22"/>
              </w:rPr>
              <w:t>S/D</w:t>
            </w:r>
          </w:p>
        </w:tc>
        <w:tc>
          <w:tcPr>
            <w:tcW w:w="1887" w:type="dxa"/>
          </w:tcPr>
          <w:p>
            <w:pPr>
              <w:pStyle w:val="TableParagraph"/>
              <w:tabs>
                <w:tab w:pos="1480" w:val="left" w:leader="none"/>
              </w:tabs>
              <w:spacing w:line="251" w:lineRule="exact"/>
              <w:rPr>
                <w:sz w:val="22"/>
              </w:rPr>
            </w:pPr>
            <w:r>
              <w:rPr>
                <w:sz w:val="22"/>
              </w:rPr>
              <w:t>Jefe</w:t>
              <w:tab/>
              <w:t>del</w:t>
            </w:r>
          </w:p>
          <w:p>
            <w:pPr>
              <w:pStyle w:val="TableParagraph"/>
              <w:spacing w:before="1"/>
              <w:ind w:right="360"/>
              <w:rPr>
                <w:sz w:val="22"/>
              </w:rPr>
            </w:pPr>
            <w:r>
              <w:rPr>
                <w:sz w:val="22"/>
              </w:rPr>
              <w:t>Departamento de Ecología</w:t>
            </w:r>
          </w:p>
        </w:tc>
        <w:tc>
          <w:tcPr>
            <w:tcW w:w="1289" w:type="dxa"/>
          </w:tcPr>
          <w:p>
            <w:pPr>
              <w:pStyle w:val="TableParagraph"/>
              <w:spacing w:line="251" w:lineRule="exact"/>
              <w:rPr>
                <w:sz w:val="22"/>
              </w:rPr>
            </w:pPr>
            <w:r>
              <w:rPr>
                <w:sz w:val="22"/>
              </w:rPr>
              <w:t>Jilotepec</w:t>
            </w:r>
          </w:p>
        </w:tc>
        <w:tc>
          <w:tcPr>
            <w:tcW w:w="1174" w:type="dxa"/>
          </w:tcPr>
          <w:p>
            <w:pPr>
              <w:pStyle w:val="TableParagraph"/>
              <w:spacing w:line="251" w:lineRule="exact"/>
              <w:ind w:left="23" w:right="109"/>
              <w:jc w:val="center"/>
              <w:rPr>
                <w:sz w:val="22"/>
              </w:rPr>
            </w:pPr>
            <w:r>
              <w:rPr>
                <w:sz w:val="22"/>
              </w:rPr>
              <w:t>Jilotepec</w:t>
            </w:r>
          </w:p>
        </w:tc>
        <w:tc>
          <w:tcPr>
            <w:tcW w:w="2314" w:type="dxa"/>
          </w:tcPr>
          <w:p>
            <w:pPr>
              <w:pStyle w:val="TableParagraph"/>
              <w:ind w:left="100" w:right="99"/>
              <w:jc w:val="both"/>
              <w:rPr>
                <w:sz w:val="22"/>
              </w:rPr>
            </w:pPr>
            <w:r>
              <w:rPr>
                <w:sz w:val="22"/>
              </w:rPr>
              <w:t>Atacando todos los focos que están a su alrededor además porque es una región ganadera y agrícola.</w:t>
            </w:r>
          </w:p>
        </w:tc>
        <w:tc>
          <w:tcPr>
            <w:tcW w:w="3901" w:type="dxa"/>
          </w:tcPr>
          <w:p>
            <w:pPr>
              <w:pStyle w:val="TableParagraph"/>
              <w:spacing w:line="242" w:lineRule="auto"/>
              <w:ind w:right="333"/>
              <w:rPr>
                <w:b/>
                <w:sz w:val="22"/>
              </w:rPr>
            </w:pPr>
            <w:r>
              <w:rPr>
                <w:b/>
                <w:sz w:val="22"/>
              </w:rPr>
              <w:t>Con un proyecto global entre los municipios.</w:t>
            </w:r>
          </w:p>
        </w:tc>
      </w:tr>
      <w:tr>
        <w:trPr>
          <w:trHeight w:val="2542" w:hRule="exact"/>
        </w:trPr>
        <w:tc>
          <w:tcPr>
            <w:tcW w:w="1385" w:type="dxa"/>
          </w:tcPr>
          <w:p>
            <w:pPr>
              <w:pStyle w:val="TableParagraph"/>
              <w:ind w:right="127"/>
              <w:rPr>
                <w:sz w:val="22"/>
              </w:rPr>
            </w:pPr>
            <w:r>
              <w:rPr>
                <w:sz w:val="22"/>
              </w:rPr>
              <w:t>Jaime Sánchez Miranda</w:t>
            </w:r>
          </w:p>
          <w:p>
            <w:pPr>
              <w:pStyle w:val="TableParagraph"/>
              <w:ind w:left="0"/>
              <w:rPr>
                <w:b/>
                <w:sz w:val="22"/>
              </w:rPr>
            </w:pPr>
          </w:p>
          <w:p>
            <w:pPr>
              <w:pStyle w:val="TableParagraph"/>
              <w:ind w:right="127"/>
              <w:rPr>
                <w:sz w:val="22"/>
              </w:rPr>
            </w:pPr>
            <w:r>
              <w:rPr>
                <w:sz w:val="22"/>
              </w:rPr>
              <w:t>(15/I/2014)</w:t>
            </w:r>
          </w:p>
        </w:tc>
        <w:tc>
          <w:tcPr>
            <w:tcW w:w="1274" w:type="dxa"/>
          </w:tcPr>
          <w:p>
            <w:pPr>
              <w:pStyle w:val="TableParagraph"/>
              <w:ind w:left="0"/>
              <w:rPr>
                <w:b/>
                <w:sz w:val="22"/>
              </w:rPr>
            </w:pPr>
          </w:p>
          <w:p>
            <w:pPr>
              <w:pStyle w:val="TableParagraph"/>
              <w:spacing w:before="10"/>
              <w:ind w:left="0"/>
              <w:rPr>
                <w:b/>
                <w:sz w:val="21"/>
              </w:rPr>
            </w:pPr>
          </w:p>
          <w:p>
            <w:pPr>
              <w:pStyle w:val="TableParagraph"/>
              <w:ind w:left="100" w:right="92"/>
              <w:rPr>
                <w:sz w:val="22"/>
              </w:rPr>
            </w:pPr>
            <w:r>
              <w:rPr>
                <w:sz w:val="22"/>
              </w:rPr>
              <w:t>Licenciado en Economía</w:t>
            </w:r>
          </w:p>
        </w:tc>
        <w:tc>
          <w:tcPr>
            <w:tcW w:w="1887" w:type="dxa"/>
          </w:tcPr>
          <w:p>
            <w:pPr>
              <w:pStyle w:val="TableParagraph"/>
              <w:tabs>
                <w:tab w:pos="1480" w:val="left" w:leader="none"/>
              </w:tabs>
              <w:spacing w:line="252" w:lineRule="exact"/>
              <w:rPr>
                <w:sz w:val="22"/>
              </w:rPr>
            </w:pPr>
            <w:r>
              <w:rPr>
                <w:sz w:val="22"/>
              </w:rPr>
              <w:t>Jefe</w:t>
              <w:tab/>
              <w:t>del</w:t>
            </w:r>
          </w:p>
          <w:p>
            <w:pPr>
              <w:pStyle w:val="TableParagraph"/>
              <w:tabs>
                <w:tab w:pos="904" w:val="left" w:leader="none"/>
                <w:tab w:pos="1665" w:val="left" w:leader="none"/>
              </w:tabs>
              <w:ind w:right="99"/>
              <w:rPr>
                <w:sz w:val="22"/>
              </w:rPr>
            </w:pPr>
            <w:r>
              <w:rPr>
                <w:sz w:val="22"/>
              </w:rPr>
              <w:t>Departamento de</w:t>
              <w:tab/>
              <w:t>Fomento Económico</w:t>
              <w:tab/>
              <w:t>y Turismo</w:t>
            </w:r>
          </w:p>
        </w:tc>
        <w:tc>
          <w:tcPr>
            <w:tcW w:w="1289" w:type="dxa"/>
          </w:tcPr>
          <w:p>
            <w:pPr>
              <w:pStyle w:val="TableParagraph"/>
              <w:ind w:left="266" w:right="247" w:firstLine="28"/>
              <w:rPr>
                <w:sz w:val="22"/>
              </w:rPr>
            </w:pPr>
            <w:r>
              <w:rPr>
                <w:sz w:val="22"/>
              </w:rPr>
              <w:t>Distrito Federal</w:t>
            </w:r>
          </w:p>
        </w:tc>
        <w:tc>
          <w:tcPr>
            <w:tcW w:w="1174" w:type="dxa"/>
          </w:tcPr>
          <w:p>
            <w:pPr>
              <w:pStyle w:val="TableParagraph"/>
              <w:ind w:left="84" w:right="84"/>
              <w:jc w:val="center"/>
              <w:rPr>
                <w:sz w:val="22"/>
              </w:rPr>
            </w:pPr>
            <w:r>
              <w:rPr>
                <w:sz w:val="22"/>
              </w:rPr>
              <w:t>Jilotepec</w:t>
            </w:r>
          </w:p>
        </w:tc>
        <w:tc>
          <w:tcPr>
            <w:tcW w:w="2314" w:type="dxa"/>
          </w:tcPr>
          <w:p>
            <w:pPr>
              <w:pStyle w:val="TableParagraph"/>
              <w:tabs>
                <w:tab w:pos="791" w:val="left" w:leader="none"/>
                <w:tab w:pos="1101" w:val="left" w:leader="none"/>
                <w:tab w:pos="1140" w:val="left" w:leader="none"/>
                <w:tab w:pos="1341" w:val="left" w:leader="none"/>
                <w:tab w:pos="1420" w:val="left" w:leader="none"/>
                <w:tab w:pos="1516" w:val="left" w:leader="none"/>
                <w:tab w:pos="1919" w:val="left" w:leader="none"/>
                <w:tab w:pos="1981" w:val="left" w:leader="none"/>
                <w:tab w:pos="2029" w:val="left" w:leader="none"/>
                <w:tab w:pos="2091" w:val="left" w:leader="none"/>
              </w:tabs>
              <w:ind w:left="100" w:right="98"/>
              <w:rPr>
                <w:sz w:val="22"/>
              </w:rPr>
            </w:pPr>
            <w:r>
              <w:rPr>
                <w:sz w:val="22"/>
              </w:rPr>
              <w:t>Cuando</w:t>
              <w:tab/>
              <w:tab/>
              <w:tab/>
              <w:t>el</w:t>
              <w:tab/>
              <w:tab/>
              <w:tab/>
              <w:t>H. Ayuntamiento intervenga para que hable</w:t>
              <w:tab/>
              <w:tab/>
              <w:t>con</w:t>
              <w:tab/>
              <w:tab/>
              <w:t>las personas y arreglen sus</w:t>
              <w:tab/>
              <w:t>desagües</w:t>
              <w:tab/>
              <w:tab/>
              <w:tab/>
              <w:tab/>
              <w:t>y hablar</w:t>
              <w:tab/>
              <w:tab/>
              <w:tab/>
              <w:t>con</w:t>
              <w:tab/>
              <w:tab/>
              <w:t>los lancheros</w:t>
              <w:tab/>
              <w:tab/>
              <w:tab/>
              <w:tab/>
              <w:t>de</w:t>
              <w:tab/>
              <w:tab/>
              <w:tab/>
              <w:t>la pesca</w:t>
              <w:tab/>
              <w:tab/>
              <w:tab/>
              <w:tab/>
              <w:tab/>
              <w:tab/>
              <w:t>porque también</w:t>
            </w:r>
            <w:r>
              <w:rPr>
                <w:spacing w:val="-4"/>
                <w:sz w:val="22"/>
              </w:rPr>
              <w:t> </w:t>
            </w:r>
            <w:r>
              <w:rPr>
                <w:sz w:val="22"/>
              </w:rPr>
              <w:t>contaminan</w:t>
            </w:r>
          </w:p>
        </w:tc>
        <w:tc>
          <w:tcPr>
            <w:tcW w:w="3901" w:type="dxa"/>
          </w:tcPr>
          <w:p>
            <w:pPr>
              <w:pStyle w:val="TableParagraph"/>
              <w:rPr>
                <w:sz w:val="22"/>
              </w:rPr>
            </w:pPr>
            <w:r>
              <w:rPr>
                <w:sz w:val="22"/>
              </w:rPr>
              <w:t>Considero que el H. Ayuntamiento debe intervenir.</w:t>
            </w:r>
          </w:p>
        </w:tc>
      </w:tr>
    </w:tbl>
    <w:p>
      <w:pPr>
        <w:pStyle w:val="BodyText"/>
        <w:spacing w:line="249" w:lineRule="exact"/>
        <w:ind w:left="218" w:right="778"/>
      </w:pPr>
      <w:r>
        <w:rPr>
          <w:b/>
        </w:rPr>
        <w:t>Fuente: </w:t>
      </w:r>
      <w:r>
        <w:rPr/>
        <w:t>Elaboración propia con base en el Trabajo de Campo, García (2013-2015).</w:t>
      </w:r>
    </w:p>
    <w:p>
      <w:pPr>
        <w:pStyle w:val="BodyText"/>
        <w:spacing w:before="6"/>
        <w:rPr>
          <w:sz w:val="20"/>
        </w:rPr>
      </w:pPr>
    </w:p>
    <w:p>
      <w:pPr>
        <w:pStyle w:val="Heading6"/>
        <w:spacing w:after="6"/>
        <w:ind w:left="2244" w:right="778"/>
      </w:pPr>
      <w:r>
        <w:rPr/>
        <w:t>Tabla 6.11. Municipio de Jilotepec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9" w:right="4869"/>
              <w:jc w:val="center"/>
              <w:rPr>
                <w:b/>
                <w:sz w:val="22"/>
              </w:rPr>
            </w:pPr>
            <w:r>
              <w:rPr>
                <w:b/>
                <w:sz w:val="22"/>
              </w:rPr>
              <w:t>JILOTEPEC</w:t>
            </w:r>
          </w:p>
        </w:tc>
      </w:tr>
      <w:tr>
        <w:trPr>
          <w:trHeight w:val="526" w:hRule="exact"/>
        </w:trPr>
        <w:tc>
          <w:tcPr>
            <w:tcW w:w="4547" w:type="dxa"/>
            <w:gridSpan w:val="3"/>
            <w:vMerge w:val="restart"/>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8"/>
              <w:ind w:left="0"/>
              <w:rPr>
                <w:b/>
                <w:sz w:val="21"/>
              </w:rPr>
            </w:pPr>
          </w:p>
          <w:p>
            <w:pPr>
              <w:pStyle w:val="TableParagraph"/>
              <w:ind w:left="2695"/>
              <w:rPr>
                <w:b/>
                <w:sz w:val="22"/>
              </w:rPr>
            </w:pPr>
            <w:r>
              <w:rPr>
                <w:b/>
                <w:sz w:val="22"/>
              </w:rPr>
              <w:t>PRINCIPIOS DE GOBERNANZA</w:t>
            </w:r>
          </w:p>
        </w:tc>
      </w:tr>
      <w:tr>
        <w:trPr>
          <w:trHeight w:val="262"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Autogestión</w:t>
            </w:r>
          </w:p>
        </w:tc>
        <w:tc>
          <w:tcPr>
            <w:tcW w:w="3901" w:type="dxa"/>
            <w:shd w:val="clear" w:color="auto" w:fill="92CDDC"/>
          </w:tcPr>
          <w:p>
            <w:pPr>
              <w:pStyle w:val="TableParagraph"/>
              <w:spacing w:line="251" w:lineRule="exact"/>
              <w:rPr>
                <w:b/>
                <w:i/>
                <w:sz w:val="22"/>
              </w:rPr>
            </w:pPr>
            <w:r>
              <w:rPr>
                <w:b/>
                <w:i/>
                <w:sz w:val="22"/>
              </w:rPr>
              <w:t>Gobernabilidad</w:t>
            </w:r>
          </w:p>
        </w:tc>
      </w:tr>
      <w:tr>
        <w:trPr>
          <w:trHeight w:val="265"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spacing w:line="248" w:lineRule="exact"/>
              <w:ind w:left="100"/>
              <w:rPr>
                <w:b/>
                <w:sz w:val="22"/>
              </w:rPr>
            </w:pPr>
            <w:r>
              <w:rPr>
                <w:b/>
                <w:sz w:val="22"/>
              </w:rPr>
              <w:t>¿Es   importante   la</w:t>
            </w:r>
          </w:p>
        </w:tc>
        <w:tc>
          <w:tcPr>
            <w:tcW w:w="3901" w:type="dxa"/>
            <w:tcBorders>
              <w:bottom w:val="nil"/>
            </w:tcBorders>
            <w:shd w:val="clear" w:color="auto" w:fill="92CDDC"/>
          </w:tcPr>
          <w:p>
            <w:pPr>
              <w:pStyle w:val="TableParagraph"/>
              <w:spacing w:line="248" w:lineRule="exact"/>
              <w:rPr>
                <w:b/>
                <w:sz w:val="22"/>
              </w:rPr>
            </w:pPr>
            <w:r>
              <w:rPr>
                <w:b/>
                <w:sz w:val="22"/>
              </w:rPr>
              <w:t>¿Quiénes y para qué usan el agua</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2"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2" w:lineRule="exact"/>
              <w:rPr>
                <w:b/>
                <w:sz w:val="22"/>
              </w:rPr>
            </w:pPr>
            <w:r>
              <w:rPr>
                <w:b/>
                <w:sz w:val="22"/>
              </w:rPr>
              <w:t>nació?</w:t>
            </w:r>
          </w:p>
        </w:tc>
        <w:tc>
          <w:tcPr>
            <w:tcW w:w="1174" w:type="dxa"/>
            <w:tcBorders>
              <w:top w:val="nil"/>
              <w:bottom w:val="nil"/>
            </w:tcBorders>
            <w:shd w:val="clear" w:color="auto" w:fill="92CDDC"/>
          </w:tcPr>
          <w:p>
            <w:pPr>
              <w:pStyle w:val="TableParagraph"/>
              <w:spacing w:line="242" w:lineRule="exact"/>
              <w:rPr>
                <w:b/>
                <w:sz w:val="22"/>
              </w:rPr>
            </w:pPr>
            <w:r>
              <w:rPr>
                <w:b/>
                <w:sz w:val="22"/>
              </w:rPr>
              <w:t>vive?</w:t>
            </w:r>
          </w:p>
        </w:tc>
        <w:tc>
          <w:tcPr>
            <w:tcW w:w="2314" w:type="dxa"/>
            <w:tcBorders>
              <w:top w:val="nil"/>
              <w:bottom w:val="nil"/>
            </w:tcBorders>
            <w:shd w:val="clear" w:color="auto" w:fill="92CDDC"/>
          </w:tcPr>
          <w:p>
            <w:pPr>
              <w:pStyle w:val="TableParagraph"/>
              <w:tabs>
                <w:tab w:pos="1945" w:val="left" w:leader="none"/>
              </w:tabs>
              <w:spacing w:line="242"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2" w:lineRule="exact"/>
              <w:rPr>
                <w:b/>
                <w:sz w:val="22"/>
              </w:rPr>
            </w:pPr>
            <w:r>
              <w:rPr>
                <w:b/>
                <w:sz w:val="22"/>
              </w:rPr>
              <w:t>de la laguna de Huapango?</w:t>
            </w:r>
          </w:p>
        </w:tc>
      </w:tr>
      <w:tr>
        <w:trPr>
          <w:trHeight w:val="254"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1" w:lineRule="exact"/>
              <w:ind w:left="100"/>
              <w:rPr>
                <w:b/>
                <w:sz w:val="22"/>
              </w:rPr>
            </w:pPr>
            <w:r>
              <w:rPr>
                <w:b/>
                <w:sz w:val="22"/>
              </w:rPr>
              <w:t>Huapango  para </w:t>
            </w:r>
            <w:r>
              <w:rPr>
                <w:b/>
                <w:spacing w:val="55"/>
                <w:sz w:val="22"/>
              </w:rPr>
              <w:t> </w:t>
            </w:r>
            <w:r>
              <w:rPr>
                <w:b/>
                <w:sz w:val="22"/>
              </w:rPr>
              <w:t>su</w:t>
            </w:r>
          </w:p>
        </w:tc>
        <w:tc>
          <w:tcPr>
            <w:tcW w:w="3901" w:type="dxa"/>
            <w:tcBorders>
              <w:top w:val="nil"/>
              <w:bottom w:val="nil"/>
            </w:tcBorders>
            <w:shd w:val="clear" w:color="auto" w:fill="92CDDC"/>
          </w:tcPr>
          <w:p>
            <w:pP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518" w:val="left" w:leader="none"/>
                <w:tab w:pos="2015" w:val="left" w:leader="none"/>
              </w:tabs>
              <w:spacing w:line="243" w:lineRule="exact"/>
              <w:ind w:left="100"/>
              <w:rPr>
                <w:b/>
                <w:sz w:val="22"/>
              </w:rPr>
            </w:pPr>
            <w:r>
              <w:rPr>
                <w:b/>
                <w:sz w:val="22"/>
              </w:rPr>
              <w:t>municipio</w:t>
              <w:tab/>
              <w:t>y</w:t>
              <w:tab/>
              <w:t>la</w:t>
            </w:r>
          </w:p>
        </w:tc>
        <w:tc>
          <w:tcPr>
            <w:tcW w:w="3901" w:type="dxa"/>
            <w:tcBorders>
              <w:top w:val="nil"/>
              <w:bottom w:val="nil"/>
            </w:tcBorders>
            <w:shd w:val="clear" w:color="auto" w:fill="92CDDC"/>
          </w:tcPr>
          <w:p>
            <w:pPr/>
          </w:p>
        </w:tc>
      </w:tr>
      <w:tr>
        <w:trPr>
          <w:trHeight w:val="250"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región?</w:t>
            </w:r>
          </w:p>
        </w:tc>
        <w:tc>
          <w:tcPr>
            <w:tcW w:w="3901" w:type="dxa"/>
            <w:tcBorders>
              <w:top w:val="nil"/>
            </w:tcBorders>
            <w:shd w:val="clear" w:color="auto" w:fill="92CDDC"/>
          </w:tcPr>
          <w:p>
            <w:pPr/>
          </w:p>
        </w:tc>
      </w:tr>
      <w:tr>
        <w:trPr>
          <w:trHeight w:val="269" w:hRule="exact"/>
        </w:trPr>
        <w:tc>
          <w:tcPr>
            <w:tcW w:w="1385" w:type="dxa"/>
            <w:tcBorders>
              <w:bottom w:val="nil"/>
            </w:tcBorders>
          </w:tcPr>
          <w:p>
            <w:pPr>
              <w:pStyle w:val="TableParagraph"/>
              <w:ind w:right="127"/>
              <w:rPr>
                <w:sz w:val="22"/>
              </w:rPr>
            </w:pPr>
            <w:r>
              <w:rPr>
                <w:sz w:val="22"/>
              </w:rPr>
              <w:t>Edgar</w:t>
            </w:r>
          </w:p>
        </w:tc>
        <w:tc>
          <w:tcPr>
            <w:tcW w:w="1274" w:type="dxa"/>
            <w:tcBorders>
              <w:bottom w:val="nil"/>
            </w:tcBorders>
          </w:tcPr>
          <w:p>
            <w:pPr>
              <w:pStyle w:val="TableParagraph"/>
              <w:ind w:left="100" w:right="98"/>
              <w:rPr>
                <w:sz w:val="22"/>
              </w:rPr>
            </w:pPr>
            <w:r>
              <w:rPr>
                <w:sz w:val="22"/>
              </w:rPr>
              <w:t>Abogado</w:t>
            </w:r>
          </w:p>
        </w:tc>
        <w:tc>
          <w:tcPr>
            <w:tcW w:w="1887" w:type="dxa"/>
            <w:tcBorders>
              <w:bottom w:val="nil"/>
            </w:tcBorders>
          </w:tcPr>
          <w:p>
            <w:pPr>
              <w:pStyle w:val="TableParagraph"/>
              <w:ind w:left="410"/>
              <w:rPr>
                <w:sz w:val="22"/>
              </w:rPr>
            </w:pPr>
            <w:r>
              <w:rPr>
                <w:sz w:val="22"/>
              </w:rPr>
              <w:t>Presidente</w:t>
            </w:r>
          </w:p>
        </w:tc>
        <w:tc>
          <w:tcPr>
            <w:tcW w:w="1289" w:type="dxa"/>
            <w:tcBorders>
              <w:bottom w:val="nil"/>
            </w:tcBorders>
          </w:tcPr>
          <w:p>
            <w:pPr>
              <w:pStyle w:val="TableParagraph"/>
              <w:rPr>
                <w:sz w:val="22"/>
              </w:rPr>
            </w:pPr>
            <w:r>
              <w:rPr>
                <w:sz w:val="22"/>
              </w:rPr>
              <w:t>Jilotepec</w:t>
            </w:r>
          </w:p>
        </w:tc>
        <w:tc>
          <w:tcPr>
            <w:tcW w:w="1174" w:type="dxa"/>
            <w:tcBorders>
              <w:bottom w:val="nil"/>
            </w:tcBorders>
          </w:tcPr>
          <w:p>
            <w:pPr>
              <w:pStyle w:val="TableParagraph"/>
              <w:rPr>
                <w:sz w:val="22"/>
              </w:rPr>
            </w:pPr>
            <w:r>
              <w:rPr>
                <w:sz w:val="22"/>
              </w:rPr>
              <w:t>Jilotepec</w:t>
            </w:r>
          </w:p>
        </w:tc>
        <w:tc>
          <w:tcPr>
            <w:tcW w:w="2314" w:type="dxa"/>
            <w:tcBorders>
              <w:bottom w:val="nil"/>
            </w:tcBorders>
          </w:tcPr>
          <w:p>
            <w:pPr>
              <w:pStyle w:val="TableParagraph"/>
              <w:tabs>
                <w:tab w:pos="587" w:val="left" w:leader="none"/>
                <w:tab w:pos="1184" w:val="left" w:leader="none"/>
              </w:tabs>
              <w:ind w:left="100"/>
              <w:rPr>
                <w:sz w:val="22"/>
              </w:rPr>
            </w:pPr>
            <w:r>
              <w:rPr>
                <w:sz w:val="22"/>
              </w:rPr>
              <w:t>Sí</w:t>
              <w:tab/>
              <w:t>por</w:t>
              <w:tab/>
              <w:t>supuesto!,</w:t>
            </w:r>
          </w:p>
        </w:tc>
        <w:tc>
          <w:tcPr>
            <w:tcW w:w="3901" w:type="dxa"/>
            <w:tcBorders>
              <w:bottom w:val="nil"/>
            </w:tcBorders>
          </w:tcPr>
          <w:p>
            <w:pPr>
              <w:pStyle w:val="TableParagraph"/>
              <w:rPr>
                <w:sz w:val="22"/>
              </w:rPr>
            </w:pPr>
            <w:r>
              <w:rPr>
                <w:sz w:val="22"/>
              </w:rPr>
              <w:t>El agua es utilizada para riego en  los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Castillo</w:t>
            </w:r>
          </w:p>
        </w:tc>
        <w:tc>
          <w:tcPr>
            <w:tcW w:w="1274" w:type="dxa"/>
            <w:tcBorders>
              <w:top w:val="nil"/>
              <w:bottom w:val="nil"/>
            </w:tcBorders>
          </w:tcPr>
          <w:p>
            <w:pP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fundamental,</w:t>
            </w:r>
          </w:p>
        </w:tc>
        <w:tc>
          <w:tcPr>
            <w:tcW w:w="3901" w:type="dxa"/>
            <w:tcBorders>
              <w:top w:val="nil"/>
              <w:bottom w:val="nil"/>
            </w:tcBorders>
          </w:tcPr>
          <w:p>
            <w:pPr>
              <w:pStyle w:val="TableParagraph"/>
              <w:tabs>
                <w:tab w:pos="1355" w:val="left" w:leader="none"/>
                <w:tab w:pos="2312" w:val="left" w:leader="none"/>
                <w:tab w:pos="3066" w:val="left" w:leader="none"/>
              </w:tabs>
              <w:spacing w:line="241" w:lineRule="exact"/>
              <w:rPr>
                <w:sz w:val="22"/>
              </w:rPr>
            </w:pPr>
            <w:r>
              <w:rPr>
                <w:sz w:val="22"/>
              </w:rPr>
              <w:t>municipios</w:t>
              <w:tab/>
              <w:t>vecinos</w:t>
              <w:tab/>
              <w:t>como</w:t>
              <w:tab/>
              <w:t>Aculco,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extraordinario,</w:t>
            </w:r>
          </w:p>
        </w:tc>
        <w:tc>
          <w:tcPr>
            <w:tcW w:w="3901" w:type="dxa"/>
            <w:tcBorders>
              <w:top w:val="nil"/>
              <w:bottom w:val="nil"/>
            </w:tcBorders>
          </w:tcPr>
          <w:p>
            <w:pPr>
              <w:pStyle w:val="TableParagraph"/>
              <w:spacing w:line="241" w:lineRule="exact"/>
              <w:rPr>
                <w:sz w:val="22"/>
              </w:rPr>
            </w:pPr>
            <w:r>
              <w:rPr>
                <w:sz w:val="22"/>
              </w:rPr>
              <w:t>Polotitlán,  Jilotepec,  los  estados</w:t>
            </w:r>
            <w:r>
              <w:rPr>
                <w:spacing w:val="55"/>
                <w:sz w:val="22"/>
              </w:rPr>
              <w:t> </w:t>
            </w:r>
            <w:r>
              <w:rPr>
                <w:sz w:val="22"/>
              </w:rPr>
              <w:t>de</w:t>
            </w:r>
          </w:p>
        </w:tc>
      </w:tr>
      <w:tr>
        <w:trPr>
          <w:trHeight w:val="248"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tabs>
                <w:tab w:pos="1516" w:val="left" w:leader="none"/>
              </w:tabs>
              <w:spacing w:line="242" w:lineRule="exact"/>
              <w:ind w:left="100"/>
              <w:rPr>
                <w:sz w:val="22"/>
              </w:rPr>
            </w:pPr>
            <w:r>
              <w:rPr>
                <w:sz w:val="22"/>
              </w:rPr>
              <w:t>fundamental</w:t>
              <w:tab/>
              <w:t>porque</w:t>
            </w:r>
          </w:p>
        </w:tc>
        <w:tc>
          <w:tcPr>
            <w:tcW w:w="3901" w:type="dxa"/>
            <w:tcBorders>
              <w:top w:val="nil"/>
            </w:tcBorders>
          </w:tcPr>
          <w:p>
            <w:pPr>
              <w:pStyle w:val="TableParagraph"/>
              <w:spacing w:line="242" w:lineRule="exact"/>
              <w:rPr>
                <w:sz w:val="22"/>
              </w:rPr>
            </w:pPr>
            <w:r>
              <w:rPr>
                <w:sz w:val="22"/>
              </w:rPr>
              <w:t>Hidalgo y Querétaro.</w:t>
            </w:r>
          </w:p>
        </w:tc>
      </w:tr>
    </w:tbl>
    <w:p>
      <w:pPr>
        <w:spacing w:after="0" w:line="242" w:lineRule="exact"/>
        <w:rPr>
          <w:sz w:val="22"/>
        </w:rPr>
        <w:sectPr>
          <w:pgSz w:w="15840" w:h="12240" w:orient="landscape"/>
          <w:pgMar w:header="0" w:footer="94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1274" w:hRule="exact"/>
        </w:trPr>
        <w:tc>
          <w:tcPr>
            <w:tcW w:w="1385" w:type="dxa"/>
          </w:tcPr>
          <w:p>
            <w:pPr>
              <w:pStyle w:val="TableParagraph"/>
              <w:spacing w:line="251" w:lineRule="exact"/>
              <w:ind w:left="65" w:right="105"/>
              <w:jc w:val="center"/>
              <w:rPr>
                <w:sz w:val="22"/>
              </w:rPr>
            </w:pPr>
            <w:r>
              <w:rPr>
                <w:sz w:val="22"/>
              </w:rPr>
              <w:t>(29/8/2014)</w:t>
            </w: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ind w:left="100" w:right="98"/>
              <w:jc w:val="both"/>
              <w:rPr>
                <w:sz w:val="22"/>
              </w:rPr>
            </w:pPr>
            <w:r>
              <w:rPr>
                <w:sz w:val="22"/>
              </w:rPr>
              <w:t>10 de nuestras 53 comunidades se benefician del riego, sobre todo la parte norte del municipio.</w:t>
            </w:r>
          </w:p>
        </w:tc>
        <w:tc>
          <w:tcPr>
            <w:tcW w:w="3901" w:type="dxa"/>
          </w:tcPr>
          <w:p>
            <w:pPr/>
          </w:p>
        </w:tc>
      </w:tr>
      <w:tr>
        <w:trPr>
          <w:trHeight w:val="267" w:hRule="exact"/>
        </w:trPr>
        <w:tc>
          <w:tcPr>
            <w:tcW w:w="1385" w:type="dxa"/>
            <w:tcBorders>
              <w:bottom w:val="nil"/>
            </w:tcBorders>
          </w:tcPr>
          <w:p>
            <w:pPr>
              <w:pStyle w:val="TableParagraph"/>
              <w:spacing w:line="251" w:lineRule="exact"/>
              <w:ind w:left="85" w:right="85"/>
              <w:jc w:val="center"/>
              <w:rPr>
                <w:sz w:val="22"/>
              </w:rPr>
            </w:pPr>
            <w:r>
              <w:rPr>
                <w:sz w:val="22"/>
              </w:rPr>
              <w:t>Francisco</w:t>
            </w:r>
          </w:p>
        </w:tc>
        <w:tc>
          <w:tcPr>
            <w:tcW w:w="1274" w:type="dxa"/>
            <w:tcBorders>
              <w:bottom w:val="nil"/>
            </w:tcBorders>
          </w:tcPr>
          <w:p>
            <w:pPr>
              <w:pStyle w:val="TableParagraph"/>
              <w:spacing w:line="251" w:lineRule="exact"/>
              <w:ind w:left="100" w:right="98"/>
              <w:rPr>
                <w:sz w:val="22"/>
              </w:rPr>
            </w:pPr>
            <w:r>
              <w:rPr>
                <w:sz w:val="22"/>
              </w:rPr>
              <w:t>Profesor</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Axochiapa</w:t>
            </w:r>
          </w:p>
        </w:tc>
        <w:tc>
          <w:tcPr>
            <w:tcW w:w="1174" w:type="dxa"/>
            <w:tcBorders>
              <w:bottom w:val="nil"/>
            </w:tcBorders>
          </w:tcPr>
          <w:p>
            <w:pPr>
              <w:pStyle w:val="TableParagraph"/>
              <w:spacing w:line="251" w:lineRule="exact"/>
              <w:ind w:left="23" w:right="109"/>
              <w:jc w:val="center"/>
              <w:rPr>
                <w:sz w:val="22"/>
              </w:rPr>
            </w:pPr>
            <w:r>
              <w:rPr>
                <w:sz w:val="22"/>
              </w:rPr>
              <w:t>Jilotepec</w:t>
            </w:r>
          </w:p>
        </w:tc>
        <w:tc>
          <w:tcPr>
            <w:tcW w:w="2314" w:type="dxa"/>
            <w:tcBorders>
              <w:bottom w:val="nil"/>
            </w:tcBorders>
          </w:tcPr>
          <w:p>
            <w:pPr>
              <w:pStyle w:val="TableParagraph"/>
              <w:spacing w:line="251" w:lineRule="exact"/>
              <w:ind w:left="100"/>
              <w:rPr>
                <w:sz w:val="22"/>
              </w:rPr>
            </w:pPr>
            <w:r>
              <w:rPr>
                <w:sz w:val="22"/>
              </w:rPr>
              <w:t>La   laguna   es   una</w:t>
            </w:r>
          </w:p>
        </w:tc>
        <w:tc>
          <w:tcPr>
            <w:tcW w:w="3901" w:type="dxa"/>
            <w:tcBorders>
              <w:bottom w:val="nil"/>
            </w:tcBorders>
          </w:tcPr>
          <w:p>
            <w:pPr>
              <w:pStyle w:val="TableParagraph"/>
              <w:spacing w:line="251" w:lineRule="exact"/>
              <w:rPr>
                <w:sz w:val="22"/>
              </w:rPr>
            </w:pPr>
            <w:r>
              <w:rPr>
                <w:sz w:val="22"/>
              </w:rPr>
              <w:t>La laguna es utilizada para riego    en</w:t>
            </w: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Gómez</w:t>
            </w:r>
          </w:p>
        </w:tc>
        <w:tc>
          <w:tcPr>
            <w:tcW w:w="1274" w:type="dxa"/>
            <w:tcBorders>
              <w:top w:val="nil"/>
              <w:bottom w:val="nil"/>
            </w:tcBorders>
          </w:tcPr>
          <w:p>
            <w:pPr>
              <w:pStyle w:val="TableParagraph"/>
              <w:spacing w:line="242" w:lineRule="exact"/>
              <w:ind w:left="100" w:right="98"/>
              <w:rPr>
                <w:sz w:val="22"/>
              </w:rPr>
            </w:pPr>
            <w:r>
              <w:rPr>
                <w:sz w:val="22"/>
              </w:rPr>
              <w:t>de</w:t>
            </w:r>
          </w:p>
        </w:tc>
        <w:tc>
          <w:tcPr>
            <w:tcW w:w="1887" w:type="dxa"/>
            <w:tcBorders>
              <w:top w:val="nil"/>
              <w:bottom w:val="nil"/>
            </w:tcBorders>
          </w:tcPr>
          <w:p>
            <w:pPr>
              <w:pStyle w:val="TableParagraph"/>
              <w:spacing w:line="242" w:lineRule="exact"/>
              <w:rPr>
                <w:sz w:val="22"/>
              </w:rPr>
            </w:pPr>
            <w:r>
              <w:rPr>
                <w:sz w:val="22"/>
              </w:rPr>
              <w:t>Encargado de la</w:t>
            </w:r>
          </w:p>
        </w:tc>
        <w:tc>
          <w:tcPr>
            <w:tcW w:w="1289" w:type="dxa"/>
            <w:tcBorders>
              <w:top w:val="nil"/>
              <w:bottom w:val="nil"/>
            </w:tcBorders>
          </w:tcPr>
          <w:p>
            <w:pPr>
              <w:pStyle w:val="TableParagraph"/>
              <w:spacing w:line="242" w:lineRule="exact"/>
              <w:rPr>
                <w:sz w:val="22"/>
              </w:rPr>
            </w:pPr>
            <w:r>
              <w:rPr>
                <w:sz w:val="22"/>
              </w:rPr>
              <w:t>n, Morelos</w:t>
            </w: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fuente de trabajo con</w:t>
            </w:r>
          </w:p>
        </w:tc>
        <w:tc>
          <w:tcPr>
            <w:tcW w:w="3901" w:type="dxa"/>
            <w:tcBorders>
              <w:top w:val="nil"/>
              <w:bottom w:val="nil"/>
            </w:tcBorders>
          </w:tcPr>
          <w:p>
            <w:pPr>
              <w:pStyle w:val="TableParagraph"/>
              <w:spacing w:line="242" w:lineRule="exact"/>
              <w:rPr>
                <w:sz w:val="22"/>
              </w:rPr>
            </w:pPr>
            <w:r>
              <w:rPr>
                <w:sz w:val="22"/>
              </w:rPr>
              <w:t>una  parte  del  Estado  de  México  y</w:t>
            </w:r>
          </w:p>
        </w:tc>
      </w:tr>
      <w:tr>
        <w:trPr>
          <w:trHeight w:val="252" w:hRule="exact"/>
        </w:trPr>
        <w:tc>
          <w:tcPr>
            <w:tcW w:w="1385" w:type="dxa"/>
            <w:tcBorders>
              <w:top w:val="nil"/>
              <w:bottom w:val="nil"/>
            </w:tcBorders>
          </w:tcPr>
          <w:p>
            <w:pPr>
              <w:pStyle w:val="TableParagraph"/>
              <w:spacing w:line="241" w:lineRule="exact"/>
              <w:ind w:left="85" w:right="88"/>
              <w:jc w:val="center"/>
              <w:rPr>
                <w:sz w:val="22"/>
              </w:rPr>
            </w:pPr>
            <w:r>
              <w:rPr>
                <w:sz w:val="22"/>
              </w:rPr>
              <w:t>Marín</w:t>
            </w:r>
          </w:p>
        </w:tc>
        <w:tc>
          <w:tcPr>
            <w:tcW w:w="1274" w:type="dxa"/>
            <w:tcBorders>
              <w:top w:val="nil"/>
              <w:bottom w:val="nil"/>
            </w:tcBorders>
          </w:tcPr>
          <w:p>
            <w:pPr>
              <w:pStyle w:val="TableParagraph"/>
              <w:spacing w:line="241" w:lineRule="exact"/>
              <w:ind w:left="100" w:right="98"/>
              <w:rPr>
                <w:sz w:val="22"/>
              </w:rPr>
            </w:pPr>
            <w:r>
              <w:rPr>
                <w:sz w:val="22"/>
              </w:rPr>
              <w:t>Primaria</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26" w:val="left" w:leader="none"/>
                <w:tab w:pos="1566" w:val="left" w:leader="none"/>
                <w:tab w:pos="2029" w:val="left" w:leader="none"/>
              </w:tabs>
              <w:spacing w:line="241" w:lineRule="exact"/>
              <w:ind w:left="100"/>
              <w:rPr>
                <w:sz w:val="22"/>
              </w:rPr>
            </w:pPr>
            <w:r>
              <w:rPr>
                <w:sz w:val="22"/>
              </w:rPr>
              <w:t>la</w:t>
              <w:tab/>
              <w:t>pesca</w:t>
              <w:tab/>
              <w:t>y</w:t>
              <w:tab/>
              <w:t>la</w:t>
            </w:r>
          </w:p>
        </w:tc>
        <w:tc>
          <w:tcPr>
            <w:tcW w:w="3901" w:type="dxa"/>
            <w:tcBorders>
              <w:top w:val="nil"/>
              <w:bottom w:val="nil"/>
            </w:tcBorders>
          </w:tcPr>
          <w:p>
            <w:pPr>
              <w:pStyle w:val="TableParagraph"/>
              <w:spacing w:line="241" w:lineRule="exact"/>
              <w:rPr>
                <w:sz w:val="22"/>
              </w:rPr>
            </w:pPr>
            <w:r>
              <w:rPr>
                <w:sz w:val="22"/>
              </w:rPr>
              <w:t>otra en el Estado de Hidalgo.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ganadería.</w:t>
            </w:r>
          </w:p>
        </w:tc>
        <w:tc>
          <w:tcPr>
            <w:tcW w:w="3901" w:type="dxa"/>
            <w:tcBorders>
              <w:top w:val="nil"/>
              <w:bottom w:val="nil"/>
            </w:tcBorders>
          </w:tcPr>
          <w:p>
            <w:pPr/>
          </w:p>
        </w:tc>
      </w:tr>
      <w:tr>
        <w:trPr>
          <w:trHeight w:val="249" w:hRule="exact"/>
        </w:trPr>
        <w:tc>
          <w:tcPr>
            <w:tcW w:w="1385" w:type="dxa"/>
            <w:tcBorders>
              <w:top w:val="nil"/>
            </w:tcBorders>
          </w:tcPr>
          <w:p>
            <w:pPr>
              <w:pStyle w:val="TableParagraph"/>
              <w:spacing w:line="242" w:lineRule="exact"/>
              <w:ind w:left="85" w:right="85"/>
              <w:jc w:val="center"/>
              <w:rPr>
                <w:sz w:val="22"/>
              </w:rPr>
            </w:pPr>
            <w:r>
              <w:rPr>
                <w:sz w:val="22"/>
              </w:rPr>
              <w:t>(29/8/2014)</w:t>
            </w: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Agropecuario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left="85" w:right="85"/>
              <w:jc w:val="center"/>
              <w:rPr>
                <w:sz w:val="22"/>
              </w:rPr>
            </w:pPr>
            <w:r>
              <w:rPr>
                <w:sz w:val="22"/>
              </w:rPr>
              <w:t>Daniel</w:t>
            </w:r>
          </w:p>
        </w:tc>
        <w:tc>
          <w:tcPr>
            <w:tcW w:w="1274" w:type="dxa"/>
            <w:tcBorders>
              <w:bottom w:val="nil"/>
            </w:tcBorders>
          </w:tcPr>
          <w:p>
            <w:pPr>
              <w:pStyle w:val="TableParagraph"/>
              <w:spacing w:line="251" w:lineRule="exact"/>
              <w:ind w:left="100" w:right="98"/>
              <w:rPr>
                <w:sz w:val="22"/>
              </w:rPr>
            </w:pPr>
            <w:r>
              <w:rPr>
                <w:sz w:val="22"/>
              </w:rPr>
              <w:t>Ingeniería</w:t>
            </w:r>
          </w:p>
        </w:tc>
        <w:tc>
          <w:tcPr>
            <w:tcW w:w="1887" w:type="dxa"/>
            <w:tcBorders>
              <w:bottom w:val="nil"/>
            </w:tcBorders>
          </w:tcPr>
          <w:p>
            <w:pPr>
              <w:pStyle w:val="TableParagraph"/>
              <w:spacing w:line="251" w:lineRule="exact"/>
              <w:rPr>
                <w:sz w:val="22"/>
              </w:rPr>
            </w:pPr>
            <w:r>
              <w:rPr>
                <w:sz w:val="22"/>
              </w:rPr>
              <w:t>Décimo Regidor.</w:t>
            </w:r>
          </w:p>
        </w:tc>
        <w:tc>
          <w:tcPr>
            <w:tcW w:w="1289" w:type="dxa"/>
            <w:tcBorders>
              <w:bottom w:val="nil"/>
            </w:tcBorders>
          </w:tcPr>
          <w:p>
            <w:pPr>
              <w:pStyle w:val="TableParagraph"/>
              <w:spacing w:line="251" w:lineRule="exact"/>
              <w:rPr>
                <w:sz w:val="22"/>
              </w:rPr>
            </w:pPr>
            <w:r>
              <w:rPr>
                <w:sz w:val="22"/>
              </w:rPr>
              <w:t>Distrito</w:t>
            </w:r>
          </w:p>
        </w:tc>
        <w:tc>
          <w:tcPr>
            <w:tcW w:w="1174" w:type="dxa"/>
            <w:tcBorders>
              <w:bottom w:val="nil"/>
            </w:tcBorders>
          </w:tcPr>
          <w:p>
            <w:pPr>
              <w:pStyle w:val="TableParagraph"/>
              <w:spacing w:line="251" w:lineRule="exact"/>
              <w:ind w:left="23" w:right="109"/>
              <w:jc w:val="center"/>
              <w:rPr>
                <w:sz w:val="22"/>
              </w:rPr>
            </w:pPr>
            <w:r>
              <w:rPr>
                <w:sz w:val="22"/>
              </w:rPr>
              <w:t>Jilotepec</w:t>
            </w:r>
          </w:p>
        </w:tc>
        <w:tc>
          <w:tcPr>
            <w:tcW w:w="2314" w:type="dxa"/>
            <w:tcBorders>
              <w:bottom w:val="nil"/>
            </w:tcBorders>
          </w:tcPr>
          <w:p>
            <w:pPr>
              <w:pStyle w:val="TableParagraph"/>
              <w:tabs>
                <w:tab w:pos="729" w:val="left" w:leader="none"/>
                <w:tab w:pos="1957" w:val="left" w:leader="none"/>
              </w:tabs>
              <w:spacing w:line="251" w:lineRule="exact"/>
              <w:ind w:left="100"/>
              <w:rPr>
                <w:sz w:val="22"/>
              </w:rPr>
            </w:pPr>
            <w:r>
              <w:rPr>
                <w:sz w:val="22"/>
              </w:rPr>
              <w:t>¡Por</w:t>
              <w:tab/>
              <w:t>supuesto!,</w:t>
              <w:tab/>
              <w:t>en</w:t>
            </w:r>
          </w:p>
        </w:tc>
        <w:tc>
          <w:tcPr>
            <w:tcW w:w="3901" w:type="dxa"/>
            <w:tcBorders>
              <w:bottom w:val="nil"/>
            </w:tcBorders>
          </w:tcPr>
          <w:p>
            <w:pPr>
              <w:pStyle w:val="TableParagraph"/>
              <w:spacing w:line="251" w:lineRule="exact"/>
              <w:rPr>
                <w:sz w:val="22"/>
              </w:rPr>
            </w:pPr>
            <w:r>
              <w:rPr>
                <w:sz w:val="22"/>
              </w:rPr>
              <w:t>El agua es utilizada para riego.</w:t>
            </w: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Arciniega</w:t>
            </w:r>
          </w:p>
        </w:tc>
        <w:tc>
          <w:tcPr>
            <w:tcW w:w="1274" w:type="dxa"/>
            <w:tcBorders>
              <w:top w:val="nil"/>
              <w:bottom w:val="nil"/>
            </w:tcBorders>
          </w:tcPr>
          <w:p>
            <w:pPr>
              <w:pStyle w:val="TableParagraph"/>
              <w:spacing w:line="242" w:lineRule="exact"/>
              <w:ind w:left="100" w:right="98"/>
              <w:rPr>
                <w:sz w:val="22"/>
              </w:rPr>
            </w:pPr>
            <w:r>
              <w:rPr>
                <w:sz w:val="22"/>
              </w:rPr>
              <w:t>Industrial</w:t>
            </w:r>
          </w:p>
        </w:tc>
        <w:tc>
          <w:tcPr>
            <w:tcW w:w="1887" w:type="dxa"/>
            <w:tcBorders>
              <w:top w:val="nil"/>
              <w:bottom w:val="nil"/>
            </w:tcBorders>
          </w:tcPr>
          <w:p>
            <w:pPr>
              <w:pStyle w:val="TableParagraph"/>
              <w:spacing w:line="242" w:lineRule="exact"/>
              <w:rPr>
                <w:sz w:val="22"/>
              </w:rPr>
            </w:pPr>
            <w:r>
              <w:rPr>
                <w:sz w:val="22"/>
              </w:rPr>
              <w:t>Encargado  de la</w:t>
            </w:r>
          </w:p>
        </w:tc>
        <w:tc>
          <w:tcPr>
            <w:tcW w:w="1289" w:type="dxa"/>
            <w:tcBorders>
              <w:top w:val="nil"/>
              <w:bottom w:val="nil"/>
            </w:tcBorders>
          </w:tcPr>
          <w:p>
            <w:pPr>
              <w:pStyle w:val="TableParagraph"/>
              <w:spacing w:line="242" w:lineRule="exact"/>
              <w:rPr>
                <w:sz w:val="22"/>
              </w:rPr>
            </w:pPr>
            <w:r>
              <w:rPr>
                <w:sz w:val="22"/>
              </w:rPr>
              <w:t>Federal</w:t>
            </w:r>
          </w:p>
        </w:tc>
        <w:tc>
          <w:tcPr>
            <w:tcW w:w="1174" w:type="dxa"/>
            <w:tcBorders>
              <w:top w:val="nil"/>
              <w:bottom w:val="nil"/>
            </w:tcBorders>
          </w:tcPr>
          <w:p>
            <w:pPr/>
          </w:p>
        </w:tc>
        <w:tc>
          <w:tcPr>
            <w:tcW w:w="2314" w:type="dxa"/>
            <w:tcBorders>
              <w:top w:val="nil"/>
              <w:bottom w:val="nil"/>
            </w:tcBorders>
          </w:tcPr>
          <w:p>
            <w:pPr>
              <w:pStyle w:val="TableParagraph"/>
              <w:tabs>
                <w:tab w:pos="705" w:val="left" w:leader="none"/>
                <w:tab w:pos="1835" w:val="left" w:leader="none"/>
              </w:tabs>
              <w:spacing w:line="242" w:lineRule="exact"/>
              <w:ind w:left="100"/>
              <w:rPr>
                <w:sz w:val="22"/>
              </w:rPr>
            </w:pPr>
            <w:r>
              <w:rPr>
                <w:sz w:val="22"/>
              </w:rPr>
              <w:t>dos</w:t>
              <w:tab/>
              <w:t>sentidos:</w:t>
              <w:tab/>
              <w:t>uno</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left="85" w:right="86"/>
              <w:jc w:val="center"/>
              <w:rPr>
                <w:sz w:val="22"/>
              </w:rPr>
            </w:pPr>
            <w:r>
              <w:rPr>
                <w:sz w:val="22"/>
              </w:rPr>
              <w:t>Sandoval</w:t>
            </w:r>
          </w:p>
        </w:tc>
        <w:tc>
          <w:tcPr>
            <w:tcW w:w="1274" w:type="dxa"/>
            <w:tcBorders>
              <w:top w:val="nil"/>
              <w:bottom w:val="nil"/>
            </w:tcBorders>
          </w:tcPr>
          <w:p>
            <w:pPr>
              <w:pStyle w:val="TableParagraph"/>
              <w:spacing w:line="241" w:lineRule="exact"/>
              <w:ind w:left="100" w:right="98"/>
              <w:rPr>
                <w:sz w:val="22"/>
              </w:rPr>
            </w:pPr>
            <w:r>
              <w:rPr>
                <w:sz w:val="22"/>
              </w:rPr>
              <w:t>Textil</w:t>
            </w: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fomenta la pesca,  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(carrera</w:t>
            </w:r>
          </w:p>
        </w:tc>
        <w:tc>
          <w:tcPr>
            <w:tcW w:w="1887" w:type="dxa"/>
            <w:tcBorders>
              <w:top w:val="nil"/>
              <w:bottom w:val="nil"/>
            </w:tcBorders>
          </w:tcPr>
          <w:p>
            <w:pPr>
              <w:pStyle w:val="TableParagraph"/>
              <w:spacing w:line="242"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844" w:val="left" w:leader="none"/>
                <w:tab w:pos="1957" w:val="left" w:leader="none"/>
              </w:tabs>
              <w:spacing w:line="242" w:lineRule="exact"/>
              <w:ind w:left="100"/>
              <w:rPr>
                <w:sz w:val="22"/>
              </w:rPr>
            </w:pPr>
            <w:r>
              <w:rPr>
                <w:sz w:val="22"/>
              </w:rPr>
              <w:t>un</w:t>
              <w:tab/>
              <w:t>centro</w:t>
              <w:tab/>
              <w:t>de</w:t>
            </w:r>
          </w:p>
        </w:tc>
        <w:tc>
          <w:tcPr>
            <w:tcW w:w="3901"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left="85" w:right="85"/>
              <w:jc w:val="center"/>
              <w:rPr>
                <w:sz w:val="22"/>
              </w:rPr>
            </w:pPr>
            <w:r>
              <w:rPr>
                <w:sz w:val="22"/>
              </w:rPr>
              <w:t>(29/8/2014)</w:t>
            </w:r>
          </w:p>
        </w:tc>
        <w:tc>
          <w:tcPr>
            <w:tcW w:w="1274" w:type="dxa"/>
            <w:tcBorders>
              <w:top w:val="nil"/>
              <w:bottom w:val="nil"/>
            </w:tcBorders>
          </w:tcPr>
          <w:p>
            <w:pPr>
              <w:pStyle w:val="TableParagraph"/>
              <w:spacing w:line="241" w:lineRule="exact"/>
              <w:ind w:left="100" w:right="98"/>
              <w:rPr>
                <w:sz w:val="22"/>
              </w:rPr>
            </w:pPr>
            <w:r>
              <w:rPr>
                <w:sz w:val="22"/>
              </w:rPr>
              <w:t>trunca)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206" w:val="left" w:leader="none"/>
                <w:tab w:pos="1919" w:val="left" w:leader="none"/>
              </w:tabs>
              <w:spacing w:line="241" w:lineRule="exact"/>
              <w:ind w:left="100"/>
              <w:rPr>
                <w:sz w:val="22"/>
              </w:rPr>
            </w:pPr>
            <w:r>
              <w:rPr>
                <w:sz w:val="22"/>
              </w:rPr>
              <w:t>dotación</w:t>
              <w:tab/>
              <w:t>para</w:t>
              <w:tab/>
              <w:t>las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comunidades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aledañas  y  dos para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el   riego   porque  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captadora   de   agua</w:t>
            </w: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pluvial.</w:t>
            </w:r>
          </w:p>
        </w:tc>
        <w:tc>
          <w:tcPr>
            <w:tcW w:w="3901" w:type="dxa"/>
            <w:tcBorders>
              <w:top w:val="nil"/>
            </w:tcBorders>
          </w:tcPr>
          <w:p>
            <w:pPr/>
          </w:p>
        </w:tc>
      </w:tr>
      <w:tr>
        <w:trPr>
          <w:trHeight w:val="269" w:hRule="exact"/>
        </w:trPr>
        <w:tc>
          <w:tcPr>
            <w:tcW w:w="1385" w:type="dxa"/>
            <w:tcBorders>
              <w:bottom w:val="nil"/>
            </w:tcBorders>
          </w:tcPr>
          <w:p>
            <w:pPr>
              <w:pStyle w:val="TableParagraph"/>
              <w:ind w:left="85" w:right="85"/>
              <w:jc w:val="center"/>
              <w:rPr>
                <w:sz w:val="22"/>
              </w:rPr>
            </w:pPr>
            <w:r>
              <w:rPr>
                <w:sz w:val="22"/>
              </w:rPr>
              <w:t>Santos</w:t>
            </w:r>
          </w:p>
        </w:tc>
        <w:tc>
          <w:tcPr>
            <w:tcW w:w="1274" w:type="dxa"/>
            <w:tcBorders>
              <w:bottom w:val="nil"/>
            </w:tcBorders>
          </w:tcPr>
          <w:p>
            <w:pPr/>
          </w:p>
        </w:tc>
        <w:tc>
          <w:tcPr>
            <w:tcW w:w="1887" w:type="dxa"/>
            <w:tcBorders>
              <w:bottom w:val="nil"/>
            </w:tcBorders>
          </w:tcPr>
          <w:p>
            <w:pPr>
              <w:pStyle w:val="TableParagraph"/>
              <w:tabs>
                <w:tab w:pos="1480" w:val="left" w:leader="none"/>
              </w:tabs>
              <w:rPr>
                <w:sz w:val="22"/>
              </w:rPr>
            </w:pPr>
            <w:r>
              <w:rPr>
                <w:sz w:val="22"/>
              </w:rPr>
              <w:t>Jefe</w:t>
              <w:tab/>
              <w:t>del</w:t>
            </w:r>
          </w:p>
        </w:tc>
        <w:tc>
          <w:tcPr>
            <w:tcW w:w="1289" w:type="dxa"/>
            <w:tcBorders>
              <w:bottom w:val="nil"/>
            </w:tcBorders>
          </w:tcPr>
          <w:p>
            <w:pPr>
              <w:pStyle w:val="TableParagraph"/>
              <w:rPr>
                <w:sz w:val="22"/>
              </w:rPr>
            </w:pPr>
            <w:r>
              <w:rPr>
                <w:sz w:val="22"/>
              </w:rPr>
              <w:t>Jilotepec</w:t>
            </w:r>
          </w:p>
        </w:tc>
        <w:tc>
          <w:tcPr>
            <w:tcW w:w="1174" w:type="dxa"/>
            <w:tcBorders>
              <w:bottom w:val="nil"/>
            </w:tcBorders>
          </w:tcPr>
          <w:p>
            <w:pPr>
              <w:pStyle w:val="TableParagraph"/>
              <w:ind w:left="23" w:right="109"/>
              <w:jc w:val="center"/>
              <w:rPr>
                <w:sz w:val="22"/>
              </w:rPr>
            </w:pPr>
            <w:r>
              <w:rPr>
                <w:sz w:val="22"/>
              </w:rPr>
              <w:t>Jilotepec</w:t>
            </w:r>
          </w:p>
        </w:tc>
        <w:tc>
          <w:tcPr>
            <w:tcW w:w="2314" w:type="dxa"/>
            <w:tcBorders>
              <w:bottom w:val="nil"/>
            </w:tcBorders>
          </w:tcPr>
          <w:p>
            <w:pPr>
              <w:pStyle w:val="TableParagraph"/>
              <w:ind w:left="100"/>
              <w:rPr>
                <w:sz w:val="22"/>
              </w:rPr>
            </w:pPr>
            <w:r>
              <w:rPr>
                <w:sz w:val="22"/>
              </w:rPr>
              <w:t>Porque   da   algunos</w:t>
            </w:r>
          </w:p>
        </w:tc>
        <w:tc>
          <w:tcPr>
            <w:tcW w:w="3901" w:type="dxa"/>
            <w:tcBorders>
              <w:bottom w:val="nil"/>
            </w:tcBorders>
          </w:tcPr>
          <w:p>
            <w:pPr>
              <w:pStyle w:val="TableParagraph"/>
              <w:rPr>
                <w:sz w:val="22"/>
              </w:rPr>
            </w:pPr>
            <w:r>
              <w:rPr>
                <w:sz w:val="22"/>
              </w:rPr>
              <w:t>Para el riego agrícola y la pesca.</w:t>
            </w:r>
          </w:p>
        </w:tc>
      </w:tr>
      <w:tr>
        <w:trPr>
          <w:trHeight w:val="252" w:hRule="exact"/>
        </w:trPr>
        <w:tc>
          <w:tcPr>
            <w:tcW w:w="1385" w:type="dxa"/>
            <w:tcBorders>
              <w:top w:val="nil"/>
              <w:bottom w:val="nil"/>
            </w:tcBorders>
          </w:tcPr>
          <w:p>
            <w:pPr>
              <w:pStyle w:val="TableParagraph"/>
              <w:spacing w:line="241" w:lineRule="exact"/>
              <w:ind w:left="85" w:right="85"/>
              <w:jc w:val="center"/>
              <w:rPr>
                <w:sz w:val="22"/>
              </w:rPr>
            </w:pPr>
            <w:r>
              <w:rPr>
                <w:sz w:val="22"/>
              </w:rPr>
              <w:t>Martínez</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Departamento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51" w:val="left" w:leader="none"/>
                <w:tab w:pos="1919" w:val="left" w:leader="none"/>
              </w:tabs>
              <w:spacing w:line="241" w:lineRule="exact"/>
              <w:ind w:left="100"/>
              <w:rPr>
                <w:sz w:val="22"/>
              </w:rPr>
            </w:pPr>
            <w:r>
              <w:rPr>
                <w:sz w:val="22"/>
              </w:rPr>
              <w:t>insumos</w:t>
              <w:tab/>
              <w:t>como</w:t>
              <w:tab/>
              <w:t>los</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left="85" w:right="84"/>
              <w:jc w:val="center"/>
              <w:rPr>
                <w:sz w:val="22"/>
              </w:rPr>
            </w:pPr>
            <w:r>
              <w:rPr>
                <w:sz w:val="22"/>
              </w:rPr>
              <w:t>Alcántara</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 Ecología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peces  que  impactan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en  la  economía  y el</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left="85" w:right="85"/>
              <w:jc w:val="center"/>
              <w:rPr>
                <w:sz w:val="22"/>
              </w:rPr>
            </w:pPr>
            <w:r>
              <w:rPr>
                <w:sz w:val="22"/>
              </w:rPr>
              <w:t>(15/I/2014)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turismo  que  es</w:t>
            </w:r>
            <w:r>
              <w:rPr>
                <w:spacing w:val="56"/>
                <w:sz w:val="22"/>
              </w:rPr>
              <w:t> </w:t>
            </w:r>
            <w:r>
              <w:rPr>
                <w:sz w:val="22"/>
              </w:rPr>
              <w:t>muy</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importante.</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left="85" w:right="85"/>
              <w:jc w:val="center"/>
              <w:rPr>
                <w:sz w:val="22"/>
              </w:rPr>
            </w:pPr>
            <w:r>
              <w:rPr>
                <w:sz w:val="22"/>
              </w:rPr>
              <w:t>Jaime</w:t>
            </w:r>
          </w:p>
        </w:tc>
        <w:tc>
          <w:tcPr>
            <w:tcW w:w="1274" w:type="dxa"/>
            <w:tcBorders>
              <w:bottom w:val="nil"/>
            </w:tcBorders>
          </w:tcPr>
          <w:p>
            <w:pP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289" w:type="dxa"/>
            <w:tcBorders>
              <w:bottom w:val="nil"/>
            </w:tcBorders>
          </w:tcPr>
          <w:p>
            <w:pPr>
              <w:pStyle w:val="TableParagraph"/>
              <w:spacing w:line="251" w:lineRule="exact"/>
              <w:ind w:left="295"/>
              <w:rPr>
                <w:sz w:val="22"/>
              </w:rPr>
            </w:pPr>
            <w:r>
              <w:rPr>
                <w:sz w:val="22"/>
              </w:rPr>
              <w:t>Distrito</w:t>
            </w:r>
          </w:p>
        </w:tc>
        <w:tc>
          <w:tcPr>
            <w:tcW w:w="1174" w:type="dxa"/>
            <w:tcBorders>
              <w:bottom w:val="nil"/>
            </w:tcBorders>
          </w:tcPr>
          <w:p>
            <w:pPr>
              <w:pStyle w:val="TableParagraph"/>
              <w:spacing w:line="251" w:lineRule="exact"/>
              <w:ind w:left="84" w:right="84"/>
              <w:jc w:val="center"/>
              <w:rPr>
                <w:sz w:val="22"/>
              </w:rPr>
            </w:pPr>
            <w:r>
              <w:rPr>
                <w:sz w:val="22"/>
              </w:rPr>
              <w:t>Jilotepec</w:t>
            </w:r>
          </w:p>
        </w:tc>
        <w:tc>
          <w:tcPr>
            <w:tcW w:w="2314" w:type="dxa"/>
            <w:tcBorders>
              <w:bottom w:val="nil"/>
            </w:tcBorders>
          </w:tcPr>
          <w:p>
            <w:pPr>
              <w:pStyle w:val="TableParagraph"/>
              <w:tabs>
                <w:tab w:pos="741" w:val="left" w:leader="none"/>
                <w:tab w:pos="1369" w:val="left" w:leader="none"/>
              </w:tabs>
              <w:spacing w:line="251" w:lineRule="exact"/>
              <w:ind w:left="100"/>
              <w:rPr>
                <w:sz w:val="22"/>
              </w:rPr>
            </w:pPr>
            <w:r>
              <w:rPr>
                <w:sz w:val="22"/>
              </w:rPr>
              <w:t>Es</w:t>
              <w:tab/>
              <w:t>un</w:t>
              <w:tab/>
              <w:t>atractivo</w:t>
            </w:r>
          </w:p>
        </w:tc>
        <w:tc>
          <w:tcPr>
            <w:tcW w:w="3901" w:type="dxa"/>
            <w:tcBorders>
              <w:bottom w:val="nil"/>
            </w:tcBorders>
          </w:tcPr>
          <w:p>
            <w:pPr>
              <w:pStyle w:val="TableParagraph"/>
              <w:spacing w:line="251" w:lineRule="exact"/>
              <w:rPr>
                <w:sz w:val="22"/>
              </w:rPr>
            </w:pPr>
            <w:r>
              <w:rPr>
                <w:sz w:val="22"/>
              </w:rPr>
              <w:t>Para riego, pesca y abrevadero.</w:t>
            </w:r>
          </w:p>
        </w:tc>
      </w:tr>
      <w:tr>
        <w:trPr>
          <w:trHeight w:val="254" w:hRule="exact"/>
        </w:trPr>
        <w:tc>
          <w:tcPr>
            <w:tcW w:w="1385" w:type="dxa"/>
            <w:tcBorders>
              <w:top w:val="nil"/>
              <w:bottom w:val="nil"/>
            </w:tcBorders>
          </w:tcPr>
          <w:p>
            <w:pPr>
              <w:pStyle w:val="TableParagraph"/>
              <w:spacing w:line="242" w:lineRule="exact"/>
              <w:ind w:left="85" w:right="85"/>
              <w:jc w:val="center"/>
              <w:rPr>
                <w:sz w:val="22"/>
              </w:rPr>
            </w:pPr>
            <w:r>
              <w:rPr>
                <w:sz w:val="22"/>
              </w:rPr>
              <w:t>Sánchez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Departamento</w:t>
            </w:r>
          </w:p>
        </w:tc>
        <w:tc>
          <w:tcPr>
            <w:tcW w:w="1289" w:type="dxa"/>
            <w:tcBorders>
              <w:top w:val="nil"/>
              <w:bottom w:val="nil"/>
            </w:tcBorders>
          </w:tcPr>
          <w:p>
            <w:pPr>
              <w:pStyle w:val="TableParagraph"/>
              <w:spacing w:line="242" w:lineRule="exact"/>
              <w:ind w:left="266"/>
              <w:rPr>
                <w:sz w:val="22"/>
              </w:rPr>
            </w:pPr>
            <w:r>
              <w:rPr>
                <w:sz w:val="22"/>
              </w:rPr>
              <w:t>Federal</w:t>
            </w:r>
          </w:p>
        </w:tc>
        <w:tc>
          <w:tcPr>
            <w:tcW w:w="1174" w:type="dxa"/>
            <w:tcBorders>
              <w:top w:val="nil"/>
              <w:bottom w:val="nil"/>
            </w:tcBorders>
          </w:tcPr>
          <w:p>
            <w:pPr/>
          </w:p>
        </w:tc>
        <w:tc>
          <w:tcPr>
            <w:tcW w:w="2314" w:type="dxa"/>
            <w:tcBorders>
              <w:top w:val="nil"/>
              <w:bottom w:val="nil"/>
            </w:tcBorders>
          </w:tcPr>
          <w:p>
            <w:pPr>
              <w:pStyle w:val="TableParagraph"/>
              <w:tabs>
                <w:tab w:pos="1079" w:val="left" w:leader="none"/>
                <w:tab w:pos="1395" w:val="left" w:leader="none"/>
                <w:tab w:pos="1834" w:val="left" w:leader="none"/>
              </w:tabs>
              <w:spacing w:line="242" w:lineRule="exact"/>
              <w:ind w:left="100"/>
              <w:rPr>
                <w:sz w:val="22"/>
              </w:rPr>
            </w:pPr>
            <w:r>
              <w:rPr>
                <w:sz w:val="22"/>
              </w:rPr>
              <w:t>turístico</w:t>
              <w:tab/>
              <w:t>y</w:t>
              <w:tab/>
              <w:t>es</w:t>
              <w:tab/>
              <w:t>una</w:t>
            </w:r>
          </w:p>
        </w:tc>
        <w:tc>
          <w:tcPr>
            <w:tcW w:w="3901"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left="85" w:right="85"/>
              <w:jc w:val="center"/>
              <w:rPr>
                <w:sz w:val="22"/>
              </w:rPr>
            </w:pPr>
            <w:r>
              <w:rPr>
                <w:sz w:val="22"/>
              </w:rPr>
              <w:t>Miranda</w:t>
            </w:r>
          </w:p>
        </w:tc>
        <w:tc>
          <w:tcPr>
            <w:tcW w:w="1274" w:type="dxa"/>
            <w:tcBorders>
              <w:top w:val="nil"/>
              <w:bottom w:val="nil"/>
            </w:tcBorders>
          </w:tcPr>
          <w:p>
            <w:pPr>
              <w:pStyle w:val="TableParagraph"/>
              <w:spacing w:line="241" w:lineRule="exact"/>
              <w:ind w:left="100"/>
              <w:rPr>
                <w:sz w:val="22"/>
              </w:rPr>
            </w:pPr>
            <w:r>
              <w:rPr>
                <w:sz w:val="22"/>
              </w:rPr>
              <w:t>Licenciado</w:t>
            </w:r>
          </w:p>
        </w:tc>
        <w:tc>
          <w:tcPr>
            <w:tcW w:w="1887" w:type="dxa"/>
            <w:tcBorders>
              <w:top w:val="nil"/>
              <w:bottom w:val="nil"/>
            </w:tcBorders>
          </w:tcPr>
          <w:p>
            <w:pPr>
              <w:pStyle w:val="TableParagraph"/>
              <w:tabs>
                <w:tab w:pos="904" w:val="left" w:leader="none"/>
              </w:tabs>
              <w:spacing w:line="241" w:lineRule="exact"/>
              <w:rPr>
                <w:sz w:val="22"/>
              </w:rPr>
            </w:pPr>
            <w:r>
              <w:rPr>
                <w:sz w:val="22"/>
              </w:rPr>
              <w:t>de</w:t>
              <w:tab/>
              <w:t>Fomento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54" w:val="left" w:leader="none"/>
                <w:tab w:pos="1456" w:val="left" w:leader="none"/>
              </w:tabs>
              <w:spacing w:line="241" w:lineRule="exact"/>
              <w:ind w:left="100"/>
              <w:rPr>
                <w:sz w:val="22"/>
              </w:rPr>
            </w:pPr>
            <w:r>
              <w:rPr>
                <w:sz w:val="22"/>
              </w:rPr>
              <w:t>ayuda</w:t>
              <w:tab/>
              <w:t>de</w:t>
              <w:tab/>
              <w:t>entrada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tabs>
                <w:tab w:pos="1665" w:val="left" w:leader="none"/>
              </w:tabs>
              <w:spacing w:line="241" w:lineRule="exact"/>
              <w:rPr>
                <w:sz w:val="22"/>
              </w:rPr>
            </w:pPr>
            <w:r>
              <w:rPr>
                <w:sz w:val="22"/>
              </w:rPr>
              <w:t>Económico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económica   para  las</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(15/I/2014)</w:t>
            </w:r>
          </w:p>
        </w:tc>
        <w:tc>
          <w:tcPr>
            <w:tcW w:w="1274" w:type="dxa"/>
            <w:tcBorders>
              <w:top w:val="nil"/>
              <w:bottom w:val="nil"/>
            </w:tcBorders>
          </w:tcPr>
          <w:p>
            <w:pPr>
              <w:pStyle w:val="TableParagraph"/>
              <w:spacing w:line="242" w:lineRule="exact"/>
              <w:ind w:left="100" w:right="98"/>
              <w:rPr>
                <w:sz w:val="22"/>
              </w:rPr>
            </w:pPr>
            <w:r>
              <w:rPr>
                <w:sz w:val="22"/>
              </w:rPr>
              <w:t>Economía</w:t>
            </w:r>
          </w:p>
        </w:tc>
        <w:tc>
          <w:tcPr>
            <w:tcW w:w="1887" w:type="dxa"/>
            <w:tcBorders>
              <w:top w:val="nil"/>
              <w:bottom w:val="nil"/>
            </w:tcBorders>
          </w:tcPr>
          <w:p>
            <w:pPr>
              <w:pStyle w:val="TableParagraph"/>
              <w:spacing w:line="242"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65" w:val="left" w:leader="none"/>
                <w:tab w:pos="1969" w:val="left" w:leader="none"/>
              </w:tabs>
              <w:spacing w:line="242" w:lineRule="exact"/>
              <w:ind w:left="100"/>
              <w:rPr>
                <w:sz w:val="22"/>
              </w:rPr>
            </w:pPr>
            <w:r>
              <w:rPr>
                <w:sz w:val="22"/>
              </w:rPr>
              <w:t>personas</w:t>
              <w:tab/>
              <w:t>de</w:t>
              <w:tab/>
              <w:t>su</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alrededor.</w:t>
            </w:r>
          </w:p>
        </w:tc>
        <w:tc>
          <w:tcPr>
            <w:tcW w:w="3901"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footerReference w:type="default" r:id="rId190"/>
          <w:pgSz w:w="15840" w:h="12240" w:orient="landscape"/>
          <w:pgMar w:footer="943" w:header="0" w:top="1140" w:bottom="1140" w:left="1200" w:right="1180"/>
          <w:pgNumType w:start="340"/>
        </w:sectPr>
      </w:pPr>
    </w:p>
    <w:p>
      <w:pPr>
        <w:pStyle w:val="BodyText"/>
        <w:rPr>
          <w:sz w:val="20"/>
        </w:rPr>
      </w:pPr>
    </w:p>
    <w:p>
      <w:pPr>
        <w:pStyle w:val="BodyText"/>
        <w:spacing w:before="1"/>
      </w:pPr>
    </w:p>
    <w:p>
      <w:pPr>
        <w:pStyle w:val="Heading6"/>
        <w:spacing w:before="73" w:after="4"/>
        <w:ind w:left="2244" w:right="778"/>
      </w:pPr>
      <w:r>
        <w:rPr/>
        <w:t>Tabla 6.11. Municipio de Jilotepec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2" w:hRule="exact"/>
        </w:trPr>
        <w:tc>
          <w:tcPr>
            <w:tcW w:w="13224" w:type="dxa"/>
            <w:gridSpan w:val="7"/>
            <w:shd w:val="clear" w:color="auto" w:fill="9BBA58"/>
          </w:tcPr>
          <w:p>
            <w:pPr>
              <w:pStyle w:val="TableParagraph"/>
              <w:spacing w:line="248" w:lineRule="exact"/>
              <w:ind w:left="4869" w:right="4869"/>
              <w:jc w:val="center"/>
              <w:rPr>
                <w:b/>
                <w:sz w:val="22"/>
              </w:rPr>
            </w:pPr>
            <w:r>
              <w:rPr>
                <w:b/>
                <w:sz w:val="22"/>
              </w:rPr>
              <w:t>JILOTEPEC</w:t>
            </w:r>
          </w:p>
        </w:tc>
      </w:tr>
      <w:tr>
        <w:trPr>
          <w:trHeight w:val="524" w:hRule="exact"/>
        </w:trPr>
        <w:tc>
          <w:tcPr>
            <w:tcW w:w="4547" w:type="dxa"/>
            <w:gridSpan w:val="3"/>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4"/>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1022"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Cultura</w:t>
            </w:r>
          </w:p>
        </w:tc>
        <w:tc>
          <w:tcPr>
            <w:tcW w:w="3901" w:type="dxa"/>
            <w:shd w:val="clear" w:color="auto" w:fill="92CDDC"/>
          </w:tcPr>
          <w:p>
            <w:pPr>
              <w:pStyle w:val="TableParagraph"/>
              <w:tabs>
                <w:tab w:pos="2419" w:val="left" w:leader="none"/>
              </w:tabs>
              <w:ind w:right="100"/>
              <w:jc w:val="both"/>
              <w:rPr>
                <w:b/>
                <w:i/>
                <w:sz w:val="22"/>
              </w:rPr>
            </w:pPr>
            <w:r>
              <w:rPr>
                <w:b/>
                <w:i/>
                <w:sz w:val="22"/>
              </w:rPr>
              <w:t>Democracia y voluntariedad de la </w:t>
            </w:r>
            <w:r>
              <w:rPr>
                <w:b/>
                <w:i/>
                <w:sz w:val="22"/>
              </w:rPr>
              <w:t>sociedad,</w:t>
              <w:tab/>
            </w:r>
            <w:r>
              <w:rPr>
                <w:b/>
                <w:i/>
                <w:spacing w:val="-1"/>
                <w:sz w:val="22"/>
              </w:rPr>
              <w:t>cooperación, </w:t>
            </w:r>
            <w:r>
              <w:rPr>
                <w:b/>
                <w:i/>
                <w:sz w:val="22"/>
              </w:rPr>
              <w:t>participación social y relaciones intermunicipales</w:t>
            </w:r>
          </w:p>
        </w:tc>
      </w:tr>
      <w:tr>
        <w:trPr>
          <w:trHeight w:val="266"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274" w:type="dxa"/>
            <w:tcBorders>
              <w:bottom w:val="nil"/>
            </w:tcBorders>
            <w:shd w:val="clear" w:color="auto" w:fill="F9BE8F"/>
          </w:tcPr>
          <w:p>
            <w:pPr>
              <w:pStyle w:val="TableParagraph"/>
              <w:spacing w:line="249" w:lineRule="exact"/>
              <w:ind w:left="100" w:right="98"/>
              <w:rPr>
                <w:b/>
                <w:sz w:val="22"/>
              </w:rPr>
            </w:pPr>
            <w:r>
              <w:rPr>
                <w:b/>
                <w:sz w:val="22"/>
              </w:rPr>
              <w:t>Nivel</w:t>
            </w:r>
          </w:p>
        </w:tc>
        <w:tc>
          <w:tcPr>
            <w:tcW w:w="1887" w:type="dxa"/>
            <w:tcBorders>
              <w:bottom w:val="nil"/>
            </w:tcBorders>
            <w:shd w:val="clear" w:color="auto" w:fill="F9BE8F"/>
          </w:tcPr>
          <w:p>
            <w:pPr>
              <w:pStyle w:val="TableParagraph"/>
              <w:spacing w:line="249" w:lineRule="exact"/>
              <w:rPr>
                <w:b/>
                <w:sz w:val="22"/>
              </w:rPr>
            </w:pPr>
            <w:r>
              <w:rPr>
                <w:b/>
                <w:sz w:val="22"/>
              </w:rPr>
              <w:t>Cargo Público</w:t>
            </w:r>
          </w:p>
        </w:tc>
        <w:tc>
          <w:tcPr>
            <w:tcW w:w="1289" w:type="dxa"/>
            <w:tcBorders>
              <w:bottom w:val="nil"/>
            </w:tcBorders>
            <w:shd w:val="clear" w:color="auto" w:fill="92CDDC"/>
          </w:tcPr>
          <w:p>
            <w:pPr>
              <w:pStyle w:val="TableParagraph"/>
              <w:spacing w:line="249" w:lineRule="exact"/>
              <w:rPr>
                <w:b/>
                <w:sz w:val="22"/>
              </w:rPr>
            </w:pPr>
            <w:r>
              <w:rPr>
                <w:b/>
                <w:sz w:val="22"/>
              </w:rPr>
              <w:t>¿Dónde</w:t>
            </w:r>
          </w:p>
        </w:tc>
        <w:tc>
          <w:tcPr>
            <w:tcW w:w="1174" w:type="dxa"/>
            <w:tcBorders>
              <w:bottom w:val="nil"/>
            </w:tcBorders>
            <w:shd w:val="clear" w:color="auto" w:fill="92CDDC"/>
          </w:tcPr>
          <w:p>
            <w:pPr>
              <w:pStyle w:val="TableParagraph"/>
              <w:spacing w:line="249" w:lineRule="exact"/>
              <w:rPr>
                <w:b/>
                <w:sz w:val="22"/>
              </w:rPr>
            </w:pPr>
            <w:r>
              <w:rPr>
                <w:b/>
                <w:sz w:val="22"/>
              </w:rPr>
              <w:t>¿Dónde</w:t>
            </w:r>
          </w:p>
        </w:tc>
        <w:tc>
          <w:tcPr>
            <w:tcW w:w="2314" w:type="dxa"/>
            <w:tcBorders>
              <w:bottom w:val="nil"/>
            </w:tcBorders>
            <w:shd w:val="clear" w:color="auto" w:fill="92CDDC"/>
          </w:tcPr>
          <w:p>
            <w:pPr>
              <w:pStyle w:val="TableParagraph"/>
              <w:spacing w:line="249" w:lineRule="exact"/>
              <w:ind w:left="100"/>
              <w:rPr>
                <w:b/>
                <w:sz w:val="22"/>
              </w:rPr>
            </w:pPr>
            <w:r>
              <w:rPr>
                <w:b/>
                <w:sz w:val="22"/>
              </w:rPr>
              <w:t>¿Considera  que  se</w:t>
            </w:r>
          </w:p>
        </w:tc>
        <w:tc>
          <w:tcPr>
            <w:tcW w:w="3901" w:type="dxa"/>
            <w:tcBorders>
              <w:bottom w:val="nil"/>
            </w:tcBorders>
            <w:shd w:val="clear" w:color="auto" w:fill="92CDDC"/>
          </w:tcPr>
          <w:p>
            <w:pPr>
              <w:pStyle w:val="TableParagraph"/>
              <w:spacing w:line="249" w:lineRule="exact"/>
              <w:rPr>
                <w:b/>
                <w:sz w:val="22"/>
              </w:rPr>
            </w:pPr>
            <w:r>
              <w:rPr>
                <w:b/>
                <w:sz w:val="22"/>
              </w:rPr>
              <w:t>¿Considera que debe cooperar su</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2"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2" w:lineRule="exact"/>
              <w:rPr>
                <w:b/>
                <w:sz w:val="22"/>
              </w:rPr>
            </w:pPr>
            <w:r>
              <w:rPr>
                <w:b/>
                <w:sz w:val="22"/>
              </w:rPr>
              <w:t>nació?</w:t>
            </w:r>
          </w:p>
        </w:tc>
        <w:tc>
          <w:tcPr>
            <w:tcW w:w="1174" w:type="dxa"/>
            <w:tcBorders>
              <w:top w:val="nil"/>
              <w:bottom w:val="nil"/>
            </w:tcBorders>
            <w:shd w:val="clear" w:color="auto" w:fill="92CDDC"/>
          </w:tcPr>
          <w:p>
            <w:pPr>
              <w:pStyle w:val="TableParagraph"/>
              <w:spacing w:line="242" w:lineRule="exact"/>
              <w:rPr>
                <w:b/>
                <w:sz w:val="22"/>
              </w:rPr>
            </w:pPr>
            <w:r>
              <w:rPr>
                <w:b/>
                <w:sz w:val="22"/>
              </w:rPr>
              <w:t>vive?</w:t>
            </w:r>
          </w:p>
        </w:tc>
        <w:tc>
          <w:tcPr>
            <w:tcW w:w="2314" w:type="dxa"/>
            <w:tcBorders>
              <w:top w:val="nil"/>
              <w:bottom w:val="nil"/>
            </w:tcBorders>
            <w:shd w:val="clear" w:color="auto" w:fill="92CDDC"/>
          </w:tcPr>
          <w:p>
            <w:pPr>
              <w:pStyle w:val="TableParagraph"/>
              <w:tabs>
                <w:tab w:pos="582" w:val="left" w:leader="none"/>
                <w:tab w:pos="2017" w:val="left" w:leader="none"/>
              </w:tabs>
              <w:spacing w:line="242" w:lineRule="exact"/>
              <w:ind w:left="100"/>
              <w:rPr>
                <w:b/>
                <w:sz w:val="22"/>
              </w:rPr>
            </w:pPr>
            <w:r>
              <w:rPr>
                <w:b/>
                <w:sz w:val="22"/>
              </w:rPr>
              <w:t>ha</w:t>
              <w:tab/>
              <w:t>deteriorado</w:t>
              <w:tab/>
              <w:t>la</w:t>
            </w:r>
          </w:p>
        </w:tc>
        <w:tc>
          <w:tcPr>
            <w:tcW w:w="3901" w:type="dxa"/>
            <w:tcBorders>
              <w:top w:val="nil"/>
              <w:bottom w:val="nil"/>
            </w:tcBorders>
            <w:shd w:val="clear" w:color="auto" w:fill="92CDDC"/>
          </w:tcPr>
          <w:p>
            <w:pPr>
              <w:pStyle w:val="TableParagraph"/>
              <w:spacing w:line="242" w:lineRule="exact"/>
              <w:rPr>
                <w:b/>
                <w:sz w:val="22"/>
              </w:rPr>
            </w:pPr>
            <w:r>
              <w:rPr>
                <w:b/>
                <w:sz w:val="22"/>
              </w:rPr>
              <w:t>municipio para que no se deteriore</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945" w:val="left" w:leader="none"/>
              </w:tabs>
              <w:spacing w:line="241"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1" w:lineRule="exact"/>
              <w:rPr>
                <w:b/>
                <w:sz w:val="22"/>
              </w:rPr>
            </w:pPr>
            <w:r>
              <w:rPr>
                <w:b/>
                <w:sz w:val="22"/>
              </w:rPr>
              <w:t>la laguna de Huapango?</w:t>
            </w: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Huapango?</w:t>
            </w:r>
          </w:p>
        </w:tc>
        <w:tc>
          <w:tcPr>
            <w:tcW w:w="3901"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Edgar</w:t>
            </w:r>
          </w:p>
        </w:tc>
        <w:tc>
          <w:tcPr>
            <w:tcW w:w="1274" w:type="dxa"/>
            <w:tcBorders>
              <w:bottom w:val="nil"/>
            </w:tcBorders>
          </w:tcPr>
          <w:p>
            <w:pPr>
              <w:pStyle w:val="TableParagraph"/>
              <w:spacing w:line="251" w:lineRule="exact"/>
              <w:ind w:left="100" w:right="98"/>
              <w:rPr>
                <w:sz w:val="22"/>
              </w:rPr>
            </w:pPr>
            <w:r>
              <w:rPr>
                <w:sz w:val="22"/>
              </w:rPr>
              <w:t>Abogado</w:t>
            </w:r>
          </w:p>
        </w:tc>
        <w:tc>
          <w:tcPr>
            <w:tcW w:w="1887" w:type="dxa"/>
            <w:tcBorders>
              <w:bottom w:val="nil"/>
            </w:tcBorders>
          </w:tcPr>
          <w:p>
            <w:pPr>
              <w:pStyle w:val="TableParagraph"/>
              <w:spacing w:line="251" w:lineRule="exact"/>
              <w:ind w:left="410"/>
              <w:rPr>
                <w:sz w:val="22"/>
              </w:rPr>
            </w:pPr>
            <w:r>
              <w:rPr>
                <w:sz w:val="22"/>
              </w:rPr>
              <w:t>Presidente</w:t>
            </w:r>
          </w:p>
        </w:tc>
        <w:tc>
          <w:tcPr>
            <w:tcW w:w="1289" w:type="dxa"/>
            <w:tcBorders>
              <w:bottom w:val="nil"/>
            </w:tcBorders>
          </w:tcPr>
          <w:p>
            <w:pPr>
              <w:pStyle w:val="TableParagraph"/>
              <w:spacing w:line="251" w:lineRule="exact"/>
              <w:rPr>
                <w:sz w:val="22"/>
              </w:rPr>
            </w:pPr>
            <w:r>
              <w:rPr>
                <w:sz w:val="22"/>
              </w:rPr>
              <w:t>Jilotepec</w:t>
            </w:r>
          </w:p>
        </w:tc>
        <w:tc>
          <w:tcPr>
            <w:tcW w:w="1174" w:type="dxa"/>
            <w:tcBorders>
              <w:bottom w:val="nil"/>
            </w:tcBorders>
          </w:tcPr>
          <w:p>
            <w:pPr>
              <w:pStyle w:val="TableParagraph"/>
              <w:spacing w:line="251" w:lineRule="exact"/>
              <w:rPr>
                <w:sz w:val="22"/>
              </w:rPr>
            </w:pPr>
            <w:r>
              <w:rPr>
                <w:sz w:val="22"/>
              </w:rPr>
              <w:t>Jilotepec</w:t>
            </w:r>
          </w:p>
        </w:tc>
        <w:tc>
          <w:tcPr>
            <w:tcW w:w="2314" w:type="dxa"/>
            <w:tcBorders>
              <w:bottom w:val="nil"/>
            </w:tcBorders>
          </w:tcPr>
          <w:p>
            <w:pPr>
              <w:pStyle w:val="TableParagraph"/>
              <w:spacing w:line="251" w:lineRule="exact"/>
              <w:ind w:left="100"/>
              <w:rPr>
                <w:sz w:val="22"/>
              </w:rPr>
            </w:pPr>
            <w:r>
              <w:rPr>
                <w:sz w:val="22"/>
              </w:rPr>
              <w:t>La laguna</w:t>
            </w:r>
            <w:r>
              <w:rPr>
                <w:spacing w:val="53"/>
                <w:sz w:val="22"/>
              </w:rPr>
              <w:t> </w:t>
            </w:r>
            <w:r>
              <w:rPr>
                <w:sz w:val="22"/>
              </w:rPr>
              <w:t>Huapango</w:t>
            </w:r>
          </w:p>
        </w:tc>
        <w:tc>
          <w:tcPr>
            <w:tcW w:w="3901" w:type="dxa"/>
            <w:tcBorders>
              <w:bottom w:val="nil"/>
            </w:tcBorders>
          </w:tcPr>
          <w:p>
            <w:pPr>
              <w:pStyle w:val="TableParagraph"/>
              <w:spacing w:line="251" w:lineRule="exact"/>
              <w:rPr>
                <w:sz w:val="22"/>
              </w:rPr>
            </w:pPr>
            <w:r>
              <w:rPr>
                <w:sz w:val="22"/>
              </w:rPr>
              <w:t>El   municipio   que   represento debe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Castillo</w:t>
            </w:r>
          </w:p>
        </w:tc>
        <w:tc>
          <w:tcPr>
            <w:tcW w:w="1274" w:type="dxa"/>
            <w:tcBorders>
              <w:top w:val="nil"/>
              <w:bottom w:val="nil"/>
            </w:tcBorders>
          </w:tcPr>
          <w:p>
            <w:pP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90" w:val="left" w:leader="none"/>
                <w:tab w:pos="1089" w:val="left" w:leader="none"/>
              </w:tabs>
              <w:spacing w:line="241" w:lineRule="exact"/>
              <w:ind w:left="100"/>
              <w:rPr>
                <w:sz w:val="22"/>
              </w:rPr>
            </w:pPr>
            <w:r>
              <w:rPr>
                <w:sz w:val="22"/>
              </w:rPr>
              <w:t>se</w:t>
              <w:tab/>
              <w:t>ha</w:t>
              <w:tab/>
              <w:t>deteriorado</w:t>
            </w:r>
          </w:p>
        </w:tc>
        <w:tc>
          <w:tcPr>
            <w:tcW w:w="3901" w:type="dxa"/>
            <w:tcBorders>
              <w:top w:val="nil"/>
              <w:bottom w:val="nil"/>
            </w:tcBorders>
          </w:tcPr>
          <w:p>
            <w:pPr>
              <w:pStyle w:val="TableParagraph"/>
              <w:spacing w:line="241" w:lineRule="exact"/>
              <w:rPr>
                <w:sz w:val="22"/>
              </w:rPr>
            </w:pPr>
            <w:r>
              <w:rPr>
                <w:sz w:val="22"/>
              </w:rPr>
              <w:t>cooperar  para  que  la  laguna  no se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con el tiempo porque</w:t>
            </w:r>
          </w:p>
        </w:tc>
        <w:tc>
          <w:tcPr>
            <w:tcW w:w="3901" w:type="dxa"/>
            <w:tcBorders>
              <w:top w:val="nil"/>
              <w:bottom w:val="nil"/>
            </w:tcBorders>
          </w:tcPr>
          <w:p>
            <w:pPr>
              <w:pStyle w:val="TableParagraph"/>
              <w:tabs>
                <w:tab w:pos="1175" w:val="left" w:leader="none"/>
                <w:tab w:pos="2062" w:val="left" w:leader="none"/>
                <w:tab w:pos="3065" w:val="left" w:leader="none"/>
              </w:tabs>
              <w:spacing w:line="242" w:lineRule="exact"/>
              <w:rPr>
                <w:sz w:val="22"/>
              </w:rPr>
            </w:pPr>
            <w:r>
              <w:rPr>
                <w:sz w:val="22"/>
              </w:rPr>
              <w:t>deteriore</w:t>
              <w:tab/>
              <w:t>porque</w:t>
              <w:tab/>
              <w:t>es  </w:t>
            </w:r>
            <w:r>
              <w:rPr>
                <w:spacing w:val="15"/>
                <w:sz w:val="22"/>
              </w:rPr>
              <w:t> </w:t>
            </w:r>
            <w:r>
              <w:rPr>
                <w:sz w:val="22"/>
              </w:rPr>
              <w:t>una</w:t>
              <w:tab/>
              <w:t>riqueza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ha  tenido invasiones</w:t>
            </w:r>
          </w:p>
        </w:tc>
        <w:tc>
          <w:tcPr>
            <w:tcW w:w="3901" w:type="dxa"/>
            <w:tcBorders>
              <w:top w:val="nil"/>
              <w:bottom w:val="nil"/>
            </w:tcBorders>
          </w:tcPr>
          <w:p>
            <w:pPr>
              <w:pStyle w:val="TableParagraph"/>
              <w:spacing w:line="241" w:lineRule="exact"/>
              <w:rPr>
                <w:sz w:val="22"/>
              </w:rPr>
            </w:pPr>
            <w:r>
              <w:rPr>
                <w:sz w:val="22"/>
              </w:rPr>
              <w:t>natural de la región.</w:t>
            </w:r>
          </w:p>
        </w:tc>
      </w:tr>
      <w:tr>
        <w:trPr>
          <w:trHeight w:val="253" w:hRule="exact"/>
        </w:trPr>
        <w:tc>
          <w:tcPr>
            <w:tcW w:w="1385" w:type="dxa"/>
            <w:tcBorders>
              <w:top w:val="nil"/>
              <w:bottom w:val="nil"/>
            </w:tcBorders>
          </w:tcPr>
          <w:p>
            <w:pPr>
              <w:pStyle w:val="TableParagraph"/>
              <w:spacing w:line="242" w:lineRule="exact"/>
              <w:rPr>
                <w:sz w:val="22"/>
              </w:rPr>
            </w:pPr>
            <w:r>
              <w:rPr>
                <w:sz w:val="22"/>
              </w:rPr>
              <w:t>(29/8/2014)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  su  vaso  de</w:t>
            </w:r>
            <w:r>
              <w:rPr>
                <w:spacing w:val="53"/>
                <w:sz w:val="22"/>
              </w:rPr>
              <w:t> </w:t>
            </w:r>
            <w:r>
              <w:rPr>
                <w:sz w:val="22"/>
              </w:rPr>
              <w:t>agua,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31" w:val="left" w:leader="none"/>
              </w:tabs>
              <w:spacing w:line="241" w:lineRule="exact"/>
              <w:ind w:left="100"/>
              <w:rPr>
                <w:sz w:val="22"/>
              </w:rPr>
            </w:pPr>
            <w:r>
              <w:rPr>
                <w:sz w:val="22"/>
              </w:rPr>
              <w:t>las</w:t>
              <w:tab/>
              <w:t>precipitaciones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han   disminuido,   se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ha  enfangado  por la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00" w:val="left" w:leader="none"/>
                <w:tab w:pos="1969" w:val="left" w:leader="none"/>
              </w:tabs>
              <w:spacing w:line="241" w:lineRule="exact"/>
              <w:ind w:left="100"/>
              <w:rPr>
                <w:sz w:val="22"/>
              </w:rPr>
            </w:pPr>
            <w:r>
              <w:rPr>
                <w:sz w:val="22"/>
              </w:rPr>
              <w:t>tierra</w:t>
              <w:tab/>
              <w:t>que</w:t>
              <w:tab/>
              <w:t>se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acumula   y   le  quita</w:t>
            </w: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capacidad.</w:t>
            </w:r>
          </w:p>
        </w:tc>
        <w:tc>
          <w:tcPr>
            <w:tcW w:w="3901" w:type="dxa"/>
            <w:tcBorders>
              <w:top w:val="nil"/>
            </w:tcBorders>
          </w:tcPr>
          <w:p>
            <w:pPr/>
          </w:p>
        </w:tc>
      </w:tr>
      <w:tr>
        <w:trPr>
          <w:trHeight w:val="269" w:hRule="exact"/>
        </w:trPr>
        <w:tc>
          <w:tcPr>
            <w:tcW w:w="1385" w:type="dxa"/>
            <w:tcBorders>
              <w:bottom w:val="nil"/>
            </w:tcBorders>
          </w:tcPr>
          <w:p>
            <w:pPr>
              <w:pStyle w:val="TableParagraph"/>
              <w:ind w:left="208" w:right="127"/>
              <w:rPr>
                <w:sz w:val="22"/>
              </w:rPr>
            </w:pPr>
            <w:r>
              <w:rPr>
                <w:sz w:val="22"/>
              </w:rPr>
              <w:t>Francisco</w:t>
            </w:r>
          </w:p>
        </w:tc>
        <w:tc>
          <w:tcPr>
            <w:tcW w:w="1274" w:type="dxa"/>
            <w:tcBorders>
              <w:bottom w:val="nil"/>
            </w:tcBorders>
          </w:tcPr>
          <w:p>
            <w:pPr>
              <w:pStyle w:val="TableParagraph"/>
              <w:ind w:left="100" w:right="98"/>
              <w:rPr>
                <w:sz w:val="22"/>
              </w:rPr>
            </w:pPr>
            <w:r>
              <w:rPr>
                <w:sz w:val="22"/>
              </w:rPr>
              <w:t>Profesor</w:t>
            </w:r>
          </w:p>
        </w:tc>
        <w:tc>
          <w:tcPr>
            <w:tcW w:w="1887" w:type="dxa"/>
            <w:tcBorders>
              <w:bottom w:val="nil"/>
            </w:tcBorders>
          </w:tcPr>
          <w:p>
            <w:pPr>
              <w:pStyle w:val="TableParagraph"/>
              <w:rPr>
                <w:sz w:val="22"/>
              </w:rPr>
            </w:pPr>
            <w:r>
              <w:rPr>
                <w:sz w:val="22"/>
              </w:rPr>
              <w:t>Tercer Regidor.</w:t>
            </w:r>
          </w:p>
        </w:tc>
        <w:tc>
          <w:tcPr>
            <w:tcW w:w="1289" w:type="dxa"/>
            <w:tcBorders>
              <w:bottom w:val="nil"/>
            </w:tcBorders>
          </w:tcPr>
          <w:p>
            <w:pPr>
              <w:pStyle w:val="TableParagraph"/>
              <w:rPr>
                <w:sz w:val="22"/>
              </w:rPr>
            </w:pPr>
            <w:r>
              <w:rPr>
                <w:sz w:val="22"/>
              </w:rPr>
              <w:t>Axochiapa</w:t>
            </w:r>
          </w:p>
        </w:tc>
        <w:tc>
          <w:tcPr>
            <w:tcW w:w="1174" w:type="dxa"/>
            <w:tcBorders>
              <w:bottom w:val="nil"/>
            </w:tcBorders>
          </w:tcPr>
          <w:p>
            <w:pPr>
              <w:pStyle w:val="TableParagraph"/>
              <w:rPr>
                <w:sz w:val="22"/>
              </w:rPr>
            </w:pPr>
            <w:r>
              <w:rPr>
                <w:sz w:val="22"/>
              </w:rPr>
              <w:t>Jilotepec</w:t>
            </w:r>
          </w:p>
        </w:tc>
        <w:tc>
          <w:tcPr>
            <w:tcW w:w="2314" w:type="dxa"/>
            <w:tcBorders>
              <w:bottom w:val="nil"/>
            </w:tcBorders>
          </w:tcPr>
          <w:p>
            <w:pPr>
              <w:pStyle w:val="TableParagraph"/>
              <w:tabs>
                <w:tab w:pos="585" w:val="left" w:leader="none"/>
                <w:tab w:pos="1484" w:val="left" w:leader="none"/>
                <w:tab w:pos="1957" w:val="left" w:leader="none"/>
              </w:tabs>
              <w:ind w:left="100"/>
              <w:rPr>
                <w:sz w:val="22"/>
              </w:rPr>
            </w:pPr>
            <w:r>
              <w:rPr>
                <w:sz w:val="22"/>
              </w:rPr>
              <w:t>La</w:t>
              <w:tab/>
              <w:t>laguna</w:t>
              <w:tab/>
              <w:t>se</w:t>
              <w:tab/>
              <w:t>ha</w:t>
            </w:r>
          </w:p>
        </w:tc>
        <w:tc>
          <w:tcPr>
            <w:tcW w:w="3901" w:type="dxa"/>
            <w:tcBorders>
              <w:bottom w:val="nil"/>
            </w:tcBorders>
          </w:tcPr>
          <w:p>
            <w:pPr>
              <w:pStyle w:val="TableParagraph"/>
              <w:rPr>
                <w:sz w:val="22"/>
              </w:rPr>
            </w:pPr>
            <w:r>
              <w:rPr>
                <w:sz w:val="22"/>
              </w:rPr>
              <w:t>Sí   porque   la   gente   del municipio</w:t>
            </w:r>
          </w:p>
        </w:tc>
      </w:tr>
      <w:tr>
        <w:trPr>
          <w:trHeight w:val="252" w:hRule="exact"/>
        </w:trPr>
        <w:tc>
          <w:tcPr>
            <w:tcW w:w="1385" w:type="dxa"/>
            <w:tcBorders>
              <w:top w:val="nil"/>
              <w:bottom w:val="nil"/>
            </w:tcBorders>
          </w:tcPr>
          <w:p>
            <w:pPr>
              <w:pStyle w:val="TableParagraph"/>
              <w:spacing w:line="241" w:lineRule="exact"/>
              <w:ind w:left="331" w:right="127"/>
              <w:rPr>
                <w:sz w:val="22"/>
              </w:rPr>
            </w:pPr>
            <w:r>
              <w:rPr>
                <w:sz w:val="22"/>
              </w:rPr>
              <w:t>Gómez</w:t>
            </w:r>
          </w:p>
        </w:tc>
        <w:tc>
          <w:tcPr>
            <w:tcW w:w="1274" w:type="dxa"/>
            <w:tcBorders>
              <w:top w:val="nil"/>
              <w:bottom w:val="nil"/>
            </w:tcBorders>
          </w:tcPr>
          <w:p>
            <w:pPr>
              <w:pStyle w:val="TableParagraph"/>
              <w:spacing w:line="241" w:lineRule="exact"/>
              <w:ind w:left="100" w:right="98"/>
              <w:rPr>
                <w:sz w:val="22"/>
              </w:rPr>
            </w:pPr>
            <w:r>
              <w:rPr>
                <w:sz w:val="22"/>
              </w:rPr>
              <w:t>de</w:t>
            </w:r>
          </w:p>
        </w:tc>
        <w:tc>
          <w:tcPr>
            <w:tcW w:w="1887" w:type="dxa"/>
            <w:tcBorders>
              <w:top w:val="nil"/>
              <w:bottom w:val="nil"/>
            </w:tcBorders>
          </w:tcPr>
          <w:p>
            <w:pPr>
              <w:pStyle w:val="TableParagraph"/>
              <w:spacing w:line="241" w:lineRule="exact"/>
              <w:rPr>
                <w:sz w:val="22"/>
              </w:rPr>
            </w:pPr>
            <w:r>
              <w:rPr>
                <w:sz w:val="22"/>
              </w:rPr>
              <w:t>Encargado de la</w:t>
            </w:r>
          </w:p>
        </w:tc>
        <w:tc>
          <w:tcPr>
            <w:tcW w:w="1289" w:type="dxa"/>
            <w:tcBorders>
              <w:top w:val="nil"/>
              <w:bottom w:val="nil"/>
            </w:tcBorders>
          </w:tcPr>
          <w:p>
            <w:pPr>
              <w:pStyle w:val="TableParagraph"/>
              <w:spacing w:line="241" w:lineRule="exact"/>
              <w:rPr>
                <w:sz w:val="22"/>
              </w:rPr>
            </w:pPr>
            <w:r>
              <w:rPr>
                <w:sz w:val="22"/>
              </w:rPr>
              <w:t>n, Morelos</w:t>
            </w:r>
          </w:p>
        </w:tc>
        <w:tc>
          <w:tcPr>
            <w:tcW w:w="1174" w:type="dxa"/>
            <w:tcBorders>
              <w:top w:val="nil"/>
              <w:bottom w:val="nil"/>
            </w:tcBorders>
          </w:tcPr>
          <w:p>
            <w:pPr/>
          </w:p>
        </w:tc>
        <w:tc>
          <w:tcPr>
            <w:tcW w:w="2314" w:type="dxa"/>
            <w:tcBorders>
              <w:top w:val="nil"/>
              <w:bottom w:val="nil"/>
            </w:tcBorders>
          </w:tcPr>
          <w:p>
            <w:pPr>
              <w:pStyle w:val="TableParagraph"/>
              <w:tabs>
                <w:tab w:pos="1444" w:val="left" w:leader="none"/>
                <w:tab w:pos="2029" w:val="left" w:leader="none"/>
              </w:tabs>
              <w:spacing w:line="241" w:lineRule="exact"/>
              <w:ind w:left="100"/>
              <w:rPr>
                <w:sz w:val="22"/>
              </w:rPr>
            </w:pPr>
            <w:r>
              <w:rPr>
                <w:sz w:val="22"/>
              </w:rPr>
              <w:t>deteriorado</w:t>
              <w:tab/>
              <w:t>con</w:t>
              <w:tab/>
              <w:t>el</w:t>
            </w:r>
          </w:p>
        </w:tc>
        <w:tc>
          <w:tcPr>
            <w:tcW w:w="3901" w:type="dxa"/>
            <w:tcBorders>
              <w:top w:val="nil"/>
              <w:bottom w:val="nil"/>
            </w:tcBorders>
          </w:tcPr>
          <w:p>
            <w:pPr>
              <w:pStyle w:val="TableParagraph"/>
              <w:spacing w:line="241" w:lineRule="exact"/>
              <w:rPr>
                <w:sz w:val="22"/>
              </w:rPr>
            </w:pPr>
            <w:r>
              <w:rPr>
                <w:sz w:val="22"/>
              </w:rPr>
              <w:t>sería la más beneficiada.</w:t>
            </w:r>
          </w:p>
        </w:tc>
      </w:tr>
      <w:tr>
        <w:trPr>
          <w:trHeight w:val="253" w:hRule="exact"/>
        </w:trPr>
        <w:tc>
          <w:tcPr>
            <w:tcW w:w="1385" w:type="dxa"/>
            <w:tcBorders>
              <w:top w:val="nil"/>
              <w:bottom w:val="nil"/>
            </w:tcBorders>
          </w:tcPr>
          <w:p>
            <w:pPr>
              <w:pStyle w:val="TableParagraph"/>
              <w:spacing w:line="241" w:lineRule="exact"/>
              <w:ind w:left="405" w:right="127"/>
              <w:rPr>
                <w:sz w:val="22"/>
              </w:rPr>
            </w:pPr>
            <w:r>
              <w:rPr>
                <w:sz w:val="22"/>
              </w:rPr>
              <w:t>Marín</w:t>
            </w:r>
          </w:p>
        </w:tc>
        <w:tc>
          <w:tcPr>
            <w:tcW w:w="1274" w:type="dxa"/>
            <w:tcBorders>
              <w:top w:val="nil"/>
              <w:bottom w:val="nil"/>
            </w:tcBorders>
          </w:tcPr>
          <w:p>
            <w:pPr>
              <w:pStyle w:val="TableParagraph"/>
              <w:spacing w:line="241" w:lineRule="exact"/>
              <w:ind w:left="100" w:right="98"/>
              <w:rPr>
                <w:sz w:val="22"/>
              </w:rPr>
            </w:pPr>
            <w:r>
              <w:rPr>
                <w:sz w:val="22"/>
              </w:rPr>
              <w:t>Primaria</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017" w:val="left" w:leader="none"/>
                <w:tab w:pos="1957" w:val="left" w:leader="none"/>
              </w:tabs>
              <w:spacing w:line="241" w:lineRule="exact"/>
              <w:ind w:left="100"/>
              <w:rPr>
                <w:sz w:val="22"/>
              </w:rPr>
            </w:pPr>
            <w:r>
              <w:rPr>
                <w:sz w:val="22"/>
              </w:rPr>
              <w:t>tiempo</w:t>
              <w:tab/>
              <w:t>porque</w:t>
              <w:tab/>
              <w:t>ha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86" w:val="left" w:leader="none"/>
                <w:tab w:pos="2092" w:val="left" w:leader="none"/>
              </w:tabs>
              <w:spacing w:line="242" w:lineRule="exact"/>
              <w:ind w:left="100"/>
              <w:rPr>
                <w:sz w:val="22"/>
              </w:rPr>
            </w:pPr>
            <w:r>
              <w:rPr>
                <w:sz w:val="22"/>
              </w:rPr>
              <w:t>habido</w:t>
              <w:tab/>
              <w:t>descuido</w:t>
              <w:tab/>
              <w:t>y</w:t>
            </w: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ind w:left="124"/>
              <w:rPr>
                <w:sz w:val="22"/>
              </w:rPr>
            </w:pPr>
            <w:r>
              <w:rPr>
                <w:sz w:val="22"/>
              </w:rPr>
              <w:t>(29/8/2014)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Agropecuario</w:t>
            </w: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abandono.</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left="376" w:right="127"/>
              <w:rPr>
                <w:sz w:val="22"/>
              </w:rPr>
            </w:pPr>
            <w:r>
              <w:rPr>
                <w:sz w:val="22"/>
              </w:rPr>
              <w:t>Daniel</w:t>
            </w:r>
          </w:p>
        </w:tc>
        <w:tc>
          <w:tcPr>
            <w:tcW w:w="1274" w:type="dxa"/>
            <w:tcBorders>
              <w:bottom w:val="nil"/>
            </w:tcBorders>
          </w:tcPr>
          <w:p>
            <w:pPr>
              <w:pStyle w:val="TableParagraph"/>
              <w:spacing w:line="251" w:lineRule="exact"/>
              <w:ind w:left="100" w:right="98"/>
              <w:rPr>
                <w:sz w:val="22"/>
              </w:rPr>
            </w:pPr>
            <w:r>
              <w:rPr>
                <w:sz w:val="22"/>
              </w:rPr>
              <w:t>Ingeniería</w:t>
            </w:r>
          </w:p>
        </w:tc>
        <w:tc>
          <w:tcPr>
            <w:tcW w:w="1887" w:type="dxa"/>
            <w:tcBorders>
              <w:bottom w:val="nil"/>
            </w:tcBorders>
          </w:tcPr>
          <w:p>
            <w:pPr>
              <w:pStyle w:val="TableParagraph"/>
              <w:spacing w:line="251" w:lineRule="exact"/>
              <w:rPr>
                <w:sz w:val="22"/>
              </w:rPr>
            </w:pPr>
            <w:r>
              <w:rPr>
                <w:sz w:val="22"/>
              </w:rPr>
              <w:t>Décimo Regidor.</w:t>
            </w:r>
          </w:p>
        </w:tc>
        <w:tc>
          <w:tcPr>
            <w:tcW w:w="1289" w:type="dxa"/>
            <w:tcBorders>
              <w:bottom w:val="nil"/>
            </w:tcBorders>
          </w:tcPr>
          <w:p>
            <w:pPr>
              <w:pStyle w:val="TableParagraph"/>
              <w:spacing w:line="251" w:lineRule="exact"/>
              <w:rPr>
                <w:sz w:val="22"/>
              </w:rPr>
            </w:pPr>
            <w:r>
              <w:rPr>
                <w:sz w:val="22"/>
              </w:rPr>
              <w:t>Distrito</w:t>
            </w:r>
          </w:p>
        </w:tc>
        <w:tc>
          <w:tcPr>
            <w:tcW w:w="1174" w:type="dxa"/>
            <w:tcBorders>
              <w:bottom w:val="nil"/>
            </w:tcBorders>
          </w:tcPr>
          <w:p>
            <w:pPr>
              <w:pStyle w:val="TableParagraph"/>
              <w:spacing w:line="251" w:lineRule="exact"/>
              <w:rPr>
                <w:sz w:val="22"/>
              </w:rPr>
            </w:pPr>
            <w:r>
              <w:rPr>
                <w:sz w:val="22"/>
              </w:rPr>
              <w:t>Jilotepec</w:t>
            </w:r>
          </w:p>
        </w:tc>
        <w:tc>
          <w:tcPr>
            <w:tcW w:w="2314" w:type="dxa"/>
            <w:tcBorders>
              <w:bottom w:val="nil"/>
            </w:tcBorders>
          </w:tcPr>
          <w:p>
            <w:pPr>
              <w:pStyle w:val="TableParagraph"/>
              <w:tabs>
                <w:tab w:pos="820" w:val="left" w:leader="none"/>
                <w:tab w:pos="1957" w:val="left" w:leader="none"/>
              </w:tabs>
              <w:spacing w:line="251" w:lineRule="exact"/>
              <w:ind w:left="100"/>
              <w:rPr>
                <w:sz w:val="22"/>
              </w:rPr>
            </w:pPr>
            <w:r>
              <w:rPr>
                <w:sz w:val="22"/>
              </w:rPr>
              <w:t>La</w:t>
              <w:tab/>
              <w:t>laguna</w:t>
              <w:tab/>
              <w:t>de</w:t>
            </w:r>
          </w:p>
        </w:tc>
        <w:tc>
          <w:tcPr>
            <w:tcW w:w="3901" w:type="dxa"/>
            <w:tcBorders>
              <w:bottom w:val="nil"/>
            </w:tcBorders>
          </w:tcPr>
          <w:p>
            <w:pPr>
              <w:pStyle w:val="TableParagraph"/>
              <w:spacing w:line="251" w:lineRule="exact"/>
              <w:rPr>
                <w:sz w:val="22"/>
              </w:rPr>
            </w:pPr>
            <w:r>
              <w:rPr>
                <w:sz w:val="22"/>
              </w:rPr>
              <w:t>¡Por   supuesto!   porque   es nuestra</w:t>
            </w:r>
          </w:p>
        </w:tc>
      </w:tr>
      <w:tr>
        <w:trPr>
          <w:trHeight w:val="253" w:hRule="exact"/>
        </w:trPr>
        <w:tc>
          <w:tcPr>
            <w:tcW w:w="1385" w:type="dxa"/>
            <w:tcBorders>
              <w:top w:val="nil"/>
              <w:bottom w:val="nil"/>
            </w:tcBorders>
          </w:tcPr>
          <w:p>
            <w:pPr>
              <w:pStyle w:val="TableParagraph"/>
              <w:spacing w:line="241" w:lineRule="exact"/>
              <w:ind w:left="227" w:right="127"/>
              <w:rPr>
                <w:sz w:val="22"/>
              </w:rPr>
            </w:pPr>
            <w:r>
              <w:rPr>
                <w:sz w:val="22"/>
              </w:rPr>
              <w:t>Arciniega</w:t>
            </w:r>
          </w:p>
        </w:tc>
        <w:tc>
          <w:tcPr>
            <w:tcW w:w="1274" w:type="dxa"/>
            <w:tcBorders>
              <w:top w:val="nil"/>
              <w:bottom w:val="nil"/>
            </w:tcBorders>
          </w:tcPr>
          <w:p>
            <w:pPr>
              <w:pStyle w:val="TableParagraph"/>
              <w:spacing w:line="241" w:lineRule="exact"/>
              <w:ind w:left="100" w:right="98"/>
              <w:rPr>
                <w:sz w:val="22"/>
              </w:rPr>
            </w:pPr>
            <w:r>
              <w:rPr>
                <w:sz w:val="22"/>
              </w:rPr>
              <w:t>Industrial</w:t>
            </w:r>
          </w:p>
        </w:tc>
        <w:tc>
          <w:tcPr>
            <w:tcW w:w="1887" w:type="dxa"/>
            <w:tcBorders>
              <w:top w:val="nil"/>
              <w:bottom w:val="nil"/>
            </w:tcBorders>
          </w:tcPr>
          <w:p>
            <w:pPr>
              <w:pStyle w:val="TableParagraph"/>
              <w:spacing w:line="241" w:lineRule="exact"/>
              <w:rPr>
                <w:sz w:val="22"/>
              </w:rPr>
            </w:pPr>
            <w:r>
              <w:rPr>
                <w:sz w:val="22"/>
              </w:rPr>
              <w:t>Encargado  de la</w:t>
            </w:r>
          </w:p>
        </w:tc>
        <w:tc>
          <w:tcPr>
            <w:tcW w:w="1289" w:type="dxa"/>
            <w:tcBorders>
              <w:top w:val="nil"/>
              <w:bottom w:val="nil"/>
            </w:tcBorders>
          </w:tcPr>
          <w:p>
            <w:pPr>
              <w:pStyle w:val="TableParagraph"/>
              <w:spacing w:line="241" w:lineRule="exact"/>
              <w:rPr>
                <w:sz w:val="22"/>
              </w:rPr>
            </w:pPr>
            <w:r>
              <w:rPr>
                <w:sz w:val="22"/>
              </w:rPr>
              <w:t>Federal</w:t>
            </w:r>
          </w:p>
        </w:tc>
        <w:tc>
          <w:tcPr>
            <w:tcW w:w="1174" w:type="dxa"/>
            <w:tcBorders>
              <w:top w:val="nil"/>
              <w:bottom w:val="nil"/>
            </w:tcBorders>
          </w:tcPr>
          <w:p>
            <w:pPr/>
          </w:p>
        </w:tc>
        <w:tc>
          <w:tcPr>
            <w:tcW w:w="2314" w:type="dxa"/>
            <w:tcBorders>
              <w:top w:val="nil"/>
              <w:bottom w:val="nil"/>
            </w:tcBorders>
          </w:tcPr>
          <w:p>
            <w:pPr>
              <w:pStyle w:val="TableParagraph"/>
              <w:tabs>
                <w:tab w:pos="1420" w:val="left" w:leader="none"/>
                <w:tab w:pos="1957" w:val="left" w:leader="none"/>
              </w:tabs>
              <w:spacing w:line="241" w:lineRule="exact"/>
              <w:ind w:left="100"/>
              <w:rPr>
                <w:sz w:val="22"/>
              </w:rPr>
            </w:pPr>
            <w:r>
              <w:rPr>
                <w:sz w:val="22"/>
              </w:rPr>
              <w:t>Huapango</w:t>
              <w:tab/>
              <w:t>se</w:t>
              <w:tab/>
              <w:t>ha</w:t>
            </w:r>
          </w:p>
        </w:tc>
        <w:tc>
          <w:tcPr>
            <w:tcW w:w="3901" w:type="dxa"/>
            <w:tcBorders>
              <w:top w:val="nil"/>
              <w:bottom w:val="nil"/>
            </w:tcBorders>
          </w:tcPr>
          <w:p>
            <w:pPr>
              <w:pStyle w:val="TableParagraph"/>
              <w:tabs>
                <w:tab w:pos="1405" w:val="left" w:leader="none"/>
                <w:tab w:pos="1897" w:val="left" w:leader="none"/>
                <w:tab w:pos="2744" w:val="left" w:leader="none"/>
                <w:tab w:pos="3420" w:val="left" w:leader="none"/>
              </w:tabs>
              <w:spacing w:line="241" w:lineRule="exact"/>
              <w:rPr>
                <w:sz w:val="22"/>
              </w:rPr>
            </w:pPr>
            <w:r>
              <w:rPr>
                <w:sz w:val="22"/>
              </w:rPr>
              <w:t>obligación,</w:t>
              <w:tab/>
              <w:t>de</w:t>
              <w:tab/>
              <w:t>hecho</w:t>
              <w:tab/>
              <w:t>traje</w:t>
              <w:tab/>
              <w:t>una</w:t>
            </w:r>
          </w:p>
        </w:tc>
      </w:tr>
      <w:tr>
        <w:trPr>
          <w:trHeight w:val="253" w:hRule="exact"/>
        </w:trPr>
        <w:tc>
          <w:tcPr>
            <w:tcW w:w="1385" w:type="dxa"/>
            <w:tcBorders>
              <w:top w:val="nil"/>
              <w:bottom w:val="nil"/>
            </w:tcBorders>
          </w:tcPr>
          <w:p>
            <w:pPr>
              <w:pStyle w:val="TableParagraph"/>
              <w:spacing w:line="242" w:lineRule="exact"/>
              <w:ind w:left="227" w:right="127"/>
              <w:rPr>
                <w:sz w:val="22"/>
              </w:rPr>
            </w:pPr>
            <w:r>
              <w:rPr>
                <w:sz w:val="22"/>
              </w:rPr>
              <w:t>Sandoval</w:t>
            </w:r>
          </w:p>
        </w:tc>
        <w:tc>
          <w:tcPr>
            <w:tcW w:w="1274" w:type="dxa"/>
            <w:tcBorders>
              <w:top w:val="nil"/>
              <w:bottom w:val="nil"/>
            </w:tcBorders>
          </w:tcPr>
          <w:p>
            <w:pPr>
              <w:pStyle w:val="TableParagraph"/>
              <w:spacing w:line="242" w:lineRule="exact"/>
              <w:ind w:left="100" w:right="98"/>
              <w:rPr>
                <w:sz w:val="22"/>
              </w:rPr>
            </w:pPr>
            <w:r>
              <w:rPr>
                <w:sz w:val="22"/>
              </w:rPr>
              <w:t>Textil</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44" w:val="left" w:leader="none"/>
                <w:tab w:pos="2029" w:val="left" w:leader="none"/>
              </w:tabs>
              <w:spacing w:line="242" w:lineRule="exact"/>
              <w:ind w:left="100"/>
              <w:rPr>
                <w:sz w:val="22"/>
              </w:rPr>
            </w:pPr>
            <w:r>
              <w:rPr>
                <w:sz w:val="22"/>
              </w:rPr>
              <w:t>deteriorado</w:t>
              <w:tab/>
              <w:t>con</w:t>
              <w:tab/>
              <w:t>el</w:t>
            </w:r>
          </w:p>
        </w:tc>
        <w:tc>
          <w:tcPr>
            <w:tcW w:w="3901" w:type="dxa"/>
            <w:tcBorders>
              <w:top w:val="nil"/>
              <w:bottom w:val="nil"/>
            </w:tcBorders>
          </w:tcPr>
          <w:p>
            <w:pPr>
              <w:pStyle w:val="TableParagraph"/>
              <w:spacing w:line="242" w:lineRule="exact"/>
              <w:rPr>
                <w:sz w:val="22"/>
              </w:rPr>
            </w:pPr>
            <w:r>
              <w:rPr>
                <w:sz w:val="22"/>
              </w:rPr>
              <w:t>empresa de reciclaje de basura  para</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(carrera</w:t>
            </w:r>
          </w:p>
        </w:tc>
        <w:tc>
          <w:tcPr>
            <w:tcW w:w="1887" w:type="dxa"/>
            <w:tcBorders>
              <w:top w:val="nil"/>
              <w:bottom w:val="nil"/>
            </w:tcBorders>
          </w:tcPr>
          <w:p>
            <w:pPr>
              <w:pStyle w:val="TableParagraph"/>
              <w:spacing w:line="241"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tiempo   por  falta  de</w:t>
            </w:r>
          </w:p>
        </w:tc>
        <w:tc>
          <w:tcPr>
            <w:tcW w:w="3901" w:type="dxa"/>
            <w:tcBorders>
              <w:top w:val="nil"/>
              <w:bottom w:val="nil"/>
            </w:tcBorders>
          </w:tcPr>
          <w:p>
            <w:pPr>
              <w:pStyle w:val="TableParagraph"/>
              <w:spacing w:line="241" w:lineRule="exact"/>
              <w:rPr>
                <w:sz w:val="22"/>
              </w:rPr>
            </w:pPr>
            <w:r>
              <w:rPr>
                <w:sz w:val="22"/>
              </w:rPr>
              <w:t>hacer  un  proyecto  de  protección</w:t>
            </w:r>
            <w:r>
              <w:rPr>
                <w:spacing w:val="59"/>
                <w:sz w:val="22"/>
              </w:rPr>
              <w:t> </w:t>
            </w:r>
            <w:r>
              <w:rPr>
                <w:sz w:val="22"/>
              </w:rPr>
              <w:t>al</w:t>
            </w:r>
          </w:p>
        </w:tc>
      </w:tr>
      <w:tr>
        <w:trPr>
          <w:trHeight w:val="253" w:hRule="exact"/>
        </w:trPr>
        <w:tc>
          <w:tcPr>
            <w:tcW w:w="1385" w:type="dxa"/>
            <w:tcBorders>
              <w:top w:val="nil"/>
              <w:bottom w:val="nil"/>
            </w:tcBorders>
          </w:tcPr>
          <w:p>
            <w:pPr>
              <w:pStyle w:val="TableParagraph"/>
              <w:spacing w:line="241" w:lineRule="exact"/>
              <w:ind w:left="124"/>
              <w:rPr>
                <w:sz w:val="22"/>
              </w:rPr>
            </w:pPr>
            <w:r>
              <w:rPr>
                <w:sz w:val="22"/>
              </w:rPr>
              <w:t>(29/8/2014)</w:t>
            </w:r>
          </w:p>
        </w:tc>
        <w:tc>
          <w:tcPr>
            <w:tcW w:w="1274" w:type="dxa"/>
            <w:tcBorders>
              <w:top w:val="nil"/>
              <w:bottom w:val="nil"/>
            </w:tcBorders>
          </w:tcPr>
          <w:p>
            <w:pPr>
              <w:pStyle w:val="TableParagraph"/>
              <w:spacing w:line="241" w:lineRule="exact"/>
              <w:ind w:left="100" w:right="98"/>
              <w:rPr>
                <w:sz w:val="22"/>
              </w:rPr>
            </w:pPr>
            <w:r>
              <w:rPr>
                <w:sz w:val="22"/>
              </w:rPr>
              <w:t>trunca)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mantenimiento   y </w:t>
            </w:r>
            <w:r>
              <w:rPr>
                <w:spacing w:val="61"/>
                <w:sz w:val="22"/>
              </w:rPr>
              <w:t> </w:t>
            </w:r>
            <w:r>
              <w:rPr>
                <w:sz w:val="22"/>
              </w:rPr>
              <w:t>le</w:t>
            </w:r>
          </w:p>
        </w:tc>
        <w:tc>
          <w:tcPr>
            <w:tcW w:w="3901" w:type="dxa"/>
            <w:tcBorders>
              <w:top w:val="nil"/>
              <w:bottom w:val="nil"/>
            </w:tcBorders>
          </w:tcPr>
          <w:p>
            <w:pPr>
              <w:pStyle w:val="TableParagraph"/>
              <w:spacing w:line="241" w:lineRule="exact"/>
              <w:rPr>
                <w:sz w:val="22"/>
              </w:rPr>
            </w:pPr>
            <w:r>
              <w:rPr>
                <w:sz w:val="22"/>
              </w:rPr>
              <w:t>medio   ambiente   que   consistía  en</w:t>
            </w:r>
          </w:p>
        </w:tc>
      </w:tr>
      <w:tr>
        <w:trPr>
          <w:trHeight w:val="248"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tabs>
                <w:tab w:pos="815" w:val="left" w:leader="none"/>
                <w:tab w:pos="1859" w:val="left" w:leader="none"/>
              </w:tabs>
              <w:spacing w:line="242" w:lineRule="exact"/>
              <w:ind w:left="100"/>
              <w:rPr>
                <w:sz w:val="22"/>
              </w:rPr>
            </w:pPr>
            <w:r>
              <w:rPr>
                <w:sz w:val="22"/>
              </w:rPr>
              <w:t>ha</w:t>
              <w:tab/>
              <w:t>salido</w:t>
              <w:tab/>
              <w:t>lirio</w:t>
            </w:r>
          </w:p>
        </w:tc>
        <w:tc>
          <w:tcPr>
            <w:tcW w:w="3901" w:type="dxa"/>
            <w:tcBorders>
              <w:top w:val="nil"/>
            </w:tcBorders>
          </w:tcPr>
          <w:p>
            <w:pPr>
              <w:pStyle w:val="TableParagraph"/>
              <w:tabs>
                <w:tab w:pos="3344" w:val="left" w:leader="none"/>
              </w:tabs>
              <w:spacing w:line="242" w:lineRule="exact"/>
              <w:rPr>
                <w:sz w:val="22"/>
              </w:rPr>
            </w:pPr>
            <w:r>
              <w:rPr>
                <w:sz w:val="22"/>
              </w:rPr>
              <w:t>tener</w:t>
            </w:r>
            <w:r>
              <w:rPr>
                <w:spacing w:val="56"/>
                <w:sz w:val="22"/>
              </w:rPr>
              <w:t> </w:t>
            </w:r>
            <w:r>
              <w:rPr>
                <w:sz w:val="22"/>
              </w:rPr>
              <w:t>biodigestores</w:t>
            </w:r>
            <w:r>
              <w:rPr>
                <w:spacing w:val="55"/>
                <w:sz w:val="22"/>
              </w:rPr>
              <w:t> </w:t>
            </w:r>
            <w:r>
              <w:rPr>
                <w:sz w:val="22"/>
              </w:rPr>
              <w:t>orgánicos</w:t>
              <w:tab/>
              <w:t>para</w:t>
            </w:r>
          </w:p>
        </w:tc>
      </w:tr>
    </w:tbl>
    <w:p>
      <w:pPr>
        <w:spacing w:after="0" w:line="242" w:lineRule="exact"/>
        <w:rPr>
          <w:sz w:val="22"/>
        </w:rPr>
        <w:sectPr>
          <w:pgSz w:w="15840" w:h="12240" w:orient="landscape"/>
          <w:pgMar w:header="0" w:footer="94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66" w:hRule="exact"/>
        </w:trPr>
        <w:tc>
          <w:tcPr>
            <w:tcW w:w="1385" w:type="dxa"/>
            <w:vMerge w:val="restart"/>
          </w:tcPr>
          <w:p>
            <w:pPr/>
          </w:p>
        </w:tc>
        <w:tc>
          <w:tcPr>
            <w:tcW w:w="1274" w:type="dxa"/>
            <w:vMerge w:val="restart"/>
          </w:tcPr>
          <w:p>
            <w:pPr/>
          </w:p>
        </w:tc>
        <w:tc>
          <w:tcPr>
            <w:tcW w:w="1887" w:type="dxa"/>
            <w:vMerge w:val="restart"/>
          </w:tcPr>
          <w:p>
            <w:pPr/>
          </w:p>
        </w:tc>
        <w:tc>
          <w:tcPr>
            <w:tcW w:w="1289" w:type="dxa"/>
            <w:vMerge w:val="restart"/>
          </w:tcPr>
          <w:p>
            <w:pPr/>
          </w:p>
        </w:tc>
        <w:tc>
          <w:tcPr>
            <w:tcW w:w="1174" w:type="dxa"/>
            <w:vMerge w:val="restart"/>
          </w:tcPr>
          <w:p>
            <w:pPr/>
          </w:p>
        </w:tc>
        <w:tc>
          <w:tcPr>
            <w:tcW w:w="2314" w:type="dxa"/>
            <w:tcBorders>
              <w:bottom w:val="nil"/>
            </w:tcBorders>
          </w:tcPr>
          <w:p>
            <w:pPr>
              <w:pStyle w:val="TableParagraph"/>
              <w:spacing w:line="251" w:lineRule="exact"/>
              <w:ind w:left="100"/>
              <w:rPr>
                <w:sz w:val="22"/>
              </w:rPr>
            </w:pPr>
            <w:r>
              <w:rPr>
                <w:sz w:val="22"/>
              </w:rPr>
              <w:t>acuático  y  no </w:t>
            </w:r>
            <w:r>
              <w:rPr>
                <w:spacing w:val="55"/>
                <w:sz w:val="22"/>
              </w:rPr>
              <w:t> </w:t>
            </w:r>
            <w:r>
              <w:rPr>
                <w:sz w:val="22"/>
              </w:rPr>
              <w:t>entra</w:t>
            </w:r>
          </w:p>
        </w:tc>
        <w:tc>
          <w:tcPr>
            <w:tcW w:w="3901" w:type="dxa"/>
            <w:tcBorders>
              <w:bottom w:val="nil"/>
            </w:tcBorders>
          </w:tcPr>
          <w:p>
            <w:pPr>
              <w:pStyle w:val="TableParagraph"/>
              <w:tabs>
                <w:tab w:pos="741" w:val="left" w:leader="none"/>
                <w:tab w:pos="1364" w:val="left" w:leader="none"/>
                <w:tab w:pos="1806" w:val="left" w:leader="none"/>
                <w:tab w:pos="2746" w:val="left" w:leader="none"/>
                <w:tab w:pos="3259" w:val="left" w:leader="none"/>
              </w:tabs>
              <w:spacing w:line="251" w:lineRule="exact"/>
              <w:rPr>
                <w:sz w:val="22"/>
              </w:rPr>
            </w:pPr>
            <w:r>
              <w:rPr>
                <w:sz w:val="22"/>
              </w:rPr>
              <w:t>que</w:t>
              <w:tab/>
              <w:t>con</w:t>
              <w:tab/>
              <w:t>la</w:t>
              <w:tab/>
              <w:t>basura</w:t>
              <w:tab/>
              <w:t>de</w:t>
              <w:tab/>
              <w:t>estos</w:t>
            </w:r>
          </w:p>
        </w:tc>
      </w:tr>
      <w:tr>
        <w:trPr>
          <w:trHeight w:val="253"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bottom w:val="nil"/>
            </w:tcBorders>
          </w:tcPr>
          <w:p>
            <w:pPr>
              <w:pStyle w:val="TableParagraph"/>
              <w:spacing w:line="241" w:lineRule="exact"/>
              <w:ind w:left="100"/>
              <w:rPr>
                <w:sz w:val="22"/>
              </w:rPr>
            </w:pPr>
            <w:r>
              <w:rPr>
                <w:sz w:val="22"/>
              </w:rPr>
              <w:t>suficiente  luz,  por lo</w:t>
            </w:r>
          </w:p>
        </w:tc>
        <w:tc>
          <w:tcPr>
            <w:tcW w:w="3901" w:type="dxa"/>
            <w:tcBorders>
              <w:top w:val="nil"/>
              <w:bottom w:val="nil"/>
            </w:tcBorders>
          </w:tcPr>
          <w:p>
            <w:pPr>
              <w:pStyle w:val="TableParagraph"/>
              <w:spacing w:line="241" w:lineRule="exact"/>
              <w:rPr>
                <w:sz w:val="22"/>
              </w:rPr>
            </w:pPr>
            <w:r>
              <w:rPr>
                <w:sz w:val="22"/>
              </w:rPr>
              <w:t>biodigestores tuvieran lombrices para</w:t>
            </w:r>
          </w:p>
        </w:tc>
      </w:tr>
      <w:tr>
        <w:trPr>
          <w:trHeight w:val="253"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bottom w:val="nil"/>
            </w:tcBorders>
          </w:tcPr>
          <w:p>
            <w:pPr>
              <w:pStyle w:val="TableParagraph"/>
              <w:spacing w:line="242" w:lineRule="exact"/>
              <w:ind w:left="100"/>
              <w:rPr>
                <w:sz w:val="22"/>
              </w:rPr>
            </w:pPr>
            <w:r>
              <w:rPr>
                <w:sz w:val="22"/>
              </w:rPr>
              <w:t>que los peces no   se</w:t>
            </w:r>
          </w:p>
        </w:tc>
        <w:tc>
          <w:tcPr>
            <w:tcW w:w="3901" w:type="dxa"/>
            <w:tcBorders>
              <w:top w:val="nil"/>
              <w:bottom w:val="nil"/>
            </w:tcBorders>
          </w:tcPr>
          <w:p>
            <w:pPr>
              <w:pStyle w:val="TableParagraph"/>
              <w:tabs>
                <w:tab w:pos="1079" w:val="left" w:leader="none"/>
                <w:tab w:pos="2847" w:val="left" w:leader="none"/>
                <w:tab w:pos="3504" w:val="left" w:leader="none"/>
              </w:tabs>
              <w:spacing w:line="242" w:lineRule="exact"/>
              <w:rPr>
                <w:sz w:val="22"/>
              </w:rPr>
            </w:pPr>
            <w:r>
              <w:rPr>
                <w:sz w:val="22"/>
              </w:rPr>
              <w:t>generar</w:t>
              <w:tab/>
              <w:t>lombricomposta</w:t>
              <w:tab/>
              <w:t>para</w:t>
              <w:tab/>
              <w:t>las</w:t>
            </w:r>
          </w:p>
        </w:tc>
      </w:tr>
      <w:tr>
        <w:trPr>
          <w:trHeight w:val="253"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bottom w:val="nil"/>
            </w:tcBorders>
          </w:tcPr>
          <w:p>
            <w:pPr>
              <w:pStyle w:val="TableParagraph"/>
              <w:spacing w:line="241" w:lineRule="exact"/>
              <w:ind w:left="100"/>
              <w:rPr>
                <w:sz w:val="22"/>
              </w:rPr>
            </w:pPr>
            <w:r>
              <w:rPr>
                <w:sz w:val="22"/>
              </w:rPr>
              <w:t>reproducen.</w:t>
            </w:r>
          </w:p>
        </w:tc>
        <w:tc>
          <w:tcPr>
            <w:tcW w:w="3901" w:type="dxa"/>
            <w:tcBorders>
              <w:top w:val="nil"/>
              <w:bottom w:val="nil"/>
            </w:tcBorders>
          </w:tcPr>
          <w:p>
            <w:pPr>
              <w:pStyle w:val="TableParagraph"/>
              <w:spacing w:line="241" w:lineRule="exact"/>
              <w:rPr>
                <w:sz w:val="22"/>
              </w:rPr>
            </w:pPr>
            <w:r>
              <w:rPr>
                <w:sz w:val="22"/>
              </w:rPr>
              <w:t>milpas,   este   proyecto   se presentó</w:t>
            </w:r>
          </w:p>
        </w:tc>
      </w:tr>
      <w:tr>
        <w:trPr>
          <w:trHeight w:val="253"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ante  el  cabildo,  pero  el   presidente</w:t>
            </w:r>
          </w:p>
        </w:tc>
      </w:tr>
      <w:tr>
        <w:trPr>
          <w:trHeight w:val="252"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bottom w:val="nil"/>
            </w:tcBorders>
          </w:tcPr>
          <w:p>
            <w:pPr/>
          </w:p>
        </w:tc>
        <w:tc>
          <w:tcPr>
            <w:tcW w:w="3901" w:type="dxa"/>
            <w:tcBorders>
              <w:top w:val="nil"/>
              <w:bottom w:val="nil"/>
            </w:tcBorders>
          </w:tcPr>
          <w:p>
            <w:pPr>
              <w:pStyle w:val="TableParagraph"/>
              <w:tabs>
                <w:tab w:pos="1237" w:val="left" w:leader="none"/>
                <w:tab w:pos="1688" w:val="left" w:leader="none"/>
                <w:tab w:pos="2540" w:val="left" w:leader="none"/>
                <w:tab w:pos="2991" w:val="left" w:leader="none"/>
              </w:tabs>
              <w:spacing w:line="241" w:lineRule="exact"/>
              <w:rPr>
                <w:sz w:val="22"/>
              </w:rPr>
            </w:pPr>
            <w:r>
              <w:rPr>
                <w:sz w:val="22"/>
              </w:rPr>
              <w:t>municipal</w:t>
              <w:tab/>
              <w:t>no</w:t>
              <w:tab/>
              <w:t>estuvo</w:t>
              <w:tab/>
              <w:t>de</w:t>
              <w:tab/>
              <w:t>acuerdo</w:t>
            </w:r>
          </w:p>
        </w:tc>
      </w:tr>
      <w:tr>
        <w:trPr>
          <w:trHeight w:val="253"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porque tiene un negocio de    basura,</w:t>
            </w:r>
          </w:p>
        </w:tc>
      </w:tr>
      <w:tr>
        <w:trPr>
          <w:trHeight w:val="254"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entonces  afectaba  sus  intereses   y</w:t>
            </w:r>
          </w:p>
        </w:tc>
      </w:tr>
      <w:tr>
        <w:trPr>
          <w:trHeight w:val="254"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como  nosotros  como  regidores sólo</w:t>
            </w:r>
          </w:p>
        </w:tc>
      </w:tr>
      <w:tr>
        <w:trPr>
          <w:trHeight w:val="253"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bottom w:val="nil"/>
            </w:tcBorders>
          </w:tcPr>
          <w:p>
            <w:pPr/>
          </w:p>
        </w:tc>
        <w:tc>
          <w:tcPr>
            <w:tcW w:w="3901" w:type="dxa"/>
            <w:tcBorders>
              <w:top w:val="nil"/>
              <w:bottom w:val="nil"/>
            </w:tcBorders>
          </w:tcPr>
          <w:p>
            <w:pPr>
              <w:pStyle w:val="TableParagraph"/>
              <w:tabs>
                <w:tab w:pos="1034" w:val="left" w:leader="none"/>
                <w:tab w:pos="2221" w:val="left" w:leader="none"/>
                <w:tab w:pos="3675" w:val="left" w:leader="none"/>
              </w:tabs>
              <w:spacing w:line="242" w:lineRule="exact"/>
              <w:rPr>
                <w:sz w:val="22"/>
              </w:rPr>
            </w:pPr>
            <w:r>
              <w:rPr>
                <w:sz w:val="22"/>
              </w:rPr>
              <w:t>somos</w:t>
              <w:tab/>
              <w:t>gestores,</w:t>
              <w:tab/>
              <w:t>legisladores</w:t>
              <w:tab/>
              <w:t>y</w:t>
            </w:r>
          </w:p>
        </w:tc>
      </w:tr>
      <w:tr>
        <w:trPr>
          <w:trHeight w:val="252"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bottom w:val="nil"/>
            </w:tcBorders>
          </w:tcPr>
          <w:p>
            <w:pPr/>
          </w:p>
        </w:tc>
        <w:tc>
          <w:tcPr>
            <w:tcW w:w="3901" w:type="dxa"/>
            <w:tcBorders>
              <w:top w:val="nil"/>
              <w:bottom w:val="nil"/>
            </w:tcBorders>
          </w:tcPr>
          <w:p>
            <w:pPr>
              <w:pStyle w:val="TableParagraph"/>
              <w:tabs>
                <w:tab w:pos="1885" w:val="left" w:leader="none"/>
                <w:tab w:pos="2516" w:val="left" w:leader="none"/>
                <w:tab w:pos="3615" w:val="left" w:leader="none"/>
              </w:tabs>
              <w:spacing w:line="241" w:lineRule="exact"/>
              <w:rPr>
                <w:sz w:val="22"/>
              </w:rPr>
            </w:pPr>
            <w:r>
              <w:rPr>
                <w:sz w:val="22"/>
              </w:rPr>
              <w:t>fiscalizadores,</w:t>
              <w:tab/>
              <w:t>en</w:t>
              <w:tab/>
              <w:t>cambio</w:t>
              <w:tab/>
              <w:t>el</w:t>
            </w:r>
          </w:p>
        </w:tc>
      </w:tr>
      <w:tr>
        <w:trPr>
          <w:trHeight w:val="253"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presidente es todo eso, pero también</w:t>
            </w:r>
          </w:p>
        </w:tc>
      </w:tr>
      <w:tr>
        <w:trPr>
          <w:trHeight w:val="249" w:hRule="exact"/>
        </w:trPr>
        <w:tc>
          <w:tcPr>
            <w:tcW w:w="1385" w:type="dxa"/>
            <w:vMerge/>
          </w:tcPr>
          <w:p>
            <w:pPr/>
          </w:p>
        </w:tc>
        <w:tc>
          <w:tcPr>
            <w:tcW w:w="1274" w:type="dxa"/>
            <w:vMerge/>
          </w:tcPr>
          <w:p>
            <w:pPr/>
          </w:p>
        </w:tc>
        <w:tc>
          <w:tcPr>
            <w:tcW w:w="1887" w:type="dxa"/>
            <w:vMerge/>
          </w:tcPr>
          <w:p>
            <w:pPr/>
          </w:p>
        </w:tc>
        <w:tc>
          <w:tcPr>
            <w:tcW w:w="1289" w:type="dxa"/>
            <w:vMerge/>
          </w:tcPr>
          <w:p>
            <w:pPr/>
          </w:p>
        </w:tc>
        <w:tc>
          <w:tcPr>
            <w:tcW w:w="1174" w:type="dxa"/>
            <w:vMerge/>
          </w:tcPr>
          <w:p>
            <w:pPr/>
          </w:p>
        </w:tc>
        <w:tc>
          <w:tcPr>
            <w:tcW w:w="2314" w:type="dxa"/>
            <w:tcBorders>
              <w:top w:val="nil"/>
            </w:tcBorders>
          </w:tcPr>
          <w:p>
            <w:pPr/>
          </w:p>
        </w:tc>
        <w:tc>
          <w:tcPr>
            <w:tcW w:w="3901" w:type="dxa"/>
            <w:tcBorders>
              <w:top w:val="nil"/>
            </w:tcBorders>
          </w:tcPr>
          <w:p>
            <w:pPr>
              <w:pStyle w:val="TableParagraph"/>
              <w:spacing w:line="242" w:lineRule="exact"/>
              <w:rPr>
                <w:sz w:val="22"/>
              </w:rPr>
            </w:pPr>
            <w:r>
              <w:rPr>
                <w:sz w:val="22"/>
              </w:rPr>
              <w:t>es ejecutor.</w:t>
            </w:r>
          </w:p>
        </w:tc>
      </w:tr>
      <w:tr>
        <w:trPr>
          <w:trHeight w:val="267" w:hRule="exact"/>
        </w:trPr>
        <w:tc>
          <w:tcPr>
            <w:tcW w:w="1385" w:type="dxa"/>
            <w:tcBorders>
              <w:bottom w:val="nil"/>
            </w:tcBorders>
          </w:tcPr>
          <w:p>
            <w:pPr>
              <w:pStyle w:val="TableParagraph"/>
              <w:spacing w:line="251" w:lineRule="exact"/>
              <w:ind w:left="85" w:right="85"/>
              <w:jc w:val="center"/>
              <w:rPr>
                <w:sz w:val="22"/>
              </w:rPr>
            </w:pPr>
            <w:r>
              <w:rPr>
                <w:sz w:val="22"/>
              </w:rPr>
              <w:t>Santos</w:t>
            </w:r>
          </w:p>
        </w:tc>
        <w:tc>
          <w:tcPr>
            <w:tcW w:w="1274" w:type="dxa"/>
            <w:tcBorders>
              <w:bottom w:val="nil"/>
            </w:tcBorders>
          </w:tcPr>
          <w:p>
            <w:pP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289" w:type="dxa"/>
            <w:tcBorders>
              <w:bottom w:val="nil"/>
            </w:tcBorders>
          </w:tcPr>
          <w:p>
            <w:pPr>
              <w:pStyle w:val="TableParagraph"/>
              <w:spacing w:line="251" w:lineRule="exact"/>
              <w:ind w:left="0" w:right="304"/>
              <w:jc w:val="right"/>
              <w:rPr>
                <w:sz w:val="22"/>
              </w:rPr>
            </w:pPr>
            <w:r>
              <w:rPr>
                <w:sz w:val="22"/>
              </w:rPr>
              <w:t>Jilotepec</w:t>
            </w:r>
          </w:p>
        </w:tc>
        <w:tc>
          <w:tcPr>
            <w:tcW w:w="1174" w:type="dxa"/>
            <w:tcBorders>
              <w:bottom w:val="nil"/>
            </w:tcBorders>
          </w:tcPr>
          <w:p>
            <w:pPr>
              <w:pStyle w:val="TableParagraph"/>
              <w:spacing w:line="251" w:lineRule="exact"/>
              <w:ind w:left="23" w:right="109"/>
              <w:jc w:val="center"/>
              <w:rPr>
                <w:sz w:val="22"/>
              </w:rPr>
            </w:pPr>
            <w:r>
              <w:rPr>
                <w:sz w:val="22"/>
              </w:rPr>
              <w:t>Jilotepec</w:t>
            </w:r>
          </w:p>
        </w:tc>
        <w:tc>
          <w:tcPr>
            <w:tcW w:w="2314" w:type="dxa"/>
            <w:tcBorders>
              <w:bottom w:val="nil"/>
            </w:tcBorders>
          </w:tcPr>
          <w:p>
            <w:pPr>
              <w:pStyle w:val="TableParagraph"/>
              <w:tabs>
                <w:tab w:pos="1785" w:val="left" w:leader="none"/>
              </w:tabs>
              <w:spacing w:line="251" w:lineRule="exact"/>
              <w:ind w:left="100"/>
              <w:rPr>
                <w:sz w:val="22"/>
              </w:rPr>
            </w:pPr>
            <w:r>
              <w:rPr>
                <w:sz w:val="22"/>
              </w:rPr>
              <w:t>Porque</w:t>
              <w:tab/>
              <w:t>está</w:t>
            </w:r>
          </w:p>
        </w:tc>
        <w:tc>
          <w:tcPr>
            <w:tcW w:w="3901" w:type="dxa"/>
            <w:tcBorders>
              <w:bottom w:val="nil"/>
            </w:tcBorders>
          </w:tcPr>
          <w:p>
            <w:pPr>
              <w:pStyle w:val="TableParagraph"/>
              <w:spacing w:line="251" w:lineRule="exact"/>
              <w:rPr>
                <w:sz w:val="22"/>
              </w:rPr>
            </w:pPr>
            <w:r>
              <w:rPr>
                <w:sz w:val="22"/>
              </w:rPr>
              <w:t>El   municipio   debe   cooperar   para</w:t>
            </w: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Martínez</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spacing w:line="242" w:lineRule="exact"/>
              <w:rPr>
                <w:sz w:val="22"/>
              </w:rPr>
            </w:pPr>
            <w:r>
              <w:rPr>
                <w:sz w:val="22"/>
              </w:rPr>
              <w:t>Departamento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605" w:val="left" w:leader="none"/>
                <w:tab w:pos="1955" w:val="left" w:leader="none"/>
              </w:tabs>
              <w:spacing w:line="242" w:lineRule="exact"/>
              <w:ind w:left="100"/>
              <w:rPr>
                <w:sz w:val="22"/>
              </w:rPr>
            </w:pPr>
            <w:r>
              <w:rPr>
                <w:sz w:val="22"/>
              </w:rPr>
              <w:t>contaminada</w:t>
              <w:tab/>
              <w:t>y</w:t>
              <w:tab/>
              <w:t>ha</w:t>
            </w:r>
          </w:p>
        </w:tc>
        <w:tc>
          <w:tcPr>
            <w:tcW w:w="3901" w:type="dxa"/>
            <w:tcBorders>
              <w:top w:val="nil"/>
              <w:bottom w:val="nil"/>
            </w:tcBorders>
          </w:tcPr>
          <w:p>
            <w:pPr>
              <w:pStyle w:val="TableParagraph"/>
              <w:spacing w:line="242" w:lineRule="exact"/>
              <w:rPr>
                <w:sz w:val="22"/>
              </w:rPr>
            </w:pPr>
            <w:r>
              <w:rPr>
                <w:sz w:val="22"/>
              </w:rPr>
              <w:t>dotar  de  servicios  como  el  drenaje</w:t>
            </w:r>
          </w:p>
        </w:tc>
      </w:tr>
      <w:tr>
        <w:trPr>
          <w:trHeight w:val="253" w:hRule="exact"/>
        </w:trPr>
        <w:tc>
          <w:tcPr>
            <w:tcW w:w="1385" w:type="dxa"/>
            <w:tcBorders>
              <w:top w:val="nil"/>
              <w:bottom w:val="nil"/>
            </w:tcBorders>
          </w:tcPr>
          <w:p>
            <w:pPr>
              <w:pStyle w:val="TableParagraph"/>
              <w:spacing w:line="241" w:lineRule="exact"/>
              <w:ind w:left="85" w:right="84"/>
              <w:jc w:val="center"/>
              <w:rPr>
                <w:sz w:val="22"/>
              </w:rPr>
            </w:pPr>
            <w:r>
              <w:rPr>
                <w:sz w:val="22"/>
              </w:rPr>
              <w:t>Alcántara</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 Ecología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disminuido   su </w:t>
            </w:r>
            <w:r>
              <w:rPr>
                <w:spacing w:val="51"/>
                <w:sz w:val="22"/>
              </w:rPr>
              <w:t> </w:t>
            </w:r>
            <w:r>
              <w:rPr>
                <w:sz w:val="22"/>
              </w:rPr>
              <w:t>nivel</w:t>
            </w:r>
          </w:p>
        </w:tc>
        <w:tc>
          <w:tcPr>
            <w:tcW w:w="3901" w:type="dxa"/>
            <w:tcBorders>
              <w:top w:val="nil"/>
              <w:bottom w:val="nil"/>
            </w:tcBorders>
          </w:tcPr>
          <w:p>
            <w:pPr>
              <w:pStyle w:val="TableParagraph"/>
              <w:tabs>
                <w:tab w:pos="781" w:val="left" w:leader="none"/>
                <w:tab w:pos="1571" w:val="left" w:leader="none"/>
                <w:tab w:pos="1979" w:val="left" w:leader="none"/>
                <w:tab w:pos="3133" w:val="left" w:leader="none"/>
                <w:tab w:pos="3615" w:val="left" w:leader="none"/>
              </w:tabs>
              <w:spacing w:line="241" w:lineRule="exact"/>
              <w:rPr>
                <w:sz w:val="22"/>
              </w:rPr>
            </w:pPr>
            <w:r>
              <w:rPr>
                <w:sz w:val="22"/>
              </w:rPr>
              <w:t>para</w:t>
              <w:tab/>
              <w:t>abatir</w:t>
              <w:tab/>
              <w:t>el</w:t>
              <w:tab/>
              <w:t>problema</w:t>
              <w:tab/>
              <w:t>de</w:t>
              <w:tab/>
              <w:t>la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por falta de lluvias, lo</w:t>
            </w:r>
          </w:p>
        </w:tc>
        <w:tc>
          <w:tcPr>
            <w:tcW w:w="3901" w:type="dxa"/>
            <w:tcBorders>
              <w:top w:val="nil"/>
              <w:bottom w:val="nil"/>
            </w:tcBorders>
          </w:tcPr>
          <w:p>
            <w:pPr>
              <w:pStyle w:val="TableParagraph"/>
              <w:spacing w:line="242" w:lineRule="exact"/>
              <w:rPr>
                <w:sz w:val="22"/>
              </w:rPr>
            </w:pPr>
            <w:r>
              <w:rPr>
                <w:sz w:val="22"/>
              </w:rPr>
              <w:t>urbanización.</w:t>
            </w:r>
          </w:p>
        </w:tc>
      </w:tr>
      <w:tr>
        <w:trPr>
          <w:trHeight w:val="252" w:hRule="exact"/>
        </w:trPr>
        <w:tc>
          <w:tcPr>
            <w:tcW w:w="1385" w:type="dxa"/>
            <w:tcBorders>
              <w:top w:val="nil"/>
              <w:bottom w:val="nil"/>
            </w:tcBorders>
          </w:tcPr>
          <w:p>
            <w:pPr>
              <w:pStyle w:val="TableParagraph"/>
              <w:spacing w:line="241" w:lineRule="exact"/>
              <w:ind w:left="85" w:right="85"/>
              <w:jc w:val="center"/>
              <w:rPr>
                <w:sz w:val="22"/>
              </w:rPr>
            </w:pPr>
            <w:r>
              <w:rPr>
                <w:sz w:val="22"/>
              </w:rPr>
              <w:t>(15/I/2014)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que ocasiona la  falta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de   recargas   de los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07" w:val="left" w:leader="none"/>
              </w:tabs>
              <w:spacing w:line="242" w:lineRule="exact"/>
              <w:ind w:left="100"/>
              <w:rPr>
                <w:sz w:val="22"/>
              </w:rPr>
            </w:pPr>
            <w:r>
              <w:rPr>
                <w:sz w:val="22"/>
              </w:rPr>
              <w:t>mantos</w:t>
              <w:tab/>
              <w:t>freáticos,</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azolve</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left="85" w:right="85"/>
              <w:jc w:val="center"/>
              <w:rPr>
                <w:sz w:val="22"/>
              </w:rPr>
            </w:pPr>
            <w:r>
              <w:rPr>
                <w:sz w:val="22"/>
              </w:rPr>
              <w:t>Jaime</w:t>
            </w:r>
          </w:p>
        </w:tc>
        <w:tc>
          <w:tcPr>
            <w:tcW w:w="1274" w:type="dxa"/>
            <w:tcBorders>
              <w:bottom w:val="nil"/>
            </w:tcBorders>
          </w:tcPr>
          <w:p>
            <w:pP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289" w:type="dxa"/>
            <w:tcBorders>
              <w:bottom w:val="nil"/>
            </w:tcBorders>
          </w:tcPr>
          <w:p>
            <w:pPr>
              <w:pStyle w:val="TableParagraph"/>
              <w:spacing w:line="251" w:lineRule="exact"/>
              <w:ind w:left="0" w:right="295"/>
              <w:jc w:val="right"/>
              <w:rPr>
                <w:sz w:val="22"/>
              </w:rPr>
            </w:pPr>
            <w:r>
              <w:rPr>
                <w:sz w:val="22"/>
              </w:rPr>
              <w:t>Distrito</w:t>
            </w:r>
          </w:p>
        </w:tc>
        <w:tc>
          <w:tcPr>
            <w:tcW w:w="1174" w:type="dxa"/>
            <w:tcBorders>
              <w:bottom w:val="nil"/>
            </w:tcBorders>
          </w:tcPr>
          <w:p>
            <w:pPr>
              <w:pStyle w:val="TableParagraph"/>
              <w:spacing w:line="251" w:lineRule="exact"/>
              <w:ind w:left="84" w:right="84"/>
              <w:jc w:val="center"/>
              <w:rPr>
                <w:sz w:val="22"/>
              </w:rPr>
            </w:pPr>
            <w:r>
              <w:rPr>
                <w:sz w:val="22"/>
              </w:rPr>
              <w:t>Jilotepec</w:t>
            </w:r>
          </w:p>
        </w:tc>
        <w:tc>
          <w:tcPr>
            <w:tcW w:w="2314" w:type="dxa"/>
            <w:tcBorders>
              <w:bottom w:val="nil"/>
            </w:tcBorders>
          </w:tcPr>
          <w:p>
            <w:pPr>
              <w:pStyle w:val="TableParagraph"/>
              <w:spacing w:line="251" w:lineRule="exact"/>
              <w:ind w:left="100"/>
              <w:rPr>
                <w:sz w:val="22"/>
              </w:rPr>
            </w:pPr>
            <w:r>
              <w:rPr>
                <w:sz w:val="22"/>
              </w:rPr>
              <w:t>Porque  no  se  le  ha</w:t>
            </w:r>
          </w:p>
        </w:tc>
        <w:tc>
          <w:tcPr>
            <w:tcW w:w="3901" w:type="dxa"/>
            <w:tcBorders>
              <w:bottom w:val="nil"/>
            </w:tcBorders>
          </w:tcPr>
          <w:p>
            <w:pPr>
              <w:pStyle w:val="TableParagraph"/>
              <w:spacing w:line="251" w:lineRule="exact"/>
              <w:rPr>
                <w:sz w:val="22"/>
              </w:rPr>
            </w:pPr>
            <w:r>
              <w:rPr>
                <w:sz w:val="22"/>
              </w:rPr>
              <w:t>Debe  hacerse  una  plática  con  </w:t>
            </w:r>
            <w:r>
              <w:rPr>
                <w:spacing w:val="54"/>
                <w:sz w:val="22"/>
              </w:rPr>
              <w:t> </w:t>
            </w:r>
            <w:r>
              <w:rPr>
                <w:sz w:val="22"/>
              </w:rPr>
              <w:t>los</w:t>
            </w:r>
          </w:p>
        </w:tc>
      </w:tr>
      <w:tr>
        <w:trPr>
          <w:trHeight w:val="253" w:hRule="exact"/>
        </w:trPr>
        <w:tc>
          <w:tcPr>
            <w:tcW w:w="1385" w:type="dxa"/>
            <w:tcBorders>
              <w:top w:val="nil"/>
              <w:bottom w:val="nil"/>
            </w:tcBorders>
          </w:tcPr>
          <w:p>
            <w:pPr>
              <w:pStyle w:val="TableParagraph"/>
              <w:spacing w:line="241" w:lineRule="exact"/>
              <w:ind w:left="85" w:right="85"/>
              <w:jc w:val="center"/>
              <w:rPr>
                <w:sz w:val="22"/>
              </w:rPr>
            </w:pPr>
            <w:r>
              <w:rPr>
                <w:sz w:val="22"/>
              </w:rPr>
              <w:t>Sánchez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Departamento</w:t>
            </w:r>
          </w:p>
        </w:tc>
        <w:tc>
          <w:tcPr>
            <w:tcW w:w="1289" w:type="dxa"/>
            <w:tcBorders>
              <w:top w:val="nil"/>
              <w:bottom w:val="nil"/>
            </w:tcBorders>
          </w:tcPr>
          <w:p>
            <w:pPr>
              <w:pStyle w:val="TableParagraph"/>
              <w:spacing w:line="241" w:lineRule="exact"/>
              <w:ind w:left="0" w:right="263"/>
              <w:jc w:val="right"/>
              <w:rPr>
                <w:sz w:val="22"/>
              </w:rPr>
            </w:pPr>
            <w:r>
              <w:rPr>
                <w:sz w:val="22"/>
              </w:rPr>
              <w:t>Federal</w:t>
            </w:r>
          </w:p>
        </w:tc>
        <w:tc>
          <w:tcPr>
            <w:tcW w:w="1174" w:type="dxa"/>
            <w:tcBorders>
              <w:top w:val="nil"/>
              <w:bottom w:val="nil"/>
            </w:tcBorders>
          </w:tcPr>
          <w:p>
            <w:pPr/>
          </w:p>
        </w:tc>
        <w:tc>
          <w:tcPr>
            <w:tcW w:w="2314" w:type="dxa"/>
            <w:tcBorders>
              <w:top w:val="nil"/>
              <w:bottom w:val="nil"/>
            </w:tcBorders>
          </w:tcPr>
          <w:p>
            <w:pPr>
              <w:pStyle w:val="TableParagraph"/>
              <w:tabs>
                <w:tab w:pos="2030" w:val="left" w:leader="none"/>
              </w:tabs>
              <w:spacing w:line="241" w:lineRule="exact"/>
              <w:ind w:left="100"/>
              <w:rPr>
                <w:sz w:val="22"/>
              </w:rPr>
            </w:pPr>
            <w:r>
              <w:rPr>
                <w:sz w:val="22"/>
              </w:rPr>
              <w:t>dado</w:t>
              <w:tab/>
              <w:t>el</w:t>
            </w:r>
          </w:p>
        </w:tc>
        <w:tc>
          <w:tcPr>
            <w:tcW w:w="3901" w:type="dxa"/>
            <w:tcBorders>
              <w:top w:val="nil"/>
              <w:bottom w:val="nil"/>
            </w:tcBorders>
          </w:tcPr>
          <w:p>
            <w:pPr>
              <w:pStyle w:val="TableParagraph"/>
              <w:spacing w:line="241" w:lineRule="exact"/>
              <w:rPr>
                <w:sz w:val="22"/>
              </w:rPr>
            </w:pPr>
            <w:r>
              <w:rPr>
                <w:sz w:val="22"/>
              </w:rPr>
              <w:t>responsables de la comunidad y el H.</w:t>
            </w: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Miranda</w:t>
            </w:r>
          </w:p>
        </w:tc>
        <w:tc>
          <w:tcPr>
            <w:tcW w:w="1274" w:type="dxa"/>
            <w:tcBorders>
              <w:top w:val="nil"/>
              <w:bottom w:val="nil"/>
            </w:tcBorders>
          </w:tcPr>
          <w:p>
            <w:pPr>
              <w:pStyle w:val="TableParagraph"/>
              <w:spacing w:line="242" w:lineRule="exact"/>
              <w:ind w:left="100"/>
              <w:rPr>
                <w:sz w:val="22"/>
              </w:rPr>
            </w:pPr>
            <w:r>
              <w:rPr>
                <w:sz w:val="22"/>
              </w:rPr>
              <w:t>Licenciado</w:t>
            </w:r>
          </w:p>
        </w:tc>
        <w:tc>
          <w:tcPr>
            <w:tcW w:w="1887" w:type="dxa"/>
            <w:tcBorders>
              <w:top w:val="nil"/>
              <w:bottom w:val="nil"/>
            </w:tcBorders>
          </w:tcPr>
          <w:p>
            <w:pPr>
              <w:pStyle w:val="TableParagraph"/>
              <w:tabs>
                <w:tab w:pos="904" w:val="left" w:leader="none"/>
              </w:tabs>
              <w:spacing w:line="242" w:lineRule="exact"/>
              <w:rPr>
                <w:sz w:val="22"/>
              </w:rPr>
            </w:pPr>
            <w:r>
              <w:rPr>
                <w:sz w:val="22"/>
              </w:rPr>
              <w:t>de</w:t>
              <w:tab/>
              <w:t>Fomento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mantenimiento</w:t>
            </w:r>
          </w:p>
        </w:tc>
        <w:tc>
          <w:tcPr>
            <w:tcW w:w="3901" w:type="dxa"/>
            <w:tcBorders>
              <w:top w:val="nil"/>
              <w:bottom w:val="nil"/>
            </w:tcBorders>
          </w:tcPr>
          <w:p>
            <w:pPr>
              <w:pStyle w:val="TableParagraph"/>
              <w:spacing w:line="242" w:lineRule="exact"/>
              <w:rPr>
                <w:sz w:val="22"/>
              </w:rPr>
            </w:pPr>
            <w:r>
              <w:rPr>
                <w:sz w:val="22"/>
              </w:rPr>
              <w:t>Ayuntamiento para ver la manera </w:t>
            </w:r>
            <w:r>
              <w:rPr>
                <w:spacing w:val="55"/>
                <w:sz w:val="22"/>
              </w:rPr>
              <w:t> </w:t>
            </w:r>
            <w:r>
              <w:rPr>
                <w:sz w:val="22"/>
              </w:rPr>
              <w:t>de</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tabs>
                <w:tab w:pos="1665" w:val="left" w:leader="none"/>
              </w:tabs>
              <w:spacing w:line="241" w:lineRule="exact"/>
              <w:rPr>
                <w:sz w:val="22"/>
              </w:rPr>
            </w:pPr>
            <w:r>
              <w:rPr>
                <w:sz w:val="22"/>
              </w:rPr>
              <w:t>Económico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833" w:val="left" w:leader="none"/>
              </w:tabs>
              <w:spacing w:line="241" w:lineRule="exact"/>
              <w:ind w:left="100"/>
              <w:rPr>
                <w:sz w:val="22"/>
              </w:rPr>
            </w:pPr>
            <w:r>
              <w:rPr>
                <w:sz w:val="22"/>
              </w:rPr>
              <w:t>necesario</w:t>
              <w:tab/>
              <w:t>que</w:t>
            </w:r>
          </w:p>
        </w:tc>
        <w:tc>
          <w:tcPr>
            <w:tcW w:w="3901" w:type="dxa"/>
            <w:tcBorders>
              <w:top w:val="nil"/>
              <w:bottom w:val="nil"/>
            </w:tcBorders>
          </w:tcPr>
          <w:p>
            <w:pPr>
              <w:pStyle w:val="TableParagraph"/>
              <w:spacing w:line="241" w:lineRule="exact"/>
              <w:rPr>
                <w:sz w:val="22"/>
              </w:rPr>
            </w:pPr>
            <w:r>
              <w:rPr>
                <w:sz w:val="22"/>
              </w:rPr>
              <w:t>gestionar   con   otras   instancias del</w:t>
            </w:r>
          </w:p>
        </w:tc>
      </w:tr>
      <w:tr>
        <w:trPr>
          <w:trHeight w:val="502" w:hRule="exact"/>
        </w:trPr>
        <w:tc>
          <w:tcPr>
            <w:tcW w:w="1385" w:type="dxa"/>
            <w:tcBorders>
              <w:top w:val="nil"/>
            </w:tcBorders>
          </w:tcPr>
          <w:p>
            <w:pPr>
              <w:pStyle w:val="TableParagraph"/>
              <w:spacing w:line="241" w:lineRule="exact"/>
              <w:ind w:left="85" w:right="85"/>
              <w:jc w:val="center"/>
              <w:rPr>
                <w:sz w:val="22"/>
              </w:rPr>
            </w:pPr>
            <w:r>
              <w:rPr>
                <w:sz w:val="22"/>
              </w:rPr>
              <w:t>(15/I/2014)</w:t>
            </w:r>
          </w:p>
        </w:tc>
        <w:tc>
          <w:tcPr>
            <w:tcW w:w="1274" w:type="dxa"/>
            <w:tcBorders>
              <w:top w:val="nil"/>
            </w:tcBorders>
          </w:tcPr>
          <w:p>
            <w:pPr>
              <w:pStyle w:val="TableParagraph"/>
              <w:spacing w:line="241" w:lineRule="exact"/>
              <w:ind w:left="100" w:right="98"/>
              <w:rPr>
                <w:sz w:val="22"/>
              </w:rPr>
            </w:pPr>
            <w:r>
              <w:rPr>
                <w:sz w:val="22"/>
              </w:rPr>
              <w:t>Economía</w:t>
            </w:r>
          </w:p>
        </w:tc>
        <w:tc>
          <w:tcPr>
            <w:tcW w:w="1887" w:type="dxa"/>
            <w:tcBorders>
              <w:top w:val="nil"/>
            </w:tcBorders>
          </w:tcPr>
          <w:p>
            <w:pPr>
              <w:pStyle w:val="TableParagraph"/>
              <w:spacing w:line="241" w:lineRule="exact"/>
              <w:rPr>
                <w:sz w:val="22"/>
              </w:rPr>
            </w:pPr>
            <w:r>
              <w:rPr>
                <w:sz w:val="22"/>
              </w:rPr>
              <w:t>Turismo</w:t>
            </w: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requiere una laguna.</w:t>
            </w:r>
          </w:p>
        </w:tc>
        <w:tc>
          <w:tcPr>
            <w:tcW w:w="3901" w:type="dxa"/>
            <w:tcBorders>
              <w:top w:val="nil"/>
            </w:tcBorders>
          </w:tcPr>
          <w:p>
            <w:pPr>
              <w:pStyle w:val="TableParagraph"/>
              <w:spacing w:line="241" w:lineRule="exact"/>
              <w:rPr>
                <w:sz w:val="22"/>
              </w:rPr>
            </w:pPr>
            <w:r>
              <w:rPr>
                <w:sz w:val="22"/>
              </w:rPr>
              <w:t>Estado.</w:t>
            </w: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5"/>
        <w:ind w:left="2244" w:right="778"/>
      </w:pPr>
      <w:r>
        <w:rPr/>
        <w:t>Tabla 6.11. Municipio de Jilotepec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7"/>
        <w:gridCol w:w="2462"/>
        <w:gridCol w:w="2314"/>
        <w:gridCol w:w="3901"/>
      </w:tblGrid>
      <w:tr>
        <w:trPr>
          <w:trHeight w:val="292" w:hRule="exact"/>
        </w:trPr>
        <w:tc>
          <w:tcPr>
            <w:tcW w:w="13224" w:type="dxa"/>
            <w:gridSpan w:val="4"/>
            <w:shd w:val="clear" w:color="auto" w:fill="9BBA58"/>
          </w:tcPr>
          <w:p>
            <w:pPr>
              <w:pStyle w:val="TableParagraph"/>
              <w:spacing w:line="249" w:lineRule="exact"/>
              <w:ind w:left="4869" w:right="4869"/>
              <w:jc w:val="center"/>
              <w:rPr>
                <w:b/>
                <w:sz w:val="22"/>
              </w:rPr>
            </w:pPr>
            <w:r>
              <w:rPr>
                <w:b/>
                <w:sz w:val="22"/>
              </w:rPr>
              <w:t>JILOTEPEC</w:t>
            </w:r>
          </w:p>
        </w:tc>
      </w:tr>
      <w:tr>
        <w:trPr>
          <w:trHeight w:val="524" w:hRule="exact"/>
        </w:trPr>
        <w:tc>
          <w:tcPr>
            <w:tcW w:w="4547" w:type="dxa"/>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3"/>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263" w:hRule="exact"/>
        </w:trPr>
        <w:tc>
          <w:tcPr>
            <w:tcW w:w="4547" w:type="dxa"/>
            <w:vMerge/>
            <w:shd w:val="clear" w:color="auto" w:fill="F9BE8F"/>
          </w:tcPr>
          <w:p>
            <w:pPr/>
          </w:p>
        </w:tc>
        <w:tc>
          <w:tcPr>
            <w:tcW w:w="2462" w:type="dxa"/>
            <w:shd w:val="clear" w:color="auto" w:fill="92CDDC"/>
          </w:tcPr>
          <w:p>
            <w:pPr>
              <w:pStyle w:val="TableParagraph"/>
              <w:spacing w:line="252" w:lineRule="exact"/>
              <w:ind w:left="736"/>
              <w:rPr>
                <w:b/>
                <w:i/>
                <w:sz w:val="22"/>
              </w:rPr>
            </w:pPr>
            <w:r>
              <w:rPr>
                <w:b/>
                <w:i/>
                <w:sz w:val="22"/>
              </w:rPr>
              <w:t>Identidad</w:t>
            </w:r>
          </w:p>
        </w:tc>
        <w:tc>
          <w:tcPr>
            <w:tcW w:w="2314" w:type="dxa"/>
            <w:shd w:val="clear" w:color="auto" w:fill="92CDDC"/>
          </w:tcPr>
          <w:p>
            <w:pPr>
              <w:pStyle w:val="TableParagraph"/>
              <w:spacing w:line="252" w:lineRule="exact"/>
              <w:ind w:left="100"/>
              <w:rPr>
                <w:b/>
                <w:i/>
                <w:sz w:val="22"/>
              </w:rPr>
            </w:pPr>
            <w:r>
              <w:rPr>
                <w:b/>
                <w:i/>
                <w:sz w:val="22"/>
              </w:rPr>
              <w:t>Cooperación,</w:t>
            </w:r>
          </w:p>
        </w:tc>
        <w:tc>
          <w:tcPr>
            <w:tcW w:w="3901" w:type="dxa"/>
            <w:shd w:val="clear" w:color="auto" w:fill="92CDDC"/>
          </w:tcPr>
          <w:p>
            <w:pPr>
              <w:pStyle w:val="TableParagraph"/>
              <w:spacing w:line="252" w:lineRule="exact"/>
              <w:rPr>
                <w:b/>
                <w:i/>
                <w:sz w:val="22"/>
              </w:rPr>
            </w:pPr>
            <w:r>
              <w:rPr>
                <w:b/>
                <w:i/>
                <w:sz w:val="22"/>
              </w:rPr>
              <w:t>Poder</w:t>
            </w:r>
          </w:p>
        </w:tc>
      </w:tr>
    </w:tbl>
    <w:p>
      <w:pPr>
        <w:spacing w:after="0" w:line="252" w:lineRule="exact"/>
        <w:rPr>
          <w:sz w:val="22"/>
        </w:rPr>
        <w:sectPr>
          <w:pgSz w:w="15840" w:h="12240" w:orient="landscape"/>
          <w:pgMar w:header="0" w:footer="943" w:top="1140" w:bottom="120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768" w:hRule="exact"/>
        </w:trPr>
        <w:tc>
          <w:tcPr>
            <w:tcW w:w="4547" w:type="dxa"/>
            <w:gridSpan w:val="3"/>
            <w:shd w:val="clear" w:color="auto" w:fill="F9BE8F"/>
          </w:tcPr>
          <w:p>
            <w:pPr/>
          </w:p>
        </w:tc>
        <w:tc>
          <w:tcPr>
            <w:tcW w:w="2462" w:type="dxa"/>
            <w:gridSpan w:val="2"/>
            <w:shd w:val="clear" w:color="auto" w:fill="92CDDC"/>
          </w:tcPr>
          <w:p>
            <w:pPr/>
          </w:p>
        </w:tc>
        <w:tc>
          <w:tcPr>
            <w:tcW w:w="2314" w:type="dxa"/>
            <w:shd w:val="clear" w:color="auto" w:fill="92CDDC"/>
          </w:tcPr>
          <w:p>
            <w:pPr>
              <w:pStyle w:val="TableParagraph"/>
              <w:ind w:left="100" w:right="179"/>
              <w:rPr>
                <w:b/>
                <w:i/>
                <w:sz w:val="22"/>
              </w:rPr>
            </w:pPr>
            <w:r>
              <w:rPr>
                <w:b/>
                <w:i/>
                <w:sz w:val="22"/>
              </w:rPr>
              <w:t>democracia y </w:t>
            </w:r>
            <w:r>
              <w:rPr>
                <w:b/>
                <w:i/>
                <w:sz w:val="22"/>
              </w:rPr>
              <w:t>voluntariedad de la sociedad</w:t>
            </w:r>
          </w:p>
        </w:tc>
        <w:tc>
          <w:tcPr>
            <w:tcW w:w="3901" w:type="dxa"/>
            <w:shd w:val="clear" w:color="auto" w:fill="92CDDC"/>
          </w:tcPr>
          <w:p>
            <w:pPr/>
          </w:p>
        </w:tc>
      </w:tr>
      <w:tr>
        <w:trPr>
          <w:trHeight w:val="265"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tabs>
                <w:tab w:pos="1259" w:val="left" w:leader="none"/>
              </w:tabs>
              <w:spacing w:line="248" w:lineRule="exact"/>
              <w:ind w:left="100"/>
              <w:rPr>
                <w:b/>
                <w:sz w:val="22"/>
              </w:rPr>
            </w:pPr>
            <w:r>
              <w:rPr>
                <w:b/>
                <w:sz w:val="22"/>
              </w:rPr>
              <w:t>¿Qué</w:t>
              <w:tab/>
              <w:t>acciones</w:t>
            </w:r>
          </w:p>
        </w:tc>
        <w:tc>
          <w:tcPr>
            <w:tcW w:w="3901" w:type="dxa"/>
            <w:tcBorders>
              <w:bottom w:val="nil"/>
            </w:tcBorders>
            <w:shd w:val="clear" w:color="auto" w:fill="92CDDC"/>
          </w:tcPr>
          <w:p>
            <w:pPr>
              <w:pStyle w:val="TableParagraph"/>
              <w:spacing w:line="248" w:lineRule="exact"/>
              <w:rPr>
                <w:b/>
                <w:sz w:val="22"/>
              </w:rPr>
            </w:pPr>
            <w:r>
              <w:rPr>
                <w:b/>
                <w:sz w:val="22"/>
              </w:rPr>
              <w:t>¿Existen problemas por el agua de</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2"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2" w:lineRule="exact"/>
              <w:rPr>
                <w:b/>
                <w:sz w:val="22"/>
              </w:rPr>
            </w:pPr>
            <w:r>
              <w:rPr>
                <w:b/>
                <w:sz w:val="22"/>
              </w:rPr>
              <w:t>nació?</w:t>
            </w:r>
          </w:p>
        </w:tc>
        <w:tc>
          <w:tcPr>
            <w:tcW w:w="1174" w:type="dxa"/>
            <w:tcBorders>
              <w:top w:val="nil"/>
              <w:bottom w:val="nil"/>
            </w:tcBorders>
            <w:shd w:val="clear" w:color="auto" w:fill="92CDDC"/>
          </w:tcPr>
          <w:p>
            <w:pPr>
              <w:pStyle w:val="TableParagraph"/>
              <w:spacing w:line="242" w:lineRule="exact"/>
              <w:rPr>
                <w:b/>
                <w:sz w:val="22"/>
              </w:rPr>
            </w:pPr>
            <w:r>
              <w:rPr>
                <w:b/>
                <w:sz w:val="22"/>
              </w:rPr>
              <w:t>vive?</w:t>
            </w:r>
          </w:p>
        </w:tc>
        <w:tc>
          <w:tcPr>
            <w:tcW w:w="2314" w:type="dxa"/>
            <w:tcBorders>
              <w:top w:val="nil"/>
              <w:bottom w:val="nil"/>
            </w:tcBorders>
            <w:shd w:val="clear" w:color="auto" w:fill="92CDDC"/>
          </w:tcPr>
          <w:p>
            <w:pPr>
              <w:pStyle w:val="TableParagraph"/>
              <w:tabs>
                <w:tab w:pos="1945" w:val="left" w:leader="none"/>
              </w:tabs>
              <w:spacing w:line="242" w:lineRule="exact"/>
              <w:ind w:left="100"/>
              <w:rPr>
                <w:b/>
                <w:sz w:val="22"/>
              </w:rPr>
            </w:pPr>
            <w:r>
              <w:rPr>
                <w:b/>
                <w:sz w:val="22"/>
              </w:rPr>
              <w:t>realiza</w:t>
              <w:tab/>
              <w:t>su</w:t>
            </w:r>
          </w:p>
        </w:tc>
        <w:tc>
          <w:tcPr>
            <w:tcW w:w="3901" w:type="dxa"/>
            <w:tcBorders>
              <w:top w:val="nil"/>
              <w:bottom w:val="nil"/>
            </w:tcBorders>
            <w:shd w:val="clear" w:color="auto" w:fill="92CDDC"/>
          </w:tcPr>
          <w:p>
            <w:pPr>
              <w:pStyle w:val="TableParagraph"/>
              <w:spacing w:line="242" w:lineRule="exact"/>
              <w:rPr>
                <w:b/>
                <w:sz w:val="22"/>
              </w:rPr>
            </w:pPr>
            <w:r>
              <w:rPr>
                <w:b/>
                <w:sz w:val="22"/>
              </w:rPr>
              <w:t>la  laguna  de  Huapango  entre los</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1" w:lineRule="exact"/>
              <w:ind w:left="100"/>
              <w:rPr>
                <w:b/>
                <w:sz w:val="22"/>
              </w:rPr>
            </w:pPr>
            <w:r>
              <w:rPr>
                <w:b/>
                <w:sz w:val="22"/>
              </w:rPr>
              <w:t>municipio  para que</w:t>
            </w:r>
          </w:p>
        </w:tc>
        <w:tc>
          <w:tcPr>
            <w:tcW w:w="3901" w:type="dxa"/>
            <w:tcBorders>
              <w:top w:val="nil"/>
              <w:bottom w:val="nil"/>
            </w:tcBorders>
            <w:shd w:val="clear" w:color="auto" w:fill="92CDDC"/>
          </w:tcPr>
          <w:p>
            <w:pPr>
              <w:pStyle w:val="TableParagraph"/>
              <w:spacing w:line="241" w:lineRule="exact"/>
              <w:rPr>
                <w:b/>
                <w:sz w:val="22"/>
              </w:rPr>
            </w:pPr>
            <w:r>
              <w:rPr>
                <w:b/>
                <w:sz w:val="22"/>
              </w:rPr>
              <w:t>habitantes  de  los  municipios que</w:t>
            </w: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2" w:lineRule="exact"/>
              <w:ind w:left="100"/>
              <w:rPr>
                <w:b/>
                <w:sz w:val="22"/>
              </w:rPr>
            </w:pPr>
            <w:r>
              <w:rPr>
                <w:b/>
                <w:sz w:val="22"/>
              </w:rPr>
              <w:t>no   se  deteriore  la</w:t>
            </w:r>
          </w:p>
        </w:tc>
        <w:tc>
          <w:tcPr>
            <w:tcW w:w="3901" w:type="dxa"/>
            <w:tcBorders>
              <w:top w:val="nil"/>
              <w:bottom w:val="nil"/>
            </w:tcBorders>
            <w:shd w:val="clear" w:color="auto" w:fill="92CDDC"/>
          </w:tcPr>
          <w:p>
            <w:pPr>
              <w:pStyle w:val="TableParagraph"/>
              <w:spacing w:line="242" w:lineRule="exact"/>
              <w:rPr>
                <w:b/>
                <w:sz w:val="22"/>
              </w:rPr>
            </w:pPr>
            <w:r>
              <w:rPr>
                <w:b/>
                <w:sz w:val="22"/>
              </w:rPr>
              <w:t>se benefician de ella?</w:t>
            </w:r>
          </w:p>
        </w:tc>
      </w:tr>
      <w:tr>
        <w:trPr>
          <w:trHeight w:val="252"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945" w:val="left" w:leader="none"/>
              </w:tabs>
              <w:spacing w:line="241" w:lineRule="exact"/>
              <w:ind w:left="100"/>
              <w:rPr>
                <w:b/>
                <w:sz w:val="22"/>
              </w:rPr>
            </w:pPr>
            <w:r>
              <w:rPr>
                <w:b/>
                <w:sz w:val="22"/>
              </w:rPr>
              <w:t>laguna</w:t>
              <w:tab/>
              <w:t>de</w:t>
            </w:r>
          </w:p>
        </w:tc>
        <w:tc>
          <w:tcPr>
            <w:tcW w:w="3901"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Huapango?</w:t>
            </w:r>
          </w:p>
        </w:tc>
        <w:tc>
          <w:tcPr>
            <w:tcW w:w="3901"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Edgar</w:t>
            </w:r>
          </w:p>
        </w:tc>
        <w:tc>
          <w:tcPr>
            <w:tcW w:w="1274" w:type="dxa"/>
            <w:tcBorders>
              <w:bottom w:val="nil"/>
            </w:tcBorders>
          </w:tcPr>
          <w:p>
            <w:pPr>
              <w:pStyle w:val="TableParagraph"/>
              <w:spacing w:line="251" w:lineRule="exact"/>
              <w:ind w:left="100" w:right="98"/>
              <w:rPr>
                <w:sz w:val="22"/>
              </w:rPr>
            </w:pPr>
            <w:r>
              <w:rPr>
                <w:sz w:val="22"/>
              </w:rPr>
              <w:t>Abogado</w:t>
            </w:r>
          </w:p>
        </w:tc>
        <w:tc>
          <w:tcPr>
            <w:tcW w:w="1887" w:type="dxa"/>
            <w:tcBorders>
              <w:bottom w:val="nil"/>
            </w:tcBorders>
          </w:tcPr>
          <w:p>
            <w:pPr>
              <w:pStyle w:val="TableParagraph"/>
              <w:spacing w:line="251" w:lineRule="exact"/>
              <w:ind w:left="410"/>
              <w:rPr>
                <w:sz w:val="22"/>
              </w:rPr>
            </w:pPr>
            <w:r>
              <w:rPr>
                <w:sz w:val="22"/>
              </w:rPr>
              <w:t>Presidente</w:t>
            </w:r>
          </w:p>
        </w:tc>
        <w:tc>
          <w:tcPr>
            <w:tcW w:w="1289" w:type="dxa"/>
            <w:tcBorders>
              <w:bottom w:val="nil"/>
            </w:tcBorders>
          </w:tcPr>
          <w:p>
            <w:pPr>
              <w:pStyle w:val="TableParagraph"/>
              <w:spacing w:line="251" w:lineRule="exact"/>
              <w:rPr>
                <w:sz w:val="22"/>
              </w:rPr>
            </w:pPr>
            <w:r>
              <w:rPr>
                <w:sz w:val="22"/>
              </w:rPr>
              <w:t>Jilotepec</w:t>
            </w:r>
          </w:p>
        </w:tc>
        <w:tc>
          <w:tcPr>
            <w:tcW w:w="1174" w:type="dxa"/>
            <w:tcBorders>
              <w:bottom w:val="nil"/>
            </w:tcBorders>
          </w:tcPr>
          <w:p>
            <w:pPr>
              <w:pStyle w:val="TableParagraph"/>
              <w:spacing w:line="251" w:lineRule="exact"/>
              <w:rPr>
                <w:sz w:val="22"/>
              </w:rPr>
            </w:pPr>
            <w:r>
              <w:rPr>
                <w:sz w:val="22"/>
              </w:rPr>
              <w:t>Jilotepec</w:t>
            </w:r>
          </w:p>
        </w:tc>
        <w:tc>
          <w:tcPr>
            <w:tcW w:w="2314" w:type="dxa"/>
            <w:tcBorders>
              <w:bottom w:val="nil"/>
            </w:tcBorders>
          </w:tcPr>
          <w:p>
            <w:pPr>
              <w:pStyle w:val="TableParagraph"/>
              <w:spacing w:line="251" w:lineRule="exact"/>
              <w:ind w:left="100"/>
              <w:rPr>
                <w:sz w:val="22"/>
              </w:rPr>
            </w:pPr>
            <w:r>
              <w:rPr>
                <w:sz w:val="22"/>
              </w:rPr>
              <w:t>Muy poco  porque no</w:t>
            </w:r>
          </w:p>
        </w:tc>
        <w:tc>
          <w:tcPr>
            <w:tcW w:w="3901" w:type="dxa"/>
            <w:tcBorders>
              <w:bottom w:val="nil"/>
            </w:tcBorders>
          </w:tcPr>
          <w:p>
            <w:pPr>
              <w:pStyle w:val="TableParagraph"/>
              <w:spacing w:line="251" w:lineRule="exact"/>
              <w:rPr>
                <w:sz w:val="22"/>
              </w:rPr>
            </w:pPr>
            <w:r>
              <w:rPr>
                <w:sz w:val="22"/>
              </w:rPr>
              <w:t>Que   sepa   no,   hace   tiempo</w:t>
            </w:r>
            <w:r>
              <w:rPr>
                <w:spacing w:val="60"/>
                <w:sz w:val="22"/>
              </w:rPr>
              <w:t> </w:t>
            </w:r>
            <w:r>
              <w:rPr>
                <w:sz w:val="22"/>
              </w:rPr>
              <w:t>hubo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Castillo</w:t>
            </w:r>
          </w:p>
        </w:tc>
        <w:tc>
          <w:tcPr>
            <w:tcW w:w="1274" w:type="dxa"/>
            <w:tcBorders>
              <w:top w:val="nil"/>
              <w:bottom w:val="nil"/>
            </w:tcBorders>
          </w:tcPr>
          <w:p>
            <w:pP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tenemos</w:t>
            </w:r>
          </w:p>
        </w:tc>
        <w:tc>
          <w:tcPr>
            <w:tcW w:w="3901" w:type="dxa"/>
            <w:tcBorders>
              <w:top w:val="nil"/>
              <w:bottom w:val="nil"/>
            </w:tcBorders>
          </w:tcPr>
          <w:p>
            <w:pPr>
              <w:pStyle w:val="TableParagraph"/>
              <w:spacing w:line="241" w:lineRule="exact"/>
              <w:rPr>
                <w:sz w:val="22"/>
              </w:rPr>
            </w:pPr>
            <w:r>
              <w:rPr>
                <w:sz w:val="22"/>
              </w:rPr>
              <w:t>brotes sociales en los dirigentes    del</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796" w:val="left" w:leader="none"/>
              </w:tabs>
              <w:spacing w:line="242" w:lineRule="exact"/>
              <w:ind w:left="100"/>
              <w:rPr>
                <w:sz w:val="22"/>
              </w:rPr>
            </w:pPr>
            <w:r>
              <w:rPr>
                <w:sz w:val="22"/>
              </w:rPr>
              <w:t>participación,</w:t>
              <w:tab/>
              <w:t>sólo</w:t>
            </w:r>
          </w:p>
        </w:tc>
        <w:tc>
          <w:tcPr>
            <w:tcW w:w="3901" w:type="dxa"/>
            <w:tcBorders>
              <w:top w:val="nil"/>
              <w:bottom w:val="nil"/>
            </w:tcBorders>
          </w:tcPr>
          <w:p>
            <w:pPr>
              <w:pStyle w:val="TableParagraph"/>
              <w:spacing w:line="242" w:lineRule="exact"/>
              <w:rPr>
                <w:sz w:val="22"/>
              </w:rPr>
            </w:pPr>
            <w:r>
              <w:rPr>
                <w:sz w:val="22"/>
              </w:rPr>
              <w:t>distrito de riego.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99" w:val="left" w:leader="none"/>
              </w:tabs>
              <w:spacing w:line="241" w:lineRule="exact"/>
              <w:ind w:left="100"/>
              <w:rPr>
                <w:sz w:val="22"/>
              </w:rPr>
            </w:pPr>
            <w:r>
              <w:rPr>
                <w:sz w:val="22"/>
              </w:rPr>
              <w:t>acciones</w:t>
              <w:tab/>
              <w:t>indirectas,</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rPr>
                <w:sz w:val="22"/>
              </w:rPr>
            </w:pPr>
            <w:r>
              <w:rPr>
                <w:sz w:val="22"/>
              </w:rPr>
              <w:t>(29/8/2014)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540" w:val="left" w:leader="none"/>
              </w:tabs>
              <w:spacing w:line="242" w:lineRule="exact"/>
              <w:ind w:left="100"/>
              <w:rPr>
                <w:sz w:val="22"/>
              </w:rPr>
            </w:pPr>
            <w:r>
              <w:rPr>
                <w:sz w:val="22"/>
              </w:rPr>
              <w:t>les</w:t>
              <w:tab/>
              <w:t>hemos</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80" w:val="left" w:leader="none"/>
              </w:tabs>
              <w:spacing w:line="241" w:lineRule="exact"/>
              <w:ind w:left="100"/>
              <w:rPr>
                <w:sz w:val="22"/>
              </w:rPr>
            </w:pPr>
            <w:r>
              <w:rPr>
                <w:sz w:val="22"/>
              </w:rPr>
              <w:t>proporcionado</w:t>
              <w:tab/>
              <w:t>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56" w:val="left" w:leader="none"/>
              </w:tabs>
              <w:spacing w:line="241" w:lineRule="exact"/>
              <w:ind w:left="100"/>
              <w:rPr>
                <w:sz w:val="22"/>
              </w:rPr>
            </w:pPr>
            <w:r>
              <w:rPr>
                <w:sz w:val="22"/>
              </w:rPr>
              <w:t>algunos</w:t>
              <w:tab/>
              <w:t>vecinos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91" w:val="left" w:leader="none"/>
              </w:tabs>
              <w:spacing w:line="242" w:lineRule="exact"/>
              <w:ind w:left="100"/>
              <w:rPr>
                <w:sz w:val="22"/>
              </w:rPr>
            </w:pPr>
            <w:r>
              <w:rPr>
                <w:sz w:val="22"/>
              </w:rPr>
              <w:t>biodigestores</w:t>
              <w:tab/>
              <w:t>y</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letrinas.</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left="208" w:right="127"/>
              <w:rPr>
                <w:sz w:val="22"/>
              </w:rPr>
            </w:pPr>
            <w:r>
              <w:rPr>
                <w:sz w:val="22"/>
              </w:rPr>
              <w:t>Francisco</w:t>
            </w:r>
          </w:p>
        </w:tc>
        <w:tc>
          <w:tcPr>
            <w:tcW w:w="1274" w:type="dxa"/>
            <w:tcBorders>
              <w:bottom w:val="nil"/>
            </w:tcBorders>
          </w:tcPr>
          <w:p>
            <w:pPr>
              <w:pStyle w:val="TableParagraph"/>
              <w:spacing w:line="251" w:lineRule="exact"/>
              <w:ind w:left="100" w:right="98"/>
              <w:rPr>
                <w:sz w:val="22"/>
              </w:rPr>
            </w:pPr>
            <w:r>
              <w:rPr>
                <w:sz w:val="22"/>
              </w:rPr>
              <w:t>Profesor</w:t>
            </w: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Axochiapa</w:t>
            </w:r>
          </w:p>
        </w:tc>
        <w:tc>
          <w:tcPr>
            <w:tcW w:w="1174" w:type="dxa"/>
            <w:tcBorders>
              <w:bottom w:val="nil"/>
            </w:tcBorders>
          </w:tcPr>
          <w:p>
            <w:pPr>
              <w:pStyle w:val="TableParagraph"/>
              <w:spacing w:line="251" w:lineRule="exact"/>
              <w:rPr>
                <w:sz w:val="22"/>
              </w:rPr>
            </w:pPr>
            <w:r>
              <w:rPr>
                <w:sz w:val="22"/>
              </w:rPr>
              <w:t>Jilotepec</w:t>
            </w:r>
          </w:p>
        </w:tc>
        <w:tc>
          <w:tcPr>
            <w:tcW w:w="2314" w:type="dxa"/>
            <w:tcBorders>
              <w:bottom w:val="nil"/>
            </w:tcBorders>
          </w:tcPr>
          <w:p>
            <w:pPr>
              <w:pStyle w:val="TableParagraph"/>
              <w:tabs>
                <w:tab w:pos="899" w:val="left" w:leader="none"/>
                <w:tab w:pos="1957" w:val="left" w:leader="none"/>
              </w:tabs>
              <w:spacing w:line="251" w:lineRule="exact"/>
              <w:ind w:left="100"/>
              <w:rPr>
                <w:sz w:val="22"/>
              </w:rPr>
            </w:pPr>
            <w:r>
              <w:rPr>
                <w:sz w:val="22"/>
              </w:rPr>
              <w:t>Por</w:t>
              <w:tab/>
              <w:t>medio</w:t>
              <w:tab/>
              <w:t>de</w:t>
            </w:r>
          </w:p>
        </w:tc>
        <w:tc>
          <w:tcPr>
            <w:tcW w:w="3901" w:type="dxa"/>
            <w:tcBorders>
              <w:bottom w:val="nil"/>
            </w:tcBorders>
          </w:tcPr>
          <w:p>
            <w:pPr>
              <w:pStyle w:val="TableParagraph"/>
              <w:spacing w:line="251" w:lineRule="exact"/>
              <w:rPr>
                <w:sz w:val="22"/>
              </w:rPr>
            </w:pPr>
            <w:r>
              <w:rPr>
                <w:sz w:val="22"/>
              </w:rPr>
              <w:t>Hasta  ahorita  no,  pero  si seguimos</w:t>
            </w:r>
          </w:p>
        </w:tc>
      </w:tr>
      <w:tr>
        <w:trPr>
          <w:trHeight w:val="253" w:hRule="exact"/>
        </w:trPr>
        <w:tc>
          <w:tcPr>
            <w:tcW w:w="1385" w:type="dxa"/>
            <w:tcBorders>
              <w:top w:val="nil"/>
              <w:bottom w:val="nil"/>
            </w:tcBorders>
          </w:tcPr>
          <w:p>
            <w:pPr>
              <w:pStyle w:val="TableParagraph"/>
              <w:spacing w:line="241" w:lineRule="exact"/>
              <w:ind w:left="331" w:right="127"/>
              <w:rPr>
                <w:sz w:val="22"/>
              </w:rPr>
            </w:pPr>
            <w:r>
              <w:rPr>
                <w:sz w:val="22"/>
              </w:rPr>
              <w:t>Gómez</w:t>
            </w:r>
          </w:p>
        </w:tc>
        <w:tc>
          <w:tcPr>
            <w:tcW w:w="1274" w:type="dxa"/>
            <w:tcBorders>
              <w:top w:val="nil"/>
              <w:bottom w:val="nil"/>
            </w:tcBorders>
          </w:tcPr>
          <w:p>
            <w:pPr>
              <w:pStyle w:val="TableParagraph"/>
              <w:spacing w:line="241" w:lineRule="exact"/>
              <w:ind w:left="100" w:right="98"/>
              <w:rPr>
                <w:sz w:val="22"/>
              </w:rPr>
            </w:pPr>
            <w:r>
              <w:rPr>
                <w:sz w:val="22"/>
              </w:rPr>
              <w:t>de</w:t>
            </w:r>
          </w:p>
        </w:tc>
        <w:tc>
          <w:tcPr>
            <w:tcW w:w="1887" w:type="dxa"/>
            <w:tcBorders>
              <w:top w:val="nil"/>
              <w:bottom w:val="nil"/>
            </w:tcBorders>
          </w:tcPr>
          <w:p>
            <w:pPr>
              <w:pStyle w:val="TableParagraph"/>
              <w:spacing w:line="241" w:lineRule="exact"/>
              <w:rPr>
                <w:sz w:val="22"/>
              </w:rPr>
            </w:pPr>
            <w:r>
              <w:rPr>
                <w:sz w:val="22"/>
              </w:rPr>
              <w:t>Encargado de la</w:t>
            </w:r>
          </w:p>
        </w:tc>
        <w:tc>
          <w:tcPr>
            <w:tcW w:w="1289" w:type="dxa"/>
            <w:tcBorders>
              <w:top w:val="nil"/>
              <w:bottom w:val="nil"/>
            </w:tcBorders>
          </w:tcPr>
          <w:p>
            <w:pPr>
              <w:pStyle w:val="TableParagraph"/>
              <w:spacing w:line="241" w:lineRule="exact"/>
              <w:rPr>
                <w:sz w:val="22"/>
              </w:rPr>
            </w:pPr>
            <w:r>
              <w:rPr>
                <w:sz w:val="22"/>
              </w:rPr>
              <w:t>n, Morelos</w:t>
            </w: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Sedagro  capacitar  a</w:t>
            </w:r>
          </w:p>
        </w:tc>
        <w:tc>
          <w:tcPr>
            <w:tcW w:w="3901" w:type="dxa"/>
            <w:tcBorders>
              <w:top w:val="nil"/>
              <w:bottom w:val="nil"/>
            </w:tcBorders>
          </w:tcPr>
          <w:p>
            <w:pPr>
              <w:pStyle w:val="TableParagraph"/>
              <w:spacing w:line="241" w:lineRule="exact"/>
              <w:rPr>
                <w:sz w:val="22"/>
              </w:rPr>
            </w:pPr>
            <w:r>
              <w:rPr>
                <w:sz w:val="22"/>
              </w:rPr>
              <w:t>así, quién sabe.</w:t>
            </w:r>
          </w:p>
        </w:tc>
      </w:tr>
      <w:tr>
        <w:trPr>
          <w:trHeight w:val="253" w:hRule="exact"/>
        </w:trPr>
        <w:tc>
          <w:tcPr>
            <w:tcW w:w="1385" w:type="dxa"/>
            <w:tcBorders>
              <w:top w:val="nil"/>
              <w:bottom w:val="nil"/>
            </w:tcBorders>
          </w:tcPr>
          <w:p>
            <w:pPr>
              <w:pStyle w:val="TableParagraph"/>
              <w:spacing w:line="242" w:lineRule="exact"/>
              <w:ind w:left="405" w:right="127"/>
              <w:rPr>
                <w:sz w:val="22"/>
              </w:rPr>
            </w:pPr>
            <w:r>
              <w:rPr>
                <w:sz w:val="22"/>
              </w:rPr>
              <w:t>Marín</w:t>
            </w:r>
          </w:p>
        </w:tc>
        <w:tc>
          <w:tcPr>
            <w:tcW w:w="1274" w:type="dxa"/>
            <w:tcBorders>
              <w:top w:val="nil"/>
              <w:bottom w:val="nil"/>
            </w:tcBorders>
          </w:tcPr>
          <w:p>
            <w:pPr>
              <w:pStyle w:val="TableParagraph"/>
              <w:spacing w:line="242" w:lineRule="exact"/>
              <w:ind w:left="100" w:right="98"/>
              <w:rPr>
                <w:sz w:val="22"/>
              </w:rPr>
            </w:pPr>
            <w:r>
              <w:rPr>
                <w:sz w:val="22"/>
              </w:rPr>
              <w:t>Primaria</w:t>
            </w:r>
          </w:p>
        </w:tc>
        <w:tc>
          <w:tcPr>
            <w:tcW w:w="1887" w:type="dxa"/>
            <w:tcBorders>
              <w:top w:val="nil"/>
              <w:bottom w:val="nil"/>
            </w:tcBorders>
          </w:tcPr>
          <w:p>
            <w:pPr>
              <w:pStyle w:val="TableParagraph"/>
              <w:spacing w:line="242" w:lineRule="exact"/>
              <w:rPr>
                <w:sz w:val="22"/>
              </w:rPr>
            </w:pPr>
            <w:r>
              <w:rPr>
                <w:sz w:val="22"/>
              </w:rPr>
              <w:t>Comisión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los   que   utilizan   el</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92" w:val="left" w:leader="none"/>
              </w:tabs>
              <w:spacing w:line="241" w:lineRule="exact"/>
              <w:ind w:left="100"/>
              <w:rPr>
                <w:sz w:val="22"/>
              </w:rPr>
            </w:pPr>
            <w:r>
              <w:rPr>
                <w:sz w:val="22"/>
              </w:rPr>
              <w:t>agua</w:t>
              <w:tab/>
              <w:t>y</w:t>
            </w: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ind w:left="124"/>
              <w:rPr>
                <w:sz w:val="22"/>
              </w:rPr>
            </w:pPr>
            <w:r>
              <w:rPr>
                <w:sz w:val="22"/>
              </w:rPr>
              <w:t>(29/8/2014)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Agropecuario</w:t>
            </w: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organizándolos.</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left="376" w:right="127"/>
              <w:rPr>
                <w:sz w:val="22"/>
              </w:rPr>
            </w:pPr>
            <w:r>
              <w:rPr>
                <w:sz w:val="22"/>
              </w:rPr>
              <w:t>Daniel</w:t>
            </w:r>
          </w:p>
        </w:tc>
        <w:tc>
          <w:tcPr>
            <w:tcW w:w="1274" w:type="dxa"/>
            <w:tcBorders>
              <w:bottom w:val="nil"/>
            </w:tcBorders>
          </w:tcPr>
          <w:p>
            <w:pPr>
              <w:pStyle w:val="TableParagraph"/>
              <w:spacing w:line="251" w:lineRule="exact"/>
              <w:ind w:left="100" w:right="98"/>
              <w:rPr>
                <w:sz w:val="22"/>
              </w:rPr>
            </w:pPr>
            <w:r>
              <w:rPr>
                <w:sz w:val="22"/>
              </w:rPr>
              <w:t>Ingeniería</w:t>
            </w:r>
          </w:p>
        </w:tc>
        <w:tc>
          <w:tcPr>
            <w:tcW w:w="1887" w:type="dxa"/>
            <w:tcBorders>
              <w:bottom w:val="nil"/>
            </w:tcBorders>
          </w:tcPr>
          <w:p>
            <w:pPr>
              <w:pStyle w:val="TableParagraph"/>
              <w:spacing w:line="251" w:lineRule="exact"/>
              <w:rPr>
                <w:sz w:val="22"/>
              </w:rPr>
            </w:pPr>
            <w:r>
              <w:rPr>
                <w:sz w:val="22"/>
              </w:rPr>
              <w:t>Décimo Regidor.</w:t>
            </w:r>
          </w:p>
        </w:tc>
        <w:tc>
          <w:tcPr>
            <w:tcW w:w="1289" w:type="dxa"/>
            <w:tcBorders>
              <w:bottom w:val="nil"/>
            </w:tcBorders>
          </w:tcPr>
          <w:p>
            <w:pPr>
              <w:pStyle w:val="TableParagraph"/>
              <w:spacing w:line="251" w:lineRule="exact"/>
              <w:ind w:left="295"/>
              <w:rPr>
                <w:sz w:val="22"/>
              </w:rPr>
            </w:pPr>
            <w:r>
              <w:rPr>
                <w:sz w:val="22"/>
              </w:rPr>
              <w:t>Distrito</w:t>
            </w:r>
          </w:p>
        </w:tc>
        <w:tc>
          <w:tcPr>
            <w:tcW w:w="1174" w:type="dxa"/>
            <w:tcBorders>
              <w:bottom w:val="nil"/>
            </w:tcBorders>
          </w:tcPr>
          <w:p>
            <w:pPr>
              <w:pStyle w:val="TableParagraph"/>
              <w:spacing w:line="251" w:lineRule="exact"/>
              <w:rPr>
                <w:sz w:val="22"/>
              </w:rPr>
            </w:pPr>
            <w:r>
              <w:rPr>
                <w:sz w:val="22"/>
              </w:rPr>
              <w:t>Jilotepec</w:t>
            </w:r>
          </w:p>
        </w:tc>
        <w:tc>
          <w:tcPr>
            <w:tcW w:w="2314" w:type="dxa"/>
            <w:tcBorders>
              <w:bottom w:val="nil"/>
            </w:tcBorders>
          </w:tcPr>
          <w:p>
            <w:pPr>
              <w:pStyle w:val="TableParagraph"/>
              <w:tabs>
                <w:tab w:pos="717" w:val="left" w:leader="none"/>
                <w:tab w:pos="1346" w:val="left" w:leader="none"/>
              </w:tabs>
              <w:spacing w:line="251" w:lineRule="exact"/>
              <w:ind w:left="100"/>
              <w:rPr>
                <w:sz w:val="22"/>
              </w:rPr>
            </w:pPr>
            <w:r>
              <w:rPr>
                <w:sz w:val="22"/>
              </w:rPr>
              <w:t>En</w:t>
              <w:tab/>
              <w:t>los</w:t>
              <w:tab/>
              <w:t>represos</w:t>
            </w:r>
          </w:p>
        </w:tc>
        <w:tc>
          <w:tcPr>
            <w:tcW w:w="3901" w:type="dxa"/>
            <w:tcBorders>
              <w:bottom w:val="nil"/>
            </w:tcBorders>
          </w:tcPr>
          <w:p>
            <w:pPr>
              <w:pStyle w:val="TableParagraph"/>
              <w:spacing w:line="251" w:lineRule="exact"/>
              <w:rPr>
                <w:sz w:val="22"/>
              </w:rPr>
            </w:pPr>
            <w:r>
              <w:rPr>
                <w:sz w:val="22"/>
              </w:rPr>
              <w:t>Tengo entendido que algunos por   el</w:t>
            </w:r>
          </w:p>
        </w:tc>
      </w:tr>
      <w:tr>
        <w:trPr>
          <w:trHeight w:val="253" w:hRule="exact"/>
        </w:trPr>
        <w:tc>
          <w:tcPr>
            <w:tcW w:w="1385" w:type="dxa"/>
            <w:tcBorders>
              <w:top w:val="nil"/>
              <w:bottom w:val="nil"/>
            </w:tcBorders>
          </w:tcPr>
          <w:p>
            <w:pPr>
              <w:pStyle w:val="TableParagraph"/>
              <w:spacing w:line="241" w:lineRule="exact"/>
              <w:ind w:left="227" w:right="127"/>
              <w:rPr>
                <w:sz w:val="22"/>
              </w:rPr>
            </w:pPr>
            <w:r>
              <w:rPr>
                <w:sz w:val="22"/>
              </w:rPr>
              <w:t>Arciniega</w:t>
            </w:r>
          </w:p>
        </w:tc>
        <w:tc>
          <w:tcPr>
            <w:tcW w:w="1274" w:type="dxa"/>
            <w:tcBorders>
              <w:top w:val="nil"/>
              <w:bottom w:val="nil"/>
            </w:tcBorders>
          </w:tcPr>
          <w:p>
            <w:pPr>
              <w:pStyle w:val="TableParagraph"/>
              <w:spacing w:line="241" w:lineRule="exact"/>
              <w:ind w:left="100" w:right="98"/>
              <w:rPr>
                <w:sz w:val="22"/>
              </w:rPr>
            </w:pPr>
            <w:r>
              <w:rPr>
                <w:sz w:val="22"/>
              </w:rPr>
              <w:t>Industrial</w:t>
            </w:r>
          </w:p>
        </w:tc>
        <w:tc>
          <w:tcPr>
            <w:tcW w:w="1887" w:type="dxa"/>
            <w:tcBorders>
              <w:top w:val="nil"/>
              <w:bottom w:val="nil"/>
            </w:tcBorders>
          </w:tcPr>
          <w:p>
            <w:pPr>
              <w:pStyle w:val="TableParagraph"/>
              <w:spacing w:line="241" w:lineRule="exact"/>
              <w:rPr>
                <w:sz w:val="22"/>
              </w:rPr>
            </w:pPr>
            <w:r>
              <w:rPr>
                <w:sz w:val="22"/>
              </w:rPr>
              <w:t>Encargado  de la</w:t>
            </w:r>
          </w:p>
        </w:tc>
        <w:tc>
          <w:tcPr>
            <w:tcW w:w="1289" w:type="dxa"/>
            <w:tcBorders>
              <w:top w:val="nil"/>
              <w:bottom w:val="nil"/>
            </w:tcBorders>
          </w:tcPr>
          <w:p>
            <w:pPr>
              <w:pStyle w:val="TableParagraph"/>
              <w:spacing w:line="241" w:lineRule="exact"/>
              <w:ind w:left="266"/>
              <w:rPr>
                <w:sz w:val="22"/>
              </w:rPr>
            </w:pPr>
            <w:r>
              <w:rPr>
                <w:sz w:val="22"/>
              </w:rPr>
              <w:t>Federal</w:t>
            </w:r>
          </w:p>
        </w:tc>
        <w:tc>
          <w:tcPr>
            <w:tcW w:w="1174" w:type="dxa"/>
            <w:tcBorders>
              <w:top w:val="nil"/>
              <w:bottom w:val="nil"/>
            </w:tcBorders>
          </w:tcPr>
          <w:p>
            <w:pPr/>
          </w:p>
        </w:tc>
        <w:tc>
          <w:tcPr>
            <w:tcW w:w="2314" w:type="dxa"/>
            <w:tcBorders>
              <w:top w:val="nil"/>
              <w:bottom w:val="nil"/>
            </w:tcBorders>
          </w:tcPr>
          <w:p>
            <w:pPr>
              <w:pStyle w:val="TableParagraph"/>
              <w:tabs>
                <w:tab w:pos="1382" w:val="left" w:leader="none"/>
              </w:tabs>
              <w:spacing w:line="241" w:lineRule="exact"/>
              <w:ind w:left="100"/>
              <w:rPr>
                <w:sz w:val="22"/>
              </w:rPr>
            </w:pPr>
            <w:r>
              <w:rPr>
                <w:sz w:val="22"/>
              </w:rPr>
              <w:t>chicos</w:t>
              <w:tab/>
              <w:t>(bordos)</w:t>
            </w:r>
          </w:p>
        </w:tc>
        <w:tc>
          <w:tcPr>
            <w:tcW w:w="3901" w:type="dxa"/>
            <w:tcBorders>
              <w:top w:val="nil"/>
              <w:bottom w:val="nil"/>
            </w:tcBorders>
          </w:tcPr>
          <w:p>
            <w:pPr>
              <w:pStyle w:val="TableParagraph"/>
              <w:spacing w:line="241" w:lineRule="exact"/>
              <w:rPr>
                <w:sz w:val="22"/>
              </w:rPr>
            </w:pPr>
            <w:r>
              <w:rPr>
                <w:sz w:val="22"/>
              </w:rPr>
              <w:t>riego y otros porque desperdician  </w:t>
            </w:r>
            <w:r>
              <w:rPr>
                <w:spacing w:val="54"/>
                <w:sz w:val="22"/>
              </w:rPr>
              <w:t> </w:t>
            </w:r>
            <w:r>
              <w:rPr>
                <w:sz w:val="22"/>
              </w:rPr>
              <w:t>el</w:t>
            </w:r>
          </w:p>
        </w:tc>
      </w:tr>
      <w:tr>
        <w:trPr>
          <w:trHeight w:val="253" w:hRule="exact"/>
        </w:trPr>
        <w:tc>
          <w:tcPr>
            <w:tcW w:w="1385" w:type="dxa"/>
            <w:tcBorders>
              <w:top w:val="nil"/>
              <w:bottom w:val="nil"/>
            </w:tcBorders>
          </w:tcPr>
          <w:p>
            <w:pPr>
              <w:pStyle w:val="TableParagraph"/>
              <w:spacing w:line="242" w:lineRule="exact"/>
              <w:ind w:left="227" w:right="127"/>
              <w:rPr>
                <w:sz w:val="22"/>
              </w:rPr>
            </w:pPr>
            <w:r>
              <w:rPr>
                <w:sz w:val="22"/>
              </w:rPr>
              <w:t>Sandoval</w:t>
            </w:r>
          </w:p>
        </w:tc>
        <w:tc>
          <w:tcPr>
            <w:tcW w:w="1274" w:type="dxa"/>
            <w:tcBorders>
              <w:top w:val="nil"/>
              <w:bottom w:val="nil"/>
            </w:tcBorders>
          </w:tcPr>
          <w:p>
            <w:pPr>
              <w:pStyle w:val="TableParagraph"/>
              <w:spacing w:line="242" w:lineRule="exact"/>
              <w:ind w:left="100" w:right="98"/>
              <w:rPr>
                <w:sz w:val="22"/>
              </w:rPr>
            </w:pPr>
            <w:r>
              <w:rPr>
                <w:sz w:val="22"/>
              </w:rPr>
              <w:t>Textil</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15" w:val="left" w:leader="none"/>
                <w:tab w:pos="1503" w:val="left" w:leader="none"/>
              </w:tabs>
              <w:spacing w:line="242" w:lineRule="exact"/>
              <w:ind w:left="100"/>
              <w:rPr>
                <w:sz w:val="22"/>
              </w:rPr>
            </w:pPr>
            <w:r>
              <w:rPr>
                <w:sz w:val="22"/>
              </w:rPr>
              <w:t>quitaron</w:t>
              <w:tab/>
              <w:t>el</w:t>
              <w:tab/>
              <w:t>azolve,</w:t>
            </w:r>
          </w:p>
        </w:tc>
        <w:tc>
          <w:tcPr>
            <w:tcW w:w="3901" w:type="dxa"/>
            <w:tcBorders>
              <w:top w:val="nil"/>
              <w:bottom w:val="nil"/>
            </w:tcBorders>
          </w:tcPr>
          <w:p>
            <w:pPr>
              <w:pStyle w:val="TableParagraph"/>
              <w:spacing w:line="242" w:lineRule="exact"/>
              <w:rPr>
                <w:sz w:val="22"/>
              </w:rPr>
            </w:pPr>
            <w:r>
              <w:rPr>
                <w:sz w:val="22"/>
              </w:rPr>
              <w:t>agua, no hay una buena regulación.</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(carrera</w:t>
            </w:r>
          </w:p>
        </w:tc>
        <w:tc>
          <w:tcPr>
            <w:tcW w:w="1887" w:type="dxa"/>
            <w:tcBorders>
              <w:top w:val="nil"/>
              <w:bottom w:val="nil"/>
            </w:tcBorders>
          </w:tcPr>
          <w:p>
            <w:pPr>
              <w:pStyle w:val="TableParagraph"/>
              <w:spacing w:line="241"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pero   en   la   laguna</w:t>
            </w:r>
          </w:p>
        </w:tc>
        <w:tc>
          <w:tcPr>
            <w:tcW w:w="3901" w:type="dxa"/>
            <w:tcBorders>
              <w:top w:val="nil"/>
              <w:bottom w:val="nil"/>
            </w:tcBorders>
          </w:tcPr>
          <w:p>
            <w:pPr/>
          </w:p>
        </w:tc>
      </w:tr>
      <w:tr>
        <w:trPr>
          <w:trHeight w:val="254" w:hRule="exact"/>
        </w:trPr>
        <w:tc>
          <w:tcPr>
            <w:tcW w:w="1385" w:type="dxa"/>
            <w:tcBorders>
              <w:top w:val="nil"/>
              <w:bottom w:val="nil"/>
            </w:tcBorders>
          </w:tcPr>
          <w:p>
            <w:pPr>
              <w:pStyle w:val="TableParagraph"/>
              <w:spacing w:line="242" w:lineRule="exact"/>
              <w:ind w:left="124"/>
              <w:rPr>
                <w:sz w:val="22"/>
              </w:rPr>
            </w:pPr>
            <w:r>
              <w:rPr>
                <w:sz w:val="22"/>
              </w:rPr>
              <w:t>(29/8/2014)</w:t>
            </w:r>
          </w:p>
        </w:tc>
        <w:tc>
          <w:tcPr>
            <w:tcW w:w="1274" w:type="dxa"/>
            <w:tcBorders>
              <w:top w:val="nil"/>
              <w:bottom w:val="nil"/>
            </w:tcBorders>
          </w:tcPr>
          <w:p>
            <w:pPr>
              <w:pStyle w:val="TableParagraph"/>
              <w:spacing w:line="242" w:lineRule="exact"/>
              <w:ind w:left="100" w:right="98"/>
              <w:rPr>
                <w:sz w:val="22"/>
              </w:rPr>
            </w:pPr>
            <w:r>
              <w:rPr>
                <w:sz w:val="22"/>
              </w:rPr>
              <w:t>trunca)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Huapango no porque</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la  verdad  no  da   el</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presupuesto.</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left="343" w:right="127"/>
              <w:rPr>
                <w:sz w:val="22"/>
              </w:rPr>
            </w:pPr>
            <w:r>
              <w:rPr>
                <w:sz w:val="22"/>
              </w:rPr>
              <w:t>Santos</w:t>
            </w:r>
          </w:p>
        </w:tc>
        <w:tc>
          <w:tcPr>
            <w:tcW w:w="1274" w:type="dxa"/>
            <w:tcBorders>
              <w:bottom w:val="nil"/>
            </w:tcBorders>
          </w:tcPr>
          <w:p>
            <w:pP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289" w:type="dxa"/>
            <w:tcBorders>
              <w:bottom w:val="nil"/>
            </w:tcBorders>
          </w:tcPr>
          <w:p>
            <w:pPr>
              <w:pStyle w:val="TableParagraph"/>
              <w:spacing w:line="251" w:lineRule="exact"/>
              <w:rPr>
                <w:sz w:val="22"/>
              </w:rPr>
            </w:pPr>
            <w:r>
              <w:rPr>
                <w:sz w:val="22"/>
              </w:rPr>
              <w:t>Jilotepec</w:t>
            </w:r>
          </w:p>
        </w:tc>
        <w:tc>
          <w:tcPr>
            <w:tcW w:w="1174" w:type="dxa"/>
            <w:tcBorders>
              <w:bottom w:val="nil"/>
            </w:tcBorders>
          </w:tcPr>
          <w:p>
            <w:pPr>
              <w:pStyle w:val="TableParagraph"/>
              <w:spacing w:line="251" w:lineRule="exact"/>
              <w:rPr>
                <w:sz w:val="22"/>
              </w:rPr>
            </w:pPr>
            <w:r>
              <w:rPr>
                <w:sz w:val="22"/>
              </w:rPr>
              <w:t>Jilotepec</w:t>
            </w:r>
          </w:p>
        </w:tc>
        <w:tc>
          <w:tcPr>
            <w:tcW w:w="2314" w:type="dxa"/>
            <w:tcBorders>
              <w:bottom w:val="nil"/>
            </w:tcBorders>
          </w:tcPr>
          <w:p>
            <w:pPr>
              <w:pStyle w:val="TableParagraph"/>
              <w:spacing w:line="251" w:lineRule="exact"/>
              <w:ind w:left="100"/>
              <w:rPr>
                <w:sz w:val="22"/>
              </w:rPr>
            </w:pPr>
            <w:r>
              <w:rPr>
                <w:sz w:val="22"/>
              </w:rPr>
              <w:t>Ninguna   porque  no</w:t>
            </w:r>
          </w:p>
        </w:tc>
        <w:tc>
          <w:tcPr>
            <w:tcW w:w="3901" w:type="dxa"/>
            <w:tcBorders>
              <w:bottom w:val="nil"/>
            </w:tcBorders>
          </w:tcPr>
          <w:p>
            <w:pPr>
              <w:pStyle w:val="TableParagraph"/>
              <w:tabs>
                <w:tab w:pos="693" w:val="left" w:leader="none"/>
                <w:tab w:pos="1355" w:val="left" w:leader="none"/>
                <w:tab w:pos="2694" w:val="left" w:leader="none"/>
                <w:tab w:pos="3507" w:val="left" w:leader="none"/>
              </w:tabs>
              <w:spacing w:line="251" w:lineRule="exact"/>
              <w:rPr>
                <w:sz w:val="22"/>
              </w:rPr>
            </w:pPr>
            <w:r>
              <w:rPr>
                <w:sz w:val="22"/>
              </w:rPr>
              <w:t>No</w:t>
              <w:tab/>
              <w:t>hay</w:t>
              <w:tab/>
              <w:t>problemas</w:t>
              <w:tab/>
              <w:t>entre</w:t>
              <w:tab/>
              <w:t>los</w:t>
            </w:r>
          </w:p>
        </w:tc>
      </w:tr>
      <w:tr>
        <w:trPr>
          <w:trHeight w:val="253" w:hRule="exact"/>
        </w:trPr>
        <w:tc>
          <w:tcPr>
            <w:tcW w:w="1385" w:type="dxa"/>
            <w:tcBorders>
              <w:top w:val="nil"/>
              <w:bottom w:val="nil"/>
            </w:tcBorders>
          </w:tcPr>
          <w:p>
            <w:pPr>
              <w:pStyle w:val="TableParagraph"/>
              <w:spacing w:line="241" w:lineRule="exact"/>
              <w:ind w:left="259" w:right="127"/>
              <w:rPr>
                <w:sz w:val="22"/>
              </w:rPr>
            </w:pPr>
            <w:r>
              <w:rPr>
                <w:sz w:val="22"/>
              </w:rPr>
              <w:t>Martínez</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Departamento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nos  corresponde, ya</w:t>
            </w:r>
          </w:p>
        </w:tc>
        <w:tc>
          <w:tcPr>
            <w:tcW w:w="3901" w:type="dxa"/>
            <w:tcBorders>
              <w:top w:val="nil"/>
              <w:bottom w:val="nil"/>
            </w:tcBorders>
          </w:tcPr>
          <w:p>
            <w:pPr>
              <w:pStyle w:val="TableParagraph"/>
              <w:tabs>
                <w:tab w:pos="1374" w:val="left" w:leader="none"/>
                <w:tab w:pos="1976" w:val="left" w:leader="none"/>
                <w:tab w:pos="3030" w:val="left" w:leader="none"/>
                <w:tab w:pos="3617" w:val="left" w:leader="none"/>
              </w:tabs>
              <w:spacing w:line="241" w:lineRule="exact"/>
              <w:rPr>
                <w:sz w:val="22"/>
              </w:rPr>
            </w:pPr>
            <w:r>
              <w:rPr>
                <w:sz w:val="22"/>
              </w:rPr>
              <w:t>municipios</w:t>
              <w:tab/>
              <w:t>que</w:t>
              <w:tab/>
              <w:t>colindan</w:t>
              <w:tab/>
              <w:t>con</w:t>
              <w:tab/>
              <w:t>la</w:t>
            </w:r>
          </w:p>
        </w:tc>
      </w:tr>
      <w:tr>
        <w:trPr>
          <w:trHeight w:val="253" w:hRule="exact"/>
        </w:trPr>
        <w:tc>
          <w:tcPr>
            <w:tcW w:w="1385" w:type="dxa"/>
            <w:tcBorders>
              <w:top w:val="nil"/>
              <w:bottom w:val="nil"/>
            </w:tcBorders>
          </w:tcPr>
          <w:p>
            <w:pPr>
              <w:pStyle w:val="TableParagraph"/>
              <w:spacing w:line="242" w:lineRule="exact"/>
              <w:ind w:left="223" w:right="127"/>
              <w:rPr>
                <w:sz w:val="22"/>
              </w:rPr>
            </w:pPr>
            <w:r>
              <w:rPr>
                <w:sz w:val="22"/>
              </w:rPr>
              <w:t>Alcántara</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 Ecología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que   es   del </w:t>
            </w:r>
            <w:r>
              <w:rPr>
                <w:spacing w:val="55"/>
                <w:sz w:val="22"/>
              </w:rPr>
              <w:t> </w:t>
            </w:r>
            <w:r>
              <w:rPr>
                <w:sz w:val="22"/>
              </w:rPr>
              <w:t>ámbito</w:t>
            </w:r>
          </w:p>
        </w:tc>
        <w:tc>
          <w:tcPr>
            <w:tcW w:w="3901" w:type="dxa"/>
            <w:tcBorders>
              <w:top w:val="nil"/>
              <w:bottom w:val="nil"/>
            </w:tcBorders>
          </w:tcPr>
          <w:p>
            <w:pPr>
              <w:pStyle w:val="TableParagraph"/>
              <w:spacing w:line="242" w:lineRule="exact"/>
              <w:rPr>
                <w:sz w:val="22"/>
              </w:rPr>
            </w:pPr>
            <w:r>
              <w:rPr>
                <w:sz w:val="22"/>
              </w:rPr>
              <w:t>laguna.</w:t>
            </w: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federal y entonces  sí</w:t>
            </w:r>
          </w:p>
        </w:tc>
        <w:tc>
          <w:tcPr>
            <w:tcW w:w="3901" w:type="dxa"/>
            <w:tcBorders>
              <w:top w:val="nil"/>
            </w:tcBorders>
          </w:tcPr>
          <w:p>
            <w:pPr/>
          </w:p>
        </w:tc>
      </w:tr>
    </w:tbl>
    <w:p>
      <w:pPr>
        <w:spacing w:after="0"/>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85" w:type="dxa"/>
          </w:tcPr>
          <w:p>
            <w:pPr>
              <w:pStyle w:val="TableParagraph"/>
              <w:spacing w:line="251" w:lineRule="exact"/>
              <w:ind w:left="85" w:right="85"/>
              <w:jc w:val="center"/>
              <w:rPr>
                <w:sz w:val="22"/>
              </w:rPr>
            </w:pPr>
            <w:r>
              <w:rPr>
                <w:sz w:val="22"/>
              </w:rPr>
              <w:t>(15/I/2014)</w:t>
            </w: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spacing w:line="251" w:lineRule="exact"/>
              <w:ind w:left="100"/>
              <w:rPr>
                <w:sz w:val="22"/>
              </w:rPr>
            </w:pPr>
            <w:r>
              <w:rPr>
                <w:sz w:val="22"/>
              </w:rPr>
              <w:t>habría conflicto.</w:t>
            </w:r>
          </w:p>
        </w:tc>
        <w:tc>
          <w:tcPr>
            <w:tcW w:w="3901" w:type="dxa"/>
          </w:tcPr>
          <w:p>
            <w:pPr/>
          </w:p>
        </w:tc>
      </w:tr>
      <w:tr>
        <w:trPr>
          <w:trHeight w:val="267" w:hRule="exact"/>
        </w:trPr>
        <w:tc>
          <w:tcPr>
            <w:tcW w:w="1385" w:type="dxa"/>
            <w:tcBorders>
              <w:bottom w:val="nil"/>
            </w:tcBorders>
          </w:tcPr>
          <w:p>
            <w:pPr>
              <w:pStyle w:val="TableParagraph"/>
              <w:spacing w:line="251" w:lineRule="exact"/>
              <w:ind w:left="85" w:right="85"/>
              <w:jc w:val="center"/>
              <w:rPr>
                <w:sz w:val="22"/>
              </w:rPr>
            </w:pPr>
            <w:r>
              <w:rPr>
                <w:sz w:val="22"/>
              </w:rPr>
              <w:t>Jaime</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289" w:type="dxa"/>
            <w:tcBorders>
              <w:bottom w:val="nil"/>
            </w:tcBorders>
          </w:tcPr>
          <w:p>
            <w:pPr>
              <w:pStyle w:val="TableParagraph"/>
              <w:spacing w:line="251" w:lineRule="exact"/>
              <w:ind w:left="0" w:right="295"/>
              <w:jc w:val="right"/>
              <w:rPr>
                <w:sz w:val="22"/>
              </w:rPr>
            </w:pPr>
            <w:r>
              <w:rPr>
                <w:sz w:val="22"/>
              </w:rPr>
              <w:t>Distrito</w:t>
            </w:r>
          </w:p>
        </w:tc>
        <w:tc>
          <w:tcPr>
            <w:tcW w:w="1174" w:type="dxa"/>
            <w:tcBorders>
              <w:bottom w:val="nil"/>
            </w:tcBorders>
          </w:tcPr>
          <w:p>
            <w:pPr>
              <w:pStyle w:val="TableParagraph"/>
              <w:spacing w:line="251" w:lineRule="exact"/>
              <w:rPr>
                <w:sz w:val="22"/>
              </w:rPr>
            </w:pPr>
            <w:r>
              <w:rPr>
                <w:sz w:val="22"/>
              </w:rPr>
              <w:t>Jilotepec</w:t>
            </w:r>
          </w:p>
        </w:tc>
        <w:tc>
          <w:tcPr>
            <w:tcW w:w="2314" w:type="dxa"/>
            <w:tcBorders>
              <w:bottom w:val="nil"/>
            </w:tcBorders>
          </w:tcPr>
          <w:p>
            <w:pPr>
              <w:pStyle w:val="TableParagraph"/>
              <w:spacing w:line="251" w:lineRule="exact"/>
              <w:ind w:left="100"/>
              <w:rPr>
                <w:sz w:val="22"/>
              </w:rPr>
            </w:pPr>
            <w:r>
              <w:rPr>
                <w:sz w:val="22"/>
              </w:rPr>
              <w:t>Cada   año   se  hace</w:t>
            </w:r>
          </w:p>
        </w:tc>
        <w:tc>
          <w:tcPr>
            <w:tcW w:w="3901" w:type="dxa"/>
            <w:tcBorders>
              <w:bottom w:val="nil"/>
            </w:tcBorders>
          </w:tcPr>
          <w:p>
            <w:pPr>
              <w:pStyle w:val="TableParagraph"/>
              <w:spacing w:line="251" w:lineRule="exact"/>
              <w:rPr>
                <w:sz w:val="22"/>
              </w:rPr>
            </w:pPr>
            <w:r>
              <w:rPr>
                <w:sz w:val="22"/>
              </w:rPr>
              <w:t>Desconozco   si   existen   problemas</w:t>
            </w: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Sánchez</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Departamento</w:t>
            </w:r>
          </w:p>
        </w:tc>
        <w:tc>
          <w:tcPr>
            <w:tcW w:w="1289" w:type="dxa"/>
            <w:tcBorders>
              <w:top w:val="nil"/>
              <w:bottom w:val="nil"/>
            </w:tcBorders>
          </w:tcPr>
          <w:p>
            <w:pPr>
              <w:pStyle w:val="TableParagraph"/>
              <w:spacing w:line="242" w:lineRule="exact"/>
              <w:ind w:left="0" w:right="263"/>
              <w:jc w:val="right"/>
              <w:rPr>
                <w:sz w:val="22"/>
              </w:rPr>
            </w:pPr>
            <w:r>
              <w:rPr>
                <w:sz w:val="22"/>
              </w:rPr>
              <w:t>Federal</w:t>
            </w:r>
          </w:p>
        </w:tc>
        <w:tc>
          <w:tcPr>
            <w:tcW w:w="1174" w:type="dxa"/>
            <w:tcBorders>
              <w:top w:val="nil"/>
              <w:bottom w:val="nil"/>
            </w:tcBorders>
          </w:tcPr>
          <w:p>
            <w:pPr/>
          </w:p>
        </w:tc>
        <w:tc>
          <w:tcPr>
            <w:tcW w:w="2314" w:type="dxa"/>
            <w:tcBorders>
              <w:top w:val="nil"/>
              <w:bottom w:val="nil"/>
            </w:tcBorders>
          </w:tcPr>
          <w:p>
            <w:pPr>
              <w:pStyle w:val="TableParagraph"/>
              <w:tabs>
                <w:tab w:pos="971" w:val="left" w:leader="none"/>
                <w:tab w:pos="1906" w:val="left" w:leader="none"/>
              </w:tabs>
              <w:spacing w:line="242" w:lineRule="exact"/>
              <w:ind w:left="100"/>
              <w:rPr>
                <w:sz w:val="22"/>
              </w:rPr>
            </w:pPr>
            <w:r>
              <w:rPr>
                <w:sz w:val="22"/>
              </w:rPr>
              <w:t>una</w:t>
              <w:tab/>
              <w:t>feria</w:t>
              <w:tab/>
              <w:t>del</w:t>
            </w:r>
          </w:p>
        </w:tc>
        <w:tc>
          <w:tcPr>
            <w:tcW w:w="3901" w:type="dxa"/>
            <w:tcBorders>
              <w:top w:val="nil"/>
              <w:bottom w:val="nil"/>
            </w:tcBorders>
          </w:tcPr>
          <w:p>
            <w:pPr>
              <w:pStyle w:val="TableParagraph"/>
              <w:spacing w:line="242" w:lineRule="exact"/>
              <w:rPr>
                <w:sz w:val="22"/>
              </w:rPr>
            </w:pPr>
            <w:r>
              <w:rPr>
                <w:sz w:val="22"/>
              </w:rPr>
              <w:t>entre los municipios que colindan con</w:t>
            </w:r>
          </w:p>
        </w:tc>
      </w:tr>
      <w:tr>
        <w:trPr>
          <w:trHeight w:val="252" w:hRule="exact"/>
        </w:trPr>
        <w:tc>
          <w:tcPr>
            <w:tcW w:w="1385" w:type="dxa"/>
            <w:tcBorders>
              <w:top w:val="nil"/>
              <w:bottom w:val="nil"/>
            </w:tcBorders>
          </w:tcPr>
          <w:p>
            <w:pPr>
              <w:pStyle w:val="TableParagraph"/>
              <w:spacing w:line="241" w:lineRule="exact"/>
              <w:ind w:left="85" w:right="85"/>
              <w:jc w:val="center"/>
              <w:rPr>
                <w:sz w:val="22"/>
              </w:rPr>
            </w:pPr>
            <w:r>
              <w:rPr>
                <w:sz w:val="22"/>
              </w:rPr>
              <w:t>Miranda</w:t>
            </w:r>
          </w:p>
        </w:tc>
        <w:tc>
          <w:tcPr>
            <w:tcW w:w="1274" w:type="dxa"/>
            <w:tcBorders>
              <w:top w:val="nil"/>
              <w:bottom w:val="nil"/>
            </w:tcBorders>
          </w:tcPr>
          <w:p>
            <w:pPr>
              <w:pStyle w:val="TableParagraph"/>
              <w:spacing w:line="241" w:lineRule="exact"/>
              <w:ind w:left="100" w:right="98"/>
              <w:rPr>
                <w:sz w:val="22"/>
              </w:rPr>
            </w:pPr>
            <w:r>
              <w:rPr>
                <w:sz w:val="22"/>
              </w:rPr>
              <w:t>Economía</w:t>
            </w:r>
          </w:p>
        </w:tc>
        <w:tc>
          <w:tcPr>
            <w:tcW w:w="1887" w:type="dxa"/>
            <w:tcBorders>
              <w:top w:val="nil"/>
              <w:bottom w:val="nil"/>
            </w:tcBorders>
          </w:tcPr>
          <w:p>
            <w:pPr>
              <w:pStyle w:val="TableParagraph"/>
              <w:tabs>
                <w:tab w:pos="904" w:val="left" w:leader="none"/>
              </w:tabs>
              <w:spacing w:line="241" w:lineRule="exact"/>
              <w:rPr>
                <w:sz w:val="22"/>
              </w:rPr>
            </w:pPr>
            <w:r>
              <w:rPr>
                <w:sz w:val="22"/>
              </w:rPr>
              <w:t>de</w:t>
              <w:tab/>
              <w:t>Fomento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48" w:val="left" w:leader="none"/>
                <w:tab w:pos="2006" w:val="left" w:leader="none"/>
              </w:tabs>
              <w:spacing w:line="241" w:lineRule="exact"/>
              <w:ind w:left="100"/>
              <w:rPr>
                <w:sz w:val="22"/>
              </w:rPr>
            </w:pPr>
            <w:r>
              <w:rPr>
                <w:sz w:val="22"/>
              </w:rPr>
              <w:t>pescado</w:t>
              <w:tab/>
              <w:t>en</w:t>
              <w:tab/>
              <w:t>El</w:t>
            </w:r>
          </w:p>
        </w:tc>
        <w:tc>
          <w:tcPr>
            <w:tcW w:w="3901" w:type="dxa"/>
            <w:tcBorders>
              <w:top w:val="nil"/>
              <w:bottom w:val="nil"/>
            </w:tcBorders>
          </w:tcPr>
          <w:p>
            <w:pPr>
              <w:pStyle w:val="TableParagraph"/>
              <w:spacing w:line="241" w:lineRule="exact"/>
              <w:rPr>
                <w:sz w:val="22"/>
              </w:rPr>
            </w:pPr>
            <w:r>
              <w:rPr>
                <w:sz w:val="22"/>
              </w:rPr>
              <w:t>la laguna.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41" w:lineRule="exact"/>
              <w:rPr>
                <w:sz w:val="22"/>
              </w:rPr>
            </w:pPr>
            <w:r>
              <w:rPr>
                <w:sz w:val="22"/>
              </w:rPr>
              <w:t>Económico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Saltillo  en  el mes de</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(15/I/2014)</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abril (Semana Santa)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68" w:val="left" w:leader="none"/>
                <w:tab w:pos="1161" w:val="left" w:leader="none"/>
              </w:tabs>
              <w:spacing w:line="241" w:lineRule="exact"/>
              <w:ind w:left="100"/>
              <w:rPr>
                <w:sz w:val="22"/>
              </w:rPr>
            </w:pPr>
            <w:r>
              <w:rPr>
                <w:sz w:val="22"/>
              </w:rPr>
              <w:t>y</w:t>
              <w:tab/>
              <w:t>es</w:t>
              <w:tab/>
              <w:t>importante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porque   va  pescado</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de la laguna.</w:t>
            </w:r>
          </w:p>
        </w:tc>
        <w:tc>
          <w:tcPr>
            <w:tcW w:w="3901"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pStyle w:val="BodyText"/>
        <w:spacing w:before="6"/>
        <w:rPr>
          <w:sz w:val="20"/>
        </w:rPr>
      </w:pPr>
    </w:p>
    <w:p>
      <w:pPr>
        <w:pStyle w:val="Heading6"/>
        <w:spacing w:after="6"/>
        <w:ind w:left="2244" w:right="778"/>
      </w:pPr>
      <w:r>
        <w:rPr/>
        <w:t>Tabla 6.11. Municipio de Jilotepec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9" w:right="4869"/>
              <w:jc w:val="center"/>
              <w:rPr>
                <w:b/>
                <w:sz w:val="22"/>
              </w:rPr>
            </w:pPr>
            <w:r>
              <w:rPr>
                <w:b/>
                <w:sz w:val="22"/>
              </w:rPr>
              <w:t>JILOTEPEC</w:t>
            </w:r>
          </w:p>
        </w:tc>
      </w:tr>
      <w:tr>
        <w:trPr>
          <w:trHeight w:val="526" w:hRule="exact"/>
        </w:trPr>
        <w:tc>
          <w:tcPr>
            <w:tcW w:w="4547" w:type="dxa"/>
            <w:gridSpan w:val="3"/>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516"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Autogestión</w:t>
            </w:r>
          </w:p>
        </w:tc>
        <w:tc>
          <w:tcPr>
            <w:tcW w:w="3901" w:type="dxa"/>
            <w:shd w:val="clear" w:color="auto" w:fill="92CDDC"/>
          </w:tcPr>
          <w:p>
            <w:pPr>
              <w:pStyle w:val="TableParagraph"/>
              <w:tabs>
                <w:tab w:pos="2291" w:val="left" w:leader="none"/>
                <w:tab w:pos="2698" w:val="left" w:leader="none"/>
              </w:tabs>
              <w:spacing w:line="252" w:lineRule="exact" w:before="2"/>
              <w:ind w:right="100"/>
              <w:rPr>
                <w:b/>
                <w:i/>
                <w:sz w:val="22"/>
              </w:rPr>
            </w:pPr>
            <w:r>
              <w:rPr>
                <w:b/>
                <w:i/>
                <w:sz w:val="22"/>
              </w:rPr>
              <w:t>Gobernabilidad</w:t>
              <w:tab/>
              <w:t>y</w:t>
              <w:tab/>
            </w:r>
            <w:r>
              <w:rPr>
                <w:b/>
                <w:i/>
                <w:spacing w:val="-1"/>
                <w:sz w:val="22"/>
              </w:rPr>
              <w:t>relaciones </w:t>
            </w:r>
            <w:r>
              <w:rPr>
                <w:b/>
                <w:i/>
                <w:sz w:val="22"/>
              </w:rPr>
              <w:t>intermunicipales</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tabs>
                <w:tab w:pos="1242" w:val="left" w:leader="none"/>
                <w:tab w:pos="2017" w:val="left" w:leader="none"/>
              </w:tabs>
              <w:spacing w:line="248" w:lineRule="exact"/>
              <w:ind w:left="100"/>
              <w:rPr>
                <w:b/>
                <w:sz w:val="22"/>
              </w:rPr>
            </w:pPr>
            <w:r>
              <w:rPr>
                <w:b/>
                <w:sz w:val="22"/>
              </w:rPr>
              <w:t>¿Cuál</w:t>
              <w:tab/>
              <w:t>es</w:t>
              <w:tab/>
              <w:t>el</w:t>
            </w:r>
          </w:p>
        </w:tc>
        <w:tc>
          <w:tcPr>
            <w:tcW w:w="3901" w:type="dxa"/>
            <w:tcBorders>
              <w:bottom w:val="nil"/>
            </w:tcBorders>
            <w:shd w:val="clear" w:color="auto" w:fill="92CDDC"/>
          </w:tcPr>
          <w:p>
            <w:pPr>
              <w:pStyle w:val="TableParagraph"/>
              <w:spacing w:line="248" w:lineRule="exact"/>
              <w:rPr>
                <w:b/>
                <w:sz w:val="22"/>
              </w:rPr>
            </w:pPr>
            <w:r>
              <w:rPr>
                <w:b/>
                <w:sz w:val="22"/>
              </w:rPr>
              <w:t>¿Considera  apropiado  que  exista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1235" w:val="left" w:leader="none"/>
              </w:tabs>
              <w:spacing w:line="241" w:lineRule="exact"/>
              <w:ind w:left="100"/>
              <w:rPr>
                <w:b/>
                <w:sz w:val="22"/>
              </w:rPr>
            </w:pPr>
            <w:r>
              <w:rPr>
                <w:b/>
                <w:sz w:val="22"/>
              </w:rPr>
              <w:t>principal</w:t>
              <w:tab/>
              <w:t>beneficio</w:t>
            </w:r>
          </w:p>
        </w:tc>
        <w:tc>
          <w:tcPr>
            <w:tcW w:w="3901" w:type="dxa"/>
            <w:tcBorders>
              <w:top w:val="nil"/>
              <w:bottom w:val="nil"/>
            </w:tcBorders>
            <w:shd w:val="clear" w:color="auto" w:fill="92CDDC"/>
          </w:tcPr>
          <w:p>
            <w:pPr>
              <w:pStyle w:val="TableParagraph"/>
              <w:spacing w:line="241" w:lineRule="exact"/>
              <w:rPr>
                <w:b/>
                <w:sz w:val="22"/>
              </w:rPr>
            </w:pPr>
            <w:r>
              <w:rPr>
                <w:b/>
                <w:sz w:val="22"/>
              </w:rPr>
              <w:t>un  Comité  Intermunicipal  con  su</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895" w:val="left" w:leader="none"/>
                <w:tab w:pos="1946" w:val="left" w:leader="none"/>
              </w:tabs>
              <w:spacing w:line="242" w:lineRule="exact"/>
              <w:ind w:left="100"/>
              <w:rPr>
                <w:b/>
                <w:sz w:val="22"/>
              </w:rPr>
            </w:pPr>
            <w:r>
              <w:rPr>
                <w:b/>
                <w:sz w:val="22"/>
              </w:rPr>
              <w:t>que</w:t>
              <w:tab/>
              <w:t>recibe</w:t>
              <w:tab/>
              <w:t>su</w:t>
            </w:r>
          </w:p>
        </w:tc>
        <w:tc>
          <w:tcPr>
            <w:tcW w:w="3901" w:type="dxa"/>
            <w:tcBorders>
              <w:top w:val="nil"/>
              <w:bottom w:val="nil"/>
            </w:tcBorders>
            <w:shd w:val="clear" w:color="auto" w:fill="92CDDC"/>
          </w:tcPr>
          <w:p>
            <w:pPr>
              <w:pStyle w:val="TableParagraph"/>
              <w:spacing w:line="242" w:lineRule="exact"/>
              <w:rPr>
                <w:b/>
                <w:sz w:val="22"/>
              </w:rPr>
            </w:pPr>
            <w:r>
              <w:rPr>
                <w:b/>
                <w:sz w:val="22"/>
              </w:rPr>
              <w:t>Reglamento para el uso, cuidado y</w:t>
            </w:r>
          </w:p>
        </w:tc>
      </w:tr>
      <w:tr>
        <w:trPr>
          <w:trHeight w:val="252"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451" w:val="left" w:leader="none"/>
                <w:tab w:pos="2017" w:val="left" w:leader="none"/>
              </w:tabs>
              <w:spacing w:line="241" w:lineRule="exact"/>
              <w:ind w:left="100"/>
              <w:rPr>
                <w:b/>
                <w:sz w:val="22"/>
              </w:rPr>
            </w:pPr>
            <w:r>
              <w:rPr>
                <w:b/>
                <w:sz w:val="22"/>
              </w:rPr>
              <w:t>municipio</w:t>
              <w:tab/>
              <w:t>de</w:t>
              <w:tab/>
              <w:t>la</w:t>
            </w:r>
          </w:p>
        </w:tc>
        <w:tc>
          <w:tcPr>
            <w:tcW w:w="3901" w:type="dxa"/>
            <w:tcBorders>
              <w:top w:val="nil"/>
              <w:bottom w:val="nil"/>
            </w:tcBorders>
            <w:shd w:val="clear" w:color="auto" w:fill="92CDDC"/>
          </w:tcPr>
          <w:p>
            <w:pPr>
              <w:pStyle w:val="TableParagraph"/>
              <w:tabs>
                <w:tab w:pos="1297" w:val="left" w:leader="none"/>
                <w:tab w:pos="1914" w:val="left" w:leader="none"/>
                <w:tab w:pos="2458" w:val="left" w:leader="none"/>
                <w:tab w:pos="3529" w:val="left" w:leader="none"/>
              </w:tabs>
              <w:spacing w:line="241" w:lineRule="exact"/>
              <w:rPr>
                <w:b/>
                <w:sz w:val="22"/>
              </w:rPr>
            </w:pPr>
            <w:r>
              <w:rPr>
                <w:b/>
                <w:sz w:val="22"/>
              </w:rPr>
              <w:t>defensa</w:t>
              <w:tab/>
              <w:t>de</w:t>
              <w:tab/>
              <w:t>la</w:t>
              <w:tab/>
              <w:t>laguna</w:t>
              <w:tab/>
              <w:t>de</w:t>
            </w: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945" w:val="left" w:leader="none"/>
              </w:tabs>
              <w:spacing w:line="241"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1"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2" w:lineRule="exact"/>
              <w:ind w:left="100"/>
              <w:rPr>
                <w:b/>
                <w:sz w:val="22"/>
              </w:rPr>
            </w:pPr>
            <w:r>
              <w:rPr>
                <w:b/>
                <w:sz w:val="22"/>
              </w:rPr>
              <w:t>Huapango?</w:t>
            </w:r>
          </w:p>
        </w:tc>
        <w:tc>
          <w:tcPr>
            <w:tcW w:w="3901"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Edgar</w:t>
            </w:r>
          </w:p>
        </w:tc>
        <w:tc>
          <w:tcPr>
            <w:tcW w:w="1274" w:type="dxa"/>
            <w:tcBorders>
              <w:bottom w:val="nil"/>
            </w:tcBorders>
          </w:tcPr>
          <w:p>
            <w:pPr>
              <w:pStyle w:val="TableParagraph"/>
              <w:spacing w:line="251" w:lineRule="exact"/>
              <w:ind w:left="100" w:right="98"/>
              <w:rPr>
                <w:sz w:val="22"/>
              </w:rPr>
            </w:pPr>
            <w:r>
              <w:rPr>
                <w:sz w:val="22"/>
              </w:rPr>
              <w:t>Abogado</w:t>
            </w:r>
          </w:p>
        </w:tc>
        <w:tc>
          <w:tcPr>
            <w:tcW w:w="1887" w:type="dxa"/>
            <w:tcBorders>
              <w:bottom w:val="nil"/>
            </w:tcBorders>
          </w:tcPr>
          <w:p>
            <w:pPr>
              <w:pStyle w:val="TableParagraph"/>
              <w:spacing w:line="251" w:lineRule="exact"/>
              <w:ind w:left="410"/>
              <w:rPr>
                <w:sz w:val="22"/>
              </w:rPr>
            </w:pPr>
            <w:r>
              <w:rPr>
                <w:sz w:val="22"/>
              </w:rPr>
              <w:t>Presidente</w:t>
            </w:r>
          </w:p>
        </w:tc>
        <w:tc>
          <w:tcPr>
            <w:tcW w:w="1289" w:type="dxa"/>
            <w:tcBorders>
              <w:bottom w:val="nil"/>
            </w:tcBorders>
          </w:tcPr>
          <w:p>
            <w:pPr>
              <w:pStyle w:val="TableParagraph"/>
              <w:spacing w:line="251" w:lineRule="exact"/>
              <w:rPr>
                <w:sz w:val="22"/>
              </w:rPr>
            </w:pPr>
            <w:r>
              <w:rPr>
                <w:sz w:val="22"/>
              </w:rPr>
              <w:t>Jilotepec</w:t>
            </w:r>
          </w:p>
        </w:tc>
        <w:tc>
          <w:tcPr>
            <w:tcW w:w="1174" w:type="dxa"/>
            <w:tcBorders>
              <w:bottom w:val="nil"/>
            </w:tcBorders>
          </w:tcPr>
          <w:p>
            <w:pPr>
              <w:pStyle w:val="TableParagraph"/>
              <w:spacing w:line="251" w:lineRule="exact"/>
              <w:rPr>
                <w:sz w:val="22"/>
              </w:rPr>
            </w:pPr>
            <w:r>
              <w:rPr>
                <w:sz w:val="22"/>
              </w:rPr>
              <w:t>Jilotepec</w:t>
            </w:r>
          </w:p>
        </w:tc>
        <w:tc>
          <w:tcPr>
            <w:tcW w:w="2314" w:type="dxa"/>
            <w:tcBorders>
              <w:bottom w:val="nil"/>
            </w:tcBorders>
          </w:tcPr>
          <w:p>
            <w:pPr>
              <w:pStyle w:val="TableParagraph"/>
              <w:spacing w:line="251" w:lineRule="exact"/>
              <w:ind w:left="100"/>
              <w:rPr>
                <w:sz w:val="22"/>
              </w:rPr>
            </w:pPr>
            <w:r>
              <w:rPr>
                <w:sz w:val="22"/>
              </w:rPr>
              <w:t>El  principal beneficio</w:t>
            </w:r>
          </w:p>
        </w:tc>
        <w:tc>
          <w:tcPr>
            <w:tcW w:w="3901" w:type="dxa"/>
            <w:tcBorders>
              <w:bottom w:val="nil"/>
            </w:tcBorders>
          </w:tcPr>
          <w:p>
            <w:pPr>
              <w:pStyle w:val="TableParagraph"/>
              <w:spacing w:line="251" w:lineRule="exact"/>
              <w:rPr>
                <w:sz w:val="22"/>
              </w:rPr>
            </w:pPr>
            <w:r>
              <w:rPr>
                <w:sz w:val="22"/>
              </w:rPr>
              <w:t>Sí   debe   ser   un   Comité   con   su</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Castillo</w:t>
            </w:r>
          </w:p>
        </w:tc>
        <w:tc>
          <w:tcPr>
            <w:tcW w:w="1274" w:type="dxa"/>
            <w:tcBorders>
              <w:top w:val="nil"/>
              <w:bottom w:val="nil"/>
            </w:tcBorders>
          </w:tcPr>
          <w:p>
            <w:pPr/>
          </w:p>
        </w:tc>
        <w:tc>
          <w:tcPr>
            <w:tcW w:w="1887" w:type="dxa"/>
            <w:tcBorders>
              <w:top w:val="nil"/>
              <w:bottom w:val="nil"/>
            </w:tcBorders>
          </w:tcPr>
          <w:p>
            <w:pPr>
              <w:pStyle w:val="TableParagraph"/>
              <w:spacing w:line="242"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49" w:val="left" w:leader="none"/>
                <w:tab w:pos="2029" w:val="left" w:leader="none"/>
              </w:tabs>
              <w:spacing w:line="242" w:lineRule="exact"/>
              <w:ind w:left="100"/>
              <w:rPr>
                <w:sz w:val="22"/>
              </w:rPr>
            </w:pPr>
            <w:r>
              <w:rPr>
                <w:sz w:val="22"/>
              </w:rPr>
              <w:t>que</w:t>
              <w:tab/>
              <w:t>recibe</w:t>
              <w:tab/>
              <w:t>el</w:t>
            </w:r>
          </w:p>
        </w:tc>
        <w:tc>
          <w:tcPr>
            <w:tcW w:w="3901" w:type="dxa"/>
            <w:tcBorders>
              <w:top w:val="nil"/>
              <w:bottom w:val="nil"/>
            </w:tcBorders>
          </w:tcPr>
          <w:p>
            <w:pPr>
              <w:pStyle w:val="TableParagraph"/>
              <w:spacing w:line="242" w:lineRule="exact"/>
              <w:rPr>
                <w:sz w:val="22"/>
              </w:rPr>
            </w:pPr>
            <w:r>
              <w:rPr>
                <w:sz w:val="22"/>
              </w:rPr>
              <w:t>Reglamento bien hecho que  delimite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municipio es el  riego</w:t>
            </w:r>
          </w:p>
        </w:tc>
        <w:tc>
          <w:tcPr>
            <w:tcW w:w="3901" w:type="dxa"/>
            <w:tcBorders>
              <w:top w:val="nil"/>
              <w:bottom w:val="nil"/>
            </w:tcBorders>
          </w:tcPr>
          <w:p>
            <w:pPr>
              <w:pStyle w:val="TableParagraph"/>
              <w:spacing w:line="241" w:lineRule="exact"/>
              <w:rPr>
                <w:sz w:val="22"/>
              </w:rPr>
            </w:pPr>
            <w:r>
              <w:rPr>
                <w:sz w:val="22"/>
              </w:rPr>
              <w:t>la participación jurídica del  municipio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y  en  El  Saltillo cada</w:t>
            </w:r>
          </w:p>
        </w:tc>
        <w:tc>
          <w:tcPr>
            <w:tcW w:w="3901" w:type="dxa"/>
            <w:tcBorders>
              <w:top w:val="nil"/>
              <w:bottom w:val="nil"/>
            </w:tcBorders>
          </w:tcPr>
          <w:p>
            <w:pPr>
              <w:pStyle w:val="TableParagraph"/>
              <w:spacing w:line="242" w:lineRule="exact"/>
              <w:rPr>
                <w:sz w:val="22"/>
              </w:rPr>
            </w:pPr>
            <w:r>
              <w:rPr>
                <w:sz w:val="22"/>
              </w:rPr>
              <w:t>en la laguna para cuidarla</w:t>
            </w:r>
          </w:p>
        </w:tc>
      </w:tr>
      <w:tr>
        <w:trPr>
          <w:trHeight w:val="252" w:hRule="exact"/>
        </w:trPr>
        <w:tc>
          <w:tcPr>
            <w:tcW w:w="1385" w:type="dxa"/>
            <w:tcBorders>
              <w:top w:val="nil"/>
              <w:bottom w:val="nil"/>
            </w:tcBorders>
          </w:tcPr>
          <w:p>
            <w:pPr>
              <w:pStyle w:val="TableParagraph"/>
              <w:spacing w:line="241" w:lineRule="exact"/>
              <w:rPr>
                <w:sz w:val="22"/>
              </w:rPr>
            </w:pPr>
            <w:r>
              <w:rPr>
                <w:sz w:val="22"/>
              </w:rPr>
              <w:t>(29/8/2014)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65" w:val="left" w:leader="none"/>
                <w:tab w:pos="2027" w:val="left" w:leader="none"/>
              </w:tabs>
              <w:spacing w:line="241" w:lineRule="exact"/>
              <w:ind w:left="100"/>
              <w:rPr>
                <w:sz w:val="22"/>
              </w:rPr>
            </w:pPr>
            <w:r>
              <w:rPr>
                <w:sz w:val="22"/>
              </w:rPr>
              <w:t>año</w:t>
              <w:tab/>
              <w:t>organizan</w:t>
              <w:tab/>
              <w:t>la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“Feria  del</w:t>
            </w:r>
            <w:r>
              <w:rPr>
                <w:spacing w:val="52"/>
                <w:sz w:val="22"/>
              </w:rPr>
              <w:t> </w:t>
            </w:r>
            <w:r>
              <w:rPr>
                <w:sz w:val="22"/>
              </w:rPr>
              <w:t>Pescado”,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29" w:val="left" w:leader="none"/>
                <w:tab w:pos="2029" w:val="left" w:leader="none"/>
              </w:tabs>
              <w:spacing w:line="242" w:lineRule="exact"/>
              <w:ind w:left="100"/>
              <w:rPr>
                <w:sz w:val="22"/>
              </w:rPr>
            </w:pPr>
            <w:r>
              <w:rPr>
                <w:sz w:val="22"/>
              </w:rPr>
              <w:t>la</w:t>
              <w:tab/>
              <w:t>organiza</w:t>
              <w:tab/>
              <w:t>la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30" w:val="left" w:leader="none"/>
              </w:tabs>
              <w:spacing w:line="241" w:lineRule="exact"/>
              <w:ind w:left="100"/>
              <w:rPr>
                <w:sz w:val="22"/>
              </w:rPr>
            </w:pPr>
            <w:r>
              <w:rPr>
                <w:sz w:val="22"/>
              </w:rPr>
              <w:t>comunidad,</w:t>
              <w:tab/>
              <w:t>el</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273" w:val="left" w:leader="none"/>
                <w:tab w:pos="1919" w:val="left" w:leader="none"/>
              </w:tabs>
              <w:spacing w:line="242" w:lineRule="exact"/>
              <w:ind w:left="100"/>
              <w:rPr>
                <w:sz w:val="22"/>
              </w:rPr>
            </w:pPr>
            <w:r>
              <w:rPr>
                <w:sz w:val="22"/>
              </w:rPr>
              <w:t>municipio</w:t>
              <w:tab/>
              <w:t>sólo</w:t>
              <w:tab/>
              <w:t>les</w:t>
            </w: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apoya.</w:t>
            </w:r>
          </w:p>
        </w:tc>
        <w:tc>
          <w:tcPr>
            <w:tcW w:w="3901" w:type="dxa"/>
            <w:tcBorders>
              <w:top w:val="nil"/>
            </w:tcBorders>
          </w:tcPr>
          <w:p>
            <w:pPr/>
          </w:p>
        </w:tc>
      </w:tr>
      <w:tr>
        <w:trPr>
          <w:trHeight w:val="264" w:hRule="exact"/>
        </w:trPr>
        <w:tc>
          <w:tcPr>
            <w:tcW w:w="1385" w:type="dxa"/>
          </w:tcPr>
          <w:p>
            <w:pPr>
              <w:pStyle w:val="TableParagraph"/>
              <w:ind w:left="208" w:right="127"/>
              <w:rPr>
                <w:sz w:val="22"/>
              </w:rPr>
            </w:pPr>
            <w:r>
              <w:rPr>
                <w:sz w:val="22"/>
              </w:rPr>
              <w:t>Francisco</w:t>
            </w:r>
          </w:p>
        </w:tc>
        <w:tc>
          <w:tcPr>
            <w:tcW w:w="1274" w:type="dxa"/>
          </w:tcPr>
          <w:p>
            <w:pPr>
              <w:pStyle w:val="TableParagraph"/>
              <w:ind w:left="100" w:right="98"/>
              <w:rPr>
                <w:sz w:val="22"/>
              </w:rPr>
            </w:pPr>
            <w:r>
              <w:rPr>
                <w:sz w:val="22"/>
              </w:rPr>
              <w:t>Profesor</w:t>
            </w:r>
          </w:p>
        </w:tc>
        <w:tc>
          <w:tcPr>
            <w:tcW w:w="1887" w:type="dxa"/>
          </w:tcPr>
          <w:p>
            <w:pPr>
              <w:pStyle w:val="TableParagraph"/>
              <w:rPr>
                <w:sz w:val="22"/>
              </w:rPr>
            </w:pPr>
            <w:r>
              <w:rPr>
                <w:sz w:val="22"/>
              </w:rPr>
              <w:t>Tercer Regidor.</w:t>
            </w:r>
          </w:p>
        </w:tc>
        <w:tc>
          <w:tcPr>
            <w:tcW w:w="1289" w:type="dxa"/>
          </w:tcPr>
          <w:p>
            <w:pPr>
              <w:pStyle w:val="TableParagraph"/>
              <w:rPr>
                <w:sz w:val="22"/>
              </w:rPr>
            </w:pPr>
            <w:r>
              <w:rPr>
                <w:sz w:val="22"/>
              </w:rPr>
              <w:t>Axochiapa</w:t>
            </w:r>
          </w:p>
        </w:tc>
        <w:tc>
          <w:tcPr>
            <w:tcW w:w="1174" w:type="dxa"/>
          </w:tcPr>
          <w:p>
            <w:pPr>
              <w:pStyle w:val="TableParagraph"/>
              <w:rPr>
                <w:sz w:val="22"/>
              </w:rPr>
            </w:pPr>
            <w:r>
              <w:rPr>
                <w:sz w:val="22"/>
              </w:rPr>
              <w:t>Jilotepec</w:t>
            </w:r>
          </w:p>
        </w:tc>
        <w:tc>
          <w:tcPr>
            <w:tcW w:w="2314" w:type="dxa"/>
          </w:tcPr>
          <w:p>
            <w:pPr>
              <w:pStyle w:val="TableParagraph"/>
              <w:ind w:left="100"/>
              <w:rPr>
                <w:sz w:val="22"/>
              </w:rPr>
            </w:pPr>
            <w:r>
              <w:rPr>
                <w:sz w:val="22"/>
              </w:rPr>
              <w:t>El  principal beneficio</w:t>
            </w:r>
          </w:p>
        </w:tc>
        <w:tc>
          <w:tcPr>
            <w:tcW w:w="3901" w:type="dxa"/>
          </w:tcPr>
          <w:p>
            <w:pPr>
              <w:pStyle w:val="TableParagraph"/>
              <w:rPr>
                <w:sz w:val="22"/>
              </w:rPr>
            </w:pPr>
            <w:r>
              <w:rPr>
                <w:sz w:val="22"/>
              </w:rPr>
              <w:t>Ya lo hay, pero no se efectúa    como</w:t>
            </w:r>
          </w:p>
        </w:tc>
      </w:tr>
    </w:tbl>
    <w:p>
      <w:pPr>
        <w:spacing w:after="0"/>
        <w:rPr>
          <w:sz w:val="22"/>
        </w:rPr>
        <w:sectPr>
          <w:pgSz w:w="15840" w:h="12240" w:orient="landscape"/>
          <w:pgMar w:header="0" w:footer="943" w:top="1140" w:bottom="114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66" w:hRule="exact"/>
        </w:trPr>
        <w:tc>
          <w:tcPr>
            <w:tcW w:w="1385" w:type="dxa"/>
            <w:tcBorders>
              <w:bottom w:val="nil"/>
            </w:tcBorders>
          </w:tcPr>
          <w:p>
            <w:pPr>
              <w:pStyle w:val="TableParagraph"/>
              <w:spacing w:line="251" w:lineRule="exact"/>
              <w:ind w:left="85" w:right="85"/>
              <w:jc w:val="center"/>
              <w:rPr>
                <w:sz w:val="22"/>
              </w:rPr>
            </w:pPr>
            <w:r>
              <w:rPr>
                <w:sz w:val="22"/>
              </w:rPr>
              <w:t>Gómez</w:t>
            </w:r>
          </w:p>
        </w:tc>
        <w:tc>
          <w:tcPr>
            <w:tcW w:w="1274" w:type="dxa"/>
            <w:tcBorders>
              <w:bottom w:val="nil"/>
            </w:tcBorders>
          </w:tcPr>
          <w:p>
            <w:pPr>
              <w:pStyle w:val="TableParagraph"/>
              <w:spacing w:line="251" w:lineRule="exact"/>
              <w:ind w:left="100" w:right="98"/>
              <w:rPr>
                <w:sz w:val="22"/>
              </w:rPr>
            </w:pPr>
            <w:r>
              <w:rPr>
                <w:sz w:val="22"/>
              </w:rPr>
              <w:t>de</w:t>
            </w:r>
          </w:p>
        </w:tc>
        <w:tc>
          <w:tcPr>
            <w:tcW w:w="1887" w:type="dxa"/>
            <w:tcBorders>
              <w:bottom w:val="nil"/>
            </w:tcBorders>
          </w:tcPr>
          <w:p>
            <w:pPr>
              <w:pStyle w:val="TableParagraph"/>
              <w:spacing w:line="251" w:lineRule="exact"/>
              <w:rPr>
                <w:sz w:val="22"/>
              </w:rPr>
            </w:pPr>
            <w:r>
              <w:rPr>
                <w:sz w:val="22"/>
              </w:rPr>
              <w:t>Encargado de la</w:t>
            </w:r>
          </w:p>
        </w:tc>
        <w:tc>
          <w:tcPr>
            <w:tcW w:w="1289" w:type="dxa"/>
            <w:tcBorders>
              <w:bottom w:val="nil"/>
            </w:tcBorders>
          </w:tcPr>
          <w:p>
            <w:pPr>
              <w:pStyle w:val="TableParagraph"/>
              <w:spacing w:line="251" w:lineRule="exact"/>
              <w:rPr>
                <w:sz w:val="22"/>
              </w:rPr>
            </w:pPr>
            <w:r>
              <w:rPr>
                <w:sz w:val="22"/>
              </w:rPr>
              <w:t>n, Morelos</w:t>
            </w:r>
          </w:p>
        </w:tc>
        <w:tc>
          <w:tcPr>
            <w:tcW w:w="1174" w:type="dxa"/>
            <w:vMerge w:val="restart"/>
          </w:tcPr>
          <w:p>
            <w:pPr/>
          </w:p>
        </w:tc>
        <w:tc>
          <w:tcPr>
            <w:tcW w:w="2314" w:type="dxa"/>
            <w:tcBorders>
              <w:bottom w:val="nil"/>
            </w:tcBorders>
          </w:tcPr>
          <w:p>
            <w:pPr>
              <w:pStyle w:val="TableParagraph"/>
              <w:tabs>
                <w:tab w:pos="784" w:val="left" w:leader="none"/>
                <w:tab w:pos="1271" w:val="left" w:leader="none"/>
              </w:tabs>
              <w:spacing w:line="251" w:lineRule="exact"/>
              <w:ind w:left="100"/>
              <w:rPr>
                <w:sz w:val="22"/>
              </w:rPr>
            </w:pPr>
            <w:r>
              <w:rPr>
                <w:sz w:val="22"/>
              </w:rPr>
              <w:t>que</w:t>
              <w:tab/>
              <w:t>el</w:t>
              <w:tab/>
              <w:t>municipio</w:t>
            </w:r>
          </w:p>
        </w:tc>
        <w:tc>
          <w:tcPr>
            <w:tcW w:w="3901" w:type="dxa"/>
            <w:tcBorders>
              <w:bottom w:val="nil"/>
            </w:tcBorders>
          </w:tcPr>
          <w:p>
            <w:pPr>
              <w:pStyle w:val="TableParagraph"/>
              <w:spacing w:line="251" w:lineRule="exact"/>
              <w:rPr>
                <w:sz w:val="22"/>
              </w:rPr>
            </w:pPr>
            <w:r>
              <w:rPr>
                <w:sz w:val="22"/>
              </w:rPr>
              <w:t>tal, falta reestructurarlo.</w:t>
            </w:r>
          </w:p>
        </w:tc>
      </w:tr>
      <w:tr>
        <w:trPr>
          <w:trHeight w:val="253" w:hRule="exact"/>
        </w:trPr>
        <w:tc>
          <w:tcPr>
            <w:tcW w:w="1385" w:type="dxa"/>
            <w:tcBorders>
              <w:top w:val="nil"/>
              <w:bottom w:val="nil"/>
            </w:tcBorders>
          </w:tcPr>
          <w:p>
            <w:pPr>
              <w:pStyle w:val="TableParagraph"/>
              <w:spacing w:line="241" w:lineRule="exact"/>
              <w:ind w:left="85" w:right="88"/>
              <w:jc w:val="center"/>
              <w:rPr>
                <w:sz w:val="22"/>
              </w:rPr>
            </w:pPr>
            <w:r>
              <w:rPr>
                <w:sz w:val="22"/>
              </w:rPr>
              <w:t>Marín</w:t>
            </w:r>
          </w:p>
        </w:tc>
        <w:tc>
          <w:tcPr>
            <w:tcW w:w="1274" w:type="dxa"/>
            <w:tcBorders>
              <w:top w:val="nil"/>
              <w:bottom w:val="nil"/>
            </w:tcBorders>
          </w:tcPr>
          <w:p>
            <w:pPr>
              <w:pStyle w:val="TableParagraph"/>
              <w:spacing w:line="241" w:lineRule="exact"/>
              <w:ind w:left="100" w:right="98"/>
              <w:rPr>
                <w:sz w:val="22"/>
              </w:rPr>
            </w:pPr>
            <w:r>
              <w:rPr>
                <w:sz w:val="22"/>
              </w:rPr>
              <w:t>Primaria</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
        </w:tc>
        <w:tc>
          <w:tcPr>
            <w:tcW w:w="1174" w:type="dxa"/>
            <w:vMerge/>
          </w:tcPr>
          <w:p>
            <w:pPr/>
          </w:p>
        </w:tc>
        <w:tc>
          <w:tcPr>
            <w:tcW w:w="2314" w:type="dxa"/>
            <w:tcBorders>
              <w:top w:val="nil"/>
              <w:bottom w:val="nil"/>
            </w:tcBorders>
          </w:tcPr>
          <w:p>
            <w:pPr>
              <w:pStyle w:val="TableParagraph"/>
              <w:spacing w:line="241" w:lineRule="exact"/>
              <w:ind w:left="100"/>
              <w:rPr>
                <w:sz w:val="22"/>
              </w:rPr>
            </w:pPr>
            <w:r>
              <w:rPr>
                <w:sz w:val="22"/>
              </w:rPr>
              <w:t>recibe  de  la </w:t>
            </w:r>
            <w:r>
              <w:rPr>
                <w:spacing w:val="53"/>
                <w:sz w:val="22"/>
              </w:rPr>
              <w:t> </w:t>
            </w:r>
            <w:r>
              <w:rPr>
                <w:sz w:val="22"/>
              </w:rPr>
              <w:t>laguna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vMerge/>
          </w:tcPr>
          <w:p>
            <w:pPr/>
          </w:p>
        </w:tc>
        <w:tc>
          <w:tcPr>
            <w:tcW w:w="2314" w:type="dxa"/>
            <w:tcBorders>
              <w:top w:val="nil"/>
              <w:bottom w:val="nil"/>
            </w:tcBorders>
          </w:tcPr>
          <w:p>
            <w:pPr>
              <w:pStyle w:val="TableParagraph"/>
              <w:tabs>
                <w:tab w:pos="566" w:val="left" w:leader="none"/>
                <w:tab w:pos="966" w:val="left" w:leader="none"/>
                <w:tab w:pos="1688" w:val="left" w:leader="none"/>
                <w:tab w:pos="2028" w:val="left" w:leader="none"/>
              </w:tabs>
              <w:spacing w:line="242" w:lineRule="exact"/>
              <w:ind w:left="100"/>
              <w:rPr>
                <w:sz w:val="22"/>
              </w:rPr>
            </w:pPr>
            <w:r>
              <w:rPr>
                <w:sz w:val="22"/>
              </w:rPr>
              <w:t>es</w:t>
              <w:tab/>
              <w:t>el</w:t>
              <w:tab/>
              <w:t>riego</w:t>
              <w:tab/>
              <w:t>y</w:t>
              <w:tab/>
              <w:t>la</w:t>
            </w: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ind w:left="85" w:right="85"/>
              <w:jc w:val="center"/>
              <w:rPr>
                <w:sz w:val="22"/>
              </w:rPr>
            </w:pPr>
            <w:r>
              <w:rPr>
                <w:sz w:val="22"/>
              </w:rPr>
              <w:t>(29/8/2014)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Agropecuario</w:t>
            </w:r>
          </w:p>
        </w:tc>
        <w:tc>
          <w:tcPr>
            <w:tcW w:w="1289" w:type="dxa"/>
            <w:tcBorders>
              <w:top w:val="nil"/>
            </w:tcBorders>
          </w:tcPr>
          <w:p>
            <w:pPr/>
          </w:p>
        </w:tc>
        <w:tc>
          <w:tcPr>
            <w:tcW w:w="1174" w:type="dxa"/>
            <w:vMerge/>
          </w:tcPr>
          <w:p>
            <w:pPr/>
          </w:p>
        </w:tc>
        <w:tc>
          <w:tcPr>
            <w:tcW w:w="2314" w:type="dxa"/>
            <w:tcBorders>
              <w:top w:val="nil"/>
            </w:tcBorders>
          </w:tcPr>
          <w:p>
            <w:pPr>
              <w:pStyle w:val="TableParagraph"/>
              <w:spacing w:line="241" w:lineRule="exact"/>
              <w:ind w:left="100"/>
              <w:rPr>
                <w:sz w:val="22"/>
              </w:rPr>
            </w:pPr>
            <w:r>
              <w:rPr>
                <w:sz w:val="22"/>
              </w:rPr>
              <w:t>pesca.</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left="85" w:right="85"/>
              <w:jc w:val="center"/>
              <w:rPr>
                <w:sz w:val="22"/>
              </w:rPr>
            </w:pPr>
            <w:r>
              <w:rPr>
                <w:sz w:val="22"/>
              </w:rPr>
              <w:t>Daniel</w:t>
            </w:r>
          </w:p>
        </w:tc>
        <w:tc>
          <w:tcPr>
            <w:tcW w:w="1274" w:type="dxa"/>
            <w:tcBorders>
              <w:bottom w:val="nil"/>
            </w:tcBorders>
          </w:tcPr>
          <w:p>
            <w:pPr>
              <w:pStyle w:val="TableParagraph"/>
              <w:spacing w:line="251" w:lineRule="exact"/>
              <w:ind w:left="100" w:right="98"/>
              <w:rPr>
                <w:sz w:val="22"/>
              </w:rPr>
            </w:pPr>
            <w:r>
              <w:rPr>
                <w:sz w:val="22"/>
              </w:rPr>
              <w:t>Ingeniería</w:t>
            </w:r>
          </w:p>
        </w:tc>
        <w:tc>
          <w:tcPr>
            <w:tcW w:w="1887" w:type="dxa"/>
            <w:tcBorders>
              <w:bottom w:val="nil"/>
            </w:tcBorders>
          </w:tcPr>
          <w:p>
            <w:pPr>
              <w:pStyle w:val="TableParagraph"/>
              <w:spacing w:line="251" w:lineRule="exact"/>
              <w:rPr>
                <w:sz w:val="22"/>
              </w:rPr>
            </w:pPr>
            <w:r>
              <w:rPr>
                <w:sz w:val="22"/>
              </w:rPr>
              <w:t>Décimo Regidor.</w:t>
            </w:r>
          </w:p>
        </w:tc>
        <w:tc>
          <w:tcPr>
            <w:tcW w:w="1289" w:type="dxa"/>
            <w:tcBorders>
              <w:bottom w:val="nil"/>
            </w:tcBorders>
          </w:tcPr>
          <w:p>
            <w:pPr>
              <w:pStyle w:val="TableParagraph"/>
              <w:spacing w:line="251" w:lineRule="exact"/>
              <w:rPr>
                <w:sz w:val="22"/>
              </w:rPr>
            </w:pPr>
            <w:r>
              <w:rPr>
                <w:sz w:val="22"/>
              </w:rPr>
              <w:t>Distrito</w:t>
            </w:r>
          </w:p>
        </w:tc>
        <w:tc>
          <w:tcPr>
            <w:tcW w:w="1174" w:type="dxa"/>
            <w:tcBorders>
              <w:bottom w:val="nil"/>
            </w:tcBorders>
          </w:tcPr>
          <w:p>
            <w:pPr>
              <w:pStyle w:val="TableParagraph"/>
              <w:spacing w:line="251" w:lineRule="exact"/>
              <w:ind w:left="23" w:right="109"/>
              <w:jc w:val="center"/>
              <w:rPr>
                <w:sz w:val="22"/>
              </w:rPr>
            </w:pPr>
            <w:r>
              <w:rPr>
                <w:sz w:val="22"/>
              </w:rPr>
              <w:t>Jilotepec</w:t>
            </w:r>
          </w:p>
        </w:tc>
        <w:tc>
          <w:tcPr>
            <w:tcW w:w="2314" w:type="dxa"/>
            <w:tcBorders>
              <w:bottom w:val="nil"/>
            </w:tcBorders>
          </w:tcPr>
          <w:p>
            <w:pPr>
              <w:pStyle w:val="TableParagraph"/>
              <w:spacing w:line="251" w:lineRule="exact"/>
              <w:ind w:left="100"/>
              <w:rPr>
                <w:sz w:val="22"/>
              </w:rPr>
            </w:pPr>
            <w:r>
              <w:rPr>
                <w:sz w:val="22"/>
              </w:rPr>
              <w:t>El  principal beneficio</w:t>
            </w:r>
          </w:p>
        </w:tc>
        <w:tc>
          <w:tcPr>
            <w:tcW w:w="3901" w:type="dxa"/>
            <w:tcBorders>
              <w:bottom w:val="nil"/>
            </w:tcBorders>
          </w:tcPr>
          <w:p>
            <w:pPr>
              <w:pStyle w:val="TableParagraph"/>
              <w:spacing w:line="251" w:lineRule="exact"/>
              <w:rPr>
                <w:sz w:val="22"/>
              </w:rPr>
            </w:pPr>
            <w:r>
              <w:rPr>
                <w:sz w:val="22"/>
              </w:rPr>
              <w:t>Sí porque mi municipio no es el único</w:t>
            </w:r>
          </w:p>
        </w:tc>
      </w:tr>
      <w:tr>
        <w:trPr>
          <w:trHeight w:val="253" w:hRule="exact"/>
        </w:trPr>
        <w:tc>
          <w:tcPr>
            <w:tcW w:w="1385" w:type="dxa"/>
            <w:tcBorders>
              <w:top w:val="nil"/>
              <w:bottom w:val="nil"/>
            </w:tcBorders>
          </w:tcPr>
          <w:p>
            <w:pPr>
              <w:pStyle w:val="TableParagraph"/>
              <w:spacing w:line="241" w:lineRule="exact"/>
              <w:ind w:left="85" w:right="85"/>
              <w:jc w:val="center"/>
              <w:rPr>
                <w:sz w:val="22"/>
              </w:rPr>
            </w:pPr>
            <w:r>
              <w:rPr>
                <w:sz w:val="22"/>
              </w:rPr>
              <w:t>Arciniega</w:t>
            </w:r>
          </w:p>
        </w:tc>
        <w:tc>
          <w:tcPr>
            <w:tcW w:w="1274" w:type="dxa"/>
            <w:tcBorders>
              <w:top w:val="nil"/>
              <w:bottom w:val="nil"/>
            </w:tcBorders>
          </w:tcPr>
          <w:p>
            <w:pPr>
              <w:pStyle w:val="TableParagraph"/>
              <w:spacing w:line="241" w:lineRule="exact"/>
              <w:ind w:left="100" w:right="98"/>
              <w:rPr>
                <w:sz w:val="22"/>
              </w:rPr>
            </w:pPr>
            <w:r>
              <w:rPr>
                <w:sz w:val="22"/>
              </w:rPr>
              <w:t>Industrial</w:t>
            </w:r>
          </w:p>
        </w:tc>
        <w:tc>
          <w:tcPr>
            <w:tcW w:w="1887" w:type="dxa"/>
            <w:tcBorders>
              <w:top w:val="nil"/>
              <w:bottom w:val="nil"/>
            </w:tcBorders>
          </w:tcPr>
          <w:p>
            <w:pPr>
              <w:pStyle w:val="TableParagraph"/>
              <w:spacing w:line="241" w:lineRule="exact"/>
              <w:rPr>
                <w:sz w:val="22"/>
              </w:rPr>
            </w:pPr>
            <w:r>
              <w:rPr>
                <w:sz w:val="22"/>
              </w:rPr>
              <w:t>Encargado  de la</w:t>
            </w:r>
          </w:p>
        </w:tc>
        <w:tc>
          <w:tcPr>
            <w:tcW w:w="1289" w:type="dxa"/>
            <w:tcBorders>
              <w:top w:val="nil"/>
              <w:bottom w:val="nil"/>
            </w:tcBorders>
          </w:tcPr>
          <w:p>
            <w:pPr>
              <w:pStyle w:val="TableParagraph"/>
              <w:spacing w:line="241" w:lineRule="exact"/>
              <w:rPr>
                <w:sz w:val="22"/>
              </w:rPr>
            </w:pPr>
            <w:r>
              <w:rPr>
                <w:sz w:val="22"/>
              </w:rPr>
              <w:t>Federal</w:t>
            </w:r>
          </w:p>
        </w:tc>
        <w:tc>
          <w:tcPr>
            <w:tcW w:w="1174" w:type="dxa"/>
            <w:tcBorders>
              <w:top w:val="nil"/>
              <w:bottom w:val="nil"/>
            </w:tcBorders>
          </w:tcPr>
          <w:p>
            <w:pPr/>
          </w:p>
        </w:tc>
        <w:tc>
          <w:tcPr>
            <w:tcW w:w="2314" w:type="dxa"/>
            <w:tcBorders>
              <w:top w:val="nil"/>
              <w:bottom w:val="nil"/>
            </w:tcBorders>
          </w:tcPr>
          <w:p>
            <w:pPr>
              <w:pStyle w:val="TableParagraph"/>
              <w:tabs>
                <w:tab w:pos="949" w:val="left" w:leader="none"/>
                <w:tab w:pos="2029" w:val="left" w:leader="none"/>
              </w:tabs>
              <w:spacing w:line="241" w:lineRule="exact"/>
              <w:ind w:left="100"/>
              <w:rPr>
                <w:sz w:val="22"/>
              </w:rPr>
            </w:pPr>
            <w:r>
              <w:rPr>
                <w:sz w:val="22"/>
              </w:rPr>
              <w:t>que</w:t>
              <w:tab/>
              <w:t>recibe</w:t>
              <w:tab/>
              <w:t>el</w:t>
            </w:r>
          </w:p>
        </w:tc>
        <w:tc>
          <w:tcPr>
            <w:tcW w:w="3901" w:type="dxa"/>
            <w:tcBorders>
              <w:top w:val="nil"/>
              <w:bottom w:val="nil"/>
            </w:tcBorders>
          </w:tcPr>
          <w:p>
            <w:pPr>
              <w:pStyle w:val="TableParagraph"/>
              <w:spacing w:line="241" w:lineRule="exact"/>
              <w:rPr>
                <w:sz w:val="22"/>
              </w:rPr>
            </w:pPr>
            <w:r>
              <w:rPr>
                <w:sz w:val="22"/>
              </w:rPr>
              <w:t>que  depende  de  ella  y así como se</w:t>
            </w:r>
          </w:p>
        </w:tc>
      </w:tr>
      <w:tr>
        <w:trPr>
          <w:trHeight w:val="253" w:hRule="exact"/>
        </w:trPr>
        <w:tc>
          <w:tcPr>
            <w:tcW w:w="1385" w:type="dxa"/>
            <w:tcBorders>
              <w:top w:val="nil"/>
              <w:bottom w:val="nil"/>
            </w:tcBorders>
          </w:tcPr>
          <w:p>
            <w:pPr>
              <w:pStyle w:val="TableParagraph"/>
              <w:spacing w:line="242" w:lineRule="exact"/>
              <w:ind w:left="85" w:right="86"/>
              <w:jc w:val="center"/>
              <w:rPr>
                <w:sz w:val="22"/>
              </w:rPr>
            </w:pPr>
            <w:r>
              <w:rPr>
                <w:sz w:val="22"/>
              </w:rPr>
              <w:t>Sandoval</w:t>
            </w:r>
          </w:p>
        </w:tc>
        <w:tc>
          <w:tcPr>
            <w:tcW w:w="1274" w:type="dxa"/>
            <w:tcBorders>
              <w:top w:val="nil"/>
              <w:bottom w:val="nil"/>
            </w:tcBorders>
          </w:tcPr>
          <w:p>
            <w:pPr>
              <w:pStyle w:val="TableParagraph"/>
              <w:spacing w:line="242" w:lineRule="exact"/>
              <w:ind w:left="100" w:right="98"/>
              <w:rPr>
                <w:sz w:val="22"/>
              </w:rPr>
            </w:pPr>
            <w:r>
              <w:rPr>
                <w:sz w:val="22"/>
              </w:rPr>
              <w:t>Textil</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08" w:val="left" w:leader="none"/>
                <w:tab w:pos="2029" w:val="left" w:leader="none"/>
              </w:tabs>
              <w:spacing w:line="242" w:lineRule="exact"/>
              <w:ind w:left="100"/>
              <w:rPr>
                <w:sz w:val="22"/>
              </w:rPr>
            </w:pPr>
            <w:r>
              <w:rPr>
                <w:sz w:val="22"/>
              </w:rPr>
              <w:t>municipio</w:t>
              <w:tab/>
              <w:t>de</w:t>
              <w:tab/>
              <w:t>la</w:t>
            </w:r>
          </w:p>
        </w:tc>
        <w:tc>
          <w:tcPr>
            <w:tcW w:w="3901" w:type="dxa"/>
            <w:tcBorders>
              <w:top w:val="nil"/>
              <w:bottom w:val="nil"/>
            </w:tcBorders>
          </w:tcPr>
          <w:p>
            <w:pPr>
              <w:pStyle w:val="TableParagraph"/>
              <w:spacing w:line="242" w:lineRule="exact"/>
              <w:rPr>
                <w:sz w:val="22"/>
              </w:rPr>
            </w:pPr>
            <w:r>
              <w:rPr>
                <w:sz w:val="22"/>
              </w:rPr>
              <w:t>sirven hay que cuidarla, hay dos tipos</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(carrera</w:t>
            </w:r>
          </w:p>
        </w:tc>
        <w:tc>
          <w:tcPr>
            <w:tcW w:w="1887" w:type="dxa"/>
            <w:tcBorders>
              <w:top w:val="nil"/>
              <w:bottom w:val="nil"/>
            </w:tcBorders>
          </w:tcPr>
          <w:p>
            <w:pPr>
              <w:pStyle w:val="TableParagraph"/>
              <w:spacing w:line="241"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laguna  es  el  riego y</w:t>
            </w:r>
          </w:p>
        </w:tc>
        <w:tc>
          <w:tcPr>
            <w:tcW w:w="3901" w:type="dxa"/>
            <w:tcBorders>
              <w:top w:val="nil"/>
              <w:bottom w:val="nil"/>
            </w:tcBorders>
          </w:tcPr>
          <w:p>
            <w:pPr>
              <w:pStyle w:val="TableParagraph"/>
              <w:spacing w:line="241" w:lineRule="exact"/>
              <w:rPr>
                <w:sz w:val="22"/>
              </w:rPr>
            </w:pPr>
            <w:r>
              <w:rPr>
                <w:sz w:val="22"/>
              </w:rPr>
              <w:t>de cultura  para hacerlo, una que   se</w:t>
            </w:r>
          </w:p>
        </w:tc>
      </w:tr>
      <w:tr>
        <w:trPr>
          <w:trHeight w:val="253" w:hRule="exact"/>
        </w:trPr>
        <w:tc>
          <w:tcPr>
            <w:tcW w:w="1385" w:type="dxa"/>
            <w:tcBorders>
              <w:top w:val="nil"/>
              <w:bottom w:val="nil"/>
            </w:tcBorders>
          </w:tcPr>
          <w:p>
            <w:pPr>
              <w:pStyle w:val="TableParagraph"/>
              <w:spacing w:line="241" w:lineRule="exact"/>
              <w:ind w:left="85" w:right="85"/>
              <w:jc w:val="center"/>
              <w:rPr>
                <w:sz w:val="22"/>
              </w:rPr>
            </w:pPr>
            <w:r>
              <w:rPr>
                <w:sz w:val="22"/>
              </w:rPr>
              <w:t>(29/8/2014)</w:t>
            </w:r>
          </w:p>
        </w:tc>
        <w:tc>
          <w:tcPr>
            <w:tcW w:w="1274" w:type="dxa"/>
            <w:tcBorders>
              <w:top w:val="nil"/>
              <w:bottom w:val="nil"/>
            </w:tcBorders>
          </w:tcPr>
          <w:p>
            <w:pPr>
              <w:pStyle w:val="TableParagraph"/>
              <w:spacing w:line="241" w:lineRule="exact"/>
              <w:ind w:left="100" w:right="98"/>
              <w:rPr>
                <w:sz w:val="22"/>
              </w:rPr>
            </w:pPr>
            <w:r>
              <w:rPr>
                <w:sz w:val="22"/>
              </w:rPr>
              <w:t>trunca)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la pesca.</w:t>
            </w:r>
          </w:p>
        </w:tc>
        <w:tc>
          <w:tcPr>
            <w:tcW w:w="3901" w:type="dxa"/>
            <w:tcBorders>
              <w:top w:val="nil"/>
              <w:bottom w:val="nil"/>
            </w:tcBorders>
          </w:tcPr>
          <w:p>
            <w:pPr>
              <w:pStyle w:val="TableParagraph"/>
              <w:spacing w:line="241" w:lineRule="exact"/>
              <w:rPr>
                <w:sz w:val="22"/>
              </w:rPr>
            </w:pPr>
            <w:r>
              <w:rPr>
                <w:sz w:val="22"/>
              </w:rPr>
              <w:t>obliga a través de la ley,  es decir  </w:t>
            </w:r>
            <w:r>
              <w:rPr>
                <w:spacing w:val="52"/>
                <w:sz w:val="22"/>
              </w:rPr>
              <w:t> </w:t>
            </w:r>
            <w:r>
              <w:rPr>
                <w:sz w:val="22"/>
              </w:rPr>
              <w:t>la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que sanciona  y otra la  que  vemos y</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tabs>
                <w:tab w:pos="628" w:val="left" w:leader="none"/>
                <w:tab w:pos="1835" w:val="left" w:leader="none"/>
                <w:tab w:pos="2540" w:val="left" w:leader="none"/>
                <w:tab w:pos="3065" w:val="left" w:leader="none"/>
              </w:tabs>
              <w:spacing w:line="241" w:lineRule="exact"/>
              <w:rPr>
                <w:sz w:val="22"/>
              </w:rPr>
            </w:pPr>
            <w:r>
              <w:rPr>
                <w:sz w:val="22"/>
              </w:rPr>
              <w:t>se</w:t>
              <w:tab/>
              <w:t>adquiere,</w:t>
              <w:tab/>
              <w:t>ésta</w:t>
              <w:tab/>
              <w:t>se</w:t>
              <w:tab/>
              <w:t>obtiene</w:t>
            </w: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2" w:lineRule="exact"/>
              <w:rPr>
                <w:sz w:val="22"/>
              </w:rPr>
            </w:pPr>
            <w:r>
              <w:rPr>
                <w:sz w:val="22"/>
              </w:rPr>
              <w:t>mediante invitación.</w:t>
            </w:r>
          </w:p>
        </w:tc>
      </w:tr>
      <w:tr>
        <w:trPr>
          <w:trHeight w:val="267" w:hRule="exact"/>
        </w:trPr>
        <w:tc>
          <w:tcPr>
            <w:tcW w:w="1385" w:type="dxa"/>
            <w:tcBorders>
              <w:bottom w:val="nil"/>
            </w:tcBorders>
          </w:tcPr>
          <w:p>
            <w:pPr>
              <w:pStyle w:val="TableParagraph"/>
              <w:spacing w:line="251" w:lineRule="exact"/>
              <w:ind w:left="85" w:right="85"/>
              <w:jc w:val="center"/>
              <w:rPr>
                <w:sz w:val="22"/>
              </w:rPr>
            </w:pPr>
            <w:r>
              <w:rPr>
                <w:sz w:val="22"/>
              </w:rPr>
              <w:t>Santos</w:t>
            </w:r>
          </w:p>
        </w:tc>
        <w:tc>
          <w:tcPr>
            <w:tcW w:w="1274" w:type="dxa"/>
            <w:tcBorders>
              <w:bottom w:val="nil"/>
            </w:tcBorders>
          </w:tcPr>
          <w:p>
            <w:pP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289" w:type="dxa"/>
            <w:tcBorders>
              <w:bottom w:val="nil"/>
            </w:tcBorders>
          </w:tcPr>
          <w:p>
            <w:pPr>
              <w:pStyle w:val="TableParagraph"/>
              <w:spacing w:line="251" w:lineRule="exact"/>
              <w:rPr>
                <w:sz w:val="22"/>
              </w:rPr>
            </w:pPr>
            <w:r>
              <w:rPr>
                <w:sz w:val="22"/>
              </w:rPr>
              <w:t>Jilotepec</w:t>
            </w:r>
          </w:p>
        </w:tc>
        <w:tc>
          <w:tcPr>
            <w:tcW w:w="1174" w:type="dxa"/>
            <w:tcBorders>
              <w:bottom w:val="nil"/>
            </w:tcBorders>
          </w:tcPr>
          <w:p>
            <w:pPr>
              <w:pStyle w:val="TableParagraph"/>
              <w:spacing w:line="251" w:lineRule="exact"/>
              <w:ind w:left="23" w:right="109"/>
              <w:jc w:val="center"/>
              <w:rPr>
                <w:sz w:val="22"/>
              </w:rPr>
            </w:pPr>
            <w:r>
              <w:rPr>
                <w:sz w:val="22"/>
              </w:rPr>
              <w:t>Jilotepec</w:t>
            </w:r>
          </w:p>
        </w:tc>
        <w:tc>
          <w:tcPr>
            <w:tcW w:w="2314" w:type="dxa"/>
            <w:tcBorders>
              <w:bottom w:val="nil"/>
            </w:tcBorders>
          </w:tcPr>
          <w:p>
            <w:pPr>
              <w:pStyle w:val="TableParagraph"/>
              <w:spacing w:line="251" w:lineRule="exact"/>
              <w:ind w:left="100"/>
              <w:rPr>
                <w:sz w:val="22"/>
              </w:rPr>
            </w:pPr>
            <w:r>
              <w:rPr>
                <w:sz w:val="22"/>
              </w:rPr>
              <w:t>El  riego  de  su zona</w:t>
            </w:r>
          </w:p>
        </w:tc>
        <w:tc>
          <w:tcPr>
            <w:tcW w:w="3901" w:type="dxa"/>
            <w:tcBorders>
              <w:bottom w:val="nil"/>
            </w:tcBorders>
          </w:tcPr>
          <w:p>
            <w:pPr>
              <w:pStyle w:val="TableParagraph"/>
              <w:spacing w:line="251" w:lineRule="exact"/>
              <w:rPr>
                <w:sz w:val="22"/>
              </w:rPr>
            </w:pPr>
            <w:r>
              <w:rPr>
                <w:sz w:val="22"/>
              </w:rPr>
              <w:t>Sí   para   la   concientización   de   la</w:t>
            </w: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Martínez</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spacing w:line="242" w:lineRule="exact"/>
              <w:rPr>
                <w:sz w:val="22"/>
              </w:rPr>
            </w:pPr>
            <w:r>
              <w:rPr>
                <w:sz w:val="22"/>
              </w:rPr>
              <w:t>Departamento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agrícola,  la  derrama</w:t>
            </w:r>
          </w:p>
        </w:tc>
        <w:tc>
          <w:tcPr>
            <w:tcW w:w="3901" w:type="dxa"/>
            <w:tcBorders>
              <w:top w:val="nil"/>
              <w:bottom w:val="nil"/>
            </w:tcBorders>
          </w:tcPr>
          <w:p>
            <w:pPr>
              <w:pStyle w:val="TableParagraph"/>
              <w:spacing w:line="242" w:lineRule="exact"/>
              <w:rPr>
                <w:sz w:val="22"/>
              </w:rPr>
            </w:pPr>
            <w:r>
              <w:rPr>
                <w:sz w:val="22"/>
              </w:rPr>
              <w:t>población.</w:t>
            </w:r>
          </w:p>
        </w:tc>
      </w:tr>
      <w:tr>
        <w:trPr>
          <w:trHeight w:val="252" w:hRule="exact"/>
        </w:trPr>
        <w:tc>
          <w:tcPr>
            <w:tcW w:w="1385" w:type="dxa"/>
            <w:tcBorders>
              <w:top w:val="nil"/>
              <w:bottom w:val="nil"/>
            </w:tcBorders>
          </w:tcPr>
          <w:p>
            <w:pPr>
              <w:pStyle w:val="TableParagraph"/>
              <w:spacing w:line="241" w:lineRule="exact"/>
              <w:ind w:left="85" w:right="84"/>
              <w:jc w:val="center"/>
              <w:rPr>
                <w:sz w:val="22"/>
              </w:rPr>
            </w:pPr>
            <w:r>
              <w:rPr>
                <w:sz w:val="22"/>
              </w:rPr>
              <w:t>Alcántara</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 Ecología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económica   para  los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51" w:val="left" w:leader="none"/>
                <w:tab w:pos="2030" w:val="left" w:leader="none"/>
              </w:tabs>
              <w:spacing w:line="241" w:lineRule="exact"/>
              <w:ind w:left="100"/>
              <w:rPr>
                <w:sz w:val="22"/>
              </w:rPr>
            </w:pPr>
            <w:r>
              <w:rPr>
                <w:sz w:val="22"/>
              </w:rPr>
              <w:t>pobladores</w:t>
              <w:tab/>
              <w:t>por</w:t>
              <w:tab/>
              <w:t>la</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(15/I/2014)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pesca,  el  turismo, la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agricultura y la  venta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y  procesamiento </w:t>
            </w:r>
            <w:r>
              <w:rPr>
                <w:spacing w:val="58"/>
                <w:sz w:val="22"/>
              </w:rPr>
              <w:t> </w:t>
            </w:r>
            <w:r>
              <w:rPr>
                <w:sz w:val="22"/>
              </w:rPr>
              <w:t>de</w:t>
            </w: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lácteos.</w:t>
            </w:r>
          </w:p>
        </w:tc>
        <w:tc>
          <w:tcPr>
            <w:tcW w:w="3901" w:type="dxa"/>
            <w:tcBorders>
              <w:top w:val="nil"/>
            </w:tcBorders>
          </w:tcPr>
          <w:p>
            <w:pPr/>
          </w:p>
        </w:tc>
      </w:tr>
      <w:tr>
        <w:trPr>
          <w:trHeight w:val="269" w:hRule="exact"/>
        </w:trPr>
        <w:tc>
          <w:tcPr>
            <w:tcW w:w="1385" w:type="dxa"/>
            <w:tcBorders>
              <w:bottom w:val="nil"/>
            </w:tcBorders>
          </w:tcPr>
          <w:p>
            <w:pPr>
              <w:pStyle w:val="TableParagraph"/>
              <w:ind w:left="85" w:right="85"/>
              <w:jc w:val="center"/>
              <w:rPr>
                <w:sz w:val="22"/>
              </w:rPr>
            </w:pPr>
            <w:r>
              <w:rPr>
                <w:sz w:val="22"/>
              </w:rPr>
              <w:t>Jaime</w:t>
            </w:r>
          </w:p>
        </w:tc>
        <w:tc>
          <w:tcPr>
            <w:tcW w:w="1274" w:type="dxa"/>
            <w:tcBorders>
              <w:bottom w:val="nil"/>
            </w:tcBorders>
          </w:tcPr>
          <w:p>
            <w:pPr>
              <w:pStyle w:val="TableParagraph"/>
              <w:ind w:left="100"/>
              <w:rPr>
                <w:sz w:val="22"/>
              </w:rPr>
            </w:pPr>
            <w:r>
              <w:rPr>
                <w:sz w:val="22"/>
              </w:rPr>
              <w:t>Licenciado</w:t>
            </w:r>
          </w:p>
        </w:tc>
        <w:tc>
          <w:tcPr>
            <w:tcW w:w="1887" w:type="dxa"/>
            <w:tcBorders>
              <w:bottom w:val="nil"/>
            </w:tcBorders>
          </w:tcPr>
          <w:p>
            <w:pPr>
              <w:pStyle w:val="TableParagraph"/>
              <w:tabs>
                <w:tab w:pos="1480" w:val="left" w:leader="none"/>
              </w:tabs>
              <w:rPr>
                <w:sz w:val="22"/>
              </w:rPr>
            </w:pPr>
            <w:r>
              <w:rPr>
                <w:sz w:val="22"/>
              </w:rPr>
              <w:t>Jefe</w:t>
              <w:tab/>
              <w:t>del</w:t>
            </w:r>
          </w:p>
        </w:tc>
        <w:tc>
          <w:tcPr>
            <w:tcW w:w="1289" w:type="dxa"/>
            <w:tcBorders>
              <w:bottom w:val="nil"/>
            </w:tcBorders>
          </w:tcPr>
          <w:p>
            <w:pPr>
              <w:pStyle w:val="TableParagraph"/>
              <w:ind w:left="295"/>
              <w:rPr>
                <w:sz w:val="22"/>
              </w:rPr>
            </w:pPr>
            <w:r>
              <w:rPr>
                <w:sz w:val="22"/>
              </w:rPr>
              <w:t>Distrito</w:t>
            </w:r>
          </w:p>
        </w:tc>
        <w:tc>
          <w:tcPr>
            <w:tcW w:w="1174" w:type="dxa"/>
            <w:tcBorders>
              <w:bottom w:val="nil"/>
            </w:tcBorders>
          </w:tcPr>
          <w:p>
            <w:pPr>
              <w:pStyle w:val="TableParagraph"/>
              <w:ind w:left="84" w:right="84"/>
              <w:jc w:val="center"/>
              <w:rPr>
                <w:sz w:val="22"/>
              </w:rPr>
            </w:pPr>
            <w:r>
              <w:rPr>
                <w:sz w:val="22"/>
              </w:rPr>
              <w:t>Jilotepec</w:t>
            </w:r>
          </w:p>
        </w:tc>
        <w:tc>
          <w:tcPr>
            <w:tcW w:w="2314" w:type="dxa"/>
            <w:tcBorders>
              <w:bottom w:val="nil"/>
            </w:tcBorders>
          </w:tcPr>
          <w:p>
            <w:pPr>
              <w:pStyle w:val="TableParagraph"/>
              <w:ind w:left="100"/>
              <w:rPr>
                <w:sz w:val="22"/>
              </w:rPr>
            </w:pPr>
            <w:r>
              <w:rPr>
                <w:sz w:val="22"/>
              </w:rPr>
              <w:t>El riego para maíz   y</w:t>
            </w:r>
          </w:p>
        </w:tc>
        <w:tc>
          <w:tcPr>
            <w:tcW w:w="3901" w:type="dxa"/>
            <w:tcBorders>
              <w:bottom w:val="nil"/>
            </w:tcBorders>
          </w:tcPr>
          <w:p>
            <w:pPr>
              <w:pStyle w:val="TableParagraph"/>
              <w:rPr>
                <w:sz w:val="22"/>
              </w:rPr>
            </w:pPr>
            <w:r>
              <w:rPr>
                <w:sz w:val="22"/>
              </w:rPr>
              <w:t>Considero prudente un reglamento</w:t>
            </w:r>
          </w:p>
        </w:tc>
      </w:tr>
      <w:tr>
        <w:trPr>
          <w:trHeight w:val="252" w:hRule="exact"/>
        </w:trPr>
        <w:tc>
          <w:tcPr>
            <w:tcW w:w="1385" w:type="dxa"/>
            <w:tcBorders>
              <w:top w:val="nil"/>
              <w:bottom w:val="nil"/>
            </w:tcBorders>
          </w:tcPr>
          <w:p>
            <w:pPr>
              <w:pStyle w:val="TableParagraph"/>
              <w:spacing w:line="241" w:lineRule="exact"/>
              <w:ind w:left="85" w:right="85"/>
              <w:jc w:val="center"/>
              <w:rPr>
                <w:sz w:val="22"/>
              </w:rPr>
            </w:pPr>
            <w:r>
              <w:rPr>
                <w:sz w:val="22"/>
              </w:rPr>
              <w:t>Sánchez</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Departamento</w:t>
            </w:r>
          </w:p>
        </w:tc>
        <w:tc>
          <w:tcPr>
            <w:tcW w:w="1289" w:type="dxa"/>
            <w:tcBorders>
              <w:top w:val="nil"/>
              <w:bottom w:val="nil"/>
            </w:tcBorders>
          </w:tcPr>
          <w:p>
            <w:pPr>
              <w:pStyle w:val="TableParagraph"/>
              <w:spacing w:line="241" w:lineRule="exact"/>
              <w:ind w:left="266"/>
              <w:rPr>
                <w:sz w:val="22"/>
              </w:rPr>
            </w:pPr>
            <w:r>
              <w:rPr>
                <w:sz w:val="22"/>
              </w:rPr>
              <w:t>Federal</w:t>
            </w: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la pesca.</w:t>
            </w:r>
          </w:p>
        </w:tc>
        <w:tc>
          <w:tcPr>
            <w:tcW w:w="3901" w:type="dxa"/>
            <w:tcBorders>
              <w:top w:val="nil"/>
              <w:bottom w:val="nil"/>
            </w:tcBorders>
          </w:tcPr>
          <w:p>
            <w:pPr>
              <w:pStyle w:val="TableParagraph"/>
              <w:spacing w:line="241" w:lineRule="exact"/>
              <w:rPr>
                <w:sz w:val="22"/>
              </w:rPr>
            </w:pPr>
            <w:r>
              <w:rPr>
                <w:sz w:val="22"/>
              </w:rPr>
              <w:t>intermunicipal.</w:t>
            </w:r>
          </w:p>
        </w:tc>
      </w:tr>
      <w:tr>
        <w:trPr>
          <w:trHeight w:val="253" w:hRule="exact"/>
        </w:trPr>
        <w:tc>
          <w:tcPr>
            <w:tcW w:w="1385" w:type="dxa"/>
            <w:tcBorders>
              <w:top w:val="nil"/>
              <w:bottom w:val="nil"/>
            </w:tcBorders>
          </w:tcPr>
          <w:p>
            <w:pPr>
              <w:pStyle w:val="TableParagraph"/>
              <w:spacing w:line="241" w:lineRule="exact"/>
              <w:ind w:left="85" w:right="85"/>
              <w:jc w:val="center"/>
              <w:rPr>
                <w:sz w:val="22"/>
              </w:rPr>
            </w:pPr>
            <w:r>
              <w:rPr>
                <w:sz w:val="22"/>
              </w:rPr>
              <w:t>Miranda</w:t>
            </w:r>
          </w:p>
        </w:tc>
        <w:tc>
          <w:tcPr>
            <w:tcW w:w="1274" w:type="dxa"/>
            <w:tcBorders>
              <w:top w:val="nil"/>
              <w:bottom w:val="nil"/>
            </w:tcBorders>
          </w:tcPr>
          <w:p>
            <w:pPr>
              <w:pStyle w:val="TableParagraph"/>
              <w:spacing w:line="241" w:lineRule="exact"/>
              <w:ind w:left="100" w:right="98"/>
              <w:rPr>
                <w:sz w:val="22"/>
              </w:rPr>
            </w:pPr>
            <w:r>
              <w:rPr>
                <w:sz w:val="22"/>
              </w:rPr>
              <w:t>Economía</w:t>
            </w:r>
          </w:p>
        </w:tc>
        <w:tc>
          <w:tcPr>
            <w:tcW w:w="1887" w:type="dxa"/>
            <w:tcBorders>
              <w:top w:val="nil"/>
              <w:bottom w:val="nil"/>
            </w:tcBorders>
          </w:tcPr>
          <w:p>
            <w:pPr>
              <w:pStyle w:val="TableParagraph"/>
              <w:tabs>
                <w:tab w:pos="904" w:val="left" w:leader="none"/>
              </w:tabs>
              <w:spacing w:line="241" w:lineRule="exact"/>
              <w:rPr>
                <w:sz w:val="22"/>
              </w:rPr>
            </w:pPr>
            <w:r>
              <w:rPr>
                <w:sz w:val="22"/>
              </w:rPr>
              <w:t>de</w:t>
              <w:tab/>
              <w:t>Fomento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42" w:lineRule="exact"/>
              <w:rPr>
                <w:sz w:val="22"/>
              </w:rPr>
            </w:pPr>
            <w:r>
              <w:rPr>
                <w:sz w:val="22"/>
              </w:rPr>
              <w:t>Económico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502" w:hRule="exact"/>
        </w:trPr>
        <w:tc>
          <w:tcPr>
            <w:tcW w:w="1385" w:type="dxa"/>
            <w:tcBorders>
              <w:top w:val="nil"/>
            </w:tcBorders>
          </w:tcPr>
          <w:p>
            <w:pPr>
              <w:pStyle w:val="TableParagraph"/>
              <w:spacing w:line="241" w:lineRule="exact"/>
              <w:ind w:left="85" w:right="85"/>
              <w:jc w:val="center"/>
              <w:rPr>
                <w:sz w:val="22"/>
              </w:rPr>
            </w:pPr>
            <w:r>
              <w:rPr>
                <w:sz w:val="22"/>
              </w:rPr>
              <w:t>(15/I/2014)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Turismo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4"/>
        <w:ind w:left="2244" w:right="778"/>
      </w:pPr>
      <w:r>
        <w:rPr/>
        <w:t>Tabla 6.11. Municipio de Jilotepec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7"/>
        <w:gridCol w:w="2462"/>
        <w:gridCol w:w="6215"/>
      </w:tblGrid>
      <w:tr>
        <w:trPr>
          <w:trHeight w:val="292" w:hRule="exact"/>
        </w:trPr>
        <w:tc>
          <w:tcPr>
            <w:tcW w:w="13224" w:type="dxa"/>
            <w:gridSpan w:val="3"/>
            <w:shd w:val="clear" w:color="auto" w:fill="9BBA58"/>
          </w:tcPr>
          <w:p>
            <w:pPr>
              <w:pStyle w:val="TableParagraph"/>
              <w:spacing w:line="248" w:lineRule="exact"/>
              <w:ind w:left="4869" w:right="4869"/>
              <w:jc w:val="center"/>
              <w:rPr>
                <w:b/>
                <w:sz w:val="22"/>
              </w:rPr>
            </w:pPr>
            <w:r>
              <w:rPr>
                <w:b/>
                <w:sz w:val="22"/>
              </w:rPr>
              <w:t>JILOTEPEC</w:t>
            </w:r>
          </w:p>
        </w:tc>
      </w:tr>
      <w:tr>
        <w:trPr>
          <w:trHeight w:val="524" w:hRule="exact"/>
        </w:trPr>
        <w:tc>
          <w:tcPr>
            <w:tcW w:w="4547" w:type="dxa"/>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2"/>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516" w:hRule="exact"/>
        </w:trPr>
        <w:tc>
          <w:tcPr>
            <w:tcW w:w="4547" w:type="dxa"/>
            <w:vMerge/>
            <w:shd w:val="clear" w:color="auto" w:fill="F9BE8F"/>
          </w:tcPr>
          <w:p>
            <w:pPr/>
          </w:p>
        </w:tc>
        <w:tc>
          <w:tcPr>
            <w:tcW w:w="2462" w:type="dxa"/>
            <w:shd w:val="clear" w:color="auto" w:fill="92CDDC"/>
          </w:tcPr>
          <w:p>
            <w:pPr>
              <w:pStyle w:val="TableParagraph"/>
              <w:spacing w:line="251" w:lineRule="exact"/>
              <w:ind w:left="736"/>
              <w:rPr>
                <w:b/>
                <w:i/>
                <w:sz w:val="22"/>
              </w:rPr>
            </w:pPr>
            <w:r>
              <w:rPr>
                <w:b/>
                <w:i/>
                <w:sz w:val="22"/>
              </w:rPr>
              <w:t>Identidad</w:t>
            </w:r>
          </w:p>
        </w:tc>
        <w:tc>
          <w:tcPr>
            <w:tcW w:w="6215" w:type="dxa"/>
            <w:shd w:val="clear" w:color="auto" w:fill="92CDDC"/>
          </w:tcPr>
          <w:p>
            <w:pPr>
              <w:pStyle w:val="TableParagraph"/>
              <w:tabs>
                <w:tab w:pos="1736" w:val="left" w:leader="none"/>
                <w:tab w:pos="3414" w:val="left" w:leader="none"/>
                <w:tab w:pos="3764" w:val="left" w:leader="none"/>
                <w:tab w:pos="5431" w:val="left" w:leader="none"/>
                <w:tab w:pos="5915" w:val="left" w:leader="none"/>
              </w:tabs>
              <w:spacing w:line="242" w:lineRule="auto"/>
              <w:ind w:left="100" w:right="101"/>
              <w:rPr>
                <w:b/>
                <w:i/>
                <w:sz w:val="22"/>
              </w:rPr>
            </w:pPr>
            <w:r>
              <w:rPr>
                <w:b/>
                <w:i/>
                <w:sz w:val="22"/>
              </w:rPr>
              <w:t>Cooperación,</w:t>
              <w:tab/>
              <w:t>democracia</w:t>
              <w:tab/>
              <w:t>y</w:t>
              <w:tab/>
              <w:t>voluntariedad</w:t>
              <w:tab/>
              <w:t>de</w:t>
              <w:tab/>
              <w:t>la </w:t>
            </w:r>
            <w:r>
              <w:rPr>
                <w:b/>
                <w:i/>
                <w:sz w:val="22"/>
              </w:rPr>
              <w:t>sociedad, participación</w:t>
            </w:r>
            <w:r>
              <w:rPr>
                <w:b/>
                <w:i/>
                <w:spacing w:val="-6"/>
                <w:sz w:val="22"/>
              </w:rPr>
              <w:t> </w:t>
            </w:r>
            <w:r>
              <w:rPr>
                <w:b/>
                <w:i/>
                <w:sz w:val="22"/>
              </w:rPr>
              <w:t>social</w:t>
            </w:r>
          </w:p>
        </w:tc>
      </w:tr>
    </w:tbl>
    <w:p>
      <w:pPr>
        <w:spacing w:after="0" w:line="242" w:lineRule="auto"/>
        <w:rPr>
          <w:sz w:val="22"/>
        </w:rPr>
        <w:sectPr>
          <w:pgSz w:w="15840" w:h="12240" w:orient="landscape"/>
          <w:pgMar w:header="0" w:footer="943" w:top="1140" w:bottom="120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6215"/>
      </w:tblGrid>
      <w:tr>
        <w:trPr>
          <w:trHeight w:val="768"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52" w:lineRule="exact"/>
              <w:ind w:left="100" w:right="93"/>
              <w:rPr>
                <w:b/>
                <w:sz w:val="22"/>
              </w:rPr>
            </w:pPr>
            <w:r>
              <w:rPr>
                <w:b/>
                <w:sz w:val="22"/>
              </w:rPr>
              <w:t>Nivel Educativo</w:t>
            </w:r>
          </w:p>
        </w:tc>
        <w:tc>
          <w:tcPr>
            <w:tcW w:w="1887" w:type="dxa"/>
            <w:shd w:val="clear" w:color="auto" w:fill="F9BE8F"/>
          </w:tcPr>
          <w:p>
            <w:pPr>
              <w:pStyle w:val="TableParagraph"/>
              <w:spacing w:line="248" w:lineRule="exact"/>
              <w:rPr>
                <w:b/>
                <w:sz w:val="22"/>
              </w:rPr>
            </w:pPr>
            <w:r>
              <w:rPr>
                <w:b/>
                <w:sz w:val="22"/>
              </w:rPr>
              <w:t>Cargo Público</w:t>
            </w:r>
          </w:p>
        </w:tc>
        <w:tc>
          <w:tcPr>
            <w:tcW w:w="1289" w:type="dxa"/>
            <w:shd w:val="clear" w:color="auto" w:fill="92CDDC"/>
          </w:tcPr>
          <w:p>
            <w:pPr>
              <w:pStyle w:val="TableParagraph"/>
              <w:spacing w:line="252" w:lineRule="exact"/>
              <w:ind w:right="337"/>
              <w:rPr>
                <w:b/>
                <w:sz w:val="22"/>
              </w:rPr>
            </w:pPr>
            <w:r>
              <w:rPr>
                <w:b/>
                <w:sz w:val="22"/>
              </w:rPr>
              <w:t>¿Dónde nació?</w:t>
            </w:r>
          </w:p>
        </w:tc>
        <w:tc>
          <w:tcPr>
            <w:tcW w:w="1174" w:type="dxa"/>
            <w:shd w:val="clear" w:color="auto" w:fill="92CDDC"/>
          </w:tcPr>
          <w:p>
            <w:pPr>
              <w:pStyle w:val="TableParagraph"/>
              <w:spacing w:line="252" w:lineRule="exact"/>
              <w:ind w:right="222"/>
              <w:rPr>
                <w:b/>
                <w:sz w:val="22"/>
              </w:rPr>
            </w:pPr>
            <w:r>
              <w:rPr>
                <w:b/>
                <w:sz w:val="22"/>
              </w:rPr>
              <w:t>¿Dónde vive?</w:t>
            </w:r>
          </w:p>
        </w:tc>
        <w:tc>
          <w:tcPr>
            <w:tcW w:w="6215" w:type="dxa"/>
            <w:shd w:val="clear" w:color="auto" w:fill="92CDDC"/>
          </w:tcPr>
          <w:p>
            <w:pPr>
              <w:pStyle w:val="TableParagraph"/>
              <w:spacing w:line="252" w:lineRule="exact"/>
              <w:ind w:left="100" w:right="105"/>
              <w:rPr>
                <w:b/>
                <w:sz w:val="22"/>
              </w:rPr>
            </w:pPr>
            <w:r>
              <w:rPr>
                <w:b/>
                <w:sz w:val="22"/>
              </w:rPr>
              <w:t>¿Estaría usted dispuesto a asistir a una reunión para tratar asuntos relacionados con la laguna de Huapango?</w:t>
            </w:r>
          </w:p>
        </w:tc>
      </w:tr>
      <w:tr>
        <w:trPr>
          <w:trHeight w:val="267" w:hRule="exact"/>
        </w:trPr>
        <w:tc>
          <w:tcPr>
            <w:tcW w:w="1385" w:type="dxa"/>
            <w:tcBorders>
              <w:bottom w:val="nil"/>
            </w:tcBorders>
          </w:tcPr>
          <w:p>
            <w:pPr>
              <w:pStyle w:val="TableParagraph"/>
              <w:spacing w:line="251" w:lineRule="exact"/>
              <w:ind w:right="127"/>
              <w:rPr>
                <w:sz w:val="22"/>
              </w:rPr>
            </w:pPr>
            <w:r>
              <w:rPr>
                <w:sz w:val="22"/>
              </w:rPr>
              <w:t>Edgar</w:t>
            </w:r>
          </w:p>
        </w:tc>
        <w:tc>
          <w:tcPr>
            <w:tcW w:w="1274" w:type="dxa"/>
            <w:tcBorders>
              <w:bottom w:val="nil"/>
            </w:tcBorders>
          </w:tcPr>
          <w:p>
            <w:pPr>
              <w:pStyle w:val="TableParagraph"/>
              <w:spacing w:line="251" w:lineRule="exact"/>
              <w:ind w:left="100" w:right="98"/>
              <w:rPr>
                <w:sz w:val="22"/>
              </w:rPr>
            </w:pPr>
            <w:r>
              <w:rPr>
                <w:sz w:val="22"/>
              </w:rPr>
              <w:t>Abogado</w:t>
            </w:r>
          </w:p>
        </w:tc>
        <w:tc>
          <w:tcPr>
            <w:tcW w:w="1887" w:type="dxa"/>
            <w:tcBorders>
              <w:bottom w:val="nil"/>
            </w:tcBorders>
          </w:tcPr>
          <w:p>
            <w:pPr>
              <w:pStyle w:val="TableParagraph"/>
              <w:spacing w:line="251" w:lineRule="exact"/>
              <w:ind w:left="410"/>
              <w:rPr>
                <w:sz w:val="22"/>
              </w:rPr>
            </w:pPr>
            <w:r>
              <w:rPr>
                <w:sz w:val="22"/>
              </w:rPr>
              <w:t>Presidente</w:t>
            </w:r>
          </w:p>
        </w:tc>
        <w:tc>
          <w:tcPr>
            <w:tcW w:w="1289" w:type="dxa"/>
            <w:tcBorders>
              <w:bottom w:val="nil"/>
            </w:tcBorders>
          </w:tcPr>
          <w:p>
            <w:pPr>
              <w:pStyle w:val="TableParagraph"/>
              <w:spacing w:line="251" w:lineRule="exact"/>
              <w:rPr>
                <w:sz w:val="22"/>
              </w:rPr>
            </w:pPr>
            <w:r>
              <w:rPr>
                <w:sz w:val="22"/>
              </w:rPr>
              <w:t>Jilotepec</w:t>
            </w:r>
          </w:p>
        </w:tc>
        <w:tc>
          <w:tcPr>
            <w:tcW w:w="1174" w:type="dxa"/>
            <w:tcBorders>
              <w:bottom w:val="nil"/>
            </w:tcBorders>
          </w:tcPr>
          <w:p>
            <w:pPr>
              <w:pStyle w:val="TableParagraph"/>
              <w:spacing w:line="251" w:lineRule="exact"/>
              <w:ind w:left="23" w:right="109"/>
              <w:jc w:val="center"/>
              <w:rPr>
                <w:sz w:val="22"/>
              </w:rPr>
            </w:pPr>
            <w:r>
              <w:rPr>
                <w:sz w:val="22"/>
              </w:rPr>
              <w:t>Jilotepec</w:t>
            </w:r>
          </w:p>
        </w:tc>
        <w:tc>
          <w:tcPr>
            <w:tcW w:w="6215" w:type="dxa"/>
            <w:tcBorders>
              <w:bottom w:val="nil"/>
            </w:tcBorders>
          </w:tcPr>
          <w:p>
            <w:pPr>
              <w:pStyle w:val="TableParagraph"/>
              <w:spacing w:line="251" w:lineRule="exact"/>
              <w:ind w:left="100" w:right="105"/>
              <w:rPr>
                <w:sz w:val="22"/>
              </w:rPr>
            </w:pPr>
            <w:r>
              <w:rPr>
                <w:sz w:val="22"/>
              </w:rPr>
              <w:t>Sí para plantear que deben haber acuerdos, para    proponer</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Castillo</w:t>
            </w:r>
          </w:p>
        </w:tc>
        <w:tc>
          <w:tcPr>
            <w:tcW w:w="1274" w:type="dxa"/>
            <w:tcBorders>
              <w:top w:val="nil"/>
              <w:bottom w:val="nil"/>
            </w:tcBorders>
          </w:tcPr>
          <w:p>
            <w:pPr/>
          </w:p>
        </w:tc>
        <w:tc>
          <w:tcPr>
            <w:tcW w:w="1887" w:type="dxa"/>
            <w:tcBorders>
              <w:top w:val="nil"/>
              <w:bottom w:val="nil"/>
            </w:tcBorders>
          </w:tcPr>
          <w:p>
            <w:pPr>
              <w:pStyle w:val="TableParagraph"/>
              <w:spacing w:line="242"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2" w:lineRule="exact"/>
              <w:ind w:left="100"/>
              <w:rPr>
                <w:sz w:val="22"/>
              </w:rPr>
            </w:pPr>
            <w:r>
              <w:rPr>
                <w:sz w:val="22"/>
              </w:rPr>
              <w:t>un Comité de Protección de la laguna Huapango para que su</w:t>
            </w:r>
          </w:p>
        </w:tc>
      </w:tr>
      <w:tr>
        <w:trPr>
          <w:trHeight w:val="379"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1" w:lineRule="exact"/>
              <w:ind w:left="100" w:right="105"/>
              <w:rPr>
                <w:sz w:val="22"/>
              </w:rPr>
            </w:pPr>
            <w:r>
              <w:rPr>
                <w:sz w:val="22"/>
              </w:rPr>
              <w:t>vaso este en óptimas condiciones y se proteja su fauna.</w:t>
            </w:r>
          </w:p>
        </w:tc>
      </w:tr>
      <w:tr>
        <w:trPr>
          <w:trHeight w:val="375" w:hRule="exact"/>
        </w:trPr>
        <w:tc>
          <w:tcPr>
            <w:tcW w:w="1385" w:type="dxa"/>
            <w:tcBorders>
              <w:top w:val="nil"/>
            </w:tcBorders>
          </w:tcPr>
          <w:p>
            <w:pPr>
              <w:pStyle w:val="TableParagraph"/>
              <w:spacing w:before="115"/>
              <w:rPr>
                <w:sz w:val="22"/>
              </w:rPr>
            </w:pPr>
            <w:r>
              <w:rPr>
                <w:sz w:val="22"/>
              </w:rPr>
              <w:t>(29/8/2014)</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6215" w:type="dxa"/>
            <w:tcBorders>
              <w:top w:val="nil"/>
            </w:tcBorders>
          </w:tcPr>
          <w:p>
            <w:pPr/>
          </w:p>
        </w:tc>
      </w:tr>
      <w:tr>
        <w:trPr>
          <w:trHeight w:val="269" w:hRule="exact"/>
        </w:trPr>
        <w:tc>
          <w:tcPr>
            <w:tcW w:w="1385" w:type="dxa"/>
            <w:tcBorders>
              <w:bottom w:val="nil"/>
            </w:tcBorders>
          </w:tcPr>
          <w:p>
            <w:pPr>
              <w:pStyle w:val="TableParagraph"/>
              <w:ind w:left="208" w:right="127"/>
              <w:rPr>
                <w:sz w:val="22"/>
              </w:rPr>
            </w:pPr>
            <w:r>
              <w:rPr>
                <w:sz w:val="22"/>
              </w:rPr>
              <w:t>Francisco</w:t>
            </w:r>
          </w:p>
        </w:tc>
        <w:tc>
          <w:tcPr>
            <w:tcW w:w="1274" w:type="dxa"/>
            <w:tcBorders>
              <w:bottom w:val="nil"/>
            </w:tcBorders>
          </w:tcPr>
          <w:p>
            <w:pPr>
              <w:pStyle w:val="TableParagraph"/>
              <w:ind w:left="100" w:right="98"/>
              <w:rPr>
                <w:sz w:val="22"/>
              </w:rPr>
            </w:pPr>
            <w:r>
              <w:rPr>
                <w:sz w:val="22"/>
              </w:rPr>
              <w:t>Profesor</w:t>
            </w:r>
          </w:p>
        </w:tc>
        <w:tc>
          <w:tcPr>
            <w:tcW w:w="1887" w:type="dxa"/>
            <w:tcBorders>
              <w:bottom w:val="nil"/>
            </w:tcBorders>
          </w:tcPr>
          <w:p>
            <w:pPr>
              <w:pStyle w:val="TableParagraph"/>
              <w:rPr>
                <w:sz w:val="22"/>
              </w:rPr>
            </w:pPr>
            <w:r>
              <w:rPr>
                <w:sz w:val="22"/>
              </w:rPr>
              <w:t>Tercer Regidor.</w:t>
            </w:r>
          </w:p>
        </w:tc>
        <w:tc>
          <w:tcPr>
            <w:tcW w:w="1289" w:type="dxa"/>
            <w:tcBorders>
              <w:bottom w:val="nil"/>
            </w:tcBorders>
          </w:tcPr>
          <w:p>
            <w:pPr>
              <w:pStyle w:val="TableParagraph"/>
              <w:rPr>
                <w:sz w:val="22"/>
              </w:rPr>
            </w:pPr>
            <w:r>
              <w:rPr>
                <w:sz w:val="22"/>
              </w:rPr>
              <w:t>Axochiapa</w:t>
            </w:r>
          </w:p>
        </w:tc>
        <w:tc>
          <w:tcPr>
            <w:tcW w:w="1174" w:type="dxa"/>
            <w:tcBorders>
              <w:bottom w:val="nil"/>
            </w:tcBorders>
          </w:tcPr>
          <w:p>
            <w:pPr>
              <w:pStyle w:val="TableParagraph"/>
              <w:ind w:left="23" w:right="109"/>
              <w:jc w:val="center"/>
              <w:rPr>
                <w:sz w:val="22"/>
              </w:rPr>
            </w:pPr>
            <w:r>
              <w:rPr>
                <w:sz w:val="22"/>
              </w:rPr>
              <w:t>Jilotepec</w:t>
            </w:r>
          </w:p>
        </w:tc>
        <w:tc>
          <w:tcPr>
            <w:tcW w:w="6215" w:type="dxa"/>
            <w:tcBorders>
              <w:bottom w:val="nil"/>
            </w:tcBorders>
          </w:tcPr>
          <w:p>
            <w:pPr>
              <w:pStyle w:val="TableParagraph"/>
              <w:ind w:left="100" w:right="105"/>
              <w:rPr>
                <w:sz w:val="22"/>
              </w:rPr>
            </w:pPr>
            <w:r>
              <w:rPr>
                <w:sz w:val="22"/>
              </w:rPr>
              <w:t>Con todo gusto!, pero si se programa con tiempo para  poder</w:t>
            </w:r>
          </w:p>
        </w:tc>
      </w:tr>
      <w:tr>
        <w:trPr>
          <w:trHeight w:val="252" w:hRule="exact"/>
        </w:trPr>
        <w:tc>
          <w:tcPr>
            <w:tcW w:w="1385" w:type="dxa"/>
            <w:tcBorders>
              <w:top w:val="nil"/>
              <w:bottom w:val="nil"/>
            </w:tcBorders>
          </w:tcPr>
          <w:p>
            <w:pPr>
              <w:pStyle w:val="TableParagraph"/>
              <w:spacing w:line="241" w:lineRule="exact"/>
              <w:ind w:left="331" w:right="127"/>
              <w:rPr>
                <w:sz w:val="22"/>
              </w:rPr>
            </w:pPr>
            <w:r>
              <w:rPr>
                <w:sz w:val="22"/>
              </w:rPr>
              <w:t>Gómez</w:t>
            </w:r>
          </w:p>
        </w:tc>
        <w:tc>
          <w:tcPr>
            <w:tcW w:w="1274" w:type="dxa"/>
            <w:tcBorders>
              <w:top w:val="nil"/>
              <w:bottom w:val="nil"/>
            </w:tcBorders>
          </w:tcPr>
          <w:p>
            <w:pPr>
              <w:pStyle w:val="TableParagraph"/>
              <w:spacing w:line="241" w:lineRule="exact"/>
              <w:ind w:left="100" w:right="98"/>
              <w:rPr>
                <w:sz w:val="22"/>
              </w:rPr>
            </w:pPr>
            <w:r>
              <w:rPr>
                <w:sz w:val="22"/>
              </w:rPr>
              <w:t>de</w:t>
            </w:r>
          </w:p>
        </w:tc>
        <w:tc>
          <w:tcPr>
            <w:tcW w:w="1887" w:type="dxa"/>
            <w:tcBorders>
              <w:top w:val="nil"/>
              <w:bottom w:val="nil"/>
            </w:tcBorders>
          </w:tcPr>
          <w:p>
            <w:pPr>
              <w:pStyle w:val="TableParagraph"/>
              <w:spacing w:line="241" w:lineRule="exact"/>
              <w:rPr>
                <w:sz w:val="22"/>
              </w:rPr>
            </w:pPr>
            <w:r>
              <w:rPr>
                <w:sz w:val="22"/>
              </w:rPr>
              <w:t>Encargado de la</w:t>
            </w:r>
          </w:p>
        </w:tc>
        <w:tc>
          <w:tcPr>
            <w:tcW w:w="1289" w:type="dxa"/>
            <w:tcBorders>
              <w:top w:val="nil"/>
              <w:bottom w:val="nil"/>
            </w:tcBorders>
          </w:tcPr>
          <w:p>
            <w:pPr>
              <w:pStyle w:val="TableParagraph"/>
              <w:spacing w:line="241" w:lineRule="exact"/>
              <w:rPr>
                <w:sz w:val="22"/>
              </w:rPr>
            </w:pPr>
            <w:r>
              <w:rPr>
                <w:sz w:val="22"/>
              </w:rPr>
              <w:t>n, Morelos</w:t>
            </w:r>
          </w:p>
        </w:tc>
        <w:tc>
          <w:tcPr>
            <w:tcW w:w="1174" w:type="dxa"/>
            <w:tcBorders>
              <w:top w:val="nil"/>
              <w:bottom w:val="nil"/>
            </w:tcBorders>
          </w:tcPr>
          <w:p>
            <w:pPr/>
          </w:p>
        </w:tc>
        <w:tc>
          <w:tcPr>
            <w:tcW w:w="6215" w:type="dxa"/>
            <w:tcBorders>
              <w:top w:val="nil"/>
              <w:bottom w:val="nil"/>
            </w:tcBorders>
          </w:tcPr>
          <w:p>
            <w:pPr>
              <w:pStyle w:val="TableParagraph"/>
              <w:spacing w:line="241" w:lineRule="exact"/>
              <w:ind w:left="100" w:right="105"/>
              <w:rPr>
                <w:sz w:val="22"/>
              </w:rPr>
            </w:pPr>
            <w:r>
              <w:rPr>
                <w:sz w:val="22"/>
              </w:rPr>
              <w:t>cumplir con mis obligaciones.</w:t>
            </w:r>
          </w:p>
        </w:tc>
      </w:tr>
      <w:tr>
        <w:trPr>
          <w:trHeight w:val="253" w:hRule="exact"/>
        </w:trPr>
        <w:tc>
          <w:tcPr>
            <w:tcW w:w="1385" w:type="dxa"/>
            <w:tcBorders>
              <w:top w:val="nil"/>
              <w:bottom w:val="nil"/>
            </w:tcBorders>
          </w:tcPr>
          <w:p>
            <w:pPr>
              <w:pStyle w:val="TableParagraph"/>
              <w:spacing w:line="241" w:lineRule="exact"/>
              <w:ind w:left="405" w:right="127"/>
              <w:rPr>
                <w:sz w:val="22"/>
              </w:rPr>
            </w:pPr>
            <w:r>
              <w:rPr>
                <w:sz w:val="22"/>
              </w:rPr>
              <w:t>Marín</w:t>
            </w:r>
          </w:p>
        </w:tc>
        <w:tc>
          <w:tcPr>
            <w:tcW w:w="1274" w:type="dxa"/>
            <w:tcBorders>
              <w:top w:val="nil"/>
              <w:bottom w:val="nil"/>
            </w:tcBorders>
          </w:tcPr>
          <w:p>
            <w:pPr>
              <w:pStyle w:val="TableParagraph"/>
              <w:spacing w:line="241" w:lineRule="exact"/>
              <w:ind w:left="100" w:right="98"/>
              <w:rPr>
                <w:sz w:val="22"/>
              </w:rPr>
            </w:pPr>
            <w:r>
              <w:rPr>
                <w:sz w:val="22"/>
              </w:rPr>
              <w:t>Primaria</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Agropecuario</w:t>
            </w:r>
          </w:p>
        </w:tc>
        <w:tc>
          <w:tcPr>
            <w:tcW w:w="1289" w:type="dxa"/>
            <w:tcBorders>
              <w:top w:val="nil"/>
            </w:tcBorders>
          </w:tcPr>
          <w:p>
            <w:pPr/>
          </w:p>
        </w:tc>
        <w:tc>
          <w:tcPr>
            <w:tcW w:w="1174" w:type="dxa"/>
            <w:tcBorders>
              <w:top w:val="nil"/>
            </w:tcBorders>
          </w:tcPr>
          <w:p>
            <w:pPr/>
          </w:p>
        </w:tc>
        <w:tc>
          <w:tcPr>
            <w:tcW w:w="6215" w:type="dxa"/>
            <w:tcBorders>
              <w:top w:val="nil"/>
            </w:tcBorders>
          </w:tcPr>
          <w:p>
            <w:pPr/>
          </w:p>
        </w:tc>
      </w:tr>
      <w:tr>
        <w:trPr>
          <w:trHeight w:val="266" w:hRule="exact"/>
        </w:trPr>
        <w:tc>
          <w:tcPr>
            <w:tcW w:w="1385" w:type="dxa"/>
            <w:tcBorders>
              <w:bottom w:val="nil"/>
            </w:tcBorders>
          </w:tcPr>
          <w:p>
            <w:pPr>
              <w:pStyle w:val="TableParagraph"/>
              <w:spacing w:line="251" w:lineRule="exact"/>
              <w:ind w:left="124"/>
              <w:rPr>
                <w:sz w:val="22"/>
              </w:rPr>
            </w:pPr>
            <w:r>
              <w:rPr>
                <w:sz w:val="22"/>
              </w:rPr>
              <w:t>Jorge Vega</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Séptimo Regidor</w:t>
            </w:r>
          </w:p>
        </w:tc>
        <w:tc>
          <w:tcPr>
            <w:tcW w:w="8677" w:type="dxa"/>
            <w:gridSpan w:val="3"/>
            <w:tcBorders>
              <w:bottom w:val="nil"/>
            </w:tcBorders>
          </w:tcPr>
          <w:p>
            <w:pPr>
              <w:pStyle w:val="TableParagraph"/>
              <w:spacing w:line="251" w:lineRule="exact"/>
              <w:rPr>
                <w:i/>
                <w:sz w:val="22"/>
              </w:rPr>
            </w:pPr>
            <w:r>
              <w:rPr>
                <w:i/>
                <w:sz w:val="22"/>
              </w:rPr>
              <w:t>Este  Regidor  siempre  mostró  evasivas  para  dar  la  entrevista,  lo  busque  en</w:t>
            </w:r>
            <w:r>
              <w:rPr>
                <w:i/>
                <w:spacing w:val="60"/>
                <w:sz w:val="22"/>
              </w:rPr>
              <w:t> </w:t>
            </w:r>
            <w:r>
              <w:rPr>
                <w:i/>
                <w:sz w:val="22"/>
              </w:rPr>
              <w:t>tres</w:t>
            </w:r>
          </w:p>
        </w:tc>
      </w:tr>
      <w:tr>
        <w:trPr>
          <w:trHeight w:val="253" w:hRule="exact"/>
        </w:trPr>
        <w:tc>
          <w:tcPr>
            <w:tcW w:w="1385" w:type="dxa"/>
            <w:tcBorders>
              <w:top w:val="nil"/>
              <w:bottom w:val="nil"/>
            </w:tcBorders>
          </w:tcPr>
          <w:p>
            <w:pPr>
              <w:pStyle w:val="TableParagraph"/>
              <w:spacing w:line="241" w:lineRule="exact"/>
              <w:ind w:left="290" w:right="127"/>
              <w:rPr>
                <w:sz w:val="22"/>
              </w:rPr>
            </w:pPr>
            <w:r>
              <w:rPr>
                <w:sz w:val="22"/>
              </w:rPr>
              <w:t>Miranda</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en   el  Municipio</w:t>
            </w:r>
          </w:p>
        </w:tc>
        <w:tc>
          <w:tcPr>
            <w:tcW w:w="8677" w:type="dxa"/>
            <w:gridSpan w:val="3"/>
            <w:tcBorders>
              <w:top w:val="nil"/>
              <w:bottom w:val="nil"/>
            </w:tcBorders>
          </w:tcPr>
          <w:p>
            <w:pPr>
              <w:pStyle w:val="TableParagraph"/>
              <w:spacing w:line="241" w:lineRule="exact"/>
              <w:rPr>
                <w:i/>
                <w:sz w:val="22"/>
              </w:rPr>
            </w:pPr>
            <w:r>
              <w:rPr>
                <w:i/>
                <w:sz w:val="22"/>
              </w:rPr>
              <w:t>ocasiones: en la primera me dijo la secretaria que lo atiende que no se encontraba,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 Jilotepec.</w:t>
            </w:r>
          </w:p>
        </w:tc>
        <w:tc>
          <w:tcPr>
            <w:tcW w:w="8677" w:type="dxa"/>
            <w:gridSpan w:val="3"/>
            <w:tcBorders>
              <w:top w:val="nil"/>
              <w:bottom w:val="nil"/>
            </w:tcBorders>
          </w:tcPr>
          <w:p>
            <w:pPr>
              <w:pStyle w:val="TableParagraph"/>
              <w:spacing w:line="242" w:lineRule="exact"/>
              <w:rPr>
                <w:i/>
                <w:sz w:val="22"/>
              </w:rPr>
            </w:pPr>
            <w:r>
              <w:rPr>
                <w:i/>
                <w:sz w:val="22"/>
              </w:rPr>
              <w:t>pero  me  proporcionó  su  número  telefónico  (15/I/2014),  la  segunda  le  llame para</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Encargado  de la</w:t>
            </w:r>
          </w:p>
        </w:tc>
        <w:tc>
          <w:tcPr>
            <w:tcW w:w="8677" w:type="dxa"/>
            <w:gridSpan w:val="3"/>
            <w:tcBorders>
              <w:top w:val="nil"/>
              <w:bottom w:val="nil"/>
            </w:tcBorders>
          </w:tcPr>
          <w:p>
            <w:pPr>
              <w:pStyle w:val="TableParagraph"/>
              <w:spacing w:line="241" w:lineRule="exact"/>
              <w:rPr>
                <w:i/>
                <w:sz w:val="22"/>
              </w:rPr>
            </w:pPr>
            <w:r>
              <w:rPr>
                <w:i/>
                <w:sz w:val="22"/>
              </w:rPr>
              <w:t>agendar una cita, pero dijo que no podía atenderme porque estaría algunos días en</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8677" w:type="dxa"/>
            <w:gridSpan w:val="3"/>
            <w:tcBorders>
              <w:top w:val="nil"/>
              <w:bottom w:val="nil"/>
            </w:tcBorders>
          </w:tcPr>
          <w:p>
            <w:pPr>
              <w:pStyle w:val="TableParagraph"/>
              <w:spacing w:line="241" w:lineRule="exact"/>
              <w:rPr>
                <w:i/>
                <w:sz w:val="22"/>
              </w:rPr>
            </w:pPr>
            <w:r>
              <w:rPr>
                <w:i/>
                <w:sz w:val="22"/>
              </w:rPr>
              <w:t>Naucalpan (29/8/2014) y la tercera ya habíamos acordado formalmente por teléfono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3" w:lineRule="exact"/>
              <w:rPr>
                <w:sz w:val="22"/>
              </w:rPr>
            </w:pPr>
            <w:r>
              <w:rPr>
                <w:sz w:val="22"/>
              </w:rPr>
              <w:t>Ecología</w:t>
            </w:r>
          </w:p>
        </w:tc>
        <w:tc>
          <w:tcPr>
            <w:tcW w:w="8677" w:type="dxa"/>
            <w:gridSpan w:val="3"/>
            <w:tcBorders>
              <w:top w:val="nil"/>
              <w:bottom w:val="nil"/>
            </w:tcBorders>
          </w:tcPr>
          <w:p>
            <w:pPr>
              <w:pStyle w:val="TableParagraph"/>
              <w:spacing w:line="243" w:lineRule="exact"/>
              <w:rPr>
                <w:i/>
                <w:sz w:val="22"/>
              </w:rPr>
            </w:pPr>
            <w:r>
              <w:rPr>
                <w:i/>
                <w:sz w:val="22"/>
              </w:rPr>
              <w:t>que  me recibiría en fecha  (16/I/2015), pero al llegar  a su oficina me dijeron  que    no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8677" w:type="dxa"/>
            <w:gridSpan w:val="3"/>
            <w:tcBorders>
              <w:top w:val="nil"/>
              <w:bottom w:val="nil"/>
            </w:tcBorders>
          </w:tcPr>
          <w:p>
            <w:pPr>
              <w:pStyle w:val="TableParagraph"/>
              <w:spacing w:line="241" w:lineRule="exact"/>
              <w:rPr>
                <w:i/>
                <w:sz w:val="22"/>
              </w:rPr>
            </w:pPr>
            <w:r>
              <w:rPr>
                <w:i/>
                <w:sz w:val="22"/>
              </w:rPr>
              <w:t>había ido, entonces le llamé por teléfono y me contestó que estaba en México lo   que</w:t>
            </w: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8677" w:type="dxa"/>
            <w:gridSpan w:val="3"/>
            <w:tcBorders>
              <w:top w:val="nil"/>
            </w:tcBorders>
          </w:tcPr>
          <w:p>
            <w:pPr>
              <w:pStyle w:val="TableParagraph"/>
              <w:spacing w:line="242" w:lineRule="exact"/>
              <w:rPr>
                <w:i/>
                <w:sz w:val="22"/>
              </w:rPr>
            </w:pPr>
            <w:r>
              <w:rPr>
                <w:i/>
                <w:sz w:val="22"/>
              </w:rPr>
              <w:t>le dificultaba darme la entrevista, por lo que decidí ya no insistir.</w:t>
            </w:r>
          </w:p>
        </w:tc>
      </w:tr>
      <w:tr>
        <w:trPr>
          <w:trHeight w:val="267" w:hRule="exact"/>
        </w:trPr>
        <w:tc>
          <w:tcPr>
            <w:tcW w:w="1385" w:type="dxa"/>
            <w:tcBorders>
              <w:bottom w:val="nil"/>
            </w:tcBorders>
          </w:tcPr>
          <w:p>
            <w:pPr>
              <w:pStyle w:val="TableParagraph"/>
              <w:spacing w:line="251" w:lineRule="exact"/>
              <w:ind w:left="376" w:right="127"/>
              <w:rPr>
                <w:sz w:val="22"/>
              </w:rPr>
            </w:pPr>
            <w:r>
              <w:rPr>
                <w:sz w:val="22"/>
              </w:rPr>
              <w:t>Daniel</w:t>
            </w:r>
          </w:p>
        </w:tc>
        <w:tc>
          <w:tcPr>
            <w:tcW w:w="1274" w:type="dxa"/>
            <w:tcBorders>
              <w:bottom w:val="nil"/>
            </w:tcBorders>
          </w:tcPr>
          <w:p>
            <w:pPr>
              <w:pStyle w:val="TableParagraph"/>
              <w:spacing w:line="251" w:lineRule="exact"/>
              <w:ind w:left="100" w:right="98"/>
              <w:rPr>
                <w:sz w:val="22"/>
              </w:rPr>
            </w:pPr>
            <w:r>
              <w:rPr>
                <w:sz w:val="22"/>
              </w:rPr>
              <w:t>Ingeniería</w:t>
            </w:r>
          </w:p>
        </w:tc>
        <w:tc>
          <w:tcPr>
            <w:tcW w:w="1887" w:type="dxa"/>
            <w:tcBorders>
              <w:bottom w:val="nil"/>
            </w:tcBorders>
          </w:tcPr>
          <w:p>
            <w:pPr>
              <w:pStyle w:val="TableParagraph"/>
              <w:spacing w:line="251" w:lineRule="exact"/>
              <w:rPr>
                <w:sz w:val="22"/>
              </w:rPr>
            </w:pPr>
            <w:r>
              <w:rPr>
                <w:sz w:val="22"/>
              </w:rPr>
              <w:t>Décimo Regidor.</w:t>
            </w:r>
          </w:p>
        </w:tc>
        <w:tc>
          <w:tcPr>
            <w:tcW w:w="1289" w:type="dxa"/>
            <w:tcBorders>
              <w:bottom w:val="nil"/>
            </w:tcBorders>
          </w:tcPr>
          <w:p>
            <w:pPr>
              <w:pStyle w:val="TableParagraph"/>
              <w:spacing w:line="251" w:lineRule="exact"/>
              <w:rPr>
                <w:sz w:val="22"/>
              </w:rPr>
            </w:pPr>
            <w:r>
              <w:rPr>
                <w:sz w:val="22"/>
              </w:rPr>
              <w:t>Distrito</w:t>
            </w:r>
          </w:p>
        </w:tc>
        <w:tc>
          <w:tcPr>
            <w:tcW w:w="1174" w:type="dxa"/>
            <w:tcBorders>
              <w:bottom w:val="nil"/>
            </w:tcBorders>
          </w:tcPr>
          <w:p>
            <w:pPr>
              <w:pStyle w:val="TableParagraph"/>
              <w:spacing w:line="251" w:lineRule="exact"/>
              <w:ind w:left="23" w:right="109"/>
              <w:jc w:val="center"/>
              <w:rPr>
                <w:sz w:val="22"/>
              </w:rPr>
            </w:pPr>
            <w:r>
              <w:rPr>
                <w:sz w:val="22"/>
              </w:rPr>
              <w:t>Jilotepec</w:t>
            </w:r>
          </w:p>
        </w:tc>
        <w:tc>
          <w:tcPr>
            <w:tcW w:w="6215" w:type="dxa"/>
            <w:tcBorders>
              <w:bottom w:val="nil"/>
            </w:tcBorders>
          </w:tcPr>
          <w:p>
            <w:pPr>
              <w:pStyle w:val="TableParagraph"/>
              <w:spacing w:line="251" w:lineRule="exact"/>
              <w:ind w:left="100"/>
              <w:rPr>
                <w:sz w:val="22"/>
              </w:rPr>
            </w:pPr>
            <w:r>
              <w:rPr>
                <w:sz w:val="22"/>
              </w:rPr>
              <w:t>¡Claro   que   sí!   porque   es   mi   obligación   y   trabajo por</w:t>
            </w:r>
          </w:p>
        </w:tc>
      </w:tr>
      <w:tr>
        <w:trPr>
          <w:trHeight w:val="253" w:hRule="exact"/>
        </w:trPr>
        <w:tc>
          <w:tcPr>
            <w:tcW w:w="1385" w:type="dxa"/>
            <w:tcBorders>
              <w:top w:val="nil"/>
              <w:bottom w:val="nil"/>
            </w:tcBorders>
          </w:tcPr>
          <w:p>
            <w:pPr>
              <w:pStyle w:val="TableParagraph"/>
              <w:spacing w:line="242" w:lineRule="exact"/>
              <w:ind w:left="227" w:right="127"/>
              <w:rPr>
                <w:sz w:val="22"/>
              </w:rPr>
            </w:pPr>
            <w:r>
              <w:rPr>
                <w:sz w:val="22"/>
              </w:rPr>
              <w:t>Arciniega</w:t>
            </w:r>
          </w:p>
        </w:tc>
        <w:tc>
          <w:tcPr>
            <w:tcW w:w="1274" w:type="dxa"/>
            <w:tcBorders>
              <w:top w:val="nil"/>
              <w:bottom w:val="nil"/>
            </w:tcBorders>
          </w:tcPr>
          <w:p>
            <w:pPr>
              <w:pStyle w:val="TableParagraph"/>
              <w:spacing w:line="242" w:lineRule="exact"/>
              <w:ind w:left="100" w:right="98"/>
              <w:rPr>
                <w:sz w:val="22"/>
              </w:rPr>
            </w:pPr>
            <w:r>
              <w:rPr>
                <w:sz w:val="22"/>
              </w:rPr>
              <w:t>Industrial</w:t>
            </w:r>
          </w:p>
        </w:tc>
        <w:tc>
          <w:tcPr>
            <w:tcW w:w="1887" w:type="dxa"/>
            <w:tcBorders>
              <w:top w:val="nil"/>
              <w:bottom w:val="nil"/>
            </w:tcBorders>
          </w:tcPr>
          <w:p>
            <w:pPr>
              <w:pStyle w:val="TableParagraph"/>
              <w:spacing w:line="242" w:lineRule="exact"/>
              <w:rPr>
                <w:sz w:val="22"/>
              </w:rPr>
            </w:pPr>
            <w:r>
              <w:rPr>
                <w:sz w:val="22"/>
              </w:rPr>
              <w:t>Encargado  de la</w:t>
            </w:r>
          </w:p>
        </w:tc>
        <w:tc>
          <w:tcPr>
            <w:tcW w:w="1289" w:type="dxa"/>
            <w:tcBorders>
              <w:top w:val="nil"/>
              <w:bottom w:val="nil"/>
            </w:tcBorders>
          </w:tcPr>
          <w:p>
            <w:pPr>
              <w:pStyle w:val="TableParagraph"/>
              <w:spacing w:line="242" w:lineRule="exact"/>
              <w:rPr>
                <w:sz w:val="22"/>
              </w:rPr>
            </w:pPr>
            <w:r>
              <w:rPr>
                <w:sz w:val="22"/>
              </w:rPr>
              <w:t>Federal</w:t>
            </w:r>
          </w:p>
        </w:tc>
        <w:tc>
          <w:tcPr>
            <w:tcW w:w="1174" w:type="dxa"/>
            <w:tcBorders>
              <w:top w:val="nil"/>
              <w:bottom w:val="nil"/>
            </w:tcBorders>
          </w:tcPr>
          <w:p>
            <w:pPr/>
          </w:p>
        </w:tc>
        <w:tc>
          <w:tcPr>
            <w:tcW w:w="6215" w:type="dxa"/>
            <w:tcBorders>
              <w:top w:val="nil"/>
              <w:bottom w:val="nil"/>
            </w:tcBorders>
          </w:tcPr>
          <w:p>
            <w:pPr>
              <w:pStyle w:val="TableParagraph"/>
              <w:spacing w:line="242" w:lineRule="exact"/>
              <w:ind w:left="100" w:right="105"/>
              <w:rPr>
                <w:sz w:val="22"/>
              </w:rPr>
            </w:pPr>
            <w:r>
              <w:rPr>
                <w:sz w:val="22"/>
              </w:rPr>
              <w:t>convicción propia y porque tengo interés en mi municipio.</w:t>
            </w:r>
          </w:p>
        </w:tc>
      </w:tr>
      <w:tr>
        <w:trPr>
          <w:trHeight w:val="252" w:hRule="exact"/>
        </w:trPr>
        <w:tc>
          <w:tcPr>
            <w:tcW w:w="1385" w:type="dxa"/>
            <w:tcBorders>
              <w:top w:val="nil"/>
              <w:bottom w:val="nil"/>
            </w:tcBorders>
          </w:tcPr>
          <w:p>
            <w:pPr>
              <w:pStyle w:val="TableParagraph"/>
              <w:spacing w:line="241" w:lineRule="exact"/>
              <w:ind w:left="227" w:right="127"/>
              <w:rPr>
                <w:sz w:val="22"/>
              </w:rPr>
            </w:pPr>
            <w:r>
              <w:rPr>
                <w:sz w:val="22"/>
              </w:rPr>
              <w:t>Sandoval</w:t>
            </w:r>
          </w:p>
        </w:tc>
        <w:tc>
          <w:tcPr>
            <w:tcW w:w="1274" w:type="dxa"/>
            <w:tcBorders>
              <w:top w:val="nil"/>
              <w:bottom w:val="nil"/>
            </w:tcBorders>
          </w:tcPr>
          <w:p>
            <w:pPr>
              <w:pStyle w:val="TableParagraph"/>
              <w:spacing w:line="241" w:lineRule="exact"/>
              <w:ind w:left="100" w:right="98"/>
              <w:rPr>
                <w:sz w:val="22"/>
              </w:rPr>
            </w:pPr>
            <w:r>
              <w:rPr>
                <w:sz w:val="22"/>
              </w:rPr>
              <w:t>Textil</w:t>
            </w: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(carrera</w:t>
            </w:r>
          </w:p>
        </w:tc>
        <w:tc>
          <w:tcPr>
            <w:tcW w:w="1887" w:type="dxa"/>
            <w:tcBorders>
              <w:top w:val="nil"/>
              <w:bottom w:val="nil"/>
            </w:tcBorders>
          </w:tcPr>
          <w:p>
            <w:pPr>
              <w:pStyle w:val="TableParagraph"/>
              <w:spacing w:line="241"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
        </w:tc>
      </w:tr>
      <w:tr>
        <w:trPr>
          <w:trHeight w:val="249" w:hRule="exact"/>
        </w:trPr>
        <w:tc>
          <w:tcPr>
            <w:tcW w:w="1385" w:type="dxa"/>
            <w:tcBorders>
              <w:top w:val="nil"/>
            </w:tcBorders>
          </w:tcPr>
          <w:p>
            <w:pPr>
              <w:pStyle w:val="TableParagraph"/>
              <w:spacing w:line="242" w:lineRule="exact"/>
              <w:ind w:left="124"/>
              <w:rPr>
                <w:sz w:val="22"/>
              </w:rPr>
            </w:pPr>
            <w:r>
              <w:rPr>
                <w:sz w:val="22"/>
              </w:rPr>
              <w:t>(29/8/2014)</w:t>
            </w:r>
          </w:p>
        </w:tc>
        <w:tc>
          <w:tcPr>
            <w:tcW w:w="1274" w:type="dxa"/>
            <w:tcBorders>
              <w:top w:val="nil"/>
            </w:tcBorders>
          </w:tcPr>
          <w:p>
            <w:pPr>
              <w:pStyle w:val="TableParagraph"/>
              <w:spacing w:line="242" w:lineRule="exact"/>
              <w:ind w:left="100" w:right="98"/>
              <w:rPr>
                <w:sz w:val="22"/>
              </w:rPr>
            </w:pPr>
            <w:r>
              <w:rPr>
                <w:sz w:val="22"/>
              </w:rPr>
              <w:t>trunca)</w:t>
            </w: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6215" w:type="dxa"/>
            <w:tcBorders>
              <w:top w:val="nil"/>
            </w:tcBorders>
          </w:tcPr>
          <w:p>
            <w:pPr/>
          </w:p>
        </w:tc>
      </w:tr>
      <w:tr>
        <w:trPr>
          <w:trHeight w:val="267" w:hRule="exact"/>
        </w:trPr>
        <w:tc>
          <w:tcPr>
            <w:tcW w:w="1385" w:type="dxa"/>
            <w:tcBorders>
              <w:bottom w:val="nil"/>
            </w:tcBorders>
          </w:tcPr>
          <w:p>
            <w:pPr>
              <w:pStyle w:val="TableParagraph"/>
              <w:spacing w:line="251" w:lineRule="exact"/>
              <w:ind w:left="343" w:right="127"/>
              <w:rPr>
                <w:sz w:val="22"/>
              </w:rPr>
            </w:pPr>
            <w:r>
              <w:rPr>
                <w:sz w:val="22"/>
              </w:rPr>
              <w:t>Santos</w:t>
            </w:r>
          </w:p>
        </w:tc>
        <w:tc>
          <w:tcPr>
            <w:tcW w:w="1274" w:type="dxa"/>
            <w:tcBorders>
              <w:bottom w:val="nil"/>
            </w:tcBorders>
          </w:tcPr>
          <w:p>
            <w:pPr/>
          </w:p>
        </w:tc>
        <w:tc>
          <w:tcPr>
            <w:tcW w:w="1887" w:type="dxa"/>
            <w:tcBorders>
              <w:bottom w:val="nil"/>
            </w:tcBorders>
          </w:tcPr>
          <w:p>
            <w:pPr>
              <w:pStyle w:val="TableParagraph"/>
              <w:tabs>
                <w:tab w:pos="1480" w:val="left" w:leader="none"/>
              </w:tabs>
              <w:spacing w:line="251" w:lineRule="exact"/>
              <w:rPr>
                <w:sz w:val="22"/>
              </w:rPr>
            </w:pPr>
            <w:r>
              <w:rPr>
                <w:sz w:val="22"/>
              </w:rPr>
              <w:t>Jefe</w:t>
              <w:tab/>
              <w:t>del</w:t>
            </w:r>
          </w:p>
        </w:tc>
        <w:tc>
          <w:tcPr>
            <w:tcW w:w="1289" w:type="dxa"/>
            <w:tcBorders>
              <w:bottom w:val="nil"/>
            </w:tcBorders>
          </w:tcPr>
          <w:p>
            <w:pPr>
              <w:pStyle w:val="TableParagraph"/>
              <w:spacing w:line="251" w:lineRule="exact"/>
              <w:rPr>
                <w:sz w:val="22"/>
              </w:rPr>
            </w:pPr>
            <w:r>
              <w:rPr>
                <w:sz w:val="22"/>
              </w:rPr>
              <w:t>Jilotepec</w:t>
            </w:r>
          </w:p>
        </w:tc>
        <w:tc>
          <w:tcPr>
            <w:tcW w:w="1174" w:type="dxa"/>
            <w:tcBorders>
              <w:bottom w:val="nil"/>
            </w:tcBorders>
          </w:tcPr>
          <w:p>
            <w:pPr>
              <w:pStyle w:val="TableParagraph"/>
              <w:spacing w:line="251" w:lineRule="exact"/>
              <w:ind w:left="23" w:right="109"/>
              <w:jc w:val="center"/>
              <w:rPr>
                <w:sz w:val="22"/>
              </w:rPr>
            </w:pPr>
            <w:r>
              <w:rPr>
                <w:sz w:val="22"/>
              </w:rPr>
              <w:t>Jilotepec</w:t>
            </w:r>
          </w:p>
        </w:tc>
        <w:tc>
          <w:tcPr>
            <w:tcW w:w="6215" w:type="dxa"/>
            <w:tcBorders>
              <w:bottom w:val="nil"/>
            </w:tcBorders>
          </w:tcPr>
          <w:p>
            <w:pPr>
              <w:pStyle w:val="TableParagraph"/>
              <w:spacing w:line="251" w:lineRule="exact"/>
              <w:ind w:left="100" w:right="105"/>
              <w:rPr>
                <w:sz w:val="22"/>
              </w:rPr>
            </w:pPr>
            <w:r>
              <w:rPr>
                <w:sz w:val="22"/>
              </w:rPr>
              <w:t>Si asistiríamos, pero primero hay que elaborar un proyecto</w:t>
            </w:r>
          </w:p>
        </w:tc>
      </w:tr>
      <w:tr>
        <w:trPr>
          <w:trHeight w:val="253" w:hRule="exact"/>
        </w:trPr>
        <w:tc>
          <w:tcPr>
            <w:tcW w:w="1385" w:type="dxa"/>
            <w:tcBorders>
              <w:top w:val="nil"/>
              <w:bottom w:val="nil"/>
            </w:tcBorders>
          </w:tcPr>
          <w:p>
            <w:pPr>
              <w:pStyle w:val="TableParagraph"/>
              <w:spacing w:line="242" w:lineRule="exact"/>
              <w:ind w:left="259" w:right="127"/>
              <w:rPr>
                <w:sz w:val="22"/>
              </w:rPr>
            </w:pPr>
            <w:r>
              <w:rPr>
                <w:sz w:val="22"/>
              </w:rPr>
              <w:t>Martínez</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spacing w:line="242" w:lineRule="exact"/>
              <w:rPr>
                <w:sz w:val="22"/>
              </w:rPr>
            </w:pPr>
            <w:r>
              <w:rPr>
                <w:sz w:val="22"/>
              </w:rPr>
              <w:t>Departamento</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2" w:lineRule="exact"/>
              <w:ind w:left="100"/>
              <w:rPr>
                <w:sz w:val="22"/>
              </w:rPr>
            </w:pPr>
            <w:r>
              <w:rPr>
                <w:sz w:val="22"/>
              </w:rPr>
              <w:t>para acordar con un planteamiento específico y</w:t>
            </w:r>
            <w:r>
              <w:rPr>
                <w:spacing w:val="54"/>
                <w:sz w:val="22"/>
              </w:rPr>
              <w:t> </w:t>
            </w:r>
            <w:r>
              <w:rPr>
                <w:sz w:val="22"/>
              </w:rPr>
              <w:t>necesitamos</w:t>
            </w:r>
          </w:p>
        </w:tc>
      </w:tr>
      <w:tr>
        <w:trPr>
          <w:trHeight w:val="254" w:hRule="exact"/>
        </w:trPr>
        <w:tc>
          <w:tcPr>
            <w:tcW w:w="1385" w:type="dxa"/>
            <w:tcBorders>
              <w:top w:val="nil"/>
              <w:bottom w:val="nil"/>
            </w:tcBorders>
          </w:tcPr>
          <w:p>
            <w:pPr>
              <w:pStyle w:val="TableParagraph"/>
              <w:spacing w:line="241" w:lineRule="exact"/>
              <w:ind w:left="223" w:right="127"/>
              <w:rPr>
                <w:sz w:val="22"/>
              </w:rPr>
            </w:pPr>
            <w:r>
              <w:rPr>
                <w:sz w:val="22"/>
              </w:rPr>
              <w:t>Alcántara</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 Ecología</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1" w:lineRule="exact"/>
              <w:ind w:left="100" w:right="105"/>
              <w:rPr>
                <w:sz w:val="22"/>
              </w:rPr>
            </w:pPr>
            <w:r>
              <w:rPr>
                <w:sz w:val="22"/>
              </w:rPr>
              <w:t>el consentimiento de nuestro presidente municipal, sino   nos</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2" w:lineRule="exact"/>
              <w:ind w:left="100" w:right="105"/>
              <w:rPr>
                <w:sz w:val="22"/>
              </w:rPr>
            </w:pPr>
            <w:r>
              <w:rPr>
                <w:sz w:val="22"/>
              </w:rPr>
              <w:t>corre.</w:t>
            </w:r>
          </w:p>
        </w:tc>
      </w:tr>
      <w:tr>
        <w:trPr>
          <w:trHeight w:val="247" w:hRule="exact"/>
        </w:trPr>
        <w:tc>
          <w:tcPr>
            <w:tcW w:w="1385" w:type="dxa"/>
            <w:tcBorders>
              <w:top w:val="nil"/>
            </w:tcBorders>
          </w:tcPr>
          <w:p>
            <w:pPr>
              <w:pStyle w:val="TableParagraph"/>
              <w:spacing w:line="241" w:lineRule="exact"/>
              <w:ind w:left="155"/>
              <w:rPr>
                <w:sz w:val="22"/>
              </w:rPr>
            </w:pPr>
            <w:r>
              <w:rPr>
                <w:sz w:val="22"/>
              </w:rPr>
              <w:t>(15/I/2014)</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6215" w:type="dxa"/>
            <w:tcBorders>
              <w:top w:val="nil"/>
            </w:tcBorders>
          </w:tcPr>
          <w:p>
            <w:pPr/>
          </w:p>
        </w:tc>
      </w:tr>
      <w:tr>
        <w:trPr>
          <w:trHeight w:val="770" w:hRule="exact"/>
        </w:trPr>
        <w:tc>
          <w:tcPr>
            <w:tcW w:w="1385" w:type="dxa"/>
          </w:tcPr>
          <w:p>
            <w:pPr>
              <w:pStyle w:val="TableParagraph"/>
              <w:ind w:left="85" w:right="83"/>
              <w:jc w:val="center"/>
              <w:rPr>
                <w:sz w:val="22"/>
              </w:rPr>
            </w:pPr>
            <w:r>
              <w:rPr>
                <w:sz w:val="22"/>
              </w:rPr>
              <w:t>Jaime Sánchez Miranda</w:t>
            </w:r>
          </w:p>
        </w:tc>
        <w:tc>
          <w:tcPr>
            <w:tcW w:w="1274"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left="100"/>
              <w:rPr>
                <w:sz w:val="22"/>
              </w:rPr>
            </w:pPr>
            <w:r>
              <w:rPr>
                <w:sz w:val="22"/>
              </w:rPr>
              <w:t>Licenciado</w:t>
            </w:r>
          </w:p>
        </w:tc>
        <w:tc>
          <w:tcPr>
            <w:tcW w:w="1887" w:type="dxa"/>
          </w:tcPr>
          <w:p>
            <w:pPr>
              <w:pStyle w:val="TableParagraph"/>
              <w:tabs>
                <w:tab w:pos="1480" w:val="left" w:leader="none"/>
              </w:tabs>
              <w:spacing w:line="252" w:lineRule="exact"/>
              <w:rPr>
                <w:sz w:val="22"/>
              </w:rPr>
            </w:pPr>
            <w:r>
              <w:rPr>
                <w:sz w:val="22"/>
              </w:rPr>
              <w:t>Jefe</w:t>
              <w:tab/>
              <w:t>del</w:t>
            </w:r>
          </w:p>
          <w:p>
            <w:pPr>
              <w:pStyle w:val="TableParagraph"/>
              <w:tabs>
                <w:tab w:pos="904" w:val="left" w:leader="none"/>
              </w:tabs>
              <w:ind w:right="101"/>
              <w:rPr>
                <w:sz w:val="22"/>
              </w:rPr>
            </w:pPr>
            <w:r>
              <w:rPr>
                <w:sz w:val="22"/>
              </w:rPr>
              <w:t>Departamento de</w:t>
              <w:tab/>
            </w:r>
            <w:r>
              <w:rPr>
                <w:spacing w:val="-1"/>
                <w:sz w:val="22"/>
              </w:rPr>
              <w:t>Fomento</w:t>
            </w:r>
          </w:p>
        </w:tc>
        <w:tc>
          <w:tcPr>
            <w:tcW w:w="1289" w:type="dxa"/>
          </w:tcPr>
          <w:p>
            <w:pPr>
              <w:pStyle w:val="TableParagraph"/>
              <w:ind w:left="266" w:right="247" w:firstLine="28"/>
              <w:rPr>
                <w:sz w:val="22"/>
              </w:rPr>
            </w:pPr>
            <w:r>
              <w:rPr>
                <w:sz w:val="22"/>
              </w:rPr>
              <w:t>Distrito Federal</w:t>
            </w:r>
          </w:p>
        </w:tc>
        <w:tc>
          <w:tcPr>
            <w:tcW w:w="1174" w:type="dxa"/>
          </w:tcPr>
          <w:p>
            <w:pPr>
              <w:pStyle w:val="TableParagraph"/>
              <w:ind w:left="84" w:right="84"/>
              <w:jc w:val="center"/>
              <w:rPr>
                <w:sz w:val="22"/>
              </w:rPr>
            </w:pPr>
            <w:r>
              <w:rPr>
                <w:sz w:val="22"/>
              </w:rPr>
              <w:t>Jilotepec</w:t>
            </w:r>
          </w:p>
        </w:tc>
        <w:tc>
          <w:tcPr>
            <w:tcW w:w="6215" w:type="dxa"/>
          </w:tcPr>
          <w:p>
            <w:pPr>
              <w:pStyle w:val="TableParagraph"/>
              <w:ind w:left="100" w:right="240"/>
              <w:rPr>
                <w:sz w:val="22"/>
              </w:rPr>
            </w:pPr>
            <w:r>
              <w:rPr>
                <w:sz w:val="22"/>
              </w:rPr>
              <w:t>Nosotros como municipio estaríamos dispuestos a cooperar para tratar asuntos relacionados con la laguna.</w:t>
            </w:r>
          </w:p>
        </w:tc>
      </w:tr>
    </w:tbl>
    <w:p>
      <w:pPr>
        <w:spacing w:after="0"/>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6215"/>
      </w:tblGrid>
      <w:tr>
        <w:trPr>
          <w:trHeight w:val="768" w:hRule="exact"/>
        </w:trPr>
        <w:tc>
          <w:tcPr>
            <w:tcW w:w="1385" w:type="dxa"/>
          </w:tcPr>
          <w:p>
            <w:pPr>
              <w:pStyle w:val="TableParagraph"/>
              <w:spacing w:before="8"/>
              <w:ind w:left="0"/>
              <w:rPr>
                <w:rFonts w:ascii="Times New Roman"/>
                <w:sz w:val="21"/>
              </w:rPr>
            </w:pPr>
          </w:p>
          <w:p>
            <w:pPr>
              <w:pStyle w:val="TableParagraph"/>
              <w:ind w:left="155"/>
              <w:rPr>
                <w:sz w:val="22"/>
              </w:rPr>
            </w:pPr>
            <w:r>
              <w:rPr>
                <w:sz w:val="22"/>
              </w:rPr>
              <w:t>(15/I/2014)</w:t>
            </w:r>
          </w:p>
        </w:tc>
        <w:tc>
          <w:tcPr>
            <w:tcW w:w="1274" w:type="dxa"/>
          </w:tcPr>
          <w:p>
            <w:pPr>
              <w:pStyle w:val="TableParagraph"/>
              <w:spacing w:line="252" w:lineRule="exact" w:before="2"/>
              <w:ind w:left="100" w:right="154"/>
              <w:rPr>
                <w:sz w:val="22"/>
              </w:rPr>
            </w:pPr>
            <w:r>
              <w:rPr>
                <w:sz w:val="22"/>
              </w:rPr>
              <w:t>en Economía</w:t>
            </w:r>
          </w:p>
        </w:tc>
        <w:tc>
          <w:tcPr>
            <w:tcW w:w="1887" w:type="dxa"/>
          </w:tcPr>
          <w:p>
            <w:pPr>
              <w:pStyle w:val="TableParagraph"/>
              <w:tabs>
                <w:tab w:pos="1665" w:val="left" w:leader="none"/>
              </w:tabs>
              <w:spacing w:line="252" w:lineRule="exact" w:before="2"/>
              <w:ind w:right="99"/>
              <w:rPr>
                <w:sz w:val="22"/>
              </w:rPr>
            </w:pPr>
            <w:r>
              <w:rPr>
                <w:sz w:val="22"/>
              </w:rPr>
              <w:t>Económico</w:t>
              <w:tab/>
              <w:t>y Turismo</w:t>
            </w:r>
          </w:p>
        </w:tc>
        <w:tc>
          <w:tcPr>
            <w:tcW w:w="1289" w:type="dxa"/>
          </w:tcPr>
          <w:p>
            <w:pPr/>
          </w:p>
        </w:tc>
        <w:tc>
          <w:tcPr>
            <w:tcW w:w="1174" w:type="dxa"/>
          </w:tcPr>
          <w:p>
            <w:pPr/>
          </w:p>
        </w:tc>
        <w:tc>
          <w:tcPr>
            <w:tcW w:w="6215" w:type="dxa"/>
          </w:tcPr>
          <w:p>
            <w:pP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4"/>
        <w:ind w:left="3516" w:right="778"/>
      </w:pPr>
      <w:r>
        <w:rPr/>
        <w:t>Tabla 6.12. Municipio de Polotitlán (Autoridades Municipales)</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1229"/>
        <w:gridCol w:w="2314"/>
        <w:gridCol w:w="3901"/>
      </w:tblGrid>
      <w:tr>
        <w:trPr>
          <w:trHeight w:val="293" w:hRule="exact"/>
        </w:trPr>
        <w:tc>
          <w:tcPr>
            <w:tcW w:w="13224" w:type="dxa"/>
            <w:gridSpan w:val="7"/>
            <w:shd w:val="clear" w:color="auto" w:fill="9BBA58"/>
          </w:tcPr>
          <w:p>
            <w:pPr>
              <w:pStyle w:val="TableParagraph"/>
              <w:spacing w:line="248" w:lineRule="exact"/>
              <w:ind w:left="4865" w:right="4870"/>
              <w:jc w:val="center"/>
              <w:rPr>
                <w:b/>
                <w:sz w:val="22"/>
              </w:rPr>
            </w:pPr>
            <w:r>
              <w:rPr>
                <w:b/>
                <w:sz w:val="22"/>
              </w:rPr>
              <w:t>POLOTITLÁN</w:t>
            </w:r>
          </w:p>
        </w:tc>
      </w:tr>
      <w:tr>
        <w:trPr>
          <w:trHeight w:val="524" w:hRule="exact"/>
        </w:trPr>
        <w:tc>
          <w:tcPr>
            <w:tcW w:w="4645" w:type="dxa"/>
            <w:gridSpan w:val="3"/>
            <w:vMerge w:val="restart"/>
            <w:shd w:val="clear" w:color="auto" w:fill="F9BE8F"/>
          </w:tcPr>
          <w:p>
            <w:pPr>
              <w:pStyle w:val="TableParagraph"/>
              <w:spacing w:before="6"/>
              <w:ind w:left="0"/>
              <w:rPr>
                <w:b/>
                <w:sz w:val="21"/>
              </w:rPr>
            </w:pPr>
          </w:p>
          <w:p>
            <w:pPr>
              <w:pStyle w:val="TableParagraph"/>
              <w:ind w:left="751"/>
              <w:rPr>
                <w:b/>
                <w:sz w:val="22"/>
              </w:rPr>
            </w:pPr>
            <w:r>
              <w:rPr>
                <w:b/>
                <w:sz w:val="22"/>
              </w:rPr>
              <w:t>IDENTIFICACIÓN DEL ACTOR</w:t>
            </w:r>
          </w:p>
        </w:tc>
        <w:tc>
          <w:tcPr>
            <w:tcW w:w="8579" w:type="dxa"/>
            <w:gridSpan w:val="4"/>
            <w:shd w:val="clear" w:color="auto" w:fill="92CDDC"/>
          </w:tcPr>
          <w:p>
            <w:pPr>
              <w:pStyle w:val="TableParagraph"/>
              <w:spacing w:before="6"/>
              <w:ind w:left="0"/>
              <w:rPr>
                <w:b/>
                <w:sz w:val="21"/>
              </w:rPr>
            </w:pPr>
          </w:p>
          <w:p>
            <w:pPr>
              <w:pStyle w:val="TableParagraph"/>
              <w:ind w:left="2644"/>
              <w:rPr>
                <w:b/>
                <w:sz w:val="22"/>
              </w:rPr>
            </w:pPr>
            <w:r>
              <w:rPr>
                <w:b/>
                <w:sz w:val="22"/>
              </w:rPr>
              <w:t>PRINCIPIOS DE GOBERNANZA</w:t>
            </w:r>
          </w:p>
        </w:tc>
      </w:tr>
      <w:tr>
        <w:trPr>
          <w:trHeight w:val="264" w:hRule="exact"/>
        </w:trPr>
        <w:tc>
          <w:tcPr>
            <w:tcW w:w="4645" w:type="dxa"/>
            <w:gridSpan w:val="3"/>
            <w:vMerge/>
            <w:shd w:val="clear" w:color="auto" w:fill="F9BE8F"/>
          </w:tcPr>
          <w:p>
            <w:pPr/>
          </w:p>
        </w:tc>
        <w:tc>
          <w:tcPr>
            <w:tcW w:w="2364" w:type="dxa"/>
            <w:gridSpan w:val="2"/>
            <w:shd w:val="clear" w:color="auto" w:fill="92CDDC"/>
          </w:tcPr>
          <w:p>
            <w:pPr>
              <w:pStyle w:val="TableParagraph"/>
              <w:spacing w:line="251" w:lineRule="exact"/>
              <w:ind w:left="688"/>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Poder</w:t>
            </w:r>
          </w:p>
        </w:tc>
        <w:tc>
          <w:tcPr>
            <w:tcW w:w="3901" w:type="dxa"/>
            <w:shd w:val="clear" w:color="auto" w:fill="92CDDC"/>
          </w:tcPr>
          <w:p>
            <w:pPr>
              <w:pStyle w:val="TableParagraph"/>
              <w:spacing w:line="251" w:lineRule="exact"/>
              <w:rPr>
                <w:b/>
                <w:i/>
                <w:sz w:val="22"/>
              </w:rPr>
            </w:pPr>
            <w:r>
              <w:rPr>
                <w:b/>
                <w:i/>
                <w:sz w:val="22"/>
              </w:rPr>
              <w:t>Poder y cultura</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418" w:type="dxa"/>
            <w:tcBorders>
              <w:bottom w:val="nil"/>
            </w:tcBorders>
            <w:shd w:val="clear" w:color="auto" w:fill="F9BE8F"/>
          </w:tcPr>
          <w:p>
            <w:pPr>
              <w:pStyle w:val="TableParagraph"/>
              <w:spacing w:line="248" w:lineRule="exact"/>
              <w:ind w:left="100" w:right="101"/>
              <w:rPr>
                <w:b/>
                <w:sz w:val="22"/>
              </w:rPr>
            </w:pPr>
            <w:r>
              <w:rPr>
                <w:b/>
                <w:sz w:val="22"/>
              </w:rPr>
              <w:t>Nivel</w:t>
            </w:r>
          </w:p>
        </w:tc>
        <w:tc>
          <w:tcPr>
            <w:tcW w:w="1841" w:type="dxa"/>
            <w:tcBorders>
              <w:bottom w:val="nil"/>
            </w:tcBorders>
            <w:shd w:val="clear" w:color="auto" w:fill="F9BE8F"/>
          </w:tcPr>
          <w:p>
            <w:pPr>
              <w:pStyle w:val="TableParagraph"/>
              <w:spacing w:line="248" w:lineRule="exact"/>
              <w:ind w:left="100"/>
              <w:rPr>
                <w:b/>
                <w:sz w:val="22"/>
              </w:rPr>
            </w:pPr>
            <w:r>
              <w:rPr>
                <w:b/>
                <w:sz w:val="22"/>
              </w:rPr>
              <w:t>Cargo Público</w:t>
            </w:r>
          </w:p>
        </w:tc>
        <w:tc>
          <w:tcPr>
            <w:tcW w:w="1135" w:type="dxa"/>
            <w:tcBorders>
              <w:bottom w:val="nil"/>
            </w:tcBorders>
            <w:shd w:val="clear" w:color="auto" w:fill="92CDDC"/>
          </w:tcPr>
          <w:p>
            <w:pPr>
              <w:pStyle w:val="TableParagraph"/>
              <w:spacing w:line="248" w:lineRule="exact"/>
              <w:rPr>
                <w:b/>
                <w:sz w:val="22"/>
              </w:rPr>
            </w:pPr>
            <w:r>
              <w:rPr>
                <w:b/>
                <w:sz w:val="22"/>
              </w:rPr>
              <w:t>¿Dónde</w:t>
            </w:r>
          </w:p>
        </w:tc>
        <w:tc>
          <w:tcPr>
            <w:tcW w:w="1229" w:type="dxa"/>
            <w:tcBorders>
              <w:bottom w:val="nil"/>
            </w:tcBorders>
            <w:shd w:val="clear" w:color="auto" w:fill="92CDDC"/>
          </w:tcPr>
          <w:p>
            <w:pPr>
              <w:pStyle w:val="TableParagraph"/>
              <w:spacing w:line="248" w:lineRule="exact"/>
              <w:ind w:left="100"/>
              <w:rPr>
                <w:b/>
                <w:sz w:val="22"/>
              </w:rPr>
            </w:pPr>
            <w:r>
              <w:rPr>
                <w:b/>
                <w:sz w:val="22"/>
              </w:rPr>
              <w:t>¿Dónde</w:t>
            </w:r>
          </w:p>
        </w:tc>
        <w:tc>
          <w:tcPr>
            <w:tcW w:w="2314" w:type="dxa"/>
            <w:tcBorders>
              <w:bottom w:val="nil"/>
            </w:tcBorders>
            <w:shd w:val="clear" w:color="auto" w:fill="92CDDC"/>
          </w:tcPr>
          <w:p>
            <w:pPr>
              <w:pStyle w:val="TableParagraph"/>
              <w:tabs>
                <w:tab w:pos="1225" w:val="left" w:leader="none"/>
                <w:tab w:pos="1883" w:val="left" w:leader="none"/>
              </w:tabs>
              <w:spacing w:line="248" w:lineRule="exact"/>
              <w:ind w:left="100"/>
              <w:rPr>
                <w:b/>
                <w:sz w:val="22"/>
              </w:rPr>
            </w:pPr>
            <w:r>
              <w:rPr>
                <w:b/>
                <w:sz w:val="22"/>
              </w:rPr>
              <w:t>¿Cuáles</w:t>
              <w:tab/>
              <w:t>son</w:t>
              <w:tab/>
              <w:t>los</w:t>
            </w:r>
          </w:p>
        </w:tc>
        <w:tc>
          <w:tcPr>
            <w:tcW w:w="3901" w:type="dxa"/>
            <w:tcBorders>
              <w:bottom w:val="nil"/>
            </w:tcBorders>
            <w:shd w:val="clear" w:color="auto" w:fill="92CDDC"/>
          </w:tcPr>
          <w:p>
            <w:pPr>
              <w:pStyle w:val="TableParagraph"/>
              <w:tabs>
                <w:tab w:pos="851" w:val="left" w:leader="none"/>
                <w:tab w:pos="1487" w:val="left" w:leader="none"/>
                <w:tab w:pos="2245" w:val="left" w:leader="none"/>
                <w:tab w:pos="3603" w:val="left" w:leader="none"/>
              </w:tabs>
              <w:spacing w:line="248" w:lineRule="exact"/>
              <w:rPr>
                <w:b/>
                <w:sz w:val="22"/>
              </w:rPr>
            </w:pPr>
            <w:r>
              <w:rPr>
                <w:b/>
                <w:sz w:val="22"/>
              </w:rPr>
              <w:t>¿Por</w:t>
              <w:tab/>
              <w:t>qué</w:t>
              <w:tab/>
              <w:t>tiene</w:t>
              <w:tab/>
              <w:t>problemas</w:t>
              <w:tab/>
              <w:t>la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418" w:type="dxa"/>
            <w:tcBorders>
              <w:top w:val="nil"/>
              <w:bottom w:val="nil"/>
            </w:tcBorders>
            <w:shd w:val="clear" w:color="auto" w:fill="F9BE8F"/>
          </w:tcPr>
          <w:p>
            <w:pPr>
              <w:pStyle w:val="TableParagraph"/>
              <w:spacing w:line="241" w:lineRule="exact"/>
              <w:ind w:left="100" w:right="101"/>
              <w:rPr>
                <w:b/>
                <w:sz w:val="22"/>
              </w:rPr>
            </w:pPr>
            <w:r>
              <w:rPr>
                <w:b/>
                <w:sz w:val="22"/>
              </w:rPr>
              <w:t>Educativo</w:t>
            </w:r>
          </w:p>
        </w:tc>
        <w:tc>
          <w:tcPr>
            <w:tcW w:w="1841" w:type="dxa"/>
            <w:tcBorders>
              <w:top w:val="nil"/>
              <w:bottom w:val="nil"/>
            </w:tcBorders>
            <w:shd w:val="clear" w:color="auto" w:fill="F9BE8F"/>
          </w:tcPr>
          <w:p>
            <w:pPr/>
          </w:p>
        </w:tc>
        <w:tc>
          <w:tcPr>
            <w:tcW w:w="1135" w:type="dxa"/>
            <w:tcBorders>
              <w:top w:val="nil"/>
              <w:bottom w:val="nil"/>
            </w:tcBorders>
            <w:shd w:val="clear" w:color="auto" w:fill="92CDDC"/>
          </w:tcPr>
          <w:p>
            <w:pPr>
              <w:pStyle w:val="TableParagraph"/>
              <w:spacing w:line="241" w:lineRule="exact"/>
              <w:rPr>
                <w:b/>
                <w:sz w:val="22"/>
              </w:rPr>
            </w:pPr>
            <w:r>
              <w:rPr>
                <w:b/>
                <w:sz w:val="22"/>
              </w:rPr>
              <w:t>nació?</w:t>
            </w:r>
          </w:p>
        </w:tc>
        <w:tc>
          <w:tcPr>
            <w:tcW w:w="1229" w:type="dxa"/>
            <w:tcBorders>
              <w:top w:val="nil"/>
              <w:bottom w:val="nil"/>
            </w:tcBorders>
            <w:shd w:val="clear" w:color="auto" w:fill="92CDDC"/>
          </w:tcPr>
          <w:p>
            <w:pPr>
              <w:pStyle w:val="TableParagraph"/>
              <w:spacing w:line="241" w:lineRule="exact"/>
              <w:ind w:left="100"/>
              <w:rPr>
                <w:b/>
                <w:sz w:val="22"/>
              </w:rPr>
            </w:pPr>
            <w:r>
              <w:rPr>
                <w:b/>
                <w:sz w:val="22"/>
              </w:rPr>
              <w:t>vive?</w:t>
            </w:r>
          </w:p>
        </w:tc>
        <w:tc>
          <w:tcPr>
            <w:tcW w:w="2314" w:type="dxa"/>
            <w:tcBorders>
              <w:top w:val="nil"/>
              <w:bottom w:val="nil"/>
            </w:tcBorders>
            <w:shd w:val="clear" w:color="auto" w:fill="92CDDC"/>
          </w:tcPr>
          <w:p>
            <w:pPr>
              <w:pStyle w:val="TableParagraph"/>
              <w:tabs>
                <w:tab w:pos="1811" w:val="left" w:leader="none"/>
              </w:tabs>
              <w:spacing w:line="241" w:lineRule="exact"/>
              <w:ind w:left="100"/>
              <w:rPr>
                <w:b/>
                <w:sz w:val="22"/>
              </w:rPr>
            </w:pPr>
            <w:r>
              <w:rPr>
                <w:b/>
                <w:sz w:val="22"/>
              </w:rPr>
              <w:t>problemas</w:t>
              <w:tab/>
              <w:t>que</w:t>
            </w:r>
          </w:p>
        </w:tc>
        <w:tc>
          <w:tcPr>
            <w:tcW w:w="3901" w:type="dxa"/>
            <w:tcBorders>
              <w:top w:val="nil"/>
              <w:bottom w:val="nil"/>
            </w:tcBorders>
            <w:shd w:val="clear" w:color="auto" w:fill="92CDDC"/>
          </w:tcPr>
          <w:p>
            <w:pPr>
              <w:pStyle w:val="TableParagraph"/>
              <w:spacing w:line="241" w:lineRule="exact"/>
              <w:rPr>
                <w:b/>
                <w:sz w:val="22"/>
              </w:rPr>
            </w:pPr>
            <w:r>
              <w:rPr>
                <w:b/>
                <w:sz w:val="22"/>
              </w:rPr>
              <w:t>laguna de Huapango?</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418" w:type="dxa"/>
            <w:tcBorders>
              <w:top w:val="nil"/>
              <w:bottom w:val="nil"/>
            </w:tcBorders>
            <w:shd w:val="clear" w:color="auto" w:fill="F9BE8F"/>
          </w:tcPr>
          <w:p>
            <w:pPr/>
          </w:p>
        </w:tc>
        <w:tc>
          <w:tcPr>
            <w:tcW w:w="1841" w:type="dxa"/>
            <w:tcBorders>
              <w:top w:val="nil"/>
              <w:bottom w:val="nil"/>
            </w:tcBorders>
            <w:shd w:val="clear" w:color="auto" w:fill="F9BE8F"/>
          </w:tcPr>
          <w:p>
            <w:pPr/>
          </w:p>
        </w:tc>
        <w:tc>
          <w:tcPr>
            <w:tcW w:w="1135" w:type="dxa"/>
            <w:tcBorders>
              <w:top w:val="nil"/>
              <w:bottom w:val="nil"/>
            </w:tcBorders>
            <w:shd w:val="clear" w:color="auto" w:fill="92CDDC"/>
          </w:tcPr>
          <w:p>
            <w:pPr/>
          </w:p>
        </w:tc>
        <w:tc>
          <w:tcPr>
            <w:tcW w:w="1229"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2" w:lineRule="exact"/>
              <w:ind w:left="100"/>
              <w:rPr>
                <w:b/>
                <w:sz w:val="22"/>
              </w:rPr>
            </w:pPr>
            <w:r>
              <w:rPr>
                <w:b/>
                <w:sz w:val="22"/>
              </w:rPr>
              <w:t>tiene  la  laguna   de</w:t>
            </w:r>
          </w:p>
        </w:tc>
        <w:tc>
          <w:tcPr>
            <w:tcW w:w="3901"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418" w:type="dxa"/>
            <w:tcBorders>
              <w:top w:val="nil"/>
            </w:tcBorders>
            <w:shd w:val="clear" w:color="auto" w:fill="F9BE8F"/>
          </w:tcPr>
          <w:p>
            <w:pPr/>
          </w:p>
        </w:tc>
        <w:tc>
          <w:tcPr>
            <w:tcW w:w="1841" w:type="dxa"/>
            <w:tcBorders>
              <w:top w:val="nil"/>
            </w:tcBorders>
            <w:shd w:val="clear" w:color="auto" w:fill="F9BE8F"/>
          </w:tcPr>
          <w:p>
            <w:pPr/>
          </w:p>
        </w:tc>
        <w:tc>
          <w:tcPr>
            <w:tcW w:w="1135" w:type="dxa"/>
            <w:tcBorders>
              <w:top w:val="nil"/>
            </w:tcBorders>
            <w:shd w:val="clear" w:color="auto" w:fill="92CDDC"/>
          </w:tcPr>
          <w:p>
            <w:pPr/>
          </w:p>
        </w:tc>
        <w:tc>
          <w:tcPr>
            <w:tcW w:w="1229"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Huapango?</w:t>
            </w:r>
          </w:p>
        </w:tc>
        <w:tc>
          <w:tcPr>
            <w:tcW w:w="3901"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rPr>
                <w:sz w:val="22"/>
              </w:rPr>
            </w:pPr>
            <w:r>
              <w:rPr>
                <w:sz w:val="22"/>
              </w:rPr>
              <w:t>María Silvia</w:t>
            </w:r>
          </w:p>
        </w:tc>
        <w:tc>
          <w:tcPr>
            <w:tcW w:w="1418" w:type="dxa"/>
            <w:tcBorders>
              <w:bottom w:val="nil"/>
            </w:tcBorders>
          </w:tcPr>
          <w:p>
            <w:pPr>
              <w:pStyle w:val="TableParagraph"/>
              <w:spacing w:line="251" w:lineRule="exact"/>
              <w:ind w:left="100" w:right="101"/>
              <w:rPr>
                <w:sz w:val="22"/>
              </w:rPr>
            </w:pPr>
            <w:r>
              <w:rPr>
                <w:sz w:val="22"/>
              </w:rPr>
              <w:t>Licenciada</w:t>
            </w:r>
          </w:p>
        </w:tc>
        <w:tc>
          <w:tcPr>
            <w:tcW w:w="1841" w:type="dxa"/>
            <w:tcBorders>
              <w:bottom w:val="nil"/>
            </w:tcBorders>
          </w:tcPr>
          <w:p>
            <w:pPr>
              <w:pStyle w:val="TableParagraph"/>
              <w:spacing w:line="251" w:lineRule="exact"/>
              <w:ind w:left="386"/>
              <w:rPr>
                <w:sz w:val="22"/>
              </w:rPr>
            </w:pPr>
            <w:r>
              <w:rPr>
                <w:sz w:val="22"/>
              </w:rPr>
              <w:t>Presidenta</w:t>
            </w:r>
          </w:p>
        </w:tc>
        <w:tc>
          <w:tcPr>
            <w:tcW w:w="1135" w:type="dxa"/>
            <w:tcBorders>
              <w:bottom w:val="nil"/>
            </w:tcBorders>
          </w:tcPr>
          <w:p>
            <w:pPr>
              <w:pStyle w:val="TableParagraph"/>
              <w:spacing w:line="251" w:lineRule="exact"/>
              <w:ind w:left="108"/>
              <w:rPr>
                <w:sz w:val="22"/>
              </w:rPr>
            </w:pPr>
            <w:r>
              <w:rPr>
                <w:sz w:val="22"/>
              </w:rPr>
              <w:t>Polotitlán</w:t>
            </w:r>
          </w:p>
        </w:tc>
        <w:tc>
          <w:tcPr>
            <w:tcW w:w="1229" w:type="dxa"/>
            <w:tcBorders>
              <w:bottom w:val="nil"/>
            </w:tcBorders>
          </w:tcPr>
          <w:p>
            <w:pPr>
              <w:pStyle w:val="TableParagraph"/>
              <w:spacing w:line="251" w:lineRule="exact"/>
              <w:ind w:left="100"/>
              <w:rPr>
                <w:sz w:val="22"/>
              </w:rPr>
            </w:pPr>
            <w:r>
              <w:rPr>
                <w:sz w:val="22"/>
              </w:rPr>
              <w:t>Polotitlán</w:t>
            </w:r>
          </w:p>
        </w:tc>
        <w:tc>
          <w:tcPr>
            <w:tcW w:w="2314" w:type="dxa"/>
            <w:tcBorders>
              <w:bottom w:val="nil"/>
            </w:tcBorders>
          </w:tcPr>
          <w:p>
            <w:pPr>
              <w:pStyle w:val="TableParagraph"/>
              <w:spacing w:line="251" w:lineRule="exact"/>
              <w:ind w:left="100"/>
              <w:rPr>
                <w:sz w:val="22"/>
              </w:rPr>
            </w:pPr>
            <w:r>
              <w:rPr>
                <w:sz w:val="22"/>
              </w:rPr>
              <w:t>Pudiera ser su</w:t>
            </w:r>
            <w:r>
              <w:rPr>
                <w:spacing w:val="55"/>
                <w:sz w:val="22"/>
              </w:rPr>
              <w:t> </w:t>
            </w:r>
            <w:r>
              <w:rPr>
                <w:sz w:val="22"/>
              </w:rPr>
              <w:t>grado</w:t>
            </w:r>
          </w:p>
        </w:tc>
        <w:tc>
          <w:tcPr>
            <w:tcW w:w="3901" w:type="dxa"/>
            <w:tcBorders>
              <w:bottom w:val="nil"/>
            </w:tcBorders>
          </w:tcPr>
          <w:p>
            <w:pPr>
              <w:pStyle w:val="TableParagraph"/>
              <w:spacing w:line="251" w:lineRule="exact"/>
              <w:rPr>
                <w:sz w:val="22"/>
              </w:rPr>
            </w:pPr>
            <w:r>
              <w:rPr>
                <w:sz w:val="22"/>
              </w:rPr>
              <w:t>Por  los  residuos  de  las  </w:t>
            </w:r>
            <w:r>
              <w:rPr>
                <w:spacing w:val="56"/>
                <w:sz w:val="22"/>
              </w:rPr>
              <w:t> </w:t>
            </w:r>
            <w:r>
              <w:rPr>
                <w:sz w:val="22"/>
              </w:rPr>
              <w:t>diferentes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Barquet</w:t>
            </w:r>
          </w:p>
        </w:tc>
        <w:tc>
          <w:tcPr>
            <w:tcW w:w="1418" w:type="dxa"/>
            <w:tcBorders>
              <w:top w:val="nil"/>
              <w:bottom w:val="nil"/>
            </w:tcBorders>
          </w:tcPr>
          <w:p>
            <w:pPr>
              <w:pStyle w:val="TableParagraph"/>
              <w:spacing w:line="241" w:lineRule="exact"/>
              <w:ind w:left="100" w:right="101"/>
              <w:rPr>
                <w:sz w:val="22"/>
              </w:rPr>
            </w:pPr>
            <w:r>
              <w:rPr>
                <w:sz w:val="22"/>
              </w:rPr>
              <w:t>en</w:t>
            </w:r>
          </w:p>
        </w:tc>
        <w:tc>
          <w:tcPr>
            <w:tcW w:w="1841" w:type="dxa"/>
            <w:tcBorders>
              <w:top w:val="nil"/>
              <w:bottom w:val="nil"/>
            </w:tcBorders>
          </w:tcPr>
          <w:p>
            <w:pPr>
              <w:pStyle w:val="TableParagraph"/>
              <w:spacing w:line="241" w:lineRule="exact"/>
              <w:ind w:left="448"/>
              <w:rPr>
                <w:sz w:val="22"/>
              </w:rPr>
            </w:pPr>
            <w:r>
              <w:rPr>
                <w:sz w:val="22"/>
              </w:rPr>
              <w:t>Municipal</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de contaminación.</w:t>
            </w:r>
          </w:p>
        </w:tc>
        <w:tc>
          <w:tcPr>
            <w:tcW w:w="3901" w:type="dxa"/>
            <w:tcBorders>
              <w:top w:val="nil"/>
              <w:bottom w:val="nil"/>
            </w:tcBorders>
          </w:tcPr>
          <w:p>
            <w:pPr>
              <w:pStyle w:val="TableParagraph"/>
              <w:spacing w:line="241" w:lineRule="exact"/>
              <w:rPr>
                <w:sz w:val="22"/>
              </w:rPr>
            </w:pPr>
            <w:r>
              <w:rPr>
                <w:sz w:val="22"/>
              </w:rPr>
              <w:t>vertientes de la laguna.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Muñoz</w:t>
            </w:r>
          </w:p>
        </w:tc>
        <w:tc>
          <w:tcPr>
            <w:tcW w:w="1418" w:type="dxa"/>
            <w:tcBorders>
              <w:top w:val="nil"/>
              <w:bottom w:val="nil"/>
            </w:tcBorders>
          </w:tcPr>
          <w:p>
            <w:pPr>
              <w:pStyle w:val="TableParagraph"/>
              <w:spacing w:line="242" w:lineRule="exact"/>
              <w:ind w:left="100"/>
              <w:rPr>
                <w:sz w:val="22"/>
              </w:rPr>
            </w:pPr>
            <w:r>
              <w:rPr>
                <w:sz w:val="22"/>
              </w:rPr>
              <w:t>Administraci</w:t>
            </w:r>
          </w:p>
        </w:tc>
        <w:tc>
          <w:tcPr>
            <w:tcW w:w="1841" w:type="dxa"/>
            <w:tcBorders>
              <w:top w:val="nil"/>
              <w:bottom w:val="nil"/>
            </w:tcBorders>
          </w:tcPr>
          <w:p>
            <w:pP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Style w:val="TableParagraph"/>
              <w:spacing w:line="241" w:lineRule="exact"/>
              <w:ind w:left="100" w:right="101"/>
              <w:rPr>
                <w:sz w:val="22"/>
              </w:rPr>
            </w:pPr>
            <w:r>
              <w:rPr>
                <w:sz w:val="22"/>
              </w:rPr>
              <w:t>ón de</w:t>
            </w:r>
          </w:p>
        </w:tc>
        <w:tc>
          <w:tcPr>
            <w:tcW w:w="1841" w:type="dxa"/>
            <w:tcBorders>
              <w:top w:val="nil"/>
              <w:bottom w:val="nil"/>
            </w:tcBorders>
          </w:tcPr>
          <w:p>
            <w:pP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El tiempo de</w:t>
            </w:r>
          </w:p>
        </w:tc>
        <w:tc>
          <w:tcPr>
            <w:tcW w:w="3901" w:type="dxa"/>
            <w:tcBorders>
              <w:top w:val="nil"/>
              <w:bottom w:val="nil"/>
            </w:tcBorders>
          </w:tcPr>
          <w:p>
            <w:pPr>
              <w:pStyle w:val="TableParagraph"/>
              <w:spacing w:line="241" w:lineRule="exact"/>
              <w:rPr>
                <w:sz w:val="22"/>
              </w:rPr>
            </w:pPr>
            <w:r>
              <w:rPr>
                <w:sz w:val="22"/>
              </w:rPr>
              <w:t>Porque sufre mucha gasificación.</w:t>
            </w:r>
          </w:p>
        </w:tc>
      </w:tr>
      <w:tr>
        <w:trPr>
          <w:trHeight w:val="250" w:hRule="exact"/>
        </w:trPr>
        <w:tc>
          <w:tcPr>
            <w:tcW w:w="1385" w:type="dxa"/>
            <w:tcBorders>
              <w:top w:val="nil"/>
            </w:tcBorders>
          </w:tcPr>
          <w:p>
            <w:pPr>
              <w:pStyle w:val="TableParagraph"/>
              <w:spacing w:line="241" w:lineRule="exact"/>
              <w:rPr>
                <w:sz w:val="22"/>
              </w:rPr>
            </w:pPr>
            <w:r>
              <w:rPr>
                <w:sz w:val="22"/>
              </w:rPr>
              <w:t>(20/8/2014)</w:t>
            </w:r>
          </w:p>
        </w:tc>
        <w:tc>
          <w:tcPr>
            <w:tcW w:w="1418" w:type="dxa"/>
            <w:tcBorders>
              <w:top w:val="nil"/>
            </w:tcBorders>
          </w:tcPr>
          <w:p>
            <w:pPr>
              <w:pStyle w:val="TableParagraph"/>
              <w:spacing w:line="241" w:lineRule="exact"/>
              <w:ind w:left="100" w:right="101"/>
              <w:rPr>
                <w:sz w:val="22"/>
              </w:rPr>
            </w:pPr>
            <w:r>
              <w:rPr>
                <w:sz w:val="22"/>
              </w:rPr>
              <w:t>Empresas</w:t>
            </w:r>
          </w:p>
        </w:tc>
        <w:tc>
          <w:tcPr>
            <w:tcW w:w="1841" w:type="dxa"/>
            <w:tcBorders>
              <w:top w:val="nil"/>
            </w:tcBorders>
          </w:tcPr>
          <w:p>
            <w:pPr/>
          </w:p>
        </w:tc>
        <w:tc>
          <w:tcPr>
            <w:tcW w:w="1135" w:type="dxa"/>
            <w:tcBorders>
              <w:top w:val="nil"/>
            </w:tcBorders>
          </w:tcPr>
          <w:p>
            <w:pPr/>
          </w:p>
        </w:tc>
        <w:tc>
          <w:tcPr>
            <w:tcW w:w="1229" w:type="dxa"/>
            <w:tcBorders>
              <w:top w:val="nil"/>
            </w:tcBorders>
          </w:tcPr>
          <w:p>
            <w:pPr/>
          </w:p>
        </w:tc>
        <w:tc>
          <w:tcPr>
            <w:tcW w:w="2314" w:type="dxa"/>
            <w:tcBorders>
              <w:top w:val="nil"/>
            </w:tcBorders>
          </w:tcPr>
          <w:p>
            <w:pPr>
              <w:pStyle w:val="TableParagraph"/>
              <w:spacing w:line="241" w:lineRule="exact"/>
              <w:ind w:left="100"/>
              <w:rPr>
                <w:sz w:val="22"/>
              </w:rPr>
            </w:pPr>
            <w:r>
              <w:rPr>
                <w:sz w:val="22"/>
              </w:rPr>
              <w:t>almacenamiento.</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left="326" w:right="127"/>
              <w:rPr>
                <w:sz w:val="22"/>
              </w:rPr>
            </w:pPr>
            <w:r>
              <w:rPr>
                <w:sz w:val="22"/>
              </w:rPr>
              <w:t>Marcos</w:t>
            </w:r>
          </w:p>
        </w:tc>
        <w:tc>
          <w:tcPr>
            <w:tcW w:w="1418" w:type="dxa"/>
            <w:tcBorders>
              <w:bottom w:val="nil"/>
            </w:tcBorders>
          </w:tcPr>
          <w:p>
            <w:pPr>
              <w:pStyle w:val="TableParagraph"/>
              <w:spacing w:line="251" w:lineRule="exact"/>
              <w:ind w:left="100" w:right="101"/>
              <w:rPr>
                <w:sz w:val="22"/>
              </w:rPr>
            </w:pPr>
            <w:r>
              <w:rPr>
                <w:sz w:val="22"/>
              </w:rPr>
              <w:t>Médico</w:t>
            </w:r>
          </w:p>
        </w:tc>
        <w:tc>
          <w:tcPr>
            <w:tcW w:w="1841" w:type="dxa"/>
            <w:tcBorders>
              <w:bottom w:val="nil"/>
            </w:tcBorders>
          </w:tcPr>
          <w:p>
            <w:pPr>
              <w:pStyle w:val="TableParagraph"/>
              <w:spacing w:line="251" w:lineRule="exact"/>
              <w:ind w:left="100"/>
              <w:rPr>
                <w:sz w:val="22"/>
              </w:rPr>
            </w:pPr>
            <w:r>
              <w:rPr>
                <w:sz w:val="22"/>
              </w:rPr>
              <w:t>Primer Regidor.</w:t>
            </w:r>
          </w:p>
        </w:tc>
        <w:tc>
          <w:tcPr>
            <w:tcW w:w="1135" w:type="dxa"/>
            <w:tcBorders>
              <w:bottom w:val="nil"/>
            </w:tcBorders>
          </w:tcPr>
          <w:p>
            <w:pPr>
              <w:pStyle w:val="TableParagraph"/>
              <w:spacing w:line="251" w:lineRule="exact"/>
              <w:ind w:left="108"/>
              <w:rPr>
                <w:sz w:val="22"/>
              </w:rPr>
            </w:pPr>
            <w:r>
              <w:rPr>
                <w:sz w:val="22"/>
              </w:rPr>
              <w:t>Polotitlán</w:t>
            </w:r>
          </w:p>
        </w:tc>
        <w:tc>
          <w:tcPr>
            <w:tcW w:w="1229" w:type="dxa"/>
            <w:tcBorders>
              <w:bottom w:val="nil"/>
            </w:tcBorders>
          </w:tcPr>
          <w:p>
            <w:pPr>
              <w:pStyle w:val="TableParagraph"/>
              <w:spacing w:line="251" w:lineRule="exact"/>
              <w:ind w:left="0" w:right="158"/>
              <w:jc w:val="right"/>
              <w:rPr>
                <w:sz w:val="22"/>
              </w:rPr>
            </w:pPr>
            <w:r>
              <w:rPr>
                <w:sz w:val="22"/>
              </w:rPr>
              <w:t>Polotitlán</w:t>
            </w:r>
          </w:p>
        </w:tc>
        <w:tc>
          <w:tcPr>
            <w:tcW w:w="2314" w:type="dxa"/>
            <w:tcBorders>
              <w:bottom w:val="nil"/>
            </w:tcBorders>
          </w:tcPr>
          <w:p>
            <w:pPr>
              <w:pStyle w:val="TableParagraph"/>
              <w:spacing w:line="251" w:lineRule="exact"/>
              <w:ind w:left="100"/>
              <w:rPr>
                <w:sz w:val="22"/>
              </w:rPr>
            </w:pPr>
            <w:r>
              <w:rPr>
                <w:sz w:val="22"/>
              </w:rPr>
              <w:t>El principal problema</w:t>
            </w:r>
          </w:p>
        </w:tc>
        <w:tc>
          <w:tcPr>
            <w:tcW w:w="3901" w:type="dxa"/>
            <w:tcBorders>
              <w:bottom w:val="nil"/>
            </w:tcBorders>
          </w:tcPr>
          <w:p>
            <w:pPr>
              <w:pStyle w:val="TableParagraph"/>
              <w:spacing w:line="251" w:lineRule="exact"/>
              <w:rPr>
                <w:sz w:val="22"/>
              </w:rPr>
            </w:pPr>
            <w:r>
              <w:rPr>
                <w:sz w:val="22"/>
              </w:rPr>
              <w:t>Porque hay erosión y arrastre.</w:t>
            </w:r>
          </w:p>
        </w:tc>
      </w:tr>
      <w:tr>
        <w:trPr>
          <w:trHeight w:val="253" w:hRule="exact"/>
        </w:trPr>
        <w:tc>
          <w:tcPr>
            <w:tcW w:w="1385" w:type="dxa"/>
            <w:tcBorders>
              <w:top w:val="nil"/>
              <w:bottom w:val="nil"/>
            </w:tcBorders>
          </w:tcPr>
          <w:p>
            <w:pPr>
              <w:pStyle w:val="TableParagraph"/>
              <w:spacing w:line="241" w:lineRule="exact"/>
              <w:ind w:left="326" w:right="127"/>
              <w:rPr>
                <w:sz w:val="22"/>
              </w:rPr>
            </w:pPr>
            <w:r>
              <w:rPr>
                <w:sz w:val="22"/>
              </w:rPr>
              <w:t>Silverio</w:t>
            </w:r>
          </w:p>
        </w:tc>
        <w:tc>
          <w:tcPr>
            <w:tcW w:w="1418" w:type="dxa"/>
            <w:tcBorders>
              <w:top w:val="nil"/>
              <w:bottom w:val="nil"/>
            </w:tcBorders>
          </w:tcPr>
          <w:p>
            <w:pPr>
              <w:pStyle w:val="TableParagraph"/>
              <w:spacing w:line="241" w:lineRule="exact"/>
              <w:ind w:left="100" w:right="101"/>
              <w:rPr>
                <w:sz w:val="22"/>
              </w:rPr>
            </w:pPr>
            <w:r>
              <w:rPr>
                <w:sz w:val="22"/>
              </w:rPr>
              <w:t>Veterinario</w:t>
            </w:r>
          </w:p>
        </w:tc>
        <w:tc>
          <w:tcPr>
            <w:tcW w:w="1841" w:type="dxa"/>
            <w:tcBorders>
              <w:top w:val="nil"/>
              <w:bottom w:val="nil"/>
            </w:tcBorders>
          </w:tcPr>
          <w:p>
            <w:pPr>
              <w:pStyle w:val="TableParagraph"/>
              <w:spacing w:line="241" w:lineRule="exact"/>
              <w:ind w:left="100"/>
              <w:rPr>
                <w:sz w:val="22"/>
              </w:rPr>
            </w:pPr>
            <w:r>
              <w:rPr>
                <w:sz w:val="22"/>
              </w:rPr>
              <w:t>Encargado de la</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de   la   laguna  es  el</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left="307" w:right="127"/>
              <w:rPr>
                <w:sz w:val="22"/>
              </w:rPr>
            </w:pPr>
            <w:r>
              <w:rPr>
                <w:sz w:val="22"/>
              </w:rPr>
              <w:t>Basurto</w:t>
            </w: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Comisión de</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azolve.</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left="271" w:right="127"/>
              <w:rPr>
                <w:sz w:val="22"/>
              </w:rPr>
            </w:pPr>
            <w:r>
              <w:rPr>
                <w:sz w:val="22"/>
              </w:rPr>
              <w:t>Esquivel</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Desarrollo</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2" w:lineRule="exact"/>
              <w:ind w:left="100"/>
              <w:rPr>
                <w:sz w:val="22"/>
              </w:rPr>
            </w:pPr>
            <w:r>
              <w:rPr>
                <w:sz w:val="22"/>
              </w:rPr>
              <w:t>Agropecuario y</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tabs>
                <w:tab w:pos="1537" w:val="left" w:leader="none"/>
              </w:tabs>
              <w:spacing w:line="242" w:lineRule="exact"/>
              <w:ind w:left="100"/>
              <w:rPr>
                <w:sz w:val="22"/>
              </w:rPr>
            </w:pPr>
            <w:r>
              <w:rPr>
                <w:sz w:val="22"/>
              </w:rPr>
              <w:t>Hay</w:t>
              <w:tab/>
              <w:t>menos</w:t>
            </w:r>
          </w:p>
        </w:tc>
        <w:tc>
          <w:tcPr>
            <w:tcW w:w="3901" w:type="dxa"/>
            <w:tcBorders>
              <w:top w:val="nil"/>
              <w:bottom w:val="nil"/>
            </w:tcBorders>
          </w:tcPr>
          <w:p>
            <w:pPr>
              <w:pStyle w:val="TableParagraph"/>
              <w:spacing w:line="242" w:lineRule="exact"/>
              <w:rPr>
                <w:sz w:val="22"/>
              </w:rPr>
            </w:pPr>
            <w:r>
              <w:rPr>
                <w:sz w:val="22"/>
              </w:rPr>
              <w:t>Porque no es que no llueva, es por</w:t>
            </w:r>
          </w:p>
        </w:tc>
      </w:tr>
      <w:tr>
        <w:trPr>
          <w:trHeight w:val="252" w:hRule="exact"/>
        </w:trPr>
        <w:tc>
          <w:tcPr>
            <w:tcW w:w="1385" w:type="dxa"/>
            <w:tcBorders>
              <w:top w:val="nil"/>
              <w:bottom w:val="nil"/>
            </w:tcBorders>
          </w:tcPr>
          <w:p>
            <w:pPr>
              <w:pStyle w:val="TableParagraph"/>
              <w:spacing w:line="241" w:lineRule="exact"/>
              <w:ind w:left="124"/>
              <w:rPr>
                <w:sz w:val="22"/>
              </w:rPr>
            </w:pPr>
            <w:r>
              <w:rPr>
                <w:sz w:val="22"/>
              </w:rPr>
              <w:t>(20/8/2014)</w:t>
            </w: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Ecología</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captación.</w:t>
            </w:r>
          </w:p>
        </w:tc>
        <w:tc>
          <w:tcPr>
            <w:tcW w:w="3901" w:type="dxa"/>
            <w:tcBorders>
              <w:top w:val="nil"/>
              <w:bottom w:val="nil"/>
            </w:tcBorders>
          </w:tcPr>
          <w:p>
            <w:pPr>
              <w:pStyle w:val="TableParagraph"/>
              <w:spacing w:line="241" w:lineRule="exact"/>
              <w:rPr>
                <w:sz w:val="22"/>
              </w:rPr>
            </w:pPr>
            <w:r>
              <w:rPr>
                <w:sz w:val="22"/>
              </w:rPr>
              <w:t>falta de mantenimiento por la edad</w:t>
            </w:r>
          </w:p>
        </w:tc>
      </w:tr>
      <w:tr>
        <w:trPr>
          <w:trHeight w:val="250"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1229" w:type="dxa"/>
            <w:tcBorders>
              <w:top w:val="nil"/>
            </w:tcBorders>
          </w:tcPr>
          <w:p>
            <w:pPr/>
          </w:p>
        </w:tc>
        <w:tc>
          <w:tcPr>
            <w:tcW w:w="2314" w:type="dxa"/>
            <w:tcBorders>
              <w:top w:val="nil"/>
            </w:tcBorders>
          </w:tcPr>
          <w:p>
            <w:pPr/>
          </w:p>
        </w:tc>
        <w:tc>
          <w:tcPr>
            <w:tcW w:w="3901" w:type="dxa"/>
            <w:tcBorders>
              <w:top w:val="nil"/>
            </w:tcBorders>
          </w:tcPr>
          <w:p>
            <w:pPr>
              <w:pStyle w:val="TableParagraph"/>
              <w:spacing w:line="241" w:lineRule="exact"/>
              <w:rPr>
                <w:sz w:val="22"/>
              </w:rPr>
            </w:pPr>
            <w:r>
              <w:rPr>
                <w:sz w:val="22"/>
              </w:rPr>
              <w:t>de la laguna.</w:t>
            </w:r>
          </w:p>
        </w:tc>
      </w:tr>
      <w:tr>
        <w:trPr>
          <w:trHeight w:val="266" w:hRule="exact"/>
        </w:trPr>
        <w:tc>
          <w:tcPr>
            <w:tcW w:w="1385" w:type="dxa"/>
            <w:tcBorders>
              <w:bottom w:val="nil"/>
            </w:tcBorders>
          </w:tcPr>
          <w:p>
            <w:pPr>
              <w:pStyle w:val="TableParagraph"/>
              <w:spacing w:line="251" w:lineRule="exact"/>
              <w:ind w:left="436" w:right="127"/>
              <w:rPr>
                <w:sz w:val="22"/>
              </w:rPr>
            </w:pPr>
            <w:r>
              <w:rPr>
                <w:sz w:val="22"/>
              </w:rPr>
              <w:t>Edith</w:t>
            </w:r>
          </w:p>
        </w:tc>
        <w:tc>
          <w:tcPr>
            <w:tcW w:w="1418" w:type="dxa"/>
            <w:tcBorders>
              <w:bottom w:val="nil"/>
            </w:tcBorders>
          </w:tcPr>
          <w:p>
            <w:pPr>
              <w:pStyle w:val="TableParagraph"/>
              <w:spacing w:line="251" w:lineRule="exact"/>
              <w:ind w:left="100" w:right="101"/>
              <w:rPr>
                <w:sz w:val="22"/>
              </w:rPr>
            </w:pPr>
            <w:r>
              <w:rPr>
                <w:sz w:val="22"/>
              </w:rPr>
              <w:t>Licenciada</w:t>
            </w:r>
          </w:p>
        </w:tc>
        <w:tc>
          <w:tcPr>
            <w:tcW w:w="1841" w:type="dxa"/>
            <w:tcBorders>
              <w:bottom w:val="nil"/>
            </w:tcBorders>
          </w:tcPr>
          <w:p>
            <w:pPr>
              <w:pStyle w:val="TableParagraph"/>
              <w:spacing w:line="251" w:lineRule="exact"/>
              <w:ind w:left="100"/>
              <w:rPr>
                <w:sz w:val="22"/>
              </w:rPr>
            </w:pPr>
            <w:r>
              <w:rPr>
                <w:sz w:val="22"/>
              </w:rPr>
              <w:t>Tercer  Regidor.</w:t>
            </w:r>
          </w:p>
        </w:tc>
        <w:tc>
          <w:tcPr>
            <w:tcW w:w="1135" w:type="dxa"/>
            <w:tcBorders>
              <w:bottom w:val="nil"/>
            </w:tcBorders>
          </w:tcPr>
          <w:p>
            <w:pPr>
              <w:pStyle w:val="TableParagraph"/>
              <w:spacing w:line="251" w:lineRule="exact"/>
              <w:ind w:left="108"/>
              <w:rPr>
                <w:sz w:val="22"/>
              </w:rPr>
            </w:pPr>
            <w:r>
              <w:rPr>
                <w:sz w:val="22"/>
              </w:rPr>
              <w:t>Polotitlán</w:t>
            </w:r>
          </w:p>
        </w:tc>
        <w:tc>
          <w:tcPr>
            <w:tcW w:w="1229" w:type="dxa"/>
            <w:tcBorders>
              <w:bottom w:val="nil"/>
            </w:tcBorders>
          </w:tcPr>
          <w:p>
            <w:pPr>
              <w:pStyle w:val="TableParagraph"/>
              <w:spacing w:line="251" w:lineRule="exact"/>
              <w:ind w:left="0" w:right="158"/>
              <w:jc w:val="right"/>
              <w:rPr>
                <w:sz w:val="22"/>
              </w:rPr>
            </w:pPr>
            <w:r>
              <w:rPr>
                <w:sz w:val="22"/>
              </w:rPr>
              <w:t>Polotitlán</w:t>
            </w:r>
          </w:p>
        </w:tc>
        <w:tc>
          <w:tcPr>
            <w:tcW w:w="2314" w:type="dxa"/>
            <w:tcBorders>
              <w:bottom w:val="nil"/>
            </w:tcBorders>
          </w:tcPr>
          <w:p>
            <w:pPr>
              <w:pStyle w:val="TableParagraph"/>
              <w:tabs>
                <w:tab w:pos="846" w:val="left" w:leader="none"/>
                <w:tab w:pos="1417" w:val="left" w:leader="none"/>
              </w:tabs>
              <w:spacing w:line="251" w:lineRule="exact"/>
              <w:ind w:left="100"/>
              <w:rPr>
                <w:sz w:val="22"/>
              </w:rPr>
            </w:pPr>
            <w:r>
              <w:rPr>
                <w:sz w:val="22"/>
              </w:rPr>
              <w:t>Que</w:t>
              <w:tab/>
              <w:t>no</w:t>
              <w:tab/>
              <w:t>captaba</w:t>
            </w:r>
          </w:p>
        </w:tc>
        <w:tc>
          <w:tcPr>
            <w:tcW w:w="3901" w:type="dxa"/>
            <w:tcBorders>
              <w:bottom w:val="nil"/>
            </w:tcBorders>
          </w:tcPr>
          <w:p>
            <w:pPr>
              <w:pStyle w:val="TableParagraph"/>
              <w:spacing w:line="251" w:lineRule="exact"/>
              <w:rPr>
                <w:sz w:val="22"/>
              </w:rPr>
            </w:pPr>
            <w:r>
              <w:rPr>
                <w:sz w:val="22"/>
              </w:rPr>
              <w:t>Porque no había llovido.</w:t>
            </w:r>
          </w:p>
        </w:tc>
      </w:tr>
      <w:tr>
        <w:trPr>
          <w:trHeight w:val="253" w:hRule="exact"/>
        </w:trPr>
        <w:tc>
          <w:tcPr>
            <w:tcW w:w="1385" w:type="dxa"/>
            <w:tcBorders>
              <w:top w:val="nil"/>
              <w:bottom w:val="nil"/>
            </w:tcBorders>
          </w:tcPr>
          <w:p>
            <w:pPr>
              <w:pStyle w:val="TableParagraph"/>
              <w:spacing w:line="241" w:lineRule="exact"/>
              <w:ind w:left="254" w:right="127"/>
              <w:rPr>
                <w:sz w:val="22"/>
              </w:rPr>
            </w:pPr>
            <w:r>
              <w:rPr>
                <w:sz w:val="22"/>
              </w:rPr>
              <w:t>Alvarado</w:t>
            </w:r>
          </w:p>
        </w:tc>
        <w:tc>
          <w:tcPr>
            <w:tcW w:w="1418" w:type="dxa"/>
            <w:tcBorders>
              <w:top w:val="nil"/>
              <w:bottom w:val="nil"/>
            </w:tcBorders>
          </w:tcPr>
          <w:p>
            <w:pPr>
              <w:pStyle w:val="TableParagraph"/>
              <w:spacing w:line="241" w:lineRule="exact"/>
              <w:ind w:left="100" w:right="101"/>
              <w:rPr>
                <w:sz w:val="22"/>
              </w:rPr>
            </w:pPr>
            <w:r>
              <w:rPr>
                <w:sz w:val="22"/>
              </w:rPr>
              <w:t>en Derecho</w:t>
            </w:r>
          </w:p>
        </w:tc>
        <w:tc>
          <w:tcPr>
            <w:tcW w:w="1841" w:type="dxa"/>
            <w:tcBorders>
              <w:top w:val="nil"/>
              <w:bottom w:val="nil"/>
            </w:tcBorders>
          </w:tcPr>
          <w:p>
            <w:pPr>
              <w:pStyle w:val="TableParagraph"/>
              <w:spacing w:line="241" w:lineRule="exact"/>
              <w:ind w:left="100"/>
              <w:rPr>
                <w:sz w:val="22"/>
              </w:rPr>
            </w:pPr>
            <w:r>
              <w:rPr>
                <w:sz w:val="22"/>
              </w:rPr>
              <w:t>Encargada de la</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tabs>
                <w:tab w:pos="985" w:val="left" w:leader="none"/>
                <w:tab w:pos="1760" w:val="left" w:leader="none"/>
              </w:tabs>
              <w:spacing w:line="241" w:lineRule="exact"/>
              <w:ind w:left="100"/>
              <w:rPr>
                <w:sz w:val="22"/>
              </w:rPr>
            </w:pPr>
            <w:r>
              <w:rPr>
                <w:sz w:val="22"/>
              </w:rPr>
              <w:t>mucha</w:t>
              <w:tab/>
              <w:t>agua,</w:t>
              <w:tab/>
              <w:t>pero</w:t>
            </w:r>
          </w:p>
        </w:tc>
        <w:tc>
          <w:tcPr>
            <w:tcW w:w="3901" w:type="dxa"/>
            <w:tcBorders>
              <w:top w:val="nil"/>
              <w:bottom w:val="nil"/>
            </w:tcBorders>
          </w:tcPr>
          <w:p>
            <w:pPr/>
          </w:p>
        </w:tc>
      </w:tr>
      <w:tr>
        <w:trPr>
          <w:trHeight w:val="254" w:hRule="exact"/>
        </w:trPr>
        <w:tc>
          <w:tcPr>
            <w:tcW w:w="1385" w:type="dxa"/>
            <w:tcBorders>
              <w:top w:val="nil"/>
              <w:bottom w:val="nil"/>
            </w:tcBorders>
          </w:tcPr>
          <w:p>
            <w:pPr>
              <w:pStyle w:val="TableParagraph"/>
              <w:spacing w:line="243" w:lineRule="exact"/>
              <w:ind w:left="314" w:right="127"/>
              <w:rPr>
                <w:sz w:val="22"/>
              </w:rPr>
            </w:pPr>
            <w:r>
              <w:rPr>
                <w:sz w:val="22"/>
              </w:rPr>
              <w:t>Herrera</w:t>
            </w:r>
          </w:p>
        </w:tc>
        <w:tc>
          <w:tcPr>
            <w:tcW w:w="1418" w:type="dxa"/>
            <w:tcBorders>
              <w:top w:val="nil"/>
              <w:bottom w:val="nil"/>
            </w:tcBorders>
          </w:tcPr>
          <w:p>
            <w:pPr/>
          </w:p>
        </w:tc>
        <w:tc>
          <w:tcPr>
            <w:tcW w:w="1841" w:type="dxa"/>
            <w:tcBorders>
              <w:top w:val="nil"/>
              <w:bottom w:val="nil"/>
            </w:tcBorders>
          </w:tcPr>
          <w:p>
            <w:pPr>
              <w:pStyle w:val="TableParagraph"/>
              <w:tabs>
                <w:tab w:pos="1482" w:val="left" w:leader="none"/>
              </w:tabs>
              <w:spacing w:line="243" w:lineRule="exact"/>
              <w:ind w:left="100"/>
              <w:rPr>
                <w:sz w:val="22"/>
              </w:rPr>
            </w:pPr>
            <w:r>
              <w:rPr>
                <w:sz w:val="22"/>
              </w:rPr>
              <w:t>Comisión</w:t>
              <w:tab/>
              <w:t>de</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ahora sí.</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Desarrollo</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left="184" w:right="127"/>
              <w:rPr>
                <w:sz w:val="22"/>
              </w:rPr>
            </w:pPr>
            <w:r>
              <w:rPr>
                <w:sz w:val="22"/>
              </w:rPr>
              <w:t>(4/9/2014)</w:t>
            </w:r>
          </w:p>
        </w:tc>
        <w:tc>
          <w:tcPr>
            <w:tcW w:w="1418" w:type="dxa"/>
            <w:tcBorders>
              <w:top w:val="nil"/>
              <w:bottom w:val="nil"/>
            </w:tcBorders>
          </w:tcPr>
          <w:p>
            <w:pPr/>
          </w:p>
        </w:tc>
        <w:tc>
          <w:tcPr>
            <w:tcW w:w="1841" w:type="dxa"/>
            <w:tcBorders>
              <w:top w:val="nil"/>
              <w:bottom w:val="nil"/>
            </w:tcBorders>
          </w:tcPr>
          <w:p>
            <w:pPr>
              <w:pStyle w:val="TableParagraph"/>
              <w:tabs>
                <w:tab w:pos="1619" w:val="left" w:leader="none"/>
              </w:tabs>
              <w:spacing w:line="242" w:lineRule="exact"/>
              <w:ind w:left="100"/>
              <w:rPr>
                <w:sz w:val="22"/>
              </w:rPr>
            </w:pPr>
            <w:r>
              <w:rPr>
                <w:sz w:val="22"/>
              </w:rPr>
              <w:t>Económico</w:t>
              <w:tab/>
              <w:t>y</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tabs>
                <w:tab w:pos="649" w:val="left" w:leader="none"/>
                <w:tab w:pos="2041" w:val="left" w:leader="none"/>
              </w:tabs>
              <w:spacing w:line="242" w:lineRule="exact"/>
              <w:ind w:left="100"/>
              <w:rPr>
                <w:sz w:val="22"/>
              </w:rPr>
            </w:pPr>
            <w:r>
              <w:rPr>
                <w:sz w:val="22"/>
              </w:rPr>
              <w:t>(Al</w:t>
              <w:tab/>
              <w:t>preguntarle</w:t>
              <w:tab/>
              <w:t>si</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Desarrollo</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ubica  otro  problema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418" w:type="dxa"/>
            <w:tcBorders>
              <w:top w:val="nil"/>
              <w:bottom w:val="nil"/>
            </w:tcBorders>
          </w:tcPr>
          <w:p>
            <w:pPr/>
          </w:p>
        </w:tc>
        <w:tc>
          <w:tcPr>
            <w:tcW w:w="1841" w:type="dxa"/>
            <w:tcBorders>
              <w:top w:val="nil"/>
              <w:bottom w:val="nil"/>
            </w:tcBorders>
          </w:tcPr>
          <w:p>
            <w:pPr>
              <w:pStyle w:val="TableParagraph"/>
              <w:spacing w:line="241" w:lineRule="exact"/>
              <w:ind w:left="100"/>
              <w:rPr>
                <w:sz w:val="22"/>
              </w:rPr>
            </w:pPr>
            <w:r>
              <w:rPr>
                <w:sz w:val="22"/>
              </w:rPr>
              <w:t>Urbano.</w:t>
            </w:r>
          </w:p>
        </w:tc>
        <w:tc>
          <w:tcPr>
            <w:tcW w:w="1135"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tabs>
                <w:tab w:pos="1223" w:val="left" w:leader="none"/>
                <w:tab w:pos="1957" w:val="left" w:leader="none"/>
              </w:tabs>
              <w:spacing w:line="241" w:lineRule="exact"/>
              <w:ind w:left="100"/>
              <w:rPr>
                <w:sz w:val="22"/>
              </w:rPr>
            </w:pPr>
            <w:r>
              <w:rPr>
                <w:sz w:val="22"/>
              </w:rPr>
              <w:t>contestó</w:t>
              <w:tab/>
              <w:t>que)</w:t>
              <w:tab/>
              <w:t>no</w:t>
            </w:r>
          </w:p>
        </w:tc>
        <w:tc>
          <w:tcPr>
            <w:tcW w:w="3901" w:type="dxa"/>
            <w:tcBorders>
              <w:top w:val="nil"/>
              <w:bottom w:val="nil"/>
            </w:tcBorders>
          </w:tcPr>
          <w:p>
            <w:pPr/>
          </w:p>
        </w:tc>
      </w:tr>
      <w:tr>
        <w:trPr>
          <w:trHeight w:val="248" w:hRule="exact"/>
        </w:trPr>
        <w:tc>
          <w:tcPr>
            <w:tcW w:w="1385" w:type="dxa"/>
            <w:tcBorders>
              <w:top w:val="nil"/>
            </w:tcBorders>
          </w:tcPr>
          <w:p>
            <w:pPr/>
          </w:p>
        </w:tc>
        <w:tc>
          <w:tcPr>
            <w:tcW w:w="1418" w:type="dxa"/>
            <w:tcBorders>
              <w:top w:val="nil"/>
            </w:tcBorders>
          </w:tcPr>
          <w:p>
            <w:pPr/>
          </w:p>
        </w:tc>
        <w:tc>
          <w:tcPr>
            <w:tcW w:w="1841" w:type="dxa"/>
            <w:tcBorders>
              <w:top w:val="nil"/>
            </w:tcBorders>
          </w:tcPr>
          <w:p>
            <w:pPr/>
          </w:p>
        </w:tc>
        <w:tc>
          <w:tcPr>
            <w:tcW w:w="1135" w:type="dxa"/>
            <w:tcBorders>
              <w:top w:val="nil"/>
            </w:tcBorders>
          </w:tcPr>
          <w:p>
            <w:pPr/>
          </w:p>
        </w:tc>
        <w:tc>
          <w:tcPr>
            <w:tcW w:w="1229" w:type="dxa"/>
            <w:tcBorders>
              <w:top w:val="nil"/>
            </w:tcBorders>
          </w:tcPr>
          <w:p>
            <w:pPr/>
          </w:p>
        </w:tc>
        <w:tc>
          <w:tcPr>
            <w:tcW w:w="2314" w:type="dxa"/>
            <w:tcBorders>
              <w:top w:val="nil"/>
            </w:tcBorders>
          </w:tcPr>
          <w:p>
            <w:pPr>
              <w:pStyle w:val="TableParagraph"/>
              <w:tabs>
                <w:tab w:pos="1677" w:val="left" w:leader="none"/>
              </w:tabs>
              <w:spacing w:line="242" w:lineRule="exact"/>
              <w:ind w:left="100"/>
              <w:rPr>
                <w:sz w:val="22"/>
              </w:rPr>
            </w:pPr>
            <w:r>
              <w:rPr>
                <w:sz w:val="22"/>
              </w:rPr>
              <w:t>porque</w:t>
              <w:tab/>
              <w:t>estoy</w:t>
            </w:r>
          </w:p>
        </w:tc>
        <w:tc>
          <w:tcPr>
            <w:tcW w:w="3901" w:type="dxa"/>
            <w:tcBorders>
              <w:top w:val="nil"/>
            </w:tcBorders>
          </w:tcPr>
          <w:p>
            <w:pPr/>
          </w:p>
        </w:tc>
      </w:tr>
    </w:tbl>
    <w:p>
      <w:pPr>
        <w:spacing w:after="0"/>
        <w:sectPr>
          <w:pgSz w:w="15840" w:h="12240" w:orient="landscape"/>
          <w:pgMar w:header="0" w:footer="943" w:top="1140" w:bottom="114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35"/>
        <w:gridCol w:w="1229"/>
        <w:gridCol w:w="2314"/>
        <w:gridCol w:w="3901"/>
      </w:tblGrid>
      <w:tr>
        <w:trPr>
          <w:trHeight w:val="1471" w:hRule="exact"/>
        </w:trPr>
        <w:tc>
          <w:tcPr>
            <w:tcW w:w="1385" w:type="dxa"/>
          </w:tcPr>
          <w:p>
            <w:pPr/>
          </w:p>
        </w:tc>
        <w:tc>
          <w:tcPr>
            <w:tcW w:w="1418" w:type="dxa"/>
          </w:tcPr>
          <w:p>
            <w:pPr/>
          </w:p>
        </w:tc>
        <w:tc>
          <w:tcPr>
            <w:tcW w:w="1841" w:type="dxa"/>
          </w:tcPr>
          <w:p>
            <w:pPr/>
          </w:p>
        </w:tc>
        <w:tc>
          <w:tcPr>
            <w:tcW w:w="1135" w:type="dxa"/>
          </w:tcPr>
          <w:p>
            <w:pPr/>
          </w:p>
        </w:tc>
        <w:tc>
          <w:tcPr>
            <w:tcW w:w="1229" w:type="dxa"/>
          </w:tcPr>
          <w:p>
            <w:pPr/>
          </w:p>
        </w:tc>
        <w:tc>
          <w:tcPr>
            <w:tcW w:w="2314" w:type="dxa"/>
          </w:tcPr>
          <w:p>
            <w:pPr>
              <w:pStyle w:val="TableParagraph"/>
              <w:tabs>
                <w:tab w:pos="1506" w:val="left" w:leader="none"/>
                <w:tab w:pos="2030" w:val="left" w:leader="none"/>
              </w:tabs>
              <w:spacing w:line="252" w:lineRule="exact" w:before="2"/>
              <w:ind w:left="100" w:right="101"/>
              <w:rPr>
                <w:sz w:val="22"/>
              </w:rPr>
            </w:pPr>
            <w:r>
              <w:rPr>
                <w:sz w:val="22"/>
              </w:rPr>
              <w:t>desubicada</w:t>
              <w:tab/>
              <w:t>de</w:t>
              <w:tab/>
              <w:t>la laguna</w:t>
            </w:r>
            <w:r>
              <w:rPr>
                <w:spacing w:val="-5"/>
                <w:sz w:val="22"/>
              </w:rPr>
              <w:t> </w:t>
            </w:r>
            <w:r>
              <w:rPr>
                <w:sz w:val="22"/>
              </w:rPr>
              <w:t>Huapango.</w:t>
            </w:r>
          </w:p>
        </w:tc>
        <w:tc>
          <w:tcPr>
            <w:tcW w:w="3901" w:type="dxa"/>
          </w:tcPr>
          <w:p>
            <w:pPr/>
          </w:p>
        </w:tc>
      </w:tr>
      <w:tr>
        <w:trPr>
          <w:trHeight w:val="1275" w:hRule="exact"/>
        </w:trPr>
        <w:tc>
          <w:tcPr>
            <w:tcW w:w="1385" w:type="dxa"/>
          </w:tcPr>
          <w:p>
            <w:pPr>
              <w:pStyle w:val="TableParagraph"/>
              <w:spacing w:line="242" w:lineRule="auto"/>
              <w:ind w:left="124" w:right="122" w:hanging="2"/>
              <w:jc w:val="center"/>
              <w:rPr>
                <w:sz w:val="22"/>
              </w:rPr>
            </w:pPr>
            <w:r>
              <w:rPr>
                <w:sz w:val="22"/>
              </w:rPr>
              <w:t>Irma Lara Ramírez</w:t>
            </w:r>
          </w:p>
          <w:p>
            <w:pPr>
              <w:pStyle w:val="TableParagraph"/>
              <w:spacing w:before="7"/>
              <w:ind w:left="0"/>
              <w:rPr>
                <w:b/>
                <w:sz w:val="21"/>
              </w:rPr>
            </w:pPr>
          </w:p>
          <w:p>
            <w:pPr>
              <w:pStyle w:val="TableParagraph"/>
              <w:ind w:left="85" w:right="85"/>
              <w:jc w:val="center"/>
              <w:rPr>
                <w:sz w:val="22"/>
              </w:rPr>
            </w:pPr>
            <w:r>
              <w:rPr>
                <w:sz w:val="22"/>
              </w:rPr>
              <w:t>(20/8/2014)</w:t>
            </w:r>
          </w:p>
        </w:tc>
        <w:tc>
          <w:tcPr>
            <w:tcW w:w="1418" w:type="dxa"/>
          </w:tcPr>
          <w:p>
            <w:pPr>
              <w:pStyle w:val="TableParagraph"/>
              <w:spacing w:line="251" w:lineRule="exact"/>
              <w:ind w:left="144" w:right="101"/>
              <w:rPr>
                <w:sz w:val="22"/>
              </w:rPr>
            </w:pPr>
            <w:r>
              <w:rPr>
                <w:sz w:val="22"/>
              </w:rPr>
              <w:t>Secundaria</w:t>
            </w:r>
          </w:p>
        </w:tc>
        <w:tc>
          <w:tcPr>
            <w:tcW w:w="1841" w:type="dxa"/>
          </w:tcPr>
          <w:p>
            <w:pPr>
              <w:pStyle w:val="TableParagraph"/>
              <w:ind w:left="100"/>
              <w:rPr>
                <w:sz w:val="22"/>
              </w:rPr>
            </w:pPr>
            <w:r>
              <w:rPr>
                <w:sz w:val="22"/>
              </w:rPr>
              <w:t>Coordinador de Desarrollo Agropecuario</w:t>
            </w:r>
          </w:p>
        </w:tc>
        <w:tc>
          <w:tcPr>
            <w:tcW w:w="1135" w:type="dxa"/>
          </w:tcPr>
          <w:p>
            <w:pPr>
              <w:pStyle w:val="TableParagraph"/>
              <w:spacing w:line="251" w:lineRule="exact"/>
              <w:ind w:left="108"/>
              <w:rPr>
                <w:sz w:val="22"/>
              </w:rPr>
            </w:pPr>
            <w:r>
              <w:rPr>
                <w:sz w:val="22"/>
              </w:rPr>
              <w:t>Polotitlán</w:t>
            </w:r>
          </w:p>
        </w:tc>
        <w:tc>
          <w:tcPr>
            <w:tcW w:w="1229" w:type="dxa"/>
          </w:tcPr>
          <w:p>
            <w:pPr>
              <w:pStyle w:val="TableParagraph"/>
              <w:spacing w:line="251" w:lineRule="exact"/>
              <w:ind w:left="153"/>
              <w:rPr>
                <w:sz w:val="22"/>
              </w:rPr>
            </w:pPr>
            <w:r>
              <w:rPr>
                <w:sz w:val="22"/>
              </w:rPr>
              <w:t>Polotitlán</w:t>
            </w:r>
          </w:p>
        </w:tc>
        <w:tc>
          <w:tcPr>
            <w:tcW w:w="2314" w:type="dxa"/>
          </w:tcPr>
          <w:p>
            <w:pPr>
              <w:pStyle w:val="TableParagraph"/>
              <w:spacing w:line="251" w:lineRule="exact"/>
              <w:ind w:left="100"/>
              <w:rPr>
                <w:sz w:val="22"/>
              </w:rPr>
            </w:pPr>
            <w:r>
              <w:rPr>
                <w:sz w:val="22"/>
              </w:rPr>
              <w:t>La contaminación.</w:t>
            </w:r>
          </w:p>
          <w:p>
            <w:pPr>
              <w:pStyle w:val="TableParagraph"/>
              <w:ind w:left="0"/>
              <w:rPr>
                <w:b/>
                <w:sz w:val="22"/>
              </w:rPr>
            </w:pPr>
          </w:p>
          <w:p>
            <w:pPr>
              <w:pStyle w:val="TableParagraph"/>
              <w:ind w:left="0"/>
              <w:rPr>
                <w:b/>
                <w:sz w:val="22"/>
              </w:rPr>
            </w:pPr>
          </w:p>
          <w:p>
            <w:pPr>
              <w:pStyle w:val="TableParagraph"/>
              <w:ind w:left="100"/>
              <w:rPr>
                <w:sz w:val="22"/>
              </w:rPr>
            </w:pPr>
            <w:r>
              <w:rPr>
                <w:sz w:val="22"/>
              </w:rPr>
              <w:t>Otro problema es el azolve.</w:t>
            </w:r>
          </w:p>
        </w:tc>
        <w:tc>
          <w:tcPr>
            <w:tcW w:w="3901" w:type="dxa"/>
          </w:tcPr>
          <w:p>
            <w:pPr>
              <w:pStyle w:val="TableParagraph"/>
              <w:tabs>
                <w:tab w:pos="1070" w:val="left" w:leader="none"/>
                <w:tab w:pos="1909" w:val="left" w:leader="none"/>
                <w:tab w:pos="3005" w:val="left" w:leader="none"/>
                <w:tab w:pos="3504" w:val="left" w:leader="none"/>
              </w:tabs>
              <w:spacing w:line="242" w:lineRule="auto"/>
              <w:ind w:right="103"/>
              <w:rPr>
                <w:sz w:val="22"/>
              </w:rPr>
            </w:pPr>
            <w:r>
              <w:rPr>
                <w:sz w:val="22"/>
              </w:rPr>
              <w:t>Porque</w:t>
              <w:tab/>
              <w:t>llegan</w:t>
              <w:tab/>
              <w:t>drenajes</w:t>
              <w:tab/>
              <w:t>de</w:t>
              <w:tab/>
              <w:t>los municipios</w:t>
            </w:r>
            <w:r>
              <w:rPr>
                <w:spacing w:val="-4"/>
                <w:sz w:val="22"/>
              </w:rPr>
              <w:t> </w:t>
            </w:r>
            <w:r>
              <w:rPr>
                <w:sz w:val="22"/>
              </w:rPr>
              <w:t>aledaños.</w:t>
            </w:r>
          </w:p>
          <w:p>
            <w:pPr>
              <w:pStyle w:val="TableParagraph"/>
              <w:spacing w:before="7"/>
              <w:ind w:left="0"/>
              <w:rPr>
                <w:b/>
                <w:sz w:val="21"/>
              </w:rPr>
            </w:pPr>
          </w:p>
          <w:p>
            <w:pPr>
              <w:pStyle w:val="TableParagraph"/>
              <w:rPr>
                <w:sz w:val="22"/>
              </w:rPr>
            </w:pPr>
            <w:r>
              <w:rPr>
                <w:sz w:val="22"/>
              </w:rPr>
              <w:t>Por falta de mantenimiento.</w:t>
            </w: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5"/>
        <w:ind w:left="2220" w:right="778"/>
      </w:pPr>
      <w:r>
        <w:rPr/>
        <w:t>Tabla 6.12. Municipio de Polotitlán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2" w:hRule="exact"/>
        </w:trPr>
        <w:tc>
          <w:tcPr>
            <w:tcW w:w="13224" w:type="dxa"/>
            <w:gridSpan w:val="7"/>
            <w:shd w:val="clear" w:color="auto" w:fill="9BBA58"/>
          </w:tcPr>
          <w:p>
            <w:pPr>
              <w:pStyle w:val="TableParagraph"/>
              <w:spacing w:line="249" w:lineRule="exact"/>
              <w:ind w:left="4865" w:right="4870"/>
              <w:jc w:val="center"/>
              <w:rPr>
                <w:b/>
                <w:sz w:val="22"/>
              </w:rPr>
            </w:pPr>
            <w:r>
              <w:rPr>
                <w:b/>
                <w:sz w:val="22"/>
              </w:rPr>
              <w:t>POLOTITLÁN</w:t>
            </w:r>
          </w:p>
        </w:tc>
      </w:tr>
      <w:tr>
        <w:trPr>
          <w:trHeight w:val="524" w:hRule="exact"/>
        </w:trPr>
        <w:tc>
          <w:tcPr>
            <w:tcW w:w="4547" w:type="dxa"/>
            <w:gridSpan w:val="3"/>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263" w:hRule="exact"/>
        </w:trPr>
        <w:tc>
          <w:tcPr>
            <w:tcW w:w="4547" w:type="dxa"/>
            <w:gridSpan w:val="3"/>
            <w:vMerge/>
            <w:shd w:val="clear" w:color="auto" w:fill="F9BE8F"/>
          </w:tcPr>
          <w:p>
            <w:pPr/>
          </w:p>
        </w:tc>
        <w:tc>
          <w:tcPr>
            <w:tcW w:w="2462" w:type="dxa"/>
            <w:gridSpan w:val="2"/>
            <w:shd w:val="clear" w:color="auto" w:fill="92CDDC"/>
          </w:tcPr>
          <w:p>
            <w:pPr>
              <w:pStyle w:val="TableParagraph"/>
              <w:spacing w:line="252" w:lineRule="exact"/>
              <w:ind w:left="736"/>
              <w:rPr>
                <w:b/>
                <w:i/>
                <w:sz w:val="22"/>
              </w:rPr>
            </w:pPr>
            <w:r>
              <w:rPr>
                <w:b/>
                <w:i/>
                <w:sz w:val="22"/>
              </w:rPr>
              <w:t>Identidad</w:t>
            </w:r>
          </w:p>
        </w:tc>
        <w:tc>
          <w:tcPr>
            <w:tcW w:w="2314" w:type="dxa"/>
            <w:shd w:val="clear" w:color="auto" w:fill="92CDDC"/>
          </w:tcPr>
          <w:p>
            <w:pPr>
              <w:pStyle w:val="TableParagraph"/>
              <w:spacing w:line="252" w:lineRule="exact"/>
              <w:ind w:left="100"/>
              <w:rPr>
                <w:b/>
                <w:i/>
                <w:sz w:val="22"/>
              </w:rPr>
            </w:pPr>
            <w:r>
              <w:rPr>
                <w:b/>
                <w:i/>
                <w:sz w:val="22"/>
              </w:rPr>
              <w:t>Poder</w:t>
            </w:r>
          </w:p>
        </w:tc>
        <w:tc>
          <w:tcPr>
            <w:tcW w:w="3901" w:type="dxa"/>
            <w:shd w:val="clear" w:color="auto" w:fill="92CDDC"/>
          </w:tcPr>
          <w:p>
            <w:pPr>
              <w:pStyle w:val="TableParagraph"/>
              <w:spacing w:line="252" w:lineRule="exact"/>
              <w:rPr>
                <w:b/>
                <w:i/>
                <w:sz w:val="22"/>
              </w:rPr>
            </w:pPr>
            <w:r>
              <w:rPr>
                <w:b/>
                <w:i/>
                <w:sz w:val="22"/>
              </w:rPr>
              <w:t>Poder</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274" w:type="dxa"/>
            <w:tcBorders>
              <w:bottom w:val="nil"/>
            </w:tcBorders>
            <w:shd w:val="clear" w:color="auto" w:fill="F9BE8F"/>
          </w:tcPr>
          <w:p>
            <w:pPr>
              <w:pStyle w:val="TableParagraph"/>
              <w:spacing w:line="249" w:lineRule="exact"/>
              <w:ind w:left="100" w:right="98"/>
              <w:rPr>
                <w:b/>
                <w:sz w:val="22"/>
              </w:rPr>
            </w:pPr>
            <w:r>
              <w:rPr>
                <w:b/>
                <w:sz w:val="22"/>
              </w:rPr>
              <w:t>Nivel</w:t>
            </w:r>
          </w:p>
        </w:tc>
        <w:tc>
          <w:tcPr>
            <w:tcW w:w="1887" w:type="dxa"/>
            <w:tcBorders>
              <w:bottom w:val="nil"/>
            </w:tcBorders>
            <w:shd w:val="clear" w:color="auto" w:fill="F9BE8F"/>
          </w:tcPr>
          <w:p>
            <w:pPr>
              <w:pStyle w:val="TableParagraph"/>
              <w:spacing w:line="249" w:lineRule="exact"/>
              <w:rPr>
                <w:b/>
                <w:sz w:val="22"/>
              </w:rPr>
            </w:pPr>
            <w:r>
              <w:rPr>
                <w:b/>
                <w:sz w:val="22"/>
              </w:rPr>
              <w:t>Cargo Público</w:t>
            </w:r>
          </w:p>
        </w:tc>
        <w:tc>
          <w:tcPr>
            <w:tcW w:w="1289" w:type="dxa"/>
            <w:tcBorders>
              <w:bottom w:val="nil"/>
            </w:tcBorders>
            <w:shd w:val="clear" w:color="auto" w:fill="92CDDC"/>
          </w:tcPr>
          <w:p>
            <w:pPr>
              <w:pStyle w:val="TableParagraph"/>
              <w:spacing w:line="249" w:lineRule="exact"/>
              <w:rPr>
                <w:b/>
                <w:sz w:val="22"/>
              </w:rPr>
            </w:pPr>
            <w:r>
              <w:rPr>
                <w:b/>
                <w:sz w:val="22"/>
              </w:rPr>
              <w:t>¿Dónde</w:t>
            </w:r>
          </w:p>
        </w:tc>
        <w:tc>
          <w:tcPr>
            <w:tcW w:w="1174" w:type="dxa"/>
            <w:tcBorders>
              <w:bottom w:val="nil"/>
            </w:tcBorders>
            <w:shd w:val="clear" w:color="auto" w:fill="92CDDC"/>
          </w:tcPr>
          <w:p>
            <w:pPr>
              <w:pStyle w:val="TableParagraph"/>
              <w:spacing w:line="249" w:lineRule="exact"/>
              <w:rPr>
                <w:b/>
                <w:sz w:val="22"/>
              </w:rPr>
            </w:pPr>
            <w:r>
              <w:rPr>
                <w:b/>
                <w:sz w:val="22"/>
              </w:rPr>
              <w:t>¿Dónde</w:t>
            </w:r>
          </w:p>
        </w:tc>
        <w:tc>
          <w:tcPr>
            <w:tcW w:w="2314" w:type="dxa"/>
            <w:tcBorders>
              <w:bottom w:val="nil"/>
            </w:tcBorders>
            <w:shd w:val="clear" w:color="auto" w:fill="92CDDC"/>
          </w:tcPr>
          <w:p>
            <w:pPr>
              <w:pStyle w:val="TableParagraph"/>
              <w:tabs>
                <w:tab w:pos="1298" w:val="left" w:leader="none"/>
              </w:tabs>
              <w:spacing w:line="249" w:lineRule="exact"/>
              <w:ind w:left="100"/>
              <w:rPr>
                <w:b/>
                <w:sz w:val="22"/>
              </w:rPr>
            </w:pPr>
            <w:r>
              <w:rPr>
                <w:b/>
                <w:sz w:val="22"/>
              </w:rPr>
              <w:t>¿Qué</w:t>
              <w:tab/>
              <w:t>solución</w:t>
            </w:r>
          </w:p>
        </w:tc>
        <w:tc>
          <w:tcPr>
            <w:tcW w:w="3901" w:type="dxa"/>
            <w:tcBorders>
              <w:bottom w:val="nil"/>
            </w:tcBorders>
            <w:shd w:val="clear" w:color="auto" w:fill="92CDDC"/>
          </w:tcPr>
          <w:p>
            <w:pPr>
              <w:pStyle w:val="TableParagraph"/>
              <w:tabs>
                <w:tab w:pos="2157" w:val="left" w:leader="none"/>
              </w:tabs>
              <w:spacing w:line="249" w:lineRule="exact"/>
              <w:rPr>
                <w:b/>
                <w:sz w:val="22"/>
              </w:rPr>
            </w:pPr>
            <w:r>
              <w:rPr>
                <w:b/>
                <w:sz w:val="22"/>
              </w:rPr>
              <w:t>¿Quiénes  </w:t>
            </w:r>
            <w:r>
              <w:rPr>
                <w:b/>
                <w:spacing w:val="15"/>
                <w:sz w:val="22"/>
              </w:rPr>
              <w:t> </w:t>
            </w:r>
            <w:r>
              <w:rPr>
                <w:b/>
                <w:sz w:val="22"/>
              </w:rPr>
              <w:t>deben</w:t>
              <w:tab/>
              <w:t>solucionar  </w:t>
            </w:r>
            <w:r>
              <w:rPr>
                <w:b/>
                <w:spacing w:val="11"/>
                <w:sz w:val="22"/>
              </w:rPr>
              <w:t> </w:t>
            </w:r>
            <w:r>
              <w:rPr>
                <w:b/>
                <w:sz w:val="22"/>
              </w:rPr>
              <w:t>los</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2"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2" w:lineRule="exact"/>
              <w:rPr>
                <w:b/>
                <w:sz w:val="22"/>
              </w:rPr>
            </w:pPr>
            <w:r>
              <w:rPr>
                <w:b/>
                <w:sz w:val="22"/>
              </w:rPr>
              <w:t>nació?</w:t>
            </w:r>
          </w:p>
        </w:tc>
        <w:tc>
          <w:tcPr>
            <w:tcW w:w="1174" w:type="dxa"/>
            <w:tcBorders>
              <w:top w:val="nil"/>
              <w:bottom w:val="nil"/>
            </w:tcBorders>
            <w:shd w:val="clear" w:color="auto" w:fill="92CDDC"/>
          </w:tcPr>
          <w:p>
            <w:pPr>
              <w:pStyle w:val="TableParagraph"/>
              <w:spacing w:line="242" w:lineRule="exact"/>
              <w:rPr>
                <w:b/>
                <w:sz w:val="22"/>
              </w:rPr>
            </w:pPr>
            <w:r>
              <w:rPr>
                <w:b/>
                <w:sz w:val="22"/>
              </w:rPr>
              <w:t>vive?</w:t>
            </w:r>
          </w:p>
        </w:tc>
        <w:tc>
          <w:tcPr>
            <w:tcW w:w="2314" w:type="dxa"/>
            <w:tcBorders>
              <w:top w:val="nil"/>
              <w:bottom w:val="nil"/>
            </w:tcBorders>
            <w:shd w:val="clear" w:color="auto" w:fill="92CDDC"/>
          </w:tcPr>
          <w:p>
            <w:pPr>
              <w:pStyle w:val="TableParagraph"/>
              <w:tabs>
                <w:tab w:pos="1199" w:val="left" w:leader="none"/>
                <w:tab w:pos="1883" w:val="left" w:leader="none"/>
              </w:tabs>
              <w:spacing w:line="242" w:lineRule="exact"/>
              <w:ind w:left="100"/>
              <w:rPr>
                <w:b/>
                <w:sz w:val="22"/>
              </w:rPr>
            </w:pPr>
            <w:r>
              <w:rPr>
                <w:b/>
                <w:sz w:val="22"/>
              </w:rPr>
              <w:t>propone</w:t>
              <w:tab/>
              <w:t>para</w:t>
              <w:tab/>
              <w:t>los</w:t>
            </w:r>
          </w:p>
        </w:tc>
        <w:tc>
          <w:tcPr>
            <w:tcW w:w="3901" w:type="dxa"/>
            <w:tcBorders>
              <w:top w:val="nil"/>
              <w:bottom w:val="nil"/>
            </w:tcBorders>
            <w:shd w:val="clear" w:color="auto" w:fill="92CDDC"/>
          </w:tcPr>
          <w:p>
            <w:pPr>
              <w:pStyle w:val="TableParagraph"/>
              <w:tabs>
                <w:tab w:pos="1691" w:val="left" w:leader="none"/>
                <w:tab w:pos="2420" w:val="left" w:leader="none"/>
                <w:tab w:pos="3078" w:val="left" w:leader="none"/>
              </w:tabs>
              <w:spacing w:line="242" w:lineRule="exact"/>
              <w:rPr>
                <w:b/>
                <w:sz w:val="22"/>
              </w:rPr>
            </w:pPr>
            <w:r>
              <w:rPr>
                <w:b/>
                <w:sz w:val="22"/>
              </w:rPr>
              <w:t>problemas</w:t>
              <w:tab/>
              <w:t>de</w:t>
              <w:tab/>
              <w:t>la</w:t>
              <w:tab/>
              <w:t>laguna</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487" w:val="left" w:leader="none"/>
                <w:tab w:pos="2017" w:val="left" w:leader="none"/>
              </w:tabs>
              <w:spacing w:line="241" w:lineRule="exact"/>
              <w:ind w:left="100"/>
              <w:rPr>
                <w:b/>
                <w:sz w:val="22"/>
              </w:rPr>
            </w:pPr>
            <w:r>
              <w:rPr>
                <w:b/>
                <w:sz w:val="22"/>
              </w:rPr>
              <w:t>problemas</w:t>
              <w:tab/>
              <w:t>de</w:t>
              <w:tab/>
              <w:t>la</w:t>
            </w:r>
          </w:p>
        </w:tc>
        <w:tc>
          <w:tcPr>
            <w:tcW w:w="3901"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laguna Huapango?</w:t>
            </w:r>
          </w:p>
        </w:tc>
        <w:tc>
          <w:tcPr>
            <w:tcW w:w="3901"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rPr>
                <w:sz w:val="22"/>
              </w:rPr>
            </w:pPr>
            <w:r>
              <w:rPr>
                <w:sz w:val="22"/>
              </w:rPr>
              <w:t>María Silvia</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spacing w:line="251" w:lineRule="exact"/>
              <w:ind w:left="410"/>
              <w:rPr>
                <w:sz w:val="22"/>
              </w:rPr>
            </w:pPr>
            <w:r>
              <w:rPr>
                <w:sz w:val="22"/>
              </w:rPr>
              <w:t>Presidenta</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rPr>
                <w:sz w:val="22"/>
              </w:rPr>
            </w:pPr>
            <w:r>
              <w:rPr>
                <w:sz w:val="22"/>
              </w:rPr>
              <w:t>Polotitlán</w:t>
            </w:r>
          </w:p>
        </w:tc>
        <w:tc>
          <w:tcPr>
            <w:tcW w:w="2314" w:type="dxa"/>
            <w:tcBorders>
              <w:bottom w:val="nil"/>
            </w:tcBorders>
          </w:tcPr>
          <w:p>
            <w:pPr>
              <w:pStyle w:val="TableParagraph"/>
              <w:spacing w:line="251" w:lineRule="exact"/>
              <w:ind w:left="100"/>
              <w:rPr>
                <w:sz w:val="22"/>
              </w:rPr>
            </w:pPr>
            <w:r>
              <w:rPr>
                <w:sz w:val="22"/>
              </w:rPr>
              <w:t>El   problema   de   la</w:t>
            </w:r>
          </w:p>
        </w:tc>
        <w:tc>
          <w:tcPr>
            <w:tcW w:w="3901" w:type="dxa"/>
            <w:tcBorders>
              <w:bottom w:val="nil"/>
            </w:tcBorders>
          </w:tcPr>
          <w:p>
            <w:pPr>
              <w:pStyle w:val="TableParagraph"/>
              <w:spacing w:line="251" w:lineRule="exact"/>
              <w:rPr>
                <w:sz w:val="22"/>
              </w:rPr>
            </w:pPr>
            <w:r>
              <w:rPr>
                <w:sz w:val="22"/>
              </w:rPr>
              <w:t>Son los usuarios, los tres niveles   de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Barquet</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contaminación</w:t>
            </w:r>
          </w:p>
        </w:tc>
        <w:tc>
          <w:tcPr>
            <w:tcW w:w="3901" w:type="dxa"/>
            <w:tcBorders>
              <w:top w:val="nil"/>
              <w:bottom w:val="nil"/>
            </w:tcBorders>
          </w:tcPr>
          <w:p>
            <w:pPr>
              <w:pStyle w:val="TableParagraph"/>
              <w:tabs>
                <w:tab w:pos="1240" w:val="left" w:leader="none"/>
                <w:tab w:pos="1763" w:val="left" w:leader="none"/>
                <w:tab w:pos="2874" w:val="left" w:leader="none"/>
                <w:tab w:pos="3507" w:val="left" w:leader="none"/>
              </w:tabs>
              <w:spacing w:line="241" w:lineRule="exact"/>
              <w:rPr>
                <w:sz w:val="22"/>
              </w:rPr>
            </w:pPr>
            <w:r>
              <w:rPr>
                <w:sz w:val="22"/>
              </w:rPr>
              <w:t>gobierno</w:t>
              <w:tab/>
              <w:t>en</w:t>
              <w:tab/>
              <w:t>conjunto</w:t>
              <w:tab/>
              <w:t>con</w:t>
              <w:tab/>
              <w:t>las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Muñoz</w:t>
            </w:r>
          </w:p>
        </w:tc>
        <w:tc>
          <w:tcPr>
            <w:tcW w:w="1274" w:type="dxa"/>
            <w:tcBorders>
              <w:top w:val="nil"/>
              <w:bottom w:val="nil"/>
            </w:tcBorders>
          </w:tcPr>
          <w:p>
            <w:pPr>
              <w:pStyle w:val="TableParagraph"/>
              <w:spacing w:line="242" w:lineRule="exact"/>
              <w:ind w:left="100"/>
              <w:rPr>
                <w:sz w:val="22"/>
              </w:rPr>
            </w:pPr>
            <w:r>
              <w:rPr>
                <w:sz w:val="22"/>
              </w:rPr>
              <w:t>Administra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64" w:val="left" w:leader="none"/>
              </w:tabs>
              <w:spacing w:line="242" w:lineRule="exact"/>
              <w:ind w:left="100"/>
              <w:rPr>
                <w:sz w:val="22"/>
              </w:rPr>
            </w:pPr>
            <w:r>
              <w:rPr>
                <w:sz w:val="22"/>
              </w:rPr>
              <w:t>podría</w:t>
              <w:tab/>
              <w:t>solucionarse</w:t>
            </w:r>
          </w:p>
        </w:tc>
        <w:tc>
          <w:tcPr>
            <w:tcW w:w="3901" w:type="dxa"/>
            <w:tcBorders>
              <w:top w:val="nil"/>
              <w:bottom w:val="nil"/>
            </w:tcBorders>
          </w:tcPr>
          <w:p>
            <w:pPr>
              <w:pStyle w:val="TableParagraph"/>
              <w:tabs>
                <w:tab w:pos="1694" w:val="left" w:leader="none"/>
                <w:tab w:pos="3150" w:val="left" w:leader="none"/>
                <w:tab w:pos="3615" w:val="left" w:leader="none"/>
              </w:tabs>
              <w:spacing w:line="242" w:lineRule="exact"/>
              <w:rPr>
                <w:sz w:val="22"/>
              </w:rPr>
            </w:pPr>
            <w:r>
              <w:rPr>
                <w:sz w:val="22"/>
              </w:rPr>
              <w:t>dependencias</w:t>
              <w:tab/>
              <w:t>involucradas</w:t>
              <w:tab/>
              <w:t>en</w:t>
              <w:tab/>
              <w:t>el</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ción de</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34" w:val="left" w:leader="none"/>
                <w:tab w:pos="1919" w:val="left" w:leader="none"/>
              </w:tabs>
              <w:spacing w:line="241" w:lineRule="exact"/>
              <w:ind w:left="100"/>
              <w:rPr>
                <w:sz w:val="22"/>
              </w:rPr>
            </w:pPr>
            <w:r>
              <w:rPr>
                <w:sz w:val="22"/>
              </w:rPr>
              <w:t>haciendo</w:t>
              <w:tab/>
              <w:t>de</w:t>
              <w:tab/>
              <w:t>las</w:t>
            </w:r>
          </w:p>
        </w:tc>
        <w:tc>
          <w:tcPr>
            <w:tcW w:w="3901" w:type="dxa"/>
            <w:tcBorders>
              <w:top w:val="nil"/>
              <w:bottom w:val="nil"/>
            </w:tcBorders>
          </w:tcPr>
          <w:p>
            <w:pPr>
              <w:pStyle w:val="TableParagraph"/>
              <w:spacing w:line="241" w:lineRule="exact"/>
              <w:rPr>
                <w:sz w:val="22"/>
              </w:rPr>
            </w:pPr>
            <w:r>
              <w:rPr>
                <w:sz w:val="22"/>
              </w:rPr>
              <w:t>tema.</w:t>
            </w:r>
          </w:p>
        </w:tc>
      </w:tr>
      <w:tr>
        <w:trPr>
          <w:trHeight w:val="253" w:hRule="exact"/>
        </w:trPr>
        <w:tc>
          <w:tcPr>
            <w:tcW w:w="1385" w:type="dxa"/>
            <w:tcBorders>
              <w:top w:val="nil"/>
              <w:bottom w:val="nil"/>
            </w:tcBorders>
          </w:tcPr>
          <w:p>
            <w:pPr>
              <w:pStyle w:val="TableParagraph"/>
              <w:spacing w:line="242" w:lineRule="exact"/>
              <w:rPr>
                <w:sz w:val="22"/>
              </w:rPr>
            </w:pPr>
            <w:r>
              <w:rPr>
                <w:sz w:val="22"/>
              </w:rPr>
              <w:t>(20/8/2014)</w:t>
            </w:r>
          </w:p>
        </w:tc>
        <w:tc>
          <w:tcPr>
            <w:tcW w:w="1274" w:type="dxa"/>
            <w:tcBorders>
              <w:top w:val="nil"/>
              <w:bottom w:val="nil"/>
            </w:tcBorders>
          </w:tcPr>
          <w:p>
            <w:pPr>
              <w:pStyle w:val="TableParagraph"/>
              <w:spacing w:line="242" w:lineRule="exact"/>
              <w:ind w:left="100" w:right="98"/>
              <w:rPr>
                <w:sz w:val="22"/>
              </w:rPr>
            </w:pPr>
            <w:r>
              <w:rPr>
                <w:sz w:val="22"/>
              </w:rPr>
              <w:t>Empresas</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674" w:val="left" w:leader="none"/>
              </w:tabs>
              <w:spacing w:line="242" w:lineRule="exact"/>
              <w:ind w:left="100"/>
              <w:rPr>
                <w:sz w:val="22"/>
              </w:rPr>
            </w:pPr>
            <w:r>
              <w:rPr>
                <w:sz w:val="22"/>
              </w:rPr>
              <w:t>vertientes</w:t>
              <w:tab/>
              <w:t>filtros</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adecuados  y  que  el</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almacenamiento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540" w:val="left" w:leader="none"/>
              </w:tabs>
              <w:spacing w:line="242" w:lineRule="exact"/>
              <w:ind w:left="100"/>
              <w:rPr>
                <w:sz w:val="22"/>
              </w:rPr>
            </w:pPr>
            <w:r>
              <w:rPr>
                <w:sz w:val="22"/>
              </w:rPr>
              <w:t>fuera</w:t>
              <w:tab/>
              <w:t>menos</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recurrente.</w:t>
            </w:r>
          </w:p>
        </w:tc>
        <w:tc>
          <w:tcPr>
            <w:tcW w:w="3901" w:type="dxa"/>
            <w:tcBorders>
              <w:top w:val="nil"/>
            </w:tcBorders>
          </w:tcPr>
          <w:p>
            <w:pPr/>
          </w:p>
        </w:tc>
      </w:tr>
      <w:tr>
        <w:trPr>
          <w:trHeight w:val="768" w:hRule="exact"/>
        </w:trPr>
        <w:tc>
          <w:tcPr>
            <w:tcW w:w="1385" w:type="dxa"/>
          </w:tcPr>
          <w:p>
            <w:pPr>
              <w:pStyle w:val="TableParagraph"/>
              <w:ind w:left="307" w:right="305" w:firstLine="19"/>
              <w:jc w:val="both"/>
              <w:rPr>
                <w:sz w:val="22"/>
              </w:rPr>
            </w:pPr>
            <w:r>
              <w:rPr>
                <w:sz w:val="22"/>
              </w:rPr>
              <w:t>Marcos Silverio Basurto</w:t>
            </w:r>
          </w:p>
        </w:tc>
        <w:tc>
          <w:tcPr>
            <w:tcW w:w="1274" w:type="dxa"/>
          </w:tcPr>
          <w:p>
            <w:pPr>
              <w:pStyle w:val="TableParagraph"/>
              <w:ind w:left="100" w:right="203"/>
              <w:rPr>
                <w:sz w:val="22"/>
              </w:rPr>
            </w:pPr>
            <w:r>
              <w:rPr>
                <w:sz w:val="22"/>
              </w:rPr>
              <w:t>Médico Veterinari o</w:t>
            </w:r>
          </w:p>
        </w:tc>
        <w:tc>
          <w:tcPr>
            <w:tcW w:w="1887" w:type="dxa"/>
          </w:tcPr>
          <w:p>
            <w:pPr>
              <w:pStyle w:val="TableParagraph"/>
              <w:ind w:right="168"/>
              <w:jc w:val="both"/>
              <w:rPr>
                <w:sz w:val="22"/>
              </w:rPr>
            </w:pPr>
            <w:r>
              <w:rPr>
                <w:sz w:val="22"/>
              </w:rPr>
              <w:t>Primer Regidor. Encargado de la Comisión de</w:t>
            </w:r>
          </w:p>
        </w:tc>
        <w:tc>
          <w:tcPr>
            <w:tcW w:w="1289" w:type="dxa"/>
          </w:tcPr>
          <w:p>
            <w:pPr>
              <w:pStyle w:val="TableParagraph"/>
              <w:spacing w:line="251" w:lineRule="exact"/>
              <w:ind w:left="0" w:right="184"/>
              <w:jc w:val="right"/>
              <w:rPr>
                <w:sz w:val="22"/>
              </w:rPr>
            </w:pPr>
            <w:r>
              <w:rPr>
                <w:sz w:val="22"/>
              </w:rPr>
              <w:t>Polotitlán</w:t>
            </w:r>
          </w:p>
        </w:tc>
        <w:tc>
          <w:tcPr>
            <w:tcW w:w="1174" w:type="dxa"/>
          </w:tcPr>
          <w:p>
            <w:pPr>
              <w:pStyle w:val="TableParagraph"/>
              <w:spacing w:line="251" w:lineRule="exact"/>
              <w:ind w:left="129"/>
              <w:rPr>
                <w:sz w:val="22"/>
              </w:rPr>
            </w:pPr>
            <w:r>
              <w:rPr>
                <w:sz w:val="22"/>
              </w:rPr>
              <w:t>Polotitlán</w:t>
            </w:r>
          </w:p>
        </w:tc>
        <w:tc>
          <w:tcPr>
            <w:tcW w:w="2314" w:type="dxa"/>
          </w:tcPr>
          <w:p>
            <w:pPr>
              <w:pStyle w:val="TableParagraph"/>
              <w:tabs>
                <w:tab w:pos="1578" w:val="left" w:leader="none"/>
              </w:tabs>
              <w:ind w:left="100" w:right="98"/>
              <w:jc w:val="both"/>
              <w:rPr>
                <w:sz w:val="22"/>
              </w:rPr>
            </w:pPr>
            <w:r>
              <w:rPr>
                <w:sz w:val="22"/>
              </w:rPr>
              <w:t>Esto</w:t>
              <w:tab/>
            </w:r>
            <w:r>
              <w:rPr>
                <w:spacing w:val="-1"/>
                <w:sz w:val="22"/>
              </w:rPr>
              <w:t>podría </w:t>
            </w:r>
            <w:r>
              <w:rPr>
                <w:sz w:val="22"/>
              </w:rPr>
              <w:t>solucionarse con que cada   usuario </w:t>
            </w:r>
            <w:r>
              <w:rPr>
                <w:spacing w:val="43"/>
                <w:sz w:val="22"/>
              </w:rPr>
              <w:t> </w:t>
            </w:r>
            <w:r>
              <w:rPr>
                <w:sz w:val="22"/>
              </w:rPr>
              <w:t>tenga</w:t>
            </w:r>
          </w:p>
        </w:tc>
        <w:tc>
          <w:tcPr>
            <w:tcW w:w="3901" w:type="dxa"/>
          </w:tcPr>
          <w:p>
            <w:pPr>
              <w:pStyle w:val="TableParagraph"/>
              <w:ind w:right="100"/>
              <w:jc w:val="both"/>
              <w:rPr>
                <w:sz w:val="22"/>
              </w:rPr>
            </w:pPr>
            <w:r>
              <w:rPr>
                <w:sz w:val="22"/>
              </w:rPr>
              <w:t>Quienes debieran solucionar estos problemas son los mismos productores  con  apoyo  de  los </w:t>
            </w:r>
            <w:r>
              <w:rPr>
                <w:spacing w:val="59"/>
                <w:sz w:val="22"/>
              </w:rPr>
              <w:t> </w:t>
            </w:r>
            <w:r>
              <w:rPr>
                <w:sz w:val="22"/>
              </w:rPr>
              <w:t>tres</w:t>
            </w:r>
          </w:p>
        </w:tc>
      </w:tr>
    </w:tbl>
    <w:p>
      <w:pPr>
        <w:spacing w:after="0"/>
        <w:jc w:val="both"/>
        <w:rPr>
          <w:sz w:val="22"/>
        </w:rPr>
        <w:sectPr>
          <w:pgSz w:w="15840" w:h="12240" w:orient="landscape"/>
          <w:pgMar w:header="0" w:footer="94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66" w:hRule="exact"/>
        </w:trPr>
        <w:tc>
          <w:tcPr>
            <w:tcW w:w="1385" w:type="dxa"/>
            <w:tcBorders>
              <w:bottom w:val="nil"/>
            </w:tcBorders>
          </w:tcPr>
          <w:p>
            <w:pPr>
              <w:pStyle w:val="TableParagraph"/>
              <w:spacing w:line="251" w:lineRule="exact"/>
              <w:ind w:left="85" w:right="86"/>
              <w:jc w:val="center"/>
              <w:rPr>
                <w:sz w:val="22"/>
              </w:rPr>
            </w:pPr>
            <w:r>
              <w:rPr>
                <w:sz w:val="22"/>
              </w:rPr>
              <w:t>Esquivel</w:t>
            </w:r>
          </w:p>
        </w:tc>
        <w:tc>
          <w:tcPr>
            <w:tcW w:w="1274" w:type="dxa"/>
            <w:vMerge w:val="restart"/>
          </w:tcPr>
          <w:p>
            <w:pPr/>
          </w:p>
        </w:tc>
        <w:tc>
          <w:tcPr>
            <w:tcW w:w="1887" w:type="dxa"/>
            <w:tcBorders>
              <w:bottom w:val="nil"/>
            </w:tcBorders>
          </w:tcPr>
          <w:p>
            <w:pPr>
              <w:pStyle w:val="TableParagraph"/>
              <w:spacing w:line="251" w:lineRule="exact"/>
              <w:rPr>
                <w:sz w:val="22"/>
              </w:rPr>
            </w:pPr>
            <w:r>
              <w:rPr>
                <w:sz w:val="22"/>
              </w:rPr>
              <w:t>Desarrollo</w:t>
            </w:r>
          </w:p>
        </w:tc>
        <w:tc>
          <w:tcPr>
            <w:tcW w:w="1289" w:type="dxa"/>
            <w:vMerge w:val="restart"/>
          </w:tcPr>
          <w:p>
            <w:pPr/>
          </w:p>
        </w:tc>
        <w:tc>
          <w:tcPr>
            <w:tcW w:w="1174" w:type="dxa"/>
            <w:vMerge w:val="restart"/>
          </w:tcPr>
          <w:p>
            <w:pPr/>
          </w:p>
        </w:tc>
        <w:tc>
          <w:tcPr>
            <w:tcW w:w="2314" w:type="dxa"/>
            <w:tcBorders>
              <w:bottom w:val="nil"/>
            </w:tcBorders>
          </w:tcPr>
          <w:p>
            <w:pPr>
              <w:pStyle w:val="TableParagraph"/>
              <w:spacing w:line="251" w:lineRule="exact"/>
              <w:ind w:left="100"/>
              <w:rPr>
                <w:sz w:val="22"/>
              </w:rPr>
            </w:pPr>
            <w:r>
              <w:rPr>
                <w:sz w:val="22"/>
              </w:rPr>
              <w:t>en  sus  predios </w:t>
            </w:r>
            <w:r>
              <w:rPr>
                <w:spacing w:val="56"/>
                <w:sz w:val="22"/>
              </w:rPr>
              <w:t> </w:t>
            </w:r>
            <w:r>
              <w:rPr>
                <w:sz w:val="22"/>
              </w:rPr>
              <w:t>una</w:t>
            </w:r>
          </w:p>
        </w:tc>
        <w:tc>
          <w:tcPr>
            <w:tcW w:w="3901" w:type="dxa"/>
            <w:tcBorders>
              <w:bottom w:val="nil"/>
            </w:tcBorders>
          </w:tcPr>
          <w:p>
            <w:pPr>
              <w:pStyle w:val="TableParagraph"/>
              <w:spacing w:line="251" w:lineRule="exact"/>
              <w:rPr>
                <w:sz w:val="22"/>
              </w:rPr>
            </w:pPr>
            <w:r>
              <w:rPr>
                <w:sz w:val="22"/>
              </w:rPr>
              <w:t>órdenes de gobierno.</w:t>
            </w: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spacing w:line="241" w:lineRule="exact"/>
              <w:rPr>
                <w:sz w:val="22"/>
              </w:rPr>
            </w:pPr>
            <w:r>
              <w:rPr>
                <w:sz w:val="22"/>
              </w:rPr>
              <w:t>Agropecuario y</w:t>
            </w:r>
          </w:p>
        </w:tc>
        <w:tc>
          <w:tcPr>
            <w:tcW w:w="1289" w:type="dxa"/>
            <w:vMerge/>
          </w:tcPr>
          <w:p>
            <w:pPr/>
          </w:p>
        </w:tc>
        <w:tc>
          <w:tcPr>
            <w:tcW w:w="1174" w:type="dxa"/>
            <w:vMerge/>
          </w:tcPr>
          <w:p>
            <w:pPr/>
          </w:p>
        </w:tc>
        <w:tc>
          <w:tcPr>
            <w:tcW w:w="2314" w:type="dxa"/>
            <w:tcBorders>
              <w:top w:val="nil"/>
              <w:bottom w:val="nil"/>
            </w:tcBorders>
          </w:tcPr>
          <w:p>
            <w:pPr>
              <w:pStyle w:val="TableParagraph"/>
              <w:tabs>
                <w:tab w:pos="697" w:val="left" w:leader="none"/>
                <w:tab w:pos="1199" w:val="left" w:leader="none"/>
              </w:tabs>
              <w:spacing w:line="241" w:lineRule="exact"/>
              <w:ind w:left="100"/>
              <w:rPr>
                <w:sz w:val="22"/>
              </w:rPr>
            </w:pPr>
            <w:r>
              <w:rPr>
                <w:sz w:val="22"/>
              </w:rPr>
              <w:t>olla</w:t>
              <w:tab/>
              <w:t>de</w:t>
              <w:tab/>
              <w:t>captación,</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(20/8/2014)</w:t>
            </w:r>
          </w:p>
        </w:tc>
        <w:tc>
          <w:tcPr>
            <w:tcW w:w="1274" w:type="dxa"/>
            <w:vMerge/>
          </w:tcPr>
          <w:p>
            <w:pPr/>
          </w:p>
        </w:tc>
        <w:tc>
          <w:tcPr>
            <w:tcW w:w="1887" w:type="dxa"/>
            <w:tcBorders>
              <w:top w:val="nil"/>
              <w:bottom w:val="nil"/>
            </w:tcBorders>
          </w:tcPr>
          <w:p>
            <w:pPr>
              <w:pStyle w:val="TableParagraph"/>
              <w:spacing w:line="242" w:lineRule="exact"/>
              <w:rPr>
                <w:sz w:val="22"/>
              </w:rPr>
            </w:pPr>
            <w:r>
              <w:rPr>
                <w:sz w:val="22"/>
              </w:rPr>
              <w:t>Ecología</w:t>
            </w:r>
          </w:p>
        </w:tc>
        <w:tc>
          <w:tcPr>
            <w:tcW w:w="1289" w:type="dxa"/>
            <w:vMerge/>
          </w:tcPr>
          <w:p>
            <w:pPr/>
          </w:p>
        </w:tc>
        <w:tc>
          <w:tcPr>
            <w:tcW w:w="1174" w:type="dxa"/>
            <w:vMerge/>
          </w:tcPr>
          <w:p>
            <w:pPr/>
          </w:p>
        </w:tc>
        <w:tc>
          <w:tcPr>
            <w:tcW w:w="2314" w:type="dxa"/>
            <w:tcBorders>
              <w:top w:val="nil"/>
              <w:bottom w:val="nil"/>
            </w:tcBorders>
          </w:tcPr>
          <w:p>
            <w:pPr>
              <w:pStyle w:val="TableParagraph"/>
              <w:tabs>
                <w:tab w:pos="1053" w:val="left" w:leader="none"/>
                <w:tab w:pos="1955" w:val="left" w:leader="none"/>
              </w:tabs>
              <w:spacing w:line="242" w:lineRule="exact"/>
              <w:ind w:left="100"/>
              <w:rPr>
                <w:sz w:val="22"/>
              </w:rPr>
            </w:pPr>
            <w:r>
              <w:rPr>
                <w:sz w:val="22"/>
              </w:rPr>
              <w:t>crear</w:t>
              <w:tab/>
              <w:t>ollas</w:t>
              <w:tab/>
              <w:t>de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
        </w:tc>
        <w:tc>
          <w:tcPr>
            <w:tcW w:w="1289" w:type="dxa"/>
            <w:vMerge/>
          </w:tcPr>
          <w:p>
            <w:pPr/>
          </w:p>
        </w:tc>
        <w:tc>
          <w:tcPr>
            <w:tcW w:w="1174" w:type="dxa"/>
            <w:vMerge/>
          </w:tcPr>
          <w:p>
            <w:pPr/>
          </w:p>
        </w:tc>
        <w:tc>
          <w:tcPr>
            <w:tcW w:w="2314" w:type="dxa"/>
            <w:tcBorders>
              <w:top w:val="nil"/>
              <w:bottom w:val="nil"/>
            </w:tcBorders>
          </w:tcPr>
          <w:p>
            <w:pPr>
              <w:pStyle w:val="TableParagraph"/>
              <w:tabs>
                <w:tab w:pos="1761" w:val="left" w:leader="none"/>
              </w:tabs>
              <w:spacing w:line="241" w:lineRule="exact"/>
              <w:ind w:left="100"/>
              <w:rPr>
                <w:sz w:val="22"/>
              </w:rPr>
            </w:pPr>
            <w:r>
              <w:rPr>
                <w:sz w:val="22"/>
              </w:rPr>
              <w:t>retención</w:t>
              <w:tab/>
              <w:t>para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
        </w:tc>
        <w:tc>
          <w:tcPr>
            <w:tcW w:w="1289" w:type="dxa"/>
            <w:vMerge/>
          </w:tcPr>
          <w:p>
            <w:pPr/>
          </w:p>
        </w:tc>
        <w:tc>
          <w:tcPr>
            <w:tcW w:w="1174" w:type="dxa"/>
            <w:vMerge/>
          </w:tcPr>
          <w:p>
            <w:pPr/>
          </w:p>
        </w:tc>
        <w:tc>
          <w:tcPr>
            <w:tcW w:w="2314" w:type="dxa"/>
            <w:tcBorders>
              <w:top w:val="nil"/>
              <w:bottom w:val="nil"/>
            </w:tcBorders>
          </w:tcPr>
          <w:p>
            <w:pPr>
              <w:pStyle w:val="TableParagraph"/>
              <w:tabs>
                <w:tab w:pos="2092" w:val="left" w:leader="none"/>
              </w:tabs>
              <w:spacing w:line="242" w:lineRule="exact"/>
              <w:ind w:left="100"/>
              <w:rPr>
                <w:sz w:val="22"/>
              </w:rPr>
            </w:pPr>
            <w:r>
              <w:rPr>
                <w:sz w:val="22"/>
              </w:rPr>
              <w:t>almacenarla</w:t>
              <w:tab/>
              <w:t>y</w:t>
            </w: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vMerge/>
          </w:tcPr>
          <w:p>
            <w:pPr/>
          </w:p>
        </w:tc>
        <w:tc>
          <w:tcPr>
            <w:tcW w:w="1887" w:type="dxa"/>
            <w:tcBorders>
              <w:top w:val="nil"/>
            </w:tcBorders>
          </w:tcPr>
          <w:p>
            <w:pPr/>
          </w:p>
        </w:tc>
        <w:tc>
          <w:tcPr>
            <w:tcW w:w="1289" w:type="dxa"/>
            <w:vMerge/>
          </w:tcPr>
          <w:p>
            <w:pPr/>
          </w:p>
        </w:tc>
        <w:tc>
          <w:tcPr>
            <w:tcW w:w="1174" w:type="dxa"/>
            <w:vMerge/>
          </w:tcPr>
          <w:p>
            <w:pPr/>
          </w:p>
        </w:tc>
        <w:tc>
          <w:tcPr>
            <w:tcW w:w="2314" w:type="dxa"/>
            <w:tcBorders>
              <w:top w:val="nil"/>
            </w:tcBorders>
          </w:tcPr>
          <w:p>
            <w:pPr>
              <w:pStyle w:val="TableParagraph"/>
              <w:spacing w:line="241" w:lineRule="exact"/>
              <w:ind w:left="100"/>
              <w:rPr>
                <w:sz w:val="22"/>
              </w:rPr>
            </w:pPr>
            <w:r>
              <w:rPr>
                <w:sz w:val="22"/>
              </w:rPr>
              <w:t>dosificarla.</w:t>
            </w:r>
          </w:p>
        </w:tc>
        <w:tc>
          <w:tcPr>
            <w:tcW w:w="3901" w:type="dxa"/>
            <w:tcBorders>
              <w:top w:val="nil"/>
            </w:tcBorders>
          </w:tcPr>
          <w:p>
            <w:pPr/>
          </w:p>
        </w:tc>
      </w:tr>
      <w:tr>
        <w:trPr>
          <w:trHeight w:val="269" w:hRule="exact"/>
        </w:trPr>
        <w:tc>
          <w:tcPr>
            <w:tcW w:w="1385" w:type="dxa"/>
            <w:tcBorders>
              <w:bottom w:val="nil"/>
            </w:tcBorders>
          </w:tcPr>
          <w:p>
            <w:pPr>
              <w:pStyle w:val="TableParagraph"/>
              <w:ind w:left="85" w:right="85"/>
              <w:jc w:val="center"/>
              <w:rPr>
                <w:sz w:val="22"/>
              </w:rPr>
            </w:pPr>
            <w:r>
              <w:rPr>
                <w:sz w:val="22"/>
              </w:rPr>
              <w:t>Edith</w:t>
            </w:r>
          </w:p>
        </w:tc>
        <w:tc>
          <w:tcPr>
            <w:tcW w:w="1274" w:type="dxa"/>
            <w:tcBorders>
              <w:bottom w:val="nil"/>
            </w:tcBorders>
          </w:tcPr>
          <w:p>
            <w:pPr>
              <w:pStyle w:val="TableParagraph"/>
              <w:ind w:left="100"/>
              <w:rPr>
                <w:sz w:val="22"/>
              </w:rPr>
            </w:pPr>
            <w:r>
              <w:rPr>
                <w:sz w:val="22"/>
              </w:rPr>
              <w:t>Licenciada</w:t>
            </w:r>
          </w:p>
        </w:tc>
        <w:tc>
          <w:tcPr>
            <w:tcW w:w="1887" w:type="dxa"/>
            <w:tcBorders>
              <w:bottom w:val="nil"/>
            </w:tcBorders>
          </w:tcPr>
          <w:p>
            <w:pPr>
              <w:pStyle w:val="TableParagraph"/>
              <w:tabs>
                <w:tab w:pos="942" w:val="left" w:leader="none"/>
              </w:tabs>
              <w:rPr>
                <w:sz w:val="22"/>
              </w:rPr>
            </w:pPr>
            <w:r>
              <w:rPr>
                <w:sz w:val="22"/>
              </w:rPr>
              <w:t>Tercer</w:t>
              <w:tab/>
              <w:t>Regidor.</w:t>
            </w:r>
          </w:p>
        </w:tc>
        <w:tc>
          <w:tcPr>
            <w:tcW w:w="1289" w:type="dxa"/>
            <w:tcBorders>
              <w:bottom w:val="nil"/>
            </w:tcBorders>
          </w:tcPr>
          <w:p>
            <w:pPr>
              <w:pStyle w:val="TableParagraph"/>
              <w:ind w:left="0" w:right="184"/>
              <w:jc w:val="right"/>
              <w:rPr>
                <w:sz w:val="22"/>
              </w:rPr>
            </w:pPr>
            <w:r>
              <w:rPr>
                <w:sz w:val="22"/>
              </w:rPr>
              <w:t>Polotitlán</w:t>
            </w:r>
          </w:p>
        </w:tc>
        <w:tc>
          <w:tcPr>
            <w:tcW w:w="1174" w:type="dxa"/>
            <w:tcBorders>
              <w:bottom w:val="nil"/>
            </w:tcBorders>
          </w:tcPr>
          <w:p>
            <w:pPr>
              <w:pStyle w:val="TableParagraph"/>
              <w:ind w:left="84" w:right="84"/>
              <w:jc w:val="center"/>
              <w:rPr>
                <w:sz w:val="22"/>
              </w:rPr>
            </w:pPr>
            <w:r>
              <w:rPr>
                <w:sz w:val="22"/>
              </w:rPr>
              <w:t>Polotitlán</w:t>
            </w:r>
          </w:p>
        </w:tc>
        <w:tc>
          <w:tcPr>
            <w:tcW w:w="2314" w:type="dxa"/>
            <w:tcBorders>
              <w:bottom w:val="nil"/>
            </w:tcBorders>
          </w:tcPr>
          <w:p>
            <w:pPr/>
          </w:p>
        </w:tc>
        <w:tc>
          <w:tcPr>
            <w:tcW w:w="3901" w:type="dxa"/>
            <w:tcBorders>
              <w:bottom w:val="nil"/>
            </w:tcBorders>
          </w:tcPr>
          <w:p>
            <w:pPr/>
          </w:p>
        </w:tc>
      </w:tr>
      <w:tr>
        <w:trPr>
          <w:trHeight w:val="252" w:hRule="exact"/>
        </w:trPr>
        <w:tc>
          <w:tcPr>
            <w:tcW w:w="1385" w:type="dxa"/>
            <w:tcBorders>
              <w:top w:val="nil"/>
              <w:bottom w:val="nil"/>
            </w:tcBorders>
          </w:tcPr>
          <w:p>
            <w:pPr>
              <w:pStyle w:val="TableParagraph"/>
              <w:spacing w:line="241" w:lineRule="exact"/>
              <w:ind w:left="85" w:right="85"/>
              <w:jc w:val="center"/>
              <w:rPr>
                <w:sz w:val="22"/>
              </w:rPr>
            </w:pPr>
            <w:r>
              <w:rPr>
                <w:sz w:val="22"/>
              </w:rPr>
              <w:t>Alvarado</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Encargada  de la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left="85" w:right="84"/>
              <w:jc w:val="center"/>
              <w:rPr>
                <w:sz w:val="22"/>
              </w:rPr>
            </w:pPr>
            <w:r>
              <w:rPr>
                <w:sz w:val="22"/>
              </w:rPr>
              <w:t>Herrera</w:t>
            </w:r>
          </w:p>
        </w:tc>
        <w:tc>
          <w:tcPr>
            <w:tcW w:w="1274" w:type="dxa"/>
            <w:tcBorders>
              <w:top w:val="nil"/>
              <w:bottom w:val="nil"/>
            </w:tcBorders>
          </w:tcPr>
          <w:p>
            <w:pPr>
              <w:pStyle w:val="TableParagraph"/>
              <w:spacing w:line="241" w:lineRule="exact"/>
              <w:ind w:left="100" w:right="98"/>
              <w:rPr>
                <w:sz w:val="22"/>
              </w:rPr>
            </w:pPr>
            <w:r>
              <w:rPr>
                <w:sz w:val="22"/>
              </w:rPr>
              <w:t>Derecho</w:t>
            </w: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942" w:right="943"/>
              <w:jc w:val="center"/>
              <w:rPr>
                <w:sz w:val="22"/>
              </w:rPr>
            </w:pPr>
            <w:r>
              <w:rPr>
                <w:sz w:val="22"/>
              </w:rPr>
              <w:t>N/C</w:t>
            </w:r>
          </w:p>
        </w:tc>
        <w:tc>
          <w:tcPr>
            <w:tcW w:w="3901" w:type="dxa"/>
            <w:tcBorders>
              <w:top w:val="nil"/>
              <w:bottom w:val="nil"/>
            </w:tcBorders>
          </w:tcPr>
          <w:p>
            <w:pPr>
              <w:pStyle w:val="TableParagraph"/>
              <w:spacing w:line="241" w:lineRule="exact"/>
              <w:ind w:left="1736" w:right="1736"/>
              <w:jc w:val="center"/>
              <w:rPr>
                <w:sz w:val="22"/>
              </w:rPr>
            </w:pPr>
            <w:r>
              <w:rPr>
                <w:sz w:val="22"/>
              </w:rPr>
              <w:t>N/C</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left="85" w:right="86"/>
              <w:jc w:val="center"/>
              <w:rPr>
                <w:sz w:val="22"/>
              </w:rPr>
            </w:pPr>
            <w:r>
              <w:rPr>
                <w:sz w:val="22"/>
              </w:rPr>
              <w:t>(4/9/2014)</w:t>
            </w: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41" w:lineRule="exact"/>
              <w:rPr>
                <w:sz w:val="22"/>
              </w:rPr>
            </w:pPr>
            <w:r>
              <w:rPr>
                <w:sz w:val="22"/>
              </w:rPr>
              <w:t>Económico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Urbano.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9" w:hRule="exact"/>
        </w:trPr>
        <w:tc>
          <w:tcPr>
            <w:tcW w:w="1385" w:type="dxa"/>
            <w:tcBorders>
              <w:bottom w:val="nil"/>
            </w:tcBorders>
          </w:tcPr>
          <w:p>
            <w:pPr>
              <w:pStyle w:val="TableParagraph"/>
              <w:ind w:left="85" w:right="85"/>
              <w:jc w:val="center"/>
              <w:rPr>
                <w:sz w:val="22"/>
              </w:rPr>
            </w:pPr>
            <w:r>
              <w:rPr>
                <w:sz w:val="22"/>
              </w:rPr>
              <w:t>Irma Lara</w:t>
            </w:r>
          </w:p>
        </w:tc>
        <w:tc>
          <w:tcPr>
            <w:tcW w:w="1274" w:type="dxa"/>
            <w:tcBorders>
              <w:bottom w:val="nil"/>
            </w:tcBorders>
          </w:tcPr>
          <w:p>
            <w:pPr>
              <w:pStyle w:val="TableParagraph"/>
              <w:ind w:left="134" w:right="98"/>
              <w:rPr>
                <w:sz w:val="22"/>
              </w:rPr>
            </w:pPr>
            <w:r>
              <w:rPr>
                <w:sz w:val="22"/>
              </w:rPr>
              <w:t>Secundari</w:t>
            </w:r>
          </w:p>
        </w:tc>
        <w:tc>
          <w:tcPr>
            <w:tcW w:w="1887" w:type="dxa"/>
            <w:tcBorders>
              <w:bottom w:val="nil"/>
            </w:tcBorders>
          </w:tcPr>
          <w:p>
            <w:pPr>
              <w:pStyle w:val="TableParagraph"/>
              <w:tabs>
                <w:tab w:pos="1528" w:val="left" w:leader="none"/>
              </w:tabs>
              <w:rPr>
                <w:sz w:val="22"/>
              </w:rPr>
            </w:pPr>
            <w:r>
              <w:rPr>
                <w:sz w:val="22"/>
              </w:rPr>
              <w:t>Coordinador</w:t>
              <w:tab/>
              <w:t>de</w:t>
            </w:r>
          </w:p>
        </w:tc>
        <w:tc>
          <w:tcPr>
            <w:tcW w:w="1289" w:type="dxa"/>
            <w:tcBorders>
              <w:bottom w:val="nil"/>
            </w:tcBorders>
          </w:tcPr>
          <w:p>
            <w:pPr>
              <w:pStyle w:val="TableParagraph"/>
              <w:ind w:left="0" w:right="184"/>
              <w:jc w:val="right"/>
              <w:rPr>
                <w:sz w:val="22"/>
              </w:rPr>
            </w:pPr>
            <w:r>
              <w:rPr>
                <w:sz w:val="22"/>
              </w:rPr>
              <w:t>Polotitlán</w:t>
            </w:r>
          </w:p>
        </w:tc>
        <w:tc>
          <w:tcPr>
            <w:tcW w:w="1174" w:type="dxa"/>
            <w:tcBorders>
              <w:bottom w:val="nil"/>
            </w:tcBorders>
          </w:tcPr>
          <w:p>
            <w:pPr>
              <w:pStyle w:val="TableParagraph"/>
              <w:ind w:left="84" w:right="84"/>
              <w:jc w:val="center"/>
              <w:rPr>
                <w:sz w:val="22"/>
              </w:rPr>
            </w:pPr>
            <w:r>
              <w:rPr>
                <w:sz w:val="22"/>
              </w:rPr>
              <w:t>Polotitlán</w:t>
            </w:r>
          </w:p>
        </w:tc>
        <w:tc>
          <w:tcPr>
            <w:tcW w:w="2314" w:type="dxa"/>
            <w:tcBorders>
              <w:bottom w:val="nil"/>
            </w:tcBorders>
          </w:tcPr>
          <w:p>
            <w:pPr>
              <w:pStyle w:val="TableParagraph"/>
              <w:tabs>
                <w:tab w:pos="1175" w:val="left" w:leader="none"/>
              </w:tabs>
              <w:ind w:left="100"/>
              <w:rPr>
                <w:sz w:val="22"/>
              </w:rPr>
            </w:pPr>
            <w:r>
              <w:rPr>
                <w:sz w:val="22"/>
              </w:rPr>
              <w:t>Estos</w:t>
              <w:tab/>
              <w:t>problemas</w:t>
            </w:r>
          </w:p>
        </w:tc>
        <w:tc>
          <w:tcPr>
            <w:tcW w:w="3901" w:type="dxa"/>
            <w:tcBorders>
              <w:bottom w:val="nil"/>
            </w:tcBorders>
          </w:tcPr>
          <w:p>
            <w:pPr>
              <w:pStyle w:val="TableParagraph"/>
              <w:tabs>
                <w:tab w:pos="686" w:val="left" w:leader="none"/>
                <w:tab w:pos="1285" w:val="left" w:leader="none"/>
                <w:tab w:pos="2382" w:val="left" w:leader="none"/>
                <w:tab w:pos="3615" w:val="left" w:leader="none"/>
              </w:tabs>
              <w:rPr>
                <w:sz w:val="22"/>
              </w:rPr>
            </w:pPr>
            <w:r>
              <w:rPr>
                <w:sz w:val="22"/>
              </w:rPr>
              <w:t>Los</w:t>
              <w:tab/>
              <w:t>que</w:t>
              <w:tab/>
              <w:t>deberían</w:t>
              <w:tab/>
              <w:t>solucionar</w:t>
              <w:tab/>
              <w:t>el</w:t>
            </w:r>
          </w:p>
        </w:tc>
      </w:tr>
      <w:tr>
        <w:trPr>
          <w:trHeight w:val="252" w:hRule="exact"/>
        </w:trPr>
        <w:tc>
          <w:tcPr>
            <w:tcW w:w="1385" w:type="dxa"/>
            <w:tcBorders>
              <w:top w:val="nil"/>
              <w:bottom w:val="nil"/>
            </w:tcBorders>
          </w:tcPr>
          <w:p>
            <w:pPr>
              <w:pStyle w:val="TableParagraph"/>
              <w:spacing w:line="241" w:lineRule="exact"/>
              <w:ind w:left="85" w:right="85"/>
              <w:jc w:val="center"/>
              <w:rPr>
                <w:sz w:val="22"/>
              </w:rPr>
            </w:pPr>
            <w:r>
              <w:rPr>
                <w:sz w:val="22"/>
              </w:rPr>
              <w:t>Ramírez</w:t>
            </w:r>
          </w:p>
        </w:tc>
        <w:tc>
          <w:tcPr>
            <w:tcW w:w="1274" w:type="dxa"/>
            <w:tcBorders>
              <w:top w:val="nil"/>
              <w:bottom w:val="nil"/>
            </w:tcBorders>
          </w:tcPr>
          <w:p>
            <w:pPr>
              <w:pStyle w:val="TableParagraph"/>
              <w:spacing w:line="241" w:lineRule="exact"/>
              <w:ind w:left="0" w:right="2"/>
              <w:jc w:val="center"/>
              <w:rPr>
                <w:sz w:val="22"/>
              </w:rPr>
            </w:pPr>
            <w:r>
              <w:rPr>
                <w:w w:val="100"/>
                <w:sz w:val="22"/>
              </w:rPr>
              <w:t>a</w:t>
            </w: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podrían</w:t>
            </w:r>
            <w:r>
              <w:rPr>
                <w:spacing w:val="53"/>
                <w:sz w:val="22"/>
              </w:rPr>
              <w:t> </w:t>
            </w:r>
            <w:r>
              <w:rPr>
                <w:sz w:val="22"/>
              </w:rPr>
              <w:t>solucionarse</w:t>
            </w:r>
          </w:p>
        </w:tc>
        <w:tc>
          <w:tcPr>
            <w:tcW w:w="3901" w:type="dxa"/>
            <w:tcBorders>
              <w:top w:val="nil"/>
              <w:bottom w:val="nil"/>
            </w:tcBorders>
          </w:tcPr>
          <w:p>
            <w:pPr>
              <w:pStyle w:val="TableParagraph"/>
              <w:spacing w:line="241" w:lineRule="exact"/>
              <w:rPr>
                <w:sz w:val="22"/>
              </w:rPr>
            </w:pPr>
            <w:r>
              <w:rPr>
                <w:sz w:val="22"/>
              </w:rPr>
              <w:t>problema   son   el   gobierno federal,</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62" w:val="left" w:leader="none"/>
                <w:tab w:pos="1235" w:val="left" w:leader="none"/>
              </w:tabs>
              <w:spacing w:line="241" w:lineRule="exact"/>
              <w:ind w:left="100"/>
              <w:rPr>
                <w:sz w:val="22"/>
              </w:rPr>
            </w:pPr>
            <w:r>
              <w:rPr>
                <w:sz w:val="22"/>
              </w:rPr>
              <w:t>con</w:t>
              <w:tab/>
              <w:t>una</w:t>
              <w:tab/>
              <w:t>campaña,</w:t>
            </w:r>
          </w:p>
        </w:tc>
        <w:tc>
          <w:tcPr>
            <w:tcW w:w="3901" w:type="dxa"/>
            <w:tcBorders>
              <w:top w:val="nil"/>
              <w:bottom w:val="nil"/>
            </w:tcBorders>
          </w:tcPr>
          <w:p>
            <w:pPr>
              <w:pStyle w:val="TableParagraph"/>
              <w:spacing w:line="241" w:lineRule="exact"/>
              <w:rPr>
                <w:sz w:val="22"/>
              </w:rPr>
            </w:pPr>
            <w:r>
              <w:rPr>
                <w:sz w:val="22"/>
              </w:rPr>
              <w:t>estatal  y   municipal  en conjunto con</w:t>
            </w: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(20/8/2014)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que en vez de  hacer</w:t>
            </w:r>
          </w:p>
        </w:tc>
        <w:tc>
          <w:tcPr>
            <w:tcW w:w="3901" w:type="dxa"/>
            <w:tcBorders>
              <w:top w:val="nil"/>
              <w:bottom w:val="nil"/>
            </w:tcBorders>
          </w:tcPr>
          <w:p>
            <w:pPr>
              <w:pStyle w:val="TableParagraph"/>
              <w:spacing w:line="242" w:lineRule="exact"/>
              <w:rPr>
                <w:sz w:val="22"/>
              </w:rPr>
            </w:pPr>
            <w:r>
              <w:rPr>
                <w:sz w:val="22"/>
              </w:rPr>
              <w:t>los beneficiarios.</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bordos  y  lagunas en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los municipios, hacer</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86" w:val="left" w:leader="none"/>
                <w:tab w:pos="2077" w:val="left" w:leader="none"/>
              </w:tabs>
              <w:spacing w:line="241" w:lineRule="exact"/>
              <w:ind w:left="100"/>
              <w:rPr>
                <w:sz w:val="22"/>
              </w:rPr>
            </w:pPr>
            <w:r>
              <w:rPr>
                <w:sz w:val="22"/>
              </w:rPr>
              <w:t>una</w:t>
              <w:tab/>
              <w:t>limpia</w:t>
              <w:tab/>
              <w:t>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7" w:val="left" w:leader="none"/>
              </w:tabs>
              <w:spacing w:line="241" w:lineRule="exact"/>
              <w:ind w:left="100"/>
              <w:rPr>
                <w:sz w:val="22"/>
              </w:rPr>
            </w:pPr>
            <w:r>
              <w:rPr>
                <w:sz w:val="22"/>
              </w:rPr>
              <w:t>reestructuración</w:t>
              <w:tab/>
              <w:t>de</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la laguna Huapango.</w:t>
            </w:r>
          </w:p>
        </w:tc>
        <w:tc>
          <w:tcPr>
            <w:tcW w:w="3901"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ind w:left="2220" w:right="778"/>
      </w:pPr>
      <w:r>
        <w:rPr/>
        <w:t>Tabla 6.12. Municipio de Polotitlán (Autoridades Municipales) (continuidad de la tabla)</w:t>
      </w:r>
    </w:p>
    <w:p>
      <w:pPr>
        <w:pStyle w:val="BodyText"/>
        <w:spacing w:before="1"/>
        <w:rPr>
          <w:b/>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2" w:hRule="exact"/>
        </w:trPr>
        <w:tc>
          <w:tcPr>
            <w:tcW w:w="13224" w:type="dxa"/>
            <w:gridSpan w:val="7"/>
            <w:shd w:val="clear" w:color="auto" w:fill="9BBA58"/>
          </w:tcPr>
          <w:p>
            <w:pPr>
              <w:pStyle w:val="TableParagraph"/>
              <w:spacing w:line="249" w:lineRule="exact"/>
              <w:ind w:left="4865" w:right="4870"/>
              <w:jc w:val="center"/>
              <w:rPr>
                <w:b/>
                <w:sz w:val="22"/>
              </w:rPr>
            </w:pPr>
            <w:r>
              <w:rPr>
                <w:b/>
                <w:sz w:val="22"/>
              </w:rPr>
              <w:t>POLOTITLÁN</w:t>
            </w:r>
          </w:p>
        </w:tc>
      </w:tr>
      <w:tr>
        <w:trPr>
          <w:trHeight w:val="525" w:hRule="exact"/>
        </w:trPr>
        <w:tc>
          <w:tcPr>
            <w:tcW w:w="4547" w:type="dxa"/>
            <w:gridSpan w:val="3"/>
            <w:vMerge w:val="restart"/>
            <w:shd w:val="clear" w:color="auto" w:fill="F9BE8F"/>
          </w:tcPr>
          <w:p>
            <w:pPr>
              <w:pStyle w:val="TableParagraph"/>
              <w:spacing w:before="6"/>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6"/>
              <w:ind w:left="0"/>
              <w:rPr>
                <w:b/>
                <w:sz w:val="21"/>
              </w:rPr>
            </w:pPr>
          </w:p>
          <w:p>
            <w:pPr>
              <w:pStyle w:val="TableParagraph"/>
              <w:ind w:left="2695"/>
              <w:rPr>
                <w:b/>
                <w:sz w:val="22"/>
              </w:rPr>
            </w:pPr>
            <w:r>
              <w:rPr>
                <w:b/>
                <w:sz w:val="22"/>
              </w:rPr>
              <w:t>PRINCIPIOS DE GOBERNANZA</w:t>
            </w:r>
          </w:p>
        </w:tc>
      </w:tr>
      <w:tr>
        <w:trPr>
          <w:trHeight w:val="263" w:hRule="exact"/>
        </w:trPr>
        <w:tc>
          <w:tcPr>
            <w:tcW w:w="4547" w:type="dxa"/>
            <w:gridSpan w:val="3"/>
            <w:vMerge/>
            <w:shd w:val="clear" w:color="auto" w:fill="F9BE8F"/>
          </w:tcPr>
          <w:p>
            <w:pPr/>
          </w:p>
        </w:tc>
        <w:tc>
          <w:tcPr>
            <w:tcW w:w="2462" w:type="dxa"/>
            <w:gridSpan w:val="2"/>
            <w:shd w:val="clear" w:color="auto" w:fill="92CDDC"/>
          </w:tcPr>
          <w:p>
            <w:pPr>
              <w:pStyle w:val="TableParagraph"/>
              <w:spacing w:line="252" w:lineRule="exact"/>
              <w:ind w:left="736"/>
              <w:rPr>
                <w:b/>
                <w:i/>
                <w:sz w:val="22"/>
              </w:rPr>
            </w:pPr>
            <w:r>
              <w:rPr>
                <w:b/>
                <w:i/>
                <w:sz w:val="22"/>
              </w:rPr>
              <w:t>Identidad</w:t>
            </w:r>
          </w:p>
        </w:tc>
        <w:tc>
          <w:tcPr>
            <w:tcW w:w="2314" w:type="dxa"/>
            <w:shd w:val="clear" w:color="auto" w:fill="92CDDC"/>
          </w:tcPr>
          <w:p>
            <w:pPr>
              <w:pStyle w:val="TableParagraph"/>
              <w:spacing w:line="252" w:lineRule="exact"/>
              <w:ind w:left="100"/>
              <w:rPr>
                <w:b/>
                <w:i/>
                <w:sz w:val="22"/>
              </w:rPr>
            </w:pPr>
            <w:r>
              <w:rPr>
                <w:b/>
                <w:i/>
                <w:sz w:val="22"/>
              </w:rPr>
              <w:t>Autogestión</w:t>
            </w:r>
          </w:p>
        </w:tc>
        <w:tc>
          <w:tcPr>
            <w:tcW w:w="3901" w:type="dxa"/>
            <w:shd w:val="clear" w:color="auto" w:fill="92CDDC"/>
          </w:tcPr>
          <w:p>
            <w:pPr>
              <w:pStyle w:val="TableParagraph"/>
              <w:spacing w:line="252" w:lineRule="exact"/>
              <w:rPr>
                <w:b/>
                <w:i/>
                <w:sz w:val="22"/>
              </w:rPr>
            </w:pPr>
            <w:r>
              <w:rPr>
                <w:b/>
                <w:i/>
                <w:sz w:val="22"/>
              </w:rPr>
              <w:t>Gobernabilidad</w:t>
            </w:r>
          </w:p>
        </w:tc>
      </w:tr>
      <w:tr>
        <w:trPr>
          <w:trHeight w:val="265"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spacing w:line="248" w:lineRule="exact"/>
              <w:ind w:left="100"/>
              <w:rPr>
                <w:b/>
                <w:sz w:val="22"/>
              </w:rPr>
            </w:pPr>
            <w:r>
              <w:rPr>
                <w:b/>
                <w:sz w:val="22"/>
              </w:rPr>
              <w:t>¿Es   importante   la</w:t>
            </w:r>
          </w:p>
        </w:tc>
        <w:tc>
          <w:tcPr>
            <w:tcW w:w="3901" w:type="dxa"/>
            <w:tcBorders>
              <w:bottom w:val="nil"/>
            </w:tcBorders>
            <w:shd w:val="clear" w:color="auto" w:fill="92CDDC"/>
          </w:tcPr>
          <w:p>
            <w:pPr>
              <w:pStyle w:val="TableParagraph"/>
              <w:spacing w:line="248" w:lineRule="exact"/>
              <w:rPr>
                <w:b/>
                <w:sz w:val="22"/>
              </w:rPr>
            </w:pPr>
            <w:r>
              <w:rPr>
                <w:b/>
                <w:sz w:val="22"/>
              </w:rPr>
              <w:t>¿Quiénes y para qué usan el agua</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2"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2" w:lineRule="exact"/>
              <w:rPr>
                <w:b/>
                <w:sz w:val="22"/>
              </w:rPr>
            </w:pPr>
            <w:r>
              <w:rPr>
                <w:b/>
                <w:sz w:val="22"/>
              </w:rPr>
              <w:t>nació?</w:t>
            </w:r>
          </w:p>
        </w:tc>
        <w:tc>
          <w:tcPr>
            <w:tcW w:w="1174" w:type="dxa"/>
            <w:tcBorders>
              <w:top w:val="nil"/>
              <w:bottom w:val="nil"/>
            </w:tcBorders>
            <w:shd w:val="clear" w:color="auto" w:fill="92CDDC"/>
          </w:tcPr>
          <w:p>
            <w:pPr>
              <w:pStyle w:val="TableParagraph"/>
              <w:spacing w:line="242" w:lineRule="exact"/>
              <w:rPr>
                <w:b/>
                <w:sz w:val="22"/>
              </w:rPr>
            </w:pPr>
            <w:r>
              <w:rPr>
                <w:b/>
                <w:sz w:val="22"/>
              </w:rPr>
              <w:t>vive?</w:t>
            </w:r>
          </w:p>
        </w:tc>
        <w:tc>
          <w:tcPr>
            <w:tcW w:w="2314" w:type="dxa"/>
            <w:tcBorders>
              <w:top w:val="nil"/>
              <w:bottom w:val="nil"/>
            </w:tcBorders>
            <w:shd w:val="clear" w:color="auto" w:fill="92CDDC"/>
          </w:tcPr>
          <w:p>
            <w:pPr>
              <w:pStyle w:val="TableParagraph"/>
              <w:tabs>
                <w:tab w:pos="1945" w:val="left" w:leader="none"/>
              </w:tabs>
              <w:spacing w:line="242"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2" w:lineRule="exact"/>
              <w:rPr>
                <w:b/>
                <w:sz w:val="22"/>
              </w:rPr>
            </w:pPr>
            <w:r>
              <w:rPr>
                <w:b/>
                <w:sz w:val="22"/>
              </w:rPr>
              <w:t>de la laguna de Huapango?</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1" w:lineRule="exact"/>
              <w:ind w:left="100"/>
              <w:rPr>
                <w:b/>
                <w:sz w:val="22"/>
              </w:rPr>
            </w:pPr>
            <w:r>
              <w:rPr>
                <w:b/>
                <w:sz w:val="22"/>
              </w:rPr>
              <w:t>Huapango  para </w:t>
            </w:r>
            <w:r>
              <w:rPr>
                <w:b/>
                <w:spacing w:val="55"/>
                <w:sz w:val="22"/>
              </w:rPr>
              <w:t> </w:t>
            </w:r>
            <w:r>
              <w:rPr>
                <w:b/>
                <w:sz w:val="22"/>
              </w:rPr>
              <w:t>su</w:t>
            </w:r>
          </w:p>
        </w:tc>
        <w:tc>
          <w:tcPr>
            <w:tcW w:w="3901"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tabs>
                <w:tab w:pos="1518" w:val="left" w:leader="none"/>
                <w:tab w:pos="2015" w:val="left" w:leader="none"/>
              </w:tabs>
              <w:spacing w:line="241" w:lineRule="exact"/>
              <w:ind w:left="100"/>
              <w:rPr>
                <w:b/>
                <w:sz w:val="22"/>
              </w:rPr>
            </w:pPr>
            <w:r>
              <w:rPr>
                <w:b/>
                <w:sz w:val="22"/>
              </w:rPr>
              <w:t>municipio</w:t>
              <w:tab/>
              <w:t>y</w:t>
              <w:tab/>
              <w:t>la</w:t>
            </w:r>
          </w:p>
        </w:tc>
        <w:tc>
          <w:tcPr>
            <w:tcW w:w="3901" w:type="dxa"/>
            <w:tcBorders>
              <w:top w:val="nil"/>
            </w:tcBorders>
            <w:shd w:val="clear" w:color="auto" w:fill="92CDDC"/>
          </w:tcPr>
          <w:p>
            <w:pPr/>
          </w:p>
        </w:tc>
      </w:tr>
    </w:tbl>
    <w:p>
      <w:pPr>
        <w:spacing w:after="0"/>
        <w:sectPr>
          <w:pgSz w:w="15840" w:h="12240" w:orient="landscape"/>
          <w:pgMar w:header="0" w:footer="94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526" w:hRule="exact"/>
        </w:trPr>
        <w:tc>
          <w:tcPr>
            <w:tcW w:w="1385" w:type="dxa"/>
            <w:shd w:val="clear" w:color="auto" w:fill="F9BE8F"/>
          </w:tcPr>
          <w:p>
            <w:pPr/>
          </w:p>
        </w:tc>
        <w:tc>
          <w:tcPr>
            <w:tcW w:w="1274" w:type="dxa"/>
            <w:shd w:val="clear" w:color="auto" w:fill="F9BE8F"/>
          </w:tcPr>
          <w:p>
            <w:pPr/>
          </w:p>
        </w:tc>
        <w:tc>
          <w:tcPr>
            <w:tcW w:w="1887" w:type="dxa"/>
            <w:shd w:val="clear" w:color="auto" w:fill="F9BE8F"/>
          </w:tcPr>
          <w:p>
            <w:pPr/>
          </w:p>
        </w:tc>
        <w:tc>
          <w:tcPr>
            <w:tcW w:w="1289" w:type="dxa"/>
            <w:shd w:val="clear" w:color="auto" w:fill="92CDDC"/>
          </w:tcPr>
          <w:p>
            <w:pPr/>
          </w:p>
        </w:tc>
        <w:tc>
          <w:tcPr>
            <w:tcW w:w="1174" w:type="dxa"/>
            <w:shd w:val="clear" w:color="auto" w:fill="92CDDC"/>
          </w:tcPr>
          <w:p>
            <w:pPr/>
          </w:p>
        </w:tc>
        <w:tc>
          <w:tcPr>
            <w:tcW w:w="2314" w:type="dxa"/>
            <w:shd w:val="clear" w:color="auto" w:fill="92CDDC"/>
          </w:tcPr>
          <w:p>
            <w:pPr>
              <w:pStyle w:val="TableParagraph"/>
              <w:spacing w:line="248" w:lineRule="exact"/>
              <w:ind w:left="100"/>
              <w:rPr>
                <w:b/>
                <w:sz w:val="22"/>
              </w:rPr>
            </w:pPr>
            <w:r>
              <w:rPr>
                <w:b/>
                <w:sz w:val="22"/>
              </w:rPr>
              <w:t>región?</w:t>
            </w:r>
          </w:p>
        </w:tc>
        <w:tc>
          <w:tcPr>
            <w:tcW w:w="3901" w:type="dxa"/>
            <w:shd w:val="clear" w:color="auto" w:fill="92CDDC"/>
          </w:tcPr>
          <w:p>
            <w:pPr/>
          </w:p>
        </w:tc>
      </w:tr>
      <w:tr>
        <w:trPr>
          <w:trHeight w:val="266" w:hRule="exact"/>
        </w:trPr>
        <w:tc>
          <w:tcPr>
            <w:tcW w:w="1385" w:type="dxa"/>
            <w:tcBorders>
              <w:bottom w:val="nil"/>
            </w:tcBorders>
          </w:tcPr>
          <w:p>
            <w:pPr>
              <w:pStyle w:val="TableParagraph"/>
              <w:spacing w:line="251" w:lineRule="exact"/>
              <w:rPr>
                <w:sz w:val="22"/>
              </w:rPr>
            </w:pPr>
            <w:r>
              <w:rPr>
                <w:sz w:val="22"/>
              </w:rPr>
              <w:t>María Silvia</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spacing w:line="251" w:lineRule="exact"/>
              <w:ind w:left="410"/>
              <w:rPr>
                <w:sz w:val="22"/>
              </w:rPr>
            </w:pPr>
            <w:r>
              <w:rPr>
                <w:sz w:val="22"/>
              </w:rPr>
              <w:t>Presidenta</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ind w:left="59" w:right="109"/>
              <w:jc w:val="center"/>
              <w:rPr>
                <w:sz w:val="22"/>
              </w:rPr>
            </w:pPr>
            <w:r>
              <w:rPr>
                <w:sz w:val="22"/>
              </w:rPr>
              <w:t>Polotitlán</w:t>
            </w:r>
          </w:p>
        </w:tc>
        <w:tc>
          <w:tcPr>
            <w:tcW w:w="2314" w:type="dxa"/>
            <w:tcBorders>
              <w:bottom w:val="nil"/>
            </w:tcBorders>
          </w:tcPr>
          <w:p>
            <w:pPr>
              <w:pStyle w:val="TableParagraph"/>
              <w:tabs>
                <w:tab w:pos="901" w:val="left" w:leader="none"/>
                <w:tab w:pos="1472" w:val="left" w:leader="none"/>
                <w:tab w:pos="1968" w:val="left" w:leader="none"/>
              </w:tabs>
              <w:spacing w:line="251" w:lineRule="exact"/>
              <w:ind w:left="100"/>
              <w:rPr>
                <w:sz w:val="22"/>
              </w:rPr>
            </w:pPr>
            <w:r>
              <w:rPr>
                <w:sz w:val="22"/>
              </w:rPr>
              <w:t>¡Claro</w:t>
              <w:tab/>
              <w:t>que</w:t>
              <w:tab/>
              <w:t>sí!,</w:t>
              <w:tab/>
              <w:t>es</w:t>
            </w:r>
          </w:p>
        </w:tc>
        <w:tc>
          <w:tcPr>
            <w:tcW w:w="3901" w:type="dxa"/>
            <w:tcBorders>
              <w:bottom w:val="nil"/>
            </w:tcBorders>
          </w:tcPr>
          <w:p>
            <w:pPr>
              <w:pStyle w:val="TableParagraph"/>
              <w:spacing w:line="251" w:lineRule="exact"/>
              <w:rPr>
                <w:sz w:val="22"/>
              </w:rPr>
            </w:pPr>
            <w:r>
              <w:rPr>
                <w:sz w:val="22"/>
              </w:rPr>
              <w:t>En el municipio utilizan el agua en 19</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Barquet</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586" w:val="left" w:leader="none"/>
              </w:tabs>
              <w:spacing w:line="241" w:lineRule="exact"/>
              <w:ind w:left="100"/>
              <w:rPr>
                <w:sz w:val="22"/>
              </w:rPr>
            </w:pPr>
            <w:r>
              <w:rPr>
                <w:sz w:val="22"/>
              </w:rPr>
              <w:t>una</w:t>
              <w:tab/>
              <w:t>fuente</w:t>
            </w:r>
          </w:p>
        </w:tc>
        <w:tc>
          <w:tcPr>
            <w:tcW w:w="3901" w:type="dxa"/>
            <w:tcBorders>
              <w:top w:val="nil"/>
              <w:bottom w:val="nil"/>
            </w:tcBorders>
          </w:tcPr>
          <w:p>
            <w:pPr>
              <w:pStyle w:val="TableParagraph"/>
              <w:spacing w:line="241" w:lineRule="exact"/>
              <w:rPr>
                <w:sz w:val="22"/>
              </w:rPr>
            </w:pPr>
            <w:r>
              <w:rPr>
                <w:sz w:val="22"/>
              </w:rPr>
              <w:t>localidades para riego.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Muñoz</w:t>
            </w:r>
          </w:p>
        </w:tc>
        <w:tc>
          <w:tcPr>
            <w:tcW w:w="1274" w:type="dxa"/>
            <w:tcBorders>
              <w:top w:val="nil"/>
              <w:bottom w:val="nil"/>
            </w:tcBorders>
          </w:tcPr>
          <w:p>
            <w:pPr>
              <w:pStyle w:val="TableParagraph"/>
              <w:spacing w:line="241" w:lineRule="exact"/>
              <w:ind w:left="100"/>
              <w:rPr>
                <w:sz w:val="22"/>
              </w:rPr>
            </w:pPr>
            <w:r>
              <w:rPr>
                <w:sz w:val="22"/>
              </w:rPr>
              <w:t>Administra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abastecedora,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ción de</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definitivamente</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rPr>
                <w:sz w:val="22"/>
              </w:rPr>
            </w:pPr>
            <w:r>
              <w:rPr>
                <w:sz w:val="22"/>
              </w:rPr>
              <w:t>(20/8/2014)</w:t>
            </w:r>
          </w:p>
        </w:tc>
        <w:tc>
          <w:tcPr>
            <w:tcW w:w="1274" w:type="dxa"/>
            <w:tcBorders>
              <w:top w:val="nil"/>
              <w:bottom w:val="nil"/>
            </w:tcBorders>
          </w:tcPr>
          <w:p>
            <w:pPr>
              <w:pStyle w:val="TableParagraph"/>
              <w:spacing w:line="241" w:lineRule="exact"/>
              <w:ind w:left="100" w:right="98"/>
              <w:rPr>
                <w:sz w:val="22"/>
              </w:rPr>
            </w:pPr>
            <w:r>
              <w:rPr>
                <w:sz w:val="22"/>
              </w:rPr>
              <w:t>Empresas</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80" w:val="left" w:leader="none"/>
              </w:tabs>
              <w:spacing w:line="241" w:lineRule="exact"/>
              <w:ind w:left="100"/>
              <w:rPr>
                <w:sz w:val="22"/>
              </w:rPr>
            </w:pPr>
            <w:r>
              <w:rPr>
                <w:sz w:val="22"/>
              </w:rPr>
              <w:t>directa</w:t>
              <w:tab/>
              <w:t>o</w:t>
            </w:r>
          </w:p>
        </w:tc>
        <w:tc>
          <w:tcPr>
            <w:tcW w:w="3901" w:type="dxa"/>
            <w:tcBorders>
              <w:top w:val="nil"/>
              <w:bottom w:val="nil"/>
            </w:tcBorders>
          </w:tcPr>
          <w:p>
            <w:pP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indirectamente, </w:t>
            </w:r>
            <w:r>
              <w:rPr>
                <w:spacing w:val="52"/>
                <w:sz w:val="22"/>
              </w:rPr>
              <w:t> </w:t>
            </w:r>
            <w:r>
              <w:rPr>
                <w:sz w:val="22"/>
              </w:rPr>
              <w:t>más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en  la  región,  en   el</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67" w:val="left" w:leader="none"/>
              </w:tabs>
              <w:spacing w:line="242" w:lineRule="exact"/>
              <w:ind w:left="100"/>
              <w:rPr>
                <w:sz w:val="22"/>
              </w:rPr>
            </w:pPr>
            <w:r>
              <w:rPr>
                <w:sz w:val="22"/>
              </w:rPr>
              <w:t>municipio</w:t>
              <w:tab/>
              <w:t>se</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200" w:val="right" w:leader="none"/>
              </w:tabs>
              <w:spacing w:line="241" w:lineRule="exact"/>
              <w:ind w:left="100"/>
              <w:rPr>
                <w:sz w:val="22"/>
              </w:rPr>
            </w:pPr>
            <w:r>
              <w:rPr>
                <w:sz w:val="22"/>
              </w:rPr>
              <w:t>benefician</w:t>
              <w:tab/>
              <w:t>19</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localidades  que  son</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la mayoría.</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left="326" w:right="127"/>
              <w:rPr>
                <w:sz w:val="22"/>
              </w:rPr>
            </w:pPr>
            <w:r>
              <w:rPr>
                <w:sz w:val="22"/>
              </w:rPr>
              <w:t>Marcos</w:t>
            </w:r>
          </w:p>
        </w:tc>
        <w:tc>
          <w:tcPr>
            <w:tcW w:w="1274" w:type="dxa"/>
            <w:tcBorders>
              <w:bottom w:val="nil"/>
            </w:tcBorders>
          </w:tcPr>
          <w:p>
            <w:pPr>
              <w:pStyle w:val="TableParagraph"/>
              <w:spacing w:line="251" w:lineRule="exact"/>
              <w:ind w:left="100" w:right="98"/>
              <w:rPr>
                <w:sz w:val="22"/>
              </w:rPr>
            </w:pPr>
            <w:r>
              <w:rPr>
                <w:sz w:val="22"/>
              </w:rPr>
              <w:t>Médico</w:t>
            </w:r>
          </w:p>
        </w:tc>
        <w:tc>
          <w:tcPr>
            <w:tcW w:w="1887" w:type="dxa"/>
            <w:tcBorders>
              <w:bottom w:val="nil"/>
            </w:tcBorders>
          </w:tcPr>
          <w:p>
            <w:pPr>
              <w:pStyle w:val="TableParagraph"/>
              <w:spacing w:line="251" w:lineRule="exact"/>
              <w:rPr>
                <w:sz w:val="22"/>
              </w:rPr>
            </w:pPr>
            <w:r>
              <w:rPr>
                <w:sz w:val="22"/>
              </w:rPr>
              <w:t>Primer Regidor.</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ind w:left="84" w:right="84"/>
              <w:jc w:val="center"/>
              <w:rPr>
                <w:sz w:val="22"/>
              </w:rPr>
            </w:pPr>
            <w:r>
              <w:rPr>
                <w:sz w:val="22"/>
              </w:rPr>
              <w:t>Polotitlán</w:t>
            </w:r>
          </w:p>
        </w:tc>
        <w:tc>
          <w:tcPr>
            <w:tcW w:w="2314" w:type="dxa"/>
            <w:tcBorders>
              <w:bottom w:val="nil"/>
            </w:tcBorders>
          </w:tcPr>
          <w:p>
            <w:pPr>
              <w:pStyle w:val="TableParagraph"/>
              <w:spacing w:line="251" w:lineRule="exact"/>
              <w:ind w:left="100"/>
              <w:rPr>
                <w:sz w:val="22"/>
              </w:rPr>
            </w:pPr>
            <w:r>
              <w:rPr>
                <w:sz w:val="22"/>
              </w:rPr>
              <w:t>¡Por supuesto!, es un</w:t>
            </w:r>
          </w:p>
        </w:tc>
        <w:tc>
          <w:tcPr>
            <w:tcW w:w="3901" w:type="dxa"/>
            <w:tcBorders>
              <w:bottom w:val="nil"/>
            </w:tcBorders>
          </w:tcPr>
          <w:p>
            <w:pPr>
              <w:pStyle w:val="TableParagraph"/>
              <w:spacing w:line="251" w:lineRule="exact"/>
              <w:rPr>
                <w:sz w:val="22"/>
              </w:rPr>
            </w:pPr>
            <w:r>
              <w:rPr>
                <w:sz w:val="22"/>
              </w:rPr>
              <w:t>Para   riego.   De   los   más   de  </w:t>
            </w:r>
            <w:r>
              <w:rPr>
                <w:spacing w:val="53"/>
                <w:sz w:val="22"/>
              </w:rPr>
              <w:t> </w:t>
            </w:r>
            <w:r>
              <w:rPr>
                <w:sz w:val="22"/>
              </w:rPr>
              <w:t>mil</w:t>
            </w:r>
          </w:p>
        </w:tc>
      </w:tr>
      <w:tr>
        <w:trPr>
          <w:trHeight w:val="253" w:hRule="exact"/>
        </w:trPr>
        <w:tc>
          <w:tcPr>
            <w:tcW w:w="1385" w:type="dxa"/>
            <w:tcBorders>
              <w:top w:val="nil"/>
              <w:bottom w:val="nil"/>
            </w:tcBorders>
          </w:tcPr>
          <w:p>
            <w:pPr>
              <w:pStyle w:val="TableParagraph"/>
              <w:spacing w:line="242" w:lineRule="exact"/>
              <w:ind w:left="326" w:right="127"/>
              <w:rPr>
                <w:sz w:val="22"/>
              </w:rPr>
            </w:pPr>
            <w:r>
              <w:rPr>
                <w:sz w:val="22"/>
              </w:rPr>
              <w:t>Silverio</w:t>
            </w:r>
          </w:p>
        </w:tc>
        <w:tc>
          <w:tcPr>
            <w:tcW w:w="1274" w:type="dxa"/>
            <w:tcBorders>
              <w:top w:val="nil"/>
              <w:bottom w:val="nil"/>
            </w:tcBorders>
          </w:tcPr>
          <w:p>
            <w:pPr>
              <w:pStyle w:val="TableParagraph"/>
              <w:spacing w:line="242" w:lineRule="exact"/>
              <w:ind w:left="100" w:right="98"/>
              <w:rPr>
                <w:sz w:val="22"/>
              </w:rPr>
            </w:pPr>
            <w:r>
              <w:rPr>
                <w:sz w:val="22"/>
              </w:rPr>
              <w:t>Veterinari</w:t>
            </w:r>
          </w:p>
        </w:tc>
        <w:tc>
          <w:tcPr>
            <w:tcW w:w="1887" w:type="dxa"/>
            <w:tcBorders>
              <w:top w:val="nil"/>
              <w:bottom w:val="nil"/>
            </w:tcBorders>
          </w:tcPr>
          <w:p>
            <w:pPr>
              <w:pStyle w:val="TableParagraph"/>
              <w:spacing w:line="242" w:lineRule="exact"/>
              <w:rPr>
                <w:sz w:val="22"/>
              </w:rPr>
            </w:pPr>
            <w:r>
              <w:rPr>
                <w:sz w:val="22"/>
              </w:rPr>
              <w:t>Encargado de la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46" w:val="left" w:leader="none"/>
                <w:tab w:pos="1847" w:val="left" w:leader="none"/>
              </w:tabs>
              <w:spacing w:line="242" w:lineRule="exact"/>
              <w:ind w:left="100"/>
              <w:rPr>
                <w:sz w:val="22"/>
              </w:rPr>
            </w:pPr>
            <w:r>
              <w:rPr>
                <w:sz w:val="22"/>
              </w:rPr>
              <w:t>icono,</w:t>
              <w:tab/>
              <w:t>no</w:t>
              <w:tab/>
              <w:t>nos</w:t>
            </w:r>
          </w:p>
        </w:tc>
        <w:tc>
          <w:tcPr>
            <w:tcW w:w="3901" w:type="dxa"/>
            <w:tcBorders>
              <w:top w:val="nil"/>
              <w:bottom w:val="nil"/>
            </w:tcBorders>
          </w:tcPr>
          <w:p>
            <w:pPr>
              <w:pStyle w:val="TableParagraph"/>
              <w:tabs>
                <w:tab w:pos="1369" w:val="left" w:leader="none"/>
                <w:tab w:pos="2000" w:val="left" w:leader="none"/>
                <w:tab w:pos="3108" w:val="left" w:leader="none"/>
                <w:tab w:pos="3617" w:val="left" w:leader="none"/>
              </w:tabs>
              <w:spacing w:line="242" w:lineRule="exact"/>
              <w:rPr>
                <w:sz w:val="22"/>
              </w:rPr>
            </w:pPr>
            <w:r>
              <w:rPr>
                <w:sz w:val="22"/>
              </w:rPr>
              <w:t>ejidatarios</w:t>
              <w:tab/>
              <w:t>que</w:t>
              <w:tab/>
              <w:t>tenemos</w:t>
              <w:tab/>
              <w:t>en</w:t>
              <w:tab/>
              <w:t>el</w:t>
            </w:r>
          </w:p>
        </w:tc>
      </w:tr>
      <w:tr>
        <w:trPr>
          <w:trHeight w:val="253" w:hRule="exact"/>
        </w:trPr>
        <w:tc>
          <w:tcPr>
            <w:tcW w:w="1385" w:type="dxa"/>
            <w:tcBorders>
              <w:top w:val="nil"/>
              <w:bottom w:val="nil"/>
            </w:tcBorders>
          </w:tcPr>
          <w:p>
            <w:pPr>
              <w:pStyle w:val="TableParagraph"/>
              <w:spacing w:line="241" w:lineRule="exact"/>
              <w:ind w:left="307" w:right="127"/>
              <w:rPr>
                <w:sz w:val="22"/>
              </w:rPr>
            </w:pPr>
            <w:r>
              <w:rPr>
                <w:sz w:val="22"/>
              </w:rPr>
              <w:t>Basurto</w:t>
            </w:r>
          </w:p>
        </w:tc>
        <w:tc>
          <w:tcPr>
            <w:tcW w:w="1274" w:type="dxa"/>
            <w:tcBorders>
              <w:top w:val="nil"/>
              <w:bottom w:val="nil"/>
            </w:tcBorders>
          </w:tcPr>
          <w:p>
            <w:pPr>
              <w:pStyle w:val="TableParagraph"/>
              <w:spacing w:line="241" w:lineRule="exact"/>
              <w:ind w:left="100"/>
              <w:rPr>
                <w:sz w:val="22"/>
              </w:rPr>
            </w:pPr>
            <w:r>
              <w:rPr>
                <w:w w:val="100"/>
                <w:sz w:val="22"/>
              </w:rPr>
              <w:t>o</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consideraríamos</w:t>
            </w:r>
          </w:p>
        </w:tc>
        <w:tc>
          <w:tcPr>
            <w:tcW w:w="3901" w:type="dxa"/>
            <w:tcBorders>
              <w:top w:val="nil"/>
              <w:bottom w:val="nil"/>
            </w:tcBorders>
          </w:tcPr>
          <w:p>
            <w:pPr>
              <w:pStyle w:val="TableParagraph"/>
              <w:spacing w:line="241" w:lineRule="exact"/>
              <w:rPr>
                <w:sz w:val="22"/>
              </w:rPr>
            </w:pPr>
            <w:r>
              <w:rPr>
                <w:sz w:val="22"/>
              </w:rPr>
              <w:t>municipio, 300 son usuarios y el resto</w:t>
            </w:r>
          </w:p>
        </w:tc>
      </w:tr>
      <w:tr>
        <w:trPr>
          <w:trHeight w:val="253" w:hRule="exact"/>
        </w:trPr>
        <w:tc>
          <w:tcPr>
            <w:tcW w:w="1385" w:type="dxa"/>
            <w:tcBorders>
              <w:top w:val="nil"/>
              <w:bottom w:val="nil"/>
            </w:tcBorders>
          </w:tcPr>
          <w:p>
            <w:pPr>
              <w:pStyle w:val="TableParagraph"/>
              <w:spacing w:line="242" w:lineRule="exact"/>
              <w:ind w:left="271" w:right="127"/>
              <w:rPr>
                <w:sz w:val="22"/>
              </w:rPr>
            </w:pPr>
            <w:r>
              <w:rPr>
                <w:sz w:val="22"/>
              </w:rPr>
              <w:t>Esquivel</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campesinos   sino  la</w:t>
            </w:r>
          </w:p>
        </w:tc>
        <w:tc>
          <w:tcPr>
            <w:tcW w:w="3901" w:type="dxa"/>
            <w:tcBorders>
              <w:top w:val="nil"/>
              <w:bottom w:val="nil"/>
            </w:tcBorders>
          </w:tcPr>
          <w:p>
            <w:pPr>
              <w:pStyle w:val="TableParagraph"/>
              <w:spacing w:line="242" w:lineRule="exact"/>
              <w:rPr>
                <w:sz w:val="22"/>
              </w:rPr>
            </w:pPr>
            <w:r>
              <w:rPr>
                <w:sz w:val="22"/>
              </w:rPr>
              <w:t>de temporal.</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Agropecuario 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tuviéramos.</w:t>
            </w: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ind w:left="124"/>
              <w:rPr>
                <w:sz w:val="22"/>
              </w:rPr>
            </w:pPr>
            <w:r>
              <w:rPr>
                <w:sz w:val="22"/>
              </w:rPr>
              <w:t>(20/8/2014)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Ecología</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left="436" w:right="127"/>
              <w:rPr>
                <w:sz w:val="22"/>
              </w:rPr>
            </w:pPr>
            <w:r>
              <w:rPr>
                <w:sz w:val="22"/>
              </w:rPr>
              <w:t>Edith</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tabs>
                <w:tab w:pos="942" w:val="left" w:leader="none"/>
              </w:tabs>
              <w:spacing w:line="251" w:lineRule="exact"/>
              <w:rPr>
                <w:sz w:val="22"/>
              </w:rPr>
            </w:pPr>
            <w:r>
              <w:rPr>
                <w:sz w:val="22"/>
              </w:rPr>
              <w:t>Tercer</w:t>
              <w:tab/>
              <w:t>Regidor.</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ind w:left="84" w:right="84"/>
              <w:jc w:val="center"/>
              <w:rPr>
                <w:sz w:val="22"/>
              </w:rPr>
            </w:pPr>
            <w:r>
              <w:rPr>
                <w:sz w:val="22"/>
              </w:rPr>
              <w:t>Polotitlán</w:t>
            </w:r>
          </w:p>
        </w:tc>
        <w:tc>
          <w:tcPr>
            <w:tcW w:w="2314" w:type="dxa"/>
            <w:tcBorders>
              <w:bottom w:val="nil"/>
            </w:tcBorders>
          </w:tcPr>
          <w:p>
            <w:pPr>
              <w:pStyle w:val="TableParagraph"/>
              <w:tabs>
                <w:tab w:pos="1245" w:val="left" w:leader="none"/>
              </w:tabs>
              <w:spacing w:line="251" w:lineRule="exact"/>
              <w:ind w:left="100"/>
              <w:rPr>
                <w:sz w:val="22"/>
              </w:rPr>
            </w:pPr>
            <w:r>
              <w:rPr>
                <w:sz w:val="22"/>
              </w:rPr>
              <w:t>Sí</w:t>
              <w:tab/>
              <w:t>considero</w:t>
            </w:r>
          </w:p>
        </w:tc>
        <w:tc>
          <w:tcPr>
            <w:tcW w:w="3901" w:type="dxa"/>
            <w:tcBorders>
              <w:bottom w:val="nil"/>
            </w:tcBorders>
          </w:tcPr>
          <w:p>
            <w:pPr>
              <w:pStyle w:val="TableParagraph"/>
              <w:spacing w:line="251" w:lineRule="exact"/>
              <w:rPr>
                <w:sz w:val="22"/>
              </w:rPr>
            </w:pPr>
            <w:r>
              <w:rPr>
                <w:sz w:val="22"/>
              </w:rPr>
              <w:t>El agua de la laguna es utilizada para</w:t>
            </w:r>
          </w:p>
        </w:tc>
      </w:tr>
      <w:tr>
        <w:trPr>
          <w:trHeight w:val="253" w:hRule="exact"/>
        </w:trPr>
        <w:tc>
          <w:tcPr>
            <w:tcW w:w="1385" w:type="dxa"/>
            <w:tcBorders>
              <w:top w:val="nil"/>
              <w:bottom w:val="nil"/>
            </w:tcBorders>
          </w:tcPr>
          <w:p>
            <w:pPr>
              <w:pStyle w:val="TableParagraph"/>
              <w:spacing w:line="241" w:lineRule="exact"/>
              <w:ind w:left="254" w:right="127"/>
              <w:rPr>
                <w:sz w:val="22"/>
              </w:rPr>
            </w:pPr>
            <w:r>
              <w:rPr>
                <w:sz w:val="22"/>
              </w:rPr>
              <w:t>Alvarado</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Encargada  de la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importante  la laguna</w:t>
            </w:r>
          </w:p>
        </w:tc>
        <w:tc>
          <w:tcPr>
            <w:tcW w:w="3901" w:type="dxa"/>
            <w:tcBorders>
              <w:top w:val="nil"/>
              <w:bottom w:val="nil"/>
            </w:tcBorders>
          </w:tcPr>
          <w:p>
            <w:pPr>
              <w:pStyle w:val="TableParagraph"/>
              <w:spacing w:line="241" w:lineRule="exact"/>
              <w:rPr>
                <w:sz w:val="22"/>
              </w:rPr>
            </w:pPr>
            <w:r>
              <w:rPr>
                <w:sz w:val="22"/>
              </w:rPr>
              <w:t>riego y la agricultura.</w:t>
            </w:r>
          </w:p>
        </w:tc>
      </w:tr>
      <w:tr>
        <w:trPr>
          <w:trHeight w:val="253" w:hRule="exact"/>
        </w:trPr>
        <w:tc>
          <w:tcPr>
            <w:tcW w:w="1385" w:type="dxa"/>
            <w:tcBorders>
              <w:top w:val="nil"/>
              <w:bottom w:val="nil"/>
            </w:tcBorders>
          </w:tcPr>
          <w:p>
            <w:pPr>
              <w:pStyle w:val="TableParagraph"/>
              <w:spacing w:line="242" w:lineRule="exact"/>
              <w:ind w:left="314" w:right="127"/>
              <w:rPr>
                <w:sz w:val="22"/>
              </w:rPr>
            </w:pPr>
            <w:r>
              <w:rPr>
                <w:sz w:val="22"/>
              </w:rPr>
              <w:t>Herrera</w:t>
            </w:r>
          </w:p>
        </w:tc>
        <w:tc>
          <w:tcPr>
            <w:tcW w:w="1274" w:type="dxa"/>
            <w:tcBorders>
              <w:top w:val="nil"/>
              <w:bottom w:val="nil"/>
            </w:tcBorders>
          </w:tcPr>
          <w:p>
            <w:pPr>
              <w:pStyle w:val="TableParagraph"/>
              <w:spacing w:line="242" w:lineRule="exact"/>
              <w:ind w:left="100" w:right="98"/>
              <w:rPr>
                <w:sz w:val="22"/>
              </w:rPr>
            </w:pPr>
            <w:r>
              <w:rPr>
                <w:sz w:val="22"/>
              </w:rPr>
              <w:t>Derecho</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Huapango porque 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la  que  abastece  los</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left="184" w:right="127"/>
              <w:rPr>
                <w:sz w:val="22"/>
              </w:rPr>
            </w:pPr>
            <w:r>
              <w:rPr>
                <w:sz w:val="22"/>
              </w:rPr>
              <w:t>(4/9/2014)</w:t>
            </w: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42" w:lineRule="exact"/>
              <w:rPr>
                <w:sz w:val="22"/>
              </w:rPr>
            </w:pPr>
            <w:r>
              <w:rPr>
                <w:sz w:val="22"/>
              </w:rPr>
              <w:t>Económico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036" w:val="left" w:leader="none"/>
                <w:tab w:pos="1614" w:val="left" w:leader="none"/>
              </w:tabs>
              <w:spacing w:line="242" w:lineRule="exact"/>
              <w:ind w:left="100"/>
              <w:rPr>
                <w:sz w:val="22"/>
              </w:rPr>
            </w:pPr>
            <w:r>
              <w:rPr>
                <w:sz w:val="22"/>
              </w:rPr>
              <w:t>riegos</w:t>
              <w:tab/>
              <w:t>de</w:t>
              <w:tab/>
              <w:t>varios</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municipios.</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Urbano.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left="215" w:right="127"/>
              <w:rPr>
                <w:sz w:val="22"/>
              </w:rPr>
            </w:pPr>
            <w:r>
              <w:rPr>
                <w:sz w:val="22"/>
              </w:rPr>
              <w:t>Irma Lara</w:t>
            </w:r>
          </w:p>
        </w:tc>
        <w:tc>
          <w:tcPr>
            <w:tcW w:w="1274" w:type="dxa"/>
            <w:tcBorders>
              <w:bottom w:val="nil"/>
            </w:tcBorders>
          </w:tcPr>
          <w:p>
            <w:pPr>
              <w:pStyle w:val="TableParagraph"/>
              <w:spacing w:line="251" w:lineRule="exact"/>
              <w:ind w:left="134" w:right="98"/>
              <w:rPr>
                <w:sz w:val="22"/>
              </w:rPr>
            </w:pPr>
            <w:r>
              <w:rPr>
                <w:sz w:val="22"/>
              </w:rPr>
              <w:t>Secundari</w:t>
            </w:r>
          </w:p>
        </w:tc>
        <w:tc>
          <w:tcPr>
            <w:tcW w:w="1887" w:type="dxa"/>
            <w:tcBorders>
              <w:bottom w:val="nil"/>
            </w:tcBorders>
          </w:tcPr>
          <w:p>
            <w:pPr>
              <w:pStyle w:val="TableParagraph"/>
              <w:tabs>
                <w:tab w:pos="1528" w:val="left" w:leader="none"/>
              </w:tabs>
              <w:spacing w:line="251" w:lineRule="exact"/>
              <w:rPr>
                <w:sz w:val="22"/>
              </w:rPr>
            </w:pPr>
            <w:r>
              <w:rPr>
                <w:sz w:val="22"/>
              </w:rPr>
              <w:t>Coordinador</w:t>
              <w:tab/>
              <w:t>de</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ind w:left="84" w:right="84"/>
              <w:jc w:val="center"/>
              <w:rPr>
                <w:sz w:val="22"/>
              </w:rPr>
            </w:pPr>
            <w:r>
              <w:rPr>
                <w:sz w:val="22"/>
              </w:rPr>
              <w:t>Polotitlán</w:t>
            </w:r>
          </w:p>
        </w:tc>
        <w:tc>
          <w:tcPr>
            <w:tcW w:w="2314" w:type="dxa"/>
            <w:tcBorders>
              <w:bottom w:val="nil"/>
            </w:tcBorders>
          </w:tcPr>
          <w:p>
            <w:pPr>
              <w:pStyle w:val="TableParagraph"/>
              <w:tabs>
                <w:tab w:pos="779" w:val="left" w:leader="none"/>
                <w:tab w:pos="1784" w:val="left" w:leader="none"/>
              </w:tabs>
              <w:spacing w:line="251" w:lineRule="exact"/>
              <w:ind w:left="100"/>
              <w:rPr>
                <w:sz w:val="22"/>
              </w:rPr>
            </w:pPr>
            <w:r>
              <w:rPr>
                <w:sz w:val="22"/>
              </w:rPr>
              <w:t>¡Sí</w:t>
              <w:tab/>
              <w:t>claro!,</w:t>
              <w:tab/>
              <w:t>muy</w:t>
            </w:r>
          </w:p>
        </w:tc>
        <w:tc>
          <w:tcPr>
            <w:tcW w:w="3901" w:type="dxa"/>
            <w:tcBorders>
              <w:bottom w:val="nil"/>
            </w:tcBorders>
          </w:tcPr>
          <w:p>
            <w:pPr>
              <w:pStyle w:val="TableParagraph"/>
              <w:spacing w:line="251" w:lineRule="exact"/>
              <w:rPr>
                <w:sz w:val="22"/>
              </w:rPr>
            </w:pPr>
            <w:r>
              <w:rPr>
                <w:sz w:val="22"/>
              </w:rPr>
              <w:t>El  agua  la  utilizan  para  regar    los</w:t>
            </w:r>
          </w:p>
        </w:tc>
      </w:tr>
      <w:tr>
        <w:trPr>
          <w:trHeight w:val="253" w:hRule="exact"/>
        </w:trPr>
        <w:tc>
          <w:tcPr>
            <w:tcW w:w="1385" w:type="dxa"/>
            <w:tcBorders>
              <w:top w:val="nil"/>
              <w:bottom w:val="nil"/>
            </w:tcBorders>
          </w:tcPr>
          <w:p>
            <w:pPr>
              <w:pStyle w:val="TableParagraph"/>
              <w:spacing w:line="241" w:lineRule="exact"/>
              <w:ind w:left="271" w:right="127"/>
              <w:rPr>
                <w:sz w:val="22"/>
              </w:rPr>
            </w:pPr>
            <w:r>
              <w:rPr>
                <w:sz w:val="22"/>
              </w:rPr>
              <w:t>Ramírez</w:t>
            </w:r>
          </w:p>
        </w:tc>
        <w:tc>
          <w:tcPr>
            <w:tcW w:w="1274" w:type="dxa"/>
            <w:tcBorders>
              <w:top w:val="nil"/>
              <w:bottom w:val="nil"/>
            </w:tcBorders>
          </w:tcPr>
          <w:p>
            <w:pPr>
              <w:pStyle w:val="TableParagraph"/>
              <w:spacing w:line="241" w:lineRule="exact"/>
              <w:ind w:left="0" w:right="2"/>
              <w:jc w:val="center"/>
              <w:rPr>
                <w:sz w:val="22"/>
              </w:rPr>
            </w:pPr>
            <w:r>
              <w:rPr>
                <w:w w:val="100"/>
                <w:sz w:val="22"/>
              </w:rPr>
              <w:t>a</w:t>
            </w: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importante, es la que</w:t>
            </w:r>
          </w:p>
        </w:tc>
        <w:tc>
          <w:tcPr>
            <w:tcW w:w="3901" w:type="dxa"/>
            <w:tcBorders>
              <w:top w:val="nil"/>
              <w:bottom w:val="nil"/>
            </w:tcBorders>
          </w:tcPr>
          <w:p>
            <w:pPr>
              <w:pStyle w:val="TableParagraph"/>
              <w:spacing w:line="241" w:lineRule="exact"/>
              <w:rPr>
                <w:sz w:val="22"/>
              </w:rPr>
            </w:pPr>
            <w:r>
              <w:rPr>
                <w:sz w:val="22"/>
              </w:rPr>
              <w:t>predios  de  siembra  de  maíz,  trigo,</w:t>
            </w: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3"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abastece los riegos.</w:t>
            </w:r>
          </w:p>
        </w:tc>
        <w:tc>
          <w:tcPr>
            <w:tcW w:w="3901" w:type="dxa"/>
            <w:tcBorders>
              <w:top w:val="nil"/>
              <w:bottom w:val="nil"/>
            </w:tcBorders>
          </w:tcPr>
          <w:p>
            <w:pPr>
              <w:pStyle w:val="TableParagraph"/>
              <w:spacing w:line="243" w:lineRule="exact"/>
              <w:rPr>
                <w:sz w:val="22"/>
              </w:rPr>
            </w:pPr>
            <w:r>
              <w:rPr>
                <w:sz w:val="22"/>
              </w:rPr>
              <w:t>praderas   para   las   vacas   y   para</w:t>
            </w:r>
          </w:p>
        </w:tc>
      </w:tr>
      <w:tr>
        <w:trPr>
          <w:trHeight w:val="502" w:hRule="exact"/>
        </w:trPr>
        <w:tc>
          <w:tcPr>
            <w:tcW w:w="1385" w:type="dxa"/>
            <w:tcBorders>
              <w:top w:val="nil"/>
            </w:tcBorders>
          </w:tcPr>
          <w:p>
            <w:pPr>
              <w:pStyle w:val="TableParagraph"/>
              <w:spacing w:line="241" w:lineRule="exact"/>
              <w:ind w:left="124"/>
              <w:rPr>
                <w:sz w:val="22"/>
              </w:rPr>
            </w:pPr>
            <w:r>
              <w:rPr>
                <w:sz w:val="22"/>
              </w:rPr>
              <w:t>(20/8/2014)</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1" w:lineRule="exact"/>
              <w:rPr>
                <w:sz w:val="22"/>
              </w:rPr>
            </w:pPr>
            <w:r>
              <w:rPr>
                <w:sz w:val="22"/>
              </w:rPr>
              <w:t>abrevaderos.</w:t>
            </w: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footerReference w:type="default" r:id="rId191"/>
          <w:pgSz w:w="15840" w:h="12240" w:orient="landscape"/>
          <w:pgMar w:footer="1003" w:header="0" w:top="1140" w:bottom="1200" w:left="1200" w:right="1180"/>
          <w:pgNumType w:start="350"/>
        </w:sectPr>
      </w:pPr>
    </w:p>
    <w:p>
      <w:pPr>
        <w:pStyle w:val="BodyText"/>
        <w:rPr>
          <w:sz w:val="20"/>
        </w:rPr>
      </w:pPr>
    </w:p>
    <w:p>
      <w:pPr>
        <w:pStyle w:val="BodyText"/>
        <w:spacing w:before="1"/>
      </w:pPr>
    </w:p>
    <w:p>
      <w:pPr>
        <w:pStyle w:val="Heading6"/>
        <w:spacing w:before="73"/>
        <w:ind w:left="2220" w:right="778"/>
      </w:pPr>
      <w:r>
        <w:rPr/>
        <w:t>Tabla 6.12. Municipio de Polotitlán (Autoridades Municipales) (continuidad de la tabla)</w:t>
      </w:r>
    </w:p>
    <w:p>
      <w:pPr>
        <w:pStyle w:val="BodyText"/>
        <w:spacing w:before="11"/>
        <w:rPr>
          <w:b/>
          <w:sz w:val="2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3" w:hRule="exact"/>
        </w:trPr>
        <w:tc>
          <w:tcPr>
            <w:tcW w:w="13224" w:type="dxa"/>
            <w:gridSpan w:val="7"/>
            <w:shd w:val="clear" w:color="auto" w:fill="9BBA58"/>
          </w:tcPr>
          <w:p>
            <w:pPr>
              <w:pStyle w:val="TableParagraph"/>
              <w:spacing w:line="248" w:lineRule="exact"/>
              <w:ind w:left="4865" w:right="4870"/>
              <w:jc w:val="center"/>
              <w:rPr>
                <w:b/>
                <w:sz w:val="22"/>
              </w:rPr>
            </w:pPr>
            <w:r>
              <w:rPr>
                <w:b/>
                <w:sz w:val="22"/>
              </w:rPr>
              <w:t>POLOTITLÁN</w:t>
            </w:r>
          </w:p>
        </w:tc>
      </w:tr>
      <w:tr>
        <w:trPr>
          <w:trHeight w:val="523" w:hRule="exact"/>
        </w:trPr>
        <w:tc>
          <w:tcPr>
            <w:tcW w:w="4547" w:type="dxa"/>
            <w:gridSpan w:val="3"/>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1023"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Cultura</w:t>
            </w:r>
          </w:p>
        </w:tc>
        <w:tc>
          <w:tcPr>
            <w:tcW w:w="3901" w:type="dxa"/>
            <w:shd w:val="clear" w:color="auto" w:fill="92CDDC"/>
          </w:tcPr>
          <w:p>
            <w:pPr>
              <w:pStyle w:val="TableParagraph"/>
              <w:tabs>
                <w:tab w:pos="2418" w:val="left" w:leader="none"/>
              </w:tabs>
              <w:ind w:right="100"/>
              <w:jc w:val="both"/>
              <w:rPr>
                <w:b/>
                <w:i/>
                <w:sz w:val="22"/>
              </w:rPr>
            </w:pPr>
            <w:r>
              <w:rPr>
                <w:b/>
                <w:i/>
                <w:sz w:val="22"/>
              </w:rPr>
              <w:t>Democracia y voluntariedad de la </w:t>
            </w:r>
            <w:r>
              <w:rPr>
                <w:b/>
                <w:i/>
                <w:sz w:val="22"/>
              </w:rPr>
              <w:t>sociedad,</w:t>
              <w:tab/>
            </w:r>
            <w:r>
              <w:rPr>
                <w:b/>
                <w:i/>
                <w:spacing w:val="-1"/>
                <w:sz w:val="22"/>
              </w:rPr>
              <w:t>cooperación, </w:t>
            </w:r>
            <w:r>
              <w:rPr>
                <w:b/>
                <w:i/>
                <w:sz w:val="22"/>
              </w:rPr>
              <w:t>participación social y relaciones intermunicipales</w:t>
            </w:r>
          </w:p>
        </w:tc>
      </w:tr>
      <w:tr>
        <w:trPr>
          <w:trHeight w:val="265"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spacing w:line="248" w:lineRule="exact"/>
              <w:ind w:left="100"/>
              <w:rPr>
                <w:b/>
                <w:sz w:val="22"/>
              </w:rPr>
            </w:pPr>
            <w:r>
              <w:rPr>
                <w:b/>
                <w:sz w:val="22"/>
              </w:rPr>
              <w:t>¿Considera  que  se</w:t>
            </w:r>
          </w:p>
        </w:tc>
        <w:tc>
          <w:tcPr>
            <w:tcW w:w="3901" w:type="dxa"/>
            <w:tcBorders>
              <w:bottom w:val="nil"/>
            </w:tcBorders>
            <w:shd w:val="clear" w:color="auto" w:fill="92CDDC"/>
          </w:tcPr>
          <w:p>
            <w:pPr>
              <w:pStyle w:val="TableParagraph"/>
              <w:spacing w:line="248" w:lineRule="exact"/>
              <w:rPr>
                <w:b/>
                <w:sz w:val="22"/>
              </w:rPr>
            </w:pPr>
            <w:r>
              <w:rPr>
                <w:b/>
                <w:sz w:val="22"/>
              </w:rPr>
              <w:t>¿Considera que debe cooperar su</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2"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2" w:lineRule="exact"/>
              <w:rPr>
                <w:b/>
                <w:sz w:val="22"/>
              </w:rPr>
            </w:pPr>
            <w:r>
              <w:rPr>
                <w:b/>
                <w:sz w:val="22"/>
              </w:rPr>
              <w:t>nació?</w:t>
            </w:r>
          </w:p>
        </w:tc>
        <w:tc>
          <w:tcPr>
            <w:tcW w:w="1174" w:type="dxa"/>
            <w:tcBorders>
              <w:top w:val="nil"/>
              <w:bottom w:val="nil"/>
            </w:tcBorders>
            <w:shd w:val="clear" w:color="auto" w:fill="92CDDC"/>
          </w:tcPr>
          <w:p>
            <w:pPr>
              <w:pStyle w:val="TableParagraph"/>
              <w:spacing w:line="242" w:lineRule="exact"/>
              <w:rPr>
                <w:b/>
                <w:sz w:val="22"/>
              </w:rPr>
            </w:pPr>
            <w:r>
              <w:rPr>
                <w:b/>
                <w:sz w:val="22"/>
              </w:rPr>
              <w:t>vive?</w:t>
            </w:r>
          </w:p>
        </w:tc>
        <w:tc>
          <w:tcPr>
            <w:tcW w:w="2314" w:type="dxa"/>
            <w:tcBorders>
              <w:top w:val="nil"/>
              <w:bottom w:val="nil"/>
            </w:tcBorders>
            <w:shd w:val="clear" w:color="auto" w:fill="92CDDC"/>
          </w:tcPr>
          <w:p>
            <w:pPr>
              <w:pStyle w:val="TableParagraph"/>
              <w:tabs>
                <w:tab w:pos="583" w:val="left" w:leader="none"/>
                <w:tab w:pos="2017" w:val="left" w:leader="none"/>
              </w:tabs>
              <w:spacing w:line="242" w:lineRule="exact"/>
              <w:ind w:left="100"/>
              <w:rPr>
                <w:b/>
                <w:sz w:val="22"/>
              </w:rPr>
            </w:pPr>
            <w:r>
              <w:rPr>
                <w:b/>
                <w:sz w:val="22"/>
              </w:rPr>
              <w:t>ha</w:t>
              <w:tab/>
              <w:t>deteriorado</w:t>
              <w:tab/>
              <w:t>la</w:t>
            </w:r>
          </w:p>
        </w:tc>
        <w:tc>
          <w:tcPr>
            <w:tcW w:w="3901" w:type="dxa"/>
            <w:tcBorders>
              <w:top w:val="nil"/>
              <w:bottom w:val="nil"/>
            </w:tcBorders>
            <w:shd w:val="clear" w:color="auto" w:fill="92CDDC"/>
          </w:tcPr>
          <w:p>
            <w:pPr>
              <w:pStyle w:val="TableParagraph"/>
              <w:spacing w:line="242" w:lineRule="exact"/>
              <w:rPr>
                <w:b/>
                <w:sz w:val="22"/>
              </w:rPr>
            </w:pPr>
            <w:r>
              <w:rPr>
                <w:b/>
                <w:sz w:val="22"/>
              </w:rPr>
              <w:t>municipio para que no se deteriore</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945" w:val="left" w:leader="none"/>
              </w:tabs>
              <w:spacing w:line="241"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1" w:lineRule="exact"/>
              <w:rPr>
                <w:b/>
                <w:sz w:val="22"/>
              </w:rPr>
            </w:pPr>
            <w:r>
              <w:rPr>
                <w:b/>
                <w:sz w:val="22"/>
              </w:rPr>
              <w:t>la laguna de Huapango?</w:t>
            </w: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Huapango?</w:t>
            </w:r>
          </w:p>
        </w:tc>
        <w:tc>
          <w:tcPr>
            <w:tcW w:w="3901"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rPr>
                <w:sz w:val="22"/>
              </w:rPr>
            </w:pPr>
            <w:r>
              <w:rPr>
                <w:sz w:val="22"/>
              </w:rPr>
              <w:t>María Silvia</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spacing w:line="251" w:lineRule="exact"/>
              <w:ind w:left="410"/>
              <w:rPr>
                <w:sz w:val="22"/>
              </w:rPr>
            </w:pPr>
            <w:r>
              <w:rPr>
                <w:sz w:val="22"/>
              </w:rPr>
              <w:t>Presidenta</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rPr>
                <w:sz w:val="22"/>
              </w:rPr>
            </w:pPr>
            <w:r>
              <w:rPr>
                <w:sz w:val="22"/>
              </w:rPr>
              <w:t>Polotitlán</w:t>
            </w:r>
          </w:p>
        </w:tc>
        <w:tc>
          <w:tcPr>
            <w:tcW w:w="2314" w:type="dxa"/>
            <w:tcBorders>
              <w:bottom w:val="nil"/>
            </w:tcBorders>
          </w:tcPr>
          <w:p>
            <w:pPr>
              <w:pStyle w:val="TableParagraph"/>
              <w:spacing w:line="251" w:lineRule="exact"/>
              <w:ind w:left="100"/>
              <w:rPr>
                <w:sz w:val="22"/>
              </w:rPr>
            </w:pPr>
            <w:r>
              <w:rPr>
                <w:sz w:val="22"/>
              </w:rPr>
              <w:t>Sí porque no se le ha</w:t>
            </w:r>
          </w:p>
        </w:tc>
        <w:tc>
          <w:tcPr>
            <w:tcW w:w="3901" w:type="dxa"/>
            <w:tcBorders>
              <w:bottom w:val="nil"/>
            </w:tcBorders>
          </w:tcPr>
          <w:p>
            <w:pPr>
              <w:pStyle w:val="TableParagraph"/>
              <w:spacing w:line="251" w:lineRule="exact"/>
              <w:rPr>
                <w:sz w:val="22"/>
              </w:rPr>
            </w:pPr>
            <w:r>
              <w:rPr>
                <w:sz w:val="22"/>
              </w:rPr>
              <w:t>Debería porque es un beneficio  para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Barquet</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30" w:val="left" w:leader="none"/>
              </w:tabs>
              <w:spacing w:line="241" w:lineRule="exact"/>
              <w:ind w:left="100"/>
              <w:rPr>
                <w:sz w:val="22"/>
              </w:rPr>
            </w:pPr>
            <w:r>
              <w:rPr>
                <w:sz w:val="22"/>
              </w:rPr>
              <w:t>dado</w:t>
              <w:tab/>
              <w:t>el</w:t>
            </w:r>
          </w:p>
        </w:tc>
        <w:tc>
          <w:tcPr>
            <w:tcW w:w="3901" w:type="dxa"/>
            <w:tcBorders>
              <w:top w:val="nil"/>
              <w:bottom w:val="nil"/>
            </w:tcBorders>
          </w:tcPr>
          <w:p>
            <w:pPr>
              <w:pStyle w:val="TableParagraph"/>
              <w:spacing w:line="241" w:lineRule="exact"/>
              <w:rPr>
                <w:sz w:val="22"/>
              </w:rPr>
            </w:pPr>
            <w:r>
              <w:rPr>
                <w:sz w:val="22"/>
              </w:rPr>
              <w:t>el municipio.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Muñoz</w:t>
            </w:r>
          </w:p>
        </w:tc>
        <w:tc>
          <w:tcPr>
            <w:tcW w:w="1274" w:type="dxa"/>
            <w:tcBorders>
              <w:top w:val="nil"/>
              <w:bottom w:val="nil"/>
            </w:tcBorders>
          </w:tcPr>
          <w:p>
            <w:pPr>
              <w:pStyle w:val="TableParagraph"/>
              <w:spacing w:line="242" w:lineRule="exact"/>
              <w:ind w:left="100"/>
              <w:rPr>
                <w:sz w:val="22"/>
              </w:rPr>
            </w:pPr>
            <w:r>
              <w:rPr>
                <w:sz w:val="22"/>
              </w:rPr>
              <w:t>Administra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mantenimiento   ni  el</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ción de</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cuidado necesarios.</w:t>
            </w:r>
          </w:p>
        </w:tc>
        <w:tc>
          <w:tcPr>
            <w:tcW w:w="3901" w:type="dxa"/>
            <w:tcBorders>
              <w:top w:val="nil"/>
              <w:bottom w:val="nil"/>
            </w:tcBorders>
          </w:tcPr>
          <w:p>
            <w:pPr/>
          </w:p>
        </w:tc>
      </w:tr>
      <w:tr>
        <w:trPr>
          <w:trHeight w:val="249" w:hRule="exact"/>
        </w:trPr>
        <w:tc>
          <w:tcPr>
            <w:tcW w:w="1385" w:type="dxa"/>
            <w:tcBorders>
              <w:top w:val="nil"/>
            </w:tcBorders>
          </w:tcPr>
          <w:p>
            <w:pPr>
              <w:pStyle w:val="TableParagraph"/>
              <w:spacing w:line="242" w:lineRule="exact"/>
              <w:rPr>
                <w:sz w:val="22"/>
              </w:rPr>
            </w:pPr>
            <w:r>
              <w:rPr>
                <w:sz w:val="22"/>
              </w:rPr>
              <w:t>(20/8/2014)</w:t>
            </w:r>
          </w:p>
        </w:tc>
        <w:tc>
          <w:tcPr>
            <w:tcW w:w="1274" w:type="dxa"/>
            <w:tcBorders>
              <w:top w:val="nil"/>
            </w:tcBorders>
          </w:tcPr>
          <w:p>
            <w:pPr>
              <w:pStyle w:val="TableParagraph"/>
              <w:spacing w:line="242" w:lineRule="exact"/>
              <w:ind w:left="100" w:right="98"/>
              <w:rPr>
                <w:sz w:val="22"/>
              </w:rPr>
            </w:pPr>
            <w:r>
              <w:rPr>
                <w:sz w:val="22"/>
              </w:rPr>
              <w:t>Empresas</w:t>
            </w: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8" w:hRule="exact"/>
        </w:trPr>
        <w:tc>
          <w:tcPr>
            <w:tcW w:w="1385" w:type="dxa"/>
            <w:tcBorders>
              <w:bottom w:val="nil"/>
            </w:tcBorders>
          </w:tcPr>
          <w:p>
            <w:pPr>
              <w:pStyle w:val="TableParagraph"/>
              <w:spacing w:line="251" w:lineRule="exact"/>
              <w:ind w:left="326" w:right="127"/>
              <w:rPr>
                <w:sz w:val="22"/>
              </w:rPr>
            </w:pPr>
            <w:r>
              <w:rPr>
                <w:sz w:val="22"/>
              </w:rPr>
              <w:t>Marcos</w:t>
            </w:r>
          </w:p>
        </w:tc>
        <w:tc>
          <w:tcPr>
            <w:tcW w:w="1274" w:type="dxa"/>
            <w:tcBorders>
              <w:bottom w:val="nil"/>
            </w:tcBorders>
          </w:tcPr>
          <w:p>
            <w:pPr>
              <w:pStyle w:val="TableParagraph"/>
              <w:spacing w:line="251" w:lineRule="exact"/>
              <w:ind w:left="100" w:right="98"/>
              <w:rPr>
                <w:sz w:val="22"/>
              </w:rPr>
            </w:pPr>
            <w:r>
              <w:rPr>
                <w:sz w:val="22"/>
              </w:rPr>
              <w:t>Médico</w:t>
            </w:r>
          </w:p>
        </w:tc>
        <w:tc>
          <w:tcPr>
            <w:tcW w:w="1887" w:type="dxa"/>
            <w:tcBorders>
              <w:bottom w:val="nil"/>
            </w:tcBorders>
          </w:tcPr>
          <w:p>
            <w:pPr>
              <w:pStyle w:val="TableParagraph"/>
              <w:spacing w:line="251" w:lineRule="exact"/>
              <w:rPr>
                <w:sz w:val="22"/>
              </w:rPr>
            </w:pPr>
            <w:r>
              <w:rPr>
                <w:sz w:val="22"/>
              </w:rPr>
              <w:t>Primer Regidor.</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ind w:left="129"/>
              <w:rPr>
                <w:sz w:val="22"/>
              </w:rPr>
            </w:pPr>
            <w:r>
              <w:rPr>
                <w:sz w:val="22"/>
              </w:rPr>
              <w:t>Polotitlán</w:t>
            </w:r>
          </w:p>
        </w:tc>
        <w:tc>
          <w:tcPr>
            <w:tcW w:w="2314" w:type="dxa"/>
            <w:tcBorders>
              <w:bottom w:val="nil"/>
            </w:tcBorders>
          </w:tcPr>
          <w:p>
            <w:pPr>
              <w:pStyle w:val="TableParagraph"/>
              <w:tabs>
                <w:tab w:pos="585" w:val="left" w:leader="none"/>
                <w:tab w:pos="1484" w:val="left" w:leader="none"/>
                <w:tab w:pos="1957" w:val="left" w:leader="none"/>
              </w:tabs>
              <w:spacing w:line="251" w:lineRule="exact"/>
              <w:ind w:left="100"/>
              <w:rPr>
                <w:sz w:val="22"/>
              </w:rPr>
            </w:pPr>
            <w:r>
              <w:rPr>
                <w:sz w:val="22"/>
              </w:rPr>
              <w:t>La</w:t>
              <w:tab/>
              <w:t>laguna</w:t>
              <w:tab/>
              <w:t>se</w:t>
              <w:tab/>
              <w:t>ha</w:t>
            </w:r>
          </w:p>
        </w:tc>
        <w:tc>
          <w:tcPr>
            <w:tcW w:w="3901" w:type="dxa"/>
            <w:tcBorders>
              <w:bottom w:val="nil"/>
            </w:tcBorders>
          </w:tcPr>
          <w:p>
            <w:pPr>
              <w:pStyle w:val="TableParagraph"/>
              <w:spacing w:line="251" w:lineRule="exact"/>
              <w:rPr>
                <w:sz w:val="22"/>
              </w:rPr>
            </w:pPr>
            <w:r>
              <w:rPr>
                <w:sz w:val="22"/>
              </w:rPr>
              <w:t>El  municipio  si  debe  cooperar para</w:t>
            </w:r>
          </w:p>
        </w:tc>
      </w:tr>
      <w:tr>
        <w:trPr>
          <w:trHeight w:val="253" w:hRule="exact"/>
        </w:trPr>
        <w:tc>
          <w:tcPr>
            <w:tcW w:w="1385" w:type="dxa"/>
            <w:tcBorders>
              <w:top w:val="nil"/>
              <w:bottom w:val="nil"/>
            </w:tcBorders>
          </w:tcPr>
          <w:p>
            <w:pPr>
              <w:pStyle w:val="TableParagraph"/>
              <w:spacing w:line="242" w:lineRule="exact"/>
              <w:ind w:left="326" w:right="127"/>
              <w:rPr>
                <w:sz w:val="22"/>
              </w:rPr>
            </w:pPr>
            <w:r>
              <w:rPr>
                <w:sz w:val="22"/>
              </w:rPr>
              <w:t>Silverio</w:t>
            </w:r>
          </w:p>
        </w:tc>
        <w:tc>
          <w:tcPr>
            <w:tcW w:w="1274" w:type="dxa"/>
            <w:tcBorders>
              <w:top w:val="nil"/>
              <w:bottom w:val="nil"/>
            </w:tcBorders>
          </w:tcPr>
          <w:p>
            <w:pPr>
              <w:pStyle w:val="TableParagraph"/>
              <w:spacing w:line="242" w:lineRule="exact"/>
              <w:ind w:left="100" w:right="98"/>
              <w:rPr>
                <w:sz w:val="22"/>
              </w:rPr>
            </w:pPr>
            <w:r>
              <w:rPr>
                <w:sz w:val="22"/>
              </w:rPr>
              <w:t>Veterinari</w:t>
            </w:r>
          </w:p>
        </w:tc>
        <w:tc>
          <w:tcPr>
            <w:tcW w:w="1887" w:type="dxa"/>
            <w:tcBorders>
              <w:top w:val="nil"/>
              <w:bottom w:val="nil"/>
            </w:tcBorders>
          </w:tcPr>
          <w:p>
            <w:pPr>
              <w:pStyle w:val="TableParagraph"/>
              <w:spacing w:line="242" w:lineRule="exact"/>
              <w:rPr>
                <w:sz w:val="22"/>
              </w:rPr>
            </w:pPr>
            <w:r>
              <w:rPr>
                <w:sz w:val="22"/>
              </w:rPr>
              <w:t>Encargado de la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44" w:val="left" w:leader="none"/>
                <w:tab w:pos="2029" w:val="left" w:leader="none"/>
              </w:tabs>
              <w:spacing w:line="242" w:lineRule="exact"/>
              <w:ind w:left="100"/>
              <w:rPr>
                <w:sz w:val="22"/>
              </w:rPr>
            </w:pPr>
            <w:r>
              <w:rPr>
                <w:sz w:val="22"/>
              </w:rPr>
              <w:t>deteriorado</w:t>
              <w:tab/>
              <w:t>con</w:t>
              <w:tab/>
              <w:t>el</w:t>
            </w:r>
          </w:p>
        </w:tc>
        <w:tc>
          <w:tcPr>
            <w:tcW w:w="3901" w:type="dxa"/>
            <w:tcBorders>
              <w:top w:val="nil"/>
              <w:bottom w:val="nil"/>
            </w:tcBorders>
          </w:tcPr>
          <w:p>
            <w:pPr>
              <w:pStyle w:val="TableParagraph"/>
              <w:spacing w:line="242" w:lineRule="exact"/>
              <w:rPr>
                <w:sz w:val="22"/>
              </w:rPr>
            </w:pPr>
            <w:r>
              <w:rPr>
                <w:sz w:val="22"/>
              </w:rPr>
              <w:t>que la laguna no se deteriore  porque</w:t>
            </w:r>
          </w:p>
        </w:tc>
      </w:tr>
      <w:tr>
        <w:trPr>
          <w:trHeight w:val="252" w:hRule="exact"/>
        </w:trPr>
        <w:tc>
          <w:tcPr>
            <w:tcW w:w="1385" w:type="dxa"/>
            <w:tcBorders>
              <w:top w:val="nil"/>
              <w:bottom w:val="nil"/>
            </w:tcBorders>
          </w:tcPr>
          <w:p>
            <w:pPr>
              <w:pStyle w:val="TableParagraph"/>
              <w:spacing w:line="241" w:lineRule="exact"/>
              <w:ind w:left="307" w:right="127"/>
              <w:rPr>
                <w:sz w:val="22"/>
              </w:rPr>
            </w:pPr>
            <w:r>
              <w:rPr>
                <w:sz w:val="22"/>
              </w:rPr>
              <w:t>Basurto</w:t>
            </w:r>
          </w:p>
        </w:tc>
        <w:tc>
          <w:tcPr>
            <w:tcW w:w="1274" w:type="dxa"/>
            <w:tcBorders>
              <w:top w:val="nil"/>
              <w:bottom w:val="nil"/>
            </w:tcBorders>
          </w:tcPr>
          <w:p>
            <w:pPr>
              <w:pStyle w:val="TableParagraph"/>
              <w:spacing w:line="241" w:lineRule="exact"/>
              <w:ind w:left="100"/>
              <w:rPr>
                <w:sz w:val="22"/>
              </w:rPr>
            </w:pPr>
            <w:r>
              <w:rPr>
                <w:w w:val="100"/>
                <w:sz w:val="22"/>
              </w:rPr>
              <w:t>o</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tiempo, nadamás por</w:t>
            </w:r>
          </w:p>
        </w:tc>
        <w:tc>
          <w:tcPr>
            <w:tcW w:w="3901" w:type="dxa"/>
            <w:tcBorders>
              <w:top w:val="nil"/>
              <w:bottom w:val="nil"/>
            </w:tcBorders>
          </w:tcPr>
          <w:p>
            <w:pPr>
              <w:pStyle w:val="TableParagraph"/>
              <w:spacing w:line="241" w:lineRule="exact"/>
              <w:rPr>
                <w:sz w:val="22"/>
              </w:rPr>
            </w:pPr>
            <w:r>
              <w:rPr>
                <w:sz w:val="22"/>
              </w:rPr>
              <w:t>se  hace  uso  de  ella,  es  el    </w:t>
            </w:r>
            <w:r>
              <w:rPr>
                <w:spacing w:val="57"/>
                <w:sz w:val="22"/>
              </w:rPr>
              <w:t> </w:t>
            </w:r>
            <w:r>
              <w:rPr>
                <w:sz w:val="22"/>
              </w:rPr>
              <w:t>vaso</w:t>
            </w:r>
          </w:p>
        </w:tc>
      </w:tr>
      <w:tr>
        <w:trPr>
          <w:trHeight w:val="253" w:hRule="exact"/>
        </w:trPr>
        <w:tc>
          <w:tcPr>
            <w:tcW w:w="1385" w:type="dxa"/>
            <w:tcBorders>
              <w:top w:val="nil"/>
              <w:bottom w:val="nil"/>
            </w:tcBorders>
          </w:tcPr>
          <w:p>
            <w:pPr>
              <w:pStyle w:val="TableParagraph"/>
              <w:spacing w:line="241" w:lineRule="exact"/>
              <w:ind w:left="271" w:right="127"/>
              <w:rPr>
                <w:sz w:val="22"/>
              </w:rPr>
            </w:pPr>
            <w:r>
              <w:rPr>
                <w:sz w:val="22"/>
              </w:rPr>
              <w:t>Esquivel</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496" w:val="left" w:leader="none"/>
                <w:tab w:pos="1957" w:val="left" w:leader="none"/>
              </w:tabs>
              <w:spacing w:line="241" w:lineRule="exact"/>
              <w:ind w:left="100"/>
              <w:rPr>
                <w:sz w:val="22"/>
              </w:rPr>
            </w:pPr>
            <w:r>
              <w:rPr>
                <w:sz w:val="22"/>
              </w:rPr>
              <w:t>la</w:t>
              <w:tab/>
              <w:t>acumulación</w:t>
              <w:tab/>
              <w:t>de</w:t>
            </w:r>
          </w:p>
        </w:tc>
        <w:tc>
          <w:tcPr>
            <w:tcW w:w="3901" w:type="dxa"/>
            <w:tcBorders>
              <w:top w:val="nil"/>
              <w:bottom w:val="nil"/>
            </w:tcBorders>
          </w:tcPr>
          <w:p>
            <w:pPr>
              <w:pStyle w:val="TableParagraph"/>
              <w:spacing w:line="241" w:lineRule="exact"/>
              <w:rPr>
                <w:sz w:val="22"/>
              </w:rPr>
            </w:pPr>
            <w:r>
              <w:rPr>
                <w:sz w:val="22"/>
              </w:rPr>
              <w:t>captador,   aunque   se   hace trabajo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Agropecuario 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azolve.</w:t>
            </w:r>
          </w:p>
        </w:tc>
        <w:tc>
          <w:tcPr>
            <w:tcW w:w="3901" w:type="dxa"/>
            <w:tcBorders>
              <w:top w:val="nil"/>
              <w:bottom w:val="nil"/>
            </w:tcBorders>
          </w:tcPr>
          <w:p>
            <w:pPr>
              <w:pStyle w:val="TableParagraph"/>
              <w:spacing w:line="242" w:lineRule="exact"/>
              <w:rPr>
                <w:sz w:val="22"/>
              </w:rPr>
            </w:pPr>
            <w:r>
              <w:rPr>
                <w:sz w:val="22"/>
              </w:rPr>
              <w:t>para mantener  los canales,  pero  no</w:t>
            </w:r>
          </w:p>
        </w:tc>
      </w:tr>
      <w:tr>
        <w:trPr>
          <w:trHeight w:val="250" w:hRule="exact"/>
        </w:trPr>
        <w:tc>
          <w:tcPr>
            <w:tcW w:w="1385" w:type="dxa"/>
            <w:tcBorders>
              <w:top w:val="nil"/>
            </w:tcBorders>
          </w:tcPr>
          <w:p>
            <w:pPr>
              <w:pStyle w:val="TableParagraph"/>
              <w:spacing w:line="241" w:lineRule="exact"/>
              <w:ind w:left="124"/>
              <w:rPr>
                <w:sz w:val="22"/>
              </w:rPr>
            </w:pPr>
            <w:r>
              <w:rPr>
                <w:sz w:val="22"/>
              </w:rPr>
              <w:t>(20/8/2014)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Ecología</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1" w:lineRule="exact"/>
              <w:rPr>
                <w:sz w:val="22"/>
              </w:rPr>
            </w:pPr>
            <w:r>
              <w:rPr>
                <w:sz w:val="22"/>
              </w:rPr>
              <w:t>por la laguna.</w:t>
            </w:r>
          </w:p>
        </w:tc>
      </w:tr>
      <w:tr>
        <w:trPr>
          <w:trHeight w:val="266" w:hRule="exact"/>
        </w:trPr>
        <w:tc>
          <w:tcPr>
            <w:tcW w:w="1385" w:type="dxa"/>
            <w:tcBorders>
              <w:bottom w:val="nil"/>
            </w:tcBorders>
          </w:tcPr>
          <w:p>
            <w:pPr>
              <w:pStyle w:val="TableParagraph"/>
              <w:spacing w:line="251" w:lineRule="exact"/>
              <w:ind w:left="436" w:right="127"/>
              <w:rPr>
                <w:sz w:val="22"/>
              </w:rPr>
            </w:pPr>
            <w:r>
              <w:rPr>
                <w:sz w:val="22"/>
              </w:rPr>
              <w:t>Edith</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tabs>
                <w:tab w:pos="942" w:val="left" w:leader="none"/>
              </w:tabs>
              <w:spacing w:line="251" w:lineRule="exact"/>
              <w:rPr>
                <w:sz w:val="22"/>
              </w:rPr>
            </w:pPr>
            <w:r>
              <w:rPr>
                <w:sz w:val="22"/>
              </w:rPr>
              <w:t>Tercer</w:t>
              <w:tab/>
              <w:t>Regidor.</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ind w:left="129"/>
              <w:rPr>
                <w:sz w:val="22"/>
              </w:rPr>
            </w:pPr>
            <w:r>
              <w:rPr>
                <w:sz w:val="22"/>
              </w:rPr>
              <w:t>Polotitlán</w:t>
            </w:r>
          </w:p>
        </w:tc>
        <w:tc>
          <w:tcPr>
            <w:tcW w:w="2314" w:type="dxa"/>
            <w:tcBorders>
              <w:bottom w:val="nil"/>
            </w:tcBorders>
          </w:tcPr>
          <w:p>
            <w:pPr>
              <w:pStyle w:val="TableParagraph"/>
              <w:spacing w:line="251" w:lineRule="exact"/>
              <w:ind w:left="100"/>
              <w:rPr>
                <w:sz w:val="22"/>
              </w:rPr>
            </w:pPr>
            <w:r>
              <w:rPr>
                <w:sz w:val="22"/>
              </w:rPr>
              <w:t>Sí  se  ha deteriorado</w:t>
            </w:r>
          </w:p>
        </w:tc>
        <w:tc>
          <w:tcPr>
            <w:tcW w:w="3901" w:type="dxa"/>
            <w:tcBorders>
              <w:bottom w:val="nil"/>
            </w:tcBorders>
          </w:tcPr>
          <w:p>
            <w:pPr>
              <w:pStyle w:val="TableParagraph"/>
              <w:spacing w:line="251" w:lineRule="exact"/>
              <w:rPr>
                <w:sz w:val="22"/>
              </w:rPr>
            </w:pPr>
            <w:r>
              <w:rPr>
                <w:sz w:val="22"/>
              </w:rPr>
              <w:t>Sí considero que debo cooperar para</w:t>
            </w:r>
          </w:p>
        </w:tc>
      </w:tr>
      <w:tr>
        <w:trPr>
          <w:trHeight w:val="253" w:hRule="exact"/>
        </w:trPr>
        <w:tc>
          <w:tcPr>
            <w:tcW w:w="1385" w:type="dxa"/>
            <w:tcBorders>
              <w:top w:val="nil"/>
              <w:bottom w:val="nil"/>
            </w:tcBorders>
          </w:tcPr>
          <w:p>
            <w:pPr>
              <w:pStyle w:val="TableParagraph"/>
              <w:spacing w:line="241" w:lineRule="exact"/>
              <w:ind w:left="254" w:right="127"/>
              <w:rPr>
                <w:sz w:val="22"/>
              </w:rPr>
            </w:pPr>
            <w:r>
              <w:rPr>
                <w:sz w:val="22"/>
              </w:rPr>
              <w:t>Alvarado</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Encargada  de la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30" w:val="left" w:leader="none"/>
                <w:tab w:pos="1391" w:val="left" w:leader="none"/>
                <w:tab w:pos="2029" w:val="left" w:leader="none"/>
              </w:tabs>
              <w:spacing w:line="241" w:lineRule="exact"/>
              <w:ind w:left="100"/>
              <w:rPr>
                <w:sz w:val="22"/>
              </w:rPr>
            </w:pPr>
            <w:r>
              <w:rPr>
                <w:sz w:val="22"/>
              </w:rPr>
              <w:t>un</w:t>
              <w:tab/>
              <w:t>poco</w:t>
              <w:tab/>
              <w:t>con</w:t>
              <w:tab/>
              <w:t>el</w:t>
            </w:r>
          </w:p>
        </w:tc>
        <w:tc>
          <w:tcPr>
            <w:tcW w:w="3901" w:type="dxa"/>
            <w:tcBorders>
              <w:top w:val="nil"/>
              <w:bottom w:val="nil"/>
            </w:tcBorders>
          </w:tcPr>
          <w:p>
            <w:pPr>
              <w:pStyle w:val="TableParagraph"/>
              <w:spacing w:line="241" w:lineRule="exact"/>
              <w:rPr>
                <w:sz w:val="22"/>
              </w:rPr>
            </w:pPr>
            <w:r>
              <w:rPr>
                <w:sz w:val="22"/>
              </w:rPr>
              <w:t>que la laguna no se deteriore  porque</w:t>
            </w:r>
          </w:p>
        </w:tc>
      </w:tr>
      <w:tr>
        <w:trPr>
          <w:trHeight w:val="253" w:hRule="exact"/>
        </w:trPr>
        <w:tc>
          <w:tcPr>
            <w:tcW w:w="1385" w:type="dxa"/>
            <w:tcBorders>
              <w:top w:val="nil"/>
              <w:bottom w:val="nil"/>
            </w:tcBorders>
          </w:tcPr>
          <w:p>
            <w:pPr>
              <w:pStyle w:val="TableParagraph"/>
              <w:spacing w:line="242" w:lineRule="exact"/>
              <w:ind w:left="314" w:right="127"/>
              <w:rPr>
                <w:sz w:val="22"/>
              </w:rPr>
            </w:pPr>
            <w:r>
              <w:rPr>
                <w:sz w:val="22"/>
              </w:rPr>
              <w:t>Herrera</w:t>
            </w:r>
          </w:p>
        </w:tc>
        <w:tc>
          <w:tcPr>
            <w:tcW w:w="1274" w:type="dxa"/>
            <w:tcBorders>
              <w:top w:val="nil"/>
              <w:bottom w:val="nil"/>
            </w:tcBorders>
          </w:tcPr>
          <w:p>
            <w:pPr>
              <w:pStyle w:val="TableParagraph"/>
              <w:spacing w:line="242" w:lineRule="exact"/>
              <w:ind w:left="100" w:right="98"/>
              <w:rPr>
                <w:sz w:val="22"/>
              </w:rPr>
            </w:pPr>
            <w:r>
              <w:rPr>
                <w:sz w:val="22"/>
              </w:rPr>
              <w:t>Derecho</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tiempo  porque no se</w:t>
            </w:r>
          </w:p>
        </w:tc>
        <w:tc>
          <w:tcPr>
            <w:tcW w:w="3901" w:type="dxa"/>
            <w:tcBorders>
              <w:top w:val="nil"/>
              <w:bottom w:val="nil"/>
            </w:tcBorders>
          </w:tcPr>
          <w:p>
            <w:pPr>
              <w:pStyle w:val="TableParagraph"/>
              <w:spacing w:line="242" w:lineRule="exact"/>
              <w:rPr>
                <w:sz w:val="22"/>
              </w:rPr>
            </w:pPr>
            <w:r>
              <w:rPr>
                <w:sz w:val="22"/>
              </w:rPr>
              <w:t>es   la   manera   de   mantenerla   en</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868" w:val="left" w:leader="none"/>
                <w:tab w:pos="1710" w:val="left" w:leader="none"/>
              </w:tabs>
              <w:spacing w:line="241" w:lineRule="exact"/>
              <w:ind w:left="100"/>
              <w:rPr>
                <w:sz w:val="22"/>
              </w:rPr>
            </w:pPr>
            <w:r>
              <w:rPr>
                <w:sz w:val="22"/>
              </w:rPr>
              <w:t>le</w:t>
              <w:tab/>
              <w:t>ha</w:t>
              <w:tab/>
              <w:t>dado</w:t>
            </w:r>
          </w:p>
        </w:tc>
        <w:tc>
          <w:tcPr>
            <w:tcW w:w="3901" w:type="dxa"/>
            <w:tcBorders>
              <w:top w:val="nil"/>
              <w:bottom w:val="nil"/>
            </w:tcBorders>
          </w:tcPr>
          <w:p>
            <w:pPr>
              <w:pStyle w:val="TableParagraph"/>
              <w:spacing w:line="241" w:lineRule="exact"/>
              <w:rPr>
                <w:sz w:val="22"/>
              </w:rPr>
            </w:pPr>
            <w:r>
              <w:rPr>
                <w:sz w:val="22"/>
              </w:rPr>
              <w:t>buenas  condiciones  para  que  sirva</w:t>
            </w:r>
          </w:p>
        </w:tc>
      </w:tr>
      <w:tr>
        <w:trPr>
          <w:trHeight w:val="254" w:hRule="exact"/>
        </w:trPr>
        <w:tc>
          <w:tcPr>
            <w:tcW w:w="1385" w:type="dxa"/>
            <w:tcBorders>
              <w:top w:val="nil"/>
              <w:bottom w:val="nil"/>
            </w:tcBorders>
          </w:tcPr>
          <w:p>
            <w:pPr>
              <w:pStyle w:val="TableParagraph"/>
              <w:spacing w:line="243" w:lineRule="exact"/>
              <w:ind w:left="184" w:right="127"/>
              <w:rPr>
                <w:sz w:val="22"/>
              </w:rPr>
            </w:pPr>
            <w:r>
              <w:rPr>
                <w:sz w:val="22"/>
              </w:rPr>
              <w:t>(4/9/2014)</w:t>
            </w: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43" w:lineRule="exact"/>
              <w:rPr>
                <w:sz w:val="22"/>
              </w:rPr>
            </w:pPr>
            <w:r>
              <w:rPr>
                <w:sz w:val="22"/>
              </w:rPr>
              <w:t>Económico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mantenimiento.</w:t>
            </w:r>
          </w:p>
        </w:tc>
        <w:tc>
          <w:tcPr>
            <w:tcW w:w="3901" w:type="dxa"/>
            <w:tcBorders>
              <w:top w:val="nil"/>
              <w:bottom w:val="nil"/>
            </w:tcBorders>
          </w:tcPr>
          <w:p>
            <w:pPr>
              <w:pStyle w:val="TableParagraph"/>
              <w:spacing w:line="243" w:lineRule="exact"/>
              <w:rPr>
                <w:sz w:val="22"/>
              </w:rPr>
            </w:pPr>
            <w:r>
              <w:rPr>
                <w:sz w:val="22"/>
              </w:rPr>
              <w:t>muchos años a la gente que cultiva.</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Urbano.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768" w:hRule="exact"/>
        </w:trPr>
        <w:tc>
          <w:tcPr>
            <w:tcW w:w="1385" w:type="dxa"/>
          </w:tcPr>
          <w:p>
            <w:pPr>
              <w:pStyle w:val="TableParagraph"/>
              <w:spacing w:line="252" w:lineRule="exact" w:before="2"/>
              <w:ind w:left="271" w:right="199" w:hanging="56"/>
              <w:rPr>
                <w:sz w:val="22"/>
              </w:rPr>
            </w:pPr>
            <w:r>
              <w:rPr>
                <w:sz w:val="22"/>
              </w:rPr>
              <w:t>Irma Lara Ramírez</w:t>
            </w:r>
          </w:p>
        </w:tc>
        <w:tc>
          <w:tcPr>
            <w:tcW w:w="1274" w:type="dxa"/>
          </w:tcPr>
          <w:p>
            <w:pPr>
              <w:pStyle w:val="TableParagraph"/>
              <w:spacing w:line="252" w:lineRule="exact" w:before="2"/>
              <w:ind w:left="568" w:right="121" w:hanging="435"/>
              <w:rPr>
                <w:sz w:val="22"/>
              </w:rPr>
            </w:pPr>
            <w:r>
              <w:rPr>
                <w:sz w:val="22"/>
              </w:rPr>
              <w:t>Secundari a</w:t>
            </w:r>
          </w:p>
        </w:tc>
        <w:tc>
          <w:tcPr>
            <w:tcW w:w="1887" w:type="dxa"/>
          </w:tcPr>
          <w:p>
            <w:pPr>
              <w:pStyle w:val="TableParagraph"/>
              <w:tabs>
                <w:tab w:pos="1528" w:val="left" w:leader="none"/>
              </w:tabs>
              <w:ind w:right="101"/>
              <w:rPr>
                <w:sz w:val="22"/>
              </w:rPr>
            </w:pPr>
            <w:r>
              <w:rPr>
                <w:sz w:val="22"/>
              </w:rPr>
              <w:t>Coordinador</w:t>
              <w:tab/>
              <w:t>de Desarrollo Agropecuario</w:t>
            </w:r>
          </w:p>
        </w:tc>
        <w:tc>
          <w:tcPr>
            <w:tcW w:w="1289" w:type="dxa"/>
          </w:tcPr>
          <w:p>
            <w:pPr>
              <w:pStyle w:val="TableParagraph"/>
              <w:spacing w:line="251" w:lineRule="exact"/>
              <w:ind w:left="0" w:right="184"/>
              <w:jc w:val="right"/>
              <w:rPr>
                <w:sz w:val="22"/>
              </w:rPr>
            </w:pPr>
            <w:r>
              <w:rPr>
                <w:sz w:val="22"/>
              </w:rPr>
              <w:t>Polotitlán</w:t>
            </w:r>
          </w:p>
        </w:tc>
        <w:tc>
          <w:tcPr>
            <w:tcW w:w="1174" w:type="dxa"/>
          </w:tcPr>
          <w:p>
            <w:pPr>
              <w:pStyle w:val="TableParagraph"/>
              <w:spacing w:line="251" w:lineRule="exact"/>
              <w:ind w:left="129"/>
              <w:rPr>
                <w:sz w:val="22"/>
              </w:rPr>
            </w:pPr>
            <w:r>
              <w:rPr>
                <w:sz w:val="22"/>
              </w:rPr>
              <w:t>Polotitlán</w:t>
            </w:r>
          </w:p>
        </w:tc>
        <w:tc>
          <w:tcPr>
            <w:tcW w:w="2314" w:type="dxa"/>
          </w:tcPr>
          <w:p>
            <w:pPr>
              <w:pStyle w:val="TableParagraph"/>
              <w:tabs>
                <w:tab w:pos="611" w:val="left" w:leader="none"/>
                <w:tab w:pos="1232" w:val="left" w:leader="none"/>
                <w:tab w:pos="1956" w:val="left" w:leader="none"/>
              </w:tabs>
              <w:spacing w:line="252" w:lineRule="exact" w:before="2"/>
              <w:ind w:left="100" w:right="99"/>
              <w:rPr>
                <w:sz w:val="22"/>
              </w:rPr>
            </w:pPr>
            <w:r>
              <w:rPr>
                <w:sz w:val="22"/>
              </w:rPr>
              <w:t>Sí</w:t>
              <w:tab/>
              <w:t>por</w:t>
              <w:tab/>
              <w:t>falta</w:t>
              <w:tab/>
              <w:t>de mantenimiento.</w:t>
            </w:r>
          </w:p>
        </w:tc>
        <w:tc>
          <w:tcPr>
            <w:tcW w:w="3901" w:type="dxa"/>
          </w:tcPr>
          <w:p>
            <w:pPr>
              <w:pStyle w:val="TableParagraph"/>
              <w:ind w:right="100"/>
              <w:jc w:val="both"/>
              <w:rPr>
                <w:sz w:val="22"/>
              </w:rPr>
            </w:pPr>
            <w:r>
              <w:rPr>
                <w:sz w:val="22"/>
              </w:rPr>
              <w:t>El municipio que represento, sí debe cooperar para que la laguna ya no se deteriore porque todos somos equipo</w:t>
            </w:r>
          </w:p>
        </w:tc>
      </w:tr>
    </w:tbl>
    <w:p>
      <w:pPr>
        <w:spacing w:after="0"/>
        <w:jc w:val="both"/>
        <w:rPr>
          <w:sz w:val="22"/>
        </w:rPr>
        <w:sectPr>
          <w:pgSz w:w="15840" w:h="12240" w:orient="landscape"/>
          <w:pgMar w:header="0" w:footer="100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516" w:hRule="exact"/>
        </w:trPr>
        <w:tc>
          <w:tcPr>
            <w:tcW w:w="1385" w:type="dxa"/>
          </w:tcPr>
          <w:p>
            <w:pPr>
              <w:pStyle w:val="TableParagraph"/>
              <w:spacing w:line="251" w:lineRule="exact"/>
              <w:ind w:left="124"/>
              <w:rPr>
                <w:sz w:val="22"/>
              </w:rPr>
            </w:pPr>
            <w:r>
              <w:rPr>
                <w:sz w:val="22"/>
              </w:rPr>
              <w:t>(20/8/2014)</w:t>
            </w:r>
          </w:p>
        </w:tc>
        <w:tc>
          <w:tcPr>
            <w:tcW w:w="1274" w:type="dxa"/>
          </w:tcPr>
          <w:p>
            <w:pPr/>
          </w:p>
        </w:tc>
        <w:tc>
          <w:tcPr>
            <w:tcW w:w="1887" w:type="dxa"/>
          </w:tcPr>
          <w:p>
            <w:pPr/>
          </w:p>
        </w:tc>
        <w:tc>
          <w:tcPr>
            <w:tcW w:w="1289" w:type="dxa"/>
          </w:tcPr>
          <w:p>
            <w:pPr/>
          </w:p>
        </w:tc>
        <w:tc>
          <w:tcPr>
            <w:tcW w:w="1174" w:type="dxa"/>
          </w:tcPr>
          <w:p>
            <w:pPr/>
          </w:p>
        </w:tc>
        <w:tc>
          <w:tcPr>
            <w:tcW w:w="2314" w:type="dxa"/>
          </w:tcPr>
          <w:p>
            <w:pPr/>
          </w:p>
        </w:tc>
        <w:tc>
          <w:tcPr>
            <w:tcW w:w="3901" w:type="dxa"/>
          </w:tcPr>
          <w:p>
            <w:pPr>
              <w:pStyle w:val="TableParagraph"/>
              <w:spacing w:line="251" w:lineRule="exact"/>
              <w:rPr>
                <w:sz w:val="22"/>
              </w:rPr>
            </w:pPr>
            <w:r>
              <w:rPr>
                <w:sz w:val="22"/>
              </w:rPr>
              <w:t>y debemos poner de nuestra parte.</w:t>
            </w:r>
          </w:p>
        </w:tc>
      </w:tr>
    </w:tbl>
    <w:p>
      <w:pPr>
        <w:pStyle w:val="BodyText"/>
        <w:spacing w:line="248" w:lineRule="exact"/>
        <w:ind w:left="218" w:right="778"/>
      </w:pPr>
      <w:r>
        <w:rPr>
          <w:b/>
        </w:rPr>
        <w:t>Fuente: </w:t>
      </w:r>
      <w:r>
        <w:rPr/>
        <w:t>Elaboración propia con base en el Trabajo de Campo, García (2013-2015).</w:t>
      </w:r>
    </w:p>
    <w:p>
      <w:pPr>
        <w:pStyle w:val="BodyText"/>
        <w:spacing w:before="6"/>
        <w:rPr>
          <w:sz w:val="20"/>
        </w:rPr>
      </w:pPr>
    </w:p>
    <w:p>
      <w:pPr>
        <w:pStyle w:val="Heading6"/>
        <w:ind w:left="2220" w:right="778"/>
      </w:pPr>
      <w:r>
        <w:rPr/>
        <w:t>Tabla 6.12. Municipio de Polotitlán (Autoridades Municipales) (continuidad de la tabla)</w:t>
      </w:r>
    </w:p>
    <w:p>
      <w:pPr>
        <w:pStyle w:val="BodyText"/>
        <w:spacing w:before="2"/>
        <w:rPr>
          <w:b/>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5" w:right="4870"/>
              <w:jc w:val="center"/>
              <w:rPr>
                <w:b/>
                <w:sz w:val="22"/>
              </w:rPr>
            </w:pPr>
            <w:r>
              <w:rPr>
                <w:b/>
                <w:sz w:val="22"/>
              </w:rPr>
              <w:t>POLOTITLÁN</w:t>
            </w:r>
          </w:p>
        </w:tc>
      </w:tr>
      <w:tr>
        <w:trPr>
          <w:trHeight w:val="526" w:hRule="exact"/>
        </w:trPr>
        <w:tc>
          <w:tcPr>
            <w:tcW w:w="4547" w:type="dxa"/>
            <w:gridSpan w:val="3"/>
            <w:vMerge w:val="restart"/>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8"/>
              <w:ind w:left="0"/>
              <w:rPr>
                <w:b/>
                <w:sz w:val="21"/>
              </w:rPr>
            </w:pPr>
          </w:p>
          <w:p>
            <w:pPr>
              <w:pStyle w:val="TableParagraph"/>
              <w:ind w:left="2695"/>
              <w:rPr>
                <w:b/>
                <w:sz w:val="22"/>
              </w:rPr>
            </w:pPr>
            <w:r>
              <w:rPr>
                <w:b/>
                <w:sz w:val="22"/>
              </w:rPr>
              <w:t>PRINCIPIOS DE GOBERNANZA</w:t>
            </w:r>
          </w:p>
        </w:tc>
      </w:tr>
      <w:tr>
        <w:trPr>
          <w:trHeight w:val="1022"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ind w:left="100" w:right="179"/>
              <w:rPr>
                <w:b/>
                <w:i/>
                <w:sz w:val="22"/>
              </w:rPr>
            </w:pPr>
            <w:r>
              <w:rPr>
                <w:b/>
                <w:i/>
                <w:sz w:val="22"/>
              </w:rPr>
              <w:t>Cooperación, </w:t>
            </w:r>
            <w:r>
              <w:rPr>
                <w:b/>
                <w:i/>
                <w:sz w:val="22"/>
              </w:rPr>
              <w:t>democracia y voluntariedad de la sociedad</w:t>
            </w:r>
          </w:p>
        </w:tc>
        <w:tc>
          <w:tcPr>
            <w:tcW w:w="3901" w:type="dxa"/>
            <w:shd w:val="clear" w:color="auto" w:fill="92CDDC"/>
          </w:tcPr>
          <w:p>
            <w:pPr>
              <w:pStyle w:val="TableParagraph"/>
              <w:spacing w:line="251" w:lineRule="exact"/>
              <w:rPr>
                <w:b/>
                <w:i/>
                <w:sz w:val="22"/>
              </w:rPr>
            </w:pPr>
            <w:r>
              <w:rPr>
                <w:b/>
                <w:i/>
                <w:sz w:val="22"/>
              </w:rPr>
              <w:t>Poder</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tabs>
                <w:tab w:pos="1259" w:val="left" w:leader="none"/>
              </w:tabs>
              <w:spacing w:line="248" w:lineRule="exact"/>
              <w:ind w:left="100"/>
              <w:rPr>
                <w:b/>
                <w:sz w:val="22"/>
              </w:rPr>
            </w:pPr>
            <w:r>
              <w:rPr>
                <w:b/>
                <w:sz w:val="22"/>
              </w:rPr>
              <w:t>¿Qué</w:t>
              <w:tab/>
              <w:t>acciones</w:t>
            </w:r>
          </w:p>
        </w:tc>
        <w:tc>
          <w:tcPr>
            <w:tcW w:w="3901" w:type="dxa"/>
            <w:tcBorders>
              <w:bottom w:val="nil"/>
            </w:tcBorders>
            <w:shd w:val="clear" w:color="auto" w:fill="92CDDC"/>
          </w:tcPr>
          <w:p>
            <w:pPr>
              <w:pStyle w:val="TableParagraph"/>
              <w:spacing w:line="248" w:lineRule="exact"/>
              <w:rPr>
                <w:b/>
                <w:sz w:val="22"/>
              </w:rPr>
            </w:pPr>
            <w:r>
              <w:rPr>
                <w:b/>
                <w:sz w:val="22"/>
              </w:rPr>
              <w:t>¿Existen problemas por el agua de</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1945" w:val="left" w:leader="none"/>
              </w:tabs>
              <w:spacing w:line="241" w:lineRule="exact"/>
              <w:ind w:left="100"/>
              <w:rPr>
                <w:b/>
                <w:sz w:val="22"/>
              </w:rPr>
            </w:pPr>
            <w:r>
              <w:rPr>
                <w:b/>
                <w:sz w:val="22"/>
              </w:rPr>
              <w:t>realiza</w:t>
              <w:tab/>
              <w:t>su</w:t>
            </w:r>
          </w:p>
        </w:tc>
        <w:tc>
          <w:tcPr>
            <w:tcW w:w="3901" w:type="dxa"/>
            <w:tcBorders>
              <w:top w:val="nil"/>
              <w:bottom w:val="nil"/>
            </w:tcBorders>
            <w:shd w:val="clear" w:color="auto" w:fill="92CDDC"/>
          </w:tcPr>
          <w:p>
            <w:pPr>
              <w:pStyle w:val="TableParagraph"/>
              <w:spacing w:line="241" w:lineRule="exact"/>
              <w:rPr>
                <w:b/>
                <w:sz w:val="22"/>
              </w:rPr>
            </w:pPr>
            <w:r>
              <w:rPr>
                <w:b/>
                <w:sz w:val="22"/>
              </w:rPr>
              <w:t>la  laguna  de  Huapango  entre los</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2" w:lineRule="exact"/>
              <w:ind w:left="100"/>
              <w:rPr>
                <w:b/>
                <w:sz w:val="22"/>
              </w:rPr>
            </w:pPr>
            <w:r>
              <w:rPr>
                <w:b/>
                <w:sz w:val="22"/>
              </w:rPr>
              <w:t>municipio  para que</w:t>
            </w:r>
          </w:p>
        </w:tc>
        <w:tc>
          <w:tcPr>
            <w:tcW w:w="3901" w:type="dxa"/>
            <w:tcBorders>
              <w:top w:val="nil"/>
              <w:bottom w:val="nil"/>
            </w:tcBorders>
            <w:shd w:val="clear" w:color="auto" w:fill="92CDDC"/>
          </w:tcPr>
          <w:p>
            <w:pPr>
              <w:pStyle w:val="TableParagraph"/>
              <w:spacing w:line="242" w:lineRule="exact"/>
              <w:rPr>
                <w:b/>
                <w:sz w:val="22"/>
              </w:rPr>
            </w:pPr>
            <w:r>
              <w:rPr>
                <w:b/>
                <w:sz w:val="22"/>
              </w:rPr>
              <w:t>habitantes  de  los  municipios que</w:t>
            </w: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1" w:lineRule="exact"/>
              <w:ind w:left="100"/>
              <w:rPr>
                <w:b/>
                <w:sz w:val="22"/>
              </w:rPr>
            </w:pPr>
            <w:r>
              <w:rPr>
                <w:b/>
                <w:sz w:val="22"/>
              </w:rPr>
              <w:t>no   se  deteriore  la</w:t>
            </w:r>
          </w:p>
        </w:tc>
        <w:tc>
          <w:tcPr>
            <w:tcW w:w="3901" w:type="dxa"/>
            <w:tcBorders>
              <w:top w:val="nil"/>
              <w:bottom w:val="nil"/>
            </w:tcBorders>
            <w:shd w:val="clear" w:color="auto" w:fill="92CDDC"/>
          </w:tcPr>
          <w:p>
            <w:pPr>
              <w:pStyle w:val="TableParagraph"/>
              <w:spacing w:line="241" w:lineRule="exact"/>
              <w:rPr>
                <w:b/>
                <w:sz w:val="22"/>
              </w:rPr>
            </w:pPr>
            <w:r>
              <w:rPr>
                <w:b/>
                <w:sz w:val="22"/>
              </w:rPr>
              <w:t>se benefician de ella?</w:t>
            </w: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945" w:val="left" w:leader="none"/>
              </w:tabs>
              <w:spacing w:line="242" w:lineRule="exact"/>
              <w:ind w:left="100"/>
              <w:rPr>
                <w:b/>
                <w:sz w:val="22"/>
              </w:rPr>
            </w:pPr>
            <w:r>
              <w:rPr>
                <w:b/>
                <w:sz w:val="22"/>
              </w:rPr>
              <w:t>laguna</w:t>
              <w:tab/>
              <w:t>de</w:t>
            </w:r>
          </w:p>
        </w:tc>
        <w:tc>
          <w:tcPr>
            <w:tcW w:w="3901" w:type="dxa"/>
            <w:tcBorders>
              <w:top w:val="nil"/>
              <w:bottom w:val="nil"/>
            </w:tcBorders>
            <w:shd w:val="clear" w:color="auto" w:fill="92CDDC"/>
          </w:tcPr>
          <w:p>
            <w:pPr/>
          </w:p>
        </w:tc>
      </w:tr>
      <w:tr>
        <w:trPr>
          <w:trHeight w:val="250"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Huapango?</w:t>
            </w:r>
          </w:p>
        </w:tc>
        <w:tc>
          <w:tcPr>
            <w:tcW w:w="3901" w:type="dxa"/>
            <w:tcBorders>
              <w:top w:val="nil"/>
            </w:tcBorders>
            <w:shd w:val="clear" w:color="auto" w:fill="92CDDC"/>
          </w:tcPr>
          <w:p>
            <w:pPr/>
          </w:p>
        </w:tc>
      </w:tr>
      <w:tr>
        <w:trPr>
          <w:trHeight w:val="269" w:hRule="exact"/>
        </w:trPr>
        <w:tc>
          <w:tcPr>
            <w:tcW w:w="1385" w:type="dxa"/>
            <w:tcBorders>
              <w:bottom w:val="nil"/>
            </w:tcBorders>
          </w:tcPr>
          <w:p>
            <w:pPr>
              <w:pStyle w:val="TableParagraph"/>
              <w:rPr>
                <w:sz w:val="22"/>
              </w:rPr>
            </w:pPr>
            <w:r>
              <w:rPr>
                <w:sz w:val="22"/>
              </w:rPr>
              <w:t>María Silvia</w:t>
            </w:r>
          </w:p>
        </w:tc>
        <w:tc>
          <w:tcPr>
            <w:tcW w:w="1274" w:type="dxa"/>
            <w:tcBorders>
              <w:bottom w:val="nil"/>
            </w:tcBorders>
          </w:tcPr>
          <w:p>
            <w:pPr>
              <w:pStyle w:val="TableParagraph"/>
              <w:ind w:left="100"/>
              <w:rPr>
                <w:sz w:val="22"/>
              </w:rPr>
            </w:pPr>
            <w:r>
              <w:rPr>
                <w:sz w:val="22"/>
              </w:rPr>
              <w:t>Licenciada</w:t>
            </w:r>
          </w:p>
        </w:tc>
        <w:tc>
          <w:tcPr>
            <w:tcW w:w="1887" w:type="dxa"/>
            <w:tcBorders>
              <w:bottom w:val="nil"/>
            </w:tcBorders>
          </w:tcPr>
          <w:p>
            <w:pPr>
              <w:pStyle w:val="TableParagraph"/>
              <w:ind w:left="410"/>
              <w:rPr>
                <w:sz w:val="22"/>
              </w:rPr>
            </w:pPr>
            <w:r>
              <w:rPr>
                <w:sz w:val="22"/>
              </w:rPr>
              <w:t>Presidenta</w:t>
            </w:r>
          </w:p>
        </w:tc>
        <w:tc>
          <w:tcPr>
            <w:tcW w:w="1289" w:type="dxa"/>
            <w:tcBorders>
              <w:bottom w:val="nil"/>
            </w:tcBorders>
          </w:tcPr>
          <w:p>
            <w:pPr>
              <w:pStyle w:val="TableParagraph"/>
              <w:ind w:left="0" w:right="184"/>
              <w:jc w:val="right"/>
              <w:rPr>
                <w:sz w:val="22"/>
              </w:rPr>
            </w:pPr>
            <w:r>
              <w:rPr>
                <w:sz w:val="22"/>
              </w:rPr>
              <w:t>Polotitlán</w:t>
            </w:r>
          </w:p>
        </w:tc>
        <w:tc>
          <w:tcPr>
            <w:tcW w:w="1174" w:type="dxa"/>
            <w:tcBorders>
              <w:bottom w:val="nil"/>
            </w:tcBorders>
          </w:tcPr>
          <w:p>
            <w:pPr>
              <w:pStyle w:val="TableParagraph"/>
              <w:rPr>
                <w:sz w:val="22"/>
              </w:rPr>
            </w:pPr>
            <w:r>
              <w:rPr>
                <w:sz w:val="22"/>
              </w:rPr>
              <w:t>Polotitlán</w:t>
            </w:r>
          </w:p>
        </w:tc>
        <w:tc>
          <w:tcPr>
            <w:tcW w:w="2314" w:type="dxa"/>
            <w:tcBorders>
              <w:bottom w:val="nil"/>
            </w:tcBorders>
          </w:tcPr>
          <w:p>
            <w:pPr>
              <w:pStyle w:val="TableParagraph"/>
              <w:tabs>
                <w:tab w:pos="659" w:val="left" w:leader="none"/>
                <w:tab w:pos="1952" w:val="left" w:leader="none"/>
              </w:tabs>
              <w:ind w:left="100"/>
              <w:rPr>
                <w:sz w:val="22"/>
              </w:rPr>
            </w:pPr>
            <w:r>
              <w:rPr>
                <w:sz w:val="22"/>
              </w:rPr>
              <w:t>El</w:t>
              <w:tab/>
              <w:t>municipio</w:t>
              <w:tab/>
              <w:t>no</w:t>
            </w:r>
          </w:p>
        </w:tc>
        <w:tc>
          <w:tcPr>
            <w:tcW w:w="3901" w:type="dxa"/>
            <w:tcBorders>
              <w:bottom w:val="nil"/>
            </w:tcBorders>
          </w:tcPr>
          <w:p>
            <w:pPr>
              <w:pStyle w:val="TableParagraph"/>
              <w:rPr>
                <w:sz w:val="22"/>
              </w:rPr>
            </w:pPr>
            <w:r>
              <w:rPr>
                <w:sz w:val="22"/>
              </w:rPr>
              <w:t>No  existen  problemas  por  el   agua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Barquet</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realiza acciones para</w:t>
            </w:r>
          </w:p>
        </w:tc>
        <w:tc>
          <w:tcPr>
            <w:tcW w:w="3901" w:type="dxa"/>
            <w:tcBorders>
              <w:top w:val="nil"/>
              <w:bottom w:val="nil"/>
            </w:tcBorders>
          </w:tcPr>
          <w:p>
            <w:pPr>
              <w:pStyle w:val="TableParagraph"/>
              <w:spacing w:line="241" w:lineRule="exact"/>
              <w:rPr>
                <w:sz w:val="22"/>
              </w:rPr>
            </w:pPr>
            <w:r>
              <w:rPr>
                <w:sz w:val="22"/>
              </w:rPr>
              <w:t>entre  los  habitantes  de  los distintos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Muñoz</w:t>
            </w:r>
          </w:p>
        </w:tc>
        <w:tc>
          <w:tcPr>
            <w:tcW w:w="1274" w:type="dxa"/>
            <w:tcBorders>
              <w:top w:val="nil"/>
              <w:bottom w:val="nil"/>
            </w:tcBorders>
          </w:tcPr>
          <w:p>
            <w:pPr>
              <w:pStyle w:val="TableParagraph"/>
              <w:spacing w:line="241" w:lineRule="exact"/>
              <w:ind w:left="100"/>
              <w:rPr>
                <w:sz w:val="22"/>
              </w:rPr>
            </w:pPr>
            <w:r>
              <w:rPr>
                <w:sz w:val="22"/>
              </w:rPr>
              <w:t>Administra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18" w:val="left" w:leader="none"/>
                <w:tab w:pos="1535" w:val="left" w:leader="none"/>
                <w:tab w:pos="2027" w:val="left" w:leader="none"/>
              </w:tabs>
              <w:spacing w:line="241" w:lineRule="exact"/>
              <w:ind w:left="100"/>
              <w:rPr>
                <w:sz w:val="22"/>
              </w:rPr>
            </w:pPr>
            <w:r>
              <w:rPr>
                <w:sz w:val="22"/>
              </w:rPr>
              <w:t>el</w:t>
              <w:tab/>
              <w:t>cuidado</w:t>
              <w:tab/>
              <w:t>de</w:t>
              <w:tab/>
              <w:t>la</w:t>
            </w:r>
          </w:p>
        </w:tc>
        <w:tc>
          <w:tcPr>
            <w:tcW w:w="3901" w:type="dxa"/>
            <w:tcBorders>
              <w:top w:val="nil"/>
              <w:bottom w:val="nil"/>
            </w:tcBorders>
          </w:tcPr>
          <w:p>
            <w:pPr>
              <w:pStyle w:val="TableParagraph"/>
              <w:spacing w:line="241" w:lineRule="exact"/>
              <w:rPr>
                <w:sz w:val="22"/>
              </w:rPr>
            </w:pPr>
            <w:r>
              <w:rPr>
                <w:sz w:val="22"/>
              </w:rPr>
              <w:t>municipios  que comparten  la laguna</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ción de</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024" w:val="left" w:leader="none"/>
                <w:tab w:pos="1969" w:val="left" w:leader="none"/>
              </w:tabs>
              <w:spacing w:line="242" w:lineRule="exact"/>
              <w:ind w:left="100"/>
              <w:rPr>
                <w:sz w:val="22"/>
              </w:rPr>
            </w:pPr>
            <w:r>
              <w:rPr>
                <w:sz w:val="22"/>
              </w:rPr>
              <w:t>laguna</w:t>
              <w:tab/>
              <w:t>porque</w:t>
              <w:tab/>
              <w:t>se</w:t>
            </w:r>
          </w:p>
        </w:tc>
        <w:tc>
          <w:tcPr>
            <w:tcW w:w="3901" w:type="dxa"/>
            <w:tcBorders>
              <w:top w:val="nil"/>
              <w:bottom w:val="nil"/>
            </w:tcBorders>
          </w:tcPr>
          <w:p>
            <w:pPr>
              <w:pStyle w:val="TableParagraph"/>
              <w:spacing w:line="242" w:lineRule="exact"/>
              <w:rPr>
                <w:sz w:val="22"/>
              </w:rPr>
            </w:pPr>
            <w:r>
              <w:rPr>
                <w:sz w:val="22"/>
              </w:rPr>
              <w:t>porque están abastecidos, que   sepa</w:t>
            </w:r>
          </w:p>
        </w:tc>
      </w:tr>
      <w:tr>
        <w:trPr>
          <w:trHeight w:val="253" w:hRule="exact"/>
        </w:trPr>
        <w:tc>
          <w:tcPr>
            <w:tcW w:w="1385" w:type="dxa"/>
            <w:tcBorders>
              <w:top w:val="nil"/>
              <w:bottom w:val="nil"/>
            </w:tcBorders>
          </w:tcPr>
          <w:p>
            <w:pPr>
              <w:pStyle w:val="TableParagraph"/>
              <w:spacing w:line="241" w:lineRule="exact"/>
              <w:rPr>
                <w:sz w:val="22"/>
              </w:rPr>
            </w:pPr>
            <w:r>
              <w:rPr>
                <w:sz w:val="22"/>
              </w:rPr>
              <w:t>(20/8/2014)</w:t>
            </w:r>
          </w:p>
        </w:tc>
        <w:tc>
          <w:tcPr>
            <w:tcW w:w="1274" w:type="dxa"/>
            <w:tcBorders>
              <w:top w:val="nil"/>
              <w:bottom w:val="nil"/>
            </w:tcBorders>
          </w:tcPr>
          <w:p>
            <w:pPr>
              <w:pStyle w:val="TableParagraph"/>
              <w:spacing w:line="241" w:lineRule="exact"/>
              <w:ind w:left="100" w:right="98"/>
              <w:rPr>
                <w:sz w:val="22"/>
              </w:rPr>
            </w:pPr>
            <w:r>
              <w:rPr>
                <w:sz w:val="22"/>
              </w:rPr>
              <w:t>Empresas</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rigen bajo el  sistema</w:t>
            </w:r>
          </w:p>
        </w:tc>
        <w:tc>
          <w:tcPr>
            <w:tcW w:w="3901" w:type="dxa"/>
            <w:tcBorders>
              <w:top w:val="nil"/>
              <w:bottom w:val="nil"/>
            </w:tcBorders>
          </w:tcPr>
          <w:p>
            <w:pPr>
              <w:pStyle w:val="TableParagraph"/>
              <w:spacing w:line="241" w:lineRule="exact"/>
              <w:rPr>
                <w:sz w:val="22"/>
              </w:rPr>
            </w:pPr>
            <w:r>
              <w:rPr>
                <w:sz w:val="22"/>
              </w:rPr>
              <w:t>no hay problemas.</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26" w:val="left" w:leader="none"/>
                <w:tab w:pos="1395" w:val="left" w:leader="none"/>
                <w:tab w:pos="2029" w:val="left" w:leader="none"/>
              </w:tabs>
              <w:spacing w:line="242" w:lineRule="exact"/>
              <w:ind w:left="100"/>
              <w:rPr>
                <w:sz w:val="22"/>
              </w:rPr>
            </w:pPr>
            <w:r>
              <w:rPr>
                <w:sz w:val="22"/>
              </w:rPr>
              <w:t>de</w:t>
              <w:tab/>
              <w:t>riego</w:t>
              <w:tab/>
              <w:t>con</w:t>
              <w:tab/>
              <w:t>la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Asociación  de Riego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que  está  en </w:t>
            </w:r>
            <w:r>
              <w:rPr>
                <w:spacing w:val="50"/>
                <w:sz w:val="22"/>
              </w:rPr>
              <w:t> </w:t>
            </w:r>
            <w:r>
              <w:rPr>
                <w:sz w:val="22"/>
              </w:rPr>
              <w:t>Arroyo</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Zarco.</w:t>
            </w:r>
          </w:p>
        </w:tc>
        <w:tc>
          <w:tcPr>
            <w:tcW w:w="3901" w:type="dxa"/>
            <w:tcBorders>
              <w:top w:val="nil"/>
            </w:tcBorders>
          </w:tcPr>
          <w:p>
            <w:pPr/>
          </w:p>
        </w:tc>
      </w:tr>
      <w:tr>
        <w:trPr>
          <w:trHeight w:val="268" w:hRule="exact"/>
        </w:trPr>
        <w:tc>
          <w:tcPr>
            <w:tcW w:w="1385" w:type="dxa"/>
            <w:tcBorders>
              <w:bottom w:val="nil"/>
            </w:tcBorders>
          </w:tcPr>
          <w:p>
            <w:pPr>
              <w:pStyle w:val="TableParagraph"/>
              <w:spacing w:line="251" w:lineRule="exact"/>
              <w:ind w:left="326" w:right="127"/>
              <w:rPr>
                <w:sz w:val="22"/>
              </w:rPr>
            </w:pPr>
            <w:r>
              <w:rPr>
                <w:sz w:val="22"/>
              </w:rPr>
              <w:t>Marcos</w:t>
            </w:r>
          </w:p>
        </w:tc>
        <w:tc>
          <w:tcPr>
            <w:tcW w:w="1274" w:type="dxa"/>
            <w:tcBorders>
              <w:bottom w:val="nil"/>
            </w:tcBorders>
          </w:tcPr>
          <w:p>
            <w:pPr>
              <w:pStyle w:val="TableParagraph"/>
              <w:spacing w:line="251" w:lineRule="exact"/>
              <w:ind w:left="100" w:right="98"/>
              <w:rPr>
                <w:sz w:val="22"/>
              </w:rPr>
            </w:pPr>
            <w:r>
              <w:rPr>
                <w:sz w:val="22"/>
              </w:rPr>
              <w:t>Médico</w:t>
            </w:r>
          </w:p>
        </w:tc>
        <w:tc>
          <w:tcPr>
            <w:tcW w:w="1887" w:type="dxa"/>
            <w:tcBorders>
              <w:bottom w:val="nil"/>
            </w:tcBorders>
          </w:tcPr>
          <w:p>
            <w:pPr>
              <w:pStyle w:val="TableParagraph"/>
              <w:spacing w:line="251" w:lineRule="exact"/>
              <w:rPr>
                <w:sz w:val="22"/>
              </w:rPr>
            </w:pPr>
            <w:r>
              <w:rPr>
                <w:sz w:val="22"/>
              </w:rPr>
              <w:t>Primer Regidor.</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ind w:left="129"/>
              <w:rPr>
                <w:sz w:val="22"/>
              </w:rPr>
            </w:pPr>
            <w:r>
              <w:rPr>
                <w:sz w:val="22"/>
              </w:rPr>
              <w:t>Polotitlán</w:t>
            </w:r>
          </w:p>
        </w:tc>
        <w:tc>
          <w:tcPr>
            <w:tcW w:w="2314" w:type="dxa"/>
            <w:tcBorders>
              <w:bottom w:val="nil"/>
            </w:tcBorders>
          </w:tcPr>
          <w:p>
            <w:pPr>
              <w:pStyle w:val="TableParagraph"/>
              <w:tabs>
                <w:tab w:pos="573" w:val="left" w:leader="none"/>
                <w:tab w:pos="1435" w:val="left" w:leader="none"/>
                <w:tab w:pos="2029" w:val="left" w:leader="none"/>
              </w:tabs>
              <w:spacing w:line="251" w:lineRule="exact"/>
              <w:ind w:left="100"/>
              <w:rPr>
                <w:sz w:val="22"/>
              </w:rPr>
            </w:pPr>
            <w:r>
              <w:rPr>
                <w:sz w:val="22"/>
              </w:rPr>
              <w:t>La</w:t>
              <w:tab/>
              <w:t>acción</w:t>
              <w:tab/>
              <w:t>que</w:t>
              <w:tab/>
              <w:t>el</w:t>
            </w:r>
          </w:p>
        </w:tc>
        <w:tc>
          <w:tcPr>
            <w:tcW w:w="3901" w:type="dxa"/>
            <w:tcBorders>
              <w:bottom w:val="nil"/>
            </w:tcBorders>
          </w:tcPr>
          <w:p>
            <w:pPr>
              <w:pStyle w:val="TableParagraph"/>
              <w:spacing w:line="251" w:lineRule="exact"/>
              <w:rPr>
                <w:sz w:val="22"/>
              </w:rPr>
            </w:pPr>
            <w:r>
              <w:rPr>
                <w:sz w:val="22"/>
              </w:rPr>
              <w:t>Siempre porque hay desacuerdos por</w:t>
            </w:r>
          </w:p>
        </w:tc>
      </w:tr>
      <w:tr>
        <w:trPr>
          <w:trHeight w:val="253" w:hRule="exact"/>
        </w:trPr>
        <w:tc>
          <w:tcPr>
            <w:tcW w:w="1385" w:type="dxa"/>
            <w:tcBorders>
              <w:top w:val="nil"/>
              <w:bottom w:val="nil"/>
            </w:tcBorders>
          </w:tcPr>
          <w:p>
            <w:pPr>
              <w:pStyle w:val="TableParagraph"/>
              <w:spacing w:line="242" w:lineRule="exact"/>
              <w:ind w:left="326" w:right="127"/>
              <w:rPr>
                <w:sz w:val="22"/>
              </w:rPr>
            </w:pPr>
            <w:r>
              <w:rPr>
                <w:sz w:val="22"/>
              </w:rPr>
              <w:t>Silverio</w:t>
            </w:r>
          </w:p>
        </w:tc>
        <w:tc>
          <w:tcPr>
            <w:tcW w:w="1274" w:type="dxa"/>
            <w:tcBorders>
              <w:top w:val="nil"/>
              <w:bottom w:val="nil"/>
            </w:tcBorders>
          </w:tcPr>
          <w:p>
            <w:pPr>
              <w:pStyle w:val="TableParagraph"/>
              <w:spacing w:line="242" w:lineRule="exact"/>
              <w:ind w:left="100" w:right="98"/>
              <w:rPr>
                <w:sz w:val="22"/>
              </w:rPr>
            </w:pPr>
            <w:r>
              <w:rPr>
                <w:sz w:val="22"/>
              </w:rPr>
              <w:t>Veterinari</w:t>
            </w:r>
          </w:p>
        </w:tc>
        <w:tc>
          <w:tcPr>
            <w:tcW w:w="1887" w:type="dxa"/>
            <w:tcBorders>
              <w:top w:val="nil"/>
              <w:bottom w:val="nil"/>
            </w:tcBorders>
          </w:tcPr>
          <w:p>
            <w:pPr>
              <w:pStyle w:val="TableParagraph"/>
              <w:spacing w:line="242" w:lineRule="exact"/>
              <w:rPr>
                <w:sz w:val="22"/>
              </w:rPr>
            </w:pPr>
            <w:r>
              <w:rPr>
                <w:sz w:val="22"/>
              </w:rPr>
              <w:t>Encargado de la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552" w:val="left" w:leader="none"/>
              </w:tabs>
              <w:spacing w:line="242" w:lineRule="exact"/>
              <w:ind w:left="100"/>
              <w:rPr>
                <w:sz w:val="22"/>
              </w:rPr>
            </w:pPr>
            <w:r>
              <w:rPr>
                <w:sz w:val="22"/>
              </w:rPr>
              <w:t>municipio</w:t>
              <w:tab/>
              <w:t>realiza</w:t>
            </w:r>
          </w:p>
        </w:tc>
        <w:tc>
          <w:tcPr>
            <w:tcW w:w="3901" w:type="dxa"/>
            <w:tcBorders>
              <w:top w:val="nil"/>
              <w:bottom w:val="nil"/>
            </w:tcBorders>
          </w:tcPr>
          <w:p>
            <w:pPr>
              <w:pStyle w:val="TableParagraph"/>
              <w:spacing w:line="242" w:lineRule="exact"/>
              <w:rPr>
                <w:sz w:val="22"/>
              </w:rPr>
            </w:pPr>
            <w:r>
              <w:rPr>
                <w:sz w:val="22"/>
              </w:rPr>
              <w:t>el volumen de uso y la cooperación.</w:t>
            </w:r>
          </w:p>
        </w:tc>
      </w:tr>
      <w:tr>
        <w:trPr>
          <w:trHeight w:val="253" w:hRule="exact"/>
        </w:trPr>
        <w:tc>
          <w:tcPr>
            <w:tcW w:w="1385" w:type="dxa"/>
            <w:tcBorders>
              <w:top w:val="nil"/>
              <w:bottom w:val="nil"/>
            </w:tcBorders>
          </w:tcPr>
          <w:p>
            <w:pPr>
              <w:pStyle w:val="TableParagraph"/>
              <w:spacing w:line="241" w:lineRule="exact"/>
              <w:ind w:left="307" w:right="127"/>
              <w:rPr>
                <w:sz w:val="22"/>
              </w:rPr>
            </w:pPr>
            <w:r>
              <w:rPr>
                <w:sz w:val="22"/>
              </w:rPr>
              <w:t>Basurto</w:t>
            </w:r>
          </w:p>
        </w:tc>
        <w:tc>
          <w:tcPr>
            <w:tcW w:w="1274" w:type="dxa"/>
            <w:tcBorders>
              <w:top w:val="nil"/>
              <w:bottom w:val="nil"/>
            </w:tcBorders>
          </w:tcPr>
          <w:p>
            <w:pPr>
              <w:pStyle w:val="TableParagraph"/>
              <w:spacing w:line="241" w:lineRule="exact"/>
              <w:ind w:left="100"/>
              <w:rPr>
                <w:sz w:val="22"/>
              </w:rPr>
            </w:pPr>
            <w:r>
              <w:rPr>
                <w:w w:val="100"/>
                <w:sz w:val="22"/>
              </w:rPr>
              <w:t>o</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para el uso del  agua</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left="271" w:right="127"/>
              <w:rPr>
                <w:sz w:val="22"/>
              </w:rPr>
            </w:pPr>
            <w:r>
              <w:rPr>
                <w:sz w:val="22"/>
              </w:rPr>
              <w:t>Esquivel</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90" w:val="left" w:leader="none"/>
                <w:tab w:pos="1005" w:val="left" w:leader="none"/>
                <w:tab w:pos="1969" w:val="left" w:leader="none"/>
              </w:tabs>
              <w:spacing w:line="242" w:lineRule="exact"/>
              <w:ind w:left="100"/>
              <w:rPr>
                <w:sz w:val="22"/>
              </w:rPr>
            </w:pPr>
            <w:r>
              <w:rPr>
                <w:sz w:val="22"/>
              </w:rPr>
              <w:t>de</w:t>
              <w:tab/>
              <w:t>la</w:t>
              <w:tab/>
              <w:t>laguna,</w:t>
              <w:tab/>
              <w:t>es</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Agropecuario 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capacitándolos   para</w:t>
            </w: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ind w:left="124"/>
              <w:rPr>
                <w:sz w:val="22"/>
              </w:rPr>
            </w:pPr>
            <w:r>
              <w:rPr>
                <w:sz w:val="22"/>
              </w:rPr>
              <w:t>(20/8/2014)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Ecología</w:t>
            </w: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el  uso  eficiente   del</w:t>
            </w:r>
          </w:p>
        </w:tc>
        <w:tc>
          <w:tcPr>
            <w:tcW w:w="3901" w:type="dxa"/>
            <w:tcBorders>
              <w:top w:val="nil"/>
            </w:tcBorders>
          </w:tcPr>
          <w:p>
            <w:pPr/>
          </w:p>
        </w:tc>
      </w:tr>
    </w:tbl>
    <w:p>
      <w:pPr>
        <w:spacing w:after="0"/>
        <w:sectPr>
          <w:pgSz w:w="15840" w:h="12240" w:orient="landscape"/>
          <w:pgMar w:header="0" w:footer="100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62" w:hRule="exact"/>
        </w:trPr>
        <w:tc>
          <w:tcPr>
            <w:tcW w:w="1385" w:type="dxa"/>
          </w:tcPr>
          <w:p>
            <w:pP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spacing w:line="251" w:lineRule="exact"/>
              <w:ind w:left="100"/>
              <w:rPr>
                <w:sz w:val="22"/>
              </w:rPr>
            </w:pPr>
            <w:r>
              <w:rPr>
                <w:sz w:val="22"/>
              </w:rPr>
              <w:t>agua.</w:t>
            </w:r>
          </w:p>
        </w:tc>
        <w:tc>
          <w:tcPr>
            <w:tcW w:w="3901" w:type="dxa"/>
          </w:tcPr>
          <w:p>
            <w:pPr/>
          </w:p>
        </w:tc>
      </w:tr>
      <w:tr>
        <w:trPr>
          <w:trHeight w:val="267" w:hRule="exact"/>
        </w:trPr>
        <w:tc>
          <w:tcPr>
            <w:tcW w:w="1385" w:type="dxa"/>
            <w:tcBorders>
              <w:bottom w:val="nil"/>
            </w:tcBorders>
          </w:tcPr>
          <w:p>
            <w:pPr>
              <w:pStyle w:val="TableParagraph"/>
              <w:spacing w:line="251" w:lineRule="exact"/>
              <w:ind w:left="85" w:right="85"/>
              <w:jc w:val="center"/>
              <w:rPr>
                <w:sz w:val="22"/>
              </w:rPr>
            </w:pPr>
            <w:r>
              <w:rPr>
                <w:sz w:val="22"/>
              </w:rPr>
              <w:t>Edith</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tabs>
                <w:tab w:pos="943" w:val="left" w:leader="none"/>
              </w:tabs>
              <w:spacing w:line="251" w:lineRule="exact"/>
              <w:rPr>
                <w:sz w:val="22"/>
              </w:rPr>
            </w:pPr>
            <w:r>
              <w:rPr>
                <w:sz w:val="22"/>
              </w:rPr>
              <w:t>Tercer</w:t>
              <w:tab/>
              <w:t>Regidor.</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ind w:left="84" w:right="84"/>
              <w:jc w:val="center"/>
              <w:rPr>
                <w:sz w:val="22"/>
              </w:rPr>
            </w:pPr>
            <w:r>
              <w:rPr>
                <w:sz w:val="22"/>
              </w:rPr>
              <w:t>Polotitlán</w:t>
            </w:r>
          </w:p>
        </w:tc>
        <w:tc>
          <w:tcPr>
            <w:tcW w:w="2314" w:type="dxa"/>
            <w:tcBorders>
              <w:bottom w:val="nil"/>
            </w:tcBorders>
          </w:tcPr>
          <w:p>
            <w:pPr>
              <w:pStyle w:val="TableParagraph"/>
              <w:tabs>
                <w:tab w:pos="798" w:val="left" w:leader="none"/>
                <w:tab w:pos="1384" w:val="left" w:leader="none"/>
                <w:tab w:pos="2029" w:val="left" w:leader="none"/>
              </w:tabs>
              <w:spacing w:line="251" w:lineRule="exact"/>
              <w:ind w:left="100"/>
              <w:rPr>
                <w:sz w:val="22"/>
              </w:rPr>
            </w:pPr>
            <w:r>
              <w:rPr>
                <w:sz w:val="22"/>
              </w:rPr>
              <w:t>Para</w:t>
              <w:tab/>
              <w:t>eso</w:t>
              <w:tab/>
              <w:t>está</w:t>
              <w:tab/>
              <w:t>el</w:t>
            </w:r>
          </w:p>
        </w:tc>
        <w:tc>
          <w:tcPr>
            <w:tcW w:w="3901" w:type="dxa"/>
            <w:tcBorders>
              <w:bottom w:val="nil"/>
            </w:tcBorders>
          </w:tcPr>
          <w:p>
            <w:pPr>
              <w:pStyle w:val="TableParagraph"/>
              <w:spacing w:line="251" w:lineRule="exact"/>
              <w:rPr>
                <w:sz w:val="22"/>
              </w:rPr>
            </w:pPr>
            <w:r>
              <w:rPr>
                <w:sz w:val="22"/>
              </w:rPr>
              <w:t>No porque hay un orden.</w:t>
            </w: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Alvarado</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Encargada  de la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Consejo del Agua del</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left="85" w:right="84"/>
              <w:jc w:val="center"/>
              <w:rPr>
                <w:sz w:val="22"/>
              </w:rPr>
            </w:pPr>
            <w:r>
              <w:rPr>
                <w:sz w:val="22"/>
              </w:rPr>
              <w:t>Herrera</w:t>
            </w:r>
          </w:p>
        </w:tc>
        <w:tc>
          <w:tcPr>
            <w:tcW w:w="1274" w:type="dxa"/>
            <w:tcBorders>
              <w:top w:val="nil"/>
              <w:bottom w:val="nil"/>
            </w:tcBorders>
          </w:tcPr>
          <w:p>
            <w:pPr>
              <w:pStyle w:val="TableParagraph"/>
              <w:spacing w:line="241" w:lineRule="exact"/>
              <w:ind w:left="100" w:right="98"/>
              <w:rPr>
                <w:sz w:val="22"/>
              </w:rPr>
            </w:pPr>
            <w:r>
              <w:rPr>
                <w:sz w:val="22"/>
              </w:rPr>
              <w:t>Derecho</w:t>
            </w: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055" w:val="left" w:leader="none"/>
                <w:tab w:pos="1554" w:val="left" w:leader="none"/>
              </w:tabs>
              <w:spacing w:line="241" w:lineRule="exact"/>
              <w:ind w:left="100"/>
              <w:rPr>
                <w:sz w:val="22"/>
              </w:rPr>
            </w:pPr>
            <w:r>
              <w:rPr>
                <w:sz w:val="22"/>
              </w:rPr>
              <w:t>Comité</w:t>
              <w:tab/>
              <w:t>de</w:t>
              <w:tab/>
              <w:t>Arroyo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Zarco.</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left="85" w:right="86"/>
              <w:jc w:val="center"/>
              <w:rPr>
                <w:sz w:val="22"/>
              </w:rPr>
            </w:pPr>
            <w:r>
              <w:rPr>
                <w:sz w:val="22"/>
              </w:rPr>
              <w:t>(4/9/2014)</w:t>
            </w: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41" w:lineRule="exact"/>
              <w:rPr>
                <w:sz w:val="22"/>
              </w:rPr>
            </w:pPr>
            <w:r>
              <w:rPr>
                <w:sz w:val="22"/>
              </w:rPr>
              <w:t>Económico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Urbano.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9" w:hRule="exact"/>
        </w:trPr>
        <w:tc>
          <w:tcPr>
            <w:tcW w:w="1385" w:type="dxa"/>
            <w:tcBorders>
              <w:bottom w:val="nil"/>
            </w:tcBorders>
          </w:tcPr>
          <w:p>
            <w:pPr>
              <w:pStyle w:val="TableParagraph"/>
              <w:ind w:left="85" w:right="85"/>
              <w:jc w:val="center"/>
              <w:rPr>
                <w:sz w:val="22"/>
              </w:rPr>
            </w:pPr>
            <w:r>
              <w:rPr>
                <w:sz w:val="22"/>
              </w:rPr>
              <w:t>Irma Lara</w:t>
            </w:r>
          </w:p>
        </w:tc>
        <w:tc>
          <w:tcPr>
            <w:tcW w:w="1274" w:type="dxa"/>
            <w:tcBorders>
              <w:bottom w:val="nil"/>
            </w:tcBorders>
          </w:tcPr>
          <w:p>
            <w:pPr>
              <w:pStyle w:val="TableParagraph"/>
              <w:ind w:left="134" w:right="98"/>
              <w:rPr>
                <w:sz w:val="22"/>
              </w:rPr>
            </w:pPr>
            <w:r>
              <w:rPr>
                <w:sz w:val="22"/>
              </w:rPr>
              <w:t>Secundari</w:t>
            </w:r>
          </w:p>
        </w:tc>
        <w:tc>
          <w:tcPr>
            <w:tcW w:w="1887" w:type="dxa"/>
            <w:tcBorders>
              <w:bottom w:val="nil"/>
            </w:tcBorders>
          </w:tcPr>
          <w:p>
            <w:pPr>
              <w:pStyle w:val="TableParagraph"/>
              <w:tabs>
                <w:tab w:pos="1528" w:val="left" w:leader="none"/>
              </w:tabs>
              <w:rPr>
                <w:sz w:val="22"/>
              </w:rPr>
            </w:pPr>
            <w:r>
              <w:rPr>
                <w:sz w:val="22"/>
              </w:rPr>
              <w:t>Coordinador</w:t>
              <w:tab/>
              <w:t>de</w:t>
            </w:r>
          </w:p>
        </w:tc>
        <w:tc>
          <w:tcPr>
            <w:tcW w:w="1289" w:type="dxa"/>
            <w:tcBorders>
              <w:bottom w:val="nil"/>
            </w:tcBorders>
          </w:tcPr>
          <w:p>
            <w:pPr>
              <w:pStyle w:val="TableParagraph"/>
              <w:ind w:left="0" w:right="184"/>
              <w:jc w:val="right"/>
              <w:rPr>
                <w:sz w:val="22"/>
              </w:rPr>
            </w:pPr>
            <w:r>
              <w:rPr>
                <w:sz w:val="22"/>
              </w:rPr>
              <w:t>Polotitlán</w:t>
            </w:r>
          </w:p>
        </w:tc>
        <w:tc>
          <w:tcPr>
            <w:tcW w:w="1174" w:type="dxa"/>
            <w:tcBorders>
              <w:bottom w:val="nil"/>
            </w:tcBorders>
          </w:tcPr>
          <w:p>
            <w:pPr>
              <w:pStyle w:val="TableParagraph"/>
              <w:ind w:left="84" w:right="84"/>
              <w:jc w:val="center"/>
              <w:rPr>
                <w:sz w:val="22"/>
              </w:rPr>
            </w:pPr>
            <w:r>
              <w:rPr>
                <w:sz w:val="22"/>
              </w:rPr>
              <w:t>Polotitlán</w:t>
            </w:r>
          </w:p>
        </w:tc>
        <w:tc>
          <w:tcPr>
            <w:tcW w:w="2314" w:type="dxa"/>
            <w:tcBorders>
              <w:bottom w:val="nil"/>
            </w:tcBorders>
          </w:tcPr>
          <w:p>
            <w:pPr>
              <w:pStyle w:val="TableParagraph"/>
              <w:tabs>
                <w:tab w:pos="659" w:val="left" w:leader="none"/>
                <w:tab w:pos="1952" w:val="left" w:leader="none"/>
              </w:tabs>
              <w:ind w:left="100"/>
              <w:rPr>
                <w:sz w:val="22"/>
              </w:rPr>
            </w:pPr>
            <w:r>
              <w:rPr>
                <w:sz w:val="22"/>
              </w:rPr>
              <w:t>El</w:t>
              <w:tab/>
              <w:t>municipio</w:t>
              <w:tab/>
              <w:t>no</w:t>
            </w:r>
          </w:p>
        </w:tc>
        <w:tc>
          <w:tcPr>
            <w:tcW w:w="3901" w:type="dxa"/>
            <w:tcBorders>
              <w:bottom w:val="nil"/>
            </w:tcBorders>
          </w:tcPr>
          <w:p>
            <w:pPr>
              <w:pStyle w:val="TableParagraph"/>
              <w:rPr>
                <w:sz w:val="22"/>
              </w:rPr>
            </w:pPr>
            <w:r>
              <w:rPr>
                <w:sz w:val="22"/>
              </w:rPr>
              <w:t>Pues que esté enterada no, porque el</w:t>
            </w:r>
          </w:p>
        </w:tc>
      </w:tr>
      <w:tr>
        <w:trPr>
          <w:trHeight w:val="252" w:hRule="exact"/>
        </w:trPr>
        <w:tc>
          <w:tcPr>
            <w:tcW w:w="1385" w:type="dxa"/>
            <w:tcBorders>
              <w:top w:val="nil"/>
              <w:bottom w:val="nil"/>
            </w:tcBorders>
          </w:tcPr>
          <w:p>
            <w:pPr>
              <w:pStyle w:val="TableParagraph"/>
              <w:spacing w:line="241" w:lineRule="exact"/>
              <w:ind w:left="85" w:right="85"/>
              <w:jc w:val="center"/>
              <w:rPr>
                <w:sz w:val="22"/>
              </w:rPr>
            </w:pPr>
            <w:r>
              <w:rPr>
                <w:sz w:val="22"/>
              </w:rPr>
              <w:t>Ramírez</w:t>
            </w:r>
          </w:p>
        </w:tc>
        <w:tc>
          <w:tcPr>
            <w:tcW w:w="1274" w:type="dxa"/>
            <w:tcBorders>
              <w:top w:val="nil"/>
              <w:bottom w:val="nil"/>
            </w:tcBorders>
          </w:tcPr>
          <w:p>
            <w:pPr>
              <w:pStyle w:val="TableParagraph"/>
              <w:spacing w:line="241" w:lineRule="exact"/>
              <w:ind w:left="0" w:right="2"/>
              <w:jc w:val="center"/>
              <w:rPr>
                <w:sz w:val="22"/>
              </w:rPr>
            </w:pPr>
            <w:r>
              <w:rPr>
                <w:w w:val="100"/>
                <w:sz w:val="22"/>
              </w:rPr>
              <w:t>a</w:t>
            </w: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realiza acciones para</w:t>
            </w:r>
          </w:p>
        </w:tc>
        <w:tc>
          <w:tcPr>
            <w:tcW w:w="3901" w:type="dxa"/>
            <w:tcBorders>
              <w:top w:val="nil"/>
              <w:bottom w:val="nil"/>
            </w:tcBorders>
          </w:tcPr>
          <w:p>
            <w:pPr>
              <w:pStyle w:val="TableParagraph"/>
              <w:spacing w:line="241" w:lineRule="exact"/>
              <w:rPr>
                <w:sz w:val="22"/>
              </w:rPr>
            </w:pPr>
            <w:r>
              <w:rPr>
                <w:sz w:val="22"/>
              </w:rPr>
              <w:t>riego  está  regulado  cada  municipio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18" w:val="left" w:leader="none"/>
                <w:tab w:pos="1535" w:val="left" w:leader="none"/>
                <w:tab w:pos="2027" w:val="left" w:leader="none"/>
              </w:tabs>
              <w:spacing w:line="241" w:lineRule="exact"/>
              <w:ind w:left="100"/>
              <w:rPr>
                <w:sz w:val="22"/>
              </w:rPr>
            </w:pPr>
            <w:r>
              <w:rPr>
                <w:sz w:val="22"/>
              </w:rPr>
              <w:t>el</w:t>
              <w:tab/>
              <w:t>cuidado</w:t>
              <w:tab/>
              <w:t>de</w:t>
              <w:tab/>
              <w:t>la</w:t>
            </w:r>
          </w:p>
        </w:tc>
        <w:tc>
          <w:tcPr>
            <w:tcW w:w="3901" w:type="dxa"/>
            <w:tcBorders>
              <w:top w:val="nil"/>
              <w:bottom w:val="nil"/>
            </w:tcBorders>
          </w:tcPr>
          <w:p>
            <w:pPr>
              <w:pStyle w:val="TableParagraph"/>
              <w:tabs>
                <w:tab w:pos="796" w:val="left" w:leader="none"/>
                <w:tab w:pos="1376" w:val="left" w:leader="none"/>
                <w:tab w:pos="2482" w:val="left" w:leader="none"/>
                <w:tab w:pos="3432" w:val="left" w:leader="none"/>
              </w:tabs>
              <w:spacing w:line="241" w:lineRule="exact"/>
              <w:rPr>
                <w:sz w:val="22"/>
              </w:rPr>
            </w:pPr>
            <w:r>
              <w:rPr>
                <w:sz w:val="22"/>
              </w:rPr>
              <w:t>tiene</w:t>
              <w:tab/>
              <w:t>una</w:t>
              <w:tab/>
              <w:t>cantidad,</w:t>
              <w:tab/>
              <w:t>aunque</w:t>
              <w:tab/>
              <w:t>hay</w:t>
            </w:r>
          </w:p>
        </w:tc>
      </w:tr>
      <w:tr>
        <w:trPr>
          <w:trHeight w:val="253" w:hRule="exact"/>
        </w:trPr>
        <w:tc>
          <w:tcPr>
            <w:tcW w:w="1385" w:type="dxa"/>
            <w:tcBorders>
              <w:top w:val="nil"/>
              <w:bottom w:val="nil"/>
            </w:tcBorders>
          </w:tcPr>
          <w:p>
            <w:pPr>
              <w:pStyle w:val="TableParagraph"/>
              <w:spacing w:line="242" w:lineRule="exact"/>
              <w:ind w:left="85" w:right="85"/>
              <w:jc w:val="center"/>
              <w:rPr>
                <w:sz w:val="22"/>
              </w:rPr>
            </w:pPr>
            <w:r>
              <w:rPr>
                <w:sz w:val="22"/>
              </w:rPr>
              <w:t>(20/8/2014)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024" w:val="left" w:leader="none"/>
                <w:tab w:pos="1969" w:val="left" w:leader="none"/>
              </w:tabs>
              <w:spacing w:line="242" w:lineRule="exact"/>
              <w:ind w:left="100"/>
              <w:rPr>
                <w:sz w:val="22"/>
              </w:rPr>
            </w:pPr>
            <w:r>
              <w:rPr>
                <w:sz w:val="22"/>
              </w:rPr>
              <w:t>laguna</w:t>
              <w:tab/>
              <w:t>porque</w:t>
              <w:tab/>
              <w:t>se</w:t>
            </w:r>
          </w:p>
        </w:tc>
        <w:tc>
          <w:tcPr>
            <w:tcW w:w="3901" w:type="dxa"/>
            <w:tcBorders>
              <w:top w:val="nil"/>
              <w:bottom w:val="nil"/>
            </w:tcBorders>
          </w:tcPr>
          <w:p>
            <w:pPr>
              <w:pStyle w:val="TableParagraph"/>
              <w:spacing w:line="242" w:lineRule="exact"/>
              <w:rPr>
                <w:sz w:val="22"/>
              </w:rPr>
            </w:pPr>
            <w:r>
              <w:rPr>
                <w:sz w:val="22"/>
              </w:rPr>
              <w:t>comentarios  de  que  se  la  llevan  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94" w:val="left" w:leader="none"/>
                <w:tab w:pos="1919" w:val="left" w:leader="none"/>
              </w:tabs>
              <w:spacing w:line="241" w:lineRule="exact"/>
              <w:ind w:left="100"/>
              <w:rPr>
                <w:sz w:val="22"/>
              </w:rPr>
            </w:pPr>
            <w:r>
              <w:rPr>
                <w:sz w:val="22"/>
              </w:rPr>
              <w:t>maneja</w:t>
              <w:tab/>
              <w:t>con</w:t>
              <w:tab/>
              <w:t>los</w:t>
            </w:r>
          </w:p>
        </w:tc>
        <w:tc>
          <w:tcPr>
            <w:tcW w:w="3901" w:type="dxa"/>
            <w:tcBorders>
              <w:top w:val="nil"/>
              <w:bottom w:val="nil"/>
            </w:tcBorders>
          </w:tcPr>
          <w:p>
            <w:pPr>
              <w:pStyle w:val="TableParagraph"/>
              <w:spacing w:line="241" w:lineRule="exact"/>
              <w:rPr>
                <w:sz w:val="22"/>
              </w:rPr>
            </w:pPr>
            <w:r>
              <w:rPr>
                <w:sz w:val="22"/>
              </w:rPr>
              <w:t>Hidalgo y pienso que se debe invertir</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592" w:val="left" w:leader="none"/>
                <w:tab w:pos="1957" w:val="left" w:leader="none"/>
              </w:tabs>
              <w:spacing w:line="242" w:lineRule="exact"/>
              <w:ind w:left="100"/>
              <w:rPr>
                <w:sz w:val="22"/>
              </w:rPr>
            </w:pPr>
            <w:r>
              <w:rPr>
                <w:sz w:val="22"/>
              </w:rPr>
              <w:t>beneficiarios</w:t>
              <w:tab/>
              <w:t>y</w:t>
              <w:tab/>
              <w:t>un</w:t>
            </w:r>
          </w:p>
        </w:tc>
        <w:tc>
          <w:tcPr>
            <w:tcW w:w="3901" w:type="dxa"/>
            <w:tcBorders>
              <w:top w:val="nil"/>
              <w:bottom w:val="nil"/>
            </w:tcBorders>
          </w:tcPr>
          <w:p>
            <w:pPr>
              <w:pStyle w:val="TableParagraph"/>
              <w:tabs>
                <w:tab w:pos="625" w:val="left" w:leader="none"/>
                <w:tab w:pos="1271" w:val="left" w:leader="none"/>
                <w:tab w:pos="2005" w:val="left" w:leader="none"/>
                <w:tab w:pos="3017" w:val="left" w:leader="none"/>
                <w:tab w:pos="3615" w:val="left" w:leader="none"/>
              </w:tabs>
              <w:spacing w:line="242" w:lineRule="exact"/>
              <w:rPr>
                <w:sz w:val="22"/>
              </w:rPr>
            </w:pPr>
            <w:r>
              <w:rPr>
                <w:sz w:val="22"/>
              </w:rPr>
              <w:t>lo</w:t>
              <w:tab/>
              <w:t>del</w:t>
              <w:tab/>
              <w:t>otro</w:t>
              <w:tab/>
              <w:t>estado</w:t>
              <w:tab/>
              <w:t>en</w:t>
              <w:tab/>
              <w:t>el</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8" w:val="left" w:leader="none"/>
              </w:tabs>
              <w:spacing w:line="241" w:lineRule="exact"/>
              <w:ind w:left="100"/>
              <w:rPr>
                <w:sz w:val="22"/>
              </w:rPr>
            </w:pPr>
            <w:r>
              <w:rPr>
                <w:sz w:val="22"/>
              </w:rPr>
              <w:t>Comité</w:t>
              <w:tab/>
              <w:t>de</w:t>
            </w:r>
          </w:p>
        </w:tc>
        <w:tc>
          <w:tcPr>
            <w:tcW w:w="3901" w:type="dxa"/>
            <w:tcBorders>
              <w:top w:val="nil"/>
              <w:bottom w:val="nil"/>
            </w:tcBorders>
          </w:tcPr>
          <w:p>
            <w:pPr>
              <w:pStyle w:val="TableParagraph"/>
              <w:spacing w:line="241" w:lineRule="exact"/>
              <w:rPr>
                <w:sz w:val="22"/>
              </w:rPr>
            </w:pPr>
            <w:r>
              <w:rPr>
                <w:sz w:val="22"/>
              </w:rPr>
              <w:t>mantenimiento de la laguna.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representatividad</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que  está  en </w:t>
            </w:r>
            <w:r>
              <w:rPr>
                <w:spacing w:val="50"/>
                <w:sz w:val="22"/>
              </w:rPr>
              <w:t> </w:t>
            </w:r>
            <w:r>
              <w:rPr>
                <w:sz w:val="22"/>
              </w:rPr>
              <w:t>Arroyo</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Zarco.</w:t>
            </w:r>
          </w:p>
        </w:tc>
        <w:tc>
          <w:tcPr>
            <w:tcW w:w="3901" w:type="dxa"/>
            <w:tcBorders>
              <w:top w:val="nil"/>
            </w:tcBorders>
          </w:tcPr>
          <w:p>
            <w:pPr/>
          </w:p>
        </w:tc>
      </w:tr>
    </w:tbl>
    <w:p>
      <w:pPr>
        <w:pStyle w:val="BodyText"/>
        <w:spacing w:line="249" w:lineRule="exact"/>
        <w:ind w:left="218" w:right="778"/>
      </w:pPr>
      <w:r>
        <w:rPr>
          <w:b/>
        </w:rPr>
        <w:t>Fuente: </w:t>
      </w:r>
      <w:r>
        <w:rPr/>
        <w:t>Elaboración propia con base en el Trabajo de Campo, García (2013-2015).</w:t>
      </w:r>
    </w:p>
    <w:p>
      <w:pPr>
        <w:pStyle w:val="BodyText"/>
        <w:spacing w:before="6"/>
        <w:rPr>
          <w:sz w:val="20"/>
        </w:rPr>
      </w:pPr>
    </w:p>
    <w:p>
      <w:pPr>
        <w:pStyle w:val="Heading6"/>
        <w:ind w:left="2220" w:right="778"/>
      </w:pPr>
      <w:r>
        <w:rPr/>
        <w:t>Tabla 6.12. Municipio de Polotitlán (Autoridades Municipales) (continuidad de la tabla)</w:t>
      </w:r>
    </w:p>
    <w:p>
      <w:pPr>
        <w:pStyle w:val="BodyText"/>
        <w:spacing w:before="2"/>
        <w:rPr>
          <w:b/>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5" w:right="4870"/>
              <w:jc w:val="center"/>
              <w:rPr>
                <w:b/>
                <w:sz w:val="22"/>
              </w:rPr>
            </w:pPr>
            <w:r>
              <w:rPr>
                <w:b/>
                <w:sz w:val="22"/>
              </w:rPr>
              <w:t>POLOTITLÁN</w:t>
            </w:r>
          </w:p>
        </w:tc>
      </w:tr>
      <w:tr>
        <w:trPr>
          <w:trHeight w:val="526" w:hRule="exact"/>
        </w:trPr>
        <w:tc>
          <w:tcPr>
            <w:tcW w:w="4547" w:type="dxa"/>
            <w:gridSpan w:val="3"/>
            <w:vMerge w:val="restart"/>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8"/>
              <w:ind w:left="0"/>
              <w:rPr>
                <w:b/>
                <w:sz w:val="21"/>
              </w:rPr>
            </w:pPr>
          </w:p>
          <w:p>
            <w:pPr>
              <w:pStyle w:val="TableParagraph"/>
              <w:ind w:left="2695"/>
              <w:rPr>
                <w:b/>
                <w:sz w:val="22"/>
              </w:rPr>
            </w:pPr>
            <w:r>
              <w:rPr>
                <w:b/>
                <w:sz w:val="22"/>
              </w:rPr>
              <w:t>PRINCIPIOS DE GOBERNANZA</w:t>
            </w:r>
          </w:p>
        </w:tc>
      </w:tr>
      <w:tr>
        <w:trPr>
          <w:trHeight w:val="516"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Autogestión</w:t>
            </w:r>
          </w:p>
        </w:tc>
        <w:tc>
          <w:tcPr>
            <w:tcW w:w="3901" w:type="dxa"/>
            <w:shd w:val="clear" w:color="auto" w:fill="92CDDC"/>
          </w:tcPr>
          <w:p>
            <w:pPr>
              <w:pStyle w:val="TableParagraph"/>
              <w:tabs>
                <w:tab w:pos="2147" w:val="left" w:leader="none"/>
                <w:tab w:pos="2696" w:val="left" w:leader="none"/>
              </w:tabs>
              <w:spacing w:line="252" w:lineRule="exact" w:before="2"/>
              <w:ind w:right="102"/>
              <w:rPr>
                <w:b/>
                <w:i/>
                <w:sz w:val="22"/>
              </w:rPr>
            </w:pPr>
            <w:r>
              <w:rPr>
                <w:b/>
                <w:i/>
                <w:sz w:val="22"/>
              </w:rPr>
              <w:t>Gobernabilidad</w:t>
              <w:tab/>
              <w:t>y</w:t>
              <w:tab/>
            </w:r>
            <w:r>
              <w:rPr>
                <w:b/>
                <w:i/>
                <w:spacing w:val="-1"/>
                <w:sz w:val="22"/>
              </w:rPr>
              <w:t>relaciones </w:t>
            </w:r>
            <w:r>
              <w:rPr>
                <w:b/>
                <w:i/>
                <w:sz w:val="22"/>
              </w:rPr>
              <w:t>intermunicipales</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tabs>
                <w:tab w:pos="1242" w:val="left" w:leader="none"/>
                <w:tab w:pos="2017" w:val="left" w:leader="none"/>
              </w:tabs>
              <w:spacing w:line="248" w:lineRule="exact"/>
              <w:ind w:left="100"/>
              <w:rPr>
                <w:b/>
                <w:sz w:val="22"/>
              </w:rPr>
            </w:pPr>
            <w:r>
              <w:rPr>
                <w:b/>
                <w:sz w:val="22"/>
              </w:rPr>
              <w:t>¿Cuál</w:t>
              <w:tab/>
              <w:t>es</w:t>
              <w:tab/>
              <w:t>el</w:t>
            </w:r>
          </w:p>
        </w:tc>
        <w:tc>
          <w:tcPr>
            <w:tcW w:w="3901" w:type="dxa"/>
            <w:tcBorders>
              <w:bottom w:val="nil"/>
            </w:tcBorders>
            <w:shd w:val="clear" w:color="auto" w:fill="92CDDC"/>
          </w:tcPr>
          <w:p>
            <w:pPr>
              <w:pStyle w:val="TableParagraph"/>
              <w:spacing w:line="248" w:lineRule="exact"/>
              <w:rPr>
                <w:b/>
                <w:sz w:val="22"/>
              </w:rPr>
            </w:pPr>
            <w:r>
              <w:rPr>
                <w:b/>
                <w:sz w:val="22"/>
              </w:rPr>
              <w:t>¿Considera  apropiado  que  exista</w:t>
            </w:r>
          </w:p>
        </w:tc>
      </w:tr>
      <w:tr>
        <w:trPr>
          <w:trHeight w:val="254"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1235" w:val="left" w:leader="none"/>
              </w:tabs>
              <w:spacing w:line="241" w:lineRule="exact"/>
              <w:ind w:left="100"/>
              <w:rPr>
                <w:b/>
                <w:sz w:val="22"/>
              </w:rPr>
            </w:pPr>
            <w:r>
              <w:rPr>
                <w:b/>
                <w:sz w:val="22"/>
              </w:rPr>
              <w:t>principal</w:t>
              <w:tab/>
              <w:t>beneficio</w:t>
            </w:r>
          </w:p>
        </w:tc>
        <w:tc>
          <w:tcPr>
            <w:tcW w:w="3901" w:type="dxa"/>
            <w:tcBorders>
              <w:top w:val="nil"/>
              <w:bottom w:val="nil"/>
            </w:tcBorders>
            <w:shd w:val="clear" w:color="auto" w:fill="92CDDC"/>
          </w:tcPr>
          <w:p>
            <w:pPr>
              <w:pStyle w:val="TableParagraph"/>
              <w:spacing w:line="241" w:lineRule="exact"/>
              <w:rPr>
                <w:b/>
                <w:sz w:val="22"/>
              </w:rPr>
            </w:pPr>
            <w:r>
              <w:rPr>
                <w:b/>
                <w:sz w:val="22"/>
              </w:rPr>
              <w:t>un  Comité  Intermunicipal  con  su</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894" w:val="left" w:leader="none"/>
                <w:tab w:pos="1945" w:val="left" w:leader="none"/>
              </w:tabs>
              <w:spacing w:line="242" w:lineRule="exact"/>
              <w:ind w:left="100"/>
              <w:rPr>
                <w:b/>
                <w:sz w:val="22"/>
              </w:rPr>
            </w:pPr>
            <w:r>
              <w:rPr>
                <w:b/>
                <w:sz w:val="22"/>
              </w:rPr>
              <w:t>que</w:t>
              <w:tab/>
              <w:t>recibe</w:t>
              <w:tab/>
              <w:t>su</w:t>
            </w:r>
          </w:p>
        </w:tc>
        <w:tc>
          <w:tcPr>
            <w:tcW w:w="3901" w:type="dxa"/>
            <w:tcBorders>
              <w:top w:val="nil"/>
              <w:bottom w:val="nil"/>
            </w:tcBorders>
            <w:shd w:val="clear" w:color="auto" w:fill="92CDDC"/>
          </w:tcPr>
          <w:p>
            <w:pPr>
              <w:pStyle w:val="TableParagraph"/>
              <w:spacing w:line="242" w:lineRule="exact"/>
              <w:rPr>
                <w:b/>
                <w:sz w:val="22"/>
              </w:rPr>
            </w:pPr>
            <w:r>
              <w:rPr>
                <w:b/>
                <w:sz w:val="22"/>
              </w:rPr>
              <w:t>Reglamento para el uso, cuidado y</w:t>
            </w: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451" w:val="left" w:leader="none"/>
                <w:tab w:pos="2017" w:val="left" w:leader="none"/>
              </w:tabs>
              <w:spacing w:line="241" w:lineRule="exact"/>
              <w:ind w:left="100"/>
              <w:rPr>
                <w:b/>
                <w:sz w:val="22"/>
              </w:rPr>
            </w:pPr>
            <w:r>
              <w:rPr>
                <w:b/>
                <w:sz w:val="22"/>
              </w:rPr>
              <w:t>municipio</w:t>
              <w:tab/>
              <w:t>de</w:t>
              <w:tab/>
              <w:t>la</w:t>
            </w:r>
          </w:p>
        </w:tc>
        <w:tc>
          <w:tcPr>
            <w:tcW w:w="3901" w:type="dxa"/>
            <w:tcBorders>
              <w:top w:val="nil"/>
              <w:bottom w:val="nil"/>
            </w:tcBorders>
            <w:shd w:val="clear" w:color="auto" w:fill="92CDDC"/>
          </w:tcPr>
          <w:p>
            <w:pPr>
              <w:pStyle w:val="TableParagraph"/>
              <w:tabs>
                <w:tab w:pos="1297" w:val="left" w:leader="none"/>
                <w:tab w:pos="1914" w:val="left" w:leader="none"/>
                <w:tab w:pos="2458" w:val="left" w:leader="none"/>
                <w:tab w:pos="3530" w:val="left" w:leader="none"/>
              </w:tabs>
              <w:spacing w:line="241" w:lineRule="exact"/>
              <w:rPr>
                <w:b/>
                <w:sz w:val="22"/>
              </w:rPr>
            </w:pPr>
            <w:r>
              <w:rPr>
                <w:b/>
                <w:sz w:val="22"/>
              </w:rPr>
              <w:t>defensa</w:t>
              <w:tab/>
              <w:t>de</w:t>
              <w:tab/>
              <w:t>la</w:t>
              <w:tab/>
              <w:t>laguna</w:t>
              <w:tab/>
              <w:t>de</w:t>
            </w: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945" w:val="left" w:leader="none"/>
              </w:tabs>
              <w:spacing w:line="242"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2" w:lineRule="exact"/>
              <w:rPr>
                <w:b/>
                <w:sz w:val="22"/>
              </w:rPr>
            </w:pPr>
            <w:r>
              <w:rPr>
                <w:b/>
                <w:sz w:val="22"/>
              </w:rPr>
              <w:t>Huapango?</w:t>
            </w:r>
          </w:p>
        </w:tc>
      </w:tr>
      <w:tr>
        <w:trPr>
          <w:trHeight w:val="251"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Huapango?</w:t>
            </w:r>
          </w:p>
        </w:tc>
        <w:tc>
          <w:tcPr>
            <w:tcW w:w="3901" w:type="dxa"/>
            <w:tcBorders>
              <w:top w:val="nil"/>
            </w:tcBorders>
            <w:shd w:val="clear" w:color="auto" w:fill="92CDDC"/>
          </w:tcPr>
          <w:p>
            <w:pPr/>
          </w:p>
        </w:tc>
      </w:tr>
    </w:tbl>
    <w:p>
      <w:pPr>
        <w:spacing w:after="0"/>
        <w:sectPr>
          <w:pgSz w:w="15840" w:h="12240" w:orient="landscape"/>
          <w:pgMar w:header="0" w:footer="100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540" w:hRule="exact"/>
        </w:trPr>
        <w:tc>
          <w:tcPr>
            <w:tcW w:w="1385" w:type="dxa"/>
          </w:tcPr>
          <w:p>
            <w:pPr>
              <w:pStyle w:val="TableParagraph"/>
              <w:ind w:right="103"/>
              <w:rPr>
                <w:sz w:val="22"/>
              </w:rPr>
            </w:pPr>
            <w:r>
              <w:rPr>
                <w:sz w:val="22"/>
              </w:rPr>
              <w:t>María Silvia Barquet Muñoz</w:t>
            </w:r>
          </w:p>
          <w:p>
            <w:pPr>
              <w:pStyle w:val="TableParagraph"/>
              <w:ind w:left="0"/>
              <w:rPr>
                <w:b/>
                <w:sz w:val="22"/>
              </w:rPr>
            </w:pPr>
          </w:p>
          <w:p>
            <w:pPr>
              <w:pStyle w:val="TableParagraph"/>
              <w:rPr>
                <w:sz w:val="22"/>
              </w:rPr>
            </w:pPr>
            <w:r>
              <w:rPr>
                <w:sz w:val="22"/>
              </w:rPr>
              <w:t>(20/8/2014)</w:t>
            </w:r>
          </w:p>
        </w:tc>
        <w:tc>
          <w:tcPr>
            <w:tcW w:w="1274" w:type="dxa"/>
          </w:tcPr>
          <w:p>
            <w:pPr>
              <w:pStyle w:val="TableParagraph"/>
              <w:ind w:left="100" w:right="92"/>
              <w:rPr>
                <w:sz w:val="22"/>
              </w:rPr>
            </w:pPr>
            <w:r>
              <w:rPr>
                <w:sz w:val="22"/>
              </w:rPr>
              <w:t>Licenciada en Administra ción de Empresas</w:t>
            </w:r>
          </w:p>
        </w:tc>
        <w:tc>
          <w:tcPr>
            <w:tcW w:w="1887" w:type="dxa"/>
          </w:tcPr>
          <w:p>
            <w:pPr>
              <w:pStyle w:val="TableParagraph"/>
              <w:spacing w:line="252" w:lineRule="exact" w:before="2"/>
              <w:ind w:left="472" w:right="396" w:hanging="63"/>
              <w:rPr>
                <w:sz w:val="22"/>
              </w:rPr>
            </w:pPr>
            <w:r>
              <w:rPr>
                <w:sz w:val="22"/>
              </w:rPr>
              <w:t>Presidenta Municipal</w:t>
            </w:r>
          </w:p>
        </w:tc>
        <w:tc>
          <w:tcPr>
            <w:tcW w:w="1289" w:type="dxa"/>
          </w:tcPr>
          <w:p>
            <w:pPr>
              <w:pStyle w:val="TableParagraph"/>
              <w:spacing w:line="251" w:lineRule="exact"/>
              <w:ind w:left="0" w:right="184"/>
              <w:jc w:val="right"/>
              <w:rPr>
                <w:sz w:val="22"/>
              </w:rPr>
            </w:pPr>
            <w:r>
              <w:rPr>
                <w:sz w:val="22"/>
              </w:rPr>
              <w:t>Polotitlán</w:t>
            </w:r>
          </w:p>
        </w:tc>
        <w:tc>
          <w:tcPr>
            <w:tcW w:w="1174" w:type="dxa"/>
          </w:tcPr>
          <w:p>
            <w:pPr>
              <w:pStyle w:val="TableParagraph"/>
              <w:spacing w:line="251" w:lineRule="exact"/>
              <w:ind w:left="59" w:right="109"/>
              <w:jc w:val="center"/>
              <w:rPr>
                <w:sz w:val="22"/>
              </w:rPr>
            </w:pPr>
            <w:r>
              <w:rPr>
                <w:sz w:val="22"/>
              </w:rPr>
              <w:t>Polotitlán</w:t>
            </w:r>
          </w:p>
        </w:tc>
        <w:tc>
          <w:tcPr>
            <w:tcW w:w="2314" w:type="dxa"/>
          </w:tcPr>
          <w:p>
            <w:pPr>
              <w:pStyle w:val="TableParagraph"/>
              <w:ind w:left="100" w:right="99"/>
              <w:jc w:val="both"/>
              <w:rPr>
                <w:sz w:val="22"/>
              </w:rPr>
            </w:pPr>
            <w:r>
              <w:rPr>
                <w:sz w:val="22"/>
              </w:rPr>
              <w:t>El principal beneficio que recibe el municipio de la laguna es el riego para siembra de maíz, avena, frijol, alfalfa y forrajes para el consumo del ganado para producir lácteos.</w:t>
            </w:r>
          </w:p>
        </w:tc>
        <w:tc>
          <w:tcPr>
            <w:tcW w:w="3901" w:type="dxa"/>
          </w:tcPr>
          <w:p>
            <w:pPr>
              <w:pStyle w:val="TableParagraph"/>
              <w:spacing w:line="252" w:lineRule="exact" w:before="2"/>
              <w:rPr>
                <w:sz w:val="22"/>
              </w:rPr>
            </w:pPr>
            <w:r>
              <w:rPr>
                <w:sz w:val="22"/>
              </w:rPr>
              <w:t>No sé, no tengo el conocimiento de fondo, creo que ya existe.</w:t>
            </w:r>
          </w:p>
        </w:tc>
      </w:tr>
      <w:tr>
        <w:trPr>
          <w:trHeight w:val="1529" w:hRule="exact"/>
        </w:trPr>
        <w:tc>
          <w:tcPr>
            <w:tcW w:w="1385" w:type="dxa"/>
          </w:tcPr>
          <w:p>
            <w:pPr>
              <w:pStyle w:val="TableParagraph"/>
              <w:ind w:left="124" w:right="122" w:hanging="4"/>
              <w:jc w:val="center"/>
              <w:rPr>
                <w:sz w:val="22"/>
              </w:rPr>
            </w:pPr>
            <w:r>
              <w:rPr>
                <w:sz w:val="22"/>
              </w:rPr>
              <w:t>Marcos Silverio Basurto Esquivel</w:t>
            </w:r>
          </w:p>
          <w:p>
            <w:pPr>
              <w:pStyle w:val="TableParagraph"/>
              <w:ind w:left="0"/>
              <w:rPr>
                <w:b/>
                <w:sz w:val="22"/>
              </w:rPr>
            </w:pPr>
          </w:p>
          <w:p>
            <w:pPr>
              <w:pStyle w:val="TableParagraph"/>
              <w:ind w:left="85" w:right="85"/>
              <w:jc w:val="center"/>
              <w:rPr>
                <w:sz w:val="22"/>
              </w:rPr>
            </w:pPr>
            <w:r>
              <w:rPr>
                <w:sz w:val="22"/>
              </w:rPr>
              <w:t>(20/8/2014)</w:t>
            </w:r>
          </w:p>
        </w:tc>
        <w:tc>
          <w:tcPr>
            <w:tcW w:w="1274" w:type="dxa"/>
          </w:tcPr>
          <w:p>
            <w:pPr>
              <w:pStyle w:val="TableParagraph"/>
              <w:ind w:left="100" w:right="203"/>
              <w:rPr>
                <w:sz w:val="22"/>
              </w:rPr>
            </w:pPr>
            <w:r>
              <w:rPr>
                <w:sz w:val="22"/>
              </w:rPr>
              <w:t>Médico Veterinari o</w:t>
            </w:r>
          </w:p>
        </w:tc>
        <w:tc>
          <w:tcPr>
            <w:tcW w:w="1887" w:type="dxa"/>
          </w:tcPr>
          <w:p>
            <w:pPr>
              <w:pStyle w:val="TableParagraph"/>
              <w:ind w:right="152"/>
              <w:rPr>
                <w:sz w:val="22"/>
              </w:rPr>
            </w:pPr>
            <w:r>
              <w:rPr>
                <w:sz w:val="22"/>
              </w:rPr>
              <w:t>Primer Regidor. Encargado de la Comisión de Desarrollo Agropecuario y Ecología</w:t>
            </w:r>
          </w:p>
        </w:tc>
        <w:tc>
          <w:tcPr>
            <w:tcW w:w="1289" w:type="dxa"/>
          </w:tcPr>
          <w:p>
            <w:pPr>
              <w:pStyle w:val="TableParagraph"/>
              <w:spacing w:line="251" w:lineRule="exact"/>
              <w:ind w:left="0" w:right="184"/>
              <w:jc w:val="right"/>
              <w:rPr>
                <w:sz w:val="22"/>
              </w:rPr>
            </w:pPr>
            <w:r>
              <w:rPr>
                <w:sz w:val="22"/>
              </w:rPr>
              <w:t>Polotitlán</w:t>
            </w:r>
          </w:p>
        </w:tc>
        <w:tc>
          <w:tcPr>
            <w:tcW w:w="1174" w:type="dxa"/>
          </w:tcPr>
          <w:p>
            <w:pPr>
              <w:pStyle w:val="TableParagraph"/>
              <w:spacing w:line="251" w:lineRule="exact"/>
              <w:ind w:left="84" w:right="84"/>
              <w:jc w:val="center"/>
              <w:rPr>
                <w:sz w:val="22"/>
              </w:rPr>
            </w:pPr>
            <w:r>
              <w:rPr>
                <w:sz w:val="22"/>
              </w:rPr>
              <w:t>Polotitlán</w:t>
            </w:r>
          </w:p>
        </w:tc>
        <w:tc>
          <w:tcPr>
            <w:tcW w:w="2314" w:type="dxa"/>
          </w:tcPr>
          <w:p>
            <w:pPr>
              <w:pStyle w:val="TableParagraph"/>
              <w:ind w:left="100" w:right="100"/>
              <w:jc w:val="both"/>
              <w:rPr>
                <w:sz w:val="22"/>
              </w:rPr>
            </w:pPr>
            <w:r>
              <w:rPr>
                <w:sz w:val="22"/>
              </w:rPr>
              <w:t>Es la punta de riego para el maíz y los forrajes para producir los lácteos del municipio.</w:t>
            </w:r>
          </w:p>
        </w:tc>
        <w:tc>
          <w:tcPr>
            <w:tcW w:w="3901" w:type="dxa"/>
          </w:tcPr>
          <w:p>
            <w:pPr>
              <w:pStyle w:val="TableParagraph"/>
              <w:ind w:right="101"/>
              <w:jc w:val="both"/>
              <w:rPr>
                <w:sz w:val="22"/>
              </w:rPr>
            </w:pPr>
            <w:r>
              <w:rPr>
                <w:sz w:val="22"/>
              </w:rPr>
              <w:t>¡Claro!, para poder dar orden porque siempre se maneja el albedrío del canalero o del presidente del Comité de Riego.</w:t>
            </w:r>
          </w:p>
        </w:tc>
      </w:tr>
      <w:tr>
        <w:trPr>
          <w:trHeight w:val="274" w:hRule="exact"/>
        </w:trPr>
        <w:tc>
          <w:tcPr>
            <w:tcW w:w="1385" w:type="dxa"/>
            <w:tcBorders>
              <w:bottom w:val="nil"/>
            </w:tcBorders>
          </w:tcPr>
          <w:p>
            <w:pPr>
              <w:pStyle w:val="TableParagraph"/>
              <w:spacing w:line="251" w:lineRule="exact"/>
              <w:ind w:left="85" w:right="85"/>
              <w:jc w:val="center"/>
              <w:rPr>
                <w:sz w:val="22"/>
              </w:rPr>
            </w:pPr>
            <w:r>
              <w:rPr>
                <w:sz w:val="22"/>
              </w:rPr>
              <w:t>Edith</w:t>
            </w:r>
          </w:p>
        </w:tc>
        <w:tc>
          <w:tcPr>
            <w:tcW w:w="1274" w:type="dxa"/>
            <w:tcBorders>
              <w:bottom w:val="nil"/>
            </w:tcBorders>
          </w:tcPr>
          <w:p>
            <w:pPr>
              <w:pStyle w:val="TableParagraph"/>
              <w:spacing w:line="251" w:lineRule="exact"/>
              <w:ind w:left="100"/>
              <w:rPr>
                <w:sz w:val="22"/>
              </w:rPr>
            </w:pPr>
            <w:r>
              <w:rPr>
                <w:sz w:val="22"/>
              </w:rPr>
              <w:t>Licenciada</w:t>
            </w:r>
          </w:p>
        </w:tc>
        <w:tc>
          <w:tcPr>
            <w:tcW w:w="1887" w:type="dxa"/>
            <w:tcBorders>
              <w:bottom w:val="nil"/>
            </w:tcBorders>
          </w:tcPr>
          <w:p>
            <w:pPr>
              <w:pStyle w:val="TableParagraph"/>
              <w:tabs>
                <w:tab w:pos="947" w:val="left" w:leader="none"/>
              </w:tabs>
              <w:spacing w:line="265" w:lineRule="exact"/>
              <w:rPr>
                <w:rFonts w:ascii="Calibri"/>
                <w:sz w:val="22"/>
              </w:rPr>
            </w:pPr>
            <w:r>
              <w:rPr>
                <w:sz w:val="22"/>
              </w:rPr>
              <w:t>Tercer</w:t>
              <w:tab/>
              <w:t>Regidor</w:t>
            </w:r>
            <w:r>
              <w:rPr>
                <w:rFonts w:ascii="Calibri"/>
                <w:sz w:val="22"/>
              </w:rPr>
              <w:t>.</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ind w:left="84" w:right="84"/>
              <w:jc w:val="center"/>
              <w:rPr>
                <w:sz w:val="22"/>
              </w:rPr>
            </w:pPr>
            <w:r>
              <w:rPr>
                <w:sz w:val="22"/>
              </w:rPr>
              <w:t>Polotitlán</w:t>
            </w:r>
          </w:p>
        </w:tc>
        <w:tc>
          <w:tcPr>
            <w:tcW w:w="2314" w:type="dxa"/>
            <w:tcBorders>
              <w:bottom w:val="nil"/>
            </w:tcBorders>
          </w:tcPr>
          <w:p>
            <w:pPr>
              <w:pStyle w:val="TableParagraph"/>
              <w:spacing w:line="251" w:lineRule="exact"/>
              <w:ind w:left="100"/>
              <w:rPr>
                <w:sz w:val="22"/>
              </w:rPr>
            </w:pPr>
            <w:r>
              <w:rPr>
                <w:sz w:val="22"/>
              </w:rPr>
              <w:t>El  principal beneficio</w:t>
            </w:r>
          </w:p>
        </w:tc>
        <w:tc>
          <w:tcPr>
            <w:tcW w:w="3901" w:type="dxa"/>
            <w:tcBorders>
              <w:bottom w:val="nil"/>
            </w:tcBorders>
          </w:tcPr>
          <w:p>
            <w:pPr>
              <w:pStyle w:val="TableParagraph"/>
              <w:spacing w:line="251" w:lineRule="exact"/>
              <w:rPr>
                <w:sz w:val="22"/>
              </w:rPr>
            </w:pPr>
            <w:r>
              <w:rPr>
                <w:sz w:val="22"/>
              </w:rPr>
              <w:t>Sí considero apropiado que haya   un</w:t>
            </w:r>
          </w:p>
        </w:tc>
      </w:tr>
      <w:tr>
        <w:trPr>
          <w:trHeight w:val="254" w:hRule="exact"/>
        </w:trPr>
        <w:tc>
          <w:tcPr>
            <w:tcW w:w="1385" w:type="dxa"/>
            <w:tcBorders>
              <w:top w:val="nil"/>
              <w:bottom w:val="nil"/>
            </w:tcBorders>
          </w:tcPr>
          <w:p>
            <w:pPr>
              <w:pStyle w:val="TableParagraph"/>
              <w:spacing w:line="233" w:lineRule="exact"/>
              <w:ind w:left="85" w:right="85"/>
              <w:jc w:val="center"/>
              <w:rPr>
                <w:sz w:val="22"/>
              </w:rPr>
            </w:pPr>
            <w:r>
              <w:rPr>
                <w:sz w:val="22"/>
              </w:rPr>
              <w:t>Alvarado</w:t>
            </w:r>
          </w:p>
        </w:tc>
        <w:tc>
          <w:tcPr>
            <w:tcW w:w="1274" w:type="dxa"/>
            <w:tcBorders>
              <w:top w:val="nil"/>
              <w:bottom w:val="nil"/>
            </w:tcBorders>
          </w:tcPr>
          <w:p>
            <w:pPr>
              <w:pStyle w:val="TableParagraph"/>
              <w:spacing w:line="233" w:lineRule="exact"/>
              <w:ind w:left="100" w:right="98"/>
              <w:rPr>
                <w:sz w:val="22"/>
              </w:rPr>
            </w:pPr>
            <w:r>
              <w:rPr>
                <w:sz w:val="22"/>
              </w:rPr>
              <w:t>en</w:t>
            </w:r>
          </w:p>
        </w:tc>
        <w:tc>
          <w:tcPr>
            <w:tcW w:w="1887" w:type="dxa"/>
            <w:tcBorders>
              <w:top w:val="nil"/>
              <w:bottom w:val="nil"/>
            </w:tcBorders>
          </w:tcPr>
          <w:p>
            <w:pPr>
              <w:pStyle w:val="TableParagraph"/>
              <w:spacing w:line="250" w:lineRule="exact"/>
              <w:rPr>
                <w:sz w:val="22"/>
              </w:rPr>
            </w:pPr>
            <w:r>
              <w:rPr>
                <w:sz w:val="22"/>
              </w:rPr>
              <w:t>Encargada  de la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49" w:val="left" w:leader="none"/>
                <w:tab w:pos="2029" w:val="left" w:leader="none"/>
              </w:tabs>
              <w:spacing w:line="233" w:lineRule="exact"/>
              <w:ind w:left="100"/>
              <w:rPr>
                <w:sz w:val="22"/>
              </w:rPr>
            </w:pPr>
            <w:r>
              <w:rPr>
                <w:sz w:val="22"/>
              </w:rPr>
              <w:t>que</w:t>
              <w:tab/>
              <w:t>recibe</w:t>
              <w:tab/>
              <w:t>el</w:t>
            </w:r>
          </w:p>
        </w:tc>
        <w:tc>
          <w:tcPr>
            <w:tcW w:w="3901" w:type="dxa"/>
            <w:tcBorders>
              <w:top w:val="nil"/>
              <w:bottom w:val="nil"/>
            </w:tcBorders>
          </w:tcPr>
          <w:p>
            <w:pPr>
              <w:pStyle w:val="TableParagraph"/>
              <w:spacing w:line="233" w:lineRule="exact"/>
              <w:rPr>
                <w:sz w:val="22"/>
              </w:rPr>
            </w:pPr>
            <w:r>
              <w:rPr>
                <w:sz w:val="22"/>
              </w:rPr>
              <w:t>reglamento  intermunicipal  para  que</w:t>
            </w:r>
          </w:p>
        </w:tc>
      </w:tr>
      <w:tr>
        <w:trPr>
          <w:trHeight w:val="252" w:hRule="exact"/>
        </w:trPr>
        <w:tc>
          <w:tcPr>
            <w:tcW w:w="1385" w:type="dxa"/>
            <w:tcBorders>
              <w:top w:val="nil"/>
              <w:bottom w:val="nil"/>
            </w:tcBorders>
          </w:tcPr>
          <w:p>
            <w:pPr>
              <w:pStyle w:val="TableParagraph"/>
              <w:spacing w:line="234" w:lineRule="exact"/>
              <w:ind w:left="85" w:right="84"/>
              <w:jc w:val="center"/>
              <w:rPr>
                <w:sz w:val="22"/>
              </w:rPr>
            </w:pPr>
            <w:r>
              <w:rPr>
                <w:sz w:val="22"/>
              </w:rPr>
              <w:t>Herrera</w:t>
            </w:r>
          </w:p>
        </w:tc>
        <w:tc>
          <w:tcPr>
            <w:tcW w:w="1274" w:type="dxa"/>
            <w:tcBorders>
              <w:top w:val="nil"/>
              <w:bottom w:val="nil"/>
            </w:tcBorders>
          </w:tcPr>
          <w:p>
            <w:pPr>
              <w:pStyle w:val="TableParagraph"/>
              <w:spacing w:line="234" w:lineRule="exact"/>
              <w:ind w:left="100" w:right="98"/>
              <w:rPr>
                <w:sz w:val="22"/>
              </w:rPr>
            </w:pPr>
            <w:r>
              <w:rPr>
                <w:sz w:val="22"/>
              </w:rPr>
              <w:t>Derecho</w:t>
            </w:r>
          </w:p>
        </w:tc>
        <w:tc>
          <w:tcPr>
            <w:tcW w:w="1887" w:type="dxa"/>
            <w:tcBorders>
              <w:top w:val="nil"/>
              <w:bottom w:val="nil"/>
            </w:tcBorders>
          </w:tcPr>
          <w:p>
            <w:pPr>
              <w:pStyle w:val="TableParagraph"/>
              <w:tabs>
                <w:tab w:pos="1528" w:val="left" w:leader="none"/>
              </w:tabs>
              <w:spacing w:line="249"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08" w:val="left" w:leader="none"/>
                <w:tab w:pos="2029" w:val="left" w:leader="none"/>
              </w:tabs>
              <w:spacing w:line="234" w:lineRule="exact"/>
              <w:ind w:left="100"/>
              <w:rPr>
                <w:sz w:val="22"/>
              </w:rPr>
            </w:pPr>
            <w:r>
              <w:rPr>
                <w:sz w:val="22"/>
              </w:rPr>
              <w:t>municipio</w:t>
              <w:tab/>
              <w:t>de</w:t>
              <w:tab/>
              <w:t>la</w:t>
            </w:r>
          </w:p>
        </w:tc>
        <w:tc>
          <w:tcPr>
            <w:tcW w:w="3901" w:type="dxa"/>
            <w:tcBorders>
              <w:top w:val="nil"/>
              <w:bottom w:val="nil"/>
            </w:tcBorders>
          </w:tcPr>
          <w:p>
            <w:pPr>
              <w:pStyle w:val="TableParagraph"/>
              <w:tabs>
                <w:tab w:pos="616" w:val="left" w:leader="none"/>
                <w:tab w:pos="1420" w:val="left" w:leader="none"/>
                <w:tab w:pos="1981" w:val="left" w:leader="none"/>
                <w:tab w:pos="3492" w:val="left" w:leader="none"/>
              </w:tabs>
              <w:spacing w:line="234" w:lineRule="exact"/>
              <w:rPr>
                <w:sz w:val="22"/>
              </w:rPr>
            </w:pPr>
            <w:r>
              <w:rPr>
                <w:sz w:val="22"/>
              </w:rPr>
              <w:t>se</w:t>
              <w:tab/>
              <w:t>sigan</w:t>
              <w:tab/>
              <w:t>los</w:t>
              <w:tab/>
              <w:t>lineamientos</w:t>
              <w:tab/>
              <w:t>del</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8"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34" w:lineRule="exact"/>
              <w:ind w:left="100"/>
              <w:rPr>
                <w:sz w:val="22"/>
              </w:rPr>
            </w:pPr>
            <w:r>
              <w:rPr>
                <w:sz w:val="22"/>
              </w:rPr>
              <w:t>laguna  es  el  riego y</w:t>
            </w:r>
          </w:p>
        </w:tc>
        <w:tc>
          <w:tcPr>
            <w:tcW w:w="3901" w:type="dxa"/>
            <w:tcBorders>
              <w:top w:val="nil"/>
              <w:bottom w:val="nil"/>
            </w:tcBorders>
          </w:tcPr>
          <w:p>
            <w:pPr>
              <w:pStyle w:val="TableParagraph"/>
              <w:spacing w:line="234" w:lineRule="exact"/>
              <w:rPr>
                <w:sz w:val="22"/>
              </w:rPr>
            </w:pPr>
            <w:r>
              <w:rPr>
                <w:sz w:val="22"/>
              </w:rPr>
              <w:t>reglamento   para   evitar   que   haya</w:t>
            </w:r>
          </w:p>
        </w:tc>
      </w:tr>
      <w:tr>
        <w:trPr>
          <w:trHeight w:val="254" w:hRule="exact"/>
        </w:trPr>
        <w:tc>
          <w:tcPr>
            <w:tcW w:w="1385" w:type="dxa"/>
            <w:tcBorders>
              <w:top w:val="nil"/>
              <w:bottom w:val="nil"/>
            </w:tcBorders>
          </w:tcPr>
          <w:p>
            <w:pPr>
              <w:pStyle w:val="TableParagraph"/>
              <w:spacing w:line="234" w:lineRule="exact"/>
              <w:ind w:left="85" w:right="86"/>
              <w:jc w:val="center"/>
              <w:rPr>
                <w:sz w:val="22"/>
              </w:rPr>
            </w:pPr>
            <w:r>
              <w:rPr>
                <w:sz w:val="22"/>
              </w:rPr>
              <w:t>(4/9/2014)</w:t>
            </w:r>
          </w:p>
        </w:tc>
        <w:tc>
          <w:tcPr>
            <w:tcW w:w="1274" w:type="dxa"/>
            <w:tcBorders>
              <w:top w:val="nil"/>
              <w:bottom w:val="nil"/>
            </w:tcBorders>
          </w:tcPr>
          <w:p>
            <w:pPr/>
          </w:p>
        </w:tc>
        <w:tc>
          <w:tcPr>
            <w:tcW w:w="1887" w:type="dxa"/>
            <w:tcBorders>
              <w:top w:val="nil"/>
              <w:bottom w:val="nil"/>
            </w:tcBorders>
          </w:tcPr>
          <w:p>
            <w:pPr>
              <w:pStyle w:val="TableParagraph"/>
              <w:tabs>
                <w:tab w:pos="1665" w:val="left" w:leader="none"/>
              </w:tabs>
              <w:spacing w:line="251" w:lineRule="exact"/>
              <w:rPr>
                <w:sz w:val="22"/>
              </w:rPr>
            </w:pPr>
            <w:r>
              <w:rPr>
                <w:sz w:val="22"/>
              </w:rPr>
              <w:t>Económico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65" w:val="left" w:leader="none"/>
                <w:tab w:pos="1540" w:val="left" w:leader="none"/>
              </w:tabs>
              <w:spacing w:line="234" w:lineRule="exact"/>
              <w:ind w:left="100"/>
              <w:rPr>
                <w:sz w:val="22"/>
              </w:rPr>
            </w:pPr>
            <w:r>
              <w:rPr>
                <w:sz w:val="22"/>
              </w:rPr>
              <w:t>de</w:t>
              <w:tab/>
              <w:t>esa</w:t>
              <w:tab/>
              <w:t>laguna</w:t>
            </w:r>
          </w:p>
        </w:tc>
        <w:tc>
          <w:tcPr>
            <w:tcW w:w="3901" w:type="dxa"/>
            <w:tcBorders>
              <w:top w:val="nil"/>
              <w:bottom w:val="nil"/>
            </w:tcBorders>
          </w:tcPr>
          <w:p>
            <w:pPr>
              <w:pStyle w:val="TableParagraph"/>
              <w:spacing w:line="234" w:lineRule="exact"/>
              <w:rPr>
                <w:sz w:val="22"/>
              </w:rPr>
            </w:pPr>
            <w:r>
              <w:rPr>
                <w:sz w:val="22"/>
              </w:rPr>
              <w:t>desorden.</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8"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34" w:lineRule="exact"/>
              <w:ind w:left="100"/>
              <w:rPr>
                <w:sz w:val="22"/>
              </w:rPr>
            </w:pPr>
            <w:r>
              <w:rPr>
                <w:sz w:val="22"/>
              </w:rPr>
              <w:t>también  se  hace   el</w:t>
            </w:r>
          </w:p>
        </w:tc>
        <w:tc>
          <w:tcPr>
            <w:tcW w:w="3901" w:type="dxa"/>
            <w:tcBorders>
              <w:top w:val="nil"/>
              <w:bottom w:val="nil"/>
            </w:tcBorders>
          </w:tcPr>
          <w:p>
            <w:pP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51" w:lineRule="exact"/>
              <w:rPr>
                <w:sz w:val="22"/>
              </w:rPr>
            </w:pPr>
            <w:r>
              <w:rPr>
                <w:sz w:val="22"/>
              </w:rPr>
              <w:t>Urbano.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34" w:lineRule="exact"/>
              <w:ind w:left="100"/>
              <w:rPr>
                <w:sz w:val="22"/>
              </w:rPr>
            </w:pPr>
            <w:r>
              <w:rPr>
                <w:sz w:val="22"/>
              </w:rPr>
              <w:t>llenado   de   los  que</w:t>
            </w:r>
          </w:p>
        </w:tc>
        <w:tc>
          <w:tcPr>
            <w:tcW w:w="3901" w:type="dxa"/>
            <w:tcBorders>
              <w:top w:val="nil"/>
              <w:bottom w:val="nil"/>
            </w:tcBorders>
          </w:tcPr>
          <w:p>
            <w:pPr/>
          </w:p>
        </w:tc>
      </w:tr>
      <w:tr>
        <w:trPr>
          <w:trHeight w:val="245"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34" w:lineRule="exact"/>
              <w:ind w:left="100"/>
              <w:rPr>
                <w:sz w:val="22"/>
              </w:rPr>
            </w:pPr>
            <w:r>
              <w:rPr>
                <w:sz w:val="22"/>
              </w:rPr>
              <w:t>tienen  bordos  de las</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nueve  palas  que les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845" w:val="left" w:leader="none"/>
              </w:tabs>
              <w:spacing w:line="241" w:lineRule="exact"/>
              <w:ind w:left="100"/>
              <w:rPr>
                <w:sz w:val="22"/>
              </w:rPr>
            </w:pPr>
            <w:r>
              <w:rPr>
                <w:sz w:val="22"/>
              </w:rPr>
              <w:t>corresponden</w:t>
              <w:tab/>
              <w:t>(las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palas son con lo  que</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miden el agua).</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left="85" w:right="85"/>
              <w:jc w:val="center"/>
              <w:rPr>
                <w:sz w:val="22"/>
              </w:rPr>
            </w:pPr>
            <w:r>
              <w:rPr>
                <w:sz w:val="22"/>
              </w:rPr>
              <w:t>Irma Lara</w:t>
            </w:r>
          </w:p>
        </w:tc>
        <w:tc>
          <w:tcPr>
            <w:tcW w:w="1274" w:type="dxa"/>
            <w:tcBorders>
              <w:bottom w:val="nil"/>
            </w:tcBorders>
          </w:tcPr>
          <w:p>
            <w:pPr>
              <w:pStyle w:val="TableParagraph"/>
              <w:spacing w:line="251" w:lineRule="exact"/>
              <w:ind w:left="134" w:right="98"/>
              <w:rPr>
                <w:sz w:val="22"/>
              </w:rPr>
            </w:pPr>
            <w:r>
              <w:rPr>
                <w:sz w:val="22"/>
              </w:rPr>
              <w:t>Secundari</w:t>
            </w:r>
          </w:p>
        </w:tc>
        <w:tc>
          <w:tcPr>
            <w:tcW w:w="1887" w:type="dxa"/>
            <w:tcBorders>
              <w:bottom w:val="nil"/>
            </w:tcBorders>
          </w:tcPr>
          <w:p>
            <w:pPr>
              <w:pStyle w:val="TableParagraph"/>
              <w:tabs>
                <w:tab w:pos="1528" w:val="left" w:leader="none"/>
              </w:tabs>
              <w:spacing w:line="251" w:lineRule="exact"/>
              <w:rPr>
                <w:sz w:val="22"/>
              </w:rPr>
            </w:pPr>
            <w:r>
              <w:rPr>
                <w:sz w:val="22"/>
              </w:rPr>
              <w:t>Coordinador</w:t>
              <w:tab/>
              <w:t>de</w:t>
            </w:r>
          </w:p>
        </w:tc>
        <w:tc>
          <w:tcPr>
            <w:tcW w:w="1289" w:type="dxa"/>
            <w:tcBorders>
              <w:bottom w:val="nil"/>
            </w:tcBorders>
          </w:tcPr>
          <w:p>
            <w:pPr>
              <w:pStyle w:val="TableParagraph"/>
              <w:spacing w:line="251" w:lineRule="exact"/>
              <w:ind w:left="0" w:right="184"/>
              <w:jc w:val="right"/>
              <w:rPr>
                <w:sz w:val="22"/>
              </w:rPr>
            </w:pPr>
            <w:r>
              <w:rPr>
                <w:sz w:val="22"/>
              </w:rPr>
              <w:t>Polotitlán</w:t>
            </w:r>
          </w:p>
        </w:tc>
        <w:tc>
          <w:tcPr>
            <w:tcW w:w="1174" w:type="dxa"/>
            <w:tcBorders>
              <w:bottom w:val="nil"/>
            </w:tcBorders>
          </w:tcPr>
          <w:p>
            <w:pPr>
              <w:pStyle w:val="TableParagraph"/>
              <w:spacing w:line="251" w:lineRule="exact"/>
              <w:ind w:left="84" w:right="84"/>
              <w:jc w:val="center"/>
              <w:rPr>
                <w:sz w:val="22"/>
              </w:rPr>
            </w:pPr>
            <w:r>
              <w:rPr>
                <w:sz w:val="22"/>
              </w:rPr>
              <w:t>Polotitlán</w:t>
            </w:r>
          </w:p>
        </w:tc>
        <w:tc>
          <w:tcPr>
            <w:tcW w:w="2314" w:type="dxa"/>
            <w:tcBorders>
              <w:bottom w:val="nil"/>
            </w:tcBorders>
          </w:tcPr>
          <w:p>
            <w:pPr>
              <w:pStyle w:val="TableParagraph"/>
              <w:spacing w:line="251" w:lineRule="exact"/>
              <w:ind w:left="100"/>
              <w:rPr>
                <w:sz w:val="22"/>
              </w:rPr>
            </w:pPr>
            <w:r>
              <w:rPr>
                <w:sz w:val="22"/>
              </w:rPr>
              <w:t>El  principal beneficio</w:t>
            </w:r>
          </w:p>
        </w:tc>
        <w:tc>
          <w:tcPr>
            <w:tcW w:w="3901" w:type="dxa"/>
            <w:tcBorders>
              <w:bottom w:val="nil"/>
            </w:tcBorders>
          </w:tcPr>
          <w:p>
            <w:pPr>
              <w:pStyle w:val="TableParagraph"/>
              <w:spacing w:line="251" w:lineRule="exact"/>
              <w:rPr>
                <w:sz w:val="22"/>
              </w:rPr>
            </w:pPr>
            <w:r>
              <w:rPr>
                <w:sz w:val="22"/>
              </w:rPr>
              <w:t>Imagino   que   ya   debe   existir  ese</w:t>
            </w:r>
          </w:p>
        </w:tc>
      </w:tr>
      <w:tr>
        <w:trPr>
          <w:trHeight w:val="253" w:hRule="exact"/>
        </w:trPr>
        <w:tc>
          <w:tcPr>
            <w:tcW w:w="1385" w:type="dxa"/>
            <w:tcBorders>
              <w:top w:val="nil"/>
              <w:bottom w:val="nil"/>
            </w:tcBorders>
          </w:tcPr>
          <w:p>
            <w:pPr>
              <w:pStyle w:val="TableParagraph"/>
              <w:spacing w:line="241" w:lineRule="exact"/>
              <w:ind w:left="85" w:right="85"/>
              <w:jc w:val="center"/>
              <w:rPr>
                <w:sz w:val="22"/>
              </w:rPr>
            </w:pPr>
            <w:r>
              <w:rPr>
                <w:sz w:val="22"/>
              </w:rPr>
              <w:t>Ramírez</w:t>
            </w:r>
          </w:p>
        </w:tc>
        <w:tc>
          <w:tcPr>
            <w:tcW w:w="1274" w:type="dxa"/>
            <w:tcBorders>
              <w:top w:val="nil"/>
              <w:bottom w:val="nil"/>
            </w:tcBorders>
          </w:tcPr>
          <w:p>
            <w:pPr>
              <w:pStyle w:val="TableParagraph"/>
              <w:spacing w:line="241" w:lineRule="exact"/>
              <w:ind w:left="0" w:right="2"/>
              <w:jc w:val="center"/>
              <w:rPr>
                <w:sz w:val="22"/>
              </w:rPr>
            </w:pPr>
            <w:r>
              <w:rPr>
                <w:w w:val="100"/>
                <w:sz w:val="22"/>
              </w:rPr>
              <w:t>a</w:t>
            </w: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84" w:val="left" w:leader="none"/>
                <w:tab w:pos="1271" w:val="left" w:leader="none"/>
              </w:tabs>
              <w:spacing w:line="241" w:lineRule="exact"/>
              <w:ind w:left="100"/>
              <w:rPr>
                <w:sz w:val="22"/>
              </w:rPr>
            </w:pPr>
            <w:r>
              <w:rPr>
                <w:sz w:val="22"/>
              </w:rPr>
              <w:t>que</w:t>
              <w:tab/>
              <w:t>el</w:t>
              <w:tab/>
              <w:t>municipio</w:t>
            </w:r>
          </w:p>
        </w:tc>
        <w:tc>
          <w:tcPr>
            <w:tcW w:w="3901" w:type="dxa"/>
            <w:tcBorders>
              <w:top w:val="nil"/>
              <w:bottom w:val="nil"/>
            </w:tcBorders>
          </w:tcPr>
          <w:p>
            <w:pPr>
              <w:pStyle w:val="TableParagraph"/>
              <w:spacing w:line="241" w:lineRule="exact"/>
              <w:rPr>
                <w:sz w:val="22"/>
              </w:rPr>
            </w:pPr>
            <w:r>
              <w:rPr>
                <w:sz w:val="22"/>
              </w:rPr>
              <w:t>convenio   y   si   no   debiera  </w:t>
            </w:r>
            <w:r>
              <w:rPr>
                <w:spacing w:val="54"/>
                <w:sz w:val="22"/>
              </w:rPr>
              <w:t> </w:t>
            </w:r>
            <w:r>
              <w:rPr>
                <w:sz w:val="22"/>
              </w:rPr>
              <w:t>existir</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Agropecuario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recibe  de  la </w:t>
            </w:r>
            <w:r>
              <w:rPr>
                <w:spacing w:val="53"/>
                <w:sz w:val="22"/>
              </w:rPr>
              <w:t> </w:t>
            </w:r>
            <w:r>
              <w:rPr>
                <w:sz w:val="22"/>
              </w:rPr>
              <w:t>laguna</w:t>
            </w:r>
          </w:p>
        </w:tc>
        <w:tc>
          <w:tcPr>
            <w:tcW w:w="3901" w:type="dxa"/>
            <w:tcBorders>
              <w:top w:val="nil"/>
              <w:bottom w:val="nil"/>
            </w:tcBorders>
          </w:tcPr>
          <w:p>
            <w:pPr>
              <w:pStyle w:val="TableParagraph"/>
              <w:spacing w:line="242" w:lineRule="exact"/>
              <w:rPr>
                <w:sz w:val="22"/>
              </w:rPr>
            </w:pPr>
            <w:r>
              <w:rPr>
                <w:sz w:val="22"/>
              </w:rPr>
              <w:t>porque  así se  lleva  un  control de la</w:t>
            </w:r>
          </w:p>
        </w:tc>
      </w:tr>
      <w:tr>
        <w:trPr>
          <w:trHeight w:val="502" w:hRule="exact"/>
        </w:trPr>
        <w:tc>
          <w:tcPr>
            <w:tcW w:w="1385" w:type="dxa"/>
            <w:tcBorders>
              <w:top w:val="nil"/>
            </w:tcBorders>
          </w:tcPr>
          <w:p>
            <w:pPr>
              <w:pStyle w:val="TableParagraph"/>
              <w:spacing w:line="241" w:lineRule="exact"/>
              <w:ind w:left="85" w:right="85"/>
              <w:jc w:val="center"/>
              <w:rPr>
                <w:sz w:val="22"/>
              </w:rPr>
            </w:pPr>
            <w:r>
              <w:rPr>
                <w:sz w:val="22"/>
              </w:rPr>
              <w:t>(20/8/2014)</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es el riego.</w:t>
            </w:r>
          </w:p>
        </w:tc>
        <w:tc>
          <w:tcPr>
            <w:tcW w:w="3901" w:type="dxa"/>
            <w:tcBorders>
              <w:top w:val="nil"/>
            </w:tcBorders>
          </w:tcPr>
          <w:p>
            <w:pPr>
              <w:pStyle w:val="TableParagraph"/>
              <w:spacing w:line="241" w:lineRule="exact"/>
              <w:rPr>
                <w:sz w:val="22"/>
              </w:rPr>
            </w:pPr>
            <w:r>
              <w:rPr>
                <w:sz w:val="22"/>
              </w:rPr>
              <w:t>repartición del agua.</w:t>
            </w: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pgSz w:w="15840" w:h="12240" w:orient="landscape"/>
          <w:pgMar w:header="0" w:footer="1003" w:top="1140" w:bottom="1200" w:left="1200" w:right="1180"/>
        </w:sectPr>
      </w:pPr>
    </w:p>
    <w:p>
      <w:pPr>
        <w:pStyle w:val="BodyText"/>
        <w:rPr>
          <w:sz w:val="20"/>
        </w:rPr>
      </w:pPr>
    </w:p>
    <w:p>
      <w:pPr>
        <w:pStyle w:val="BodyText"/>
        <w:spacing w:before="1"/>
      </w:pPr>
    </w:p>
    <w:p>
      <w:pPr>
        <w:pStyle w:val="Heading6"/>
        <w:spacing w:before="73"/>
        <w:ind w:left="2220" w:right="778"/>
      </w:pPr>
      <w:r>
        <w:rPr/>
        <w:t>Tabla 6.12. Municipio de Polotitlán (Autoridades Municipales) (continuidad de la tabla)</w:t>
      </w:r>
    </w:p>
    <w:p>
      <w:pPr>
        <w:pStyle w:val="BodyText"/>
        <w:spacing w:before="11"/>
        <w:rPr>
          <w:b/>
          <w:sz w:val="2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418"/>
        <w:gridCol w:w="1841"/>
        <w:gridCol w:w="1190"/>
        <w:gridCol w:w="1174"/>
        <w:gridCol w:w="6215"/>
      </w:tblGrid>
      <w:tr>
        <w:trPr>
          <w:trHeight w:val="293" w:hRule="exact"/>
        </w:trPr>
        <w:tc>
          <w:tcPr>
            <w:tcW w:w="13224" w:type="dxa"/>
            <w:gridSpan w:val="6"/>
            <w:shd w:val="clear" w:color="auto" w:fill="9BBA58"/>
          </w:tcPr>
          <w:p>
            <w:pPr>
              <w:pStyle w:val="TableParagraph"/>
              <w:spacing w:line="248" w:lineRule="exact"/>
              <w:ind w:left="4865" w:right="4870"/>
              <w:jc w:val="center"/>
              <w:rPr>
                <w:b/>
                <w:sz w:val="22"/>
              </w:rPr>
            </w:pPr>
            <w:r>
              <w:rPr>
                <w:b/>
                <w:sz w:val="22"/>
              </w:rPr>
              <w:t>POLOTITLÁN</w:t>
            </w:r>
          </w:p>
        </w:tc>
      </w:tr>
      <w:tr>
        <w:trPr>
          <w:trHeight w:val="523" w:hRule="exact"/>
        </w:trPr>
        <w:tc>
          <w:tcPr>
            <w:tcW w:w="4645" w:type="dxa"/>
            <w:gridSpan w:val="3"/>
            <w:vMerge w:val="restart"/>
            <w:shd w:val="clear" w:color="auto" w:fill="F9BE8F"/>
          </w:tcPr>
          <w:p>
            <w:pPr>
              <w:pStyle w:val="TableParagraph"/>
              <w:spacing w:before="5"/>
              <w:ind w:left="0"/>
              <w:rPr>
                <w:b/>
                <w:sz w:val="21"/>
              </w:rPr>
            </w:pPr>
          </w:p>
          <w:p>
            <w:pPr>
              <w:pStyle w:val="TableParagraph"/>
              <w:ind w:left="751"/>
              <w:rPr>
                <w:b/>
                <w:sz w:val="22"/>
              </w:rPr>
            </w:pPr>
            <w:r>
              <w:rPr>
                <w:b/>
                <w:sz w:val="22"/>
              </w:rPr>
              <w:t>IDENTIFICACIÓN DEL ACTOR</w:t>
            </w:r>
          </w:p>
        </w:tc>
        <w:tc>
          <w:tcPr>
            <w:tcW w:w="8579" w:type="dxa"/>
            <w:gridSpan w:val="3"/>
            <w:shd w:val="clear" w:color="auto" w:fill="92CDDC"/>
          </w:tcPr>
          <w:p>
            <w:pPr>
              <w:pStyle w:val="TableParagraph"/>
              <w:spacing w:before="5"/>
              <w:ind w:left="0"/>
              <w:rPr>
                <w:b/>
                <w:sz w:val="21"/>
              </w:rPr>
            </w:pPr>
          </w:p>
          <w:p>
            <w:pPr>
              <w:pStyle w:val="TableParagraph"/>
              <w:ind w:left="2644"/>
              <w:rPr>
                <w:b/>
                <w:sz w:val="22"/>
              </w:rPr>
            </w:pPr>
            <w:r>
              <w:rPr>
                <w:b/>
                <w:sz w:val="22"/>
              </w:rPr>
              <w:t>PRINCIPIOS DE GOBERNANZA</w:t>
            </w:r>
          </w:p>
        </w:tc>
      </w:tr>
      <w:tr>
        <w:trPr>
          <w:trHeight w:val="516" w:hRule="exact"/>
        </w:trPr>
        <w:tc>
          <w:tcPr>
            <w:tcW w:w="4645" w:type="dxa"/>
            <w:gridSpan w:val="3"/>
            <w:vMerge/>
            <w:shd w:val="clear" w:color="auto" w:fill="F9BE8F"/>
          </w:tcPr>
          <w:p>
            <w:pPr/>
          </w:p>
        </w:tc>
        <w:tc>
          <w:tcPr>
            <w:tcW w:w="2364" w:type="dxa"/>
            <w:gridSpan w:val="2"/>
            <w:shd w:val="clear" w:color="auto" w:fill="92CDDC"/>
          </w:tcPr>
          <w:p>
            <w:pPr>
              <w:pStyle w:val="TableParagraph"/>
              <w:spacing w:line="251" w:lineRule="exact"/>
              <w:ind w:left="688"/>
              <w:rPr>
                <w:b/>
                <w:i/>
                <w:sz w:val="22"/>
              </w:rPr>
            </w:pPr>
            <w:r>
              <w:rPr>
                <w:b/>
                <w:i/>
                <w:sz w:val="22"/>
              </w:rPr>
              <w:t>Identidad</w:t>
            </w:r>
          </w:p>
        </w:tc>
        <w:tc>
          <w:tcPr>
            <w:tcW w:w="6215" w:type="dxa"/>
            <w:shd w:val="clear" w:color="auto" w:fill="92CDDC"/>
          </w:tcPr>
          <w:p>
            <w:pPr>
              <w:pStyle w:val="TableParagraph"/>
              <w:tabs>
                <w:tab w:pos="1736" w:val="left" w:leader="none"/>
                <w:tab w:pos="3414" w:val="left" w:leader="none"/>
                <w:tab w:pos="3764" w:val="left" w:leader="none"/>
                <w:tab w:pos="5431" w:val="left" w:leader="none"/>
                <w:tab w:pos="5915" w:val="left" w:leader="none"/>
              </w:tabs>
              <w:spacing w:line="242" w:lineRule="auto"/>
              <w:ind w:left="100" w:right="101"/>
              <w:rPr>
                <w:b/>
                <w:i/>
                <w:sz w:val="22"/>
              </w:rPr>
            </w:pPr>
            <w:r>
              <w:rPr>
                <w:b/>
                <w:i/>
                <w:sz w:val="22"/>
              </w:rPr>
              <w:t>Cooperación,</w:t>
              <w:tab/>
              <w:t>democracia</w:t>
              <w:tab/>
              <w:t>y</w:t>
              <w:tab/>
              <w:t>voluntariedad</w:t>
              <w:tab/>
              <w:t>de</w:t>
              <w:tab/>
              <w:t>la </w:t>
            </w:r>
            <w:r>
              <w:rPr>
                <w:b/>
                <w:i/>
                <w:sz w:val="22"/>
              </w:rPr>
              <w:t>sociedad, participación</w:t>
            </w:r>
            <w:r>
              <w:rPr>
                <w:b/>
                <w:i/>
                <w:spacing w:val="-6"/>
                <w:sz w:val="22"/>
              </w:rPr>
              <w:t> </w:t>
            </w:r>
            <w:r>
              <w:rPr>
                <w:b/>
                <w:i/>
                <w:sz w:val="22"/>
              </w:rPr>
              <w:t>social</w:t>
            </w:r>
          </w:p>
        </w:tc>
      </w:tr>
      <w:tr>
        <w:trPr>
          <w:trHeight w:val="771" w:hRule="exact"/>
        </w:trPr>
        <w:tc>
          <w:tcPr>
            <w:tcW w:w="1385" w:type="dxa"/>
            <w:shd w:val="clear" w:color="auto" w:fill="F9BE8F"/>
          </w:tcPr>
          <w:p>
            <w:pPr>
              <w:pStyle w:val="TableParagraph"/>
              <w:ind w:right="205"/>
              <w:jc w:val="both"/>
              <w:rPr>
                <w:b/>
                <w:sz w:val="22"/>
              </w:rPr>
            </w:pPr>
            <w:r>
              <w:rPr>
                <w:b/>
                <w:sz w:val="22"/>
              </w:rPr>
              <w:t>Nombre y Fecha de Entrevista</w:t>
            </w:r>
          </w:p>
        </w:tc>
        <w:tc>
          <w:tcPr>
            <w:tcW w:w="1418" w:type="dxa"/>
            <w:shd w:val="clear" w:color="auto" w:fill="F9BE8F"/>
          </w:tcPr>
          <w:p>
            <w:pPr>
              <w:pStyle w:val="TableParagraph"/>
              <w:spacing w:line="242" w:lineRule="auto"/>
              <w:ind w:left="100" w:right="237"/>
              <w:rPr>
                <w:b/>
                <w:sz w:val="22"/>
              </w:rPr>
            </w:pPr>
            <w:r>
              <w:rPr>
                <w:b/>
                <w:sz w:val="22"/>
              </w:rPr>
              <w:t>Nivel Educativo</w:t>
            </w:r>
          </w:p>
        </w:tc>
        <w:tc>
          <w:tcPr>
            <w:tcW w:w="1841" w:type="dxa"/>
            <w:shd w:val="clear" w:color="auto" w:fill="F9BE8F"/>
          </w:tcPr>
          <w:p>
            <w:pPr>
              <w:pStyle w:val="TableParagraph"/>
              <w:spacing w:line="248" w:lineRule="exact"/>
              <w:ind w:left="100"/>
              <w:rPr>
                <w:b/>
                <w:sz w:val="22"/>
              </w:rPr>
            </w:pPr>
            <w:r>
              <w:rPr>
                <w:b/>
                <w:sz w:val="22"/>
              </w:rPr>
              <w:t>Cargo Público</w:t>
            </w:r>
          </w:p>
        </w:tc>
        <w:tc>
          <w:tcPr>
            <w:tcW w:w="1190" w:type="dxa"/>
            <w:shd w:val="clear" w:color="auto" w:fill="92CDDC"/>
          </w:tcPr>
          <w:p>
            <w:pPr>
              <w:pStyle w:val="TableParagraph"/>
              <w:spacing w:line="242" w:lineRule="auto"/>
              <w:ind w:right="239"/>
              <w:rPr>
                <w:b/>
                <w:sz w:val="22"/>
              </w:rPr>
            </w:pPr>
            <w:r>
              <w:rPr>
                <w:b/>
                <w:sz w:val="22"/>
              </w:rPr>
              <w:t>¿Dónde nació?</w:t>
            </w:r>
          </w:p>
        </w:tc>
        <w:tc>
          <w:tcPr>
            <w:tcW w:w="1174" w:type="dxa"/>
            <w:shd w:val="clear" w:color="auto" w:fill="92CDDC"/>
          </w:tcPr>
          <w:p>
            <w:pPr>
              <w:pStyle w:val="TableParagraph"/>
              <w:spacing w:line="242" w:lineRule="auto"/>
              <w:ind w:right="222"/>
              <w:rPr>
                <w:b/>
                <w:sz w:val="22"/>
              </w:rPr>
            </w:pPr>
            <w:r>
              <w:rPr>
                <w:b/>
                <w:sz w:val="22"/>
              </w:rPr>
              <w:t>¿Dónde vive?</w:t>
            </w:r>
          </w:p>
        </w:tc>
        <w:tc>
          <w:tcPr>
            <w:tcW w:w="6215" w:type="dxa"/>
            <w:shd w:val="clear" w:color="auto" w:fill="92CDDC"/>
          </w:tcPr>
          <w:p>
            <w:pPr>
              <w:pStyle w:val="TableParagraph"/>
              <w:spacing w:line="242" w:lineRule="auto"/>
              <w:ind w:left="100" w:right="105"/>
              <w:rPr>
                <w:b/>
                <w:sz w:val="22"/>
              </w:rPr>
            </w:pPr>
            <w:r>
              <w:rPr>
                <w:b/>
                <w:sz w:val="22"/>
              </w:rPr>
              <w:t>¿Estaría usted dispuesto a asistir a una reunión para tratar asuntos relacionados con la laguna de Huapango?</w:t>
            </w:r>
          </w:p>
        </w:tc>
      </w:tr>
      <w:tr>
        <w:trPr>
          <w:trHeight w:val="1274" w:hRule="exact"/>
        </w:trPr>
        <w:tc>
          <w:tcPr>
            <w:tcW w:w="1385" w:type="dxa"/>
          </w:tcPr>
          <w:p>
            <w:pPr>
              <w:pStyle w:val="TableParagraph"/>
              <w:ind w:right="103"/>
              <w:rPr>
                <w:sz w:val="22"/>
              </w:rPr>
            </w:pPr>
            <w:r>
              <w:rPr>
                <w:sz w:val="22"/>
              </w:rPr>
              <w:t>María Silvia Barquet Muñoz</w:t>
            </w:r>
          </w:p>
          <w:p>
            <w:pPr>
              <w:pStyle w:val="TableParagraph"/>
              <w:spacing w:before="9"/>
              <w:ind w:left="0"/>
              <w:rPr>
                <w:b/>
                <w:sz w:val="21"/>
              </w:rPr>
            </w:pPr>
          </w:p>
          <w:p>
            <w:pPr>
              <w:pStyle w:val="TableParagraph"/>
              <w:rPr>
                <w:sz w:val="22"/>
              </w:rPr>
            </w:pPr>
            <w:r>
              <w:rPr>
                <w:sz w:val="22"/>
              </w:rPr>
              <w:t>(20/8/2014)</w:t>
            </w:r>
          </w:p>
        </w:tc>
        <w:tc>
          <w:tcPr>
            <w:tcW w:w="1418" w:type="dxa"/>
          </w:tcPr>
          <w:p>
            <w:pPr>
              <w:pStyle w:val="TableParagraph"/>
              <w:ind w:left="100" w:right="90"/>
              <w:rPr>
                <w:sz w:val="22"/>
              </w:rPr>
            </w:pPr>
            <w:r>
              <w:rPr>
                <w:sz w:val="22"/>
              </w:rPr>
              <w:t>Licenciada en Administraci ón de Empresas</w:t>
            </w:r>
          </w:p>
        </w:tc>
        <w:tc>
          <w:tcPr>
            <w:tcW w:w="1841" w:type="dxa"/>
          </w:tcPr>
          <w:p>
            <w:pPr>
              <w:pStyle w:val="TableParagraph"/>
              <w:spacing w:line="252" w:lineRule="exact" w:before="2"/>
              <w:ind w:left="448" w:right="375" w:hanging="63"/>
              <w:rPr>
                <w:sz w:val="22"/>
              </w:rPr>
            </w:pPr>
            <w:r>
              <w:rPr>
                <w:sz w:val="22"/>
              </w:rPr>
              <w:t>Presidenta Municipal</w:t>
            </w:r>
          </w:p>
        </w:tc>
        <w:tc>
          <w:tcPr>
            <w:tcW w:w="1190" w:type="dxa"/>
          </w:tcPr>
          <w:p>
            <w:pPr>
              <w:pStyle w:val="TableParagraph"/>
              <w:spacing w:line="251" w:lineRule="exact"/>
              <w:ind w:left="0" w:right="136"/>
              <w:jc w:val="right"/>
              <w:rPr>
                <w:sz w:val="22"/>
              </w:rPr>
            </w:pPr>
            <w:r>
              <w:rPr>
                <w:sz w:val="22"/>
              </w:rPr>
              <w:t>Polotitlán</w:t>
            </w:r>
          </w:p>
        </w:tc>
        <w:tc>
          <w:tcPr>
            <w:tcW w:w="1174" w:type="dxa"/>
          </w:tcPr>
          <w:p>
            <w:pPr>
              <w:pStyle w:val="TableParagraph"/>
              <w:spacing w:line="251" w:lineRule="exact"/>
              <w:ind w:left="84" w:right="84"/>
              <w:jc w:val="center"/>
              <w:rPr>
                <w:sz w:val="22"/>
              </w:rPr>
            </w:pPr>
            <w:r>
              <w:rPr>
                <w:sz w:val="22"/>
              </w:rPr>
              <w:t>Polotitlán</w:t>
            </w:r>
          </w:p>
        </w:tc>
        <w:tc>
          <w:tcPr>
            <w:tcW w:w="6215" w:type="dxa"/>
          </w:tcPr>
          <w:p>
            <w:pPr>
              <w:pStyle w:val="TableParagraph"/>
              <w:spacing w:line="252" w:lineRule="exact" w:before="2"/>
              <w:ind w:left="100" w:right="105"/>
              <w:rPr>
                <w:sz w:val="22"/>
              </w:rPr>
            </w:pPr>
            <w:r>
              <w:rPr>
                <w:sz w:val="22"/>
              </w:rPr>
              <w:t>Sí porque me interesa tener una solución y para que el municipio sea beneficiado.</w:t>
            </w:r>
          </w:p>
        </w:tc>
      </w:tr>
      <w:tr>
        <w:trPr>
          <w:trHeight w:val="1527" w:hRule="exact"/>
        </w:trPr>
        <w:tc>
          <w:tcPr>
            <w:tcW w:w="1385" w:type="dxa"/>
          </w:tcPr>
          <w:p>
            <w:pPr>
              <w:pStyle w:val="TableParagraph"/>
              <w:ind w:left="124" w:right="122" w:hanging="4"/>
              <w:jc w:val="center"/>
              <w:rPr>
                <w:sz w:val="22"/>
              </w:rPr>
            </w:pPr>
            <w:r>
              <w:rPr>
                <w:sz w:val="22"/>
              </w:rPr>
              <w:t>Marcos Silverio Basurto Esquivel</w:t>
            </w:r>
          </w:p>
          <w:p>
            <w:pPr>
              <w:pStyle w:val="TableParagraph"/>
              <w:ind w:left="0"/>
              <w:rPr>
                <w:b/>
                <w:sz w:val="22"/>
              </w:rPr>
            </w:pPr>
          </w:p>
          <w:p>
            <w:pPr>
              <w:pStyle w:val="TableParagraph"/>
              <w:ind w:left="85" w:right="85"/>
              <w:jc w:val="center"/>
              <w:rPr>
                <w:sz w:val="22"/>
              </w:rPr>
            </w:pPr>
            <w:r>
              <w:rPr>
                <w:sz w:val="22"/>
              </w:rPr>
              <w:t>(20/8/2014)</w:t>
            </w:r>
          </w:p>
        </w:tc>
        <w:tc>
          <w:tcPr>
            <w:tcW w:w="1418" w:type="dxa"/>
          </w:tcPr>
          <w:p>
            <w:pPr>
              <w:pStyle w:val="TableParagraph"/>
              <w:spacing w:line="252" w:lineRule="exact" w:before="2"/>
              <w:ind w:left="100" w:right="224"/>
              <w:rPr>
                <w:sz w:val="22"/>
              </w:rPr>
            </w:pPr>
            <w:r>
              <w:rPr>
                <w:sz w:val="22"/>
              </w:rPr>
              <w:t>Médico Veterinario</w:t>
            </w:r>
          </w:p>
        </w:tc>
        <w:tc>
          <w:tcPr>
            <w:tcW w:w="1841" w:type="dxa"/>
          </w:tcPr>
          <w:p>
            <w:pPr>
              <w:pStyle w:val="TableParagraph"/>
              <w:ind w:left="100" w:right="109"/>
              <w:rPr>
                <w:sz w:val="22"/>
              </w:rPr>
            </w:pPr>
            <w:r>
              <w:rPr>
                <w:sz w:val="22"/>
              </w:rPr>
              <w:t>Primer Regidor. Encargado de la Comisión de Desarrollo Agropecuario y Ecología</w:t>
            </w:r>
          </w:p>
        </w:tc>
        <w:tc>
          <w:tcPr>
            <w:tcW w:w="1190" w:type="dxa"/>
          </w:tcPr>
          <w:p>
            <w:pPr>
              <w:pStyle w:val="TableParagraph"/>
              <w:spacing w:line="251" w:lineRule="exact"/>
              <w:ind w:left="0" w:right="136"/>
              <w:jc w:val="right"/>
              <w:rPr>
                <w:sz w:val="22"/>
              </w:rPr>
            </w:pPr>
            <w:r>
              <w:rPr>
                <w:sz w:val="22"/>
              </w:rPr>
              <w:t>Polotitlán</w:t>
            </w:r>
          </w:p>
        </w:tc>
        <w:tc>
          <w:tcPr>
            <w:tcW w:w="1174" w:type="dxa"/>
          </w:tcPr>
          <w:p>
            <w:pPr>
              <w:pStyle w:val="TableParagraph"/>
              <w:spacing w:line="251" w:lineRule="exact"/>
              <w:ind w:left="84" w:right="84"/>
              <w:jc w:val="center"/>
              <w:rPr>
                <w:sz w:val="22"/>
              </w:rPr>
            </w:pPr>
            <w:r>
              <w:rPr>
                <w:sz w:val="22"/>
              </w:rPr>
              <w:t>Polotitlán</w:t>
            </w:r>
          </w:p>
        </w:tc>
        <w:tc>
          <w:tcPr>
            <w:tcW w:w="6215" w:type="dxa"/>
          </w:tcPr>
          <w:p>
            <w:pPr>
              <w:pStyle w:val="TableParagraph"/>
              <w:spacing w:line="251" w:lineRule="exact"/>
              <w:ind w:left="100" w:right="105"/>
              <w:rPr>
                <w:sz w:val="22"/>
              </w:rPr>
            </w:pPr>
            <w:r>
              <w:rPr>
                <w:sz w:val="22"/>
              </w:rPr>
              <w:t>Sí porque me interesa la cuestión.</w:t>
            </w:r>
          </w:p>
        </w:tc>
      </w:tr>
      <w:tr>
        <w:trPr>
          <w:trHeight w:val="1783" w:hRule="exact"/>
        </w:trPr>
        <w:tc>
          <w:tcPr>
            <w:tcW w:w="1385" w:type="dxa"/>
          </w:tcPr>
          <w:p>
            <w:pPr>
              <w:pStyle w:val="TableParagraph"/>
              <w:ind w:left="184" w:right="184" w:firstLine="1"/>
              <w:jc w:val="center"/>
              <w:rPr>
                <w:sz w:val="22"/>
              </w:rPr>
            </w:pPr>
            <w:r>
              <w:rPr>
                <w:sz w:val="22"/>
              </w:rPr>
              <w:t>Edith Alvarado Herrera</w:t>
            </w:r>
          </w:p>
          <w:p>
            <w:pPr>
              <w:pStyle w:val="TableParagraph"/>
              <w:ind w:left="0"/>
              <w:rPr>
                <w:b/>
                <w:sz w:val="22"/>
              </w:rPr>
            </w:pPr>
          </w:p>
          <w:p>
            <w:pPr>
              <w:pStyle w:val="TableParagraph"/>
              <w:ind w:left="85" w:right="86"/>
              <w:jc w:val="center"/>
              <w:rPr>
                <w:sz w:val="22"/>
              </w:rPr>
            </w:pPr>
            <w:r>
              <w:rPr>
                <w:sz w:val="22"/>
              </w:rPr>
              <w:t>(4/9/2014)</w:t>
            </w:r>
          </w:p>
        </w:tc>
        <w:tc>
          <w:tcPr>
            <w:tcW w:w="1418" w:type="dxa"/>
          </w:tcPr>
          <w:p>
            <w:pPr>
              <w:pStyle w:val="TableParagraph"/>
              <w:ind w:left="100" w:right="151"/>
              <w:rPr>
                <w:sz w:val="22"/>
              </w:rPr>
            </w:pPr>
            <w:r>
              <w:rPr>
                <w:sz w:val="22"/>
              </w:rPr>
              <w:t>Licenciada en Derecho</w:t>
            </w:r>
          </w:p>
        </w:tc>
        <w:tc>
          <w:tcPr>
            <w:tcW w:w="1841" w:type="dxa"/>
          </w:tcPr>
          <w:p>
            <w:pPr>
              <w:pStyle w:val="TableParagraph"/>
              <w:tabs>
                <w:tab w:pos="1482" w:val="left" w:leader="none"/>
                <w:tab w:pos="1619" w:val="left" w:leader="none"/>
              </w:tabs>
              <w:ind w:left="100" w:right="99"/>
              <w:rPr>
                <w:sz w:val="22"/>
              </w:rPr>
            </w:pPr>
            <w:r>
              <w:rPr>
                <w:sz w:val="22"/>
              </w:rPr>
              <w:t>Tercer Regidor. Encargada de la Comisión</w:t>
              <w:tab/>
              <w:t>de Desarrollo Económico</w:t>
              <w:tab/>
              <w:tab/>
              <w:t>y Desarrollo Urbano.</w:t>
            </w:r>
          </w:p>
        </w:tc>
        <w:tc>
          <w:tcPr>
            <w:tcW w:w="1190" w:type="dxa"/>
          </w:tcPr>
          <w:p>
            <w:pPr>
              <w:pStyle w:val="TableParagraph"/>
              <w:ind w:left="0" w:right="136"/>
              <w:jc w:val="right"/>
              <w:rPr>
                <w:sz w:val="22"/>
              </w:rPr>
            </w:pPr>
            <w:r>
              <w:rPr>
                <w:sz w:val="22"/>
              </w:rPr>
              <w:t>Polotitlán</w:t>
            </w:r>
          </w:p>
        </w:tc>
        <w:tc>
          <w:tcPr>
            <w:tcW w:w="1174" w:type="dxa"/>
          </w:tcPr>
          <w:p>
            <w:pPr>
              <w:pStyle w:val="TableParagraph"/>
              <w:ind w:left="84" w:right="84"/>
              <w:jc w:val="center"/>
              <w:rPr>
                <w:sz w:val="22"/>
              </w:rPr>
            </w:pPr>
            <w:r>
              <w:rPr>
                <w:sz w:val="22"/>
              </w:rPr>
              <w:t>Polotitlán</w:t>
            </w:r>
          </w:p>
        </w:tc>
        <w:tc>
          <w:tcPr>
            <w:tcW w:w="6215" w:type="dxa"/>
          </w:tcPr>
          <w:p>
            <w:pPr>
              <w:pStyle w:val="TableParagraph"/>
              <w:ind w:left="100" w:right="100"/>
              <w:jc w:val="both"/>
              <w:rPr>
                <w:sz w:val="22"/>
              </w:rPr>
            </w:pPr>
            <w:r>
              <w:rPr>
                <w:sz w:val="22"/>
              </w:rPr>
              <w:t>Sí porque es de importancia y para estar informada y poder brindar información a los habitantes del municipio que la requieran.</w:t>
            </w:r>
          </w:p>
        </w:tc>
      </w:tr>
      <w:tr>
        <w:trPr>
          <w:trHeight w:val="1275" w:hRule="exact"/>
        </w:trPr>
        <w:tc>
          <w:tcPr>
            <w:tcW w:w="1385" w:type="dxa"/>
          </w:tcPr>
          <w:p>
            <w:pPr>
              <w:pStyle w:val="TableParagraph"/>
              <w:ind w:left="124" w:right="122" w:hanging="2"/>
              <w:jc w:val="center"/>
              <w:rPr>
                <w:sz w:val="22"/>
              </w:rPr>
            </w:pPr>
            <w:r>
              <w:rPr>
                <w:sz w:val="22"/>
              </w:rPr>
              <w:t>Irma Lara Ramírez</w:t>
            </w:r>
          </w:p>
          <w:p>
            <w:pPr>
              <w:pStyle w:val="TableParagraph"/>
              <w:ind w:left="0"/>
              <w:rPr>
                <w:b/>
                <w:sz w:val="22"/>
              </w:rPr>
            </w:pPr>
          </w:p>
          <w:p>
            <w:pPr>
              <w:pStyle w:val="TableParagraph"/>
              <w:ind w:left="85" w:right="85"/>
              <w:jc w:val="center"/>
              <w:rPr>
                <w:sz w:val="22"/>
              </w:rPr>
            </w:pPr>
            <w:r>
              <w:rPr>
                <w:sz w:val="22"/>
              </w:rPr>
              <w:t>(20/8/2014)</w:t>
            </w:r>
          </w:p>
        </w:tc>
        <w:tc>
          <w:tcPr>
            <w:tcW w:w="1418" w:type="dxa"/>
          </w:tcPr>
          <w:p>
            <w:pPr>
              <w:pStyle w:val="TableParagraph"/>
              <w:spacing w:line="251" w:lineRule="exact"/>
              <w:ind w:left="144" w:right="101"/>
              <w:rPr>
                <w:sz w:val="22"/>
              </w:rPr>
            </w:pPr>
            <w:r>
              <w:rPr>
                <w:sz w:val="22"/>
              </w:rPr>
              <w:t>Secundaria</w:t>
            </w:r>
          </w:p>
        </w:tc>
        <w:tc>
          <w:tcPr>
            <w:tcW w:w="1841" w:type="dxa"/>
          </w:tcPr>
          <w:p>
            <w:pPr>
              <w:pStyle w:val="TableParagraph"/>
              <w:ind w:left="100"/>
              <w:rPr>
                <w:sz w:val="22"/>
              </w:rPr>
            </w:pPr>
            <w:r>
              <w:rPr>
                <w:sz w:val="22"/>
              </w:rPr>
              <w:t>Coordinador de Desarrollo Agropecuario</w:t>
            </w:r>
          </w:p>
        </w:tc>
        <w:tc>
          <w:tcPr>
            <w:tcW w:w="1190" w:type="dxa"/>
          </w:tcPr>
          <w:p>
            <w:pPr>
              <w:pStyle w:val="TableParagraph"/>
              <w:spacing w:line="251" w:lineRule="exact"/>
              <w:ind w:left="0" w:right="136"/>
              <w:jc w:val="right"/>
              <w:rPr>
                <w:sz w:val="22"/>
              </w:rPr>
            </w:pPr>
            <w:r>
              <w:rPr>
                <w:sz w:val="22"/>
              </w:rPr>
              <w:t>Polotitlán</w:t>
            </w:r>
          </w:p>
        </w:tc>
        <w:tc>
          <w:tcPr>
            <w:tcW w:w="1174" w:type="dxa"/>
          </w:tcPr>
          <w:p>
            <w:pPr>
              <w:pStyle w:val="TableParagraph"/>
              <w:spacing w:line="251" w:lineRule="exact"/>
              <w:ind w:left="84" w:right="84"/>
              <w:jc w:val="center"/>
              <w:rPr>
                <w:sz w:val="22"/>
              </w:rPr>
            </w:pPr>
            <w:r>
              <w:rPr>
                <w:sz w:val="22"/>
              </w:rPr>
              <w:t>Polotitlán</w:t>
            </w:r>
          </w:p>
        </w:tc>
        <w:tc>
          <w:tcPr>
            <w:tcW w:w="6215" w:type="dxa"/>
          </w:tcPr>
          <w:p>
            <w:pPr>
              <w:pStyle w:val="TableParagraph"/>
              <w:ind w:left="100" w:right="410"/>
              <w:rPr>
                <w:sz w:val="22"/>
              </w:rPr>
            </w:pPr>
            <w:r>
              <w:rPr>
                <w:sz w:val="22"/>
              </w:rPr>
              <w:t>¡Sí claro!, para enterarme de los acuerdos que se vayan a tomar.</w:t>
            </w: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pgSz w:w="15840" w:h="12240" w:orient="landscape"/>
          <w:pgMar w:header="0" w:footer="1003" w:top="1140" w:bottom="1200" w:left="1200" w:right="1180"/>
        </w:sectPr>
      </w:pPr>
    </w:p>
    <w:p>
      <w:pPr>
        <w:pStyle w:val="BodyText"/>
        <w:rPr>
          <w:sz w:val="20"/>
        </w:rPr>
      </w:pPr>
    </w:p>
    <w:p>
      <w:pPr>
        <w:pStyle w:val="BodyText"/>
        <w:spacing w:before="1"/>
      </w:pPr>
    </w:p>
    <w:p>
      <w:pPr>
        <w:pStyle w:val="Heading6"/>
        <w:spacing w:before="73" w:after="4"/>
        <w:ind w:left="3566" w:right="778"/>
      </w:pPr>
      <w:r>
        <w:rPr/>
        <w:t>Tabla 6.13. Municipio de Timilpan (Autoridades Municipales)</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34"/>
        <w:gridCol w:w="1229"/>
        <w:gridCol w:w="2314"/>
        <w:gridCol w:w="3901"/>
      </w:tblGrid>
      <w:tr>
        <w:trPr>
          <w:trHeight w:val="292" w:hRule="exact"/>
        </w:trPr>
        <w:tc>
          <w:tcPr>
            <w:tcW w:w="13224" w:type="dxa"/>
            <w:gridSpan w:val="7"/>
            <w:shd w:val="clear" w:color="auto" w:fill="9BBA58"/>
          </w:tcPr>
          <w:p>
            <w:pPr>
              <w:pStyle w:val="TableParagraph"/>
              <w:spacing w:line="248" w:lineRule="exact"/>
              <w:ind w:left="4869" w:right="4870"/>
              <w:jc w:val="center"/>
              <w:rPr>
                <w:b/>
                <w:sz w:val="22"/>
              </w:rPr>
            </w:pPr>
            <w:r>
              <w:rPr>
                <w:b/>
                <w:sz w:val="22"/>
              </w:rPr>
              <w:t>TIMILPAN</w:t>
            </w:r>
          </w:p>
        </w:tc>
      </w:tr>
      <w:tr>
        <w:trPr>
          <w:trHeight w:val="524" w:hRule="exact"/>
        </w:trPr>
        <w:tc>
          <w:tcPr>
            <w:tcW w:w="4547" w:type="dxa"/>
            <w:gridSpan w:val="3"/>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4"/>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264"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Poder</w:t>
            </w:r>
          </w:p>
        </w:tc>
        <w:tc>
          <w:tcPr>
            <w:tcW w:w="3901" w:type="dxa"/>
            <w:shd w:val="clear" w:color="auto" w:fill="92CDDC"/>
          </w:tcPr>
          <w:p>
            <w:pPr>
              <w:pStyle w:val="TableParagraph"/>
              <w:spacing w:line="251" w:lineRule="exact"/>
              <w:rPr>
                <w:b/>
                <w:i/>
                <w:sz w:val="22"/>
              </w:rPr>
            </w:pPr>
            <w:r>
              <w:rPr>
                <w:b/>
                <w:i/>
                <w:sz w:val="22"/>
              </w:rPr>
              <w:t>Poder y cultura</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34" w:type="dxa"/>
            <w:tcBorders>
              <w:bottom w:val="nil"/>
            </w:tcBorders>
            <w:shd w:val="clear" w:color="auto" w:fill="92CDDC"/>
          </w:tcPr>
          <w:p>
            <w:pPr>
              <w:pStyle w:val="TableParagraph"/>
              <w:spacing w:line="248" w:lineRule="exact"/>
              <w:rPr>
                <w:b/>
                <w:sz w:val="22"/>
              </w:rPr>
            </w:pPr>
            <w:r>
              <w:rPr>
                <w:b/>
                <w:sz w:val="22"/>
              </w:rPr>
              <w:t>¿Dónde</w:t>
            </w:r>
          </w:p>
        </w:tc>
        <w:tc>
          <w:tcPr>
            <w:tcW w:w="1229" w:type="dxa"/>
            <w:tcBorders>
              <w:bottom w:val="nil"/>
            </w:tcBorders>
            <w:shd w:val="clear" w:color="auto" w:fill="92CDDC"/>
          </w:tcPr>
          <w:p>
            <w:pPr>
              <w:pStyle w:val="TableParagraph"/>
              <w:spacing w:line="248" w:lineRule="exact"/>
              <w:ind w:left="100"/>
              <w:rPr>
                <w:b/>
                <w:sz w:val="22"/>
              </w:rPr>
            </w:pPr>
            <w:r>
              <w:rPr>
                <w:b/>
                <w:sz w:val="22"/>
              </w:rPr>
              <w:t>¿Dónde</w:t>
            </w:r>
          </w:p>
        </w:tc>
        <w:tc>
          <w:tcPr>
            <w:tcW w:w="2314" w:type="dxa"/>
            <w:tcBorders>
              <w:bottom w:val="nil"/>
            </w:tcBorders>
            <w:shd w:val="clear" w:color="auto" w:fill="92CDDC"/>
          </w:tcPr>
          <w:p>
            <w:pPr>
              <w:pStyle w:val="TableParagraph"/>
              <w:tabs>
                <w:tab w:pos="1225" w:val="left" w:leader="none"/>
                <w:tab w:pos="1883" w:val="left" w:leader="none"/>
              </w:tabs>
              <w:spacing w:line="248" w:lineRule="exact"/>
              <w:ind w:left="100"/>
              <w:rPr>
                <w:b/>
                <w:sz w:val="22"/>
              </w:rPr>
            </w:pPr>
            <w:r>
              <w:rPr>
                <w:b/>
                <w:sz w:val="22"/>
              </w:rPr>
              <w:t>¿Cuáles</w:t>
              <w:tab/>
              <w:t>son</w:t>
              <w:tab/>
              <w:t>los</w:t>
            </w:r>
          </w:p>
        </w:tc>
        <w:tc>
          <w:tcPr>
            <w:tcW w:w="3901" w:type="dxa"/>
            <w:tcBorders>
              <w:bottom w:val="nil"/>
            </w:tcBorders>
            <w:shd w:val="clear" w:color="auto" w:fill="92CDDC"/>
          </w:tcPr>
          <w:p>
            <w:pPr>
              <w:pStyle w:val="TableParagraph"/>
              <w:tabs>
                <w:tab w:pos="851" w:val="left" w:leader="none"/>
                <w:tab w:pos="1487" w:val="left" w:leader="none"/>
                <w:tab w:pos="2245" w:val="left" w:leader="none"/>
                <w:tab w:pos="3603" w:val="left" w:leader="none"/>
              </w:tabs>
              <w:spacing w:line="248" w:lineRule="exact"/>
              <w:rPr>
                <w:b/>
                <w:sz w:val="22"/>
              </w:rPr>
            </w:pPr>
            <w:r>
              <w:rPr>
                <w:b/>
                <w:sz w:val="22"/>
              </w:rPr>
              <w:t>¿Por</w:t>
              <w:tab/>
              <w:t>qué</w:t>
              <w:tab/>
              <w:t>tiene</w:t>
              <w:tab/>
              <w:t>problemas</w:t>
              <w:tab/>
              <w:t>la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34" w:type="dxa"/>
            <w:tcBorders>
              <w:top w:val="nil"/>
              <w:bottom w:val="nil"/>
            </w:tcBorders>
            <w:shd w:val="clear" w:color="auto" w:fill="92CDDC"/>
          </w:tcPr>
          <w:p>
            <w:pPr>
              <w:pStyle w:val="TableParagraph"/>
              <w:spacing w:line="241" w:lineRule="exact"/>
              <w:rPr>
                <w:b/>
                <w:sz w:val="22"/>
              </w:rPr>
            </w:pPr>
            <w:r>
              <w:rPr>
                <w:b/>
                <w:sz w:val="22"/>
              </w:rPr>
              <w:t>nació?</w:t>
            </w:r>
          </w:p>
        </w:tc>
        <w:tc>
          <w:tcPr>
            <w:tcW w:w="1229" w:type="dxa"/>
            <w:tcBorders>
              <w:top w:val="nil"/>
              <w:bottom w:val="nil"/>
            </w:tcBorders>
            <w:shd w:val="clear" w:color="auto" w:fill="92CDDC"/>
          </w:tcPr>
          <w:p>
            <w:pPr>
              <w:pStyle w:val="TableParagraph"/>
              <w:spacing w:line="241" w:lineRule="exact"/>
              <w:ind w:left="100"/>
              <w:rPr>
                <w:b/>
                <w:sz w:val="22"/>
              </w:rPr>
            </w:pPr>
            <w:r>
              <w:rPr>
                <w:b/>
                <w:sz w:val="22"/>
              </w:rPr>
              <w:t>vive?</w:t>
            </w:r>
          </w:p>
        </w:tc>
        <w:tc>
          <w:tcPr>
            <w:tcW w:w="2314" w:type="dxa"/>
            <w:tcBorders>
              <w:top w:val="nil"/>
              <w:bottom w:val="nil"/>
            </w:tcBorders>
            <w:shd w:val="clear" w:color="auto" w:fill="92CDDC"/>
          </w:tcPr>
          <w:p>
            <w:pPr>
              <w:pStyle w:val="TableParagraph"/>
              <w:tabs>
                <w:tab w:pos="1811" w:val="left" w:leader="none"/>
              </w:tabs>
              <w:spacing w:line="241" w:lineRule="exact"/>
              <w:ind w:left="100"/>
              <w:rPr>
                <w:b/>
                <w:sz w:val="22"/>
              </w:rPr>
            </w:pPr>
            <w:r>
              <w:rPr>
                <w:b/>
                <w:sz w:val="22"/>
              </w:rPr>
              <w:t>problemas</w:t>
              <w:tab/>
              <w:t>que</w:t>
            </w:r>
          </w:p>
        </w:tc>
        <w:tc>
          <w:tcPr>
            <w:tcW w:w="3901" w:type="dxa"/>
            <w:tcBorders>
              <w:top w:val="nil"/>
              <w:bottom w:val="nil"/>
            </w:tcBorders>
            <w:shd w:val="clear" w:color="auto" w:fill="92CDDC"/>
          </w:tcPr>
          <w:p>
            <w:pPr>
              <w:pStyle w:val="TableParagraph"/>
              <w:spacing w:line="241" w:lineRule="exact"/>
              <w:rPr>
                <w:b/>
                <w:sz w:val="22"/>
              </w:rPr>
            </w:pPr>
            <w:r>
              <w:rPr>
                <w:b/>
                <w:sz w:val="22"/>
              </w:rPr>
              <w:t>laguna de Huapango?</w:t>
            </w:r>
          </w:p>
        </w:tc>
      </w:tr>
      <w:tr>
        <w:trPr>
          <w:trHeight w:val="254"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34" w:type="dxa"/>
            <w:tcBorders>
              <w:top w:val="nil"/>
              <w:bottom w:val="nil"/>
            </w:tcBorders>
            <w:shd w:val="clear" w:color="auto" w:fill="92CDDC"/>
          </w:tcPr>
          <w:p>
            <w:pPr/>
          </w:p>
        </w:tc>
        <w:tc>
          <w:tcPr>
            <w:tcW w:w="1229"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2" w:lineRule="exact"/>
              <w:ind w:left="100"/>
              <w:rPr>
                <w:b/>
                <w:sz w:val="22"/>
              </w:rPr>
            </w:pPr>
            <w:r>
              <w:rPr>
                <w:b/>
                <w:sz w:val="22"/>
              </w:rPr>
              <w:t>tiene  la  laguna   de</w:t>
            </w:r>
          </w:p>
        </w:tc>
        <w:tc>
          <w:tcPr>
            <w:tcW w:w="3901"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34" w:type="dxa"/>
            <w:tcBorders>
              <w:top w:val="nil"/>
            </w:tcBorders>
            <w:shd w:val="clear" w:color="auto" w:fill="92CDDC"/>
          </w:tcPr>
          <w:p>
            <w:pPr/>
          </w:p>
        </w:tc>
        <w:tc>
          <w:tcPr>
            <w:tcW w:w="1229"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Huapango?</w:t>
            </w:r>
          </w:p>
        </w:tc>
        <w:tc>
          <w:tcPr>
            <w:tcW w:w="3901"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Oscar</w:t>
            </w:r>
          </w:p>
        </w:tc>
        <w:tc>
          <w:tcPr>
            <w:tcW w:w="1274" w:type="dxa"/>
            <w:tcBorders>
              <w:bottom w:val="nil"/>
            </w:tcBorders>
          </w:tcPr>
          <w:p>
            <w:pPr>
              <w:pStyle w:val="TableParagraph"/>
              <w:spacing w:line="251" w:lineRule="exact"/>
              <w:ind w:left="100"/>
              <w:rPr>
                <w:sz w:val="22"/>
              </w:rPr>
            </w:pPr>
            <w:r>
              <w:rPr>
                <w:sz w:val="22"/>
              </w:rPr>
              <w:t>Preparator</w:t>
            </w:r>
          </w:p>
        </w:tc>
        <w:tc>
          <w:tcPr>
            <w:tcW w:w="1887" w:type="dxa"/>
            <w:tcBorders>
              <w:bottom w:val="nil"/>
            </w:tcBorders>
          </w:tcPr>
          <w:p>
            <w:pPr>
              <w:pStyle w:val="TableParagraph"/>
              <w:spacing w:line="251" w:lineRule="exact"/>
              <w:ind w:left="410"/>
              <w:rPr>
                <w:sz w:val="22"/>
              </w:rPr>
            </w:pPr>
            <w:r>
              <w:rPr>
                <w:sz w:val="22"/>
              </w:rPr>
              <w:t>Presidente</w:t>
            </w:r>
          </w:p>
        </w:tc>
        <w:tc>
          <w:tcPr>
            <w:tcW w:w="1234" w:type="dxa"/>
            <w:tcBorders>
              <w:bottom w:val="nil"/>
            </w:tcBorders>
          </w:tcPr>
          <w:p>
            <w:pPr>
              <w:pStyle w:val="TableParagraph"/>
              <w:spacing w:line="251" w:lineRule="exact"/>
              <w:rPr>
                <w:sz w:val="22"/>
              </w:rPr>
            </w:pPr>
            <w:r>
              <w:rPr>
                <w:sz w:val="22"/>
              </w:rPr>
              <w:t>Timilpan</w:t>
            </w:r>
          </w:p>
        </w:tc>
        <w:tc>
          <w:tcPr>
            <w:tcW w:w="1229" w:type="dxa"/>
            <w:tcBorders>
              <w:bottom w:val="nil"/>
            </w:tcBorders>
          </w:tcPr>
          <w:p>
            <w:pPr>
              <w:pStyle w:val="TableParagraph"/>
              <w:spacing w:line="251" w:lineRule="exact"/>
              <w:ind w:left="100"/>
              <w:rPr>
                <w:sz w:val="22"/>
              </w:rPr>
            </w:pPr>
            <w:r>
              <w:rPr>
                <w:sz w:val="22"/>
              </w:rPr>
              <w:t>Timilpan</w:t>
            </w:r>
          </w:p>
        </w:tc>
        <w:tc>
          <w:tcPr>
            <w:tcW w:w="2314" w:type="dxa"/>
            <w:tcBorders>
              <w:bottom w:val="nil"/>
            </w:tcBorders>
          </w:tcPr>
          <w:p>
            <w:pPr>
              <w:pStyle w:val="TableParagraph"/>
              <w:spacing w:line="251" w:lineRule="exact"/>
              <w:ind w:left="100"/>
              <w:rPr>
                <w:sz w:val="22"/>
              </w:rPr>
            </w:pPr>
            <w:r>
              <w:rPr>
                <w:sz w:val="22"/>
              </w:rPr>
              <w:t>No   permitir   que</w:t>
            </w:r>
            <w:r>
              <w:rPr>
                <w:spacing w:val="52"/>
                <w:sz w:val="22"/>
              </w:rPr>
              <w:t> </w:t>
            </w:r>
            <w:r>
              <w:rPr>
                <w:sz w:val="22"/>
              </w:rPr>
              <w:t>se</w:t>
            </w:r>
          </w:p>
        </w:tc>
        <w:tc>
          <w:tcPr>
            <w:tcW w:w="3901" w:type="dxa"/>
            <w:tcBorders>
              <w:bottom w:val="nil"/>
            </w:tcBorders>
          </w:tcPr>
          <w:p>
            <w:pPr>
              <w:pStyle w:val="TableParagraph"/>
              <w:tabs>
                <w:tab w:pos="1086" w:val="left" w:leader="none"/>
                <w:tab w:pos="1590" w:val="left" w:leader="none"/>
                <w:tab w:pos="2276" w:val="left" w:leader="none"/>
                <w:tab w:pos="3346" w:val="left" w:leader="none"/>
              </w:tabs>
              <w:spacing w:line="251" w:lineRule="exact"/>
              <w:rPr>
                <w:sz w:val="22"/>
              </w:rPr>
            </w:pPr>
            <w:r>
              <w:rPr>
                <w:sz w:val="22"/>
              </w:rPr>
              <w:t>Porque</w:t>
              <w:tab/>
              <w:t>se</w:t>
              <w:tab/>
              <w:t>está</w:t>
              <w:tab/>
              <w:t>fugando</w:t>
              <w:tab/>
              <w:t>para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274" w:type="dxa"/>
            <w:tcBorders>
              <w:top w:val="nil"/>
              <w:bottom w:val="nil"/>
            </w:tcBorders>
          </w:tcPr>
          <w:p>
            <w:pPr>
              <w:pStyle w:val="TableParagraph"/>
              <w:spacing w:line="241" w:lineRule="exact"/>
              <w:ind w:left="100" w:right="98"/>
              <w:rPr>
                <w:sz w:val="22"/>
              </w:rPr>
            </w:pPr>
            <w:r>
              <w:rPr>
                <w:sz w:val="22"/>
              </w:rPr>
              <w:t>ia y</w:t>
            </w:r>
          </w:p>
        </w:tc>
        <w:tc>
          <w:tcPr>
            <w:tcW w:w="1887" w:type="dxa"/>
            <w:tcBorders>
              <w:top w:val="nil"/>
              <w:bottom w:val="nil"/>
            </w:tcBorders>
          </w:tcPr>
          <w:p>
            <w:pPr>
              <w:pStyle w:val="TableParagraph"/>
              <w:spacing w:line="241" w:lineRule="exact"/>
              <w:ind w:left="472"/>
              <w:rPr>
                <w:sz w:val="22"/>
              </w:rPr>
            </w:pPr>
            <w:r>
              <w:rPr>
                <w:sz w:val="22"/>
              </w:rPr>
              <w:t>Municipal</w:t>
            </w: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retenga el agua.</w:t>
            </w:r>
          </w:p>
        </w:tc>
        <w:tc>
          <w:tcPr>
            <w:tcW w:w="3901" w:type="dxa"/>
            <w:tcBorders>
              <w:top w:val="nil"/>
              <w:bottom w:val="nil"/>
            </w:tcBorders>
          </w:tcPr>
          <w:p>
            <w:pPr>
              <w:pStyle w:val="TableParagraph"/>
              <w:spacing w:line="241" w:lineRule="exact"/>
              <w:rPr>
                <w:sz w:val="22"/>
              </w:rPr>
            </w:pPr>
            <w:r>
              <w:rPr>
                <w:sz w:val="22"/>
              </w:rPr>
              <w:t>Querétaro y no hay un beneficio para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Ruíz</w:t>
            </w:r>
          </w:p>
        </w:tc>
        <w:tc>
          <w:tcPr>
            <w:tcW w:w="1274" w:type="dxa"/>
            <w:tcBorders>
              <w:top w:val="nil"/>
              <w:bottom w:val="nil"/>
            </w:tcBorders>
          </w:tcPr>
          <w:p>
            <w:pPr>
              <w:pStyle w:val="TableParagraph"/>
              <w:spacing w:line="242" w:lineRule="exact"/>
              <w:ind w:left="100" w:right="98"/>
              <w:rPr>
                <w:sz w:val="22"/>
              </w:rPr>
            </w:pPr>
            <w:r>
              <w:rPr>
                <w:sz w:val="22"/>
              </w:rPr>
              <w:t>carrera</w:t>
            </w: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el municipio.</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técnica</w:t>
            </w: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rPr>
                <w:sz w:val="22"/>
              </w:rPr>
            </w:pPr>
            <w:r>
              <w:rPr>
                <w:sz w:val="22"/>
              </w:rPr>
              <w:t>(24/II/2014)</w:t>
            </w:r>
          </w:p>
        </w:tc>
        <w:tc>
          <w:tcPr>
            <w:tcW w:w="1274" w:type="dxa"/>
            <w:tcBorders>
              <w:top w:val="nil"/>
              <w:bottom w:val="nil"/>
            </w:tcBorders>
          </w:tcPr>
          <w:p>
            <w:pP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Ya   no   se   tiene un</w:t>
            </w:r>
          </w:p>
        </w:tc>
        <w:tc>
          <w:tcPr>
            <w:tcW w:w="3901" w:type="dxa"/>
            <w:tcBorders>
              <w:top w:val="nil"/>
              <w:bottom w:val="nil"/>
            </w:tcBorders>
          </w:tcPr>
          <w:p>
            <w:pPr>
              <w:pStyle w:val="TableParagraph"/>
              <w:spacing w:line="241" w:lineRule="exact"/>
              <w:rPr>
                <w:sz w:val="22"/>
              </w:rPr>
            </w:pPr>
            <w:r>
              <w:rPr>
                <w:sz w:val="22"/>
              </w:rPr>
              <w:t>Porque  hay  fugas  y  ya  no   </w:t>
            </w:r>
            <w:r>
              <w:rPr>
                <w:spacing w:val="51"/>
                <w:sz w:val="22"/>
              </w:rPr>
              <w:t> </w:t>
            </w:r>
            <w:r>
              <w:rPr>
                <w:sz w:val="22"/>
              </w:rPr>
              <w:t>llueve</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nivel adecuado en  la</w:t>
            </w:r>
          </w:p>
        </w:tc>
        <w:tc>
          <w:tcPr>
            <w:tcW w:w="3901" w:type="dxa"/>
            <w:tcBorders>
              <w:top w:val="nil"/>
              <w:bottom w:val="nil"/>
            </w:tcBorders>
          </w:tcPr>
          <w:p>
            <w:pPr>
              <w:pStyle w:val="TableParagraph"/>
              <w:spacing w:line="242" w:lineRule="exact"/>
              <w:rPr>
                <w:sz w:val="22"/>
              </w:rPr>
            </w:pPr>
            <w:r>
              <w:rPr>
                <w:sz w:val="22"/>
              </w:rPr>
              <w:t>como  antes,  lo  que  nos  </w:t>
            </w:r>
            <w:r>
              <w:rPr>
                <w:spacing w:val="57"/>
                <w:sz w:val="22"/>
              </w:rPr>
              <w:t> </w:t>
            </w:r>
            <w:r>
              <w:rPr>
                <w:sz w:val="22"/>
              </w:rPr>
              <w:t>preocupa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laguna.</w:t>
            </w:r>
          </w:p>
        </w:tc>
        <w:tc>
          <w:tcPr>
            <w:tcW w:w="3901" w:type="dxa"/>
            <w:tcBorders>
              <w:top w:val="nil"/>
              <w:bottom w:val="nil"/>
            </w:tcBorders>
          </w:tcPr>
          <w:p>
            <w:pPr>
              <w:pStyle w:val="TableParagraph"/>
              <w:spacing w:line="241" w:lineRule="exact"/>
              <w:rPr>
                <w:sz w:val="22"/>
              </w:rPr>
            </w:pPr>
            <w:r>
              <w:rPr>
                <w:sz w:val="22"/>
              </w:rPr>
              <w:t>porque   sin   agua,   pues   no   sería</w:t>
            </w: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34" w:type="dxa"/>
            <w:tcBorders>
              <w:top w:val="nil"/>
            </w:tcBorders>
          </w:tcPr>
          <w:p>
            <w:pPr/>
          </w:p>
        </w:tc>
        <w:tc>
          <w:tcPr>
            <w:tcW w:w="1229" w:type="dxa"/>
            <w:tcBorders>
              <w:top w:val="nil"/>
            </w:tcBorders>
          </w:tcPr>
          <w:p>
            <w:pPr/>
          </w:p>
        </w:tc>
        <w:tc>
          <w:tcPr>
            <w:tcW w:w="2314" w:type="dxa"/>
            <w:tcBorders>
              <w:top w:val="nil"/>
            </w:tcBorders>
          </w:tcPr>
          <w:p>
            <w:pPr/>
          </w:p>
        </w:tc>
        <w:tc>
          <w:tcPr>
            <w:tcW w:w="3901" w:type="dxa"/>
            <w:tcBorders>
              <w:top w:val="nil"/>
            </w:tcBorders>
          </w:tcPr>
          <w:p>
            <w:pPr>
              <w:pStyle w:val="TableParagraph"/>
              <w:spacing w:line="242" w:lineRule="exact"/>
              <w:rPr>
                <w:sz w:val="22"/>
              </w:rPr>
            </w:pPr>
            <w:r>
              <w:rPr>
                <w:sz w:val="22"/>
              </w:rPr>
              <w:t>laguna.</w:t>
            </w:r>
          </w:p>
        </w:tc>
      </w:tr>
      <w:tr>
        <w:trPr>
          <w:trHeight w:val="268"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Tercer Regidor.</w:t>
            </w:r>
          </w:p>
        </w:tc>
        <w:tc>
          <w:tcPr>
            <w:tcW w:w="1234" w:type="dxa"/>
            <w:tcBorders>
              <w:bottom w:val="nil"/>
            </w:tcBorders>
          </w:tcPr>
          <w:p>
            <w:pPr>
              <w:pStyle w:val="TableParagraph"/>
              <w:spacing w:line="251" w:lineRule="exact"/>
              <w:rPr>
                <w:sz w:val="22"/>
              </w:rPr>
            </w:pPr>
            <w:r>
              <w:rPr>
                <w:sz w:val="22"/>
              </w:rPr>
              <w:t>Rincón de</w:t>
            </w:r>
          </w:p>
        </w:tc>
        <w:tc>
          <w:tcPr>
            <w:tcW w:w="1229" w:type="dxa"/>
            <w:tcBorders>
              <w:bottom w:val="nil"/>
            </w:tcBorders>
          </w:tcPr>
          <w:p>
            <w:pPr>
              <w:pStyle w:val="TableParagraph"/>
              <w:spacing w:line="251" w:lineRule="exact"/>
              <w:ind w:left="100"/>
              <w:rPr>
                <w:sz w:val="22"/>
              </w:rPr>
            </w:pPr>
            <w:r>
              <w:rPr>
                <w:sz w:val="22"/>
              </w:rPr>
              <w:t>Rincón de</w:t>
            </w:r>
          </w:p>
        </w:tc>
        <w:tc>
          <w:tcPr>
            <w:tcW w:w="2314" w:type="dxa"/>
            <w:tcBorders>
              <w:bottom w:val="nil"/>
            </w:tcBorders>
          </w:tcPr>
          <w:p>
            <w:pPr>
              <w:pStyle w:val="TableParagraph"/>
              <w:spacing w:line="251" w:lineRule="exact"/>
              <w:ind w:left="100"/>
              <w:rPr>
                <w:sz w:val="22"/>
              </w:rPr>
            </w:pPr>
            <w:r>
              <w:rPr>
                <w:sz w:val="22"/>
              </w:rPr>
              <w:t>Como  funcionario es</w:t>
            </w:r>
          </w:p>
        </w:tc>
        <w:tc>
          <w:tcPr>
            <w:tcW w:w="3901" w:type="dxa"/>
            <w:tcBorders>
              <w:bottom w:val="nil"/>
            </w:tcBorders>
          </w:tcPr>
          <w:p>
            <w:pPr>
              <w:pStyle w:val="TableParagraph"/>
              <w:spacing w:line="251" w:lineRule="exact"/>
              <w:rPr>
                <w:sz w:val="22"/>
              </w:rPr>
            </w:pPr>
            <w:r>
              <w:rPr>
                <w:sz w:val="22"/>
              </w:rPr>
              <w:t>Porque la concesión la tiene la CNA</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Ruiz</w:t>
            </w:r>
          </w:p>
        </w:tc>
        <w:tc>
          <w:tcPr>
            <w:tcW w:w="1274" w:type="dxa"/>
            <w:tcBorders>
              <w:top w:val="nil"/>
              <w:bottom w:val="nil"/>
            </w:tcBorders>
          </w:tcPr>
          <w:p>
            <w:pPr/>
          </w:p>
        </w:tc>
        <w:tc>
          <w:tcPr>
            <w:tcW w:w="1887" w:type="dxa"/>
            <w:tcBorders>
              <w:top w:val="nil"/>
              <w:bottom w:val="nil"/>
            </w:tcBorders>
          </w:tcPr>
          <w:p>
            <w:pPr>
              <w:pStyle w:val="TableParagraph"/>
              <w:spacing w:line="243" w:lineRule="exact"/>
              <w:rPr>
                <w:sz w:val="22"/>
              </w:rPr>
            </w:pPr>
            <w:r>
              <w:rPr>
                <w:sz w:val="22"/>
              </w:rPr>
              <w:t>Presidente de la</w:t>
            </w:r>
          </w:p>
        </w:tc>
        <w:tc>
          <w:tcPr>
            <w:tcW w:w="1234" w:type="dxa"/>
            <w:tcBorders>
              <w:top w:val="nil"/>
              <w:bottom w:val="nil"/>
            </w:tcBorders>
          </w:tcPr>
          <w:p>
            <w:pPr>
              <w:pStyle w:val="TableParagraph"/>
              <w:spacing w:line="243" w:lineRule="exact"/>
              <w:rPr>
                <w:sz w:val="22"/>
              </w:rPr>
            </w:pPr>
            <w:r>
              <w:rPr>
                <w:sz w:val="22"/>
              </w:rPr>
              <w:t>Bucio,</w:t>
            </w:r>
          </w:p>
        </w:tc>
        <w:tc>
          <w:tcPr>
            <w:tcW w:w="1229" w:type="dxa"/>
            <w:tcBorders>
              <w:top w:val="nil"/>
              <w:bottom w:val="nil"/>
            </w:tcBorders>
          </w:tcPr>
          <w:p>
            <w:pPr>
              <w:pStyle w:val="TableParagraph"/>
              <w:spacing w:line="243" w:lineRule="exact"/>
              <w:ind w:left="100"/>
              <w:rPr>
                <w:sz w:val="22"/>
              </w:rPr>
            </w:pPr>
            <w:r>
              <w:rPr>
                <w:sz w:val="22"/>
              </w:rPr>
              <w:t>Bucio,</w:t>
            </w:r>
          </w:p>
        </w:tc>
        <w:tc>
          <w:tcPr>
            <w:tcW w:w="2314" w:type="dxa"/>
            <w:tcBorders>
              <w:top w:val="nil"/>
              <w:bottom w:val="nil"/>
            </w:tcBorders>
          </w:tcPr>
          <w:p>
            <w:pPr>
              <w:pStyle w:val="TableParagraph"/>
              <w:tabs>
                <w:tab w:pos="796" w:val="left" w:leader="none"/>
                <w:tab w:pos="1954" w:val="left" w:leader="none"/>
              </w:tabs>
              <w:spacing w:line="243" w:lineRule="exact"/>
              <w:ind w:left="100"/>
              <w:rPr>
                <w:sz w:val="22"/>
              </w:rPr>
            </w:pPr>
            <w:r>
              <w:rPr>
                <w:sz w:val="22"/>
              </w:rPr>
              <w:t>que</w:t>
              <w:tab/>
              <w:t>Timilpan</w:t>
              <w:tab/>
              <w:t>no</w:t>
            </w:r>
          </w:p>
        </w:tc>
        <w:tc>
          <w:tcPr>
            <w:tcW w:w="3901" w:type="dxa"/>
            <w:tcBorders>
              <w:top w:val="nil"/>
              <w:bottom w:val="nil"/>
            </w:tcBorders>
          </w:tcPr>
          <w:p>
            <w:pPr>
              <w:pStyle w:val="TableParagraph"/>
              <w:spacing w:line="243" w:lineRule="exact"/>
              <w:rPr>
                <w:sz w:val="22"/>
              </w:rPr>
            </w:pPr>
            <w:r>
              <w:rPr>
                <w:sz w:val="22"/>
              </w:rPr>
              <w:t>para el Bajío, San Juan del Río.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Comisión de</w:t>
            </w:r>
          </w:p>
        </w:tc>
        <w:tc>
          <w:tcPr>
            <w:tcW w:w="1234" w:type="dxa"/>
            <w:tcBorders>
              <w:top w:val="nil"/>
              <w:bottom w:val="nil"/>
            </w:tcBorders>
          </w:tcPr>
          <w:p>
            <w:pPr>
              <w:pStyle w:val="TableParagraph"/>
              <w:spacing w:line="241" w:lineRule="exact"/>
              <w:rPr>
                <w:sz w:val="22"/>
              </w:rPr>
            </w:pPr>
            <w:r>
              <w:rPr>
                <w:sz w:val="22"/>
              </w:rPr>
              <w:t>Timilpan</w:t>
            </w:r>
          </w:p>
        </w:tc>
        <w:tc>
          <w:tcPr>
            <w:tcW w:w="1229" w:type="dxa"/>
            <w:tcBorders>
              <w:top w:val="nil"/>
              <w:bottom w:val="nil"/>
            </w:tcBorders>
          </w:tcPr>
          <w:p>
            <w:pPr>
              <w:pStyle w:val="TableParagraph"/>
              <w:spacing w:line="241" w:lineRule="exact"/>
              <w:ind w:left="100"/>
              <w:rPr>
                <w:sz w:val="22"/>
              </w:rPr>
            </w:pPr>
            <w:r>
              <w:rPr>
                <w:sz w:val="22"/>
              </w:rPr>
              <w:t>Timilpan</w:t>
            </w:r>
          </w:p>
        </w:tc>
        <w:tc>
          <w:tcPr>
            <w:tcW w:w="2314" w:type="dxa"/>
            <w:tcBorders>
              <w:top w:val="nil"/>
              <w:bottom w:val="nil"/>
            </w:tcBorders>
          </w:tcPr>
          <w:p>
            <w:pPr>
              <w:pStyle w:val="TableParagraph"/>
              <w:spacing w:line="241" w:lineRule="exact"/>
              <w:ind w:left="100"/>
              <w:rPr>
                <w:sz w:val="22"/>
              </w:rPr>
            </w:pPr>
            <w:r>
              <w:rPr>
                <w:sz w:val="22"/>
              </w:rPr>
              <w:t>aprovecha   el  agua,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 Rural</w:t>
            </w: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sólo es un espejo.</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(24/I/2015)</w:t>
            </w:r>
          </w:p>
        </w:tc>
        <w:tc>
          <w:tcPr>
            <w:tcW w:w="1274" w:type="dxa"/>
            <w:tcBorders>
              <w:top w:val="nil"/>
              <w:bottom w:val="nil"/>
            </w:tcBorders>
          </w:tcPr>
          <w:p>
            <w:pP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tabs>
                <w:tab w:pos="551" w:val="left" w:leader="none"/>
                <w:tab w:pos="1297" w:val="left" w:leader="none"/>
                <w:tab w:pos="1784" w:val="left" w:leader="none"/>
              </w:tabs>
              <w:spacing w:line="241" w:lineRule="exact"/>
              <w:ind w:left="100"/>
              <w:rPr>
                <w:sz w:val="22"/>
              </w:rPr>
            </w:pPr>
            <w:r>
              <w:rPr>
                <w:sz w:val="22"/>
              </w:rPr>
              <w:t>El</w:t>
              <w:tab/>
              <w:t>agua</w:t>
              <w:tab/>
              <w:t>se</w:t>
              <w:tab/>
              <w:t>está</w:t>
            </w:r>
          </w:p>
        </w:tc>
        <w:tc>
          <w:tcPr>
            <w:tcW w:w="3901" w:type="dxa"/>
            <w:tcBorders>
              <w:top w:val="nil"/>
              <w:bottom w:val="nil"/>
            </w:tcBorders>
          </w:tcPr>
          <w:p>
            <w:pPr>
              <w:pStyle w:val="TableParagraph"/>
              <w:spacing w:line="241" w:lineRule="exact"/>
              <w:rPr>
                <w:sz w:val="22"/>
              </w:rPr>
            </w:pPr>
            <w:r>
              <w:rPr>
                <w:sz w:val="22"/>
              </w:rPr>
              <w:t>Porque no se le ha dado el manejo a</w:t>
            </w:r>
          </w:p>
        </w:tc>
      </w:tr>
      <w:tr>
        <w:trPr>
          <w:trHeight w:val="501"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34" w:type="dxa"/>
            <w:tcBorders>
              <w:top w:val="nil"/>
            </w:tcBorders>
          </w:tcPr>
          <w:p>
            <w:pPr/>
          </w:p>
        </w:tc>
        <w:tc>
          <w:tcPr>
            <w:tcW w:w="1229" w:type="dxa"/>
            <w:tcBorders>
              <w:top w:val="nil"/>
            </w:tcBorders>
          </w:tcPr>
          <w:p>
            <w:pPr/>
          </w:p>
        </w:tc>
        <w:tc>
          <w:tcPr>
            <w:tcW w:w="2314" w:type="dxa"/>
            <w:tcBorders>
              <w:top w:val="nil"/>
            </w:tcBorders>
          </w:tcPr>
          <w:p>
            <w:pPr>
              <w:pStyle w:val="TableParagraph"/>
              <w:spacing w:line="242" w:lineRule="exact"/>
              <w:ind w:left="100"/>
              <w:rPr>
                <w:sz w:val="22"/>
              </w:rPr>
            </w:pPr>
            <w:r>
              <w:rPr>
                <w:sz w:val="22"/>
              </w:rPr>
              <w:t>contaminada.</w:t>
            </w:r>
          </w:p>
        </w:tc>
        <w:tc>
          <w:tcPr>
            <w:tcW w:w="3901" w:type="dxa"/>
            <w:tcBorders>
              <w:top w:val="nil"/>
            </w:tcBorders>
          </w:tcPr>
          <w:p>
            <w:pPr>
              <w:pStyle w:val="TableParagraph"/>
              <w:spacing w:line="242" w:lineRule="exact"/>
              <w:rPr>
                <w:sz w:val="22"/>
              </w:rPr>
            </w:pPr>
            <w:r>
              <w:rPr>
                <w:sz w:val="22"/>
              </w:rPr>
              <w:t>los drenajes.</w:t>
            </w:r>
          </w:p>
        </w:tc>
      </w:tr>
      <w:tr>
        <w:trPr>
          <w:trHeight w:val="269" w:hRule="exact"/>
        </w:trPr>
        <w:tc>
          <w:tcPr>
            <w:tcW w:w="1385" w:type="dxa"/>
            <w:tcBorders>
              <w:bottom w:val="nil"/>
            </w:tcBorders>
          </w:tcPr>
          <w:p>
            <w:pPr>
              <w:pStyle w:val="TableParagraph"/>
              <w:ind w:right="127"/>
              <w:rPr>
                <w:sz w:val="22"/>
              </w:rPr>
            </w:pPr>
            <w:r>
              <w:rPr>
                <w:sz w:val="22"/>
              </w:rPr>
              <w:t>Jacinta</w:t>
            </w:r>
          </w:p>
        </w:tc>
        <w:tc>
          <w:tcPr>
            <w:tcW w:w="1274" w:type="dxa"/>
            <w:tcBorders>
              <w:bottom w:val="nil"/>
            </w:tcBorders>
          </w:tcPr>
          <w:p>
            <w:pPr/>
          </w:p>
        </w:tc>
        <w:tc>
          <w:tcPr>
            <w:tcW w:w="1887" w:type="dxa"/>
            <w:tcBorders>
              <w:bottom w:val="nil"/>
            </w:tcBorders>
          </w:tcPr>
          <w:p>
            <w:pPr>
              <w:pStyle w:val="TableParagraph"/>
              <w:rPr>
                <w:sz w:val="22"/>
              </w:rPr>
            </w:pPr>
            <w:r>
              <w:rPr>
                <w:sz w:val="22"/>
              </w:rPr>
              <w:t>Cuarto  Regidor.</w:t>
            </w:r>
          </w:p>
        </w:tc>
        <w:tc>
          <w:tcPr>
            <w:tcW w:w="1234" w:type="dxa"/>
            <w:tcBorders>
              <w:bottom w:val="nil"/>
            </w:tcBorders>
          </w:tcPr>
          <w:p>
            <w:pPr>
              <w:pStyle w:val="TableParagraph"/>
              <w:rPr>
                <w:sz w:val="22"/>
              </w:rPr>
            </w:pPr>
            <w:r>
              <w:rPr>
                <w:sz w:val="22"/>
              </w:rPr>
              <w:t>Santiago</w:t>
            </w:r>
          </w:p>
        </w:tc>
        <w:tc>
          <w:tcPr>
            <w:tcW w:w="1229" w:type="dxa"/>
            <w:tcBorders>
              <w:bottom w:val="nil"/>
            </w:tcBorders>
          </w:tcPr>
          <w:p>
            <w:pPr>
              <w:pStyle w:val="TableParagraph"/>
              <w:ind w:left="100"/>
              <w:rPr>
                <w:sz w:val="22"/>
              </w:rPr>
            </w:pPr>
            <w:r>
              <w:rPr>
                <w:sz w:val="22"/>
              </w:rPr>
              <w:t>Santiago</w:t>
            </w:r>
          </w:p>
        </w:tc>
        <w:tc>
          <w:tcPr>
            <w:tcW w:w="2314" w:type="dxa"/>
            <w:tcBorders>
              <w:bottom w:val="nil"/>
            </w:tcBorders>
          </w:tcPr>
          <w:p>
            <w:pPr>
              <w:pStyle w:val="TableParagraph"/>
              <w:ind w:left="100"/>
              <w:rPr>
                <w:sz w:val="22"/>
              </w:rPr>
            </w:pPr>
            <w:r>
              <w:rPr>
                <w:sz w:val="22"/>
              </w:rPr>
              <w:t>La contaminación.</w:t>
            </w:r>
          </w:p>
        </w:tc>
        <w:tc>
          <w:tcPr>
            <w:tcW w:w="3901" w:type="dxa"/>
            <w:tcBorders>
              <w:bottom w:val="nil"/>
            </w:tcBorders>
          </w:tcPr>
          <w:p>
            <w:pPr>
              <w:pStyle w:val="TableParagraph"/>
              <w:rPr>
                <w:sz w:val="22"/>
              </w:rPr>
            </w:pPr>
            <w:r>
              <w:rPr>
                <w:sz w:val="22"/>
              </w:rPr>
              <w:t>Por lo de la basura y todo eso.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Jasso</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Presidenta  de la</w:t>
            </w:r>
          </w:p>
        </w:tc>
        <w:tc>
          <w:tcPr>
            <w:tcW w:w="1234" w:type="dxa"/>
            <w:tcBorders>
              <w:top w:val="nil"/>
              <w:bottom w:val="nil"/>
            </w:tcBorders>
          </w:tcPr>
          <w:p>
            <w:pPr>
              <w:pStyle w:val="TableParagraph"/>
              <w:spacing w:line="241" w:lineRule="exact"/>
              <w:rPr>
                <w:sz w:val="22"/>
              </w:rPr>
            </w:pPr>
            <w:r>
              <w:rPr>
                <w:sz w:val="22"/>
              </w:rPr>
              <w:t>Maxdá,</w:t>
            </w:r>
          </w:p>
        </w:tc>
        <w:tc>
          <w:tcPr>
            <w:tcW w:w="1229" w:type="dxa"/>
            <w:tcBorders>
              <w:top w:val="nil"/>
              <w:bottom w:val="nil"/>
            </w:tcBorders>
          </w:tcPr>
          <w:p>
            <w:pPr>
              <w:pStyle w:val="TableParagraph"/>
              <w:spacing w:line="241" w:lineRule="exact"/>
              <w:ind w:left="100"/>
              <w:rPr>
                <w:sz w:val="22"/>
              </w:rPr>
            </w:pPr>
            <w:r>
              <w:rPr>
                <w:sz w:val="22"/>
              </w:rPr>
              <w:t>Maxdá,</w:t>
            </w:r>
          </w:p>
        </w:tc>
        <w:tc>
          <w:tcPr>
            <w:tcW w:w="2314" w:type="dxa"/>
            <w:tcBorders>
              <w:top w:val="nil"/>
              <w:bottom w:val="nil"/>
            </w:tcBorders>
          </w:tcPr>
          <w:p>
            <w:pPr/>
          </w:p>
        </w:tc>
        <w:tc>
          <w:tcPr>
            <w:tcW w:w="3901" w:type="dxa"/>
            <w:tcBorders>
              <w:top w:val="nil"/>
              <w:bottom w:val="nil"/>
            </w:tcBorders>
          </w:tcPr>
          <w:p>
            <w:pPr/>
          </w:p>
        </w:tc>
      </w:tr>
      <w:tr>
        <w:trPr>
          <w:trHeight w:val="254" w:hRule="exact"/>
        </w:trPr>
        <w:tc>
          <w:tcPr>
            <w:tcW w:w="1385" w:type="dxa"/>
            <w:tcBorders>
              <w:top w:val="nil"/>
              <w:bottom w:val="nil"/>
            </w:tcBorders>
          </w:tcPr>
          <w:p>
            <w:pPr>
              <w:pStyle w:val="TableParagraph"/>
              <w:spacing w:line="241" w:lineRule="exact"/>
              <w:ind w:right="127"/>
              <w:rPr>
                <w:sz w:val="22"/>
              </w:rPr>
            </w:pPr>
            <w:r>
              <w:rPr>
                <w:sz w:val="22"/>
              </w:rPr>
              <w:t>González</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1234" w:type="dxa"/>
            <w:tcBorders>
              <w:top w:val="nil"/>
              <w:bottom w:val="nil"/>
            </w:tcBorders>
          </w:tcPr>
          <w:p>
            <w:pPr>
              <w:pStyle w:val="TableParagraph"/>
              <w:spacing w:line="241" w:lineRule="exact"/>
              <w:rPr>
                <w:sz w:val="22"/>
              </w:rPr>
            </w:pPr>
            <w:r>
              <w:rPr>
                <w:sz w:val="22"/>
              </w:rPr>
              <w:t>Timilpan</w:t>
            </w:r>
          </w:p>
        </w:tc>
        <w:tc>
          <w:tcPr>
            <w:tcW w:w="1229" w:type="dxa"/>
            <w:tcBorders>
              <w:top w:val="nil"/>
              <w:bottom w:val="nil"/>
            </w:tcBorders>
          </w:tcPr>
          <w:p>
            <w:pPr>
              <w:pStyle w:val="TableParagraph"/>
              <w:spacing w:line="241" w:lineRule="exact"/>
              <w:ind w:left="100"/>
              <w:rPr>
                <w:sz w:val="22"/>
              </w:rPr>
            </w:pPr>
            <w:r>
              <w:rPr>
                <w:sz w:val="22"/>
              </w:rPr>
              <w:t>Timilpan</w:t>
            </w:r>
          </w:p>
        </w:tc>
        <w:tc>
          <w:tcPr>
            <w:tcW w:w="2314" w:type="dxa"/>
            <w:tcBorders>
              <w:top w:val="nil"/>
              <w:bottom w:val="nil"/>
            </w:tcBorders>
          </w:tcPr>
          <w:p>
            <w:pPr>
              <w:pStyle w:val="TableParagraph"/>
              <w:spacing w:line="241" w:lineRule="exact"/>
              <w:ind w:left="100"/>
              <w:rPr>
                <w:sz w:val="22"/>
              </w:rPr>
            </w:pPr>
            <w:r>
              <w:rPr>
                <w:sz w:val="22"/>
              </w:rPr>
              <w:t>Los drenajes que se</w:t>
            </w:r>
          </w:p>
        </w:tc>
        <w:tc>
          <w:tcPr>
            <w:tcW w:w="3901" w:type="dxa"/>
            <w:tcBorders>
              <w:top w:val="nil"/>
              <w:bottom w:val="nil"/>
            </w:tcBorders>
          </w:tcPr>
          <w:p>
            <w:pPr>
              <w:pStyle w:val="TableParagraph"/>
              <w:spacing w:line="241" w:lineRule="exact"/>
              <w:rPr>
                <w:sz w:val="22"/>
              </w:rPr>
            </w:pPr>
            <w:r>
              <w:rPr>
                <w:sz w:val="22"/>
              </w:rPr>
              <w:t>Por falta de atención a la limpieza.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2" w:val="left" w:leader="none"/>
              </w:tabs>
              <w:spacing w:line="243" w:lineRule="exact"/>
              <w:rPr>
                <w:sz w:val="22"/>
              </w:rPr>
            </w:pPr>
            <w:r>
              <w:rPr>
                <w:sz w:val="22"/>
              </w:rPr>
              <w:t>Empleo</w:t>
              <w:tab/>
              <w:t>y</w:t>
            </w: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trasminan.</w:t>
            </w:r>
          </w:p>
        </w:tc>
        <w:tc>
          <w:tcPr>
            <w:tcW w:w="3901" w:type="dxa"/>
            <w:tcBorders>
              <w:top w:val="nil"/>
              <w:bottom w:val="nil"/>
            </w:tcBorders>
          </w:tcPr>
          <w:p>
            <w:pPr/>
          </w:p>
        </w:tc>
      </w:tr>
      <w:tr>
        <w:trPr>
          <w:trHeight w:val="447" w:hRule="exact"/>
        </w:trPr>
        <w:tc>
          <w:tcPr>
            <w:tcW w:w="1385" w:type="dxa"/>
            <w:tcBorders>
              <w:top w:val="nil"/>
            </w:tcBorders>
          </w:tcPr>
          <w:p>
            <w:pPr>
              <w:pStyle w:val="TableParagraph"/>
              <w:spacing w:line="241" w:lineRule="exact"/>
              <w:ind w:right="127"/>
              <w:rPr>
                <w:sz w:val="22"/>
              </w:rPr>
            </w:pPr>
            <w:r>
              <w:rPr>
                <w:sz w:val="22"/>
              </w:rPr>
              <w:t>(24/I/2015)</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Turismo</w:t>
            </w:r>
          </w:p>
        </w:tc>
        <w:tc>
          <w:tcPr>
            <w:tcW w:w="1234" w:type="dxa"/>
            <w:tcBorders>
              <w:top w:val="nil"/>
            </w:tcBorders>
          </w:tcPr>
          <w:p>
            <w:pPr/>
          </w:p>
        </w:tc>
        <w:tc>
          <w:tcPr>
            <w:tcW w:w="1229" w:type="dxa"/>
            <w:tcBorders>
              <w:top w:val="nil"/>
            </w:tcBorders>
          </w:tcPr>
          <w:p>
            <w:pPr/>
          </w:p>
        </w:tc>
        <w:tc>
          <w:tcPr>
            <w:tcW w:w="2314" w:type="dxa"/>
            <w:tcBorders>
              <w:top w:val="nil"/>
            </w:tcBorders>
          </w:tcPr>
          <w:p>
            <w:pPr/>
          </w:p>
        </w:tc>
        <w:tc>
          <w:tcPr>
            <w:tcW w:w="3901" w:type="dxa"/>
            <w:tcBorders>
              <w:top w:val="nil"/>
            </w:tcBorders>
          </w:tcPr>
          <w:p>
            <w:pPr/>
          </w:p>
        </w:tc>
      </w:tr>
      <w:tr>
        <w:trPr>
          <w:trHeight w:val="768" w:hRule="exact"/>
        </w:trPr>
        <w:tc>
          <w:tcPr>
            <w:tcW w:w="1385" w:type="dxa"/>
          </w:tcPr>
          <w:p>
            <w:pPr>
              <w:pStyle w:val="TableParagraph"/>
              <w:ind w:right="104"/>
              <w:rPr>
                <w:sz w:val="22"/>
              </w:rPr>
            </w:pPr>
            <w:r>
              <w:rPr>
                <w:sz w:val="22"/>
              </w:rPr>
              <w:t>Erika María Correa Plata</w:t>
            </w:r>
          </w:p>
        </w:tc>
        <w:tc>
          <w:tcPr>
            <w:tcW w:w="1274" w:type="dxa"/>
          </w:tcPr>
          <w:p>
            <w:pPr>
              <w:pStyle w:val="TableParagraph"/>
              <w:ind w:left="100" w:right="107"/>
              <w:rPr>
                <w:sz w:val="22"/>
              </w:rPr>
            </w:pPr>
            <w:r>
              <w:rPr>
                <w:sz w:val="22"/>
              </w:rPr>
              <w:t>Técnico en Computaci</w:t>
            </w:r>
          </w:p>
        </w:tc>
        <w:tc>
          <w:tcPr>
            <w:tcW w:w="1887" w:type="dxa"/>
          </w:tcPr>
          <w:p>
            <w:pPr>
              <w:pStyle w:val="TableParagraph"/>
              <w:ind w:right="101"/>
              <w:jc w:val="both"/>
              <w:rPr>
                <w:sz w:val="22"/>
              </w:rPr>
            </w:pPr>
            <w:r>
              <w:rPr>
                <w:sz w:val="22"/>
              </w:rPr>
              <w:t>Quinto Regidor. Presidente de la Comisión        de</w:t>
            </w:r>
          </w:p>
        </w:tc>
        <w:tc>
          <w:tcPr>
            <w:tcW w:w="1234" w:type="dxa"/>
          </w:tcPr>
          <w:p>
            <w:pPr>
              <w:pStyle w:val="TableParagraph"/>
              <w:ind w:right="171"/>
              <w:rPr>
                <w:sz w:val="22"/>
              </w:rPr>
            </w:pPr>
            <w:r>
              <w:rPr>
                <w:sz w:val="22"/>
              </w:rPr>
              <w:t>Naucalpa n de Juárez</w:t>
            </w:r>
          </w:p>
        </w:tc>
        <w:tc>
          <w:tcPr>
            <w:tcW w:w="1229" w:type="dxa"/>
          </w:tcPr>
          <w:p>
            <w:pPr>
              <w:pStyle w:val="TableParagraph"/>
              <w:ind w:left="100" w:right="267"/>
              <w:rPr>
                <w:sz w:val="22"/>
              </w:rPr>
            </w:pPr>
            <w:r>
              <w:rPr>
                <w:sz w:val="22"/>
              </w:rPr>
              <w:t>Timilpan (desde hace 30</w:t>
            </w:r>
          </w:p>
        </w:tc>
        <w:tc>
          <w:tcPr>
            <w:tcW w:w="2314" w:type="dxa"/>
          </w:tcPr>
          <w:p>
            <w:pPr>
              <w:pStyle w:val="TableParagraph"/>
              <w:spacing w:line="251" w:lineRule="exact"/>
              <w:ind w:left="100"/>
              <w:rPr>
                <w:sz w:val="22"/>
              </w:rPr>
            </w:pPr>
            <w:r>
              <w:rPr>
                <w:sz w:val="22"/>
              </w:rPr>
              <w:t>La contaminación.</w:t>
            </w:r>
          </w:p>
        </w:tc>
        <w:tc>
          <w:tcPr>
            <w:tcW w:w="3901" w:type="dxa"/>
          </w:tcPr>
          <w:p>
            <w:pPr>
              <w:pStyle w:val="TableParagraph"/>
              <w:ind w:right="100"/>
              <w:jc w:val="both"/>
              <w:rPr>
                <w:sz w:val="22"/>
              </w:rPr>
            </w:pPr>
            <w:r>
              <w:rPr>
                <w:sz w:val="22"/>
              </w:rPr>
              <w:t>Porque hay descargas de aguas negras de los hogares, a pesar de que existen dos plantas tratadoras en</w:t>
            </w:r>
          </w:p>
        </w:tc>
      </w:tr>
    </w:tbl>
    <w:p>
      <w:pPr>
        <w:spacing w:after="0"/>
        <w:jc w:val="both"/>
        <w:rPr>
          <w:sz w:val="22"/>
        </w:rPr>
        <w:sectPr>
          <w:pgSz w:w="15840" w:h="12240" w:orient="landscape"/>
          <w:pgMar w:header="0" w:footer="100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34"/>
        <w:gridCol w:w="1229"/>
        <w:gridCol w:w="2314"/>
        <w:gridCol w:w="3901"/>
      </w:tblGrid>
      <w:tr>
        <w:trPr>
          <w:trHeight w:val="2288" w:hRule="exact"/>
        </w:trPr>
        <w:tc>
          <w:tcPr>
            <w:tcW w:w="1385" w:type="dxa"/>
          </w:tcPr>
          <w:p>
            <w:pPr>
              <w:pStyle w:val="TableParagraph"/>
              <w:spacing w:before="8"/>
              <w:ind w:left="0"/>
              <w:rPr>
                <w:b/>
                <w:sz w:val="21"/>
              </w:rPr>
            </w:pPr>
          </w:p>
          <w:p>
            <w:pPr>
              <w:pStyle w:val="TableParagraph"/>
              <w:rPr>
                <w:sz w:val="22"/>
              </w:rPr>
            </w:pPr>
            <w:r>
              <w:rPr>
                <w:sz w:val="22"/>
              </w:rPr>
              <w:t>(24/II/2014)</w:t>
            </w:r>
          </w:p>
        </w:tc>
        <w:tc>
          <w:tcPr>
            <w:tcW w:w="1274" w:type="dxa"/>
          </w:tcPr>
          <w:p>
            <w:pPr>
              <w:pStyle w:val="TableParagraph"/>
              <w:spacing w:line="251" w:lineRule="exact"/>
              <w:ind w:left="100" w:right="98"/>
              <w:rPr>
                <w:sz w:val="22"/>
              </w:rPr>
            </w:pPr>
            <w:r>
              <w:rPr>
                <w:sz w:val="22"/>
              </w:rPr>
              <w:t>ón</w:t>
            </w:r>
          </w:p>
        </w:tc>
        <w:tc>
          <w:tcPr>
            <w:tcW w:w="1887" w:type="dxa"/>
          </w:tcPr>
          <w:p>
            <w:pPr>
              <w:pStyle w:val="TableParagraph"/>
              <w:spacing w:line="252" w:lineRule="exact" w:before="2"/>
              <w:rPr>
                <w:sz w:val="22"/>
              </w:rPr>
            </w:pPr>
            <w:r>
              <w:rPr>
                <w:sz w:val="22"/>
              </w:rPr>
              <w:t>Salud y Medio Ambiente</w:t>
            </w:r>
          </w:p>
        </w:tc>
        <w:tc>
          <w:tcPr>
            <w:tcW w:w="1234" w:type="dxa"/>
          </w:tcPr>
          <w:p>
            <w:pPr/>
          </w:p>
        </w:tc>
        <w:tc>
          <w:tcPr>
            <w:tcW w:w="1229" w:type="dxa"/>
          </w:tcPr>
          <w:p>
            <w:pPr>
              <w:pStyle w:val="TableParagraph"/>
              <w:spacing w:line="251" w:lineRule="exact"/>
              <w:ind w:left="100"/>
              <w:rPr>
                <w:sz w:val="22"/>
              </w:rPr>
            </w:pPr>
            <w:r>
              <w:rPr>
                <w:sz w:val="22"/>
              </w:rPr>
              <w:t>años)</w:t>
            </w:r>
          </w:p>
        </w:tc>
        <w:tc>
          <w:tcPr>
            <w:tcW w:w="2314" w:type="dxa"/>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9"/>
              <w:ind w:left="0"/>
              <w:rPr>
                <w:b/>
                <w:sz w:val="21"/>
              </w:rPr>
            </w:pPr>
          </w:p>
          <w:p>
            <w:pPr>
              <w:pStyle w:val="TableParagraph"/>
              <w:tabs>
                <w:tab w:pos="1833" w:val="left" w:leader="none"/>
              </w:tabs>
              <w:ind w:left="100" w:right="99"/>
              <w:jc w:val="both"/>
              <w:rPr>
                <w:sz w:val="22"/>
              </w:rPr>
            </w:pPr>
            <w:r>
              <w:rPr>
                <w:sz w:val="22"/>
              </w:rPr>
              <w:t>No se le ha dado la protección</w:t>
              <w:tab/>
              <w:t>que merece.</w:t>
            </w:r>
          </w:p>
        </w:tc>
        <w:tc>
          <w:tcPr>
            <w:tcW w:w="3901" w:type="dxa"/>
          </w:tcPr>
          <w:p>
            <w:pPr>
              <w:pStyle w:val="TableParagraph"/>
              <w:ind w:right="99"/>
              <w:jc w:val="both"/>
              <w:rPr>
                <w:sz w:val="22"/>
              </w:rPr>
            </w:pPr>
            <w:r>
              <w:rPr>
                <w:sz w:val="22"/>
              </w:rPr>
              <w:t>el municipio (Una en Zaragoza y otra en Rincón de Bucio), pero el agua va a los ríos (arroyos) y ahí se contamina.</w:t>
            </w:r>
          </w:p>
          <w:p>
            <w:pPr>
              <w:pStyle w:val="TableParagraph"/>
              <w:ind w:left="0"/>
              <w:rPr>
                <w:b/>
                <w:sz w:val="22"/>
              </w:rPr>
            </w:pPr>
          </w:p>
          <w:p>
            <w:pPr>
              <w:pStyle w:val="TableParagraph"/>
              <w:ind w:right="100"/>
              <w:jc w:val="both"/>
              <w:rPr>
                <w:sz w:val="22"/>
              </w:rPr>
            </w:pPr>
            <w:r>
              <w:rPr>
                <w:sz w:val="22"/>
              </w:rPr>
              <w:t>Porque no se tiene conciencia de la importancia de la laguna y es un  lugar muy bonito que si se proyectara turísticamente tendría</w:t>
            </w:r>
            <w:r>
              <w:rPr>
                <w:spacing w:val="-8"/>
                <w:sz w:val="22"/>
              </w:rPr>
              <w:t> </w:t>
            </w:r>
            <w:r>
              <w:rPr>
                <w:sz w:val="22"/>
              </w:rPr>
              <w:t>éxito.</w:t>
            </w:r>
          </w:p>
        </w:tc>
      </w:tr>
      <w:tr>
        <w:trPr>
          <w:trHeight w:val="266" w:hRule="exact"/>
        </w:trPr>
        <w:tc>
          <w:tcPr>
            <w:tcW w:w="1385" w:type="dxa"/>
            <w:tcBorders>
              <w:bottom w:val="nil"/>
            </w:tcBorders>
          </w:tcPr>
          <w:p>
            <w:pPr>
              <w:pStyle w:val="TableParagraph"/>
              <w:spacing w:line="251" w:lineRule="exact"/>
              <w:ind w:right="127"/>
              <w:rPr>
                <w:sz w:val="22"/>
              </w:rPr>
            </w:pPr>
            <w:r>
              <w:rPr>
                <w:sz w:val="22"/>
              </w:rPr>
              <w:t>Jazith</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spacing w:line="251" w:lineRule="exact"/>
              <w:rPr>
                <w:sz w:val="22"/>
              </w:rPr>
            </w:pPr>
            <w:r>
              <w:rPr>
                <w:sz w:val="22"/>
              </w:rPr>
              <w:t>Sexto Regidor.</w:t>
            </w:r>
          </w:p>
        </w:tc>
        <w:tc>
          <w:tcPr>
            <w:tcW w:w="1234" w:type="dxa"/>
            <w:tcBorders>
              <w:bottom w:val="nil"/>
            </w:tcBorders>
          </w:tcPr>
          <w:p>
            <w:pPr>
              <w:pStyle w:val="TableParagraph"/>
              <w:spacing w:line="251" w:lineRule="exact"/>
              <w:ind w:left="0" w:right="126"/>
              <w:jc w:val="right"/>
              <w:rPr>
                <w:sz w:val="22"/>
              </w:rPr>
            </w:pPr>
            <w:r>
              <w:rPr>
                <w:sz w:val="22"/>
              </w:rPr>
              <w:t>Atlacomul</w:t>
            </w:r>
          </w:p>
        </w:tc>
        <w:tc>
          <w:tcPr>
            <w:tcW w:w="1229" w:type="dxa"/>
            <w:tcBorders>
              <w:bottom w:val="nil"/>
            </w:tcBorders>
          </w:tcPr>
          <w:p>
            <w:pPr>
              <w:pStyle w:val="TableParagraph"/>
              <w:spacing w:line="251" w:lineRule="exact"/>
              <w:ind w:left="191"/>
              <w:rPr>
                <w:sz w:val="22"/>
              </w:rPr>
            </w:pPr>
            <w:r>
              <w:rPr>
                <w:sz w:val="22"/>
              </w:rPr>
              <w:t>Timilpan</w:t>
            </w:r>
          </w:p>
        </w:tc>
        <w:tc>
          <w:tcPr>
            <w:tcW w:w="2314" w:type="dxa"/>
            <w:tcBorders>
              <w:bottom w:val="nil"/>
            </w:tcBorders>
          </w:tcPr>
          <w:p>
            <w:pPr>
              <w:pStyle w:val="TableParagraph"/>
              <w:spacing w:line="251" w:lineRule="exact"/>
              <w:ind w:left="100"/>
              <w:rPr>
                <w:sz w:val="22"/>
              </w:rPr>
            </w:pPr>
            <w:r>
              <w:rPr>
                <w:sz w:val="22"/>
              </w:rPr>
              <w:t>El agua</w:t>
            </w:r>
          </w:p>
        </w:tc>
        <w:tc>
          <w:tcPr>
            <w:tcW w:w="3901" w:type="dxa"/>
            <w:tcBorders>
              <w:bottom w:val="nil"/>
            </w:tcBorders>
          </w:tcPr>
          <w:p>
            <w:pPr>
              <w:pStyle w:val="TableParagraph"/>
              <w:spacing w:line="251" w:lineRule="exact"/>
              <w:rPr>
                <w:sz w:val="22"/>
              </w:rPr>
            </w:pPr>
            <w:r>
              <w:rPr>
                <w:sz w:val="22"/>
              </w:rPr>
              <w:t>Porque falta darle más tratamiento </w:t>
            </w:r>
            <w:r>
              <w:rPr>
                <w:spacing w:val="51"/>
                <w:sz w:val="22"/>
              </w:rPr>
              <w:t> </w:t>
            </w:r>
            <w:r>
              <w:rPr>
                <w:sz w:val="22"/>
              </w:rPr>
              <w:t>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Salazar</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Presidente  de la</w:t>
            </w:r>
          </w:p>
        </w:tc>
        <w:tc>
          <w:tcPr>
            <w:tcW w:w="1234" w:type="dxa"/>
            <w:tcBorders>
              <w:top w:val="nil"/>
              <w:bottom w:val="nil"/>
            </w:tcBorders>
          </w:tcPr>
          <w:p>
            <w:pPr>
              <w:pStyle w:val="TableParagraph"/>
              <w:spacing w:line="241" w:lineRule="exact"/>
              <w:ind w:left="475" w:right="475"/>
              <w:jc w:val="center"/>
              <w:rPr>
                <w:sz w:val="22"/>
              </w:rPr>
            </w:pPr>
            <w:r>
              <w:rPr>
                <w:sz w:val="22"/>
              </w:rPr>
              <w:t>co</w:t>
            </w: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contaminada.</w:t>
            </w:r>
          </w:p>
        </w:tc>
        <w:tc>
          <w:tcPr>
            <w:tcW w:w="3901" w:type="dxa"/>
            <w:tcBorders>
              <w:top w:val="nil"/>
              <w:bottom w:val="nil"/>
            </w:tcBorders>
          </w:tcPr>
          <w:p>
            <w:pPr>
              <w:pStyle w:val="TableParagraph"/>
              <w:spacing w:line="241" w:lineRule="exact"/>
              <w:rPr>
                <w:sz w:val="22"/>
              </w:rPr>
            </w:pPr>
            <w:r>
              <w:rPr>
                <w:sz w:val="22"/>
              </w:rPr>
              <w:t>las  aguas  de  uso  público  urbano y</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274" w:type="dxa"/>
            <w:tcBorders>
              <w:top w:val="nil"/>
              <w:bottom w:val="nil"/>
            </w:tcBorders>
          </w:tcPr>
          <w:p>
            <w:pPr>
              <w:pStyle w:val="TableParagraph"/>
              <w:spacing w:line="242" w:lineRule="exact"/>
              <w:ind w:left="100"/>
              <w:rPr>
                <w:sz w:val="22"/>
              </w:rPr>
            </w:pPr>
            <w:r>
              <w:rPr>
                <w:sz w:val="22"/>
              </w:rPr>
              <w:t>Educación</w:t>
            </w:r>
          </w:p>
        </w:tc>
        <w:tc>
          <w:tcPr>
            <w:tcW w:w="1887" w:type="dxa"/>
            <w:tcBorders>
              <w:top w:val="nil"/>
              <w:bottom w:val="nil"/>
            </w:tcBorders>
          </w:tcPr>
          <w:p>
            <w:pPr>
              <w:pStyle w:val="TableParagraph"/>
              <w:spacing w:line="242" w:lineRule="exact"/>
              <w:rPr>
                <w:sz w:val="22"/>
              </w:rPr>
            </w:pPr>
            <w:r>
              <w:rPr>
                <w:sz w:val="22"/>
              </w:rPr>
              <w:t>Comisión </w:t>
            </w:r>
            <w:r>
              <w:rPr>
                <w:spacing w:val="51"/>
                <w:sz w:val="22"/>
              </w:rPr>
              <w:t> </w:t>
            </w:r>
            <w:r>
              <w:rPr>
                <w:sz w:val="22"/>
              </w:rPr>
              <w:t>Agua,</w:t>
            </w: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tabs>
                <w:tab w:pos="1070" w:val="left" w:leader="none"/>
                <w:tab w:pos="1640" w:val="left" w:leader="none"/>
                <w:tab w:pos="2689" w:val="left" w:leader="none"/>
                <w:tab w:pos="3089" w:val="left" w:leader="none"/>
              </w:tabs>
              <w:spacing w:line="242" w:lineRule="exact"/>
              <w:rPr>
                <w:sz w:val="22"/>
              </w:rPr>
            </w:pPr>
            <w:r>
              <w:rPr>
                <w:sz w:val="22"/>
              </w:rPr>
              <w:t>sanear</w:t>
              <w:tab/>
              <w:t>los</w:t>
              <w:tab/>
              <w:t>canales</w:t>
              <w:tab/>
              <w:t>y</w:t>
              <w:tab/>
              <w:t>cauces</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Primaria</w:t>
            </w:r>
          </w:p>
        </w:tc>
        <w:tc>
          <w:tcPr>
            <w:tcW w:w="1887" w:type="dxa"/>
            <w:tcBorders>
              <w:top w:val="nil"/>
              <w:bottom w:val="nil"/>
            </w:tcBorders>
          </w:tcPr>
          <w:p>
            <w:pPr>
              <w:pStyle w:val="TableParagraph"/>
              <w:tabs>
                <w:tab w:pos="1664" w:val="left" w:leader="none"/>
              </w:tabs>
              <w:spacing w:line="241" w:lineRule="exact"/>
              <w:rPr>
                <w:sz w:val="22"/>
              </w:rPr>
            </w:pPr>
            <w:r>
              <w:rPr>
                <w:sz w:val="22"/>
              </w:rPr>
              <w:t>Drenaje</w:t>
              <w:tab/>
              <w:t>y</w:t>
            </w: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naturales que van a la laguna.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(24/I/2015)</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Alcantarillado</w:t>
            </w: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tabs>
                <w:tab w:pos="1014" w:val="left" w:leader="none"/>
                <w:tab w:pos="1835" w:val="left" w:leader="none"/>
              </w:tabs>
              <w:spacing w:line="242" w:lineRule="exact"/>
              <w:ind w:left="100"/>
              <w:rPr>
                <w:sz w:val="22"/>
              </w:rPr>
            </w:pPr>
            <w:r>
              <w:rPr>
                <w:sz w:val="22"/>
              </w:rPr>
              <w:t>Hace</w:t>
              <w:tab/>
              <w:t>falta</w:t>
              <w:tab/>
              <w:t>una</w:t>
            </w:r>
          </w:p>
        </w:tc>
        <w:tc>
          <w:tcPr>
            <w:tcW w:w="3901" w:type="dxa"/>
            <w:tcBorders>
              <w:top w:val="nil"/>
              <w:bottom w:val="nil"/>
            </w:tcBorders>
          </w:tcPr>
          <w:p>
            <w:pPr>
              <w:pStyle w:val="TableParagraph"/>
              <w:tabs>
                <w:tab w:pos="1192" w:val="left" w:leader="none"/>
                <w:tab w:pos="2111" w:val="left" w:leader="none"/>
                <w:tab w:pos="3543" w:val="left" w:leader="none"/>
              </w:tabs>
              <w:spacing w:line="242" w:lineRule="exact"/>
              <w:rPr>
                <w:sz w:val="22"/>
              </w:rPr>
            </w:pPr>
            <w:r>
              <w:rPr>
                <w:sz w:val="22"/>
              </w:rPr>
              <w:t>Porque</w:t>
              <w:tab/>
              <w:t>faltan</w:t>
              <w:tab/>
              <w:t>programas</w:t>
              <w:tab/>
              <w:t>de</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tabs>
                <w:tab w:pos="1955" w:val="left" w:leader="none"/>
              </w:tabs>
              <w:spacing w:line="241" w:lineRule="exact"/>
              <w:ind w:left="100"/>
              <w:rPr>
                <w:sz w:val="22"/>
              </w:rPr>
            </w:pPr>
            <w:r>
              <w:rPr>
                <w:sz w:val="22"/>
              </w:rPr>
              <w:t>especie</w:t>
              <w:tab/>
              <w:t>de</w:t>
            </w:r>
          </w:p>
        </w:tc>
        <w:tc>
          <w:tcPr>
            <w:tcW w:w="3901" w:type="dxa"/>
            <w:tcBorders>
              <w:top w:val="nil"/>
              <w:bottom w:val="nil"/>
            </w:tcBorders>
          </w:tcPr>
          <w:p>
            <w:pPr>
              <w:pStyle w:val="TableParagraph"/>
              <w:spacing w:line="241" w:lineRule="exact"/>
              <w:rPr>
                <w:sz w:val="22"/>
              </w:rPr>
            </w:pPr>
            <w:r>
              <w:rPr>
                <w:sz w:val="22"/>
              </w:rPr>
              <w:t>sustentabilidad a pesar de que es  un</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tabs>
                <w:tab w:pos="1957" w:val="left" w:leader="none"/>
              </w:tabs>
              <w:spacing w:line="242" w:lineRule="exact"/>
              <w:ind w:left="100"/>
              <w:rPr>
                <w:sz w:val="22"/>
              </w:rPr>
            </w:pPr>
            <w:r>
              <w:rPr>
                <w:sz w:val="22"/>
              </w:rPr>
              <w:t>saneamiento</w:t>
              <w:tab/>
              <w:t>en</w:t>
            </w:r>
          </w:p>
        </w:tc>
        <w:tc>
          <w:tcPr>
            <w:tcW w:w="3901" w:type="dxa"/>
            <w:tcBorders>
              <w:top w:val="nil"/>
              <w:bottom w:val="nil"/>
            </w:tcBorders>
          </w:tcPr>
          <w:p>
            <w:pPr>
              <w:pStyle w:val="TableParagraph"/>
              <w:spacing w:line="242" w:lineRule="exact"/>
              <w:rPr>
                <w:sz w:val="22"/>
              </w:rPr>
            </w:pPr>
            <w:r>
              <w:rPr>
                <w:sz w:val="22"/>
              </w:rPr>
              <w:t>santuario  del  agua  no  hay  obras ni</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algunos   lugares  del</w:t>
            </w:r>
          </w:p>
        </w:tc>
        <w:tc>
          <w:tcPr>
            <w:tcW w:w="3901" w:type="dxa"/>
            <w:tcBorders>
              <w:top w:val="nil"/>
              <w:bottom w:val="nil"/>
            </w:tcBorders>
          </w:tcPr>
          <w:p>
            <w:pPr>
              <w:pStyle w:val="TableParagraph"/>
              <w:tabs>
                <w:tab w:pos="1377" w:val="left" w:leader="none"/>
                <w:tab w:pos="2221" w:val="left" w:leader="none"/>
                <w:tab w:pos="3555" w:val="left" w:leader="none"/>
              </w:tabs>
              <w:spacing w:line="241" w:lineRule="exact"/>
              <w:rPr>
                <w:sz w:val="22"/>
              </w:rPr>
            </w:pPr>
            <w:r>
              <w:rPr>
                <w:sz w:val="22"/>
              </w:rPr>
              <w:t>acciones</w:t>
              <w:tab/>
              <w:t>para</w:t>
              <w:tab/>
              <w:t>preservar</w:t>
              <w:tab/>
              <w:t>su</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cuerpo  de  la laguna</w:t>
            </w:r>
          </w:p>
        </w:tc>
        <w:tc>
          <w:tcPr>
            <w:tcW w:w="3901" w:type="dxa"/>
            <w:tcBorders>
              <w:top w:val="nil"/>
              <w:bottom w:val="nil"/>
            </w:tcBorders>
          </w:tcPr>
          <w:p>
            <w:pPr>
              <w:pStyle w:val="TableParagraph"/>
              <w:spacing w:line="241" w:lineRule="exact"/>
              <w:rPr>
                <w:sz w:val="22"/>
              </w:rPr>
            </w:pPr>
            <w:r>
              <w:rPr>
                <w:sz w:val="22"/>
              </w:rPr>
              <w:t>naturaleza.</w:t>
            </w: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34" w:type="dxa"/>
            <w:tcBorders>
              <w:top w:val="nil"/>
            </w:tcBorders>
          </w:tcPr>
          <w:p>
            <w:pPr/>
          </w:p>
        </w:tc>
        <w:tc>
          <w:tcPr>
            <w:tcW w:w="1229" w:type="dxa"/>
            <w:tcBorders>
              <w:top w:val="nil"/>
            </w:tcBorders>
          </w:tcPr>
          <w:p>
            <w:pPr/>
          </w:p>
        </w:tc>
        <w:tc>
          <w:tcPr>
            <w:tcW w:w="2314" w:type="dxa"/>
            <w:tcBorders>
              <w:top w:val="nil"/>
            </w:tcBorders>
          </w:tcPr>
          <w:p>
            <w:pPr>
              <w:pStyle w:val="TableParagraph"/>
              <w:spacing w:line="242" w:lineRule="exact"/>
              <w:ind w:left="100"/>
              <w:rPr>
                <w:sz w:val="22"/>
              </w:rPr>
            </w:pPr>
            <w:r>
              <w:rPr>
                <w:sz w:val="22"/>
              </w:rPr>
              <w:t>(desazolve).</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Armando</w:t>
            </w:r>
          </w:p>
        </w:tc>
        <w:tc>
          <w:tcPr>
            <w:tcW w:w="1274" w:type="dxa"/>
            <w:tcBorders>
              <w:bottom w:val="nil"/>
            </w:tcBorders>
          </w:tcPr>
          <w:p>
            <w:pP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34" w:type="dxa"/>
            <w:tcBorders>
              <w:bottom w:val="nil"/>
            </w:tcBorders>
          </w:tcPr>
          <w:p>
            <w:pPr>
              <w:pStyle w:val="TableParagraph"/>
              <w:spacing w:line="251" w:lineRule="exact"/>
              <w:ind w:left="316"/>
              <w:rPr>
                <w:sz w:val="22"/>
              </w:rPr>
            </w:pPr>
            <w:r>
              <w:rPr>
                <w:sz w:val="22"/>
              </w:rPr>
              <w:t>Barrio</w:t>
            </w:r>
          </w:p>
        </w:tc>
        <w:tc>
          <w:tcPr>
            <w:tcW w:w="1229" w:type="dxa"/>
            <w:tcBorders>
              <w:bottom w:val="nil"/>
            </w:tcBorders>
          </w:tcPr>
          <w:p>
            <w:pPr>
              <w:pStyle w:val="TableParagraph"/>
              <w:spacing w:line="251" w:lineRule="exact"/>
              <w:ind w:left="105"/>
              <w:rPr>
                <w:sz w:val="22"/>
              </w:rPr>
            </w:pPr>
            <w:r>
              <w:rPr>
                <w:sz w:val="22"/>
              </w:rPr>
              <w:t>Timilpan y</w:t>
            </w:r>
          </w:p>
        </w:tc>
        <w:tc>
          <w:tcPr>
            <w:tcW w:w="2314" w:type="dxa"/>
            <w:tcBorders>
              <w:bottom w:val="nil"/>
            </w:tcBorders>
          </w:tcPr>
          <w:p>
            <w:pPr>
              <w:pStyle w:val="TableParagraph"/>
              <w:spacing w:line="251" w:lineRule="exact"/>
              <w:ind w:left="100"/>
              <w:rPr>
                <w:sz w:val="22"/>
              </w:rPr>
            </w:pPr>
            <w:r>
              <w:rPr>
                <w:sz w:val="22"/>
              </w:rPr>
              <w:t>No tienen acceso</w:t>
            </w:r>
            <w:r>
              <w:rPr>
                <w:spacing w:val="51"/>
                <w:sz w:val="22"/>
              </w:rPr>
              <w:t> </w:t>
            </w:r>
            <w:r>
              <w:rPr>
                <w:sz w:val="22"/>
              </w:rPr>
              <w:t>los</w:t>
            </w:r>
          </w:p>
        </w:tc>
        <w:tc>
          <w:tcPr>
            <w:tcW w:w="3901" w:type="dxa"/>
            <w:tcBorders>
              <w:bottom w:val="nil"/>
            </w:tcBorders>
          </w:tcPr>
          <w:p>
            <w:pPr>
              <w:pStyle w:val="TableParagraph"/>
              <w:tabs>
                <w:tab w:pos="1173" w:val="left" w:leader="none"/>
                <w:tab w:pos="1947" w:val="left" w:leader="none"/>
                <w:tab w:pos="3663" w:val="left" w:leader="none"/>
              </w:tabs>
              <w:spacing w:line="251" w:lineRule="exact"/>
              <w:rPr>
                <w:sz w:val="22"/>
              </w:rPr>
            </w:pPr>
            <w:r>
              <w:rPr>
                <w:sz w:val="22"/>
              </w:rPr>
              <w:t>Porque</w:t>
              <w:tab/>
              <w:t>está</w:t>
              <w:tab/>
              <w:t>concesionada</w:t>
              <w:tab/>
              <w:t>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Matías</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34" w:type="dxa"/>
            <w:tcBorders>
              <w:top w:val="nil"/>
              <w:bottom w:val="nil"/>
            </w:tcBorders>
          </w:tcPr>
          <w:p>
            <w:pPr>
              <w:pStyle w:val="TableParagraph"/>
              <w:spacing w:line="242" w:lineRule="exact"/>
              <w:ind w:left="0" w:right="213"/>
              <w:jc w:val="right"/>
              <w:rPr>
                <w:sz w:val="22"/>
              </w:rPr>
            </w:pPr>
            <w:r>
              <w:rPr>
                <w:sz w:val="22"/>
              </w:rPr>
              <w:t>Iturbide,</w:t>
            </w:r>
          </w:p>
        </w:tc>
        <w:tc>
          <w:tcPr>
            <w:tcW w:w="1229" w:type="dxa"/>
            <w:tcBorders>
              <w:top w:val="nil"/>
              <w:bottom w:val="nil"/>
            </w:tcBorders>
          </w:tcPr>
          <w:p>
            <w:pPr>
              <w:pStyle w:val="TableParagraph"/>
              <w:spacing w:line="242" w:lineRule="exact"/>
              <w:ind w:left="275"/>
              <w:rPr>
                <w:sz w:val="22"/>
              </w:rPr>
            </w:pPr>
            <w:r>
              <w:rPr>
                <w:sz w:val="22"/>
              </w:rPr>
              <w:t>Toluca</w:t>
            </w:r>
          </w:p>
        </w:tc>
        <w:tc>
          <w:tcPr>
            <w:tcW w:w="2314" w:type="dxa"/>
            <w:tcBorders>
              <w:top w:val="nil"/>
              <w:bottom w:val="nil"/>
            </w:tcBorders>
          </w:tcPr>
          <w:p>
            <w:pPr>
              <w:pStyle w:val="TableParagraph"/>
              <w:tabs>
                <w:tab w:pos="1470" w:val="left" w:leader="none"/>
                <w:tab w:pos="1847" w:val="left" w:leader="none"/>
              </w:tabs>
              <w:spacing w:line="242" w:lineRule="exact"/>
              <w:ind w:left="100"/>
              <w:rPr>
                <w:sz w:val="22"/>
              </w:rPr>
            </w:pPr>
            <w:r>
              <w:rPr>
                <w:sz w:val="22"/>
              </w:rPr>
              <w:t>productores</w:t>
              <w:tab/>
              <w:t>al</w:t>
              <w:tab/>
              <w:t>uso</w:t>
            </w:r>
          </w:p>
        </w:tc>
        <w:tc>
          <w:tcPr>
            <w:tcW w:w="3901" w:type="dxa"/>
            <w:tcBorders>
              <w:top w:val="nil"/>
              <w:bottom w:val="nil"/>
            </w:tcBorders>
          </w:tcPr>
          <w:p>
            <w:pPr>
              <w:pStyle w:val="TableParagraph"/>
              <w:spacing w:line="242" w:lineRule="exact"/>
              <w:rPr>
                <w:sz w:val="22"/>
              </w:rPr>
            </w:pPr>
            <w:r>
              <w:rPr>
                <w:sz w:val="22"/>
              </w:rPr>
              <w:t>particulares.</w:t>
            </w:r>
          </w:p>
        </w:tc>
      </w:tr>
      <w:tr>
        <w:trPr>
          <w:trHeight w:val="379" w:hRule="exact"/>
        </w:trPr>
        <w:tc>
          <w:tcPr>
            <w:tcW w:w="1385" w:type="dxa"/>
            <w:tcBorders>
              <w:top w:val="nil"/>
              <w:bottom w:val="nil"/>
            </w:tcBorders>
          </w:tcPr>
          <w:p>
            <w:pPr>
              <w:pStyle w:val="TableParagraph"/>
              <w:spacing w:line="241" w:lineRule="exact"/>
              <w:ind w:right="127"/>
              <w:rPr>
                <w:sz w:val="22"/>
              </w:rPr>
            </w:pPr>
            <w:r>
              <w:rPr>
                <w:sz w:val="22"/>
              </w:rPr>
              <w:t>Lucas</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Agropecuario</w:t>
            </w:r>
          </w:p>
        </w:tc>
        <w:tc>
          <w:tcPr>
            <w:tcW w:w="1234" w:type="dxa"/>
            <w:tcBorders>
              <w:top w:val="nil"/>
              <w:bottom w:val="nil"/>
            </w:tcBorders>
          </w:tcPr>
          <w:p>
            <w:pPr>
              <w:pStyle w:val="TableParagraph"/>
              <w:spacing w:line="241" w:lineRule="exact"/>
              <w:ind w:left="0" w:right="192"/>
              <w:jc w:val="right"/>
              <w:rPr>
                <w:sz w:val="22"/>
              </w:rPr>
            </w:pPr>
            <w:r>
              <w:rPr>
                <w:sz w:val="22"/>
              </w:rPr>
              <w:t>Timilpan</w:t>
            </w:r>
          </w:p>
        </w:tc>
        <w:tc>
          <w:tcPr>
            <w:tcW w:w="1229"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del agua para riego.</w:t>
            </w:r>
          </w:p>
        </w:tc>
        <w:tc>
          <w:tcPr>
            <w:tcW w:w="3901" w:type="dxa"/>
            <w:tcBorders>
              <w:top w:val="nil"/>
              <w:bottom w:val="nil"/>
            </w:tcBorders>
          </w:tcPr>
          <w:p>
            <w:pPr/>
          </w:p>
        </w:tc>
      </w:tr>
      <w:tr>
        <w:trPr>
          <w:trHeight w:val="375" w:hRule="exact"/>
        </w:trPr>
        <w:tc>
          <w:tcPr>
            <w:tcW w:w="1385" w:type="dxa"/>
            <w:tcBorders>
              <w:top w:val="nil"/>
            </w:tcBorders>
          </w:tcPr>
          <w:p>
            <w:pPr>
              <w:pStyle w:val="TableParagraph"/>
              <w:spacing w:before="115"/>
              <w:ind w:left="155"/>
              <w:rPr>
                <w:sz w:val="22"/>
              </w:rPr>
            </w:pPr>
            <w:r>
              <w:rPr>
                <w:sz w:val="22"/>
              </w:rPr>
              <w:t>(17/I/2015)</w:t>
            </w:r>
          </w:p>
        </w:tc>
        <w:tc>
          <w:tcPr>
            <w:tcW w:w="1274" w:type="dxa"/>
            <w:tcBorders>
              <w:top w:val="nil"/>
            </w:tcBorders>
          </w:tcPr>
          <w:p>
            <w:pPr/>
          </w:p>
        </w:tc>
        <w:tc>
          <w:tcPr>
            <w:tcW w:w="1887" w:type="dxa"/>
            <w:tcBorders>
              <w:top w:val="nil"/>
            </w:tcBorders>
          </w:tcPr>
          <w:p>
            <w:pPr/>
          </w:p>
        </w:tc>
        <w:tc>
          <w:tcPr>
            <w:tcW w:w="1234" w:type="dxa"/>
            <w:tcBorders>
              <w:top w:val="nil"/>
            </w:tcBorders>
          </w:tcPr>
          <w:p>
            <w:pPr/>
          </w:p>
        </w:tc>
        <w:tc>
          <w:tcPr>
            <w:tcW w:w="1229" w:type="dxa"/>
            <w:tcBorders>
              <w:top w:val="nil"/>
            </w:tcBorders>
          </w:tcPr>
          <w:p>
            <w:pPr/>
          </w:p>
        </w:tc>
        <w:tc>
          <w:tcPr>
            <w:tcW w:w="2314" w:type="dxa"/>
            <w:tcBorders>
              <w:top w:val="nil"/>
            </w:tcBorders>
          </w:tcPr>
          <w:p>
            <w:pPr>
              <w:pStyle w:val="TableParagraph"/>
              <w:spacing w:before="115"/>
              <w:ind w:left="100"/>
              <w:rPr>
                <w:sz w:val="22"/>
              </w:rPr>
            </w:pPr>
            <w:r>
              <w:rPr>
                <w:sz w:val="22"/>
              </w:rPr>
              <w:t>La contaminación.</w:t>
            </w:r>
          </w:p>
        </w:tc>
        <w:tc>
          <w:tcPr>
            <w:tcW w:w="3901" w:type="dxa"/>
            <w:tcBorders>
              <w:top w:val="nil"/>
            </w:tcBorders>
          </w:tcPr>
          <w:p>
            <w:pPr>
              <w:pStyle w:val="TableParagraph"/>
              <w:spacing w:before="115"/>
              <w:rPr>
                <w:sz w:val="22"/>
              </w:rPr>
            </w:pPr>
            <w:r>
              <w:rPr>
                <w:sz w:val="22"/>
              </w:rPr>
              <w:t>Por los desagües de drenaje.</w:t>
            </w:r>
          </w:p>
        </w:tc>
      </w:tr>
      <w:tr>
        <w:trPr>
          <w:trHeight w:val="269" w:hRule="exact"/>
        </w:trPr>
        <w:tc>
          <w:tcPr>
            <w:tcW w:w="1385" w:type="dxa"/>
            <w:tcBorders>
              <w:bottom w:val="nil"/>
            </w:tcBorders>
          </w:tcPr>
          <w:p>
            <w:pPr>
              <w:pStyle w:val="TableParagraph"/>
              <w:rPr>
                <w:sz w:val="22"/>
              </w:rPr>
            </w:pPr>
            <w:r>
              <w:rPr>
                <w:sz w:val="22"/>
              </w:rPr>
              <w:t>Alfonso   de</w:t>
            </w:r>
          </w:p>
        </w:tc>
        <w:tc>
          <w:tcPr>
            <w:tcW w:w="1274" w:type="dxa"/>
            <w:tcBorders>
              <w:bottom w:val="nil"/>
            </w:tcBorders>
          </w:tcPr>
          <w:p>
            <w:pPr/>
          </w:p>
        </w:tc>
        <w:tc>
          <w:tcPr>
            <w:tcW w:w="1887" w:type="dxa"/>
            <w:tcBorders>
              <w:bottom w:val="nil"/>
            </w:tcBorders>
          </w:tcPr>
          <w:p>
            <w:pPr>
              <w:pStyle w:val="TableParagraph"/>
              <w:tabs>
                <w:tab w:pos="1527" w:val="left" w:leader="none"/>
              </w:tabs>
              <w:rPr>
                <w:sz w:val="22"/>
              </w:rPr>
            </w:pPr>
            <w:r>
              <w:rPr>
                <w:sz w:val="22"/>
              </w:rPr>
              <w:t>Director</w:t>
              <w:tab/>
              <w:t>de</w:t>
            </w:r>
          </w:p>
        </w:tc>
        <w:tc>
          <w:tcPr>
            <w:tcW w:w="1234" w:type="dxa"/>
            <w:tcBorders>
              <w:bottom w:val="nil"/>
            </w:tcBorders>
          </w:tcPr>
          <w:p>
            <w:pPr>
              <w:pStyle w:val="TableParagraph"/>
              <w:ind w:left="0" w:right="192"/>
              <w:jc w:val="right"/>
              <w:rPr>
                <w:sz w:val="22"/>
              </w:rPr>
            </w:pPr>
            <w:r>
              <w:rPr>
                <w:sz w:val="22"/>
              </w:rPr>
              <w:t>Timilpan</w:t>
            </w:r>
          </w:p>
        </w:tc>
        <w:tc>
          <w:tcPr>
            <w:tcW w:w="1229" w:type="dxa"/>
            <w:tcBorders>
              <w:bottom w:val="nil"/>
            </w:tcBorders>
          </w:tcPr>
          <w:p>
            <w:pPr>
              <w:pStyle w:val="TableParagraph"/>
              <w:ind w:left="191"/>
              <w:rPr>
                <w:sz w:val="22"/>
              </w:rPr>
            </w:pPr>
            <w:r>
              <w:rPr>
                <w:sz w:val="22"/>
              </w:rPr>
              <w:t>Timilpan</w:t>
            </w:r>
          </w:p>
        </w:tc>
        <w:tc>
          <w:tcPr>
            <w:tcW w:w="2314" w:type="dxa"/>
            <w:tcBorders>
              <w:bottom w:val="nil"/>
            </w:tcBorders>
          </w:tcPr>
          <w:p>
            <w:pPr>
              <w:pStyle w:val="TableParagraph"/>
              <w:ind w:left="100"/>
              <w:rPr>
                <w:sz w:val="22"/>
              </w:rPr>
            </w:pPr>
            <w:r>
              <w:rPr>
                <w:sz w:val="22"/>
              </w:rPr>
              <w:t>La contaminación.</w:t>
            </w:r>
          </w:p>
        </w:tc>
        <w:tc>
          <w:tcPr>
            <w:tcW w:w="3901" w:type="dxa"/>
            <w:tcBorders>
              <w:bottom w:val="nil"/>
            </w:tcBorders>
          </w:tcPr>
          <w:p>
            <w:pPr>
              <w:pStyle w:val="TableParagraph"/>
              <w:rPr>
                <w:sz w:val="22"/>
              </w:rPr>
            </w:pPr>
            <w:r>
              <w:rPr>
                <w:sz w:val="22"/>
              </w:rPr>
              <w:t>Por la mala cultura en no depositar la</w:t>
            </w:r>
          </w:p>
        </w:tc>
      </w:tr>
      <w:tr>
        <w:trPr>
          <w:trHeight w:val="252" w:hRule="exact"/>
        </w:trPr>
        <w:tc>
          <w:tcPr>
            <w:tcW w:w="1385" w:type="dxa"/>
            <w:tcBorders>
              <w:top w:val="nil"/>
              <w:bottom w:val="nil"/>
            </w:tcBorders>
          </w:tcPr>
          <w:p>
            <w:pPr>
              <w:pStyle w:val="TableParagraph"/>
              <w:tabs>
                <w:tab w:pos="805" w:val="left" w:leader="none"/>
              </w:tabs>
              <w:spacing w:line="241" w:lineRule="exact"/>
              <w:rPr>
                <w:sz w:val="22"/>
              </w:rPr>
            </w:pPr>
            <w:r>
              <w:rPr>
                <w:sz w:val="22"/>
              </w:rPr>
              <w:t>la</w:t>
              <w:tab/>
              <w:t>Cruz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basura en lugares adecuados.</w:t>
            </w:r>
          </w:p>
        </w:tc>
      </w:tr>
      <w:tr>
        <w:trPr>
          <w:trHeight w:val="254" w:hRule="exact"/>
        </w:trPr>
        <w:tc>
          <w:tcPr>
            <w:tcW w:w="1385" w:type="dxa"/>
            <w:tcBorders>
              <w:top w:val="nil"/>
              <w:bottom w:val="nil"/>
            </w:tcBorders>
          </w:tcPr>
          <w:p>
            <w:pPr>
              <w:pStyle w:val="TableParagraph"/>
              <w:spacing w:line="241" w:lineRule="exact"/>
              <w:ind w:right="127"/>
              <w:rPr>
                <w:sz w:val="22"/>
              </w:rPr>
            </w:pPr>
            <w:r>
              <w:rPr>
                <w:sz w:val="22"/>
              </w:rPr>
              <w:t>Andrés</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Económico</w:t>
            </w: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34" w:type="dxa"/>
            <w:tcBorders>
              <w:top w:val="nil"/>
              <w:bottom w:val="nil"/>
            </w:tcBorders>
          </w:tcPr>
          <w:p>
            <w:pPr/>
          </w:p>
        </w:tc>
        <w:tc>
          <w:tcPr>
            <w:tcW w:w="1229" w:type="dxa"/>
            <w:tcBorders>
              <w:top w:val="nil"/>
              <w:bottom w:val="nil"/>
            </w:tcBorders>
          </w:tcPr>
          <w:p>
            <w:pPr/>
          </w:p>
        </w:tc>
        <w:tc>
          <w:tcPr>
            <w:tcW w:w="2314" w:type="dxa"/>
            <w:tcBorders>
              <w:top w:val="nil"/>
              <w:bottom w:val="nil"/>
            </w:tcBorders>
          </w:tcPr>
          <w:p>
            <w:pPr>
              <w:pStyle w:val="TableParagraph"/>
              <w:spacing w:line="243" w:lineRule="exact"/>
              <w:ind w:left="100"/>
              <w:rPr>
                <w:sz w:val="22"/>
              </w:rPr>
            </w:pPr>
            <w:r>
              <w:rPr>
                <w:sz w:val="22"/>
              </w:rPr>
              <w:t>Los desperdicios</w:t>
            </w:r>
          </w:p>
        </w:tc>
        <w:tc>
          <w:tcPr>
            <w:tcW w:w="3901" w:type="dxa"/>
            <w:tcBorders>
              <w:top w:val="nil"/>
              <w:bottom w:val="nil"/>
            </w:tcBorders>
          </w:tcPr>
          <w:p>
            <w:pPr>
              <w:pStyle w:val="TableParagraph"/>
              <w:spacing w:line="243" w:lineRule="exact"/>
              <w:rPr>
                <w:sz w:val="22"/>
              </w:rPr>
            </w:pPr>
            <w:r>
              <w:rPr>
                <w:sz w:val="22"/>
              </w:rPr>
              <w:t>Porque los desechos van a las aguas</w:t>
            </w:r>
          </w:p>
        </w:tc>
      </w:tr>
      <w:tr>
        <w:trPr>
          <w:trHeight w:val="502" w:hRule="exact"/>
        </w:trPr>
        <w:tc>
          <w:tcPr>
            <w:tcW w:w="1385" w:type="dxa"/>
            <w:tcBorders>
              <w:top w:val="nil"/>
            </w:tcBorders>
          </w:tcPr>
          <w:p>
            <w:pPr>
              <w:pStyle w:val="TableParagraph"/>
              <w:spacing w:line="241" w:lineRule="exact"/>
              <w:ind w:right="127"/>
              <w:rPr>
                <w:sz w:val="22"/>
              </w:rPr>
            </w:pPr>
            <w:r>
              <w:rPr>
                <w:sz w:val="22"/>
              </w:rPr>
              <w:t>(13/I/2015)</w:t>
            </w:r>
          </w:p>
        </w:tc>
        <w:tc>
          <w:tcPr>
            <w:tcW w:w="1274" w:type="dxa"/>
            <w:tcBorders>
              <w:top w:val="nil"/>
            </w:tcBorders>
          </w:tcPr>
          <w:p>
            <w:pPr/>
          </w:p>
        </w:tc>
        <w:tc>
          <w:tcPr>
            <w:tcW w:w="1887" w:type="dxa"/>
            <w:tcBorders>
              <w:top w:val="nil"/>
            </w:tcBorders>
          </w:tcPr>
          <w:p>
            <w:pPr/>
          </w:p>
        </w:tc>
        <w:tc>
          <w:tcPr>
            <w:tcW w:w="1234" w:type="dxa"/>
            <w:tcBorders>
              <w:top w:val="nil"/>
            </w:tcBorders>
          </w:tcPr>
          <w:p>
            <w:pPr/>
          </w:p>
        </w:tc>
        <w:tc>
          <w:tcPr>
            <w:tcW w:w="1229" w:type="dxa"/>
            <w:tcBorders>
              <w:top w:val="nil"/>
            </w:tcBorders>
          </w:tcPr>
          <w:p>
            <w:pPr/>
          </w:p>
        </w:tc>
        <w:tc>
          <w:tcPr>
            <w:tcW w:w="2314" w:type="dxa"/>
            <w:tcBorders>
              <w:top w:val="nil"/>
            </w:tcBorders>
          </w:tcPr>
          <w:p>
            <w:pPr>
              <w:pStyle w:val="TableParagraph"/>
              <w:spacing w:line="241" w:lineRule="exact"/>
              <w:ind w:left="100"/>
              <w:rPr>
                <w:sz w:val="22"/>
              </w:rPr>
            </w:pPr>
            <w:r>
              <w:rPr>
                <w:sz w:val="22"/>
              </w:rPr>
              <w:t>industriales en Bucio</w:t>
            </w:r>
          </w:p>
        </w:tc>
        <w:tc>
          <w:tcPr>
            <w:tcW w:w="3901" w:type="dxa"/>
            <w:tcBorders>
              <w:top w:val="nil"/>
            </w:tcBorders>
          </w:tcPr>
          <w:p>
            <w:pPr>
              <w:pStyle w:val="TableParagraph"/>
              <w:spacing w:line="241" w:lineRule="exact"/>
              <w:rPr>
                <w:sz w:val="22"/>
              </w:rPr>
            </w:pPr>
            <w:r>
              <w:rPr>
                <w:sz w:val="22"/>
              </w:rPr>
              <w:t>pluviales.</w:t>
            </w: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pgSz w:w="15840" w:h="12240" w:orient="landscape"/>
          <w:pgMar w:header="0" w:footer="1003" w:top="1140" w:bottom="1200" w:left="1200" w:right="1180"/>
        </w:sectPr>
      </w:pPr>
    </w:p>
    <w:p>
      <w:pPr>
        <w:pStyle w:val="BodyText"/>
        <w:rPr>
          <w:sz w:val="20"/>
        </w:rPr>
      </w:pPr>
    </w:p>
    <w:p>
      <w:pPr>
        <w:pStyle w:val="BodyText"/>
        <w:spacing w:before="1"/>
      </w:pPr>
    </w:p>
    <w:p>
      <w:pPr>
        <w:pStyle w:val="Heading6"/>
        <w:spacing w:before="73" w:after="4"/>
        <w:ind w:left="2270" w:right="778"/>
      </w:pPr>
      <w:r>
        <w:rPr/>
        <w:t>Tabla 6.13. Municipio de Timilpan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2" w:hRule="exact"/>
        </w:trPr>
        <w:tc>
          <w:tcPr>
            <w:tcW w:w="13224" w:type="dxa"/>
            <w:gridSpan w:val="7"/>
            <w:shd w:val="clear" w:color="auto" w:fill="9BBA58"/>
          </w:tcPr>
          <w:p>
            <w:pPr>
              <w:pStyle w:val="TableParagraph"/>
              <w:spacing w:line="248" w:lineRule="exact"/>
              <w:ind w:left="4869" w:right="4870"/>
              <w:jc w:val="center"/>
              <w:rPr>
                <w:b/>
                <w:sz w:val="22"/>
              </w:rPr>
            </w:pPr>
            <w:r>
              <w:rPr>
                <w:b/>
                <w:sz w:val="22"/>
              </w:rPr>
              <w:t>TIMILPAN</w:t>
            </w:r>
          </w:p>
        </w:tc>
      </w:tr>
      <w:tr>
        <w:trPr>
          <w:trHeight w:val="524" w:hRule="exact"/>
        </w:trPr>
        <w:tc>
          <w:tcPr>
            <w:tcW w:w="4547" w:type="dxa"/>
            <w:gridSpan w:val="3"/>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4"/>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264"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Poder</w:t>
            </w:r>
          </w:p>
        </w:tc>
        <w:tc>
          <w:tcPr>
            <w:tcW w:w="3901" w:type="dxa"/>
            <w:shd w:val="clear" w:color="auto" w:fill="92CDDC"/>
          </w:tcPr>
          <w:p>
            <w:pPr>
              <w:pStyle w:val="TableParagraph"/>
              <w:spacing w:line="251" w:lineRule="exact"/>
              <w:rPr>
                <w:b/>
                <w:i/>
                <w:sz w:val="22"/>
              </w:rPr>
            </w:pPr>
            <w:r>
              <w:rPr>
                <w:b/>
                <w:i/>
                <w:sz w:val="22"/>
              </w:rPr>
              <w:t>Poder</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tabs>
                <w:tab w:pos="1298" w:val="left" w:leader="none"/>
              </w:tabs>
              <w:spacing w:line="248" w:lineRule="exact"/>
              <w:ind w:left="100"/>
              <w:rPr>
                <w:b/>
                <w:sz w:val="22"/>
              </w:rPr>
            </w:pPr>
            <w:r>
              <w:rPr>
                <w:b/>
                <w:sz w:val="22"/>
              </w:rPr>
              <w:t>¿Qué</w:t>
              <w:tab/>
              <w:t>solución</w:t>
            </w:r>
          </w:p>
        </w:tc>
        <w:tc>
          <w:tcPr>
            <w:tcW w:w="3901" w:type="dxa"/>
            <w:tcBorders>
              <w:bottom w:val="nil"/>
            </w:tcBorders>
            <w:shd w:val="clear" w:color="auto" w:fill="92CDDC"/>
          </w:tcPr>
          <w:p>
            <w:pPr>
              <w:pStyle w:val="TableParagraph"/>
              <w:tabs>
                <w:tab w:pos="2157" w:val="left" w:leader="none"/>
              </w:tabs>
              <w:spacing w:line="248" w:lineRule="exact"/>
              <w:rPr>
                <w:b/>
                <w:sz w:val="22"/>
              </w:rPr>
            </w:pPr>
            <w:r>
              <w:rPr>
                <w:b/>
                <w:sz w:val="22"/>
              </w:rPr>
              <w:t>¿Quiénes  </w:t>
            </w:r>
            <w:r>
              <w:rPr>
                <w:b/>
                <w:spacing w:val="15"/>
                <w:sz w:val="22"/>
              </w:rPr>
              <w:t> </w:t>
            </w:r>
            <w:r>
              <w:rPr>
                <w:b/>
                <w:sz w:val="22"/>
              </w:rPr>
              <w:t>deben</w:t>
              <w:tab/>
              <w:t>solucionar  </w:t>
            </w:r>
            <w:r>
              <w:rPr>
                <w:b/>
                <w:spacing w:val="11"/>
                <w:sz w:val="22"/>
              </w:rPr>
              <w:t> </w:t>
            </w:r>
            <w:r>
              <w:rPr>
                <w:b/>
                <w:sz w:val="22"/>
              </w:rPr>
              <w:t>los</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1199" w:val="left" w:leader="none"/>
                <w:tab w:pos="1883" w:val="left" w:leader="none"/>
              </w:tabs>
              <w:spacing w:line="241" w:lineRule="exact"/>
              <w:ind w:left="100"/>
              <w:rPr>
                <w:b/>
                <w:sz w:val="22"/>
              </w:rPr>
            </w:pPr>
            <w:r>
              <w:rPr>
                <w:b/>
                <w:sz w:val="22"/>
              </w:rPr>
              <w:t>propone</w:t>
              <w:tab/>
              <w:t>para</w:t>
              <w:tab/>
              <w:t>los</w:t>
            </w:r>
          </w:p>
        </w:tc>
        <w:tc>
          <w:tcPr>
            <w:tcW w:w="3901" w:type="dxa"/>
            <w:tcBorders>
              <w:top w:val="nil"/>
              <w:bottom w:val="nil"/>
            </w:tcBorders>
            <w:shd w:val="clear" w:color="auto" w:fill="92CDDC"/>
          </w:tcPr>
          <w:p>
            <w:pPr>
              <w:pStyle w:val="TableParagraph"/>
              <w:tabs>
                <w:tab w:pos="1691" w:val="left" w:leader="none"/>
                <w:tab w:pos="2420" w:val="left" w:leader="none"/>
                <w:tab w:pos="3078" w:val="left" w:leader="none"/>
              </w:tabs>
              <w:spacing w:line="241" w:lineRule="exact"/>
              <w:rPr>
                <w:b/>
                <w:sz w:val="22"/>
              </w:rPr>
            </w:pPr>
            <w:r>
              <w:rPr>
                <w:b/>
                <w:sz w:val="22"/>
              </w:rPr>
              <w:t>problemas</w:t>
              <w:tab/>
              <w:t>de</w:t>
              <w:tab/>
              <w:t>la</w:t>
              <w:tab/>
              <w:t>laguna</w:t>
            </w:r>
          </w:p>
        </w:tc>
      </w:tr>
      <w:tr>
        <w:trPr>
          <w:trHeight w:val="254"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487" w:val="left" w:leader="none"/>
                <w:tab w:pos="2017" w:val="left" w:leader="none"/>
              </w:tabs>
              <w:spacing w:line="242" w:lineRule="exact"/>
              <w:ind w:left="100"/>
              <w:rPr>
                <w:b/>
                <w:sz w:val="22"/>
              </w:rPr>
            </w:pPr>
            <w:r>
              <w:rPr>
                <w:b/>
                <w:sz w:val="22"/>
              </w:rPr>
              <w:t>problemas</w:t>
              <w:tab/>
              <w:t>de</w:t>
              <w:tab/>
              <w:t>la</w:t>
            </w:r>
          </w:p>
        </w:tc>
        <w:tc>
          <w:tcPr>
            <w:tcW w:w="3901" w:type="dxa"/>
            <w:tcBorders>
              <w:top w:val="nil"/>
              <w:bottom w:val="nil"/>
            </w:tcBorders>
            <w:shd w:val="clear" w:color="auto" w:fill="92CDDC"/>
          </w:tcPr>
          <w:p>
            <w:pPr>
              <w:pStyle w:val="TableParagraph"/>
              <w:spacing w:line="242" w:lineRule="exact"/>
              <w:rPr>
                <w:b/>
                <w:sz w:val="22"/>
              </w:rPr>
            </w:pPr>
            <w:r>
              <w:rPr>
                <w:b/>
                <w:sz w:val="22"/>
              </w:rPr>
              <w:t>Huapango?</w:t>
            </w: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laguna Huapango?</w:t>
            </w:r>
          </w:p>
        </w:tc>
        <w:tc>
          <w:tcPr>
            <w:tcW w:w="3901"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Oscar</w:t>
            </w:r>
          </w:p>
        </w:tc>
        <w:tc>
          <w:tcPr>
            <w:tcW w:w="1274" w:type="dxa"/>
            <w:tcBorders>
              <w:bottom w:val="nil"/>
            </w:tcBorders>
          </w:tcPr>
          <w:p>
            <w:pPr>
              <w:pStyle w:val="TableParagraph"/>
              <w:spacing w:line="251" w:lineRule="exact"/>
              <w:ind w:left="100"/>
              <w:rPr>
                <w:sz w:val="22"/>
              </w:rPr>
            </w:pPr>
            <w:r>
              <w:rPr>
                <w:sz w:val="22"/>
              </w:rPr>
              <w:t>Preparator</w:t>
            </w:r>
          </w:p>
        </w:tc>
        <w:tc>
          <w:tcPr>
            <w:tcW w:w="1887" w:type="dxa"/>
            <w:tcBorders>
              <w:bottom w:val="nil"/>
            </w:tcBorders>
          </w:tcPr>
          <w:p>
            <w:pPr>
              <w:pStyle w:val="TableParagraph"/>
              <w:spacing w:line="251" w:lineRule="exact"/>
              <w:ind w:left="410"/>
              <w:rPr>
                <w:sz w:val="22"/>
              </w:rPr>
            </w:pPr>
            <w:r>
              <w:rPr>
                <w:sz w:val="22"/>
              </w:rPr>
              <w:t>Presidente</w:t>
            </w:r>
          </w:p>
        </w:tc>
        <w:tc>
          <w:tcPr>
            <w:tcW w:w="1289" w:type="dxa"/>
            <w:tcBorders>
              <w:bottom w:val="nil"/>
            </w:tcBorders>
          </w:tcPr>
          <w:p>
            <w:pPr>
              <w:pStyle w:val="TableParagraph"/>
              <w:spacing w:line="251" w:lineRule="exact"/>
              <w:rPr>
                <w:sz w:val="22"/>
              </w:rPr>
            </w:pPr>
            <w:r>
              <w:rPr>
                <w:sz w:val="22"/>
              </w:rPr>
              <w:t>Timilpan</w:t>
            </w:r>
          </w:p>
        </w:tc>
        <w:tc>
          <w:tcPr>
            <w:tcW w:w="1174" w:type="dxa"/>
            <w:tcBorders>
              <w:bottom w:val="nil"/>
            </w:tcBorders>
          </w:tcPr>
          <w:p>
            <w:pPr>
              <w:pStyle w:val="TableParagraph"/>
              <w:spacing w:line="251" w:lineRule="exact"/>
              <w:rPr>
                <w:sz w:val="22"/>
              </w:rPr>
            </w:pPr>
            <w:r>
              <w:rPr>
                <w:sz w:val="22"/>
              </w:rPr>
              <w:t>Timilpan</w:t>
            </w:r>
          </w:p>
        </w:tc>
        <w:tc>
          <w:tcPr>
            <w:tcW w:w="2314" w:type="dxa"/>
            <w:tcBorders>
              <w:bottom w:val="nil"/>
            </w:tcBorders>
          </w:tcPr>
          <w:p>
            <w:pPr>
              <w:pStyle w:val="TableParagraph"/>
              <w:spacing w:line="251" w:lineRule="exact"/>
              <w:ind w:left="100"/>
              <w:rPr>
                <w:sz w:val="22"/>
              </w:rPr>
            </w:pPr>
            <w:r>
              <w:rPr>
                <w:sz w:val="22"/>
              </w:rPr>
              <w:t>Con  un  proyecto</w:t>
            </w:r>
            <w:r>
              <w:rPr>
                <w:spacing w:val="57"/>
                <w:sz w:val="22"/>
              </w:rPr>
              <w:t> </w:t>
            </w:r>
            <w:r>
              <w:rPr>
                <w:sz w:val="22"/>
              </w:rPr>
              <w:t>de</w:t>
            </w:r>
          </w:p>
        </w:tc>
        <w:tc>
          <w:tcPr>
            <w:tcW w:w="3901" w:type="dxa"/>
            <w:tcBorders>
              <w:bottom w:val="nil"/>
            </w:tcBorders>
          </w:tcPr>
          <w:p>
            <w:pPr>
              <w:pStyle w:val="TableParagraph"/>
              <w:spacing w:line="251" w:lineRule="exact"/>
              <w:rPr>
                <w:sz w:val="22"/>
              </w:rPr>
            </w:pPr>
            <w:r>
              <w:rPr>
                <w:sz w:val="22"/>
              </w:rPr>
              <w:t>Con el apoyo del gobierno federal.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274" w:type="dxa"/>
            <w:tcBorders>
              <w:top w:val="nil"/>
              <w:bottom w:val="nil"/>
            </w:tcBorders>
          </w:tcPr>
          <w:p>
            <w:pPr>
              <w:pStyle w:val="TableParagraph"/>
              <w:spacing w:line="241" w:lineRule="exact"/>
              <w:ind w:left="100" w:right="98"/>
              <w:rPr>
                <w:sz w:val="22"/>
              </w:rPr>
            </w:pPr>
            <w:r>
              <w:rPr>
                <w:sz w:val="22"/>
              </w:rPr>
              <w:t>ia y</w:t>
            </w: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48" w:val="left" w:leader="none"/>
                <w:tab w:pos="1957" w:val="left" w:leader="none"/>
              </w:tabs>
              <w:spacing w:line="241" w:lineRule="exact"/>
              <w:ind w:left="100"/>
              <w:rPr>
                <w:sz w:val="22"/>
              </w:rPr>
            </w:pPr>
            <w:r>
              <w:rPr>
                <w:sz w:val="22"/>
              </w:rPr>
              <w:t>un</w:t>
              <w:tab/>
              <w:t>vertedor</w:t>
              <w:tab/>
              <w:t>de</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Ruíz</w:t>
            </w:r>
          </w:p>
        </w:tc>
        <w:tc>
          <w:tcPr>
            <w:tcW w:w="1274" w:type="dxa"/>
            <w:tcBorders>
              <w:top w:val="nil"/>
              <w:bottom w:val="nil"/>
            </w:tcBorders>
          </w:tcPr>
          <w:p>
            <w:pPr>
              <w:pStyle w:val="TableParagraph"/>
              <w:spacing w:line="242" w:lineRule="exact"/>
              <w:ind w:left="100" w:right="98"/>
              <w:rPr>
                <w:sz w:val="22"/>
              </w:rPr>
            </w:pPr>
            <w:r>
              <w:rPr>
                <w:sz w:val="22"/>
              </w:rPr>
              <w:t>carrera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demasías,   haciendo</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técnica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una   retención   a  la</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rPr>
                <w:sz w:val="22"/>
              </w:rPr>
            </w:pPr>
            <w:r>
              <w:rPr>
                <w:sz w:val="22"/>
              </w:rPr>
              <w:t>(24/II/2014)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altura de la Autopista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889" w:val="left" w:leader="none"/>
                <w:tab w:pos="1760" w:val="left" w:leader="none"/>
              </w:tabs>
              <w:spacing w:line="242" w:lineRule="exact"/>
              <w:ind w:left="100"/>
              <w:rPr>
                <w:sz w:val="22"/>
              </w:rPr>
            </w:pPr>
            <w:r>
              <w:rPr>
                <w:sz w:val="22"/>
              </w:rPr>
              <w:t>Arco</w:t>
              <w:tab/>
              <w:t>Norte</w:t>
              <w:tab/>
              <w:t>para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29" w:val="left" w:leader="none"/>
              </w:tabs>
              <w:spacing w:line="241" w:lineRule="exact"/>
              <w:ind w:left="100"/>
              <w:rPr>
                <w:sz w:val="22"/>
              </w:rPr>
            </w:pPr>
            <w:r>
              <w:rPr>
                <w:sz w:val="22"/>
              </w:rPr>
              <w:t>beneficiar</w:t>
              <w:tab/>
              <w:t>al</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municipio.</w:t>
            </w:r>
          </w:p>
        </w:tc>
        <w:tc>
          <w:tcPr>
            <w:tcW w:w="3901" w:type="dxa"/>
            <w:tcBorders>
              <w:top w:val="nil"/>
            </w:tcBorders>
          </w:tcPr>
          <w:p>
            <w:pPr/>
          </w:p>
        </w:tc>
      </w:tr>
      <w:tr>
        <w:trPr>
          <w:trHeight w:val="268"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Rincón de</w:t>
            </w:r>
          </w:p>
        </w:tc>
        <w:tc>
          <w:tcPr>
            <w:tcW w:w="1174" w:type="dxa"/>
            <w:tcBorders>
              <w:bottom w:val="nil"/>
            </w:tcBorders>
          </w:tcPr>
          <w:p>
            <w:pPr>
              <w:pStyle w:val="TableParagraph"/>
              <w:spacing w:line="251" w:lineRule="exact"/>
              <w:rPr>
                <w:sz w:val="22"/>
              </w:rPr>
            </w:pPr>
            <w:r>
              <w:rPr>
                <w:sz w:val="22"/>
              </w:rPr>
              <w:t>Rincón</w:t>
            </w:r>
          </w:p>
        </w:tc>
        <w:tc>
          <w:tcPr>
            <w:tcW w:w="2314" w:type="dxa"/>
            <w:tcBorders>
              <w:bottom w:val="nil"/>
            </w:tcBorders>
          </w:tcPr>
          <w:p>
            <w:pPr>
              <w:pStyle w:val="TableParagraph"/>
              <w:spacing w:line="251" w:lineRule="exact"/>
              <w:ind w:left="100"/>
              <w:rPr>
                <w:sz w:val="22"/>
              </w:rPr>
            </w:pPr>
            <w:r>
              <w:rPr>
                <w:sz w:val="22"/>
              </w:rPr>
              <w:t>Se   necesita  regular</w:t>
            </w:r>
          </w:p>
        </w:tc>
        <w:tc>
          <w:tcPr>
            <w:tcW w:w="3901" w:type="dxa"/>
            <w:tcBorders>
              <w:bottom w:val="nil"/>
            </w:tcBorders>
          </w:tcPr>
          <w:p>
            <w:pPr>
              <w:pStyle w:val="TableParagraph"/>
              <w:spacing w:line="251" w:lineRule="exact"/>
              <w:rPr>
                <w:sz w:val="22"/>
              </w:rPr>
            </w:pPr>
            <w:r>
              <w:rPr>
                <w:sz w:val="22"/>
              </w:rPr>
              <w:t>Los   tres   niveles   de   gobierno,   el</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Ruiz</w:t>
            </w:r>
          </w:p>
        </w:tc>
        <w:tc>
          <w:tcPr>
            <w:tcW w:w="1274" w:type="dxa"/>
            <w:tcBorders>
              <w:top w:val="nil"/>
              <w:bottom w:val="nil"/>
            </w:tcBorders>
          </w:tcPr>
          <w:p>
            <w:pPr/>
          </w:p>
        </w:tc>
        <w:tc>
          <w:tcPr>
            <w:tcW w:w="1887" w:type="dxa"/>
            <w:tcBorders>
              <w:top w:val="nil"/>
              <w:bottom w:val="nil"/>
            </w:tcBorders>
          </w:tcPr>
          <w:p>
            <w:pPr>
              <w:pStyle w:val="TableParagraph"/>
              <w:spacing w:line="243" w:lineRule="exact"/>
              <w:rPr>
                <w:sz w:val="22"/>
              </w:rPr>
            </w:pPr>
            <w:r>
              <w:rPr>
                <w:sz w:val="22"/>
              </w:rPr>
              <w:t>Presidente de la</w:t>
            </w:r>
          </w:p>
        </w:tc>
        <w:tc>
          <w:tcPr>
            <w:tcW w:w="1289" w:type="dxa"/>
            <w:tcBorders>
              <w:top w:val="nil"/>
              <w:bottom w:val="nil"/>
            </w:tcBorders>
          </w:tcPr>
          <w:p>
            <w:pPr>
              <w:pStyle w:val="TableParagraph"/>
              <w:spacing w:line="243" w:lineRule="exact"/>
              <w:rPr>
                <w:sz w:val="22"/>
              </w:rPr>
            </w:pPr>
            <w:r>
              <w:rPr>
                <w:sz w:val="22"/>
              </w:rPr>
              <w:t>Bucio,</w:t>
            </w:r>
          </w:p>
        </w:tc>
        <w:tc>
          <w:tcPr>
            <w:tcW w:w="1174" w:type="dxa"/>
            <w:tcBorders>
              <w:top w:val="nil"/>
              <w:bottom w:val="nil"/>
            </w:tcBorders>
          </w:tcPr>
          <w:p>
            <w:pPr>
              <w:pStyle w:val="TableParagraph"/>
              <w:spacing w:line="243" w:lineRule="exact"/>
              <w:rPr>
                <w:sz w:val="22"/>
              </w:rPr>
            </w:pPr>
            <w:r>
              <w:rPr>
                <w:sz w:val="22"/>
              </w:rPr>
              <w:t>de Bucio,</w:t>
            </w:r>
          </w:p>
        </w:tc>
        <w:tc>
          <w:tcPr>
            <w:tcW w:w="2314" w:type="dxa"/>
            <w:tcBorders>
              <w:top w:val="nil"/>
              <w:bottom w:val="nil"/>
            </w:tcBorders>
          </w:tcPr>
          <w:p>
            <w:pPr>
              <w:pStyle w:val="TableParagraph"/>
              <w:tabs>
                <w:tab w:pos="769" w:val="left" w:leader="none"/>
              </w:tabs>
              <w:spacing w:line="243" w:lineRule="exact"/>
              <w:ind w:left="100"/>
              <w:rPr>
                <w:sz w:val="22"/>
              </w:rPr>
            </w:pPr>
            <w:r>
              <w:rPr>
                <w:sz w:val="22"/>
              </w:rPr>
              <w:t>los</w:t>
              <w:tab/>
              <w:t>asentamientos</w:t>
            </w:r>
          </w:p>
        </w:tc>
        <w:tc>
          <w:tcPr>
            <w:tcW w:w="3901" w:type="dxa"/>
            <w:tcBorders>
              <w:top w:val="nil"/>
              <w:bottom w:val="nil"/>
            </w:tcBorders>
          </w:tcPr>
          <w:p>
            <w:pPr>
              <w:pStyle w:val="TableParagraph"/>
              <w:spacing w:line="243" w:lineRule="exact"/>
              <w:rPr>
                <w:sz w:val="22"/>
              </w:rPr>
            </w:pPr>
            <w:r>
              <w:rPr>
                <w:sz w:val="22"/>
              </w:rPr>
              <w:t>Federal, Estatal y Municipal.</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Style w:val="TableParagraph"/>
              <w:spacing w:line="241" w:lineRule="exact"/>
              <w:rPr>
                <w:sz w:val="22"/>
              </w:rPr>
            </w:pPr>
            <w:r>
              <w:rPr>
                <w:sz w:val="22"/>
              </w:rPr>
              <w:t>Timilpan</w:t>
            </w:r>
          </w:p>
        </w:tc>
        <w:tc>
          <w:tcPr>
            <w:tcW w:w="1174" w:type="dxa"/>
            <w:tcBorders>
              <w:top w:val="nil"/>
              <w:bottom w:val="nil"/>
            </w:tcBorders>
          </w:tcPr>
          <w:p>
            <w:pPr>
              <w:pStyle w:val="TableParagraph"/>
              <w:spacing w:line="241" w:lineRule="exact"/>
              <w:rPr>
                <w:sz w:val="22"/>
              </w:rPr>
            </w:pPr>
            <w:r>
              <w:rPr>
                <w:sz w:val="22"/>
              </w:rPr>
              <w:t>Timilpan</w:t>
            </w:r>
          </w:p>
        </w:tc>
        <w:tc>
          <w:tcPr>
            <w:tcW w:w="2314" w:type="dxa"/>
            <w:tcBorders>
              <w:top w:val="nil"/>
              <w:bottom w:val="nil"/>
            </w:tcBorders>
          </w:tcPr>
          <w:p>
            <w:pPr>
              <w:pStyle w:val="TableParagraph"/>
              <w:tabs>
                <w:tab w:pos="1273" w:val="left" w:leader="none"/>
                <w:tab w:pos="1650" w:val="left" w:leader="none"/>
              </w:tabs>
              <w:spacing w:line="241" w:lineRule="exact"/>
              <w:ind w:left="100"/>
              <w:rPr>
                <w:sz w:val="22"/>
              </w:rPr>
            </w:pPr>
            <w:r>
              <w:rPr>
                <w:sz w:val="22"/>
              </w:rPr>
              <w:t>humanos</w:t>
              <w:tab/>
              <w:t>y</w:t>
              <w:tab/>
              <w:t>sobre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 Rural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todo  tener  el control</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left="155"/>
              <w:rPr>
                <w:sz w:val="22"/>
              </w:rPr>
            </w:pPr>
            <w:r>
              <w:rPr>
                <w:sz w:val="22"/>
              </w:rPr>
              <w:t>(24/I/2015)</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05" w:val="left" w:leader="none"/>
                <w:tab w:pos="1345" w:val="left" w:leader="none"/>
              </w:tabs>
              <w:spacing w:line="242" w:lineRule="exact"/>
              <w:ind w:left="100"/>
              <w:rPr>
                <w:sz w:val="22"/>
              </w:rPr>
            </w:pPr>
            <w:r>
              <w:rPr>
                <w:sz w:val="22"/>
              </w:rPr>
              <w:t>de</w:t>
              <w:tab/>
              <w:t>los</w:t>
              <w:tab/>
              <w:t>servicios</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públicos.</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Jacinta</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Cuarto  Regidor.</w:t>
            </w:r>
          </w:p>
        </w:tc>
        <w:tc>
          <w:tcPr>
            <w:tcW w:w="1289" w:type="dxa"/>
            <w:tcBorders>
              <w:bottom w:val="nil"/>
            </w:tcBorders>
          </w:tcPr>
          <w:p>
            <w:pPr>
              <w:pStyle w:val="TableParagraph"/>
              <w:spacing w:line="251" w:lineRule="exact"/>
              <w:rPr>
                <w:sz w:val="22"/>
              </w:rPr>
            </w:pPr>
            <w:r>
              <w:rPr>
                <w:sz w:val="22"/>
              </w:rPr>
              <w:t>Santiago</w:t>
            </w:r>
          </w:p>
        </w:tc>
        <w:tc>
          <w:tcPr>
            <w:tcW w:w="1174" w:type="dxa"/>
            <w:tcBorders>
              <w:bottom w:val="nil"/>
            </w:tcBorders>
          </w:tcPr>
          <w:p>
            <w:pPr>
              <w:pStyle w:val="TableParagraph"/>
              <w:spacing w:line="251" w:lineRule="exact"/>
              <w:rPr>
                <w:sz w:val="22"/>
              </w:rPr>
            </w:pPr>
            <w:r>
              <w:rPr>
                <w:sz w:val="22"/>
              </w:rPr>
              <w:t>Santiago</w:t>
            </w:r>
          </w:p>
        </w:tc>
        <w:tc>
          <w:tcPr>
            <w:tcW w:w="2314" w:type="dxa"/>
            <w:tcBorders>
              <w:bottom w:val="nil"/>
            </w:tcBorders>
          </w:tcPr>
          <w:p>
            <w:pPr>
              <w:pStyle w:val="TableParagraph"/>
              <w:spacing w:line="251" w:lineRule="exact"/>
              <w:ind w:left="100"/>
              <w:rPr>
                <w:sz w:val="22"/>
              </w:rPr>
            </w:pPr>
            <w:r>
              <w:rPr>
                <w:sz w:val="22"/>
              </w:rPr>
              <w:t>Con  todo  el   pueblo</w:t>
            </w:r>
          </w:p>
        </w:tc>
        <w:tc>
          <w:tcPr>
            <w:tcW w:w="3901" w:type="dxa"/>
            <w:tcBorders>
              <w:bottom w:val="nil"/>
            </w:tcBorders>
          </w:tcPr>
          <w:p>
            <w:pPr>
              <w:pStyle w:val="TableParagraph"/>
              <w:tabs>
                <w:tab w:pos="973" w:val="left" w:leader="none"/>
                <w:tab w:pos="1573" w:val="left" w:leader="none"/>
                <w:tab w:pos="2134" w:val="left" w:leader="none"/>
                <w:tab w:pos="3543" w:val="left" w:leader="none"/>
              </w:tabs>
              <w:spacing w:line="251" w:lineRule="exact"/>
              <w:rPr>
                <w:sz w:val="22"/>
              </w:rPr>
            </w:pPr>
            <w:r>
              <w:rPr>
                <w:sz w:val="22"/>
              </w:rPr>
              <w:t>Iniciar</w:t>
              <w:tab/>
              <w:t>por</w:t>
              <w:tab/>
              <w:t>los</w:t>
              <w:tab/>
              <w:t>ciudadanos</w:t>
              <w:tab/>
              <w:t>en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Jasso</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Presidenta  de la</w:t>
            </w:r>
          </w:p>
        </w:tc>
        <w:tc>
          <w:tcPr>
            <w:tcW w:w="1289" w:type="dxa"/>
            <w:tcBorders>
              <w:top w:val="nil"/>
              <w:bottom w:val="nil"/>
            </w:tcBorders>
          </w:tcPr>
          <w:p>
            <w:pPr>
              <w:pStyle w:val="TableParagraph"/>
              <w:spacing w:line="241" w:lineRule="exact"/>
              <w:rPr>
                <w:sz w:val="22"/>
              </w:rPr>
            </w:pPr>
            <w:r>
              <w:rPr>
                <w:sz w:val="22"/>
              </w:rPr>
              <w:t>Maxdá,</w:t>
            </w:r>
          </w:p>
        </w:tc>
        <w:tc>
          <w:tcPr>
            <w:tcW w:w="1174" w:type="dxa"/>
            <w:tcBorders>
              <w:top w:val="nil"/>
              <w:bottom w:val="nil"/>
            </w:tcBorders>
          </w:tcPr>
          <w:p>
            <w:pPr>
              <w:pStyle w:val="TableParagraph"/>
              <w:spacing w:line="241" w:lineRule="exact"/>
              <w:rPr>
                <w:sz w:val="22"/>
              </w:rPr>
            </w:pPr>
            <w:r>
              <w:rPr>
                <w:sz w:val="22"/>
              </w:rPr>
              <w:t>Maxdá,</w:t>
            </w:r>
          </w:p>
        </w:tc>
        <w:tc>
          <w:tcPr>
            <w:tcW w:w="2314" w:type="dxa"/>
            <w:tcBorders>
              <w:top w:val="nil"/>
              <w:bottom w:val="nil"/>
            </w:tcBorders>
          </w:tcPr>
          <w:p>
            <w:pPr>
              <w:pStyle w:val="TableParagraph"/>
              <w:spacing w:line="241" w:lineRule="exact"/>
              <w:ind w:left="100"/>
              <w:rPr>
                <w:sz w:val="22"/>
              </w:rPr>
            </w:pPr>
            <w:r>
              <w:rPr>
                <w:sz w:val="22"/>
              </w:rPr>
              <w:t>en  la  separación</w:t>
            </w:r>
            <w:r>
              <w:rPr>
                <w:spacing w:val="56"/>
                <w:sz w:val="22"/>
              </w:rPr>
              <w:t> </w:t>
            </w:r>
            <w:r>
              <w:rPr>
                <w:sz w:val="22"/>
              </w:rPr>
              <w:t>de</w:t>
            </w:r>
          </w:p>
        </w:tc>
        <w:tc>
          <w:tcPr>
            <w:tcW w:w="3901" w:type="dxa"/>
            <w:tcBorders>
              <w:top w:val="nil"/>
              <w:bottom w:val="nil"/>
            </w:tcBorders>
          </w:tcPr>
          <w:p>
            <w:pPr>
              <w:pStyle w:val="TableParagraph"/>
              <w:tabs>
                <w:tab w:pos="1307" w:val="left" w:leader="none"/>
                <w:tab w:pos="2240" w:val="left" w:leader="none"/>
                <w:tab w:pos="2720" w:val="left" w:leader="none"/>
                <w:tab w:pos="3665" w:val="left" w:leader="none"/>
              </w:tabs>
              <w:spacing w:line="241" w:lineRule="exact"/>
              <w:rPr>
                <w:sz w:val="22"/>
              </w:rPr>
            </w:pPr>
            <w:r>
              <w:rPr>
                <w:sz w:val="22"/>
              </w:rPr>
              <w:t>nuestras</w:t>
              <w:tab/>
              <w:t>casas</w:t>
              <w:tab/>
              <w:t>e</w:t>
              <w:tab/>
              <w:t>invitar</w:t>
              <w:tab/>
              <w:t>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González</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289" w:type="dxa"/>
            <w:tcBorders>
              <w:top w:val="nil"/>
              <w:bottom w:val="nil"/>
            </w:tcBorders>
          </w:tcPr>
          <w:p>
            <w:pPr>
              <w:pStyle w:val="TableParagraph"/>
              <w:spacing w:line="242" w:lineRule="exact"/>
              <w:rPr>
                <w:sz w:val="22"/>
              </w:rPr>
            </w:pPr>
            <w:r>
              <w:rPr>
                <w:sz w:val="22"/>
              </w:rPr>
              <w:t>Timilpan</w:t>
            </w:r>
          </w:p>
        </w:tc>
        <w:tc>
          <w:tcPr>
            <w:tcW w:w="1174" w:type="dxa"/>
            <w:tcBorders>
              <w:top w:val="nil"/>
              <w:bottom w:val="nil"/>
            </w:tcBorders>
          </w:tcPr>
          <w:p>
            <w:pPr>
              <w:pStyle w:val="TableParagraph"/>
              <w:spacing w:line="242" w:lineRule="exact"/>
              <w:rPr>
                <w:sz w:val="22"/>
              </w:rPr>
            </w:pPr>
            <w:r>
              <w:rPr>
                <w:sz w:val="22"/>
              </w:rPr>
              <w:t>Timilpan</w:t>
            </w:r>
          </w:p>
        </w:tc>
        <w:tc>
          <w:tcPr>
            <w:tcW w:w="2314" w:type="dxa"/>
            <w:tcBorders>
              <w:top w:val="nil"/>
              <w:bottom w:val="nil"/>
            </w:tcBorders>
          </w:tcPr>
          <w:p>
            <w:pPr>
              <w:pStyle w:val="TableParagraph"/>
              <w:tabs>
                <w:tab w:pos="1650" w:val="left" w:leader="none"/>
              </w:tabs>
              <w:spacing w:line="242" w:lineRule="exact"/>
              <w:ind w:left="100"/>
              <w:rPr>
                <w:sz w:val="22"/>
              </w:rPr>
            </w:pPr>
            <w:r>
              <w:rPr>
                <w:sz w:val="22"/>
              </w:rPr>
              <w:t>basura,</w:t>
              <w:tab/>
              <w:t>hacer</w:t>
            </w:r>
          </w:p>
        </w:tc>
        <w:tc>
          <w:tcPr>
            <w:tcW w:w="3901" w:type="dxa"/>
            <w:tcBorders>
              <w:top w:val="nil"/>
              <w:bottom w:val="nil"/>
            </w:tcBorders>
          </w:tcPr>
          <w:p>
            <w:pPr>
              <w:pStyle w:val="TableParagraph"/>
              <w:tabs>
                <w:tab w:pos="1528" w:val="left" w:leader="none"/>
                <w:tab w:pos="2279" w:val="left" w:leader="none"/>
                <w:tab w:pos="2770" w:val="left" w:leader="none"/>
              </w:tabs>
              <w:spacing w:line="242" w:lineRule="exact"/>
              <w:rPr>
                <w:sz w:val="22"/>
              </w:rPr>
            </w:pPr>
            <w:r>
              <w:rPr>
                <w:sz w:val="22"/>
              </w:rPr>
              <w:t>autoridades,</w:t>
              <w:tab/>
              <w:t>como</w:t>
              <w:tab/>
              <w:t>los</w:t>
              <w:tab/>
              <w:t>delegados</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2" w:val="left" w:leader="none"/>
              </w:tabs>
              <w:spacing w:line="241" w:lineRule="exact"/>
              <w:rPr>
                <w:sz w:val="22"/>
              </w:rPr>
            </w:pPr>
            <w:r>
              <w:rPr>
                <w:sz w:val="22"/>
              </w:rPr>
              <w:t>Empleo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compostas,  tener </w:t>
            </w:r>
            <w:r>
              <w:rPr>
                <w:spacing w:val="53"/>
                <w:sz w:val="22"/>
              </w:rPr>
              <w:t> </w:t>
            </w:r>
            <w:r>
              <w:rPr>
                <w:sz w:val="22"/>
              </w:rPr>
              <w:t>la</w:t>
            </w:r>
          </w:p>
        </w:tc>
        <w:tc>
          <w:tcPr>
            <w:tcW w:w="3901" w:type="dxa"/>
            <w:tcBorders>
              <w:top w:val="nil"/>
              <w:bottom w:val="nil"/>
            </w:tcBorders>
          </w:tcPr>
          <w:p>
            <w:pPr>
              <w:pStyle w:val="TableParagraph"/>
              <w:spacing w:line="241" w:lineRule="exact"/>
              <w:rPr>
                <w:sz w:val="22"/>
              </w:rPr>
            </w:pPr>
            <w:r>
              <w:rPr>
                <w:sz w:val="22"/>
              </w:rPr>
              <w:t>para (tener el) habito de la limpieza.</w:t>
            </w:r>
          </w:p>
        </w:tc>
      </w:tr>
      <w:tr>
        <w:trPr>
          <w:trHeight w:val="254" w:hRule="exact"/>
        </w:trPr>
        <w:tc>
          <w:tcPr>
            <w:tcW w:w="1385" w:type="dxa"/>
            <w:tcBorders>
              <w:top w:val="nil"/>
              <w:bottom w:val="nil"/>
            </w:tcBorders>
          </w:tcPr>
          <w:p>
            <w:pPr>
              <w:pStyle w:val="TableParagraph"/>
              <w:spacing w:line="241" w:lineRule="exact"/>
              <w:ind w:right="127"/>
              <w:rPr>
                <w:sz w:val="22"/>
              </w:rPr>
            </w:pPr>
            <w:r>
              <w:rPr>
                <w:sz w:val="22"/>
              </w:rPr>
              <w:t>(24/I/2015)</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Turismo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785" w:val="left" w:leader="none"/>
              </w:tabs>
              <w:spacing w:line="241" w:lineRule="exact"/>
              <w:ind w:left="100"/>
              <w:rPr>
                <w:sz w:val="22"/>
              </w:rPr>
            </w:pPr>
            <w:r>
              <w:rPr>
                <w:sz w:val="22"/>
              </w:rPr>
              <w:t>comunidad</w:t>
              <w:tab/>
              <w:t>más</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3" w:lineRule="exact"/>
              <w:ind w:left="100"/>
              <w:rPr>
                <w:sz w:val="22"/>
              </w:rPr>
            </w:pPr>
            <w:r>
              <w:rPr>
                <w:sz w:val="22"/>
              </w:rPr>
              <w:t>limpia y el agua.</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rPr>
                <w:sz w:val="22"/>
              </w:rPr>
            </w:pPr>
            <w:r>
              <w:rPr>
                <w:sz w:val="22"/>
              </w:rPr>
              <w:t>Erika María</w:t>
            </w:r>
          </w:p>
        </w:tc>
        <w:tc>
          <w:tcPr>
            <w:tcW w:w="1274" w:type="dxa"/>
            <w:tcBorders>
              <w:bottom w:val="nil"/>
            </w:tcBorders>
          </w:tcPr>
          <w:p>
            <w:pPr>
              <w:pStyle w:val="TableParagraph"/>
              <w:spacing w:line="251" w:lineRule="exact"/>
              <w:ind w:left="100" w:right="98"/>
              <w:rPr>
                <w:sz w:val="22"/>
              </w:rPr>
            </w:pPr>
            <w:r>
              <w:rPr>
                <w:sz w:val="22"/>
              </w:rPr>
              <w:t>Técnico</w:t>
            </w:r>
          </w:p>
        </w:tc>
        <w:tc>
          <w:tcPr>
            <w:tcW w:w="1887" w:type="dxa"/>
            <w:tcBorders>
              <w:bottom w:val="nil"/>
            </w:tcBorders>
          </w:tcPr>
          <w:p>
            <w:pPr>
              <w:pStyle w:val="TableParagraph"/>
              <w:spacing w:line="251" w:lineRule="exact"/>
              <w:rPr>
                <w:sz w:val="22"/>
              </w:rPr>
            </w:pPr>
            <w:r>
              <w:rPr>
                <w:sz w:val="22"/>
              </w:rPr>
              <w:t>Quinto   Regidor.</w:t>
            </w:r>
          </w:p>
        </w:tc>
        <w:tc>
          <w:tcPr>
            <w:tcW w:w="1289" w:type="dxa"/>
            <w:tcBorders>
              <w:bottom w:val="nil"/>
            </w:tcBorders>
          </w:tcPr>
          <w:p>
            <w:pPr>
              <w:pStyle w:val="TableParagraph"/>
              <w:spacing w:line="251" w:lineRule="exact"/>
              <w:rPr>
                <w:sz w:val="22"/>
              </w:rPr>
            </w:pPr>
            <w:r>
              <w:rPr>
                <w:sz w:val="22"/>
              </w:rPr>
              <w:t>Naucalpan</w:t>
            </w:r>
          </w:p>
        </w:tc>
        <w:tc>
          <w:tcPr>
            <w:tcW w:w="1174" w:type="dxa"/>
            <w:tcBorders>
              <w:bottom w:val="nil"/>
            </w:tcBorders>
          </w:tcPr>
          <w:p>
            <w:pPr>
              <w:pStyle w:val="TableParagraph"/>
              <w:spacing w:line="251" w:lineRule="exact"/>
              <w:rPr>
                <w:sz w:val="22"/>
              </w:rPr>
            </w:pPr>
            <w:r>
              <w:rPr>
                <w:sz w:val="22"/>
              </w:rPr>
              <w:t>Timilpan</w:t>
            </w:r>
          </w:p>
        </w:tc>
        <w:tc>
          <w:tcPr>
            <w:tcW w:w="2314" w:type="dxa"/>
            <w:tcBorders>
              <w:bottom w:val="nil"/>
            </w:tcBorders>
          </w:tcPr>
          <w:p>
            <w:pPr>
              <w:pStyle w:val="TableParagraph"/>
              <w:tabs>
                <w:tab w:pos="1199" w:val="left" w:leader="none"/>
              </w:tabs>
              <w:spacing w:line="251" w:lineRule="exact"/>
              <w:ind w:left="100"/>
              <w:rPr>
                <w:sz w:val="22"/>
              </w:rPr>
            </w:pPr>
            <w:r>
              <w:rPr>
                <w:sz w:val="22"/>
              </w:rPr>
              <w:t>Para</w:t>
              <w:tab/>
              <w:t>solucionar</w:t>
            </w:r>
          </w:p>
        </w:tc>
        <w:tc>
          <w:tcPr>
            <w:tcW w:w="3901" w:type="dxa"/>
            <w:tcBorders>
              <w:bottom w:val="nil"/>
            </w:tcBorders>
          </w:tcPr>
          <w:p>
            <w:pPr>
              <w:pStyle w:val="TableParagraph"/>
              <w:spacing w:line="251" w:lineRule="exact"/>
              <w:rPr>
                <w:sz w:val="22"/>
              </w:rPr>
            </w:pPr>
            <w:r>
              <w:rPr>
                <w:sz w:val="22"/>
              </w:rPr>
              <w:t>Quienes  deben  hacer  esto  son con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Correa</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Presidente  de la</w:t>
            </w:r>
          </w:p>
        </w:tc>
        <w:tc>
          <w:tcPr>
            <w:tcW w:w="1289" w:type="dxa"/>
            <w:tcBorders>
              <w:top w:val="nil"/>
              <w:bottom w:val="nil"/>
            </w:tcBorders>
          </w:tcPr>
          <w:p>
            <w:pPr>
              <w:pStyle w:val="TableParagraph"/>
              <w:spacing w:line="242" w:lineRule="exact"/>
              <w:rPr>
                <w:sz w:val="22"/>
              </w:rPr>
            </w:pPr>
            <w:r>
              <w:rPr>
                <w:sz w:val="22"/>
              </w:rPr>
              <w:t>de Juárez</w:t>
            </w:r>
          </w:p>
        </w:tc>
        <w:tc>
          <w:tcPr>
            <w:tcW w:w="1174" w:type="dxa"/>
            <w:tcBorders>
              <w:top w:val="nil"/>
              <w:bottom w:val="nil"/>
            </w:tcBorders>
          </w:tcPr>
          <w:p>
            <w:pPr>
              <w:pStyle w:val="TableParagraph"/>
              <w:spacing w:line="242" w:lineRule="exact"/>
              <w:rPr>
                <w:sz w:val="22"/>
              </w:rPr>
            </w:pPr>
            <w:r>
              <w:rPr>
                <w:sz w:val="22"/>
              </w:rPr>
              <w:t>(desde</w:t>
            </w:r>
          </w:p>
        </w:tc>
        <w:tc>
          <w:tcPr>
            <w:tcW w:w="2314" w:type="dxa"/>
            <w:tcBorders>
              <w:top w:val="nil"/>
              <w:bottom w:val="nil"/>
            </w:tcBorders>
          </w:tcPr>
          <w:p>
            <w:pPr>
              <w:pStyle w:val="TableParagraph"/>
              <w:spacing w:line="242" w:lineRule="exact"/>
              <w:ind w:left="100"/>
              <w:rPr>
                <w:sz w:val="22"/>
              </w:rPr>
            </w:pPr>
            <w:r>
              <w:rPr>
                <w:sz w:val="22"/>
              </w:rPr>
              <w:t>estos   problemas  se</w:t>
            </w:r>
          </w:p>
        </w:tc>
        <w:tc>
          <w:tcPr>
            <w:tcW w:w="3901" w:type="dxa"/>
            <w:tcBorders>
              <w:top w:val="nil"/>
              <w:bottom w:val="nil"/>
            </w:tcBorders>
          </w:tcPr>
          <w:p>
            <w:pPr>
              <w:pStyle w:val="TableParagraph"/>
              <w:tabs>
                <w:tab w:pos="2147" w:val="left" w:leader="none"/>
                <w:tab w:pos="3615" w:val="left" w:leader="none"/>
              </w:tabs>
              <w:spacing w:line="242" w:lineRule="exact"/>
              <w:rPr>
                <w:sz w:val="22"/>
              </w:rPr>
            </w:pPr>
            <w:r>
              <w:rPr>
                <w:sz w:val="22"/>
              </w:rPr>
              <w:t>responsabilidades</w:t>
              <w:tab/>
              <w:t>compartidas</w:t>
              <w:tab/>
              <w:t>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Plata</w:t>
            </w:r>
          </w:p>
        </w:tc>
        <w:tc>
          <w:tcPr>
            <w:tcW w:w="1274" w:type="dxa"/>
            <w:tcBorders>
              <w:top w:val="nil"/>
              <w:bottom w:val="nil"/>
            </w:tcBorders>
          </w:tcPr>
          <w:p>
            <w:pPr>
              <w:pStyle w:val="TableParagraph"/>
              <w:spacing w:line="241" w:lineRule="exact"/>
              <w:ind w:left="100"/>
              <w:rPr>
                <w:sz w:val="22"/>
              </w:rPr>
            </w:pPr>
            <w:r>
              <w:rPr>
                <w:sz w:val="22"/>
              </w:rPr>
              <w:t>Computaci</w:t>
            </w: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hace 30</w:t>
            </w:r>
          </w:p>
        </w:tc>
        <w:tc>
          <w:tcPr>
            <w:tcW w:w="2314" w:type="dxa"/>
            <w:tcBorders>
              <w:top w:val="nil"/>
              <w:bottom w:val="nil"/>
            </w:tcBorders>
          </w:tcPr>
          <w:p>
            <w:pPr>
              <w:pStyle w:val="TableParagraph"/>
              <w:tabs>
                <w:tab w:pos="1256" w:val="left" w:leader="none"/>
                <w:tab w:pos="1847" w:val="left" w:leader="none"/>
              </w:tabs>
              <w:spacing w:line="241" w:lineRule="exact"/>
              <w:ind w:left="100"/>
              <w:rPr>
                <w:sz w:val="22"/>
              </w:rPr>
            </w:pPr>
            <w:r>
              <w:rPr>
                <w:sz w:val="22"/>
              </w:rPr>
              <w:t>requiere</w:t>
              <w:tab/>
              <w:t>de</w:t>
              <w:tab/>
              <w:t>dos</w:t>
            </w:r>
          </w:p>
        </w:tc>
        <w:tc>
          <w:tcPr>
            <w:tcW w:w="3901" w:type="dxa"/>
            <w:tcBorders>
              <w:top w:val="nil"/>
              <w:bottom w:val="nil"/>
            </w:tcBorders>
          </w:tcPr>
          <w:p>
            <w:pPr>
              <w:pStyle w:val="TableParagraph"/>
              <w:spacing w:line="241" w:lineRule="exact"/>
              <w:rPr>
                <w:sz w:val="22"/>
              </w:rPr>
            </w:pPr>
            <w:r>
              <w:rPr>
                <w:sz w:val="22"/>
              </w:rPr>
              <w:t>gobierno   y   las   comunidades   que</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ón</w:t>
            </w:r>
          </w:p>
        </w:tc>
        <w:tc>
          <w:tcPr>
            <w:tcW w:w="1887" w:type="dxa"/>
            <w:tcBorders>
              <w:top w:val="nil"/>
              <w:bottom w:val="nil"/>
            </w:tcBorders>
          </w:tcPr>
          <w:p>
            <w:pPr>
              <w:pStyle w:val="TableParagraph"/>
              <w:spacing w:line="242" w:lineRule="exact"/>
              <w:rPr>
                <w:sz w:val="22"/>
              </w:rPr>
            </w:pPr>
            <w:r>
              <w:rPr>
                <w:sz w:val="22"/>
              </w:rPr>
              <w:t>Salud   y   Medio</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años)</w:t>
            </w:r>
          </w:p>
        </w:tc>
        <w:tc>
          <w:tcPr>
            <w:tcW w:w="2314" w:type="dxa"/>
            <w:tcBorders>
              <w:top w:val="nil"/>
              <w:bottom w:val="nil"/>
            </w:tcBorders>
          </w:tcPr>
          <w:p>
            <w:pPr>
              <w:pStyle w:val="TableParagraph"/>
              <w:spacing w:line="242" w:lineRule="exact"/>
              <w:ind w:left="100"/>
              <w:rPr>
                <w:sz w:val="22"/>
              </w:rPr>
            </w:pPr>
            <w:r>
              <w:rPr>
                <w:sz w:val="22"/>
              </w:rPr>
              <w:t>cosas:  una  llevando</w:t>
            </w:r>
          </w:p>
        </w:tc>
        <w:tc>
          <w:tcPr>
            <w:tcW w:w="3901" w:type="dxa"/>
            <w:tcBorders>
              <w:top w:val="nil"/>
              <w:bottom w:val="nil"/>
            </w:tcBorders>
          </w:tcPr>
          <w:p>
            <w:pPr>
              <w:pStyle w:val="TableParagraph"/>
              <w:spacing w:line="242" w:lineRule="exact"/>
              <w:rPr>
                <w:sz w:val="22"/>
              </w:rPr>
            </w:pPr>
            <w:r>
              <w:rPr>
                <w:sz w:val="22"/>
              </w:rPr>
              <w:t>viven en el contorno de la laguna.</w:t>
            </w:r>
          </w:p>
        </w:tc>
      </w:tr>
      <w:tr>
        <w:trPr>
          <w:trHeight w:val="250" w:hRule="exact"/>
        </w:trPr>
        <w:tc>
          <w:tcPr>
            <w:tcW w:w="1385" w:type="dxa"/>
            <w:tcBorders>
              <w:top w:val="nil"/>
            </w:tcBorders>
          </w:tcPr>
          <w:p>
            <w:pPr>
              <w:pStyle w:val="TableParagraph"/>
              <w:spacing w:line="241" w:lineRule="exact"/>
              <w:rPr>
                <w:sz w:val="22"/>
              </w:rPr>
            </w:pPr>
            <w:r>
              <w:rPr>
                <w:sz w:val="22"/>
              </w:rPr>
              <w:t>(24/II/2014)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Ambiente</w:t>
            </w: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a  cabo  un  proyecto</w:t>
            </w:r>
          </w:p>
        </w:tc>
        <w:tc>
          <w:tcPr>
            <w:tcW w:w="3901" w:type="dxa"/>
            <w:tcBorders>
              <w:top w:val="nil"/>
            </w:tcBorders>
          </w:tcPr>
          <w:p>
            <w:pPr/>
          </w:p>
        </w:tc>
      </w:tr>
    </w:tbl>
    <w:p>
      <w:pPr>
        <w:spacing w:after="0"/>
        <w:sectPr>
          <w:pgSz w:w="15840" w:h="12240" w:orient="landscape"/>
          <w:pgMar w:header="0" w:footer="100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1022" w:hRule="exact"/>
        </w:trPr>
        <w:tc>
          <w:tcPr>
            <w:tcW w:w="1385" w:type="dxa"/>
          </w:tcPr>
          <w:p>
            <w:pP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ind w:left="100" w:right="99"/>
              <w:jc w:val="both"/>
              <w:rPr>
                <w:sz w:val="22"/>
              </w:rPr>
            </w:pPr>
            <w:r>
              <w:rPr>
                <w:sz w:val="22"/>
              </w:rPr>
              <w:t>ecoturístico y dos trabajar en plantas tratadoras para todas las comunidades.</w:t>
            </w:r>
          </w:p>
        </w:tc>
        <w:tc>
          <w:tcPr>
            <w:tcW w:w="3901" w:type="dxa"/>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Jazith</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spacing w:line="251" w:lineRule="exact"/>
              <w:rPr>
                <w:sz w:val="22"/>
              </w:rPr>
            </w:pPr>
            <w:r>
              <w:rPr>
                <w:sz w:val="22"/>
              </w:rPr>
              <w:t>Sexto Regidor.</w:t>
            </w:r>
          </w:p>
        </w:tc>
        <w:tc>
          <w:tcPr>
            <w:tcW w:w="1289" w:type="dxa"/>
            <w:tcBorders>
              <w:bottom w:val="nil"/>
            </w:tcBorders>
          </w:tcPr>
          <w:p>
            <w:pPr>
              <w:pStyle w:val="TableParagraph"/>
              <w:spacing w:line="251" w:lineRule="exact"/>
              <w:ind w:left="137" w:right="136"/>
              <w:jc w:val="center"/>
              <w:rPr>
                <w:sz w:val="22"/>
              </w:rPr>
            </w:pPr>
            <w:r>
              <w:rPr>
                <w:sz w:val="22"/>
              </w:rPr>
              <w:t>Atlacomul</w:t>
            </w:r>
          </w:p>
        </w:tc>
        <w:tc>
          <w:tcPr>
            <w:tcW w:w="1174" w:type="dxa"/>
            <w:tcBorders>
              <w:bottom w:val="nil"/>
            </w:tcBorders>
          </w:tcPr>
          <w:p>
            <w:pPr>
              <w:pStyle w:val="TableParagraph"/>
              <w:spacing w:line="251" w:lineRule="exact"/>
              <w:ind w:left="84" w:right="84"/>
              <w:jc w:val="center"/>
              <w:rPr>
                <w:sz w:val="22"/>
              </w:rPr>
            </w:pPr>
            <w:r>
              <w:rPr>
                <w:sz w:val="22"/>
              </w:rPr>
              <w:t>Timilpan</w:t>
            </w:r>
          </w:p>
        </w:tc>
        <w:tc>
          <w:tcPr>
            <w:tcW w:w="2314" w:type="dxa"/>
            <w:tcBorders>
              <w:bottom w:val="nil"/>
            </w:tcBorders>
          </w:tcPr>
          <w:p>
            <w:pPr>
              <w:pStyle w:val="TableParagraph"/>
              <w:tabs>
                <w:tab w:pos="1480" w:val="left" w:leader="none"/>
              </w:tabs>
              <w:spacing w:line="251" w:lineRule="exact"/>
              <w:ind w:left="100"/>
              <w:rPr>
                <w:sz w:val="22"/>
              </w:rPr>
            </w:pPr>
            <w:r>
              <w:rPr>
                <w:sz w:val="22"/>
              </w:rPr>
              <w:t>Primero</w:t>
              <w:tab/>
              <w:t>realizar</w:t>
            </w:r>
          </w:p>
        </w:tc>
        <w:tc>
          <w:tcPr>
            <w:tcW w:w="3901" w:type="dxa"/>
            <w:tcBorders>
              <w:bottom w:val="nil"/>
            </w:tcBorders>
          </w:tcPr>
          <w:p>
            <w:pPr>
              <w:pStyle w:val="TableParagraph"/>
              <w:tabs>
                <w:tab w:pos="2043" w:val="left" w:leader="none"/>
                <w:tab w:pos="2806" w:val="left" w:leader="none"/>
              </w:tabs>
              <w:spacing w:line="251" w:lineRule="exact"/>
              <w:rPr>
                <w:sz w:val="22"/>
              </w:rPr>
            </w:pPr>
            <w:r>
              <w:rPr>
                <w:sz w:val="22"/>
              </w:rPr>
              <w:t>Principalmente</w:t>
              <w:tab/>
              <w:t>las</w:t>
              <w:tab/>
              <w:t>instancias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Salazar</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Presidente  de la</w:t>
            </w:r>
          </w:p>
        </w:tc>
        <w:tc>
          <w:tcPr>
            <w:tcW w:w="1289" w:type="dxa"/>
            <w:tcBorders>
              <w:top w:val="nil"/>
              <w:bottom w:val="nil"/>
            </w:tcBorders>
          </w:tcPr>
          <w:p>
            <w:pPr>
              <w:pStyle w:val="TableParagraph"/>
              <w:spacing w:line="241" w:lineRule="exact"/>
              <w:ind w:left="136" w:right="136"/>
              <w:jc w:val="center"/>
              <w:rPr>
                <w:sz w:val="22"/>
              </w:rPr>
            </w:pPr>
            <w:r>
              <w:rPr>
                <w:sz w:val="22"/>
              </w:rPr>
              <w:t>co</w:t>
            </w: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alguna  planeación  o</w:t>
            </w:r>
          </w:p>
        </w:tc>
        <w:tc>
          <w:tcPr>
            <w:tcW w:w="3901" w:type="dxa"/>
            <w:tcBorders>
              <w:top w:val="nil"/>
              <w:bottom w:val="nil"/>
            </w:tcBorders>
          </w:tcPr>
          <w:p>
            <w:pPr>
              <w:pStyle w:val="TableParagraph"/>
              <w:spacing w:line="241" w:lineRule="exact"/>
              <w:rPr>
                <w:sz w:val="22"/>
              </w:rPr>
            </w:pPr>
            <w:r>
              <w:rPr>
                <w:sz w:val="22"/>
              </w:rPr>
              <w:t>reguladoras, las gubernamentales en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274" w:type="dxa"/>
            <w:tcBorders>
              <w:top w:val="nil"/>
              <w:bottom w:val="nil"/>
            </w:tcBorders>
          </w:tcPr>
          <w:p>
            <w:pPr>
              <w:pStyle w:val="TableParagraph"/>
              <w:spacing w:line="242" w:lineRule="exact"/>
              <w:ind w:left="100"/>
              <w:rPr>
                <w:sz w:val="22"/>
              </w:rPr>
            </w:pPr>
            <w:r>
              <w:rPr>
                <w:sz w:val="22"/>
              </w:rPr>
              <w:t>Educación</w:t>
            </w:r>
          </w:p>
        </w:tc>
        <w:tc>
          <w:tcPr>
            <w:tcW w:w="1887" w:type="dxa"/>
            <w:tcBorders>
              <w:top w:val="nil"/>
              <w:bottom w:val="nil"/>
            </w:tcBorders>
          </w:tcPr>
          <w:p>
            <w:pPr>
              <w:pStyle w:val="TableParagraph"/>
              <w:spacing w:line="242" w:lineRule="exact"/>
              <w:rPr>
                <w:sz w:val="22"/>
              </w:rPr>
            </w:pPr>
            <w:r>
              <w:rPr>
                <w:sz w:val="22"/>
              </w:rPr>
              <w:t>Comisión </w:t>
            </w:r>
            <w:r>
              <w:rPr>
                <w:spacing w:val="51"/>
                <w:sz w:val="22"/>
              </w:rPr>
              <w:t> </w:t>
            </w:r>
            <w:r>
              <w:rPr>
                <w:sz w:val="22"/>
              </w:rPr>
              <w:t>Agua,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8" w:val="left" w:leader="none"/>
              </w:tabs>
              <w:spacing w:line="242" w:lineRule="exact"/>
              <w:ind w:left="100"/>
              <w:rPr>
                <w:sz w:val="22"/>
              </w:rPr>
            </w:pPr>
            <w:r>
              <w:rPr>
                <w:sz w:val="22"/>
              </w:rPr>
              <w:t>proyecto</w:t>
              <w:tab/>
              <w:t>en</w:t>
            </w:r>
          </w:p>
        </w:tc>
        <w:tc>
          <w:tcPr>
            <w:tcW w:w="3901" w:type="dxa"/>
            <w:tcBorders>
              <w:top w:val="nil"/>
              <w:bottom w:val="nil"/>
            </w:tcBorders>
          </w:tcPr>
          <w:p>
            <w:pPr>
              <w:pStyle w:val="TableParagraph"/>
              <w:spacing w:line="242" w:lineRule="exact"/>
              <w:rPr>
                <w:sz w:val="22"/>
              </w:rPr>
            </w:pPr>
            <w:r>
              <w:rPr>
                <w:sz w:val="22"/>
              </w:rPr>
              <w:t>dar atención al cuerpo de agua.</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Primaria</w:t>
            </w:r>
          </w:p>
        </w:tc>
        <w:tc>
          <w:tcPr>
            <w:tcW w:w="1887" w:type="dxa"/>
            <w:tcBorders>
              <w:top w:val="nil"/>
              <w:bottom w:val="nil"/>
            </w:tcBorders>
          </w:tcPr>
          <w:p>
            <w:pPr>
              <w:pStyle w:val="TableParagraph"/>
              <w:tabs>
                <w:tab w:pos="1664" w:val="left" w:leader="none"/>
              </w:tabs>
              <w:spacing w:line="241" w:lineRule="exact"/>
              <w:rPr>
                <w:sz w:val="22"/>
              </w:rPr>
            </w:pPr>
            <w:r>
              <w:rPr>
                <w:sz w:val="22"/>
              </w:rPr>
              <w:t>Drenaje</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coordinación  con las</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(24/I/2015)</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Alcantarillado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8" w:val="left" w:leader="none"/>
              </w:tabs>
              <w:spacing w:line="241" w:lineRule="exact"/>
              <w:ind w:left="100"/>
              <w:rPr>
                <w:sz w:val="22"/>
              </w:rPr>
            </w:pPr>
            <w:r>
              <w:rPr>
                <w:sz w:val="22"/>
              </w:rPr>
              <w:t>instituciones</w:t>
              <w:tab/>
              <w:t>de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225" w:val="left" w:leader="none"/>
                <w:tab w:pos="2028" w:val="left" w:leader="none"/>
              </w:tabs>
              <w:spacing w:line="242" w:lineRule="exact"/>
              <w:ind w:left="100"/>
              <w:rPr>
                <w:sz w:val="22"/>
              </w:rPr>
            </w:pPr>
            <w:r>
              <w:rPr>
                <w:sz w:val="22"/>
              </w:rPr>
              <w:t>gobierno</w:t>
              <w:tab/>
              <w:t>como</w:t>
              <w:tab/>
              <w:t>la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Semarnat,  CNA, con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el  Distrito  de  Riego</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662" w:val="left" w:leader="none"/>
              </w:tabs>
              <w:spacing w:line="241" w:lineRule="exact"/>
              <w:ind w:left="100"/>
              <w:rPr>
                <w:sz w:val="22"/>
              </w:rPr>
            </w:pPr>
            <w:r>
              <w:rPr>
                <w:sz w:val="22"/>
              </w:rPr>
              <w:t>porque</w:t>
              <w:tab/>
              <w:t>como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municipio   no  puede</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tocar la laguna.</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Armando</w:t>
            </w:r>
          </w:p>
        </w:tc>
        <w:tc>
          <w:tcPr>
            <w:tcW w:w="1274" w:type="dxa"/>
            <w:tcBorders>
              <w:bottom w:val="nil"/>
            </w:tcBorders>
          </w:tcPr>
          <w:p>
            <w:pP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ind w:left="136" w:right="136"/>
              <w:jc w:val="center"/>
              <w:rPr>
                <w:sz w:val="22"/>
              </w:rPr>
            </w:pPr>
            <w:r>
              <w:rPr>
                <w:sz w:val="22"/>
              </w:rPr>
              <w:t>Barrio</w:t>
            </w:r>
          </w:p>
        </w:tc>
        <w:tc>
          <w:tcPr>
            <w:tcW w:w="1174" w:type="dxa"/>
            <w:tcBorders>
              <w:bottom w:val="nil"/>
            </w:tcBorders>
          </w:tcPr>
          <w:p>
            <w:pPr>
              <w:pStyle w:val="TableParagraph"/>
              <w:spacing w:line="251" w:lineRule="exact"/>
              <w:ind w:left="84" w:right="84"/>
              <w:jc w:val="center"/>
              <w:rPr>
                <w:sz w:val="22"/>
              </w:rPr>
            </w:pPr>
            <w:r>
              <w:rPr>
                <w:sz w:val="22"/>
              </w:rPr>
              <w:t>Timilpan</w:t>
            </w:r>
          </w:p>
        </w:tc>
        <w:tc>
          <w:tcPr>
            <w:tcW w:w="2314" w:type="dxa"/>
            <w:tcBorders>
              <w:bottom w:val="nil"/>
            </w:tcBorders>
          </w:tcPr>
          <w:p>
            <w:pPr>
              <w:pStyle w:val="TableParagraph"/>
              <w:tabs>
                <w:tab w:pos="1245" w:val="left" w:leader="none"/>
              </w:tabs>
              <w:spacing w:line="251" w:lineRule="exact"/>
              <w:ind w:left="100"/>
              <w:rPr>
                <w:sz w:val="22"/>
              </w:rPr>
            </w:pPr>
            <w:r>
              <w:rPr>
                <w:sz w:val="22"/>
              </w:rPr>
              <w:t>Haciendo</w:t>
              <w:tab/>
              <w:t>cárcamos</w:t>
            </w:r>
          </w:p>
        </w:tc>
        <w:tc>
          <w:tcPr>
            <w:tcW w:w="3901" w:type="dxa"/>
            <w:tcBorders>
              <w:bottom w:val="nil"/>
            </w:tcBorders>
          </w:tcPr>
          <w:p>
            <w:pPr>
              <w:pStyle w:val="TableParagraph"/>
              <w:spacing w:line="251" w:lineRule="exact"/>
              <w:rPr>
                <w:sz w:val="22"/>
              </w:rPr>
            </w:pPr>
            <w:r>
              <w:rPr>
                <w:sz w:val="22"/>
              </w:rPr>
              <w:t>Una participación de los tres   niveles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Matías</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Style w:val="TableParagraph"/>
              <w:spacing w:line="242" w:lineRule="exact"/>
              <w:ind w:left="135" w:right="136"/>
              <w:jc w:val="center"/>
              <w:rPr>
                <w:sz w:val="22"/>
              </w:rPr>
            </w:pPr>
            <w:r>
              <w:rPr>
                <w:sz w:val="22"/>
              </w:rPr>
              <w:t>Iturbide,</w:t>
            </w:r>
          </w:p>
        </w:tc>
        <w:tc>
          <w:tcPr>
            <w:tcW w:w="1174" w:type="dxa"/>
            <w:tcBorders>
              <w:top w:val="nil"/>
              <w:bottom w:val="nil"/>
            </w:tcBorders>
          </w:tcPr>
          <w:p>
            <w:pPr>
              <w:pStyle w:val="TableParagraph"/>
              <w:spacing w:line="242" w:lineRule="exact"/>
              <w:ind w:left="84" w:right="84"/>
              <w:jc w:val="center"/>
              <w:rPr>
                <w:sz w:val="22"/>
              </w:rPr>
            </w:pPr>
            <w:r>
              <w:rPr>
                <w:sz w:val="22"/>
              </w:rPr>
              <w:t>y Toluca</w:t>
            </w:r>
          </w:p>
        </w:tc>
        <w:tc>
          <w:tcPr>
            <w:tcW w:w="2314" w:type="dxa"/>
            <w:tcBorders>
              <w:top w:val="nil"/>
              <w:bottom w:val="nil"/>
            </w:tcBorders>
          </w:tcPr>
          <w:p>
            <w:pPr>
              <w:pStyle w:val="TableParagraph"/>
              <w:spacing w:line="242" w:lineRule="exact"/>
              <w:ind w:left="100"/>
              <w:rPr>
                <w:sz w:val="22"/>
              </w:rPr>
            </w:pPr>
            <w:r>
              <w:rPr>
                <w:sz w:val="22"/>
              </w:rPr>
              <w:t>o tratando el agua.</w:t>
            </w:r>
          </w:p>
        </w:tc>
        <w:tc>
          <w:tcPr>
            <w:tcW w:w="3901" w:type="dxa"/>
            <w:tcBorders>
              <w:top w:val="nil"/>
              <w:bottom w:val="nil"/>
            </w:tcBorders>
          </w:tcPr>
          <w:p>
            <w:pPr>
              <w:pStyle w:val="TableParagraph"/>
              <w:spacing w:line="242" w:lineRule="exact"/>
              <w:rPr>
                <w:sz w:val="22"/>
              </w:rPr>
            </w:pPr>
            <w:r>
              <w:rPr>
                <w:sz w:val="22"/>
              </w:rPr>
              <w:t>de gobierno y los ciudadanos.</w:t>
            </w:r>
          </w:p>
        </w:tc>
      </w:tr>
      <w:tr>
        <w:trPr>
          <w:trHeight w:val="379" w:hRule="exact"/>
        </w:trPr>
        <w:tc>
          <w:tcPr>
            <w:tcW w:w="1385" w:type="dxa"/>
            <w:tcBorders>
              <w:top w:val="nil"/>
              <w:bottom w:val="nil"/>
            </w:tcBorders>
          </w:tcPr>
          <w:p>
            <w:pPr>
              <w:pStyle w:val="TableParagraph"/>
              <w:spacing w:line="241" w:lineRule="exact"/>
              <w:ind w:right="127"/>
              <w:rPr>
                <w:sz w:val="22"/>
              </w:rPr>
            </w:pPr>
            <w:r>
              <w:rPr>
                <w:sz w:val="22"/>
              </w:rPr>
              <w:t>Lucas</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Agropecuario</w:t>
            </w:r>
          </w:p>
        </w:tc>
        <w:tc>
          <w:tcPr>
            <w:tcW w:w="1289" w:type="dxa"/>
            <w:tcBorders>
              <w:top w:val="nil"/>
              <w:bottom w:val="nil"/>
            </w:tcBorders>
          </w:tcPr>
          <w:p>
            <w:pPr>
              <w:pStyle w:val="TableParagraph"/>
              <w:spacing w:line="241" w:lineRule="exact"/>
              <w:ind w:left="136" w:right="136"/>
              <w:jc w:val="center"/>
              <w:rPr>
                <w:sz w:val="22"/>
              </w:rPr>
            </w:pPr>
            <w:r>
              <w:rPr>
                <w:sz w:val="22"/>
              </w:rPr>
              <w:t>Timilpan</w:t>
            </w: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375" w:hRule="exact"/>
        </w:trPr>
        <w:tc>
          <w:tcPr>
            <w:tcW w:w="1385" w:type="dxa"/>
            <w:tcBorders>
              <w:top w:val="nil"/>
            </w:tcBorders>
          </w:tcPr>
          <w:p>
            <w:pPr>
              <w:pStyle w:val="TableParagraph"/>
              <w:spacing w:before="115"/>
              <w:ind w:left="155"/>
              <w:rPr>
                <w:sz w:val="22"/>
              </w:rPr>
            </w:pPr>
            <w:r>
              <w:rPr>
                <w:sz w:val="22"/>
              </w:rPr>
              <w:t>(17/I/2015)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9" w:hRule="exact"/>
        </w:trPr>
        <w:tc>
          <w:tcPr>
            <w:tcW w:w="1385" w:type="dxa"/>
            <w:tcBorders>
              <w:bottom w:val="nil"/>
            </w:tcBorders>
          </w:tcPr>
          <w:p>
            <w:pPr>
              <w:pStyle w:val="TableParagraph"/>
              <w:rPr>
                <w:sz w:val="22"/>
              </w:rPr>
            </w:pPr>
            <w:r>
              <w:rPr>
                <w:sz w:val="22"/>
              </w:rPr>
              <w:t>Alfonso   de</w:t>
            </w:r>
          </w:p>
        </w:tc>
        <w:tc>
          <w:tcPr>
            <w:tcW w:w="1274" w:type="dxa"/>
            <w:tcBorders>
              <w:bottom w:val="nil"/>
            </w:tcBorders>
          </w:tcPr>
          <w:p>
            <w:pPr/>
          </w:p>
        </w:tc>
        <w:tc>
          <w:tcPr>
            <w:tcW w:w="1887" w:type="dxa"/>
            <w:tcBorders>
              <w:bottom w:val="nil"/>
            </w:tcBorders>
          </w:tcPr>
          <w:p>
            <w:pPr>
              <w:pStyle w:val="TableParagraph"/>
              <w:tabs>
                <w:tab w:pos="1527" w:val="left" w:leader="none"/>
              </w:tabs>
              <w:rPr>
                <w:sz w:val="22"/>
              </w:rPr>
            </w:pPr>
            <w:r>
              <w:rPr>
                <w:sz w:val="22"/>
              </w:rPr>
              <w:t>Director</w:t>
              <w:tab/>
              <w:t>de</w:t>
            </w:r>
          </w:p>
        </w:tc>
        <w:tc>
          <w:tcPr>
            <w:tcW w:w="1289" w:type="dxa"/>
            <w:tcBorders>
              <w:bottom w:val="nil"/>
            </w:tcBorders>
          </w:tcPr>
          <w:p>
            <w:pPr>
              <w:pStyle w:val="TableParagraph"/>
              <w:ind w:left="136" w:right="136"/>
              <w:jc w:val="center"/>
              <w:rPr>
                <w:sz w:val="22"/>
              </w:rPr>
            </w:pPr>
            <w:r>
              <w:rPr>
                <w:sz w:val="22"/>
              </w:rPr>
              <w:t>Timilpan</w:t>
            </w:r>
          </w:p>
        </w:tc>
        <w:tc>
          <w:tcPr>
            <w:tcW w:w="1174" w:type="dxa"/>
            <w:tcBorders>
              <w:bottom w:val="nil"/>
            </w:tcBorders>
          </w:tcPr>
          <w:p>
            <w:pPr>
              <w:pStyle w:val="TableParagraph"/>
              <w:ind w:left="84" w:right="84"/>
              <w:jc w:val="center"/>
              <w:rPr>
                <w:sz w:val="22"/>
              </w:rPr>
            </w:pPr>
            <w:r>
              <w:rPr>
                <w:sz w:val="22"/>
              </w:rPr>
              <w:t>Timilpan</w:t>
            </w:r>
          </w:p>
        </w:tc>
        <w:tc>
          <w:tcPr>
            <w:tcW w:w="2314" w:type="dxa"/>
            <w:tcBorders>
              <w:bottom w:val="nil"/>
            </w:tcBorders>
          </w:tcPr>
          <w:p>
            <w:pPr>
              <w:pStyle w:val="TableParagraph"/>
              <w:tabs>
                <w:tab w:pos="2077" w:val="left" w:leader="none"/>
              </w:tabs>
              <w:ind w:left="100"/>
              <w:rPr>
                <w:sz w:val="22"/>
              </w:rPr>
            </w:pPr>
            <w:r>
              <w:rPr>
                <w:sz w:val="22"/>
              </w:rPr>
              <w:t>Concientizar</w:t>
              <w:tab/>
              <w:t>o</w:t>
            </w:r>
          </w:p>
        </w:tc>
        <w:tc>
          <w:tcPr>
            <w:tcW w:w="3901" w:type="dxa"/>
            <w:tcBorders>
              <w:bottom w:val="nil"/>
            </w:tcBorders>
          </w:tcPr>
          <w:p>
            <w:pPr>
              <w:pStyle w:val="TableParagraph"/>
              <w:rPr>
                <w:sz w:val="22"/>
              </w:rPr>
            </w:pPr>
            <w:r>
              <w:rPr>
                <w:sz w:val="22"/>
              </w:rPr>
              <w:t>Timilpan, pero hay concesionarios en</w:t>
            </w:r>
          </w:p>
        </w:tc>
      </w:tr>
      <w:tr>
        <w:trPr>
          <w:trHeight w:val="252" w:hRule="exact"/>
        </w:trPr>
        <w:tc>
          <w:tcPr>
            <w:tcW w:w="1385" w:type="dxa"/>
            <w:tcBorders>
              <w:top w:val="nil"/>
              <w:bottom w:val="nil"/>
            </w:tcBorders>
          </w:tcPr>
          <w:p>
            <w:pPr>
              <w:pStyle w:val="TableParagraph"/>
              <w:tabs>
                <w:tab w:pos="805" w:val="left" w:leader="none"/>
              </w:tabs>
              <w:spacing w:line="241" w:lineRule="exact"/>
              <w:rPr>
                <w:sz w:val="22"/>
              </w:rPr>
            </w:pPr>
            <w:r>
              <w:rPr>
                <w:sz w:val="22"/>
              </w:rPr>
              <w:t>la</w:t>
              <w:tab/>
              <w:t>Cruz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realizar   pláticas   en</w:t>
            </w:r>
          </w:p>
        </w:tc>
        <w:tc>
          <w:tcPr>
            <w:tcW w:w="3901" w:type="dxa"/>
            <w:tcBorders>
              <w:top w:val="nil"/>
              <w:bottom w:val="nil"/>
            </w:tcBorders>
          </w:tcPr>
          <w:p>
            <w:pPr>
              <w:pStyle w:val="TableParagraph"/>
              <w:spacing w:line="241" w:lineRule="exact"/>
              <w:rPr>
                <w:sz w:val="22"/>
              </w:rPr>
            </w:pPr>
            <w:r>
              <w:rPr>
                <w:sz w:val="22"/>
              </w:rPr>
              <w:t>Aculco, Polo, Querétaro; porque ellos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Andrés</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83" w:val="left" w:leader="none"/>
              </w:tabs>
              <w:spacing w:line="241" w:lineRule="exact"/>
              <w:ind w:left="100"/>
              <w:rPr>
                <w:sz w:val="22"/>
              </w:rPr>
            </w:pPr>
            <w:r>
              <w:rPr>
                <w:sz w:val="22"/>
              </w:rPr>
              <w:t>las</w:t>
              <w:tab/>
              <w:t>comunidades  </w:t>
            </w:r>
            <w:r>
              <w:rPr>
                <w:spacing w:val="15"/>
                <w:sz w:val="22"/>
              </w:rPr>
              <w:t> </w:t>
            </w:r>
            <w:r>
              <w:rPr>
                <w:sz w:val="22"/>
              </w:rPr>
              <w:t>y</w:t>
            </w:r>
          </w:p>
        </w:tc>
        <w:tc>
          <w:tcPr>
            <w:tcW w:w="3901" w:type="dxa"/>
            <w:tcBorders>
              <w:top w:val="nil"/>
              <w:bottom w:val="nil"/>
            </w:tcBorders>
          </w:tcPr>
          <w:p>
            <w:pPr>
              <w:pStyle w:val="TableParagraph"/>
              <w:spacing w:line="241" w:lineRule="exact"/>
              <w:rPr>
                <w:sz w:val="22"/>
              </w:rPr>
            </w:pPr>
            <w:r>
              <w:rPr>
                <w:sz w:val="22"/>
              </w:rPr>
              <w:t>se llevan el agua.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escuelas  para  crear</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(13/I/2015)</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conciencia  y realizar</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761" w:val="left" w:leader="none"/>
              </w:tabs>
              <w:spacing w:line="242" w:lineRule="exact"/>
              <w:ind w:left="100"/>
              <w:rPr>
                <w:sz w:val="22"/>
              </w:rPr>
            </w:pPr>
            <w:r>
              <w:rPr>
                <w:sz w:val="22"/>
              </w:rPr>
              <w:t>brigadas</w:t>
              <w:tab/>
              <w:t>para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recolectar   basura  y</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pet.</w:t>
            </w:r>
          </w:p>
        </w:tc>
        <w:tc>
          <w:tcPr>
            <w:tcW w:w="3901" w:type="dxa"/>
            <w:tcBorders>
              <w:top w:val="nil"/>
            </w:tcBorders>
          </w:tcPr>
          <w:p>
            <w:pPr/>
          </w:p>
        </w:tc>
      </w:tr>
    </w:tbl>
    <w:p>
      <w:pPr>
        <w:pStyle w:val="BodyText"/>
        <w:spacing w:line="249"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4"/>
        <w:ind w:left="2270" w:right="778"/>
      </w:pPr>
      <w:r>
        <w:rPr/>
        <w:t>Tabla 6.13. Municipio de Timilpan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7"/>
        <w:gridCol w:w="8677"/>
      </w:tblGrid>
      <w:tr>
        <w:trPr>
          <w:trHeight w:val="290" w:hRule="exact"/>
        </w:trPr>
        <w:tc>
          <w:tcPr>
            <w:tcW w:w="13224" w:type="dxa"/>
            <w:gridSpan w:val="2"/>
            <w:shd w:val="clear" w:color="auto" w:fill="9BBA58"/>
          </w:tcPr>
          <w:p>
            <w:pPr>
              <w:pStyle w:val="TableParagraph"/>
              <w:spacing w:line="248" w:lineRule="exact"/>
              <w:ind w:left="4869" w:right="4870"/>
              <w:jc w:val="center"/>
              <w:rPr>
                <w:b/>
                <w:sz w:val="22"/>
              </w:rPr>
            </w:pPr>
            <w:r>
              <w:rPr>
                <w:b/>
                <w:sz w:val="22"/>
              </w:rPr>
              <w:t>TIMILPAN</w:t>
            </w:r>
          </w:p>
        </w:tc>
      </w:tr>
      <w:tr>
        <w:trPr>
          <w:trHeight w:val="526" w:hRule="exact"/>
        </w:trPr>
        <w:tc>
          <w:tcPr>
            <w:tcW w:w="4547" w:type="dxa"/>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shd w:val="clear" w:color="auto" w:fill="92CDDC"/>
          </w:tcPr>
          <w:p>
            <w:pPr>
              <w:pStyle w:val="TableParagraph"/>
              <w:spacing w:before="8"/>
              <w:ind w:left="0"/>
              <w:rPr>
                <w:b/>
                <w:sz w:val="21"/>
              </w:rPr>
            </w:pPr>
          </w:p>
          <w:p>
            <w:pPr>
              <w:pStyle w:val="TableParagraph"/>
              <w:ind w:left="2695"/>
              <w:rPr>
                <w:b/>
                <w:sz w:val="22"/>
              </w:rPr>
            </w:pPr>
            <w:r>
              <w:rPr>
                <w:b/>
                <w:sz w:val="22"/>
              </w:rPr>
              <w:t>PRINCIPIOS DE GOBERNANZA</w:t>
            </w:r>
          </w:p>
        </w:tc>
      </w:tr>
    </w:tbl>
    <w:p>
      <w:pPr>
        <w:spacing w:after="0"/>
        <w:rPr>
          <w:sz w:val="22"/>
        </w:rPr>
        <w:sectPr>
          <w:pgSz w:w="15840" w:h="12240" w:orient="landscape"/>
          <w:pgMar w:header="0" w:footer="1003" w:top="1140" w:bottom="120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62" w:hRule="exact"/>
        </w:trPr>
        <w:tc>
          <w:tcPr>
            <w:tcW w:w="4547" w:type="dxa"/>
            <w:gridSpan w:val="3"/>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Autogestión</w:t>
            </w:r>
          </w:p>
        </w:tc>
        <w:tc>
          <w:tcPr>
            <w:tcW w:w="3901" w:type="dxa"/>
            <w:shd w:val="clear" w:color="auto" w:fill="92CDDC"/>
          </w:tcPr>
          <w:p>
            <w:pPr>
              <w:pStyle w:val="TableParagraph"/>
              <w:spacing w:line="251" w:lineRule="exact"/>
              <w:rPr>
                <w:b/>
                <w:i/>
                <w:sz w:val="22"/>
              </w:rPr>
            </w:pPr>
            <w:r>
              <w:rPr>
                <w:b/>
                <w:i/>
                <w:sz w:val="22"/>
              </w:rPr>
              <w:t>Gobernabilidad</w:t>
            </w:r>
          </w:p>
        </w:tc>
      </w:tr>
      <w:tr>
        <w:trPr>
          <w:trHeight w:val="265"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spacing w:line="248" w:lineRule="exact"/>
              <w:ind w:left="100"/>
              <w:rPr>
                <w:b/>
                <w:sz w:val="22"/>
              </w:rPr>
            </w:pPr>
            <w:r>
              <w:rPr>
                <w:b/>
                <w:sz w:val="22"/>
              </w:rPr>
              <w:t>¿Es   importante   la</w:t>
            </w:r>
          </w:p>
        </w:tc>
        <w:tc>
          <w:tcPr>
            <w:tcW w:w="3901" w:type="dxa"/>
            <w:tcBorders>
              <w:bottom w:val="nil"/>
            </w:tcBorders>
            <w:shd w:val="clear" w:color="auto" w:fill="92CDDC"/>
          </w:tcPr>
          <w:p>
            <w:pPr>
              <w:pStyle w:val="TableParagraph"/>
              <w:spacing w:line="248" w:lineRule="exact"/>
              <w:rPr>
                <w:b/>
                <w:sz w:val="22"/>
              </w:rPr>
            </w:pPr>
            <w:r>
              <w:rPr>
                <w:b/>
                <w:sz w:val="22"/>
              </w:rPr>
              <w:t>¿Quiénes y para qué usan el agua</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2"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2" w:lineRule="exact"/>
              <w:rPr>
                <w:b/>
                <w:sz w:val="22"/>
              </w:rPr>
            </w:pPr>
            <w:r>
              <w:rPr>
                <w:b/>
                <w:sz w:val="22"/>
              </w:rPr>
              <w:t>nació?</w:t>
            </w:r>
          </w:p>
        </w:tc>
        <w:tc>
          <w:tcPr>
            <w:tcW w:w="1174" w:type="dxa"/>
            <w:tcBorders>
              <w:top w:val="nil"/>
              <w:bottom w:val="nil"/>
            </w:tcBorders>
            <w:shd w:val="clear" w:color="auto" w:fill="92CDDC"/>
          </w:tcPr>
          <w:p>
            <w:pPr>
              <w:pStyle w:val="TableParagraph"/>
              <w:spacing w:line="242" w:lineRule="exact"/>
              <w:rPr>
                <w:b/>
                <w:sz w:val="22"/>
              </w:rPr>
            </w:pPr>
            <w:r>
              <w:rPr>
                <w:b/>
                <w:sz w:val="22"/>
              </w:rPr>
              <w:t>vive?</w:t>
            </w:r>
          </w:p>
        </w:tc>
        <w:tc>
          <w:tcPr>
            <w:tcW w:w="2314" w:type="dxa"/>
            <w:tcBorders>
              <w:top w:val="nil"/>
              <w:bottom w:val="nil"/>
            </w:tcBorders>
            <w:shd w:val="clear" w:color="auto" w:fill="92CDDC"/>
          </w:tcPr>
          <w:p>
            <w:pPr>
              <w:pStyle w:val="TableParagraph"/>
              <w:tabs>
                <w:tab w:pos="1945" w:val="left" w:leader="none"/>
              </w:tabs>
              <w:spacing w:line="242"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2" w:lineRule="exact"/>
              <w:rPr>
                <w:b/>
                <w:sz w:val="22"/>
              </w:rPr>
            </w:pPr>
            <w:r>
              <w:rPr>
                <w:b/>
                <w:sz w:val="22"/>
              </w:rPr>
              <w:t>de la laguna de Huapango?</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1" w:lineRule="exact"/>
              <w:ind w:left="100"/>
              <w:rPr>
                <w:b/>
                <w:sz w:val="22"/>
              </w:rPr>
            </w:pPr>
            <w:r>
              <w:rPr>
                <w:b/>
                <w:sz w:val="22"/>
              </w:rPr>
              <w:t>Huapango  para </w:t>
            </w:r>
            <w:r>
              <w:rPr>
                <w:b/>
                <w:spacing w:val="55"/>
                <w:sz w:val="22"/>
              </w:rPr>
              <w:t> </w:t>
            </w:r>
            <w:r>
              <w:rPr>
                <w:b/>
                <w:sz w:val="22"/>
              </w:rPr>
              <w:t>su</w:t>
            </w:r>
          </w:p>
        </w:tc>
        <w:tc>
          <w:tcPr>
            <w:tcW w:w="3901" w:type="dxa"/>
            <w:tcBorders>
              <w:top w:val="nil"/>
              <w:bottom w:val="nil"/>
            </w:tcBorders>
            <w:shd w:val="clear" w:color="auto" w:fill="92CDDC"/>
          </w:tcPr>
          <w:p>
            <w:pP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518" w:val="left" w:leader="none"/>
                <w:tab w:pos="2015" w:val="left" w:leader="none"/>
              </w:tabs>
              <w:spacing w:line="242" w:lineRule="exact"/>
              <w:ind w:left="100"/>
              <w:rPr>
                <w:b/>
                <w:sz w:val="22"/>
              </w:rPr>
            </w:pPr>
            <w:r>
              <w:rPr>
                <w:b/>
                <w:sz w:val="22"/>
              </w:rPr>
              <w:t>municipio</w:t>
              <w:tab/>
              <w:t>y</w:t>
              <w:tab/>
              <w:t>la</w:t>
            </w:r>
          </w:p>
        </w:tc>
        <w:tc>
          <w:tcPr>
            <w:tcW w:w="3901"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región?</w:t>
            </w:r>
          </w:p>
        </w:tc>
        <w:tc>
          <w:tcPr>
            <w:tcW w:w="3901" w:type="dxa"/>
            <w:tcBorders>
              <w:top w:val="nil"/>
            </w:tcBorders>
            <w:shd w:val="clear" w:color="auto" w:fill="92CDDC"/>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Oscar</w:t>
            </w:r>
          </w:p>
        </w:tc>
        <w:tc>
          <w:tcPr>
            <w:tcW w:w="1274" w:type="dxa"/>
            <w:tcBorders>
              <w:bottom w:val="nil"/>
            </w:tcBorders>
          </w:tcPr>
          <w:p>
            <w:pPr>
              <w:pStyle w:val="TableParagraph"/>
              <w:spacing w:line="251" w:lineRule="exact"/>
              <w:ind w:left="100"/>
              <w:rPr>
                <w:sz w:val="22"/>
              </w:rPr>
            </w:pPr>
            <w:r>
              <w:rPr>
                <w:sz w:val="22"/>
              </w:rPr>
              <w:t>Preparator</w:t>
            </w:r>
          </w:p>
        </w:tc>
        <w:tc>
          <w:tcPr>
            <w:tcW w:w="1887" w:type="dxa"/>
            <w:tcBorders>
              <w:bottom w:val="nil"/>
            </w:tcBorders>
          </w:tcPr>
          <w:p>
            <w:pPr>
              <w:pStyle w:val="TableParagraph"/>
              <w:spacing w:line="251" w:lineRule="exact"/>
              <w:ind w:left="410"/>
              <w:rPr>
                <w:sz w:val="22"/>
              </w:rPr>
            </w:pPr>
            <w:r>
              <w:rPr>
                <w:sz w:val="22"/>
              </w:rPr>
              <w:t>Presidente</w:t>
            </w:r>
          </w:p>
        </w:tc>
        <w:tc>
          <w:tcPr>
            <w:tcW w:w="1289" w:type="dxa"/>
            <w:tcBorders>
              <w:bottom w:val="nil"/>
            </w:tcBorders>
          </w:tcPr>
          <w:p>
            <w:pPr>
              <w:pStyle w:val="TableParagraph"/>
              <w:spacing w:line="251" w:lineRule="exact"/>
              <w:rPr>
                <w:sz w:val="22"/>
              </w:rPr>
            </w:pPr>
            <w:r>
              <w:rPr>
                <w:sz w:val="22"/>
              </w:rPr>
              <w:t>Timilpan</w:t>
            </w:r>
          </w:p>
        </w:tc>
        <w:tc>
          <w:tcPr>
            <w:tcW w:w="1174" w:type="dxa"/>
            <w:tcBorders>
              <w:bottom w:val="nil"/>
            </w:tcBorders>
          </w:tcPr>
          <w:p>
            <w:pPr>
              <w:pStyle w:val="TableParagraph"/>
              <w:spacing w:line="251" w:lineRule="exact"/>
              <w:rPr>
                <w:sz w:val="22"/>
              </w:rPr>
            </w:pPr>
            <w:r>
              <w:rPr>
                <w:sz w:val="22"/>
              </w:rPr>
              <w:t>Timilpan</w:t>
            </w:r>
          </w:p>
        </w:tc>
        <w:tc>
          <w:tcPr>
            <w:tcW w:w="2314" w:type="dxa"/>
            <w:tcBorders>
              <w:bottom w:val="nil"/>
            </w:tcBorders>
          </w:tcPr>
          <w:p>
            <w:pPr>
              <w:pStyle w:val="TableParagraph"/>
              <w:tabs>
                <w:tab w:pos="820" w:val="left" w:leader="none"/>
                <w:tab w:pos="1957" w:val="left" w:leader="none"/>
              </w:tabs>
              <w:spacing w:line="251" w:lineRule="exact"/>
              <w:ind w:left="100"/>
              <w:rPr>
                <w:sz w:val="22"/>
              </w:rPr>
            </w:pPr>
            <w:r>
              <w:rPr>
                <w:sz w:val="22"/>
              </w:rPr>
              <w:t>La</w:t>
              <w:tab/>
              <w:t>laguna</w:t>
              <w:tab/>
              <w:t>de</w:t>
            </w:r>
          </w:p>
        </w:tc>
        <w:tc>
          <w:tcPr>
            <w:tcW w:w="3901" w:type="dxa"/>
            <w:tcBorders>
              <w:bottom w:val="nil"/>
            </w:tcBorders>
          </w:tcPr>
          <w:p>
            <w:pPr>
              <w:pStyle w:val="TableParagraph"/>
              <w:spacing w:line="251" w:lineRule="exact"/>
              <w:rPr>
                <w:sz w:val="22"/>
              </w:rPr>
            </w:pPr>
            <w:r>
              <w:rPr>
                <w:sz w:val="22"/>
              </w:rPr>
              <w:t>El agua la utilizan los habitantes   del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274" w:type="dxa"/>
            <w:tcBorders>
              <w:top w:val="nil"/>
              <w:bottom w:val="nil"/>
            </w:tcBorders>
          </w:tcPr>
          <w:p>
            <w:pPr>
              <w:pStyle w:val="TableParagraph"/>
              <w:spacing w:line="241" w:lineRule="exact"/>
              <w:ind w:left="100" w:right="98"/>
              <w:rPr>
                <w:sz w:val="22"/>
              </w:rPr>
            </w:pPr>
            <w:r>
              <w:rPr>
                <w:sz w:val="22"/>
              </w:rPr>
              <w:t>ia y</w:t>
            </w: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883" w:val="left" w:leader="none"/>
              </w:tabs>
              <w:spacing w:line="241" w:lineRule="exact"/>
              <w:ind w:left="100"/>
              <w:rPr>
                <w:sz w:val="22"/>
              </w:rPr>
            </w:pPr>
            <w:r>
              <w:rPr>
                <w:sz w:val="22"/>
              </w:rPr>
              <w:t>Huapango</w:t>
              <w:tab/>
              <w:t>por</w:t>
            </w:r>
          </w:p>
        </w:tc>
        <w:tc>
          <w:tcPr>
            <w:tcW w:w="3901" w:type="dxa"/>
            <w:tcBorders>
              <w:top w:val="nil"/>
              <w:bottom w:val="nil"/>
            </w:tcBorders>
          </w:tcPr>
          <w:p>
            <w:pPr>
              <w:pStyle w:val="TableParagraph"/>
              <w:spacing w:line="241" w:lineRule="exact"/>
              <w:rPr>
                <w:sz w:val="22"/>
              </w:rPr>
            </w:pPr>
            <w:r>
              <w:rPr>
                <w:sz w:val="22"/>
              </w:rPr>
              <w:t>estado de Querétaro para riego y   en</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Ruíz</w:t>
            </w:r>
          </w:p>
        </w:tc>
        <w:tc>
          <w:tcPr>
            <w:tcW w:w="1274" w:type="dxa"/>
            <w:tcBorders>
              <w:top w:val="nil"/>
              <w:bottom w:val="nil"/>
            </w:tcBorders>
          </w:tcPr>
          <w:p>
            <w:pPr>
              <w:pStyle w:val="TableParagraph"/>
              <w:spacing w:line="243" w:lineRule="exact"/>
              <w:ind w:left="100" w:right="98"/>
              <w:rPr>
                <w:sz w:val="22"/>
              </w:rPr>
            </w:pPr>
            <w:r>
              <w:rPr>
                <w:sz w:val="22"/>
              </w:rPr>
              <w:t>carrera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26" w:val="left" w:leader="none"/>
                <w:tab w:pos="1969" w:val="left" w:leader="none"/>
              </w:tabs>
              <w:spacing w:line="243" w:lineRule="exact"/>
              <w:ind w:left="100"/>
              <w:rPr>
                <w:sz w:val="22"/>
              </w:rPr>
            </w:pPr>
            <w:r>
              <w:rPr>
                <w:sz w:val="22"/>
              </w:rPr>
              <w:t>supuesto!</w:t>
              <w:tab/>
              <w:t>que</w:t>
              <w:tab/>
              <w:t>es</w:t>
            </w:r>
          </w:p>
        </w:tc>
        <w:tc>
          <w:tcPr>
            <w:tcW w:w="3901" w:type="dxa"/>
            <w:tcBorders>
              <w:top w:val="nil"/>
              <w:bottom w:val="nil"/>
            </w:tcBorders>
          </w:tcPr>
          <w:p>
            <w:pPr>
              <w:pStyle w:val="TableParagraph"/>
              <w:tabs>
                <w:tab w:pos="595" w:val="left" w:leader="none"/>
                <w:tab w:pos="1845" w:val="left" w:leader="none"/>
                <w:tab w:pos="2656" w:val="left" w:leader="none"/>
                <w:tab w:pos="3100" w:val="left" w:leader="none"/>
              </w:tabs>
              <w:spacing w:line="243" w:lineRule="exact"/>
              <w:rPr>
                <w:sz w:val="22"/>
              </w:rPr>
            </w:pPr>
            <w:r>
              <w:rPr>
                <w:sz w:val="22"/>
              </w:rPr>
              <w:t>el</w:t>
              <w:tab/>
              <w:t>municipio</w:t>
              <w:tab/>
              <w:t>nada</w:t>
              <w:tab/>
              <w:t>e</w:t>
              <w:tab/>
              <w:t>incluso</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técnica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41" w:val="left" w:leader="none"/>
              </w:tabs>
              <w:spacing w:line="241" w:lineRule="exact"/>
              <w:ind w:left="100"/>
              <w:rPr>
                <w:sz w:val="22"/>
              </w:rPr>
            </w:pPr>
            <w:r>
              <w:rPr>
                <w:sz w:val="22"/>
              </w:rPr>
              <w:t>importante</w:t>
              <w:tab/>
              <w:t>para </w:t>
            </w:r>
            <w:r>
              <w:rPr>
                <w:spacing w:val="23"/>
                <w:sz w:val="22"/>
              </w:rPr>
              <w:t> </w:t>
            </w:r>
            <w:r>
              <w:rPr>
                <w:sz w:val="22"/>
              </w:rPr>
              <w:t>el</w:t>
            </w:r>
          </w:p>
        </w:tc>
        <w:tc>
          <w:tcPr>
            <w:tcW w:w="3901" w:type="dxa"/>
            <w:tcBorders>
              <w:top w:val="nil"/>
              <w:bottom w:val="nil"/>
            </w:tcBorders>
          </w:tcPr>
          <w:p>
            <w:pPr>
              <w:pStyle w:val="TableParagraph"/>
              <w:spacing w:line="241" w:lineRule="exact"/>
              <w:rPr>
                <w:sz w:val="22"/>
              </w:rPr>
            </w:pPr>
            <w:r>
              <w:rPr>
                <w:sz w:val="22"/>
              </w:rPr>
              <w:t>sancionan a la gente del municipio.</w:t>
            </w:r>
          </w:p>
        </w:tc>
      </w:tr>
      <w:tr>
        <w:trPr>
          <w:trHeight w:val="253" w:hRule="exact"/>
        </w:trPr>
        <w:tc>
          <w:tcPr>
            <w:tcW w:w="1385" w:type="dxa"/>
            <w:tcBorders>
              <w:top w:val="nil"/>
              <w:bottom w:val="nil"/>
            </w:tcBorders>
          </w:tcPr>
          <w:p>
            <w:pPr>
              <w:pStyle w:val="TableParagraph"/>
              <w:spacing w:line="241" w:lineRule="exact"/>
              <w:rPr>
                <w:sz w:val="22"/>
              </w:rPr>
            </w:pPr>
            <w:r>
              <w:rPr>
                <w:sz w:val="22"/>
              </w:rPr>
              <w:t>(24/II/2014)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municipio y la  región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porque ahí se  podría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15" w:val="left" w:leader="none"/>
                <w:tab w:pos="2090" w:val="left" w:leader="none"/>
              </w:tabs>
              <w:spacing w:line="241" w:lineRule="exact"/>
              <w:ind w:left="100"/>
              <w:rPr>
                <w:sz w:val="22"/>
              </w:rPr>
            </w:pPr>
            <w:r>
              <w:rPr>
                <w:sz w:val="22"/>
              </w:rPr>
              <w:t>generar</w:t>
              <w:tab/>
              <w:t>turismo</w:t>
              <w:tab/>
              <w:t>y</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053" w:val="left" w:leader="none"/>
                <w:tab w:pos="1833" w:val="left" w:leader="none"/>
              </w:tabs>
              <w:spacing w:line="242" w:lineRule="exact"/>
              <w:ind w:left="100"/>
              <w:rPr>
                <w:sz w:val="22"/>
              </w:rPr>
            </w:pPr>
            <w:r>
              <w:rPr>
                <w:sz w:val="22"/>
              </w:rPr>
              <w:t>pesca</w:t>
              <w:tab/>
              <w:t>más</w:t>
              <w:tab/>
              <w:t>que</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58" w:val="left" w:leader="none"/>
                <w:tab w:pos="1832" w:val="left" w:leader="none"/>
              </w:tabs>
              <w:spacing w:line="241" w:lineRule="exact"/>
              <w:ind w:left="100"/>
              <w:rPr>
                <w:sz w:val="22"/>
              </w:rPr>
            </w:pPr>
            <w:r>
              <w:rPr>
                <w:sz w:val="22"/>
              </w:rPr>
              <w:t>nada,</w:t>
              <w:tab/>
              <w:t>lo</w:t>
              <w:tab/>
              <w:t>que</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generaría empleos.</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Rincón de</w:t>
            </w:r>
          </w:p>
        </w:tc>
        <w:tc>
          <w:tcPr>
            <w:tcW w:w="1174" w:type="dxa"/>
            <w:tcBorders>
              <w:bottom w:val="nil"/>
            </w:tcBorders>
          </w:tcPr>
          <w:p>
            <w:pPr>
              <w:pStyle w:val="TableParagraph"/>
              <w:spacing w:line="251" w:lineRule="exact"/>
              <w:rPr>
                <w:sz w:val="22"/>
              </w:rPr>
            </w:pPr>
            <w:r>
              <w:rPr>
                <w:sz w:val="22"/>
              </w:rPr>
              <w:t>Rincón</w:t>
            </w:r>
          </w:p>
        </w:tc>
        <w:tc>
          <w:tcPr>
            <w:tcW w:w="2314" w:type="dxa"/>
            <w:tcBorders>
              <w:bottom w:val="nil"/>
            </w:tcBorders>
          </w:tcPr>
          <w:p>
            <w:pPr>
              <w:pStyle w:val="TableParagraph"/>
              <w:tabs>
                <w:tab w:pos="599" w:val="left" w:leader="none"/>
                <w:tab w:pos="1578" w:val="left" w:leader="none"/>
                <w:tab w:pos="2028" w:val="left" w:leader="none"/>
              </w:tabs>
              <w:spacing w:line="251" w:lineRule="exact"/>
              <w:ind w:left="100"/>
              <w:rPr>
                <w:sz w:val="22"/>
              </w:rPr>
            </w:pPr>
            <w:r>
              <w:rPr>
                <w:sz w:val="22"/>
              </w:rPr>
              <w:t>Sí</w:t>
              <w:tab/>
              <w:t>porque</w:t>
              <w:tab/>
              <w:t>si</w:t>
              <w:tab/>
              <w:t>el</w:t>
            </w:r>
          </w:p>
        </w:tc>
        <w:tc>
          <w:tcPr>
            <w:tcW w:w="3901" w:type="dxa"/>
            <w:tcBorders>
              <w:bottom w:val="nil"/>
            </w:tcBorders>
          </w:tcPr>
          <w:p>
            <w:pPr>
              <w:pStyle w:val="TableParagraph"/>
              <w:spacing w:line="251" w:lineRule="exact"/>
              <w:rPr>
                <w:sz w:val="22"/>
              </w:rPr>
            </w:pPr>
            <w:r>
              <w:rPr>
                <w:sz w:val="22"/>
              </w:rPr>
              <w:t>El sistema de riego de la cuenca San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Ruiz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Presidente de la</w:t>
            </w:r>
          </w:p>
        </w:tc>
        <w:tc>
          <w:tcPr>
            <w:tcW w:w="1289" w:type="dxa"/>
            <w:tcBorders>
              <w:top w:val="nil"/>
              <w:bottom w:val="nil"/>
            </w:tcBorders>
          </w:tcPr>
          <w:p>
            <w:pPr>
              <w:pStyle w:val="TableParagraph"/>
              <w:spacing w:line="241" w:lineRule="exact"/>
              <w:rPr>
                <w:sz w:val="22"/>
              </w:rPr>
            </w:pPr>
            <w:r>
              <w:rPr>
                <w:sz w:val="22"/>
              </w:rPr>
              <w:t>Bucio,</w:t>
            </w:r>
          </w:p>
        </w:tc>
        <w:tc>
          <w:tcPr>
            <w:tcW w:w="1174" w:type="dxa"/>
            <w:tcBorders>
              <w:top w:val="nil"/>
              <w:bottom w:val="nil"/>
            </w:tcBorders>
          </w:tcPr>
          <w:p>
            <w:pPr>
              <w:pStyle w:val="TableParagraph"/>
              <w:spacing w:line="241" w:lineRule="exact"/>
              <w:rPr>
                <w:sz w:val="22"/>
              </w:rPr>
            </w:pPr>
            <w:r>
              <w:rPr>
                <w:sz w:val="22"/>
              </w:rPr>
              <w:t>de Bucio,</w:t>
            </w:r>
          </w:p>
        </w:tc>
        <w:tc>
          <w:tcPr>
            <w:tcW w:w="2314" w:type="dxa"/>
            <w:tcBorders>
              <w:top w:val="nil"/>
              <w:bottom w:val="nil"/>
            </w:tcBorders>
          </w:tcPr>
          <w:p>
            <w:pPr>
              <w:pStyle w:val="TableParagraph"/>
              <w:spacing w:line="241" w:lineRule="exact"/>
              <w:ind w:left="100"/>
              <w:rPr>
                <w:sz w:val="22"/>
              </w:rPr>
            </w:pPr>
            <w:r>
              <w:rPr>
                <w:sz w:val="22"/>
              </w:rPr>
              <w:t>municipio   tuviera  la</w:t>
            </w:r>
          </w:p>
        </w:tc>
        <w:tc>
          <w:tcPr>
            <w:tcW w:w="3901" w:type="dxa"/>
            <w:tcBorders>
              <w:top w:val="nil"/>
              <w:bottom w:val="nil"/>
            </w:tcBorders>
          </w:tcPr>
          <w:p>
            <w:pPr>
              <w:pStyle w:val="TableParagraph"/>
              <w:spacing w:line="241" w:lineRule="exact"/>
              <w:rPr>
                <w:sz w:val="22"/>
              </w:rPr>
            </w:pPr>
            <w:r>
              <w:rPr>
                <w:sz w:val="22"/>
              </w:rPr>
              <w:t>Juan.</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Martínez</w:t>
            </w:r>
          </w:p>
        </w:tc>
        <w:tc>
          <w:tcPr>
            <w:tcW w:w="1274" w:type="dxa"/>
            <w:tcBorders>
              <w:top w:val="nil"/>
              <w:bottom w:val="nil"/>
            </w:tcBorders>
          </w:tcPr>
          <w:p>
            <w:pPr>
              <w:pStyle w:val="TableParagraph"/>
              <w:spacing w:line="243" w:lineRule="exact"/>
              <w:ind w:left="104" w:right="105"/>
              <w:jc w:val="center"/>
              <w:rPr>
                <w:sz w:val="22"/>
              </w:rPr>
            </w:pPr>
            <w:r>
              <w:rPr>
                <w:sz w:val="22"/>
              </w:rPr>
              <w:t>S/D</w:t>
            </w:r>
          </w:p>
        </w:tc>
        <w:tc>
          <w:tcPr>
            <w:tcW w:w="1887" w:type="dxa"/>
            <w:tcBorders>
              <w:top w:val="nil"/>
              <w:bottom w:val="nil"/>
            </w:tcBorders>
          </w:tcPr>
          <w:p>
            <w:pPr>
              <w:pStyle w:val="TableParagraph"/>
              <w:spacing w:line="243" w:lineRule="exact"/>
              <w:rPr>
                <w:sz w:val="22"/>
              </w:rPr>
            </w:pPr>
            <w:r>
              <w:rPr>
                <w:sz w:val="22"/>
              </w:rPr>
              <w:t>Comisión de</w:t>
            </w:r>
          </w:p>
        </w:tc>
        <w:tc>
          <w:tcPr>
            <w:tcW w:w="1289" w:type="dxa"/>
            <w:tcBorders>
              <w:top w:val="nil"/>
              <w:bottom w:val="nil"/>
            </w:tcBorders>
          </w:tcPr>
          <w:p>
            <w:pPr>
              <w:pStyle w:val="TableParagraph"/>
              <w:spacing w:line="243" w:lineRule="exact"/>
              <w:rPr>
                <w:sz w:val="22"/>
              </w:rPr>
            </w:pPr>
            <w:r>
              <w:rPr>
                <w:sz w:val="22"/>
              </w:rPr>
              <w:t>Timilpan</w:t>
            </w:r>
          </w:p>
        </w:tc>
        <w:tc>
          <w:tcPr>
            <w:tcW w:w="1174" w:type="dxa"/>
            <w:tcBorders>
              <w:top w:val="nil"/>
              <w:bottom w:val="nil"/>
            </w:tcBorders>
          </w:tcPr>
          <w:p>
            <w:pPr>
              <w:pStyle w:val="TableParagraph"/>
              <w:spacing w:line="243" w:lineRule="exact"/>
              <w:rPr>
                <w:sz w:val="22"/>
              </w:rPr>
            </w:pPr>
            <w:r>
              <w:rPr>
                <w:sz w:val="22"/>
              </w:rPr>
              <w:t>Timilpan</w:t>
            </w:r>
          </w:p>
        </w:tc>
        <w:tc>
          <w:tcPr>
            <w:tcW w:w="2314" w:type="dxa"/>
            <w:tcBorders>
              <w:top w:val="nil"/>
              <w:bottom w:val="nil"/>
            </w:tcBorders>
          </w:tcPr>
          <w:p>
            <w:pPr>
              <w:pStyle w:val="TableParagraph"/>
              <w:spacing w:line="243" w:lineRule="exact"/>
              <w:ind w:left="100"/>
              <w:rPr>
                <w:sz w:val="22"/>
              </w:rPr>
            </w:pPr>
            <w:r>
              <w:rPr>
                <w:sz w:val="22"/>
              </w:rPr>
              <w:t>facultad   de </w:t>
            </w:r>
            <w:r>
              <w:rPr>
                <w:spacing w:val="54"/>
                <w:sz w:val="22"/>
              </w:rPr>
              <w:t> </w:t>
            </w:r>
            <w:r>
              <w:rPr>
                <w:sz w:val="22"/>
              </w:rPr>
              <w:t>manejo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 Rural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de   la   laguna, sería</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(24/I/2015)</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11" w:val="left" w:leader="none"/>
                <w:tab w:pos="1957" w:val="left" w:leader="none"/>
              </w:tabs>
              <w:spacing w:line="242" w:lineRule="exact"/>
              <w:ind w:left="100"/>
              <w:rPr>
                <w:sz w:val="22"/>
              </w:rPr>
            </w:pPr>
            <w:r>
              <w:rPr>
                <w:sz w:val="22"/>
              </w:rPr>
              <w:t>otra</w:t>
              <w:tab/>
              <w:t>fuente</w:t>
              <w:tab/>
              <w:t>de</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ingreso</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ecoturístistica.</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Jacinta</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Cuarto  Regidor.</w:t>
            </w:r>
          </w:p>
        </w:tc>
        <w:tc>
          <w:tcPr>
            <w:tcW w:w="1289" w:type="dxa"/>
            <w:tcBorders>
              <w:bottom w:val="nil"/>
            </w:tcBorders>
          </w:tcPr>
          <w:p>
            <w:pPr>
              <w:pStyle w:val="TableParagraph"/>
              <w:spacing w:line="251" w:lineRule="exact"/>
              <w:rPr>
                <w:sz w:val="22"/>
              </w:rPr>
            </w:pPr>
            <w:r>
              <w:rPr>
                <w:sz w:val="22"/>
              </w:rPr>
              <w:t>Santiago</w:t>
            </w:r>
          </w:p>
        </w:tc>
        <w:tc>
          <w:tcPr>
            <w:tcW w:w="1174" w:type="dxa"/>
            <w:tcBorders>
              <w:bottom w:val="nil"/>
            </w:tcBorders>
          </w:tcPr>
          <w:p>
            <w:pPr>
              <w:pStyle w:val="TableParagraph"/>
              <w:spacing w:line="251" w:lineRule="exact"/>
              <w:rPr>
                <w:sz w:val="22"/>
              </w:rPr>
            </w:pPr>
            <w:r>
              <w:rPr>
                <w:sz w:val="22"/>
              </w:rPr>
              <w:t>Santiago</w:t>
            </w:r>
          </w:p>
        </w:tc>
        <w:tc>
          <w:tcPr>
            <w:tcW w:w="2314" w:type="dxa"/>
            <w:tcBorders>
              <w:bottom w:val="nil"/>
            </w:tcBorders>
          </w:tcPr>
          <w:p>
            <w:pPr>
              <w:pStyle w:val="TableParagraph"/>
              <w:tabs>
                <w:tab w:pos="832" w:val="left" w:leader="none"/>
                <w:tab w:pos="2041" w:val="left" w:leader="none"/>
              </w:tabs>
              <w:spacing w:line="251" w:lineRule="exact"/>
              <w:ind w:left="100"/>
              <w:rPr>
                <w:sz w:val="22"/>
              </w:rPr>
            </w:pPr>
            <w:r>
              <w:rPr>
                <w:sz w:val="22"/>
              </w:rPr>
              <w:t>Sí</w:t>
              <w:tab/>
              <w:t>porque</w:t>
              <w:tab/>
              <w:t>si</w:t>
            </w:r>
          </w:p>
        </w:tc>
        <w:tc>
          <w:tcPr>
            <w:tcW w:w="3901" w:type="dxa"/>
            <w:tcBorders>
              <w:bottom w:val="nil"/>
            </w:tcBorders>
          </w:tcPr>
          <w:p>
            <w:pPr>
              <w:pStyle w:val="TableParagraph"/>
              <w:spacing w:line="251" w:lineRule="exact"/>
              <w:rPr>
                <w:sz w:val="22"/>
              </w:rPr>
            </w:pPr>
            <w:r>
              <w:rPr>
                <w:sz w:val="22"/>
              </w:rPr>
              <w:t>Los ciudadanos de las comunidades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Jasso</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Presidenta  de la</w:t>
            </w:r>
          </w:p>
        </w:tc>
        <w:tc>
          <w:tcPr>
            <w:tcW w:w="1289" w:type="dxa"/>
            <w:tcBorders>
              <w:top w:val="nil"/>
              <w:bottom w:val="nil"/>
            </w:tcBorders>
          </w:tcPr>
          <w:p>
            <w:pPr>
              <w:pStyle w:val="TableParagraph"/>
              <w:spacing w:line="241" w:lineRule="exact"/>
              <w:rPr>
                <w:sz w:val="22"/>
              </w:rPr>
            </w:pPr>
            <w:r>
              <w:rPr>
                <w:sz w:val="22"/>
              </w:rPr>
              <w:t>Maxdá,</w:t>
            </w:r>
          </w:p>
        </w:tc>
        <w:tc>
          <w:tcPr>
            <w:tcW w:w="1174" w:type="dxa"/>
            <w:tcBorders>
              <w:top w:val="nil"/>
              <w:bottom w:val="nil"/>
            </w:tcBorders>
          </w:tcPr>
          <w:p>
            <w:pPr>
              <w:pStyle w:val="TableParagraph"/>
              <w:spacing w:line="241" w:lineRule="exact"/>
              <w:rPr>
                <w:sz w:val="22"/>
              </w:rPr>
            </w:pPr>
            <w:r>
              <w:rPr>
                <w:sz w:val="22"/>
              </w:rPr>
              <w:t>Maxdá,</w:t>
            </w:r>
          </w:p>
        </w:tc>
        <w:tc>
          <w:tcPr>
            <w:tcW w:w="2314" w:type="dxa"/>
            <w:tcBorders>
              <w:top w:val="nil"/>
              <w:bottom w:val="nil"/>
            </w:tcBorders>
          </w:tcPr>
          <w:p>
            <w:pPr>
              <w:pStyle w:val="TableParagraph"/>
              <w:tabs>
                <w:tab w:pos="1626" w:val="left" w:leader="none"/>
              </w:tabs>
              <w:spacing w:line="241" w:lineRule="exact"/>
              <w:ind w:left="100"/>
              <w:rPr>
                <w:sz w:val="22"/>
              </w:rPr>
            </w:pPr>
            <w:r>
              <w:rPr>
                <w:sz w:val="22"/>
              </w:rPr>
              <w:t>estuviera</w:t>
              <w:tab/>
              <w:t>limpio</w:t>
            </w:r>
          </w:p>
        </w:tc>
        <w:tc>
          <w:tcPr>
            <w:tcW w:w="3901" w:type="dxa"/>
            <w:tcBorders>
              <w:top w:val="nil"/>
              <w:bottom w:val="nil"/>
            </w:tcBorders>
          </w:tcPr>
          <w:p>
            <w:pPr>
              <w:pStyle w:val="TableParagraph"/>
              <w:spacing w:line="241" w:lineRule="exact"/>
              <w:rPr>
                <w:sz w:val="22"/>
              </w:rPr>
            </w:pPr>
            <w:r>
              <w:rPr>
                <w:sz w:val="22"/>
              </w:rPr>
              <w:t>vecinas para riego de maíz.</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González</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289" w:type="dxa"/>
            <w:tcBorders>
              <w:top w:val="nil"/>
              <w:bottom w:val="nil"/>
            </w:tcBorders>
          </w:tcPr>
          <w:p>
            <w:pPr>
              <w:pStyle w:val="TableParagraph"/>
              <w:spacing w:line="242" w:lineRule="exact"/>
              <w:rPr>
                <w:sz w:val="22"/>
              </w:rPr>
            </w:pPr>
            <w:r>
              <w:rPr>
                <w:sz w:val="22"/>
              </w:rPr>
              <w:t>Timilpan</w:t>
            </w:r>
          </w:p>
        </w:tc>
        <w:tc>
          <w:tcPr>
            <w:tcW w:w="1174" w:type="dxa"/>
            <w:tcBorders>
              <w:top w:val="nil"/>
              <w:bottom w:val="nil"/>
            </w:tcBorders>
          </w:tcPr>
          <w:p>
            <w:pPr>
              <w:pStyle w:val="TableParagraph"/>
              <w:spacing w:line="242" w:lineRule="exact"/>
              <w:rPr>
                <w:sz w:val="22"/>
              </w:rPr>
            </w:pPr>
            <w:r>
              <w:rPr>
                <w:sz w:val="22"/>
              </w:rPr>
              <w:t>Timilpan</w:t>
            </w:r>
          </w:p>
        </w:tc>
        <w:tc>
          <w:tcPr>
            <w:tcW w:w="2314" w:type="dxa"/>
            <w:tcBorders>
              <w:top w:val="nil"/>
              <w:bottom w:val="nil"/>
            </w:tcBorders>
          </w:tcPr>
          <w:p>
            <w:pPr>
              <w:pStyle w:val="TableParagraph"/>
              <w:tabs>
                <w:tab w:pos="1221" w:val="left" w:leader="none"/>
              </w:tabs>
              <w:spacing w:line="242" w:lineRule="exact"/>
              <w:ind w:left="100"/>
              <w:rPr>
                <w:sz w:val="22"/>
              </w:rPr>
            </w:pPr>
            <w:r>
              <w:rPr>
                <w:sz w:val="22"/>
              </w:rPr>
              <w:t>llegarían</w:t>
              <w:tab/>
              <w:t>visitantes,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2" w:val="left" w:leader="none"/>
              </w:tabs>
              <w:spacing w:line="241" w:lineRule="exact"/>
              <w:rPr>
                <w:sz w:val="22"/>
              </w:rPr>
            </w:pPr>
            <w:r>
              <w:rPr>
                <w:sz w:val="22"/>
              </w:rPr>
              <w:t>Empleo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vendrían  visitantes a</w:t>
            </w:r>
          </w:p>
        </w:tc>
        <w:tc>
          <w:tcPr>
            <w:tcW w:w="3901" w:type="dxa"/>
            <w:tcBorders>
              <w:top w:val="nil"/>
              <w:bottom w:val="nil"/>
            </w:tcBorders>
          </w:tcPr>
          <w:p>
            <w:pPr/>
          </w:p>
        </w:tc>
      </w:tr>
      <w:tr>
        <w:trPr>
          <w:trHeight w:val="249" w:hRule="exact"/>
        </w:trPr>
        <w:tc>
          <w:tcPr>
            <w:tcW w:w="1385" w:type="dxa"/>
            <w:tcBorders>
              <w:top w:val="nil"/>
            </w:tcBorders>
          </w:tcPr>
          <w:p>
            <w:pPr>
              <w:pStyle w:val="TableParagraph"/>
              <w:spacing w:line="242" w:lineRule="exact"/>
              <w:ind w:right="127"/>
              <w:rPr>
                <w:sz w:val="22"/>
              </w:rPr>
            </w:pPr>
            <w:r>
              <w:rPr>
                <w:sz w:val="22"/>
              </w:rPr>
              <w:t>(24/I/2015)</w:t>
            </w: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Turismo</w:t>
            </w: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recreo.</w:t>
            </w:r>
          </w:p>
        </w:tc>
        <w:tc>
          <w:tcPr>
            <w:tcW w:w="3901" w:type="dxa"/>
            <w:tcBorders>
              <w:top w:val="nil"/>
            </w:tcBorders>
          </w:tcPr>
          <w:p>
            <w:pPr/>
          </w:p>
        </w:tc>
      </w:tr>
      <w:tr>
        <w:trPr>
          <w:trHeight w:val="268" w:hRule="exact"/>
        </w:trPr>
        <w:tc>
          <w:tcPr>
            <w:tcW w:w="1385" w:type="dxa"/>
            <w:tcBorders>
              <w:bottom w:val="nil"/>
            </w:tcBorders>
          </w:tcPr>
          <w:p>
            <w:pPr>
              <w:pStyle w:val="TableParagraph"/>
              <w:spacing w:line="251" w:lineRule="exact"/>
              <w:rPr>
                <w:sz w:val="22"/>
              </w:rPr>
            </w:pPr>
            <w:r>
              <w:rPr>
                <w:sz w:val="22"/>
              </w:rPr>
              <w:t>Erika María</w:t>
            </w:r>
          </w:p>
        </w:tc>
        <w:tc>
          <w:tcPr>
            <w:tcW w:w="1274" w:type="dxa"/>
            <w:tcBorders>
              <w:bottom w:val="nil"/>
            </w:tcBorders>
          </w:tcPr>
          <w:p>
            <w:pPr>
              <w:pStyle w:val="TableParagraph"/>
              <w:spacing w:line="251" w:lineRule="exact"/>
              <w:ind w:left="100" w:right="98"/>
              <w:rPr>
                <w:sz w:val="22"/>
              </w:rPr>
            </w:pPr>
            <w:r>
              <w:rPr>
                <w:sz w:val="22"/>
              </w:rPr>
              <w:t>Técnico</w:t>
            </w:r>
          </w:p>
        </w:tc>
        <w:tc>
          <w:tcPr>
            <w:tcW w:w="1887" w:type="dxa"/>
            <w:tcBorders>
              <w:bottom w:val="nil"/>
            </w:tcBorders>
          </w:tcPr>
          <w:p>
            <w:pPr>
              <w:pStyle w:val="TableParagraph"/>
              <w:spacing w:line="251" w:lineRule="exact"/>
              <w:rPr>
                <w:sz w:val="22"/>
              </w:rPr>
            </w:pPr>
            <w:r>
              <w:rPr>
                <w:sz w:val="22"/>
              </w:rPr>
              <w:t>Quinto   Regidor.</w:t>
            </w:r>
          </w:p>
        </w:tc>
        <w:tc>
          <w:tcPr>
            <w:tcW w:w="1289" w:type="dxa"/>
            <w:tcBorders>
              <w:bottom w:val="nil"/>
            </w:tcBorders>
          </w:tcPr>
          <w:p>
            <w:pPr>
              <w:pStyle w:val="TableParagraph"/>
              <w:spacing w:line="251" w:lineRule="exact"/>
              <w:rPr>
                <w:sz w:val="22"/>
              </w:rPr>
            </w:pPr>
            <w:r>
              <w:rPr>
                <w:sz w:val="22"/>
              </w:rPr>
              <w:t>Naucalpan</w:t>
            </w:r>
          </w:p>
        </w:tc>
        <w:tc>
          <w:tcPr>
            <w:tcW w:w="1174" w:type="dxa"/>
            <w:tcBorders>
              <w:bottom w:val="nil"/>
            </w:tcBorders>
          </w:tcPr>
          <w:p>
            <w:pPr>
              <w:pStyle w:val="TableParagraph"/>
              <w:spacing w:line="251" w:lineRule="exact"/>
              <w:rPr>
                <w:sz w:val="22"/>
              </w:rPr>
            </w:pPr>
            <w:r>
              <w:rPr>
                <w:sz w:val="22"/>
              </w:rPr>
              <w:t>Timilpan</w:t>
            </w:r>
          </w:p>
        </w:tc>
        <w:tc>
          <w:tcPr>
            <w:tcW w:w="2314" w:type="dxa"/>
            <w:tcBorders>
              <w:bottom w:val="nil"/>
            </w:tcBorders>
          </w:tcPr>
          <w:p>
            <w:pPr>
              <w:pStyle w:val="TableParagraph"/>
              <w:spacing w:line="251" w:lineRule="exact"/>
              <w:ind w:left="100"/>
              <w:rPr>
                <w:sz w:val="22"/>
              </w:rPr>
            </w:pPr>
            <w:r>
              <w:rPr>
                <w:sz w:val="22"/>
              </w:rPr>
              <w:t>Porque   hay   mucha</w:t>
            </w:r>
          </w:p>
        </w:tc>
        <w:tc>
          <w:tcPr>
            <w:tcW w:w="3901" w:type="dxa"/>
            <w:tcBorders>
              <w:bottom w:val="nil"/>
            </w:tcBorders>
          </w:tcPr>
          <w:p>
            <w:pPr>
              <w:pStyle w:val="TableParagraph"/>
              <w:spacing w:line="251" w:lineRule="exact"/>
              <w:rPr>
                <w:sz w:val="22"/>
              </w:rPr>
            </w:pPr>
            <w:r>
              <w:rPr>
                <w:sz w:val="22"/>
              </w:rPr>
              <w:t>Para riego y para la cría de peces,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Correa</w:t>
            </w:r>
          </w:p>
        </w:tc>
        <w:tc>
          <w:tcPr>
            <w:tcW w:w="1274" w:type="dxa"/>
            <w:tcBorders>
              <w:top w:val="nil"/>
              <w:bottom w:val="nil"/>
            </w:tcBorders>
          </w:tcPr>
          <w:p>
            <w:pPr>
              <w:pStyle w:val="TableParagraph"/>
              <w:spacing w:line="242" w:lineRule="exact"/>
              <w:ind w:left="100" w:right="98"/>
              <w:rPr>
                <w:sz w:val="22"/>
              </w:rPr>
            </w:pPr>
            <w:r>
              <w:rPr>
                <w:sz w:val="22"/>
              </w:rPr>
              <w:t>en</w:t>
            </w:r>
          </w:p>
        </w:tc>
        <w:tc>
          <w:tcPr>
            <w:tcW w:w="1887" w:type="dxa"/>
            <w:tcBorders>
              <w:top w:val="nil"/>
              <w:bottom w:val="nil"/>
            </w:tcBorders>
          </w:tcPr>
          <w:p>
            <w:pPr>
              <w:pStyle w:val="TableParagraph"/>
              <w:spacing w:line="242" w:lineRule="exact"/>
              <w:rPr>
                <w:sz w:val="22"/>
              </w:rPr>
            </w:pPr>
            <w:r>
              <w:rPr>
                <w:sz w:val="22"/>
              </w:rPr>
              <w:t>Presidente  de la</w:t>
            </w:r>
          </w:p>
        </w:tc>
        <w:tc>
          <w:tcPr>
            <w:tcW w:w="1289" w:type="dxa"/>
            <w:tcBorders>
              <w:top w:val="nil"/>
              <w:bottom w:val="nil"/>
            </w:tcBorders>
          </w:tcPr>
          <w:p>
            <w:pPr>
              <w:pStyle w:val="TableParagraph"/>
              <w:spacing w:line="242" w:lineRule="exact"/>
              <w:rPr>
                <w:sz w:val="22"/>
              </w:rPr>
            </w:pPr>
            <w:r>
              <w:rPr>
                <w:sz w:val="22"/>
              </w:rPr>
              <w:t>de Juárez</w:t>
            </w:r>
          </w:p>
        </w:tc>
        <w:tc>
          <w:tcPr>
            <w:tcW w:w="1174" w:type="dxa"/>
            <w:tcBorders>
              <w:top w:val="nil"/>
              <w:bottom w:val="nil"/>
            </w:tcBorders>
          </w:tcPr>
          <w:p>
            <w:pPr>
              <w:pStyle w:val="TableParagraph"/>
              <w:spacing w:line="242" w:lineRule="exact"/>
              <w:rPr>
                <w:sz w:val="22"/>
              </w:rPr>
            </w:pPr>
            <w:r>
              <w:rPr>
                <w:sz w:val="22"/>
              </w:rPr>
              <w:t>(desde</w:t>
            </w:r>
          </w:p>
        </w:tc>
        <w:tc>
          <w:tcPr>
            <w:tcW w:w="2314" w:type="dxa"/>
            <w:tcBorders>
              <w:top w:val="nil"/>
              <w:bottom w:val="nil"/>
            </w:tcBorders>
          </w:tcPr>
          <w:p>
            <w:pPr>
              <w:pStyle w:val="TableParagraph"/>
              <w:spacing w:line="242" w:lineRule="exact"/>
              <w:ind w:left="100"/>
              <w:rPr>
                <w:sz w:val="22"/>
              </w:rPr>
            </w:pPr>
            <w:r>
              <w:rPr>
                <w:sz w:val="22"/>
              </w:rPr>
              <w:t>gente   que   vive  de</w:t>
            </w:r>
          </w:p>
        </w:tc>
        <w:tc>
          <w:tcPr>
            <w:tcW w:w="3901" w:type="dxa"/>
            <w:tcBorders>
              <w:top w:val="nil"/>
              <w:bottom w:val="nil"/>
            </w:tcBorders>
          </w:tcPr>
          <w:p>
            <w:pPr>
              <w:pStyle w:val="TableParagraph"/>
              <w:spacing w:line="242" w:lineRule="exact"/>
              <w:rPr>
                <w:sz w:val="22"/>
              </w:rPr>
            </w:pPr>
            <w:r>
              <w:rPr>
                <w:sz w:val="22"/>
              </w:rPr>
              <w:t>pero  en  la  actualidad  ya  no  se les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Plata</w:t>
            </w:r>
          </w:p>
        </w:tc>
        <w:tc>
          <w:tcPr>
            <w:tcW w:w="1274" w:type="dxa"/>
            <w:tcBorders>
              <w:top w:val="nil"/>
              <w:bottom w:val="nil"/>
            </w:tcBorders>
          </w:tcPr>
          <w:p>
            <w:pPr>
              <w:pStyle w:val="TableParagraph"/>
              <w:spacing w:line="241" w:lineRule="exact"/>
              <w:ind w:left="100"/>
              <w:rPr>
                <w:sz w:val="22"/>
              </w:rPr>
            </w:pPr>
            <w:r>
              <w:rPr>
                <w:sz w:val="22"/>
              </w:rPr>
              <w:t>Computaci</w:t>
            </w: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hace 30</w:t>
            </w:r>
          </w:p>
        </w:tc>
        <w:tc>
          <w:tcPr>
            <w:tcW w:w="2314" w:type="dxa"/>
            <w:tcBorders>
              <w:top w:val="nil"/>
              <w:bottom w:val="nil"/>
            </w:tcBorders>
          </w:tcPr>
          <w:p>
            <w:pPr>
              <w:pStyle w:val="TableParagraph"/>
              <w:spacing w:line="241" w:lineRule="exact"/>
              <w:ind w:left="100"/>
              <w:rPr>
                <w:sz w:val="22"/>
              </w:rPr>
            </w:pPr>
            <w:r>
              <w:rPr>
                <w:sz w:val="22"/>
              </w:rPr>
              <w:t>ella y porque</w:t>
            </w:r>
            <w:r>
              <w:rPr>
                <w:spacing w:val="53"/>
                <w:sz w:val="22"/>
              </w:rPr>
              <w:t> </w:t>
            </w:r>
            <w:r>
              <w:rPr>
                <w:sz w:val="22"/>
              </w:rPr>
              <w:t>cuando</w:t>
            </w:r>
          </w:p>
        </w:tc>
        <w:tc>
          <w:tcPr>
            <w:tcW w:w="3901" w:type="dxa"/>
            <w:tcBorders>
              <w:top w:val="nil"/>
              <w:bottom w:val="nil"/>
            </w:tcBorders>
          </w:tcPr>
          <w:p>
            <w:pPr>
              <w:pStyle w:val="TableParagraph"/>
              <w:spacing w:line="241" w:lineRule="exact"/>
              <w:rPr>
                <w:sz w:val="22"/>
              </w:rPr>
            </w:pPr>
            <w:r>
              <w:rPr>
                <w:sz w:val="22"/>
              </w:rPr>
              <w:t>permite  mucho  porque  desde  2003</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ón</w:t>
            </w:r>
          </w:p>
        </w:tc>
        <w:tc>
          <w:tcPr>
            <w:tcW w:w="1887" w:type="dxa"/>
            <w:tcBorders>
              <w:top w:val="nil"/>
              <w:bottom w:val="nil"/>
            </w:tcBorders>
          </w:tcPr>
          <w:p>
            <w:pPr>
              <w:pStyle w:val="TableParagraph"/>
              <w:spacing w:line="241" w:lineRule="exact"/>
              <w:rPr>
                <w:sz w:val="22"/>
              </w:rPr>
            </w:pPr>
            <w:r>
              <w:rPr>
                <w:sz w:val="22"/>
              </w:rPr>
              <w:t>Salud   y   Medio</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años)</w:t>
            </w:r>
          </w:p>
        </w:tc>
        <w:tc>
          <w:tcPr>
            <w:tcW w:w="2314" w:type="dxa"/>
            <w:tcBorders>
              <w:top w:val="nil"/>
              <w:bottom w:val="nil"/>
            </w:tcBorders>
          </w:tcPr>
          <w:p>
            <w:pPr>
              <w:pStyle w:val="TableParagraph"/>
              <w:spacing w:line="241" w:lineRule="exact"/>
              <w:ind w:left="100"/>
              <w:rPr>
                <w:sz w:val="22"/>
              </w:rPr>
            </w:pPr>
            <w:r>
              <w:rPr>
                <w:sz w:val="22"/>
              </w:rPr>
              <w:t>se habla de la laguna</w:t>
            </w:r>
          </w:p>
        </w:tc>
        <w:tc>
          <w:tcPr>
            <w:tcW w:w="3901" w:type="dxa"/>
            <w:tcBorders>
              <w:top w:val="nil"/>
              <w:bottom w:val="nil"/>
            </w:tcBorders>
          </w:tcPr>
          <w:p>
            <w:pPr>
              <w:pStyle w:val="TableParagraph"/>
              <w:spacing w:line="241" w:lineRule="exact"/>
              <w:rPr>
                <w:sz w:val="22"/>
              </w:rPr>
            </w:pPr>
            <w:r>
              <w:rPr>
                <w:sz w:val="22"/>
              </w:rPr>
              <w:t>se considera santuario del agua.</w:t>
            </w:r>
          </w:p>
        </w:tc>
      </w:tr>
      <w:tr>
        <w:trPr>
          <w:trHeight w:val="253" w:hRule="exact"/>
        </w:trPr>
        <w:tc>
          <w:tcPr>
            <w:tcW w:w="1385" w:type="dxa"/>
            <w:tcBorders>
              <w:top w:val="nil"/>
              <w:bottom w:val="nil"/>
            </w:tcBorders>
          </w:tcPr>
          <w:p>
            <w:pPr>
              <w:pStyle w:val="TableParagraph"/>
              <w:spacing w:line="242" w:lineRule="exact"/>
              <w:rPr>
                <w:sz w:val="22"/>
              </w:rPr>
            </w:pPr>
            <w:r>
              <w:rPr>
                <w:sz w:val="22"/>
              </w:rPr>
              <w:t>(24/II/2014)</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Ambiente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de   Huapango   y  El</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Ocotal  se  tiene  una</w:t>
            </w:r>
          </w:p>
        </w:tc>
        <w:tc>
          <w:tcPr>
            <w:tcW w:w="3901" w:type="dxa"/>
            <w:tcBorders>
              <w:top w:val="nil"/>
            </w:tcBorders>
          </w:tcPr>
          <w:p>
            <w:pPr/>
          </w:p>
        </w:tc>
      </w:tr>
    </w:tbl>
    <w:p>
      <w:pPr>
        <w:spacing w:after="0"/>
        <w:sectPr>
          <w:footerReference w:type="default" r:id="rId192"/>
          <w:pgSz w:w="15840" w:h="12240" w:orient="landscape"/>
          <w:pgMar w:footer="943" w:header="0" w:top="1140" w:bottom="1140" w:left="1200" w:right="1180"/>
          <w:pgNumType w:start="36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516" w:hRule="exact"/>
        </w:trPr>
        <w:tc>
          <w:tcPr>
            <w:tcW w:w="1385" w:type="dxa"/>
          </w:tcPr>
          <w:p>
            <w:pP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tabs>
                <w:tab w:pos="1906" w:val="left" w:leader="none"/>
              </w:tabs>
              <w:spacing w:line="252" w:lineRule="exact" w:before="2"/>
              <w:ind w:left="100" w:right="101"/>
              <w:rPr>
                <w:sz w:val="22"/>
              </w:rPr>
            </w:pPr>
            <w:r>
              <w:rPr>
                <w:sz w:val="22"/>
              </w:rPr>
              <w:t>referencia</w:t>
              <w:tab/>
              <w:t>del municipio.</w:t>
            </w:r>
          </w:p>
        </w:tc>
        <w:tc>
          <w:tcPr>
            <w:tcW w:w="3901" w:type="dxa"/>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Jazith</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spacing w:line="251" w:lineRule="exact"/>
              <w:rPr>
                <w:sz w:val="22"/>
              </w:rPr>
            </w:pPr>
            <w:r>
              <w:rPr>
                <w:sz w:val="22"/>
              </w:rPr>
              <w:t>Sexto Regidor.</w:t>
            </w:r>
          </w:p>
        </w:tc>
        <w:tc>
          <w:tcPr>
            <w:tcW w:w="1289" w:type="dxa"/>
            <w:tcBorders>
              <w:bottom w:val="nil"/>
            </w:tcBorders>
          </w:tcPr>
          <w:p>
            <w:pPr>
              <w:pStyle w:val="TableParagraph"/>
              <w:spacing w:line="251" w:lineRule="exact"/>
              <w:ind w:left="137" w:right="136"/>
              <w:jc w:val="center"/>
              <w:rPr>
                <w:sz w:val="22"/>
              </w:rPr>
            </w:pPr>
            <w:r>
              <w:rPr>
                <w:sz w:val="22"/>
              </w:rPr>
              <w:t>Atlacomul</w:t>
            </w:r>
          </w:p>
        </w:tc>
        <w:tc>
          <w:tcPr>
            <w:tcW w:w="1174" w:type="dxa"/>
            <w:tcBorders>
              <w:bottom w:val="nil"/>
            </w:tcBorders>
          </w:tcPr>
          <w:p>
            <w:pPr>
              <w:pStyle w:val="TableParagraph"/>
              <w:spacing w:line="251" w:lineRule="exact"/>
              <w:ind w:left="84" w:right="84"/>
              <w:jc w:val="center"/>
              <w:rPr>
                <w:sz w:val="22"/>
              </w:rPr>
            </w:pPr>
            <w:r>
              <w:rPr>
                <w:sz w:val="22"/>
              </w:rPr>
              <w:t>Timilpan</w:t>
            </w:r>
          </w:p>
        </w:tc>
        <w:tc>
          <w:tcPr>
            <w:tcW w:w="2314" w:type="dxa"/>
            <w:tcBorders>
              <w:bottom w:val="nil"/>
            </w:tcBorders>
          </w:tcPr>
          <w:p>
            <w:pPr>
              <w:pStyle w:val="TableParagraph"/>
              <w:spacing w:line="251" w:lineRule="exact"/>
              <w:ind w:left="100"/>
              <w:rPr>
                <w:sz w:val="22"/>
              </w:rPr>
            </w:pPr>
            <w:r>
              <w:rPr>
                <w:sz w:val="22"/>
              </w:rPr>
              <w:t>En   el   municipio  es</w:t>
            </w:r>
          </w:p>
        </w:tc>
        <w:tc>
          <w:tcPr>
            <w:tcW w:w="3901" w:type="dxa"/>
            <w:tcBorders>
              <w:bottom w:val="nil"/>
            </w:tcBorders>
          </w:tcPr>
          <w:p>
            <w:pPr>
              <w:pStyle w:val="TableParagraph"/>
              <w:spacing w:line="251" w:lineRule="exact"/>
              <w:rPr>
                <w:sz w:val="22"/>
              </w:rPr>
            </w:pPr>
            <w:r>
              <w:rPr>
                <w:sz w:val="22"/>
              </w:rPr>
              <w:t>Principalmente   para   uso   agrícola,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Salazar</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Presidente  de la</w:t>
            </w:r>
          </w:p>
        </w:tc>
        <w:tc>
          <w:tcPr>
            <w:tcW w:w="1289" w:type="dxa"/>
            <w:tcBorders>
              <w:top w:val="nil"/>
              <w:bottom w:val="nil"/>
            </w:tcBorders>
          </w:tcPr>
          <w:p>
            <w:pPr>
              <w:pStyle w:val="TableParagraph"/>
              <w:spacing w:line="241" w:lineRule="exact"/>
              <w:ind w:left="136" w:right="136"/>
              <w:jc w:val="center"/>
              <w:rPr>
                <w:sz w:val="22"/>
              </w:rPr>
            </w:pPr>
            <w:r>
              <w:rPr>
                <w:sz w:val="22"/>
              </w:rPr>
              <w:t>co</w:t>
            </w: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parte  de  la actividad</w:t>
            </w:r>
          </w:p>
        </w:tc>
        <w:tc>
          <w:tcPr>
            <w:tcW w:w="3901" w:type="dxa"/>
            <w:tcBorders>
              <w:top w:val="nil"/>
              <w:bottom w:val="nil"/>
            </w:tcBorders>
          </w:tcPr>
          <w:p>
            <w:pPr>
              <w:pStyle w:val="TableParagraph"/>
              <w:spacing w:line="241" w:lineRule="exact"/>
              <w:rPr>
                <w:sz w:val="22"/>
              </w:rPr>
            </w:pPr>
            <w:r>
              <w:rPr>
                <w:sz w:val="22"/>
              </w:rPr>
              <w:t>pero el municipio de Timilpan no    se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274" w:type="dxa"/>
            <w:tcBorders>
              <w:top w:val="nil"/>
              <w:bottom w:val="nil"/>
            </w:tcBorders>
          </w:tcPr>
          <w:p>
            <w:pPr>
              <w:pStyle w:val="TableParagraph"/>
              <w:spacing w:line="242" w:lineRule="exact"/>
              <w:ind w:left="100"/>
              <w:rPr>
                <w:sz w:val="22"/>
              </w:rPr>
            </w:pPr>
            <w:r>
              <w:rPr>
                <w:sz w:val="22"/>
              </w:rPr>
              <w:t>Educación</w:t>
            </w:r>
          </w:p>
        </w:tc>
        <w:tc>
          <w:tcPr>
            <w:tcW w:w="1887" w:type="dxa"/>
            <w:tcBorders>
              <w:top w:val="nil"/>
              <w:bottom w:val="nil"/>
            </w:tcBorders>
          </w:tcPr>
          <w:p>
            <w:pPr>
              <w:pStyle w:val="TableParagraph"/>
              <w:spacing w:line="242" w:lineRule="exact"/>
              <w:rPr>
                <w:sz w:val="22"/>
              </w:rPr>
            </w:pPr>
            <w:r>
              <w:rPr>
                <w:sz w:val="22"/>
              </w:rPr>
              <w:t>Comisión </w:t>
            </w:r>
            <w:r>
              <w:rPr>
                <w:spacing w:val="51"/>
                <w:sz w:val="22"/>
              </w:rPr>
              <w:t> </w:t>
            </w:r>
            <w:r>
              <w:rPr>
                <w:sz w:val="22"/>
              </w:rPr>
              <w:t>Agua,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7" w:val="left" w:leader="none"/>
              </w:tabs>
              <w:spacing w:line="242" w:lineRule="exact"/>
              <w:ind w:left="100"/>
              <w:rPr>
                <w:sz w:val="22"/>
              </w:rPr>
            </w:pPr>
            <w:r>
              <w:rPr>
                <w:sz w:val="22"/>
              </w:rPr>
              <w:t>económica</w:t>
              <w:tab/>
              <w:t>en</w:t>
            </w:r>
          </w:p>
        </w:tc>
        <w:tc>
          <w:tcPr>
            <w:tcW w:w="3901" w:type="dxa"/>
            <w:tcBorders>
              <w:top w:val="nil"/>
              <w:bottom w:val="nil"/>
            </w:tcBorders>
          </w:tcPr>
          <w:p>
            <w:pPr>
              <w:pStyle w:val="TableParagraph"/>
              <w:tabs>
                <w:tab w:pos="714" w:val="left" w:leader="none"/>
                <w:tab w:pos="2283" w:val="left" w:leader="none"/>
                <w:tab w:pos="3063" w:val="left" w:leader="none"/>
              </w:tabs>
              <w:spacing w:line="242" w:lineRule="exact"/>
              <w:rPr>
                <w:sz w:val="22"/>
              </w:rPr>
            </w:pPr>
            <w:r>
              <w:rPr>
                <w:sz w:val="22"/>
              </w:rPr>
              <w:t>ve</w:t>
              <w:tab/>
              <w:t>beneficiado,</w:t>
              <w:tab/>
              <w:t>sólo</w:t>
              <w:tab/>
              <w:t>Aculco,</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Primaria</w:t>
            </w:r>
          </w:p>
        </w:tc>
        <w:tc>
          <w:tcPr>
            <w:tcW w:w="1887" w:type="dxa"/>
            <w:tcBorders>
              <w:top w:val="nil"/>
              <w:bottom w:val="nil"/>
            </w:tcBorders>
          </w:tcPr>
          <w:p>
            <w:pPr>
              <w:pStyle w:val="TableParagraph"/>
              <w:tabs>
                <w:tab w:pos="1664" w:val="left" w:leader="none"/>
              </w:tabs>
              <w:spacing w:line="241" w:lineRule="exact"/>
              <w:rPr>
                <w:sz w:val="22"/>
              </w:rPr>
            </w:pPr>
            <w:r>
              <w:rPr>
                <w:sz w:val="22"/>
              </w:rPr>
              <w:t>Drenaje</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69" w:val="left" w:leader="none"/>
                <w:tab w:pos="2028" w:val="left" w:leader="none"/>
              </w:tabs>
              <w:spacing w:line="241" w:lineRule="exact"/>
              <w:ind w:left="100"/>
              <w:rPr>
                <w:sz w:val="22"/>
              </w:rPr>
            </w:pPr>
            <w:r>
              <w:rPr>
                <w:sz w:val="22"/>
              </w:rPr>
              <w:t>Zaragoza</w:t>
              <w:tab/>
              <w:t>por</w:t>
              <w:tab/>
              <w:t>la</w:t>
            </w:r>
          </w:p>
        </w:tc>
        <w:tc>
          <w:tcPr>
            <w:tcW w:w="3901" w:type="dxa"/>
            <w:tcBorders>
              <w:top w:val="nil"/>
              <w:bottom w:val="nil"/>
            </w:tcBorders>
          </w:tcPr>
          <w:p>
            <w:pPr>
              <w:pStyle w:val="TableParagraph"/>
              <w:spacing w:line="241" w:lineRule="exact"/>
              <w:rPr>
                <w:sz w:val="22"/>
              </w:rPr>
            </w:pPr>
            <w:r>
              <w:rPr>
                <w:sz w:val="22"/>
              </w:rPr>
              <w:t>Acambay, Querétaro, a pesar de</w:t>
            </w:r>
            <w:r>
              <w:rPr>
                <w:spacing w:val="56"/>
                <w:sz w:val="22"/>
              </w:rPr>
              <w:t> </w:t>
            </w:r>
            <w:r>
              <w:rPr>
                <w:sz w:val="22"/>
              </w:rPr>
              <w:t>que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(24/I/2015)</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Alcantarillado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34" w:val="left" w:leader="none"/>
                <w:tab w:pos="1957" w:val="left" w:leader="none"/>
              </w:tabs>
              <w:spacing w:line="242" w:lineRule="exact"/>
              <w:ind w:left="100"/>
              <w:rPr>
                <w:sz w:val="22"/>
              </w:rPr>
            </w:pPr>
            <w:r>
              <w:rPr>
                <w:sz w:val="22"/>
              </w:rPr>
              <w:t>pesca,</w:t>
              <w:tab/>
              <w:t>pero</w:t>
              <w:tab/>
              <w:t>no</w:t>
            </w:r>
          </w:p>
        </w:tc>
        <w:tc>
          <w:tcPr>
            <w:tcW w:w="3901" w:type="dxa"/>
            <w:tcBorders>
              <w:top w:val="nil"/>
              <w:bottom w:val="nil"/>
            </w:tcBorders>
          </w:tcPr>
          <w:p>
            <w:pPr>
              <w:pStyle w:val="TableParagraph"/>
              <w:tabs>
                <w:tab w:pos="772" w:val="left" w:leader="none"/>
                <w:tab w:pos="1182" w:val="left" w:leader="none"/>
                <w:tab w:pos="2230" w:val="left" w:leader="none"/>
                <w:tab w:pos="2715" w:val="left" w:leader="none"/>
                <w:tab w:pos="3125" w:val="left" w:leader="none"/>
              </w:tabs>
              <w:spacing w:line="242" w:lineRule="exact"/>
              <w:rPr>
                <w:sz w:val="22"/>
              </w:rPr>
            </w:pPr>
            <w:r>
              <w:rPr>
                <w:sz w:val="22"/>
              </w:rPr>
              <w:t>todo</w:t>
              <w:tab/>
              <w:t>el</w:t>
              <w:tab/>
              <w:t>territorio</w:t>
              <w:tab/>
              <w:t>de</w:t>
              <w:tab/>
              <w:t>la</w:t>
              <w:tab/>
              <w:t>laguna</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297" w:val="left" w:leader="none"/>
                <w:tab w:pos="2029" w:val="left" w:leader="none"/>
              </w:tabs>
              <w:spacing w:line="241" w:lineRule="exact"/>
              <w:ind w:left="100"/>
              <w:rPr>
                <w:sz w:val="22"/>
              </w:rPr>
            </w:pPr>
            <w:r>
              <w:rPr>
                <w:sz w:val="22"/>
              </w:rPr>
              <w:t>nadamás</w:t>
              <w:tab/>
              <w:t>para</w:t>
              <w:tab/>
              <w:t>el</w:t>
            </w:r>
          </w:p>
        </w:tc>
        <w:tc>
          <w:tcPr>
            <w:tcW w:w="3901" w:type="dxa"/>
            <w:tcBorders>
              <w:top w:val="nil"/>
              <w:bottom w:val="nil"/>
            </w:tcBorders>
          </w:tcPr>
          <w:p>
            <w:pPr>
              <w:pStyle w:val="TableParagraph"/>
              <w:spacing w:line="241" w:lineRule="exact"/>
              <w:rPr>
                <w:sz w:val="22"/>
              </w:rPr>
            </w:pPr>
            <w:r>
              <w:rPr>
                <w:sz w:val="22"/>
              </w:rPr>
              <w:t>corresponde a Timilpan.</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84" w:val="left" w:leader="none"/>
                <w:tab w:pos="2079" w:val="left" w:leader="none"/>
              </w:tabs>
              <w:spacing w:line="241" w:lineRule="exact"/>
              <w:ind w:left="100"/>
              <w:rPr>
                <w:sz w:val="22"/>
              </w:rPr>
            </w:pPr>
            <w:r>
              <w:rPr>
                <w:sz w:val="22"/>
              </w:rPr>
              <w:t>municipio,</w:t>
              <w:tab/>
              <w:t>sino</w:t>
              <w:tab/>
              <w:t>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nivel medio ambiente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39" w:val="left" w:leader="none"/>
                <w:tab w:pos="1160" w:val="left" w:leader="none"/>
              </w:tabs>
              <w:spacing w:line="241" w:lineRule="exact"/>
              <w:ind w:left="100"/>
              <w:rPr>
                <w:sz w:val="22"/>
              </w:rPr>
            </w:pPr>
            <w:r>
              <w:rPr>
                <w:sz w:val="22"/>
              </w:rPr>
              <w:t>es</w:t>
              <w:tab/>
              <w:t>muy</w:t>
              <w:tab/>
              <w:t>importante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para   la   flora   y   la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fauna forma parte del</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ciclo natural.</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Armando</w:t>
            </w:r>
          </w:p>
        </w:tc>
        <w:tc>
          <w:tcPr>
            <w:tcW w:w="1274" w:type="dxa"/>
            <w:tcBorders>
              <w:bottom w:val="nil"/>
            </w:tcBorders>
          </w:tcPr>
          <w:p>
            <w:pP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ind w:left="136" w:right="136"/>
              <w:jc w:val="center"/>
              <w:rPr>
                <w:sz w:val="22"/>
              </w:rPr>
            </w:pPr>
            <w:r>
              <w:rPr>
                <w:sz w:val="22"/>
              </w:rPr>
              <w:t>Barrio</w:t>
            </w:r>
          </w:p>
        </w:tc>
        <w:tc>
          <w:tcPr>
            <w:tcW w:w="1174" w:type="dxa"/>
            <w:tcBorders>
              <w:bottom w:val="nil"/>
            </w:tcBorders>
          </w:tcPr>
          <w:p>
            <w:pPr>
              <w:pStyle w:val="TableParagraph"/>
              <w:spacing w:line="251" w:lineRule="exact"/>
              <w:ind w:left="84" w:right="84"/>
              <w:jc w:val="center"/>
              <w:rPr>
                <w:sz w:val="22"/>
              </w:rPr>
            </w:pPr>
            <w:r>
              <w:rPr>
                <w:sz w:val="22"/>
              </w:rPr>
              <w:t>Timilpan</w:t>
            </w:r>
          </w:p>
        </w:tc>
        <w:tc>
          <w:tcPr>
            <w:tcW w:w="2314" w:type="dxa"/>
            <w:tcBorders>
              <w:bottom w:val="nil"/>
            </w:tcBorders>
          </w:tcPr>
          <w:p>
            <w:pPr>
              <w:pStyle w:val="TableParagraph"/>
              <w:tabs>
                <w:tab w:pos="1117" w:val="left" w:leader="none"/>
                <w:tab w:pos="1906" w:val="left" w:leader="none"/>
              </w:tabs>
              <w:spacing w:line="251" w:lineRule="exact"/>
              <w:ind w:left="100"/>
              <w:rPr>
                <w:sz w:val="22"/>
              </w:rPr>
            </w:pPr>
            <w:r>
              <w:rPr>
                <w:sz w:val="22"/>
              </w:rPr>
              <w:t>¡Claro</w:t>
              <w:tab/>
              <w:t>que</w:t>
              <w:tab/>
              <w:t>sí!,</w:t>
            </w:r>
          </w:p>
        </w:tc>
        <w:tc>
          <w:tcPr>
            <w:tcW w:w="3901" w:type="dxa"/>
            <w:tcBorders>
              <w:bottom w:val="nil"/>
            </w:tcBorders>
          </w:tcPr>
          <w:p>
            <w:pPr>
              <w:pStyle w:val="TableParagraph"/>
              <w:spacing w:line="251" w:lineRule="exact"/>
              <w:rPr>
                <w:sz w:val="22"/>
              </w:rPr>
            </w:pPr>
            <w:r>
              <w:rPr>
                <w:sz w:val="22"/>
              </w:rPr>
              <w:t>Para  riego  en  Querétaro,  Aculco  y</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Matías</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Style w:val="TableParagraph"/>
              <w:spacing w:line="241" w:lineRule="exact"/>
              <w:ind w:left="135" w:right="136"/>
              <w:jc w:val="center"/>
              <w:rPr>
                <w:sz w:val="22"/>
              </w:rPr>
            </w:pPr>
            <w:r>
              <w:rPr>
                <w:sz w:val="22"/>
              </w:rPr>
              <w:t>Iturbide,</w:t>
            </w:r>
          </w:p>
        </w:tc>
        <w:tc>
          <w:tcPr>
            <w:tcW w:w="1174" w:type="dxa"/>
            <w:tcBorders>
              <w:top w:val="nil"/>
              <w:bottom w:val="nil"/>
            </w:tcBorders>
          </w:tcPr>
          <w:p>
            <w:pPr>
              <w:pStyle w:val="TableParagraph"/>
              <w:spacing w:line="241" w:lineRule="exact"/>
              <w:ind w:left="84" w:right="84"/>
              <w:jc w:val="center"/>
              <w:rPr>
                <w:sz w:val="22"/>
              </w:rPr>
            </w:pPr>
            <w:r>
              <w:rPr>
                <w:sz w:val="22"/>
              </w:rPr>
              <w:t>y Toluca</w:t>
            </w:r>
          </w:p>
        </w:tc>
        <w:tc>
          <w:tcPr>
            <w:tcW w:w="2314" w:type="dxa"/>
            <w:tcBorders>
              <w:top w:val="nil"/>
              <w:bottom w:val="nil"/>
            </w:tcBorders>
          </w:tcPr>
          <w:p>
            <w:pPr>
              <w:pStyle w:val="TableParagraph"/>
              <w:spacing w:line="241" w:lineRule="exact"/>
              <w:ind w:left="100"/>
              <w:rPr>
                <w:sz w:val="22"/>
              </w:rPr>
            </w:pPr>
            <w:r>
              <w:rPr>
                <w:sz w:val="22"/>
              </w:rPr>
              <w:t>porque es una fuente</w:t>
            </w:r>
          </w:p>
        </w:tc>
        <w:tc>
          <w:tcPr>
            <w:tcW w:w="3901" w:type="dxa"/>
            <w:tcBorders>
              <w:top w:val="nil"/>
              <w:bottom w:val="nil"/>
            </w:tcBorders>
          </w:tcPr>
          <w:p>
            <w:pPr>
              <w:pStyle w:val="TableParagraph"/>
              <w:spacing w:line="241" w:lineRule="exact"/>
              <w:rPr>
                <w:sz w:val="22"/>
              </w:rPr>
            </w:pPr>
            <w:r>
              <w:rPr>
                <w:sz w:val="22"/>
              </w:rPr>
              <w:t>Polo.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Lucas</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spacing w:line="242" w:lineRule="exact"/>
              <w:rPr>
                <w:sz w:val="22"/>
              </w:rPr>
            </w:pPr>
            <w:r>
              <w:rPr>
                <w:sz w:val="22"/>
              </w:rPr>
              <w:t>Agropecuario</w:t>
            </w:r>
          </w:p>
        </w:tc>
        <w:tc>
          <w:tcPr>
            <w:tcW w:w="1289" w:type="dxa"/>
            <w:tcBorders>
              <w:top w:val="nil"/>
              <w:bottom w:val="nil"/>
            </w:tcBorders>
          </w:tcPr>
          <w:p>
            <w:pPr>
              <w:pStyle w:val="TableParagraph"/>
              <w:spacing w:line="242" w:lineRule="exact"/>
              <w:ind w:left="136" w:right="136"/>
              <w:jc w:val="center"/>
              <w:rPr>
                <w:sz w:val="22"/>
              </w:rPr>
            </w:pPr>
            <w:r>
              <w:rPr>
                <w:sz w:val="22"/>
              </w:rPr>
              <w:t>Timilpan</w:t>
            </w: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de  ingreso  para  los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que  riegan,  los  que</w:t>
            </w:r>
          </w:p>
        </w:tc>
        <w:tc>
          <w:tcPr>
            <w:tcW w:w="3901" w:type="dxa"/>
            <w:tcBorders>
              <w:top w:val="nil"/>
              <w:bottom w:val="nil"/>
            </w:tcBorders>
          </w:tcPr>
          <w:p>
            <w:pPr/>
          </w:p>
        </w:tc>
      </w:tr>
      <w:tr>
        <w:trPr>
          <w:trHeight w:val="249" w:hRule="exact"/>
        </w:trPr>
        <w:tc>
          <w:tcPr>
            <w:tcW w:w="1385" w:type="dxa"/>
            <w:tcBorders>
              <w:top w:val="nil"/>
            </w:tcBorders>
          </w:tcPr>
          <w:p>
            <w:pPr>
              <w:pStyle w:val="TableParagraph"/>
              <w:spacing w:line="243" w:lineRule="exact"/>
              <w:ind w:left="155"/>
              <w:rPr>
                <w:sz w:val="22"/>
              </w:rPr>
            </w:pPr>
            <w:r>
              <w:rPr>
                <w:sz w:val="22"/>
              </w:rPr>
              <w:t>(17/I/2015)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3" w:lineRule="exact"/>
              <w:ind w:left="100"/>
              <w:rPr>
                <w:sz w:val="22"/>
              </w:rPr>
            </w:pPr>
            <w:r>
              <w:rPr>
                <w:sz w:val="22"/>
              </w:rPr>
              <w:t>pastan y pescan.</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rPr>
                <w:sz w:val="22"/>
              </w:rPr>
            </w:pPr>
            <w:r>
              <w:rPr>
                <w:sz w:val="22"/>
              </w:rPr>
              <w:t>Alfonso   de</w:t>
            </w:r>
          </w:p>
        </w:tc>
        <w:tc>
          <w:tcPr>
            <w:tcW w:w="1274" w:type="dxa"/>
            <w:tcBorders>
              <w:bottom w:val="nil"/>
            </w:tcBorders>
          </w:tcPr>
          <w:p>
            <w:pP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ind w:left="136" w:right="136"/>
              <w:jc w:val="center"/>
              <w:rPr>
                <w:sz w:val="22"/>
              </w:rPr>
            </w:pPr>
            <w:r>
              <w:rPr>
                <w:sz w:val="22"/>
              </w:rPr>
              <w:t>Timilpan</w:t>
            </w:r>
          </w:p>
        </w:tc>
        <w:tc>
          <w:tcPr>
            <w:tcW w:w="1174" w:type="dxa"/>
            <w:tcBorders>
              <w:bottom w:val="nil"/>
            </w:tcBorders>
          </w:tcPr>
          <w:p>
            <w:pPr>
              <w:pStyle w:val="TableParagraph"/>
              <w:spacing w:line="251" w:lineRule="exact"/>
              <w:ind w:left="84" w:right="84"/>
              <w:jc w:val="center"/>
              <w:rPr>
                <w:sz w:val="22"/>
              </w:rPr>
            </w:pPr>
            <w:r>
              <w:rPr>
                <w:sz w:val="22"/>
              </w:rPr>
              <w:t>Timilpan</w:t>
            </w:r>
          </w:p>
        </w:tc>
        <w:tc>
          <w:tcPr>
            <w:tcW w:w="2314" w:type="dxa"/>
            <w:tcBorders>
              <w:bottom w:val="nil"/>
            </w:tcBorders>
          </w:tcPr>
          <w:p>
            <w:pPr>
              <w:pStyle w:val="TableParagraph"/>
              <w:tabs>
                <w:tab w:pos="575" w:val="left" w:leader="none"/>
                <w:tab w:pos="1529" w:val="left" w:leader="none"/>
                <w:tab w:pos="2028" w:val="left" w:leader="none"/>
              </w:tabs>
              <w:spacing w:line="251" w:lineRule="exact"/>
              <w:ind w:left="100"/>
              <w:rPr>
                <w:sz w:val="22"/>
              </w:rPr>
            </w:pPr>
            <w:r>
              <w:rPr>
                <w:sz w:val="22"/>
              </w:rPr>
              <w:t>Sí</w:t>
              <w:tab/>
              <w:t>porque</w:t>
              <w:tab/>
              <w:t>es</w:t>
              <w:tab/>
              <w:t>la</w:t>
            </w:r>
          </w:p>
        </w:tc>
        <w:tc>
          <w:tcPr>
            <w:tcW w:w="3901" w:type="dxa"/>
            <w:tcBorders>
              <w:bottom w:val="nil"/>
            </w:tcBorders>
          </w:tcPr>
          <w:p>
            <w:pPr>
              <w:pStyle w:val="TableParagraph"/>
              <w:spacing w:line="251" w:lineRule="exact"/>
              <w:rPr>
                <w:sz w:val="22"/>
              </w:rPr>
            </w:pPr>
            <w:r>
              <w:rPr>
                <w:sz w:val="22"/>
              </w:rPr>
              <w:t>Algunos municipios se la llevan y la</w:t>
            </w:r>
          </w:p>
        </w:tc>
      </w:tr>
      <w:tr>
        <w:trPr>
          <w:trHeight w:val="253" w:hRule="exact"/>
        </w:trPr>
        <w:tc>
          <w:tcPr>
            <w:tcW w:w="1385" w:type="dxa"/>
            <w:tcBorders>
              <w:top w:val="nil"/>
              <w:bottom w:val="nil"/>
            </w:tcBorders>
          </w:tcPr>
          <w:p>
            <w:pPr>
              <w:pStyle w:val="TableParagraph"/>
              <w:tabs>
                <w:tab w:pos="805" w:val="left" w:leader="none"/>
              </w:tabs>
              <w:spacing w:line="242" w:lineRule="exact"/>
              <w:rPr>
                <w:sz w:val="22"/>
              </w:rPr>
            </w:pPr>
            <w:r>
              <w:rPr>
                <w:sz w:val="22"/>
              </w:rPr>
              <w:t>la</w:t>
              <w:tab/>
              <w:t>Cruz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07" w:val="left" w:leader="none"/>
              </w:tabs>
              <w:spacing w:line="242" w:lineRule="exact"/>
              <w:ind w:left="100"/>
              <w:rPr>
                <w:sz w:val="22"/>
              </w:rPr>
            </w:pPr>
            <w:r>
              <w:rPr>
                <w:sz w:val="22"/>
              </w:rPr>
              <w:t>identificación</w:t>
              <w:tab/>
              <w:t>del</w:t>
            </w:r>
          </w:p>
        </w:tc>
        <w:tc>
          <w:tcPr>
            <w:tcW w:w="3901" w:type="dxa"/>
            <w:tcBorders>
              <w:top w:val="nil"/>
              <w:bottom w:val="nil"/>
            </w:tcBorders>
          </w:tcPr>
          <w:p>
            <w:pPr>
              <w:pStyle w:val="TableParagraph"/>
              <w:spacing w:line="242" w:lineRule="exact"/>
              <w:rPr>
                <w:sz w:val="22"/>
              </w:rPr>
            </w:pPr>
            <w:r>
              <w:rPr>
                <w:sz w:val="22"/>
              </w:rPr>
              <w:t>utilizan para riego y bebedero de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Andrés</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67" w:val="left" w:leader="none"/>
              </w:tabs>
              <w:spacing w:line="241" w:lineRule="exact"/>
              <w:ind w:left="100"/>
              <w:rPr>
                <w:sz w:val="22"/>
              </w:rPr>
            </w:pPr>
            <w:r>
              <w:rPr>
                <w:sz w:val="22"/>
              </w:rPr>
              <w:t>municipio,</w:t>
              <w:tab/>
              <w:t>Timilpan</w:t>
            </w:r>
          </w:p>
        </w:tc>
        <w:tc>
          <w:tcPr>
            <w:tcW w:w="3901" w:type="dxa"/>
            <w:tcBorders>
              <w:top w:val="nil"/>
              <w:bottom w:val="nil"/>
            </w:tcBorders>
          </w:tcPr>
          <w:p>
            <w:pPr>
              <w:pStyle w:val="TableParagraph"/>
              <w:spacing w:line="241" w:lineRule="exact"/>
              <w:rPr>
                <w:sz w:val="22"/>
              </w:rPr>
            </w:pPr>
            <w:r>
              <w:rPr>
                <w:sz w:val="22"/>
              </w:rPr>
              <w:t>ganado.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56" w:val="left" w:leader="none"/>
                <w:tab w:pos="1489" w:val="left" w:leader="none"/>
                <w:tab w:pos="2029" w:val="left" w:leader="none"/>
              </w:tabs>
              <w:spacing w:line="241" w:lineRule="exact"/>
              <w:ind w:left="100"/>
              <w:rPr>
                <w:sz w:val="22"/>
              </w:rPr>
            </w:pPr>
            <w:r>
              <w:rPr>
                <w:sz w:val="22"/>
              </w:rPr>
              <w:t>se</w:t>
              <w:tab/>
              <w:t>conoce</w:t>
              <w:tab/>
              <w:t>por</w:t>
              <w:tab/>
              <w:t>la</w:t>
            </w:r>
          </w:p>
        </w:tc>
        <w:tc>
          <w:tcPr>
            <w:tcW w:w="3901" w:type="dxa"/>
            <w:tcBorders>
              <w:top w:val="nil"/>
              <w:bottom w:val="nil"/>
            </w:tcBorders>
          </w:tcPr>
          <w:p>
            <w:pPr/>
          </w:p>
        </w:tc>
      </w:tr>
      <w:tr>
        <w:trPr>
          <w:trHeight w:val="249" w:hRule="exact"/>
        </w:trPr>
        <w:tc>
          <w:tcPr>
            <w:tcW w:w="1385" w:type="dxa"/>
            <w:tcBorders>
              <w:top w:val="nil"/>
            </w:tcBorders>
          </w:tcPr>
          <w:p>
            <w:pPr>
              <w:pStyle w:val="TableParagraph"/>
              <w:spacing w:line="242" w:lineRule="exact"/>
              <w:ind w:right="127"/>
              <w:rPr>
                <w:sz w:val="22"/>
              </w:rPr>
            </w:pPr>
            <w:r>
              <w:rPr>
                <w:sz w:val="22"/>
              </w:rPr>
              <w:t>(13/I/2015)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laguna.</w:t>
            </w:r>
          </w:p>
        </w:tc>
        <w:tc>
          <w:tcPr>
            <w:tcW w:w="3901"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4"/>
        <w:ind w:left="2270" w:right="778"/>
      </w:pPr>
      <w:r>
        <w:rPr/>
        <w:t>Tabla 6.13. Municipio de Timilpan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7"/>
        <w:gridCol w:w="2462"/>
        <w:gridCol w:w="2314"/>
        <w:gridCol w:w="3901"/>
      </w:tblGrid>
      <w:tr>
        <w:trPr>
          <w:trHeight w:val="293" w:hRule="exact"/>
        </w:trPr>
        <w:tc>
          <w:tcPr>
            <w:tcW w:w="13224" w:type="dxa"/>
            <w:gridSpan w:val="4"/>
            <w:shd w:val="clear" w:color="auto" w:fill="9BBA58"/>
          </w:tcPr>
          <w:p>
            <w:pPr>
              <w:pStyle w:val="TableParagraph"/>
              <w:spacing w:line="248" w:lineRule="exact"/>
              <w:ind w:left="4869" w:right="4870"/>
              <w:jc w:val="center"/>
              <w:rPr>
                <w:b/>
                <w:sz w:val="22"/>
              </w:rPr>
            </w:pPr>
            <w:r>
              <w:rPr>
                <w:b/>
                <w:sz w:val="22"/>
              </w:rPr>
              <w:t>TIMILPAN</w:t>
            </w:r>
          </w:p>
        </w:tc>
      </w:tr>
      <w:tr>
        <w:trPr>
          <w:trHeight w:val="524" w:hRule="exact"/>
        </w:trPr>
        <w:tc>
          <w:tcPr>
            <w:tcW w:w="4547" w:type="dxa"/>
            <w:vMerge w:val="restart"/>
            <w:shd w:val="clear" w:color="auto" w:fill="F9BE8F"/>
          </w:tcPr>
          <w:p>
            <w:pPr>
              <w:pStyle w:val="TableParagraph"/>
              <w:spacing w:before="6"/>
              <w:ind w:left="0"/>
              <w:rPr>
                <w:b/>
                <w:sz w:val="21"/>
              </w:rPr>
            </w:pPr>
          </w:p>
          <w:p>
            <w:pPr>
              <w:pStyle w:val="TableParagraph"/>
              <w:ind w:left="703" w:right="141"/>
              <w:rPr>
                <w:b/>
                <w:sz w:val="22"/>
              </w:rPr>
            </w:pPr>
            <w:r>
              <w:rPr>
                <w:b/>
                <w:sz w:val="22"/>
              </w:rPr>
              <w:t>IDENTIFICACIÓN DEL ACTOR</w:t>
            </w:r>
          </w:p>
        </w:tc>
        <w:tc>
          <w:tcPr>
            <w:tcW w:w="8677" w:type="dxa"/>
            <w:gridSpan w:val="3"/>
            <w:shd w:val="clear" w:color="auto" w:fill="92CDDC"/>
          </w:tcPr>
          <w:p>
            <w:pPr>
              <w:pStyle w:val="TableParagraph"/>
              <w:spacing w:before="6"/>
              <w:ind w:left="0"/>
              <w:rPr>
                <w:b/>
                <w:sz w:val="21"/>
              </w:rPr>
            </w:pPr>
          </w:p>
          <w:p>
            <w:pPr>
              <w:pStyle w:val="TableParagraph"/>
              <w:ind w:left="2695"/>
              <w:rPr>
                <w:b/>
                <w:sz w:val="22"/>
              </w:rPr>
            </w:pPr>
            <w:r>
              <w:rPr>
                <w:b/>
                <w:sz w:val="22"/>
              </w:rPr>
              <w:t>PRINCIPIOS DE GOBERNANZA</w:t>
            </w:r>
          </w:p>
        </w:tc>
      </w:tr>
      <w:tr>
        <w:trPr>
          <w:trHeight w:val="1022" w:hRule="exact"/>
        </w:trPr>
        <w:tc>
          <w:tcPr>
            <w:tcW w:w="4547" w:type="dxa"/>
            <w:vMerge/>
            <w:shd w:val="clear" w:color="auto" w:fill="F9BE8F"/>
          </w:tcPr>
          <w:p>
            <w:pPr/>
          </w:p>
        </w:tc>
        <w:tc>
          <w:tcPr>
            <w:tcW w:w="2462" w:type="dxa"/>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Cultura</w:t>
            </w:r>
          </w:p>
        </w:tc>
        <w:tc>
          <w:tcPr>
            <w:tcW w:w="3901" w:type="dxa"/>
            <w:shd w:val="clear" w:color="auto" w:fill="92CDDC"/>
          </w:tcPr>
          <w:p>
            <w:pPr>
              <w:pStyle w:val="TableParagraph"/>
              <w:tabs>
                <w:tab w:pos="2418" w:val="left" w:leader="none"/>
              </w:tabs>
              <w:ind w:right="100"/>
              <w:jc w:val="both"/>
              <w:rPr>
                <w:b/>
                <w:i/>
                <w:sz w:val="22"/>
              </w:rPr>
            </w:pPr>
            <w:r>
              <w:rPr>
                <w:b/>
                <w:i/>
                <w:sz w:val="22"/>
              </w:rPr>
              <w:t>Democracia y voluntariedad de la </w:t>
            </w:r>
            <w:r>
              <w:rPr>
                <w:b/>
                <w:i/>
                <w:sz w:val="22"/>
              </w:rPr>
              <w:t>sociedad,</w:t>
              <w:tab/>
            </w:r>
            <w:r>
              <w:rPr>
                <w:b/>
                <w:i/>
                <w:spacing w:val="-1"/>
                <w:sz w:val="22"/>
              </w:rPr>
              <w:t>cooperación, </w:t>
            </w:r>
            <w:r>
              <w:rPr>
                <w:b/>
                <w:i/>
                <w:sz w:val="22"/>
              </w:rPr>
              <w:t>participación social y relaciones intermunicipales</w:t>
            </w:r>
          </w:p>
        </w:tc>
      </w:tr>
    </w:tbl>
    <w:p>
      <w:pPr>
        <w:spacing w:after="0"/>
        <w:jc w:val="both"/>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1022"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52" w:lineRule="exact"/>
              <w:ind w:left="100" w:right="93"/>
              <w:rPr>
                <w:b/>
                <w:sz w:val="22"/>
              </w:rPr>
            </w:pPr>
            <w:r>
              <w:rPr>
                <w:b/>
                <w:sz w:val="22"/>
              </w:rPr>
              <w:t>Nivel Educativo</w:t>
            </w:r>
          </w:p>
        </w:tc>
        <w:tc>
          <w:tcPr>
            <w:tcW w:w="1887" w:type="dxa"/>
            <w:shd w:val="clear" w:color="auto" w:fill="F9BE8F"/>
          </w:tcPr>
          <w:p>
            <w:pPr>
              <w:pStyle w:val="TableParagraph"/>
              <w:spacing w:line="248" w:lineRule="exact"/>
              <w:rPr>
                <w:b/>
                <w:sz w:val="22"/>
              </w:rPr>
            </w:pPr>
            <w:r>
              <w:rPr>
                <w:b/>
                <w:sz w:val="22"/>
              </w:rPr>
              <w:t>Cargo Público</w:t>
            </w:r>
          </w:p>
        </w:tc>
        <w:tc>
          <w:tcPr>
            <w:tcW w:w="1289" w:type="dxa"/>
            <w:shd w:val="clear" w:color="auto" w:fill="92CDDC"/>
          </w:tcPr>
          <w:p>
            <w:pPr>
              <w:pStyle w:val="TableParagraph"/>
              <w:spacing w:line="252" w:lineRule="exact"/>
              <w:ind w:right="337"/>
              <w:rPr>
                <w:b/>
                <w:sz w:val="22"/>
              </w:rPr>
            </w:pPr>
            <w:r>
              <w:rPr>
                <w:b/>
                <w:sz w:val="22"/>
              </w:rPr>
              <w:t>¿Dónde nació?</w:t>
            </w:r>
          </w:p>
        </w:tc>
        <w:tc>
          <w:tcPr>
            <w:tcW w:w="1174" w:type="dxa"/>
            <w:shd w:val="clear" w:color="auto" w:fill="92CDDC"/>
          </w:tcPr>
          <w:p>
            <w:pPr>
              <w:pStyle w:val="TableParagraph"/>
              <w:spacing w:line="252" w:lineRule="exact"/>
              <w:ind w:right="222"/>
              <w:rPr>
                <w:b/>
                <w:sz w:val="22"/>
              </w:rPr>
            </w:pPr>
            <w:r>
              <w:rPr>
                <w:b/>
                <w:sz w:val="22"/>
              </w:rPr>
              <w:t>¿Dónde vive?</w:t>
            </w:r>
          </w:p>
        </w:tc>
        <w:tc>
          <w:tcPr>
            <w:tcW w:w="2314" w:type="dxa"/>
            <w:shd w:val="clear" w:color="auto" w:fill="92CDDC"/>
          </w:tcPr>
          <w:p>
            <w:pPr>
              <w:pStyle w:val="TableParagraph"/>
              <w:tabs>
                <w:tab w:pos="1945" w:val="left" w:leader="none"/>
              </w:tabs>
              <w:ind w:left="100" w:right="98"/>
              <w:jc w:val="both"/>
              <w:rPr>
                <w:b/>
                <w:sz w:val="22"/>
              </w:rPr>
            </w:pPr>
            <w:r>
              <w:rPr>
                <w:b/>
                <w:sz w:val="22"/>
              </w:rPr>
              <w:t>¿Considera que se ha deteriorado la laguna</w:t>
              <w:tab/>
              <w:t>de</w:t>
            </w:r>
          </w:p>
          <w:p>
            <w:pPr>
              <w:pStyle w:val="TableParagraph"/>
              <w:spacing w:line="252" w:lineRule="exact"/>
              <w:ind w:left="100"/>
              <w:jc w:val="both"/>
              <w:rPr>
                <w:b/>
                <w:sz w:val="22"/>
              </w:rPr>
            </w:pPr>
            <w:r>
              <w:rPr>
                <w:b/>
                <w:sz w:val="22"/>
              </w:rPr>
              <w:t>Huapango?</w:t>
            </w:r>
          </w:p>
        </w:tc>
        <w:tc>
          <w:tcPr>
            <w:tcW w:w="3901" w:type="dxa"/>
            <w:shd w:val="clear" w:color="auto" w:fill="92CDDC"/>
          </w:tcPr>
          <w:p>
            <w:pPr>
              <w:pStyle w:val="TableParagraph"/>
              <w:ind w:right="112"/>
              <w:rPr>
                <w:b/>
                <w:sz w:val="22"/>
              </w:rPr>
            </w:pPr>
            <w:r>
              <w:rPr>
                <w:b/>
                <w:sz w:val="22"/>
              </w:rPr>
              <w:t>¿Considera que debe cooperar su municipio para que no se deteriore la laguna de Huapango?</w:t>
            </w:r>
          </w:p>
        </w:tc>
      </w:tr>
      <w:tr>
        <w:trPr>
          <w:trHeight w:val="266" w:hRule="exact"/>
        </w:trPr>
        <w:tc>
          <w:tcPr>
            <w:tcW w:w="1385" w:type="dxa"/>
            <w:tcBorders>
              <w:bottom w:val="nil"/>
            </w:tcBorders>
          </w:tcPr>
          <w:p>
            <w:pPr>
              <w:pStyle w:val="TableParagraph"/>
              <w:spacing w:line="251" w:lineRule="exact"/>
              <w:ind w:right="127"/>
              <w:rPr>
                <w:sz w:val="22"/>
              </w:rPr>
            </w:pPr>
            <w:r>
              <w:rPr>
                <w:sz w:val="22"/>
              </w:rPr>
              <w:t>Oscar</w:t>
            </w:r>
          </w:p>
        </w:tc>
        <w:tc>
          <w:tcPr>
            <w:tcW w:w="1274" w:type="dxa"/>
            <w:tcBorders>
              <w:bottom w:val="nil"/>
            </w:tcBorders>
          </w:tcPr>
          <w:p>
            <w:pPr>
              <w:pStyle w:val="TableParagraph"/>
              <w:spacing w:line="251" w:lineRule="exact"/>
              <w:ind w:left="100"/>
              <w:rPr>
                <w:sz w:val="22"/>
              </w:rPr>
            </w:pPr>
            <w:r>
              <w:rPr>
                <w:sz w:val="22"/>
              </w:rPr>
              <w:t>Preparator</w:t>
            </w:r>
          </w:p>
        </w:tc>
        <w:tc>
          <w:tcPr>
            <w:tcW w:w="1887" w:type="dxa"/>
            <w:tcBorders>
              <w:bottom w:val="nil"/>
            </w:tcBorders>
          </w:tcPr>
          <w:p>
            <w:pPr>
              <w:pStyle w:val="TableParagraph"/>
              <w:spacing w:line="251" w:lineRule="exact"/>
              <w:ind w:left="410"/>
              <w:rPr>
                <w:sz w:val="22"/>
              </w:rPr>
            </w:pPr>
            <w:r>
              <w:rPr>
                <w:sz w:val="22"/>
              </w:rPr>
              <w:t>Presidente</w:t>
            </w:r>
          </w:p>
        </w:tc>
        <w:tc>
          <w:tcPr>
            <w:tcW w:w="1289" w:type="dxa"/>
            <w:tcBorders>
              <w:bottom w:val="nil"/>
            </w:tcBorders>
          </w:tcPr>
          <w:p>
            <w:pPr>
              <w:pStyle w:val="TableParagraph"/>
              <w:spacing w:line="251" w:lineRule="exact"/>
              <w:rPr>
                <w:sz w:val="22"/>
              </w:rPr>
            </w:pPr>
            <w:r>
              <w:rPr>
                <w:sz w:val="22"/>
              </w:rPr>
              <w:t>Timilpan</w:t>
            </w:r>
          </w:p>
        </w:tc>
        <w:tc>
          <w:tcPr>
            <w:tcW w:w="1174" w:type="dxa"/>
            <w:tcBorders>
              <w:bottom w:val="nil"/>
            </w:tcBorders>
          </w:tcPr>
          <w:p>
            <w:pPr>
              <w:pStyle w:val="TableParagraph"/>
              <w:spacing w:line="251" w:lineRule="exact"/>
              <w:rPr>
                <w:sz w:val="22"/>
              </w:rPr>
            </w:pPr>
            <w:r>
              <w:rPr>
                <w:sz w:val="22"/>
              </w:rPr>
              <w:t>Timilpan</w:t>
            </w:r>
          </w:p>
        </w:tc>
        <w:tc>
          <w:tcPr>
            <w:tcW w:w="2314" w:type="dxa"/>
            <w:tcBorders>
              <w:bottom w:val="nil"/>
            </w:tcBorders>
          </w:tcPr>
          <w:p>
            <w:pPr>
              <w:pStyle w:val="TableParagraph"/>
              <w:tabs>
                <w:tab w:pos="585" w:val="left" w:leader="none"/>
                <w:tab w:pos="1484" w:val="left" w:leader="none"/>
                <w:tab w:pos="1957" w:val="left" w:leader="none"/>
              </w:tabs>
              <w:spacing w:line="251" w:lineRule="exact"/>
              <w:ind w:left="100"/>
              <w:rPr>
                <w:sz w:val="22"/>
              </w:rPr>
            </w:pPr>
            <w:r>
              <w:rPr>
                <w:sz w:val="22"/>
              </w:rPr>
              <w:t>La</w:t>
              <w:tab/>
              <w:t>laguna</w:t>
              <w:tab/>
              <w:t>se</w:t>
              <w:tab/>
              <w:t>ha</w:t>
            </w:r>
          </w:p>
        </w:tc>
        <w:tc>
          <w:tcPr>
            <w:tcW w:w="3901" w:type="dxa"/>
            <w:tcBorders>
              <w:bottom w:val="nil"/>
            </w:tcBorders>
          </w:tcPr>
          <w:p>
            <w:pPr>
              <w:pStyle w:val="TableParagraph"/>
              <w:spacing w:line="251" w:lineRule="exact"/>
              <w:rPr>
                <w:sz w:val="22"/>
              </w:rPr>
            </w:pPr>
            <w:r>
              <w:rPr>
                <w:sz w:val="22"/>
              </w:rPr>
              <w:t>El municipio no coopera para que  no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274" w:type="dxa"/>
            <w:tcBorders>
              <w:top w:val="nil"/>
              <w:bottom w:val="nil"/>
            </w:tcBorders>
          </w:tcPr>
          <w:p>
            <w:pPr>
              <w:pStyle w:val="TableParagraph"/>
              <w:spacing w:line="241" w:lineRule="exact"/>
              <w:ind w:left="100" w:right="98"/>
              <w:rPr>
                <w:sz w:val="22"/>
              </w:rPr>
            </w:pPr>
            <w:r>
              <w:rPr>
                <w:sz w:val="22"/>
              </w:rPr>
              <w:t>ia y</w:t>
            </w: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44" w:val="left" w:leader="none"/>
                <w:tab w:pos="2029" w:val="left" w:leader="none"/>
              </w:tabs>
              <w:spacing w:line="241" w:lineRule="exact"/>
              <w:ind w:left="100"/>
              <w:rPr>
                <w:sz w:val="22"/>
              </w:rPr>
            </w:pPr>
            <w:r>
              <w:rPr>
                <w:sz w:val="22"/>
              </w:rPr>
              <w:t>deteriorado</w:t>
              <w:tab/>
              <w:t>con</w:t>
              <w:tab/>
              <w:t>el</w:t>
            </w:r>
          </w:p>
        </w:tc>
        <w:tc>
          <w:tcPr>
            <w:tcW w:w="3901" w:type="dxa"/>
            <w:tcBorders>
              <w:top w:val="nil"/>
              <w:bottom w:val="nil"/>
            </w:tcBorders>
          </w:tcPr>
          <w:p>
            <w:pPr>
              <w:pStyle w:val="TableParagraph"/>
              <w:spacing w:line="241" w:lineRule="exact"/>
              <w:rPr>
                <w:sz w:val="22"/>
              </w:rPr>
            </w:pPr>
            <w:r>
              <w:rPr>
                <w:sz w:val="22"/>
              </w:rPr>
              <w:t>se deteriore la laguna porque no    se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Ruíz</w:t>
            </w:r>
          </w:p>
        </w:tc>
        <w:tc>
          <w:tcPr>
            <w:tcW w:w="1274" w:type="dxa"/>
            <w:tcBorders>
              <w:top w:val="nil"/>
              <w:bottom w:val="nil"/>
            </w:tcBorders>
          </w:tcPr>
          <w:p>
            <w:pPr>
              <w:pStyle w:val="TableParagraph"/>
              <w:spacing w:line="242" w:lineRule="exact"/>
              <w:ind w:left="100" w:right="98"/>
              <w:rPr>
                <w:sz w:val="22"/>
              </w:rPr>
            </w:pPr>
            <w:r>
              <w:rPr>
                <w:sz w:val="22"/>
              </w:rPr>
              <w:t>carrera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tiempo por lo que  se</w:t>
            </w:r>
          </w:p>
        </w:tc>
        <w:tc>
          <w:tcPr>
            <w:tcW w:w="3901" w:type="dxa"/>
            <w:tcBorders>
              <w:top w:val="nil"/>
              <w:bottom w:val="nil"/>
            </w:tcBorders>
          </w:tcPr>
          <w:p>
            <w:pPr>
              <w:pStyle w:val="TableParagraph"/>
              <w:spacing w:line="242" w:lineRule="exact"/>
              <w:rPr>
                <w:sz w:val="22"/>
              </w:rPr>
            </w:pPr>
            <w:r>
              <w:rPr>
                <w:sz w:val="22"/>
              </w:rPr>
              <w:t>tiene un beneficio directo.</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técnica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37" w:val="left" w:leader="none"/>
              </w:tabs>
              <w:spacing w:line="241" w:lineRule="exact"/>
              <w:ind w:left="100"/>
              <w:rPr>
                <w:sz w:val="22"/>
              </w:rPr>
            </w:pPr>
            <w:r>
              <w:rPr>
                <w:sz w:val="22"/>
              </w:rPr>
              <w:t>necesita</w:t>
              <w:tab/>
              <w:t>desazolvar</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rPr>
                <w:sz w:val="22"/>
              </w:rPr>
            </w:pPr>
            <w:r>
              <w:rPr>
                <w:sz w:val="22"/>
              </w:rPr>
              <w:t>(24/II/2014)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93" w:val="left" w:leader="none"/>
                <w:tab w:pos="1369" w:val="left" w:leader="none"/>
              </w:tabs>
              <w:spacing w:line="241" w:lineRule="exact"/>
              <w:ind w:left="100"/>
              <w:rPr>
                <w:sz w:val="22"/>
              </w:rPr>
            </w:pPr>
            <w:r>
              <w:rPr>
                <w:sz w:val="22"/>
              </w:rPr>
              <w:t>porque</w:t>
              <w:tab/>
              <w:t>el</w:t>
              <w:tab/>
              <w:t>volumen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de  azolve  que  tiene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no le permite llegar a</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su nivel.</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Rincón de</w:t>
            </w:r>
          </w:p>
        </w:tc>
        <w:tc>
          <w:tcPr>
            <w:tcW w:w="1174" w:type="dxa"/>
            <w:tcBorders>
              <w:bottom w:val="nil"/>
            </w:tcBorders>
          </w:tcPr>
          <w:p>
            <w:pPr>
              <w:pStyle w:val="TableParagraph"/>
              <w:spacing w:line="251" w:lineRule="exact"/>
              <w:rPr>
                <w:sz w:val="22"/>
              </w:rPr>
            </w:pPr>
            <w:r>
              <w:rPr>
                <w:sz w:val="22"/>
              </w:rPr>
              <w:t>Rincón</w:t>
            </w:r>
          </w:p>
        </w:tc>
        <w:tc>
          <w:tcPr>
            <w:tcW w:w="2314" w:type="dxa"/>
            <w:tcBorders>
              <w:bottom w:val="nil"/>
            </w:tcBorders>
          </w:tcPr>
          <w:p>
            <w:pPr>
              <w:pStyle w:val="TableParagraph"/>
              <w:spacing w:line="251" w:lineRule="exact"/>
              <w:ind w:left="100"/>
              <w:rPr>
                <w:sz w:val="22"/>
              </w:rPr>
            </w:pPr>
            <w:r>
              <w:rPr>
                <w:sz w:val="22"/>
              </w:rPr>
              <w:t>Sí por  el crecimiento</w:t>
            </w:r>
          </w:p>
        </w:tc>
        <w:tc>
          <w:tcPr>
            <w:tcW w:w="3901" w:type="dxa"/>
            <w:tcBorders>
              <w:bottom w:val="nil"/>
            </w:tcBorders>
          </w:tcPr>
          <w:p>
            <w:pPr>
              <w:pStyle w:val="TableParagraph"/>
              <w:spacing w:line="251" w:lineRule="exact"/>
              <w:rPr>
                <w:sz w:val="22"/>
              </w:rPr>
            </w:pPr>
            <w:r>
              <w:rPr>
                <w:sz w:val="22"/>
              </w:rPr>
              <w:t>Sí,   pero   el   municipio   ahorita   no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Ruiz</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Presidente de la</w:t>
            </w:r>
          </w:p>
        </w:tc>
        <w:tc>
          <w:tcPr>
            <w:tcW w:w="1289" w:type="dxa"/>
            <w:tcBorders>
              <w:top w:val="nil"/>
              <w:bottom w:val="nil"/>
            </w:tcBorders>
          </w:tcPr>
          <w:p>
            <w:pPr>
              <w:pStyle w:val="TableParagraph"/>
              <w:spacing w:line="242" w:lineRule="exact"/>
              <w:rPr>
                <w:sz w:val="22"/>
              </w:rPr>
            </w:pPr>
            <w:r>
              <w:rPr>
                <w:sz w:val="22"/>
              </w:rPr>
              <w:t>Bucio,</w:t>
            </w:r>
          </w:p>
        </w:tc>
        <w:tc>
          <w:tcPr>
            <w:tcW w:w="1174" w:type="dxa"/>
            <w:tcBorders>
              <w:top w:val="nil"/>
              <w:bottom w:val="nil"/>
            </w:tcBorders>
          </w:tcPr>
          <w:p>
            <w:pPr>
              <w:pStyle w:val="TableParagraph"/>
              <w:spacing w:line="242" w:lineRule="exact"/>
              <w:rPr>
                <w:sz w:val="22"/>
              </w:rPr>
            </w:pPr>
            <w:r>
              <w:rPr>
                <w:sz w:val="22"/>
              </w:rPr>
              <w:t>de Bucio,</w:t>
            </w:r>
          </w:p>
        </w:tc>
        <w:tc>
          <w:tcPr>
            <w:tcW w:w="2314" w:type="dxa"/>
            <w:tcBorders>
              <w:top w:val="nil"/>
              <w:bottom w:val="nil"/>
            </w:tcBorders>
          </w:tcPr>
          <w:p>
            <w:pPr>
              <w:pStyle w:val="TableParagraph"/>
              <w:spacing w:line="242" w:lineRule="exact"/>
              <w:ind w:left="100"/>
              <w:rPr>
                <w:sz w:val="22"/>
              </w:rPr>
            </w:pPr>
            <w:r>
              <w:rPr>
                <w:sz w:val="22"/>
              </w:rPr>
              <w:t>de los asentamientos</w:t>
            </w:r>
          </w:p>
        </w:tc>
        <w:tc>
          <w:tcPr>
            <w:tcW w:w="3901" w:type="dxa"/>
            <w:tcBorders>
              <w:top w:val="nil"/>
              <w:bottom w:val="nil"/>
            </w:tcBorders>
          </w:tcPr>
          <w:p>
            <w:pPr>
              <w:pStyle w:val="TableParagraph"/>
              <w:spacing w:line="242" w:lineRule="exact"/>
              <w:rPr>
                <w:sz w:val="22"/>
              </w:rPr>
            </w:pPr>
            <w:r>
              <w:rPr>
                <w:sz w:val="22"/>
              </w:rPr>
              <w:t>interviene  porque  San  Juan  del Río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Style w:val="TableParagraph"/>
              <w:spacing w:line="241" w:lineRule="exact"/>
              <w:rPr>
                <w:sz w:val="22"/>
              </w:rPr>
            </w:pPr>
            <w:r>
              <w:rPr>
                <w:sz w:val="22"/>
              </w:rPr>
              <w:t>Timilpan</w:t>
            </w:r>
          </w:p>
        </w:tc>
        <w:tc>
          <w:tcPr>
            <w:tcW w:w="1174" w:type="dxa"/>
            <w:tcBorders>
              <w:top w:val="nil"/>
              <w:bottom w:val="nil"/>
            </w:tcBorders>
          </w:tcPr>
          <w:p>
            <w:pPr>
              <w:pStyle w:val="TableParagraph"/>
              <w:spacing w:line="241" w:lineRule="exact"/>
              <w:rPr>
                <w:sz w:val="22"/>
              </w:rPr>
            </w:pPr>
            <w:r>
              <w:rPr>
                <w:sz w:val="22"/>
              </w:rPr>
              <w:t>Timilpan</w:t>
            </w:r>
          </w:p>
        </w:tc>
        <w:tc>
          <w:tcPr>
            <w:tcW w:w="2314" w:type="dxa"/>
            <w:tcBorders>
              <w:top w:val="nil"/>
              <w:bottom w:val="nil"/>
            </w:tcBorders>
          </w:tcPr>
          <w:p>
            <w:pPr>
              <w:pStyle w:val="TableParagraph"/>
              <w:spacing w:line="241" w:lineRule="exact"/>
              <w:ind w:left="100"/>
              <w:rPr>
                <w:sz w:val="22"/>
              </w:rPr>
            </w:pPr>
            <w:r>
              <w:rPr>
                <w:sz w:val="22"/>
              </w:rPr>
              <w:t>humanos.</w:t>
            </w:r>
          </w:p>
        </w:tc>
        <w:tc>
          <w:tcPr>
            <w:tcW w:w="3901" w:type="dxa"/>
            <w:tcBorders>
              <w:top w:val="nil"/>
              <w:bottom w:val="nil"/>
            </w:tcBorders>
          </w:tcPr>
          <w:p>
            <w:pPr>
              <w:pStyle w:val="TableParagraph"/>
              <w:tabs>
                <w:tab w:pos="829" w:val="left" w:leader="none"/>
                <w:tab w:pos="1249" w:val="left" w:leader="none"/>
                <w:tab w:pos="2436" w:val="left" w:leader="none"/>
                <w:tab w:pos="2856" w:val="left" w:leader="none"/>
              </w:tabs>
              <w:spacing w:line="241" w:lineRule="exact"/>
              <w:rPr>
                <w:sz w:val="22"/>
              </w:rPr>
            </w:pPr>
            <w:r>
              <w:rPr>
                <w:sz w:val="22"/>
              </w:rPr>
              <w:t>tiene</w:t>
              <w:tab/>
              <w:t>el</w:t>
              <w:tab/>
              <w:t>beneficio,</w:t>
              <w:tab/>
              <w:t>el</w:t>
              <w:tab/>
              <w:t>municipio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 Rural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intervendría sólo si obtiene beneficio.</w:t>
            </w:r>
          </w:p>
        </w:tc>
      </w:tr>
      <w:tr>
        <w:trPr>
          <w:trHeight w:val="503" w:hRule="exact"/>
        </w:trPr>
        <w:tc>
          <w:tcPr>
            <w:tcW w:w="1385" w:type="dxa"/>
            <w:tcBorders>
              <w:top w:val="nil"/>
            </w:tcBorders>
          </w:tcPr>
          <w:p>
            <w:pPr>
              <w:pStyle w:val="TableParagraph"/>
              <w:spacing w:line="242" w:lineRule="exact"/>
              <w:ind w:right="127"/>
              <w:rPr>
                <w:sz w:val="22"/>
              </w:rPr>
            </w:pPr>
            <w:r>
              <w:rPr>
                <w:sz w:val="22"/>
              </w:rPr>
              <w:t>(24/I/2015)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Jacinta</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Cuarto  Regidor.</w:t>
            </w:r>
          </w:p>
        </w:tc>
        <w:tc>
          <w:tcPr>
            <w:tcW w:w="1289" w:type="dxa"/>
            <w:tcBorders>
              <w:bottom w:val="nil"/>
            </w:tcBorders>
          </w:tcPr>
          <w:p>
            <w:pPr>
              <w:pStyle w:val="TableParagraph"/>
              <w:spacing w:line="251" w:lineRule="exact"/>
              <w:rPr>
                <w:sz w:val="22"/>
              </w:rPr>
            </w:pPr>
            <w:r>
              <w:rPr>
                <w:sz w:val="22"/>
              </w:rPr>
              <w:t>Santiago</w:t>
            </w:r>
          </w:p>
        </w:tc>
        <w:tc>
          <w:tcPr>
            <w:tcW w:w="1174" w:type="dxa"/>
            <w:tcBorders>
              <w:bottom w:val="nil"/>
            </w:tcBorders>
          </w:tcPr>
          <w:p>
            <w:pPr>
              <w:pStyle w:val="TableParagraph"/>
              <w:spacing w:line="251" w:lineRule="exact"/>
              <w:rPr>
                <w:sz w:val="22"/>
              </w:rPr>
            </w:pPr>
            <w:r>
              <w:rPr>
                <w:sz w:val="22"/>
              </w:rPr>
              <w:t>Santiago</w:t>
            </w:r>
          </w:p>
        </w:tc>
        <w:tc>
          <w:tcPr>
            <w:tcW w:w="2314" w:type="dxa"/>
            <w:tcBorders>
              <w:bottom w:val="nil"/>
            </w:tcBorders>
          </w:tcPr>
          <w:p>
            <w:pPr>
              <w:pStyle w:val="TableParagraph"/>
              <w:tabs>
                <w:tab w:pos="611" w:val="left" w:leader="none"/>
                <w:tab w:pos="1232" w:val="left" w:leader="none"/>
                <w:tab w:pos="1956" w:val="left" w:leader="none"/>
              </w:tabs>
              <w:spacing w:line="251" w:lineRule="exact"/>
              <w:ind w:left="100"/>
              <w:rPr>
                <w:sz w:val="22"/>
              </w:rPr>
            </w:pPr>
            <w:r>
              <w:rPr>
                <w:sz w:val="22"/>
              </w:rPr>
              <w:t>Sí</w:t>
              <w:tab/>
              <w:t>por</w:t>
              <w:tab/>
              <w:t>falta</w:t>
              <w:tab/>
              <w:t>de</w:t>
            </w:r>
          </w:p>
        </w:tc>
        <w:tc>
          <w:tcPr>
            <w:tcW w:w="3901" w:type="dxa"/>
            <w:tcBorders>
              <w:bottom w:val="nil"/>
            </w:tcBorders>
          </w:tcPr>
          <w:p>
            <w:pPr>
              <w:pStyle w:val="TableParagraph"/>
              <w:spacing w:line="251" w:lineRule="exact"/>
              <w:rPr>
                <w:sz w:val="22"/>
              </w:rPr>
            </w:pPr>
            <w:r>
              <w:rPr>
                <w:sz w:val="22"/>
              </w:rPr>
              <w:t>Se enfoca más al Comisariado Ejidal,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Jasso</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Presidenta  de la</w:t>
            </w:r>
          </w:p>
        </w:tc>
        <w:tc>
          <w:tcPr>
            <w:tcW w:w="1289" w:type="dxa"/>
            <w:tcBorders>
              <w:top w:val="nil"/>
              <w:bottom w:val="nil"/>
            </w:tcBorders>
          </w:tcPr>
          <w:p>
            <w:pPr>
              <w:pStyle w:val="TableParagraph"/>
              <w:spacing w:line="241" w:lineRule="exact"/>
              <w:rPr>
                <w:sz w:val="22"/>
              </w:rPr>
            </w:pPr>
            <w:r>
              <w:rPr>
                <w:sz w:val="22"/>
              </w:rPr>
              <w:t>Maxdá,</w:t>
            </w:r>
          </w:p>
        </w:tc>
        <w:tc>
          <w:tcPr>
            <w:tcW w:w="1174" w:type="dxa"/>
            <w:tcBorders>
              <w:top w:val="nil"/>
              <w:bottom w:val="nil"/>
            </w:tcBorders>
          </w:tcPr>
          <w:p>
            <w:pPr>
              <w:pStyle w:val="TableParagraph"/>
              <w:spacing w:line="241" w:lineRule="exact"/>
              <w:rPr>
                <w:sz w:val="22"/>
              </w:rPr>
            </w:pPr>
            <w:r>
              <w:rPr>
                <w:sz w:val="22"/>
              </w:rPr>
              <w:t>Maxdá,</w:t>
            </w:r>
          </w:p>
        </w:tc>
        <w:tc>
          <w:tcPr>
            <w:tcW w:w="2314" w:type="dxa"/>
            <w:tcBorders>
              <w:top w:val="nil"/>
              <w:bottom w:val="nil"/>
            </w:tcBorders>
          </w:tcPr>
          <w:p>
            <w:pPr>
              <w:pStyle w:val="TableParagraph"/>
              <w:spacing w:line="241" w:lineRule="exact"/>
              <w:ind w:left="100"/>
              <w:rPr>
                <w:sz w:val="22"/>
              </w:rPr>
            </w:pPr>
            <w:r>
              <w:rPr>
                <w:sz w:val="22"/>
              </w:rPr>
              <w:t>mantenimiento.</w:t>
            </w:r>
          </w:p>
        </w:tc>
        <w:tc>
          <w:tcPr>
            <w:tcW w:w="3901" w:type="dxa"/>
            <w:tcBorders>
              <w:top w:val="nil"/>
              <w:bottom w:val="nil"/>
            </w:tcBorders>
          </w:tcPr>
          <w:p>
            <w:pPr>
              <w:pStyle w:val="TableParagraph"/>
              <w:spacing w:line="241" w:lineRule="exact"/>
              <w:rPr>
                <w:sz w:val="22"/>
              </w:rPr>
            </w:pPr>
            <w:r>
              <w:rPr>
                <w:sz w:val="22"/>
              </w:rPr>
              <w:t>sí se hace petición al municipio,     se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González</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289" w:type="dxa"/>
            <w:tcBorders>
              <w:top w:val="nil"/>
              <w:bottom w:val="nil"/>
            </w:tcBorders>
          </w:tcPr>
          <w:p>
            <w:pPr>
              <w:pStyle w:val="TableParagraph"/>
              <w:spacing w:line="242" w:lineRule="exact"/>
              <w:rPr>
                <w:sz w:val="22"/>
              </w:rPr>
            </w:pPr>
            <w:r>
              <w:rPr>
                <w:sz w:val="22"/>
              </w:rPr>
              <w:t>Timilpan</w:t>
            </w:r>
          </w:p>
        </w:tc>
        <w:tc>
          <w:tcPr>
            <w:tcW w:w="1174" w:type="dxa"/>
            <w:tcBorders>
              <w:top w:val="nil"/>
              <w:bottom w:val="nil"/>
            </w:tcBorders>
          </w:tcPr>
          <w:p>
            <w:pPr>
              <w:pStyle w:val="TableParagraph"/>
              <w:spacing w:line="242" w:lineRule="exact"/>
              <w:rPr>
                <w:sz w:val="22"/>
              </w:rPr>
            </w:pPr>
            <w:r>
              <w:rPr>
                <w:sz w:val="22"/>
              </w:rPr>
              <w:t>Timilpan</w:t>
            </w: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ve con que se le ayuda.</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2" w:val="left" w:leader="none"/>
              </w:tabs>
              <w:spacing w:line="241" w:lineRule="exact"/>
              <w:rPr>
                <w:sz w:val="22"/>
              </w:rPr>
            </w:pPr>
            <w:r>
              <w:rPr>
                <w:sz w:val="22"/>
              </w:rPr>
              <w:t>Empleo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ind w:right="127"/>
              <w:rPr>
                <w:sz w:val="22"/>
              </w:rPr>
            </w:pPr>
            <w:r>
              <w:rPr>
                <w:sz w:val="22"/>
              </w:rPr>
              <w:t>(24/I/2015)</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Turismo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rPr>
                <w:sz w:val="22"/>
              </w:rPr>
            </w:pPr>
            <w:r>
              <w:rPr>
                <w:sz w:val="22"/>
              </w:rPr>
              <w:t>Erika María</w:t>
            </w:r>
          </w:p>
        </w:tc>
        <w:tc>
          <w:tcPr>
            <w:tcW w:w="1274" w:type="dxa"/>
            <w:tcBorders>
              <w:bottom w:val="nil"/>
            </w:tcBorders>
          </w:tcPr>
          <w:p>
            <w:pPr>
              <w:pStyle w:val="TableParagraph"/>
              <w:spacing w:line="251" w:lineRule="exact"/>
              <w:ind w:left="100" w:right="98"/>
              <w:rPr>
                <w:sz w:val="22"/>
              </w:rPr>
            </w:pPr>
            <w:r>
              <w:rPr>
                <w:sz w:val="22"/>
              </w:rPr>
              <w:t>Técnico</w:t>
            </w:r>
          </w:p>
        </w:tc>
        <w:tc>
          <w:tcPr>
            <w:tcW w:w="1887" w:type="dxa"/>
            <w:tcBorders>
              <w:bottom w:val="nil"/>
            </w:tcBorders>
          </w:tcPr>
          <w:p>
            <w:pPr>
              <w:pStyle w:val="TableParagraph"/>
              <w:spacing w:line="251" w:lineRule="exact"/>
              <w:rPr>
                <w:sz w:val="22"/>
              </w:rPr>
            </w:pPr>
            <w:r>
              <w:rPr>
                <w:sz w:val="22"/>
              </w:rPr>
              <w:t>Quinto   Regidor.</w:t>
            </w:r>
          </w:p>
        </w:tc>
        <w:tc>
          <w:tcPr>
            <w:tcW w:w="1289" w:type="dxa"/>
            <w:tcBorders>
              <w:bottom w:val="nil"/>
            </w:tcBorders>
          </w:tcPr>
          <w:p>
            <w:pPr>
              <w:pStyle w:val="TableParagraph"/>
              <w:spacing w:line="251" w:lineRule="exact"/>
              <w:rPr>
                <w:sz w:val="22"/>
              </w:rPr>
            </w:pPr>
            <w:r>
              <w:rPr>
                <w:sz w:val="22"/>
              </w:rPr>
              <w:t>Naucalpan</w:t>
            </w:r>
          </w:p>
        </w:tc>
        <w:tc>
          <w:tcPr>
            <w:tcW w:w="1174" w:type="dxa"/>
            <w:tcBorders>
              <w:bottom w:val="nil"/>
            </w:tcBorders>
          </w:tcPr>
          <w:p>
            <w:pPr>
              <w:pStyle w:val="TableParagraph"/>
              <w:spacing w:line="251" w:lineRule="exact"/>
              <w:rPr>
                <w:sz w:val="22"/>
              </w:rPr>
            </w:pPr>
            <w:r>
              <w:rPr>
                <w:sz w:val="22"/>
              </w:rPr>
              <w:t>Timilpan</w:t>
            </w:r>
          </w:p>
        </w:tc>
        <w:tc>
          <w:tcPr>
            <w:tcW w:w="2314" w:type="dxa"/>
            <w:tcBorders>
              <w:bottom w:val="nil"/>
            </w:tcBorders>
          </w:tcPr>
          <w:p>
            <w:pPr>
              <w:pStyle w:val="TableParagraph"/>
              <w:tabs>
                <w:tab w:pos="606" w:val="left" w:leader="none"/>
                <w:tab w:pos="1089" w:val="left" w:leader="none"/>
              </w:tabs>
              <w:spacing w:line="251" w:lineRule="exact"/>
              <w:ind w:left="100"/>
              <w:rPr>
                <w:sz w:val="22"/>
              </w:rPr>
            </w:pPr>
            <w:r>
              <w:rPr>
                <w:sz w:val="22"/>
              </w:rPr>
              <w:t>Se</w:t>
              <w:tab/>
              <w:t>ha</w:t>
              <w:tab/>
              <w:t>deteriorado</w:t>
            </w:r>
          </w:p>
        </w:tc>
        <w:tc>
          <w:tcPr>
            <w:tcW w:w="3901" w:type="dxa"/>
            <w:tcBorders>
              <w:bottom w:val="nil"/>
            </w:tcBorders>
          </w:tcPr>
          <w:p>
            <w:pPr>
              <w:pStyle w:val="TableParagraph"/>
              <w:spacing w:line="251" w:lineRule="exact"/>
              <w:rPr>
                <w:sz w:val="22"/>
              </w:rPr>
            </w:pPr>
            <w:r>
              <w:rPr>
                <w:sz w:val="22"/>
              </w:rPr>
              <w:t>Es  por  ello  que  el  municipio   debe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Correa</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Presidente  de la</w:t>
            </w:r>
          </w:p>
        </w:tc>
        <w:tc>
          <w:tcPr>
            <w:tcW w:w="1289" w:type="dxa"/>
            <w:tcBorders>
              <w:top w:val="nil"/>
              <w:bottom w:val="nil"/>
            </w:tcBorders>
          </w:tcPr>
          <w:p>
            <w:pPr>
              <w:pStyle w:val="TableParagraph"/>
              <w:spacing w:line="241" w:lineRule="exact"/>
              <w:rPr>
                <w:sz w:val="22"/>
              </w:rPr>
            </w:pPr>
            <w:r>
              <w:rPr>
                <w:sz w:val="22"/>
              </w:rPr>
              <w:t>de Juárez</w:t>
            </w:r>
          </w:p>
        </w:tc>
        <w:tc>
          <w:tcPr>
            <w:tcW w:w="1174" w:type="dxa"/>
            <w:tcBorders>
              <w:top w:val="nil"/>
              <w:bottom w:val="nil"/>
            </w:tcBorders>
          </w:tcPr>
          <w:p>
            <w:pPr>
              <w:pStyle w:val="TableParagraph"/>
              <w:spacing w:line="241" w:lineRule="exact"/>
              <w:rPr>
                <w:sz w:val="22"/>
              </w:rPr>
            </w:pPr>
            <w:r>
              <w:rPr>
                <w:sz w:val="22"/>
              </w:rPr>
              <w:t>(desde</w:t>
            </w:r>
          </w:p>
        </w:tc>
        <w:tc>
          <w:tcPr>
            <w:tcW w:w="2314" w:type="dxa"/>
            <w:tcBorders>
              <w:top w:val="nil"/>
              <w:bottom w:val="nil"/>
            </w:tcBorders>
          </w:tcPr>
          <w:p>
            <w:pPr>
              <w:pStyle w:val="TableParagraph"/>
              <w:spacing w:line="241" w:lineRule="exact"/>
              <w:ind w:left="100"/>
              <w:rPr>
                <w:sz w:val="22"/>
              </w:rPr>
            </w:pPr>
            <w:r>
              <w:rPr>
                <w:sz w:val="22"/>
              </w:rPr>
              <w:t>con  el  tiempo, antes</w:t>
            </w:r>
          </w:p>
        </w:tc>
        <w:tc>
          <w:tcPr>
            <w:tcW w:w="3901" w:type="dxa"/>
            <w:tcBorders>
              <w:top w:val="nil"/>
              <w:bottom w:val="nil"/>
            </w:tcBorders>
          </w:tcPr>
          <w:p>
            <w:pPr>
              <w:pStyle w:val="TableParagraph"/>
              <w:spacing w:line="241" w:lineRule="exact"/>
              <w:rPr>
                <w:sz w:val="22"/>
              </w:rPr>
            </w:pPr>
            <w:r>
              <w:rPr>
                <w:sz w:val="22"/>
              </w:rPr>
              <w:t>cooperar para que no se deteriore </w:t>
            </w:r>
            <w:r>
              <w:rPr>
                <w:spacing w:val="51"/>
                <w:sz w:val="22"/>
              </w:rPr>
              <w:t> </w:t>
            </w:r>
            <w:r>
              <w:rPr>
                <w:sz w:val="22"/>
              </w:rPr>
              <w:t>la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Plata</w:t>
            </w:r>
          </w:p>
        </w:tc>
        <w:tc>
          <w:tcPr>
            <w:tcW w:w="1274" w:type="dxa"/>
            <w:tcBorders>
              <w:top w:val="nil"/>
              <w:bottom w:val="nil"/>
            </w:tcBorders>
          </w:tcPr>
          <w:p>
            <w:pPr>
              <w:pStyle w:val="TableParagraph"/>
              <w:spacing w:line="242" w:lineRule="exact"/>
              <w:ind w:left="100"/>
              <w:rPr>
                <w:sz w:val="22"/>
              </w:rPr>
            </w:pPr>
            <w:r>
              <w:rPr>
                <w:sz w:val="22"/>
              </w:rPr>
              <w:t>Computaci</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hace 30</w:t>
            </w:r>
          </w:p>
        </w:tc>
        <w:tc>
          <w:tcPr>
            <w:tcW w:w="2314" w:type="dxa"/>
            <w:tcBorders>
              <w:top w:val="nil"/>
              <w:bottom w:val="nil"/>
            </w:tcBorders>
          </w:tcPr>
          <w:p>
            <w:pPr>
              <w:pStyle w:val="TableParagraph"/>
              <w:spacing w:line="242" w:lineRule="exact"/>
              <w:ind w:left="100"/>
              <w:rPr>
                <w:sz w:val="22"/>
              </w:rPr>
            </w:pPr>
            <w:r>
              <w:rPr>
                <w:sz w:val="22"/>
              </w:rPr>
              <w:t>era  mejor  que ahora</w:t>
            </w:r>
          </w:p>
        </w:tc>
        <w:tc>
          <w:tcPr>
            <w:tcW w:w="3901" w:type="dxa"/>
            <w:tcBorders>
              <w:top w:val="nil"/>
              <w:bottom w:val="nil"/>
            </w:tcBorders>
          </w:tcPr>
          <w:p>
            <w:pPr>
              <w:pStyle w:val="TableParagraph"/>
              <w:spacing w:line="242" w:lineRule="exact"/>
              <w:rPr>
                <w:sz w:val="22"/>
              </w:rPr>
            </w:pPr>
            <w:r>
              <w:rPr>
                <w:sz w:val="22"/>
              </w:rPr>
              <w:t>laguna porque es algo bonito para  el</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ón</w:t>
            </w:r>
          </w:p>
        </w:tc>
        <w:tc>
          <w:tcPr>
            <w:tcW w:w="1887" w:type="dxa"/>
            <w:tcBorders>
              <w:top w:val="nil"/>
              <w:bottom w:val="nil"/>
            </w:tcBorders>
          </w:tcPr>
          <w:p>
            <w:pPr>
              <w:pStyle w:val="TableParagraph"/>
              <w:spacing w:line="241" w:lineRule="exact"/>
              <w:rPr>
                <w:sz w:val="22"/>
              </w:rPr>
            </w:pPr>
            <w:r>
              <w:rPr>
                <w:sz w:val="22"/>
              </w:rPr>
              <w:t>Salud   y   Medio</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años)</w:t>
            </w:r>
          </w:p>
        </w:tc>
        <w:tc>
          <w:tcPr>
            <w:tcW w:w="2314" w:type="dxa"/>
            <w:tcBorders>
              <w:top w:val="nil"/>
              <w:bottom w:val="nil"/>
            </w:tcBorders>
          </w:tcPr>
          <w:p>
            <w:pPr>
              <w:pStyle w:val="TableParagraph"/>
              <w:spacing w:line="241" w:lineRule="exact"/>
              <w:ind w:left="100"/>
              <w:rPr>
                <w:sz w:val="22"/>
              </w:rPr>
            </w:pPr>
            <w:r>
              <w:rPr>
                <w:sz w:val="22"/>
              </w:rPr>
              <w:t>porque  hay  muchas</w:t>
            </w:r>
          </w:p>
        </w:tc>
        <w:tc>
          <w:tcPr>
            <w:tcW w:w="3901" w:type="dxa"/>
            <w:tcBorders>
              <w:top w:val="nil"/>
              <w:bottom w:val="nil"/>
            </w:tcBorders>
          </w:tcPr>
          <w:p>
            <w:pPr>
              <w:pStyle w:val="TableParagraph"/>
              <w:spacing w:line="241" w:lineRule="exact"/>
              <w:rPr>
                <w:sz w:val="22"/>
              </w:rPr>
            </w:pPr>
            <w:r>
              <w:rPr>
                <w:sz w:val="22"/>
              </w:rPr>
              <w:t>municipio   y   lo   que   se   quiere es</w:t>
            </w:r>
          </w:p>
        </w:tc>
      </w:tr>
      <w:tr>
        <w:trPr>
          <w:trHeight w:val="254" w:hRule="exact"/>
        </w:trPr>
        <w:tc>
          <w:tcPr>
            <w:tcW w:w="1385" w:type="dxa"/>
            <w:tcBorders>
              <w:top w:val="nil"/>
              <w:bottom w:val="nil"/>
            </w:tcBorders>
          </w:tcPr>
          <w:p>
            <w:pPr>
              <w:pStyle w:val="TableParagraph"/>
              <w:spacing w:line="242" w:lineRule="exact"/>
              <w:rPr>
                <w:sz w:val="22"/>
              </w:rPr>
            </w:pPr>
            <w:r>
              <w:rPr>
                <w:sz w:val="22"/>
              </w:rPr>
              <w:t>(24/II/2014)</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Ambiente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viviendas  y</w:t>
            </w:r>
            <w:r>
              <w:rPr>
                <w:spacing w:val="51"/>
                <w:sz w:val="22"/>
              </w:rPr>
              <w:t> </w:t>
            </w:r>
            <w:r>
              <w:rPr>
                <w:sz w:val="22"/>
              </w:rPr>
              <w:t>parcelas</w:t>
            </w:r>
          </w:p>
        </w:tc>
        <w:tc>
          <w:tcPr>
            <w:tcW w:w="3901" w:type="dxa"/>
            <w:tcBorders>
              <w:top w:val="nil"/>
              <w:bottom w:val="nil"/>
            </w:tcBorders>
          </w:tcPr>
          <w:p>
            <w:pPr>
              <w:pStyle w:val="TableParagraph"/>
              <w:tabs>
                <w:tab w:pos="1069" w:val="left" w:leader="none"/>
                <w:tab w:pos="1470" w:val="left" w:leader="none"/>
                <w:tab w:pos="2310" w:val="left" w:leader="none"/>
                <w:tab w:pos="2907" w:val="left" w:leader="none"/>
                <w:tab w:pos="3614" w:val="left" w:leader="none"/>
              </w:tabs>
              <w:spacing w:line="242" w:lineRule="exact"/>
              <w:rPr>
                <w:sz w:val="22"/>
              </w:rPr>
            </w:pPr>
            <w:r>
              <w:rPr>
                <w:sz w:val="22"/>
              </w:rPr>
              <w:t>resaltar</w:t>
              <w:tab/>
              <w:t>lo</w:t>
              <w:tab/>
              <w:t>bueno</w:t>
              <w:tab/>
              <w:t>que</w:t>
              <w:tab/>
              <w:t>tiene</w:t>
              <w:tab/>
              <w:t>el</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590" w:val="left" w:leader="none"/>
              </w:tabs>
              <w:spacing w:line="241" w:lineRule="exact"/>
              <w:ind w:left="100"/>
              <w:rPr>
                <w:sz w:val="22"/>
              </w:rPr>
            </w:pPr>
            <w:r>
              <w:rPr>
                <w:sz w:val="22"/>
              </w:rPr>
              <w:t>sembradas</w:t>
              <w:tab/>
              <w:t>donde</w:t>
            </w:r>
          </w:p>
        </w:tc>
        <w:tc>
          <w:tcPr>
            <w:tcW w:w="3901" w:type="dxa"/>
            <w:tcBorders>
              <w:top w:val="nil"/>
              <w:bottom w:val="nil"/>
            </w:tcBorders>
          </w:tcPr>
          <w:p>
            <w:pPr>
              <w:pStyle w:val="TableParagraph"/>
              <w:spacing w:line="241" w:lineRule="exact"/>
              <w:rPr>
                <w:sz w:val="22"/>
              </w:rPr>
            </w:pPr>
            <w:r>
              <w:rPr>
                <w:sz w:val="22"/>
              </w:rPr>
              <w:t>municipio.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hace 8 ó 10 años era</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la laguna.</w:t>
            </w:r>
          </w:p>
        </w:tc>
        <w:tc>
          <w:tcPr>
            <w:tcW w:w="3901" w:type="dxa"/>
            <w:tcBorders>
              <w:top w:val="nil"/>
            </w:tcBorders>
          </w:tcPr>
          <w:p>
            <w:pPr/>
          </w:p>
        </w:tc>
      </w:tr>
      <w:tr>
        <w:trPr>
          <w:trHeight w:val="770" w:hRule="exact"/>
        </w:trPr>
        <w:tc>
          <w:tcPr>
            <w:tcW w:w="1385" w:type="dxa"/>
          </w:tcPr>
          <w:p>
            <w:pPr>
              <w:pStyle w:val="TableParagraph"/>
              <w:ind w:right="176"/>
              <w:rPr>
                <w:sz w:val="22"/>
              </w:rPr>
            </w:pPr>
            <w:r>
              <w:rPr>
                <w:sz w:val="22"/>
              </w:rPr>
              <w:t>Jazith Salazar Hernández</w:t>
            </w:r>
          </w:p>
        </w:tc>
        <w:tc>
          <w:tcPr>
            <w:tcW w:w="1274" w:type="dxa"/>
          </w:tcPr>
          <w:p>
            <w:pPr>
              <w:pStyle w:val="TableParagraph"/>
              <w:ind w:left="100" w:right="92"/>
              <w:rPr>
                <w:sz w:val="22"/>
              </w:rPr>
            </w:pPr>
            <w:r>
              <w:rPr>
                <w:sz w:val="22"/>
              </w:rPr>
              <w:t>Licenciado en Educación</w:t>
            </w:r>
          </w:p>
        </w:tc>
        <w:tc>
          <w:tcPr>
            <w:tcW w:w="1887" w:type="dxa"/>
          </w:tcPr>
          <w:p>
            <w:pPr>
              <w:pStyle w:val="TableParagraph"/>
              <w:ind w:right="89"/>
              <w:rPr>
                <w:sz w:val="22"/>
              </w:rPr>
            </w:pPr>
            <w:r>
              <w:rPr>
                <w:sz w:val="22"/>
              </w:rPr>
              <w:t>Sexto Regidor. Presidente de la Comisión </w:t>
            </w:r>
            <w:r>
              <w:rPr>
                <w:spacing w:val="51"/>
                <w:sz w:val="22"/>
              </w:rPr>
              <w:t> </w:t>
            </w:r>
            <w:r>
              <w:rPr>
                <w:sz w:val="22"/>
              </w:rPr>
              <w:t>Agua,</w:t>
            </w:r>
          </w:p>
        </w:tc>
        <w:tc>
          <w:tcPr>
            <w:tcW w:w="1289" w:type="dxa"/>
          </w:tcPr>
          <w:p>
            <w:pPr>
              <w:pStyle w:val="TableParagraph"/>
              <w:spacing w:line="242" w:lineRule="auto"/>
              <w:ind w:left="523" w:right="138" w:hanging="368"/>
              <w:rPr>
                <w:sz w:val="22"/>
              </w:rPr>
            </w:pPr>
            <w:r>
              <w:rPr>
                <w:sz w:val="22"/>
              </w:rPr>
              <w:t>Atlacomul co</w:t>
            </w:r>
          </w:p>
        </w:tc>
        <w:tc>
          <w:tcPr>
            <w:tcW w:w="1174" w:type="dxa"/>
          </w:tcPr>
          <w:p>
            <w:pPr>
              <w:pStyle w:val="TableParagraph"/>
              <w:spacing w:line="251" w:lineRule="exact"/>
              <w:ind w:left="165"/>
              <w:rPr>
                <w:sz w:val="22"/>
              </w:rPr>
            </w:pPr>
            <w:r>
              <w:rPr>
                <w:sz w:val="22"/>
              </w:rPr>
              <w:t>Timilpan</w:t>
            </w:r>
          </w:p>
        </w:tc>
        <w:tc>
          <w:tcPr>
            <w:tcW w:w="2314" w:type="dxa"/>
          </w:tcPr>
          <w:p>
            <w:pPr>
              <w:pStyle w:val="TableParagraph"/>
              <w:ind w:left="100" w:right="99"/>
              <w:jc w:val="both"/>
              <w:rPr>
                <w:sz w:val="22"/>
              </w:rPr>
            </w:pPr>
            <w:r>
              <w:rPr>
                <w:sz w:val="22"/>
              </w:rPr>
              <w:t>Más que deteriorado se han contaminado las aguas por la  falta</w:t>
            </w:r>
          </w:p>
        </w:tc>
        <w:tc>
          <w:tcPr>
            <w:tcW w:w="3901" w:type="dxa"/>
          </w:tcPr>
          <w:p>
            <w:pPr>
              <w:pStyle w:val="TableParagraph"/>
              <w:ind w:right="101"/>
              <w:jc w:val="both"/>
              <w:rPr>
                <w:sz w:val="22"/>
              </w:rPr>
            </w:pPr>
            <w:r>
              <w:rPr>
                <w:sz w:val="22"/>
              </w:rPr>
              <w:t>Sí todos de una u otra manera como habitantes del municipio deben cooperar  con  conciencia  del  medio</w:t>
            </w:r>
          </w:p>
        </w:tc>
      </w:tr>
    </w:tbl>
    <w:p>
      <w:pPr>
        <w:spacing w:after="0"/>
        <w:jc w:val="both"/>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480"/>
        <w:gridCol w:w="407"/>
        <w:gridCol w:w="1289"/>
        <w:gridCol w:w="1174"/>
        <w:gridCol w:w="2314"/>
        <w:gridCol w:w="416"/>
        <w:gridCol w:w="885"/>
        <w:gridCol w:w="430"/>
        <w:gridCol w:w="444"/>
        <w:gridCol w:w="1225"/>
        <w:gridCol w:w="500"/>
      </w:tblGrid>
      <w:tr>
        <w:trPr>
          <w:trHeight w:val="1274" w:hRule="exact"/>
        </w:trPr>
        <w:tc>
          <w:tcPr>
            <w:tcW w:w="1385" w:type="dxa"/>
          </w:tcPr>
          <w:p>
            <w:pPr>
              <w:pStyle w:val="TableParagraph"/>
              <w:spacing w:before="8"/>
              <w:ind w:left="0"/>
              <w:rPr>
                <w:rFonts w:ascii="Times New Roman"/>
                <w:sz w:val="21"/>
              </w:rPr>
            </w:pPr>
          </w:p>
          <w:p>
            <w:pPr>
              <w:pStyle w:val="TableParagraph"/>
              <w:ind w:right="127"/>
              <w:rPr>
                <w:sz w:val="22"/>
              </w:rPr>
            </w:pPr>
            <w:r>
              <w:rPr>
                <w:sz w:val="22"/>
              </w:rPr>
              <w:t>(24/I/2015)</w:t>
            </w:r>
          </w:p>
        </w:tc>
        <w:tc>
          <w:tcPr>
            <w:tcW w:w="1274" w:type="dxa"/>
          </w:tcPr>
          <w:p>
            <w:pPr>
              <w:pStyle w:val="TableParagraph"/>
              <w:spacing w:line="251" w:lineRule="exact"/>
              <w:ind w:left="100" w:right="98"/>
              <w:rPr>
                <w:sz w:val="22"/>
              </w:rPr>
            </w:pPr>
            <w:r>
              <w:rPr>
                <w:sz w:val="22"/>
              </w:rPr>
              <w:t>Primaria</w:t>
            </w:r>
          </w:p>
        </w:tc>
        <w:tc>
          <w:tcPr>
            <w:tcW w:w="1480" w:type="dxa"/>
            <w:tcBorders>
              <w:right w:val="nil"/>
            </w:tcBorders>
          </w:tcPr>
          <w:p>
            <w:pPr>
              <w:pStyle w:val="TableParagraph"/>
              <w:spacing w:line="252" w:lineRule="exact" w:before="2"/>
              <w:ind w:right="31"/>
              <w:rPr>
                <w:sz w:val="22"/>
              </w:rPr>
            </w:pPr>
            <w:r>
              <w:rPr>
                <w:sz w:val="22"/>
              </w:rPr>
              <w:t>Drenaje Alcantarillado</w:t>
            </w:r>
          </w:p>
        </w:tc>
        <w:tc>
          <w:tcPr>
            <w:tcW w:w="407" w:type="dxa"/>
            <w:tcBorders>
              <w:left w:val="nil"/>
            </w:tcBorders>
          </w:tcPr>
          <w:p>
            <w:pPr>
              <w:pStyle w:val="TableParagraph"/>
              <w:spacing w:line="251" w:lineRule="exact"/>
              <w:ind w:left="0" w:right="100"/>
              <w:jc w:val="right"/>
              <w:rPr>
                <w:sz w:val="22"/>
              </w:rPr>
            </w:pPr>
            <w:r>
              <w:rPr>
                <w:w w:val="100"/>
                <w:sz w:val="22"/>
              </w:rPr>
              <w:t>y</w:t>
            </w:r>
          </w:p>
        </w:tc>
        <w:tc>
          <w:tcPr>
            <w:tcW w:w="1289" w:type="dxa"/>
          </w:tcPr>
          <w:p>
            <w:pPr/>
          </w:p>
        </w:tc>
        <w:tc>
          <w:tcPr>
            <w:tcW w:w="1174" w:type="dxa"/>
          </w:tcPr>
          <w:p>
            <w:pPr/>
          </w:p>
        </w:tc>
        <w:tc>
          <w:tcPr>
            <w:tcW w:w="2314" w:type="dxa"/>
          </w:tcPr>
          <w:p>
            <w:pPr>
              <w:pStyle w:val="TableParagraph"/>
              <w:tabs>
                <w:tab w:pos="2029" w:val="left" w:leader="none"/>
              </w:tabs>
              <w:ind w:left="100" w:right="99"/>
              <w:jc w:val="both"/>
              <w:rPr>
                <w:sz w:val="22"/>
              </w:rPr>
            </w:pPr>
            <w:r>
              <w:rPr>
                <w:sz w:val="22"/>
              </w:rPr>
              <w:t>de conocimiento de los habitantes y por falta de acciones para</w:t>
              <w:tab/>
              <w:t>el</w:t>
            </w:r>
          </w:p>
          <w:p>
            <w:pPr>
              <w:pStyle w:val="TableParagraph"/>
              <w:spacing w:before="1"/>
              <w:ind w:left="100"/>
              <w:jc w:val="both"/>
              <w:rPr>
                <w:sz w:val="22"/>
              </w:rPr>
            </w:pPr>
            <w:r>
              <w:rPr>
                <w:sz w:val="22"/>
              </w:rPr>
              <w:t>mantenimiento.</w:t>
            </w:r>
          </w:p>
        </w:tc>
        <w:tc>
          <w:tcPr>
            <w:tcW w:w="3901" w:type="dxa"/>
            <w:gridSpan w:val="6"/>
          </w:tcPr>
          <w:p>
            <w:pPr>
              <w:pStyle w:val="TableParagraph"/>
              <w:spacing w:line="252" w:lineRule="exact" w:before="2"/>
              <w:rPr>
                <w:sz w:val="22"/>
              </w:rPr>
            </w:pPr>
            <w:r>
              <w:rPr>
                <w:sz w:val="22"/>
              </w:rPr>
              <w:t>ambiente y las autoridades gestionar para su cuidado.</w:t>
            </w:r>
          </w:p>
        </w:tc>
      </w:tr>
      <w:tr>
        <w:trPr>
          <w:trHeight w:val="267" w:hRule="exact"/>
        </w:trPr>
        <w:tc>
          <w:tcPr>
            <w:tcW w:w="1385" w:type="dxa"/>
            <w:tcBorders>
              <w:bottom w:val="nil"/>
            </w:tcBorders>
          </w:tcPr>
          <w:p>
            <w:pPr>
              <w:pStyle w:val="TableParagraph"/>
              <w:spacing w:line="251" w:lineRule="exact"/>
              <w:ind w:right="127"/>
              <w:rPr>
                <w:sz w:val="22"/>
              </w:rPr>
            </w:pPr>
            <w:r>
              <w:rPr>
                <w:sz w:val="22"/>
              </w:rPr>
              <w:t>Armando</w:t>
            </w:r>
          </w:p>
        </w:tc>
        <w:tc>
          <w:tcPr>
            <w:tcW w:w="1274" w:type="dxa"/>
            <w:tcBorders>
              <w:bottom w:val="nil"/>
            </w:tcBorders>
          </w:tcPr>
          <w:p>
            <w:pPr/>
          </w:p>
        </w:tc>
        <w:tc>
          <w:tcPr>
            <w:tcW w:w="1480" w:type="dxa"/>
            <w:tcBorders>
              <w:bottom w:val="nil"/>
              <w:right w:val="nil"/>
            </w:tcBorders>
          </w:tcPr>
          <w:p>
            <w:pPr>
              <w:pStyle w:val="TableParagraph"/>
              <w:spacing w:line="251" w:lineRule="exact"/>
              <w:ind w:right="31"/>
              <w:rPr>
                <w:sz w:val="22"/>
              </w:rPr>
            </w:pPr>
            <w:r>
              <w:rPr>
                <w:sz w:val="22"/>
              </w:rPr>
              <w:t>Director</w:t>
            </w:r>
          </w:p>
        </w:tc>
        <w:tc>
          <w:tcPr>
            <w:tcW w:w="407" w:type="dxa"/>
            <w:tcBorders>
              <w:left w:val="nil"/>
              <w:bottom w:val="nil"/>
            </w:tcBorders>
          </w:tcPr>
          <w:p>
            <w:pPr>
              <w:pStyle w:val="TableParagraph"/>
              <w:spacing w:line="251" w:lineRule="exact"/>
              <w:ind w:left="0" w:right="101"/>
              <w:jc w:val="right"/>
              <w:rPr>
                <w:sz w:val="22"/>
              </w:rPr>
            </w:pPr>
            <w:r>
              <w:rPr>
                <w:sz w:val="22"/>
              </w:rPr>
              <w:t>de</w:t>
            </w:r>
          </w:p>
        </w:tc>
        <w:tc>
          <w:tcPr>
            <w:tcW w:w="1289" w:type="dxa"/>
            <w:tcBorders>
              <w:bottom w:val="nil"/>
            </w:tcBorders>
          </w:tcPr>
          <w:p>
            <w:pPr>
              <w:pStyle w:val="TableParagraph"/>
              <w:spacing w:line="251" w:lineRule="exact"/>
              <w:ind w:left="136" w:right="136"/>
              <w:jc w:val="center"/>
              <w:rPr>
                <w:sz w:val="22"/>
              </w:rPr>
            </w:pPr>
            <w:r>
              <w:rPr>
                <w:sz w:val="22"/>
              </w:rPr>
              <w:t>Barrio</w:t>
            </w:r>
          </w:p>
        </w:tc>
        <w:tc>
          <w:tcPr>
            <w:tcW w:w="1174" w:type="dxa"/>
            <w:tcBorders>
              <w:bottom w:val="nil"/>
            </w:tcBorders>
          </w:tcPr>
          <w:p>
            <w:pPr>
              <w:pStyle w:val="TableParagraph"/>
              <w:spacing w:line="251" w:lineRule="exact"/>
              <w:ind w:left="84" w:right="84"/>
              <w:jc w:val="center"/>
              <w:rPr>
                <w:sz w:val="22"/>
              </w:rPr>
            </w:pPr>
            <w:r>
              <w:rPr>
                <w:sz w:val="22"/>
              </w:rPr>
              <w:t>Timilpan</w:t>
            </w:r>
          </w:p>
        </w:tc>
        <w:tc>
          <w:tcPr>
            <w:tcW w:w="2314" w:type="dxa"/>
            <w:tcBorders>
              <w:bottom w:val="nil"/>
            </w:tcBorders>
          </w:tcPr>
          <w:p>
            <w:pPr>
              <w:pStyle w:val="TableParagraph"/>
              <w:tabs>
                <w:tab w:pos="722" w:val="left" w:leader="none"/>
                <w:tab w:pos="1319" w:val="left" w:leader="none"/>
              </w:tabs>
              <w:spacing w:line="251" w:lineRule="exact"/>
              <w:ind w:left="100"/>
              <w:rPr>
                <w:sz w:val="22"/>
              </w:rPr>
            </w:pPr>
            <w:r>
              <w:rPr>
                <w:sz w:val="22"/>
              </w:rPr>
              <w:t>Se</w:t>
              <w:tab/>
              <w:t>ha</w:t>
              <w:tab/>
              <w:t>azolvado</w:t>
            </w:r>
          </w:p>
        </w:tc>
        <w:tc>
          <w:tcPr>
            <w:tcW w:w="3901" w:type="dxa"/>
            <w:gridSpan w:val="6"/>
            <w:tcBorders>
              <w:bottom w:val="nil"/>
            </w:tcBorders>
          </w:tcPr>
          <w:p>
            <w:pPr>
              <w:pStyle w:val="TableParagraph"/>
              <w:spacing w:line="251" w:lineRule="exact"/>
              <w:rPr>
                <w:sz w:val="22"/>
              </w:rPr>
            </w:pPr>
            <w:r>
              <w:rPr>
                <w:sz w:val="22"/>
              </w:rPr>
              <w:t>Porque aparte de que es una  laguna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Matías</w:t>
            </w:r>
          </w:p>
        </w:tc>
        <w:tc>
          <w:tcPr>
            <w:tcW w:w="1274" w:type="dxa"/>
            <w:tcBorders>
              <w:top w:val="nil"/>
              <w:bottom w:val="nil"/>
            </w:tcBorders>
          </w:tcPr>
          <w:p>
            <w:pPr/>
          </w:p>
        </w:tc>
        <w:tc>
          <w:tcPr>
            <w:tcW w:w="1480" w:type="dxa"/>
            <w:tcBorders>
              <w:top w:val="nil"/>
              <w:bottom w:val="nil"/>
              <w:right w:val="nil"/>
            </w:tcBorders>
          </w:tcPr>
          <w:p>
            <w:pPr>
              <w:pStyle w:val="TableParagraph"/>
              <w:spacing w:line="242" w:lineRule="exact"/>
              <w:ind w:right="31"/>
              <w:rPr>
                <w:sz w:val="22"/>
              </w:rPr>
            </w:pPr>
            <w:r>
              <w:rPr>
                <w:sz w:val="22"/>
              </w:rPr>
              <w:t>Desarrollo</w:t>
            </w:r>
          </w:p>
        </w:tc>
        <w:tc>
          <w:tcPr>
            <w:tcW w:w="407" w:type="dxa"/>
            <w:tcBorders>
              <w:top w:val="nil"/>
              <w:left w:val="nil"/>
              <w:bottom w:val="nil"/>
            </w:tcBorders>
          </w:tcPr>
          <w:p>
            <w:pPr/>
          </w:p>
        </w:tc>
        <w:tc>
          <w:tcPr>
            <w:tcW w:w="1289" w:type="dxa"/>
            <w:tcBorders>
              <w:top w:val="nil"/>
              <w:bottom w:val="nil"/>
            </w:tcBorders>
          </w:tcPr>
          <w:p>
            <w:pPr>
              <w:pStyle w:val="TableParagraph"/>
              <w:spacing w:line="242" w:lineRule="exact"/>
              <w:ind w:left="135" w:right="136"/>
              <w:jc w:val="center"/>
              <w:rPr>
                <w:sz w:val="22"/>
              </w:rPr>
            </w:pPr>
            <w:r>
              <w:rPr>
                <w:sz w:val="22"/>
              </w:rPr>
              <w:t>Iturbide,</w:t>
            </w:r>
          </w:p>
        </w:tc>
        <w:tc>
          <w:tcPr>
            <w:tcW w:w="1174" w:type="dxa"/>
            <w:tcBorders>
              <w:top w:val="nil"/>
              <w:bottom w:val="nil"/>
            </w:tcBorders>
          </w:tcPr>
          <w:p>
            <w:pPr>
              <w:pStyle w:val="TableParagraph"/>
              <w:spacing w:line="242" w:lineRule="exact"/>
              <w:ind w:left="84" w:right="84"/>
              <w:jc w:val="center"/>
              <w:rPr>
                <w:sz w:val="22"/>
              </w:rPr>
            </w:pPr>
            <w:r>
              <w:rPr>
                <w:sz w:val="22"/>
              </w:rPr>
              <w:t>y Toluca</w:t>
            </w:r>
          </w:p>
        </w:tc>
        <w:tc>
          <w:tcPr>
            <w:tcW w:w="2314" w:type="dxa"/>
            <w:tcBorders>
              <w:top w:val="nil"/>
              <w:bottom w:val="nil"/>
            </w:tcBorders>
          </w:tcPr>
          <w:p>
            <w:pPr>
              <w:pStyle w:val="TableParagraph"/>
              <w:spacing w:line="242" w:lineRule="exact"/>
              <w:ind w:left="100"/>
              <w:rPr>
                <w:sz w:val="22"/>
              </w:rPr>
            </w:pPr>
            <w:r>
              <w:rPr>
                <w:sz w:val="22"/>
              </w:rPr>
              <w:t>mucho  y porque han</w:t>
            </w:r>
          </w:p>
        </w:tc>
        <w:tc>
          <w:tcPr>
            <w:tcW w:w="3901" w:type="dxa"/>
            <w:gridSpan w:val="6"/>
            <w:tcBorders>
              <w:top w:val="nil"/>
              <w:bottom w:val="nil"/>
            </w:tcBorders>
          </w:tcPr>
          <w:p>
            <w:pPr>
              <w:pStyle w:val="TableParagraph"/>
              <w:spacing w:line="242" w:lineRule="exact"/>
              <w:rPr>
                <w:sz w:val="22"/>
              </w:rPr>
            </w:pPr>
            <w:r>
              <w:rPr>
                <w:sz w:val="22"/>
              </w:rPr>
              <w:t>para impulsar el riego, es un  impulso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Lucas</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480" w:type="dxa"/>
            <w:tcBorders>
              <w:top w:val="nil"/>
              <w:bottom w:val="nil"/>
              <w:right w:val="nil"/>
            </w:tcBorders>
          </w:tcPr>
          <w:p>
            <w:pPr>
              <w:pStyle w:val="TableParagraph"/>
              <w:spacing w:line="241" w:lineRule="exact"/>
              <w:rPr>
                <w:sz w:val="22"/>
              </w:rPr>
            </w:pPr>
            <w:r>
              <w:rPr>
                <w:sz w:val="22"/>
              </w:rPr>
              <w:t>Agropecuario</w:t>
            </w:r>
          </w:p>
        </w:tc>
        <w:tc>
          <w:tcPr>
            <w:tcW w:w="407" w:type="dxa"/>
            <w:tcBorders>
              <w:top w:val="nil"/>
              <w:left w:val="nil"/>
              <w:bottom w:val="nil"/>
            </w:tcBorders>
          </w:tcPr>
          <w:p>
            <w:pPr/>
          </w:p>
        </w:tc>
        <w:tc>
          <w:tcPr>
            <w:tcW w:w="1289" w:type="dxa"/>
            <w:tcBorders>
              <w:top w:val="nil"/>
              <w:bottom w:val="nil"/>
            </w:tcBorders>
          </w:tcPr>
          <w:p>
            <w:pPr>
              <w:pStyle w:val="TableParagraph"/>
              <w:spacing w:line="241" w:lineRule="exact"/>
              <w:ind w:left="136" w:right="136"/>
              <w:jc w:val="center"/>
              <w:rPr>
                <w:sz w:val="22"/>
              </w:rPr>
            </w:pPr>
            <w:r>
              <w:rPr>
                <w:sz w:val="22"/>
              </w:rPr>
              <w:t>Timilpan</w:t>
            </w:r>
          </w:p>
        </w:tc>
        <w:tc>
          <w:tcPr>
            <w:tcW w:w="1174" w:type="dxa"/>
            <w:tcBorders>
              <w:top w:val="nil"/>
              <w:bottom w:val="nil"/>
            </w:tcBorders>
          </w:tcPr>
          <w:p>
            <w:pPr/>
          </w:p>
        </w:tc>
        <w:tc>
          <w:tcPr>
            <w:tcW w:w="2314" w:type="dxa"/>
            <w:tcBorders>
              <w:top w:val="nil"/>
              <w:bottom w:val="nil"/>
            </w:tcBorders>
          </w:tcPr>
          <w:p>
            <w:pPr>
              <w:pStyle w:val="TableParagraph"/>
              <w:tabs>
                <w:tab w:pos="916" w:val="left" w:leader="none"/>
              </w:tabs>
              <w:spacing w:line="241" w:lineRule="exact"/>
              <w:ind w:left="100"/>
              <w:rPr>
                <w:sz w:val="22"/>
              </w:rPr>
            </w:pPr>
            <w:r>
              <w:rPr>
                <w:sz w:val="22"/>
              </w:rPr>
              <w:t>hecho</w:t>
              <w:tab/>
              <w:t>ampliaciones</w:t>
            </w:r>
          </w:p>
        </w:tc>
        <w:tc>
          <w:tcPr>
            <w:tcW w:w="3901" w:type="dxa"/>
            <w:gridSpan w:val="6"/>
            <w:tcBorders>
              <w:top w:val="nil"/>
              <w:bottom w:val="nil"/>
            </w:tcBorders>
          </w:tcPr>
          <w:p>
            <w:pPr>
              <w:pStyle w:val="TableParagraph"/>
              <w:spacing w:line="241" w:lineRule="exact"/>
              <w:rPr>
                <w:sz w:val="22"/>
              </w:rPr>
            </w:pPr>
            <w:r>
              <w:rPr>
                <w:sz w:val="22"/>
              </w:rPr>
              <w:t>de acuacultura.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480" w:type="dxa"/>
            <w:tcBorders>
              <w:top w:val="nil"/>
              <w:bottom w:val="nil"/>
              <w:right w:val="nil"/>
            </w:tcBorders>
          </w:tcPr>
          <w:p>
            <w:pPr/>
          </w:p>
        </w:tc>
        <w:tc>
          <w:tcPr>
            <w:tcW w:w="407"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en los ríos de acceso</w:t>
            </w:r>
          </w:p>
        </w:tc>
        <w:tc>
          <w:tcPr>
            <w:tcW w:w="3901" w:type="dxa"/>
            <w:gridSpan w:val="6"/>
            <w:tcBorders>
              <w:top w:val="nil"/>
              <w:bottom w:val="nil"/>
            </w:tcBorders>
          </w:tcPr>
          <w:p>
            <w:pPr/>
          </w:p>
        </w:tc>
      </w:tr>
      <w:tr>
        <w:trPr>
          <w:trHeight w:val="249" w:hRule="exact"/>
        </w:trPr>
        <w:tc>
          <w:tcPr>
            <w:tcW w:w="1385" w:type="dxa"/>
            <w:tcBorders>
              <w:top w:val="nil"/>
            </w:tcBorders>
          </w:tcPr>
          <w:p>
            <w:pPr>
              <w:pStyle w:val="TableParagraph"/>
              <w:spacing w:line="242" w:lineRule="exact"/>
              <w:ind w:left="155"/>
              <w:rPr>
                <w:sz w:val="22"/>
              </w:rPr>
            </w:pPr>
            <w:r>
              <w:rPr>
                <w:sz w:val="22"/>
              </w:rPr>
              <w:t>(17/I/2015)</w:t>
            </w:r>
          </w:p>
        </w:tc>
        <w:tc>
          <w:tcPr>
            <w:tcW w:w="1274" w:type="dxa"/>
            <w:tcBorders>
              <w:top w:val="nil"/>
            </w:tcBorders>
          </w:tcPr>
          <w:p>
            <w:pPr/>
          </w:p>
        </w:tc>
        <w:tc>
          <w:tcPr>
            <w:tcW w:w="1480" w:type="dxa"/>
            <w:tcBorders>
              <w:top w:val="nil"/>
              <w:right w:val="nil"/>
            </w:tcBorders>
          </w:tcPr>
          <w:p>
            <w:pPr/>
          </w:p>
        </w:tc>
        <w:tc>
          <w:tcPr>
            <w:tcW w:w="407" w:type="dxa"/>
            <w:tcBorders>
              <w:top w:val="nil"/>
              <w:left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del agua.</w:t>
            </w:r>
          </w:p>
        </w:tc>
        <w:tc>
          <w:tcPr>
            <w:tcW w:w="3901" w:type="dxa"/>
            <w:gridSpan w:val="6"/>
            <w:tcBorders>
              <w:top w:val="nil"/>
            </w:tcBorders>
          </w:tcPr>
          <w:p>
            <w:pPr/>
          </w:p>
        </w:tc>
      </w:tr>
      <w:tr>
        <w:trPr>
          <w:trHeight w:val="267" w:hRule="exact"/>
        </w:trPr>
        <w:tc>
          <w:tcPr>
            <w:tcW w:w="1385" w:type="dxa"/>
            <w:tcBorders>
              <w:bottom w:val="nil"/>
            </w:tcBorders>
          </w:tcPr>
          <w:p>
            <w:pPr>
              <w:pStyle w:val="TableParagraph"/>
              <w:spacing w:line="251" w:lineRule="exact"/>
              <w:rPr>
                <w:sz w:val="22"/>
              </w:rPr>
            </w:pPr>
            <w:r>
              <w:rPr>
                <w:sz w:val="22"/>
              </w:rPr>
              <w:t>Alfonso   de</w:t>
            </w:r>
          </w:p>
        </w:tc>
        <w:tc>
          <w:tcPr>
            <w:tcW w:w="1274" w:type="dxa"/>
            <w:tcBorders>
              <w:bottom w:val="nil"/>
            </w:tcBorders>
          </w:tcPr>
          <w:p>
            <w:pPr/>
          </w:p>
        </w:tc>
        <w:tc>
          <w:tcPr>
            <w:tcW w:w="1480" w:type="dxa"/>
            <w:tcBorders>
              <w:bottom w:val="nil"/>
              <w:right w:val="nil"/>
            </w:tcBorders>
          </w:tcPr>
          <w:p>
            <w:pPr>
              <w:pStyle w:val="TableParagraph"/>
              <w:spacing w:line="251" w:lineRule="exact"/>
              <w:ind w:right="31"/>
              <w:rPr>
                <w:sz w:val="22"/>
              </w:rPr>
            </w:pPr>
            <w:r>
              <w:rPr>
                <w:sz w:val="22"/>
              </w:rPr>
              <w:t>Director</w:t>
            </w:r>
          </w:p>
        </w:tc>
        <w:tc>
          <w:tcPr>
            <w:tcW w:w="407" w:type="dxa"/>
            <w:tcBorders>
              <w:left w:val="nil"/>
              <w:bottom w:val="nil"/>
            </w:tcBorders>
          </w:tcPr>
          <w:p>
            <w:pPr>
              <w:pStyle w:val="TableParagraph"/>
              <w:spacing w:line="251" w:lineRule="exact"/>
              <w:ind w:left="0" w:right="101"/>
              <w:jc w:val="right"/>
              <w:rPr>
                <w:sz w:val="22"/>
              </w:rPr>
            </w:pPr>
            <w:r>
              <w:rPr>
                <w:sz w:val="22"/>
              </w:rPr>
              <w:t>de</w:t>
            </w:r>
          </w:p>
        </w:tc>
        <w:tc>
          <w:tcPr>
            <w:tcW w:w="1289" w:type="dxa"/>
            <w:tcBorders>
              <w:bottom w:val="nil"/>
            </w:tcBorders>
          </w:tcPr>
          <w:p>
            <w:pPr>
              <w:pStyle w:val="TableParagraph"/>
              <w:spacing w:line="251" w:lineRule="exact"/>
              <w:ind w:left="136" w:right="136"/>
              <w:jc w:val="center"/>
              <w:rPr>
                <w:sz w:val="22"/>
              </w:rPr>
            </w:pPr>
            <w:r>
              <w:rPr>
                <w:sz w:val="22"/>
              </w:rPr>
              <w:t>Timilpan</w:t>
            </w:r>
          </w:p>
        </w:tc>
        <w:tc>
          <w:tcPr>
            <w:tcW w:w="1174" w:type="dxa"/>
            <w:tcBorders>
              <w:bottom w:val="nil"/>
            </w:tcBorders>
          </w:tcPr>
          <w:p>
            <w:pPr>
              <w:pStyle w:val="TableParagraph"/>
              <w:spacing w:line="251" w:lineRule="exact"/>
              <w:ind w:left="84" w:right="84"/>
              <w:jc w:val="center"/>
              <w:rPr>
                <w:sz w:val="22"/>
              </w:rPr>
            </w:pPr>
            <w:r>
              <w:rPr>
                <w:sz w:val="22"/>
              </w:rPr>
              <w:t>Timilpan</w:t>
            </w:r>
          </w:p>
        </w:tc>
        <w:tc>
          <w:tcPr>
            <w:tcW w:w="2314" w:type="dxa"/>
            <w:tcBorders>
              <w:bottom w:val="nil"/>
            </w:tcBorders>
          </w:tcPr>
          <w:p>
            <w:pPr>
              <w:pStyle w:val="TableParagraph"/>
              <w:tabs>
                <w:tab w:pos="702" w:val="left" w:leader="none"/>
                <w:tab w:pos="1784" w:val="left" w:leader="none"/>
              </w:tabs>
              <w:spacing w:line="251" w:lineRule="exact"/>
              <w:ind w:left="100"/>
              <w:rPr>
                <w:sz w:val="22"/>
              </w:rPr>
            </w:pPr>
            <w:r>
              <w:rPr>
                <w:sz w:val="22"/>
              </w:rPr>
              <w:t>Sí</w:t>
              <w:tab/>
              <w:t>porque</w:t>
              <w:tab/>
              <w:t>está</w:t>
            </w:r>
          </w:p>
        </w:tc>
        <w:tc>
          <w:tcPr>
            <w:tcW w:w="416" w:type="dxa"/>
            <w:tcBorders>
              <w:bottom w:val="nil"/>
              <w:right w:val="nil"/>
            </w:tcBorders>
          </w:tcPr>
          <w:p>
            <w:pPr>
              <w:pStyle w:val="TableParagraph"/>
              <w:spacing w:line="251" w:lineRule="exact"/>
              <w:rPr>
                <w:sz w:val="22"/>
              </w:rPr>
            </w:pPr>
            <w:r>
              <w:rPr>
                <w:sz w:val="22"/>
              </w:rPr>
              <w:t>Sí</w:t>
            </w:r>
          </w:p>
        </w:tc>
        <w:tc>
          <w:tcPr>
            <w:tcW w:w="885" w:type="dxa"/>
            <w:tcBorders>
              <w:left w:val="nil"/>
              <w:bottom w:val="nil"/>
              <w:right w:val="nil"/>
            </w:tcBorders>
          </w:tcPr>
          <w:p>
            <w:pPr>
              <w:pStyle w:val="TableParagraph"/>
              <w:spacing w:line="251" w:lineRule="exact"/>
              <w:ind w:left="97"/>
              <w:rPr>
                <w:sz w:val="22"/>
              </w:rPr>
            </w:pPr>
            <w:r>
              <w:rPr>
                <w:sz w:val="22"/>
              </w:rPr>
              <w:t>porque</w:t>
            </w:r>
          </w:p>
        </w:tc>
        <w:tc>
          <w:tcPr>
            <w:tcW w:w="430" w:type="dxa"/>
            <w:tcBorders>
              <w:left w:val="nil"/>
              <w:bottom w:val="nil"/>
              <w:right w:val="nil"/>
            </w:tcBorders>
          </w:tcPr>
          <w:p>
            <w:pPr>
              <w:pStyle w:val="TableParagraph"/>
              <w:spacing w:line="251" w:lineRule="exact"/>
              <w:ind w:left="97"/>
              <w:rPr>
                <w:sz w:val="22"/>
              </w:rPr>
            </w:pPr>
            <w:r>
              <w:rPr>
                <w:sz w:val="22"/>
              </w:rPr>
              <w:t>es</w:t>
            </w:r>
          </w:p>
        </w:tc>
        <w:tc>
          <w:tcPr>
            <w:tcW w:w="444" w:type="dxa"/>
            <w:tcBorders>
              <w:left w:val="nil"/>
              <w:bottom w:val="nil"/>
              <w:right w:val="nil"/>
            </w:tcBorders>
          </w:tcPr>
          <w:p>
            <w:pPr>
              <w:pStyle w:val="TableParagraph"/>
              <w:spacing w:line="251" w:lineRule="exact"/>
              <w:ind w:left="99"/>
              <w:rPr>
                <w:sz w:val="22"/>
              </w:rPr>
            </w:pPr>
            <w:r>
              <w:rPr>
                <w:sz w:val="22"/>
              </w:rPr>
              <w:t>un</w:t>
            </w:r>
          </w:p>
        </w:tc>
        <w:tc>
          <w:tcPr>
            <w:tcW w:w="1225" w:type="dxa"/>
            <w:tcBorders>
              <w:left w:val="nil"/>
              <w:bottom w:val="nil"/>
              <w:right w:val="nil"/>
            </w:tcBorders>
          </w:tcPr>
          <w:p>
            <w:pPr>
              <w:pStyle w:val="TableParagraph"/>
              <w:spacing w:line="251" w:lineRule="exact"/>
              <w:ind w:left="99"/>
              <w:rPr>
                <w:sz w:val="22"/>
              </w:rPr>
            </w:pPr>
            <w:r>
              <w:rPr>
                <w:sz w:val="22"/>
              </w:rPr>
              <w:t>patrimonio</w:t>
            </w:r>
          </w:p>
        </w:tc>
        <w:tc>
          <w:tcPr>
            <w:tcW w:w="500" w:type="dxa"/>
            <w:tcBorders>
              <w:left w:val="nil"/>
              <w:bottom w:val="nil"/>
            </w:tcBorders>
          </w:tcPr>
          <w:p>
            <w:pPr>
              <w:pStyle w:val="TableParagraph"/>
              <w:spacing w:line="251" w:lineRule="exact"/>
              <w:ind w:left="99"/>
              <w:rPr>
                <w:sz w:val="22"/>
              </w:rPr>
            </w:pPr>
            <w:r>
              <w:rPr>
                <w:sz w:val="22"/>
              </w:rPr>
              <w:t>del</w:t>
            </w:r>
          </w:p>
        </w:tc>
      </w:tr>
      <w:tr>
        <w:trPr>
          <w:trHeight w:val="253" w:hRule="exact"/>
        </w:trPr>
        <w:tc>
          <w:tcPr>
            <w:tcW w:w="1385" w:type="dxa"/>
            <w:tcBorders>
              <w:top w:val="nil"/>
              <w:bottom w:val="nil"/>
            </w:tcBorders>
          </w:tcPr>
          <w:p>
            <w:pPr>
              <w:pStyle w:val="TableParagraph"/>
              <w:tabs>
                <w:tab w:pos="805" w:val="left" w:leader="none"/>
              </w:tabs>
              <w:spacing w:line="242" w:lineRule="exact"/>
              <w:rPr>
                <w:sz w:val="22"/>
              </w:rPr>
            </w:pPr>
            <w:r>
              <w:rPr>
                <w:sz w:val="22"/>
              </w:rPr>
              <w:t>la</w:t>
              <w:tab/>
              <w:t>Cruz</w:t>
            </w:r>
          </w:p>
        </w:tc>
        <w:tc>
          <w:tcPr>
            <w:tcW w:w="1274" w:type="dxa"/>
            <w:tcBorders>
              <w:top w:val="nil"/>
              <w:bottom w:val="nil"/>
            </w:tcBorders>
          </w:tcPr>
          <w:p>
            <w:pPr/>
          </w:p>
        </w:tc>
        <w:tc>
          <w:tcPr>
            <w:tcW w:w="1480" w:type="dxa"/>
            <w:tcBorders>
              <w:top w:val="nil"/>
              <w:bottom w:val="nil"/>
              <w:right w:val="nil"/>
            </w:tcBorders>
          </w:tcPr>
          <w:p>
            <w:pPr>
              <w:pStyle w:val="TableParagraph"/>
              <w:spacing w:line="242" w:lineRule="exact"/>
              <w:ind w:right="31"/>
              <w:rPr>
                <w:sz w:val="22"/>
              </w:rPr>
            </w:pPr>
            <w:r>
              <w:rPr>
                <w:sz w:val="22"/>
              </w:rPr>
              <w:t>Desarrollo</w:t>
            </w:r>
          </w:p>
        </w:tc>
        <w:tc>
          <w:tcPr>
            <w:tcW w:w="407"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92" w:val="left" w:leader="none"/>
              </w:tabs>
              <w:spacing w:line="242" w:lineRule="exact"/>
              <w:ind w:left="100"/>
              <w:rPr>
                <w:sz w:val="22"/>
              </w:rPr>
            </w:pPr>
            <w:r>
              <w:rPr>
                <w:sz w:val="22"/>
              </w:rPr>
              <w:t>contaminada</w:t>
              <w:tab/>
              <w:t>y</w:t>
            </w:r>
          </w:p>
        </w:tc>
        <w:tc>
          <w:tcPr>
            <w:tcW w:w="3901" w:type="dxa"/>
            <w:gridSpan w:val="6"/>
            <w:tcBorders>
              <w:top w:val="nil"/>
              <w:bottom w:val="nil"/>
            </w:tcBorders>
          </w:tcPr>
          <w:p>
            <w:pPr>
              <w:pStyle w:val="TableParagraph"/>
              <w:spacing w:line="242" w:lineRule="exact"/>
              <w:rPr>
                <w:sz w:val="22"/>
              </w:rPr>
            </w:pPr>
            <w:r>
              <w:rPr>
                <w:sz w:val="22"/>
              </w:rPr>
              <w:t>municipio.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Andrés</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480" w:type="dxa"/>
            <w:tcBorders>
              <w:top w:val="nil"/>
              <w:bottom w:val="nil"/>
              <w:right w:val="nil"/>
            </w:tcBorders>
          </w:tcPr>
          <w:p>
            <w:pPr>
              <w:pStyle w:val="TableParagraph"/>
              <w:spacing w:line="241" w:lineRule="exact"/>
              <w:ind w:right="31"/>
              <w:rPr>
                <w:sz w:val="22"/>
              </w:rPr>
            </w:pPr>
            <w:r>
              <w:rPr>
                <w:sz w:val="22"/>
              </w:rPr>
              <w:t>Económico</w:t>
            </w:r>
          </w:p>
        </w:tc>
        <w:tc>
          <w:tcPr>
            <w:tcW w:w="407"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porque  tiene  mucho</w:t>
            </w:r>
          </w:p>
        </w:tc>
        <w:tc>
          <w:tcPr>
            <w:tcW w:w="3901" w:type="dxa"/>
            <w:gridSpan w:val="6"/>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480" w:type="dxa"/>
            <w:tcBorders>
              <w:top w:val="nil"/>
              <w:bottom w:val="nil"/>
              <w:right w:val="nil"/>
            </w:tcBorders>
          </w:tcPr>
          <w:p>
            <w:pPr/>
          </w:p>
        </w:tc>
        <w:tc>
          <w:tcPr>
            <w:tcW w:w="407"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27" w:val="left" w:leader="none"/>
              </w:tabs>
              <w:spacing w:line="242" w:lineRule="exact"/>
              <w:ind w:left="100"/>
              <w:rPr>
                <w:sz w:val="22"/>
              </w:rPr>
            </w:pPr>
            <w:r>
              <w:rPr>
                <w:sz w:val="22"/>
              </w:rPr>
              <w:t>azolve,</w:t>
              <w:tab/>
              <w:t>la</w:t>
            </w:r>
          </w:p>
        </w:tc>
        <w:tc>
          <w:tcPr>
            <w:tcW w:w="3901" w:type="dxa"/>
            <w:gridSpan w:val="6"/>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(13/I/2015)</w:t>
            </w:r>
          </w:p>
        </w:tc>
        <w:tc>
          <w:tcPr>
            <w:tcW w:w="1274" w:type="dxa"/>
            <w:tcBorders>
              <w:top w:val="nil"/>
              <w:bottom w:val="nil"/>
            </w:tcBorders>
          </w:tcPr>
          <w:p>
            <w:pPr/>
          </w:p>
        </w:tc>
        <w:tc>
          <w:tcPr>
            <w:tcW w:w="1480" w:type="dxa"/>
            <w:tcBorders>
              <w:top w:val="nil"/>
              <w:bottom w:val="nil"/>
              <w:right w:val="nil"/>
            </w:tcBorders>
          </w:tcPr>
          <w:p>
            <w:pPr/>
          </w:p>
        </w:tc>
        <w:tc>
          <w:tcPr>
            <w:tcW w:w="407"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profundidad ya no es</w:t>
            </w:r>
          </w:p>
        </w:tc>
        <w:tc>
          <w:tcPr>
            <w:tcW w:w="3901" w:type="dxa"/>
            <w:gridSpan w:val="6"/>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480" w:type="dxa"/>
            <w:tcBorders>
              <w:top w:val="nil"/>
              <w:bottom w:val="nil"/>
              <w:right w:val="nil"/>
            </w:tcBorders>
          </w:tcPr>
          <w:p>
            <w:pPr/>
          </w:p>
        </w:tc>
        <w:tc>
          <w:tcPr>
            <w:tcW w:w="407"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44" w:val="left" w:leader="none"/>
                <w:tab w:pos="1465" w:val="left" w:leader="none"/>
                <w:tab w:pos="1846" w:val="left" w:leader="none"/>
              </w:tabs>
              <w:spacing w:line="241" w:lineRule="exact"/>
              <w:ind w:left="100"/>
              <w:rPr>
                <w:sz w:val="22"/>
              </w:rPr>
            </w:pPr>
            <w:r>
              <w:rPr>
                <w:sz w:val="22"/>
              </w:rPr>
              <w:t>la</w:t>
              <w:tab/>
              <w:t>misma</w:t>
              <w:tab/>
              <w:t>y</w:t>
              <w:tab/>
              <w:t>hay</w:t>
            </w:r>
          </w:p>
        </w:tc>
        <w:tc>
          <w:tcPr>
            <w:tcW w:w="3901" w:type="dxa"/>
            <w:gridSpan w:val="6"/>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480" w:type="dxa"/>
            <w:tcBorders>
              <w:top w:val="nil"/>
              <w:bottom w:val="nil"/>
              <w:right w:val="nil"/>
            </w:tcBorders>
          </w:tcPr>
          <w:p>
            <w:pPr/>
          </w:p>
        </w:tc>
        <w:tc>
          <w:tcPr>
            <w:tcW w:w="407"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93" w:val="left" w:leader="none"/>
                <w:tab w:pos="1833" w:val="left" w:leader="none"/>
              </w:tabs>
              <w:spacing w:line="242" w:lineRule="exact"/>
              <w:ind w:left="100"/>
              <w:rPr>
                <w:sz w:val="22"/>
              </w:rPr>
            </w:pPr>
            <w:r>
              <w:rPr>
                <w:sz w:val="22"/>
              </w:rPr>
              <w:t>mucha</w:t>
              <w:tab/>
              <w:t>hierba</w:t>
              <w:tab/>
              <w:t>que</w:t>
            </w:r>
          </w:p>
        </w:tc>
        <w:tc>
          <w:tcPr>
            <w:tcW w:w="3901" w:type="dxa"/>
            <w:gridSpan w:val="6"/>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480" w:type="dxa"/>
            <w:tcBorders>
              <w:top w:val="nil"/>
              <w:right w:val="nil"/>
            </w:tcBorders>
          </w:tcPr>
          <w:p>
            <w:pPr/>
          </w:p>
        </w:tc>
        <w:tc>
          <w:tcPr>
            <w:tcW w:w="407" w:type="dxa"/>
            <w:tcBorders>
              <w:top w:val="nil"/>
              <w:left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antes no había.</w:t>
            </w:r>
          </w:p>
        </w:tc>
        <w:tc>
          <w:tcPr>
            <w:tcW w:w="3901" w:type="dxa"/>
            <w:gridSpan w:val="6"/>
            <w:tcBorders>
              <w:top w:val="nil"/>
            </w:tcBorders>
          </w:tcPr>
          <w:p>
            <w:pPr/>
          </w:p>
        </w:tc>
      </w:tr>
    </w:tbl>
    <w:p>
      <w:pPr>
        <w:pStyle w:val="BodyText"/>
        <w:spacing w:line="249" w:lineRule="exact"/>
        <w:ind w:left="218" w:right="778"/>
      </w:pPr>
      <w:r>
        <w:rPr>
          <w:b/>
        </w:rPr>
        <w:t>Fuente: </w:t>
      </w:r>
      <w:r>
        <w:rPr/>
        <w:t>Elaboración propia con base en el Trabajo de Campo, García (2013-2015).</w:t>
      </w:r>
    </w:p>
    <w:p>
      <w:pPr>
        <w:pStyle w:val="BodyText"/>
        <w:spacing w:before="6"/>
        <w:rPr>
          <w:sz w:val="20"/>
        </w:rPr>
      </w:pPr>
    </w:p>
    <w:p>
      <w:pPr>
        <w:pStyle w:val="Heading6"/>
        <w:spacing w:after="6"/>
        <w:ind w:left="2270" w:right="778"/>
      </w:pPr>
      <w:r>
        <w:rPr/>
        <w:t>Tabla 6.13. Municipio de Timilpan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9" w:right="4870"/>
              <w:jc w:val="center"/>
              <w:rPr>
                <w:b/>
                <w:sz w:val="22"/>
              </w:rPr>
            </w:pPr>
            <w:r>
              <w:rPr>
                <w:b/>
                <w:sz w:val="22"/>
              </w:rPr>
              <w:t>TIMILPAN</w:t>
            </w:r>
          </w:p>
        </w:tc>
      </w:tr>
      <w:tr>
        <w:trPr>
          <w:trHeight w:val="526" w:hRule="exact"/>
        </w:trPr>
        <w:tc>
          <w:tcPr>
            <w:tcW w:w="4547" w:type="dxa"/>
            <w:gridSpan w:val="3"/>
            <w:vMerge w:val="restart"/>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8"/>
              <w:ind w:left="0"/>
              <w:rPr>
                <w:b/>
                <w:sz w:val="21"/>
              </w:rPr>
            </w:pPr>
          </w:p>
          <w:p>
            <w:pPr>
              <w:pStyle w:val="TableParagraph"/>
              <w:ind w:left="2695"/>
              <w:rPr>
                <w:b/>
                <w:sz w:val="22"/>
              </w:rPr>
            </w:pPr>
            <w:r>
              <w:rPr>
                <w:b/>
                <w:sz w:val="22"/>
              </w:rPr>
              <w:t>PRINCIPIOS DE GOBERNANZA</w:t>
            </w:r>
          </w:p>
        </w:tc>
      </w:tr>
      <w:tr>
        <w:trPr>
          <w:trHeight w:val="1022"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ind w:left="100" w:right="179"/>
              <w:rPr>
                <w:b/>
                <w:i/>
                <w:sz w:val="22"/>
              </w:rPr>
            </w:pPr>
            <w:r>
              <w:rPr>
                <w:b/>
                <w:i/>
                <w:sz w:val="22"/>
              </w:rPr>
              <w:t>Cooperación, </w:t>
            </w:r>
            <w:r>
              <w:rPr>
                <w:b/>
                <w:i/>
                <w:sz w:val="22"/>
              </w:rPr>
              <w:t>democracia y voluntariedad de la sociedad</w:t>
            </w:r>
          </w:p>
        </w:tc>
        <w:tc>
          <w:tcPr>
            <w:tcW w:w="3901" w:type="dxa"/>
            <w:shd w:val="clear" w:color="auto" w:fill="92CDDC"/>
          </w:tcPr>
          <w:p>
            <w:pPr>
              <w:pStyle w:val="TableParagraph"/>
              <w:spacing w:line="251" w:lineRule="exact"/>
              <w:rPr>
                <w:b/>
                <w:i/>
                <w:sz w:val="22"/>
              </w:rPr>
            </w:pPr>
            <w:r>
              <w:rPr>
                <w:b/>
                <w:i/>
                <w:sz w:val="22"/>
              </w:rPr>
              <w:t>Poder</w:t>
            </w:r>
          </w:p>
        </w:tc>
      </w:tr>
      <w:tr>
        <w:trPr>
          <w:trHeight w:val="1527" w:hRule="exact"/>
        </w:trPr>
        <w:tc>
          <w:tcPr>
            <w:tcW w:w="1385" w:type="dxa"/>
            <w:shd w:val="clear" w:color="auto" w:fill="F9BE8F"/>
          </w:tcPr>
          <w:p>
            <w:pPr>
              <w:pStyle w:val="TableParagraph"/>
              <w:spacing w:line="252" w:lineRule="exact"/>
              <w:ind w:right="205"/>
              <w:jc w:val="both"/>
              <w:rPr>
                <w:b/>
                <w:sz w:val="22"/>
              </w:rPr>
            </w:pPr>
            <w:r>
              <w:rPr>
                <w:b/>
                <w:sz w:val="22"/>
              </w:rPr>
              <w:t>Nombre y Fecha de Entrevista</w:t>
            </w:r>
          </w:p>
        </w:tc>
        <w:tc>
          <w:tcPr>
            <w:tcW w:w="1274" w:type="dxa"/>
            <w:shd w:val="clear" w:color="auto" w:fill="F9BE8F"/>
          </w:tcPr>
          <w:p>
            <w:pPr>
              <w:pStyle w:val="TableParagraph"/>
              <w:spacing w:line="252" w:lineRule="exact"/>
              <w:ind w:left="100" w:right="93"/>
              <w:rPr>
                <w:b/>
                <w:sz w:val="22"/>
              </w:rPr>
            </w:pPr>
            <w:r>
              <w:rPr>
                <w:b/>
                <w:sz w:val="22"/>
              </w:rPr>
              <w:t>Nivel Educativo</w:t>
            </w:r>
          </w:p>
        </w:tc>
        <w:tc>
          <w:tcPr>
            <w:tcW w:w="1887" w:type="dxa"/>
            <w:shd w:val="clear" w:color="auto" w:fill="F9BE8F"/>
          </w:tcPr>
          <w:p>
            <w:pPr>
              <w:pStyle w:val="TableParagraph"/>
              <w:spacing w:line="249" w:lineRule="exact"/>
              <w:rPr>
                <w:b/>
                <w:sz w:val="22"/>
              </w:rPr>
            </w:pPr>
            <w:r>
              <w:rPr>
                <w:b/>
                <w:sz w:val="22"/>
              </w:rPr>
              <w:t>Cargo Público</w:t>
            </w:r>
          </w:p>
        </w:tc>
        <w:tc>
          <w:tcPr>
            <w:tcW w:w="1289" w:type="dxa"/>
            <w:shd w:val="clear" w:color="auto" w:fill="92CDDC"/>
          </w:tcPr>
          <w:p>
            <w:pPr>
              <w:pStyle w:val="TableParagraph"/>
              <w:spacing w:line="252" w:lineRule="exact"/>
              <w:ind w:right="337"/>
              <w:rPr>
                <w:b/>
                <w:sz w:val="22"/>
              </w:rPr>
            </w:pPr>
            <w:r>
              <w:rPr>
                <w:b/>
                <w:sz w:val="22"/>
              </w:rPr>
              <w:t>¿Dónde nació?</w:t>
            </w:r>
          </w:p>
        </w:tc>
        <w:tc>
          <w:tcPr>
            <w:tcW w:w="1174" w:type="dxa"/>
            <w:shd w:val="clear" w:color="auto" w:fill="92CDDC"/>
          </w:tcPr>
          <w:p>
            <w:pPr>
              <w:pStyle w:val="TableParagraph"/>
              <w:spacing w:line="252" w:lineRule="exact"/>
              <w:ind w:right="222"/>
              <w:rPr>
                <w:b/>
                <w:sz w:val="22"/>
              </w:rPr>
            </w:pPr>
            <w:r>
              <w:rPr>
                <w:b/>
                <w:sz w:val="22"/>
              </w:rPr>
              <w:t>¿Dónde vive?</w:t>
            </w:r>
          </w:p>
        </w:tc>
        <w:tc>
          <w:tcPr>
            <w:tcW w:w="2314" w:type="dxa"/>
            <w:shd w:val="clear" w:color="auto" w:fill="92CDDC"/>
          </w:tcPr>
          <w:p>
            <w:pPr>
              <w:pStyle w:val="TableParagraph"/>
              <w:spacing w:line="248" w:lineRule="exact"/>
              <w:ind w:left="100"/>
              <w:jc w:val="both"/>
              <w:rPr>
                <w:b/>
                <w:sz w:val="22"/>
              </w:rPr>
            </w:pPr>
            <w:r>
              <w:rPr>
                <w:b/>
                <w:sz w:val="22"/>
              </w:rPr>
              <w:t>¿Qué         acciones</w:t>
            </w:r>
          </w:p>
          <w:p>
            <w:pPr>
              <w:pStyle w:val="TableParagraph"/>
              <w:tabs>
                <w:tab w:pos="1945" w:val="left" w:leader="none"/>
              </w:tabs>
              <w:spacing w:line="252" w:lineRule="exact"/>
              <w:ind w:left="100"/>
              <w:jc w:val="both"/>
              <w:rPr>
                <w:b/>
                <w:sz w:val="22"/>
              </w:rPr>
            </w:pPr>
            <w:r>
              <w:rPr>
                <w:b/>
                <w:sz w:val="22"/>
              </w:rPr>
              <w:t>realiza</w:t>
              <w:tab/>
              <w:t>su</w:t>
            </w:r>
          </w:p>
          <w:p>
            <w:pPr>
              <w:pStyle w:val="TableParagraph"/>
              <w:tabs>
                <w:tab w:pos="1945" w:val="left" w:leader="none"/>
              </w:tabs>
              <w:ind w:left="100" w:right="98"/>
              <w:jc w:val="both"/>
              <w:rPr>
                <w:b/>
                <w:sz w:val="22"/>
              </w:rPr>
            </w:pPr>
            <w:r>
              <w:rPr>
                <w:b/>
                <w:sz w:val="22"/>
              </w:rPr>
              <w:t>municipio para que no se deteriore la laguna</w:t>
              <w:tab/>
              <w:t>de</w:t>
            </w:r>
          </w:p>
          <w:p>
            <w:pPr>
              <w:pStyle w:val="TableParagraph"/>
              <w:spacing w:before="1"/>
              <w:ind w:left="100"/>
              <w:jc w:val="both"/>
              <w:rPr>
                <w:b/>
                <w:sz w:val="22"/>
              </w:rPr>
            </w:pPr>
            <w:r>
              <w:rPr>
                <w:b/>
                <w:sz w:val="22"/>
              </w:rPr>
              <w:t>Huapango?</w:t>
            </w:r>
          </w:p>
        </w:tc>
        <w:tc>
          <w:tcPr>
            <w:tcW w:w="3901" w:type="dxa"/>
            <w:shd w:val="clear" w:color="auto" w:fill="92CDDC"/>
          </w:tcPr>
          <w:p>
            <w:pPr>
              <w:pStyle w:val="TableParagraph"/>
              <w:ind w:right="100"/>
              <w:jc w:val="both"/>
              <w:rPr>
                <w:b/>
                <w:sz w:val="22"/>
              </w:rPr>
            </w:pPr>
            <w:r>
              <w:rPr>
                <w:b/>
                <w:sz w:val="22"/>
              </w:rPr>
              <w:t>¿Existen problemas por el agua de la laguna de Huapango entre los habitantes de los municipios que se benefician de ella?</w:t>
            </w:r>
          </w:p>
        </w:tc>
      </w:tr>
    </w:tbl>
    <w:p>
      <w:pPr>
        <w:spacing w:after="0"/>
        <w:jc w:val="both"/>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66" w:hRule="exact"/>
        </w:trPr>
        <w:tc>
          <w:tcPr>
            <w:tcW w:w="1385" w:type="dxa"/>
            <w:tcBorders>
              <w:bottom w:val="nil"/>
            </w:tcBorders>
          </w:tcPr>
          <w:p>
            <w:pPr>
              <w:pStyle w:val="TableParagraph"/>
              <w:spacing w:line="251" w:lineRule="exact"/>
              <w:ind w:right="127"/>
              <w:rPr>
                <w:sz w:val="22"/>
              </w:rPr>
            </w:pPr>
            <w:r>
              <w:rPr>
                <w:sz w:val="22"/>
              </w:rPr>
              <w:t>Oscar</w:t>
            </w:r>
          </w:p>
        </w:tc>
        <w:tc>
          <w:tcPr>
            <w:tcW w:w="1274" w:type="dxa"/>
            <w:tcBorders>
              <w:bottom w:val="nil"/>
            </w:tcBorders>
          </w:tcPr>
          <w:p>
            <w:pPr>
              <w:pStyle w:val="TableParagraph"/>
              <w:spacing w:line="251" w:lineRule="exact"/>
              <w:ind w:left="100"/>
              <w:rPr>
                <w:sz w:val="22"/>
              </w:rPr>
            </w:pPr>
            <w:r>
              <w:rPr>
                <w:sz w:val="22"/>
              </w:rPr>
              <w:t>Preparator</w:t>
            </w:r>
          </w:p>
        </w:tc>
        <w:tc>
          <w:tcPr>
            <w:tcW w:w="1887" w:type="dxa"/>
            <w:tcBorders>
              <w:bottom w:val="nil"/>
            </w:tcBorders>
          </w:tcPr>
          <w:p>
            <w:pPr>
              <w:pStyle w:val="TableParagraph"/>
              <w:spacing w:line="251" w:lineRule="exact"/>
              <w:ind w:left="410"/>
              <w:rPr>
                <w:sz w:val="22"/>
              </w:rPr>
            </w:pPr>
            <w:r>
              <w:rPr>
                <w:sz w:val="22"/>
              </w:rPr>
              <w:t>Presidente</w:t>
            </w:r>
          </w:p>
        </w:tc>
        <w:tc>
          <w:tcPr>
            <w:tcW w:w="1289" w:type="dxa"/>
            <w:tcBorders>
              <w:bottom w:val="nil"/>
            </w:tcBorders>
          </w:tcPr>
          <w:p>
            <w:pPr>
              <w:pStyle w:val="TableParagraph"/>
              <w:spacing w:line="251" w:lineRule="exact"/>
              <w:rPr>
                <w:sz w:val="22"/>
              </w:rPr>
            </w:pPr>
            <w:r>
              <w:rPr>
                <w:sz w:val="22"/>
              </w:rPr>
              <w:t>Timilpan</w:t>
            </w:r>
          </w:p>
        </w:tc>
        <w:tc>
          <w:tcPr>
            <w:tcW w:w="1174" w:type="dxa"/>
            <w:tcBorders>
              <w:bottom w:val="nil"/>
            </w:tcBorders>
          </w:tcPr>
          <w:p>
            <w:pPr>
              <w:pStyle w:val="TableParagraph"/>
              <w:spacing w:line="251" w:lineRule="exact"/>
              <w:rPr>
                <w:sz w:val="22"/>
              </w:rPr>
            </w:pPr>
            <w:r>
              <w:rPr>
                <w:sz w:val="22"/>
              </w:rPr>
              <w:t>Timilpan</w:t>
            </w:r>
          </w:p>
        </w:tc>
        <w:tc>
          <w:tcPr>
            <w:tcW w:w="2314" w:type="dxa"/>
            <w:tcBorders>
              <w:bottom w:val="nil"/>
            </w:tcBorders>
          </w:tcPr>
          <w:p>
            <w:pPr>
              <w:pStyle w:val="TableParagraph"/>
              <w:tabs>
                <w:tab w:pos="659" w:val="left" w:leader="none"/>
                <w:tab w:pos="1952" w:val="left" w:leader="none"/>
              </w:tabs>
              <w:spacing w:line="251" w:lineRule="exact"/>
              <w:ind w:left="100"/>
              <w:rPr>
                <w:sz w:val="22"/>
              </w:rPr>
            </w:pPr>
            <w:r>
              <w:rPr>
                <w:sz w:val="22"/>
              </w:rPr>
              <w:t>El</w:t>
              <w:tab/>
              <w:t>municipio</w:t>
              <w:tab/>
              <w:t>no</w:t>
            </w:r>
          </w:p>
        </w:tc>
        <w:tc>
          <w:tcPr>
            <w:tcW w:w="3901" w:type="dxa"/>
            <w:tcBorders>
              <w:bottom w:val="nil"/>
            </w:tcBorders>
          </w:tcPr>
          <w:p>
            <w:pPr>
              <w:pStyle w:val="TableParagraph"/>
              <w:tabs>
                <w:tab w:pos="755" w:val="left" w:leader="none"/>
                <w:tab w:pos="1506" w:val="left" w:leader="none"/>
                <w:tab w:pos="2096" w:val="left" w:leader="none"/>
                <w:tab w:pos="3418" w:val="left" w:leader="none"/>
              </w:tabs>
              <w:spacing w:line="251" w:lineRule="exact"/>
              <w:rPr>
                <w:sz w:val="22"/>
              </w:rPr>
            </w:pPr>
            <w:r>
              <w:rPr>
                <w:sz w:val="22"/>
              </w:rPr>
              <w:t>No,</w:t>
              <w:tab/>
              <w:t>pero</w:t>
              <w:tab/>
              <w:t>los</w:t>
              <w:tab/>
              <w:t>habitantes</w:t>
              <w:tab/>
              <w:t>que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274" w:type="dxa"/>
            <w:tcBorders>
              <w:top w:val="nil"/>
              <w:bottom w:val="nil"/>
            </w:tcBorders>
          </w:tcPr>
          <w:p>
            <w:pPr>
              <w:pStyle w:val="TableParagraph"/>
              <w:spacing w:line="241" w:lineRule="exact"/>
              <w:ind w:left="100" w:right="98"/>
              <w:rPr>
                <w:sz w:val="22"/>
              </w:rPr>
            </w:pPr>
            <w:r>
              <w:rPr>
                <w:sz w:val="22"/>
              </w:rPr>
              <w:t>ia y</w:t>
            </w: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realiza acciones para</w:t>
            </w:r>
          </w:p>
        </w:tc>
        <w:tc>
          <w:tcPr>
            <w:tcW w:w="3901" w:type="dxa"/>
            <w:tcBorders>
              <w:top w:val="nil"/>
              <w:bottom w:val="nil"/>
            </w:tcBorders>
          </w:tcPr>
          <w:p>
            <w:pPr>
              <w:pStyle w:val="TableParagraph"/>
              <w:tabs>
                <w:tab w:pos="1388" w:val="left" w:leader="none"/>
                <w:tab w:pos="1928" w:val="left" w:leader="none"/>
                <w:tab w:pos="2522" w:val="left" w:leader="none"/>
                <w:tab w:pos="3415" w:val="left" w:leader="none"/>
              </w:tabs>
              <w:spacing w:line="241" w:lineRule="exact"/>
              <w:rPr>
                <w:sz w:val="22"/>
              </w:rPr>
            </w:pPr>
            <w:r>
              <w:rPr>
                <w:sz w:val="22"/>
              </w:rPr>
              <w:t>represento</w:t>
              <w:tab/>
              <w:t>me</w:t>
              <w:tab/>
              <w:t>han</w:t>
              <w:tab/>
              <w:t>pedido</w:t>
              <w:tab/>
              <w:t>que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Ruíz</w:t>
            </w:r>
          </w:p>
        </w:tc>
        <w:tc>
          <w:tcPr>
            <w:tcW w:w="1274" w:type="dxa"/>
            <w:tcBorders>
              <w:top w:val="nil"/>
              <w:bottom w:val="nil"/>
            </w:tcBorders>
          </w:tcPr>
          <w:p>
            <w:pPr>
              <w:pStyle w:val="TableParagraph"/>
              <w:spacing w:line="242" w:lineRule="exact"/>
              <w:ind w:left="100" w:right="98"/>
              <w:rPr>
                <w:sz w:val="22"/>
              </w:rPr>
            </w:pPr>
            <w:r>
              <w:rPr>
                <w:sz w:val="22"/>
              </w:rPr>
              <w:t>carrera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046" w:val="left" w:leader="none"/>
                <w:tab w:pos="1478" w:val="left" w:leader="none"/>
                <w:tab w:pos="2092" w:val="left" w:leader="none"/>
              </w:tabs>
              <w:spacing w:line="242" w:lineRule="exact"/>
              <w:ind w:left="100"/>
              <w:rPr>
                <w:sz w:val="22"/>
              </w:rPr>
            </w:pPr>
            <w:r>
              <w:rPr>
                <w:sz w:val="22"/>
              </w:rPr>
              <w:t>regular</w:t>
              <w:tab/>
              <w:t>el</w:t>
              <w:tab/>
              <w:t>uso</w:t>
              <w:tab/>
              <w:t>y</w:t>
            </w:r>
          </w:p>
        </w:tc>
        <w:tc>
          <w:tcPr>
            <w:tcW w:w="3901" w:type="dxa"/>
            <w:tcBorders>
              <w:top w:val="nil"/>
              <w:bottom w:val="nil"/>
            </w:tcBorders>
          </w:tcPr>
          <w:p>
            <w:pPr>
              <w:pStyle w:val="TableParagraph"/>
              <w:tabs>
                <w:tab w:pos="2192" w:val="left" w:leader="none"/>
              </w:tabs>
              <w:spacing w:line="242" w:lineRule="exact"/>
              <w:rPr>
                <w:sz w:val="22"/>
              </w:rPr>
            </w:pPr>
            <w:r>
              <w:rPr>
                <w:sz w:val="22"/>
              </w:rPr>
              <w:t>demande </w:t>
            </w:r>
            <w:r>
              <w:rPr>
                <w:spacing w:val="24"/>
                <w:sz w:val="22"/>
              </w:rPr>
              <w:t> </w:t>
            </w:r>
            <w:r>
              <w:rPr>
                <w:sz w:val="22"/>
              </w:rPr>
              <w:t>o </w:t>
            </w:r>
            <w:r>
              <w:rPr>
                <w:spacing w:val="24"/>
                <w:sz w:val="22"/>
              </w:rPr>
              <w:t> </w:t>
            </w:r>
            <w:r>
              <w:rPr>
                <w:sz w:val="22"/>
              </w:rPr>
              <w:t>exija</w:t>
              <w:tab/>
              <w:t>beneficio  de </w:t>
            </w:r>
            <w:r>
              <w:rPr>
                <w:spacing w:val="47"/>
                <w:sz w:val="22"/>
              </w:rPr>
              <w:t> </w:t>
            </w:r>
            <w:r>
              <w:rPr>
                <w:sz w:val="22"/>
              </w:rPr>
              <w:t>la</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técnica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22" w:val="left" w:leader="none"/>
                <w:tab w:pos="1710" w:val="left" w:leader="none"/>
              </w:tabs>
              <w:spacing w:line="241" w:lineRule="exact"/>
              <w:ind w:left="100"/>
              <w:rPr>
                <w:sz w:val="22"/>
              </w:rPr>
            </w:pPr>
            <w:r>
              <w:rPr>
                <w:sz w:val="22"/>
              </w:rPr>
              <w:t>manejo</w:t>
              <w:tab/>
              <w:t>del</w:t>
              <w:tab/>
              <w:t>agua</w:t>
            </w:r>
          </w:p>
        </w:tc>
        <w:tc>
          <w:tcPr>
            <w:tcW w:w="3901" w:type="dxa"/>
            <w:tcBorders>
              <w:top w:val="nil"/>
              <w:bottom w:val="nil"/>
            </w:tcBorders>
          </w:tcPr>
          <w:p>
            <w:pPr>
              <w:pStyle w:val="TableParagraph"/>
              <w:spacing w:line="241" w:lineRule="exact"/>
              <w:rPr>
                <w:sz w:val="22"/>
              </w:rPr>
            </w:pPr>
            <w:r>
              <w:rPr>
                <w:sz w:val="22"/>
              </w:rPr>
              <w:t>laguna.</w:t>
            </w:r>
          </w:p>
        </w:tc>
      </w:tr>
      <w:tr>
        <w:trPr>
          <w:trHeight w:val="253" w:hRule="exact"/>
        </w:trPr>
        <w:tc>
          <w:tcPr>
            <w:tcW w:w="1385" w:type="dxa"/>
            <w:tcBorders>
              <w:top w:val="nil"/>
              <w:bottom w:val="nil"/>
            </w:tcBorders>
          </w:tcPr>
          <w:p>
            <w:pPr>
              <w:pStyle w:val="TableParagraph"/>
              <w:spacing w:line="242" w:lineRule="exact"/>
              <w:rPr>
                <w:sz w:val="22"/>
              </w:rPr>
            </w:pPr>
            <w:r>
              <w:rPr>
                <w:sz w:val="22"/>
              </w:rPr>
              <w:t>(24/II/2014)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043" w:val="left" w:leader="none"/>
                <w:tab w:pos="1542" w:val="left" w:leader="none"/>
                <w:tab w:pos="2029" w:val="left" w:leader="none"/>
              </w:tabs>
              <w:spacing w:line="242" w:lineRule="exact"/>
              <w:ind w:left="100"/>
              <w:rPr>
                <w:sz w:val="22"/>
              </w:rPr>
            </w:pPr>
            <w:r>
              <w:rPr>
                <w:sz w:val="22"/>
              </w:rPr>
              <w:t>porque</w:t>
              <w:tab/>
              <w:t>no</w:t>
              <w:tab/>
              <w:t>se</w:t>
              <w:tab/>
              <w:t>lo</w:t>
            </w:r>
          </w:p>
        </w:tc>
        <w:tc>
          <w:tcPr>
            <w:tcW w:w="3901" w:type="dxa"/>
            <w:tcBorders>
              <w:top w:val="nil"/>
              <w:bottom w:val="nil"/>
            </w:tcBorders>
          </w:tcPr>
          <w:p>
            <w:pPr/>
          </w:p>
        </w:tc>
      </w:tr>
      <w:tr>
        <w:trPr>
          <w:trHeight w:val="247"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permiten.</w:t>
            </w:r>
          </w:p>
        </w:tc>
        <w:tc>
          <w:tcPr>
            <w:tcW w:w="3901"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Alfonso</w:t>
            </w:r>
          </w:p>
        </w:tc>
        <w:tc>
          <w:tcPr>
            <w:tcW w:w="1274" w:type="dxa"/>
            <w:tcBorders>
              <w:bottom w:val="nil"/>
            </w:tcBorders>
          </w:tcPr>
          <w:p>
            <w:pPr/>
          </w:p>
        </w:tc>
        <w:tc>
          <w:tcPr>
            <w:tcW w:w="1887" w:type="dxa"/>
            <w:tcBorders>
              <w:bottom w:val="nil"/>
            </w:tcBorders>
          </w:tcPr>
          <w:p>
            <w:pPr>
              <w:pStyle w:val="TableParagraph"/>
              <w:rPr>
                <w:sz w:val="22"/>
              </w:rPr>
            </w:pPr>
            <w:r>
              <w:rPr>
                <w:sz w:val="22"/>
              </w:rPr>
              <w:t>Tercer Regidor.</w:t>
            </w:r>
          </w:p>
        </w:tc>
        <w:tc>
          <w:tcPr>
            <w:tcW w:w="1289" w:type="dxa"/>
            <w:tcBorders>
              <w:bottom w:val="nil"/>
            </w:tcBorders>
          </w:tcPr>
          <w:p>
            <w:pPr>
              <w:pStyle w:val="TableParagraph"/>
              <w:rPr>
                <w:sz w:val="22"/>
              </w:rPr>
            </w:pPr>
            <w:r>
              <w:rPr>
                <w:sz w:val="22"/>
              </w:rPr>
              <w:t>Rincón de</w:t>
            </w:r>
          </w:p>
        </w:tc>
        <w:tc>
          <w:tcPr>
            <w:tcW w:w="1174" w:type="dxa"/>
            <w:tcBorders>
              <w:bottom w:val="nil"/>
            </w:tcBorders>
          </w:tcPr>
          <w:p>
            <w:pPr>
              <w:pStyle w:val="TableParagraph"/>
              <w:rPr>
                <w:sz w:val="22"/>
              </w:rPr>
            </w:pPr>
            <w:r>
              <w:rPr>
                <w:sz w:val="22"/>
              </w:rPr>
              <w:t>Rincón</w:t>
            </w:r>
          </w:p>
        </w:tc>
        <w:tc>
          <w:tcPr>
            <w:tcW w:w="2314" w:type="dxa"/>
            <w:tcBorders>
              <w:bottom w:val="nil"/>
            </w:tcBorders>
          </w:tcPr>
          <w:p>
            <w:pPr>
              <w:pStyle w:val="TableParagraph"/>
              <w:ind w:left="100"/>
              <w:rPr>
                <w:sz w:val="22"/>
              </w:rPr>
            </w:pPr>
            <w:r>
              <w:rPr>
                <w:sz w:val="22"/>
              </w:rPr>
              <w:t>Ninguna  acción para</w:t>
            </w:r>
          </w:p>
        </w:tc>
        <w:tc>
          <w:tcPr>
            <w:tcW w:w="3901" w:type="dxa"/>
            <w:tcBorders>
              <w:bottom w:val="nil"/>
            </w:tcBorders>
          </w:tcPr>
          <w:p>
            <w:pPr>
              <w:pStyle w:val="TableParagraph"/>
              <w:rPr>
                <w:sz w:val="22"/>
              </w:rPr>
            </w:pPr>
            <w:r>
              <w:rPr>
                <w:sz w:val="22"/>
              </w:rPr>
              <w:t>No porque no se tiene injerencia.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Ruiz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Presidente de la</w:t>
            </w:r>
          </w:p>
        </w:tc>
        <w:tc>
          <w:tcPr>
            <w:tcW w:w="1289" w:type="dxa"/>
            <w:tcBorders>
              <w:top w:val="nil"/>
              <w:bottom w:val="nil"/>
            </w:tcBorders>
          </w:tcPr>
          <w:p>
            <w:pPr>
              <w:pStyle w:val="TableParagraph"/>
              <w:spacing w:line="241" w:lineRule="exact"/>
              <w:rPr>
                <w:sz w:val="22"/>
              </w:rPr>
            </w:pPr>
            <w:r>
              <w:rPr>
                <w:sz w:val="22"/>
              </w:rPr>
              <w:t>Bucio,</w:t>
            </w:r>
          </w:p>
        </w:tc>
        <w:tc>
          <w:tcPr>
            <w:tcW w:w="1174" w:type="dxa"/>
            <w:tcBorders>
              <w:top w:val="nil"/>
              <w:bottom w:val="nil"/>
            </w:tcBorders>
          </w:tcPr>
          <w:p>
            <w:pPr>
              <w:pStyle w:val="TableParagraph"/>
              <w:spacing w:line="241" w:lineRule="exact"/>
              <w:rPr>
                <w:sz w:val="22"/>
              </w:rPr>
            </w:pPr>
            <w:r>
              <w:rPr>
                <w:sz w:val="22"/>
              </w:rPr>
              <w:t>de Bucio,</w:t>
            </w:r>
          </w:p>
        </w:tc>
        <w:tc>
          <w:tcPr>
            <w:tcW w:w="2314" w:type="dxa"/>
            <w:tcBorders>
              <w:top w:val="nil"/>
              <w:bottom w:val="nil"/>
            </w:tcBorders>
          </w:tcPr>
          <w:p>
            <w:pPr>
              <w:pStyle w:val="TableParagraph"/>
              <w:spacing w:line="241" w:lineRule="exact"/>
              <w:ind w:left="100"/>
              <w:rPr>
                <w:sz w:val="22"/>
              </w:rPr>
            </w:pPr>
            <w:r>
              <w:rPr>
                <w:sz w:val="22"/>
              </w:rPr>
              <w:t>cuidar la laguna.</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Style w:val="TableParagraph"/>
              <w:spacing w:line="241" w:lineRule="exact"/>
              <w:rPr>
                <w:sz w:val="22"/>
              </w:rPr>
            </w:pPr>
            <w:r>
              <w:rPr>
                <w:sz w:val="22"/>
              </w:rPr>
              <w:t>Timilpan</w:t>
            </w:r>
          </w:p>
        </w:tc>
        <w:tc>
          <w:tcPr>
            <w:tcW w:w="1174" w:type="dxa"/>
            <w:tcBorders>
              <w:top w:val="nil"/>
              <w:bottom w:val="nil"/>
            </w:tcBorders>
          </w:tcPr>
          <w:p>
            <w:pPr>
              <w:pStyle w:val="TableParagraph"/>
              <w:spacing w:line="241" w:lineRule="exact"/>
              <w:rPr>
                <w:sz w:val="22"/>
              </w:rPr>
            </w:pPr>
            <w:r>
              <w:rPr>
                <w:sz w:val="22"/>
              </w:rPr>
              <w:t>Timilpan</w:t>
            </w: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 Rural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502" w:hRule="exact"/>
        </w:trPr>
        <w:tc>
          <w:tcPr>
            <w:tcW w:w="1385" w:type="dxa"/>
            <w:tcBorders>
              <w:top w:val="nil"/>
            </w:tcBorders>
          </w:tcPr>
          <w:p>
            <w:pPr>
              <w:pStyle w:val="TableParagraph"/>
              <w:spacing w:line="241" w:lineRule="exact"/>
              <w:ind w:right="127"/>
              <w:rPr>
                <w:sz w:val="22"/>
              </w:rPr>
            </w:pPr>
            <w:r>
              <w:rPr>
                <w:sz w:val="22"/>
              </w:rPr>
              <w:t>(24/I/2015)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Jacinta</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Cuarto  Regidor.</w:t>
            </w:r>
          </w:p>
        </w:tc>
        <w:tc>
          <w:tcPr>
            <w:tcW w:w="1289" w:type="dxa"/>
            <w:tcBorders>
              <w:bottom w:val="nil"/>
            </w:tcBorders>
          </w:tcPr>
          <w:p>
            <w:pPr>
              <w:pStyle w:val="TableParagraph"/>
              <w:spacing w:line="251" w:lineRule="exact"/>
              <w:rPr>
                <w:sz w:val="22"/>
              </w:rPr>
            </w:pPr>
            <w:r>
              <w:rPr>
                <w:sz w:val="22"/>
              </w:rPr>
              <w:t>Santiago</w:t>
            </w:r>
          </w:p>
        </w:tc>
        <w:tc>
          <w:tcPr>
            <w:tcW w:w="1174" w:type="dxa"/>
            <w:tcBorders>
              <w:bottom w:val="nil"/>
            </w:tcBorders>
          </w:tcPr>
          <w:p>
            <w:pPr>
              <w:pStyle w:val="TableParagraph"/>
              <w:spacing w:line="251" w:lineRule="exact"/>
              <w:rPr>
                <w:sz w:val="22"/>
              </w:rPr>
            </w:pPr>
            <w:r>
              <w:rPr>
                <w:sz w:val="22"/>
              </w:rPr>
              <w:t>Santiago</w:t>
            </w:r>
          </w:p>
        </w:tc>
        <w:tc>
          <w:tcPr>
            <w:tcW w:w="2314" w:type="dxa"/>
            <w:tcBorders>
              <w:bottom w:val="nil"/>
            </w:tcBorders>
          </w:tcPr>
          <w:p>
            <w:pPr>
              <w:pStyle w:val="TableParagraph"/>
              <w:tabs>
                <w:tab w:pos="808" w:val="left" w:leader="none"/>
                <w:tab w:pos="1844" w:val="left" w:leader="none"/>
              </w:tabs>
              <w:spacing w:line="251" w:lineRule="exact"/>
              <w:ind w:left="100"/>
              <w:rPr>
                <w:sz w:val="22"/>
              </w:rPr>
            </w:pPr>
            <w:r>
              <w:rPr>
                <w:sz w:val="22"/>
              </w:rPr>
              <w:t>Se</w:t>
              <w:tab/>
              <w:t>apoya</w:t>
              <w:tab/>
              <w:t>con</w:t>
            </w:r>
          </w:p>
        </w:tc>
        <w:tc>
          <w:tcPr>
            <w:tcW w:w="3901" w:type="dxa"/>
            <w:tcBorders>
              <w:bottom w:val="nil"/>
            </w:tcBorders>
          </w:tcPr>
          <w:p>
            <w:pPr>
              <w:pStyle w:val="TableParagraph"/>
              <w:spacing w:line="251" w:lineRule="exact"/>
              <w:rPr>
                <w:sz w:val="22"/>
              </w:rPr>
            </w:pPr>
            <w:r>
              <w:rPr>
                <w:sz w:val="22"/>
              </w:rPr>
              <w:t>No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Jasso</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Presidenta  de la</w:t>
            </w:r>
          </w:p>
        </w:tc>
        <w:tc>
          <w:tcPr>
            <w:tcW w:w="1289" w:type="dxa"/>
            <w:tcBorders>
              <w:top w:val="nil"/>
              <w:bottom w:val="nil"/>
            </w:tcBorders>
          </w:tcPr>
          <w:p>
            <w:pPr>
              <w:pStyle w:val="TableParagraph"/>
              <w:spacing w:line="242" w:lineRule="exact"/>
              <w:rPr>
                <w:sz w:val="22"/>
              </w:rPr>
            </w:pPr>
            <w:r>
              <w:rPr>
                <w:sz w:val="22"/>
              </w:rPr>
              <w:t>Maxdá,</w:t>
            </w:r>
          </w:p>
        </w:tc>
        <w:tc>
          <w:tcPr>
            <w:tcW w:w="1174" w:type="dxa"/>
            <w:tcBorders>
              <w:top w:val="nil"/>
              <w:bottom w:val="nil"/>
            </w:tcBorders>
          </w:tcPr>
          <w:p>
            <w:pPr>
              <w:pStyle w:val="TableParagraph"/>
              <w:spacing w:line="242" w:lineRule="exact"/>
              <w:rPr>
                <w:sz w:val="22"/>
              </w:rPr>
            </w:pPr>
            <w:r>
              <w:rPr>
                <w:sz w:val="22"/>
              </w:rPr>
              <w:t>Maxdá,</w:t>
            </w:r>
          </w:p>
        </w:tc>
        <w:tc>
          <w:tcPr>
            <w:tcW w:w="2314" w:type="dxa"/>
            <w:tcBorders>
              <w:top w:val="nil"/>
              <w:bottom w:val="nil"/>
            </w:tcBorders>
          </w:tcPr>
          <w:p>
            <w:pPr>
              <w:pStyle w:val="TableParagraph"/>
              <w:spacing w:line="242" w:lineRule="exact"/>
              <w:ind w:left="100"/>
              <w:rPr>
                <w:sz w:val="22"/>
              </w:rPr>
            </w:pPr>
            <w:r>
              <w:rPr>
                <w:sz w:val="22"/>
              </w:rPr>
              <w:t>maquinaria.</w:t>
            </w:r>
          </w:p>
        </w:tc>
        <w:tc>
          <w:tcPr>
            <w:tcW w:w="3901"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González</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1289" w:type="dxa"/>
            <w:tcBorders>
              <w:top w:val="nil"/>
              <w:bottom w:val="nil"/>
            </w:tcBorders>
          </w:tcPr>
          <w:p>
            <w:pPr>
              <w:pStyle w:val="TableParagraph"/>
              <w:spacing w:line="241" w:lineRule="exact"/>
              <w:rPr>
                <w:sz w:val="22"/>
              </w:rPr>
            </w:pPr>
            <w:r>
              <w:rPr>
                <w:sz w:val="22"/>
              </w:rPr>
              <w:t>Timilpan</w:t>
            </w:r>
          </w:p>
        </w:tc>
        <w:tc>
          <w:tcPr>
            <w:tcW w:w="1174" w:type="dxa"/>
            <w:tcBorders>
              <w:top w:val="nil"/>
              <w:bottom w:val="nil"/>
            </w:tcBorders>
          </w:tcPr>
          <w:p>
            <w:pPr>
              <w:pStyle w:val="TableParagraph"/>
              <w:spacing w:line="241" w:lineRule="exact"/>
              <w:rPr>
                <w:sz w:val="22"/>
              </w:rPr>
            </w:pPr>
            <w:r>
              <w:rPr>
                <w:sz w:val="22"/>
              </w:rPr>
              <w:t>Timilpan</w:t>
            </w: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2" w:val="left" w:leader="none"/>
              </w:tabs>
              <w:spacing w:line="241" w:lineRule="exact"/>
              <w:rPr>
                <w:sz w:val="22"/>
              </w:rPr>
            </w:pPr>
            <w:r>
              <w:rPr>
                <w:sz w:val="22"/>
              </w:rPr>
              <w:t>Empleo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9" w:hRule="exact"/>
        </w:trPr>
        <w:tc>
          <w:tcPr>
            <w:tcW w:w="1385" w:type="dxa"/>
            <w:tcBorders>
              <w:top w:val="nil"/>
            </w:tcBorders>
          </w:tcPr>
          <w:p>
            <w:pPr>
              <w:pStyle w:val="TableParagraph"/>
              <w:spacing w:line="242" w:lineRule="exact"/>
              <w:ind w:right="127"/>
              <w:rPr>
                <w:sz w:val="22"/>
              </w:rPr>
            </w:pPr>
            <w:r>
              <w:rPr>
                <w:sz w:val="22"/>
              </w:rPr>
              <w:t>(24/I/2015)</w:t>
            </w: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Turismo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8" w:hRule="exact"/>
        </w:trPr>
        <w:tc>
          <w:tcPr>
            <w:tcW w:w="1385" w:type="dxa"/>
            <w:tcBorders>
              <w:bottom w:val="nil"/>
            </w:tcBorders>
          </w:tcPr>
          <w:p>
            <w:pPr>
              <w:pStyle w:val="TableParagraph"/>
              <w:spacing w:line="251" w:lineRule="exact"/>
              <w:rPr>
                <w:sz w:val="22"/>
              </w:rPr>
            </w:pPr>
            <w:r>
              <w:rPr>
                <w:sz w:val="22"/>
              </w:rPr>
              <w:t>Erika María</w:t>
            </w:r>
          </w:p>
        </w:tc>
        <w:tc>
          <w:tcPr>
            <w:tcW w:w="1274" w:type="dxa"/>
            <w:tcBorders>
              <w:bottom w:val="nil"/>
            </w:tcBorders>
          </w:tcPr>
          <w:p>
            <w:pPr>
              <w:pStyle w:val="TableParagraph"/>
              <w:spacing w:line="251" w:lineRule="exact"/>
              <w:ind w:left="100" w:right="98"/>
              <w:rPr>
                <w:sz w:val="22"/>
              </w:rPr>
            </w:pPr>
            <w:r>
              <w:rPr>
                <w:sz w:val="22"/>
              </w:rPr>
              <w:t>Técnico</w:t>
            </w:r>
          </w:p>
        </w:tc>
        <w:tc>
          <w:tcPr>
            <w:tcW w:w="1887" w:type="dxa"/>
            <w:tcBorders>
              <w:bottom w:val="nil"/>
            </w:tcBorders>
          </w:tcPr>
          <w:p>
            <w:pPr>
              <w:pStyle w:val="TableParagraph"/>
              <w:spacing w:line="251" w:lineRule="exact"/>
              <w:rPr>
                <w:sz w:val="22"/>
              </w:rPr>
            </w:pPr>
            <w:r>
              <w:rPr>
                <w:sz w:val="22"/>
              </w:rPr>
              <w:t>Quinto   Regidor.</w:t>
            </w:r>
          </w:p>
        </w:tc>
        <w:tc>
          <w:tcPr>
            <w:tcW w:w="1289" w:type="dxa"/>
            <w:tcBorders>
              <w:bottom w:val="nil"/>
            </w:tcBorders>
          </w:tcPr>
          <w:p>
            <w:pPr>
              <w:pStyle w:val="TableParagraph"/>
              <w:spacing w:line="251" w:lineRule="exact"/>
              <w:rPr>
                <w:sz w:val="22"/>
              </w:rPr>
            </w:pPr>
            <w:r>
              <w:rPr>
                <w:sz w:val="22"/>
              </w:rPr>
              <w:t>Naucalpan</w:t>
            </w:r>
          </w:p>
        </w:tc>
        <w:tc>
          <w:tcPr>
            <w:tcW w:w="1174" w:type="dxa"/>
            <w:tcBorders>
              <w:bottom w:val="nil"/>
            </w:tcBorders>
          </w:tcPr>
          <w:p>
            <w:pPr>
              <w:pStyle w:val="TableParagraph"/>
              <w:spacing w:line="251" w:lineRule="exact"/>
              <w:rPr>
                <w:sz w:val="22"/>
              </w:rPr>
            </w:pPr>
            <w:r>
              <w:rPr>
                <w:sz w:val="22"/>
              </w:rPr>
              <w:t>Timilpan</w:t>
            </w:r>
          </w:p>
        </w:tc>
        <w:tc>
          <w:tcPr>
            <w:tcW w:w="2314" w:type="dxa"/>
            <w:tcBorders>
              <w:bottom w:val="nil"/>
            </w:tcBorders>
          </w:tcPr>
          <w:p>
            <w:pPr>
              <w:pStyle w:val="TableParagraph"/>
              <w:spacing w:line="251" w:lineRule="exact"/>
              <w:ind w:left="100"/>
              <w:rPr>
                <w:sz w:val="22"/>
              </w:rPr>
            </w:pPr>
            <w:r>
              <w:rPr>
                <w:sz w:val="22"/>
              </w:rPr>
              <w:t>Evitar  la  entrada  de</w:t>
            </w:r>
          </w:p>
        </w:tc>
        <w:tc>
          <w:tcPr>
            <w:tcW w:w="3901" w:type="dxa"/>
            <w:tcBorders>
              <w:bottom w:val="nil"/>
            </w:tcBorders>
          </w:tcPr>
          <w:p>
            <w:pPr>
              <w:pStyle w:val="TableParagraph"/>
              <w:spacing w:line="251" w:lineRule="exact"/>
              <w:rPr>
                <w:sz w:val="22"/>
              </w:rPr>
            </w:pPr>
            <w:r>
              <w:rPr>
                <w:sz w:val="22"/>
              </w:rPr>
              <w:t>Ahora ya no porque ya no se     están</w:t>
            </w:r>
          </w:p>
        </w:tc>
      </w:tr>
      <w:tr>
        <w:trPr>
          <w:trHeight w:val="253" w:hRule="exact"/>
        </w:trPr>
        <w:tc>
          <w:tcPr>
            <w:tcW w:w="1385" w:type="dxa"/>
            <w:tcBorders>
              <w:top w:val="nil"/>
              <w:bottom w:val="nil"/>
            </w:tcBorders>
          </w:tcPr>
          <w:p>
            <w:pPr>
              <w:pStyle w:val="TableParagraph"/>
              <w:spacing w:line="243" w:lineRule="exact"/>
              <w:ind w:right="127"/>
              <w:rPr>
                <w:sz w:val="22"/>
              </w:rPr>
            </w:pPr>
            <w:r>
              <w:rPr>
                <w:sz w:val="22"/>
              </w:rPr>
              <w:t>Correa</w:t>
            </w:r>
          </w:p>
        </w:tc>
        <w:tc>
          <w:tcPr>
            <w:tcW w:w="1274" w:type="dxa"/>
            <w:tcBorders>
              <w:top w:val="nil"/>
              <w:bottom w:val="nil"/>
            </w:tcBorders>
          </w:tcPr>
          <w:p>
            <w:pPr>
              <w:pStyle w:val="TableParagraph"/>
              <w:spacing w:line="243" w:lineRule="exact"/>
              <w:ind w:left="100" w:right="98"/>
              <w:rPr>
                <w:sz w:val="22"/>
              </w:rPr>
            </w:pPr>
            <w:r>
              <w:rPr>
                <w:sz w:val="22"/>
              </w:rPr>
              <w:t>en</w:t>
            </w:r>
          </w:p>
        </w:tc>
        <w:tc>
          <w:tcPr>
            <w:tcW w:w="1887" w:type="dxa"/>
            <w:tcBorders>
              <w:top w:val="nil"/>
              <w:bottom w:val="nil"/>
            </w:tcBorders>
          </w:tcPr>
          <w:p>
            <w:pPr>
              <w:pStyle w:val="TableParagraph"/>
              <w:spacing w:line="243" w:lineRule="exact"/>
              <w:rPr>
                <w:sz w:val="22"/>
              </w:rPr>
            </w:pPr>
            <w:r>
              <w:rPr>
                <w:sz w:val="22"/>
              </w:rPr>
              <w:t>Presidente  de la</w:t>
            </w:r>
          </w:p>
        </w:tc>
        <w:tc>
          <w:tcPr>
            <w:tcW w:w="1289" w:type="dxa"/>
            <w:tcBorders>
              <w:top w:val="nil"/>
              <w:bottom w:val="nil"/>
            </w:tcBorders>
          </w:tcPr>
          <w:p>
            <w:pPr>
              <w:pStyle w:val="TableParagraph"/>
              <w:spacing w:line="243" w:lineRule="exact"/>
              <w:rPr>
                <w:sz w:val="22"/>
              </w:rPr>
            </w:pPr>
            <w:r>
              <w:rPr>
                <w:sz w:val="22"/>
              </w:rPr>
              <w:t>de Juárez</w:t>
            </w:r>
          </w:p>
        </w:tc>
        <w:tc>
          <w:tcPr>
            <w:tcW w:w="1174" w:type="dxa"/>
            <w:tcBorders>
              <w:top w:val="nil"/>
              <w:bottom w:val="nil"/>
            </w:tcBorders>
          </w:tcPr>
          <w:p>
            <w:pPr>
              <w:pStyle w:val="TableParagraph"/>
              <w:spacing w:line="243" w:lineRule="exact"/>
              <w:rPr>
                <w:sz w:val="22"/>
              </w:rPr>
            </w:pPr>
            <w:r>
              <w:rPr>
                <w:sz w:val="22"/>
              </w:rPr>
              <w:t>(desde</w:t>
            </w:r>
          </w:p>
        </w:tc>
        <w:tc>
          <w:tcPr>
            <w:tcW w:w="2314" w:type="dxa"/>
            <w:tcBorders>
              <w:top w:val="nil"/>
              <w:bottom w:val="nil"/>
            </w:tcBorders>
          </w:tcPr>
          <w:p>
            <w:pPr>
              <w:pStyle w:val="TableParagraph"/>
              <w:spacing w:line="243" w:lineRule="exact"/>
              <w:ind w:left="100"/>
              <w:rPr>
                <w:sz w:val="22"/>
              </w:rPr>
            </w:pPr>
            <w:r>
              <w:rPr>
                <w:sz w:val="22"/>
              </w:rPr>
              <w:t>aguas  contaminadas</w:t>
            </w:r>
          </w:p>
        </w:tc>
        <w:tc>
          <w:tcPr>
            <w:tcW w:w="3901" w:type="dxa"/>
            <w:tcBorders>
              <w:top w:val="nil"/>
              <w:bottom w:val="nil"/>
            </w:tcBorders>
          </w:tcPr>
          <w:p>
            <w:pPr>
              <w:pStyle w:val="TableParagraph"/>
              <w:spacing w:line="243" w:lineRule="exact"/>
              <w:rPr>
                <w:sz w:val="22"/>
              </w:rPr>
            </w:pPr>
            <w:r>
              <w:rPr>
                <w:sz w:val="22"/>
              </w:rPr>
              <w:t>llevando el agua a otros  </w:t>
            </w:r>
            <w:r>
              <w:rPr>
                <w:spacing w:val="51"/>
                <w:sz w:val="22"/>
              </w:rPr>
              <w:t> </w:t>
            </w:r>
            <w:r>
              <w:rPr>
                <w:sz w:val="22"/>
              </w:rPr>
              <w:t>municipios,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Plata</w:t>
            </w:r>
          </w:p>
        </w:tc>
        <w:tc>
          <w:tcPr>
            <w:tcW w:w="1274" w:type="dxa"/>
            <w:tcBorders>
              <w:top w:val="nil"/>
              <w:bottom w:val="nil"/>
            </w:tcBorders>
          </w:tcPr>
          <w:p>
            <w:pPr>
              <w:pStyle w:val="TableParagraph"/>
              <w:spacing w:line="241" w:lineRule="exact"/>
              <w:ind w:left="100"/>
              <w:rPr>
                <w:sz w:val="22"/>
              </w:rPr>
            </w:pPr>
            <w:r>
              <w:rPr>
                <w:sz w:val="22"/>
              </w:rPr>
              <w:t>Computaci</w:t>
            </w: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hace 30</w:t>
            </w:r>
          </w:p>
        </w:tc>
        <w:tc>
          <w:tcPr>
            <w:tcW w:w="2314" w:type="dxa"/>
            <w:tcBorders>
              <w:top w:val="nil"/>
              <w:bottom w:val="nil"/>
            </w:tcBorders>
          </w:tcPr>
          <w:p>
            <w:pPr>
              <w:pStyle w:val="TableParagraph"/>
              <w:spacing w:line="241" w:lineRule="exact"/>
              <w:ind w:left="100"/>
              <w:rPr>
                <w:sz w:val="22"/>
              </w:rPr>
            </w:pPr>
            <w:r>
              <w:rPr>
                <w:sz w:val="22"/>
              </w:rPr>
              <w:t>y crear la cultura </w:t>
            </w:r>
            <w:r>
              <w:rPr>
                <w:spacing w:val="51"/>
                <w:sz w:val="22"/>
              </w:rPr>
              <w:t> </w:t>
            </w:r>
            <w:r>
              <w:rPr>
                <w:sz w:val="22"/>
              </w:rPr>
              <w:t>del</w:t>
            </w:r>
          </w:p>
        </w:tc>
        <w:tc>
          <w:tcPr>
            <w:tcW w:w="3901" w:type="dxa"/>
            <w:tcBorders>
              <w:top w:val="nil"/>
              <w:bottom w:val="nil"/>
            </w:tcBorders>
          </w:tcPr>
          <w:p>
            <w:pPr>
              <w:pStyle w:val="TableParagraph"/>
              <w:tabs>
                <w:tab w:pos="1043" w:val="left" w:leader="none"/>
                <w:tab w:pos="2898" w:val="left" w:leader="none"/>
                <w:tab w:pos="3555" w:val="left" w:leader="none"/>
              </w:tabs>
              <w:spacing w:line="241" w:lineRule="exact"/>
              <w:rPr>
                <w:sz w:val="22"/>
              </w:rPr>
            </w:pPr>
            <w:r>
              <w:rPr>
                <w:sz w:val="22"/>
              </w:rPr>
              <w:t>pero</w:t>
              <w:tab/>
              <w:t>anteriormente</w:t>
              <w:tab/>
              <w:t>si</w:t>
              <w:tab/>
              <w:t>se</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ón</w:t>
            </w:r>
          </w:p>
        </w:tc>
        <w:tc>
          <w:tcPr>
            <w:tcW w:w="1887" w:type="dxa"/>
            <w:tcBorders>
              <w:top w:val="nil"/>
              <w:bottom w:val="nil"/>
            </w:tcBorders>
          </w:tcPr>
          <w:p>
            <w:pPr>
              <w:pStyle w:val="TableParagraph"/>
              <w:spacing w:line="242" w:lineRule="exact"/>
              <w:rPr>
                <w:sz w:val="22"/>
              </w:rPr>
            </w:pPr>
            <w:r>
              <w:rPr>
                <w:sz w:val="22"/>
              </w:rPr>
              <w:t>Salud   y   Medio</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años)</w:t>
            </w:r>
          </w:p>
        </w:tc>
        <w:tc>
          <w:tcPr>
            <w:tcW w:w="2314" w:type="dxa"/>
            <w:tcBorders>
              <w:top w:val="nil"/>
              <w:bottom w:val="nil"/>
            </w:tcBorders>
          </w:tcPr>
          <w:p>
            <w:pPr>
              <w:pStyle w:val="TableParagraph"/>
              <w:spacing w:line="242" w:lineRule="exact"/>
              <w:ind w:left="100"/>
              <w:rPr>
                <w:sz w:val="22"/>
              </w:rPr>
            </w:pPr>
            <w:r>
              <w:rPr>
                <w:sz w:val="22"/>
              </w:rPr>
              <w:t>cuidado del agua.</w:t>
            </w:r>
          </w:p>
        </w:tc>
        <w:tc>
          <w:tcPr>
            <w:tcW w:w="3901" w:type="dxa"/>
            <w:tcBorders>
              <w:top w:val="nil"/>
              <w:bottom w:val="nil"/>
            </w:tcBorders>
          </w:tcPr>
          <w:p>
            <w:pPr>
              <w:pStyle w:val="TableParagraph"/>
              <w:tabs>
                <w:tab w:pos="1695" w:val="left" w:leader="none"/>
                <w:tab w:pos="3430" w:val="left" w:leader="none"/>
              </w:tabs>
              <w:spacing w:line="242" w:lineRule="exact"/>
              <w:rPr>
                <w:sz w:val="22"/>
              </w:rPr>
            </w:pPr>
            <w:r>
              <w:rPr>
                <w:sz w:val="22"/>
              </w:rPr>
              <w:t>confrontaban</w:t>
              <w:tab/>
              <w:t>principalmente</w:t>
              <w:tab/>
              <w:t>con</w:t>
            </w:r>
          </w:p>
        </w:tc>
      </w:tr>
      <w:tr>
        <w:trPr>
          <w:trHeight w:val="247" w:hRule="exact"/>
        </w:trPr>
        <w:tc>
          <w:tcPr>
            <w:tcW w:w="1385" w:type="dxa"/>
            <w:tcBorders>
              <w:top w:val="nil"/>
            </w:tcBorders>
          </w:tcPr>
          <w:p>
            <w:pPr>
              <w:pStyle w:val="TableParagraph"/>
              <w:spacing w:line="241" w:lineRule="exact"/>
              <w:rPr>
                <w:sz w:val="22"/>
              </w:rPr>
            </w:pPr>
            <w:r>
              <w:rPr>
                <w:sz w:val="22"/>
              </w:rPr>
              <w:t>(24/II/2014)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Ambiente</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1" w:lineRule="exact"/>
              <w:rPr>
                <w:sz w:val="22"/>
              </w:rPr>
            </w:pPr>
            <w:r>
              <w:rPr>
                <w:sz w:val="22"/>
              </w:rPr>
              <w:t>Aculco.</w:t>
            </w:r>
          </w:p>
        </w:tc>
      </w:tr>
      <w:tr>
        <w:trPr>
          <w:trHeight w:val="269" w:hRule="exact"/>
        </w:trPr>
        <w:tc>
          <w:tcPr>
            <w:tcW w:w="1385" w:type="dxa"/>
            <w:tcBorders>
              <w:bottom w:val="nil"/>
            </w:tcBorders>
          </w:tcPr>
          <w:p>
            <w:pPr>
              <w:pStyle w:val="TableParagraph"/>
              <w:ind w:right="127"/>
              <w:rPr>
                <w:sz w:val="22"/>
              </w:rPr>
            </w:pPr>
            <w:r>
              <w:rPr>
                <w:sz w:val="22"/>
              </w:rPr>
              <w:t>Jazith</w:t>
            </w:r>
          </w:p>
        </w:tc>
        <w:tc>
          <w:tcPr>
            <w:tcW w:w="1274" w:type="dxa"/>
            <w:tcBorders>
              <w:bottom w:val="nil"/>
            </w:tcBorders>
          </w:tcPr>
          <w:p>
            <w:pPr>
              <w:pStyle w:val="TableParagraph"/>
              <w:ind w:left="100"/>
              <w:rPr>
                <w:sz w:val="22"/>
              </w:rPr>
            </w:pPr>
            <w:r>
              <w:rPr>
                <w:sz w:val="22"/>
              </w:rPr>
              <w:t>Licenciado</w:t>
            </w:r>
          </w:p>
        </w:tc>
        <w:tc>
          <w:tcPr>
            <w:tcW w:w="1887" w:type="dxa"/>
            <w:tcBorders>
              <w:bottom w:val="nil"/>
            </w:tcBorders>
          </w:tcPr>
          <w:p>
            <w:pPr>
              <w:pStyle w:val="TableParagraph"/>
              <w:rPr>
                <w:sz w:val="22"/>
              </w:rPr>
            </w:pPr>
            <w:r>
              <w:rPr>
                <w:sz w:val="22"/>
              </w:rPr>
              <w:t>Sexto Regidor.</w:t>
            </w:r>
          </w:p>
        </w:tc>
        <w:tc>
          <w:tcPr>
            <w:tcW w:w="1289" w:type="dxa"/>
            <w:tcBorders>
              <w:bottom w:val="nil"/>
            </w:tcBorders>
          </w:tcPr>
          <w:p>
            <w:pPr>
              <w:pStyle w:val="TableParagraph"/>
              <w:ind w:left="155"/>
              <w:rPr>
                <w:sz w:val="22"/>
              </w:rPr>
            </w:pPr>
            <w:r>
              <w:rPr>
                <w:sz w:val="22"/>
              </w:rPr>
              <w:t>Atlacomul</w:t>
            </w:r>
          </w:p>
        </w:tc>
        <w:tc>
          <w:tcPr>
            <w:tcW w:w="1174" w:type="dxa"/>
            <w:tcBorders>
              <w:bottom w:val="nil"/>
            </w:tcBorders>
          </w:tcPr>
          <w:p>
            <w:pPr>
              <w:pStyle w:val="TableParagraph"/>
              <w:ind w:left="165"/>
              <w:rPr>
                <w:sz w:val="22"/>
              </w:rPr>
            </w:pPr>
            <w:r>
              <w:rPr>
                <w:sz w:val="22"/>
              </w:rPr>
              <w:t>Timilpan</w:t>
            </w:r>
          </w:p>
        </w:tc>
        <w:tc>
          <w:tcPr>
            <w:tcW w:w="2314" w:type="dxa"/>
            <w:tcBorders>
              <w:bottom w:val="nil"/>
            </w:tcBorders>
          </w:tcPr>
          <w:p>
            <w:pPr>
              <w:pStyle w:val="TableParagraph"/>
              <w:ind w:left="100"/>
              <w:rPr>
                <w:sz w:val="22"/>
              </w:rPr>
            </w:pPr>
            <w:r>
              <w:rPr>
                <w:sz w:val="22"/>
              </w:rPr>
              <w:t>El municipio trata</w:t>
            </w:r>
            <w:r>
              <w:rPr>
                <w:spacing w:val="60"/>
                <w:sz w:val="22"/>
              </w:rPr>
              <w:t> </w:t>
            </w:r>
            <w:r>
              <w:rPr>
                <w:sz w:val="22"/>
              </w:rPr>
              <w:t>las</w:t>
            </w:r>
          </w:p>
        </w:tc>
        <w:tc>
          <w:tcPr>
            <w:tcW w:w="3901" w:type="dxa"/>
            <w:tcBorders>
              <w:bottom w:val="nil"/>
            </w:tcBorders>
          </w:tcPr>
          <w:p>
            <w:pPr>
              <w:pStyle w:val="TableParagraph"/>
              <w:rPr>
                <w:sz w:val="22"/>
              </w:rPr>
            </w:pPr>
            <w:r>
              <w:rPr>
                <w:sz w:val="22"/>
              </w:rPr>
              <w:t>Problemas  como  tal  no,  pero existe</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Salazar</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Presidente  de la</w:t>
            </w:r>
          </w:p>
        </w:tc>
        <w:tc>
          <w:tcPr>
            <w:tcW w:w="1289" w:type="dxa"/>
            <w:tcBorders>
              <w:top w:val="nil"/>
              <w:bottom w:val="nil"/>
            </w:tcBorders>
          </w:tcPr>
          <w:p>
            <w:pPr>
              <w:pStyle w:val="TableParagraph"/>
              <w:spacing w:line="241" w:lineRule="exact"/>
              <w:ind w:left="136" w:right="136"/>
              <w:jc w:val="center"/>
              <w:rPr>
                <w:sz w:val="22"/>
              </w:rPr>
            </w:pPr>
            <w:r>
              <w:rPr>
                <w:sz w:val="22"/>
              </w:rPr>
              <w:t>co</w:t>
            </w:r>
          </w:p>
        </w:tc>
        <w:tc>
          <w:tcPr>
            <w:tcW w:w="1174" w:type="dxa"/>
            <w:tcBorders>
              <w:top w:val="nil"/>
              <w:bottom w:val="nil"/>
            </w:tcBorders>
          </w:tcPr>
          <w:p>
            <w:pPr/>
          </w:p>
        </w:tc>
        <w:tc>
          <w:tcPr>
            <w:tcW w:w="2314" w:type="dxa"/>
            <w:tcBorders>
              <w:top w:val="nil"/>
              <w:bottom w:val="nil"/>
            </w:tcBorders>
          </w:tcPr>
          <w:p>
            <w:pPr>
              <w:pStyle w:val="TableParagraph"/>
              <w:tabs>
                <w:tab w:pos="1190" w:val="left" w:leader="none"/>
                <w:tab w:pos="1919" w:val="left" w:leader="none"/>
              </w:tabs>
              <w:spacing w:line="241" w:lineRule="exact"/>
              <w:ind w:left="100"/>
              <w:rPr>
                <w:sz w:val="22"/>
              </w:rPr>
            </w:pPr>
            <w:r>
              <w:rPr>
                <w:sz w:val="22"/>
              </w:rPr>
              <w:t>aguas</w:t>
              <w:tab/>
              <w:t>de</w:t>
              <w:tab/>
              <w:t>las</w:t>
            </w:r>
          </w:p>
        </w:tc>
        <w:tc>
          <w:tcPr>
            <w:tcW w:w="3901" w:type="dxa"/>
            <w:tcBorders>
              <w:top w:val="nil"/>
              <w:bottom w:val="nil"/>
            </w:tcBorders>
          </w:tcPr>
          <w:p>
            <w:pPr>
              <w:pStyle w:val="TableParagraph"/>
              <w:spacing w:line="241" w:lineRule="exact"/>
              <w:rPr>
                <w:sz w:val="22"/>
              </w:rPr>
            </w:pPr>
            <w:r>
              <w:rPr>
                <w:sz w:val="22"/>
              </w:rPr>
              <w:t>inconformidad de Timilpan porque no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Hernández</w:t>
            </w:r>
          </w:p>
        </w:tc>
        <w:tc>
          <w:tcPr>
            <w:tcW w:w="1274" w:type="dxa"/>
            <w:tcBorders>
              <w:top w:val="nil"/>
              <w:bottom w:val="nil"/>
            </w:tcBorders>
          </w:tcPr>
          <w:p>
            <w:pPr>
              <w:pStyle w:val="TableParagraph"/>
              <w:spacing w:line="241" w:lineRule="exact"/>
              <w:ind w:left="100"/>
              <w:rPr>
                <w:sz w:val="22"/>
              </w:rPr>
            </w:pPr>
            <w:r>
              <w:rPr>
                <w:sz w:val="22"/>
              </w:rPr>
              <w:t>Educación</w:t>
            </w:r>
          </w:p>
        </w:tc>
        <w:tc>
          <w:tcPr>
            <w:tcW w:w="1887" w:type="dxa"/>
            <w:tcBorders>
              <w:top w:val="nil"/>
              <w:bottom w:val="nil"/>
            </w:tcBorders>
          </w:tcPr>
          <w:p>
            <w:pPr>
              <w:pStyle w:val="TableParagraph"/>
              <w:spacing w:line="241" w:lineRule="exact"/>
              <w:rPr>
                <w:sz w:val="22"/>
              </w:rPr>
            </w:pPr>
            <w:r>
              <w:rPr>
                <w:sz w:val="22"/>
              </w:rPr>
              <w:t>Comisión </w:t>
            </w:r>
            <w:r>
              <w:rPr>
                <w:spacing w:val="51"/>
                <w:sz w:val="22"/>
              </w:rPr>
              <w:t> </w:t>
            </w:r>
            <w:r>
              <w:rPr>
                <w:sz w:val="22"/>
              </w:rPr>
              <w:t>Agua,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comunidades</w:t>
            </w:r>
          </w:p>
        </w:tc>
        <w:tc>
          <w:tcPr>
            <w:tcW w:w="3901" w:type="dxa"/>
            <w:tcBorders>
              <w:top w:val="nil"/>
              <w:bottom w:val="nil"/>
            </w:tcBorders>
          </w:tcPr>
          <w:p>
            <w:pPr>
              <w:pStyle w:val="TableParagraph"/>
              <w:spacing w:line="241" w:lineRule="exact"/>
              <w:rPr>
                <w:sz w:val="22"/>
              </w:rPr>
            </w:pPr>
            <w:r>
              <w:rPr>
                <w:sz w:val="22"/>
              </w:rPr>
              <w:t>se  les  permite  usar  el  agua    para</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2" w:lineRule="exact"/>
              <w:ind w:left="100" w:right="98"/>
              <w:rPr>
                <w:sz w:val="22"/>
              </w:rPr>
            </w:pPr>
            <w:r>
              <w:rPr>
                <w:sz w:val="22"/>
              </w:rPr>
              <w:t>Primaria</w:t>
            </w:r>
          </w:p>
        </w:tc>
        <w:tc>
          <w:tcPr>
            <w:tcW w:w="1887" w:type="dxa"/>
            <w:tcBorders>
              <w:top w:val="nil"/>
              <w:bottom w:val="nil"/>
            </w:tcBorders>
          </w:tcPr>
          <w:p>
            <w:pPr>
              <w:pStyle w:val="TableParagraph"/>
              <w:tabs>
                <w:tab w:pos="1664" w:val="left" w:leader="none"/>
              </w:tabs>
              <w:spacing w:line="242" w:lineRule="exact"/>
              <w:rPr>
                <w:sz w:val="22"/>
              </w:rPr>
            </w:pPr>
            <w:r>
              <w:rPr>
                <w:sz w:val="22"/>
              </w:rPr>
              <w:t>Drenaje</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aledañas a la laguna,</w:t>
            </w:r>
          </w:p>
        </w:tc>
        <w:tc>
          <w:tcPr>
            <w:tcW w:w="3901" w:type="dxa"/>
            <w:tcBorders>
              <w:top w:val="nil"/>
              <w:bottom w:val="nil"/>
            </w:tcBorders>
          </w:tcPr>
          <w:p>
            <w:pPr>
              <w:pStyle w:val="TableParagraph"/>
              <w:spacing w:line="242" w:lineRule="exact"/>
              <w:rPr>
                <w:sz w:val="22"/>
              </w:rPr>
            </w:pPr>
            <w:r>
              <w:rPr>
                <w:sz w:val="22"/>
              </w:rPr>
              <w:t>riego, sólo la pesca, pero bajo ciertas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(24/I/2015)</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Alcantarillado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94" w:val="left" w:leader="none"/>
                <w:tab w:pos="1489" w:val="left" w:leader="none"/>
              </w:tabs>
              <w:spacing w:line="241" w:lineRule="exact"/>
              <w:ind w:left="100"/>
              <w:rPr>
                <w:sz w:val="22"/>
              </w:rPr>
            </w:pPr>
            <w:r>
              <w:rPr>
                <w:sz w:val="22"/>
              </w:rPr>
              <w:t>hay</w:t>
              <w:tab/>
              <w:t>dos</w:t>
              <w:tab/>
              <w:t>plantas</w:t>
            </w:r>
          </w:p>
        </w:tc>
        <w:tc>
          <w:tcPr>
            <w:tcW w:w="3901" w:type="dxa"/>
            <w:tcBorders>
              <w:top w:val="nil"/>
              <w:bottom w:val="nil"/>
            </w:tcBorders>
          </w:tcPr>
          <w:p>
            <w:pPr>
              <w:pStyle w:val="TableParagraph"/>
              <w:spacing w:line="241" w:lineRule="exact"/>
              <w:rPr>
                <w:sz w:val="22"/>
              </w:rPr>
            </w:pPr>
            <w:r>
              <w:rPr>
                <w:sz w:val="22"/>
              </w:rPr>
              <w:t>normas establecidas.</w:t>
            </w: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40" w:val="left" w:leader="none"/>
                <w:tab w:pos="1957" w:val="left" w:leader="none"/>
              </w:tabs>
              <w:spacing w:line="242" w:lineRule="exact"/>
              <w:ind w:left="100"/>
              <w:rPr>
                <w:sz w:val="22"/>
              </w:rPr>
            </w:pPr>
            <w:r>
              <w:rPr>
                <w:sz w:val="22"/>
              </w:rPr>
              <w:t>tratadoras</w:t>
              <w:tab/>
              <w:t>una</w:t>
              <w:tab/>
              <w:t>en</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Bucio que ahorita  no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funciona y otra en </w:t>
            </w:r>
            <w:r>
              <w:rPr>
                <w:spacing w:val="50"/>
                <w:sz w:val="22"/>
              </w:rPr>
              <w:t> </w:t>
            </w:r>
            <w:r>
              <w:rPr>
                <w:sz w:val="22"/>
              </w:rPr>
              <w:t>la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Tercera  Manzana de</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Zaragoza.</w:t>
            </w:r>
          </w:p>
        </w:tc>
        <w:tc>
          <w:tcPr>
            <w:tcW w:w="3901" w:type="dxa"/>
            <w:tcBorders>
              <w:top w:val="nil"/>
            </w:tcBorders>
          </w:tcPr>
          <w:p>
            <w:pPr/>
          </w:p>
        </w:tc>
      </w:tr>
      <w:tr>
        <w:trPr>
          <w:trHeight w:val="516" w:hRule="exact"/>
        </w:trPr>
        <w:tc>
          <w:tcPr>
            <w:tcW w:w="1385" w:type="dxa"/>
          </w:tcPr>
          <w:p>
            <w:pPr>
              <w:pStyle w:val="TableParagraph"/>
              <w:spacing w:line="252" w:lineRule="exact" w:before="2"/>
              <w:ind w:right="359"/>
              <w:rPr>
                <w:sz w:val="22"/>
              </w:rPr>
            </w:pPr>
            <w:r>
              <w:rPr>
                <w:sz w:val="22"/>
              </w:rPr>
              <w:t>Armando Matías</w:t>
            </w:r>
          </w:p>
        </w:tc>
        <w:tc>
          <w:tcPr>
            <w:tcW w:w="1274" w:type="dxa"/>
          </w:tcPr>
          <w:p>
            <w:pPr/>
          </w:p>
        </w:tc>
        <w:tc>
          <w:tcPr>
            <w:tcW w:w="1887" w:type="dxa"/>
          </w:tcPr>
          <w:p>
            <w:pPr>
              <w:pStyle w:val="TableParagraph"/>
              <w:tabs>
                <w:tab w:pos="1527" w:val="left" w:leader="none"/>
              </w:tabs>
              <w:spacing w:line="252" w:lineRule="exact" w:before="2"/>
              <w:ind w:right="101"/>
              <w:rPr>
                <w:sz w:val="22"/>
              </w:rPr>
            </w:pPr>
            <w:r>
              <w:rPr>
                <w:sz w:val="22"/>
              </w:rPr>
              <w:t>Director</w:t>
              <w:tab/>
              <w:t>de Desarrollo</w:t>
            </w:r>
          </w:p>
        </w:tc>
        <w:tc>
          <w:tcPr>
            <w:tcW w:w="1289" w:type="dxa"/>
          </w:tcPr>
          <w:p>
            <w:pPr>
              <w:pStyle w:val="TableParagraph"/>
              <w:spacing w:line="252" w:lineRule="exact" w:before="2"/>
              <w:ind w:left="239" w:right="225" w:firstLine="105"/>
              <w:rPr>
                <w:sz w:val="22"/>
              </w:rPr>
            </w:pPr>
            <w:r>
              <w:rPr>
                <w:sz w:val="22"/>
              </w:rPr>
              <w:t>Barrio Iturbide,</w:t>
            </w:r>
          </w:p>
        </w:tc>
        <w:tc>
          <w:tcPr>
            <w:tcW w:w="1174" w:type="dxa"/>
          </w:tcPr>
          <w:p>
            <w:pPr>
              <w:pStyle w:val="TableParagraph"/>
              <w:spacing w:line="252" w:lineRule="exact" w:before="2"/>
              <w:ind w:left="165" w:right="147"/>
              <w:rPr>
                <w:sz w:val="22"/>
              </w:rPr>
            </w:pPr>
            <w:r>
              <w:rPr>
                <w:sz w:val="22"/>
              </w:rPr>
              <w:t>Timilpan y Toluca</w:t>
            </w:r>
          </w:p>
        </w:tc>
        <w:tc>
          <w:tcPr>
            <w:tcW w:w="2314" w:type="dxa"/>
          </w:tcPr>
          <w:p>
            <w:pPr>
              <w:pStyle w:val="TableParagraph"/>
              <w:tabs>
                <w:tab w:pos="1209" w:val="left" w:leader="none"/>
              </w:tabs>
              <w:spacing w:line="252" w:lineRule="exact" w:before="2"/>
              <w:ind w:left="100" w:right="99"/>
              <w:rPr>
                <w:sz w:val="22"/>
              </w:rPr>
            </w:pPr>
            <w:r>
              <w:rPr>
                <w:sz w:val="22"/>
              </w:rPr>
              <w:t>Hemos instalado dos plantas</w:t>
              <w:tab/>
              <w:t>tratadoras</w:t>
            </w:r>
          </w:p>
        </w:tc>
        <w:tc>
          <w:tcPr>
            <w:tcW w:w="3901" w:type="dxa"/>
          </w:tcPr>
          <w:p>
            <w:pPr>
              <w:pStyle w:val="TableParagraph"/>
              <w:spacing w:line="251" w:lineRule="exact"/>
              <w:rPr>
                <w:sz w:val="22"/>
              </w:rPr>
            </w:pPr>
            <w:r>
              <w:rPr>
                <w:sz w:val="22"/>
              </w:rPr>
              <w:t>Sí por la contaminación.</w:t>
            </w:r>
          </w:p>
        </w:tc>
      </w:tr>
    </w:tbl>
    <w:p>
      <w:pPr>
        <w:spacing w:after="0" w:line="251" w:lineRule="exact"/>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366"/>
        <w:gridCol w:w="521"/>
        <w:gridCol w:w="1289"/>
        <w:gridCol w:w="1174"/>
        <w:gridCol w:w="2314"/>
        <w:gridCol w:w="3901"/>
      </w:tblGrid>
      <w:tr>
        <w:trPr>
          <w:trHeight w:val="768" w:hRule="exact"/>
        </w:trPr>
        <w:tc>
          <w:tcPr>
            <w:tcW w:w="1385" w:type="dxa"/>
          </w:tcPr>
          <w:p>
            <w:pPr>
              <w:pStyle w:val="TableParagraph"/>
              <w:spacing w:line="251" w:lineRule="exact"/>
              <w:ind w:right="127"/>
              <w:rPr>
                <w:sz w:val="22"/>
              </w:rPr>
            </w:pPr>
            <w:r>
              <w:rPr>
                <w:sz w:val="22"/>
              </w:rPr>
              <w:t>Lucas</w:t>
            </w:r>
          </w:p>
          <w:p>
            <w:pPr>
              <w:pStyle w:val="TableParagraph"/>
              <w:ind w:left="0"/>
              <w:rPr>
                <w:rFonts w:ascii="Times New Roman"/>
                <w:sz w:val="22"/>
              </w:rPr>
            </w:pPr>
          </w:p>
          <w:p>
            <w:pPr>
              <w:pStyle w:val="TableParagraph"/>
              <w:ind w:left="155"/>
              <w:rPr>
                <w:sz w:val="22"/>
              </w:rPr>
            </w:pPr>
            <w:r>
              <w:rPr>
                <w:sz w:val="22"/>
              </w:rPr>
              <w:t>(17/I/2015)</w:t>
            </w:r>
          </w:p>
        </w:tc>
        <w:tc>
          <w:tcPr>
            <w:tcW w:w="1274" w:type="dxa"/>
          </w:tcPr>
          <w:p>
            <w:pPr>
              <w:pStyle w:val="TableParagraph"/>
              <w:spacing w:line="251" w:lineRule="exact"/>
              <w:ind w:left="446" w:right="98"/>
              <w:rPr>
                <w:sz w:val="22"/>
              </w:rPr>
            </w:pPr>
            <w:r>
              <w:rPr>
                <w:sz w:val="22"/>
              </w:rPr>
              <w:t>S/D</w:t>
            </w:r>
          </w:p>
        </w:tc>
        <w:tc>
          <w:tcPr>
            <w:tcW w:w="1887" w:type="dxa"/>
            <w:gridSpan w:val="2"/>
          </w:tcPr>
          <w:p>
            <w:pPr>
              <w:pStyle w:val="TableParagraph"/>
              <w:spacing w:line="251" w:lineRule="exact"/>
              <w:rPr>
                <w:sz w:val="22"/>
              </w:rPr>
            </w:pPr>
            <w:r>
              <w:rPr>
                <w:sz w:val="22"/>
              </w:rPr>
              <w:t>Agropecuario</w:t>
            </w:r>
          </w:p>
        </w:tc>
        <w:tc>
          <w:tcPr>
            <w:tcW w:w="1289" w:type="dxa"/>
          </w:tcPr>
          <w:p>
            <w:pPr>
              <w:pStyle w:val="TableParagraph"/>
              <w:spacing w:line="251" w:lineRule="exact"/>
              <w:ind w:left="136" w:right="136"/>
              <w:jc w:val="center"/>
              <w:rPr>
                <w:sz w:val="22"/>
              </w:rPr>
            </w:pPr>
            <w:r>
              <w:rPr>
                <w:sz w:val="22"/>
              </w:rPr>
              <w:t>Timilpan</w:t>
            </w:r>
          </w:p>
        </w:tc>
        <w:tc>
          <w:tcPr>
            <w:tcW w:w="1174" w:type="dxa"/>
          </w:tcPr>
          <w:p>
            <w:pPr/>
          </w:p>
        </w:tc>
        <w:tc>
          <w:tcPr>
            <w:tcW w:w="2314" w:type="dxa"/>
          </w:tcPr>
          <w:p>
            <w:pPr>
              <w:pStyle w:val="TableParagraph"/>
              <w:ind w:left="100" w:right="101"/>
              <w:jc w:val="both"/>
              <w:rPr>
                <w:sz w:val="22"/>
              </w:rPr>
            </w:pPr>
            <w:r>
              <w:rPr>
                <w:sz w:val="22"/>
              </w:rPr>
              <w:t>para el agua del drenaje en Zaragoza y Bucio.</w:t>
            </w:r>
          </w:p>
        </w:tc>
        <w:tc>
          <w:tcPr>
            <w:tcW w:w="3901" w:type="dxa"/>
          </w:tcPr>
          <w:p>
            <w:pPr/>
          </w:p>
        </w:tc>
      </w:tr>
      <w:tr>
        <w:trPr>
          <w:trHeight w:val="267" w:hRule="exact"/>
        </w:trPr>
        <w:tc>
          <w:tcPr>
            <w:tcW w:w="1385" w:type="dxa"/>
            <w:tcBorders>
              <w:bottom w:val="nil"/>
            </w:tcBorders>
          </w:tcPr>
          <w:p>
            <w:pPr>
              <w:pStyle w:val="TableParagraph"/>
              <w:spacing w:line="251" w:lineRule="exact"/>
              <w:rPr>
                <w:sz w:val="22"/>
              </w:rPr>
            </w:pPr>
            <w:r>
              <w:rPr>
                <w:sz w:val="22"/>
              </w:rPr>
              <w:t>Alfonso   de</w:t>
            </w:r>
          </w:p>
        </w:tc>
        <w:tc>
          <w:tcPr>
            <w:tcW w:w="1274" w:type="dxa"/>
            <w:tcBorders>
              <w:bottom w:val="nil"/>
            </w:tcBorders>
          </w:tcPr>
          <w:p>
            <w:pPr/>
          </w:p>
        </w:tc>
        <w:tc>
          <w:tcPr>
            <w:tcW w:w="1366" w:type="dxa"/>
            <w:tcBorders>
              <w:bottom w:val="nil"/>
              <w:right w:val="nil"/>
            </w:tcBorders>
          </w:tcPr>
          <w:p>
            <w:pPr>
              <w:pStyle w:val="TableParagraph"/>
              <w:spacing w:line="251" w:lineRule="exact"/>
              <w:rPr>
                <w:sz w:val="22"/>
              </w:rPr>
            </w:pPr>
            <w:r>
              <w:rPr>
                <w:sz w:val="22"/>
              </w:rPr>
              <w:t>Director</w:t>
            </w:r>
          </w:p>
        </w:tc>
        <w:tc>
          <w:tcPr>
            <w:tcW w:w="521" w:type="dxa"/>
            <w:tcBorders>
              <w:left w:val="nil"/>
              <w:bottom w:val="nil"/>
            </w:tcBorders>
          </w:tcPr>
          <w:p>
            <w:pPr>
              <w:pStyle w:val="TableParagraph"/>
              <w:spacing w:line="251" w:lineRule="exact"/>
              <w:ind w:left="167"/>
              <w:rPr>
                <w:sz w:val="22"/>
              </w:rPr>
            </w:pPr>
            <w:r>
              <w:rPr>
                <w:sz w:val="22"/>
              </w:rPr>
              <w:t>de</w:t>
            </w:r>
          </w:p>
        </w:tc>
        <w:tc>
          <w:tcPr>
            <w:tcW w:w="1289" w:type="dxa"/>
            <w:tcBorders>
              <w:bottom w:val="nil"/>
            </w:tcBorders>
          </w:tcPr>
          <w:p>
            <w:pPr>
              <w:pStyle w:val="TableParagraph"/>
              <w:spacing w:line="251" w:lineRule="exact"/>
              <w:ind w:left="136" w:right="136"/>
              <w:jc w:val="center"/>
              <w:rPr>
                <w:sz w:val="22"/>
              </w:rPr>
            </w:pPr>
            <w:r>
              <w:rPr>
                <w:sz w:val="22"/>
              </w:rPr>
              <w:t>Timilpan</w:t>
            </w:r>
          </w:p>
        </w:tc>
        <w:tc>
          <w:tcPr>
            <w:tcW w:w="1174" w:type="dxa"/>
            <w:tcBorders>
              <w:bottom w:val="nil"/>
            </w:tcBorders>
          </w:tcPr>
          <w:p>
            <w:pPr>
              <w:pStyle w:val="TableParagraph"/>
              <w:spacing w:line="251" w:lineRule="exact"/>
              <w:ind w:left="165"/>
              <w:rPr>
                <w:sz w:val="22"/>
              </w:rPr>
            </w:pPr>
            <w:r>
              <w:rPr>
                <w:sz w:val="22"/>
              </w:rPr>
              <w:t>Timilpan</w:t>
            </w:r>
          </w:p>
        </w:tc>
        <w:tc>
          <w:tcPr>
            <w:tcW w:w="2314" w:type="dxa"/>
            <w:tcBorders>
              <w:bottom w:val="nil"/>
            </w:tcBorders>
          </w:tcPr>
          <w:p>
            <w:pPr>
              <w:pStyle w:val="TableParagraph"/>
              <w:spacing w:line="251" w:lineRule="exact"/>
              <w:ind w:left="100"/>
              <w:rPr>
                <w:sz w:val="22"/>
              </w:rPr>
            </w:pPr>
            <w:r>
              <w:rPr>
                <w:sz w:val="22"/>
              </w:rPr>
              <w:t>Que  el  drenaje  que</w:t>
            </w:r>
          </w:p>
        </w:tc>
        <w:tc>
          <w:tcPr>
            <w:tcW w:w="3901" w:type="dxa"/>
            <w:tcBorders>
              <w:bottom w:val="nil"/>
            </w:tcBorders>
          </w:tcPr>
          <w:p>
            <w:pPr>
              <w:pStyle w:val="TableParagraph"/>
              <w:spacing w:line="251" w:lineRule="exact"/>
              <w:rPr>
                <w:sz w:val="22"/>
              </w:rPr>
            </w:pPr>
            <w:r>
              <w:rPr>
                <w:sz w:val="22"/>
              </w:rPr>
              <w:t>No  porque  todos  la  usan:   pescan,</w:t>
            </w:r>
          </w:p>
        </w:tc>
      </w:tr>
      <w:tr>
        <w:trPr>
          <w:trHeight w:val="253" w:hRule="exact"/>
        </w:trPr>
        <w:tc>
          <w:tcPr>
            <w:tcW w:w="1385" w:type="dxa"/>
            <w:tcBorders>
              <w:top w:val="nil"/>
              <w:bottom w:val="nil"/>
            </w:tcBorders>
          </w:tcPr>
          <w:p>
            <w:pPr>
              <w:pStyle w:val="TableParagraph"/>
              <w:tabs>
                <w:tab w:pos="805" w:val="left" w:leader="none"/>
              </w:tabs>
              <w:spacing w:line="242" w:lineRule="exact"/>
              <w:rPr>
                <w:sz w:val="22"/>
              </w:rPr>
            </w:pPr>
            <w:r>
              <w:rPr>
                <w:sz w:val="22"/>
              </w:rPr>
              <w:t>la</w:t>
              <w:tab/>
              <w:t>Cruz</w:t>
            </w:r>
          </w:p>
        </w:tc>
        <w:tc>
          <w:tcPr>
            <w:tcW w:w="1274" w:type="dxa"/>
            <w:tcBorders>
              <w:top w:val="nil"/>
              <w:bottom w:val="nil"/>
            </w:tcBorders>
          </w:tcPr>
          <w:p>
            <w:pPr/>
          </w:p>
        </w:tc>
        <w:tc>
          <w:tcPr>
            <w:tcW w:w="1366" w:type="dxa"/>
            <w:tcBorders>
              <w:top w:val="nil"/>
              <w:bottom w:val="nil"/>
              <w:right w:val="nil"/>
            </w:tcBorders>
          </w:tcPr>
          <w:p>
            <w:pPr>
              <w:pStyle w:val="TableParagraph"/>
              <w:spacing w:line="242" w:lineRule="exact"/>
              <w:rPr>
                <w:sz w:val="22"/>
              </w:rPr>
            </w:pPr>
            <w:r>
              <w:rPr>
                <w:sz w:val="22"/>
              </w:rPr>
              <w:t>Desarrollo</w:t>
            </w:r>
          </w:p>
        </w:tc>
        <w:tc>
          <w:tcPr>
            <w:tcW w:w="521"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93" w:val="left" w:leader="none"/>
                <w:tab w:pos="1143" w:val="left" w:leader="none"/>
                <w:tab w:pos="1539" w:val="left" w:leader="none"/>
              </w:tabs>
              <w:spacing w:line="242" w:lineRule="exact"/>
              <w:ind w:left="100"/>
              <w:rPr>
                <w:sz w:val="22"/>
              </w:rPr>
            </w:pPr>
            <w:r>
              <w:rPr>
                <w:sz w:val="22"/>
              </w:rPr>
              <w:t>llega</w:t>
              <w:tab/>
              <w:t>a</w:t>
              <w:tab/>
              <w:t>la</w:t>
              <w:tab/>
              <w:t>laguna</w:t>
            </w:r>
          </w:p>
        </w:tc>
        <w:tc>
          <w:tcPr>
            <w:tcW w:w="3901" w:type="dxa"/>
            <w:tcBorders>
              <w:top w:val="nil"/>
              <w:bottom w:val="nil"/>
            </w:tcBorders>
          </w:tcPr>
          <w:p>
            <w:pPr>
              <w:pStyle w:val="TableParagraph"/>
              <w:spacing w:line="242" w:lineRule="exact"/>
              <w:rPr>
                <w:sz w:val="22"/>
              </w:rPr>
            </w:pPr>
            <w:r>
              <w:rPr>
                <w:sz w:val="22"/>
              </w:rPr>
              <w:t>cazan   y   a   pesar   de   que   es</w:t>
            </w:r>
            <w:r>
              <w:rPr>
                <w:spacing w:val="57"/>
                <w:sz w:val="22"/>
              </w:rPr>
              <w:t> </w:t>
            </w:r>
            <w:r>
              <w:rPr>
                <w:sz w:val="22"/>
              </w:rPr>
              <w:t>de</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Andrés</w:t>
            </w:r>
          </w:p>
        </w:tc>
        <w:tc>
          <w:tcPr>
            <w:tcW w:w="1274" w:type="dxa"/>
            <w:tcBorders>
              <w:top w:val="nil"/>
              <w:bottom w:val="nil"/>
            </w:tcBorders>
          </w:tcPr>
          <w:p>
            <w:pPr>
              <w:pStyle w:val="TableParagraph"/>
              <w:spacing w:line="241" w:lineRule="exact"/>
              <w:ind w:left="446" w:right="98"/>
              <w:rPr>
                <w:sz w:val="22"/>
              </w:rPr>
            </w:pPr>
            <w:r>
              <w:rPr>
                <w:sz w:val="22"/>
              </w:rPr>
              <w:t>S/D</w:t>
            </w:r>
          </w:p>
        </w:tc>
        <w:tc>
          <w:tcPr>
            <w:tcW w:w="1366" w:type="dxa"/>
            <w:tcBorders>
              <w:top w:val="nil"/>
              <w:bottom w:val="nil"/>
              <w:right w:val="nil"/>
            </w:tcBorders>
          </w:tcPr>
          <w:p>
            <w:pPr>
              <w:pStyle w:val="TableParagraph"/>
              <w:spacing w:line="241" w:lineRule="exact"/>
              <w:rPr>
                <w:sz w:val="22"/>
              </w:rPr>
            </w:pPr>
            <w:r>
              <w:rPr>
                <w:sz w:val="22"/>
              </w:rPr>
              <w:t>Económico</w:t>
            </w:r>
          </w:p>
        </w:tc>
        <w:tc>
          <w:tcPr>
            <w:tcW w:w="521"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vaya tratado.</w:t>
            </w:r>
          </w:p>
        </w:tc>
        <w:tc>
          <w:tcPr>
            <w:tcW w:w="3901" w:type="dxa"/>
            <w:tcBorders>
              <w:top w:val="nil"/>
              <w:bottom w:val="nil"/>
            </w:tcBorders>
          </w:tcPr>
          <w:p>
            <w:pPr>
              <w:pStyle w:val="TableParagraph"/>
              <w:spacing w:line="241" w:lineRule="exact"/>
              <w:rPr>
                <w:sz w:val="22"/>
              </w:rPr>
            </w:pPr>
            <w:r>
              <w:rPr>
                <w:sz w:val="22"/>
              </w:rPr>
              <w:t>Timilpan, los de aquí si quieren regar,</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366" w:type="dxa"/>
            <w:tcBorders>
              <w:top w:val="nil"/>
              <w:bottom w:val="nil"/>
              <w:right w:val="nil"/>
            </w:tcBorders>
          </w:tcPr>
          <w:p>
            <w:pPr/>
          </w:p>
        </w:tc>
        <w:tc>
          <w:tcPr>
            <w:tcW w:w="521"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tabs>
                <w:tab w:pos="815" w:val="left" w:leader="none"/>
                <w:tab w:pos="1364" w:val="left" w:leader="none"/>
                <w:tab w:pos="3102" w:val="left" w:leader="none"/>
                <w:tab w:pos="3618" w:val="left" w:leader="none"/>
              </w:tabs>
              <w:spacing w:line="242" w:lineRule="exact"/>
              <w:rPr>
                <w:sz w:val="22"/>
              </w:rPr>
            </w:pPr>
            <w:r>
              <w:rPr>
                <w:sz w:val="22"/>
              </w:rPr>
              <w:t>pero</w:t>
              <w:tab/>
              <w:t>los</w:t>
              <w:tab/>
              <w:t>concesionarios</w:t>
              <w:tab/>
              <w:t>no</w:t>
              <w:tab/>
              <w:t>lo</w:t>
            </w:r>
          </w:p>
        </w:tc>
      </w:tr>
      <w:tr>
        <w:trPr>
          <w:trHeight w:val="250" w:hRule="exact"/>
        </w:trPr>
        <w:tc>
          <w:tcPr>
            <w:tcW w:w="1385" w:type="dxa"/>
            <w:tcBorders>
              <w:top w:val="nil"/>
            </w:tcBorders>
          </w:tcPr>
          <w:p>
            <w:pPr>
              <w:pStyle w:val="TableParagraph"/>
              <w:spacing w:line="241" w:lineRule="exact"/>
              <w:ind w:right="127"/>
              <w:rPr>
                <w:sz w:val="22"/>
              </w:rPr>
            </w:pPr>
            <w:r>
              <w:rPr>
                <w:sz w:val="22"/>
              </w:rPr>
              <w:t>(13/I/2015)</w:t>
            </w:r>
          </w:p>
        </w:tc>
        <w:tc>
          <w:tcPr>
            <w:tcW w:w="1274" w:type="dxa"/>
            <w:tcBorders>
              <w:top w:val="nil"/>
            </w:tcBorders>
          </w:tcPr>
          <w:p>
            <w:pPr/>
          </w:p>
        </w:tc>
        <w:tc>
          <w:tcPr>
            <w:tcW w:w="1366" w:type="dxa"/>
            <w:tcBorders>
              <w:top w:val="nil"/>
              <w:right w:val="nil"/>
            </w:tcBorders>
          </w:tcPr>
          <w:p>
            <w:pPr/>
          </w:p>
        </w:tc>
        <w:tc>
          <w:tcPr>
            <w:tcW w:w="521" w:type="dxa"/>
            <w:tcBorders>
              <w:top w:val="nil"/>
              <w:left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1" w:lineRule="exact"/>
              <w:rPr>
                <w:sz w:val="22"/>
              </w:rPr>
            </w:pPr>
            <w:r>
              <w:rPr>
                <w:sz w:val="22"/>
              </w:rPr>
              <w:t>permiten.</w:t>
            </w:r>
          </w:p>
        </w:tc>
      </w:tr>
    </w:tbl>
    <w:p>
      <w:pPr>
        <w:pStyle w:val="BodyText"/>
        <w:spacing w:line="249" w:lineRule="exact"/>
        <w:ind w:left="218" w:right="778"/>
      </w:pPr>
      <w:r>
        <w:rPr>
          <w:b/>
        </w:rPr>
        <w:t>Fuente: </w:t>
      </w:r>
      <w:r>
        <w:rPr/>
        <w:t>Elaboración propia con base en el Trabajo de Campo, García (2013-2015).</w:t>
      </w:r>
    </w:p>
    <w:p>
      <w:pPr>
        <w:pStyle w:val="BodyText"/>
        <w:spacing w:before="6"/>
        <w:rPr>
          <w:sz w:val="20"/>
        </w:rPr>
      </w:pPr>
    </w:p>
    <w:p>
      <w:pPr>
        <w:pStyle w:val="Heading6"/>
        <w:spacing w:after="5"/>
        <w:ind w:left="2270" w:right="778"/>
      </w:pPr>
      <w:r>
        <w:rPr/>
        <w:t>Tabla 6.13. Municipio de Timilpan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2" w:hRule="exact"/>
        </w:trPr>
        <w:tc>
          <w:tcPr>
            <w:tcW w:w="13224" w:type="dxa"/>
            <w:gridSpan w:val="7"/>
            <w:shd w:val="clear" w:color="auto" w:fill="9BBA58"/>
          </w:tcPr>
          <w:p>
            <w:pPr>
              <w:pStyle w:val="TableParagraph"/>
              <w:spacing w:line="249" w:lineRule="exact"/>
              <w:ind w:left="4869" w:right="4870"/>
              <w:jc w:val="center"/>
              <w:rPr>
                <w:b/>
                <w:sz w:val="22"/>
              </w:rPr>
            </w:pPr>
            <w:r>
              <w:rPr>
                <w:b/>
                <w:sz w:val="22"/>
              </w:rPr>
              <w:t>TIMILPAN</w:t>
            </w:r>
          </w:p>
        </w:tc>
      </w:tr>
      <w:tr>
        <w:trPr>
          <w:trHeight w:val="524" w:hRule="exact"/>
        </w:trPr>
        <w:tc>
          <w:tcPr>
            <w:tcW w:w="4547" w:type="dxa"/>
            <w:gridSpan w:val="3"/>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516" w:hRule="exact"/>
        </w:trPr>
        <w:tc>
          <w:tcPr>
            <w:tcW w:w="4547" w:type="dxa"/>
            <w:gridSpan w:val="3"/>
            <w:vMerge/>
            <w:shd w:val="clear" w:color="auto" w:fill="F9BE8F"/>
          </w:tcPr>
          <w:p>
            <w:pPr/>
          </w:p>
        </w:tc>
        <w:tc>
          <w:tcPr>
            <w:tcW w:w="2462" w:type="dxa"/>
            <w:gridSpan w:val="2"/>
            <w:shd w:val="clear" w:color="auto" w:fill="92CDDC"/>
          </w:tcPr>
          <w:p>
            <w:pPr>
              <w:pStyle w:val="TableParagraph"/>
              <w:spacing w:line="252" w:lineRule="exact"/>
              <w:ind w:left="736"/>
              <w:rPr>
                <w:b/>
                <w:i/>
                <w:sz w:val="22"/>
              </w:rPr>
            </w:pPr>
            <w:r>
              <w:rPr>
                <w:b/>
                <w:i/>
                <w:sz w:val="22"/>
              </w:rPr>
              <w:t>Identidad</w:t>
            </w:r>
          </w:p>
        </w:tc>
        <w:tc>
          <w:tcPr>
            <w:tcW w:w="2314" w:type="dxa"/>
            <w:shd w:val="clear" w:color="auto" w:fill="92CDDC"/>
          </w:tcPr>
          <w:p>
            <w:pPr>
              <w:pStyle w:val="TableParagraph"/>
              <w:spacing w:line="252" w:lineRule="exact"/>
              <w:ind w:left="100"/>
              <w:rPr>
                <w:b/>
                <w:i/>
                <w:sz w:val="22"/>
              </w:rPr>
            </w:pPr>
            <w:r>
              <w:rPr>
                <w:b/>
                <w:i/>
                <w:sz w:val="22"/>
              </w:rPr>
              <w:t>Autogestión</w:t>
            </w:r>
          </w:p>
        </w:tc>
        <w:tc>
          <w:tcPr>
            <w:tcW w:w="3901" w:type="dxa"/>
            <w:shd w:val="clear" w:color="auto" w:fill="92CDDC"/>
          </w:tcPr>
          <w:p>
            <w:pPr>
              <w:pStyle w:val="TableParagraph"/>
              <w:tabs>
                <w:tab w:pos="2147" w:val="left" w:leader="none"/>
                <w:tab w:pos="2696" w:val="left" w:leader="none"/>
              </w:tabs>
              <w:ind w:right="102"/>
              <w:rPr>
                <w:b/>
                <w:i/>
                <w:sz w:val="22"/>
              </w:rPr>
            </w:pPr>
            <w:r>
              <w:rPr>
                <w:b/>
                <w:i/>
                <w:sz w:val="22"/>
              </w:rPr>
              <w:t>Gobernabilidad</w:t>
              <w:tab/>
              <w:t>y</w:t>
              <w:tab/>
            </w:r>
            <w:r>
              <w:rPr>
                <w:b/>
                <w:i/>
                <w:spacing w:val="-1"/>
                <w:sz w:val="22"/>
              </w:rPr>
              <w:t>relaciones </w:t>
            </w:r>
            <w:r>
              <w:rPr>
                <w:b/>
                <w:i/>
                <w:sz w:val="22"/>
              </w:rPr>
              <w:t>intermunicipales</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274" w:type="dxa"/>
            <w:tcBorders>
              <w:bottom w:val="nil"/>
            </w:tcBorders>
            <w:shd w:val="clear" w:color="auto" w:fill="F9BE8F"/>
          </w:tcPr>
          <w:p>
            <w:pPr>
              <w:pStyle w:val="TableParagraph"/>
              <w:spacing w:line="249" w:lineRule="exact"/>
              <w:ind w:left="100" w:right="98"/>
              <w:rPr>
                <w:b/>
                <w:sz w:val="22"/>
              </w:rPr>
            </w:pPr>
            <w:r>
              <w:rPr>
                <w:b/>
                <w:sz w:val="22"/>
              </w:rPr>
              <w:t>Nivel</w:t>
            </w:r>
          </w:p>
        </w:tc>
        <w:tc>
          <w:tcPr>
            <w:tcW w:w="1887" w:type="dxa"/>
            <w:tcBorders>
              <w:bottom w:val="nil"/>
            </w:tcBorders>
            <w:shd w:val="clear" w:color="auto" w:fill="F9BE8F"/>
          </w:tcPr>
          <w:p>
            <w:pPr>
              <w:pStyle w:val="TableParagraph"/>
              <w:spacing w:line="249" w:lineRule="exact"/>
              <w:rPr>
                <w:b/>
                <w:sz w:val="22"/>
              </w:rPr>
            </w:pPr>
            <w:r>
              <w:rPr>
                <w:b/>
                <w:sz w:val="22"/>
              </w:rPr>
              <w:t>Cargo Público</w:t>
            </w:r>
          </w:p>
        </w:tc>
        <w:tc>
          <w:tcPr>
            <w:tcW w:w="1289" w:type="dxa"/>
            <w:tcBorders>
              <w:bottom w:val="nil"/>
            </w:tcBorders>
            <w:shd w:val="clear" w:color="auto" w:fill="92CDDC"/>
          </w:tcPr>
          <w:p>
            <w:pPr>
              <w:pStyle w:val="TableParagraph"/>
              <w:spacing w:line="249" w:lineRule="exact"/>
              <w:rPr>
                <w:b/>
                <w:sz w:val="22"/>
              </w:rPr>
            </w:pPr>
            <w:r>
              <w:rPr>
                <w:b/>
                <w:sz w:val="22"/>
              </w:rPr>
              <w:t>¿Dónde</w:t>
            </w:r>
          </w:p>
        </w:tc>
        <w:tc>
          <w:tcPr>
            <w:tcW w:w="1174" w:type="dxa"/>
            <w:tcBorders>
              <w:bottom w:val="nil"/>
            </w:tcBorders>
            <w:shd w:val="clear" w:color="auto" w:fill="92CDDC"/>
          </w:tcPr>
          <w:p>
            <w:pPr>
              <w:pStyle w:val="TableParagraph"/>
              <w:spacing w:line="249" w:lineRule="exact"/>
              <w:rPr>
                <w:b/>
                <w:sz w:val="22"/>
              </w:rPr>
            </w:pPr>
            <w:r>
              <w:rPr>
                <w:b/>
                <w:sz w:val="22"/>
              </w:rPr>
              <w:t>¿Dónde</w:t>
            </w:r>
          </w:p>
        </w:tc>
        <w:tc>
          <w:tcPr>
            <w:tcW w:w="2314" w:type="dxa"/>
            <w:tcBorders>
              <w:bottom w:val="nil"/>
            </w:tcBorders>
            <w:shd w:val="clear" w:color="auto" w:fill="92CDDC"/>
          </w:tcPr>
          <w:p>
            <w:pPr>
              <w:pStyle w:val="TableParagraph"/>
              <w:tabs>
                <w:tab w:pos="1242" w:val="left" w:leader="none"/>
                <w:tab w:pos="2017" w:val="left" w:leader="none"/>
              </w:tabs>
              <w:spacing w:line="249" w:lineRule="exact"/>
              <w:ind w:left="100"/>
              <w:rPr>
                <w:b/>
                <w:sz w:val="22"/>
              </w:rPr>
            </w:pPr>
            <w:r>
              <w:rPr>
                <w:b/>
                <w:sz w:val="22"/>
              </w:rPr>
              <w:t>¿Cuál</w:t>
              <w:tab/>
              <w:t>es</w:t>
              <w:tab/>
              <w:t>el</w:t>
            </w:r>
          </w:p>
        </w:tc>
        <w:tc>
          <w:tcPr>
            <w:tcW w:w="3901" w:type="dxa"/>
            <w:tcBorders>
              <w:bottom w:val="nil"/>
            </w:tcBorders>
            <w:shd w:val="clear" w:color="auto" w:fill="92CDDC"/>
          </w:tcPr>
          <w:p>
            <w:pPr>
              <w:pStyle w:val="TableParagraph"/>
              <w:spacing w:line="249" w:lineRule="exact"/>
              <w:rPr>
                <w:b/>
                <w:sz w:val="22"/>
              </w:rPr>
            </w:pPr>
            <w:r>
              <w:rPr>
                <w:b/>
                <w:sz w:val="22"/>
              </w:rPr>
              <w:t>¿Considera  apropiado  que  exista</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1235" w:val="left" w:leader="none"/>
              </w:tabs>
              <w:spacing w:line="241" w:lineRule="exact"/>
              <w:ind w:left="100"/>
              <w:rPr>
                <w:b/>
                <w:sz w:val="22"/>
              </w:rPr>
            </w:pPr>
            <w:r>
              <w:rPr>
                <w:b/>
                <w:sz w:val="22"/>
              </w:rPr>
              <w:t>principal</w:t>
              <w:tab/>
              <w:t>beneficio</w:t>
            </w:r>
          </w:p>
        </w:tc>
        <w:tc>
          <w:tcPr>
            <w:tcW w:w="3901" w:type="dxa"/>
            <w:tcBorders>
              <w:top w:val="nil"/>
              <w:bottom w:val="nil"/>
            </w:tcBorders>
            <w:shd w:val="clear" w:color="auto" w:fill="92CDDC"/>
          </w:tcPr>
          <w:p>
            <w:pPr>
              <w:pStyle w:val="TableParagraph"/>
              <w:spacing w:line="241" w:lineRule="exact"/>
              <w:rPr>
                <w:b/>
                <w:sz w:val="22"/>
              </w:rPr>
            </w:pPr>
            <w:r>
              <w:rPr>
                <w:b/>
                <w:sz w:val="22"/>
              </w:rPr>
              <w:t>un  Comité  Intermunicipal  con  su</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894" w:val="left" w:leader="none"/>
                <w:tab w:pos="1945" w:val="left" w:leader="none"/>
              </w:tabs>
              <w:spacing w:line="241" w:lineRule="exact"/>
              <w:ind w:left="100"/>
              <w:rPr>
                <w:b/>
                <w:sz w:val="22"/>
              </w:rPr>
            </w:pPr>
            <w:r>
              <w:rPr>
                <w:b/>
                <w:sz w:val="22"/>
              </w:rPr>
              <w:t>que</w:t>
              <w:tab/>
              <w:t>recibe</w:t>
              <w:tab/>
              <w:t>su</w:t>
            </w:r>
          </w:p>
        </w:tc>
        <w:tc>
          <w:tcPr>
            <w:tcW w:w="3901" w:type="dxa"/>
            <w:tcBorders>
              <w:top w:val="nil"/>
              <w:bottom w:val="nil"/>
            </w:tcBorders>
            <w:shd w:val="clear" w:color="auto" w:fill="92CDDC"/>
          </w:tcPr>
          <w:p>
            <w:pPr>
              <w:pStyle w:val="TableParagraph"/>
              <w:spacing w:line="241" w:lineRule="exact"/>
              <w:rPr>
                <w:b/>
                <w:sz w:val="22"/>
              </w:rPr>
            </w:pPr>
            <w:r>
              <w:rPr>
                <w:b/>
                <w:sz w:val="22"/>
              </w:rPr>
              <w:t>Reglamento para el uso, cuidado y</w:t>
            </w: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451" w:val="left" w:leader="none"/>
                <w:tab w:pos="2017" w:val="left" w:leader="none"/>
              </w:tabs>
              <w:spacing w:line="242" w:lineRule="exact"/>
              <w:ind w:left="100"/>
              <w:rPr>
                <w:b/>
                <w:sz w:val="22"/>
              </w:rPr>
            </w:pPr>
            <w:r>
              <w:rPr>
                <w:b/>
                <w:sz w:val="22"/>
              </w:rPr>
              <w:t>municipio</w:t>
              <w:tab/>
              <w:t>de</w:t>
              <w:tab/>
              <w:t>la</w:t>
            </w:r>
          </w:p>
        </w:tc>
        <w:tc>
          <w:tcPr>
            <w:tcW w:w="3901" w:type="dxa"/>
            <w:tcBorders>
              <w:top w:val="nil"/>
              <w:bottom w:val="nil"/>
            </w:tcBorders>
            <w:shd w:val="clear" w:color="auto" w:fill="92CDDC"/>
          </w:tcPr>
          <w:p>
            <w:pPr>
              <w:pStyle w:val="TableParagraph"/>
              <w:tabs>
                <w:tab w:pos="1297" w:val="left" w:leader="none"/>
                <w:tab w:pos="1914" w:val="left" w:leader="none"/>
                <w:tab w:pos="2458" w:val="left" w:leader="none"/>
                <w:tab w:pos="3529" w:val="left" w:leader="none"/>
              </w:tabs>
              <w:spacing w:line="242" w:lineRule="exact"/>
              <w:rPr>
                <w:b/>
                <w:sz w:val="22"/>
              </w:rPr>
            </w:pPr>
            <w:r>
              <w:rPr>
                <w:b/>
                <w:sz w:val="22"/>
              </w:rPr>
              <w:t>defensa</w:t>
              <w:tab/>
              <w:t>de</w:t>
              <w:tab/>
              <w:t>la</w:t>
              <w:tab/>
              <w:t>laguna</w:t>
              <w:tab/>
              <w:t>de</w:t>
            </w: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945" w:val="left" w:leader="none"/>
              </w:tabs>
              <w:spacing w:line="241" w:lineRule="exact"/>
              <w:ind w:left="100"/>
              <w:rPr>
                <w:b/>
                <w:sz w:val="22"/>
              </w:rPr>
            </w:pPr>
            <w:r>
              <w:rPr>
                <w:b/>
                <w:sz w:val="22"/>
              </w:rPr>
              <w:t>laguna</w:t>
              <w:tab/>
              <w:t>de</w:t>
            </w:r>
          </w:p>
        </w:tc>
        <w:tc>
          <w:tcPr>
            <w:tcW w:w="3901" w:type="dxa"/>
            <w:tcBorders>
              <w:top w:val="nil"/>
              <w:bottom w:val="nil"/>
            </w:tcBorders>
            <w:shd w:val="clear" w:color="auto" w:fill="92CDDC"/>
          </w:tcPr>
          <w:p>
            <w:pPr>
              <w:pStyle w:val="TableParagraph"/>
              <w:spacing w:line="241" w:lineRule="exact"/>
              <w:rPr>
                <w:b/>
                <w:sz w:val="22"/>
              </w:rPr>
            </w:pPr>
            <w:r>
              <w:rPr>
                <w:b/>
                <w:sz w:val="22"/>
              </w:rPr>
              <w:t>Huapango?</w:t>
            </w:r>
          </w:p>
        </w:tc>
      </w:tr>
      <w:tr>
        <w:trPr>
          <w:trHeight w:val="251"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2" w:lineRule="exact"/>
              <w:ind w:left="100"/>
              <w:rPr>
                <w:b/>
                <w:sz w:val="22"/>
              </w:rPr>
            </w:pPr>
            <w:r>
              <w:rPr>
                <w:b/>
                <w:sz w:val="22"/>
              </w:rPr>
              <w:t>Huapango?</w:t>
            </w:r>
          </w:p>
        </w:tc>
        <w:tc>
          <w:tcPr>
            <w:tcW w:w="3901"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Oscar</w:t>
            </w:r>
          </w:p>
        </w:tc>
        <w:tc>
          <w:tcPr>
            <w:tcW w:w="1274" w:type="dxa"/>
            <w:tcBorders>
              <w:bottom w:val="nil"/>
            </w:tcBorders>
          </w:tcPr>
          <w:p>
            <w:pPr>
              <w:pStyle w:val="TableParagraph"/>
              <w:spacing w:line="251" w:lineRule="exact"/>
              <w:ind w:left="100"/>
              <w:rPr>
                <w:sz w:val="22"/>
              </w:rPr>
            </w:pPr>
            <w:r>
              <w:rPr>
                <w:sz w:val="22"/>
              </w:rPr>
              <w:t>Preparator</w:t>
            </w:r>
          </w:p>
        </w:tc>
        <w:tc>
          <w:tcPr>
            <w:tcW w:w="1887" w:type="dxa"/>
            <w:tcBorders>
              <w:bottom w:val="nil"/>
            </w:tcBorders>
          </w:tcPr>
          <w:p>
            <w:pPr>
              <w:pStyle w:val="TableParagraph"/>
              <w:spacing w:line="251" w:lineRule="exact"/>
              <w:ind w:left="410"/>
              <w:rPr>
                <w:sz w:val="22"/>
              </w:rPr>
            </w:pPr>
            <w:r>
              <w:rPr>
                <w:sz w:val="22"/>
              </w:rPr>
              <w:t>Presidente</w:t>
            </w:r>
          </w:p>
        </w:tc>
        <w:tc>
          <w:tcPr>
            <w:tcW w:w="1289" w:type="dxa"/>
            <w:tcBorders>
              <w:bottom w:val="nil"/>
            </w:tcBorders>
          </w:tcPr>
          <w:p>
            <w:pPr>
              <w:pStyle w:val="TableParagraph"/>
              <w:spacing w:line="251" w:lineRule="exact"/>
              <w:rPr>
                <w:sz w:val="22"/>
              </w:rPr>
            </w:pPr>
            <w:r>
              <w:rPr>
                <w:sz w:val="22"/>
              </w:rPr>
              <w:t>Timilpan</w:t>
            </w:r>
          </w:p>
        </w:tc>
        <w:tc>
          <w:tcPr>
            <w:tcW w:w="1174" w:type="dxa"/>
            <w:tcBorders>
              <w:bottom w:val="nil"/>
            </w:tcBorders>
          </w:tcPr>
          <w:p>
            <w:pPr>
              <w:pStyle w:val="TableParagraph"/>
              <w:spacing w:line="251" w:lineRule="exact"/>
              <w:rPr>
                <w:sz w:val="22"/>
              </w:rPr>
            </w:pPr>
            <w:r>
              <w:rPr>
                <w:sz w:val="22"/>
              </w:rPr>
              <w:t>Timilpan</w:t>
            </w:r>
          </w:p>
        </w:tc>
        <w:tc>
          <w:tcPr>
            <w:tcW w:w="2314" w:type="dxa"/>
            <w:tcBorders>
              <w:bottom w:val="nil"/>
            </w:tcBorders>
          </w:tcPr>
          <w:p>
            <w:pPr>
              <w:pStyle w:val="TableParagraph"/>
              <w:spacing w:line="251" w:lineRule="exact"/>
              <w:ind w:left="100"/>
              <w:rPr>
                <w:sz w:val="22"/>
              </w:rPr>
            </w:pPr>
            <w:r>
              <w:rPr>
                <w:sz w:val="22"/>
              </w:rPr>
              <w:t>El municipio no  tiene</w:t>
            </w:r>
          </w:p>
        </w:tc>
        <w:tc>
          <w:tcPr>
            <w:tcW w:w="3901" w:type="dxa"/>
            <w:tcBorders>
              <w:bottom w:val="nil"/>
            </w:tcBorders>
          </w:tcPr>
          <w:p>
            <w:pPr>
              <w:pStyle w:val="TableParagraph"/>
              <w:spacing w:line="251" w:lineRule="exact"/>
              <w:rPr>
                <w:sz w:val="22"/>
              </w:rPr>
            </w:pPr>
            <w:r>
              <w:rPr>
                <w:sz w:val="22"/>
              </w:rPr>
              <w:t>Considero  apropiado  que  exista  un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Rodríguez</w:t>
            </w:r>
          </w:p>
        </w:tc>
        <w:tc>
          <w:tcPr>
            <w:tcW w:w="1274" w:type="dxa"/>
            <w:tcBorders>
              <w:top w:val="nil"/>
              <w:bottom w:val="nil"/>
            </w:tcBorders>
          </w:tcPr>
          <w:p>
            <w:pPr>
              <w:pStyle w:val="TableParagraph"/>
              <w:spacing w:line="242" w:lineRule="exact"/>
              <w:ind w:left="100" w:right="98"/>
              <w:rPr>
                <w:sz w:val="22"/>
              </w:rPr>
            </w:pPr>
            <w:r>
              <w:rPr>
                <w:sz w:val="22"/>
              </w:rPr>
              <w:t>ia y</w:t>
            </w:r>
          </w:p>
        </w:tc>
        <w:tc>
          <w:tcPr>
            <w:tcW w:w="1887" w:type="dxa"/>
            <w:tcBorders>
              <w:top w:val="nil"/>
              <w:bottom w:val="nil"/>
            </w:tcBorders>
          </w:tcPr>
          <w:p>
            <w:pPr>
              <w:pStyle w:val="TableParagraph"/>
              <w:spacing w:line="242"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ningún beneficio.</w:t>
            </w:r>
          </w:p>
        </w:tc>
        <w:tc>
          <w:tcPr>
            <w:tcW w:w="3901" w:type="dxa"/>
            <w:tcBorders>
              <w:top w:val="nil"/>
              <w:bottom w:val="nil"/>
            </w:tcBorders>
          </w:tcPr>
          <w:p>
            <w:pPr>
              <w:pStyle w:val="TableParagraph"/>
              <w:tabs>
                <w:tab w:pos="1474" w:val="left" w:leader="none"/>
                <w:tab w:pos="3098" w:val="left" w:leader="none"/>
                <w:tab w:pos="3614" w:val="left" w:leader="none"/>
              </w:tabs>
              <w:spacing w:line="242" w:lineRule="exact"/>
              <w:rPr>
                <w:sz w:val="22"/>
              </w:rPr>
            </w:pPr>
            <w:r>
              <w:rPr>
                <w:sz w:val="22"/>
              </w:rPr>
              <w:t>reglamento</w:t>
              <w:tab/>
              <w:t>intermunicipal</w:t>
              <w:tab/>
              <w:t>de</w:t>
              <w:tab/>
              <w:t>la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Ruíz</w:t>
            </w:r>
          </w:p>
        </w:tc>
        <w:tc>
          <w:tcPr>
            <w:tcW w:w="1274" w:type="dxa"/>
            <w:tcBorders>
              <w:top w:val="nil"/>
              <w:bottom w:val="nil"/>
            </w:tcBorders>
          </w:tcPr>
          <w:p>
            <w:pPr>
              <w:pStyle w:val="TableParagraph"/>
              <w:spacing w:line="241" w:lineRule="exact"/>
              <w:ind w:left="100" w:right="98"/>
              <w:rPr>
                <w:sz w:val="22"/>
              </w:rPr>
            </w:pPr>
            <w:r>
              <w:rPr>
                <w:sz w:val="22"/>
              </w:rPr>
              <w:t>carrera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laguna porque ya se tendría beneficio</w:t>
            </w:r>
          </w:p>
        </w:tc>
      </w:tr>
      <w:tr>
        <w:trPr>
          <w:trHeight w:val="253"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técnica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alguno.</w:t>
            </w:r>
          </w:p>
        </w:tc>
      </w:tr>
      <w:tr>
        <w:trPr>
          <w:trHeight w:val="249" w:hRule="exact"/>
        </w:trPr>
        <w:tc>
          <w:tcPr>
            <w:tcW w:w="1385" w:type="dxa"/>
            <w:tcBorders>
              <w:top w:val="nil"/>
            </w:tcBorders>
          </w:tcPr>
          <w:p>
            <w:pPr>
              <w:pStyle w:val="TableParagraph"/>
              <w:spacing w:line="242" w:lineRule="exact"/>
              <w:rPr>
                <w:sz w:val="22"/>
              </w:rPr>
            </w:pPr>
            <w:r>
              <w:rPr>
                <w:sz w:val="22"/>
              </w:rPr>
              <w:t>(24/II/2014)</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8"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Rincón de</w:t>
            </w:r>
          </w:p>
        </w:tc>
        <w:tc>
          <w:tcPr>
            <w:tcW w:w="1174" w:type="dxa"/>
            <w:tcBorders>
              <w:bottom w:val="nil"/>
            </w:tcBorders>
          </w:tcPr>
          <w:p>
            <w:pPr>
              <w:pStyle w:val="TableParagraph"/>
              <w:spacing w:line="251" w:lineRule="exact"/>
              <w:rPr>
                <w:sz w:val="22"/>
              </w:rPr>
            </w:pPr>
            <w:r>
              <w:rPr>
                <w:sz w:val="22"/>
              </w:rPr>
              <w:t>Rincón</w:t>
            </w:r>
          </w:p>
        </w:tc>
        <w:tc>
          <w:tcPr>
            <w:tcW w:w="2314" w:type="dxa"/>
            <w:tcBorders>
              <w:bottom w:val="nil"/>
            </w:tcBorders>
          </w:tcPr>
          <w:p>
            <w:pPr>
              <w:pStyle w:val="TableParagraph"/>
              <w:spacing w:line="251" w:lineRule="exact"/>
              <w:ind w:left="100"/>
              <w:rPr>
                <w:sz w:val="22"/>
              </w:rPr>
            </w:pPr>
            <w:r>
              <w:rPr>
                <w:sz w:val="22"/>
              </w:rPr>
              <w:t>Ninguno, sólo que  la</w:t>
            </w:r>
          </w:p>
        </w:tc>
        <w:tc>
          <w:tcPr>
            <w:tcW w:w="3901" w:type="dxa"/>
            <w:tcBorders>
              <w:bottom w:val="nil"/>
            </w:tcBorders>
          </w:tcPr>
          <w:p>
            <w:pPr>
              <w:pStyle w:val="TableParagraph"/>
              <w:spacing w:line="251" w:lineRule="exact"/>
              <w:rPr>
                <w:sz w:val="22"/>
              </w:rPr>
            </w:pPr>
            <w:r>
              <w:rPr>
                <w:sz w:val="22"/>
              </w:rPr>
              <w:t>Como  no  se tiene  injerencia  no hay</w:t>
            </w:r>
          </w:p>
        </w:tc>
      </w:tr>
      <w:tr>
        <w:trPr>
          <w:trHeight w:val="254" w:hRule="exact"/>
        </w:trPr>
        <w:tc>
          <w:tcPr>
            <w:tcW w:w="1385" w:type="dxa"/>
            <w:tcBorders>
              <w:top w:val="nil"/>
              <w:bottom w:val="nil"/>
            </w:tcBorders>
          </w:tcPr>
          <w:p>
            <w:pPr>
              <w:pStyle w:val="TableParagraph"/>
              <w:spacing w:line="243" w:lineRule="exact"/>
              <w:ind w:right="127"/>
              <w:rPr>
                <w:sz w:val="22"/>
              </w:rPr>
            </w:pPr>
            <w:r>
              <w:rPr>
                <w:sz w:val="22"/>
              </w:rPr>
              <w:t>Ruiz</w:t>
            </w:r>
          </w:p>
        </w:tc>
        <w:tc>
          <w:tcPr>
            <w:tcW w:w="1274" w:type="dxa"/>
            <w:tcBorders>
              <w:top w:val="nil"/>
              <w:bottom w:val="nil"/>
            </w:tcBorders>
          </w:tcPr>
          <w:p>
            <w:pPr/>
          </w:p>
        </w:tc>
        <w:tc>
          <w:tcPr>
            <w:tcW w:w="1887" w:type="dxa"/>
            <w:tcBorders>
              <w:top w:val="nil"/>
              <w:bottom w:val="nil"/>
            </w:tcBorders>
          </w:tcPr>
          <w:p>
            <w:pPr>
              <w:pStyle w:val="TableParagraph"/>
              <w:spacing w:line="243" w:lineRule="exact"/>
              <w:rPr>
                <w:sz w:val="22"/>
              </w:rPr>
            </w:pPr>
            <w:r>
              <w:rPr>
                <w:sz w:val="22"/>
              </w:rPr>
              <w:t>Presidente de la</w:t>
            </w:r>
          </w:p>
        </w:tc>
        <w:tc>
          <w:tcPr>
            <w:tcW w:w="1289" w:type="dxa"/>
            <w:tcBorders>
              <w:top w:val="nil"/>
              <w:bottom w:val="nil"/>
            </w:tcBorders>
          </w:tcPr>
          <w:p>
            <w:pPr>
              <w:pStyle w:val="TableParagraph"/>
              <w:spacing w:line="243" w:lineRule="exact"/>
              <w:rPr>
                <w:sz w:val="22"/>
              </w:rPr>
            </w:pPr>
            <w:r>
              <w:rPr>
                <w:sz w:val="22"/>
              </w:rPr>
              <w:t>Bucio,</w:t>
            </w:r>
          </w:p>
        </w:tc>
        <w:tc>
          <w:tcPr>
            <w:tcW w:w="1174" w:type="dxa"/>
            <w:tcBorders>
              <w:top w:val="nil"/>
              <w:bottom w:val="nil"/>
            </w:tcBorders>
          </w:tcPr>
          <w:p>
            <w:pPr>
              <w:pStyle w:val="TableParagraph"/>
              <w:spacing w:line="243" w:lineRule="exact"/>
              <w:rPr>
                <w:sz w:val="22"/>
              </w:rPr>
            </w:pPr>
            <w:r>
              <w:rPr>
                <w:sz w:val="22"/>
              </w:rPr>
              <w:t>de Bucio,</w:t>
            </w:r>
          </w:p>
        </w:tc>
        <w:tc>
          <w:tcPr>
            <w:tcW w:w="2314" w:type="dxa"/>
            <w:tcBorders>
              <w:top w:val="nil"/>
              <w:bottom w:val="nil"/>
            </w:tcBorders>
          </w:tcPr>
          <w:p>
            <w:pPr>
              <w:pStyle w:val="TableParagraph"/>
              <w:tabs>
                <w:tab w:pos="1955" w:val="left" w:leader="none"/>
              </w:tabs>
              <w:spacing w:line="243" w:lineRule="exact"/>
              <w:ind w:left="100"/>
              <w:rPr>
                <w:sz w:val="22"/>
              </w:rPr>
            </w:pPr>
            <w:r>
              <w:rPr>
                <w:sz w:val="22"/>
              </w:rPr>
              <w:t>población</w:t>
              <w:tab/>
              <w:t>de</w:t>
            </w:r>
          </w:p>
        </w:tc>
        <w:tc>
          <w:tcPr>
            <w:tcW w:w="3901" w:type="dxa"/>
            <w:tcBorders>
              <w:top w:val="nil"/>
              <w:bottom w:val="nil"/>
            </w:tcBorders>
          </w:tcPr>
          <w:p>
            <w:pPr>
              <w:pStyle w:val="TableParagraph"/>
              <w:spacing w:line="243" w:lineRule="exact"/>
              <w:rPr>
                <w:sz w:val="22"/>
              </w:rPr>
            </w:pPr>
            <w:r>
              <w:rPr>
                <w:sz w:val="22"/>
              </w:rPr>
              <w:t>ningún acuerdo, pero creo que sí   es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spacing w:line="241" w:lineRule="exact"/>
              <w:rPr>
                <w:sz w:val="22"/>
              </w:rPr>
            </w:pPr>
            <w:r>
              <w:rPr>
                <w:sz w:val="22"/>
              </w:rPr>
              <w:t>Comisión de</w:t>
            </w:r>
          </w:p>
        </w:tc>
        <w:tc>
          <w:tcPr>
            <w:tcW w:w="1289" w:type="dxa"/>
            <w:tcBorders>
              <w:top w:val="nil"/>
              <w:bottom w:val="nil"/>
            </w:tcBorders>
          </w:tcPr>
          <w:p>
            <w:pPr>
              <w:pStyle w:val="TableParagraph"/>
              <w:spacing w:line="241" w:lineRule="exact"/>
              <w:rPr>
                <w:sz w:val="22"/>
              </w:rPr>
            </w:pPr>
            <w:r>
              <w:rPr>
                <w:sz w:val="22"/>
              </w:rPr>
              <w:t>Timilpan</w:t>
            </w:r>
          </w:p>
        </w:tc>
        <w:tc>
          <w:tcPr>
            <w:tcW w:w="1174" w:type="dxa"/>
            <w:tcBorders>
              <w:top w:val="nil"/>
              <w:bottom w:val="nil"/>
            </w:tcBorders>
          </w:tcPr>
          <w:p>
            <w:pPr>
              <w:pStyle w:val="TableParagraph"/>
              <w:spacing w:line="241" w:lineRule="exact"/>
              <w:rPr>
                <w:sz w:val="22"/>
              </w:rPr>
            </w:pPr>
            <w:r>
              <w:rPr>
                <w:sz w:val="22"/>
              </w:rPr>
              <w:t>Timilpan</w:t>
            </w:r>
          </w:p>
        </w:tc>
        <w:tc>
          <w:tcPr>
            <w:tcW w:w="2314" w:type="dxa"/>
            <w:tcBorders>
              <w:top w:val="nil"/>
              <w:bottom w:val="nil"/>
            </w:tcBorders>
          </w:tcPr>
          <w:p>
            <w:pPr>
              <w:pStyle w:val="TableParagraph"/>
              <w:spacing w:line="241" w:lineRule="exact"/>
              <w:ind w:left="100"/>
              <w:rPr>
                <w:sz w:val="22"/>
              </w:rPr>
            </w:pPr>
            <w:r>
              <w:rPr>
                <w:sz w:val="22"/>
              </w:rPr>
              <w:t>Zaragoza  aprovecha</w:t>
            </w:r>
          </w:p>
        </w:tc>
        <w:tc>
          <w:tcPr>
            <w:tcW w:w="3901" w:type="dxa"/>
            <w:tcBorders>
              <w:top w:val="nil"/>
              <w:bottom w:val="nil"/>
            </w:tcBorders>
          </w:tcPr>
          <w:p>
            <w:pPr>
              <w:pStyle w:val="TableParagraph"/>
              <w:spacing w:line="241" w:lineRule="exact"/>
              <w:rPr>
                <w:sz w:val="22"/>
              </w:rPr>
            </w:pPr>
            <w:r>
              <w:rPr>
                <w:sz w:val="22"/>
              </w:rPr>
              <w:t>importante.</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Desarrollo Rural</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la pesca.</w:t>
            </w:r>
          </w:p>
        </w:tc>
        <w:tc>
          <w:tcPr>
            <w:tcW w:w="3901" w:type="dxa"/>
            <w:tcBorders>
              <w:top w:val="nil"/>
              <w:bottom w:val="nil"/>
            </w:tcBorders>
          </w:tcPr>
          <w:p>
            <w:pPr/>
          </w:p>
        </w:tc>
      </w:tr>
      <w:tr>
        <w:trPr>
          <w:trHeight w:val="502" w:hRule="exact"/>
        </w:trPr>
        <w:tc>
          <w:tcPr>
            <w:tcW w:w="1385" w:type="dxa"/>
            <w:tcBorders>
              <w:top w:val="nil"/>
            </w:tcBorders>
          </w:tcPr>
          <w:p>
            <w:pPr>
              <w:pStyle w:val="TableParagraph"/>
              <w:spacing w:line="241" w:lineRule="exact"/>
              <w:ind w:right="127"/>
              <w:rPr>
                <w:sz w:val="22"/>
              </w:rPr>
            </w:pPr>
            <w:r>
              <w:rPr>
                <w:sz w:val="22"/>
              </w:rPr>
              <w:t>(24/I/2015)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90" w:hRule="exact"/>
        </w:trPr>
        <w:tc>
          <w:tcPr>
            <w:tcW w:w="1385" w:type="dxa"/>
          </w:tcPr>
          <w:p>
            <w:pPr>
              <w:pStyle w:val="TableParagraph"/>
              <w:spacing w:line="251" w:lineRule="exact"/>
              <w:ind w:right="127"/>
              <w:rPr>
                <w:sz w:val="22"/>
              </w:rPr>
            </w:pPr>
            <w:r>
              <w:rPr>
                <w:sz w:val="22"/>
              </w:rPr>
              <w:t>Jacinta</w:t>
            </w:r>
          </w:p>
        </w:tc>
        <w:tc>
          <w:tcPr>
            <w:tcW w:w="1274" w:type="dxa"/>
          </w:tcPr>
          <w:p>
            <w:pPr/>
          </w:p>
        </w:tc>
        <w:tc>
          <w:tcPr>
            <w:tcW w:w="1887" w:type="dxa"/>
          </w:tcPr>
          <w:p>
            <w:pPr>
              <w:pStyle w:val="TableParagraph"/>
              <w:spacing w:line="251" w:lineRule="exact"/>
              <w:rPr>
                <w:sz w:val="22"/>
              </w:rPr>
            </w:pPr>
            <w:r>
              <w:rPr>
                <w:sz w:val="22"/>
              </w:rPr>
              <w:t>Cuarto  Regidor.</w:t>
            </w:r>
          </w:p>
        </w:tc>
        <w:tc>
          <w:tcPr>
            <w:tcW w:w="1289" w:type="dxa"/>
          </w:tcPr>
          <w:p>
            <w:pPr>
              <w:pStyle w:val="TableParagraph"/>
              <w:spacing w:line="251" w:lineRule="exact"/>
              <w:rPr>
                <w:sz w:val="22"/>
              </w:rPr>
            </w:pPr>
            <w:r>
              <w:rPr>
                <w:sz w:val="22"/>
              </w:rPr>
              <w:t>Santiago</w:t>
            </w:r>
          </w:p>
        </w:tc>
        <w:tc>
          <w:tcPr>
            <w:tcW w:w="1174" w:type="dxa"/>
          </w:tcPr>
          <w:p>
            <w:pPr>
              <w:pStyle w:val="TableParagraph"/>
              <w:spacing w:line="251" w:lineRule="exact"/>
              <w:rPr>
                <w:sz w:val="22"/>
              </w:rPr>
            </w:pPr>
            <w:r>
              <w:rPr>
                <w:sz w:val="22"/>
              </w:rPr>
              <w:t>Santiago</w:t>
            </w:r>
          </w:p>
        </w:tc>
        <w:tc>
          <w:tcPr>
            <w:tcW w:w="2314" w:type="dxa"/>
          </w:tcPr>
          <w:p>
            <w:pPr>
              <w:pStyle w:val="TableParagraph"/>
              <w:spacing w:line="251" w:lineRule="exact"/>
              <w:ind w:left="100"/>
              <w:rPr>
                <w:sz w:val="22"/>
              </w:rPr>
            </w:pPr>
            <w:r>
              <w:rPr>
                <w:sz w:val="22"/>
              </w:rPr>
              <w:t>Los beneficiarios son</w:t>
            </w:r>
          </w:p>
        </w:tc>
        <w:tc>
          <w:tcPr>
            <w:tcW w:w="3901" w:type="dxa"/>
          </w:tcPr>
          <w:p>
            <w:pPr>
              <w:pStyle w:val="TableParagraph"/>
              <w:spacing w:line="251" w:lineRule="exact"/>
              <w:rPr>
                <w:sz w:val="22"/>
              </w:rPr>
            </w:pPr>
            <w:r>
              <w:rPr>
                <w:sz w:val="22"/>
              </w:rPr>
              <w:t>Sí porque así se llevaría un orden    y</w:t>
            </w:r>
          </w:p>
        </w:tc>
      </w:tr>
    </w:tbl>
    <w:p>
      <w:pPr>
        <w:spacing w:after="0" w:line="251" w:lineRule="exact"/>
        <w:rPr>
          <w:sz w:val="22"/>
        </w:rPr>
        <w:sectPr>
          <w:pgSz w:w="15840" w:h="12240" w:orient="landscape"/>
          <w:pgMar w:header="0" w:footer="943" w:top="1140" w:bottom="114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66" w:hRule="exact"/>
        </w:trPr>
        <w:tc>
          <w:tcPr>
            <w:tcW w:w="1385" w:type="dxa"/>
            <w:tcBorders>
              <w:bottom w:val="nil"/>
            </w:tcBorders>
          </w:tcPr>
          <w:p>
            <w:pPr>
              <w:pStyle w:val="TableParagraph"/>
              <w:spacing w:line="251" w:lineRule="exact"/>
              <w:ind w:right="127"/>
              <w:rPr>
                <w:sz w:val="22"/>
              </w:rPr>
            </w:pPr>
            <w:r>
              <w:rPr>
                <w:sz w:val="22"/>
              </w:rPr>
              <w:t>Jasso</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Presidenta  de la</w:t>
            </w:r>
          </w:p>
        </w:tc>
        <w:tc>
          <w:tcPr>
            <w:tcW w:w="1289" w:type="dxa"/>
            <w:tcBorders>
              <w:bottom w:val="nil"/>
            </w:tcBorders>
          </w:tcPr>
          <w:p>
            <w:pPr>
              <w:pStyle w:val="TableParagraph"/>
              <w:spacing w:line="251" w:lineRule="exact"/>
              <w:rPr>
                <w:sz w:val="22"/>
              </w:rPr>
            </w:pPr>
            <w:r>
              <w:rPr>
                <w:sz w:val="22"/>
              </w:rPr>
              <w:t>Maxdá,</w:t>
            </w:r>
          </w:p>
        </w:tc>
        <w:tc>
          <w:tcPr>
            <w:tcW w:w="1174" w:type="dxa"/>
            <w:tcBorders>
              <w:bottom w:val="nil"/>
            </w:tcBorders>
          </w:tcPr>
          <w:p>
            <w:pPr>
              <w:pStyle w:val="TableParagraph"/>
              <w:spacing w:line="251" w:lineRule="exact"/>
              <w:rPr>
                <w:sz w:val="22"/>
              </w:rPr>
            </w:pPr>
            <w:r>
              <w:rPr>
                <w:sz w:val="22"/>
              </w:rPr>
              <w:t>Maxdá,</w:t>
            </w:r>
          </w:p>
        </w:tc>
        <w:tc>
          <w:tcPr>
            <w:tcW w:w="2314" w:type="dxa"/>
            <w:tcBorders>
              <w:bottom w:val="nil"/>
            </w:tcBorders>
          </w:tcPr>
          <w:p>
            <w:pPr>
              <w:pStyle w:val="TableParagraph"/>
              <w:spacing w:line="251" w:lineRule="exact"/>
              <w:ind w:left="100"/>
              <w:rPr>
                <w:sz w:val="22"/>
              </w:rPr>
            </w:pPr>
            <w:r>
              <w:rPr>
                <w:sz w:val="22"/>
              </w:rPr>
              <w:t>los  de  la comunidad</w:t>
            </w:r>
          </w:p>
        </w:tc>
        <w:tc>
          <w:tcPr>
            <w:tcW w:w="3901" w:type="dxa"/>
            <w:tcBorders>
              <w:bottom w:val="nil"/>
            </w:tcBorders>
          </w:tcPr>
          <w:p>
            <w:pPr>
              <w:pStyle w:val="TableParagraph"/>
              <w:spacing w:line="251" w:lineRule="exact"/>
              <w:rPr>
                <w:sz w:val="22"/>
              </w:rPr>
            </w:pPr>
            <w:r>
              <w:rPr>
                <w:sz w:val="22"/>
              </w:rPr>
              <w:t>se ocuparía para diferentes  servicios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González</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1289" w:type="dxa"/>
            <w:tcBorders>
              <w:top w:val="nil"/>
              <w:bottom w:val="nil"/>
            </w:tcBorders>
          </w:tcPr>
          <w:p>
            <w:pPr>
              <w:pStyle w:val="TableParagraph"/>
              <w:spacing w:line="241" w:lineRule="exact"/>
              <w:rPr>
                <w:sz w:val="22"/>
              </w:rPr>
            </w:pPr>
            <w:r>
              <w:rPr>
                <w:sz w:val="22"/>
              </w:rPr>
              <w:t>Timilpan</w:t>
            </w:r>
          </w:p>
        </w:tc>
        <w:tc>
          <w:tcPr>
            <w:tcW w:w="1174" w:type="dxa"/>
            <w:tcBorders>
              <w:top w:val="nil"/>
              <w:bottom w:val="nil"/>
            </w:tcBorders>
          </w:tcPr>
          <w:p>
            <w:pPr>
              <w:pStyle w:val="TableParagraph"/>
              <w:spacing w:line="241" w:lineRule="exact"/>
              <w:rPr>
                <w:sz w:val="22"/>
              </w:rPr>
            </w:pPr>
            <w:r>
              <w:rPr>
                <w:sz w:val="22"/>
              </w:rPr>
              <w:t>Timilpan</w:t>
            </w:r>
          </w:p>
        </w:tc>
        <w:tc>
          <w:tcPr>
            <w:tcW w:w="2314" w:type="dxa"/>
            <w:tcBorders>
              <w:top w:val="nil"/>
              <w:bottom w:val="nil"/>
            </w:tcBorders>
          </w:tcPr>
          <w:p>
            <w:pPr>
              <w:pStyle w:val="TableParagraph"/>
              <w:spacing w:line="241" w:lineRule="exact"/>
              <w:ind w:left="100"/>
              <w:rPr>
                <w:sz w:val="22"/>
              </w:rPr>
            </w:pPr>
            <w:r>
              <w:rPr>
                <w:sz w:val="22"/>
              </w:rPr>
              <w:t>con la pesca.</w:t>
            </w:r>
          </w:p>
        </w:tc>
        <w:tc>
          <w:tcPr>
            <w:tcW w:w="3901" w:type="dxa"/>
            <w:tcBorders>
              <w:top w:val="nil"/>
              <w:bottom w:val="nil"/>
            </w:tcBorders>
          </w:tcPr>
          <w:p>
            <w:pPr>
              <w:pStyle w:val="TableParagraph"/>
              <w:spacing w:line="241" w:lineRule="exact"/>
              <w:rPr>
                <w:sz w:val="22"/>
              </w:rPr>
            </w:pPr>
            <w:r>
              <w:rPr>
                <w:sz w:val="22"/>
              </w:rPr>
              <w:t>el agua.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2" w:val="left" w:leader="none"/>
              </w:tabs>
              <w:spacing w:line="242" w:lineRule="exact"/>
              <w:rPr>
                <w:sz w:val="22"/>
              </w:rPr>
            </w:pPr>
            <w:r>
              <w:rPr>
                <w:sz w:val="22"/>
              </w:rPr>
              <w:t>Empleo</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ind w:right="127"/>
              <w:rPr>
                <w:sz w:val="22"/>
              </w:rPr>
            </w:pPr>
            <w:r>
              <w:rPr>
                <w:sz w:val="22"/>
              </w:rPr>
              <w:t>(24/I/2015)</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Turismo</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rPr>
                <w:sz w:val="22"/>
              </w:rPr>
            </w:pPr>
            <w:r>
              <w:rPr>
                <w:sz w:val="22"/>
              </w:rPr>
              <w:t>Erika María</w:t>
            </w:r>
          </w:p>
        </w:tc>
        <w:tc>
          <w:tcPr>
            <w:tcW w:w="1274" w:type="dxa"/>
            <w:tcBorders>
              <w:bottom w:val="nil"/>
            </w:tcBorders>
          </w:tcPr>
          <w:p>
            <w:pPr>
              <w:pStyle w:val="TableParagraph"/>
              <w:spacing w:line="251" w:lineRule="exact"/>
              <w:ind w:left="100" w:right="98"/>
              <w:rPr>
                <w:sz w:val="22"/>
              </w:rPr>
            </w:pPr>
            <w:r>
              <w:rPr>
                <w:sz w:val="22"/>
              </w:rPr>
              <w:t>Técnico</w:t>
            </w:r>
          </w:p>
        </w:tc>
        <w:tc>
          <w:tcPr>
            <w:tcW w:w="1887" w:type="dxa"/>
            <w:tcBorders>
              <w:bottom w:val="nil"/>
            </w:tcBorders>
          </w:tcPr>
          <w:p>
            <w:pPr>
              <w:pStyle w:val="TableParagraph"/>
              <w:spacing w:line="251" w:lineRule="exact"/>
              <w:rPr>
                <w:sz w:val="22"/>
              </w:rPr>
            </w:pPr>
            <w:r>
              <w:rPr>
                <w:sz w:val="22"/>
              </w:rPr>
              <w:t>Quinto   Regidor.</w:t>
            </w:r>
          </w:p>
        </w:tc>
        <w:tc>
          <w:tcPr>
            <w:tcW w:w="1289" w:type="dxa"/>
            <w:tcBorders>
              <w:bottom w:val="nil"/>
            </w:tcBorders>
          </w:tcPr>
          <w:p>
            <w:pPr>
              <w:pStyle w:val="TableParagraph"/>
              <w:spacing w:line="251" w:lineRule="exact"/>
              <w:rPr>
                <w:sz w:val="22"/>
              </w:rPr>
            </w:pPr>
            <w:r>
              <w:rPr>
                <w:sz w:val="22"/>
              </w:rPr>
              <w:t>Naucalpan</w:t>
            </w:r>
          </w:p>
        </w:tc>
        <w:tc>
          <w:tcPr>
            <w:tcW w:w="1174" w:type="dxa"/>
            <w:tcBorders>
              <w:bottom w:val="nil"/>
            </w:tcBorders>
          </w:tcPr>
          <w:p>
            <w:pPr>
              <w:pStyle w:val="TableParagraph"/>
              <w:spacing w:line="251" w:lineRule="exact"/>
              <w:rPr>
                <w:sz w:val="22"/>
              </w:rPr>
            </w:pPr>
            <w:r>
              <w:rPr>
                <w:sz w:val="22"/>
              </w:rPr>
              <w:t>Timilpan</w:t>
            </w:r>
          </w:p>
        </w:tc>
        <w:tc>
          <w:tcPr>
            <w:tcW w:w="2314" w:type="dxa"/>
            <w:tcBorders>
              <w:bottom w:val="nil"/>
            </w:tcBorders>
          </w:tcPr>
          <w:p>
            <w:pPr>
              <w:pStyle w:val="TableParagraph"/>
              <w:tabs>
                <w:tab w:pos="1218" w:val="left" w:leader="none"/>
                <w:tab w:pos="1967" w:val="left" w:leader="none"/>
              </w:tabs>
              <w:spacing w:line="251" w:lineRule="exact"/>
              <w:ind w:left="100"/>
              <w:rPr>
                <w:sz w:val="22"/>
              </w:rPr>
            </w:pPr>
            <w:r>
              <w:rPr>
                <w:sz w:val="22"/>
              </w:rPr>
              <w:t>Beneficio</w:t>
              <w:tab/>
              <w:t>como</w:t>
              <w:tab/>
              <w:t>tal</w:t>
            </w:r>
          </w:p>
        </w:tc>
        <w:tc>
          <w:tcPr>
            <w:tcW w:w="3901" w:type="dxa"/>
            <w:tcBorders>
              <w:bottom w:val="nil"/>
            </w:tcBorders>
          </w:tcPr>
          <w:p>
            <w:pPr>
              <w:pStyle w:val="TableParagraph"/>
              <w:spacing w:line="251" w:lineRule="exact"/>
              <w:rPr>
                <w:sz w:val="22"/>
              </w:rPr>
            </w:pPr>
            <w:r>
              <w:rPr>
                <w:sz w:val="22"/>
              </w:rPr>
              <w:t>Sí porque en el otro extremo colindan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Correa</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Presidente  de la</w:t>
            </w:r>
          </w:p>
        </w:tc>
        <w:tc>
          <w:tcPr>
            <w:tcW w:w="1289" w:type="dxa"/>
            <w:tcBorders>
              <w:top w:val="nil"/>
              <w:bottom w:val="nil"/>
            </w:tcBorders>
          </w:tcPr>
          <w:p>
            <w:pPr>
              <w:pStyle w:val="TableParagraph"/>
              <w:spacing w:line="241" w:lineRule="exact"/>
              <w:rPr>
                <w:sz w:val="22"/>
              </w:rPr>
            </w:pPr>
            <w:r>
              <w:rPr>
                <w:sz w:val="22"/>
              </w:rPr>
              <w:t>de Juárez</w:t>
            </w:r>
          </w:p>
        </w:tc>
        <w:tc>
          <w:tcPr>
            <w:tcW w:w="1174" w:type="dxa"/>
            <w:tcBorders>
              <w:top w:val="nil"/>
              <w:bottom w:val="nil"/>
            </w:tcBorders>
          </w:tcPr>
          <w:p>
            <w:pPr>
              <w:pStyle w:val="TableParagraph"/>
              <w:spacing w:line="241" w:lineRule="exact"/>
              <w:rPr>
                <w:sz w:val="22"/>
              </w:rPr>
            </w:pPr>
            <w:r>
              <w:rPr>
                <w:sz w:val="22"/>
              </w:rPr>
              <w:t>(desde</w:t>
            </w:r>
          </w:p>
        </w:tc>
        <w:tc>
          <w:tcPr>
            <w:tcW w:w="2314" w:type="dxa"/>
            <w:tcBorders>
              <w:top w:val="nil"/>
              <w:bottom w:val="nil"/>
            </w:tcBorders>
          </w:tcPr>
          <w:p>
            <w:pPr>
              <w:pStyle w:val="TableParagraph"/>
              <w:tabs>
                <w:tab w:pos="1285" w:val="left" w:leader="none"/>
                <w:tab w:pos="2029" w:val="left" w:leader="none"/>
              </w:tabs>
              <w:spacing w:line="241" w:lineRule="exact"/>
              <w:ind w:left="100"/>
              <w:rPr>
                <w:sz w:val="22"/>
              </w:rPr>
            </w:pPr>
            <w:r>
              <w:rPr>
                <w:sz w:val="22"/>
              </w:rPr>
              <w:t>ninguno,</w:t>
              <w:tab/>
              <w:t>sólo</w:t>
              <w:tab/>
              <w:t>lo</w:t>
            </w:r>
          </w:p>
        </w:tc>
        <w:tc>
          <w:tcPr>
            <w:tcW w:w="3901" w:type="dxa"/>
            <w:tcBorders>
              <w:top w:val="nil"/>
              <w:bottom w:val="nil"/>
            </w:tcBorders>
          </w:tcPr>
          <w:p>
            <w:pPr>
              <w:pStyle w:val="TableParagraph"/>
              <w:spacing w:line="241" w:lineRule="exact"/>
              <w:rPr>
                <w:sz w:val="22"/>
              </w:rPr>
            </w:pPr>
            <w:r>
              <w:rPr>
                <w:sz w:val="22"/>
              </w:rPr>
              <w:t>con Acambay y los de este</w:t>
            </w:r>
            <w:r>
              <w:rPr>
                <w:spacing w:val="56"/>
                <w:sz w:val="22"/>
              </w:rPr>
              <w:t> </w:t>
            </w:r>
            <w:r>
              <w:rPr>
                <w:sz w:val="22"/>
              </w:rPr>
              <w:t>municipio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Plata</w:t>
            </w:r>
          </w:p>
        </w:tc>
        <w:tc>
          <w:tcPr>
            <w:tcW w:w="1274" w:type="dxa"/>
            <w:tcBorders>
              <w:top w:val="nil"/>
              <w:bottom w:val="nil"/>
            </w:tcBorders>
          </w:tcPr>
          <w:p>
            <w:pPr>
              <w:pStyle w:val="TableParagraph"/>
              <w:spacing w:line="242" w:lineRule="exact"/>
              <w:ind w:left="100"/>
              <w:rPr>
                <w:sz w:val="22"/>
              </w:rPr>
            </w:pPr>
            <w:r>
              <w:rPr>
                <w:sz w:val="22"/>
              </w:rPr>
              <w:t>Computaci</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hace 30</w:t>
            </w:r>
          </w:p>
        </w:tc>
        <w:tc>
          <w:tcPr>
            <w:tcW w:w="2314" w:type="dxa"/>
            <w:tcBorders>
              <w:top w:val="nil"/>
              <w:bottom w:val="nil"/>
            </w:tcBorders>
          </w:tcPr>
          <w:p>
            <w:pPr>
              <w:pStyle w:val="TableParagraph"/>
              <w:tabs>
                <w:tab w:pos="957" w:val="left" w:leader="none"/>
                <w:tab w:pos="1504" w:val="left" w:leader="none"/>
              </w:tabs>
              <w:spacing w:line="242" w:lineRule="exact"/>
              <w:ind w:left="100"/>
              <w:rPr>
                <w:sz w:val="22"/>
              </w:rPr>
            </w:pPr>
            <w:r>
              <w:rPr>
                <w:sz w:val="22"/>
              </w:rPr>
              <w:t>bonito</w:t>
              <w:tab/>
              <w:t>del</w:t>
              <w:tab/>
              <w:t>paisaje</w:t>
            </w:r>
          </w:p>
        </w:tc>
        <w:tc>
          <w:tcPr>
            <w:tcW w:w="3901" w:type="dxa"/>
            <w:tcBorders>
              <w:top w:val="nil"/>
              <w:bottom w:val="nil"/>
            </w:tcBorders>
          </w:tcPr>
          <w:p>
            <w:pPr>
              <w:pStyle w:val="TableParagraph"/>
              <w:spacing w:line="242" w:lineRule="exact"/>
              <w:rPr>
                <w:sz w:val="22"/>
              </w:rPr>
            </w:pPr>
            <w:r>
              <w:rPr>
                <w:sz w:val="22"/>
              </w:rPr>
              <w:t>tienen   un   embarcadero   que   está</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ón</w:t>
            </w:r>
          </w:p>
        </w:tc>
        <w:tc>
          <w:tcPr>
            <w:tcW w:w="1887" w:type="dxa"/>
            <w:tcBorders>
              <w:top w:val="nil"/>
              <w:bottom w:val="nil"/>
            </w:tcBorders>
          </w:tcPr>
          <w:p>
            <w:pPr>
              <w:pStyle w:val="TableParagraph"/>
              <w:spacing w:line="241" w:lineRule="exact"/>
              <w:rPr>
                <w:sz w:val="22"/>
              </w:rPr>
            </w:pPr>
            <w:r>
              <w:rPr>
                <w:sz w:val="22"/>
              </w:rPr>
              <w:t>Salud   y   Medio</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años)</w:t>
            </w:r>
          </w:p>
        </w:tc>
        <w:tc>
          <w:tcPr>
            <w:tcW w:w="2314" w:type="dxa"/>
            <w:tcBorders>
              <w:top w:val="nil"/>
              <w:bottom w:val="nil"/>
            </w:tcBorders>
          </w:tcPr>
          <w:p>
            <w:pPr>
              <w:pStyle w:val="TableParagraph"/>
              <w:spacing w:line="241" w:lineRule="exact"/>
              <w:ind w:left="100"/>
              <w:rPr>
                <w:sz w:val="22"/>
              </w:rPr>
            </w:pPr>
            <w:r>
              <w:rPr>
                <w:sz w:val="22"/>
              </w:rPr>
              <w:t>con   el   Arco   Norte</w:t>
            </w:r>
          </w:p>
        </w:tc>
        <w:tc>
          <w:tcPr>
            <w:tcW w:w="3901" w:type="dxa"/>
            <w:tcBorders>
              <w:top w:val="nil"/>
              <w:bottom w:val="nil"/>
            </w:tcBorders>
          </w:tcPr>
          <w:p>
            <w:pPr>
              <w:pStyle w:val="TableParagraph"/>
              <w:spacing w:line="241" w:lineRule="exact"/>
              <w:rPr>
                <w:sz w:val="22"/>
              </w:rPr>
            </w:pPr>
            <w:r>
              <w:rPr>
                <w:sz w:val="22"/>
              </w:rPr>
              <w:t>dentro de Timilpan porque la    mayor</w:t>
            </w:r>
          </w:p>
        </w:tc>
      </w:tr>
      <w:tr>
        <w:trPr>
          <w:trHeight w:val="253" w:hRule="exact"/>
        </w:trPr>
        <w:tc>
          <w:tcPr>
            <w:tcW w:w="1385" w:type="dxa"/>
            <w:tcBorders>
              <w:top w:val="nil"/>
              <w:bottom w:val="nil"/>
            </w:tcBorders>
          </w:tcPr>
          <w:p>
            <w:pPr>
              <w:pStyle w:val="TableParagraph"/>
              <w:spacing w:line="241" w:lineRule="exact"/>
              <w:rPr>
                <w:sz w:val="22"/>
              </w:rPr>
            </w:pPr>
            <w:r>
              <w:rPr>
                <w:sz w:val="22"/>
              </w:rPr>
              <w:t>(24/II/2014)</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Ambiente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(autopista) tal parece</w:t>
            </w:r>
          </w:p>
        </w:tc>
        <w:tc>
          <w:tcPr>
            <w:tcW w:w="3901" w:type="dxa"/>
            <w:tcBorders>
              <w:top w:val="nil"/>
              <w:bottom w:val="nil"/>
            </w:tcBorders>
          </w:tcPr>
          <w:p>
            <w:pPr>
              <w:pStyle w:val="TableParagraph"/>
              <w:spacing w:line="241" w:lineRule="exact"/>
              <w:rPr>
                <w:sz w:val="22"/>
              </w:rPr>
            </w:pPr>
            <w:r>
              <w:rPr>
                <w:sz w:val="22"/>
              </w:rPr>
              <w:t>parte de la laguna está en Timilpan.</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98" w:val="left" w:leader="none"/>
                <w:tab w:pos="1956" w:val="left" w:leader="none"/>
              </w:tabs>
              <w:spacing w:line="242" w:lineRule="exact"/>
              <w:ind w:left="100"/>
              <w:rPr>
                <w:sz w:val="22"/>
              </w:rPr>
            </w:pPr>
            <w:r>
              <w:rPr>
                <w:sz w:val="22"/>
              </w:rPr>
              <w:t>que</w:t>
              <w:tab/>
              <w:t>estamos</w:t>
              <w:tab/>
              <w:t>en</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1" w:lineRule="exact"/>
              <w:ind w:left="100"/>
              <w:rPr>
                <w:sz w:val="22"/>
              </w:rPr>
            </w:pPr>
            <w:r>
              <w:rPr>
                <w:sz w:val="22"/>
              </w:rPr>
              <w:t>Nueva York.</w:t>
            </w: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Jazith</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spacing w:line="251" w:lineRule="exact"/>
              <w:rPr>
                <w:sz w:val="22"/>
              </w:rPr>
            </w:pPr>
            <w:r>
              <w:rPr>
                <w:sz w:val="22"/>
              </w:rPr>
              <w:t>Sexto Regidor.</w:t>
            </w:r>
          </w:p>
        </w:tc>
        <w:tc>
          <w:tcPr>
            <w:tcW w:w="1289" w:type="dxa"/>
            <w:tcBorders>
              <w:bottom w:val="nil"/>
            </w:tcBorders>
          </w:tcPr>
          <w:p>
            <w:pPr>
              <w:pStyle w:val="TableParagraph"/>
              <w:spacing w:line="251" w:lineRule="exact"/>
              <w:ind w:left="155"/>
              <w:rPr>
                <w:sz w:val="22"/>
              </w:rPr>
            </w:pPr>
            <w:r>
              <w:rPr>
                <w:sz w:val="22"/>
              </w:rPr>
              <w:t>Atlacomul</w:t>
            </w:r>
          </w:p>
        </w:tc>
        <w:tc>
          <w:tcPr>
            <w:tcW w:w="1174" w:type="dxa"/>
            <w:tcBorders>
              <w:bottom w:val="nil"/>
            </w:tcBorders>
          </w:tcPr>
          <w:p>
            <w:pPr>
              <w:pStyle w:val="TableParagraph"/>
              <w:spacing w:line="251" w:lineRule="exact"/>
              <w:ind w:left="165"/>
              <w:rPr>
                <w:sz w:val="22"/>
              </w:rPr>
            </w:pPr>
            <w:r>
              <w:rPr>
                <w:sz w:val="22"/>
              </w:rPr>
              <w:t>Timilpan</w:t>
            </w:r>
          </w:p>
        </w:tc>
        <w:tc>
          <w:tcPr>
            <w:tcW w:w="2314" w:type="dxa"/>
            <w:tcBorders>
              <w:bottom w:val="nil"/>
            </w:tcBorders>
          </w:tcPr>
          <w:p>
            <w:pPr>
              <w:pStyle w:val="TableParagraph"/>
              <w:tabs>
                <w:tab w:pos="2029" w:val="left" w:leader="none"/>
              </w:tabs>
              <w:spacing w:line="251" w:lineRule="exact"/>
              <w:ind w:left="100"/>
              <w:rPr>
                <w:sz w:val="22"/>
              </w:rPr>
            </w:pPr>
            <w:r>
              <w:rPr>
                <w:sz w:val="22"/>
              </w:rPr>
              <w:t>Económicamente</w:t>
              <w:tab/>
              <w:t>la</w:t>
            </w:r>
          </w:p>
        </w:tc>
        <w:tc>
          <w:tcPr>
            <w:tcW w:w="3901" w:type="dxa"/>
            <w:tcBorders>
              <w:bottom w:val="nil"/>
            </w:tcBorders>
          </w:tcPr>
          <w:p>
            <w:pPr>
              <w:pStyle w:val="TableParagraph"/>
              <w:spacing w:line="251" w:lineRule="exact"/>
              <w:rPr>
                <w:sz w:val="22"/>
              </w:rPr>
            </w:pPr>
            <w:r>
              <w:rPr>
                <w:sz w:val="22"/>
              </w:rPr>
              <w:t>Sí,  pero  urgente  porque  se   podría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Salazar</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Presidente  de la</w:t>
            </w:r>
          </w:p>
        </w:tc>
        <w:tc>
          <w:tcPr>
            <w:tcW w:w="1289" w:type="dxa"/>
            <w:tcBorders>
              <w:top w:val="nil"/>
              <w:bottom w:val="nil"/>
            </w:tcBorders>
          </w:tcPr>
          <w:p>
            <w:pPr>
              <w:pStyle w:val="TableParagraph"/>
              <w:spacing w:line="241" w:lineRule="exact"/>
              <w:ind w:left="136" w:right="136"/>
              <w:jc w:val="center"/>
              <w:rPr>
                <w:sz w:val="22"/>
              </w:rPr>
            </w:pPr>
            <w:r>
              <w:rPr>
                <w:sz w:val="22"/>
              </w:rPr>
              <w:t>co</w:t>
            </w: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pesca,  fauna, mayor</w:t>
            </w:r>
          </w:p>
        </w:tc>
        <w:tc>
          <w:tcPr>
            <w:tcW w:w="3901" w:type="dxa"/>
            <w:tcBorders>
              <w:top w:val="nil"/>
              <w:bottom w:val="nil"/>
            </w:tcBorders>
          </w:tcPr>
          <w:p>
            <w:pPr>
              <w:pStyle w:val="TableParagraph"/>
              <w:tabs>
                <w:tab w:pos="1007" w:val="left" w:leader="none"/>
                <w:tab w:pos="1457" w:val="left" w:leader="none"/>
                <w:tab w:pos="2031" w:val="left" w:leader="none"/>
                <w:tab w:pos="2355" w:val="left" w:leader="none"/>
                <w:tab w:pos="3552" w:val="left" w:leader="none"/>
              </w:tabs>
              <w:spacing w:line="241" w:lineRule="exact"/>
              <w:rPr>
                <w:sz w:val="22"/>
              </w:rPr>
            </w:pPr>
            <w:r>
              <w:rPr>
                <w:sz w:val="22"/>
              </w:rPr>
              <w:t>regular</w:t>
              <w:tab/>
              <w:t>su</w:t>
              <w:tab/>
              <w:t>uso</w:t>
              <w:tab/>
              <w:t>y</w:t>
              <w:tab/>
              <w:t>garantizar</w:t>
              <w:tab/>
              <w:t>su</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274" w:type="dxa"/>
            <w:tcBorders>
              <w:top w:val="nil"/>
              <w:bottom w:val="nil"/>
            </w:tcBorders>
          </w:tcPr>
          <w:p>
            <w:pPr>
              <w:pStyle w:val="TableParagraph"/>
              <w:spacing w:line="242" w:lineRule="exact"/>
              <w:ind w:left="100"/>
              <w:rPr>
                <w:sz w:val="22"/>
              </w:rPr>
            </w:pPr>
            <w:r>
              <w:rPr>
                <w:sz w:val="22"/>
              </w:rPr>
              <w:t>Educación</w:t>
            </w:r>
          </w:p>
        </w:tc>
        <w:tc>
          <w:tcPr>
            <w:tcW w:w="1887" w:type="dxa"/>
            <w:tcBorders>
              <w:top w:val="nil"/>
              <w:bottom w:val="nil"/>
            </w:tcBorders>
          </w:tcPr>
          <w:p>
            <w:pPr>
              <w:pStyle w:val="TableParagraph"/>
              <w:spacing w:line="242" w:lineRule="exact"/>
              <w:rPr>
                <w:sz w:val="22"/>
              </w:rPr>
            </w:pPr>
            <w:r>
              <w:rPr>
                <w:sz w:val="22"/>
              </w:rPr>
              <w:t>Comisión </w:t>
            </w:r>
            <w:r>
              <w:rPr>
                <w:spacing w:val="51"/>
                <w:sz w:val="22"/>
              </w:rPr>
              <w:t> </w:t>
            </w:r>
            <w:r>
              <w:rPr>
                <w:sz w:val="22"/>
              </w:rPr>
              <w:t>Agua,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41" w:val="left" w:leader="none"/>
              </w:tabs>
              <w:spacing w:line="242" w:lineRule="exact"/>
              <w:ind w:left="100"/>
              <w:rPr>
                <w:sz w:val="22"/>
              </w:rPr>
            </w:pPr>
            <w:r>
              <w:rPr>
                <w:sz w:val="22"/>
              </w:rPr>
              <w:t>humedad,</w:t>
              <w:tab/>
              <w:t>generar</w:t>
            </w:r>
          </w:p>
        </w:tc>
        <w:tc>
          <w:tcPr>
            <w:tcW w:w="3901" w:type="dxa"/>
            <w:tcBorders>
              <w:top w:val="nil"/>
              <w:bottom w:val="nil"/>
            </w:tcBorders>
          </w:tcPr>
          <w:p>
            <w:pPr>
              <w:pStyle w:val="TableParagraph"/>
              <w:tabs>
                <w:tab w:pos="1952" w:val="left" w:leader="none"/>
                <w:tab w:pos="2576" w:val="left" w:leader="none"/>
                <w:tab w:pos="3128" w:val="left" w:leader="none"/>
              </w:tabs>
              <w:spacing w:line="242" w:lineRule="exact"/>
              <w:rPr>
                <w:sz w:val="22"/>
              </w:rPr>
            </w:pPr>
            <w:r>
              <w:rPr>
                <w:sz w:val="22"/>
              </w:rPr>
              <w:t>sustentabilidad</w:t>
              <w:tab/>
              <w:t>de</w:t>
              <w:tab/>
              <w:t>la</w:t>
              <w:tab/>
              <w:t>laguna</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Primaria</w:t>
            </w:r>
          </w:p>
        </w:tc>
        <w:tc>
          <w:tcPr>
            <w:tcW w:w="1887" w:type="dxa"/>
            <w:tcBorders>
              <w:top w:val="nil"/>
              <w:bottom w:val="nil"/>
            </w:tcBorders>
          </w:tcPr>
          <w:p>
            <w:pPr>
              <w:pStyle w:val="TableParagraph"/>
              <w:tabs>
                <w:tab w:pos="1664" w:val="left" w:leader="none"/>
              </w:tabs>
              <w:spacing w:line="241" w:lineRule="exact"/>
              <w:rPr>
                <w:sz w:val="22"/>
              </w:rPr>
            </w:pPr>
            <w:r>
              <w:rPr>
                <w:sz w:val="22"/>
              </w:rPr>
              <w:t>Drenaje</w:t>
              <w:tab/>
              <w:t>y</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un ciclo ambiental.</w:t>
            </w:r>
          </w:p>
        </w:tc>
        <w:tc>
          <w:tcPr>
            <w:tcW w:w="3901" w:type="dxa"/>
            <w:tcBorders>
              <w:top w:val="nil"/>
              <w:bottom w:val="nil"/>
            </w:tcBorders>
          </w:tcPr>
          <w:p>
            <w:pPr>
              <w:pStyle w:val="TableParagraph"/>
              <w:tabs>
                <w:tab w:pos="1838" w:val="left" w:leader="none"/>
                <w:tab w:pos="3095" w:val="left" w:leader="none"/>
                <w:tab w:pos="3555" w:val="left" w:leader="none"/>
              </w:tabs>
              <w:spacing w:line="241" w:lineRule="exact"/>
              <w:rPr>
                <w:sz w:val="22"/>
              </w:rPr>
            </w:pPr>
            <w:r>
              <w:rPr>
                <w:sz w:val="22"/>
              </w:rPr>
              <w:t>preservándola</w:t>
              <w:tab/>
              <w:t>conforme</w:t>
              <w:tab/>
              <w:t>a</w:t>
              <w:tab/>
              <w:t>su</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(24/I/2015)</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Alcantarillado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naturaleza,  haber  acciones  para</w:t>
            </w:r>
            <w:r>
              <w:rPr>
                <w:spacing w:val="55"/>
                <w:sz w:val="22"/>
              </w:rPr>
              <w:t> </w:t>
            </w:r>
            <w:r>
              <w:rPr>
                <w:sz w:val="22"/>
              </w:rPr>
              <w:t>su</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preservación   y   uso   equitativo  del</w:t>
            </w: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1" w:lineRule="exact"/>
              <w:rPr>
                <w:sz w:val="22"/>
              </w:rPr>
            </w:pPr>
            <w:r>
              <w:rPr>
                <w:sz w:val="22"/>
              </w:rPr>
              <w:t>líquido.</w:t>
            </w:r>
          </w:p>
        </w:tc>
      </w:tr>
      <w:tr>
        <w:trPr>
          <w:trHeight w:val="267" w:hRule="exact"/>
        </w:trPr>
        <w:tc>
          <w:tcPr>
            <w:tcW w:w="1385" w:type="dxa"/>
            <w:tcBorders>
              <w:bottom w:val="nil"/>
            </w:tcBorders>
          </w:tcPr>
          <w:p>
            <w:pPr>
              <w:pStyle w:val="TableParagraph"/>
              <w:spacing w:line="251" w:lineRule="exact"/>
              <w:ind w:right="127"/>
              <w:rPr>
                <w:sz w:val="22"/>
              </w:rPr>
            </w:pPr>
            <w:r>
              <w:rPr>
                <w:sz w:val="22"/>
              </w:rPr>
              <w:t>Armando</w:t>
            </w:r>
          </w:p>
        </w:tc>
        <w:tc>
          <w:tcPr>
            <w:tcW w:w="1274" w:type="dxa"/>
            <w:tcBorders>
              <w:bottom w:val="nil"/>
            </w:tcBorders>
          </w:tcPr>
          <w:p>
            <w:pP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ind w:left="345"/>
              <w:rPr>
                <w:sz w:val="22"/>
              </w:rPr>
            </w:pPr>
            <w:r>
              <w:rPr>
                <w:sz w:val="22"/>
              </w:rPr>
              <w:t>Barrio</w:t>
            </w:r>
          </w:p>
        </w:tc>
        <w:tc>
          <w:tcPr>
            <w:tcW w:w="1174" w:type="dxa"/>
            <w:tcBorders>
              <w:bottom w:val="nil"/>
            </w:tcBorders>
          </w:tcPr>
          <w:p>
            <w:pPr>
              <w:pStyle w:val="TableParagraph"/>
              <w:spacing w:line="251" w:lineRule="exact"/>
              <w:ind w:left="165"/>
              <w:rPr>
                <w:sz w:val="22"/>
              </w:rPr>
            </w:pPr>
            <w:r>
              <w:rPr>
                <w:sz w:val="22"/>
              </w:rPr>
              <w:t>Timilpan</w:t>
            </w:r>
          </w:p>
        </w:tc>
        <w:tc>
          <w:tcPr>
            <w:tcW w:w="2314" w:type="dxa"/>
            <w:tcBorders>
              <w:bottom w:val="nil"/>
            </w:tcBorders>
          </w:tcPr>
          <w:p>
            <w:pPr>
              <w:pStyle w:val="TableParagraph"/>
              <w:tabs>
                <w:tab w:pos="1146" w:val="left" w:leader="none"/>
                <w:tab w:pos="1906" w:val="left" w:leader="none"/>
              </w:tabs>
              <w:spacing w:line="251" w:lineRule="exact"/>
              <w:ind w:left="100"/>
              <w:rPr>
                <w:sz w:val="22"/>
              </w:rPr>
            </w:pPr>
            <w:r>
              <w:rPr>
                <w:sz w:val="22"/>
              </w:rPr>
              <w:t>Ninguno</w:t>
              <w:tab/>
              <w:t>como</w:t>
              <w:tab/>
              <w:t>tal,</w:t>
            </w:r>
          </w:p>
        </w:tc>
        <w:tc>
          <w:tcPr>
            <w:tcW w:w="3901" w:type="dxa"/>
            <w:tcBorders>
              <w:bottom w:val="nil"/>
            </w:tcBorders>
          </w:tcPr>
          <w:p>
            <w:pPr>
              <w:pStyle w:val="TableParagraph"/>
              <w:spacing w:line="251" w:lineRule="exact"/>
              <w:rPr>
                <w:sz w:val="22"/>
              </w:rPr>
            </w:pPr>
            <w:r>
              <w:rPr>
                <w:sz w:val="22"/>
              </w:rPr>
              <w:t>No porque eso lo regula la Conagua.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Matías</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Style w:val="TableParagraph"/>
              <w:spacing w:line="241" w:lineRule="exact"/>
              <w:ind w:left="239"/>
              <w:rPr>
                <w:sz w:val="22"/>
              </w:rPr>
            </w:pPr>
            <w:r>
              <w:rPr>
                <w:sz w:val="22"/>
              </w:rPr>
              <w:t>Iturbide,</w:t>
            </w:r>
          </w:p>
        </w:tc>
        <w:tc>
          <w:tcPr>
            <w:tcW w:w="1174" w:type="dxa"/>
            <w:tcBorders>
              <w:top w:val="nil"/>
              <w:bottom w:val="nil"/>
            </w:tcBorders>
          </w:tcPr>
          <w:p>
            <w:pPr>
              <w:pStyle w:val="TableParagraph"/>
              <w:spacing w:line="241" w:lineRule="exact"/>
              <w:ind w:left="165"/>
              <w:rPr>
                <w:sz w:val="22"/>
              </w:rPr>
            </w:pPr>
            <w:r>
              <w:rPr>
                <w:sz w:val="22"/>
              </w:rPr>
              <w:t>y Toluca</w:t>
            </w:r>
          </w:p>
        </w:tc>
        <w:tc>
          <w:tcPr>
            <w:tcW w:w="2314" w:type="dxa"/>
            <w:tcBorders>
              <w:top w:val="nil"/>
              <w:bottom w:val="nil"/>
            </w:tcBorders>
          </w:tcPr>
          <w:p>
            <w:pPr>
              <w:pStyle w:val="TableParagraph"/>
              <w:spacing w:line="241" w:lineRule="exact"/>
              <w:ind w:left="100"/>
              <w:rPr>
                <w:sz w:val="22"/>
              </w:rPr>
            </w:pPr>
            <w:r>
              <w:rPr>
                <w:sz w:val="22"/>
              </w:rPr>
              <w:t>porque  se  llevan   el</w:t>
            </w:r>
          </w:p>
        </w:tc>
        <w:tc>
          <w:tcPr>
            <w:tcW w:w="3901" w:type="dxa"/>
            <w:tcBorders>
              <w:top w:val="nil"/>
              <w:bottom w:val="nil"/>
            </w:tcBorders>
          </w:tcPr>
          <w:p>
            <w:pPr/>
          </w:p>
        </w:tc>
      </w:tr>
      <w:tr>
        <w:trPr>
          <w:trHeight w:val="379" w:hRule="exact"/>
        </w:trPr>
        <w:tc>
          <w:tcPr>
            <w:tcW w:w="1385" w:type="dxa"/>
            <w:tcBorders>
              <w:top w:val="nil"/>
              <w:bottom w:val="nil"/>
            </w:tcBorders>
          </w:tcPr>
          <w:p>
            <w:pPr>
              <w:pStyle w:val="TableParagraph"/>
              <w:spacing w:line="242" w:lineRule="exact"/>
              <w:ind w:right="127"/>
              <w:rPr>
                <w:sz w:val="22"/>
              </w:rPr>
            </w:pPr>
            <w:r>
              <w:rPr>
                <w:sz w:val="22"/>
              </w:rPr>
              <w:t>Lucas</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spacing w:line="242" w:lineRule="exact"/>
              <w:rPr>
                <w:sz w:val="22"/>
              </w:rPr>
            </w:pPr>
            <w:r>
              <w:rPr>
                <w:sz w:val="22"/>
              </w:rPr>
              <w:t>Agropecuario</w:t>
            </w:r>
          </w:p>
        </w:tc>
        <w:tc>
          <w:tcPr>
            <w:tcW w:w="1289" w:type="dxa"/>
            <w:tcBorders>
              <w:top w:val="nil"/>
              <w:bottom w:val="nil"/>
            </w:tcBorders>
          </w:tcPr>
          <w:p>
            <w:pPr>
              <w:pStyle w:val="TableParagraph"/>
              <w:spacing w:line="242" w:lineRule="exact"/>
              <w:ind w:left="223"/>
              <w:rPr>
                <w:sz w:val="22"/>
              </w:rPr>
            </w:pPr>
            <w:r>
              <w:rPr>
                <w:sz w:val="22"/>
              </w:rPr>
              <w:t>Timilpan</w:t>
            </w: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agua.</w:t>
            </w:r>
          </w:p>
        </w:tc>
        <w:tc>
          <w:tcPr>
            <w:tcW w:w="3901" w:type="dxa"/>
            <w:tcBorders>
              <w:top w:val="nil"/>
              <w:bottom w:val="nil"/>
            </w:tcBorders>
          </w:tcPr>
          <w:p>
            <w:pPr/>
          </w:p>
        </w:tc>
      </w:tr>
      <w:tr>
        <w:trPr>
          <w:trHeight w:val="376" w:hRule="exact"/>
        </w:trPr>
        <w:tc>
          <w:tcPr>
            <w:tcW w:w="1385" w:type="dxa"/>
            <w:tcBorders>
              <w:top w:val="nil"/>
            </w:tcBorders>
          </w:tcPr>
          <w:p>
            <w:pPr>
              <w:pStyle w:val="TableParagraph"/>
              <w:spacing w:before="114"/>
              <w:ind w:left="155"/>
              <w:rPr>
                <w:sz w:val="22"/>
              </w:rPr>
            </w:pPr>
            <w:r>
              <w:rPr>
                <w:sz w:val="22"/>
              </w:rPr>
              <w:t>(17/I/2015)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r>
        <w:trPr>
          <w:trHeight w:val="266" w:hRule="exact"/>
        </w:trPr>
        <w:tc>
          <w:tcPr>
            <w:tcW w:w="1385" w:type="dxa"/>
            <w:tcBorders>
              <w:bottom w:val="nil"/>
            </w:tcBorders>
          </w:tcPr>
          <w:p>
            <w:pPr>
              <w:pStyle w:val="TableParagraph"/>
              <w:spacing w:line="251" w:lineRule="exact"/>
              <w:rPr>
                <w:sz w:val="22"/>
              </w:rPr>
            </w:pPr>
            <w:r>
              <w:rPr>
                <w:sz w:val="22"/>
              </w:rPr>
              <w:t>Alfonso   de</w:t>
            </w:r>
          </w:p>
        </w:tc>
        <w:tc>
          <w:tcPr>
            <w:tcW w:w="1274" w:type="dxa"/>
            <w:tcBorders>
              <w:bottom w:val="nil"/>
            </w:tcBorders>
          </w:tcPr>
          <w:p>
            <w:pPr/>
          </w:p>
        </w:tc>
        <w:tc>
          <w:tcPr>
            <w:tcW w:w="1887" w:type="dxa"/>
            <w:tcBorders>
              <w:bottom w:val="nil"/>
            </w:tcBorders>
          </w:tcPr>
          <w:p>
            <w:pPr>
              <w:pStyle w:val="TableParagraph"/>
              <w:tabs>
                <w:tab w:pos="1527" w:val="left" w:leader="none"/>
              </w:tabs>
              <w:spacing w:line="251" w:lineRule="exact"/>
              <w:rPr>
                <w:sz w:val="22"/>
              </w:rPr>
            </w:pPr>
            <w:r>
              <w:rPr>
                <w:sz w:val="22"/>
              </w:rPr>
              <w:t>Director</w:t>
              <w:tab/>
              <w:t>de</w:t>
            </w:r>
          </w:p>
        </w:tc>
        <w:tc>
          <w:tcPr>
            <w:tcW w:w="1289" w:type="dxa"/>
            <w:tcBorders>
              <w:bottom w:val="nil"/>
            </w:tcBorders>
          </w:tcPr>
          <w:p>
            <w:pPr>
              <w:pStyle w:val="TableParagraph"/>
              <w:spacing w:line="251" w:lineRule="exact"/>
              <w:ind w:left="223"/>
              <w:rPr>
                <w:sz w:val="22"/>
              </w:rPr>
            </w:pPr>
            <w:r>
              <w:rPr>
                <w:sz w:val="22"/>
              </w:rPr>
              <w:t>Timilpan</w:t>
            </w:r>
          </w:p>
        </w:tc>
        <w:tc>
          <w:tcPr>
            <w:tcW w:w="1174" w:type="dxa"/>
            <w:tcBorders>
              <w:bottom w:val="nil"/>
            </w:tcBorders>
          </w:tcPr>
          <w:p>
            <w:pPr>
              <w:pStyle w:val="TableParagraph"/>
              <w:spacing w:line="251" w:lineRule="exact"/>
              <w:ind w:left="165"/>
              <w:rPr>
                <w:sz w:val="22"/>
              </w:rPr>
            </w:pPr>
            <w:r>
              <w:rPr>
                <w:sz w:val="22"/>
              </w:rPr>
              <w:t>Timilpan</w:t>
            </w:r>
          </w:p>
        </w:tc>
        <w:tc>
          <w:tcPr>
            <w:tcW w:w="2314" w:type="dxa"/>
            <w:tcBorders>
              <w:bottom w:val="nil"/>
            </w:tcBorders>
          </w:tcPr>
          <w:p>
            <w:pPr>
              <w:pStyle w:val="TableParagraph"/>
              <w:tabs>
                <w:tab w:pos="1108" w:val="left" w:leader="none"/>
                <w:tab w:pos="1919" w:val="left" w:leader="none"/>
              </w:tabs>
              <w:spacing w:line="251" w:lineRule="exact"/>
              <w:ind w:left="100"/>
              <w:rPr>
                <w:sz w:val="22"/>
              </w:rPr>
            </w:pPr>
            <w:r>
              <w:rPr>
                <w:sz w:val="22"/>
              </w:rPr>
              <w:t>Está</w:t>
              <w:tab/>
              <w:t>en</w:t>
              <w:tab/>
              <w:t>las</w:t>
            </w:r>
          </w:p>
        </w:tc>
        <w:tc>
          <w:tcPr>
            <w:tcW w:w="3901" w:type="dxa"/>
            <w:tcBorders>
              <w:bottom w:val="nil"/>
            </w:tcBorders>
          </w:tcPr>
          <w:p>
            <w:pPr>
              <w:pStyle w:val="TableParagraph"/>
              <w:spacing w:line="251" w:lineRule="exact"/>
              <w:rPr>
                <w:sz w:val="22"/>
              </w:rPr>
            </w:pPr>
            <w:r>
              <w:rPr>
                <w:sz w:val="22"/>
              </w:rPr>
              <w:t>Sí para que se le dé un buen uso.</w:t>
            </w:r>
          </w:p>
        </w:tc>
      </w:tr>
      <w:tr>
        <w:trPr>
          <w:trHeight w:val="253" w:hRule="exact"/>
        </w:trPr>
        <w:tc>
          <w:tcPr>
            <w:tcW w:w="1385" w:type="dxa"/>
            <w:tcBorders>
              <w:top w:val="nil"/>
              <w:bottom w:val="nil"/>
            </w:tcBorders>
          </w:tcPr>
          <w:p>
            <w:pPr>
              <w:pStyle w:val="TableParagraph"/>
              <w:tabs>
                <w:tab w:pos="806" w:val="left" w:leader="none"/>
              </w:tabs>
              <w:spacing w:line="241" w:lineRule="exact"/>
              <w:rPr>
                <w:sz w:val="22"/>
              </w:rPr>
            </w:pPr>
            <w:r>
              <w:rPr>
                <w:sz w:val="22"/>
              </w:rPr>
              <w:t>la</w:t>
              <w:tab/>
              <w:t>Cruz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8" w:val="left" w:leader="none"/>
              </w:tabs>
              <w:spacing w:line="241" w:lineRule="exact"/>
              <w:ind w:left="100"/>
              <w:rPr>
                <w:sz w:val="22"/>
              </w:rPr>
            </w:pPr>
            <w:r>
              <w:rPr>
                <w:sz w:val="22"/>
              </w:rPr>
              <w:t>comunidades</w:t>
              <w:tab/>
              <w:t>de</w:t>
            </w:r>
          </w:p>
        </w:tc>
        <w:tc>
          <w:tcPr>
            <w:tcW w:w="3901" w:type="dxa"/>
            <w:tcBorders>
              <w:top w:val="nil"/>
              <w:bottom w:val="nil"/>
            </w:tcBorders>
          </w:tcPr>
          <w:p>
            <w:pPr>
              <w:pStyle w:val="TableParagraph"/>
              <w:spacing w:line="241" w:lineRule="exact"/>
              <w:rPr>
                <w:sz w:val="22"/>
              </w:rPr>
            </w:pPr>
            <w:r>
              <w:rPr>
                <w:sz w:val="22"/>
              </w:rPr>
              <w:t>Antes era un buen negocio la   pesca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Andrés</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spacing w:line="242" w:lineRule="exact"/>
              <w:rPr>
                <w:sz w:val="22"/>
              </w:rPr>
            </w:pPr>
            <w:r>
              <w:rPr>
                <w:sz w:val="22"/>
              </w:rPr>
              <w:t>Económico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4" w:val="left" w:leader="none"/>
              </w:tabs>
              <w:spacing w:line="242" w:lineRule="exact"/>
              <w:ind w:left="100"/>
              <w:rPr>
                <w:sz w:val="22"/>
              </w:rPr>
            </w:pPr>
            <w:r>
              <w:rPr>
                <w:sz w:val="22"/>
              </w:rPr>
              <w:t>Zaragoza,</w:t>
              <w:tab/>
              <w:t>La</w:t>
            </w:r>
          </w:p>
        </w:tc>
        <w:tc>
          <w:tcPr>
            <w:tcW w:w="3901" w:type="dxa"/>
            <w:tcBorders>
              <w:top w:val="nil"/>
              <w:bottom w:val="nil"/>
            </w:tcBorders>
          </w:tcPr>
          <w:p>
            <w:pPr>
              <w:pStyle w:val="TableParagraph"/>
              <w:spacing w:line="242" w:lineRule="exact"/>
              <w:rPr>
                <w:sz w:val="22"/>
              </w:rPr>
            </w:pPr>
            <w:r>
              <w:rPr>
                <w:sz w:val="22"/>
              </w:rPr>
              <w:t>porque hay empleo, hay   movimiento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92" w:val="left" w:leader="none"/>
              </w:tabs>
              <w:spacing w:line="241" w:lineRule="exact"/>
              <w:ind w:left="100"/>
              <w:rPr>
                <w:sz w:val="22"/>
              </w:rPr>
            </w:pPr>
            <w:r>
              <w:rPr>
                <w:sz w:val="22"/>
              </w:rPr>
              <w:t>Campesina</w:t>
              <w:tab/>
              <w:t>y</w:t>
            </w:r>
          </w:p>
        </w:tc>
        <w:tc>
          <w:tcPr>
            <w:tcW w:w="3901" w:type="dxa"/>
            <w:tcBorders>
              <w:top w:val="nil"/>
              <w:bottom w:val="nil"/>
            </w:tcBorders>
          </w:tcPr>
          <w:p>
            <w:pPr>
              <w:pStyle w:val="TableParagraph"/>
              <w:spacing w:line="241" w:lineRule="exact"/>
              <w:rPr>
                <w:sz w:val="22"/>
              </w:rPr>
            </w:pPr>
            <w:r>
              <w:rPr>
                <w:sz w:val="22"/>
              </w:rPr>
              <w:t>de la economía, pero todo mundo  ha</w:t>
            </w:r>
          </w:p>
        </w:tc>
      </w:tr>
      <w:tr>
        <w:trPr>
          <w:trHeight w:val="254" w:hRule="exact"/>
        </w:trPr>
        <w:tc>
          <w:tcPr>
            <w:tcW w:w="1385" w:type="dxa"/>
            <w:tcBorders>
              <w:top w:val="nil"/>
              <w:bottom w:val="nil"/>
            </w:tcBorders>
          </w:tcPr>
          <w:p>
            <w:pPr>
              <w:pStyle w:val="TableParagraph"/>
              <w:spacing w:line="242" w:lineRule="exact"/>
              <w:ind w:right="127"/>
              <w:rPr>
                <w:sz w:val="22"/>
              </w:rPr>
            </w:pPr>
            <w:r>
              <w:rPr>
                <w:sz w:val="22"/>
              </w:rPr>
              <w:t>(13/I/2015)</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57" w:val="left" w:leader="none"/>
                <w:tab w:pos="1969" w:val="left" w:leader="none"/>
              </w:tabs>
              <w:spacing w:line="242" w:lineRule="exact"/>
              <w:ind w:left="100"/>
              <w:rPr>
                <w:sz w:val="22"/>
              </w:rPr>
            </w:pPr>
            <w:r>
              <w:rPr>
                <w:sz w:val="22"/>
              </w:rPr>
              <w:t>Huapango</w:t>
              <w:tab/>
              <w:t>que</w:t>
              <w:tab/>
              <w:t>se</w:t>
            </w:r>
          </w:p>
        </w:tc>
        <w:tc>
          <w:tcPr>
            <w:tcW w:w="3901" w:type="dxa"/>
            <w:tcBorders>
              <w:top w:val="nil"/>
              <w:bottom w:val="nil"/>
            </w:tcBorders>
          </w:tcPr>
          <w:p>
            <w:pPr>
              <w:pStyle w:val="TableParagraph"/>
              <w:spacing w:line="242" w:lineRule="exact"/>
              <w:rPr>
                <w:sz w:val="22"/>
              </w:rPr>
            </w:pPr>
            <w:r>
              <w:rPr>
                <w:sz w:val="22"/>
              </w:rPr>
              <w:t>hecho   lo   que   ha   querido   con</w:t>
            </w:r>
            <w:r>
              <w:rPr>
                <w:spacing w:val="52"/>
                <w:sz w:val="22"/>
              </w:rPr>
              <w:t> </w:t>
            </w:r>
            <w:r>
              <w:rPr>
                <w:sz w:val="22"/>
              </w:rPr>
              <w:t>la</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dedican a la pesca.</w:t>
            </w:r>
          </w:p>
        </w:tc>
        <w:tc>
          <w:tcPr>
            <w:tcW w:w="3901" w:type="dxa"/>
            <w:tcBorders>
              <w:top w:val="nil"/>
              <w:bottom w:val="nil"/>
            </w:tcBorders>
          </w:tcPr>
          <w:p>
            <w:pPr>
              <w:pStyle w:val="TableParagraph"/>
              <w:spacing w:line="241" w:lineRule="exact"/>
              <w:rPr>
                <w:sz w:val="22"/>
              </w:rPr>
            </w:pPr>
            <w:r>
              <w:rPr>
                <w:sz w:val="22"/>
              </w:rPr>
              <w:t>laguna, si hubiera un control,   habría</w:t>
            </w: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1" w:lineRule="exact"/>
              <w:rPr>
                <w:sz w:val="22"/>
              </w:rPr>
            </w:pPr>
            <w:r>
              <w:rPr>
                <w:sz w:val="22"/>
              </w:rPr>
              <w:t>recursos, sino se van acabando.</w:t>
            </w: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pgSz w:w="15840" w:h="12240" w:orient="landscape"/>
          <w:pgMar w:header="0" w:footer="943" w:top="1140" w:bottom="1200" w:left="1200" w:right="1180"/>
        </w:sectPr>
      </w:pPr>
    </w:p>
    <w:p>
      <w:pPr>
        <w:pStyle w:val="BodyText"/>
        <w:rPr>
          <w:sz w:val="20"/>
        </w:rPr>
      </w:pPr>
    </w:p>
    <w:p>
      <w:pPr>
        <w:pStyle w:val="BodyText"/>
        <w:spacing w:before="1"/>
      </w:pPr>
    </w:p>
    <w:p>
      <w:pPr>
        <w:pStyle w:val="Heading6"/>
        <w:spacing w:before="73" w:after="4"/>
        <w:ind w:left="2270" w:right="778"/>
      </w:pPr>
      <w:r>
        <w:rPr/>
        <w:t>Tabla 6.13. Municipio de Timilpan (Autoridades Municipales)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6215"/>
      </w:tblGrid>
      <w:tr>
        <w:trPr>
          <w:trHeight w:val="292" w:hRule="exact"/>
        </w:trPr>
        <w:tc>
          <w:tcPr>
            <w:tcW w:w="13224" w:type="dxa"/>
            <w:gridSpan w:val="6"/>
            <w:shd w:val="clear" w:color="auto" w:fill="9BBA58"/>
          </w:tcPr>
          <w:p>
            <w:pPr>
              <w:pStyle w:val="TableParagraph"/>
              <w:spacing w:line="248" w:lineRule="exact"/>
              <w:ind w:left="4869" w:right="4870"/>
              <w:jc w:val="center"/>
              <w:rPr>
                <w:b/>
                <w:sz w:val="22"/>
              </w:rPr>
            </w:pPr>
            <w:r>
              <w:rPr>
                <w:b/>
                <w:sz w:val="22"/>
              </w:rPr>
              <w:t>TIMILPAN</w:t>
            </w:r>
          </w:p>
        </w:tc>
      </w:tr>
      <w:tr>
        <w:trPr>
          <w:trHeight w:val="524" w:hRule="exact"/>
        </w:trPr>
        <w:tc>
          <w:tcPr>
            <w:tcW w:w="4547" w:type="dxa"/>
            <w:gridSpan w:val="3"/>
            <w:vMerge w:val="restart"/>
            <w:shd w:val="clear" w:color="auto" w:fill="F9BE8F"/>
          </w:tcPr>
          <w:p>
            <w:pPr>
              <w:pStyle w:val="TableParagraph"/>
              <w:spacing w:before="6"/>
              <w:ind w:left="0"/>
              <w:rPr>
                <w:b/>
                <w:sz w:val="21"/>
              </w:rPr>
            </w:pPr>
          </w:p>
          <w:p>
            <w:pPr>
              <w:pStyle w:val="TableParagraph"/>
              <w:spacing w:before="1"/>
              <w:ind w:left="703" w:right="141"/>
              <w:rPr>
                <w:b/>
                <w:sz w:val="22"/>
              </w:rPr>
            </w:pPr>
            <w:r>
              <w:rPr>
                <w:b/>
                <w:sz w:val="22"/>
              </w:rPr>
              <w:t>IDENTIFICACIÓN DEL ACTOR</w:t>
            </w:r>
          </w:p>
        </w:tc>
        <w:tc>
          <w:tcPr>
            <w:tcW w:w="8677" w:type="dxa"/>
            <w:gridSpan w:val="3"/>
            <w:shd w:val="clear" w:color="auto" w:fill="92CDDC"/>
          </w:tcPr>
          <w:p>
            <w:pPr>
              <w:pStyle w:val="TableParagraph"/>
              <w:spacing w:before="6"/>
              <w:ind w:left="0"/>
              <w:rPr>
                <w:b/>
                <w:sz w:val="21"/>
              </w:rPr>
            </w:pPr>
          </w:p>
          <w:p>
            <w:pPr>
              <w:pStyle w:val="TableParagraph"/>
              <w:spacing w:before="1"/>
              <w:ind w:left="2695"/>
              <w:rPr>
                <w:b/>
                <w:sz w:val="22"/>
              </w:rPr>
            </w:pPr>
            <w:r>
              <w:rPr>
                <w:b/>
                <w:sz w:val="22"/>
              </w:rPr>
              <w:t>PRINCIPIOS DE GOBERNANZA</w:t>
            </w:r>
          </w:p>
        </w:tc>
      </w:tr>
      <w:tr>
        <w:trPr>
          <w:trHeight w:val="516"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6215" w:type="dxa"/>
            <w:shd w:val="clear" w:color="auto" w:fill="92CDDC"/>
          </w:tcPr>
          <w:p>
            <w:pPr>
              <w:pStyle w:val="TableParagraph"/>
              <w:tabs>
                <w:tab w:pos="1736" w:val="left" w:leader="none"/>
                <w:tab w:pos="3414" w:val="left" w:leader="none"/>
                <w:tab w:pos="3764" w:val="left" w:leader="none"/>
                <w:tab w:pos="5431" w:val="left" w:leader="none"/>
                <w:tab w:pos="5915" w:val="left" w:leader="none"/>
              </w:tabs>
              <w:spacing w:line="242" w:lineRule="auto"/>
              <w:ind w:left="100" w:right="101"/>
              <w:rPr>
                <w:b/>
                <w:i/>
                <w:sz w:val="22"/>
              </w:rPr>
            </w:pPr>
            <w:r>
              <w:rPr>
                <w:b/>
                <w:i/>
                <w:sz w:val="22"/>
              </w:rPr>
              <w:t>Cooperación,</w:t>
              <w:tab/>
              <w:t>democracia</w:t>
              <w:tab/>
              <w:t>y</w:t>
              <w:tab/>
              <w:t>voluntariedad</w:t>
              <w:tab/>
              <w:t>de</w:t>
              <w:tab/>
              <w:t>la </w:t>
            </w:r>
            <w:r>
              <w:rPr>
                <w:b/>
                <w:i/>
                <w:sz w:val="22"/>
              </w:rPr>
              <w:t>sociedad, participación</w:t>
            </w:r>
            <w:r>
              <w:rPr>
                <w:b/>
                <w:i/>
                <w:spacing w:val="-6"/>
                <w:sz w:val="22"/>
              </w:rPr>
              <w:t> </w:t>
            </w:r>
            <w:r>
              <w:rPr>
                <w:b/>
                <w:i/>
                <w:sz w:val="22"/>
              </w:rPr>
              <w:t>social</w:t>
            </w:r>
          </w:p>
        </w:tc>
      </w:tr>
      <w:tr>
        <w:trPr>
          <w:trHeight w:val="771"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42" w:lineRule="auto"/>
              <w:ind w:left="100" w:right="93"/>
              <w:rPr>
                <w:b/>
                <w:sz w:val="22"/>
              </w:rPr>
            </w:pPr>
            <w:r>
              <w:rPr>
                <w:b/>
                <w:sz w:val="22"/>
              </w:rPr>
              <w:t>Nivel Educativo</w:t>
            </w:r>
          </w:p>
        </w:tc>
        <w:tc>
          <w:tcPr>
            <w:tcW w:w="1887" w:type="dxa"/>
            <w:shd w:val="clear" w:color="auto" w:fill="F9BE8F"/>
          </w:tcPr>
          <w:p>
            <w:pPr>
              <w:pStyle w:val="TableParagraph"/>
              <w:spacing w:line="248" w:lineRule="exact"/>
              <w:rPr>
                <w:b/>
                <w:sz w:val="22"/>
              </w:rPr>
            </w:pPr>
            <w:r>
              <w:rPr>
                <w:b/>
                <w:sz w:val="22"/>
              </w:rPr>
              <w:t>Cargo Público</w:t>
            </w:r>
          </w:p>
        </w:tc>
        <w:tc>
          <w:tcPr>
            <w:tcW w:w="1289" w:type="dxa"/>
            <w:shd w:val="clear" w:color="auto" w:fill="92CDDC"/>
          </w:tcPr>
          <w:p>
            <w:pPr>
              <w:pStyle w:val="TableParagraph"/>
              <w:spacing w:line="242" w:lineRule="auto"/>
              <w:ind w:right="337"/>
              <w:rPr>
                <w:b/>
                <w:sz w:val="22"/>
              </w:rPr>
            </w:pPr>
            <w:r>
              <w:rPr>
                <w:b/>
                <w:sz w:val="22"/>
              </w:rPr>
              <w:t>¿Dónde nació?</w:t>
            </w:r>
          </w:p>
        </w:tc>
        <w:tc>
          <w:tcPr>
            <w:tcW w:w="1174" w:type="dxa"/>
            <w:shd w:val="clear" w:color="auto" w:fill="92CDDC"/>
          </w:tcPr>
          <w:p>
            <w:pPr>
              <w:pStyle w:val="TableParagraph"/>
              <w:spacing w:line="242" w:lineRule="auto"/>
              <w:ind w:right="222"/>
              <w:rPr>
                <w:b/>
                <w:sz w:val="22"/>
              </w:rPr>
            </w:pPr>
            <w:r>
              <w:rPr>
                <w:b/>
                <w:sz w:val="22"/>
              </w:rPr>
              <w:t>¿Dónde vive?</w:t>
            </w:r>
          </w:p>
        </w:tc>
        <w:tc>
          <w:tcPr>
            <w:tcW w:w="6215" w:type="dxa"/>
            <w:shd w:val="clear" w:color="auto" w:fill="92CDDC"/>
          </w:tcPr>
          <w:p>
            <w:pPr>
              <w:pStyle w:val="TableParagraph"/>
              <w:spacing w:line="242" w:lineRule="auto"/>
              <w:ind w:left="100" w:right="105"/>
              <w:rPr>
                <w:b/>
                <w:sz w:val="22"/>
              </w:rPr>
            </w:pPr>
            <w:r>
              <w:rPr>
                <w:b/>
                <w:sz w:val="22"/>
              </w:rPr>
              <w:t>¿Estaría usted dispuesto a asistir a una reunión para tratar asuntos relacionados con la laguna de Huapango?</w:t>
            </w:r>
          </w:p>
        </w:tc>
      </w:tr>
      <w:tr>
        <w:trPr>
          <w:trHeight w:val="266" w:hRule="exact"/>
        </w:trPr>
        <w:tc>
          <w:tcPr>
            <w:tcW w:w="1385" w:type="dxa"/>
            <w:tcBorders>
              <w:bottom w:val="nil"/>
            </w:tcBorders>
          </w:tcPr>
          <w:p>
            <w:pPr>
              <w:pStyle w:val="TableParagraph"/>
              <w:spacing w:line="251" w:lineRule="exact"/>
              <w:ind w:right="127"/>
              <w:rPr>
                <w:sz w:val="22"/>
              </w:rPr>
            </w:pPr>
            <w:r>
              <w:rPr>
                <w:sz w:val="22"/>
              </w:rPr>
              <w:t>Oscar</w:t>
            </w:r>
          </w:p>
        </w:tc>
        <w:tc>
          <w:tcPr>
            <w:tcW w:w="1274" w:type="dxa"/>
            <w:tcBorders>
              <w:bottom w:val="nil"/>
            </w:tcBorders>
          </w:tcPr>
          <w:p>
            <w:pPr>
              <w:pStyle w:val="TableParagraph"/>
              <w:spacing w:line="251" w:lineRule="exact"/>
              <w:ind w:left="100"/>
              <w:rPr>
                <w:sz w:val="22"/>
              </w:rPr>
            </w:pPr>
            <w:r>
              <w:rPr>
                <w:sz w:val="22"/>
              </w:rPr>
              <w:t>Preparator</w:t>
            </w:r>
          </w:p>
        </w:tc>
        <w:tc>
          <w:tcPr>
            <w:tcW w:w="1887" w:type="dxa"/>
            <w:tcBorders>
              <w:bottom w:val="nil"/>
            </w:tcBorders>
          </w:tcPr>
          <w:p>
            <w:pPr>
              <w:pStyle w:val="TableParagraph"/>
              <w:spacing w:line="251" w:lineRule="exact"/>
              <w:ind w:left="410"/>
              <w:rPr>
                <w:sz w:val="22"/>
              </w:rPr>
            </w:pPr>
            <w:r>
              <w:rPr>
                <w:sz w:val="22"/>
              </w:rPr>
              <w:t>Presidente</w:t>
            </w:r>
          </w:p>
        </w:tc>
        <w:tc>
          <w:tcPr>
            <w:tcW w:w="1289" w:type="dxa"/>
            <w:tcBorders>
              <w:bottom w:val="nil"/>
            </w:tcBorders>
          </w:tcPr>
          <w:p>
            <w:pPr>
              <w:pStyle w:val="TableParagraph"/>
              <w:spacing w:line="251" w:lineRule="exact"/>
              <w:rPr>
                <w:sz w:val="22"/>
              </w:rPr>
            </w:pPr>
            <w:r>
              <w:rPr>
                <w:sz w:val="22"/>
              </w:rPr>
              <w:t>Timilpan</w:t>
            </w:r>
          </w:p>
        </w:tc>
        <w:tc>
          <w:tcPr>
            <w:tcW w:w="1174" w:type="dxa"/>
            <w:tcBorders>
              <w:bottom w:val="nil"/>
            </w:tcBorders>
          </w:tcPr>
          <w:p>
            <w:pPr>
              <w:pStyle w:val="TableParagraph"/>
              <w:spacing w:line="251" w:lineRule="exact"/>
              <w:rPr>
                <w:sz w:val="22"/>
              </w:rPr>
            </w:pPr>
            <w:r>
              <w:rPr>
                <w:sz w:val="22"/>
              </w:rPr>
              <w:t>Timilpan</w:t>
            </w:r>
          </w:p>
        </w:tc>
        <w:tc>
          <w:tcPr>
            <w:tcW w:w="6215" w:type="dxa"/>
            <w:tcBorders>
              <w:bottom w:val="nil"/>
            </w:tcBorders>
          </w:tcPr>
          <w:p>
            <w:pPr>
              <w:pStyle w:val="TableParagraph"/>
              <w:spacing w:line="251" w:lineRule="exact"/>
              <w:ind w:left="100"/>
              <w:rPr>
                <w:sz w:val="22"/>
              </w:rPr>
            </w:pPr>
            <w:r>
              <w:rPr>
                <w:sz w:val="22"/>
              </w:rPr>
              <w:t>¡Por supuesto! que asistiría a una reunión para tratar asuntos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Rodríguez</w:t>
            </w:r>
          </w:p>
        </w:tc>
        <w:tc>
          <w:tcPr>
            <w:tcW w:w="1274" w:type="dxa"/>
            <w:tcBorders>
              <w:top w:val="nil"/>
              <w:bottom w:val="nil"/>
            </w:tcBorders>
          </w:tcPr>
          <w:p>
            <w:pPr>
              <w:pStyle w:val="TableParagraph"/>
              <w:spacing w:line="241" w:lineRule="exact"/>
              <w:ind w:left="100" w:right="98"/>
              <w:rPr>
                <w:sz w:val="22"/>
              </w:rPr>
            </w:pPr>
            <w:r>
              <w:rPr>
                <w:sz w:val="22"/>
              </w:rPr>
              <w:t>ia y</w:t>
            </w:r>
          </w:p>
        </w:tc>
        <w:tc>
          <w:tcPr>
            <w:tcW w:w="1887" w:type="dxa"/>
            <w:tcBorders>
              <w:top w:val="nil"/>
              <w:bottom w:val="nil"/>
            </w:tcBorders>
          </w:tcPr>
          <w:p>
            <w:pPr>
              <w:pStyle w:val="TableParagraph"/>
              <w:spacing w:line="241" w:lineRule="exact"/>
              <w:ind w:left="472"/>
              <w:rPr>
                <w:sz w:val="22"/>
              </w:rPr>
            </w:pPr>
            <w:r>
              <w:rPr>
                <w:sz w:val="22"/>
              </w:rPr>
              <w:t>Municipal</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1" w:lineRule="exact"/>
              <w:ind w:left="100" w:right="105"/>
              <w:rPr>
                <w:sz w:val="22"/>
              </w:rPr>
            </w:pPr>
            <w:r>
              <w:rPr>
                <w:sz w:val="22"/>
              </w:rPr>
              <w:t>relacionados con la laguna porque me interesa el    bienestar</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Ruíz</w:t>
            </w:r>
          </w:p>
        </w:tc>
        <w:tc>
          <w:tcPr>
            <w:tcW w:w="1274" w:type="dxa"/>
            <w:tcBorders>
              <w:top w:val="nil"/>
              <w:bottom w:val="nil"/>
            </w:tcBorders>
          </w:tcPr>
          <w:p>
            <w:pPr>
              <w:pStyle w:val="TableParagraph"/>
              <w:spacing w:line="242" w:lineRule="exact"/>
              <w:ind w:left="100" w:right="98"/>
              <w:rPr>
                <w:sz w:val="22"/>
              </w:rPr>
            </w:pPr>
            <w:r>
              <w:rPr>
                <w:sz w:val="22"/>
              </w:rPr>
              <w:t>carrera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2" w:lineRule="exact"/>
              <w:ind w:left="100"/>
              <w:rPr>
                <w:sz w:val="22"/>
              </w:rPr>
            </w:pPr>
            <w:r>
              <w:rPr>
                <w:sz w:val="22"/>
              </w:rPr>
              <w:t>de la población que está cerca de la laguna, que de hecho ya</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técnica</w:t>
            </w: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1" w:lineRule="exact"/>
              <w:ind w:left="100" w:right="105"/>
              <w:rPr>
                <w:sz w:val="22"/>
              </w:rPr>
            </w:pPr>
            <w:r>
              <w:rPr>
                <w:sz w:val="22"/>
              </w:rPr>
              <w:t>me han pedido que tengan beneficio del agua y de la pesca.</w:t>
            </w:r>
          </w:p>
        </w:tc>
      </w:tr>
      <w:tr>
        <w:trPr>
          <w:trHeight w:val="250" w:hRule="exact"/>
        </w:trPr>
        <w:tc>
          <w:tcPr>
            <w:tcW w:w="1385" w:type="dxa"/>
            <w:tcBorders>
              <w:top w:val="nil"/>
            </w:tcBorders>
          </w:tcPr>
          <w:p>
            <w:pPr>
              <w:pStyle w:val="TableParagraph"/>
              <w:spacing w:line="241" w:lineRule="exact"/>
              <w:rPr>
                <w:sz w:val="22"/>
              </w:rPr>
            </w:pPr>
            <w:r>
              <w:rPr>
                <w:sz w:val="22"/>
              </w:rPr>
              <w:t>(24/II/2014)</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6215"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Alfonso</w:t>
            </w:r>
          </w:p>
        </w:tc>
        <w:tc>
          <w:tcPr>
            <w:tcW w:w="1274" w:type="dxa"/>
            <w:tcBorders>
              <w:bottom w:val="nil"/>
            </w:tcBorders>
          </w:tcPr>
          <w:p>
            <w:pPr/>
          </w:p>
        </w:tc>
        <w:tc>
          <w:tcPr>
            <w:tcW w:w="1887" w:type="dxa"/>
            <w:tcBorders>
              <w:bottom w:val="nil"/>
            </w:tcBorders>
          </w:tcPr>
          <w:p>
            <w:pPr>
              <w:pStyle w:val="TableParagraph"/>
              <w:spacing w:line="251" w:lineRule="exact"/>
              <w:rPr>
                <w:sz w:val="22"/>
              </w:rPr>
            </w:pPr>
            <w:r>
              <w:rPr>
                <w:sz w:val="22"/>
              </w:rPr>
              <w:t>Tercer Regidor.</w:t>
            </w:r>
          </w:p>
        </w:tc>
        <w:tc>
          <w:tcPr>
            <w:tcW w:w="1289" w:type="dxa"/>
            <w:tcBorders>
              <w:bottom w:val="nil"/>
            </w:tcBorders>
          </w:tcPr>
          <w:p>
            <w:pPr>
              <w:pStyle w:val="TableParagraph"/>
              <w:spacing w:line="251" w:lineRule="exact"/>
              <w:rPr>
                <w:sz w:val="22"/>
              </w:rPr>
            </w:pPr>
            <w:r>
              <w:rPr>
                <w:sz w:val="22"/>
              </w:rPr>
              <w:t>Rincón de</w:t>
            </w:r>
          </w:p>
        </w:tc>
        <w:tc>
          <w:tcPr>
            <w:tcW w:w="1174" w:type="dxa"/>
            <w:tcBorders>
              <w:bottom w:val="nil"/>
            </w:tcBorders>
          </w:tcPr>
          <w:p>
            <w:pPr>
              <w:pStyle w:val="TableParagraph"/>
              <w:spacing w:line="251" w:lineRule="exact"/>
              <w:rPr>
                <w:sz w:val="22"/>
              </w:rPr>
            </w:pPr>
            <w:r>
              <w:rPr>
                <w:sz w:val="22"/>
              </w:rPr>
              <w:t>Rincón</w:t>
            </w:r>
          </w:p>
        </w:tc>
        <w:tc>
          <w:tcPr>
            <w:tcW w:w="6215" w:type="dxa"/>
            <w:tcBorders>
              <w:bottom w:val="nil"/>
            </w:tcBorders>
          </w:tcPr>
          <w:p>
            <w:pPr>
              <w:pStyle w:val="TableParagraph"/>
              <w:spacing w:line="251" w:lineRule="exact"/>
              <w:ind w:left="100" w:right="105"/>
              <w:rPr>
                <w:sz w:val="22"/>
              </w:rPr>
            </w:pPr>
            <w:r>
              <w:rPr>
                <w:sz w:val="22"/>
              </w:rPr>
              <w:t>Que vaya el alcalde, pero si iría con mucho gusto.</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Ruiz</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Presidente de la</w:t>
            </w:r>
          </w:p>
        </w:tc>
        <w:tc>
          <w:tcPr>
            <w:tcW w:w="1289" w:type="dxa"/>
            <w:tcBorders>
              <w:top w:val="nil"/>
              <w:bottom w:val="nil"/>
            </w:tcBorders>
          </w:tcPr>
          <w:p>
            <w:pPr>
              <w:pStyle w:val="TableParagraph"/>
              <w:spacing w:line="241" w:lineRule="exact"/>
              <w:rPr>
                <w:sz w:val="22"/>
              </w:rPr>
            </w:pPr>
            <w:r>
              <w:rPr>
                <w:sz w:val="22"/>
              </w:rPr>
              <w:t>Bucio,</w:t>
            </w:r>
          </w:p>
        </w:tc>
        <w:tc>
          <w:tcPr>
            <w:tcW w:w="1174" w:type="dxa"/>
            <w:tcBorders>
              <w:top w:val="nil"/>
              <w:bottom w:val="nil"/>
            </w:tcBorders>
          </w:tcPr>
          <w:p>
            <w:pPr>
              <w:pStyle w:val="TableParagraph"/>
              <w:spacing w:line="241" w:lineRule="exact"/>
              <w:rPr>
                <w:sz w:val="22"/>
              </w:rPr>
            </w:pPr>
            <w:r>
              <w:rPr>
                <w:sz w:val="22"/>
              </w:rPr>
              <w:t>de Bucio,</w:t>
            </w:r>
          </w:p>
        </w:tc>
        <w:tc>
          <w:tcPr>
            <w:tcW w:w="6215"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Martínez</w:t>
            </w:r>
          </w:p>
        </w:tc>
        <w:tc>
          <w:tcPr>
            <w:tcW w:w="1274" w:type="dxa"/>
            <w:tcBorders>
              <w:top w:val="nil"/>
              <w:bottom w:val="nil"/>
            </w:tcBorders>
          </w:tcPr>
          <w:p>
            <w:pPr>
              <w:pStyle w:val="TableParagraph"/>
              <w:spacing w:line="242" w:lineRule="exact"/>
              <w:ind w:left="104" w:right="105"/>
              <w:jc w:val="center"/>
              <w:rPr>
                <w:sz w:val="22"/>
              </w:rPr>
            </w:pPr>
            <w:r>
              <w:rPr>
                <w:sz w:val="22"/>
              </w:rPr>
              <w:t>S/D</w:t>
            </w:r>
          </w:p>
        </w:tc>
        <w:tc>
          <w:tcPr>
            <w:tcW w:w="1887" w:type="dxa"/>
            <w:tcBorders>
              <w:top w:val="nil"/>
              <w:bottom w:val="nil"/>
            </w:tcBorders>
          </w:tcPr>
          <w:p>
            <w:pPr>
              <w:pStyle w:val="TableParagraph"/>
              <w:spacing w:line="242" w:lineRule="exact"/>
              <w:rPr>
                <w:sz w:val="22"/>
              </w:rPr>
            </w:pPr>
            <w:r>
              <w:rPr>
                <w:sz w:val="22"/>
              </w:rPr>
              <w:t>Comisión de</w:t>
            </w:r>
          </w:p>
        </w:tc>
        <w:tc>
          <w:tcPr>
            <w:tcW w:w="1289" w:type="dxa"/>
            <w:tcBorders>
              <w:top w:val="nil"/>
              <w:bottom w:val="nil"/>
            </w:tcBorders>
          </w:tcPr>
          <w:p>
            <w:pPr>
              <w:pStyle w:val="TableParagraph"/>
              <w:spacing w:line="242" w:lineRule="exact"/>
              <w:rPr>
                <w:sz w:val="22"/>
              </w:rPr>
            </w:pPr>
            <w:r>
              <w:rPr>
                <w:sz w:val="22"/>
              </w:rPr>
              <w:t>Timilpan</w:t>
            </w:r>
          </w:p>
        </w:tc>
        <w:tc>
          <w:tcPr>
            <w:tcW w:w="1174" w:type="dxa"/>
            <w:tcBorders>
              <w:top w:val="nil"/>
              <w:bottom w:val="nil"/>
            </w:tcBorders>
          </w:tcPr>
          <w:p>
            <w:pPr>
              <w:pStyle w:val="TableParagraph"/>
              <w:spacing w:line="242" w:lineRule="exact"/>
              <w:rPr>
                <w:sz w:val="22"/>
              </w:rPr>
            </w:pPr>
            <w:r>
              <w:rPr>
                <w:sz w:val="22"/>
              </w:rPr>
              <w:t>Timilpan</w:t>
            </w:r>
          </w:p>
        </w:tc>
        <w:tc>
          <w:tcPr>
            <w:tcW w:w="6215"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Desarrollo Rural</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
        </w:tc>
      </w:tr>
      <w:tr>
        <w:trPr>
          <w:trHeight w:val="501" w:hRule="exact"/>
        </w:trPr>
        <w:tc>
          <w:tcPr>
            <w:tcW w:w="1385" w:type="dxa"/>
            <w:tcBorders>
              <w:top w:val="nil"/>
            </w:tcBorders>
          </w:tcPr>
          <w:p>
            <w:pPr>
              <w:pStyle w:val="TableParagraph"/>
              <w:spacing w:line="243" w:lineRule="exact"/>
              <w:ind w:right="127"/>
              <w:rPr>
                <w:sz w:val="22"/>
              </w:rPr>
            </w:pPr>
            <w:r>
              <w:rPr>
                <w:sz w:val="22"/>
              </w:rPr>
              <w:t>(24/I/2015)</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6215" w:type="dxa"/>
            <w:tcBorders>
              <w:top w:val="nil"/>
            </w:tcBorders>
          </w:tcPr>
          <w:p>
            <w:pPr/>
          </w:p>
        </w:tc>
      </w:tr>
      <w:tr>
        <w:trPr>
          <w:trHeight w:val="269" w:hRule="exact"/>
        </w:trPr>
        <w:tc>
          <w:tcPr>
            <w:tcW w:w="1385" w:type="dxa"/>
            <w:tcBorders>
              <w:bottom w:val="nil"/>
            </w:tcBorders>
          </w:tcPr>
          <w:p>
            <w:pPr>
              <w:pStyle w:val="TableParagraph"/>
              <w:ind w:right="127"/>
              <w:rPr>
                <w:sz w:val="22"/>
              </w:rPr>
            </w:pPr>
            <w:r>
              <w:rPr>
                <w:sz w:val="22"/>
              </w:rPr>
              <w:t>Jacinta</w:t>
            </w:r>
          </w:p>
        </w:tc>
        <w:tc>
          <w:tcPr>
            <w:tcW w:w="1274" w:type="dxa"/>
            <w:tcBorders>
              <w:bottom w:val="nil"/>
            </w:tcBorders>
          </w:tcPr>
          <w:p>
            <w:pPr/>
          </w:p>
        </w:tc>
        <w:tc>
          <w:tcPr>
            <w:tcW w:w="1887" w:type="dxa"/>
            <w:tcBorders>
              <w:bottom w:val="nil"/>
            </w:tcBorders>
          </w:tcPr>
          <w:p>
            <w:pPr>
              <w:pStyle w:val="TableParagraph"/>
              <w:rPr>
                <w:sz w:val="22"/>
              </w:rPr>
            </w:pPr>
            <w:r>
              <w:rPr>
                <w:sz w:val="22"/>
              </w:rPr>
              <w:t>Cuarto  Regidor.</w:t>
            </w:r>
          </w:p>
        </w:tc>
        <w:tc>
          <w:tcPr>
            <w:tcW w:w="1289" w:type="dxa"/>
            <w:tcBorders>
              <w:bottom w:val="nil"/>
            </w:tcBorders>
          </w:tcPr>
          <w:p>
            <w:pPr>
              <w:pStyle w:val="TableParagraph"/>
              <w:rPr>
                <w:sz w:val="22"/>
              </w:rPr>
            </w:pPr>
            <w:r>
              <w:rPr>
                <w:sz w:val="22"/>
              </w:rPr>
              <w:t>Santiago</w:t>
            </w:r>
          </w:p>
        </w:tc>
        <w:tc>
          <w:tcPr>
            <w:tcW w:w="1174" w:type="dxa"/>
            <w:tcBorders>
              <w:bottom w:val="nil"/>
            </w:tcBorders>
          </w:tcPr>
          <w:p>
            <w:pPr>
              <w:pStyle w:val="TableParagraph"/>
              <w:rPr>
                <w:sz w:val="22"/>
              </w:rPr>
            </w:pPr>
            <w:r>
              <w:rPr>
                <w:sz w:val="22"/>
              </w:rPr>
              <w:t>Santiago</w:t>
            </w:r>
          </w:p>
        </w:tc>
        <w:tc>
          <w:tcPr>
            <w:tcW w:w="6215" w:type="dxa"/>
            <w:tcBorders>
              <w:bottom w:val="nil"/>
            </w:tcBorders>
          </w:tcPr>
          <w:p>
            <w:pPr>
              <w:pStyle w:val="TableParagraph"/>
              <w:ind w:left="100" w:right="105"/>
              <w:rPr>
                <w:sz w:val="22"/>
              </w:rPr>
            </w:pPr>
            <w:r>
              <w:rPr>
                <w:sz w:val="22"/>
              </w:rPr>
              <w:t>Sí porque aunque no ayude</w:t>
            </w:r>
            <w:r>
              <w:rPr>
                <w:spacing w:val="52"/>
                <w:sz w:val="22"/>
              </w:rPr>
              <w:t> </w:t>
            </w:r>
            <w:r>
              <w:rPr>
                <w:sz w:val="22"/>
              </w:rPr>
              <w:t>a</w:t>
            </w:r>
            <w:r>
              <w:rPr>
                <w:spacing w:val="52"/>
                <w:sz w:val="22"/>
              </w:rPr>
              <w:t> </w:t>
            </w:r>
            <w:r>
              <w:rPr>
                <w:sz w:val="22"/>
              </w:rPr>
              <w:t>la comunidad</w:t>
            </w:r>
            <w:r>
              <w:rPr>
                <w:spacing w:val="52"/>
                <w:sz w:val="22"/>
              </w:rPr>
              <w:t> </w:t>
            </w:r>
            <w:r>
              <w:rPr>
                <w:sz w:val="22"/>
              </w:rPr>
              <w:t>es</w:t>
            </w:r>
            <w:r>
              <w:rPr>
                <w:spacing w:val="52"/>
                <w:sz w:val="22"/>
              </w:rPr>
              <w:t> </w:t>
            </w:r>
            <w:r>
              <w:rPr>
                <w:sz w:val="22"/>
              </w:rPr>
              <w:t>un cargo</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Jasso</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Presidenta  de la</w:t>
            </w:r>
          </w:p>
        </w:tc>
        <w:tc>
          <w:tcPr>
            <w:tcW w:w="1289" w:type="dxa"/>
            <w:tcBorders>
              <w:top w:val="nil"/>
              <w:bottom w:val="nil"/>
            </w:tcBorders>
          </w:tcPr>
          <w:p>
            <w:pPr>
              <w:pStyle w:val="TableParagraph"/>
              <w:spacing w:line="241" w:lineRule="exact"/>
              <w:rPr>
                <w:sz w:val="22"/>
              </w:rPr>
            </w:pPr>
            <w:r>
              <w:rPr>
                <w:sz w:val="22"/>
              </w:rPr>
              <w:t>Maxdá,</w:t>
            </w:r>
          </w:p>
        </w:tc>
        <w:tc>
          <w:tcPr>
            <w:tcW w:w="1174" w:type="dxa"/>
            <w:tcBorders>
              <w:top w:val="nil"/>
              <w:bottom w:val="nil"/>
            </w:tcBorders>
          </w:tcPr>
          <w:p>
            <w:pPr>
              <w:pStyle w:val="TableParagraph"/>
              <w:spacing w:line="241" w:lineRule="exact"/>
              <w:rPr>
                <w:sz w:val="22"/>
              </w:rPr>
            </w:pPr>
            <w:r>
              <w:rPr>
                <w:sz w:val="22"/>
              </w:rPr>
              <w:t>Maxdá,</w:t>
            </w:r>
          </w:p>
        </w:tc>
        <w:tc>
          <w:tcPr>
            <w:tcW w:w="6215" w:type="dxa"/>
            <w:tcBorders>
              <w:top w:val="nil"/>
              <w:bottom w:val="nil"/>
            </w:tcBorders>
          </w:tcPr>
          <w:p>
            <w:pPr>
              <w:pStyle w:val="TableParagraph"/>
              <w:spacing w:line="241" w:lineRule="exact"/>
              <w:ind w:left="100" w:right="105"/>
              <w:rPr>
                <w:sz w:val="22"/>
              </w:rPr>
            </w:pPr>
            <w:r>
              <w:rPr>
                <w:sz w:val="22"/>
              </w:rPr>
              <w:t>importante lo del agua.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González</w:t>
            </w:r>
          </w:p>
        </w:tc>
        <w:tc>
          <w:tcPr>
            <w:tcW w:w="1274" w:type="dxa"/>
            <w:tcBorders>
              <w:top w:val="nil"/>
              <w:bottom w:val="nil"/>
            </w:tcBorders>
          </w:tcPr>
          <w:p>
            <w:pPr>
              <w:pStyle w:val="TableParagraph"/>
              <w:spacing w:line="241" w:lineRule="exact"/>
              <w:ind w:left="104" w:right="105"/>
              <w:jc w:val="center"/>
              <w:rPr>
                <w:sz w:val="22"/>
              </w:rPr>
            </w:pPr>
            <w:r>
              <w:rPr>
                <w:sz w:val="22"/>
              </w:rPr>
              <w:t>S/D</w:t>
            </w:r>
          </w:p>
        </w:tc>
        <w:tc>
          <w:tcPr>
            <w:tcW w:w="1887" w:type="dxa"/>
            <w:tcBorders>
              <w:top w:val="nil"/>
              <w:bottom w:val="nil"/>
            </w:tcBorders>
          </w:tcPr>
          <w:p>
            <w:pPr>
              <w:pStyle w:val="TableParagraph"/>
              <w:tabs>
                <w:tab w:pos="1528" w:val="left" w:leader="none"/>
              </w:tabs>
              <w:spacing w:line="241" w:lineRule="exact"/>
              <w:rPr>
                <w:sz w:val="22"/>
              </w:rPr>
            </w:pPr>
            <w:r>
              <w:rPr>
                <w:sz w:val="22"/>
              </w:rPr>
              <w:t>Comisión</w:t>
              <w:tab/>
              <w:t>de</w:t>
            </w:r>
          </w:p>
        </w:tc>
        <w:tc>
          <w:tcPr>
            <w:tcW w:w="1289" w:type="dxa"/>
            <w:tcBorders>
              <w:top w:val="nil"/>
              <w:bottom w:val="nil"/>
            </w:tcBorders>
          </w:tcPr>
          <w:p>
            <w:pPr>
              <w:pStyle w:val="TableParagraph"/>
              <w:spacing w:line="241" w:lineRule="exact"/>
              <w:rPr>
                <w:sz w:val="22"/>
              </w:rPr>
            </w:pPr>
            <w:r>
              <w:rPr>
                <w:sz w:val="22"/>
              </w:rPr>
              <w:t>Timilpan</w:t>
            </w:r>
          </w:p>
        </w:tc>
        <w:tc>
          <w:tcPr>
            <w:tcW w:w="1174" w:type="dxa"/>
            <w:tcBorders>
              <w:top w:val="nil"/>
              <w:bottom w:val="nil"/>
            </w:tcBorders>
          </w:tcPr>
          <w:p>
            <w:pPr>
              <w:pStyle w:val="TableParagraph"/>
              <w:spacing w:line="241" w:lineRule="exact"/>
              <w:rPr>
                <w:sz w:val="22"/>
              </w:rPr>
            </w:pPr>
            <w:r>
              <w:rPr>
                <w:sz w:val="22"/>
              </w:rPr>
              <w:t>Timilpan</w:t>
            </w:r>
          </w:p>
        </w:tc>
        <w:tc>
          <w:tcPr>
            <w:tcW w:w="6215"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662" w:val="left" w:leader="none"/>
              </w:tabs>
              <w:spacing w:line="242" w:lineRule="exact"/>
              <w:rPr>
                <w:sz w:val="22"/>
              </w:rPr>
            </w:pPr>
            <w:r>
              <w:rPr>
                <w:sz w:val="22"/>
              </w:rPr>
              <w:t>Empleo</w:t>
              <w:tab/>
              <w:t>y</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
        </w:tc>
      </w:tr>
      <w:tr>
        <w:trPr>
          <w:trHeight w:val="250" w:hRule="exact"/>
        </w:trPr>
        <w:tc>
          <w:tcPr>
            <w:tcW w:w="1385" w:type="dxa"/>
            <w:tcBorders>
              <w:top w:val="nil"/>
            </w:tcBorders>
          </w:tcPr>
          <w:p>
            <w:pPr>
              <w:pStyle w:val="TableParagraph"/>
              <w:spacing w:line="241" w:lineRule="exact"/>
              <w:ind w:right="127"/>
              <w:rPr>
                <w:sz w:val="22"/>
              </w:rPr>
            </w:pPr>
            <w:r>
              <w:rPr>
                <w:sz w:val="22"/>
              </w:rPr>
              <w:t>(24/I/2015)</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Turismo</w:t>
            </w:r>
          </w:p>
        </w:tc>
        <w:tc>
          <w:tcPr>
            <w:tcW w:w="1289" w:type="dxa"/>
            <w:tcBorders>
              <w:top w:val="nil"/>
            </w:tcBorders>
          </w:tcPr>
          <w:p>
            <w:pPr/>
          </w:p>
        </w:tc>
        <w:tc>
          <w:tcPr>
            <w:tcW w:w="1174" w:type="dxa"/>
            <w:tcBorders>
              <w:top w:val="nil"/>
            </w:tcBorders>
          </w:tcPr>
          <w:p>
            <w:pPr/>
          </w:p>
        </w:tc>
        <w:tc>
          <w:tcPr>
            <w:tcW w:w="6215" w:type="dxa"/>
            <w:tcBorders>
              <w:top w:val="nil"/>
            </w:tcBorders>
          </w:tcPr>
          <w:p>
            <w:pPr/>
          </w:p>
        </w:tc>
      </w:tr>
      <w:tr>
        <w:trPr>
          <w:trHeight w:val="266" w:hRule="exact"/>
        </w:trPr>
        <w:tc>
          <w:tcPr>
            <w:tcW w:w="1385" w:type="dxa"/>
            <w:tcBorders>
              <w:bottom w:val="nil"/>
            </w:tcBorders>
          </w:tcPr>
          <w:p>
            <w:pPr>
              <w:pStyle w:val="TableParagraph"/>
              <w:spacing w:line="251" w:lineRule="exact"/>
              <w:rPr>
                <w:sz w:val="22"/>
              </w:rPr>
            </w:pPr>
            <w:r>
              <w:rPr>
                <w:sz w:val="22"/>
              </w:rPr>
              <w:t>Erika María</w:t>
            </w:r>
          </w:p>
        </w:tc>
        <w:tc>
          <w:tcPr>
            <w:tcW w:w="1274" w:type="dxa"/>
            <w:tcBorders>
              <w:bottom w:val="nil"/>
            </w:tcBorders>
          </w:tcPr>
          <w:p>
            <w:pPr>
              <w:pStyle w:val="TableParagraph"/>
              <w:spacing w:line="251" w:lineRule="exact"/>
              <w:ind w:left="100" w:right="98"/>
              <w:rPr>
                <w:sz w:val="22"/>
              </w:rPr>
            </w:pPr>
            <w:r>
              <w:rPr>
                <w:sz w:val="22"/>
              </w:rPr>
              <w:t>Técnico</w:t>
            </w:r>
          </w:p>
        </w:tc>
        <w:tc>
          <w:tcPr>
            <w:tcW w:w="1887" w:type="dxa"/>
            <w:tcBorders>
              <w:bottom w:val="nil"/>
            </w:tcBorders>
          </w:tcPr>
          <w:p>
            <w:pPr>
              <w:pStyle w:val="TableParagraph"/>
              <w:spacing w:line="251" w:lineRule="exact"/>
              <w:rPr>
                <w:sz w:val="22"/>
              </w:rPr>
            </w:pPr>
            <w:r>
              <w:rPr>
                <w:sz w:val="22"/>
              </w:rPr>
              <w:t>Quinto   Regidor.</w:t>
            </w:r>
          </w:p>
        </w:tc>
        <w:tc>
          <w:tcPr>
            <w:tcW w:w="1289" w:type="dxa"/>
            <w:tcBorders>
              <w:bottom w:val="nil"/>
            </w:tcBorders>
          </w:tcPr>
          <w:p>
            <w:pPr>
              <w:pStyle w:val="TableParagraph"/>
              <w:spacing w:line="251" w:lineRule="exact"/>
              <w:rPr>
                <w:sz w:val="22"/>
              </w:rPr>
            </w:pPr>
            <w:r>
              <w:rPr>
                <w:sz w:val="22"/>
              </w:rPr>
              <w:t>Naucalpan</w:t>
            </w:r>
          </w:p>
        </w:tc>
        <w:tc>
          <w:tcPr>
            <w:tcW w:w="1174" w:type="dxa"/>
            <w:tcBorders>
              <w:bottom w:val="nil"/>
            </w:tcBorders>
          </w:tcPr>
          <w:p>
            <w:pPr>
              <w:pStyle w:val="TableParagraph"/>
              <w:spacing w:line="251" w:lineRule="exact"/>
              <w:rPr>
                <w:sz w:val="22"/>
              </w:rPr>
            </w:pPr>
            <w:r>
              <w:rPr>
                <w:sz w:val="22"/>
              </w:rPr>
              <w:t>Timilpan</w:t>
            </w:r>
          </w:p>
        </w:tc>
        <w:tc>
          <w:tcPr>
            <w:tcW w:w="6215" w:type="dxa"/>
            <w:tcBorders>
              <w:bottom w:val="nil"/>
            </w:tcBorders>
          </w:tcPr>
          <w:p>
            <w:pPr>
              <w:pStyle w:val="TableParagraph"/>
              <w:spacing w:line="251" w:lineRule="exact"/>
              <w:ind w:left="100" w:right="105"/>
              <w:rPr>
                <w:sz w:val="22"/>
              </w:rPr>
            </w:pPr>
            <w:r>
              <w:rPr>
                <w:sz w:val="22"/>
              </w:rPr>
              <w:t>Sí asistiría porque en este caso es importante poner las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Correa</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Presidente  de la</w:t>
            </w:r>
          </w:p>
        </w:tc>
        <w:tc>
          <w:tcPr>
            <w:tcW w:w="1289" w:type="dxa"/>
            <w:tcBorders>
              <w:top w:val="nil"/>
              <w:bottom w:val="nil"/>
            </w:tcBorders>
          </w:tcPr>
          <w:p>
            <w:pPr>
              <w:pStyle w:val="TableParagraph"/>
              <w:spacing w:line="241" w:lineRule="exact"/>
              <w:rPr>
                <w:sz w:val="22"/>
              </w:rPr>
            </w:pPr>
            <w:r>
              <w:rPr>
                <w:sz w:val="22"/>
              </w:rPr>
              <w:t>de Juárez</w:t>
            </w:r>
          </w:p>
        </w:tc>
        <w:tc>
          <w:tcPr>
            <w:tcW w:w="1174" w:type="dxa"/>
            <w:tcBorders>
              <w:top w:val="nil"/>
              <w:bottom w:val="nil"/>
            </w:tcBorders>
          </w:tcPr>
          <w:p>
            <w:pPr>
              <w:pStyle w:val="TableParagraph"/>
              <w:spacing w:line="241" w:lineRule="exact"/>
              <w:rPr>
                <w:sz w:val="22"/>
              </w:rPr>
            </w:pPr>
            <w:r>
              <w:rPr>
                <w:sz w:val="22"/>
              </w:rPr>
              <w:t>(desde</w:t>
            </w:r>
          </w:p>
        </w:tc>
        <w:tc>
          <w:tcPr>
            <w:tcW w:w="6215" w:type="dxa"/>
            <w:tcBorders>
              <w:top w:val="nil"/>
              <w:bottom w:val="nil"/>
            </w:tcBorders>
          </w:tcPr>
          <w:p>
            <w:pPr>
              <w:pStyle w:val="TableParagraph"/>
              <w:spacing w:line="241" w:lineRule="exact"/>
              <w:ind w:left="100" w:right="105"/>
              <w:rPr>
                <w:sz w:val="22"/>
              </w:rPr>
            </w:pPr>
            <w:r>
              <w:rPr>
                <w:sz w:val="22"/>
              </w:rPr>
              <w:t>reglas de uso y cuidado de una belleza natural que ayuda y</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Plata</w:t>
            </w:r>
          </w:p>
        </w:tc>
        <w:tc>
          <w:tcPr>
            <w:tcW w:w="1274" w:type="dxa"/>
            <w:tcBorders>
              <w:top w:val="nil"/>
              <w:bottom w:val="nil"/>
            </w:tcBorders>
          </w:tcPr>
          <w:p>
            <w:pPr>
              <w:pStyle w:val="TableParagraph"/>
              <w:spacing w:line="242" w:lineRule="exact"/>
              <w:ind w:left="100"/>
              <w:rPr>
                <w:sz w:val="22"/>
              </w:rPr>
            </w:pPr>
            <w:r>
              <w:rPr>
                <w:sz w:val="22"/>
              </w:rPr>
              <w:t>Computaci</w:t>
            </w:r>
          </w:p>
        </w:tc>
        <w:tc>
          <w:tcPr>
            <w:tcW w:w="1887" w:type="dxa"/>
            <w:tcBorders>
              <w:top w:val="nil"/>
              <w:bottom w:val="nil"/>
            </w:tcBorders>
          </w:tcPr>
          <w:p>
            <w:pPr>
              <w:pStyle w:val="TableParagraph"/>
              <w:tabs>
                <w:tab w:pos="1528" w:val="left" w:leader="none"/>
              </w:tabs>
              <w:spacing w:line="242" w:lineRule="exact"/>
              <w:rPr>
                <w:sz w:val="22"/>
              </w:rPr>
            </w:pPr>
            <w:r>
              <w:rPr>
                <w:sz w:val="22"/>
              </w:rPr>
              <w:t>Comisión</w:t>
              <w:tab/>
              <w:t>de</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hace 30</w:t>
            </w:r>
          </w:p>
        </w:tc>
        <w:tc>
          <w:tcPr>
            <w:tcW w:w="6215" w:type="dxa"/>
            <w:tcBorders>
              <w:top w:val="nil"/>
              <w:bottom w:val="nil"/>
            </w:tcBorders>
          </w:tcPr>
          <w:p>
            <w:pPr>
              <w:pStyle w:val="TableParagraph"/>
              <w:spacing w:line="242" w:lineRule="exact"/>
              <w:ind w:left="100" w:right="105"/>
              <w:rPr>
                <w:sz w:val="22"/>
              </w:rPr>
            </w:pPr>
            <w:r>
              <w:rPr>
                <w:sz w:val="22"/>
              </w:rPr>
              <w:t>resalta el lugar.</w:t>
            </w:r>
          </w:p>
        </w:tc>
      </w:tr>
      <w:tr>
        <w:trPr>
          <w:trHeight w:val="252" w:hRule="exact"/>
        </w:trPr>
        <w:tc>
          <w:tcPr>
            <w:tcW w:w="1385" w:type="dxa"/>
            <w:tcBorders>
              <w:top w:val="nil"/>
              <w:bottom w:val="nil"/>
            </w:tcBorders>
          </w:tcPr>
          <w:p>
            <w:pPr/>
          </w:p>
        </w:tc>
        <w:tc>
          <w:tcPr>
            <w:tcW w:w="1274" w:type="dxa"/>
            <w:tcBorders>
              <w:top w:val="nil"/>
              <w:bottom w:val="nil"/>
            </w:tcBorders>
          </w:tcPr>
          <w:p>
            <w:pPr>
              <w:pStyle w:val="TableParagraph"/>
              <w:spacing w:line="241" w:lineRule="exact"/>
              <w:ind w:left="100" w:right="98"/>
              <w:rPr>
                <w:sz w:val="22"/>
              </w:rPr>
            </w:pPr>
            <w:r>
              <w:rPr>
                <w:sz w:val="22"/>
              </w:rPr>
              <w:t>ón</w:t>
            </w:r>
          </w:p>
        </w:tc>
        <w:tc>
          <w:tcPr>
            <w:tcW w:w="1887" w:type="dxa"/>
            <w:tcBorders>
              <w:top w:val="nil"/>
              <w:bottom w:val="nil"/>
            </w:tcBorders>
          </w:tcPr>
          <w:p>
            <w:pPr>
              <w:pStyle w:val="TableParagraph"/>
              <w:spacing w:line="241" w:lineRule="exact"/>
              <w:rPr>
                <w:sz w:val="22"/>
              </w:rPr>
            </w:pPr>
            <w:r>
              <w:rPr>
                <w:sz w:val="22"/>
              </w:rPr>
              <w:t>Salud   y   Medio</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años)</w:t>
            </w:r>
          </w:p>
        </w:tc>
        <w:tc>
          <w:tcPr>
            <w:tcW w:w="6215" w:type="dxa"/>
            <w:tcBorders>
              <w:top w:val="nil"/>
              <w:bottom w:val="nil"/>
            </w:tcBorders>
          </w:tcPr>
          <w:p>
            <w:pPr/>
          </w:p>
        </w:tc>
      </w:tr>
      <w:tr>
        <w:trPr>
          <w:trHeight w:val="250" w:hRule="exact"/>
        </w:trPr>
        <w:tc>
          <w:tcPr>
            <w:tcW w:w="1385" w:type="dxa"/>
            <w:tcBorders>
              <w:top w:val="nil"/>
            </w:tcBorders>
          </w:tcPr>
          <w:p>
            <w:pPr>
              <w:pStyle w:val="TableParagraph"/>
              <w:spacing w:line="241" w:lineRule="exact"/>
              <w:rPr>
                <w:sz w:val="22"/>
              </w:rPr>
            </w:pPr>
            <w:r>
              <w:rPr>
                <w:sz w:val="22"/>
              </w:rPr>
              <w:t>(24/II/2014)</w:t>
            </w:r>
          </w:p>
        </w:tc>
        <w:tc>
          <w:tcPr>
            <w:tcW w:w="1274" w:type="dxa"/>
            <w:tcBorders>
              <w:top w:val="nil"/>
            </w:tcBorders>
          </w:tcPr>
          <w:p>
            <w:pPr/>
          </w:p>
        </w:tc>
        <w:tc>
          <w:tcPr>
            <w:tcW w:w="1887" w:type="dxa"/>
            <w:tcBorders>
              <w:top w:val="nil"/>
            </w:tcBorders>
          </w:tcPr>
          <w:p>
            <w:pPr>
              <w:pStyle w:val="TableParagraph"/>
              <w:spacing w:line="241" w:lineRule="exact"/>
              <w:rPr>
                <w:sz w:val="22"/>
              </w:rPr>
            </w:pPr>
            <w:r>
              <w:rPr>
                <w:sz w:val="22"/>
              </w:rPr>
              <w:t>Ambiente</w:t>
            </w:r>
          </w:p>
        </w:tc>
        <w:tc>
          <w:tcPr>
            <w:tcW w:w="1289" w:type="dxa"/>
            <w:tcBorders>
              <w:top w:val="nil"/>
            </w:tcBorders>
          </w:tcPr>
          <w:p>
            <w:pPr/>
          </w:p>
        </w:tc>
        <w:tc>
          <w:tcPr>
            <w:tcW w:w="1174" w:type="dxa"/>
            <w:tcBorders>
              <w:top w:val="nil"/>
            </w:tcBorders>
          </w:tcPr>
          <w:p>
            <w:pPr/>
          </w:p>
        </w:tc>
        <w:tc>
          <w:tcPr>
            <w:tcW w:w="6215" w:type="dxa"/>
            <w:tcBorders>
              <w:top w:val="nil"/>
            </w:tcBorders>
          </w:tcPr>
          <w:p>
            <w:pPr/>
          </w:p>
        </w:tc>
      </w:tr>
      <w:tr>
        <w:trPr>
          <w:trHeight w:val="266" w:hRule="exact"/>
        </w:trPr>
        <w:tc>
          <w:tcPr>
            <w:tcW w:w="1385" w:type="dxa"/>
            <w:tcBorders>
              <w:bottom w:val="nil"/>
            </w:tcBorders>
          </w:tcPr>
          <w:p>
            <w:pPr>
              <w:pStyle w:val="TableParagraph"/>
              <w:spacing w:line="251" w:lineRule="exact"/>
              <w:ind w:right="127"/>
              <w:rPr>
                <w:sz w:val="22"/>
              </w:rPr>
            </w:pPr>
            <w:r>
              <w:rPr>
                <w:sz w:val="22"/>
              </w:rPr>
              <w:t>Jazith</w:t>
            </w:r>
          </w:p>
        </w:tc>
        <w:tc>
          <w:tcPr>
            <w:tcW w:w="1274" w:type="dxa"/>
            <w:tcBorders>
              <w:bottom w:val="nil"/>
            </w:tcBorders>
          </w:tcPr>
          <w:p>
            <w:pPr>
              <w:pStyle w:val="TableParagraph"/>
              <w:spacing w:line="251" w:lineRule="exact"/>
              <w:ind w:left="100"/>
              <w:rPr>
                <w:sz w:val="22"/>
              </w:rPr>
            </w:pPr>
            <w:r>
              <w:rPr>
                <w:sz w:val="22"/>
              </w:rPr>
              <w:t>Licenciado</w:t>
            </w:r>
          </w:p>
        </w:tc>
        <w:tc>
          <w:tcPr>
            <w:tcW w:w="1887" w:type="dxa"/>
            <w:tcBorders>
              <w:bottom w:val="nil"/>
            </w:tcBorders>
          </w:tcPr>
          <w:p>
            <w:pPr>
              <w:pStyle w:val="TableParagraph"/>
              <w:spacing w:line="251" w:lineRule="exact"/>
              <w:rPr>
                <w:sz w:val="22"/>
              </w:rPr>
            </w:pPr>
            <w:r>
              <w:rPr>
                <w:sz w:val="22"/>
              </w:rPr>
              <w:t>Sexto Regidor.</w:t>
            </w:r>
          </w:p>
        </w:tc>
        <w:tc>
          <w:tcPr>
            <w:tcW w:w="1289" w:type="dxa"/>
            <w:tcBorders>
              <w:bottom w:val="nil"/>
            </w:tcBorders>
          </w:tcPr>
          <w:p>
            <w:pPr>
              <w:pStyle w:val="TableParagraph"/>
              <w:spacing w:line="251" w:lineRule="exact"/>
              <w:ind w:left="155"/>
              <w:rPr>
                <w:sz w:val="22"/>
              </w:rPr>
            </w:pPr>
            <w:r>
              <w:rPr>
                <w:sz w:val="22"/>
              </w:rPr>
              <w:t>Atlacomul</w:t>
            </w:r>
          </w:p>
        </w:tc>
        <w:tc>
          <w:tcPr>
            <w:tcW w:w="1174" w:type="dxa"/>
            <w:tcBorders>
              <w:bottom w:val="nil"/>
            </w:tcBorders>
          </w:tcPr>
          <w:p>
            <w:pPr>
              <w:pStyle w:val="TableParagraph"/>
              <w:spacing w:line="251" w:lineRule="exact"/>
              <w:ind w:left="165"/>
              <w:rPr>
                <w:sz w:val="22"/>
              </w:rPr>
            </w:pPr>
            <w:r>
              <w:rPr>
                <w:sz w:val="22"/>
              </w:rPr>
              <w:t>Timilpan</w:t>
            </w:r>
          </w:p>
        </w:tc>
        <w:tc>
          <w:tcPr>
            <w:tcW w:w="6215" w:type="dxa"/>
            <w:tcBorders>
              <w:bottom w:val="nil"/>
            </w:tcBorders>
          </w:tcPr>
          <w:p>
            <w:pPr>
              <w:pStyle w:val="TableParagraph"/>
              <w:spacing w:line="251" w:lineRule="exact"/>
              <w:ind w:left="100" w:right="105"/>
              <w:rPr>
                <w:sz w:val="22"/>
              </w:rPr>
            </w:pPr>
            <w:r>
              <w:rPr>
                <w:sz w:val="22"/>
              </w:rPr>
              <w:t>¡Desde luego que sí! porque consideramos importante estar</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Salazar</w:t>
            </w:r>
          </w:p>
        </w:tc>
        <w:tc>
          <w:tcPr>
            <w:tcW w:w="1274" w:type="dxa"/>
            <w:tcBorders>
              <w:top w:val="nil"/>
              <w:bottom w:val="nil"/>
            </w:tcBorders>
          </w:tcPr>
          <w:p>
            <w:pPr>
              <w:pStyle w:val="TableParagraph"/>
              <w:spacing w:line="241" w:lineRule="exact"/>
              <w:ind w:left="100" w:right="98"/>
              <w:rPr>
                <w:sz w:val="22"/>
              </w:rPr>
            </w:pPr>
            <w:r>
              <w:rPr>
                <w:sz w:val="22"/>
              </w:rPr>
              <w:t>en</w:t>
            </w:r>
          </w:p>
        </w:tc>
        <w:tc>
          <w:tcPr>
            <w:tcW w:w="1887" w:type="dxa"/>
            <w:tcBorders>
              <w:top w:val="nil"/>
              <w:bottom w:val="nil"/>
            </w:tcBorders>
          </w:tcPr>
          <w:p>
            <w:pPr>
              <w:pStyle w:val="TableParagraph"/>
              <w:spacing w:line="241" w:lineRule="exact"/>
              <w:rPr>
                <w:sz w:val="22"/>
              </w:rPr>
            </w:pPr>
            <w:r>
              <w:rPr>
                <w:sz w:val="22"/>
              </w:rPr>
              <w:t>Presidente  de la</w:t>
            </w:r>
          </w:p>
        </w:tc>
        <w:tc>
          <w:tcPr>
            <w:tcW w:w="1289" w:type="dxa"/>
            <w:tcBorders>
              <w:top w:val="nil"/>
              <w:bottom w:val="nil"/>
            </w:tcBorders>
          </w:tcPr>
          <w:p>
            <w:pPr>
              <w:pStyle w:val="TableParagraph"/>
              <w:spacing w:line="241" w:lineRule="exact"/>
              <w:ind w:left="136" w:right="136"/>
              <w:jc w:val="center"/>
              <w:rPr>
                <w:sz w:val="22"/>
              </w:rPr>
            </w:pPr>
            <w:r>
              <w:rPr>
                <w:sz w:val="22"/>
              </w:rPr>
              <w:t>co</w:t>
            </w:r>
          </w:p>
        </w:tc>
        <w:tc>
          <w:tcPr>
            <w:tcW w:w="1174" w:type="dxa"/>
            <w:tcBorders>
              <w:top w:val="nil"/>
              <w:bottom w:val="nil"/>
            </w:tcBorders>
          </w:tcPr>
          <w:p>
            <w:pPr/>
          </w:p>
        </w:tc>
        <w:tc>
          <w:tcPr>
            <w:tcW w:w="6215" w:type="dxa"/>
            <w:tcBorders>
              <w:top w:val="nil"/>
              <w:bottom w:val="nil"/>
            </w:tcBorders>
          </w:tcPr>
          <w:p>
            <w:pPr>
              <w:pStyle w:val="TableParagraph"/>
              <w:spacing w:line="241" w:lineRule="exact"/>
              <w:ind w:left="100" w:right="105"/>
              <w:rPr>
                <w:sz w:val="22"/>
              </w:rPr>
            </w:pPr>
            <w:r>
              <w:rPr>
                <w:sz w:val="22"/>
              </w:rPr>
              <w:t>informados sobre los temas a tratar y proponer algunas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Hernández</w:t>
            </w:r>
          </w:p>
        </w:tc>
        <w:tc>
          <w:tcPr>
            <w:tcW w:w="1274" w:type="dxa"/>
            <w:tcBorders>
              <w:top w:val="nil"/>
              <w:bottom w:val="nil"/>
            </w:tcBorders>
          </w:tcPr>
          <w:p>
            <w:pPr>
              <w:pStyle w:val="TableParagraph"/>
              <w:spacing w:line="242" w:lineRule="exact"/>
              <w:ind w:left="100"/>
              <w:rPr>
                <w:sz w:val="22"/>
              </w:rPr>
            </w:pPr>
            <w:r>
              <w:rPr>
                <w:sz w:val="22"/>
              </w:rPr>
              <w:t>Educación</w:t>
            </w:r>
          </w:p>
        </w:tc>
        <w:tc>
          <w:tcPr>
            <w:tcW w:w="1887" w:type="dxa"/>
            <w:tcBorders>
              <w:top w:val="nil"/>
              <w:bottom w:val="nil"/>
            </w:tcBorders>
          </w:tcPr>
          <w:p>
            <w:pPr>
              <w:pStyle w:val="TableParagraph"/>
              <w:spacing w:line="242" w:lineRule="exact"/>
              <w:rPr>
                <w:sz w:val="22"/>
              </w:rPr>
            </w:pPr>
            <w:r>
              <w:rPr>
                <w:sz w:val="22"/>
              </w:rPr>
              <w:t>Comisión </w:t>
            </w:r>
            <w:r>
              <w:rPr>
                <w:spacing w:val="51"/>
                <w:sz w:val="22"/>
              </w:rPr>
              <w:t> </w:t>
            </w:r>
            <w:r>
              <w:rPr>
                <w:sz w:val="22"/>
              </w:rPr>
              <w:t>Agua,</w:t>
            </w: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2" w:lineRule="exact"/>
              <w:ind w:left="100" w:right="105"/>
              <w:rPr>
                <w:sz w:val="22"/>
              </w:rPr>
            </w:pPr>
            <w:r>
              <w:rPr>
                <w:sz w:val="22"/>
              </w:rPr>
              <w:t>acciones para darle seguimiento para lo que se tiene</w:t>
            </w:r>
          </w:p>
        </w:tc>
      </w:tr>
      <w:tr>
        <w:trPr>
          <w:trHeight w:val="250" w:hRule="exact"/>
        </w:trPr>
        <w:tc>
          <w:tcPr>
            <w:tcW w:w="1385" w:type="dxa"/>
            <w:tcBorders>
              <w:top w:val="nil"/>
            </w:tcBorders>
          </w:tcPr>
          <w:p>
            <w:pPr/>
          </w:p>
        </w:tc>
        <w:tc>
          <w:tcPr>
            <w:tcW w:w="1274" w:type="dxa"/>
            <w:tcBorders>
              <w:top w:val="nil"/>
            </w:tcBorders>
          </w:tcPr>
          <w:p>
            <w:pPr>
              <w:pStyle w:val="TableParagraph"/>
              <w:spacing w:line="241" w:lineRule="exact"/>
              <w:ind w:left="100" w:right="98"/>
              <w:rPr>
                <w:sz w:val="22"/>
              </w:rPr>
            </w:pPr>
            <w:r>
              <w:rPr>
                <w:sz w:val="22"/>
              </w:rPr>
              <w:t>Primaria</w:t>
            </w:r>
          </w:p>
        </w:tc>
        <w:tc>
          <w:tcPr>
            <w:tcW w:w="1887" w:type="dxa"/>
            <w:tcBorders>
              <w:top w:val="nil"/>
            </w:tcBorders>
          </w:tcPr>
          <w:p>
            <w:pPr>
              <w:pStyle w:val="TableParagraph"/>
              <w:tabs>
                <w:tab w:pos="1664" w:val="left" w:leader="none"/>
              </w:tabs>
              <w:spacing w:line="241" w:lineRule="exact"/>
              <w:rPr>
                <w:sz w:val="22"/>
              </w:rPr>
            </w:pPr>
            <w:r>
              <w:rPr>
                <w:sz w:val="22"/>
              </w:rPr>
              <w:t>Drenaje</w:t>
              <w:tab/>
              <w:t>y</w:t>
            </w:r>
          </w:p>
        </w:tc>
        <w:tc>
          <w:tcPr>
            <w:tcW w:w="1289" w:type="dxa"/>
            <w:tcBorders>
              <w:top w:val="nil"/>
            </w:tcBorders>
          </w:tcPr>
          <w:p>
            <w:pPr/>
          </w:p>
        </w:tc>
        <w:tc>
          <w:tcPr>
            <w:tcW w:w="1174" w:type="dxa"/>
            <w:tcBorders>
              <w:top w:val="nil"/>
            </w:tcBorders>
          </w:tcPr>
          <w:p>
            <w:pPr/>
          </w:p>
        </w:tc>
        <w:tc>
          <w:tcPr>
            <w:tcW w:w="6215" w:type="dxa"/>
            <w:tcBorders>
              <w:top w:val="nil"/>
            </w:tcBorders>
          </w:tcPr>
          <w:p>
            <w:pPr>
              <w:pStyle w:val="TableParagraph"/>
              <w:spacing w:line="241" w:lineRule="exact"/>
              <w:ind w:left="100" w:right="105"/>
              <w:rPr>
                <w:sz w:val="22"/>
              </w:rPr>
            </w:pPr>
            <w:r>
              <w:rPr>
                <w:sz w:val="22"/>
              </w:rPr>
              <w:t>planeado.</w:t>
            </w:r>
          </w:p>
        </w:tc>
      </w:tr>
    </w:tbl>
    <w:p>
      <w:pPr>
        <w:spacing w:after="0" w:line="241" w:lineRule="exact"/>
        <w:rPr>
          <w:sz w:val="22"/>
        </w:rPr>
        <w:sectPr>
          <w:pgSz w:w="15840" w:h="12240" w:orient="landscape"/>
          <w:pgMar w:header="0" w:footer="94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475"/>
        <w:gridCol w:w="412"/>
        <w:gridCol w:w="1289"/>
        <w:gridCol w:w="1174"/>
        <w:gridCol w:w="6215"/>
      </w:tblGrid>
      <w:tr>
        <w:trPr>
          <w:trHeight w:val="290" w:hRule="exact"/>
        </w:trPr>
        <w:tc>
          <w:tcPr>
            <w:tcW w:w="1385" w:type="dxa"/>
          </w:tcPr>
          <w:p>
            <w:pPr>
              <w:pStyle w:val="TableParagraph"/>
              <w:spacing w:line="251" w:lineRule="exact"/>
              <w:ind w:right="127"/>
              <w:rPr>
                <w:sz w:val="22"/>
              </w:rPr>
            </w:pPr>
            <w:r>
              <w:rPr>
                <w:sz w:val="22"/>
              </w:rPr>
              <w:t>(24/I/2015)</w:t>
            </w:r>
          </w:p>
        </w:tc>
        <w:tc>
          <w:tcPr>
            <w:tcW w:w="1274" w:type="dxa"/>
          </w:tcPr>
          <w:p>
            <w:pPr/>
          </w:p>
        </w:tc>
        <w:tc>
          <w:tcPr>
            <w:tcW w:w="1887" w:type="dxa"/>
            <w:gridSpan w:val="2"/>
          </w:tcPr>
          <w:p>
            <w:pPr>
              <w:pStyle w:val="TableParagraph"/>
              <w:spacing w:line="251" w:lineRule="exact"/>
              <w:rPr>
                <w:sz w:val="22"/>
              </w:rPr>
            </w:pPr>
            <w:r>
              <w:rPr>
                <w:sz w:val="22"/>
              </w:rPr>
              <w:t>Alcantarillado</w:t>
            </w:r>
          </w:p>
        </w:tc>
        <w:tc>
          <w:tcPr>
            <w:tcW w:w="1289" w:type="dxa"/>
          </w:tcPr>
          <w:p>
            <w:pPr/>
          </w:p>
        </w:tc>
        <w:tc>
          <w:tcPr>
            <w:tcW w:w="1174" w:type="dxa"/>
          </w:tcPr>
          <w:p>
            <w:pPr/>
          </w:p>
        </w:tc>
        <w:tc>
          <w:tcPr>
            <w:tcW w:w="6215" w:type="dxa"/>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Armando</w:t>
            </w:r>
          </w:p>
        </w:tc>
        <w:tc>
          <w:tcPr>
            <w:tcW w:w="1274" w:type="dxa"/>
            <w:tcBorders>
              <w:bottom w:val="nil"/>
            </w:tcBorders>
          </w:tcPr>
          <w:p>
            <w:pPr/>
          </w:p>
        </w:tc>
        <w:tc>
          <w:tcPr>
            <w:tcW w:w="1475" w:type="dxa"/>
            <w:tcBorders>
              <w:bottom w:val="nil"/>
              <w:right w:val="nil"/>
            </w:tcBorders>
          </w:tcPr>
          <w:p>
            <w:pPr>
              <w:pStyle w:val="TableParagraph"/>
              <w:spacing w:line="251" w:lineRule="exact"/>
              <w:rPr>
                <w:sz w:val="22"/>
              </w:rPr>
            </w:pPr>
            <w:r>
              <w:rPr>
                <w:sz w:val="22"/>
              </w:rPr>
              <w:t>Director</w:t>
            </w:r>
          </w:p>
        </w:tc>
        <w:tc>
          <w:tcPr>
            <w:tcW w:w="412" w:type="dxa"/>
            <w:tcBorders>
              <w:left w:val="nil"/>
              <w:bottom w:val="nil"/>
            </w:tcBorders>
          </w:tcPr>
          <w:p>
            <w:pPr>
              <w:pStyle w:val="TableParagraph"/>
              <w:spacing w:line="251" w:lineRule="exact"/>
              <w:ind w:left="39" w:right="83"/>
              <w:jc w:val="center"/>
              <w:rPr>
                <w:sz w:val="22"/>
              </w:rPr>
            </w:pPr>
            <w:r>
              <w:rPr>
                <w:sz w:val="22"/>
              </w:rPr>
              <w:t>de</w:t>
            </w:r>
          </w:p>
        </w:tc>
        <w:tc>
          <w:tcPr>
            <w:tcW w:w="1289" w:type="dxa"/>
            <w:tcBorders>
              <w:bottom w:val="nil"/>
            </w:tcBorders>
          </w:tcPr>
          <w:p>
            <w:pPr>
              <w:pStyle w:val="TableParagraph"/>
              <w:spacing w:line="251" w:lineRule="exact"/>
              <w:ind w:left="136" w:right="136"/>
              <w:jc w:val="center"/>
              <w:rPr>
                <w:sz w:val="22"/>
              </w:rPr>
            </w:pPr>
            <w:r>
              <w:rPr>
                <w:sz w:val="22"/>
              </w:rPr>
              <w:t>Barrio</w:t>
            </w:r>
          </w:p>
        </w:tc>
        <w:tc>
          <w:tcPr>
            <w:tcW w:w="1174" w:type="dxa"/>
            <w:tcBorders>
              <w:bottom w:val="nil"/>
            </w:tcBorders>
          </w:tcPr>
          <w:p>
            <w:pPr>
              <w:pStyle w:val="TableParagraph"/>
              <w:spacing w:line="251" w:lineRule="exact"/>
              <w:ind w:left="84" w:right="84"/>
              <w:jc w:val="center"/>
              <w:rPr>
                <w:sz w:val="22"/>
              </w:rPr>
            </w:pPr>
            <w:r>
              <w:rPr>
                <w:sz w:val="22"/>
              </w:rPr>
              <w:t>Timilpan</w:t>
            </w:r>
          </w:p>
        </w:tc>
        <w:tc>
          <w:tcPr>
            <w:tcW w:w="6215" w:type="dxa"/>
            <w:tcBorders>
              <w:bottom w:val="nil"/>
            </w:tcBorders>
          </w:tcPr>
          <w:p>
            <w:pPr>
              <w:pStyle w:val="TableParagraph"/>
              <w:tabs>
                <w:tab w:pos="906" w:val="left" w:leader="none"/>
                <w:tab w:pos="2039" w:val="left" w:leader="none"/>
                <w:tab w:pos="3184" w:val="left" w:leader="none"/>
                <w:tab w:pos="3570" w:val="left" w:leader="none"/>
                <w:tab w:pos="4230" w:val="left" w:leader="none"/>
                <w:tab w:pos="5329" w:val="left" w:leader="none"/>
              </w:tabs>
              <w:spacing w:line="251" w:lineRule="exact"/>
              <w:ind w:left="100"/>
              <w:rPr>
                <w:sz w:val="22"/>
              </w:rPr>
            </w:pPr>
            <w:r>
              <w:rPr>
                <w:sz w:val="22"/>
              </w:rPr>
              <w:t>Como</w:t>
              <w:tab/>
              <w:t>autoridad</w:t>
              <w:tab/>
              <w:t>municipal</w:t>
              <w:tab/>
              <w:t>sí</w:t>
              <w:tab/>
              <w:t>para</w:t>
              <w:tab/>
              <w:t>proponer</w:t>
              <w:tab/>
              <w:t>algunas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Matías</w:t>
            </w:r>
          </w:p>
        </w:tc>
        <w:tc>
          <w:tcPr>
            <w:tcW w:w="1274" w:type="dxa"/>
            <w:tcBorders>
              <w:top w:val="nil"/>
              <w:bottom w:val="nil"/>
            </w:tcBorders>
          </w:tcPr>
          <w:p>
            <w:pPr/>
          </w:p>
        </w:tc>
        <w:tc>
          <w:tcPr>
            <w:tcW w:w="1475" w:type="dxa"/>
            <w:tcBorders>
              <w:top w:val="nil"/>
              <w:bottom w:val="nil"/>
              <w:right w:val="nil"/>
            </w:tcBorders>
          </w:tcPr>
          <w:p>
            <w:pPr>
              <w:pStyle w:val="TableParagraph"/>
              <w:spacing w:line="242" w:lineRule="exact"/>
              <w:rPr>
                <w:sz w:val="22"/>
              </w:rPr>
            </w:pPr>
            <w:r>
              <w:rPr>
                <w:sz w:val="22"/>
              </w:rPr>
              <w:t>Desarrollo</w:t>
            </w:r>
          </w:p>
        </w:tc>
        <w:tc>
          <w:tcPr>
            <w:tcW w:w="412" w:type="dxa"/>
            <w:tcBorders>
              <w:top w:val="nil"/>
              <w:left w:val="nil"/>
              <w:bottom w:val="nil"/>
            </w:tcBorders>
          </w:tcPr>
          <w:p>
            <w:pPr/>
          </w:p>
        </w:tc>
        <w:tc>
          <w:tcPr>
            <w:tcW w:w="1289" w:type="dxa"/>
            <w:tcBorders>
              <w:top w:val="nil"/>
              <w:bottom w:val="nil"/>
            </w:tcBorders>
          </w:tcPr>
          <w:p>
            <w:pPr>
              <w:pStyle w:val="TableParagraph"/>
              <w:spacing w:line="242" w:lineRule="exact"/>
              <w:ind w:left="135" w:right="136"/>
              <w:jc w:val="center"/>
              <w:rPr>
                <w:sz w:val="22"/>
              </w:rPr>
            </w:pPr>
            <w:r>
              <w:rPr>
                <w:sz w:val="22"/>
              </w:rPr>
              <w:t>Iturbide,</w:t>
            </w:r>
          </w:p>
        </w:tc>
        <w:tc>
          <w:tcPr>
            <w:tcW w:w="1174" w:type="dxa"/>
            <w:tcBorders>
              <w:top w:val="nil"/>
              <w:bottom w:val="nil"/>
            </w:tcBorders>
          </w:tcPr>
          <w:p>
            <w:pPr>
              <w:pStyle w:val="TableParagraph"/>
              <w:spacing w:line="242" w:lineRule="exact"/>
              <w:ind w:left="84" w:right="84"/>
              <w:jc w:val="center"/>
              <w:rPr>
                <w:sz w:val="22"/>
              </w:rPr>
            </w:pPr>
            <w:r>
              <w:rPr>
                <w:sz w:val="22"/>
              </w:rPr>
              <w:t>y Toluca</w:t>
            </w:r>
          </w:p>
        </w:tc>
        <w:tc>
          <w:tcPr>
            <w:tcW w:w="6215" w:type="dxa"/>
            <w:tcBorders>
              <w:top w:val="nil"/>
              <w:bottom w:val="nil"/>
            </w:tcBorders>
          </w:tcPr>
          <w:p>
            <w:pPr>
              <w:pStyle w:val="TableParagraph"/>
              <w:spacing w:line="242" w:lineRule="exact"/>
              <w:ind w:left="100" w:right="105"/>
              <w:rPr>
                <w:sz w:val="22"/>
              </w:rPr>
            </w:pPr>
            <w:r>
              <w:rPr>
                <w:sz w:val="22"/>
              </w:rPr>
              <w:t>alternativas de solución.</w:t>
            </w:r>
          </w:p>
        </w:tc>
      </w:tr>
      <w:tr>
        <w:trPr>
          <w:trHeight w:val="379" w:hRule="exact"/>
        </w:trPr>
        <w:tc>
          <w:tcPr>
            <w:tcW w:w="1385" w:type="dxa"/>
            <w:tcBorders>
              <w:top w:val="nil"/>
              <w:bottom w:val="nil"/>
            </w:tcBorders>
          </w:tcPr>
          <w:p>
            <w:pPr>
              <w:pStyle w:val="TableParagraph"/>
              <w:spacing w:line="241" w:lineRule="exact"/>
              <w:ind w:right="127"/>
              <w:rPr>
                <w:sz w:val="22"/>
              </w:rPr>
            </w:pPr>
            <w:r>
              <w:rPr>
                <w:sz w:val="22"/>
              </w:rPr>
              <w:t>Lucas</w:t>
            </w:r>
          </w:p>
        </w:tc>
        <w:tc>
          <w:tcPr>
            <w:tcW w:w="1274" w:type="dxa"/>
            <w:tcBorders>
              <w:top w:val="nil"/>
              <w:bottom w:val="nil"/>
            </w:tcBorders>
          </w:tcPr>
          <w:p>
            <w:pPr>
              <w:pStyle w:val="TableParagraph"/>
              <w:spacing w:line="241" w:lineRule="exact"/>
              <w:ind w:left="446" w:right="98"/>
              <w:rPr>
                <w:sz w:val="22"/>
              </w:rPr>
            </w:pPr>
            <w:r>
              <w:rPr>
                <w:sz w:val="22"/>
              </w:rPr>
              <w:t>S/D</w:t>
            </w:r>
          </w:p>
        </w:tc>
        <w:tc>
          <w:tcPr>
            <w:tcW w:w="1475" w:type="dxa"/>
            <w:tcBorders>
              <w:top w:val="nil"/>
              <w:bottom w:val="nil"/>
              <w:right w:val="nil"/>
            </w:tcBorders>
          </w:tcPr>
          <w:p>
            <w:pPr>
              <w:pStyle w:val="TableParagraph"/>
              <w:spacing w:line="241" w:lineRule="exact"/>
              <w:rPr>
                <w:sz w:val="22"/>
              </w:rPr>
            </w:pPr>
            <w:r>
              <w:rPr>
                <w:sz w:val="22"/>
              </w:rPr>
              <w:t>Agropecuario</w:t>
            </w:r>
          </w:p>
        </w:tc>
        <w:tc>
          <w:tcPr>
            <w:tcW w:w="412" w:type="dxa"/>
            <w:tcBorders>
              <w:top w:val="nil"/>
              <w:left w:val="nil"/>
              <w:bottom w:val="nil"/>
            </w:tcBorders>
          </w:tcPr>
          <w:p>
            <w:pPr/>
          </w:p>
        </w:tc>
        <w:tc>
          <w:tcPr>
            <w:tcW w:w="1289" w:type="dxa"/>
            <w:tcBorders>
              <w:top w:val="nil"/>
              <w:bottom w:val="nil"/>
            </w:tcBorders>
          </w:tcPr>
          <w:p>
            <w:pPr>
              <w:pStyle w:val="TableParagraph"/>
              <w:spacing w:line="241" w:lineRule="exact"/>
              <w:ind w:left="136" w:right="136"/>
              <w:jc w:val="center"/>
              <w:rPr>
                <w:sz w:val="22"/>
              </w:rPr>
            </w:pPr>
            <w:r>
              <w:rPr>
                <w:sz w:val="22"/>
              </w:rPr>
              <w:t>Timilpan</w:t>
            </w:r>
          </w:p>
        </w:tc>
        <w:tc>
          <w:tcPr>
            <w:tcW w:w="1174" w:type="dxa"/>
            <w:tcBorders>
              <w:top w:val="nil"/>
              <w:bottom w:val="nil"/>
            </w:tcBorders>
          </w:tcPr>
          <w:p>
            <w:pPr/>
          </w:p>
        </w:tc>
        <w:tc>
          <w:tcPr>
            <w:tcW w:w="6215" w:type="dxa"/>
            <w:tcBorders>
              <w:top w:val="nil"/>
              <w:bottom w:val="nil"/>
            </w:tcBorders>
          </w:tcPr>
          <w:p>
            <w:pPr/>
          </w:p>
        </w:tc>
      </w:tr>
      <w:tr>
        <w:trPr>
          <w:trHeight w:val="375" w:hRule="exact"/>
        </w:trPr>
        <w:tc>
          <w:tcPr>
            <w:tcW w:w="1385" w:type="dxa"/>
            <w:tcBorders>
              <w:top w:val="nil"/>
            </w:tcBorders>
          </w:tcPr>
          <w:p>
            <w:pPr>
              <w:pStyle w:val="TableParagraph"/>
              <w:spacing w:before="115"/>
              <w:ind w:left="155"/>
              <w:rPr>
                <w:sz w:val="22"/>
              </w:rPr>
            </w:pPr>
            <w:r>
              <w:rPr>
                <w:sz w:val="22"/>
              </w:rPr>
              <w:t>(17/I/2015)</w:t>
            </w:r>
          </w:p>
        </w:tc>
        <w:tc>
          <w:tcPr>
            <w:tcW w:w="1274" w:type="dxa"/>
            <w:tcBorders>
              <w:top w:val="nil"/>
            </w:tcBorders>
          </w:tcPr>
          <w:p>
            <w:pPr/>
          </w:p>
        </w:tc>
        <w:tc>
          <w:tcPr>
            <w:tcW w:w="1475" w:type="dxa"/>
            <w:tcBorders>
              <w:top w:val="nil"/>
              <w:right w:val="nil"/>
            </w:tcBorders>
          </w:tcPr>
          <w:p>
            <w:pPr/>
          </w:p>
        </w:tc>
        <w:tc>
          <w:tcPr>
            <w:tcW w:w="412" w:type="dxa"/>
            <w:tcBorders>
              <w:top w:val="nil"/>
              <w:left w:val="nil"/>
            </w:tcBorders>
          </w:tcPr>
          <w:p>
            <w:pPr/>
          </w:p>
        </w:tc>
        <w:tc>
          <w:tcPr>
            <w:tcW w:w="1289" w:type="dxa"/>
            <w:tcBorders>
              <w:top w:val="nil"/>
            </w:tcBorders>
          </w:tcPr>
          <w:p>
            <w:pPr/>
          </w:p>
        </w:tc>
        <w:tc>
          <w:tcPr>
            <w:tcW w:w="1174" w:type="dxa"/>
            <w:tcBorders>
              <w:top w:val="nil"/>
            </w:tcBorders>
          </w:tcPr>
          <w:p>
            <w:pPr/>
          </w:p>
        </w:tc>
        <w:tc>
          <w:tcPr>
            <w:tcW w:w="6215" w:type="dxa"/>
            <w:tcBorders>
              <w:top w:val="nil"/>
            </w:tcBorders>
          </w:tcPr>
          <w:p>
            <w:pPr/>
          </w:p>
        </w:tc>
      </w:tr>
      <w:tr>
        <w:trPr>
          <w:trHeight w:val="267" w:hRule="exact"/>
        </w:trPr>
        <w:tc>
          <w:tcPr>
            <w:tcW w:w="1385" w:type="dxa"/>
            <w:tcBorders>
              <w:bottom w:val="nil"/>
            </w:tcBorders>
          </w:tcPr>
          <w:p>
            <w:pPr>
              <w:pStyle w:val="TableParagraph"/>
              <w:spacing w:line="251" w:lineRule="exact"/>
              <w:rPr>
                <w:sz w:val="22"/>
              </w:rPr>
            </w:pPr>
            <w:r>
              <w:rPr>
                <w:sz w:val="22"/>
              </w:rPr>
              <w:t>Alfonso   de</w:t>
            </w:r>
          </w:p>
        </w:tc>
        <w:tc>
          <w:tcPr>
            <w:tcW w:w="1274" w:type="dxa"/>
            <w:tcBorders>
              <w:bottom w:val="nil"/>
            </w:tcBorders>
          </w:tcPr>
          <w:p>
            <w:pPr/>
          </w:p>
        </w:tc>
        <w:tc>
          <w:tcPr>
            <w:tcW w:w="1475" w:type="dxa"/>
            <w:tcBorders>
              <w:bottom w:val="nil"/>
              <w:right w:val="nil"/>
            </w:tcBorders>
          </w:tcPr>
          <w:p>
            <w:pPr>
              <w:pStyle w:val="TableParagraph"/>
              <w:spacing w:line="251" w:lineRule="exact"/>
              <w:rPr>
                <w:sz w:val="22"/>
              </w:rPr>
            </w:pPr>
            <w:r>
              <w:rPr>
                <w:sz w:val="22"/>
              </w:rPr>
              <w:t>Director</w:t>
            </w:r>
          </w:p>
        </w:tc>
        <w:tc>
          <w:tcPr>
            <w:tcW w:w="412" w:type="dxa"/>
            <w:tcBorders>
              <w:left w:val="nil"/>
              <w:bottom w:val="nil"/>
            </w:tcBorders>
          </w:tcPr>
          <w:p>
            <w:pPr>
              <w:pStyle w:val="TableParagraph"/>
              <w:spacing w:line="251" w:lineRule="exact"/>
              <w:ind w:left="39" w:right="83"/>
              <w:jc w:val="center"/>
              <w:rPr>
                <w:sz w:val="22"/>
              </w:rPr>
            </w:pPr>
            <w:r>
              <w:rPr>
                <w:sz w:val="22"/>
              </w:rPr>
              <w:t>de</w:t>
            </w:r>
          </w:p>
        </w:tc>
        <w:tc>
          <w:tcPr>
            <w:tcW w:w="1289" w:type="dxa"/>
            <w:tcBorders>
              <w:bottom w:val="nil"/>
            </w:tcBorders>
          </w:tcPr>
          <w:p>
            <w:pPr>
              <w:pStyle w:val="TableParagraph"/>
              <w:spacing w:line="251" w:lineRule="exact"/>
              <w:ind w:left="136" w:right="136"/>
              <w:jc w:val="center"/>
              <w:rPr>
                <w:sz w:val="22"/>
              </w:rPr>
            </w:pPr>
            <w:r>
              <w:rPr>
                <w:sz w:val="22"/>
              </w:rPr>
              <w:t>Timilpan</w:t>
            </w:r>
          </w:p>
        </w:tc>
        <w:tc>
          <w:tcPr>
            <w:tcW w:w="1174" w:type="dxa"/>
            <w:tcBorders>
              <w:bottom w:val="nil"/>
            </w:tcBorders>
          </w:tcPr>
          <w:p>
            <w:pPr>
              <w:pStyle w:val="TableParagraph"/>
              <w:spacing w:line="251" w:lineRule="exact"/>
              <w:ind w:left="84" w:right="84"/>
              <w:jc w:val="center"/>
              <w:rPr>
                <w:sz w:val="22"/>
              </w:rPr>
            </w:pPr>
            <w:r>
              <w:rPr>
                <w:sz w:val="22"/>
              </w:rPr>
              <w:t>Timilpan</w:t>
            </w:r>
          </w:p>
        </w:tc>
        <w:tc>
          <w:tcPr>
            <w:tcW w:w="6215" w:type="dxa"/>
            <w:tcBorders>
              <w:bottom w:val="nil"/>
            </w:tcBorders>
          </w:tcPr>
          <w:p>
            <w:pPr>
              <w:pStyle w:val="TableParagraph"/>
              <w:spacing w:line="251" w:lineRule="exact"/>
              <w:ind w:left="100" w:right="105"/>
              <w:rPr>
                <w:sz w:val="22"/>
              </w:rPr>
            </w:pPr>
            <w:r>
              <w:rPr>
                <w:sz w:val="22"/>
              </w:rPr>
              <w:t>¡Claro que sí!, todo depende de mi trabajo, sí hay tiempo y</w:t>
            </w:r>
          </w:p>
        </w:tc>
      </w:tr>
      <w:tr>
        <w:trPr>
          <w:trHeight w:val="253" w:hRule="exact"/>
        </w:trPr>
        <w:tc>
          <w:tcPr>
            <w:tcW w:w="1385" w:type="dxa"/>
            <w:tcBorders>
              <w:top w:val="nil"/>
              <w:bottom w:val="nil"/>
            </w:tcBorders>
          </w:tcPr>
          <w:p>
            <w:pPr>
              <w:pStyle w:val="TableParagraph"/>
              <w:tabs>
                <w:tab w:pos="805" w:val="left" w:leader="none"/>
              </w:tabs>
              <w:spacing w:line="242" w:lineRule="exact"/>
              <w:rPr>
                <w:sz w:val="22"/>
              </w:rPr>
            </w:pPr>
            <w:r>
              <w:rPr>
                <w:sz w:val="22"/>
              </w:rPr>
              <w:t>la</w:t>
              <w:tab/>
              <w:t>Cruz</w:t>
            </w:r>
          </w:p>
        </w:tc>
        <w:tc>
          <w:tcPr>
            <w:tcW w:w="1274" w:type="dxa"/>
            <w:tcBorders>
              <w:top w:val="nil"/>
              <w:bottom w:val="nil"/>
            </w:tcBorders>
          </w:tcPr>
          <w:p>
            <w:pPr/>
          </w:p>
        </w:tc>
        <w:tc>
          <w:tcPr>
            <w:tcW w:w="1475" w:type="dxa"/>
            <w:tcBorders>
              <w:top w:val="nil"/>
              <w:bottom w:val="nil"/>
              <w:right w:val="nil"/>
            </w:tcBorders>
          </w:tcPr>
          <w:p>
            <w:pPr>
              <w:pStyle w:val="TableParagraph"/>
              <w:spacing w:line="242" w:lineRule="exact"/>
              <w:rPr>
                <w:sz w:val="22"/>
              </w:rPr>
            </w:pPr>
            <w:r>
              <w:rPr>
                <w:sz w:val="22"/>
              </w:rPr>
              <w:t>Desarrollo</w:t>
            </w: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2" w:lineRule="exact"/>
              <w:ind w:left="100"/>
              <w:rPr>
                <w:sz w:val="22"/>
              </w:rPr>
            </w:pPr>
            <w:r>
              <w:rPr>
                <w:sz w:val="22"/>
              </w:rPr>
              <w:t>porque me interesa porque vivo cerca en Zaragoza y  porque</w:t>
            </w:r>
          </w:p>
        </w:tc>
      </w:tr>
      <w:tr>
        <w:trPr>
          <w:trHeight w:val="380" w:hRule="exact"/>
        </w:trPr>
        <w:tc>
          <w:tcPr>
            <w:tcW w:w="1385" w:type="dxa"/>
            <w:tcBorders>
              <w:top w:val="nil"/>
              <w:bottom w:val="nil"/>
            </w:tcBorders>
          </w:tcPr>
          <w:p>
            <w:pPr>
              <w:pStyle w:val="TableParagraph"/>
              <w:spacing w:line="241" w:lineRule="exact"/>
              <w:ind w:right="127"/>
              <w:rPr>
                <w:sz w:val="22"/>
              </w:rPr>
            </w:pPr>
            <w:r>
              <w:rPr>
                <w:sz w:val="22"/>
              </w:rPr>
              <w:t>Andrés</w:t>
            </w:r>
          </w:p>
        </w:tc>
        <w:tc>
          <w:tcPr>
            <w:tcW w:w="1274" w:type="dxa"/>
            <w:tcBorders>
              <w:top w:val="nil"/>
              <w:bottom w:val="nil"/>
            </w:tcBorders>
          </w:tcPr>
          <w:p>
            <w:pPr>
              <w:pStyle w:val="TableParagraph"/>
              <w:spacing w:line="241" w:lineRule="exact"/>
              <w:ind w:left="446" w:right="98"/>
              <w:rPr>
                <w:sz w:val="22"/>
              </w:rPr>
            </w:pPr>
            <w:r>
              <w:rPr>
                <w:sz w:val="22"/>
              </w:rPr>
              <w:t>S/D</w:t>
            </w:r>
          </w:p>
        </w:tc>
        <w:tc>
          <w:tcPr>
            <w:tcW w:w="1475" w:type="dxa"/>
            <w:tcBorders>
              <w:top w:val="nil"/>
              <w:bottom w:val="nil"/>
              <w:right w:val="nil"/>
            </w:tcBorders>
          </w:tcPr>
          <w:p>
            <w:pPr>
              <w:pStyle w:val="TableParagraph"/>
              <w:spacing w:line="241" w:lineRule="exact"/>
              <w:rPr>
                <w:sz w:val="22"/>
              </w:rPr>
            </w:pPr>
            <w:r>
              <w:rPr>
                <w:sz w:val="22"/>
              </w:rPr>
              <w:t>Económico</w:t>
            </w:r>
          </w:p>
        </w:tc>
        <w:tc>
          <w:tcPr>
            <w:tcW w:w="412" w:type="dxa"/>
            <w:tcBorders>
              <w:top w:val="nil"/>
              <w:left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6215" w:type="dxa"/>
            <w:tcBorders>
              <w:top w:val="nil"/>
              <w:bottom w:val="nil"/>
            </w:tcBorders>
          </w:tcPr>
          <w:p>
            <w:pPr>
              <w:pStyle w:val="TableParagraph"/>
              <w:spacing w:line="241" w:lineRule="exact"/>
              <w:ind w:left="100" w:right="105"/>
              <w:rPr>
                <w:sz w:val="22"/>
              </w:rPr>
            </w:pPr>
            <w:r>
              <w:rPr>
                <w:sz w:val="22"/>
              </w:rPr>
              <w:t>es un patrimonio del municipio.</w:t>
            </w:r>
          </w:p>
        </w:tc>
      </w:tr>
      <w:tr>
        <w:trPr>
          <w:trHeight w:val="377" w:hRule="exact"/>
        </w:trPr>
        <w:tc>
          <w:tcPr>
            <w:tcW w:w="1385" w:type="dxa"/>
            <w:tcBorders>
              <w:top w:val="nil"/>
            </w:tcBorders>
          </w:tcPr>
          <w:p>
            <w:pPr>
              <w:pStyle w:val="TableParagraph"/>
              <w:spacing w:before="115"/>
              <w:ind w:right="127"/>
              <w:rPr>
                <w:sz w:val="22"/>
              </w:rPr>
            </w:pPr>
            <w:r>
              <w:rPr>
                <w:sz w:val="22"/>
              </w:rPr>
              <w:t>(13/I/2015)</w:t>
            </w:r>
          </w:p>
        </w:tc>
        <w:tc>
          <w:tcPr>
            <w:tcW w:w="1274" w:type="dxa"/>
            <w:tcBorders>
              <w:top w:val="nil"/>
            </w:tcBorders>
          </w:tcPr>
          <w:p>
            <w:pPr/>
          </w:p>
        </w:tc>
        <w:tc>
          <w:tcPr>
            <w:tcW w:w="1475" w:type="dxa"/>
            <w:tcBorders>
              <w:top w:val="nil"/>
              <w:right w:val="nil"/>
            </w:tcBorders>
          </w:tcPr>
          <w:p>
            <w:pPr/>
          </w:p>
        </w:tc>
        <w:tc>
          <w:tcPr>
            <w:tcW w:w="412" w:type="dxa"/>
            <w:tcBorders>
              <w:top w:val="nil"/>
              <w:left w:val="nil"/>
            </w:tcBorders>
          </w:tcPr>
          <w:p>
            <w:pPr/>
          </w:p>
        </w:tc>
        <w:tc>
          <w:tcPr>
            <w:tcW w:w="1289" w:type="dxa"/>
            <w:tcBorders>
              <w:top w:val="nil"/>
            </w:tcBorders>
          </w:tcPr>
          <w:p>
            <w:pPr/>
          </w:p>
        </w:tc>
        <w:tc>
          <w:tcPr>
            <w:tcW w:w="1174" w:type="dxa"/>
            <w:tcBorders>
              <w:top w:val="nil"/>
            </w:tcBorders>
          </w:tcPr>
          <w:p>
            <w:pPr/>
          </w:p>
        </w:tc>
        <w:tc>
          <w:tcPr>
            <w:tcW w:w="6215" w:type="dxa"/>
            <w:tcBorders>
              <w:top w:val="nil"/>
            </w:tcBorders>
          </w:tcPr>
          <w:p>
            <w:pPr/>
          </w:p>
        </w:tc>
      </w:tr>
    </w:tbl>
    <w:p>
      <w:pPr>
        <w:pStyle w:val="BodyText"/>
        <w:spacing w:line="248" w:lineRule="exact"/>
        <w:ind w:left="218" w:right="778"/>
      </w:pPr>
      <w:r>
        <w:rPr>
          <w:b/>
        </w:rPr>
        <w:t>Fuente: </w:t>
      </w:r>
      <w:r>
        <w:rPr/>
        <w:t>Elaboración propia con base en el Trabajo de Campo, García (2013-2015).</w:t>
      </w:r>
    </w:p>
    <w:p>
      <w:pPr>
        <w:pStyle w:val="BodyText"/>
        <w:spacing w:before="6"/>
        <w:rPr>
          <w:sz w:val="20"/>
        </w:rPr>
      </w:pPr>
    </w:p>
    <w:p>
      <w:pPr>
        <w:pStyle w:val="Heading6"/>
        <w:numPr>
          <w:ilvl w:val="2"/>
          <w:numId w:val="52"/>
        </w:numPr>
        <w:tabs>
          <w:tab w:pos="5797" w:val="left" w:leader="none"/>
        </w:tabs>
        <w:spacing w:line="240" w:lineRule="auto" w:before="0" w:after="0"/>
        <w:ind w:left="5796" w:right="19" w:hanging="616"/>
        <w:jc w:val="center"/>
      </w:pPr>
      <w:bookmarkStart w:name="_TOC_250025" w:id="48"/>
      <w:r>
        <w:rPr>
          <w:u w:val="thick"/>
        </w:rPr>
        <w:t>ACTORES</w:t>
      </w:r>
      <w:r>
        <w:rPr>
          <w:spacing w:val="-14"/>
          <w:u w:val="thick"/>
        </w:rPr>
        <w:t> </w:t>
      </w:r>
      <w:bookmarkEnd w:id="48"/>
      <w:r>
        <w:rPr>
          <w:u w:val="thick"/>
        </w:rPr>
        <w:t>FEDERALES</w:t>
      </w:r>
    </w:p>
    <w:p>
      <w:pPr>
        <w:pStyle w:val="BodyText"/>
        <w:spacing w:before="5"/>
        <w:rPr>
          <w:b/>
          <w:sz w:val="14"/>
        </w:rPr>
      </w:pPr>
    </w:p>
    <w:p>
      <w:pPr>
        <w:spacing w:before="73" w:after="4"/>
        <w:ind w:left="3883" w:right="778" w:firstLine="0"/>
        <w:jc w:val="left"/>
        <w:rPr>
          <w:b/>
          <w:sz w:val="22"/>
        </w:rPr>
      </w:pPr>
      <w:r>
        <w:rPr>
          <w:b/>
          <w:sz w:val="22"/>
        </w:rPr>
        <w:t>Tabla 6.14. Actores Federales (Autoridades Federales)</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2" w:hRule="exact"/>
        </w:trPr>
        <w:tc>
          <w:tcPr>
            <w:tcW w:w="13224" w:type="dxa"/>
            <w:gridSpan w:val="7"/>
            <w:shd w:val="clear" w:color="auto" w:fill="9BBA58"/>
          </w:tcPr>
          <w:p>
            <w:pPr>
              <w:pStyle w:val="TableParagraph"/>
              <w:spacing w:line="248" w:lineRule="exact"/>
              <w:ind w:left="4869" w:right="4869"/>
              <w:jc w:val="center"/>
              <w:rPr>
                <w:b/>
                <w:sz w:val="22"/>
              </w:rPr>
            </w:pPr>
            <w:r>
              <w:rPr>
                <w:b/>
                <w:sz w:val="22"/>
              </w:rPr>
              <w:t>ACTORES FEDERALES</w:t>
            </w:r>
          </w:p>
        </w:tc>
      </w:tr>
      <w:tr>
        <w:trPr>
          <w:trHeight w:val="525" w:hRule="exact"/>
        </w:trPr>
        <w:tc>
          <w:tcPr>
            <w:tcW w:w="4547" w:type="dxa"/>
            <w:gridSpan w:val="3"/>
            <w:vMerge w:val="restart"/>
            <w:shd w:val="clear" w:color="auto" w:fill="F9BE8F"/>
          </w:tcPr>
          <w:p>
            <w:pPr>
              <w:pStyle w:val="TableParagraph"/>
              <w:spacing w:before="7"/>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line="249" w:lineRule="exact"/>
              <w:ind w:left="2695"/>
              <w:rPr>
                <w:b/>
                <w:sz w:val="22"/>
              </w:rPr>
            </w:pPr>
            <w:r>
              <w:rPr>
                <w:b/>
                <w:sz w:val="22"/>
              </w:rPr>
              <w:t>PRINCIPIOS DE GOBERNANZA</w:t>
            </w:r>
          </w:p>
        </w:tc>
      </w:tr>
      <w:tr>
        <w:trPr>
          <w:trHeight w:val="264"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Poder</w:t>
            </w:r>
          </w:p>
        </w:tc>
        <w:tc>
          <w:tcPr>
            <w:tcW w:w="3901" w:type="dxa"/>
            <w:shd w:val="clear" w:color="auto" w:fill="92CDDC"/>
          </w:tcPr>
          <w:p>
            <w:pPr>
              <w:pStyle w:val="TableParagraph"/>
              <w:spacing w:line="251" w:lineRule="exact"/>
              <w:rPr>
                <w:b/>
                <w:i/>
                <w:sz w:val="22"/>
              </w:rPr>
            </w:pPr>
            <w:r>
              <w:rPr>
                <w:b/>
                <w:i/>
                <w:sz w:val="22"/>
              </w:rPr>
              <w:t>Poder y cultura</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tabs>
                <w:tab w:pos="1225" w:val="left" w:leader="none"/>
                <w:tab w:pos="1883" w:val="left" w:leader="none"/>
              </w:tabs>
              <w:spacing w:line="248" w:lineRule="exact"/>
              <w:ind w:left="100"/>
              <w:rPr>
                <w:b/>
                <w:sz w:val="22"/>
              </w:rPr>
            </w:pPr>
            <w:r>
              <w:rPr>
                <w:b/>
                <w:sz w:val="22"/>
              </w:rPr>
              <w:t>¿Cuáles</w:t>
              <w:tab/>
              <w:t>son</w:t>
              <w:tab/>
              <w:t>los</w:t>
            </w:r>
          </w:p>
        </w:tc>
        <w:tc>
          <w:tcPr>
            <w:tcW w:w="3901" w:type="dxa"/>
            <w:tcBorders>
              <w:bottom w:val="nil"/>
            </w:tcBorders>
            <w:shd w:val="clear" w:color="auto" w:fill="92CDDC"/>
          </w:tcPr>
          <w:p>
            <w:pPr>
              <w:pStyle w:val="TableParagraph"/>
              <w:tabs>
                <w:tab w:pos="851" w:val="left" w:leader="none"/>
                <w:tab w:pos="1487" w:val="left" w:leader="none"/>
                <w:tab w:pos="2245" w:val="left" w:leader="none"/>
                <w:tab w:pos="3603" w:val="left" w:leader="none"/>
              </w:tabs>
              <w:spacing w:line="248" w:lineRule="exact"/>
              <w:rPr>
                <w:b/>
                <w:sz w:val="22"/>
              </w:rPr>
            </w:pPr>
            <w:r>
              <w:rPr>
                <w:b/>
                <w:sz w:val="22"/>
              </w:rPr>
              <w:t>¿Por</w:t>
              <w:tab/>
              <w:t>qué</w:t>
              <w:tab/>
              <w:t>tiene</w:t>
              <w:tab/>
              <w:t>problemas</w:t>
              <w:tab/>
              <w:t>la</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1811" w:val="left" w:leader="none"/>
              </w:tabs>
              <w:spacing w:line="241" w:lineRule="exact"/>
              <w:ind w:left="100"/>
              <w:rPr>
                <w:b/>
                <w:sz w:val="22"/>
              </w:rPr>
            </w:pPr>
            <w:r>
              <w:rPr>
                <w:b/>
                <w:sz w:val="22"/>
              </w:rPr>
              <w:t>problemas</w:t>
              <w:tab/>
              <w:t>que</w:t>
            </w:r>
          </w:p>
        </w:tc>
        <w:tc>
          <w:tcPr>
            <w:tcW w:w="3901" w:type="dxa"/>
            <w:tcBorders>
              <w:top w:val="nil"/>
              <w:bottom w:val="nil"/>
            </w:tcBorders>
            <w:shd w:val="clear" w:color="auto" w:fill="92CDDC"/>
          </w:tcPr>
          <w:p>
            <w:pPr>
              <w:pStyle w:val="TableParagraph"/>
              <w:spacing w:line="241" w:lineRule="exact"/>
              <w:rPr>
                <w:b/>
                <w:sz w:val="22"/>
              </w:rPr>
            </w:pPr>
            <w:r>
              <w:rPr>
                <w:b/>
                <w:sz w:val="22"/>
              </w:rPr>
              <w:t>laguna de Huapango?</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spacing w:line="242" w:lineRule="exact"/>
              <w:ind w:left="100"/>
              <w:rPr>
                <w:b/>
                <w:sz w:val="22"/>
              </w:rPr>
            </w:pPr>
            <w:r>
              <w:rPr>
                <w:b/>
                <w:sz w:val="22"/>
              </w:rPr>
              <w:t>tiene  la  laguna   de</w:t>
            </w:r>
          </w:p>
        </w:tc>
        <w:tc>
          <w:tcPr>
            <w:tcW w:w="3901" w:type="dxa"/>
            <w:tcBorders>
              <w:top w:val="nil"/>
              <w:bottom w:val="nil"/>
            </w:tcBorders>
            <w:shd w:val="clear" w:color="auto" w:fill="92CDDC"/>
          </w:tcPr>
          <w:p>
            <w:pPr/>
          </w:p>
        </w:tc>
      </w:tr>
      <w:tr>
        <w:trPr>
          <w:trHeight w:val="250"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Huapango?</w:t>
            </w:r>
          </w:p>
        </w:tc>
        <w:tc>
          <w:tcPr>
            <w:tcW w:w="3901" w:type="dxa"/>
            <w:tcBorders>
              <w:top w:val="nil"/>
            </w:tcBorders>
            <w:shd w:val="clear" w:color="auto" w:fill="92CDDC"/>
          </w:tcPr>
          <w:p>
            <w:pPr/>
          </w:p>
        </w:tc>
      </w:tr>
      <w:tr>
        <w:trPr>
          <w:trHeight w:val="269" w:hRule="exact"/>
        </w:trPr>
        <w:tc>
          <w:tcPr>
            <w:tcW w:w="1385" w:type="dxa"/>
            <w:tcBorders>
              <w:bottom w:val="nil"/>
            </w:tcBorders>
          </w:tcPr>
          <w:p>
            <w:pPr>
              <w:pStyle w:val="TableParagraph"/>
              <w:ind w:right="127"/>
              <w:rPr>
                <w:sz w:val="22"/>
              </w:rPr>
            </w:pPr>
            <w:r>
              <w:rPr>
                <w:sz w:val="22"/>
              </w:rPr>
              <w:t>Raúl Rivas</w:t>
            </w:r>
          </w:p>
        </w:tc>
        <w:tc>
          <w:tcPr>
            <w:tcW w:w="1274" w:type="dxa"/>
            <w:tcBorders>
              <w:bottom w:val="nil"/>
            </w:tcBorders>
          </w:tcPr>
          <w:p>
            <w:pPr>
              <w:pStyle w:val="TableParagraph"/>
              <w:ind w:left="100" w:right="98"/>
              <w:rPr>
                <w:sz w:val="22"/>
              </w:rPr>
            </w:pPr>
            <w:r>
              <w:rPr>
                <w:sz w:val="22"/>
              </w:rPr>
              <w:t>Ingeniero</w:t>
            </w:r>
          </w:p>
        </w:tc>
        <w:tc>
          <w:tcPr>
            <w:tcW w:w="1887" w:type="dxa"/>
            <w:tcBorders>
              <w:bottom w:val="nil"/>
            </w:tcBorders>
          </w:tcPr>
          <w:p>
            <w:pPr>
              <w:pStyle w:val="TableParagraph"/>
              <w:rPr>
                <w:sz w:val="22"/>
              </w:rPr>
            </w:pPr>
            <w:r>
              <w:rPr>
                <w:sz w:val="22"/>
              </w:rPr>
              <w:t>Jefe del Distrito</w:t>
            </w:r>
          </w:p>
        </w:tc>
        <w:tc>
          <w:tcPr>
            <w:tcW w:w="1289" w:type="dxa"/>
            <w:tcBorders>
              <w:bottom w:val="nil"/>
            </w:tcBorders>
          </w:tcPr>
          <w:p>
            <w:pPr>
              <w:pStyle w:val="TableParagraph"/>
              <w:rPr>
                <w:sz w:val="22"/>
              </w:rPr>
            </w:pPr>
            <w:r>
              <w:rPr>
                <w:sz w:val="22"/>
              </w:rPr>
              <w:t>Cuautla,</w:t>
            </w:r>
          </w:p>
        </w:tc>
        <w:tc>
          <w:tcPr>
            <w:tcW w:w="1174" w:type="dxa"/>
            <w:tcBorders>
              <w:bottom w:val="nil"/>
            </w:tcBorders>
          </w:tcPr>
          <w:p>
            <w:pPr>
              <w:pStyle w:val="TableParagraph"/>
              <w:rPr>
                <w:sz w:val="22"/>
              </w:rPr>
            </w:pPr>
            <w:r>
              <w:rPr>
                <w:sz w:val="22"/>
              </w:rPr>
              <w:t>Atlacomu</w:t>
            </w:r>
          </w:p>
        </w:tc>
        <w:tc>
          <w:tcPr>
            <w:tcW w:w="2314" w:type="dxa"/>
            <w:tcBorders>
              <w:bottom w:val="nil"/>
            </w:tcBorders>
          </w:tcPr>
          <w:p>
            <w:pPr>
              <w:pStyle w:val="TableParagraph"/>
              <w:ind w:left="100"/>
              <w:rPr>
                <w:sz w:val="22"/>
              </w:rPr>
            </w:pPr>
            <w:r>
              <w:rPr>
                <w:sz w:val="22"/>
              </w:rPr>
              <w:t>El principal problema</w:t>
            </w:r>
          </w:p>
        </w:tc>
        <w:tc>
          <w:tcPr>
            <w:tcW w:w="3901" w:type="dxa"/>
            <w:tcBorders>
              <w:bottom w:val="nil"/>
            </w:tcBorders>
          </w:tcPr>
          <w:p>
            <w:pPr>
              <w:pStyle w:val="TableParagraph"/>
              <w:rPr>
                <w:sz w:val="22"/>
              </w:rPr>
            </w:pPr>
            <w:r>
              <w:rPr>
                <w:sz w:val="22"/>
              </w:rPr>
              <w:t>Porque  se  pierde  en  evaporación y</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Castillo</w:t>
            </w:r>
          </w:p>
        </w:tc>
        <w:tc>
          <w:tcPr>
            <w:tcW w:w="1274" w:type="dxa"/>
            <w:tcBorders>
              <w:top w:val="nil"/>
              <w:bottom w:val="nil"/>
            </w:tcBorders>
          </w:tcPr>
          <w:p>
            <w:pPr>
              <w:pStyle w:val="TableParagraph"/>
              <w:spacing w:line="241" w:lineRule="exact"/>
              <w:ind w:left="100" w:right="98"/>
              <w:rPr>
                <w:sz w:val="22"/>
              </w:rPr>
            </w:pPr>
            <w:r>
              <w:rPr>
                <w:sz w:val="22"/>
              </w:rPr>
              <w:t>Civil</w:t>
            </w:r>
          </w:p>
        </w:tc>
        <w:tc>
          <w:tcPr>
            <w:tcW w:w="1887" w:type="dxa"/>
            <w:tcBorders>
              <w:top w:val="nil"/>
              <w:bottom w:val="nil"/>
            </w:tcBorders>
          </w:tcPr>
          <w:p>
            <w:pPr>
              <w:pStyle w:val="TableParagraph"/>
              <w:spacing w:line="241" w:lineRule="exact"/>
              <w:rPr>
                <w:sz w:val="22"/>
              </w:rPr>
            </w:pPr>
            <w:r>
              <w:rPr>
                <w:sz w:val="22"/>
              </w:rPr>
              <w:t>de Riego en el</w:t>
            </w:r>
          </w:p>
        </w:tc>
        <w:tc>
          <w:tcPr>
            <w:tcW w:w="1289" w:type="dxa"/>
            <w:tcBorders>
              <w:top w:val="nil"/>
              <w:bottom w:val="nil"/>
            </w:tcBorders>
          </w:tcPr>
          <w:p>
            <w:pPr>
              <w:pStyle w:val="TableParagraph"/>
              <w:spacing w:line="241" w:lineRule="exact"/>
              <w:rPr>
                <w:sz w:val="22"/>
              </w:rPr>
            </w:pPr>
            <w:r>
              <w:rPr>
                <w:sz w:val="22"/>
              </w:rPr>
              <w:t>Morelos</w:t>
            </w:r>
          </w:p>
        </w:tc>
        <w:tc>
          <w:tcPr>
            <w:tcW w:w="1174" w:type="dxa"/>
            <w:tcBorders>
              <w:top w:val="nil"/>
              <w:bottom w:val="nil"/>
            </w:tcBorders>
          </w:tcPr>
          <w:p>
            <w:pPr>
              <w:pStyle w:val="TableParagraph"/>
              <w:spacing w:line="241" w:lineRule="exact"/>
              <w:rPr>
                <w:sz w:val="22"/>
              </w:rPr>
            </w:pPr>
            <w:r>
              <w:rPr>
                <w:sz w:val="22"/>
              </w:rPr>
              <w:t>lco,</w:t>
            </w:r>
          </w:p>
        </w:tc>
        <w:tc>
          <w:tcPr>
            <w:tcW w:w="2314" w:type="dxa"/>
            <w:tcBorders>
              <w:top w:val="nil"/>
              <w:bottom w:val="nil"/>
            </w:tcBorders>
          </w:tcPr>
          <w:p>
            <w:pPr>
              <w:pStyle w:val="TableParagraph"/>
              <w:spacing w:line="241" w:lineRule="exact"/>
              <w:ind w:left="100"/>
              <w:rPr>
                <w:sz w:val="22"/>
              </w:rPr>
            </w:pPr>
            <w:r>
              <w:rPr>
                <w:sz w:val="22"/>
              </w:rPr>
              <w:t>que  tiene  la </w:t>
            </w:r>
            <w:r>
              <w:rPr>
                <w:spacing w:val="50"/>
                <w:sz w:val="22"/>
              </w:rPr>
              <w:t> </w:t>
            </w:r>
            <w:r>
              <w:rPr>
                <w:sz w:val="22"/>
              </w:rPr>
              <w:t>laguna</w:t>
            </w:r>
          </w:p>
        </w:tc>
        <w:tc>
          <w:tcPr>
            <w:tcW w:w="3901" w:type="dxa"/>
            <w:tcBorders>
              <w:top w:val="nil"/>
              <w:bottom w:val="nil"/>
            </w:tcBorders>
          </w:tcPr>
          <w:p>
            <w:pPr>
              <w:pStyle w:val="TableParagraph"/>
              <w:spacing w:line="241" w:lineRule="exact"/>
              <w:rPr>
                <w:sz w:val="22"/>
              </w:rPr>
            </w:pPr>
            <w:r>
              <w:rPr>
                <w:sz w:val="22"/>
              </w:rPr>
              <w:t>se infiltra, ya que en los últimos  años</w:t>
            </w:r>
          </w:p>
        </w:tc>
      </w:tr>
      <w:tr>
        <w:trPr>
          <w:trHeight w:val="253" w:hRule="exact"/>
        </w:trPr>
        <w:tc>
          <w:tcPr>
            <w:tcW w:w="1385" w:type="dxa"/>
            <w:tcBorders>
              <w:top w:val="nil"/>
              <w:bottom w:val="nil"/>
            </w:tcBorders>
          </w:tcPr>
          <w:p>
            <w:pPr>
              <w:pStyle w:val="TableParagraph"/>
              <w:spacing w:line="241" w:lineRule="exact"/>
              <w:rPr>
                <w:sz w:val="22"/>
              </w:rPr>
            </w:pPr>
            <w:r>
              <w:rPr>
                <w:sz w:val="22"/>
              </w:rPr>
              <w:t>(13/II/2014)</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Estado de</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Estado</w:t>
            </w:r>
          </w:p>
        </w:tc>
        <w:tc>
          <w:tcPr>
            <w:tcW w:w="2314" w:type="dxa"/>
            <w:tcBorders>
              <w:top w:val="nil"/>
              <w:bottom w:val="nil"/>
            </w:tcBorders>
          </w:tcPr>
          <w:p>
            <w:pPr>
              <w:pStyle w:val="TableParagraph"/>
              <w:spacing w:line="241" w:lineRule="exact"/>
              <w:ind w:left="100"/>
              <w:rPr>
                <w:sz w:val="22"/>
              </w:rPr>
            </w:pPr>
            <w:r>
              <w:rPr>
                <w:sz w:val="22"/>
              </w:rPr>
              <w:t>de Huapango es</w:t>
            </w:r>
            <w:r>
              <w:rPr>
                <w:spacing w:val="53"/>
                <w:sz w:val="22"/>
              </w:rPr>
              <w:t> </w:t>
            </w:r>
            <w:r>
              <w:rPr>
                <w:sz w:val="22"/>
              </w:rPr>
              <w:t>que</w:t>
            </w:r>
          </w:p>
        </w:tc>
        <w:tc>
          <w:tcPr>
            <w:tcW w:w="3901" w:type="dxa"/>
            <w:tcBorders>
              <w:top w:val="nil"/>
              <w:bottom w:val="nil"/>
            </w:tcBorders>
          </w:tcPr>
          <w:p>
            <w:pPr>
              <w:pStyle w:val="TableParagraph"/>
              <w:spacing w:line="241" w:lineRule="exact"/>
              <w:rPr>
                <w:sz w:val="22"/>
              </w:rPr>
            </w:pPr>
            <w:r>
              <w:rPr>
                <w:sz w:val="22"/>
              </w:rPr>
              <w:t>ha habido pocas aportaciones.</w:t>
            </w: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México</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de</w:t>
            </w:r>
          </w:p>
        </w:tc>
        <w:tc>
          <w:tcPr>
            <w:tcW w:w="2314" w:type="dxa"/>
            <w:tcBorders>
              <w:top w:val="nil"/>
              <w:bottom w:val="nil"/>
            </w:tcBorders>
          </w:tcPr>
          <w:p>
            <w:pPr>
              <w:pStyle w:val="TableParagraph"/>
              <w:spacing w:line="242" w:lineRule="exact"/>
              <w:ind w:left="100"/>
              <w:rPr>
                <w:sz w:val="22"/>
              </w:rPr>
            </w:pPr>
            <w:r>
              <w:rPr>
                <w:sz w:val="22"/>
              </w:rPr>
              <w:t>el agua que entra  es</w:t>
            </w:r>
          </w:p>
        </w:tc>
        <w:tc>
          <w:tcPr>
            <w:tcW w:w="3901" w:type="dxa"/>
            <w:tcBorders>
              <w:top w:val="nil"/>
              <w:bottom w:val="nil"/>
            </w:tcBorders>
          </w:tcPr>
          <w:p>
            <w:pP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México</w:t>
            </w:r>
          </w:p>
        </w:tc>
        <w:tc>
          <w:tcPr>
            <w:tcW w:w="2314" w:type="dxa"/>
            <w:tcBorders>
              <w:top w:val="nil"/>
              <w:bottom w:val="nil"/>
            </w:tcBorders>
          </w:tcPr>
          <w:p>
            <w:pPr>
              <w:pStyle w:val="TableParagraph"/>
              <w:tabs>
                <w:tab w:pos="801" w:val="left" w:leader="none"/>
                <w:tab w:pos="1132" w:val="left" w:leader="none"/>
                <w:tab w:pos="1588" w:val="left" w:leader="none"/>
              </w:tabs>
              <w:spacing w:line="241" w:lineRule="exact"/>
              <w:ind w:left="100"/>
              <w:rPr>
                <w:sz w:val="22"/>
              </w:rPr>
            </w:pPr>
            <w:r>
              <w:rPr>
                <w:sz w:val="22"/>
              </w:rPr>
              <w:t>poca</w:t>
              <w:tab/>
              <w:t>y</w:t>
              <w:tab/>
              <w:t>se</w:t>
              <w:tab/>
              <w:t>pierde</w:t>
            </w:r>
          </w:p>
        </w:tc>
        <w:tc>
          <w:tcPr>
            <w:tcW w:w="3901" w:type="dxa"/>
            <w:tcBorders>
              <w:top w:val="nil"/>
              <w:bottom w:val="nil"/>
            </w:tcBorders>
          </w:tcPr>
          <w:p>
            <w:pPr/>
          </w:p>
        </w:tc>
      </w:tr>
      <w:tr>
        <w:trPr>
          <w:trHeight w:val="379"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mucha.</w:t>
            </w:r>
          </w:p>
        </w:tc>
        <w:tc>
          <w:tcPr>
            <w:tcW w:w="3901" w:type="dxa"/>
            <w:tcBorders>
              <w:top w:val="nil"/>
              <w:bottom w:val="nil"/>
            </w:tcBorders>
          </w:tcPr>
          <w:p>
            <w:pPr/>
          </w:p>
        </w:tc>
      </w:tr>
      <w:tr>
        <w:trPr>
          <w:trHeight w:val="379"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91" w:val="left" w:leader="none"/>
                <w:tab w:pos="1969" w:val="left" w:leader="none"/>
              </w:tabs>
              <w:spacing w:before="114"/>
              <w:ind w:left="100"/>
              <w:rPr>
                <w:sz w:val="22"/>
              </w:rPr>
            </w:pPr>
            <w:r>
              <w:rPr>
                <w:sz w:val="22"/>
              </w:rPr>
              <w:t>Otro</w:t>
              <w:tab/>
              <w:t>problema</w:t>
              <w:tab/>
              <w:t>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que   es   una laguna</w:t>
            </w:r>
          </w:p>
        </w:tc>
        <w:tc>
          <w:tcPr>
            <w:tcW w:w="3901" w:type="dxa"/>
            <w:tcBorders>
              <w:top w:val="nil"/>
              <w:bottom w:val="nil"/>
            </w:tcBorders>
          </w:tcPr>
          <w:p>
            <w:pP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tabs>
                <w:tab w:pos="813" w:val="left" w:leader="none"/>
                <w:tab w:pos="1832" w:val="left" w:leader="none"/>
              </w:tabs>
              <w:spacing w:line="241" w:lineRule="exact"/>
              <w:ind w:left="100"/>
              <w:rPr>
                <w:sz w:val="22"/>
              </w:rPr>
            </w:pPr>
            <w:r>
              <w:rPr>
                <w:sz w:val="22"/>
              </w:rPr>
              <w:t>muy</w:t>
              <w:tab/>
              <w:t>antigua</w:t>
              <w:tab/>
              <w:t>que</w:t>
            </w:r>
          </w:p>
        </w:tc>
        <w:tc>
          <w:tcPr>
            <w:tcW w:w="3901" w:type="dxa"/>
            <w:tcBorders>
              <w:top w:val="nil"/>
            </w:tcBorders>
          </w:tcPr>
          <w:p>
            <w:pPr/>
          </w:p>
        </w:tc>
      </w:tr>
    </w:tbl>
    <w:p>
      <w:pPr>
        <w:spacing w:after="0"/>
        <w:sectPr>
          <w:pgSz w:w="15840" w:h="12240" w:orient="landscape"/>
          <w:pgMar w:header="0" w:footer="943" w:top="1140" w:bottom="120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3298" w:hRule="exact"/>
        </w:trPr>
        <w:tc>
          <w:tcPr>
            <w:tcW w:w="1385" w:type="dxa"/>
          </w:tcPr>
          <w:p>
            <w:pP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tabs>
                <w:tab w:pos="1895" w:val="left" w:leader="none"/>
              </w:tabs>
              <w:spacing w:line="250" w:lineRule="exact"/>
              <w:ind w:left="100"/>
              <w:jc w:val="both"/>
              <w:rPr>
                <w:sz w:val="22"/>
              </w:rPr>
            </w:pPr>
            <w:r>
              <w:rPr>
                <w:sz w:val="22"/>
              </w:rPr>
              <w:t>requiere</w:t>
              <w:tab/>
              <w:t>ser</w:t>
            </w:r>
          </w:p>
          <w:p>
            <w:pPr>
              <w:pStyle w:val="TableParagraph"/>
              <w:tabs>
                <w:tab w:pos="2090" w:val="left" w:leader="none"/>
              </w:tabs>
              <w:ind w:left="100" w:right="98"/>
              <w:jc w:val="both"/>
              <w:rPr>
                <w:sz w:val="22"/>
              </w:rPr>
            </w:pPr>
            <w:r>
              <w:rPr>
                <w:sz w:val="22"/>
              </w:rPr>
              <w:t>actualizada</w:t>
              <w:tab/>
              <w:t>y modernizada porque tiene 300</w:t>
            </w:r>
            <w:r>
              <w:rPr>
                <w:spacing w:val="-2"/>
                <w:sz w:val="22"/>
              </w:rPr>
              <w:t> </w:t>
            </w:r>
            <w:r>
              <w:rPr>
                <w:sz w:val="22"/>
              </w:rPr>
              <w:t>años.</w:t>
            </w:r>
          </w:p>
          <w:p>
            <w:pPr>
              <w:pStyle w:val="TableParagraph"/>
              <w:tabs>
                <w:tab w:pos="928" w:val="left" w:leader="none"/>
                <w:tab w:pos="1125" w:val="left" w:leader="none"/>
              </w:tabs>
              <w:spacing w:before="1"/>
              <w:ind w:left="100" w:right="99"/>
              <w:jc w:val="both"/>
              <w:rPr>
                <w:sz w:val="22"/>
              </w:rPr>
            </w:pPr>
            <w:r>
              <w:rPr>
                <w:sz w:val="22"/>
              </w:rPr>
              <w:t>Es una laguna del siglo XIX y  quienes la</w:t>
              <w:tab/>
            </w:r>
            <w:r>
              <w:rPr>
                <w:spacing w:val="-1"/>
                <w:sz w:val="22"/>
              </w:rPr>
              <w:t>construyeron </w:t>
            </w:r>
            <w:r>
              <w:rPr>
                <w:sz w:val="22"/>
              </w:rPr>
              <w:t>fueron los Jesuitas, quienes eran los ingenieros, sólo que los</w:t>
              <w:tab/>
              <w:tab/>
            </w:r>
            <w:r>
              <w:rPr>
                <w:spacing w:val="-1"/>
                <w:sz w:val="22"/>
              </w:rPr>
              <w:t>expulsaron </w:t>
            </w:r>
            <w:r>
              <w:rPr>
                <w:sz w:val="22"/>
              </w:rPr>
              <w:t>porque eran los que construían.</w:t>
            </w:r>
          </w:p>
        </w:tc>
        <w:tc>
          <w:tcPr>
            <w:tcW w:w="3901" w:type="dxa"/>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Juan</w:t>
            </w:r>
          </w:p>
        </w:tc>
        <w:tc>
          <w:tcPr>
            <w:tcW w:w="1274" w:type="dxa"/>
            <w:tcBorders>
              <w:bottom w:val="nil"/>
            </w:tcBorders>
          </w:tcPr>
          <w:p>
            <w:pPr>
              <w:pStyle w:val="TableParagraph"/>
              <w:spacing w:line="251" w:lineRule="exact"/>
              <w:ind w:left="100" w:right="98"/>
              <w:rPr>
                <w:sz w:val="22"/>
              </w:rPr>
            </w:pPr>
            <w:r>
              <w:rPr>
                <w:sz w:val="22"/>
              </w:rPr>
              <w:t>Ingeniero</w:t>
            </w:r>
          </w:p>
        </w:tc>
        <w:tc>
          <w:tcPr>
            <w:tcW w:w="1887" w:type="dxa"/>
            <w:tcBorders>
              <w:bottom w:val="nil"/>
            </w:tcBorders>
          </w:tcPr>
          <w:p>
            <w:pPr>
              <w:pStyle w:val="TableParagraph"/>
              <w:spacing w:line="251" w:lineRule="exact"/>
              <w:rPr>
                <w:sz w:val="22"/>
              </w:rPr>
            </w:pPr>
            <w:r>
              <w:rPr>
                <w:sz w:val="22"/>
              </w:rPr>
              <w:t>Subjefe de</w:t>
            </w:r>
          </w:p>
        </w:tc>
        <w:tc>
          <w:tcPr>
            <w:tcW w:w="1289" w:type="dxa"/>
            <w:tcBorders>
              <w:bottom w:val="nil"/>
            </w:tcBorders>
          </w:tcPr>
          <w:p>
            <w:pPr>
              <w:pStyle w:val="TableParagraph"/>
              <w:spacing w:line="251" w:lineRule="exact"/>
              <w:rPr>
                <w:sz w:val="22"/>
              </w:rPr>
            </w:pPr>
            <w:r>
              <w:rPr>
                <w:sz w:val="22"/>
              </w:rPr>
              <w:t>Tamaulipa</w:t>
            </w:r>
          </w:p>
        </w:tc>
        <w:tc>
          <w:tcPr>
            <w:tcW w:w="1174" w:type="dxa"/>
            <w:tcBorders>
              <w:bottom w:val="nil"/>
            </w:tcBorders>
          </w:tcPr>
          <w:p>
            <w:pPr>
              <w:pStyle w:val="TableParagraph"/>
              <w:spacing w:line="251" w:lineRule="exact"/>
              <w:rPr>
                <w:sz w:val="22"/>
              </w:rPr>
            </w:pPr>
            <w:r>
              <w:rPr>
                <w:sz w:val="22"/>
              </w:rPr>
              <w:t>Atlacomu</w:t>
            </w:r>
          </w:p>
        </w:tc>
        <w:tc>
          <w:tcPr>
            <w:tcW w:w="2314" w:type="dxa"/>
            <w:tcBorders>
              <w:bottom w:val="nil"/>
            </w:tcBorders>
          </w:tcPr>
          <w:p>
            <w:pPr>
              <w:pStyle w:val="TableParagraph"/>
              <w:spacing w:line="251" w:lineRule="exact"/>
              <w:ind w:left="100"/>
              <w:rPr>
                <w:sz w:val="22"/>
              </w:rPr>
            </w:pPr>
            <w:r>
              <w:rPr>
                <w:sz w:val="22"/>
              </w:rPr>
              <w:t>La contaminación.</w:t>
            </w:r>
          </w:p>
        </w:tc>
        <w:tc>
          <w:tcPr>
            <w:tcW w:w="3901" w:type="dxa"/>
            <w:tcBorders>
              <w:bottom w:val="nil"/>
            </w:tcBorders>
          </w:tcPr>
          <w:p>
            <w:pPr>
              <w:pStyle w:val="TableParagraph"/>
              <w:spacing w:line="251" w:lineRule="exact"/>
              <w:rPr>
                <w:sz w:val="22"/>
              </w:rPr>
            </w:pPr>
            <w:r>
              <w:rPr>
                <w:sz w:val="22"/>
              </w:rPr>
              <w:t>Porque en la parte alta de la    laguna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Manuel</w:t>
            </w:r>
          </w:p>
        </w:tc>
        <w:tc>
          <w:tcPr>
            <w:tcW w:w="1274" w:type="dxa"/>
            <w:tcBorders>
              <w:top w:val="nil"/>
              <w:bottom w:val="nil"/>
            </w:tcBorders>
          </w:tcPr>
          <w:p>
            <w:pPr>
              <w:pStyle w:val="TableParagraph"/>
              <w:spacing w:line="242" w:lineRule="exact"/>
              <w:ind w:left="100" w:right="98"/>
              <w:rPr>
                <w:sz w:val="22"/>
              </w:rPr>
            </w:pPr>
            <w:r>
              <w:rPr>
                <w:sz w:val="22"/>
              </w:rPr>
              <w:t>Civil</w:t>
            </w:r>
          </w:p>
        </w:tc>
        <w:tc>
          <w:tcPr>
            <w:tcW w:w="1887" w:type="dxa"/>
            <w:tcBorders>
              <w:top w:val="nil"/>
              <w:bottom w:val="nil"/>
            </w:tcBorders>
          </w:tcPr>
          <w:p>
            <w:pPr>
              <w:pStyle w:val="TableParagraph"/>
              <w:spacing w:line="242" w:lineRule="exact"/>
              <w:rPr>
                <w:sz w:val="22"/>
              </w:rPr>
            </w:pPr>
            <w:r>
              <w:rPr>
                <w:sz w:val="22"/>
              </w:rPr>
              <w:t>Operación</w:t>
            </w:r>
          </w:p>
        </w:tc>
        <w:tc>
          <w:tcPr>
            <w:tcW w:w="1289" w:type="dxa"/>
            <w:tcBorders>
              <w:top w:val="nil"/>
              <w:bottom w:val="nil"/>
            </w:tcBorders>
          </w:tcPr>
          <w:p>
            <w:pPr>
              <w:pStyle w:val="TableParagraph"/>
              <w:spacing w:line="242" w:lineRule="exact"/>
              <w:rPr>
                <w:sz w:val="22"/>
              </w:rPr>
            </w:pPr>
            <w:r>
              <w:rPr>
                <w:w w:val="100"/>
                <w:sz w:val="22"/>
              </w:rPr>
              <w:t>s</w:t>
            </w:r>
          </w:p>
        </w:tc>
        <w:tc>
          <w:tcPr>
            <w:tcW w:w="1174" w:type="dxa"/>
            <w:tcBorders>
              <w:top w:val="nil"/>
              <w:bottom w:val="nil"/>
            </w:tcBorders>
          </w:tcPr>
          <w:p>
            <w:pPr>
              <w:pStyle w:val="TableParagraph"/>
              <w:spacing w:line="242" w:lineRule="exact"/>
              <w:rPr>
                <w:sz w:val="22"/>
              </w:rPr>
            </w:pPr>
            <w:r>
              <w:rPr>
                <w:sz w:val="22"/>
              </w:rPr>
              <w:t>lco,</w:t>
            </w:r>
          </w:p>
        </w:tc>
        <w:tc>
          <w:tcPr>
            <w:tcW w:w="2314" w:type="dxa"/>
            <w:tcBorders>
              <w:top w:val="nil"/>
              <w:bottom w:val="nil"/>
            </w:tcBorders>
          </w:tcPr>
          <w:p>
            <w:pPr/>
          </w:p>
        </w:tc>
        <w:tc>
          <w:tcPr>
            <w:tcW w:w="3901" w:type="dxa"/>
            <w:tcBorders>
              <w:top w:val="nil"/>
              <w:bottom w:val="nil"/>
            </w:tcBorders>
          </w:tcPr>
          <w:p>
            <w:pPr>
              <w:pStyle w:val="TableParagraph"/>
              <w:tabs>
                <w:tab w:pos="1386" w:val="left" w:leader="none"/>
                <w:tab w:pos="2235" w:val="left" w:leader="none"/>
                <w:tab w:pos="3490" w:val="left" w:leader="none"/>
              </w:tabs>
              <w:spacing w:line="242" w:lineRule="exact"/>
              <w:rPr>
                <w:sz w:val="22"/>
              </w:rPr>
            </w:pPr>
            <w:r>
              <w:rPr>
                <w:sz w:val="22"/>
              </w:rPr>
              <w:t>descargan</w:t>
              <w:tab/>
              <w:t>aguas</w:t>
              <w:tab/>
              <w:t>residuales</w:t>
              <w:tab/>
              <w:t>del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Alfaro</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Estado</w:t>
            </w: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municipio de Timilpan.</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Gómez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de</w:t>
            </w:r>
          </w:p>
        </w:tc>
        <w:tc>
          <w:tcPr>
            <w:tcW w:w="2314" w:type="dxa"/>
            <w:tcBorders>
              <w:top w:val="nil"/>
              <w:bottom w:val="nil"/>
            </w:tcBorders>
          </w:tcPr>
          <w:p>
            <w:pPr/>
          </w:p>
        </w:tc>
        <w:tc>
          <w:tcPr>
            <w:tcW w:w="3901" w:type="dxa"/>
            <w:tcBorders>
              <w:top w:val="nil"/>
              <w:bottom w:val="nil"/>
            </w:tcBorders>
          </w:tcPr>
          <w:p>
            <w:pPr/>
          </w:p>
        </w:tc>
      </w:tr>
      <w:tr>
        <w:trPr>
          <w:trHeight w:val="252" w:hRule="exact"/>
        </w:trPr>
        <w:tc>
          <w:tcPr>
            <w:tcW w:w="1385" w:type="dxa"/>
            <w:tcBorders>
              <w:top w:val="nil"/>
              <w:bottom w:val="nil"/>
            </w:tcBorders>
          </w:tcPr>
          <w:p>
            <w:pPr>
              <w:pStyle w:val="TableParagraph"/>
              <w:spacing w:line="241" w:lineRule="exact"/>
              <w:rPr>
                <w:sz w:val="22"/>
              </w:rPr>
            </w:pPr>
            <w:r>
              <w:rPr>
                <w:sz w:val="22"/>
              </w:rPr>
              <w:t>(13/II/2014)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México</w:t>
            </w:r>
          </w:p>
        </w:tc>
        <w:tc>
          <w:tcPr>
            <w:tcW w:w="2314" w:type="dxa"/>
            <w:tcBorders>
              <w:top w:val="nil"/>
              <w:bottom w:val="nil"/>
            </w:tcBorders>
          </w:tcPr>
          <w:p>
            <w:pPr>
              <w:pStyle w:val="TableParagraph"/>
              <w:spacing w:line="241" w:lineRule="exact"/>
              <w:ind w:left="100"/>
              <w:rPr>
                <w:sz w:val="22"/>
              </w:rPr>
            </w:pPr>
            <w:r>
              <w:rPr>
                <w:sz w:val="22"/>
              </w:rPr>
              <w:t>Otro   problema   que</w:t>
            </w:r>
          </w:p>
        </w:tc>
        <w:tc>
          <w:tcPr>
            <w:tcW w:w="3901" w:type="dxa"/>
            <w:tcBorders>
              <w:top w:val="nil"/>
              <w:bottom w:val="nil"/>
            </w:tcBorders>
          </w:tcPr>
          <w:p>
            <w:pPr>
              <w:pStyle w:val="TableParagraph"/>
              <w:spacing w:line="241" w:lineRule="exact"/>
              <w:rPr>
                <w:sz w:val="22"/>
              </w:rPr>
            </w:pPr>
            <w:r>
              <w:rPr>
                <w:sz w:val="22"/>
              </w:rPr>
              <w:t>Por  la  falta  de  lluvia  y  porque</w:t>
            </w:r>
            <w:r>
              <w:rPr>
                <w:spacing w:val="53"/>
                <w:sz w:val="22"/>
              </w:rPr>
              <w:t> </w:t>
            </w:r>
            <w:r>
              <w:rPr>
                <w:sz w:val="22"/>
              </w:rPr>
              <w:t>hay</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825" w:val="left" w:leader="none"/>
                <w:tab w:pos="1304" w:val="left" w:leader="none"/>
                <w:tab w:pos="1722" w:val="left" w:leader="none"/>
              </w:tabs>
              <w:spacing w:line="241" w:lineRule="exact"/>
              <w:ind w:left="100"/>
              <w:rPr>
                <w:sz w:val="22"/>
              </w:rPr>
            </w:pPr>
            <w:r>
              <w:rPr>
                <w:sz w:val="22"/>
              </w:rPr>
              <w:t>tiene</w:t>
              <w:tab/>
              <w:t>es</w:t>
              <w:tab/>
              <w:t>la</w:t>
              <w:tab/>
              <w:t>poca</w:t>
            </w:r>
          </w:p>
        </w:tc>
        <w:tc>
          <w:tcPr>
            <w:tcW w:w="3901" w:type="dxa"/>
            <w:tcBorders>
              <w:top w:val="nil"/>
              <w:bottom w:val="nil"/>
            </w:tcBorders>
          </w:tcPr>
          <w:p>
            <w:pPr>
              <w:pStyle w:val="TableParagraph"/>
              <w:tabs>
                <w:tab w:pos="1005" w:val="left" w:leader="none"/>
                <w:tab w:pos="2440" w:val="left" w:leader="none"/>
                <w:tab w:pos="2998" w:val="left" w:leader="none"/>
                <w:tab w:pos="3544" w:val="left" w:leader="none"/>
              </w:tabs>
              <w:spacing w:line="241" w:lineRule="exact"/>
              <w:rPr>
                <w:sz w:val="22"/>
              </w:rPr>
            </w:pPr>
            <w:r>
              <w:rPr>
                <w:sz w:val="22"/>
              </w:rPr>
              <w:t>mucha</w:t>
              <w:tab/>
              <w:t>evaporación</w:t>
              <w:tab/>
              <w:t>por</w:t>
              <w:tab/>
              <w:t>ser</w:t>
              <w:tab/>
              <w:t>un</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captación de agua.</w:t>
            </w:r>
          </w:p>
        </w:tc>
        <w:tc>
          <w:tcPr>
            <w:tcW w:w="3901" w:type="dxa"/>
            <w:tcBorders>
              <w:top w:val="nil"/>
              <w:bottom w:val="nil"/>
            </w:tcBorders>
          </w:tcPr>
          <w:p>
            <w:pPr>
              <w:pStyle w:val="TableParagraph"/>
              <w:spacing w:line="242" w:lineRule="exact"/>
              <w:rPr>
                <w:sz w:val="22"/>
              </w:rPr>
            </w:pPr>
            <w:r>
              <w:rPr>
                <w:sz w:val="22"/>
              </w:rPr>
              <w:t>cuerpo   de   agua   de   más   de   20</w:t>
            </w:r>
          </w:p>
        </w:tc>
      </w:tr>
      <w:tr>
        <w:trPr>
          <w:trHeight w:val="250"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Style w:val="TableParagraph"/>
              <w:spacing w:line="241" w:lineRule="exact"/>
              <w:rPr>
                <w:sz w:val="22"/>
              </w:rPr>
            </w:pPr>
            <w:r>
              <w:rPr>
                <w:sz w:val="22"/>
              </w:rPr>
              <w:t>kilómetros.</w:t>
            </w:r>
          </w:p>
        </w:tc>
      </w:tr>
      <w:tr>
        <w:trPr>
          <w:trHeight w:val="266" w:hRule="exact"/>
        </w:trPr>
        <w:tc>
          <w:tcPr>
            <w:tcW w:w="1385" w:type="dxa"/>
            <w:tcBorders>
              <w:bottom w:val="nil"/>
            </w:tcBorders>
          </w:tcPr>
          <w:p>
            <w:pPr>
              <w:pStyle w:val="TableParagraph"/>
              <w:spacing w:line="251" w:lineRule="exact"/>
              <w:rPr>
                <w:sz w:val="22"/>
              </w:rPr>
            </w:pPr>
            <w:r>
              <w:rPr>
                <w:sz w:val="22"/>
              </w:rPr>
              <w:t>Jaime  Ruiz</w:t>
            </w:r>
          </w:p>
        </w:tc>
        <w:tc>
          <w:tcPr>
            <w:tcW w:w="1274" w:type="dxa"/>
            <w:tcBorders>
              <w:bottom w:val="nil"/>
            </w:tcBorders>
          </w:tcPr>
          <w:p>
            <w:pPr>
              <w:pStyle w:val="TableParagraph"/>
              <w:spacing w:line="251" w:lineRule="exact"/>
              <w:ind w:left="104" w:right="105"/>
              <w:jc w:val="center"/>
              <w:rPr>
                <w:sz w:val="22"/>
              </w:rPr>
            </w:pPr>
            <w:r>
              <w:rPr>
                <w:sz w:val="22"/>
              </w:rPr>
              <w:t>N/C</w:t>
            </w:r>
          </w:p>
        </w:tc>
        <w:tc>
          <w:tcPr>
            <w:tcW w:w="1887" w:type="dxa"/>
            <w:tcBorders>
              <w:bottom w:val="nil"/>
            </w:tcBorders>
          </w:tcPr>
          <w:p>
            <w:pPr>
              <w:pStyle w:val="TableParagraph"/>
              <w:spacing w:line="251" w:lineRule="exact"/>
              <w:rPr>
                <w:sz w:val="22"/>
              </w:rPr>
            </w:pPr>
            <w:r>
              <w:rPr>
                <w:sz w:val="22"/>
              </w:rPr>
              <w:t>Presidente  de la</w:t>
            </w:r>
          </w:p>
        </w:tc>
        <w:tc>
          <w:tcPr>
            <w:tcW w:w="1289" w:type="dxa"/>
            <w:tcBorders>
              <w:bottom w:val="nil"/>
            </w:tcBorders>
          </w:tcPr>
          <w:p>
            <w:pPr>
              <w:pStyle w:val="TableParagraph"/>
              <w:spacing w:line="251" w:lineRule="exact"/>
              <w:rPr>
                <w:sz w:val="22"/>
              </w:rPr>
            </w:pPr>
            <w:r>
              <w:rPr>
                <w:sz w:val="22"/>
              </w:rPr>
              <w:t>Arroyo</w:t>
            </w:r>
          </w:p>
        </w:tc>
        <w:tc>
          <w:tcPr>
            <w:tcW w:w="1174" w:type="dxa"/>
            <w:tcBorders>
              <w:bottom w:val="nil"/>
            </w:tcBorders>
          </w:tcPr>
          <w:p>
            <w:pPr>
              <w:pStyle w:val="TableParagraph"/>
              <w:spacing w:line="251" w:lineRule="exact"/>
              <w:rPr>
                <w:sz w:val="22"/>
              </w:rPr>
            </w:pPr>
            <w:r>
              <w:rPr>
                <w:sz w:val="22"/>
              </w:rPr>
              <w:t>Arroyo</w:t>
            </w:r>
          </w:p>
        </w:tc>
        <w:tc>
          <w:tcPr>
            <w:tcW w:w="2314" w:type="dxa"/>
            <w:tcBorders>
              <w:bottom w:val="nil"/>
            </w:tcBorders>
          </w:tcPr>
          <w:p>
            <w:pPr>
              <w:pStyle w:val="TableParagraph"/>
              <w:tabs>
                <w:tab w:pos="1381" w:val="left" w:leader="none"/>
                <w:tab w:pos="2029" w:val="left" w:leader="none"/>
              </w:tabs>
              <w:spacing w:line="251" w:lineRule="exact"/>
              <w:ind w:left="100"/>
              <w:rPr>
                <w:sz w:val="22"/>
              </w:rPr>
            </w:pPr>
            <w:r>
              <w:rPr>
                <w:sz w:val="22"/>
              </w:rPr>
              <w:t>Considero</w:t>
              <w:tab/>
              <w:t>que</w:t>
              <w:tab/>
              <w:t>el</w:t>
            </w:r>
          </w:p>
        </w:tc>
        <w:tc>
          <w:tcPr>
            <w:tcW w:w="3901" w:type="dxa"/>
            <w:tcBorders>
              <w:bottom w:val="nil"/>
            </w:tcBorders>
          </w:tcPr>
          <w:p>
            <w:pPr>
              <w:pStyle w:val="TableParagraph"/>
              <w:tabs>
                <w:tab w:pos="719" w:val="left" w:leader="none"/>
                <w:tab w:pos="1412" w:val="left" w:leader="none"/>
                <w:tab w:pos="1930" w:val="left" w:leader="none"/>
                <w:tab w:pos="2765" w:val="left" w:leader="none"/>
                <w:tab w:pos="3676" w:val="left" w:leader="none"/>
              </w:tabs>
              <w:spacing w:line="251" w:lineRule="exact"/>
              <w:rPr>
                <w:sz w:val="22"/>
              </w:rPr>
            </w:pPr>
            <w:r>
              <w:rPr>
                <w:sz w:val="22"/>
              </w:rPr>
              <w:t>Por</w:t>
              <w:tab/>
              <w:t>falta</w:t>
              <w:tab/>
              <w:t>de</w:t>
              <w:tab/>
              <w:t>lluvia,</w:t>
              <w:tab/>
              <w:t>estiaje</w:t>
              <w:tab/>
              <w:t>y</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Martínez</w:t>
            </w:r>
          </w:p>
        </w:tc>
        <w:tc>
          <w:tcPr>
            <w:tcW w:w="1274" w:type="dxa"/>
            <w:tcBorders>
              <w:top w:val="nil"/>
              <w:bottom w:val="nil"/>
            </w:tcBorders>
          </w:tcPr>
          <w:p>
            <w:pPr/>
          </w:p>
        </w:tc>
        <w:tc>
          <w:tcPr>
            <w:tcW w:w="1887" w:type="dxa"/>
            <w:tcBorders>
              <w:top w:val="nil"/>
              <w:bottom w:val="nil"/>
            </w:tcBorders>
          </w:tcPr>
          <w:p>
            <w:pPr>
              <w:pStyle w:val="TableParagraph"/>
              <w:tabs>
                <w:tab w:pos="1528" w:val="left" w:leader="none"/>
              </w:tabs>
              <w:spacing w:line="241" w:lineRule="exact"/>
              <w:rPr>
                <w:sz w:val="22"/>
              </w:rPr>
            </w:pPr>
            <w:r>
              <w:rPr>
                <w:sz w:val="22"/>
              </w:rPr>
              <w:t>Asociación</w:t>
              <w:tab/>
              <w:t>de</w:t>
            </w:r>
          </w:p>
        </w:tc>
        <w:tc>
          <w:tcPr>
            <w:tcW w:w="1289" w:type="dxa"/>
            <w:tcBorders>
              <w:top w:val="nil"/>
              <w:bottom w:val="nil"/>
            </w:tcBorders>
          </w:tcPr>
          <w:p>
            <w:pPr>
              <w:pStyle w:val="TableParagraph"/>
              <w:spacing w:line="241" w:lineRule="exact"/>
              <w:rPr>
                <w:sz w:val="22"/>
              </w:rPr>
            </w:pPr>
            <w:r>
              <w:rPr>
                <w:sz w:val="22"/>
              </w:rPr>
              <w:t>Zarco,</w:t>
            </w:r>
          </w:p>
        </w:tc>
        <w:tc>
          <w:tcPr>
            <w:tcW w:w="1174" w:type="dxa"/>
            <w:tcBorders>
              <w:top w:val="nil"/>
              <w:bottom w:val="nil"/>
            </w:tcBorders>
          </w:tcPr>
          <w:p>
            <w:pPr>
              <w:pStyle w:val="TableParagraph"/>
              <w:spacing w:line="241" w:lineRule="exact"/>
              <w:rPr>
                <w:sz w:val="22"/>
              </w:rPr>
            </w:pPr>
            <w:r>
              <w:rPr>
                <w:sz w:val="22"/>
              </w:rPr>
              <w:t>Zarco,</w:t>
            </w:r>
          </w:p>
        </w:tc>
        <w:tc>
          <w:tcPr>
            <w:tcW w:w="2314" w:type="dxa"/>
            <w:tcBorders>
              <w:top w:val="nil"/>
              <w:bottom w:val="nil"/>
            </w:tcBorders>
          </w:tcPr>
          <w:p>
            <w:pPr>
              <w:pStyle w:val="TableParagraph"/>
              <w:tabs>
                <w:tab w:pos="1283" w:val="left" w:leader="none"/>
              </w:tabs>
              <w:spacing w:line="241" w:lineRule="exact"/>
              <w:ind w:left="100"/>
              <w:rPr>
                <w:sz w:val="22"/>
              </w:rPr>
            </w:pPr>
            <w:r>
              <w:rPr>
                <w:sz w:val="22"/>
              </w:rPr>
              <w:t>principal</w:t>
              <w:tab/>
              <w:t>problema</w:t>
            </w:r>
          </w:p>
        </w:tc>
        <w:tc>
          <w:tcPr>
            <w:tcW w:w="3901" w:type="dxa"/>
            <w:tcBorders>
              <w:top w:val="nil"/>
              <w:bottom w:val="nil"/>
            </w:tcBorders>
          </w:tcPr>
          <w:p>
            <w:pPr>
              <w:pStyle w:val="TableParagraph"/>
              <w:spacing w:line="241" w:lineRule="exact"/>
              <w:rPr>
                <w:sz w:val="22"/>
              </w:rPr>
            </w:pPr>
            <w:r>
              <w:rPr>
                <w:sz w:val="22"/>
              </w:rPr>
              <w:t>precipitación.</w:t>
            </w:r>
          </w:p>
        </w:tc>
      </w:tr>
      <w:tr>
        <w:trPr>
          <w:trHeight w:val="253" w:hRule="exact"/>
        </w:trPr>
        <w:tc>
          <w:tcPr>
            <w:tcW w:w="1385" w:type="dxa"/>
            <w:tcBorders>
              <w:top w:val="nil"/>
              <w:bottom w:val="nil"/>
            </w:tcBorders>
          </w:tcPr>
          <w:p>
            <w:pPr>
              <w:pStyle w:val="TableParagraph"/>
              <w:spacing w:line="242" w:lineRule="exact"/>
              <w:rPr>
                <w:sz w:val="22"/>
              </w:rPr>
            </w:pPr>
            <w:r>
              <w:rPr>
                <w:sz w:val="22"/>
              </w:rPr>
              <w:t>(17/7/2014)</w:t>
            </w:r>
          </w:p>
        </w:tc>
        <w:tc>
          <w:tcPr>
            <w:tcW w:w="1274" w:type="dxa"/>
            <w:tcBorders>
              <w:top w:val="nil"/>
              <w:bottom w:val="nil"/>
            </w:tcBorders>
          </w:tcPr>
          <w:p>
            <w:pPr/>
          </w:p>
        </w:tc>
        <w:tc>
          <w:tcPr>
            <w:tcW w:w="1887" w:type="dxa"/>
            <w:tcBorders>
              <w:top w:val="nil"/>
              <w:bottom w:val="nil"/>
            </w:tcBorders>
          </w:tcPr>
          <w:p>
            <w:pPr>
              <w:pStyle w:val="TableParagraph"/>
              <w:tabs>
                <w:tab w:pos="1480" w:val="left" w:leader="none"/>
              </w:tabs>
              <w:spacing w:line="242" w:lineRule="exact"/>
              <w:rPr>
                <w:sz w:val="22"/>
              </w:rPr>
            </w:pPr>
            <w:r>
              <w:rPr>
                <w:sz w:val="22"/>
              </w:rPr>
              <w:t>Usuarios</w:t>
              <w:tab/>
              <w:t>del</w:t>
            </w:r>
          </w:p>
        </w:tc>
        <w:tc>
          <w:tcPr>
            <w:tcW w:w="1289" w:type="dxa"/>
            <w:tcBorders>
              <w:top w:val="nil"/>
              <w:bottom w:val="nil"/>
            </w:tcBorders>
          </w:tcPr>
          <w:p>
            <w:pPr>
              <w:pStyle w:val="TableParagraph"/>
              <w:spacing w:line="242" w:lineRule="exact"/>
              <w:rPr>
                <w:sz w:val="22"/>
              </w:rPr>
            </w:pPr>
            <w:r>
              <w:rPr>
                <w:sz w:val="22"/>
              </w:rPr>
              <w:t>Aculco</w:t>
            </w:r>
          </w:p>
        </w:tc>
        <w:tc>
          <w:tcPr>
            <w:tcW w:w="1174" w:type="dxa"/>
            <w:tcBorders>
              <w:top w:val="nil"/>
              <w:bottom w:val="nil"/>
            </w:tcBorders>
          </w:tcPr>
          <w:p>
            <w:pPr>
              <w:pStyle w:val="TableParagraph"/>
              <w:spacing w:line="242" w:lineRule="exact"/>
              <w:rPr>
                <w:sz w:val="22"/>
              </w:rPr>
            </w:pPr>
            <w:r>
              <w:rPr>
                <w:sz w:val="22"/>
              </w:rPr>
              <w:t>Aculco</w:t>
            </w:r>
          </w:p>
        </w:tc>
        <w:tc>
          <w:tcPr>
            <w:tcW w:w="2314" w:type="dxa"/>
            <w:tcBorders>
              <w:top w:val="nil"/>
              <w:bottom w:val="nil"/>
            </w:tcBorders>
          </w:tcPr>
          <w:p>
            <w:pPr>
              <w:pStyle w:val="TableParagraph"/>
              <w:spacing w:line="242" w:lineRule="exact"/>
              <w:ind w:left="100"/>
              <w:rPr>
                <w:sz w:val="22"/>
              </w:rPr>
            </w:pPr>
            <w:r>
              <w:rPr>
                <w:sz w:val="22"/>
              </w:rPr>
              <w:t>que  tiene  la </w:t>
            </w:r>
            <w:r>
              <w:rPr>
                <w:spacing w:val="50"/>
                <w:sz w:val="22"/>
              </w:rPr>
              <w:t> </w:t>
            </w:r>
            <w:r>
              <w:rPr>
                <w:sz w:val="22"/>
              </w:rPr>
              <w:t>laguna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tabs>
                <w:tab w:pos="1528" w:val="left" w:leader="none"/>
              </w:tabs>
              <w:spacing w:line="241" w:lineRule="exact"/>
              <w:rPr>
                <w:sz w:val="22"/>
              </w:rPr>
            </w:pPr>
            <w:r>
              <w:rPr>
                <w:sz w:val="22"/>
              </w:rPr>
              <w:t>Sistema</w:t>
              <w:tab/>
              <w:t>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Huapango es que</w:t>
            </w:r>
            <w:r>
              <w:rPr>
                <w:spacing w:val="55"/>
                <w:sz w:val="22"/>
              </w:rPr>
              <w:t> </w:t>
            </w:r>
            <w:r>
              <w:rPr>
                <w:sz w:val="22"/>
              </w:rPr>
              <w:t>no</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También</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Riego Huapango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hay agua.</w:t>
            </w: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soy</w:t>
            </w:r>
          </w:p>
        </w:tc>
        <w:tc>
          <w:tcPr>
            <w:tcW w:w="1274" w:type="dxa"/>
            <w:tcBorders>
              <w:top w:val="nil"/>
              <w:bottom w:val="nil"/>
            </w:tcBorders>
          </w:tcPr>
          <w:p>
            <w:pPr/>
          </w:p>
        </w:tc>
        <w:tc>
          <w:tcPr>
            <w:tcW w:w="1887" w:type="dxa"/>
            <w:tcBorders>
              <w:top w:val="nil"/>
              <w:bottom w:val="nil"/>
            </w:tcBorders>
          </w:tcPr>
          <w:p>
            <w:pPr>
              <w:pStyle w:val="TableParagraph"/>
              <w:tabs>
                <w:tab w:pos="1211" w:val="left" w:leader="none"/>
              </w:tabs>
              <w:spacing w:line="242" w:lineRule="exact"/>
              <w:rPr>
                <w:sz w:val="22"/>
              </w:rPr>
            </w:pPr>
            <w:r>
              <w:rPr>
                <w:sz w:val="22"/>
              </w:rPr>
              <w:t>Arroyo</w:t>
              <w:tab/>
              <w:t>Zarco</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presidente</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México S.A.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La contaminación.</w:t>
            </w:r>
          </w:p>
        </w:tc>
        <w:tc>
          <w:tcPr>
            <w:tcW w:w="3901" w:type="dxa"/>
            <w:tcBorders>
              <w:top w:val="nil"/>
              <w:bottom w:val="nil"/>
            </w:tcBorders>
          </w:tcPr>
          <w:p>
            <w:pPr>
              <w:pStyle w:val="TableParagraph"/>
              <w:spacing w:line="241" w:lineRule="exact"/>
              <w:rPr>
                <w:sz w:val="22"/>
              </w:rPr>
            </w:pPr>
            <w:r>
              <w:rPr>
                <w:sz w:val="22"/>
              </w:rPr>
              <w:t>Por  la  entrada  de  aguas residuales</w:t>
            </w:r>
          </w:p>
        </w:tc>
      </w:tr>
      <w:tr>
        <w:trPr>
          <w:trHeight w:val="254" w:hRule="exact"/>
        </w:trPr>
        <w:tc>
          <w:tcPr>
            <w:tcW w:w="1385" w:type="dxa"/>
            <w:tcBorders>
              <w:top w:val="nil"/>
              <w:bottom w:val="nil"/>
            </w:tcBorders>
          </w:tcPr>
          <w:p>
            <w:pPr>
              <w:pStyle w:val="TableParagraph"/>
              <w:spacing w:line="243" w:lineRule="exact"/>
              <w:rPr>
                <w:sz w:val="22"/>
              </w:rPr>
            </w:pPr>
            <w:r>
              <w:rPr>
                <w:sz w:val="22"/>
              </w:rPr>
              <w:t>del FACEM</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3" w:lineRule="exact"/>
              <w:rPr>
                <w:sz w:val="22"/>
              </w:rPr>
            </w:pPr>
            <w:r>
              <w:rPr>
                <w:sz w:val="22"/>
              </w:rPr>
              <w:t>domésticas   de   Timilpan   y Aculco,</w:t>
            </w:r>
          </w:p>
        </w:tc>
      </w:tr>
      <w:tr>
        <w:trPr>
          <w:trHeight w:val="252" w:hRule="exact"/>
        </w:trPr>
        <w:tc>
          <w:tcPr>
            <w:tcW w:w="1385" w:type="dxa"/>
            <w:tcBorders>
              <w:top w:val="nil"/>
              <w:bottom w:val="nil"/>
            </w:tcBorders>
          </w:tcPr>
          <w:p>
            <w:pPr>
              <w:pStyle w:val="TableParagraph"/>
              <w:spacing w:line="241" w:lineRule="exact"/>
              <w:rPr>
                <w:sz w:val="22"/>
              </w:rPr>
            </w:pPr>
            <w:r>
              <w:rPr>
                <w:sz w:val="22"/>
              </w:rPr>
              <w:t>(Fideicomis</w:t>
            </w:r>
          </w:p>
        </w:tc>
        <w:tc>
          <w:tcPr>
            <w:tcW w:w="1274" w:type="dxa"/>
            <w:tcBorders>
              <w:top w:val="nil"/>
              <w:bottom w:val="nil"/>
            </w:tcBorders>
          </w:tcPr>
          <w:p>
            <w:pPr/>
          </w:p>
        </w:tc>
        <w:tc>
          <w:tcPr>
            <w:tcW w:w="1887" w:type="dxa"/>
            <w:tcBorders>
              <w:top w:val="nil"/>
              <w:bottom w:val="nil"/>
            </w:tcBorders>
          </w:tcPr>
          <w:p>
            <w:pPr>
              <w:pStyle w:val="TableParagraph"/>
              <w:tabs>
                <w:tab w:pos="710" w:val="left" w:leader="none"/>
              </w:tabs>
              <w:spacing w:line="241" w:lineRule="exact"/>
              <w:rPr>
                <w:sz w:val="22"/>
              </w:rPr>
            </w:pPr>
            <w:r>
              <w:rPr>
                <w:sz w:val="22"/>
              </w:rPr>
              <w:t>La</w:t>
              <w:tab/>
              <w:t>Asociación</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principalmente  y  por  la  entrada  de</w:t>
            </w:r>
          </w:p>
        </w:tc>
      </w:tr>
      <w:tr>
        <w:trPr>
          <w:trHeight w:val="253" w:hRule="exact"/>
        </w:trPr>
        <w:tc>
          <w:tcPr>
            <w:tcW w:w="1385" w:type="dxa"/>
            <w:tcBorders>
              <w:top w:val="nil"/>
              <w:bottom w:val="nil"/>
            </w:tcBorders>
          </w:tcPr>
          <w:p>
            <w:pPr>
              <w:pStyle w:val="TableParagraph"/>
              <w:tabs>
                <w:tab w:pos="647" w:val="left" w:leader="none"/>
              </w:tabs>
              <w:spacing w:line="241" w:lineRule="exact"/>
              <w:rPr>
                <w:sz w:val="22"/>
              </w:rPr>
            </w:pPr>
            <w:r>
              <w:rPr>
                <w:sz w:val="22"/>
              </w:rPr>
              <w:t>o</w:t>
              <w:tab/>
              <w:t>Fondo</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de   Usuarios  se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1" w:lineRule="exact"/>
              <w:rPr>
                <w:sz w:val="22"/>
              </w:rPr>
            </w:pPr>
            <w:r>
              <w:rPr>
                <w:sz w:val="22"/>
              </w:rPr>
              <w:t>herbicidas  de  los  terrenos  que    se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Alanza</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creó  a  partir  de</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Style w:val="TableParagraph"/>
              <w:spacing w:line="242" w:lineRule="exact"/>
              <w:rPr>
                <w:sz w:val="22"/>
              </w:rPr>
            </w:pPr>
            <w:r>
              <w:rPr>
                <w:sz w:val="22"/>
              </w:rPr>
              <w:t>deslavan.</w:t>
            </w:r>
          </w:p>
        </w:tc>
      </w:tr>
      <w:tr>
        <w:trPr>
          <w:trHeight w:val="253" w:hRule="exact"/>
        </w:trPr>
        <w:tc>
          <w:tcPr>
            <w:tcW w:w="1385" w:type="dxa"/>
            <w:tcBorders>
              <w:top w:val="nil"/>
              <w:bottom w:val="nil"/>
            </w:tcBorders>
          </w:tcPr>
          <w:p>
            <w:pPr>
              <w:pStyle w:val="TableParagraph"/>
              <w:tabs>
                <w:tab w:pos="1101" w:val="left" w:leader="none"/>
              </w:tabs>
              <w:spacing w:line="241" w:lineRule="exact"/>
              <w:rPr>
                <w:sz w:val="22"/>
              </w:rPr>
            </w:pPr>
            <w:r>
              <w:rPr>
                <w:sz w:val="22"/>
              </w:rPr>
              <w:t>para</w:t>
              <w:tab/>
              <w:t>el</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que  en  1992  la</w:t>
            </w: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
        </w:tc>
        <w:tc>
          <w:tcPr>
            <w:tcW w:w="3901" w:type="dxa"/>
            <w:tcBorders>
              <w:top w:val="nil"/>
              <w:bottom w:val="nil"/>
            </w:tcBorders>
          </w:tcPr>
          <w:p>
            <w:pPr/>
          </w:p>
        </w:tc>
      </w:tr>
      <w:tr>
        <w:trPr>
          <w:trHeight w:val="248" w:hRule="exact"/>
        </w:trPr>
        <w:tc>
          <w:tcPr>
            <w:tcW w:w="1385" w:type="dxa"/>
            <w:tcBorders>
              <w:top w:val="nil"/>
            </w:tcBorders>
          </w:tcPr>
          <w:p>
            <w:pPr>
              <w:pStyle w:val="TableParagraph"/>
              <w:spacing w:line="242" w:lineRule="exact"/>
              <w:rPr>
                <w:sz w:val="22"/>
              </w:rPr>
            </w:pPr>
            <w:r>
              <w:rPr>
                <w:sz w:val="22"/>
              </w:rPr>
              <w:t>Campo  del</w:t>
            </w:r>
          </w:p>
        </w:tc>
        <w:tc>
          <w:tcPr>
            <w:tcW w:w="1274" w:type="dxa"/>
            <w:tcBorders>
              <w:top w:val="nil"/>
            </w:tcBorders>
          </w:tcPr>
          <w:p>
            <w:pPr/>
          </w:p>
        </w:tc>
        <w:tc>
          <w:tcPr>
            <w:tcW w:w="1887" w:type="dxa"/>
            <w:tcBorders>
              <w:top w:val="nil"/>
            </w:tcBorders>
          </w:tcPr>
          <w:p>
            <w:pPr>
              <w:pStyle w:val="TableParagraph"/>
              <w:spacing w:line="242" w:lineRule="exact"/>
              <w:rPr>
                <w:sz w:val="22"/>
              </w:rPr>
            </w:pPr>
            <w:r>
              <w:rPr>
                <w:sz w:val="22"/>
              </w:rPr>
              <w:t>Conagua</w:t>
            </w:r>
          </w:p>
        </w:tc>
        <w:tc>
          <w:tcPr>
            <w:tcW w:w="1289" w:type="dxa"/>
            <w:tcBorders>
              <w:top w:val="nil"/>
            </w:tcBorders>
          </w:tcPr>
          <w:p>
            <w:pPr/>
          </w:p>
        </w:tc>
        <w:tc>
          <w:tcPr>
            <w:tcW w:w="1174" w:type="dxa"/>
            <w:tcBorders>
              <w:top w:val="nil"/>
            </w:tcBorders>
          </w:tcPr>
          <w:p>
            <w:pPr/>
          </w:p>
        </w:tc>
        <w:tc>
          <w:tcPr>
            <w:tcW w:w="2314" w:type="dxa"/>
            <w:tcBorders>
              <w:top w:val="nil"/>
            </w:tcBorders>
          </w:tcPr>
          <w:p>
            <w:pPr/>
          </w:p>
        </w:tc>
        <w:tc>
          <w:tcPr>
            <w:tcW w:w="3901" w:type="dxa"/>
            <w:tcBorders>
              <w:top w:val="nil"/>
            </w:tcBorders>
          </w:tcPr>
          <w:p>
            <w:pPr/>
          </w:p>
        </w:tc>
      </w:tr>
    </w:tbl>
    <w:p>
      <w:pPr>
        <w:spacing w:after="0"/>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66" w:hRule="exact"/>
        </w:trPr>
        <w:tc>
          <w:tcPr>
            <w:tcW w:w="1385" w:type="dxa"/>
            <w:tcBorders>
              <w:bottom w:val="nil"/>
            </w:tcBorders>
          </w:tcPr>
          <w:p>
            <w:pPr>
              <w:pStyle w:val="TableParagraph"/>
              <w:tabs>
                <w:tab w:pos="1029" w:val="left" w:leader="none"/>
              </w:tabs>
              <w:spacing w:line="251" w:lineRule="exact"/>
              <w:rPr>
                <w:sz w:val="22"/>
              </w:rPr>
            </w:pPr>
            <w:r>
              <w:rPr>
                <w:sz w:val="22"/>
              </w:rPr>
              <w:t>Estado</w:t>
              <w:tab/>
              <w:t>de</w:t>
            </w:r>
          </w:p>
        </w:tc>
        <w:tc>
          <w:tcPr>
            <w:tcW w:w="1274" w:type="dxa"/>
            <w:vMerge w:val="restart"/>
          </w:tcPr>
          <w:p>
            <w:pPr/>
          </w:p>
        </w:tc>
        <w:tc>
          <w:tcPr>
            <w:tcW w:w="1887" w:type="dxa"/>
            <w:tcBorders>
              <w:bottom w:val="nil"/>
            </w:tcBorders>
          </w:tcPr>
          <w:p>
            <w:pPr>
              <w:pStyle w:val="TableParagraph"/>
              <w:tabs>
                <w:tab w:pos="1110" w:val="left" w:leader="none"/>
                <w:tab w:pos="1491" w:val="left" w:leader="none"/>
              </w:tabs>
              <w:spacing w:line="251" w:lineRule="exact"/>
              <w:rPr>
                <w:sz w:val="22"/>
              </w:rPr>
            </w:pPr>
            <w:r>
              <w:rPr>
                <w:sz w:val="22"/>
              </w:rPr>
              <w:t>entrego</w:t>
              <w:tab/>
              <w:t>a</w:t>
              <w:tab/>
              <w:t>los</w:t>
            </w:r>
          </w:p>
        </w:tc>
        <w:tc>
          <w:tcPr>
            <w:tcW w:w="1289" w:type="dxa"/>
            <w:vMerge w:val="restart"/>
          </w:tcPr>
          <w:p>
            <w:pPr/>
          </w:p>
        </w:tc>
        <w:tc>
          <w:tcPr>
            <w:tcW w:w="1174" w:type="dxa"/>
            <w:vMerge w:val="restart"/>
          </w:tcPr>
          <w:p>
            <w:pPr/>
          </w:p>
        </w:tc>
        <w:tc>
          <w:tcPr>
            <w:tcW w:w="2314" w:type="dxa"/>
            <w:vMerge w:val="restart"/>
          </w:tcPr>
          <w:p>
            <w:pPr/>
          </w:p>
        </w:tc>
        <w:tc>
          <w:tcPr>
            <w:tcW w:w="3901" w:type="dxa"/>
            <w:vMerge w:val="restart"/>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México)</w:t>
            </w:r>
          </w:p>
        </w:tc>
        <w:tc>
          <w:tcPr>
            <w:tcW w:w="1274" w:type="dxa"/>
            <w:vMerge/>
          </w:tcPr>
          <w:p>
            <w:pPr/>
          </w:p>
        </w:tc>
        <w:tc>
          <w:tcPr>
            <w:tcW w:w="1887" w:type="dxa"/>
            <w:tcBorders>
              <w:top w:val="nil"/>
              <w:bottom w:val="nil"/>
            </w:tcBorders>
          </w:tcPr>
          <w:p>
            <w:pPr>
              <w:pStyle w:val="TableParagraph"/>
              <w:tabs>
                <w:tab w:pos="1492" w:val="left" w:leader="none"/>
              </w:tabs>
              <w:spacing w:line="241" w:lineRule="exact"/>
              <w:rPr>
                <w:sz w:val="22"/>
              </w:rPr>
            </w:pPr>
            <w:r>
              <w:rPr>
                <w:sz w:val="22"/>
              </w:rPr>
              <w:t>usuarios</w:t>
              <w:tab/>
              <w:t>los</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que</w:t>
            </w:r>
          </w:p>
        </w:tc>
        <w:tc>
          <w:tcPr>
            <w:tcW w:w="1274" w:type="dxa"/>
            <w:vMerge/>
          </w:tcPr>
          <w:p>
            <w:pPr/>
          </w:p>
        </w:tc>
        <w:tc>
          <w:tcPr>
            <w:tcW w:w="1887" w:type="dxa"/>
            <w:tcBorders>
              <w:top w:val="nil"/>
              <w:bottom w:val="nil"/>
            </w:tcBorders>
          </w:tcPr>
          <w:p>
            <w:pPr>
              <w:pStyle w:val="TableParagraph"/>
              <w:tabs>
                <w:tab w:pos="1527" w:val="left" w:leader="none"/>
              </w:tabs>
              <w:spacing w:line="242" w:lineRule="exact"/>
              <w:rPr>
                <w:sz w:val="22"/>
              </w:rPr>
            </w:pPr>
            <w:r>
              <w:rPr>
                <w:sz w:val="22"/>
              </w:rPr>
              <w:t>distritos</w:t>
              <w:tab/>
              <w:t>de</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representa</w:t>
            </w:r>
          </w:p>
        </w:tc>
        <w:tc>
          <w:tcPr>
            <w:tcW w:w="1274" w:type="dxa"/>
            <w:vMerge/>
          </w:tcPr>
          <w:p>
            <w:pPr/>
          </w:p>
        </w:tc>
        <w:tc>
          <w:tcPr>
            <w:tcW w:w="1887" w:type="dxa"/>
            <w:tcBorders>
              <w:top w:val="nil"/>
              <w:bottom w:val="nil"/>
            </w:tcBorders>
          </w:tcPr>
          <w:p>
            <w:pPr>
              <w:pStyle w:val="TableParagraph"/>
              <w:tabs>
                <w:tab w:pos="1578" w:val="left" w:leader="none"/>
              </w:tabs>
              <w:spacing w:line="241" w:lineRule="exact"/>
              <w:rPr>
                <w:sz w:val="22"/>
              </w:rPr>
            </w:pPr>
            <w:r>
              <w:rPr>
                <w:sz w:val="22"/>
              </w:rPr>
              <w:t>riego.</w:t>
              <w:tab/>
              <w:t>El</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Style w:val="TableParagraph"/>
              <w:tabs>
                <w:tab w:pos="546" w:val="left" w:leader="none"/>
                <w:tab w:pos="1149" w:val="left" w:leader="none"/>
              </w:tabs>
              <w:spacing w:line="242" w:lineRule="exact"/>
              <w:rPr>
                <w:sz w:val="22"/>
              </w:rPr>
            </w:pPr>
            <w:r>
              <w:rPr>
                <w:sz w:val="22"/>
              </w:rPr>
              <w:t>a</w:t>
              <w:tab/>
              <w:t>los</w:t>
              <w:tab/>
              <w:t>8</w:t>
            </w:r>
          </w:p>
        </w:tc>
        <w:tc>
          <w:tcPr>
            <w:tcW w:w="1274" w:type="dxa"/>
            <w:vMerge/>
          </w:tcPr>
          <w:p>
            <w:pPr/>
          </w:p>
        </w:tc>
        <w:tc>
          <w:tcPr>
            <w:tcW w:w="1887" w:type="dxa"/>
            <w:tcBorders>
              <w:top w:val="nil"/>
              <w:bottom w:val="nil"/>
            </w:tcBorders>
          </w:tcPr>
          <w:p>
            <w:pPr>
              <w:pStyle w:val="TableParagraph"/>
              <w:spacing w:line="242" w:lineRule="exact"/>
              <w:rPr>
                <w:sz w:val="22"/>
              </w:rPr>
            </w:pPr>
            <w:r>
              <w:rPr>
                <w:sz w:val="22"/>
              </w:rPr>
              <w:t>mandato   de   la</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2" w:hRule="exact"/>
        </w:trPr>
        <w:tc>
          <w:tcPr>
            <w:tcW w:w="1385" w:type="dxa"/>
            <w:tcBorders>
              <w:top w:val="nil"/>
              <w:bottom w:val="nil"/>
            </w:tcBorders>
          </w:tcPr>
          <w:p>
            <w:pPr>
              <w:pStyle w:val="TableParagraph"/>
              <w:spacing w:line="241" w:lineRule="exact"/>
              <w:rPr>
                <w:sz w:val="22"/>
              </w:rPr>
            </w:pPr>
            <w:r>
              <w:rPr>
                <w:sz w:val="22"/>
              </w:rPr>
              <w:t>módulos de</w:t>
            </w:r>
          </w:p>
        </w:tc>
        <w:tc>
          <w:tcPr>
            <w:tcW w:w="1274" w:type="dxa"/>
            <w:vMerge/>
          </w:tcPr>
          <w:p>
            <w:pPr/>
          </w:p>
        </w:tc>
        <w:tc>
          <w:tcPr>
            <w:tcW w:w="1887" w:type="dxa"/>
            <w:tcBorders>
              <w:top w:val="nil"/>
              <w:bottom w:val="nil"/>
            </w:tcBorders>
          </w:tcPr>
          <w:p>
            <w:pPr>
              <w:pStyle w:val="TableParagraph"/>
              <w:spacing w:line="241" w:lineRule="exact"/>
              <w:rPr>
                <w:sz w:val="22"/>
              </w:rPr>
            </w:pPr>
            <w:r>
              <w:rPr>
                <w:sz w:val="22"/>
              </w:rPr>
              <w:t>Asociación  dura</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Style w:val="TableParagraph"/>
              <w:tabs>
                <w:tab w:pos="978" w:val="left" w:leader="none"/>
              </w:tabs>
              <w:spacing w:line="241" w:lineRule="exact"/>
              <w:rPr>
                <w:sz w:val="22"/>
              </w:rPr>
            </w:pPr>
            <w:r>
              <w:rPr>
                <w:sz w:val="22"/>
              </w:rPr>
              <w:t>riego</w:t>
              <w:tab/>
              <w:t>del</w:t>
            </w:r>
          </w:p>
        </w:tc>
        <w:tc>
          <w:tcPr>
            <w:tcW w:w="1274" w:type="dxa"/>
            <w:vMerge/>
          </w:tcPr>
          <w:p>
            <w:pPr/>
          </w:p>
        </w:tc>
        <w:tc>
          <w:tcPr>
            <w:tcW w:w="1887" w:type="dxa"/>
            <w:tcBorders>
              <w:top w:val="nil"/>
              <w:bottom w:val="nil"/>
            </w:tcBorders>
          </w:tcPr>
          <w:p>
            <w:pPr>
              <w:pStyle w:val="TableParagraph"/>
              <w:tabs>
                <w:tab w:pos="470" w:val="left" w:leader="none"/>
                <w:tab w:pos="1189" w:val="left" w:leader="none"/>
                <w:tab w:pos="1542" w:val="left" w:leader="none"/>
              </w:tabs>
              <w:spacing w:line="241" w:lineRule="exact"/>
              <w:rPr>
                <w:sz w:val="22"/>
              </w:rPr>
            </w:pPr>
            <w:r>
              <w:rPr>
                <w:sz w:val="22"/>
              </w:rPr>
              <w:t>3</w:t>
              <w:tab/>
              <w:t>años</w:t>
              <w:tab/>
              <w:t>y</w:t>
              <w:tab/>
              <w:t>es</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4" w:hRule="exact"/>
        </w:trPr>
        <w:tc>
          <w:tcPr>
            <w:tcW w:w="1385" w:type="dxa"/>
            <w:tcBorders>
              <w:top w:val="nil"/>
              <w:bottom w:val="nil"/>
            </w:tcBorders>
          </w:tcPr>
          <w:p>
            <w:pPr>
              <w:pStyle w:val="TableParagraph"/>
              <w:tabs>
                <w:tab w:pos="1029" w:val="left" w:leader="none"/>
              </w:tabs>
              <w:spacing w:line="242" w:lineRule="exact"/>
              <w:rPr>
                <w:sz w:val="22"/>
              </w:rPr>
            </w:pPr>
            <w:r>
              <w:rPr>
                <w:sz w:val="22"/>
              </w:rPr>
              <w:t>Estado</w:t>
              <w:tab/>
              <w:t>de</w:t>
            </w:r>
          </w:p>
        </w:tc>
        <w:tc>
          <w:tcPr>
            <w:tcW w:w="1274" w:type="dxa"/>
            <w:vMerge/>
          </w:tcPr>
          <w:p>
            <w:pPr/>
          </w:p>
        </w:tc>
        <w:tc>
          <w:tcPr>
            <w:tcW w:w="1887" w:type="dxa"/>
            <w:tcBorders>
              <w:top w:val="nil"/>
              <w:bottom w:val="nil"/>
            </w:tcBorders>
          </w:tcPr>
          <w:p>
            <w:pPr>
              <w:pStyle w:val="TableParagraph"/>
              <w:tabs>
                <w:tab w:pos="988" w:val="left" w:leader="none"/>
                <w:tab w:pos="1528" w:val="left" w:leader="none"/>
              </w:tabs>
              <w:spacing w:line="242" w:lineRule="exact"/>
              <w:rPr>
                <w:sz w:val="22"/>
              </w:rPr>
            </w:pPr>
            <w:r>
              <w:rPr>
                <w:sz w:val="22"/>
              </w:rPr>
              <w:t>electo</w:t>
              <w:tab/>
              <w:t>en</w:t>
              <w:tab/>
              <w:t>La</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4" w:hRule="exact"/>
        </w:trPr>
        <w:tc>
          <w:tcPr>
            <w:tcW w:w="1385" w:type="dxa"/>
            <w:tcBorders>
              <w:top w:val="nil"/>
              <w:bottom w:val="nil"/>
            </w:tcBorders>
          </w:tcPr>
          <w:p>
            <w:pPr>
              <w:pStyle w:val="TableParagraph"/>
              <w:tabs>
                <w:tab w:pos="1074" w:val="left" w:leader="none"/>
              </w:tabs>
              <w:spacing w:line="241" w:lineRule="exact"/>
              <w:rPr>
                <w:sz w:val="22"/>
              </w:rPr>
            </w:pPr>
            <w:r>
              <w:rPr>
                <w:sz w:val="22"/>
              </w:rPr>
              <w:t>México</w:t>
              <w:tab/>
              <w:t>(5</w:t>
            </w:r>
          </w:p>
        </w:tc>
        <w:tc>
          <w:tcPr>
            <w:tcW w:w="1274" w:type="dxa"/>
            <w:vMerge/>
          </w:tcPr>
          <w:p>
            <w:pPr/>
          </w:p>
        </w:tc>
        <w:tc>
          <w:tcPr>
            <w:tcW w:w="1887" w:type="dxa"/>
            <w:tcBorders>
              <w:top w:val="nil"/>
              <w:bottom w:val="nil"/>
            </w:tcBorders>
          </w:tcPr>
          <w:p>
            <w:pPr>
              <w:pStyle w:val="TableParagraph"/>
              <w:tabs>
                <w:tab w:pos="1528" w:val="left" w:leader="none"/>
              </w:tabs>
              <w:spacing w:line="241" w:lineRule="exact"/>
              <w:rPr>
                <w:sz w:val="22"/>
              </w:rPr>
            </w:pPr>
            <w:r>
              <w:rPr>
                <w:sz w:val="22"/>
              </w:rPr>
              <w:t>Asamblea</w:t>
              <w:tab/>
              <w:t>de</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distritos)</w:t>
            </w:r>
          </w:p>
        </w:tc>
        <w:tc>
          <w:tcPr>
            <w:tcW w:w="1274" w:type="dxa"/>
            <w:vMerge/>
          </w:tcPr>
          <w:p>
            <w:pPr/>
          </w:p>
        </w:tc>
        <w:tc>
          <w:tcPr>
            <w:tcW w:w="1887" w:type="dxa"/>
            <w:tcBorders>
              <w:top w:val="nil"/>
              <w:bottom w:val="nil"/>
            </w:tcBorders>
          </w:tcPr>
          <w:p>
            <w:pPr>
              <w:pStyle w:val="TableParagraph"/>
              <w:tabs>
                <w:tab w:pos="1662" w:val="left" w:leader="none"/>
              </w:tabs>
              <w:spacing w:line="242" w:lineRule="exact"/>
              <w:rPr>
                <w:sz w:val="22"/>
              </w:rPr>
            </w:pPr>
            <w:r>
              <w:rPr>
                <w:sz w:val="22"/>
              </w:rPr>
              <w:t>Usuarios</w:t>
              <w:tab/>
              <w:t>y</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2" w:hRule="exact"/>
        </w:trPr>
        <w:tc>
          <w:tcPr>
            <w:tcW w:w="1385" w:type="dxa"/>
            <w:tcBorders>
              <w:top w:val="nil"/>
              <w:bottom w:val="nil"/>
            </w:tcBorders>
          </w:tcPr>
          <w:p>
            <w:pPr>
              <w:pStyle w:val="TableParagraph"/>
              <w:tabs>
                <w:tab w:pos="794" w:val="left" w:leader="none"/>
              </w:tabs>
              <w:spacing w:line="241" w:lineRule="exact"/>
              <w:rPr>
                <w:sz w:val="22"/>
              </w:rPr>
            </w:pPr>
            <w:r>
              <w:rPr>
                <w:sz w:val="22"/>
              </w:rPr>
              <w:t>que</w:t>
              <w:tab/>
              <w:t>tiene</w:t>
            </w:r>
          </w:p>
        </w:tc>
        <w:tc>
          <w:tcPr>
            <w:tcW w:w="1274" w:type="dxa"/>
            <w:vMerge/>
          </w:tcPr>
          <w:p>
            <w:pPr/>
          </w:p>
        </w:tc>
        <w:tc>
          <w:tcPr>
            <w:tcW w:w="1887" w:type="dxa"/>
            <w:tcBorders>
              <w:top w:val="nil"/>
              <w:bottom w:val="nil"/>
            </w:tcBorders>
          </w:tcPr>
          <w:p>
            <w:pPr>
              <w:pStyle w:val="TableParagraph"/>
              <w:tabs>
                <w:tab w:pos="1468" w:val="left" w:leader="none"/>
              </w:tabs>
              <w:spacing w:line="241" w:lineRule="exact"/>
              <w:rPr>
                <w:sz w:val="22"/>
              </w:rPr>
            </w:pPr>
            <w:r>
              <w:rPr>
                <w:sz w:val="22"/>
              </w:rPr>
              <w:t>puede</w:t>
              <w:tab/>
              <w:t>ser</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Style w:val="TableParagraph"/>
              <w:spacing w:line="241" w:lineRule="exact"/>
              <w:rPr>
                <w:sz w:val="22"/>
              </w:rPr>
            </w:pPr>
            <w:r>
              <w:rPr>
                <w:sz w:val="22"/>
              </w:rPr>
              <w:t>su </w:t>
            </w:r>
            <w:r>
              <w:rPr>
                <w:spacing w:val="56"/>
                <w:sz w:val="22"/>
              </w:rPr>
              <w:t> </w:t>
            </w:r>
            <w:r>
              <w:rPr>
                <w:sz w:val="22"/>
              </w:rPr>
              <w:t>consejo</w:t>
            </w:r>
          </w:p>
        </w:tc>
        <w:tc>
          <w:tcPr>
            <w:tcW w:w="1274" w:type="dxa"/>
            <w:vMerge/>
          </w:tcPr>
          <w:p>
            <w:pPr/>
          </w:p>
        </w:tc>
        <w:tc>
          <w:tcPr>
            <w:tcW w:w="1887" w:type="dxa"/>
            <w:tcBorders>
              <w:top w:val="nil"/>
              <w:bottom w:val="nil"/>
            </w:tcBorders>
          </w:tcPr>
          <w:p>
            <w:pPr>
              <w:pStyle w:val="TableParagraph"/>
              <w:spacing w:line="241" w:lineRule="exact"/>
              <w:rPr>
                <w:sz w:val="22"/>
              </w:rPr>
            </w:pPr>
            <w:r>
              <w:rPr>
                <w:sz w:val="22"/>
              </w:rPr>
              <w:t>reelecto si así  lo</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Style w:val="TableParagraph"/>
              <w:tabs>
                <w:tab w:pos="1029" w:val="left" w:leader="none"/>
              </w:tabs>
              <w:spacing w:line="242" w:lineRule="exact"/>
              <w:rPr>
                <w:sz w:val="22"/>
              </w:rPr>
            </w:pPr>
            <w:r>
              <w:rPr>
                <w:sz w:val="22"/>
              </w:rPr>
              <w:t>técnico</w:t>
              <w:tab/>
              <w:t>en</w:t>
            </w:r>
          </w:p>
        </w:tc>
        <w:tc>
          <w:tcPr>
            <w:tcW w:w="1274" w:type="dxa"/>
            <w:vMerge/>
          </w:tcPr>
          <w:p>
            <w:pPr/>
          </w:p>
        </w:tc>
        <w:tc>
          <w:tcPr>
            <w:tcW w:w="1887" w:type="dxa"/>
            <w:tcBorders>
              <w:top w:val="nil"/>
              <w:bottom w:val="nil"/>
            </w:tcBorders>
          </w:tcPr>
          <w:p>
            <w:pPr>
              <w:pStyle w:val="TableParagraph"/>
              <w:tabs>
                <w:tab w:pos="1528" w:val="left" w:leader="none"/>
              </w:tabs>
              <w:spacing w:line="242" w:lineRule="exact"/>
              <w:rPr>
                <w:sz w:val="22"/>
              </w:rPr>
            </w:pPr>
            <w:r>
              <w:rPr>
                <w:sz w:val="22"/>
              </w:rPr>
              <w:t>desean</w:t>
              <w:tab/>
              <w:t>(el</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Sedagro-</w:t>
            </w:r>
          </w:p>
        </w:tc>
        <w:tc>
          <w:tcPr>
            <w:tcW w:w="1274" w:type="dxa"/>
            <w:vMerge/>
          </w:tcPr>
          <w:p>
            <w:pPr/>
          </w:p>
        </w:tc>
        <w:tc>
          <w:tcPr>
            <w:tcW w:w="1887" w:type="dxa"/>
            <w:tcBorders>
              <w:top w:val="nil"/>
              <w:bottom w:val="nil"/>
            </w:tcBorders>
          </w:tcPr>
          <w:p>
            <w:pPr>
              <w:pStyle w:val="TableParagraph"/>
              <w:tabs>
                <w:tab w:pos="1077" w:val="left" w:leader="none"/>
              </w:tabs>
              <w:spacing w:line="241" w:lineRule="exact"/>
              <w:rPr>
                <w:sz w:val="22"/>
              </w:rPr>
            </w:pPr>
            <w:r>
              <w:rPr>
                <w:sz w:val="22"/>
              </w:rPr>
              <w:t>actual</w:t>
              <w:tab/>
              <w:t>Comité</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Conagua.</w:t>
            </w:r>
          </w:p>
        </w:tc>
        <w:tc>
          <w:tcPr>
            <w:tcW w:w="1274" w:type="dxa"/>
            <w:vMerge/>
          </w:tcPr>
          <w:p>
            <w:pPr/>
          </w:p>
        </w:tc>
        <w:tc>
          <w:tcPr>
            <w:tcW w:w="1887" w:type="dxa"/>
            <w:tcBorders>
              <w:top w:val="nil"/>
              <w:bottom w:val="nil"/>
            </w:tcBorders>
          </w:tcPr>
          <w:p>
            <w:pPr>
              <w:pStyle w:val="TableParagraph"/>
              <w:spacing w:line="242" w:lineRule="exact"/>
              <w:rPr>
                <w:sz w:val="22"/>
              </w:rPr>
            </w:pPr>
            <w:r>
              <w:rPr>
                <w:sz w:val="22"/>
              </w:rPr>
              <w:t>fue  electo  el</w:t>
            </w:r>
            <w:r>
              <w:rPr>
                <w:spacing w:val="52"/>
                <w:sz w:val="22"/>
              </w:rPr>
              <w:t> </w:t>
            </w:r>
            <w:r>
              <w:rPr>
                <w:sz w:val="22"/>
              </w:rPr>
              <w:t>20</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2"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570" w:val="left" w:leader="none"/>
                <w:tab w:pos="1528" w:val="left" w:leader="none"/>
              </w:tabs>
              <w:spacing w:line="241" w:lineRule="exact"/>
              <w:rPr>
                <w:sz w:val="22"/>
              </w:rPr>
            </w:pPr>
            <w:r>
              <w:rPr>
                <w:sz w:val="22"/>
              </w:rPr>
              <w:t>de</w:t>
              <w:tab/>
              <w:t>octubre</w:t>
              <w:tab/>
              <w:t>de</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1079" w:val="left" w:leader="none"/>
                <w:tab w:pos="1600" w:val="left" w:leader="none"/>
              </w:tabs>
              <w:spacing w:line="241" w:lineRule="exact"/>
              <w:rPr>
                <w:sz w:val="22"/>
              </w:rPr>
            </w:pPr>
            <w:r>
              <w:rPr>
                <w:sz w:val="22"/>
              </w:rPr>
              <w:t>2013)</w:t>
              <w:tab/>
              <w:t>y</w:t>
              <w:tab/>
              <w:t>lo</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1773" w:val="right" w:leader="none"/>
              </w:tabs>
              <w:spacing w:line="242" w:lineRule="exact"/>
              <w:rPr>
                <w:sz w:val="22"/>
              </w:rPr>
            </w:pPr>
            <w:r>
              <w:rPr>
                <w:sz w:val="22"/>
              </w:rPr>
              <w:t>conforman</w:t>
              <w:tab/>
              <w:t>8</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1528" w:val="left" w:leader="none"/>
              </w:tabs>
              <w:spacing w:line="241" w:lineRule="exact"/>
              <w:rPr>
                <w:sz w:val="22"/>
              </w:rPr>
            </w:pPr>
            <w:r>
              <w:rPr>
                <w:sz w:val="22"/>
              </w:rPr>
              <w:t>personas:</w:t>
              <w:tab/>
              <w:t>un</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spacing w:line="242" w:lineRule="exact"/>
              <w:rPr>
                <w:sz w:val="22"/>
              </w:rPr>
            </w:pPr>
            <w:r>
              <w:rPr>
                <w:sz w:val="22"/>
              </w:rPr>
              <w:t>presidente,</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2"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spacing w:line="241" w:lineRule="exact"/>
              <w:rPr>
                <w:sz w:val="22"/>
              </w:rPr>
            </w:pPr>
            <w:r>
              <w:rPr>
                <w:sz w:val="22"/>
              </w:rPr>
              <w:t>secretario,</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1405" w:val="left" w:leader="none"/>
              </w:tabs>
              <w:spacing w:line="241" w:lineRule="exact"/>
              <w:rPr>
                <w:sz w:val="22"/>
              </w:rPr>
            </w:pPr>
            <w:r>
              <w:rPr>
                <w:sz w:val="22"/>
              </w:rPr>
              <w:t>tesorero,</w:t>
              <w:tab/>
              <w:t>tres</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1132" w:val="left" w:leader="none"/>
                <w:tab w:pos="1526" w:val="left" w:leader="none"/>
              </w:tabs>
              <w:spacing w:line="242" w:lineRule="exact"/>
              <w:rPr>
                <w:sz w:val="22"/>
              </w:rPr>
            </w:pPr>
            <w:r>
              <w:rPr>
                <w:sz w:val="22"/>
              </w:rPr>
              <w:t>vocales</w:t>
              <w:tab/>
              <w:t>y</w:t>
              <w:tab/>
              <w:t>un</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1528" w:val="left" w:leader="none"/>
              </w:tabs>
              <w:spacing w:line="241" w:lineRule="exact"/>
              <w:rPr>
                <w:sz w:val="22"/>
              </w:rPr>
            </w:pPr>
            <w:r>
              <w:rPr>
                <w:sz w:val="22"/>
              </w:rPr>
              <w:t>consejo</w:t>
              <w:tab/>
              <w:t>de</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1451" w:val="left" w:leader="none"/>
              </w:tabs>
              <w:spacing w:line="242" w:lineRule="exact"/>
              <w:rPr>
                <w:sz w:val="22"/>
              </w:rPr>
            </w:pPr>
            <w:r>
              <w:rPr>
                <w:sz w:val="22"/>
              </w:rPr>
              <w:t>vigilancia</w:t>
              <w:tab/>
              <w:t>(un</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spacing w:line="241" w:lineRule="exact"/>
              <w:rPr>
                <w:sz w:val="22"/>
              </w:rPr>
            </w:pPr>
            <w:r>
              <w:rPr>
                <w:sz w:val="22"/>
              </w:rPr>
              <w:t>comisario  de  El</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1005" w:val="left" w:leader="none"/>
                <w:tab w:pos="1525" w:val="left" w:leader="none"/>
              </w:tabs>
              <w:spacing w:line="242" w:lineRule="exact"/>
              <w:rPr>
                <w:sz w:val="22"/>
              </w:rPr>
            </w:pPr>
            <w:r>
              <w:rPr>
                <w:sz w:val="22"/>
              </w:rPr>
              <w:t>Ejido</w:t>
              <w:tab/>
              <w:t>y</w:t>
              <w:tab/>
              <w:t>un</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2"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spacing w:line="241" w:lineRule="exact"/>
              <w:rPr>
                <w:sz w:val="22"/>
              </w:rPr>
            </w:pPr>
            <w:r>
              <w:rPr>
                <w:sz w:val="22"/>
              </w:rPr>
              <w:t>Comisario  de  la</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spacing w:line="241" w:lineRule="exact"/>
              <w:rPr>
                <w:sz w:val="22"/>
              </w:rPr>
            </w:pPr>
            <w:r>
              <w:rPr>
                <w:sz w:val="22"/>
              </w:rPr>
              <w:t>Propiedad</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1602" w:val="left" w:leader="none"/>
              </w:tabs>
              <w:spacing w:line="242" w:lineRule="exact"/>
              <w:rPr>
                <w:sz w:val="22"/>
              </w:rPr>
            </w:pPr>
            <w:r>
              <w:rPr>
                <w:sz w:val="22"/>
              </w:rPr>
              <w:t>Privada),</w:t>
              <w:tab/>
              <w:t>la</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tabs>
                <w:tab w:pos="1358" w:val="left" w:leader="none"/>
              </w:tabs>
              <w:spacing w:line="241" w:lineRule="exact"/>
              <w:rPr>
                <w:sz w:val="22"/>
              </w:rPr>
            </w:pPr>
            <w:r>
              <w:rPr>
                <w:sz w:val="22"/>
              </w:rPr>
              <w:t>asociación</w:t>
              <w:tab/>
              <w:t>está</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3" w:hRule="exact"/>
        </w:trPr>
        <w:tc>
          <w:tcPr>
            <w:tcW w:w="1385" w:type="dxa"/>
            <w:tcBorders>
              <w:top w:val="nil"/>
              <w:bottom w:val="nil"/>
            </w:tcBorders>
          </w:tcPr>
          <w:p>
            <w:pPr/>
          </w:p>
        </w:tc>
        <w:tc>
          <w:tcPr>
            <w:tcW w:w="1274" w:type="dxa"/>
            <w:vMerge/>
          </w:tcPr>
          <w:p>
            <w:pPr/>
          </w:p>
        </w:tc>
        <w:tc>
          <w:tcPr>
            <w:tcW w:w="1887" w:type="dxa"/>
            <w:tcBorders>
              <w:top w:val="nil"/>
              <w:bottom w:val="nil"/>
            </w:tcBorders>
          </w:tcPr>
          <w:p>
            <w:pPr>
              <w:pStyle w:val="TableParagraph"/>
              <w:spacing w:line="242" w:lineRule="exact"/>
              <w:rPr>
                <w:sz w:val="22"/>
              </w:rPr>
            </w:pPr>
            <w:r>
              <w:rPr>
                <w:sz w:val="22"/>
              </w:rPr>
              <w:t>conformada   por</w:t>
            </w:r>
          </w:p>
        </w:tc>
        <w:tc>
          <w:tcPr>
            <w:tcW w:w="1289" w:type="dxa"/>
            <w:vMerge/>
          </w:tcPr>
          <w:p>
            <w:pPr/>
          </w:p>
        </w:tc>
        <w:tc>
          <w:tcPr>
            <w:tcW w:w="1174" w:type="dxa"/>
            <w:vMerge/>
          </w:tcPr>
          <w:p>
            <w:pPr/>
          </w:p>
        </w:tc>
        <w:tc>
          <w:tcPr>
            <w:tcW w:w="2314" w:type="dxa"/>
            <w:vMerge/>
          </w:tcPr>
          <w:p>
            <w:pPr/>
          </w:p>
        </w:tc>
        <w:tc>
          <w:tcPr>
            <w:tcW w:w="3901" w:type="dxa"/>
            <w:vMerge/>
          </w:tcPr>
          <w:p>
            <w:pPr/>
          </w:p>
        </w:tc>
      </w:tr>
      <w:tr>
        <w:trPr>
          <w:trHeight w:val="250" w:hRule="exact"/>
        </w:trPr>
        <w:tc>
          <w:tcPr>
            <w:tcW w:w="1385" w:type="dxa"/>
            <w:tcBorders>
              <w:top w:val="nil"/>
            </w:tcBorders>
          </w:tcPr>
          <w:p>
            <w:pPr/>
          </w:p>
        </w:tc>
        <w:tc>
          <w:tcPr>
            <w:tcW w:w="1274" w:type="dxa"/>
            <w:vMerge/>
          </w:tcPr>
          <w:p>
            <w:pPr/>
          </w:p>
        </w:tc>
        <w:tc>
          <w:tcPr>
            <w:tcW w:w="1887" w:type="dxa"/>
            <w:tcBorders>
              <w:top w:val="nil"/>
            </w:tcBorders>
          </w:tcPr>
          <w:p>
            <w:pPr>
              <w:pStyle w:val="TableParagraph"/>
              <w:spacing w:line="241" w:lineRule="exact"/>
              <w:rPr>
                <w:sz w:val="22"/>
              </w:rPr>
            </w:pPr>
            <w:r>
              <w:rPr>
                <w:sz w:val="22"/>
              </w:rPr>
              <w:t>5200 usuarios.</w:t>
            </w:r>
          </w:p>
        </w:tc>
        <w:tc>
          <w:tcPr>
            <w:tcW w:w="1289" w:type="dxa"/>
            <w:vMerge/>
          </w:tcPr>
          <w:p>
            <w:pPr/>
          </w:p>
        </w:tc>
        <w:tc>
          <w:tcPr>
            <w:tcW w:w="1174" w:type="dxa"/>
            <w:vMerge/>
          </w:tcPr>
          <w:p>
            <w:pPr/>
          </w:p>
        </w:tc>
        <w:tc>
          <w:tcPr>
            <w:tcW w:w="2314" w:type="dxa"/>
            <w:vMerge/>
          </w:tcPr>
          <w:p>
            <w:pPr/>
          </w:p>
        </w:tc>
        <w:tc>
          <w:tcPr>
            <w:tcW w:w="3901" w:type="dxa"/>
            <w:vMerge/>
          </w:tcPr>
          <w:p>
            <w:pPr/>
          </w:p>
        </w:tc>
      </w:tr>
    </w:tbl>
    <w:p>
      <w:pPr>
        <w:spacing w:after="0"/>
        <w:sectPr>
          <w:footerReference w:type="default" r:id="rId193"/>
          <w:pgSz w:w="15840" w:h="12240" w:orient="landscape"/>
          <w:pgMar w:footer="943" w:header="0" w:top="1140" w:bottom="1140" w:left="1200" w:right="1180"/>
          <w:pgNumType w:start="370"/>
        </w:sectPr>
      </w:pPr>
    </w:p>
    <w:p>
      <w:pPr>
        <w:pStyle w:val="BodyText"/>
        <w:rPr>
          <w:rFonts w:ascii="Times New Roman"/>
          <w:sz w:val="20"/>
        </w:rPr>
      </w:pPr>
    </w:p>
    <w:p>
      <w:pPr>
        <w:pStyle w:val="BodyText"/>
        <w:spacing w:before="5"/>
        <w:rPr>
          <w:rFonts w:ascii="Times New Roman"/>
          <w:sz w:val="28"/>
        </w:rPr>
      </w:pPr>
    </w:p>
    <w:p>
      <w:pPr>
        <w:pStyle w:val="BodyText"/>
        <w:ind w:left="105"/>
        <w:rPr>
          <w:rFonts w:ascii="Times New Roman"/>
          <w:sz w:val="20"/>
        </w:rPr>
      </w:pPr>
      <w:r>
        <w:rPr>
          <w:rFonts w:ascii="Times New Roman"/>
          <w:sz w:val="20"/>
        </w:rPr>
        <w:pict>
          <v:group style="width:661.7pt;height:49.85pt;mso-position-horizontal-relative:char;mso-position-vertical-relative:line" coordorigin="0,0" coordsize="13234,997">
            <v:line style="position:absolute" from="10,10" to="4547,10" stroked="true" strokeweight=".48pt" strokecolor="#000000"/>
            <v:line style="position:absolute" from="4556,10" to="13224,10" stroked="true" strokeweight=".48pt" strokecolor="#000000"/>
            <v:line style="position:absolute" from="5,5" to="5,991" stroked="true" strokeweight=".48pt" strokecolor="#000000"/>
            <v:line style="position:absolute" from="10,987" to="4547,987" stroked="true" strokeweight=".48pt" strokecolor="#000000"/>
            <v:line style="position:absolute" from="4552,5" to="4552,991" stroked="true" strokeweight=".48001pt" strokecolor="#000000"/>
            <v:line style="position:absolute" from="4556,987" to="13224,987" stroked="true" strokeweight=".48pt" strokecolor="#000000"/>
            <v:line style="position:absolute" from="13229,5" to="13229,991" stroked="true" strokeweight=".48004pt" strokecolor="#000000"/>
            <v:shape style="position:absolute;left:5;top:10;width:4547;height:977" type="#_x0000_t202" filled="false" stroked="false">
              <v:textbox inset="0,0,0,0">
                <w:txbxContent>
                  <w:p>
                    <w:pPr>
                      <w:spacing w:before="2"/>
                      <w:ind w:left="107" w:right="147" w:firstLine="0"/>
                      <w:jc w:val="left"/>
                      <w:rPr>
                        <w:sz w:val="22"/>
                      </w:rPr>
                    </w:pPr>
                    <w:r>
                      <w:rPr>
                        <w:sz w:val="22"/>
                      </w:rPr>
                      <w:t>Encargado de abrir la compuerta de la presa Huapango para</w:t>
                    </w:r>
                    <w:r>
                      <w:rPr>
                        <w:spacing w:val="-10"/>
                        <w:sz w:val="22"/>
                      </w:rPr>
                      <w:t> </w:t>
                    </w:r>
                    <w:r>
                      <w:rPr>
                        <w:sz w:val="22"/>
                      </w:rPr>
                      <w:t>riego.</w:t>
                    </w:r>
                  </w:p>
                </w:txbxContent>
              </v:textbox>
              <w10:wrap type="none"/>
            </v:shape>
            <v:shape style="position:absolute;left:4552;top:10;width:8677;height:977" type="#_x0000_t202" filled="false" stroked="false">
              <v:textbox inset="0,0,0,0">
                <w:txbxContent>
                  <w:p>
                    <w:pPr>
                      <w:spacing w:before="2"/>
                      <w:ind w:left="107" w:right="0" w:firstLine="0"/>
                      <w:jc w:val="left"/>
                      <w:rPr>
                        <w:sz w:val="22"/>
                      </w:rPr>
                    </w:pPr>
                    <w:r>
                      <w:rPr>
                        <w:sz w:val="22"/>
                      </w:rPr>
                      <w:t>No accedió a la entrevista porque necesitaba el permiso de sus superiores.</w:t>
                    </w:r>
                  </w:p>
                </w:txbxContent>
              </v:textbox>
              <w10:wrap type="none"/>
            </v:shape>
          </v:group>
        </w:pict>
      </w:r>
      <w:r>
        <w:rPr>
          <w:rFonts w:ascii="Times New Roman"/>
          <w:sz w:val="20"/>
        </w:rPr>
      </w:r>
    </w:p>
    <w:p>
      <w:pPr>
        <w:pStyle w:val="BodyText"/>
        <w:spacing w:line="209"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4"/>
        <w:ind w:left="2587" w:right="778"/>
      </w:pPr>
      <w:r>
        <w:rPr/>
        <w:t>Tabla 6.14. Actores Federales (Autoridades Federales)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9" w:right="4869"/>
              <w:jc w:val="center"/>
              <w:rPr>
                <w:b/>
                <w:sz w:val="22"/>
              </w:rPr>
            </w:pPr>
            <w:r>
              <w:rPr>
                <w:b/>
                <w:sz w:val="22"/>
              </w:rPr>
              <w:t>ACTORES FEDERALES</w:t>
            </w:r>
          </w:p>
        </w:tc>
      </w:tr>
      <w:tr>
        <w:trPr>
          <w:trHeight w:val="526" w:hRule="exact"/>
        </w:trPr>
        <w:tc>
          <w:tcPr>
            <w:tcW w:w="4547" w:type="dxa"/>
            <w:gridSpan w:val="3"/>
            <w:vMerge w:val="restart"/>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8"/>
              <w:ind w:left="0"/>
              <w:rPr>
                <w:b/>
                <w:sz w:val="21"/>
              </w:rPr>
            </w:pPr>
          </w:p>
          <w:p>
            <w:pPr>
              <w:pStyle w:val="TableParagraph"/>
              <w:ind w:left="2695"/>
              <w:rPr>
                <w:b/>
                <w:sz w:val="22"/>
              </w:rPr>
            </w:pPr>
            <w:r>
              <w:rPr>
                <w:b/>
                <w:sz w:val="22"/>
              </w:rPr>
              <w:t>PRINCIPIOS DE GOBERNANZA</w:t>
            </w:r>
          </w:p>
        </w:tc>
      </w:tr>
      <w:tr>
        <w:trPr>
          <w:trHeight w:val="264"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Poder</w:t>
            </w:r>
          </w:p>
        </w:tc>
        <w:tc>
          <w:tcPr>
            <w:tcW w:w="3901" w:type="dxa"/>
            <w:shd w:val="clear" w:color="auto" w:fill="92CDDC"/>
          </w:tcPr>
          <w:p>
            <w:pPr>
              <w:pStyle w:val="TableParagraph"/>
              <w:spacing w:line="251" w:lineRule="exact"/>
              <w:rPr>
                <w:b/>
                <w:i/>
                <w:sz w:val="22"/>
              </w:rPr>
            </w:pPr>
            <w:r>
              <w:rPr>
                <w:b/>
                <w:i/>
                <w:sz w:val="22"/>
              </w:rPr>
              <w:t>Poder</w:t>
            </w:r>
          </w:p>
        </w:tc>
      </w:tr>
      <w:tr>
        <w:trPr>
          <w:trHeight w:val="264" w:hRule="exact"/>
        </w:trPr>
        <w:tc>
          <w:tcPr>
            <w:tcW w:w="1385" w:type="dxa"/>
            <w:tcBorders>
              <w:bottom w:val="nil"/>
            </w:tcBorders>
            <w:shd w:val="clear" w:color="auto" w:fill="F9BE8F"/>
          </w:tcPr>
          <w:p>
            <w:pPr>
              <w:pStyle w:val="TableParagraph"/>
              <w:spacing w:line="248" w:lineRule="exact"/>
              <w:ind w:right="127"/>
              <w:rPr>
                <w:b/>
                <w:sz w:val="22"/>
              </w:rPr>
            </w:pPr>
            <w:r>
              <w:rPr>
                <w:b/>
                <w:sz w:val="22"/>
              </w:rPr>
              <w:t>Nombre y</w:t>
            </w:r>
          </w:p>
        </w:tc>
        <w:tc>
          <w:tcPr>
            <w:tcW w:w="1274" w:type="dxa"/>
            <w:tcBorders>
              <w:bottom w:val="nil"/>
            </w:tcBorders>
            <w:shd w:val="clear" w:color="auto" w:fill="F9BE8F"/>
          </w:tcPr>
          <w:p>
            <w:pPr>
              <w:pStyle w:val="TableParagraph"/>
              <w:spacing w:line="248" w:lineRule="exact"/>
              <w:ind w:left="100" w:right="98"/>
              <w:rPr>
                <w:b/>
                <w:sz w:val="22"/>
              </w:rPr>
            </w:pPr>
            <w:r>
              <w:rPr>
                <w:b/>
                <w:sz w:val="22"/>
              </w:rPr>
              <w:t>Nivel</w:t>
            </w:r>
          </w:p>
        </w:tc>
        <w:tc>
          <w:tcPr>
            <w:tcW w:w="1887" w:type="dxa"/>
            <w:tcBorders>
              <w:bottom w:val="nil"/>
            </w:tcBorders>
            <w:shd w:val="clear" w:color="auto" w:fill="F9BE8F"/>
          </w:tcPr>
          <w:p>
            <w:pPr>
              <w:pStyle w:val="TableParagraph"/>
              <w:spacing w:line="248" w:lineRule="exact"/>
              <w:rPr>
                <w:b/>
                <w:sz w:val="22"/>
              </w:rPr>
            </w:pPr>
            <w:r>
              <w:rPr>
                <w:b/>
                <w:sz w:val="22"/>
              </w:rPr>
              <w:t>Cargo Público</w:t>
            </w:r>
          </w:p>
        </w:tc>
        <w:tc>
          <w:tcPr>
            <w:tcW w:w="1289" w:type="dxa"/>
            <w:tcBorders>
              <w:bottom w:val="nil"/>
            </w:tcBorders>
            <w:shd w:val="clear" w:color="auto" w:fill="92CDDC"/>
          </w:tcPr>
          <w:p>
            <w:pPr>
              <w:pStyle w:val="TableParagraph"/>
              <w:spacing w:line="248" w:lineRule="exact"/>
              <w:rPr>
                <w:b/>
                <w:sz w:val="22"/>
              </w:rPr>
            </w:pPr>
            <w:r>
              <w:rPr>
                <w:b/>
                <w:sz w:val="22"/>
              </w:rPr>
              <w:t>¿Dónde</w:t>
            </w:r>
          </w:p>
        </w:tc>
        <w:tc>
          <w:tcPr>
            <w:tcW w:w="1174" w:type="dxa"/>
            <w:tcBorders>
              <w:bottom w:val="nil"/>
            </w:tcBorders>
            <w:shd w:val="clear" w:color="auto" w:fill="92CDDC"/>
          </w:tcPr>
          <w:p>
            <w:pPr>
              <w:pStyle w:val="TableParagraph"/>
              <w:spacing w:line="248" w:lineRule="exact"/>
              <w:rPr>
                <w:b/>
                <w:sz w:val="22"/>
              </w:rPr>
            </w:pPr>
            <w:r>
              <w:rPr>
                <w:b/>
                <w:sz w:val="22"/>
              </w:rPr>
              <w:t>¿Dónde</w:t>
            </w:r>
          </w:p>
        </w:tc>
        <w:tc>
          <w:tcPr>
            <w:tcW w:w="2314" w:type="dxa"/>
            <w:tcBorders>
              <w:bottom w:val="nil"/>
            </w:tcBorders>
            <w:shd w:val="clear" w:color="auto" w:fill="92CDDC"/>
          </w:tcPr>
          <w:p>
            <w:pPr>
              <w:pStyle w:val="TableParagraph"/>
              <w:tabs>
                <w:tab w:pos="1298" w:val="left" w:leader="none"/>
              </w:tabs>
              <w:spacing w:line="248" w:lineRule="exact"/>
              <w:ind w:left="100"/>
              <w:rPr>
                <w:b/>
                <w:sz w:val="22"/>
              </w:rPr>
            </w:pPr>
            <w:r>
              <w:rPr>
                <w:b/>
                <w:sz w:val="22"/>
              </w:rPr>
              <w:t>¿Qué</w:t>
              <w:tab/>
              <w:t>solución</w:t>
            </w:r>
          </w:p>
        </w:tc>
        <w:tc>
          <w:tcPr>
            <w:tcW w:w="3901" w:type="dxa"/>
            <w:tcBorders>
              <w:bottom w:val="nil"/>
            </w:tcBorders>
            <w:shd w:val="clear" w:color="auto" w:fill="92CDDC"/>
          </w:tcPr>
          <w:p>
            <w:pPr>
              <w:pStyle w:val="TableParagraph"/>
              <w:tabs>
                <w:tab w:pos="2157" w:val="left" w:leader="none"/>
              </w:tabs>
              <w:spacing w:line="248" w:lineRule="exact"/>
              <w:rPr>
                <w:b/>
                <w:sz w:val="22"/>
              </w:rPr>
            </w:pPr>
            <w:r>
              <w:rPr>
                <w:b/>
                <w:sz w:val="22"/>
              </w:rPr>
              <w:t>¿Quiénes  </w:t>
            </w:r>
            <w:r>
              <w:rPr>
                <w:b/>
                <w:spacing w:val="15"/>
                <w:sz w:val="22"/>
              </w:rPr>
              <w:t> </w:t>
            </w:r>
            <w:r>
              <w:rPr>
                <w:b/>
                <w:sz w:val="22"/>
              </w:rPr>
              <w:t>deben</w:t>
              <w:tab/>
              <w:t>solucionar  </w:t>
            </w:r>
            <w:r>
              <w:rPr>
                <w:b/>
                <w:spacing w:val="11"/>
                <w:sz w:val="22"/>
              </w:rPr>
              <w:t> </w:t>
            </w:r>
            <w:r>
              <w:rPr>
                <w:b/>
                <w:sz w:val="22"/>
              </w:rPr>
              <w:t>los</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1199" w:val="left" w:leader="none"/>
                <w:tab w:pos="1883" w:val="left" w:leader="none"/>
              </w:tabs>
              <w:spacing w:line="241" w:lineRule="exact"/>
              <w:ind w:left="100"/>
              <w:rPr>
                <w:b/>
                <w:sz w:val="22"/>
              </w:rPr>
            </w:pPr>
            <w:r>
              <w:rPr>
                <w:b/>
                <w:sz w:val="22"/>
              </w:rPr>
              <w:t>propone</w:t>
              <w:tab/>
              <w:t>para</w:t>
              <w:tab/>
              <w:t>los</w:t>
            </w:r>
          </w:p>
        </w:tc>
        <w:tc>
          <w:tcPr>
            <w:tcW w:w="3901" w:type="dxa"/>
            <w:tcBorders>
              <w:top w:val="nil"/>
              <w:bottom w:val="nil"/>
            </w:tcBorders>
            <w:shd w:val="clear" w:color="auto" w:fill="92CDDC"/>
          </w:tcPr>
          <w:p>
            <w:pPr>
              <w:pStyle w:val="TableParagraph"/>
              <w:tabs>
                <w:tab w:pos="1691" w:val="left" w:leader="none"/>
                <w:tab w:pos="2420" w:val="left" w:leader="none"/>
                <w:tab w:pos="3078" w:val="left" w:leader="none"/>
              </w:tabs>
              <w:spacing w:line="241" w:lineRule="exact"/>
              <w:rPr>
                <w:b/>
                <w:sz w:val="22"/>
              </w:rPr>
            </w:pPr>
            <w:r>
              <w:rPr>
                <w:b/>
                <w:sz w:val="22"/>
              </w:rPr>
              <w:t>problemas</w:t>
              <w:tab/>
              <w:t>de</w:t>
              <w:tab/>
              <w:t>la</w:t>
              <w:tab/>
              <w:t>laguna</w:t>
            </w:r>
          </w:p>
        </w:tc>
      </w:tr>
      <w:tr>
        <w:trPr>
          <w:trHeight w:val="253" w:hRule="exact"/>
        </w:trPr>
        <w:tc>
          <w:tcPr>
            <w:tcW w:w="1385" w:type="dxa"/>
            <w:tcBorders>
              <w:top w:val="nil"/>
              <w:bottom w:val="nil"/>
            </w:tcBorders>
            <w:shd w:val="clear" w:color="auto" w:fill="F9BE8F"/>
          </w:tcPr>
          <w:p>
            <w:pPr>
              <w:pStyle w:val="TableParagraph"/>
              <w:spacing w:line="242"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487" w:val="left" w:leader="none"/>
                <w:tab w:pos="2017" w:val="left" w:leader="none"/>
              </w:tabs>
              <w:spacing w:line="242" w:lineRule="exact"/>
              <w:ind w:left="100"/>
              <w:rPr>
                <w:b/>
                <w:sz w:val="22"/>
              </w:rPr>
            </w:pPr>
            <w:r>
              <w:rPr>
                <w:b/>
                <w:sz w:val="22"/>
              </w:rPr>
              <w:t>problemas</w:t>
              <w:tab/>
              <w:t>de</w:t>
              <w:tab/>
              <w:t>la</w:t>
            </w:r>
          </w:p>
        </w:tc>
        <w:tc>
          <w:tcPr>
            <w:tcW w:w="3901" w:type="dxa"/>
            <w:tcBorders>
              <w:top w:val="nil"/>
              <w:bottom w:val="nil"/>
            </w:tcBorders>
            <w:shd w:val="clear" w:color="auto" w:fill="92CDDC"/>
          </w:tcPr>
          <w:p>
            <w:pPr>
              <w:pStyle w:val="TableParagraph"/>
              <w:spacing w:line="242" w:lineRule="exact"/>
              <w:rPr>
                <w:b/>
                <w:sz w:val="22"/>
              </w:rPr>
            </w:pPr>
            <w:r>
              <w:rPr>
                <w:b/>
                <w:sz w:val="22"/>
              </w:rPr>
              <w:t>Huapango?</w:t>
            </w:r>
          </w:p>
        </w:tc>
      </w:tr>
      <w:tr>
        <w:trPr>
          <w:trHeight w:val="250"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laguna Huapango?</w:t>
            </w:r>
          </w:p>
        </w:tc>
        <w:tc>
          <w:tcPr>
            <w:tcW w:w="3901" w:type="dxa"/>
            <w:tcBorders>
              <w:top w:val="nil"/>
            </w:tcBorders>
            <w:shd w:val="clear" w:color="auto" w:fill="92CDDC"/>
          </w:tcPr>
          <w:p>
            <w:pPr/>
          </w:p>
        </w:tc>
      </w:tr>
      <w:tr>
        <w:trPr>
          <w:trHeight w:val="269" w:hRule="exact"/>
        </w:trPr>
        <w:tc>
          <w:tcPr>
            <w:tcW w:w="1385" w:type="dxa"/>
            <w:tcBorders>
              <w:bottom w:val="nil"/>
            </w:tcBorders>
          </w:tcPr>
          <w:p>
            <w:pPr>
              <w:pStyle w:val="TableParagraph"/>
              <w:ind w:right="127"/>
              <w:rPr>
                <w:sz w:val="22"/>
              </w:rPr>
            </w:pPr>
            <w:r>
              <w:rPr>
                <w:sz w:val="22"/>
              </w:rPr>
              <w:t>Raúl Rivas</w:t>
            </w:r>
          </w:p>
        </w:tc>
        <w:tc>
          <w:tcPr>
            <w:tcW w:w="1274" w:type="dxa"/>
            <w:tcBorders>
              <w:bottom w:val="nil"/>
            </w:tcBorders>
          </w:tcPr>
          <w:p>
            <w:pPr>
              <w:pStyle w:val="TableParagraph"/>
              <w:ind w:left="100" w:right="98"/>
              <w:rPr>
                <w:sz w:val="22"/>
              </w:rPr>
            </w:pPr>
            <w:r>
              <w:rPr>
                <w:sz w:val="22"/>
              </w:rPr>
              <w:t>Ingeniero</w:t>
            </w:r>
          </w:p>
        </w:tc>
        <w:tc>
          <w:tcPr>
            <w:tcW w:w="1887" w:type="dxa"/>
            <w:tcBorders>
              <w:bottom w:val="nil"/>
            </w:tcBorders>
          </w:tcPr>
          <w:p>
            <w:pPr>
              <w:pStyle w:val="TableParagraph"/>
              <w:rPr>
                <w:sz w:val="22"/>
              </w:rPr>
            </w:pPr>
            <w:r>
              <w:rPr>
                <w:sz w:val="22"/>
              </w:rPr>
              <w:t>Jefe del Distrito</w:t>
            </w:r>
          </w:p>
        </w:tc>
        <w:tc>
          <w:tcPr>
            <w:tcW w:w="1289" w:type="dxa"/>
            <w:tcBorders>
              <w:bottom w:val="nil"/>
            </w:tcBorders>
          </w:tcPr>
          <w:p>
            <w:pPr>
              <w:pStyle w:val="TableParagraph"/>
              <w:rPr>
                <w:sz w:val="22"/>
              </w:rPr>
            </w:pPr>
            <w:r>
              <w:rPr>
                <w:sz w:val="22"/>
              </w:rPr>
              <w:t>Cuautla,</w:t>
            </w:r>
          </w:p>
        </w:tc>
        <w:tc>
          <w:tcPr>
            <w:tcW w:w="1174" w:type="dxa"/>
            <w:tcBorders>
              <w:bottom w:val="nil"/>
            </w:tcBorders>
          </w:tcPr>
          <w:p>
            <w:pPr>
              <w:pStyle w:val="TableParagraph"/>
              <w:rPr>
                <w:sz w:val="22"/>
              </w:rPr>
            </w:pPr>
            <w:r>
              <w:rPr>
                <w:sz w:val="22"/>
              </w:rPr>
              <w:t>Atlacomu</w:t>
            </w:r>
          </w:p>
        </w:tc>
        <w:tc>
          <w:tcPr>
            <w:tcW w:w="2314" w:type="dxa"/>
            <w:tcBorders>
              <w:bottom w:val="nil"/>
            </w:tcBorders>
          </w:tcPr>
          <w:p>
            <w:pPr>
              <w:pStyle w:val="TableParagraph"/>
              <w:tabs>
                <w:tab w:pos="1199" w:val="left" w:leader="none"/>
              </w:tabs>
              <w:ind w:left="100"/>
              <w:rPr>
                <w:sz w:val="22"/>
              </w:rPr>
            </w:pPr>
            <w:r>
              <w:rPr>
                <w:sz w:val="22"/>
              </w:rPr>
              <w:t>Para</w:t>
              <w:tab/>
              <w:t>solucionar</w:t>
            </w:r>
          </w:p>
        </w:tc>
        <w:tc>
          <w:tcPr>
            <w:tcW w:w="3901" w:type="dxa"/>
            <w:tcBorders>
              <w:bottom w:val="nil"/>
            </w:tcBorders>
          </w:tcPr>
          <w:p>
            <w:pPr>
              <w:pStyle w:val="TableParagraph"/>
              <w:tabs>
                <w:tab w:pos="1166" w:val="left" w:leader="none"/>
                <w:tab w:pos="2262" w:val="left" w:leader="none"/>
                <w:tab w:pos="3505" w:val="left" w:leader="none"/>
              </w:tabs>
              <w:rPr>
                <w:sz w:val="22"/>
              </w:rPr>
            </w:pPr>
            <w:r>
              <w:rPr>
                <w:sz w:val="22"/>
              </w:rPr>
              <w:t>Quienes</w:t>
              <w:tab/>
              <w:t>debieran</w:t>
              <w:tab/>
              <w:t>solucionar</w:t>
              <w:tab/>
              <w:t>los</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Castillo</w:t>
            </w:r>
          </w:p>
        </w:tc>
        <w:tc>
          <w:tcPr>
            <w:tcW w:w="1274" w:type="dxa"/>
            <w:tcBorders>
              <w:top w:val="nil"/>
              <w:bottom w:val="nil"/>
            </w:tcBorders>
          </w:tcPr>
          <w:p>
            <w:pPr>
              <w:pStyle w:val="TableParagraph"/>
              <w:spacing w:line="241" w:lineRule="exact"/>
              <w:ind w:left="100" w:right="98"/>
              <w:rPr>
                <w:sz w:val="22"/>
              </w:rPr>
            </w:pPr>
            <w:r>
              <w:rPr>
                <w:sz w:val="22"/>
              </w:rPr>
              <w:t>Civil</w:t>
            </w:r>
          </w:p>
        </w:tc>
        <w:tc>
          <w:tcPr>
            <w:tcW w:w="1887" w:type="dxa"/>
            <w:tcBorders>
              <w:top w:val="nil"/>
              <w:bottom w:val="nil"/>
            </w:tcBorders>
          </w:tcPr>
          <w:p>
            <w:pPr>
              <w:pStyle w:val="TableParagraph"/>
              <w:spacing w:line="241" w:lineRule="exact"/>
              <w:rPr>
                <w:sz w:val="22"/>
              </w:rPr>
            </w:pPr>
            <w:r>
              <w:rPr>
                <w:sz w:val="22"/>
              </w:rPr>
              <w:t>de Riego en el</w:t>
            </w:r>
          </w:p>
        </w:tc>
        <w:tc>
          <w:tcPr>
            <w:tcW w:w="1289" w:type="dxa"/>
            <w:tcBorders>
              <w:top w:val="nil"/>
              <w:bottom w:val="nil"/>
            </w:tcBorders>
          </w:tcPr>
          <w:p>
            <w:pPr>
              <w:pStyle w:val="TableParagraph"/>
              <w:spacing w:line="241" w:lineRule="exact"/>
              <w:rPr>
                <w:sz w:val="22"/>
              </w:rPr>
            </w:pPr>
            <w:r>
              <w:rPr>
                <w:sz w:val="22"/>
              </w:rPr>
              <w:t>Morelos</w:t>
            </w:r>
          </w:p>
        </w:tc>
        <w:tc>
          <w:tcPr>
            <w:tcW w:w="1174" w:type="dxa"/>
            <w:tcBorders>
              <w:top w:val="nil"/>
              <w:bottom w:val="nil"/>
            </w:tcBorders>
          </w:tcPr>
          <w:p>
            <w:pPr>
              <w:pStyle w:val="TableParagraph"/>
              <w:spacing w:line="241" w:lineRule="exact"/>
              <w:rPr>
                <w:sz w:val="22"/>
              </w:rPr>
            </w:pPr>
            <w:r>
              <w:rPr>
                <w:sz w:val="22"/>
              </w:rPr>
              <w:t>lco,</w:t>
            </w:r>
          </w:p>
        </w:tc>
        <w:tc>
          <w:tcPr>
            <w:tcW w:w="2314" w:type="dxa"/>
            <w:tcBorders>
              <w:top w:val="nil"/>
              <w:bottom w:val="nil"/>
            </w:tcBorders>
          </w:tcPr>
          <w:p>
            <w:pPr>
              <w:pStyle w:val="TableParagraph"/>
              <w:spacing w:line="241" w:lineRule="exact"/>
              <w:ind w:left="100"/>
              <w:rPr>
                <w:sz w:val="22"/>
              </w:rPr>
            </w:pPr>
            <w:r>
              <w:rPr>
                <w:sz w:val="22"/>
              </w:rPr>
              <w:t>estos   problemas  ya</w:t>
            </w:r>
          </w:p>
        </w:tc>
        <w:tc>
          <w:tcPr>
            <w:tcW w:w="3901" w:type="dxa"/>
            <w:tcBorders>
              <w:top w:val="nil"/>
              <w:bottom w:val="nil"/>
            </w:tcBorders>
          </w:tcPr>
          <w:p>
            <w:pPr>
              <w:pStyle w:val="TableParagraph"/>
              <w:tabs>
                <w:tab w:pos="1528" w:val="left" w:leader="none"/>
                <w:tab w:pos="2279" w:val="left" w:leader="none"/>
                <w:tab w:pos="2956" w:val="left" w:leader="none"/>
              </w:tabs>
              <w:spacing w:line="241" w:lineRule="exact"/>
              <w:rPr>
                <w:sz w:val="22"/>
              </w:rPr>
            </w:pPr>
            <w:r>
              <w:rPr>
                <w:sz w:val="22"/>
              </w:rPr>
              <w:t>problemas</w:t>
              <w:tab/>
              <w:t>son</w:t>
              <w:tab/>
              <w:t>los</w:t>
              <w:tab/>
              <w:t>usuarios</w:t>
            </w:r>
          </w:p>
        </w:tc>
      </w:tr>
      <w:tr>
        <w:trPr>
          <w:trHeight w:val="253" w:hRule="exact"/>
        </w:trPr>
        <w:tc>
          <w:tcPr>
            <w:tcW w:w="1385" w:type="dxa"/>
            <w:tcBorders>
              <w:top w:val="nil"/>
              <w:bottom w:val="nil"/>
            </w:tcBorders>
          </w:tcPr>
          <w:p>
            <w:pPr>
              <w:pStyle w:val="TableParagraph"/>
              <w:spacing w:line="241" w:lineRule="exact"/>
              <w:rPr>
                <w:sz w:val="22"/>
              </w:rPr>
            </w:pPr>
            <w:r>
              <w:rPr>
                <w:sz w:val="22"/>
              </w:rPr>
              <w:t>(13/II/2014)</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Estado de</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Estado</w:t>
            </w:r>
          </w:p>
        </w:tc>
        <w:tc>
          <w:tcPr>
            <w:tcW w:w="2314" w:type="dxa"/>
            <w:tcBorders>
              <w:top w:val="nil"/>
              <w:bottom w:val="nil"/>
            </w:tcBorders>
          </w:tcPr>
          <w:p>
            <w:pPr>
              <w:pStyle w:val="TableParagraph"/>
              <w:tabs>
                <w:tab w:pos="844" w:val="left" w:leader="none"/>
                <w:tab w:pos="1835" w:val="left" w:leader="none"/>
              </w:tabs>
              <w:spacing w:line="241" w:lineRule="exact"/>
              <w:ind w:left="100"/>
              <w:rPr>
                <w:sz w:val="22"/>
              </w:rPr>
            </w:pPr>
            <w:r>
              <w:rPr>
                <w:sz w:val="22"/>
              </w:rPr>
              <w:t>se</w:t>
              <w:tab/>
              <w:t>tiene</w:t>
              <w:tab/>
              <w:t>una</w:t>
            </w:r>
          </w:p>
        </w:tc>
        <w:tc>
          <w:tcPr>
            <w:tcW w:w="3901" w:type="dxa"/>
            <w:tcBorders>
              <w:top w:val="nil"/>
              <w:bottom w:val="nil"/>
            </w:tcBorders>
          </w:tcPr>
          <w:p>
            <w:pPr>
              <w:pStyle w:val="TableParagraph"/>
              <w:spacing w:line="241" w:lineRule="exact"/>
              <w:rPr>
                <w:sz w:val="22"/>
              </w:rPr>
            </w:pPr>
            <w:r>
              <w:rPr>
                <w:sz w:val="22"/>
              </w:rPr>
              <w:t>conjuntamente   con   inversiones del</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3" w:lineRule="exact"/>
              <w:rPr>
                <w:sz w:val="22"/>
              </w:rPr>
            </w:pPr>
            <w:r>
              <w:rPr>
                <w:sz w:val="22"/>
              </w:rPr>
              <w:t>México</w:t>
            </w:r>
          </w:p>
        </w:tc>
        <w:tc>
          <w:tcPr>
            <w:tcW w:w="1289" w:type="dxa"/>
            <w:tcBorders>
              <w:top w:val="nil"/>
              <w:bottom w:val="nil"/>
            </w:tcBorders>
          </w:tcPr>
          <w:p>
            <w:pPr/>
          </w:p>
        </w:tc>
        <w:tc>
          <w:tcPr>
            <w:tcW w:w="1174" w:type="dxa"/>
            <w:tcBorders>
              <w:top w:val="nil"/>
              <w:bottom w:val="nil"/>
            </w:tcBorders>
          </w:tcPr>
          <w:p>
            <w:pPr>
              <w:pStyle w:val="TableParagraph"/>
              <w:spacing w:line="243" w:lineRule="exact"/>
              <w:rPr>
                <w:sz w:val="22"/>
              </w:rPr>
            </w:pPr>
            <w:r>
              <w:rPr>
                <w:sz w:val="22"/>
              </w:rPr>
              <w:t>de</w:t>
            </w:r>
          </w:p>
        </w:tc>
        <w:tc>
          <w:tcPr>
            <w:tcW w:w="2314" w:type="dxa"/>
            <w:tcBorders>
              <w:top w:val="nil"/>
              <w:bottom w:val="nil"/>
            </w:tcBorders>
          </w:tcPr>
          <w:p>
            <w:pPr>
              <w:pStyle w:val="TableParagraph"/>
              <w:tabs>
                <w:tab w:pos="1359" w:val="left" w:leader="none"/>
                <w:tab w:pos="2028" w:val="left" w:leader="none"/>
              </w:tabs>
              <w:spacing w:line="243" w:lineRule="exact"/>
              <w:ind w:left="100"/>
              <w:rPr>
                <w:sz w:val="22"/>
              </w:rPr>
            </w:pPr>
            <w:r>
              <w:rPr>
                <w:sz w:val="22"/>
              </w:rPr>
              <w:t>estrategia,</w:t>
              <w:tab/>
              <w:t>para</w:t>
              <w:tab/>
              <w:t>el</w:t>
            </w:r>
          </w:p>
        </w:tc>
        <w:tc>
          <w:tcPr>
            <w:tcW w:w="3901" w:type="dxa"/>
            <w:tcBorders>
              <w:top w:val="nil"/>
              <w:bottom w:val="nil"/>
            </w:tcBorders>
          </w:tcPr>
          <w:p>
            <w:pPr>
              <w:pStyle w:val="TableParagraph"/>
              <w:spacing w:line="243" w:lineRule="exact"/>
              <w:rPr>
                <w:sz w:val="22"/>
              </w:rPr>
            </w:pPr>
            <w:r>
              <w:rPr>
                <w:sz w:val="22"/>
              </w:rPr>
              <w:t>gobierno federal y estatal, ya que    el</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México</w:t>
            </w:r>
          </w:p>
        </w:tc>
        <w:tc>
          <w:tcPr>
            <w:tcW w:w="2314" w:type="dxa"/>
            <w:tcBorders>
              <w:top w:val="nil"/>
              <w:bottom w:val="nil"/>
            </w:tcBorders>
          </w:tcPr>
          <w:p>
            <w:pPr>
              <w:pStyle w:val="TableParagraph"/>
              <w:tabs>
                <w:tab w:pos="973" w:val="left" w:leader="none"/>
                <w:tab w:pos="1650" w:val="left" w:leader="none"/>
              </w:tabs>
              <w:spacing w:line="241" w:lineRule="exact"/>
              <w:ind w:left="100"/>
              <w:rPr>
                <w:sz w:val="22"/>
              </w:rPr>
            </w:pPr>
            <w:r>
              <w:rPr>
                <w:sz w:val="22"/>
              </w:rPr>
              <w:t>tema</w:t>
              <w:tab/>
              <w:t>del</w:t>
              <w:tab/>
              <w:t>agua,</w:t>
            </w:r>
          </w:p>
        </w:tc>
        <w:tc>
          <w:tcPr>
            <w:tcW w:w="3901" w:type="dxa"/>
            <w:tcBorders>
              <w:top w:val="nil"/>
              <w:bottom w:val="nil"/>
            </w:tcBorders>
          </w:tcPr>
          <w:p>
            <w:pPr>
              <w:pStyle w:val="TableParagraph"/>
              <w:spacing w:line="241" w:lineRule="exact"/>
              <w:rPr>
                <w:sz w:val="22"/>
              </w:rPr>
            </w:pPr>
            <w:r>
              <w:rPr>
                <w:sz w:val="22"/>
              </w:rPr>
              <w:t>gobierno  municipal  sólo  participa en</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247" w:val="left" w:leader="none"/>
              </w:tabs>
              <w:spacing w:line="242" w:lineRule="exact"/>
              <w:ind w:left="100"/>
              <w:rPr>
                <w:sz w:val="22"/>
              </w:rPr>
            </w:pPr>
            <w:r>
              <w:rPr>
                <w:sz w:val="22"/>
              </w:rPr>
              <w:t>estamos</w:t>
              <w:tab/>
              <w:t>buscando</w:t>
            </w:r>
          </w:p>
        </w:tc>
        <w:tc>
          <w:tcPr>
            <w:tcW w:w="3901" w:type="dxa"/>
            <w:tcBorders>
              <w:top w:val="nil"/>
              <w:bottom w:val="nil"/>
            </w:tcBorders>
          </w:tcPr>
          <w:p>
            <w:pPr>
              <w:pStyle w:val="TableParagraph"/>
              <w:spacing w:line="242" w:lineRule="exact"/>
              <w:rPr>
                <w:sz w:val="22"/>
              </w:rPr>
            </w:pPr>
            <w:r>
              <w:rPr>
                <w:sz w:val="22"/>
              </w:rPr>
              <w:t>acciones más de tipo organizativo  </w:t>
            </w:r>
            <w:r>
              <w:rPr>
                <w:spacing w:val="52"/>
                <w:sz w:val="22"/>
              </w:rPr>
              <w:t> </w:t>
            </w:r>
            <w:r>
              <w:rPr>
                <w:sz w:val="22"/>
              </w:rPr>
              <w:t>o</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canalizarle</w:t>
            </w:r>
          </w:p>
        </w:tc>
        <w:tc>
          <w:tcPr>
            <w:tcW w:w="3901" w:type="dxa"/>
            <w:tcBorders>
              <w:top w:val="nil"/>
              <w:bottom w:val="nil"/>
            </w:tcBorders>
          </w:tcPr>
          <w:p>
            <w:pPr>
              <w:pStyle w:val="TableParagraph"/>
              <w:spacing w:line="241" w:lineRule="exact"/>
              <w:rPr>
                <w:sz w:val="22"/>
              </w:rPr>
            </w:pPr>
            <w:r>
              <w:rPr>
                <w:sz w:val="22"/>
              </w:rPr>
              <w:t>social.</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volúmenes  de </w:t>
            </w:r>
            <w:r>
              <w:rPr>
                <w:spacing w:val="58"/>
                <w:sz w:val="22"/>
              </w:rPr>
              <w:t> </w:t>
            </w:r>
            <w:r>
              <w:rPr>
                <w:sz w:val="22"/>
              </w:rPr>
              <w:t>agua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69" w:val="left" w:leader="none"/>
                <w:tab w:pos="1477" w:val="left" w:leader="none"/>
              </w:tabs>
              <w:spacing w:line="242" w:lineRule="exact"/>
              <w:ind w:left="100"/>
              <w:rPr>
                <w:sz w:val="22"/>
              </w:rPr>
            </w:pPr>
            <w:r>
              <w:rPr>
                <w:sz w:val="22"/>
              </w:rPr>
              <w:t>de</w:t>
              <w:tab/>
              <w:t>otras</w:t>
              <w:tab/>
              <w:t>fuentes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(aguas residuales</w:t>
            </w:r>
            <w:r>
              <w:rPr>
                <w:spacing w:val="54"/>
                <w:sz w:val="22"/>
              </w:rPr>
              <w:t> </w:t>
            </w:r>
            <w:r>
              <w:rPr>
                <w:sz w:val="22"/>
              </w:rPr>
              <w:t>de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la  ciudad  de Toluca)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13" w:val="left" w:leader="none"/>
                <w:tab w:pos="1919" w:val="left" w:leader="none"/>
              </w:tabs>
              <w:spacing w:line="241" w:lineRule="exact"/>
              <w:ind w:left="100"/>
              <w:rPr>
                <w:sz w:val="22"/>
              </w:rPr>
            </w:pPr>
            <w:r>
              <w:rPr>
                <w:sz w:val="22"/>
              </w:rPr>
              <w:t>y</w:t>
              <w:tab/>
              <w:t>modernizar</w:t>
              <w:tab/>
              <w:t>las</w:t>
            </w:r>
          </w:p>
        </w:tc>
        <w:tc>
          <w:tcPr>
            <w:tcW w:w="3901" w:type="dxa"/>
            <w:tcBorders>
              <w:top w:val="nil"/>
              <w:bottom w:val="nil"/>
            </w:tcBorders>
          </w:tcPr>
          <w:p>
            <w:pPr/>
          </w:p>
        </w:tc>
      </w:tr>
      <w:tr>
        <w:trPr>
          <w:trHeight w:val="254"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55" w:val="left" w:leader="none"/>
              </w:tabs>
              <w:spacing w:line="241" w:lineRule="exact"/>
              <w:ind w:left="100"/>
              <w:rPr>
                <w:sz w:val="22"/>
              </w:rPr>
            </w:pPr>
            <w:r>
              <w:rPr>
                <w:sz w:val="22"/>
              </w:rPr>
              <w:t>instalaciones</w:t>
              <w:tab/>
              <w:t>de</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3" w:lineRule="exact"/>
              <w:ind w:left="100"/>
              <w:rPr>
                <w:sz w:val="22"/>
              </w:rPr>
            </w:pPr>
            <w:r>
              <w:rPr>
                <w:sz w:val="22"/>
              </w:rPr>
              <w:t>riego.</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Juan</w:t>
            </w:r>
          </w:p>
        </w:tc>
        <w:tc>
          <w:tcPr>
            <w:tcW w:w="1274" w:type="dxa"/>
            <w:tcBorders>
              <w:bottom w:val="nil"/>
            </w:tcBorders>
          </w:tcPr>
          <w:p>
            <w:pPr>
              <w:pStyle w:val="TableParagraph"/>
              <w:spacing w:line="251" w:lineRule="exact"/>
              <w:ind w:left="100" w:right="98"/>
              <w:rPr>
                <w:sz w:val="22"/>
              </w:rPr>
            </w:pPr>
            <w:r>
              <w:rPr>
                <w:sz w:val="22"/>
              </w:rPr>
              <w:t>Ingeniero</w:t>
            </w:r>
          </w:p>
        </w:tc>
        <w:tc>
          <w:tcPr>
            <w:tcW w:w="1887" w:type="dxa"/>
            <w:tcBorders>
              <w:bottom w:val="nil"/>
            </w:tcBorders>
          </w:tcPr>
          <w:p>
            <w:pPr>
              <w:pStyle w:val="TableParagraph"/>
              <w:spacing w:line="251" w:lineRule="exact"/>
              <w:rPr>
                <w:sz w:val="22"/>
              </w:rPr>
            </w:pPr>
            <w:r>
              <w:rPr>
                <w:sz w:val="22"/>
              </w:rPr>
              <w:t>Subjefe de</w:t>
            </w:r>
          </w:p>
        </w:tc>
        <w:tc>
          <w:tcPr>
            <w:tcW w:w="1289" w:type="dxa"/>
            <w:tcBorders>
              <w:bottom w:val="nil"/>
            </w:tcBorders>
          </w:tcPr>
          <w:p>
            <w:pPr>
              <w:pStyle w:val="TableParagraph"/>
              <w:spacing w:line="251" w:lineRule="exact"/>
              <w:rPr>
                <w:sz w:val="22"/>
              </w:rPr>
            </w:pPr>
            <w:r>
              <w:rPr>
                <w:sz w:val="22"/>
              </w:rPr>
              <w:t>Tamaulipa</w:t>
            </w:r>
          </w:p>
        </w:tc>
        <w:tc>
          <w:tcPr>
            <w:tcW w:w="1174" w:type="dxa"/>
            <w:tcBorders>
              <w:bottom w:val="nil"/>
            </w:tcBorders>
          </w:tcPr>
          <w:p>
            <w:pPr>
              <w:pStyle w:val="TableParagraph"/>
              <w:spacing w:line="251" w:lineRule="exact"/>
              <w:rPr>
                <w:sz w:val="22"/>
              </w:rPr>
            </w:pPr>
            <w:r>
              <w:rPr>
                <w:sz w:val="22"/>
              </w:rPr>
              <w:t>Atlacomu</w:t>
            </w:r>
          </w:p>
        </w:tc>
        <w:tc>
          <w:tcPr>
            <w:tcW w:w="2314" w:type="dxa"/>
            <w:tcBorders>
              <w:bottom w:val="nil"/>
            </w:tcBorders>
          </w:tcPr>
          <w:p>
            <w:pPr>
              <w:pStyle w:val="TableParagraph"/>
              <w:spacing w:line="251" w:lineRule="exact"/>
              <w:ind w:left="100"/>
              <w:rPr>
                <w:sz w:val="22"/>
              </w:rPr>
            </w:pPr>
            <w:r>
              <w:rPr>
                <w:sz w:val="22"/>
              </w:rPr>
              <w:t>Ya  no sé,  porque ya</w:t>
            </w:r>
          </w:p>
        </w:tc>
        <w:tc>
          <w:tcPr>
            <w:tcW w:w="3901" w:type="dxa"/>
            <w:tcBorders>
              <w:bottom w:val="nil"/>
            </w:tcBorders>
          </w:tcPr>
          <w:p>
            <w:pPr>
              <w:pStyle w:val="TableParagraph"/>
              <w:spacing w:line="251" w:lineRule="exact"/>
              <w:rPr>
                <w:sz w:val="22"/>
              </w:rPr>
            </w:pPr>
            <w:r>
              <w:rPr>
                <w:sz w:val="22"/>
              </w:rPr>
              <w:t>El municipio mediante la cultura y   la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Manuel</w:t>
            </w:r>
          </w:p>
        </w:tc>
        <w:tc>
          <w:tcPr>
            <w:tcW w:w="1274" w:type="dxa"/>
            <w:tcBorders>
              <w:top w:val="nil"/>
              <w:bottom w:val="nil"/>
            </w:tcBorders>
          </w:tcPr>
          <w:p>
            <w:pPr>
              <w:pStyle w:val="TableParagraph"/>
              <w:spacing w:line="242" w:lineRule="exact"/>
              <w:ind w:left="100" w:right="98"/>
              <w:rPr>
                <w:sz w:val="22"/>
              </w:rPr>
            </w:pPr>
            <w:r>
              <w:rPr>
                <w:sz w:val="22"/>
              </w:rPr>
              <w:t>Civil</w:t>
            </w:r>
          </w:p>
        </w:tc>
        <w:tc>
          <w:tcPr>
            <w:tcW w:w="1887" w:type="dxa"/>
            <w:tcBorders>
              <w:top w:val="nil"/>
              <w:bottom w:val="nil"/>
            </w:tcBorders>
          </w:tcPr>
          <w:p>
            <w:pPr>
              <w:pStyle w:val="TableParagraph"/>
              <w:spacing w:line="242" w:lineRule="exact"/>
              <w:rPr>
                <w:sz w:val="22"/>
              </w:rPr>
            </w:pPr>
            <w:r>
              <w:rPr>
                <w:sz w:val="22"/>
              </w:rPr>
              <w:t>Operación</w:t>
            </w:r>
          </w:p>
        </w:tc>
        <w:tc>
          <w:tcPr>
            <w:tcW w:w="1289" w:type="dxa"/>
            <w:tcBorders>
              <w:top w:val="nil"/>
              <w:bottom w:val="nil"/>
            </w:tcBorders>
          </w:tcPr>
          <w:p>
            <w:pPr>
              <w:pStyle w:val="TableParagraph"/>
              <w:spacing w:line="242" w:lineRule="exact"/>
              <w:rPr>
                <w:sz w:val="22"/>
              </w:rPr>
            </w:pPr>
            <w:r>
              <w:rPr>
                <w:w w:val="100"/>
                <w:sz w:val="22"/>
              </w:rPr>
              <w:t>s</w:t>
            </w:r>
          </w:p>
        </w:tc>
        <w:tc>
          <w:tcPr>
            <w:tcW w:w="1174" w:type="dxa"/>
            <w:tcBorders>
              <w:top w:val="nil"/>
              <w:bottom w:val="nil"/>
            </w:tcBorders>
          </w:tcPr>
          <w:p>
            <w:pPr>
              <w:pStyle w:val="TableParagraph"/>
              <w:spacing w:line="242" w:lineRule="exact"/>
              <w:rPr>
                <w:sz w:val="22"/>
              </w:rPr>
            </w:pPr>
            <w:r>
              <w:rPr>
                <w:sz w:val="22"/>
              </w:rPr>
              <w:t>lco,</w:t>
            </w:r>
          </w:p>
        </w:tc>
        <w:tc>
          <w:tcPr>
            <w:tcW w:w="2314" w:type="dxa"/>
            <w:tcBorders>
              <w:top w:val="nil"/>
              <w:bottom w:val="nil"/>
            </w:tcBorders>
          </w:tcPr>
          <w:p>
            <w:pPr>
              <w:pStyle w:val="TableParagraph"/>
              <w:spacing w:line="242" w:lineRule="exact"/>
              <w:ind w:left="100"/>
              <w:rPr>
                <w:sz w:val="22"/>
              </w:rPr>
            </w:pPr>
            <w:r>
              <w:rPr>
                <w:sz w:val="22"/>
              </w:rPr>
              <w:t>se  colocaron plantas</w:t>
            </w:r>
          </w:p>
        </w:tc>
        <w:tc>
          <w:tcPr>
            <w:tcW w:w="3901" w:type="dxa"/>
            <w:tcBorders>
              <w:top w:val="nil"/>
              <w:bottom w:val="nil"/>
            </w:tcBorders>
          </w:tcPr>
          <w:p>
            <w:pPr>
              <w:pStyle w:val="TableParagraph"/>
              <w:spacing w:line="242" w:lineRule="exact"/>
              <w:rPr>
                <w:sz w:val="22"/>
              </w:rPr>
            </w:pPr>
            <w:r>
              <w:rPr>
                <w:sz w:val="22"/>
              </w:rPr>
              <w:t>Conagua con la normatividad de ríos,</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Alfaro</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Estado</w:t>
            </w:r>
          </w:p>
        </w:tc>
        <w:tc>
          <w:tcPr>
            <w:tcW w:w="2314" w:type="dxa"/>
            <w:tcBorders>
              <w:top w:val="nil"/>
              <w:bottom w:val="nil"/>
            </w:tcBorders>
          </w:tcPr>
          <w:p>
            <w:pPr>
              <w:pStyle w:val="TableParagraph"/>
              <w:spacing w:line="241" w:lineRule="exact"/>
              <w:ind w:left="100"/>
              <w:rPr>
                <w:sz w:val="22"/>
              </w:rPr>
            </w:pPr>
            <w:r>
              <w:rPr>
                <w:sz w:val="22"/>
              </w:rPr>
              <w:t>tratadoras (Zaragoza</w:t>
            </w:r>
          </w:p>
        </w:tc>
        <w:tc>
          <w:tcPr>
            <w:tcW w:w="3901" w:type="dxa"/>
            <w:tcBorders>
              <w:top w:val="nil"/>
              <w:bottom w:val="nil"/>
            </w:tcBorders>
          </w:tcPr>
          <w:p>
            <w:pPr>
              <w:pStyle w:val="TableParagraph"/>
              <w:spacing w:line="241" w:lineRule="exact"/>
              <w:rPr>
                <w:sz w:val="22"/>
              </w:rPr>
            </w:pPr>
            <w:r>
              <w:rPr>
                <w:sz w:val="22"/>
              </w:rPr>
              <w:t>lagunas, afluentes.</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Gómez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de</w:t>
            </w:r>
          </w:p>
        </w:tc>
        <w:tc>
          <w:tcPr>
            <w:tcW w:w="2314" w:type="dxa"/>
            <w:tcBorders>
              <w:top w:val="nil"/>
              <w:bottom w:val="nil"/>
            </w:tcBorders>
          </w:tcPr>
          <w:p>
            <w:pPr>
              <w:pStyle w:val="TableParagraph"/>
              <w:spacing w:line="242" w:lineRule="exact"/>
              <w:ind w:left="100"/>
              <w:rPr>
                <w:sz w:val="22"/>
              </w:rPr>
            </w:pPr>
            <w:r>
              <w:rPr>
                <w:sz w:val="22"/>
              </w:rPr>
              <w:t>y  Timilpan),  pero no</w:t>
            </w:r>
          </w:p>
        </w:tc>
        <w:tc>
          <w:tcPr>
            <w:tcW w:w="3901" w:type="dxa"/>
            <w:tcBorders>
              <w:top w:val="nil"/>
              <w:bottom w:val="nil"/>
            </w:tcBorders>
          </w:tcPr>
          <w:p>
            <w:pPr/>
          </w:p>
        </w:tc>
      </w:tr>
      <w:tr>
        <w:trPr>
          <w:trHeight w:val="250" w:hRule="exact"/>
        </w:trPr>
        <w:tc>
          <w:tcPr>
            <w:tcW w:w="1385" w:type="dxa"/>
            <w:tcBorders>
              <w:top w:val="nil"/>
            </w:tcBorders>
          </w:tcPr>
          <w:p>
            <w:pPr>
              <w:pStyle w:val="TableParagraph"/>
              <w:spacing w:line="241" w:lineRule="exact"/>
              <w:rPr>
                <w:sz w:val="22"/>
              </w:rPr>
            </w:pPr>
            <w:r>
              <w:rPr>
                <w:sz w:val="22"/>
              </w:rPr>
              <w:t>(13/II/2014)</w:t>
            </w: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Style w:val="TableParagraph"/>
              <w:spacing w:line="241" w:lineRule="exact"/>
              <w:rPr>
                <w:sz w:val="22"/>
              </w:rPr>
            </w:pPr>
            <w:r>
              <w:rPr>
                <w:sz w:val="22"/>
              </w:rPr>
              <w:t>México</w:t>
            </w:r>
          </w:p>
        </w:tc>
        <w:tc>
          <w:tcPr>
            <w:tcW w:w="2314" w:type="dxa"/>
            <w:tcBorders>
              <w:top w:val="nil"/>
            </w:tcBorders>
          </w:tcPr>
          <w:p>
            <w:pPr>
              <w:pStyle w:val="TableParagraph"/>
              <w:tabs>
                <w:tab w:pos="597" w:val="left" w:leader="none"/>
                <w:tab w:pos="1338" w:val="left" w:leader="none"/>
                <w:tab w:pos="1710" w:val="left" w:leader="none"/>
              </w:tabs>
              <w:spacing w:line="241" w:lineRule="exact"/>
              <w:ind w:left="100"/>
              <w:rPr>
                <w:sz w:val="22"/>
              </w:rPr>
            </w:pPr>
            <w:r>
              <w:rPr>
                <w:sz w:val="22"/>
              </w:rPr>
              <w:t>se</w:t>
              <w:tab/>
              <w:t>usan</w:t>
              <w:tab/>
              <w:t>y</w:t>
              <w:tab/>
              <w:t>otras</w:t>
            </w:r>
          </w:p>
        </w:tc>
        <w:tc>
          <w:tcPr>
            <w:tcW w:w="3901" w:type="dxa"/>
            <w:tcBorders>
              <w:top w:val="nil"/>
            </w:tcBorders>
          </w:tcPr>
          <w:p>
            <w:pPr/>
          </w:p>
        </w:tc>
      </w:tr>
    </w:tbl>
    <w:p>
      <w:pPr>
        <w:spacing w:after="0"/>
        <w:sectPr>
          <w:pgSz w:w="15840" w:h="12240" w:orient="landscape"/>
          <w:pgMar w:header="0" w:footer="943" w:top="1140" w:bottom="114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1781" w:hRule="exact"/>
        </w:trPr>
        <w:tc>
          <w:tcPr>
            <w:tcW w:w="1385" w:type="dxa"/>
          </w:tcPr>
          <w:p>
            <w:pP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tabs>
                <w:tab w:pos="1334" w:val="left" w:leader="none"/>
              </w:tabs>
              <w:ind w:left="100" w:right="98"/>
              <w:jc w:val="both"/>
              <w:rPr>
                <w:sz w:val="22"/>
              </w:rPr>
            </w:pPr>
            <w:r>
              <w:rPr>
                <w:sz w:val="22"/>
              </w:rPr>
              <w:t>comunidades usan fosas</w:t>
              <w:tab/>
            </w:r>
            <w:r>
              <w:rPr>
                <w:spacing w:val="-1"/>
                <w:sz w:val="22"/>
              </w:rPr>
              <w:t>sépticas, </w:t>
            </w:r>
            <w:r>
              <w:rPr>
                <w:sz w:val="22"/>
              </w:rPr>
              <w:t>además la falta de lluvias es por un suelo sin árboles y por los cambios en el medio</w:t>
            </w:r>
            <w:r>
              <w:rPr>
                <w:spacing w:val="-3"/>
                <w:sz w:val="22"/>
              </w:rPr>
              <w:t> </w:t>
            </w:r>
            <w:r>
              <w:rPr>
                <w:sz w:val="22"/>
              </w:rPr>
              <w:t>ambiente</w:t>
            </w:r>
          </w:p>
        </w:tc>
        <w:tc>
          <w:tcPr>
            <w:tcW w:w="3901" w:type="dxa"/>
          </w:tcPr>
          <w:p>
            <w:pPr/>
          </w:p>
        </w:tc>
      </w:tr>
      <w:tr>
        <w:trPr>
          <w:trHeight w:val="1781" w:hRule="exact"/>
        </w:trPr>
        <w:tc>
          <w:tcPr>
            <w:tcW w:w="1385" w:type="dxa"/>
          </w:tcPr>
          <w:p>
            <w:pPr>
              <w:pStyle w:val="TableParagraph"/>
              <w:rPr>
                <w:sz w:val="22"/>
              </w:rPr>
            </w:pPr>
            <w:r>
              <w:rPr>
                <w:sz w:val="22"/>
              </w:rPr>
              <w:t>Jaime Ruiz Martínez (17/7/2014)</w:t>
            </w:r>
          </w:p>
        </w:tc>
        <w:tc>
          <w:tcPr>
            <w:tcW w:w="1274" w:type="dxa"/>
          </w:tcPr>
          <w:p>
            <w:pPr>
              <w:pStyle w:val="TableParagraph"/>
              <w:spacing w:line="251" w:lineRule="exact"/>
              <w:ind w:left="104" w:right="105"/>
              <w:jc w:val="center"/>
              <w:rPr>
                <w:sz w:val="22"/>
              </w:rPr>
            </w:pPr>
            <w:r>
              <w:rPr>
                <w:sz w:val="22"/>
              </w:rPr>
              <w:t>N/C</w:t>
            </w:r>
          </w:p>
        </w:tc>
        <w:tc>
          <w:tcPr>
            <w:tcW w:w="1887" w:type="dxa"/>
          </w:tcPr>
          <w:p>
            <w:pPr>
              <w:pStyle w:val="TableParagraph"/>
              <w:spacing w:line="252" w:lineRule="exact" w:before="2"/>
              <w:ind w:right="101"/>
              <w:jc w:val="both"/>
              <w:rPr>
                <w:sz w:val="22"/>
              </w:rPr>
            </w:pPr>
            <w:r>
              <w:rPr>
                <w:sz w:val="22"/>
              </w:rPr>
              <w:t>Presidente de la Asociación    </w:t>
            </w:r>
            <w:r>
              <w:rPr>
                <w:spacing w:val="54"/>
                <w:sz w:val="22"/>
              </w:rPr>
              <w:t> </w:t>
            </w:r>
            <w:r>
              <w:rPr>
                <w:sz w:val="22"/>
              </w:rPr>
              <w:t>de</w:t>
            </w:r>
          </w:p>
          <w:p>
            <w:pPr>
              <w:pStyle w:val="TableParagraph"/>
              <w:spacing w:line="250" w:lineRule="exact"/>
              <w:jc w:val="both"/>
              <w:rPr>
                <w:sz w:val="22"/>
              </w:rPr>
            </w:pPr>
            <w:r>
              <w:rPr>
                <w:sz w:val="22"/>
              </w:rPr>
              <w:t>Usuarios        del</w:t>
            </w:r>
          </w:p>
          <w:p>
            <w:pPr>
              <w:pStyle w:val="TableParagraph"/>
              <w:ind w:right="101"/>
              <w:jc w:val="both"/>
              <w:rPr>
                <w:sz w:val="22"/>
              </w:rPr>
            </w:pPr>
            <w:r>
              <w:rPr>
                <w:sz w:val="22"/>
              </w:rPr>
              <w:t>Sistema de Riego Huapango Arroyo Zarco México S.A.</w:t>
            </w:r>
          </w:p>
        </w:tc>
        <w:tc>
          <w:tcPr>
            <w:tcW w:w="1289" w:type="dxa"/>
          </w:tcPr>
          <w:p>
            <w:pPr>
              <w:pStyle w:val="TableParagraph"/>
              <w:ind w:right="513"/>
              <w:jc w:val="both"/>
              <w:rPr>
                <w:sz w:val="22"/>
              </w:rPr>
            </w:pPr>
            <w:r>
              <w:rPr>
                <w:sz w:val="22"/>
              </w:rPr>
              <w:t>Arroyo Zarco, Aculco</w:t>
            </w:r>
          </w:p>
        </w:tc>
        <w:tc>
          <w:tcPr>
            <w:tcW w:w="1174" w:type="dxa"/>
          </w:tcPr>
          <w:p>
            <w:pPr>
              <w:pStyle w:val="TableParagraph"/>
              <w:ind w:right="398"/>
              <w:jc w:val="both"/>
              <w:rPr>
                <w:sz w:val="22"/>
              </w:rPr>
            </w:pPr>
            <w:r>
              <w:rPr>
                <w:sz w:val="22"/>
              </w:rPr>
              <w:t>Arroyo Zarco, Aculco</w:t>
            </w:r>
          </w:p>
        </w:tc>
        <w:tc>
          <w:tcPr>
            <w:tcW w:w="2314" w:type="dxa"/>
          </w:tcPr>
          <w:p>
            <w:pPr>
              <w:pStyle w:val="TableParagraph"/>
              <w:ind w:left="100" w:right="100"/>
              <w:jc w:val="both"/>
              <w:rPr>
                <w:sz w:val="22"/>
              </w:rPr>
            </w:pPr>
            <w:r>
              <w:rPr>
                <w:sz w:val="22"/>
              </w:rPr>
              <w:t>Estos problemas podrían solucionarse evitando la caída de este tipo de aguas.</w:t>
            </w:r>
          </w:p>
        </w:tc>
        <w:tc>
          <w:tcPr>
            <w:tcW w:w="3901" w:type="dxa"/>
          </w:tcPr>
          <w:p>
            <w:pPr>
              <w:pStyle w:val="TableParagraph"/>
              <w:spacing w:line="251" w:lineRule="exact"/>
              <w:rPr>
                <w:sz w:val="22"/>
              </w:rPr>
            </w:pPr>
            <w:r>
              <w:rPr>
                <w:sz w:val="22"/>
              </w:rPr>
              <w:t>Los de la Conagua.</w:t>
            </w:r>
          </w:p>
        </w:tc>
      </w:tr>
      <w:tr>
        <w:trPr>
          <w:trHeight w:val="516" w:hRule="exact"/>
        </w:trPr>
        <w:tc>
          <w:tcPr>
            <w:tcW w:w="4547" w:type="dxa"/>
            <w:gridSpan w:val="3"/>
          </w:tcPr>
          <w:p>
            <w:pPr>
              <w:pStyle w:val="TableParagraph"/>
              <w:spacing w:line="252" w:lineRule="exact" w:before="2"/>
              <w:ind w:right="141"/>
              <w:rPr>
                <w:sz w:val="22"/>
              </w:rPr>
            </w:pPr>
            <w:r>
              <w:rPr>
                <w:sz w:val="22"/>
              </w:rPr>
              <w:t>Encargado de abrir la compuerta de la  presa Huapango para</w:t>
            </w:r>
            <w:r>
              <w:rPr>
                <w:spacing w:val="-10"/>
                <w:sz w:val="22"/>
              </w:rPr>
              <w:t> </w:t>
            </w:r>
            <w:r>
              <w:rPr>
                <w:sz w:val="22"/>
              </w:rPr>
              <w:t>riego.</w:t>
            </w:r>
          </w:p>
        </w:tc>
        <w:tc>
          <w:tcPr>
            <w:tcW w:w="8677" w:type="dxa"/>
            <w:gridSpan w:val="4"/>
          </w:tcPr>
          <w:p>
            <w:pPr>
              <w:pStyle w:val="TableParagraph"/>
              <w:spacing w:line="251" w:lineRule="exact"/>
              <w:rPr>
                <w:sz w:val="22"/>
              </w:rPr>
            </w:pPr>
            <w:r>
              <w:rPr>
                <w:sz w:val="22"/>
              </w:rPr>
              <w:t>No accedió a la entrevista porque necesitaba el permiso de sus superiores.</w:t>
            </w:r>
          </w:p>
        </w:tc>
      </w:tr>
    </w:tbl>
    <w:p>
      <w:pPr>
        <w:pStyle w:val="BodyText"/>
        <w:spacing w:line="248" w:lineRule="exact"/>
        <w:ind w:left="218" w:right="778"/>
      </w:pPr>
      <w:r>
        <w:rPr>
          <w:b/>
        </w:rPr>
        <w:t>Fuente: </w:t>
      </w:r>
      <w:r>
        <w:rPr/>
        <w:t>Elaboración propia con base en el Trabajo de Campo, García (2013-2015).</w:t>
      </w:r>
    </w:p>
    <w:p>
      <w:pPr>
        <w:pStyle w:val="BodyText"/>
        <w:spacing w:before="7"/>
        <w:rPr>
          <w:sz w:val="20"/>
        </w:rPr>
      </w:pPr>
    </w:p>
    <w:p>
      <w:pPr>
        <w:pStyle w:val="Heading6"/>
        <w:spacing w:after="6"/>
        <w:ind w:left="2587" w:right="778"/>
      </w:pPr>
      <w:r>
        <w:rPr/>
        <w:t>Tabla 6.14. Actores Federales (Autoridades Federales)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9" w:right="4869"/>
              <w:jc w:val="center"/>
              <w:rPr>
                <w:b/>
                <w:sz w:val="22"/>
              </w:rPr>
            </w:pPr>
            <w:r>
              <w:rPr>
                <w:b/>
                <w:sz w:val="22"/>
              </w:rPr>
              <w:t>ACTORES FEDERALES</w:t>
            </w:r>
          </w:p>
        </w:tc>
      </w:tr>
      <w:tr>
        <w:trPr>
          <w:trHeight w:val="526" w:hRule="exact"/>
        </w:trPr>
        <w:tc>
          <w:tcPr>
            <w:tcW w:w="4547" w:type="dxa"/>
            <w:gridSpan w:val="3"/>
            <w:vMerge w:val="restart"/>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8"/>
              <w:ind w:left="0"/>
              <w:rPr>
                <w:b/>
                <w:sz w:val="21"/>
              </w:rPr>
            </w:pPr>
          </w:p>
          <w:p>
            <w:pPr>
              <w:pStyle w:val="TableParagraph"/>
              <w:ind w:left="2695"/>
              <w:rPr>
                <w:b/>
                <w:sz w:val="22"/>
              </w:rPr>
            </w:pPr>
            <w:r>
              <w:rPr>
                <w:b/>
                <w:sz w:val="22"/>
              </w:rPr>
              <w:t>PRINCIPIOS DE GOBERNANZA</w:t>
            </w:r>
          </w:p>
        </w:tc>
      </w:tr>
      <w:tr>
        <w:trPr>
          <w:trHeight w:val="263"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spacing w:line="251" w:lineRule="exact"/>
              <w:ind w:left="100"/>
              <w:rPr>
                <w:b/>
                <w:i/>
                <w:sz w:val="22"/>
              </w:rPr>
            </w:pPr>
            <w:r>
              <w:rPr>
                <w:b/>
                <w:i/>
                <w:sz w:val="22"/>
              </w:rPr>
              <w:t>Autogestión</w:t>
            </w:r>
          </w:p>
        </w:tc>
        <w:tc>
          <w:tcPr>
            <w:tcW w:w="3901" w:type="dxa"/>
            <w:shd w:val="clear" w:color="auto" w:fill="92CDDC"/>
          </w:tcPr>
          <w:p>
            <w:pPr>
              <w:pStyle w:val="TableParagraph"/>
              <w:spacing w:line="251" w:lineRule="exact"/>
              <w:rPr>
                <w:b/>
                <w:i/>
                <w:sz w:val="22"/>
              </w:rPr>
            </w:pPr>
            <w:r>
              <w:rPr>
                <w:b/>
                <w:i/>
                <w:sz w:val="22"/>
              </w:rPr>
              <w:t>Gobernabilidad</w:t>
            </w:r>
          </w:p>
        </w:tc>
      </w:tr>
      <w:tr>
        <w:trPr>
          <w:trHeight w:val="265" w:hRule="exact"/>
        </w:trPr>
        <w:tc>
          <w:tcPr>
            <w:tcW w:w="1385" w:type="dxa"/>
            <w:tcBorders>
              <w:bottom w:val="nil"/>
            </w:tcBorders>
            <w:shd w:val="clear" w:color="auto" w:fill="F9BE8F"/>
          </w:tcPr>
          <w:p>
            <w:pPr>
              <w:pStyle w:val="TableParagraph"/>
              <w:spacing w:line="249" w:lineRule="exact"/>
              <w:ind w:right="127"/>
              <w:rPr>
                <w:b/>
                <w:sz w:val="22"/>
              </w:rPr>
            </w:pPr>
            <w:r>
              <w:rPr>
                <w:b/>
                <w:sz w:val="22"/>
              </w:rPr>
              <w:t>Nombre y</w:t>
            </w:r>
          </w:p>
        </w:tc>
        <w:tc>
          <w:tcPr>
            <w:tcW w:w="1274" w:type="dxa"/>
            <w:tcBorders>
              <w:bottom w:val="nil"/>
            </w:tcBorders>
            <w:shd w:val="clear" w:color="auto" w:fill="F9BE8F"/>
          </w:tcPr>
          <w:p>
            <w:pPr>
              <w:pStyle w:val="TableParagraph"/>
              <w:spacing w:line="249" w:lineRule="exact"/>
              <w:ind w:left="100" w:right="98"/>
              <w:rPr>
                <w:b/>
                <w:sz w:val="22"/>
              </w:rPr>
            </w:pPr>
            <w:r>
              <w:rPr>
                <w:b/>
                <w:sz w:val="22"/>
              </w:rPr>
              <w:t>Nivel</w:t>
            </w:r>
          </w:p>
        </w:tc>
        <w:tc>
          <w:tcPr>
            <w:tcW w:w="1887" w:type="dxa"/>
            <w:tcBorders>
              <w:bottom w:val="nil"/>
            </w:tcBorders>
            <w:shd w:val="clear" w:color="auto" w:fill="F9BE8F"/>
          </w:tcPr>
          <w:p>
            <w:pPr>
              <w:pStyle w:val="TableParagraph"/>
              <w:spacing w:line="249" w:lineRule="exact"/>
              <w:rPr>
                <w:b/>
                <w:sz w:val="22"/>
              </w:rPr>
            </w:pPr>
            <w:r>
              <w:rPr>
                <w:b/>
                <w:sz w:val="22"/>
              </w:rPr>
              <w:t>Cargo Público</w:t>
            </w:r>
          </w:p>
        </w:tc>
        <w:tc>
          <w:tcPr>
            <w:tcW w:w="1289" w:type="dxa"/>
            <w:tcBorders>
              <w:bottom w:val="nil"/>
            </w:tcBorders>
            <w:shd w:val="clear" w:color="auto" w:fill="92CDDC"/>
          </w:tcPr>
          <w:p>
            <w:pPr>
              <w:pStyle w:val="TableParagraph"/>
              <w:spacing w:line="249" w:lineRule="exact"/>
              <w:rPr>
                <w:b/>
                <w:sz w:val="22"/>
              </w:rPr>
            </w:pPr>
            <w:r>
              <w:rPr>
                <w:b/>
                <w:sz w:val="22"/>
              </w:rPr>
              <w:t>¿Dónde</w:t>
            </w:r>
          </w:p>
        </w:tc>
        <w:tc>
          <w:tcPr>
            <w:tcW w:w="1174" w:type="dxa"/>
            <w:tcBorders>
              <w:bottom w:val="nil"/>
            </w:tcBorders>
            <w:shd w:val="clear" w:color="auto" w:fill="92CDDC"/>
          </w:tcPr>
          <w:p>
            <w:pPr>
              <w:pStyle w:val="TableParagraph"/>
              <w:spacing w:line="249" w:lineRule="exact"/>
              <w:rPr>
                <w:b/>
                <w:sz w:val="22"/>
              </w:rPr>
            </w:pPr>
            <w:r>
              <w:rPr>
                <w:b/>
                <w:sz w:val="22"/>
              </w:rPr>
              <w:t>¿Dónde</w:t>
            </w:r>
          </w:p>
        </w:tc>
        <w:tc>
          <w:tcPr>
            <w:tcW w:w="2314" w:type="dxa"/>
            <w:tcBorders>
              <w:bottom w:val="nil"/>
            </w:tcBorders>
            <w:shd w:val="clear" w:color="auto" w:fill="92CDDC"/>
          </w:tcPr>
          <w:p>
            <w:pPr>
              <w:pStyle w:val="TableParagraph"/>
              <w:spacing w:line="249" w:lineRule="exact"/>
              <w:ind w:left="100"/>
              <w:rPr>
                <w:b/>
                <w:sz w:val="22"/>
              </w:rPr>
            </w:pPr>
            <w:r>
              <w:rPr>
                <w:b/>
                <w:sz w:val="22"/>
              </w:rPr>
              <w:t>¿Considera</w:t>
            </w:r>
          </w:p>
        </w:tc>
        <w:tc>
          <w:tcPr>
            <w:tcW w:w="3901" w:type="dxa"/>
            <w:tcBorders>
              <w:bottom w:val="nil"/>
            </w:tcBorders>
            <w:shd w:val="clear" w:color="auto" w:fill="92CDDC"/>
          </w:tcPr>
          <w:p>
            <w:pPr>
              <w:pStyle w:val="TableParagraph"/>
              <w:spacing w:line="249" w:lineRule="exact"/>
              <w:rPr>
                <w:b/>
                <w:sz w:val="22"/>
              </w:rPr>
            </w:pPr>
            <w:r>
              <w:rPr>
                <w:b/>
                <w:sz w:val="22"/>
              </w:rPr>
              <w:t>¿Quiénes y para qué usan el agua</w:t>
            </w:r>
          </w:p>
        </w:tc>
      </w:tr>
      <w:tr>
        <w:trPr>
          <w:trHeight w:val="252"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Fecha de</w:t>
            </w:r>
          </w:p>
        </w:tc>
        <w:tc>
          <w:tcPr>
            <w:tcW w:w="1274" w:type="dxa"/>
            <w:tcBorders>
              <w:top w:val="nil"/>
              <w:bottom w:val="nil"/>
            </w:tcBorders>
            <w:shd w:val="clear" w:color="auto" w:fill="F9BE8F"/>
          </w:tcPr>
          <w:p>
            <w:pPr>
              <w:pStyle w:val="TableParagraph"/>
              <w:spacing w:line="241" w:lineRule="exact"/>
              <w:ind w:left="100"/>
              <w:rPr>
                <w:b/>
                <w:sz w:val="22"/>
              </w:rPr>
            </w:pPr>
            <w:r>
              <w:rPr>
                <w:b/>
                <w:sz w:val="22"/>
              </w:rPr>
              <w:t>Educativo</w:t>
            </w: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Style w:val="TableParagraph"/>
              <w:spacing w:line="241" w:lineRule="exact"/>
              <w:rPr>
                <w:b/>
                <w:sz w:val="22"/>
              </w:rPr>
            </w:pPr>
            <w:r>
              <w:rPr>
                <w:b/>
                <w:sz w:val="22"/>
              </w:rPr>
              <w:t>nació?</w:t>
            </w:r>
          </w:p>
        </w:tc>
        <w:tc>
          <w:tcPr>
            <w:tcW w:w="1174" w:type="dxa"/>
            <w:tcBorders>
              <w:top w:val="nil"/>
              <w:bottom w:val="nil"/>
            </w:tcBorders>
            <w:shd w:val="clear" w:color="auto" w:fill="92CDDC"/>
          </w:tcPr>
          <w:p>
            <w:pPr>
              <w:pStyle w:val="TableParagraph"/>
              <w:spacing w:line="241" w:lineRule="exact"/>
              <w:rPr>
                <w:b/>
                <w:sz w:val="22"/>
              </w:rPr>
            </w:pPr>
            <w:r>
              <w:rPr>
                <w:b/>
                <w:sz w:val="22"/>
              </w:rPr>
              <w:t>vive?</w:t>
            </w:r>
          </w:p>
        </w:tc>
        <w:tc>
          <w:tcPr>
            <w:tcW w:w="2314" w:type="dxa"/>
            <w:tcBorders>
              <w:top w:val="nil"/>
              <w:bottom w:val="nil"/>
            </w:tcBorders>
            <w:shd w:val="clear" w:color="auto" w:fill="92CDDC"/>
          </w:tcPr>
          <w:p>
            <w:pPr>
              <w:pStyle w:val="TableParagraph"/>
              <w:tabs>
                <w:tab w:pos="2017" w:val="left" w:leader="none"/>
              </w:tabs>
              <w:spacing w:line="241" w:lineRule="exact"/>
              <w:ind w:left="100"/>
              <w:rPr>
                <w:b/>
                <w:sz w:val="22"/>
              </w:rPr>
            </w:pPr>
            <w:r>
              <w:rPr>
                <w:b/>
                <w:sz w:val="22"/>
              </w:rPr>
              <w:t>importante</w:t>
              <w:tab/>
              <w:t>la</w:t>
            </w:r>
          </w:p>
        </w:tc>
        <w:tc>
          <w:tcPr>
            <w:tcW w:w="3901" w:type="dxa"/>
            <w:tcBorders>
              <w:top w:val="nil"/>
              <w:bottom w:val="nil"/>
            </w:tcBorders>
            <w:shd w:val="clear" w:color="auto" w:fill="92CDDC"/>
          </w:tcPr>
          <w:p>
            <w:pPr>
              <w:pStyle w:val="TableParagraph"/>
              <w:spacing w:line="241" w:lineRule="exact"/>
              <w:rPr>
                <w:b/>
                <w:sz w:val="22"/>
              </w:rPr>
            </w:pPr>
            <w:r>
              <w:rPr>
                <w:b/>
                <w:sz w:val="22"/>
              </w:rPr>
              <w:t>de la laguna de Huapango?</w:t>
            </w:r>
          </w:p>
        </w:tc>
      </w:tr>
      <w:tr>
        <w:trPr>
          <w:trHeight w:val="253" w:hRule="exact"/>
        </w:trPr>
        <w:tc>
          <w:tcPr>
            <w:tcW w:w="1385" w:type="dxa"/>
            <w:tcBorders>
              <w:top w:val="nil"/>
              <w:bottom w:val="nil"/>
            </w:tcBorders>
            <w:shd w:val="clear" w:color="auto" w:fill="F9BE8F"/>
          </w:tcPr>
          <w:p>
            <w:pPr>
              <w:pStyle w:val="TableParagraph"/>
              <w:spacing w:line="241" w:lineRule="exact"/>
              <w:ind w:right="127"/>
              <w:rPr>
                <w:b/>
                <w:sz w:val="22"/>
              </w:rPr>
            </w:pPr>
            <w:r>
              <w:rPr>
                <w:b/>
                <w:sz w:val="22"/>
              </w:rPr>
              <w:t>Entrevista</w:t>
            </w: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1945" w:val="left" w:leader="none"/>
              </w:tabs>
              <w:spacing w:line="241" w:lineRule="exact"/>
              <w:ind w:left="100"/>
              <w:rPr>
                <w:b/>
                <w:sz w:val="22"/>
              </w:rPr>
            </w:pPr>
            <w:r>
              <w:rPr>
                <w:b/>
                <w:sz w:val="22"/>
              </w:rPr>
              <w:t>laguna</w:t>
              <w:tab/>
              <w:t>de</w:t>
            </w:r>
          </w:p>
        </w:tc>
        <w:tc>
          <w:tcPr>
            <w:tcW w:w="3901" w:type="dxa"/>
            <w:tcBorders>
              <w:top w:val="nil"/>
              <w:bottom w:val="nil"/>
            </w:tcBorders>
            <w:shd w:val="clear" w:color="auto" w:fill="92CDDC"/>
          </w:tcPr>
          <w:p>
            <w:pPr/>
          </w:p>
        </w:tc>
      </w:tr>
      <w:tr>
        <w:trPr>
          <w:trHeight w:val="253" w:hRule="exact"/>
        </w:trPr>
        <w:tc>
          <w:tcPr>
            <w:tcW w:w="1385" w:type="dxa"/>
            <w:tcBorders>
              <w:top w:val="nil"/>
              <w:bottom w:val="nil"/>
            </w:tcBorders>
            <w:shd w:val="clear" w:color="auto" w:fill="F9BE8F"/>
          </w:tcPr>
          <w:p>
            <w:pPr/>
          </w:p>
        </w:tc>
        <w:tc>
          <w:tcPr>
            <w:tcW w:w="1274" w:type="dxa"/>
            <w:tcBorders>
              <w:top w:val="nil"/>
              <w:bottom w:val="nil"/>
            </w:tcBorders>
            <w:shd w:val="clear" w:color="auto" w:fill="F9BE8F"/>
          </w:tcPr>
          <w:p>
            <w:pPr/>
          </w:p>
        </w:tc>
        <w:tc>
          <w:tcPr>
            <w:tcW w:w="1887" w:type="dxa"/>
            <w:tcBorders>
              <w:top w:val="nil"/>
              <w:bottom w:val="nil"/>
            </w:tcBorders>
            <w:shd w:val="clear" w:color="auto" w:fill="F9BE8F"/>
          </w:tcPr>
          <w:p>
            <w:pPr/>
          </w:p>
        </w:tc>
        <w:tc>
          <w:tcPr>
            <w:tcW w:w="1289" w:type="dxa"/>
            <w:tcBorders>
              <w:top w:val="nil"/>
              <w:bottom w:val="nil"/>
            </w:tcBorders>
            <w:shd w:val="clear" w:color="auto" w:fill="92CDDC"/>
          </w:tcPr>
          <w:p>
            <w:pPr/>
          </w:p>
        </w:tc>
        <w:tc>
          <w:tcPr>
            <w:tcW w:w="1174" w:type="dxa"/>
            <w:tcBorders>
              <w:top w:val="nil"/>
              <w:bottom w:val="nil"/>
            </w:tcBorders>
            <w:shd w:val="clear" w:color="auto" w:fill="92CDDC"/>
          </w:tcPr>
          <w:p>
            <w:pPr/>
          </w:p>
        </w:tc>
        <w:tc>
          <w:tcPr>
            <w:tcW w:w="2314" w:type="dxa"/>
            <w:tcBorders>
              <w:top w:val="nil"/>
              <w:bottom w:val="nil"/>
            </w:tcBorders>
            <w:shd w:val="clear" w:color="auto" w:fill="92CDDC"/>
          </w:tcPr>
          <w:p>
            <w:pPr>
              <w:pStyle w:val="TableParagraph"/>
              <w:tabs>
                <w:tab w:pos="2017" w:val="left" w:leader="none"/>
              </w:tabs>
              <w:spacing w:line="242" w:lineRule="exact"/>
              <w:ind w:left="100"/>
              <w:rPr>
                <w:b/>
                <w:sz w:val="22"/>
              </w:rPr>
            </w:pPr>
            <w:r>
              <w:rPr>
                <w:b/>
                <w:sz w:val="22"/>
              </w:rPr>
              <w:t>Huapango</w:t>
              <w:tab/>
              <w:t>la</w:t>
            </w:r>
          </w:p>
        </w:tc>
        <w:tc>
          <w:tcPr>
            <w:tcW w:w="3901" w:type="dxa"/>
            <w:tcBorders>
              <w:top w:val="nil"/>
              <w:bottom w:val="nil"/>
            </w:tcBorders>
            <w:shd w:val="clear" w:color="auto" w:fill="92CDDC"/>
          </w:tcPr>
          <w:p>
            <w:pPr/>
          </w:p>
        </w:tc>
      </w:tr>
      <w:tr>
        <w:trPr>
          <w:trHeight w:val="252" w:hRule="exact"/>
        </w:trPr>
        <w:tc>
          <w:tcPr>
            <w:tcW w:w="1385" w:type="dxa"/>
            <w:tcBorders>
              <w:top w:val="nil"/>
            </w:tcBorders>
            <w:shd w:val="clear" w:color="auto" w:fill="F9BE8F"/>
          </w:tcPr>
          <w:p>
            <w:pPr/>
          </w:p>
        </w:tc>
        <w:tc>
          <w:tcPr>
            <w:tcW w:w="1274" w:type="dxa"/>
            <w:tcBorders>
              <w:top w:val="nil"/>
            </w:tcBorders>
            <w:shd w:val="clear" w:color="auto" w:fill="F9BE8F"/>
          </w:tcPr>
          <w:p>
            <w:pPr/>
          </w:p>
        </w:tc>
        <w:tc>
          <w:tcPr>
            <w:tcW w:w="1887" w:type="dxa"/>
            <w:tcBorders>
              <w:top w:val="nil"/>
            </w:tcBorders>
            <w:shd w:val="clear" w:color="auto" w:fill="F9BE8F"/>
          </w:tcPr>
          <w:p>
            <w:pPr/>
          </w:p>
        </w:tc>
        <w:tc>
          <w:tcPr>
            <w:tcW w:w="1289" w:type="dxa"/>
            <w:tcBorders>
              <w:top w:val="nil"/>
            </w:tcBorders>
            <w:shd w:val="clear" w:color="auto" w:fill="92CDDC"/>
          </w:tcPr>
          <w:p>
            <w:pPr/>
          </w:p>
        </w:tc>
        <w:tc>
          <w:tcPr>
            <w:tcW w:w="1174" w:type="dxa"/>
            <w:tcBorders>
              <w:top w:val="nil"/>
            </w:tcBorders>
            <w:shd w:val="clear" w:color="auto" w:fill="92CDDC"/>
          </w:tcPr>
          <w:p>
            <w:pPr/>
          </w:p>
        </w:tc>
        <w:tc>
          <w:tcPr>
            <w:tcW w:w="2314" w:type="dxa"/>
            <w:tcBorders>
              <w:top w:val="nil"/>
            </w:tcBorders>
            <w:shd w:val="clear" w:color="auto" w:fill="92CDDC"/>
          </w:tcPr>
          <w:p>
            <w:pPr>
              <w:pStyle w:val="TableParagraph"/>
              <w:spacing w:line="241" w:lineRule="exact"/>
              <w:ind w:left="100"/>
              <w:rPr>
                <w:b/>
                <w:sz w:val="22"/>
              </w:rPr>
            </w:pPr>
            <w:r>
              <w:rPr>
                <w:b/>
                <w:sz w:val="22"/>
              </w:rPr>
              <w:t>región?</w:t>
            </w:r>
          </w:p>
        </w:tc>
        <w:tc>
          <w:tcPr>
            <w:tcW w:w="3901" w:type="dxa"/>
            <w:tcBorders>
              <w:top w:val="nil"/>
            </w:tcBorders>
            <w:shd w:val="clear" w:color="auto" w:fill="92CDDC"/>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Raúl Rivas</w:t>
            </w:r>
          </w:p>
        </w:tc>
        <w:tc>
          <w:tcPr>
            <w:tcW w:w="1274" w:type="dxa"/>
            <w:tcBorders>
              <w:bottom w:val="nil"/>
            </w:tcBorders>
          </w:tcPr>
          <w:p>
            <w:pPr>
              <w:pStyle w:val="TableParagraph"/>
              <w:spacing w:line="251" w:lineRule="exact"/>
              <w:ind w:left="100" w:right="98"/>
              <w:rPr>
                <w:sz w:val="22"/>
              </w:rPr>
            </w:pPr>
            <w:r>
              <w:rPr>
                <w:sz w:val="22"/>
              </w:rPr>
              <w:t>Ingeniero</w:t>
            </w:r>
          </w:p>
        </w:tc>
        <w:tc>
          <w:tcPr>
            <w:tcW w:w="1887" w:type="dxa"/>
            <w:tcBorders>
              <w:bottom w:val="nil"/>
            </w:tcBorders>
          </w:tcPr>
          <w:p>
            <w:pPr>
              <w:pStyle w:val="TableParagraph"/>
              <w:spacing w:line="251" w:lineRule="exact"/>
              <w:rPr>
                <w:sz w:val="22"/>
              </w:rPr>
            </w:pPr>
            <w:r>
              <w:rPr>
                <w:sz w:val="22"/>
              </w:rPr>
              <w:t>Jefe del Distrito</w:t>
            </w:r>
          </w:p>
        </w:tc>
        <w:tc>
          <w:tcPr>
            <w:tcW w:w="1289" w:type="dxa"/>
            <w:tcBorders>
              <w:bottom w:val="nil"/>
            </w:tcBorders>
          </w:tcPr>
          <w:p>
            <w:pPr>
              <w:pStyle w:val="TableParagraph"/>
              <w:spacing w:line="251" w:lineRule="exact"/>
              <w:rPr>
                <w:sz w:val="22"/>
              </w:rPr>
            </w:pPr>
            <w:r>
              <w:rPr>
                <w:sz w:val="22"/>
              </w:rPr>
              <w:t>Cuautla,</w:t>
            </w:r>
          </w:p>
        </w:tc>
        <w:tc>
          <w:tcPr>
            <w:tcW w:w="1174" w:type="dxa"/>
            <w:tcBorders>
              <w:bottom w:val="nil"/>
            </w:tcBorders>
          </w:tcPr>
          <w:p>
            <w:pPr>
              <w:pStyle w:val="TableParagraph"/>
              <w:spacing w:line="251" w:lineRule="exact"/>
              <w:rPr>
                <w:sz w:val="22"/>
              </w:rPr>
            </w:pPr>
            <w:r>
              <w:rPr>
                <w:sz w:val="22"/>
              </w:rPr>
              <w:t>Atlacomu</w:t>
            </w:r>
          </w:p>
        </w:tc>
        <w:tc>
          <w:tcPr>
            <w:tcW w:w="2314" w:type="dxa"/>
            <w:tcBorders>
              <w:bottom w:val="nil"/>
            </w:tcBorders>
          </w:tcPr>
          <w:p>
            <w:pPr>
              <w:pStyle w:val="TableParagraph"/>
              <w:spacing w:line="251" w:lineRule="exact"/>
              <w:ind w:left="100"/>
              <w:rPr>
                <w:sz w:val="22"/>
              </w:rPr>
            </w:pPr>
            <w:r>
              <w:rPr>
                <w:sz w:val="22"/>
              </w:rPr>
              <w:t>Considero</w:t>
            </w:r>
          </w:p>
        </w:tc>
        <w:tc>
          <w:tcPr>
            <w:tcW w:w="3901" w:type="dxa"/>
            <w:tcBorders>
              <w:bottom w:val="nil"/>
            </w:tcBorders>
          </w:tcPr>
          <w:p>
            <w:pPr>
              <w:pStyle w:val="TableParagraph"/>
              <w:spacing w:line="251" w:lineRule="exact"/>
              <w:rPr>
                <w:sz w:val="22"/>
              </w:rPr>
            </w:pPr>
            <w:r>
              <w:rPr>
                <w:sz w:val="22"/>
              </w:rPr>
              <w:t>Los usuarios del Distrito de Riego del</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Castillo</w:t>
            </w:r>
          </w:p>
        </w:tc>
        <w:tc>
          <w:tcPr>
            <w:tcW w:w="1274" w:type="dxa"/>
            <w:tcBorders>
              <w:top w:val="nil"/>
              <w:bottom w:val="nil"/>
            </w:tcBorders>
          </w:tcPr>
          <w:p>
            <w:pPr>
              <w:pStyle w:val="TableParagraph"/>
              <w:spacing w:line="241" w:lineRule="exact"/>
              <w:ind w:left="100" w:right="98"/>
              <w:rPr>
                <w:sz w:val="22"/>
              </w:rPr>
            </w:pPr>
            <w:r>
              <w:rPr>
                <w:sz w:val="22"/>
              </w:rPr>
              <w:t>Civil</w:t>
            </w:r>
          </w:p>
        </w:tc>
        <w:tc>
          <w:tcPr>
            <w:tcW w:w="1887" w:type="dxa"/>
            <w:tcBorders>
              <w:top w:val="nil"/>
              <w:bottom w:val="nil"/>
            </w:tcBorders>
          </w:tcPr>
          <w:p>
            <w:pPr>
              <w:pStyle w:val="TableParagraph"/>
              <w:spacing w:line="241" w:lineRule="exact"/>
              <w:rPr>
                <w:sz w:val="22"/>
              </w:rPr>
            </w:pPr>
            <w:r>
              <w:rPr>
                <w:sz w:val="22"/>
              </w:rPr>
              <w:t>de Riego en el</w:t>
            </w:r>
          </w:p>
        </w:tc>
        <w:tc>
          <w:tcPr>
            <w:tcW w:w="1289" w:type="dxa"/>
            <w:tcBorders>
              <w:top w:val="nil"/>
              <w:bottom w:val="nil"/>
            </w:tcBorders>
          </w:tcPr>
          <w:p>
            <w:pPr>
              <w:pStyle w:val="TableParagraph"/>
              <w:spacing w:line="241" w:lineRule="exact"/>
              <w:rPr>
                <w:sz w:val="22"/>
              </w:rPr>
            </w:pPr>
            <w:r>
              <w:rPr>
                <w:sz w:val="22"/>
              </w:rPr>
              <w:t>Morelos</w:t>
            </w:r>
          </w:p>
        </w:tc>
        <w:tc>
          <w:tcPr>
            <w:tcW w:w="1174" w:type="dxa"/>
            <w:tcBorders>
              <w:top w:val="nil"/>
              <w:bottom w:val="nil"/>
            </w:tcBorders>
          </w:tcPr>
          <w:p>
            <w:pPr>
              <w:pStyle w:val="TableParagraph"/>
              <w:spacing w:line="241" w:lineRule="exact"/>
              <w:rPr>
                <w:sz w:val="22"/>
              </w:rPr>
            </w:pPr>
            <w:r>
              <w:rPr>
                <w:sz w:val="22"/>
              </w:rPr>
              <w:t>lco,</w:t>
            </w:r>
          </w:p>
        </w:tc>
        <w:tc>
          <w:tcPr>
            <w:tcW w:w="2314" w:type="dxa"/>
            <w:tcBorders>
              <w:top w:val="nil"/>
              <w:bottom w:val="nil"/>
            </w:tcBorders>
          </w:tcPr>
          <w:p>
            <w:pPr>
              <w:pStyle w:val="TableParagraph"/>
              <w:spacing w:line="241" w:lineRule="exact"/>
              <w:ind w:left="100"/>
              <w:rPr>
                <w:sz w:val="22"/>
              </w:rPr>
            </w:pPr>
            <w:r>
              <w:rPr>
                <w:sz w:val="22"/>
              </w:rPr>
              <w:t>importante  la laguna</w:t>
            </w:r>
          </w:p>
        </w:tc>
        <w:tc>
          <w:tcPr>
            <w:tcW w:w="3901" w:type="dxa"/>
            <w:tcBorders>
              <w:top w:val="nil"/>
              <w:bottom w:val="nil"/>
            </w:tcBorders>
          </w:tcPr>
          <w:p>
            <w:pPr>
              <w:pStyle w:val="TableParagraph"/>
              <w:spacing w:line="241" w:lineRule="exact"/>
              <w:rPr>
                <w:sz w:val="22"/>
              </w:rPr>
            </w:pPr>
            <w:r>
              <w:rPr>
                <w:sz w:val="22"/>
              </w:rPr>
              <w:t>Módulo  Huapango  utilizan  el   agua</w:t>
            </w:r>
          </w:p>
        </w:tc>
      </w:tr>
      <w:tr>
        <w:trPr>
          <w:trHeight w:val="253" w:hRule="exact"/>
        </w:trPr>
        <w:tc>
          <w:tcPr>
            <w:tcW w:w="1385" w:type="dxa"/>
            <w:tcBorders>
              <w:top w:val="nil"/>
              <w:bottom w:val="nil"/>
            </w:tcBorders>
          </w:tcPr>
          <w:p>
            <w:pPr>
              <w:pStyle w:val="TableParagraph"/>
              <w:spacing w:line="242" w:lineRule="exact"/>
              <w:rPr>
                <w:sz w:val="22"/>
              </w:rPr>
            </w:pPr>
            <w:r>
              <w:rPr>
                <w:sz w:val="22"/>
              </w:rPr>
              <w:t>(13/II/2014)</w:t>
            </w: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Estado de</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Estado</w:t>
            </w:r>
          </w:p>
        </w:tc>
        <w:tc>
          <w:tcPr>
            <w:tcW w:w="2314" w:type="dxa"/>
            <w:tcBorders>
              <w:top w:val="nil"/>
              <w:bottom w:val="nil"/>
            </w:tcBorders>
          </w:tcPr>
          <w:p>
            <w:pPr>
              <w:pStyle w:val="TableParagraph"/>
              <w:spacing w:line="242" w:lineRule="exact"/>
              <w:ind w:left="100"/>
              <w:rPr>
                <w:sz w:val="22"/>
              </w:rPr>
            </w:pPr>
            <w:r>
              <w:rPr>
                <w:sz w:val="22"/>
              </w:rPr>
              <w:t>de Huapango para la</w:t>
            </w:r>
          </w:p>
        </w:tc>
        <w:tc>
          <w:tcPr>
            <w:tcW w:w="3901" w:type="dxa"/>
            <w:tcBorders>
              <w:top w:val="nil"/>
              <w:bottom w:val="nil"/>
            </w:tcBorders>
          </w:tcPr>
          <w:p>
            <w:pPr>
              <w:pStyle w:val="TableParagraph"/>
              <w:spacing w:line="242" w:lineRule="exact"/>
              <w:rPr>
                <w:sz w:val="22"/>
              </w:rPr>
            </w:pPr>
            <w:r>
              <w:rPr>
                <w:sz w:val="22"/>
              </w:rPr>
              <w:t>para maíz,  praderas y para </w:t>
            </w:r>
            <w:r>
              <w:rPr>
                <w:spacing w:val="56"/>
                <w:sz w:val="22"/>
              </w:rPr>
              <w:t> </w:t>
            </w:r>
            <w:r>
              <w:rPr>
                <w:sz w:val="22"/>
              </w:rPr>
              <w:t>producir</w:t>
            </w: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México</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de</w:t>
            </w:r>
          </w:p>
        </w:tc>
        <w:tc>
          <w:tcPr>
            <w:tcW w:w="2314" w:type="dxa"/>
            <w:tcBorders>
              <w:top w:val="nil"/>
              <w:bottom w:val="nil"/>
            </w:tcBorders>
          </w:tcPr>
          <w:p>
            <w:pPr>
              <w:pStyle w:val="TableParagraph"/>
              <w:spacing w:line="241" w:lineRule="exact"/>
              <w:ind w:left="100"/>
              <w:rPr>
                <w:sz w:val="22"/>
              </w:rPr>
            </w:pPr>
            <w:r>
              <w:rPr>
                <w:sz w:val="22"/>
              </w:rPr>
              <w:t>región,  ya  que  es la</w:t>
            </w:r>
          </w:p>
        </w:tc>
        <w:tc>
          <w:tcPr>
            <w:tcW w:w="3901" w:type="dxa"/>
            <w:tcBorders>
              <w:top w:val="nil"/>
              <w:bottom w:val="nil"/>
            </w:tcBorders>
          </w:tcPr>
          <w:p>
            <w:pPr>
              <w:pStyle w:val="TableParagraph"/>
              <w:spacing w:line="241" w:lineRule="exact"/>
              <w:rPr>
                <w:sz w:val="22"/>
              </w:rPr>
            </w:pPr>
            <w:r>
              <w:rPr>
                <w:sz w:val="22"/>
              </w:rPr>
              <w:t>lácteos,</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México</w:t>
            </w:r>
          </w:p>
        </w:tc>
        <w:tc>
          <w:tcPr>
            <w:tcW w:w="2314" w:type="dxa"/>
            <w:tcBorders>
              <w:top w:val="nil"/>
              <w:bottom w:val="nil"/>
            </w:tcBorders>
          </w:tcPr>
          <w:p>
            <w:pPr>
              <w:pStyle w:val="TableParagraph"/>
              <w:spacing w:line="241" w:lineRule="exact"/>
              <w:ind w:left="100"/>
              <w:rPr>
                <w:sz w:val="22"/>
              </w:rPr>
            </w:pPr>
            <w:r>
              <w:rPr>
                <w:sz w:val="22"/>
              </w:rPr>
              <w:t>vida misma, la fuente</w:t>
            </w:r>
          </w:p>
        </w:tc>
        <w:tc>
          <w:tcPr>
            <w:tcW w:w="3901" w:type="dxa"/>
            <w:tcBorders>
              <w:top w:val="nil"/>
              <w:bottom w:val="nil"/>
            </w:tcBorders>
          </w:tcPr>
          <w:p>
            <w:pPr/>
          </w:p>
        </w:tc>
      </w:tr>
      <w:tr>
        <w:trPr>
          <w:trHeight w:val="248"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más  importante para</w:t>
            </w:r>
          </w:p>
        </w:tc>
        <w:tc>
          <w:tcPr>
            <w:tcW w:w="3901" w:type="dxa"/>
            <w:tcBorders>
              <w:top w:val="nil"/>
            </w:tcBorders>
          </w:tcPr>
          <w:p>
            <w:pPr/>
          </w:p>
        </w:tc>
      </w:tr>
    </w:tbl>
    <w:p>
      <w:pPr>
        <w:spacing w:after="0"/>
        <w:sectPr>
          <w:pgSz w:w="15840" w:h="12240" w:orient="landscape"/>
          <w:pgMar w:header="0" w:footer="943" w:top="1140" w:bottom="120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768" w:hRule="exact"/>
        </w:trPr>
        <w:tc>
          <w:tcPr>
            <w:tcW w:w="1385" w:type="dxa"/>
          </w:tcPr>
          <w:p>
            <w:pP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ind w:left="100" w:right="101"/>
              <w:jc w:val="both"/>
              <w:rPr>
                <w:sz w:val="22"/>
              </w:rPr>
            </w:pPr>
            <w:r>
              <w:rPr>
                <w:sz w:val="22"/>
              </w:rPr>
              <w:t>la vida de la región; es vital y va a serlo más en el futuro.</w:t>
            </w:r>
          </w:p>
        </w:tc>
        <w:tc>
          <w:tcPr>
            <w:tcW w:w="3901" w:type="dxa"/>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Juan</w:t>
            </w:r>
          </w:p>
        </w:tc>
        <w:tc>
          <w:tcPr>
            <w:tcW w:w="1274" w:type="dxa"/>
            <w:tcBorders>
              <w:bottom w:val="nil"/>
            </w:tcBorders>
          </w:tcPr>
          <w:p>
            <w:pPr>
              <w:pStyle w:val="TableParagraph"/>
              <w:spacing w:line="251" w:lineRule="exact"/>
              <w:ind w:left="100" w:right="98"/>
              <w:rPr>
                <w:sz w:val="22"/>
              </w:rPr>
            </w:pPr>
            <w:r>
              <w:rPr>
                <w:sz w:val="22"/>
              </w:rPr>
              <w:t>Ingeniero</w:t>
            </w:r>
          </w:p>
        </w:tc>
        <w:tc>
          <w:tcPr>
            <w:tcW w:w="1887" w:type="dxa"/>
            <w:tcBorders>
              <w:bottom w:val="nil"/>
            </w:tcBorders>
          </w:tcPr>
          <w:p>
            <w:pPr>
              <w:pStyle w:val="TableParagraph"/>
              <w:spacing w:line="251" w:lineRule="exact"/>
              <w:rPr>
                <w:sz w:val="22"/>
              </w:rPr>
            </w:pPr>
            <w:r>
              <w:rPr>
                <w:sz w:val="22"/>
              </w:rPr>
              <w:t>Subjefe de</w:t>
            </w:r>
          </w:p>
        </w:tc>
        <w:tc>
          <w:tcPr>
            <w:tcW w:w="1289" w:type="dxa"/>
            <w:tcBorders>
              <w:bottom w:val="nil"/>
            </w:tcBorders>
          </w:tcPr>
          <w:p>
            <w:pPr>
              <w:pStyle w:val="TableParagraph"/>
              <w:spacing w:line="251" w:lineRule="exact"/>
              <w:rPr>
                <w:sz w:val="22"/>
              </w:rPr>
            </w:pPr>
            <w:r>
              <w:rPr>
                <w:sz w:val="22"/>
              </w:rPr>
              <w:t>Tamaulipa</w:t>
            </w:r>
          </w:p>
        </w:tc>
        <w:tc>
          <w:tcPr>
            <w:tcW w:w="1174" w:type="dxa"/>
            <w:tcBorders>
              <w:bottom w:val="nil"/>
            </w:tcBorders>
          </w:tcPr>
          <w:p>
            <w:pPr>
              <w:pStyle w:val="TableParagraph"/>
              <w:spacing w:line="251" w:lineRule="exact"/>
              <w:rPr>
                <w:sz w:val="22"/>
              </w:rPr>
            </w:pPr>
            <w:r>
              <w:rPr>
                <w:sz w:val="22"/>
              </w:rPr>
              <w:t>Atlacomu</w:t>
            </w:r>
          </w:p>
        </w:tc>
        <w:tc>
          <w:tcPr>
            <w:tcW w:w="2314" w:type="dxa"/>
            <w:tcBorders>
              <w:bottom w:val="nil"/>
            </w:tcBorders>
          </w:tcPr>
          <w:p>
            <w:pPr>
              <w:pStyle w:val="TableParagraph"/>
              <w:tabs>
                <w:tab w:pos="820" w:val="left" w:leader="none"/>
                <w:tab w:pos="1957" w:val="left" w:leader="none"/>
              </w:tabs>
              <w:spacing w:line="251" w:lineRule="exact"/>
              <w:ind w:left="100"/>
              <w:rPr>
                <w:sz w:val="22"/>
              </w:rPr>
            </w:pPr>
            <w:r>
              <w:rPr>
                <w:sz w:val="22"/>
              </w:rPr>
              <w:t>La</w:t>
              <w:tab/>
              <w:t>laguna</w:t>
              <w:tab/>
              <w:t>de</w:t>
            </w:r>
          </w:p>
        </w:tc>
        <w:tc>
          <w:tcPr>
            <w:tcW w:w="3901" w:type="dxa"/>
            <w:tcBorders>
              <w:bottom w:val="nil"/>
            </w:tcBorders>
          </w:tcPr>
          <w:p>
            <w:pPr>
              <w:pStyle w:val="TableParagraph"/>
              <w:spacing w:line="251" w:lineRule="exact"/>
              <w:rPr>
                <w:sz w:val="22"/>
              </w:rPr>
            </w:pPr>
            <w:r>
              <w:rPr>
                <w:sz w:val="22"/>
              </w:rPr>
              <w:t>El  agua  la  utilizan  los  usuarios que</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Manuel</w:t>
            </w:r>
          </w:p>
        </w:tc>
        <w:tc>
          <w:tcPr>
            <w:tcW w:w="1274" w:type="dxa"/>
            <w:tcBorders>
              <w:top w:val="nil"/>
              <w:bottom w:val="nil"/>
            </w:tcBorders>
          </w:tcPr>
          <w:p>
            <w:pPr>
              <w:pStyle w:val="TableParagraph"/>
              <w:spacing w:line="242" w:lineRule="exact"/>
              <w:ind w:left="100" w:right="98"/>
              <w:rPr>
                <w:sz w:val="22"/>
              </w:rPr>
            </w:pPr>
            <w:r>
              <w:rPr>
                <w:sz w:val="22"/>
              </w:rPr>
              <w:t>Civil</w:t>
            </w:r>
          </w:p>
        </w:tc>
        <w:tc>
          <w:tcPr>
            <w:tcW w:w="1887" w:type="dxa"/>
            <w:tcBorders>
              <w:top w:val="nil"/>
              <w:bottom w:val="nil"/>
            </w:tcBorders>
          </w:tcPr>
          <w:p>
            <w:pPr>
              <w:pStyle w:val="TableParagraph"/>
              <w:spacing w:line="242" w:lineRule="exact"/>
              <w:rPr>
                <w:sz w:val="22"/>
              </w:rPr>
            </w:pPr>
            <w:r>
              <w:rPr>
                <w:sz w:val="22"/>
              </w:rPr>
              <w:t>Operación</w:t>
            </w:r>
          </w:p>
        </w:tc>
        <w:tc>
          <w:tcPr>
            <w:tcW w:w="1289" w:type="dxa"/>
            <w:tcBorders>
              <w:top w:val="nil"/>
              <w:bottom w:val="nil"/>
            </w:tcBorders>
          </w:tcPr>
          <w:p>
            <w:pPr>
              <w:pStyle w:val="TableParagraph"/>
              <w:spacing w:line="242" w:lineRule="exact"/>
              <w:rPr>
                <w:sz w:val="22"/>
              </w:rPr>
            </w:pPr>
            <w:r>
              <w:rPr>
                <w:w w:val="100"/>
                <w:sz w:val="22"/>
              </w:rPr>
              <w:t>s</w:t>
            </w:r>
          </w:p>
        </w:tc>
        <w:tc>
          <w:tcPr>
            <w:tcW w:w="1174" w:type="dxa"/>
            <w:tcBorders>
              <w:top w:val="nil"/>
              <w:bottom w:val="nil"/>
            </w:tcBorders>
          </w:tcPr>
          <w:p>
            <w:pPr>
              <w:pStyle w:val="TableParagraph"/>
              <w:spacing w:line="242" w:lineRule="exact"/>
              <w:rPr>
                <w:sz w:val="22"/>
              </w:rPr>
            </w:pPr>
            <w:r>
              <w:rPr>
                <w:sz w:val="22"/>
              </w:rPr>
              <w:t>lco,</w:t>
            </w:r>
          </w:p>
        </w:tc>
        <w:tc>
          <w:tcPr>
            <w:tcW w:w="2314" w:type="dxa"/>
            <w:tcBorders>
              <w:top w:val="nil"/>
              <w:bottom w:val="nil"/>
            </w:tcBorders>
          </w:tcPr>
          <w:p>
            <w:pPr>
              <w:pStyle w:val="TableParagraph"/>
              <w:tabs>
                <w:tab w:pos="1958" w:val="left" w:leader="none"/>
              </w:tabs>
              <w:spacing w:line="242" w:lineRule="exact"/>
              <w:ind w:left="100"/>
              <w:rPr>
                <w:sz w:val="22"/>
              </w:rPr>
            </w:pPr>
            <w:r>
              <w:rPr>
                <w:sz w:val="22"/>
              </w:rPr>
              <w:t>Huapango</w:t>
              <w:tab/>
              <w:t>en</w:t>
            </w:r>
          </w:p>
        </w:tc>
        <w:tc>
          <w:tcPr>
            <w:tcW w:w="3901" w:type="dxa"/>
            <w:tcBorders>
              <w:top w:val="nil"/>
              <w:bottom w:val="nil"/>
            </w:tcBorders>
          </w:tcPr>
          <w:p>
            <w:pPr>
              <w:pStyle w:val="TableParagraph"/>
              <w:spacing w:line="242" w:lineRule="exact"/>
              <w:rPr>
                <w:sz w:val="22"/>
              </w:rPr>
            </w:pPr>
            <w:r>
              <w:rPr>
                <w:sz w:val="22"/>
              </w:rPr>
              <w:t>están  en  el padrón y los  que  tienen</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Alfaro</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Estado</w:t>
            </w:r>
          </w:p>
        </w:tc>
        <w:tc>
          <w:tcPr>
            <w:tcW w:w="2314" w:type="dxa"/>
            <w:tcBorders>
              <w:top w:val="nil"/>
              <w:bottom w:val="nil"/>
            </w:tcBorders>
          </w:tcPr>
          <w:p>
            <w:pPr>
              <w:pStyle w:val="TableParagraph"/>
              <w:tabs>
                <w:tab w:pos="1967" w:val="left" w:leader="none"/>
              </w:tabs>
              <w:spacing w:line="241" w:lineRule="exact"/>
              <w:ind w:left="100"/>
              <w:rPr>
                <w:sz w:val="22"/>
              </w:rPr>
            </w:pPr>
            <w:r>
              <w:rPr>
                <w:sz w:val="22"/>
              </w:rPr>
              <w:t>definitivo</w:t>
              <w:tab/>
              <w:t>es</w:t>
            </w:r>
          </w:p>
        </w:tc>
        <w:tc>
          <w:tcPr>
            <w:tcW w:w="3901" w:type="dxa"/>
            <w:tcBorders>
              <w:top w:val="nil"/>
              <w:bottom w:val="nil"/>
            </w:tcBorders>
          </w:tcPr>
          <w:p>
            <w:pPr>
              <w:pStyle w:val="TableParagraph"/>
              <w:tabs>
                <w:tab w:pos="1787" w:val="left" w:leader="none"/>
                <w:tab w:pos="3066" w:val="left" w:leader="none"/>
              </w:tabs>
              <w:spacing w:line="241" w:lineRule="exact"/>
              <w:rPr>
                <w:sz w:val="22"/>
              </w:rPr>
            </w:pPr>
            <w:r>
              <w:rPr>
                <w:sz w:val="22"/>
              </w:rPr>
              <w:t>infraestructura</w:t>
              <w:tab/>
              <w:t>(Jilotepec,</w:t>
              <w:tab/>
              <w:t>Aculco,</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Gómez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de</w:t>
            </w:r>
          </w:p>
        </w:tc>
        <w:tc>
          <w:tcPr>
            <w:tcW w:w="2314" w:type="dxa"/>
            <w:tcBorders>
              <w:top w:val="nil"/>
              <w:bottom w:val="nil"/>
            </w:tcBorders>
          </w:tcPr>
          <w:p>
            <w:pPr>
              <w:pStyle w:val="TableParagraph"/>
              <w:tabs>
                <w:tab w:pos="1364" w:val="left" w:leader="none"/>
                <w:tab w:pos="2028" w:val="left" w:leader="none"/>
              </w:tabs>
              <w:spacing w:line="242" w:lineRule="exact"/>
              <w:ind w:left="100"/>
              <w:rPr>
                <w:sz w:val="22"/>
              </w:rPr>
            </w:pPr>
            <w:r>
              <w:rPr>
                <w:sz w:val="22"/>
              </w:rPr>
              <w:t>importante</w:t>
              <w:tab/>
              <w:t>para</w:t>
              <w:tab/>
              <w:t>la</w:t>
            </w:r>
          </w:p>
        </w:tc>
        <w:tc>
          <w:tcPr>
            <w:tcW w:w="3901" w:type="dxa"/>
            <w:tcBorders>
              <w:top w:val="nil"/>
              <w:bottom w:val="nil"/>
            </w:tcBorders>
          </w:tcPr>
          <w:p>
            <w:pPr>
              <w:pStyle w:val="TableParagraph"/>
              <w:tabs>
                <w:tab w:pos="1351" w:val="left" w:leader="none"/>
                <w:tab w:pos="2020" w:val="left" w:leader="none"/>
                <w:tab w:pos="2776" w:val="left" w:leader="none"/>
                <w:tab w:pos="3385" w:val="left" w:leader="none"/>
              </w:tabs>
              <w:spacing w:line="242" w:lineRule="exact"/>
              <w:rPr>
                <w:sz w:val="22"/>
              </w:rPr>
            </w:pPr>
            <w:r>
              <w:rPr>
                <w:sz w:val="22"/>
              </w:rPr>
              <w:t>Polotitlán,</w:t>
              <w:tab/>
              <w:t>San</w:t>
              <w:tab/>
              <w:t>Juan</w:t>
              <w:tab/>
              <w:t>Del</w:t>
              <w:tab/>
              <w:t>Río,</w:t>
            </w:r>
          </w:p>
        </w:tc>
      </w:tr>
      <w:tr>
        <w:trPr>
          <w:trHeight w:val="252" w:hRule="exact"/>
        </w:trPr>
        <w:tc>
          <w:tcPr>
            <w:tcW w:w="1385" w:type="dxa"/>
            <w:tcBorders>
              <w:top w:val="nil"/>
              <w:bottom w:val="nil"/>
            </w:tcBorders>
          </w:tcPr>
          <w:p>
            <w:pPr>
              <w:pStyle w:val="TableParagraph"/>
              <w:spacing w:line="241" w:lineRule="exact"/>
              <w:rPr>
                <w:sz w:val="22"/>
              </w:rPr>
            </w:pPr>
            <w:r>
              <w:rPr>
                <w:sz w:val="22"/>
              </w:rPr>
              <w:t>(13/II/2014)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México</w:t>
            </w:r>
          </w:p>
        </w:tc>
        <w:tc>
          <w:tcPr>
            <w:tcW w:w="2314" w:type="dxa"/>
            <w:tcBorders>
              <w:top w:val="nil"/>
              <w:bottom w:val="nil"/>
            </w:tcBorders>
          </w:tcPr>
          <w:p>
            <w:pPr>
              <w:pStyle w:val="TableParagraph"/>
              <w:tabs>
                <w:tab w:pos="1035" w:val="left" w:leader="none"/>
                <w:tab w:pos="2040" w:val="left" w:leader="none"/>
              </w:tabs>
              <w:spacing w:line="241" w:lineRule="exact"/>
              <w:ind w:left="100"/>
              <w:rPr>
                <w:sz w:val="22"/>
              </w:rPr>
            </w:pPr>
            <w:r>
              <w:rPr>
                <w:sz w:val="22"/>
              </w:rPr>
              <w:t>región</w:t>
              <w:tab/>
              <w:t>porque</w:t>
              <w:tab/>
              <w:t>si</w:t>
            </w:r>
          </w:p>
        </w:tc>
        <w:tc>
          <w:tcPr>
            <w:tcW w:w="3901" w:type="dxa"/>
            <w:tcBorders>
              <w:top w:val="nil"/>
              <w:bottom w:val="nil"/>
            </w:tcBorders>
          </w:tcPr>
          <w:p>
            <w:pPr>
              <w:pStyle w:val="TableParagraph"/>
              <w:tabs>
                <w:tab w:pos="1360" w:val="left" w:leader="none"/>
                <w:tab w:pos="1674" w:val="left" w:leader="none"/>
                <w:tab w:pos="2651" w:val="left" w:leader="none"/>
                <w:tab w:pos="3296" w:val="left" w:leader="none"/>
              </w:tabs>
              <w:spacing w:line="241" w:lineRule="exact"/>
              <w:rPr>
                <w:sz w:val="22"/>
              </w:rPr>
            </w:pPr>
            <w:r>
              <w:rPr>
                <w:sz w:val="22"/>
              </w:rPr>
              <w:t>Huichapan</w:t>
              <w:tab/>
              <w:t>y</w:t>
              <w:tab/>
              <w:t>Nopala)</w:t>
              <w:tab/>
              <w:t>para</w:t>
              <w:tab/>
              <w:t>riego</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151" w:val="left" w:leader="none"/>
                <w:tab w:pos="1712" w:val="left" w:leader="none"/>
              </w:tabs>
              <w:spacing w:line="241" w:lineRule="exact"/>
              <w:ind w:left="100"/>
              <w:rPr>
                <w:sz w:val="22"/>
              </w:rPr>
            </w:pPr>
            <w:r>
              <w:rPr>
                <w:sz w:val="22"/>
              </w:rPr>
              <w:t>tuviera</w:t>
              <w:tab/>
              <w:t>el</w:t>
              <w:tab/>
              <w:t>agua</w:t>
            </w:r>
          </w:p>
        </w:tc>
        <w:tc>
          <w:tcPr>
            <w:tcW w:w="3901" w:type="dxa"/>
            <w:tcBorders>
              <w:top w:val="nil"/>
              <w:bottom w:val="nil"/>
            </w:tcBorders>
          </w:tcPr>
          <w:p>
            <w:pPr>
              <w:pStyle w:val="TableParagraph"/>
              <w:spacing w:line="241" w:lineRule="exact"/>
              <w:rPr>
                <w:sz w:val="22"/>
              </w:rPr>
            </w:pPr>
            <w:r>
              <w:rPr>
                <w:sz w:val="22"/>
              </w:rPr>
              <w:t>agrícola y abrevaderos de   animales,</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56" w:val="left" w:leader="none"/>
              </w:tabs>
              <w:spacing w:line="242" w:lineRule="exact"/>
              <w:ind w:left="100"/>
              <w:rPr>
                <w:sz w:val="22"/>
              </w:rPr>
            </w:pPr>
            <w:r>
              <w:rPr>
                <w:sz w:val="22"/>
              </w:rPr>
              <w:t>necesaria</w:t>
              <w:tab/>
              <w:t>podrían</w:t>
            </w:r>
          </w:p>
        </w:tc>
        <w:tc>
          <w:tcPr>
            <w:tcW w:w="3901" w:type="dxa"/>
            <w:tcBorders>
              <w:top w:val="nil"/>
              <w:bottom w:val="nil"/>
            </w:tcBorders>
          </w:tcPr>
          <w:p>
            <w:pPr>
              <w:pStyle w:val="TableParagraph"/>
              <w:spacing w:line="242" w:lineRule="exact"/>
              <w:rPr>
                <w:sz w:val="22"/>
              </w:rPr>
            </w:pPr>
            <w:r>
              <w:rPr>
                <w:sz w:val="22"/>
              </w:rPr>
              <w:t>se toma 40 litros en promedio   </w:t>
            </w:r>
            <w:r>
              <w:rPr>
                <w:spacing w:val="56"/>
                <w:sz w:val="22"/>
              </w:rPr>
              <w:t> </w:t>
            </w:r>
            <w:r>
              <w:rPr>
                <w:sz w:val="22"/>
              </w:rPr>
              <w:t>cada</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203" w:val="right" w:leader="none"/>
              </w:tabs>
              <w:spacing w:line="241" w:lineRule="exact"/>
              <w:ind w:left="100"/>
              <w:rPr>
                <w:sz w:val="22"/>
              </w:rPr>
            </w:pPr>
            <w:r>
              <w:rPr>
                <w:sz w:val="22"/>
              </w:rPr>
              <w:t>regarse</w:t>
              <w:tab/>
              <w:t>1600</w:t>
            </w:r>
          </w:p>
        </w:tc>
        <w:tc>
          <w:tcPr>
            <w:tcW w:w="3901" w:type="dxa"/>
            <w:tcBorders>
              <w:top w:val="nil"/>
              <w:bottom w:val="nil"/>
            </w:tcBorders>
          </w:tcPr>
          <w:p>
            <w:pPr>
              <w:pStyle w:val="TableParagraph"/>
              <w:spacing w:line="241" w:lineRule="exact"/>
              <w:rPr>
                <w:sz w:val="22"/>
              </w:rPr>
            </w:pPr>
            <w:r>
              <w:rPr>
                <w:sz w:val="22"/>
              </w:rPr>
              <w:t>animal para no deshidratarse.</w:t>
            </w: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336" w:val="left" w:leader="none"/>
                <w:tab w:pos="1712" w:val="left" w:leader="none"/>
              </w:tabs>
              <w:spacing w:line="242" w:lineRule="exact"/>
              <w:ind w:left="100"/>
              <w:rPr>
                <w:sz w:val="22"/>
              </w:rPr>
            </w:pPr>
            <w:r>
              <w:rPr>
                <w:sz w:val="22"/>
              </w:rPr>
              <w:t>hectáreas</w:t>
              <w:tab/>
              <w:t>y</w:t>
              <w:tab/>
              <w:t>sería</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74" w:val="left" w:leader="none"/>
                <w:tab w:pos="1958" w:val="left" w:leader="none"/>
              </w:tabs>
              <w:spacing w:line="241" w:lineRule="exact"/>
              <w:ind w:left="100"/>
              <w:rPr>
                <w:sz w:val="22"/>
              </w:rPr>
            </w:pPr>
            <w:r>
              <w:rPr>
                <w:sz w:val="22"/>
              </w:rPr>
              <w:t>una</w:t>
              <w:tab/>
              <w:t>producción</w:t>
              <w:tab/>
              <w:t>en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516" w:val="left" w:leader="none"/>
              </w:tabs>
              <w:spacing w:line="241" w:lineRule="exact"/>
              <w:ind w:left="100"/>
              <w:rPr>
                <w:sz w:val="22"/>
              </w:rPr>
            </w:pPr>
            <w:r>
              <w:rPr>
                <w:sz w:val="22"/>
              </w:rPr>
              <w:t>abundancia</w:t>
              <w:tab/>
              <w:t>porque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880" w:val="left" w:leader="none"/>
                <w:tab w:pos="1964" w:val="left" w:leader="none"/>
              </w:tabs>
              <w:spacing w:line="242" w:lineRule="exact"/>
              <w:ind w:left="100"/>
              <w:rPr>
                <w:sz w:val="22"/>
              </w:rPr>
            </w:pPr>
            <w:r>
              <w:rPr>
                <w:sz w:val="22"/>
              </w:rPr>
              <w:t>la</w:t>
              <w:tab/>
              <w:t>zona</w:t>
              <w:tab/>
              <w:t>es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considerada </w:t>
            </w:r>
            <w:r>
              <w:rPr>
                <w:spacing w:val="55"/>
                <w:sz w:val="22"/>
              </w:rPr>
              <w:t> </w:t>
            </w:r>
            <w:r>
              <w:rPr>
                <w:sz w:val="22"/>
              </w:rPr>
              <w:t>lechera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y en la actualidad  no</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91" w:val="left" w:leader="none"/>
                <w:tab w:pos="2029" w:val="left" w:leader="none"/>
              </w:tabs>
              <w:spacing w:line="241" w:lineRule="exact"/>
              <w:ind w:left="100"/>
              <w:rPr>
                <w:sz w:val="22"/>
              </w:rPr>
            </w:pPr>
            <w:r>
              <w:rPr>
                <w:sz w:val="22"/>
              </w:rPr>
              <w:t>se</w:t>
              <w:tab/>
              <w:t>siembra</w:t>
              <w:tab/>
              <w:t>lo</w:t>
            </w:r>
          </w:p>
        </w:tc>
        <w:tc>
          <w:tcPr>
            <w:tcW w:w="3901" w:type="dxa"/>
            <w:tcBorders>
              <w:top w:val="nil"/>
              <w:bottom w:val="nil"/>
            </w:tcBorders>
          </w:tcPr>
          <w:p>
            <w:pPr/>
          </w:p>
        </w:tc>
      </w:tr>
      <w:tr>
        <w:trPr>
          <w:trHeight w:val="379"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suficiente.</w:t>
            </w:r>
          </w:p>
        </w:tc>
        <w:tc>
          <w:tcPr>
            <w:tcW w:w="3901" w:type="dxa"/>
            <w:tcBorders>
              <w:top w:val="nil"/>
              <w:bottom w:val="nil"/>
            </w:tcBorders>
          </w:tcPr>
          <w:p>
            <w:pPr/>
          </w:p>
        </w:tc>
      </w:tr>
      <w:tr>
        <w:trPr>
          <w:trHeight w:val="380"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91" w:val="left" w:leader="none"/>
                <w:tab w:pos="1892" w:val="left" w:leader="none"/>
              </w:tabs>
              <w:spacing w:before="115"/>
              <w:ind w:left="100"/>
              <w:rPr>
                <w:sz w:val="22"/>
              </w:rPr>
            </w:pPr>
            <w:r>
              <w:rPr>
                <w:sz w:val="22"/>
              </w:rPr>
              <w:t>La</w:t>
              <w:tab/>
              <w:t>laguna</w:t>
              <w:tab/>
              <w:t>fue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construida   a  finales</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de 1800 en la  época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698" w:val="left" w:leader="none"/>
                <w:tab w:pos="1331" w:val="left" w:leader="none"/>
              </w:tabs>
              <w:spacing w:line="241" w:lineRule="exact"/>
              <w:ind w:left="100"/>
              <w:rPr>
                <w:sz w:val="22"/>
              </w:rPr>
            </w:pPr>
            <w:r>
              <w:rPr>
                <w:sz w:val="22"/>
              </w:rPr>
              <w:t>de</w:t>
              <w:tab/>
              <w:t>los</w:t>
              <w:tab/>
              <w:t>Jesuitas,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432" w:val="left" w:leader="none"/>
              </w:tabs>
              <w:spacing w:line="242" w:lineRule="exact"/>
              <w:ind w:left="100"/>
              <w:rPr>
                <w:sz w:val="22"/>
              </w:rPr>
            </w:pPr>
            <w:r>
              <w:rPr>
                <w:sz w:val="22"/>
              </w:rPr>
              <w:t>aunque</w:t>
              <w:tab/>
              <w:t>algunos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comentan   que  data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de  la  Colonia,  tiene</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943" w:val="left" w:leader="none"/>
                <w:tab w:pos="1958" w:val="left" w:leader="none"/>
              </w:tabs>
              <w:spacing w:line="241" w:lineRule="exact"/>
              <w:ind w:left="100"/>
              <w:rPr>
                <w:sz w:val="22"/>
              </w:rPr>
            </w:pPr>
            <w:r>
              <w:rPr>
                <w:sz w:val="22"/>
              </w:rPr>
              <w:t>500</w:t>
              <w:tab/>
              <w:t>años;</w:t>
              <w:tab/>
              <w:t>en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Arroyozarco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comentan que era un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hostal en su tiempo y</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767" w:val="left" w:leader="none"/>
                <w:tab w:pos="1417" w:val="left" w:leader="none"/>
              </w:tabs>
              <w:spacing w:line="242" w:lineRule="exact"/>
              <w:ind w:left="100"/>
              <w:rPr>
                <w:sz w:val="22"/>
              </w:rPr>
            </w:pPr>
            <w:r>
              <w:rPr>
                <w:sz w:val="22"/>
              </w:rPr>
              <w:t>que</w:t>
              <w:tab/>
              <w:t>hay</w:t>
              <w:tab/>
              <w:t>pinturas</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originales  de Carlota</w:t>
            </w:r>
          </w:p>
        </w:tc>
        <w:tc>
          <w:tcPr>
            <w:tcW w:w="3901" w:type="dxa"/>
            <w:tcBorders>
              <w:top w:val="nil"/>
              <w:bottom w:val="nil"/>
            </w:tcBorders>
          </w:tcPr>
          <w:p>
            <w:pPr/>
          </w:p>
        </w:tc>
      </w:tr>
      <w:tr>
        <w:trPr>
          <w:trHeight w:val="248"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tabs>
                <w:tab w:pos="978" w:val="left" w:leader="none"/>
              </w:tabs>
              <w:spacing w:line="242" w:lineRule="exact"/>
              <w:ind w:left="100"/>
              <w:rPr>
                <w:sz w:val="22"/>
              </w:rPr>
            </w:pPr>
            <w:r>
              <w:rPr>
                <w:sz w:val="22"/>
              </w:rPr>
              <w:t>y</w:t>
              <w:tab/>
              <w:t>Maximiliano,</w:t>
            </w:r>
          </w:p>
        </w:tc>
        <w:tc>
          <w:tcPr>
            <w:tcW w:w="3901" w:type="dxa"/>
            <w:tcBorders>
              <w:top w:val="nil"/>
            </w:tcBorders>
          </w:tcPr>
          <w:p>
            <w:pPr/>
          </w:p>
        </w:tc>
      </w:tr>
    </w:tbl>
    <w:p>
      <w:pPr>
        <w:spacing w:after="0"/>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768" w:hRule="exact"/>
        </w:trPr>
        <w:tc>
          <w:tcPr>
            <w:tcW w:w="1385" w:type="dxa"/>
          </w:tcPr>
          <w:p>
            <w:pP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tabs>
                <w:tab w:pos="1893" w:val="left" w:leader="none"/>
              </w:tabs>
              <w:spacing w:line="250" w:lineRule="exact"/>
              <w:ind w:left="100"/>
              <w:rPr>
                <w:sz w:val="22"/>
              </w:rPr>
            </w:pPr>
            <w:r>
              <w:rPr>
                <w:sz w:val="22"/>
              </w:rPr>
              <w:t>además</w:t>
              <w:tab/>
              <w:t>fue</w:t>
            </w:r>
          </w:p>
          <w:p>
            <w:pPr>
              <w:pStyle w:val="TableParagraph"/>
              <w:tabs>
                <w:tab w:pos="2030" w:val="left" w:leader="none"/>
              </w:tabs>
              <w:ind w:left="100" w:right="100"/>
              <w:rPr>
                <w:sz w:val="22"/>
              </w:rPr>
            </w:pPr>
            <w:r>
              <w:rPr>
                <w:sz w:val="22"/>
              </w:rPr>
              <w:t>considerada</w:t>
              <w:tab/>
              <w:t>el primer</w:t>
            </w:r>
            <w:r>
              <w:rPr>
                <w:spacing w:val="-1"/>
                <w:sz w:val="22"/>
              </w:rPr>
              <w:t> </w:t>
            </w:r>
            <w:r>
              <w:rPr>
                <w:sz w:val="22"/>
              </w:rPr>
              <w:t>granero.</w:t>
            </w:r>
          </w:p>
        </w:tc>
        <w:tc>
          <w:tcPr>
            <w:tcW w:w="3901" w:type="dxa"/>
          </w:tcPr>
          <w:p>
            <w:pPr/>
          </w:p>
        </w:tc>
      </w:tr>
      <w:tr>
        <w:trPr>
          <w:trHeight w:val="5576" w:hRule="exact"/>
        </w:trPr>
        <w:tc>
          <w:tcPr>
            <w:tcW w:w="1385" w:type="dxa"/>
          </w:tcPr>
          <w:p>
            <w:pPr>
              <w:pStyle w:val="TableParagraph"/>
              <w:rPr>
                <w:sz w:val="22"/>
              </w:rPr>
            </w:pPr>
            <w:r>
              <w:rPr>
                <w:sz w:val="22"/>
              </w:rPr>
              <w:t>Jaime Ruiz Martínez (17/7/2014)</w:t>
            </w:r>
          </w:p>
        </w:tc>
        <w:tc>
          <w:tcPr>
            <w:tcW w:w="1274" w:type="dxa"/>
          </w:tcPr>
          <w:p>
            <w:pPr>
              <w:pStyle w:val="TableParagraph"/>
              <w:spacing w:line="251" w:lineRule="exact"/>
              <w:ind w:left="104" w:right="105"/>
              <w:jc w:val="center"/>
              <w:rPr>
                <w:sz w:val="22"/>
              </w:rPr>
            </w:pPr>
            <w:r>
              <w:rPr>
                <w:sz w:val="22"/>
              </w:rPr>
              <w:t>N/C</w:t>
            </w:r>
          </w:p>
        </w:tc>
        <w:tc>
          <w:tcPr>
            <w:tcW w:w="1887" w:type="dxa"/>
          </w:tcPr>
          <w:p>
            <w:pPr>
              <w:pStyle w:val="TableParagraph"/>
              <w:spacing w:line="242" w:lineRule="auto"/>
              <w:ind w:right="101"/>
              <w:jc w:val="both"/>
              <w:rPr>
                <w:sz w:val="22"/>
              </w:rPr>
            </w:pPr>
            <w:r>
              <w:rPr>
                <w:sz w:val="22"/>
              </w:rPr>
              <w:t>Presidente de la Asociación    </w:t>
            </w:r>
            <w:r>
              <w:rPr>
                <w:spacing w:val="54"/>
                <w:sz w:val="22"/>
              </w:rPr>
              <w:t> </w:t>
            </w:r>
            <w:r>
              <w:rPr>
                <w:sz w:val="22"/>
              </w:rPr>
              <w:t>de</w:t>
            </w:r>
          </w:p>
          <w:p>
            <w:pPr>
              <w:pStyle w:val="TableParagraph"/>
              <w:spacing w:line="250" w:lineRule="exact"/>
              <w:jc w:val="both"/>
              <w:rPr>
                <w:sz w:val="22"/>
              </w:rPr>
            </w:pPr>
            <w:r>
              <w:rPr>
                <w:sz w:val="22"/>
              </w:rPr>
              <w:t>Usuarios        del</w:t>
            </w:r>
          </w:p>
          <w:p>
            <w:pPr>
              <w:pStyle w:val="TableParagraph"/>
              <w:spacing w:before="1"/>
              <w:ind w:right="101"/>
              <w:jc w:val="both"/>
              <w:rPr>
                <w:sz w:val="22"/>
              </w:rPr>
            </w:pPr>
            <w:r>
              <w:rPr>
                <w:sz w:val="22"/>
              </w:rPr>
              <w:t>Sistema de Riego Huapango Arroyo Zarco México S.A.</w:t>
            </w:r>
          </w:p>
        </w:tc>
        <w:tc>
          <w:tcPr>
            <w:tcW w:w="1289" w:type="dxa"/>
          </w:tcPr>
          <w:p>
            <w:pPr>
              <w:pStyle w:val="TableParagraph"/>
              <w:ind w:right="513"/>
              <w:jc w:val="both"/>
              <w:rPr>
                <w:sz w:val="22"/>
              </w:rPr>
            </w:pPr>
            <w:r>
              <w:rPr>
                <w:sz w:val="22"/>
              </w:rPr>
              <w:t>Arroyo Zarco, Aculco</w:t>
            </w:r>
          </w:p>
        </w:tc>
        <w:tc>
          <w:tcPr>
            <w:tcW w:w="1174" w:type="dxa"/>
          </w:tcPr>
          <w:p>
            <w:pPr>
              <w:pStyle w:val="TableParagraph"/>
              <w:ind w:right="398"/>
              <w:jc w:val="both"/>
              <w:rPr>
                <w:sz w:val="22"/>
              </w:rPr>
            </w:pPr>
            <w:r>
              <w:rPr>
                <w:sz w:val="22"/>
              </w:rPr>
              <w:t>Arroyo Zarco, Aculco</w:t>
            </w:r>
          </w:p>
        </w:tc>
        <w:tc>
          <w:tcPr>
            <w:tcW w:w="2314" w:type="dxa"/>
          </w:tcPr>
          <w:p>
            <w:pPr>
              <w:pStyle w:val="TableParagraph"/>
              <w:ind w:left="100" w:right="99"/>
              <w:jc w:val="both"/>
              <w:rPr>
                <w:sz w:val="22"/>
              </w:rPr>
            </w:pPr>
            <w:r>
              <w:rPr>
                <w:sz w:val="22"/>
              </w:rPr>
              <w:t>La laguna Huapango es importante para la región porque es una de las fuentes abastecedoras para el módulo de riego, es la laguna más grande, además de que el módulo de riego tiene otras lagunas como son San Antonio, El molino,       </w:t>
            </w:r>
            <w:r>
              <w:rPr>
                <w:spacing w:val="16"/>
                <w:sz w:val="22"/>
              </w:rPr>
              <w:t> </w:t>
            </w:r>
            <w:r>
              <w:rPr>
                <w:sz w:val="22"/>
              </w:rPr>
              <w:t>Chapala,</w:t>
            </w:r>
          </w:p>
          <w:p>
            <w:pPr>
              <w:pStyle w:val="TableParagraph"/>
              <w:tabs>
                <w:tab w:pos="1233" w:val="left" w:leader="none"/>
              </w:tabs>
              <w:spacing w:line="252" w:lineRule="exact" w:before="1"/>
              <w:ind w:left="100"/>
              <w:rPr>
                <w:sz w:val="22"/>
              </w:rPr>
            </w:pPr>
            <w:r>
              <w:rPr>
                <w:sz w:val="22"/>
              </w:rPr>
              <w:t>Loma,</w:t>
              <w:tab/>
              <w:t>Tashingu,</w:t>
            </w:r>
          </w:p>
          <w:p>
            <w:pPr>
              <w:pStyle w:val="TableParagraph"/>
              <w:tabs>
                <w:tab w:pos="1139" w:val="left" w:leader="none"/>
                <w:tab w:pos="1847" w:val="left" w:leader="none"/>
              </w:tabs>
              <w:spacing w:line="252" w:lineRule="exact"/>
              <w:ind w:left="100"/>
              <w:rPr>
                <w:sz w:val="22"/>
              </w:rPr>
            </w:pPr>
            <w:r>
              <w:rPr>
                <w:sz w:val="22"/>
              </w:rPr>
              <w:t>donde</w:t>
              <w:tab/>
              <w:t>las</w:t>
              <w:tab/>
              <w:t>dos</w:t>
            </w:r>
          </w:p>
          <w:p>
            <w:pPr>
              <w:pStyle w:val="TableParagraph"/>
              <w:tabs>
                <w:tab w:pos="1957" w:val="left" w:leader="none"/>
              </w:tabs>
              <w:spacing w:line="253" w:lineRule="exact"/>
              <w:ind w:left="100"/>
              <w:rPr>
                <w:sz w:val="22"/>
              </w:rPr>
            </w:pPr>
            <w:r>
              <w:rPr>
                <w:sz w:val="22"/>
              </w:rPr>
              <w:t>primeras</w:t>
              <w:tab/>
              <w:t>en</w:t>
            </w:r>
          </w:p>
          <w:p>
            <w:pPr>
              <w:pStyle w:val="TableParagraph"/>
              <w:tabs>
                <w:tab w:pos="1321" w:val="left" w:leader="none"/>
                <w:tab w:pos="1970" w:val="left" w:leader="none"/>
                <w:tab w:pos="2029" w:val="left" w:leader="none"/>
              </w:tabs>
              <w:spacing w:before="1"/>
              <w:ind w:left="100" w:right="98"/>
              <w:rPr>
                <w:sz w:val="22"/>
              </w:rPr>
            </w:pPr>
            <w:r>
              <w:rPr>
                <w:sz w:val="22"/>
              </w:rPr>
              <w:t>ocasiones</w:t>
              <w:tab/>
              <w:tab/>
              <w:t>se recargan</w:t>
              <w:tab/>
              <w:t>con</w:t>
              <w:tab/>
              <w:tab/>
              <w:t>la laguna Huapango y las demás tienen su abastecimiento propio</w:t>
            </w:r>
            <w:r>
              <w:rPr>
                <w:spacing w:val="-4"/>
                <w:sz w:val="22"/>
              </w:rPr>
              <w:t> </w:t>
            </w:r>
            <w:r>
              <w:rPr>
                <w:sz w:val="22"/>
              </w:rPr>
              <w:t>(entradas).</w:t>
            </w:r>
          </w:p>
        </w:tc>
        <w:tc>
          <w:tcPr>
            <w:tcW w:w="3901" w:type="dxa"/>
          </w:tcPr>
          <w:p>
            <w:pPr>
              <w:pStyle w:val="TableParagraph"/>
              <w:ind w:right="99"/>
              <w:jc w:val="both"/>
              <w:rPr>
                <w:sz w:val="22"/>
              </w:rPr>
            </w:pPr>
            <w:r>
              <w:rPr>
                <w:sz w:val="22"/>
              </w:rPr>
              <w:t>Los municipios que riegan y sus respectivas comunidades son Aculco: Arroyo Zarco, Ejido de Santa María Nativitas, Santa Ana, El Bonxhí, Gunyó, El Azafran y Barrancas; Jilotepec: El Rosal, San Lorenzo y Mataxhi; Polotitlán:  Encinillas, Tashié, Ruano, San Antonio Polotitlán, San Antonio Escobedo, Celayita. También riegan el  Estado de Querétaro: El Cazadero e Hidalgo: Huichapan y Nopala. (13) Los usuarios pagan $125 por hectárea y no les es redituable porque necesitan de dos riegos sus parcelas y sólo tienen acceso al riego de presiembra.</w:t>
            </w:r>
          </w:p>
        </w:tc>
      </w:tr>
      <w:tr>
        <w:trPr>
          <w:trHeight w:val="516" w:hRule="exact"/>
        </w:trPr>
        <w:tc>
          <w:tcPr>
            <w:tcW w:w="4547" w:type="dxa"/>
            <w:gridSpan w:val="3"/>
          </w:tcPr>
          <w:p>
            <w:pPr>
              <w:pStyle w:val="TableParagraph"/>
              <w:spacing w:line="242" w:lineRule="auto"/>
              <w:ind w:right="141"/>
              <w:rPr>
                <w:sz w:val="22"/>
              </w:rPr>
            </w:pPr>
            <w:r>
              <w:rPr>
                <w:sz w:val="22"/>
              </w:rPr>
              <w:t>Encargado de abrir la compuerta de la  presa Huapango para</w:t>
            </w:r>
            <w:r>
              <w:rPr>
                <w:spacing w:val="-10"/>
                <w:sz w:val="22"/>
              </w:rPr>
              <w:t> </w:t>
            </w:r>
            <w:r>
              <w:rPr>
                <w:sz w:val="22"/>
              </w:rPr>
              <w:t>riego.</w:t>
            </w:r>
          </w:p>
        </w:tc>
        <w:tc>
          <w:tcPr>
            <w:tcW w:w="8677" w:type="dxa"/>
            <w:gridSpan w:val="4"/>
          </w:tcPr>
          <w:p>
            <w:pPr>
              <w:pStyle w:val="TableParagraph"/>
              <w:spacing w:line="251" w:lineRule="exact"/>
              <w:rPr>
                <w:sz w:val="22"/>
              </w:rPr>
            </w:pPr>
            <w:r>
              <w:rPr>
                <w:sz w:val="22"/>
              </w:rPr>
              <w:t>No accedió a la entrevista porque necesitaba el permiso de sus superiores.</w:t>
            </w: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5"/>
        <w:ind w:left="2587" w:right="778"/>
      </w:pPr>
      <w:r>
        <w:rPr/>
        <w:t>Tabla 6.14. Actores Federales (Autoridades Federales)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7"/>
        <w:gridCol w:w="2462"/>
        <w:gridCol w:w="6215"/>
      </w:tblGrid>
      <w:tr>
        <w:trPr>
          <w:trHeight w:val="292" w:hRule="exact"/>
        </w:trPr>
        <w:tc>
          <w:tcPr>
            <w:tcW w:w="13224" w:type="dxa"/>
            <w:gridSpan w:val="3"/>
            <w:shd w:val="clear" w:color="auto" w:fill="9BBA58"/>
          </w:tcPr>
          <w:p>
            <w:pPr>
              <w:pStyle w:val="TableParagraph"/>
              <w:spacing w:line="249" w:lineRule="exact"/>
              <w:ind w:left="4869" w:right="4869"/>
              <w:jc w:val="center"/>
              <w:rPr>
                <w:b/>
                <w:sz w:val="22"/>
              </w:rPr>
            </w:pPr>
            <w:r>
              <w:rPr>
                <w:b/>
                <w:sz w:val="22"/>
              </w:rPr>
              <w:t>ACTORES FEDERALES</w:t>
            </w:r>
          </w:p>
        </w:tc>
      </w:tr>
      <w:tr>
        <w:trPr>
          <w:trHeight w:val="524" w:hRule="exact"/>
        </w:trPr>
        <w:tc>
          <w:tcPr>
            <w:tcW w:w="4547" w:type="dxa"/>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2"/>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263" w:hRule="exact"/>
        </w:trPr>
        <w:tc>
          <w:tcPr>
            <w:tcW w:w="4547" w:type="dxa"/>
            <w:vMerge/>
            <w:shd w:val="clear" w:color="auto" w:fill="F9BE8F"/>
          </w:tcPr>
          <w:p>
            <w:pPr/>
          </w:p>
        </w:tc>
        <w:tc>
          <w:tcPr>
            <w:tcW w:w="2462" w:type="dxa"/>
            <w:shd w:val="clear" w:color="auto" w:fill="92CDDC"/>
          </w:tcPr>
          <w:p>
            <w:pPr>
              <w:pStyle w:val="TableParagraph"/>
              <w:spacing w:line="252" w:lineRule="exact"/>
              <w:ind w:left="736"/>
              <w:rPr>
                <w:b/>
                <w:i/>
                <w:sz w:val="22"/>
              </w:rPr>
            </w:pPr>
            <w:r>
              <w:rPr>
                <w:b/>
                <w:i/>
                <w:sz w:val="22"/>
              </w:rPr>
              <w:t>Identidad</w:t>
            </w:r>
          </w:p>
        </w:tc>
        <w:tc>
          <w:tcPr>
            <w:tcW w:w="6215" w:type="dxa"/>
            <w:shd w:val="clear" w:color="auto" w:fill="92CDDC"/>
          </w:tcPr>
          <w:p>
            <w:pPr>
              <w:pStyle w:val="TableParagraph"/>
              <w:spacing w:line="252" w:lineRule="exact"/>
              <w:ind w:left="2697" w:right="2697"/>
              <w:jc w:val="center"/>
              <w:rPr>
                <w:b/>
                <w:i/>
                <w:sz w:val="22"/>
              </w:rPr>
            </w:pPr>
            <w:r>
              <w:rPr>
                <w:b/>
                <w:i/>
                <w:sz w:val="22"/>
              </w:rPr>
              <w:t>Cultura</w:t>
            </w:r>
          </w:p>
        </w:tc>
      </w:tr>
    </w:tbl>
    <w:p>
      <w:pPr>
        <w:spacing w:after="0" w:line="252" w:lineRule="exact"/>
        <w:jc w:val="center"/>
        <w:rPr>
          <w:sz w:val="22"/>
        </w:rPr>
        <w:sectPr>
          <w:pgSz w:w="15840" w:h="12240" w:orient="landscape"/>
          <w:pgMar w:header="0" w:footer="943" w:top="1140" w:bottom="114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6215"/>
      </w:tblGrid>
      <w:tr>
        <w:trPr>
          <w:trHeight w:val="768"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52" w:lineRule="exact"/>
              <w:ind w:left="100" w:right="93"/>
              <w:rPr>
                <w:b/>
                <w:sz w:val="22"/>
              </w:rPr>
            </w:pPr>
            <w:r>
              <w:rPr>
                <w:b/>
                <w:sz w:val="22"/>
              </w:rPr>
              <w:t>Nivel Educativo</w:t>
            </w:r>
          </w:p>
        </w:tc>
        <w:tc>
          <w:tcPr>
            <w:tcW w:w="1887" w:type="dxa"/>
            <w:shd w:val="clear" w:color="auto" w:fill="F9BE8F"/>
          </w:tcPr>
          <w:p>
            <w:pPr>
              <w:pStyle w:val="TableParagraph"/>
              <w:spacing w:line="248" w:lineRule="exact"/>
              <w:rPr>
                <w:b/>
                <w:sz w:val="22"/>
              </w:rPr>
            </w:pPr>
            <w:r>
              <w:rPr>
                <w:b/>
                <w:sz w:val="22"/>
              </w:rPr>
              <w:t>Cargo Público</w:t>
            </w:r>
          </w:p>
        </w:tc>
        <w:tc>
          <w:tcPr>
            <w:tcW w:w="1289" w:type="dxa"/>
            <w:shd w:val="clear" w:color="auto" w:fill="92CDDC"/>
          </w:tcPr>
          <w:p>
            <w:pPr>
              <w:pStyle w:val="TableParagraph"/>
              <w:spacing w:line="252" w:lineRule="exact"/>
              <w:ind w:right="337"/>
              <w:rPr>
                <w:b/>
                <w:sz w:val="22"/>
              </w:rPr>
            </w:pPr>
            <w:r>
              <w:rPr>
                <w:b/>
                <w:sz w:val="22"/>
              </w:rPr>
              <w:t>¿Dónde nació?</w:t>
            </w:r>
          </w:p>
        </w:tc>
        <w:tc>
          <w:tcPr>
            <w:tcW w:w="1174" w:type="dxa"/>
            <w:shd w:val="clear" w:color="auto" w:fill="92CDDC"/>
          </w:tcPr>
          <w:p>
            <w:pPr>
              <w:pStyle w:val="TableParagraph"/>
              <w:spacing w:line="252" w:lineRule="exact"/>
              <w:ind w:right="222"/>
              <w:rPr>
                <w:b/>
                <w:sz w:val="22"/>
              </w:rPr>
            </w:pPr>
            <w:r>
              <w:rPr>
                <w:b/>
                <w:sz w:val="22"/>
              </w:rPr>
              <w:t>¿Dónde vive?</w:t>
            </w:r>
          </w:p>
        </w:tc>
        <w:tc>
          <w:tcPr>
            <w:tcW w:w="6215" w:type="dxa"/>
            <w:shd w:val="clear" w:color="auto" w:fill="92CDDC"/>
          </w:tcPr>
          <w:p>
            <w:pPr>
              <w:pStyle w:val="TableParagraph"/>
              <w:spacing w:line="252" w:lineRule="exact"/>
              <w:ind w:left="100" w:right="1194"/>
              <w:rPr>
                <w:b/>
                <w:sz w:val="22"/>
              </w:rPr>
            </w:pPr>
            <w:r>
              <w:rPr>
                <w:b/>
                <w:sz w:val="22"/>
              </w:rPr>
              <w:t>¿Considera que se ha deteriorado la laguna de Huapango?</w:t>
            </w:r>
          </w:p>
        </w:tc>
      </w:tr>
      <w:tr>
        <w:trPr>
          <w:trHeight w:val="1274" w:hRule="exact"/>
        </w:trPr>
        <w:tc>
          <w:tcPr>
            <w:tcW w:w="1385" w:type="dxa"/>
          </w:tcPr>
          <w:p>
            <w:pPr>
              <w:pStyle w:val="TableParagraph"/>
              <w:ind w:right="127"/>
              <w:rPr>
                <w:sz w:val="22"/>
              </w:rPr>
            </w:pPr>
            <w:r>
              <w:rPr>
                <w:sz w:val="22"/>
              </w:rPr>
              <w:t>Raúl Rivas Castillo (13/II/2014)</w:t>
            </w:r>
          </w:p>
        </w:tc>
        <w:tc>
          <w:tcPr>
            <w:tcW w:w="1274" w:type="dxa"/>
          </w:tcPr>
          <w:p>
            <w:pPr>
              <w:pStyle w:val="TableParagraph"/>
              <w:spacing w:line="242" w:lineRule="auto"/>
              <w:ind w:left="100" w:right="227"/>
              <w:rPr>
                <w:sz w:val="22"/>
              </w:rPr>
            </w:pPr>
            <w:r>
              <w:rPr>
                <w:sz w:val="22"/>
              </w:rPr>
              <w:t>Ingeniero Civil</w:t>
            </w:r>
          </w:p>
        </w:tc>
        <w:tc>
          <w:tcPr>
            <w:tcW w:w="1887" w:type="dxa"/>
          </w:tcPr>
          <w:p>
            <w:pPr>
              <w:pStyle w:val="TableParagraph"/>
              <w:ind w:right="238"/>
              <w:rPr>
                <w:sz w:val="22"/>
              </w:rPr>
            </w:pPr>
            <w:r>
              <w:rPr>
                <w:sz w:val="22"/>
              </w:rPr>
              <w:t>Jefe del Distrito de Riego en el Estado de México</w:t>
            </w:r>
          </w:p>
        </w:tc>
        <w:tc>
          <w:tcPr>
            <w:tcW w:w="1289" w:type="dxa"/>
          </w:tcPr>
          <w:p>
            <w:pPr>
              <w:pStyle w:val="TableParagraph"/>
              <w:spacing w:line="242" w:lineRule="auto"/>
              <w:ind w:right="336"/>
              <w:rPr>
                <w:sz w:val="22"/>
              </w:rPr>
            </w:pPr>
            <w:r>
              <w:rPr>
                <w:sz w:val="22"/>
              </w:rPr>
              <w:t>Cuautla, Morelos</w:t>
            </w:r>
          </w:p>
        </w:tc>
        <w:tc>
          <w:tcPr>
            <w:tcW w:w="1174" w:type="dxa"/>
          </w:tcPr>
          <w:p>
            <w:pPr>
              <w:pStyle w:val="TableParagraph"/>
              <w:ind w:right="131"/>
              <w:rPr>
                <w:sz w:val="22"/>
              </w:rPr>
            </w:pPr>
            <w:r>
              <w:rPr>
                <w:sz w:val="22"/>
              </w:rPr>
              <w:t>Atlacomu lco, Estado de México</w:t>
            </w:r>
          </w:p>
        </w:tc>
        <w:tc>
          <w:tcPr>
            <w:tcW w:w="6215" w:type="dxa"/>
          </w:tcPr>
          <w:p>
            <w:pPr>
              <w:pStyle w:val="TableParagraph"/>
              <w:ind w:left="100" w:right="105"/>
              <w:jc w:val="both"/>
              <w:rPr>
                <w:sz w:val="22"/>
              </w:rPr>
            </w:pPr>
            <w:r>
              <w:rPr>
                <w:sz w:val="22"/>
              </w:rPr>
              <w:t>La laguna Huapango se ha deteriorado con el tiempo, seguramente tiene azolve, grietas por fenómenos naturales, aunque sólo con estudios podríamos saberlo con precisión.</w:t>
            </w:r>
          </w:p>
        </w:tc>
      </w:tr>
      <w:tr>
        <w:trPr>
          <w:trHeight w:val="1277" w:hRule="exact"/>
        </w:trPr>
        <w:tc>
          <w:tcPr>
            <w:tcW w:w="1385" w:type="dxa"/>
          </w:tcPr>
          <w:p>
            <w:pPr>
              <w:pStyle w:val="TableParagraph"/>
              <w:ind w:right="127"/>
              <w:rPr>
                <w:sz w:val="22"/>
              </w:rPr>
            </w:pPr>
            <w:r>
              <w:rPr>
                <w:sz w:val="22"/>
              </w:rPr>
              <w:t>Juan Manuel Alfaro Gómez (13/II/2014)</w:t>
            </w:r>
          </w:p>
        </w:tc>
        <w:tc>
          <w:tcPr>
            <w:tcW w:w="1274" w:type="dxa"/>
          </w:tcPr>
          <w:p>
            <w:pPr>
              <w:pStyle w:val="TableParagraph"/>
              <w:ind w:left="100" w:right="227"/>
              <w:rPr>
                <w:sz w:val="22"/>
              </w:rPr>
            </w:pPr>
            <w:r>
              <w:rPr>
                <w:sz w:val="22"/>
              </w:rPr>
              <w:t>Ingeniero Civil</w:t>
            </w:r>
          </w:p>
        </w:tc>
        <w:tc>
          <w:tcPr>
            <w:tcW w:w="1887" w:type="dxa"/>
          </w:tcPr>
          <w:p>
            <w:pPr>
              <w:pStyle w:val="TableParagraph"/>
              <w:ind w:right="702"/>
              <w:rPr>
                <w:sz w:val="22"/>
              </w:rPr>
            </w:pPr>
            <w:r>
              <w:rPr>
                <w:sz w:val="22"/>
              </w:rPr>
              <w:t>Subjefe de Operación</w:t>
            </w:r>
          </w:p>
        </w:tc>
        <w:tc>
          <w:tcPr>
            <w:tcW w:w="1289" w:type="dxa"/>
          </w:tcPr>
          <w:p>
            <w:pPr>
              <w:pStyle w:val="TableParagraph"/>
              <w:ind w:right="129"/>
              <w:rPr>
                <w:sz w:val="22"/>
              </w:rPr>
            </w:pPr>
            <w:r>
              <w:rPr>
                <w:sz w:val="22"/>
              </w:rPr>
              <w:t>Tamaulipa s</w:t>
            </w:r>
          </w:p>
        </w:tc>
        <w:tc>
          <w:tcPr>
            <w:tcW w:w="1174" w:type="dxa"/>
          </w:tcPr>
          <w:p>
            <w:pPr>
              <w:pStyle w:val="TableParagraph"/>
              <w:ind w:right="131"/>
              <w:rPr>
                <w:sz w:val="22"/>
              </w:rPr>
            </w:pPr>
            <w:r>
              <w:rPr>
                <w:sz w:val="22"/>
              </w:rPr>
              <w:t>Atlacomu lco, Estado de México</w:t>
            </w:r>
          </w:p>
        </w:tc>
        <w:tc>
          <w:tcPr>
            <w:tcW w:w="6215" w:type="dxa"/>
          </w:tcPr>
          <w:p>
            <w:pPr>
              <w:pStyle w:val="TableParagraph"/>
              <w:ind w:left="100" w:right="230"/>
              <w:jc w:val="both"/>
              <w:rPr>
                <w:sz w:val="22"/>
              </w:rPr>
            </w:pPr>
            <w:r>
              <w:rPr>
                <w:sz w:val="22"/>
              </w:rPr>
              <w:t>La cortina no porque se ha tratado de mantener, pero en los alrededores se ha erosionado porque no escurre, ya que no hay lluvias.</w:t>
            </w:r>
          </w:p>
        </w:tc>
      </w:tr>
      <w:tr>
        <w:trPr>
          <w:trHeight w:val="1781" w:hRule="exact"/>
        </w:trPr>
        <w:tc>
          <w:tcPr>
            <w:tcW w:w="1385" w:type="dxa"/>
          </w:tcPr>
          <w:p>
            <w:pPr>
              <w:pStyle w:val="TableParagraph"/>
              <w:rPr>
                <w:sz w:val="22"/>
              </w:rPr>
            </w:pPr>
            <w:r>
              <w:rPr>
                <w:sz w:val="22"/>
              </w:rPr>
              <w:t>Jaime Ruiz Martínez (17/7/2014)</w:t>
            </w:r>
          </w:p>
        </w:tc>
        <w:tc>
          <w:tcPr>
            <w:tcW w:w="1274" w:type="dxa"/>
          </w:tcPr>
          <w:p>
            <w:pPr>
              <w:pStyle w:val="TableParagraph"/>
              <w:spacing w:line="251" w:lineRule="exact"/>
              <w:ind w:left="104" w:right="105"/>
              <w:jc w:val="center"/>
              <w:rPr>
                <w:sz w:val="22"/>
              </w:rPr>
            </w:pPr>
            <w:r>
              <w:rPr>
                <w:sz w:val="22"/>
              </w:rPr>
              <w:t>N/C</w:t>
            </w:r>
          </w:p>
        </w:tc>
        <w:tc>
          <w:tcPr>
            <w:tcW w:w="1887" w:type="dxa"/>
          </w:tcPr>
          <w:p>
            <w:pPr>
              <w:pStyle w:val="TableParagraph"/>
              <w:spacing w:line="252" w:lineRule="exact" w:before="2"/>
              <w:ind w:right="101"/>
              <w:jc w:val="both"/>
              <w:rPr>
                <w:sz w:val="22"/>
              </w:rPr>
            </w:pPr>
            <w:r>
              <w:rPr>
                <w:sz w:val="22"/>
              </w:rPr>
              <w:t>Presidente de la Asociación    </w:t>
            </w:r>
            <w:r>
              <w:rPr>
                <w:spacing w:val="54"/>
                <w:sz w:val="22"/>
              </w:rPr>
              <w:t> </w:t>
            </w:r>
            <w:r>
              <w:rPr>
                <w:sz w:val="22"/>
              </w:rPr>
              <w:t>de</w:t>
            </w:r>
          </w:p>
          <w:p>
            <w:pPr>
              <w:pStyle w:val="TableParagraph"/>
              <w:spacing w:line="250" w:lineRule="exact"/>
              <w:jc w:val="both"/>
              <w:rPr>
                <w:sz w:val="22"/>
              </w:rPr>
            </w:pPr>
            <w:r>
              <w:rPr>
                <w:sz w:val="22"/>
              </w:rPr>
              <w:t>Usuarios        del</w:t>
            </w:r>
          </w:p>
          <w:p>
            <w:pPr>
              <w:pStyle w:val="TableParagraph"/>
              <w:ind w:right="101"/>
              <w:jc w:val="both"/>
              <w:rPr>
                <w:sz w:val="22"/>
              </w:rPr>
            </w:pPr>
            <w:r>
              <w:rPr>
                <w:sz w:val="22"/>
              </w:rPr>
              <w:t>Sistema de Riego Huapango Arroyo Zarco México S.A.</w:t>
            </w:r>
          </w:p>
        </w:tc>
        <w:tc>
          <w:tcPr>
            <w:tcW w:w="1289" w:type="dxa"/>
          </w:tcPr>
          <w:p>
            <w:pPr>
              <w:pStyle w:val="TableParagraph"/>
              <w:ind w:right="513"/>
              <w:jc w:val="both"/>
              <w:rPr>
                <w:sz w:val="22"/>
              </w:rPr>
            </w:pPr>
            <w:r>
              <w:rPr>
                <w:sz w:val="22"/>
              </w:rPr>
              <w:t>Arroyo Zarco, Aculco</w:t>
            </w:r>
          </w:p>
        </w:tc>
        <w:tc>
          <w:tcPr>
            <w:tcW w:w="1174" w:type="dxa"/>
          </w:tcPr>
          <w:p>
            <w:pPr>
              <w:pStyle w:val="TableParagraph"/>
              <w:ind w:right="398"/>
              <w:jc w:val="both"/>
              <w:rPr>
                <w:sz w:val="22"/>
              </w:rPr>
            </w:pPr>
            <w:r>
              <w:rPr>
                <w:sz w:val="22"/>
              </w:rPr>
              <w:t>Arroyo Zarco, Aculco</w:t>
            </w:r>
          </w:p>
        </w:tc>
        <w:tc>
          <w:tcPr>
            <w:tcW w:w="6215" w:type="dxa"/>
          </w:tcPr>
          <w:p>
            <w:pPr>
              <w:pStyle w:val="TableParagraph"/>
              <w:spacing w:line="251" w:lineRule="exact"/>
              <w:ind w:left="100" w:right="105"/>
              <w:rPr>
                <w:sz w:val="22"/>
              </w:rPr>
            </w:pPr>
            <w:r>
              <w:rPr>
                <w:sz w:val="22"/>
              </w:rPr>
              <w:t>La laguna no se ha deteriorado con el tiempo.</w:t>
            </w:r>
          </w:p>
        </w:tc>
      </w:tr>
      <w:tr>
        <w:trPr>
          <w:trHeight w:val="516" w:hRule="exact"/>
        </w:trPr>
        <w:tc>
          <w:tcPr>
            <w:tcW w:w="4547" w:type="dxa"/>
            <w:gridSpan w:val="3"/>
          </w:tcPr>
          <w:p>
            <w:pPr>
              <w:pStyle w:val="TableParagraph"/>
              <w:spacing w:line="252" w:lineRule="exact" w:before="2"/>
              <w:ind w:right="141"/>
              <w:rPr>
                <w:sz w:val="22"/>
              </w:rPr>
            </w:pPr>
            <w:r>
              <w:rPr>
                <w:sz w:val="22"/>
              </w:rPr>
              <w:t>Encargado de abrir la compuerta de la  presa Huapango para</w:t>
            </w:r>
            <w:r>
              <w:rPr>
                <w:spacing w:val="-10"/>
                <w:sz w:val="22"/>
              </w:rPr>
              <w:t> </w:t>
            </w:r>
            <w:r>
              <w:rPr>
                <w:sz w:val="22"/>
              </w:rPr>
              <w:t>riego.</w:t>
            </w:r>
          </w:p>
        </w:tc>
        <w:tc>
          <w:tcPr>
            <w:tcW w:w="8677" w:type="dxa"/>
            <w:gridSpan w:val="3"/>
          </w:tcPr>
          <w:p>
            <w:pPr>
              <w:pStyle w:val="TableParagraph"/>
              <w:spacing w:line="251" w:lineRule="exact"/>
              <w:rPr>
                <w:sz w:val="22"/>
              </w:rPr>
            </w:pPr>
            <w:r>
              <w:rPr>
                <w:sz w:val="22"/>
              </w:rPr>
              <w:t>No accedió a la entrevista porque necesitaba el permiso de sus superiores.</w:t>
            </w:r>
          </w:p>
        </w:tc>
      </w:tr>
    </w:tbl>
    <w:p>
      <w:pPr>
        <w:pStyle w:val="BodyText"/>
        <w:spacing w:line="248" w:lineRule="exact"/>
        <w:ind w:left="218" w:right="778"/>
      </w:pPr>
      <w:r>
        <w:rPr>
          <w:b/>
        </w:rPr>
        <w:t>Fuente: </w:t>
      </w:r>
      <w:r>
        <w:rPr/>
        <w:t>Elaboración propia con base en el Trabajo de Campo, García (2013-2015).</w:t>
      </w:r>
    </w:p>
    <w:p>
      <w:pPr>
        <w:pStyle w:val="BodyText"/>
        <w:spacing w:before="6"/>
        <w:rPr>
          <w:sz w:val="20"/>
        </w:rPr>
      </w:pPr>
    </w:p>
    <w:p>
      <w:pPr>
        <w:pStyle w:val="Heading6"/>
        <w:spacing w:after="6"/>
        <w:ind w:left="2587" w:right="778"/>
      </w:pPr>
      <w:r>
        <w:rPr/>
        <w:t>Tabla 6.14. Actores Federales (Autoridades Federales)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290" w:hRule="exact"/>
        </w:trPr>
        <w:tc>
          <w:tcPr>
            <w:tcW w:w="13224" w:type="dxa"/>
            <w:gridSpan w:val="7"/>
            <w:shd w:val="clear" w:color="auto" w:fill="9BBA58"/>
          </w:tcPr>
          <w:p>
            <w:pPr>
              <w:pStyle w:val="TableParagraph"/>
              <w:spacing w:line="248" w:lineRule="exact"/>
              <w:ind w:left="4869" w:right="4869"/>
              <w:jc w:val="center"/>
              <w:rPr>
                <w:b/>
                <w:sz w:val="22"/>
              </w:rPr>
            </w:pPr>
            <w:r>
              <w:rPr>
                <w:b/>
                <w:sz w:val="22"/>
              </w:rPr>
              <w:t>ACTORES FEDERALES</w:t>
            </w:r>
          </w:p>
        </w:tc>
      </w:tr>
      <w:tr>
        <w:trPr>
          <w:trHeight w:val="526" w:hRule="exact"/>
        </w:trPr>
        <w:tc>
          <w:tcPr>
            <w:tcW w:w="4547" w:type="dxa"/>
            <w:gridSpan w:val="3"/>
            <w:vMerge w:val="restart"/>
            <w:shd w:val="clear" w:color="auto" w:fill="F9BE8F"/>
          </w:tcPr>
          <w:p>
            <w:pPr>
              <w:pStyle w:val="TableParagraph"/>
              <w:spacing w:before="8"/>
              <w:ind w:left="0"/>
              <w:rPr>
                <w:b/>
                <w:sz w:val="21"/>
              </w:rPr>
            </w:pPr>
          </w:p>
          <w:p>
            <w:pPr>
              <w:pStyle w:val="TableParagraph"/>
              <w:ind w:left="703" w:right="141"/>
              <w:rPr>
                <w:b/>
                <w:sz w:val="22"/>
              </w:rPr>
            </w:pPr>
            <w:r>
              <w:rPr>
                <w:b/>
                <w:sz w:val="22"/>
              </w:rPr>
              <w:t>IDENTIFICACIÓN DEL ACTOR</w:t>
            </w:r>
          </w:p>
        </w:tc>
        <w:tc>
          <w:tcPr>
            <w:tcW w:w="8677" w:type="dxa"/>
            <w:gridSpan w:val="4"/>
            <w:shd w:val="clear" w:color="auto" w:fill="92CDDC"/>
          </w:tcPr>
          <w:p>
            <w:pPr>
              <w:pStyle w:val="TableParagraph"/>
              <w:spacing w:before="8"/>
              <w:ind w:left="0"/>
              <w:rPr>
                <w:b/>
                <w:sz w:val="21"/>
              </w:rPr>
            </w:pPr>
          </w:p>
          <w:p>
            <w:pPr>
              <w:pStyle w:val="TableParagraph"/>
              <w:ind w:left="2695"/>
              <w:rPr>
                <w:b/>
                <w:sz w:val="22"/>
              </w:rPr>
            </w:pPr>
            <w:r>
              <w:rPr>
                <w:b/>
                <w:sz w:val="22"/>
              </w:rPr>
              <w:t>PRINCIPIOS DE GOBERNANZA</w:t>
            </w:r>
          </w:p>
        </w:tc>
      </w:tr>
      <w:tr>
        <w:trPr>
          <w:trHeight w:val="1022" w:hRule="exact"/>
        </w:trPr>
        <w:tc>
          <w:tcPr>
            <w:tcW w:w="4547" w:type="dxa"/>
            <w:gridSpan w:val="3"/>
            <w:vMerge/>
            <w:shd w:val="clear" w:color="auto" w:fill="F9BE8F"/>
          </w:tcPr>
          <w:p>
            <w:pPr/>
          </w:p>
        </w:tc>
        <w:tc>
          <w:tcPr>
            <w:tcW w:w="2462" w:type="dxa"/>
            <w:gridSpan w:val="2"/>
            <w:shd w:val="clear" w:color="auto" w:fill="92CDDC"/>
          </w:tcPr>
          <w:p>
            <w:pPr>
              <w:pStyle w:val="TableParagraph"/>
              <w:spacing w:line="251" w:lineRule="exact"/>
              <w:ind w:left="736"/>
              <w:rPr>
                <w:b/>
                <w:i/>
                <w:sz w:val="22"/>
              </w:rPr>
            </w:pPr>
            <w:r>
              <w:rPr>
                <w:b/>
                <w:i/>
                <w:sz w:val="22"/>
              </w:rPr>
              <w:t>Identidad</w:t>
            </w:r>
          </w:p>
        </w:tc>
        <w:tc>
          <w:tcPr>
            <w:tcW w:w="2314" w:type="dxa"/>
            <w:shd w:val="clear" w:color="auto" w:fill="92CDDC"/>
          </w:tcPr>
          <w:p>
            <w:pPr>
              <w:pStyle w:val="TableParagraph"/>
              <w:ind w:left="100" w:right="179"/>
              <w:rPr>
                <w:b/>
                <w:i/>
                <w:sz w:val="22"/>
              </w:rPr>
            </w:pPr>
            <w:r>
              <w:rPr>
                <w:b/>
                <w:i/>
                <w:sz w:val="22"/>
              </w:rPr>
              <w:t>Cooperación, </w:t>
            </w:r>
            <w:r>
              <w:rPr>
                <w:b/>
                <w:i/>
                <w:sz w:val="22"/>
              </w:rPr>
              <w:t>democracia y voluntariedad de la sociedad</w:t>
            </w:r>
          </w:p>
        </w:tc>
        <w:tc>
          <w:tcPr>
            <w:tcW w:w="3901" w:type="dxa"/>
            <w:shd w:val="clear" w:color="auto" w:fill="92CDDC"/>
          </w:tcPr>
          <w:p>
            <w:pPr>
              <w:pStyle w:val="TableParagraph"/>
              <w:spacing w:line="251" w:lineRule="exact"/>
              <w:rPr>
                <w:b/>
                <w:i/>
                <w:sz w:val="22"/>
              </w:rPr>
            </w:pPr>
            <w:r>
              <w:rPr>
                <w:b/>
                <w:i/>
                <w:sz w:val="22"/>
              </w:rPr>
              <w:t>Poder</w:t>
            </w:r>
          </w:p>
        </w:tc>
      </w:tr>
      <w:tr>
        <w:trPr>
          <w:trHeight w:val="524" w:hRule="exact"/>
        </w:trPr>
        <w:tc>
          <w:tcPr>
            <w:tcW w:w="1385" w:type="dxa"/>
            <w:shd w:val="clear" w:color="auto" w:fill="F9BE8F"/>
          </w:tcPr>
          <w:p>
            <w:pPr>
              <w:pStyle w:val="TableParagraph"/>
              <w:spacing w:line="252" w:lineRule="exact" w:before="1"/>
              <w:ind w:right="237"/>
              <w:rPr>
                <w:b/>
                <w:sz w:val="22"/>
              </w:rPr>
            </w:pPr>
            <w:r>
              <w:rPr>
                <w:b/>
                <w:sz w:val="22"/>
              </w:rPr>
              <w:t>Nombre y Fecha de</w:t>
            </w:r>
          </w:p>
        </w:tc>
        <w:tc>
          <w:tcPr>
            <w:tcW w:w="1274" w:type="dxa"/>
            <w:shd w:val="clear" w:color="auto" w:fill="F9BE8F"/>
          </w:tcPr>
          <w:p>
            <w:pPr>
              <w:pStyle w:val="TableParagraph"/>
              <w:spacing w:line="252" w:lineRule="exact" w:before="1"/>
              <w:ind w:left="100" w:right="93"/>
              <w:rPr>
                <w:b/>
                <w:sz w:val="22"/>
              </w:rPr>
            </w:pPr>
            <w:r>
              <w:rPr>
                <w:b/>
                <w:sz w:val="22"/>
              </w:rPr>
              <w:t>Nivel Educativo</w:t>
            </w:r>
          </w:p>
        </w:tc>
        <w:tc>
          <w:tcPr>
            <w:tcW w:w="1887" w:type="dxa"/>
            <w:shd w:val="clear" w:color="auto" w:fill="F9BE8F"/>
          </w:tcPr>
          <w:p>
            <w:pPr>
              <w:pStyle w:val="TableParagraph"/>
              <w:spacing w:line="249" w:lineRule="exact"/>
              <w:rPr>
                <w:b/>
                <w:sz w:val="22"/>
              </w:rPr>
            </w:pPr>
            <w:r>
              <w:rPr>
                <w:b/>
                <w:sz w:val="22"/>
              </w:rPr>
              <w:t>Cargo Público</w:t>
            </w:r>
          </w:p>
        </w:tc>
        <w:tc>
          <w:tcPr>
            <w:tcW w:w="1289" w:type="dxa"/>
            <w:shd w:val="clear" w:color="auto" w:fill="92CDDC"/>
          </w:tcPr>
          <w:p>
            <w:pPr>
              <w:pStyle w:val="TableParagraph"/>
              <w:spacing w:line="252" w:lineRule="exact" w:before="1"/>
              <w:ind w:right="337"/>
              <w:rPr>
                <w:b/>
                <w:sz w:val="22"/>
              </w:rPr>
            </w:pPr>
            <w:r>
              <w:rPr>
                <w:b/>
                <w:sz w:val="22"/>
              </w:rPr>
              <w:t>¿Dónde nació?</w:t>
            </w:r>
          </w:p>
        </w:tc>
        <w:tc>
          <w:tcPr>
            <w:tcW w:w="1174" w:type="dxa"/>
            <w:shd w:val="clear" w:color="auto" w:fill="92CDDC"/>
          </w:tcPr>
          <w:p>
            <w:pPr>
              <w:pStyle w:val="TableParagraph"/>
              <w:spacing w:line="252" w:lineRule="exact" w:before="1"/>
              <w:ind w:right="222"/>
              <w:rPr>
                <w:b/>
                <w:sz w:val="22"/>
              </w:rPr>
            </w:pPr>
            <w:r>
              <w:rPr>
                <w:b/>
                <w:sz w:val="22"/>
              </w:rPr>
              <w:t>¿Dónde vive?</w:t>
            </w:r>
          </w:p>
        </w:tc>
        <w:tc>
          <w:tcPr>
            <w:tcW w:w="2314" w:type="dxa"/>
            <w:shd w:val="clear" w:color="auto" w:fill="92CDDC"/>
          </w:tcPr>
          <w:p>
            <w:pPr>
              <w:pStyle w:val="TableParagraph"/>
              <w:tabs>
                <w:tab w:pos="1259" w:val="left" w:leader="none"/>
              </w:tabs>
              <w:spacing w:line="252" w:lineRule="exact" w:before="1"/>
              <w:ind w:left="100" w:right="98"/>
              <w:rPr>
                <w:b/>
                <w:sz w:val="22"/>
              </w:rPr>
            </w:pPr>
            <w:r>
              <w:rPr>
                <w:b/>
                <w:sz w:val="22"/>
              </w:rPr>
              <w:t>¿Qué</w:t>
              <w:tab/>
              <w:t>acciones realiza  la </w:t>
            </w:r>
            <w:r>
              <w:rPr>
                <w:b/>
                <w:spacing w:val="41"/>
                <w:sz w:val="22"/>
              </w:rPr>
              <w:t> </w:t>
            </w:r>
            <w:r>
              <w:rPr>
                <w:b/>
                <w:sz w:val="22"/>
              </w:rPr>
              <w:t>Conagua</w:t>
            </w:r>
          </w:p>
        </w:tc>
        <w:tc>
          <w:tcPr>
            <w:tcW w:w="3901" w:type="dxa"/>
            <w:shd w:val="clear" w:color="auto" w:fill="92CDDC"/>
          </w:tcPr>
          <w:p>
            <w:pPr>
              <w:pStyle w:val="TableParagraph"/>
              <w:spacing w:line="252" w:lineRule="exact" w:before="1"/>
              <w:rPr>
                <w:b/>
                <w:sz w:val="22"/>
              </w:rPr>
            </w:pPr>
            <w:r>
              <w:rPr>
                <w:b/>
                <w:sz w:val="22"/>
              </w:rPr>
              <w:t>¿Existen problemas por el agua de la  laguna  de  Huapango  entre los</w:t>
            </w:r>
          </w:p>
        </w:tc>
      </w:tr>
    </w:tbl>
    <w:p>
      <w:pPr>
        <w:spacing w:after="0" w:line="252" w:lineRule="exact"/>
        <w:rPr>
          <w:sz w:val="22"/>
        </w:rPr>
        <w:sectPr>
          <w:pgSz w:w="15840" w:h="12240" w:orient="landscape"/>
          <w:pgMar w:header="0" w:footer="943" w:top="1140" w:bottom="120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768" w:hRule="exact"/>
        </w:trPr>
        <w:tc>
          <w:tcPr>
            <w:tcW w:w="1385" w:type="dxa"/>
            <w:shd w:val="clear" w:color="auto" w:fill="F9BE8F"/>
          </w:tcPr>
          <w:p>
            <w:pPr>
              <w:pStyle w:val="TableParagraph"/>
              <w:spacing w:line="248" w:lineRule="exact"/>
              <w:ind w:right="127"/>
              <w:rPr>
                <w:b/>
                <w:sz w:val="22"/>
              </w:rPr>
            </w:pPr>
            <w:r>
              <w:rPr>
                <w:b/>
                <w:sz w:val="22"/>
              </w:rPr>
              <w:t>Entrevista</w:t>
            </w:r>
          </w:p>
        </w:tc>
        <w:tc>
          <w:tcPr>
            <w:tcW w:w="1274" w:type="dxa"/>
            <w:shd w:val="clear" w:color="auto" w:fill="F9BE8F"/>
          </w:tcPr>
          <w:p>
            <w:pPr/>
          </w:p>
        </w:tc>
        <w:tc>
          <w:tcPr>
            <w:tcW w:w="1887" w:type="dxa"/>
            <w:shd w:val="clear" w:color="auto" w:fill="F9BE8F"/>
          </w:tcPr>
          <w:p>
            <w:pPr/>
          </w:p>
        </w:tc>
        <w:tc>
          <w:tcPr>
            <w:tcW w:w="1289" w:type="dxa"/>
            <w:shd w:val="clear" w:color="auto" w:fill="92CDDC"/>
          </w:tcPr>
          <w:p>
            <w:pPr/>
          </w:p>
        </w:tc>
        <w:tc>
          <w:tcPr>
            <w:tcW w:w="1174" w:type="dxa"/>
            <w:shd w:val="clear" w:color="auto" w:fill="92CDDC"/>
          </w:tcPr>
          <w:p>
            <w:pPr/>
          </w:p>
        </w:tc>
        <w:tc>
          <w:tcPr>
            <w:tcW w:w="2314" w:type="dxa"/>
            <w:shd w:val="clear" w:color="auto" w:fill="92CDDC"/>
          </w:tcPr>
          <w:p>
            <w:pPr>
              <w:pStyle w:val="TableParagraph"/>
              <w:ind w:left="100" w:right="98"/>
              <w:jc w:val="both"/>
              <w:rPr>
                <w:b/>
                <w:sz w:val="22"/>
              </w:rPr>
            </w:pPr>
            <w:r>
              <w:rPr>
                <w:b/>
                <w:sz w:val="22"/>
              </w:rPr>
              <w:t>para que no se deteriore la laguna de Huapango?</w:t>
            </w:r>
          </w:p>
        </w:tc>
        <w:tc>
          <w:tcPr>
            <w:tcW w:w="3901" w:type="dxa"/>
            <w:shd w:val="clear" w:color="auto" w:fill="92CDDC"/>
          </w:tcPr>
          <w:p>
            <w:pPr>
              <w:pStyle w:val="TableParagraph"/>
              <w:spacing w:line="252" w:lineRule="exact"/>
              <w:ind w:right="96"/>
              <w:rPr>
                <w:b/>
                <w:sz w:val="22"/>
              </w:rPr>
            </w:pPr>
            <w:r>
              <w:rPr>
                <w:b/>
                <w:sz w:val="22"/>
              </w:rPr>
              <w:t>habitantes de los municipios que se benefician de ella?</w:t>
            </w:r>
          </w:p>
        </w:tc>
      </w:tr>
      <w:tr>
        <w:trPr>
          <w:trHeight w:val="267" w:hRule="exact"/>
        </w:trPr>
        <w:tc>
          <w:tcPr>
            <w:tcW w:w="1385" w:type="dxa"/>
            <w:tcBorders>
              <w:bottom w:val="nil"/>
            </w:tcBorders>
          </w:tcPr>
          <w:p>
            <w:pPr>
              <w:pStyle w:val="TableParagraph"/>
              <w:spacing w:line="251" w:lineRule="exact"/>
              <w:ind w:right="127"/>
              <w:rPr>
                <w:sz w:val="22"/>
              </w:rPr>
            </w:pPr>
            <w:r>
              <w:rPr>
                <w:sz w:val="22"/>
              </w:rPr>
              <w:t>Raúl Rivas</w:t>
            </w:r>
          </w:p>
        </w:tc>
        <w:tc>
          <w:tcPr>
            <w:tcW w:w="1274" w:type="dxa"/>
            <w:tcBorders>
              <w:bottom w:val="nil"/>
            </w:tcBorders>
          </w:tcPr>
          <w:p>
            <w:pPr>
              <w:pStyle w:val="TableParagraph"/>
              <w:spacing w:line="251" w:lineRule="exact"/>
              <w:ind w:left="100" w:right="98"/>
              <w:rPr>
                <w:sz w:val="22"/>
              </w:rPr>
            </w:pPr>
            <w:r>
              <w:rPr>
                <w:sz w:val="22"/>
              </w:rPr>
              <w:t>Ingeniero</w:t>
            </w:r>
          </w:p>
        </w:tc>
        <w:tc>
          <w:tcPr>
            <w:tcW w:w="1887" w:type="dxa"/>
            <w:tcBorders>
              <w:bottom w:val="nil"/>
            </w:tcBorders>
          </w:tcPr>
          <w:p>
            <w:pPr>
              <w:pStyle w:val="TableParagraph"/>
              <w:spacing w:line="251" w:lineRule="exact"/>
              <w:rPr>
                <w:sz w:val="22"/>
              </w:rPr>
            </w:pPr>
            <w:r>
              <w:rPr>
                <w:sz w:val="22"/>
              </w:rPr>
              <w:t>Jefe del Distrito</w:t>
            </w:r>
          </w:p>
        </w:tc>
        <w:tc>
          <w:tcPr>
            <w:tcW w:w="1289" w:type="dxa"/>
            <w:tcBorders>
              <w:bottom w:val="nil"/>
            </w:tcBorders>
          </w:tcPr>
          <w:p>
            <w:pPr>
              <w:pStyle w:val="TableParagraph"/>
              <w:spacing w:line="251" w:lineRule="exact"/>
              <w:rPr>
                <w:sz w:val="22"/>
              </w:rPr>
            </w:pPr>
            <w:r>
              <w:rPr>
                <w:sz w:val="22"/>
              </w:rPr>
              <w:t>Cuautla,</w:t>
            </w:r>
          </w:p>
        </w:tc>
        <w:tc>
          <w:tcPr>
            <w:tcW w:w="1174" w:type="dxa"/>
            <w:tcBorders>
              <w:bottom w:val="nil"/>
            </w:tcBorders>
          </w:tcPr>
          <w:p>
            <w:pPr>
              <w:pStyle w:val="TableParagraph"/>
              <w:spacing w:line="251" w:lineRule="exact"/>
              <w:rPr>
                <w:sz w:val="22"/>
              </w:rPr>
            </w:pPr>
            <w:r>
              <w:rPr>
                <w:sz w:val="22"/>
              </w:rPr>
              <w:t>Atlacomu</w:t>
            </w:r>
          </w:p>
        </w:tc>
        <w:tc>
          <w:tcPr>
            <w:tcW w:w="2314" w:type="dxa"/>
            <w:tcBorders>
              <w:bottom w:val="nil"/>
            </w:tcBorders>
          </w:tcPr>
          <w:p>
            <w:pPr>
              <w:pStyle w:val="TableParagraph"/>
              <w:spacing w:line="251" w:lineRule="exact"/>
              <w:ind w:left="100"/>
              <w:rPr>
                <w:sz w:val="22"/>
              </w:rPr>
            </w:pPr>
            <w:r>
              <w:rPr>
                <w:sz w:val="22"/>
              </w:rPr>
              <w:t>La   Conagua</w:t>
            </w:r>
            <w:r>
              <w:rPr>
                <w:spacing w:val="60"/>
                <w:sz w:val="22"/>
              </w:rPr>
              <w:t> </w:t>
            </w:r>
            <w:r>
              <w:rPr>
                <w:sz w:val="22"/>
              </w:rPr>
              <w:t>realiza</w:t>
            </w:r>
          </w:p>
        </w:tc>
        <w:tc>
          <w:tcPr>
            <w:tcW w:w="3901" w:type="dxa"/>
            <w:tcBorders>
              <w:bottom w:val="nil"/>
            </w:tcBorders>
          </w:tcPr>
          <w:p>
            <w:pPr>
              <w:pStyle w:val="TableParagraph"/>
              <w:spacing w:line="251" w:lineRule="exact"/>
              <w:rPr>
                <w:sz w:val="22"/>
              </w:rPr>
            </w:pPr>
            <w:r>
              <w:rPr>
                <w:sz w:val="22"/>
              </w:rPr>
              <w:t>No porque son personas ordenadas y</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Castillo</w:t>
            </w:r>
          </w:p>
        </w:tc>
        <w:tc>
          <w:tcPr>
            <w:tcW w:w="1274" w:type="dxa"/>
            <w:tcBorders>
              <w:top w:val="nil"/>
              <w:bottom w:val="nil"/>
            </w:tcBorders>
          </w:tcPr>
          <w:p>
            <w:pPr>
              <w:pStyle w:val="TableParagraph"/>
              <w:spacing w:line="242" w:lineRule="exact"/>
              <w:ind w:left="100" w:right="98"/>
              <w:rPr>
                <w:sz w:val="22"/>
              </w:rPr>
            </w:pPr>
            <w:r>
              <w:rPr>
                <w:sz w:val="22"/>
              </w:rPr>
              <w:t>Civil</w:t>
            </w:r>
          </w:p>
        </w:tc>
        <w:tc>
          <w:tcPr>
            <w:tcW w:w="1887" w:type="dxa"/>
            <w:tcBorders>
              <w:top w:val="nil"/>
              <w:bottom w:val="nil"/>
            </w:tcBorders>
          </w:tcPr>
          <w:p>
            <w:pPr>
              <w:pStyle w:val="TableParagraph"/>
              <w:spacing w:line="242" w:lineRule="exact"/>
              <w:rPr>
                <w:sz w:val="22"/>
              </w:rPr>
            </w:pPr>
            <w:r>
              <w:rPr>
                <w:sz w:val="22"/>
              </w:rPr>
              <w:t>de Riego en el</w:t>
            </w:r>
          </w:p>
        </w:tc>
        <w:tc>
          <w:tcPr>
            <w:tcW w:w="1289" w:type="dxa"/>
            <w:tcBorders>
              <w:top w:val="nil"/>
              <w:bottom w:val="nil"/>
            </w:tcBorders>
          </w:tcPr>
          <w:p>
            <w:pPr>
              <w:pStyle w:val="TableParagraph"/>
              <w:spacing w:line="242" w:lineRule="exact"/>
              <w:rPr>
                <w:sz w:val="22"/>
              </w:rPr>
            </w:pPr>
            <w:r>
              <w:rPr>
                <w:sz w:val="22"/>
              </w:rPr>
              <w:t>Morelos</w:t>
            </w:r>
          </w:p>
        </w:tc>
        <w:tc>
          <w:tcPr>
            <w:tcW w:w="1174" w:type="dxa"/>
            <w:tcBorders>
              <w:top w:val="nil"/>
              <w:bottom w:val="nil"/>
            </w:tcBorders>
          </w:tcPr>
          <w:p>
            <w:pPr>
              <w:pStyle w:val="TableParagraph"/>
              <w:spacing w:line="242" w:lineRule="exact"/>
              <w:rPr>
                <w:sz w:val="22"/>
              </w:rPr>
            </w:pPr>
            <w:r>
              <w:rPr>
                <w:sz w:val="22"/>
              </w:rPr>
              <w:t>lco,</w:t>
            </w:r>
          </w:p>
        </w:tc>
        <w:tc>
          <w:tcPr>
            <w:tcW w:w="2314" w:type="dxa"/>
            <w:tcBorders>
              <w:top w:val="nil"/>
              <w:bottom w:val="nil"/>
            </w:tcBorders>
          </w:tcPr>
          <w:p>
            <w:pPr>
              <w:pStyle w:val="TableParagraph"/>
              <w:spacing w:line="242" w:lineRule="exact"/>
              <w:ind w:left="100"/>
              <w:rPr>
                <w:sz w:val="22"/>
              </w:rPr>
            </w:pPr>
            <w:r>
              <w:rPr>
                <w:sz w:val="22"/>
              </w:rPr>
              <w:t>varias  acciones para</w:t>
            </w:r>
          </w:p>
        </w:tc>
        <w:tc>
          <w:tcPr>
            <w:tcW w:w="3901" w:type="dxa"/>
            <w:tcBorders>
              <w:top w:val="nil"/>
              <w:bottom w:val="nil"/>
            </w:tcBorders>
          </w:tcPr>
          <w:p>
            <w:pPr>
              <w:pStyle w:val="TableParagraph"/>
              <w:spacing w:line="242" w:lineRule="exact"/>
              <w:rPr>
                <w:sz w:val="22"/>
              </w:rPr>
            </w:pPr>
            <w:r>
              <w:rPr>
                <w:sz w:val="22"/>
              </w:rPr>
              <w:t>que no son de conflicto.</w:t>
            </w:r>
          </w:p>
        </w:tc>
      </w:tr>
      <w:tr>
        <w:trPr>
          <w:trHeight w:val="253" w:hRule="exact"/>
        </w:trPr>
        <w:tc>
          <w:tcPr>
            <w:tcW w:w="1385" w:type="dxa"/>
            <w:tcBorders>
              <w:top w:val="nil"/>
              <w:bottom w:val="nil"/>
            </w:tcBorders>
          </w:tcPr>
          <w:p>
            <w:pPr>
              <w:pStyle w:val="TableParagraph"/>
              <w:spacing w:line="241" w:lineRule="exact"/>
              <w:rPr>
                <w:sz w:val="22"/>
              </w:rPr>
            </w:pPr>
            <w:r>
              <w:rPr>
                <w:sz w:val="22"/>
              </w:rPr>
              <w:t>(13/II/2014)</w:t>
            </w:r>
          </w:p>
        </w:tc>
        <w:tc>
          <w:tcPr>
            <w:tcW w:w="1274" w:type="dxa"/>
            <w:tcBorders>
              <w:top w:val="nil"/>
              <w:bottom w:val="nil"/>
            </w:tcBorders>
          </w:tcPr>
          <w:p>
            <w:pPr/>
          </w:p>
        </w:tc>
        <w:tc>
          <w:tcPr>
            <w:tcW w:w="1887" w:type="dxa"/>
            <w:tcBorders>
              <w:top w:val="nil"/>
              <w:bottom w:val="nil"/>
            </w:tcBorders>
          </w:tcPr>
          <w:p>
            <w:pPr>
              <w:pStyle w:val="TableParagraph"/>
              <w:spacing w:line="241" w:lineRule="exact"/>
              <w:rPr>
                <w:sz w:val="22"/>
              </w:rPr>
            </w:pPr>
            <w:r>
              <w:rPr>
                <w:sz w:val="22"/>
              </w:rPr>
              <w:t>Estado de</w:t>
            </w: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Estado</w:t>
            </w:r>
          </w:p>
        </w:tc>
        <w:tc>
          <w:tcPr>
            <w:tcW w:w="2314" w:type="dxa"/>
            <w:tcBorders>
              <w:top w:val="nil"/>
              <w:bottom w:val="nil"/>
            </w:tcBorders>
          </w:tcPr>
          <w:p>
            <w:pPr>
              <w:pStyle w:val="TableParagraph"/>
              <w:tabs>
                <w:tab w:pos="1045" w:val="left" w:leader="none"/>
                <w:tab w:pos="1477" w:val="left" w:leader="none"/>
                <w:tab w:pos="2091" w:val="left" w:leader="none"/>
              </w:tabs>
              <w:spacing w:line="241" w:lineRule="exact"/>
              <w:ind w:left="100"/>
              <w:rPr>
                <w:sz w:val="22"/>
              </w:rPr>
            </w:pPr>
            <w:r>
              <w:rPr>
                <w:sz w:val="22"/>
              </w:rPr>
              <w:t>regular</w:t>
              <w:tab/>
              <w:t>el</w:t>
              <w:tab/>
              <w:t>uso</w:t>
              <w:tab/>
              <w:t>y</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Style w:val="TableParagraph"/>
              <w:spacing w:line="242" w:lineRule="exact"/>
              <w:rPr>
                <w:sz w:val="22"/>
              </w:rPr>
            </w:pPr>
            <w:r>
              <w:rPr>
                <w:sz w:val="22"/>
              </w:rPr>
              <w:t>México</w:t>
            </w: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de</w:t>
            </w:r>
          </w:p>
        </w:tc>
        <w:tc>
          <w:tcPr>
            <w:tcW w:w="2314" w:type="dxa"/>
            <w:tcBorders>
              <w:top w:val="nil"/>
              <w:bottom w:val="nil"/>
            </w:tcBorders>
          </w:tcPr>
          <w:p>
            <w:pPr>
              <w:pStyle w:val="TableParagraph"/>
              <w:spacing w:line="242" w:lineRule="exact"/>
              <w:ind w:left="100"/>
              <w:rPr>
                <w:sz w:val="22"/>
              </w:rPr>
            </w:pPr>
            <w:r>
              <w:rPr>
                <w:sz w:val="22"/>
              </w:rPr>
              <w:t>manejo  del  agua de</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México</w:t>
            </w:r>
          </w:p>
        </w:tc>
        <w:tc>
          <w:tcPr>
            <w:tcW w:w="2314" w:type="dxa"/>
            <w:tcBorders>
              <w:top w:val="nil"/>
              <w:bottom w:val="nil"/>
            </w:tcBorders>
          </w:tcPr>
          <w:p>
            <w:pPr>
              <w:pStyle w:val="TableParagraph"/>
              <w:tabs>
                <w:tab w:pos="717" w:val="left" w:leader="none"/>
                <w:tab w:pos="1883" w:val="left" w:leader="none"/>
              </w:tabs>
              <w:spacing w:line="241" w:lineRule="exact"/>
              <w:ind w:left="100"/>
              <w:rPr>
                <w:sz w:val="22"/>
              </w:rPr>
            </w:pPr>
            <w:r>
              <w:rPr>
                <w:sz w:val="22"/>
              </w:rPr>
              <w:t>la</w:t>
              <w:tab/>
              <w:t>laguna,</w:t>
              <w:tab/>
              <w:t>por</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ejemplo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91" w:val="left" w:leader="none"/>
              </w:tabs>
              <w:spacing w:line="242" w:lineRule="exact"/>
              <w:ind w:left="100"/>
              <w:rPr>
                <w:sz w:val="22"/>
              </w:rPr>
            </w:pPr>
            <w:r>
              <w:rPr>
                <w:sz w:val="22"/>
              </w:rPr>
              <w:t>infraestructura</w:t>
              <w:tab/>
              <w:t>y</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mantenimiento,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además hay un</w:t>
            </w:r>
            <w:r>
              <w:rPr>
                <w:spacing w:val="50"/>
                <w:sz w:val="22"/>
              </w:rPr>
              <w:t> </w:t>
            </w:r>
            <w:r>
              <w:rPr>
                <w:sz w:val="22"/>
              </w:rPr>
              <w:t>título</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209" w:val="left" w:leader="none"/>
              </w:tabs>
              <w:spacing w:line="241" w:lineRule="exact"/>
              <w:ind w:left="100"/>
              <w:rPr>
                <w:sz w:val="22"/>
              </w:rPr>
            </w:pPr>
            <w:r>
              <w:rPr>
                <w:sz w:val="22"/>
              </w:rPr>
              <w:t>de</w:t>
              <w:tab/>
              <w:t>concesión</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882" w:val="left" w:leader="none"/>
              </w:tabs>
              <w:spacing w:line="241" w:lineRule="exact"/>
              <w:ind w:left="100"/>
              <w:rPr>
                <w:sz w:val="22"/>
              </w:rPr>
            </w:pPr>
            <w:r>
              <w:rPr>
                <w:sz w:val="22"/>
              </w:rPr>
              <w:t>(originalmente</w:t>
              <w:tab/>
              <w:t>por</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2090" w:val="left" w:leader="none"/>
              </w:tabs>
              <w:spacing w:line="242" w:lineRule="exact"/>
              <w:ind w:left="100"/>
              <w:rPr>
                <w:sz w:val="22"/>
              </w:rPr>
            </w:pPr>
            <w:r>
              <w:rPr>
                <w:sz w:val="22"/>
              </w:rPr>
              <w:t>1992</w:t>
              <w:tab/>
              <w:t>y</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970" w:val="left" w:leader="none"/>
              </w:tabs>
              <w:spacing w:line="241" w:lineRule="exact"/>
              <w:ind w:left="100"/>
              <w:rPr>
                <w:sz w:val="22"/>
              </w:rPr>
            </w:pPr>
            <w:r>
              <w:rPr>
                <w:sz w:val="22"/>
              </w:rPr>
              <w:t>recientemente</w:t>
              <w:tab/>
              <w:t>se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1832" w:val="left" w:leader="none"/>
              </w:tabs>
              <w:spacing w:line="242" w:lineRule="exact"/>
              <w:ind w:left="100"/>
              <w:rPr>
                <w:sz w:val="22"/>
              </w:rPr>
            </w:pPr>
            <w:r>
              <w:rPr>
                <w:sz w:val="22"/>
              </w:rPr>
              <w:t>prolongó)</w:t>
              <w:tab/>
              <w:t>que</w:t>
            </w:r>
          </w:p>
        </w:tc>
        <w:tc>
          <w:tcPr>
            <w:tcW w:w="3901" w:type="dxa"/>
            <w:tcBorders>
              <w:top w:val="nil"/>
              <w:bottom w:val="nil"/>
            </w:tcBorders>
          </w:tcPr>
          <w:p>
            <w:pPr/>
          </w:p>
        </w:tc>
      </w:tr>
      <w:tr>
        <w:trPr>
          <w:trHeight w:val="252"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permite   entregar   el</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agua   en   bloque   y</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supervisar  y estudiar</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tabs>
                <w:tab w:pos="532" w:val="left" w:leader="none"/>
                <w:tab w:pos="1907" w:val="left" w:leader="none"/>
              </w:tabs>
              <w:spacing w:line="241" w:lineRule="exact"/>
              <w:ind w:left="100"/>
              <w:rPr>
                <w:sz w:val="22"/>
              </w:rPr>
            </w:pPr>
            <w:r>
              <w:rPr>
                <w:sz w:val="22"/>
              </w:rPr>
              <w:t>la</w:t>
              <w:tab/>
              <w:t>distribución</w:t>
              <w:tab/>
              <w:t>del</w:t>
            </w:r>
          </w:p>
        </w:tc>
        <w:tc>
          <w:tcPr>
            <w:tcW w:w="3901" w:type="dxa"/>
            <w:tcBorders>
              <w:top w:val="nil"/>
              <w:bottom w:val="nil"/>
            </w:tcBorders>
          </w:tcPr>
          <w:p>
            <w:pPr/>
          </w:p>
        </w:tc>
      </w:tr>
      <w:tr>
        <w:trPr>
          <w:trHeight w:val="249"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riego.</w:t>
            </w:r>
          </w:p>
        </w:tc>
        <w:tc>
          <w:tcPr>
            <w:tcW w:w="3901" w:type="dxa"/>
            <w:tcBorders>
              <w:top w:val="nil"/>
            </w:tcBorders>
          </w:tcPr>
          <w:p>
            <w:pPr/>
          </w:p>
        </w:tc>
      </w:tr>
      <w:tr>
        <w:trPr>
          <w:trHeight w:val="267" w:hRule="exact"/>
        </w:trPr>
        <w:tc>
          <w:tcPr>
            <w:tcW w:w="1385" w:type="dxa"/>
            <w:tcBorders>
              <w:bottom w:val="nil"/>
            </w:tcBorders>
          </w:tcPr>
          <w:p>
            <w:pPr>
              <w:pStyle w:val="TableParagraph"/>
              <w:spacing w:line="251" w:lineRule="exact"/>
              <w:ind w:right="127"/>
              <w:rPr>
                <w:sz w:val="22"/>
              </w:rPr>
            </w:pPr>
            <w:r>
              <w:rPr>
                <w:sz w:val="22"/>
              </w:rPr>
              <w:t>Juan</w:t>
            </w:r>
          </w:p>
        </w:tc>
        <w:tc>
          <w:tcPr>
            <w:tcW w:w="1274" w:type="dxa"/>
            <w:tcBorders>
              <w:bottom w:val="nil"/>
            </w:tcBorders>
          </w:tcPr>
          <w:p>
            <w:pPr>
              <w:pStyle w:val="TableParagraph"/>
              <w:spacing w:line="251" w:lineRule="exact"/>
              <w:ind w:left="100" w:right="98"/>
              <w:rPr>
                <w:sz w:val="22"/>
              </w:rPr>
            </w:pPr>
            <w:r>
              <w:rPr>
                <w:sz w:val="22"/>
              </w:rPr>
              <w:t>Ingeniero</w:t>
            </w:r>
          </w:p>
        </w:tc>
        <w:tc>
          <w:tcPr>
            <w:tcW w:w="1887" w:type="dxa"/>
            <w:tcBorders>
              <w:bottom w:val="nil"/>
            </w:tcBorders>
          </w:tcPr>
          <w:p>
            <w:pPr>
              <w:pStyle w:val="TableParagraph"/>
              <w:spacing w:line="251" w:lineRule="exact"/>
              <w:rPr>
                <w:sz w:val="22"/>
              </w:rPr>
            </w:pPr>
            <w:r>
              <w:rPr>
                <w:sz w:val="22"/>
              </w:rPr>
              <w:t>Subjefe de</w:t>
            </w:r>
          </w:p>
        </w:tc>
        <w:tc>
          <w:tcPr>
            <w:tcW w:w="1289" w:type="dxa"/>
            <w:tcBorders>
              <w:bottom w:val="nil"/>
            </w:tcBorders>
          </w:tcPr>
          <w:p>
            <w:pPr>
              <w:pStyle w:val="TableParagraph"/>
              <w:spacing w:line="251" w:lineRule="exact"/>
              <w:rPr>
                <w:sz w:val="22"/>
              </w:rPr>
            </w:pPr>
            <w:r>
              <w:rPr>
                <w:sz w:val="22"/>
              </w:rPr>
              <w:t>Tamaulipa</w:t>
            </w:r>
          </w:p>
        </w:tc>
        <w:tc>
          <w:tcPr>
            <w:tcW w:w="1174" w:type="dxa"/>
            <w:tcBorders>
              <w:bottom w:val="nil"/>
            </w:tcBorders>
          </w:tcPr>
          <w:p>
            <w:pPr>
              <w:pStyle w:val="TableParagraph"/>
              <w:spacing w:line="251" w:lineRule="exact"/>
              <w:rPr>
                <w:sz w:val="22"/>
              </w:rPr>
            </w:pPr>
            <w:r>
              <w:rPr>
                <w:sz w:val="22"/>
              </w:rPr>
              <w:t>Atlacomu</w:t>
            </w:r>
          </w:p>
        </w:tc>
        <w:tc>
          <w:tcPr>
            <w:tcW w:w="2314" w:type="dxa"/>
            <w:tcBorders>
              <w:bottom w:val="nil"/>
            </w:tcBorders>
          </w:tcPr>
          <w:p>
            <w:pPr>
              <w:pStyle w:val="TableParagraph"/>
              <w:spacing w:line="251" w:lineRule="exact"/>
              <w:ind w:left="100"/>
              <w:rPr>
                <w:sz w:val="22"/>
              </w:rPr>
            </w:pPr>
            <w:r>
              <w:rPr>
                <w:sz w:val="22"/>
              </w:rPr>
              <w:t>La   Conagua</w:t>
            </w:r>
            <w:r>
              <w:rPr>
                <w:spacing w:val="60"/>
                <w:sz w:val="22"/>
              </w:rPr>
              <w:t> </w:t>
            </w:r>
            <w:r>
              <w:rPr>
                <w:sz w:val="22"/>
              </w:rPr>
              <w:t>realiza</w:t>
            </w:r>
          </w:p>
        </w:tc>
        <w:tc>
          <w:tcPr>
            <w:tcW w:w="3901" w:type="dxa"/>
            <w:tcBorders>
              <w:bottom w:val="nil"/>
            </w:tcBorders>
          </w:tcPr>
          <w:p>
            <w:pPr>
              <w:pStyle w:val="TableParagraph"/>
              <w:spacing w:line="251" w:lineRule="exact"/>
              <w:rPr>
                <w:sz w:val="22"/>
              </w:rPr>
            </w:pPr>
            <w:r>
              <w:rPr>
                <w:sz w:val="22"/>
              </w:rPr>
              <w:t>No porque para poder dotar de  agua</w:t>
            </w:r>
          </w:p>
        </w:tc>
      </w:tr>
      <w:tr>
        <w:trPr>
          <w:trHeight w:val="253" w:hRule="exact"/>
        </w:trPr>
        <w:tc>
          <w:tcPr>
            <w:tcW w:w="1385" w:type="dxa"/>
            <w:tcBorders>
              <w:top w:val="nil"/>
              <w:bottom w:val="nil"/>
            </w:tcBorders>
          </w:tcPr>
          <w:p>
            <w:pPr>
              <w:pStyle w:val="TableParagraph"/>
              <w:spacing w:line="242" w:lineRule="exact"/>
              <w:ind w:right="127"/>
              <w:rPr>
                <w:sz w:val="22"/>
              </w:rPr>
            </w:pPr>
            <w:r>
              <w:rPr>
                <w:sz w:val="22"/>
              </w:rPr>
              <w:t>Manuel</w:t>
            </w:r>
          </w:p>
        </w:tc>
        <w:tc>
          <w:tcPr>
            <w:tcW w:w="1274" w:type="dxa"/>
            <w:tcBorders>
              <w:top w:val="nil"/>
              <w:bottom w:val="nil"/>
            </w:tcBorders>
          </w:tcPr>
          <w:p>
            <w:pPr>
              <w:pStyle w:val="TableParagraph"/>
              <w:spacing w:line="242" w:lineRule="exact"/>
              <w:ind w:left="100" w:right="98"/>
              <w:rPr>
                <w:sz w:val="22"/>
              </w:rPr>
            </w:pPr>
            <w:r>
              <w:rPr>
                <w:sz w:val="22"/>
              </w:rPr>
              <w:t>Civil</w:t>
            </w:r>
          </w:p>
        </w:tc>
        <w:tc>
          <w:tcPr>
            <w:tcW w:w="1887" w:type="dxa"/>
            <w:tcBorders>
              <w:top w:val="nil"/>
              <w:bottom w:val="nil"/>
            </w:tcBorders>
          </w:tcPr>
          <w:p>
            <w:pPr>
              <w:pStyle w:val="TableParagraph"/>
              <w:spacing w:line="242" w:lineRule="exact"/>
              <w:rPr>
                <w:sz w:val="22"/>
              </w:rPr>
            </w:pPr>
            <w:r>
              <w:rPr>
                <w:sz w:val="22"/>
              </w:rPr>
              <w:t>Operación</w:t>
            </w:r>
          </w:p>
        </w:tc>
        <w:tc>
          <w:tcPr>
            <w:tcW w:w="1289" w:type="dxa"/>
            <w:tcBorders>
              <w:top w:val="nil"/>
              <w:bottom w:val="nil"/>
            </w:tcBorders>
          </w:tcPr>
          <w:p>
            <w:pPr>
              <w:pStyle w:val="TableParagraph"/>
              <w:spacing w:line="242" w:lineRule="exact"/>
              <w:rPr>
                <w:sz w:val="22"/>
              </w:rPr>
            </w:pPr>
            <w:r>
              <w:rPr>
                <w:w w:val="100"/>
                <w:sz w:val="22"/>
              </w:rPr>
              <w:t>s</w:t>
            </w:r>
          </w:p>
        </w:tc>
        <w:tc>
          <w:tcPr>
            <w:tcW w:w="1174" w:type="dxa"/>
            <w:tcBorders>
              <w:top w:val="nil"/>
              <w:bottom w:val="nil"/>
            </w:tcBorders>
          </w:tcPr>
          <w:p>
            <w:pPr>
              <w:pStyle w:val="TableParagraph"/>
              <w:spacing w:line="242" w:lineRule="exact"/>
              <w:rPr>
                <w:sz w:val="22"/>
              </w:rPr>
            </w:pPr>
            <w:r>
              <w:rPr>
                <w:sz w:val="22"/>
              </w:rPr>
              <w:t>lco,</w:t>
            </w:r>
          </w:p>
        </w:tc>
        <w:tc>
          <w:tcPr>
            <w:tcW w:w="2314" w:type="dxa"/>
            <w:tcBorders>
              <w:top w:val="nil"/>
              <w:bottom w:val="nil"/>
            </w:tcBorders>
          </w:tcPr>
          <w:p>
            <w:pPr>
              <w:pStyle w:val="TableParagraph"/>
              <w:spacing w:line="242" w:lineRule="exact"/>
              <w:ind w:left="100"/>
              <w:rPr>
                <w:sz w:val="22"/>
              </w:rPr>
            </w:pPr>
            <w:r>
              <w:rPr>
                <w:sz w:val="22"/>
              </w:rPr>
              <w:t>todas   las   obras</w:t>
            </w:r>
            <w:r>
              <w:rPr>
                <w:spacing w:val="54"/>
                <w:sz w:val="22"/>
              </w:rPr>
              <w:t> </w:t>
            </w:r>
            <w:r>
              <w:rPr>
                <w:sz w:val="22"/>
              </w:rPr>
              <w:t>de</w:t>
            </w:r>
          </w:p>
        </w:tc>
        <w:tc>
          <w:tcPr>
            <w:tcW w:w="3901" w:type="dxa"/>
            <w:tcBorders>
              <w:top w:val="nil"/>
              <w:bottom w:val="nil"/>
            </w:tcBorders>
          </w:tcPr>
          <w:p>
            <w:pPr>
              <w:pStyle w:val="TableParagraph"/>
              <w:spacing w:line="242" w:lineRule="exact"/>
              <w:rPr>
                <w:sz w:val="22"/>
              </w:rPr>
            </w:pPr>
            <w:r>
              <w:rPr>
                <w:sz w:val="22"/>
              </w:rPr>
              <w:t>se tiene un título de concesión    para</w:t>
            </w:r>
          </w:p>
        </w:tc>
      </w:tr>
      <w:tr>
        <w:trPr>
          <w:trHeight w:val="252" w:hRule="exact"/>
        </w:trPr>
        <w:tc>
          <w:tcPr>
            <w:tcW w:w="1385" w:type="dxa"/>
            <w:tcBorders>
              <w:top w:val="nil"/>
              <w:bottom w:val="nil"/>
            </w:tcBorders>
          </w:tcPr>
          <w:p>
            <w:pPr>
              <w:pStyle w:val="TableParagraph"/>
              <w:spacing w:line="241" w:lineRule="exact"/>
              <w:ind w:right="127"/>
              <w:rPr>
                <w:sz w:val="22"/>
              </w:rPr>
            </w:pPr>
            <w:r>
              <w:rPr>
                <w:sz w:val="22"/>
              </w:rPr>
              <w:t>Alfaro</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Estado</w:t>
            </w:r>
          </w:p>
        </w:tc>
        <w:tc>
          <w:tcPr>
            <w:tcW w:w="2314" w:type="dxa"/>
            <w:tcBorders>
              <w:top w:val="nil"/>
              <w:bottom w:val="nil"/>
            </w:tcBorders>
          </w:tcPr>
          <w:p>
            <w:pPr>
              <w:pStyle w:val="TableParagraph"/>
              <w:tabs>
                <w:tab w:pos="1660" w:val="left" w:leader="none"/>
              </w:tabs>
              <w:spacing w:line="241" w:lineRule="exact"/>
              <w:ind w:left="100"/>
              <w:rPr>
                <w:sz w:val="22"/>
              </w:rPr>
            </w:pPr>
            <w:r>
              <w:rPr>
                <w:sz w:val="22"/>
              </w:rPr>
              <w:t>cabeza</w:t>
              <w:tab/>
              <w:t>como</w:t>
            </w:r>
          </w:p>
        </w:tc>
        <w:tc>
          <w:tcPr>
            <w:tcW w:w="3901" w:type="dxa"/>
            <w:tcBorders>
              <w:top w:val="nil"/>
              <w:bottom w:val="nil"/>
            </w:tcBorders>
          </w:tcPr>
          <w:p>
            <w:pPr>
              <w:pStyle w:val="TableParagraph"/>
              <w:spacing w:line="241" w:lineRule="exact"/>
              <w:rPr>
                <w:sz w:val="22"/>
              </w:rPr>
            </w:pPr>
            <w:r>
              <w:rPr>
                <w:sz w:val="22"/>
              </w:rPr>
              <w:t>Aculco  y  Polotitlán  y  se les entrega</w:t>
            </w:r>
          </w:p>
        </w:tc>
      </w:tr>
      <w:tr>
        <w:trPr>
          <w:trHeight w:val="253" w:hRule="exact"/>
        </w:trPr>
        <w:tc>
          <w:tcPr>
            <w:tcW w:w="1385" w:type="dxa"/>
            <w:tcBorders>
              <w:top w:val="nil"/>
              <w:bottom w:val="nil"/>
            </w:tcBorders>
          </w:tcPr>
          <w:p>
            <w:pPr>
              <w:pStyle w:val="TableParagraph"/>
              <w:spacing w:line="241" w:lineRule="exact"/>
              <w:ind w:right="127"/>
              <w:rPr>
                <w:sz w:val="22"/>
              </w:rPr>
            </w:pPr>
            <w:r>
              <w:rPr>
                <w:sz w:val="22"/>
              </w:rPr>
              <w:t>Gómez</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1" w:lineRule="exact"/>
              <w:rPr>
                <w:sz w:val="22"/>
              </w:rPr>
            </w:pPr>
            <w:r>
              <w:rPr>
                <w:sz w:val="22"/>
              </w:rPr>
              <w:t>de</w:t>
            </w:r>
          </w:p>
        </w:tc>
        <w:tc>
          <w:tcPr>
            <w:tcW w:w="2314" w:type="dxa"/>
            <w:tcBorders>
              <w:top w:val="nil"/>
              <w:bottom w:val="nil"/>
            </w:tcBorders>
          </w:tcPr>
          <w:p>
            <w:pPr>
              <w:pStyle w:val="TableParagraph"/>
              <w:tabs>
                <w:tab w:pos="1432" w:val="left" w:leader="none"/>
              </w:tabs>
              <w:spacing w:line="241" w:lineRule="exact"/>
              <w:ind w:left="100"/>
              <w:rPr>
                <w:sz w:val="22"/>
              </w:rPr>
            </w:pPr>
            <w:r>
              <w:rPr>
                <w:sz w:val="22"/>
              </w:rPr>
              <w:t>lagunas,</w:t>
              <w:tab/>
              <w:t>plantas,</w:t>
            </w:r>
          </w:p>
        </w:tc>
        <w:tc>
          <w:tcPr>
            <w:tcW w:w="3901" w:type="dxa"/>
            <w:tcBorders>
              <w:top w:val="nil"/>
              <w:bottom w:val="nil"/>
            </w:tcBorders>
          </w:tcPr>
          <w:p>
            <w:pPr>
              <w:pStyle w:val="TableParagraph"/>
              <w:spacing w:line="241" w:lineRule="exact"/>
              <w:rPr>
                <w:sz w:val="22"/>
              </w:rPr>
            </w:pPr>
            <w:r>
              <w:rPr>
                <w:sz w:val="22"/>
              </w:rPr>
              <w:t>en la misma proporción.</w:t>
            </w:r>
          </w:p>
        </w:tc>
      </w:tr>
      <w:tr>
        <w:trPr>
          <w:trHeight w:val="253" w:hRule="exact"/>
        </w:trPr>
        <w:tc>
          <w:tcPr>
            <w:tcW w:w="1385" w:type="dxa"/>
            <w:tcBorders>
              <w:top w:val="nil"/>
              <w:bottom w:val="nil"/>
            </w:tcBorders>
          </w:tcPr>
          <w:p>
            <w:pPr>
              <w:pStyle w:val="TableParagraph"/>
              <w:spacing w:line="242" w:lineRule="exact"/>
              <w:rPr>
                <w:sz w:val="22"/>
              </w:rPr>
            </w:pPr>
            <w:r>
              <w:rPr>
                <w:sz w:val="22"/>
              </w:rPr>
              <w:t>(13/II/2014)</w:t>
            </w: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Style w:val="TableParagraph"/>
              <w:spacing w:line="242" w:lineRule="exact"/>
              <w:rPr>
                <w:sz w:val="22"/>
              </w:rPr>
            </w:pPr>
            <w:r>
              <w:rPr>
                <w:sz w:val="22"/>
              </w:rPr>
              <w:t>México</w:t>
            </w:r>
          </w:p>
        </w:tc>
        <w:tc>
          <w:tcPr>
            <w:tcW w:w="2314" w:type="dxa"/>
            <w:tcBorders>
              <w:top w:val="nil"/>
              <w:bottom w:val="nil"/>
            </w:tcBorders>
          </w:tcPr>
          <w:p>
            <w:pPr>
              <w:pStyle w:val="TableParagraph"/>
              <w:tabs>
                <w:tab w:pos="1955" w:val="left" w:leader="none"/>
              </w:tabs>
              <w:spacing w:line="242" w:lineRule="exact"/>
              <w:ind w:left="100"/>
              <w:rPr>
                <w:sz w:val="22"/>
              </w:rPr>
            </w:pPr>
            <w:r>
              <w:rPr>
                <w:sz w:val="22"/>
              </w:rPr>
              <w:t>aplicación</w:t>
              <w:tab/>
              <w:t>de</w:t>
            </w:r>
          </w:p>
        </w:tc>
        <w:tc>
          <w:tcPr>
            <w:tcW w:w="3901" w:type="dxa"/>
            <w:tcBorders>
              <w:top w:val="nil"/>
              <w:bottom w:val="nil"/>
            </w:tcBorders>
          </w:tcPr>
          <w:p>
            <w:pPr/>
          </w:p>
        </w:tc>
      </w:tr>
      <w:tr>
        <w:trPr>
          <w:trHeight w:val="379"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bombeo y derivados.</w:t>
            </w:r>
          </w:p>
        </w:tc>
        <w:tc>
          <w:tcPr>
            <w:tcW w:w="3901" w:type="dxa"/>
            <w:tcBorders>
              <w:top w:val="nil"/>
              <w:bottom w:val="nil"/>
            </w:tcBorders>
          </w:tcPr>
          <w:p>
            <w:pPr/>
          </w:p>
        </w:tc>
      </w:tr>
      <w:tr>
        <w:trPr>
          <w:trHeight w:val="379"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before="115"/>
              <w:ind w:left="100"/>
              <w:rPr>
                <w:sz w:val="22"/>
              </w:rPr>
            </w:pPr>
            <w:r>
              <w:rPr>
                <w:sz w:val="22"/>
              </w:rPr>
              <w:t>La  Conagua entrega</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el agua en un   punto</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2" w:lineRule="exact"/>
              <w:ind w:left="100"/>
              <w:rPr>
                <w:sz w:val="22"/>
              </w:rPr>
            </w:pPr>
            <w:r>
              <w:rPr>
                <w:sz w:val="22"/>
              </w:rPr>
              <w:t>de   control,   en  ese</w:t>
            </w:r>
          </w:p>
        </w:tc>
        <w:tc>
          <w:tcPr>
            <w:tcW w:w="3901" w:type="dxa"/>
            <w:tcBorders>
              <w:top w:val="nil"/>
              <w:bottom w:val="nil"/>
            </w:tcBorders>
          </w:tcPr>
          <w:p>
            <w:pPr/>
          </w:p>
        </w:tc>
      </w:tr>
      <w:tr>
        <w:trPr>
          <w:trHeight w:val="253" w:hRule="exact"/>
        </w:trPr>
        <w:tc>
          <w:tcPr>
            <w:tcW w:w="1385" w:type="dxa"/>
            <w:tcBorders>
              <w:top w:val="nil"/>
              <w:bottom w:val="nil"/>
            </w:tcBorders>
          </w:tcPr>
          <w:p>
            <w:pPr/>
          </w:p>
        </w:tc>
        <w:tc>
          <w:tcPr>
            <w:tcW w:w="1274" w:type="dxa"/>
            <w:tcBorders>
              <w:top w:val="nil"/>
              <w:bottom w:val="nil"/>
            </w:tcBorders>
          </w:tcPr>
          <w:p>
            <w:pPr/>
          </w:p>
        </w:tc>
        <w:tc>
          <w:tcPr>
            <w:tcW w:w="1887" w:type="dxa"/>
            <w:tcBorders>
              <w:top w:val="nil"/>
              <w:bottom w:val="nil"/>
            </w:tcBorders>
          </w:tcPr>
          <w:p>
            <w:pPr/>
          </w:p>
        </w:tc>
        <w:tc>
          <w:tcPr>
            <w:tcW w:w="1289" w:type="dxa"/>
            <w:tcBorders>
              <w:top w:val="nil"/>
              <w:bottom w:val="nil"/>
            </w:tcBorders>
          </w:tcPr>
          <w:p>
            <w:pPr/>
          </w:p>
        </w:tc>
        <w:tc>
          <w:tcPr>
            <w:tcW w:w="1174" w:type="dxa"/>
            <w:tcBorders>
              <w:top w:val="nil"/>
              <w:bottom w:val="nil"/>
            </w:tcBorders>
          </w:tcPr>
          <w:p>
            <w:pPr/>
          </w:p>
        </w:tc>
        <w:tc>
          <w:tcPr>
            <w:tcW w:w="2314" w:type="dxa"/>
            <w:tcBorders>
              <w:top w:val="nil"/>
              <w:bottom w:val="nil"/>
            </w:tcBorders>
          </w:tcPr>
          <w:p>
            <w:pPr>
              <w:pStyle w:val="TableParagraph"/>
              <w:spacing w:line="241" w:lineRule="exact"/>
              <w:ind w:left="100"/>
              <w:rPr>
                <w:sz w:val="22"/>
              </w:rPr>
            </w:pPr>
            <w:r>
              <w:rPr>
                <w:sz w:val="22"/>
              </w:rPr>
              <w:t>punto  de  control, se</w:t>
            </w:r>
          </w:p>
        </w:tc>
        <w:tc>
          <w:tcPr>
            <w:tcW w:w="3901" w:type="dxa"/>
            <w:tcBorders>
              <w:top w:val="nil"/>
              <w:bottom w:val="nil"/>
            </w:tcBorders>
          </w:tcPr>
          <w:p>
            <w:pPr/>
          </w:p>
        </w:tc>
      </w:tr>
      <w:tr>
        <w:trPr>
          <w:trHeight w:val="248" w:hRule="exact"/>
        </w:trPr>
        <w:tc>
          <w:tcPr>
            <w:tcW w:w="1385" w:type="dxa"/>
            <w:tcBorders>
              <w:top w:val="nil"/>
            </w:tcBorders>
          </w:tcPr>
          <w:p>
            <w:pPr/>
          </w:p>
        </w:tc>
        <w:tc>
          <w:tcPr>
            <w:tcW w:w="1274" w:type="dxa"/>
            <w:tcBorders>
              <w:top w:val="nil"/>
            </w:tcBorders>
          </w:tcPr>
          <w:p>
            <w:pPr/>
          </w:p>
        </w:tc>
        <w:tc>
          <w:tcPr>
            <w:tcW w:w="1887" w:type="dxa"/>
            <w:tcBorders>
              <w:top w:val="nil"/>
            </w:tcBorders>
          </w:tcPr>
          <w:p>
            <w:pPr/>
          </w:p>
        </w:tc>
        <w:tc>
          <w:tcPr>
            <w:tcW w:w="1289" w:type="dxa"/>
            <w:tcBorders>
              <w:top w:val="nil"/>
            </w:tcBorders>
          </w:tcPr>
          <w:p>
            <w:pPr/>
          </w:p>
        </w:tc>
        <w:tc>
          <w:tcPr>
            <w:tcW w:w="1174" w:type="dxa"/>
            <w:tcBorders>
              <w:top w:val="nil"/>
            </w:tcBorders>
          </w:tcPr>
          <w:p>
            <w:pPr/>
          </w:p>
        </w:tc>
        <w:tc>
          <w:tcPr>
            <w:tcW w:w="2314" w:type="dxa"/>
            <w:tcBorders>
              <w:top w:val="nil"/>
            </w:tcBorders>
          </w:tcPr>
          <w:p>
            <w:pPr>
              <w:pStyle w:val="TableParagraph"/>
              <w:spacing w:line="242" w:lineRule="exact"/>
              <w:ind w:left="100"/>
              <w:rPr>
                <w:sz w:val="22"/>
              </w:rPr>
            </w:pPr>
            <w:r>
              <w:rPr>
                <w:sz w:val="22"/>
              </w:rPr>
              <w:t>entrega el  agua  a la</w:t>
            </w:r>
          </w:p>
        </w:tc>
        <w:tc>
          <w:tcPr>
            <w:tcW w:w="3901" w:type="dxa"/>
            <w:tcBorders>
              <w:top w:val="nil"/>
            </w:tcBorders>
          </w:tcPr>
          <w:p>
            <w:pPr/>
          </w:p>
        </w:tc>
      </w:tr>
    </w:tbl>
    <w:p>
      <w:pPr>
        <w:spacing w:after="0"/>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2314"/>
        <w:gridCol w:w="3901"/>
      </w:tblGrid>
      <w:tr>
        <w:trPr>
          <w:trHeight w:val="3298" w:hRule="exact"/>
        </w:trPr>
        <w:tc>
          <w:tcPr>
            <w:tcW w:w="1385" w:type="dxa"/>
          </w:tcPr>
          <w:p>
            <w:pPr/>
          </w:p>
        </w:tc>
        <w:tc>
          <w:tcPr>
            <w:tcW w:w="1274" w:type="dxa"/>
          </w:tcPr>
          <w:p>
            <w:pPr/>
          </w:p>
        </w:tc>
        <w:tc>
          <w:tcPr>
            <w:tcW w:w="1887" w:type="dxa"/>
          </w:tcPr>
          <w:p>
            <w:pPr/>
          </w:p>
        </w:tc>
        <w:tc>
          <w:tcPr>
            <w:tcW w:w="1289" w:type="dxa"/>
          </w:tcPr>
          <w:p>
            <w:pPr/>
          </w:p>
        </w:tc>
        <w:tc>
          <w:tcPr>
            <w:tcW w:w="1174" w:type="dxa"/>
          </w:tcPr>
          <w:p>
            <w:pPr/>
          </w:p>
        </w:tc>
        <w:tc>
          <w:tcPr>
            <w:tcW w:w="2314" w:type="dxa"/>
          </w:tcPr>
          <w:p>
            <w:pPr>
              <w:pStyle w:val="TableParagraph"/>
              <w:tabs>
                <w:tab w:pos="734" w:val="left" w:leader="none"/>
                <w:tab w:pos="822" w:val="left" w:leader="none"/>
                <w:tab w:pos="1067" w:val="left" w:leader="none"/>
                <w:tab w:pos="1282" w:val="left" w:leader="none"/>
                <w:tab w:pos="1357" w:val="left" w:leader="none"/>
                <w:tab w:pos="1480" w:val="left" w:leader="none"/>
                <w:tab w:pos="1919" w:val="left" w:leader="none"/>
                <w:tab w:pos="1955" w:val="left" w:leader="none"/>
                <w:tab w:pos="2029" w:val="left" w:leader="none"/>
              </w:tabs>
              <w:ind w:left="100" w:right="99"/>
              <w:rPr>
                <w:sz w:val="22"/>
              </w:rPr>
            </w:pPr>
            <w:r>
              <w:rPr>
                <w:sz w:val="22"/>
              </w:rPr>
              <w:t>Asociación</w:t>
              <w:tab/>
              <w:tab/>
              <w:tab/>
              <w:tab/>
              <w:tab/>
              <w:t>de Usuarios (conformada</w:t>
              <w:tab/>
              <w:tab/>
              <w:tab/>
              <w:tab/>
              <w:t>en 1992)</w:t>
              <w:tab/>
              <w:tab/>
              <w:tab/>
              <w:t>y  </w:t>
            </w:r>
            <w:r>
              <w:rPr>
                <w:spacing w:val="13"/>
                <w:sz w:val="22"/>
              </w:rPr>
              <w:t> </w:t>
            </w:r>
            <w:r>
              <w:rPr>
                <w:sz w:val="22"/>
              </w:rPr>
              <w:t>ellos</w:t>
              <w:tab/>
              <w:tab/>
              <w:tab/>
              <w:t>la distribuyen</w:t>
              <w:tab/>
              <w:tab/>
              <w:tab/>
              <w:t>a</w:t>
              <w:tab/>
              <w:t>las parcelas. El pago del riego</w:t>
              <w:tab/>
              <w:tab/>
              <w:t>es</w:t>
              <w:tab/>
              <w:tab/>
              <w:t>recabado por la Asociación de Usuarios y se aplica en</w:t>
              <w:tab/>
            </w:r>
            <w:r>
              <w:rPr>
                <w:spacing w:val="-1"/>
                <w:sz w:val="22"/>
              </w:rPr>
              <w:t>infraestructura, </w:t>
            </w:r>
            <w:r>
              <w:rPr>
                <w:sz w:val="22"/>
              </w:rPr>
              <w:t>además la Conagua recibe</w:t>
              <w:tab/>
              <w:tab/>
              <w:tab/>
              <w:tab/>
              <w:tab/>
              <w:t>recursos fiscales.</w:t>
            </w:r>
          </w:p>
        </w:tc>
        <w:tc>
          <w:tcPr>
            <w:tcW w:w="3901" w:type="dxa"/>
          </w:tcPr>
          <w:p>
            <w:pPr/>
          </w:p>
        </w:tc>
      </w:tr>
      <w:tr>
        <w:trPr>
          <w:trHeight w:val="1781" w:hRule="exact"/>
        </w:trPr>
        <w:tc>
          <w:tcPr>
            <w:tcW w:w="1385" w:type="dxa"/>
          </w:tcPr>
          <w:p>
            <w:pPr>
              <w:pStyle w:val="TableParagraph"/>
              <w:rPr>
                <w:sz w:val="22"/>
              </w:rPr>
            </w:pPr>
            <w:r>
              <w:rPr>
                <w:sz w:val="22"/>
              </w:rPr>
              <w:t>Jaime Ruiz Martínez (17/7/2014)</w:t>
            </w:r>
          </w:p>
        </w:tc>
        <w:tc>
          <w:tcPr>
            <w:tcW w:w="1274" w:type="dxa"/>
          </w:tcPr>
          <w:p>
            <w:pPr>
              <w:pStyle w:val="TableParagraph"/>
              <w:spacing w:line="251" w:lineRule="exact"/>
              <w:ind w:left="104" w:right="105"/>
              <w:jc w:val="center"/>
              <w:rPr>
                <w:sz w:val="22"/>
              </w:rPr>
            </w:pPr>
            <w:r>
              <w:rPr>
                <w:sz w:val="22"/>
              </w:rPr>
              <w:t>N/C</w:t>
            </w:r>
          </w:p>
        </w:tc>
        <w:tc>
          <w:tcPr>
            <w:tcW w:w="1887" w:type="dxa"/>
          </w:tcPr>
          <w:p>
            <w:pPr>
              <w:pStyle w:val="TableParagraph"/>
              <w:spacing w:line="242" w:lineRule="auto"/>
              <w:ind w:right="101"/>
              <w:jc w:val="both"/>
              <w:rPr>
                <w:sz w:val="22"/>
              </w:rPr>
            </w:pPr>
            <w:r>
              <w:rPr>
                <w:sz w:val="22"/>
              </w:rPr>
              <w:t>Presidente de la Asociación    </w:t>
            </w:r>
            <w:r>
              <w:rPr>
                <w:spacing w:val="54"/>
                <w:sz w:val="22"/>
              </w:rPr>
              <w:t> </w:t>
            </w:r>
            <w:r>
              <w:rPr>
                <w:sz w:val="22"/>
              </w:rPr>
              <w:t>de</w:t>
            </w:r>
          </w:p>
          <w:p>
            <w:pPr>
              <w:pStyle w:val="TableParagraph"/>
              <w:spacing w:line="250" w:lineRule="exact"/>
              <w:jc w:val="both"/>
              <w:rPr>
                <w:sz w:val="22"/>
              </w:rPr>
            </w:pPr>
            <w:r>
              <w:rPr>
                <w:sz w:val="22"/>
              </w:rPr>
              <w:t>Usuarios        del</w:t>
            </w:r>
          </w:p>
          <w:p>
            <w:pPr>
              <w:pStyle w:val="TableParagraph"/>
              <w:spacing w:before="1"/>
              <w:ind w:right="101"/>
              <w:jc w:val="both"/>
              <w:rPr>
                <w:sz w:val="22"/>
              </w:rPr>
            </w:pPr>
            <w:r>
              <w:rPr>
                <w:sz w:val="22"/>
              </w:rPr>
              <w:t>Sistema de Riego Huapango Arroyo Zarco México S.A.</w:t>
            </w:r>
          </w:p>
        </w:tc>
        <w:tc>
          <w:tcPr>
            <w:tcW w:w="1289" w:type="dxa"/>
          </w:tcPr>
          <w:p>
            <w:pPr>
              <w:pStyle w:val="TableParagraph"/>
              <w:ind w:right="513"/>
              <w:jc w:val="both"/>
              <w:rPr>
                <w:sz w:val="22"/>
              </w:rPr>
            </w:pPr>
            <w:r>
              <w:rPr>
                <w:sz w:val="22"/>
              </w:rPr>
              <w:t>Arroyo Zarco, Aculco</w:t>
            </w:r>
          </w:p>
        </w:tc>
        <w:tc>
          <w:tcPr>
            <w:tcW w:w="1174" w:type="dxa"/>
          </w:tcPr>
          <w:p>
            <w:pPr>
              <w:pStyle w:val="TableParagraph"/>
              <w:ind w:right="398"/>
              <w:jc w:val="both"/>
              <w:rPr>
                <w:sz w:val="22"/>
              </w:rPr>
            </w:pPr>
            <w:r>
              <w:rPr>
                <w:sz w:val="22"/>
              </w:rPr>
              <w:t>Arroyo Zarco, Aculco</w:t>
            </w:r>
          </w:p>
        </w:tc>
        <w:tc>
          <w:tcPr>
            <w:tcW w:w="2314" w:type="dxa"/>
          </w:tcPr>
          <w:p>
            <w:pPr/>
          </w:p>
        </w:tc>
        <w:tc>
          <w:tcPr>
            <w:tcW w:w="3901" w:type="dxa"/>
          </w:tcPr>
          <w:p>
            <w:pPr>
              <w:pStyle w:val="TableParagraph"/>
              <w:ind w:right="100"/>
              <w:jc w:val="both"/>
              <w:rPr>
                <w:sz w:val="22"/>
              </w:rPr>
            </w:pPr>
            <w:r>
              <w:rPr>
                <w:sz w:val="22"/>
              </w:rPr>
              <w:t>No existen problemas por el agua entre los habitantes de los distintos municipios que colindan con la laguna.</w:t>
            </w:r>
          </w:p>
        </w:tc>
      </w:tr>
      <w:tr>
        <w:trPr>
          <w:trHeight w:val="516" w:hRule="exact"/>
        </w:trPr>
        <w:tc>
          <w:tcPr>
            <w:tcW w:w="4547" w:type="dxa"/>
            <w:gridSpan w:val="3"/>
          </w:tcPr>
          <w:p>
            <w:pPr>
              <w:pStyle w:val="TableParagraph"/>
              <w:spacing w:line="242" w:lineRule="auto"/>
              <w:ind w:right="141"/>
              <w:rPr>
                <w:sz w:val="22"/>
              </w:rPr>
            </w:pPr>
            <w:r>
              <w:rPr>
                <w:sz w:val="22"/>
              </w:rPr>
              <w:t>Encargado de abrir la compuerta de la  presa Huapango para</w:t>
            </w:r>
            <w:r>
              <w:rPr>
                <w:spacing w:val="-10"/>
                <w:sz w:val="22"/>
              </w:rPr>
              <w:t> </w:t>
            </w:r>
            <w:r>
              <w:rPr>
                <w:sz w:val="22"/>
              </w:rPr>
              <w:t>riego.</w:t>
            </w:r>
          </w:p>
        </w:tc>
        <w:tc>
          <w:tcPr>
            <w:tcW w:w="8677" w:type="dxa"/>
            <w:gridSpan w:val="4"/>
          </w:tcPr>
          <w:p>
            <w:pPr>
              <w:pStyle w:val="TableParagraph"/>
              <w:spacing w:line="251" w:lineRule="exact"/>
              <w:rPr>
                <w:sz w:val="22"/>
              </w:rPr>
            </w:pPr>
            <w:r>
              <w:rPr>
                <w:sz w:val="22"/>
              </w:rPr>
              <w:t>No accedió a la entrevista porque necesitaba el permiso de sus superiores.</w:t>
            </w:r>
          </w:p>
        </w:tc>
      </w:tr>
    </w:tbl>
    <w:p>
      <w:pPr>
        <w:pStyle w:val="BodyText"/>
        <w:spacing w:line="248" w:lineRule="exact"/>
        <w:ind w:left="218" w:right="778"/>
      </w:pPr>
      <w:r>
        <w:rPr>
          <w:b/>
        </w:rPr>
        <w:t>Fuente: </w:t>
      </w:r>
      <w:r>
        <w:rPr/>
        <w:t>Elaboración propia con base en el Trabajo de Campo, García (2013-2015).</w:t>
      </w:r>
    </w:p>
    <w:p>
      <w:pPr>
        <w:pStyle w:val="BodyText"/>
        <w:spacing w:before="9"/>
        <w:rPr>
          <w:sz w:val="20"/>
        </w:rPr>
      </w:pPr>
    </w:p>
    <w:p>
      <w:pPr>
        <w:pStyle w:val="Heading6"/>
        <w:spacing w:after="5"/>
        <w:ind w:left="2587" w:right="778"/>
      </w:pPr>
      <w:r>
        <w:rPr/>
        <w:t>Tabla 6.14. Actores Federales (Autoridades Federales)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6215"/>
      </w:tblGrid>
      <w:tr>
        <w:trPr>
          <w:trHeight w:val="292" w:hRule="exact"/>
        </w:trPr>
        <w:tc>
          <w:tcPr>
            <w:tcW w:w="13224" w:type="dxa"/>
            <w:gridSpan w:val="6"/>
            <w:shd w:val="clear" w:color="auto" w:fill="9BBA58"/>
          </w:tcPr>
          <w:p>
            <w:pPr>
              <w:pStyle w:val="TableParagraph"/>
              <w:spacing w:line="249" w:lineRule="exact"/>
              <w:ind w:left="4869" w:right="4869"/>
              <w:jc w:val="center"/>
              <w:rPr>
                <w:b/>
                <w:sz w:val="22"/>
              </w:rPr>
            </w:pPr>
            <w:r>
              <w:rPr>
                <w:b/>
                <w:sz w:val="22"/>
              </w:rPr>
              <w:t>ACTORES FEDERALES</w:t>
            </w:r>
          </w:p>
        </w:tc>
      </w:tr>
      <w:tr>
        <w:trPr>
          <w:trHeight w:val="524" w:hRule="exact"/>
        </w:trPr>
        <w:tc>
          <w:tcPr>
            <w:tcW w:w="4547" w:type="dxa"/>
            <w:gridSpan w:val="3"/>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3"/>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263" w:hRule="exact"/>
        </w:trPr>
        <w:tc>
          <w:tcPr>
            <w:tcW w:w="4547" w:type="dxa"/>
            <w:gridSpan w:val="3"/>
            <w:vMerge/>
            <w:shd w:val="clear" w:color="auto" w:fill="F9BE8F"/>
          </w:tcPr>
          <w:p>
            <w:pPr/>
          </w:p>
        </w:tc>
        <w:tc>
          <w:tcPr>
            <w:tcW w:w="2462" w:type="dxa"/>
            <w:gridSpan w:val="2"/>
            <w:shd w:val="clear" w:color="auto" w:fill="92CDDC"/>
          </w:tcPr>
          <w:p>
            <w:pPr>
              <w:pStyle w:val="TableParagraph"/>
              <w:spacing w:line="252" w:lineRule="exact"/>
              <w:ind w:left="736"/>
              <w:rPr>
                <w:b/>
                <w:i/>
                <w:sz w:val="22"/>
              </w:rPr>
            </w:pPr>
            <w:r>
              <w:rPr>
                <w:b/>
                <w:i/>
                <w:sz w:val="22"/>
              </w:rPr>
              <w:t>Identidad</w:t>
            </w:r>
          </w:p>
        </w:tc>
        <w:tc>
          <w:tcPr>
            <w:tcW w:w="6215" w:type="dxa"/>
            <w:shd w:val="clear" w:color="auto" w:fill="92CDDC"/>
          </w:tcPr>
          <w:p>
            <w:pPr>
              <w:pStyle w:val="TableParagraph"/>
              <w:spacing w:line="252" w:lineRule="exact"/>
              <w:ind w:left="703" w:right="105"/>
              <w:rPr>
                <w:b/>
                <w:i/>
                <w:sz w:val="22"/>
              </w:rPr>
            </w:pPr>
            <w:r>
              <w:rPr>
                <w:b/>
                <w:i/>
                <w:sz w:val="22"/>
              </w:rPr>
              <w:t>Relaciones intermunicipales y gobernabilidad</w:t>
            </w:r>
          </w:p>
        </w:tc>
      </w:tr>
      <w:tr>
        <w:trPr>
          <w:trHeight w:val="768" w:hRule="exact"/>
        </w:trPr>
        <w:tc>
          <w:tcPr>
            <w:tcW w:w="1385" w:type="dxa"/>
            <w:shd w:val="clear" w:color="auto" w:fill="F9BE8F"/>
          </w:tcPr>
          <w:p>
            <w:pPr>
              <w:pStyle w:val="TableParagraph"/>
              <w:ind w:right="205"/>
              <w:jc w:val="both"/>
              <w:rPr>
                <w:b/>
                <w:sz w:val="22"/>
              </w:rPr>
            </w:pPr>
            <w:r>
              <w:rPr>
                <w:b/>
                <w:sz w:val="22"/>
              </w:rPr>
              <w:t>Nombre y Fecha de Entrevista</w:t>
            </w:r>
          </w:p>
        </w:tc>
        <w:tc>
          <w:tcPr>
            <w:tcW w:w="1274" w:type="dxa"/>
            <w:shd w:val="clear" w:color="auto" w:fill="F9BE8F"/>
          </w:tcPr>
          <w:p>
            <w:pPr>
              <w:pStyle w:val="TableParagraph"/>
              <w:spacing w:line="252" w:lineRule="exact"/>
              <w:ind w:left="100" w:right="93"/>
              <w:rPr>
                <w:b/>
                <w:sz w:val="22"/>
              </w:rPr>
            </w:pPr>
            <w:r>
              <w:rPr>
                <w:b/>
                <w:sz w:val="22"/>
              </w:rPr>
              <w:t>Nivel Educativo</w:t>
            </w:r>
          </w:p>
        </w:tc>
        <w:tc>
          <w:tcPr>
            <w:tcW w:w="1887" w:type="dxa"/>
            <w:shd w:val="clear" w:color="auto" w:fill="F9BE8F"/>
          </w:tcPr>
          <w:p>
            <w:pPr>
              <w:pStyle w:val="TableParagraph"/>
              <w:spacing w:line="248" w:lineRule="exact"/>
              <w:rPr>
                <w:b/>
                <w:sz w:val="22"/>
              </w:rPr>
            </w:pPr>
            <w:r>
              <w:rPr>
                <w:b/>
                <w:sz w:val="22"/>
              </w:rPr>
              <w:t>Cargo Público</w:t>
            </w:r>
          </w:p>
        </w:tc>
        <w:tc>
          <w:tcPr>
            <w:tcW w:w="1289" w:type="dxa"/>
            <w:shd w:val="clear" w:color="auto" w:fill="92CDDC"/>
          </w:tcPr>
          <w:p>
            <w:pPr>
              <w:pStyle w:val="TableParagraph"/>
              <w:spacing w:line="252" w:lineRule="exact"/>
              <w:ind w:right="337"/>
              <w:rPr>
                <w:b/>
                <w:sz w:val="22"/>
              </w:rPr>
            </w:pPr>
            <w:r>
              <w:rPr>
                <w:b/>
                <w:sz w:val="22"/>
              </w:rPr>
              <w:t>¿Dónde nació?</w:t>
            </w:r>
          </w:p>
        </w:tc>
        <w:tc>
          <w:tcPr>
            <w:tcW w:w="1174" w:type="dxa"/>
            <w:shd w:val="clear" w:color="auto" w:fill="92CDDC"/>
          </w:tcPr>
          <w:p>
            <w:pPr>
              <w:pStyle w:val="TableParagraph"/>
              <w:spacing w:line="252" w:lineRule="exact"/>
              <w:ind w:right="222"/>
              <w:rPr>
                <w:b/>
                <w:sz w:val="22"/>
              </w:rPr>
            </w:pPr>
            <w:r>
              <w:rPr>
                <w:b/>
                <w:sz w:val="22"/>
              </w:rPr>
              <w:t>¿Dónde vive?</w:t>
            </w:r>
          </w:p>
        </w:tc>
        <w:tc>
          <w:tcPr>
            <w:tcW w:w="6215" w:type="dxa"/>
            <w:shd w:val="clear" w:color="auto" w:fill="92CDDC"/>
          </w:tcPr>
          <w:p>
            <w:pPr>
              <w:pStyle w:val="TableParagraph"/>
              <w:ind w:left="100" w:right="101"/>
              <w:jc w:val="both"/>
              <w:rPr>
                <w:b/>
                <w:sz w:val="22"/>
              </w:rPr>
            </w:pPr>
            <w:r>
              <w:rPr>
                <w:b/>
                <w:sz w:val="22"/>
              </w:rPr>
              <w:t>¿Considera apropiado que exista un Comité Intermunicipal con su Reglamento para el uso, cuidado y defensa de la laguna Huapango?</w:t>
            </w:r>
          </w:p>
        </w:tc>
      </w:tr>
      <w:tr>
        <w:trPr>
          <w:trHeight w:val="540" w:hRule="exact"/>
        </w:trPr>
        <w:tc>
          <w:tcPr>
            <w:tcW w:w="1385" w:type="dxa"/>
          </w:tcPr>
          <w:p>
            <w:pPr>
              <w:pStyle w:val="TableParagraph"/>
              <w:spacing w:line="242" w:lineRule="auto"/>
              <w:ind w:right="127"/>
              <w:rPr>
                <w:sz w:val="22"/>
              </w:rPr>
            </w:pPr>
            <w:r>
              <w:rPr>
                <w:sz w:val="22"/>
              </w:rPr>
              <w:t>Raúl Rivas Castillo</w:t>
            </w:r>
          </w:p>
        </w:tc>
        <w:tc>
          <w:tcPr>
            <w:tcW w:w="1274" w:type="dxa"/>
          </w:tcPr>
          <w:p>
            <w:pPr>
              <w:pStyle w:val="TableParagraph"/>
              <w:spacing w:line="242" w:lineRule="auto"/>
              <w:ind w:left="100" w:right="227"/>
              <w:rPr>
                <w:sz w:val="22"/>
              </w:rPr>
            </w:pPr>
            <w:r>
              <w:rPr>
                <w:sz w:val="22"/>
              </w:rPr>
              <w:t>Ingeniero Civil</w:t>
            </w:r>
          </w:p>
        </w:tc>
        <w:tc>
          <w:tcPr>
            <w:tcW w:w="1887" w:type="dxa"/>
          </w:tcPr>
          <w:p>
            <w:pPr>
              <w:pStyle w:val="TableParagraph"/>
              <w:spacing w:line="242" w:lineRule="auto"/>
              <w:ind w:right="238"/>
              <w:rPr>
                <w:sz w:val="22"/>
              </w:rPr>
            </w:pPr>
            <w:r>
              <w:rPr>
                <w:sz w:val="22"/>
              </w:rPr>
              <w:t>Jefe del Distrito de Riego en el</w:t>
            </w:r>
          </w:p>
        </w:tc>
        <w:tc>
          <w:tcPr>
            <w:tcW w:w="1289" w:type="dxa"/>
          </w:tcPr>
          <w:p>
            <w:pPr>
              <w:pStyle w:val="TableParagraph"/>
              <w:spacing w:line="242" w:lineRule="auto"/>
              <w:ind w:right="336"/>
              <w:rPr>
                <w:sz w:val="22"/>
              </w:rPr>
            </w:pPr>
            <w:r>
              <w:rPr>
                <w:sz w:val="22"/>
              </w:rPr>
              <w:t>Cuautla, Morelos</w:t>
            </w:r>
          </w:p>
        </w:tc>
        <w:tc>
          <w:tcPr>
            <w:tcW w:w="1174" w:type="dxa"/>
          </w:tcPr>
          <w:p>
            <w:pPr>
              <w:pStyle w:val="TableParagraph"/>
              <w:spacing w:line="242" w:lineRule="auto"/>
              <w:ind w:right="123"/>
              <w:rPr>
                <w:sz w:val="22"/>
              </w:rPr>
            </w:pPr>
            <w:r>
              <w:rPr>
                <w:sz w:val="22"/>
              </w:rPr>
              <w:t>Atlacomu lco,</w:t>
            </w:r>
          </w:p>
        </w:tc>
        <w:tc>
          <w:tcPr>
            <w:tcW w:w="6215" w:type="dxa"/>
          </w:tcPr>
          <w:p>
            <w:pPr>
              <w:pStyle w:val="TableParagraph"/>
              <w:spacing w:line="242" w:lineRule="auto"/>
              <w:ind w:left="100" w:right="105"/>
              <w:rPr>
                <w:sz w:val="22"/>
              </w:rPr>
            </w:pPr>
            <w:r>
              <w:rPr>
                <w:sz w:val="22"/>
              </w:rPr>
              <w:t>Ya existe un reglamento en la Asociación de Usuarios del Sistema de Riego Huapango Arroyo Zarco para regular el</w:t>
            </w:r>
          </w:p>
        </w:tc>
      </w:tr>
    </w:tbl>
    <w:p>
      <w:pPr>
        <w:spacing w:after="0" w:line="242" w:lineRule="auto"/>
        <w:rPr>
          <w:sz w:val="22"/>
        </w:rPr>
        <w:sectPr>
          <w:pgSz w:w="15840" w:h="12240" w:orient="landscape"/>
          <w:pgMar w:header="0" w:footer="943" w:top="1140" w:bottom="114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6215"/>
      </w:tblGrid>
      <w:tr>
        <w:trPr>
          <w:trHeight w:val="768" w:hRule="exact"/>
        </w:trPr>
        <w:tc>
          <w:tcPr>
            <w:tcW w:w="1385" w:type="dxa"/>
          </w:tcPr>
          <w:p>
            <w:pPr>
              <w:pStyle w:val="TableParagraph"/>
              <w:spacing w:line="251" w:lineRule="exact"/>
              <w:rPr>
                <w:sz w:val="22"/>
              </w:rPr>
            </w:pPr>
            <w:r>
              <w:rPr>
                <w:sz w:val="22"/>
              </w:rPr>
              <w:t>(13/II/2014)</w:t>
            </w:r>
          </w:p>
        </w:tc>
        <w:tc>
          <w:tcPr>
            <w:tcW w:w="1274" w:type="dxa"/>
          </w:tcPr>
          <w:p>
            <w:pPr/>
          </w:p>
        </w:tc>
        <w:tc>
          <w:tcPr>
            <w:tcW w:w="1887" w:type="dxa"/>
          </w:tcPr>
          <w:p>
            <w:pPr>
              <w:pStyle w:val="TableParagraph"/>
              <w:spacing w:line="252" w:lineRule="exact" w:before="2"/>
              <w:ind w:right="763"/>
              <w:rPr>
                <w:sz w:val="22"/>
              </w:rPr>
            </w:pPr>
            <w:r>
              <w:rPr>
                <w:sz w:val="22"/>
              </w:rPr>
              <w:t>Estado de México</w:t>
            </w:r>
          </w:p>
        </w:tc>
        <w:tc>
          <w:tcPr>
            <w:tcW w:w="1289" w:type="dxa"/>
          </w:tcPr>
          <w:p>
            <w:pPr/>
          </w:p>
        </w:tc>
        <w:tc>
          <w:tcPr>
            <w:tcW w:w="1174" w:type="dxa"/>
          </w:tcPr>
          <w:p>
            <w:pPr>
              <w:pStyle w:val="TableParagraph"/>
              <w:ind w:right="344"/>
              <w:rPr>
                <w:sz w:val="22"/>
              </w:rPr>
            </w:pPr>
            <w:r>
              <w:rPr>
                <w:sz w:val="22"/>
              </w:rPr>
              <w:t>Estado de México</w:t>
            </w:r>
          </w:p>
        </w:tc>
        <w:tc>
          <w:tcPr>
            <w:tcW w:w="6215" w:type="dxa"/>
          </w:tcPr>
          <w:p>
            <w:pPr>
              <w:pStyle w:val="TableParagraph"/>
              <w:spacing w:line="251" w:lineRule="exact"/>
              <w:ind w:left="100" w:right="105"/>
              <w:rPr>
                <w:sz w:val="22"/>
              </w:rPr>
            </w:pPr>
            <w:r>
              <w:rPr>
                <w:sz w:val="22"/>
              </w:rPr>
              <w:t>riego.</w:t>
            </w:r>
          </w:p>
        </w:tc>
      </w:tr>
      <w:tr>
        <w:trPr>
          <w:trHeight w:val="1274" w:hRule="exact"/>
        </w:trPr>
        <w:tc>
          <w:tcPr>
            <w:tcW w:w="1385" w:type="dxa"/>
          </w:tcPr>
          <w:p>
            <w:pPr>
              <w:pStyle w:val="TableParagraph"/>
              <w:ind w:right="127"/>
              <w:rPr>
                <w:sz w:val="22"/>
              </w:rPr>
            </w:pPr>
            <w:r>
              <w:rPr>
                <w:sz w:val="22"/>
              </w:rPr>
              <w:t>Juan Manuel Alfaro Gómez (13/II/2014)</w:t>
            </w:r>
          </w:p>
        </w:tc>
        <w:tc>
          <w:tcPr>
            <w:tcW w:w="1274" w:type="dxa"/>
          </w:tcPr>
          <w:p>
            <w:pPr>
              <w:pStyle w:val="TableParagraph"/>
              <w:spacing w:line="242" w:lineRule="auto"/>
              <w:ind w:left="100" w:right="227"/>
              <w:rPr>
                <w:sz w:val="22"/>
              </w:rPr>
            </w:pPr>
            <w:r>
              <w:rPr>
                <w:sz w:val="22"/>
              </w:rPr>
              <w:t>Ingeniero Civil</w:t>
            </w:r>
          </w:p>
        </w:tc>
        <w:tc>
          <w:tcPr>
            <w:tcW w:w="1887" w:type="dxa"/>
          </w:tcPr>
          <w:p>
            <w:pPr>
              <w:pStyle w:val="TableParagraph"/>
              <w:spacing w:line="242" w:lineRule="auto"/>
              <w:ind w:right="702"/>
              <w:rPr>
                <w:sz w:val="22"/>
              </w:rPr>
            </w:pPr>
            <w:r>
              <w:rPr>
                <w:sz w:val="22"/>
              </w:rPr>
              <w:t>Subjefe de Operación</w:t>
            </w:r>
          </w:p>
        </w:tc>
        <w:tc>
          <w:tcPr>
            <w:tcW w:w="1289" w:type="dxa"/>
          </w:tcPr>
          <w:p>
            <w:pPr>
              <w:pStyle w:val="TableParagraph"/>
              <w:spacing w:line="242" w:lineRule="auto"/>
              <w:ind w:right="129"/>
              <w:rPr>
                <w:sz w:val="22"/>
              </w:rPr>
            </w:pPr>
            <w:r>
              <w:rPr>
                <w:sz w:val="22"/>
              </w:rPr>
              <w:t>Tamaulipa s</w:t>
            </w:r>
          </w:p>
        </w:tc>
        <w:tc>
          <w:tcPr>
            <w:tcW w:w="1174" w:type="dxa"/>
          </w:tcPr>
          <w:p>
            <w:pPr>
              <w:pStyle w:val="TableParagraph"/>
              <w:ind w:right="131"/>
              <w:rPr>
                <w:sz w:val="22"/>
              </w:rPr>
            </w:pPr>
            <w:r>
              <w:rPr>
                <w:sz w:val="22"/>
              </w:rPr>
              <w:t>Atlacomu lco, Estado de México</w:t>
            </w:r>
          </w:p>
        </w:tc>
        <w:tc>
          <w:tcPr>
            <w:tcW w:w="6215" w:type="dxa"/>
          </w:tcPr>
          <w:p>
            <w:pPr>
              <w:pStyle w:val="TableParagraph"/>
              <w:ind w:left="100" w:right="102"/>
              <w:jc w:val="both"/>
              <w:rPr>
                <w:sz w:val="22"/>
              </w:rPr>
            </w:pPr>
            <w:r>
              <w:rPr>
                <w:sz w:val="22"/>
              </w:rPr>
              <w:t>Sí para que los municipios tomen conciencia del daño que se está ocasionando con la contaminación y para el uso de riego, pues ya existe el de la Asociación de Usuarios.</w:t>
            </w:r>
          </w:p>
        </w:tc>
      </w:tr>
      <w:tr>
        <w:trPr>
          <w:trHeight w:val="1781" w:hRule="exact"/>
        </w:trPr>
        <w:tc>
          <w:tcPr>
            <w:tcW w:w="1385" w:type="dxa"/>
          </w:tcPr>
          <w:p>
            <w:pPr>
              <w:pStyle w:val="TableParagraph"/>
              <w:rPr>
                <w:sz w:val="22"/>
              </w:rPr>
            </w:pPr>
            <w:r>
              <w:rPr>
                <w:sz w:val="22"/>
              </w:rPr>
              <w:t>Jaime Ruiz Martínez (17/7/2014)</w:t>
            </w:r>
          </w:p>
        </w:tc>
        <w:tc>
          <w:tcPr>
            <w:tcW w:w="1274" w:type="dxa"/>
          </w:tcPr>
          <w:p>
            <w:pPr>
              <w:pStyle w:val="TableParagraph"/>
              <w:ind w:left="104" w:right="105"/>
              <w:jc w:val="center"/>
              <w:rPr>
                <w:sz w:val="22"/>
              </w:rPr>
            </w:pPr>
            <w:r>
              <w:rPr>
                <w:sz w:val="22"/>
              </w:rPr>
              <w:t>N/C</w:t>
            </w:r>
          </w:p>
        </w:tc>
        <w:tc>
          <w:tcPr>
            <w:tcW w:w="1887" w:type="dxa"/>
          </w:tcPr>
          <w:p>
            <w:pPr>
              <w:pStyle w:val="TableParagraph"/>
              <w:ind w:right="101"/>
              <w:jc w:val="both"/>
              <w:rPr>
                <w:sz w:val="22"/>
              </w:rPr>
            </w:pPr>
            <w:r>
              <w:rPr>
                <w:sz w:val="22"/>
              </w:rPr>
              <w:t>Presidente de la Asociación    </w:t>
            </w:r>
            <w:r>
              <w:rPr>
                <w:spacing w:val="54"/>
                <w:sz w:val="22"/>
              </w:rPr>
              <w:t> </w:t>
            </w:r>
            <w:r>
              <w:rPr>
                <w:sz w:val="22"/>
              </w:rPr>
              <w:t>de</w:t>
            </w:r>
          </w:p>
          <w:p>
            <w:pPr>
              <w:pStyle w:val="TableParagraph"/>
              <w:spacing w:line="252" w:lineRule="exact"/>
              <w:jc w:val="both"/>
              <w:rPr>
                <w:sz w:val="22"/>
              </w:rPr>
            </w:pPr>
            <w:r>
              <w:rPr>
                <w:sz w:val="22"/>
              </w:rPr>
              <w:t>Usuarios        del</w:t>
            </w:r>
          </w:p>
          <w:p>
            <w:pPr>
              <w:pStyle w:val="TableParagraph"/>
              <w:spacing w:before="1"/>
              <w:ind w:right="101"/>
              <w:jc w:val="both"/>
              <w:rPr>
                <w:sz w:val="22"/>
              </w:rPr>
            </w:pPr>
            <w:r>
              <w:rPr>
                <w:sz w:val="22"/>
              </w:rPr>
              <w:t>Sistema de Riego Huapango Arroyo Zarco México S.A.</w:t>
            </w:r>
          </w:p>
        </w:tc>
        <w:tc>
          <w:tcPr>
            <w:tcW w:w="1289" w:type="dxa"/>
          </w:tcPr>
          <w:p>
            <w:pPr>
              <w:pStyle w:val="TableParagraph"/>
              <w:ind w:right="513"/>
              <w:jc w:val="both"/>
              <w:rPr>
                <w:sz w:val="22"/>
              </w:rPr>
            </w:pPr>
            <w:r>
              <w:rPr>
                <w:sz w:val="22"/>
              </w:rPr>
              <w:t>Arroyo Zarco, Aculco</w:t>
            </w:r>
          </w:p>
        </w:tc>
        <w:tc>
          <w:tcPr>
            <w:tcW w:w="1174" w:type="dxa"/>
          </w:tcPr>
          <w:p>
            <w:pPr>
              <w:pStyle w:val="TableParagraph"/>
              <w:ind w:right="398"/>
              <w:jc w:val="both"/>
              <w:rPr>
                <w:sz w:val="22"/>
              </w:rPr>
            </w:pPr>
            <w:r>
              <w:rPr>
                <w:sz w:val="22"/>
              </w:rPr>
              <w:t>Arroyo Zarco, Aculco</w:t>
            </w:r>
          </w:p>
        </w:tc>
        <w:tc>
          <w:tcPr>
            <w:tcW w:w="6215" w:type="dxa"/>
          </w:tcPr>
          <w:p>
            <w:pPr>
              <w:pStyle w:val="TableParagraph"/>
              <w:ind w:left="100" w:right="101"/>
              <w:jc w:val="both"/>
              <w:rPr>
                <w:sz w:val="22"/>
              </w:rPr>
            </w:pPr>
            <w:r>
              <w:rPr>
                <w:sz w:val="22"/>
              </w:rPr>
              <w:t>No considero apropiado un reglamento intermunicipal para regular el uso de la laguna Huapango porque habría más conflicto.</w:t>
            </w:r>
          </w:p>
        </w:tc>
      </w:tr>
      <w:tr>
        <w:trPr>
          <w:trHeight w:val="518" w:hRule="exact"/>
        </w:trPr>
        <w:tc>
          <w:tcPr>
            <w:tcW w:w="4547" w:type="dxa"/>
            <w:gridSpan w:val="3"/>
          </w:tcPr>
          <w:p>
            <w:pPr>
              <w:pStyle w:val="TableParagraph"/>
              <w:ind w:right="141"/>
              <w:rPr>
                <w:sz w:val="22"/>
              </w:rPr>
            </w:pPr>
            <w:r>
              <w:rPr>
                <w:sz w:val="22"/>
              </w:rPr>
              <w:t>Encargado de abrir la compuerta de la  presa Huapango para</w:t>
            </w:r>
            <w:r>
              <w:rPr>
                <w:spacing w:val="-10"/>
                <w:sz w:val="22"/>
              </w:rPr>
              <w:t> </w:t>
            </w:r>
            <w:r>
              <w:rPr>
                <w:sz w:val="22"/>
              </w:rPr>
              <w:t>riego.</w:t>
            </w:r>
          </w:p>
        </w:tc>
        <w:tc>
          <w:tcPr>
            <w:tcW w:w="8677" w:type="dxa"/>
            <w:gridSpan w:val="3"/>
          </w:tcPr>
          <w:p>
            <w:pPr>
              <w:pStyle w:val="TableParagraph"/>
              <w:rPr>
                <w:sz w:val="22"/>
              </w:rPr>
            </w:pPr>
            <w:r>
              <w:rPr>
                <w:sz w:val="22"/>
              </w:rPr>
              <w:t>No accedió a la entrevista porque necesitaba el permiso de sus superiores.</w:t>
            </w:r>
          </w:p>
        </w:tc>
      </w:tr>
    </w:tbl>
    <w:p>
      <w:pPr>
        <w:pStyle w:val="BodyText"/>
        <w:spacing w:line="248" w:lineRule="exact"/>
        <w:ind w:left="218" w:right="778"/>
      </w:pPr>
      <w:r>
        <w:rPr>
          <w:b/>
        </w:rPr>
        <w:t>Fuente: </w:t>
      </w:r>
      <w:r>
        <w:rPr/>
        <w:t>Elaboración propia con base en el Trabajo de Campo, García (2013-2015).</w:t>
      </w:r>
    </w:p>
    <w:p>
      <w:pPr>
        <w:pStyle w:val="BodyText"/>
        <w:spacing w:before="7"/>
        <w:rPr>
          <w:sz w:val="20"/>
        </w:rPr>
      </w:pPr>
    </w:p>
    <w:p>
      <w:pPr>
        <w:pStyle w:val="Heading6"/>
        <w:spacing w:after="5"/>
        <w:ind w:left="2587" w:right="778"/>
      </w:pPr>
      <w:r>
        <w:rPr/>
        <w:t>Tabla 6.14. Actores Federales (Autoridades Federales) (continuidad de la tabla)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6215"/>
      </w:tblGrid>
      <w:tr>
        <w:trPr>
          <w:trHeight w:val="292" w:hRule="exact"/>
        </w:trPr>
        <w:tc>
          <w:tcPr>
            <w:tcW w:w="13224" w:type="dxa"/>
            <w:gridSpan w:val="6"/>
            <w:shd w:val="clear" w:color="auto" w:fill="9BBA58"/>
          </w:tcPr>
          <w:p>
            <w:pPr>
              <w:pStyle w:val="TableParagraph"/>
              <w:spacing w:line="249" w:lineRule="exact"/>
              <w:ind w:left="4869" w:right="4869"/>
              <w:jc w:val="center"/>
              <w:rPr>
                <w:b/>
                <w:sz w:val="22"/>
              </w:rPr>
            </w:pPr>
            <w:r>
              <w:rPr>
                <w:b/>
                <w:sz w:val="22"/>
              </w:rPr>
              <w:t>ACTORES FEDERALES</w:t>
            </w:r>
          </w:p>
        </w:tc>
      </w:tr>
      <w:tr>
        <w:trPr>
          <w:trHeight w:val="524" w:hRule="exact"/>
        </w:trPr>
        <w:tc>
          <w:tcPr>
            <w:tcW w:w="4547" w:type="dxa"/>
            <w:gridSpan w:val="3"/>
            <w:vMerge w:val="restart"/>
            <w:shd w:val="clear" w:color="auto" w:fill="F9BE8F"/>
          </w:tcPr>
          <w:p>
            <w:pPr>
              <w:pStyle w:val="TableParagraph"/>
              <w:spacing w:before="5"/>
              <w:ind w:left="0"/>
              <w:rPr>
                <w:b/>
                <w:sz w:val="21"/>
              </w:rPr>
            </w:pPr>
          </w:p>
          <w:p>
            <w:pPr>
              <w:pStyle w:val="TableParagraph"/>
              <w:ind w:left="703" w:right="141"/>
              <w:rPr>
                <w:b/>
                <w:sz w:val="22"/>
              </w:rPr>
            </w:pPr>
            <w:r>
              <w:rPr>
                <w:b/>
                <w:sz w:val="22"/>
              </w:rPr>
              <w:t>IDENTIFICACIÓN DEL ACTOR</w:t>
            </w:r>
          </w:p>
        </w:tc>
        <w:tc>
          <w:tcPr>
            <w:tcW w:w="8677" w:type="dxa"/>
            <w:gridSpan w:val="3"/>
            <w:shd w:val="clear" w:color="auto" w:fill="92CDDC"/>
          </w:tcPr>
          <w:p>
            <w:pPr>
              <w:pStyle w:val="TableParagraph"/>
              <w:spacing w:before="5"/>
              <w:ind w:left="0"/>
              <w:rPr>
                <w:b/>
                <w:sz w:val="21"/>
              </w:rPr>
            </w:pPr>
          </w:p>
          <w:p>
            <w:pPr>
              <w:pStyle w:val="TableParagraph"/>
              <w:ind w:left="2695"/>
              <w:rPr>
                <w:b/>
                <w:sz w:val="22"/>
              </w:rPr>
            </w:pPr>
            <w:r>
              <w:rPr>
                <w:b/>
                <w:sz w:val="22"/>
              </w:rPr>
              <w:t>PRINCIPIOS DE GOBERNANZA</w:t>
            </w:r>
          </w:p>
        </w:tc>
      </w:tr>
      <w:tr>
        <w:trPr>
          <w:trHeight w:val="516" w:hRule="exact"/>
        </w:trPr>
        <w:tc>
          <w:tcPr>
            <w:tcW w:w="4547" w:type="dxa"/>
            <w:gridSpan w:val="3"/>
            <w:vMerge/>
            <w:shd w:val="clear" w:color="auto" w:fill="F9BE8F"/>
          </w:tcPr>
          <w:p>
            <w:pPr/>
          </w:p>
        </w:tc>
        <w:tc>
          <w:tcPr>
            <w:tcW w:w="2462" w:type="dxa"/>
            <w:gridSpan w:val="2"/>
            <w:shd w:val="clear" w:color="auto" w:fill="92CDDC"/>
          </w:tcPr>
          <w:p>
            <w:pPr>
              <w:pStyle w:val="TableParagraph"/>
              <w:spacing w:line="249" w:lineRule="exact"/>
              <w:ind w:left="736"/>
              <w:rPr>
                <w:b/>
                <w:sz w:val="22"/>
              </w:rPr>
            </w:pPr>
            <w:r>
              <w:rPr>
                <w:b/>
                <w:sz w:val="22"/>
              </w:rPr>
              <w:t>Identidad</w:t>
            </w:r>
          </w:p>
        </w:tc>
        <w:tc>
          <w:tcPr>
            <w:tcW w:w="6215" w:type="dxa"/>
            <w:shd w:val="clear" w:color="auto" w:fill="92CDDC"/>
          </w:tcPr>
          <w:p>
            <w:pPr>
              <w:pStyle w:val="TableParagraph"/>
              <w:tabs>
                <w:tab w:pos="1736" w:val="left" w:leader="none"/>
                <w:tab w:pos="3414" w:val="left" w:leader="none"/>
                <w:tab w:pos="3761" w:val="left" w:leader="none"/>
                <w:tab w:pos="5434" w:val="left" w:leader="none"/>
                <w:tab w:pos="5919" w:val="left" w:leader="none"/>
              </w:tabs>
              <w:spacing w:line="252" w:lineRule="exact" w:before="1"/>
              <w:ind w:left="100" w:right="98"/>
              <w:rPr>
                <w:b/>
                <w:sz w:val="22"/>
              </w:rPr>
            </w:pPr>
            <w:r>
              <w:rPr>
                <w:b/>
                <w:sz w:val="22"/>
              </w:rPr>
              <w:t>Cooperación,</w:t>
              <w:tab/>
              <w:t>democracia</w:t>
              <w:tab/>
              <w:t>y</w:t>
              <w:tab/>
              <w:t>voluntariedad</w:t>
              <w:tab/>
              <w:t>de</w:t>
              <w:tab/>
              <w:t>la sociedad, participación</w:t>
            </w:r>
            <w:r>
              <w:rPr>
                <w:b/>
                <w:spacing w:val="-6"/>
                <w:sz w:val="22"/>
              </w:rPr>
              <w:t> </w:t>
            </w:r>
            <w:r>
              <w:rPr>
                <w:b/>
                <w:sz w:val="22"/>
              </w:rPr>
              <w:t>social</w:t>
            </w:r>
          </w:p>
        </w:tc>
      </w:tr>
      <w:tr>
        <w:trPr>
          <w:trHeight w:val="769" w:hRule="exact"/>
        </w:trPr>
        <w:tc>
          <w:tcPr>
            <w:tcW w:w="1385" w:type="dxa"/>
            <w:shd w:val="clear" w:color="auto" w:fill="F9BE8F"/>
          </w:tcPr>
          <w:p>
            <w:pPr>
              <w:pStyle w:val="TableParagraph"/>
              <w:spacing w:line="252" w:lineRule="exact" w:before="1"/>
              <w:ind w:right="205"/>
              <w:jc w:val="both"/>
              <w:rPr>
                <w:b/>
                <w:sz w:val="22"/>
              </w:rPr>
            </w:pPr>
            <w:r>
              <w:rPr>
                <w:b/>
                <w:sz w:val="22"/>
              </w:rPr>
              <w:t>Nombre y Fecha de Entrevista</w:t>
            </w:r>
          </w:p>
        </w:tc>
        <w:tc>
          <w:tcPr>
            <w:tcW w:w="1274" w:type="dxa"/>
            <w:shd w:val="clear" w:color="auto" w:fill="F9BE8F"/>
          </w:tcPr>
          <w:p>
            <w:pPr>
              <w:pStyle w:val="TableParagraph"/>
              <w:spacing w:line="252" w:lineRule="exact" w:before="1"/>
              <w:ind w:left="100" w:right="93"/>
              <w:rPr>
                <w:b/>
                <w:sz w:val="22"/>
              </w:rPr>
            </w:pPr>
            <w:r>
              <w:rPr>
                <w:b/>
                <w:sz w:val="22"/>
              </w:rPr>
              <w:t>Nivel Educativo</w:t>
            </w:r>
          </w:p>
        </w:tc>
        <w:tc>
          <w:tcPr>
            <w:tcW w:w="1887" w:type="dxa"/>
            <w:shd w:val="clear" w:color="auto" w:fill="F9BE8F"/>
          </w:tcPr>
          <w:p>
            <w:pPr>
              <w:pStyle w:val="TableParagraph"/>
              <w:spacing w:line="249" w:lineRule="exact"/>
              <w:rPr>
                <w:b/>
                <w:sz w:val="22"/>
              </w:rPr>
            </w:pPr>
            <w:r>
              <w:rPr>
                <w:b/>
                <w:sz w:val="22"/>
              </w:rPr>
              <w:t>Cargo Público</w:t>
            </w:r>
          </w:p>
        </w:tc>
        <w:tc>
          <w:tcPr>
            <w:tcW w:w="1289" w:type="dxa"/>
            <w:shd w:val="clear" w:color="auto" w:fill="92CDDC"/>
          </w:tcPr>
          <w:p>
            <w:pPr>
              <w:pStyle w:val="TableParagraph"/>
              <w:spacing w:line="252" w:lineRule="exact" w:before="1"/>
              <w:ind w:right="337"/>
              <w:rPr>
                <w:b/>
                <w:sz w:val="22"/>
              </w:rPr>
            </w:pPr>
            <w:r>
              <w:rPr>
                <w:b/>
                <w:sz w:val="22"/>
              </w:rPr>
              <w:t>¿Dónde nació?</w:t>
            </w:r>
          </w:p>
        </w:tc>
        <w:tc>
          <w:tcPr>
            <w:tcW w:w="1174" w:type="dxa"/>
            <w:shd w:val="clear" w:color="auto" w:fill="92CDDC"/>
          </w:tcPr>
          <w:p>
            <w:pPr>
              <w:pStyle w:val="TableParagraph"/>
              <w:spacing w:line="252" w:lineRule="exact" w:before="1"/>
              <w:ind w:right="222"/>
              <w:rPr>
                <w:b/>
                <w:sz w:val="22"/>
              </w:rPr>
            </w:pPr>
            <w:r>
              <w:rPr>
                <w:b/>
                <w:sz w:val="22"/>
              </w:rPr>
              <w:t>¿Dónde vive?</w:t>
            </w:r>
          </w:p>
        </w:tc>
        <w:tc>
          <w:tcPr>
            <w:tcW w:w="6215" w:type="dxa"/>
            <w:shd w:val="clear" w:color="auto" w:fill="92CDDC"/>
          </w:tcPr>
          <w:p>
            <w:pPr>
              <w:pStyle w:val="TableParagraph"/>
              <w:spacing w:line="252" w:lineRule="exact" w:before="1"/>
              <w:ind w:left="100" w:right="105"/>
              <w:rPr>
                <w:b/>
                <w:sz w:val="22"/>
              </w:rPr>
            </w:pPr>
            <w:r>
              <w:rPr>
                <w:b/>
                <w:sz w:val="22"/>
              </w:rPr>
              <w:t>¿Estaría usted dispuesto a asistir a una reunión para tratar asuntos relacionados con la laguna de Huapango?</w:t>
            </w:r>
          </w:p>
        </w:tc>
      </w:tr>
      <w:tr>
        <w:trPr>
          <w:trHeight w:val="1275" w:hRule="exact"/>
        </w:trPr>
        <w:tc>
          <w:tcPr>
            <w:tcW w:w="1385" w:type="dxa"/>
          </w:tcPr>
          <w:p>
            <w:pPr>
              <w:pStyle w:val="TableParagraph"/>
              <w:ind w:right="127"/>
              <w:rPr>
                <w:sz w:val="22"/>
              </w:rPr>
            </w:pPr>
            <w:r>
              <w:rPr>
                <w:sz w:val="22"/>
              </w:rPr>
              <w:t>Raúl Rivas Castillo (13/II/2014)</w:t>
            </w:r>
          </w:p>
        </w:tc>
        <w:tc>
          <w:tcPr>
            <w:tcW w:w="1274" w:type="dxa"/>
          </w:tcPr>
          <w:p>
            <w:pPr>
              <w:pStyle w:val="TableParagraph"/>
              <w:ind w:left="100" w:right="227"/>
              <w:rPr>
                <w:sz w:val="22"/>
              </w:rPr>
            </w:pPr>
            <w:r>
              <w:rPr>
                <w:sz w:val="22"/>
              </w:rPr>
              <w:t>Ingeniero Civil</w:t>
            </w:r>
          </w:p>
        </w:tc>
        <w:tc>
          <w:tcPr>
            <w:tcW w:w="1887" w:type="dxa"/>
          </w:tcPr>
          <w:p>
            <w:pPr>
              <w:pStyle w:val="TableParagraph"/>
              <w:ind w:right="238"/>
              <w:rPr>
                <w:sz w:val="22"/>
              </w:rPr>
            </w:pPr>
            <w:r>
              <w:rPr>
                <w:sz w:val="22"/>
              </w:rPr>
              <w:t>Jefe del Distrito de Riego en el Estado de México</w:t>
            </w:r>
          </w:p>
        </w:tc>
        <w:tc>
          <w:tcPr>
            <w:tcW w:w="1289" w:type="dxa"/>
          </w:tcPr>
          <w:p>
            <w:pPr>
              <w:pStyle w:val="TableParagraph"/>
              <w:ind w:right="336"/>
              <w:rPr>
                <w:sz w:val="22"/>
              </w:rPr>
            </w:pPr>
            <w:r>
              <w:rPr>
                <w:sz w:val="22"/>
              </w:rPr>
              <w:t>Cuautla, Morelos</w:t>
            </w:r>
          </w:p>
        </w:tc>
        <w:tc>
          <w:tcPr>
            <w:tcW w:w="1174" w:type="dxa"/>
          </w:tcPr>
          <w:p>
            <w:pPr>
              <w:pStyle w:val="TableParagraph"/>
              <w:ind w:right="131"/>
              <w:rPr>
                <w:sz w:val="22"/>
              </w:rPr>
            </w:pPr>
            <w:r>
              <w:rPr>
                <w:sz w:val="22"/>
              </w:rPr>
              <w:t>Atlacomu lco, Estado de México</w:t>
            </w:r>
          </w:p>
        </w:tc>
        <w:tc>
          <w:tcPr>
            <w:tcW w:w="6215" w:type="dxa"/>
          </w:tcPr>
          <w:p>
            <w:pPr>
              <w:pStyle w:val="TableParagraph"/>
              <w:ind w:left="100" w:right="105"/>
              <w:rPr>
                <w:sz w:val="22"/>
              </w:rPr>
            </w:pPr>
            <w:r>
              <w:rPr>
                <w:sz w:val="22"/>
              </w:rPr>
              <w:t>Sí, aunque nosotros nos reunimos periódicamente con la Asociación de Usuarios del Sistema de Riego.</w:t>
            </w:r>
          </w:p>
        </w:tc>
      </w:tr>
      <w:tr>
        <w:trPr>
          <w:trHeight w:val="264" w:hRule="exact"/>
        </w:trPr>
        <w:tc>
          <w:tcPr>
            <w:tcW w:w="1385" w:type="dxa"/>
          </w:tcPr>
          <w:p>
            <w:pPr>
              <w:pStyle w:val="TableParagraph"/>
              <w:spacing w:line="251" w:lineRule="exact"/>
              <w:ind w:right="127"/>
              <w:rPr>
                <w:sz w:val="22"/>
              </w:rPr>
            </w:pPr>
            <w:r>
              <w:rPr>
                <w:sz w:val="22"/>
              </w:rPr>
              <w:t>Juan</w:t>
            </w:r>
          </w:p>
        </w:tc>
        <w:tc>
          <w:tcPr>
            <w:tcW w:w="1274" w:type="dxa"/>
          </w:tcPr>
          <w:p>
            <w:pPr>
              <w:pStyle w:val="TableParagraph"/>
              <w:spacing w:line="251" w:lineRule="exact"/>
              <w:ind w:left="100" w:right="98"/>
              <w:rPr>
                <w:sz w:val="22"/>
              </w:rPr>
            </w:pPr>
            <w:r>
              <w:rPr>
                <w:sz w:val="22"/>
              </w:rPr>
              <w:t>Ingeniero</w:t>
            </w:r>
          </w:p>
        </w:tc>
        <w:tc>
          <w:tcPr>
            <w:tcW w:w="1887" w:type="dxa"/>
          </w:tcPr>
          <w:p>
            <w:pPr>
              <w:pStyle w:val="TableParagraph"/>
              <w:spacing w:line="251" w:lineRule="exact"/>
              <w:rPr>
                <w:sz w:val="22"/>
              </w:rPr>
            </w:pPr>
            <w:r>
              <w:rPr>
                <w:sz w:val="22"/>
              </w:rPr>
              <w:t>Subjefe de</w:t>
            </w:r>
          </w:p>
        </w:tc>
        <w:tc>
          <w:tcPr>
            <w:tcW w:w="1289" w:type="dxa"/>
          </w:tcPr>
          <w:p>
            <w:pPr>
              <w:pStyle w:val="TableParagraph"/>
              <w:spacing w:line="251" w:lineRule="exact"/>
              <w:rPr>
                <w:sz w:val="22"/>
              </w:rPr>
            </w:pPr>
            <w:r>
              <w:rPr>
                <w:sz w:val="22"/>
              </w:rPr>
              <w:t>Tamaulipa</w:t>
            </w:r>
          </w:p>
        </w:tc>
        <w:tc>
          <w:tcPr>
            <w:tcW w:w="1174" w:type="dxa"/>
          </w:tcPr>
          <w:p>
            <w:pPr>
              <w:pStyle w:val="TableParagraph"/>
              <w:spacing w:line="251" w:lineRule="exact"/>
              <w:rPr>
                <w:sz w:val="22"/>
              </w:rPr>
            </w:pPr>
            <w:r>
              <w:rPr>
                <w:sz w:val="22"/>
              </w:rPr>
              <w:t>Atlacomu</w:t>
            </w:r>
          </w:p>
        </w:tc>
        <w:tc>
          <w:tcPr>
            <w:tcW w:w="6215" w:type="dxa"/>
          </w:tcPr>
          <w:p>
            <w:pPr>
              <w:pStyle w:val="TableParagraph"/>
              <w:spacing w:line="251" w:lineRule="exact"/>
              <w:ind w:left="100"/>
              <w:rPr>
                <w:sz w:val="22"/>
              </w:rPr>
            </w:pPr>
            <w:r>
              <w:rPr>
                <w:sz w:val="22"/>
              </w:rPr>
              <w:t>Sí para tratar el asunto de la contaminación porque es grave.</w:t>
            </w:r>
          </w:p>
        </w:tc>
      </w:tr>
    </w:tbl>
    <w:p>
      <w:pPr>
        <w:spacing w:after="0" w:line="251" w:lineRule="exact"/>
        <w:rPr>
          <w:sz w:val="22"/>
        </w:rPr>
        <w:sectPr>
          <w:pgSz w:w="15840" w:h="12240" w:orient="landscape"/>
          <w:pgMar w:header="0" w:footer="943" w:top="1140" w:bottom="1200" w:left="1200" w:right="1180"/>
        </w:sectPr>
      </w:pPr>
    </w:p>
    <w:p>
      <w:pPr>
        <w:pStyle w:val="BodyText"/>
        <w:rPr>
          <w:b/>
          <w:sz w:val="20"/>
        </w:rPr>
      </w:pP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887"/>
        <w:gridCol w:w="1289"/>
        <w:gridCol w:w="1174"/>
        <w:gridCol w:w="6215"/>
      </w:tblGrid>
      <w:tr>
        <w:trPr>
          <w:trHeight w:val="1022" w:hRule="exact"/>
        </w:trPr>
        <w:tc>
          <w:tcPr>
            <w:tcW w:w="1385" w:type="dxa"/>
          </w:tcPr>
          <w:p>
            <w:pPr>
              <w:pStyle w:val="TableParagraph"/>
              <w:ind w:right="127"/>
              <w:rPr>
                <w:sz w:val="22"/>
              </w:rPr>
            </w:pPr>
            <w:r>
              <w:rPr>
                <w:sz w:val="22"/>
              </w:rPr>
              <w:t>Manuel Alfaro Gómez (13/II/2014)</w:t>
            </w:r>
          </w:p>
        </w:tc>
        <w:tc>
          <w:tcPr>
            <w:tcW w:w="1274" w:type="dxa"/>
          </w:tcPr>
          <w:p>
            <w:pPr>
              <w:pStyle w:val="TableParagraph"/>
              <w:spacing w:line="251" w:lineRule="exact"/>
              <w:ind w:left="100" w:right="98"/>
              <w:rPr>
                <w:sz w:val="22"/>
              </w:rPr>
            </w:pPr>
            <w:r>
              <w:rPr>
                <w:sz w:val="22"/>
              </w:rPr>
              <w:t>Civil</w:t>
            </w:r>
          </w:p>
        </w:tc>
        <w:tc>
          <w:tcPr>
            <w:tcW w:w="1887" w:type="dxa"/>
          </w:tcPr>
          <w:p>
            <w:pPr>
              <w:pStyle w:val="TableParagraph"/>
              <w:spacing w:line="251" w:lineRule="exact"/>
              <w:rPr>
                <w:sz w:val="22"/>
              </w:rPr>
            </w:pPr>
            <w:r>
              <w:rPr>
                <w:sz w:val="22"/>
              </w:rPr>
              <w:t>Operación</w:t>
            </w:r>
          </w:p>
        </w:tc>
        <w:tc>
          <w:tcPr>
            <w:tcW w:w="1289" w:type="dxa"/>
          </w:tcPr>
          <w:p>
            <w:pPr>
              <w:pStyle w:val="TableParagraph"/>
              <w:spacing w:line="251" w:lineRule="exact"/>
              <w:rPr>
                <w:sz w:val="22"/>
              </w:rPr>
            </w:pPr>
            <w:r>
              <w:rPr>
                <w:w w:val="100"/>
                <w:sz w:val="22"/>
              </w:rPr>
              <w:t>s</w:t>
            </w:r>
          </w:p>
        </w:tc>
        <w:tc>
          <w:tcPr>
            <w:tcW w:w="1174" w:type="dxa"/>
          </w:tcPr>
          <w:p>
            <w:pPr>
              <w:pStyle w:val="TableParagraph"/>
              <w:ind w:right="344"/>
              <w:rPr>
                <w:sz w:val="22"/>
              </w:rPr>
            </w:pPr>
            <w:r>
              <w:rPr>
                <w:sz w:val="22"/>
              </w:rPr>
              <w:t>lco, Estado de México</w:t>
            </w:r>
          </w:p>
        </w:tc>
        <w:tc>
          <w:tcPr>
            <w:tcW w:w="6215" w:type="dxa"/>
          </w:tcPr>
          <w:p>
            <w:pPr/>
          </w:p>
        </w:tc>
      </w:tr>
      <w:tr>
        <w:trPr>
          <w:trHeight w:val="1781" w:hRule="exact"/>
        </w:trPr>
        <w:tc>
          <w:tcPr>
            <w:tcW w:w="1385" w:type="dxa"/>
          </w:tcPr>
          <w:p>
            <w:pPr>
              <w:pStyle w:val="TableParagraph"/>
              <w:rPr>
                <w:sz w:val="22"/>
              </w:rPr>
            </w:pPr>
            <w:r>
              <w:rPr>
                <w:sz w:val="22"/>
              </w:rPr>
              <w:t>Jaime Ruiz Martínez (17/7/2014)</w:t>
            </w:r>
          </w:p>
        </w:tc>
        <w:tc>
          <w:tcPr>
            <w:tcW w:w="1274" w:type="dxa"/>
          </w:tcPr>
          <w:p>
            <w:pPr>
              <w:pStyle w:val="TableParagraph"/>
              <w:spacing w:line="251" w:lineRule="exact"/>
              <w:ind w:left="104" w:right="105"/>
              <w:jc w:val="center"/>
              <w:rPr>
                <w:sz w:val="22"/>
              </w:rPr>
            </w:pPr>
            <w:r>
              <w:rPr>
                <w:sz w:val="22"/>
              </w:rPr>
              <w:t>N/C</w:t>
            </w:r>
          </w:p>
        </w:tc>
        <w:tc>
          <w:tcPr>
            <w:tcW w:w="1887" w:type="dxa"/>
          </w:tcPr>
          <w:p>
            <w:pPr>
              <w:pStyle w:val="TableParagraph"/>
              <w:spacing w:line="252" w:lineRule="exact" w:before="2"/>
              <w:ind w:right="101"/>
              <w:jc w:val="both"/>
              <w:rPr>
                <w:sz w:val="22"/>
              </w:rPr>
            </w:pPr>
            <w:r>
              <w:rPr>
                <w:sz w:val="22"/>
              </w:rPr>
              <w:t>Presidente de la Asociación    </w:t>
            </w:r>
            <w:r>
              <w:rPr>
                <w:spacing w:val="54"/>
                <w:sz w:val="22"/>
              </w:rPr>
              <w:t> </w:t>
            </w:r>
            <w:r>
              <w:rPr>
                <w:sz w:val="22"/>
              </w:rPr>
              <w:t>de</w:t>
            </w:r>
          </w:p>
          <w:p>
            <w:pPr>
              <w:pStyle w:val="TableParagraph"/>
              <w:spacing w:line="250" w:lineRule="exact"/>
              <w:jc w:val="both"/>
              <w:rPr>
                <w:sz w:val="22"/>
              </w:rPr>
            </w:pPr>
            <w:r>
              <w:rPr>
                <w:sz w:val="22"/>
              </w:rPr>
              <w:t>Usuarios        del</w:t>
            </w:r>
          </w:p>
          <w:p>
            <w:pPr>
              <w:pStyle w:val="TableParagraph"/>
              <w:ind w:right="101"/>
              <w:jc w:val="both"/>
              <w:rPr>
                <w:sz w:val="22"/>
              </w:rPr>
            </w:pPr>
            <w:r>
              <w:rPr>
                <w:sz w:val="22"/>
              </w:rPr>
              <w:t>Sistema de Riego Huapango Arroyo Zarco México S.A.</w:t>
            </w:r>
          </w:p>
        </w:tc>
        <w:tc>
          <w:tcPr>
            <w:tcW w:w="1289" w:type="dxa"/>
          </w:tcPr>
          <w:p>
            <w:pPr>
              <w:pStyle w:val="TableParagraph"/>
              <w:ind w:right="513"/>
              <w:jc w:val="both"/>
              <w:rPr>
                <w:sz w:val="22"/>
              </w:rPr>
            </w:pPr>
            <w:r>
              <w:rPr>
                <w:sz w:val="22"/>
              </w:rPr>
              <w:t>Arroyo Zarco, Aculco</w:t>
            </w:r>
          </w:p>
        </w:tc>
        <w:tc>
          <w:tcPr>
            <w:tcW w:w="1174" w:type="dxa"/>
          </w:tcPr>
          <w:p>
            <w:pPr>
              <w:pStyle w:val="TableParagraph"/>
              <w:ind w:right="398"/>
              <w:jc w:val="both"/>
              <w:rPr>
                <w:sz w:val="22"/>
              </w:rPr>
            </w:pPr>
            <w:r>
              <w:rPr>
                <w:sz w:val="22"/>
              </w:rPr>
              <w:t>Arroyo Zarco, Aculco</w:t>
            </w:r>
          </w:p>
        </w:tc>
        <w:tc>
          <w:tcPr>
            <w:tcW w:w="6215" w:type="dxa"/>
          </w:tcPr>
          <w:p>
            <w:pPr>
              <w:pStyle w:val="TableParagraph"/>
              <w:spacing w:line="251" w:lineRule="exact"/>
              <w:ind w:left="100" w:right="105"/>
              <w:rPr>
                <w:sz w:val="22"/>
              </w:rPr>
            </w:pPr>
            <w:r>
              <w:rPr>
                <w:sz w:val="22"/>
              </w:rPr>
              <w:t>Sí asistiría para ver de qué se trata.</w:t>
            </w:r>
          </w:p>
        </w:tc>
      </w:tr>
      <w:tr>
        <w:trPr>
          <w:trHeight w:val="516" w:hRule="exact"/>
        </w:trPr>
        <w:tc>
          <w:tcPr>
            <w:tcW w:w="4547" w:type="dxa"/>
            <w:gridSpan w:val="3"/>
          </w:tcPr>
          <w:p>
            <w:pPr>
              <w:pStyle w:val="TableParagraph"/>
              <w:spacing w:line="252" w:lineRule="exact" w:before="2"/>
              <w:ind w:right="141"/>
              <w:rPr>
                <w:sz w:val="22"/>
              </w:rPr>
            </w:pPr>
            <w:r>
              <w:rPr>
                <w:sz w:val="22"/>
              </w:rPr>
              <w:t>Encargado de abrir la compuerta de la  presa Huapango para</w:t>
            </w:r>
            <w:r>
              <w:rPr>
                <w:spacing w:val="-10"/>
                <w:sz w:val="22"/>
              </w:rPr>
              <w:t> </w:t>
            </w:r>
            <w:r>
              <w:rPr>
                <w:sz w:val="22"/>
              </w:rPr>
              <w:t>riego.</w:t>
            </w:r>
          </w:p>
        </w:tc>
        <w:tc>
          <w:tcPr>
            <w:tcW w:w="8677" w:type="dxa"/>
            <w:gridSpan w:val="3"/>
          </w:tcPr>
          <w:p>
            <w:pPr>
              <w:pStyle w:val="TableParagraph"/>
              <w:spacing w:line="251" w:lineRule="exact"/>
              <w:rPr>
                <w:sz w:val="22"/>
              </w:rPr>
            </w:pPr>
            <w:r>
              <w:rPr>
                <w:sz w:val="22"/>
              </w:rPr>
              <w:t>No accedió a la entrevista porque necesitaba el permiso de sus superiores.</w:t>
            </w:r>
          </w:p>
        </w:tc>
      </w:tr>
    </w:tbl>
    <w:p>
      <w:pPr>
        <w:pStyle w:val="BodyText"/>
        <w:spacing w:line="248" w:lineRule="exact"/>
        <w:ind w:left="218" w:right="778"/>
      </w:pPr>
      <w:r>
        <w:rPr>
          <w:b/>
        </w:rPr>
        <w:t>Fuente: </w:t>
      </w:r>
      <w:r>
        <w:rPr/>
        <w:t>Elaboración propia con base en el Trabajo de Campo, García (2013-2015).</w:t>
      </w:r>
    </w:p>
    <w:p>
      <w:pPr>
        <w:spacing w:after="0" w:line="248" w:lineRule="exact"/>
        <w:sectPr>
          <w:pgSz w:w="15840" w:h="12240" w:orient="landscape"/>
          <w:pgMar w:header="0" w:footer="943" w:top="1140" w:bottom="1200" w:left="1200" w:right="1180"/>
        </w:sectPr>
      </w:pPr>
    </w:p>
    <w:p>
      <w:pPr>
        <w:pStyle w:val="Heading6"/>
        <w:numPr>
          <w:ilvl w:val="1"/>
          <w:numId w:val="51"/>
        </w:numPr>
        <w:tabs>
          <w:tab w:pos="534" w:val="left" w:leader="none"/>
        </w:tabs>
        <w:spacing w:line="362" w:lineRule="auto" w:before="51" w:after="0"/>
        <w:ind w:left="102" w:right="121" w:firstLine="0"/>
        <w:jc w:val="both"/>
      </w:pPr>
      <w:r>
        <w:rPr/>
        <w:t>Identificación de los Principios de Gobernanza y las AEPA por grupo de actores para la sugerencia de indicadores PEIR (Resultados y análisis de las</w:t>
      </w:r>
      <w:r>
        <w:rPr>
          <w:spacing w:val="-20"/>
        </w:rPr>
        <w:t> </w:t>
      </w:r>
      <w:r>
        <w:rPr/>
        <w:t>entrevistas).</w:t>
      </w:r>
    </w:p>
    <w:p>
      <w:pPr>
        <w:pStyle w:val="BodyText"/>
        <w:spacing w:before="7"/>
        <w:rPr>
          <w:b/>
          <w:sz w:val="17"/>
        </w:rPr>
      </w:pPr>
    </w:p>
    <w:p>
      <w:pPr>
        <w:pStyle w:val="BodyText"/>
        <w:spacing w:line="360" w:lineRule="auto"/>
        <w:ind w:left="102" w:right="115"/>
        <w:jc w:val="both"/>
      </w:pPr>
      <w:r>
        <w:rPr/>
        <w:t>Los principios de gobernanza del agua (hasta 2015) de la OCDE, se han desarrollado  bajo la premisa de que no existe una solución universal para los desafíos del agua alrededor del mundo, más bien existen un conjunto de opciones basadas en la diversidad de los sistemas legales, administrativos y organizacionales entre países y dentro de éstos. La OCDE reconoce y enfatiza que la gobernanza es </w:t>
      </w:r>
      <w:r>
        <w:rPr>
          <w:i/>
        </w:rPr>
        <w:t>altamente contextual</w:t>
      </w:r>
      <w:r>
        <w:rPr/>
        <w:t>, y que las políticas del agua deben adaptarse a las diferentes especificidades territoriales, y que las respuestas de la gobernanza deben adaptarse a las circunstancias cambiantes de cada nación.</w:t>
      </w:r>
    </w:p>
    <w:p>
      <w:pPr>
        <w:pStyle w:val="BodyText"/>
        <w:spacing w:before="7"/>
        <w:rPr>
          <w:sz w:val="17"/>
        </w:rPr>
      </w:pPr>
    </w:p>
    <w:p>
      <w:pPr>
        <w:pStyle w:val="BodyText"/>
        <w:spacing w:line="360" w:lineRule="auto"/>
        <w:ind w:left="102" w:right="112"/>
        <w:jc w:val="both"/>
      </w:pPr>
      <w:r>
        <w:rPr/>
        <w:t>En este sentido, en la Cuenca Hidrosocial Presa Huapango, se identificaron los principios de gobernanza y los problemas en las AEPA por grupo de actores, a través del trabajo de campo y gabinete, los cuales señalan el contexto y la problemática de dicha cuenca. Los principios de gobernanza fueron identificados por las respuestas de los actores en el trabajo de campo y de la aplicación de entrevistas, las cuales fueron </w:t>
      </w:r>
      <w:r>
        <w:rPr>
          <w:i/>
        </w:rPr>
        <w:t>ponderadas con  </w:t>
      </w:r>
      <w:r>
        <w:rPr>
          <w:i/>
        </w:rPr>
        <w:t>base a los principios mismos de la gobernanza</w:t>
      </w:r>
      <w:r>
        <w:rPr/>
        <w:t>.</w:t>
      </w:r>
      <w:r>
        <w:rPr>
          <w:spacing w:val="-11"/>
        </w:rPr>
        <w:t> </w:t>
      </w:r>
      <w:r>
        <w:rPr/>
        <w:t>Destacan:</w:t>
      </w:r>
    </w:p>
    <w:p>
      <w:pPr>
        <w:pStyle w:val="BodyText"/>
        <w:spacing w:before="4"/>
        <w:rPr>
          <w:sz w:val="17"/>
        </w:rPr>
      </w:pPr>
    </w:p>
    <w:p>
      <w:pPr>
        <w:pStyle w:val="Heading6"/>
        <w:numPr>
          <w:ilvl w:val="2"/>
          <w:numId w:val="51"/>
        </w:numPr>
        <w:tabs>
          <w:tab w:pos="716" w:val="left" w:leader="none"/>
        </w:tabs>
        <w:spacing w:line="240" w:lineRule="auto" w:before="0" w:after="0"/>
        <w:ind w:left="102" w:right="0" w:firstLine="0"/>
        <w:jc w:val="both"/>
      </w:pPr>
      <w:bookmarkStart w:name="_TOC_250024" w:id="49"/>
      <w:r>
        <w:rPr/>
        <w:t>La identidad de los actores en la</w:t>
      </w:r>
      <w:r>
        <w:rPr>
          <w:spacing w:val="-13"/>
        </w:rPr>
        <w:t> </w:t>
      </w:r>
      <w:bookmarkEnd w:id="49"/>
      <w:r>
        <w:rPr/>
        <w:t>CHPH</w:t>
      </w:r>
    </w:p>
    <w:p>
      <w:pPr>
        <w:pStyle w:val="BodyText"/>
        <w:spacing w:before="6"/>
        <w:rPr>
          <w:b/>
          <w:sz w:val="28"/>
        </w:rPr>
      </w:pPr>
    </w:p>
    <w:p>
      <w:pPr>
        <w:pStyle w:val="BodyText"/>
        <w:spacing w:line="360" w:lineRule="auto"/>
        <w:ind w:left="102" w:right="116"/>
        <w:jc w:val="both"/>
      </w:pPr>
      <w:r>
        <w:rPr/>
        <w:t>La </w:t>
      </w:r>
      <w:r>
        <w:rPr>
          <w:i/>
        </w:rPr>
        <w:t>identidad </w:t>
      </w:r>
      <w:r>
        <w:rPr/>
        <w:t>del grupo de los </w:t>
      </w:r>
      <w:r>
        <w:rPr>
          <w:b/>
        </w:rPr>
        <w:t>actores históricos </w:t>
      </w:r>
      <w:r>
        <w:rPr/>
        <w:t>de la cuenca hidrosocial presa Huapango. Esta supone el sentido de pertenencia de los actores a la región, expresada mediante actitudes y costumbres, creencias, instituciones y organizaciones sociales consuetudinarias, entendiéndose en conjunto que los actores sienten una relación profunda y emocional a su comunidad y región.</w:t>
      </w:r>
    </w:p>
    <w:p>
      <w:pPr>
        <w:spacing w:after="0" w:line="360" w:lineRule="auto"/>
        <w:jc w:val="both"/>
        <w:sectPr>
          <w:footerReference w:type="default" r:id="rId194"/>
          <w:pgSz w:w="12240" w:h="15840"/>
          <w:pgMar w:footer="1003" w:header="0" w:top="1360" w:bottom="1200" w:left="1600" w:right="1580"/>
          <w:pgNumType w:start="380"/>
        </w:sectPr>
      </w:pPr>
    </w:p>
    <w:p>
      <w:pPr>
        <w:pStyle w:val="BodyText"/>
        <w:rPr>
          <w:sz w:val="20"/>
        </w:rPr>
      </w:pPr>
    </w:p>
    <w:p>
      <w:pPr>
        <w:pStyle w:val="BodyText"/>
        <w:spacing w:before="5"/>
        <w:rPr>
          <w:sz w:val="16"/>
        </w:rPr>
      </w:pPr>
    </w:p>
    <w:p>
      <w:pPr>
        <w:pStyle w:val="Heading6"/>
        <w:spacing w:before="73"/>
        <w:ind w:left="821"/>
      </w:pPr>
      <w:r>
        <w:rPr/>
        <w:t>Gráfica 6.2. Actores históricos y su identidad con la región de la CHPH</w:t>
      </w:r>
    </w:p>
    <w:p>
      <w:pPr>
        <w:pStyle w:val="BodyText"/>
        <w:spacing w:before="8"/>
        <w:rPr>
          <w:b/>
          <w:sz w:val="24"/>
        </w:rPr>
      </w:pPr>
      <w:r>
        <w:rPr/>
        <w:pict>
          <v:group style="position:absolute;margin-left:124.875pt;margin-top:16.153942pt;width:360.75pt;height:216.75pt;mso-position-horizontal-relative:page;mso-position-vertical-relative:paragraph;z-index:10672;mso-wrap-distance-left:0;mso-wrap-distance-right:0" coordorigin="2498,323" coordsize="7215,4335">
            <v:shape style="position:absolute;left:2914;top:1832;width:3625;height:2413" type="#_x0000_t75" stroked="false">
              <v:imagedata r:id="rId195" o:title=""/>
            </v:shape>
            <v:rect style="position:absolute;left:7267;top:1895;width:111;height:111" filled="true" fillcolor="#4f81bc" stroked="false">
              <v:fill type="solid"/>
            </v:rect>
            <v:rect style="position:absolute;left:7267;top:1895;width:111;height:111" filled="false" stroked="true" strokeweight="1.5pt" strokecolor="#000000"/>
            <v:rect style="position:absolute;left:7267;top:2752;width:111;height:111" filled="true" fillcolor="#c0504d" stroked="false">
              <v:fill type="solid"/>
            </v:rect>
            <v:rect style="position:absolute;left:7267;top:2752;width:111;height:111" filled="false" stroked="true" strokeweight="1.5pt" strokecolor="#000000"/>
            <v:rect style="position:absolute;left:2505;top:331;width:7200;height:4320" filled="false" stroked="true" strokeweight=".75pt" strokecolor="#000000"/>
            <v:shape style="position:absolute;left:3379;top:554;width:5449;height:800" type="#_x0000_t202" filled="false" stroked="false">
              <v:textbox inset="0,0,0,0">
                <w:txbxContent>
                  <w:p>
                    <w:pPr>
                      <w:spacing w:line="367" w:lineRule="exact" w:before="0"/>
                      <w:ind w:left="0" w:right="0" w:firstLine="0"/>
                      <w:jc w:val="center"/>
                      <w:rPr>
                        <w:rFonts w:ascii="Calibri" w:hAnsi="Calibri"/>
                        <w:b/>
                        <w:sz w:val="36"/>
                      </w:rPr>
                    </w:pPr>
                    <w:r>
                      <w:rPr>
                        <w:rFonts w:ascii="Calibri" w:hAnsi="Calibri"/>
                        <w:b/>
                        <w:sz w:val="36"/>
                      </w:rPr>
                      <w:t>Actores históricos y su identidad</w:t>
                    </w:r>
                    <w:r>
                      <w:rPr>
                        <w:rFonts w:ascii="Calibri" w:hAnsi="Calibri"/>
                        <w:b/>
                        <w:spacing w:val="-34"/>
                        <w:sz w:val="36"/>
                      </w:rPr>
                      <w:t> </w:t>
                    </w:r>
                    <w:r>
                      <w:rPr>
                        <w:rFonts w:ascii="Calibri" w:hAnsi="Calibri"/>
                        <w:b/>
                        <w:sz w:val="36"/>
                      </w:rPr>
                      <w:t>con</w:t>
                    </w:r>
                  </w:p>
                  <w:p>
                    <w:pPr>
                      <w:spacing w:line="433" w:lineRule="exact" w:before="0"/>
                      <w:ind w:left="0" w:right="0" w:firstLine="0"/>
                      <w:jc w:val="center"/>
                      <w:rPr>
                        <w:rFonts w:ascii="Calibri" w:hAnsi="Calibri"/>
                        <w:b/>
                        <w:sz w:val="36"/>
                      </w:rPr>
                    </w:pPr>
                    <w:r>
                      <w:rPr>
                        <w:rFonts w:ascii="Calibri" w:hAnsi="Calibri"/>
                        <w:b/>
                        <w:sz w:val="36"/>
                      </w:rPr>
                      <w:t>la región de la CHPH</w:t>
                    </w:r>
                  </w:p>
                </w:txbxContent>
              </v:textbox>
              <w10:wrap type="none"/>
            </v:shape>
            <v:shape style="position:absolute;left:4244;top:1655;width:406;height:281" type="#_x0000_t202" filled="false" stroked="false">
              <v:textbox inset="0,0,0,0">
                <w:txbxContent>
                  <w:p>
                    <w:pPr>
                      <w:spacing w:line="281" w:lineRule="exact" w:before="0"/>
                      <w:ind w:left="0" w:right="-19" w:firstLine="0"/>
                      <w:jc w:val="left"/>
                      <w:rPr>
                        <w:sz w:val="28"/>
                      </w:rPr>
                    </w:pPr>
                    <w:r>
                      <w:rPr>
                        <w:sz w:val="28"/>
                      </w:rPr>
                      <w:t>4%</w:t>
                    </w:r>
                  </w:p>
                </w:txbxContent>
              </v:textbox>
              <w10:wrap type="none"/>
            </v:shape>
            <v:shape style="position:absolute;left:7427;top:1842;width:2094;height:1331" type="#_x0000_t202" filled="false" stroked="false">
              <v:textbox inset="0,0,0,0">
                <w:txbxContent>
                  <w:p>
                    <w:pPr>
                      <w:spacing w:line="226" w:lineRule="exact" w:before="0"/>
                      <w:ind w:left="0" w:right="-18" w:firstLine="0"/>
                      <w:jc w:val="left"/>
                      <w:rPr>
                        <w:sz w:val="22"/>
                      </w:rPr>
                    </w:pPr>
                    <w:r>
                      <w:rPr>
                        <w:sz w:val="22"/>
                      </w:rPr>
                      <w:t>Nacieron en la región</w:t>
                    </w:r>
                  </w:p>
                  <w:p>
                    <w:pPr>
                      <w:spacing w:before="0"/>
                      <w:ind w:left="0" w:right="-18" w:firstLine="0"/>
                      <w:jc w:val="left"/>
                      <w:rPr>
                        <w:sz w:val="22"/>
                      </w:rPr>
                    </w:pPr>
                    <w:r>
                      <w:rPr>
                        <w:sz w:val="22"/>
                      </w:rPr>
                      <w:t>de la CHPH</w:t>
                    </w:r>
                  </w:p>
                  <w:p>
                    <w:pPr>
                      <w:spacing w:line="240" w:lineRule="auto" w:before="5"/>
                      <w:rPr>
                        <w:b/>
                        <w:sz w:val="30"/>
                      </w:rPr>
                    </w:pPr>
                  </w:p>
                  <w:p>
                    <w:pPr>
                      <w:spacing w:before="1"/>
                      <w:ind w:left="0" w:right="239" w:firstLine="0"/>
                      <w:jc w:val="left"/>
                      <w:rPr>
                        <w:sz w:val="22"/>
                      </w:rPr>
                    </w:pPr>
                    <w:r>
                      <w:rPr>
                        <w:sz w:val="22"/>
                      </w:rPr>
                      <w:t>No nacieron en la región de la CHPH</w:t>
                    </w:r>
                  </w:p>
                </w:txbxContent>
              </v:textbox>
              <w10:wrap type="none"/>
            </v:shape>
            <v:shape style="position:absolute;left:4845;top:3230;width:562;height:281" type="#_x0000_t202" filled="false" stroked="false">
              <v:textbox inset="0,0,0,0">
                <w:txbxContent>
                  <w:p>
                    <w:pPr>
                      <w:spacing w:line="281" w:lineRule="exact" w:before="0"/>
                      <w:ind w:left="0" w:right="-19" w:firstLine="0"/>
                      <w:jc w:val="left"/>
                      <w:rPr>
                        <w:sz w:val="28"/>
                      </w:rPr>
                    </w:pPr>
                    <w:r>
                      <w:rPr>
                        <w:sz w:val="28"/>
                      </w:rPr>
                      <w:t>96%</w:t>
                    </w:r>
                  </w:p>
                </w:txbxContent>
              </v:textbox>
              <w10:wrap type="none"/>
            </v:shape>
            <w10:wrap type="topAndBottom"/>
          </v:group>
        </w:pict>
      </w:r>
    </w:p>
    <w:p>
      <w:pPr>
        <w:pStyle w:val="BodyText"/>
        <w:spacing w:before="6"/>
        <w:rPr>
          <w:b/>
          <w:sz w:val="27"/>
        </w:rPr>
      </w:pPr>
    </w:p>
    <w:p>
      <w:pPr>
        <w:pStyle w:val="BodyText"/>
        <w:spacing w:line="362" w:lineRule="auto"/>
        <w:ind w:left="102" w:right="119"/>
        <w:jc w:val="both"/>
      </w:pPr>
      <w:r>
        <w:rPr>
          <w:b/>
        </w:rPr>
        <w:t>Fuente: </w:t>
      </w:r>
      <w:r>
        <w:rPr/>
        <w:t>Elaboración propia con base en los datos obtenidos en Trabajo de Campo, García</w:t>
      </w:r>
      <w:r>
        <w:rPr>
          <w:spacing w:val="-4"/>
        </w:rPr>
        <w:t> </w:t>
      </w:r>
      <w:r>
        <w:rPr/>
        <w:t>(2013-2015).</w:t>
      </w:r>
    </w:p>
    <w:p>
      <w:pPr>
        <w:pStyle w:val="BodyText"/>
        <w:spacing w:before="2"/>
        <w:rPr>
          <w:sz w:val="17"/>
        </w:rPr>
      </w:pPr>
    </w:p>
    <w:p>
      <w:pPr>
        <w:pStyle w:val="BodyText"/>
        <w:spacing w:line="360" w:lineRule="auto"/>
        <w:ind w:left="102" w:right="115"/>
        <w:jc w:val="both"/>
      </w:pPr>
      <w:r>
        <w:rPr/>
        <w:t>Por ello, se pudo detectar que de los 47 </w:t>
      </w:r>
      <w:r>
        <w:rPr>
          <w:b/>
        </w:rPr>
        <w:t>actores históricos </w:t>
      </w:r>
      <w:r>
        <w:rPr/>
        <w:t>entrevistados, el 96% (45) nacieron en la región de la Cuenca Hidrosocial Presa Huapango y sólo 2, es decir, el 4 %, no nacieron en la región de la cuenca. Este dato es un indicador que denota un alto grado pertenencia e identidad con la región, y por ende, de conocimiento local de la problemática que se tiene de la zona por estos actores ya que nacieron allí y padecen dichas</w:t>
      </w:r>
      <w:r>
        <w:rPr>
          <w:spacing w:val="-3"/>
        </w:rPr>
        <w:t> </w:t>
      </w:r>
      <w:r>
        <w:rPr/>
        <w:t>consecuencias.</w:t>
      </w:r>
    </w:p>
    <w:p>
      <w:pPr>
        <w:pStyle w:val="BodyText"/>
        <w:spacing w:before="7"/>
        <w:rPr>
          <w:sz w:val="17"/>
        </w:rPr>
      </w:pPr>
    </w:p>
    <w:p>
      <w:pPr>
        <w:pStyle w:val="BodyText"/>
        <w:spacing w:line="360" w:lineRule="auto"/>
        <w:ind w:left="102" w:right="114"/>
        <w:jc w:val="both"/>
      </w:pPr>
      <w:r>
        <w:rPr/>
        <w:t>Los actores entrevistados y analizados que no nacieron en la región fueron el  Comisariado Ejidal y el Delegado Municipal de Encinillas (Polotitlán). El primero señaló que nació en San Juan del Río, Querétaro, pero vive en Encinillas desde hace 43 años y el segundo, mencionó que nació en el Distrito Federal, pero reside en Encinillas desde  que era niño, lo les permite crear un sentido de pertenencia por el tiempo suficiente que han vivido en este lugar, para acreditarse con identidad y como ciudadanos para ser electos en dichos cargos. Esto indica nuevamente que el principio de gobernanza sobre la identidad, se vuelve una opción de indicador</w:t>
      </w:r>
      <w:r>
        <w:rPr>
          <w:spacing w:val="-14"/>
        </w:rPr>
        <w:t> </w:t>
      </w:r>
      <w:r>
        <w:rPr/>
        <w:t>viable.</w:t>
      </w:r>
    </w:p>
    <w:p>
      <w:pPr>
        <w:spacing w:after="0" w:line="360" w:lineRule="auto"/>
        <w:jc w:val="both"/>
        <w:sectPr>
          <w:pgSz w:w="12240" w:h="15840"/>
          <w:pgMar w:header="0" w:footer="1003" w:top="1500" w:bottom="1200" w:left="1600" w:right="1580"/>
        </w:sectPr>
      </w:pPr>
    </w:p>
    <w:p>
      <w:pPr>
        <w:pStyle w:val="BodyText"/>
        <w:spacing w:line="360" w:lineRule="auto" w:before="53"/>
        <w:ind w:left="102" w:right="112"/>
        <w:jc w:val="both"/>
      </w:pPr>
      <w:r>
        <w:rPr/>
        <w:t>Por todo lo anterior, se considera que la identidad de los actores históricos, se identifica como el principio de gobernanza más importante o de primer nivel, ya que el hecho de haber nacido y vivido en la región, hace que conozcan y se identifiquen con su problemática. Por otro lado, se detecta que los actores que no nacieron en la región, pero que han vivido el tiempo suficiente allí, les permite conocer la problemática de la región e identificarse con ella, siempre y cuando tengan nexos de parentesco con los habitantes originarios. Lo anterior los capacita para ser electos como autoridades auxiliares, que sólo se adquieren mediante la aceptación entre la población que representan, con lo cual adquieren la legitimidad comunitaria.</w:t>
      </w:r>
    </w:p>
    <w:p>
      <w:pPr>
        <w:pStyle w:val="BodyText"/>
        <w:spacing w:before="7"/>
        <w:rPr>
          <w:sz w:val="17"/>
        </w:rPr>
      </w:pPr>
    </w:p>
    <w:p>
      <w:pPr>
        <w:pStyle w:val="BodyText"/>
        <w:spacing w:line="360" w:lineRule="auto"/>
        <w:ind w:left="102" w:right="112"/>
        <w:jc w:val="both"/>
      </w:pPr>
      <w:r>
        <w:rPr/>
        <w:t>Para el principio de gobernanza aplicado a la </w:t>
      </w:r>
      <w:r>
        <w:rPr>
          <w:i/>
        </w:rPr>
        <w:t>identidad </w:t>
      </w:r>
      <w:r>
        <w:rPr/>
        <w:t>del grupo de los </w:t>
      </w:r>
      <w:r>
        <w:rPr>
          <w:b/>
        </w:rPr>
        <w:t>actores municipales </w:t>
      </w:r>
      <w:r>
        <w:rPr/>
        <w:t>(27), el 70% (19) nacieron en la región de la cuenca hidrosocial presa Huapango; y 8 actores (30%) no nacieron en la región.</w:t>
      </w:r>
    </w:p>
    <w:p>
      <w:pPr>
        <w:pStyle w:val="BodyText"/>
        <w:spacing w:before="4"/>
        <w:rPr>
          <w:sz w:val="17"/>
        </w:rPr>
      </w:pPr>
    </w:p>
    <w:p>
      <w:pPr>
        <w:pStyle w:val="Heading6"/>
        <w:ind w:left="821"/>
      </w:pPr>
      <w:r>
        <w:rPr/>
        <w:pict>
          <v:group style="position:absolute;margin-left:124.875pt;margin-top:18.832886pt;width:360.75pt;height:216.75pt;mso-position-horizontal-relative:page;mso-position-vertical-relative:paragraph;z-index:10816;mso-wrap-distance-left:0;mso-wrap-distance-right:0" coordorigin="2498,377" coordsize="7215,4335">
            <v:shape style="position:absolute;left:3012;top:1645;width:3601;height:2617" type="#_x0000_t75" stroked="false">
              <v:imagedata r:id="rId196" o:title=""/>
            </v:shape>
            <v:rect style="position:absolute;left:7237;top:2161;width:111;height:111" filled="true" fillcolor="#4f81bc" stroked="false">
              <v:fill type="solid"/>
            </v:rect>
            <v:rect style="position:absolute;left:7237;top:2161;width:111;height:111" filled="false" stroked="true" strokeweight="1.25pt" strokecolor="#000000"/>
            <v:rect style="position:absolute;left:7237;top:2978;width:111;height:111" filled="true" fillcolor="#c0504d" stroked="false">
              <v:fill type="solid"/>
            </v:rect>
            <v:rect style="position:absolute;left:7237;top:2978;width:111;height:111" filled="false" stroked="true" strokeweight="1.25pt" strokecolor="#000000"/>
            <v:rect style="position:absolute;left:2505;top:384;width:7200;height:4320" filled="false" stroked="true" strokeweight=".75pt" strokecolor="#000000"/>
            <v:shape style="position:absolute;left:3312;top:569;width:5585;height:605" type="#_x0000_t202" filled="false" stroked="false">
              <v:textbox inset="0,0,0,0">
                <w:txbxContent>
                  <w:p>
                    <w:pPr>
                      <w:spacing w:line="287" w:lineRule="exact" w:before="0"/>
                      <w:ind w:left="-1" w:right="0" w:firstLine="0"/>
                      <w:jc w:val="center"/>
                      <w:rPr>
                        <w:b/>
                        <w:sz w:val="28"/>
                      </w:rPr>
                    </w:pPr>
                    <w:r>
                      <w:rPr>
                        <w:b/>
                        <w:sz w:val="28"/>
                      </w:rPr>
                      <w:t>Actores municipales y su identidad con</w:t>
                    </w:r>
                    <w:r>
                      <w:rPr>
                        <w:b/>
                        <w:spacing w:val="-18"/>
                        <w:sz w:val="28"/>
                      </w:rPr>
                      <w:t> </w:t>
                    </w:r>
                    <w:r>
                      <w:rPr>
                        <w:b/>
                        <w:sz w:val="28"/>
                      </w:rPr>
                      <w:t>la</w:t>
                    </w:r>
                  </w:p>
                  <w:p>
                    <w:pPr>
                      <w:spacing w:line="316" w:lineRule="exact" w:before="2"/>
                      <w:ind w:left="4" w:right="0" w:firstLine="0"/>
                      <w:jc w:val="center"/>
                      <w:rPr>
                        <w:b/>
                        <w:sz w:val="28"/>
                      </w:rPr>
                    </w:pPr>
                    <w:r>
                      <w:rPr>
                        <w:b/>
                        <w:sz w:val="28"/>
                      </w:rPr>
                      <w:t>CHPH</w:t>
                    </w:r>
                  </w:p>
                </w:txbxContent>
              </v:textbox>
              <w10:wrap type="none"/>
            </v:shape>
            <v:shape style="position:absolute;left:3720;top:2153;width:441;height:221" type="#_x0000_t202" filled="false" stroked="false">
              <v:textbox inset="0,0,0,0">
                <w:txbxContent>
                  <w:p>
                    <w:pPr>
                      <w:spacing w:line="221" w:lineRule="exact" w:before="0"/>
                      <w:ind w:left="0" w:right="-20" w:firstLine="0"/>
                      <w:jc w:val="left"/>
                      <w:rPr>
                        <w:sz w:val="22"/>
                      </w:rPr>
                    </w:pPr>
                    <w:r>
                      <w:rPr>
                        <w:sz w:val="22"/>
                      </w:rPr>
                      <w:t>30%</w:t>
                    </w:r>
                  </w:p>
                </w:txbxContent>
              </v:textbox>
              <w10:wrap type="none"/>
            </v:shape>
            <v:shape style="position:absolute;left:7397;top:2108;width:2094;height:475" type="#_x0000_t202" filled="false" stroked="false">
              <v:textbox inset="0,0,0,0">
                <w:txbxContent>
                  <w:p>
                    <w:pPr>
                      <w:spacing w:line="226" w:lineRule="exact" w:before="0"/>
                      <w:ind w:left="0" w:right="-18" w:firstLine="0"/>
                      <w:jc w:val="left"/>
                      <w:rPr>
                        <w:sz w:val="22"/>
                      </w:rPr>
                    </w:pPr>
                    <w:r>
                      <w:rPr>
                        <w:sz w:val="22"/>
                      </w:rPr>
                      <w:t>Nacieron en la región</w:t>
                    </w:r>
                  </w:p>
                  <w:p>
                    <w:pPr>
                      <w:spacing w:line="248" w:lineRule="exact" w:before="0"/>
                      <w:ind w:left="0" w:right="-18" w:firstLine="0"/>
                      <w:jc w:val="left"/>
                      <w:rPr>
                        <w:sz w:val="22"/>
                      </w:rPr>
                    </w:pPr>
                    <w:r>
                      <w:rPr>
                        <w:sz w:val="22"/>
                      </w:rPr>
                      <w:t>de la CHPH</w:t>
                    </w:r>
                  </w:p>
                </w:txbxContent>
              </v:textbox>
              <w10:wrap type="none"/>
            </v:shape>
            <v:shape style="position:absolute;left:5731;top:2948;width:441;height:221" type="#_x0000_t202" filled="false" stroked="false">
              <v:textbox inset="0,0,0,0">
                <w:txbxContent>
                  <w:p>
                    <w:pPr>
                      <w:spacing w:line="221" w:lineRule="exact" w:before="0"/>
                      <w:ind w:left="0" w:right="-20" w:firstLine="0"/>
                      <w:jc w:val="left"/>
                      <w:rPr>
                        <w:sz w:val="22"/>
                      </w:rPr>
                    </w:pPr>
                    <w:r>
                      <w:rPr>
                        <w:sz w:val="22"/>
                      </w:rPr>
                      <w:t>70%</w:t>
                    </w:r>
                  </w:p>
                </w:txbxContent>
              </v:textbox>
              <w10:wrap type="none"/>
            </v:shape>
            <v:shape style="position:absolute;left:7397;top:2925;width:1835;height:474" type="#_x0000_t202" filled="false" stroked="false">
              <v:textbox inset="0,0,0,0">
                <w:txbxContent>
                  <w:p>
                    <w:pPr>
                      <w:spacing w:line="225" w:lineRule="exact" w:before="0"/>
                      <w:ind w:left="0" w:right="-20" w:firstLine="0"/>
                      <w:jc w:val="left"/>
                      <w:rPr>
                        <w:sz w:val="22"/>
                      </w:rPr>
                    </w:pPr>
                    <w:r>
                      <w:rPr>
                        <w:sz w:val="22"/>
                      </w:rPr>
                      <w:t>No nacieron en la</w:t>
                    </w:r>
                  </w:p>
                  <w:p>
                    <w:pPr>
                      <w:spacing w:line="248" w:lineRule="exact" w:before="0"/>
                      <w:ind w:left="0" w:right="-20" w:firstLine="0"/>
                      <w:jc w:val="left"/>
                      <w:rPr>
                        <w:sz w:val="22"/>
                      </w:rPr>
                    </w:pPr>
                    <w:r>
                      <w:rPr>
                        <w:sz w:val="22"/>
                      </w:rPr>
                      <w:t>región de la CHPH</w:t>
                    </w:r>
                  </w:p>
                </w:txbxContent>
              </v:textbox>
              <w10:wrap type="none"/>
            </v:shape>
            <w10:wrap type="topAndBottom"/>
          </v:group>
        </w:pict>
      </w:r>
      <w:r>
        <w:rPr/>
        <w:t>Gráfica 6.3. Actores municipales y su identidad con la CHPH</w:t>
      </w:r>
    </w:p>
    <w:p>
      <w:pPr>
        <w:pStyle w:val="BodyText"/>
        <w:spacing w:before="6"/>
        <w:rPr>
          <w:b/>
          <w:sz w:val="27"/>
        </w:rPr>
      </w:pPr>
    </w:p>
    <w:p>
      <w:pPr>
        <w:pStyle w:val="BodyText"/>
        <w:spacing w:line="362" w:lineRule="auto"/>
        <w:ind w:left="102" w:right="119"/>
        <w:jc w:val="both"/>
      </w:pPr>
      <w:r>
        <w:rPr>
          <w:b/>
        </w:rPr>
        <w:t>Fuente: </w:t>
      </w:r>
      <w:r>
        <w:rPr/>
        <w:t>Elaboración propia con base en los datos obtenidos en Trabajo de Campo, García</w:t>
      </w:r>
      <w:r>
        <w:rPr>
          <w:spacing w:val="-4"/>
        </w:rPr>
        <w:t> </w:t>
      </w:r>
      <w:r>
        <w:rPr/>
        <w:t>(2013-2015).</w:t>
      </w:r>
    </w:p>
    <w:p>
      <w:pPr>
        <w:pStyle w:val="BodyText"/>
        <w:spacing w:before="7"/>
        <w:rPr>
          <w:sz w:val="17"/>
        </w:rPr>
      </w:pPr>
    </w:p>
    <w:p>
      <w:pPr>
        <w:pStyle w:val="ListParagraph"/>
        <w:numPr>
          <w:ilvl w:val="3"/>
          <w:numId w:val="51"/>
        </w:numPr>
        <w:tabs>
          <w:tab w:pos="822" w:val="left" w:leader="none"/>
        </w:tabs>
        <w:spacing w:line="360" w:lineRule="auto" w:before="0" w:after="0"/>
        <w:ind w:left="822" w:right="118" w:hanging="360"/>
        <w:jc w:val="both"/>
        <w:rPr>
          <w:sz w:val="22"/>
        </w:rPr>
      </w:pPr>
      <w:r>
        <w:rPr>
          <w:sz w:val="22"/>
        </w:rPr>
        <w:t>Lo anterior analizado por municipio, señala que en Acambay, dos de sus integrantes nacieron fuera del municipio y de la región: uno de ellos es el Décimo Regidor, que fue el encargado de preservar, conservar y restaurar el medio ambiente en dicha parte de la región de la Cuenca Hidrosocial Presa Huapango. Dicho Regidor nació en el municipio de Villa Victoria, y llego a trabajar al</w:t>
      </w:r>
      <w:r>
        <w:rPr>
          <w:spacing w:val="24"/>
          <w:sz w:val="22"/>
        </w:rPr>
        <w:t> </w:t>
      </w:r>
      <w:r>
        <w:rPr>
          <w:sz w:val="22"/>
        </w:rPr>
        <w:t>municipio</w:t>
      </w:r>
    </w:p>
    <w:p>
      <w:pPr>
        <w:spacing w:after="0" w:line="360" w:lineRule="auto"/>
        <w:jc w:val="both"/>
        <w:rPr>
          <w:sz w:val="22"/>
        </w:rPr>
        <w:sectPr>
          <w:pgSz w:w="12240" w:h="15840"/>
          <w:pgMar w:header="0" w:footer="1003" w:top="1360" w:bottom="1200" w:left="1600" w:right="1580"/>
        </w:sectPr>
      </w:pPr>
    </w:p>
    <w:p>
      <w:pPr>
        <w:pStyle w:val="BodyText"/>
        <w:spacing w:line="360" w:lineRule="auto" w:before="53"/>
        <w:ind w:left="701" w:right="117"/>
        <w:jc w:val="both"/>
      </w:pPr>
      <w:r>
        <w:rPr/>
        <w:t>de Acambay como Médico General hace 32 años. Sin embargo, aunque parece  ser tiempo suficiente para conocer los problemas de la región, manifestó no tener mucho interés ni saber mucho sobre la problemática de la presa</w:t>
      </w:r>
      <w:r>
        <w:rPr>
          <w:spacing w:val="-21"/>
        </w:rPr>
        <w:t> </w:t>
      </w:r>
      <w:r>
        <w:rPr/>
        <w:t>Huapango.</w:t>
      </w:r>
    </w:p>
    <w:p>
      <w:pPr>
        <w:pStyle w:val="BodyText"/>
        <w:spacing w:line="360" w:lineRule="auto" w:before="3"/>
        <w:ind w:left="701" w:right="117"/>
        <w:jc w:val="both"/>
      </w:pPr>
      <w:r>
        <w:rPr/>
        <w:t>El otro actor que no nació en la región fue el Director de Turismo y Fomento Económico, el cual nació en Atlacamulco, Estado de México. Dijo no estar familiarizado con la problemática y/o beneficios del turismo que genera la presa Huapango.</w:t>
      </w:r>
    </w:p>
    <w:p>
      <w:pPr>
        <w:pStyle w:val="BodyText"/>
        <w:spacing w:line="360" w:lineRule="auto" w:before="3"/>
        <w:ind w:left="834" w:right="119" w:hanging="144"/>
        <w:jc w:val="both"/>
      </w:pPr>
      <w:r>
        <w:rPr/>
        <w:t>Otro actor, la Tercer Regidor que es la encargada de preservar, conservar y restaurar el medio ambiente, no accedió a la entrevista para registrar su opinión sobre su conocimiento sobre lo que le corresponde, porque dijo desconocer por completo la problemática de la presa Huapango.</w:t>
      </w:r>
    </w:p>
    <w:p>
      <w:pPr>
        <w:pStyle w:val="BodyText"/>
        <w:spacing w:before="7"/>
        <w:rPr>
          <w:sz w:val="17"/>
        </w:rPr>
      </w:pPr>
    </w:p>
    <w:p>
      <w:pPr>
        <w:pStyle w:val="ListParagraph"/>
        <w:numPr>
          <w:ilvl w:val="3"/>
          <w:numId w:val="51"/>
        </w:numPr>
        <w:tabs>
          <w:tab w:pos="702" w:val="left" w:leader="none"/>
        </w:tabs>
        <w:spacing w:line="360" w:lineRule="auto" w:before="0" w:after="0"/>
        <w:ind w:left="702" w:right="113" w:hanging="360"/>
        <w:jc w:val="both"/>
        <w:rPr>
          <w:sz w:val="22"/>
        </w:rPr>
      </w:pPr>
      <w:r>
        <w:rPr>
          <w:sz w:val="22"/>
        </w:rPr>
        <w:t>Para el caso de Aculco, el Director de Ecología y Medio Ambiente, nació en Toluca y aunque manifestó en la entrevista que vivía en Aculco. Sin embargo, otros actores del lugar declararon que el Director de Ecología residía en la ciudad de Toluca, y aunque en la entrevista mostro interés por la problemática de la presa Huapango, sus respuestas fueron muy generales; pero en términos regionales y locales de la cuenca, no pudo manifestar conocimientos o información más específica.</w:t>
      </w:r>
    </w:p>
    <w:p>
      <w:pPr>
        <w:pStyle w:val="ListParagraph"/>
        <w:numPr>
          <w:ilvl w:val="3"/>
          <w:numId w:val="51"/>
        </w:numPr>
        <w:tabs>
          <w:tab w:pos="702" w:val="left" w:leader="none"/>
        </w:tabs>
        <w:spacing w:line="360" w:lineRule="auto" w:before="3" w:after="0"/>
        <w:ind w:left="702" w:right="118" w:hanging="360"/>
        <w:jc w:val="both"/>
        <w:rPr>
          <w:sz w:val="22"/>
        </w:rPr>
      </w:pPr>
      <w:r>
        <w:rPr>
          <w:sz w:val="22"/>
        </w:rPr>
        <w:t>En Jilotepec, el actor Tercer Regidor, quien es el encargado de la Comisión de Desarrollo Agropecuario, nació en Axochiapan, Morelos. En la entrevista manifestó desconocer la problemática que le corresponde resolver respecto de la presa Huapango. Mientras que los actores Décimo Regidor (encargado de la Comisión de Turismo) y el Jefe del Departamento de Fomento Económico y Turismo, ambos nacieron en el Distrito Federal, pero son hijos de padres oriundos de Jilotepec, lo que se detectó en la entrevista, que les permite identificarse con la región y conocer la problemática que les corresponde de la presa</w:t>
      </w:r>
      <w:r>
        <w:rPr>
          <w:spacing w:val="-15"/>
          <w:sz w:val="22"/>
        </w:rPr>
        <w:t> </w:t>
      </w:r>
      <w:r>
        <w:rPr>
          <w:sz w:val="22"/>
        </w:rPr>
        <w:t>Huapango.</w:t>
      </w:r>
    </w:p>
    <w:p>
      <w:pPr>
        <w:pStyle w:val="ListParagraph"/>
        <w:numPr>
          <w:ilvl w:val="3"/>
          <w:numId w:val="51"/>
        </w:numPr>
        <w:tabs>
          <w:tab w:pos="702" w:val="left" w:leader="none"/>
        </w:tabs>
        <w:spacing w:line="360" w:lineRule="auto" w:before="3" w:after="0"/>
        <w:ind w:left="702" w:right="115" w:hanging="360"/>
        <w:jc w:val="both"/>
        <w:rPr>
          <w:sz w:val="22"/>
        </w:rPr>
      </w:pPr>
      <w:r>
        <w:rPr>
          <w:sz w:val="22"/>
        </w:rPr>
        <w:t>Para el caso de Timilpan, el actor Quinto Regidor, Presidenta de la Comisión de Salud y Medio Ambiente, nació en Naucalpan de Juárez, Estado de México, pero vive en Timilpan desde hace 30 años. En la entrevista  dijo estar preocupada por  la problemática que se vive en la presa Huapango, sin embargo reconoció sus limitaciones como representante del Medio Ambiente, señalando concretamente porque la presa es manejada por la Federación. Por otro lado, el actor Sexto Regidor, Presidente de la Comisión de Agua, Drenaje y Alcantarillado, nació en Atlacomulco  y  vive  en  Timilpan  desde  hace  varios  años  (no  se  acuerda </w:t>
      </w:r>
      <w:r>
        <w:rPr>
          <w:spacing w:val="15"/>
          <w:sz w:val="22"/>
        </w:rPr>
        <w:t> </w:t>
      </w:r>
      <w:r>
        <w:rPr>
          <w:sz w:val="22"/>
        </w:rPr>
        <w:t>con</w:t>
      </w:r>
    </w:p>
    <w:p>
      <w:pPr>
        <w:spacing w:after="0" w:line="360" w:lineRule="auto"/>
        <w:jc w:val="both"/>
        <w:rPr>
          <w:sz w:val="22"/>
        </w:rPr>
        <w:sectPr>
          <w:pgSz w:w="12240" w:h="15840"/>
          <w:pgMar w:header="0" w:footer="1003" w:top="1360" w:bottom="1200" w:left="1720" w:right="1580"/>
        </w:sectPr>
      </w:pPr>
    </w:p>
    <w:p>
      <w:pPr>
        <w:pStyle w:val="BodyText"/>
        <w:spacing w:line="360" w:lineRule="auto" w:before="53"/>
        <w:ind w:left="821" w:right="114"/>
        <w:jc w:val="both"/>
      </w:pPr>
      <w:r>
        <w:rPr/>
        <w:t>exactitud), pero ha sido profesor en el municipio e identificarse con la región. Manifestó conocer la problemática de la población aledaña a la presa Huapango, y reconoció que uno de los principales problemas fue la inexistencia de acuerdos entre el Cabildo Municipal y los actores históricos afectados.</w:t>
      </w:r>
    </w:p>
    <w:p>
      <w:pPr>
        <w:pStyle w:val="ListParagraph"/>
        <w:numPr>
          <w:ilvl w:val="3"/>
          <w:numId w:val="51"/>
        </w:numPr>
        <w:tabs>
          <w:tab w:pos="822" w:val="left" w:leader="none"/>
        </w:tabs>
        <w:spacing w:line="360" w:lineRule="auto" w:before="3" w:after="0"/>
        <w:ind w:left="822" w:right="115" w:hanging="360"/>
        <w:jc w:val="both"/>
        <w:rPr>
          <w:sz w:val="22"/>
        </w:rPr>
      </w:pPr>
      <w:r>
        <w:rPr>
          <w:sz w:val="22"/>
        </w:rPr>
        <w:t>Finalmente para el caso de los actores de Polotitlán, todos los entrevistados (la Presidenta Municipal; el Primer Regidor. Encargado de la Comisión de Desarrollo Agropecuario y Ecología; la Tercer Regidor. Encargada de la Comisión de Desarrollo Económico y Desarrollo Urbano y el Coordinador de Desarrollo Agropecuario) nacieron en dicho municipio, lo que facilitó la entrevista porque manifestaron su conocimiento con respecto al uso que le dan a la laguna de Huapango, sin embargo, se detectó que su identificación con la laguna, es parcial y con tendencia al uso del agua para riego. Es decir, como se recordará este municipio no colinda directamente con la laguna de Huapango, en este sentido los actores de Polotitlán desconocen en gran parte los problemas que se generan en la presa y en los municipios de aguas arriba, pero se muestran muy interesados en la parte de distribución y asignación del riego, ya que ellos la utilizan para la producción de forraje para el</w:t>
      </w:r>
      <w:r>
        <w:rPr>
          <w:spacing w:val="-6"/>
          <w:sz w:val="22"/>
        </w:rPr>
        <w:t> </w:t>
      </w:r>
      <w:r>
        <w:rPr>
          <w:sz w:val="22"/>
        </w:rPr>
        <w:t>ganado.</w:t>
      </w:r>
    </w:p>
    <w:p>
      <w:pPr>
        <w:pStyle w:val="BodyText"/>
        <w:spacing w:line="360" w:lineRule="auto" w:before="3"/>
        <w:ind w:left="102" w:right="118"/>
        <w:jc w:val="both"/>
      </w:pPr>
      <w:r>
        <w:rPr/>
        <w:t>Se considera e identifica que los actores municipales en su mayoría nacieron en la región de la cuenca hidrosocial presa Huapango, por lo tanto se sienten identificados con ella.  Sin embargo, este hecho por si solo no les permite que como autoridades municipales conozcan los problemas de dicha cuenca, sobre todo si no tienen vínculos de parentesco. Otra causa de su desconocimiento en los problemas de la cuenca, es que en  sus períodos de gobierno, sus funciones y responsabilidades que están señalas por la ley, manifiesta limitaciones en sus atribuciones, lo cual aunado a la falta de acuerdos dentro de sus Cabildos, limita y genera poco interés en la problemática de la región y no les permite planear a mediano y largo</w:t>
      </w:r>
      <w:r>
        <w:rPr>
          <w:spacing w:val="-11"/>
        </w:rPr>
        <w:t> </w:t>
      </w:r>
      <w:r>
        <w:rPr/>
        <w:t>plazo.</w:t>
      </w:r>
    </w:p>
    <w:p>
      <w:pPr>
        <w:pStyle w:val="BodyText"/>
        <w:spacing w:before="7"/>
        <w:rPr>
          <w:sz w:val="17"/>
        </w:rPr>
      </w:pPr>
    </w:p>
    <w:p>
      <w:pPr>
        <w:pStyle w:val="BodyText"/>
        <w:spacing w:line="360" w:lineRule="auto"/>
        <w:ind w:left="102" w:right="116"/>
        <w:jc w:val="both"/>
      </w:pPr>
      <w:r>
        <w:rPr/>
        <w:t>Por otro lado, para el caso de </w:t>
      </w:r>
      <w:r>
        <w:rPr>
          <w:i/>
        </w:rPr>
        <w:t>La identidad </w:t>
      </w:r>
      <w:r>
        <w:rPr/>
        <w:t>del grupo de los </w:t>
      </w:r>
      <w:r>
        <w:rPr>
          <w:b/>
        </w:rPr>
        <w:t>actores federales </w:t>
      </w:r>
      <w:r>
        <w:rPr/>
        <w:t>entrevistados (3), 1 (33%) nació en la región de la cuenca hidrosocial presa Huapango; y  2 (67%) actores no nacieron en la región, ya que son oriundos de otros estados de la República.</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5"/>
        <w:rPr>
          <w:sz w:val="16"/>
        </w:rPr>
      </w:pPr>
    </w:p>
    <w:p>
      <w:pPr>
        <w:pStyle w:val="Heading6"/>
        <w:spacing w:before="73"/>
        <w:ind w:left="1513"/>
      </w:pPr>
      <w:r>
        <w:rPr/>
        <w:t>Gráfica 6.4. Actores federales y su identidad con la CHPH</w:t>
      </w:r>
    </w:p>
    <w:p>
      <w:pPr>
        <w:pStyle w:val="BodyText"/>
        <w:spacing w:before="8"/>
        <w:rPr>
          <w:b/>
          <w:sz w:val="24"/>
        </w:rPr>
      </w:pPr>
      <w:r>
        <w:rPr/>
        <w:pict>
          <v:group style="position:absolute;margin-left:124.875pt;margin-top:16.153942pt;width:360.75pt;height:216.75pt;mso-position-horizontal-relative:page;mso-position-vertical-relative:paragraph;z-index:10960;mso-wrap-distance-left:0;mso-wrap-distance-right:0" coordorigin="2498,323" coordsize="7215,4335">
            <v:shape style="position:absolute;left:3014;top:1309;width:3625;height:2881" type="#_x0000_t75" stroked="false">
              <v:imagedata r:id="rId197" o:title=""/>
            </v:shape>
            <v:rect style="position:absolute;left:7267;top:1785;width:111;height:111" filled="true" fillcolor="#4f81bc" stroked="false">
              <v:fill type="solid"/>
            </v:rect>
            <v:rect style="position:absolute;left:7267;top:1785;width:111;height:111" filled="false" stroked="true" strokeweight=".75pt" strokecolor="#000000"/>
            <v:rect style="position:absolute;left:7267;top:2542;width:111;height:111" filled="true" fillcolor="#c0504d" stroked="false">
              <v:fill type="solid"/>
            </v:rect>
            <v:rect style="position:absolute;left:7267;top:2542;width:111;height:111" filled="false" stroked="true" strokeweight=".75pt" strokecolor="#000000"/>
            <v:rect style="position:absolute;left:2505;top:331;width:7200;height:4320" filled="false" stroked="true" strokeweight=".75pt" strokecolor="#000000"/>
            <v:shape style="position:absolute;left:3437;top:520;width:5336;height:298" type="#_x0000_t202" filled="false" stroked="false">
              <v:textbox inset="0,0,0,0">
                <w:txbxContent>
                  <w:p>
                    <w:pPr>
                      <w:spacing w:line="298" w:lineRule="exact" w:before="0"/>
                      <w:ind w:left="0" w:right="-4" w:firstLine="0"/>
                      <w:jc w:val="left"/>
                      <w:rPr>
                        <w:rFonts w:ascii="Calibri"/>
                        <w:b/>
                        <w:sz w:val="28"/>
                      </w:rPr>
                    </w:pPr>
                    <w:r>
                      <w:rPr>
                        <w:rFonts w:ascii="Calibri"/>
                        <w:b/>
                        <w:sz w:val="28"/>
                      </w:rPr>
                      <w:t>Actores </w:t>
                    </w:r>
                    <w:r>
                      <w:rPr>
                        <w:b/>
                        <w:sz w:val="28"/>
                      </w:rPr>
                      <w:t>federales </w:t>
                    </w:r>
                    <w:r>
                      <w:rPr>
                        <w:rFonts w:ascii="Calibri"/>
                        <w:b/>
                        <w:sz w:val="28"/>
                      </w:rPr>
                      <w:t>y su identidad con la</w:t>
                    </w:r>
                    <w:r>
                      <w:rPr>
                        <w:rFonts w:ascii="Calibri"/>
                        <w:b/>
                        <w:spacing w:val="-39"/>
                        <w:sz w:val="28"/>
                      </w:rPr>
                      <w:t> </w:t>
                    </w:r>
                    <w:r>
                      <w:rPr>
                        <w:rFonts w:ascii="Calibri"/>
                        <w:b/>
                        <w:sz w:val="28"/>
                      </w:rPr>
                      <w:t>CHPH</w:t>
                    </w:r>
                  </w:p>
                </w:txbxContent>
              </v:textbox>
              <w10:wrap type="none"/>
            </v:shape>
            <v:shape style="position:absolute;left:5566;top:1979;width:441;height:221" type="#_x0000_t202" filled="false" stroked="false">
              <v:textbox inset="0,0,0,0">
                <w:txbxContent>
                  <w:p>
                    <w:pPr>
                      <w:spacing w:line="221" w:lineRule="exact" w:before="0"/>
                      <w:ind w:left="0" w:right="-20" w:firstLine="0"/>
                      <w:jc w:val="left"/>
                      <w:rPr>
                        <w:sz w:val="22"/>
                      </w:rPr>
                    </w:pPr>
                    <w:r>
                      <w:rPr>
                        <w:sz w:val="22"/>
                      </w:rPr>
                      <w:t>33%</w:t>
                    </w:r>
                  </w:p>
                </w:txbxContent>
              </v:textbox>
              <w10:wrap type="none"/>
            </v:shape>
            <v:shape style="position:absolute;left:7427;top:1732;width:2094;height:474" type="#_x0000_t202" filled="false" stroked="false">
              <v:textbox inset="0,0,0,0">
                <w:txbxContent>
                  <w:p>
                    <w:pPr>
                      <w:spacing w:line="225" w:lineRule="exact" w:before="0"/>
                      <w:ind w:left="0" w:right="-18" w:firstLine="0"/>
                      <w:jc w:val="left"/>
                      <w:rPr>
                        <w:sz w:val="22"/>
                      </w:rPr>
                    </w:pPr>
                    <w:r>
                      <w:rPr>
                        <w:sz w:val="22"/>
                      </w:rPr>
                      <w:t>Nacieron en la región</w:t>
                    </w:r>
                  </w:p>
                  <w:p>
                    <w:pPr>
                      <w:spacing w:line="248" w:lineRule="exact" w:before="0"/>
                      <w:ind w:left="0" w:right="-18" w:firstLine="0"/>
                      <w:jc w:val="left"/>
                      <w:rPr>
                        <w:sz w:val="22"/>
                      </w:rPr>
                    </w:pPr>
                    <w:r>
                      <w:rPr>
                        <w:sz w:val="22"/>
                      </w:rPr>
                      <w:t>de la CHPH</w:t>
                    </w:r>
                  </w:p>
                </w:txbxContent>
              </v:textbox>
              <w10:wrap type="none"/>
            </v:shape>
            <v:shape style="position:absolute;left:3375;top:2699;width:441;height:221" type="#_x0000_t202" filled="false" stroked="false">
              <v:textbox inset="0,0,0,0">
                <w:txbxContent>
                  <w:p>
                    <w:pPr>
                      <w:spacing w:line="221" w:lineRule="exact" w:before="0"/>
                      <w:ind w:left="0" w:right="-20" w:firstLine="0"/>
                      <w:jc w:val="left"/>
                      <w:rPr>
                        <w:sz w:val="22"/>
                      </w:rPr>
                    </w:pPr>
                    <w:r>
                      <w:rPr>
                        <w:sz w:val="22"/>
                      </w:rPr>
                      <w:t>67%</w:t>
                    </w:r>
                  </w:p>
                </w:txbxContent>
              </v:textbox>
              <w10:wrap type="none"/>
            </v:shape>
            <v:shape style="position:absolute;left:7427;top:2489;width:1835;height:474" type="#_x0000_t202" filled="false" stroked="false">
              <v:textbox inset="0,0,0,0">
                <w:txbxContent>
                  <w:p>
                    <w:pPr>
                      <w:spacing w:line="226" w:lineRule="exact" w:before="0"/>
                      <w:ind w:left="0" w:right="-20" w:firstLine="0"/>
                      <w:jc w:val="left"/>
                      <w:rPr>
                        <w:sz w:val="22"/>
                      </w:rPr>
                    </w:pPr>
                    <w:r>
                      <w:rPr>
                        <w:sz w:val="22"/>
                      </w:rPr>
                      <w:t>No nacieron en la</w:t>
                    </w:r>
                  </w:p>
                  <w:p>
                    <w:pPr>
                      <w:spacing w:line="248" w:lineRule="exact" w:before="0"/>
                      <w:ind w:left="0" w:right="-20" w:firstLine="0"/>
                      <w:jc w:val="left"/>
                      <w:rPr>
                        <w:sz w:val="22"/>
                      </w:rPr>
                    </w:pPr>
                    <w:r>
                      <w:rPr>
                        <w:sz w:val="22"/>
                      </w:rPr>
                      <w:t>región de la CHPH</w:t>
                    </w:r>
                  </w:p>
                </w:txbxContent>
              </v:textbox>
              <w10:wrap type="none"/>
            </v:shape>
            <w10:wrap type="topAndBottom"/>
          </v:group>
        </w:pict>
      </w:r>
    </w:p>
    <w:p>
      <w:pPr>
        <w:pStyle w:val="BodyText"/>
        <w:spacing w:before="6"/>
        <w:rPr>
          <w:b/>
          <w:sz w:val="27"/>
        </w:rPr>
      </w:pPr>
    </w:p>
    <w:p>
      <w:pPr>
        <w:pStyle w:val="BodyText"/>
        <w:spacing w:line="362" w:lineRule="auto"/>
        <w:ind w:left="102" w:right="194"/>
      </w:pPr>
      <w:r>
        <w:rPr>
          <w:b/>
        </w:rPr>
        <w:t>Fuente: </w:t>
      </w:r>
      <w:r>
        <w:rPr/>
        <w:t>Elaboración propia con base en los datos obtenidos en Trabajo de Campo, García</w:t>
      </w:r>
      <w:r>
        <w:rPr>
          <w:spacing w:val="-4"/>
        </w:rPr>
        <w:t> </w:t>
      </w:r>
      <w:r>
        <w:rPr/>
        <w:t>(2013-2015).</w:t>
      </w:r>
    </w:p>
    <w:p>
      <w:pPr>
        <w:pStyle w:val="BodyText"/>
        <w:spacing w:before="5"/>
        <w:rPr>
          <w:sz w:val="17"/>
        </w:rPr>
      </w:pPr>
    </w:p>
    <w:p>
      <w:pPr>
        <w:pStyle w:val="ListParagraph"/>
        <w:numPr>
          <w:ilvl w:val="0"/>
          <w:numId w:val="53"/>
        </w:numPr>
        <w:tabs>
          <w:tab w:pos="822" w:val="left" w:leader="none"/>
        </w:tabs>
        <w:spacing w:line="360" w:lineRule="auto" w:before="0" w:after="0"/>
        <w:ind w:left="822" w:right="115" w:hanging="360"/>
        <w:jc w:val="both"/>
        <w:rPr>
          <w:sz w:val="22"/>
        </w:rPr>
      </w:pPr>
      <w:r>
        <w:rPr>
          <w:sz w:val="22"/>
        </w:rPr>
        <w:t>Los dos actores federales son oriundos de otros estados de la Republica (no nacieron en la región) y trabajan para la Conagua; viven en el municipio de Atlacomulco. Uno es el Jefe del Distrito de Riego en el Estado de México y nació en Cuautla, Morelos; el otro es el Subjefe de Operación, nació en Tamaulipas. De estos dos funcionarios públicos, el primero en la entrevista manifestó mayor preocupación por los actores de aguas abajo (Aculco y Polotitlán), identificó que  no tienen agua para regar, por lo que se requiere llevarles mayor cantidad a costa de lo que sea. Cabe destacar que su trabajo de gabinete no le permite conocer la problemática de la región. Mientras que el segundo actor trabaja en campo y ha visto el problema de la contaminación de la presa Huapango, la cual dijo preocuparle, pero aun así es evidente que ambos desconocen la magnitud de los problemas que viven los actores en la cuenca hidrosocial presa Huapango. Ddichos actores federales son los encargados de la toma de decisiones que afectan a los actores de aguas arriba, beneficiando solo a los de aguas abajo, lo cual deja ver la falta de una visión integrada y de GIRH por parte de la Conagua para esta</w:t>
      </w:r>
      <w:r>
        <w:rPr>
          <w:spacing w:val="-3"/>
          <w:sz w:val="22"/>
        </w:rPr>
        <w:t> </w:t>
      </w:r>
      <w:r>
        <w:rPr>
          <w:sz w:val="22"/>
        </w:rPr>
        <w:t>cuenca.</w:t>
      </w:r>
    </w:p>
    <w:p>
      <w:pPr>
        <w:spacing w:after="0" w:line="360" w:lineRule="auto"/>
        <w:jc w:val="both"/>
        <w:rPr>
          <w:sz w:val="22"/>
        </w:rPr>
        <w:sectPr>
          <w:pgSz w:w="12240" w:h="15840"/>
          <w:pgMar w:header="0" w:footer="1003" w:top="1500" w:bottom="1200" w:left="1600" w:right="1580"/>
        </w:sectPr>
      </w:pPr>
    </w:p>
    <w:p>
      <w:pPr>
        <w:pStyle w:val="BodyText"/>
        <w:spacing w:before="4"/>
        <w:rPr>
          <w:sz w:val="19"/>
        </w:rPr>
      </w:pPr>
    </w:p>
    <w:p>
      <w:pPr>
        <w:pStyle w:val="ListParagraph"/>
        <w:numPr>
          <w:ilvl w:val="0"/>
          <w:numId w:val="53"/>
        </w:numPr>
        <w:tabs>
          <w:tab w:pos="822" w:val="left" w:leader="none"/>
        </w:tabs>
        <w:spacing w:line="360" w:lineRule="auto" w:before="73" w:after="0"/>
        <w:ind w:left="822" w:right="115" w:hanging="360"/>
        <w:jc w:val="both"/>
        <w:rPr>
          <w:sz w:val="22"/>
        </w:rPr>
      </w:pPr>
      <w:r>
        <w:rPr>
          <w:sz w:val="22"/>
        </w:rPr>
        <w:t>Por otro lado, el actor federal que es Presidente de la Asociación de Usuarios del Sistema de Riego Huapango Arroyo Zarco México S.A., aunque vive y nació en Arroyo Zarco, Aculco, se detecta que solo representa los intereses de los actores beneficiados de aguas abajo (Aculco, Polotitlán y parcialmente de Jilotepec), ya que es una figura que aunque es independiente, obedece a la creación de la Conagua en 1989, y a la promulgación de la nueva Ley de Aguas Nacionales en 1992, que dio inicio a la transferencia de los Distritos de Riego a los usuarios, apoyada en un programa de rehabilitación parcial de la infraestructura que se concesiona en módulos de riego a las asociaciones de usuarios, por lo que este actor federal, centra su preocupación y problemática en tener mayor cantidad de agua para riego para los municipios de aguas abajo, sin importarle la problemática de los actores de aguas</w:t>
      </w:r>
      <w:r>
        <w:rPr>
          <w:spacing w:val="-8"/>
          <w:sz w:val="22"/>
        </w:rPr>
        <w:t> </w:t>
      </w:r>
      <w:r>
        <w:rPr>
          <w:sz w:val="22"/>
        </w:rPr>
        <w:t>arriba.</w:t>
      </w:r>
    </w:p>
    <w:p>
      <w:pPr>
        <w:pStyle w:val="BodyText"/>
        <w:spacing w:line="360" w:lineRule="auto" w:before="3"/>
        <w:ind w:left="102" w:right="119"/>
        <w:jc w:val="both"/>
      </w:pPr>
      <w:r>
        <w:rPr/>
        <w:t>Se detecta que los actores federales, son los que tienen menor identificación con la cuenca de la presa Huapango, ya que dos de sus actores, nacieron en otros estados de la República y sus cargos son designados por la Conagua, lo que hace que no se genere identidad con la región, aunado a que sus responsabilidades sólo están enfocadas a la distribución del agua para riego, caso similar ocurre con el Presidente de la Asociación de Usuarios del Sistema de Riego Huapango Arroyo Zarco México S.A., que aunque nació  en Aculco, el cargo que desempeña sólo se enfoca en la distribución del agua para riego, en detrimento de su identidad como ciudadano</w:t>
      </w:r>
      <w:r>
        <w:rPr>
          <w:spacing w:val="-15"/>
        </w:rPr>
        <w:t> </w:t>
      </w:r>
      <w:r>
        <w:rPr/>
        <w:t>local.</w:t>
      </w:r>
    </w:p>
    <w:p>
      <w:pPr>
        <w:pStyle w:val="BodyText"/>
        <w:spacing w:before="7"/>
        <w:rPr>
          <w:sz w:val="17"/>
        </w:rPr>
      </w:pPr>
    </w:p>
    <w:p>
      <w:pPr>
        <w:pStyle w:val="BodyText"/>
        <w:spacing w:line="360" w:lineRule="auto"/>
        <w:ind w:left="102" w:right="116"/>
        <w:jc w:val="both"/>
      </w:pPr>
      <w:r>
        <w:rPr/>
        <w:t>En síntesis, con la obtención de estos datos mediante las entrevistas, se pudo detectar que la identidad es un indicador que se adquiere a través del lugar de nacimiento, parentesco y de la cantidad de años de residencia en el lugar, así como los períodos de gobierno, y el interés que se tenga por la región; ya que es evidente que los actores históricos en su mayoría, por haber nacido y vivido siempre en la región, tienen mayor identificación con la cuenca hidrosocial y conocen más su problemática. Caso contrario ocurre con los actores Municipales, que sí bien, también en su mayoría son ciudadanos nacidos en los municipios que representan, no conocen con precisión los problemas de la cuenca hidrosocial y sus funciones y responsabilidades con ésta, porque manifiestan limitaciones en sus atribuciones que les señala la ley y la falta de acuerdos dentro de sus Cabildos, lo cual hace que éstos tengan limitantes por ley y poco interés en la problemática de la región, lo que no les permite planear a mediano y largo</w:t>
      </w:r>
      <w:r>
        <w:rPr>
          <w:spacing w:val="-29"/>
        </w:rPr>
        <w:t> </w:t>
      </w:r>
      <w:r>
        <w:rPr/>
        <w:t>plazo.</w:t>
      </w:r>
    </w:p>
    <w:p>
      <w:pPr>
        <w:spacing w:after="0" w:line="360" w:lineRule="auto"/>
        <w:jc w:val="both"/>
        <w:sectPr>
          <w:pgSz w:w="12240" w:h="15840"/>
          <w:pgMar w:header="0" w:footer="1003" w:top="1500" w:bottom="1200" w:left="1600" w:right="1580"/>
        </w:sectPr>
      </w:pPr>
    </w:p>
    <w:p>
      <w:pPr>
        <w:pStyle w:val="BodyText"/>
        <w:spacing w:line="360" w:lineRule="auto" w:before="53"/>
        <w:ind w:left="102" w:right="117"/>
        <w:jc w:val="both"/>
      </w:pPr>
      <w:r>
        <w:rPr/>
        <w:t>Para el caso de los actores federales, es más evidente la falta de identificación con la zona de la cuenca hidrosocial presa Huapango, ya que en su mayoría, son oriundos de otros estados de la República y ocupan cargos designados por la Conagua, que en cualquier momento pueden tener una movilidad que no les permite conocer la región y su problemática.</w:t>
      </w:r>
    </w:p>
    <w:p>
      <w:pPr>
        <w:pStyle w:val="BodyText"/>
        <w:spacing w:before="4"/>
        <w:rPr>
          <w:sz w:val="17"/>
        </w:rPr>
      </w:pPr>
    </w:p>
    <w:p>
      <w:pPr>
        <w:pStyle w:val="Heading6"/>
        <w:numPr>
          <w:ilvl w:val="2"/>
          <w:numId w:val="51"/>
        </w:numPr>
        <w:tabs>
          <w:tab w:pos="717" w:val="left" w:leader="none"/>
        </w:tabs>
        <w:spacing w:line="240" w:lineRule="auto" w:before="0" w:after="0"/>
        <w:ind w:left="716" w:right="0" w:hanging="614"/>
        <w:jc w:val="both"/>
      </w:pPr>
      <w:bookmarkStart w:name="_TOC_250023" w:id="50"/>
      <w:r>
        <w:rPr/>
        <w:t>La autogestión comunitaria en la</w:t>
      </w:r>
      <w:r>
        <w:rPr>
          <w:spacing w:val="-14"/>
        </w:rPr>
        <w:t> </w:t>
      </w:r>
      <w:bookmarkEnd w:id="50"/>
      <w:r>
        <w:rPr/>
        <w:t>CHPH</w:t>
      </w:r>
    </w:p>
    <w:p>
      <w:pPr>
        <w:pStyle w:val="BodyText"/>
        <w:spacing w:before="8"/>
        <w:rPr>
          <w:b/>
          <w:sz w:val="28"/>
        </w:rPr>
      </w:pPr>
    </w:p>
    <w:p>
      <w:pPr>
        <w:pStyle w:val="BodyText"/>
        <w:spacing w:line="360" w:lineRule="auto"/>
        <w:ind w:left="102" w:right="116"/>
        <w:jc w:val="both"/>
      </w:pPr>
      <w:r>
        <w:rPr/>
        <w:t>El siguiente principio de la gobernanza es la </w:t>
      </w:r>
      <w:r>
        <w:rPr>
          <w:i/>
        </w:rPr>
        <w:t>autogestión comunitaria, </w:t>
      </w:r>
      <w:r>
        <w:rPr/>
        <w:t>el cual es definido como un enfoque integral de la vida en sociedad, se refiere a organizar democrática o participativamente todas las dimensiones de la vida económica y social en comunidad. La base de la autogestión comunitaria está en la identidad y sus derechos fundamentales, como el derecho a la autodeterminación, la participación y en las esferas personales, familiares y comunitarias </w:t>
      </w:r>
      <w:r>
        <w:rPr>
          <w:i/>
        </w:rPr>
        <w:t>(</w:t>
      </w:r>
      <w:r>
        <w:rPr/>
        <w:t>Angélica Martínez, 2015).</w:t>
      </w:r>
    </w:p>
    <w:p>
      <w:pPr>
        <w:pStyle w:val="BodyText"/>
        <w:spacing w:before="9"/>
        <w:rPr>
          <w:sz w:val="17"/>
        </w:rPr>
      </w:pPr>
    </w:p>
    <w:p>
      <w:pPr>
        <w:pStyle w:val="BodyText"/>
        <w:spacing w:line="360" w:lineRule="auto"/>
        <w:ind w:left="102" w:right="112"/>
        <w:jc w:val="both"/>
      </w:pPr>
      <w:r>
        <w:rPr/>
        <w:t>En la cuenca hidrosocial presa Huapango, los recursos naturales han estado distribuidos históricamente en función de las necesidades de sus habitantes. Sin embargo, con la penetración del Estado y del Capitalismo, en las últimas décadas, se está dando de forma inequitativa. El análisis de lo anterior (gestión de los recursos) puede identificarse </w:t>
      </w:r>
      <w:r>
        <w:rPr>
          <w:spacing w:val="3"/>
        </w:rPr>
        <w:t>en </w:t>
      </w:r>
      <w:r>
        <w:rPr/>
        <w:t>función de los grupos de actores de la región y su relación con el agua y los recursos de  la laguna:</w:t>
      </w:r>
    </w:p>
    <w:p>
      <w:pPr>
        <w:pStyle w:val="BodyText"/>
        <w:spacing w:before="7"/>
        <w:rPr>
          <w:sz w:val="17"/>
        </w:rPr>
      </w:pPr>
    </w:p>
    <w:p>
      <w:pPr>
        <w:pStyle w:val="ListParagraph"/>
        <w:numPr>
          <w:ilvl w:val="3"/>
          <w:numId w:val="51"/>
        </w:numPr>
        <w:tabs>
          <w:tab w:pos="822" w:val="left" w:leader="none"/>
        </w:tabs>
        <w:spacing w:line="360" w:lineRule="auto" w:before="0" w:after="0"/>
        <w:ind w:left="822" w:right="112" w:hanging="360"/>
        <w:jc w:val="both"/>
        <w:rPr>
          <w:sz w:val="22"/>
        </w:rPr>
      </w:pPr>
      <w:r>
        <w:rPr>
          <w:sz w:val="22"/>
        </w:rPr>
        <w:t>Para el grupo de los </w:t>
      </w:r>
      <w:r>
        <w:rPr>
          <w:b/>
          <w:sz w:val="22"/>
        </w:rPr>
        <w:t>actores históricos</w:t>
      </w:r>
      <w:r>
        <w:rPr>
          <w:sz w:val="22"/>
        </w:rPr>
        <w:t>, son multiactores porque se dedican al mismo tiempo a la agricultura, la ganadería, la pesca, producción de lácteos y turismo; las márgenes de la laguna de Huapango la utilizan para el agostadero de animales y sus aguas como abrevadero de éstos; su interior lo utilizan para pescar y, en los casos de aguas abajo, para regar y producir forrajes para el alimento del ganado, con el cual se obtiene leche y carne bovina. La región es considerada como la cuenca lechera más importante del Estado de México porque es la principal productora de</w:t>
      </w:r>
      <w:r>
        <w:rPr>
          <w:spacing w:val="-4"/>
          <w:sz w:val="22"/>
        </w:rPr>
        <w:t> </w:t>
      </w:r>
      <w:r>
        <w:rPr>
          <w:sz w:val="22"/>
        </w:rPr>
        <w:t>lácteos.</w:t>
      </w:r>
    </w:p>
    <w:p>
      <w:pPr>
        <w:pStyle w:val="BodyText"/>
      </w:pPr>
    </w:p>
    <w:p>
      <w:pPr>
        <w:pStyle w:val="ListParagraph"/>
        <w:numPr>
          <w:ilvl w:val="3"/>
          <w:numId w:val="51"/>
        </w:numPr>
        <w:tabs>
          <w:tab w:pos="822" w:val="left" w:leader="none"/>
        </w:tabs>
        <w:spacing w:line="360" w:lineRule="auto" w:before="129" w:after="0"/>
        <w:ind w:left="822" w:right="118" w:hanging="360"/>
        <w:jc w:val="both"/>
        <w:rPr>
          <w:sz w:val="22"/>
        </w:rPr>
      </w:pPr>
      <w:r>
        <w:rPr>
          <w:sz w:val="22"/>
        </w:rPr>
        <w:t>Además, dichos actores históricos de la región tienen una cultura de comida lacustre que data de fines del siglo XVIII, la cual sigue siendo importante para el consumo popular de la población (pescado, ranas, aves, acociles, renacuajos, etc.). Específicamente para el caso de las comunidades rivereñas de la laguna de Huapango    de  los  municipios  de  Acambay,  Aculco,  Jilotepec  y  Timilpan,  </w:t>
      </w:r>
      <w:r>
        <w:rPr>
          <w:spacing w:val="16"/>
          <w:sz w:val="22"/>
        </w:rPr>
        <w:t> </w:t>
      </w:r>
      <w:r>
        <w:rPr>
          <w:sz w:val="22"/>
        </w:rPr>
        <w:t>los</w:t>
      </w:r>
    </w:p>
    <w:p>
      <w:pPr>
        <w:spacing w:after="0" w:line="360" w:lineRule="auto"/>
        <w:jc w:val="both"/>
        <w:rPr>
          <w:sz w:val="22"/>
        </w:rPr>
        <w:sectPr>
          <w:pgSz w:w="12240" w:h="15840"/>
          <w:pgMar w:header="0" w:footer="1003" w:top="1360" w:bottom="1200" w:left="1600" w:right="1580"/>
        </w:sectPr>
      </w:pPr>
    </w:p>
    <w:p>
      <w:pPr>
        <w:pStyle w:val="BodyText"/>
        <w:spacing w:line="360" w:lineRule="auto" w:before="53"/>
        <w:ind w:left="821" w:right="118"/>
        <w:jc w:val="both"/>
      </w:pPr>
      <w:r>
        <w:rPr/>
        <w:t>actores históricos se benefician con la pesca, el pastoreo de animales bovinos y ovinos, así como con la recolección de productos lacustres para el autoconsumo y venta en los mercados de la región.</w:t>
      </w:r>
    </w:p>
    <w:p>
      <w:pPr>
        <w:pStyle w:val="BodyText"/>
        <w:spacing w:line="360" w:lineRule="auto" w:before="3"/>
        <w:ind w:left="102" w:right="119"/>
        <w:jc w:val="both"/>
      </w:pPr>
      <w:r>
        <w:rPr/>
        <w:t>Si bien la producción y comercialización de lácteos se ha desarrollado con mayor intensidad en los municipios de Aculco y Polotitlán, en dichos lugares se acapara la producción de leche de los pequeños productores de los municipios vecinos que se benefician de la laguna de Huapango. Cabe resaltar que existen múltiples actores históricos que producen queso artesanal, que es vendido en los mercados regionales y que tiene un impacto significativo en los ingresos de las familias.</w:t>
      </w:r>
    </w:p>
    <w:p>
      <w:pPr>
        <w:pStyle w:val="BodyText"/>
        <w:spacing w:before="10"/>
        <w:rPr>
          <w:sz w:val="17"/>
        </w:rPr>
      </w:pPr>
    </w:p>
    <w:p>
      <w:pPr>
        <w:pStyle w:val="BodyText"/>
        <w:spacing w:line="360" w:lineRule="auto"/>
        <w:ind w:left="102" w:right="116"/>
        <w:jc w:val="both"/>
      </w:pPr>
      <w:r>
        <w:rPr/>
        <w:t>La gestión del turismo en la laguna de Huapango, ha sido manejado en términos generales, sólo por los actores históricos del municipio de Aculco, ya que son los únicos que legalmente han constituido un centro turístico: “Las Delicias de Huapango S.A. de C.V.” El turismo local es de suma importancia en temporada de vacaciones,  principalmente en Semana Santa y Navidad, donde la población de la región acostumbra visitar la laguna de Huapango para ir de día de campo, convivir con sus familias y disfrutar del paisaje, ya que su extensión de aproximadamente 22 kilómetros permite tener contacto directo con ella en distintos puntos. El potencial turístico de la laguna (presa) aún queda pendiente por gestionar en los municipios de Timilpan, Acambay, Jilotepec y Aculco.</w:t>
      </w:r>
    </w:p>
    <w:p>
      <w:pPr>
        <w:pStyle w:val="BodyText"/>
        <w:spacing w:before="7"/>
        <w:rPr>
          <w:sz w:val="17"/>
        </w:rPr>
      </w:pPr>
    </w:p>
    <w:p>
      <w:pPr>
        <w:pStyle w:val="BodyText"/>
        <w:spacing w:line="360" w:lineRule="auto"/>
        <w:ind w:left="102" w:right="116"/>
        <w:jc w:val="both"/>
      </w:pPr>
      <w:r>
        <w:rPr/>
        <w:t>El agua de la laguna de Huapango ha sido utilizada para el riego sólo por los actores históricos de los municipios de Aculco y Polotitlán, de 15,000 hectáreas para la  producción de forrajes y abrevaderos, ya que su posición geográfica de aguas abajo, los ha beneficiado históricamente, desde la época novohispana a través de la Hacienda de Arroyo Zarco, que les entregó los derechos del agua cuando se repartió el ejido. Sin embargo, lo anterior ha generado el descontento de los actores históricos de los otros municipios porque no se ven beneficiados con este rubro, incluso lo tienen prohibido por ley. En este sentido, cabe resaltar que el cuerpo de agua se encuentra en el territorio municipal de Timilpan, Acambay y Jilotepec, los cuales no se benefician del riego, pero si se les hace responsables de su</w:t>
      </w:r>
      <w:r>
        <w:rPr>
          <w:spacing w:val="-4"/>
        </w:rPr>
        <w:t> </w:t>
      </w:r>
      <w:r>
        <w:rPr/>
        <w:t>cuidado.</w:t>
      </w:r>
    </w:p>
    <w:p>
      <w:pPr>
        <w:pStyle w:val="BodyText"/>
        <w:spacing w:before="7"/>
        <w:rPr>
          <w:sz w:val="17"/>
        </w:rPr>
      </w:pPr>
    </w:p>
    <w:p>
      <w:pPr>
        <w:pStyle w:val="BodyText"/>
        <w:spacing w:line="360" w:lineRule="auto"/>
        <w:ind w:left="102" w:right="115"/>
        <w:jc w:val="both"/>
      </w:pPr>
      <w:r>
        <w:rPr/>
        <w:t>Por otro lado, los </w:t>
      </w:r>
      <w:r>
        <w:rPr>
          <w:b/>
        </w:rPr>
        <w:t>actores municipales</w:t>
      </w:r>
      <w:r>
        <w:rPr/>
        <w:t>, señalaron en las entrevistas que la laguna de Huapango es de vital importancia para la región, ya que los municipios de Acambay, Aculco, Jilotepec y Timilpan se ven beneficiados con el pastoreo, abrevaderos, pesca, turismo local, principalmente, comida lacustre y con el riego (Aculco y Polotitlán), lo que</w:t>
      </w:r>
    </w:p>
    <w:p>
      <w:pPr>
        <w:spacing w:after="0" w:line="360" w:lineRule="auto"/>
        <w:jc w:val="both"/>
        <w:sectPr>
          <w:pgSz w:w="12240" w:h="15840"/>
          <w:pgMar w:header="0" w:footer="1003" w:top="1360" w:bottom="1200" w:left="1600" w:right="1580"/>
        </w:sectPr>
      </w:pPr>
    </w:p>
    <w:p>
      <w:pPr>
        <w:pStyle w:val="BodyText"/>
        <w:spacing w:line="360" w:lineRule="auto" w:before="53"/>
        <w:ind w:left="102" w:right="118"/>
        <w:jc w:val="both"/>
      </w:pPr>
      <w:r>
        <w:rPr/>
        <w:t>tiene un impacto positivo en la economía de las familias. Además fue considerada como Santuario del Agua en el año 2004, pero en la práctica, esto último solo es nominal, ya que no representa ayuda alguna por parte del gobierno</w:t>
      </w:r>
      <w:r>
        <w:rPr>
          <w:spacing w:val="-19"/>
        </w:rPr>
        <w:t> </w:t>
      </w:r>
      <w:r>
        <w:rPr/>
        <w:t>estatal.</w:t>
      </w:r>
    </w:p>
    <w:p>
      <w:pPr>
        <w:pStyle w:val="BodyText"/>
        <w:spacing w:before="7"/>
        <w:rPr>
          <w:sz w:val="17"/>
        </w:rPr>
      </w:pPr>
    </w:p>
    <w:p>
      <w:pPr>
        <w:pStyle w:val="BodyText"/>
        <w:spacing w:line="360" w:lineRule="auto"/>
        <w:ind w:left="102" w:right="114"/>
        <w:jc w:val="both"/>
      </w:pPr>
      <w:r>
        <w:rPr/>
        <w:t>Aquí cabe señalar que la mayoría de las autoridades municipales entrevistadas,  identifican como posible eje de desarrollo regional a la laguna de Huapango, sin embargo, no tienen las facultades de ley para cuidarla en coordinación con la</w:t>
      </w:r>
      <w:r>
        <w:rPr>
          <w:spacing w:val="-21"/>
        </w:rPr>
        <w:t> </w:t>
      </w:r>
      <w:r>
        <w:rPr/>
        <w:t>población.</w:t>
      </w:r>
    </w:p>
    <w:p>
      <w:pPr>
        <w:pStyle w:val="BodyText"/>
        <w:spacing w:before="7"/>
        <w:rPr>
          <w:sz w:val="17"/>
        </w:rPr>
      </w:pPr>
    </w:p>
    <w:p>
      <w:pPr>
        <w:pStyle w:val="BodyText"/>
        <w:spacing w:line="360" w:lineRule="auto"/>
        <w:ind w:left="102" w:right="115"/>
        <w:jc w:val="both"/>
      </w:pPr>
      <w:r>
        <w:rPr/>
        <w:t>Finalmente, el grupo de </w:t>
      </w:r>
      <w:r>
        <w:rPr>
          <w:b/>
        </w:rPr>
        <w:t>actores federales </w:t>
      </w:r>
      <w:r>
        <w:rPr/>
        <w:t>entrevistados, solo identifica la importancia de la gestión que tiene la laguna de Huapango para el riego de los municipios de Aculco y Polotitlán, pero desconocen el valor de dicha laguna para los municipios de Acambay, Jilotepec y Timilpan para las actividades de pesca, recolección, turística, agrícolas y ganaderas, desconocen el impacto cultural, económico y social que tiene el cuerpo de agua para la población rivereña.</w:t>
      </w:r>
    </w:p>
    <w:p>
      <w:pPr>
        <w:pStyle w:val="BodyText"/>
        <w:spacing w:before="9"/>
        <w:rPr>
          <w:sz w:val="17"/>
        </w:rPr>
      </w:pPr>
    </w:p>
    <w:p>
      <w:pPr>
        <w:pStyle w:val="BodyText"/>
        <w:spacing w:line="360" w:lineRule="auto"/>
        <w:ind w:left="102" w:right="119"/>
        <w:jc w:val="both"/>
      </w:pPr>
      <w:r>
        <w:rPr/>
        <w:t>En síntesis, la laguna (presa) de Huapango articula a los actores de la región (históricos, municipales y federales). Sin embargo, es para los actores históricos, de más importancia, ya que a través de ella y su gestión, les sirve para pescar, agostar y abrevar sus ganados, ejercer el turismo, obtener y recolectar comida lacustre, de lo cual obtienen un ingreso tanto económico como gastronómico extra. La autogestión ha sido llevada a cabo por sus costumbres y su antigua liga con la presa Huapango. Sin embargo, se encuentran limitados por el gobierno federal principalmente, al prohibir su uso para riego entre los actores de los municipios de Timilpan, Acambay y Jilotepec.</w:t>
      </w:r>
    </w:p>
    <w:p>
      <w:pPr>
        <w:pStyle w:val="BodyText"/>
        <w:spacing w:before="7"/>
        <w:rPr>
          <w:sz w:val="17"/>
        </w:rPr>
      </w:pPr>
    </w:p>
    <w:p>
      <w:pPr>
        <w:pStyle w:val="BodyText"/>
        <w:spacing w:line="360" w:lineRule="auto"/>
        <w:ind w:left="102" w:right="117"/>
        <w:jc w:val="both"/>
      </w:pPr>
      <w:r>
        <w:rPr/>
        <w:t>Para el caso de los actores municipales, la autogestión de los actores de la presa Huapango se encuentra limitada, ya que si bien la Constitución en su artículo 115, delega facultades a los municipios mediante la prestación de servicios públicos, pero no  establece su responsabilidad en cuestiones ambientales y de uso de recursos comunes,  lo que provoca que los municipios de la región de la presa Huapango, no puedan intervenir ni gestonar asuntos de esta competencia. Además, las aguas de la laguna de Huapango, están concesionada por la federación para riego solo a los municipios de aguas abajo (Aculco y Polotitlán) a través de la Conagua, lo cual limita la intervención de los municipio restantes para usar el agua de dicha</w:t>
      </w:r>
      <w:r>
        <w:rPr>
          <w:spacing w:val="-15"/>
        </w:rPr>
        <w:t> </w:t>
      </w:r>
      <w:r>
        <w:rPr/>
        <w:t>laguna.</w:t>
      </w:r>
    </w:p>
    <w:p>
      <w:pPr>
        <w:pStyle w:val="BodyText"/>
        <w:spacing w:before="7"/>
        <w:rPr>
          <w:sz w:val="17"/>
        </w:rPr>
      </w:pPr>
    </w:p>
    <w:p>
      <w:pPr>
        <w:pStyle w:val="BodyText"/>
        <w:spacing w:line="360" w:lineRule="auto"/>
        <w:ind w:left="102" w:right="113"/>
        <w:jc w:val="both"/>
      </w:pPr>
      <w:r>
        <w:rPr/>
        <w:t>En este sentido, se detecta que para los actores federales la autogestión está asignada sólo en la distribución del riego para los municipios de Aculco y Polotitlán a través de la</w:t>
      </w:r>
    </w:p>
    <w:p>
      <w:pPr>
        <w:spacing w:after="0" w:line="360" w:lineRule="auto"/>
        <w:jc w:val="both"/>
        <w:sectPr>
          <w:pgSz w:w="12240" w:h="15840"/>
          <w:pgMar w:header="0" w:footer="1003" w:top="1360" w:bottom="1200" w:left="1600" w:right="1580"/>
        </w:sectPr>
      </w:pPr>
    </w:p>
    <w:p>
      <w:pPr>
        <w:pStyle w:val="BodyText"/>
        <w:spacing w:line="360" w:lineRule="auto" w:before="53"/>
        <w:ind w:left="102" w:right="115"/>
        <w:jc w:val="both"/>
      </w:pPr>
      <w:r>
        <w:rPr/>
        <w:t>Asociación de Usuarios, pero niegan los derechos sobre el agua de riego a los municipios de Acambay, Jilotepec y Timilpan, con lo cual se ve limitada la gestión integrada de los recursos hídricos por parte de la Conagua.</w:t>
      </w:r>
    </w:p>
    <w:p>
      <w:pPr>
        <w:pStyle w:val="BodyText"/>
        <w:spacing w:before="7"/>
        <w:rPr>
          <w:sz w:val="17"/>
        </w:rPr>
      </w:pPr>
    </w:p>
    <w:p>
      <w:pPr>
        <w:pStyle w:val="BodyText"/>
        <w:spacing w:line="360" w:lineRule="auto"/>
        <w:ind w:left="102" w:right="114"/>
        <w:jc w:val="both"/>
      </w:pPr>
      <w:r>
        <w:rPr/>
        <w:t>Bajo estos argumentos, destaca la importancia de la autogestión que tiene la laguna de Huapango para los actores históricos, ya que se ven beneficiados de la laguna para pescar, agostar y abrevar sus ganados, ejercer el turismo, obtener y recolectar comida lacustre, de lo cual obtienen un ingreso tanto económico como gastronómico extra. Por su parte, los actores municipales, se ven limitados por sus funciones que establece la ley, en la cual se les asigna la prestación de servicios públicos comunes, pero no se reconoce la facultad para cuidar y distribuir sus recursos naturales de uso común, que para este caso de estudio, son manejados por la federación y no se permite la intervención del municipio, ya que los actores federales manejan la distribución del recurso agua, pero no consideran las otras actividades económicas de las cuales dependen los actores de los municipios de aguas arriba, con lo cual se detecta una gran limitación también por parte de la Federación, ya que al no considerar a los de aguas arriba la gestión integrada que se señala en la Ley de Aguas Nacionales por parte de la Conagua está lejos de cumplirse.</w:t>
      </w:r>
    </w:p>
    <w:p>
      <w:pPr>
        <w:pStyle w:val="BodyText"/>
        <w:spacing w:before="9"/>
        <w:rPr>
          <w:sz w:val="17"/>
        </w:rPr>
      </w:pPr>
    </w:p>
    <w:p>
      <w:pPr>
        <w:pStyle w:val="BodyText"/>
        <w:spacing w:line="360" w:lineRule="auto"/>
        <w:ind w:left="102" w:right="115"/>
        <w:jc w:val="both"/>
      </w:pPr>
      <w:r>
        <w:rPr/>
        <w:t>Por tal motivo, corresponde a la comunidad de actores históricos de la Cuenca Hidrosocial Presa Huapango, comenzar con una autogestión regional que cuide y defienda sus recursos naturales, y que integre a los actores municipales y federales en un marco de funciones y responsabilidades integrada.</w:t>
      </w:r>
    </w:p>
    <w:p>
      <w:pPr>
        <w:pStyle w:val="BodyText"/>
        <w:spacing w:before="7"/>
        <w:rPr>
          <w:sz w:val="17"/>
        </w:rPr>
      </w:pPr>
    </w:p>
    <w:p>
      <w:pPr>
        <w:pStyle w:val="Heading6"/>
        <w:numPr>
          <w:ilvl w:val="2"/>
          <w:numId w:val="51"/>
        </w:numPr>
        <w:tabs>
          <w:tab w:pos="717" w:val="left" w:leader="none"/>
        </w:tabs>
        <w:spacing w:line="240" w:lineRule="auto" w:before="0" w:after="0"/>
        <w:ind w:left="716" w:right="0" w:hanging="614"/>
        <w:jc w:val="both"/>
      </w:pPr>
      <w:bookmarkStart w:name="_TOC_250022" w:id="51"/>
      <w:r>
        <w:rPr/>
        <w:t>La cultura en la</w:t>
      </w:r>
      <w:r>
        <w:rPr>
          <w:spacing w:val="-9"/>
        </w:rPr>
        <w:t> </w:t>
      </w:r>
      <w:bookmarkEnd w:id="51"/>
      <w:r>
        <w:rPr/>
        <w:t>CHPH</w:t>
      </w:r>
    </w:p>
    <w:p>
      <w:pPr>
        <w:pStyle w:val="BodyText"/>
        <w:spacing w:before="5"/>
        <w:rPr>
          <w:b/>
          <w:sz w:val="28"/>
        </w:rPr>
      </w:pPr>
    </w:p>
    <w:p>
      <w:pPr>
        <w:pStyle w:val="BodyText"/>
        <w:spacing w:line="360" w:lineRule="auto" w:before="1"/>
        <w:ind w:left="102" w:right="113"/>
        <w:jc w:val="both"/>
      </w:pPr>
      <w:r>
        <w:rPr/>
        <w:t>El siguiente principio de gobernanza en la cuenca hidrosocial presa Huapango</w:t>
      </w:r>
      <w:r>
        <w:rPr>
          <w:i/>
        </w:rPr>
        <w:t>, es el de la </w:t>
      </w:r>
      <w:r>
        <w:rPr>
          <w:i/>
        </w:rPr>
        <w:t>cultura</w:t>
      </w:r>
      <w:r>
        <w:rPr/>
        <w:t>. Ante la </w:t>
      </w:r>
      <w:hyperlink r:id="rId199">
        <w:r>
          <w:rPr/>
          <w:t>crisis</w:t>
        </w:r>
      </w:hyperlink>
      <w:r>
        <w:rPr/>
        <w:t> ambiental que enfrenta se requiere de los actores una educación ambiental comunitaria que fortalezca y desarrolle procesos educativos que abran la creación de nuevos pensamientos, visiones holísticas, enfoques sistémicos e interdisciplinarios y la reorientación de acciones individuales y grupales, locales y  globales, hacia la flexibilización del </w:t>
      </w:r>
      <w:hyperlink r:id="rId200">
        <w:r>
          <w:rPr/>
          <w:t>pensamiento</w:t>
        </w:r>
      </w:hyperlink>
      <w:r>
        <w:rPr/>
        <w:t> ambiental sostenible</w:t>
      </w:r>
      <w:r>
        <w:rPr>
          <w:spacing w:val="-23"/>
        </w:rPr>
        <w:t> </w:t>
      </w:r>
      <w:r>
        <w:rPr/>
        <w:t>regional.</w:t>
      </w:r>
    </w:p>
    <w:p>
      <w:pPr>
        <w:pStyle w:val="BodyText"/>
        <w:spacing w:before="7"/>
        <w:rPr>
          <w:sz w:val="17"/>
        </w:rPr>
      </w:pPr>
    </w:p>
    <w:p>
      <w:pPr>
        <w:pStyle w:val="BodyText"/>
        <w:spacing w:line="360" w:lineRule="auto"/>
        <w:ind w:left="102" w:right="114"/>
        <w:jc w:val="both"/>
      </w:pPr>
      <w:r>
        <w:rPr/>
        <w:t>En tal sentido, los actores señalan que es urgente el diseño de políticas e  instrumentos  de gestión ambiental con el apoyo de las instituciones de acción colectiva y la educación de los actores para la comprensión de las causas y soluciones posibles de los conflictos socioambientales.</w:t>
      </w:r>
    </w:p>
    <w:p>
      <w:pPr>
        <w:spacing w:after="0" w:line="360" w:lineRule="auto"/>
        <w:jc w:val="both"/>
        <w:sectPr>
          <w:footerReference w:type="default" r:id="rId198"/>
          <w:pgSz w:w="12240" w:h="15840"/>
          <w:pgMar w:footer="1003" w:header="0" w:top="1360" w:bottom="1200" w:left="1600" w:right="1580"/>
          <w:pgNumType w:start="390"/>
        </w:sectPr>
      </w:pPr>
    </w:p>
    <w:p>
      <w:pPr>
        <w:pStyle w:val="BodyText"/>
        <w:spacing w:line="360" w:lineRule="auto" w:before="53"/>
        <w:ind w:left="102" w:right="116"/>
        <w:jc w:val="both"/>
      </w:pPr>
      <w:r>
        <w:rPr/>
        <w:t>En este sentido, para el caso de la laguna de Huapango, los grupos de actores entrevistados señalan que nadie se hace responsable de este bien de uso común, porque faltan acuerdos sociales y porque las instituciones gubernamentales encargadas de cuidar el medio ambiente evaden sus responsabilidades, razón por lo que los problemas ambientales siguen creciendo. Esto lo ejemplifican con el caso de la contaminación por descargas de aguas residuales de uso doméstico, la cual ha ido incrementándose a la par del crecimiento poblacional, lo que ha generado una preocupación entre los mismos habitantes, los actores no encuentra una solución, ya que acuden a las instituciones gubernamentales creadas para estos fines, las cuales no les dan respuesta al evadir sus responsabilidades</w:t>
      </w:r>
    </w:p>
    <w:p>
      <w:pPr>
        <w:pStyle w:val="BodyText"/>
        <w:spacing w:before="9"/>
        <w:rPr>
          <w:sz w:val="17"/>
        </w:rPr>
      </w:pPr>
    </w:p>
    <w:p>
      <w:pPr>
        <w:pStyle w:val="BodyText"/>
        <w:spacing w:line="360" w:lineRule="auto"/>
        <w:ind w:left="102" w:right="117"/>
        <w:jc w:val="both"/>
      </w:pPr>
      <w:r>
        <w:rPr/>
        <w:t>En este sentido de cultura, los actores históricos señalan que recientemente la Comisión Nacional de Pesca (Conapesca), implementó acciones de ordenamiento de dicha  actividad en la laguna, lo que generó una serie de problemas porque se crearon cooperativas de pescadores por el Estado, como un requisito indispensable para tramitar los permisos de pesca, sin embargo, los trámites les resultaron difíciles de cubrir a los actores históricos (porque son multiactores y no solo pescadores), por lo que señalan que estaban mejor regulados antes pos sus comunidades, por lo que sugieren que sea la misma población de la cuenca hidrosocial presa Huapango, la que regule las actividades de pesca mediante acuerdos y educación que revierta éste y otros</w:t>
      </w:r>
      <w:r>
        <w:rPr>
          <w:spacing w:val="-17"/>
        </w:rPr>
        <w:t> </w:t>
      </w:r>
      <w:r>
        <w:rPr/>
        <w:t>problemas.</w:t>
      </w:r>
    </w:p>
    <w:p>
      <w:pPr>
        <w:pStyle w:val="BodyText"/>
        <w:spacing w:before="7"/>
        <w:rPr>
          <w:sz w:val="17"/>
        </w:rPr>
      </w:pPr>
    </w:p>
    <w:p>
      <w:pPr>
        <w:pStyle w:val="BodyText"/>
        <w:spacing w:line="360" w:lineRule="auto"/>
        <w:ind w:left="102" w:right="121"/>
        <w:jc w:val="both"/>
      </w:pPr>
      <w:r>
        <w:rPr/>
        <w:t>Con estos ejemplos, los actores históricos sugieren implementar una mejor cultura comunitaria que permita educar en la sostenibilidad de la laguna Huapango, ya que los problemas se están agudizando y con la cultura ambiental pueden ayudar a revertirse.</w:t>
      </w:r>
    </w:p>
    <w:p>
      <w:pPr>
        <w:pStyle w:val="BodyText"/>
        <w:spacing w:before="9"/>
        <w:rPr>
          <w:sz w:val="17"/>
        </w:rPr>
      </w:pPr>
    </w:p>
    <w:p>
      <w:pPr>
        <w:pStyle w:val="BodyText"/>
        <w:spacing w:line="360" w:lineRule="auto"/>
        <w:ind w:left="102" w:right="117"/>
        <w:jc w:val="both"/>
      </w:pPr>
      <w:r>
        <w:rPr/>
        <w:t>En conclusión, los actores identifican que la cultura es un elemento importante para la solución del deterioro de los recursos en la Cuenca Hidrosocial Presa Huapango, ya que el manejo de éstos en términos generales, ha estado dado de una forma autárquica o libre desde la construcción de la laguna de Huapango (1785-1788), que si bien fue efectiva durante muchos años, actualmente dichas prácticas no alcanzan a resolver los  problemas, principalmente porque hay una mayor intervención del Estado, a través de la Conagua, que limita y restringe atribuciones tanto a los actores municipales como a los históricos para dar soluciones amplias mediante acuerdos de una manera más</w:t>
      </w:r>
      <w:r>
        <w:rPr>
          <w:spacing w:val="-24"/>
        </w:rPr>
        <w:t> </w:t>
      </w:r>
      <w:r>
        <w:rPr/>
        <w:t>equitativa.</w:t>
      </w:r>
    </w:p>
    <w:p>
      <w:pPr>
        <w:spacing w:after="0" w:line="360" w:lineRule="auto"/>
        <w:jc w:val="both"/>
        <w:sectPr>
          <w:pgSz w:w="12240" w:h="15840"/>
          <w:pgMar w:header="0" w:footer="1003" w:top="1360" w:bottom="1200" w:left="1600" w:right="1580"/>
        </w:sectPr>
      </w:pPr>
    </w:p>
    <w:p>
      <w:pPr>
        <w:pStyle w:val="Heading6"/>
        <w:numPr>
          <w:ilvl w:val="2"/>
          <w:numId w:val="51"/>
        </w:numPr>
        <w:tabs>
          <w:tab w:pos="717" w:val="left" w:leader="none"/>
        </w:tabs>
        <w:spacing w:line="240" w:lineRule="auto" w:before="51" w:after="0"/>
        <w:ind w:left="716" w:right="0" w:hanging="614"/>
        <w:jc w:val="both"/>
      </w:pPr>
      <w:bookmarkStart w:name="_TOC_250021" w:id="52"/>
      <w:r>
        <w:rPr/>
        <w:t>El Poder en la</w:t>
      </w:r>
      <w:r>
        <w:rPr>
          <w:spacing w:val="-8"/>
        </w:rPr>
        <w:t> </w:t>
      </w:r>
      <w:bookmarkEnd w:id="52"/>
      <w:r>
        <w:rPr/>
        <w:t>CHPH</w:t>
      </w:r>
    </w:p>
    <w:p>
      <w:pPr>
        <w:pStyle w:val="BodyText"/>
        <w:spacing w:before="8"/>
        <w:rPr>
          <w:b/>
          <w:sz w:val="28"/>
        </w:rPr>
      </w:pPr>
    </w:p>
    <w:p>
      <w:pPr>
        <w:pStyle w:val="BodyText"/>
        <w:spacing w:line="360" w:lineRule="auto"/>
        <w:ind w:left="102" w:right="112"/>
        <w:jc w:val="both"/>
      </w:pPr>
      <w:r>
        <w:rPr/>
        <w:t>El otro principio contemplado de la gobernanza es </w:t>
      </w:r>
      <w:r>
        <w:rPr>
          <w:i/>
        </w:rPr>
        <w:t>el de poder</w:t>
      </w:r>
      <w:r>
        <w:rPr/>
        <w:t>, el cual Max Weber define como “la probabilidad de imponer la propia voluntad dentro de una relación social, aún contra toda resistencia y cualquiera que sea el fundamento de esa probabilidad, es por ello que el poder implica dominio, sumisión y hasta imposición” (Weber,</w:t>
      </w:r>
      <w:r>
        <w:rPr>
          <w:spacing w:val="-20"/>
        </w:rPr>
        <w:t> </w:t>
      </w:r>
      <w:r>
        <w:rPr/>
        <w:t>1998).</w:t>
      </w:r>
    </w:p>
    <w:p>
      <w:pPr>
        <w:pStyle w:val="BodyText"/>
        <w:spacing w:before="9"/>
        <w:rPr>
          <w:sz w:val="17"/>
        </w:rPr>
      </w:pPr>
    </w:p>
    <w:p>
      <w:pPr>
        <w:pStyle w:val="BodyText"/>
        <w:spacing w:line="360" w:lineRule="auto"/>
        <w:ind w:left="102" w:right="118"/>
        <w:jc w:val="both"/>
      </w:pPr>
      <w:r>
        <w:rPr/>
        <w:t>Por tal motivo para analizar el poder, debemos atender a las relaciones sociales que son una multitud de interacciones, reguladas por normas entre dos o más personas, o grupos sociales, donde se  ejerce en forma coercitiva el poder.</w:t>
      </w:r>
    </w:p>
    <w:p>
      <w:pPr>
        <w:pStyle w:val="BodyText"/>
        <w:spacing w:before="7"/>
        <w:rPr>
          <w:sz w:val="17"/>
        </w:rPr>
      </w:pPr>
    </w:p>
    <w:p>
      <w:pPr>
        <w:pStyle w:val="BodyText"/>
        <w:spacing w:line="360" w:lineRule="auto"/>
        <w:ind w:left="102" w:right="118"/>
        <w:jc w:val="both"/>
      </w:pPr>
      <w:r>
        <w:rPr/>
        <w:t>En este sentido, también a través de las entrevistas con los actores, se identifica como el capitalismo ha intervenido con su modelo en la región de la cuenca hidrosocial presa Huapango, a través de las grandes inversiones en la región. En este sentido, se realizó una identificación de la presencia del poder con el trabajo de campo, donde los grupos de actores señalaron los ejemplos, las causas, así como las sugerencias de cómo poder manejar esas relaciones.</w:t>
      </w:r>
    </w:p>
    <w:p>
      <w:pPr>
        <w:pStyle w:val="BodyText"/>
        <w:spacing w:before="7"/>
        <w:rPr>
          <w:sz w:val="17"/>
        </w:rPr>
      </w:pPr>
    </w:p>
    <w:p>
      <w:pPr>
        <w:pStyle w:val="BodyText"/>
        <w:spacing w:line="360" w:lineRule="auto"/>
        <w:ind w:left="102" w:right="116"/>
        <w:jc w:val="both"/>
      </w:pPr>
      <w:r>
        <w:rPr/>
        <w:t>Es decir, para explicar estas nuevas fuerzas económicas, hay que identificar el poder de las relaciones que llegan de fuera de la Cuenca Hidrosocial Presa Huapango e identificar las relaciones locales; tales como la apertura de carreteras concesionadas a la iniciativa privada, la llegada de capitales nacionales a la industria láctea, el comercio y la producción de ganado a gran escala. Las inversiones locales en producción láctea, abarrotes, productos para la construcción, gasolineras y desechos industriales, han ido en aumento, por</w:t>
      </w:r>
      <w:r>
        <w:rPr>
          <w:spacing w:val="-6"/>
        </w:rPr>
        <w:t> </w:t>
      </w:r>
      <w:r>
        <w:rPr/>
        <w:t>ejemplo.</w:t>
      </w:r>
    </w:p>
    <w:p>
      <w:pPr>
        <w:pStyle w:val="BodyText"/>
        <w:spacing w:before="4"/>
        <w:rPr>
          <w:sz w:val="17"/>
        </w:rPr>
      </w:pPr>
    </w:p>
    <w:p>
      <w:pPr>
        <w:pStyle w:val="Heading6"/>
        <w:spacing w:line="362" w:lineRule="auto"/>
        <w:ind w:right="118"/>
        <w:jc w:val="both"/>
      </w:pPr>
      <w:r>
        <w:rPr/>
        <w:t>a) Identificación de los problemas derivados del principio del poder en la cuenca hidrosocial presa Huapango por parte de los grupos de actores</w:t>
      </w:r>
    </w:p>
    <w:p>
      <w:pPr>
        <w:pStyle w:val="BodyText"/>
        <w:spacing w:before="7"/>
        <w:rPr>
          <w:b/>
          <w:sz w:val="17"/>
        </w:rPr>
      </w:pPr>
    </w:p>
    <w:p>
      <w:pPr>
        <w:pStyle w:val="BodyText"/>
        <w:spacing w:line="360" w:lineRule="auto"/>
        <w:ind w:left="102" w:right="113"/>
        <w:jc w:val="both"/>
      </w:pPr>
      <w:r>
        <w:rPr/>
        <w:t>La problemática que identifican los grupos de actores en el trabajo de campo se ha generado en torno al crecimiento demográfico y la movilidad de los grandes capitales, así como a su percepción de la evasión de responsabilidades por parte de las autoridades correspondientes, la concentración de poder federal, y las limitaciones de acción del municipio por parte de la ley federal, así como por la falta de acuerdos entre los actores  de la región al no hacerse responsable de sus</w:t>
      </w:r>
      <w:r>
        <w:rPr>
          <w:spacing w:val="-13"/>
        </w:rPr>
        <w:t> </w:t>
      </w:r>
      <w:r>
        <w:rPr/>
        <w:t>actos.</w:t>
      </w:r>
    </w:p>
    <w:p>
      <w:pPr>
        <w:spacing w:after="0" w:line="360" w:lineRule="auto"/>
        <w:jc w:val="both"/>
        <w:sectPr>
          <w:pgSz w:w="12240" w:h="15840"/>
          <w:pgMar w:header="0" w:footer="1003" w:top="1360" w:bottom="1200" w:left="1600" w:right="1580"/>
        </w:sectPr>
      </w:pPr>
    </w:p>
    <w:p>
      <w:pPr>
        <w:pStyle w:val="BodyText"/>
        <w:spacing w:line="360" w:lineRule="auto" w:before="53"/>
        <w:ind w:left="102" w:right="115"/>
        <w:jc w:val="both"/>
      </w:pPr>
      <w:r>
        <w:rPr/>
        <w:t>Los habitantes cercanos a la Autopista Arco Norte, detectan que la inversión en  la apertura de esta autopista, trajo consigo la contaminación del área por donde circula, </w:t>
      </w:r>
      <w:r>
        <w:rPr>
          <w:spacing w:val="-3"/>
        </w:rPr>
        <w:t>ya </w:t>
      </w:r>
      <w:r>
        <w:rPr/>
        <w:t>que ésta genera ruído, estrés en los animales migratorios y contaminación del agua por  los aceites de los automóviles vertidos al cuerpo de agua (botes, latas, diesel, etc.). Es decir, para la mayoría de los </w:t>
      </w:r>
      <w:r>
        <w:rPr>
          <w:i/>
        </w:rPr>
        <w:t>actores históricos y municipales </w:t>
      </w:r>
      <w:r>
        <w:rPr/>
        <w:t>de aguas arriba (Acambay, Timilpan y Jilotepec), el principal problema que señalan los actores históricos es la contaminación anterior junto con las descargas de aguas residuales de uso doméstico por no contar con drenaje ni plantas tratadoras desde hace varias décadas, lo cual achacan como omisión del municipio. A esto se aúna la basura de los desechos de empaques de herbicidas y basura de todo tipo, así como a los animales muertos que se arrojan a la presa Huapango por falta de un buen sistema de recolección y tratamiento, culpa que señalan hacia el</w:t>
      </w:r>
      <w:r>
        <w:rPr>
          <w:spacing w:val="-8"/>
        </w:rPr>
        <w:t> </w:t>
      </w:r>
      <w:r>
        <w:rPr/>
        <w:t>Ayuntamiento.</w:t>
      </w:r>
    </w:p>
    <w:p>
      <w:pPr>
        <w:pStyle w:val="BodyText"/>
        <w:spacing w:before="7"/>
        <w:rPr>
          <w:sz w:val="17"/>
        </w:rPr>
      </w:pPr>
    </w:p>
    <w:p>
      <w:pPr>
        <w:pStyle w:val="BodyText"/>
        <w:spacing w:line="360" w:lineRule="auto"/>
        <w:ind w:left="102" w:right="118"/>
        <w:jc w:val="both"/>
      </w:pPr>
      <w:r>
        <w:rPr/>
        <w:t>La siguiente problemática que señalan los actores históricos de aguas arriba (Timilpan, Acambay y Jilotepec), es la exclusiva concesión del agua para riego por parte de la CONAGUA, que sólo beneficia a los actores históricos de los municipios de aguas abajo (Polotitlán y Aculco), ya que les argumenta esta Institución que la presa es de carácter federal, y por tal motivo no pueden tomar agua para riego a pesar de estar dentro del territorio de los municipios de aguas arriba, además que dicha agua está concesionada desde la época de las haciendas. El cuerpo de agua se encuentra dentro de Los Ejidos de Timilpan y Acambay principalmente, por esta situación, el presidente de Ejidos de Timilpan manifestó el descontento que tienen todos sus representados (actores históricos) porque dicen que la presa Huapango está casi en su totalidad dentro de su Ejido y no se ven favorecidos para riego, sólo hacen uso de las riveras para pastar animales, pescar y abrevadero, actividades marginales con respecto al</w:t>
      </w:r>
      <w:r>
        <w:rPr>
          <w:spacing w:val="-15"/>
        </w:rPr>
        <w:t> </w:t>
      </w:r>
      <w:r>
        <w:rPr/>
        <w:t>riego.</w:t>
      </w:r>
    </w:p>
    <w:p>
      <w:pPr>
        <w:pStyle w:val="BodyText"/>
        <w:spacing w:before="9"/>
        <w:rPr>
          <w:sz w:val="17"/>
        </w:rPr>
      </w:pPr>
    </w:p>
    <w:p>
      <w:pPr>
        <w:pStyle w:val="BodyText"/>
        <w:spacing w:line="360" w:lineRule="auto"/>
        <w:ind w:left="102" w:right="118"/>
        <w:jc w:val="both"/>
      </w:pPr>
      <w:r>
        <w:rPr/>
        <w:t>Los actores históricos y municipales de los municipios de aguas abajo (Aculco y Polotitlán), si bien se quejan de la contaminación del cuerpo de agua, su énfasis lo ponen en que no alcanza el agua asignada de la presa para regar todas las tierras que ellos quisieran, ya que hay una demanda de forrajes que los sobrepasa, así como de leche y carne. Por lo que los actores de aguas abajo mantienen un estricto control sobre el acaparamiento del agua de la presa Huapango que tienen en concesión y quieren más. Al parecer por percepción de los actores de aguas arriba, señalan que tanto Polotitlán como Aculco mantienen actos de falta de integridad mediante sobornos y compadrazgos en la Asociación de Usuarios, encargada de asignar los volúmenes de agua para el riego.  Esta</w:t>
      </w:r>
    </w:p>
    <w:p>
      <w:pPr>
        <w:spacing w:after="0" w:line="360" w:lineRule="auto"/>
        <w:jc w:val="both"/>
        <w:sectPr>
          <w:pgSz w:w="12240" w:h="15840"/>
          <w:pgMar w:header="0" w:footer="1003" w:top="1360" w:bottom="1200" w:left="1600" w:right="1580"/>
        </w:sectPr>
      </w:pPr>
    </w:p>
    <w:p>
      <w:pPr>
        <w:pStyle w:val="BodyText"/>
        <w:spacing w:line="360" w:lineRule="auto" w:before="53"/>
        <w:ind w:left="102" w:right="116"/>
        <w:jc w:val="both"/>
      </w:pPr>
      <w:r>
        <w:rPr/>
        <w:t>actuación se refleja en la actuación de la CONAGUA, ya que en la entrevista a los actores federales, se mencionó que se pretende hacer llegar a la presa Huapango más agua (reciclada) procedentes de la ciudad de Toluca, para que dichos municipios de Polotitlán y Aculco, cuenten con agua suficiente para regar sus forrajes. Hay que señalar que Polotitlán presiona más fuerte en la obtención del agua, ya depende casi en su totalidad de la presa Huapango, ya que no posee otras fuentes de abastecimiento. En este sentido, los actores de Aculco (históricos y municipales), señalan su disgusto por este hecho y enfatizan que a ellos debiera dárseles también mayor cantidad de</w:t>
      </w:r>
      <w:r>
        <w:rPr>
          <w:spacing w:val="-19"/>
        </w:rPr>
        <w:t> </w:t>
      </w:r>
      <w:r>
        <w:rPr/>
        <w:t>agua.</w:t>
      </w:r>
    </w:p>
    <w:p>
      <w:pPr>
        <w:pStyle w:val="BodyText"/>
        <w:spacing w:before="9"/>
        <w:rPr>
          <w:sz w:val="17"/>
        </w:rPr>
      </w:pPr>
    </w:p>
    <w:p>
      <w:pPr>
        <w:pStyle w:val="BodyText"/>
        <w:spacing w:line="360" w:lineRule="auto"/>
        <w:ind w:left="102" w:right="117"/>
        <w:jc w:val="both"/>
      </w:pPr>
      <w:r>
        <w:rPr/>
        <w:t>Con esta problemática de poder se detecta una evidente manifestación del dominio del capital y del poder federal que se ve reflejado en la dominación política, ya que Aculco y Polotitlán son los municipios que tienen las empresas de lácteos, y aunque la región pertenece a una cuenca lechera, los que se ven favorecidos son éstos últimos porque son los que tienen los recursos económicos para acaparar la producción de leche de los pequeños productores de los municipios cercanos, por lo que estos últimos se ven marginados. Los pequeños productores de leche (actores históricos) de aguas arriba, a pesar de la magnitud de tal problema de poder, no se han manifestado de forma violenta contra los actores de los municipios de aguas abajo a pesar de la considerable sobreexplotación del agua (percibida en sus bajos niveles), esto lo explican debido a las antiguas relaciones de parentesco, vecindad y de mercado (oferta y demanda), que tienen con los actores de aguas abajo, problemas que se relajan en la compra venta de la leche y otros productos lacustres en el dia de mercado regional (tianguis del viernes en Jilotepec; y los domingos en las cabeceras municipales), así como en los días de fiesta patronal.</w:t>
      </w:r>
    </w:p>
    <w:p>
      <w:pPr>
        <w:pStyle w:val="BodyText"/>
        <w:spacing w:before="9"/>
        <w:rPr>
          <w:sz w:val="17"/>
        </w:rPr>
      </w:pPr>
    </w:p>
    <w:p>
      <w:pPr>
        <w:pStyle w:val="BodyText"/>
        <w:spacing w:line="360" w:lineRule="auto"/>
        <w:ind w:left="102" w:right="119"/>
        <w:jc w:val="both"/>
      </w:pPr>
      <w:r>
        <w:rPr/>
        <w:t>Si bien se detecta que los actores señalan a la contaminación como el principal problema ambiental, éste está relacionado con el poder social, político y económico de la región, lo cual impacta directamente en nuestras cuatro Áreas Estratégicas de Planeación y Articulación (AEPA) (Ambiental, Social, económica y política). Se detecta que dicha problemática se da principalmente a niveles municipales y federales porque no existen acuerdos entre ellos, los cuales sí se encuentran entre los actores históricos de la región.</w:t>
      </w:r>
    </w:p>
    <w:p>
      <w:pPr>
        <w:pStyle w:val="BodyText"/>
        <w:spacing w:before="9"/>
        <w:rPr>
          <w:sz w:val="17"/>
        </w:rPr>
      </w:pPr>
    </w:p>
    <w:p>
      <w:pPr>
        <w:pStyle w:val="BodyText"/>
        <w:spacing w:line="360" w:lineRule="auto"/>
        <w:ind w:left="102" w:right="120"/>
        <w:jc w:val="both"/>
      </w:pPr>
      <w:r>
        <w:rPr/>
        <w:t>Por tal motivo, resulta evidente para ellos la necesidad de una reestructuración de las redes sociales que equilibre el poder para la sostenibilidad de la presa Huapango como eje articulador de las relaciones sociopolíticas mediante acuerdos</w:t>
      </w:r>
      <w:r>
        <w:rPr>
          <w:spacing w:val="-26"/>
        </w:rPr>
        <w:t> </w:t>
      </w:r>
      <w:r>
        <w:rPr/>
        <w:t>institucionalizados.</w:t>
      </w:r>
    </w:p>
    <w:p>
      <w:pPr>
        <w:spacing w:after="0" w:line="360" w:lineRule="auto"/>
        <w:jc w:val="both"/>
        <w:sectPr>
          <w:pgSz w:w="12240" w:h="15840"/>
          <w:pgMar w:header="0" w:footer="1003" w:top="1360" w:bottom="1200" w:left="1600" w:right="1580"/>
        </w:sectPr>
      </w:pPr>
    </w:p>
    <w:p>
      <w:pPr>
        <w:pStyle w:val="BodyText"/>
        <w:spacing w:line="362" w:lineRule="auto" w:before="53"/>
        <w:ind w:left="222" w:right="221"/>
        <w:jc w:val="both"/>
      </w:pPr>
      <w:r>
        <w:rPr/>
        <w:t>La principal problemática de la región detectada por los grupos de actores es la contaminación  y se aprecia en la siguiente gráfica:</w:t>
      </w:r>
    </w:p>
    <w:p>
      <w:pPr>
        <w:pStyle w:val="Heading6"/>
        <w:spacing w:before="197"/>
        <w:ind w:left="573" w:right="572"/>
        <w:jc w:val="center"/>
      </w:pPr>
      <w:r>
        <w:rPr/>
        <w:t>Gráfica 6.5.  Problema de contaminación</w:t>
      </w:r>
    </w:p>
    <w:p>
      <w:pPr>
        <w:pStyle w:val="BodyText"/>
        <w:spacing w:before="8"/>
        <w:rPr>
          <w:b/>
          <w:sz w:val="24"/>
        </w:rPr>
      </w:pPr>
      <w:r>
        <w:rPr/>
        <w:pict>
          <v:group style="position:absolute;margin-left:124.875pt;margin-top:16.163921pt;width:360.75pt;height:216.75pt;mso-position-horizontal-relative:page;mso-position-vertical-relative:paragraph;z-index:11152;mso-wrap-distance-left:0;mso-wrap-distance-right:0" coordorigin="2498,323" coordsize="7215,4335">
            <v:shape style="position:absolute;left:3125;top:1172;width:4568;height:2730" type="#_x0000_t75" stroked="false">
              <v:imagedata r:id="rId201" o:title=""/>
            </v:shape>
            <v:line style="position:absolute" from="3161,3871" to="3097,3871" stroked="true" strokeweight=".75pt" strokecolor="#858585"/>
            <v:line style="position:absolute" from="3161,3615" to="3097,3615" stroked="true" strokeweight=".75pt" strokecolor="#858585"/>
            <v:line style="position:absolute" from="3161,3361" to="3097,3361" stroked="true" strokeweight=".75pt" strokecolor="#858585"/>
            <v:line style="position:absolute" from="3161,3104" to="3097,3104" stroked="true" strokeweight=".75pt" strokecolor="#858585"/>
            <v:line style="position:absolute" from="3161,2850" to="3097,2850" stroked="true" strokeweight=".75pt" strokecolor="#858585"/>
            <v:line style="position:absolute" from="3161,2593" to="3097,2593" stroked="true" strokeweight=".75pt" strokecolor="#858585"/>
            <v:line style="position:absolute" from="3161,2339" to="3097,2339" stroked="true" strokeweight=".75pt" strokecolor="#858585"/>
            <v:line style="position:absolute" from="3161,2084" to="3097,2084" stroked="true" strokeweight=".75pt" strokecolor="#858585"/>
            <v:line style="position:absolute" from="3161,1827" to="3097,1827" stroked="true" strokeweight=".75pt" strokecolor="#858585"/>
            <v:line style="position:absolute" from="3161,1572" to="3097,1572" stroked="true" strokeweight=".75pt" strokecolor="#858585"/>
            <v:line style="position:absolute" from="3161,3872" to="3161,3935" stroked="true" strokeweight=".75pt" strokecolor="#858585"/>
            <v:line style="position:absolute" from="4500,3872" to="4500,3935" stroked="true" strokeweight=".75pt" strokecolor="#858585"/>
            <v:line style="position:absolute" from="5839,3872" to="5839,3935" stroked="true" strokeweight=".75pt" strokecolor="#858585"/>
            <v:line style="position:absolute" from="7177,3872" to="7177,3935" stroked="true" strokeweight=".75pt" strokecolor="#858585"/>
            <v:rect style="position:absolute;left:8118;top:2746;width:110;height:110" filled="true" fillcolor="#4f81bc" stroked="false">
              <v:fill type="solid"/>
            </v:rect>
            <v:rect style="position:absolute;left:2505;top:331;width:7200;height:4320" filled="false" stroked="true" strokeweight=".75pt" strokecolor="#000000"/>
            <v:shape style="position:absolute;left:4976;top:555;width:2257;height:360" type="#_x0000_t202" filled="false" stroked="false">
              <v:textbox inset="0,0,0,0">
                <w:txbxContent>
                  <w:p>
                    <w:pPr>
                      <w:spacing w:line="360" w:lineRule="exact" w:before="0"/>
                      <w:ind w:left="0" w:right="-8" w:firstLine="0"/>
                      <w:jc w:val="left"/>
                      <w:rPr>
                        <w:rFonts w:ascii="Calibri" w:hAnsi="Calibri"/>
                        <w:b/>
                        <w:sz w:val="36"/>
                      </w:rPr>
                    </w:pPr>
                    <w:r>
                      <w:rPr>
                        <w:rFonts w:ascii="Calibri" w:hAnsi="Calibri"/>
                        <w:b/>
                        <w:spacing w:val="-1"/>
                        <w:sz w:val="36"/>
                      </w:rPr>
                      <w:t>Contaminación</w:t>
                    </w:r>
                  </w:p>
                </w:txbxContent>
              </v:textbox>
              <w10:wrap type="none"/>
            </v:shape>
            <v:shape style="position:absolute;left:2772;top:1491;width:203;height:2499" type="#_x0000_t202" filled="false" stroked="false">
              <v:textbox inset="0,0,0,0">
                <w:txbxContent>
                  <w:p>
                    <w:pPr>
                      <w:spacing w:line="203" w:lineRule="exact" w:before="0"/>
                      <w:ind w:left="0" w:right="0" w:firstLine="0"/>
                      <w:jc w:val="center"/>
                      <w:rPr>
                        <w:rFonts w:ascii="Calibri"/>
                        <w:sz w:val="20"/>
                      </w:rPr>
                    </w:pPr>
                    <w:r>
                      <w:rPr>
                        <w:rFonts w:ascii="Calibri"/>
                        <w:sz w:val="20"/>
                      </w:rPr>
                      <w:t>45</w:t>
                    </w:r>
                  </w:p>
                  <w:p>
                    <w:pPr>
                      <w:spacing w:before="11"/>
                      <w:ind w:left="0" w:right="0" w:firstLine="0"/>
                      <w:jc w:val="center"/>
                      <w:rPr>
                        <w:rFonts w:ascii="Calibri"/>
                        <w:sz w:val="20"/>
                      </w:rPr>
                    </w:pPr>
                    <w:r>
                      <w:rPr>
                        <w:rFonts w:ascii="Calibri"/>
                        <w:sz w:val="20"/>
                      </w:rPr>
                      <w:t>40</w:t>
                    </w:r>
                  </w:p>
                  <w:p>
                    <w:pPr>
                      <w:spacing w:before="11"/>
                      <w:ind w:left="0" w:right="0" w:firstLine="0"/>
                      <w:jc w:val="center"/>
                      <w:rPr>
                        <w:rFonts w:ascii="Calibri"/>
                        <w:sz w:val="20"/>
                      </w:rPr>
                    </w:pPr>
                    <w:r>
                      <w:rPr>
                        <w:rFonts w:ascii="Calibri"/>
                        <w:sz w:val="20"/>
                      </w:rPr>
                      <w:t>35</w:t>
                    </w:r>
                  </w:p>
                  <w:p>
                    <w:pPr>
                      <w:spacing w:before="11"/>
                      <w:ind w:left="0" w:right="0" w:firstLine="0"/>
                      <w:jc w:val="center"/>
                      <w:rPr>
                        <w:rFonts w:ascii="Calibri"/>
                        <w:sz w:val="20"/>
                      </w:rPr>
                    </w:pPr>
                    <w:r>
                      <w:rPr>
                        <w:rFonts w:ascii="Calibri"/>
                        <w:sz w:val="20"/>
                      </w:rPr>
                      <w:t>30</w:t>
                    </w:r>
                  </w:p>
                  <w:p>
                    <w:pPr>
                      <w:spacing w:before="11"/>
                      <w:ind w:left="0" w:right="0" w:firstLine="0"/>
                      <w:jc w:val="center"/>
                      <w:rPr>
                        <w:rFonts w:ascii="Calibri"/>
                        <w:sz w:val="20"/>
                      </w:rPr>
                    </w:pPr>
                    <w:r>
                      <w:rPr>
                        <w:rFonts w:ascii="Calibri"/>
                        <w:sz w:val="20"/>
                      </w:rPr>
                      <w:t>25</w:t>
                    </w:r>
                  </w:p>
                  <w:p>
                    <w:pPr>
                      <w:spacing w:before="11"/>
                      <w:ind w:left="0" w:right="0" w:firstLine="0"/>
                      <w:jc w:val="center"/>
                      <w:rPr>
                        <w:rFonts w:ascii="Calibri"/>
                        <w:sz w:val="20"/>
                      </w:rPr>
                    </w:pPr>
                    <w:r>
                      <w:rPr>
                        <w:rFonts w:ascii="Calibri"/>
                        <w:sz w:val="20"/>
                      </w:rPr>
                      <w:t>20</w:t>
                    </w:r>
                  </w:p>
                  <w:p>
                    <w:pPr>
                      <w:spacing w:before="11"/>
                      <w:ind w:left="0" w:right="0" w:firstLine="0"/>
                      <w:jc w:val="center"/>
                      <w:rPr>
                        <w:rFonts w:ascii="Calibri"/>
                        <w:sz w:val="20"/>
                      </w:rPr>
                    </w:pPr>
                    <w:r>
                      <w:rPr>
                        <w:rFonts w:ascii="Calibri"/>
                        <w:sz w:val="20"/>
                      </w:rPr>
                      <w:t>15</w:t>
                    </w:r>
                  </w:p>
                  <w:p>
                    <w:pPr>
                      <w:spacing w:before="11"/>
                      <w:ind w:left="0" w:right="0" w:firstLine="0"/>
                      <w:jc w:val="center"/>
                      <w:rPr>
                        <w:rFonts w:ascii="Calibri"/>
                        <w:sz w:val="20"/>
                      </w:rPr>
                    </w:pPr>
                    <w:r>
                      <w:rPr>
                        <w:rFonts w:ascii="Calibri"/>
                        <w:sz w:val="20"/>
                      </w:rPr>
                      <w:t>10</w:t>
                    </w:r>
                  </w:p>
                  <w:p>
                    <w:pPr>
                      <w:spacing w:before="11"/>
                      <w:ind w:left="101" w:right="0" w:firstLine="0"/>
                      <w:jc w:val="center"/>
                      <w:rPr>
                        <w:rFonts w:ascii="Calibri"/>
                        <w:sz w:val="20"/>
                      </w:rPr>
                    </w:pPr>
                    <w:r>
                      <w:rPr>
                        <w:rFonts w:ascii="Calibri"/>
                        <w:w w:val="99"/>
                        <w:sz w:val="20"/>
                      </w:rPr>
                      <w:t>5</w:t>
                    </w:r>
                  </w:p>
                  <w:p>
                    <w:pPr>
                      <w:spacing w:line="240" w:lineRule="exact" w:before="11"/>
                      <w:ind w:left="101" w:right="0" w:firstLine="0"/>
                      <w:jc w:val="center"/>
                      <w:rPr>
                        <w:rFonts w:ascii="Calibri"/>
                        <w:sz w:val="20"/>
                      </w:rPr>
                    </w:pPr>
                    <w:r>
                      <w:rPr>
                        <w:rFonts w:ascii="Calibri"/>
                        <w:w w:val="99"/>
                        <w:sz w:val="20"/>
                      </w:rPr>
                      <w:t>0</w:t>
                    </w:r>
                  </w:p>
                </w:txbxContent>
              </v:textbox>
              <w10:wrap type="none"/>
            </v:shape>
            <v:shape style="position:absolute;left:3867;top:229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8276;top:2709;width:1227;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Contaminación</w:t>
                    </w:r>
                  </w:p>
                </w:txbxContent>
              </v:textbox>
              <w10:wrap type="none"/>
            </v:shape>
            <v:shape style="position:absolute;left:5207;top:309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6696;top:337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3428;top:4040;width:3474;height:444" type="#_x0000_t202" filled="false" stroked="false">
              <v:textbox inset="0,0,0,0">
                <w:txbxContent>
                  <w:p>
                    <w:pPr>
                      <w:tabs>
                        <w:tab w:pos="1431" w:val="left" w:leader="none"/>
                        <w:tab w:pos="2770" w:val="left" w:leader="none"/>
                      </w:tabs>
                      <w:spacing w:line="203" w:lineRule="exact" w:before="0"/>
                      <w:ind w:left="0" w:right="0" w:firstLine="92"/>
                      <w:jc w:val="left"/>
                      <w:rPr>
                        <w:rFonts w:ascii="Calibri"/>
                        <w:sz w:val="20"/>
                      </w:rPr>
                    </w:pPr>
                    <w:r>
                      <w:rPr>
                        <w:rFonts w:ascii="Calibri"/>
                        <w:sz w:val="20"/>
                      </w:rPr>
                      <w:t>Actores</w:t>
                      <w:tab/>
                      <w:t>Actores</w:t>
                      <w:tab/>
                      <w:t>Actores</w:t>
                    </w:r>
                  </w:p>
                  <w:p>
                    <w:pPr>
                      <w:tabs>
                        <w:tab w:pos="1250" w:val="left" w:leader="none"/>
                        <w:tab w:pos="2687" w:val="left" w:leader="none"/>
                      </w:tabs>
                      <w:spacing w:line="240" w:lineRule="exact" w:before="0"/>
                      <w:ind w:left="0" w:right="0" w:firstLine="0"/>
                      <w:jc w:val="left"/>
                      <w:rPr>
                        <w:rFonts w:ascii="Calibri" w:hAnsi="Calibri"/>
                        <w:sz w:val="20"/>
                      </w:rPr>
                    </w:pPr>
                    <w:r>
                      <w:rPr>
                        <w:rFonts w:ascii="Calibri" w:hAnsi="Calibri"/>
                        <w:sz w:val="20"/>
                      </w:rPr>
                      <w:t>Históricos</w:t>
                      <w:tab/>
                      <w:t>Municiaples</w:t>
                      <w:tab/>
                      <w:t>Federales</w:t>
                    </w:r>
                  </w:p>
                </w:txbxContent>
              </v:textbox>
              <w10:wrap type="none"/>
            </v:shape>
            <w10:wrap type="topAndBottom"/>
          </v:group>
        </w:pict>
      </w:r>
    </w:p>
    <w:p>
      <w:pPr>
        <w:pStyle w:val="BodyText"/>
        <w:spacing w:before="5"/>
        <w:rPr>
          <w:b/>
          <w:sz w:val="27"/>
        </w:rPr>
      </w:pPr>
    </w:p>
    <w:p>
      <w:pPr>
        <w:pStyle w:val="BodyText"/>
        <w:spacing w:line="362" w:lineRule="auto" w:before="1"/>
        <w:ind w:left="222" w:right="881"/>
      </w:pPr>
      <w:r>
        <w:rPr>
          <w:b/>
        </w:rPr>
        <w:t>Fuente: </w:t>
      </w:r>
      <w:r>
        <w:rPr/>
        <w:t>Elaboración propia con base en los datos obtenidos en Trabajo de Campo, García (2013-2015).</w:t>
      </w:r>
    </w:p>
    <w:p>
      <w:pPr>
        <w:pStyle w:val="BodyText"/>
        <w:spacing w:before="7"/>
        <w:rPr>
          <w:sz w:val="17"/>
        </w:rPr>
      </w:pPr>
    </w:p>
    <w:p>
      <w:pPr>
        <w:pStyle w:val="BodyText"/>
        <w:spacing w:line="360" w:lineRule="auto"/>
        <w:ind w:left="222" w:right="215"/>
        <w:jc w:val="both"/>
      </w:pPr>
      <w:r>
        <w:rPr/>
        <w:t>En la anterior gráfica se puede detectar que de los 77 actores entrevistados, 70, es decir un 90%, consideran como principal problema la contaminación en la laguna de Huapango, quienes están distribuidos de la siguiente forma: 43 de 47 actores históricos, 25 de 27 actores municipales y 2 de 3 actores federales.</w:t>
      </w:r>
    </w:p>
    <w:p>
      <w:pPr>
        <w:pStyle w:val="BodyText"/>
        <w:spacing w:before="7"/>
        <w:rPr>
          <w:sz w:val="17"/>
        </w:rPr>
      </w:pPr>
    </w:p>
    <w:p>
      <w:pPr>
        <w:pStyle w:val="BodyText"/>
        <w:spacing w:line="360" w:lineRule="auto"/>
        <w:ind w:left="222" w:right="220"/>
        <w:jc w:val="both"/>
      </w:pPr>
      <w:r>
        <w:rPr/>
        <w:t>Otros problemas señalados en la cuenca hidrosocial presa Huapango por los grupos de actores se enlistan en la siguiente tabla:</w:t>
      </w:r>
    </w:p>
    <w:p>
      <w:pPr>
        <w:pStyle w:val="BodyText"/>
        <w:spacing w:before="7"/>
        <w:rPr>
          <w:sz w:val="17"/>
        </w:rPr>
      </w:pPr>
    </w:p>
    <w:p>
      <w:pPr>
        <w:pStyle w:val="Heading6"/>
        <w:ind w:left="574" w:right="572"/>
        <w:jc w:val="center"/>
      </w:pPr>
      <w:r>
        <w:rPr/>
        <w:t>Tabla 6.15. Otros problemas señalados por los grupos de actores en la CHPH</w:t>
      </w:r>
    </w:p>
    <w:p>
      <w:pPr>
        <w:pStyle w:val="BodyText"/>
        <w:spacing w:before="8" w:after="1"/>
        <w:rPr>
          <w:b/>
          <w:sz w:val="2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03"/>
        <w:gridCol w:w="7737"/>
      </w:tblGrid>
      <w:tr>
        <w:trPr>
          <w:trHeight w:val="770" w:hRule="exact"/>
        </w:trPr>
        <w:tc>
          <w:tcPr>
            <w:tcW w:w="1303" w:type="dxa"/>
            <w:shd w:val="clear" w:color="auto" w:fill="A6A6A6"/>
          </w:tcPr>
          <w:p>
            <w:pPr>
              <w:pStyle w:val="TableParagraph"/>
              <w:spacing w:line="362" w:lineRule="auto"/>
              <w:rPr>
                <w:b/>
                <w:sz w:val="22"/>
              </w:rPr>
            </w:pPr>
            <w:r>
              <w:rPr>
                <w:b/>
                <w:sz w:val="22"/>
              </w:rPr>
              <w:t>Grupo de Actores</w:t>
            </w:r>
          </w:p>
        </w:tc>
        <w:tc>
          <w:tcPr>
            <w:tcW w:w="7737" w:type="dxa"/>
            <w:shd w:val="clear" w:color="auto" w:fill="A6A6A6"/>
          </w:tcPr>
          <w:p>
            <w:pPr>
              <w:pStyle w:val="TableParagraph"/>
              <w:spacing w:line="248" w:lineRule="exact"/>
              <w:ind w:left="3281" w:right="3281"/>
              <w:jc w:val="center"/>
              <w:rPr>
                <w:b/>
                <w:sz w:val="22"/>
              </w:rPr>
            </w:pPr>
            <w:r>
              <w:rPr>
                <w:b/>
                <w:sz w:val="22"/>
              </w:rPr>
              <w:t>Problemas</w:t>
            </w:r>
          </w:p>
        </w:tc>
      </w:tr>
      <w:tr>
        <w:trPr>
          <w:trHeight w:val="389" w:hRule="exact"/>
        </w:trPr>
        <w:tc>
          <w:tcPr>
            <w:tcW w:w="1303" w:type="dxa"/>
            <w:vMerge w:val="restart"/>
            <w:textDirection w:val="btLr"/>
          </w:tcPr>
          <w:p>
            <w:pPr>
              <w:pStyle w:val="TableParagraph"/>
              <w:spacing w:before="105"/>
              <w:ind w:left="230"/>
              <w:rPr>
                <w:b/>
                <w:sz w:val="22"/>
              </w:rPr>
            </w:pPr>
            <w:r>
              <w:rPr>
                <w:b/>
                <w:spacing w:val="-2"/>
                <w:w w:val="100"/>
                <w:sz w:val="22"/>
              </w:rPr>
              <w:t>H</w:t>
            </w:r>
            <w:r>
              <w:rPr>
                <w:b/>
                <w:w w:val="100"/>
                <w:sz w:val="22"/>
              </w:rPr>
              <w:t>i</w:t>
            </w:r>
            <w:r>
              <w:rPr>
                <w:b/>
                <w:w w:val="100"/>
                <w:sz w:val="22"/>
              </w:rPr>
              <w:t>stó</w:t>
            </w:r>
            <w:r>
              <w:rPr>
                <w:b/>
                <w:spacing w:val="-2"/>
                <w:w w:val="100"/>
                <w:sz w:val="22"/>
              </w:rPr>
              <w:t>r</w:t>
            </w:r>
            <w:r>
              <w:rPr>
                <w:b/>
                <w:w w:val="100"/>
                <w:sz w:val="22"/>
              </w:rPr>
              <w:t>i</w:t>
            </w:r>
            <w:r>
              <w:rPr>
                <w:b/>
                <w:w w:val="100"/>
                <w:sz w:val="22"/>
              </w:rPr>
              <w:t>c</w:t>
            </w:r>
            <w:r>
              <w:rPr>
                <w:b/>
                <w:spacing w:val="-1"/>
                <w:w w:val="100"/>
                <w:sz w:val="22"/>
              </w:rPr>
              <w:t>o</w:t>
            </w:r>
            <w:r>
              <w:rPr>
                <w:b/>
                <w:w w:val="100"/>
                <w:sz w:val="22"/>
              </w:rPr>
              <w:t>s</w:t>
            </w:r>
          </w:p>
        </w:tc>
        <w:tc>
          <w:tcPr>
            <w:tcW w:w="7737" w:type="dxa"/>
          </w:tcPr>
          <w:p>
            <w:pPr>
              <w:pStyle w:val="TableParagraph"/>
              <w:spacing w:line="251" w:lineRule="exact"/>
              <w:ind w:right="128"/>
              <w:rPr>
                <w:sz w:val="22"/>
              </w:rPr>
            </w:pPr>
            <w:r>
              <w:rPr>
                <w:sz w:val="22"/>
              </w:rPr>
              <w:t>Mortandad y escases de especies</w:t>
            </w:r>
          </w:p>
        </w:tc>
      </w:tr>
      <w:tr>
        <w:trPr>
          <w:trHeight w:val="768" w:hRule="exact"/>
        </w:trPr>
        <w:tc>
          <w:tcPr>
            <w:tcW w:w="1303" w:type="dxa"/>
            <w:vMerge/>
            <w:textDirection w:val="btLr"/>
          </w:tcPr>
          <w:p>
            <w:pPr/>
          </w:p>
        </w:tc>
        <w:tc>
          <w:tcPr>
            <w:tcW w:w="7737" w:type="dxa"/>
          </w:tcPr>
          <w:p>
            <w:pPr>
              <w:pStyle w:val="TableParagraph"/>
              <w:spacing w:line="360" w:lineRule="auto"/>
              <w:ind w:right="128"/>
              <w:rPr>
                <w:sz w:val="22"/>
              </w:rPr>
            </w:pPr>
            <w:r>
              <w:rPr>
                <w:sz w:val="22"/>
              </w:rPr>
              <w:t>No dejan regar de la presa porque es federal (Acambay, Jilotepec y Timilpan)</w:t>
            </w:r>
          </w:p>
        </w:tc>
      </w:tr>
      <w:tr>
        <w:trPr>
          <w:trHeight w:val="391" w:hRule="exact"/>
        </w:trPr>
        <w:tc>
          <w:tcPr>
            <w:tcW w:w="1303" w:type="dxa"/>
            <w:vMerge/>
            <w:textDirection w:val="btLr"/>
          </w:tcPr>
          <w:p>
            <w:pPr/>
          </w:p>
        </w:tc>
        <w:tc>
          <w:tcPr>
            <w:tcW w:w="7737" w:type="dxa"/>
          </w:tcPr>
          <w:p>
            <w:pPr>
              <w:pStyle w:val="TableParagraph"/>
              <w:ind w:right="128"/>
              <w:rPr>
                <w:sz w:val="22"/>
              </w:rPr>
            </w:pPr>
            <w:r>
              <w:rPr>
                <w:sz w:val="22"/>
              </w:rPr>
              <w:t>No hay suficiente agua (Aculco)</w:t>
            </w:r>
          </w:p>
        </w:tc>
      </w:tr>
    </w:tbl>
    <w:p>
      <w:pPr>
        <w:spacing w:after="0"/>
        <w:rPr>
          <w:sz w:val="22"/>
        </w:rPr>
        <w:sectPr>
          <w:pgSz w:w="12240" w:h="15840"/>
          <w:pgMar w:header="0" w:footer="1003" w:top="1360" w:bottom="1200" w:left="1480" w:right="14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03"/>
        <w:gridCol w:w="7737"/>
      </w:tblGrid>
      <w:tr>
        <w:trPr>
          <w:trHeight w:val="392" w:hRule="exact"/>
        </w:trPr>
        <w:tc>
          <w:tcPr>
            <w:tcW w:w="1303" w:type="dxa"/>
            <w:vMerge w:val="restart"/>
          </w:tcPr>
          <w:p>
            <w:pPr/>
          </w:p>
        </w:tc>
        <w:tc>
          <w:tcPr>
            <w:tcW w:w="7737" w:type="dxa"/>
          </w:tcPr>
          <w:p>
            <w:pPr>
              <w:pStyle w:val="TableParagraph"/>
              <w:spacing w:line="249" w:lineRule="exact"/>
              <w:ind w:right="128"/>
              <w:rPr>
                <w:sz w:val="22"/>
              </w:rPr>
            </w:pPr>
            <w:r>
              <w:rPr>
                <w:sz w:val="22"/>
              </w:rPr>
              <w:t>Hay desorganización de pescadores (Aculco)</w:t>
            </w:r>
          </w:p>
        </w:tc>
      </w:tr>
      <w:tr>
        <w:trPr>
          <w:trHeight w:val="389" w:hRule="exact"/>
        </w:trPr>
        <w:tc>
          <w:tcPr>
            <w:tcW w:w="1303" w:type="dxa"/>
            <w:vMerge/>
          </w:tcPr>
          <w:p>
            <w:pPr/>
          </w:p>
        </w:tc>
        <w:tc>
          <w:tcPr>
            <w:tcW w:w="7737" w:type="dxa"/>
          </w:tcPr>
          <w:p>
            <w:pPr>
              <w:pStyle w:val="TableParagraph"/>
              <w:spacing w:line="247" w:lineRule="exact"/>
              <w:ind w:right="128"/>
              <w:rPr>
                <w:sz w:val="22"/>
              </w:rPr>
            </w:pPr>
            <w:r>
              <w:rPr>
                <w:sz w:val="22"/>
              </w:rPr>
              <w:t>Caza masiva de especies migratorias (Acambay, Timilpan, )</w:t>
            </w:r>
          </w:p>
        </w:tc>
      </w:tr>
      <w:tr>
        <w:trPr>
          <w:trHeight w:val="389" w:hRule="exact"/>
        </w:trPr>
        <w:tc>
          <w:tcPr>
            <w:tcW w:w="1303" w:type="dxa"/>
            <w:vMerge/>
          </w:tcPr>
          <w:p>
            <w:pPr/>
          </w:p>
        </w:tc>
        <w:tc>
          <w:tcPr>
            <w:tcW w:w="7737" w:type="dxa"/>
          </w:tcPr>
          <w:p>
            <w:pPr>
              <w:pStyle w:val="TableParagraph"/>
              <w:spacing w:line="247" w:lineRule="exact"/>
              <w:ind w:right="128"/>
              <w:rPr>
                <w:sz w:val="22"/>
              </w:rPr>
            </w:pPr>
            <w:r>
              <w:rPr>
                <w:sz w:val="22"/>
              </w:rPr>
              <w:t>Azolve</w:t>
            </w:r>
          </w:p>
        </w:tc>
      </w:tr>
      <w:tr>
        <w:trPr>
          <w:trHeight w:val="391" w:hRule="exact"/>
        </w:trPr>
        <w:tc>
          <w:tcPr>
            <w:tcW w:w="1303" w:type="dxa"/>
            <w:vMerge/>
          </w:tcPr>
          <w:p>
            <w:pPr/>
          </w:p>
        </w:tc>
        <w:tc>
          <w:tcPr>
            <w:tcW w:w="7737" w:type="dxa"/>
          </w:tcPr>
          <w:p>
            <w:pPr>
              <w:pStyle w:val="TableParagraph"/>
              <w:spacing w:line="247" w:lineRule="exact"/>
              <w:ind w:right="128"/>
              <w:rPr>
                <w:sz w:val="22"/>
              </w:rPr>
            </w:pPr>
            <w:r>
              <w:rPr>
                <w:sz w:val="22"/>
              </w:rPr>
              <w:t>Corrupción en la Asociación de Riego (Polotitlán)</w:t>
            </w:r>
          </w:p>
        </w:tc>
      </w:tr>
      <w:tr>
        <w:trPr>
          <w:trHeight w:val="389" w:hRule="exact"/>
        </w:trPr>
        <w:tc>
          <w:tcPr>
            <w:tcW w:w="1303" w:type="dxa"/>
            <w:vMerge/>
          </w:tcPr>
          <w:p>
            <w:pPr/>
          </w:p>
        </w:tc>
        <w:tc>
          <w:tcPr>
            <w:tcW w:w="7737" w:type="dxa"/>
          </w:tcPr>
          <w:p>
            <w:pPr>
              <w:pStyle w:val="TableParagraph"/>
              <w:spacing w:line="247" w:lineRule="exact"/>
              <w:ind w:right="128"/>
              <w:rPr>
                <w:sz w:val="22"/>
              </w:rPr>
            </w:pPr>
            <w:r>
              <w:rPr>
                <w:sz w:val="22"/>
              </w:rPr>
              <w:t>Falta limpiar los canales de riego y están en mal estado (Polotitlán)</w:t>
            </w:r>
          </w:p>
        </w:tc>
      </w:tr>
      <w:tr>
        <w:trPr>
          <w:trHeight w:val="768" w:hRule="exact"/>
        </w:trPr>
        <w:tc>
          <w:tcPr>
            <w:tcW w:w="1303" w:type="dxa"/>
            <w:vMerge/>
          </w:tcPr>
          <w:p>
            <w:pPr/>
          </w:p>
        </w:tc>
        <w:tc>
          <w:tcPr>
            <w:tcW w:w="7737" w:type="dxa"/>
          </w:tcPr>
          <w:p>
            <w:pPr>
              <w:pStyle w:val="TableParagraph"/>
              <w:spacing w:line="360" w:lineRule="auto"/>
              <w:ind w:right="128"/>
              <w:rPr>
                <w:sz w:val="22"/>
              </w:rPr>
            </w:pPr>
            <w:r>
              <w:rPr>
                <w:sz w:val="22"/>
              </w:rPr>
              <w:t>Siembras invadidas por el nivel de agua de la laguna de Huapango (Acambay)</w:t>
            </w:r>
          </w:p>
        </w:tc>
      </w:tr>
      <w:tr>
        <w:trPr>
          <w:trHeight w:val="389" w:hRule="exact"/>
        </w:trPr>
        <w:tc>
          <w:tcPr>
            <w:tcW w:w="1303" w:type="dxa"/>
            <w:vMerge w:val="restart"/>
            <w:textDirection w:val="btLr"/>
          </w:tcPr>
          <w:p>
            <w:pPr>
              <w:pStyle w:val="TableParagraph"/>
              <w:spacing w:before="105"/>
              <w:ind w:left="925"/>
              <w:rPr>
                <w:b/>
                <w:sz w:val="22"/>
              </w:rPr>
            </w:pPr>
            <w:r>
              <w:rPr>
                <w:b/>
                <w:w w:val="100"/>
                <w:sz w:val="22"/>
              </w:rPr>
              <w:t>M</w:t>
            </w:r>
            <w:r>
              <w:rPr>
                <w:b/>
                <w:w w:val="100"/>
                <w:sz w:val="22"/>
              </w:rPr>
              <w:t>u</w:t>
            </w:r>
            <w:r>
              <w:rPr>
                <w:b/>
                <w:spacing w:val="-2"/>
                <w:w w:val="100"/>
                <w:sz w:val="22"/>
              </w:rPr>
              <w:t>n</w:t>
            </w:r>
            <w:r>
              <w:rPr>
                <w:b/>
                <w:w w:val="100"/>
                <w:sz w:val="22"/>
              </w:rPr>
              <w:t>i</w:t>
            </w:r>
            <w:r>
              <w:rPr>
                <w:b/>
                <w:spacing w:val="-3"/>
                <w:w w:val="100"/>
                <w:sz w:val="22"/>
              </w:rPr>
              <w:t>c</w:t>
            </w:r>
            <w:r>
              <w:rPr>
                <w:b/>
                <w:w w:val="100"/>
                <w:sz w:val="22"/>
              </w:rPr>
              <w:t>i</w:t>
            </w:r>
            <w:r>
              <w:rPr>
                <w:b/>
                <w:w w:val="100"/>
                <w:sz w:val="22"/>
              </w:rPr>
              <w:t>p</w:t>
            </w:r>
            <w:r>
              <w:rPr>
                <w:b/>
                <w:spacing w:val="-1"/>
                <w:w w:val="100"/>
                <w:sz w:val="22"/>
              </w:rPr>
              <w:t>a</w:t>
            </w:r>
            <w:r>
              <w:rPr>
                <w:b/>
                <w:w w:val="100"/>
                <w:sz w:val="22"/>
              </w:rPr>
              <w:t>l</w:t>
            </w:r>
            <w:r>
              <w:rPr>
                <w:b/>
                <w:w w:val="100"/>
                <w:sz w:val="22"/>
              </w:rPr>
              <w:t>es</w:t>
            </w:r>
          </w:p>
        </w:tc>
        <w:tc>
          <w:tcPr>
            <w:tcW w:w="7737" w:type="dxa"/>
          </w:tcPr>
          <w:p>
            <w:pPr>
              <w:pStyle w:val="TableParagraph"/>
              <w:spacing w:line="247" w:lineRule="exact"/>
              <w:ind w:right="128"/>
              <w:rPr>
                <w:sz w:val="22"/>
              </w:rPr>
            </w:pPr>
            <w:r>
              <w:rPr>
                <w:sz w:val="22"/>
              </w:rPr>
              <w:t>Caza masiva (Acambay, Jilotepec yTimilpan)</w:t>
            </w:r>
          </w:p>
        </w:tc>
      </w:tr>
      <w:tr>
        <w:trPr>
          <w:trHeight w:val="391" w:hRule="exact"/>
        </w:trPr>
        <w:tc>
          <w:tcPr>
            <w:tcW w:w="1303" w:type="dxa"/>
            <w:vMerge/>
            <w:textDirection w:val="btLr"/>
          </w:tcPr>
          <w:p>
            <w:pPr/>
          </w:p>
        </w:tc>
        <w:tc>
          <w:tcPr>
            <w:tcW w:w="7737" w:type="dxa"/>
          </w:tcPr>
          <w:p>
            <w:pPr>
              <w:pStyle w:val="TableParagraph"/>
              <w:spacing w:line="249" w:lineRule="exact"/>
              <w:ind w:right="128"/>
              <w:rPr>
                <w:sz w:val="22"/>
              </w:rPr>
            </w:pPr>
            <w:r>
              <w:rPr>
                <w:sz w:val="22"/>
              </w:rPr>
              <w:t>Sacan toda el agua y ya no se llena (Acambay, Jilotepec yTimilpan)</w:t>
            </w:r>
          </w:p>
        </w:tc>
      </w:tr>
      <w:tr>
        <w:trPr>
          <w:trHeight w:val="389" w:hRule="exact"/>
        </w:trPr>
        <w:tc>
          <w:tcPr>
            <w:tcW w:w="1303" w:type="dxa"/>
            <w:vMerge/>
            <w:textDirection w:val="btLr"/>
          </w:tcPr>
          <w:p>
            <w:pPr/>
          </w:p>
        </w:tc>
        <w:tc>
          <w:tcPr>
            <w:tcW w:w="7737" w:type="dxa"/>
          </w:tcPr>
          <w:p>
            <w:pPr>
              <w:pStyle w:val="TableParagraph"/>
              <w:spacing w:line="247" w:lineRule="exact"/>
              <w:ind w:right="128"/>
              <w:rPr>
                <w:sz w:val="22"/>
              </w:rPr>
            </w:pPr>
            <w:r>
              <w:rPr>
                <w:sz w:val="22"/>
              </w:rPr>
              <w:t>Falta de limpieza en la zona (Timilpan)</w:t>
            </w:r>
          </w:p>
        </w:tc>
      </w:tr>
      <w:tr>
        <w:trPr>
          <w:trHeight w:val="389" w:hRule="exact"/>
        </w:trPr>
        <w:tc>
          <w:tcPr>
            <w:tcW w:w="1303" w:type="dxa"/>
            <w:vMerge/>
            <w:textDirection w:val="btLr"/>
          </w:tcPr>
          <w:p>
            <w:pPr/>
          </w:p>
        </w:tc>
        <w:tc>
          <w:tcPr>
            <w:tcW w:w="7737" w:type="dxa"/>
          </w:tcPr>
          <w:p>
            <w:pPr>
              <w:pStyle w:val="TableParagraph"/>
              <w:spacing w:line="247" w:lineRule="exact"/>
              <w:ind w:right="128"/>
              <w:rPr>
                <w:sz w:val="22"/>
              </w:rPr>
            </w:pPr>
            <w:r>
              <w:rPr>
                <w:sz w:val="22"/>
              </w:rPr>
              <w:t>Arrojan suero de las queserías de Aculco a la presa Huapango</w:t>
            </w:r>
          </w:p>
        </w:tc>
      </w:tr>
      <w:tr>
        <w:trPr>
          <w:trHeight w:val="391" w:hRule="exact"/>
        </w:trPr>
        <w:tc>
          <w:tcPr>
            <w:tcW w:w="1303" w:type="dxa"/>
            <w:vMerge/>
            <w:textDirection w:val="btLr"/>
          </w:tcPr>
          <w:p>
            <w:pPr/>
          </w:p>
        </w:tc>
        <w:tc>
          <w:tcPr>
            <w:tcW w:w="7737" w:type="dxa"/>
          </w:tcPr>
          <w:p>
            <w:pPr>
              <w:pStyle w:val="TableParagraph"/>
              <w:spacing w:line="247" w:lineRule="exact"/>
              <w:ind w:right="128"/>
              <w:rPr>
                <w:sz w:val="22"/>
              </w:rPr>
            </w:pPr>
            <w:r>
              <w:rPr>
                <w:sz w:val="22"/>
              </w:rPr>
              <w:t>Azolve (Acambay, Aculco, Jilotepec, Polotitlán y Timilpan)</w:t>
            </w:r>
          </w:p>
        </w:tc>
      </w:tr>
      <w:tr>
        <w:trPr>
          <w:trHeight w:val="389" w:hRule="exact"/>
        </w:trPr>
        <w:tc>
          <w:tcPr>
            <w:tcW w:w="1303" w:type="dxa"/>
            <w:vMerge/>
            <w:textDirection w:val="btLr"/>
          </w:tcPr>
          <w:p>
            <w:pPr/>
          </w:p>
        </w:tc>
        <w:tc>
          <w:tcPr>
            <w:tcW w:w="7737" w:type="dxa"/>
          </w:tcPr>
          <w:p>
            <w:pPr>
              <w:pStyle w:val="TableParagraph"/>
              <w:spacing w:line="247" w:lineRule="exact"/>
              <w:ind w:right="128"/>
              <w:rPr>
                <w:sz w:val="22"/>
              </w:rPr>
            </w:pPr>
            <w:r>
              <w:rPr>
                <w:sz w:val="22"/>
              </w:rPr>
              <w:t>No se aprovecha el agua (Acambay, Jilotepec y Timilpan)</w:t>
            </w:r>
          </w:p>
        </w:tc>
      </w:tr>
      <w:tr>
        <w:trPr>
          <w:trHeight w:val="389" w:hRule="exact"/>
        </w:trPr>
        <w:tc>
          <w:tcPr>
            <w:tcW w:w="1303" w:type="dxa"/>
            <w:vMerge/>
            <w:textDirection w:val="btLr"/>
          </w:tcPr>
          <w:p>
            <w:pPr/>
          </w:p>
        </w:tc>
        <w:tc>
          <w:tcPr>
            <w:tcW w:w="7737" w:type="dxa"/>
          </w:tcPr>
          <w:p>
            <w:pPr>
              <w:pStyle w:val="TableParagraph"/>
              <w:spacing w:line="247" w:lineRule="exact"/>
              <w:ind w:right="128"/>
              <w:rPr>
                <w:sz w:val="22"/>
              </w:rPr>
            </w:pPr>
            <w:r>
              <w:rPr>
                <w:sz w:val="22"/>
              </w:rPr>
              <w:t>Desperdicios industriales en Bucio (Timilpan)</w:t>
            </w:r>
          </w:p>
        </w:tc>
      </w:tr>
      <w:tr>
        <w:trPr>
          <w:trHeight w:val="389" w:hRule="exact"/>
        </w:trPr>
        <w:tc>
          <w:tcPr>
            <w:tcW w:w="1303" w:type="dxa"/>
            <w:vMerge/>
            <w:textDirection w:val="btLr"/>
          </w:tcPr>
          <w:p>
            <w:pPr/>
          </w:p>
        </w:tc>
        <w:tc>
          <w:tcPr>
            <w:tcW w:w="7737" w:type="dxa"/>
          </w:tcPr>
          <w:p>
            <w:pPr>
              <w:pStyle w:val="TableParagraph"/>
              <w:spacing w:line="247" w:lineRule="exact"/>
              <w:ind w:right="128"/>
              <w:rPr>
                <w:sz w:val="22"/>
              </w:rPr>
            </w:pPr>
            <w:r>
              <w:rPr>
                <w:sz w:val="22"/>
              </w:rPr>
              <w:t>No se le ha dado la protección que merece (Timilpan)</w:t>
            </w:r>
          </w:p>
        </w:tc>
      </w:tr>
      <w:tr>
        <w:trPr>
          <w:trHeight w:val="770" w:hRule="exact"/>
        </w:trPr>
        <w:tc>
          <w:tcPr>
            <w:tcW w:w="1303" w:type="dxa"/>
            <w:vMerge w:val="restart"/>
            <w:textDirection w:val="btLr"/>
          </w:tcPr>
          <w:p>
            <w:pPr>
              <w:pStyle w:val="TableParagraph"/>
              <w:spacing w:line="369" w:lineRule="auto" w:before="105"/>
              <w:ind w:left="224" w:right="199" w:firstLine="28"/>
              <w:rPr>
                <w:b/>
                <w:sz w:val="22"/>
              </w:rPr>
            </w:pPr>
            <w:r>
              <w:rPr>
                <w:b/>
                <w:w w:val="100"/>
                <w:sz w:val="22"/>
              </w:rPr>
              <w:t>F</w:t>
            </w:r>
            <w:r>
              <w:rPr>
                <w:b/>
                <w:spacing w:val="-1"/>
                <w:w w:val="100"/>
                <w:sz w:val="22"/>
              </w:rPr>
              <w:t>e</w:t>
            </w:r>
            <w:r>
              <w:rPr>
                <w:b/>
                <w:w w:val="100"/>
                <w:sz w:val="22"/>
              </w:rPr>
              <w:t>d</w:t>
            </w:r>
            <w:r>
              <w:rPr>
                <w:b/>
                <w:spacing w:val="-1"/>
                <w:w w:val="100"/>
                <w:sz w:val="22"/>
              </w:rPr>
              <w:t>e</w:t>
            </w:r>
            <w:r>
              <w:rPr>
                <w:b/>
                <w:w w:val="100"/>
                <w:sz w:val="22"/>
              </w:rPr>
              <w:t>ral</w:t>
            </w:r>
            <w:r>
              <w:rPr>
                <w:b/>
                <w:w w:val="100"/>
                <w:sz w:val="22"/>
              </w:rPr>
              <w:t>es </w:t>
            </w:r>
            <w:r>
              <w:rPr>
                <w:b/>
                <w:w w:val="100"/>
                <w:sz w:val="22"/>
              </w:rPr>
              <w:t>(</w:t>
            </w:r>
            <w:r>
              <w:rPr>
                <w:b/>
                <w:spacing w:val="-2"/>
                <w:w w:val="100"/>
                <w:sz w:val="22"/>
              </w:rPr>
              <w:t>C</w:t>
            </w:r>
            <w:r>
              <w:rPr>
                <w:b/>
                <w:w w:val="100"/>
                <w:sz w:val="22"/>
              </w:rPr>
              <w:t>o</w:t>
            </w:r>
            <w:r>
              <w:rPr>
                <w:b/>
                <w:spacing w:val="-2"/>
                <w:w w:val="100"/>
                <w:sz w:val="22"/>
              </w:rPr>
              <w:t>n</w:t>
            </w:r>
            <w:r>
              <w:rPr>
                <w:b/>
                <w:w w:val="100"/>
                <w:sz w:val="22"/>
              </w:rPr>
              <w:t>a</w:t>
            </w:r>
            <w:r>
              <w:rPr>
                <w:b/>
                <w:spacing w:val="-1"/>
                <w:w w:val="100"/>
                <w:sz w:val="22"/>
              </w:rPr>
              <w:t>g</w:t>
            </w:r>
            <w:r>
              <w:rPr>
                <w:b/>
                <w:w w:val="100"/>
                <w:sz w:val="22"/>
              </w:rPr>
              <w:t>u</w:t>
            </w:r>
            <w:r>
              <w:rPr>
                <w:b/>
                <w:spacing w:val="-1"/>
                <w:w w:val="100"/>
                <w:sz w:val="22"/>
              </w:rPr>
              <w:t>a</w:t>
            </w:r>
            <w:r>
              <w:rPr>
                <w:b/>
                <w:w w:val="100"/>
                <w:sz w:val="22"/>
              </w:rPr>
              <w:t>)</w:t>
            </w:r>
          </w:p>
        </w:tc>
        <w:tc>
          <w:tcPr>
            <w:tcW w:w="7737" w:type="dxa"/>
          </w:tcPr>
          <w:p>
            <w:pPr>
              <w:pStyle w:val="TableParagraph"/>
              <w:spacing w:line="249" w:lineRule="exact"/>
              <w:ind w:right="128"/>
              <w:rPr>
                <w:sz w:val="22"/>
              </w:rPr>
            </w:pPr>
            <w:r>
              <w:rPr>
                <w:sz w:val="22"/>
              </w:rPr>
              <w:t>Es una laguna muy antigua que requiere modernizarse.</w:t>
            </w:r>
          </w:p>
        </w:tc>
      </w:tr>
      <w:tr>
        <w:trPr>
          <w:trHeight w:val="768" w:hRule="exact"/>
        </w:trPr>
        <w:tc>
          <w:tcPr>
            <w:tcW w:w="1303" w:type="dxa"/>
            <w:vMerge/>
            <w:textDirection w:val="btLr"/>
          </w:tcPr>
          <w:p>
            <w:pPr/>
          </w:p>
        </w:tc>
        <w:tc>
          <w:tcPr>
            <w:tcW w:w="7737" w:type="dxa"/>
          </w:tcPr>
          <w:p>
            <w:pPr>
              <w:pStyle w:val="TableParagraph"/>
              <w:spacing w:line="247" w:lineRule="exact"/>
              <w:ind w:right="128"/>
              <w:rPr>
                <w:sz w:val="22"/>
              </w:rPr>
            </w:pPr>
            <w:r>
              <w:rPr>
                <w:sz w:val="22"/>
              </w:rPr>
              <w:t>Poca captación de agua porque ya no hay suficiente lluvia.</w:t>
            </w:r>
          </w:p>
        </w:tc>
      </w:tr>
    </w:tbl>
    <w:p>
      <w:pPr>
        <w:pStyle w:val="BodyText"/>
        <w:spacing w:line="362" w:lineRule="auto"/>
        <w:ind w:left="222" w:right="219"/>
        <w:jc w:val="both"/>
      </w:pPr>
      <w:r>
        <w:rPr>
          <w:b/>
        </w:rPr>
        <w:t>Fuente: </w:t>
      </w:r>
      <w:r>
        <w:rPr/>
        <w:t>Elaboración propia con base en los datos obtenidos en Trabajo de Campo, García</w:t>
      </w:r>
      <w:r>
        <w:rPr>
          <w:spacing w:val="-4"/>
        </w:rPr>
        <w:t> </w:t>
      </w:r>
      <w:r>
        <w:rPr/>
        <w:t>(2013-2015).</w:t>
      </w:r>
    </w:p>
    <w:p>
      <w:pPr>
        <w:pStyle w:val="BodyText"/>
        <w:spacing w:before="7"/>
        <w:rPr>
          <w:sz w:val="17"/>
        </w:rPr>
      </w:pPr>
    </w:p>
    <w:p>
      <w:pPr>
        <w:pStyle w:val="BodyText"/>
        <w:spacing w:line="360" w:lineRule="auto"/>
        <w:ind w:left="222" w:right="212"/>
        <w:jc w:val="both"/>
      </w:pPr>
      <w:r>
        <w:rPr/>
        <w:t>Estos problemas son el resultado de varias coyunturas, pero principalmente del poder y  de la política que se vive en la región. Son el reflejo de la percepción según los actores de aguas arriba y aguas abajo respecto al deterioro de la cuenca hidrosocial presa Huapango.</w:t>
      </w:r>
    </w:p>
    <w:p>
      <w:pPr>
        <w:pStyle w:val="BodyText"/>
        <w:spacing w:before="9"/>
        <w:rPr>
          <w:sz w:val="17"/>
        </w:rPr>
      </w:pPr>
    </w:p>
    <w:p>
      <w:pPr>
        <w:pStyle w:val="BodyText"/>
        <w:spacing w:line="360" w:lineRule="auto"/>
        <w:ind w:left="222" w:right="214"/>
        <w:jc w:val="both"/>
      </w:pPr>
      <w:r>
        <w:rPr/>
        <w:t>En síntesis, si bien el principal problema de la presa Huapango es la contaminación, que a simple vista pareciera ser de tipo ambiental, en el análisis se convierte netamente en un problema de tipo político, social y económico, ya que es resultado de prácticas de falta de integridad sociopolíticas, que se han generado en varios niveles de gobierno. Las vías tradicionales para solucionarlo son limitadas por las acciones del Estado y del mercado.</w:t>
      </w:r>
    </w:p>
    <w:p>
      <w:pPr>
        <w:pStyle w:val="BodyText"/>
        <w:spacing w:before="9"/>
        <w:rPr>
          <w:sz w:val="17"/>
        </w:rPr>
      </w:pPr>
    </w:p>
    <w:p>
      <w:pPr>
        <w:pStyle w:val="BodyText"/>
        <w:spacing w:line="360" w:lineRule="auto"/>
        <w:ind w:left="222" w:right="216"/>
        <w:jc w:val="both"/>
      </w:pPr>
      <w:r>
        <w:rPr/>
        <w:t>Por otro lado, el problema del poder se percibe principalmente en la distribución del agua para riego exclusiva para los actores de aguas abajo. Si bien es una asignación  histórica,</w:t>
      </w:r>
    </w:p>
    <w:p>
      <w:pPr>
        <w:spacing w:after="0" w:line="360" w:lineRule="auto"/>
        <w:jc w:val="both"/>
        <w:sectPr>
          <w:pgSz w:w="12240" w:h="15840"/>
          <w:pgMar w:header="0" w:footer="1003" w:top="1420" w:bottom="1200" w:left="1480" w:right="1480"/>
        </w:sectPr>
      </w:pPr>
    </w:p>
    <w:p>
      <w:pPr>
        <w:pStyle w:val="BodyText"/>
        <w:spacing w:line="360" w:lineRule="auto" w:before="53"/>
        <w:ind w:left="102" w:right="118"/>
        <w:jc w:val="both"/>
      </w:pPr>
      <w:r>
        <w:rPr/>
        <w:t>se percibe que esto debe cambiar para mejorar el estado. La imposición y falta de reconocimiento de este problema por parte de la CONAGUA es una imposición del Estado que obedece a las demandas del mercado capitalista.</w:t>
      </w:r>
    </w:p>
    <w:p>
      <w:pPr>
        <w:pStyle w:val="BodyText"/>
        <w:spacing w:before="4"/>
        <w:rPr>
          <w:sz w:val="17"/>
        </w:rPr>
      </w:pPr>
    </w:p>
    <w:p>
      <w:pPr>
        <w:pStyle w:val="Heading6"/>
        <w:spacing w:line="360" w:lineRule="auto"/>
        <w:ind w:right="121"/>
        <w:jc w:val="both"/>
      </w:pPr>
      <w:r>
        <w:rPr/>
        <w:t>Causas de la problemática de la cuenca hidrosocial presa Huapango, señaladas por los grupos de actores por el principio de poder</w:t>
      </w:r>
    </w:p>
    <w:p>
      <w:pPr>
        <w:pStyle w:val="BodyText"/>
        <w:rPr>
          <w:b/>
          <w:sz w:val="18"/>
        </w:rPr>
      </w:pPr>
    </w:p>
    <w:p>
      <w:pPr>
        <w:pStyle w:val="BodyText"/>
        <w:spacing w:line="360" w:lineRule="auto"/>
        <w:ind w:left="102" w:right="118"/>
        <w:jc w:val="both"/>
      </w:pPr>
      <w:r>
        <w:rPr/>
        <w:t>Por ejemplo, en Aldama, Jilotepec, en el establo “Rancho las Golondrinas”, tienen aproximadamente 2,000 cabezas de ganado (bovino), en donde fumigan al ganado por  ser atacado por la mosca, y el agua que llega a la presa lleva el</w:t>
      </w:r>
      <w:r>
        <w:rPr>
          <w:spacing w:val="-25"/>
        </w:rPr>
        <w:t> </w:t>
      </w:r>
      <w:r>
        <w:rPr/>
        <w:t>plaguicida.</w:t>
      </w:r>
    </w:p>
    <w:p>
      <w:pPr>
        <w:pStyle w:val="BodyText"/>
        <w:spacing w:before="7"/>
        <w:rPr>
          <w:sz w:val="17"/>
        </w:rPr>
      </w:pPr>
    </w:p>
    <w:p>
      <w:pPr>
        <w:pStyle w:val="BodyText"/>
        <w:spacing w:line="360" w:lineRule="auto"/>
        <w:ind w:left="102" w:right="117"/>
        <w:jc w:val="both"/>
      </w:pPr>
      <w:r>
        <w:rPr/>
        <w:t>Aunque el municipio de Jilotepec está incluido en la Asociación de Usuarios para Riego, actores históricos de los ejidos de El Saltillo y Aldama, manifiestan su descontento porque no los dejan regar con agua de la presa, ya que no tienen concesión. Otros actores de Aculco del ejido El Azafrán, también señalaron su descontento porque no se les deja  regar de los canales que pasan cerca de sus</w:t>
      </w:r>
      <w:r>
        <w:rPr>
          <w:spacing w:val="-13"/>
        </w:rPr>
        <w:t> </w:t>
      </w:r>
      <w:r>
        <w:rPr/>
        <w:t>tierras.</w:t>
      </w:r>
    </w:p>
    <w:p>
      <w:pPr>
        <w:pStyle w:val="BodyText"/>
        <w:spacing w:before="7"/>
        <w:rPr>
          <w:sz w:val="17"/>
        </w:rPr>
      </w:pPr>
    </w:p>
    <w:p>
      <w:pPr>
        <w:pStyle w:val="BodyText"/>
        <w:spacing w:line="360" w:lineRule="auto"/>
        <w:ind w:left="102" w:right="114"/>
        <w:jc w:val="both"/>
      </w:pPr>
      <w:r>
        <w:rPr/>
        <w:t>Para los actores municipales, el principal problema es la descarga de aguas residuales de uso doméstico, y señalan que el municipio </w:t>
      </w:r>
      <w:r>
        <w:rPr>
          <w:i/>
        </w:rPr>
        <w:t>no tiene la capacidad económica </w:t>
      </w:r>
      <w:r>
        <w:rPr/>
        <w:t>para construir plantas tratadoras de aguas, y que mantenerlas con el actual presupuesto les resultaría muy costoso.</w:t>
      </w:r>
    </w:p>
    <w:p>
      <w:pPr>
        <w:pStyle w:val="BodyText"/>
        <w:spacing w:before="7"/>
        <w:rPr>
          <w:sz w:val="17"/>
        </w:rPr>
      </w:pPr>
    </w:p>
    <w:p>
      <w:pPr>
        <w:pStyle w:val="BodyText"/>
        <w:spacing w:line="360" w:lineRule="auto"/>
        <w:ind w:left="102" w:right="118"/>
        <w:jc w:val="both"/>
      </w:pPr>
      <w:r>
        <w:rPr/>
        <w:t>Otro problema ambiental señalado por los actores municipales, es la caza masiva de las aves migratorias que llegan a la laguna. Dichos actores manifiestan que cuando ellos quieren intervenir los actores históricos señalan que: tienen permisos federales  para cazar; o bien les manifiestan que la laguna es de orden federal y ellos no tienen  facultades para impedírselos. En este sentido los actores municipiales se ven limitados e impedidos a hacer frente a este tipo de</w:t>
      </w:r>
      <w:r>
        <w:rPr>
          <w:spacing w:val="-14"/>
        </w:rPr>
        <w:t> </w:t>
      </w:r>
      <w:r>
        <w:rPr/>
        <w:t>problemas.</w:t>
      </w:r>
    </w:p>
    <w:p>
      <w:pPr>
        <w:pStyle w:val="BodyText"/>
        <w:spacing w:before="7"/>
        <w:rPr>
          <w:sz w:val="17"/>
        </w:rPr>
      </w:pPr>
    </w:p>
    <w:p>
      <w:pPr>
        <w:pStyle w:val="BodyText"/>
        <w:spacing w:line="360" w:lineRule="auto"/>
        <w:ind w:left="102" w:right="113"/>
        <w:jc w:val="both"/>
      </w:pPr>
      <w:r>
        <w:rPr/>
        <w:t>Para los actores federales, el principal problema es que la laguna no se llena a su máxima capacidad de captación pluvial, lo cual resolvería la demanda del riego de Aculco y Polotitlán, por lo que proponen como solución llevar aguas tratadas del municipio de Toluca para incrementar el nivel de la presa. Sin embargo, no señalan o desconocen la problemática o impacto que se generaría con los actores de aguas arriba porque las aguas las usan para beber sus animales bovinos y ovinos, así como para pescar, actividades que se verían afectadas por tal solución que propone la</w:t>
      </w:r>
      <w:r>
        <w:rPr>
          <w:spacing w:val="-19"/>
        </w:rPr>
        <w:t> </w:t>
      </w:r>
      <w:r>
        <w:rPr/>
        <w:t>Conagua.</w:t>
      </w:r>
    </w:p>
    <w:p>
      <w:pPr>
        <w:spacing w:after="0" w:line="360" w:lineRule="auto"/>
        <w:jc w:val="both"/>
        <w:sectPr>
          <w:pgSz w:w="12240" w:h="15840"/>
          <w:pgMar w:header="0" w:footer="1003" w:top="1360" w:bottom="1200" w:left="1600" w:right="1580"/>
        </w:sectPr>
      </w:pPr>
    </w:p>
    <w:p>
      <w:pPr>
        <w:pStyle w:val="Heading6"/>
        <w:spacing w:line="360" w:lineRule="auto" w:before="51"/>
        <w:ind w:right="120"/>
        <w:jc w:val="both"/>
      </w:pPr>
      <w:r>
        <w:rPr/>
        <w:t>Propuestas de solución (y quiénes deben remediar) la problemática que se vive en la cuenca hidrosocial presa Huapango por parte de los grupos de actores (principio de poder)</w:t>
      </w:r>
    </w:p>
    <w:p>
      <w:pPr>
        <w:pStyle w:val="BodyText"/>
        <w:spacing w:before="9"/>
        <w:rPr>
          <w:b/>
          <w:sz w:val="17"/>
        </w:rPr>
      </w:pPr>
    </w:p>
    <w:p>
      <w:pPr>
        <w:pStyle w:val="BodyText"/>
        <w:spacing w:line="360" w:lineRule="auto"/>
        <w:ind w:left="102" w:right="119"/>
        <w:jc w:val="both"/>
      </w:pPr>
      <w:r>
        <w:rPr/>
        <w:t>Las propuestas de solución a los problemas señalados por los grupos de actores en las entrevistas, abarcan también a los actores que deberían ser los encargados de solucionarlas así como opciones de acción:</w:t>
      </w:r>
    </w:p>
    <w:p>
      <w:pPr>
        <w:pStyle w:val="BodyText"/>
        <w:spacing w:before="9"/>
        <w:rPr>
          <w:sz w:val="17"/>
        </w:rPr>
      </w:pPr>
    </w:p>
    <w:p>
      <w:pPr>
        <w:pStyle w:val="BodyText"/>
        <w:spacing w:line="360" w:lineRule="auto"/>
        <w:ind w:left="102" w:right="117"/>
        <w:jc w:val="both"/>
      </w:pPr>
      <w:r>
        <w:rPr/>
        <w:t>Así, para los actores Históricos (pescadores, ganaderos, turismo, comerciantes e industriales de lácteos y autoridades auxiliares), que son multiactores, las propuestas de solución son las siguientes:</w:t>
      </w:r>
    </w:p>
    <w:p>
      <w:pPr>
        <w:pStyle w:val="BodyText"/>
        <w:spacing w:before="7"/>
        <w:rPr>
          <w:sz w:val="17"/>
        </w:rPr>
      </w:pPr>
    </w:p>
    <w:p>
      <w:pPr>
        <w:pStyle w:val="BodyText"/>
        <w:spacing w:line="360" w:lineRule="auto"/>
        <w:ind w:left="102" w:right="116"/>
        <w:jc w:val="both"/>
      </w:pPr>
      <w:r>
        <w:rPr/>
        <w:t>1.- Contaminación. Para los </w:t>
      </w:r>
      <w:r>
        <w:rPr>
          <w:i/>
        </w:rPr>
        <w:t>pescadores, </w:t>
      </w:r>
      <w:r>
        <w:rPr/>
        <w:t>las plantas tratadoras o las fosas de oxidación son planteadas como una solución al problema de contaminación por las descargas de aguas residuales de uso doméstico a la laguna de Huapango, por lo que advierten que los presidentes municipales deben tener cuidado con los drenajes, es decir, los presidentes municipales deben hacerse responsables de la canalización para que no caigan directamente a la presa. Por otro lado, sugieren que también las autoridades municipales deben sembrar pescado en el cuerpo de agua como una actividad continua, ya que el único presidente municipal que lo ha hecho es el de Acambay.</w:t>
      </w:r>
    </w:p>
    <w:p>
      <w:pPr>
        <w:pStyle w:val="BodyText"/>
        <w:spacing w:before="9"/>
        <w:rPr>
          <w:sz w:val="17"/>
        </w:rPr>
      </w:pPr>
    </w:p>
    <w:p>
      <w:pPr>
        <w:pStyle w:val="BodyText"/>
        <w:spacing w:line="360" w:lineRule="auto" w:before="1"/>
        <w:ind w:left="102" w:right="114"/>
        <w:jc w:val="both"/>
      </w:pPr>
      <w:r>
        <w:rPr/>
        <w:t>En este sentido, los actores ejidatarios como pescadores, señalan que quienes deben solucionar los problemas de dicha laguna son 1.- el municipio y la Conagua; 2.- el municipio y la comunidad; y 3.- las autoridades de todo tipo y la comunidad; mientras que seis pescadores más, señalaron que deben ser los presidentes municipales porque son las autoridades más cercanas a la comunidad; cuatro más señalan que sólo los actores  de la comunidad debe resolver sus problemas, porque son los que se benefician de la laguna; y por último, uno más señala que el gobierno del Estado de México, porque los presidentes municipales no tienen la capacidad de hacerlo, ya que tuvieron una reunión hace tiempo, “y hasta la fecha no resuelven</w:t>
      </w:r>
      <w:r>
        <w:rPr>
          <w:spacing w:val="-14"/>
        </w:rPr>
        <w:t> </w:t>
      </w:r>
      <w:r>
        <w:rPr/>
        <w:t>nada”.</w:t>
      </w:r>
    </w:p>
    <w:p>
      <w:pPr>
        <w:pStyle w:val="BodyText"/>
        <w:spacing w:before="7"/>
        <w:rPr>
          <w:sz w:val="17"/>
        </w:rPr>
      </w:pPr>
    </w:p>
    <w:p>
      <w:pPr>
        <w:pStyle w:val="BodyText"/>
        <w:spacing w:line="360" w:lineRule="auto"/>
        <w:ind w:left="102" w:right="112"/>
        <w:jc w:val="both"/>
      </w:pPr>
      <w:r>
        <w:rPr/>
        <w:t>Por su parte los actores ejidatarios </w:t>
      </w:r>
      <w:r>
        <w:rPr>
          <w:i/>
        </w:rPr>
        <w:t>ganaderos</w:t>
      </w:r>
      <w:r>
        <w:rPr/>
        <w:t>, señalan que los problemas podrían solucionar con la participación de todos los afectados, ya que no se puede seguir viviendo así y con la ayuda del gobierno para hacer plantas tratadoras. En este sentido,  tres actores ganaderos señalan que quienes deben solucionar los problemas son la comunidad</w:t>
      </w:r>
      <w:r>
        <w:rPr>
          <w:spacing w:val="52"/>
        </w:rPr>
        <w:t> </w:t>
      </w:r>
      <w:r>
        <w:rPr/>
        <w:t>misma,</w:t>
      </w:r>
      <w:r>
        <w:rPr>
          <w:spacing w:val="53"/>
        </w:rPr>
        <w:t> </w:t>
      </w:r>
      <w:r>
        <w:rPr/>
        <w:t>porque</w:t>
      </w:r>
      <w:r>
        <w:rPr>
          <w:spacing w:val="52"/>
        </w:rPr>
        <w:t> </w:t>
      </w:r>
      <w:r>
        <w:rPr/>
        <w:t>son</w:t>
      </w:r>
      <w:r>
        <w:rPr>
          <w:spacing w:val="52"/>
        </w:rPr>
        <w:t> </w:t>
      </w:r>
      <w:r>
        <w:rPr/>
        <w:t>los</w:t>
      </w:r>
      <w:r>
        <w:rPr>
          <w:spacing w:val="54"/>
        </w:rPr>
        <w:t> </w:t>
      </w:r>
      <w:r>
        <w:rPr/>
        <w:t>principales</w:t>
      </w:r>
      <w:r>
        <w:rPr>
          <w:spacing w:val="54"/>
        </w:rPr>
        <w:t> </w:t>
      </w:r>
      <w:r>
        <w:rPr/>
        <w:t>afectados;</w:t>
      </w:r>
      <w:r>
        <w:rPr>
          <w:spacing w:val="56"/>
        </w:rPr>
        <w:t> </w:t>
      </w:r>
      <w:r>
        <w:rPr/>
        <w:t>otro</w:t>
      </w:r>
      <w:r>
        <w:rPr>
          <w:spacing w:val="52"/>
        </w:rPr>
        <w:t> </w:t>
      </w:r>
      <w:r>
        <w:rPr/>
        <w:t>actor</w:t>
      </w:r>
      <w:r>
        <w:rPr>
          <w:spacing w:val="50"/>
        </w:rPr>
        <w:t> </w:t>
      </w:r>
      <w:r>
        <w:rPr/>
        <w:t>dice</w:t>
      </w:r>
      <w:r>
        <w:rPr>
          <w:spacing w:val="52"/>
        </w:rPr>
        <w:t> </w:t>
      </w:r>
      <w:r>
        <w:rPr/>
        <w:t>que</w:t>
      </w:r>
      <w:r>
        <w:rPr>
          <w:spacing w:val="54"/>
        </w:rPr>
        <w:t> </w:t>
      </w:r>
      <w:r>
        <w:rPr/>
        <w:t>son</w:t>
      </w:r>
      <w:r>
        <w:rPr>
          <w:spacing w:val="54"/>
        </w:rPr>
        <w:t> </w:t>
      </w:r>
      <w:r>
        <w:rPr/>
        <w:t>los</w:t>
      </w:r>
    </w:p>
    <w:p>
      <w:pPr>
        <w:spacing w:after="0" w:line="360" w:lineRule="auto"/>
        <w:jc w:val="both"/>
        <w:sectPr>
          <w:pgSz w:w="12240" w:h="15840"/>
          <w:pgMar w:header="0" w:footer="1003" w:top="1360" w:bottom="1200" w:left="1600" w:right="1580"/>
        </w:sectPr>
      </w:pPr>
    </w:p>
    <w:p>
      <w:pPr>
        <w:pStyle w:val="BodyText"/>
        <w:spacing w:line="360" w:lineRule="auto" w:before="53"/>
        <w:ind w:left="102" w:right="120"/>
        <w:jc w:val="both"/>
      </w:pPr>
      <w:r>
        <w:rPr/>
        <w:t>representantes municipales y federales; otro más que el gobierno y los pobladores; mientras que uno manifestó que debe ser sólo el gobierno, refiriéndose ambos a los tres niveles de gobierno (Federal, Estatal y Municipal).</w:t>
      </w:r>
    </w:p>
    <w:p>
      <w:pPr>
        <w:pStyle w:val="BodyText"/>
        <w:spacing w:before="7"/>
        <w:rPr>
          <w:sz w:val="17"/>
        </w:rPr>
      </w:pPr>
    </w:p>
    <w:p>
      <w:pPr>
        <w:pStyle w:val="BodyText"/>
        <w:spacing w:line="360" w:lineRule="auto"/>
        <w:ind w:left="102" w:right="116"/>
        <w:jc w:val="both"/>
      </w:pPr>
      <w:r>
        <w:rPr/>
        <w:t>Al respecto, los actores </w:t>
      </w:r>
      <w:r>
        <w:rPr>
          <w:i/>
        </w:rPr>
        <w:t>comerciantes e industriales de lácteos</w:t>
      </w:r>
      <w:r>
        <w:rPr/>
        <w:t>, que están representados por la Unión de Productores Lácteos de Aculco S.A. de C.V (50 socios de Aculco); la Unión de Productores de Leche de Polotitlán S.A. de C.V. (97 socios de Aculco y Polotitlán), señalaron lo siguiente: el primero actor manifestó que no sabía cuál era realmente el problema, por lo que dijo no saber también quien debía resolverlo; el segundo señaló que el problema que tienen la laguna de Huapango, es que ya no se llena y no tiene mucha agua, pero que es porque ya no llueve mucho, entonces la solución “es esperar a que</w:t>
      </w:r>
      <w:r>
        <w:rPr>
          <w:spacing w:val="-7"/>
        </w:rPr>
        <w:t> </w:t>
      </w:r>
      <w:r>
        <w:rPr/>
        <w:t>llueva”.</w:t>
      </w:r>
    </w:p>
    <w:p>
      <w:pPr>
        <w:pStyle w:val="BodyText"/>
        <w:spacing w:before="7"/>
        <w:rPr>
          <w:sz w:val="17"/>
        </w:rPr>
      </w:pPr>
    </w:p>
    <w:p>
      <w:pPr>
        <w:pStyle w:val="BodyText"/>
        <w:spacing w:line="360" w:lineRule="auto"/>
        <w:ind w:left="102" w:right="113"/>
        <w:jc w:val="both"/>
      </w:pPr>
      <w:r>
        <w:rPr/>
        <w:t>La opinión del único actor ejidatario como representante del </w:t>
      </w:r>
      <w:r>
        <w:rPr>
          <w:i/>
        </w:rPr>
        <w:t>turismo </w:t>
      </w:r>
      <w:r>
        <w:rPr/>
        <w:t>(Las Delicias de Huapango S.A. de C.V., ubicado en Aculco), señaló que son los presidentes municipales los que debieran ver donde desembocan los drenajes para que no caigan directamente a la laguna, y ellos son los que debieran solucionar la problemática.</w:t>
      </w:r>
    </w:p>
    <w:p>
      <w:pPr>
        <w:pStyle w:val="BodyText"/>
        <w:spacing w:before="7"/>
        <w:rPr>
          <w:sz w:val="17"/>
        </w:rPr>
      </w:pPr>
    </w:p>
    <w:p>
      <w:pPr>
        <w:spacing w:line="360" w:lineRule="auto" w:before="0"/>
        <w:ind w:left="102" w:right="114" w:firstLine="0"/>
        <w:jc w:val="both"/>
        <w:rPr>
          <w:sz w:val="22"/>
        </w:rPr>
      </w:pPr>
      <w:r>
        <w:rPr>
          <w:sz w:val="22"/>
        </w:rPr>
        <w:t>Para los actores </w:t>
      </w:r>
      <w:r>
        <w:rPr>
          <w:i/>
          <w:sz w:val="22"/>
        </w:rPr>
        <w:t>autoridades auxiliares, </w:t>
      </w:r>
      <w:r>
        <w:rPr>
          <w:sz w:val="22"/>
        </w:rPr>
        <w:t>que están representadas por los Comisariados Ejidales y los </w:t>
      </w:r>
      <w:r>
        <w:rPr>
          <w:i/>
          <w:sz w:val="22"/>
        </w:rPr>
        <w:t>Delegados Municipales</w:t>
      </w:r>
      <w:r>
        <w:rPr>
          <w:sz w:val="22"/>
        </w:rPr>
        <w:t>, las propuestas de solución y quiénes deben solucionar los problemas son las siguientes:</w:t>
      </w:r>
    </w:p>
    <w:p>
      <w:pPr>
        <w:pStyle w:val="BodyText"/>
        <w:spacing w:before="9"/>
        <w:rPr>
          <w:sz w:val="17"/>
        </w:rPr>
      </w:pPr>
    </w:p>
    <w:p>
      <w:pPr>
        <w:pStyle w:val="BodyText"/>
        <w:spacing w:line="360" w:lineRule="auto"/>
        <w:ind w:left="102" w:right="115"/>
        <w:jc w:val="both"/>
      </w:pPr>
      <w:r>
        <w:rPr/>
        <w:t>Para los actores </w:t>
      </w:r>
      <w:r>
        <w:rPr>
          <w:i/>
        </w:rPr>
        <w:t>Comisariados</w:t>
      </w:r>
      <w:r>
        <w:rPr/>
        <w:t>, los problemas de contaminación pueden solucionarse con la comunidad, ya que nosotros mismos “podemos gestionar plantas tratadoras y verter el agua a las milpas”; otra alternativa es ponernos de acuerdo entre autoridades para gestionar apoyos del gobierno y con biodigestores en todas las casas podría solucionarse el problema de la contaminación de aguas de uso doméstico. También hay que hacer otras acciones, por ejemplo el rancho Las Golondrinas, ubicado en Aldama, Jilotepec, debiera clausurarse para que no siga contaminando al fumigar sus más de 2000 reses  que tiene. Además, hay que solucionar el reparto equitativo del agua para riego de la presa Huapango, la licitación del agua debiera darse a través de las Cámaras de Diputados Estatal y Federal, porque ya no se sabe a quién recurrir porque de acuerdo a los convenios de las haciendas, nadamás vemos pasar el agua de la laguna y no la aprovechamos para riego, por eso se debe hacer un replanteamiento para tomar en cuenta a todas las partes involucradas, ya que debemos hacer un proyecto a largo plazo para que nuestros hijos tengan riego, sembradío y una fuente de</w:t>
      </w:r>
      <w:r>
        <w:rPr>
          <w:spacing w:val="-18"/>
        </w:rPr>
        <w:t> </w:t>
      </w:r>
      <w:r>
        <w:rPr/>
        <w:t>trabajo”.</w:t>
      </w:r>
    </w:p>
    <w:p>
      <w:pPr>
        <w:spacing w:after="0" w:line="360" w:lineRule="auto"/>
        <w:jc w:val="both"/>
        <w:sectPr>
          <w:pgSz w:w="12240" w:h="15840"/>
          <w:pgMar w:header="0" w:footer="1003" w:top="1360" w:bottom="1200" w:left="1600" w:right="1580"/>
        </w:sectPr>
      </w:pPr>
    </w:p>
    <w:p>
      <w:pPr>
        <w:pStyle w:val="BodyText"/>
        <w:spacing w:line="360" w:lineRule="auto" w:before="53"/>
        <w:ind w:left="102" w:right="112"/>
        <w:jc w:val="both"/>
      </w:pPr>
      <w:r>
        <w:rPr/>
        <w:t>En este sentido, quiénes debieran solucionar los problemas según estos actores son: dos comisariados señalan que deben ser los ciudadanos; otros dos comisariados señalan a las autoridades, refiriéndose a los tres ámbitos de gobierno; uno más que es el municipio  y la federación; otro señala que deben ser los tres niveles de gobierno y la sociedad; otro comisariado que es el municipio y la comunidad; otro actor de éstos de Polotitlán, sugiere que hay que esperar a que llueva; y un último señala que son las Cámaras de Diputados Federal y</w:t>
      </w:r>
      <w:r>
        <w:rPr>
          <w:spacing w:val="-5"/>
        </w:rPr>
        <w:t> </w:t>
      </w:r>
      <w:r>
        <w:rPr/>
        <w:t>Estatal.</w:t>
      </w:r>
    </w:p>
    <w:p>
      <w:pPr>
        <w:pStyle w:val="BodyText"/>
        <w:spacing w:before="9"/>
        <w:rPr>
          <w:sz w:val="17"/>
        </w:rPr>
      </w:pPr>
    </w:p>
    <w:p>
      <w:pPr>
        <w:pStyle w:val="BodyText"/>
        <w:spacing w:line="360" w:lineRule="auto"/>
        <w:ind w:left="102" w:right="114"/>
        <w:jc w:val="both"/>
      </w:pPr>
      <w:r>
        <w:rPr/>
        <w:t>Para los actores </w:t>
      </w:r>
      <w:r>
        <w:rPr>
          <w:i/>
        </w:rPr>
        <w:t>Delegados Municipales de aguas arriba </w:t>
      </w:r>
      <w:r>
        <w:rPr/>
        <w:t>(Acambay, Jilotepec y Timilpan), señalan que los problemas de la cuenca hidrosocial presa Huapango,  podrían solucionarse “con plantas tratadoras; con cultura hacia lo que se tiene, es decir, cuidando la laguna, porque sí conocemos los principios hay que tenerla limpia y habiendo una como cooperativa de ciudadanos que vigile la laguna, es decir una organización social que vigile la sostenibilidad de la laguna”. Sugieren estos actores que quienes deben  solucionar estos problemas son: uno señala que deben ser las autoridades municipales; otro, que las autoridades municipales y la comunidad; otro más que los ciudadanos vecinos de la laguna; otro, que las autoridades municipales y federales; uno más que las autoridades competentes (refiriéndose a las secretarías de Estado) y la Conagua; y por último, uno que señala que los tres niveles de</w:t>
      </w:r>
      <w:r>
        <w:rPr>
          <w:spacing w:val="-11"/>
        </w:rPr>
        <w:t> </w:t>
      </w:r>
      <w:r>
        <w:rPr/>
        <w:t>gobierno.</w:t>
      </w:r>
    </w:p>
    <w:p>
      <w:pPr>
        <w:pStyle w:val="BodyText"/>
        <w:spacing w:before="7"/>
        <w:rPr>
          <w:sz w:val="17"/>
        </w:rPr>
      </w:pPr>
    </w:p>
    <w:p>
      <w:pPr>
        <w:pStyle w:val="BodyText"/>
        <w:spacing w:line="360" w:lineRule="auto"/>
        <w:ind w:left="102" w:right="114"/>
        <w:jc w:val="both"/>
      </w:pPr>
      <w:r>
        <w:rPr/>
        <w:t>Para los actores </w:t>
      </w:r>
      <w:r>
        <w:rPr>
          <w:i/>
        </w:rPr>
        <w:t>Delegados Municipales de aguas abajo </w:t>
      </w:r>
      <w:r>
        <w:rPr/>
        <w:t>(Aculco y Polotitlán), los problemas de la cuenca hidrosocial presa Huapango, proponen que podrían solucionarse “concientizando a la gente y con plantas tratadoras de aguas residuales para lo que se requiere destinarle un buen recursos del gobierno municipal, también se puede solucionar llegando a acuerdos entre todos, además de hacer limpieza y dar mantenimiento a los canales de riego”. Y quiénes debieran solucionar los problemas son: uno considera que el gobierno del Estado de México y los ciudadanos; cuatro más consideran que solamente los ciudadanos con sus propios recursos; otro señala a los tres poderes de la unión; y por último, dos señalan que son el gobierno y la población.</w:t>
      </w:r>
    </w:p>
    <w:p>
      <w:pPr>
        <w:pStyle w:val="BodyText"/>
        <w:spacing w:before="7"/>
        <w:rPr>
          <w:sz w:val="17"/>
        </w:rPr>
      </w:pPr>
    </w:p>
    <w:p>
      <w:pPr>
        <w:pStyle w:val="BodyText"/>
        <w:spacing w:line="360" w:lineRule="auto"/>
        <w:ind w:left="102" w:right="119"/>
        <w:jc w:val="both"/>
      </w:pPr>
      <w:r>
        <w:rPr/>
        <w:t>En síntesis los problemas de la Cuenca Hidrosocial Presa Huapango, de acuerdo con las entrevistas realizadas a los actores históricos, quedan representadas en las siguientes tabla y gráfica:</w:t>
      </w:r>
    </w:p>
    <w:p>
      <w:pPr>
        <w:spacing w:after="0" w:line="360" w:lineRule="auto"/>
        <w:jc w:val="both"/>
        <w:sectPr>
          <w:footerReference w:type="default" r:id="rId202"/>
          <w:pgSz w:w="12240" w:h="15840"/>
          <w:pgMar w:footer="1003" w:header="0" w:top="1360" w:bottom="1200" w:left="1600" w:right="1580"/>
          <w:pgNumType w:start="400"/>
        </w:sectPr>
      </w:pPr>
    </w:p>
    <w:p>
      <w:pPr>
        <w:pStyle w:val="Heading6"/>
        <w:spacing w:line="278" w:lineRule="auto" w:before="51"/>
        <w:ind w:left="2622" w:right="411" w:hanging="2135"/>
      </w:pPr>
      <w:r>
        <w:rPr/>
        <w:t>Tabla 6.16. ¿Quiénes deben solucionar los problemas de la Cuenca Hidrosocial Presa Huapango? (Actores Históricos)</w:t>
      </w:r>
    </w:p>
    <w:p>
      <w:pPr>
        <w:pStyle w:val="BodyText"/>
        <w:spacing w:before="6"/>
        <w:rPr>
          <w:b/>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516" w:hRule="exact"/>
        </w:trPr>
        <w:tc>
          <w:tcPr>
            <w:tcW w:w="4489" w:type="dxa"/>
            <w:shd w:val="clear" w:color="auto" w:fill="585858"/>
          </w:tcPr>
          <w:p>
            <w:pPr>
              <w:pStyle w:val="TableParagraph"/>
              <w:spacing w:line="242" w:lineRule="auto"/>
              <w:ind w:left="931" w:right="724" w:hanging="192"/>
              <w:rPr>
                <w:b/>
                <w:sz w:val="22"/>
              </w:rPr>
            </w:pPr>
            <w:r>
              <w:rPr>
                <w:b/>
                <w:sz w:val="22"/>
              </w:rPr>
              <w:t>Quiénes deben solucionar la problemática de la CHPH</w:t>
            </w:r>
          </w:p>
        </w:tc>
        <w:tc>
          <w:tcPr>
            <w:tcW w:w="4491" w:type="dxa"/>
            <w:shd w:val="clear" w:color="auto" w:fill="585858"/>
          </w:tcPr>
          <w:p>
            <w:pPr>
              <w:pStyle w:val="TableParagraph"/>
              <w:spacing w:line="242" w:lineRule="auto"/>
              <w:ind w:left="1512" w:right="1245" w:hanging="252"/>
              <w:rPr>
                <w:b/>
                <w:sz w:val="22"/>
              </w:rPr>
            </w:pPr>
            <w:r>
              <w:rPr>
                <w:b/>
                <w:sz w:val="22"/>
              </w:rPr>
              <w:t>Actores Históricos (multiactores)</w:t>
            </w:r>
          </w:p>
        </w:tc>
      </w:tr>
      <w:tr>
        <w:trPr>
          <w:trHeight w:val="310" w:hRule="exact"/>
        </w:trPr>
        <w:tc>
          <w:tcPr>
            <w:tcW w:w="4489" w:type="dxa"/>
          </w:tcPr>
          <w:p>
            <w:pPr>
              <w:pStyle w:val="TableParagraph"/>
              <w:spacing w:line="251" w:lineRule="exact"/>
              <w:ind w:right="724"/>
              <w:rPr>
                <w:sz w:val="22"/>
              </w:rPr>
            </w:pPr>
            <w:r>
              <w:rPr>
                <w:sz w:val="22"/>
              </w:rPr>
              <w:t>El municipio y la Conagua</w:t>
            </w:r>
          </w:p>
        </w:tc>
        <w:tc>
          <w:tcPr>
            <w:tcW w:w="4491" w:type="dxa"/>
          </w:tcPr>
          <w:p>
            <w:pPr>
              <w:pStyle w:val="TableParagraph"/>
              <w:spacing w:line="251" w:lineRule="exact"/>
              <w:ind w:left="2177"/>
              <w:rPr>
                <w:sz w:val="22"/>
              </w:rPr>
            </w:pPr>
            <w:r>
              <w:rPr>
                <w:w w:val="100"/>
                <w:sz w:val="22"/>
              </w:rPr>
              <w:t>1</w:t>
            </w:r>
          </w:p>
        </w:tc>
      </w:tr>
      <w:tr>
        <w:trPr>
          <w:trHeight w:val="312" w:hRule="exact"/>
        </w:trPr>
        <w:tc>
          <w:tcPr>
            <w:tcW w:w="4489" w:type="dxa"/>
          </w:tcPr>
          <w:p>
            <w:pPr>
              <w:pStyle w:val="TableParagraph"/>
              <w:ind w:right="724"/>
              <w:rPr>
                <w:sz w:val="22"/>
              </w:rPr>
            </w:pPr>
            <w:r>
              <w:rPr>
                <w:sz w:val="22"/>
              </w:rPr>
              <w:t>El municipio y la comunidad</w:t>
            </w:r>
          </w:p>
        </w:tc>
        <w:tc>
          <w:tcPr>
            <w:tcW w:w="4491" w:type="dxa"/>
          </w:tcPr>
          <w:p>
            <w:pPr>
              <w:pStyle w:val="TableParagraph"/>
              <w:ind w:left="2177"/>
              <w:rPr>
                <w:sz w:val="22"/>
              </w:rPr>
            </w:pPr>
            <w:r>
              <w:rPr>
                <w:w w:val="100"/>
                <w:sz w:val="22"/>
              </w:rPr>
              <w:t>3</w:t>
            </w:r>
          </w:p>
        </w:tc>
      </w:tr>
      <w:tr>
        <w:trPr>
          <w:trHeight w:val="310" w:hRule="exact"/>
        </w:trPr>
        <w:tc>
          <w:tcPr>
            <w:tcW w:w="4489" w:type="dxa"/>
          </w:tcPr>
          <w:p>
            <w:pPr>
              <w:pStyle w:val="TableParagraph"/>
              <w:spacing w:line="251" w:lineRule="exact"/>
              <w:ind w:right="724"/>
              <w:rPr>
                <w:sz w:val="22"/>
              </w:rPr>
            </w:pPr>
            <w:r>
              <w:rPr>
                <w:sz w:val="22"/>
              </w:rPr>
              <w:t>Autoridades y comunidad</w:t>
            </w:r>
          </w:p>
        </w:tc>
        <w:tc>
          <w:tcPr>
            <w:tcW w:w="4491" w:type="dxa"/>
          </w:tcPr>
          <w:p>
            <w:pPr>
              <w:pStyle w:val="TableParagraph"/>
              <w:spacing w:line="251" w:lineRule="exact"/>
              <w:ind w:left="2177"/>
              <w:rPr>
                <w:sz w:val="22"/>
              </w:rPr>
            </w:pPr>
            <w:r>
              <w:rPr>
                <w:w w:val="100"/>
                <w:sz w:val="22"/>
              </w:rPr>
              <w:t>1</w:t>
            </w:r>
          </w:p>
        </w:tc>
      </w:tr>
      <w:tr>
        <w:trPr>
          <w:trHeight w:val="310" w:hRule="exact"/>
        </w:trPr>
        <w:tc>
          <w:tcPr>
            <w:tcW w:w="4489" w:type="dxa"/>
          </w:tcPr>
          <w:p>
            <w:pPr>
              <w:pStyle w:val="TableParagraph"/>
              <w:spacing w:line="251" w:lineRule="exact"/>
              <w:ind w:right="724"/>
              <w:rPr>
                <w:sz w:val="22"/>
              </w:rPr>
            </w:pPr>
            <w:r>
              <w:rPr>
                <w:sz w:val="22"/>
              </w:rPr>
              <w:t>Los presidentes municipales</w:t>
            </w:r>
          </w:p>
        </w:tc>
        <w:tc>
          <w:tcPr>
            <w:tcW w:w="4491" w:type="dxa"/>
          </w:tcPr>
          <w:p>
            <w:pPr>
              <w:pStyle w:val="TableParagraph"/>
              <w:spacing w:line="251" w:lineRule="exact"/>
              <w:ind w:left="2177"/>
              <w:rPr>
                <w:sz w:val="22"/>
              </w:rPr>
            </w:pPr>
            <w:r>
              <w:rPr>
                <w:w w:val="100"/>
                <w:sz w:val="22"/>
              </w:rPr>
              <w:t>8</w:t>
            </w:r>
          </w:p>
        </w:tc>
      </w:tr>
      <w:tr>
        <w:trPr>
          <w:trHeight w:val="310" w:hRule="exact"/>
        </w:trPr>
        <w:tc>
          <w:tcPr>
            <w:tcW w:w="4489" w:type="dxa"/>
          </w:tcPr>
          <w:p>
            <w:pPr>
              <w:pStyle w:val="TableParagraph"/>
              <w:spacing w:line="251" w:lineRule="exact"/>
              <w:ind w:right="724"/>
              <w:rPr>
                <w:sz w:val="22"/>
              </w:rPr>
            </w:pPr>
            <w:r>
              <w:rPr>
                <w:sz w:val="22"/>
              </w:rPr>
              <w:t>La comunidad/Vecinos/Ciudadanos</w:t>
            </w:r>
          </w:p>
        </w:tc>
        <w:tc>
          <w:tcPr>
            <w:tcW w:w="4491" w:type="dxa"/>
          </w:tcPr>
          <w:p>
            <w:pPr>
              <w:pStyle w:val="TableParagraph"/>
              <w:spacing w:line="251" w:lineRule="exact"/>
              <w:ind w:left="2117" w:right="1245"/>
              <w:rPr>
                <w:sz w:val="22"/>
              </w:rPr>
            </w:pPr>
            <w:r>
              <w:rPr>
                <w:sz w:val="22"/>
              </w:rPr>
              <w:t>15</w:t>
            </w:r>
          </w:p>
        </w:tc>
      </w:tr>
      <w:tr>
        <w:trPr>
          <w:trHeight w:val="516" w:hRule="exact"/>
        </w:trPr>
        <w:tc>
          <w:tcPr>
            <w:tcW w:w="4489" w:type="dxa"/>
          </w:tcPr>
          <w:p>
            <w:pPr>
              <w:pStyle w:val="TableParagraph"/>
              <w:spacing w:line="242" w:lineRule="auto"/>
              <w:rPr>
                <w:sz w:val="22"/>
              </w:rPr>
            </w:pPr>
            <w:r>
              <w:rPr>
                <w:sz w:val="22"/>
              </w:rPr>
              <w:t>El gobierno del Estado de México y la sociedad</w:t>
            </w:r>
          </w:p>
        </w:tc>
        <w:tc>
          <w:tcPr>
            <w:tcW w:w="4491" w:type="dxa"/>
          </w:tcPr>
          <w:p>
            <w:pPr>
              <w:pStyle w:val="TableParagraph"/>
              <w:spacing w:line="251" w:lineRule="exact"/>
              <w:ind w:left="2177"/>
              <w:rPr>
                <w:sz w:val="22"/>
              </w:rPr>
            </w:pPr>
            <w:r>
              <w:rPr>
                <w:w w:val="100"/>
                <w:sz w:val="22"/>
              </w:rPr>
              <w:t>3</w:t>
            </w:r>
          </w:p>
        </w:tc>
      </w:tr>
      <w:tr>
        <w:trPr>
          <w:trHeight w:val="310" w:hRule="exact"/>
        </w:trPr>
        <w:tc>
          <w:tcPr>
            <w:tcW w:w="4489" w:type="dxa"/>
          </w:tcPr>
          <w:p>
            <w:pPr>
              <w:pStyle w:val="TableParagraph"/>
              <w:spacing w:line="251" w:lineRule="exact"/>
              <w:rPr>
                <w:sz w:val="22"/>
              </w:rPr>
            </w:pPr>
            <w:r>
              <w:rPr>
                <w:sz w:val="22"/>
              </w:rPr>
              <w:t>Representantes municipales y federales</w:t>
            </w:r>
          </w:p>
        </w:tc>
        <w:tc>
          <w:tcPr>
            <w:tcW w:w="4491" w:type="dxa"/>
          </w:tcPr>
          <w:p>
            <w:pPr>
              <w:pStyle w:val="TableParagraph"/>
              <w:spacing w:line="251" w:lineRule="exact"/>
              <w:ind w:left="2177"/>
              <w:rPr>
                <w:sz w:val="22"/>
              </w:rPr>
            </w:pPr>
            <w:r>
              <w:rPr>
                <w:w w:val="100"/>
                <w:sz w:val="22"/>
              </w:rPr>
              <w:t>3</w:t>
            </w:r>
          </w:p>
        </w:tc>
      </w:tr>
      <w:tr>
        <w:trPr>
          <w:trHeight w:val="310" w:hRule="exact"/>
        </w:trPr>
        <w:tc>
          <w:tcPr>
            <w:tcW w:w="4489" w:type="dxa"/>
          </w:tcPr>
          <w:p>
            <w:pPr>
              <w:pStyle w:val="TableParagraph"/>
              <w:spacing w:line="251" w:lineRule="exact"/>
              <w:ind w:right="724"/>
              <w:rPr>
                <w:sz w:val="22"/>
              </w:rPr>
            </w:pPr>
            <w:r>
              <w:rPr>
                <w:sz w:val="22"/>
              </w:rPr>
              <w:t>El gobierno y los pobladores</w:t>
            </w:r>
          </w:p>
        </w:tc>
        <w:tc>
          <w:tcPr>
            <w:tcW w:w="4491" w:type="dxa"/>
          </w:tcPr>
          <w:p>
            <w:pPr>
              <w:pStyle w:val="TableParagraph"/>
              <w:spacing w:line="251" w:lineRule="exact"/>
              <w:ind w:left="2177"/>
              <w:rPr>
                <w:sz w:val="22"/>
              </w:rPr>
            </w:pPr>
            <w:r>
              <w:rPr>
                <w:w w:val="100"/>
                <w:sz w:val="22"/>
              </w:rPr>
              <w:t>1</w:t>
            </w:r>
          </w:p>
        </w:tc>
      </w:tr>
      <w:tr>
        <w:trPr>
          <w:trHeight w:val="310" w:hRule="exact"/>
        </w:trPr>
        <w:tc>
          <w:tcPr>
            <w:tcW w:w="4489" w:type="dxa"/>
          </w:tcPr>
          <w:p>
            <w:pPr>
              <w:pStyle w:val="TableParagraph"/>
              <w:spacing w:line="251" w:lineRule="exact"/>
              <w:ind w:right="724"/>
              <w:rPr>
                <w:sz w:val="22"/>
              </w:rPr>
            </w:pPr>
            <w:r>
              <w:rPr>
                <w:sz w:val="22"/>
              </w:rPr>
              <w:t>El gobierno y la población</w:t>
            </w:r>
          </w:p>
        </w:tc>
        <w:tc>
          <w:tcPr>
            <w:tcW w:w="4491" w:type="dxa"/>
          </w:tcPr>
          <w:p>
            <w:pPr>
              <w:pStyle w:val="TableParagraph"/>
              <w:spacing w:line="251" w:lineRule="exact"/>
              <w:ind w:left="2177"/>
              <w:rPr>
                <w:sz w:val="22"/>
              </w:rPr>
            </w:pPr>
            <w:r>
              <w:rPr>
                <w:w w:val="100"/>
                <w:sz w:val="22"/>
              </w:rPr>
              <w:t>3</w:t>
            </w:r>
          </w:p>
        </w:tc>
      </w:tr>
      <w:tr>
        <w:trPr>
          <w:trHeight w:val="516" w:hRule="exact"/>
        </w:trPr>
        <w:tc>
          <w:tcPr>
            <w:tcW w:w="4489" w:type="dxa"/>
          </w:tcPr>
          <w:p>
            <w:pPr>
              <w:pStyle w:val="TableParagraph"/>
              <w:ind w:right="711"/>
              <w:rPr>
                <w:sz w:val="22"/>
              </w:rPr>
            </w:pPr>
            <w:r>
              <w:rPr>
                <w:sz w:val="22"/>
              </w:rPr>
              <w:t>Las Cámaras de Diputados Federal y Estatal</w:t>
            </w:r>
          </w:p>
        </w:tc>
        <w:tc>
          <w:tcPr>
            <w:tcW w:w="4491" w:type="dxa"/>
          </w:tcPr>
          <w:p>
            <w:pPr>
              <w:pStyle w:val="TableParagraph"/>
              <w:ind w:left="2177"/>
              <w:rPr>
                <w:sz w:val="22"/>
              </w:rPr>
            </w:pPr>
            <w:r>
              <w:rPr>
                <w:w w:val="100"/>
                <w:sz w:val="22"/>
              </w:rPr>
              <w:t>1</w:t>
            </w:r>
          </w:p>
        </w:tc>
      </w:tr>
      <w:tr>
        <w:trPr>
          <w:trHeight w:val="312" w:hRule="exact"/>
        </w:trPr>
        <w:tc>
          <w:tcPr>
            <w:tcW w:w="4489" w:type="dxa"/>
          </w:tcPr>
          <w:p>
            <w:pPr>
              <w:pStyle w:val="TableParagraph"/>
              <w:ind w:right="724"/>
              <w:rPr>
                <w:sz w:val="22"/>
              </w:rPr>
            </w:pPr>
            <w:r>
              <w:rPr>
                <w:sz w:val="22"/>
              </w:rPr>
              <w:t>Las autoridades</w:t>
            </w:r>
          </w:p>
        </w:tc>
        <w:tc>
          <w:tcPr>
            <w:tcW w:w="4491" w:type="dxa"/>
          </w:tcPr>
          <w:p>
            <w:pPr>
              <w:pStyle w:val="TableParagraph"/>
              <w:ind w:left="2177"/>
              <w:rPr>
                <w:sz w:val="22"/>
              </w:rPr>
            </w:pPr>
            <w:r>
              <w:rPr>
                <w:w w:val="100"/>
                <w:sz w:val="22"/>
              </w:rPr>
              <w:t>3</w:t>
            </w:r>
          </w:p>
        </w:tc>
      </w:tr>
      <w:tr>
        <w:trPr>
          <w:trHeight w:val="310" w:hRule="exact"/>
        </w:trPr>
        <w:tc>
          <w:tcPr>
            <w:tcW w:w="4489" w:type="dxa"/>
          </w:tcPr>
          <w:p>
            <w:pPr>
              <w:pStyle w:val="TableParagraph"/>
              <w:spacing w:line="251" w:lineRule="exact"/>
              <w:rPr>
                <w:sz w:val="22"/>
              </w:rPr>
            </w:pPr>
            <w:r>
              <w:rPr>
                <w:sz w:val="22"/>
              </w:rPr>
              <w:t>Los tres niveles de gobierno y la sociedad</w:t>
            </w:r>
          </w:p>
        </w:tc>
        <w:tc>
          <w:tcPr>
            <w:tcW w:w="4491" w:type="dxa"/>
          </w:tcPr>
          <w:p>
            <w:pPr>
              <w:pStyle w:val="TableParagraph"/>
              <w:spacing w:line="251" w:lineRule="exact"/>
              <w:ind w:left="2177"/>
              <w:rPr>
                <w:sz w:val="22"/>
              </w:rPr>
            </w:pPr>
            <w:r>
              <w:rPr>
                <w:w w:val="100"/>
                <w:sz w:val="22"/>
              </w:rPr>
              <w:t>3</w:t>
            </w:r>
          </w:p>
        </w:tc>
      </w:tr>
      <w:tr>
        <w:trPr>
          <w:trHeight w:val="310" w:hRule="exact"/>
        </w:trPr>
        <w:tc>
          <w:tcPr>
            <w:tcW w:w="4489" w:type="dxa"/>
          </w:tcPr>
          <w:p>
            <w:pPr>
              <w:pStyle w:val="TableParagraph"/>
              <w:spacing w:line="251" w:lineRule="exact"/>
              <w:ind w:right="724"/>
              <w:rPr>
                <w:sz w:val="22"/>
              </w:rPr>
            </w:pPr>
            <w:r>
              <w:rPr>
                <w:sz w:val="22"/>
              </w:rPr>
              <w:t>No sé</w:t>
            </w:r>
          </w:p>
        </w:tc>
        <w:tc>
          <w:tcPr>
            <w:tcW w:w="4491" w:type="dxa"/>
          </w:tcPr>
          <w:p>
            <w:pPr>
              <w:pStyle w:val="TableParagraph"/>
              <w:spacing w:line="251" w:lineRule="exact"/>
              <w:ind w:left="2177"/>
              <w:rPr>
                <w:sz w:val="22"/>
              </w:rPr>
            </w:pPr>
            <w:r>
              <w:rPr>
                <w:w w:val="100"/>
                <w:sz w:val="22"/>
              </w:rPr>
              <w:t>1</w:t>
            </w:r>
          </w:p>
        </w:tc>
      </w:tr>
      <w:tr>
        <w:trPr>
          <w:trHeight w:val="310" w:hRule="exact"/>
        </w:trPr>
        <w:tc>
          <w:tcPr>
            <w:tcW w:w="4489" w:type="dxa"/>
          </w:tcPr>
          <w:p>
            <w:pPr>
              <w:pStyle w:val="TableParagraph"/>
              <w:spacing w:line="251" w:lineRule="exact"/>
              <w:ind w:right="724"/>
              <w:rPr>
                <w:sz w:val="22"/>
              </w:rPr>
            </w:pPr>
            <w:r>
              <w:rPr>
                <w:sz w:val="22"/>
              </w:rPr>
              <w:t>Esperar a que llueva</w:t>
            </w:r>
          </w:p>
        </w:tc>
        <w:tc>
          <w:tcPr>
            <w:tcW w:w="4491" w:type="dxa"/>
          </w:tcPr>
          <w:p>
            <w:pPr>
              <w:pStyle w:val="TableParagraph"/>
              <w:spacing w:line="251" w:lineRule="exact"/>
              <w:ind w:left="2177"/>
              <w:rPr>
                <w:sz w:val="22"/>
              </w:rPr>
            </w:pPr>
            <w:r>
              <w:rPr>
                <w:w w:val="100"/>
                <w:sz w:val="22"/>
              </w:rPr>
              <w:t>1</w:t>
            </w:r>
          </w:p>
        </w:tc>
      </w:tr>
      <w:tr>
        <w:trPr>
          <w:trHeight w:val="310" w:hRule="exact"/>
        </w:trPr>
        <w:tc>
          <w:tcPr>
            <w:tcW w:w="4489" w:type="dxa"/>
          </w:tcPr>
          <w:p>
            <w:pPr>
              <w:pStyle w:val="TableParagraph"/>
              <w:spacing w:line="248" w:lineRule="exact"/>
              <w:ind w:right="724"/>
              <w:rPr>
                <w:b/>
                <w:sz w:val="22"/>
              </w:rPr>
            </w:pPr>
            <w:r>
              <w:rPr>
                <w:b/>
                <w:sz w:val="22"/>
              </w:rPr>
              <w:t>Total</w:t>
            </w:r>
          </w:p>
        </w:tc>
        <w:tc>
          <w:tcPr>
            <w:tcW w:w="4491" w:type="dxa"/>
          </w:tcPr>
          <w:p>
            <w:pPr>
              <w:pStyle w:val="TableParagraph"/>
              <w:spacing w:line="248" w:lineRule="exact"/>
              <w:ind w:left="2117" w:right="1245"/>
              <w:rPr>
                <w:b/>
                <w:sz w:val="22"/>
              </w:rPr>
            </w:pPr>
            <w:r>
              <w:rPr>
                <w:b/>
                <w:sz w:val="22"/>
              </w:rPr>
              <w:t>47</w:t>
            </w:r>
          </w:p>
        </w:tc>
      </w:tr>
    </w:tbl>
    <w:p>
      <w:pPr>
        <w:pStyle w:val="BodyText"/>
        <w:spacing w:line="364" w:lineRule="auto"/>
        <w:ind w:left="222" w:right="162"/>
      </w:pPr>
      <w:r>
        <w:rPr>
          <w:b/>
        </w:rPr>
        <w:t>Fuente: </w:t>
      </w:r>
      <w:r>
        <w:rPr/>
        <w:t>Elaboración propia con base en los datos obtenidos en Trabajo de Campo García (2013-2015).</w:t>
      </w:r>
    </w:p>
    <w:p>
      <w:pPr>
        <w:spacing w:after="0" w:line="364" w:lineRule="auto"/>
        <w:sectPr>
          <w:pgSz w:w="12240" w:h="15840"/>
          <w:pgMar w:header="0" w:footer="1003" w:top="1360" w:bottom="1200" w:left="1480" w:right="1540"/>
        </w:sectPr>
      </w:pPr>
    </w:p>
    <w:p>
      <w:pPr>
        <w:pStyle w:val="BodyText"/>
        <w:rPr>
          <w:sz w:val="20"/>
        </w:rPr>
      </w:pPr>
    </w:p>
    <w:p>
      <w:pPr>
        <w:pStyle w:val="BodyText"/>
        <w:spacing w:before="5"/>
        <w:rPr>
          <w:sz w:val="16"/>
        </w:rPr>
      </w:pPr>
    </w:p>
    <w:p>
      <w:pPr>
        <w:pStyle w:val="Heading6"/>
        <w:spacing w:line="360" w:lineRule="auto" w:before="73"/>
        <w:ind w:left="2522" w:hanging="2195"/>
      </w:pPr>
      <w:r>
        <w:rPr/>
        <w:t>Gráfica 6.6. ¿Quiénes deben solucionar los problemas de la Cuenca Hidrosocial Presa Huapango (Actores Históricos)?</w:t>
      </w:r>
    </w:p>
    <w:p>
      <w:pPr>
        <w:pStyle w:val="BodyText"/>
        <w:rPr>
          <w:b/>
          <w:sz w:val="14"/>
        </w:rPr>
      </w:pPr>
      <w:r>
        <w:rPr/>
        <w:pict>
          <v:group style="position:absolute;margin-left:84.675003pt;margin-top:10.01939pt;width:442.4pt;height:368.35pt;mso-position-horizontal-relative:page;mso-position-vertical-relative:paragraph;z-index:11248;mso-wrap-distance-left:0;mso-wrap-distance-right:0" coordorigin="1694,200" coordsize="8848,7367">
            <v:line style="position:absolute" from="7524,4083" to="8384,4083" stroked="true" strokeweight=".75pt" strokecolor="#858585"/>
            <v:line style="position:absolute" from="7150,4083" to="7373,4083" stroked="true" strokeweight=".75pt" strokecolor="#858585"/>
            <v:line style="position:absolute" from="6401,4083" to="6998,4083" stroked="true" strokeweight=".75pt" strokecolor="#858585"/>
            <v:line style="position:absolute" from="5652,4083" to="6250,4083" stroked="true" strokeweight=".75pt" strokecolor="#858585"/>
            <v:line style="position:absolute" from="5278,4083" to="5501,4083" stroked="true" strokeweight=".75pt" strokecolor="#858585"/>
            <v:line style="position:absolute" from="4903,4083" to="5126,4083" stroked="true" strokeweight=".75pt" strokecolor="#858585"/>
            <v:line style="position:absolute" from="4529,4083" to="4752,4083" stroked="true" strokeweight=".75pt" strokecolor="#858585"/>
            <v:line style="position:absolute" from="3780,4083" to="4378,4083" stroked="true" strokeweight=".75pt" strokecolor="#858585"/>
            <v:line style="position:absolute" from="3144,4083" to="3631,4083" stroked="true" strokeweight=".75pt" strokecolor="#858585"/>
            <v:rect style="position:absolute;left:3631;top:3898;width:149;height:556" filled="true" fillcolor="#4f6128" stroked="false">
              <v:fill type="solid"/>
            </v:rect>
            <v:rect style="position:absolute;left:4006;top:4268;width:149;height:186" filled="true" fillcolor="#4f6128" stroked="false">
              <v:fill type="solid"/>
            </v:rect>
            <v:line style="position:absolute" from="4529,3713" to="4752,3713" stroked="true" strokeweight=".75pt" strokecolor="#858585"/>
            <v:line style="position:absolute" from="3144,3713" to="4378,3713" stroked="true" strokeweight=".75pt" strokecolor="#858585"/>
            <v:line style="position:absolute" from="4529,3341" to="4752,3341" stroked="true" strokeweight=".75pt" strokecolor="#858585"/>
            <v:line style="position:absolute" from="3144,3341" to="4378,3341" stroked="true" strokeweight=".75pt" strokecolor="#858585"/>
            <v:line style="position:absolute" from="3144,2972" to="4752,2972" stroked="true" strokeweight=".75pt" strokecolor="#858585"/>
            <v:rect style="position:absolute;left:4378;top:2972;width:151;height:1482" filled="true" fillcolor="#4f6128" stroked="false">
              <v:fill type="solid"/>
            </v:rect>
            <v:line style="position:absolute" from="4903,3713" to="8384,3713" stroked="true" strokeweight=".75pt" strokecolor="#858585"/>
            <v:line style="position:absolute" from="4903,3341" to="8384,3341" stroked="true" strokeweight=".75pt" strokecolor="#858585"/>
            <v:line style="position:absolute" from="4903,2972" to="8384,2972" stroked="true" strokeweight=".75pt" strokecolor="#858585"/>
            <v:line style="position:absolute" from="4903,2600" to="8384,2600" stroked="true" strokeweight=".75pt" strokecolor="#858585"/>
            <v:line style="position:absolute" from="3144,2600" to="4752,2600" stroked="true" strokeweight=".75pt" strokecolor="#858585"/>
            <v:line style="position:absolute" from="4903,2230" to="8384,2230" stroked="true" strokeweight=".75pt" strokecolor="#858585"/>
            <v:line style="position:absolute" from="3144,2230" to="4752,2230" stroked="true" strokeweight=".75pt" strokecolor="#858585"/>
            <v:line style="position:absolute" from="4903,1860" to="8384,1860" stroked="true" strokeweight=".75pt" strokecolor="#858585"/>
            <v:line style="position:absolute" from="3144,1860" to="4752,1860" stroked="true" strokeweight=".75pt" strokecolor="#858585"/>
            <v:rect style="position:absolute;left:4752;top:1673;width:151;height:2781" filled="true" fillcolor="#4f6128" stroked="false">
              <v:fill type="solid"/>
            </v:rect>
            <v:rect style="position:absolute;left:5126;top:3898;width:151;height:556" filled="true" fillcolor="#4f6128" stroked="false">
              <v:fill type="solid"/>
            </v:rect>
            <v:rect style="position:absolute;left:5501;top:3898;width:151;height:556" filled="true" fillcolor="#4f6128" stroked="false">
              <v:fill type="solid"/>
            </v:rect>
            <v:rect style="position:absolute;left:5875;top:4268;width:151;height:186" filled="true" fillcolor="#4f6128" stroked="false">
              <v:fill type="solid"/>
            </v:rect>
            <v:rect style="position:absolute;left:6250;top:3898;width:151;height:556" filled="true" fillcolor="#4f6128" stroked="false">
              <v:fill type="solid"/>
            </v:rect>
            <v:rect style="position:absolute;left:6624;top:4268;width:151;height:186" filled="true" fillcolor="#4f6128" stroked="false">
              <v:fill type="solid"/>
            </v:rect>
            <v:rect style="position:absolute;left:6998;top:3898;width:151;height:556" filled="true" fillcolor="#4f6128" stroked="false">
              <v:fill type="solid"/>
            </v:rect>
            <v:rect style="position:absolute;left:7373;top:3898;width:151;height:556" filled="true" fillcolor="#4f6128" stroked="false">
              <v:fill type="solid"/>
            </v:rect>
            <v:rect style="position:absolute;left:7747;top:4268;width:151;height:186" filled="true" fillcolor="#4f6128" stroked="false">
              <v:fill type="solid"/>
            </v:rect>
            <v:rect style="position:absolute;left:8122;top:4268;width:149;height:186" filled="true" fillcolor="#4f6128" stroked="false">
              <v:fill type="solid"/>
            </v:rect>
            <v:line style="position:absolute" from="3144,1489" to="8384,1489" stroked="true" strokeweight=".75pt" strokecolor="#858585"/>
            <v:line style="position:absolute" from="3144,4454" to="3144,1489" stroked="true" strokeweight=".75pt" strokecolor="#858585"/>
            <v:line style="position:absolute" from="3080,4454" to="3144,4454" stroked="true" strokeweight=".75pt" strokecolor="#858585"/>
            <v:line style="position:absolute" from="3080,4083" to="3144,4083" stroked="true" strokeweight=".75pt" strokecolor="#858585"/>
            <v:line style="position:absolute" from="3080,3713" to="3144,3713" stroked="true" strokeweight=".75pt" strokecolor="#858585"/>
            <v:line style="position:absolute" from="3080,3341" to="3144,3341" stroked="true" strokeweight=".75pt" strokecolor="#858585"/>
            <v:line style="position:absolute" from="3080,2972" to="3144,2972" stroked="true" strokeweight=".75pt" strokecolor="#858585"/>
            <v:line style="position:absolute" from="3080,2600" to="3144,2600" stroked="true" strokeweight=".75pt" strokecolor="#858585"/>
            <v:line style="position:absolute" from="3080,2230" to="3144,2230" stroked="true" strokeweight=".75pt" strokecolor="#858585"/>
            <v:line style="position:absolute" from="3080,1860" to="3144,1860" stroked="true" strokeweight=".75pt" strokecolor="#858585"/>
            <v:line style="position:absolute" from="3080,1489" to="3144,1489" stroked="true" strokeweight=".75pt" strokecolor="#858585"/>
            <v:rect style="position:absolute;left:3257;top:4268;width:149;height:186" filled="true" fillcolor="#4f6128" stroked="false">
              <v:fill type="solid"/>
            </v:rect>
            <v:line style="position:absolute" from="3144,4454" to="8384,4454" stroked="true" strokeweight=".75pt" strokecolor="#858585"/>
            <v:line style="position:absolute" from="3144,4454" to="3144,4517" stroked="true" strokeweight=".75pt" strokecolor="#858585"/>
            <v:line style="position:absolute" from="3518,4454" to="3518,4517" stroked="true" strokeweight=".75pt" strokecolor="#858585"/>
            <v:line style="position:absolute" from="3893,4454" to="3893,4517" stroked="true" strokeweight=".75pt" strokecolor="#858585"/>
            <v:line style="position:absolute" from="4267,4454" to="4267,4517" stroked="true" strokeweight=".75pt" strokecolor="#858585"/>
            <v:line style="position:absolute" from="4642,4454" to="4642,4517" stroked="true" strokeweight=".75pt" strokecolor="#858585"/>
            <v:line style="position:absolute" from="5016,4454" to="5016,4517" stroked="true" strokeweight=".75pt" strokecolor="#858585"/>
            <v:line style="position:absolute" from="5390,4454" to="5390,4517" stroked="true" strokeweight=".75pt" strokecolor="#858585"/>
            <v:line style="position:absolute" from="5765,4454" to="5765,4517" stroked="true" strokeweight=".75pt" strokecolor="#858585"/>
            <v:line style="position:absolute" from="6137,4454" to="6137,4517" stroked="true" strokeweight=".75pt" strokecolor="#858585"/>
            <v:line style="position:absolute" from="6511,4454" to="6511,4517" stroked="true" strokeweight=".75pt" strokecolor="#858585"/>
            <v:line style="position:absolute" from="6886,4454" to="6886,4517" stroked="true" strokeweight=".75pt" strokecolor="#858585"/>
            <v:line style="position:absolute" from="7260,4454" to="7260,4517" stroked="true" strokeweight=".75pt" strokecolor="#858585"/>
            <v:line style="position:absolute" from="7634,4454" to="7634,4517" stroked="true" strokeweight=".75pt" strokecolor="#858585"/>
            <v:line style="position:absolute" from="8009,4454" to="8009,4517" stroked="true" strokeweight=".75pt" strokecolor="#858585"/>
            <v:line style="position:absolute" from="8384,4454" to="8384,4517" stroked="true" strokeweight=".75pt" strokecolor="#858585"/>
            <v:shape style="position:absolute;left:1842;top:4632;width:5642;height:2746" type="#_x0000_t75" stroked="false">
              <v:imagedata r:id="rId203" o:title=""/>
            </v:shape>
            <v:shape style="position:absolute;left:7440;top:4669;width:383;height:388" type="#_x0000_t75" stroked="false">
              <v:imagedata r:id="rId204" o:title=""/>
            </v:shape>
            <v:shape style="position:absolute;left:7010;top:4671;width:1222;height:1189" type="#_x0000_t75" stroked="false">
              <v:imagedata r:id="rId205" o:title=""/>
            </v:shape>
            <v:rect style="position:absolute;left:9274;top:4485;width:110;height:110" filled="true" fillcolor="#4f6128" stroked="false">
              <v:fill type="solid"/>
            </v:rect>
            <v:rect style="position:absolute;left:1701;top:208;width:8833;height:7352" filled="false" stroked="true" strokeweight=".75pt" strokecolor="#000000"/>
            <v:shape style="position:absolute;left:2686;top:432;width:6856;height:3759" type="#_x0000_t202" filled="false" stroked="false">
              <v:textbox inset="0,0,0,0">
                <w:txbxContent>
                  <w:p>
                    <w:pPr>
                      <w:spacing w:line="367" w:lineRule="exact" w:before="0"/>
                      <w:ind w:left="1553" w:right="0" w:hanging="1554"/>
                      <w:jc w:val="left"/>
                      <w:rPr>
                        <w:rFonts w:ascii="Calibri"/>
                        <w:b/>
                        <w:sz w:val="36"/>
                      </w:rPr>
                    </w:pPr>
                    <w:r>
                      <w:rPr>
                        <w:rFonts w:ascii="Calibri"/>
                        <w:b/>
                        <w:sz w:val="36"/>
                      </w:rPr>
                      <w:t>Quienes deben solucionar los problemas de</w:t>
                    </w:r>
                    <w:r>
                      <w:rPr>
                        <w:rFonts w:ascii="Calibri"/>
                        <w:b/>
                        <w:spacing w:val="-31"/>
                        <w:sz w:val="36"/>
                      </w:rPr>
                      <w:t> </w:t>
                    </w:r>
                    <w:r>
                      <w:rPr>
                        <w:rFonts w:ascii="Calibri"/>
                        <w:b/>
                        <w:sz w:val="36"/>
                      </w:rPr>
                      <w:t>la</w:t>
                    </w:r>
                  </w:p>
                  <w:p>
                    <w:pPr>
                      <w:spacing w:before="0"/>
                      <w:ind w:left="7" w:right="0" w:firstLine="0"/>
                      <w:jc w:val="center"/>
                      <w:rPr>
                        <w:rFonts w:ascii="Calibri" w:hAnsi="Calibri"/>
                        <w:b/>
                        <w:sz w:val="36"/>
                      </w:rPr>
                    </w:pPr>
                    <w:r>
                      <w:rPr>
                        <w:rFonts w:ascii="Calibri" w:hAnsi="Calibri"/>
                        <w:b/>
                        <w:sz w:val="36"/>
                      </w:rPr>
                      <w:t>CHPH (actores históricos)</w:t>
                    </w:r>
                  </w:p>
                  <w:p>
                    <w:pPr>
                      <w:spacing w:before="118"/>
                      <w:ind w:left="50" w:right="6562" w:firstLine="0"/>
                      <w:jc w:val="center"/>
                      <w:rPr>
                        <w:rFonts w:ascii="Calibri"/>
                        <w:sz w:val="20"/>
                      </w:rPr>
                    </w:pPr>
                    <w:r>
                      <w:rPr>
                        <w:rFonts w:ascii="Calibri"/>
                        <w:sz w:val="20"/>
                      </w:rPr>
                      <w:t>16</w:t>
                    </w:r>
                  </w:p>
                  <w:p>
                    <w:pPr>
                      <w:spacing w:before="126"/>
                      <w:ind w:left="50" w:right="6562" w:firstLine="0"/>
                      <w:jc w:val="center"/>
                      <w:rPr>
                        <w:rFonts w:ascii="Calibri"/>
                        <w:sz w:val="20"/>
                      </w:rPr>
                    </w:pPr>
                    <w:r>
                      <w:rPr>
                        <w:rFonts w:ascii="Calibri"/>
                        <w:sz w:val="20"/>
                      </w:rPr>
                      <w:t>14</w:t>
                    </w:r>
                  </w:p>
                  <w:p>
                    <w:pPr>
                      <w:spacing w:before="127"/>
                      <w:ind w:left="50" w:right="6562" w:firstLine="0"/>
                      <w:jc w:val="center"/>
                      <w:rPr>
                        <w:rFonts w:ascii="Calibri"/>
                        <w:sz w:val="20"/>
                      </w:rPr>
                    </w:pPr>
                    <w:r>
                      <w:rPr>
                        <w:rFonts w:ascii="Calibri"/>
                        <w:sz w:val="20"/>
                      </w:rPr>
                      <w:t>12</w:t>
                    </w:r>
                  </w:p>
                  <w:p>
                    <w:pPr>
                      <w:spacing w:before="126"/>
                      <w:ind w:left="50" w:right="6562" w:firstLine="0"/>
                      <w:jc w:val="center"/>
                      <w:rPr>
                        <w:rFonts w:ascii="Calibri"/>
                        <w:sz w:val="20"/>
                      </w:rPr>
                    </w:pPr>
                    <w:r>
                      <w:rPr>
                        <w:rFonts w:ascii="Calibri"/>
                        <w:sz w:val="20"/>
                      </w:rPr>
                      <w:t>10</w:t>
                    </w:r>
                  </w:p>
                  <w:p>
                    <w:pPr>
                      <w:spacing w:before="126"/>
                      <w:ind w:left="0" w:right="6409" w:firstLine="0"/>
                      <w:jc w:val="center"/>
                      <w:rPr>
                        <w:rFonts w:ascii="Calibri"/>
                        <w:sz w:val="20"/>
                      </w:rPr>
                    </w:pPr>
                    <w:r>
                      <w:rPr>
                        <w:rFonts w:ascii="Calibri"/>
                        <w:w w:val="99"/>
                        <w:sz w:val="20"/>
                      </w:rPr>
                      <w:t>8</w:t>
                    </w:r>
                  </w:p>
                  <w:p>
                    <w:pPr>
                      <w:spacing w:before="126"/>
                      <w:ind w:left="0" w:right="6409" w:firstLine="0"/>
                      <w:jc w:val="center"/>
                      <w:rPr>
                        <w:rFonts w:ascii="Calibri"/>
                        <w:sz w:val="20"/>
                      </w:rPr>
                    </w:pPr>
                    <w:r>
                      <w:rPr>
                        <w:rFonts w:ascii="Calibri"/>
                        <w:w w:val="99"/>
                        <w:sz w:val="20"/>
                      </w:rPr>
                      <w:t>6</w:t>
                    </w:r>
                  </w:p>
                  <w:p>
                    <w:pPr>
                      <w:spacing w:before="126"/>
                      <w:ind w:left="0" w:right="6409" w:firstLine="0"/>
                      <w:jc w:val="center"/>
                      <w:rPr>
                        <w:rFonts w:ascii="Calibri"/>
                        <w:sz w:val="20"/>
                      </w:rPr>
                    </w:pPr>
                    <w:r>
                      <w:rPr>
                        <w:rFonts w:ascii="Calibri"/>
                        <w:w w:val="99"/>
                        <w:sz w:val="20"/>
                      </w:rPr>
                      <w:t>4</w:t>
                    </w:r>
                  </w:p>
                  <w:p>
                    <w:pPr>
                      <w:spacing w:line="240" w:lineRule="exact" w:before="127"/>
                      <w:ind w:left="0" w:right="6409" w:firstLine="0"/>
                      <w:jc w:val="center"/>
                      <w:rPr>
                        <w:rFonts w:ascii="Calibri"/>
                        <w:sz w:val="20"/>
                      </w:rPr>
                    </w:pPr>
                    <w:r>
                      <w:rPr>
                        <w:rFonts w:ascii="Calibri"/>
                        <w:w w:val="99"/>
                        <w:sz w:val="20"/>
                      </w:rPr>
                      <w:t>2</w:t>
                    </w:r>
                  </w:p>
                </w:txbxContent>
              </v:textbox>
              <w10:wrap type="none"/>
            </v:shape>
            <v:shape style="position:absolute;left:2857;top:436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9433;top:4448;width:805;height:443" type="#_x0000_t202" filled="false" stroked="false">
              <v:textbox inset="0,0,0,0">
                <w:txbxContent>
                  <w:p>
                    <w:pPr>
                      <w:spacing w:line="203" w:lineRule="exact" w:before="0"/>
                      <w:ind w:left="0" w:right="0" w:firstLine="0"/>
                      <w:jc w:val="left"/>
                      <w:rPr>
                        <w:rFonts w:ascii="Calibri"/>
                        <w:sz w:val="20"/>
                      </w:rPr>
                    </w:pPr>
                    <w:r>
                      <w:rPr>
                        <w:rFonts w:ascii="Calibri"/>
                        <w:sz w:val="20"/>
                      </w:rPr>
                      <w:t>Actores</w:t>
                    </w:r>
                  </w:p>
                  <w:p>
                    <w:pPr>
                      <w:spacing w:line="240" w:lineRule="exact" w:before="0"/>
                      <w:ind w:left="0" w:right="0" w:firstLine="0"/>
                      <w:jc w:val="left"/>
                      <w:rPr>
                        <w:rFonts w:ascii="Calibri" w:hAnsi="Calibri"/>
                        <w:sz w:val="20"/>
                      </w:rPr>
                    </w:pPr>
                    <w:r>
                      <w:rPr>
                        <w:rFonts w:ascii="Calibri" w:hAnsi="Calibri"/>
                        <w:w w:val="95"/>
                        <w:sz w:val="20"/>
                      </w:rPr>
                      <w:t>Históricos</w:t>
                    </w:r>
                  </w:p>
                </w:txbxContent>
              </v:textbox>
              <w10:wrap type="none"/>
            </v:shape>
            <w10:wrap type="topAndBottom"/>
          </v:group>
        </w:pict>
      </w:r>
    </w:p>
    <w:p>
      <w:pPr>
        <w:pStyle w:val="BodyText"/>
        <w:spacing w:line="364" w:lineRule="auto"/>
        <w:ind w:left="122" w:right="122"/>
        <w:jc w:val="both"/>
      </w:pPr>
      <w:r>
        <w:rPr>
          <w:b/>
        </w:rPr>
        <w:t>Fuente: </w:t>
      </w:r>
      <w:r>
        <w:rPr/>
        <w:t>Elaboración propia con base en los datos obtenidos en Trabajo de Campo García (2013-2015).</w:t>
      </w:r>
    </w:p>
    <w:p>
      <w:pPr>
        <w:pStyle w:val="BodyText"/>
        <w:spacing w:line="360" w:lineRule="auto" w:before="197"/>
        <w:ind w:left="122" w:right="113"/>
        <w:jc w:val="both"/>
      </w:pPr>
      <w:r>
        <w:rPr/>
        <w:t>En las anteriores tabla y gráfica, se identifica que los </w:t>
      </w:r>
      <w:r>
        <w:rPr>
          <w:i/>
        </w:rPr>
        <w:t>actores históricos </w:t>
      </w:r>
      <w:r>
        <w:rPr/>
        <w:t>sugieren para resolver los problemas: en primer lugar, que sean los mismos ciudadanos quienes resuelvan sus problemas con sus propios recursos (15 actores); en segundo lugar está la sugerencia de que sean los presidentes municipales de la región, ya que consideran a este nivel de gobierno como el más cercano a la gente (8 actores); mientras </w:t>
      </w:r>
      <w:r>
        <w:rPr>
          <w:spacing w:val="3"/>
        </w:rPr>
        <w:t>que </w:t>
      </w:r>
      <w:r>
        <w:rPr/>
        <w:t>14 de los actores señalan que deben ser los tres órdenes de gobierno en conjunto con la sociedad (cogestión); otros 8 actores señalan que deben ser sólo las dependencias gubernamentales</w:t>
      </w:r>
      <w:r>
        <w:rPr>
          <w:spacing w:val="18"/>
        </w:rPr>
        <w:t> </w:t>
      </w:r>
      <w:r>
        <w:rPr/>
        <w:t>que</w:t>
      </w:r>
      <w:r>
        <w:rPr>
          <w:spacing w:val="18"/>
        </w:rPr>
        <w:t> </w:t>
      </w:r>
      <w:r>
        <w:rPr/>
        <w:t>corresponden</w:t>
      </w:r>
      <w:r>
        <w:rPr>
          <w:spacing w:val="18"/>
        </w:rPr>
        <w:t> </w:t>
      </w:r>
      <w:r>
        <w:rPr/>
        <w:t>a</w:t>
      </w:r>
      <w:r>
        <w:rPr>
          <w:spacing w:val="18"/>
        </w:rPr>
        <w:t> </w:t>
      </w:r>
      <w:r>
        <w:rPr/>
        <w:t>los</w:t>
      </w:r>
      <w:r>
        <w:rPr>
          <w:spacing w:val="18"/>
        </w:rPr>
        <w:t> </w:t>
      </w:r>
      <w:r>
        <w:rPr/>
        <w:t>tres</w:t>
      </w:r>
      <w:r>
        <w:rPr>
          <w:spacing w:val="19"/>
        </w:rPr>
        <w:t> </w:t>
      </w:r>
      <w:r>
        <w:rPr/>
        <w:t>niveles</w:t>
      </w:r>
      <w:r>
        <w:rPr>
          <w:spacing w:val="21"/>
        </w:rPr>
        <w:t> </w:t>
      </w:r>
      <w:r>
        <w:rPr/>
        <w:t>de</w:t>
      </w:r>
      <w:r>
        <w:rPr>
          <w:spacing w:val="18"/>
        </w:rPr>
        <w:t> </w:t>
      </w:r>
      <w:r>
        <w:rPr/>
        <w:t>gobierno;</w:t>
      </w:r>
      <w:r>
        <w:rPr>
          <w:spacing w:val="20"/>
        </w:rPr>
        <w:t> </w:t>
      </w:r>
      <w:r>
        <w:rPr/>
        <w:t>mientras</w:t>
      </w:r>
      <w:r>
        <w:rPr>
          <w:spacing w:val="16"/>
        </w:rPr>
        <w:t> </w:t>
      </w:r>
      <w:r>
        <w:rPr/>
        <w:t>que</w:t>
      </w:r>
      <w:r>
        <w:rPr>
          <w:spacing w:val="18"/>
        </w:rPr>
        <w:t> </w:t>
      </w:r>
      <w:r>
        <w:rPr/>
        <w:t>uno</w:t>
      </w:r>
      <w:r>
        <w:rPr>
          <w:spacing w:val="18"/>
        </w:rPr>
        <w:t> </w:t>
      </w:r>
      <w:r>
        <w:rPr/>
        <w:t>de</w:t>
      </w:r>
    </w:p>
    <w:p>
      <w:pPr>
        <w:spacing w:after="0" w:line="360" w:lineRule="auto"/>
        <w:jc w:val="both"/>
        <w:sectPr>
          <w:pgSz w:w="12240" w:h="15840"/>
          <w:pgMar w:header="0" w:footer="1003" w:top="1500" w:bottom="1200" w:left="1580" w:right="1580"/>
        </w:sectPr>
      </w:pPr>
    </w:p>
    <w:p>
      <w:pPr>
        <w:pStyle w:val="BodyText"/>
        <w:spacing w:before="53"/>
        <w:ind w:left="102"/>
        <w:jc w:val="both"/>
      </w:pPr>
      <w:r>
        <w:rPr/>
        <w:t>los  dos  restantes  señala  que hay que “esperar  a que  llueva”,  y el  otro que  no   </w:t>
      </w:r>
      <w:r>
        <w:rPr>
          <w:spacing w:val="54"/>
        </w:rPr>
        <w:t> </w:t>
      </w:r>
      <w:r>
        <w:rPr/>
        <w:t>sabe</w:t>
      </w:r>
    </w:p>
    <w:p>
      <w:pPr>
        <w:pStyle w:val="BodyText"/>
        <w:spacing w:before="129"/>
        <w:ind w:left="102"/>
        <w:jc w:val="both"/>
      </w:pPr>
      <w:r>
        <w:rPr/>
        <w:t>quiénes debieran resolver la problemática de la presa Huapango.</w:t>
      </w:r>
    </w:p>
    <w:p>
      <w:pPr>
        <w:pStyle w:val="BodyText"/>
        <w:spacing w:before="3"/>
        <w:rPr>
          <w:sz w:val="28"/>
        </w:rPr>
      </w:pPr>
    </w:p>
    <w:p>
      <w:pPr>
        <w:pStyle w:val="BodyText"/>
        <w:spacing w:line="360" w:lineRule="auto"/>
        <w:ind w:left="102" w:right="115"/>
        <w:jc w:val="both"/>
      </w:pPr>
      <w:r>
        <w:rPr/>
        <w:t>El caso de los </w:t>
      </w:r>
      <w:r>
        <w:rPr>
          <w:i/>
        </w:rPr>
        <w:t>actores municipales de aguas arriba (Acambay, Jilotepec y Timilpan)</w:t>
      </w:r>
      <w:r>
        <w:rPr/>
        <w:t>, para la solución de la problemática de la cuenca hidrosocial, se expresa de la siguiente manera según el trabajo de campo y las entrevistas: para las autoridades del municipio de Acambay, “debe ser con la participación de los tres niveles de gobierno con programas de saneamiento y con una educación preventiva hacia los ciudadanos, por lo que se necesita capacitarlos para hacerles ver los riesgos que hay, sino se cuida la laguna, por lo que además la comunidad aledaña a la laguna debiera gestionar plantas tratadoras para después vertir el agua en las milpas de sembradío; y como autoridad tenemos la responsabilidad de hacerlo para cuidar el medio ambiente; por ejemplo pudiera evitarse la contaminación con la construcción de infraestructura para el tratamiento del agua para evitar las descargas a la laguna e involucrar a las autoridades auxiliares, los delegados, comisariados ejidales y la asociación de pesca”.</w:t>
      </w:r>
    </w:p>
    <w:p>
      <w:pPr>
        <w:pStyle w:val="BodyText"/>
        <w:spacing w:before="9"/>
        <w:rPr>
          <w:sz w:val="17"/>
        </w:rPr>
      </w:pPr>
    </w:p>
    <w:p>
      <w:pPr>
        <w:pStyle w:val="BodyText"/>
        <w:spacing w:line="360" w:lineRule="auto"/>
        <w:ind w:left="102" w:right="116"/>
        <w:jc w:val="both"/>
      </w:pPr>
      <w:r>
        <w:rPr/>
        <w:t>Y ¿quienes debieran solucionar los problemas? son: un actor municipal de Acambay señala que son los tres órdenes de gobierno; otro que la Conagua y la CAEM; uno más dice que “nosotros como comunidad aledaña a la laguna y como autoridad municipal”; y dos más señalan que son los tres niveles de gobierno y la sociedad.</w:t>
      </w:r>
    </w:p>
    <w:p>
      <w:pPr>
        <w:pStyle w:val="BodyText"/>
        <w:spacing w:before="7"/>
        <w:rPr>
          <w:sz w:val="17"/>
        </w:rPr>
      </w:pPr>
    </w:p>
    <w:p>
      <w:pPr>
        <w:pStyle w:val="BodyText"/>
        <w:spacing w:line="360" w:lineRule="auto"/>
        <w:ind w:left="102" w:right="113"/>
        <w:jc w:val="both"/>
      </w:pPr>
      <w:r>
        <w:rPr/>
        <w:t>Para los actores municipales de Jilotepec, la soluciones deben ser mediante “una disposición de la Conagua”, por lo que sugieren “hacer un recorrido físico para ver la vocación del agua y tomar medidas severas; con nosotros como Ayuntamiento; mediante convenios porque la constitución en su artículo 115 limita nuestra participación;  con cultura ciudadana para evitar tirar los residuos; atacando todos los focos de infección que están a su alrededor, porque es una región ganadera y agrícola; y que el H. Ayuntamiento intervenga para que hable con las personas y arreglen sus desagües y hablar con los lancheros de la pesca porque también contaminan”. Quienes debieran solucionar los problemas de la cuenca hidrosocial presa Huapango son: la Conagua; el gobierno y los ciudadanos; dos personas señalan que los tres poderes; otro que el H. Ayuntamiento; y uno más sugiere un proyecto global entre los municipios.</w:t>
      </w:r>
    </w:p>
    <w:p>
      <w:pPr>
        <w:pStyle w:val="BodyText"/>
        <w:spacing w:before="7"/>
        <w:rPr>
          <w:sz w:val="17"/>
        </w:rPr>
      </w:pPr>
    </w:p>
    <w:p>
      <w:pPr>
        <w:pStyle w:val="BodyText"/>
        <w:spacing w:line="360" w:lineRule="auto"/>
        <w:ind w:left="102" w:right="120"/>
        <w:jc w:val="both"/>
      </w:pPr>
      <w:r>
        <w:rPr/>
        <w:t>Para el caso de los actores municipales de Timilpan, sugieren que la problemática debe ser atendida de la siguiente forma: “con un proyecto de un vertedor de demasías a la altura de la Autopista Arco Norte para beneficiar al municipio, es decir con la</w:t>
      </w:r>
      <w:r>
        <w:rPr>
          <w:spacing w:val="53"/>
        </w:rPr>
        <w:t> </w:t>
      </w:r>
      <w:r>
        <w:rPr/>
        <w:t>construcción</w:t>
      </w:r>
    </w:p>
    <w:p>
      <w:pPr>
        <w:spacing w:after="0" w:line="360" w:lineRule="auto"/>
        <w:jc w:val="both"/>
        <w:sectPr>
          <w:pgSz w:w="12240" w:h="15840"/>
          <w:pgMar w:header="0" w:footer="1003" w:top="1360" w:bottom="1200" w:left="1600" w:right="1580"/>
        </w:sectPr>
      </w:pPr>
    </w:p>
    <w:p>
      <w:pPr>
        <w:pStyle w:val="BodyText"/>
        <w:spacing w:line="360" w:lineRule="auto" w:before="53"/>
        <w:ind w:left="102" w:right="112"/>
        <w:jc w:val="both"/>
      </w:pPr>
      <w:r>
        <w:rPr/>
        <w:t>de plantas tratadoras; además se necesita regular los asentamientos humanos y sobre todo tener el control de los servicios públicos; y el pueblo debe cooperar mediante la separación de basura para hacer compostas y realizar brigadas para recolectar basura, ya que así se tendría a la comunidad más limpia y el agua también, además se debe concientizar a la población a través de pláticas en las comunidades por lo que se requieren dos cosas: una llevar a cabo un proyecto ecoturístico con la gente del municipio y trabajar en plantas tratadoras para todas las comunidades mediante una planeación o proyecto en coordinación con las instituciones de gobierno como la Semarnat, CNA y con el Distrito de Riego porque como municipio no podemos tocar la laguna porque es de orden</w:t>
      </w:r>
      <w:r>
        <w:rPr>
          <w:spacing w:val="-2"/>
        </w:rPr>
        <w:t> </w:t>
      </w:r>
      <w:r>
        <w:rPr/>
        <w:t>federal”.</w:t>
      </w:r>
    </w:p>
    <w:p>
      <w:pPr>
        <w:pStyle w:val="BodyText"/>
        <w:spacing w:before="9"/>
        <w:rPr>
          <w:sz w:val="17"/>
        </w:rPr>
      </w:pPr>
    </w:p>
    <w:p>
      <w:pPr>
        <w:pStyle w:val="BodyText"/>
        <w:spacing w:line="360" w:lineRule="auto"/>
        <w:ind w:left="102" w:right="116"/>
        <w:jc w:val="both"/>
      </w:pPr>
      <w:r>
        <w:rPr/>
        <w:t>Quienes deben solucionar los problemas de la cuenca hidrosocial, de acuerdo con los actores municipales de Timilpan son: uno sugiere que sea el gobierno federal; otro que los tres niveles de gobierno; uno más que los ciudadanos; dos dicen que sea el gobierno y la comunidad; otro señala que los tres niveles de gobierno y la ciudadanía, y un último que debieran ser los municipios aledaños a la presa.</w:t>
      </w:r>
    </w:p>
    <w:p>
      <w:pPr>
        <w:pStyle w:val="BodyText"/>
        <w:spacing w:before="9"/>
        <w:rPr>
          <w:sz w:val="17"/>
        </w:rPr>
      </w:pPr>
    </w:p>
    <w:p>
      <w:pPr>
        <w:spacing w:line="360" w:lineRule="auto" w:before="0"/>
        <w:ind w:left="102" w:right="116" w:firstLine="0"/>
        <w:jc w:val="both"/>
        <w:rPr>
          <w:sz w:val="22"/>
        </w:rPr>
      </w:pPr>
      <w:r>
        <w:rPr>
          <w:sz w:val="22"/>
        </w:rPr>
        <w:t>Mientras que para los </w:t>
      </w:r>
      <w:r>
        <w:rPr>
          <w:i/>
          <w:sz w:val="22"/>
        </w:rPr>
        <w:t>actores municipales de aguas abajo (Aculco y Polotitlán)</w:t>
      </w:r>
      <w:r>
        <w:rPr>
          <w:sz w:val="22"/>
        </w:rPr>
        <w:t>, sugieren que las propuestas de solución para la problemática de la cuenca hidrosocial presa Huapango son las siguientes:</w:t>
      </w:r>
    </w:p>
    <w:p>
      <w:pPr>
        <w:pStyle w:val="BodyText"/>
        <w:spacing w:before="7"/>
        <w:rPr>
          <w:sz w:val="17"/>
        </w:rPr>
      </w:pPr>
    </w:p>
    <w:p>
      <w:pPr>
        <w:pStyle w:val="BodyText"/>
        <w:spacing w:line="360" w:lineRule="auto"/>
        <w:ind w:left="102" w:right="115"/>
        <w:jc w:val="both"/>
      </w:pPr>
      <w:r>
        <w:rPr/>
        <w:t>Para el caso del municipio de Aculco, sugieren que la problemática de la cuenca hidrosocial se resuelva de la siguiente forma: “no permitiendo las descargas domésticas o que sean aguas tratadas por una planta tratadora; por ejemplo, hay un proyecto ejecutivo de la Conagua de $300,000 millones para traer el agua tratada de Toluca y meterla a la laguna para que alcance para regar las tierras de Aculco; además, el problema podría solucionarse tomando medidas en el asunto, es decir, concientizando a la gente y hacer que participe porque se beneficia de la laguna; en este sentido, deben realizarse programas y acciones coordinadas con las diferentes estancias federales, estatales y municipales para recuperar su importante función de la presa Huapango que es la captación de agua pluvial; además la población debe hacer fosas sépticas para evitar descargas de aguas residuales hacia la laguna y limpiar el lirio acuático; también deben operar debidamente sus plantas tratadoras, y los productores de queso necesitan poner sus trampas de grasa o que regalen el suero o lo reutilicen y que ya no fabriquen queso  en la cabecera municipal porque están contaminando</w:t>
      </w:r>
      <w:r>
        <w:rPr>
          <w:spacing w:val="-13"/>
        </w:rPr>
        <w:t> </w:t>
      </w:r>
      <w:r>
        <w:rPr/>
        <w:t>mucho”.</w:t>
      </w:r>
    </w:p>
    <w:p>
      <w:pPr>
        <w:spacing w:after="0" w:line="360" w:lineRule="auto"/>
        <w:jc w:val="both"/>
        <w:sectPr>
          <w:pgSz w:w="12240" w:h="15840"/>
          <w:pgMar w:header="0" w:footer="1003" w:top="1360" w:bottom="1200" w:left="1600" w:right="1580"/>
        </w:sectPr>
      </w:pPr>
    </w:p>
    <w:p>
      <w:pPr>
        <w:pStyle w:val="BodyText"/>
        <w:spacing w:line="360" w:lineRule="auto" w:before="53"/>
        <w:ind w:left="222" w:right="238"/>
        <w:jc w:val="both"/>
      </w:pPr>
      <w:r>
        <w:rPr/>
        <w:t>Los actores municipales de Aculco sugieren que quiénes debieran solucionar los problemas son: dos dicen que los tres órdenes de gobierno; otros dos que sea la ciudadanía porque el gobierno no puede luchar en contra de la falta de cultura de ésta; otro señala que sean sólo las autoridades municipales; otro que los tres órdenes de gobierno y la ciudadanía; y por último uno que sean las autoridades y la ciudadanía.</w:t>
      </w:r>
    </w:p>
    <w:p>
      <w:pPr>
        <w:pStyle w:val="BodyText"/>
        <w:spacing w:before="7"/>
        <w:rPr>
          <w:sz w:val="17"/>
        </w:rPr>
      </w:pPr>
    </w:p>
    <w:p>
      <w:pPr>
        <w:pStyle w:val="BodyText"/>
        <w:spacing w:line="360" w:lineRule="auto"/>
        <w:ind w:left="222" w:right="238"/>
        <w:jc w:val="both"/>
      </w:pPr>
      <w:r>
        <w:rPr/>
        <w:t>Para el caso de los actores municipales de Polotitlán, sugieren que la problemática de la cuenca hidrosocial presa Huapango se resuelva de la siguiente forma: haciendo en las vertientes de la cuenca con filtros adecuados para que el almacenamiento fuera menos recurrente (sic); que cada usuario tenga en sus predios una olla de  captación  para retener, almacenar y dosificar el agua; además, con una campaña de cultura del agua, que en vez de hacer bordos y presas en los municipios, se hiciera una limpia o reestructuración de la laguna</w:t>
      </w:r>
      <w:r>
        <w:rPr>
          <w:spacing w:val="-11"/>
        </w:rPr>
        <w:t> </w:t>
      </w:r>
      <w:r>
        <w:rPr/>
        <w:t>Huapango.</w:t>
      </w:r>
    </w:p>
    <w:p>
      <w:pPr>
        <w:pStyle w:val="BodyText"/>
        <w:spacing w:before="7"/>
        <w:rPr>
          <w:sz w:val="17"/>
        </w:rPr>
      </w:pPr>
    </w:p>
    <w:p>
      <w:pPr>
        <w:pStyle w:val="BodyText"/>
        <w:spacing w:line="360" w:lineRule="auto"/>
        <w:ind w:left="222" w:right="236"/>
        <w:jc w:val="both"/>
      </w:pPr>
      <w:r>
        <w:rPr/>
        <w:t>Los actores municipales de Polotitlán sugieren que quienes debieran solucionar los problemas son: tres actores municipales señalan que debieran ser los tres órdenes de gobierno y los ciudadanos; y una más no señaló quien debiera solucionar dichos problemas.</w:t>
      </w:r>
    </w:p>
    <w:p>
      <w:pPr>
        <w:pStyle w:val="BodyText"/>
        <w:spacing w:before="7"/>
        <w:rPr>
          <w:sz w:val="17"/>
        </w:rPr>
      </w:pPr>
    </w:p>
    <w:p>
      <w:pPr>
        <w:pStyle w:val="BodyText"/>
        <w:spacing w:line="360" w:lineRule="auto"/>
        <w:ind w:left="222" w:right="239"/>
        <w:jc w:val="both"/>
      </w:pPr>
      <w:r>
        <w:rPr/>
        <w:t>En síntesis los problemas de la Cuenca Hidrosocial Presa Huapango, de acuerdo con las entrevistas realizadas a los actores municipales, quedan representadas en las siguientes tabla y gráfica:</w:t>
      </w:r>
    </w:p>
    <w:p>
      <w:pPr>
        <w:pStyle w:val="BodyText"/>
        <w:spacing w:before="7"/>
        <w:rPr>
          <w:sz w:val="17"/>
        </w:rPr>
      </w:pPr>
    </w:p>
    <w:p>
      <w:pPr>
        <w:pStyle w:val="Heading6"/>
        <w:spacing w:line="276" w:lineRule="auto"/>
        <w:ind w:left="2531" w:right="490" w:hanging="2043"/>
      </w:pPr>
      <w:r>
        <w:rPr/>
        <w:t>Tabla 6.17. ¿Quiénes deben solucionar los problemas de la Cuenca Hidrosocial Presa Huapango? (Actores Municipales)</w:t>
      </w:r>
    </w:p>
    <w:p>
      <w:pPr>
        <w:pStyle w:val="BodyText"/>
        <w:spacing w:before="11"/>
        <w:rPr>
          <w:b/>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50"/>
        <w:gridCol w:w="3807"/>
      </w:tblGrid>
      <w:tr>
        <w:trPr>
          <w:trHeight w:val="516" w:hRule="exact"/>
        </w:trPr>
        <w:tc>
          <w:tcPr>
            <w:tcW w:w="5250" w:type="dxa"/>
            <w:shd w:val="clear" w:color="auto" w:fill="585858"/>
          </w:tcPr>
          <w:p>
            <w:pPr>
              <w:pStyle w:val="TableParagraph"/>
              <w:spacing w:line="252" w:lineRule="exact"/>
              <w:ind w:left="2306" w:right="111" w:hanging="2185"/>
              <w:rPr>
                <w:b/>
                <w:sz w:val="22"/>
              </w:rPr>
            </w:pPr>
            <w:r>
              <w:rPr>
                <w:b/>
                <w:sz w:val="22"/>
              </w:rPr>
              <w:t>Quiénes deben solucionar la problemática de la CHPH</w:t>
            </w:r>
          </w:p>
        </w:tc>
        <w:tc>
          <w:tcPr>
            <w:tcW w:w="3807" w:type="dxa"/>
            <w:shd w:val="clear" w:color="auto" w:fill="585858"/>
          </w:tcPr>
          <w:p>
            <w:pPr>
              <w:pStyle w:val="TableParagraph"/>
              <w:spacing w:line="248" w:lineRule="exact"/>
              <w:ind w:left="808" w:right="809"/>
              <w:jc w:val="center"/>
              <w:rPr>
                <w:b/>
                <w:sz w:val="22"/>
              </w:rPr>
            </w:pPr>
            <w:r>
              <w:rPr>
                <w:b/>
                <w:sz w:val="22"/>
              </w:rPr>
              <w:t>Actores Municipales</w:t>
            </w:r>
          </w:p>
        </w:tc>
      </w:tr>
      <w:tr>
        <w:trPr>
          <w:trHeight w:val="310" w:hRule="exact"/>
        </w:trPr>
        <w:tc>
          <w:tcPr>
            <w:tcW w:w="5250" w:type="dxa"/>
          </w:tcPr>
          <w:p>
            <w:pPr>
              <w:pStyle w:val="TableParagraph"/>
              <w:spacing w:line="251" w:lineRule="exact"/>
              <w:ind w:right="111"/>
              <w:rPr>
                <w:sz w:val="22"/>
              </w:rPr>
            </w:pPr>
            <w:r>
              <w:rPr>
                <w:sz w:val="22"/>
              </w:rPr>
              <w:t>Los tres órdenes de gobierno</w:t>
            </w:r>
          </w:p>
        </w:tc>
        <w:tc>
          <w:tcPr>
            <w:tcW w:w="3807" w:type="dxa"/>
          </w:tcPr>
          <w:p>
            <w:pPr>
              <w:pStyle w:val="TableParagraph"/>
              <w:spacing w:line="251" w:lineRule="exact"/>
              <w:ind w:left="0"/>
              <w:jc w:val="center"/>
              <w:rPr>
                <w:sz w:val="22"/>
              </w:rPr>
            </w:pPr>
            <w:r>
              <w:rPr>
                <w:w w:val="100"/>
                <w:sz w:val="22"/>
              </w:rPr>
              <w:t>6</w:t>
            </w:r>
          </w:p>
        </w:tc>
      </w:tr>
      <w:tr>
        <w:trPr>
          <w:trHeight w:val="310" w:hRule="exact"/>
        </w:trPr>
        <w:tc>
          <w:tcPr>
            <w:tcW w:w="5250" w:type="dxa"/>
          </w:tcPr>
          <w:p>
            <w:pPr>
              <w:pStyle w:val="TableParagraph"/>
              <w:spacing w:line="251" w:lineRule="exact"/>
              <w:ind w:right="111"/>
              <w:rPr>
                <w:sz w:val="22"/>
              </w:rPr>
            </w:pPr>
            <w:r>
              <w:rPr>
                <w:sz w:val="22"/>
              </w:rPr>
              <w:t>La Conagua y la CAEM</w:t>
            </w:r>
          </w:p>
        </w:tc>
        <w:tc>
          <w:tcPr>
            <w:tcW w:w="3807" w:type="dxa"/>
          </w:tcPr>
          <w:p>
            <w:pPr>
              <w:pStyle w:val="TableParagraph"/>
              <w:spacing w:line="251" w:lineRule="exact"/>
              <w:ind w:left="0"/>
              <w:jc w:val="center"/>
              <w:rPr>
                <w:sz w:val="22"/>
              </w:rPr>
            </w:pPr>
            <w:r>
              <w:rPr>
                <w:w w:val="100"/>
                <w:sz w:val="22"/>
              </w:rPr>
              <w:t>1</w:t>
            </w:r>
          </w:p>
        </w:tc>
      </w:tr>
      <w:tr>
        <w:trPr>
          <w:trHeight w:val="310" w:hRule="exact"/>
        </w:trPr>
        <w:tc>
          <w:tcPr>
            <w:tcW w:w="5250" w:type="dxa"/>
          </w:tcPr>
          <w:p>
            <w:pPr>
              <w:pStyle w:val="TableParagraph"/>
              <w:spacing w:line="265" w:lineRule="exact"/>
              <w:ind w:right="111"/>
              <w:rPr>
                <w:rFonts w:ascii="Calibri" w:hAnsi="Calibri"/>
                <w:sz w:val="22"/>
              </w:rPr>
            </w:pPr>
            <w:r>
              <w:rPr>
                <w:rFonts w:ascii="Calibri" w:hAnsi="Calibri"/>
                <w:sz w:val="22"/>
              </w:rPr>
              <w:t>El municipio y la ciudadanía</w:t>
            </w:r>
          </w:p>
        </w:tc>
        <w:tc>
          <w:tcPr>
            <w:tcW w:w="3807" w:type="dxa"/>
          </w:tcPr>
          <w:p>
            <w:pPr>
              <w:pStyle w:val="TableParagraph"/>
              <w:spacing w:line="251" w:lineRule="exact"/>
              <w:ind w:left="0"/>
              <w:jc w:val="center"/>
              <w:rPr>
                <w:sz w:val="22"/>
              </w:rPr>
            </w:pPr>
            <w:r>
              <w:rPr>
                <w:w w:val="100"/>
                <w:sz w:val="22"/>
              </w:rPr>
              <w:t>1</w:t>
            </w:r>
          </w:p>
        </w:tc>
      </w:tr>
      <w:tr>
        <w:trPr>
          <w:trHeight w:val="310" w:hRule="exact"/>
        </w:trPr>
        <w:tc>
          <w:tcPr>
            <w:tcW w:w="5250" w:type="dxa"/>
          </w:tcPr>
          <w:p>
            <w:pPr>
              <w:pStyle w:val="TableParagraph"/>
              <w:spacing w:line="266" w:lineRule="exact"/>
              <w:ind w:right="111"/>
              <w:rPr>
                <w:rFonts w:ascii="Calibri" w:hAnsi="Calibri"/>
                <w:sz w:val="22"/>
              </w:rPr>
            </w:pPr>
            <w:r>
              <w:rPr>
                <w:rFonts w:ascii="Calibri" w:hAnsi="Calibri"/>
                <w:sz w:val="22"/>
              </w:rPr>
              <w:t>Los tres niveles de gobierno y la ciudadanía</w:t>
            </w:r>
          </w:p>
        </w:tc>
        <w:tc>
          <w:tcPr>
            <w:tcW w:w="3807" w:type="dxa"/>
          </w:tcPr>
          <w:p>
            <w:pPr>
              <w:pStyle w:val="TableParagraph"/>
              <w:spacing w:line="251" w:lineRule="exact"/>
              <w:ind w:left="0"/>
              <w:jc w:val="center"/>
              <w:rPr>
                <w:sz w:val="22"/>
              </w:rPr>
            </w:pPr>
            <w:r>
              <w:rPr>
                <w:w w:val="100"/>
                <w:sz w:val="22"/>
              </w:rPr>
              <w:t>7</w:t>
            </w:r>
          </w:p>
        </w:tc>
      </w:tr>
      <w:tr>
        <w:trPr>
          <w:trHeight w:val="310" w:hRule="exact"/>
        </w:trPr>
        <w:tc>
          <w:tcPr>
            <w:tcW w:w="5250" w:type="dxa"/>
          </w:tcPr>
          <w:p>
            <w:pPr>
              <w:pStyle w:val="TableParagraph"/>
              <w:spacing w:before="30"/>
              <w:ind w:right="111"/>
              <w:rPr>
                <w:rFonts w:ascii="Calibri"/>
                <w:sz w:val="22"/>
              </w:rPr>
            </w:pPr>
            <w:r>
              <w:rPr>
                <w:rFonts w:ascii="Calibri"/>
                <w:sz w:val="22"/>
              </w:rPr>
              <w:t>Conagua</w:t>
            </w:r>
          </w:p>
        </w:tc>
        <w:tc>
          <w:tcPr>
            <w:tcW w:w="3807" w:type="dxa"/>
          </w:tcPr>
          <w:p>
            <w:pPr>
              <w:pStyle w:val="TableParagraph"/>
              <w:spacing w:line="251" w:lineRule="exact"/>
              <w:ind w:left="0"/>
              <w:jc w:val="center"/>
              <w:rPr>
                <w:sz w:val="22"/>
              </w:rPr>
            </w:pPr>
            <w:r>
              <w:rPr>
                <w:w w:val="100"/>
                <w:sz w:val="22"/>
              </w:rPr>
              <w:t>1</w:t>
            </w:r>
          </w:p>
        </w:tc>
      </w:tr>
      <w:tr>
        <w:trPr>
          <w:trHeight w:val="312" w:hRule="exact"/>
        </w:trPr>
        <w:tc>
          <w:tcPr>
            <w:tcW w:w="5250" w:type="dxa"/>
          </w:tcPr>
          <w:p>
            <w:pPr>
              <w:pStyle w:val="TableParagraph"/>
              <w:spacing w:before="30"/>
              <w:ind w:right="111"/>
              <w:rPr>
                <w:rFonts w:ascii="Calibri"/>
                <w:sz w:val="22"/>
              </w:rPr>
            </w:pPr>
            <w:r>
              <w:rPr>
                <w:rFonts w:ascii="Calibri"/>
                <w:sz w:val="22"/>
              </w:rPr>
              <w:t>El gobierno y los ciudadanos</w:t>
            </w:r>
          </w:p>
        </w:tc>
        <w:tc>
          <w:tcPr>
            <w:tcW w:w="3807" w:type="dxa"/>
          </w:tcPr>
          <w:p>
            <w:pPr>
              <w:pStyle w:val="TableParagraph"/>
              <w:ind w:left="0"/>
              <w:jc w:val="center"/>
              <w:rPr>
                <w:sz w:val="22"/>
              </w:rPr>
            </w:pPr>
            <w:r>
              <w:rPr>
                <w:w w:val="100"/>
                <w:sz w:val="22"/>
              </w:rPr>
              <w:t>3</w:t>
            </w:r>
          </w:p>
        </w:tc>
      </w:tr>
      <w:tr>
        <w:trPr>
          <w:trHeight w:val="310" w:hRule="exact"/>
        </w:trPr>
        <w:tc>
          <w:tcPr>
            <w:tcW w:w="5250" w:type="dxa"/>
          </w:tcPr>
          <w:p>
            <w:pPr>
              <w:pStyle w:val="TableParagraph"/>
              <w:spacing w:line="265" w:lineRule="exact"/>
              <w:ind w:right="111"/>
              <w:rPr>
                <w:rFonts w:ascii="Calibri"/>
                <w:sz w:val="22"/>
              </w:rPr>
            </w:pPr>
            <w:r>
              <w:rPr>
                <w:rFonts w:ascii="Calibri"/>
                <w:sz w:val="22"/>
              </w:rPr>
              <w:t>El municipio</w:t>
            </w:r>
          </w:p>
        </w:tc>
        <w:tc>
          <w:tcPr>
            <w:tcW w:w="3807" w:type="dxa"/>
          </w:tcPr>
          <w:p>
            <w:pPr>
              <w:pStyle w:val="TableParagraph"/>
              <w:spacing w:line="251" w:lineRule="exact"/>
              <w:ind w:left="0"/>
              <w:jc w:val="center"/>
              <w:rPr>
                <w:sz w:val="22"/>
              </w:rPr>
            </w:pPr>
            <w:r>
              <w:rPr>
                <w:w w:val="100"/>
                <w:sz w:val="22"/>
              </w:rPr>
              <w:t>1</w:t>
            </w:r>
          </w:p>
        </w:tc>
      </w:tr>
      <w:tr>
        <w:trPr>
          <w:trHeight w:val="310" w:hRule="exact"/>
        </w:trPr>
        <w:tc>
          <w:tcPr>
            <w:tcW w:w="5250" w:type="dxa"/>
          </w:tcPr>
          <w:p>
            <w:pPr>
              <w:pStyle w:val="TableParagraph"/>
              <w:spacing w:line="265" w:lineRule="exact"/>
              <w:ind w:right="111"/>
              <w:rPr>
                <w:rFonts w:ascii="Calibri" w:hAnsi="Calibri"/>
                <w:sz w:val="22"/>
              </w:rPr>
            </w:pPr>
            <w:r>
              <w:rPr>
                <w:rFonts w:ascii="Calibri" w:hAnsi="Calibri"/>
                <w:sz w:val="22"/>
              </w:rPr>
              <w:t>Los municipios aledaños a la presa Huapango</w:t>
            </w:r>
          </w:p>
        </w:tc>
        <w:tc>
          <w:tcPr>
            <w:tcW w:w="3807" w:type="dxa"/>
          </w:tcPr>
          <w:p>
            <w:pPr>
              <w:pStyle w:val="TableParagraph"/>
              <w:spacing w:line="251" w:lineRule="exact"/>
              <w:ind w:left="0"/>
              <w:jc w:val="center"/>
              <w:rPr>
                <w:sz w:val="22"/>
              </w:rPr>
            </w:pPr>
            <w:r>
              <w:rPr>
                <w:w w:val="100"/>
                <w:sz w:val="22"/>
              </w:rPr>
              <w:t>3</w:t>
            </w:r>
          </w:p>
        </w:tc>
      </w:tr>
      <w:tr>
        <w:trPr>
          <w:trHeight w:val="310" w:hRule="exact"/>
        </w:trPr>
        <w:tc>
          <w:tcPr>
            <w:tcW w:w="5250" w:type="dxa"/>
          </w:tcPr>
          <w:p>
            <w:pPr>
              <w:pStyle w:val="TableParagraph"/>
              <w:spacing w:line="265" w:lineRule="exact"/>
              <w:ind w:right="111"/>
              <w:rPr>
                <w:rFonts w:ascii="Calibri"/>
                <w:sz w:val="22"/>
              </w:rPr>
            </w:pPr>
            <w:r>
              <w:rPr>
                <w:rFonts w:ascii="Calibri"/>
                <w:sz w:val="22"/>
              </w:rPr>
              <w:t>El gobierno federal</w:t>
            </w:r>
          </w:p>
        </w:tc>
        <w:tc>
          <w:tcPr>
            <w:tcW w:w="3807" w:type="dxa"/>
          </w:tcPr>
          <w:p>
            <w:pPr>
              <w:pStyle w:val="TableParagraph"/>
              <w:spacing w:line="251" w:lineRule="exact"/>
              <w:ind w:left="0"/>
              <w:jc w:val="center"/>
              <w:rPr>
                <w:sz w:val="22"/>
              </w:rPr>
            </w:pPr>
            <w:r>
              <w:rPr>
                <w:w w:val="100"/>
                <w:sz w:val="22"/>
              </w:rPr>
              <w:t>1</w:t>
            </w:r>
          </w:p>
        </w:tc>
      </w:tr>
      <w:tr>
        <w:trPr>
          <w:trHeight w:val="310" w:hRule="exact"/>
        </w:trPr>
        <w:tc>
          <w:tcPr>
            <w:tcW w:w="5250" w:type="dxa"/>
          </w:tcPr>
          <w:p>
            <w:pPr>
              <w:pStyle w:val="TableParagraph"/>
              <w:spacing w:line="265" w:lineRule="exact"/>
              <w:ind w:right="111"/>
              <w:rPr>
                <w:rFonts w:ascii="Calibri"/>
                <w:sz w:val="22"/>
              </w:rPr>
            </w:pPr>
            <w:r>
              <w:rPr>
                <w:rFonts w:ascii="Calibri"/>
                <w:sz w:val="22"/>
              </w:rPr>
              <w:t>Los ciudadanos</w:t>
            </w:r>
          </w:p>
        </w:tc>
        <w:tc>
          <w:tcPr>
            <w:tcW w:w="3807" w:type="dxa"/>
          </w:tcPr>
          <w:p>
            <w:pPr>
              <w:pStyle w:val="TableParagraph"/>
              <w:spacing w:line="251" w:lineRule="exact"/>
              <w:ind w:left="0"/>
              <w:jc w:val="center"/>
              <w:rPr>
                <w:sz w:val="22"/>
              </w:rPr>
            </w:pPr>
            <w:r>
              <w:rPr>
                <w:w w:val="100"/>
                <w:sz w:val="22"/>
              </w:rPr>
              <w:t>2</w:t>
            </w:r>
          </w:p>
        </w:tc>
      </w:tr>
      <w:tr>
        <w:trPr>
          <w:trHeight w:val="312" w:hRule="exact"/>
        </w:trPr>
        <w:tc>
          <w:tcPr>
            <w:tcW w:w="5250" w:type="dxa"/>
          </w:tcPr>
          <w:p>
            <w:pPr>
              <w:pStyle w:val="TableParagraph"/>
              <w:spacing w:line="265" w:lineRule="exact"/>
              <w:ind w:right="111"/>
              <w:rPr>
                <w:rFonts w:ascii="Calibri"/>
                <w:sz w:val="22"/>
              </w:rPr>
            </w:pPr>
            <w:r>
              <w:rPr>
                <w:rFonts w:ascii="Calibri"/>
                <w:sz w:val="22"/>
              </w:rPr>
              <w:t>No contesto</w:t>
            </w:r>
          </w:p>
        </w:tc>
        <w:tc>
          <w:tcPr>
            <w:tcW w:w="3807" w:type="dxa"/>
          </w:tcPr>
          <w:p>
            <w:pPr>
              <w:pStyle w:val="TableParagraph"/>
              <w:spacing w:line="251" w:lineRule="exact"/>
              <w:ind w:left="0"/>
              <w:jc w:val="center"/>
              <w:rPr>
                <w:sz w:val="22"/>
              </w:rPr>
            </w:pPr>
            <w:r>
              <w:rPr>
                <w:w w:val="100"/>
                <w:sz w:val="22"/>
              </w:rPr>
              <w:t>1</w:t>
            </w:r>
          </w:p>
        </w:tc>
      </w:tr>
    </w:tbl>
    <w:p>
      <w:pPr>
        <w:spacing w:after="0" w:line="251" w:lineRule="exact"/>
        <w:jc w:val="center"/>
        <w:rPr>
          <w:sz w:val="22"/>
        </w:rPr>
        <w:sectPr>
          <w:pgSz w:w="12240" w:h="15840"/>
          <w:pgMar w:header="0" w:footer="1003" w:top="1360" w:bottom="1200" w:left="1480" w:right="1460"/>
        </w:sectPr>
      </w:pPr>
    </w:p>
    <w:p>
      <w:pPr>
        <w:pStyle w:val="BodyText"/>
        <w:ind w:left="109"/>
        <w:rPr>
          <w:sz w:val="20"/>
        </w:rPr>
      </w:pPr>
      <w:r>
        <w:rPr>
          <w:sz w:val="20"/>
        </w:rPr>
        <w:pict>
          <v:group style="width:453.35pt;height:16.6pt;mso-position-horizontal-relative:char;mso-position-vertical-relative:line" coordorigin="0,0" coordsize="9067,332">
            <v:line style="position:absolute" from="10,10" to="5250,10" stroked="true" strokeweight=".48pt" strokecolor="#000000"/>
            <v:line style="position:absolute" from="5260,10" to="9057,10" stroked="true" strokeweight=".48pt" strokecolor="#000000"/>
            <v:line style="position:absolute" from="5,5" to="5,327" stroked="true" strokeweight=".48pt" strokecolor="#000000"/>
            <v:line style="position:absolute" from="10,322" to="5250,322" stroked="true" strokeweight=".48pt" strokecolor="#000000"/>
            <v:line style="position:absolute" from="5255,5" to="5255,327" stroked="true" strokeweight=".48001pt" strokecolor="#000000"/>
            <v:line style="position:absolute" from="5260,322" to="9057,322" stroked="true" strokeweight=".48pt" strokecolor="#000000"/>
            <v:line style="position:absolute" from="9062,5" to="9062,327" stroked="true" strokeweight=".47998pt" strokecolor="#000000"/>
            <v:shape style="position:absolute;left:5;top:10;width:5250;height:313" type="#_x0000_t202" filled="false" stroked="false">
              <v:textbox inset="0,0,0,0">
                <w:txbxContent>
                  <w:p>
                    <w:pPr>
                      <w:spacing w:before="4"/>
                      <w:ind w:left="107" w:right="0" w:firstLine="0"/>
                      <w:jc w:val="left"/>
                      <w:rPr>
                        <w:rFonts w:ascii="Calibri"/>
                        <w:b/>
                        <w:sz w:val="22"/>
                      </w:rPr>
                    </w:pPr>
                    <w:r>
                      <w:rPr>
                        <w:rFonts w:ascii="Calibri"/>
                        <w:b/>
                        <w:sz w:val="22"/>
                      </w:rPr>
                      <w:t>Total</w:t>
                    </w:r>
                  </w:p>
                </w:txbxContent>
              </v:textbox>
              <w10:wrap type="none"/>
            </v:shape>
            <v:shape style="position:absolute;left:7033;top:40;width:245;height:221" type="#_x0000_t202" filled="false" stroked="false">
              <v:textbox inset="0,0,0,0">
                <w:txbxContent>
                  <w:p>
                    <w:pPr>
                      <w:spacing w:line="221" w:lineRule="exact" w:before="0"/>
                      <w:ind w:left="0" w:right="-20" w:firstLine="0"/>
                      <w:jc w:val="left"/>
                      <w:rPr>
                        <w:b/>
                        <w:sz w:val="22"/>
                      </w:rPr>
                    </w:pPr>
                    <w:r>
                      <w:rPr>
                        <w:b/>
                        <w:sz w:val="22"/>
                      </w:rPr>
                      <w:t>27</w:t>
                    </w:r>
                  </w:p>
                </w:txbxContent>
              </v:textbox>
              <w10:wrap type="none"/>
            </v:shape>
          </v:group>
        </w:pict>
      </w:r>
      <w:r>
        <w:rPr>
          <w:sz w:val="20"/>
        </w:rPr>
      </w:r>
    </w:p>
    <w:p>
      <w:pPr>
        <w:pStyle w:val="BodyText"/>
        <w:spacing w:line="196" w:lineRule="exact"/>
        <w:ind w:left="222"/>
        <w:jc w:val="both"/>
      </w:pPr>
      <w:r>
        <w:rPr>
          <w:b/>
        </w:rPr>
        <w:t>Fuente:  </w:t>
      </w:r>
      <w:r>
        <w:rPr/>
        <w:t>Elaboración  propia  con  base  en  los  datos  obtenidos  en  Trabajo  de Campo,</w:t>
      </w:r>
    </w:p>
    <w:p>
      <w:pPr>
        <w:pStyle w:val="BodyText"/>
        <w:spacing w:before="128"/>
        <w:ind w:left="222"/>
        <w:jc w:val="both"/>
      </w:pPr>
      <w:r>
        <w:rPr/>
        <w:t>García (2013-2015).</w:t>
      </w:r>
    </w:p>
    <w:p>
      <w:pPr>
        <w:pStyle w:val="BodyText"/>
        <w:spacing w:before="1"/>
        <w:rPr>
          <w:sz w:val="28"/>
        </w:rPr>
      </w:pPr>
    </w:p>
    <w:p>
      <w:pPr>
        <w:pStyle w:val="Heading6"/>
        <w:spacing w:line="360" w:lineRule="auto"/>
        <w:ind w:left="2598" w:right="508" w:hanging="2075"/>
      </w:pPr>
      <w:r>
        <w:rPr/>
        <w:pict>
          <v:group style="position:absolute;margin-left:84.675003pt;margin-top:47.822887pt;width:442.4pt;height:394.65pt;mso-position-horizontal-relative:page;mso-position-vertical-relative:paragraph;z-index:-3332008" coordorigin="1694,956" coordsize="8848,7893">
            <v:shape style="position:absolute;left:1797;top:5525;width:6102;height:3146" type="#_x0000_t75" stroked="false">
              <v:imagedata r:id="rId206" o:title=""/>
            </v:shape>
            <v:rect style="position:absolute;left:8399;top:5382;width:101;height:101" filled="true" fillcolor="#00af50" stroked="false">
              <v:fill type="solid"/>
            </v:rect>
            <v:rect style="position:absolute;left:1701;top:964;width:8833;height:7878" filled="false" stroked="true" strokeweight=".75pt" strokecolor="#000000"/>
            <v:shape style="position:absolute;left:2686;top:1188;width:6856;height:4042" type="#_x0000_t202" filled="false" stroked="false">
              <v:textbox inset="0,0,0,0">
                <w:txbxContent>
                  <w:p>
                    <w:pPr>
                      <w:spacing w:line="367" w:lineRule="exact" w:before="0"/>
                      <w:ind w:left="-1" w:right="0" w:firstLine="0"/>
                      <w:jc w:val="center"/>
                      <w:rPr>
                        <w:rFonts w:ascii="Calibri" w:hAnsi="Calibri"/>
                        <w:b/>
                        <w:sz w:val="36"/>
                      </w:rPr>
                    </w:pPr>
                    <w:r>
                      <w:rPr>
                        <w:rFonts w:ascii="Calibri" w:hAnsi="Calibri"/>
                        <w:b/>
                        <w:sz w:val="36"/>
                      </w:rPr>
                      <w:t>Quiénes deben solucionar los problemas de</w:t>
                    </w:r>
                    <w:r>
                      <w:rPr>
                        <w:rFonts w:ascii="Calibri" w:hAnsi="Calibri"/>
                        <w:b/>
                        <w:spacing w:val="-31"/>
                        <w:sz w:val="36"/>
                      </w:rPr>
                      <w:t> </w:t>
                    </w:r>
                    <w:r>
                      <w:rPr>
                        <w:rFonts w:ascii="Calibri" w:hAnsi="Calibri"/>
                        <w:b/>
                        <w:sz w:val="36"/>
                      </w:rPr>
                      <w:t>la</w:t>
                    </w:r>
                  </w:p>
                  <w:p>
                    <w:pPr>
                      <w:spacing w:before="0"/>
                      <w:ind w:left="5" w:right="0" w:firstLine="0"/>
                      <w:jc w:val="center"/>
                      <w:rPr>
                        <w:rFonts w:ascii="Calibri"/>
                        <w:b/>
                        <w:sz w:val="36"/>
                      </w:rPr>
                    </w:pPr>
                    <w:r>
                      <w:rPr>
                        <w:rFonts w:ascii="Calibri"/>
                        <w:b/>
                        <w:sz w:val="36"/>
                      </w:rPr>
                      <w:t>CHPH (Actores Municipales)</w:t>
                    </w:r>
                  </w:p>
                  <w:p>
                    <w:pPr>
                      <w:spacing w:before="118"/>
                      <w:ind w:left="497" w:right="0" w:firstLine="0"/>
                      <w:jc w:val="left"/>
                      <w:rPr>
                        <w:rFonts w:ascii="Calibri"/>
                        <w:sz w:val="20"/>
                      </w:rPr>
                    </w:pPr>
                    <w:r>
                      <w:rPr>
                        <w:rFonts w:ascii="Calibri"/>
                        <w:w w:val="99"/>
                        <w:sz w:val="20"/>
                      </w:rPr>
                      <w:t>8</w:t>
                    </w:r>
                  </w:p>
                  <w:p>
                    <w:pPr>
                      <w:spacing w:before="167"/>
                      <w:ind w:left="497" w:right="0" w:firstLine="0"/>
                      <w:jc w:val="left"/>
                      <w:rPr>
                        <w:rFonts w:ascii="Calibri"/>
                        <w:sz w:val="20"/>
                      </w:rPr>
                    </w:pPr>
                    <w:r>
                      <w:rPr>
                        <w:rFonts w:ascii="Calibri"/>
                        <w:w w:val="99"/>
                        <w:sz w:val="20"/>
                      </w:rPr>
                      <w:t>7</w:t>
                    </w:r>
                  </w:p>
                  <w:p>
                    <w:pPr>
                      <w:spacing w:before="166"/>
                      <w:ind w:left="497" w:right="0" w:firstLine="0"/>
                      <w:jc w:val="left"/>
                      <w:rPr>
                        <w:rFonts w:ascii="Calibri"/>
                        <w:sz w:val="20"/>
                      </w:rPr>
                    </w:pPr>
                    <w:r>
                      <w:rPr>
                        <w:rFonts w:ascii="Calibri"/>
                        <w:w w:val="99"/>
                        <w:sz w:val="20"/>
                      </w:rPr>
                      <w:t>6</w:t>
                    </w:r>
                  </w:p>
                  <w:p>
                    <w:pPr>
                      <w:spacing w:before="166"/>
                      <w:ind w:left="497" w:right="0" w:firstLine="0"/>
                      <w:jc w:val="left"/>
                      <w:rPr>
                        <w:rFonts w:ascii="Calibri"/>
                        <w:sz w:val="20"/>
                      </w:rPr>
                    </w:pPr>
                    <w:r>
                      <w:rPr>
                        <w:rFonts w:ascii="Calibri"/>
                        <w:w w:val="99"/>
                        <w:sz w:val="20"/>
                      </w:rPr>
                      <w:t>5</w:t>
                    </w:r>
                  </w:p>
                  <w:p>
                    <w:pPr>
                      <w:spacing w:before="167"/>
                      <w:ind w:left="497" w:right="0" w:firstLine="0"/>
                      <w:jc w:val="left"/>
                      <w:rPr>
                        <w:rFonts w:ascii="Calibri"/>
                        <w:sz w:val="20"/>
                      </w:rPr>
                    </w:pPr>
                    <w:r>
                      <w:rPr>
                        <w:rFonts w:ascii="Calibri"/>
                        <w:w w:val="99"/>
                        <w:sz w:val="20"/>
                      </w:rPr>
                      <w:t>4</w:t>
                    </w:r>
                  </w:p>
                  <w:p>
                    <w:pPr>
                      <w:spacing w:before="167"/>
                      <w:ind w:left="497" w:right="0" w:firstLine="0"/>
                      <w:jc w:val="left"/>
                      <w:rPr>
                        <w:rFonts w:ascii="Calibri"/>
                        <w:sz w:val="20"/>
                      </w:rPr>
                    </w:pPr>
                    <w:r>
                      <w:rPr>
                        <w:rFonts w:ascii="Calibri"/>
                        <w:w w:val="99"/>
                        <w:sz w:val="20"/>
                      </w:rPr>
                      <w:t>3</w:t>
                    </w:r>
                  </w:p>
                  <w:p>
                    <w:pPr>
                      <w:spacing w:before="166"/>
                      <w:ind w:left="497" w:right="0" w:firstLine="0"/>
                      <w:jc w:val="left"/>
                      <w:rPr>
                        <w:rFonts w:ascii="Calibri"/>
                        <w:sz w:val="20"/>
                      </w:rPr>
                    </w:pPr>
                    <w:r>
                      <w:rPr>
                        <w:rFonts w:ascii="Calibri"/>
                        <w:w w:val="99"/>
                        <w:sz w:val="20"/>
                      </w:rPr>
                      <w:t>2</w:t>
                    </w:r>
                  </w:p>
                  <w:p>
                    <w:pPr>
                      <w:spacing w:line="240" w:lineRule="exact" w:before="166"/>
                      <w:ind w:left="497" w:right="0" w:firstLine="0"/>
                      <w:jc w:val="left"/>
                      <w:rPr>
                        <w:rFonts w:ascii="Calibri"/>
                        <w:sz w:val="20"/>
                      </w:rPr>
                    </w:pPr>
                    <w:r>
                      <w:rPr>
                        <w:rFonts w:ascii="Calibri"/>
                        <w:w w:val="99"/>
                        <w:sz w:val="20"/>
                      </w:rPr>
                      <w:t>1</w:t>
                    </w:r>
                  </w:p>
                </w:txbxContent>
              </v:textbox>
              <w10:wrap type="none"/>
            </v:shape>
            <v:shape style="position:absolute;left:3183;top:544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8544;top:5335;width:1788;height:200" type="#_x0000_t202" filled="false" stroked="false">
              <v:textbox inset="0,0,0,0">
                <w:txbxContent>
                  <w:p>
                    <w:pPr>
                      <w:spacing w:line="199" w:lineRule="exact" w:before="0"/>
                      <w:ind w:left="0" w:right="-14" w:firstLine="0"/>
                      <w:jc w:val="left"/>
                      <w:rPr>
                        <w:sz w:val="20"/>
                      </w:rPr>
                    </w:pPr>
                    <w:r>
                      <w:rPr>
                        <w:sz w:val="20"/>
                      </w:rPr>
                      <w:t>Actores</w:t>
                    </w:r>
                    <w:r>
                      <w:rPr>
                        <w:spacing w:val="-8"/>
                        <w:sz w:val="20"/>
                      </w:rPr>
                      <w:t> </w:t>
                    </w:r>
                    <w:r>
                      <w:rPr>
                        <w:sz w:val="20"/>
                      </w:rPr>
                      <w:t>Municipales</w:t>
                    </w:r>
                  </w:p>
                </w:txbxContent>
              </v:textbox>
              <w10:wrap type="none"/>
            </v:shape>
            <w10:wrap type="none"/>
          </v:group>
        </w:pict>
      </w:r>
      <w:r>
        <w:rPr/>
        <w:t>Gráfica 6.7. Quienes deben solucionar los problemas de la Cuenca Hidrosocial Presa Huapango (Actores Municipales)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8"/>
        </w:rPr>
      </w:pPr>
    </w:p>
    <w:tbl>
      <w:tblPr>
        <w:tblW w:w="0" w:type="auto"/>
        <w:jc w:val="left"/>
        <w:tblInd w:w="1981"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26"/>
        <w:gridCol w:w="168"/>
        <w:gridCol w:w="252"/>
        <w:gridCol w:w="168"/>
        <w:gridCol w:w="252"/>
        <w:gridCol w:w="166"/>
        <w:gridCol w:w="252"/>
        <w:gridCol w:w="168"/>
        <w:gridCol w:w="252"/>
        <w:gridCol w:w="168"/>
        <w:gridCol w:w="252"/>
        <w:gridCol w:w="168"/>
        <w:gridCol w:w="252"/>
        <w:gridCol w:w="168"/>
        <w:gridCol w:w="250"/>
        <w:gridCol w:w="168"/>
        <w:gridCol w:w="252"/>
        <w:gridCol w:w="168"/>
        <w:gridCol w:w="252"/>
        <w:gridCol w:w="168"/>
        <w:gridCol w:w="252"/>
        <w:gridCol w:w="168"/>
      </w:tblGrid>
      <w:tr>
        <w:trPr>
          <w:trHeight w:val="411" w:hRule="exact"/>
        </w:trPr>
        <w:tc>
          <w:tcPr>
            <w:tcW w:w="4489" w:type="dxa"/>
            <w:gridSpan w:val="22"/>
            <w:tcBorders>
              <w:right w:val="nil"/>
            </w:tcBorders>
          </w:tcPr>
          <w:p>
            <w:pPr/>
          </w:p>
        </w:tc>
      </w:tr>
      <w:tr>
        <w:trPr>
          <w:trHeight w:val="410" w:hRule="exact"/>
        </w:trPr>
        <w:tc>
          <w:tcPr>
            <w:tcW w:w="1383" w:type="dxa"/>
            <w:gridSpan w:val="7"/>
            <w:tcBorders>
              <w:right w:val="nil"/>
            </w:tcBorders>
          </w:tcPr>
          <w:p>
            <w:pPr/>
          </w:p>
        </w:tc>
        <w:tc>
          <w:tcPr>
            <w:tcW w:w="168" w:type="dxa"/>
            <w:vMerge w:val="restart"/>
            <w:tcBorders>
              <w:left w:val="nil"/>
              <w:right w:val="nil"/>
            </w:tcBorders>
            <w:shd w:val="clear" w:color="auto" w:fill="00AF50"/>
          </w:tcPr>
          <w:p>
            <w:pPr/>
          </w:p>
        </w:tc>
        <w:tc>
          <w:tcPr>
            <w:tcW w:w="2938" w:type="dxa"/>
            <w:gridSpan w:val="14"/>
            <w:tcBorders>
              <w:left w:val="nil"/>
              <w:right w:val="nil"/>
            </w:tcBorders>
          </w:tcPr>
          <w:p>
            <w:pPr/>
          </w:p>
        </w:tc>
      </w:tr>
      <w:tr>
        <w:trPr>
          <w:trHeight w:val="410" w:hRule="exact"/>
        </w:trPr>
        <w:tc>
          <w:tcPr>
            <w:tcW w:w="126" w:type="dxa"/>
            <w:tcBorders>
              <w:right w:val="nil"/>
            </w:tcBorders>
          </w:tcPr>
          <w:p>
            <w:pPr/>
          </w:p>
        </w:tc>
        <w:tc>
          <w:tcPr>
            <w:tcW w:w="168" w:type="dxa"/>
            <w:vMerge w:val="restart"/>
            <w:tcBorders>
              <w:left w:val="nil"/>
              <w:right w:val="nil"/>
            </w:tcBorders>
            <w:shd w:val="clear" w:color="auto" w:fill="00AF50"/>
          </w:tcPr>
          <w:p>
            <w:pPr/>
          </w:p>
        </w:tc>
        <w:tc>
          <w:tcPr>
            <w:tcW w:w="1090" w:type="dxa"/>
            <w:gridSpan w:val="5"/>
            <w:tcBorders>
              <w:left w:val="nil"/>
              <w:right w:val="nil"/>
            </w:tcBorders>
          </w:tcPr>
          <w:p>
            <w:pPr/>
          </w:p>
        </w:tc>
        <w:tc>
          <w:tcPr>
            <w:tcW w:w="168" w:type="dxa"/>
            <w:vMerge/>
            <w:tcBorders>
              <w:left w:val="nil"/>
              <w:right w:val="nil"/>
            </w:tcBorders>
            <w:shd w:val="clear" w:color="auto" w:fill="00AF50"/>
          </w:tcPr>
          <w:p>
            <w:pPr/>
          </w:p>
        </w:tc>
        <w:tc>
          <w:tcPr>
            <w:tcW w:w="2938" w:type="dxa"/>
            <w:gridSpan w:val="14"/>
            <w:tcBorders>
              <w:left w:val="nil"/>
              <w:right w:val="nil"/>
            </w:tcBorders>
          </w:tcPr>
          <w:p>
            <w:pPr/>
          </w:p>
        </w:tc>
      </w:tr>
      <w:tr>
        <w:trPr>
          <w:trHeight w:val="413" w:hRule="exact"/>
        </w:trPr>
        <w:tc>
          <w:tcPr>
            <w:tcW w:w="126" w:type="dxa"/>
            <w:tcBorders>
              <w:right w:val="nil"/>
            </w:tcBorders>
          </w:tcPr>
          <w:p>
            <w:pPr/>
          </w:p>
        </w:tc>
        <w:tc>
          <w:tcPr>
            <w:tcW w:w="168" w:type="dxa"/>
            <w:vMerge/>
            <w:tcBorders>
              <w:left w:val="nil"/>
              <w:right w:val="nil"/>
            </w:tcBorders>
            <w:shd w:val="clear" w:color="auto" w:fill="00AF50"/>
          </w:tcPr>
          <w:p>
            <w:pPr/>
          </w:p>
        </w:tc>
        <w:tc>
          <w:tcPr>
            <w:tcW w:w="1090" w:type="dxa"/>
            <w:gridSpan w:val="5"/>
            <w:tcBorders>
              <w:left w:val="nil"/>
              <w:right w:val="nil"/>
            </w:tcBorders>
          </w:tcPr>
          <w:p>
            <w:pPr/>
          </w:p>
        </w:tc>
        <w:tc>
          <w:tcPr>
            <w:tcW w:w="168" w:type="dxa"/>
            <w:vMerge/>
            <w:tcBorders>
              <w:left w:val="nil"/>
              <w:right w:val="nil"/>
            </w:tcBorders>
            <w:shd w:val="clear" w:color="auto" w:fill="00AF50"/>
          </w:tcPr>
          <w:p>
            <w:pPr/>
          </w:p>
        </w:tc>
        <w:tc>
          <w:tcPr>
            <w:tcW w:w="2938" w:type="dxa"/>
            <w:gridSpan w:val="14"/>
            <w:tcBorders>
              <w:left w:val="nil"/>
              <w:right w:val="nil"/>
            </w:tcBorders>
          </w:tcPr>
          <w:p>
            <w:pPr/>
          </w:p>
        </w:tc>
      </w:tr>
      <w:tr>
        <w:trPr>
          <w:trHeight w:val="410" w:hRule="exact"/>
        </w:trPr>
        <w:tc>
          <w:tcPr>
            <w:tcW w:w="126" w:type="dxa"/>
            <w:tcBorders>
              <w:right w:val="nil"/>
            </w:tcBorders>
          </w:tcPr>
          <w:p>
            <w:pPr/>
          </w:p>
        </w:tc>
        <w:tc>
          <w:tcPr>
            <w:tcW w:w="168" w:type="dxa"/>
            <w:vMerge/>
            <w:tcBorders>
              <w:left w:val="nil"/>
              <w:right w:val="nil"/>
            </w:tcBorders>
            <w:shd w:val="clear" w:color="auto" w:fill="00AF50"/>
          </w:tcPr>
          <w:p>
            <w:pPr/>
          </w:p>
        </w:tc>
        <w:tc>
          <w:tcPr>
            <w:tcW w:w="1090" w:type="dxa"/>
            <w:gridSpan w:val="5"/>
            <w:tcBorders>
              <w:left w:val="nil"/>
              <w:right w:val="nil"/>
            </w:tcBorders>
          </w:tcPr>
          <w:p>
            <w:pPr/>
          </w:p>
        </w:tc>
        <w:tc>
          <w:tcPr>
            <w:tcW w:w="168" w:type="dxa"/>
            <w:vMerge/>
            <w:tcBorders>
              <w:left w:val="nil"/>
              <w:right w:val="nil"/>
            </w:tcBorders>
            <w:shd w:val="clear" w:color="auto" w:fill="00AF50"/>
          </w:tcPr>
          <w:p>
            <w:pPr/>
          </w:p>
        </w:tc>
        <w:tc>
          <w:tcPr>
            <w:tcW w:w="2938" w:type="dxa"/>
            <w:gridSpan w:val="14"/>
            <w:tcBorders>
              <w:left w:val="nil"/>
              <w:right w:val="nil"/>
            </w:tcBorders>
          </w:tcPr>
          <w:p>
            <w:pPr/>
          </w:p>
        </w:tc>
      </w:tr>
      <w:tr>
        <w:trPr>
          <w:trHeight w:val="410" w:hRule="exact"/>
        </w:trPr>
        <w:tc>
          <w:tcPr>
            <w:tcW w:w="126" w:type="dxa"/>
            <w:tcBorders>
              <w:right w:val="nil"/>
            </w:tcBorders>
          </w:tcPr>
          <w:p>
            <w:pPr/>
          </w:p>
        </w:tc>
        <w:tc>
          <w:tcPr>
            <w:tcW w:w="168" w:type="dxa"/>
            <w:vMerge/>
            <w:tcBorders>
              <w:left w:val="nil"/>
              <w:right w:val="nil"/>
            </w:tcBorders>
            <w:shd w:val="clear" w:color="auto" w:fill="00AF50"/>
          </w:tcPr>
          <w:p>
            <w:pPr/>
          </w:p>
        </w:tc>
        <w:tc>
          <w:tcPr>
            <w:tcW w:w="1090" w:type="dxa"/>
            <w:gridSpan w:val="5"/>
            <w:tcBorders>
              <w:left w:val="nil"/>
              <w:right w:val="nil"/>
            </w:tcBorders>
          </w:tcPr>
          <w:p>
            <w:pPr/>
          </w:p>
        </w:tc>
        <w:tc>
          <w:tcPr>
            <w:tcW w:w="168" w:type="dxa"/>
            <w:vMerge/>
            <w:tcBorders>
              <w:left w:val="nil"/>
              <w:right w:val="nil"/>
            </w:tcBorders>
            <w:shd w:val="clear" w:color="auto" w:fill="00AF50"/>
          </w:tcPr>
          <w:p>
            <w:pPr/>
          </w:p>
        </w:tc>
        <w:tc>
          <w:tcPr>
            <w:tcW w:w="672" w:type="dxa"/>
            <w:gridSpan w:val="3"/>
            <w:tcBorders>
              <w:left w:val="nil"/>
              <w:right w:val="nil"/>
            </w:tcBorders>
          </w:tcPr>
          <w:p>
            <w:pPr/>
          </w:p>
        </w:tc>
        <w:tc>
          <w:tcPr>
            <w:tcW w:w="168" w:type="dxa"/>
            <w:vMerge w:val="restart"/>
            <w:tcBorders>
              <w:left w:val="nil"/>
              <w:right w:val="nil"/>
            </w:tcBorders>
            <w:shd w:val="clear" w:color="auto" w:fill="00AF50"/>
          </w:tcPr>
          <w:p>
            <w:pPr/>
          </w:p>
        </w:tc>
        <w:tc>
          <w:tcPr>
            <w:tcW w:w="670" w:type="dxa"/>
            <w:gridSpan w:val="3"/>
            <w:tcBorders>
              <w:left w:val="nil"/>
              <w:right w:val="nil"/>
            </w:tcBorders>
          </w:tcPr>
          <w:p>
            <w:pPr/>
          </w:p>
        </w:tc>
        <w:tc>
          <w:tcPr>
            <w:tcW w:w="168" w:type="dxa"/>
            <w:vMerge w:val="restart"/>
            <w:tcBorders>
              <w:left w:val="nil"/>
              <w:right w:val="nil"/>
            </w:tcBorders>
            <w:shd w:val="clear" w:color="auto" w:fill="00AF50"/>
          </w:tcPr>
          <w:p>
            <w:pPr/>
          </w:p>
        </w:tc>
        <w:tc>
          <w:tcPr>
            <w:tcW w:w="1260" w:type="dxa"/>
            <w:gridSpan w:val="6"/>
            <w:tcBorders>
              <w:left w:val="nil"/>
              <w:right w:val="nil"/>
            </w:tcBorders>
          </w:tcPr>
          <w:p>
            <w:pPr/>
          </w:p>
        </w:tc>
      </w:tr>
      <w:tr>
        <w:trPr>
          <w:trHeight w:val="410" w:hRule="exact"/>
        </w:trPr>
        <w:tc>
          <w:tcPr>
            <w:tcW w:w="126" w:type="dxa"/>
            <w:tcBorders>
              <w:right w:val="nil"/>
            </w:tcBorders>
          </w:tcPr>
          <w:p>
            <w:pPr/>
          </w:p>
        </w:tc>
        <w:tc>
          <w:tcPr>
            <w:tcW w:w="168" w:type="dxa"/>
            <w:vMerge/>
            <w:tcBorders>
              <w:left w:val="nil"/>
              <w:right w:val="nil"/>
            </w:tcBorders>
            <w:shd w:val="clear" w:color="auto" w:fill="00AF50"/>
          </w:tcPr>
          <w:p>
            <w:pPr/>
          </w:p>
        </w:tc>
        <w:tc>
          <w:tcPr>
            <w:tcW w:w="1090" w:type="dxa"/>
            <w:gridSpan w:val="5"/>
            <w:tcBorders>
              <w:left w:val="nil"/>
              <w:right w:val="nil"/>
            </w:tcBorders>
          </w:tcPr>
          <w:p>
            <w:pPr/>
          </w:p>
        </w:tc>
        <w:tc>
          <w:tcPr>
            <w:tcW w:w="168" w:type="dxa"/>
            <w:vMerge/>
            <w:tcBorders>
              <w:left w:val="nil"/>
              <w:right w:val="nil"/>
            </w:tcBorders>
            <w:shd w:val="clear" w:color="auto" w:fill="00AF50"/>
          </w:tcPr>
          <w:p>
            <w:pPr/>
          </w:p>
        </w:tc>
        <w:tc>
          <w:tcPr>
            <w:tcW w:w="672" w:type="dxa"/>
            <w:gridSpan w:val="3"/>
            <w:tcBorders>
              <w:left w:val="nil"/>
              <w:right w:val="nil"/>
            </w:tcBorders>
          </w:tcPr>
          <w:p>
            <w:pPr/>
          </w:p>
        </w:tc>
        <w:tc>
          <w:tcPr>
            <w:tcW w:w="168" w:type="dxa"/>
            <w:vMerge/>
            <w:tcBorders>
              <w:left w:val="nil"/>
              <w:right w:val="nil"/>
            </w:tcBorders>
            <w:shd w:val="clear" w:color="auto" w:fill="00AF50"/>
          </w:tcPr>
          <w:p>
            <w:pPr/>
          </w:p>
        </w:tc>
        <w:tc>
          <w:tcPr>
            <w:tcW w:w="670" w:type="dxa"/>
            <w:gridSpan w:val="3"/>
            <w:tcBorders>
              <w:left w:val="nil"/>
              <w:right w:val="nil"/>
            </w:tcBorders>
          </w:tcPr>
          <w:p>
            <w:pPr/>
          </w:p>
        </w:tc>
        <w:tc>
          <w:tcPr>
            <w:tcW w:w="168" w:type="dxa"/>
            <w:vMerge/>
            <w:tcBorders>
              <w:left w:val="nil"/>
              <w:right w:val="nil"/>
            </w:tcBorders>
            <w:shd w:val="clear" w:color="auto" w:fill="00AF50"/>
          </w:tcPr>
          <w:p>
            <w:pPr/>
          </w:p>
        </w:tc>
        <w:tc>
          <w:tcPr>
            <w:tcW w:w="672" w:type="dxa"/>
            <w:gridSpan w:val="3"/>
            <w:tcBorders>
              <w:left w:val="nil"/>
              <w:right w:val="nil"/>
            </w:tcBorders>
          </w:tcPr>
          <w:p>
            <w:pPr/>
          </w:p>
        </w:tc>
        <w:tc>
          <w:tcPr>
            <w:tcW w:w="168" w:type="dxa"/>
            <w:vMerge w:val="restart"/>
            <w:tcBorders>
              <w:left w:val="nil"/>
              <w:right w:val="nil"/>
            </w:tcBorders>
            <w:shd w:val="clear" w:color="auto" w:fill="00AF50"/>
          </w:tcPr>
          <w:p>
            <w:pPr/>
          </w:p>
        </w:tc>
        <w:tc>
          <w:tcPr>
            <w:tcW w:w="420" w:type="dxa"/>
            <w:gridSpan w:val="2"/>
            <w:tcBorders>
              <w:left w:val="nil"/>
              <w:right w:val="nil"/>
            </w:tcBorders>
          </w:tcPr>
          <w:p>
            <w:pPr/>
          </w:p>
        </w:tc>
      </w:tr>
      <w:tr>
        <w:trPr>
          <w:trHeight w:val="412" w:hRule="exact"/>
        </w:trPr>
        <w:tc>
          <w:tcPr>
            <w:tcW w:w="126" w:type="dxa"/>
            <w:tcBorders>
              <w:right w:val="nil"/>
            </w:tcBorders>
          </w:tcPr>
          <w:p>
            <w:pPr/>
          </w:p>
        </w:tc>
        <w:tc>
          <w:tcPr>
            <w:tcW w:w="168" w:type="dxa"/>
            <w:vMerge/>
            <w:tcBorders>
              <w:left w:val="nil"/>
              <w:right w:val="nil"/>
            </w:tcBorders>
            <w:shd w:val="clear" w:color="auto" w:fill="00AF50"/>
          </w:tcPr>
          <w:p>
            <w:pPr/>
          </w:p>
        </w:tc>
        <w:tc>
          <w:tcPr>
            <w:tcW w:w="252" w:type="dxa"/>
            <w:tcBorders>
              <w:left w:val="nil"/>
              <w:right w:val="nil"/>
            </w:tcBorders>
          </w:tcPr>
          <w:p>
            <w:pPr/>
          </w:p>
        </w:tc>
        <w:tc>
          <w:tcPr>
            <w:tcW w:w="168" w:type="dxa"/>
            <w:tcBorders>
              <w:left w:val="nil"/>
              <w:right w:val="nil"/>
            </w:tcBorders>
            <w:shd w:val="clear" w:color="auto" w:fill="00AF50"/>
          </w:tcPr>
          <w:p>
            <w:pPr/>
          </w:p>
        </w:tc>
        <w:tc>
          <w:tcPr>
            <w:tcW w:w="252" w:type="dxa"/>
            <w:tcBorders>
              <w:left w:val="nil"/>
              <w:bottom w:val="single" w:sz="24" w:space="0" w:color="858585"/>
              <w:right w:val="nil"/>
            </w:tcBorders>
          </w:tcPr>
          <w:p>
            <w:pPr/>
          </w:p>
        </w:tc>
        <w:tc>
          <w:tcPr>
            <w:tcW w:w="166" w:type="dxa"/>
            <w:tcBorders>
              <w:left w:val="nil"/>
              <w:right w:val="nil"/>
            </w:tcBorders>
            <w:shd w:val="clear" w:color="auto" w:fill="00AF50"/>
          </w:tcPr>
          <w:p>
            <w:pPr/>
          </w:p>
        </w:tc>
        <w:tc>
          <w:tcPr>
            <w:tcW w:w="252" w:type="dxa"/>
            <w:tcBorders>
              <w:left w:val="nil"/>
              <w:bottom w:val="single" w:sz="24" w:space="0" w:color="858585"/>
              <w:right w:val="nil"/>
            </w:tcBorders>
          </w:tcPr>
          <w:p>
            <w:pPr/>
          </w:p>
        </w:tc>
        <w:tc>
          <w:tcPr>
            <w:tcW w:w="168" w:type="dxa"/>
            <w:vMerge/>
            <w:tcBorders>
              <w:left w:val="nil"/>
              <w:right w:val="nil"/>
            </w:tcBorders>
            <w:shd w:val="clear" w:color="auto" w:fill="00AF50"/>
          </w:tcPr>
          <w:p>
            <w:pPr/>
          </w:p>
        </w:tc>
        <w:tc>
          <w:tcPr>
            <w:tcW w:w="252" w:type="dxa"/>
            <w:tcBorders>
              <w:left w:val="nil"/>
              <w:bottom w:val="single" w:sz="24" w:space="0" w:color="858585"/>
              <w:right w:val="nil"/>
            </w:tcBorders>
          </w:tcPr>
          <w:p>
            <w:pPr/>
          </w:p>
        </w:tc>
        <w:tc>
          <w:tcPr>
            <w:tcW w:w="168" w:type="dxa"/>
            <w:tcBorders>
              <w:left w:val="nil"/>
              <w:right w:val="nil"/>
            </w:tcBorders>
            <w:shd w:val="clear" w:color="auto" w:fill="00AF50"/>
          </w:tcPr>
          <w:p>
            <w:pPr/>
          </w:p>
        </w:tc>
        <w:tc>
          <w:tcPr>
            <w:tcW w:w="252" w:type="dxa"/>
            <w:tcBorders>
              <w:left w:val="nil"/>
              <w:bottom w:val="single" w:sz="24" w:space="0" w:color="858585"/>
              <w:right w:val="nil"/>
            </w:tcBorders>
          </w:tcPr>
          <w:p>
            <w:pPr/>
          </w:p>
        </w:tc>
        <w:tc>
          <w:tcPr>
            <w:tcW w:w="168" w:type="dxa"/>
            <w:vMerge/>
            <w:tcBorders>
              <w:left w:val="nil"/>
              <w:right w:val="nil"/>
            </w:tcBorders>
            <w:shd w:val="clear" w:color="auto" w:fill="00AF50"/>
          </w:tcPr>
          <w:p>
            <w:pPr/>
          </w:p>
        </w:tc>
        <w:tc>
          <w:tcPr>
            <w:tcW w:w="252" w:type="dxa"/>
            <w:tcBorders>
              <w:left w:val="nil"/>
              <w:right w:val="nil"/>
            </w:tcBorders>
          </w:tcPr>
          <w:p>
            <w:pPr/>
          </w:p>
        </w:tc>
        <w:tc>
          <w:tcPr>
            <w:tcW w:w="168" w:type="dxa"/>
            <w:tcBorders>
              <w:left w:val="nil"/>
              <w:right w:val="nil"/>
            </w:tcBorders>
            <w:shd w:val="clear" w:color="auto" w:fill="00AF50"/>
          </w:tcPr>
          <w:p>
            <w:pPr/>
          </w:p>
        </w:tc>
        <w:tc>
          <w:tcPr>
            <w:tcW w:w="250" w:type="dxa"/>
            <w:tcBorders>
              <w:left w:val="nil"/>
              <w:right w:val="nil"/>
            </w:tcBorders>
          </w:tcPr>
          <w:p>
            <w:pPr/>
          </w:p>
        </w:tc>
        <w:tc>
          <w:tcPr>
            <w:tcW w:w="168" w:type="dxa"/>
            <w:vMerge/>
            <w:tcBorders>
              <w:left w:val="nil"/>
              <w:right w:val="nil"/>
            </w:tcBorders>
            <w:shd w:val="clear" w:color="auto" w:fill="00AF50"/>
          </w:tcPr>
          <w:p>
            <w:pPr/>
          </w:p>
        </w:tc>
        <w:tc>
          <w:tcPr>
            <w:tcW w:w="252" w:type="dxa"/>
            <w:tcBorders>
              <w:left w:val="nil"/>
              <w:right w:val="nil"/>
            </w:tcBorders>
          </w:tcPr>
          <w:p>
            <w:pPr/>
          </w:p>
        </w:tc>
        <w:tc>
          <w:tcPr>
            <w:tcW w:w="168" w:type="dxa"/>
            <w:tcBorders>
              <w:left w:val="nil"/>
              <w:right w:val="nil"/>
            </w:tcBorders>
            <w:shd w:val="clear" w:color="auto" w:fill="00AF50"/>
          </w:tcPr>
          <w:p>
            <w:pPr/>
          </w:p>
        </w:tc>
        <w:tc>
          <w:tcPr>
            <w:tcW w:w="252" w:type="dxa"/>
            <w:tcBorders>
              <w:left w:val="nil"/>
              <w:bottom w:val="single" w:sz="24" w:space="0" w:color="858585"/>
              <w:right w:val="nil"/>
            </w:tcBorders>
          </w:tcPr>
          <w:p>
            <w:pPr/>
          </w:p>
        </w:tc>
        <w:tc>
          <w:tcPr>
            <w:tcW w:w="168" w:type="dxa"/>
            <w:vMerge/>
            <w:tcBorders>
              <w:left w:val="nil"/>
              <w:right w:val="nil"/>
            </w:tcBorders>
            <w:shd w:val="clear" w:color="auto" w:fill="00AF50"/>
          </w:tcPr>
          <w:p>
            <w:pPr/>
          </w:p>
        </w:tc>
        <w:tc>
          <w:tcPr>
            <w:tcW w:w="252" w:type="dxa"/>
            <w:tcBorders>
              <w:left w:val="nil"/>
              <w:bottom w:val="single" w:sz="24" w:space="0" w:color="858585"/>
              <w:right w:val="nil"/>
            </w:tcBorders>
          </w:tcPr>
          <w:p>
            <w:pPr/>
          </w:p>
        </w:tc>
        <w:tc>
          <w:tcPr>
            <w:tcW w:w="168" w:type="dxa"/>
            <w:tcBorders>
              <w:left w:val="nil"/>
              <w:right w:val="nil"/>
            </w:tcBorders>
            <w:shd w:val="clear" w:color="auto" w:fill="00AF50"/>
          </w:tcPr>
          <w:p>
            <w:pPr/>
          </w:p>
        </w:tc>
      </w:tr>
    </w:tbl>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1"/>
        <w:rPr>
          <w:b/>
          <w:sz w:val="30"/>
        </w:rPr>
      </w:pPr>
    </w:p>
    <w:p>
      <w:pPr>
        <w:pStyle w:val="BodyText"/>
        <w:spacing w:line="362" w:lineRule="auto"/>
        <w:ind w:left="222" w:right="220"/>
        <w:jc w:val="both"/>
      </w:pPr>
      <w:r>
        <w:rPr>
          <w:b/>
        </w:rPr>
        <w:t>Fuente: </w:t>
      </w:r>
      <w:r>
        <w:rPr/>
        <w:t>Elaboración propia con base en los datos obtenidos en Trabajo de Campo García (2013-2015).</w:t>
      </w:r>
    </w:p>
    <w:p>
      <w:pPr>
        <w:pStyle w:val="BodyText"/>
        <w:spacing w:before="4"/>
        <w:rPr>
          <w:sz w:val="17"/>
        </w:rPr>
      </w:pPr>
    </w:p>
    <w:p>
      <w:pPr>
        <w:pStyle w:val="BodyText"/>
        <w:spacing w:line="360" w:lineRule="auto"/>
        <w:ind w:left="222" w:right="218"/>
        <w:jc w:val="both"/>
      </w:pPr>
      <w:r>
        <w:rPr/>
        <w:t>En la tabla y gráfica anteriores, resalta que 7 de los actores municipales sugieren que sean los tres niveles de gobierno con la ciudadanía (cogestión) quienes resuelvan los problemas; seguida de la propuesta de otros 6 actores, que sugieren que sean los tres niveles de gobierno solamente; otros 4 actores señalan que sea el gobierno municipal y</w:t>
      </w:r>
      <w:r>
        <w:rPr>
          <w:spacing w:val="26"/>
        </w:rPr>
        <w:t> </w:t>
      </w:r>
      <w:r>
        <w:rPr/>
        <w:t>la</w:t>
      </w:r>
    </w:p>
    <w:p>
      <w:pPr>
        <w:spacing w:after="0" w:line="360" w:lineRule="auto"/>
        <w:jc w:val="both"/>
        <w:sectPr>
          <w:pgSz w:w="12240" w:h="15840"/>
          <w:pgMar w:header="0" w:footer="1003" w:top="1420" w:bottom="1200" w:left="1480" w:right="1480"/>
        </w:sectPr>
      </w:pPr>
    </w:p>
    <w:p>
      <w:pPr>
        <w:pStyle w:val="BodyText"/>
        <w:spacing w:line="360" w:lineRule="auto" w:before="53"/>
        <w:ind w:left="102" w:right="116"/>
        <w:jc w:val="both"/>
      </w:pPr>
      <w:r>
        <w:rPr/>
        <w:t>ciudadanía; mientras que 4 señalan que sean sólo los municipios aledaños a la presa; otros dos señalan a la Conagua y la CAEM como responsables de la solución de la problemática de la presa Huapango; otros actores señalan que sean los ciudadanos quienes los solucionen; otro señala al gobierno federal como responsable; y uno más, no contestó.</w:t>
      </w:r>
    </w:p>
    <w:p>
      <w:pPr>
        <w:pStyle w:val="BodyText"/>
        <w:spacing w:before="7"/>
        <w:rPr>
          <w:sz w:val="17"/>
        </w:rPr>
      </w:pPr>
    </w:p>
    <w:p>
      <w:pPr>
        <w:pStyle w:val="BodyText"/>
        <w:spacing w:line="360" w:lineRule="auto"/>
        <w:ind w:left="102" w:right="116"/>
        <w:jc w:val="both"/>
      </w:pPr>
      <w:r>
        <w:rPr/>
        <w:t>Para el caso de los </w:t>
      </w:r>
      <w:r>
        <w:rPr>
          <w:i/>
        </w:rPr>
        <w:t>actores federales</w:t>
      </w:r>
      <w:r>
        <w:rPr/>
        <w:t>, a través de las entrevistas sugieren que los problemas de la cuenca hidrosocial presa Huapango, pueden solucionarse “mediante una estrategia que consiste en canalizar volúmenes de agua de otras fuentes (aguas residuales de la ciudad de Toluca) y modernizar las instalaciones de riego (Aculco y Polotitlán); y el problema de la contaminación, pues ya no se sabe… porque ya se colocaron plantas tratadoras (Zaragoza, Timilpan), pero no se usan y otras comunidades usan fosas sépticas que a veces no sirven y la falta de lluvias es por un suelo sin árboles  y por los cambios en el medio ambiente; y pues debiera evitarse la caída de aguas residuales a la presa Huapango”… “Por lo que, quiénes debieran solucionar los  problemas son los usuarios conjuntamente con inversiones del gobierno federal y estatal, ya que el gobierno municipal sólo participa en acciones más de tipo organizativo o social; otro actor señala que debiera ser el municipio mediante la cultura y la Conagua con la normatividad de ríos, lagunas, afluentes; y uno más señala que solamente la</w:t>
      </w:r>
      <w:r>
        <w:rPr>
          <w:spacing w:val="-24"/>
        </w:rPr>
        <w:t> </w:t>
      </w:r>
      <w:r>
        <w:rPr/>
        <w:t>Conagua”.</w:t>
      </w:r>
    </w:p>
    <w:p>
      <w:pPr>
        <w:pStyle w:val="BodyText"/>
        <w:spacing w:before="7"/>
        <w:rPr>
          <w:sz w:val="17"/>
        </w:rPr>
      </w:pPr>
    </w:p>
    <w:p>
      <w:pPr>
        <w:pStyle w:val="BodyText"/>
        <w:spacing w:line="360" w:lineRule="auto"/>
        <w:ind w:left="102" w:right="116"/>
        <w:jc w:val="both"/>
      </w:pPr>
      <w:r>
        <w:rPr>
          <w:i/>
        </w:rPr>
        <w:t>En conclusión, en el principio de poder</w:t>
      </w:r>
      <w:r>
        <w:rPr/>
        <w:t>, destacan las estructuras y redes sobre todo en el nivel más alto de gobierno (federal), que se tejen con los otros actores entorno a la cuenca hidrosocial presa Huapango. Mediante las entrevistas, los actores municipales e históricos, señalaron como principales problemas en este aspecto, a la contaminación como efecto de la falta de acuerdos entre los tres niveles; el crecimiento demográfico en áreas en torno a la presa por falta de planeación (e integridad) por parte de las autoridades correspondientes. Se identifica una inequitativa distribución del agua para riego, que obedece en parte a la historia política de la presa Huapango, y otra parte se relaciona con la ubicación geográfica del sistema de riego, ya que las concesiones otorgadas desde época de las haciendas a los actores de aguas abajo (Aculco y Polotitlán), fueron ratificadas por el Estado con el reparto agrario y la creación del Distrito de riego por parte de la CONGUA, favoreciendo así estos dos municipios y a sus actores, creando redes de poder que se detectan en la exclusividad del agua para riego procedente de la presa. Dichas acciones han generado un descontento sociopolítico en los actores de los municipios de aguas arriba (Acambay, Jilotepec y Timilpan),   </w:t>
      </w:r>
      <w:r>
        <w:rPr>
          <w:spacing w:val="5"/>
        </w:rPr>
        <w:t> </w:t>
      </w:r>
      <w:r>
        <w:rPr/>
        <w:t>porque el</w:t>
      </w:r>
    </w:p>
    <w:p>
      <w:pPr>
        <w:spacing w:after="0" w:line="360" w:lineRule="auto"/>
        <w:jc w:val="both"/>
        <w:sectPr>
          <w:pgSz w:w="12240" w:h="15840"/>
          <w:pgMar w:header="0" w:footer="1003" w:top="1360" w:bottom="1200" w:left="1600" w:right="1580"/>
        </w:sectPr>
      </w:pPr>
    </w:p>
    <w:p>
      <w:pPr>
        <w:pStyle w:val="BodyText"/>
        <w:spacing w:line="360" w:lineRule="auto" w:before="53"/>
        <w:ind w:left="102" w:right="112"/>
        <w:jc w:val="both"/>
      </w:pPr>
      <w:r>
        <w:rPr/>
        <w:t>estado se niega a dejarlos regar sus tierras, a pesar de tener otra situación sociopolítica donde hay que reconsiderar la forma actual del reparto del agua entre los municipios que integran la cuenca. En este sentido, los actores afirman que la presa Huapango es de orden federal y tienen derecho a riego, sin embargo, la CONAGUA sólo les deja a los municipios de aguas arriba verse beneficiados con la pesca, recolección de comida lacustre, y con los pastos y agua para que tome su ganado, si bien reconocen que son actividades importantes para su economía de autoconsumo, no les permite generar un mejor desarrollo socioeconómico. Es por ello que exigen una nueva redistribución del recurso agua para riego, que tome en cuenta otras características sociopolíticas de los municipios colindantes del territorio que ocupa las presa Huapango, la cual está dentro de las tierras ejidales de Timilpan y Acambay principalmente, quienes tienen negada el agua de riego por ley procedente de la presa Huapango.</w:t>
      </w:r>
    </w:p>
    <w:p>
      <w:pPr>
        <w:pStyle w:val="BodyText"/>
        <w:spacing w:before="7"/>
        <w:rPr>
          <w:sz w:val="17"/>
        </w:rPr>
      </w:pPr>
    </w:p>
    <w:p>
      <w:pPr>
        <w:pStyle w:val="BodyText"/>
        <w:spacing w:line="360" w:lineRule="auto"/>
        <w:ind w:left="102" w:right="118"/>
        <w:jc w:val="both"/>
      </w:pPr>
      <w:r>
        <w:rPr/>
        <w:t>Por su parte, los actores beneficiados de aguas abajo, señalan como principal problema (de poder) la falta de más agua para riego y ganadería, ya que la presa no abastece como antaño a dichos actores por la expansión de tierras para riego y ganado, además de señalar que la presa ya no se llena por falta de lluvia y evaporación. Por tal motivo presionan a la Conagua para que dé una solución, donde la presa Huapango obtenga  más agua para riego de sus tierras y poder producir más lácteos y carne. Es así que los actores federales, han pensado en favorecer con una solución técnica la falta de agua para éstos actores, al planear llevar más agua a la presa (agua tratada de la ciudad de Toluca), sin tomar en cuenta los efectos ambientales que por esta causa se generarían en la región. Es en esta red política donde la Conagua evidentemente evade el tema de dotación de agua para los otros actores de los municipios de aguas</w:t>
      </w:r>
      <w:r>
        <w:rPr>
          <w:spacing w:val="-26"/>
        </w:rPr>
        <w:t> </w:t>
      </w:r>
      <w:r>
        <w:rPr/>
        <w:t>arriba.</w:t>
      </w:r>
    </w:p>
    <w:p>
      <w:pPr>
        <w:pStyle w:val="BodyText"/>
        <w:spacing w:before="9"/>
        <w:rPr>
          <w:sz w:val="17"/>
        </w:rPr>
      </w:pPr>
    </w:p>
    <w:p>
      <w:pPr>
        <w:pStyle w:val="BodyText"/>
        <w:spacing w:line="360" w:lineRule="auto"/>
        <w:ind w:left="102" w:right="118"/>
        <w:jc w:val="both"/>
      </w:pPr>
      <w:r>
        <w:rPr/>
        <w:t>Bajo estas premisas, destaca la percepción de la mayoría de los actores históricos, que proponen que sean ellos mismos como ciudadanos los que resuelvan sus problemas, ya que las autoridades federales y municipales, no han asumido su responsabilidad para solucionarlos, por atender más al poder político que social. Por su parte, los actores municipales señalan (en su mayoría) que la solución debe darse en los tres niveles de gobierno junto con la población, ya que ellos como autoridades municipales no pueden solos, porque tienen severas limitaciones dadas por la ley, la cual que no les permite intervenir directamente en la laguna de Huapango a pesar de estar en su territorio por ser un cuerpo de agua que maneja la federación a través de la Conagua.</w:t>
      </w:r>
    </w:p>
    <w:p>
      <w:pPr>
        <w:spacing w:after="0" w:line="360" w:lineRule="auto"/>
        <w:jc w:val="both"/>
        <w:sectPr>
          <w:pgSz w:w="12240" w:h="15840"/>
          <w:pgMar w:header="0" w:footer="1003" w:top="1360" w:bottom="1200" w:left="1600" w:right="1580"/>
        </w:sectPr>
      </w:pPr>
    </w:p>
    <w:p>
      <w:pPr>
        <w:pStyle w:val="BodyText"/>
        <w:spacing w:line="360" w:lineRule="auto" w:before="53"/>
        <w:ind w:left="102" w:right="116"/>
        <w:jc w:val="both"/>
      </w:pPr>
      <w:r>
        <w:rPr/>
        <w:t>Finalmente con el principio de poder, se identificó la importancia que tiene la presa Huapango como eje articulador para el desarrollo de la región, al relacionarse los actores en torno a las ideas de solución y responsabilidad de sus problemas. Por lo que se requiere una reestructuración política de la reasignación del agua de la presa Huapango, haciendo uso de las estructuras sociales de los actores que se han establecido a través  de la historia para una planeación integrada. Así, se detecta la propuesta de los actores  de la creación de un Comité Intermunicipal con su reglamento, para el uso, cuidado y defensa de la presa Huapango, en donde sean los actores históricos los principales responsables de su solución, a través de las relaciones intermunicipales y la gobernanza  y gobernabilidad respetada por la federación, basadas en la democracia, participación social y cooperación para resolver los conflictos a través de acuerdos</w:t>
      </w:r>
      <w:r>
        <w:rPr>
          <w:spacing w:val="-20"/>
        </w:rPr>
        <w:t> </w:t>
      </w:r>
      <w:r>
        <w:rPr/>
        <w:t>formales.</w:t>
      </w:r>
    </w:p>
    <w:p>
      <w:pPr>
        <w:pStyle w:val="BodyText"/>
        <w:spacing w:before="4"/>
        <w:rPr>
          <w:sz w:val="17"/>
        </w:rPr>
      </w:pPr>
    </w:p>
    <w:p>
      <w:pPr>
        <w:pStyle w:val="ListParagraph"/>
        <w:numPr>
          <w:ilvl w:val="2"/>
          <w:numId w:val="51"/>
        </w:numPr>
        <w:tabs>
          <w:tab w:pos="834" w:val="left" w:leader="none"/>
        </w:tabs>
        <w:spacing w:line="362" w:lineRule="auto" w:before="0" w:after="0"/>
        <w:ind w:left="102" w:right="118" w:firstLine="0"/>
        <w:jc w:val="both"/>
        <w:rPr>
          <w:b/>
          <w:i/>
          <w:sz w:val="22"/>
        </w:rPr>
      </w:pPr>
      <w:r>
        <w:rPr>
          <w:b/>
          <w:sz w:val="22"/>
        </w:rPr>
        <w:t>Otros principios de gobernanza: </w:t>
      </w:r>
      <w:r>
        <w:rPr>
          <w:b/>
          <w:i/>
          <w:sz w:val="22"/>
        </w:rPr>
        <w:t>las relaciones intermunicipales y la </w:t>
      </w:r>
      <w:r>
        <w:rPr>
          <w:b/>
          <w:i/>
          <w:sz w:val="22"/>
        </w:rPr>
        <w:t>gobernabilidad en la</w:t>
      </w:r>
      <w:r>
        <w:rPr>
          <w:b/>
          <w:i/>
          <w:spacing w:val="-8"/>
          <w:sz w:val="22"/>
        </w:rPr>
        <w:t> </w:t>
      </w:r>
      <w:r>
        <w:rPr>
          <w:b/>
          <w:i/>
          <w:sz w:val="22"/>
        </w:rPr>
        <w:t>CHPH</w:t>
      </w:r>
    </w:p>
    <w:p>
      <w:pPr>
        <w:pStyle w:val="BodyText"/>
        <w:spacing w:before="7"/>
        <w:rPr>
          <w:b/>
          <w:i/>
          <w:sz w:val="17"/>
        </w:rPr>
      </w:pPr>
    </w:p>
    <w:p>
      <w:pPr>
        <w:pStyle w:val="BodyText"/>
        <w:spacing w:line="360" w:lineRule="auto"/>
        <w:ind w:left="102" w:right="117"/>
        <w:jc w:val="both"/>
      </w:pPr>
      <w:r>
        <w:rPr/>
        <w:t>Los principios de gobernanza y gobernabilidad en las relaciones intermunicipales son muy importantes para proponer y construir acciones que resuelvan los problemas que se generan en la cuenca hidrosocial presa Huapango, por tal motivo es importante identificar la operación de estos dos conceptos relacionados entre sí.</w:t>
      </w:r>
    </w:p>
    <w:p>
      <w:pPr>
        <w:pStyle w:val="BodyText"/>
        <w:spacing w:before="7"/>
        <w:rPr>
          <w:sz w:val="17"/>
        </w:rPr>
      </w:pPr>
    </w:p>
    <w:p>
      <w:pPr>
        <w:pStyle w:val="BodyText"/>
        <w:spacing w:line="360" w:lineRule="auto"/>
        <w:ind w:left="102" w:right="115"/>
        <w:jc w:val="both"/>
      </w:pPr>
      <w:r>
        <w:rPr/>
        <w:t>Arnoletto (Cfr. 2010), Hernández (Cfr. 2003) y Florentino (Cfr. 2004), señalan que el objetivo central de las relaciones intermunicipales </w:t>
      </w:r>
      <w:r>
        <w:rPr>
          <w:i/>
        </w:rPr>
        <w:t>es lograr una vinculación y gestión </w:t>
      </w:r>
      <w:r>
        <w:rPr>
          <w:i/>
        </w:rPr>
        <w:t>efectiva del municipio con los otros municipios de su área de influencia</w:t>
      </w:r>
      <w:r>
        <w:rPr/>
        <w:t>, para favorecer la realización de objetivos regionales por medio de la colaboración y obtener un incremento de su influencia sobre los poderes provinciales y nacionales. Esto si bien es cierto y atractiva la idea, se queda corta al centrar su peso en el municipio y sus relaciones con sus similares. Le falta la vinculación de sus ciudadanos (actores históricos) como los sujetos principales para tomar y llegar acuerdos ante problemas comunes (interactores).</w:t>
      </w:r>
    </w:p>
    <w:p>
      <w:pPr>
        <w:pStyle w:val="BodyText"/>
        <w:spacing w:before="10"/>
        <w:rPr>
          <w:sz w:val="17"/>
        </w:rPr>
      </w:pPr>
    </w:p>
    <w:p>
      <w:pPr>
        <w:pStyle w:val="BodyText"/>
        <w:spacing w:line="360" w:lineRule="auto"/>
        <w:ind w:left="102" w:right="114"/>
        <w:jc w:val="both"/>
      </w:pPr>
      <w:r>
        <w:rPr/>
        <w:t>La gobernabilidad se hace importante en este proceso. Castelazo (Cfr. 2004), se refiere a la </w:t>
      </w:r>
      <w:r>
        <w:rPr>
          <w:i/>
        </w:rPr>
        <w:t>gobernabilidad </w:t>
      </w:r>
      <w:r>
        <w:rPr/>
        <w:t>como un conjunto de condiciones sociopolíticas que deben de ser armonizadas. Ellas propician así </w:t>
      </w:r>
      <w:r>
        <w:rPr>
          <w:i/>
        </w:rPr>
        <w:t>la capacidad de gobernar</w:t>
      </w:r>
      <w:r>
        <w:rPr/>
        <w:t>. No es “algo” espontáneo, ni  un suceso permanente; se refiere a un proceso de adaptación dinámica, capaz de conciliar, elaborar o reformar esas condiciones para dar respuestas acordes a las nuevas demandas sociopolíticas de los actores y sus regiones. Lo que demanda una gestión organizada por los actores mediante acuerdos que les permita una mejor</w:t>
      </w:r>
      <w:r>
        <w:rPr>
          <w:spacing w:val="-28"/>
        </w:rPr>
        <w:t> </w:t>
      </w:r>
      <w:r>
        <w:rPr/>
        <w:t>convivencia.</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8"/>
        <w:rPr>
          <w:sz w:val="16"/>
        </w:rPr>
      </w:pPr>
    </w:p>
    <w:p>
      <w:pPr>
        <w:pStyle w:val="BodyText"/>
        <w:spacing w:line="360" w:lineRule="auto" w:before="73"/>
        <w:ind w:left="102" w:right="115"/>
        <w:jc w:val="both"/>
      </w:pPr>
      <w:r>
        <w:rPr/>
        <w:t>La gobernabilidad se rige por </w:t>
      </w:r>
      <w:r>
        <w:rPr>
          <w:i/>
        </w:rPr>
        <w:t>Principios</w:t>
      </w:r>
      <w:r>
        <w:rPr/>
        <w:t>, los cuales otorgan la legitimidad indispensable para la toma de decisiones. Ellos tienden a garantizar la independencia y soberanía, así como la libertad de sus habitantes, a través de la impartición de justicia y la democracia. No hay gobernabilidad por sí misma, sino debe estar conectada e identificada con ideas rectoras que le dan sentido, orientación y le brindan la posibilidad de establecer objetivos concretos a través de sus principios.</w:t>
      </w:r>
    </w:p>
    <w:p>
      <w:pPr>
        <w:pStyle w:val="BodyText"/>
        <w:spacing w:before="9"/>
        <w:rPr>
          <w:sz w:val="17"/>
        </w:rPr>
      </w:pPr>
    </w:p>
    <w:p>
      <w:pPr>
        <w:pStyle w:val="BodyText"/>
        <w:spacing w:line="360" w:lineRule="auto"/>
        <w:ind w:left="102" w:right="115"/>
        <w:jc w:val="both"/>
      </w:pPr>
      <w:r>
        <w:rPr/>
        <w:t>La gobernabilidad se regula por </w:t>
      </w:r>
      <w:r>
        <w:rPr>
          <w:i/>
        </w:rPr>
        <w:t>Normas</w:t>
      </w:r>
      <w:r>
        <w:rPr/>
        <w:t>. Sólo un Estado de Derecho puede garantizar los incentivos o sanciones generadas por el actuar social y determinar derechos y obligaciones con el fin de distribuir responsabilidades institucionales y personales, tanto  en el gobierno como en la</w:t>
      </w:r>
      <w:r>
        <w:rPr>
          <w:spacing w:val="-6"/>
        </w:rPr>
        <w:t> </w:t>
      </w:r>
      <w:r>
        <w:rPr/>
        <w:t>sociedad.</w:t>
      </w:r>
    </w:p>
    <w:p>
      <w:pPr>
        <w:pStyle w:val="BodyText"/>
        <w:spacing w:before="9"/>
        <w:rPr>
          <w:sz w:val="17"/>
        </w:rPr>
      </w:pPr>
    </w:p>
    <w:p>
      <w:pPr>
        <w:pStyle w:val="BodyText"/>
        <w:spacing w:line="360" w:lineRule="auto"/>
        <w:ind w:left="102" w:right="114"/>
        <w:jc w:val="both"/>
      </w:pPr>
      <w:r>
        <w:rPr/>
        <w:t>La gobernabilidad se realiza a través de </w:t>
      </w:r>
      <w:r>
        <w:rPr>
          <w:i/>
        </w:rPr>
        <w:t>Prácticas </w:t>
      </w:r>
      <w:r>
        <w:rPr/>
        <w:t>político-administrativas, traductoras de los principios y normas, en conductas específicas, comportamientos individuales e institucionales, orientados a lograr acuerdos básicos para “hacer” cosas que conlleven al bienestar general. Sin la búsqueda del bienestar, no hay gobernabilidad estable.</w:t>
      </w:r>
    </w:p>
    <w:p>
      <w:pPr>
        <w:pStyle w:val="BodyText"/>
        <w:spacing w:before="7"/>
        <w:rPr>
          <w:sz w:val="17"/>
        </w:rPr>
      </w:pPr>
    </w:p>
    <w:p>
      <w:pPr>
        <w:pStyle w:val="BodyText"/>
        <w:spacing w:line="360" w:lineRule="auto"/>
        <w:ind w:left="102" w:right="114"/>
        <w:jc w:val="both"/>
      </w:pPr>
      <w:r>
        <w:rPr/>
        <w:t>Por ello, el derecho consuetudinario es un instrumento que permite una buena gobernabilidad. De acuerdo con Stavenhagen (Cfr. 1988), es “un conjunto de normas y reglas de comportamiento y de convivencia social, que contribuyen a la integración de una sociedad, al mantenimiento del orden interno y a la solución de conflictos incluyendo un sistema de sanciones para quienes violen estas normas… (este tipo de derecho) no ha sido creado por el Estado a través de sus órganos correspondientes” (sino es el resultado de la historia sociopolítica de los actores en una región).</w:t>
      </w:r>
    </w:p>
    <w:p>
      <w:pPr>
        <w:pStyle w:val="BodyText"/>
        <w:spacing w:before="9"/>
        <w:rPr>
          <w:sz w:val="17"/>
        </w:rPr>
      </w:pPr>
    </w:p>
    <w:p>
      <w:pPr>
        <w:pStyle w:val="BodyText"/>
        <w:spacing w:line="360" w:lineRule="auto"/>
        <w:ind w:left="102" w:right="114"/>
        <w:jc w:val="both"/>
      </w:pPr>
      <w:r>
        <w:rPr/>
        <w:t>En este sentido, Domínguez (2012) señala que la gobernanza se refiere a los procesos y  a los sistemas a través de los cuales operan los actores de la sociedad. Es un concepto dinámico, se refiere al amplio método de “gobernar”, que incluye pero no se restringe a la perspectiva más limitada de “gobierno”. Se refiere a la interrelación de las estructuras formales e informales, a los procedimientos y a los procesos; a los sistemas de hacer las reglas, las redes de actores a todos los niveles de la sociedad (de lo local a lo global), dentro del contexto del desarrollo</w:t>
      </w:r>
      <w:r>
        <w:rPr>
          <w:spacing w:val="-14"/>
        </w:rPr>
        <w:t> </w:t>
      </w:r>
      <w:r>
        <w:rPr/>
        <w:t>sustentable.</w:t>
      </w:r>
    </w:p>
    <w:p>
      <w:pPr>
        <w:pStyle w:val="BodyText"/>
        <w:spacing w:before="9"/>
        <w:rPr>
          <w:sz w:val="17"/>
        </w:rPr>
      </w:pPr>
    </w:p>
    <w:p>
      <w:pPr>
        <w:pStyle w:val="BodyText"/>
        <w:ind w:left="102"/>
        <w:jc w:val="both"/>
      </w:pPr>
      <w:r>
        <w:rPr/>
        <w:t>Para Peter Rogers (2001), Solanes y Jouravlev (2001), y Domínguez (2010),    establecen</w:t>
      </w:r>
    </w:p>
    <w:p>
      <w:pPr>
        <w:pStyle w:val="BodyText"/>
        <w:spacing w:before="126"/>
        <w:ind w:left="102"/>
        <w:jc w:val="both"/>
      </w:pPr>
      <w:r>
        <w:rPr/>
        <w:t>que “La noción de gobernanza, cuando es aplicada al agua, se refiere a la capacidad de</w:t>
      </w:r>
    </w:p>
    <w:p>
      <w:pPr>
        <w:spacing w:after="0"/>
        <w:jc w:val="both"/>
        <w:sectPr>
          <w:footerReference w:type="default" r:id="rId207"/>
          <w:pgSz w:w="12240" w:h="15840"/>
          <w:pgMar w:footer="1003" w:header="0" w:top="1500" w:bottom="1200" w:left="1600" w:right="1580"/>
          <w:pgNumType w:start="410"/>
        </w:sectPr>
      </w:pPr>
    </w:p>
    <w:p>
      <w:pPr>
        <w:pStyle w:val="BodyText"/>
        <w:spacing w:line="360" w:lineRule="auto" w:before="53"/>
        <w:ind w:left="102" w:right="120"/>
        <w:jc w:val="both"/>
      </w:pPr>
      <w:r>
        <w:rPr/>
        <w:t>un sistema social para movilizar las sinergias de una forma coherente, para el desarrollo sustentable de los recursos hídricos. La noción incluye la habilidad de diseñar políticas públicas (y movilizar recursos sociales en apoyo de ellas), que son socialmente aceptadas y que tienen como meta el uso y desarrollo sustentable de los recursos hídricos, y lograr una implementación efectiva por los diferentes actores involucrados en el proceso”. Así, en un primer momento, dentro de un enfoque de Gobernanza del agua, se busca coordinar las acciones de los diversos sectores y grupos de interés, a diferentes escalas, desde la local, regional, nacional, y hasta la</w:t>
      </w:r>
      <w:r>
        <w:rPr>
          <w:spacing w:val="-18"/>
        </w:rPr>
        <w:t> </w:t>
      </w:r>
      <w:r>
        <w:rPr/>
        <w:t>internacional.</w:t>
      </w:r>
    </w:p>
    <w:p>
      <w:pPr>
        <w:pStyle w:val="BodyText"/>
        <w:spacing w:before="9"/>
        <w:rPr>
          <w:sz w:val="17"/>
        </w:rPr>
      </w:pPr>
    </w:p>
    <w:p>
      <w:pPr>
        <w:pStyle w:val="BodyText"/>
        <w:spacing w:line="360" w:lineRule="auto"/>
        <w:ind w:left="102" w:right="118"/>
        <w:jc w:val="both"/>
      </w:pPr>
      <w:r>
        <w:rPr/>
        <w:t>Domínguez (2012) señala que una buena gobernanza en la GIRH, es aquella donde la autoridad juega un papel menos protagónico, y deja actuar en aquellos espacios donde son más eficientes otros actores, o ejerce un liderazgo que permita establecer reglas claras que faciliten la participación de otros actores y sectores en la gestión del agua, donde las decisiones respecto a las políticas públicas son establecidas por consenso con todos los actores que intervienen en dicha gestión del agua.</w:t>
      </w:r>
    </w:p>
    <w:p>
      <w:pPr>
        <w:pStyle w:val="BodyText"/>
        <w:spacing w:before="9"/>
        <w:rPr>
          <w:sz w:val="17"/>
        </w:rPr>
      </w:pPr>
    </w:p>
    <w:p>
      <w:pPr>
        <w:pStyle w:val="BodyText"/>
        <w:spacing w:line="360" w:lineRule="auto"/>
        <w:ind w:left="102" w:right="117"/>
        <w:jc w:val="both"/>
      </w:pPr>
      <w:r>
        <w:rPr/>
        <w:t>Para llegar al anterior punto, son necesarios otros elementos que condicionan la efectividad del sistema de gobernanza, más que la aplicación directa del modelo de la GIRH. Estos son la participación efectiva en las decisiones, y el reconocimiento de los contextos socio-culturales para generar nuevos marcos institucionales, además de la institucionalidad.</w:t>
      </w:r>
    </w:p>
    <w:p>
      <w:pPr>
        <w:pStyle w:val="BodyText"/>
        <w:spacing w:before="9"/>
        <w:rPr>
          <w:sz w:val="17"/>
        </w:rPr>
      </w:pPr>
    </w:p>
    <w:p>
      <w:pPr>
        <w:pStyle w:val="BodyText"/>
        <w:spacing w:line="360" w:lineRule="auto"/>
        <w:ind w:left="102" w:right="118"/>
        <w:jc w:val="both"/>
      </w:pPr>
      <w:r>
        <w:rPr/>
        <w:t>Es por ello, que para el PDNU (2005), citado por Carlos Díaz (2015), la gobernanza y la gobernabilidad representan la amplia gama de sistemas políticos, sociales, medioambientales, económicos y administrativos que se implementan para regular el desarrollo, la gestión de recursos hídricos en distintos niveles de la sociedad.</w:t>
      </w:r>
    </w:p>
    <w:p>
      <w:pPr>
        <w:pStyle w:val="BodyText"/>
        <w:spacing w:before="7"/>
        <w:rPr>
          <w:sz w:val="17"/>
        </w:rPr>
      </w:pPr>
    </w:p>
    <w:p>
      <w:pPr>
        <w:pStyle w:val="BodyText"/>
        <w:spacing w:line="360" w:lineRule="auto"/>
        <w:ind w:left="102" w:right="116"/>
        <w:jc w:val="both"/>
      </w:pPr>
      <w:r>
        <w:rPr/>
        <w:t>La gobernabilidad del agua requiere leyes e instituciones que se diseñan como parte de la gobernanza. Una gobernabilidad efectiva del agua busca un equilibrio entre las cuatro dimensiones de la gobernabilidad y de la gobernanza (social, económica, política y ambiental).</w:t>
      </w:r>
    </w:p>
    <w:p>
      <w:pPr>
        <w:pStyle w:val="BodyText"/>
        <w:spacing w:before="7"/>
        <w:rPr>
          <w:sz w:val="17"/>
        </w:rPr>
      </w:pPr>
    </w:p>
    <w:p>
      <w:pPr>
        <w:pStyle w:val="BodyText"/>
        <w:spacing w:line="360" w:lineRule="auto"/>
        <w:ind w:left="102" w:right="117"/>
        <w:jc w:val="both"/>
      </w:pPr>
      <w:r>
        <w:rPr/>
        <w:t>En este sentido, los actores de la cuenca hidrosocial presa Huapango, expusieron sus motivos por los que consideran viable un Comité Intermunicipal con su reglamento, para  el uso, cuidado y defensa de la presa Huapango, basado en las relaciones intermunicipales  de  los  ciudadanos  y  en  el  derecho  consuetudinario  (gobernanza   </w:t>
      </w:r>
      <w:r>
        <w:rPr>
          <w:spacing w:val="10"/>
        </w:rPr>
        <w:t> </w:t>
      </w:r>
      <w:r>
        <w:rPr/>
        <w:t>y</w:t>
      </w:r>
    </w:p>
    <w:p>
      <w:pPr>
        <w:spacing w:after="0" w:line="360" w:lineRule="auto"/>
        <w:jc w:val="both"/>
        <w:sectPr>
          <w:pgSz w:w="12240" w:h="15840"/>
          <w:pgMar w:header="0" w:footer="1003" w:top="1360" w:bottom="1200" w:left="1600" w:right="1580"/>
        </w:sectPr>
      </w:pPr>
    </w:p>
    <w:p>
      <w:pPr>
        <w:pStyle w:val="BodyText"/>
        <w:spacing w:line="362" w:lineRule="auto" w:before="53"/>
        <w:ind w:left="102" w:right="121"/>
        <w:jc w:val="both"/>
      </w:pPr>
      <w:r>
        <w:rPr/>
        <w:t>gobernabilidad) que permita una nueva forma de reparto del agua y de sostenibilidad de dicho recurso natural.</w:t>
      </w:r>
    </w:p>
    <w:p>
      <w:pPr>
        <w:pStyle w:val="BodyText"/>
        <w:spacing w:before="4"/>
        <w:rPr>
          <w:sz w:val="17"/>
        </w:rPr>
      </w:pPr>
    </w:p>
    <w:p>
      <w:pPr>
        <w:pStyle w:val="BodyText"/>
        <w:spacing w:line="360" w:lineRule="auto"/>
        <w:ind w:left="102" w:right="121"/>
        <w:jc w:val="both"/>
      </w:pPr>
      <w:r>
        <w:rPr/>
        <w:t>Los actores históricos que son multiactores (pescadores, ganaderos, turismo, industriales y comerciantes de lácteos y autoridades auxiliares) señalaron lo siguiente:</w:t>
      </w:r>
    </w:p>
    <w:p>
      <w:pPr>
        <w:pStyle w:val="BodyText"/>
        <w:spacing w:before="9"/>
        <w:rPr>
          <w:sz w:val="17"/>
        </w:rPr>
      </w:pPr>
    </w:p>
    <w:p>
      <w:pPr>
        <w:pStyle w:val="ListParagraph"/>
        <w:numPr>
          <w:ilvl w:val="0"/>
          <w:numId w:val="54"/>
        </w:numPr>
        <w:tabs>
          <w:tab w:pos="390" w:val="left" w:leader="none"/>
        </w:tabs>
        <w:spacing w:line="360" w:lineRule="auto" w:before="0" w:after="0"/>
        <w:ind w:left="102" w:right="116" w:firstLine="0"/>
        <w:jc w:val="both"/>
        <w:rPr>
          <w:sz w:val="22"/>
        </w:rPr>
      </w:pPr>
      <w:r>
        <w:rPr>
          <w:sz w:val="22"/>
        </w:rPr>
        <w:t>De los 15 actores pescadores entrevistados, 13, es decir el 87% de los pescadores, mencionaron que es necesario un Comité Intermunicipal con su reglamento para el uso, cuidado y defensa de la presa Huapango. 2 actores, es decir el 13%, señalaron lo contrario. De los que están a favor, uno expresó que es necesario “para que nos respetemos y haya orden”; otro actor indicó que es necesario “para que haya orden en la caza de los patos”; otro señaló su utilidad “porque se evitarían muchos problemas”; uno más “para que se respeten los derechos y estar bien organizados, porque hay unos que cosechan y no siembran”; otro actor mencionó “que se necesita para acabar con la hierba, pero se necesita maquinaria también”; otro más indicó que “si nos pusiéramos de  acuerdo, en un pueblo unido se hace todo”; uno más señaló “que porque así se conservarían las especies de la laguna”; otro respondió “que sí debe haber un Comité que se encargue o el municipio se diera sus vueltas para ver qué está pasando porque semos gente que hacemos desorden y si no cuidamos nuestras riquezas naturales, ¿quién las va a cuidar?, al rato ya no va a servir el agua”; uno más dijo que “porque llega mucha gente y en semana santa la gente tira mucha basura y los que no pescan se les muere un animal y lo tiran en la orilla de la laguna”; uno más señaló “siempre lo hemos dicho porque hay muchas irregularidades, las tallas de las especies son alteradas y los tiempos de veda no se respetan”; otro indicó que “para que haya más orden en la laguna para no perjudicar a la gente”; y otro “que porque habría más convenios en beneficio para todos”; y un último señala que “es necesario para que haya paz y organización entre todos los usuarios de la laguna”.</w:t>
      </w:r>
    </w:p>
    <w:p>
      <w:pPr>
        <w:pStyle w:val="BodyText"/>
        <w:spacing w:before="7"/>
        <w:rPr>
          <w:sz w:val="17"/>
        </w:rPr>
      </w:pPr>
    </w:p>
    <w:p>
      <w:pPr>
        <w:pStyle w:val="BodyText"/>
        <w:spacing w:line="360" w:lineRule="auto"/>
        <w:ind w:left="102" w:right="115"/>
        <w:jc w:val="both"/>
      </w:pPr>
      <w:r>
        <w:rPr/>
        <w:t>De los dos actores (históricos –pescadores- )que no están a favor de la creación del Comité con su reglamento: uno señaló que “no sé si sea necesario un reglamento, porque los pescadores lo que queremos es el permiso que nos prometieron –Sagarpa a través de Conapesca-, pero ahora dicen que sólo hay permiso para 60 personas de nuestra cooperativa, es por eso que ya no sabemos nada, mejor queremos quedarnos como estábamos antes, y no nos queda más que sólo mirar al cielo que caiga el agua”; otro pescador mencionó “que no, porque si hay reglas ya no hay libertad para pescar”.</w:t>
      </w:r>
    </w:p>
    <w:p>
      <w:pPr>
        <w:spacing w:after="0" w:line="360" w:lineRule="auto"/>
        <w:jc w:val="both"/>
        <w:sectPr>
          <w:pgSz w:w="12240" w:h="15840"/>
          <w:pgMar w:header="0" w:footer="1003" w:top="1360" w:bottom="1200" w:left="1600" w:right="1580"/>
        </w:sectPr>
      </w:pPr>
    </w:p>
    <w:p>
      <w:pPr>
        <w:pStyle w:val="ListParagraph"/>
        <w:numPr>
          <w:ilvl w:val="0"/>
          <w:numId w:val="54"/>
        </w:numPr>
        <w:tabs>
          <w:tab w:pos="412" w:val="left" w:leader="none"/>
        </w:tabs>
        <w:spacing w:line="360" w:lineRule="auto" w:before="53" w:after="0"/>
        <w:ind w:left="102" w:right="118" w:firstLine="0"/>
        <w:jc w:val="both"/>
        <w:rPr>
          <w:sz w:val="22"/>
        </w:rPr>
      </w:pPr>
      <w:r>
        <w:rPr>
          <w:sz w:val="22"/>
        </w:rPr>
        <w:t>Los 6 actores ganaderos entrevistados, es decir el 100%, consideran necesario la creación de un Comité Intermunicipal con su reglamento para el uso, cuidado y defensa  de la presa Huapango. Uno señaló que “se requiere para que haya orden, porque no estamos organizados los usuarios, y creo que debiéramos crear un Comité para usar la laguna”; otro “que para que se respeten los derechos de las comunidades y para un mejor control”; uno más que “porque se cuidaría y protegería la laguna”; otro, que “para que no se echen las aguas sucias”; uno más señaló “que para que haya más beneficios para el campo porque se está perdiendo todo”; y un último que “porque cada día se está contaminando</w:t>
      </w:r>
      <w:r>
        <w:rPr>
          <w:spacing w:val="-2"/>
          <w:sz w:val="22"/>
        </w:rPr>
        <w:t> </w:t>
      </w:r>
      <w:r>
        <w:rPr>
          <w:sz w:val="22"/>
        </w:rPr>
        <w:t>más”.</w:t>
      </w:r>
    </w:p>
    <w:p>
      <w:pPr>
        <w:pStyle w:val="BodyText"/>
        <w:spacing w:before="10"/>
        <w:rPr>
          <w:sz w:val="17"/>
        </w:rPr>
      </w:pPr>
    </w:p>
    <w:p>
      <w:pPr>
        <w:pStyle w:val="ListParagraph"/>
        <w:numPr>
          <w:ilvl w:val="0"/>
          <w:numId w:val="54"/>
        </w:numPr>
        <w:tabs>
          <w:tab w:pos="371" w:val="left" w:leader="none"/>
        </w:tabs>
        <w:spacing w:line="360" w:lineRule="auto" w:before="0" w:after="0"/>
        <w:ind w:left="102" w:right="112" w:firstLine="0"/>
        <w:jc w:val="both"/>
        <w:rPr>
          <w:sz w:val="22"/>
        </w:rPr>
      </w:pPr>
      <w:r>
        <w:rPr>
          <w:sz w:val="22"/>
        </w:rPr>
        <w:t>Los actores industriales y comerciantes de lácteos entrevistados en los municipios de Aculco y Polotitlán, mencionaron que “es necesario el Comité Intermunicipal” con su reglamento para el uso, cuidado y defensa de la presa Huapango. El presidente de la Unión de Productores Lácteos de Aculco S.A. de C.V, señaló que “para que haya coordinación entre todos”; por otro lado, el presidente de la Unión de Productores de Leche de Polotitlán S.A. de C.V, señaló que “es necesario dicho Comité, para el uso y cuidado de la laguna para regularla, y que no existan abusos, porque no es equitativa la regulación”.</w:t>
      </w:r>
    </w:p>
    <w:p>
      <w:pPr>
        <w:pStyle w:val="BodyText"/>
        <w:spacing w:before="7"/>
        <w:rPr>
          <w:sz w:val="17"/>
        </w:rPr>
      </w:pPr>
    </w:p>
    <w:p>
      <w:pPr>
        <w:pStyle w:val="ListParagraph"/>
        <w:numPr>
          <w:ilvl w:val="0"/>
          <w:numId w:val="54"/>
        </w:numPr>
        <w:tabs>
          <w:tab w:pos="395" w:val="left" w:leader="none"/>
        </w:tabs>
        <w:spacing w:line="360" w:lineRule="auto" w:before="0" w:after="0"/>
        <w:ind w:left="102" w:right="114" w:firstLine="0"/>
        <w:jc w:val="both"/>
        <w:rPr>
          <w:sz w:val="22"/>
        </w:rPr>
      </w:pPr>
      <w:r>
        <w:rPr>
          <w:sz w:val="22"/>
        </w:rPr>
        <w:t>El único actor representante de turismo entrevistado en el municipio de Aculco (Las Delicias de Huapango S.A. de C.V.), mencionó que “es necesario un  Comité Intermunicipal con su reglamento para el uso, cuidado y defensa de la presa Huapango para el uso y disfrute de la laguna, porque falta organizarnos como usuarios de la</w:t>
      </w:r>
      <w:r>
        <w:rPr>
          <w:spacing w:val="-25"/>
          <w:sz w:val="22"/>
        </w:rPr>
        <w:t> </w:t>
      </w:r>
      <w:r>
        <w:rPr>
          <w:sz w:val="22"/>
        </w:rPr>
        <w:t>laguna”.</w:t>
      </w:r>
    </w:p>
    <w:p>
      <w:pPr>
        <w:pStyle w:val="BodyText"/>
        <w:spacing w:before="9"/>
        <w:rPr>
          <w:sz w:val="17"/>
        </w:rPr>
      </w:pPr>
    </w:p>
    <w:p>
      <w:pPr>
        <w:pStyle w:val="ListParagraph"/>
        <w:numPr>
          <w:ilvl w:val="0"/>
          <w:numId w:val="54"/>
        </w:numPr>
        <w:tabs>
          <w:tab w:pos="503" w:val="left" w:leader="none"/>
        </w:tabs>
        <w:spacing w:line="360" w:lineRule="auto" w:before="0" w:after="0"/>
        <w:ind w:left="102" w:right="119" w:firstLine="0"/>
        <w:jc w:val="both"/>
        <w:rPr>
          <w:sz w:val="22"/>
        </w:rPr>
      </w:pPr>
      <w:r>
        <w:rPr>
          <w:sz w:val="22"/>
        </w:rPr>
        <w:t>Las autoridades auxiliares (Comisariados Ejidales y Delegados Municipales) entrevistadas, señalaron respecto a la propuesta de creación de un Comité Intermunicipal con su reglamento para el uso, cuidado y defensa de la presa Huapango lo</w:t>
      </w:r>
      <w:r>
        <w:rPr>
          <w:spacing w:val="-22"/>
          <w:sz w:val="22"/>
        </w:rPr>
        <w:t> </w:t>
      </w:r>
      <w:r>
        <w:rPr>
          <w:sz w:val="22"/>
        </w:rPr>
        <w:t>siguiente:</w:t>
      </w:r>
    </w:p>
    <w:p>
      <w:pPr>
        <w:pStyle w:val="BodyText"/>
        <w:spacing w:before="7"/>
        <w:rPr>
          <w:sz w:val="17"/>
        </w:rPr>
      </w:pPr>
    </w:p>
    <w:p>
      <w:pPr>
        <w:pStyle w:val="BodyText"/>
        <w:spacing w:line="360" w:lineRule="auto"/>
        <w:ind w:left="102" w:right="112"/>
        <w:jc w:val="both"/>
      </w:pPr>
      <w:r>
        <w:rPr/>
        <w:t>Para 6 de los actores de los 8 Comisariados Ejidales entrevistados, es necesario dicho Comité, mientras que los dos actores restantes dicen “no saber”. De los que están a favor, uno señala que “debe existir para que haya un mejor control y para cuidar que la basura no se genere mucho, mediante el cuidado de no contaminar ríos, barrancas y mantos acuíferos”; el otro actor mencionó que “se requiere de un reglamento intermunicipal, pero sería difícil ponernos de acuerdo por los conflictos que hay entre algunos municipios; un actor más considero importante que exista un reglamento intermunicipal para el uso de la laguna</w:t>
      </w:r>
      <w:r>
        <w:rPr>
          <w:spacing w:val="33"/>
        </w:rPr>
        <w:t> </w:t>
      </w:r>
      <w:r>
        <w:rPr/>
        <w:t>“porque</w:t>
      </w:r>
      <w:r>
        <w:rPr>
          <w:spacing w:val="32"/>
        </w:rPr>
        <w:t> </w:t>
      </w:r>
      <w:r>
        <w:rPr/>
        <w:t>la</w:t>
      </w:r>
      <w:r>
        <w:rPr>
          <w:spacing w:val="33"/>
        </w:rPr>
        <w:t> </w:t>
      </w:r>
      <w:r>
        <w:rPr/>
        <w:t>pesca</w:t>
      </w:r>
      <w:r>
        <w:rPr>
          <w:spacing w:val="35"/>
        </w:rPr>
        <w:t> </w:t>
      </w:r>
      <w:r>
        <w:rPr/>
        <w:t>es</w:t>
      </w:r>
      <w:r>
        <w:rPr>
          <w:spacing w:val="33"/>
        </w:rPr>
        <w:t> </w:t>
      </w:r>
      <w:r>
        <w:rPr/>
        <w:t>indiscriminada</w:t>
      </w:r>
      <w:r>
        <w:rPr>
          <w:spacing w:val="35"/>
        </w:rPr>
        <w:t> </w:t>
      </w:r>
      <w:r>
        <w:rPr/>
        <w:t>en</w:t>
      </w:r>
      <w:r>
        <w:rPr>
          <w:spacing w:val="30"/>
        </w:rPr>
        <w:t> </w:t>
      </w:r>
      <w:r>
        <w:rPr/>
        <w:t>Aculco,</w:t>
      </w:r>
      <w:r>
        <w:rPr>
          <w:spacing w:val="36"/>
        </w:rPr>
        <w:t> </w:t>
      </w:r>
      <w:r>
        <w:rPr/>
        <w:t>ya</w:t>
      </w:r>
      <w:r>
        <w:rPr>
          <w:spacing w:val="33"/>
        </w:rPr>
        <w:t> </w:t>
      </w:r>
      <w:r>
        <w:rPr/>
        <w:t>que</w:t>
      </w:r>
      <w:r>
        <w:rPr>
          <w:spacing w:val="32"/>
        </w:rPr>
        <w:t> </w:t>
      </w:r>
      <w:r>
        <w:rPr/>
        <w:t>ponen</w:t>
      </w:r>
      <w:r>
        <w:rPr>
          <w:spacing w:val="33"/>
        </w:rPr>
        <w:t> </w:t>
      </w:r>
      <w:r>
        <w:rPr/>
        <w:t>sus</w:t>
      </w:r>
      <w:r>
        <w:rPr>
          <w:spacing w:val="35"/>
        </w:rPr>
        <w:t> </w:t>
      </w:r>
      <w:r>
        <w:rPr/>
        <w:t>tumbos</w:t>
      </w:r>
      <w:r>
        <w:rPr>
          <w:spacing w:val="33"/>
        </w:rPr>
        <w:t> </w:t>
      </w:r>
      <w:r>
        <w:rPr/>
        <w:t>y</w:t>
      </w:r>
      <w:r>
        <w:rPr>
          <w:spacing w:val="33"/>
        </w:rPr>
        <w:t> </w:t>
      </w:r>
      <w:r>
        <w:rPr/>
        <w:t>por</w:t>
      </w:r>
    </w:p>
    <w:p>
      <w:pPr>
        <w:spacing w:after="0" w:line="360" w:lineRule="auto"/>
        <w:jc w:val="both"/>
        <w:sectPr>
          <w:pgSz w:w="12240" w:h="15840"/>
          <w:pgMar w:header="0" w:footer="1003" w:top="1360" w:bottom="1200" w:left="1600" w:right="1580"/>
        </w:sectPr>
      </w:pPr>
    </w:p>
    <w:p>
      <w:pPr>
        <w:pStyle w:val="BodyText"/>
        <w:spacing w:line="360" w:lineRule="auto" w:before="53"/>
        <w:ind w:left="102" w:right="113"/>
        <w:jc w:val="both"/>
      </w:pPr>
      <w:r>
        <w:rPr/>
        <w:t>ejemplo, Erasmo se hizo rico, y por eso en mi ejido no hay muchas cooperativas, porque mejor tienen peces en sus bordos”; otro actor señala que “debe existir un reglamento intermunicipal para el uso de la laguna, y debemos de pensar que debe haber una corresponsabilidad entre El Ejido y El Municipio, ya no pensar que el Ejido es autónomo. Es necesario incrementar foros de que el municipio debe tener funciones de regularizar”; otro actor señala que considera necesario que exista un reglamento intermunicipal para el uso de la laguna, “pero que sea con la ciudadanía, porque la laguna depende de la asociación civil y si intervienen otros sería política”; otro más considera necesario que exista un reglamento intermunicipal porque es una asociación de usuarios, pero que no tiene que ver con el municipio sólo con el pueblo”.</w:t>
      </w:r>
    </w:p>
    <w:p>
      <w:pPr>
        <w:pStyle w:val="BodyText"/>
        <w:spacing w:before="9"/>
        <w:rPr>
          <w:sz w:val="17"/>
        </w:rPr>
      </w:pPr>
    </w:p>
    <w:p>
      <w:pPr>
        <w:pStyle w:val="BodyText"/>
        <w:spacing w:line="360" w:lineRule="auto"/>
        <w:ind w:left="102" w:right="117"/>
        <w:jc w:val="both"/>
      </w:pPr>
      <w:r>
        <w:rPr/>
        <w:t>Por su parte los dos Comisariados Ejidales que dijeron no saber si es viable un Comité Intermunicipal con su Reglamento, mencionaron: uno respondió “tampoco lo sé porque estaría viendo que tanto al municipio le pueda importar, y hasta donde le compete al municipio”; y el otro mencionó que “pues desde hace años que dicen que se iba a cuidar (la presa Huapango), pero no se ha hecho nada”. Por otro lado, el Presidente de la Unión de Ejidos de Timilpan, señaló que “se hace necesario un reglamento  intermunicipal porque existe un desorden en el uso del agua y eso ocasiona mucho conflicto entre los municipios”.</w:t>
      </w:r>
    </w:p>
    <w:p>
      <w:pPr>
        <w:pStyle w:val="BodyText"/>
        <w:spacing w:before="7"/>
        <w:rPr>
          <w:sz w:val="17"/>
        </w:rPr>
      </w:pPr>
    </w:p>
    <w:p>
      <w:pPr>
        <w:pStyle w:val="BodyText"/>
        <w:spacing w:line="360" w:lineRule="auto"/>
        <w:ind w:left="102" w:right="112"/>
        <w:jc w:val="both"/>
      </w:pPr>
      <w:r>
        <w:rPr/>
        <w:t>Los 13 actores Delegados Municipales, de ellos 11, es decir el 85%, consideran apropiada la creación de un Comité Intermunicipal con su Reglamento para el uso, cuidado  y defensa de la presa Huapango; y los dos restantes, dijo uno “no estar de acuerdo”; y el otro “que no sabe”. Los 11 Delegados Municipales que están a favor de la propuesta de creación de un Comité con su Reglamento, exponen el por qué: uno dice que “sería  bueno para que les pertenezca en la pesca porque podrían utilizarla todos los municipios, ya que para bombear el agua sería muy costoso”; otro señala que sí “para regular el uso del agua de la laguna, pero la concesión la tienen un grupo determinado de personas y son los que tienen el permiso de usarla”; otro señala que “sería bueno porque podrían obtener mejores siembras”; uno más dice que sí, “si se considera necesario el Comité Intermunicipal, pero sería entonces a nivel federal porque tienen la concesión ellos”; otro señala que considera apropiado que exista un reglamento intermunicipal “porque evitaría muchas cosas y tendríamos el beneficio para riego”; otro dice que está “de acuerdo al  cien por ciento para que a todos les toque agua, aunque sea una mínima parte”; otro señala</w:t>
      </w:r>
      <w:r>
        <w:rPr>
          <w:spacing w:val="47"/>
        </w:rPr>
        <w:t> </w:t>
      </w:r>
      <w:r>
        <w:rPr/>
        <w:t>que</w:t>
      </w:r>
      <w:r>
        <w:rPr>
          <w:spacing w:val="44"/>
        </w:rPr>
        <w:t> </w:t>
      </w:r>
      <w:r>
        <w:rPr/>
        <w:t>“podría</w:t>
      </w:r>
      <w:r>
        <w:rPr>
          <w:spacing w:val="47"/>
        </w:rPr>
        <w:t> </w:t>
      </w:r>
      <w:r>
        <w:rPr/>
        <w:t>ser</w:t>
      </w:r>
      <w:r>
        <w:rPr>
          <w:spacing w:val="45"/>
        </w:rPr>
        <w:t> </w:t>
      </w:r>
      <w:r>
        <w:rPr/>
        <w:t>también,</w:t>
      </w:r>
      <w:r>
        <w:rPr>
          <w:spacing w:val="48"/>
        </w:rPr>
        <w:t> </w:t>
      </w:r>
      <w:r>
        <w:rPr/>
        <w:t>porque</w:t>
      </w:r>
      <w:r>
        <w:rPr>
          <w:spacing w:val="44"/>
        </w:rPr>
        <w:t> </w:t>
      </w:r>
      <w:r>
        <w:rPr/>
        <w:t>así,</w:t>
      </w:r>
      <w:r>
        <w:rPr>
          <w:spacing w:val="48"/>
        </w:rPr>
        <w:t> </w:t>
      </w:r>
      <w:r>
        <w:rPr/>
        <w:t>pues</w:t>
      </w:r>
      <w:r>
        <w:rPr>
          <w:spacing w:val="47"/>
        </w:rPr>
        <w:t> </w:t>
      </w:r>
      <w:r>
        <w:rPr/>
        <w:t>se</w:t>
      </w:r>
      <w:r>
        <w:rPr>
          <w:spacing w:val="47"/>
        </w:rPr>
        <w:t> </w:t>
      </w:r>
      <w:r>
        <w:rPr/>
        <w:t>cobraría</w:t>
      </w:r>
      <w:r>
        <w:rPr>
          <w:spacing w:val="47"/>
        </w:rPr>
        <w:t> </w:t>
      </w:r>
      <w:r>
        <w:rPr/>
        <w:t>una</w:t>
      </w:r>
      <w:r>
        <w:rPr>
          <w:spacing w:val="47"/>
        </w:rPr>
        <w:t> </w:t>
      </w:r>
      <w:r>
        <w:rPr/>
        <w:t>cuota</w:t>
      </w:r>
      <w:r>
        <w:rPr>
          <w:spacing w:val="47"/>
        </w:rPr>
        <w:t> </w:t>
      </w:r>
      <w:r>
        <w:rPr/>
        <w:t>para</w:t>
      </w:r>
      <w:r>
        <w:rPr>
          <w:spacing w:val="42"/>
        </w:rPr>
        <w:t> </w:t>
      </w:r>
      <w:r>
        <w:rPr/>
        <w:t>que</w:t>
      </w:r>
      <w:r>
        <w:rPr>
          <w:spacing w:val="47"/>
        </w:rPr>
        <w:t> </w:t>
      </w:r>
      <w:r>
        <w:rPr/>
        <w:t>el</w:t>
      </w:r>
    </w:p>
    <w:p>
      <w:pPr>
        <w:spacing w:after="0" w:line="360" w:lineRule="auto"/>
        <w:jc w:val="both"/>
        <w:sectPr>
          <w:pgSz w:w="12240" w:h="15840"/>
          <w:pgMar w:header="0" w:footer="1003" w:top="1360" w:bottom="1200" w:left="1600" w:right="1580"/>
        </w:sectPr>
      </w:pPr>
    </w:p>
    <w:p>
      <w:pPr>
        <w:pStyle w:val="BodyText"/>
        <w:spacing w:line="360" w:lineRule="auto" w:before="53"/>
        <w:ind w:left="102" w:right="113"/>
        <w:jc w:val="both"/>
      </w:pPr>
      <w:r>
        <w:rPr/>
        <w:t>municipio tuviera más recursos para su comunidad”; otro señala que “porque así estaríamos más de acuerdo con el porcentaje que nos toca de riego”; uno más dice que “para que ya no saquen tanta agua y no se saque toda el agua y haya un nivel”; otro dice que “aunque este tema es difícil, puede realizarse ya que lo que se necesita es cuidarla (presa Huapango) porque sería una reserva”; otro señala que “es necesario para la conservación de la laguna para que no se pierda el envase de la laguna”. Finalmente, uno dice que “no lo considera apropiado porque ya se maneja un Comité de Riego (Asociación de Usuarios de Riego); y un último señaló “que no sabe, que lo desconoce”.</w:t>
      </w:r>
    </w:p>
    <w:p>
      <w:pPr>
        <w:pStyle w:val="BodyText"/>
        <w:spacing w:before="9"/>
        <w:rPr>
          <w:sz w:val="17"/>
        </w:rPr>
      </w:pPr>
    </w:p>
    <w:p>
      <w:pPr>
        <w:pStyle w:val="BodyText"/>
        <w:spacing w:line="360" w:lineRule="auto"/>
        <w:ind w:left="102" w:right="115"/>
        <w:jc w:val="both"/>
      </w:pPr>
      <w:r>
        <w:rPr/>
        <w:t>En síntesis, se puede mencionar que 41 de los 47 actores históricos entrevistados, es decir el 87%, están a favor de la creación de un Comité Intermunicipal con su Reglamento para el uso, cuidado y defensa de la presa Huapango, ya que en términos generales señalan, que dicho Comité y Reglamento les permitiría cuidar la presa Huapango para tener un mejor reparto del agua entre los municipios que integran la cuenca hidrosocial presa Huapango y regular las actividades, de pesca por ejemplo. El Comité con su reglamento mejoraría la gobernanza y gobernabilidad de la región, ya que permitiría la interrelación de los actores históricos mediante sus estructuras formales e informales para hacer reglas mediante que les permitan una mejor convivencia social y un desarrollo sostenible.</w:t>
      </w:r>
    </w:p>
    <w:p>
      <w:pPr>
        <w:pStyle w:val="BodyText"/>
        <w:spacing w:before="5"/>
        <w:rPr>
          <w:sz w:val="17"/>
        </w:rPr>
      </w:pPr>
    </w:p>
    <w:p>
      <w:pPr>
        <w:pStyle w:val="Heading6"/>
        <w:spacing w:line="360" w:lineRule="auto"/>
        <w:ind w:left="1304" w:right="366" w:hanging="944"/>
      </w:pPr>
      <w:r>
        <w:rPr/>
        <w:t>Gráfica 6.8. Creación del Comité Intermunicipal con su Reglamento para el uso, cuidado y defensa de la presa Huapango (Actores Históricos)</w:t>
      </w:r>
    </w:p>
    <w:p>
      <w:pPr>
        <w:pStyle w:val="BodyText"/>
        <w:spacing w:before="11"/>
        <w:rPr>
          <w:b/>
          <w:sz w:val="13"/>
        </w:rPr>
      </w:pPr>
      <w:r>
        <w:rPr/>
        <w:pict>
          <v:group style="position:absolute;margin-left:119.625pt;margin-top:9.997413pt;width:372pt;height:222.1pt;mso-position-horizontal-relative:page;mso-position-vertical-relative:paragraph;z-index:11560;mso-wrap-distance-left:0;mso-wrap-distance-right:0" coordorigin="2393,200" coordsize="7440,4442">
            <v:shape style="position:absolute;left:3048;top:470;width:3635;height:3184" type="#_x0000_t75" stroked="false">
              <v:imagedata r:id="rId208" o:title=""/>
            </v:shape>
            <v:rect style="position:absolute;left:6899;top:1564;width:101;height:101" filled="true" fillcolor="#40699c" stroked="false">
              <v:fill type="solid"/>
            </v:rect>
            <v:rect style="position:absolute;left:6899;top:3149;width:101;height:101" filled="true" fillcolor="#9bba58" stroked="false">
              <v:fill type="solid"/>
            </v:rect>
            <v:rect style="position:absolute;left:2400;top:207;width:7425;height:4427" filled="false" stroked="true" strokeweight=".75pt" strokecolor="#000000"/>
            <v:shape style="position:absolute;left:3692;top:83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v:shape style="position:absolute;left:4562;top:108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v:shape style="position:absolute;left:5342;top:227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87%</w:t>
                    </w:r>
                  </w:p>
                </w:txbxContent>
              </v:textbox>
              <w10:wrap type="none"/>
            </v:shape>
            <v:shape style="position:absolute;left:7044;top:1517;width:2577;height:1120" type="#_x0000_t202" filled="false" stroked="false">
              <v:textbox inset="0,0,0,0">
                <w:txbxContent>
                  <w:p>
                    <w:pPr>
                      <w:spacing w:line="204" w:lineRule="exact" w:before="0"/>
                      <w:ind w:left="0" w:right="-15" w:firstLine="0"/>
                      <w:jc w:val="left"/>
                      <w:rPr>
                        <w:sz w:val="20"/>
                      </w:rPr>
                    </w:pPr>
                    <w:r>
                      <w:rPr>
                        <w:sz w:val="20"/>
                      </w:rPr>
                      <w:t>A favor de la creación del</w:t>
                    </w:r>
                  </w:p>
                  <w:p>
                    <w:pPr>
                      <w:spacing w:before="0"/>
                      <w:ind w:left="0" w:right="-15" w:firstLine="0"/>
                      <w:jc w:val="left"/>
                      <w:rPr>
                        <w:sz w:val="20"/>
                      </w:rPr>
                    </w:pPr>
                    <w:r>
                      <w:rPr>
                        <w:sz w:val="20"/>
                      </w:rPr>
                      <w:t>Comité Intermunicipal con</w:t>
                    </w:r>
                    <w:r>
                      <w:rPr>
                        <w:spacing w:val="-7"/>
                        <w:sz w:val="20"/>
                      </w:rPr>
                      <w:t> </w:t>
                    </w:r>
                    <w:r>
                      <w:rPr>
                        <w:sz w:val="20"/>
                      </w:rPr>
                      <w:t>su Reglamento para el uso, cuidado y defensa de la presa</w:t>
                    </w:r>
                    <w:r>
                      <w:rPr>
                        <w:spacing w:val="-4"/>
                        <w:sz w:val="20"/>
                      </w:rPr>
                      <w:t> </w:t>
                    </w:r>
                    <w:r>
                      <w:rPr>
                        <w:sz w:val="20"/>
                      </w:rPr>
                      <w:t>Huapango</w:t>
                    </w:r>
                  </w:p>
                </w:txbxContent>
              </v:textbox>
              <w10:wrap type="none"/>
            </v:shape>
            <v:shape style="position:absolute;left:7044;top:3102;width:2444;height:1350" type="#_x0000_t202" filled="false" stroked="false">
              <v:textbox inset="0,0,0,0">
                <w:txbxContent>
                  <w:p>
                    <w:pPr>
                      <w:spacing w:line="204" w:lineRule="exact" w:before="0"/>
                      <w:ind w:left="0" w:right="-14" w:firstLine="0"/>
                      <w:jc w:val="left"/>
                      <w:rPr>
                        <w:sz w:val="20"/>
                      </w:rPr>
                    </w:pPr>
                    <w:r>
                      <w:rPr>
                        <w:sz w:val="20"/>
                      </w:rPr>
                      <w:t>No están de acuerdo con</w:t>
                    </w:r>
                    <w:r>
                      <w:rPr>
                        <w:spacing w:val="-9"/>
                        <w:sz w:val="20"/>
                      </w:rPr>
                      <w:t> </w:t>
                    </w:r>
                    <w:r>
                      <w:rPr>
                        <w:sz w:val="20"/>
                      </w:rPr>
                      <w:t>la</w:t>
                    </w:r>
                  </w:p>
                  <w:p>
                    <w:pPr>
                      <w:spacing w:before="0"/>
                      <w:ind w:left="0" w:right="244" w:firstLine="0"/>
                      <w:jc w:val="left"/>
                      <w:rPr>
                        <w:sz w:val="20"/>
                      </w:rPr>
                    </w:pPr>
                    <w:r>
                      <w:rPr>
                        <w:sz w:val="20"/>
                      </w:rPr>
                      <w:t>creación del Comité Intermunicipal con su Reglamento para el uso, cuidado y defensa de la presa Huapango</w:t>
                    </w:r>
                  </w:p>
                </w:txbxContent>
              </v:textbox>
              <w10:wrap type="none"/>
            </v:shape>
            <w10:wrap type="topAndBottom"/>
          </v:group>
        </w:pict>
      </w:r>
    </w:p>
    <w:p>
      <w:pPr>
        <w:spacing w:after="0"/>
        <w:rPr>
          <w:sz w:val="13"/>
        </w:rPr>
        <w:sectPr>
          <w:pgSz w:w="12240" w:h="15840"/>
          <w:pgMar w:header="0" w:footer="1003" w:top="1360" w:bottom="1200" w:left="1600" w:right="1580"/>
        </w:sectPr>
      </w:pPr>
    </w:p>
    <w:p>
      <w:pPr>
        <w:pStyle w:val="BodyText"/>
        <w:spacing w:line="364" w:lineRule="auto" w:before="51"/>
        <w:ind w:left="102" w:right="119"/>
        <w:jc w:val="both"/>
      </w:pPr>
      <w:r>
        <w:rPr>
          <w:b/>
        </w:rPr>
        <w:t>Fuente: </w:t>
      </w:r>
      <w:r>
        <w:rPr/>
        <w:t>Elaboración propia con base en los datos obtenidos en Trabajo de Campo, García</w:t>
      </w:r>
      <w:r>
        <w:rPr>
          <w:spacing w:val="-4"/>
        </w:rPr>
        <w:t> </w:t>
      </w:r>
      <w:r>
        <w:rPr/>
        <w:t>(2013-2015).</w:t>
      </w:r>
    </w:p>
    <w:p>
      <w:pPr>
        <w:pStyle w:val="BodyText"/>
        <w:spacing w:line="360" w:lineRule="auto" w:before="197"/>
        <w:ind w:left="102" w:right="117"/>
        <w:jc w:val="both"/>
      </w:pPr>
      <w:r>
        <w:rPr/>
        <w:t>Por su parte los </w:t>
      </w:r>
      <w:r>
        <w:rPr>
          <w:i/>
        </w:rPr>
        <w:t>actores municipales de aguas arriba </w:t>
      </w:r>
      <w:r>
        <w:rPr/>
        <w:t>representados por Acambay, Jilotepec y Timilpan, opinaron lo siguiente de la creación de un Comité Intermunicipal con su Reglamento para el uso, cuidado y defensa de la laguna de Huapango:</w:t>
      </w:r>
    </w:p>
    <w:p>
      <w:pPr>
        <w:pStyle w:val="BodyText"/>
        <w:spacing w:before="9"/>
        <w:rPr>
          <w:sz w:val="17"/>
        </w:rPr>
      </w:pPr>
    </w:p>
    <w:p>
      <w:pPr>
        <w:pStyle w:val="BodyText"/>
        <w:spacing w:line="360" w:lineRule="auto"/>
        <w:ind w:left="102" w:right="116"/>
        <w:jc w:val="both"/>
      </w:pPr>
      <w:r>
        <w:rPr/>
        <w:t>Para el caso de Acambay, los 5 actores municipales entrevistados, opinaron que “sí es viable la creación de dicho comité, ya que señalan lo siguiente: uno  menciona  que “porque es importante que Conagua nos participe porque somos productores del agua y hay comunidades rivereñas que deben utilizar el agua”; otro actor señala “que para darle un uso racional al líquido”; uno más, “que para que haya un mejor control”; otro menciona que “porque con esto se tendría un uso racional del vital líquido y habría una mayor coordinación”; y un último señala que “sí tendrán que involucrarse los municipios, pero quien determina es Conagua”.</w:t>
      </w:r>
    </w:p>
    <w:p>
      <w:pPr>
        <w:pStyle w:val="BodyText"/>
        <w:spacing w:before="9"/>
        <w:rPr>
          <w:sz w:val="17"/>
        </w:rPr>
      </w:pPr>
    </w:p>
    <w:p>
      <w:pPr>
        <w:pStyle w:val="BodyText"/>
        <w:spacing w:line="360" w:lineRule="auto"/>
        <w:ind w:left="102" w:right="116"/>
        <w:jc w:val="both"/>
      </w:pPr>
      <w:r>
        <w:rPr/>
        <w:t>Para el caso de Jilotepec, los 5 actores municipales entrevistados opinan que es viable un Comité Intermunicipal con su Reglamento para el uso, cuidado y defensa de la laguna de Huapango. Uno señala que “sí debe ser un Comité con su Reglamento bien hecho que delimite la participación jurídica del municipio en la laguna para cuidarla”; otro señala que “ya existe un Comité con su Reglamento, pero no se efectúa como tal, falta reestructurarlo (sic)”; uno más, mencionó que “es importante porque mi municipio no es el único que depende de ella y así como se sirven hay que cuidarla, hay dos tipos de cultura para hacerlo, una que se obliga a través de la ley, es decir la que sanciona y otra la que vemos y se adquiere, ésta se obtiene mediante invitación”; uno más señaló que “porque es necesario para la concientización de la población”; y un último actor, considera “prudente un reglamento intermunicipal”.</w:t>
      </w:r>
    </w:p>
    <w:p>
      <w:pPr>
        <w:pStyle w:val="BodyText"/>
        <w:spacing w:before="7"/>
        <w:rPr>
          <w:sz w:val="17"/>
        </w:rPr>
      </w:pPr>
    </w:p>
    <w:p>
      <w:pPr>
        <w:pStyle w:val="BodyText"/>
        <w:spacing w:line="360" w:lineRule="auto"/>
        <w:ind w:left="102" w:right="114"/>
        <w:jc w:val="both"/>
      </w:pPr>
      <w:r>
        <w:rPr/>
        <w:t>Para el caso de Timilpan, de los 7 actores municipales entrevistados, 6 opinan que “sí es importante que exista un Comité Intermunicipal” con su Reglamento para el uso, cuidado  y defensa de la presa Huapango; mientras que solo uno, opina lo contrario. Los que están a favor de dicho Comité y Reglamento, señalan lo siguiente: uno menciona que “es apropiado porque ya se tendría beneficio alguno”; otro señala que “como no se tiene injerencia no hay ningún acuerdo, pero creo que sí es importante”; uno más, que </w:t>
      </w:r>
      <w:r>
        <w:rPr>
          <w:spacing w:val="-3"/>
        </w:rPr>
        <w:t>sí, </w:t>
      </w:r>
      <w:r>
        <w:rPr/>
        <w:t>porque “así se llevaría un orden y se ocuparía para diferentes servicios el agua”; otro  actor</w:t>
      </w:r>
      <w:r>
        <w:rPr>
          <w:spacing w:val="46"/>
        </w:rPr>
        <w:t> </w:t>
      </w:r>
      <w:r>
        <w:rPr/>
        <w:t>dijo</w:t>
      </w:r>
      <w:r>
        <w:rPr>
          <w:spacing w:val="42"/>
        </w:rPr>
        <w:t> </w:t>
      </w:r>
      <w:r>
        <w:rPr/>
        <w:t>que</w:t>
      </w:r>
      <w:r>
        <w:rPr>
          <w:spacing w:val="42"/>
        </w:rPr>
        <w:t> </w:t>
      </w:r>
      <w:r>
        <w:rPr/>
        <w:t>“sí</w:t>
      </w:r>
      <w:r>
        <w:rPr>
          <w:spacing w:val="44"/>
        </w:rPr>
        <w:t> </w:t>
      </w:r>
      <w:r>
        <w:rPr/>
        <w:t>porque</w:t>
      </w:r>
      <w:r>
        <w:rPr>
          <w:spacing w:val="47"/>
        </w:rPr>
        <w:t> </w:t>
      </w:r>
      <w:r>
        <w:rPr/>
        <w:t>en</w:t>
      </w:r>
      <w:r>
        <w:rPr>
          <w:spacing w:val="44"/>
        </w:rPr>
        <w:t> </w:t>
      </w:r>
      <w:r>
        <w:rPr/>
        <w:t>el</w:t>
      </w:r>
      <w:r>
        <w:rPr>
          <w:spacing w:val="46"/>
        </w:rPr>
        <w:t> </w:t>
      </w:r>
      <w:r>
        <w:rPr/>
        <w:t>otro</w:t>
      </w:r>
      <w:r>
        <w:rPr>
          <w:spacing w:val="45"/>
        </w:rPr>
        <w:t> </w:t>
      </w:r>
      <w:r>
        <w:rPr/>
        <w:t>extremo</w:t>
      </w:r>
      <w:r>
        <w:rPr>
          <w:spacing w:val="45"/>
        </w:rPr>
        <w:t> </w:t>
      </w:r>
      <w:r>
        <w:rPr/>
        <w:t>colindamos</w:t>
      </w:r>
      <w:r>
        <w:rPr>
          <w:spacing w:val="48"/>
        </w:rPr>
        <w:t> </w:t>
      </w:r>
      <w:r>
        <w:rPr/>
        <w:t>con</w:t>
      </w:r>
      <w:r>
        <w:rPr>
          <w:spacing w:val="44"/>
        </w:rPr>
        <w:t> </w:t>
      </w:r>
      <w:r>
        <w:rPr/>
        <w:t>Acambay,</w:t>
      </w:r>
      <w:r>
        <w:rPr>
          <w:spacing w:val="48"/>
        </w:rPr>
        <w:t> </w:t>
      </w:r>
      <w:r>
        <w:rPr/>
        <w:t>y</w:t>
      </w:r>
      <w:r>
        <w:rPr>
          <w:spacing w:val="45"/>
        </w:rPr>
        <w:t> </w:t>
      </w:r>
      <w:r>
        <w:rPr/>
        <w:t>los</w:t>
      </w:r>
      <w:r>
        <w:rPr>
          <w:spacing w:val="47"/>
        </w:rPr>
        <w:t> </w:t>
      </w:r>
      <w:r>
        <w:rPr/>
        <w:t>de</w:t>
      </w:r>
      <w:r>
        <w:rPr>
          <w:spacing w:val="44"/>
        </w:rPr>
        <w:t> </w:t>
      </w:r>
      <w:r>
        <w:rPr/>
        <w:t>éste</w:t>
      </w:r>
    </w:p>
    <w:p>
      <w:pPr>
        <w:spacing w:after="0" w:line="360" w:lineRule="auto"/>
        <w:jc w:val="both"/>
        <w:sectPr>
          <w:pgSz w:w="12240" w:h="15840"/>
          <w:pgMar w:header="0" w:footer="1003" w:top="1360" w:bottom="1200" w:left="1600" w:right="1580"/>
        </w:sectPr>
      </w:pPr>
    </w:p>
    <w:p>
      <w:pPr>
        <w:pStyle w:val="BodyText"/>
        <w:spacing w:line="360" w:lineRule="auto" w:before="53"/>
        <w:ind w:left="102" w:right="112"/>
        <w:jc w:val="both"/>
      </w:pPr>
      <w:r>
        <w:rPr/>
        <w:t>municipio tienen un embarcadero que está dentro de Timilpan, porque la mayor parte de  la laguna está en Timilpan”; uno señala que sí, pero “urgente, porque así se podría regular su uso y garantizar su sustentabilidad de la laguna, preservándola conforme a su naturaleza, y hacer acciones para su preservación y uso equitativo del líquido”; otro menciona que sí para que se le dé un buen uso. “Antes era un buen negocio la pesca porque hay empleo, hay movimiento de la economía, pero todo mundo ha hecho lo que ha querido con la laguna, si hubiera un control, habría recursos, sino se van acabando”; y finalmente otro actor dijo que no, porque “eso lo regula la</w:t>
      </w:r>
      <w:r>
        <w:rPr>
          <w:spacing w:val="-23"/>
        </w:rPr>
        <w:t> </w:t>
      </w:r>
      <w:r>
        <w:rPr/>
        <w:t>Conagua”.</w:t>
      </w:r>
    </w:p>
    <w:p>
      <w:pPr>
        <w:pStyle w:val="BodyText"/>
        <w:spacing w:before="9"/>
        <w:rPr>
          <w:sz w:val="17"/>
        </w:rPr>
      </w:pPr>
    </w:p>
    <w:p>
      <w:pPr>
        <w:spacing w:line="360" w:lineRule="auto" w:before="0"/>
        <w:ind w:left="102" w:right="116" w:firstLine="0"/>
        <w:jc w:val="both"/>
        <w:rPr>
          <w:sz w:val="22"/>
        </w:rPr>
      </w:pPr>
      <w:r>
        <w:rPr>
          <w:sz w:val="22"/>
        </w:rPr>
        <w:t>Para el caso de los </w:t>
      </w:r>
      <w:r>
        <w:rPr>
          <w:i/>
          <w:sz w:val="22"/>
        </w:rPr>
        <w:t>actores municipales de aguas abajo</w:t>
      </w:r>
      <w:r>
        <w:rPr>
          <w:sz w:val="22"/>
        </w:rPr>
        <w:t>, Aculco y Polotitlán, opinaron lo siguiente:</w:t>
      </w:r>
    </w:p>
    <w:p>
      <w:pPr>
        <w:pStyle w:val="BodyText"/>
        <w:spacing w:before="7"/>
        <w:rPr>
          <w:sz w:val="17"/>
        </w:rPr>
      </w:pPr>
    </w:p>
    <w:p>
      <w:pPr>
        <w:pStyle w:val="BodyText"/>
        <w:spacing w:line="360" w:lineRule="auto"/>
        <w:ind w:left="102" w:right="113"/>
        <w:jc w:val="both"/>
      </w:pPr>
      <w:r>
        <w:rPr/>
        <w:t>De los 7 actores municipales entrevistados en Aculco, 5 señalan la viabilidad del Comité Intermunicipal con su Reglamento para el uso, cuidado y defensa de la presa Huapango, mientras que los dos restantes señalan a la federación como responsable de su manejo y cuidado. Los actores que están a favor, señalan que “es importante un Comité con su reglamento para que no existan detalles, para que haya acuerdos y se respeten; otro señala que “sería depurar el que ya existe” (sic); otro menciona que sí “porque eso ayudaría a la laguna para regular en cuestión de sanidad, sino hasta un futuro quisiéramos hacer algo por la laguna, ya para qué”; otro señala que sí debería existir  “para que cada quien ponga lo que le toca para preservar el recurso del agua”; y otro menciona que “sí sería muy bueno, porque todos los municipios se benefician de la laguna, y como dicen, entre más gente cargue el muerto pesa menos”. Otros dos actores señalan a la federación como responsable, ya que uno comento “que el ordenamiento es federal porque aunque se tengan tierras en la orilla de la laguna no se puede regar porque no los dejan”; y el otro actor considera que “la federación debe tener más reguladas las descargas que se generan en la laguna de Huapango, al mismo tiempo realizar estudios de bioquímica sobre las descargas y normar las plantas de tratamiento que descarguen aguas</w:t>
      </w:r>
      <w:r>
        <w:rPr>
          <w:spacing w:val="-3"/>
        </w:rPr>
        <w:t> </w:t>
      </w:r>
      <w:r>
        <w:rPr/>
        <w:t>residuales”.</w:t>
      </w:r>
    </w:p>
    <w:p>
      <w:pPr>
        <w:pStyle w:val="BodyText"/>
        <w:spacing w:before="7"/>
        <w:rPr>
          <w:sz w:val="17"/>
        </w:rPr>
      </w:pPr>
    </w:p>
    <w:p>
      <w:pPr>
        <w:pStyle w:val="BodyText"/>
        <w:spacing w:line="360" w:lineRule="auto"/>
        <w:ind w:left="102" w:right="117"/>
        <w:jc w:val="both"/>
      </w:pPr>
      <w:r>
        <w:rPr/>
        <w:t>Para el caso de los 4 actores municipales entrevistados de Polotitlán, la pregunta generó confusión, entre la propuesta de creación de un Comité Intermunicipal con su Reglamento para el uso, cuidado y defensa de la presa Huapango, y el Reglamento que ya tienen en  la Asociación de Usuarios para Riego, ya que los entrevistados dijeron: “no sé, no tengo el conocimiento de fondo, creo que ya existe”; otro señaló “¡claro!, para poder dar orden porque siempre se maneja el albedrío del canalero o del presidente del Comité de</w:t>
      </w:r>
      <w:r>
        <w:rPr>
          <w:spacing w:val="48"/>
        </w:rPr>
        <w:t> </w:t>
      </w:r>
      <w:r>
        <w:rPr/>
        <w:t>Riego”;</w:t>
      </w:r>
    </w:p>
    <w:p>
      <w:pPr>
        <w:spacing w:after="0" w:line="360" w:lineRule="auto"/>
        <w:jc w:val="both"/>
        <w:sectPr>
          <w:pgSz w:w="12240" w:h="15840"/>
          <w:pgMar w:header="0" w:footer="1003" w:top="1360" w:bottom="1200" w:left="1600" w:right="1580"/>
        </w:sectPr>
      </w:pPr>
    </w:p>
    <w:p>
      <w:pPr>
        <w:pStyle w:val="BodyText"/>
        <w:spacing w:line="360" w:lineRule="auto" w:before="53"/>
        <w:ind w:left="122" w:right="121"/>
        <w:jc w:val="both"/>
      </w:pPr>
      <w:r>
        <w:rPr/>
        <w:t>uno más dijo sí, “considero apropiado que haya un reglamento intermunicipal para que se sigan los lineamientos del reglamento para evitar que haya desorden”; y un último actor mencionó “imagino que ya debe existir ese convenio y si no debiera existir porque así se lleva un control de la repartición del agua”.</w:t>
      </w:r>
    </w:p>
    <w:p>
      <w:pPr>
        <w:pStyle w:val="BodyText"/>
        <w:spacing w:before="7"/>
        <w:rPr>
          <w:sz w:val="17"/>
        </w:rPr>
      </w:pPr>
    </w:p>
    <w:p>
      <w:pPr>
        <w:pStyle w:val="BodyText"/>
        <w:spacing w:line="360" w:lineRule="auto"/>
        <w:ind w:left="122" w:right="114"/>
        <w:jc w:val="both"/>
      </w:pPr>
      <w:r>
        <w:rPr/>
        <w:t>En síntesis, de los 28 actores municipales entrevistados, destaca que 21 actores, es decir el 75%, de aguas arriba y aguas abajo, consideran viable la propuesta de creación de un Comité Intermunicipal con su Reglamento; otros tres no consideran viable la propuesta, porque dijeron que la presa Huapango es de orden federal; y 4 actores del municipio de Polotitlán se encuentran confundidos entre dicha propuesta y el Reglamento que rige el riego en la Asociación de Usuarios que fue creada para este fin.</w:t>
      </w:r>
    </w:p>
    <w:p>
      <w:pPr>
        <w:pStyle w:val="BodyText"/>
        <w:spacing w:before="4"/>
        <w:rPr>
          <w:sz w:val="17"/>
        </w:rPr>
      </w:pPr>
    </w:p>
    <w:p>
      <w:pPr>
        <w:pStyle w:val="Heading6"/>
        <w:spacing w:line="360" w:lineRule="auto"/>
        <w:ind w:left="1233" w:right="365" w:hanging="852"/>
      </w:pPr>
      <w:r>
        <w:rPr/>
        <w:t>Gráfica 6.9. Creación del Comité Intermunicipal con su Reglamento para el uso, cuidado y defensa de la presa Huapango (Actores Municipales)</w:t>
      </w:r>
    </w:p>
    <w:p>
      <w:pPr>
        <w:pStyle w:val="BodyText"/>
        <w:rPr>
          <w:b/>
          <w:sz w:val="14"/>
        </w:rPr>
      </w:pPr>
      <w:r>
        <w:rPr/>
        <w:pict>
          <v:group style="position:absolute;margin-left:84.675003pt;margin-top:10.02942pt;width:442.65pt;height:249pt;mso-position-horizontal-relative:page;mso-position-vertical-relative:paragraph;z-index:11704;mso-wrap-distance-left:0;mso-wrap-distance-right:0" coordorigin="1694,201" coordsize="8853,4980">
            <v:shape style="position:absolute;left:2278;top:737;width:4571;height:3904" type="#_x0000_t75" stroked="false">
              <v:imagedata r:id="rId209" o:title=""/>
            </v:shape>
            <v:rect style="position:absolute;left:7379;top:940;width:101;height:101" filled="true" fillcolor="#40699c" stroked="false">
              <v:fill type="solid"/>
            </v:rect>
            <v:rect style="position:absolute;left:7379;top:2387;width:101;height:101" filled="true" fillcolor="#9bba58" stroked="false">
              <v:fill type="solid"/>
            </v:rect>
            <v:rect style="position:absolute;left:7379;top:3835;width:101;height:101" filled="true" fillcolor="#a9cedc" stroked="false">
              <v:fill type="solid"/>
            </v:rect>
            <v:rect style="position:absolute;left:1701;top:208;width:8838;height:4965" filled="false" stroked="true" strokeweight=".75pt" strokecolor="#000000"/>
            <v:shape style="position:absolute;left:3788;top:148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2723;top:190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7524;top:892;width:2665;height:1119" type="#_x0000_t202" filled="false" stroked="false">
              <v:textbox inset="0,0,0,0">
                <w:txbxContent>
                  <w:p>
                    <w:pPr>
                      <w:spacing w:line="204" w:lineRule="exact" w:before="0"/>
                      <w:ind w:left="0" w:right="-13" w:firstLine="0"/>
                      <w:jc w:val="left"/>
                      <w:rPr>
                        <w:sz w:val="20"/>
                      </w:rPr>
                    </w:pPr>
                    <w:r>
                      <w:rPr>
                        <w:sz w:val="20"/>
                      </w:rPr>
                      <w:t>A favor de la creación del</w:t>
                    </w:r>
                  </w:p>
                  <w:p>
                    <w:pPr>
                      <w:spacing w:before="0"/>
                      <w:ind w:left="0" w:right="-13" w:firstLine="0"/>
                      <w:jc w:val="left"/>
                      <w:rPr>
                        <w:sz w:val="20"/>
                      </w:rPr>
                    </w:pPr>
                    <w:r>
                      <w:rPr>
                        <w:sz w:val="20"/>
                      </w:rPr>
                      <w:t>Comité Intermunicipal con su Reglamento para el uso, cuidado y defensa de la</w:t>
                    </w:r>
                    <w:r>
                      <w:rPr>
                        <w:spacing w:val="-11"/>
                        <w:sz w:val="20"/>
                      </w:rPr>
                      <w:t> </w:t>
                    </w:r>
                    <w:r>
                      <w:rPr>
                        <w:sz w:val="20"/>
                      </w:rPr>
                      <w:t>presa Huapango</w:t>
                    </w:r>
                  </w:p>
                </w:txbxContent>
              </v:textbox>
              <w10:wrap type="none"/>
            </v:shape>
            <v:shape style="position:absolute;left:5783;top:284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75%</w:t>
                    </w:r>
                  </w:p>
                </w:txbxContent>
              </v:textbox>
              <w10:wrap type="none"/>
            </v:shape>
            <v:shape style="position:absolute;left:7524;top:2340;width:2665;height:1647" type="#_x0000_t202" filled="false" stroked="false">
              <v:textbox inset="0,0,0,0">
                <w:txbxContent>
                  <w:p>
                    <w:pPr>
                      <w:spacing w:line="204" w:lineRule="exact" w:before="0"/>
                      <w:ind w:left="0" w:right="-13" w:firstLine="0"/>
                      <w:jc w:val="left"/>
                      <w:rPr>
                        <w:sz w:val="20"/>
                      </w:rPr>
                    </w:pPr>
                    <w:r>
                      <w:rPr>
                        <w:sz w:val="20"/>
                      </w:rPr>
                      <w:t>No están de acuerdo con la</w:t>
                    </w:r>
                  </w:p>
                  <w:p>
                    <w:pPr>
                      <w:spacing w:before="0"/>
                      <w:ind w:left="0" w:right="-13" w:firstLine="0"/>
                      <w:jc w:val="left"/>
                      <w:rPr>
                        <w:sz w:val="20"/>
                      </w:rPr>
                    </w:pPr>
                    <w:r>
                      <w:rPr>
                        <w:sz w:val="20"/>
                      </w:rPr>
                      <w:t>creación del Comité Intermunicipal con su Reglamento para el uso, cuidado y defensa de la</w:t>
                    </w:r>
                    <w:r>
                      <w:rPr>
                        <w:spacing w:val="-11"/>
                        <w:sz w:val="20"/>
                      </w:rPr>
                      <w:t> </w:t>
                    </w:r>
                    <w:r>
                      <w:rPr>
                        <w:sz w:val="20"/>
                      </w:rPr>
                      <w:t>presa Huapango</w:t>
                    </w:r>
                  </w:p>
                  <w:p>
                    <w:pPr>
                      <w:spacing w:line="225" w:lineRule="exact" w:before="67"/>
                      <w:ind w:left="0" w:right="-13" w:firstLine="0"/>
                      <w:jc w:val="left"/>
                      <w:rPr>
                        <w:sz w:val="20"/>
                      </w:rPr>
                    </w:pPr>
                    <w:r>
                      <w:rPr>
                        <w:sz w:val="20"/>
                      </w:rPr>
                      <w:t>Confundidos</w:t>
                    </w:r>
                  </w:p>
                </w:txbxContent>
              </v:textbox>
              <w10:wrap type="none"/>
            </v:shape>
            <w10:wrap type="topAndBottom"/>
          </v:group>
        </w:pict>
      </w:r>
    </w:p>
    <w:p>
      <w:pPr>
        <w:pStyle w:val="BodyText"/>
        <w:spacing w:before="3"/>
        <w:rPr>
          <w:b/>
          <w:sz w:val="26"/>
        </w:rPr>
      </w:pPr>
    </w:p>
    <w:p>
      <w:pPr>
        <w:pStyle w:val="BodyText"/>
        <w:spacing w:line="362" w:lineRule="auto"/>
        <w:ind w:left="122" w:right="119"/>
        <w:jc w:val="both"/>
      </w:pPr>
      <w:r>
        <w:rPr>
          <w:b/>
        </w:rPr>
        <w:t>Fuente: </w:t>
      </w:r>
      <w:r>
        <w:rPr/>
        <w:t>Elaboración propia con base en los datos obtenidos en Trabajo de Campo, García</w:t>
      </w:r>
      <w:r>
        <w:rPr>
          <w:spacing w:val="-4"/>
        </w:rPr>
        <w:t> </w:t>
      </w:r>
      <w:r>
        <w:rPr/>
        <w:t>(2013-2015).</w:t>
      </w:r>
    </w:p>
    <w:p>
      <w:pPr>
        <w:pStyle w:val="BodyText"/>
        <w:spacing w:before="4"/>
        <w:rPr>
          <w:sz w:val="17"/>
        </w:rPr>
      </w:pPr>
    </w:p>
    <w:p>
      <w:pPr>
        <w:pStyle w:val="BodyText"/>
        <w:spacing w:line="360" w:lineRule="auto"/>
        <w:ind w:left="122" w:right="112"/>
        <w:jc w:val="both"/>
      </w:pPr>
      <w:r>
        <w:rPr/>
        <w:t>Para el caso de estos actores, destaca que si bien el número de actores que están a favor de la creación del Comité Intermunicipal con su Reglamento para el uso, cuidado y defensa de la presa Huapango es mayor que los que están en contra y confundidos, dicho número revela el desconocimiento por parte de los actores municipales las limitaciones</w:t>
      </w:r>
    </w:p>
    <w:p>
      <w:pPr>
        <w:spacing w:after="0" w:line="360" w:lineRule="auto"/>
        <w:jc w:val="both"/>
        <w:sectPr>
          <w:pgSz w:w="12240" w:h="15840"/>
          <w:pgMar w:header="0" w:footer="1003" w:top="1360" w:bottom="1200" w:left="1580" w:right="1580"/>
        </w:sectPr>
      </w:pPr>
    </w:p>
    <w:p>
      <w:pPr>
        <w:pStyle w:val="BodyText"/>
        <w:spacing w:line="362" w:lineRule="auto" w:before="53"/>
        <w:ind w:left="102" w:right="112"/>
        <w:jc w:val="both"/>
      </w:pPr>
      <w:r>
        <w:rPr/>
        <w:t>constitucionales que tienen como autoridades municipales para asociarse como municipios para atender la problemática de la presa</w:t>
      </w:r>
      <w:r>
        <w:rPr>
          <w:spacing w:val="-17"/>
        </w:rPr>
        <w:t> </w:t>
      </w:r>
      <w:r>
        <w:rPr/>
        <w:t>Huapango.</w:t>
      </w:r>
    </w:p>
    <w:p>
      <w:pPr>
        <w:pStyle w:val="BodyText"/>
        <w:spacing w:before="4"/>
        <w:rPr>
          <w:sz w:val="17"/>
        </w:rPr>
      </w:pPr>
    </w:p>
    <w:p>
      <w:pPr>
        <w:pStyle w:val="BodyText"/>
        <w:spacing w:line="360" w:lineRule="auto"/>
        <w:ind w:left="102" w:right="118"/>
        <w:jc w:val="both"/>
      </w:pPr>
      <w:r>
        <w:rPr/>
        <w:t>Finalmente, los 3 </w:t>
      </w:r>
      <w:r>
        <w:rPr>
          <w:i/>
        </w:rPr>
        <w:t>actores federales </w:t>
      </w:r>
      <w:r>
        <w:rPr/>
        <w:t>entrevistados opinaron con respecto a la creación del Comité Intermunicipal con su Reglamento para el uso, cuidado y defensa de la presa Huapango, lo siguiente:</w:t>
      </w:r>
    </w:p>
    <w:p>
      <w:pPr>
        <w:pStyle w:val="BodyText"/>
        <w:spacing w:before="9"/>
        <w:rPr>
          <w:sz w:val="17"/>
        </w:rPr>
      </w:pPr>
    </w:p>
    <w:p>
      <w:pPr>
        <w:pStyle w:val="BodyText"/>
        <w:spacing w:line="360" w:lineRule="auto"/>
        <w:ind w:left="102" w:right="113"/>
        <w:jc w:val="both"/>
      </w:pPr>
      <w:r>
        <w:rPr/>
        <w:t>El Jefe del Distrito de Riego en el Estado de México, señaló que “ya existe un reglamento en la Asociación de Usuarios del Sistema de Riego Huapango Arroyo Zarco para regular el riego”; mientras que el Subjefe de Operación, dijo que “sí es viable dicha propuesta  para que los municipios tomen conciencia del daño que se están ocasionando con la contaminación y para el uso de riego, pues ya existe el de la Asociación”; y por último, el Presidente de la Asociación de Usuarios del Sistema de Riego Huapango Arroyo Zarco México S.A., señaló que “no considera apropiado un reglamento intermunicipal para regular el uso de la laguna Huapango porque habría más</w:t>
      </w:r>
      <w:r>
        <w:rPr>
          <w:spacing w:val="-18"/>
        </w:rPr>
        <w:t> </w:t>
      </w:r>
      <w:r>
        <w:rPr/>
        <w:t>conflicto”.</w:t>
      </w:r>
    </w:p>
    <w:p>
      <w:pPr>
        <w:pStyle w:val="BodyText"/>
        <w:spacing w:before="9"/>
        <w:rPr>
          <w:sz w:val="17"/>
        </w:rPr>
      </w:pPr>
    </w:p>
    <w:p>
      <w:pPr>
        <w:pStyle w:val="BodyText"/>
        <w:spacing w:line="360" w:lineRule="auto"/>
        <w:ind w:left="102" w:right="112"/>
        <w:jc w:val="both"/>
      </w:pPr>
      <w:r>
        <w:rPr/>
        <w:t>Bajo estos argumentos, se identifica que los actores federales le dan mayor peso al reparto del agua, sin importar el cuidado y sostenibilidad de la presa Huapango, además muestra su desconocimiento de la problemática que viven los actores de aguas arriba, ya que el único que entendió el objetivo de la propuesta de creación de un Comité con su Reglamento, fue el Subjefe de Operación, porque éste funcionario hace trabajo de campo y se ha dado cuenta de la problemática de la contaminación general que hay, pero hace énfasis en que el reparto del agua ya está regulado por la Conagua.</w:t>
      </w:r>
    </w:p>
    <w:p>
      <w:pPr>
        <w:pStyle w:val="BodyText"/>
        <w:spacing w:before="7"/>
        <w:rPr>
          <w:sz w:val="17"/>
        </w:rPr>
      </w:pPr>
    </w:p>
    <w:p>
      <w:pPr>
        <w:pStyle w:val="BodyText"/>
        <w:spacing w:line="360" w:lineRule="auto"/>
        <w:ind w:left="102" w:right="117"/>
        <w:jc w:val="both"/>
      </w:pPr>
      <w:r>
        <w:rPr/>
        <w:t>En conclusión sobre los principios de Relaciones Intermunicipales y Gobernabilidad, se detecta que son los actores históricos los que tienen mayor peso para poder llevar acabo la creación de un Comité Intermunicipal con su Reglamento para el uso, cuidado  y defensa de la presa Huapango, ya que como ciudadanos, pueden constituirse en asociaciones civiles (Comité) que les dan la facultad de regirse mediante un acuerdo general de Asamblea (Reglamento); además de que el 87 % de estos actores están a favor de la creación de dicho Comité para hacer frente a la problemática que se vive en la cuenca hidrosocial presa Huapango y poder sostener así a la presa Huapango, un bien de uso común importante para la región. Se detecta que son los mejores actores para comenzar a formar el Comité, porque son los que tienen más lazos y flexibilidad de relaciones con los otros actores de la cuenca.</w:t>
      </w:r>
    </w:p>
    <w:p>
      <w:pPr>
        <w:spacing w:after="0" w:line="360" w:lineRule="auto"/>
        <w:jc w:val="both"/>
        <w:sectPr>
          <w:pgSz w:w="12240" w:h="15840"/>
          <w:pgMar w:header="0" w:footer="1003" w:top="1360" w:bottom="1200" w:left="1600" w:right="1580"/>
        </w:sectPr>
      </w:pPr>
    </w:p>
    <w:p>
      <w:pPr>
        <w:pStyle w:val="BodyText"/>
        <w:spacing w:line="360" w:lineRule="auto" w:before="53"/>
        <w:ind w:left="102" w:right="114"/>
        <w:jc w:val="both"/>
      </w:pPr>
      <w:r>
        <w:rPr/>
        <w:t>Por su parte los actores municipales, muestran gran interés por interrelacionarse con  otras autoridades municipales de los otros municipios que integran la cuenca hidrosocial presa Huapango, para hacer frente a la problemática común que se tiene en la presa Huapango, ya que el 75% dijo estar a favor de la creación de un Comité Intermunicipal con su Reglamento, pero desconocen las limitantes constitucionales que tienen como órganos municipales, ya que la Constitución señala en su artículo 115, que los municipios sólo podrán asociarse para prestar servicios públicos, pero no reconoce la Constitución la asociación para proteger recursos naturales que están en constante deterioro, y que son de uso común para varios municipios, como es el caso de la presa</w:t>
      </w:r>
      <w:r>
        <w:rPr>
          <w:spacing w:val="-17"/>
        </w:rPr>
        <w:t> </w:t>
      </w:r>
      <w:r>
        <w:rPr/>
        <w:t>Huapango.</w:t>
      </w:r>
    </w:p>
    <w:p>
      <w:pPr>
        <w:pStyle w:val="BodyText"/>
        <w:spacing w:before="10"/>
        <w:rPr>
          <w:sz w:val="17"/>
        </w:rPr>
      </w:pPr>
    </w:p>
    <w:p>
      <w:pPr>
        <w:pStyle w:val="BodyText"/>
        <w:spacing w:line="360" w:lineRule="auto"/>
        <w:ind w:left="102" w:right="117"/>
        <w:jc w:val="both"/>
      </w:pPr>
      <w:r>
        <w:rPr/>
        <w:t>Por su parte, los actores federales que sólo atienden a los municipios de aguas abajo (Aculco y Polotitlán), centran su atención en la regulación (que ya existe en la Asociación de Usuarios para riego) para la distribución del agua, no les interesa que se realicen acciones para proteger este recurso de forma sostenible, solo responder ante la demanda de agua de los actores de Polotitlán y Aculco.</w:t>
      </w:r>
    </w:p>
    <w:p>
      <w:pPr>
        <w:pStyle w:val="BodyText"/>
        <w:spacing w:before="9"/>
        <w:rPr>
          <w:sz w:val="17"/>
        </w:rPr>
      </w:pPr>
    </w:p>
    <w:p>
      <w:pPr>
        <w:pStyle w:val="BodyText"/>
        <w:spacing w:line="360" w:lineRule="auto"/>
        <w:ind w:left="102" w:right="119"/>
        <w:jc w:val="both"/>
      </w:pPr>
      <w:r>
        <w:rPr/>
        <w:t>Es por ello, que se detecta que es en los actores históricos, donde radica la oportunidad de empoderamiento para asociarse y crear una regulación con más gobernabilidad y gobernanza.</w:t>
      </w:r>
    </w:p>
    <w:p>
      <w:pPr>
        <w:pStyle w:val="BodyText"/>
        <w:spacing w:before="5"/>
        <w:rPr>
          <w:sz w:val="17"/>
        </w:rPr>
      </w:pPr>
    </w:p>
    <w:p>
      <w:pPr>
        <w:pStyle w:val="ListParagraph"/>
        <w:numPr>
          <w:ilvl w:val="2"/>
          <w:numId w:val="51"/>
        </w:numPr>
        <w:tabs>
          <w:tab w:pos="889" w:val="left" w:leader="none"/>
        </w:tabs>
        <w:spacing w:line="362" w:lineRule="auto" w:before="0" w:after="0"/>
        <w:ind w:left="102" w:right="114" w:firstLine="0"/>
        <w:jc w:val="both"/>
        <w:rPr>
          <w:b/>
          <w:i/>
          <w:sz w:val="22"/>
        </w:rPr>
      </w:pPr>
      <w:r>
        <w:rPr>
          <w:b/>
          <w:sz w:val="22"/>
        </w:rPr>
        <w:t>Otros principios de gobernanza considerados: a) </w:t>
      </w:r>
      <w:r>
        <w:rPr>
          <w:b/>
          <w:i/>
          <w:sz w:val="22"/>
        </w:rPr>
        <w:t>cooperación, b) </w:t>
      </w:r>
      <w:r>
        <w:rPr>
          <w:b/>
          <w:i/>
          <w:sz w:val="22"/>
        </w:rPr>
        <w:t>participación social, c) democracia y d) voluntariedad de la sociedad en la</w:t>
      </w:r>
      <w:r>
        <w:rPr>
          <w:b/>
          <w:i/>
          <w:spacing w:val="-21"/>
          <w:sz w:val="22"/>
        </w:rPr>
        <w:t> </w:t>
      </w:r>
      <w:r>
        <w:rPr>
          <w:b/>
          <w:i/>
          <w:sz w:val="22"/>
        </w:rPr>
        <w:t>CHPH</w:t>
      </w:r>
    </w:p>
    <w:p>
      <w:pPr>
        <w:pStyle w:val="BodyText"/>
        <w:spacing w:before="4"/>
        <w:rPr>
          <w:b/>
          <w:i/>
          <w:sz w:val="17"/>
        </w:rPr>
      </w:pPr>
    </w:p>
    <w:p>
      <w:pPr>
        <w:pStyle w:val="BodyText"/>
        <w:spacing w:line="360" w:lineRule="auto"/>
        <w:ind w:left="102" w:right="117"/>
        <w:jc w:val="both"/>
      </w:pPr>
      <w:r>
        <w:rPr/>
        <w:t>-a) Carlos Díaz (2015), señala que la </w:t>
      </w:r>
      <w:r>
        <w:rPr>
          <w:b/>
        </w:rPr>
        <w:t>cooperación </w:t>
      </w:r>
      <w:r>
        <w:rPr/>
        <w:t>se encarga de promover acciones  para sumar esfuerzos hacia un objetivo compartido, para el beneficio de todos los actores involucrados, considerando las experiencias y conocimiento de cada uno, los cuales comparten identidad, cultura, valores y</w:t>
      </w:r>
      <w:r>
        <w:rPr>
          <w:spacing w:val="-11"/>
        </w:rPr>
        <w:t> </w:t>
      </w:r>
      <w:r>
        <w:rPr/>
        <w:t>afinidad.</w:t>
      </w:r>
    </w:p>
    <w:p>
      <w:pPr>
        <w:pStyle w:val="BodyText"/>
      </w:pPr>
    </w:p>
    <w:p>
      <w:pPr>
        <w:pStyle w:val="BodyText"/>
        <w:spacing w:line="360" w:lineRule="auto" w:before="153"/>
        <w:ind w:left="102" w:right="114"/>
        <w:jc w:val="both"/>
      </w:pPr>
      <w:r>
        <w:rPr/>
        <w:t>Por su parte, González (2003), menciona que la cooperación consiste en el trabajo en común llevado a cabo por parte de un grupo de personas o entidades mayores hacia un objetivo compartido, generalmente usando métodos también comunes, en lugar de trabajar de forma separada. La cooperación es una institución duradera de relaciones privilegiadas entre actores, sustentada en la reciprocidad, la concertación sistemática y la búsqueda en común de todos los progresos y avances que pueden contribuir a conseguir un objetivo conjunto, de carácter general o</w:t>
      </w:r>
      <w:r>
        <w:rPr>
          <w:spacing w:val="-14"/>
        </w:rPr>
        <w:t> </w:t>
      </w:r>
      <w:r>
        <w:rPr/>
        <w:t>específico.</w:t>
      </w:r>
    </w:p>
    <w:p>
      <w:pPr>
        <w:spacing w:after="0" w:line="360" w:lineRule="auto"/>
        <w:jc w:val="both"/>
        <w:sectPr>
          <w:footerReference w:type="default" r:id="rId210"/>
          <w:pgSz w:w="12240" w:h="15840"/>
          <w:pgMar w:footer="1003" w:header="0" w:top="1360" w:bottom="1200" w:left="1600" w:right="1580"/>
          <w:pgNumType w:start="420"/>
        </w:sectPr>
      </w:pPr>
    </w:p>
    <w:p>
      <w:pPr>
        <w:pStyle w:val="BodyText"/>
        <w:spacing w:line="360" w:lineRule="auto" w:before="53"/>
        <w:ind w:left="102" w:right="114"/>
        <w:jc w:val="both"/>
      </w:pPr>
      <w:r>
        <w:rPr/>
        <w:t>Por tal motivo, la participación social, es definida por Chávez (2006), como un proceso de interrelación e interacción del involucramiento de los individuos en la cooperación y la responsabilidad hacia los grupos sociales y el desarrollo de las acciones colectivas para enfrentar problemas, esquemas y política que afectan la calidad de vida de la población así como la búsqueda de respuestas y soluciones a través de la movilización y organización social que se da en diferentes circunstancias de tiempo, lugar, modo y contexto; en diferentes momentos y niveles; con la facultad de los individuos para comprometerse en el ejercicio de la acción social y participar en la toma de decisiones del grupo</w:t>
      </w:r>
      <w:r>
        <w:rPr>
          <w:spacing w:val="-1"/>
        </w:rPr>
        <w:t> </w:t>
      </w:r>
      <w:r>
        <w:rPr/>
        <w:t>social.</w:t>
      </w:r>
    </w:p>
    <w:p>
      <w:pPr>
        <w:pStyle w:val="BodyText"/>
        <w:spacing w:before="7"/>
        <w:rPr>
          <w:sz w:val="17"/>
        </w:rPr>
      </w:pPr>
    </w:p>
    <w:p>
      <w:pPr>
        <w:pStyle w:val="BodyText"/>
        <w:spacing w:line="360" w:lineRule="auto"/>
        <w:ind w:left="102" w:right="112"/>
        <w:jc w:val="both"/>
      </w:pPr>
      <w:r>
        <w:rPr/>
        <w:t>-b) En este sentido, Quintana (2000), establece que: la </w:t>
      </w:r>
      <w:r>
        <w:rPr>
          <w:b/>
        </w:rPr>
        <w:t>participación social </w:t>
      </w:r>
      <w:r>
        <w:rPr/>
        <w:t>tiene como eje fundamental la toma de decisiones y esto a su vez nos remite a un proceso más democrático. El mismo autor señala diversas características en este rubro, como son: un alto y suficiente grado de autoestima; confianza en sí mismo para intervenir sobre otras personas; involucrarse en el entorno social donde participa y se identifica; un sentido crítico en la problemática; capacidad y conocimiento psicosociológico que permita la situación en la que los involucrados son actores, explicar y ser mediador en los conflictos mediante la negociación; comprender los conflictos como algo inherente en la convivencia social y humana; realizar proyectos en conjunto con otras personas e instituciones que tengan los mismos fines; intervenir en la toma de decisiones y manejar adecuadamente los mecanismos de</w:t>
      </w:r>
      <w:r>
        <w:rPr>
          <w:spacing w:val="-11"/>
        </w:rPr>
        <w:t> </w:t>
      </w:r>
      <w:r>
        <w:rPr/>
        <w:t>participación.</w:t>
      </w:r>
    </w:p>
    <w:p>
      <w:pPr>
        <w:pStyle w:val="BodyText"/>
        <w:spacing w:before="7"/>
        <w:rPr>
          <w:sz w:val="17"/>
        </w:rPr>
      </w:pPr>
    </w:p>
    <w:p>
      <w:pPr>
        <w:pStyle w:val="BodyText"/>
        <w:spacing w:line="360" w:lineRule="auto"/>
        <w:ind w:left="102" w:right="113"/>
        <w:jc w:val="both"/>
      </w:pPr>
      <w:r>
        <w:rPr/>
        <w:t>Bajo estas premisas, para Palerm (1993), según Romero (Romero, </w:t>
      </w:r>
      <w:r>
        <w:rPr>
          <w:i/>
        </w:rPr>
        <w:t>et al., </w:t>
      </w:r>
      <w:r>
        <w:rPr/>
        <w:t>2012), la voluntariedad es el punto inicial. Es decir, la “voluntad” de la población de hacer que suceda el cambio, donde el interés personal y de cada actor involucrado, es tener voluntad de cambiar su situación (Díaz, 2015). Por lo que es difícil, probablemente imposible, que una gestión o plan pueda ser realizado con éxito “</w:t>
      </w:r>
      <w:r>
        <w:rPr>
          <w:i/>
        </w:rPr>
        <w:t>si no es expresión de los </w:t>
      </w:r>
      <w:r>
        <w:rPr>
          <w:i/>
        </w:rPr>
        <w:t>deseos y la voluntad de la sociedad”</w:t>
      </w:r>
      <w:r>
        <w:rPr>
          <w:i/>
          <w:spacing w:val="-8"/>
        </w:rPr>
        <w:t> </w:t>
      </w:r>
      <w:r>
        <w:rPr>
          <w:i/>
        </w:rPr>
        <w:t>(</w:t>
      </w:r>
      <w:r>
        <w:rPr/>
        <w:t>Palerm,1993).</w:t>
      </w:r>
    </w:p>
    <w:p>
      <w:pPr>
        <w:pStyle w:val="BodyText"/>
        <w:spacing w:before="7"/>
        <w:rPr>
          <w:sz w:val="17"/>
        </w:rPr>
      </w:pPr>
    </w:p>
    <w:p>
      <w:pPr>
        <w:pStyle w:val="BodyText"/>
        <w:spacing w:line="360" w:lineRule="auto"/>
        <w:ind w:left="102" w:right="117"/>
        <w:jc w:val="both"/>
      </w:pPr>
      <w:r>
        <w:rPr/>
        <w:t>En este sentido, Warman (1982), refiere que para planificar las políticas de desarrollo y para hacerlas racionales, eficaces y eficientes, debe existir primero una gestión democrática con la capacidad de dirigir el proceso lo cual es una tarea prioritaria, por tal motivo, la democracia verdadera y útil en la gestión, sólo puede partir desde la sociedad. La admisión de que esto es posible en cualquier lugar es muy importante: “no hay ni gente ni sociedad que no esté preparada para el ejercicio de la democracia; para decidir sobre su  propio  destino.  Siempre  y nunca  se  está  listo  para la  democracia. Este  no  es  un</w:t>
      </w:r>
    </w:p>
    <w:p>
      <w:pPr>
        <w:spacing w:after="0" w:line="360" w:lineRule="auto"/>
        <w:jc w:val="both"/>
        <w:sectPr>
          <w:pgSz w:w="12240" w:h="15840"/>
          <w:pgMar w:header="0" w:footer="1003" w:top="1360" w:bottom="1200" w:left="1600" w:right="1580"/>
        </w:sectPr>
      </w:pPr>
    </w:p>
    <w:p>
      <w:pPr>
        <w:pStyle w:val="BodyText"/>
        <w:spacing w:line="360" w:lineRule="auto" w:before="53"/>
        <w:ind w:left="102" w:right="115"/>
        <w:jc w:val="both"/>
      </w:pPr>
      <w:r>
        <w:rPr/>
        <w:t>proceso educativo. Lo marginal, lo rústico y campesino, no limita el ejercicio democrático. En el campo no están los restos de un país antiguo, ni en las ciudades la simiente del país futuro”.</w:t>
      </w:r>
    </w:p>
    <w:p>
      <w:pPr>
        <w:pStyle w:val="BodyText"/>
        <w:spacing w:before="7"/>
        <w:rPr>
          <w:sz w:val="17"/>
        </w:rPr>
      </w:pPr>
    </w:p>
    <w:p>
      <w:pPr>
        <w:pStyle w:val="BodyText"/>
        <w:spacing w:line="360" w:lineRule="auto"/>
        <w:ind w:left="102" w:right="112"/>
        <w:jc w:val="both"/>
      </w:pPr>
      <w:r>
        <w:rPr/>
        <w:t>Joan Prats (2003), menciona que frente a las limitaciones y falta de legitimidad de las democracias occidentales, propone un modelo de gobernanza basado en lo que  denomina republicanismo cívico, en el que destaca fuertemente el elemento democrático en las redes de gobernanza. Para este autor, la exigencia irrenunciable de la naturaleza democrática de las redes de gobernanza exige la inclusión simétrica de los participantes e interesados en el tratamiento de un asunto público o en el rumbo de la sociedad en general.</w:t>
      </w:r>
    </w:p>
    <w:p>
      <w:pPr>
        <w:pStyle w:val="BodyText"/>
        <w:spacing w:before="7"/>
        <w:rPr>
          <w:sz w:val="17"/>
        </w:rPr>
      </w:pPr>
    </w:p>
    <w:p>
      <w:pPr>
        <w:pStyle w:val="BodyText"/>
        <w:spacing w:line="360" w:lineRule="auto"/>
        <w:ind w:left="102" w:right="117"/>
        <w:jc w:val="both"/>
      </w:pPr>
      <w:r>
        <w:rPr/>
        <w:t>En este sentido, los actores de la cuenca hidrosocial presa Huapango, mediante la gobernanza y gobernabilidad, expusieron sus motivos por los que asistirían a una reunión para tratar asuntos relacionados con la presa Huapango, ya que mediante la cooperación, la participación social, la democracia y voluntariedad de la sociedad pueden llegar acuerdos para slcionar la problemática de dicha presa y sostenerla.</w:t>
      </w:r>
    </w:p>
    <w:p>
      <w:pPr>
        <w:pStyle w:val="BodyText"/>
        <w:spacing w:before="7"/>
        <w:rPr>
          <w:sz w:val="17"/>
        </w:rPr>
      </w:pPr>
    </w:p>
    <w:p>
      <w:pPr>
        <w:pStyle w:val="BodyText"/>
        <w:spacing w:line="360" w:lineRule="auto"/>
        <w:ind w:left="102" w:right="116"/>
        <w:jc w:val="both"/>
      </w:pPr>
      <w:r>
        <w:rPr/>
        <w:t>Los actores históricos que son multiactores (pescadores, ganaderos, turismo, industriales y comerciantes de lácteos y autoridades auxiliares) señalaron lo</w:t>
      </w:r>
      <w:r>
        <w:rPr>
          <w:spacing w:val="-19"/>
        </w:rPr>
        <w:t> </w:t>
      </w:r>
      <w:r>
        <w:rPr/>
        <w:t>siguiente:</w:t>
      </w:r>
    </w:p>
    <w:p>
      <w:pPr>
        <w:pStyle w:val="BodyText"/>
        <w:spacing w:before="9"/>
        <w:rPr>
          <w:sz w:val="17"/>
        </w:rPr>
      </w:pPr>
    </w:p>
    <w:p>
      <w:pPr>
        <w:pStyle w:val="ListParagraph"/>
        <w:numPr>
          <w:ilvl w:val="0"/>
          <w:numId w:val="55"/>
        </w:numPr>
        <w:tabs>
          <w:tab w:pos="383" w:val="left" w:leader="none"/>
        </w:tabs>
        <w:spacing w:line="360" w:lineRule="auto" w:before="1" w:after="0"/>
        <w:ind w:left="102" w:right="114" w:firstLine="0"/>
        <w:jc w:val="both"/>
        <w:rPr>
          <w:sz w:val="22"/>
        </w:rPr>
      </w:pPr>
      <w:r>
        <w:rPr>
          <w:sz w:val="22"/>
        </w:rPr>
        <w:t>Los 15 pescadores, es decir el 100%, manifestaron estar de acuerdo en asistir a una reunión para tratar asuntos relacionados con la presa Huapango: uno dijo “¡claro que sí!, para que nos pongamos de acuerdo para cuidar la laguna”; otro actor expresó, “sí para tratar asuntos relacionados con la laguna porque podría mencionar los problemas que existen”; uno más señaló que “sí iría para decir los problemas que existen y a ver a qué solución llegamos los usuarios, porque por ejemplo, el ex presidente de Timilpan, Sergio Flores y los Chimal, intentaron hacer un centro turístico en la orilla de la laguna, pero cuando les dijimos que como pescadores queríamos la concesión de la lancha y entregar el pescado, se fueron y sólo dejaron medio construido un baño”; otro actor señaló, “¡Claro que sí! para ponernos de acuerdo de cómo usarla”; uno más dijo “si iría para ver qué dicen”; otro indicó “sí porque necesitamos ponernos de acuerdo”; otro señaló “sí porque nos interesa que la laguna este limpia”; uno más dijo “sí pues porque sería cuestión de ver que se va a hacer con la laguna que abastece familias y sería bueno saber que se va a hacer para cuidarla”; otro señaló “sí porque sí me interesa porque ahí a veces  trabajamos”;</w:t>
      </w:r>
      <w:r>
        <w:rPr>
          <w:spacing w:val="55"/>
          <w:sz w:val="22"/>
        </w:rPr>
        <w:t> </w:t>
      </w:r>
      <w:r>
        <w:rPr>
          <w:sz w:val="22"/>
        </w:rPr>
        <w:t>otro</w:t>
      </w:r>
      <w:r>
        <w:rPr>
          <w:spacing w:val="49"/>
          <w:sz w:val="22"/>
        </w:rPr>
        <w:t> </w:t>
      </w:r>
      <w:r>
        <w:rPr>
          <w:sz w:val="22"/>
        </w:rPr>
        <w:t>mencionó</w:t>
      </w:r>
      <w:r>
        <w:rPr>
          <w:spacing w:val="53"/>
          <w:sz w:val="22"/>
        </w:rPr>
        <w:t> </w:t>
      </w:r>
      <w:r>
        <w:rPr>
          <w:sz w:val="22"/>
        </w:rPr>
        <w:t>“¡sí</w:t>
      </w:r>
      <w:r>
        <w:rPr>
          <w:spacing w:val="51"/>
          <w:sz w:val="22"/>
        </w:rPr>
        <w:t> </w:t>
      </w:r>
      <w:r>
        <w:rPr>
          <w:sz w:val="22"/>
        </w:rPr>
        <w:t>cómo</w:t>
      </w:r>
      <w:r>
        <w:rPr>
          <w:spacing w:val="54"/>
          <w:sz w:val="22"/>
        </w:rPr>
        <w:t> </w:t>
      </w:r>
      <w:r>
        <w:rPr>
          <w:sz w:val="22"/>
        </w:rPr>
        <w:t>no!</w:t>
      </w:r>
      <w:r>
        <w:rPr>
          <w:spacing w:val="52"/>
          <w:sz w:val="22"/>
        </w:rPr>
        <w:t> </w:t>
      </w:r>
      <w:r>
        <w:rPr>
          <w:sz w:val="22"/>
        </w:rPr>
        <w:t>porque</w:t>
      </w:r>
      <w:r>
        <w:rPr>
          <w:spacing w:val="53"/>
          <w:sz w:val="22"/>
        </w:rPr>
        <w:t> </w:t>
      </w:r>
      <w:r>
        <w:rPr>
          <w:sz w:val="22"/>
        </w:rPr>
        <w:t>nos</w:t>
      </w:r>
      <w:r>
        <w:rPr>
          <w:spacing w:val="51"/>
          <w:sz w:val="22"/>
        </w:rPr>
        <w:t> </w:t>
      </w:r>
      <w:r>
        <w:rPr>
          <w:sz w:val="22"/>
        </w:rPr>
        <w:t>interesan</w:t>
      </w:r>
      <w:r>
        <w:rPr>
          <w:spacing w:val="53"/>
          <w:sz w:val="22"/>
        </w:rPr>
        <w:t> </w:t>
      </w:r>
      <w:r>
        <w:rPr>
          <w:sz w:val="22"/>
        </w:rPr>
        <w:t>los</w:t>
      </w:r>
      <w:r>
        <w:rPr>
          <w:spacing w:val="51"/>
          <w:sz w:val="22"/>
        </w:rPr>
        <w:t> </w:t>
      </w:r>
      <w:r>
        <w:rPr>
          <w:sz w:val="22"/>
        </w:rPr>
        <w:t>acuerdos</w:t>
      </w:r>
      <w:r>
        <w:rPr>
          <w:spacing w:val="49"/>
          <w:sz w:val="22"/>
        </w:rPr>
        <w:t> </w:t>
      </w:r>
      <w:r>
        <w:rPr>
          <w:sz w:val="22"/>
        </w:rPr>
        <w:t>que</w:t>
      </w:r>
      <w:r>
        <w:rPr>
          <w:spacing w:val="51"/>
          <w:sz w:val="22"/>
        </w:rPr>
        <w:t> </w:t>
      </w:r>
      <w:r>
        <w:rPr>
          <w:sz w:val="22"/>
        </w:rPr>
        <w:t>se</w:t>
      </w:r>
    </w:p>
    <w:p>
      <w:pPr>
        <w:spacing w:after="0" w:line="360" w:lineRule="auto"/>
        <w:jc w:val="both"/>
        <w:rPr>
          <w:sz w:val="22"/>
        </w:rPr>
        <w:sectPr>
          <w:pgSz w:w="12240" w:h="15840"/>
          <w:pgMar w:header="0" w:footer="1003" w:top="1360" w:bottom="1200" w:left="1600" w:right="1580"/>
        </w:sectPr>
      </w:pPr>
    </w:p>
    <w:p>
      <w:pPr>
        <w:pStyle w:val="BodyText"/>
        <w:spacing w:line="360" w:lineRule="auto" w:before="53"/>
        <w:ind w:left="102" w:right="114"/>
        <w:jc w:val="both"/>
      </w:pPr>
      <w:r>
        <w:rPr/>
        <w:t>tomen y las pláticas que se tengan”; uno más dijo “sí por ser de los más cercanos y  somos los que pescamos”; otro actor señaló “sí porque para que no se muera el pescado y uno que este más sano que es quien lo consume”; otro actor manifestó “sí porque es un bien para todos y se necesita para estar todos en acuerdo para que se respete”; un actor más dijo “sí porque se necesita para oír qué podemos hacer o que apoyo nos podrán dar”; y finalmente el presidente de todas las cooperativas en la presa Huapango señaló “siempre he asistido, también he ido a conferencias a Valle de Bravo con los cooperativistas de Valle de Bravo y aquí hubo una reunión en el puente de la Autopista Arco Norte para llegar acuerdos de que los cuatro municipios de Aculco, Timilpan, Acambay y Jilotepec, pudieran pescar y para integrar cooperativas, pero sólo se  integraron 13 cooperativas con 230 personas, porque no se integraron todas porque no hubo solides y porque no alcanzaba para que pescaran</w:t>
      </w:r>
      <w:r>
        <w:rPr>
          <w:spacing w:val="-14"/>
        </w:rPr>
        <w:t> </w:t>
      </w:r>
      <w:r>
        <w:rPr/>
        <w:t>todos”.</w:t>
      </w:r>
    </w:p>
    <w:p>
      <w:pPr>
        <w:pStyle w:val="BodyText"/>
        <w:spacing w:before="7"/>
        <w:rPr>
          <w:sz w:val="17"/>
        </w:rPr>
      </w:pPr>
    </w:p>
    <w:p>
      <w:pPr>
        <w:pStyle w:val="ListParagraph"/>
        <w:numPr>
          <w:ilvl w:val="0"/>
          <w:numId w:val="55"/>
        </w:numPr>
        <w:tabs>
          <w:tab w:pos="419" w:val="left" w:leader="none"/>
        </w:tabs>
        <w:spacing w:line="360" w:lineRule="auto" w:before="0" w:after="0"/>
        <w:ind w:left="102" w:right="115" w:firstLine="0"/>
        <w:jc w:val="both"/>
        <w:rPr>
          <w:sz w:val="22"/>
        </w:rPr>
      </w:pPr>
      <w:r>
        <w:rPr>
          <w:sz w:val="22"/>
        </w:rPr>
        <w:t>Los 6 actores ganaderos entrevistados de los municipios de Jilotepec y Timilpan, manifestaron estar de acuerdo en asistir a una reunión para tratar asuntos relacionados con la laguna de Huapango: Uno señaló que “sí iría para ver que me ofrecen y que me van a dar”; otro actor señaló que “sí iría para dar algunas sugerencias sobre la problemática de la misma”; uno más dijo “sí, pero que no sea tan lejos, porque hay que cuidar los animales”; uno más comentó “sí porque estoy interesado en saber que va a pasar con la laguna”; otro actor mencionó “sí para que hagan algo, porque todo se está acabando, se está perdiendo todo” el último actor dijo “sí, para llegar a convenios de los distintos</w:t>
      </w:r>
      <w:r>
        <w:rPr>
          <w:spacing w:val="-4"/>
          <w:sz w:val="22"/>
        </w:rPr>
        <w:t> </w:t>
      </w:r>
      <w:r>
        <w:rPr>
          <w:sz w:val="22"/>
        </w:rPr>
        <w:t>pueblos”.</w:t>
      </w:r>
    </w:p>
    <w:p>
      <w:pPr>
        <w:pStyle w:val="BodyText"/>
        <w:spacing w:before="7"/>
        <w:rPr>
          <w:sz w:val="17"/>
        </w:rPr>
      </w:pPr>
    </w:p>
    <w:p>
      <w:pPr>
        <w:pStyle w:val="ListParagraph"/>
        <w:numPr>
          <w:ilvl w:val="0"/>
          <w:numId w:val="55"/>
        </w:numPr>
        <w:tabs>
          <w:tab w:pos="371" w:val="left" w:leader="none"/>
        </w:tabs>
        <w:spacing w:line="360" w:lineRule="auto" w:before="0" w:after="0"/>
        <w:ind w:left="102" w:right="116" w:firstLine="0"/>
        <w:jc w:val="both"/>
        <w:rPr>
          <w:sz w:val="22"/>
        </w:rPr>
      </w:pPr>
      <w:r>
        <w:rPr>
          <w:sz w:val="22"/>
        </w:rPr>
        <w:t>Los actores industriales y comerciantes de lácteos entrevistados en los municipios de Aculco y Polotitlán, mencionaron que sí asistirían a una reunión para tratar asuntos relacionados con la laguna de Huapango. El presidente de la Unión de Productores Lácteos de Aculco S.A. de C.V, señaló que “sí asistiría para ver que asuntos tratan”; por otro lado, el presidente de la Unión de Productores de Leche de Polotitlán S.A. de C.V, señaló que “sí porque me interesa, y de hecho he asistido cada vez que me invitan” (este actor hace referencia a las reuniones periódicas que se tienen en la Asociación de Usuarios de</w:t>
      </w:r>
      <w:r>
        <w:rPr>
          <w:spacing w:val="-7"/>
          <w:sz w:val="22"/>
        </w:rPr>
        <w:t> </w:t>
      </w:r>
      <w:r>
        <w:rPr>
          <w:sz w:val="22"/>
        </w:rPr>
        <w:t>Riego).</w:t>
      </w:r>
    </w:p>
    <w:p>
      <w:pPr>
        <w:pStyle w:val="BodyText"/>
        <w:spacing w:before="9"/>
        <w:rPr>
          <w:sz w:val="17"/>
        </w:rPr>
      </w:pPr>
    </w:p>
    <w:p>
      <w:pPr>
        <w:pStyle w:val="ListParagraph"/>
        <w:numPr>
          <w:ilvl w:val="0"/>
          <w:numId w:val="55"/>
        </w:numPr>
        <w:tabs>
          <w:tab w:pos="395" w:val="left" w:leader="none"/>
        </w:tabs>
        <w:spacing w:line="360" w:lineRule="auto" w:before="0" w:after="0"/>
        <w:ind w:left="102" w:right="118" w:firstLine="0"/>
        <w:jc w:val="both"/>
        <w:rPr>
          <w:sz w:val="22"/>
        </w:rPr>
      </w:pPr>
      <w:r>
        <w:rPr>
          <w:sz w:val="22"/>
        </w:rPr>
        <w:t>El único actor representante de turismo entrevistado en el municipio de Aculco (Las Delicias de Huapango S.A. de C.V.), al preguntarle sí asistiría a una reunión para tratar asuntos relacionados con la laguna de Huapango, contestó “¡Claro que sí! para exponer nuestros</w:t>
      </w:r>
      <w:r>
        <w:rPr>
          <w:spacing w:val="-2"/>
          <w:sz w:val="22"/>
        </w:rPr>
        <w:t> </w:t>
      </w:r>
      <w:r>
        <w:rPr>
          <w:sz w:val="22"/>
        </w:rPr>
        <w:t>problemas”.</w:t>
      </w:r>
    </w:p>
    <w:p>
      <w:pPr>
        <w:spacing w:after="0" w:line="360" w:lineRule="auto"/>
        <w:jc w:val="both"/>
        <w:rPr>
          <w:sz w:val="22"/>
        </w:rPr>
        <w:sectPr>
          <w:pgSz w:w="12240" w:h="15840"/>
          <w:pgMar w:header="0" w:footer="1003" w:top="1360" w:bottom="1200" w:left="1600" w:right="1580"/>
        </w:sectPr>
      </w:pPr>
    </w:p>
    <w:p>
      <w:pPr>
        <w:pStyle w:val="ListParagraph"/>
        <w:numPr>
          <w:ilvl w:val="0"/>
          <w:numId w:val="55"/>
        </w:numPr>
        <w:tabs>
          <w:tab w:pos="503" w:val="left" w:leader="none"/>
        </w:tabs>
        <w:spacing w:line="360" w:lineRule="auto" w:before="53" w:after="0"/>
        <w:ind w:left="102" w:right="119" w:firstLine="0"/>
        <w:jc w:val="both"/>
        <w:rPr>
          <w:sz w:val="22"/>
        </w:rPr>
      </w:pPr>
      <w:r>
        <w:rPr>
          <w:sz w:val="22"/>
        </w:rPr>
        <w:t>Las autoridades auxiliares (Comisariados Ejidales y Delegados Municipales) entrevistadas, señalaron respecto sí asistirían a una reunión para tratar asuntos relacionados con la laguna de Huapango lo</w:t>
      </w:r>
      <w:r>
        <w:rPr>
          <w:spacing w:val="-13"/>
          <w:sz w:val="22"/>
        </w:rPr>
        <w:t> </w:t>
      </w:r>
      <w:r>
        <w:rPr>
          <w:sz w:val="22"/>
        </w:rPr>
        <w:t>siguiente:</w:t>
      </w:r>
    </w:p>
    <w:p>
      <w:pPr>
        <w:pStyle w:val="BodyText"/>
        <w:spacing w:before="7"/>
        <w:rPr>
          <w:sz w:val="17"/>
        </w:rPr>
      </w:pPr>
    </w:p>
    <w:p>
      <w:pPr>
        <w:pStyle w:val="BodyText"/>
        <w:spacing w:line="360" w:lineRule="auto"/>
        <w:ind w:left="102" w:right="114"/>
        <w:jc w:val="both"/>
      </w:pPr>
      <w:r>
        <w:rPr/>
        <w:t>Los 8 Comisariados Ejidales manifestaron que sí asistirían a una reunión para tratar asuntos relacionados con la presa Huapango: uno señaló que “¡por supuesto! para que nos pongamos de acuerdo en qué hacer como ciudadanos que somos, y para tener un control”; otro actor mencionó que “sí asistiría para tratar de llegar a acuerdos para cuidar la laguna, porque cada </w:t>
      </w:r>
      <w:r>
        <w:rPr>
          <w:spacing w:val="-3"/>
        </w:rPr>
        <w:t>día </w:t>
      </w:r>
      <w:r>
        <w:rPr/>
        <w:t>está peor”; uno más señaló que “sí asistiría a una reunión para tratar asuntos relacionados con la laguna, porque podría exponer y escuchar de los  demás los problemas que tiene para llegar a una solución”; otro actor dijo que “sí, porque es beneficio para todos y porque represento un núcleo ejidal y le beneficia”; un actor más expresó “¡claro que sí! porque sería una gran oportunidad para ponernos de acuerdo y hacer algo entre todos para rescatar la laguna; otro Comisariado Ejidal opinó que "sí asistiría, porque nos interesa como ejido y para que nos den informes de cómo se está trabajando”; por su parte el Comisariado Ejidal de Encinillas, Polotitlán, parece haberse confundido porque contestó “Sí porque es nuestra responsabilidad y en la asociación de usuarios son responsables de lo que se decide” (se refiere a la Asociación de Usuarios de Riego); un último Comisariado Ejidal de San Juanico, Acambay, dijo que “sí, para exponer nuestro problema y ver a qué arreglo se llega porque el gobierno se apropió de nuestras tierras cuando vino el Procede, las puso como federales y son de nuestro Ejido. Hace años que estamos peleando, pero no nos hacen caso”. Por su parte el Presidente de la Unión de Ejidos de Timilpan, señaló que “¡por supuesto que sí! para pelear por los derechos de los ejidatarios de</w:t>
      </w:r>
      <w:r>
        <w:rPr>
          <w:spacing w:val="-13"/>
        </w:rPr>
        <w:t> </w:t>
      </w:r>
      <w:r>
        <w:rPr/>
        <w:t>Timilpan”.</w:t>
      </w:r>
    </w:p>
    <w:p>
      <w:pPr>
        <w:pStyle w:val="BodyText"/>
        <w:spacing w:before="9"/>
        <w:rPr>
          <w:sz w:val="17"/>
        </w:rPr>
      </w:pPr>
    </w:p>
    <w:p>
      <w:pPr>
        <w:pStyle w:val="BodyText"/>
        <w:spacing w:line="360" w:lineRule="auto"/>
        <w:ind w:left="102" w:right="115"/>
        <w:jc w:val="both"/>
      </w:pPr>
      <w:r>
        <w:rPr/>
        <w:t>Los 13 actores Delegados Municipales, es decir el 100%, manifestaron en la entrevista su interés por asistir a una reunión para tratar asuntos relacionados con la laguna Huapango: uno señaló que “sí asistiría para escuchar cuáles son las propuestas de solución del gobierno y para ver que se indica”; otro comentó que “sí asistiría porque es beneficio para todos”; uno más manifestó que “sí asistiría, porque me interesa porque la laguna es parte de mi comunidad”; otro actor dijo “que en caso de que fuera necesario, pero el que debe enfrentar esos problemas es el Comisariado Ejidal, porque es ejido”; uno más señaló “¡Claro que sí!, porque me interesa, estoy dentro de la jurisdicción que abarca la laguna”; otro Delegado de El Azafrán, Aculco, dijo “sí, porque no estoy de acuerdo que no tengamos el uso del agua, debe estar en el Estado que le corresponde”; otro actor  señaló</w:t>
      </w:r>
    </w:p>
    <w:p>
      <w:pPr>
        <w:spacing w:after="0" w:line="360" w:lineRule="auto"/>
        <w:jc w:val="both"/>
        <w:sectPr>
          <w:pgSz w:w="12240" w:h="15840"/>
          <w:pgMar w:header="0" w:footer="1003" w:top="1360" w:bottom="1200" w:left="1600" w:right="1580"/>
        </w:sectPr>
      </w:pPr>
    </w:p>
    <w:p>
      <w:pPr>
        <w:pStyle w:val="BodyText"/>
        <w:spacing w:line="360" w:lineRule="auto" w:before="53"/>
        <w:ind w:left="102" w:right="117"/>
        <w:jc w:val="both"/>
      </w:pPr>
      <w:r>
        <w:rPr/>
        <w:t>que “podría ser también (sic), porque así, pues se cobraría una cuota para que el municipio tuviera más recursos para su comunidad”; uno más dijo que “sí, porque es importante tener los conocimientos de cómo están las cosas para traer un beneficio para la comunidad de alguna propuesta o algo”; otro actor expresó “sí estoy dispuesto a asistir a una reunión para tratar asuntos relacionados con la laguna, porque también soy beneficiario, también riego y hago limpieza en las compuertas de riego de los canales”; uno más señaló “¡claro que sí!, porque sí nos interesa que haya un dialogo para ver qué solución se le da al problema de la laguna”; otro indicó que “sí, porque me interesa porque es una fuente de empleo para toda mi gente porque pescan”; otro actor manifestó “¡claro que sí!, hay muchas inconveniencias que necesitan que se aclaren por la subida de la cortina, porque ellos si se benefician y a nosotros nos afectan, o que desazolven la laguna para que no se llene hasta acá”; y finalmente otro actor dijo “si me invitan, sí voy para saber el problema de la laguna y saber qué problema hay en el</w:t>
      </w:r>
      <w:r>
        <w:rPr>
          <w:spacing w:val="-17"/>
        </w:rPr>
        <w:t> </w:t>
      </w:r>
      <w:r>
        <w:rPr/>
        <w:t>futuro”.</w:t>
      </w:r>
    </w:p>
    <w:p>
      <w:pPr>
        <w:pStyle w:val="BodyText"/>
        <w:spacing w:before="7"/>
        <w:rPr>
          <w:sz w:val="17"/>
        </w:rPr>
      </w:pPr>
    </w:p>
    <w:p>
      <w:pPr>
        <w:spacing w:line="360" w:lineRule="auto" w:before="0"/>
        <w:ind w:left="102" w:right="116" w:firstLine="0"/>
        <w:jc w:val="both"/>
        <w:rPr>
          <w:b/>
          <w:sz w:val="22"/>
        </w:rPr>
      </w:pPr>
      <w:r>
        <w:rPr>
          <w:sz w:val="22"/>
        </w:rPr>
        <w:t>En síntesis, se identifica que los actores históricos tienen un gran interés por participar en una reunión para tratar asuntos relacionados con la presa Huapango, ya que el 100% dijo que sí asistiría, </w:t>
      </w:r>
      <w:r>
        <w:rPr>
          <w:b/>
          <w:sz w:val="22"/>
        </w:rPr>
        <w:t>lo cual refleja su voluntariedad</w:t>
      </w:r>
      <w:r>
        <w:rPr>
          <w:sz w:val="22"/>
        </w:rPr>
        <w:t>, </w:t>
      </w:r>
      <w:r>
        <w:rPr>
          <w:b/>
          <w:sz w:val="22"/>
        </w:rPr>
        <w:t>participación social y cooperación </w:t>
      </w:r>
      <w:r>
        <w:rPr>
          <w:sz w:val="22"/>
        </w:rPr>
        <w:t>para llegar a acuerdos mediante </w:t>
      </w:r>
      <w:r>
        <w:rPr>
          <w:b/>
          <w:sz w:val="22"/>
        </w:rPr>
        <w:t>un proceso democrático </w:t>
      </w:r>
      <w:r>
        <w:rPr>
          <w:sz w:val="22"/>
        </w:rPr>
        <w:t>que está </w:t>
      </w:r>
      <w:r>
        <w:rPr>
          <w:b/>
          <w:sz w:val="22"/>
        </w:rPr>
        <w:t>sustentado por las estructuras sociales de la gobernanza y la gobernabilidad.</w:t>
      </w:r>
    </w:p>
    <w:p>
      <w:pPr>
        <w:pStyle w:val="BodyText"/>
        <w:spacing w:before="9"/>
        <w:rPr>
          <w:b/>
          <w:sz w:val="17"/>
        </w:rPr>
      </w:pPr>
    </w:p>
    <w:p>
      <w:pPr>
        <w:pStyle w:val="BodyText"/>
        <w:spacing w:line="360" w:lineRule="auto" w:before="1"/>
        <w:ind w:left="102" w:right="118"/>
        <w:jc w:val="both"/>
      </w:pPr>
      <w:r>
        <w:rPr/>
        <w:t>Por parte de los </w:t>
      </w:r>
      <w:r>
        <w:rPr>
          <w:i/>
        </w:rPr>
        <w:t>actores municipales de aguas arriba </w:t>
      </w:r>
      <w:r>
        <w:rPr/>
        <w:t>representados por Acambay, Jilotepec y Timilpan, opinaron lo siguiente de la reunión para tratar asuntos relacionados con la presa Huapango:</w:t>
      </w:r>
    </w:p>
    <w:p>
      <w:pPr>
        <w:pStyle w:val="BodyText"/>
        <w:spacing w:before="9"/>
        <w:rPr>
          <w:sz w:val="17"/>
        </w:rPr>
      </w:pPr>
    </w:p>
    <w:p>
      <w:pPr>
        <w:pStyle w:val="BodyText"/>
        <w:spacing w:line="360" w:lineRule="auto"/>
        <w:ind w:left="102" w:right="116"/>
        <w:jc w:val="both"/>
      </w:pPr>
      <w:r>
        <w:rPr/>
        <w:t>Para el caso de Acambay, los 5 actores municipales entrevistados, opinaron que “sí asistirían a una reunión para tratar asuntos relacionados con la presa Huapango”, ya que comentaron lo siguiente: uno señaló que “sí porque me interesa que el agua esté en buenas condiciones y para realizar actividades agrícolas y un proyecto ecoturístico”; otro actor municipal dijo que “sí asistiría para conocer la problemática y darle solución de  forma equitativa”; otro más comentó, que “asistiría con mucho gusto”; otro actor dijo que “sí, porque me interesa que en un momento dado se pueda dar soluciones a esta laguna”; y finalmente otro actor señaló que “sí, para ver si podemos apoyar en algo o como representante del</w:t>
      </w:r>
      <w:r>
        <w:rPr>
          <w:spacing w:val="-9"/>
        </w:rPr>
        <w:t> </w:t>
      </w:r>
      <w:r>
        <w:rPr/>
        <w:t>Ayuntamiento”.</w:t>
      </w:r>
    </w:p>
    <w:p>
      <w:pPr>
        <w:pStyle w:val="BodyText"/>
        <w:spacing w:before="7"/>
        <w:rPr>
          <w:sz w:val="17"/>
        </w:rPr>
      </w:pPr>
    </w:p>
    <w:p>
      <w:pPr>
        <w:pStyle w:val="BodyText"/>
        <w:spacing w:line="360" w:lineRule="auto"/>
        <w:ind w:left="102" w:right="120"/>
        <w:jc w:val="both"/>
      </w:pPr>
      <w:r>
        <w:rPr/>
        <w:t>Para el caso de Jilotepec, los 5 actores municipales entrevistados manifestaron estar de acuerdo  en  asistir  a  una  reunión  para  tratar  asuntos  relacionados  con  la  laguna de</w:t>
      </w:r>
    </w:p>
    <w:p>
      <w:pPr>
        <w:spacing w:after="0" w:line="360" w:lineRule="auto"/>
        <w:jc w:val="both"/>
        <w:sectPr>
          <w:pgSz w:w="12240" w:h="15840"/>
          <w:pgMar w:header="0" w:footer="1003" w:top="1360" w:bottom="1200" w:left="1600" w:right="1580"/>
        </w:sectPr>
      </w:pPr>
    </w:p>
    <w:p>
      <w:pPr>
        <w:pStyle w:val="BodyText"/>
        <w:spacing w:line="360" w:lineRule="auto" w:before="53"/>
        <w:ind w:left="102" w:right="116"/>
        <w:jc w:val="both"/>
      </w:pPr>
      <w:r>
        <w:rPr/>
        <w:t>Huapango. Uno señaló que “sí, para plantear que deben haber acuerdos, para proponer un Comité de Protección de la laguna Huapango para que su vaso este en óptimas condiciones y se proteja su fauna”; otro actor municipal señaló que “con todo gusto!, pero si se programa con tiempo para poder cumplir con mis obligaciones”; uno más dijo “¡claro que sí! porque es mi obligación y trabajo por convicción propia y porque tengo interés en mi Municipio”; otro comentó que “si asistiríamos, pero primero hay que elaborar un proyecto para acordar con un planteamiento específico, y necesitamos el consentimiento de nuestro presidente municipal, sino ¡nos corre!”; un último actor municipal expresó que “nosotros como municipio, estaríamos dispuestos a cooperar para tratar asuntos relacionados con la laguna”.</w:t>
      </w:r>
    </w:p>
    <w:p>
      <w:pPr>
        <w:pStyle w:val="BodyText"/>
        <w:spacing w:before="9"/>
        <w:rPr>
          <w:sz w:val="17"/>
        </w:rPr>
      </w:pPr>
    </w:p>
    <w:p>
      <w:pPr>
        <w:pStyle w:val="BodyText"/>
        <w:spacing w:line="360" w:lineRule="auto"/>
        <w:ind w:left="102" w:right="113"/>
        <w:jc w:val="both"/>
      </w:pPr>
      <w:r>
        <w:rPr/>
        <w:t>Para el caso de Timilpan, los 7 actores municipales entrevistados manifestaron estar de acuerdo en asistir a una reunión para tratar asuntos relacionados con la laguna de Huapango. Uno señaló que “¡por supuesto! que asistiría a una reunión para tratar asuntos relacionados con la laguna porque me interesa el bienestar de la población que está cerca de la laguna, que de hecho ya me han pedido que tengan beneficio del agua y de la pesca”; otro actor mencionó “que vaya el alcalde, pero si iría con mucho gusto”; un actor más comentó que “sí, porque aunque no ayude a la comunidad es un cargo importante lo del agua”; otro actor manifestó que “sí asistiría, porque en este caso es importante poner las reglas de uso y cuidado de una belleza natural que ayuda y resalta el lugar”; otro actor expresó “¡desde luego que sí!, porque consideramos importante estar informados sobre  los temas a tratar y proponer algunas acciones para darle seguimiento para lo que se tiene planeado”; un penúltimo actor dijo que “como autoridad municipal sí, para proponer algunas alternativas de solución”; y el último actor entrevistado comentó “¡claro que sí!, todo depende de mi trabajo, sí hay tiempo y porque me interesa porque vivo cerca en Zaragoza, y porque es un patrimonio del</w:t>
      </w:r>
      <w:r>
        <w:rPr>
          <w:spacing w:val="-15"/>
        </w:rPr>
        <w:t> </w:t>
      </w:r>
      <w:r>
        <w:rPr/>
        <w:t>municipio”.</w:t>
      </w:r>
    </w:p>
    <w:p>
      <w:pPr>
        <w:pStyle w:val="BodyText"/>
        <w:spacing w:before="9"/>
        <w:rPr>
          <w:sz w:val="17"/>
        </w:rPr>
      </w:pPr>
    </w:p>
    <w:p>
      <w:pPr>
        <w:spacing w:line="360" w:lineRule="auto" w:before="0"/>
        <w:ind w:left="102" w:right="116" w:firstLine="0"/>
        <w:jc w:val="both"/>
        <w:rPr>
          <w:sz w:val="22"/>
        </w:rPr>
      </w:pPr>
      <w:r>
        <w:rPr>
          <w:sz w:val="22"/>
        </w:rPr>
        <w:t>Para el caso de los </w:t>
      </w:r>
      <w:r>
        <w:rPr>
          <w:i/>
          <w:sz w:val="22"/>
        </w:rPr>
        <w:t>actores municipales de aguas abajo</w:t>
      </w:r>
      <w:r>
        <w:rPr>
          <w:sz w:val="22"/>
        </w:rPr>
        <w:t>, Aculco y Polotitlán, opinaron lo siguiente:</w:t>
      </w:r>
    </w:p>
    <w:p>
      <w:pPr>
        <w:pStyle w:val="BodyText"/>
        <w:spacing w:before="7"/>
        <w:rPr>
          <w:sz w:val="17"/>
        </w:rPr>
      </w:pPr>
    </w:p>
    <w:p>
      <w:pPr>
        <w:pStyle w:val="BodyText"/>
        <w:spacing w:line="360" w:lineRule="auto"/>
        <w:ind w:left="102" w:right="118"/>
        <w:jc w:val="both"/>
      </w:pPr>
      <w:r>
        <w:rPr/>
        <w:t>Para el caso de Aculco, los 7 actores municipales entrevistados manifestaron estar de acuerdo en asistir a una reunión para tratar asuntos relacionados con la laguna de Huapango. Un actor señaló que “sí asistiría a una reunión para tratar asuntos relacionados con la laguna, porque cuando ha habido reuniones en el módulo de riego no se me invita como Presidente municipal, sólo asisten los permisionarios; hacen reuniones con motivo de actualización del padrón de beneficiarios y cuándo el Comité es </w:t>
      </w:r>
      <w:r>
        <w:rPr>
          <w:spacing w:val="6"/>
        </w:rPr>
        <w:t> </w:t>
      </w:r>
      <w:r>
        <w:rPr/>
        <w:t>removido”;</w:t>
      </w:r>
    </w:p>
    <w:p>
      <w:pPr>
        <w:spacing w:after="0" w:line="360" w:lineRule="auto"/>
        <w:jc w:val="both"/>
        <w:sectPr>
          <w:pgSz w:w="12240" w:h="15840"/>
          <w:pgMar w:header="0" w:footer="1003" w:top="1360" w:bottom="1200" w:left="1600" w:right="1580"/>
        </w:sectPr>
      </w:pPr>
    </w:p>
    <w:p>
      <w:pPr>
        <w:pStyle w:val="BodyText"/>
        <w:spacing w:line="360" w:lineRule="auto" w:before="53"/>
        <w:ind w:left="102" w:right="120"/>
        <w:jc w:val="both"/>
      </w:pPr>
      <w:r>
        <w:rPr/>
        <w:t>otro actor manifestó que “sí, para saber cómo está y para conocer más”; un actor más comentó que “sí asistiría, porque considero importante estar enterada de los acuerdos y conocer más sobre cómo se maneja la laguna”; otro actor dijo “Sí estaría dispuesto a asistir a una reunión para tratar asuntos de la laguna”; un actor comentó “sí por la importancia que tiene para el Municipio y todos los productores de la región”; otro actor señaló que “sí porque es la parte que nos toca y vemos el fomento económico de la pesca; y un último actor manifestó ¡claro que sí! porque la laguna es muy importante para la vida de la</w:t>
      </w:r>
      <w:r>
        <w:rPr>
          <w:spacing w:val="-7"/>
        </w:rPr>
        <w:t> </w:t>
      </w:r>
      <w:r>
        <w:rPr/>
        <w:t>región”.</w:t>
      </w:r>
    </w:p>
    <w:p>
      <w:pPr>
        <w:pStyle w:val="BodyText"/>
        <w:spacing w:before="9"/>
        <w:rPr>
          <w:sz w:val="17"/>
        </w:rPr>
      </w:pPr>
    </w:p>
    <w:p>
      <w:pPr>
        <w:pStyle w:val="BodyText"/>
        <w:spacing w:line="360" w:lineRule="auto"/>
        <w:ind w:left="102" w:right="113"/>
        <w:jc w:val="both"/>
      </w:pPr>
      <w:r>
        <w:rPr/>
        <w:t>Para el caso de Polotitlán, los 4 actores municipales entrevistados manifestaron estar de acuerdo en asistir a una reunión para tratar asuntos relacionados con la laguna de Huapango. Un actor señaló que “sí, porque me interesa tener una solución y para que el municipio sea beneficiado”; otro actor señaló que “sí porque me interesa la cuestión; otro actor más dijo que “sí, porque es de importancia y para estar informada y poder brindar información a los habitantes del municipio que la requieran”; un último actor mencionó “¡sí claro!, para enterarme de los acuerdos que se vayan a tomar”.</w:t>
      </w:r>
    </w:p>
    <w:p>
      <w:pPr>
        <w:pStyle w:val="BodyText"/>
        <w:spacing w:before="9"/>
        <w:rPr>
          <w:sz w:val="17"/>
        </w:rPr>
      </w:pPr>
    </w:p>
    <w:p>
      <w:pPr>
        <w:pStyle w:val="BodyText"/>
        <w:spacing w:line="360" w:lineRule="auto"/>
        <w:ind w:left="102" w:right="116"/>
        <w:jc w:val="both"/>
      </w:pPr>
      <w:r>
        <w:rPr/>
        <w:t>En síntesis, para el caso de los actores municipales se pudo identificar que el 100% de los actores están de acuerdo en asistir a una reunión para tratar asuntos relacionados con la presa Huapango, ya que manifestaron que es de su interés, porque la población de sus municipios se ve beneficiada con el uso de la presa y los ciudadanos que representan demandan su intervención para solucionar la problemática que se vive en torno a ella. Sin embargo, estos actores municipales son removidos de sus cargos políticos cada tres años, y cuando se termina su período de gobierno dicen que ya no pueden fungir como representantes municipales, sino sólo como ciudadanos, lo cual los imposibilita para dar un seguimiento de atención a la problemática de la presa a mediano y largo plazos, esto aunado a las limitantes que tienen por las facultades que se establecen en el artículo 115 constitucional y por sus leyes derivadas de</w:t>
      </w:r>
      <w:r>
        <w:rPr>
          <w:spacing w:val="-13"/>
        </w:rPr>
        <w:t> </w:t>
      </w:r>
      <w:r>
        <w:rPr/>
        <w:t>éste.</w:t>
      </w:r>
    </w:p>
    <w:p>
      <w:pPr>
        <w:pStyle w:val="BodyText"/>
        <w:spacing w:before="7"/>
        <w:rPr>
          <w:sz w:val="17"/>
        </w:rPr>
      </w:pPr>
    </w:p>
    <w:p>
      <w:pPr>
        <w:pStyle w:val="BodyText"/>
        <w:spacing w:line="360" w:lineRule="auto"/>
        <w:ind w:left="102" w:right="114"/>
        <w:jc w:val="both"/>
      </w:pPr>
      <w:r>
        <w:rPr/>
        <w:t>Por su parte, los 3 actores federales que atienden a los municipios de aguas abajo  (Aculco y Polotitlán), manifestaron estar de acuerdo en asistir a una reunión para tratar asuntos relacionados con la laguna de Huapango. Un actor señaló que “sí, aunque nosotros nos reunimos periódicamente con la Asociación de Usuarios del Sistema de Riego”; otro actor dijo que “sí para tratar el asunto de la contaminación porque es grave”;  y por último el tercer actor federal, expresó que “sí asistiría para ver de qué se</w:t>
      </w:r>
      <w:r>
        <w:rPr>
          <w:spacing w:val="-27"/>
        </w:rPr>
        <w:t> </w:t>
      </w:r>
      <w:r>
        <w:rPr/>
        <w:t>trata”.</w:t>
      </w:r>
    </w:p>
    <w:p>
      <w:pPr>
        <w:spacing w:after="0" w:line="360" w:lineRule="auto"/>
        <w:jc w:val="both"/>
        <w:sectPr>
          <w:pgSz w:w="12240" w:h="15840"/>
          <w:pgMar w:header="0" w:footer="1003" w:top="1360" w:bottom="1200" w:left="1600" w:right="1580"/>
        </w:sectPr>
      </w:pPr>
    </w:p>
    <w:p>
      <w:pPr>
        <w:pStyle w:val="BodyText"/>
        <w:spacing w:line="360" w:lineRule="auto" w:before="53"/>
        <w:ind w:left="102" w:right="115"/>
        <w:jc w:val="both"/>
      </w:pPr>
      <w:r>
        <w:rPr/>
        <w:t>En el anterior apartado, cabe destacar que los actores federales si bien tienen interés en participar en una reunión para tratar la problemática de la presa Huapango, lo hacen con miras a seguir favoreciendo a los municipios de aguas abajo, porque son a los que representan, sin importarles los actores de los municipios de aguas arriba.</w:t>
      </w:r>
    </w:p>
    <w:p>
      <w:pPr>
        <w:pStyle w:val="BodyText"/>
        <w:spacing w:before="4"/>
        <w:rPr>
          <w:sz w:val="17"/>
        </w:rPr>
      </w:pPr>
    </w:p>
    <w:p>
      <w:pPr>
        <w:pStyle w:val="BodyText"/>
        <w:spacing w:line="360" w:lineRule="auto"/>
        <w:ind w:left="102" w:right="115"/>
        <w:jc w:val="both"/>
      </w:pPr>
      <w:r>
        <w:rPr/>
        <w:t>En síntesis general, </w:t>
      </w:r>
      <w:r>
        <w:rPr>
          <w:b/>
        </w:rPr>
        <w:t>con los principios de gobernanza de cooperación, participación social, democracia y voluntariedad de la sociedad</w:t>
      </w:r>
      <w:r>
        <w:rPr/>
        <w:t>; se identifica el interés de los actores de la cuenca hidrosocial presa Huapango por participar en una reunión para tratar asuntos relacionados con dicha presa, ya que el 100% dijo que sí asistiría porque les interesa el rescate y sostenibilidad de la presa. Sin embargo, se pudo detectar una vez más a los actores históricos como eje articulador del desarrollo regional, ya que son ellos los más preocupados por resolver dicha problemática para lograr la sostenibilidad de la presa, además, son los actores históricos los que cuentan con estructuras socioculturales más consolidadas que les permite tener una mejor interrelación para poder solucionar dichos problemas, a través de acuerdos basados en el derecho consuetudinario, es decir, a través de sus usos y costumbres, lo cual demuestra una contribución considerable para una buena gobernanza y gobernabilidad de la</w:t>
      </w:r>
      <w:r>
        <w:rPr>
          <w:spacing w:val="-15"/>
        </w:rPr>
        <w:t> </w:t>
      </w:r>
      <w:r>
        <w:rPr/>
        <w:t>región.</w:t>
      </w:r>
    </w:p>
    <w:p>
      <w:pPr>
        <w:pStyle w:val="BodyText"/>
        <w:spacing w:before="9"/>
        <w:rPr>
          <w:sz w:val="17"/>
        </w:rPr>
      </w:pPr>
    </w:p>
    <w:p>
      <w:pPr>
        <w:pStyle w:val="BodyText"/>
        <w:spacing w:line="360" w:lineRule="auto"/>
        <w:ind w:left="102" w:right="113"/>
        <w:jc w:val="both"/>
      </w:pPr>
      <w:r>
        <w:rPr/>
        <w:t>En conclusión para los resultados de la identificación de los </w:t>
      </w:r>
      <w:r>
        <w:rPr>
          <w:i/>
        </w:rPr>
        <w:t>Principios de Gobernanza </w:t>
      </w:r>
      <w:r>
        <w:rPr/>
        <w:t>en la cuenca hidrosocial presa Huapango, se pudo identificar que la </w:t>
      </w:r>
      <w:r>
        <w:rPr>
          <w:i/>
        </w:rPr>
        <w:t>identidad </w:t>
      </w:r>
      <w:r>
        <w:rPr/>
        <w:t>es un principio que se adquiere a través del lugar de nacimiento, parentesco y de la estancia de varios años de residencia en el lugar, así como los períodos de gobierno, y el interés que se tenga por la región; ya que es evidente que los actores históricos en su mayoría, por  haber nacido y vivido en la región, tienen mayor identificación con la cuenca hidrosocial y conocen de cerca sus problemas. Caso contrario ocurre con los actores Municipales, que sí bien, también en su mayoría son ciudadanos nacidos en los municipios que representan, no conocen con precisión los problemas de la cuenca hidrosocial y sus funciones y responsabilidades con ésta, porque manifiestan limitaciones en sus atribuciones que les señala la ley y la falta de acuerdos dentro de sus</w:t>
      </w:r>
      <w:r>
        <w:rPr>
          <w:spacing w:val="-25"/>
        </w:rPr>
        <w:t> </w:t>
      </w:r>
      <w:r>
        <w:rPr/>
        <w:t>Cabildos.</w:t>
      </w:r>
    </w:p>
    <w:p>
      <w:pPr>
        <w:pStyle w:val="BodyText"/>
        <w:spacing w:before="7"/>
        <w:rPr>
          <w:sz w:val="17"/>
        </w:rPr>
      </w:pPr>
    </w:p>
    <w:p>
      <w:pPr>
        <w:pStyle w:val="BodyText"/>
        <w:spacing w:line="360" w:lineRule="auto"/>
        <w:ind w:left="102" w:right="116"/>
        <w:jc w:val="both"/>
      </w:pPr>
      <w:r>
        <w:rPr/>
        <w:t>Para el caso de los actores federales, es evidente la falta de identificación con la zona de la cuenca hidrosocial presa Huapango, ya que en su mayoría, son oriundos de otros estados de la República y ocupan cargos designados por la Conagua, y en cualquier momento pueden irse de la región o tener una movilidad que no les permite conocer a fondo los problemas de la cuenca hisdrosocial.</w:t>
      </w:r>
    </w:p>
    <w:p>
      <w:pPr>
        <w:spacing w:after="0" w:line="360" w:lineRule="auto"/>
        <w:jc w:val="both"/>
        <w:sectPr>
          <w:pgSz w:w="12240" w:h="15840"/>
          <w:pgMar w:header="0" w:footer="1003" w:top="1360" w:bottom="1200" w:left="1600" w:right="1580"/>
        </w:sectPr>
      </w:pPr>
    </w:p>
    <w:p>
      <w:pPr>
        <w:pStyle w:val="BodyText"/>
        <w:spacing w:line="360" w:lineRule="auto" w:before="53"/>
        <w:ind w:left="102" w:right="113"/>
        <w:jc w:val="both"/>
      </w:pPr>
      <w:r>
        <w:rPr/>
        <w:t>Por otro lado, se identificó la importancia de la </w:t>
      </w:r>
      <w:r>
        <w:rPr>
          <w:i/>
        </w:rPr>
        <w:t>autogestión comunitaria </w:t>
      </w:r>
      <w:r>
        <w:rPr/>
        <w:t>que tiene la laguna de Huapango para los actores históricos, ya que se ven beneficiados de la laguna para pescar, agostar y abrevar sus ganados, ejercer el turismo, obtener y recolectar comida lacustre, de lo cual obtienen un ingreso tanto económico como gastronómico extra.</w:t>
      </w:r>
    </w:p>
    <w:p>
      <w:pPr>
        <w:pStyle w:val="BodyText"/>
        <w:spacing w:before="7"/>
        <w:rPr>
          <w:sz w:val="17"/>
        </w:rPr>
      </w:pPr>
    </w:p>
    <w:p>
      <w:pPr>
        <w:pStyle w:val="BodyText"/>
        <w:spacing w:line="360" w:lineRule="auto"/>
        <w:ind w:left="102" w:right="118"/>
        <w:jc w:val="both"/>
      </w:pPr>
      <w:r>
        <w:rPr/>
        <w:t>Por su parte, los actores municipales, se ven limitados por sus funciones que establece la ley, en la cual se les asigna la prestación de servicios públicos, pero no se les reconoce la facultad para cuidar y distribuir sus recursos naturales de uso común, que para este caso de estudio, son manejados por la federación, la cual no permite la intervención del Municipio, ya que los actores federales manejan la distribución del recurso agua, pero no consideran las otras actividades económicas de las cuales dependen los actores de los municipios de aguas arriba, con lo cual se detecta una omisión por parte de la Federación, ya que al no considerar a los de aguas arriba, la gestión integrada que señala la Ley de Aguas Nacionales por parte de la Conagua, está lejos de cumplirse por ella misma.</w:t>
      </w:r>
    </w:p>
    <w:p>
      <w:pPr>
        <w:pStyle w:val="BodyText"/>
        <w:spacing w:before="9"/>
        <w:rPr>
          <w:sz w:val="17"/>
        </w:rPr>
      </w:pPr>
    </w:p>
    <w:p>
      <w:pPr>
        <w:pStyle w:val="BodyText"/>
        <w:spacing w:line="360" w:lineRule="auto"/>
        <w:ind w:left="102" w:right="114"/>
        <w:jc w:val="both"/>
      </w:pPr>
      <w:r>
        <w:rPr/>
        <w:t>Por tales motivos, el primer proceso de gestión integrada corresponde a la comunidad de actores históricos de la Cuenca Hidrosocial Presa Huapango. Es decir, se detecta comenzar con una autogestión regional que cuide y defienda sus recursos naturales, y  que integre a los actores municipales y federales en un marco de funciones y responsabilidades</w:t>
      </w:r>
      <w:r>
        <w:rPr>
          <w:spacing w:val="-7"/>
        </w:rPr>
        <w:t> </w:t>
      </w:r>
      <w:r>
        <w:rPr/>
        <w:t>integrada.</w:t>
      </w:r>
    </w:p>
    <w:p>
      <w:pPr>
        <w:pStyle w:val="BodyText"/>
        <w:spacing w:before="7"/>
        <w:rPr>
          <w:sz w:val="17"/>
        </w:rPr>
      </w:pPr>
    </w:p>
    <w:p>
      <w:pPr>
        <w:pStyle w:val="BodyText"/>
        <w:spacing w:line="360" w:lineRule="auto"/>
        <w:ind w:left="102" w:right="115"/>
        <w:jc w:val="both"/>
      </w:pPr>
      <w:r>
        <w:rPr/>
        <w:t>Para lograr la propuesta anterior, se requiere del apoyo de otro principio de gobernanza, que es el de </w:t>
      </w:r>
      <w:r>
        <w:rPr>
          <w:i/>
        </w:rPr>
        <w:t>cultura</w:t>
      </w:r>
      <w:r>
        <w:rPr/>
        <w:t>, en donde todos los actores deben identificar que la cultura es un principio de gobernanza importante para la solución del deterioro de los recursos en la Cuenca Hidrosocial Presa Huapango, ya que el manejo de éstos (en términos generales), ha estado históricamente dado de una forma autárquica o libre, desde la construcción de la laguna de Huapango (1785-1788), que si bien fue efectiva durante cientos de años, actualmente dichos prácticas no alcanzan a resolver los problemas, porque hay una  mayor intervención inequitativa del Estado, a través de la Conagua, que limita y restringe atribuciones a los actores históricos como a los municipales, lo cual limita proponer soluciones amplias mediante acuerdos</w:t>
      </w:r>
      <w:r>
        <w:rPr>
          <w:spacing w:val="-15"/>
        </w:rPr>
        <w:t> </w:t>
      </w:r>
      <w:r>
        <w:rPr/>
        <w:t>intermunicipales.</w:t>
      </w:r>
    </w:p>
    <w:p>
      <w:pPr>
        <w:pStyle w:val="BodyText"/>
        <w:spacing w:before="9"/>
        <w:rPr>
          <w:sz w:val="17"/>
        </w:rPr>
      </w:pPr>
    </w:p>
    <w:p>
      <w:pPr>
        <w:pStyle w:val="BodyText"/>
        <w:spacing w:line="360" w:lineRule="auto"/>
        <w:ind w:left="102" w:right="112"/>
        <w:jc w:val="both"/>
      </w:pPr>
      <w:r>
        <w:rPr/>
        <w:t>Por lo tanto, se identificó que el principio de </w:t>
      </w:r>
      <w:r>
        <w:rPr>
          <w:i/>
        </w:rPr>
        <w:t>poder en el anterior contexto</w:t>
      </w:r>
      <w:r>
        <w:rPr/>
        <w:t>, es parte central para resolver y proponer soluciones a la problemática de la cuenca hidrosocial presa Huapango. Destaca la percepción de la mayoría de los actores históricos, que proponen que sean  ellos  mismos como  ciudadanos los que  resuelvan  sus  problemas, ya que las</w:t>
      </w:r>
    </w:p>
    <w:p>
      <w:pPr>
        <w:spacing w:after="0" w:line="360" w:lineRule="auto"/>
        <w:jc w:val="both"/>
        <w:sectPr>
          <w:pgSz w:w="12240" w:h="15840"/>
          <w:pgMar w:header="0" w:footer="1003" w:top="1360" w:bottom="1200" w:left="1600" w:right="1580"/>
        </w:sectPr>
      </w:pPr>
    </w:p>
    <w:p>
      <w:pPr>
        <w:pStyle w:val="BodyText"/>
        <w:spacing w:line="362" w:lineRule="auto" w:before="53"/>
        <w:ind w:left="102" w:right="114"/>
        <w:jc w:val="both"/>
      </w:pPr>
      <w:r>
        <w:rPr/>
        <w:t>autoridades federales y municipales, no han asumido su responsabilidad para solucionarlos, por atender y favorecer al poder político y económico de otros actores.</w:t>
      </w:r>
    </w:p>
    <w:p>
      <w:pPr>
        <w:pStyle w:val="BodyText"/>
        <w:spacing w:before="4"/>
        <w:rPr>
          <w:sz w:val="17"/>
        </w:rPr>
      </w:pPr>
    </w:p>
    <w:p>
      <w:pPr>
        <w:pStyle w:val="BodyText"/>
        <w:spacing w:line="360" w:lineRule="auto"/>
        <w:ind w:left="102" w:right="112"/>
        <w:jc w:val="both"/>
      </w:pPr>
      <w:r>
        <w:rPr/>
        <w:t>En este sentido, los actores municipales señalan (en su mayoría) que la solución debe darse en los tres niveles de gobierno junto con la población, ya que ellos como autoridades municipales no pueden solos, porque tienen severas limitaciones de poder dadas por la ley, la cual que no les permite intervenir directamente en la laguna de Huapango a pesar de estar en su territorio por ser un cuerpo de agua que maneja la federación a través de la</w:t>
      </w:r>
      <w:r>
        <w:rPr>
          <w:spacing w:val="-8"/>
        </w:rPr>
        <w:t> </w:t>
      </w:r>
      <w:r>
        <w:rPr/>
        <w:t>Conagua.</w:t>
      </w:r>
    </w:p>
    <w:p>
      <w:pPr>
        <w:pStyle w:val="BodyText"/>
        <w:spacing w:before="7"/>
        <w:rPr>
          <w:sz w:val="17"/>
        </w:rPr>
      </w:pPr>
    </w:p>
    <w:p>
      <w:pPr>
        <w:pStyle w:val="BodyText"/>
        <w:spacing w:line="360" w:lineRule="auto"/>
        <w:ind w:left="102" w:right="117"/>
        <w:jc w:val="both"/>
      </w:pPr>
      <w:r>
        <w:rPr/>
        <w:t>Finalmente, con el principio de poder, se identificó la importancia que tiene la presa Huapango como eje articulador para el desarrollo de la región, al relacionarse todos los actores en torno a las ideas de solución y responsabilidad de sus problemas. Por lo que  se requiere una voluntad de reestructuración política de la reasignación del agua de la presa Huapango, haciendo uso de las estructuras sociales de los actores que se han establecido a través de la historia para una planeación</w:t>
      </w:r>
      <w:r>
        <w:rPr>
          <w:spacing w:val="-15"/>
        </w:rPr>
        <w:t> </w:t>
      </w:r>
      <w:r>
        <w:rPr/>
        <w:t>integrada.</w:t>
      </w:r>
    </w:p>
    <w:p>
      <w:pPr>
        <w:pStyle w:val="BodyText"/>
        <w:spacing w:before="7"/>
        <w:rPr>
          <w:sz w:val="17"/>
        </w:rPr>
      </w:pPr>
    </w:p>
    <w:p>
      <w:pPr>
        <w:pStyle w:val="BodyText"/>
        <w:spacing w:line="360" w:lineRule="auto"/>
        <w:ind w:left="102" w:right="117"/>
        <w:jc w:val="both"/>
      </w:pPr>
      <w:r>
        <w:rPr/>
        <w:t>Una vez identificados estos principios de gobernanza y gobernabilidad, se puede hacer una planeación estratégica para solucionar la problemática de la cuenca hidrosocial presa Huapango, basada en las cuatro dimensiones que considera la gobernanza y la gobernabilidad: social, política, económica y ambiental, ya que son las cuatro vertientes primordiales que se deben atender con las Áreas Estratégicas de Planeación y Articulación (AEPA) para generar un análisis PEIR, con el que se obtengan los Factores Críticos de Éxito, que deberán considerarse en la elaboración de la propuesta de Comité Intermunicipal con su Reglamento para uso, cuidado y defensa de la presa</w:t>
      </w:r>
      <w:r>
        <w:rPr>
          <w:spacing w:val="-24"/>
        </w:rPr>
        <w:t> </w:t>
      </w:r>
      <w:r>
        <w:rPr/>
        <w:t>Huapango.</w:t>
      </w:r>
    </w:p>
    <w:p>
      <w:pPr>
        <w:spacing w:after="0" w:line="360" w:lineRule="auto"/>
        <w:jc w:val="both"/>
        <w:sectPr>
          <w:footerReference w:type="default" r:id="rId211"/>
          <w:pgSz w:w="12240" w:h="15840"/>
          <w:pgMar w:footer="1003" w:header="0" w:top="1360" w:bottom="1200" w:left="1600" w:right="1580"/>
          <w:pgNumType w:start="430"/>
        </w:sectPr>
      </w:pPr>
    </w:p>
    <w:p>
      <w:pPr>
        <w:pStyle w:val="Heading6"/>
        <w:numPr>
          <w:ilvl w:val="1"/>
          <w:numId w:val="51"/>
        </w:numPr>
        <w:tabs>
          <w:tab w:pos="534" w:val="left" w:leader="none"/>
        </w:tabs>
        <w:spacing w:line="362" w:lineRule="auto" w:before="51" w:after="0"/>
        <w:ind w:left="102" w:right="1254" w:firstLine="0"/>
        <w:jc w:val="left"/>
      </w:pPr>
      <w:bookmarkStart w:name="_TOC_250020" w:id="53"/>
      <w:r>
        <w:rPr>
          <w:spacing w:val="-3"/>
        </w:rPr>
        <w:t>ÁREAS </w:t>
      </w:r>
      <w:r>
        <w:rPr/>
        <w:t>ESTRATÉGICAS DE PLANEACIÓN Y ARTICULACIÓN (AEPA): AMBIENTAL, SOCIAL, ECONÓMICA Y</w:t>
      </w:r>
      <w:r>
        <w:rPr>
          <w:spacing w:val="-23"/>
        </w:rPr>
        <w:t> </w:t>
      </w:r>
      <w:bookmarkEnd w:id="53"/>
      <w:r>
        <w:rPr/>
        <w:t>POLÍTICA.</w:t>
      </w:r>
    </w:p>
    <w:p>
      <w:pPr>
        <w:pStyle w:val="BodyText"/>
        <w:spacing w:before="7"/>
        <w:rPr>
          <w:b/>
          <w:sz w:val="17"/>
        </w:rPr>
      </w:pPr>
    </w:p>
    <w:p>
      <w:pPr>
        <w:pStyle w:val="BodyText"/>
        <w:spacing w:line="360" w:lineRule="auto"/>
        <w:ind w:left="102" w:right="117"/>
        <w:jc w:val="both"/>
      </w:pPr>
      <w:r>
        <w:rPr/>
        <w:t>Es importante recordar que los datos que se utilizan en las áreas estratégicas de planeación y articulación, fueron obtenidas principalmente a través del trabajo de campo con los actores entrevistados de la cuenca hidrosocial presa Huapango, así como de información de gabinete (artículos, libros, informes, etc.) y que se van a utilizar para articular la problemática de la CHPH en un sistema PEIR.</w:t>
      </w:r>
    </w:p>
    <w:p>
      <w:pPr>
        <w:pStyle w:val="BodyText"/>
        <w:spacing w:before="9"/>
        <w:rPr>
          <w:sz w:val="17"/>
        </w:rPr>
      </w:pPr>
    </w:p>
    <w:p>
      <w:pPr>
        <w:pStyle w:val="BodyText"/>
        <w:spacing w:line="360" w:lineRule="auto"/>
        <w:ind w:left="102" w:right="116"/>
        <w:jc w:val="both"/>
      </w:pPr>
      <w:r>
        <w:rPr/>
        <w:t>De acuerdo con Díaz, </w:t>
      </w:r>
      <w:r>
        <w:rPr>
          <w:i/>
        </w:rPr>
        <w:t>et. al. </w:t>
      </w:r>
      <w:r>
        <w:rPr/>
        <w:t>(2009), el desarrollo de un proceso de planeación estratégica conlleva a la definición y uso de “áreas críticas de análisis y resultados” (Cfr. Morrisey, 1996a), las cuales corresponden a áreas de aplicación de las acciones que se generan en el desarrollo de la planeación, por lo que constituyen el medio a través del cual se traslada al sistema de una situación de origen, previa a la planeación, hacia la condición futura deseada que es producto de la implementación de la planeación.</w:t>
      </w:r>
    </w:p>
    <w:p>
      <w:pPr>
        <w:pStyle w:val="BodyText"/>
        <w:spacing w:before="9"/>
        <w:rPr>
          <w:sz w:val="17"/>
        </w:rPr>
      </w:pPr>
    </w:p>
    <w:p>
      <w:pPr>
        <w:pStyle w:val="BodyText"/>
        <w:spacing w:line="360" w:lineRule="auto"/>
        <w:ind w:left="102" w:right="116"/>
        <w:jc w:val="both"/>
      </w:pPr>
      <w:r>
        <w:rPr/>
        <w:t>Este instrumento metodológico para la planeación, se plantea incorporando la articulación interinstitucional como uno de sus atributos, por lo que se les denomina Áreas Estratégicas de Planeación y Articulación</w:t>
      </w:r>
      <w:r>
        <w:rPr>
          <w:spacing w:val="-16"/>
        </w:rPr>
        <w:t> </w:t>
      </w:r>
      <w:r>
        <w:rPr/>
        <w:t>(AEPA).</w:t>
      </w:r>
    </w:p>
    <w:p>
      <w:pPr>
        <w:pStyle w:val="BodyText"/>
        <w:spacing w:before="9"/>
        <w:rPr>
          <w:sz w:val="17"/>
        </w:rPr>
      </w:pPr>
    </w:p>
    <w:p>
      <w:pPr>
        <w:pStyle w:val="BodyText"/>
        <w:spacing w:line="360" w:lineRule="auto" w:before="1"/>
        <w:ind w:left="102" w:right="119"/>
        <w:jc w:val="both"/>
      </w:pPr>
      <w:r>
        <w:rPr/>
        <w:t>Uno de los propósitos que se buscan con el uso de las AEPA es comprender de forma global la problemática de la Cuenca Hidrosocial Presa Huapango, identificando los principales temas que la caracterizan. De esta forma se espera contar con un instrumento que resulte útil para orientar y coordinar el proceso, conservando los mismos lineamientos generales de forma global en toda la cuenca, pero permitiendo a nivel local las especificaciones necesarias para abordar las particularidades de sus distintas subregiones.</w:t>
      </w:r>
    </w:p>
    <w:p>
      <w:pPr>
        <w:pStyle w:val="BodyText"/>
        <w:spacing w:before="9"/>
        <w:rPr>
          <w:sz w:val="17"/>
        </w:rPr>
      </w:pPr>
    </w:p>
    <w:p>
      <w:pPr>
        <w:pStyle w:val="BodyText"/>
        <w:spacing w:line="360" w:lineRule="auto"/>
        <w:ind w:left="102" w:right="121"/>
        <w:jc w:val="both"/>
      </w:pPr>
      <w:r>
        <w:rPr/>
        <w:t>Por tal motivo, Morrisey (1996b), señala que para identificar y definir las AEPA es conveniente tener en cuenta que éstas corresponden a aquellas áreas en las que se va a enfocar la atención colectiva para construir los consensos sobre el destino estratégico de la cuenca. Los lineamientos básicos para determinar estas áreas son:</w:t>
      </w:r>
    </w:p>
    <w:p>
      <w:pPr>
        <w:pStyle w:val="BodyText"/>
        <w:spacing w:before="7"/>
        <w:rPr>
          <w:sz w:val="17"/>
        </w:rPr>
      </w:pPr>
    </w:p>
    <w:p>
      <w:pPr>
        <w:pStyle w:val="ListParagraph"/>
        <w:numPr>
          <w:ilvl w:val="0"/>
          <w:numId w:val="56"/>
        </w:numPr>
        <w:tabs>
          <w:tab w:pos="347" w:val="left" w:leader="none"/>
        </w:tabs>
        <w:spacing w:line="240" w:lineRule="auto" w:before="0" w:after="0"/>
        <w:ind w:left="102" w:right="0" w:firstLine="0"/>
        <w:jc w:val="both"/>
        <w:rPr>
          <w:sz w:val="22"/>
        </w:rPr>
      </w:pPr>
      <w:r>
        <w:rPr>
          <w:sz w:val="22"/>
        </w:rPr>
        <w:t>Identificar entre 4 y 8 grandes</w:t>
      </w:r>
      <w:r>
        <w:rPr>
          <w:spacing w:val="-13"/>
          <w:sz w:val="22"/>
        </w:rPr>
        <w:t> </w:t>
      </w:r>
      <w:r>
        <w:rPr>
          <w:sz w:val="22"/>
        </w:rPr>
        <w:t>categorías;</w:t>
      </w:r>
    </w:p>
    <w:p>
      <w:pPr>
        <w:pStyle w:val="BodyText"/>
        <w:spacing w:before="5"/>
        <w:rPr>
          <w:sz w:val="28"/>
        </w:rPr>
      </w:pPr>
    </w:p>
    <w:p>
      <w:pPr>
        <w:pStyle w:val="ListParagraph"/>
        <w:numPr>
          <w:ilvl w:val="0"/>
          <w:numId w:val="56"/>
        </w:numPr>
        <w:tabs>
          <w:tab w:pos="350" w:val="left" w:leader="none"/>
        </w:tabs>
        <w:spacing w:line="240" w:lineRule="auto" w:before="1" w:after="0"/>
        <w:ind w:left="349" w:right="0" w:hanging="247"/>
        <w:jc w:val="both"/>
        <w:rPr>
          <w:sz w:val="22"/>
        </w:rPr>
      </w:pPr>
      <w:r>
        <w:rPr>
          <w:sz w:val="22"/>
        </w:rPr>
        <w:t>Deben incluirse áreas financieras y no</w:t>
      </w:r>
      <w:r>
        <w:rPr>
          <w:spacing w:val="-14"/>
          <w:sz w:val="22"/>
        </w:rPr>
        <w:t> </w:t>
      </w:r>
      <w:r>
        <w:rPr>
          <w:sz w:val="22"/>
        </w:rPr>
        <w:t>financieras;</w:t>
      </w:r>
    </w:p>
    <w:p>
      <w:pPr>
        <w:pStyle w:val="BodyText"/>
        <w:spacing w:before="3"/>
        <w:rPr>
          <w:sz w:val="28"/>
        </w:rPr>
      </w:pPr>
    </w:p>
    <w:p>
      <w:pPr>
        <w:pStyle w:val="ListParagraph"/>
        <w:numPr>
          <w:ilvl w:val="0"/>
          <w:numId w:val="56"/>
        </w:numPr>
        <w:tabs>
          <w:tab w:pos="350" w:val="left" w:leader="none"/>
        </w:tabs>
        <w:spacing w:line="240" w:lineRule="auto" w:before="0" w:after="0"/>
        <w:ind w:left="349" w:right="0" w:hanging="247"/>
        <w:jc w:val="both"/>
        <w:rPr>
          <w:sz w:val="22"/>
        </w:rPr>
      </w:pPr>
      <w:r>
        <w:rPr>
          <w:sz w:val="22"/>
        </w:rPr>
        <w:t>Deben enfocarse en aspectos futuros que requieren trabajo por varios</w:t>
      </w:r>
      <w:r>
        <w:rPr>
          <w:spacing w:val="-24"/>
          <w:sz w:val="22"/>
        </w:rPr>
        <w:t> </w:t>
      </w:r>
      <w:r>
        <w:rPr>
          <w:sz w:val="22"/>
        </w:rPr>
        <w:t>años;</w:t>
      </w:r>
    </w:p>
    <w:p>
      <w:pPr>
        <w:spacing w:after="0" w:line="240" w:lineRule="auto"/>
        <w:jc w:val="both"/>
        <w:rPr>
          <w:sz w:val="22"/>
        </w:rPr>
        <w:sectPr>
          <w:pgSz w:w="12240" w:h="15840"/>
          <w:pgMar w:header="0" w:footer="1003" w:top="1360" w:bottom="1200" w:left="1600" w:right="1580"/>
        </w:sectPr>
      </w:pPr>
    </w:p>
    <w:p>
      <w:pPr>
        <w:pStyle w:val="ListParagraph"/>
        <w:numPr>
          <w:ilvl w:val="0"/>
          <w:numId w:val="56"/>
        </w:numPr>
        <w:tabs>
          <w:tab w:pos="350" w:val="left" w:leader="none"/>
        </w:tabs>
        <w:spacing w:line="240" w:lineRule="auto" w:before="53" w:after="0"/>
        <w:ind w:left="349" w:right="0" w:hanging="247"/>
        <w:jc w:val="both"/>
        <w:rPr>
          <w:sz w:val="22"/>
        </w:rPr>
      </w:pPr>
      <w:r>
        <w:rPr>
          <w:sz w:val="22"/>
        </w:rPr>
        <w:t>Requieren de trabajo</w:t>
      </w:r>
      <w:r>
        <w:rPr>
          <w:spacing w:val="-15"/>
          <w:sz w:val="22"/>
        </w:rPr>
        <w:t> </w:t>
      </w:r>
      <w:r>
        <w:rPr>
          <w:sz w:val="22"/>
        </w:rPr>
        <w:t>interdisciplinario;</w:t>
      </w:r>
    </w:p>
    <w:p>
      <w:pPr>
        <w:pStyle w:val="BodyText"/>
        <w:spacing w:before="6"/>
        <w:rPr>
          <w:sz w:val="28"/>
        </w:rPr>
      </w:pPr>
    </w:p>
    <w:p>
      <w:pPr>
        <w:pStyle w:val="ListParagraph"/>
        <w:numPr>
          <w:ilvl w:val="0"/>
          <w:numId w:val="56"/>
        </w:numPr>
        <w:tabs>
          <w:tab w:pos="398" w:val="left" w:leader="none"/>
        </w:tabs>
        <w:spacing w:line="360" w:lineRule="auto" w:before="0" w:after="0"/>
        <w:ind w:left="102" w:right="118" w:firstLine="0"/>
        <w:jc w:val="both"/>
        <w:rPr>
          <w:sz w:val="22"/>
        </w:rPr>
      </w:pPr>
      <w:r>
        <w:rPr>
          <w:sz w:val="22"/>
        </w:rPr>
        <w:t>Deben definirse con frases cortas y deben considerar factores que lleven a logros futuros.</w:t>
      </w:r>
    </w:p>
    <w:p>
      <w:pPr>
        <w:pStyle w:val="BodyText"/>
        <w:spacing w:before="7"/>
        <w:rPr>
          <w:sz w:val="17"/>
        </w:rPr>
      </w:pPr>
    </w:p>
    <w:p>
      <w:pPr>
        <w:pStyle w:val="BodyText"/>
        <w:spacing w:line="360" w:lineRule="auto"/>
        <w:ind w:left="102" w:right="118"/>
        <w:jc w:val="both"/>
      </w:pPr>
      <w:r>
        <w:rPr/>
        <w:t>Al definir las AEPA con las que se va a trabajar, se tiene claro que de ningún modo se está “fraccionando” o dividiendo por temas la problemática de la cuenca, ya que uno de los objetivos que se buscan con la GIRH es evitar precisamente la “sectorización” de esta problemática.</w:t>
      </w:r>
    </w:p>
    <w:p>
      <w:pPr>
        <w:pStyle w:val="BodyText"/>
        <w:spacing w:before="7"/>
        <w:rPr>
          <w:sz w:val="17"/>
        </w:rPr>
      </w:pPr>
    </w:p>
    <w:p>
      <w:pPr>
        <w:pStyle w:val="BodyText"/>
        <w:spacing w:line="360" w:lineRule="auto"/>
        <w:ind w:left="102" w:right="117"/>
        <w:jc w:val="both"/>
      </w:pPr>
      <w:r>
        <w:rPr/>
        <w:t>En realidad, con la definición de las AEPA, lo que se busca es establecer áreas de gestión y articulación que estén vinculadas con una visión de conjunto de la problemática (y de su posible solución) a través de un modelo conceptual que pueda expresarse en términos de los indicadores PEIR.</w:t>
      </w:r>
    </w:p>
    <w:p>
      <w:pPr>
        <w:pStyle w:val="BodyText"/>
        <w:spacing w:before="7"/>
        <w:rPr>
          <w:sz w:val="17"/>
        </w:rPr>
      </w:pPr>
    </w:p>
    <w:p>
      <w:pPr>
        <w:pStyle w:val="BodyText"/>
        <w:spacing w:line="360" w:lineRule="auto"/>
        <w:ind w:left="102" w:right="117"/>
        <w:jc w:val="both"/>
      </w:pPr>
      <w:r>
        <w:rPr/>
        <w:t>En este sentido, para el caso de estudio de la cuenca hidrosocial presa Huapango, se identificaron a través del trabajo de campo y gabinete, cuatro AEPA, que se definieron en cuatro tópicos: </w:t>
      </w:r>
      <w:r>
        <w:rPr>
          <w:b/>
        </w:rPr>
        <w:t>ambiental, social, económica y política</w:t>
      </w:r>
      <w:r>
        <w:rPr/>
        <w:t>; se eligieron éstas ya que la gobernanza promueve acuerdos y arreglos institucionales en éstas cuatro dimensiones,  de acuerdo con Carlos Díaz (2015). A continuación se muestra en la figura 6.1. la interrelación de las AEPA con la gobernanza del</w:t>
      </w:r>
      <w:r>
        <w:rPr>
          <w:spacing w:val="-17"/>
        </w:rPr>
        <w:t> </w:t>
      </w:r>
      <w:r>
        <w:rPr/>
        <w:t>agua:</w:t>
      </w:r>
    </w:p>
    <w:p>
      <w:pPr>
        <w:pStyle w:val="BodyText"/>
        <w:spacing w:before="4"/>
        <w:rPr>
          <w:sz w:val="17"/>
        </w:rPr>
      </w:pPr>
    </w:p>
    <w:p>
      <w:pPr>
        <w:pStyle w:val="Heading6"/>
        <w:ind w:left="222" w:right="238"/>
        <w:jc w:val="center"/>
      </w:pPr>
      <w:r>
        <w:rPr/>
        <w:t>Figura 6.1. Dimensiones de la gobernanza</w:t>
      </w:r>
    </w:p>
    <w:p>
      <w:pPr>
        <w:pStyle w:val="BodyText"/>
        <w:spacing w:before="3"/>
        <w:rPr>
          <w:b/>
          <w:sz w:val="25"/>
        </w:rPr>
      </w:pPr>
      <w:r>
        <w:rPr/>
        <w:drawing>
          <wp:anchor distT="0" distB="0" distL="0" distR="0" allowOverlap="1" layoutInCell="1" locked="0" behindDoc="0" simplePos="0" relativeHeight="11728">
            <wp:simplePos x="0" y="0"/>
            <wp:positionH relativeFrom="page">
              <wp:posOffset>1790699</wp:posOffset>
            </wp:positionH>
            <wp:positionV relativeFrom="paragraph">
              <wp:posOffset>209371</wp:posOffset>
            </wp:positionV>
            <wp:extent cx="4176087" cy="2157984"/>
            <wp:effectExtent l="0" t="0" r="0" b="0"/>
            <wp:wrapTopAndBottom/>
            <wp:docPr id="47" name="image112.jpeg" descr=""/>
            <wp:cNvGraphicFramePr>
              <a:graphicFrameLocks noChangeAspect="1"/>
            </wp:cNvGraphicFramePr>
            <a:graphic>
              <a:graphicData uri="http://schemas.openxmlformats.org/drawingml/2006/picture">
                <pic:pic>
                  <pic:nvPicPr>
                    <pic:cNvPr id="48" name="image112.jpeg"/>
                    <pic:cNvPicPr/>
                  </pic:nvPicPr>
                  <pic:blipFill>
                    <a:blip r:embed="rId212" cstate="print"/>
                    <a:stretch>
                      <a:fillRect/>
                    </a:stretch>
                  </pic:blipFill>
                  <pic:spPr>
                    <a:xfrm>
                      <a:off x="0" y="0"/>
                      <a:ext cx="4176087" cy="2157984"/>
                    </a:xfrm>
                    <a:prstGeom prst="rect">
                      <a:avLst/>
                    </a:prstGeom>
                  </pic:spPr>
                </pic:pic>
              </a:graphicData>
            </a:graphic>
          </wp:anchor>
        </w:drawing>
      </w:r>
    </w:p>
    <w:p>
      <w:pPr>
        <w:pStyle w:val="BodyText"/>
        <w:spacing w:before="3"/>
        <w:rPr>
          <w:b/>
          <w:sz w:val="25"/>
        </w:rPr>
      </w:pPr>
    </w:p>
    <w:p>
      <w:pPr>
        <w:pStyle w:val="BodyText"/>
        <w:spacing w:line="362" w:lineRule="auto" w:before="1"/>
        <w:ind w:left="102" w:right="120"/>
        <w:jc w:val="both"/>
      </w:pPr>
      <w:r>
        <w:rPr>
          <w:b/>
        </w:rPr>
        <w:t>Fuente: </w:t>
      </w:r>
      <w:r>
        <w:rPr/>
        <w:t>Díaz (2015), Curso-Taller de Integridad y transparencia en la gestión del agua en México, Universidad Autónoma de Nuevo León, México.</w:t>
      </w:r>
    </w:p>
    <w:p>
      <w:pPr>
        <w:pStyle w:val="BodyText"/>
        <w:spacing w:before="6"/>
        <w:rPr>
          <w:sz w:val="17"/>
        </w:rPr>
      </w:pPr>
    </w:p>
    <w:p>
      <w:pPr>
        <w:pStyle w:val="BodyText"/>
        <w:spacing w:before="1"/>
        <w:ind w:left="102"/>
        <w:jc w:val="both"/>
      </w:pPr>
      <w:r>
        <w:rPr/>
        <w:t>La primera dimensión, la </w:t>
      </w:r>
      <w:r>
        <w:rPr>
          <w:i/>
          <w:u w:val="single"/>
        </w:rPr>
        <w:t>social, </w:t>
      </w:r>
      <w:r>
        <w:rPr/>
        <w:t>hace referencia al uso equitativo de los recursos hídricos.</w:t>
      </w:r>
    </w:p>
    <w:p>
      <w:pPr>
        <w:spacing w:after="0"/>
        <w:jc w:val="both"/>
        <w:sectPr>
          <w:pgSz w:w="12240" w:h="15840"/>
          <w:pgMar w:header="0" w:footer="1003" w:top="1360" w:bottom="1200" w:left="1600" w:right="1580"/>
        </w:sectPr>
      </w:pPr>
    </w:p>
    <w:p>
      <w:pPr>
        <w:pStyle w:val="BodyText"/>
        <w:spacing w:line="362" w:lineRule="auto" w:before="53"/>
        <w:ind w:left="102" w:right="117"/>
        <w:jc w:val="both"/>
      </w:pPr>
      <w:r>
        <w:rPr/>
        <w:t>La segunda dimensión, la </w:t>
      </w:r>
      <w:r>
        <w:rPr>
          <w:i/>
          <w:u w:val="single"/>
        </w:rPr>
        <w:t>económica, </w:t>
      </w:r>
      <w:r>
        <w:rPr/>
        <w:t>se concentra en el uso eficiente de los recursos hídricos y en el rol del agua en el crecimiento económico general.</w:t>
      </w:r>
    </w:p>
    <w:p>
      <w:pPr>
        <w:pStyle w:val="BodyText"/>
        <w:spacing w:before="2"/>
        <w:rPr>
          <w:sz w:val="17"/>
        </w:rPr>
      </w:pPr>
    </w:p>
    <w:p>
      <w:pPr>
        <w:spacing w:line="360" w:lineRule="auto" w:before="0"/>
        <w:ind w:left="102" w:right="117" w:firstLine="0"/>
        <w:jc w:val="both"/>
        <w:rPr>
          <w:sz w:val="24"/>
        </w:rPr>
      </w:pPr>
      <w:r>
        <w:rPr>
          <w:sz w:val="24"/>
        </w:rPr>
        <w:t>La tercera dimensión es la de concesión de facultades </w:t>
      </w:r>
      <w:r>
        <w:rPr>
          <w:i/>
          <w:sz w:val="24"/>
          <w:u w:val="single"/>
        </w:rPr>
        <w:t>políticas, </w:t>
      </w:r>
      <w:r>
        <w:rPr>
          <w:sz w:val="24"/>
        </w:rPr>
        <w:t>la cual hace referencia al hecho de proporcionar a los grupos de interés de la gestión de recursos hídricos y a los ciudadanos en general oportunidades democráticas equitativas para influenciar y supervisar los procesos políticos y los resultados.</w:t>
      </w:r>
    </w:p>
    <w:p>
      <w:pPr>
        <w:pStyle w:val="BodyText"/>
        <w:rPr>
          <w:sz w:val="24"/>
        </w:rPr>
      </w:pPr>
    </w:p>
    <w:p>
      <w:pPr>
        <w:pStyle w:val="BodyText"/>
        <w:spacing w:line="360" w:lineRule="auto" w:before="141"/>
        <w:ind w:left="102" w:right="115"/>
        <w:jc w:val="both"/>
      </w:pPr>
      <w:r>
        <w:rPr/>
        <w:t>La última dimensión considerada es la de la sustentabilidad </w:t>
      </w:r>
      <w:r>
        <w:rPr>
          <w:i/>
          <w:u w:val="single"/>
        </w:rPr>
        <w:t>ambiental</w:t>
      </w:r>
      <w:r>
        <w:rPr>
          <w:i/>
        </w:rPr>
        <w:t>,  </w:t>
      </w:r>
      <w:r>
        <w:rPr/>
        <w:t>la cual muestra que una mejora en la gobernabilidad, permite mejorar el uso sustentable de los recursos hídricos y la integridad del socioecosistema.</w:t>
      </w:r>
    </w:p>
    <w:p>
      <w:pPr>
        <w:pStyle w:val="BodyText"/>
      </w:pPr>
    </w:p>
    <w:p>
      <w:pPr>
        <w:pStyle w:val="BodyText"/>
        <w:spacing w:before="6"/>
        <w:rPr>
          <w:sz w:val="28"/>
        </w:rPr>
      </w:pPr>
    </w:p>
    <w:p>
      <w:pPr>
        <w:pStyle w:val="BodyText"/>
        <w:spacing w:line="360" w:lineRule="auto"/>
        <w:ind w:left="102" w:right="115"/>
        <w:jc w:val="both"/>
      </w:pPr>
      <w:r>
        <w:rPr/>
        <w:t>De forma similar, Domínguez (2012) señala que el concepto de gobernanza del agua comprende cuatro dimensiones, tal y como se muestra en el esquema 6.2: La dimensión </w:t>
      </w:r>
      <w:r>
        <w:rPr>
          <w:i/>
          <w:u w:val="single"/>
        </w:rPr>
        <w:t>política y la social</w:t>
      </w:r>
      <w:r>
        <w:rPr/>
        <w:t>, se refieren a la toma de decisiones y al acceso equitativo a los recursos, pero no puede obviarse que existe un contexto </w:t>
      </w:r>
      <w:r>
        <w:rPr>
          <w:i/>
          <w:u w:val="single"/>
        </w:rPr>
        <w:t>económico</w:t>
      </w:r>
      <w:r>
        <w:rPr/>
        <w:t>, el cual influye en la toma de decisiones, y que contribuye a lograr la eficiencia que maximice el uso del  recurso y que recupere adecuadamente los costos. Además, subyace la dimensión </w:t>
      </w:r>
      <w:r>
        <w:rPr>
          <w:i/>
          <w:u w:val="single"/>
        </w:rPr>
        <w:t>ambiental</w:t>
      </w:r>
      <w:r>
        <w:rPr/>
        <w:t>, por cuanto considera que el agua es un subsistema dentro del medio  ambiente, por lo tanto, tiende al uso sostenible de los recursos hídricos; ésta última </w:t>
      </w:r>
      <w:r>
        <w:rPr>
          <w:spacing w:val="-3"/>
        </w:rPr>
        <w:t>es </w:t>
      </w:r>
      <w:r>
        <w:rPr/>
        <w:t>abordada por el eje temático de agua y</w:t>
      </w:r>
      <w:r>
        <w:rPr>
          <w:spacing w:val="-15"/>
        </w:rPr>
        <w:t> </w:t>
      </w:r>
      <w:r>
        <w:rPr/>
        <w:t>ecosistemas.</w:t>
      </w:r>
    </w:p>
    <w:p>
      <w:pPr>
        <w:pStyle w:val="BodyText"/>
        <w:spacing w:before="9"/>
        <w:rPr>
          <w:sz w:val="17"/>
        </w:rPr>
      </w:pPr>
    </w:p>
    <w:p>
      <w:pPr>
        <w:pStyle w:val="BodyText"/>
        <w:spacing w:line="360" w:lineRule="auto"/>
        <w:ind w:left="102" w:right="112"/>
        <w:jc w:val="both"/>
      </w:pPr>
      <w:r>
        <w:rPr/>
        <w:t>El elemento político exige la creación de plataformas de actores sociales, especialmente donde hay competencia por los recursos hídricos, pero también, la descentralización de la toma de decisiones hacia otros niveles, y en otras escalas, que revelan la realidad sociocultural, y la incorporación de las competencias y los puntos de vista de los otros niveles de gobierno.</w:t>
      </w:r>
    </w:p>
    <w:p>
      <w:pPr>
        <w:pStyle w:val="BodyText"/>
        <w:spacing w:before="7"/>
        <w:rPr>
          <w:sz w:val="17"/>
        </w:rPr>
      </w:pPr>
    </w:p>
    <w:p>
      <w:pPr>
        <w:pStyle w:val="BodyText"/>
        <w:spacing w:line="360" w:lineRule="auto"/>
        <w:ind w:left="102" w:right="115"/>
        <w:jc w:val="both"/>
      </w:pPr>
      <w:r>
        <w:rPr/>
        <w:t>La dimensión social se refiere al acceso equitativo a los recursos hídricos, y este es un gran reto por las profundas desigualdades sociales, que se reflejan en la pobreza de agua que sufren algunos sectores. Se refiere también al empoderamiento de los grupos más vulnerables, en asegurar espacios públicos donde estos participen efectivamente, en las decisiones que les afectan directamente, tales como el acceso al agua, o las medidas de adaptación al cambio climático.</w:t>
      </w:r>
    </w:p>
    <w:p>
      <w:pPr>
        <w:spacing w:after="0" w:line="360" w:lineRule="auto"/>
        <w:jc w:val="both"/>
        <w:sectPr>
          <w:pgSz w:w="12240" w:h="15840"/>
          <w:pgMar w:header="0" w:footer="1003" w:top="1360" w:bottom="1200" w:left="1600" w:right="1580"/>
        </w:sectPr>
      </w:pPr>
    </w:p>
    <w:p>
      <w:pPr>
        <w:pStyle w:val="Heading6"/>
        <w:spacing w:before="51"/>
        <w:ind w:left="1621"/>
      </w:pPr>
      <w:r>
        <w:rPr/>
        <w:t>Figura 6.2. Las dimensiones de la Gobernanza del agua</w:t>
      </w:r>
    </w:p>
    <w:p>
      <w:pPr>
        <w:pStyle w:val="BodyText"/>
        <w:spacing w:before="6"/>
        <w:rPr>
          <w:b/>
          <w:sz w:val="25"/>
        </w:rPr>
      </w:pPr>
      <w:r>
        <w:rPr/>
        <w:drawing>
          <wp:anchor distT="0" distB="0" distL="0" distR="0" allowOverlap="1" layoutInCell="1" locked="0" behindDoc="0" simplePos="0" relativeHeight="11752">
            <wp:simplePos x="0" y="0"/>
            <wp:positionH relativeFrom="page">
              <wp:posOffset>2295524</wp:posOffset>
            </wp:positionH>
            <wp:positionV relativeFrom="paragraph">
              <wp:posOffset>211187</wp:posOffset>
            </wp:positionV>
            <wp:extent cx="3177014" cy="2761488"/>
            <wp:effectExtent l="0" t="0" r="0" b="0"/>
            <wp:wrapTopAndBottom/>
            <wp:docPr id="49" name="image113.jpeg" descr=""/>
            <wp:cNvGraphicFramePr>
              <a:graphicFrameLocks noChangeAspect="1"/>
            </wp:cNvGraphicFramePr>
            <a:graphic>
              <a:graphicData uri="http://schemas.openxmlformats.org/drawingml/2006/picture">
                <pic:pic>
                  <pic:nvPicPr>
                    <pic:cNvPr id="50" name="image113.jpeg"/>
                    <pic:cNvPicPr/>
                  </pic:nvPicPr>
                  <pic:blipFill>
                    <a:blip r:embed="rId213" cstate="print"/>
                    <a:stretch>
                      <a:fillRect/>
                    </a:stretch>
                  </pic:blipFill>
                  <pic:spPr>
                    <a:xfrm>
                      <a:off x="0" y="0"/>
                      <a:ext cx="3177014" cy="2761488"/>
                    </a:xfrm>
                    <a:prstGeom prst="rect">
                      <a:avLst/>
                    </a:prstGeom>
                  </pic:spPr>
                </pic:pic>
              </a:graphicData>
            </a:graphic>
          </wp:anchor>
        </w:drawing>
      </w:r>
    </w:p>
    <w:p>
      <w:pPr>
        <w:pStyle w:val="BodyText"/>
        <w:spacing w:before="10"/>
        <w:rPr>
          <w:b/>
          <w:sz w:val="25"/>
        </w:rPr>
      </w:pPr>
    </w:p>
    <w:p>
      <w:pPr>
        <w:spacing w:line="360" w:lineRule="auto" w:before="1"/>
        <w:ind w:left="102" w:right="111" w:firstLine="0"/>
        <w:jc w:val="both"/>
        <w:rPr>
          <w:sz w:val="22"/>
        </w:rPr>
      </w:pPr>
      <w:r>
        <w:rPr>
          <w:b/>
          <w:sz w:val="22"/>
        </w:rPr>
        <w:t>Fuente: </w:t>
      </w:r>
      <w:r>
        <w:rPr>
          <w:sz w:val="22"/>
        </w:rPr>
        <w:t>Training Manual on Water Integrity, 2009, citado por Dominguez (2012), </w:t>
      </w:r>
      <w:r>
        <w:rPr>
          <w:b/>
          <w:sz w:val="22"/>
        </w:rPr>
        <w:t>Proceso regional de las Américas, VI Foro Mundial del Agua. Hacia una buena gobernanza para la gestión integrada de los recursos hídricos</w:t>
      </w:r>
      <w:r>
        <w:rPr>
          <w:sz w:val="22"/>
        </w:rPr>
        <w:t>, Colegio de México, México.</w:t>
      </w:r>
    </w:p>
    <w:p>
      <w:pPr>
        <w:pStyle w:val="BodyText"/>
        <w:spacing w:before="9"/>
        <w:rPr>
          <w:sz w:val="17"/>
        </w:rPr>
      </w:pPr>
    </w:p>
    <w:p>
      <w:pPr>
        <w:pStyle w:val="BodyText"/>
        <w:spacing w:line="360" w:lineRule="auto"/>
        <w:ind w:left="102" w:right="117"/>
        <w:jc w:val="both"/>
      </w:pPr>
      <w:r>
        <w:rPr/>
        <w:t>En este sentido para Hoyekstra (2006), la dimensión ambiental obliga a adoptar un enfoque integrado, reconociendo que los “sistemas hídricos” forman parte del “sistema ambiental” que interactúa con los “sistemas sociales” en términos administrativos y de gestión. La dimensión económica implica incentivos para involucrarse en prácticas sostenibles de uso y aprovechamiento del agua; y en atender las necesidades de financiamiento del sector a largo plazo, utilizando los diversos instrumentos económicos (Pago por servicios ambientales, impuestos ambientales, compensaciones, subsidios, precios) para hacer sostenible al sector.</w:t>
      </w:r>
    </w:p>
    <w:p>
      <w:pPr>
        <w:pStyle w:val="BodyText"/>
        <w:spacing w:before="9"/>
        <w:rPr>
          <w:sz w:val="17"/>
        </w:rPr>
      </w:pPr>
    </w:p>
    <w:p>
      <w:pPr>
        <w:pStyle w:val="BodyText"/>
        <w:spacing w:line="360" w:lineRule="auto"/>
        <w:ind w:left="102" w:right="114"/>
        <w:jc w:val="both"/>
      </w:pPr>
      <w:r>
        <w:rPr/>
        <w:t>Por tal motivo, hay que identificar los factores clave que contribuyen al logro de una </w:t>
      </w:r>
      <w:r>
        <w:rPr>
          <w:i/>
        </w:rPr>
        <w:t>buena </w:t>
      </w:r>
      <w:r>
        <w:rPr>
          <w:i/>
        </w:rPr>
        <w:t>gobernanza </w:t>
      </w:r>
      <w:r>
        <w:rPr/>
        <w:t>en la GIRH, entendida como el modelo más apropiado para conservar y usar de forma sostenible el agua a partir de la cuenca, que promueve un enfoque coordinado en lugar de sectorial (agricultura, industria, consumo humano, energía, territorial, ambiental) que busca armonizar e integrar el ciclo hidrológico (superficial- subterránea, calidad-cantidad, dulce-costera) con las formas de uso, aprovechamiento y apropiación  del recurso (integración transectorial, planificación-decisión, usuarios aguas arriba-aguas abajo).</w:t>
      </w:r>
    </w:p>
    <w:p>
      <w:pPr>
        <w:spacing w:after="0" w:line="360" w:lineRule="auto"/>
        <w:jc w:val="both"/>
        <w:sectPr>
          <w:pgSz w:w="12240" w:h="15840"/>
          <w:pgMar w:header="0" w:footer="1003" w:top="1360" w:bottom="1200" w:left="1600" w:right="1580"/>
        </w:sectPr>
      </w:pPr>
    </w:p>
    <w:p>
      <w:pPr>
        <w:pStyle w:val="BodyText"/>
        <w:spacing w:line="360" w:lineRule="auto" w:before="53"/>
        <w:ind w:left="102" w:right="115"/>
        <w:jc w:val="both"/>
      </w:pPr>
      <w:r>
        <w:rPr/>
        <w:t>La búsqueda de la buena gobernanza con los actores, comienza con la “generación de lluvias de ideas”; por tal motivo para Díaz, </w:t>
      </w:r>
      <w:r>
        <w:rPr>
          <w:i/>
        </w:rPr>
        <w:t>et. al. </w:t>
      </w:r>
      <w:r>
        <w:rPr/>
        <w:t>(2009), sugiere el principio del “consenso participativo”, teniendo como marco de referencia a las Áreas Estratégicas de Planeación y Articulación</w:t>
      </w:r>
      <w:r>
        <w:rPr>
          <w:spacing w:val="-6"/>
        </w:rPr>
        <w:t> </w:t>
      </w:r>
      <w:r>
        <w:rPr/>
        <w:t>(AEPA).</w:t>
      </w:r>
    </w:p>
    <w:p>
      <w:pPr>
        <w:pStyle w:val="BodyText"/>
        <w:spacing w:before="7"/>
        <w:rPr>
          <w:sz w:val="17"/>
        </w:rPr>
      </w:pPr>
    </w:p>
    <w:p>
      <w:pPr>
        <w:pStyle w:val="BodyText"/>
        <w:spacing w:line="360" w:lineRule="auto"/>
        <w:ind w:left="102" w:right="117"/>
        <w:jc w:val="both"/>
      </w:pPr>
      <w:r>
        <w:rPr/>
        <w:t>El modelo conceptual del socioecosistema, y la visión de la cuenca, previamente identificada, permiten lograr un “encuadre” de esta “lluvia de ideas” que permite orientar  su desarrollo hacia el análisis de la situación de la cuenca y su mejor representación en términos de los indicadores</w:t>
      </w:r>
      <w:r>
        <w:rPr>
          <w:spacing w:val="-8"/>
        </w:rPr>
        <w:t> </w:t>
      </w:r>
      <w:r>
        <w:rPr/>
        <w:t>PEIR.</w:t>
      </w:r>
    </w:p>
    <w:p>
      <w:pPr>
        <w:pStyle w:val="BodyText"/>
        <w:spacing w:before="7"/>
        <w:rPr>
          <w:sz w:val="17"/>
        </w:rPr>
      </w:pPr>
    </w:p>
    <w:p>
      <w:pPr>
        <w:pStyle w:val="BodyText"/>
        <w:spacing w:line="360" w:lineRule="auto"/>
        <w:ind w:left="102" w:right="113"/>
        <w:jc w:val="both"/>
      </w:pPr>
      <w:r>
        <w:rPr/>
        <w:t>El sustento teórico y el análisis de trabajo de campo por principios de gobernanza, permitieron estructurar sistemáticamente las cuatro AEPA (ambiental, social, económica y política) en un sistema PEIR, para encontrar a través de sus interrelaciones los  indicadores y el número de vínculos a los Factores Críticos de Éxito que se consideraron en la elaboración de la propuesta de creación de un Comité intermunicipal con su Reglamento para el uso, cuidado y defensa de la presa Huapango, Por tal motivo para Díaz, </w:t>
      </w:r>
      <w:r>
        <w:rPr>
          <w:i/>
        </w:rPr>
        <w:t>et. al.</w:t>
      </w:r>
      <w:r>
        <w:rPr>
          <w:i/>
          <w:spacing w:val="-3"/>
        </w:rPr>
        <w:t> </w:t>
      </w:r>
      <w:r>
        <w:rPr/>
        <w:t>(2009),</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1"/>
      </w:pPr>
    </w:p>
    <w:p>
      <w:pPr>
        <w:pStyle w:val="Heading6"/>
        <w:spacing w:before="73"/>
        <w:ind w:left="923"/>
      </w:pPr>
      <w:r>
        <w:rPr/>
        <w:pict>
          <v:group style="position:absolute;margin-left:72.707001pt;margin-top:15.537878pt;width:635.9pt;height:418.4pt;mso-position-horizontal-relative:page;mso-position-vertical-relative:paragraph;z-index:-3331624" coordorigin="1454,311" coordsize="12718,8368">
            <v:shape style="position:absolute;left:2376;top:311;width:11796;height:8368" type="#_x0000_t75" stroked="false">
              <v:imagedata r:id="rId215" o:title=""/>
            </v:shape>
            <v:shape style="position:absolute;left:5811;top:1792;width:4620;height:5200" coordorigin="5811,1792" coordsize="4620,5200" path="m8121,1792l7713,3932,5811,4392,7713,4851,8121,6992,8529,4851,10431,4392,8529,3932,8121,1792xe" filled="true" fillcolor="#ffffff" stroked="false">
              <v:path arrowok="t"/>
              <v:fill type="solid"/>
            </v:shape>
            <v:shape style="position:absolute;left:5811;top:1792;width:4620;height:5200" coordorigin="5811,1792" coordsize="4620,5200" path="m5811,4392l7713,3932,8121,1792,8529,3932,10431,4392,8529,4851,8121,6992,7713,4851,5811,4392xe" filled="false" stroked="true" strokeweight="2pt" strokecolor="#000000">
              <v:path arrowok="t"/>
            </v:shape>
            <v:rect style="position:absolute;left:7059;top:814;width:2234;height:891" filled="true" fillcolor="#00afef" stroked="false">
              <v:fill type="solid"/>
            </v:rect>
            <v:rect style="position:absolute;left:7059;top:814;width:2234;height:891" filled="false" stroked="true" strokeweight="2pt" strokecolor="#000000"/>
            <v:shape style="position:absolute;left:7060;top:3867;width:5770;height:4137" coordorigin="7060,3867" coordsize="5770,4137" path="m9112,6994l7060,6994,7060,8004,9112,8004,9112,6994m12830,3867l10488,3867,10488,4704,12830,4704,12830,3867e" filled="true" fillcolor="#00afef" stroked="false">
              <v:path arrowok="t"/>
              <v:fill type="solid"/>
            </v:shape>
            <v:rect style="position:absolute;left:10488;top:3867;width:2342;height:837" filled="false" stroked="true" strokeweight="2pt" strokecolor="#000000"/>
            <v:rect style="position:absolute;left:3589;top:3813;width:2146;height:1085" filled="true" fillcolor="#00afef" stroked="false">
              <v:fill type="solid"/>
            </v:rect>
            <v:rect style="position:absolute;left:3589;top:3813;width:2146;height:1085" filled="false" stroked="true" strokeweight="2pt" strokecolor="#000000"/>
            <v:rect style="position:absolute;left:7264;top:4103;width:1740;height:600" filled="true" fillcolor="#ffffff" stroked="false">
              <v:fill type="solid"/>
            </v:rect>
            <v:shape style="position:absolute;left:4673;top:1245;width:6749;height:6339" coordorigin="4673,1245" coordsize="6749,6339" path="m6769,1245l6608,1307,6604,1315,6610,1331,6619,1335,6704,1302,4844,3628,4858,3537,4852,3529,4836,3527,4828,3533,4803,3704,4839,3690,4964,3641,4968,3633,4965,3625,4962,3617,4953,3613,4868,3646,6728,1321,6714,1411,6720,1419,6736,1421,6744,1416,6767,1258,6769,1245m6810,7583l6808,7571,6781,7421,6779,7413,6772,7408,6763,7409,6755,7411,6750,7419,6751,7427,6766,7509,4740,5136,4826,5166,4835,5162,4840,5146,4836,5137,4828,5135,4710,5093,4673,5080,4702,5242,4704,5251,4711,5256,4720,5254,4728,5253,4733,5245,4732,5237,4717,5155,6743,7528,6665,7501,6657,7498,6648,7502,6645,7510,6643,7518,6647,7526,6655,7529,6810,7583m11422,4994l11258,5048,11253,5057,11256,5065,11259,5072,11267,5077,11354,5048,11354,5048,9339,7317,9356,7235,9357,7227,9352,7219,9344,7217,9336,7216,9328,7221,9294,7390,9331,7378,9458,7337,9463,7328,9460,7320,9457,7312,9449,7308,9362,7337,11377,5068,11360,5150,11359,5158,11364,5166,11380,5169,11388,5164,11390,5156,11420,5007,11422,4994m11422,3630l11420,3617,11393,3468,11392,3459,11384,3454,11367,3457,11362,3465,11364,3473,11378,3555,9523,1375,9601,1402,9609,1405,9618,1401,9620,1393,9623,1385,9619,1377,9493,1332,9456,1320,9485,1482,9486,1490,9494,1495,9502,1494,9511,1492,9516,1484,9514,1476,9500,1394,11356,3574,11269,3544,11260,3548,11258,3556,11255,3564,11259,3572,11267,3575,11422,3630e" filled="true" fillcolor="#000000" stroked="false">
              <v:path arrowok="t"/>
              <v:fill type="solid"/>
            </v:shape>
            <v:shape style="position:absolute;left:9913;top:1170;width:1691;height:1819" coordorigin="9913,1170" coordsize="1691,1819" path="m10483,1170l9913,1646,11034,2989,11604,2513,10483,1170xe" filled="true" fillcolor="#ffffff" stroked="false">
              <v:path arrowok="t"/>
              <v:fill type="solid"/>
            </v:shape>
            <v:shape style="position:absolute;left:9913;top:1170;width:1691;height:1819" coordorigin="9913,1170" coordsize="1691,1819" path="m10483,1170l11604,2513,11034,2989,9913,1646,10483,1170xe" filled="false" stroked="true" strokeweight="1pt" strokecolor="#000000">
              <v:path arrowok="t"/>
              <v:stroke dashstyle="dash"/>
            </v:shape>
            <v:shape style="position:absolute;left:9983;top:1230;width:1551;height:1697" type="#_x0000_t75" stroked="false">
              <v:imagedata r:id="rId216" o:title=""/>
            </v:shape>
            <v:shape style="position:absolute;left:10263;top:1421;width:1056;height:1183" type="#_x0000_t75" stroked="false">
              <v:imagedata r:id="rId217" o:title=""/>
            </v:shape>
            <v:shape style="position:absolute;left:10031;top:5453;width:1704;height:1781" coordorigin="10031,5453" coordsize="1704,1781" path="m11201,5453l10031,6753,10565,7234,11735,5934,11201,5453xe" filled="true" fillcolor="#ffffff" stroked="false">
              <v:path arrowok="t"/>
              <v:fill type="solid"/>
            </v:shape>
            <v:shape style="position:absolute;left:10031;top:5453;width:1704;height:1781" coordorigin="10031,5453" coordsize="1704,1781" path="m10031,6753l11201,5453,11735,5934,10565,7234,10031,6753xe" filled="false" stroked="true" strokeweight="1pt" strokecolor="#000000">
              <v:path arrowok="t"/>
              <v:stroke dashstyle="dash"/>
            </v:shape>
            <v:shape style="position:absolute;left:10099;top:5516;width:1568;height:1655" type="#_x0000_t75" stroked="false">
              <v:imagedata r:id="rId218" o:title=""/>
            </v:shape>
            <v:shape style="position:absolute;left:10277;top:5743;width:1104;height:1140" type="#_x0000_t75" stroked="false">
              <v:imagedata r:id="rId219" o:title=""/>
            </v:shape>
            <v:shape style="position:absolute;left:4669;top:1169;width:1673;height:1819" coordorigin="4669,1169" coordsize="1673,1819" path="m5774,1169l4669,2524,5236,2987,6341,1632,5774,1169xe" filled="true" fillcolor="#ffffff" stroked="false">
              <v:path arrowok="t"/>
              <v:fill type="solid"/>
            </v:shape>
            <v:shape style="position:absolute;left:4669;top:1169;width:1673;height:1819" coordorigin="4669,1169" coordsize="1673,1819" path="m4669,2524l5774,1169,6341,1632,5236,2987,4669,2524xe" filled="false" stroked="true" strokeweight="1pt" strokecolor="#000000">
              <v:path arrowok="t"/>
              <v:stroke dashstyle="dash"/>
            </v:shape>
            <v:shape style="position:absolute;left:4739;top:1229;width:1533;height:1699" type="#_x0000_t75" stroked="false">
              <v:imagedata r:id="rId220" o:title=""/>
            </v:shape>
            <v:shape style="position:absolute;left:4911;top:1460;width:1071;height:1164" type="#_x0000_t75" stroked="false">
              <v:imagedata r:id="rId221" o:title=""/>
            </v:shape>
            <v:shape style="position:absolute;left:4356;top:5578;width:1701;height:1800" coordorigin="4356,5578" coordsize="1701,1800" path="m4908,5578l4356,6058,5504,7378,6056,6897,4908,5578xe" filled="true" fillcolor="#ffffff" stroked="false">
              <v:path arrowok="t"/>
              <v:fill type="solid"/>
            </v:shape>
            <v:shape style="position:absolute;left:4356;top:5578;width:1701;height:1800" coordorigin="4356,5578" coordsize="1701,1800" path="m4908,5578l6056,6897,5504,7378,4356,6058,4908,5578e" filled="false" stroked="true" strokeweight="1pt" strokecolor="#000000">
              <v:path arrowok="t"/>
              <v:stroke dashstyle="dash"/>
            </v:shape>
            <v:shape style="position:absolute;left:4424;top:5639;width:1562;height:1675" type="#_x0000_t75" stroked="false">
              <v:imagedata r:id="rId222" o:title=""/>
            </v:shape>
            <v:shape style="position:absolute;left:4701;top:5828;width:1071;height:1174" type="#_x0000_t75" stroked="false">
              <v:imagedata r:id="rId223" o:title=""/>
            </v:shape>
            <v:shape style="position:absolute;left:11594;top:1933;width:1923;height:1893" type="#_x0000_t75" stroked="false">
              <v:imagedata r:id="rId224" o:title=""/>
            </v:shape>
            <v:shape style="position:absolute;left:11962;top:2273;width:1182;height:1170" type="#_x0000_t75" stroked="false">
              <v:imagedata r:id="rId225" o:title=""/>
            </v:shape>
            <v:shape style="position:absolute;left:1454;top:1383;width:2310;height:2101" type="#_x0000_t75" stroked="false">
              <v:imagedata r:id="rId226" o:title=""/>
            </v:shape>
            <v:shape style="position:absolute;left:1898;top:1751;width:1525;height:1368" type="#_x0000_t75" stroked="false">
              <v:imagedata r:id="rId227" o:title=""/>
            </v:shape>
            <v:shape style="position:absolute;left:8322;top:1740;width:2010;height:2232" coordorigin="8322,1740" coordsize="2010,2232" path="m9777,1740l8322,2194,8877,3971,10332,3517,9777,1740xe" filled="true" fillcolor="#ffffff" stroked="false">
              <v:path arrowok="t"/>
              <v:fill type="solid"/>
            </v:shape>
            <v:shape style="position:absolute;left:8322;top:1740;width:2010;height:2232" coordorigin="8322,1740" coordsize="2010,2232" path="m8322,2194l9777,1740,10332,3517,8877,3971,8322,2194xe" filled="false" stroked="true" strokeweight="2pt" strokecolor="#000000">
              <v:path arrowok="t"/>
              <v:stroke dashstyle="dash"/>
            </v:shape>
            <v:shape style="position:absolute;left:8369;top:1834;width:1916;height:2043" type="#_x0000_t75" stroked="false">
              <v:imagedata r:id="rId228" o:title=""/>
            </v:shape>
            <v:shape style="position:absolute;left:8698;top:2033;width:1125;height:871" type="#_x0000_t75" stroked="false">
              <v:imagedata r:id="rId229" o:title=""/>
            </v:shape>
            <v:shape style="position:absolute;left:8799;top:3045;width:101;height:166" type="#_x0000_t75" stroked="false">
              <v:imagedata r:id="rId230" o:title=""/>
            </v:shape>
            <v:shape style="position:absolute;left:8908;top:2738;width:1071;height:925" type="#_x0000_t75" stroked="false">
              <v:imagedata r:id="rId231" o:title=""/>
            </v:shape>
            <v:shape style="position:absolute;left:8396;top:4595;width:2374;height:2405" coordorigin="8396,4595" coordsize="2374,2405" path="m9623,4595l8396,5995,9543,7000,10770,5599,9623,4595xe" filled="true" fillcolor="#ffffff" stroked="false">
              <v:path arrowok="t"/>
              <v:fill type="solid"/>
            </v:shape>
            <v:shape style="position:absolute;left:8396;top:4595;width:2374;height:2405" coordorigin="8396,4595" coordsize="2374,2405" path="m9623,4595l10770,5599,9543,7000,8396,5995,9623,4595xe" filled="false" stroked="true" strokeweight="2pt" strokecolor="#000000">
              <v:path arrowok="t"/>
              <v:stroke dashstyle="dash"/>
            </v:shape>
            <v:shape style="position:absolute;left:8472;top:4677;width:2221;height:2239" type="#_x0000_t75" stroked="false">
              <v:imagedata r:id="rId232" o:title=""/>
            </v:shape>
            <v:shape style="position:absolute;left:9240;top:4991;width:1099;height:1071" type="#_x0000_t75" stroked="false">
              <v:imagedata r:id="rId233" o:title=""/>
            </v:shape>
            <v:shape style="position:absolute;left:9031;top:5462;width:168;height:137" type="#_x0000_t75" stroked="false">
              <v:imagedata r:id="rId234" o:title=""/>
            </v:shape>
            <v:shape style="position:absolute;left:8829;top:5556;width:1130;height:1060" type="#_x0000_t75" stroked="false">
              <v:imagedata r:id="rId235" o:title=""/>
            </v:shape>
            <v:shape style="position:absolute;left:5585;top:1637;width:2316;height:2400" coordorigin="5585,1637" coordsize="2316,2400" path="m6650,1637l5585,3164,6836,4036,7901,2508,6650,1637xe" filled="true" fillcolor="#ffffff" stroked="false">
              <v:path arrowok="t"/>
              <v:fill type="solid"/>
            </v:shape>
            <v:shape style="position:absolute;left:5585;top:1637;width:2316;height:2400" coordorigin="5585,1637" coordsize="2316,2400" path="m6650,1637l7901,2508,6836,4036,5585,3164,6650,1637xe" filled="false" stroked="true" strokeweight="2pt" strokecolor="#000000">
              <v:path arrowok="t"/>
              <v:stroke dashstyle="dash"/>
            </v:shape>
            <v:shape style="position:absolute;left:5653;top:1723;width:2178;height:2226" type="#_x0000_t75" stroked="false">
              <v:imagedata r:id="rId236" o:title=""/>
            </v:shape>
            <v:shape style="position:absolute;left:6347;top:2003;width:1108;height:1043" type="#_x0000_t75" stroked="false">
              <v:imagedata r:id="rId237" o:title=""/>
            </v:shape>
            <v:shape style="position:absolute;left:6168;top:2554;width:162;height:142" type="#_x0000_t75" stroked="false">
              <v:imagedata r:id="rId238" o:title=""/>
            </v:shape>
            <v:shape style="position:absolute;left:6025;top:2627;width:1134;height:1051" type="#_x0000_t75" stroked="false">
              <v:imagedata r:id="rId239" o:title=""/>
            </v:shape>
            <v:shape style="position:absolute;left:5463;top:4621;width:2353;height:2406" coordorigin="5463,4621" coordsize="2353,2406" path="m6654,4621l5463,5572,6624,7027,7815,6077,6654,4621xe" filled="true" fillcolor="#ffffff" stroked="false">
              <v:path arrowok="t"/>
              <v:fill type="solid"/>
            </v:shape>
            <v:shape style="position:absolute;left:5463;top:4621;width:2353;height:2406" coordorigin="5463,4621" coordsize="2353,2406" path="m5463,5572l6654,4621,7815,6077,6624,7027,5463,5572xe" filled="false" stroked="true" strokeweight="2pt" strokecolor="#000000">
              <v:path arrowok="t"/>
              <v:stroke dashstyle="dash"/>
            </v:shape>
            <v:shape style="position:absolute;left:5537;top:4706;width:2206;height:2236" type="#_x0000_t75" stroked="false">
              <v:imagedata r:id="rId240" o:title=""/>
            </v:shape>
            <v:shape style="position:absolute;left:5895;top:5024;width:1098;height:1058" type="#_x0000_t75" stroked="false">
              <v:imagedata r:id="rId241" o:title=""/>
            </v:shape>
            <v:shape style="position:absolute;left:6228;top:6156;width:126;height:173" type="#_x0000_t75" stroked="false">
              <v:imagedata r:id="rId242" o:title=""/>
            </v:shape>
            <v:shape style="position:absolute;left:6350;top:5525;width:1050;height:1095" type="#_x0000_t75" stroked="false">
              <v:imagedata r:id="rId243" o:title=""/>
            </v:shape>
            <w10:wrap type="none"/>
          </v:group>
        </w:pict>
      </w:r>
      <w:r>
        <w:rPr/>
        <w:t>Esquema 6.1. Las áreas estratégicas de planeación y articulación de la Cuenca Hidrosocial Presa Huapango</w:t>
      </w:r>
    </w:p>
    <w:p>
      <w:pPr>
        <w:pStyle w:val="BodyText"/>
        <w:rPr>
          <w:b/>
          <w:sz w:val="20"/>
        </w:rPr>
      </w:pPr>
    </w:p>
    <w:p>
      <w:pPr>
        <w:pStyle w:val="BodyText"/>
        <w:spacing w:before="8"/>
        <w:rPr>
          <w:b/>
          <w:sz w:val="23"/>
        </w:rPr>
      </w:pPr>
    </w:p>
    <w:p>
      <w:pPr>
        <w:spacing w:before="72"/>
        <w:ind w:left="5995" w:right="5523" w:firstLine="0"/>
        <w:jc w:val="center"/>
        <w:rPr>
          <w:b/>
          <w:sz w:val="22"/>
        </w:rPr>
      </w:pPr>
      <w:r>
        <w:rPr>
          <w:b/>
          <w:sz w:val="22"/>
        </w:rPr>
        <w:t>AEPA SOCIAL</w:t>
      </w:r>
    </w:p>
    <w:p>
      <w:pPr>
        <w:spacing w:before="37"/>
        <w:ind w:left="5999" w:right="5523" w:firstLine="0"/>
        <w:jc w:val="center"/>
        <w:rPr>
          <w:b/>
          <w:sz w:val="22"/>
        </w:rPr>
      </w:pPr>
      <w:r>
        <w:rPr>
          <w:b/>
          <w:sz w:val="22"/>
        </w:rPr>
        <w:t>(uso equitativo)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7"/>
        </w:rPr>
      </w:pPr>
    </w:p>
    <w:p>
      <w:pPr>
        <w:spacing w:after="0"/>
        <w:rPr>
          <w:sz w:val="27"/>
        </w:rPr>
        <w:sectPr>
          <w:footerReference w:type="default" r:id="rId214"/>
          <w:pgSz w:w="15840" w:h="12240" w:orient="landscape"/>
          <w:pgMar w:footer="0" w:header="0" w:top="1140" w:bottom="280" w:left="1340" w:right="1300"/>
        </w:sectPr>
      </w:pPr>
    </w:p>
    <w:p>
      <w:pPr>
        <w:spacing w:line="276" w:lineRule="auto" w:before="73"/>
        <w:ind w:left="2639" w:right="53" w:hanging="2"/>
        <w:jc w:val="center"/>
        <w:rPr>
          <w:b/>
          <w:sz w:val="22"/>
        </w:rPr>
      </w:pPr>
      <w:r>
        <w:rPr>
          <w:b/>
          <w:sz w:val="22"/>
        </w:rPr>
        <w:t>AEPA ECONÓMICA</w:t>
      </w:r>
    </w:p>
    <w:p>
      <w:pPr>
        <w:spacing w:before="0"/>
        <w:ind w:left="2577" w:right="0" w:firstLine="0"/>
        <w:jc w:val="center"/>
        <w:rPr>
          <w:b/>
          <w:sz w:val="22"/>
        </w:rPr>
      </w:pPr>
      <w:r>
        <w:rPr>
          <w:b/>
          <w:sz w:val="22"/>
        </w:rPr>
        <w:t>(uso eficiente)</w:t>
      </w:r>
    </w:p>
    <w:p>
      <w:pPr>
        <w:pStyle w:val="BodyText"/>
        <w:rPr>
          <w:b/>
          <w:sz w:val="20"/>
        </w:rPr>
      </w:pPr>
      <w:r>
        <w:rPr/>
        <w:br w:type="column"/>
      </w:r>
      <w:r>
        <w:rPr>
          <w:b/>
          <w:sz w:val="20"/>
        </w:rPr>
      </w:r>
    </w:p>
    <w:p>
      <w:pPr>
        <w:spacing w:line="278" w:lineRule="auto" w:before="118"/>
        <w:ind w:left="2009" w:right="0" w:firstLine="50"/>
        <w:jc w:val="left"/>
        <w:rPr>
          <w:i/>
          <w:sz w:val="20"/>
        </w:rPr>
      </w:pPr>
      <w:r>
        <w:rPr>
          <w:i/>
          <w:sz w:val="20"/>
        </w:rPr>
        <w:t>Gobernanza y </w:t>
      </w:r>
      <w:r>
        <w:rPr>
          <w:i/>
          <w:w w:val="95"/>
          <w:sz w:val="20"/>
        </w:rPr>
        <w:t>Gobernabilidad</w:t>
      </w:r>
    </w:p>
    <w:p>
      <w:pPr>
        <w:pStyle w:val="Heading6"/>
        <w:spacing w:before="125"/>
        <w:ind w:left="1805" w:right="1875"/>
        <w:jc w:val="center"/>
      </w:pPr>
      <w:r>
        <w:rPr>
          <w:b w:val="0"/>
        </w:rPr>
        <w:br w:type="column"/>
      </w:r>
      <w:r>
        <w:rPr/>
        <w:t>AEPA AMBIENTAL</w:t>
      </w:r>
    </w:p>
    <w:p>
      <w:pPr>
        <w:spacing w:before="37"/>
        <w:ind w:left="1805" w:right="1873" w:firstLine="0"/>
        <w:jc w:val="center"/>
        <w:rPr>
          <w:b/>
          <w:sz w:val="22"/>
        </w:rPr>
      </w:pPr>
      <w:r>
        <w:rPr>
          <w:b/>
          <w:sz w:val="22"/>
        </w:rPr>
        <w:t>(uso sostenible)</w:t>
      </w:r>
    </w:p>
    <w:p>
      <w:pPr>
        <w:spacing w:after="0"/>
        <w:jc w:val="center"/>
        <w:rPr>
          <w:sz w:val="22"/>
        </w:rPr>
        <w:sectPr>
          <w:type w:val="continuous"/>
          <w:pgSz w:w="15840" w:h="12240" w:orient="landscape"/>
          <w:pgMar w:top="1360" w:bottom="1200" w:left="1340" w:right="1300"/>
          <w:cols w:num="3" w:equalWidth="0">
            <w:col w:w="4069" w:space="40"/>
            <w:col w:w="3363" w:space="40"/>
            <w:col w:w="5688"/>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4"/>
        </w:rPr>
      </w:pPr>
    </w:p>
    <w:p>
      <w:pPr>
        <w:pStyle w:val="BodyText"/>
        <w:ind w:left="5700"/>
        <w:rPr>
          <w:sz w:val="20"/>
        </w:rPr>
      </w:pPr>
      <w:r>
        <w:rPr>
          <w:sz w:val="20"/>
        </w:rPr>
        <w:pict>
          <v:shape style="width:102.6pt;height:50.5pt;mso-position-horizontal-relative:char;mso-position-vertical-relative:line" type="#_x0000_t202" filled="false" stroked="true" strokeweight="2pt" strokecolor="#000000">
            <w10:anchorlock/>
            <v:textbox inset="0,0,0,0">
              <w:txbxContent>
                <w:p>
                  <w:pPr>
                    <w:spacing w:before="68"/>
                    <w:ind w:left="160" w:right="152" w:firstLine="0"/>
                    <w:jc w:val="center"/>
                    <w:rPr>
                      <w:b/>
                      <w:sz w:val="22"/>
                    </w:rPr>
                  </w:pPr>
                  <w:r>
                    <w:rPr>
                      <w:b/>
                      <w:sz w:val="22"/>
                    </w:rPr>
                    <w:t>AEPA POLÍTICA</w:t>
                  </w:r>
                </w:p>
                <w:p>
                  <w:pPr>
                    <w:spacing w:line="278" w:lineRule="auto" w:before="38"/>
                    <w:ind w:left="253" w:right="250" w:hanging="1"/>
                    <w:jc w:val="center"/>
                    <w:rPr>
                      <w:b/>
                      <w:sz w:val="22"/>
                    </w:rPr>
                  </w:pPr>
                  <w:r>
                    <w:rPr>
                      <w:b/>
                      <w:sz w:val="22"/>
                    </w:rPr>
                    <w:t>(procesos democráticos)</w:t>
                  </w:r>
                </w:p>
              </w:txbxContent>
            </v:textbox>
          </v:shape>
        </w:pict>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80"/>
        <w:ind w:right="113"/>
        <w:jc w:val="right"/>
        <w:rPr>
          <w:rFonts w:ascii="Calibri"/>
        </w:rPr>
      </w:pPr>
      <w:r>
        <w:rPr>
          <w:rFonts w:ascii="Calibri"/>
        </w:rPr>
        <w:t>436</w:t>
      </w:r>
    </w:p>
    <w:p>
      <w:pPr>
        <w:spacing w:after="0"/>
        <w:jc w:val="right"/>
        <w:rPr>
          <w:rFonts w:ascii="Calibri"/>
        </w:rPr>
        <w:sectPr>
          <w:type w:val="continuous"/>
          <w:pgSz w:w="15840" w:h="12240" w:orient="landscape"/>
          <w:pgMar w:top="1360" w:bottom="1200" w:left="1340" w:right="1300"/>
        </w:sectPr>
      </w:pPr>
    </w:p>
    <w:p>
      <w:pPr>
        <w:pStyle w:val="BodyText"/>
        <w:spacing w:line="362" w:lineRule="auto" w:before="53"/>
        <w:ind w:left="102" w:right="119"/>
        <w:jc w:val="both"/>
      </w:pPr>
      <w:r>
        <w:rPr>
          <w:b/>
        </w:rPr>
        <w:t>Fuente: </w:t>
      </w:r>
      <w:r>
        <w:rPr/>
        <w:t>Elaboración propia con base en datos obtenidos en trabajo de gabinete y campo. García (2013-2015).</w:t>
      </w:r>
    </w:p>
    <w:p>
      <w:pPr>
        <w:pStyle w:val="BodyText"/>
        <w:spacing w:line="362" w:lineRule="auto" w:before="197"/>
        <w:ind w:left="102" w:right="113"/>
        <w:jc w:val="both"/>
      </w:pPr>
      <w:r>
        <w:rPr/>
        <w:t>*</w:t>
      </w:r>
      <w:r>
        <w:rPr>
          <w:b/>
        </w:rPr>
        <w:t>Principios de gobernanza: </w:t>
      </w:r>
      <w:r>
        <w:rPr/>
        <w:t>Identidad, cultura, autogestión, poder, relaciones intermunicipales, gobernabilidad, cooperación, participación social, democracia y voluntariedad de la sociedad.</w:t>
      </w:r>
    </w:p>
    <w:p>
      <w:pPr>
        <w:pStyle w:val="BodyText"/>
        <w:spacing w:before="4"/>
        <w:rPr>
          <w:sz w:val="17"/>
        </w:rPr>
      </w:pPr>
    </w:p>
    <w:p>
      <w:pPr>
        <w:pStyle w:val="BodyText"/>
        <w:spacing w:line="360" w:lineRule="auto"/>
        <w:ind w:left="102" w:right="116"/>
        <w:jc w:val="both"/>
      </w:pPr>
      <w:r>
        <w:rPr/>
        <w:t>El esquema anterior sintetiza a las cuatro AEPA (ambiental, social, económica y política) investigadas en la cuenca hidrosocial presa Huapango, las cuales están interrelacionadas mediante los principios de gobernanza (identidad, cultura, autogestión, poder, relaciones intermunicipales, gobernabilidad, cooperación, participación social, democracia y voluntariedad de la sociedad) detectadas en trabajo de campo y expresadas por los actores.</w:t>
      </w:r>
    </w:p>
    <w:p>
      <w:pPr>
        <w:pStyle w:val="BodyText"/>
        <w:spacing w:before="7"/>
        <w:rPr>
          <w:sz w:val="17"/>
        </w:rPr>
      </w:pPr>
    </w:p>
    <w:p>
      <w:pPr>
        <w:pStyle w:val="BodyText"/>
        <w:spacing w:line="360" w:lineRule="auto"/>
        <w:ind w:left="102" w:right="117"/>
        <w:jc w:val="both"/>
      </w:pPr>
      <w:r>
        <w:rPr/>
        <w:t>El sistema de las cuatro AEPA, se da en un marco de planeación internacional, nacional, regional y local para lograr una mejor gobernanza y gobernabilidad, por lo que en el siguiente apartado los indicadores de las cuatro AEPA: ambiental, social, económica y política se interrelacionaran por medio del sistema PEIR para dar como resultado los Factores Críticos de Éxito que se consideraran, junto con el trabajo de campo, en la elaboración de la propuesta de creación de un Comité Intermunicipal con su Reglamento.</w:t>
      </w:r>
    </w:p>
    <w:p>
      <w:pPr>
        <w:spacing w:after="0" w:line="360" w:lineRule="auto"/>
        <w:jc w:val="both"/>
        <w:sectPr>
          <w:footerReference w:type="default" r:id="rId244"/>
          <w:pgSz w:w="12240" w:h="15840"/>
          <w:pgMar w:footer="1003" w:header="0" w:top="1360" w:bottom="1200" w:left="1600" w:right="1580"/>
          <w:pgNumType w:start="437"/>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Heading1"/>
        <w:spacing w:line="276" w:lineRule="auto"/>
        <w:ind w:left="200" w:hanging="96"/>
      </w:pPr>
      <w:r>
        <w:rPr/>
        <w:t>SISTEMA DE INDICADORES DE PRESIÓN, ESTADO, IMPACTO Y RESPUESTA (PEIR)</w:t>
      </w:r>
    </w:p>
    <w:p>
      <w:pPr>
        <w:spacing w:after="0" w:line="276" w:lineRule="auto"/>
        <w:sectPr>
          <w:pgSz w:w="12240" w:h="15840"/>
          <w:pgMar w:header="0" w:footer="1003" w:top="1500" w:bottom="1200" w:left="1600" w:right="1580"/>
        </w:sectPr>
      </w:pPr>
    </w:p>
    <w:p>
      <w:pPr>
        <w:pStyle w:val="Heading6"/>
        <w:numPr>
          <w:ilvl w:val="0"/>
          <w:numId w:val="17"/>
        </w:numPr>
        <w:tabs>
          <w:tab w:pos="529" w:val="left" w:leader="none"/>
        </w:tabs>
        <w:spacing w:line="357" w:lineRule="auto" w:before="53" w:after="0"/>
        <w:ind w:left="102" w:right="120" w:firstLine="0"/>
        <w:jc w:val="both"/>
      </w:pPr>
      <w:bookmarkStart w:name="_TOC_250019" w:id="54"/>
      <w:bookmarkEnd w:id="54"/>
      <w:r>
        <w:rPr/>
        <w:t>SISTEMA DE INDICADORES DE PRESIÓN, ESTADO, IMPACTO Y RESPUESTA (PEIR)</w:t>
      </w:r>
    </w:p>
    <w:p>
      <w:pPr>
        <w:pStyle w:val="BodyText"/>
        <w:spacing w:before="3"/>
        <w:rPr>
          <w:b/>
          <w:sz w:val="25"/>
        </w:rPr>
      </w:pPr>
    </w:p>
    <w:p>
      <w:pPr>
        <w:pStyle w:val="BodyText"/>
        <w:spacing w:line="360" w:lineRule="auto" w:before="1"/>
        <w:ind w:left="102" w:right="117"/>
        <w:jc w:val="both"/>
      </w:pPr>
      <w:r>
        <w:rPr/>
        <w:t>En este apartado se desarrollan los indicadores de Presión, Estado, Impacto y Respuesta (PEIR), donde se integran a las cuatro Áreas Estratégicas de Planeación y Articulación (AEPA) a través de las interrelaciones de indicadores (número de vínculos)  para  identificar a los Factores Críticos de Éxito (FCE), que permitieron analizar la gobernanza/gobernabilidad para la elaboración de la propuesta de Comité Intermunicipal con su Reglamento.</w:t>
      </w:r>
    </w:p>
    <w:p>
      <w:pPr>
        <w:pStyle w:val="BodyText"/>
        <w:spacing w:before="11"/>
        <w:rPr>
          <w:sz w:val="24"/>
        </w:rPr>
      </w:pPr>
    </w:p>
    <w:p>
      <w:pPr>
        <w:pStyle w:val="BodyText"/>
        <w:spacing w:line="357" w:lineRule="auto"/>
        <w:ind w:left="102" w:right="113"/>
        <w:jc w:val="both"/>
      </w:pPr>
      <w:r>
        <w:rPr/>
        <w:t>Lo anterior comienza con el proceso de planeación. Para Díaz-Delgado </w:t>
      </w:r>
      <w:r>
        <w:rPr>
          <w:i/>
        </w:rPr>
        <w:t>et al </w:t>
      </w:r>
      <w:r>
        <w:rPr/>
        <w:t>(2009) y Morrisey (1996a), mencionan que han llegado a la conclusión de que hay tres fases en dicho proceso, las cuales se muestran en el siguiente esquema:</w:t>
      </w:r>
    </w:p>
    <w:p>
      <w:pPr>
        <w:pStyle w:val="BodyText"/>
        <w:spacing w:before="8"/>
        <w:rPr>
          <w:sz w:val="24"/>
        </w:rPr>
      </w:pPr>
    </w:p>
    <w:p>
      <w:pPr>
        <w:pStyle w:val="Heading6"/>
        <w:ind w:left="2589"/>
      </w:pPr>
      <w:r>
        <w:rPr/>
        <w:t>Esquema 7.1. Proceso de planeación</w:t>
      </w:r>
    </w:p>
    <w:p>
      <w:pPr>
        <w:pStyle w:val="BodyText"/>
        <w:rPr>
          <w:b/>
          <w:sz w:val="20"/>
        </w:rPr>
      </w:pPr>
    </w:p>
    <w:p>
      <w:pPr>
        <w:pStyle w:val="BodyText"/>
        <w:spacing w:before="6"/>
        <w:rPr>
          <w:b/>
          <w:sz w:val="12"/>
        </w:rPr>
      </w:pPr>
      <w:r>
        <w:rPr/>
        <w:drawing>
          <wp:anchor distT="0" distB="0" distL="0" distR="0" allowOverlap="1" layoutInCell="1" locked="0" behindDoc="0" simplePos="0" relativeHeight="11824">
            <wp:simplePos x="0" y="0"/>
            <wp:positionH relativeFrom="page">
              <wp:posOffset>1080135</wp:posOffset>
            </wp:positionH>
            <wp:positionV relativeFrom="paragraph">
              <wp:posOffset>116331</wp:posOffset>
            </wp:positionV>
            <wp:extent cx="5618010" cy="2548128"/>
            <wp:effectExtent l="0" t="0" r="0" b="0"/>
            <wp:wrapTopAndBottom/>
            <wp:docPr id="51" name="image143.jpeg" descr=""/>
            <wp:cNvGraphicFramePr>
              <a:graphicFrameLocks noChangeAspect="1"/>
            </wp:cNvGraphicFramePr>
            <a:graphic>
              <a:graphicData uri="http://schemas.openxmlformats.org/drawingml/2006/picture">
                <pic:pic>
                  <pic:nvPicPr>
                    <pic:cNvPr id="52" name="image143.jpeg"/>
                    <pic:cNvPicPr/>
                  </pic:nvPicPr>
                  <pic:blipFill>
                    <a:blip r:embed="rId245" cstate="print"/>
                    <a:stretch>
                      <a:fillRect/>
                    </a:stretch>
                  </pic:blipFill>
                  <pic:spPr>
                    <a:xfrm>
                      <a:off x="0" y="0"/>
                      <a:ext cx="5618010" cy="2548128"/>
                    </a:xfrm>
                    <a:prstGeom prst="rect">
                      <a:avLst/>
                    </a:prstGeom>
                  </pic:spPr>
                </pic:pic>
              </a:graphicData>
            </a:graphic>
          </wp:anchor>
        </w:drawing>
      </w:r>
    </w:p>
    <w:p>
      <w:pPr>
        <w:pStyle w:val="BodyText"/>
        <w:rPr>
          <w:b/>
        </w:rPr>
      </w:pPr>
    </w:p>
    <w:p>
      <w:pPr>
        <w:pStyle w:val="BodyText"/>
        <w:spacing w:line="357" w:lineRule="auto" w:before="130"/>
        <w:ind w:left="102" w:right="122"/>
        <w:jc w:val="both"/>
      </w:pPr>
      <w:r>
        <w:rPr/>
        <w:t>Morrisey, George L. (1996a). Pensamiento Estratégico. Construya los cimientos de la planeación.</w:t>
      </w:r>
    </w:p>
    <w:p>
      <w:pPr>
        <w:pStyle w:val="BodyText"/>
        <w:spacing w:before="1"/>
        <w:rPr>
          <w:sz w:val="25"/>
        </w:rPr>
      </w:pPr>
    </w:p>
    <w:p>
      <w:pPr>
        <w:pStyle w:val="ListParagraph"/>
        <w:numPr>
          <w:ilvl w:val="0"/>
          <w:numId w:val="57"/>
        </w:numPr>
        <w:tabs>
          <w:tab w:pos="810" w:val="left" w:leader="none"/>
        </w:tabs>
        <w:spacing w:line="360" w:lineRule="auto" w:before="0" w:after="0"/>
        <w:ind w:left="102" w:right="112" w:firstLine="0"/>
        <w:jc w:val="both"/>
        <w:rPr>
          <w:sz w:val="22"/>
        </w:rPr>
      </w:pPr>
      <w:r>
        <w:rPr>
          <w:sz w:val="22"/>
        </w:rPr>
        <w:t>El pensamiento estratégico: se enfoca en los aspectos más intuitivos del proceso, lo cual va a permitir la ejecución de la misión, visión y estrategia de la organización. Esta fase está diseñada para crear la perspectiva futura de la organización, ya que se establecen los cimientos a partir de los cuales se tomarán todas las decisiones importantes de la</w:t>
      </w:r>
      <w:r>
        <w:rPr>
          <w:spacing w:val="-11"/>
          <w:sz w:val="22"/>
        </w:rPr>
        <w:t> </w:t>
      </w:r>
      <w:r>
        <w:rPr>
          <w:sz w:val="22"/>
        </w:rPr>
        <w:t>planeación.</w:t>
      </w:r>
    </w:p>
    <w:p>
      <w:pPr>
        <w:spacing w:after="0" w:line="360" w:lineRule="auto"/>
        <w:jc w:val="both"/>
        <w:rPr>
          <w:sz w:val="22"/>
        </w:rPr>
        <w:sectPr>
          <w:pgSz w:w="12240" w:h="15840"/>
          <w:pgMar w:header="0" w:footer="1003" w:top="1360" w:bottom="1200" w:left="1600" w:right="1580"/>
        </w:sectPr>
      </w:pPr>
    </w:p>
    <w:p>
      <w:pPr>
        <w:pStyle w:val="ListParagraph"/>
        <w:numPr>
          <w:ilvl w:val="0"/>
          <w:numId w:val="57"/>
        </w:numPr>
        <w:tabs>
          <w:tab w:pos="810" w:val="left" w:leader="none"/>
        </w:tabs>
        <w:spacing w:line="360" w:lineRule="auto" w:before="56" w:after="0"/>
        <w:ind w:left="102" w:right="117" w:firstLine="0"/>
        <w:jc w:val="both"/>
        <w:rPr>
          <w:sz w:val="22"/>
        </w:rPr>
      </w:pPr>
      <w:r>
        <w:rPr>
          <w:sz w:val="22"/>
        </w:rPr>
        <w:t>La planeación a largo plazo: exige una combinación de pensamiento intuitivo y analítico, que dará como resultado las proyecciones de las posiciones futuras que la organización desea alcanzar. Esta fase está diseñada para validar y para  activar  la misión, visión y estrategia creadas durante la primera</w:t>
      </w:r>
      <w:r>
        <w:rPr>
          <w:spacing w:val="-21"/>
          <w:sz w:val="22"/>
        </w:rPr>
        <w:t> </w:t>
      </w:r>
      <w:r>
        <w:rPr>
          <w:sz w:val="22"/>
        </w:rPr>
        <w:t>fase.</w:t>
      </w:r>
    </w:p>
    <w:p>
      <w:pPr>
        <w:pStyle w:val="BodyText"/>
        <w:spacing w:before="10"/>
        <w:rPr>
          <w:sz w:val="24"/>
        </w:rPr>
      </w:pPr>
    </w:p>
    <w:p>
      <w:pPr>
        <w:pStyle w:val="ListParagraph"/>
        <w:numPr>
          <w:ilvl w:val="0"/>
          <w:numId w:val="57"/>
        </w:numPr>
        <w:tabs>
          <w:tab w:pos="810" w:val="left" w:leader="none"/>
        </w:tabs>
        <w:spacing w:line="360" w:lineRule="auto" w:before="0" w:after="0"/>
        <w:ind w:left="102" w:right="114" w:firstLine="0"/>
        <w:jc w:val="both"/>
        <w:rPr>
          <w:sz w:val="22"/>
        </w:rPr>
      </w:pPr>
      <w:r>
        <w:rPr>
          <w:sz w:val="22"/>
        </w:rPr>
        <w:t>La planeación táctica: es básicamente un enfoque analítico con algunas alusiones intuitivas, que proporcionaran las acciones específicas que afecten el desempeño en el curso de la organización. Esta fase está diseñada para producir los resultados a corto plazo, necesarios para llevar a cabo la misión de la organización y para alcanzar las posiciones futuras</w:t>
      </w:r>
      <w:r>
        <w:rPr>
          <w:spacing w:val="-3"/>
          <w:sz w:val="22"/>
        </w:rPr>
        <w:t> </w:t>
      </w:r>
      <w:r>
        <w:rPr>
          <w:sz w:val="22"/>
        </w:rPr>
        <w:t>proyectadas.</w:t>
      </w:r>
    </w:p>
    <w:p>
      <w:pPr>
        <w:pStyle w:val="BodyText"/>
        <w:spacing w:before="11"/>
        <w:rPr>
          <w:sz w:val="24"/>
        </w:rPr>
      </w:pPr>
    </w:p>
    <w:p>
      <w:pPr>
        <w:pStyle w:val="BodyText"/>
        <w:spacing w:line="360" w:lineRule="auto"/>
        <w:ind w:left="102" w:right="115"/>
        <w:jc w:val="both"/>
      </w:pPr>
      <w:r>
        <w:rPr/>
        <w:t>En este sentido, se requirió de un pensamiento estratégico basado que articuló sistemáticamente las cuatro Áreas Estratégicas de Planeación y Articulación: política, social, económica y ambiental mediante el trabajo de campo (García, 2013-2015) y la utilización de indicadores para detectar los Factores Críticos de Éxito (FCE), para hacer la propuesta de creación de un Comité Intermunicipal con su Reglamento para el uso, cuidado y defensa de la presa Huapango, con apoyo de la ingeniería social.</w:t>
      </w:r>
    </w:p>
    <w:p>
      <w:pPr>
        <w:pStyle w:val="BodyText"/>
        <w:spacing w:before="5"/>
        <w:rPr>
          <w:sz w:val="24"/>
        </w:rPr>
      </w:pPr>
    </w:p>
    <w:p>
      <w:pPr>
        <w:pStyle w:val="Heading6"/>
        <w:numPr>
          <w:ilvl w:val="1"/>
          <w:numId w:val="58"/>
        </w:numPr>
        <w:tabs>
          <w:tab w:pos="532" w:val="left" w:leader="none"/>
        </w:tabs>
        <w:spacing w:line="240" w:lineRule="auto" w:before="0" w:after="0"/>
        <w:ind w:left="531" w:right="0" w:hanging="429"/>
        <w:jc w:val="both"/>
      </w:pPr>
      <w:bookmarkStart w:name="_TOC_250018" w:id="55"/>
      <w:r>
        <w:rPr/>
        <w:t>La ingeniería</w:t>
      </w:r>
      <w:r>
        <w:rPr>
          <w:spacing w:val="-6"/>
        </w:rPr>
        <w:t> </w:t>
      </w:r>
      <w:bookmarkEnd w:id="55"/>
      <w:r>
        <w:rPr/>
        <w:t>social</w:t>
      </w:r>
    </w:p>
    <w:p>
      <w:pPr>
        <w:pStyle w:val="BodyText"/>
        <w:rPr>
          <w:b/>
        </w:rPr>
      </w:pPr>
    </w:p>
    <w:p>
      <w:pPr>
        <w:pStyle w:val="BodyText"/>
        <w:spacing w:line="360" w:lineRule="auto" w:before="157"/>
        <w:ind w:left="102" w:right="117"/>
        <w:jc w:val="both"/>
      </w:pPr>
      <w:r>
        <w:rPr/>
        <w:t>De acuerdo con César Jaramillo (1996), actualmente el sistema capitalista mundial experimenta una profunda transformación asociada a la revolución informática, a la crisis de las economías socialistas y a su inserción en la economía de mercado. Esto se expresa en la reconformación del espacio económico a nivel mundial, con la prominencia de los bloques regionales y subregionales como medio para la ampliación y liberalización de los mercados</w:t>
      </w:r>
      <w:r>
        <w:rPr>
          <w:spacing w:val="-6"/>
        </w:rPr>
        <w:t> </w:t>
      </w:r>
      <w:r>
        <w:rPr/>
        <w:t>nacionales.</w:t>
      </w:r>
    </w:p>
    <w:p>
      <w:pPr>
        <w:pStyle w:val="BodyText"/>
        <w:spacing w:before="10"/>
        <w:rPr>
          <w:sz w:val="24"/>
        </w:rPr>
      </w:pPr>
    </w:p>
    <w:p>
      <w:pPr>
        <w:pStyle w:val="BodyText"/>
        <w:spacing w:line="360" w:lineRule="auto"/>
        <w:ind w:left="102" w:right="113"/>
        <w:jc w:val="both"/>
      </w:pPr>
      <w:r>
        <w:rPr/>
        <w:t>Es por ello, que el entorno mundial actual ha obligado a todos los países, pero con mayor intensidad a los menos desarrollados, a realizar importantes cambios internos. Desde la década de 1980, América Latina está comprometida en la aplicación de unas reformas estructurales que van dirigidas a promover ambiciosos planes de integración económica, como medio para incorporarse al avanzado proceso de internacionalización y globalización</w:t>
      </w:r>
      <w:r>
        <w:rPr>
          <w:spacing w:val="-7"/>
        </w:rPr>
        <w:t> </w:t>
      </w:r>
      <w:r>
        <w:rPr/>
        <w:t>económica.</w:t>
      </w:r>
    </w:p>
    <w:p>
      <w:pPr>
        <w:pStyle w:val="BodyText"/>
        <w:spacing w:before="10"/>
        <w:rPr>
          <w:sz w:val="24"/>
        </w:rPr>
      </w:pPr>
    </w:p>
    <w:p>
      <w:pPr>
        <w:pStyle w:val="BodyText"/>
        <w:spacing w:line="360" w:lineRule="auto"/>
        <w:ind w:left="102" w:right="116"/>
        <w:jc w:val="both"/>
      </w:pPr>
      <w:r>
        <w:rPr/>
        <w:t>En esta perspectiva, los gobiernos latinoamericanos en los últimos años han implementado  una  nueva  forma  de  acción  social,  desde  la  concepción     </w:t>
      </w:r>
      <w:r>
        <w:rPr>
          <w:spacing w:val="38"/>
        </w:rPr>
        <w:t> </w:t>
      </w:r>
      <w:r>
        <w:rPr/>
        <w:t>neoliberal,</w:t>
      </w:r>
    </w:p>
    <w:p>
      <w:pPr>
        <w:spacing w:after="0" w:line="360" w:lineRule="auto"/>
        <w:jc w:val="both"/>
        <w:sectPr>
          <w:footerReference w:type="default" r:id="rId246"/>
          <w:pgSz w:w="12240" w:h="15840"/>
          <w:pgMar w:footer="1003" w:header="0" w:top="1360" w:bottom="1200" w:left="1600" w:right="1580"/>
          <w:pgNumType w:start="440"/>
        </w:sectPr>
      </w:pPr>
    </w:p>
    <w:p>
      <w:pPr>
        <w:pStyle w:val="BodyText"/>
        <w:spacing w:line="360" w:lineRule="auto" w:before="56"/>
        <w:ind w:left="102" w:right="112"/>
        <w:jc w:val="both"/>
      </w:pPr>
      <w:r>
        <w:rPr/>
        <w:t>denominada ingeniería social. Esta concepción cuestiona el papel del Estado como productor de bienes y servicios sociales a toda la población (</w:t>
      </w:r>
      <w:r>
        <w:rPr>
          <w:i/>
        </w:rPr>
        <w:t>sic</w:t>
      </w:r>
      <w:r>
        <w:rPr/>
        <w:t>). En las últimas décadas, este modelo de Estado intervencionista y benefactor, degeneró en una serie de  problemas como el burocratismo, la centralización, el despilfarro de recursos y la corrupción. A la sombra de este modelo, han aparecido cuatro clases de privilegiados que lo defienden: los empresarios sobreprotegidos, la burocracia, los políticos clientelistas y las directivas sindicales de las empresas</w:t>
      </w:r>
      <w:r>
        <w:rPr>
          <w:spacing w:val="-12"/>
        </w:rPr>
        <w:t> </w:t>
      </w:r>
      <w:r>
        <w:rPr/>
        <w:t>Estatales.</w:t>
      </w:r>
    </w:p>
    <w:p>
      <w:pPr>
        <w:pStyle w:val="BodyText"/>
        <w:spacing w:before="8"/>
        <w:rPr>
          <w:sz w:val="24"/>
        </w:rPr>
      </w:pPr>
    </w:p>
    <w:p>
      <w:pPr>
        <w:pStyle w:val="BodyText"/>
        <w:spacing w:line="360" w:lineRule="auto"/>
        <w:ind w:left="102" w:right="119"/>
        <w:jc w:val="both"/>
      </w:pPr>
      <w:r>
        <w:rPr/>
        <w:t>De esta forma, el Estado no tiene que crear ni mantener directamente los instrumentos para construir toda la infraestructura social. Por el contrario, son los usuarios con los recursos públicos, quienes buscan la solución a sus problemas dentro de una variedad de mecanismos de oferta.</w:t>
      </w:r>
    </w:p>
    <w:p>
      <w:pPr>
        <w:pStyle w:val="BodyText"/>
        <w:spacing w:before="8"/>
        <w:rPr>
          <w:sz w:val="24"/>
        </w:rPr>
      </w:pPr>
    </w:p>
    <w:p>
      <w:pPr>
        <w:pStyle w:val="BodyText"/>
        <w:spacing w:line="360" w:lineRule="auto"/>
        <w:ind w:left="102" w:right="113"/>
        <w:jc w:val="both"/>
      </w:pPr>
      <w:r>
        <w:rPr/>
        <w:t>Así se plasma una forma diferente de acción social denominada ingeniería social, que lentamente va configurando nuevos instrumentos y estrategias de desarrollo social, que requieren un intenso esfuerzo de investigación para su adecuada aplicación. No obstante, las circunstancias históricas recientes conducen hacia un mayor pragmatismo en el  diseño de las políticas sociales: ¿Cómo alcanzar un mayor nivel de desarrollo social en un contexto de internacionalización</w:t>
      </w:r>
      <w:r>
        <w:rPr>
          <w:spacing w:val="-13"/>
        </w:rPr>
        <w:t> </w:t>
      </w:r>
      <w:r>
        <w:rPr/>
        <w:t>económica?</w:t>
      </w:r>
    </w:p>
    <w:p>
      <w:pPr>
        <w:pStyle w:val="BodyText"/>
        <w:spacing w:before="10"/>
        <w:rPr>
          <w:sz w:val="24"/>
        </w:rPr>
      </w:pPr>
    </w:p>
    <w:p>
      <w:pPr>
        <w:pStyle w:val="BodyText"/>
        <w:spacing w:line="357" w:lineRule="auto" w:before="1"/>
        <w:ind w:left="102" w:right="118"/>
        <w:jc w:val="both"/>
      </w:pPr>
      <w:r>
        <w:rPr/>
        <w:t>La ingeniería social es aplicación de ciencia social, porque es imposible construir una situación social futura, sin una continua utilización del conocimiento acumulado sobre cualquier elemento del complejo mundo social.</w:t>
      </w:r>
    </w:p>
    <w:p>
      <w:pPr>
        <w:pStyle w:val="BodyText"/>
        <w:spacing w:before="1"/>
        <w:rPr>
          <w:sz w:val="25"/>
        </w:rPr>
      </w:pPr>
    </w:p>
    <w:p>
      <w:pPr>
        <w:pStyle w:val="BodyText"/>
        <w:spacing w:line="360" w:lineRule="auto"/>
        <w:ind w:left="102" w:right="118"/>
        <w:jc w:val="both"/>
      </w:pPr>
      <w:r>
        <w:rPr/>
        <w:t>En primer término, para caracterizar y comprender una situación presente y sus causas (diagnosis) y para diseñar una situación futura (prognosis), así como los nexos que llevan de una situación a la otra, es necesario utilizar un instrumental teórico y metodológico. En segundo término, predecir una situación futura es estimar la probabilidad de que ella se produzca a partir de una situación actual, lo que sólo es posible por aplicación de resultados de alguna explicación disponible.</w:t>
      </w:r>
    </w:p>
    <w:p>
      <w:pPr>
        <w:pStyle w:val="BodyText"/>
        <w:spacing w:before="10"/>
        <w:rPr>
          <w:sz w:val="24"/>
        </w:rPr>
      </w:pPr>
    </w:p>
    <w:p>
      <w:pPr>
        <w:pStyle w:val="BodyText"/>
        <w:spacing w:line="357" w:lineRule="auto"/>
        <w:ind w:left="102" w:right="118"/>
        <w:jc w:val="both"/>
      </w:pPr>
      <w:r>
        <w:rPr/>
        <w:t>De esta forma, la ingeniería social aparece como una combinación de explicaciones y predicciones, estructuradas lógicamente como sistemas de hipótesis. Es  posible entonces, preguntarse por las exigencias que se hacen para llegar a una ingeniería social:</w:t>
      </w:r>
    </w:p>
    <w:p>
      <w:pPr>
        <w:pStyle w:val="BodyText"/>
        <w:spacing w:before="10"/>
        <w:rPr>
          <w:sz w:val="24"/>
        </w:rPr>
      </w:pPr>
    </w:p>
    <w:p>
      <w:pPr>
        <w:pStyle w:val="ListParagraph"/>
        <w:numPr>
          <w:ilvl w:val="0"/>
          <w:numId w:val="59"/>
        </w:numPr>
        <w:tabs>
          <w:tab w:pos="239" w:val="left" w:leader="none"/>
        </w:tabs>
        <w:spacing w:line="240" w:lineRule="auto" w:before="0" w:after="0"/>
        <w:ind w:left="102" w:right="0" w:firstLine="0"/>
        <w:jc w:val="both"/>
        <w:rPr>
          <w:sz w:val="22"/>
        </w:rPr>
      </w:pPr>
      <w:r>
        <w:rPr>
          <w:sz w:val="22"/>
        </w:rPr>
        <w:t>Capacidad de problematizar situaciones</w:t>
      </w:r>
      <w:r>
        <w:rPr>
          <w:spacing w:val="-15"/>
          <w:sz w:val="22"/>
        </w:rPr>
        <w:t> </w:t>
      </w:r>
      <w:r>
        <w:rPr>
          <w:sz w:val="22"/>
        </w:rPr>
        <w:t>sociales.</w:t>
      </w:r>
    </w:p>
    <w:p>
      <w:pPr>
        <w:spacing w:after="0" w:line="240" w:lineRule="auto"/>
        <w:jc w:val="both"/>
        <w:rPr>
          <w:sz w:val="22"/>
        </w:rPr>
        <w:sectPr>
          <w:pgSz w:w="12240" w:h="15840"/>
          <w:pgMar w:header="0" w:footer="1003" w:top="1360" w:bottom="1200" w:left="1600" w:right="1580"/>
        </w:sectPr>
      </w:pPr>
    </w:p>
    <w:p>
      <w:pPr>
        <w:pStyle w:val="ListParagraph"/>
        <w:numPr>
          <w:ilvl w:val="0"/>
          <w:numId w:val="59"/>
        </w:numPr>
        <w:tabs>
          <w:tab w:pos="242" w:val="left" w:leader="none"/>
        </w:tabs>
        <w:spacing w:line="357" w:lineRule="auto" w:before="56" w:after="0"/>
        <w:ind w:left="102" w:right="120" w:firstLine="0"/>
        <w:jc w:val="both"/>
        <w:rPr>
          <w:sz w:val="22"/>
        </w:rPr>
      </w:pPr>
      <w:r>
        <w:rPr>
          <w:sz w:val="22"/>
        </w:rPr>
        <w:t>Capacidad de explicar causalmente la situación existente, dando cuenta de sus rasgos o características relevantes, en términos del conocimiento acumulado por las diferentes disciplinas que deben concurrir al examen del</w:t>
      </w:r>
      <w:r>
        <w:rPr>
          <w:spacing w:val="-13"/>
          <w:sz w:val="22"/>
        </w:rPr>
        <w:t> </w:t>
      </w:r>
      <w:r>
        <w:rPr>
          <w:sz w:val="22"/>
        </w:rPr>
        <w:t>problema.</w:t>
      </w:r>
    </w:p>
    <w:p>
      <w:pPr>
        <w:pStyle w:val="BodyText"/>
        <w:spacing w:before="1"/>
        <w:rPr>
          <w:sz w:val="25"/>
        </w:rPr>
      </w:pPr>
    </w:p>
    <w:p>
      <w:pPr>
        <w:pStyle w:val="ListParagraph"/>
        <w:numPr>
          <w:ilvl w:val="0"/>
          <w:numId w:val="59"/>
        </w:numPr>
        <w:tabs>
          <w:tab w:pos="251" w:val="left" w:leader="none"/>
        </w:tabs>
        <w:spacing w:line="357" w:lineRule="auto" w:before="0" w:after="0"/>
        <w:ind w:left="102" w:right="118" w:firstLine="0"/>
        <w:jc w:val="both"/>
        <w:rPr>
          <w:sz w:val="22"/>
        </w:rPr>
      </w:pPr>
      <w:r>
        <w:rPr>
          <w:sz w:val="22"/>
        </w:rPr>
        <w:t>Capacidad de identificar cursos alternativos de evolución de la situación y de ofrecer en consecuencia, estrategias de transformación o solución para el problema que se</w:t>
      </w:r>
      <w:r>
        <w:rPr>
          <w:spacing w:val="-25"/>
          <w:sz w:val="22"/>
        </w:rPr>
        <w:t> </w:t>
      </w:r>
      <w:r>
        <w:rPr>
          <w:sz w:val="22"/>
        </w:rPr>
        <w:t>enfrenta.</w:t>
      </w:r>
    </w:p>
    <w:p>
      <w:pPr>
        <w:pStyle w:val="BodyText"/>
        <w:spacing w:before="1"/>
        <w:rPr>
          <w:sz w:val="25"/>
        </w:rPr>
      </w:pPr>
    </w:p>
    <w:p>
      <w:pPr>
        <w:pStyle w:val="BodyText"/>
        <w:spacing w:line="360" w:lineRule="auto"/>
        <w:ind w:left="102" w:right="116"/>
        <w:jc w:val="both"/>
      </w:pPr>
      <w:r>
        <w:rPr/>
        <w:t>Este planteamiento, permite sentar las bases científicas de la acción social, convirtiéndola en una estrategia de desarrollo social técnico, racional y gerencial para la solución de los problemas sociales. La ingeniería social realiza un esfuerzo de sistematización, codificación de hipótesis y experiencias, como manera científica de avanzar en la construcción que permita que la acción social sea más efectiva. La pregunta entonces que hay implícita en la ingeniería social es: ¿Cómo mejorar los procesos para hacer política social?</w:t>
      </w:r>
    </w:p>
    <w:p>
      <w:pPr>
        <w:pStyle w:val="BodyText"/>
        <w:spacing w:before="10"/>
        <w:rPr>
          <w:sz w:val="24"/>
        </w:rPr>
      </w:pPr>
    </w:p>
    <w:p>
      <w:pPr>
        <w:pStyle w:val="BodyText"/>
        <w:spacing w:line="360" w:lineRule="auto"/>
        <w:ind w:left="102" w:right="119"/>
        <w:jc w:val="both"/>
      </w:pPr>
      <w:r>
        <w:rPr/>
        <w:t>Jaramillo (1996), menciona que las nuevas políticas sociales deben estar orientadas hacia un enfoque multidisciplinario e intersectorial. Esta situación determina que los requisitos actuales en materia de desarrollo social, exige planificación, prospectiva, gerencia y legislación para formular políticas sociales, con un alto nivel de eficiencia y calidad dentro de un modelo de apertura económica.</w:t>
      </w:r>
    </w:p>
    <w:p>
      <w:pPr>
        <w:pStyle w:val="BodyText"/>
        <w:spacing w:before="8"/>
        <w:rPr>
          <w:sz w:val="24"/>
        </w:rPr>
      </w:pPr>
    </w:p>
    <w:p>
      <w:pPr>
        <w:pStyle w:val="BodyText"/>
        <w:spacing w:line="360" w:lineRule="auto"/>
        <w:ind w:left="102" w:right="117"/>
        <w:jc w:val="both"/>
      </w:pPr>
      <w:r>
        <w:rPr/>
        <w:t>Para Torres (1993), las tendencias de descentralización y regionalización, el papel de los gobiernos locales y los procesos de democratización son condiciones nuevas muy favorables para la implementación de un proyecto investigativo en ingeniería social. Morales (1993), menciona una serie de preguntas básicas que deben ser resueltas, para consolidar un proyecto investigativo en ingeniería social:</w:t>
      </w:r>
    </w:p>
    <w:p>
      <w:pPr>
        <w:pStyle w:val="BodyText"/>
        <w:spacing w:before="8"/>
        <w:rPr>
          <w:sz w:val="24"/>
        </w:rPr>
      </w:pPr>
    </w:p>
    <w:p>
      <w:pPr>
        <w:pStyle w:val="ListParagraph"/>
        <w:numPr>
          <w:ilvl w:val="0"/>
          <w:numId w:val="60"/>
        </w:numPr>
        <w:tabs>
          <w:tab w:pos="239" w:val="left" w:leader="none"/>
        </w:tabs>
        <w:spacing w:line="240" w:lineRule="auto" w:before="0" w:after="0"/>
        <w:ind w:left="102" w:right="0" w:firstLine="0"/>
        <w:jc w:val="both"/>
        <w:rPr>
          <w:sz w:val="22"/>
        </w:rPr>
      </w:pPr>
      <w:r>
        <w:rPr>
          <w:sz w:val="22"/>
        </w:rPr>
        <w:t>¿Cuál es el nuevo papel del</w:t>
      </w:r>
      <w:r>
        <w:rPr>
          <w:spacing w:val="-6"/>
          <w:sz w:val="22"/>
        </w:rPr>
        <w:t> </w:t>
      </w:r>
      <w:r>
        <w:rPr>
          <w:sz w:val="22"/>
        </w:rPr>
        <w:t>Estado?</w:t>
      </w:r>
    </w:p>
    <w:p>
      <w:pPr>
        <w:pStyle w:val="BodyText"/>
      </w:pPr>
    </w:p>
    <w:p>
      <w:pPr>
        <w:pStyle w:val="ListParagraph"/>
        <w:numPr>
          <w:ilvl w:val="0"/>
          <w:numId w:val="60"/>
        </w:numPr>
        <w:tabs>
          <w:tab w:pos="239" w:val="left" w:leader="none"/>
        </w:tabs>
        <w:spacing w:line="240" w:lineRule="auto" w:before="152" w:after="0"/>
        <w:ind w:left="238" w:right="0" w:hanging="136"/>
        <w:jc w:val="both"/>
        <w:rPr>
          <w:sz w:val="22"/>
        </w:rPr>
      </w:pPr>
      <w:r>
        <w:rPr>
          <w:sz w:val="22"/>
        </w:rPr>
        <w:t>¿Tienen las comunidades la capacidad de jugar un papel activo en su propio</w:t>
      </w:r>
      <w:r>
        <w:rPr>
          <w:spacing w:val="-20"/>
          <w:sz w:val="22"/>
        </w:rPr>
        <w:t> </w:t>
      </w:r>
      <w:r>
        <w:rPr>
          <w:sz w:val="22"/>
        </w:rPr>
        <w:t>desarrollo?</w:t>
      </w:r>
    </w:p>
    <w:p>
      <w:pPr>
        <w:pStyle w:val="BodyText"/>
      </w:pPr>
    </w:p>
    <w:p>
      <w:pPr>
        <w:pStyle w:val="ListParagraph"/>
        <w:numPr>
          <w:ilvl w:val="0"/>
          <w:numId w:val="60"/>
        </w:numPr>
        <w:tabs>
          <w:tab w:pos="244" w:val="left" w:leader="none"/>
        </w:tabs>
        <w:spacing w:line="357" w:lineRule="auto" w:before="156" w:after="0"/>
        <w:ind w:left="102" w:right="121" w:firstLine="0"/>
        <w:jc w:val="both"/>
        <w:rPr>
          <w:sz w:val="22"/>
        </w:rPr>
      </w:pPr>
      <w:r>
        <w:rPr>
          <w:sz w:val="22"/>
        </w:rPr>
        <w:t>¿Son los actuales sistemas e instituciones sociales capaces de responder efectivamente a las necesidades de desarrollo</w:t>
      </w:r>
      <w:r>
        <w:rPr>
          <w:spacing w:val="-6"/>
          <w:sz w:val="22"/>
        </w:rPr>
        <w:t> </w:t>
      </w:r>
      <w:r>
        <w:rPr>
          <w:sz w:val="22"/>
        </w:rPr>
        <w:t>humano?</w:t>
      </w:r>
    </w:p>
    <w:p>
      <w:pPr>
        <w:pStyle w:val="BodyText"/>
        <w:spacing w:before="10"/>
        <w:rPr>
          <w:sz w:val="24"/>
        </w:rPr>
      </w:pPr>
    </w:p>
    <w:p>
      <w:pPr>
        <w:pStyle w:val="ListParagraph"/>
        <w:numPr>
          <w:ilvl w:val="0"/>
          <w:numId w:val="60"/>
        </w:numPr>
        <w:tabs>
          <w:tab w:pos="239" w:val="left" w:leader="none"/>
        </w:tabs>
        <w:spacing w:line="240" w:lineRule="auto" w:before="0" w:after="0"/>
        <w:ind w:left="238" w:right="0" w:hanging="136"/>
        <w:jc w:val="both"/>
        <w:rPr>
          <w:sz w:val="22"/>
        </w:rPr>
      </w:pPr>
      <w:r>
        <w:rPr>
          <w:sz w:val="22"/>
        </w:rPr>
        <w:t>¿En qué áreas de la política social pueden los gobiernos ser más</w:t>
      </w:r>
      <w:r>
        <w:rPr>
          <w:spacing w:val="-19"/>
          <w:sz w:val="22"/>
        </w:rPr>
        <w:t> </w:t>
      </w:r>
      <w:r>
        <w:rPr>
          <w:sz w:val="22"/>
        </w:rPr>
        <w:t>efectivos?</w:t>
      </w:r>
    </w:p>
    <w:p>
      <w:pPr>
        <w:spacing w:after="0" w:line="240" w:lineRule="auto"/>
        <w:jc w:val="both"/>
        <w:rPr>
          <w:sz w:val="22"/>
        </w:rPr>
        <w:sectPr>
          <w:pgSz w:w="12240" w:h="15840"/>
          <w:pgMar w:header="0" w:footer="1003" w:top="1360" w:bottom="1200" w:left="1600" w:right="1580"/>
        </w:sectPr>
      </w:pPr>
    </w:p>
    <w:p>
      <w:pPr>
        <w:pStyle w:val="BodyText"/>
        <w:spacing w:before="53"/>
        <w:ind w:left="102"/>
        <w:jc w:val="both"/>
      </w:pPr>
      <w:r>
        <w:rPr/>
        <w:t>-¿Sobre qué bases se toman las decisiones en la redistribución de los recursos sociales?</w:t>
      </w:r>
    </w:p>
    <w:p>
      <w:pPr>
        <w:pStyle w:val="BodyText"/>
      </w:pPr>
    </w:p>
    <w:p>
      <w:pPr>
        <w:pStyle w:val="BodyText"/>
        <w:spacing w:line="360" w:lineRule="auto" w:before="157"/>
        <w:ind w:left="102" w:right="116"/>
        <w:jc w:val="both"/>
      </w:pPr>
      <w:r>
        <w:rPr/>
        <w:t>Bajo este enfoque de ingeniería social, se apoyó la generación de los indicadores sociales basados en los principios de gobernanza de las consideraciones teóricas y del trabajo de campo García (2013-2015) para la creación de una propuesta de Comité Intermunicipal con su Reglamento para el uso, cuidado y defensa de la presa Huapango.</w:t>
      </w:r>
    </w:p>
    <w:p>
      <w:pPr>
        <w:pStyle w:val="BodyText"/>
        <w:spacing w:before="10"/>
        <w:rPr>
          <w:sz w:val="24"/>
        </w:rPr>
      </w:pPr>
    </w:p>
    <w:p>
      <w:pPr>
        <w:pStyle w:val="BodyText"/>
        <w:spacing w:line="360" w:lineRule="auto"/>
        <w:ind w:left="102" w:right="114"/>
        <w:jc w:val="both"/>
      </w:pPr>
      <w:r>
        <w:rPr/>
        <w:t>Para un proceso de planeación estratégica con enfoque GIRH como el que se propone, los indicadores se perciben como una herramienta para diseñar, implementar y evaluar   las dicha propuesta de Comité Intermunicipal con su Reglamento y con el sistema PEIR  se identificarán los vínculos que existen entre los aspectos de presión, estado, impacto y respuesta con lo que podrá determinarse de forma táctica las respuestas que mejor impacten para el rescate de la cuenca hidrosocial presa</w:t>
      </w:r>
      <w:r>
        <w:rPr>
          <w:spacing w:val="-14"/>
        </w:rPr>
        <w:t> </w:t>
      </w:r>
      <w:r>
        <w:rPr/>
        <w:t>Huapango.</w:t>
      </w:r>
    </w:p>
    <w:p>
      <w:pPr>
        <w:pStyle w:val="BodyText"/>
        <w:spacing w:before="5"/>
        <w:rPr>
          <w:sz w:val="24"/>
        </w:rPr>
      </w:pPr>
    </w:p>
    <w:p>
      <w:pPr>
        <w:pStyle w:val="Heading6"/>
        <w:numPr>
          <w:ilvl w:val="1"/>
          <w:numId w:val="58"/>
        </w:numPr>
        <w:tabs>
          <w:tab w:pos="532" w:val="left" w:leader="none"/>
        </w:tabs>
        <w:spacing w:line="240" w:lineRule="auto" w:before="0" w:after="0"/>
        <w:ind w:left="531" w:right="0" w:hanging="429"/>
        <w:jc w:val="both"/>
      </w:pPr>
      <w:bookmarkStart w:name="_TOC_250017" w:id="56"/>
      <w:r>
        <w:rPr/>
        <w:t>¿Qué es un indicador</w:t>
      </w:r>
      <w:r>
        <w:rPr>
          <w:spacing w:val="-8"/>
        </w:rPr>
        <w:t> </w:t>
      </w:r>
      <w:bookmarkEnd w:id="56"/>
      <w:r>
        <w:rPr/>
        <w:t>social?</w:t>
      </w:r>
    </w:p>
    <w:p>
      <w:pPr>
        <w:pStyle w:val="BodyText"/>
        <w:rPr>
          <w:b/>
        </w:rPr>
      </w:pPr>
    </w:p>
    <w:p>
      <w:pPr>
        <w:pStyle w:val="BodyText"/>
        <w:spacing w:line="360" w:lineRule="auto" w:before="159"/>
        <w:ind w:left="102" w:right="116"/>
        <w:jc w:val="both"/>
      </w:pPr>
      <w:r>
        <w:rPr/>
        <w:t>Los indicadores sociales como instrumentos, sirven para describir estados sociales y dibujar tendencias sociales que, con apoyo de la ingeniería social, se espera puedan conducir hacia objetivos sociales formulados mediante la planificación social. Es una estadística de interés normativo directo, que facilita juicios concisos, comprensivos y equilibrados sobre la condición de los aspectos principales de una sociedad.</w:t>
      </w:r>
    </w:p>
    <w:p>
      <w:pPr>
        <w:pStyle w:val="BodyText"/>
        <w:spacing w:before="10"/>
        <w:rPr>
          <w:sz w:val="24"/>
        </w:rPr>
      </w:pPr>
    </w:p>
    <w:p>
      <w:pPr>
        <w:pStyle w:val="BodyText"/>
        <w:spacing w:line="360" w:lineRule="auto"/>
        <w:ind w:left="102" w:right="115"/>
        <w:jc w:val="both"/>
      </w:pPr>
      <w:r>
        <w:rPr/>
        <w:t>Edgard Andreani (1974), señala que “los indicadores sociales son estadísticas sociales que con una base teórica previa, interdependiente en el interior del sistema, sacan a la  luz un número de relaciones significativas, instrumentos de medida, o al menos 'intermitentes', que permiten la comparación de los efectos de una política con los objetivos</w:t>
      </w:r>
      <w:r>
        <w:rPr>
          <w:spacing w:val="-1"/>
        </w:rPr>
        <w:t> </w:t>
      </w:r>
      <w:r>
        <w:rPr/>
        <w:t>buscados.”</w:t>
      </w:r>
    </w:p>
    <w:p>
      <w:pPr>
        <w:pStyle w:val="BodyText"/>
        <w:spacing w:before="8"/>
        <w:rPr>
          <w:sz w:val="24"/>
        </w:rPr>
      </w:pPr>
    </w:p>
    <w:p>
      <w:pPr>
        <w:pStyle w:val="BodyText"/>
        <w:spacing w:line="360" w:lineRule="auto"/>
        <w:ind w:left="102" w:right="118"/>
        <w:jc w:val="both"/>
      </w:pPr>
      <w:r>
        <w:rPr/>
        <w:t>Para Baudot (1970), “un indicador social, es una medida cifrada que expresa de forma significativa el estado pasado, presente o futuro de múltiples aspectos de un fenómeno social objeto de juicios puramente cualitativos”.</w:t>
      </w:r>
    </w:p>
    <w:p>
      <w:pPr>
        <w:pStyle w:val="BodyText"/>
        <w:spacing w:before="8"/>
        <w:rPr>
          <w:sz w:val="24"/>
        </w:rPr>
      </w:pPr>
    </w:p>
    <w:p>
      <w:pPr>
        <w:pStyle w:val="BodyText"/>
        <w:spacing w:line="360" w:lineRule="auto"/>
        <w:ind w:left="102" w:right="119"/>
        <w:jc w:val="both"/>
      </w:pPr>
      <w:r>
        <w:rPr/>
        <w:t>Para Raymond A. Bauer (1976), “los indicadores sociales son los medios por los que una sociedad puede afirmar dónde se encuentra en la actualidad o dónde estuvo y proporcionar</w:t>
      </w:r>
      <w:r>
        <w:rPr>
          <w:spacing w:val="55"/>
        </w:rPr>
        <w:t> </w:t>
      </w:r>
      <w:r>
        <w:rPr/>
        <w:t>una</w:t>
      </w:r>
      <w:r>
        <w:rPr>
          <w:spacing w:val="54"/>
        </w:rPr>
        <w:t> </w:t>
      </w:r>
      <w:r>
        <w:rPr/>
        <w:t>base</w:t>
      </w:r>
      <w:r>
        <w:rPr>
          <w:spacing w:val="52"/>
        </w:rPr>
        <w:t> </w:t>
      </w:r>
      <w:r>
        <w:rPr/>
        <w:t>de</w:t>
      </w:r>
      <w:r>
        <w:rPr>
          <w:spacing w:val="54"/>
        </w:rPr>
        <w:t> </w:t>
      </w:r>
      <w:r>
        <w:rPr/>
        <w:t>anticipación</w:t>
      </w:r>
      <w:r>
        <w:rPr>
          <w:spacing w:val="54"/>
        </w:rPr>
        <w:t> </w:t>
      </w:r>
      <w:r>
        <w:rPr/>
        <w:t>más</w:t>
      </w:r>
      <w:r>
        <w:rPr>
          <w:spacing w:val="52"/>
        </w:rPr>
        <w:t> </w:t>
      </w:r>
      <w:r>
        <w:rPr/>
        <w:t>que</w:t>
      </w:r>
      <w:r>
        <w:rPr>
          <w:spacing w:val="54"/>
        </w:rPr>
        <w:t> </w:t>
      </w:r>
      <w:r>
        <w:rPr/>
        <w:t>de</w:t>
      </w:r>
      <w:r>
        <w:rPr>
          <w:spacing w:val="54"/>
        </w:rPr>
        <w:t> </w:t>
      </w:r>
      <w:r>
        <w:rPr/>
        <w:t>previsión,</w:t>
      </w:r>
      <w:r>
        <w:rPr>
          <w:spacing w:val="56"/>
        </w:rPr>
        <w:t> </w:t>
      </w:r>
      <w:r>
        <w:rPr/>
        <w:t>en</w:t>
      </w:r>
      <w:r>
        <w:rPr>
          <w:spacing w:val="54"/>
        </w:rPr>
        <w:t> </w:t>
      </w:r>
      <w:r>
        <w:rPr/>
        <w:t>lo</w:t>
      </w:r>
      <w:r>
        <w:rPr>
          <w:spacing w:val="54"/>
        </w:rPr>
        <w:t> </w:t>
      </w:r>
      <w:r>
        <w:rPr/>
        <w:t>que</w:t>
      </w:r>
      <w:r>
        <w:rPr>
          <w:spacing w:val="54"/>
        </w:rPr>
        <w:t> </w:t>
      </w:r>
      <w:r>
        <w:rPr/>
        <w:t>concierne</w:t>
      </w:r>
      <w:r>
        <w:rPr>
          <w:spacing w:val="52"/>
        </w:rPr>
        <w:t> </w:t>
      </w:r>
      <w:r>
        <w:rPr/>
        <w:t>a</w:t>
      </w:r>
    </w:p>
    <w:p>
      <w:pPr>
        <w:spacing w:after="0" w:line="360" w:lineRule="auto"/>
        <w:jc w:val="both"/>
        <w:sectPr>
          <w:pgSz w:w="12240" w:h="15840"/>
          <w:pgMar w:header="0" w:footer="1003" w:top="1360" w:bottom="1200" w:left="1600" w:right="1580"/>
        </w:sectPr>
      </w:pPr>
    </w:p>
    <w:p>
      <w:pPr>
        <w:pStyle w:val="BodyText"/>
        <w:spacing w:before="56"/>
        <w:ind w:left="102"/>
        <w:jc w:val="both"/>
      </w:pPr>
      <w:r>
        <w:rPr/>
        <w:t>nuestra evolución en un cierto número de dominios o campos sensibles de bienestar</w:t>
      </w:r>
    </w:p>
    <w:p>
      <w:pPr>
        <w:pStyle w:val="BodyText"/>
        <w:spacing w:before="124"/>
        <w:ind w:left="102"/>
        <w:jc w:val="both"/>
      </w:pPr>
      <w:r>
        <w:rPr/>
        <w:t>social.”</w:t>
      </w:r>
    </w:p>
    <w:p>
      <w:pPr>
        <w:pStyle w:val="BodyText"/>
      </w:pPr>
    </w:p>
    <w:p>
      <w:pPr>
        <w:pStyle w:val="BodyText"/>
        <w:spacing w:line="360" w:lineRule="auto" w:before="156"/>
        <w:ind w:left="102" w:right="113" w:firstLine="62"/>
        <w:jc w:val="both"/>
      </w:pPr>
      <w:r>
        <w:rPr/>
        <w:t>Albert D. Biderman (1966), menciona que: “los indicadores sociales son datos que sirven de índices al estado dé los aspectos socialmente importantes de la sociedad.” Mientras que Birou (1977), señala a: “los indicadores, como método predominantemente de análisis de la realidad social global, cuyo sentido quiere adoptar para controlar su devenir.” Por su parte, Carlisle (1969), entiende que “un indicador social es la definición operacional, o parte de ésta, de cualquiera de los conceptos esenciales para la formación de un sistema de información que describa el sistema social.”</w:t>
      </w:r>
    </w:p>
    <w:p>
      <w:pPr>
        <w:pStyle w:val="BodyText"/>
        <w:spacing w:before="11"/>
        <w:rPr>
          <w:sz w:val="24"/>
        </w:rPr>
      </w:pPr>
    </w:p>
    <w:p>
      <w:pPr>
        <w:pStyle w:val="BodyText"/>
        <w:spacing w:line="360" w:lineRule="auto"/>
        <w:ind w:left="102" w:right="114"/>
        <w:jc w:val="both"/>
      </w:pPr>
      <w:r>
        <w:rPr/>
        <w:t>En el mismo sentido, Larin (1993), estima que “los indicadores sociales son una serie, una batería de informaciones cuantitativas, que tienen por objeto representar por signos claros el estado de la sociedad, resaltando los trazos esenciales, reflejando las diversidades y la calidad de los cambios provocados en el orden social, la racionalidad y la eficacia”. Marcus Olson (1975), señala que: ”un indicador social es una estadística directamente normativa que, además, se inserta en un conjunto sistemático de medidas relativas a la condición de una sociedad, medidas que se obtienen por vía de clasificación o </w:t>
      </w:r>
      <w:r>
        <w:rPr>
          <w:spacing w:val="-3"/>
        </w:rPr>
        <w:t>de </w:t>
      </w:r>
      <w:r>
        <w:rPr/>
        <w:t>agregación o por el uso combinado de los dos</w:t>
      </w:r>
      <w:r>
        <w:rPr>
          <w:spacing w:val="-7"/>
        </w:rPr>
        <w:t> </w:t>
      </w:r>
      <w:r>
        <w:rPr/>
        <w:t>métodos”.</w:t>
      </w:r>
    </w:p>
    <w:p>
      <w:pPr>
        <w:pStyle w:val="BodyText"/>
        <w:spacing w:before="10"/>
        <w:rPr>
          <w:sz w:val="24"/>
        </w:rPr>
      </w:pPr>
    </w:p>
    <w:p>
      <w:pPr>
        <w:pStyle w:val="BodyText"/>
        <w:spacing w:line="360" w:lineRule="auto" w:before="1"/>
        <w:ind w:left="102" w:right="118"/>
        <w:jc w:val="both"/>
      </w:pPr>
      <w:r>
        <w:rPr/>
        <w:t>Harvey S. Perliof (1978), señala que: “un indicador social es la medida empleada normalmente para describir el estado de un elemento particular, de un factor, que forma parte de un sistema interrelacionado complejo”, por su lado Rice (1977), formula esta certera definición: ”los indicadores son instrumentos que sirven para describir estados sociales, definir problemas sociales y dibujar tendencias sociales que, por medio de la ingeniería social, se espera que puedan conducir hacia objetivos sociales formulados mediante la planificación social”.</w:t>
      </w:r>
    </w:p>
    <w:p>
      <w:pPr>
        <w:pStyle w:val="BodyText"/>
        <w:spacing w:before="11"/>
        <w:rPr>
          <w:sz w:val="24"/>
        </w:rPr>
      </w:pPr>
    </w:p>
    <w:p>
      <w:pPr>
        <w:pStyle w:val="BodyText"/>
        <w:spacing w:line="360" w:lineRule="auto"/>
        <w:ind w:left="102" w:right="115"/>
        <w:jc w:val="both"/>
      </w:pPr>
      <w:r>
        <w:rPr/>
        <w:t>Para De Vladimir Rys, (1973), “un indicador social se define como la expresión numérica directa de un fenómeno cuantificable o variable, cuya evolución rinde cuenta de otro fenómeno no cuantificable, pero que se quiere cifrar”. Por su parte, Wood (1974), opina que “el término indicador social significa el registro explícito (frecuentemente, una medida cuantitativa) de fenómenos no económicos considerados esenciales para poder comprender la naturaleza de los problemas sociales, así como la dirección de la política social”.</w:t>
      </w:r>
    </w:p>
    <w:p>
      <w:pPr>
        <w:spacing w:after="0" w:line="360" w:lineRule="auto"/>
        <w:jc w:val="both"/>
        <w:sectPr>
          <w:pgSz w:w="12240" w:h="15840"/>
          <w:pgMar w:header="0" w:footer="1003" w:top="1360" w:bottom="1200" w:left="1600" w:right="1580"/>
        </w:sectPr>
      </w:pPr>
    </w:p>
    <w:p>
      <w:pPr>
        <w:pStyle w:val="BodyText"/>
        <w:spacing w:line="360" w:lineRule="auto" w:before="56"/>
        <w:ind w:left="102" w:right="116"/>
        <w:jc w:val="both"/>
      </w:pPr>
      <w:r>
        <w:rPr/>
        <w:t>Para Edmund-Arthur Smith (1971), los indicadores sociales deberían medir el estado y los cambios a través del tiempo, en sus dimensiones o aspectos principales, las condiciones sociales que puedan ser juzgadas de forma normativa, en tanto que parte de un conjunto global e interrelacionado de medidas semejantes comprendidas en un modelo social. Su compilación y uso deberían estar ligados a los objetivos de la política pública.” En este sentido, Carmona (), formula esta definición: “un indicador social es la medida estadística de un concepto o de una dimensión de un concepto o de una parte de aquélla, basada en un análisis teórico previo e integrado en un sistema coherente de medidas semejantes, que sirva para describir el estado de la sociedad y la eficacia de las políticas sociales”.</w:t>
      </w:r>
    </w:p>
    <w:p>
      <w:pPr>
        <w:pStyle w:val="BodyText"/>
        <w:spacing w:before="11"/>
        <w:rPr>
          <w:sz w:val="24"/>
        </w:rPr>
      </w:pPr>
    </w:p>
    <w:p>
      <w:pPr>
        <w:pStyle w:val="BodyText"/>
        <w:spacing w:line="360" w:lineRule="auto"/>
        <w:ind w:left="102" w:right="118"/>
        <w:jc w:val="both"/>
      </w:pPr>
      <w:r>
        <w:rPr/>
        <w:t>En este trabajo, los indicadores sociales se establecen con la finalidad de que a través de los mismos se puedan elaborar soportes de investigación, fracciones dimensionales de concepto, criterios objetivos, signos, puntos de referencia, etc. Evidentemente, los indicadores sociales deben concluir en la sistematización formal. El sistema de repertorio de indicadores sociales resultará válido a la observación, análisis y evaluación y servirá para enmarcar nuevos y necesarios jalones en el campo de la sociología empírica.</w:t>
      </w:r>
    </w:p>
    <w:p>
      <w:pPr>
        <w:pStyle w:val="BodyText"/>
        <w:spacing w:before="10"/>
        <w:rPr>
          <w:sz w:val="24"/>
        </w:rPr>
      </w:pPr>
    </w:p>
    <w:p>
      <w:pPr>
        <w:pStyle w:val="BodyText"/>
        <w:spacing w:line="360" w:lineRule="auto"/>
        <w:ind w:left="102" w:right="113"/>
        <w:jc w:val="both"/>
      </w:pPr>
      <w:r>
        <w:rPr/>
        <w:t>Por su parte, Torregrosa (1993), se pronuncia en este sentido que: “la construcción de un sistema de indicadores es la codificación de un repertorio conceptual en su nivel operativo y, en ese sentido, supone una codificación de lo que queremos conocer y cómo queremos conocerlo. Independientemente de los problemas metodológico-técnicos que supone llegar a ese conocimiento a través de proceso de investigación, la codificación conceptual operativa, a priori, presupone unos criterios, valores y</w:t>
      </w:r>
      <w:r>
        <w:rPr>
          <w:spacing w:val="-16"/>
        </w:rPr>
        <w:t> </w:t>
      </w:r>
      <w:r>
        <w:rPr/>
        <w:t>objetivos”.</w:t>
      </w:r>
    </w:p>
    <w:p>
      <w:pPr>
        <w:pStyle w:val="BodyText"/>
        <w:spacing w:before="11"/>
        <w:rPr>
          <w:sz w:val="24"/>
        </w:rPr>
      </w:pPr>
    </w:p>
    <w:p>
      <w:pPr>
        <w:spacing w:line="360" w:lineRule="auto" w:before="0"/>
        <w:ind w:left="102" w:right="115" w:firstLine="0"/>
        <w:jc w:val="both"/>
        <w:rPr>
          <w:sz w:val="22"/>
        </w:rPr>
      </w:pPr>
      <w:r>
        <w:rPr>
          <w:sz w:val="22"/>
        </w:rPr>
        <w:t>Acorde con lo anterior, aquí se optó por la metodología de</w:t>
      </w:r>
      <w:r>
        <w:rPr>
          <w:sz w:val="24"/>
        </w:rPr>
        <w:t>l sistema de indicadores presión-estado-impacto-respuesta (PEIR)</w:t>
      </w:r>
      <w:r>
        <w:rPr>
          <w:sz w:val="22"/>
        </w:rPr>
        <w:t>, propuesta en la </w:t>
      </w:r>
      <w:r>
        <w:rPr>
          <w:i/>
          <w:sz w:val="22"/>
        </w:rPr>
        <w:t>Guía de Planeación </w:t>
      </w:r>
      <w:r>
        <w:rPr>
          <w:i/>
          <w:sz w:val="22"/>
        </w:rPr>
        <w:t>Estratégica Participativa para la Gestión Integrada de los Recursos Hídricos de la Cuenca Lerma-Chapala-Santiago</w:t>
      </w:r>
      <w:r>
        <w:rPr>
          <w:sz w:val="22"/>
        </w:rPr>
        <w:t>, ya que </w:t>
      </w:r>
      <w:r>
        <w:rPr>
          <w:sz w:val="24"/>
        </w:rPr>
        <w:t>Carlos </w:t>
      </w:r>
      <w:r>
        <w:rPr>
          <w:i/>
          <w:sz w:val="24"/>
        </w:rPr>
        <w:t>et. al. </w:t>
      </w:r>
      <w:r>
        <w:rPr>
          <w:sz w:val="24"/>
        </w:rPr>
        <w:t>(2009), señalan que </w:t>
      </w:r>
      <w:r>
        <w:rPr>
          <w:sz w:val="22"/>
        </w:rPr>
        <w:t>los esquemas de evaluación, o las mediciones aisladas que comúnmente se emplean, tienden a mostrar un sistema desarticulado entre sí, separando: el ambiente, la economía y la sociedad. Sin embargo, esta forma tradicional de medición no toma en cuenta las conexiones entre las áreas, obteniéndose como resultando que cada grupo actúe con propósitos aislados, desarticulados y en ocasiones contrapuestos.</w:t>
      </w:r>
    </w:p>
    <w:p>
      <w:pPr>
        <w:spacing w:after="0" w:line="360" w:lineRule="auto"/>
        <w:jc w:val="both"/>
        <w:rPr>
          <w:sz w:val="22"/>
        </w:rPr>
        <w:sectPr>
          <w:pgSz w:w="12240" w:h="15840"/>
          <w:pgMar w:header="0" w:footer="1003" w:top="1360" w:bottom="1200" w:left="1600" w:right="1580"/>
        </w:sectPr>
      </w:pPr>
    </w:p>
    <w:p>
      <w:pPr>
        <w:pStyle w:val="ListParagraph"/>
        <w:numPr>
          <w:ilvl w:val="1"/>
          <w:numId w:val="58"/>
        </w:numPr>
        <w:tabs>
          <w:tab w:pos="532" w:val="left" w:leader="none"/>
        </w:tabs>
        <w:spacing w:line="240" w:lineRule="auto" w:before="56" w:after="0"/>
        <w:ind w:left="531" w:right="0" w:hanging="429"/>
        <w:jc w:val="both"/>
        <w:rPr>
          <w:b/>
          <w:sz w:val="24"/>
        </w:rPr>
      </w:pPr>
      <w:bookmarkStart w:name="_TOC_250016" w:id="57"/>
      <w:r>
        <w:rPr>
          <w:b/>
          <w:sz w:val="22"/>
        </w:rPr>
        <w:t>El </w:t>
      </w:r>
      <w:r>
        <w:rPr>
          <w:b/>
          <w:sz w:val="24"/>
        </w:rPr>
        <w:t>sistema de indicadores Presión-Estado-Impacto-Respuesta</w:t>
      </w:r>
      <w:r>
        <w:rPr>
          <w:b/>
          <w:spacing w:val="-11"/>
          <w:sz w:val="24"/>
        </w:rPr>
        <w:t> </w:t>
      </w:r>
      <w:bookmarkEnd w:id="57"/>
      <w:r>
        <w:rPr>
          <w:b/>
          <w:sz w:val="24"/>
        </w:rPr>
        <w:t>(PEIR)</w:t>
      </w:r>
    </w:p>
    <w:p>
      <w:pPr>
        <w:pStyle w:val="BodyText"/>
        <w:rPr>
          <w:b/>
          <w:sz w:val="24"/>
        </w:rPr>
      </w:pPr>
    </w:p>
    <w:p>
      <w:pPr>
        <w:pStyle w:val="BodyText"/>
        <w:spacing w:line="360" w:lineRule="auto" w:before="139"/>
        <w:ind w:left="102" w:right="115"/>
        <w:jc w:val="both"/>
      </w:pPr>
      <w:r>
        <w:rPr/>
        <w:t>De acuerdo con </w:t>
      </w:r>
      <w:r>
        <w:rPr>
          <w:sz w:val="24"/>
        </w:rPr>
        <w:t>Carlos Díaz </w:t>
      </w:r>
      <w:r>
        <w:rPr>
          <w:i/>
          <w:sz w:val="24"/>
        </w:rPr>
        <w:t>et. al. </w:t>
      </w:r>
      <w:r>
        <w:rPr>
          <w:sz w:val="24"/>
        </w:rPr>
        <w:t>(2009), </w:t>
      </w:r>
      <w:r>
        <w:rPr/>
        <w:t>el esquema PEIR ha sido empleado a nivel internacional con diferentes fines desde 1979, año en que fue diseñado por </w:t>
      </w:r>
      <w:r>
        <w:rPr>
          <w:i/>
        </w:rPr>
        <w:t>Statistics </w:t>
      </w:r>
      <w:r>
        <w:rPr>
          <w:i/>
        </w:rPr>
        <w:t>Canadá</w:t>
      </w:r>
      <w:r>
        <w:rPr/>
        <w:t>. En esos años sólo se consideraba los elementos P-E-R; el aspecto I (Impacto)  ha sido añadido en tiempos recientes. Sobresaliendo su empleo por parte de la Comisión de Desarrollo Sostenible de la Organización de las Naciones Unidas (CDS-ONU) para la realización de diagnósticos y monitoreo sobre acciones para el Desarrollo</w:t>
      </w:r>
      <w:r>
        <w:rPr>
          <w:spacing w:val="-26"/>
        </w:rPr>
        <w:t> </w:t>
      </w:r>
      <w:r>
        <w:rPr/>
        <w:t>Sostenible.</w:t>
      </w:r>
    </w:p>
    <w:p>
      <w:pPr>
        <w:pStyle w:val="BodyText"/>
      </w:pPr>
    </w:p>
    <w:p>
      <w:pPr>
        <w:pStyle w:val="BodyText"/>
        <w:spacing w:line="360" w:lineRule="auto" w:before="129"/>
        <w:ind w:left="102" w:right="117"/>
        <w:jc w:val="both"/>
      </w:pPr>
      <w:r>
        <w:rPr/>
        <w:t>Este sistema de indicadores está dirigido a responder preguntas clave sobre las interacciones entre el ambiente y los factores sociales, culturales y económicos. Las respuestas son importantes para la toma de decisiones y la definición de políticas públicas, así como para la sociedad en</w:t>
      </w:r>
      <w:r>
        <w:rPr>
          <w:spacing w:val="-8"/>
        </w:rPr>
        <w:t> </w:t>
      </w:r>
      <w:r>
        <w:rPr/>
        <w:t>general.</w:t>
      </w:r>
    </w:p>
    <w:p>
      <w:pPr>
        <w:pStyle w:val="BodyText"/>
      </w:pPr>
    </w:p>
    <w:p>
      <w:pPr>
        <w:pStyle w:val="BodyText"/>
        <w:spacing w:line="360" w:lineRule="auto" w:before="132"/>
        <w:ind w:left="102" w:right="118"/>
        <w:jc w:val="both"/>
      </w:pPr>
      <w:r>
        <w:rPr/>
        <w:t>El ambiente o sistema ambiental, es una compleja red con interacciones entre sus componentes, por lo que se hace evidente la necesidad de identificar los componentes esenciales y definir indicadores que proporcionen información completa y confiable respecto a la funcionalidad y viabilidad, de cada componente y del sistema total,  facilitando el modelar, expresar y gestionar dichas condiciones. Así, por ejemplo:  la calidad del aire y del agua, influyen en la calidad de otros recursos naturales, los cuales a su vez son empleados como materiales de producción y consumo, afectando de la misma manera a las personas quienes tienen que contar con un trabajo, siendo que este último relacionado con la salud humana y los niveles de</w:t>
      </w:r>
      <w:r>
        <w:rPr>
          <w:spacing w:val="-14"/>
        </w:rPr>
        <w:t> </w:t>
      </w:r>
      <w:r>
        <w:rPr/>
        <w:t>pobreza.</w:t>
      </w:r>
    </w:p>
    <w:p>
      <w:pPr>
        <w:pStyle w:val="BodyText"/>
        <w:spacing w:before="3"/>
        <w:ind w:left="102"/>
        <w:jc w:val="both"/>
      </w:pPr>
      <w:r>
        <w:rPr/>
        <w:t>Las preguntas básicas para reportar la situación de la cuenca son:</w:t>
      </w:r>
    </w:p>
    <w:p>
      <w:pPr>
        <w:pStyle w:val="ListParagraph"/>
        <w:numPr>
          <w:ilvl w:val="0"/>
          <w:numId w:val="32"/>
        </w:numPr>
        <w:tabs>
          <w:tab w:pos="326" w:val="left" w:leader="none"/>
        </w:tabs>
        <w:spacing w:line="240" w:lineRule="auto" w:before="126" w:after="0"/>
        <w:ind w:left="325" w:right="0" w:hanging="223"/>
        <w:jc w:val="both"/>
        <w:rPr>
          <w:sz w:val="22"/>
        </w:rPr>
      </w:pPr>
      <w:r>
        <w:rPr>
          <w:sz w:val="22"/>
        </w:rPr>
        <w:t>¿Qué  está  pasando?  ≈  ¿Cuáles  son  las  condiciones  y  tendencias    </w:t>
      </w:r>
      <w:r>
        <w:rPr>
          <w:spacing w:val="36"/>
          <w:sz w:val="22"/>
        </w:rPr>
        <w:t> </w:t>
      </w:r>
      <w:r>
        <w:rPr>
          <w:sz w:val="22"/>
        </w:rPr>
        <w:t>ambientales?</w:t>
      </w:r>
    </w:p>
    <w:p>
      <w:pPr>
        <w:pStyle w:val="Heading6"/>
        <w:spacing w:before="124"/>
        <w:jc w:val="both"/>
        <w:rPr>
          <w:b w:val="0"/>
        </w:rPr>
      </w:pPr>
      <w:r>
        <w:rPr/>
        <w:t>(Estado)</w:t>
      </w:r>
      <w:r>
        <w:rPr>
          <w:b w:val="0"/>
        </w:rPr>
        <w:t>.</w:t>
      </w:r>
    </w:p>
    <w:p>
      <w:pPr>
        <w:pStyle w:val="ListParagraph"/>
        <w:numPr>
          <w:ilvl w:val="0"/>
          <w:numId w:val="32"/>
        </w:numPr>
        <w:tabs>
          <w:tab w:pos="292" w:val="left" w:leader="none"/>
        </w:tabs>
        <w:spacing w:line="240" w:lineRule="auto" w:before="128" w:after="0"/>
        <w:ind w:left="291" w:right="0" w:hanging="189"/>
        <w:jc w:val="both"/>
        <w:rPr>
          <w:sz w:val="22"/>
        </w:rPr>
      </w:pPr>
      <w:r>
        <w:rPr>
          <w:sz w:val="22"/>
        </w:rPr>
        <w:t>¿Por qué  está  pasando?  ≈  ¿Cuáles  son  las causas  humanas  y naturales  de </w:t>
      </w:r>
      <w:r>
        <w:rPr>
          <w:spacing w:val="31"/>
          <w:sz w:val="22"/>
        </w:rPr>
        <w:t> </w:t>
      </w:r>
      <w:r>
        <w:rPr>
          <w:sz w:val="22"/>
        </w:rPr>
        <w:t>estos</w:t>
      </w:r>
    </w:p>
    <w:p>
      <w:pPr>
        <w:spacing w:before="124"/>
        <w:ind w:left="102" w:right="0" w:firstLine="0"/>
        <w:jc w:val="both"/>
        <w:rPr>
          <w:sz w:val="22"/>
        </w:rPr>
      </w:pPr>
      <w:r>
        <w:rPr>
          <w:sz w:val="22"/>
        </w:rPr>
        <w:t>cambios? </w:t>
      </w:r>
      <w:r>
        <w:rPr>
          <w:b/>
          <w:sz w:val="22"/>
        </w:rPr>
        <w:t>(Presión, Estado)</w:t>
      </w:r>
      <w:r>
        <w:rPr>
          <w:sz w:val="22"/>
        </w:rPr>
        <w:t>.</w:t>
      </w:r>
    </w:p>
    <w:p>
      <w:pPr>
        <w:pStyle w:val="ListParagraph"/>
        <w:numPr>
          <w:ilvl w:val="0"/>
          <w:numId w:val="32"/>
        </w:numPr>
        <w:tabs>
          <w:tab w:pos="266" w:val="left" w:leader="none"/>
        </w:tabs>
        <w:spacing w:line="240" w:lineRule="auto" w:before="128" w:after="0"/>
        <w:ind w:left="265" w:right="0" w:hanging="163"/>
        <w:jc w:val="both"/>
        <w:rPr>
          <w:sz w:val="22"/>
        </w:rPr>
      </w:pPr>
      <w:r>
        <w:rPr>
          <w:sz w:val="22"/>
        </w:rPr>
        <w:t>¿Los</w:t>
      </w:r>
      <w:r>
        <w:rPr>
          <w:spacing w:val="20"/>
          <w:sz w:val="22"/>
        </w:rPr>
        <w:t> </w:t>
      </w:r>
      <w:r>
        <w:rPr>
          <w:sz w:val="22"/>
        </w:rPr>
        <w:t>cambios</w:t>
      </w:r>
      <w:r>
        <w:rPr>
          <w:spacing w:val="20"/>
          <w:sz w:val="22"/>
        </w:rPr>
        <w:t> </w:t>
      </w:r>
      <w:r>
        <w:rPr>
          <w:sz w:val="22"/>
        </w:rPr>
        <w:t>son</w:t>
      </w:r>
      <w:r>
        <w:rPr>
          <w:spacing w:val="20"/>
          <w:sz w:val="22"/>
        </w:rPr>
        <w:t> </w:t>
      </w:r>
      <w:r>
        <w:rPr>
          <w:sz w:val="22"/>
        </w:rPr>
        <w:t>significativos?</w:t>
      </w:r>
      <w:r>
        <w:rPr>
          <w:spacing w:val="22"/>
          <w:sz w:val="22"/>
        </w:rPr>
        <w:t> </w:t>
      </w:r>
      <w:r>
        <w:rPr>
          <w:sz w:val="22"/>
        </w:rPr>
        <w:t>≈</w:t>
      </w:r>
      <w:r>
        <w:rPr>
          <w:spacing w:val="21"/>
          <w:sz w:val="22"/>
        </w:rPr>
        <w:t> </w:t>
      </w:r>
      <w:r>
        <w:rPr>
          <w:sz w:val="22"/>
        </w:rPr>
        <w:t>¿Cuáles</w:t>
      </w:r>
      <w:r>
        <w:rPr>
          <w:spacing w:val="20"/>
          <w:sz w:val="22"/>
        </w:rPr>
        <w:t> </w:t>
      </w:r>
      <w:r>
        <w:rPr>
          <w:sz w:val="22"/>
        </w:rPr>
        <w:t>son</w:t>
      </w:r>
      <w:r>
        <w:rPr>
          <w:spacing w:val="22"/>
          <w:sz w:val="22"/>
        </w:rPr>
        <w:t> </w:t>
      </w:r>
      <w:r>
        <w:rPr>
          <w:sz w:val="22"/>
        </w:rPr>
        <w:t>sus</w:t>
      </w:r>
      <w:r>
        <w:rPr>
          <w:spacing w:val="20"/>
          <w:sz w:val="22"/>
        </w:rPr>
        <w:t> </w:t>
      </w:r>
      <w:r>
        <w:rPr>
          <w:sz w:val="22"/>
        </w:rPr>
        <w:t>implicaciones</w:t>
      </w:r>
      <w:r>
        <w:rPr>
          <w:spacing w:val="20"/>
          <w:sz w:val="22"/>
        </w:rPr>
        <w:t> </w:t>
      </w:r>
      <w:r>
        <w:rPr>
          <w:sz w:val="22"/>
        </w:rPr>
        <w:t>en</w:t>
      </w:r>
      <w:r>
        <w:rPr>
          <w:spacing w:val="20"/>
          <w:sz w:val="22"/>
        </w:rPr>
        <w:t> </w:t>
      </w:r>
      <w:r>
        <w:rPr>
          <w:sz w:val="22"/>
        </w:rPr>
        <w:t>temas</w:t>
      </w:r>
      <w:r>
        <w:rPr>
          <w:spacing w:val="20"/>
          <w:sz w:val="22"/>
        </w:rPr>
        <w:t> </w:t>
      </w:r>
      <w:r>
        <w:rPr>
          <w:sz w:val="22"/>
        </w:rPr>
        <w:t>de</w:t>
      </w:r>
      <w:r>
        <w:rPr>
          <w:spacing w:val="20"/>
          <w:sz w:val="22"/>
        </w:rPr>
        <w:t> </w:t>
      </w:r>
      <w:r>
        <w:rPr>
          <w:sz w:val="22"/>
        </w:rPr>
        <w:t>salud,</w:t>
      </w:r>
    </w:p>
    <w:p>
      <w:pPr>
        <w:spacing w:before="124"/>
        <w:ind w:left="102" w:right="0" w:firstLine="0"/>
        <w:jc w:val="both"/>
        <w:rPr>
          <w:sz w:val="22"/>
        </w:rPr>
      </w:pPr>
      <w:r>
        <w:rPr>
          <w:sz w:val="22"/>
        </w:rPr>
        <w:t>economía, sociedad y ecología? </w:t>
      </w:r>
      <w:r>
        <w:rPr>
          <w:b/>
          <w:sz w:val="22"/>
        </w:rPr>
        <w:t>(Impactos)</w:t>
      </w:r>
      <w:r>
        <w:rPr>
          <w:sz w:val="22"/>
        </w:rPr>
        <w:t>.</w:t>
      </w:r>
    </w:p>
    <w:p>
      <w:pPr>
        <w:pStyle w:val="ListParagraph"/>
        <w:numPr>
          <w:ilvl w:val="0"/>
          <w:numId w:val="32"/>
        </w:numPr>
        <w:tabs>
          <w:tab w:pos="249" w:val="left" w:leader="none"/>
        </w:tabs>
        <w:spacing w:line="360" w:lineRule="auto" w:before="128" w:after="0"/>
        <w:ind w:left="102" w:right="115" w:firstLine="0"/>
        <w:jc w:val="both"/>
        <w:rPr>
          <w:b/>
          <w:sz w:val="22"/>
        </w:rPr>
      </w:pPr>
      <w:r>
        <w:rPr>
          <w:sz w:val="22"/>
        </w:rPr>
        <w:t>¿Cuál es y cuál debería ser nuestra respuesta? ¿qué pasa si no actuamos ahora? ¿qué podemos hacer y qué haremos al respecto? ≈ ¿Cuáles son las implicaciones ambientales de la respuesta social?</w:t>
      </w:r>
      <w:r>
        <w:rPr>
          <w:spacing w:val="-8"/>
          <w:sz w:val="22"/>
        </w:rPr>
        <w:t> </w:t>
      </w:r>
      <w:r>
        <w:rPr>
          <w:b/>
          <w:sz w:val="22"/>
        </w:rPr>
        <w:t>(Respuestas).</w:t>
      </w:r>
    </w:p>
    <w:p>
      <w:pPr>
        <w:spacing w:after="0" w:line="360" w:lineRule="auto"/>
        <w:jc w:val="both"/>
        <w:rPr>
          <w:sz w:val="22"/>
        </w:rPr>
        <w:sectPr>
          <w:pgSz w:w="12240" w:h="15840"/>
          <w:pgMar w:header="0" w:footer="1003" w:top="1360" w:bottom="1200" w:left="1600" w:right="1580"/>
        </w:sectPr>
      </w:pPr>
    </w:p>
    <w:p>
      <w:pPr>
        <w:pStyle w:val="BodyText"/>
        <w:spacing w:line="360" w:lineRule="auto" w:before="56"/>
        <w:ind w:left="102" w:right="120"/>
        <w:jc w:val="both"/>
      </w:pPr>
      <w:r>
        <w:rPr/>
        <w:t>Por operatividad del modelo PEIR, se hace necesario identificar indicadores e índices.  Así, los indicadores ayudan a construir una caracterización integrada del estado de la cuenca, y sobre el cual se pueden tomar decisiones adecuadas para proteger y promover, en este caso, el agua y su entorno</w:t>
      </w:r>
      <w:r>
        <w:rPr>
          <w:spacing w:val="-13"/>
        </w:rPr>
        <w:t> </w:t>
      </w:r>
      <w:r>
        <w:rPr/>
        <w:t>socioeconómico.</w:t>
      </w:r>
    </w:p>
    <w:p>
      <w:pPr>
        <w:pStyle w:val="BodyText"/>
      </w:pPr>
    </w:p>
    <w:p>
      <w:pPr>
        <w:pStyle w:val="BodyText"/>
        <w:spacing w:line="360" w:lineRule="auto" w:before="129"/>
        <w:ind w:left="102" w:right="114"/>
        <w:jc w:val="both"/>
      </w:pPr>
      <w:r>
        <w:rPr/>
        <w:t>Los indicadores además, facilitan la orientación dentro de un sistema complejo; pues de una enorme y compleja cantidad de información e incertidumbre, se sintetiza en un subconjunto de observaciones que expresan los resultados, de tal manera que se facilita la toma de decisiones y de gestión, ofreciendo un bosquejo de las tendencias, tiene el potencial de reducir el nivel de incertidumbre asociado con la toma de decisiones (un histórico, permite predecir comportamientos y</w:t>
      </w:r>
      <w:r>
        <w:rPr>
          <w:spacing w:val="-17"/>
        </w:rPr>
        <w:t> </w:t>
      </w:r>
      <w:r>
        <w:rPr/>
        <w:t>reduce).</w:t>
      </w:r>
    </w:p>
    <w:p>
      <w:pPr>
        <w:pStyle w:val="BodyText"/>
      </w:pPr>
    </w:p>
    <w:p>
      <w:pPr>
        <w:pStyle w:val="BodyText"/>
        <w:spacing w:line="360" w:lineRule="auto" w:before="129"/>
        <w:ind w:left="102" w:right="112"/>
        <w:jc w:val="both"/>
      </w:pPr>
      <w:r>
        <w:rPr/>
        <w:t>Para nuestro caso de estudio, la identificación y definición del esquema de indicadores PEIR, para llevar a cabo el análisis de la situación de la cuenca y en sí para el proceso GIRH, mediante la gobernanza y gobernabilidad que se desea implementar, se realizó trabajo de gabinete y trabajo de campo intensivo y extensivo; en este último, se hizo a través de la identificación de grupos ya establecidos en la cuenca hidrosocial presa Huapango (grupos de actores) para recabar información directa a través entrevistas e historias de vida como la mejor opción, ya que no existe una fórmula estándar para la conformación de un esquema de indicadores. Por lo tanto, aquí la experiencia y el conocimiento de los especialistas, son factores que intervienen en su diseño, selección, desarrollo y presentación. No obstante, se deberá proveer indicadores que no sólo optimicen el entendimiento limitado de los sistemas analizados, sino además, proporcionen información relevante y apropiada a los usuarios y por los</w:t>
      </w:r>
      <w:r>
        <w:rPr>
          <w:spacing w:val="-19"/>
        </w:rPr>
        <w:t> </w:t>
      </w:r>
      <w:r>
        <w:rPr/>
        <w:t>usuarios.</w:t>
      </w:r>
    </w:p>
    <w:p>
      <w:pPr>
        <w:pStyle w:val="BodyText"/>
      </w:pPr>
    </w:p>
    <w:p>
      <w:pPr>
        <w:pStyle w:val="BodyText"/>
        <w:spacing w:line="360" w:lineRule="auto" w:before="132"/>
        <w:ind w:left="102" w:right="115"/>
        <w:jc w:val="both"/>
      </w:pPr>
      <w:r>
        <w:rPr/>
        <w:t>Un indicador puede ser una variable observable la cual sirve para analizar una realidad no observable. Mientras que un índice puede ser un indicador sintético construido por la agregación de indicadores básicos y las características que debe cumplir un indicador  son:</w:t>
      </w:r>
    </w:p>
    <w:p>
      <w:pPr>
        <w:pStyle w:val="ListParagraph"/>
        <w:numPr>
          <w:ilvl w:val="1"/>
          <w:numId w:val="32"/>
        </w:numPr>
        <w:tabs>
          <w:tab w:pos="821" w:val="left" w:leader="none"/>
          <w:tab w:pos="822" w:val="left" w:leader="none"/>
        </w:tabs>
        <w:spacing w:line="350" w:lineRule="auto" w:before="3" w:after="0"/>
        <w:ind w:left="822" w:right="120" w:hanging="360"/>
        <w:jc w:val="left"/>
        <w:rPr>
          <w:sz w:val="22"/>
        </w:rPr>
      </w:pPr>
      <w:r>
        <w:rPr>
          <w:sz w:val="22"/>
        </w:rPr>
        <w:t>Expresar umbrales bien definidos que permitan un análisis objetivo y la toma de decisiones,</w:t>
      </w:r>
    </w:p>
    <w:p>
      <w:pPr>
        <w:pStyle w:val="ListParagraph"/>
        <w:numPr>
          <w:ilvl w:val="1"/>
          <w:numId w:val="32"/>
        </w:numPr>
        <w:tabs>
          <w:tab w:pos="821" w:val="left" w:leader="none"/>
          <w:tab w:pos="822" w:val="left" w:leader="none"/>
        </w:tabs>
        <w:spacing w:line="240" w:lineRule="auto" w:before="12" w:after="0"/>
        <w:ind w:left="822" w:right="0" w:hanging="360"/>
        <w:jc w:val="left"/>
        <w:rPr>
          <w:sz w:val="22"/>
        </w:rPr>
      </w:pPr>
      <w:r>
        <w:rPr>
          <w:sz w:val="22"/>
        </w:rPr>
        <w:t>Ser</w:t>
      </w:r>
      <w:r>
        <w:rPr>
          <w:spacing w:val="-9"/>
          <w:sz w:val="22"/>
        </w:rPr>
        <w:t> </w:t>
      </w:r>
      <w:r>
        <w:rPr>
          <w:sz w:val="22"/>
        </w:rPr>
        <w:t>actualizable,</w:t>
      </w:r>
    </w:p>
    <w:p>
      <w:pPr>
        <w:pStyle w:val="ListParagraph"/>
        <w:numPr>
          <w:ilvl w:val="1"/>
          <w:numId w:val="32"/>
        </w:numPr>
        <w:tabs>
          <w:tab w:pos="821" w:val="left" w:leader="none"/>
          <w:tab w:pos="822" w:val="left" w:leader="none"/>
        </w:tabs>
        <w:spacing w:line="240" w:lineRule="auto" w:before="126" w:after="0"/>
        <w:ind w:left="822" w:right="0" w:hanging="360"/>
        <w:jc w:val="left"/>
        <w:rPr>
          <w:sz w:val="22"/>
        </w:rPr>
      </w:pPr>
      <w:r>
        <w:rPr>
          <w:sz w:val="22"/>
        </w:rPr>
        <w:t>Transmitir  el  mensaje  de  forma  directa  y  “personal”,  Simplificar  el  proceso</w:t>
      </w:r>
      <w:r>
        <w:rPr>
          <w:spacing w:val="-9"/>
          <w:sz w:val="22"/>
        </w:rPr>
        <w:t> </w:t>
      </w:r>
      <w:r>
        <w:rPr>
          <w:sz w:val="22"/>
        </w:rPr>
        <w:t>de</w:t>
      </w:r>
    </w:p>
    <w:p>
      <w:pPr>
        <w:pStyle w:val="BodyText"/>
        <w:spacing w:before="124"/>
        <w:ind w:left="821"/>
      </w:pPr>
      <w:r>
        <w:rPr/>
        <w:t>comunicación al transmitir la información.</w:t>
      </w:r>
    </w:p>
    <w:p>
      <w:pPr>
        <w:spacing w:after="0"/>
        <w:sectPr>
          <w:pgSz w:w="12240" w:h="15840"/>
          <w:pgMar w:header="0" w:footer="1003" w:top="1360" w:bottom="1200" w:left="1600" w:right="1580"/>
        </w:sectPr>
      </w:pPr>
    </w:p>
    <w:p>
      <w:pPr>
        <w:pStyle w:val="ListParagraph"/>
        <w:numPr>
          <w:ilvl w:val="1"/>
          <w:numId w:val="32"/>
        </w:numPr>
        <w:tabs>
          <w:tab w:pos="822" w:val="left" w:leader="none"/>
        </w:tabs>
        <w:spacing w:line="355" w:lineRule="auto" w:before="35" w:after="0"/>
        <w:ind w:left="822" w:right="120" w:hanging="360"/>
        <w:jc w:val="both"/>
        <w:rPr>
          <w:sz w:val="22"/>
        </w:rPr>
      </w:pPr>
      <w:r>
        <w:rPr>
          <w:sz w:val="22"/>
        </w:rPr>
        <w:t>Ser un buen sustento metodológico, que permita reducir el número de medidas requeridas para dar una imagen representativa y significativa del estado de la cuenca.</w:t>
      </w:r>
    </w:p>
    <w:p>
      <w:pPr>
        <w:pStyle w:val="BodyText"/>
      </w:pPr>
    </w:p>
    <w:p>
      <w:pPr>
        <w:pStyle w:val="BodyText"/>
        <w:spacing w:before="134"/>
        <w:ind w:left="102"/>
      </w:pPr>
      <w:r>
        <w:rPr/>
        <w:t>Los indicadores, para su uso deben tener:</w:t>
      </w:r>
    </w:p>
    <w:p>
      <w:pPr>
        <w:pStyle w:val="ListParagraph"/>
        <w:numPr>
          <w:ilvl w:val="1"/>
          <w:numId w:val="32"/>
        </w:numPr>
        <w:tabs>
          <w:tab w:pos="821" w:val="left" w:leader="none"/>
          <w:tab w:pos="822" w:val="left" w:leader="none"/>
        </w:tabs>
        <w:spacing w:line="350" w:lineRule="auto" w:before="128" w:after="0"/>
        <w:ind w:left="822" w:right="117" w:hanging="360"/>
        <w:jc w:val="left"/>
        <w:rPr>
          <w:sz w:val="22"/>
        </w:rPr>
      </w:pPr>
      <w:r>
        <w:rPr>
          <w:sz w:val="22"/>
        </w:rPr>
        <w:t>Relevancia estratégica.- Deben obtenerse de los objetivos estratégicos y medir su grado de cumplimiento, el cual deberá representar un impacto</w:t>
      </w:r>
      <w:r>
        <w:rPr>
          <w:spacing w:val="-22"/>
          <w:sz w:val="22"/>
        </w:rPr>
        <w:t> </w:t>
      </w:r>
      <w:r>
        <w:rPr>
          <w:sz w:val="22"/>
        </w:rPr>
        <w:t>relevante.</w:t>
      </w:r>
    </w:p>
    <w:p>
      <w:pPr>
        <w:pStyle w:val="BodyText"/>
        <w:spacing w:line="360" w:lineRule="auto" w:before="13"/>
        <w:ind w:left="821" w:right="194"/>
      </w:pPr>
      <w:r>
        <w:rPr/>
        <w:t>Claridad.- Deben ser entendibles, comprensibles y preferentemente fáciles de definir.</w:t>
      </w:r>
    </w:p>
    <w:p>
      <w:pPr>
        <w:pStyle w:val="ListParagraph"/>
        <w:numPr>
          <w:ilvl w:val="1"/>
          <w:numId w:val="32"/>
        </w:numPr>
        <w:tabs>
          <w:tab w:pos="821" w:val="left" w:leader="none"/>
          <w:tab w:pos="822" w:val="left" w:leader="none"/>
        </w:tabs>
        <w:spacing w:line="350" w:lineRule="auto" w:before="3" w:after="0"/>
        <w:ind w:left="822" w:right="120" w:hanging="360"/>
        <w:jc w:val="left"/>
        <w:rPr>
          <w:sz w:val="22"/>
        </w:rPr>
      </w:pPr>
      <w:r>
        <w:rPr>
          <w:sz w:val="22"/>
        </w:rPr>
        <w:t>Eficiencia y eficacia.- Deben estar orientados a la eficiencia y eficacia de los procesos que</w:t>
      </w:r>
      <w:r>
        <w:rPr>
          <w:spacing w:val="-3"/>
          <w:sz w:val="22"/>
        </w:rPr>
        <w:t> </w:t>
      </w:r>
      <w:r>
        <w:rPr>
          <w:sz w:val="22"/>
        </w:rPr>
        <w:t>miden.</w:t>
      </w:r>
    </w:p>
    <w:p>
      <w:pPr>
        <w:pStyle w:val="ListParagraph"/>
        <w:numPr>
          <w:ilvl w:val="1"/>
          <w:numId w:val="32"/>
        </w:numPr>
        <w:tabs>
          <w:tab w:pos="884" w:val="left" w:leader="none"/>
          <w:tab w:pos="885" w:val="left" w:leader="none"/>
        </w:tabs>
        <w:spacing w:line="240" w:lineRule="auto" w:before="15" w:after="0"/>
        <w:ind w:left="884" w:right="0" w:hanging="422"/>
        <w:jc w:val="left"/>
        <w:rPr>
          <w:sz w:val="22"/>
        </w:rPr>
      </w:pPr>
      <w:r>
        <w:rPr>
          <w:sz w:val="22"/>
        </w:rPr>
        <w:t>Consistencia.- Deben mantenerse consistentes en el tiempo y ser</w:t>
      </w:r>
      <w:r>
        <w:rPr>
          <w:spacing w:val="-20"/>
          <w:sz w:val="22"/>
        </w:rPr>
        <w:t> </w:t>
      </w:r>
      <w:r>
        <w:rPr>
          <w:sz w:val="22"/>
        </w:rPr>
        <w:t>operables.</w:t>
      </w:r>
    </w:p>
    <w:p>
      <w:pPr>
        <w:pStyle w:val="ListParagraph"/>
        <w:numPr>
          <w:ilvl w:val="1"/>
          <w:numId w:val="32"/>
        </w:numPr>
        <w:tabs>
          <w:tab w:pos="821" w:val="left" w:leader="none"/>
          <w:tab w:pos="822" w:val="left" w:leader="none"/>
        </w:tabs>
        <w:spacing w:line="350" w:lineRule="auto" w:before="124" w:after="0"/>
        <w:ind w:left="822" w:right="113" w:hanging="360"/>
        <w:jc w:val="left"/>
        <w:rPr>
          <w:sz w:val="22"/>
        </w:rPr>
      </w:pPr>
      <w:r>
        <w:rPr>
          <w:sz w:val="22"/>
        </w:rPr>
        <w:t>Accesibilidad.- Su cumplimiento debe ser accesible en el corto, mediano o largo plazo.</w:t>
      </w:r>
    </w:p>
    <w:p>
      <w:pPr>
        <w:pStyle w:val="BodyText"/>
      </w:pPr>
    </w:p>
    <w:p>
      <w:pPr>
        <w:pStyle w:val="BodyText"/>
        <w:spacing w:before="139"/>
        <w:ind w:left="102"/>
      </w:pPr>
      <w:r>
        <w:rPr/>
        <w:t>Debe buscarse que el indicador sea:</w:t>
      </w:r>
    </w:p>
    <w:p>
      <w:pPr>
        <w:pStyle w:val="ListParagraph"/>
        <w:numPr>
          <w:ilvl w:val="1"/>
          <w:numId w:val="32"/>
        </w:numPr>
        <w:tabs>
          <w:tab w:pos="821" w:val="left" w:leader="none"/>
          <w:tab w:pos="822" w:val="left" w:leader="none"/>
        </w:tabs>
        <w:spacing w:line="350" w:lineRule="auto" w:before="128" w:after="0"/>
        <w:ind w:left="822" w:right="120" w:hanging="360"/>
        <w:jc w:val="left"/>
        <w:rPr>
          <w:sz w:val="22"/>
        </w:rPr>
      </w:pPr>
      <w:r>
        <w:rPr>
          <w:sz w:val="22"/>
        </w:rPr>
        <w:t>Mesurable: Su medición debe permitir dar seguimiento a su evolución de manera clara y</w:t>
      </w:r>
      <w:r>
        <w:rPr>
          <w:spacing w:val="-6"/>
          <w:sz w:val="22"/>
        </w:rPr>
        <w:t> </w:t>
      </w:r>
      <w:r>
        <w:rPr>
          <w:sz w:val="22"/>
        </w:rPr>
        <w:t>sencilla.</w:t>
      </w:r>
    </w:p>
    <w:p>
      <w:pPr>
        <w:pStyle w:val="ListParagraph"/>
        <w:numPr>
          <w:ilvl w:val="1"/>
          <w:numId w:val="32"/>
        </w:numPr>
        <w:tabs>
          <w:tab w:pos="821" w:val="left" w:leader="none"/>
          <w:tab w:pos="822" w:val="left" w:leader="none"/>
        </w:tabs>
        <w:spacing w:line="350" w:lineRule="auto" w:before="13" w:after="0"/>
        <w:ind w:left="822" w:right="120" w:hanging="360"/>
        <w:jc w:val="left"/>
        <w:rPr>
          <w:sz w:val="22"/>
        </w:rPr>
      </w:pPr>
      <w:r>
        <w:rPr>
          <w:sz w:val="22"/>
        </w:rPr>
        <w:t>Práctico: Su definición y uso debe tener un sentido práctico, para que sea posible identificar de forma sencilla su forma de</w:t>
      </w:r>
      <w:r>
        <w:rPr>
          <w:spacing w:val="-13"/>
          <w:sz w:val="22"/>
        </w:rPr>
        <w:t> </w:t>
      </w:r>
      <w:r>
        <w:rPr>
          <w:sz w:val="22"/>
        </w:rPr>
        <w:t>uso.</w:t>
      </w:r>
    </w:p>
    <w:p>
      <w:pPr>
        <w:pStyle w:val="ListParagraph"/>
        <w:numPr>
          <w:ilvl w:val="1"/>
          <w:numId w:val="32"/>
        </w:numPr>
        <w:tabs>
          <w:tab w:pos="821" w:val="left" w:leader="none"/>
          <w:tab w:pos="822" w:val="left" w:leader="none"/>
        </w:tabs>
        <w:spacing w:line="352" w:lineRule="auto" w:before="12" w:after="0"/>
        <w:ind w:left="822" w:right="120" w:hanging="360"/>
        <w:jc w:val="left"/>
        <w:rPr>
          <w:sz w:val="22"/>
        </w:rPr>
      </w:pPr>
      <w:r>
        <w:rPr>
          <w:sz w:val="22"/>
        </w:rPr>
        <w:t>Una variable observable que permite analizar, explicar y comprender una realidad no necesariamente observable a simple</w:t>
      </w:r>
      <w:r>
        <w:rPr>
          <w:spacing w:val="-13"/>
          <w:sz w:val="22"/>
        </w:rPr>
        <w:t> </w:t>
      </w:r>
      <w:r>
        <w:rPr>
          <w:sz w:val="22"/>
        </w:rPr>
        <w:t>vista.</w:t>
      </w:r>
    </w:p>
    <w:p>
      <w:pPr>
        <w:pStyle w:val="ListParagraph"/>
        <w:numPr>
          <w:ilvl w:val="1"/>
          <w:numId w:val="32"/>
        </w:numPr>
        <w:tabs>
          <w:tab w:pos="821" w:val="left" w:leader="none"/>
          <w:tab w:pos="822" w:val="left" w:leader="none"/>
        </w:tabs>
        <w:spacing w:line="240" w:lineRule="auto" w:before="10" w:after="0"/>
        <w:ind w:left="822" w:right="0" w:hanging="360"/>
        <w:jc w:val="left"/>
        <w:rPr>
          <w:sz w:val="22"/>
        </w:rPr>
      </w:pPr>
      <w:r>
        <w:rPr>
          <w:sz w:val="22"/>
        </w:rPr>
        <w:t>Una herramienta para modelar un fenómeno o</w:t>
      </w:r>
      <w:r>
        <w:rPr>
          <w:spacing w:val="-12"/>
          <w:sz w:val="22"/>
        </w:rPr>
        <w:t> </w:t>
      </w:r>
      <w:r>
        <w:rPr>
          <w:sz w:val="22"/>
        </w:rPr>
        <w:t>proceso.</w:t>
      </w:r>
    </w:p>
    <w:p>
      <w:pPr>
        <w:pStyle w:val="ListParagraph"/>
        <w:numPr>
          <w:ilvl w:val="1"/>
          <w:numId w:val="32"/>
        </w:numPr>
        <w:tabs>
          <w:tab w:pos="821" w:val="left" w:leader="none"/>
          <w:tab w:pos="822" w:val="left" w:leader="none"/>
        </w:tabs>
        <w:spacing w:line="240" w:lineRule="auto" w:before="124" w:after="0"/>
        <w:ind w:left="822" w:right="0" w:hanging="360"/>
        <w:jc w:val="left"/>
        <w:rPr>
          <w:sz w:val="22"/>
        </w:rPr>
      </w:pPr>
      <w:r>
        <w:rPr>
          <w:sz w:val="22"/>
        </w:rPr>
        <w:t>Un instrumento para medir avances y</w:t>
      </w:r>
      <w:r>
        <w:rPr>
          <w:spacing w:val="-13"/>
          <w:sz w:val="22"/>
        </w:rPr>
        <w:t> </w:t>
      </w:r>
      <w:r>
        <w:rPr>
          <w:sz w:val="22"/>
        </w:rPr>
        <w:t>progresos.</w:t>
      </w:r>
    </w:p>
    <w:p>
      <w:pPr>
        <w:pStyle w:val="ListParagraph"/>
        <w:numPr>
          <w:ilvl w:val="1"/>
          <w:numId w:val="32"/>
        </w:numPr>
        <w:tabs>
          <w:tab w:pos="821" w:val="left" w:leader="none"/>
          <w:tab w:pos="822" w:val="left" w:leader="none"/>
        </w:tabs>
        <w:spacing w:line="240" w:lineRule="auto" w:before="124" w:after="0"/>
        <w:ind w:left="822" w:right="0" w:hanging="360"/>
        <w:jc w:val="left"/>
        <w:rPr>
          <w:sz w:val="22"/>
        </w:rPr>
      </w:pPr>
      <w:r>
        <w:rPr>
          <w:sz w:val="22"/>
        </w:rPr>
        <w:t>Una vía para transmitir información y conocimiento a la</w:t>
      </w:r>
      <w:r>
        <w:rPr>
          <w:spacing w:val="-21"/>
          <w:sz w:val="22"/>
        </w:rPr>
        <w:t> </w:t>
      </w:r>
      <w:r>
        <w:rPr>
          <w:sz w:val="22"/>
        </w:rPr>
        <w:t>población.</w:t>
      </w:r>
    </w:p>
    <w:p>
      <w:pPr>
        <w:pStyle w:val="ListParagraph"/>
        <w:numPr>
          <w:ilvl w:val="1"/>
          <w:numId w:val="32"/>
        </w:numPr>
        <w:tabs>
          <w:tab w:pos="821" w:val="left" w:leader="none"/>
          <w:tab w:pos="822" w:val="left" w:leader="none"/>
        </w:tabs>
        <w:spacing w:line="240" w:lineRule="auto" w:before="126" w:after="0"/>
        <w:ind w:left="822" w:right="0" w:hanging="360"/>
        <w:jc w:val="left"/>
        <w:rPr>
          <w:sz w:val="22"/>
        </w:rPr>
      </w:pPr>
      <w:r>
        <w:rPr>
          <w:sz w:val="22"/>
        </w:rPr>
        <w:t>Un elemento que muestre vínculos</w:t>
      </w:r>
      <w:r>
        <w:rPr>
          <w:spacing w:val="-8"/>
          <w:sz w:val="22"/>
        </w:rPr>
        <w:t> </w:t>
      </w:r>
      <w:r>
        <w:rPr>
          <w:sz w:val="22"/>
        </w:rPr>
        <w:t>causa-efecto</w:t>
      </w:r>
    </w:p>
    <w:p>
      <w:pPr>
        <w:pStyle w:val="ListParagraph"/>
        <w:numPr>
          <w:ilvl w:val="1"/>
          <w:numId w:val="32"/>
        </w:numPr>
        <w:tabs>
          <w:tab w:pos="884" w:val="left" w:leader="none"/>
          <w:tab w:pos="885" w:val="left" w:leader="none"/>
        </w:tabs>
        <w:spacing w:line="350" w:lineRule="auto" w:before="124" w:after="0"/>
        <w:ind w:left="822" w:right="123" w:hanging="360"/>
        <w:jc w:val="left"/>
        <w:rPr>
          <w:sz w:val="22"/>
        </w:rPr>
      </w:pPr>
      <w:r>
        <w:rPr>
          <w:sz w:val="22"/>
        </w:rPr>
        <w:t>Un factor que represente un puente entre la abundancia del detalle y la necesidad de información</w:t>
      </w:r>
      <w:r>
        <w:rPr>
          <w:spacing w:val="-9"/>
          <w:sz w:val="22"/>
        </w:rPr>
        <w:t> </w:t>
      </w:r>
      <w:r>
        <w:rPr>
          <w:sz w:val="22"/>
        </w:rPr>
        <w:t>interpretada.</w:t>
      </w:r>
    </w:p>
    <w:p>
      <w:pPr>
        <w:pStyle w:val="BodyText"/>
        <w:spacing w:line="360" w:lineRule="auto" w:before="13"/>
        <w:ind w:left="102" w:right="118"/>
      </w:pPr>
      <w:r>
        <w:rPr/>
        <w:t>En el marco de un proceso de planeación estratégica como el propuesto en la Guía (Díaz et al, 1999), con el uso de los indicadores se busca:</w:t>
      </w:r>
    </w:p>
    <w:p>
      <w:pPr>
        <w:pStyle w:val="ListParagraph"/>
        <w:numPr>
          <w:ilvl w:val="1"/>
          <w:numId w:val="32"/>
        </w:numPr>
        <w:tabs>
          <w:tab w:pos="821" w:val="left" w:leader="none"/>
          <w:tab w:pos="822" w:val="left" w:leader="none"/>
        </w:tabs>
        <w:spacing w:line="352" w:lineRule="auto" w:before="3" w:after="0"/>
        <w:ind w:left="822" w:right="117" w:hanging="360"/>
        <w:jc w:val="left"/>
        <w:rPr>
          <w:sz w:val="22"/>
        </w:rPr>
      </w:pPr>
      <w:r>
        <w:rPr>
          <w:sz w:val="22"/>
        </w:rPr>
        <w:t>Considerar el análisis de condiciones y tendencias en el ambiente y sus causas (Estado del ambiente y sus</w:t>
      </w:r>
      <w:r>
        <w:rPr>
          <w:spacing w:val="-7"/>
          <w:sz w:val="22"/>
        </w:rPr>
        <w:t> </w:t>
      </w:r>
      <w:r>
        <w:rPr>
          <w:sz w:val="22"/>
        </w:rPr>
        <w:t>Presiones).</w:t>
      </w:r>
    </w:p>
    <w:p>
      <w:pPr>
        <w:pStyle w:val="ListParagraph"/>
        <w:numPr>
          <w:ilvl w:val="1"/>
          <w:numId w:val="32"/>
        </w:numPr>
        <w:tabs>
          <w:tab w:pos="821" w:val="left" w:leader="none"/>
          <w:tab w:pos="822" w:val="left" w:leader="none"/>
        </w:tabs>
        <w:spacing w:line="350" w:lineRule="auto" w:before="10" w:after="0"/>
        <w:ind w:left="822" w:right="116" w:hanging="360"/>
        <w:jc w:val="left"/>
        <w:rPr>
          <w:sz w:val="22"/>
        </w:rPr>
      </w:pPr>
      <w:r>
        <w:rPr>
          <w:sz w:val="22"/>
        </w:rPr>
        <w:t>Evaluar e interpretar las implicaciones e impactos de esas tendencias en la salud humana, la economía y los ecosistemas</w:t>
      </w:r>
      <w:r>
        <w:rPr>
          <w:spacing w:val="-13"/>
          <w:sz w:val="22"/>
        </w:rPr>
        <w:t> </w:t>
      </w:r>
      <w:r>
        <w:rPr>
          <w:sz w:val="22"/>
        </w:rPr>
        <w:t>(Impactos).</w:t>
      </w:r>
    </w:p>
    <w:p>
      <w:pPr>
        <w:spacing w:after="0" w:line="350" w:lineRule="auto"/>
        <w:jc w:val="left"/>
        <w:rPr>
          <w:sz w:val="22"/>
        </w:rPr>
        <w:sectPr>
          <w:pgSz w:w="12240" w:h="15840"/>
          <w:pgMar w:header="0" w:footer="1003" w:top="1380" w:bottom="1200" w:left="1600" w:right="1580"/>
        </w:sectPr>
      </w:pPr>
    </w:p>
    <w:p>
      <w:pPr>
        <w:pStyle w:val="ListParagraph"/>
        <w:numPr>
          <w:ilvl w:val="2"/>
          <w:numId w:val="32"/>
        </w:numPr>
        <w:tabs>
          <w:tab w:pos="941" w:val="left" w:leader="none"/>
          <w:tab w:pos="942" w:val="left" w:leader="none"/>
        </w:tabs>
        <w:spacing w:line="350" w:lineRule="auto" w:before="35" w:after="0"/>
        <w:ind w:left="942" w:right="158" w:hanging="360"/>
        <w:jc w:val="left"/>
        <w:rPr>
          <w:sz w:val="22"/>
        </w:rPr>
      </w:pPr>
      <w:r>
        <w:rPr>
          <w:sz w:val="22"/>
        </w:rPr>
        <w:t>Proveer una evaluación de la respuesta social actual y potencial de los problemas ambientales en el contexto del estado del ambiente</w:t>
      </w:r>
      <w:r>
        <w:rPr>
          <w:spacing w:val="-15"/>
          <w:sz w:val="22"/>
        </w:rPr>
        <w:t> </w:t>
      </w:r>
      <w:r>
        <w:rPr>
          <w:sz w:val="22"/>
        </w:rPr>
        <w:t>(Respuestas).</w:t>
      </w:r>
    </w:p>
    <w:p>
      <w:pPr>
        <w:pStyle w:val="BodyText"/>
      </w:pPr>
    </w:p>
    <w:p>
      <w:pPr>
        <w:pStyle w:val="BodyText"/>
        <w:spacing w:line="360" w:lineRule="auto" w:before="139"/>
        <w:ind w:left="222" w:right="162"/>
      </w:pPr>
      <w:r>
        <w:rPr/>
        <w:t>Son consideraciones generales que hay que tener en cuenta para la selección de un indicador:</w:t>
      </w:r>
    </w:p>
    <w:p>
      <w:pPr>
        <w:pStyle w:val="Heading6"/>
        <w:spacing w:before="3"/>
        <w:ind w:left="954" w:right="162"/>
      </w:pPr>
      <w:r>
        <w:rPr/>
        <w:t>Tabla 7.1. Consideraciones generales para la selección de indicadores</w:t>
      </w:r>
    </w:p>
    <w:p>
      <w:pPr>
        <w:pStyle w:val="BodyText"/>
        <w:rPr>
          <w:b/>
          <w:sz w:val="20"/>
        </w:rPr>
      </w:pPr>
    </w:p>
    <w:p>
      <w:pPr>
        <w:pStyle w:val="BodyText"/>
        <w:spacing w:before="4"/>
        <w:rPr>
          <w:b/>
          <w:sz w:val="2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2993"/>
        <w:gridCol w:w="2993"/>
      </w:tblGrid>
      <w:tr>
        <w:trPr>
          <w:trHeight w:val="768" w:hRule="exact"/>
        </w:trPr>
        <w:tc>
          <w:tcPr>
            <w:tcW w:w="2993" w:type="dxa"/>
            <w:shd w:val="clear" w:color="auto" w:fill="7E7E7E"/>
          </w:tcPr>
          <w:p>
            <w:pPr>
              <w:pStyle w:val="TableParagraph"/>
              <w:spacing w:line="360" w:lineRule="auto"/>
              <w:ind w:left="376" w:right="362" w:firstLine="160"/>
              <w:rPr>
                <w:b/>
                <w:sz w:val="22"/>
              </w:rPr>
            </w:pPr>
            <w:r>
              <w:rPr>
                <w:b/>
                <w:sz w:val="22"/>
              </w:rPr>
              <w:t>Fiabilidad y lógica analítica de los datos</w:t>
            </w:r>
          </w:p>
        </w:tc>
        <w:tc>
          <w:tcPr>
            <w:tcW w:w="2993" w:type="dxa"/>
            <w:shd w:val="clear" w:color="auto" w:fill="7E7E7E"/>
          </w:tcPr>
          <w:p>
            <w:pPr>
              <w:pStyle w:val="TableParagraph"/>
              <w:spacing w:line="248" w:lineRule="exact"/>
              <w:ind w:left="370" w:right="371"/>
              <w:jc w:val="center"/>
              <w:rPr>
                <w:b/>
                <w:sz w:val="22"/>
              </w:rPr>
            </w:pPr>
            <w:r>
              <w:rPr>
                <w:b/>
                <w:sz w:val="22"/>
              </w:rPr>
              <w:t>Importancia del tema</w:t>
            </w:r>
          </w:p>
        </w:tc>
        <w:tc>
          <w:tcPr>
            <w:tcW w:w="2993" w:type="dxa"/>
            <w:shd w:val="clear" w:color="auto" w:fill="7E7E7E"/>
          </w:tcPr>
          <w:p>
            <w:pPr>
              <w:pStyle w:val="TableParagraph"/>
              <w:spacing w:line="248" w:lineRule="exact"/>
              <w:ind w:left="255" w:right="256"/>
              <w:jc w:val="center"/>
              <w:rPr>
                <w:b/>
                <w:sz w:val="22"/>
              </w:rPr>
            </w:pPr>
            <w:r>
              <w:rPr>
                <w:b/>
                <w:sz w:val="22"/>
              </w:rPr>
              <w:t>Utilidad para el usuario</w:t>
            </w:r>
          </w:p>
        </w:tc>
      </w:tr>
      <w:tr>
        <w:trPr>
          <w:trHeight w:val="389" w:hRule="exact"/>
        </w:trPr>
        <w:tc>
          <w:tcPr>
            <w:tcW w:w="2993" w:type="dxa"/>
          </w:tcPr>
          <w:p>
            <w:pPr>
              <w:pStyle w:val="TableParagraph"/>
              <w:spacing w:line="251" w:lineRule="exact"/>
              <w:ind w:left="333" w:right="334"/>
              <w:jc w:val="center"/>
              <w:rPr>
                <w:sz w:val="22"/>
              </w:rPr>
            </w:pPr>
            <w:r>
              <w:rPr>
                <w:sz w:val="22"/>
              </w:rPr>
              <w:t>Validez científica</w:t>
            </w:r>
          </w:p>
        </w:tc>
        <w:tc>
          <w:tcPr>
            <w:tcW w:w="2993" w:type="dxa"/>
          </w:tcPr>
          <w:p>
            <w:pPr>
              <w:pStyle w:val="TableParagraph"/>
              <w:spacing w:line="251" w:lineRule="exact"/>
              <w:ind w:left="366" w:right="371"/>
              <w:jc w:val="center"/>
              <w:rPr>
                <w:sz w:val="22"/>
              </w:rPr>
            </w:pPr>
            <w:r>
              <w:rPr>
                <w:sz w:val="22"/>
              </w:rPr>
              <w:t>Representatividad</w:t>
            </w:r>
          </w:p>
        </w:tc>
        <w:tc>
          <w:tcPr>
            <w:tcW w:w="2993" w:type="dxa"/>
          </w:tcPr>
          <w:p>
            <w:pPr>
              <w:pStyle w:val="TableParagraph"/>
              <w:spacing w:line="251" w:lineRule="exact"/>
              <w:ind w:left="253" w:right="256"/>
              <w:jc w:val="center"/>
              <w:rPr>
                <w:sz w:val="22"/>
              </w:rPr>
            </w:pPr>
            <w:r>
              <w:rPr>
                <w:sz w:val="22"/>
              </w:rPr>
              <w:t>Relevancia</w:t>
            </w:r>
          </w:p>
        </w:tc>
      </w:tr>
      <w:tr>
        <w:trPr>
          <w:trHeight w:val="391" w:hRule="exact"/>
        </w:trPr>
        <w:tc>
          <w:tcPr>
            <w:tcW w:w="2993" w:type="dxa"/>
          </w:tcPr>
          <w:p>
            <w:pPr>
              <w:pStyle w:val="TableParagraph"/>
              <w:ind w:left="334" w:right="334"/>
              <w:jc w:val="center"/>
              <w:rPr>
                <w:sz w:val="22"/>
              </w:rPr>
            </w:pPr>
            <w:r>
              <w:rPr>
                <w:sz w:val="22"/>
              </w:rPr>
              <w:t>Disponibilidad de datos</w:t>
            </w:r>
          </w:p>
        </w:tc>
        <w:tc>
          <w:tcPr>
            <w:tcW w:w="2993" w:type="dxa"/>
          </w:tcPr>
          <w:p>
            <w:pPr>
              <w:pStyle w:val="TableParagraph"/>
              <w:ind w:left="370" w:right="371"/>
              <w:jc w:val="center"/>
              <w:rPr>
                <w:sz w:val="22"/>
              </w:rPr>
            </w:pPr>
            <w:r>
              <w:rPr>
                <w:sz w:val="22"/>
              </w:rPr>
              <w:t>Cobertura geográfica</w:t>
            </w:r>
          </w:p>
        </w:tc>
        <w:tc>
          <w:tcPr>
            <w:tcW w:w="2993" w:type="dxa"/>
          </w:tcPr>
          <w:p>
            <w:pPr>
              <w:pStyle w:val="TableParagraph"/>
              <w:ind w:left="255" w:right="255"/>
              <w:jc w:val="center"/>
              <w:rPr>
                <w:sz w:val="22"/>
              </w:rPr>
            </w:pPr>
            <w:r>
              <w:rPr>
                <w:sz w:val="22"/>
              </w:rPr>
              <w:t>Entendible</w:t>
            </w:r>
          </w:p>
        </w:tc>
      </w:tr>
      <w:tr>
        <w:trPr>
          <w:trHeight w:val="768" w:hRule="exact"/>
        </w:trPr>
        <w:tc>
          <w:tcPr>
            <w:tcW w:w="2993" w:type="dxa"/>
          </w:tcPr>
          <w:p>
            <w:pPr>
              <w:pStyle w:val="TableParagraph"/>
              <w:spacing w:line="251" w:lineRule="exact"/>
              <w:ind w:left="334" w:right="334"/>
              <w:jc w:val="center"/>
              <w:rPr>
                <w:sz w:val="22"/>
              </w:rPr>
            </w:pPr>
            <w:r>
              <w:rPr>
                <w:sz w:val="22"/>
              </w:rPr>
              <w:t>Datos adecuados</w:t>
            </w:r>
          </w:p>
        </w:tc>
        <w:tc>
          <w:tcPr>
            <w:tcW w:w="2993" w:type="dxa"/>
          </w:tcPr>
          <w:p>
            <w:pPr>
              <w:pStyle w:val="TableParagraph"/>
              <w:spacing w:line="251" w:lineRule="exact"/>
              <w:ind w:left="366" w:right="371"/>
              <w:jc w:val="center"/>
              <w:rPr>
                <w:sz w:val="22"/>
              </w:rPr>
            </w:pPr>
            <w:r>
              <w:rPr>
                <w:sz w:val="22"/>
              </w:rPr>
              <w:t>Flexibilidad</w:t>
            </w:r>
          </w:p>
        </w:tc>
        <w:tc>
          <w:tcPr>
            <w:tcW w:w="2993" w:type="dxa"/>
          </w:tcPr>
          <w:p>
            <w:pPr>
              <w:pStyle w:val="TableParagraph"/>
              <w:spacing w:line="360" w:lineRule="auto"/>
              <w:ind w:left="1000" w:right="362" w:hanging="624"/>
              <w:rPr>
                <w:sz w:val="22"/>
              </w:rPr>
            </w:pPr>
            <w:r>
              <w:rPr>
                <w:sz w:val="22"/>
              </w:rPr>
              <w:t>Contar con un valor de referencia</w:t>
            </w:r>
          </w:p>
        </w:tc>
      </w:tr>
      <w:tr>
        <w:trPr>
          <w:trHeight w:val="770" w:hRule="exact"/>
        </w:trPr>
        <w:tc>
          <w:tcPr>
            <w:tcW w:w="2993" w:type="dxa"/>
          </w:tcPr>
          <w:p>
            <w:pPr>
              <w:pStyle w:val="TableParagraph"/>
              <w:spacing w:line="251" w:lineRule="exact"/>
              <w:ind w:left="331" w:right="334"/>
              <w:jc w:val="center"/>
              <w:rPr>
                <w:sz w:val="22"/>
              </w:rPr>
            </w:pPr>
            <w:r>
              <w:rPr>
                <w:sz w:val="22"/>
              </w:rPr>
              <w:t>Rentabilidad</w:t>
            </w:r>
          </w:p>
        </w:tc>
        <w:tc>
          <w:tcPr>
            <w:tcW w:w="2993" w:type="dxa"/>
          </w:tcPr>
          <w:p>
            <w:pPr>
              <w:pStyle w:val="TableParagraph"/>
              <w:spacing w:line="360" w:lineRule="auto"/>
              <w:ind w:left="741" w:right="449" w:hanging="281"/>
              <w:rPr>
                <w:sz w:val="22"/>
              </w:rPr>
            </w:pPr>
            <w:r>
              <w:rPr>
                <w:sz w:val="22"/>
              </w:rPr>
              <w:t>Que sirva para hacer comparaciones</w:t>
            </w:r>
          </w:p>
        </w:tc>
        <w:tc>
          <w:tcPr>
            <w:tcW w:w="2993" w:type="dxa"/>
          </w:tcPr>
          <w:p>
            <w:pPr>
              <w:pStyle w:val="TableParagraph"/>
              <w:spacing w:line="251" w:lineRule="exact"/>
              <w:ind w:left="255" w:right="256"/>
              <w:jc w:val="center"/>
              <w:rPr>
                <w:sz w:val="22"/>
              </w:rPr>
            </w:pPr>
            <w:r>
              <w:rPr>
                <w:sz w:val="22"/>
              </w:rPr>
              <w:t>Predictivo</w:t>
            </w:r>
          </w:p>
        </w:tc>
      </w:tr>
    </w:tbl>
    <w:p>
      <w:pPr>
        <w:pStyle w:val="BodyText"/>
        <w:spacing w:before="6"/>
        <w:rPr>
          <w:b/>
          <w:sz w:val="26"/>
        </w:rPr>
      </w:pPr>
    </w:p>
    <w:p>
      <w:pPr>
        <w:spacing w:line="360" w:lineRule="auto" w:before="70"/>
        <w:ind w:left="222" w:right="156" w:firstLine="0"/>
        <w:jc w:val="both"/>
        <w:rPr>
          <w:sz w:val="22"/>
        </w:rPr>
      </w:pPr>
      <w:r>
        <w:rPr>
          <w:rFonts w:ascii="Times New Roman" w:hAnsi="Times New Roman"/>
          <w:b/>
          <w:sz w:val="24"/>
        </w:rPr>
        <w:t>Fuente: </w:t>
      </w:r>
      <w:r>
        <w:rPr>
          <w:sz w:val="24"/>
        </w:rPr>
        <w:t>Carlos </w:t>
      </w:r>
      <w:r>
        <w:rPr>
          <w:i/>
          <w:sz w:val="24"/>
        </w:rPr>
        <w:t>et. al. </w:t>
      </w:r>
      <w:r>
        <w:rPr>
          <w:sz w:val="24"/>
        </w:rPr>
        <w:t>(2009), </w:t>
      </w:r>
      <w:r>
        <w:rPr>
          <w:i/>
          <w:sz w:val="22"/>
        </w:rPr>
        <w:t>Guía de Planeación Estratégica Participativa para la </w:t>
      </w:r>
      <w:r>
        <w:rPr>
          <w:i/>
          <w:sz w:val="22"/>
        </w:rPr>
        <w:t>Gestión Integrada de los Recursos Hídricos de la Cuenca Lerma-Chapala-Santiago, </w:t>
      </w:r>
      <w:r>
        <w:rPr>
          <w:sz w:val="22"/>
        </w:rPr>
        <w:t>UAEMex, México.</w:t>
      </w:r>
    </w:p>
    <w:p>
      <w:pPr>
        <w:pStyle w:val="Heading6"/>
        <w:spacing w:before="1"/>
        <w:ind w:left="3006" w:right="162"/>
      </w:pPr>
      <w:r>
        <w:rPr/>
        <w:t>Tabla 7.2. Tipos de indicadores</w:t>
      </w:r>
    </w:p>
    <w:p>
      <w:pPr>
        <w:pStyle w:val="BodyText"/>
        <w:rPr>
          <w:b/>
          <w:sz w:val="20"/>
        </w:rPr>
      </w:pPr>
    </w:p>
    <w:p>
      <w:pPr>
        <w:pStyle w:val="BodyText"/>
        <w:spacing w:before="4"/>
        <w:rPr>
          <w:b/>
          <w:sz w:val="2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2993"/>
        <w:gridCol w:w="2993"/>
      </w:tblGrid>
      <w:tr>
        <w:trPr>
          <w:trHeight w:val="389" w:hRule="exact"/>
        </w:trPr>
        <w:tc>
          <w:tcPr>
            <w:tcW w:w="2993" w:type="dxa"/>
            <w:shd w:val="clear" w:color="auto" w:fill="7E7E7E"/>
          </w:tcPr>
          <w:p>
            <w:pPr>
              <w:pStyle w:val="TableParagraph"/>
              <w:spacing w:line="248" w:lineRule="exact"/>
              <w:ind w:left="334" w:right="334"/>
              <w:jc w:val="center"/>
              <w:rPr>
                <w:b/>
                <w:sz w:val="22"/>
              </w:rPr>
            </w:pPr>
            <w:r>
              <w:rPr>
                <w:b/>
                <w:sz w:val="22"/>
              </w:rPr>
              <w:t>Indicador</w:t>
            </w:r>
          </w:p>
        </w:tc>
        <w:tc>
          <w:tcPr>
            <w:tcW w:w="2993" w:type="dxa"/>
            <w:shd w:val="clear" w:color="auto" w:fill="7E7E7E"/>
          </w:tcPr>
          <w:p>
            <w:pPr>
              <w:pStyle w:val="TableParagraph"/>
              <w:spacing w:line="248" w:lineRule="exact"/>
              <w:ind w:left="931" w:right="449"/>
              <w:rPr>
                <w:b/>
                <w:sz w:val="22"/>
              </w:rPr>
            </w:pPr>
            <w:r>
              <w:rPr>
                <w:b/>
                <w:sz w:val="22"/>
              </w:rPr>
              <w:t>Transición</w:t>
            </w:r>
          </w:p>
        </w:tc>
        <w:tc>
          <w:tcPr>
            <w:tcW w:w="2993" w:type="dxa"/>
            <w:shd w:val="clear" w:color="auto" w:fill="7E7E7E"/>
          </w:tcPr>
          <w:p>
            <w:pPr>
              <w:pStyle w:val="TableParagraph"/>
              <w:spacing w:line="248" w:lineRule="exact"/>
              <w:ind w:left="995" w:right="362"/>
              <w:rPr>
                <w:b/>
                <w:sz w:val="22"/>
              </w:rPr>
            </w:pPr>
            <w:r>
              <w:rPr>
                <w:b/>
                <w:sz w:val="22"/>
              </w:rPr>
              <w:t>Indicador</w:t>
            </w:r>
          </w:p>
        </w:tc>
      </w:tr>
      <w:tr>
        <w:trPr>
          <w:trHeight w:val="425" w:hRule="exact"/>
        </w:trPr>
        <w:tc>
          <w:tcPr>
            <w:tcW w:w="2993" w:type="dxa"/>
          </w:tcPr>
          <w:p>
            <w:pPr>
              <w:pStyle w:val="TableParagraph"/>
              <w:ind w:left="0" w:right="752"/>
              <w:jc w:val="right"/>
              <w:rPr>
                <w:sz w:val="22"/>
              </w:rPr>
            </w:pPr>
            <w:r>
              <w:rPr>
                <w:sz w:val="22"/>
              </w:rPr>
              <w:t>Representativo</w:t>
            </w:r>
          </w:p>
        </w:tc>
        <w:tc>
          <w:tcPr>
            <w:tcW w:w="2993" w:type="dxa"/>
          </w:tcPr>
          <w:p>
            <w:pPr>
              <w:pStyle w:val="TableParagraph"/>
              <w:spacing w:before="6" w:after="1"/>
              <w:ind w:left="0"/>
              <w:rPr>
                <w:b/>
                <w:sz w:val="10"/>
              </w:rPr>
            </w:pPr>
          </w:p>
          <w:p>
            <w:pPr>
              <w:pStyle w:val="TableParagraph"/>
              <w:spacing w:line="168" w:lineRule="exact"/>
              <w:ind w:left="1116"/>
              <w:rPr>
                <w:sz w:val="16"/>
              </w:rPr>
            </w:pPr>
            <w:r>
              <w:rPr>
                <w:position w:val="-2"/>
                <w:sz w:val="16"/>
              </w:rPr>
              <w:pict>
                <v:group style="width:35.050pt;height:8.450pt;mso-position-horizontal-relative:char;mso-position-vertical-relative:line" coordorigin="0,0" coordsize="701,169">
                  <v:shape style="position:absolute;left:0;top:0;width:701;height:169" coordorigin="0,0" coordsize="701,169" path="m144,0l138,3,0,84,138,165,144,169,152,167,156,161,159,155,157,147,151,143,71,97,25,97,25,72,71,72,151,25,157,22,159,14,156,8,152,2,144,0xm651,84l550,143,544,147,542,155,545,161,549,167,557,169,563,165,679,97,676,97,676,95,670,95,651,84xm71,72l25,72,25,97,71,97,68,95,31,95,31,73,68,73,71,72xm630,72l71,72,50,84,71,97,630,97,651,84,630,72xm680,72l676,72,676,97,679,97,701,84,680,72xm31,73l31,95,50,84,31,73xm50,84l31,95,68,95,50,84xm670,73l651,84,670,95,670,73xm676,73l670,73,670,95,676,95,676,73xm68,73l31,73,50,84,68,73xm557,0l549,2,545,8,542,14,544,22,550,25,651,84,670,73,676,73,676,72,680,72,563,3,557,0xe" filled="true" fillcolor="#000000" stroked="false">
                    <v:path arrowok="t"/>
                    <v:fill type="solid"/>
                  </v:shape>
                </v:group>
              </w:pict>
            </w:r>
            <w:r>
              <w:rPr>
                <w:position w:val="-2"/>
                <w:sz w:val="16"/>
              </w:rPr>
            </w:r>
          </w:p>
        </w:tc>
        <w:tc>
          <w:tcPr>
            <w:tcW w:w="2993" w:type="dxa"/>
          </w:tcPr>
          <w:p>
            <w:pPr>
              <w:pStyle w:val="TableParagraph"/>
              <w:ind w:left="988" w:right="362"/>
              <w:rPr>
                <w:sz w:val="22"/>
              </w:rPr>
            </w:pPr>
            <w:r>
              <w:rPr>
                <w:sz w:val="22"/>
              </w:rPr>
              <w:t>Normativo</w:t>
            </w:r>
          </w:p>
        </w:tc>
      </w:tr>
      <w:tr>
        <w:trPr>
          <w:trHeight w:val="389" w:hRule="exact"/>
        </w:trPr>
        <w:tc>
          <w:tcPr>
            <w:tcW w:w="2993" w:type="dxa"/>
          </w:tcPr>
          <w:p>
            <w:pPr>
              <w:pStyle w:val="TableParagraph"/>
              <w:spacing w:line="251" w:lineRule="exact"/>
              <w:ind w:left="0" w:right="828"/>
              <w:jc w:val="right"/>
              <w:rPr>
                <w:sz w:val="22"/>
              </w:rPr>
            </w:pPr>
            <w:r>
              <w:rPr>
                <w:sz w:val="22"/>
              </w:rPr>
              <w:t>Desagregado</w:t>
            </w:r>
          </w:p>
        </w:tc>
        <w:tc>
          <w:tcPr>
            <w:tcW w:w="2993" w:type="dxa"/>
          </w:tcPr>
          <w:p>
            <w:pPr>
              <w:pStyle w:val="TableParagraph"/>
              <w:ind w:left="0"/>
              <w:rPr>
                <w:b/>
                <w:sz w:val="13"/>
              </w:rPr>
            </w:pPr>
          </w:p>
          <w:p>
            <w:pPr>
              <w:pStyle w:val="TableParagraph"/>
              <w:spacing w:line="168" w:lineRule="exact"/>
              <w:ind w:left="1118"/>
              <w:rPr>
                <w:sz w:val="16"/>
              </w:rPr>
            </w:pPr>
            <w:r>
              <w:rPr>
                <w:position w:val="-2"/>
                <w:sz w:val="16"/>
              </w:rPr>
              <w:pict>
                <v:group style="width:35.050pt;height:8.450pt;mso-position-horizontal-relative:char;mso-position-vertical-relative:line" coordorigin="0,0" coordsize="701,169">
                  <v:shape style="position:absolute;left:0;top:0;width:701;height:169" coordorigin="0,0" coordsize="701,169" path="m144,0l138,3,0,84,138,165,144,169,152,166,156,161,159,155,157,147,151,143,71,97,25,97,25,72,71,72,151,25,157,22,159,14,156,8,152,2,144,0xm651,84l550,143,544,147,542,155,545,161,549,166,557,169,563,165,679,97,676,97,676,95,670,95,651,84xm71,72l25,72,25,97,71,97,68,95,31,95,31,73,68,73,71,72xm630,72l71,72,50,84,71,97,630,97,651,84,630,72xm680,72l676,72,676,97,679,97,701,84,680,72xm31,73l31,95,50,84,31,73xm50,84l31,95,68,95,50,84xm670,73l651,84,670,95,670,73xm676,73l670,73,670,95,676,95,676,73xm68,73l31,73,50,84,68,73xm557,0l549,2,545,8,542,14,544,22,550,25,651,84,670,73,676,73,676,72,680,72,563,3,557,0xe" filled="true" fillcolor="#000000" stroked="false">
                    <v:path arrowok="t"/>
                    <v:fill type="solid"/>
                  </v:shape>
                </v:group>
              </w:pict>
            </w:r>
            <w:r>
              <w:rPr>
                <w:position w:val="-2"/>
                <w:sz w:val="16"/>
              </w:rPr>
            </w:r>
          </w:p>
        </w:tc>
        <w:tc>
          <w:tcPr>
            <w:tcW w:w="2993" w:type="dxa"/>
          </w:tcPr>
          <w:p>
            <w:pPr>
              <w:pStyle w:val="TableParagraph"/>
              <w:spacing w:line="251" w:lineRule="exact"/>
              <w:ind w:left="1012" w:right="362"/>
              <w:rPr>
                <w:sz w:val="22"/>
              </w:rPr>
            </w:pPr>
            <w:r>
              <w:rPr>
                <w:sz w:val="22"/>
              </w:rPr>
              <w:t>Agregado</w:t>
            </w:r>
          </w:p>
        </w:tc>
      </w:tr>
      <w:tr>
        <w:trPr>
          <w:trHeight w:val="391" w:hRule="exact"/>
        </w:trPr>
        <w:tc>
          <w:tcPr>
            <w:tcW w:w="2993" w:type="dxa"/>
          </w:tcPr>
          <w:p>
            <w:pPr>
              <w:pStyle w:val="TableParagraph"/>
              <w:ind w:left="0" w:right="819"/>
              <w:jc w:val="right"/>
              <w:rPr>
                <w:sz w:val="22"/>
              </w:rPr>
            </w:pPr>
            <w:r>
              <w:rPr>
                <w:sz w:val="22"/>
              </w:rPr>
              <w:t>Retrospectivo</w:t>
            </w:r>
          </w:p>
        </w:tc>
        <w:tc>
          <w:tcPr>
            <w:tcW w:w="2993" w:type="dxa"/>
          </w:tcPr>
          <w:p>
            <w:pPr>
              <w:pStyle w:val="TableParagraph"/>
              <w:spacing w:before="8"/>
              <w:ind w:left="0"/>
              <w:rPr>
                <w:b/>
                <w:sz w:val="8"/>
              </w:rPr>
            </w:pPr>
          </w:p>
          <w:p>
            <w:pPr>
              <w:pStyle w:val="TableParagraph"/>
              <w:spacing w:line="168" w:lineRule="exact"/>
              <w:ind w:left="1120"/>
              <w:rPr>
                <w:sz w:val="16"/>
              </w:rPr>
            </w:pPr>
            <w:r>
              <w:rPr>
                <w:position w:val="-2"/>
                <w:sz w:val="16"/>
              </w:rPr>
              <w:pict>
                <v:group style="width:35.050pt;height:8.450pt;mso-position-horizontal-relative:char;mso-position-vertical-relative:line" coordorigin="0,0" coordsize="701,169">
                  <v:shape style="position:absolute;left:0;top:0;width:701;height:169" coordorigin="0,0" coordsize="701,169" path="m144,0l138,3,0,84,138,165,144,169,152,167,156,161,159,155,157,147,151,143,71,97,25,97,25,72,71,72,151,25,157,22,159,14,156,8,152,2,144,0xm651,84l550,143,544,147,542,155,545,161,549,167,557,169,563,165,679,97,676,97,676,95,670,95,651,84xm71,72l25,72,25,97,71,97,68,95,31,95,31,73,68,73,71,72xm630,72l71,72,50,84,71,97,630,97,651,84,630,72xm680,72l676,72,676,97,679,97,701,84,680,72xm31,73l31,95,50,84,31,73xm50,84l31,95,68,95,50,84xm670,73l651,84,670,95,670,73xm676,73l670,73,670,95,676,95,676,73xm68,73l31,73,50,84,68,73xm557,0l549,2,545,8,542,14,544,22,550,25,651,84,670,73,676,73,676,72,680,72,563,3,557,0xe" filled="true" fillcolor="#000000" stroked="false">
                    <v:path arrowok="t"/>
                    <v:fill type="solid"/>
                  </v:shape>
                </v:group>
              </w:pict>
            </w:r>
            <w:r>
              <w:rPr>
                <w:position w:val="-2"/>
                <w:sz w:val="16"/>
              </w:rPr>
            </w:r>
          </w:p>
        </w:tc>
        <w:tc>
          <w:tcPr>
            <w:tcW w:w="2993" w:type="dxa"/>
          </w:tcPr>
          <w:p>
            <w:pPr>
              <w:pStyle w:val="TableParagraph"/>
              <w:ind w:left="1007" w:right="362"/>
              <w:rPr>
                <w:sz w:val="22"/>
              </w:rPr>
            </w:pPr>
            <w:r>
              <w:rPr>
                <w:sz w:val="22"/>
              </w:rPr>
              <w:t>Predictivo</w:t>
            </w:r>
          </w:p>
        </w:tc>
      </w:tr>
    </w:tbl>
    <w:p>
      <w:pPr>
        <w:spacing w:line="360" w:lineRule="auto" w:before="0"/>
        <w:ind w:left="222" w:right="156" w:firstLine="0"/>
        <w:jc w:val="both"/>
        <w:rPr>
          <w:sz w:val="22"/>
        </w:rPr>
      </w:pPr>
      <w:r>
        <w:rPr>
          <w:rFonts w:ascii="Times New Roman" w:hAnsi="Times New Roman"/>
          <w:b/>
          <w:sz w:val="24"/>
        </w:rPr>
        <w:t>Fuente: </w:t>
      </w:r>
      <w:r>
        <w:rPr>
          <w:sz w:val="24"/>
        </w:rPr>
        <w:t>Carlos </w:t>
      </w:r>
      <w:r>
        <w:rPr>
          <w:i/>
          <w:sz w:val="24"/>
        </w:rPr>
        <w:t>et. al. </w:t>
      </w:r>
      <w:r>
        <w:rPr>
          <w:sz w:val="24"/>
        </w:rPr>
        <w:t>(2009), </w:t>
      </w:r>
      <w:r>
        <w:rPr>
          <w:i/>
          <w:sz w:val="22"/>
        </w:rPr>
        <w:t>Guía de Planeación Estratégica Participativa para la </w:t>
      </w:r>
      <w:r>
        <w:rPr>
          <w:i/>
          <w:sz w:val="22"/>
        </w:rPr>
        <w:t>Gestión Integrada de los Recursos Hídricos de la Cuenca Lerma-Chapala-Santiago, </w:t>
      </w:r>
      <w:r>
        <w:rPr>
          <w:sz w:val="22"/>
        </w:rPr>
        <w:t>UAEMex, México.</w:t>
      </w:r>
    </w:p>
    <w:p>
      <w:pPr>
        <w:pStyle w:val="BodyText"/>
      </w:pPr>
    </w:p>
    <w:p>
      <w:pPr>
        <w:pStyle w:val="BodyText"/>
        <w:spacing w:line="360" w:lineRule="auto" w:before="129"/>
        <w:ind w:left="222" w:right="152"/>
        <w:jc w:val="both"/>
      </w:pPr>
      <w:r>
        <w:rPr/>
        <w:t>Una vez que se seleccionaron los indicadores, la Cuenca Hidrosocial Presa Huapango, es analizada como un socio-ecosistema dinámico que está en constante evolución, así que disponer de una perspectiva de la evolución espacial y temporal de la problemática de la cuenca, permitió la construcción de escenarios que proporcionaron referencias útiles,  </w:t>
      </w:r>
      <w:r>
        <w:rPr>
          <w:spacing w:val="54"/>
        </w:rPr>
        <w:t> </w:t>
      </w:r>
      <w:r>
        <w:rPr/>
        <w:t>no</w:t>
      </w:r>
    </w:p>
    <w:p>
      <w:pPr>
        <w:spacing w:after="0" w:line="360" w:lineRule="auto"/>
        <w:jc w:val="both"/>
        <w:sectPr>
          <w:pgSz w:w="12240" w:h="15840"/>
          <w:pgMar w:header="0" w:footer="1003" w:top="1380" w:bottom="1200" w:left="1480" w:right="1540"/>
        </w:sectPr>
      </w:pPr>
    </w:p>
    <w:p>
      <w:pPr>
        <w:pStyle w:val="BodyText"/>
        <w:spacing w:line="360" w:lineRule="auto" w:before="56"/>
        <w:ind w:left="102" w:right="117"/>
        <w:jc w:val="both"/>
      </w:pPr>
      <w:r>
        <w:rPr/>
        <w:t>sólo en el análisis de la situación, sino también para la identificación, definición de las metas y tendencias en la creación de la propuesta de Comité Intermunicipal con su Reglamento para el uso, cuidado y defensa de la laguna de Huapango.</w:t>
      </w:r>
    </w:p>
    <w:p>
      <w:pPr>
        <w:pStyle w:val="BodyText"/>
      </w:pPr>
    </w:p>
    <w:p>
      <w:pPr>
        <w:pStyle w:val="BodyText"/>
        <w:spacing w:line="360" w:lineRule="auto" w:before="129"/>
        <w:ind w:left="102" w:right="117"/>
        <w:jc w:val="both"/>
      </w:pPr>
      <w:r>
        <w:rPr/>
        <w:t>Es a través de las tendencias-problemática (visualizadas en los indicadores PEIR), que se marcó el trazo de la evolución espacial y temporal de los procesos que caracterizan y determinan la problemática de la cuenca, al mismo tiempo que proporcionan información útil para explicar el funcionamiento de su socioecosistema.</w:t>
      </w:r>
    </w:p>
    <w:p>
      <w:pPr>
        <w:pStyle w:val="BodyText"/>
      </w:pPr>
    </w:p>
    <w:p>
      <w:pPr>
        <w:pStyle w:val="BodyText"/>
        <w:spacing w:line="360" w:lineRule="auto" w:before="130"/>
        <w:ind w:left="102" w:right="119"/>
        <w:jc w:val="both"/>
      </w:pPr>
      <w:r>
        <w:rPr/>
        <w:t>Bajo estos argumentos, una vez que se tuvo el sistema PEIR de la cuenca hidrosocial presa Huapango, se procedió a seleccionar los indicadores con mayor jerarquía en cada AEPA a través del Principio de Pareto.</w:t>
      </w:r>
    </w:p>
    <w:p>
      <w:pPr>
        <w:pStyle w:val="BodyText"/>
        <w:spacing w:before="3"/>
        <w:rPr>
          <w:sz w:val="24"/>
        </w:rPr>
      </w:pPr>
    </w:p>
    <w:p>
      <w:pPr>
        <w:pStyle w:val="Heading6"/>
        <w:numPr>
          <w:ilvl w:val="1"/>
          <w:numId w:val="58"/>
        </w:numPr>
        <w:tabs>
          <w:tab w:pos="532" w:val="left" w:leader="none"/>
        </w:tabs>
        <w:spacing w:line="240" w:lineRule="auto" w:before="0" w:after="0"/>
        <w:ind w:left="531" w:right="0" w:hanging="429"/>
        <w:jc w:val="both"/>
      </w:pPr>
      <w:bookmarkStart w:name="_TOC_250015" w:id="58"/>
      <w:r>
        <w:rPr/>
        <w:t>El Principio de Pareto (regla del</w:t>
      </w:r>
      <w:r>
        <w:rPr>
          <w:spacing w:val="-9"/>
        </w:rPr>
        <w:t> </w:t>
      </w:r>
      <w:bookmarkEnd w:id="58"/>
      <w:r>
        <w:rPr/>
        <w:t>80/20)</w:t>
      </w:r>
    </w:p>
    <w:p>
      <w:pPr>
        <w:pStyle w:val="BodyText"/>
        <w:rPr>
          <w:b/>
        </w:rPr>
      </w:pPr>
    </w:p>
    <w:p>
      <w:pPr>
        <w:pStyle w:val="BodyText"/>
        <w:spacing w:line="360" w:lineRule="auto" w:before="159"/>
        <w:ind w:left="102" w:right="118"/>
        <w:jc w:val="both"/>
      </w:pPr>
      <w:r>
        <w:rPr/>
        <w:t>Pareto observó que la gente en su entorno se dividía naturalmente entre los «pocos de mucho» y los «muchos de poco», dividiéndose en dos grupos de proporciones aproximadas de 80:20 tales que el grupo minoritario, formado por un 20% de población, ostentaba el 80% de algo y el grupo mayoritario, formado por un 80% de población, el  20% de</w:t>
      </w:r>
      <w:r>
        <w:rPr>
          <w:spacing w:val="-3"/>
        </w:rPr>
        <w:t> </w:t>
      </w:r>
      <w:r>
        <w:rPr/>
        <w:t>algo.</w:t>
      </w:r>
    </w:p>
    <w:p>
      <w:pPr>
        <w:pStyle w:val="BodyText"/>
        <w:spacing w:before="10"/>
        <w:rPr>
          <w:sz w:val="24"/>
        </w:rPr>
      </w:pPr>
    </w:p>
    <w:p>
      <w:pPr>
        <w:pStyle w:val="BodyText"/>
        <w:spacing w:line="357" w:lineRule="auto"/>
        <w:ind w:left="102" w:right="118"/>
        <w:jc w:val="both"/>
      </w:pPr>
      <w:r>
        <w:rPr/>
        <w:t>El principio de Pareto es una herramienta de análisis que ayuda a tomar decisiones en función de prioridades, por lo que Pareto decía que "El 80% de los problemas se pueden solucionar, si se eliminan el 20% de las causas que los originan".</w:t>
      </w:r>
    </w:p>
    <w:p>
      <w:pPr>
        <w:pStyle w:val="BodyText"/>
        <w:spacing w:before="1"/>
        <w:rPr>
          <w:sz w:val="25"/>
        </w:rPr>
      </w:pPr>
    </w:p>
    <w:p>
      <w:pPr>
        <w:pStyle w:val="BodyText"/>
        <w:spacing w:line="357" w:lineRule="auto"/>
        <w:ind w:left="102" w:right="119"/>
        <w:jc w:val="both"/>
      </w:pPr>
      <w:r>
        <w:rPr/>
        <w:t>En otras palabras: un 20% de los errores vitales, causan el 80% de los problemas, o lo que es lo mismo: en el origen de un problema, siempre se encuentran un 20% de causas vitales y un 80% de</w:t>
      </w:r>
      <w:r>
        <w:rPr>
          <w:spacing w:val="-12"/>
        </w:rPr>
        <w:t> </w:t>
      </w:r>
      <w:r>
        <w:rPr/>
        <w:t>triviales.</w:t>
      </w:r>
    </w:p>
    <w:p>
      <w:pPr>
        <w:pStyle w:val="BodyText"/>
        <w:spacing w:before="2"/>
        <w:rPr>
          <w:sz w:val="25"/>
        </w:rPr>
      </w:pPr>
    </w:p>
    <w:p>
      <w:pPr>
        <w:pStyle w:val="BodyText"/>
        <w:spacing w:line="357" w:lineRule="auto"/>
        <w:ind w:left="102" w:right="117"/>
        <w:jc w:val="both"/>
      </w:pPr>
      <w:r>
        <w:rPr/>
        <w:t>Es por lo enunciado en los párrafos anteriores que al Principio de Pareto también se le conoce también como regla 80 - 20 o también por "muchos triviales y pocos vitales" o por la curva C-A-B.</w:t>
      </w:r>
    </w:p>
    <w:p>
      <w:pPr>
        <w:pStyle w:val="BodyText"/>
        <w:spacing w:before="1"/>
        <w:rPr>
          <w:sz w:val="25"/>
        </w:rPr>
      </w:pPr>
    </w:p>
    <w:p>
      <w:pPr>
        <w:pStyle w:val="BodyText"/>
        <w:spacing w:line="357" w:lineRule="auto"/>
        <w:ind w:left="102" w:right="113"/>
        <w:jc w:val="both"/>
      </w:pPr>
      <w:r>
        <w:rPr/>
        <w:t>El diagrama de Pareto es un caso particular del gráfico de barras, en el que las barras que representan los factores correspondientes a una magnitud cualquiera están ordenados de mayor a menor (en orden descendente) y de izquierda a derecha.</w:t>
      </w:r>
    </w:p>
    <w:p>
      <w:pPr>
        <w:spacing w:after="0" w:line="357" w:lineRule="auto"/>
        <w:jc w:val="both"/>
        <w:sectPr>
          <w:footerReference w:type="default" r:id="rId247"/>
          <w:pgSz w:w="12240" w:h="15840"/>
          <w:pgMar w:footer="1003" w:header="0" w:top="1360" w:bottom="1200" w:left="1600" w:right="1580"/>
          <w:pgNumType w:start="450"/>
        </w:sectPr>
      </w:pPr>
    </w:p>
    <w:p>
      <w:pPr>
        <w:pStyle w:val="BodyText"/>
        <w:spacing w:line="360" w:lineRule="auto" w:before="56"/>
        <w:ind w:left="102" w:right="117"/>
        <w:jc w:val="both"/>
      </w:pPr>
      <w:r>
        <w:rPr/>
        <w:t>Este principio empírico que se presenta en todos los ámbitos de la vida como el económico (la mayor parte de la riqueza está concentrada en unas pocas personas), el geográfico (la mayoría de la población vive en una pequeña parte del territorio), etc., se aplica al análisis de problemas entendiendo que existen unos pocos factores (o causas) que originan la mayor parte de un problema.</w:t>
      </w:r>
    </w:p>
    <w:p>
      <w:pPr>
        <w:pStyle w:val="BodyText"/>
        <w:spacing w:before="8"/>
        <w:rPr>
          <w:sz w:val="24"/>
        </w:rPr>
      </w:pPr>
    </w:p>
    <w:p>
      <w:pPr>
        <w:spacing w:before="0"/>
        <w:ind w:left="102" w:right="0" w:firstLine="0"/>
        <w:jc w:val="both"/>
        <w:rPr>
          <w:i/>
          <w:sz w:val="22"/>
        </w:rPr>
      </w:pPr>
      <w:r>
        <w:rPr>
          <w:i/>
          <w:sz w:val="22"/>
        </w:rPr>
        <w:t>Concretamente este tipo de diagrama, es utilizado básicamente para:</w:t>
      </w:r>
    </w:p>
    <w:p>
      <w:pPr>
        <w:pStyle w:val="BodyText"/>
        <w:rPr>
          <w:i/>
        </w:rPr>
      </w:pPr>
    </w:p>
    <w:p>
      <w:pPr>
        <w:pStyle w:val="ListParagraph"/>
        <w:numPr>
          <w:ilvl w:val="0"/>
          <w:numId w:val="32"/>
        </w:numPr>
        <w:tabs>
          <w:tab w:pos="810" w:val="left" w:leader="none"/>
        </w:tabs>
        <w:spacing w:line="240" w:lineRule="auto" w:before="154" w:after="0"/>
        <w:ind w:left="810" w:right="0" w:hanging="708"/>
        <w:jc w:val="both"/>
        <w:rPr>
          <w:sz w:val="22"/>
        </w:rPr>
      </w:pPr>
      <w:r>
        <w:rPr>
          <w:sz w:val="22"/>
        </w:rPr>
        <w:t>Conocer cuál es el factor o factores más importantes en un</w:t>
      </w:r>
      <w:r>
        <w:rPr>
          <w:spacing w:val="-22"/>
          <w:sz w:val="22"/>
        </w:rPr>
        <w:t> </w:t>
      </w:r>
      <w:r>
        <w:rPr>
          <w:sz w:val="22"/>
        </w:rPr>
        <w:t>problema.</w:t>
      </w:r>
    </w:p>
    <w:p>
      <w:pPr>
        <w:pStyle w:val="BodyText"/>
      </w:pPr>
    </w:p>
    <w:p>
      <w:pPr>
        <w:pStyle w:val="ListParagraph"/>
        <w:numPr>
          <w:ilvl w:val="0"/>
          <w:numId w:val="32"/>
        </w:numPr>
        <w:tabs>
          <w:tab w:pos="810" w:val="left" w:leader="none"/>
        </w:tabs>
        <w:spacing w:line="240" w:lineRule="auto" w:before="154" w:after="0"/>
        <w:ind w:left="810" w:right="0" w:hanging="708"/>
        <w:jc w:val="both"/>
        <w:rPr>
          <w:sz w:val="22"/>
        </w:rPr>
      </w:pPr>
      <w:r>
        <w:rPr>
          <w:sz w:val="22"/>
        </w:rPr>
        <w:t>Determinar las causas raíz del</w:t>
      </w:r>
      <w:r>
        <w:rPr>
          <w:spacing w:val="-12"/>
          <w:sz w:val="22"/>
        </w:rPr>
        <w:t> </w:t>
      </w:r>
      <w:r>
        <w:rPr>
          <w:sz w:val="22"/>
        </w:rPr>
        <w:t>problema.</w:t>
      </w:r>
    </w:p>
    <w:p>
      <w:pPr>
        <w:pStyle w:val="BodyText"/>
      </w:pPr>
    </w:p>
    <w:p>
      <w:pPr>
        <w:pStyle w:val="ListParagraph"/>
        <w:numPr>
          <w:ilvl w:val="0"/>
          <w:numId w:val="32"/>
        </w:numPr>
        <w:tabs>
          <w:tab w:pos="810" w:val="left" w:leader="none"/>
        </w:tabs>
        <w:spacing w:line="240" w:lineRule="auto" w:before="151" w:after="0"/>
        <w:ind w:left="810" w:right="0" w:hanging="708"/>
        <w:jc w:val="both"/>
        <w:rPr>
          <w:sz w:val="22"/>
        </w:rPr>
      </w:pPr>
      <w:r>
        <w:rPr>
          <w:sz w:val="22"/>
        </w:rPr>
        <w:t>Decidir el objetivo de mejora y los elementos que se deben</w:t>
      </w:r>
      <w:r>
        <w:rPr>
          <w:spacing w:val="-20"/>
          <w:sz w:val="22"/>
        </w:rPr>
        <w:t> </w:t>
      </w:r>
      <w:r>
        <w:rPr>
          <w:sz w:val="22"/>
        </w:rPr>
        <w:t>mejorar.</w:t>
      </w:r>
    </w:p>
    <w:p>
      <w:pPr>
        <w:pStyle w:val="BodyText"/>
      </w:pPr>
    </w:p>
    <w:p>
      <w:pPr>
        <w:pStyle w:val="ListParagraph"/>
        <w:numPr>
          <w:ilvl w:val="0"/>
          <w:numId w:val="32"/>
        </w:numPr>
        <w:tabs>
          <w:tab w:pos="809" w:val="left" w:leader="none"/>
          <w:tab w:pos="810" w:val="left" w:leader="none"/>
        </w:tabs>
        <w:spacing w:line="357" w:lineRule="auto" w:before="156" w:after="0"/>
        <w:ind w:left="102" w:right="117" w:firstLine="0"/>
        <w:jc w:val="left"/>
        <w:rPr>
          <w:sz w:val="22"/>
        </w:rPr>
      </w:pPr>
      <w:r>
        <w:rPr>
          <w:sz w:val="22"/>
        </w:rPr>
        <w:t>Conocer se ha conseguido el efecto deseado (por comparación con los Paretos iniciales).</w:t>
      </w:r>
    </w:p>
    <w:p>
      <w:pPr>
        <w:pStyle w:val="BodyText"/>
        <w:spacing w:before="10"/>
        <w:rPr>
          <w:sz w:val="24"/>
        </w:rPr>
      </w:pPr>
    </w:p>
    <w:p>
      <w:pPr>
        <w:spacing w:before="0"/>
        <w:ind w:left="102" w:right="0" w:firstLine="0"/>
        <w:jc w:val="both"/>
        <w:rPr>
          <w:i/>
          <w:sz w:val="22"/>
        </w:rPr>
      </w:pPr>
      <w:r>
        <w:rPr>
          <w:i/>
          <w:sz w:val="22"/>
        </w:rPr>
        <w:t>Modo de aplicación del diagrama de Pareto</w:t>
      </w:r>
    </w:p>
    <w:p>
      <w:pPr>
        <w:pStyle w:val="BodyText"/>
        <w:rPr>
          <w:i/>
        </w:rPr>
      </w:pPr>
    </w:p>
    <w:p>
      <w:pPr>
        <w:pStyle w:val="BodyText"/>
        <w:spacing w:line="357" w:lineRule="auto" w:before="156"/>
        <w:ind w:left="102"/>
      </w:pPr>
      <w:r>
        <w:rPr/>
        <w:t>Con objeto de realizar correctamente un diagrama de Pareto hemos de realizar los siguientes pasos:</w:t>
      </w:r>
    </w:p>
    <w:p>
      <w:pPr>
        <w:pStyle w:val="BodyText"/>
        <w:spacing w:before="10"/>
        <w:rPr>
          <w:sz w:val="24"/>
        </w:rPr>
      </w:pPr>
    </w:p>
    <w:p>
      <w:pPr>
        <w:pStyle w:val="ListParagraph"/>
        <w:numPr>
          <w:ilvl w:val="0"/>
          <w:numId w:val="32"/>
        </w:numPr>
        <w:tabs>
          <w:tab w:pos="810" w:val="left" w:leader="none"/>
        </w:tabs>
        <w:spacing w:line="240" w:lineRule="auto" w:before="0" w:after="0"/>
        <w:ind w:left="810" w:right="0" w:hanging="708"/>
        <w:jc w:val="both"/>
        <w:rPr>
          <w:sz w:val="22"/>
        </w:rPr>
      </w:pPr>
      <w:r>
        <w:rPr>
          <w:sz w:val="22"/>
        </w:rPr>
        <w:t>Recolectar o recoger datos y clasificarlos por</w:t>
      </w:r>
      <w:r>
        <w:rPr>
          <w:spacing w:val="-17"/>
          <w:sz w:val="22"/>
        </w:rPr>
        <w:t> </w:t>
      </w:r>
      <w:r>
        <w:rPr>
          <w:sz w:val="22"/>
        </w:rPr>
        <w:t>categorías</w:t>
      </w:r>
    </w:p>
    <w:p>
      <w:pPr>
        <w:pStyle w:val="BodyText"/>
      </w:pPr>
    </w:p>
    <w:p>
      <w:pPr>
        <w:pStyle w:val="ListParagraph"/>
        <w:numPr>
          <w:ilvl w:val="0"/>
          <w:numId w:val="32"/>
        </w:numPr>
        <w:tabs>
          <w:tab w:pos="809" w:val="left" w:leader="none"/>
          <w:tab w:pos="810" w:val="left" w:leader="none"/>
        </w:tabs>
        <w:spacing w:line="357" w:lineRule="auto" w:before="156" w:after="0"/>
        <w:ind w:left="102" w:right="119" w:firstLine="0"/>
        <w:jc w:val="left"/>
        <w:rPr>
          <w:sz w:val="22"/>
        </w:rPr>
      </w:pPr>
      <w:r>
        <w:rPr>
          <w:sz w:val="22"/>
        </w:rPr>
        <w:t>Ordenar las categorías de mayor a menor indicando el número de veces que se ha producido.</w:t>
      </w:r>
    </w:p>
    <w:p>
      <w:pPr>
        <w:pStyle w:val="BodyText"/>
        <w:spacing w:before="10"/>
        <w:rPr>
          <w:sz w:val="24"/>
        </w:rPr>
      </w:pPr>
    </w:p>
    <w:p>
      <w:pPr>
        <w:pStyle w:val="ListParagraph"/>
        <w:numPr>
          <w:ilvl w:val="0"/>
          <w:numId w:val="32"/>
        </w:numPr>
        <w:tabs>
          <w:tab w:pos="809" w:val="left" w:leader="none"/>
          <w:tab w:pos="810" w:val="left" w:leader="none"/>
        </w:tabs>
        <w:spacing w:line="360" w:lineRule="auto" w:before="0" w:after="0"/>
        <w:ind w:left="102" w:right="118" w:firstLine="0"/>
        <w:jc w:val="left"/>
        <w:rPr>
          <w:sz w:val="22"/>
        </w:rPr>
      </w:pPr>
      <w:r>
        <w:rPr>
          <w:sz w:val="22"/>
        </w:rPr>
        <w:t>Calcular los porcentajes individuales y acumulados de cada categoría, el acumulado se calcula sumando los porcentajes anteriores a la categoría</w:t>
      </w:r>
      <w:r>
        <w:rPr>
          <w:spacing w:val="-21"/>
          <w:sz w:val="22"/>
        </w:rPr>
        <w:t> </w:t>
      </w:r>
      <w:r>
        <w:rPr>
          <w:sz w:val="22"/>
        </w:rPr>
        <w:t>seleccionada.</w:t>
      </w:r>
    </w:p>
    <w:p>
      <w:pPr>
        <w:pStyle w:val="BodyText"/>
        <w:spacing w:before="3"/>
        <w:rPr>
          <w:sz w:val="24"/>
        </w:rPr>
      </w:pPr>
    </w:p>
    <w:p>
      <w:pPr>
        <w:pStyle w:val="ListParagraph"/>
        <w:numPr>
          <w:ilvl w:val="0"/>
          <w:numId w:val="61"/>
        </w:numPr>
        <w:tabs>
          <w:tab w:pos="810" w:val="left" w:leader="none"/>
        </w:tabs>
        <w:spacing w:line="240" w:lineRule="auto" w:before="1" w:after="0"/>
        <w:ind w:left="810" w:right="0" w:hanging="708"/>
        <w:jc w:val="both"/>
        <w:rPr>
          <w:sz w:val="22"/>
        </w:rPr>
      </w:pPr>
      <w:r>
        <w:rPr>
          <w:sz w:val="22"/>
        </w:rPr>
        <w:t>Construcción del diagrama en función de los datos obtenidos</w:t>
      </w:r>
      <w:r>
        <w:rPr>
          <w:spacing w:val="-18"/>
          <w:sz w:val="22"/>
        </w:rPr>
        <w:t> </w:t>
      </w:r>
      <w:r>
        <w:rPr>
          <w:sz w:val="22"/>
        </w:rPr>
        <w:t>anteriormente.</w:t>
      </w:r>
    </w:p>
    <w:p>
      <w:pPr>
        <w:pStyle w:val="BodyText"/>
      </w:pPr>
    </w:p>
    <w:p>
      <w:pPr>
        <w:pStyle w:val="BodyText"/>
        <w:spacing w:line="360" w:lineRule="auto" w:before="156"/>
        <w:ind w:left="102" w:right="116"/>
        <w:jc w:val="both"/>
      </w:pPr>
      <w:r>
        <w:rPr/>
        <w:t>Bajo estas premisas del Principio de Pareto se seleccionaron los </w:t>
      </w:r>
      <w:r>
        <w:rPr>
          <w:b/>
        </w:rPr>
        <w:t>Factores Críticos de Éxito (FCE) </w:t>
      </w:r>
      <w:r>
        <w:rPr/>
        <w:t>que son los más importantes en el sistema PEIR para la creación de la propuesta de Comité Intermunicipal con su Reglamento para el uso, cuidado y defensa de la presa Huapango.</w:t>
      </w:r>
    </w:p>
    <w:p>
      <w:pPr>
        <w:spacing w:after="0" w:line="360" w:lineRule="auto"/>
        <w:jc w:val="both"/>
        <w:sectPr>
          <w:pgSz w:w="12240" w:h="15840"/>
          <w:pgMar w:header="0" w:footer="1003" w:top="1360" w:bottom="1200" w:left="1600" w:right="1580"/>
        </w:sectPr>
      </w:pPr>
    </w:p>
    <w:p>
      <w:pPr>
        <w:pStyle w:val="Heading6"/>
        <w:numPr>
          <w:ilvl w:val="1"/>
          <w:numId w:val="58"/>
        </w:numPr>
        <w:tabs>
          <w:tab w:pos="552" w:val="left" w:leader="none"/>
        </w:tabs>
        <w:spacing w:line="240" w:lineRule="auto" w:before="53" w:after="0"/>
        <w:ind w:left="551" w:right="0" w:hanging="429"/>
        <w:jc w:val="both"/>
      </w:pPr>
      <w:bookmarkStart w:name="_TOC_250014" w:id="59"/>
      <w:r>
        <w:rPr/>
        <w:t>Qué son los Factores Críticos de</w:t>
      </w:r>
      <w:r>
        <w:rPr>
          <w:spacing w:val="-10"/>
        </w:rPr>
        <w:t> </w:t>
      </w:r>
      <w:bookmarkEnd w:id="59"/>
      <w:r>
        <w:rPr/>
        <w:t>Éxito</w:t>
      </w:r>
    </w:p>
    <w:p>
      <w:pPr>
        <w:pStyle w:val="BodyText"/>
        <w:rPr>
          <w:b/>
        </w:rPr>
      </w:pPr>
    </w:p>
    <w:p>
      <w:pPr>
        <w:pStyle w:val="BodyText"/>
        <w:spacing w:line="360" w:lineRule="auto" w:before="154"/>
        <w:ind w:left="122" w:right="116"/>
        <w:jc w:val="both"/>
      </w:pPr>
      <w:r>
        <w:rPr/>
        <w:t>Varios autores definen a los factores críticos de la siguiente manera: para Ronald (1961), son un conjunto de acciones cuyo resultado es una combinación de entradas o recursos que logran incrementar la rentabilidad de una organización. Por otro lado, Rockart (1981), menciona que los FCE es un número limitado de áreas en la cuales, los resultados, si son satisfactorios, asegurarán un desempeño competitivo exitoso para el individuo, departamento o la organización. Por su parte, Leidecker (1984), los define como características, condiciones o variables que cuando están debidamente soportadas, conservadas o administradas tienen un impacto significativo en el éxito de una organización y Eccles (1993), menciona que son condiciones internas o externas claves para que la estrategia de la organización sea exitosa.</w:t>
      </w:r>
    </w:p>
    <w:p>
      <w:pPr>
        <w:pStyle w:val="BodyText"/>
        <w:spacing w:before="3"/>
        <w:rPr>
          <w:sz w:val="24"/>
        </w:rPr>
      </w:pPr>
    </w:p>
    <w:p>
      <w:pPr>
        <w:pStyle w:val="Heading6"/>
        <w:numPr>
          <w:ilvl w:val="1"/>
          <w:numId w:val="58"/>
        </w:numPr>
        <w:tabs>
          <w:tab w:pos="552" w:val="left" w:leader="none"/>
        </w:tabs>
        <w:spacing w:line="240" w:lineRule="auto" w:before="0" w:after="0"/>
        <w:ind w:left="551" w:right="0" w:hanging="429"/>
        <w:jc w:val="both"/>
      </w:pPr>
      <w:bookmarkStart w:name="_TOC_250013" w:id="60"/>
      <w:r>
        <w:rPr/>
        <w:t>Sistema de indicadores PEIR para la Cuenca Hidrosocial Presa</w:t>
      </w:r>
      <w:r>
        <w:rPr>
          <w:spacing w:val="-14"/>
        </w:rPr>
        <w:t> </w:t>
      </w:r>
      <w:bookmarkEnd w:id="60"/>
      <w:r>
        <w:rPr/>
        <w:t>Huapango</w:t>
      </w:r>
    </w:p>
    <w:p>
      <w:pPr>
        <w:pStyle w:val="BodyText"/>
        <w:rPr>
          <w:b/>
        </w:rPr>
      </w:pPr>
    </w:p>
    <w:p>
      <w:pPr>
        <w:pStyle w:val="BodyText"/>
        <w:spacing w:line="360" w:lineRule="auto" w:before="154"/>
        <w:ind w:left="122" w:right="115"/>
        <w:jc w:val="both"/>
      </w:pPr>
      <w:r>
        <w:rPr/>
        <w:t>Para iniciar la selección de indicadores clave (FCE) se generó el sistema</w:t>
      </w:r>
      <w:r>
        <w:rPr>
          <w:position w:val="8"/>
          <w:sz w:val="14"/>
        </w:rPr>
        <w:t>11 </w:t>
      </w:r>
      <w:r>
        <w:rPr/>
        <w:t>de indicadores PEIR, la matriz PEIR y los mapas conceptuales para identificar la interrelación de los indicadores más importantes mediante el número de vínculos que deben considerarse para designar los FCE que servirán para la elaboración de la propuesta de un Comité Intermunicipal con su Reglamento para el uso, cuidado y defensa de la Cuenca Hidrosocial Presa Huapango, mediante la GIRH, a través de la gobernanza y gobernabilidad. Es por ello que a continuación se presentan en tablas los principios de gobernanza y gobernabilidad y algunas consideraciones teóricas que con base en el Trabajo de Campo, García (2013-2016) y de gabinete han sido seleccionados para el sistema</w:t>
      </w:r>
      <w:r>
        <w:rPr>
          <w:spacing w:val="-5"/>
        </w:rPr>
        <w:t> </w:t>
      </w:r>
      <w:r>
        <w:rPr/>
        <w:t>PEIR-CHPH.</w:t>
      </w:r>
    </w:p>
    <w:p>
      <w:pPr>
        <w:pStyle w:val="BodyText"/>
        <w:spacing w:before="5"/>
        <w:rPr>
          <w:sz w:val="24"/>
        </w:rPr>
      </w:pPr>
    </w:p>
    <w:p>
      <w:pPr>
        <w:pStyle w:val="BodyText"/>
        <w:spacing w:line="360" w:lineRule="auto"/>
        <w:ind w:left="122" w:right="115"/>
        <w:jc w:val="both"/>
      </w:pPr>
      <w:r>
        <w:rPr/>
        <w:pict>
          <v:line style="position:absolute;mso-position-horizontal-relative:page;mso-position-vertical-relative:paragraph;z-index:11920;mso-wrap-distance-left:0;mso-wrap-distance-right:0" from="85.103996pt,101.187881pt" to="229.123996pt,101.187881pt" stroked="true" strokeweight=".71997pt" strokecolor="#000000">
            <w10:wrap type="topAndBottom"/>
          </v:line>
        </w:pict>
      </w:r>
      <w:r>
        <w:rPr/>
        <w:t>El sistema PEIR para la CHPH está compuesto por las AEPA: ambiental, social, económica y política, dichas AEPA se interrelacionan a través de sus indicadores. El sistema PEIR inició, para este estudio de caso, a través de una clave PEIR-AEPA, la cual consiste en asignar un código a cada indicador de las AEPA con la finalidad de que no exista  confusión a  la hora  de su definición  y de su uso en  el sistema. Dicha  clave,   fue</w:t>
      </w:r>
    </w:p>
    <w:p>
      <w:pPr>
        <w:spacing w:line="244" w:lineRule="auto" w:before="67"/>
        <w:ind w:left="122" w:right="116" w:firstLine="0"/>
        <w:jc w:val="both"/>
        <w:rPr>
          <w:sz w:val="20"/>
        </w:rPr>
      </w:pPr>
      <w:r>
        <w:rPr>
          <w:rFonts w:ascii="Calibri" w:hAnsi="Calibri"/>
          <w:position w:val="7"/>
          <w:sz w:val="13"/>
        </w:rPr>
        <w:t>11 </w:t>
      </w:r>
      <w:r>
        <w:rPr>
          <w:sz w:val="20"/>
        </w:rPr>
        <w:t>Un sistema es un todo comprendido por sus componentes y sus </w:t>
      </w:r>
      <w:hyperlink r:id="rId248">
        <w:r>
          <w:rPr>
            <w:sz w:val="20"/>
          </w:rPr>
          <w:t>propiedades,</w:t>
        </w:r>
      </w:hyperlink>
      <w:r>
        <w:rPr>
          <w:sz w:val="20"/>
        </w:rPr>
        <w:t> una organización en la que el comportamiento y la expresión de cada uno repercute y es afectada por los demás. Este tipo de sistema es mucho más que la mera suma de cada una de sus partes (Bertalanffy, 1976).</w:t>
      </w:r>
    </w:p>
    <w:p>
      <w:pPr>
        <w:spacing w:after="0" w:line="244" w:lineRule="auto"/>
        <w:jc w:val="both"/>
        <w:rPr>
          <w:sz w:val="20"/>
        </w:rPr>
        <w:sectPr>
          <w:pgSz w:w="12240" w:h="15840"/>
          <w:pgMar w:header="0" w:footer="1003" w:top="1360" w:bottom="1200" w:left="1580" w:right="1580"/>
        </w:sectPr>
      </w:pPr>
    </w:p>
    <w:p>
      <w:pPr>
        <w:pStyle w:val="BodyText"/>
        <w:spacing w:line="360" w:lineRule="auto" w:before="56"/>
        <w:ind w:left="102" w:right="112"/>
        <w:jc w:val="both"/>
        <w:rPr>
          <w:i/>
        </w:rPr>
      </w:pPr>
      <w:r>
        <w:rPr/>
        <w:t>asignada de acuerdo al número que ocupa el indicador en la AEPA, a la categoría PEIR, es decir, si es un indicador de Presión, Estado, Impacto y Respuesta y a la AEPA que pertenece, ya que estas características permitieron que el indicador sea único en el sistema. Por ejemplo el indicador de la Historia Ambiental, es un indicador de presión, ocupa el número uno en la AEPA y es de la AEPA Ambiental, por lo que su clave es: </w:t>
      </w:r>
      <w:r>
        <w:rPr>
          <w:i/>
        </w:rPr>
        <w:t>P1A.</w:t>
      </w:r>
    </w:p>
    <w:p>
      <w:pPr>
        <w:pStyle w:val="BodyText"/>
        <w:spacing w:before="10"/>
        <w:rPr>
          <w:i/>
          <w:sz w:val="24"/>
        </w:rPr>
      </w:pPr>
    </w:p>
    <w:p>
      <w:pPr>
        <w:pStyle w:val="BodyText"/>
        <w:spacing w:line="360" w:lineRule="auto"/>
        <w:ind w:left="102" w:right="115"/>
        <w:jc w:val="both"/>
      </w:pPr>
      <w:r>
        <w:rPr/>
        <w:t>Posteriormente, se hace mención del indicador para generar su concepto a través de la teoría social y el trabajo de campo, García (2013-2016). A partir de aquí se menciona su unidad de medición y por último la definición de la unidad de medición, esto con la finalidad de que el indicador esté bien definido para que pueda participar en el sistema PEIR y pueda interrelacionarse con el resto de los indicadores de su AEPA y de las otras AEPA.</w:t>
      </w:r>
    </w:p>
    <w:p>
      <w:pPr>
        <w:pStyle w:val="BodyText"/>
        <w:spacing w:before="8"/>
        <w:rPr>
          <w:sz w:val="24"/>
        </w:rPr>
      </w:pPr>
    </w:p>
    <w:p>
      <w:pPr>
        <w:pStyle w:val="BodyText"/>
        <w:spacing w:line="360" w:lineRule="auto"/>
        <w:ind w:left="102" w:right="117"/>
        <w:jc w:val="both"/>
      </w:pPr>
      <w:r>
        <w:rPr/>
        <w:t>Por tal motivo, el sistema PEIR para la CHPH, inició con la definición de los indicadores  de las cuatro AEPA: ambiental, social, económica y política que integran el sistema para posteriormente interrelacionarse a través de una matriz que mediante el número de vínculos de cada indicador designó la jerarquía y el peso específico para que a través del Principio de Pareto, se designará la regla del 80/20 con lo cual pudo elegirse a los Factores Críticos de Éxito, que son los indicadores con mayores vínculos, jerarquía y  peso específico, ya que los dos últimos se asignan en función del primero y dichos factores críticos servirán para la creación de la propuesta de un Comité Intermunicipal con su Reglamento para cuidar, defender y administrar los recursos naturales de la</w:t>
      </w:r>
      <w:r>
        <w:rPr>
          <w:spacing w:val="-28"/>
        </w:rPr>
        <w:t> </w:t>
      </w:r>
      <w:r>
        <w:rPr/>
        <w:t>CHPH.</w:t>
      </w:r>
    </w:p>
    <w:p>
      <w:pPr>
        <w:pStyle w:val="BodyText"/>
        <w:spacing w:before="9"/>
        <w:rPr>
          <w:sz w:val="17"/>
        </w:rPr>
      </w:pPr>
    </w:p>
    <w:p>
      <w:pPr>
        <w:pStyle w:val="BodyText"/>
        <w:spacing w:line="360" w:lineRule="auto"/>
        <w:ind w:left="102" w:right="119"/>
        <w:jc w:val="both"/>
      </w:pPr>
      <w:r>
        <w:rPr/>
        <w:t>Por tal motivo el sistema PEIR para la CHPH, inició con la definición de los indicadores,  su  unidad  de  medición  y     la  definición  de  esta  última,  en  las  siguientes      </w:t>
      </w:r>
      <w:r>
        <w:rPr>
          <w:spacing w:val="27"/>
        </w:rPr>
        <w:t> </w:t>
      </w:r>
      <w:r>
        <w:rPr/>
        <w:t>tablas:</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1"/>
      </w:pPr>
    </w:p>
    <w:p>
      <w:pPr>
        <w:pStyle w:val="Heading6"/>
        <w:spacing w:before="73"/>
        <w:ind w:left="1234"/>
      </w:pPr>
      <w:r>
        <w:rPr/>
        <w:t>SISTEMA DE INDICADORES PEIR PARA LA CUENCA HIDROSOCIAL PRESA HUAPANGO</w:t>
      </w:r>
    </w:p>
    <w:p>
      <w:pPr>
        <w:pStyle w:val="BodyText"/>
        <w:spacing w:before="11"/>
        <w:rPr>
          <w:b/>
          <w:sz w:val="20"/>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516" w:hRule="exact"/>
        </w:trPr>
        <w:tc>
          <w:tcPr>
            <w:tcW w:w="11723" w:type="dxa"/>
            <w:gridSpan w:val="6"/>
          </w:tcPr>
          <w:p>
            <w:pPr>
              <w:pStyle w:val="TableParagraph"/>
              <w:spacing w:line="242" w:lineRule="auto"/>
              <w:ind w:left="4913" w:right="1451" w:hanging="3450"/>
              <w:rPr>
                <w:b/>
                <w:sz w:val="22"/>
              </w:rPr>
            </w:pPr>
            <w:r>
              <w:rPr>
                <w:b/>
                <w:sz w:val="22"/>
              </w:rPr>
              <w:t>Tabla 7.3. Sistema de Indicadores PEIR para la Cuenca Hidrosocial Presa Huapango (AEPA Ambiental)</w:t>
            </w:r>
          </w:p>
        </w:tc>
      </w:tr>
      <w:tr>
        <w:trPr>
          <w:trHeight w:val="770" w:hRule="exact"/>
        </w:trPr>
        <w:tc>
          <w:tcPr>
            <w:tcW w:w="852" w:type="dxa"/>
            <w:shd w:val="clear" w:color="auto" w:fill="BEBEBE"/>
          </w:tcPr>
          <w:p>
            <w:pPr>
              <w:pStyle w:val="TableParagraph"/>
              <w:ind w:left="115" w:right="112" w:firstLine="12"/>
              <w:jc w:val="both"/>
              <w:rPr>
                <w:b/>
                <w:sz w:val="22"/>
              </w:rPr>
            </w:pPr>
            <w:r>
              <w:rPr>
                <w:b/>
                <w:sz w:val="22"/>
              </w:rPr>
              <w:t>Clave PEIR- AEPA</w:t>
            </w:r>
          </w:p>
        </w:tc>
        <w:tc>
          <w:tcPr>
            <w:tcW w:w="730" w:type="dxa"/>
            <w:shd w:val="clear" w:color="auto" w:fill="BEBEBE"/>
          </w:tcPr>
          <w:p>
            <w:pPr>
              <w:pStyle w:val="TableParagraph"/>
              <w:spacing w:line="248" w:lineRule="exact"/>
              <w:ind w:left="83" w:right="83"/>
              <w:jc w:val="center"/>
              <w:rPr>
                <w:b/>
                <w:sz w:val="22"/>
              </w:rPr>
            </w:pPr>
            <w:r>
              <w:rPr>
                <w:b/>
                <w:sz w:val="22"/>
              </w:rPr>
              <w:t>PEIR</w:t>
            </w:r>
          </w:p>
        </w:tc>
        <w:tc>
          <w:tcPr>
            <w:tcW w:w="1918" w:type="dxa"/>
            <w:shd w:val="clear" w:color="auto" w:fill="BEBEBE"/>
          </w:tcPr>
          <w:p>
            <w:pPr>
              <w:pStyle w:val="TableParagraph"/>
              <w:spacing w:before="8"/>
              <w:ind w:left="0"/>
              <w:rPr>
                <w:b/>
                <w:sz w:val="21"/>
              </w:rPr>
            </w:pPr>
          </w:p>
          <w:p>
            <w:pPr>
              <w:pStyle w:val="TableParagraph"/>
              <w:ind w:left="85" w:right="85"/>
              <w:jc w:val="center"/>
              <w:rPr>
                <w:b/>
                <w:sz w:val="22"/>
              </w:rPr>
            </w:pPr>
            <w:r>
              <w:rPr>
                <w:b/>
                <w:sz w:val="22"/>
              </w:rPr>
              <w:t>Indicador</w:t>
            </w:r>
          </w:p>
        </w:tc>
        <w:tc>
          <w:tcPr>
            <w:tcW w:w="3259" w:type="dxa"/>
            <w:shd w:val="clear" w:color="auto" w:fill="BEBEBE"/>
          </w:tcPr>
          <w:p>
            <w:pPr>
              <w:pStyle w:val="TableParagraph"/>
              <w:spacing w:before="8"/>
              <w:ind w:left="0"/>
              <w:rPr>
                <w:b/>
                <w:sz w:val="21"/>
              </w:rPr>
            </w:pPr>
          </w:p>
          <w:p>
            <w:pPr>
              <w:pStyle w:val="TableParagraph"/>
              <w:ind w:left="432" w:right="93"/>
              <w:rPr>
                <w:b/>
                <w:sz w:val="22"/>
              </w:rPr>
            </w:pPr>
            <w:r>
              <w:rPr>
                <w:b/>
                <w:sz w:val="22"/>
              </w:rPr>
              <w:t>Concepto de Indicador</w:t>
            </w:r>
          </w:p>
        </w:tc>
        <w:tc>
          <w:tcPr>
            <w:tcW w:w="2129" w:type="dxa"/>
            <w:shd w:val="clear" w:color="auto" w:fill="BEBEBE"/>
          </w:tcPr>
          <w:p>
            <w:pPr>
              <w:pStyle w:val="TableParagraph"/>
              <w:spacing w:before="122"/>
              <w:ind w:left="581" w:right="511" w:hanging="56"/>
              <w:rPr>
                <w:b/>
                <w:sz w:val="22"/>
              </w:rPr>
            </w:pPr>
            <w:r>
              <w:rPr>
                <w:b/>
                <w:sz w:val="22"/>
              </w:rPr>
              <w:t>Unidad de Medición</w:t>
            </w:r>
          </w:p>
        </w:tc>
        <w:tc>
          <w:tcPr>
            <w:tcW w:w="2835" w:type="dxa"/>
            <w:shd w:val="clear" w:color="auto" w:fill="BEBEBE"/>
          </w:tcPr>
          <w:p>
            <w:pPr>
              <w:pStyle w:val="TableParagraph"/>
              <w:spacing w:line="242" w:lineRule="auto"/>
              <w:ind w:left="772" w:right="181" w:hanging="581"/>
              <w:rPr>
                <w:b/>
                <w:sz w:val="22"/>
              </w:rPr>
            </w:pPr>
            <w:r>
              <w:rPr>
                <w:b/>
                <w:sz w:val="22"/>
              </w:rPr>
              <w:t>Definición de la Unidad de Medición</w:t>
            </w:r>
          </w:p>
        </w:tc>
      </w:tr>
      <w:tr>
        <w:trPr>
          <w:trHeight w:val="3553" w:hRule="exact"/>
        </w:trPr>
        <w:tc>
          <w:tcPr>
            <w:tcW w:w="852" w:type="dxa"/>
            <w:shd w:val="clear" w:color="auto" w:fill="76923B"/>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6"/>
              <w:ind w:left="0"/>
              <w:rPr>
                <w:b/>
                <w:sz w:val="21"/>
              </w:rPr>
            </w:pPr>
          </w:p>
          <w:p>
            <w:pPr>
              <w:pStyle w:val="TableParagraph"/>
              <w:ind w:left="124" w:right="124"/>
              <w:jc w:val="center"/>
              <w:rPr>
                <w:b/>
                <w:sz w:val="22"/>
              </w:rPr>
            </w:pPr>
            <w:r>
              <w:rPr>
                <w:b/>
                <w:sz w:val="22"/>
              </w:rPr>
              <w:t>P1A</w:t>
            </w:r>
          </w:p>
        </w:tc>
        <w:tc>
          <w:tcPr>
            <w:tcW w:w="730" w:type="dxa"/>
            <w:shd w:val="clear" w:color="auto" w:fill="76923B"/>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6"/>
              <w:ind w:left="0"/>
              <w:rPr>
                <w:b/>
                <w:sz w:val="21"/>
              </w:rPr>
            </w:pPr>
          </w:p>
          <w:p>
            <w:pPr>
              <w:pStyle w:val="TableParagraph"/>
              <w:ind w:left="3"/>
              <w:jc w:val="center"/>
              <w:rPr>
                <w:b/>
                <w:sz w:val="22"/>
              </w:rPr>
            </w:pPr>
            <w:r>
              <w:rPr>
                <w:b/>
                <w:w w:val="100"/>
                <w:sz w:val="22"/>
              </w:rPr>
              <w:t>P</w:t>
            </w:r>
          </w:p>
        </w:tc>
        <w:tc>
          <w:tcPr>
            <w:tcW w:w="1918" w:type="dxa"/>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8"/>
              <w:ind w:left="0"/>
              <w:rPr>
                <w:b/>
                <w:sz w:val="21"/>
              </w:rPr>
            </w:pPr>
          </w:p>
          <w:p>
            <w:pPr>
              <w:pStyle w:val="TableParagraph"/>
              <w:ind w:right="831"/>
              <w:rPr>
                <w:sz w:val="22"/>
              </w:rPr>
            </w:pPr>
            <w:r>
              <w:rPr>
                <w:sz w:val="22"/>
              </w:rPr>
              <w:t>Historia ambiental</w:t>
            </w:r>
          </w:p>
        </w:tc>
        <w:tc>
          <w:tcPr>
            <w:tcW w:w="3259" w:type="dxa"/>
          </w:tcPr>
          <w:p>
            <w:pPr>
              <w:pStyle w:val="TableParagraph"/>
              <w:ind w:right="97"/>
              <w:jc w:val="both"/>
              <w:rPr>
                <w:sz w:val="22"/>
              </w:rPr>
            </w:pPr>
            <w:r>
              <w:rPr>
                <w:sz w:val="22"/>
              </w:rPr>
              <w:t>Son los principales hechos y procesos de las interacciones de los actores de la CHPH con el ambiente a lo largo del tiempo; y las prácticas culturales de gran antigüedad asociadas a las características locales de la Cuenca que permiten el interés de la gestión ambiental para sostener sus recursos naturales de la región (Cfr. Hecht.   1976;  White,   2012  y</w:t>
            </w:r>
          </w:p>
          <w:p>
            <w:pPr>
              <w:pStyle w:val="TableParagraph"/>
              <w:spacing w:line="252" w:lineRule="exact"/>
              <w:jc w:val="both"/>
              <w:rPr>
                <w:sz w:val="22"/>
              </w:rPr>
            </w:pPr>
            <w:r>
              <w:rPr>
                <w:sz w:val="22"/>
              </w:rPr>
              <w:t>García, TC: 2013-2015).</w:t>
            </w:r>
          </w:p>
        </w:tc>
        <w:tc>
          <w:tcPr>
            <w:tcW w:w="2129" w:type="dxa"/>
          </w:tcPr>
          <w:p>
            <w:pPr>
              <w:pStyle w:val="TableParagraph"/>
              <w:ind w:left="0"/>
              <w:rPr>
                <w:b/>
                <w:sz w:val="22"/>
              </w:rPr>
            </w:pPr>
          </w:p>
          <w:p>
            <w:pPr>
              <w:pStyle w:val="TableParagraph"/>
              <w:ind w:left="0"/>
              <w:rPr>
                <w:b/>
                <w:sz w:val="22"/>
              </w:rPr>
            </w:pPr>
          </w:p>
          <w:p>
            <w:pPr>
              <w:pStyle w:val="TableParagraph"/>
              <w:spacing w:before="7"/>
              <w:ind w:left="0"/>
              <w:rPr>
                <w:b/>
                <w:sz w:val="32"/>
              </w:rPr>
            </w:pPr>
          </w:p>
          <w:p>
            <w:pPr>
              <w:pStyle w:val="TableParagraph"/>
              <w:ind w:right="89"/>
              <w:rPr>
                <w:b/>
                <w:sz w:val="22"/>
              </w:rPr>
            </w:pPr>
            <w:r>
              <w:rPr>
                <w:b/>
                <w:sz w:val="22"/>
              </w:rPr>
              <w:t>Hechos históricos de impacto en la vinculación agua- ambiente- sociedad.</w:t>
            </w:r>
          </w:p>
          <w:p>
            <w:pPr>
              <w:pStyle w:val="TableParagraph"/>
              <w:spacing w:before="1"/>
              <w:ind w:left="281" w:right="89"/>
              <w:rPr>
                <w:b/>
                <w:sz w:val="22"/>
              </w:rPr>
            </w:pPr>
            <w:r>
              <w:rPr>
                <w:b/>
                <w:sz w:val="22"/>
              </w:rPr>
              <w:t>(adimensional)</w:t>
            </w:r>
          </w:p>
        </w:tc>
        <w:tc>
          <w:tcPr>
            <w:tcW w:w="2835" w:type="dxa"/>
          </w:tcPr>
          <w:p>
            <w:pPr>
              <w:pStyle w:val="TableParagraph"/>
              <w:ind w:left="0"/>
              <w:rPr>
                <w:b/>
                <w:sz w:val="22"/>
              </w:rPr>
            </w:pPr>
          </w:p>
          <w:p>
            <w:pPr>
              <w:pStyle w:val="TableParagraph"/>
              <w:spacing w:before="10"/>
              <w:ind w:left="0"/>
              <w:rPr>
                <w:b/>
                <w:sz w:val="21"/>
              </w:rPr>
            </w:pPr>
          </w:p>
          <w:p>
            <w:pPr>
              <w:pStyle w:val="TableParagraph"/>
              <w:ind w:left="100" w:right="101"/>
              <w:jc w:val="both"/>
              <w:rPr>
                <w:sz w:val="22"/>
              </w:rPr>
            </w:pPr>
            <w:r>
              <w:rPr>
                <w:sz w:val="22"/>
              </w:rPr>
              <w:t>Cantidad de procesos históricos  significativos que han articulado las redes socioambientales de la CHPH.</w:t>
            </w:r>
          </w:p>
          <w:p>
            <w:pPr>
              <w:pStyle w:val="TableParagraph"/>
              <w:spacing w:before="1"/>
              <w:ind w:left="100" w:right="102"/>
              <w:jc w:val="both"/>
              <w:rPr>
                <w:sz w:val="22"/>
              </w:rPr>
            </w:pPr>
            <w:r>
              <w:rPr>
                <w:sz w:val="22"/>
              </w:rPr>
              <w:t>(Ejemplos de hechos históricos: construcción de la presa,</w:t>
            </w:r>
          </w:p>
          <w:p>
            <w:pPr>
              <w:pStyle w:val="TableParagraph"/>
              <w:ind w:left="100" w:right="357"/>
              <w:rPr>
                <w:sz w:val="22"/>
              </w:rPr>
            </w:pPr>
            <w:r>
              <w:rPr>
                <w:sz w:val="22"/>
              </w:rPr>
              <w:t>creación del municipio y creación del ejido)</w:t>
            </w:r>
          </w:p>
        </w:tc>
      </w:tr>
      <w:tr>
        <w:trPr>
          <w:trHeight w:val="3298" w:hRule="exact"/>
        </w:trPr>
        <w:tc>
          <w:tcPr>
            <w:tcW w:w="852" w:type="dxa"/>
            <w:shd w:val="clear" w:color="auto" w:fill="76923B"/>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6"/>
              <w:ind w:left="0"/>
              <w:rPr>
                <w:b/>
                <w:sz w:val="32"/>
              </w:rPr>
            </w:pPr>
          </w:p>
          <w:p>
            <w:pPr>
              <w:pStyle w:val="TableParagraph"/>
              <w:ind w:left="124" w:right="124"/>
              <w:jc w:val="center"/>
              <w:rPr>
                <w:b/>
                <w:sz w:val="22"/>
              </w:rPr>
            </w:pPr>
            <w:r>
              <w:rPr>
                <w:b/>
                <w:sz w:val="22"/>
              </w:rPr>
              <w:t>P2A</w:t>
            </w:r>
          </w:p>
        </w:tc>
        <w:tc>
          <w:tcPr>
            <w:tcW w:w="730" w:type="dxa"/>
            <w:shd w:val="clear" w:color="auto" w:fill="76923B"/>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5"/>
              <w:ind w:left="0"/>
              <w:rPr>
                <w:b/>
                <w:sz w:val="21"/>
              </w:rPr>
            </w:pPr>
          </w:p>
          <w:p>
            <w:pPr>
              <w:pStyle w:val="TableParagraph"/>
              <w:ind w:left="0" w:right="1"/>
              <w:jc w:val="center"/>
              <w:rPr>
                <w:b/>
                <w:sz w:val="22"/>
              </w:rPr>
            </w:pPr>
            <w:r>
              <w:rPr>
                <w:b/>
                <w:w w:val="100"/>
                <w:sz w:val="22"/>
              </w:rPr>
              <w:t>P</w:t>
            </w:r>
          </w:p>
        </w:tc>
        <w:tc>
          <w:tcPr>
            <w:tcW w:w="1918" w:type="dxa"/>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8"/>
              <w:ind w:left="0"/>
              <w:rPr>
                <w:b/>
                <w:sz w:val="21"/>
              </w:rPr>
            </w:pPr>
          </w:p>
          <w:p>
            <w:pPr>
              <w:pStyle w:val="TableParagraph"/>
              <w:ind w:left="85" w:right="181"/>
              <w:jc w:val="center"/>
              <w:rPr>
                <w:sz w:val="22"/>
              </w:rPr>
            </w:pPr>
            <w:r>
              <w:rPr>
                <w:sz w:val="22"/>
              </w:rPr>
              <w:t>Poder ambiental</w:t>
            </w:r>
          </w:p>
        </w:tc>
        <w:tc>
          <w:tcPr>
            <w:tcW w:w="3259" w:type="dxa"/>
          </w:tcPr>
          <w:p>
            <w:pPr>
              <w:pStyle w:val="TableParagraph"/>
              <w:ind w:left="0"/>
              <w:rPr>
                <w:b/>
                <w:sz w:val="22"/>
              </w:rPr>
            </w:pPr>
          </w:p>
          <w:p>
            <w:pPr>
              <w:pStyle w:val="TableParagraph"/>
              <w:ind w:left="0"/>
              <w:rPr>
                <w:b/>
                <w:sz w:val="22"/>
              </w:rPr>
            </w:pPr>
          </w:p>
          <w:p>
            <w:pPr>
              <w:pStyle w:val="TableParagraph"/>
              <w:spacing w:before="8"/>
              <w:ind w:left="0"/>
              <w:rPr>
                <w:b/>
                <w:sz w:val="21"/>
              </w:rPr>
            </w:pPr>
          </w:p>
          <w:p>
            <w:pPr>
              <w:pStyle w:val="TableParagraph"/>
              <w:tabs>
                <w:tab w:pos="1137" w:val="left" w:leader="none"/>
                <w:tab w:pos="2060" w:val="left" w:leader="none"/>
              </w:tabs>
              <w:ind w:right="97"/>
              <w:jc w:val="both"/>
              <w:rPr>
                <w:sz w:val="22"/>
              </w:rPr>
            </w:pPr>
            <w:r>
              <w:rPr>
                <w:sz w:val="22"/>
              </w:rPr>
              <w:t>Son</w:t>
              <w:tab/>
              <w:t>las</w:t>
              <w:tab/>
            </w:r>
            <w:r>
              <w:rPr>
                <w:spacing w:val="-1"/>
                <w:sz w:val="22"/>
              </w:rPr>
              <w:t>estructuras </w:t>
            </w:r>
            <w:r>
              <w:rPr>
                <w:sz w:val="22"/>
              </w:rPr>
              <w:t>sociopolíticas de la CHPH que tienen el control de los recursos naturales de la región (Cfr. Newbold Adams, 1978 y García, TC:</w:t>
            </w:r>
            <w:r>
              <w:rPr>
                <w:spacing w:val="-7"/>
                <w:sz w:val="22"/>
              </w:rPr>
              <w:t> </w:t>
            </w:r>
            <w:r>
              <w:rPr>
                <w:sz w:val="22"/>
              </w:rPr>
              <w:t>2013-2015).</w:t>
            </w:r>
          </w:p>
        </w:tc>
        <w:tc>
          <w:tcPr>
            <w:tcW w:w="2129" w:type="dxa"/>
          </w:tcPr>
          <w:p>
            <w:pPr>
              <w:pStyle w:val="TableParagraph"/>
              <w:ind w:left="0"/>
              <w:rPr>
                <w:b/>
                <w:sz w:val="22"/>
              </w:rPr>
            </w:pPr>
          </w:p>
          <w:p>
            <w:pPr>
              <w:pStyle w:val="TableParagraph"/>
              <w:ind w:left="0"/>
              <w:rPr>
                <w:b/>
                <w:sz w:val="22"/>
              </w:rPr>
            </w:pPr>
          </w:p>
          <w:p>
            <w:pPr>
              <w:pStyle w:val="TableParagraph"/>
              <w:spacing w:before="6"/>
              <w:ind w:left="0"/>
              <w:rPr>
                <w:b/>
                <w:sz w:val="21"/>
              </w:rPr>
            </w:pPr>
          </w:p>
          <w:p>
            <w:pPr>
              <w:pStyle w:val="TableParagraph"/>
              <w:tabs>
                <w:tab w:pos="784" w:val="left" w:leader="none"/>
                <w:tab w:pos="1394" w:val="left" w:leader="none"/>
              </w:tabs>
              <w:ind w:right="102"/>
              <w:rPr>
                <w:b/>
                <w:sz w:val="22"/>
              </w:rPr>
            </w:pPr>
            <w:r>
              <w:rPr>
                <w:b/>
                <w:sz w:val="22"/>
              </w:rPr>
              <w:t># de municipios y mapas de actores de</w:t>
              <w:tab/>
              <w:t>la</w:t>
              <w:tab/>
            </w:r>
            <w:r>
              <w:rPr>
                <w:b/>
                <w:spacing w:val="-1"/>
                <w:sz w:val="22"/>
              </w:rPr>
              <w:t>CHPH </w:t>
            </w:r>
            <w:r>
              <w:rPr>
                <w:b/>
                <w:sz w:val="22"/>
              </w:rPr>
              <w:t>dominantes y no dominantes ambientalmente.</w:t>
            </w:r>
          </w:p>
        </w:tc>
        <w:tc>
          <w:tcPr>
            <w:tcW w:w="2835" w:type="dxa"/>
          </w:tcPr>
          <w:p>
            <w:pPr>
              <w:pStyle w:val="TableParagraph"/>
              <w:ind w:left="100" w:right="102"/>
              <w:jc w:val="both"/>
              <w:rPr>
                <w:sz w:val="22"/>
              </w:rPr>
            </w:pPr>
            <w:r>
              <w:rPr>
                <w:sz w:val="22"/>
              </w:rPr>
              <w:t>Número de municipios que integran la CHPH y que dominan los recursos naturales sobre aquellos municipios no dominantes (Municipios dominantes: Aculco y Polotitlán y municipios no dominantes: Acambay, Jilotepec y Timilpan).</w:t>
            </w:r>
          </w:p>
          <w:p>
            <w:pPr>
              <w:pStyle w:val="TableParagraph"/>
              <w:spacing w:before="1"/>
              <w:ind w:left="100" w:right="103"/>
              <w:jc w:val="both"/>
              <w:rPr>
                <w:sz w:val="22"/>
              </w:rPr>
            </w:pPr>
            <w:r>
              <w:rPr>
                <w:sz w:val="22"/>
              </w:rPr>
              <w:t>Número de mapas de actores dominantes y no dominantes  en  la   CHPH</w:t>
            </w:r>
          </w:p>
        </w:tc>
      </w:tr>
    </w:tbl>
    <w:p>
      <w:pPr>
        <w:spacing w:after="0"/>
        <w:jc w:val="both"/>
        <w:rPr>
          <w:sz w:val="22"/>
        </w:rPr>
        <w:sectPr>
          <w:footerReference w:type="default" r:id="rId249"/>
          <w:pgSz w:w="15840" w:h="12240" w:orient="landscape"/>
          <w:pgMar w:footer="943" w:header="0" w:top="1140" w:bottom="1140" w:left="2020" w:right="1300"/>
          <w:pgNumType w:start="454"/>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1526" w:hRule="exact"/>
        </w:trPr>
        <w:tc>
          <w:tcPr>
            <w:tcW w:w="852" w:type="dxa"/>
            <w:shd w:val="clear" w:color="auto" w:fill="76923B"/>
          </w:tcPr>
          <w:p>
            <w:pPr/>
          </w:p>
        </w:tc>
        <w:tc>
          <w:tcPr>
            <w:tcW w:w="730" w:type="dxa"/>
            <w:shd w:val="clear" w:color="auto" w:fill="76923B"/>
          </w:tcPr>
          <w:p>
            <w:pPr/>
          </w:p>
        </w:tc>
        <w:tc>
          <w:tcPr>
            <w:tcW w:w="1918" w:type="dxa"/>
          </w:tcPr>
          <w:p>
            <w:pPr/>
          </w:p>
        </w:tc>
        <w:tc>
          <w:tcPr>
            <w:tcW w:w="3259" w:type="dxa"/>
          </w:tcPr>
          <w:p>
            <w:pPr/>
          </w:p>
        </w:tc>
        <w:tc>
          <w:tcPr>
            <w:tcW w:w="2129" w:type="dxa"/>
          </w:tcPr>
          <w:p>
            <w:pPr/>
          </w:p>
        </w:tc>
        <w:tc>
          <w:tcPr>
            <w:tcW w:w="2835" w:type="dxa"/>
          </w:tcPr>
          <w:p>
            <w:pPr>
              <w:pStyle w:val="TableParagraph"/>
              <w:tabs>
                <w:tab w:pos="1523" w:val="left" w:leader="none"/>
              </w:tabs>
              <w:ind w:left="100" w:right="102"/>
              <w:jc w:val="both"/>
              <w:rPr>
                <w:sz w:val="22"/>
              </w:rPr>
            </w:pPr>
            <w:r>
              <w:rPr>
                <w:sz w:val="22"/>
              </w:rPr>
              <w:t>(Ejemplo de mapas de actores</w:t>
              <w:tab/>
            </w:r>
            <w:r>
              <w:rPr>
                <w:spacing w:val="-1"/>
                <w:sz w:val="22"/>
              </w:rPr>
              <w:t>dominantes: </w:t>
            </w:r>
            <w:r>
              <w:rPr>
                <w:sz w:val="22"/>
              </w:rPr>
              <w:t>federales, ganaderos e industria láctea y mapas de actores no dominantes: pescadores,</w:t>
            </w:r>
            <w:r>
              <w:rPr>
                <w:spacing w:val="-4"/>
                <w:sz w:val="22"/>
              </w:rPr>
              <w:t> </w:t>
            </w:r>
            <w:r>
              <w:rPr>
                <w:sz w:val="22"/>
              </w:rPr>
              <w:t>agricultores).</w:t>
            </w:r>
          </w:p>
        </w:tc>
      </w:tr>
      <w:tr>
        <w:trPr>
          <w:trHeight w:val="4059"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4" w:right="124"/>
              <w:jc w:val="center"/>
              <w:rPr>
                <w:b/>
                <w:sz w:val="22"/>
              </w:rPr>
            </w:pPr>
            <w:r>
              <w:rPr>
                <w:b/>
                <w:sz w:val="22"/>
              </w:rPr>
              <w:t>P3A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831"/>
              <w:rPr>
                <w:sz w:val="22"/>
              </w:rPr>
            </w:pPr>
            <w:r>
              <w:rPr>
                <w:sz w:val="22"/>
              </w:rPr>
              <w:t>Cultura ambiental</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right="96"/>
              <w:jc w:val="both"/>
              <w:rPr>
                <w:sz w:val="22"/>
              </w:rPr>
            </w:pPr>
            <w:r>
              <w:rPr>
                <w:sz w:val="22"/>
              </w:rPr>
              <w:t>Pérdida de técnicas y disminución de valores culturales sobre el manejo de los recursos naturales (</w:t>
            </w:r>
            <w:r>
              <w:rPr>
                <w:i/>
                <w:sz w:val="22"/>
              </w:rPr>
              <w:t>Cfr</w:t>
            </w:r>
            <w:r>
              <w:rPr>
                <w:sz w:val="22"/>
              </w:rPr>
              <w:t>. Arjona, 1986 y García, TC: 2013-2015).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122" w:right="120"/>
              <w:jc w:val="center"/>
              <w:rPr>
                <w:b/>
                <w:sz w:val="22"/>
              </w:rPr>
            </w:pPr>
            <w:r>
              <w:rPr>
                <w:b/>
                <w:sz w:val="22"/>
              </w:rPr>
              <w:t># de técnicas y valores culturales perdidos</w:t>
            </w:r>
          </w:p>
        </w:tc>
        <w:tc>
          <w:tcPr>
            <w:tcW w:w="2835" w:type="dxa"/>
          </w:tcPr>
          <w:p>
            <w:pPr>
              <w:pStyle w:val="TableParagraph"/>
              <w:ind w:left="100" w:right="101"/>
              <w:jc w:val="both"/>
              <w:rPr>
                <w:sz w:val="22"/>
              </w:rPr>
            </w:pPr>
            <w:r>
              <w:rPr>
                <w:sz w:val="22"/>
              </w:rPr>
              <w:t>Pérdida de técnicas sostenibles de pesca, de cultivos, de recolección.</w:t>
            </w:r>
          </w:p>
          <w:p>
            <w:pPr>
              <w:pStyle w:val="TableParagraph"/>
              <w:spacing w:before="1"/>
              <w:ind w:left="100" w:right="102"/>
              <w:jc w:val="both"/>
              <w:rPr>
                <w:sz w:val="22"/>
              </w:rPr>
            </w:pPr>
            <w:r>
              <w:rPr>
                <w:sz w:val="22"/>
              </w:rPr>
              <w:t>Pérdida de valores: cosmogonía y mitos relacionados con el ambiente, principalmente el agua.</w:t>
            </w:r>
          </w:p>
          <w:p>
            <w:pPr>
              <w:pStyle w:val="TableParagraph"/>
              <w:tabs>
                <w:tab w:pos="1792" w:val="left" w:leader="none"/>
              </w:tabs>
              <w:spacing w:before="1"/>
              <w:ind w:left="100" w:right="101"/>
              <w:jc w:val="both"/>
              <w:rPr>
                <w:sz w:val="22"/>
              </w:rPr>
            </w:pPr>
            <w:r>
              <w:rPr>
                <w:sz w:val="22"/>
              </w:rPr>
              <w:t>Perdida de recetas tradicionales de productos lacustres</w:t>
              <w:tab/>
            </w:r>
            <w:r>
              <w:rPr>
                <w:spacing w:val="-1"/>
                <w:sz w:val="22"/>
              </w:rPr>
              <w:t>(Ejemplo: </w:t>
            </w:r>
            <w:r>
              <w:rPr>
                <w:sz w:val="22"/>
              </w:rPr>
              <w:t>pérdida de la identificación de las especies y los productos de la laguna: quenopodiums, anfibios, crustáceos).</w:t>
            </w:r>
          </w:p>
        </w:tc>
      </w:tr>
      <w:tr>
        <w:trPr>
          <w:trHeight w:val="3046"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4" w:right="124"/>
              <w:jc w:val="center"/>
              <w:rPr>
                <w:b/>
                <w:sz w:val="22"/>
              </w:rPr>
            </w:pPr>
            <w:r>
              <w:rPr>
                <w:b/>
                <w:sz w:val="22"/>
              </w:rPr>
              <w:t>P4A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440"/>
              <w:rPr>
                <w:sz w:val="22"/>
              </w:rPr>
            </w:pPr>
            <w:r>
              <w:rPr>
                <w:sz w:val="22"/>
              </w:rPr>
              <w:t>Democracia y voluntariedad</w:t>
            </w:r>
          </w:p>
        </w:tc>
        <w:tc>
          <w:tcPr>
            <w:tcW w:w="3259" w:type="dxa"/>
          </w:tcPr>
          <w:p>
            <w:pPr>
              <w:pStyle w:val="TableParagraph"/>
              <w:tabs>
                <w:tab w:pos="2195" w:val="left" w:leader="none"/>
                <w:tab w:pos="2978" w:val="left" w:leader="none"/>
              </w:tabs>
              <w:ind w:right="97"/>
              <w:jc w:val="both"/>
              <w:rPr>
                <w:sz w:val="22"/>
              </w:rPr>
            </w:pPr>
            <w:r>
              <w:rPr>
                <w:sz w:val="22"/>
              </w:rPr>
              <w:t>Las estructuras democráticas gubernamentales  existentes en la CHPH aceleran los procesos de deterioro en materia</w:t>
              <w:tab/>
            </w:r>
            <w:r>
              <w:rPr>
                <w:spacing w:val="-1"/>
                <w:sz w:val="22"/>
              </w:rPr>
              <w:t>ambiental </w:t>
            </w:r>
            <w:r>
              <w:rPr>
                <w:sz w:val="22"/>
              </w:rPr>
              <w:t>ocasionando</w:t>
              <w:tab/>
              <w:tab/>
              <w:t>la</w:t>
            </w:r>
          </w:p>
          <w:p>
            <w:pPr>
              <w:pStyle w:val="TableParagraph"/>
              <w:tabs>
                <w:tab w:pos="1998" w:val="left" w:leader="none"/>
              </w:tabs>
              <w:spacing w:before="2"/>
              <w:ind w:right="96"/>
              <w:jc w:val="both"/>
              <w:rPr>
                <w:sz w:val="22"/>
              </w:rPr>
            </w:pPr>
            <w:r>
              <w:rPr>
                <w:sz w:val="22"/>
              </w:rPr>
              <w:t>sobreexplotación de los recursos naturales, ya que no tienen voluntad de cambio  y no permiten que los actores históricos</w:t>
              <w:tab/>
            </w:r>
            <w:r>
              <w:rPr>
                <w:spacing w:val="-1"/>
                <w:sz w:val="22"/>
              </w:rPr>
              <w:t>intervengan </w:t>
            </w:r>
            <w:r>
              <w:rPr>
                <w:sz w:val="22"/>
              </w:rPr>
              <w:t>directamente en la solución</w:t>
            </w:r>
            <w:r>
              <w:rPr>
                <w:spacing w:val="51"/>
                <w:sz w:val="22"/>
              </w:rPr>
              <w:t> </w:t>
            </w:r>
            <w:r>
              <w:rPr>
                <w:sz w:val="22"/>
              </w:rPr>
              <w:t>de</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146" w:right="146" w:hanging="3"/>
              <w:jc w:val="center"/>
              <w:rPr>
                <w:b/>
                <w:sz w:val="22"/>
              </w:rPr>
            </w:pPr>
            <w:r>
              <w:rPr>
                <w:b/>
                <w:sz w:val="22"/>
              </w:rPr>
              <w:t># de estructuras democráticas gubernamentales en la CHPH</w:t>
            </w:r>
          </w:p>
        </w:tc>
        <w:tc>
          <w:tcPr>
            <w:tcW w:w="2835" w:type="dxa"/>
          </w:tcPr>
          <w:p>
            <w:pPr>
              <w:pStyle w:val="TableParagraph"/>
              <w:tabs>
                <w:tab w:pos="2073" w:val="left" w:leader="none"/>
                <w:tab w:pos="2440" w:val="left" w:leader="none"/>
              </w:tabs>
              <w:ind w:left="100" w:right="101"/>
              <w:jc w:val="both"/>
              <w:rPr>
                <w:sz w:val="22"/>
              </w:rPr>
            </w:pPr>
            <w:r>
              <w:rPr>
                <w:sz w:val="22"/>
              </w:rPr>
              <w:t>Número de instituciones gubernamentales que no tienen voluntad de cambio y que a pesar de que conocen la situación de riesgo y el peligro de extinción de algunas especies</w:t>
              <w:tab/>
            </w:r>
            <w:r>
              <w:rPr>
                <w:spacing w:val="-1"/>
                <w:sz w:val="22"/>
              </w:rPr>
              <w:t>siguen </w:t>
            </w:r>
            <w:r>
              <w:rPr>
                <w:sz w:val="22"/>
              </w:rPr>
              <w:t>sobreexplotando</w:t>
              <w:tab/>
              <w:tab/>
              <w:t>los recursos naturales de la CHPH.</w:t>
            </w:r>
          </w:p>
          <w:p>
            <w:pPr>
              <w:pStyle w:val="TableParagraph"/>
              <w:tabs>
                <w:tab w:pos="1767" w:val="left" w:leader="none"/>
              </w:tabs>
              <w:spacing w:before="1"/>
              <w:ind w:left="100"/>
              <w:jc w:val="both"/>
              <w:rPr>
                <w:sz w:val="22"/>
              </w:rPr>
            </w:pPr>
            <w:r>
              <w:rPr>
                <w:sz w:val="22"/>
              </w:rPr>
              <w:t>(Ejemplo:</w:t>
              <w:tab/>
              <w:t>Conagua,</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1274" w:hRule="exact"/>
        </w:trPr>
        <w:tc>
          <w:tcPr>
            <w:tcW w:w="852" w:type="dxa"/>
            <w:shd w:val="clear" w:color="auto" w:fill="76923B"/>
          </w:tcPr>
          <w:p>
            <w:pPr/>
          </w:p>
        </w:tc>
        <w:tc>
          <w:tcPr>
            <w:tcW w:w="730" w:type="dxa"/>
            <w:shd w:val="clear" w:color="auto" w:fill="76923B"/>
          </w:tcPr>
          <w:p>
            <w:pPr/>
          </w:p>
        </w:tc>
        <w:tc>
          <w:tcPr>
            <w:tcW w:w="1918" w:type="dxa"/>
          </w:tcPr>
          <w:p>
            <w:pPr/>
          </w:p>
        </w:tc>
        <w:tc>
          <w:tcPr>
            <w:tcW w:w="3259" w:type="dxa"/>
          </w:tcPr>
          <w:p>
            <w:pPr>
              <w:pStyle w:val="TableParagraph"/>
              <w:spacing w:line="252" w:lineRule="exact" w:before="2"/>
              <w:ind w:right="93"/>
              <w:rPr>
                <w:sz w:val="22"/>
              </w:rPr>
            </w:pPr>
            <w:r>
              <w:rPr>
                <w:sz w:val="22"/>
              </w:rPr>
              <w:t>sus problemas (Romero, et al., 2012;  Palerm,  1993;   Bobbio,</w:t>
            </w:r>
          </w:p>
          <w:p>
            <w:pPr>
              <w:pStyle w:val="TableParagraph"/>
              <w:spacing w:line="250" w:lineRule="exact"/>
              <w:ind w:right="93"/>
              <w:rPr>
                <w:sz w:val="22"/>
              </w:rPr>
            </w:pPr>
            <w:r>
              <w:rPr>
                <w:sz w:val="22"/>
              </w:rPr>
              <w:t>1999;   Bovero,   2002; Sartori,</w:t>
            </w:r>
          </w:p>
          <w:p>
            <w:pPr>
              <w:pStyle w:val="TableParagraph"/>
              <w:tabs>
                <w:tab w:pos="796" w:val="left" w:leader="none"/>
                <w:tab w:pos="2027" w:val="left" w:leader="none"/>
                <w:tab w:pos="2586" w:val="left" w:leader="none"/>
              </w:tabs>
              <w:spacing w:line="252" w:lineRule="exact"/>
              <w:rPr>
                <w:sz w:val="22"/>
              </w:rPr>
            </w:pPr>
            <w:r>
              <w:rPr>
                <w:sz w:val="22"/>
              </w:rPr>
              <w:t>1993</w:t>
              <w:tab/>
              <w:t>y  </w:t>
            </w:r>
            <w:r>
              <w:rPr>
                <w:spacing w:val="13"/>
                <w:sz w:val="22"/>
              </w:rPr>
              <w:t> </w:t>
            </w:r>
            <w:r>
              <w:rPr>
                <w:sz w:val="22"/>
              </w:rPr>
              <w:t>García,</w:t>
              <w:tab/>
              <w:t>TC:</w:t>
              <w:tab/>
              <w:t>2013-</w:t>
            </w:r>
          </w:p>
          <w:p>
            <w:pPr>
              <w:pStyle w:val="TableParagraph"/>
              <w:spacing w:before="1"/>
              <w:ind w:right="93"/>
              <w:rPr>
                <w:sz w:val="22"/>
              </w:rPr>
            </w:pPr>
            <w:r>
              <w:rPr>
                <w:sz w:val="22"/>
              </w:rPr>
              <w:t>2015).</w:t>
            </w:r>
          </w:p>
        </w:tc>
        <w:tc>
          <w:tcPr>
            <w:tcW w:w="2129" w:type="dxa"/>
          </w:tcPr>
          <w:p>
            <w:pPr/>
          </w:p>
        </w:tc>
        <w:tc>
          <w:tcPr>
            <w:tcW w:w="2835" w:type="dxa"/>
          </w:tcPr>
          <w:p>
            <w:pPr>
              <w:pStyle w:val="TableParagraph"/>
              <w:spacing w:line="251" w:lineRule="exact"/>
              <w:ind w:left="100" w:right="181"/>
              <w:rPr>
                <w:sz w:val="22"/>
              </w:rPr>
            </w:pPr>
            <w:r>
              <w:rPr>
                <w:sz w:val="22"/>
              </w:rPr>
              <w:t>Semarnat, Sagarpa).</w:t>
            </w:r>
          </w:p>
        </w:tc>
      </w:tr>
      <w:tr>
        <w:trPr>
          <w:trHeight w:val="3805"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4" w:right="124"/>
              <w:jc w:val="center"/>
              <w:rPr>
                <w:b/>
                <w:sz w:val="22"/>
              </w:rPr>
            </w:pPr>
            <w:r>
              <w:rPr>
                <w:b/>
                <w:sz w:val="22"/>
              </w:rPr>
              <w:t>P5A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526"/>
              <w:rPr>
                <w:sz w:val="22"/>
              </w:rPr>
            </w:pPr>
            <w:r>
              <w:rPr>
                <w:sz w:val="22"/>
              </w:rPr>
              <w:t>Participación social</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spacing w:before="1"/>
              <w:ind w:right="97"/>
              <w:jc w:val="both"/>
              <w:rPr>
                <w:sz w:val="22"/>
              </w:rPr>
            </w:pPr>
            <w:r>
              <w:rPr>
                <w:sz w:val="22"/>
              </w:rPr>
              <w:t>Inhibición de la participación social ante el continuo deterioro ambiental por el incumplimiento de los actores políticos ante sus promesas de desarrollo sostenible (Cfr. INAFED, 2014 y García, TC: 2013-2015).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209" w:right="208" w:hanging="1"/>
              <w:jc w:val="center"/>
              <w:rPr>
                <w:b/>
                <w:sz w:val="22"/>
              </w:rPr>
            </w:pPr>
            <w:r>
              <w:rPr>
                <w:b/>
                <w:sz w:val="22"/>
              </w:rPr>
              <w:t># de acciones ambientales incumplidas por los actores políticos</w:t>
            </w:r>
          </w:p>
        </w:tc>
        <w:tc>
          <w:tcPr>
            <w:tcW w:w="2835" w:type="dxa"/>
          </w:tcPr>
          <w:p>
            <w:pPr>
              <w:pStyle w:val="TableParagraph"/>
              <w:tabs>
                <w:tab w:pos="1657" w:val="left" w:leader="none"/>
                <w:tab w:pos="1792" w:val="left" w:leader="none"/>
                <w:tab w:pos="2473" w:val="left" w:leader="none"/>
              </w:tabs>
              <w:ind w:left="100" w:right="101"/>
              <w:jc w:val="both"/>
              <w:rPr>
                <w:sz w:val="22"/>
              </w:rPr>
            </w:pPr>
            <w:r>
              <w:rPr>
                <w:sz w:val="22"/>
              </w:rPr>
              <w:t>Número de ofrecimientos políticos formales en materia ambiental no cumplidos</w:t>
              <w:tab/>
              <w:tab/>
            </w:r>
            <w:r>
              <w:rPr>
                <w:spacing w:val="-1"/>
                <w:sz w:val="22"/>
              </w:rPr>
              <w:t>(Ejemplo: </w:t>
            </w:r>
            <w:r>
              <w:rPr>
                <w:sz w:val="22"/>
              </w:rPr>
              <w:t>construcción</w:t>
              <w:tab/>
              <w:tab/>
              <w:tab/>
              <w:t>de biodigestores comunitarios y municipales, plantas de tratamiento de aguas residuales, caso omiso de la construcción de la autopista</w:t>
              <w:tab/>
            </w:r>
            <w:r>
              <w:rPr>
                <w:spacing w:val="-1"/>
                <w:sz w:val="22"/>
              </w:rPr>
              <w:t>Arco-Norte </w:t>
            </w:r>
            <w:r>
              <w:rPr>
                <w:sz w:val="22"/>
              </w:rPr>
              <w:t>dentro de la presa Huapango, cuidado de la sobreexplotación de los recursos en</w:t>
            </w:r>
            <w:r>
              <w:rPr>
                <w:spacing w:val="-5"/>
                <w:sz w:val="22"/>
              </w:rPr>
              <w:t> </w:t>
            </w:r>
            <w:r>
              <w:rPr>
                <w:sz w:val="22"/>
              </w:rPr>
              <w:t>riesgo).</w:t>
            </w:r>
          </w:p>
        </w:tc>
      </w:tr>
      <w:tr>
        <w:trPr>
          <w:trHeight w:val="2794"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4" w:right="124"/>
              <w:jc w:val="center"/>
              <w:rPr>
                <w:b/>
                <w:sz w:val="22"/>
              </w:rPr>
            </w:pPr>
            <w:r>
              <w:rPr>
                <w:b/>
                <w:sz w:val="22"/>
              </w:rPr>
              <w:t>P6A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195"/>
              <w:rPr>
                <w:sz w:val="22"/>
              </w:rPr>
            </w:pPr>
            <w:r>
              <w:rPr>
                <w:sz w:val="22"/>
              </w:rPr>
              <w:t>Relaciones intermunicipales</w:t>
            </w:r>
          </w:p>
        </w:tc>
        <w:tc>
          <w:tcPr>
            <w:tcW w:w="3259"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97"/>
              <w:jc w:val="both"/>
              <w:rPr>
                <w:sz w:val="22"/>
              </w:rPr>
            </w:pPr>
            <w:r>
              <w:rPr>
                <w:sz w:val="22"/>
              </w:rPr>
              <w:t>Limitación de la legislación para que los municipios se interrelacionen para atender asuntos comunes de tipo ambiental  (Cfr.  Quintana, 2005   y   García,   TC:    2013-</w:t>
            </w:r>
          </w:p>
          <w:p>
            <w:pPr>
              <w:pStyle w:val="TableParagraph"/>
              <w:spacing w:before="2"/>
              <w:jc w:val="both"/>
              <w:rPr>
                <w:sz w:val="22"/>
              </w:rPr>
            </w:pPr>
            <w:r>
              <w:rPr>
                <w:sz w:val="22"/>
              </w:rPr>
              <w:t>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7" w:right="127" w:hanging="3"/>
              <w:jc w:val="center"/>
              <w:rPr>
                <w:b/>
                <w:sz w:val="22"/>
              </w:rPr>
            </w:pPr>
            <w:r>
              <w:rPr>
                <w:b/>
                <w:sz w:val="22"/>
              </w:rPr>
              <w:t># de facultades municipales con características de interrelación ambiental</w:t>
            </w:r>
          </w:p>
        </w:tc>
        <w:tc>
          <w:tcPr>
            <w:tcW w:w="2835" w:type="dxa"/>
          </w:tcPr>
          <w:p>
            <w:pPr>
              <w:pStyle w:val="TableParagraph"/>
              <w:tabs>
                <w:tab w:pos="2010" w:val="left" w:leader="none"/>
              </w:tabs>
              <w:ind w:left="100" w:right="101"/>
              <w:jc w:val="both"/>
              <w:rPr>
                <w:sz w:val="22"/>
              </w:rPr>
            </w:pPr>
            <w:r>
              <w:rPr>
                <w:sz w:val="22"/>
              </w:rPr>
              <w:t>Cantidad de facultades municipales de carácter ambiental compartido que se estipulen en la legislación</w:t>
              <w:tab/>
              <w:t>vigente</w:t>
            </w:r>
          </w:p>
          <w:p>
            <w:pPr>
              <w:pStyle w:val="TableParagraph"/>
              <w:tabs>
                <w:tab w:pos="1714" w:val="left" w:leader="none"/>
              </w:tabs>
              <w:ind w:left="100" w:right="102"/>
              <w:jc w:val="both"/>
              <w:rPr>
                <w:sz w:val="22"/>
              </w:rPr>
            </w:pPr>
            <w:r>
              <w:rPr>
                <w:sz w:val="22"/>
              </w:rPr>
              <w:t>(Ejemplo:</w:t>
              <w:tab/>
              <w:t>facultades municipales establecidas en el artículo 115 de la Constitución Política de  los Estados Unidos Mexicanos).</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2792"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4" w:right="124"/>
              <w:jc w:val="center"/>
              <w:rPr>
                <w:b/>
                <w:sz w:val="22"/>
              </w:rPr>
            </w:pPr>
            <w:r>
              <w:rPr>
                <w:b/>
                <w:sz w:val="22"/>
              </w:rPr>
              <w:t>P7A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spacing w:before="1"/>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right="538"/>
              <w:rPr>
                <w:sz w:val="22"/>
              </w:rPr>
            </w:pPr>
            <w:r>
              <w:rPr>
                <w:sz w:val="22"/>
              </w:rPr>
              <w:t>Cooperación ambiental_1</w:t>
            </w:r>
          </w:p>
        </w:tc>
        <w:tc>
          <w:tcPr>
            <w:tcW w:w="3259"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99"/>
              <w:jc w:val="both"/>
              <w:rPr>
                <w:sz w:val="22"/>
              </w:rPr>
            </w:pPr>
            <w:r>
              <w:rPr>
                <w:sz w:val="22"/>
              </w:rPr>
              <w:t>Inhibición del  trabajo  común de los actores de los municipios de la CHPH en materia ambiental por razones políticas.</w:t>
            </w:r>
          </w:p>
          <w:p>
            <w:pPr>
              <w:pStyle w:val="TableParagraph"/>
              <w:spacing w:before="1"/>
              <w:ind w:right="99" w:firstLine="62"/>
              <w:jc w:val="both"/>
              <w:rPr>
                <w:sz w:val="22"/>
              </w:rPr>
            </w:pPr>
            <w:r>
              <w:rPr>
                <w:sz w:val="22"/>
              </w:rPr>
              <w:t>(González, 2003 y  García, TC:</w:t>
            </w:r>
            <w:r>
              <w:rPr>
                <w:spacing w:val="-5"/>
                <w:sz w:val="22"/>
              </w:rPr>
              <w:t> </w:t>
            </w:r>
            <w:r>
              <w:rPr>
                <w:sz w:val="22"/>
              </w:rPr>
              <w:t>2013-2015).</w:t>
            </w:r>
          </w:p>
        </w:tc>
        <w:tc>
          <w:tcPr>
            <w:tcW w:w="2129" w:type="dxa"/>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182" w:right="182" w:hanging="1"/>
              <w:jc w:val="center"/>
              <w:rPr>
                <w:b/>
                <w:sz w:val="22"/>
              </w:rPr>
            </w:pPr>
            <w:r>
              <w:rPr>
                <w:b/>
                <w:sz w:val="22"/>
              </w:rPr>
              <w:t># de    organizaciones intermunicipales para atender el medio ambiente</w:t>
            </w:r>
          </w:p>
        </w:tc>
        <w:tc>
          <w:tcPr>
            <w:tcW w:w="2835" w:type="dxa"/>
          </w:tcPr>
          <w:p>
            <w:pPr>
              <w:pStyle w:val="TableParagraph"/>
              <w:ind w:left="100" w:right="101"/>
              <w:jc w:val="both"/>
              <w:rPr>
                <w:sz w:val="22"/>
              </w:rPr>
            </w:pPr>
            <w:r>
              <w:rPr>
                <w:sz w:val="22"/>
              </w:rPr>
              <w:t>Cantidad de Instituciones sociopolíticas creadas por los actores de los municipios para sostener el medio ambiente de la CHPH (Ejemplo: aún no existen organizaciones de actores de los cinco municipios que integran la CHPH para cuidar el medio</w:t>
            </w:r>
            <w:r>
              <w:rPr>
                <w:spacing w:val="-5"/>
                <w:sz w:val="22"/>
              </w:rPr>
              <w:t> </w:t>
            </w:r>
            <w:r>
              <w:rPr>
                <w:sz w:val="22"/>
              </w:rPr>
              <w:t>ambiente).</w:t>
            </w:r>
          </w:p>
        </w:tc>
      </w:tr>
      <w:tr>
        <w:trPr>
          <w:trHeight w:val="3046"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4" w:right="124"/>
              <w:jc w:val="center"/>
              <w:rPr>
                <w:b/>
                <w:sz w:val="22"/>
              </w:rPr>
            </w:pPr>
            <w:r>
              <w:rPr>
                <w:b/>
                <w:sz w:val="22"/>
              </w:rPr>
              <w:t>P8A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ind w:right="831"/>
              <w:rPr>
                <w:sz w:val="22"/>
              </w:rPr>
            </w:pPr>
            <w:r>
              <w:rPr>
                <w:sz w:val="22"/>
              </w:rPr>
              <w:t>Identidad ambiental</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98"/>
              <w:jc w:val="both"/>
              <w:rPr>
                <w:sz w:val="22"/>
              </w:rPr>
            </w:pPr>
            <w:r>
              <w:rPr>
                <w:sz w:val="22"/>
              </w:rPr>
              <w:t>Pérdida de un conjunto de valores colectivos hacia el ecosistema de la CHPH (García, TC: 2013-2015).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139" w:right="142" w:firstLine="5"/>
              <w:jc w:val="center"/>
              <w:rPr>
                <w:b/>
                <w:sz w:val="22"/>
              </w:rPr>
            </w:pPr>
            <w:r>
              <w:rPr>
                <w:b/>
                <w:sz w:val="22"/>
              </w:rPr>
              <w:t># de valores colectivos que se han perdido en el ecosistema de la CHPH</w:t>
            </w:r>
          </w:p>
        </w:tc>
        <w:tc>
          <w:tcPr>
            <w:tcW w:w="2835" w:type="dxa"/>
          </w:tcPr>
          <w:p>
            <w:pPr>
              <w:pStyle w:val="TableParagraph"/>
              <w:ind w:left="100" w:right="102"/>
              <w:jc w:val="both"/>
              <w:rPr>
                <w:sz w:val="22"/>
              </w:rPr>
            </w:pPr>
            <w:r>
              <w:rPr>
                <w:sz w:val="22"/>
              </w:rPr>
              <w:t>Cantidad de normas o parámetros culturales de conducta que se han perdido para regular las acciones de los actores en el ecosistema de la CHPH para una convivencia armónica en la región (Ejemplos: la paz, el respeto, la igualdad, la solidaridad y la responsabilidad).</w:t>
            </w:r>
          </w:p>
        </w:tc>
      </w:tr>
      <w:tr>
        <w:trPr>
          <w:trHeight w:val="2794"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4" w:right="124"/>
              <w:jc w:val="center"/>
              <w:rPr>
                <w:b/>
                <w:sz w:val="22"/>
              </w:rPr>
            </w:pPr>
            <w:r>
              <w:rPr>
                <w:b/>
                <w:sz w:val="22"/>
              </w:rPr>
              <w:t>P9A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574"/>
              <w:rPr>
                <w:sz w:val="22"/>
              </w:rPr>
            </w:pPr>
            <w:r>
              <w:rPr>
                <w:sz w:val="22"/>
              </w:rPr>
              <w:t>Gobernanza ambiental</w:t>
            </w:r>
          </w:p>
        </w:tc>
        <w:tc>
          <w:tcPr>
            <w:tcW w:w="3259" w:type="dxa"/>
          </w:tcPr>
          <w:p>
            <w:pPr>
              <w:pStyle w:val="TableParagraph"/>
              <w:tabs>
                <w:tab w:pos="2377" w:val="left" w:leader="none"/>
              </w:tabs>
              <w:ind w:right="97"/>
              <w:jc w:val="both"/>
              <w:rPr>
                <w:sz w:val="22"/>
              </w:rPr>
            </w:pPr>
            <w:r>
              <w:rPr>
                <w:sz w:val="22"/>
              </w:rPr>
              <w:t>Pérdida de la creación de redes o estructuras de interrelación</w:t>
              <w:tab/>
            </w:r>
            <w:r>
              <w:rPr>
                <w:spacing w:val="-1"/>
                <w:sz w:val="22"/>
              </w:rPr>
              <w:t>cultural, </w:t>
            </w:r>
            <w:r>
              <w:rPr>
                <w:sz w:val="22"/>
              </w:rPr>
              <w:t>autogestiva, democrática, voluntaria, de identidad y de cooperación, que permite involucrar a los diferentes tipos de actores para cuidar el  medio ambiente intermunicipal de la CHPH con la finalidad de conservar       sus      </w:t>
            </w:r>
            <w:r>
              <w:rPr>
                <w:spacing w:val="34"/>
                <w:sz w:val="22"/>
              </w:rPr>
              <w:t> </w:t>
            </w:r>
            <w:r>
              <w:rPr>
                <w:sz w:val="22"/>
              </w:rPr>
              <w:t>recursos</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46" w:right="146" w:firstLine="2"/>
              <w:jc w:val="center"/>
              <w:rPr>
                <w:b/>
                <w:sz w:val="22"/>
              </w:rPr>
            </w:pPr>
            <w:r>
              <w:rPr>
                <w:b/>
                <w:sz w:val="22"/>
              </w:rPr>
              <w:t># de redes intermunicipales hídricas entre los actores de la CHPH</w:t>
            </w:r>
          </w:p>
        </w:tc>
        <w:tc>
          <w:tcPr>
            <w:tcW w:w="2835"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left="100" w:right="101"/>
              <w:jc w:val="both"/>
              <w:rPr>
                <w:sz w:val="22"/>
              </w:rPr>
            </w:pPr>
            <w:r>
              <w:rPr>
                <w:sz w:val="22"/>
              </w:rPr>
              <w:t>Cantidad de estructuras y redes sociales  hídricas que se han tejido entre los actores de la CHPH para solucionar la problemática común a través de la historia</w:t>
            </w:r>
          </w:p>
          <w:p>
            <w:pPr>
              <w:pStyle w:val="TableParagraph"/>
              <w:ind w:left="100" w:right="103"/>
              <w:jc w:val="both"/>
              <w:rPr>
                <w:sz w:val="22"/>
              </w:rPr>
            </w:pPr>
            <w:r>
              <w:rPr>
                <w:sz w:val="22"/>
              </w:rPr>
              <w:t>(Ejemplos: organizaciones civiles,</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2540" w:hRule="exact"/>
        </w:trPr>
        <w:tc>
          <w:tcPr>
            <w:tcW w:w="852" w:type="dxa"/>
            <w:shd w:val="clear" w:color="auto" w:fill="76923B"/>
          </w:tcPr>
          <w:p>
            <w:pPr/>
          </w:p>
        </w:tc>
        <w:tc>
          <w:tcPr>
            <w:tcW w:w="730" w:type="dxa"/>
            <w:shd w:val="clear" w:color="auto" w:fill="76923B"/>
          </w:tcPr>
          <w:p>
            <w:pPr/>
          </w:p>
        </w:tc>
        <w:tc>
          <w:tcPr>
            <w:tcW w:w="1918" w:type="dxa"/>
          </w:tcPr>
          <w:p>
            <w:pPr/>
          </w:p>
        </w:tc>
        <w:tc>
          <w:tcPr>
            <w:tcW w:w="3259" w:type="dxa"/>
          </w:tcPr>
          <w:p>
            <w:pPr>
              <w:pStyle w:val="TableParagraph"/>
              <w:ind w:right="97"/>
              <w:jc w:val="both"/>
              <w:rPr>
                <w:sz w:val="22"/>
              </w:rPr>
            </w:pPr>
            <w:r>
              <w:rPr>
                <w:sz w:val="22"/>
              </w:rPr>
              <w:t>naturales a través  del equilibrio de participación ambiental de los sectores gubernamental, civil y empresarial (Cfr. Warman, 1982,  Centelles,  2006; </w:t>
            </w:r>
            <w:r>
              <w:rPr>
                <w:spacing w:val="16"/>
                <w:sz w:val="22"/>
              </w:rPr>
              <w:t> </w:t>
            </w:r>
            <w:r>
              <w:rPr>
                <w:sz w:val="22"/>
              </w:rPr>
              <w:t>Prats,</w:t>
            </w:r>
          </w:p>
          <w:p>
            <w:pPr>
              <w:pStyle w:val="TableParagraph"/>
              <w:spacing w:line="252" w:lineRule="exact"/>
              <w:jc w:val="both"/>
              <w:rPr>
                <w:sz w:val="22"/>
              </w:rPr>
            </w:pPr>
            <w:r>
              <w:rPr>
                <w:sz w:val="22"/>
              </w:rPr>
              <w:t>2006;  Palerm,  1993;  Moreau,</w:t>
            </w:r>
          </w:p>
          <w:p>
            <w:pPr>
              <w:pStyle w:val="TableParagraph"/>
              <w:spacing w:line="253" w:lineRule="exact" w:before="1"/>
              <w:jc w:val="both"/>
              <w:rPr>
                <w:sz w:val="22"/>
              </w:rPr>
            </w:pPr>
            <w:r>
              <w:rPr>
                <w:sz w:val="22"/>
              </w:rPr>
              <w:t>2003;        CapNET,       </w:t>
            </w:r>
            <w:r>
              <w:rPr>
                <w:spacing w:val="57"/>
                <w:sz w:val="22"/>
              </w:rPr>
              <w:t> </w:t>
            </w:r>
            <w:r>
              <w:rPr>
                <w:sz w:val="22"/>
              </w:rPr>
              <w:t>2000;</w:t>
            </w:r>
          </w:p>
          <w:p>
            <w:pPr>
              <w:pStyle w:val="TableParagraph"/>
              <w:ind w:right="97"/>
              <w:jc w:val="both"/>
              <w:rPr>
                <w:sz w:val="22"/>
              </w:rPr>
            </w:pPr>
            <w:r>
              <w:rPr>
                <w:sz w:val="22"/>
              </w:rPr>
              <w:t>WETNet, 2012 y García, TC: 2013-2015).</w:t>
            </w:r>
          </w:p>
        </w:tc>
        <w:tc>
          <w:tcPr>
            <w:tcW w:w="2129" w:type="dxa"/>
          </w:tcPr>
          <w:p>
            <w:pPr/>
          </w:p>
        </w:tc>
        <w:tc>
          <w:tcPr>
            <w:tcW w:w="2835" w:type="dxa"/>
          </w:tcPr>
          <w:p>
            <w:pPr>
              <w:pStyle w:val="TableParagraph"/>
              <w:spacing w:line="251" w:lineRule="exact"/>
              <w:ind w:left="100" w:right="181"/>
              <w:rPr>
                <w:sz w:val="22"/>
              </w:rPr>
            </w:pPr>
            <w:r>
              <w:rPr>
                <w:sz w:val="22"/>
              </w:rPr>
              <w:t>cooperativas,ejidos).</w:t>
            </w:r>
          </w:p>
        </w:tc>
      </w:tr>
      <w:tr>
        <w:trPr>
          <w:trHeight w:val="2540"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rPr>
                <w:b/>
                <w:sz w:val="22"/>
              </w:rPr>
            </w:pPr>
            <w:r>
              <w:rPr>
                <w:b/>
                <w:sz w:val="22"/>
              </w:rPr>
              <w:t>P10A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spacing w:before="1"/>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293"/>
              <w:rPr>
                <w:sz w:val="22"/>
              </w:rPr>
            </w:pPr>
            <w:r>
              <w:rPr>
                <w:sz w:val="22"/>
              </w:rPr>
              <w:t>Gobernabilidad ambiental</w:t>
            </w:r>
          </w:p>
        </w:tc>
        <w:tc>
          <w:tcPr>
            <w:tcW w:w="3259" w:type="dxa"/>
          </w:tcPr>
          <w:p>
            <w:pPr>
              <w:pStyle w:val="TableParagraph"/>
              <w:spacing w:before="8"/>
              <w:ind w:left="0"/>
              <w:rPr>
                <w:rFonts w:ascii="Times New Roman"/>
                <w:sz w:val="32"/>
              </w:rPr>
            </w:pPr>
          </w:p>
          <w:p>
            <w:pPr>
              <w:pStyle w:val="TableParagraph"/>
              <w:spacing w:before="1"/>
              <w:ind w:right="98"/>
              <w:jc w:val="both"/>
              <w:rPr>
                <w:sz w:val="22"/>
              </w:rPr>
            </w:pPr>
            <w:r>
              <w:rPr>
                <w:sz w:val="22"/>
              </w:rPr>
              <w:t>La pérdida de consensos y legitimidad para llegar a acuerdos entre los actores de la CHPH para preservar el medio ambiente  (Cfr. Integridad del Agua, 2009 y García, TC: 2013-2015).</w:t>
            </w:r>
          </w:p>
        </w:tc>
        <w:tc>
          <w:tcPr>
            <w:tcW w:w="2129"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170" w:right="172" w:firstLine="2"/>
              <w:jc w:val="center"/>
              <w:rPr>
                <w:b/>
                <w:sz w:val="22"/>
              </w:rPr>
            </w:pPr>
            <w:r>
              <w:rPr>
                <w:b/>
                <w:sz w:val="22"/>
              </w:rPr>
              <w:t># de acuerdos intermunicipales para preservar el medio ambiente de la CHPH</w:t>
            </w:r>
          </w:p>
        </w:tc>
        <w:tc>
          <w:tcPr>
            <w:tcW w:w="2835" w:type="dxa"/>
          </w:tcPr>
          <w:p>
            <w:pPr>
              <w:pStyle w:val="TableParagraph"/>
              <w:tabs>
                <w:tab w:pos="2109" w:val="left" w:leader="none"/>
                <w:tab w:pos="2473" w:val="left" w:leader="none"/>
              </w:tabs>
              <w:ind w:left="100" w:right="101"/>
              <w:jc w:val="both"/>
              <w:rPr>
                <w:sz w:val="22"/>
              </w:rPr>
            </w:pPr>
            <w:r>
              <w:rPr>
                <w:sz w:val="22"/>
              </w:rPr>
              <w:t>Cantidad de acuerdos intermunicipales</w:t>
              <w:tab/>
              <w:tab/>
              <w:t>de carácter formal e informal para cuidar el medio ambiente de la CHPH (Ejemplo: aún no existen acuerdos</w:t>
              <w:tab/>
            </w:r>
            <w:r>
              <w:rPr>
                <w:spacing w:val="-1"/>
                <w:sz w:val="22"/>
              </w:rPr>
              <w:t>donde </w:t>
            </w:r>
            <w:r>
              <w:rPr>
                <w:sz w:val="22"/>
              </w:rPr>
              <w:t>intervengan actores de los cinco municipios que integran la</w:t>
            </w:r>
            <w:r>
              <w:rPr>
                <w:spacing w:val="-5"/>
                <w:sz w:val="22"/>
              </w:rPr>
              <w:t> </w:t>
            </w:r>
            <w:r>
              <w:rPr>
                <w:sz w:val="22"/>
              </w:rPr>
              <w:t>CHPH).</w:t>
            </w:r>
          </w:p>
        </w:tc>
      </w:tr>
      <w:tr>
        <w:trPr>
          <w:trHeight w:val="3046"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46"/>
              <w:rPr>
                <w:b/>
                <w:sz w:val="22"/>
              </w:rPr>
            </w:pPr>
            <w:r>
              <w:rPr>
                <w:b/>
                <w:sz w:val="22"/>
              </w:rPr>
              <w:t>P11A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623"/>
              <w:rPr>
                <w:sz w:val="22"/>
              </w:rPr>
            </w:pPr>
            <w:r>
              <w:rPr>
                <w:sz w:val="22"/>
              </w:rPr>
              <w:t>Autogestión ambiental</w:t>
            </w:r>
          </w:p>
        </w:tc>
        <w:tc>
          <w:tcPr>
            <w:tcW w:w="3259" w:type="dxa"/>
          </w:tcPr>
          <w:p>
            <w:pPr>
              <w:pStyle w:val="TableParagraph"/>
              <w:tabs>
                <w:tab w:pos="2207" w:val="left" w:leader="none"/>
              </w:tabs>
              <w:spacing w:before="125"/>
              <w:ind w:right="98"/>
              <w:jc w:val="both"/>
              <w:rPr>
                <w:sz w:val="22"/>
              </w:rPr>
            </w:pPr>
            <w:r>
              <w:rPr>
                <w:sz w:val="22"/>
              </w:rPr>
              <w:t>La pérdida de capacidad de  los actores de la CHPH de dirigir y orientar su vida, ya  sea de manera individual o comunitaria, a partir de la planeación,</w:t>
              <w:tab/>
            </w:r>
            <w:r>
              <w:rPr>
                <w:spacing w:val="-1"/>
                <w:sz w:val="22"/>
              </w:rPr>
              <w:t>dirección, </w:t>
            </w:r>
            <w:r>
              <w:rPr>
                <w:sz w:val="22"/>
              </w:rPr>
              <w:t>ejecución y control de las acciones para lograr los fines y metas en cuestión ambiental (Cfr. Méndez y Vallota, 2006 y García, TC:</w:t>
            </w:r>
            <w:r>
              <w:rPr>
                <w:spacing w:val="-7"/>
                <w:sz w:val="22"/>
              </w:rPr>
              <w:t> </w:t>
            </w:r>
            <w:r>
              <w:rPr>
                <w:sz w:val="22"/>
              </w:rPr>
              <w:t>2013-2015).</w:t>
            </w:r>
          </w:p>
        </w:tc>
        <w:tc>
          <w:tcPr>
            <w:tcW w:w="2129"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10" w:right="108" w:hanging="2"/>
              <w:jc w:val="center"/>
              <w:rPr>
                <w:b/>
                <w:sz w:val="22"/>
              </w:rPr>
            </w:pPr>
            <w:r>
              <w:rPr>
                <w:b/>
                <w:sz w:val="22"/>
              </w:rPr>
              <w:t># de     organizaciones comunitarias para cuidar, defender y administrar sus recursos naturales de la CHPH</w:t>
            </w:r>
          </w:p>
        </w:tc>
        <w:tc>
          <w:tcPr>
            <w:tcW w:w="2835" w:type="dxa"/>
          </w:tcPr>
          <w:p>
            <w:pPr>
              <w:pStyle w:val="TableParagraph"/>
              <w:tabs>
                <w:tab w:pos="1252" w:val="left" w:leader="none"/>
                <w:tab w:pos="1588" w:val="left" w:leader="none"/>
                <w:tab w:pos="1773" w:val="left" w:leader="none"/>
                <w:tab w:pos="2440" w:val="left" w:leader="none"/>
                <w:tab w:pos="2610" w:val="left" w:leader="none"/>
              </w:tabs>
              <w:ind w:left="100" w:right="102"/>
              <w:rPr>
                <w:sz w:val="22"/>
              </w:rPr>
            </w:pPr>
            <w:r>
              <w:rPr>
                <w:sz w:val="22"/>
              </w:rPr>
              <w:t>Cantidad</w:t>
              <w:tab/>
              <w:tab/>
              <w:t>de</w:t>
              <w:tab/>
              <w:t>las organizaciones comunitarias</w:t>
              <w:tab/>
              <w:tab/>
              <w:t>de</w:t>
              <w:tab/>
              <w:t>los actores de la CHPH para cuidar,</w:t>
              <w:tab/>
              <w:t>defender</w:t>
              <w:tab/>
              <w:tab/>
              <w:t>y administrar sus recursos naturales</w:t>
            </w:r>
          </w:p>
          <w:p>
            <w:pPr>
              <w:pStyle w:val="TableParagraph"/>
              <w:ind w:left="100" w:right="102"/>
              <w:jc w:val="both"/>
              <w:rPr>
                <w:sz w:val="22"/>
              </w:rPr>
            </w:pPr>
            <w:r>
              <w:rPr>
                <w:sz w:val="22"/>
              </w:rPr>
              <w:t>(Ejemplo: aún no existen organizaciones donde intervengan actores de los cinco municipios que integran la CHPH).</w:t>
            </w:r>
          </w:p>
        </w:tc>
      </w:tr>
      <w:tr>
        <w:trPr>
          <w:trHeight w:val="516" w:hRule="exact"/>
        </w:trPr>
        <w:tc>
          <w:tcPr>
            <w:tcW w:w="852" w:type="dxa"/>
            <w:shd w:val="clear" w:color="auto" w:fill="76923B"/>
          </w:tcPr>
          <w:p>
            <w:pPr/>
          </w:p>
        </w:tc>
        <w:tc>
          <w:tcPr>
            <w:tcW w:w="730" w:type="dxa"/>
            <w:shd w:val="clear" w:color="auto" w:fill="76923B"/>
          </w:tcPr>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spacing w:line="242" w:lineRule="auto"/>
              <w:ind w:right="709"/>
              <w:rPr>
                <w:sz w:val="22"/>
              </w:rPr>
            </w:pPr>
            <w:r>
              <w:rPr>
                <w:sz w:val="22"/>
              </w:rPr>
              <w:t>Interacción histórica</w:t>
            </w:r>
          </w:p>
        </w:tc>
        <w:tc>
          <w:tcPr>
            <w:tcW w:w="3259" w:type="dxa"/>
          </w:tcPr>
          <w:p>
            <w:pPr>
              <w:pStyle w:val="TableParagraph"/>
              <w:tabs>
                <w:tab w:pos="621" w:val="left" w:leader="none"/>
                <w:tab w:pos="1041" w:val="left" w:leader="none"/>
                <w:tab w:pos="1995" w:val="left" w:leader="none"/>
                <w:tab w:pos="2866" w:val="left" w:leader="none"/>
              </w:tabs>
              <w:spacing w:line="242" w:lineRule="auto"/>
              <w:ind w:right="99"/>
              <w:rPr>
                <w:sz w:val="22"/>
              </w:rPr>
            </w:pPr>
            <w:r>
              <w:rPr>
                <w:sz w:val="22"/>
              </w:rPr>
              <w:t>En</w:t>
              <w:tab/>
              <w:t>la</w:t>
              <w:tab/>
              <w:t>cuenca</w:t>
              <w:tab/>
              <w:t>CHPH</w:t>
              <w:tab/>
              <w:t>los actores  históricos  han </w:t>
            </w:r>
            <w:r>
              <w:rPr>
                <w:spacing w:val="52"/>
                <w:sz w:val="22"/>
              </w:rPr>
              <w:t> </w:t>
            </w:r>
            <w:r>
              <w:rPr>
                <w:sz w:val="22"/>
              </w:rPr>
              <w:t>tenido</w:t>
            </w:r>
          </w:p>
        </w:tc>
        <w:tc>
          <w:tcPr>
            <w:tcW w:w="2129" w:type="dxa"/>
          </w:tcPr>
          <w:p>
            <w:pPr>
              <w:pStyle w:val="TableParagraph"/>
              <w:spacing w:line="242" w:lineRule="auto"/>
              <w:ind w:left="194" w:right="128" w:hanging="56"/>
              <w:rPr>
                <w:b/>
                <w:sz w:val="22"/>
              </w:rPr>
            </w:pPr>
            <w:r>
              <w:rPr>
                <w:b/>
                <w:sz w:val="22"/>
              </w:rPr>
              <w:t>temporalidad que los actores de la</w:t>
            </w:r>
          </w:p>
        </w:tc>
        <w:tc>
          <w:tcPr>
            <w:tcW w:w="2835" w:type="dxa"/>
          </w:tcPr>
          <w:p>
            <w:pPr>
              <w:pStyle w:val="TableParagraph"/>
              <w:spacing w:line="242" w:lineRule="auto"/>
              <w:ind w:left="100" w:right="93"/>
              <w:rPr>
                <w:sz w:val="22"/>
              </w:rPr>
            </w:pPr>
            <w:r>
              <w:rPr>
                <w:sz w:val="22"/>
              </w:rPr>
              <w:t>Número de años que los actores  de  la  CHPH</w:t>
            </w:r>
            <w:r>
              <w:rPr>
                <w:spacing w:val="56"/>
                <w:sz w:val="22"/>
              </w:rPr>
              <w:t> </w:t>
            </w:r>
            <w:r>
              <w:rPr>
                <w:sz w:val="22"/>
              </w:rPr>
              <w:t>han</w:t>
            </w:r>
          </w:p>
        </w:tc>
      </w:tr>
    </w:tbl>
    <w:p>
      <w:pPr>
        <w:spacing w:after="0" w:line="242" w:lineRule="auto"/>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1274" w:hRule="exact"/>
        </w:trPr>
        <w:tc>
          <w:tcPr>
            <w:tcW w:w="852" w:type="dxa"/>
            <w:shd w:val="clear" w:color="auto" w:fill="76923B"/>
          </w:tcPr>
          <w:p>
            <w:pPr>
              <w:pStyle w:val="TableParagraph"/>
              <w:spacing w:before="5"/>
              <w:ind w:left="0"/>
              <w:rPr>
                <w:rFonts w:ascii="Times New Roman"/>
                <w:sz w:val="21"/>
              </w:rPr>
            </w:pPr>
          </w:p>
          <w:p>
            <w:pPr>
              <w:pStyle w:val="TableParagraph"/>
              <w:ind w:left="124" w:right="124"/>
              <w:jc w:val="center"/>
              <w:rPr>
                <w:b/>
                <w:sz w:val="22"/>
              </w:rPr>
            </w:pPr>
            <w:r>
              <w:rPr>
                <w:b/>
                <w:sz w:val="22"/>
              </w:rPr>
              <w:t>E1A</w:t>
            </w:r>
          </w:p>
        </w:tc>
        <w:tc>
          <w:tcPr>
            <w:tcW w:w="730" w:type="dxa"/>
            <w:shd w:val="clear" w:color="auto" w:fill="76923B"/>
          </w:tcPr>
          <w:p>
            <w:pPr/>
          </w:p>
        </w:tc>
        <w:tc>
          <w:tcPr>
            <w:tcW w:w="1918" w:type="dxa"/>
          </w:tcPr>
          <w:p>
            <w:pPr/>
          </w:p>
        </w:tc>
        <w:tc>
          <w:tcPr>
            <w:tcW w:w="3259" w:type="dxa"/>
          </w:tcPr>
          <w:p>
            <w:pPr>
              <w:pStyle w:val="TableParagraph"/>
              <w:ind w:right="97"/>
              <w:jc w:val="both"/>
              <w:rPr>
                <w:sz w:val="22"/>
              </w:rPr>
            </w:pPr>
            <w:r>
              <w:rPr>
                <w:sz w:val="22"/>
              </w:rPr>
              <w:t>una larga interacción directa con el agua de la presa Huapango (García, TC: 2013- 2015).</w:t>
            </w:r>
          </w:p>
        </w:tc>
        <w:tc>
          <w:tcPr>
            <w:tcW w:w="2129" w:type="dxa"/>
          </w:tcPr>
          <w:p>
            <w:pPr>
              <w:pStyle w:val="TableParagraph"/>
              <w:ind w:left="134" w:right="134"/>
              <w:jc w:val="center"/>
              <w:rPr>
                <w:b/>
                <w:sz w:val="22"/>
              </w:rPr>
            </w:pPr>
            <w:r>
              <w:rPr>
                <w:b/>
                <w:sz w:val="22"/>
              </w:rPr>
              <w:t>CHPH han tenido interacción directa con la presa Huapango</w:t>
            </w:r>
          </w:p>
        </w:tc>
        <w:tc>
          <w:tcPr>
            <w:tcW w:w="2835" w:type="dxa"/>
          </w:tcPr>
          <w:p>
            <w:pPr>
              <w:pStyle w:val="TableParagraph"/>
              <w:ind w:left="100" w:right="102"/>
              <w:jc w:val="both"/>
              <w:rPr>
                <w:sz w:val="22"/>
              </w:rPr>
            </w:pPr>
            <w:r>
              <w:rPr>
                <w:sz w:val="22"/>
              </w:rPr>
              <w:t>tenido una interacción directa con la presa Huapango (más de 235 años).</w:t>
            </w:r>
          </w:p>
        </w:tc>
      </w:tr>
      <w:tr>
        <w:trPr>
          <w:trHeight w:val="3046"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4" w:right="124"/>
              <w:jc w:val="center"/>
              <w:rPr>
                <w:b/>
                <w:sz w:val="22"/>
              </w:rPr>
            </w:pPr>
            <w:r>
              <w:rPr>
                <w:b/>
                <w:sz w:val="22"/>
              </w:rPr>
              <w:t>E2A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367"/>
              <w:rPr>
                <w:sz w:val="22"/>
              </w:rPr>
            </w:pPr>
            <w:r>
              <w:rPr>
                <w:sz w:val="22"/>
              </w:rPr>
              <w:t>Concentración del poder</w:t>
            </w:r>
          </w:p>
        </w:tc>
        <w:tc>
          <w:tcPr>
            <w:tcW w:w="3259" w:type="dxa"/>
          </w:tcPr>
          <w:p>
            <w:pPr>
              <w:pStyle w:val="TableParagraph"/>
              <w:ind w:right="97"/>
              <w:jc w:val="both"/>
              <w:rPr>
                <w:sz w:val="22"/>
              </w:rPr>
            </w:pPr>
            <w:r>
              <w:rPr>
                <w:sz w:val="22"/>
              </w:rPr>
              <w:t>La federación a través de la Conagua ha favorecido la distribución del agua de la presa Huapango a los municipios de aguas abajo (Aculco y  Polotitlán) generando un malestar social de los actores por el reparto inequitativo del agua entre los municipios que integran la CHPH (García, TC: 2013- 2015).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122" w:right="123"/>
              <w:jc w:val="center"/>
              <w:rPr>
                <w:b/>
                <w:sz w:val="22"/>
              </w:rPr>
            </w:pPr>
            <w:r>
              <w:rPr>
                <w:b/>
                <w:sz w:val="22"/>
              </w:rPr>
              <w:t># de municipios de la CHPH con concesión de riego de la presa Huapango</w:t>
            </w:r>
          </w:p>
        </w:tc>
        <w:tc>
          <w:tcPr>
            <w:tcW w:w="2835"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left="100" w:right="101"/>
              <w:jc w:val="both"/>
              <w:rPr>
                <w:sz w:val="22"/>
              </w:rPr>
            </w:pPr>
            <w:r>
              <w:rPr>
                <w:sz w:val="22"/>
              </w:rPr>
              <w:t>Cantidad de municipios que tienen permiso de riego con el agua procedente de la presa Huapango.</w:t>
            </w:r>
          </w:p>
          <w:p>
            <w:pPr>
              <w:pStyle w:val="TableParagraph"/>
              <w:spacing w:before="1"/>
              <w:ind w:left="100"/>
              <w:jc w:val="both"/>
              <w:rPr>
                <w:sz w:val="22"/>
              </w:rPr>
            </w:pPr>
            <w:r>
              <w:rPr>
                <w:sz w:val="22"/>
              </w:rPr>
              <w:t>(Ejemplo: Aculco).</w:t>
            </w:r>
          </w:p>
        </w:tc>
      </w:tr>
      <w:tr>
        <w:trPr>
          <w:trHeight w:val="2033"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4" w:right="124"/>
              <w:jc w:val="center"/>
              <w:rPr>
                <w:b/>
                <w:sz w:val="22"/>
              </w:rPr>
            </w:pPr>
            <w:r>
              <w:rPr>
                <w:b/>
                <w:sz w:val="22"/>
              </w:rPr>
              <w:t>E3A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526"/>
              <w:rPr>
                <w:sz w:val="22"/>
              </w:rPr>
            </w:pPr>
            <w:r>
              <w:rPr>
                <w:sz w:val="22"/>
              </w:rPr>
              <w:t>Deterioro del agua</w:t>
            </w:r>
          </w:p>
        </w:tc>
        <w:tc>
          <w:tcPr>
            <w:tcW w:w="3259" w:type="dxa"/>
          </w:tcPr>
          <w:p>
            <w:pPr>
              <w:pStyle w:val="TableParagraph"/>
              <w:spacing w:before="125"/>
              <w:ind w:right="97"/>
              <w:jc w:val="both"/>
              <w:rPr>
                <w:sz w:val="22"/>
              </w:rPr>
            </w:pPr>
            <w:r>
              <w:rPr>
                <w:sz w:val="22"/>
              </w:rPr>
              <w:t>Los actores realizan acciones  y prácticas individuales que contaminan el agua de la  presa Huapango y que se ven reflejadas en su deterioro colectivo (García, TC: 2013- 2015).</w:t>
            </w:r>
          </w:p>
        </w:tc>
        <w:tc>
          <w:tcPr>
            <w:tcW w:w="2129" w:type="dxa"/>
          </w:tcPr>
          <w:p>
            <w:pPr>
              <w:pStyle w:val="TableParagraph"/>
              <w:spacing w:before="6"/>
              <w:ind w:left="0"/>
              <w:rPr>
                <w:rFonts w:ascii="Times New Roman"/>
                <w:sz w:val="32"/>
              </w:rPr>
            </w:pPr>
          </w:p>
          <w:p>
            <w:pPr>
              <w:pStyle w:val="TableParagraph"/>
              <w:spacing w:before="1"/>
              <w:ind w:left="133" w:right="134"/>
              <w:jc w:val="center"/>
              <w:rPr>
                <w:b/>
                <w:sz w:val="22"/>
              </w:rPr>
            </w:pPr>
            <w:r>
              <w:rPr>
                <w:b/>
                <w:sz w:val="22"/>
              </w:rPr>
              <w:t># de acciones individuales de los actores que contaminan el agua</w:t>
            </w:r>
          </w:p>
        </w:tc>
        <w:tc>
          <w:tcPr>
            <w:tcW w:w="2835" w:type="dxa"/>
          </w:tcPr>
          <w:p>
            <w:pPr>
              <w:pStyle w:val="TableParagraph"/>
              <w:ind w:left="100" w:right="102"/>
              <w:jc w:val="both"/>
              <w:rPr>
                <w:sz w:val="22"/>
              </w:rPr>
            </w:pPr>
            <w:r>
              <w:rPr>
                <w:sz w:val="22"/>
              </w:rPr>
              <w:t>Cantidad de prácticas contaminantes en la presa Huapango</w:t>
            </w:r>
          </w:p>
          <w:p>
            <w:pPr>
              <w:pStyle w:val="TableParagraph"/>
              <w:ind w:left="100" w:right="102"/>
              <w:jc w:val="both"/>
              <w:rPr>
                <w:sz w:val="22"/>
              </w:rPr>
            </w:pPr>
            <w:r>
              <w:rPr>
                <w:sz w:val="22"/>
              </w:rPr>
              <w:t>(Ejemplos: desagües domésticos, desechos de agroquímicos, desechos automovilísticos de la autopista Arco Norte).</w:t>
            </w:r>
          </w:p>
        </w:tc>
      </w:tr>
      <w:tr>
        <w:trPr>
          <w:trHeight w:val="2288"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4" w:right="124"/>
              <w:jc w:val="center"/>
              <w:rPr>
                <w:b/>
                <w:sz w:val="22"/>
              </w:rPr>
            </w:pPr>
            <w:r>
              <w:rPr>
                <w:b/>
                <w:sz w:val="22"/>
              </w:rPr>
              <w:t>E4A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spacing w:before="1"/>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27"/>
              <w:ind w:right="550" w:firstLine="62"/>
              <w:rPr>
                <w:sz w:val="22"/>
              </w:rPr>
            </w:pPr>
            <w:r>
              <w:rPr>
                <w:sz w:val="22"/>
              </w:rPr>
              <w:t>Interés de participación</w:t>
            </w:r>
          </w:p>
        </w:tc>
        <w:tc>
          <w:tcPr>
            <w:tcW w:w="3259" w:type="dxa"/>
          </w:tcPr>
          <w:p>
            <w:pPr>
              <w:pStyle w:val="TableParagraph"/>
              <w:spacing w:before="10"/>
              <w:ind w:left="0"/>
              <w:rPr>
                <w:rFonts w:ascii="Times New Roman"/>
                <w:sz w:val="21"/>
              </w:rPr>
            </w:pPr>
          </w:p>
          <w:p>
            <w:pPr>
              <w:pStyle w:val="TableParagraph"/>
              <w:ind w:right="96"/>
              <w:jc w:val="both"/>
              <w:rPr>
                <w:sz w:val="22"/>
              </w:rPr>
            </w:pPr>
            <w:r>
              <w:rPr>
                <w:sz w:val="22"/>
              </w:rPr>
              <w:t>Los actores tienen interés en participar en la solución de los problemas de la Cuenca Hidrosocial presa Huapango ordenando y cambiando su conducta social (García, TC: 2013-2015).</w:t>
            </w:r>
          </w:p>
        </w:tc>
        <w:tc>
          <w:tcPr>
            <w:tcW w:w="2129" w:type="dxa"/>
          </w:tcPr>
          <w:p>
            <w:pPr>
              <w:pStyle w:val="TableParagraph"/>
              <w:spacing w:before="8"/>
              <w:ind w:left="0"/>
              <w:rPr>
                <w:rFonts w:ascii="Times New Roman"/>
                <w:sz w:val="32"/>
              </w:rPr>
            </w:pPr>
          </w:p>
          <w:p>
            <w:pPr>
              <w:pStyle w:val="TableParagraph"/>
              <w:spacing w:before="1"/>
              <w:ind w:left="119" w:right="120"/>
              <w:jc w:val="center"/>
              <w:rPr>
                <w:b/>
                <w:sz w:val="22"/>
              </w:rPr>
            </w:pPr>
            <w:r>
              <w:rPr>
                <w:b/>
                <w:sz w:val="22"/>
              </w:rPr>
              <w:t># de actores que tienen interés de participación y voluntad de cambio en la CHPH</w:t>
            </w:r>
          </w:p>
        </w:tc>
        <w:tc>
          <w:tcPr>
            <w:tcW w:w="2835" w:type="dxa"/>
          </w:tcPr>
          <w:p>
            <w:pPr>
              <w:pStyle w:val="TableParagraph"/>
              <w:spacing w:before="10"/>
              <w:ind w:left="0"/>
              <w:rPr>
                <w:rFonts w:ascii="Times New Roman"/>
                <w:sz w:val="21"/>
              </w:rPr>
            </w:pPr>
          </w:p>
          <w:p>
            <w:pPr>
              <w:pStyle w:val="TableParagraph"/>
              <w:ind w:left="100" w:right="101"/>
              <w:jc w:val="both"/>
              <w:rPr>
                <w:sz w:val="22"/>
              </w:rPr>
            </w:pPr>
            <w:r>
              <w:rPr>
                <w:sz w:val="22"/>
              </w:rPr>
              <w:t>Cantidad de actores que manifestaron su voluntad de participación (en el trabajo de campo) para solucionar los problemas ambientales comunes de la</w:t>
            </w:r>
            <w:r>
              <w:rPr>
                <w:spacing w:val="-4"/>
                <w:sz w:val="22"/>
              </w:rPr>
              <w:t> </w:t>
            </w:r>
            <w:r>
              <w:rPr>
                <w:sz w:val="22"/>
              </w:rPr>
              <w:t>CHPH.</w:t>
            </w:r>
          </w:p>
          <w:p>
            <w:pPr>
              <w:pStyle w:val="TableParagraph"/>
              <w:spacing w:before="1"/>
              <w:ind w:left="100"/>
              <w:jc w:val="both"/>
              <w:rPr>
                <w:sz w:val="22"/>
              </w:rPr>
            </w:pPr>
            <w:r>
              <w:rPr>
                <w:sz w:val="22"/>
              </w:rPr>
              <w:t>(Ejemplo:      </w:t>
            </w:r>
            <w:r>
              <w:rPr>
                <w:spacing w:val="58"/>
                <w:sz w:val="22"/>
              </w:rPr>
              <w:t> </w:t>
            </w:r>
            <w:r>
              <w:rPr>
                <w:sz w:val="22"/>
              </w:rPr>
              <w:t>pescadores,</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768" w:hRule="exact"/>
        </w:trPr>
        <w:tc>
          <w:tcPr>
            <w:tcW w:w="852" w:type="dxa"/>
            <w:shd w:val="clear" w:color="auto" w:fill="76923B"/>
          </w:tcPr>
          <w:p>
            <w:pPr/>
          </w:p>
        </w:tc>
        <w:tc>
          <w:tcPr>
            <w:tcW w:w="730" w:type="dxa"/>
            <w:shd w:val="clear" w:color="auto" w:fill="76923B"/>
          </w:tcPr>
          <w:p>
            <w:pPr/>
          </w:p>
        </w:tc>
        <w:tc>
          <w:tcPr>
            <w:tcW w:w="1918" w:type="dxa"/>
          </w:tcPr>
          <w:p>
            <w:pPr/>
          </w:p>
        </w:tc>
        <w:tc>
          <w:tcPr>
            <w:tcW w:w="3259" w:type="dxa"/>
          </w:tcPr>
          <w:p>
            <w:pPr/>
          </w:p>
        </w:tc>
        <w:tc>
          <w:tcPr>
            <w:tcW w:w="2129" w:type="dxa"/>
          </w:tcPr>
          <w:p>
            <w:pPr/>
          </w:p>
        </w:tc>
        <w:tc>
          <w:tcPr>
            <w:tcW w:w="2835" w:type="dxa"/>
          </w:tcPr>
          <w:p>
            <w:pPr>
              <w:pStyle w:val="TableParagraph"/>
              <w:tabs>
                <w:tab w:pos="1950" w:val="left" w:leader="none"/>
              </w:tabs>
              <w:ind w:left="100" w:right="101"/>
              <w:jc w:val="both"/>
              <w:rPr>
                <w:sz w:val="22"/>
              </w:rPr>
            </w:pPr>
            <w:r>
              <w:rPr>
                <w:sz w:val="22"/>
              </w:rPr>
              <w:t>ganaderos, agricultores, turismo,</w:t>
              <w:tab/>
            </w:r>
            <w:r>
              <w:rPr>
                <w:spacing w:val="-1"/>
                <w:sz w:val="22"/>
              </w:rPr>
              <w:t>algunos </w:t>
            </w:r>
            <w:r>
              <w:rPr>
                <w:sz w:val="22"/>
              </w:rPr>
              <w:t>funcionarios</w:t>
            </w:r>
            <w:r>
              <w:rPr>
                <w:spacing w:val="-7"/>
                <w:sz w:val="22"/>
              </w:rPr>
              <w:t> </w:t>
            </w:r>
            <w:r>
              <w:rPr>
                <w:sz w:val="22"/>
              </w:rPr>
              <w:t>municipales).</w:t>
            </w:r>
          </w:p>
        </w:tc>
      </w:tr>
      <w:tr>
        <w:trPr>
          <w:trHeight w:val="2540"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4" w:right="124"/>
              <w:jc w:val="center"/>
              <w:rPr>
                <w:b/>
                <w:sz w:val="22"/>
              </w:rPr>
            </w:pPr>
            <w:r>
              <w:rPr>
                <w:b/>
                <w:sz w:val="22"/>
              </w:rPr>
              <w:t>E5A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122"/>
              <w:rPr>
                <w:sz w:val="22"/>
              </w:rPr>
            </w:pPr>
            <w:r>
              <w:rPr>
                <w:sz w:val="22"/>
              </w:rPr>
              <w:t>Voluntariedad de cooperación</w:t>
            </w:r>
          </w:p>
        </w:tc>
        <w:tc>
          <w:tcPr>
            <w:tcW w:w="3259"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97"/>
              <w:jc w:val="both"/>
              <w:rPr>
                <w:sz w:val="22"/>
              </w:rPr>
            </w:pPr>
            <w:r>
              <w:rPr>
                <w:sz w:val="22"/>
              </w:rPr>
              <w:t>La mayoría de los actores pretenden trabajar en conjunto para solucionar los problemas ambientales de la presa Huapango (García, TC: 2013- 2015).</w:t>
            </w:r>
          </w:p>
        </w:tc>
        <w:tc>
          <w:tcPr>
            <w:tcW w:w="2129"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134" w:right="134"/>
              <w:jc w:val="center"/>
              <w:rPr>
                <w:b/>
                <w:sz w:val="22"/>
              </w:rPr>
            </w:pPr>
            <w:r>
              <w:rPr>
                <w:b/>
                <w:sz w:val="22"/>
              </w:rPr>
              <w:t># de actores de la CHPH que pretenden trabajar conjuntamente</w:t>
            </w:r>
          </w:p>
        </w:tc>
        <w:tc>
          <w:tcPr>
            <w:tcW w:w="2835" w:type="dxa"/>
          </w:tcPr>
          <w:p>
            <w:pPr>
              <w:pStyle w:val="TableParagraph"/>
              <w:ind w:left="100" w:right="102"/>
              <w:jc w:val="both"/>
              <w:rPr>
                <w:sz w:val="22"/>
              </w:rPr>
            </w:pPr>
            <w:r>
              <w:rPr>
                <w:sz w:val="22"/>
              </w:rPr>
              <w:t>Número de actores de la CHPH con intención de trabajar de manera conjunta para solucionar los problemas ambientales de la Cuenca.</w:t>
            </w:r>
          </w:p>
          <w:p>
            <w:pPr>
              <w:pStyle w:val="TableParagraph"/>
              <w:tabs>
                <w:tab w:pos="1534" w:val="left" w:leader="none"/>
              </w:tabs>
              <w:spacing w:before="1"/>
              <w:ind w:left="100" w:right="101"/>
              <w:jc w:val="both"/>
              <w:rPr>
                <w:sz w:val="22"/>
              </w:rPr>
            </w:pPr>
            <w:r>
              <w:rPr>
                <w:sz w:val="22"/>
              </w:rPr>
              <w:t>(Ejemplo: pescadores, ganaderos, agricultores, turismo,</w:t>
              <w:tab/>
            </w:r>
            <w:r>
              <w:rPr>
                <w:spacing w:val="-1"/>
                <w:sz w:val="22"/>
              </w:rPr>
              <w:t>funcionarios </w:t>
            </w:r>
            <w:r>
              <w:rPr>
                <w:sz w:val="22"/>
              </w:rPr>
              <w:t>municipales).</w:t>
            </w:r>
          </w:p>
        </w:tc>
      </w:tr>
      <w:tr>
        <w:trPr>
          <w:trHeight w:val="3552"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4" w:right="124"/>
              <w:jc w:val="center"/>
              <w:rPr>
                <w:b/>
                <w:sz w:val="22"/>
              </w:rPr>
            </w:pPr>
            <w:r>
              <w:rPr>
                <w:b/>
                <w:sz w:val="22"/>
              </w:rPr>
              <w:t>E6A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spacing w:before="1"/>
              <w:ind w:right="574"/>
              <w:rPr>
                <w:sz w:val="22"/>
              </w:rPr>
            </w:pPr>
            <w:r>
              <w:rPr>
                <w:sz w:val="22"/>
              </w:rPr>
              <w:t>Interrelación municipal</w:t>
            </w:r>
          </w:p>
        </w:tc>
        <w:tc>
          <w:tcPr>
            <w:tcW w:w="3259"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tabs>
                <w:tab w:pos="2219" w:val="left" w:leader="none"/>
              </w:tabs>
              <w:ind w:right="97"/>
              <w:jc w:val="both"/>
              <w:rPr>
                <w:sz w:val="22"/>
              </w:rPr>
            </w:pPr>
            <w:r>
              <w:rPr>
                <w:sz w:val="22"/>
              </w:rPr>
              <w:t>No existen mecanismos de interrelación</w:t>
              <w:tab/>
            </w:r>
            <w:r>
              <w:rPr>
                <w:spacing w:val="-1"/>
                <w:sz w:val="22"/>
              </w:rPr>
              <w:t>municipal </w:t>
            </w:r>
            <w:r>
              <w:rPr>
                <w:sz w:val="22"/>
              </w:rPr>
              <w:t>contemplados en la  ley federal. Se requieren acuerdos intermunicipales para atender la problemática ambiental y hacer frente a sus problemas comunes (García, TC: 2013- 2015).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20" w:right="120"/>
              <w:jc w:val="center"/>
              <w:rPr>
                <w:b/>
                <w:sz w:val="22"/>
              </w:rPr>
            </w:pPr>
            <w:r>
              <w:rPr>
                <w:b/>
                <w:sz w:val="22"/>
              </w:rPr>
              <w:t># de acuerdos intermunicipales de los actores de la CHPH</w:t>
            </w:r>
          </w:p>
        </w:tc>
        <w:tc>
          <w:tcPr>
            <w:tcW w:w="2835" w:type="dxa"/>
          </w:tcPr>
          <w:p>
            <w:pPr>
              <w:pStyle w:val="TableParagraph"/>
              <w:ind w:left="100" w:right="101"/>
              <w:jc w:val="both"/>
              <w:rPr>
                <w:sz w:val="22"/>
              </w:rPr>
            </w:pPr>
            <w:r>
              <w:rPr>
                <w:sz w:val="22"/>
              </w:rPr>
              <w:t>Cantidad de acuerdos formales e informales entre los actores de los municipios de la CHPH para atender la problemática ambiental común de la presa Huapango.</w:t>
            </w:r>
          </w:p>
          <w:p>
            <w:pPr>
              <w:pStyle w:val="TableParagraph"/>
              <w:spacing w:before="1"/>
              <w:ind w:left="100" w:right="102"/>
              <w:jc w:val="both"/>
              <w:rPr>
                <w:sz w:val="22"/>
              </w:rPr>
            </w:pPr>
            <w:r>
              <w:rPr>
                <w:sz w:val="22"/>
              </w:rPr>
              <w:t>(Ejemplo: aún no existen organizaciones donde intervengan actores de los cinco municipios que integran la CHPH para sostenerla).</w:t>
            </w:r>
          </w:p>
        </w:tc>
      </w:tr>
      <w:tr>
        <w:trPr>
          <w:trHeight w:val="1781"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24" w:right="124"/>
              <w:jc w:val="center"/>
              <w:rPr>
                <w:b/>
                <w:sz w:val="22"/>
              </w:rPr>
            </w:pPr>
            <w:r>
              <w:rPr>
                <w:b/>
                <w:sz w:val="22"/>
              </w:rPr>
              <w:t>E7A</w:t>
            </w:r>
          </w:p>
        </w:tc>
        <w:tc>
          <w:tcPr>
            <w:tcW w:w="730" w:type="dxa"/>
            <w:shd w:val="clear" w:color="auto" w:fill="76923B"/>
          </w:tcPr>
          <w:p>
            <w:pPr>
              <w:pStyle w:val="TableParagraph"/>
              <w:ind w:left="0"/>
              <w:rPr>
                <w:rFonts w:ascii="Times New Roman"/>
                <w:sz w:val="22"/>
              </w:rPr>
            </w:pPr>
          </w:p>
          <w:p>
            <w:pPr>
              <w:pStyle w:val="TableParagraph"/>
              <w:spacing w:before="8"/>
              <w:ind w:left="0"/>
              <w:rPr>
                <w:rFonts w:ascii="Times New Roman"/>
                <w:sz w:val="32"/>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spacing w:before="1"/>
              <w:ind w:right="574"/>
              <w:rPr>
                <w:sz w:val="22"/>
              </w:rPr>
            </w:pPr>
            <w:r>
              <w:rPr>
                <w:sz w:val="22"/>
              </w:rPr>
              <w:t>Estructura sociopolítica</w:t>
            </w:r>
          </w:p>
        </w:tc>
        <w:tc>
          <w:tcPr>
            <w:tcW w:w="3259" w:type="dxa"/>
          </w:tcPr>
          <w:p>
            <w:pPr>
              <w:pStyle w:val="TableParagraph"/>
              <w:spacing w:before="11"/>
              <w:ind w:left="0"/>
              <w:rPr>
                <w:rFonts w:ascii="Times New Roman"/>
                <w:sz w:val="21"/>
              </w:rPr>
            </w:pPr>
          </w:p>
          <w:p>
            <w:pPr>
              <w:pStyle w:val="TableParagraph"/>
              <w:ind w:right="96"/>
              <w:jc w:val="both"/>
              <w:rPr>
                <w:sz w:val="22"/>
              </w:rPr>
            </w:pPr>
            <w:r>
              <w:rPr>
                <w:sz w:val="22"/>
              </w:rPr>
              <w:t>Existencia de redes y estructuras sociales con posibilidad de cuidar el medio ambiente de la CHPH (García, TC: 2013-2015).</w:t>
            </w:r>
          </w:p>
        </w:tc>
        <w:tc>
          <w:tcPr>
            <w:tcW w:w="2129" w:type="dxa"/>
          </w:tcPr>
          <w:p>
            <w:pPr>
              <w:pStyle w:val="TableParagraph"/>
              <w:spacing w:before="8"/>
              <w:ind w:left="0"/>
              <w:rPr>
                <w:rFonts w:ascii="Times New Roman"/>
                <w:sz w:val="21"/>
              </w:rPr>
            </w:pPr>
          </w:p>
          <w:p>
            <w:pPr>
              <w:pStyle w:val="TableParagraph"/>
              <w:ind w:left="134" w:right="134" w:firstLine="2"/>
              <w:jc w:val="center"/>
              <w:rPr>
                <w:b/>
                <w:sz w:val="22"/>
              </w:rPr>
            </w:pPr>
            <w:r>
              <w:rPr>
                <w:b/>
                <w:sz w:val="22"/>
              </w:rPr>
              <w:t># de redes y estructuras socioambientales de los actores de la CHPH</w:t>
            </w:r>
          </w:p>
        </w:tc>
        <w:tc>
          <w:tcPr>
            <w:tcW w:w="2835" w:type="dxa"/>
          </w:tcPr>
          <w:p>
            <w:pPr>
              <w:pStyle w:val="TableParagraph"/>
              <w:tabs>
                <w:tab w:pos="2473" w:val="left" w:leader="none"/>
              </w:tabs>
              <w:spacing w:line="251" w:lineRule="exact"/>
              <w:ind w:left="100"/>
              <w:jc w:val="both"/>
              <w:rPr>
                <w:sz w:val="22"/>
              </w:rPr>
            </w:pPr>
            <w:r>
              <w:rPr>
                <w:sz w:val="22"/>
              </w:rPr>
              <w:t>Número</w:t>
              <w:tab/>
              <w:t>de</w:t>
            </w:r>
          </w:p>
          <w:p>
            <w:pPr>
              <w:pStyle w:val="TableParagraph"/>
              <w:tabs>
                <w:tab w:pos="2351" w:val="left" w:leader="none"/>
              </w:tabs>
              <w:spacing w:before="2"/>
              <w:ind w:left="100" w:right="102"/>
              <w:jc w:val="both"/>
              <w:rPr>
                <w:sz w:val="22"/>
              </w:rPr>
            </w:pPr>
            <w:r>
              <w:rPr>
                <w:sz w:val="22"/>
              </w:rPr>
              <w:t>organizaciones</w:t>
              <w:tab/>
              <w:t>que mantienen unidos a los actores de la CHPH para aprovechar y cuidar su medio</w:t>
            </w:r>
            <w:r>
              <w:rPr>
                <w:spacing w:val="-3"/>
                <w:sz w:val="22"/>
              </w:rPr>
              <w:t> </w:t>
            </w:r>
            <w:r>
              <w:rPr>
                <w:sz w:val="22"/>
              </w:rPr>
              <w:t>ambiente.</w:t>
            </w:r>
          </w:p>
          <w:p>
            <w:pPr>
              <w:pStyle w:val="TableParagraph"/>
              <w:spacing w:before="1"/>
              <w:ind w:left="100"/>
              <w:jc w:val="both"/>
              <w:rPr>
                <w:sz w:val="22"/>
              </w:rPr>
            </w:pPr>
            <w:r>
              <w:rPr>
                <w:sz w:val="22"/>
              </w:rPr>
              <w:t>(Ejemplo:  aún  no  existen</w:t>
            </w:r>
          </w:p>
        </w:tc>
      </w:tr>
    </w:tbl>
    <w:p>
      <w:pPr>
        <w:spacing w:after="0"/>
        <w:jc w:val="both"/>
        <w:rPr>
          <w:sz w:val="22"/>
        </w:rPr>
        <w:sectPr>
          <w:footerReference w:type="default" r:id="rId250"/>
          <w:pgSz w:w="15840" w:h="12240" w:orient="landscape"/>
          <w:pgMar w:footer="943" w:header="0" w:top="1140" w:bottom="1140" w:left="2020" w:right="1300"/>
          <w:pgNumType w:start="46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768" w:hRule="exact"/>
        </w:trPr>
        <w:tc>
          <w:tcPr>
            <w:tcW w:w="852" w:type="dxa"/>
            <w:shd w:val="clear" w:color="auto" w:fill="76923B"/>
          </w:tcPr>
          <w:p>
            <w:pPr/>
          </w:p>
        </w:tc>
        <w:tc>
          <w:tcPr>
            <w:tcW w:w="730" w:type="dxa"/>
            <w:shd w:val="clear" w:color="auto" w:fill="76923B"/>
          </w:tcPr>
          <w:p>
            <w:pPr/>
          </w:p>
        </w:tc>
        <w:tc>
          <w:tcPr>
            <w:tcW w:w="1918" w:type="dxa"/>
          </w:tcPr>
          <w:p>
            <w:pPr/>
          </w:p>
        </w:tc>
        <w:tc>
          <w:tcPr>
            <w:tcW w:w="3259" w:type="dxa"/>
          </w:tcPr>
          <w:p>
            <w:pPr/>
          </w:p>
        </w:tc>
        <w:tc>
          <w:tcPr>
            <w:tcW w:w="2129" w:type="dxa"/>
          </w:tcPr>
          <w:p>
            <w:pPr/>
          </w:p>
        </w:tc>
        <w:tc>
          <w:tcPr>
            <w:tcW w:w="2835" w:type="dxa"/>
          </w:tcPr>
          <w:p>
            <w:pPr>
              <w:pStyle w:val="TableParagraph"/>
              <w:tabs>
                <w:tab w:pos="2054" w:val="left" w:leader="none"/>
                <w:tab w:pos="2548" w:val="left" w:leader="none"/>
              </w:tabs>
              <w:ind w:left="100" w:right="104"/>
              <w:rPr>
                <w:sz w:val="22"/>
              </w:rPr>
            </w:pPr>
            <w:r>
              <w:rPr>
                <w:sz w:val="22"/>
              </w:rPr>
              <w:t>organizaciones socioambientales</w:t>
              <w:tab/>
              <w:t>en</w:t>
              <w:tab/>
              <w:t>la CHPH).</w:t>
            </w:r>
          </w:p>
        </w:tc>
      </w:tr>
      <w:tr>
        <w:trPr>
          <w:trHeight w:val="1781"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03"/>
              <w:jc w:val="right"/>
              <w:rPr>
                <w:b/>
                <w:sz w:val="22"/>
              </w:rPr>
            </w:pPr>
            <w:r>
              <w:rPr>
                <w:b/>
                <w:sz w:val="22"/>
              </w:rPr>
              <w:t>E8A</w:t>
            </w:r>
          </w:p>
        </w:tc>
        <w:tc>
          <w:tcPr>
            <w:tcW w:w="730" w:type="dxa"/>
            <w:shd w:val="clear" w:color="auto" w:fill="76923B"/>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ind w:right="635"/>
              <w:rPr>
                <w:sz w:val="22"/>
              </w:rPr>
            </w:pPr>
            <w:r>
              <w:rPr>
                <w:sz w:val="22"/>
              </w:rPr>
              <w:t>Sentido de pertenencia</w:t>
            </w:r>
          </w:p>
        </w:tc>
        <w:tc>
          <w:tcPr>
            <w:tcW w:w="3259" w:type="dxa"/>
          </w:tcPr>
          <w:p>
            <w:pPr>
              <w:pStyle w:val="TableParagraph"/>
              <w:ind w:right="97"/>
              <w:jc w:val="both"/>
              <w:rPr>
                <w:sz w:val="22"/>
              </w:rPr>
            </w:pPr>
            <w:r>
              <w:rPr>
                <w:sz w:val="22"/>
              </w:rPr>
              <w:t>La mayoría de los actores se identifican con la Cuenca, como parte de su historia y de sus problemas, por lo que desean cooperar en su solución (García, TC: 2013- 2015).</w:t>
            </w:r>
          </w:p>
        </w:tc>
        <w:tc>
          <w:tcPr>
            <w:tcW w:w="2129" w:type="dxa"/>
          </w:tcPr>
          <w:p>
            <w:pPr>
              <w:pStyle w:val="TableParagraph"/>
              <w:spacing w:before="8"/>
              <w:ind w:left="0"/>
              <w:rPr>
                <w:rFonts w:ascii="Times New Roman"/>
                <w:sz w:val="21"/>
              </w:rPr>
            </w:pPr>
          </w:p>
          <w:p>
            <w:pPr>
              <w:pStyle w:val="TableParagraph"/>
              <w:ind w:left="127" w:right="131" w:firstLine="5"/>
              <w:jc w:val="center"/>
              <w:rPr>
                <w:b/>
                <w:sz w:val="22"/>
              </w:rPr>
            </w:pPr>
            <w:r>
              <w:rPr>
                <w:b/>
                <w:sz w:val="22"/>
              </w:rPr>
              <w:t># de actores de origen antiguo que se identifican con el ambiente de la CHPH</w:t>
            </w:r>
          </w:p>
        </w:tc>
        <w:tc>
          <w:tcPr>
            <w:tcW w:w="2835" w:type="dxa"/>
          </w:tcPr>
          <w:p>
            <w:pPr>
              <w:pStyle w:val="TableParagraph"/>
              <w:ind w:left="100" w:right="102"/>
              <w:jc w:val="both"/>
              <w:rPr>
                <w:sz w:val="22"/>
              </w:rPr>
            </w:pPr>
            <w:r>
              <w:rPr>
                <w:sz w:val="22"/>
              </w:rPr>
              <w:t>Cantidad de actores que se identifican con la presa Huapango</w:t>
            </w:r>
          </w:p>
          <w:p>
            <w:pPr>
              <w:pStyle w:val="TableParagraph"/>
              <w:spacing w:before="1"/>
              <w:ind w:left="100" w:right="102"/>
              <w:jc w:val="both"/>
              <w:rPr>
                <w:sz w:val="22"/>
              </w:rPr>
            </w:pPr>
            <w:r>
              <w:rPr>
                <w:sz w:val="22"/>
              </w:rPr>
              <w:t>(Ejemplo: pescadores existentes desde  hace más de 235 años).</w:t>
            </w:r>
          </w:p>
        </w:tc>
      </w:tr>
      <w:tr>
        <w:trPr>
          <w:trHeight w:val="2288"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03"/>
              <w:jc w:val="right"/>
              <w:rPr>
                <w:b/>
                <w:sz w:val="22"/>
              </w:rPr>
            </w:pPr>
            <w:r>
              <w:rPr>
                <w:b/>
                <w:sz w:val="22"/>
              </w:rPr>
              <w:t>E9A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673"/>
              <w:rPr>
                <w:sz w:val="22"/>
              </w:rPr>
            </w:pPr>
            <w:r>
              <w:rPr>
                <w:sz w:val="22"/>
              </w:rPr>
              <w:t>Estructuras sociales</w:t>
            </w:r>
          </w:p>
        </w:tc>
        <w:tc>
          <w:tcPr>
            <w:tcW w:w="3259" w:type="dxa"/>
          </w:tcPr>
          <w:p>
            <w:pPr>
              <w:pStyle w:val="TableParagraph"/>
              <w:ind w:right="97"/>
              <w:jc w:val="both"/>
              <w:rPr>
                <w:sz w:val="22"/>
              </w:rPr>
            </w:pPr>
            <w:r>
              <w:rPr>
                <w:sz w:val="22"/>
              </w:rPr>
              <w:t>Las estructuras sociales, políticas y económicas en la CHPH, contienen  varios mapas de actores, unos más numerosos y más  antiguos que otros, que interactúan en dicha cuenca para solucionar sus problemas ambientales (García, TC: 2013-2015).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2" w:right="119"/>
              <w:jc w:val="center"/>
              <w:rPr>
                <w:b/>
                <w:sz w:val="22"/>
              </w:rPr>
            </w:pPr>
            <w:r>
              <w:rPr>
                <w:b/>
                <w:sz w:val="22"/>
              </w:rPr>
              <w:t># de mapas de actores en la CHPH</w:t>
            </w:r>
          </w:p>
        </w:tc>
        <w:tc>
          <w:tcPr>
            <w:tcW w:w="2835" w:type="dxa"/>
          </w:tcPr>
          <w:p>
            <w:pPr>
              <w:pStyle w:val="TableParagraph"/>
              <w:tabs>
                <w:tab w:pos="2000" w:val="left" w:leader="none"/>
              </w:tabs>
              <w:ind w:left="100" w:right="100"/>
              <w:jc w:val="both"/>
              <w:rPr>
                <w:sz w:val="22"/>
              </w:rPr>
            </w:pPr>
            <w:r>
              <w:rPr>
                <w:sz w:val="22"/>
              </w:rPr>
              <w:t>Número de estructuras sociales, económicas y políticas que agrupan a  los actores unidos por los procesos históricos y ambientales de la CHPH (Ejemplo:</w:t>
              <w:tab/>
            </w:r>
            <w:r>
              <w:rPr>
                <w:spacing w:val="-1"/>
                <w:sz w:val="22"/>
              </w:rPr>
              <w:t>actores </w:t>
            </w:r>
            <w:r>
              <w:rPr>
                <w:sz w:val="22"/>
              </w:rPr>
              <w:t>históricos).</w:t>
            </w:r>
          </w:p>
        </w:tc>
      </w:tr>
      <w:tr>
        <w:trPr>
          <w:trHeight w:val="3298"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41"/>
              <w:jc w:val="right"/>
              <w:rPr>
                <w:b/>
                <w:sz w:val="22"/>
              </w:rPr>
            </w:pPr>
            <w:r>
              <w:rPr>
                <w:b/>
                <w:sz w:val="22"/>
              </w:rPr>
              <w:t>E10A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599"/>
              <w:rPr>
                <w:sz w:val="22"/>
              </w:rPr>
            </w:pPr>
            <w:r>
              <w:rPr>
                <w:sz w:val="22"/>
              </w:rPr>
              <w:t>Acuerdos ambientales</w:t>
            </w:r>
          </w:p>
        </w:tc>
        <w:tc>
          <w:tcPr>
            <w:tcW w:w="3259"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ind w:right="97"/>
              <w:jc w:val="both"/>
              <w:rPr>
                <w:sz w:val="22"/>
              </w:rPr>
            </w:pPr>
            <w:r>
              <w:rPr>
                <w:sz w:val="22"/>
              </w:rPr>
              <w:t>A pesar de que existen estructuras sociales de actores con perspectivas similares  para arreglar los problemas ambientales de la CHPH, aún no hay arreglos formales para cuidar la Cuenca (García, TC: 2013-2015).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94" w:right="197" w:firstLine="2"/>
              <w:jc w:val="center"/>
              <w:rPr>
                <w:b/>
                <w:sz w:val="22"/>
              </w:rPr>
            </w:pPr>
            <w:r>
              <w:rPr>
                <w:b/>
                <w:sz w:val="22"/>
              </w:rPr>
              <w:t># de arreglos formales e informales entre los actores de la CHPH</w:t>
            </w:r>
          </w:p>
        </w:tc>
        <w:tc>
          <w:tcPr>
            <w:tcW w:w="2835" w:type="dxa"/>
          </w:tcPr>
          <w:p>
            <w:pPr>
              <w:pStyle w:val="TableParagraph"/>
              <w:ind w:left="100" w:right="102"/>
              <w:jc w:val="both"/>
              <w:rPr>
                <w:sz w:val="22"/>
              </w:rPr>
            </w:pPr>
            <w:r>
              <w:rPr>
                <w:sz w:val="22"/>
              </w:rPr>
              <w:t>Número de acuerdos formales e informales existentes entre los actores de la CHPH para resolver los problemas ambientales comunes de la presa Huapango (Ejemplo: aún no existen organizaciones donde intervengan actores de los cinco municipios que integran la CHPH para cuidar el medio</w:t>
            </w:r>
            <w:r>
              <w:rPr>
                <w:spacing w:val="-8"/>
                <w:sz w:val="22"/>
              </w:rPr>
              <w:t> </w:t>
            </w:r>
            <w:r>
              <w:rPr>
                <w:sz w:val="22"/>
              </w:rPr>
              <w:t>ambiente).</w:t>
            </w:r>
          </w:p>
        </w:tc>
      </w:tr>
      <w:tr>
        <w:trPr>
          <w:trHeight w:val="518" w:hRule="exact"/>
        </w:trPr>
        <w:tc>
          <w:tcPr>
            <w:tcW w:w="852" w:type="dxa"/>
            <w:shd w:val="clear" w:color="auto" w:fill="76923B"/>
          </w:tcPr>
          <w:p>
            <w:pPr/>
          </w:p>
        </w:tc>
        <w:tc>
          <w:tcPr>
            <w:tcW w:w="730" w:type="dxa"/>
            <w:shd w:val="clear" w:color="auto" w:fill="76923B"/>
          </w:tcPr>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right="538"/>
              <w:rPr>
                <w:sz w:val="22"/>
              </w:rPr>
            </w:pPr>
            <w:r>
              <w:rPr>
                <w:sz w:val="22"/>
              </w:rPr>
              <w:t>Cooperación ambiental_2</w:t>
            </w:r>
          </w:p>
        </w:tc>
        <w:tc>
          <w:tcPr>
            <w:tcW w:w="3259" w:type="dxa"/>
          </w:tcPr>
          <w:p>
            <w:pPr>
              <w:pStyle w:val="TableParagraph"/>
              <w:ind w:right="94"/>
              <w:rPr>
                <w:sz w:val="22"/>
              </w:rPr>
            </w:pPr>
            <w:r>
              <w:rPr>
                <w:sz w:val="22"/>
              </w:rPr>
              <w:t>Todos los actores históricos de la CHPH tienen la intención de</w:t>
            </w:r>
          </w:p>
        </w:tc>
        <w:tc>
          <w:tcPr>
            <w:tcW w:w="2129" w:type="dxa"/>
          </w:tcPr>
          <w:p>
            <w:pPr>
              <w:pStyle w:val="TableParagraph"/>
              <w:spacing w:line="252" w:lineRule="exact" w:before="2"/>
              <w:ind w:left="182" w:right="169" w:firstLine="7"/>
              <w:rPr>
                <w:b/>
                <w:sz w:val="22"/>
              </w:rPr>
            </w:pPr>
            <w:r>
              <w:rPr>
                <w:b/>
                <w:sz w:val="22"/>
              </w:rPr>
              <w:t># de actores que pretenden trabar</w:t>
            </w:r>
          </w:p>
        </w:tc>
        <w:tc>
          <w:tcPr>
            <w:tcW w:w="2835" w:type="dxa"/>
          </w:tcPr>
          <w:p>
            <w:pPr>
              <w:pStyle w:val="TableParagraph"/>
              <w:tabs>
                <w:tab w:pos="1041" w:val="left" w:leader="none"/>
                <w:tab w:pos="1729" w:val="left" w:leader="none"/>
              </w:tabs>
              <w:ind w:left="100" w:right="104"/>
              <w:rPr>
                <w:sz w:val="22"/>
              </w:rPr>
            </w:pPr>
            <w:r>
              <w:rPr>
                <w:sz w:val="22"/>
              </w:rPr>
              <w:t>Número de actores de la CHPH</w:t>
              <w:tab/>
              <w:t>que</w:t>
              <w:tab/>
            </w:r>
            <w:r>
              <w:rPr>
                <w:spacing w:val="-1"/>
                <w:sz w:val="22"/>
              </w:rPr>
              <w:t>pretenden</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1022" w:hRule="exact"/>
        </w:trPr>
        <w:tc>
          <w:tcPr>
            <w:tcW w:w="852" w:type="dxa"/>
            <w:shd w:val="clear" w:color="auto" w:fill="76923B"/>
          </w:tcPr>
          <w:p>
            <w:pPr>
              <w:pStyle w:val="TableParagraph"/>
              <w:spacing w:line="248" w:lineRule="exact"/>
              <w:ind w:left="127" w:right="124"/>
              <w:jc w:val="center"/>
              <w:rPr>
                <w:b/>
                <w:sz w:val="22"/>
              </w:rPr>
            </w:pPr>
            <w:r>
              <w:rPr>
                <w:b/>
                <w:sz w:val="22"/>
              </w:rPr>
              <w:t>E11A</w:t>
            </w:r>
          </w:p>
        </w:tc>
        <w:tc>
          <w:tcPr>
            <w:tcW w:w="730" w:type="dxa"/>
            <w:shd w:val="clear" w:color="auto" w:fill="76923B"/>
          </w:tcPr>
          <w:p>
            <w:pPr/>
          </w:p>
        </w:tc>
        <w:tc>
          <w:tcPr>
            <w:tcW w:w="1918" w:type="dxa"/>
          </w:tcPr>
          <w:p>
            <w:pPr/>
          </w:p>
        </w:tc>
        <w:tc>
          <w:tcPr>
            <w:tcW w:w="3259" w:type="dxa"/>
          </w:tcPr>
          <w:p>
            <w:pPr>
              <w:pStyle w:val="TableParagraph"/>
              <w:ind w:right="98"/>
              <w:jc w:val="both"/>
              <w:rPr>
                <w:sz w:val="22"/>
              </w:rPr>
            </w:pPr>
            <w:r>
              <w:rPr>
                <w:sz w:val="22"/>
              </w:rPr>
              <w:t>participar en la solución ambiental de dicha cuenca porque se benefician de ella (García, TC: 2013-2015).</w:t>
            </w:r>
          </w:p>
        </w:tc>
        <w:tc>
          <w:tcPr>
            <w:tcW w:w="2129" w:type="dxa"/>
          </w:tcPr>
          <w:p>
            <w:pPr>
              <w:pStyle w:val="TableParagraph"/>
              <w:ind w:left="177" w:right="175" w:hanging="1"/>
              <w:jc w:val="center"/>
              <w:rPr>
                <w:b/>
                <w:sz w:val="22"/>
              </w:rPr>
            </w:pPr>
            <w:r>
              <w:rPr>
                <w:b/>
                <w:sz w:val="22"/>
              </w:rPr>
              <w:t>conjuntamente para resolver los problemas de la CHPH</w:t>
            </w:r>
          </w:p>
        </w:tc>
        <w:tc>
          <w:tcPr>
            <w:tcW w:w="2835" w:type="dxa"/>
          </w:tcPr>
          <w:p>
            <w:pPr>
              <w:pStyle w:val="TableParagraph"/>
              <w:ind w:left="100" w:right="101"/>
              <w:jc w:val="both"/>
              <w:rPr>
                <w:sz w:val="22"/>
              </w:rPr>
            </w:pPr>
            <w:r>
              <w:rPr>
                <w:sz w:val="22"/>
              </w:rPr>
              <w:t>realizar trabajo conjunto para mejorar el medio ambiente de dicha Cuenca (Ejemplo: agricultores).</w:t>
            </w:r>
          </w:p>
        </w:tc>
      </w:tr>
      <w:tr>
        <w:trPr>
          <w:trHeight w:val="2792"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7" w:right="124"/>
              <w:jc w:val="center"/>
              <w:rPr>
                <w:b/>
                <w:sz w:val="22"/>
              </w:rPr>
            </w:pPr>
            <w:r>
              <w:rPr>
                <w:b/>
                <w:sz w:val="22"/>
              </w:rPr>
              <w:t>I1A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spacing w:before="1"/>
              <w:ind w:right="697"/>
              <w:rPr>
                <w:sz w:val="22"/>
              </w:rPr>
            </w:pPr>
            <w:r>
              <w:rPr>
                <w:sz w:val="22"/>
              </w:rPr>
              <w:t>Conciencia ambiental</w:t>
            </w:r>
          </w:p>
        </w:tc>
        <w:tc>
          <w:tcPr>
            <w:tcW w:w="3259" w:type="dxa"/>
          </w:tcPr>
          <w:p>
            <w:pPr>
              <w:pStyle w:val="TableParagraph"/>
              <w:spacing w:before="8"/>
              <w:ind w:left="0"/>
              <w:rPr>
                <w:rFonts w:ascii="Times New Roman"/>
                <w:sz w:val="32"/>
              </w:rPr>
            </w:pPr>
          </w:p>
          <w:p>
            <w:pPr>
              <w:pStyle w:val="TableParagraph"/>
              <w:spacing w:before="1"/>
              <w:ind w:right="96"/>
              <w:jc w:val="both"/>
              <w:rPr>
                <w:sz w:val="22"/>
              </w:rPr>
            </w:pPr>
            <w:r>
              <w:rPr>
                <w:sz w:val="22"/>
              </w:rPr>
              <w:t>La identificación individual y colectiva de los problemas ambientales en la CHPH, con perspectiva histórica, que permite proponer acciones individuales y colectivas para su solución (García, TC: 2013- 2015).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94" w:right="197" w:firstLine="3"/>
              <w:jc w:val="center"/>
              <w:rPr>
                <w:b/>
                <w:sz w:val="22"/>
              </w:rPr>
            </w:pPr>
            <w:r>
              <w:rPr>
                <w:b/>
                <w:sz w:val="22"/>
              </w:rPr>
              <w:t># de problemas ambientales reconocidos por los actores de la CHPH</w:t>
            </w:r>
          </w:p>
        </w:tc>
        <w:tc>
          <w:tcPr>
            <w:tcW w:w="2835" w:type="dxa"/>
          </w:tcPr>
          <w:p>
            <w:pPr>
              <w:pStyle w:val="TableParagraph"/>
              <w:ind w:left="100" w:right="102"/>
              <w:jc w:val="both"/>
              <w:rPr>
                <w:sz w:val="22"/>
              </w:rPr>
            </w:pPr>
            <w:r>
              <w:rPr>
                <w:sz w:val="22"/>
              </w:rPr>
              <w:t>Cantidad de problemas ambientales identificados por grupo de actores de la CHPH.</w:t>
            </w:r>
          </w:p>
          <w:p>
            <w:pPr>
              <w:pStyle w:val="TableParagraph"/>
              <w:tabs>
                <w:tab w:pos="933" w:val="left" w:leader="none"/>
                <w:tab w:pos="1302" w:val="left" w:leader="none"/>
                <w:tab w:pos="1532" w:val="left" w:leader="none"/>
                <w:tab w:pos="1705" w:val="left" w:leader="none"/>
                <w:tab w:pos="1979" w:val="left" w:leader="none"/>
                <w:tab w:pos="2022" w:val="left" w:leader="none"/>
                <w:tab w:pos="2439" w:val="left" w:leader="none"/>
                <w:tab w:pos="2472" w:val="left" w:leader="none"/>
              </w:tabs>
              <w:ind w:left="100" w:right="101"/>
              <w:rPr>
                <w:sz w:val="22"/>
              </w:rPr>
            </w:pPr>
            <w:r>
              <w:rPr>
                <w:sz w:val="22"/>
              </w:rPr>
              <w:t>(Ejemplo:</w:t>
              <w:tab/>
            </w:r>
            <w:r>
              <w:rPr>
                <w:spacing w:val="-1"/>
                <w:sz w:val="22"/>
              </w:rPr>
              <w:t>contaminación </w:t>
            </w:r>
            <w:r>
              <w:rPr>
                <w:sz w:val="22"/>
              </w:rPr>
              <w:t>del</w:t>
              <w:tab/>
              <w:t>agua,</w:t>
              <w:tab/>
              <w:tab/>
              <w:tab/>
              <w:tab/>
              <w:t>reparto inequitativo</w:t>
              <w:tab/>
              <w:tab/>
              <w:tab/>
              <w:t>de</w:t>
              <w:tab/>
              <w:tab/>
              <w:tab/>
              <w:t>los recursos, sobreexplotación</w:t>
              <w:tab/>
              <w:t>de</w:t>
              <w:tab/>
              <w:t>los recursos,</w:t>
              <w:tab/>
              <w:tab/>
              <w:t>falta</w:t>
              <w:tab/>
              <w:tab/>
              <w:tab/>
              <w:tab/>
              <w:t>de acuerdos).</w:t>
            </w:r>
          </w:p>
        </w:tc>
      </w:tr>
      <w:tr>
        <w:trPr>
          <w:trHeight w:val="1529"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27" w:right="124"/>
              <w:jc w:val="center"/>
              <w:rPr>
                <w:b/>
                <w:sz w:val="22"/>
              </w:rPr>
            </w:pPr>
            <w:r>
              <w:rPr>
                <w:b/>
                <w:sz w:val="22"/>
              </w:rPr>
              <w:t>I2A</w:t>
            </w:r>
          </w:p>
        </w:tc>
        <w:tc>
          <w:tcPr>
            <w:tcW w:w="730" w:type="dxa"/>
            <w:shd w:val="clear" w:color="auto" w:fill="76923B"/>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672"/>
              <w:rPr>
                <w:sz w:val="22"/>
              </w:rPr>
            </w:pPr>
            <w:r>
              <w:rPr>
                <w:sz w:val="22"/>
              </w:rPr>
              <w:t>Reparto inequitativo</w:t>
            </w:r>
          </w:p>
        </w:tc>
        <w:tc>
          <w:tcPr>
            <w:tcW w:w="3259" w:type="dxa"/>
          </w:tcPr>
          <w:p>
            <w:pPr>
              <w:pStyle w:val="TableParagraph"/>
              <w:ind w:right="99"/>
              <w:jc w:val="both"/>
              <w:rPr>
                <w:sz w:val="22"/>
              </w:rPr>
            </w:pPr>
            <w:r>
              <w:rPr>
                <w:sz w:val="22"/>
              </w:rPr>
              <w:t>Los actores y municipios de la CHPH poseen un acceso diferenciado a los recursos naturales y un reparto inequitativo del agua (García, TC: 2013-2015).</w:t>
            </w:r>
          </w:p>
        </w:tc>
        <w:tc>
          <w:tcPr>
            <w:tcW w:w="2129" w:type="dxa"/>
          </w:tcPr>
          <w:p>
            <w:pPr>
              <w:pStyle w:val="TableParagraph"/>
              <w:spacing w:before="122"/>
              <w:ind w:left="119" w:right="120"/>
              <w:jc w:val="center"/>
              <w:rPr>
                <w:b/>
                <w:sz w:val="22"/>
              </w:rPr>
            </w:pPr>
            <w:r>
              <w:rPr>
                <w:b/>
                <w:sz w:val="22"/>
              </w:rPr>
              <w:t># de municipios beneficiados con las concesiones del agua de la presa</w:t>
            </w:r>
          </w:p>
        </w:tc>
        <w:tc>
          <w:tcPr>
            <w:tcW w:w="2835" w:type="dxa"/>
          </w:tcPr>
          <w:p>
            <w:pPr>
              <w:pStyle w:val="TableParagraph"/>
              <w:ind w:left="100" w:right="102"/>
              <w:jc w:val="both"/>
              <w:rPr>
                <w:sz w:val="22"/>
              </w:rPr>
            </w:pPr>
            <w:r>
              <w:rPr>
                <w:sz w:val="22"/>
              </w:rPr>
              <w:t>Cantidad de municipios que tienen acceso al servicio de riego de la CHPH.</w:t>
            </w:r>
          </w:p>
          <w:p>
            <w:pPr>
              <w:pStyle w:val="TableParagraph"/>
              <w:spacing w:line="252" w:lineRule="exact"/>
              <w:ind w:left="100"/>
              <w:jc w:val="both"/>
              <w:rPr>
                <w:sz w:val="22"/>
              </w:rPr>
            </w:pPr>
            <w:r>
              <w:rPr>
                <w:sz w:val="22"/>
              </w:rPr>
              <w:t>(Ejemplo: Polotitlán).</w:t>
            </w:r>
          </w:p>
        </w:tc>
      </w:tr>
      <w:tr>
        <w:trPr>
          <w:trHeight w:val="1781"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127" w:right="124"/>
              <w:jc w:val="center"/>
              <w:rPr>
                <w:b/>
                <w:sz w:val="22"/>
              </w:rPr>
            </w:pPr>
            <w:r>
              <w:rPr>
                <w:b/>
                <w:sz w:val="22"/>
              </w:rPr>
              <w:t>I3A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right="317"/>
              <w:rPr>
                <w:sz w:val="22"/>
              </w:rPr>
            </w:pPr>
            <w:r>
              <w:rPr>
                <w:sz w:val="22"/>
              </w:rPr>
              <w:t>Deterioro de la calidad de vida</w:t>
            </w:r>
          </w:p>
        </w:tc>
        <w:tc>
          <w:tcPr>
            <w:tcW w:w="3259" w:type="dxa"/>
          </w:tcPr>
          <w:p>
            <w:pPr>
              <w:pStyle w:val="TableParagraph"/>
              <w:spacing w:before="125"/>
              <w:ind w:right="99"/>
              <w:jc w:val="both"/>
              <w:rPr>
                <w:sz w:val="22"/>
              </w:rPr>
            </w:pPr>
            <w:r>
              <w:rPr>
                <w:sz w:val="22"/>
              </w:rPr>
              <w:t>El deterioro de la calidad de vida en la CHPH es consecuencia de la restricción del uso de los recursos a los distintos actores (García, TC: 2013-2015).</w:t>
            </w:r>
          </w:p>
        </w:tc>
        <w:tc>
          <w:tcPr>
            <w:tcW w:w="2129" w:type="dxa"/>
          </w:tcPr>
          <w:p>
            <w:pPr>
              <w:pStyle w:val="TableParagraph"/>
              <w:spacing w:before="5"/>
              <w:ind w:left="0"/>
              <w:rPr>
                <w:rFonts w:ascii="Times New Roman"/>
                <w:sz w:val="21"/>
              </w:rPr>
            </w:pPr>
          </w:p>
          <w:p>
            <w:pPr>
              <w:pStyle w:val="TableParagraph"/>
              <w:ind w:left="134" w:right="134"/>
              <w:jc w:val="center"/>
              <w:rPr>
                <w:b/>
                <w:sz w:val="22"/>
              </w:rPr>
            </w:pPr>
            <w:r>
              <w:rPr>
                <w:b/>
                <w:sz w:val="22"/>
              </w:rPr>
              <w:t># de actores a los que se les restringe el uso de los recursos de la CHPH</w:t>
            </w:r>
          </w:p>
        </w:tc>
        <w:tc>
          <w:tcPr>
            <w:tcW w:w="2835" w:type="dxa"/>
          </w:tcPr>
          <w:p>
            <w:pPr>
              <w:pStyle w:val="TableParagraph"/>
              <w:ind w:left="100" w:right="102"/>
              <w:jc w:val="both"/>
              <w:rPr>
                <w:sz w:val="22"/>
              </w:rPr>
            </w:pPr>
            <w:r>
              <w:rPr>
                <w:sz w:val="22"/>
              </w:rPr>
              <w:t>Cantidad de actores a los que se les restringe el uso de los recursos de la CHPH</w:t>
            </w:r>
          </w:p>
          <w:p>
            <w:pPr>
              <w:pStyle w:val="TableParagraph"/>
              <w:spacing w:before="1"/>
              <w:ind w:left="100" w:right="104"/>
              <w:jc w:val="both"/>
              <w:rPr>
                <w:sz w:val="22"/>
              </w:rPr>
            </w:pPr>
            <w:r>
              <w:rPr>
                <w:sz w:val="22"/>
              </w:rPr>
              <w:t>(Ejemplo: pescadores, agricultores).</w:t>
            </w:r>
          </w:p>
        </w:tc>
      </w:tr>
      <w:tr>
        <w:trPr>
          <w:trHeight w:val="1529"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spacing w:before="1"/>
              <w:ind w:left="127" w:right="124"/>
              <w:jc w:val="center"/>
              <w:rPr>
                <w:b/>
                <w:sz w:val="22"/>
              </w:rPr>
            </w:pPr>
            <w:r>
              <w:rPr>
                <w:b/>
                <w:sz w:val="22"/>
              </w:rPr>
              <w:t>I4A</w:t>
            </w:r>
          </w:p>
        </w:tc>
        <w:tc>
          <w:tcPr>
            <w:tcW w:w="730" w:type="dxa"/>
            <w:shd w:val="clear" w:color="auto" w:fill="76923B"/>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spacing w:before="1"/>
              <w:ind w:right="538"/>
              <w:rPr>
                <w:sz w:val="22"/>
              </w:rPr>
            </w:pPr>
            <w:r>
              <w:rPr>
                <w:sz w:val="22"/>
              </w:rPr>
              <w:t>Acceso a los recursos_1</w:t>
            </w:r>
          </w:p>
        </w:tc>
        <w:tc>
          <w:tcPr>
            <w:tcW w:w="3259" w:type="dxa"/>
          </w:tcPr>
          <w:p>
            <w:pPr>
              <w:pStyle w:val="TableParagraph"/>
              <w:ind w:right="97"/>
              <w:jc w:val="both"/>
              <w:rPr>
                <w:sz w:val="22"/>
              </w:rPr>
            </w:pPr>
            <w:r>
              <w:rPr>
                <w:sz w:val="22"/>
              </w:rPr>
              <w:t>El acceso a los recursos naturales es diferenciado por grupo de actores, ocasionando soluciones parciales y no de fondo (tiempo y espacio) en la CHPH      (García,   TC:  2013-</w:t>
            </w:r>
          </w:p>
        </w:tc>
        <w:tc>
          <w:tcPr>
            <w:tcW w:w="2129" w:type="dxa"/>
          </w:tcPr>
          <w:p>
            <w:pPr>
              <w:pStyle w:val="TableParagraph"/>
              <w:spacing w:before="6"/>
              <w:ind w:left="0"/>
              <w:rPr>
                <w:rFonts w:ascii="Times New Roman"/>
                <w:sz w:val="21"/>
              </w:rPr>
            </w:pPr>
          </w:p>
          <w:p>
            <w:pPr>
              <w:pStyle w:val="TableParagraph"/>
              <w:ind w:left="120" w:right="120"/>
              <w:jc w:val="center"/>
              <w:rPr>
                <w:b/>
                <w:sz w:val="22"/>
              </w:rPr>
            </w:pPr>
            <w:r>
              <w:rPr>
                <w:b/>
                <w:sz w:val="22"/>
              </w:rPr>
              <w:t># de actores que se benefician con los recursos naturales de la CHPH</w:t>
            </w:r>
          </w:p>
        </w:tc>
        <w:tc>
          <w:tcPr>
            <w:tcW w:w="2835" w:type="dxa"/>
          </w:tcPr>
          <w:p>
            <w:pPr>
              <w:pStyle w:val="TableParagraph"/>
              <w:tabs>
                <w:tab w:pos="1232" w:val="left" w:leader="none"/>
                <w:tab w:pos="1573" w:val="left" w:leader="none"/>
                <w:tab w:pos="2489" w:val="left" w:leader="none"/>
              </w:tabs>
              <w:ind w:left="100" w:right="101"/>
              <w:rPr>
                <w:sz w:val="22"/>
              </w:rPr>
            </w:pPr>
            <w:r>
              <w:rPr>
                <w:sz w:val="22"/>
              </w:rPr>
              <w:t>Cantidad de actores por municipio</w:t>
              <w:tab/>
              <w:tab/>
              <w:t>que</w:t>
              <w:tab/>
              <w:t>se benefician del accesoa los recursos de la CHPH. (Ejemplo:</w:t>
              <w:tab/>
              <w:t>ganaderos  </w:t>
            </w:r>
            <w:r>
              <w:rPr>
                <w:spacing w:val="15"/>
                <w:sz w:val="22"/>
              </w:rPr>
              <w:t> </w:t>
            </w:r>
            <w:r>
              <w:rPr>
                <w:sz w:val="22"/>
              </w:rPr>
              <w:t>de</w:t>
            </w:r>
            <w:r>
              <w:rPr>
                <w:w w:val="100"/>
                <w:sz w:val="22"/>
              </w:rPr>
              <w:t> </w:t>
            </w:r>
            <w:r>
              <w:rPr>
                <w:sz w:val="22"/>
              </w:rPr>
              <w:t>Aculco).</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262" w:hRule="exact"/>
        </w:trPr>
        <w:tc>
          <w:tcPr>
            <w:tcW w:w="852" w:type="dxa"/>
            <w:shd w:val="clear" w:color="auto" w:fill="76923B"/>
          </w:tcPr>
          <w:p>
            <w:pPr/>
          </w:p>
        </w:tc>
        <w:tc>
          <w:tcPr>
            <w:tcW w:w="730" w:type="dxa"/>
            <w:shd w:val="clear" w:color="auto" w:fill="76923B"/>
          </w:tcPr>
          <w:p>
            <w:pPr/>
          </w:p>
        </w:tc>
        <w:tc>
          <w:tcPr>
            <w:tcW w:w="1918" w:type="dxa"/>
          </w:tcPr>
          <w:p>
            <w:pPr/>
          </w:p>
        </w:tc>
        <w:tc>
          <w:tcPr>
            <w:tcW w:w="3259" w:type="dxa"/>
          </w:tcPr>
          <w:p>
            <w:pPr>
              <w:pStyle w:val="TableParagraph"/>
              <w:spacing w:line="251" w:lineRule="exact"/>
              <w:ind w:right="93"/>
              <w:rPr>
                <w:sz w:val="22"/>
              </w:rPr>
            </w:pPr>
            <w:r>
              <w:rPr>
                <w:sz w:val="22"/>
              </w:rPr>
              <w:t>2015).</w:t>
            </w:r>
          </w:p>
        </w:tc>
        <w:tc>
          <w:tcPr>
            <w:tcW w:w="2129" w:type="dxa"/>
          </w:tcPr>
          <w:p>
            <w:pPr/>
          </w:p>
        </w:tc>
        <w:tc>
          <w:tcPr>
            <w:tcW w:w="2835" w:type="dxa"/>
          </w:tcPr>
          <w:p>
            <w:pPr/>
          </w:p>
        </w:tc>
      </w:tr>
      <w:tr>
        <w:trPr>
          <w:trHeight w:val="2794"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7" w:right="124"/>
              <w:jc w:val="center"/>
              <w:rPr>
                <w:b/>
                <w:sz w:val="22"/>
              </w:rPr>
            </w:pPr>
            <w:r>
              <w:rPr>
                <w:b/>
                <w:sz w:val="22"/>
              </w:rPr>
              <w:t>I5A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427"/>
              <w:rPr>
                <w:sz w:val="22"/>
              </w:rPr>
            </w:pPr>
            <w:r>
              <w:rPr>
                <w:sz w:val="22"/>
              </w:rPr>
              <w:t>Capacidad de organización</w:t>
            </w:r>
          </w:p>
        </w:tc>
        <w:tc>
          <w:tcPr>
            <w:tcW w:w="3259"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tabs>
                <w:tab w:pos="1998" w:val="left" w:leader="none"/>
                <w:tab w:pos="2975" w:val="left" w:leader="none"/>
              </w:tabs>
              <w:ind w:right="97"/>
              <w:jc w:val="both"/>
              <w:rPr>
                <w:sz w:val="22"/>
              </w:rPr>
            </w:pPr>
            <w:r>
              <w:rPr>
                <w:sz w:val="22"/>
              </w:rPr>
              <w:t>Los actores tienen interés de organización social para detener los daños en la CHPH ocasionados</w:t>
              <w:tab/>
              <w:t>por</w:t>
              <w:tab/>
              <w:t>la</w:t>
            </w:r>
          </w:p>
          <w:p>
            <w:pPr>
              <w:pStyle w:val="TableParagraph"/>
              <w:tabs>
                <w:tab w:pos="2354" w:val="left" w:leader="none"/>
                <w:tab w:pos="3038" w:val="left" w:leader="none"/>
              </w:tabs>
              <w:ind w:right="98"/>
              <w:jc w:val="both"/>
              <w:rPr>
                <w:sz w:val="22"/>
              </w:rPr>
            </w:pPr>
            <w:r>
              <w:rPr>
                <w:sz w:val="22"/>
              </w:rPr>
              <w:t>sobreexplotación</w:t>
              <w:tab/>
              <w:tab/>
              <w:t>y contaminación</w:t>
              <w:tab/>
            </w:r>
            <w:r>
              <w:rPr>
                <w:spacing w:val="-1"/>
                <w:sz w:val="22"/>
              </w:rPr>
              <w:t>humana </w:t>
            </w:r>
            <w:r>
              <w:rPr>
                <w:sz w:val="22"/>
              </w:rPr>
              <w:t>(García, TC:</w:t>
            </w:r>
            <w:r>
              <w:rPr>
                <w:spacing w:val="-7"/>
                <w:sz w:val="22"/>
              </w:rPr>
              <w:t> </w:t>
            </w:r>
            <w:r>
              <w:rPr>
                <w:sz w:val="22"/>
              </w:rPr>
              <w:t>2013-2015).</w:t>
            </w:r>
          </w:p>
        </w:tc>
        <w:tc>
          <w:tcPr>
            <w:tcW w:w="2129"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120" w:right="120"/>
              <w:jc w:val="center"/>
              <w:rPr>
                <w:b/>
                <w:sz w:val="22"/>
              </w:rPr>
            </w:pPr>
            <w:r>
              <w:rPr>
                <w:b/>
                <w:sz w:val="22"/>
              </w:rPr>
              <w:t># de     organizaciones formales e informales de los actores de la CHPH</w:t>
            </w:r>
          </w:p>
        </w:tc>
        <w:tc>
          <w:tcPr>
            <w:tcW w:w="2835" w:type="dxa"/>
          </w:tcPr>
          <w:p>
            <w:pPr>
              <w:pStyle w:val="TableParagraph"/>
              <w:tabs>
                <w:tab w:pos="2473" w:val="left" w:leader="none"/>
              </w:tabs>
              <w:spacing w:line="251" w:lineRule="exact"/>
              <w:ind w:left="100"/>
              <w:rPr>
                <w:sz w:val="22"/>
              </w:rPr>
            </w:pPr>
            <w:r>
              <w:rPr>
                <w:sz w:val="22"/>
              </w:rPr>
              <w:t>Cantidad</w:t>
              <w:tab/>
              <w:t>de</w:t>
            </w:r>
          </w:p>
          <w:p>
            <w:pPr>
              <w:pStyle w:val="TableParagraph"/>
              <w:spacing w:before="1"/>
              <w:ind w:left="100" w:right="101"/>
              <w:jc w:val="both"/>
              <w:rPr>
                <w:sz w:val="22"/>
              </w:rPr>
            </w:pPr>
            <w:r>
              <w:rPr>
                <w:sz w:val="22"/>
              </w:rPr>
              <w:t>organizaciones formales e informales que deriven en una interrelación entre actores de la CHPH para solucionar su problemática ambiental.</w:t>
            </w:r>
          </w:p>
          <w:p>
            <w:pPr>
              <w:pStyle w:val="TableParagraph"/>
              <w:tabs>
                <w:tab w:pos="2054" w:val="left" w:leader="none"/>
                <w:tab w:pos="2548" w:val="left" w:leader="none"/>
              </w:tabs>
              <w:ind w:left="100" w:right="104"/>
              <w:rPr>
                <w:sz w:val="22"/>
              </w:rPr>
            </w:pPr>
            <w:r>
              <w:rPr>
                <w:sz w:val="22"/>
              </w:rPr>
              <w:t>(Ejemplo: aún no existen organizaciones socioambientales</w:t>
              <w:tab/>
              <w:t>en</w:t>
              <w:tab/>
              <w:t>la CHPH).</w:t>
            </w:r>
          </w:p>
        </w:tc>
      </w:tr>
      <w:tr>
        <w:trPr>
          <w:trHeight w:val="3552"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7" w:right="124"/>
              <w:jc w:val="center"/>
              <w:rPr>
                <w:b/>
                <w:sz w:val="22"/>
              </w:rPr>
            </w:pPr>
            <w:r>
              <w:rPr>
                <w:b/>
                <w:sz w:val="22"/>
              </w:rPr>
              <w:t>I6A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spacing w:before="1"/>
              <w:ind w:right="342"/>
              <w:rPr>
                <w:sz w:val="22"/>
              </w:rPr>
            </w:pPr>
            <w:r>
              <w:rPr>
                <w:sz w:val="22"/>
              </w:rPr>
              <w:t>Deterioro de la CHPH</w:t>
            </w:r>
          </w:p>
        </w:tc>
        <w:tc>
          <w:tcPr>
            <w:tcW w:w="3259"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tabs>
                <w:tab w:pos="2145" w:val="left" w:leader="none"/>
              </w:tabs>
              <w:spacing w:line="252" w:lineRule="exact"/>
              <w:jc w:val="both"/>
              <w:rPr>
                <w:sz w:val="22"/>
              </w:rPr>
            </w:pPr>
            <w:r>
              <w:rPr>
                <w:sz w:val="22"/>
              </w:rPr>
              <w:t>Las</w:t>
              <w:tab/>
              <w:t>relaciones</w:t>
            </w:r>
          </w:p>
          <w:p>
            <w:pPr>
              <w:pStyle w:val="TableParagraph"/>
              <w:ind w:right="99"/>
              <w:jc w:val="both"/>
              <w:rPr>
                <w:sz w:val="22"/>
              </w:rPr>
            </w:pPr>
            <w:r>
              <w:rPr>
                <w:sz w:val="22"/>
              </w:rPr>
              <w:t>intermunicipales ambientales de la CHPH son segmentadas por comunidad.</w:t>
            </w:r>
          </w:p>
          <w:p>
            <w:pPr>
              <w:pStyle w:val="TableParagraph"/>
              <w:ind w:right="99"/>
              <w:jc w:val="both"/>
              <w:rPr>
                <w:sz w:val="22"/>
              </w:rPr>
            </w:pPr>
            <w:r>
              <w:rPr>
                <w:sz w:val="22"/>
              </w:rPr>
              <w:t>Hay remedios de corto alcance local, lo que las vuelve ineficientes a mediano y largo plazo (García, TC: 2013- 2015).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65" w:right="164" w:firstLine="1"/>
              <w:jc w:val="center"/>
              <w:rPr>
                <w:b/>
                <w:sz w:val="22"/>
              </w:rPr>
            </w:pPr>
            <w:r>
              <w:rPr>
                <w:b/>
                <w:sz w:val="22"/>
              </w:rPr>
              <w:t># de soluciones comunitarias por municipio en la CHPH</w:t>
            </w:r>
          </w:p>
        </w:tc>
        <w:tc>
          <w:tcPr>
            <w:tcW w:w="2835" w:type="dxa"/>
          </w:tcPr>
          <w:p>
            <w:pPr>
              <w:pStyle w:val="TableParagraph"/>
              <w:tabs>
                <w:tab w:pos="729" w:val="left" w:leader="none"/>
                <w:tab w:pos="1163" w:val="left" w:leader="none"/>
                <w:tab w:pos="1235" w:val="left" w:leader="none"/>
                <w:tab w:pos="1283" w:val="left" w:leader="none"/>
                <w:tab w:pos="1489" w:val="left" w:leader="none"/>
                <w:tab w:pos="1804" w:val="left" w:leader="none"/>
                <w:tab w:pos="1854" w:val="left" w:leader="none"/>
                <w:tab w:pos="2194" w:val="left" w:leader="none"/>
                <w:tab w:pos="2350" w:val="left" w:leader="none"/>
              </w:tabs>
              <w:ind w:left="100" w:right="102"/>
              <w:rPr>
                <w:sz w:val="22"/>
              </w:rPr>
            </w:pPr>
            <w:r>
              <w:rPr>
                <w:sz w:val="22"/>
              </w:rPr>
              <w:t>Cantidad</w:t>
              <w:tab/>
              <w:tab/>
              <w:tab/>
              <w:t>de</w:t>
              <w:tab/>
              <w:tab/>
            </w:r>
            <w:r>
              <w:rPr>
                <w:spacing w:val="-1"/>
                <w:sz w:val="22"/>
              </w:rPr>
              <w:t>acciones </w:t>
            </w:r>
            <w:r>
              <w:rPr>
                <w:sz w:val="22"/>
              </w:rPr>
              <w:t>inmediatas y parciales de los actores para resolver los problemas ambientales de</w:t>
              <w:tab/>
              <w:t>la</w:t>
              <w:tab/>
              <w:tab/>
              <w:tab/>
              <w:t>CHPH,</w:t>
              <w:tab/>
              <w:tab/>
              <w:t>que funcionan como paliativo temporal</w:t>
              <w:tab/>
              <w:tab/>
              <w:t>del</w:t>
              <w:tab/>
            </w:r>
            <w:r>
              <w:rPr>
                <w:spacing w:val="-1"/>
                <w:sz w:val="22"/>
              </w:rPr>
              <w:t>problema </w:t>
            </w:r>
            <w:r>
              <w:rPr>
                <w:sz w:val="22"/>
              </w:rPr>
              <w:t>mayor, lo que las vuelve ineficientes e ineficaces a mediano</w:t>
              <w:tab/>
              <w:t>y</w:t>
              <w:tab/>
              <w:tab/>
              <w:t>largo</w:t>
              <w:tab/>
            </w:r>
            <w:r>
              <w:rPr>
                <w:spacing w:val="-1"/>
                <w:sz w:val="22"/>
              </w:rPr>
              <w:t>plazo </w:t>
            </w:r>
            <w:r>
              <w:rPr>
                <w:sz w:val="22"/>
              </w:rPr>
              <w:t>(Ejemplo: recolección de basura, siembra de peces, biodigestores comunitarios).</w:t>
            </w:r>
          </w:p>
        </w:tc>
      </w:tr>
      <w:tr>
        <w:trPr>
          <w:trHeight w:val="2033"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7" w:right="124"/>
              <w:jc w:val="center"/>
              <w:rPr>
                <w:b/>
                <w:sz w:val="22"/>
              </w:rPr>
            </w:pPr>
            <w:r>
              <w:rPr>
                <w:b/>
                <w:sz w:val="22"/>
              </w:rPr>
              <w:t>I7A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spacing w:before="1"/>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spacing w:before="1"/>
              <w:ind w:right="195"/>
              <w:rPr>
                <w:sz w:val="22"/>
              </w:rPr>
            </w:pPr>
            <w:r>
              <w:rPr>
                <w:sz w:val="22"/>
              </w:rPr>
              <w:t>Redes sociales</w:t>
            </w:r>
          </w:p>
        </w:tc>
        <w:tc>
          <w:tcPr>
            <w:tcW w:w="3259" w:type="dxa"/>
          </w:tcPr>
          <w:p>
            <w:pPr>
              <w:pStyle w:val="TableParagraph"/>
              <w:spacing w:before="8"/>
              <w:ind w:left="0"/>
              <w:rPr>
                <w:rFonts w:ascii="Times New Roman"/>
                <w:sz w:val="32"/>
              </w:rPr>
            </w:pPr>
          </w:p>
          <w:p>
            <w:pPr>
              <w:pStyle w:val="TableParagraph"/>
              <w:tabs>
                <w:tab w:pos="1962" w:val="left" w:leader="none"/>
              </w:tabs>
              <w:spacing w:before="1"/>
              <w:ind w:right="97"/>
              <w:jc w:val="both"/>
              <w:rPr>
                <w:sz w:val="22"/>
              </w:rPr>
            </w:pPr>
            <w:r>
              <w:rPr>
                <w:sz w:val="22"/>
              </w:rPr>
              <w:t>Hay alianzas históricas entre diversos actores para resolver problemas</w:t>
              <w:tab/>
            </w:r>
            <w:r>
              <w:rPr>
                <w:spacing w:val="-1"/>
                <w:sz w:val="22"/>
              </w:rPr>
              <w:t>ambientales </w:t>
            </w:r>
            <w:r>
              <w:rPr>
                <w:sz w:val="22"/>
              </w:rPr>
              <w:t>comunes de la CHPH (García, TC:</w:t>
            </w:r>
            <w:r>
              <w:rPr>
                <w:spacing w:val="-4"/>
                <w:sz w:val="22"/>
              </w:rPr>
              <w:t> </w:t>
            </w:r>
            <w:r>
              <w:rPr>
                <w:sz w:val="22"/>
              </w:rPr>
              <w:t>2013-2015).</w:t>
            </w:r>
          </w:p>
        </w:tc>
        <w:tc>
          <w:tcPr>
            <w:tcW w:w="2129"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22" w:right="120"/>
              <w:jc w:val="center"/>
              <w:rPr>
                <w:b/>
                <w:sz w:val="22"/>
              </w:rPr>
            </w:pPr>
            <w:r>
              <w:rPr>
                <w:b/>
                <w:sz w:val="22"/>
              </w:rPr>
              <w:t># de redes sociales entre actores de la CHPH</w:t>
            </w:r>
          </w:p>
        </w:tc>
        <w:tc>
          <w:tcPr>
            <w:tcW w:w="2835" w:type="dxa"/>
          </w:tcPr>
          <w:p>
            <w:pPr>
              <w:pStyle w:val="TableParagraph"/>
              <w:tabs>
                <w:tab w:pos="2351" w:val="left" w:leader="none"/>
              </w:tabs>
              <w:ind w:left="100" w:right="101"/>
              <w:jc w:val="both"/>
              <w:rPr>
                <w:sz w:val="22"/>
              </w:rPr>
            </w:pPr>
            <w:r>
              <w:rPr>
                <w:sz w:val="22"/>
              </w:rPr>
              <w:t>Cantidad de estructuras sociohistóricas</w:t>
              <w:tab/>
              <w:t>que relacionan a los grupos de actores y que permiten acuerdos formales e informales para resolver sus problemas comunes de la</w:t>
            </w:r>
            <w:r>
              <w:rPr>
                <w:spacing w:val="-4"/>
                <w:sz w:val="22"/>
              </w:rPr>
              <w:t> </w:t>
            </w:r>
            <w:r>
              <w:rPr>
                <w:sz w:val="22"/>
              </w:rPr>
              <w:t>CHPH.</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1022" w:hRule="exact"/>
        </w:trPr>
        <w:tc>
          <w:tcPr>
            <w:tcW w:w="852" w:type="dxa"/>
            <w:shd w:val="clear" w:color="auto" w:fill="76923B"/>
          </w:tcPr>
          <w:p>
            <w:pPr/>
          </w:p>
        </w:tc>
        <w:tc>
          <w:tcPr>
            <w:tcW w:w="730" w:type="dxa"/>
            <w:shd w:val="clear" w:color="auto" w:fill="76923B"/>
          </w:tcPr>
          <w:p>
            <w:pPr/>
          </w:p>
        </w:tc>
        <w:tc>
          <w:tcPr>
            <w:tcW w:w="1918" w:type="dxa"/>
          </w:tcPr>
          <w:p>
            <w:pPr/>
          </w:p>
        </w:tc>
        <w:tc>
          <w:tcPr>
            <w:tcW w:w="3259" w:type="dxa"/>
          </w:tcPr>
          <w:p>
            <w:pPr/>
          </w:p>
        </w:tc>
        <w:tc>
          <w:tcPr>
            <w:tcW w:w="2129" w:type="dxa"/>
          </w:tcPr>
          <w:p>
            <w:pPr/>
          </w:p>
        </w:tc>
        <w:tc>
          <w:tcPr>
            <w:tcW w:w="2835" w:type="dxa"/>
          </w:tcPr>
          <w:p>
            <w:pPr>
              <w:pStyle w:val="TableParagraph"/>
              <w:tabs>
                <w:tab w:pos="1900" w:val="left" w:leader="none"/>
              </w:tabs>
              <w:ind w:left="100" w:right="103"/>
              <w:jc w:val="both"/>
              <w:rPr>
                <w:sz w:val="22"/>
              </w:rPr>
            </w:pPr>
            <w:r>
              <w:rPr>
                <w:sz w:val="22"/>
              </w:rPr>
              <w:t>(Ejemplos: relaciones de parentesco,</w:t>
              <w:tab/>
            </w:r>
            <w:r>
              <w:rPr>
                <w:spacing w:val="-1"/>
                <w:sz w:val="22"/>
              </w:rPr>
              <w:t>tianguis, </w:t>
            </w:r>
            <w:r>
              <w:rPr>
                <w:sz w:val="22"/>
              </w:rPr>
              <w:t>fiestas patronales y regionales).</w:t>
            </w:r>
          </w:p>
        </w:tc>
      </w:tr>
      <w:tr>
        <w:trPr>
          <w:trHeight w:val="2285"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44"/>
              <w:jc w:val="right"/>
              <w:rPr>
                <w:b/>
                <w:sz w:val="22"/>
              </w:rPr>
            </w:pPr>
            <w:r>
              <w:rPr>
                <w:b/>
                <w:sz w:val="22"/>
              </w:rPr>
              <w:t>I8A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501"/>
              <w:rPr>
                <w:sz w:val="22"/>
              </w:rPr>
            </w:pPr>
            <w:r>
              <w:rPr>
                <w:sz w:val="22"/>
              </w:rPr>
              <w:t>Problemática ambiental</w:t>
            </w:r>
          </w:p>
        </w:tc>
        <w:tc>
          <w:tcPr>
            <w:tcW w:w="3259" w:type="dxa"/>
          </w:tcPr>
          <w:p>
            <w:pPr>
              <w:pStyle w:val="TableParagraph"/>
              <w:tabs>
                <w:tab w:pos="1962" w:val="left" w:leader="none"/>
              </w:tabs>
              <w:spacing w:before="122"/>
              <w:jc w:val="both"/>
              <w:rPr>
                <w:sz w:val="22"/>
              </w:rPr>
            </w:pPr>
            <w:r>
              <w:rPr>
                <w:sz w:val="22"/>
              </w:rPr>
              <w:t>Problemas</w:t>
              <w:tab/>
              <w:t>ambientales</w:t>
            </w:r>
          </w:p>
          <w:p>
            <w:pPr>
              <w:pStyle w:val="TableParagraph"/>
              <w:tabs>
                <w:tab w:pos="1718" w:val="left" w:leader="none"/>
              </w:tabs>
              <w:spacing w:before="1"/>
              <w:ind w:right="96"/>
              <w:jc w:val="both"/>
              <w:rPr>
                <w:sz w:val="22"/>
              </w:rPr>
            </w:pPr>
            <w:r>
              <w:rPr>
                <w:sz w:val="22"/>
              </w:rPr>
              <w:t>comunes</w:t>
              <w:tab/>
            </w:r>
            <w:r>
              <w:rPr>
                <w:spacing w:val="-1"/>
                <w:sz w:val="22"/>
              </w:rPr>
              <w:t>históricamente </w:t>
            </w:r>
            <w:r>
              <w:rPr>
                <w:sz w:val="22"/>
              </w:rPr>
              <w:t>identificados por los actores de la cuenca sobre el uso y manejo de los recursos naturales (García, TC: 2013- 2015).</w:t>
            </w:r>
          </w:p>
        </w:tc>
        <w:tc>
          <w:tcPr>
            <w:tcW w:w="2129"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94" w:right="197"/>
              <w:jc w:val="center"/>
              <w:rPr>
                <w:b/>
                <w:sz w:val="22"/>
              </w:rPr>
            </w:pPr>
            <w:r>
              <w:rPr>
                <w:b/>
                <w:sz w:val="22"/>
              </w:rPr>
              <w:t># problemas ambientales comunes entre los actores de la CHPH</w:t>
            </w:r>
          </w:p>
        </w:tc>
        <w:tc>
          <w:tcPr>
            <w:tcW w:w="2835" w:type="dxa"/>
          </w:tcPr>
          <w:p>
            <w:pPr>
              <w:pStyle w:val="TableParagraph"/>
              <w:ind w:left="100" w:right="101"/>
              <w:jc w:val="both"/>
              <w:rPr>
                <w:sz w:val="22"/>
              </w:rPr>
            </w:pPr>
            <w:r>
              <w:rPr>
                <w:sz w:val="22"/>
              </w:rPr>
              <w:t>Cantidad de prácticas que derivan en problemas ambientales comunes reconocidas y validadas por los actores de la  CHPH</w:t>
            </w:r>
          </w:p>
          <w:p>
            <w:pPr>
              <w:pStyle w:val="TableParagraph"/>
              <w:tabs>
                <w:tab w:pos="1767" w:val="left" w:leader="none"/>
              </w:tabs>
              <w:ind w:left="100" w:right="102"/>
              <w:jc w:val="both"/>
              <w:rPr>
                <w:sz w:val="22"/>
              </w:rPr>
            </w:pPr>
            <w:r>
              <w:rPr>
                <w:sz w:val="22"/>
              </w:rPr>
              <w:t>(Ejemplo:</w:t>
              <w:tab/>
            </w:r>
            <w:r>
              <w:rPr>
                <w:spacing w:val="-1"/>
                <w:sz w:val="22"/>
              </w:rPr>
              <w:t>desagües </w:t>
            </w:r>
            <w:r>
              <w:rPr>
                <w:sz w:val="22"/>
              </w:rPr>
              <w:t>domésticos, desechos de agroquímicos).</w:t>
            </w:r>
          </w:p>
        </w:tc>
      </w:tr>
      <w:tr>
        <w:trPr>
          <w:trHeight w:val="2036"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44"/>
              <w:jc w:val="right"/>
              <w:rPr>
                <w:b/>
                <w:sz w:val="22"/>
              </w:rPr>
            </w:pPr>
            <w:r>
              <w:rPr>
                <w:b/>
                <w:sz w:val="22"/>
              </w:rPr>
              <w:t>I9A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ind w:right="317"/>
              <w:rPr>
                <w:sz w:val="22"/>
              </w:rPr>
            </w:pPr>
            <w:r>
              <w:rPr>
                <w:sz w:val="22"/>
              </w:rPr>
              <w:t>Cuidado de los recursos</w:t>
            </w:r>
          </w:p>
        </w:tc>
        <w:tc>
          <w:tcPr>
            <w:tcW w:w="3259" w:type="dxa"/>
          </w:tcPr>
          <w:p>
            <w:pPr>
              <w:pStyle w:val="TableParagraph"/>
              <w:spacing w:before="11"/>
              <w:ind w:left="0"/>
              <w:rPr>
                <w:rFonts w:ascii="Times New Roman"/>
                <w:sz w:val="32"/>
              </w:rPr>
            </w:pPr>
          </w:p>
          <w:p>
            <w:pPr>
              <w:pStyle w:val="TableParagraph"/>
              <w:ind w:right="98"/>
              <w:jc w:val="both"/>
              <w:rPr>
                <w:sz w:val="22"/>
              </w:rPr>
            </w:pPr>
            <w:r>
              <w:rPr>
                <w:sz w:val="22"/>
              </w:rPr>
              <w:t>Permite la conservación y el acceso a los  recursos naturales mediante las estructuras sociales históricas (García, TC: 2013-2015).</w:t>
            </w:r>
          </w:p>
        </w:tc>
        <w:tc>
          <w:tcPr>
            <w:tcW w:w="2129" w:type="dxa"/>
          </w:tcPr>
          <w:p>
            <w:pPr>
              <w:pStyle w:val="TableParagraph"/>
              <w:spacing w:before="8"/>
              <w:ind w:left="0"/>
              <w:rPr>
                <w:rFonts w:ascii="Times New Roman"/>
                <w:sz w:val="21"/>
              </w:rPr>
            </w:pPr>
          </w:p>
          <w:p>
            <w:pPr>
              <w:pStyle w:val="TableParagraph"/>
              <w:ind w:left="189" w:right="189" w:hanging="4"/>
              <w:jc w:val="center"/>
              <w:rPr>
                <w:b/>
                <w:sz w:val="22"/>
              </w:rPr>
            </w:pPr>
            <w:r>
              <w:rPr>
                <w:b/>
                <w:sz w:val="22"/>
              </w:rPr>
              <w:t># de estructuras socio- ambientales históricas de los actores de la CHPH</w:t>
            </w:r>
          </w:p>
        </w:tc>
        <w:tc>
          <w:tcPr>
            <w:tcW w:w="2835" w:type="dxa"/>
          </w:tcPr>
          <w:p>
            <w:pPr>
              <w:pStyle w:val="TableParagraph"/>
              <w:ind w:left="100" w:right="101"/>
              <w:jc w:val="both"/>
              <w:rPr>
                <w:sz w:val="22"/>
              </w:rPr>
            </w:pPr>
            <w:r>
              <w:rPr>
                <w:sz w:val="22"/>
              </w:rPr>
              <w:t>Cantidad de acciones por los actores históricos de CHPH para solucionar problemas ambientales mediante el trabajo común (Ejemplo: recolección de lirio acuático por parte de los pescadores).</w:t>
            </w:r>
          </w:p>
        </w:tc>
      </w:tr>
      <w:tr>
        <w:trPr>
          <w:trHeight w:val="3298"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0" w:right="184"/>
              <w:jc w:val="right"/>
              <w:rPr>
                <w:b/>
                <w:sz w:val="22"/>
              </w:rPr>
            </w:pPr>
            <w:r>
              <w:rPr>
                <w:b/>
                <w:sz w:val="22"/>
              </w:rPr>
              <w:t>I10A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538"/>
              <w:rPr>
                <w:sz w:val="22"/>
              </w:rPr>
            </w:pPr>
            <w:r>
              <w:rPr>
                <w:sz w:val="22"/>
              </w:rPr>
              <w:t>Acceso a los recursos_2</w:t>
            </w:r>
          </w:p>
        </w:tc>
        <w:tc>
          <w:tcPr>
            <w:tcW w:w="3259" w:type="dxa"/>
          </w:tcPr>
          <w:p>
            <w:pPr>
              <w:pStyle w:val="TableParagraph"/>
              <w:spacing w:before="125"/>
              <w:ind w:right="98"/>
              <w:jc w:val="both"/>
              <w:rPr>
                <w:sz w:val="22"/>
              </w:rPr>
            </w:pPr>
            <w:r>
              <w:rPr>
                <w:sz w:val="22"/>
              </w:rPr>
              <w:t>Los grupos de actores de los distintos municipios que integran la CHPH, tienen acceso de forma  diferenciada a los recursos naturales, ya que su asignación por la federación y su autogestión histórica, dio como resultado un acceso diferente a los recursos, favoreciendo a los actores de aguas abajo. (García, TC:</w:t>
            </w:r>
            <w:r>
              <w:rPr>
                <w:spacing w:val="-7"/>
                <w:sz w:val="22"/>
              </w:rPr>
              <w:t> </w:t>
            </w:r>
            <w:r>
              <w:rPr>
                <w:sz w:val="22"/>
              </w:rPr>
              <w:t>2013-2015).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122" w:right="120"/>
              <w:jc w:val="center"/>
              <w:rPr>
                <w:b/>
                <w:sz w:val="22"/>
              </w:rPr>
            </w:pPr>
            <w:r>
              <w:rPr>
                <w:b/>
                <w:sz w:val="22"/>
              </w:rPr>
              <w:t># de actores y municipios que acceden de forma diferenciada a los recursos de la CHPH</w:t>
            </w:r>
          </w:p>
        </w:tc>
        <w:tc>
          <w:tcPr>
            <w:tcW w:w="2835" w:type="dxa"/>
          </w:tcPr>
          <w:p>
            <w:pPr>
              <w:pStyle w:val="TableParagraph"/>
              <w:ind w:left="100" w:right="100"/>
              <w:jc w:val="both"/>
              <w:rPr>
                <w:sz w:val="22"/>
              </w:rPr>
            </w:pPr>
            <w:r>
              <w:rPr>
                <w:sz w:val="22"/>
              </w:rPr>
              <w:t>Cantidad de actores y municipios que  acceden de forma diferenciada a los recursos naturales de la</w:t>
            </w:r>
            <w:r>
              <w:rPr>
                <w:spacing w:val="-4"/>
                <w:sz w:val="22"/>
              </w:rPr>
              <w:t> </w:t>
            </w:r>
            <w:r>
              <w:rPr>
                <w:sz w:val="22"/>
              </w:rPr>
              <w:t>CHPH.</w:t>
            </w:r>
          </w:p>
          <w:p>
            <w:pPr>
              <w:pStyle w:val="TableParagraph"/>
              <w:tabs>
                <w:tab w:pos="1609" w:val="left" w:leader="none"/>
              </w:tabs>
              <w:ind w:left="100" w:right="102"/>
              <w:jc w:val="both"/>
              <w:rPr>
                <w:sz w:val="22"/>
              </w:rPr>
            </w:pPr>
            <w:r>
              <w:rPr>
                <w:sz w:val="22"/>
              </w:rPr>
              <w:t>(Ejemplo: En los municipios de Acambay y Timilpan, existen actores pescadores y agricultores sin acceso al agua para riego; en los municipios de Aculco y Polotitlán, existen actores</w:t>
              <w:tab/>
            </w:r>
            <w:r>
              <w:rPr>
                <w:spacing w:val="-1"/>
                <w:sz w:val="22"/>
              </w:rPr>
              <w:t>industriales</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768" w:hRule="exact"/>
        </w:trPr>
        <w:tc>
          <w:tcPr>
            <w:tcW w:w="852" w:type="dxa"/>
            <w:shd w:val="clear" w:color="auto" w:fill="76923B"/>
          </w:tcPr>
          <w:p>
            <w:pPr/>
          </w:p>
        </w:tc>
        <w:tc>
          <w:tcPr>
            <w:tcW w:w="730" w:type="dxa"/>
            <w:shd w:val="clear" w:color="auto" w:fill="76923B"/>
          </w:tcPr>
          <w:p>
            <w:pPr/>
          </w:p>
        </w:tc>
        <w:tc>
          <w:tcPr>
            <w:tcW w:w="1918" w:type="dxa"/>
          </w:tcPr>
          <w:p>
            <w:pPr/>
          </w:p>
        </w:tc>
        <w:tc>
          <w:tcPr>
            <w:tcW w:w="3259" w:type="dxa"/>
          </w:tcPr>
          <w:p>
            <w:pPr/>
          </w:p>
        </w:tc>
        <w:tc>
          <w:tcPr>
            <w:tcW w:w="2129" w:type="dxa"/>
          </w:tcPr>
          <w:p>
            <w:pPr/>
          </w:p>
        </w:tc>
        <w:tc>
          <w:tcPr>
            <w:tcW w:w="2835" w:type="dxa"/>
          </w:tcPr>
          <w:p>
            <w:pPr>
              <w:pStyle w:val="TableParagraph"/>
              <w:ind w:left="100" w:right="102"/>
              <w:jc w:val="both"/>
              <w:rPr>
                <w:sz w:val="22"/>
              </w:rPr>
            </w:pPr>
            <w:r>
              <w:rPr>
                <w:sz w:val="22"/>
              </w:rPr>
              <w:t>lácteos a gran escala y con acceso al agua para riego).</w:t>
            </w:r>
          </w:p>
        </w:tc>
      </w:tr>
      <w:tr>
        <w:trPr>
          <w:trHeight w:val="4311"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4" w:right="124"/>
              <w:jc w:val="center"/>
              <w:rPr>
                <w:b/>
                <w:sz w:val="22"/>
              </w:rPr>
            </w:pPr>
            <w:r>
              <w:rPr>
                <w:b/>
                <w:sz w:val="22"/>
              </w:rPr>
              <w:t>I11A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ight="103"/>
              <w:jc w:val="right"/>
              <w:rPr>
                <w:sz w:val="22"/>
              </w:rPr>
            </w:pPr>
            <w:r>
              <w:rPr>
                <w:sz w:val="22"/>
              </w:rPr>
              <w:t>Sobreexplotación</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tabs>
                <w:tab w:pos="2195" w:val="left" w:leader="none"/>
              </w:tabs>
              <w:ind w:right="98"/>
              <w:jc w:val="both"/>
              <w:rPr>
                <w:sz w:val="22"/>
              </w:rPr>
            </w:pPr>
            <w:r>
              <w:rPr>
                <w:sz w:val="22"/>
              </w:rPr>
              <w:t>Los recursos de la CHPH son utilizados por los actores de forma intensiva y extensiva, lo que ha ocasionado un deterioro</w:t>
              <w:tab/>
            </w:r>
            <w:r>
              <w:rPr>
                <w:spacing w:val="-1"/>
                <w:sz w:val="22"/>
              </w:rPr>
              <w:t>ambiental </w:t>
            </w:r>
            <w:r>
              <w:rPr>
                <w:sz w:val="22"/>
              </w:rPr>
              <w:t>significativo en la región (García, TC:</w:t>
            </w:r>
            <w:r>
              <w:rPr>
                <w:spacing w:val="-7"/>
                <w:sz w:val="22"/>
              </w:rPr>
              <w:t> </w:t>
            </w:r>
            <w:r>
              <w:rPr>
                <w:sz w:val="22"/>
              </w:rPr>
              <w:t>2013-2015).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177" w:right="175" w:hanging="5"/>
              <w:jc w:val="center"/>
              <w:rPr>
                <w:b/>
                <w:sz w:val="22"/>
              </w:rPr>
            </w:pPr>
            <w:r>
              <w:rPr>
                <w:b/>
                <w:sz w:val="22"/>
              </w:rPr>
              <w:t># de recursos naturales sobreexplotados de la CHPH</w:t>
            </w:r>
          </w:p>
        </w:tc>
        <w:tc>
          <w:tcPr>
            <w:tcW w:w="2835" w:type="dxa"/>
          </w:tcPr>
          <w:p>
            <w:pPr>
              <w:pStyle w:val="TableParagraph"/>
              <w:tabs>
                <w:tab w:pos="2548" w:val="left" w:leader="none"/>
              </w:tabs>
              <w:ind w:left="100" w:right="102"/>
              <w:jc w:val="both"/>
              <w:rPr>
                <w:sz w:val="22"/>
              </w:rPr>
            </w:pPr>
            <w:r>
              <w:rPr>
                <w:sz w:val="22"/>
              </w:rPr>
              <w:t>Cantidad y género de los recursos ambientales en nivel de riesgo y peligro, o que se están agotando y que no se les permite su recuperación, ya que son utilizados excesivamente por los actores hasta ocasionar su deterioro o extinción en la CHPH (Ejemplos: la pesca de especies en riesgo de extinción,</w:t>
              <w:tab/>
              <w:t>el</w:t>
            </w:r>
          </w:p>
          <w:p>
            <w:pPr>
              <w:pStyle w:val="TableParagraph"/>
              <w:spacing w:before="1"/>
              <w:ind w:left="100" w:right="101"/>
              <w:jc w:val="both"/>
              <w:rPr>
                <w:sz w:val="22"/>
              </w:rPr>
            </w:pPr>
            <w:r>
              <w:rPr>
                <w:sz w:val="22"/>
              </w:rPr>
              <w:t>sobrepastoreo, agua en exceso para riego, caza excesiva de patos migratorios).</w:t>
            </w:r>
          </w:p>
        </w:tc>
      </w:tr>
      <w:tr>
        <w:trPr>
          <w:trHeight w:val="2540"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7" w:right="124"/>
              <w:jc w:val="center"/>
              <w:rPr>
                <w:b/>
                <w:sz w:val="22"/>
              </w:rPr>
            </w:pPr>
            <w:r>
              <w:rPr>
                <w:b/>
                <w:sz w:val="22"/>
              </w:rPr>
              <w:t>R1A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1"/>
              <w:jc w:val="center"/>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left="0" w:right="113"/>
              <w:jc w:val="right"/>
              <w:rPr>
                <w:sz w:val="22"/>
              </w:rPr>
            </w:pPr>
            <w:r>
              <w:rPr>
                <w:sz w:val="22"/>
              </w:rPr>
              <w:t>Buenas prácticas</w:t>
            </w:r>
          </w:p>
        </w:tc>
        <w:tc>
          <w:tcPr>
            <w:tcW w:w="3259"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97"/>
              <w:jc w:val="both"/>
              <w:rPr>
                <w:sz w:val="22"/>
              </w:rPr>
            </w:pPr>
            <w:r>
              <w:rPr>
                <w:sz w:val="22"/>
              </w:rPr>
              <w:t>El aprovechamiento de las estructuras sociales existentes de origen antiguo, en el buen manejo y uso de los recursos naturales (García, TC: 2013- 2015).</w:t>
            </w:r>
          </w:p>
        </w:tc>
        <w:tc>
          <w:tcPr>
            <w:tcW w:w="2129"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194" w:right="197" w:firstLine="5"/>
              <w:jc w:val="center"/>
              <w:rPr>
                <w:b/>
                <w:sz w:val="22"/>
              </w:rPr>
            </w:pPr>
            <w:r>
              <w:rPr>
                <w:b/>
                <w:sz w:val="22"/>
              </w:rPr>
              <w:t># de buenas prácticas ambientales de los actores de la CHPH</w:t>
            </w:r>
          </w:p>
        </w:tc>
        <w:tc>
          <w:tcPr>
            <w:tcW w:w="2835" w:type="dxa"/>
          </w:tcPr>
          <w:p>
            <w:pPr>
              <w:pStyle w:val="TableParagraph"/>
              <w:tabs>
                <w:tab w:pos="1974" w:val="left" w:leader="none"/>
                <w:tab w:pos="2473" w:val="left" w:leader="none"/>
              </w:tabs>
              <w:ind w:left="100" w:right="100"/>
              <w:jc w:val="both"/>
              <w:rPr>
                <w:sz w:val="22"/>
              </w:rPr>
            </w:pPr>
            <w:r>
              <w:rPr>
                <w:sz w:val="22"/>
              </w:rPr>
              <w:t>Cantidad de acciones positivas con el ambiente de tradición histórica organizadas por los actores de la CHPH (Ejemplo: recolección de basura,</w:t>
              <w:tab/>
              <w:t>pláticas comunitarias</w:t>
              <w:tab/>
              <w:tab/>
              <w:t>de concientización ambiental en favor de la</w:t>
            </w:r>
            <w:r>
              <w:rPr>
                <w:spacing w:val="-4"/>
                <w:sz w:val="22"/>
              </w:rPr>
              <w:t> </w:t>
            </w:r>
            <w:r>
              <w:rPr>
                <w:sz w:val="22"/>
              </w:rPr>
              <w:t>CHPH).</w:t>
            </w:r>
          </w:p>
        </w:tc>
      </w:tr>
      <w:tr>
        <w:trPr>
          <w:trHeight w:val="1022"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7" w:right="124"/>
              <w:jc w:val="center"/>
              <w:rPr>
                <w:b/>
                <w:sz w:val="22"/>
              </w:rPr>
            </w:pPr>
            <w:r>
              <w:rPr>
                <w:b/>
                <w:sz w:val="22"/>
              </w:rPr>
              <w:t>R2A</w:t>
            </w:r>
          </w:p>
        </w:tc>
        <w:tc>
          <w:tcPr>
            <w:tcW w:w="730" w:type="dxa"/>
            <w:shd w:val="clear" w:color="auto" w:fill="76923B"/>
          </w:tcPr>
          <w:p>
            <w:pPr>
              <w:pStyle w:val="TableParagraph"/>
              <w:spacing w:before="8"/>
              <w:ind w:left="0"/>
              <w:rPr>
                <w:rFonts w:ascii="Times New Roman"/>
                <w:sz w:val="32"/>
              </w:rPr>
            </w:pPr>
          </w:p>
          <w:p>
            <w:pPr>
              <w:pStyle w:val="TableParagraph"/>
              <w:spacing w:before="1"/>
              <w:ind w:left="1"/>
              <w:jc w:val="center"/>
              <w:rPr>
                <w:b/>
                <w:sz w:val="22"/>
              </w:rPr>
            </w:pPr>
            <w:r>
              <w:rPr>
                <w:b/>
                <w:w w:val="100"/>
                <w:sz w:val="22"/>
              </w:rPr>
              <w:t>R</w:t>
            </w:r>
          </w:p>
        </w:tc>
        <w:tc>
          <w:tcPr>
            <w:tcW w:w="1918" w:type="dxa"/>
          </w:tcPr>
          <w:p>
            <w:pPr>
              <w:pStyle w:val="TableParagraph"/>
              <w:spacing w:before="10"/>
              <w:ind w:left="0"/>
              <w:rPr>
                <w:rFonts w:ascii="Times New Roman"/>
                <w:sz w:val="21"/>
              </w:rPr>
            </w:pPr>
          </w:p>
          <w:p>
            <w:pPr>
              <w:pStyle w:val="TableParagraph"/>
              <w:ind w:right="843"/>
              <w:rPr>
                <w:sz w:val="22"/>
              </w:rPr>
            </w:pPr>
            <w:r>
              <w:rPr>
                <w:sz w:val="22"/>
              </w:rPr>
              <w:t>Reparto equitativo</w:t>
            </w:r>
          </w:p>
        </w:tc>
        <w:tc>
          <w:tcPr>
            <w:tcW w:w="3259" w:type="dxa"/>
          </w:tcPr>
          <w:p>
            <w:pPr>
              <w:pStyle w:val="TableParagraph"/>
              <w:ind w:right="99"/>
              <w:jc w:val="both"/>
              <w:rPr>
                <w:sz w:val="22"/>
              </w:rPr>
            </w:pPr>
            <w:r>
              <w:rPr>
                <w:sz w:val="22"/>
              </w:rPr>
              <w:t>Debe existir un reparto equitativo de los recursos naturales de la CHPH, principalmente   del   agua,  ya</w:t>
            </w:r>
          </w:p>
        </w:tc>
        <w:tc>
          <w:tcPr>
            <w:tcW w:w="2129" w:type="dxa"/>
          </w:tcPr>
          <w:p>
            <w:pPr>
              <w:pStyle w:val="TableParagraph"/>
              <w:ind w:left="194" w:right="197"/>
              <w:jc w:val="center"/>
              <w:rPr>
                <w:b/>
                <w:sz w:val="22"/>
              </w:rPr>
            </w:pPr>
            <w:r>
              <w:rPr>
                <w:b/>
                <w:sz w:val="22"/>
              </w:rPr>
              <w:t>Reparto equitativo del agua entre los 5 municipios de la</w:t>
            </w:r>
          </w:p>
        </w:tc>
        <w:tc>
          <w:tcPr>
            <w:tcW w:w="2835" w:type="dxa"/>
          </w:tcPr>
          <w:p>
            <w:pPr>
              <w:pStyle w:val="TableParagraph"/>
              <w:ind w:left="100" w:right="102"/>
              <w:jc w:val="both"/>
              <w:rPr>
                <w:sz w:val="22"/>
              </w:rPr>
            </w:pPr>
            <w:r>
              <w:rPr>
                <w:sz w:val="22"/>
              </w:rPr>
              <w:t>Acceso a los derechos de uso del agua para riego por parte de los cinco municipios que integran</w:t>
            </w:r>
            <w:r>
              <w:rPr>
                <w:spacing w:val="51"/>
                <w:sz w:val="22"/>
              </w:rPr>
              <w:t> </w:t>
            </w:r>
            <w:r>
              <w:rPr>
                <w:sz w:val="22"/>
              </w:rPr>
              <w:t>la</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768" w:hRule="exact"/>
        </w:trPr>
        <w:tc>
          <w:tcPr>
            <w:tcW w:w="852" w:type="dxa"/>
            <w:shd w:val="clear" w:color="auto" w:fill="76923B"/>
          </w:tcPr>
          <w:p>
            <w:pPr/>
          </w:p>
        </w:tc>
        <w:tc>
          <w:tcPr>
            <w:tcW w:w="730" w:type="dxa"/>
            <w:shd w:val="clear" w:color="auto" w:fill="76923B"/>
          </w:tcPr>
          <w:p>
            <w:pPr/>
          </w:p>
        </w:tc>
        <w:tc>
          <w:tcPr>
            <w:tcW w:w="1918" w:type="dxa"/>
          </w:tcPr>
          <w:p>
            <w:pPr/>
          </w:p>
        </w:tc>
        <w:tc>
          <w:tcPr>
            <w:tcW w:w="3259" w:type="dxa"/>
          </w:tcPr>
          <w:p>
            <w:pPr>
              <w:pStyle w:val="TableParagraph"/>
              <w:ind w:right="97"/>
              <w:jc w:val="both"/>
              <w:rPr>
                <w:sz w:val="22"/>
              </w:rPr>
            </w:pPr>
            <w:r>
              <w:rPr>
                <w:sz w:val="22"/>
              </w:rPr>
              <w:t>que sólo dos municipios de se benefician de su uso  para riego (García, TC: 2013-2015).</w:t>
            </w:r>
          </w:p>
        </w:tc>
        <w:tc>
          <w:tcPr>
            <w:tcW w:w="2129" w:type="dxa"/>
          </w:tcPr>
          <w:p>
            <w:pPr>
              <w:pStyle w:val="TableParagraph"/>
              <w:spacing w:line="248" w:lineRule="exact"/>
              <w:ind w:left="118" w:right="120"/>
              <w:jc w:val="center"/>
              <w:rPr>
                <w:b/>
                <w:sz w:val="22"/>
              </w:rPr>
            </w:pPr>
            <w:r>
              <w:rPr>
                <w:b/>
                <w:sz w:val="22"/>
              </w:rPr>
              <w:t>CHPH</w:t>
            </w:r>
          </w:p>
        </w:tc>
        <w:tc>
          <w:tcPr>
            <w:tcW w:w="2835" w:type="dxa"/>
          </w:tcPr>
          <w:p>
            <w:pPr>
              <w:pStyle w:val="TableParagraph"/>
              <w:ind w:left="100" w:right="102"/>
              <w:jc w:val="both"/>
              <w:rPr>
                <w:sz w:val="22"/>
              </w:rPr>
            </w:pPr>
            <w:r>
              <w:rPr>
                <w:sz w:val="22"/>
              </w:rPr>
              <w:t>CHPH (Acambay, Aculco, Jilotepec, Polotitlán y Timilpan).</w:t>
            </w:r>
          </w:p>
        </w:tc>
      </w:tr>
      <w:tr>
        <w:trPr>
          <w:trHeight w:val="2288"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7" w:right="124"/>
              <w:jc w:val="center"/>
              <w:rPr>
                <w:b/>
                <w:sz w:val="22"/>
              </w:rPr>
            </w:pPr>
            <w:r>
              <w:rPr>
                <w:b/>
                <w:sz w:val="22"/>
              </w:rPr>
              <w:t>R3A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697"/>
              <w:rPr>
                <w:sz w:val="22"/>
              </w:rPr>
            </w:pPr>
            <w:r>
              <w:rPr>
                <w:sz w:val="22"/>
              </w:rPr>
              <w:t>Conciencia ambiental</w:t>
            </w:r>
          </w:p>
        </w:tc>
        <w:tc>
          <w:tcPr>
            <w:tcW w:w="3259" w:type="dxa"/>
          </w:tcPr>
          <w:p>
            <w:pPr>
              <w:pStyle w:val="TableParagraph"/>
              <w:spacing w:before="10"/>
              <w:ind w:left="0"/>
              <w:rPr>
                <w:rFonts w:ascii="Times New Roman"/>
                <w:sz w:val="21"/>
              </w:rPr>
            </w:pPr>
          </w:p>
          <w:p>
            <w:pPr>
              <w:pStyle w:val="TableParagraph"/>
              <w:ind w:right="98"/>
              <w:jc w:val="both"/>
              <w:rPr>
                <w:sz w:val="22"/>
              </w:rPr>
            </w:pPr>
            <w:r>
              <w:rPr>
                <w:sz w:val="22"/>
              </w:rPr>
              <w:t>Se refiere  al  reconocimiento de los problemas ambientales como una responsabilidad común por todos los  actores de la Cuenca Hidrosocial Presa Huapango (García, TC: 2013-2015).</w:t>
            </w:r>
          </w:p>
        </w:tc>
        <w:tc>
          <w:tcPr>
            <w:tcW w:w="2129"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94" w:right="197" w:firstLine="3"/>
              <w:jc w:val="center"/>
              <w:rPr>
                <w:b/>
                <w:sz w:val="22"/>
              </w:rPr>
            </w:pPr>
            <w:r>
              <w:rPr>
                <w:b/>
                <w:sz w:val="22"/>
              </w:rPr>
              <w:t># de problemas ambientales reconocidos por los actores en la CHPH</w:t>
            </w:r>
          </w:p>
        </w:tc>
        <w:tc>
          <w:tcPr>
            <w:tcW w:w="2835" w:type="dxa"/>
          </w:tcPr>
          <w:p>
            <w:pPr>
              <w:pStyle w:val="TableParagraph"/>
              <w:ind w:left="100" w:right="102"/>
              <w:jc w:val="both"/>
              <w:rPr>
                <w:sz w:val="22"/>
              </w:rPr>
            </w:pPr>
            <w:r>
              <w:rPr>
                <w:sz w:val="22"/>
              </w:rPr>
              <w:t>Identificación común de los problemas ambientales por todos los actores de la de la</w:t>
            </w:r>
            <w:r>
              <w:rPr>
                <w:spacing w:val="-5"/>
                <w:sz w:val="22"/>
              </w:rPr>
              <w:t> </w:t>
            </w:r>
            <w:r>
              <w:rPr>
                <w:sz w:val="22"/>
              </w:rPr>
              <w:t>CHPH.</w:t>
            </w:r>
          </w:p>
          <w:p>
            <w:pPr>
              <w:pStyle w:val="TableParagraph"/>
              <w:tabs>
                <w:tab w:pos="1767" w:val="left" w:leader="none"/>
              </w:tabs>
              <w:ind w:left="100" w:right="102"/>
              <w:jc w:val="both"/>
              <w:rPr>
                <w:sz w:val="22"/>
              </w:rPr>
            </w:pPr>
            <w:r>
              <w:rPr>
                <w:sz w:val="22"/>
              </w:rPr>
              <w:t>(Ejemplo:</w:t>
              <w:tab/>
            </w:r>
            <w:r>
              <w:rPr>
                <w:spacing w:val="-1"/>
                <w:sz w:val="22"/>
              </w:rPr>
              <w:t>desagües </w:t>
            </w:r>
            <w:r>
              <w:rPr>
                <w:sz w:val="22"/>
              </w:rPr>
              <w:t>domésticos, desechos de agroquímicos, veda de especies en peligro de extinción).</w:t>
            </w:r>
          </w:p>
        </w:tc>
      </w:tr>
      <w:tr>
        <w:trPr>
          <w:trHeight w:val="3552"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7" w:right="124"/>
              <w:jc w:val="center"/>
              <w:rPr>
                <w:b/>
                <w:sz w:val="22"/>
              </w:rPr>
            </w:pPr>
            <w:r>
              <w:rPr>
                <w:b/>
                <w:sz w:val="22"/>
              </w:rPr>
              <w:t>R4A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758"/>
              <w:rPr>
                <w:sz w:val="22"/>
              </w:rPr>
            </w:pPr>
            <w:r>
              <w:rPr>
                <w:sz w:val="22"/>
              </w:rPr>
              <w:t>Acuerdos formales e informales</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97"/>
              <w:jc w:val="both"/>
              <w:rPr>
                <w:sz w:val="22"/>
              </w:rPr>
            </w:pPr>
            <w:r>
              <w:rPr>
                <w:sz w:val="22"/>
              </w:rPr>
              <w:t>Generar voluntad de participación y cambio para mejorar la conservación y reparto de los recursos naturales, principalmente el agua (García, TC: 2013-2015).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spacing w:before="1"/>
              <w:ind w:left="194" w:right="197" w:firstLine="3"/>
              <w:jc w:val="center"/>
              <w:rPr>
                <w:b/>
                <w:sz w:val="22"/>
              </w:rPr>
            </w:pPr>
            <w:r>
              <w:rPr>
                <w:b/>
                <w:sz w:val="22"/>
              </w:rPr>
              <w:t># de acuerdos formales e informales entre los actores de la CHPH</w:t>
            </w:r>
          </w:p>
        </w:tc>
        <w:tc>
          <w:tcPr>
            <w:tcW w:w="2835" w:type="dxa"/>
          </w:tcPr>
          <w:p>
            <w:pPr>
              <w:pStyle w:val="TableParagraph"/>
              <w:tabs>
                <w:tab w:pos="2024" w:val="left" w:leader="none"/>
              </w:tabs>
              <w:ind w:left="100" w:right="102"/>
              <w:jc w:val="both"/>
              <w:rPr>
                <w:sz w:val="22"/>
              </w:rPr>
            </w:pPr>
            <w:r>
              <w:rPr>
                <w:sz w:val="22"/>
              </w:rPr>
              <w:t>Creación de reglas formales e informales que establezcan los  derechos y obligaciones de  todos los actores de la cuenca para el cuidado, uso y manejo de los recursos naturales de la CHPH (Ejemplos:</w:t>
              <w:tab/>
            </w:r>
            <w:r>
              <w:rPr>
                <w:spacing w:val="-1"/>
                <w:sz w:val="22"/>
              </w:rPr>
              <w:t>Comité </w:t>
            </w:r>
            <w:r>
              <w:rPr>
                <w:sz w:val="22"/>
              </w:rPr>
              <w:t>Intermunicipal con su Reglamento; acuerdos y sanciones informales en las comunidades de la CHPH).</w:t>
            </w:r>
          </w:p>
        </w:tc>
      </w:tr>
      <w:tr>
        <w:trPr>
          <w:trHeight w:val="1781"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7" w:right="124"/>
              <w:jc w:val="center"/>
              <w:rPr>
                <w:b/>
                <w:sz w:val="22"/>
              </w:rPr>
            </w:pPr>
            <w:r>
              <w:rPr>
                <w:b/>
                <w:sz w:val="22"/>
              </w:rPr>
              <w:t>R5A</w:t>
            </w:r>
          </w:p>
        </w:tc>
        <w:tc>
          <w:tcPr>
            <w:tcW w:w="730" w:type="dxa"/>
            <w:shd w:val="clear" w:color="auto" w:fill="76923B"/>
          </w:tcPr>
          <w:p>
            <w:pPr>
              <w:pStyle w:val="TableParagraph"/>
              <w:ind w:left="0"/>
              <w:rPr>
                <w:rFonts w:ascii="Times New Roman"/>
                <w:sz w:val="22"/>
              </w:rPr>
            </w:pPr>
          </w:p>
          <w:p>
            <w:pPr>
              <w:pStyle w:val="TableParagraph"/>
              <w:spacing w:before="8"/>
              <w:ind w:left="0"/>
              <w:rPr>
                <w:rFonts w:ascii="Times New Roman"/>
                <w:sz w:val="32"/>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spacing w:before="1"/>
              <w:ind w:right="538"/>
              <w:rPr>
                <w:sz w:val="22"/>
              </w:rPr>
            </w:pPr>
            <w:r>
              <w:rPr>
                <w:sz w:val="22"/>
              </w:rPr>
              <w:t>Cooperación ambiental_3</w:t>
            </w:r>
          </w:p>
        </w:tc>
        <w:tc>
          <w:tcPr>
            <w:tcW w:w="3259" w:type="dxa"/>
          </w:tcPr>
          <w:p>
            <w:pPr>
              <w:pStyle w:val="TableParagraph"/>
              <w:spacing w:before="8"/>
              <w:ind w:left="0"/>
              <w:rPr>
                <w:rFonts w:ascii="Times New Roman"/>
                <w:sz w:val="21"/>
              </w:rPr>
            </w:pPr>
          </w:p>
          <w:p>
            <w:pPr>
              <w:pStyle w:val="TableParagraph"/>
              <w:ind w:right="97"/>
              <w:jc w:val="both"/>
              <w:rPr>
                <w:sz w:val="22"/>
              </w:rPr>
            </w:pPr>
            <w:r>
              <w:rPr>
                <w:sz w:val="22"/>
              </w:rPr>
              <w:t>La cooperación de todos los actores para cuidar, mejorar y sostener el medio ambiente de la CHPH (García, TC: 2013- 2015).</w:t>
            </w:r>
          </w:p>
        </w:tc>
        <w:tc>
          <w:tcPr>
            <w:tcW w:w="2129"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89" w:right="189" w:hanging="1"/>
              <w:jc w:val="center"/>
              <w:rPr>
                <w:b/>
                <w:sz w:val="22"/>
              </w:rPr>
            </w:pPr>
            <w:r>
              <w:rPr>
                <w:b/>
                <w:sz w:val="22"/>
              </w:rPr>
              <w:t># acciones conjuntas de los actores de la CHPH</w:t>
            </w:r>
          </w:p>
        </w:tc>
        <w:tc>
          <w:tcPr>
            <w:tcW w:w="2835" w:type="dxa"/>
          </w:tcPr>
          <w:p>
            <w:pPr>
              <w:pStyle w:val="TableParagraph"/>
              <w:tabs>
                <w:tab w:pos="1694" w:val="left" w:leader="none"/>
              </w:tabs>
              <w:ind w:left="100" w:right="101"/>
              <w:jc w:val="both"/>
              <w:rPr>
                <w:sz w:val="22"/>
              </w:rPr>
            </w:pPr>
            <w:r>
              <w:rPr>
                <w:sz w:val="22"/>
              </w:rPr>
              <w:t>Prácticas de todos los actores de la CHPH para atender</w:t>
              <w:tab/>
            </w:r>
            <w:r>
              <w:rPr>
                <w:spacing w:val="-1"/>
                <w:sz w:val="22"/>
              </w:rPr>
              <w:t>problemas</w:t>
            </w:r>
          </w:p>
          <w:p>
            <w:pPr>
              <w:pStyle w:val="TableParagraph"/>
              <w:ind w:left="100" w:right="101"/>
              <w:jc w:val="both"/>
              <w:rPr>
                <w:sz w:val="22"/>
              </w:rPr>
            </w:pPr>
            <w:r>
              <w:rPr>
                <w:sz w:val="22"/>
              </w:rPr>
              <w:t>ambientales comunes (Ejemplo: veda de especies en peligro o amenazadas en la CHPH).</w:t>
            </w:r>
          </w:p>
        </w:tc>
      </w:tr>
      <w:tr>
        <w:trPr>
          <w:trHeight w:val="264" w:hRule="exact"/>
        </w:trPr>
        <w:tc>
          <w:tcPr>
            <w:tcW w:w="852" w:type="dxa"/>
            <w:shd w:val="clear" w:color="auto" w:fill="76923B"/>
          </w:tcPr>
          <w:p>
            <w:pPr/>
          </w:p>
        </w:tc>
        <w:tc>
          <w:tcPr>
            <w:tcW w:w="730" w:type="dxa"/>
            <w:shd w:val="clear" w:color="auto" w:fill="76923B"/>
          </w:tcPr>
          <w:p>
            <w:pPr/>
          </w:p>
        </w:tc>
        <w:tc>
          <w:tcPr>
            <w:tcW w:w="1918" w:type="dxa"/>
          </w:tcPr>
          <w:p>
            <w:pPr/>
          </w:p>
        </w:tc>
        <w:tc>
          <w:tcPr>
            <w:tcW w:w="3259" w:type="dxa"/>
          </w:tcPr>
          <w:p>
            <w:pPr>
              <w:pStyle w:val="TableParagraph"/>
              <w:spacing w:line="251" w:lineRule="exact"/>
              <w:ind w:right="93"/>
              <w:rPr>
                <w:sz w:val="22"/>
              </w:rPr>
            </w:pPr>
            <w:r>
              <w:rPr>
                <w:sz w:val="22"/>
              </w:rPr>
              <w:t>La capacidad de vinculación  a</w:t>
            </w:r>
          </w:p>
        </w:tc>
        <w:tc>
          <w:tcPr>
            <w:tcW w:w="2129" w:type="dxa"/>
          </w:tcPr>
          <w:p>
            <w:pPr/>
          </w:p>
        </w:tc>
        <w:tc>
          <w:tcPr>
            <w:tcW w:w="2835" w:type="dxa"/>
          </w:tcPr>
          <w:p>
            <w:pPr>
              <w:pStyle w:val="TableParagraph"/>
              <w:spacing w:line="251" w:lineRule="exact"/>
              <w:ind w:left="100"/>
              <w:rPr>
                <w:sz w:val="22"/>
              </w:rPr>
            </w:pPr>
            <w:r>
              <w:rPr>
                <w:sz w:val="22"/>
              </w:rPr>
              <w:t>Elaboración   de</w:t>
            </w:r>
            <w:r>
              <w:rPr>
                <w:spacing w:val="61"/>
                <w:sz w:val="22"/>
              </w:rPr>
              <w:t> </w:t>
            </w:r>
            <w:r>
              <w:rPr>
                <w:sz w:val="22"/>
              </w:rPr>
              <w:t>acuerdos</w:t>
            </w:r>
          </w:p>
        </w:tc>
      </w:tr>
    </w:tbl>
    <w:p>
      <w:pPr>
        <w:spacing w:after="0" w:line="251" w:lineRule="exact"/>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1781"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7" w:right="124"/>
              <w:jc w:val="center"/>
              <w:rPr>
                <w:b/>
                <w:sz w:val="22"/>
              </w:rPr>
            </w:pPr>
            <w:r>
              <w:rPr>
                <w:b/>
                <w:sz w:val="22"/>
              </w:rPr>
              <w:t>R6A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660"/>
              <w:rPr>
                <w:sz w:val="22"/>
              </w:rPr>
            </w:pPr>
            <w:r>
              <w:rPr>
                <w:sz w:val="22"/>
              </w:rPr>
              <w:t>Vinculación formal</w:t>
            </w:r>
          </w:p>
        </w:tc>
        <w:tc>
          <w:tcPr>
            <w:tcW w:w="3259" w:type="dxa"/>
          </w:tcPr>
          <w:p>
            <w:pPr>
              <w:pStyle w:val="TableParagraph"/>
              <w:ind w:right="98"/>
              <w:jc w:val="both"/>
              <w:rPr>
                <w:sz w:val="22"/>
              </w:rPr>
            </w:pPr>
            <w:r>
              <w:rPr>
                <w:sz w:val="22"/>
              </w:rPr>
              <w:t>través de acuerdos formales entre los actores de los municipios que integran la CHPH para tratar asuntos comunes de dicha cuenca (García, TC: 2013-2015).</w:t>
            </w:r>
          </w:p>
        </w:tc>
        <w:tc>
          <w:tcPr>
            <w:tcW w:w="2129" w:type="dxa"/>
          </w:tcPr>
          <w:p>
            <w:pPr>
              <w:pStyle w:val="TableParagraph"/>
              <w:spacing w:before="5"/>
              <w:ind w:left="0"/>
              <w:rPr>
                <w:rFonts w:ascii="Times New Roman"/>
                <w:sz w:val="21"/>
              </w:rPr>
            </w:pPr>
          </w:p>
          <w:p>
            <w:pPr>
              <w:pStyle w:val="TableParagraph"/>
              <w:ind w:left="122" w:right="123" w:firstLine="5"/>
              <w:jc w:val="center"/>
              <w:rPr>
                <w:b/>
                <w:sz w:val="22"/>
              </w:rPr>
            </w:pPr>
            <w:r>
              <w:rPr>
                <w:b/>
                <w:sz w:val="22"/>
              </w:rPr>
              <w:t># acuerdos y vínculos formales entre actores de la CHPH</w:t>
            </w:r>
          </w:p>
        </w:tc>
        <w:tc>
          <w:tcPr>
            <w:tcW w:w="2835" w:type="dxa"/>
          </w:tcPr>
          <w:p>
            <w:pPr>
              <w:pStyle w:val="TableParagraph"/>
              <w:tabs>
                <w:tab w:pos="2024" w:val="left" w:leader="none"/>
              </w:tabs>
              <w:ind w:left="100" w:right="101"/>
              <w:jc w:val="both"/>
              <w:rPr>
                <w:sz w:val="22"/>
              </w:rPr>
            </w:pPr>
            <w:r>
              <w:rPr>
                <w:sz w:val="22"/>
              </w:rPr>
              <w:t>formales entre actores de los municipios de la CHPH (Ejemplo:</w:t>
              <w:tab/>
            </w:r>
            <w:r>
              <w:rPr>
                <w:spacing w:val="-1"/>
                <w:sz w:val="22"/>
              </w:rPr>
              <w:t>Comité </w:t>
            </w:r>
            <w:r>
              <w:rPr>
                <w:sz w:val="22"/>
              </w:rPr>
              <w:t>Intermunicipal con su Reglamento para atender problemas ambientales comunes de la</w:t>
            </w:r>
            <w:r>
              <w:rPr>
                <w:spacing w:val="-4"/>
                <w:sz w:val="22"/>
              </w:rPr>
              <w:t> </w:t>
            </w:r>
            <w:r>
              <w:rPr>
                <w:sz w:val="22"/>
              </w:rPr>
              <w:t>CHPH).</w:t>
            </w:r>
          </w:p>
        </w:tc>
      </w:tr>
      <w:tr>
        <w:trPr>
          <w:trHeight w:val="2288"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7" w:right="124"/>
              <w:jc w:val="center"/>
              <w:rPr>
                <w:b/>
                <w:sz w:val="22"/>
              </w:rPr>
            </w:pPr>
            <w:r>
              <w:rPr>
                <w:b/>
                <w:sz w:val="22"/>
              </w:rPr>
              <w:t>R7A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122"/>
              <w:rPr>
                <w:sz w:val="22"/>
              </w:rPr>
            </w:pPr>
            <w:r>
              <w:rPr>
                <w:sz w:val="22"/>
              </w:rPr>
              <w:t>Trabajo conjunto</w:t>
            </w:r>
          </w:p>
        </w:tc>
        <w:tc>
          <w:tcPr>
            <w:tcW w:w="3259" w:type="dxa"/>
          </w:tcPr>
          <w:p>
            <w:pPr>
              <w:pStyle w:val="TableParagraph"/>
              <w:ind w:left="0"/>
              <w:rPr>
                <w:rFonts w:ascii="Times New Roman"/>
                <w:sz w:val="22"/>
              </w:rPr>
            </w:pPr>
          </w:p>
          <w:p>
            <w:pPr>
              <w:pStyle w:val="TableParagraph"/>
              <w:spacing w:before="10"/>
              <w:ind w:left="0"/>
              <w:rPr>
                <w:rFonts w:ascii="Times New Roman"/>
                <w:sz w:val="21"/>
              </w:rPr>
            </w:pPr>
          </w:p>
          <w:p>
            <w:pPr>
              <w:pStyle w:val="TableParagraph"/>
              <w:ind w:right="97"/>
              <w:jc w:val="both"/>
              <w:rPr>
                <w:sz w:val="22"/>
              </w:rPr>
            </w:pPr>
            <w:r>
              <w:rPr>
                <w:sz w:val="22"/>
              </w:rPr>
              <w:t>La articulación de los actores de los municipios de la CHPH para resolver problemas comunes de tipo ambiental (García, TC: 2013-2015).</w:t>
            </w:r>
          </w:p>
        </w:tc>
        <w:tc>
          <w:tcPr>
            <w:tcW w:w="2129" w:type="dxa"/>
          </w:tcPr>
          <w:p>
            <w:pPr>
              <w:pStyle w:val="TableParagraph"/>
              <w:spacing w:before="7"/>
              <w:ind w:left="0"/>
              <w:rPr>
                <w:rFonts w:ascii="Times New Roman"/>
                <w:sz w:val="32"/>
              </w:rPr>
            </w:pPr>
          </w:p>
          <w:p>
            <w:pPr>
              <w:pStyle w:val="TableParagraph"/>
              <w:ind w:left="194" w:right="197" w:firstLine="4"/>
              <w:jc w:val="center"/>
              <w:rPr>
                <w:b/>
                <w:sz w:val="22"/>
              </w:rPr>
            </w:pPr>
            <w:r>
              <w:rPr>
                <w:b/>
                <w:sz w:val="22"/>
              </w:rPr>
              <w:t>Participación conjunta de los actores de los municipios de la CHPH</w:t>
            </w:r>
          </w:p>
          <w:p>
            <w:pPr>
              <w:pStyle w:val="TableParagraph"/>
              <w:spacing w:line="252" w:lineRule="exact"/>
              <w:ind w:left="119" w:right="120"/>
              <w:jc w:val="center"/>
              <w:rPr>
                <w:b/>
                <w:sz w:val="22"/>
              </w:rPr>
            </w:pPr>
            <w:r>
              <w:rPr>
                <w:b/>
                <w:sz w:val="22"/>
              </w:rPr>
              <w:t>(adimensional)</w:t>
            </w:r>
          </w:p>
        </w:tc>
        <w:tc>
          <w:tcPr>
            <w:tcW w:w="2835" w:type="dxa"/>
          </w:tcPr>
          <w:p>
            <w:pPr>
              <w:pStyle w:val="TableParagraph"/>
              <w:ind w:left="100" w:right="101"/>
              <w:jc w:val="both"/>
              <w:rPr>
                <w:sz w:val="22"/>
              </w:rPr>
            </w:pPr>
            <w:r>
              <w:rPr>
                <w:sz w:val="22"/>
              </w:rPr>
              <w:t>Cooperación conjunta de los actores de todos los municipios de la CHPH, para solucionar los problemas ambientales (Ejemplo: recolección de basura, evitar desagües domésticos hacia la presa Huapango).</w:t>
            </w:r>
          </w:p>
        </w:tc>
      </w:tr>
      <w:tr>
        <w:trPr>
          <w:trHeight w:val="3046"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7" w:right="124"/>
              <w:jc w:val="center"/>
              <w:rPr>
                <w:b/>
                <w:sz w:val="22"/>
              </w:rPr>
            </w:pPr>
            <w:r>
              <w:rPr>
                <w:b/>
                <w:sz w:val="22"/>
              </w:rPr>
              <w:t>R8A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122"/>
              <w:rPr>
                <w:sz w:val="22"/>
              </w:rPr>
            </w:pPr>
            <w:r>
              <w:rPr>
                <w:sz w:val="22"/>
              </w:rPr>
              <w:t>Acuerdos consuetudinarios</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98"/>
              <w:jc w:val="both"/>
              <w:rPr>
                <w:sz w:val="22"/>
              </w:rPr>
            </w:pPr>
            <w:r>
              <w:rPr>
                <w:sz w:val="22"/>
              </w:rPr>
              <w:t>Los actores de la CHPH mediante su identidad pueden generar leyes derivadas  de sus usos y costumbres para el cuidado de su medio ambiente (García, TC: 2013-2015).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177" w:right="175" w:hanging="2"/>
              <w:jc w:val="center"/>
              <w:rPr>
                <w:b/>
                <w:sz w:val="22"/>
              </w:rPr>
            </w:pPr>
            <w:r>
              <w:rPr>
                <w:b/>
                <w:sz w:val="22"/>
              </w:rPr>
              <w:t># de acuerdos entre los actores históricos de la CHPH</w:t>
            </w:r>
          </w:p>
        </w:tc>
        <w:tc>
          <w:tcPr>
            <w:tcW w:w="2835" w:type="dxa"/>
          </w:tcPr>
          <w:p>
            <w:pPr>
              <w:pStyle w:val="TableParagraph"/>
              <w:ind w:left="100" w:right="103"/>
              <w:jc w:val="both"/>
              <w:rPr>
                <w:sz w:val="22"/>
              </w:rPr>
            </w:pPr>
            <w:r>
              <w:rPr>
                <w:sz w:val="22"/>
              </w:rPr>
              <w:t>Arreglos formales e informales entre los actores originarios de la CHPH para el cuidado del medio ambiente de dicha Cuenca.</w:t>
            </w:r>
          </w:p>
          <w:p>
            <w:pPr>
              <w:pStyle w:val="TableParagraph"/>
              <w:tabs>
                <w:tab w:pos="2024" w:val="left" w:leader="none"/>
              </w:tabs>
              <w:ind w:left="100" w:right="102"/>
              <w:jc w:val="both"/>
              <w:rPr>
                <w:sz w:val="22"/>
              </w:rPr>
            </w:pPr>
            <w:r>
              <w:rPr>
                <w:sz w:val="22"/>
              </w:rPr>
              <w:t>(Ejemplo:</w:t>
              <w:tab/>
            </w:r>
            <w:r>
              <w:rPr>
                <w:spacing w:val="-1"/>
                <w:sz w:val="22"/>
              </w:rPr>
              <w:t>Comité </w:t>
            </w:r>
            <w:r>
              <w:rPr>
                <w:sz w:val="22"/>
              </w:rPr>
              <w:t>Intermunicipal con su Reglamento, acuerdos y sanciones informales en las comunidades de la CHPH).</w:t>
            </w:r>
          </w:p>
        </w:tc>
      </w:tr>
      <w:tr>
        <w:trPr>
          <w:trHeight w:val="1527"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spacing w:before="1"/>
              <w:ind w:left="127" w:right="124"/>
              <w:jc w:val="center"/>
              <w:rPr>
                <w:b/>
                <w:sz w:val="22"/>
              </w:rPr>
            </w:pPr>
            <w:r>
              <w:rPr>
                <w:b/>
                <w:sz w:val="22"/>
              </w:rPr>
              <w:t>R9A</w:t>
            </w:r>
          </w:p>
        </w:tc>
        <w:tc>
          <w:tcPr>
            <w:tcW w:w="730" w:type="dxa"/>
            <w:shd w:val="clear" w:color="auto" w:fill="76923B"/>
          </w:tcPr>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spacing w:before="10"/>
              <w:ind w:left="0"/>
              <w:rPr>
                <w:rFonts w:ascii="Times New Roman"/>
                <w:sz w:val="21"/>
              </w:rPr>
            </w:pPr>
          </w:p>
          <w:p>
            <w:pPr>
              <w:pStyle w:val="TableParagraph"/>
              <w:ind w:right="489"/>
              <w:rPr>
                <w:sz w:val="22"/>
              </w:rPr>
            </w:pPr>
            <w:r>
              <w:rPr>
                <w:sz w:val="22"/>
              </w:rPr>
              <w:t>Coordinación entre actores</w:t>
            </w:r>
          </w:p>
        </w:tc>
        <w:tc>
          <w:tcPr>
            <w:tcW w:w="3259" w:type="dxa"/>
          </w:tcPr>
          <w:p>
            <w:pPr>
              <w:pStyle w:val="TableParagraph"/>
              <w:ind w:right="97"/>
              <w:jc w:val="both"/>
              <w:rPr>
                <w:sz w:val="22"/>
              </w:rPr>
            </w:pPr>
            <w:r>
              <w:rPr>
                <w:sz w:val="22"/>
              </w:rPr>
              <w:t>El conjunto de redes intermunicipales que permiten la colaboración de los actores para la solución de la problemática ambiental de la CHPH    mediante    la   acción</w:t>
            </w:r>
          </w:p>
        </w:tc>
        <w:tc>
          <w:tcPr>
            <w:tcW w:w="2129" w:type="dxa"/>
          </w:tcPr>
          <w:p>
            <w:pPr>
              <w:pStyle w:val="TableParagraph"/>
              <w:spacing w:before="6"/>
              <w:ind w:left="0"/>
              <w:rPr>
                <w:rFonts w:ascii="Times New Roman"/>
                <w:sz w:val="21"/>
              </w:rPr>
            </w:pPr>
          </w:p>
          <w:p>
            <w:pPr>
              <w:pStyle w:val="TableParagraph"/>
              <w:ind w:left="120" w:right="120"/>
              <w:jc w:val="center"/>
              <w:rPr>
                <w:b/>
                <w:sz w:val="22"/>
              </w:rPr>
            </w:pPr>
            <w:r>
              <w:rPr>
                <w:b/>
                <w:sz w:val="22"/>
              </w:rPr>
              <w:t>Coordinación de los actores de la CHPH</w:t>
            </w:r>
          </w:p>
          <w:p>
            <w:pPr>
              <w:pStyle w:val="TableParagraph"/>
              <w:spacing w:line="252" w:lineRule="exact"/>
              <w:ind w:left="119" w:right="120"/>
              <w:jc w:val="center"/>
              <w:rPr>
                <w:b/>
                <w:sz w:val="22"/>
              </w:rPr>
            </w:pPr>
            <w:r>
              <w:rPr>
                <w:b/>
                <w:sz w:val="22"/>
              </w:rPr>
              <w:t>(adimensional)</w:t>
            </w:r>
          </w:p>
        </w:tc>
        <w:tc>
          <w:tcPr>
            <w:tcW w:w="2835" w:type="dxa"/>
          </w:tcPr>
          <w:p>
            <w:pPr>
              <w:pStyle w:val="TableParagraph"/>
              <w:ind w:left="100" w:right="102"/>
              <w:jc w:val="both"/>
              <w:rPr>
                <w:sz w:val="22"/>
              </w:rPr>
            </w:pPr>
            <w:r>
              <w:rPr>
                <w:sz w:val="22"/>
              </w:rPr>
              <w:t>Conjunto de esfuerzos colectivos de los actores para llegar acuerdos intermunicipales para solucionar la problemática ambiental   de   la    CHPH</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129"/>
        <w:gridCol w:w="2835"/>
      </w:tblGrid>
      <w:tr>
        <w:trPr>
          <w:trHeight w:val="516" w:hRule="exact"/>
        </w:trPr>
        <w:tc>
          <w:tcPr>
            <w:tcW w:w="852" w:type="dxa"/>
            <w:shd w:val="clear" w:color="auto" w:fill="76923B"/>
          </w:tcPr>
          <w:p>
            <w:pPr/>
          </w:p>
        </w:tc>
        <w:tc>
          <w:tcPr>
            <w:tcW w:w="730" w:type="dxa"/>
            <w:shd w:val="clear" w:color="auto" w:fill="76923B"/>
          </w:tcPr>
          <w:p>
            <w:pPr/>
          </w:p>
        </w:tc>
        <w:tc>
          <w:tcPr>
            <w:tcW w:w="1918" w:type="dxa"/>
          </w:tcPr>
          <w:p>
            <w:pPr/>
          </w:p>
        </w:tc>
        <w:tc>
          <w:tcPr>
            <w:tcW w:w="3259" w:type="dxa"/>
          </w:tcPr>
          <w:p>
            <w:pPr>
              <w:pStyle w:val="TableParagraph"/>
              <w:spacing w:line="252" w:lineRule="exact" w:before="2"/>
              <w:ind w:right="93"/>
              <w:rPr>
                <w:sz w:val="22"/>
              </w:rPr>
            </w:pPr>
            <w:r>
              <w:rPr>
                <w:sz w:val="22"/>
              </w:rPr>
              <w:t>colectiva (García, TC: 2013- 2015).</w:t>
            </w:r>
          </w:p>
        </w:tc>
        <w:tc>
          <w:tcPr>
            <w:tcW w:w="2129" w:type="dxa"/>
          </w:tcPr>
          <w:p>
            <w:pPr/>
          </w:p>
        </w:tc>
        <w:tc>
          <w:tcPr>
            <w:tcW w:w="2835" w:type="dxa"/>
          </w:tcPr>
          <w:p>
            <w:pPr>
              <w:pStyle w:val="TableParagraph"/>
              <w:tabs>
                <w:tab w:pos="1693" w:val="left" w:leader="none"/>
              </w:tabs>
              <w:spacing w:line="252" w:lineRule="exact" w:before="2"/>
              <w:ind w:left="100" w:right="103"/>
              <w:rPr>
                <w:sz w:val="22"/>
              </w:rPr>
            </w:pPr>
            <w:r>
              <w:rPr>
                <w:sz w:val="22"/>
              </w:rPr>
              <w:t>(Ejemplo:</w:t>
              <w:tab/>
            </w:r>
            <w:r>
              <w:rPr>
                <w:spacing w:val="-1"/>
                <w:sz w:val="22"/>
              </w:rPr>
              <w:t>reuniones, </w:t>
            </w:r>
            <w:r>
              <w:rPr>
                <w:sz w:val="22"/>
              </w:rPr>
              <w:t>asambleas).</w:t>
            </w:r>
          </w:p>
        </w:tc>
      </w:tr>
      <w:tr>
        <w:trPr>
          <w:trHeight w:val="2792"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39"/>
              <w:rPr>
                <w:b/>
                <w:sz w:val="22"/>
              </w:rPr>
            </w:pPr>
            <w:r>
              <w:rPr>
                <w:b/>
                <w:sz w:val="22"/>
              </w:rPr>
              <w:t>R10A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spacing w:before="1"/>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right="599"/>
              <w:rPr>
                <w:sz w:val="22"/>
              </w:rPr>
            </w:pPr>
            <w:r>
              <w:rPr>
                <w:sz w:val="22"/>
              </w:rPr>
              <w:t>Acuerdos ambientales</w:t>
            </w:r>
          </w:p>
        </w:tc>
        <w:tc>
          <w:tcPr>
            <w:tcW w:w="3259"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right="95"/>
              <w:jc w:val="both"/>
              <w:rPr>
                <w:sz w:val="22"/>
              </w:rPr>
            </w:pPr>
            <w:r>
              <w:rPr>
                <w:sz w:val="22"/>
              </w:rPr>
              <w:t>Son los arreglos formales e informales entre los actores de la CHPH para resolver la problemática ambiental de dicha Cuenca (García, TC: 2013-2015).</w:t>
            </w:r>
          </w:p>
        </w:tc>
        <w:tc>
          <w:tcPr>
            <w:tcW w:w="212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53" w:right="151" w:hanging="2"/>
              <w:jc w:val="center"/>
              <w:rPr>
                <w:b/>
                <w:sz w:val="22"/>
              </w:rPr>
            </w:pPr>
            <w:r>
              <w:rPr>
                <w:b/>
                <w:sz w:val="22"/>
              </w:rPr>
              <w:t># de acuerdos formales e informales de los actores de la CHPH</w:t>
            </w:r>
          </w:p>
        </w:tc>
        <w:tc>
          <w:tcPr>
            <w:tcW w:w="2835" w:type="dxa"/>
          </w:tcPr>
          <w:p>
            <w:pPr>
              <w:pStyle w:val="TableParagraph"/>
              <w:tabs>
                <w:tab w:pos="2024" w:val="left" w:leader="none"/>
              </w:tabs>
              <w:ind w:left="100" w:right="102"/>
              <w:jc w:val="both"/>
              <w:rPr>
                <w:sz w:val="22"/>
              </w:rPr>
            </w:pPr>
            <w:r>
              <w:rPr>
                <w:sz w:val="22"/>
              </w:rPr>
              <w:t>Arreglos formales e informales de todos los actores de la CHPH para resolver la problemática ambiental común de ésta (Ejemplo:</w:t>
              <w:tab/>
            </w:r>
            <w:r>
              <w:rPr>
                <w:spacing w:val="-1"/>
                <w:sz w:val="22"/>
              </w:rPr>
              <w:t>Comité </w:t>
            </w:r>
            <w:r>
              <w:rPr>
                <w:sz w:val="22"/>
              </w:rPr>
              <w:t>Intermunicipal con su Reglamento, acuerdos y sanciones informales en las comunidades de la CHPH).</w:t>
            </w:r>
          </w:p>
        </w:tc>
      </w:tr>
      <w:tr>
        <w:trPr>
          <w:trHeight w:val="2036" w:hRule="exact"/>
        </w:trPr>
        <w:tc>
          <w:tcPr>
            <w:tcW w:w="852"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39"/>
              <w:rPr>
                <w:b/>
                <w:sz w:val="22"/>
              </w:rPr>
            </w:pPr>
            <w:r>
              <w:rPr>
                <w:b/>
                <w:sz w:val="22"/>
              </w:rPr>
              <w:t>R11A</w:t>
            </w:r>
          </w:p>
        </w:tc>
        <w:tc>
          <w:tcPr>
            <w:tcW w:w="730" w:type="dxa"/>
            <w:shd w:val="clear" w:color="auto" w:fill="76923B"/>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ind w:right="684"/>
              <w:rPr>
                <w:sz w:val="22"/>
              </w:rPr>
            </w:pPr>
            <w:r>
              <w:rPr>
                <w:sz w:val="22"/>
              </w:rPr>
              <w:t>Solidaridad ambiental</w:t>
            </w:r>
          </w:p>
        </w:tc>
        <w:tc>
          <w:tcPr>
            <w:tcW w:w="3259" w:type="dxa"/>
          </w:tcPr>
          <w:p>
            <w:pPr>
              <w:pStyle w:val="TableParagraph"/>
              <w:spacing w:before="11"/>
              <w:ind w:left="0"/>
              <w:rPr>
                <w:rFonts w:ascii="Times New Roman"/>
                <w:sz w:val="32"/>
              </w:rPr>
            </w:pPr>
          </w:p>
          <w:p>
            <w:pPr>
              <w:pStyle w:val="TableParagraph"/>
              <w:tabs>
                <w:tab w:pos="2195" w:val="left" w:leader="none"/>
              </w:tabs>
              <w:ind w:right="98"/>
              <w:jc w:val="both"/>
              <w:rPr>
                <w:sz w:val="22"/>
              </w:rPr>
            </w:pPr>
            <w:r>
              <w:rPr>
                <w:sz w:val="22"/>
              </w:rPr>
              <w:t>Son las acciones de apoyo entre actores de los municipios de la CHPH para atender la problemática</w:t>
              <w:tab/>
            </w:r>
            <w:r>
              <w:rPr>
                <w:spacing w:val="-1"/>
                <w:sz w:val="22"/>
              </w:rPr>
              <w:t>ambiental </w:t>
            </w:r>
            <w:r>
              <w:rPr>
                <w:sz w:val="22"/>
              </w:rPr>
              <w:t>(García, TC:</w:t>
            </w:r>
            <w:r>
              <w:rPr>
                <w:spacing w:val="-7"/>
                <w:sz w:val="22"/>
              </w:rPr>
              <w:t> </w:t>
            </w:r>
            <w:r>
              <w:rPr>
                <w:sz w:val="22"/>
              </w:rPr>
              <w:t>2013-2015).</w:t>
            </w:r>
          </w:p>
        </w:tc>
        <w:tc>
          <w:tcPr>
            <w:tcW w:w="2129" w:type="dxa"/>
          </w:tcPr>
          <w:p>
            <w:pPr>
              <w:pStyle w:val="TableParagraph"/>
              <w:spacing w:before="8"/>
              <w:ind w:left="0"/>
              <w:rPr>
                <w:rFonts w:ascii="Times New Roman"/>
                <w:sz w:val="32"/>
              </w:rPr>
            </w:pPr>
          </w:p>
          <w:p>
            <w:pPr>
              <w:pStyle w:val="TableParagraph"/>
              <w:spacing w:before="1"/>
              <w:ind w:left="146" w:right="146" w:firstLine="2"/>
              <w:jc w:val="center"/>
              <w:rPr>
                <w:b/>
                <w:sz w:val="22"/>
              </w:rPr>
            </w:pPr>
            <w:r>
              <w:rPr>
                <w:b/>
                <w:sz w:val="22"/>
              </w:rPr>
              <w:t># de acciones de cooperación intermunicipal de los actores de la CHPH</w:t>
            </w:r>
          </w:p>
        </w:tc>
        <w:tc>
          <w:tcPr>
            <w:tcW w:w="2835" w:type="dxa"/>
          </w:tcPr>
          <w:p>
            <w:pPr>
              <w:pStyle w:val="TableParagraph"/>
              <w:ind w:left="100" w:right="101"/>
              <w:jc w:val="both"/>
              <w:rPr>
                <w:sz w:val="22"/>
              </w:rPr>
            </w:pPr>
            <w:r>
              <w:rPr>
                <w:sz w:val="22"/>
              </w:rPr>
              <w:t>Acciones de colaboración intermunicipal de los actores de la CHPH para cuidar y resolver los problemas ambientales comunes.</w:t>
            </w:r>
          </w:p>
          <w:p>
            <w:pPr>
              <w:pStyle w:val="TableParagraph"/>
              <w:ind w:left="100" w:right="105"/>
              <w:jc w:val="both"/>
              <w:rPr>
                <w:sz w:val="22"/>
              </w:rPr>
            </w:pPr>
            <w:r>
              <w:rPr>
                <w:sz w:val="22"/>
              </w:rPr>
              <w:t>(Ejemplo: reforestación de los montes compartidos).</w:t>
            </w:r>
          </w:p>
        </w:tc>
      </w:tr>
    </w:tbl>
    <w:p>
      <w:pPr>
        <w:pStyle w:val="BodyText"/>
        <w:spacing w:line="248" w:lineRule="exact"/>
        <w:ind w:left="315"/>
      </w:pPr>
      <w:r>
        <w:rPr>
          <w:b/>
        </w:rPr>
        <w:t>Fuente: </w:t>
      </w:r>
      <w:r>
        <w:rPr/>
        <w:t>Elaboración propia con base en las consideraciones teóricas y el Trabajo de Campo, García (2013-2016).</w:t>
      </w:r>
    </w:p>
    <w:p>
      <w:pPr>
        <w:pStyle w:val="BodyText"/>
        <w:rPr>
          <w:sz w:val="20"/>
        </w:rPr>
      </w:pPr>
    </w:p>
    <w:p>
      <w:pPr>
        <w:pStyle w:val="BodyText"/>
        <w:rPr>
          <w:sz w:val="20"/>
        </w:rPr>
      </w:pPr>
    </w:p>
    <w:p>
      <w:pPr>
        <w:pStyle w:val="BodyText"/>
        <w:spacing w:before="8" w:after="1"/>
        <w:rPr>
          <w:sz w:val="23"/>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516" w:hRule="exact"/>
        </w:trPr>
        <w:tc>
          <w:tcPr>
            <w:tcW w:w="11795" w:type="dxa"/>
            <w:gridSpan w:val="6"/>
          </w:tcPr>
          <w:p>
            <w:pPr>
              <w:pStyle w:val="TableParagraph"/>
              <w:spacing w:line="242" w:lineRule="auto"/>
              <w:ind w:left="5158" w:right="1487" w:hanging="3659"/>
              <w:rPr>
                <w:b/>
                <w:sz w:val="22"/>
              </w:rPr>
            </w:pPr>
            <w:r>
              <w:rPr>
                <w:b/>
                <w:sz w:val="22"/>
              </w:rPr>
              <w:t>Tabla 7.4. Sistema de Indicadores PEIR para la Cuenca Hidrosocial Presa Huapango (AEPA Social)</w:t>
            </w:r>
          </w:p>
        </w:tc>
      </w:tr>
      <w:tr>
        <w:trPr>
          <w:trHeight w:val="769" w:hRule="exact"/>
        </w:trPr>
        <w:tc>
          <w:tcPr>
            <w:tcW w:w="852" w:type="dxa"/>
            <w:shd w:val="clear" w:color="auto" w:fill="BEBEBE"/>
          </w:tcPr>
          <w:p>
            <w:pPr>
              <w:pStyle w:val="TableParagraph"/>
              <w:ind w:left="115" w:right="112" w:firstLine="12"/>
              <w:jc w:val="both"/>
              <w:rPr>
                <w:b/>
                <w:sz w:val="22"/>
              </w:rPr>
            </w:pPr>
            <w:r>
              <w:rPr>
                <w:b/>
                <w:sz w:val="22"/>
              </w:rPr>
              <w:t>Clave PEIR- AEPA</w:t>
            </w:r>
          </w:p>
        </w:tc>
        <w:tc>
          <w:tcPr>
            <w:tcW w:w="730" w:type="dxa"/>
            <w:shd w:val="clear" w:color="auto" w:fill="BEBEBE"/>
          </w:tcPr>
          <w:p>
            <w:pPr>
              <w:pStyle w:val="TableParagraph"/>
              <w:spacing w:line="248" w:lineRule="exact"/>
              <w:ind w:left="83" w:right="83"/>
              <w:jc w:val="center"/>
              <w:rPr>
                <w:b/>
                <w:sz w:val="22"/>
              </w:rPr>
            </w:pPr>
            <w:r>
              <w:rPr>
                <w:b/>
                <w:sz w:val="22"/>
              </w:rPr>
              <w:t>PEIR</w:t>
            </w:r>
          </w:p>
        </w:tc>
        <w:tc>
          <w:tcPr>
            <w:tcW w:w="1990" w:type="dxa"/>
            <w:shd w:val="clear" w:color="auto" w:fill="BEBEBE"/>
          </w:tcPr>
          <w:p>
            <w:pPr>
              <w:pStyle w:val="TableParagraph"/>
              <w:spacing w:before="8"/>
              <w:ind w:left="0"/>
              <w:rPr>
                <w:sz w:val="21"/>
              </w:rPr>
            </w:pPr>
          </w:p>
          <w:p>
            <w:pPr>
              <w:pStyle w:val="TableParagraph"/>
              <w:ind w:left="0" w:right="491"/>
              <w:jc w:val="right"/>
              <w:rPr>
                <w:b/>
                <w:sz w:val="22"/>
              </w:rPr>
            </w:pPr>
            <w:r>
              <w:rPr>
                <w:b/>
                <w:sz w:val="22"/>
              </w:rPr>
              <w:t>Indicador</w:t>
            </w:r>
          </w:p>
        </w:tc>
        <w:tc>
          <w:tcPr>
            <w:tcW w:w="3262" w:type="dxa"/>
            <w:shd w:val="clear" w:color="auto" w:fill="BEBEBE"/>
          </w:tcPr>
          <w:p>
            <w:pPr>
              <w:pStyle w:val="TableParagraph"/>
              <w:spacing w:before="8"/>
              <w:ind w:left="0"/>
              <w:rPr>
                <w:sz w:val="21"/>
              </w:rPr>
            </w:pPr>
          </w:p>
          <w:p>
            <w:pPr>
              <w:pStyle w:val="TableParagraph"/>
              <w:ind w:left="431" w:right="103"/>
              <w:rPr>
                <w:b/>
                <w:sz w:val="22"/>
              </w:rPr>
            </w:pPr>
            <w:r>
              <w:rPr>
                <w:b/>
                <w:sz w:val="22"/>
              </w:rPr>
              <w:t>Concepto de Indicador</w:t>
            </w:r>
          </w:p>
        </w:tc>
        <w:tc>
          <w:tcPr>
            <w:tcW w:w="2126" w:type="dxa"/>
            <w:shd w:val="clear" w:color="auto" w:fill="BEBEBE"/>
          </w:tcPr>
          <w:p>
            <w:pPr>
              <w:pStyle w:val="TableParagraph"/>
              <w:spacing w:before="122"/>
              <w:ind w:left="578" w:right="511" w:hanging="56"/>
              <w:rPr>
                <w:b/>
                <w:sz w:val="22"/>
              </w:rPr>
            </w:pPr>
            <w:r>
              <w:rPr>
                <w:b/>
                <w:sz w:val="22"/>
              </w:rPr>
              <w:t>Unidad de Medición</w:t>
            </w:r>
          </w:p>
        </w:tc>
        <w:tc>
          <w:tcPr>
            <w:tcW w:w="2835" w:type="dxa"/>
            <w:shd w:val="clear" w:color="auto" w:fill="BEBEBE"/>
          </w:tcPr>
          <w:p>
            <w:pPr>
              <w:pStyle w:val="TableParagraph"/>
              <w:spacing w:line="242" w:lineRule="auto"/>
              <w:ind w:left="775" w:right="178" w:hanging="581"/>
              <w:rPr>
                <w:b/>
                <w:sz w:val="22"/>
              </w:rPr>
            </w:pPr>
            <w:r>
              <w:rPr>
                <w:b/>
                <w:sz w:val="22"/>
              </w:rPr>
              <w:t>Definición de la Unidad de Medición</w:t>
            </w:r>
          </w:p>
        </w:tc>
      </w:tr>
      <w:tr>
        <w:trPr>
          <w:trHeight w:val="1022" w:hRule="exact"/>
        </w:trPr>
        <w:tc>
          <w:tcPr>
            <w:tcW w:w="852" w:type="dxa"/>
            <w:shd w:val="clear" w:color="auto" w:fill="F9BE8F"/>
          </w:tcPr>
          <w:p>
            <w:pPr/>
          </w:p>
        </w:tc>
        <w:tc>
          <w:tcPr>
            <w:tcW w:w="730" w:type="dxa"/>
            <w:shd w:val="clear" w:color="auto" w:fill="F9BE8F"/>
          </w:tcPr>
          <w:p>
            <w:pPr>
              <w:pStyle w:val="TableParagraph"/>
              <w:spacing w:before="8"/>
              <w:ind w:left="0"/>
              <w:rPr>
                <w:sz w:val="32"/>
              </w:rPr>
            </w:pPr>
          </w:p>
          <w:p>
            <w:pPr>
              <w:pStyle w:val="TableParagraph"/>
              <w:spacing w:before="1"/>
              <w:ind w:left="0" w:right="114"/>
              <w:jc w:val="center"/>
              <w:rPr>
                <w:b/>
                <w:sz w:val="22"/>
              </w:rPr>
            </w:pPr>
            <w:r>
              <w:rPr>
                <w:b/>
                <w:w w:val="100"/>
                <w:sz w:val="22"/>
              </w:rPr>
              <w:t>P</w:t>
            </w:r>
          </w:p>
        </w:tc>
        <w:tc>
          <w:tcPr>
            <w:tcW w:w="1990" w:type="dxa"/>
          </w:tcPr>
          <w:p>
            <w:pPr>
              <w:pStyle w:val="TableParagraph"/>
              <w:spacing w:before="11"/>
              <w:ind w:left="0"/>
              <w:rPr>
                <w:sz w:val="32"/>
              </w:rPr>
            </w:pPr>
          </w:p>
          <w:p>
            <w:pPr>
              <w:pStyle w:val="TableParagraph"/>
              <w:ind w:left="0" w:right="504"/>
              <w:jc w:val="right"/>
              <w:rPr>
                <w:sz w:val="22"/>
              </w:rPr>
            </w:pPr>
            <w:r>
              <w:rPr>
                <w:sz w:val="22"/>
              </w:rPr>
              <w:t>Historia social</w:t>
            </w:r>
          </w:p>
        </w:tc>
        <w:tc>
          <w:tcPr>
            <w:tcW w:w="3262" w:type="dxa"/>
          </w:tcPr>
          <w:p>
            <w:pPr>
              <w:pStyle w:val="TableParagraph"/>
              <w:ind w:right="102"/>
              <w:jc w:val="both"/>
              <w:rPr>
                <w:sz w:val="22"/>
              </w:rPr>
            </w:pPr>
            <w:r>
              <w:rPr>
                <w:sz w:val="22"/>
              </w:rPr>
              <w:t>Estructuras sociales históricas que condicionan las relaciones y vínculos intermunicipales entre   actores   de   la   CHPH</w:t>
            </w:r>
          </w:p>
        </w:tc>
        <w:tc>
          <w:tcPr>
            <w:tcW w:w="2126" w:type="dxa"/>
          </w:tcPr>
          <w:p>
            <w:pPr>
              <w:pStyle w:val="TableParagraph"/>
              <w:ind w:left="187" w:right="189" w:firstLine="2"/>
              <w:jc w:val="center"/>
              <w:rPr>
                <w:b/>
                <w:sz w:val="22"/>
              </w:rPr>
            </w:pPr>
            <w:r>
              <w:rPr>
                <w:b/>
                <w:sz w:val="22"/>
              </w:rPr>
              <w:t># estructuras sociales históricas de los actores de la</w:t>
            </w:r>
          </w:p>
        </w:tc>
        <w:tc>
          <w:tcPr>
            <w:tcW w:w="2835" w:type="dxa"/>
          </w:tcPr>
          <w:p>
            <w:pPr>
              <w:pStyle w:val="TableParagraph"/>
              <w:ind w:right="100"/>
              <w:jc w:val="both"/>
              <w:rPr>
                <w:sz w:val="22"/>
              </w:rPr>
            </w:pPr>
            <w:r>
              <w:rPr>
                <w:sz w:val="22"/>
              </w:rPr>
              <w:t>Cantidad de estructuras sociales que han articulación a los actores a través   de   los   procesos</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1526" w:hRule="exact"/>
        </w:trPr>
        <w:tc>
          <w:tcPr>
            <w:tcW w:w="852" w:type="dxa"/>
            <w:shd w:val="clear" w:color="auto" w:fill="F9BE8F"/>
          </w:tcPr>
          <w:p>
            <w:pPr>
              <w:pStyle w:val="TableParagraph"/>
              <w:spacing w:line="248" w:lineRule="exact"/>
              <w:ind w:left="125" w:right="124"/>
              <w:jc w:val="center"/>
              <w:rPr>
                <w:b/>
                <w:sz w:val="22"/>
              </w:rPr>
            </w:pPr>
            <w:r>
              <w:rPr>
                <w:b/>
                <w:sz w:val="22"/>
              </w:rPr>
              <w:t>P1S</w:t>
            </w:r>
          </w:p>
        </w:tc>
        <w:tc>
          <w:tcPr>
            <w:tcW w:w="730" w:type="dxa"/>
            <w:shd w:val="clear" w:color="auto" w:fill="F9BE8F"/>
          </w:tcPr>
          <w:p>
            <w:pPr/>
          </w:p>
        </w:tc>
        <w:tc>
          <w:tcPr>
            <w:tcW w:w="1990" w:type="dxa"/>
          </w:tcPr>
          <w:p>
            <w:pPr/>
          </w:p>
        </w:tc>
        <w:tc>
          <w:tcPr>
            <w:tcW w:w="3262" w:type="dxa"/>
          </w:tcPr>
          <w:p>
            <w:pPr>
              <w:pStyle w:val="TableParagraph"/>
              <w:spacing w:line="252" w:lineRule="exact" w:before="2"/>
              <w:ind w:right="103"/>
              <w:rPr>
                <w:sz w:val="22"/>
              </w:rPr>
            </w:pPr>
            <w:r>
              <w:rPr>
                <w:sz w:val="22"/>
              </w:rPr>
              <w:t>(White, 2012 y García, TC: 2013-2015).</w:t>
            </w:r>
          </w:p>
        </w:tc>
        <w:tc>
          <w:tcPr>
            <w:tcW w:w="2126" w:type="dxa"/>
          </w:tcPr>
          <w:p>
            <w:pPr>
              <w:pStyle w:val="TableParagraph"/>
              <w:spacing w:line="248" w:lineRule="exact"/>
              <w:ind w:left="115" w:right="120"/>
              <w:jc w:val="center"/>
              <w:rPr>
                <w:b/>
                <w:sz w:val="22"/>
              </w:rPr>
            </w:pPr>
            <w:r>
              <w:rPr>
                <w:b/>
                <w:sz w:val="22"/>
              </w:rPr>
              <w:t>CHPH</w:t>
            </w:r>
          </w:p>
        </w:tc>
        <w:tc>
          <w:tcPr>
            <w:tcW w:w="2835" w:type="dxa"/>
          </w:tcPr>
          <w:p>
            <w:pPr>
              <w:pStyle w:val="TableParagraph"/>
              <w:tabs>
                <w:tab w:pos="1509" w:val="left" w:leader="none"/>
                <w:tab w:pos="1561" w:val="left" w:leader="none"/>
                <w:tab w:pos="2355" w:val="left" w:leader="none"/>
              </w:tabs>
              <w:ind w:right="99"/>
              <w:rPr>
                <w:sz w:val="22"/>
              </w:rPr>
            </w:pPr>
            <w:r>
              <w:rPr>
                <w:sz w:val="22"/>
              </w:rPr>
              <w:t>históricos</w:t>
              <w:tab/>
              <w:t>que</w:t>
              <w:tab/>
              <w:t>han conformado la CHPH. (Ejemplo:</w:t>
              <w:tab/>
            </w:r>
            <w:r>
              <w:rPr>
                <w:spacing w:val="-1"/>
                <w:sz w:val="22"/>
              </w:rPr>
              <w:t>pescadores, </w:t>
            </w:r>
            <w:r>
              <w:rPr>
                <w:sz w:val="22"/>
              </w:rPr>
              <w:t>ejidatarios,</w:t>
              <w:tab/>
              <w:tab/>
            </w:r>
            <w:r>
              <w:rPr>
                <w:spacing w:val="-1"/>
                <w:sz w:val="22"/>
              </w:rPr>
              <w:t>productores </w:t>
            </w:r>
            <w:r>
              <w:rPr>
                <w:sz w:val="22"/>
              </w:rPr>
              <w:t>lácteos,</w:t>
              <w:tab/>
            </w:r>
            <w:r>
              <w:rPr>
                <w:spacing w:val="-1"/>
                <w:sz w:val="22"/>
              </w:rPr>
              <w:t>agricultores, </w:t>
            </w:r>
            <w:r>
              <w:rPr>
                <w:sz w:val="22"/>
              </w:rPr>
              <w:t>ganaderos).</w:t>
            </w:r>
          </w:p>
        </w:tc>
      </w:tr>
      <w:tr>
        <w:trPr>
          <w:trHeight w:val="2542"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4"/>
              <w:jc w:val="center"/>
              <w:rPr>
                <w:b/>
                <w:sz w:val="22"/>
              </w:rPr>
            </w:pPr>
            <w:r>
              <w:rPr>
                <w:b/>
                <w:sz w:val="22"/>
              </w:rPr>
              <w:t>P2S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32"/>
              </w:rPr>
            </w:pPr>
          </w:p>
          <w:p>
            <w:pPr>
              <w:pStyle w:val="TableParagraph"/>
              <w:ind w:right="267"/>
              <w:rPr>
                <w:sz w:val="22"/>
              </w:rPr>
            </w:pPr>
            <w:r>
              <w:rPr>
                <w:sz w:val="22"/>
              </w:rPr>
              <w:t>Poder social</w:t>
            </w:r>
          </w:p>
        </w:tc>
        <w:tc>
          <w:tcPr>
            <w:tcW w:w="3262" w:type="dxa"/>
          </w:tcPr>
          <w:p>
            <w:pPr>
              <w:pStyle w:val="TableParagraph"/>
              <w:spacing w:before="10"/>
              <w:ind w:left="0"/>
              <w:rPr>
                <w:rFonts w:ascii="Times New Roman"/>
                <w:sz w:val="21"/>
              </w:rPr>
            </w:pPr>
          </w:p>
          <w:p>
            <w:pPr>
              <w:pStyle w:val="TableParagraph"/>
              <w:ind w:right="100"/>
              <w:jc w:val="both"/>
              <w:rPr>
                <w:sz w:val="22"/>
              </w:rPr>
            </w:pPr>
            <w:r>
              <w:rPr>
                <w:sz w:val="22"/>
              </w:rPr>
              <w:t>Es el hecho de que un actor social dentro de  las estructuras sociales de la CHPH realice sus deseos frente o en contra de otros grupos de actores (Weber, 1957   y   García,   TC:   </w:t>
            </w:r>
            <w:r>
              <w:rPr>
                <w:spacing w:val="6"/>
                <w:sz w:val="22"/>
              </w:rPr>
              <w:t> </w:t>
            </w:r>
            <w:r>
              <w:rPr>
                <w:sz w:val="22"/>
              </w:rPr>
              <w:t>2013-</w:t>
            </w:r>
          </w:p>
          <w:p>
            <w:pPr>
              <w:pStyle w:val="TableParagraph"/>
              <w:spacing w:before="1"/>
              <w:jc w:val="both"/>
              <w:rPr>
                <w:sz w:val="22"/>
              </w:rPr>
            </w:pPr>
            <w:r>
              <w:rPr>
                <w:sz w:val="22"/>
              </w:rPr>
              <w:t>2015).</w:t>
            </w:r>
          </w:p>
        </w:tc>
        <w:tc>
          <w:tcPr>
            <w:tcW w:w="2126" w:type="dxa"/>
          </w:tcPr>
          <w:p>
            <w:pPr>
              <w:pStyle w:val="TableParagraph"/>
              <w:ind w:left="0"/>
              <w:rPr>
                <w:rFonts w:ascii="Times New Roman"/>
                <w:sz w:val="22"/>
              </w:rPr>
            </w:pPr>
          </w:p>
          <w:p>
            <w:pPr>
              <w:pStyle w:val="TableParagraph"/>
              <w:spacing w:before="8"/>
              <w:ind w:left="0"/>
              <w:rPr>
                <w:rFonts w:ascii="Times New Roman"/>
                <w:sz w:val="32"/>
              </w:rPr>
            </w:pPr>
          </w:p>
          <w:p>
            <w:pPr>
              <w:pStyle w:val="TableParagraph"/>
              <w:ind w:left="114" w:right="120"/>
              <w:jc w:val="center"/>
              <w:rPr>
                <w:b/>
                <w:sz w:val="22"/>
              </w:rPr>
            </w:pPr>
            <w:r>
              <w:rPr>
                <w:b/>
                <w:sz w:val="22"/>
              </w:rPr>
              <w:t># de estructuras sociales que dominan en la CHPH</w:t>
            </w:r>
          </w:p>
        </w:tc>
        <w:tc>
          <w:tcPr>
            <w:tcW w:w="2835" w:type="dxa"/>
          </w:tcPr>
          <w:p>
            <w:pPr>
              <w:pStyle w:val="TableParagraph"/>
              <w:ind w:right="100"/>
              <w:jc w:val="both"/>
              <w:rPr>
                <w:sz w:val="22"/>
              </w:rPr>
            </w:pPr>
            <w:r>
              <w:rPr>
                <w:sz w:val="22"/>
              </w:rPr>
              <w:t>Cantidad de estructuras sociales de la CHPH que realizan su  propia voluntad aun en contra de otros actores.</w:t>
            </w:r>
          </w:p>
          <w:p>
            <w:pPr>
              <w:pStyle w:val="TableParagraph"/>
              <w:spacing w:before="1"/>
              <w:ind w:right="100"/>
              <w:jc w:val="both"/>
              <w:rPr>
                <w:sz w:val="22"/>
              </w:rPr>
            </w:pPr>
            <w:r>
              <w:rPr>
                <w:sz w:val="22"/>
              </w:rPr>
              <w:t>(Ejemplo: dominación de los productores lácteos a gran escala sobre los pescadores, agricultores, ganaderos).</w:t>
            </w:r>
          </w:p>
        </w:tc>
      </w:tr>
      <w:tr>
        <w:trPr>
          <w:trHeight w:val="3805"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P3S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spacing w:before="1"/>
              <w:ind w:right="267"/>
              <w:rPr>
                <w:sz w:val="22"/>
              </w:rPr>
            </w:pPr>
            <w:r>
              <w:rPr>
                <w:sz w:val="22"/>
              </w:rPr>
              <w:t>Cultura social</w:t>
            </w:r>
          </w:p>
        </w:tc>
        <w:tc>
          <w:tcPr>
            <w:tcW w:w="3262"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right="99"/>
              <w:jc w:val="both"/>
              <w:rPr>
                <w:sz w:val="22"/>
              </w:rPr>
            </w:pPr>
            <w:r>
              <w:rPr>
                <w:sz w:val="22"/>
              </w:rPr>
              <w:t>Es el tejido sociopolítico histórico de la CHPH que permite o inhibe la  interrelación social entre actores (García, TC: 2013- 2015).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91" w:right="197" w:firstLine="7"/>
              <w:jc w:val="center"/>
              <w:rPr>
                <w:b/>
                <w:sz w:val="22"/>
              </w:rPr>
            </w:pPr>
            <w:r>
              <w:rPr>
                <w:b/>
                <w:sz w:val="22"/>
              </w:rPr>
              <w:t>Usos y costumbres de los actores de la CHPH</w:t>
            </w:r>
          </w:p>
          <w:p>
            <w:pPr>
              <w:pStyle w:val="TableParagraph"/>
              <w:spacing w:line="252" w:lineRule="exact"/>
              <w:ind w:left="116" w:right="120"/>
              <w:jc w:val="center"/>
              <w:rPr>
                <w:b/>
                <w:sz w:val="22"/>
              </w:rPr>
            </w:pPr>
            <w:r>
              <w:rPr>
                <w:b/>
                <w:sz w:val="22"/>
              </w:rPr>
              <w:t>(adimensional)</w:t>
            </w:r>
          </w:p>
        </w:tc>
        <w:tc>
          <w:tcPr>
            <w:tcW w:w="2835" w:type="dxa"/>
          </w:tcPr>
          <w:p>
            <w:pPr>
              <w:pStyle w:val="TableParagraph"/>
              <w:tabs>
                <w:tab w:pos="1158" w:val="left" w:leader="none"/>
                <w:tab w:pos="2550" w:val="left" w:leader="none"/>
              </w:tabs>
              <w:ind w:right="99"/>
              <w:jc w:val="both"/>
              <w:rPr>
                <w:sz w:val="22"/>
              </w:rPr>
            </w:pPr>
            <w:r>
              <w:rPr>
                <w:sz w:val="22"/>
              </w:rPr>
              <w:t>Prácticas recurrentes de los actores sociales de los municipios que integran la CHPH que permiten o inhiben la interrelación sociopolítica entre actores. (Ejemplo: prácticas que permiten la interrelación entre actores: fiestas patronales, mercados, charreadas y  prácticas que</w:t>
              <w:tab/>
              <w:t>inhiben</w:t>
              <w:tab/>
              <w:t>la interrelación entre actores: exclusión de actores no identitarios).</w:t>
            </w:r>
          </w:p>
        </w:tc>
      </w:tr>
      <w:tr>
        <w:trPr>
          <w:trHeight w:val="768" w:hRule="exact"/>
        </w:trPr>
        <w:tc>
          <w:tcPr>
            <w:tcW w:w="852" w:type="dxa"/>
            <w:shd w:val="clear" w:color="auto" w:fill="F9BE8F"/>
          </w:tcPr>
          <w:p>
            <w:pPr/>
          </w:p>
        </w:tc>
        <w:tc>
          <w:tcPr>
            <w:tcW w:w="730" w:type="dxa"/>
            <w:shd w:val="clear" w:color="auto" w:fill="F9BE8F"/>
          </w:tcPr>
          <w:p>
            <w:pPr>
              <w:pStyle w:val="TableParagraph"/>
              <w:spacing w:before="122"/>
              <w:ind w:left="0" w:right="285"/>
              <w:jc w:val="right"/>
              <w:rPr>
                <w:b/>
                <w:sz w:val="22"/>
              </w:rPr>
            </w:pPr>
            <w:r>
              <w:rPr>
                <w:b/>
                <w:w w:val="100"/>
                <w:sz w:val="22"/>
              </w:rPr>
              <w:t>P</w:t>
            </w:r>
          </w:p>
        </w:tc>
        <w:tc>
          <w:tcPr>
            <w:tcW w:w="1990" w:type="dxa"/>
          </w:tcPr>
          <w:p>
            <w:pPr>
              <w:pStyle w:val="TableParagraph"/>
              <w:spacing w:before="125"/>
              <w:ind w:right="512"/>
              <w:rPr>
                <w:sz w:val="22"/>
              </w:rPr>
            </w:pPr>
            <w:r>
              <w:rPr>
                <w:sz w:val="22"/>
              </w:rPr>
              <w:t>Democracia y voluntariedad</w:t>
            </w:r>
          </w:p>
        </w:tc>
        <w:tc>
          <w:tcPr>
            <w:tcW w:w="3262" w:type="dxa"/>
          </w:tcPr>
          <w:p>
            <w:pPr>
              <w:pStyle w:val="TableParagraph"/>
              <w:ind w:right="101"/>
              <w:jc w:val="both"/>
              <w:rPr>
                <w:sz w:val="22"/>
              </w:rPr>
            </w:pPr>
            <w:r>
              <w:rPr>
                <w:sz w:val="22"/>
              </w:rPr>
              <w:t>Es el deseo colectivo de acuerdos para el desarrollo de la región de la CHPH que     se</w:t>
            </w:r>
          </w:p>
        </w:tc>
        <w:tc>
          <w:tcPr>
            <w:tcW w:w="2126" w:type="dxa"/>
          </w:tcPr>
          <w:p>
            <w:pPr>
              <w:pStyle w:val="TableParagraph"/>
              <w:ind w:left="115" w:right="120"/>
              <w:jc w:val="center"/>
              <w:rPr>
                <w:b/>
                <w:sz w:val="22"/>
              </w:rPr>
            </w:pPr>
            <w:r>
              <w:rPr>
                <w:b/>
                <w:sz w:val="22"/>
              </w:rPr>
              <w:t>Voluntad de los actores de la CHPH</w:t>
            </w:r>
          </w:p>
        </w:tc>
        <w:tc>
          <w:tcPr>
            <w:tcW w:w="2835" w:type="dxa"/>
          </w:tcPr>
          <w:p>
            <w:pPr>
              <w:pStyle w:val="TableParagraph"/>
              <w:ind w:right="100"/>
              <w:jc w:val="both"/>
              <w:rPr>
                <w:sz w:val="22"/>
              </w:rPr>
            </w:pPr>
            <w:r>
              <w:rPr>
                <w:sz w:val="22"/>
              </w:rPr>
              <w:t>Expresión pública  (formal e informal) de los actores de   sus   deseos   para  la</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2540" w:hRule="exact"/>
        </w:trPr>
        <w:tc>
          <w:tcPr>
            <w:tcW w:w="852" w:type="dxa"/>
            <w:shd w:val="clear" w:color="auto" w:fill="F9BE8F"/>
          </w:tcPr>
          <w:p>
            <w:pPr>
              <w:pStyle w:val="TableParagraph"/>
              <w:spacing w:line="248" w:lineRule="exact"/>
              <w:ind w:left="125" w:right="124"/>
              <w:jc w:val="center"/>
              <w:rPr>
                <w:b/>
                <w:sz w:val="22"/>
              </w:rPr>
            </w:pPr>
            <w:r>
              <w:rPr>
                <w:b/>
                <w:sz w:val="22"/>
              </w:rPr>
              <w:t>P4S</w:t>
            </w:r>
          </w:p>
        </w:tc>
        <w:tc>
          <w:tcPr>
            <w:tcW w:w="730" w:type="dxa"/>
            <w:shd w:val="clear" w:color="auto" w:fill="F9BE8F"/>
          </w:tcPr>
          <w:p>
            <w:pPr/>
          </w:p>
        </w:tc>
        <w:tc>
          <w:tcPr>
            <w:tcW w:w="1990" w:type="dxa"/>
          </w:tcPr>
          <w:p>
            <w:pPr/>
          </w:p>
        </w:tc>
        <w:tc>
          <w:tcPr>
            <w:tcW w:w="3262" w:type="dxa"/>
          </w:tcPr>
          <w:p>
            <w:pPr>
              <w:pStyle w:val="TableParagraph"/>
              <w:ind w:right="98"/>
              <w:jc w:val="both"/>
              <w:rPr>
                <w:sz w:val="22"/>
              </w:rPr>
            </w:pPr>
            <w:r>
              <w:rPr>
                <w:sz w:val="22"/>
              </w:rPr>
              <w:t>opone a los principios  de poder externos que responden a intereses nacionales e internacionales.</w:t>
            </w:r>
          </w:p>
          <w:p>
            <w:pPr>
              <w:pStyle w:val="TableParagraph"/>
              <w:spacing w:before="1"/>
              <w:ind w:right="102"/>
              <w:jc w:val="both"/>
              <w:rPr>
                <w:sz w:val="22"/>
              </w:rPr>
            </w:pPr>
            <w:r>
              <w:rPr>
                <w:sz w:val="22"/>
              </w:rPr>
              <w:t>(Romero, et al., 2012; Palerm, 1993;  Bobbio,  1999;   Bovero,</w:t>
            </w:r>
          </w:p>
          <w:p>
            <w:pPr>
              <w:pStyle w:val="TableParagraph"/>
              <w:spacing w:line="252" w:lineRule="exact"/>
              <w:jc w:val="both"/>
              <w:rPr>
                <w:sz w:val="22"/>
              </w:rPr>
            </w:pPr>
            <w:r>
              <w:rPr>
                <w:sz w:val="22"/>
              </w:rPr>
              <w:t>2002;  Sartori,  1993  y García,</w:t>
            </w:r>
          </w:p>
          <w:p>
            <w:pPr>
              <w:pStyle w:val="TableParagraph"/>
              <w:spacing w:before="1"/>
              <w:jc w:val="both"/>
              <w:rPr>
                <w:sz w:val="22"/>
              </w:rPr>
            </w:pPr>
            <w:r>
              <w:rPr>
                <w:sz w:val="22"/>
              </w:rPr>
              <w:t>TC: 2013-2015).</w:t>
            </w:r>
          </w:p>
        </w:tc>
        <w:tc>
          <w:tcPr>
            <w:tcW w:w="2126" w:type="dxa"/>
          </w:tcPr>
          <w:p>
            <w:pPr>
              <w:pStyle w:val="TableParagraph"/>
              <w:spacing w:line="248" w:lineRule="exact"/>
              <w:ind w:left="278" w:right="114"/>
              <w:rPr>
                <w:b/>
                <w:sz w:val="22"/>
              </w:rPr>
            </w:pPr>
            <w:r>
              <w:rPr>
                <w:b/>
                <w:sz w:val="22"/>
              </w:rPr>
              <w:t>(adimensional)</w:t>
            </w:r>
          </w:p>
        </w:tc>
        <w:tc>
          <w:tcPr>
            <w:tcW w:w="2835" w:type="dxa"/>
          </w:tcPr>
          <w:p>
            <w:pPr>
              <w:pStyle w:val="TableParagraph"/>
              <w:ind w:right="101"/>
              <w:jc w:val="both"/>
              <w:rPr>
                <w:sz w:val="22"/>
              </w:rPr>
            </w:pPr>
            <w:r>
              <w:rPr>
                <w:sz w:val="22"/>
              </w:rPr>
              <w:t>participación en el desarrollo social de la CHPH.</w:t>
            </w:r>
          </w:p>
          <w:p>
            <w:pPr>
              <w:pStyle w:val="TableParagraph"/>
              <w:ind w:right="100" w:firstLine="62"/>
              <w:jc w:val="both"/>
              <w:rPr>
                <w:sz w:val="22"/>
              </w:rPr>
            </w:pPr>
            <w:r>
              <w:rPr>
                <w:sz w:val="22"/>
              </w:rPr>
              <w:t>(Ejemplo:  voluntariedad de los actores de la CHPH manifestada en trabajo de campo para organizarse y revertir el daño sociopolítico que se ha generado en la CHPH).</w:t>
            </w:r>
          </w:p>
        </w:tc>
      </w:tr>
      <w:tr>
        <w:trPr>
          <w:trHeight w:val="2288"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P5S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598"/>
              <w:rPr>
                <w:sz w:val="22"/>
              </w:rPr>
            </w:pPr>
            <w:r>
              <w:rPr>
                <w:sz w:val="22"/>
              </w:rPr>
              <w:t>Participación social</w:t>
            </w:r>
          </w:p>
        </w:tc>
        <w:tc>
          <w:tcPr>
            <w:tcW w:w="3262" w:type="dxa"/>
          </w:tcPr>
          <w:p>
            <w:pPr>
              <w:pStyle w:val="TableParagraph"/>
              <w:ind w:right="100"/>
              <w:jc w:val="both"/>
              <w:rPr>
                <w:sz w:val="22"/>
              </w:rPr>
            </w:pPr>
            <w:r>
              <w:rPr>
                <w:sz w:val="22"/>
              </w:rPr>
              <w:t>Es la organización racional y consciente de los actores sociales de la CHPH, ante las escasas respuestas a los problemas de la Cuenca por parte de los actores federales, estatales y municipales (Cfr. INAFED, 2014 y García, TC: 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91" w:right="197" w:firstLine="3"/>
              <w:jc w:val="center"/>
              <w:rPr>
                <w:b/>
                <w:sz w:val="22"/>
              </w:rPr>
            </w:pPr>
            <w:r>
              <w:rPr>
                <w:b/>
                <w:sz w:val="22"/>
              </w:rPr>
              <w:t># de acciones organizadas por los actores de la CHPH</w:t>
            </w:r>
          </w:p>
        </w:tc>
        <w:tc>
          <w:tcPr>
            <w:tcW w:w="2835" w:type="dxa"/>
          </w:tcPr>
          <w:p>
            <w:pPr>
              <w:pStyle w:val="TableParagraph"/>
              <w:tabs>
                <w:tab w:pos="1134" w:val="left" w:leader="none"/>
                <w:tab w:pos="1297" w:val="left" w:leader="none"/>
                <w:tab w:pos="1695" w:val="left" w:leader="none"/>
                <w:tab w:pos="1856" w:val="left" w:leader="none"/>
                <w:tab w:pos="2442" w:val="left" w:leader="none"/>
              </w:tabs>
              <w:ind w:right="99"/>
              <w:rPr>
                <w:sz w:val="22"/>
              </w:rPr>
            </w:pPr>
            <w:r>
              <w:rPr>
                <w:sz w:val="22"/>
              </w:rPr>
              <w:t>Cantidad</w:t>
              <w:tab/>
              <w:tab/>
              <w:t>de</w:t>
              <w:tab/>
              <w:tab/>
            </w:r>
            <w:r>
              <w:rPr>
                <w:spacing w:val="-1"/>
                <w:sz w:val="22"/>
              </w:rPr>
              <w:t>acciones </w:t>
            </w:r>
            <w:r>
              <w:rPr>
                <w:sz w:val="22"/>
              </w:rPr>
              <w:t>organizadas</w:t>
              <w:tab/>
              <w:t>por</w:t>
              <w:tab/>
              <w:t>los actores de la CHPH para atender</w:t>
              <w:tab/>
              <w:t>los</w:t>
              <w:tab/>
            </w:r>
            <w:r>
              <w:rPr>
                <w:spacing w:val="-1"/>
                <w:sz w:val="22"/>
              </w:rPr>
              <w:t>problemas </w:t>
            </w:r>
            <w:r>
              <w:rPr>
                <w:sz w:val="22"/>
              </w:rPr>
              <w:t>sociales de dicha cuenca. (Ejemplo: reuniones de los pescadores para atender su problemática</w:t>
            </w:r>
            <w:r>
              <w:rPr>
                <w:spacing w:val="-3"/>
                <w:sz w:val="22"/>
              </w:rPr>
              <w:t> </w:t>
            </w:r>
            <w:r>
              <w:rPr>
                <w:sz w:val="22"/>
              </w:rPr>
              <w:t>común).</w:t>
            </w:r>
          </w:p>
        </w:tc>
      </w:tr>
      <w:tr>
        <w:trPr>
          <w:trHeight w:val="2287"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P6S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267"/>
              <w:rPr>
                <w:sz w:val="22"/>
              </w:rPr>
            </w:pPr>
            <w:r>
              <w:rPr>
                <w:sz w:val="22"/>
              </w:rPr>
              <w:t>Relaciones intermunicipales</w:t>
            </w:r>
          </w:p>
        </w:tc>
        <w:tc>
          <w:tcPr>
            <w:tcW w:w="3262" w:type="dxa"/>
          </w:tcPr>
          <w:p>
            <w:pPr>
              <w:pStyle w:val="TableParagraph"/>
              <w:tabs>
                <w:tab w:pos="2133" w:val="left" w:leader="none"/>
              </w:tabs>
              <w:ind w:right="100"/>
              <w:jc w:val="both"/>
              <w:rPr>
                <w:sz w:val="22"/>
              </w:rPr>
            </w:pPr>
            <w:r>
              <w:rPr>
                <w:sz w:val="22"/>
              </w:rPr>
              <w:t>Existe una escasa y limitada vinculación formal entre actores de los municipios que integran la CHPH para favorecer la solución social de problemas</w:t>
              <w:tab/>
            </w:r>
            <w:r>
              <w:rPr>
                <w:spacing w:val="-1"/>
                <w:sz w:val="22"/>
              </w:rPr>
              <w:t>regionales </w:t>
            </w:r>
            <w:r>
              <w:rPr>
                <w:sz w:val="22"/>
              </w:rPr>
              <w:t>(Arnoletto,   2010; </w:t>
            </w:r>
            <w:r>
              <w:rPr>
                <w:spacing w:val="24"/>
                <w:sz w:val="22"/>
              </w:rPr>
              <w:t> </w:t>
            </w:r>
            <w:r>
              <w:rPr>
                <w:sz w:val="22"/>
              </w:rPr>
              <w:t>Hernández,</w:t>
            </w:r>
          </w:p>
          <w:p>
            <w:pPr>
              <w:pStyle w:val="TableParagraph"/>
              <w:spacing w:line="252" w:lineRule="exact" w:before="1"/>
              <w:jc w:val="both"/>
              <w:rPr>
                <w:sz w:val="22"/>
              </w:rPr>
            </w:pPr>
            <w:r>
              <w:rPr>
                <w:sz w:val="22"/>
              </w:rPr>
              <w:t>2003;     Florentino,     2004  </w:t>
            </w:r>
            <w:r>
              <w:rPr>
                <w:spacing w:val="54"/>
                <w:sz w:val="22"/>
              </w:rPr>
              <w:t> </w:t>
            </w:r>
            <w:r>
              <w:rPr>
                <w:sz w:val="22"/>
              </w:rPr>
              <w:t>y</w:t>
            </w:r>
          </w:p>
          <w:p>
            <w:pPr>
              <w:pStyle w:val="TableParagraph"/>
              <w:spacing w:line="252" w:lineRule="exact"/>
              <w:jc w:val="both"/>
              <w:rPr>
                <w:sz w:val="22"/>
              </w:rPr>
            </w:pPr>
            <w:r>
              <w:rPr>
                <w:sz w:val="22"/>
              </w:rPr>
              <w:t>García, TC: 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07" w:right="108" w:hanging="4"/>
              <w:jc w:val="center"/>
              <w:rPr>
                <w:b/>
                <w:sz w:val="22"/>
              </w:rPr>
            </w:pPr>
            <w:r>
              <w:rPr>
                <w:b/>
                <w:sz w:val="22"/>
              </w:rPr>
              <w:t># acuerdos formales entre los actores de los municipios que integran la CHPH</w:t>
            </w:r>
          </w:p>
        </w:tc>
        <w:tc>
          <w:tcPr>
            <w:tcW w:w="2835" w:type="dxa"/>
          </w:tcPr>
          <w:p>
            <w:pPr>
              <w:pStyle w:val="TableParagraph"/>
              <w:ind w:right="99"/>
              <w:jc w:val="both"/>
              <w:rPr>
                <w:sz w:val="22"/>
              </w:rPr>
            </w:pPr>
            <w:r>
              <w:rPr>
                <w:sz w:val="22"/>
              </w:rPr>
              <w:t>Cantidad de acuerdos formales sociopolíticos entre los actores de los municipios que integran la CHPH.</w:t>
            </w:r>
          </w:p>
          <w:p>
            <w:pPr>
              <w:pStyle w:val="TableParagraph"/>
              <w:ind w:right="99"/>
              <w:jc w:val="both"/>
              <w:rPr>
                <w:sz w:val="22"/>
              </w:rPr>
            </w:pPr>
            <w:r>
              <w:rPr>
                <w:sz w:val="22"/>
              </w:rPr>
              <w:t>(Ejemplo: aún no existen acuerdos intermunicipales formales entre los actores de la CHPH).</w:t>
            </w:r>
          </w:p>
        </w:tc>
      </w:tr>
    </w:tbl>
    <w:p>
      <w:pPr>
        <w:spacing w:after="0"/>
        <w:jc w:val="both"/>
        <w:rPr>
          <w:sz w:val="22"/>
        </w:rPr>
        <w:sectPr>
          <w:footerReference w:type="default" r:id="rId251"/>
          <w:pgSz w:w="15840" w:h="12240" w:orient="landscape"/>
          <w:pgMar w:footer="943" w:header="0" w:top="1140" w:bottom="1140" w:left="2020" w:right="1300"/>
          <w:pgNumType w:start="47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926"/>
        <w:gridCol w:w="729"/>
        <w:gridCol w:w="1606"/>
        <w:gridCol w:w="2126"/>
        <w:gridCol w:w="1130"/>
        <w:gridCol w:w="491"/>
        <w:gridCol w:w="1214"/>
      </w:tblGrid>
      <w:tr>
        <w:trPr>
          <w:trHeight w:val="2540"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P7S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610"/>
              <w:rPr>
                <w:sz w:val="22"/>
              </w:rPr>
            </w:pPr>
            <w:r>
              <w:rPr>
                <w:sz w:val="22"/>
              </w:rPr>
              <w:t>Cooperación social_1</w:t>
            </w:r>
          </w:p>
        </w:tc>
        <w:tc>
          <w:tcPr>
            <w:tcW w:w="3262" w:type="dxa"/>
            <w:gridSpan w:val="3"/>
          </w:tcPr>
          <w:p>
            <w:pPr>
              <w:pStyle w:val="TableParagraph"/>
              <w:spacing w:before="125"/>
              <w:ind w:right="100"/>
              <w:jc w:val="both"/>
              <w:rPr>
                <w:sz w:val="22"/>
              </w:rPr>
            </w:pPr>
            <w:r>
              <w:rPr>
                <w:sz w:val="22"/>
              </w:rPr>
              <w:t>Los actores históricos de la cuenca manifestaron en el trabajo de campo su interés de trabajar conjuntamente en la solución de los problemas sociopolíticos de la CHPH (González, 2003 y García, TC: 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18" w:right="120"/>
              <w:jc w:val="center"/>
              <w:rPr>
                <w:b/>
                <w:sz w:val="22"/>
              </w:rPr>
            </w:pPr>
            <w:r>
              <w:rPr>
                <w:b/>
                <w:sz w:val="22"/>
              </w:rPr>
              <w:t># de acciones conjuntas de los actores de la CHPH</w:t>
            </w:r>
          </w:p>
        </w:tc>
        <w:tc>
          <w:tcPr>
            <w:tcW w:w="2835" w:type="dxa"/>
            <w:gridSpan w:val="3"/>
          </w:tcPr>
          <w:p>
            <w:pPr>
              <w:pStyle w:val="TableParagraph"/>
              <w:ind w:right="98"/>
              <w:jc w:val="both"/>
              <w:rPr>
                <w:sz w:val="22"/>
              </w:rPr>
            </w:pPr>
            <w:r>
              <w:rPr>
                <w:sz w:val="22"/>
              </w:rPr>
              <w:t>Cantidad de acciones conjuntas de los actores de la CHPH para solucionar su problemática sociopolítica.</w:t>
            </w:r>
          </w:p>
          <w:p>
            <w:pPr>
              <w:pStyle w:val="TableParagraph"/>
              <w:ind w:right="99"/>
              <w:jc w:val="both"/>
              <w:rPr>
                <w:sz w:val="22"/>
              </w:rPr>
            </w:pPr>
            <w:r>
              <w:rPr>
                <w:sz w:val="22"/>
              </w:rPr>
              <w:t>(Ejemplo: aún no han realizado los actores de la CHPH acciones conjuntas para solucionar sus problemas sociopolíticos).</w:t>
            </w:r>
          </w:p>
        </w:tc>
      </w:tr>
      <w:tr>
        <w:trPr>
          <w:trHeight w:val="2288"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P8S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267"/>
              <w:rPr>
                <w:sz w:val="22"/>
              </w:rPr>
            </w:pPr>
            <w:r>
              <w:rPr>
                <w:sz w:val="22"/>
              </w:rPr>
              <w:t>Identidad social</w:t>
            </w:r>
          </w:p>
        </w:tc>
        <w:tc>
          <w:tcPr>
            <w:tcW w:w="3262" w:type="dxa"/>
            <w:gridSpan w:val="3"/>
          </w:tcPr>
          <w:p>
            <w:pPr>
              <w:pStyle w:val="TableParagraph"/>
              <w:ind w:right="100"/>
              <w:jc w:val="both"/>
              <w:rPr>
                <w:sz w:val="22"/>
              </w:rPr>
            </w:pPr>
            <w:r>
              <w:rPr>
                <w:sz w:val="22"/>
              </w:rPr>
              <w:t>El sentido de pertenencia histórica y comunitaria por parte de los actores históricos de la CHPH, favorece la coordinación social con otros actores para atender la problemática sociopolítica de dicha cuenca (García, TC: 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31" w:right="137" w:firstLine="3"/>
              <w:jc w:val="center"/>
              <w:rPr>
                <w:b/>
                <w:sz w:val="22"/>
              </w:rPr>
            </w:pPr>
            <w:r>
              <w:rPr>
                <w:b/>
                <w:sz w:val="22"/>
              </w:rPr>
              <w:t>Lugar de nacimiento y # de años de residencia en la CHPH</w:t>
            </w:r>
          </w:p>
        </w:tc>
        <w:tc>
          <w:tcPr>
            <w:tcW w:w="2835" w:type="dxa"/>
            <w:gridSpan w:val="3"/>
          </w:tcPr>
          <w:p>
            <w:pPr>
              <w:pStyle w:val="TableParagraph"/>
              <w:tabs>
                <w:tab w:pos="1211" w:val="left" w:leader="none"/>
                <w:tab w:pos="1333" w:val="left" w:leader="none"/>
                <w:tab w:pos="1729" w:val="left" w:leader="none"/>
                <w:tab w:pos="2352" w:val="left" w:leader="none"/>
                <w:tab w:pos="2475" w:val="left" w:leader="none"/>
              </w:tabs>
              <w:ind w:right="100"/>
              <w:rPr>
                <w:sz w:val="22"/>
              </w:rPr>
            </w:pPr>
            <w:r>
              <w:rPr>
                <w:sz w:val="22"/>
              </w:rPr>
              <w:t>Lugar de nacimiento  de los actores de la CHPH y cantidad</w:t>
              <w:tab/>
              <w:t>de</w:t>
              <w:tab/>
              <w:t>años</w:t>
              <w:tab/>
              <w:tab/>
              <w:t>de residencia en la Cuenca. (Ejemplo:</w:t>
              <w:tab/>
              <w:tab/>
              <w:t>actores</w:t>
              <w:tab/>
              <w:t>que nacieron dentro de los 5 municipios que integran la CHPH y que han vivido allí siempre).</w:t>
            </w:r>
          </w:p>
        </w:tc>
      </w:tr>
      <w:tr>
        <w:trPr>
          <w:trHeight w:val="3298"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125" w:right="124"/>
              <w:jc w:val="center"/>
              <w:rPr>
                <w:b/>
                <w:sz w:val="22"/>
              </w:rPr>
            </w:pPr>
            <w:r>
              <w:rPr>
                <w:b/>
                <w:sz w:val="22"/>
              </w:rPr>
              <w:t>P9S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646"/>
              <w:rPr>
                <w:sz w:val="22"/>
              </w:rPr>
            </w:pPr>
            <w:r>
              <w:rPr>
                <w:sz w:val="22"/>
              </w:rPr>
              <w:t>Gobernanza social</w:t>
            </w:r>
          </w:p>
        </w:tc>
        <w:tc>
          <w:tcPr>
            <w:tcW w:w="3262" w:type="dxa"/>
            <w:gridSpan w:val="3"/>
          </w:tcPr>
          <w:p>
            <w:pPr>
              <w:pStyle w:val="TableParagraph"/>
              <w:tabs>
                <w:tab w:pos="1645" w:val="left" w:leader="none"/>
                <w:tab w:pos="1950" w:val="left" w:leader="none"/>
                <w:tab w:pos="2598" w:val="left" w:leader="none"/>
              </w:tabs>
              <w:ind w:right="99"/>
              <w:jc w:val="both"/>
              <w:rPr>
                <w:sz w:val="22"/>
              </w:rPr>
            </w:pPr>
            <w:r>
              <w:rPr>
                <w:sz w:val="22"/>
              </w:rPr>
              <w:t>Es la estructura social hídrica elaborada a través de la historia en la cual los actores establecen vínculos para la creación</w:t>
              <w:tab/>
              <w:t>de</w:t>
              <w:tab/>
              <w:tab/>
              <w:t>redes intermunicipales mediante la cultura,</w:t>
              <w:tab/>
              <w:tab/>
            </w:r>
            <w:r>
              <w:rPr>
                <w:spacing w:val="-1"/>
                <w:sz w:val="22"/>
              </w:rPr>
              <w:t>autogestión, </w:t>
            </w:r>
            <w:r>
              <w:rPr>
                <w:sz w:val="22"/>
              </w:rPr>
              <w:t>democracia, voluntariedad, identidad y cooperación de los actores de la CHPH para solucionar sus problemas comunes de la Cuenca (García, TC:</w:t>
            </w:r>
            <w:r>
              <w:rPr>
                <w:spacing w:val="-7"/>
                <w:sz w:val="22"/>
              </w:rPr>
              <w:t> </w:t>
            </w:r>
            <w:r>
              <w:rPr>
                <w:sz w:val="22"/>
              </w:rPr>
              <w:t>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spacing w:before="1"/>
              <w:ind w:left="155" w:right="158" w:hanging="3"/>
              <w:jc w:val="center"/>
              <w:rPr>
                <w:b/>
                <w:sz w:val="22"/>
              </w:rPr>
            </w:pPr>
            <w:r>
              <w:rPr>
                <w:b/>
                <w:sz w:val="22"/>
              </w:rPr>
              <w:t># de estructuras sociales hídricas de los actores de la CHPH</w:t>
            </w:r>
          </w:p>
        </w:tc>
        <w:tc>
          <w:tcPr>
            <w:tcW w:w="2835" w:type="dxa"/>
            <w:gridSpan w:val="3"/>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99"/>
              <w:jc w:val="both"/>
              <w:rPr>
                <w:sz w:val="22"/>
              </w:rPr>
            </w:pPr>
            <w:r>
              <w:rPr>
                <w:sz w:val="22"/>
              </w:rPr>
              <w:t>Cantidad de estructuras sociales hídricas que se han tejido a través de la historia entre los actores de la CHPH para solucionar la problemática común.</w:t>
            </w:r>
          </w:p>
          <w:p>
            <w:pPr>
              <w:pStyle w:val="TableParagraph"/>
              <w:spacing w:before="2"/>
              <w:ind w:right="101"/>
              <w:jc w:val="both"/>
              <w:rPr>
                <w:sz w:val="22"/>
              </w:rPr>
            </w:pPr>
            <w:r>
              <w:rPr>
                <w:sz w:val="22"/>
              </w:rPr>
              <w:t>(Ejemplo: pescadores, ganaderos, ejidatarios).</w:t>
            </w:r>
          </w:p>
        </w:tc>
      </w:tr>
      <w:tr>
        <w:trPr>
          <w:trHeight w:val="516" w:hRule="exact"/>
        </w:trPr>
        <w:tc>
          <w:tcPr>
            <w:tcW w:w="852" w:type="dxa"/>
            <w:shd w:val="clear" w:color="auto" w:fill="F9BE8F"/>
          </w:tcPr>
          <w:p>
            <w:pPr/>
          </w:p>
        </w:tc>
        <w:tc>
          <w:tcPr>
            <w:tcW w:w="730" w:type="dxa"/>
            <w:shd w:val="clear" w:color="auto" w:fill="F9BE8F"/>
          </w:tcPr>
          <w:p>
            <w:pPr>
              <w:pStyle w:val="TableParagraph"/>
              <w:spacing w:line="248" w:lineRule="exact"/>
              <w:ind w:left="0" w:right="285"/>
              <w:jc w:val="right"/>
              <w:rPr>
                <w:b/>
                <w:sz w:val="22"/>
              </w:rPr>
            </w:pPr>
            <w:r>
              <w:rPr>
                <w:b/>
                <w:w w:val="100"/>
                <w:sz w:val="22"/>
              </w:rPr>
              <w:t>P</w:t>
            </w:r>
          </w:p>
        </w:tc>
        <w:tc>
          <w:tcPr>
            <w:tcW w:w="1990" w:type="dxa"/>
          </w:tcPr>
          <w:p>
            <w:pPr>
              <w:pStyle w:val="TableParagraph"/>
              <w:spacing w:line="242" w:lineRule="auto"/>
              <w:ind w:right="365"/>
              <w:rPr>
                <w:sz w:val="22"/>
              </w:rPr>
            </w:pPr>
            <w:r>
              <w:rPr>
                <w:sz w:val="22"/>
              </w:rPr>
              <w:t>Gobernabilidad social</w:t>
            </w:r>
          </w:p>
        </w:tc>
        <w:tc>
          <w:tcPr>
            <w:tcW w:w="926" w:type="dxa"/>
            <w:tcBorders>
              <w:right w:val="nil"/>
            </w:tcBorders>
          </w:tcPr>
          <w:p>
            <w:pPr>
              <w:pStyle w:val="TableParagraph"/>
              <w:spacing w:line="242" w:lineRule="auto"/>
              <w:ind w:right="77"/>
              <w:rPr>
                <w:sz w:val="22"/>
              </w:rPr>
            </w:pPr>
            <w:r>
              <w:rPr>
                <w:sz w:val="22"/>
              </w:rPr>
              <w:t>Existen sector</w:t>
            </w:r>
          </w:p>
        </w:tc>
        <w:tc>
          <w:tcPr>
            <w:tcW w:w="729" w:type="dxa"/>
            <w:tcBorders>
              <w:left w:val="nil"/>
              <w:right w:val="nil"/>
            </w:tcBorders>
          </w:tcPr>
          <w:p>
            <w:pPr>
              <w:pStyle w:val="TableParagraph"/>
              <w:spacing w:line="251" w:lineRule="exact"/>
              <w:ind w:left="97"/>
              <w:rPr>
                <w:sz w:val="22"/>
              </w:rPr>
            </w:pPr>
            <w:r>
              <w:rPr>
                <w:sz w:val="22"/>
              </w:rPr>
              <w:t>reglas</w:t>
            </w:r>
          </w:p>
        </w:tc>
        <w:tc>
          <w:tcPr>
            <w:tcW w:w="1606" w:type="dxa"/>
            <w:tcBorders>
              <w:left w:val="nil"/>
            </w:tcBorders>
          </w:tcPr>
          <w:p>
            <w:pPr>
              <w:pStyle w:val="TableParagraph"/>
              <w:spacing w:line="242" w:lineRule="auto"/>
              <w:ind w:left="28" w:right="85" w:firstLine="133"/>
              <w:rPr>
                <w:sz w:val="22"/>
              </w:rPr>
            </w:pPr>
            <w:r>
              <w:rPr>
                <w:sz w:val="22"/>
              </w:rPr>
              <w:t>formales del gubernamental</w:t>
            </w:r>
          </w:p>
        </w:tc>
        <w:tc>
          <w:tcPr>
            <w:tcW w:w="2126" w:type="dxa"/>
          </w:tcPr>
          <w:p>
            <w:pPr>
              <w:pStyle w:val="TableParagraph"/>
              <w:spacing w:line="242" w:lineRule="auto"/>
              <w:ind w:left="503" w:right="114" w:hanging="219"/>
              <w:rPr>
                <w:b/>
                <w:sz w:val="22"/>
              </w:rPr>
            </w:pPr>
            <w:r>
              <w:rPr>
                <w:b/>
                <w:sz w:val="22"/>
              </w:rPr>
              <w:t># de acuerdos formales e</w:t>
            </w:r>
          </w:p>
        </w:tc>
        <w:tc>
          <w:tcPr>
            <w:tcW w:w="1130" w:type="dxa"/>
            <w:tcBorders>
              <w:right w:val="nil"/>
            </w:tcBorders>
          </w:tcPr>
          <w:p>
            <w:pPr>
              <w:pStyle w:val="TableParagraph"/>
              <w:spacing w:line="242" w:lineRule="auto"/>
              <w:ind w:right="121"/>
              <w:rPr>
                <w:sz w:val="22"/>
              </w:rPr>
            </w:pPr>
            <w:r>
              <w:rPr>
                <w:sz w:val="22"/>
              </w:rPr>
              <w:t>Cantidad formales</w:t>
            </w:r>
          </w:p>
        </w:tc>
        <w:tc>
          <w:tcPr>
            <w:tcW w:w="491" w:type="dxa"/>
            <w:tcBorders>
              <w:left w:val="nil"/>
              <w:right w:val="nil"/>
            </w:tcBorders>
          </w:tcPr>
          <w:p>
            <w:pPr>
              <w:pStyle w:val="TableParagraph"/>
              <w:spacing w:line="242" w:lineRule="auto"/>
              <w:ind w:left="141" w:right="73" w:firstLine="12"/>
              <w:rPr>
                <w:sz w:val="22"/>
              </w:rPr>
            </w:pPr>
            <w:r>
              <w:rPr>
                <w:sz w:val="22"/>
              </w:rPr>
              <w:t>de e</w:t>
            </w:r>
          </w:p>
        </w:tc>
        <w:tc>
          <w:tcPr>
            <w:tcW w:w="1214" w:type="dxa"/>
            <w:tcBorders>
              <w:left w:val="nil"/>
            </w:tcBorders>
          </w:tcPr>
          <w:p>
            <w:pPr>
              <w:pStyle w:val="TableParagraph"/>
              <w:spacing w:line="242" w:lineRule="auto"/>
              <w:ind w:left="91" w:right="83" w:firstLine="110"/>
              <w:rPr>
                <w:sz w:val="22"/>
              </w:rPr>
            </w:pPr>
            <w:r>
              <w:rPr>
                <w:sz w:val="22"/>
              </w:rPr>
              <w:t>acuerdos informales</w:t>
            </w:r>
          </w:p>
        </w:tc>
      </w:tr>
    </w:tbl>
    <w:p>
      <w:pPr>
        <w:spacing w:after="0" w:line="242" w:lineRule="auto"/>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3046"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P10S</w:t>
            </w:r>
          </w:p>
        </w:tc>
        <w:tc>
          <w:tcPr>
            <w:tcW w:w="730" w:type="dxa"/>
            <w:shd w:val="clear" w:color="auto" w:fill="F9BE8F"/>
          </w:tcPr>
          <w:p>
            <w:pPr/>
          </w:p>
        </w:tc>
        <w:tc>
          <w:tcPr>
            <w:tcW w:w="1990" w:type="dxa"/>
          </w:tcPr>
          <w:p>
            <w:pPr/>
          </w:p>
        </w:tc>
        <w:tc>
          <w:tcPr>
            <w:tcW w:w="3262" w:type="dxa"/>
          </w:tcPr>
          <w:p>
            <w:pPr>
              <w:pStyle w:val="TableParagraph"/>
              <w:spacing w:line="250" w:lineRule="exact"/>
              <w:jc w:val="both"/>
              <w:rPr>
                <w:sz w:val="22"/>
              </w:rPr>
            </w:pPr>
            <w:r>
              <w:rPr>
                <w:sz w:val="22"/>
              </w:rPr>
              <w:t>enfrentadas          con          las</w:t>
            </w:r>
          </w:p>
          <w:p>
            <w:pPr>
              <w:pStyle w:val="TableParagraph"/>
              <w:tabs>
                <w:tab w:pos="2353" w:val="left" w:leader="none"/>
              </w:tabs>
              <w:ind w:right="100"/>
              <w:jc w:val="both"/>
              <w:rPr>
                <w:sz w:val="22"/>
              </w:rPr>
            </w:pPr>
            <w:r>
              <w:rPr>
                <w:sz w:val="22"/>
              </w:rPr>
              <w:t>estructuras</w:t>
              <w:tab/>
            </w:r>
            <w:r>
              <w:rPr>
                <w:spacing w:val="-1"/>
                <w:sz w:val="22"/>
              </w:rPr>
              <w:t>sociales </w:t>
            </w:r>
            <w:r>
              <w:rPr>
                <w:sz w:val="22"/>
              </w:rPr>
              <w:t>consuetudinarias de la CHPH (Cfr. Integridad del Agua, 2009 y García, TC:</w:t>
            </w:r>
            <w:r>
              <w:rPr>
                <w:spacing w:val="-20"/>
                <w:sz w:val="22"/>
              </w:rPr>
              <w:t> </w:t>
            </w:r>
            <w:r>
              <w:rPr>
                <w:sz w:val="22"/>
              </w:rPr>
              <w:t>2013-2015).</w:t>
            </w:r>
          </w:p>
        </w:tc>
        <w:tc>
          <w:tcPr>
            <w:tcW w:w="2126" w:type="dxa"/>
          </w:tcPr>
          <w:p>
            <w:pPr>
              <w:pStyle w:val="TableParagraph"/>
              <w:ind w:left="191" w:right="197" w:firstLine="2"/>
              <w:jc w:val="center"/>
              <w:rPr>
                <w:b/>
                <w:sz w:val="22"/>
              </w:rPr>
            </w:pPr>
            <w:r>
              <w:rPr>
                <w:b/>
                <w:sz w:val="22"/>
              </w:rPr>
              <w:t>informales entre los actores de la CHPH</w:t>
            </w:r>
          </w:p>
        </w:tc>
        <w:tc>
          <w:tcPr>
            <w:tcW w:w="2835" w:type="dxa"/>
          </w:tcPr>
          <w:p>
            <w:pPr>
              <w:pStyle w:val="TableParagraph"/>
              <w:ind w:right="99"/>
              <w:jc w:val="both"/>
              <w:rPr>
                <w:sz w:val="22"/>
              </w:rPr>
            </w:pPr>
            <w:r>
              <w:rPr>
                <w:sz w:val="22"/>
              </w:rPr>
              <w:t>establecidos entre los actores sociales de la CHPH para cuidar la sostenibilidad de dicha cuenca.</w:t>
            </w:r>
          </w:p>
          <w:p>
            <w:pPr>
              <w:pStyle w:val="TableParagraph"/>
              <w:tabs>
                <w:tab w:pos="2110" w:val="left" w:leader="none"/>
              </w:tabs>
              <w:ind w:right="100"/>
              <w:jc w:val="both"/>
              <w:rPr>
                <w:sz w:val="22"/>
              </w:rPr>
            </w:pPr>
            <w:r>
              <w:rPr>
                <w:sz w:val="22"/>
              </w:rPr>
              <w:t>(Ejemplo: aún no existen acuerdos formales e informales</w:t>
              <w:tab/>
            </w:r>
            <w:r>
              <w:rPr>
                <w:spacing w:val="-1"/>
                <w:sz w:val="22"/>
              </w:rPr>
              <w:t>donde </w:t>
            </w:r>
            <w:r>
              <w:rPr>
                <w:sz w:val="22"/>
              </w:rPr>
              <w:t>intervengan actores de los cinco municipios que integran la CHPH para sostenerla).</w:t>
            </w:r>
          </w:p>
        </w:tc>
      </w:tr>
      <w:tr>
        <w:trPr>
          <w:trHeight w:val="2288"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P11S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695"/>
              <w:rPr>
                <w:sz w:val="22"/>
              </w:rPr>
            </w:pPr>
            <w:r>
              <w:rPr>
                <w:sz w:val="22"/>
              </w:rPr>
              <w:t>Autogestión social</w:t>
            </w:r>
          </w:p>
        </w:tc>
        <w:tc>
          <w:tcPr>
            <w:tcW w:w="3262" w:type="dxa"/>
          </w:tcPr>
          <w:p>
            <w:pPr>
              <w:pStyle w:val="TableParagraph"/>
              <w:ind w:right="102"/>
              <w:jc w:val="both"/>
              <w:rPr>
                <w:sz w:val="22"/>
              </w:rPr>
            </w:pPr>
            <w:r>
              <w:rPr>
                <w:sz w:val="22"/>
              </w:rPr>
              <w:t>Los actores de la CHPH manifiestan una organización comunitaria consuetudinaria que se enfrenta a las reglas establecidas por la federación que favorecen a intereses externos (Cfr. Méndez y Vallota, 2006 y García, TC: 2013-2015).</w:t>
            </w:r>
          </w:p>
        </w:tc>
        <w:tc>
          <w:tcPr>
            <w:tcW w:w="2126" w:type="dxa"/>
          </w:tcPr>
          <w:p>
            <w:pPr>
              <w:pStyle w:val="TableParagraph"/>
              <w:spacing w:before="6"/>
              <w:ind w:left="0"/>
              <w:rPr>
                <w:rFonts w:ascii="Times New Roman"/>
                <w:sz w:val="32"/>
              </w:rPr>
            </w:pPr>
          </w:p>
          <w:p>
            <w:pPr>
              <w:pStyle w:val="TableParagraph"/>
              <w:ind w:left="242" w:right="243" w:hanging="2"/>
              <w:jc w:val="center"/>
              <w:rPr>
                <w:b/>
                <w:sz w:val="22"/>
              </w:rPr>
            </w:pPr>
            <w:r>
              <w:rPr>
                <w:b/>
                <w:sz w:val="22"/>
              </w:rPr>
              <w:t># de   organizaciones de actores para cuidar los recursos de la CHPH</w:t>
            </w:r>
          </w:p>
        </w:tc>
        <w:tc>
          <w:tcPr>
            <w:tcW w:w="2835" w:type="dxa"/>
          </w:tcPr>
          <w:p>
            <w:pPr>
              <w:pStyle w:val="TableParagraph"/>
              <w:tabs>
                <w:tab w:pos="2476" w:val="left" w:leader="none"/>
              </w:tabs>
              <w:spacing w:line="250" w:lineRule="exact"/>
              <w:jc w:val="both"/>
              <w:rPr>
                <w:sz w:val="22"/>
              </w:rPr>
            </w:pPr>
            <w:r>
              <w:rPr>
                <w:sz w:val="22"/>
              </w:rPr>
              <w:t>Cantidad</w:t>
              <w:tab/>
              <w:t>de</w:t>
            </w:r>
          </w:p>
          <w:p>
            <w:pPr>
              <w:pStyle w:val="TableParagraph"/>
              <w:ind w:right="99"/>
              <w:jc w:val="both"/>
              <w:rPr>
                <w:sz w:val="22"/>
              </w:rPr>
            </w:pPr>
            <w:r>
              <w:rPr>
                <w:sz w:val="22"/>
              </w:rPr>
              <w:t>organizaciones de los actores de la CHPH para cuidar y administrar sus recursos naturales de la Cuenca.</w:t>
            </w:r>
          </w:p>
          <w:p>
            <w:pPr>
              <w:pStyle w:val="TableParagraph"/>
              <w:ind w:right="102"/>
              <w:jc w:val="both"/>
              <w:rPr>
                <w:sz w:val="22"/>
              </w:rPr>
            </w:pPr>
            <w:r>
              <w:rPr>
                <w:sz w:val="22"/>
              </w:rPr>
              <w:t>(Ejemplo: Cooperativas de pescadores y ganaderos).</w:t>
            </w:r>
          </w:p>
        </w:tc>
      </w:tr>
      <w:tr>
        <w:trPr>
          <w:trHeight w:val="1781" w:hRule="exact"/>
        </w:trPr>
        <w:tc>
          <w:tcPr>
            <w:tcW w:w="852" w:type="dxa"/>
            <w:shd w:val="clear" w:color="auto" w:fill="F9BE8F"/>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E1S</w:t>
            </w:r>
          </w:p>
        </w:tc>
        <w:tc>
          <w:tcPr>
            <w:tcW w:w="730" w:type="dxa"/>
            <w:shd w:val="clear" w:color="auto" w:fill="F9BE8F"/>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right="830"/>
              <w:rPr>
                <w:sz w:val="22"/>
              </w:rPr>
            </w:pPr>
            <w:r>
              <w:rPr>
                <w:sz w:val="22"/>
              </w:rPr>
              <w:t>Grupos de actores</w:t>
            </w:r>
          </w:p>
        </w:tc>
        <w:tc>
          <w:tcPr>
            <w:tcW w:w="3262" w:type="dxa"/>
          </w:tcPr>
          <w:p>
            <w:pPr>
              <w:pStyle w:val="TableParagraph"/>
              <w:spacing w:before="125"/>
              <w:ind w:right="99"/>
              <w:jc w:val="both"/>
              <w:rPr>
                <w:sz w:val="22"/>
              </w:rPr>
            </w:pPr>
            <w:r>
              <w:rPr>
                <w:sz w:val="22"/>
              </w:rPr>
              <w:t>Existencia de grupos de actores sociopolíticos en la CHPH consolidados a través de la historia (García, TC: 2013-2015).      (García,     TC:</w:t>
            </w:r>
          </w:p>
          <w:p>
            <w:pPr>
              <w:pStyle w:val="TableParagraph"/>
              <w:spacing w:before="1"/>
              <w:jc w:val="both"/>
              <w:rPr>
                <w:sz w:val="22"/>
              </w:rPr>
            </w:pPr>
            <w:r>
              <w:rPr>
                <w:sz w:val="22"/>
              </w:rPr>
              <w:t>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19" w:right="119"/>
              <w:jc w:val="center"/>
              <w:rPr>
                <w:b/>
                <w:sz w:val="22"/>
              </w:rPr>
            </w:pPr>
            <w:r>
              <w:rPr>
                <w:b/>
                <w:sz w:val="22"/>
              </w:rPr>
              <w:t># de grupos de actores en la CHPH</w:t>
            </w:r>
          </w:p>
        </w:tc>
        <w:tc>
          <w:tcPr>
            <w:tcW w:w="2835" w:type="dxa"/>
          </w:tcPr>
          <w:p>
            <w:pPr>
              <w:pStyle w:val="TableParagraph"/>
              <w:ind w:right="100"/>
              <w:jc w:val="both"/>
              <w:rPr>
                <w:sz w:val="22"/>
              </w:rPr>
            </w:pPr>
            <w:r>
              <w:rPr>
                <w:sz w:val="22"/>
              </w:rPr>
              <w:t>Cantidad de estructuras sociales formadas y caracterizadas a través de los procesos históricos de la CHPH.</w:t>
            </w:r>
          </w:p>
          <w:p>
            <w:pPr>
              <w:pStyle w:val="TableParagraph"/>
              <w:spacing w:before="1"/>
              <w:ind w:right="101"/>
              <w:jc w:val="both"/>
              <w:rPr>
                <w:sz w:val="22"/>
              </w:rPr>
            </w:pPr>
            <w:r>
              <w:rPr>
                <w:sz w:val="22"/>
              </w:rPr>
              <w:t>(Ejemplo: pescadores, ganaderos, ejidatarios).</w:t>
            </w:r>
          </w:p>
        </w:tc>
      </w:tr>
      <w:tr>
        <w:trPr>
          <w:trHeight w:val="1527"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spacing w:before="1"/>
              <w:ind w:left="125" w:right="124"/>
              <w:jc w:val="center"/>
              <w:rPr>
                <w:b/>
                <w:sz w:val="22"/>
              </w:rPr>
            </w:pPr>
            <w:r>
              <w:rPr>
                <w:b/>
                <w:sz w:val="22"/>
              </w:rPr>
              <w:t>E2S</w:t>
            </w:r>
          </w:p>
        </w:tc>
        <w:tc>
          <w:tcPr>
            <w:tcW w:w="730" w:type="dxa"/>
            <w:shd w:val="clear" w:color="auto" w:fill="F9BE8F"/>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spacing w:before="10"/>
              <w:ind w:left="0"/>
              <w:rPr>
                <w:rFonts w:ascii="Times New Roman"/>
                <w:sz w:val="21"/>
              </w:rPr>
            </w:pPr>
          </w:p>
          <w:p>
            <w:pPr>
              <w:pStyle w:val="TableParagraph"/>
              <w:ind w:right="267"/>
              <w:rPr>
                <w:sz w:val="22"/>
              </w:rPr>
            </w:pPr>
            <w:r>
              <w:rPr>
                <w:sz w:val="22"/>
              </w:rPr>
              <w:t>Dominación de actores</w:t>
            </w:r>
          </w:p>
        </w:tc>
        <w:tc>
          <w:tcPr>
            <w:tcW w:w="3262" w:type="dxa"/>
          </w:tcPr>
          <w:p>
            <w:pPr>
              <w:pStyle w:val="TableParagraph"/>
              <w:ind w:right="99"/>
              <w:jc w:val="both"/>
              <w:rPr>
                <w:sz w:val="22"/>
              </w:rPr>
            </w:pPr>
            <w:r>
              <w:rPr>
                <w:sz w:val="22"/>
              </w:rPr>
              <w:t>Se refiere a las formas de control social legalmente establecidas que permiten la dominación de un grupo de actores sobre otro en la CHPH (García, TC: 2013-2015).</w:t>
            </w:r>
          </w:p>
        </w:tc>
        <w:tc>
          <w:tcPr>
            <w:tcW w:w="2126" w:type="dxa"/>
          </w:tcPr>
          <w:p>
            <w:pPr>
              <w:pStyle w:val="TableParagraph"/>
              <w:spacing w:before="7"/>
              <w:ind w:left="0"/>
              <w:rPr>
                <w:rFonts w:ascii="Times New Roman"/>
                <w:sz w:val="32"/>
              </w:rPr>
            </w:pPr>
          </w:p>
          <w:p>
            <w:pPr>
              <w:pStyle w:val="TableParagraph"/>
              <w:ind w:left="119" w:right="119"/>
              <w:jc w:val="center"/>
              <w:rPr>
                <w:b/>
                <w:sz w:val="22"/>
              </w:rPr>
            </w:pPr>
            <w:r>
              <w:rPr>
                <w:b/>
                <w:sz w:val="22"/>
              </w:rPr>
              <w:t># de grupos de actores dominantes</w:t>
            </w:r>
          </w:p>
        </w:tc>
        <w:tc>
          <w:tcPr>
            <w:tcW w:w="2835" w:type="dxa"/>
          </w:tcPr>
          <w:p>
            <w:pPr>
              <w:pStyle w:val="TableParagraph"/>
              <w:tabs>
                <w:tab w:pos="2353" w:val="left" w:leader="none"/>
                <w:tab w:pos="2612" w:val="left" w:leader="none"/>
              </w:tabs>
              <w:ind w:right="99"/>
              <w:jc w:val="both"/>
              <w:rPr>
                <w:sz w:val="22"/>
              </w:rPr>
            </w:pPr>
            <w:r>
              <w:rPr>
                <w:sz w:val="22"/>
              </w:rPr>
              <w:t>Cantidad de actores gubernamentales</w:t>
              <w:tab/>
              <w:tab/>
              <w:t>y empresariales</w:t>
              <w:tab/>
              <w:t>que concentran las decisiones políticas que afectan las relaciones  sociales  de </w:t>
            </w:r>
            <w:r>
              <w:rPr>
                <w:spacing w:val="32"/>
                <w:sz w:val="22"/>
              </w:rPr>
              <w:t> </w:t>
            </w:r>
            <w:r>
              <w:rPr>
                <w:sz w:val="22"/>
              </w:rPr>
              <w:t>la</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768" w:hRule="exact"/>
        </w:trPr>
        <w:tc>
          <w:tcPr>
            <w:tcW w:w="852" w:type="dxa"/>
            <w:shd w:val="clear" w:color="auto" w:fill="F9BE8F"/>
          </w:tcPr>
          <w:p>
            <w:pPr/>
          </w:p>
        </w:tc>
        <w:tc>
          <w:tcPr>
            <w:tcW w:w="730" w:type="dxa"/>
            <w:shd w:val="clear" w:color="auto" w:fill="F9BE8F"/>
          </w:tcPr>
          <w:p>
            <w:pPr/>
          </w:p>
        </w:tc>
        <w:tc>
          <w:tcPr>
            <w:tcW w:w="1990" w:type="dxa"/>
          </w:tcPr>
          <w:p>
            <w:pPr/>
          </w:p>
        </w:tc>
        <w:tc>
          <w:tcPr>
            <w:tcW w:w="3262" w:type="dxa"/>
          </w:tcPr>
          <w:p>
            <w:pPr/>
          </w:p>
        </w:tc>
        <w:tc>
          <w:tcPr>
            <w:tcW w:w="2126" w:type="dxa"/>
          </w:tcPr>
          <w:p>
            <w:pPr/>
          </w:p>
        </w:tc>
        <w:tc>
          <w:tcPr>
            <w:tcW w:w="2835" w:type="dxa"/>
          </w:tcPr>
          <w:p>
            <w:pPr>
              <w:pStyle w:val="TableParagraph"/>
              <w:spacing w:line="250" w:lineRule="exact"/>
              <w:ind w:right="181"/>
              <w:rPr>
                <w:sz w:val="22"/>
              </w:rPr>
            </w:pPr>
            <w:r>
              <w:rPr>
                <w:sz w:val="22"/>
              </w:rPr>
              <w:t>CHPH.</w:t>
            </w:r>
          </w:p>
          <w:p>
            <w:pPr>
              <w:pStyle w:val="TableParagraph"/>
              <w:tabs>
                <w:tab w:pos="1316" w:val="left" w:leader="none"/>
                <w:tab w:pos="1769" w:val="left" w:leader="none"/>
              </w:tabs>
              <w:ind w:right="101"/>
              <w:rPr>
                <w:sz w:val="22"/>
              </w:rPr>
            </w:pPr>
            <w:r>
              <w:rPr>
                <w:sz w:val="22"/>
              </w:rPr>
              <w:t>(Ejemplo:</w:t>
              <w:tab/>
              <w:t>la</w:t>
              <w:tab/>
            </w:r>
            <w:r>
              <w:rPr>
                <w:spacing w:val="-1"/>
                <w:sz w:val="22"/>
              </w:rPr>
              <w:t>Conagua, </w:t>
            </w:r>
            <w:r>
              <w:rPr>
                <w:sz w:val="22"/>
              </w:rPr>
              <w:t>industriales</w:t>
            </w:r>
            <w:r>
              <w:rPr>
                <w:spacing w:val="-5"/>
                <w:sz w:val="22"/>
              </w:rPr>
              <w:t> </w:t>
            </w:r>
            <w:r>
              <w:rPr>
                <w:sz w:val="22"/>
              </w:rPr>
              <w:t>lácteos).</w:t>
            </w:r>
          </w:p>
        </w:tc>
      </w:tr>
      <w:tr>
        <w:trPr>
          <w:trHeight w:val="3046"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4"/>
              <w:jc w:val="center"/>
              <w:rPr>
                <w:b/>
                <w:sz w:val="22"/>
              </w:rPr>
            </w:pPr>
            <w:r>
              <w:rPr>
                <w:b/>
                <w:sz w:val="22"/>
              </w:rPr>
              <w:t>E3S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rPr>
                <w:sz w:val="22"/>
              </w:rPr>
            </w:pPr>
            <w:r>
              <w:rPr>
                <w:sz w:val="22"/>
              </w:rPr>
              <w:t>Articulación social</w:t>
            </w:r>
          </w:p>
        </w:tc>
        <w:tc>
          <w:tcPr>
            <w:tcW w:w="3262" w:type="dxa"/>
          </w:tcPr>
          <w:p>
            <w:pPr>
              <w:pStyle w:val="TableParagraph"/>
              <w:tabs>
                <w:tab w:pos="2121" w:val="left" w:leader="none"/>
              </w:tabs>
              <w:spacing w:before="125"/>
              <w:ind w:right="100"/>
              <w:jc w:val="both"/>
              <w:rPr>
                <w:sz w:val="22"/>
              </w:rPr>
            </w:pPr>
            <w:r>
              <w:rPr>
                <w:sz w:val="22"/>
              </w:rPr>
              <w:t>Los actores de la CHPH están interrelacionados por sus usos y costumbres (fiestas patronales,</w:t>
              <w:tab/>
            </w:r>
            <w:r>
              <w:rPr>
                <w:spacing w:val="-1"/>
                <w:sz w:val="22"/>
              </w:rPr>
              <w:t>mercados, </w:t>
            </w:r>
            <w:r>
              <w:rPr>
                <w:sz w:val="22"/>
              </w:rPr>
              <w:t>parentesco ritual, comida lacustre) lo que les permite tener una convivencia social entre actores lo que vincula a los cinco municipios de la Cuenca (García, TC: 2013- 2015).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51" w:right="151" w:firstLine="2"/>
              <w:jc w:val="center"/>
              <w:rPr>
                <w:b/>
                <w:sz w:val="22"/>
              </w:rPr>
            </w:pPr>
            <w:r>
              <w:rPr>
                <w:b/>
                <w:sz w:val="22"/>
              </w:rPr>
              <w:t>Usos y costumbres de la CHPH</w:t>
            </w:r>
          </w:p>
          <w:p>
            <w:pPr>
              <w:pStyle w:val="TableParagraph"/>
              <w:spacing w:line="252" w:lineRule="exact"/>
              <w:ind w:left="116" w:right="120"/>
              <w:jc w:val="center"/>
              <w:rPr>
                <w:b/>
                <w:sz w:val="22"/>
              </w:rPr>
            </w:pPr>
            <w:r>
              <w:rPr>
                <w:b/>
                <w:sz w:val="22"/>
              </w:rPr>
              <w:t>(adimensional)</w:t>
            </w:r>
          </w:p>
        </w:tc>
        <w:tc>
          <w:tcPr>
            <w:tcW w:w="2835" w:type="dxa"/>
          </w:tcPr>
          <w:p>
            <w:pPr>
              <w:pStyle w:val="TableParagraph"/>
              <w:ind w:right="99"/>
              <w:jc w:val="both"/>
              <w:rPr>
                <w:sz w:val="22"/>
              </w:rPr>
            </w:pPr>
            <w:r>
              <w:rPr>
                <w:sz w:val="22"/>
              </w:rPr>
              <w:t>Son las prácticas tradicionales que permiten que los actores de los cinco municipios que integran la CHPH estén vinculados de una forma pacífica.</w:t>
            </w:r>
          </w:p>
          <w:p>
            <w:pPr>
              <w:pStyle w:val="TableParagraph"/>
              <w:tabs>
                <w:tab w:pos="2084" w:val="left" w:leader="none"/>
              </w:tabs>
              <w:ind w:right="99"/>
              <w:jc w:val="both"/>
              <w:rPr>
                <w:sz w:val="22"/>
              </w:rPr>
            </w:pPr>
            <w:r>
              <w:rPr>
                <w:sz w:val="22"/>
              </w:rPr>
              <w:t>(Ejemplo:</w:t>
              <w:tab/>
              <w:t>fiestas patronales, parentesco ritual, mercados, comida lacustre).</w:t>
            </w:r>
          </w:p>
        </w:tc>
      </w:tr>
      <w:tr>
        <w:trPr>
          <w:trHeight w:val="2288"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4"/>
              <w:jc w:val="center"/>
              <w:rPr>
                <w:b/>
                <w:sz w:val="22"/>
              </w:rPr>
            </w:pPr>
            <w:r>
              <w:rPr>
                <w:b/>
                <w:sz w:val="22"/>
              </w:rPr>
              <w:t>E4S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622"/>
              <w:rPr>
                <w:sz w:val="22"/>
              </w:rPr>
            </w:pPr>
            <w:r>
              <w:rPr>
                <w:sz w:val="22"/>
              </w:rPr>
              <w:t>Interés de participación</w:t>
            </w:r>
          </w:p>
        </w:tc>
        <w:tc>
          <w:tcPr>
            <w:tcW w:w="3262" w:type="dxa"/>
          </w:tcPr>
          <w:p>
            <w:pPr>
              <w:pStyle w:val="TableParagraph"/>
              <w:spacing w:before="10"/>
              <w:ind w:left="0"/>
              <w:rPr>
                <w:rFonts w:ascii="Times New Roman"/>
                <w:sz w:val="21"/>
              </w:rPr>
            </w:pPr>
          </w:p>
          <w:p>
            <w:pPr>
              <w:pStyle w:val="TableParagraph"/>
              <w:tabs>
                <w:tab w:pos="1828" w:val="left" w:leader="none"/>
              </w:tabs>
              <w:ind w:right="100"/>
              <w:jc w:val="both"/>
              <w:rPr>
                <w:sz w:val="22"/>
              </w:rPr>
            </w:pPr>
            <w:r>
              <w:rPr>
                <w:sz w:val="22"/>
              </w:rPr>
              <w:t>Los actores sociales de la CHPH tienen interés en participar con otros actores para la resolución de sus problemas</w:t>
              <w:tab/>
            </w:r>
            <w:r>
              <w:rPr>
                <w:spacing w:val="-1"/>
                <w:sz w:val="22"/>
              </w:rPr>
              <w:t>sociopolíticos </w:t>
            </w:r>
            <w:r>
              <w:rPr>
                <w:sz w:val="22"/>
              </w:rPr>
              <w:t>comunes de la Cuenca (García, TC:</w:t>
            </w:r>
            <w:r>
              <w:rPr>
                <w:spacing w:val="-6"/>
                <w:sz w:val="22"/>
              </w:rPr>
              <w:t> </w:t>
            </w:r>
            <w:r>
              <w:rPr>
                <w:sz w:val="22"/>
              </w:rPr>
              <w:t>2013-2015).</w:t>
            </w:r>
          </w:p>
        </w:tc>
        <w:tc>
          <w:tcPr>
            <w:tcW w:w="2126" w:type="dxa"/>
          </w:tcPr>
          <w:p>
            <w:pPr>
              <w:pStyle w:val="TableParagraph"/>
              <w:spacing w:before="6"/>
              <w:ind w:left="0"/>
              <w:rPr>
                <w:rFonts w:ascii="Times New Roman"/>
                <w:sz w:val="32"/>
              </w:rPr>
            </w:pPr>
          </w:p>
          <w:p>
            <w:pPr>
              <w:pStyle w:val="TableParagraph"/>
              <w:ind w:left="117" w:right="120"/>
              <w:jc w:val="center"/>
              <w:rPr>
                <w:b/>
                <w:sz w:val="22"/>
              </w:rPr>
            </w:pPr>
            <w:r>
              <w:rPr>
                <w:b/>
                <w:sz w:val="22"/>
              </w:rPr>
              <w:t>Interés de participación de los actores sociales de la CHPH</w:t>
            </w:r>
          </w:p>
          <w:p>
            <w:pPr>
              <w:pStyle w:val="TableParagraph"/>
              <w:spacing w:before="1"/>
              <w:ind w:left="116" w:right="120"/>
              <w:jc w:val="center"/>
              <w:rPr>
                <w:b/>
                <w:sz w:val="22"/>
              </w:rPr>
            </w:pPr>
            <w:r>
              <w:rPr>
                <w:b/>
                <w:sz w:val="22"/>
              </w:rPr>
              <w:t>(adimensional)</w:t>
            </w:r>
          </w:p>
        </w:tc>
        <w:tc>
          <w:tcPr>
            <w:tcW w:w="2835" w:type="dxa"/>
          </w:tcPr>
          <w:p>
            <w:pPr>
              <w:pStyle w:val="TableParagraph"/>
              <w:ind w:right="99"/>
              <w:jc w:val="both"/>
              <w:rPr>
                <w:sz w:val="22"/>
              </w:rPr>
            </w:pPr>
            <w:r>
              <w:rPr>
                <w:sz w:val="22"/>
              </w:rPr>
              <w:t>Deseo de colaboración de todos los actores sociales para solucionar los problemas comunes de la CHPH.</w:t>
            </w:r>
          </w:p>
          <w:p>
            <w:pPr>
              <w:pStyle w:val="TableParagraph"/>
              <w:ind w:right="98"/>
              <w:jc w:val="both"/>
              <w:rPr>
                <w:sz w:val="22"/>
              </w:rPr>
            </w:pPr>
            <w:r>
              <w:rPr>
                <w:sz w:val="22"/>
              </w:rPr>
              <w:t>(Ejemplo: participar en asambleas conjuntas de la CHPH para solucionar su problemática).</w:t>
            </w:r>
          </w:p>
        </w:tc>
      </w:tr>
      <w:tr>
        <w:trPr>
          <w:trHeight w:val="1529" w:hRule="exact"/>
        </w:trPr>
        <w:tc>
          <w:tcPr>
            <w:tcW w:w="852" w:type="dxa"/>
            <w:shd w:val="clear" w:color="auto" w:fill="F9BE8F"/>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E5S</w:t>
            </w:r>
          </w:p>
        </w:tc>
        <w:tc>
          <w:tcPr>
            <w:tcW w:w="730" w:type="dxa"/>
            <w:shd w:val="clear" w:color="auto" w:fill="F9BE8F"/>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561"/>
              <w:rPr>
                <w:sz w:val="22"/>
              </w:rPr>
            </w:pPr>
            <w:r>
              <w:rPr>
                <w:sz w:val="22"/>
              </w:rPr>
              <w:t>Organización social</w:t>
            </w:r>
          </w:p>
        </w:tc>
        <w:tc>
          <w:tcPr>
            <w:tcW w:w="3262" w:type="dxa"/>
          </w:tcPr>
          <w:p>
            <w:pPr>
              <w:pStyle w:val="TableParagraph"/>
              <w:spacing w:before="125"/>
              <w:ind w:right="101"/>
              <w:jc w:val="both"/>
              <w:rPr>
                <w:sz w:val="22"/>
              </w:rPr>
            </w:pPr>
            <w:r>
              <w:rPr>
                <w:sz w:val="22"/>
              </w:rPr>
              <w:t>Los actores sociales trabajan de forma organizada pero limitada por el reparto histórico de la CHPH (García, TC: 2013-2015).</w:t>
            </w:r>
          </w:p>
        </w:tc>
        <w:tc>
          <w:tcPr>
            <w:tcW w:w="2126" w:type="dxa"/>
          </w:tcPr>
          <w:p>
            <w:pPr>
              <w:pStyle w:val="TableParagraph"/>
              <w:spacing w:before="122"/>
              <w:ind w:left="254" w:right="256" w:hanging="1"/>
              <w:jc w:val="center"/>
              <w:rPr>
                <w:b/>
                <w:sz w:val="22"/>
              </w:rPr>
            </w:pPr>
            <w:r>
              <w:rPr>
                <w:b/>
                <w:sz w:val="22"/>
              </w:rPr>
              <w:t># de   organizaciones sociales de los actores de la CHPH</w:t>
            </w:r>
          </w:p>
        </w:tc>
        <w:tc>
          <w:tcPr>
            <w:tcW w:w="2835" w:type="dxa"/>
          </w:tcPr>
          <w:p>
            <w:pPr>
              <w:pStyle w:val="TableParagraph"/>
              <w:tabs>
                <w:tab w:pos="2476" w:val="left" w:leader="none"/>
              </w:tabs>
              <w:spacing w:line="251" w:lineRule="exact"/>
              <w:jc w:val="both"/>
              <w:rPr>
                <w:sz w:val="22"/>
              </w:rPr>
            </w:pPr>
            <w:r>
              <w:rPr>
                <w:sz w:val="22"/>
              </w:rPr>
              <w:t>Cantidad</w:t>
              <w:tab/>
              <w:t>de</w:t>
            </w:r>
          </w:p>
          <w:p>
            <w:pPr>
              <w:pStyle w:val="TableParagraph"/>
              <w:spacing w:before="1"/>
              <w:ind w:right="100"/>
              <w:jc w:val="both"/>
              <w:rPr>
                <w:sz w:val="22"/>
              </w:rPr>
            </w:pPr>
            <w:r>
              <w:rPr>
                <w:sz w:val="22"/>
              </w:rPr>
              <w:t>organizaciones formales e informales existentes en la CHPH.</w:t>
            </w:r>
          </w:p>
          <w:p>
            <w:pPr>
              <w:pStyle w:val="TableParagraph"/>
              <w:spacing w:before="2"/>
              <w:ind w:right="101"/>
              <w:jc w:val="both"/>
              <w:rPr>
                <w:sz w:val="22"/>
              </w:rPr>
            </w:pPr>
            <w:r>
              <w:rPr>
                <w:sz w:val="22"/>
              </w:rPr>
              <w:t>(Ejemplo: pescadores, ejidatarios).</w:t>
            </w:r>
          </w:p>
        </w:tc>
      </w:tr>
      <w:tr>
        <w:trPr>
          <w:trHeight w:val="1022" w:hRule="exact"/>
        </w:trPr>
        <w:tc>
          <w:tcPr>
            <w:tcW w:w="852" w:type="dxa"/>
            <w:shd w:val="clear" w:color="auto" w:fill="F9BE8F"/>
          </w:tcPr>
          <w:p>
            <w:pPr/>
          </w:p>
        </w:tc>
        <w:tc>
          <w:tcPr>
            <w:tcW w:w="730" w:type="dxa"/>
            <w:shd w:val="clear" w:color="auto" w:fill="F9BE8F"/>
          </w:tcPr>
          <w:p>
            <w:pPr>
              <w:pStyle w:val="TableParagraph"/>
              <w:spacing w:before="5"/>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spacing w:before="8"/>
              <w:ind w:left="0"/>
              <w:rPr>
                <w:rFonts w:ascii="Times New Roman"/>
                <w:sz w:val="21"/>
              </w:rPr>
            </w:pPr>
          </w:p>
          <w:p>
            <w:pPr>
              <w:pStyle w:val="TableParagraph"/>
              <w:ind w:right="267"/>
              <w:rPr>
                <w:sz w:val="22"/>
              </w:rPr>
            </w:pPr>
            <w:r>
              <w:rPr>
                <w:sz w:val="22"/>
              </w:rPr>
              <w:t>Vínculos intermunicipales</w:t>
            </w:r>
          </w:p>
        </w:tc>
        <w:tc>
          <w:tcPr>
            <w:tcW w:w="3262" w:type="dxa"/>
          </w:tcPr>
          <w:p>
            <w:pPr>
              <w:pStyle w:val="TableParagraph"/>
              <w:ind w:right="102"/>
              <w:jc w:val="both"/>
              <w:rPr>
                <w:sz w:val="22"/>
              </w:rPr>
            </w:pPr>
            <w:r>
              <w:rPr>
                <w:sz w:val="22"/>
              </w:rPr>
              <w:t>Los actores de los municipios de la CHPH no tienen un mecanismo formal de interrelación  para  hacer</w:t>
            </w:r>
            <w:r>
              <w:rPr>
                <w:spacing w:val="-23"/>
                <w:sz w:val="22"/>
              </w:rPr>
              <w:t> </w:t>
            </w:r>
            <w:r>
              <w:rPr>
                <w:sz w:val="22"/>
              </w:rPr>
              <w:t>frente</w:t>
            </w:r>
          </w:p>
        </w:tc>
        <w:tc>
          <w:tcPr>
            <w:tcW w:w="2126" w:type="dxa"/>
          </w:tcPr>
          <w:p>
            <w:pPr>
              <w:pStyle w:val="TableParagraph"/>
              <w:ind w:left="175" w:right="175" w:hanging="3"/>
              <w:jc w:val="center"/>
              <w:rPr>
                <w:b/>
                <w:sz w:val="22"/>
              </w:rPr>
            </w:pPr>
            <w:r>
              <w:rPr>
                <w:b/>
                <w:sz w:val="22"/>
              </w:rPr>
              <w:t># de vínculos informales para hacer frente a su problemática</w:t>
            </w:r>
          </w:p>
        </w:tc>
        <w:tc>
          <w:tcPr>
            <w:tcW w:w="2835" w:type="dxa"/>
          </w:tcPr>
          <w:p>
            <w:pPr>
              <w:pStyle w:val="TableParagraph"/>
              <w:ind w:right="100"/>
              <w:jc w:val="both"/>
              <w:rPr>
                <w:sz w:val="22"/>
              </w:rPr>
            </w:pPr>
            <w:r>
              <w:rPr>
                <w:sz w:val="22"/>
              </w:rPr>
              <w:t>Cantidad de usos y costumbres que articulan las relaciones entre los actores de la CHPH.</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1274" w:hRule="exact"/>
        </w:trPr>
        <w:tc>
          <w:tcPr>
            <w:tcW w:w="852" w:type="dxa"/>
            <w:shd w:val="clear" w:color="auto" w:fill="F9BE8F"/>
          </w:tcPr>
          <w:p>
            <w:pPr>
              <w:pStyle w:val="TableParagraph"/>
              <w:spacing w:line="248" w:lineRule="exact"/>
              <w:ind w:left="0" w:right="210"/>
              <w:jc w:val="right"/>
              <w:rPr>
                <w:b/>
                <w:sz w:val="22"/>
              </w:rPr>
            </w:pPr>
            <w:r>
              <w:rPr>
                <w:b/>
                <w:sz w:val="22"/>
              </w:rPr>
              <w:t>E6S</w:t>
            </w:r>
          </w:p>
        </w:tc>
        <w:tc>
          <w:tcPr>
            <w:tcW w:w="730" w:type="dxa"/>
            <w:shd w:val="clear" w:color="auto" w:fill="F9BE8F"/>
          </w:tcPr>
          <w:p>
            <w:pPr/>
          </w:p>
        </w:tc>
        <w:tc>
          <w:tcPr>
            <w:tcW w:w="1990" w:type="dxa"/>
          </w:tcPr>
          <w:p>
            <w:pPr/>
          </w:p>
        </w:tc>
        <w:tc>
          <w:tcPr>
            <w:tcW w:w="3262" w:type="dxa"/>
          </w:tcPr>
          <w:p>
            <w:pPr>
              <w:pStyle w:val="TableParagraph"/>
              <w:ind w:right="100"/>
              <w:jc w:val="both"/>
              <w:rPr>
                <w:sz w:val="22"/>
              </w:rPr>
            </w:pPr>
            <w:r>
              <w:rPr>
                <w:sz w:val="22"/>
              </w:rPr>
              <w:t>a sus problemas comunes porque sus relaciones sólo están basadas en usos y costumbres (García, TC: 2013- 2015).</w:t>
            </w:r>
          </w:p>
        </w:tc>
        <w:tc>
          <w:tcPr>
            <w:tcW w:w="2126" w:type="dxa"/>
          </w:tcPr>
          <w:p>
            <w:pPr>
              <w:pStyle w:val="TableParagraph"/>
              <w:ind w:left="155" w:right="161" w:firstLine="98"/>
              <w:jc w:val="both"/>
              <w:rPr>
                <w:b/>
                <w:sz w:val="22"/>
              </w:rPr>
            </w:pPr>
            <w:r>
              <w:rPr>
                <w:b/>
                <w:sz w:val="22"/>
              </w:rPr>
              <w:t>social entre los actores de los municipios que integran la CHPH</w:t>
            </w:r>
          </w:p>
        </w:tc>
        <w:tc>
          <w:tcPr>
            <w:tcW w:w="2835" w:type="dxa"/>
          </w:tcPr>
          <w:p>
            <w:pPr>
              <w:pStyle w:val="TableParagraph"/>
              <w:ind w:right="100"/>
              <w:jc w:val="both"/>
              <w:rPr>
                <w:sz w:val="22"/>
              </w:rPr>
            </w:pPr>
            <w:r>
              <w:rPr>
                <w:sz w:val="22"/>
              </w:rPr>
              <w:t>(Ejemplo: parentesco ritual, fiestas patronales, mercados).</w:t>
            </w:r>
          </w:p>
        </w:tc>
      </w:tr>
      <w:tr>
        <w:trPr>
          <w:trHeight w:val="2288"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10"/>
              <w:jc w:val="right"/>
              <w:rPr>
                <w:b/>
                <w:sz w:val="22"/>
              </w:rPr>
            </w:pPr>
            <w:r>
              <w:rPr>
                <w:b/>
                <w:sz w:val="22"/>
              </w:rPr>
              <w:t>E7S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spacing w:before="1"/>
              <w:ind w:right="610"/>
              <w:rPr>
                <w:sz w:val="22"/>
              </w:rPr>
            </w:pPr>
            <w:r>
              <w:rPr>
                <w:sz w:val="22"/>
              </w:rPr>
              <w:t>Cooperación social_2</w:t>
            </w:r>
          </w:p>
        </w:tc>
        <w:tc>
          <w:tcPr>
            <w:tcW w:w="3262" w:type="dxa"/>
          </w:tcPr>
          <w:p>
            <w:pPr>
              <w:pStyle w:val="TableParagraph"/>
              <w:ind w:right="99"/>
              <w:jc w:val="both"/>
              <w:rPr>
                <w:sz w:val="22"/>
              </w:rPr>
            </w:pPr>
            <w:r>
              <w:rPr>
                <w:sz w:val="22"/>
              </w:rPr>
              <w:t>Los actores de la CHPH han manifestado públicamente su interés para cooperar en la solución de sus problemas sociales conjuntos, pero no existen los mecanismos para hacer una amplia cooperación social por cuenca (García, TC: 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19" w:right="119"/>
              <w:jc w:val="center"/>
              <w:rPr>
                <w:b/>
                <w:sz w:val="22"/>
              </w:rPr>
            </w:pPr>
            <w:r>
              <w:rPr>
                <w:b/>
                <w:sz w:val="22"/>
              </w:rPr>
              <w:t># de acciones de cooperación social de los actores de la CHPH</w:t>
            </w:r>
          </w:p>
        </w:tc>
        <w:tc>
          <w:tcPr>
            <w:tcW w:w="2835" w:type="dxa"/>
          </w:tcPr>
          <w:p>
            <w:pPr>
              <w:pStyle w:val="TableParagraph"/>
              <w:tabs>
                <w:tab w:pos="1255" w:val="left" w:leader="none"/>
                <w:tab w:pos="1297" w:val="left" w:leader="none"/>
                <w:tab w:pos="1407" w:val="left" w:leader="none"/>
                <w:tab w:pos="1751" w:val="left" w:leader="none"/>
                <w:tab w:pos="1856" w:val="left" w:leader="none"/>
                <w:tab w:pos="2026" w:val="left" w:leader="none"/>
                <w:tab w:pos="2442" w:val="left" w:leader="none"/>
                <w:tab w:pos="2476" w:val="left" w:leader="none"/>
              </w:tabs>
              <w:ind w:right="99"/>
              <w:rPr>
                <w:sz w:val="22"/>
              </w:rPr>
            </w:pPr>
            <w:r>
              <w:rPr>
                <w:sz w:val="22"/>
              </w:rPr>
              <w:t>Cantidad</w:t>
              <w:tab/>
              <w:tab/>
              <w:t>de</w:t>
              <w:tab/>
              <w:tab/>
            </w:r>
            <w:r>
              <w:rPr>
                <w:spacing w:val="-1"/>
                <w:sz w:val="22"/>
              </w:rPr>
              <w:t>acciones </w:t>
            </w:r>
            <w:r>
              <w:rPr>
                <w:sz w:val="22"/>
              </w:rPr>
              <w:t>sociales conjuntas de los actores de la CHPH. (Ejemplo:</w:t>
              <w:tab/>
              <w:tab/>
              <w:tab/>
              <w:t>no</w:t>
              <w:tab/>
              <w:tab/>
              <w:tab/>
            </w:r>
            <w:r>
              <w:rPr>
                <w:spacing w:val="-1"/>
                <w:sz w:val="22"/>
              </w:rPr>
              <w:t>existen </w:t>
            </w:r>
            <w:r>
              <w:rPr>
                <w:sz w:val="22"/>
              </w:rPr>
              <w:t>acciones</w:t>
              <w:tab/>
              <w:t>conjuntas</w:t>
              <w:tab/>
              <w:tab/>
              <w:t>de cooperación</w:t>
              <w:tab/>
              <w:tab/>
              <w:t>de</w:t>
              <w:tab/>
              <w:tab/>
              <w:t>los actores de la</w:t>
            </w:r>
            <w:r>
              <w:rPr>
                <w:spacing w:val="-7"/>
                <w:sz w:val="22"/>
              </w:rPr>
              <w:t> </w:t>
            </w:r>
            <w:r>
              <w:rPr>
                <w:sz w:val="22"/>
              </w:rPr>
              <w:t>CHPH).</w:t>
            </w:r>
          </w:p>
        </w:tc>
      </w:tr>
      <w:tr>
        <w:trPr>
          <w:trHeight w:val="2540"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rPr>
                <w:b/>
                <w:sz w:val="22"/>
              </w:rPr>
            </w:pPr>
            <w:r>
              <w:rPr>
                <w:b/>
                <w:sz w:val="22"/>
              </w:rPr>
              <w:t>E8S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707"/>
              <w:rPr>
                <w:sz w:val="22"/>
              </w:rPr>
            </w:pPr>
            <w:r>
              <w:rPr>
                <w:sz w:val="22"/>
              </w:rPr>
              <w:t>Sentido de pertenencia</w:t>
            </w:r>
          </w:p>
        </w:tc>
        <w:tc>
          <w:tcPr>
            <w:tcW w:w="3262" w:type="dxa"/>
          </w:tcPr>
          <w:p>
            <w:pPr>
              <w:pStyle w:val="TableParagraph"/>
              <w:spacing w:before="8"/>
              <w:ind w:left="0"/>
              <w:rPr>
                <w:rFonts w:ascii="Times New Roman"/>
                <w:sz w:val="32"/>
              </w:rPr>
            </w:pPr>
          </w:p>
          <w:p>
            <w:pPr>
              <w:pStyle w:val="TableParagraph"/>
              <w:spacing w:before="1"/>
              <w:ind w:right="100"/>
              <w:jc w:val="both"/>
              <w:rPr>
                <w:sz w:val="22"/>
              </w:rPr>
            </w:pPr>
            <w:r>
              <w:rPr>
                <w:sz w:val="22"/>
              </w:rPr>
              <w:t>Identidad social de los actores históricos de la CHPH e identidad limitada de los actores gubernamentales para la solución de los problemas comunes (García, TC: 2013- 2015).</w:t>
            </w:r>
          </w:p>
        </w:tc>
        <w:tc>
          <w:tcPr>
            <w:tcW w:w="2126" w:type="dxa"/>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230" w:right="231" w:hanging="2"/>
              <w:jc w:val="center"/>
              <w:rPr>
                <w:b/>
                <w:sz w:val="22"/>
              </w:rPr>
            </w:pPr>
            <w:r>
              <w:rPr>
                <w:b/>
                <w:sz w:val="22"/>
              </w:rPr>
              <w:t>Lugar de nacimiento y años de residencia en la CHPH</w:t>
            </w:r>
          </w:p>
        </w:tc>
        <w:tc>
          <w:tcPr>
            <w:tcW w:w="2835" w:type="dxa"/>
          </w:tcPr>
          <w:p>
            <w:pPr>
              <w:pStyle w:val="TableParagraph"/>
              <w:tabs>
                <w:tab w:pos="1333" w:val="left" w:leader="none"/>
                <w:tab w:pos="2352" w:val="left" w:leader="none"/>
              </w:tabs>
              <w:ind w:right="98"/>
              <w:rPr>
                <w:sz w:val="22"/>
              </w:rPr>
            </w:pPr>
            <w:r>
              <w:rPr>
                <w:sz w:val="22"/>
              </w:rPr>
              <w:t>Lugar de nacimiento  de los actores y años de residencia en la  CHPH que les permite conocer  su problemática común. (Ejemplo:</w:t>
              <w:tab/>
              <w:t>actores</w:t>
              <w:tab/>
              <w:t>que nacieron dentro de los 5 municipios que integran la CHPH y que han vivido allí siempre).</w:t>
            </w:r>
          </w:p>
        </w:tc>
      </w:tr>
      <w:tr>
        <w:trPr>
          <w:trHeight w:val="2033"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10"/>
              <w:jc w:val="right"/>
              <w:rPr>
                <w:b/>
                <w:sz w:val="22"/>
              </w:rPr>
            </w:pPr>
            <w:r>
              <w:rPr>
                <w:b/>
                <w:sz w:val="22"/>
              </w:rPr>
              <w:t>E9S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267"/>
              <w:rPr>
                <w:sz w:val="22"/>
              </w:rPr>
            </w:pPr>
            <w:r>
              <w:rPr>
                <w:sz w:val="22"/>
              </w:rPr>
              <w:t>Redes sociales</w:t>
            </w:r>
          </w:p>
        </w:tc>
        <w:tc>
          <w:tcPr>
            <w:tcW w:w="3262" w:type="dxa"/>
          </w:tcPr>
          <w:p>
            <w:pPr>
              <w:pStyle w:val="TableParagraph"/>
              <w:spacing w:before="8"/>
              <w:ind w:left="0"/>
              <w:rPr>
                <w:rFonts w:ascii="Times New Roman"/>
                <w:sz w:val="32"/>
              </w:rPr>
            </w:pPr>
          </w:p>
          <w:p>
            <w:pPr>
              <w:pStyle w:val="TableParagraph"/>
              <w:spacing w:before="1"/>
              <w:ind w:right="100"/>
              <w:jc w:val="both"/>
              <w:rPr>
                <w:sz w:val="22"/>
              </w:rPr>
            </w:pPr>
            <w:r>
              <w:rPr>
                <w:sz w:val="22"/>
              </w:rPr>
              <w:t>Las estructuras sociales, políticas y económicas en la CHPH que permiten  establecer los vínculos entre actores de dicha</w:t>
            </w:r>
            <w:r>
              <w:rPr>
                <w:spacing w:val="-4"/>
                <w:sz w:val="22"/>
              </w:rPr>
              <w:t> </w:t>
            </w:r>
            <w:r>
              <w:rPr>
                <w:sz w:val="22"/>
              </w:rPr>
              <w:t>cuenca.</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19" w:right="120"/>
              <w:jc w:val="center"/>
              <w:rPr>
                <w:b/>
                <w:sz w:val="22"/>
              </w:rPr>
            </w:pPr>
            <w:r>
              <w:rPr>
                <w:b/>
                <w:sz w:val="22"/>
              </w:rPr>
              <w:t># de mapas de actores y sus relaciones en la CHPH</w:t>
            </w:r>
          </w:p>
        </w:tc>
        <w:tc>
          <w:tcPr>
            <w:tcW w:w="2835" w:type="dxa"/>
          </w:tcPr>
          <w:p>
            <w:pPr>
              <w:pStyle w:val="TableParagraph"/>
              <w:tabs>
                <w:tab w:pos="1187" w:val="left" w:leader="none"/>
                <w:tab w:pos="1542" w:val="left" w:leader="none"/>
                <w:tab w:pos="1636" w:val="left" w:leader="none"/>
                <w:tab w:pos="1916" w:val="left" w:leader="none"/>
                <w:tab w:pos="2002" w:val="left" w:leader="none"/>
              </w:tabs>
              <w:ind w:right="99"/>
              <w:rPr>
                <w:sz w:val="22"/>
              </w:rPr>
            </w:pPr>
            <w:r>
              <w:rPr>
                <w:sz w:val="22"/>
              </w:rPr>
              <w:t>Cantidad</w:t>
              <w:tab/>
              <w:t>de</w:t>
              <w:tab/>
              <w:tab/>
            </w:r>
            <w:r>
              <w:rPr>
                <w:spacing w:val="-1"/>
                <w:sz w:val="22"/>
              </w:rPr>
              <w:t>estructuras </w:t>
            </w:r>
            <w:r>
              <w:rPr>
                <w:sz w:val="22"/>
              </w:rPr>
              <w:t>sociohistóricas, económicas</w:t>
              <w:tab/>
              <w:t>y</w:t>
              <w:tab/>
            </w:r>
            <w:r>
              <w:rPr>
                <w:spacing w:val="-1"/>
                <w:sz w:val="22"/>
              </w:rPr>
              <w:t>políticas </w:t>
            </w:r>
            <w:r>
              <w:rPr>
                <w:sz w:val="22"/>
              </w:rPr>
              <w:t>que agrupan a los actores y que los hace interactuar. (Ejemplo:</w:t>
              <w:tab/>
              <w:tab/>
              <w:tab/>
              <w:tab/>
              <w:tab/>
            </w:r>
            <w:r>
              <w:rPr>
                <w:spacing w:val="-1"/>
                <w:sz w:val="22"/>
              </w:rPr>
              <w:t>actores</w:t>
            </w:r>
          </w:p>
          <w:p>
            <w:pPr>
              <w:pStyle w:val="TableParagraph"/>
              <w:tabs>
                <w:tab w:pos="2003" w:val="left" w:leader="none"/>
              </w:tabs>
              <w:spacing w:before="1"/>
              <w:ind w:right="99"/>
              <w:rPr>
                <w:sz w:val="22"/>
              </w:rPr>
            </w:pPr>
            <w:r>
              <w:rPr>
                <w:sz w:val="22"/>
              </w:rPr>
              <w:t>históricos,</w:t>
              <w:tab/>
            </w:r>
            <w:r>
              <w:rPr>
                <w:spacing w:val="-1"/>
                <w:sz w:val="22"/>
              </w:rPr>
              <w:t>actores </w:t>
            </w:r>
            <w:r>
              <w:rPr>
                <w:sz w:val="22"/>
              </w:rPr>
              <w:t>gubernamentales).</w:t>
            </w:r>
          </w:p>
        </w:tc>
      </w:tr>
      <w:tr>
        <w:trPr>
          <w:trHeight w:val="518" w:hRule="exact"/>
        </w:trPr>
        <w:tc>
          <w:tcPr>
            <w:tcW w:w="852" w:type="dxa"/>
            <w:shd w:val="clear" w:color="auto" w:fill="F9BE8F"/>
          </w:tcPr>
          <w:p>
            <w:pPr/>
          </w:p>
        </w:tc>
        <w:tc>
          <w:tcPr>
            <w:tcW w:w="730" w:type="dxa"/>
            <w:shd w:val="clear" w:color="auto" w:fill="F9BE8F"/>
          </w:tcPr>
          <w:p>
            <w:pPr>
              <w:pStyle w:val="TableParagraph"/>
              <w:spacing w:line="251" w:lineRule="exact"/>
              <w:ind w:left="0" w:right="285"/>
              <w:jc w:val="right"/>
              <w:rPr>
                <w:b/>
                <w:sz w:val="22"/>
              </w:rPr>
            </w:pPr>
            <w:r>
              <w:rPr>
                <w:b/>
                <w:w w:val="100"/>
                <w:sz w:val="22"/>
              </w:rPr>
              <w:t>E</w:t>
            </w:r>
          </w:p>
        </w:tc>
        <w:tc>
          <w:tcPr>
            <w:tcW w:w="1990" w:type="dxa"/>
          </w:tcPr>
          <w:p>
            <w:pPr>
              <w:pStyle w:val="TableParagraph"/>
              <w:ind w:left="652" w:right="421" w:hanging="214"/>
              <w:rPr>
                <w:sz w:val="22"/>
              </w:rPr>
            </w:pPr>
            <w:r>
              <w:rPr>
                <w:sz w:val="22"/>
              </w:rPr>
              <w:t>Legislación federal</w:t>
            </w:r>
          </w:p>
        </w:tc>
        <w:tc>
          <w:tcPr>
            <w:tcW w:w="3262" w:type="dxa"/>
          </w:tcPr>
          <w:p>
            <w:pPr>
              <w:pStyle w:val="TableParagraph"/>
              <w:ind w:right="96"/>
              <w:rPr>
                <w:sz w:val="22"/>
              </w:rPr>
            </w:pPr>
            <w:r>
              <w:rPr>
                <w:sz w:val="22"/>
              </w:rPr>
              <w:t>Imposición formal de las reglas que deben ser obedecidas  por</w:t>
            </w:r>
          </w:p>
        </w:tc>
        <w:tc>
          <w:tcPr>
            <w:tcW w:w="2126" w:type="dxa"/>
          </w:tcPr>
          <w:p>
            <w:pPr>
              <w:pStyle w:val="TableParagraph"/>
              <w:spacing w:line="252" w:lineRule="exact" w:before="2"/>
              <w:ind w:left="595" w:right="468" w:hanging="116"/>
              <w:rPr>
                <w:b/>
                <w:sz w:val="22"/>
              </w:rPr>
            </w:pPr>
            <w:r>
              <w:rPr>
                <w:b/>
                <w:sz w:val="22"/>
              </w:rPr>
              <w:t># de reglas formales</w:t>
            </w:r>
          </w:p>
        </w:tc>
        <w:tc>
          <w:tcPr>
            <w:tcW w:w="2835" w:type="dxa"/>
          </w:tcPr>
          <w:p>
            <w:pPr>
              <w:pStyle w:val="TableParagraph"/>
              <w:tabs>
                <w:tab w:pos="1432" w:val="left" w:leader="none"/>
                <w:tab w:pos="2123" w:val="left" w:leader="none"/>
              </w:tabs>
              <w:ind w:right="99"/>
              <w:rPr>
                <w:sz w:val="22"/>
              </w:rPr>
            </w:pPr>
            <w:r>
              <w:rPr>
                <w:sz w:val="22"/>
              </w:rPr>
              <w:t>Cantidad</w:t>
              <w:tab/>
              <w:t>de</w:t>
              <w:tab/>
              <w:t>reglas formales  establecidas</w:t>
            </w:r>
            <w:r>
              <w:rPr>
                <w:spacing w:val="47"/>
                <w:sz w:val="22"/>
              </w:rPr>
              <w:t> </w:t>
            </w:r>
            <w:r>
              <w:rPr>
                <w:sz w:val="22"/>
              </w:rPr>
              <w:t>por</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1274" w:hRule="exact"/>
        </w:trPr>
        <w:tc>
          <w:tcPr>
            <w:tcW w:w="852" w:type="dxa"/>
            <w:shd w:val="clear" w:color="auto" w:fill="F9BE8F"/>
          </w:tcPr>
          <w:p>
            <w:pPr>
              <w:pStyle w:val="TableParagraph"/>
              <w:spacing w:before="5"/>
              <w:ind w:left="0"/>
              <w:rPr>
                <w:rFonts w:ascii="Times New Roman"/>
                <w:sz w:val="21"/>
              </w:rPr>
            </w:pPr>
          </w:p>
          <w:p>
            <w:pPr>
              <w:pStyle w:val="TableParagraph"/>
              <w:ind w:left="0" w:right="198"/>
              <w:jc w:val="right"/>
              <w:rPr>
                <w:b/>
                <w:sz w:val="22"/>
              </w:rPr>
            </w:pPr>
            <w:r>
              <w:rPr>
                <w:b/>
                <w:sz w:val="22"/>
              </w:rPr>
              <w:t>E10S</w:t>
            </w:r>
          </w:p>
        </w:tc>
        <w:tc>
          <w:tcPr>
            <w:tcW w:w="730" w:type="dxa"/>
            <w:shd w:val="clear" w:color="auto" w:fill="F9BE8F"/>
          </w:tcPr>
          <w:p>
            <w:pPr/>
          </w:p>
        </w:tc>
        <w:tc>
          <w:tcPr>
            <w:tcW w:w="1990" w:type="dxa"/>
          </w:tcPr>
          <w:p>
            <w:pPr/>
          </w:p>
        </w:tc>
        <w:tc>
          <w:tcPr>
            <w:tcW w:w="3262" w:type="dxa"/>
          </w:tcPr>
          <w:p>
            <w:pPr>
              <w:pStyle w:val="TableParagraph"/>
              <w:ind w:right="99"/>
              <w:jc w:val="both"/>
              <w:rPr>
                <w:sz w:val="22"/>
              </w:rPr>
            </w:pPr>
            <w:r>
              <w:rPr>
                <w:sz w:val="22"/>
              </w:rPr>
              <w:t>todos los actores de la CHPH, aun estando en desacuerdo o en contra de  ellas  (García, TC: 2013-2015).</w:t>
            </w:r>
          </w:p>
        </w:tc>
        <w:tc>
          <w:tcPr>
            <w:tcW w:w="2126" w:type="dxa"/>
          </w:tcPr>
          <w:p>
            <w:pPr>
              <w:pStyle w:val="TableParagraph"/>
              <w:ind w:left="116" w:right="120"/>
              <w:jc w:val="center"/>
              <w:rPr>
                <w:b/>
                <w:sz w:val="22"/>
              </w:rPr>
            </w:pPr>
            <w:r>
              <w:rPr>
                <w:b/>
                <w:sz w:val="22"/>
              </w:rPr>
              <w:t>impuestas por la federación en la CHPH</w:t>
            </w:r>
          </w:p>
        </w:tc>
        <w:tc>
          <w:tcPr>
            <w:tcW w:w="2835" w:type="dxa"/>
          </w:tcPr>
          <w:p>
            <w:pPr>
              <w:pStyle w:val="TableParagraph"/>
              <w:tabs>
                <w:tab w:pos="1585" w:val="left" w:leader="none"/>
                <w:tab w:pos="2612" w:val="left" w:leader="none"/>
              </w:tabs>
              <w:ind w:right="99"/>
              <w:rPr>
                <w:sz w:val="22"/>
              </w:rPr>
            </w:pPr>
            <w:r>
              <w:rPr>
                <w:sz w:val="22"/>
              </w:rPr>
              <w:t>la federación  y aplicadas  a los actores de la CHPH. (Ejemplo:</w:t>
              <w:tab/>
              <w:t>veda</w:t>
              <w:tab/>
              <w:t>y concesiones de agua para riego).</w:t>
            </w:r>
          </w:p>
        </w:tc>
      </w:tr>
      <w:tr>
        <w:trPr>
          <w:trHeight w:val="1781" w:hRule="exact"/>
        </w:trPr>
        <w:tc>
          <w:tcPr>
            <w:tcW w:w="852" w:type="dxa"/>
            <w:shd w:val="clear" w:color="auto" w:fill="F9BE8F"/>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50"/>
              <w:jc w:val="right"/>
              <w:rPr>
                <w:b/>
                <w:sz w:val="22"/>
              </w:rPr>
            </w:pPr>
            <w:r>
              <w:rPr>
                <w:b/>
                <w:sz w:val="22"/>
              </w:rPr>
              <w:t>E11S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spacing w:before="1"/>
              <w:ind w:left="0" w:right="1"/>
              <w:jc w:val="center"/>
              <w:rPr>
                <w:b/>
                <w:sz w:val="22"/>
              </w:rPr>
            </w:pPr>
            <w:r>
              <w:rPr>
                <w:b/>
                <w:w w:val="100"/>
                <w:sz w:val="22"/>
              </w:rPr>
              <w:t>E</w:t>
            </w:r>
          </w:p>
        </w:tc>
        <w:tc>
          <w:tcPr>
            <w:tcW w:w="1990"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ind w:right="365"/>
              <w:rPr>
                <w:sz w:val="22"/>
              </w:rPr>
            </w:pPr>
            <w:r>
              <w:rPr>
                <w:sz w:val="22"/>
              </w:rPr>
              <w:t>Enfrentamiento entre actores</w:t>
            </w:r>
          </w:p>
        </w:tc>
        <w:tc>
          <w:tcPr>
            <w:tcW w:w="3262" w:type="dxa"/>
          </w:tcPr>
          <w:p>
            <w:pPr>
              <w:pStyle w:val="TableParagraph"/>
              <w:spacing w:before="125"/>
              <w:ind w:right="101"/>
              <w:jc w:val="both"/>
              <w:rPr>
                <w:sz w:val="22"/>
              </w:rPr>
            </w:pPr>
            <w:r>
              <w:rPr>
                <w:sz w:val="22"/>
              </w:rPr>
              <w:t>Es el descontento social por el derecho inequitativo de administración de los recursos establecido en la legislación (Méndez y Vallota, 2006 y García, TC: 2013-2015).</w:t>
            </w:r>
          </w:p>
        </w:tc>
        <w:tc>
          <w:tcPr>
            <w:tcW w:w="2126" w:type="dxa"/>
          </w:tcPr>
          <w:p>
            <w:pPr>
              <w:pStyle w:val="TableParagraph"/>
              <w:ind w:left="211" w:right="214" w:firstLine="3"/>
              <w:jc w:val="center"/>
              <w:rPr>
                <w:b/>
                <w:sz w:val="22"/>
              </w:rPr>
            </w:pPr>
            <w:r>
              <w:rPr>
                <w:b/>
                <w:sz w:val="22"/>
              </w:rPr>
              <w:t># de grupos de actores de la CHPH en desacuerdo con el reparto inequitativo de los recursos</w:t>
            </w:r>
          </w:p>
        </w:tc>
        <w:tc>
          <w:tcPr>
            <w:tcW w:w="2835" w:type="dxa"/>
          </w:tcPr>
          <w:p>
            <w:pPr>
              <w:pStyle w:val="TableParagraph"/>
              <w:tabs>
                <w:tab w:pos="1072" w:val="left" w:leader="none"/>
                <w:tab w:pos="1659" w:val="left" w:leader="none"/>
                <w:tab w:pos="1690" w:val="left" w:leader="none"/>
                <w:tab w:pos="2442" w:val="left" w:leader="none"/>
                <w:tab w:pos="2475" w:val="left" w:leader="none"/>
              </w:tabs>
              <w:ind w:right="99"/>
              <w:rPr>
                <w:sz w:val="22"/>
              </w:rPr>
            </w:pPr>
            <w:r>
              <w:rPr>
                <w:sz w:val="22"/>
              </w:rPr>
              <w:t>Cantidad de grupos de actores</w:t>
              <w:tab/>
              <w:t>que</w:t>
              <w:tab/>
              <w:tab/>
              <w:t>están</w:t>
              <w:tab/>
              <w:tab/>
              <w:t>en desacuerdo por el reparto inequitativo</w:t>
              <w:tab/>
              <w:tab/>
              <w:t>de</w:t>
              <w:tab/>
              <w:t>los recursos de la CHPH. (Ejemplo:</w:t>
              <w:tab/>
              <w:tab/>
            </w:r>
            <w:r>
              <w:rPr>
                <w:spacing w:val="-1"/>
                <w:sz w:val="22"/>
              </w:rPr>
              <w:t>ejidatarios, </w:t>
            </w:r>
            <w:r>
              <w:rPr>
                <w:sz w:val="22"/>
              </w:rPr>
              <w:t>pescadores).</w:t>
            </w:r>
          </w:p>
        </w:tc>
      </w:tr>
      <w:tr>
        <w:trPr>
          <w:trHeight w:val="1781"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254"/>
              <w:rPr>
                <w:b/>
                <w:sz w:val="22"/>
              </w:rPr>
            </w:pPr>
            <w:r>
              <w:rPr>
                <w:b/>
                <w:sz w:val="22"/>
              </w:rPr>
              <w:t>I1S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ind w:right="891"/>
              <w:rPr>
                <w:sz w:val="22"/>
              </w:rPr>
            </w:pPr>
            <w:r>
              <w:rPr>
                <w:sz w:val="22"/>
              </w:rPr>
              <w:t>Conflictos sociales</w:t>
            </w:r>
          </w:p>
        </w:tc>
        <w:tc>
          <w:tcPr>
            <w:tcW w:w="3262" w:type="dxa"/>
          </w:tcPr>
          <w:p>
            <w:pPr>
              <w:pStyle w:val="TableParagraph"/>
              <w:spacing w:before="10"/>
              <w:ind w:left="0"/>
              <w:rPr>
                <w:rFonts w:ascii="Times New Roman"/>
                <w:sz w:val="21"/>
              </w:rPr>
            </w:pPr>
          </w:p>
          <w:p>
            <w:pPr>
              <w:pStyle w:val="TableParagraph"/>
              <w:ind w:right="101"/>
              <w:jc w:val="both"/>
              <w:rPr>
                <w:sz w:val="22"/>
              </w:rPr>
            </w:pPr>
            <w:r>
              <w:rPr>
                <w:sz w:val="22"/>
              </w:rPr>
              <w:t>Enfrentamiento entre actores por el encuentro contradictorio de derechos formales e informales en la CHPH  (García, TC:</w:t>
            </w:r>
            <w:r>
              <w:rPr>
                <w:spacing w:val="-7"/>
                <w:sz w:val="22"/>
              </w:rPr>
              <w:t> </w:t>
            </w:r>
            <w:r>
              <w:rPr>
                <w:sz w:val="22"/>
              </w:rPr>
              <w:t>2013-2015).</w:t>
            </w:r>
          </w:p>
        </w:tc>
        <w:tc>
          <w:tcPr>
            <w:tcW w:w="2126" w:type="dxa"/>
          </w:tcPr>
          <w:p>
            <w:pPr>
              <w:pStyle w:val="TableParagraph"/>
              <w:spacing w:before="6"/>
              <w:ind w:left="0"/>
              <w:rPr>
                <w:rFonts w:ascii="Times New Roman"/>
                <w:sz w:val="32"/>
              </w:rPr>
            </w:pPr>
          </w:p>
          <w:p>
            <w:pPr>
              <w:pStyle w:val="TableParagraph"/>
              <w:ind w:left="119" w:right="120"/>
              <w:jc w:val="center"/>
              <w:rPr>
                <w:b/>
                <w:sz w:val="22"/>
              </w:rPr>
            </w:pPr>
            <w:r>
              <w:rPr>
                <w:b/>
                <w:sz w:val="22"/>
              </w:rPr>
              <w:t># de conflictos sociales entre actores de la CHPH</w:t>
            </w:r>
          </w:p>
        </w:tc>
        <w:tc>
          <w:tcPr>
            <w:tcW w:w="2835" w:type="dxa"/>
          </w:tcPr>
          <w:p>
            <w:pPr>
              <w:pStyle w:val="TableParagraph"/>
              <w:tabs>
                <w:tab w:pos="2476" w:val="left" w:leader="none"/>
              </w:tabs>
              <w:ind w:right="99"/>
              <w:jc w:val="both"/>
              <w:rPr>
                <w:sz w:val="22"/>
              </w:rPr>
            </w:pPr>
            <w:r>
              <w:rPr>
                <w:sz w:val="22"/>
              </w:rPr>
              <w:t>Cantidad de desacuerdos entre distintos actores e imposibilidad</w:t>
              <w:tab/>
              <w:t>de conciliación.</w:t>
            </w:r>
          </w:p>
          <w:p>
            <w:pPr>
              <w:pStyle w:val="TableParagraph"/>
              <w:spacing w:before="1"/>
              <w:ind w:right="99"/>
              <w:jc w:val="both"/>
              <w:rPr>
                <w:sz w:val="22"/>
              </w:rPr>
            </w:pPr>
            <w:r>
              <w:rPr>
                <w:sz w:val="22"/>
              </w:rPr>
              <w:t>(Ejemplo: conflictos entre pescadores y conflictos entre ejidatarios).</w:t>
            </w:r>
          </w:p>
        </w:tc>
      </w:tr>
      <w:tr>
        <w:trPr>
          <w:trHeight w:val="1529" w:hRule="exact"/>
        </w:trPr>
        <w:tc>
          <w:tcPr>
            <w:tcW w:w="852" w:type="dxa"/>
            <w:shd w:val="clear" w:color="auto" w:fill="F9BE8F"/>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254"/>
              <w:rPr>
                <w:b/>
                <w:sz w:val="22"/>
              </w:rPr>
            </w:pPr>
            <w:r>
              <w:rPr>
                <w:b/>
                <w:sz w:val="22"/>
              </w:rPr>
              <w:t>I2S</w:t>
            </w:r>
          </w:p>
        </w:tc>
        <w:tc>
          <w:tcPr>
            <w:tcW w:w="730" w:type="dxa"/>
            <w:shd w:val="clear" w:color="auto" w:fill="F9BE8F"/>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ind w:right="133"/>
              <w:rPr>
                <w:sz w:val="22"/>
              </w:rPr>
            </w:pPr>
            <w:r>
              <w:rPr>
                <w:sz w:val="22"/>
              </w:rPr>
              <w:t>Dominación entre actores</w:t>
            </w:r>
          </w:p>
        </w:tc>
        <w:tc>
          <w:tcPr>
            <w:tcW w:w="3262" w:type="dxa"/>
          </w:tcPr>
          <w:p>
            <w:pPr>
              <w:pStyle w:val="TableParagraph"/>
              <w:spacing w:before="125"/>
              <w:ind w:right="101"/>
              <w:jc w:val="both"/>
              <w:rPr>
                <w:sz w:val="22"/>
              </w:rPr>
            </w:pPr>
            <w:r>
              <w:rPr>
                <w:sz w:val="22"/>
              </w:rPr>
              <w:t>Es la imposición de la voluntad de un grupo de actores sobre otro, sin importar su afectación social (García, TC: 2013- 2015).</w:t>
            </w:r>
          </w:p>
        </w:tc>
        <w:tc>
          <w:tcPr>
            <w:tcW w:w="2126" w:type="dxa"/>
          </w:tcPr>
          <w:p>
            <w:pPr>
              <w:pStyle w:val="TableParagraph"/>
              <w:spacing w:before="6"/>
              <w:ind w:left="0"/>
              <w:rPr>
                <w:rFonts w:ascii="Times New Roman"/>
                <w:sz w:val="32"/>
              </w:rPr>
            </w:pPr>
          </w:p>
          <w:p>
            <w:pPr>
              <w:pStyle w:val="TableParagraph"/>
              <w:ind w:left="116" w:right="120"/>
              <w:jc w:val="center"/>
              <w:rPr>
                <w:b/>
                <w:sz w:val="22"/>
              </w:rPr>
            </w:pPr>
            <w:r>
              <w:rPr>
                <w:b/>
                <w:sz w:val="22"/>
              </w:rPr>
              <w:t># de actores dominantes en la CHPH</w:t>
            </w:r>
          </w:p>
        </w:tc>
        <w:tc>
          <w:tcPr>
            <w:tcW w:w="2835" w:type="dxa"/>
          </w:tcPr>
          <w:p>
            <w:pPr>
              <w:pStyle w:val="TableParagraph"/>
              <w:tabs>
                <w:tab w:pos="1067" w:val="left" w:leader="none"/>
                <w:tab w:pos="1305" w:val="left" w:leader="none"/>
                <w:tab w:pos="1441" w:val="left" w:leader="none"/>
                <w:tab w:pos="1611" w:val="left" w:leader="none"/>
                <w:tab w:pos="1892" w:val="left" w:leader="none"/>
                <w:tab w:pos="2430" w:val="left" w:leader="none"/>
              </w:tabs>
              <w:ind w:right="100"/>
              <w:rPr>
                <w:sz w:val="22"/>
              </w:rPr>
            </w:pPr>
            <w:r>
              <w:rPr>
                <w:sz w:val="22"/>
              </w:rPr>
              <w:t>Cantidad de actores que imponen</w:t>
              <w:tab/>
              <w:tab/>
              <w:t>su</w:t>
              <w:tab/>
              <w:tab/>
            </w:r>
            <w:r>
              <w:rPr>
                <w:spacing w:val="-1"/>
                <w:sz w:val="22"/>
              </w:rPr>
              <w:t>voluntad </w:t>
            </w:r>
            <w:r>
              <w:rPr>
                <w:sz w:val="22"/>
              </w:rPr>
              <w:t>sobre otros actores. (Ejemplo:</w:t>
              <w:tab/>
              <w:tab/>
              <w:tab/>
              <w:tab/>
            </w:r>
            <w:r>
              <w:rPr>
                <w:spacing w:val="-1"/>
                <w:sz w:val="22"/>
              </w:rPr>
              <w:t>industriales </w:t>
            </w:r>
            <w:r>
              <w:rPr>
                <w:sz w:val="22"/>
              </w:rPr>
              <w:t>lácteos</w:t>
              <w:tab/>
              <w:t>y</w:t>
              <w:tab/>
              <w:tab/>
              <w:t>actores</w:t>
              <w:tab/>
            </w:r>
            <w:r>
              <w:rPr>
                <w:spacing w:val="-1"/>
                <w:sz w:val="22"/>
              </w:rPr>
              <w:t>del </w:t>
            </w:r>
            <w:r>
              <w:rPr>
                <w:sz w:val="22"/>
              </w:rPr>
              <w:t>gobierno</w:t>
            </w:r>
            <w:r>
              <w:rPr>
                <w:spacing w:val="-4"/>
                <w:sz w:val="22"/>
              </w:rPr>
              <w:t> </w:t>
            </w:r>
            <w:r>
              <w:rPr>
                <w:sz w:val="22"/>
              </w:rPr>
              <w:t>federal)</w:t>
            </w:r>
          </w:p>
        </w:tc>
      </w:tr>
      <w:tr>
        <w:trPr>
          <w:trHeight w:val="2288"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254"/>
              <w:rPr>
                <w:b/>
                <w:sz w:val="22"/>
              </w:rPr>
            </w:pPr>
            <w:r>
              <w:rPr>
                <w:b/>
                <w:sz w:val="22"/>
              </w:rPr>
              <w:t>I3S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spacing w:before="1"/>
              <w:rPr>
                <w:sz w:val="22"/>
              </w:rPr>
            </w:pPr>
            <w:r>
              <w:rPr>
                <w:sz w:val="22"/>
              </w:rPr>
              <w:t>Vínculos sociales</w:t>
            </w:r>
          </w:p>
        </w:tc>
        <w:tc>
          <w:tcPr>
            <w:tcW w:w="3262" w:type="dxa"/>
          </w:tcPr>
          <w:p>
            <w:pPr>
              <w:pStyle w:val="TableParagraph"/>
              <w:ind w:right="100"/>
              <w:jc w:val="both"/>
              <w:rPr>
                <w:sz w:val="22"/>
              </w:rPr>
            </w:pPr>
            <w:r>
              <w:rPr>
                <w:sz w:val="22"/>
              </w:rPr>
              <w:t>Los actores de la CHPH están relacionados mediante sus usos y costumbres, lo cual ha permitido que exista una convivencia social pacifica, a pesar del descontento social por el reparto del agua de la presa Huapango (García, TC: 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31" w:right="134" w:hanging="1"/>
              <w:jc w:val="center"/>
              <w:rPr>
                <w:b/>
                <w:sz w:val="22"/>
              </w:rPr>
            </w:pPr>
            <w:r>
              <w:rPr>
                <w:b/>
                <w:sz w:val="22"/>
              </w:rPr>
              <w:t># de vínculos sociales entre los actores de los municipios que integran la CHPH</w:t>
            </w:r>
          </w:p>
        </w:tc>
        <w:tc>
          <w:tcPr>
            <w:tcW w:w="2835" w:type="dxa"/>
          </w:tcPr>
          <w:p>
            <w:pPr>
              <w:pStyle w:val="TableParagraph"/>
              <w:ind w:right="99"/>
              <w:jc w:val="both"/>
              <w:rPr>
                <w:sz w:val="22"/>
              </w:rPr>
            </w:pPr>
            <w:r>
              <w:rPr>
                <w:sz w:val="22"/>
              </w:rPr>
              <w:t>Son las prácticas sociales recurrentes que tienen los actores de la CHPH, y que están basadas en los usos y costumbres históricas de la región y que permiten una convivencia social pacífica.</w:t>
            </w:r>
          </w:p>
          <w:p>
            <w:pPr>
              <w:pStyle w:val="TableParagraph"/>
              <w:spacing w:line="252" w:lineRule="exact"/>
              <w:jc w:val="both"/>
              <w:rPr>
                <w:sz w:val="22"/>
              </w:rPr>
            </w:pPr>
            <w:r>
              <w:rPr>
                <w:sz w:val="22"/>
              </w:rPr>
              <w:t>(Ejemplo:         parentesco</w:t>
            </w:r>
          </w:p>
        </w:tc>
      </w:tr>
    </w:tbl>
    <w:p>
      <w:pPr>
        <w:spacing w:after="0" w:line="252" w:lineRule="exact"/>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516" w:hRule="exact"/>
        </w:trPr>
        <w:tc>
          <w:tcPr>
            <w:tcW w:w="852" w:type="dxa"/>
            <w:shd w:val="clear" w:color="auto" w:fill="F9BE8F"/>
          </w:tcPr>
          <w:p>
            <w:pPr/>
          </w:p>
        </w:tc>
        <w:tc>
          <w:tcPr>
            <w:tcW w:w="730" w:type="dxa"/>
            <w:shd w:val="clear" w:color="auto" w:fill="F9BE8F"/>
          </w:tcPr>
          <w:p>
            <w:pPr/>
          </w:p>
        </w:tc>
        <w:tc>
          <w:tcPr>
            <w:tcW w:w="1990" w:type="dxa"/>
          </w:tcPr>
          <w:p>
            <w:pPr/>
          </w:p>
        </w:tc>
        <w:tc>
          <w:tcPr>
            <w:tcW w:w="3262" w:type="dxa"/>
          </w:tcPr>
          <w:p>
            <w:pPr/>
          </w:p>
        </w:tc>
        <w:tc>
          <w:tcPr>
            <w:tcW w:w="2126" w:type="dxa"/>
          </w:tcPr>
          <w:p>
            <w:pPr/>
          </w:p>
        </w:tc>
        <w:tc>
          <w:tcPr>
            <w:tcW w:w="2835" w:type="dxa"/>
          </w:tcPr>
          <w:p>
            <w:pPr>
              <w:pStyle w:val="TableParagraph"/>
              <w:spacing w:line="252" w:lineRule="exact" w:before="2"/>
              <w:ind w:right="181"/>
              <w:rPr>
                <w:sz w:val="22"/>
              </w:rPr>
            </w:pPr>
            <w:r>
              <w:rPr>
                <w:sz w:val="22"/>
              </w:rPr>
              <w:t>ritual, fiestas patronales, mercados).</w:t>
            </w:r>
          </w:p>
        </w:tc>
      </w:tr>
      <w:tr>
        <w:trPr>
          <w:trHeight w:val="2033"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I4S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499"/>
              <w:rPr>
                <w:sz w:val="22"/>
              </w:rPr>
            </w:pPr>
            <w:r>
              <w:rPr>
                <w:sz w:val="22"/>
              </w:rPr>
              <w:t>Capacidad de organización</w:t>
            </w:r>
          </w:p>
        </w:tc>
        <w:tc>
          <w:tcPr>
            <w:tcW w:w="3262" w:type="dxa"/>
          </w:tcPr>
          <w:p>
            <w:pPr>
              <w:pStyle w:val="TableParagraph"/>
              <w:spacing w:before="8"/>
              <w:ind w:left="0"/>
              <w:rPr>
                <w:rFonts w:ascii="Times New Roman"/>
                <w:sz w:val="21"/>
              </w:rPr>
            </w:pPr>
          </w:p>
          <w:p>
            <w:pPr>
              <w:pStyle w:val="TableParagraph"/>
              <w:ind w:right="100"/>
              <w:jc w:val="both"/>
              <w:rPr>
                <w:sz w:val="22"/>
              </w:rPr>
            </w:pPr>
            <w:r>
              <w:rPr>
                <w:sz w:val="22"/>
              </w:rPr>
              <w:t>La organización  social colectiva de los actores de la CHPH a través de la historia para resolver los problemas comunes (García, TC: 2013- 2015).</w:t>
            </w:r>
          </w:p>
        </w:tc>
        <w:tc>
          <w:tcPr>
            <w:tcW w:w="2126" w:type="dxa"/>
          </w:tcPr>
          <w:p>
            <w:pPr>
              <w:pStyle w:val="TableParagraph"/>
              <w:spacing w:before="6"/>
              <w:ind w:left="0"/>
              <w:rPr>
                <w:rFonts w:ascii="Times New Roman"/>
                <w:sz w:val="32"/>
              </w:rPr>
            </w:pPr>
          </w:p>
          <w:p>
            <w:pPr>
              <w:pStyle w:val="TableParagraph"/>
              <w:ind w:left="100" w:right="102"/>
              <w:jc w:val="center"/>
              <w:rPr>
                <w:b/>
                <w:sz w:val="22"/>
              </w:rPr>
            </w:pPr>
            <w:r>
              <w:rPr>
                <w:b/>
                <w:sz w:val="22"/>
              </w:rPr>
              <w:t># de     organizaciones ya establecidas de los actores de la CHPH</w:t>
            </w:r>
          </w:p>
        </w:tc>
        <w:tc>
          <w:tcPr>
            <w:tcW w:w="2835" w:type="dxa"/>
          </w:tcPr>
          <w:p>
            <w:pPr>
              <w:pStyle w:val="TableParagraph"/>
              <w:ind w:right="102"/>
              <w:jc w:val="both"/>
              <w:rPr>
                <w:sz w:val="22"/>
              </w:rPr>
            </w:pPr>
            <w:r>
              <w:rPr>
                <w:sz w:val="22"/>
              </w:rPr>
              <w:t>Cantidad de grupos ya establecidos que se han conformado a través de la historia.</w:t>
            </w:r>
          </w:p>
          <w:p>
            <w:pPr>
              <w:pStyle w:val="TableParagraph"/>
              <w:spacing w:before="1"/>
              <w:ind w:right="99"/>
              <w:jc w:val="both"/>
              <w:rPr>
                <w:sz w:val="22"/>
              </w:rPr>
            </w:pPr>
            <w:r>
              <w:rPr>
                <w:sz w:val="22"/>
              </w:rPr>
              <w:t>(Ejemplo: cooperativas de pescadores, ganaderos, ejidatarios, comerciantes de lácteos).</w:t>
            </w:r>
          </w:p>
        </w:tc>
      </w:tr>
      <w:tr>
        <w:trPr>
          <w:trHeight w:val="2035"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I5S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ind w:right="329"/>
              <w:rPr>
                <w:sz w:val="22"/>
              </w:rPr>
            </w:pPr>
            <w:r>
              <w:rPr>
                <w:sz w:val="22"/>
              </w:rPr>
              <w:t>Organizaciones establecidas</w:t>
            </w:r>
          </w:p>
        </w:tc>
        <w:tc>
          <w:tcPr>
            <w:tcW w:w="3262" w:type="dxa"/>
          </w:tcPr>
          <w:p>
            <w:pPr>
              <w:pStyle w:val="TableParagraph"/>
              <w:tabs>
                <w:tab w:pos="2915" w:val="left" w:leader="none"/>
              </w:tabs>
              <w:spacing w:before="125"/>
              <w:ind w:right="100"/>
              <w:jc w:val="both"/>
              <w:rPr>
                <w:sz w:val="22"/>
              </w:rPr>
            </w:pPr>
            <w:r>
              <w:rPr>
                <w:sz w:val="22"/>
              </w:rPr>
              <w:t>Organizaciones</w:t>
              <w:tab/>
              <w:t>ya establecidas formales e informales que tienen la capacidad de llegar  a acuerdos para resolver sus problemas comunes (García, TC:</w:t>
            </w:r>
            <w:r>
              <w:rPr>
                <w:spacing w:val="-4"/>
                <w:sz w:val="22"/>
              </w:rPr>
              <w:t> </w:t>
            </w:r>
            <w:r>
              <w:rPr>
                <w:sz w:val="22"/>
              </w:rPr>
              <w:t>2013-2015).</w:t>
            </w:r>
          </w:p>
        </w:tc>
        <w:tc>
          <w:tcPr>
            <w:tcW w:w="2126" w:type="dxa"/>
          </w:tcPr>
          <w:p>
            <w:pPr>
              <w:pStyle w:val="TableParagraph"/>
              <w:spacing w:before="8"/>
              <w:ind w:left="0"/>
              <w:rPr>
                <w:rFonts w:ascii="Times New Roman"/>
                <w:sz w:val="21"/>
              </w:rPr>
            </w:pPr>
          </w:p>
          <w:p>
            <w:pPr>
              <w:pStyle w:val="TableParagraph"/>
              <w:ind w:left="119" w:right="118"/>
              <w:jc w:val="center"/>
              <w:rPr>
                <w:b/>
                <w:sz w:val="22"/>
              </w:rPr>
            </w:pPr>
            <w:r>
              <w:rPr>
                <w:b/>
                <w:sz w:val="22"/>
              </w:rPr>
              <w:t># organizaciones formales e informales ya establecidas de los actores de la CHPH</w:t>
            </w:r>
          </w:p>
        </w:tc>
        <w:tc>
          <w:tcPr>
            <w:tcW w:w="2835" w:type="dxa"/>
          </w:tcPr>
          <w:p>
            <w:pPr>
              <w:pStyle w:val="TableParagraph"/>
              <w:tabs>
                <w:tab w:pos="1242" w:val="left" w:leader="none"/>
                <w:tab w:pos="1635" w:val="left" w:leader="none"/>
                <w:tab w:pos="1763" w:val="left" w:leader="none"/>
                <w:tab w:pos="2382" w:val="left" w:leader="none"/>
                <w:tab w:pos="2442" w:val="left" w:leader="none"/>
              </w:tabs>
              <w:ind w:right="99"/>
              <w:rPr>
                <w:sz w:val="22"/>
              </w:rPr>
            </w:pPr>
            <w:r>
              <w:rPr>
                <w:sz w:val="22"/>
              </w:rPr>
              <w:t>Las</w:t>
              <w:tab/>
            </w:r>
            <w:r>
              <w:rPr>
                <w:spacing w:val="-1"/>
                <w:sz w:val="22"/>
              </w:rPr>
              <w:t>organizaciones </w:t>
            </w:r>
            <w:r>
              <w:rPr>
                <w:sz w:val="22"/>
              </w:rPr>
              <w:t>formales e informales ya establecidas</w:t>
              <w:tab/>
              <w:tab/>
              <w:t>de</w:t>
              <w:tab/>
              <w:tab/>
              <w:t>los actores de la CHPH con conocimiento</w:t>
              <w:tab/>
              <w:tab/>
              <w:t>de</w:t>
              <w:tab/>
            </w:r>
            <w:r>
              <w:rPr>
                <w:spacing w:val="-1"/>
                <w:sz w:val="22"/>
              </w:rPr>
              <w:t>sus </w:t>
            </w:r>
            <w:r>
              <w:rPr>
                <w:sz w:val="22"/>
              </w:rPr>
              <w:t>problemas conjuntos. (Ejemplo:</w:t>
              <w:tab/>
              <w:tab/>
            </w:r>
            <w:r>
              <w:rPr>
                <w:spacing w:val="-1"/>
                <w:sz w:val="22"/>
              </w:rPr>
              <w:t>Ejidatarios, </w:t>
            </w:r>
            <w:r>
              <w:rPr>
                <w:sz w:val="22"/>
              </w:rPr>
              <w:t>pescadores,</w:t>
            </w:r>
            <w:r>
              <w:rPr>
                <w:spacing w:val="-4"/>
                <w:sz w:val="22"/>
              </w:rPr>
              <w:t> </w:t>
            </w:r>
            <w:r>
              <w:rPr>
                <w:sz w:val="22"/>
              </w:rPr>
              <w:t>ganaderos).</w:t>
            </w:r>
          </w:p>
        </w:tc>
      </w:tr>
      <w:tr>
        <w:trPr>
          <w:trHeight w:val="3047"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I6S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rPr>
                <w:sz w:val="22"/>
              </w:rPr>
            </w:pPr>
            <w:r>
              <w:rPr>
                <w:sz w:val="22"/>
              </w:rPr>
              <w:t>Articulación social</w:t>
            </w:r>
          </w:p>
        </w:tc>
        <w:tc>
          <w:tcPr>
            <w:tcW w:w="3262" w:type="dxa"/>
          </w:tcPr>
          <w:p>
            <w:pPr>
              <w:pStyle w:val="TableParagraph"/>
              <w:spacing w:before="8"/>
              <w:ind w:left="0"/>
              <w:rPr>
                <w:rFonts w:ascii="Times New Roman"/>
                <w:sz w:val="21"/>
              </w:rPr>
            </w:pPr>
          </w:p>
          <w:p>
            <w:pPr>
              <w:pStyle w:val="TableParagraph"/>
              <w:ind w:right="99"/>
              <w:jc w:val="both"/>
              <w:rPr>
                <w:sz w:val="22"/>
              </w:rPr>
            </w:pPr>
            <w:r>
              <w:rPr>
                <w:sz w:val="22"/>
              </w:rPr>
              <w:t>A pesar de que existen lazos sociales muy arraigados entre los actores de la CHPH basados en los usos y costumbres, aun no existe una formalización en su organización social para resolver sus problemas intermunicipales (García, TC: 2013-2015).</w:t>
            </w:r>
          </w:p>
        </w:tc>
        <w:tc>
          <w:tcPr>
            <w:tcW w:w="2126" w:type="dxa"/>
          </w:tcPr>
          <w:p>
            <w:pPr>
              <w:pStyle w:val="TableParagraph"/>
              <w:ind w:left="0"/>
              <w:rPr>
                <w:rFonts w:ascii="Times New Roman"/>
                <w:sz w:val="22"/>
              </w:rPr>
            </w:pPr>
          </w:p>
          <w:p>
            <w:pPr>
              <w:pStyle w:val="TableParagraph"/>
              <w:spacing w:before="5"/>
              <w:ind w:left="0"/>
              <w:rPr>
                <w:rFonts w:ascii="Times New Roman"/>
                <w:sz w:val="32"/>
              </w:rPr>
            </w:pPr>
          </w:p>
          <w:p>
            <w:pPr>
              <w:pStyle w:val="TableParagraph"/>
              <w:spacing w:before="1"/>
              <w:ind w:left="179" w:right="182" w:hanging="1"/>
              <w:jc w:val="center"/>
              <w:rPr>
                <w:b/>
                <w:sz w:val="22"/>
              </w:rPr>
            </w:pPr>
            <w:r>
              <w:rPr>
                <w:b/>
                <w:sz w:val="22"/>
              </w:rPr>
              <w:t># de    organizaciones formales de los actores de la CHPH para resolver sus problemas intermunicipales</w:t>
            </w:r>
          </w:p>
        </w:tc>
        <w:tc>
          <w:tcPr>
            <w:tcW w:w="2835" w:type="dxa"/>
          </w:tcPr>
          <w:p>
            <w:pPr>
              <w:pStyle w:val="TableParagraph"/>
              <w:tabs>
                <w:tab w:pos="2476" w:val="left" w:leader="none"/>
              </w:tabs>
              <w:spacing w:line="251" w:lineRule="exact"/>
              <w:rPr>
                <w:sz w:val="22"/>
              </w:rPr>
            </w:pPr>
            <w:r>
              <w:rPr>
                <w:sz w:val="22"/>
              </w:rPr>
              <w:t>Cantidad</w:t>
              <w:tab/>
              <w:t>de</w:t>
            </w:r>
          </w:p>
          <w:p>
            <w:pPr>
              <w:pStyle w:val="TableParagraph"/>
              <w:tabs>
                <w:tab w:pos="1072" w:val="left" w:leader="none"/>
                <w:tab w:pos="1876" w:val="left" w:leader="none"/>
                <w:tab w:pos="2000" w:val="left" w:leader="none"/>
                <w:tab w:pos="2380" w:val="left" w:leader="none"/>
                <w:tab w:pos="2550" w:val="left" w:leader="none"/>
              </w:tabs>
              <w:ind w:right="99"/>
              <w:rPr>
                <w:sz w:val="22"/>
              </w:rPr>
            </w:pPr>
            <w:r>
              <w:rPr>
                <w:sz w:val="22"/>
              </w:rPr>
              <w:t>organizaciones</w:t>
              <w:tab/>
              <w:t>formales de los actores de la CHPH para</w:t>
              <w:tab/>
              <w:t>resolver</w:t>
              <w:tab/>
              <w:tab/>
              <w:tab/>
              <w:t>sus problemas intermunicipales</w:t>
              <w:tab/>
              <w:tab/>
              <w:t>de</w:t>
              <w:tab/>
              <w:tab/>
              <w:t>la Cuenca.</w:t>
            </w:r>
          </w:p>
          <w:p>
            <w:pPr>
              <w:pStyle w:val="TableParagraph"/>
              <w:spacing w:before="1"/>
              <w:ind w:right="99"/>
              <w:jc w:val="both"/>
              <w:rPr>
                <w:sz w:val="22"/>
              </w:rPr>
            </w:pPr>
            <w:r>
              <w:rPr>
                <w:sz w:val="22"/>
              </w:rPr>
              <w:t>(Ejemplo: aún no existen organizaciones formales intermunicipales para atender la problemática común de la CHPH).</w:t>
            </w:r>
          </w:p>
        </w:tc>
      </w:tr>
      <w:tr>
        <w:trPr>
          <w:trHeight w:val="1022" w:hRule="exact"/>
        </w:trPr>
        <w:tc>
          <w:tcPr>
            <w:tcW w:w="852" w:type="dxa"/>
            <w:shd w:val="clear" w:color="auto" w:fill="F9BE8F"/>
          </w:tcPr>
          <w:p>
            <w:pPr/>
          </w:p>
        </w:tc>
        <w:tc>
          <w:tcPr>
            <w:tcW w:w="730" w:type="dxa"/>
            <w:shd w:val="clear" w:color="auto" w:fill="F9BE8F"/>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267"/>
              <w:rPr>
                <w:sz w:val="22"/>
              </w:rPr>
            </w:pPr>
            <w:r>
              <w:rPr>
                <w:sz w:val="22"/>
              </w:rPr>
              <w:t>Trabajo limitado</w:t>
            </w:r>
          </w:p>
        </w:tc>
        <w:tc>
          <w:tcPr>
            <w:tcW w:w="3262" w:type="dxa"/>
          </w:tcPr>
          <w:p>
            <w:pPr>
              <w:pStyle w:val="TableParagraph"/>
              <w:ind w:right="100"/>
              <w:jc w:val="both"/>
              <w:rPr>
                <w:sz w:val="22"/>
              </w:rPr>
            </w:pPr>
            <w:r>
              <w:rPr>
                <w:sz w:val="22"/>
              </w:rPr>
              <w:t>Escasas relaciones informales de los actores de la CHPH  para resolver problemas comunes  (García,  TC:  </w:t>
            </w:r>
            <w:r>
              <w:rPr>
                <w:spacing w:val="9"/>
                <w:sz w:val="22"/>
              </w:rPr>
              <w:t> </w:t>
            </w:r>
            <w:r>
              <w:rPr>
                <w:sz w:val="22"/>
              </w:rPr>
              <w:t>2013-</w:t>
            </w:r>
          </w:p>
        </w:tc>
        <w:tc>
          <w:tcPr>
            <w:tcW w:w="2126" w:type="dxa"/>
          </w:tcPr>
          <w:p>
            <w:pPr>
              <w:pStyle w:val="TableParagraph"/>
              <w:ind w:left="151" w:right="151" w:hanging="5"/>
              <w:jc w:val="center"/>
              <w:rPr>
                <w:b/>
                <w:sz w:val="22"/>
              </w:rPr>
            </w:pPr>
            <w:r>
              <w:rPr>
                <w:b/>
                <w:sz w:val="22"/>
              </w:rPr>
              <w:t># de relaciones informales de los actores de la CHPH</w:t>
            </w:r>
          </w:p>
        </w:tc>
        <w:tc>
          <w:tcPr>
            <w:tcW w:w="2835" w:type="dxa"/>
          </w:tcPr>
          <w:p>
            <w:pPr>
              <w:pStyle w:val="TableParagraph"/>
              <w:ind w:right="99"/>
              <w:jc w:val="both"/>
              <w:rPr>
                <w:sz w:val="22"/>
              </w:rPr>
            </w:pPr>
            <w:r>
              <w:rPr>
                <w:sz w:val="22"/>
              </w:rPr>
              <w:t>Son los acuerdos informales establecidos entre los actores de la CHPH   para   resolver  su</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1022" w:hRule="exact"/>
        </w:trPr>
        <w:tc>
          <w:tcPr>
            <w:tcW w:w="852" w:type="dxa"/>
            <w:shd w:val="clear" w:color="auto" w:fill="F9BE8F"/>
          </w:tcPr>
          <w:p>
            <w:pPr>
              <w:pStyle w:val="TableParagraph"/>
              <w:spacing w:line="248" w:lineRule="exact"/>
              <w:ind w:left="123" w:right="124"/>
              <w:jc w:val="center"/>
              <w:rPr>
                <w:b/>
                <w:sz w:val="22"/>
              </w:rPr>
            </w:pPr>
            <w:r>
              <w:rPr>
                <w:b/>
                <w:sz w:val="22"/>
              </w:rPr>
              <w:t>I7S</w:t>
            </w:r>
          </w:p>
        </w:tc>
        <w:tc>
          <w:tcPr>
            <w:tcW w:w="730" w:type="dxa"/>
            <w:shd w:val="clear" w:color="auto" w:fill="F9BE8F"/>
          </w:tcPr>
          <w:p>
            <w:pPr/>
          </w:p>
        </w:tc>
        <w:tc>
          <w:tcPr>
            <w:tcW w:w="1990" w:type="dxa"/>
          </w:tcPr>
          <w:p>
            <w:pPr/>
          </w:p>
        </w:tc>
        <w:tc>
          <w:tcPr>
            <w:tcW w:w="3262" w:type="dxa"/>
          </w:tcPr>
          <w:p>
            <w:pPr>
              <w:pStyle w:val="TableParagraph"/>
              <w:spacing w:line="251" w:lineRule="exact"/>
              <w:ind w:right="103"/>
              <w:rPr>
                <w:sz w:val="22"/>
              </w:rPr>
            </w:pPr>
            <w:r>
              <w:rPr>
                <w:sz w:val="22"/>
              </w:rPr>
              <w:t>2015).</w:t>
            </w:r>
          </w:p>
        </w:tc>
        <w:tc>
          <w:tcPr>
            <w:tcW w:w="2126" w:type="dxa"/>
          </w:tcPr>
          <w:p>
            <w:pPr/>
          </w:p>
        </w:tc>
        <w:tc>
          <w:tcPr>
            <w:tcW w:w="2835" w:type="dxa"/>
          </w:tcPr>
          <w:p>
            <w:pPr>
              <w:pStyle w:val="TableParagraph"/>
              <w:tabs>
                <w:tab w:pos="1928" w:val="left" w:leader="none"/>
              </w:tabs>
              <w:ind w:right="100"/>
              <w:rPr>
                <w:sz w:val="22"/>
              </w:rPr>
            </w:pPr>
            <w:r>
              <w:rPr>
                <w:sz w:val="22"/>
              </w:rPr>
              <w:t>problemática común. (Ejemplo:</w:t>
              <w:tab/>
            </w:r>
            <w:r>
              <w:rPr>
                <w:spacing w:val="-1"/>
                <w:sz w:val="22"/>
              </w:rPr>
              <w:t>acuerdo </w:t>
            </w:r>
            <w:r>
              <w:rPr>
                <w:sz w:val="22"/>
              </w:rPr>
              <w:t>informal para la siembra  de peces).</w:t>
            </w:r>
          </w:p>
        </w:tc>
      </w:tr>
      <w:tr>
        <w:trPr>
          <w:trHeight w:val="4311"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I8S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right="206"/>
              <w:rPr>
                <w:sz w:val="22"/>
              </w:rPr>
            </w:pPr>
            <w:r>
              <w:rPr>
                <w:sz w:val="22"/>
              </w:rPr>
              <w:t>Conocimiento de la problemática</w:t>
            </w:r>
          </w:p>
        </w:tc>
        <w:tc>
          <w:tcPr>
            <w:tcW w:w="3262"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101"/>
              <w:jc w:val="both"/>
              <w:rPr>
                <w:sz w:val="22"/>
              </w:rPr>
            </w:pPr>
            <w:r>
              <w:rPr>
                <w:sz w:val="22"/>
              </w:rPr>
              <w:t>Los actores históricos de la CHPH identifican sus problemas sociales que han evolucionado a través de la historia; mientras que los actores gubernamentales desconocen la problemática social de la cuenca (García, TC: 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ind w:left="116" w:right="120"/>
              <w:jc w:val="center"/>
              <w:rPr>
                <w:b/>
                <w:sz w:val="22"/>
              </w:rPr>
            </w:pPr>
            <w:r>
              <w:rPr>
                <w:b/>
                <w:sz w:val="22"/>
              </w:rPr>
              <w:t># de problemas comunes identificados por los actores históricos de la CHPH</w:t>
            </w:r>
          </w:p>
        </w:tc>
        <w:tc>
          <w:tcPr>
            <w:tcW w:w="2835" w:type="dxa"/>
          </w:tcPr>
          <w:p>
            <w:pPr>
              <w:pStyle w:val="TableParagraph"/>
              <w:tabs>
                <w:tab w:pos="561" w:val="left" w:leader="none"/>
                <w:tab w:pos="710" w:val="left" w:leader="none"/>
                <w:tab w:pos="923" w:val="left" w:leader="none"/>
                <w:tab w:pos="1171" w:val="left" w:leader="none"/>
                <w:tab w:pos="1218" w:val="left" w:leader="none"/>
                <w:tab w:pos="1427" w:val="left" w:leader="none"/>
                <w:tab w:pos="1470" w:val="left" w:leader="none"/>
                <w:tab w:pos="1696" w:val="left" w:leader="none"/>
                <w:tab w:pos="1770" w:val="left" w:leader="none"/>
                <w:tab w:pos="1866" w:val="left" w:leader="none"/>
                <w:tab w:pos="1986" w:val="left" w:leader="none"/>
                <w:tab w:pos="2368" w:val="left" w:leader="none"/>
                <w:tab w:pos="2441" w:val="left" w:leader="none"/>
                <w:tab w:pos="2475" w:val="left" w:leader="none"/>
                <w:tab w:pos="2550" w:val="left" w:leader="none"/>
              </w:tabs>
              <w:ind w:right="99"/>
              <w:rPr>
                <w:sz w:val="22"/>
              </w:rPr>
            </w:pPr>
            <w:r>
              <w:rPr>
                <w:sz w:val="22"/>
              </w:rPr>
              <w:t>Cantidad</w:t>
              <w:tab/>
              <w:tab/>
              <w:t>de</w:t>
              <w:tab/>
              <w:tab/>
            </w:r>
            <w:r>
              <w:rPr>
                <w:spacing w:val="-1"/>
                <w:sz w:val="22"/>
              </w:rPr>
              <w:t>problemas </w:t>
            </w:r>
            <w:r>
              <w:rPr>
                <w:sz w:val="22"/>
              </w:rPr>
              <w:t>comunes identificados por los</w:t>
            </w:r>
            <w:r>
              <w:rPr>
                <w:spacing w:val="26"/>
                <w:sz w:val="22"/>
              </w:rPr>
              <w:t> </w:t>
            </w:r>
            <w:r>
              <w:rPr>
                <w:sz w:val="22"/>
              </w:rPr>
              <w:t>actores</w:t>
            </w:r>
            <w:r>
              <w:rPr>
                <w:spacing w:val="26"/>
                <w:sz w:val="22"/>
              </w:rPr>
              <w:t> </w:t>
            </w:r>
            <w:r>
              <w:rPr>
                <w:sz w:val="22"/>
              </w:rPr>
              <w:t>históricos</w:t>
              <w:tab/>
              <w:tab/>
              <w:tab/>
              <w:t>de la</w:t>
              <w:tab/>
              <w:t>CHPH</w:t>
              <w:tab/>
              <w:tab/>
              <w:tab/>
              <w:t>porque</w:t>
              <w:tab/>
              <w:tab/>
              <w:t>los padecen</w:t>
              <w:tab/>
            </w:r>
            <w:r>
              <w:rPr>
                <w:spacing w:val="-1"/>
                <w:sz w:val="22"/>
              </w:rPr>
              <w:t>cotidianamente; </w:t>
            </w:r>
            <w:r>
              <w:rPr>
                <w:sz w:val="22"/>
              </w:rPr>
              <w:t>mientras que los actores gubernamentales carecen de</w:t>
              <w:tab/>
              <w:tab/>
              <w:t>ese</w:t>
              <w:tab/>
              <w:tab/>
              <w:tab/>
            </w:r>
            <w:r>
              <w:rPr>
                <w:spacing w:val="-1"/>
                <w:sz w:val="22"/>
              </w:rPr>
              <w:t>conocimiento </w:t>
            </w:r>
            <w:r>
              <w:rPr>
                <w:sz w:val="22"/>
              </w:rPr>
              <w:t>social</w:t>
              <w:tab/>
              <w:tab/>
              <w:t>porque</w:t>
              <w:tab/>
              <w:tab/>
              <w:tab/>
              <w:t>no</w:t>
              <w:tab/>
              <w:t>son oriundos de la región y porque sus periodos de gobierno se los impide. (Ejemplos:</w:t>
              <w:tab/>
              <w:tab/>
              <w:tab/>
              <w:tab/>
              <w:tab/>
              <w:tab/>
            </w:r>
            <w:r>
              <w:rPr>
                <w:spacing w:val="-1"/>
                <w:sz w:val="22"/>
              </w:rPr>
              <w:t>desagües </w:t>
            </w:r>
            <w:r>
              <w:rPr>
                <w:sz w:val="22"/>
              </w:rPr>
              <w:t>domésticos, desechos de agroquímicos,</w:t>
              <w:tab/>
              <w:tab/>
            </w:r>
            <w:r>
              <w:rPr>
                <w:spacing w:val="-1"/>
                <w:sz w:val="22"/>
              </w:rPr>
              <w:t>desechos </w:t>
            </w:r>
            <w:r>
              <w:rPr>
                <w:sz w:val="22"/>
              </w:rPr>
              <w:t>automovilísticos</w:t>
              <w:tab/>
              <w:tab/>
              <w:tab/>
              <w:tab/>
              <w:t>de</w:t>
              <w:tab/>
              <w:tab/>
              <w:tab/>
              <w:tab/>
              <w:t>la autopista Arco</w:t>
            </w:r>
            <w:r>
              <w:rPr>
                <w:spacing w:val="-7"/>
                <w:sz w:val="22"/>
              </w:rPr>
              <w:t> </w:t>
            </w:r>
            <w:r>
              <w:rPr>
                <w:sz w:val="22"/>
              </w:rPr>
              <w:t>Norte).</w:t>
            </w:r>
          </w:p>
        </w:tc>
      </w:tr>
      <w:tr>
        <w:trPr>
          <w:trHeight w:val="1781"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I9S</w:t>
            </w:r>
          </w:p>
        </w:tc>
        <w:tc>
          <w:tcPr>
            <w:tcW w:w="730" w:type="dxa"/>
            <w:shd w:val="clear" w:color="auto" w:fill="F9BE8F"/>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right="561"/>
              <w:rPr>
                <w:sz w:val="22"/>
              </w:rPr>
            </w:pPr>
            <w:r>
              <w:rPr>
                <w:sz w:val="22"/>
              </w:rPr>
              <w:t>Organización limitada</w:t>
            </w:r>
          </w:p>
        </w:tc>
        <w:tc>
          <w:tcPr>
            <w:tcW w:w="3262" w:type="dxa"/>
          </w:tcPr>
          <w:p>
            <w:pPr>
              <w:pStyle w:val="TableParagraph"/>
              <w:spacing w:before="8"/>
              <w:ind w:left="0"/>
              <w:rPr>
                <w:rFonts w:ascii="Times New Roman"/>
                <w:sz w:val="21"/>
              </w:rPr>
            </w:pPr>
          </w:p>
          <w:p>
            <w:pPr>
              <w:pStyle w:val="TableParagraph"/>
              <w:ind w:right="100"/>
              <w:jc w:val="both"/>
              <w:rPr>
                <w:sz w:val="22"/>
              </w:rPr>
            </w:pPr>
            <w:r>
              <w:rPr>
                <w:sz w:val="22"/>
              </w:rPr>
              <w:t>Las estructuras sociales están limitadas por la concentración de poder federal para cuidar la CHPH (García, TC: 2013- 2015).</w:t>
            </w:r>
          </w:p>
        </w:tc>
        <w:tc>
          <w:tcPr>
            <w:tcW w:w="2126" w:type="dxa"/>
          </w:tcPr>
          <w:p>
            <w:pPr>
              <w:pStyle w:val="TableParagraph"/>
              <w:spacing w:before="6"/>
              <w:ind w:left="0"/>
              <w:rPr>
                <w:rFonts w:ascii="Times New Roman"/>
                <w:sz w:val="32"/>
              </w:rPr>
            </w:pPr>
          </w:p>
          <w:p>
            <w:pPr>
              <w:pStyle w:val="TableParagraph"/>
              <w:ind w:left="112" w:right="115" w:hanging="3"/>
              <w:jc w:val="center"/>
              <w:rPr>
                <w:b/>
                <w:sz w:val="22"/>
              </w:rPr>
            </w:pPr>
            <w:r>
              <w:rPr>
                <w:b/>
                <w:sz w:val="22"/>
              </w:rPr>
              <w:t># de estructuras sociales limitadas de los actores de la CHPH</w:t>
            </w:r>
          </w:p>
        </w:tc>
        <w:tc>
          <w:tcPr>
            <w:tcW w:w="2835" w:type="dxa"/>
          </w:tcPr>
          <w:p>
            <w:pPr>
              <w:pStyle w:val="TableParagraph"/>
              <w:ind w:right="101"/>
              <w:jc w:val="both"/>
              <w:rPr>
                <w:sz w:val="22"/>
              </w:rPr>
            </w:pPr>
            <w:r>
              <w:rPr>
                <w:sz w:val="22"/>
              </w:rPr>
              <w:t>Cantidad de grupos de actores sociales  que tienen una organización limitada para cuidar la CHPH.</w:t>
            </w:r>
          </w:p>
          <w:p>
            <w:pPr>
              <w:pStyle w:val="TableParagraph"/>
              <w:spacing w:before="1"/>
              <w:ind w:right="101"/>
              <w:jc w:val="both"/>
              <w:rPr>
                <w:sz w:val="22"/>
              </w:rPr>
            </w:pPr>
            <w:r>
              <w:rPr>
                <w:sz w:val="22"/>
              </w:rPr>
              <w:t>(Ejemplo: pescadores, ejidatarios).</w:t>
            </w:r>
          </w:p>
        </w:tc>
      </w:tr>
      <w:tr>
        <w:trPr>
          <w:trHeight w:val="1527"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spacing w:before="1"/>
              <w:ind w:left="124" w:right="124"/>
              <w:jc w:val="center"/>
              <w:rPr>
                <w:b/>
                <w:sz w:val="22"/>
              </w:rPr>
            </w:pPr>
            <w:r>
              <w:rPr>
                <w:b/>
                <w:sz w:val="22"/>
              </w:rPr>
              <w:t>I10S</w:t>
            </w:r>
          </w:p>
        </w:tc>
        <w:tc>
          <w:tcPr>
            <w:tcW w:w="730" w:type="dxa"/>
            <w:shd w:val="clear" w:color="auto" w:fill="F9BE8F"/>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spacing w:before="10"/>
              <w:ind w:left="0"/>
              <w:rPr>
                <w:rFonts w:ascii="Times New Roman"/>
                <w:sz w:val="21"/>
              </w:rPr>
            </w:pPr>
          </w:p>
          <w:p>
            <w:pPr>
              <w:pStyle w:val="TableParagraph"/>
              <w:ind w:right="671"/>
              <w:rPr>
                <w:sz w:val="22"/>
              </w:rPr>
            </w:pPr>
            <w:r>
              <w:rPr>
                <w:sz w:val="22"/>
              </w:rPr>
              <w:t>Desacuerdo social</w:t>
            </w:r>
          </w:p>
        </w:tc>
        <w:tc>
          <w:tcPr>
            <w:tcW w:w="3262" w:type="dxa"/>
          </w:tcPr>
          <w:p>
            <w:pPr>
              <w:pStyle w:val="TableParagraph"/>
              <w:ind w:right="102"/>
              <w:jc w:val="both"/>
              <w:rPr>
                <w:sz w:val="22"/>
              </w:rPr>
            </w:pPr>
            <w:r>
              <w:rPr>
                <w:sz w:val="22"/>
              </w:rPr>
              <w:t>Es el descontento social de los actores de la CHPH por la imposición de reglas formales que impiden una convivencia intermunicipal y favorecen a los municipios de aguas</w:t>
            </w:r>
            <w:r>
              <w:rPr>
                <w:spacing w:val="-8"/>
                <w:sz w:val="22"/>
              </w:rPr>
              <w:t> </w:t>
            </w:r>
            <w:r>
              <w:rPr>
                <w:sz w:val="22"/>
              </w:rPr>
              <w:t>abajo.</w:t>
            </w:r>
          </w:p>
        </w:tc>
        <w:tc>
          <w:tcPr>
            <w:tcW w:w="2126" w:type="dxa"/>
          </w:tcPr>
          <w:p>
            <w:pPr>
              <w:pStyle w:val="TableParagraph"/>
              <w:ind w:left="119" w:right="120"/>
              <w:jc w:val="center"/>
              <w:rPr>
                <w:b/>
                <w:sz w:val="22"/>
              </w:rPr>
            </w:pPr>
            <w:r>
              <w:rPr>
                <w:b/>
                <w:sz w:val="22"/>
              </w:rPr>
              <w:t># de grupos de actores que están en desacuerdo con la imposición de reglas formales en la</w:t>
            </w:r>
          </w:p>
        </w:tc>
        <w:tc>
          <w:tcPr>
            <w:tcW w:w="2835" w:type="dxa"/>
          </w:tcPr>
          <w:p>
            <w:pPr>
              <w:pStyle w:val="TableParagraph"/>
              <w:ind w:right="101"/>
              <w:jc w:val="both"/>
              <w:rPr>
                <w:sz w:val="22"/>
              </w:rPr>
            </w:pPr>
            <w:r>
              <w:rPr>
                <w:sz w:val="22"/>
              </w:rPr>
              <w:t>Cantidad de grupos de actores sociales que están en desacuerdo por la imposición de reglas que impiden la convivencia intermunicipal      y      que</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1022" w:hRule="exact"/>
        </w:trPr>
        <w:tc>
          <w:tcPr>
            <w:tcW w:w="852" w:type="dxa"/>
            <w:shd w:val="clear" w:color="auto" w:fill="F9BE8F"/>
          </w:tcPr>
          <w:p>
            <w:pPr/>
          </w:p>
        </w:tc>
        <w:tc>
          <w:tcPr>
            <w:tcW w:w="730" w:type="dxa"/>
            <w:shd w:val="clear" w:color="auto" w:fill="F9BE8F"/>
          </w:tcPr>
          <w:p>
            <w:pPr/>
          </w:p>
        </w:tc>
        <w:tc>
          <w:tcPr>
            <w:tcW w:w="1990" w:type="dxa"/>
          </w:tcPr>
          <w:p>
            <w:pPr/>
          </w:p>
        </w:tc>
        <w:tc>
          <w:tcPr>
            <w:tcW w:w="3262" w:type="dxa"/>
          </w:tcPr>
          <w:p>
            <w:pPr>
              <w:pStyle w:val="TableParagraph"/>
              <w:spacing w:line="251" w:lineRule="exact"/>
              <w:ind w:right="103"/>
              <w:rPr>
                <w:sz w:val="22"/>
              </w:rPr>
            </w:pPr>
            <w:r>
              <w:rPr>
                <w:sz w:val="22"/>
              </w:rPr>
              <w:t>(García, TC: 2013-2015).</w:t>
            </w:r>
          </w:p>
        </w:tc>
        <w:tc>
          <w:tcPr>
            <w:tcW w:w="2126" w:type="dxa"/>
          </w:tcPr>
          <w:p>
            <w:pPr>
              <w:pStyle w:val="TableParagraph"/>
              <w:spacing w:line="248" w:lineRule="exact"/>
              <w:ind w:left="115" w:right="120"/>
              <w:jc w:val="center"/>
              <w:rPr>
                <w:b/>
                <w:sz w:val="22"/>
              </w:rPr>
            </w:pPr>
            <w:r>
              <w:rPr>
                <w:b/>
                <w:sz w:val="22"/>
              </w:rPr>
              <w:t>CHPH</w:t>
            </w:r>
          </w:p>
        </w:tc>
        <w:tc>
          <w:tcPr>
            <w:tcW w:w="2835" w:type="dxa"/>
          </w:tcPr>
          <w:p>
            <w:pPr>
              <w:pStyle w:val="TableParagraph"/>
              <w:spacing w:line="252" w:lineRule="exact" w:before="2"/>
              <w:ind w:right="93"/>
              <w:rPr>
                <w:sz w:val="22"/>
              </w:rPr>
            </w:pPr>
            <w:r>
              <w:rPr>
                <w:sz w:val="22"/>
              </w:rPr>
              <w:t>favorecen a los municipios de aguas abajo.</w:t>
            </w:r>
          </w:p>
          <w:p>
            <w:pPr>
              <w:pStyle w:val="TableParagraph"/>
              <w:tabs>
                <w:tab w:pos="1525" w:val="left" w:leader="none"/>
              </w:tabs>
              <w:spacing w:line="252" w:lineRule="exact" w:before="2"/>
              <w:ind w:right="101"/>
              <w:rPr>
                <w:sz w:val="22"/>
              </w:rPr>
            </w:pPr>
            <w:r>
              <w:rPr>
                <w:sz w:val="22"/>
              </w:rPr>
              <w:t>(Ejemplo:</w:t>
              <w:tab/>
            </w:r>
            <w:r>
              <w:rPr>
                <w:spacing w:val="-1"/>
                <w:sz w:val="22"/>
              </w:rPr>
              <w:t>pescadores, </w:t>
            </w:r>
            <w:r>
              <w:rPr>
                <w:sz w:val="22"/>
              </w:rPr>
              <w:t>ejidatarios).</w:t>
            </w:r>
          </w:p>
        </w:tc>
      </w:tr>
      <w:tr>
        <w:trPr>
          <w:trHeight w:val="2540"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spacing w:before="1"/>
              <w:ind w:left="124" w:right="124"/>
              <w:jc w:val="center"/>
              <w:rPr>
                <w:b/>
                <w:sz w:val="22"/>
              </w:rPr>
            </w:pPr>
            <w:r>
              <w:rPr>
                <w:b/>
                <w:sz w:val="22"/>
              </w:rPr>
              <w:t>I11S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11" w:right="156"/>
              <w:jc w:val="center"/>
              <w:rPr>
                <w:sz w:val="22"/>
              </w:rPr>
            </w:pPr>
            <w:r>
              <w:rPr>
                <w:sz w:val="22"/>
              </w:rPr>
              <w:t>Reglas parciales</w:t>
            </w:r>
          </w:p>
        </w:tc>
        <w:tc>
          <w:tcPr>
            <w:tcW w:w="3262" w:type="dxa"/>
          </w:tcPr>
          <w:p>
            <w:pPr>
              <w:pStyle w:val="TableParagraph"/>
              <w:ind w:right="101"/>
              <w:jc w:val="both"/>
              <w:rPr>
                <w:sz w:val="22"/>
              </w:rPr>
            </w:pPr>
            <w:r>
              <w:rPr>
                <w:sz w:val="22"/>
              </w:rPr>
              <w:t>El cumplimiento de la responsabilidad social a través de reglas informales de algunos actores  históricos para el cuidado y sosteniblidad de los recursos de la CHPH lo cual ha generado desacuerdos entre actores, ya que unos se benefician en  perjuicio  de otros (García, TC:</w:t>
            </w:r>
            <w:r>
              <w:rPr>
                <w:spacing w:val="-8"/>
                <w:sz w:val="22"/>
              </w:rPr>
              <w:t> </w:t>
            </w:r>
            <w:r>
              <w:rPr>
                <w:sz w:val="22"/>
              </w:rPr>
              <w:t>2013-2015).</w:t>
            </w:r>
          </w:p>
        </w:tc>
        <w:tc>
          <w:tcPr>
            <w:tcW w:w="2126" w:type="dxa"/>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199" w:right="202" w:firstLine="1"/>
              <w:jc w:val="center"/>
              <w:rPr>
                <w:b/>
                <w:sz w:val="22"/>
              </w:rPr>
            </w:pPr>
            <w:r>
              <w:rPr>
                <w:b/>
                <w:sz w:val="22"/>
              </w:rPr>
              <w:t># de reglas informales entre los actores históricos de la CHPH</w:t>
            </w:r>
          </w:p>
        </w:tc>
        <w:tc>
          <w:tcPr>
            <w:tcW w:w="2835" w:type="dxa"/>
          </w:tcPr>
          <w:p>
            <w:pPr>
              <w:pStyle w:val="TableParagraph"/>
              <w:tabs>
                <w:tab w:pos="791" w:val="left" w:leader="none"/>
                <w:tab w:pos="1243" w:val="left" w:leader="none"/>
                <w:tab w:pos="1432" w:val="left" w:leader="none"/>
                <w:tab w:pos="1818" w:val="left" w:leader="none"/>
                <w:tab w:pos="2123" w:val="left" w:leader="none"/>
                <w:tab w:pos="2476" w:val="left" w:leader="none"/>
              </w:tabs>
              <w:ind w:right="99"/>
              <w:rPr>
                <w:sz w:val="22"/>
              </w:rPr>
            </w:pPr>
            <w:r>
              <w:rPr>
                <w:sz w:val="22"/>
              </w:rPr>
              <w:t>Cantidad</w:t>
              <w:tab/>
              <w:tab/>
              <w:t>de</w:t>
              <w:tab/>
              <w:tab/>
              <w:t>reglas informales entre actores históricos</w:t>
              <w:tab/>
              <w:t>con</w:t>
              <w:tab/>
            </w:r>
            <w:r>
              <w:rPr>
                <w:spacing w:val="-1"/>
                <w:sz w:val="22"/>
              </w:rPr>
              <w:t>acuerdos </w:t>
            </w:r>
            <w:r>
              <w:rPr>
                <w:sz w:val="22"/>
              </w:rPr>
              <w:t>sociales</w:t>
              <w:tab/>
              <w:t>comunes</w:t>
              <w:tab/>
              <w:t>de autogestión local. (Ejemplo: que todos los actores de los municipios que</w:t>
              <w:tab/>
              <w:t>pescan</w:t>
              <w:tab/>
            </w:r>
            <w:r>
              <w:rPr>
                <w:spacing w:val="-1"/>
                <w:sz w:val="22"/>
              </w:rPr>
              <w:t>siembren </w:t>
            </w:r>
            <w:r>
              <w:rPr>
                <w:sz w:val="22"/>
              </w:rPr>
              <w:t>peces).</w:t>
            </w:r>
          </w:p>
        </w:tc>
      </w:tr>
      <w:tr>
        <w:trPr>
          <w:trHeight w:val="3046"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R1S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1"/>
              <w:jc w:val="center"/>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left="32" w:right="93"/>
              <w:jc w:val="center"/>
              <w:rPr>
                <w:sz w:val="22"/>
              </w:rPr>
            </w:pPr>
            <w:r>
              <w:rPr>
                <w:sz w:val="22"/>
              </w:rPr>
              <w:t>Control equitativo</w:t>
            </w:r>
          </w:p>
        </w:tc>
        <w:tc>
          <w:tcPr>
            <w:tcW w:w="3262"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right="100"/>
              <w:jc w:val="both"/>
              <w:rPr>
                <w:sz w:val="22"/>
              </w:rPr>
            </w:pPr>
            <w:r>
              <w:rPr>
                <w:sz w:val="22"/>
              </w:rPr>
              <w:t>Es la posibilidad de que los actores históricos intervengan para solucionar los problemas sociales de la CHPH, articulados por sus usos y costumbres (García, TC: 2013- 2015).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55" w:right="157"/>
              <w:jc w:val="center"/>
              <w:rPr>
                <w:b/>
                <w:sz w:val="22"/>
              </w:rPr>
            </w:pPr>
            <w:r>
              <w:rPr>
                <w:b/>
                <w:sz w:val="22"/>
              </w:rPr>
              <w:t>Organización de los actores a través de los usos y costumbres (adimensional)</w:t>
            </w:r>
          </w:p>
        </w:tc>
        <w:tc>
          <w:tcPr>
            <w:tcW w:w="2835" w:type="dxa"/>
          </w:tcPr>
          <w:p>
            <w:pPr>
              <w:pStyle w:val="TableParagraph"/>
              <w:tabs>
                <w:tab w:pos="594" w:val="left" w:leader="none"/>
                <w:tab w:pos="954" w:val="left" w:leader="none"/>
                <w:tab w:pos="1474" w:val="left" w:leader="none"/>
                <w:tab w:pos="1634" w:val="left" w:leader="none"/>
                <w:tab w:pos="1830" w:val="left" w:leader="none"/>
              </w:tabs>
              <w:ind w:right="98"/>
              <w:rPr>
                <w:sz w:val="22"/>
              </w:rPr>
            </w:pPr>
            <w:r>
              <w:rPr>
                <w:sz w:val="22"/>
              </w:rPr>
              <w:t>Colaboración</w:t>
              <w:tab/>
              <w:tab/>
            </w:r>
            <w:r>
              <w:rPr>
                <w:spacing w:val="-1"/>
                <w:sz w:val="22"/>
              </w:rPr>
              <w:t>organizada </w:t>
            </w:r>
            <w:r>
              <w:rPr>
                <w:sz w:val="22"/>
              </w:rPr>
              <w:t>de los actores históricos  de la CHPH para atender los</w:t>
              <w:tab/>
              <w:t>problemas</w:t>
              <w:tab/>
              <w:tab/>
              <w:t>comunes de dicha cuenca a través de</w:t>
              <w:tab/>
              <w:tab/>
              <w:t>las</w:t>
              <w:tab/>
              <w:tab/>
              <w:tab/>
            </w:r>
            <w:r>
              <w:rPr>
                <w:spacing w:val="-1"/>
                <w:sz w:val="22"/>
              </w:rPr>
              <w:t>prácticas </w:t>
            </w:r>
            <w:r>
              <w:rPr>
                <w:sz w:val="22"/>
              </w:rPr>
              <w:t>consuetudinarias. (Ejemplo:</w:t>
              <w:tab/>
            </w:r>
            <w:r>
              <w:rPr>
                <w:spacing w:val="-1"/>
                <w:sz w:val="22"/>
              </w:rPr>
              <w:t>organización </w:t>
            </w:r>
            <w:r>
              <w:rPr>
                <w:sz w:val="22"/>
              </w:rPr>
              <w:t>entre los cinco municipios de la CHPH para atender los</w:t>
              <w:tab/>
              <w:t>problemas</w:t>
              <w:tab/>
              <w:tab/>
              <w:t>comunes de la</w:t>
            </w:r>
            <w:r>
              <w:rPr>
                <w:spacing w:val="-2"/>
                <w:sz w:val="22"/>
              </w:rPr>
              <w:t> </w:t>
            </w:r>
            <w:r>
              <w:rPr>
                <w:sz w:val="22"/>
              </w:rPr>
              <w:t>Cuenca).</w:t>
            </w:r>
          </w:p>
        </w:tc>
      </w:tr>
      <w:tr>
        <w:trPr>
          <w:trHeight w:val="2033"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R2S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1"/>
              <w:jc w:val="center"/>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598"/>
              <w:rPr>
                <w:sz w:val="22"/>
              </w:rPr>
            </w:pPr>
            <w:r>
              <w:rPr>
                <w:sz w:val="22"/>
              </w:rPr>
              <w:t>Participación equitativa</w:t>
            </w:r>
          </w:p>
        </w:tc>
        <w:tc>
          <w:tcPr>
            <w:tcW w:w="3262" w:type="dxa"/>
          </w:tcPr>
          <w:p>
            <w:pPr>
              <w:pStyle w:val="TableParagraph"/>
              <w:spacing w:before="8"/>
              <w:ind w:left="0"/>
              <w:rPr>
                <w:rFonts w:ascii="Times New Roman"/>
                <w:sz w:val="21"/>
              </w:rPr>
            </w:pPr>
          </w:p>
          <w:p>
            <w:pPr>
              <w:pStyle w:val="TableParagraph"/>
              <w:ind w:right="102"/>
              <w:jc w:val="both"/>
              <w:rPr>
                <w:sz w:val="22"/>
              </w:rPr>
            </w:pPr>
            <w:r>
              <w:rPr>
                <w:sz w:val="22"/>
              </w:rPr>
              <w:t>Intervención de todos los actores en la toma de decisiones democráticas que beneficien a la comunidad de la CHPH (García, TC: 2013- 2015).</w:t>
            </w:r>
          </w:p>
        </w:tc>
        <w:tc>
          <w:tcPr>
            <w:tcW w:w="2126" w:type="dxa"/>
          </w:tcPr>
          <w:p>
            <w:pPr>
              <w:pStyle w:val="TableParagraph"/>
              <w:spacing w:before="6"/>
              <w:ind w:left="0"/>
              <w:rPr>
                <w:rFonts w:ascii="Times New Roman"/>
                <w:sz w:val="32"/>
              </w:rPr>
            </w:pPr>
          </w:p>
          <w:p>
            <w:pPr>
              <w:pStyle w:val="TableParagraph"/>
              <w:ind w:left="117" w:right="120"/>
              <w:jc w:val="center"/>
              <w:rPr>
                <w:b/>
                <w:sz w:val="22"/>
              </w:rPr>
            </w:pPr>
            <w:r>
              <w:rPr>
                <w:b/>
                <w:sz w:val="22"/>
              </w:rPr>
              <w:t># de actores en la toma de decisiones democráticas de la CHPH</w:t>
            </w:r>
          </w:p>
        </w:tc>
        <w:tc>
          <w:tcPr>
            <w:tcW w:w="2835" w:type="dxa"/>
          </w:tcPr>
          <w:p>
            <w:pPr>
              <w:pStyle w:val="TableParagraph"/>
              <w:ind w:right="99"/>
              <w:jc w:val="both"/>
              <w:rPr>
                <w:sz w:val="22"/>
              </w:rPr>
            </w:pPr>
            <w:r>
              <w:rPr>
                <w:sz w:val="22"/>
              </w:rPr>
              <w:t>Cantidad de actores con participación democrática en la solución de los problemas sociopolíticos de la CHPH.</w:t>
            </w:r>
          </w:p>
          <w:p>
            <w:pPr>
              <w:pStyle w:val="TableParagraph"/>
              <w:ind w:right="101"/>
              <w:jc w:val="both"/>
              <w:rPr>
                <w:sz w:val="22"/>
              </w:rPr>
            </w:pPr>
            <w:r>
              <w:rPr>
                <w:sz w:val="22"/>
              </w:rPr>
              <w:t>(Ejemplo: número de pescadores, número de ganaderos,    número    de</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262" w:hRule="exact"/>
        </w:trPr>
        <w:tc>
          <w:tcPr>
            <w:tcW w:w="852" w:type="dxa"/>
            <w:shd w:val="clear" w:color="auto" w:fill="F9BE8F"/>
          </w:tcPr>
          <w:p>
            <w:pPr/>
          </w:p>
        </w:tc>
        <w:tc>
          <w:tcPr>
            <w:tcW w:w="730" w:type="dxa"/>
            <w:shd w:val="clear" w:color="auto" w:fill="F9BE8F"/>
          </w:tcPr>
          <w:p>
            <w:pPr/>
          </w:p>
        </w:tc>
        <w:tc>
          <w:tcPr>
            <w:tcW w:w="1990" w:type="dxa"/>
          </w:tcPr>
          <w:p>
            <w:pPr/>
          </w:p>
        </w:tc>
        <w:tc>
          <w:tcPr>
            <w:tcW w:w="3262" w:type="dxa"/>
          </w:tcPr>
          <w:p>
            <w:pPr/>
          </w:p>
        </w:tc>
        <w:tc>
          <w:tcPr>
            <w:tcW w:w="2126" w:type="dxa"/>
          </w:tcPr>
          <w:p>
            <w:pPr/>
          </w:p>
        </w:tc>
        <w:tc>
          <w:tcPr>
            <w:tcW w:w="2835" w:type="dxa"/>
          </w:tcPr>
          <w:p>
            <w:pPr>
              <w:pStyle w:val="TableParagraph"/>
              <w:spacing w:line="251" w:lineRule="exact"/>
              <w:ind w:right="181"/>
              <w:rPr>
                <w:sz w:val="22"/>
              </w:rPr>
            </w:pPr>
            <w:r>
              <w:rPr>
                <w:sz w:val="22"/>
              </w:rPr>
              <w:t>ejidatarios).</w:t>
            </w:r>
          </w:p>
        </w:tc>
      </w:tr>
      <w:tr>
        <w:trPr>
          <w:trHeight w:val="2794"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05"/>
              <w:jc w:val="right"/>
              <w:rPr>
                <w:b/>
                <w:sz w:val="22"/>
              </w:rPr>
            </w:pPr>
            <w:r>
              <w:rPr>
                <w:b/>
                <w:sz w:val="22"/>
              </w:rPr>
              <w:t>R3S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194"/>
              <w:rPr>
                <w:sz w:val="22"/>
              </w:rPr>
            </w:pPr>
            <w:r>
              <w:rPr>
                <w:sz w:val="22"/>
              </w:rPr>
              <w:t>Relaciones consuetudinarias</w:t>
            </w:r>
          </w:p>
        </w:tc>
        <w:tc>
          <w:tcPr>
            <w:tcW w:w="3262" w:type="dxa"/>
          </w:tcPr>
          <w:p>
            <w:pPr>
              <w:pStyle w:val="TableParagraph"/>
              <w:spacing w:before="10"/>
              <w:ind w:left="0"/>
              <w:rPr>
                <w:rFonts w:ascii="Times New Roman"/>
                <w:sz w:val="21"/>
              </w:rPr>
            </w:pPr>
          </w:p>
          <w:p>
            <w:pPr>
              <w:pStyle w:val="TableParagraph"/>
              <w:tabs>
                <w:tab w:pos="2341" w:val="left" w:leader="none"/>
              </w:tabs>
              <w:ind w:right="101"/>
              <w:jc w:val="both"/>
              <w:rPr>
                <w:sz w:val="22"/>
              </w:rPr>
            </w:pPr>
            <w:r>
              <w:rPr>
                <w:sz w:val="22"/>
              </w:rPr>
              <w:t>Los usos y costumbres de los actores de la CHPH han generado</w:t>
              <w:tab/>
            </w:r>
            <w:r>
              <w:rPr>
                <w:spacing w:val="-1"/>
                <w:sz w:val="22"/>
              </w:rPr>
              <w:t>vínculos </w:t>
            </w:r>
            <w:r>
              <w:rPr>
                <w:sz w:val="22"/>
              </w:rPr>
              <w:t>sociopolíticos que pueden ser utilizados para llegar a acuerdos de tipo formal e informal para resolver problemas comunes (García, TC:</w:t>
            </w:r>
            <w:r>
              <w:rPr>
                <w:spacing w:val="-4"/>
                <w:sz w:val="22"/>
              </w:rPr>
              <w:t> </w:t>
            </w:r>
            <w:r>
              <w:rPr>
                <w:sz w:val="22"/>
              </w:rPr>
              <w:t>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51" w:right="151" w:firstLine="2"/>
              <w:jc w:val="center"/>
              <w:rPr>
                <w:b/>
                <w:sz w:val="22"/>
              </w:rPr>
            </w:pPr>
            <w:r>
              <w:rPr>
                <w:b/>
                <w:sz w:val="22"/>
              </w:rPr>
              <w:t># de usos y costumbres que generan vínculos entre los actores de la CHPH</w:t>
            </w:r>
          </w:p>
        </w:tc>
        <w:tc>
          <w:tcPr>
            <w:tcW w:w="2835" w:type="dxa"/>
          </w:tcPr>
          <w:p>
            <w:pPr>
              <w:pStyle w:val="TableParagraph"/>
              <w:tabs>
                <w:tab w:pos="913" w:val="left" w:leader="none"/>
                <w:tab w:pos="1254" w:val="left" w:leader="none"/>
                <w:tab w:pos="1290" w:val="left" w:leader="none"/>
                <w:tab w:pos="1681" w:val="left" w:leader="none"/>
                <w:tab w:pos="1842" w:val="left" w:leader="none"/>
                <w:tab w:pos="1916" w:val="left" w:leader="none"/>
                <w:tab w:pos="2085" w:val="left" w:leader="none"/>
                <w:tab w:pos="2353" w:val="left" w:leader="none"/>
                <w:tab w:pos="2442" w:val="left" w:leader="none"/>
                <w:tab w:pos="2475" w:val="left" w:leader="none"/>
              </w:tabs>
              <w:ind w:right="98"/>
              <w:rPr>
                <w:sz w:val="22"/>
              </w:rPr>
            </w:pPr>
            <w:r>
              <w:rPr>
                <w:sz w:val="22"/>
              </w:rPr>
              <w:t>Cantidad</w:t>
              <w:tab/>
              <w:tab/>
              <w:t>de</w:t>
              <w:tab/>
              <w:tab/>
            </w:r>
            <w:r>
              <w:rPr>
                <w:spacing w:val="-1"/>
                <w:sz w:val="22"/>
              </w:rPr>
              <w:t>prácticas </w:t>
            </w:r>
            <w:r>
              <w:rPr>
                <w:sz w:val="22"/>
              </w:rPr>
              <w:t>consuetudinarias</w:t>
              <w:tab/>
              <w:tab/>
              <w:tab/>
              <w:tab/>
              <w:t>que </w:t>
            </w:r>
            <w:r>
              <w:rPr>
                <w:spacing w:val="-1"/>
                <w:sz w:val="22"/>
              </w:rPr>
              <w:t>generan</w:t>
              <w:tab/>
              <w:tab/>
              <w:tab/>
              <w:tab/>
              <w:tab/>
              <w:tab/>
              <w:t>vínculos </w:t>
            </w:r>
            <w:r>
              <w:rPr>
                <w:sz w:val="22"/>
              </w:rPr>
              <w:t>sociopolíticos</w:t>
              <w:tab/>
              <w:t>entre</w:t>
              <w:tab/>
              <w:tab/>
              <w:t>los actores de la CHPH para llegar</w:t>
              <w:tab/>
              <w:t>a</w:t>
              <w:tab/>
              <w:tab/>
              <w:t>acuerdos</w:t>
              <w:tab/>
              <w:tab/>
              <w:tab/>
              <w:t>de carácter formal e informal que beneficien a todos. (Ejemplo:</w:t>
              <w:tab/>
              <w:t>relaciones</w:t>
              <w:tab/>
              <w:tab/>
              <w:tab/>
              <w:t>de </w:t>
            </w:r>
            <w:r>
              <w:rPr>
                <w:spacing w:val="-1"/>
                <w:sz w:val="22"/>
              </w:rPr>
              <w:t>parentesco,</w:t>
              <w:tab/>
              <w:tab/>
              <w:tab/>
              <w:tab/>
              <w:tab/>
              <w:tab/>
            </w:r>
            <w:r>
              <w:rPr>
                <w:sz w:val="22"/>
              </w:rPr>
              <w:t>fiestas patronales,</w:t>
            </w:r>
            <w:r>
              <w:rPr>
                <w:spacing w:val="-4"/>
                <w:sz w:val="22"/>
              </w:rPr>
              <w:t> </w:t>
            </w:r>
            <w:r>
              <w:rPr>
                <w:sz w:val="22"/>
              </w:rPr>
              <w:t>mercados).</w:t>
            </w:r>
          </w:p>
        </w:tc>
      </w:tr>
      <w:tr>
        <w:trPr>
          <w:trHeight w:val="2288"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rPr>
                <w:b/>
                <w:sz w:val="22"/>
              </w:rPr>
            </w:pPr>
            <w:r>
              <w:rPr>
                <w:b/>
                <w:sz w:val="22"/>
              </w:rPr>
              <w:t>R4S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781"/>
              <w:rPr>
                <w:sz w:val="22"/>
              </w:rPr>
            </w:pPr>
            <w:r>
              <w:rPr>
                <w:sz w:val="22"/>
              </w:rPr>
              <w:t>Decisiones colectivas</w:t>
            </w:r>
          </w:p>
        </w:tc>
        <w:tc>
          <w:tcPr>
            <w:tcW w:w="3262" w:type="dxa"/>
          </w:tcPr>
          <w:p>
            <w:pPr>
              <w:pStyle w:val="TableParagraph"/>
              <w:spacing w:before="10"/>
              <w:ind w:left="0"/>
              <w:rPr>
                <w:rFonts w:ascii="Times New Roman"/>
                <w:sz w:val="21"/>
              </w:rPr>
            </w:pPr>
          </w:p>
          <w:p>
            <w:pPr>
              <w:pStyle w:val="TableParagraph"/>
              <w:ind w:right="100"/>
              <w:jc w:val="both"/>
              <w:rPr>
                <w:sz w:val="22"/>
              </w:rPr>
            </w:pPr>
            <w:r>
              <w:rPr>
                <w:sz w:val="22"/>
              </w:rPr>
              <w:t>Probabilidad de que  los actores sociopolíticos de la CHPH tengan decisiones colectivas mediante acuerdos formales e informales que beneficien a todos  (García, TC: 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17" w:right="120"/>
              <w:jc w:val="center"/>
              <w:rPr>
                <w:b/>
                <w:sz w:val="22"/>
              </w:rPr>
            </w:pPr>
            <w:r>
              <w:rPr>
                <w:b/>
                <w:sz w:val="22"/>
              </w:rPr>
              <w:t># de acuerdos formales e informales entre todos los actores de la CHPH</w:t>
            </w:r>
          </w:p>
        </w:tc>
        <w:tc>
          <w:tcPr>
            <w:tcW w:w="2835" w:type="dxa"/>
          </w:tcPr>
          <w:p>
            <w:pPr>
              <w:pStyle w:val="TableParagraph"/>
              <w:ind w:right="99"/>
              <w:jc w:val="both"/>
              <w:rPr>
                <w:sz w:val="22"/>
              </w:rPr>
            </w:pPr>
            <w:r>
              <w:rPr>
                <w:sz w:val="22"/>
              </w:rPr>
              <w:t>Cantidad de acuerdos formales e informales entre todos los actores sociopolíticos de la CHPH para el beneficio de todos. (Ejemplo: aún no existen acuerdos formales e informales entre todos los actores de la</w:t>
            </w:r>
            <w:r>
              <w:rPr>
                <w:spacing w:val="-7"/>
                <w:sz w:val="22"/>
              </w:rPr>
              <w:t> </w:t>
            </w:r>
            <w:r>
              <w:rPr>
                <w:sz w:val="22"/>
              </w:rPr>
              <w:t>CHPH).</w:t>
            </w:r>
          </w:p>
        </w:tc>
      </w:tr>
      <w:tr>
        <w:trPr>
          <w:trHeight w:val="2033"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05"/>
              <w:jc w:val="right"/>
              <w:rPr>
                <w:b/>
                <w:sz w:val="22"/>
              </w:rPr>
            </w:pPr>
            <w:r>
              <w:rPr>
                <w:b/>
                <w:sz w:val="22"/>
              </w:rPr>
              <w:t>R5S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561"/>
              <w:rPr>
                <w:sz w:val="22"/>
              </w:rPr>
            </w:pPr>
            <w:r>
              <w:rPr>
                <w:sz w:val="22"/>
              </w:rPr>
              <w:t>Organización social</w:t>
            </w:r>
          </w:p>
        </w:tc>
        <w:tc>
          <w:tcPr>
            <w:tcW w:w="3262" w:type="dxa"/>
          </w:tcPr>
          <w:p>
            <w:pPr>
              <w:pStyle w:val="TableParagraph"/>
              <w:spacing w:before="8"/>
              <w:ind w:left="0"/>
              <w:rPr>
                <w:rFonts w:ascii="Times New Roman"/>
                <w:sz w:val="21"/>
              </w:rPr>
            </w:pPr>
          </w:p>
          <w:p>
            <w:pPr>
              <w:pStyle w:val="TableParagraph"/>
              <w:ind w:right="100"/>
              <w:jc w:val="both"/>
              <w:rPr>
                <w:sz w:val="22"/>
              </w:rPr>
            </w:pPr>
            <w:r>
              <w:rPr>
                <w:sz w:val="22"/>
              </w:rPr>
              <w:t>Es la posibilidad de que los actores sociopolíticos de la CHPH intervengan de forma organizada para solucionar la problemática de dicha cuenca (García, TC: 2013-2015).</w:t>
            </w:r>
          </w:p>
        </w:tc>
        <w:tc>
          <w:tcPr>
            <w:tcW w:w="2126" w:type="dxa"/>
          </w:tcPr>
          <w:p>
            <w:pPr>
              <w:pStyle w:val="TableParagraph"/>
              <w:spacing w:before="5"/>
              <w:ind w:left="0"/>
              <w:rPr>
                <w:rFonts w:ascii="Times New Roman"/>
                <w:sz w:val="21"/>
              </w:rPr>
            </w:pPr>
          </w:p>
          <w:p>
            <w:pPr>
              <w:pStyle w:val="TableParagraph"/>
              <w:ind w:left="117" w:right="120"/>
              <w:jc w:val="center"/>
              <w:rPr>
                <w:b/>
                <w:sz w:val="22"/>
              </w:rPr>
            </w:pPr>
            <w:r>
              <w:rPr>
                <w:b/>
                <w:sz w:val="22"/>
              </w:rPr>
              <w:t>Organización formal e informal de los actores sociopolíticos de la CHPH (adimensional)</w:t>
            </w:r>
          </w:p>
        </w:tc>
        <w:tc>
          <w:tcPr>
            <w:tcW w:w="2835" w:type="dxa"/>
          </w:tcPr>
          <w:p>
            <w:pPr>
              <w:pStyle w:val="TableParagraph"/>
              <w:tabs>
                <w:tab w:pos="642" w:val="left" w:leader="none"/>
                <w:tab w:pos="1143" w:val="left" w:leader="none"/>
                <w:tab w:pos="1394" w:val="left" w:leader="none"/>
                <w:tab w:pos="1634" w:val="left" w:leader="none"/>
                <w:tab w:pos="1696" w:val="left" w:leader="none"/>
                <w:tab w:pos="1904" w:val="left" w:leader="none"/>
                <w:tab w:pos="2086" w:val="left" w:leader="none"/>
                <w:tab w:pos="2549" w:val="left" w:leader="none"/>
                <w:tab w:pos="2600" w:val="left" w:leader="none"/>
              </w:tabs>
              <w:ind w:right="99"/>
              <w:rPr>
                <w:sz w:val="22"/>
              </w:rPr>
            </w:pPr>
            <w:r>
              <w:rPr>
                <w:sz w:val="22"/>
              </w:rPr>
              <w:t>Colaboración</w:t>
              <w:tab/>
            </w:r>
            <w:r>
              <w:rPr>
                <w:spacing w:val="-1"/>
                <w:sz w:val="22"/>
              </w:rPr>
              <w:t>organizada </w:t>
            </w:r>
            <w:r>
              <w:rPr>
                <w:sz w:val="22"/>
              </w:rPr>
              <w:t>por</w:t>
              <w:tab/>
              <w:t>los</w:t>
              <w:tab/>
              <w:t>actores</w:t>
              <w:tab/>
              <w:tab/>
              <w:t>de</w:t>
              <w:tab/>
              <w:t>la CHPH para atender los problemas comunes. (Ejemplo:</w:t>
              <w:tab/>
              <w:tab/>
              <w:tab/>
              <w:tab/>
              <w:tab/>
            </w:r>
            <w:r>
              <w:rPr>
                <w:spacing w:val="-1"/>
                <w:sz w:val="22"/>
              </w:rPr>
              <w:t>comités, </w:t>
            </w:r>
            <w:r>
              <w:rPr>
                <w:sz w:val="22"/>
              </w:rPr>
              <w:t>asambleas,</w:t>
              <w:tab/>
              <w:tab/>
              <w:tab/>
            </w:r>
            <w:r>
              <w:rPr>
                <w:spacing w:val="-1"/>
                <w:sz w:val="22"/>
              </w:rPr>
              <w:t>reuniones, </w:t>
            </w:r>
            <w:r>
              <w:rPr>
                <w:sz w:val="22"/>
              </w:rPr>
              <w:t>consultas</w:t>
              <w:tab/>
              <w:tab/>
              <w:t>formales</w:t>
              <w:tab/>
              <w:tab/>
              <w:t>e informales).</w:t>
            </w:r>
          </w:p>
        </w:tc>
      </w:tr>
      <w:tr>
        <w:trPr>
          <w:trHeight w:val="1277" w:hRule="exact"/>
        </w:trPr>
        <w:tc>
          <w:tcPr>
            <w:tcW w:w="852" w:type="dxa"/>
            <w:shd w:val="clear" w:color="auto" w:fill="F9BE8F"/>
          </w:tcPr>
          <w:p>
            <w:pPr/>
          </w:p>
        </w:tc>
        <w:tc>
          <w:tcPr>
            <w:tcW w:w="730" w:type="dxa"/>
            <w:shd w:val="clear" w:color="auto" w:fill="F9BE8F"/>
          </w:tcPr>
          <w:p>
            <w:pPr>
              <w:pStyle w:val="TableParagraph"/>
              <w:spacing w:before="8"/>
              <w:ind w:left="0"/>
              <w:rPr>
                <w:rFonts w:ascii="Times New Roman"/>
                <w:sz w:val="32"/>
              </w:rPr>
            </w:pPr>
          </w:p>
          <w:p>
            <w:pPr>
              <w:pStyle w:val="TableParagraph"/>
              <w:spacing w:before="1"/>
              <w:ind w:left="0" w:right="277"/>
              <w:jc w:val="right"/>
              <w:rPr>
                <w:b/>
                <w:sz w:val="22"/>
              </w:rPr>
            </w:pPr>
            <w:r>
              <w:rPr>
                <w:b/>
                <w:w w:val="100"/>
                <w:sz w:val="22"/>
              </w:rPr>
              <w:t>R</w:t>
            </w:r>
          </w:p>
        </w:tc>
        <w:tc>
          <w:tcPr>
            <w:tcW w:w="1990" w:type="dxa"/>
          </w:tcPr>
          <w:p>
            <w:pPr>
              <w:pStyle w:val="TableParagraph"/>
              <w:spacing w:before="11"/>
              <w:ind w:left="0"/>
              <w:rPr>
                <w:rFonts w:ascii="Times New Roman"/>
                <w:sz w:val="32"/>
              </w:rPr>
            </w:pPr>
          </w:p>
          <w:p>
            <w:pPr>
              <w:pStyle w:val="TableParagraph"/>
              <w:ind w:right="720"/>
              <w:rPr>
                <w:sz w:val="22"/>
              </w:rPr>
            </w:pPr>
            <w:r>
              <w:rPr>
                <w:sz w:val="22"/>
              </w:rPr>
              <w:t>Articulación formal</w:t>
            </w:r>
          </w:p>
        </w:tc>
        <w:tc>
          <w:tcPr>
            <w:tcW w:w="3262" w:type="dxa"/>
          </w:tcPr>
          <w:p>
            <w:pPr>
              <w:pStyle w:val="TableParagraph"/>
              <w:ind w:right="101"/>
              <w:jc w:val="both"/>
              <w:rPr>
                <w:sz w:val="22"/>
              </w:rPr>
            </w:pPr>
            <w:r>
              <w:rPr>
                <w:sz w:val="22"/>
              </w:rPr>
              <w:t>Entendida como la capacidad de interrelación formal a través de organizaciones entre actores sociopolíticos de la CHPH    para    tratar   asuntos</w:t>
            </w:r>
          </w:p>
        </w:tc>
        <w:tc>
          <w:tcPr>
            <w:tcW w:w="2126" w:type="dxa"/>
          </w:tcPr>
          <w:p>
            <w:pPr>
              <w:pStyle w:val="TableParagraph"/>
              <w:ind w:left="118" w:right="120"/>
              <w:jc w:val="center"/>
              <w:rPr>
                <w:b/>
                <w:sz w:val="22"/>
              </w:rPr>
            </w:pPr>
            <w:r>
              <w:rPr>
                <w:b/>
                <w:sz w:val="22"/>
              </w:rPr>
              <w:t># de   organizaciones formales que permitan la interrelación de</w:t>
            </w:r>
          </w:p>
        </w:tc>
        <w:tc>
          <w:tcPr>
            <w:tcW w:w="2835" w:type="dxa"/>
          </w:tcPr>
          <w:p>
            <w:pPr>
              <w:pStyle w:val="TableParagraph"/>
              <w:tabs>
                <w:tab w:pos="2476" w:val="left" w:leader="none"/>
              </w:tabs>
              <w:spacing w:line="251" w:lineRule="exact"/>
              <w:rPr>
                <w:sz w:val="22"/>
              </w:rPr>
            </w:pPr>
            <w:r>
              <w:rPr>
                <w:sz w:val="22"/>
              </w:rPr>
              <w:t>Cantidad</w:t>
              <w:tab/>
              <w:t>de</w:t>
            </w:r>
          </w:p>
          <w:p>
            <w:pPr>
              <w:pStyle w:val="TableParagraph"/>
              <w:tabs>
                <w:tab w:pos="1029" w:val="left" w:leader="none"/>
                <w:tab w:pos="1876" w:val="left" w:leader="none"/>
                <w:tab w:pos="2442" w:val="left" w:leader="none"/>
              </w:tabs>
              <w:spacing w:before="1"/>
              <w:ind w:right="99"/>
              <w:rPr>
                <w:sz w:val="22"/>
              </w:rPr>
            </w:pPr>
            <w:r>
              <w:rPr>
                <w:sz w:val="22"/>
              </w:rPr>
              <w:t>organizaciones</w:t>
              <w:tab/>
              <w:t>formales que</w:t>
              <w:tab/>
              <w:t>permitan</w:t>
              <w:tab/>
              <w:t>las interrelaciones municipales</w:t>
              <w:tab/>
              <w:t>de</w:t>
              <w:tab/>
              <w:t>los</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560"/>
        <w:gridCol w:w="561"/>
        <w:gridCol w:w="2140"/>
        <w:gridCol w:w="2126"/>
        <w:gridCol w:w="1213"/>
        <w:gridCol w:w="692"/>
        <w:gridCol w:w="929"/>
      </w:tblGrid>
      <w:tr>
        <w:trPr>
          <w:trHeight w:val="2033" w:hRule="exact"/>
        </w:trPr>
        <w:tc>
          <w:tcPr>
            <w:tcW w:w="852" w:type="dxa"/>
            <w:shd w:val="clear" w:color="auto" w:fill="F9BE8F"/>
          </w:tcPr>
          <w:p>
            <w:pPr>
              <w:pStyle w:val="TableParagraph"/>
              <w:spacing w:before="5"/>
              <w:ind w:left="0"/>
              <w:rPr>
                <w:rFonts w:ascii="Times New Roman"/>
                <w:sz w:val="21"/>
              </w:rPr>
            </w:pPr>
          </w:p>
          <w:p>
            <w:pPr>
              <w:pStyle w:val="TableParagraph"/>
              <w:ind w:left="123" w:right="124"/>
              <w:jc w:val="center"/>
              <w:rPr>
                <w:b/>
                <w:sz w:val="22"/>
              </w:rPr>
            </w:pPr>
            <w:r>
              <w:rPr>
                <w:b/>
                <w:sz w:val="22"/>
              </w:rPr>
              <w:t>R6S</w:t>
            </w:r>
          </w:p>
        </w:tc>
        <w:tc>
          <w:tcPr>
            <w:tcW w:w="730" w:type="dxa"/>
            <w:shd w:val="clear" w:color="auto" w:fill="F9BE8F"/>
          </w:tcPr>
          <w:p>
            <w:pPr/>
          </w:p>
        </w:tc>
        <w:tc>
          <w:tcPr>
            <w:tcW w:w="1990" w:type="dxa"/>
          </w:tcPr>
          <w:p>
            <w:pPr/>
          </w:p>
        </w:tc>
        <w:tc>
          <w:tcPr>
            <w:tcW w:w="3262" w:type="dxa"/>
            <w:gridSpan w:val="3"/>
          </w:tcPr>
          <w:p>
            <w:pPr>
              <w:pStyle w:val="TableParagraph"/>
              <w:tabs>
                <w:tab w:pos="1221" w:val="left" w:leader="none"/>
                <w:tab w:pos="1689" w:val="left" w:leader="none"/>
                <w:tab w:pos="2440" w:val="left" w:leader="none"/>
              </w:tabs>
              <w:spacing w:line="252" w:lineRule="exact" w:before="2"/>
              <w:ind w:right="101"/>
              <w:rPr>
                <w:sz w:val="22"/>
              </w:rPr>
            </w:pPr>
            <w:r>
              <w:rPr>
                <w:sz w:val="22"/>
              </w:rPr>
              <w:t>comunes</w:t>
              <w:tab/>
              <w:t>de</w:t>
              <w:tab/>
              <w:t>dicha</w:t>
              <w:tab/>
            </w:r>
            <w:r>
              <w:rPr>
                <w:spacing w:val="-1"/>
                <w:sz w:val="22"/>
              </w:rPr>
              <w:t>cuenca </w:t>
            </w:r>
            <w:r>
              <w:rPr>
                <w:sz w:val="22"/>
              </w:rPr>
              <w:t>(García, TC:</w:t>
            </w:r>
            <w:r>
              <w:rPr>
                <w:spacing w:val="-7"/>
                <w:sz w:val="22"/>
              </w:rPr>
              <w:t> </w:t>
            </w:r>
            <w:r>
              <w:rPr>
                <w:sz w:val="22"/>
              </w:rPr>
              <w:t>2013-2015).</w:t>
            </w:r>
          </w:p>
        </w:tc>
        <w:tc>
          <w:tcPr>
            <w:tcW w:w="2126" w:type="dxa"/>
          </w:tcPr>
          <w:p>
            <w:pPr>
              <w:pStyle w:val="TableParagraph"/>
              <w:ind w:left="115" w:right="120"/>
              <w:jc w:val="center"/>
              <w:rPr>
                <w:b/>
                <w:sz w:val="22"/>
              </w:rPr>
            </w:pPr>
            <w:r>
              <w:rPr>
                <w:b/>
                <w:sz w:val="22"/>
              </w:rPr>
              <w:t>los actores de los municipios que integran la CHPH</w:t>
            </w:r>
          </w:p>
        </w:tc>
        <w:tc>
          <w:tcPr>
            <w:tcW w:w="2835" w:type="dxa"/>
            <w:gridSpan w:val="3"/>
          </w:tcPr>
          <w:p>
            <w:pPr>
              <w:pStyle w:val="TableParagraph"/>
              <w:tabs>
                <w:tab w:pos="1151" w:val="left" w:leader="none"/>
                <w:tab w:pos="1262" w:val="left" w:leader="none"/>
                <w:tab w:pos="1695" w:val="left" w:leader="none"/>
                <w:tab w:pos="2026" w:val="left" w:leader="none"/>
                <w:tab w:pos="2259" w:val="left" w:leader="none"/>
                <w:tab w:pos="2612" w:val="left" w:leader="none"/>
              </w:tabs>
              <w:ind w:right="99"/>
              <w:rPr>
                <w:sz w:val="22"/>
              </w:rPr>
            </w:pPr>
            <w:r>
              <w:rPr>
                <w:sz w:val="22"/>
              </w:rPr>
              <w:t>actores sociopolíticos para resolver</w:t>
              <w:tab/>
              <w:t>los</w:t>
              <w:tab/>
            </w:r>
            <w:r>
              <w:rPr>
                <w:spacing w:val="-1"/>
                <w:sz w:val="22"/>
              </w:rPr>
              <w:t>problemas </w:t>
            </w:r>
            <w:r>
              <w:rPr>
                <w:sz w:val="22"/>
              </w:rPr>
              <w:t>conjuntos de la CHPH. (Ejemplo:</w:t>
              <w:tab/>
              <w:tab/>
              <w:tab/>
              <w:tab/>
            </w:r>
            <w:r>
              <w:rPr>
                <w:spacing w:val="-1"/>
                <w:sz w:val="22"/>
              </w:rPr>
              <w:t>Comité </w:t>
            </w:r>
            <w:r>
              <w:rPr>
                <w:sz w:val="22"/>
              </w:rPr>
              <w:t>Intermunicipal</w:t>
              <w:tab/>
              <w:tab/>
              <w:tab/>
            </w:r>
            <w:r>
              <w:rPr>
                <w:spacing w:val="-1"/>
                <w:sz w:val="22"/>
              </w:rPr>
              <w:t>Para </w:t>
            </w:r>
            <w:r>
              <w:rPr>
                <w:sz w:val="22"/>
              </w:rPr>
              <w:t>Cuidar,</w:t>
              <w:tab/>
              <w:tab/>
              <w:t>Defender</w:t>
              <w:tab/>
              <w:tab/>
              <w:t>y Administrar los Recursos de la</w:t>
            </w:r>
            <w:r>
              <w:rPr>
                <w:spacing w:val="-4"/>
                <w:sz w:val="22"/>
              </w:rPr>
              <w:t> </w:t>
            </w:r>
            <w:r>
              <w:rPr>
                <w:sz w:val="22"/>
              </w:rPr>
              <w:t>CHPH)</w:t>
            </w:r>
          </w:p>
        </w:tc>
      </w:tr>
      <w:tr>
        <w:trPr>
          <w:trHeight w:val="2036"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23" w:right="124"/>
              <w:jc w:val="center"/>
              <w:rPr>
                <w:b/>
                <w:sz w:val="22"/>
              </w:rPr>
            </w:pPr>
            <w:r>
              <w:rPr>
                <w:b/>
                <w:sz w:val="22"/>
              </w:rPr>
              <w:t>R7S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right="745"/>
              <w:rPr>
                <w:sz w:val="22"/>
              </w:rPr>
            </w:pPr>
            <w:r>
              <w:rPr>
                <w:sz w:val="22"/>
              </w:rPr>
              <w:t>Estructuras formales</w:t>
            </w:r>
          </w:p>
        </w:tc>
        <w:tc>
          <w:tcPr>
            <w:tcW w:w="3262" w:type="dxa"/>
            <w:gridSpan w:val="3"/>
          </w:tcPr>
          <w:p>
            <w:pPr>
              <w:pStyle w:val="TableParagraph"/>
              <w:spacing w:before="11"/>
              <w:ind w:left="0"/>
              <w:rPr>
                <w:rFonts w:ascii="Times New Roman"/>
                <w:sz w:val="21"/>
              </w:rPr>
            </w:pPr>
          </w:p>
          <w:p>
            <w:pPr>
              <w:pStyle w:val="TableParagraph"/>
              <w:ind w:right="100"/>
              <w:jc w:val="both"/>
              <w:rPr>
                <w:sz w:val="22"/>
              </w:rPr>
            </w:pPr>
            <w:r>
              <w:rPr>
                <w:sz w:val="22"/>
              </w:rPr>
              <w:t>Generación de estructuras formales entre los actores sociopolíticos de la  CHPH  para solucionar los problemas conjuntos (García, TC: 2013- 2015).</w:t>
            </w:r>
          </w:p>
        </w:tc>
        <w:tc>
          <w:tcPr>
            <w:tcW w:w="2126" w:type="dxa"/>
          </w:tcPr>
          <w:p>
            <w:pPr>
              <w:pStyle w:val="TableParagraph"/>
              <w:spacing w:before="8"/>
              <w:ind w:left="0"/>
              <w:rPr>
                <w:rFonts w:ascii="Times New Roman"/>
                <w:sz w:val="21"/>
              </w:rPr>
            </w:pPr>
          </w:p>
          <w:p>
            <w:pPr>
              <w:pStyle w:val="TableParagraph"/>
              <w:ind w:left="107" w:right="107" w:hanging="6"/>
              <w:jc w:val="center"/>
              <w:rPr>
                <w:b/>
                <w:sz w:val="22"/>
              </w:rPr>
            </w:pPr>
            <w:r>
              <w:rPr>
                <w:b/>
                <w:sz w:val="22"/>
              </w:rPr>
              <w:t># de estructuras formales generadas por los actores sociopolíticos de la CHPH</w:t>
            </w:r>
          </w:p>
        </w:tc>
        <w:tc>
          <w:tcPr>
            <w:tcW w:w="2835" w:type="dxa"/>
            <w:gridSpan w:val="3"/>
          </w:tcPr>
          <w:p>
            <w:pPr>
              <w:pStyle w:val="TableParagraph"/>
              <w:ind w:right="99"/>
              <w:jc w:val="both"/>
              <w:rPr>
                <w:sz w:val="22"/>
              </w:rPr>
            </w:pPr>
            <w:r>
              <w:rPr>
                <w:sz w:val="22"/>
              </w:rPr>
              <w:t>Cantidad de estructuras formales generadas por los actores sociopolíticos de la CHPH para solucionar sus problemas conjuntos.</w:t>
            </w:r>
          </w:p>
          <w:p>
            <w:pPr>
              <w:pStyle w:val="TableParagraph"/>
              <w:spacing w:before="1"/>
              <w:ind w:right="102"/>
              <w:jc w:val="both"/>
              <w:rPr>
                <w:sz w:val="22"/>
              </w:rPr>
            </w:pPr>
            <w:r>
              <w:rPr>
                <w:sz w:val="22"/>
              </w:rPr>
              <w:t>(Ejemplo: asambleas o reuniones periódicas).</w:t>
            </w:r>
          </w:p>
        </w:tc>
      </w:tr>
      <w:tr>
        <w:trPr>
          <w:trHeight w:val="2033"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R8S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414"/>
              <w:rPr>
                <w:sz w:val="22"/>
              </w:rPr>
            </w:pPr>
            <w:r>
              <w:rPr>
                <w:sz w:val="22"/>
              </w:rPr>
              <w:t>Participación e identidad</w:t>
            </w:r>
          </w:p>
        </w:tc>
        <w:tc>
          <w:tcPr>
            <w:tcW w:w="3262" w:type="dxa"/>
            <w:gridSpan w:val="3"/>
          </w:tcPr>
          <w:p>
            <w:pPr>
              <w:pStyle w:val="TableParagraph"/>
              <w:tabs>
                <w:tab w:pos="1828" w:val="left" w:leader="none"/>
              </w:tabs>
              <w:spacing w:before="122"/>
              <w:ind w:right="102"/>
              <w:jc w:val="both"/>
              <w:rPr>
                <w:sz w:val="22"/>
              </w:rPr>
            </w:pPr>
            <w:r>
              <w:rPr>
                <w:sz w:val="22"/>
              </w:rPr>
              <w:t>Los actores de la CHPH deben de adquirir identidad social a través del trabajo comunitario en la solución de los  problemas</w:t>
              <w:tab/>
            </w:r>
            <w:r>
              <w:rPr>
                <w:spacing w:val="-1"/>
                <w:sz w:val="22"/>
              </w:rPr>
              <w:t>sociopolíticos </w:t>
            </w:r>
            <w:r>
              <w:rPr>
                <w:sz w:val="22"/>
              </w:rPr>
              <w:t>compartidos (García, TC: 2013-2015).</w:t>
            </w:r>
          </w:p>
        </w:tc>
        <w:tc>
          <w:tcPr>
            <w:tcW w:w="2126" w:type="dxa"/>
          </w:tcPr>
          <w:p>
            <w:pPr>
              <w:pStyle w:val="TableParagraph"/>
              <w:ind w:left="191" w:right="197" w:firstLine="5"/>
              <w:jc w:val="center"/>
              <w:rPr>
                <w:b/>
                <w:sz w:val="22"/>
              </w:rPr>
            </w:pPr>
            <w:r>
              <w:rPr>
                <w:b/>
                <w:sz w:val="22"/>
              </w:rPr>
              <w:t>Colaboración sociopolítica de los actores de la CHPH en la solución de los problemas conjuntos (adimensional)</w:t>
            </w:r>
          </w:p>
        </w:tc>
        <w:tc>
          <w:tcPr>
            <w:tcW w:w="2835" w:type="dxa"/>
            <w:gridSpan w:val="3"/>
          </w:tcPr>
          <w:p>
            <w:pPr>
              <w:pStyle w:val="TableParagraph"/>
              <w:ind w:right="99"/>
              <w:jc w:val="both"/>
              <w:rPr>
                <w:sz w:val="22"/>
              </w:rPr>
            </w:pPr>
            <w:r>
              <w:rPr>
                <w:sz w:val="22"/>
              </w:rPr>
              <w:t>Acciones y trabajo social identitario en los problemas comunes de la CHPH.</w:t>
            </w:r>
          </w:p>
          <w:p>
            <w:pPr>
              <w:pStyle w:val="TableParagraph"/>
              <w:ind w:right="102"/>
              <w:jc w:val="both"/>
              <w:rPr>
                <w:sz w:val="22"/>
              </w:rPr>
            </w:pPr>
            <w:r>
              <w:rPr>
                <w:sz w:val="22"/>
              </w:rPr>
              <w:t>(Ejemplo: recolección de basura, limpieza de lirio acuático).</w:t>
            </w:r>
          </w:p>
        </w:tc>
      </w:tr>
      <w:tr>
        <w:trPr>
          <w:trHeight w:val="2288"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R9S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spacing w:line="242" w:lineRule="auto"/>
              <w:ind w:right="353"/>
              <w:rPr>
                <w:sz w:val="22"/>
              </w:rPr>
            </w:pPr>
            <w:r>
              <w:rPr>
                <w:sz w:val="22"/>
              </w:rPr>
              <w:t>Distribución del poder</w:t>
            </w:r>
          </w:p>
        </w:tc>
        <w:tc>
          <w:tcPr>
            <w:tcW w:w="3262" w:type="dxa"/>
            <w:gridSpan w:val="3"/>
          </w:tcPr>
          <w:p>
            <w:pPr>
              <w:pStyle w:val="TableParagraph"/>
              <w:spacing w:before="10"/>
              <w:ind w:left="0"/>
              <w:rPr>
                <w:rFonts w:ascii="Times New Roman"/>
                <w:sz w:val="21"/>
              </w:rPr>
            </w:pPr>
          </w:p>
          <w:p>
            <w:pPr>
              <w:pStyle w:val="TableParagraph"/>
              <w:ind w:right="99"/>
              <w:jc w:val="both"/>
              <w:rPr>
                <w:sz w:val="22"/>
              </w:rPr>
            </w:pPr>
            <w:r>
              <w:rPr>
                <w:sz w:val="22"/>
              </w:rPr>
              <w:t>La posibilidad de participación de todos los actores sociopolíticos en la solución de la problemática común que se vive en la CHPH mediante acciones formales conjuntas (García, TC: 2013-2015).</w:t>
            </w:r>
          </w:p>
        </w:tc>
        <w:tc>
          <w:tcPr>
            <w:tcW w:w="2126" w:type="dxa"/>
          </w:tcPr>
          <w:p>
            <w:pPr>
              <w:pStyle w:val="TableParagraph"/>
              <w:spacing w:before="8"/>
              <w:ind w:left="0"/>
              <w:rPr>
                <w:rFonts w:ascii="Times New Roman"/>
                <w:sz w:val="21"/>
              </w:rPr>
            </w:pPr>
          </w:p>
          <w:p>
            <w:pPr>
              <w:pStyle w:val="TableParagraph"/>
              <w:ind w:left="117" w:right="120"/>
              <w:jc w:val="center"/>
              <w:rPr>
                <w:b/>
                <w:sz w:val="22"/>
              </w:rPr>
            </w:pPr>
            <w:r>
              <w:rPr>
                <w:b/>
                <w:sz w:val="22"/>
              </w:rPr>
              <w:t># de actores sociopolíticos de la CHPH que participan en la solución de los problemas comunes</w:t>
            </w:r>
          </w:p>
        </w:tc>
        <w:tc>
          <w:tcPr>
            <w:tcW w:w="2835" w:type="dxa"/>
            <w:gridSpan w:val="3"/>
          </w:tcPr>
          <w:p>
            <w:pPr>
              <w:pStyle w:val="TableParagraph"/>
              <w:tabs>
                <w:tab w:pos="1607" w:val="left" w:leader="none"/>
                <w:tab w:pos="2550" w:val="left" w:leader="none"/>
              </w:tabs>
              <w:ind w:right="99"/>
              <w:jc w:val="both"/>
              <w:rPr>
                <w:sz w:val="22"/>
              </w:rPr>
            </w:pPr>
            <w:r>
              <w:rPr>
                <w:sz w:val="22"/>
              </w:rPr>
              <w:t>Cantidad de actores que participan formal e informalmente en la solución</w:t>
              <w:tab/>
              <w:t>de</w:t>
              <w:tab/>
              <w:t>la problemática sociopolítica de la</w:t>
            </w:r>
            <w:r>
              <w:rPr>
                <w:spacing w:val="-4"/>
                <w:sz w:val="22"/>
              </w:rPr>
              <w:t> </w:t>
            </w:r>
            <w:r>
              <w:rPr>
                <w:sz w:val="22"/>
              </w:rPr>
              <w:t>CHPH.</w:t>
            </w:r>
          </w:p>
          <w:p>
            <w:pPr>
              <w:pStyle w:val="TableParagraph"/>
              <w:spacing w:before="1"/>
              <w:ind w:right="101"/>
              <w:jc w:val="both"/>
              <w:rPr>
                <w:sz w:val="22"/>
              </w:rPr>
            </w:pPr>
            <w:r>
              <w:rPr>
                <w:sz w:val="22"/>
              </w:rPr>
              <w:t>(Ejemplo: número de ejidatarios que son pescadores, agricultores).</w:t>
            </w:r>
          </w:p>
        </w:tc>
      </w:tr>
      <w:tr>
        <w:trPr>
          <w:trHeight w:val="264" w:hRule="exact"/>
        </w:trPr>
        <w:tc>
          <w:tcPr>
            <w:tcW w:w="852" w:type="dxa"/>
            <w:shd w:val="clear" w:color="auto" w:fill="F9BE8F"/>
          </w:tcPr>
          <w:p>
            <w:pPr/>
          </w:p>
        </w:tc>
        <w:tc>
          <w:tcPr>
            <w:tcW w:w="730" w:type="dxa"/>
            <w:shd w:val="clear" w:color="auto" w:fill="F9BE8F"/>
          </w:tcPr>
          <w:p>
            <w:pPr>
              <w:pStyle w:val="TableParagraph"/>
              <w:spacing w:line="248" w:lineRule="exact"/>
              <w:ind w:left="0" w:right="277"/>
              <w:jc w:val="right"/>
              <w:rPr>
                <w:b/>
                <w:sz w:val="22"/>
              </w:rPr>
            </w:pPr>
            <w:r>
              <w:rPr>
                <w:b/>
                <w:w w:val="100"/>
                <w:sz w:val="22"/>
              </w:rPr>
              <w:t>R</w:t>
            </w:r>
          </w:p>
        </w:tc>
        <w:tc>
          <w:tcPr>
            <w:tcW w:w="1990" w:type="dxa"/>
          </w:tcPr>
          <w:p>
            <w:pPr>
              <w:pStyle w:val="TableParagraph"/>
              <w:spacing w:line="251" w:lineRule="exact"/>
              <w:ind w:right="267"/>
              <w:rPr>
                <w:sz w:val="22"/>
              </w:rPr>
            </w:pPr>
            <w:r>
              <w:rPr>
                <w:sz w:val="22"/>
              </w:rPr>
              <w:t>Acuerdos</w:t>
            </w:r>
          </w:p>
        </w:tc>
        <w:tc>
          <w:tcPr>
            <w:tcW w:w="560" w:type="dxa"/>
            <w:tcBorders>
              <w:right w:val="nil"/>
            </w:tcBorders>
          </w:tcPr>
          <w:p>
            <w:pPr>
              <w:pStyle w:val="TableParagraph"/>
              <w:spacing w:line="251" w:lineRule="exact"/>
              <w:rPr>
                <w:sz w:val="22"/>
              </w:rPr>
            </w:pPr>
            <w:r>
              <w:rPr>
                <w:sz w:val="22"/>
              </w:rPr>
              <w:t>Es</w:t>
            </w:r>
          </w:p>
        </w:tc>
        <w:tc>
          <w:tcPr>
            <w:tcW w:w="561" w:type="dxa"/>
            <w:tcBorders>
              <w:left w:val="nil"/>
              <w:right w:val="nil"/>
            </w:tcBorders>
          </w:tcPr>
          <w:p>
            <w:pPr>
              <w:pStyle w:val="TableParagraph"/>
              <w:spacing w:line="251" w:lineRule="exact"/>
              <w:ind w:left="175" w:right="175"/>
              <w:jc w:val="center"/>
              <w:rPr>
                <w:sz w:val="22"/>
              </w:rPr>
            </w:pPr>
            <w:r>
              <w:rPr>
                <w:sz w:val="22"/>
              </w:rPr>
              <w:t>la</w:t>
            </w:r>
          </w:p>
        </w:tc>
        <w:tc>
          <w:tcPr>
            <w:tcW w:w="2140" w:type="dxa"/>
            <w:tcBorders>
              <w:left w:val="nil"/>
            </w:tcBorders>
          </w:tcPr>
          <w:p>
            <w:pPr>
              <w:pStyle w:val="TableParagraph"/>
              <w:spacing w:line="251" w:lineRule="exact"/>
              <w:ind w:left="195"/>
              <w:rPr>
                <w:sz w:val="22"/>
              </w:rPr>
            </w:pPr>
            <w:r>
              <w:rPr>
                <w:sz w:val="22"/>
              </w:rPr>
              <w:t>institucionalización</w:t>
            </w:r>
          </w:p>
        </w:tc>
        <w:tc>
          <w:tcPr>
            <w:tcW w:w="2126" w:type="dxa"/>
          </w:tcPr>
          <w:p>
            <w:pPr>
              <w:pStyle w:val="TableParagraph"/>
              <w:spacing w:line="248" w:lineRule="exact"/>
              <w:ind w:left="479" w:right="114"/>
              <w:rPr>
                <w:b/>
                <w:sz w:val="22"/>
              </w:rPr>
            </w:pPr>
            <w:r>
              <w:rPr>
                <w:b/>
                <w:sz w:val="22"/>
              </w:rPr>
              <w:t># de reglas</w:t>
            </w:r>
          </w:p>
        </w:tc>
        <w:tc>
          <w:tcPr>
            <w:tcW w:w="1213" w:type="dxa"/>
            <w:tcBorders>
              <w:right w:val="nil"/>
            </w:tcBorders>
          </w:tcPr>
          <w:p>
            <w:pPr>
              <w:pStyle w:val="TableParagraph"/>
              <w:spacing w:line="251" w:lineRule="exact"/>
              <w:rPr>
                <w:sz w:val="22"/>
              </w:rPr>
            </w:pPr>
            <w:r>
              <w:rPr>
                <w:sz w:val="22"/>
              </w:rPr>
              <w:t>Cantidad</w:t>
            </w:r>
          </w:p>
        </w:tc>
        <w:tc>
          <w:tcPr>
            <w:tcW w:w="692" w:type="dxa"/>
            <w:tcBorders>
              <w:left w:val="nil"/>
              <w:right w:val="nil"/>
            </w:tcBorders>
          </w:tcPr>
          <w:p>
            <w:pPr>
              <w:pStyle w:val="TableParagraph"/>
              <w:spacing w:line="251" w:lineRule="exact"/>
              <w:ind w:left="224"/>
              <w:rPr>
                <w:sz w:val="22"/>
              </w:rPr>
            </w:pPr>
            <w:r>
              <w:rPr>
                <w:sz w:val="22"/>
              </w:rPr>
              <w:t>de</w:t>
            </w:r>
          </w:p>
        </w:tc>
        <w:tc>
          <w:tcPr>
            <w:tcW w:w="929" w:type="dxa"/>
            <w:tcBorders>
              <w:left w:val="nil"/>
            </w:tcBorders>
          </w:tcPr>
          <w:p>
            <w:pPr>
              <w:pStyle w:val="TableParagraph"/>
              <w:spacing w:line="251" w:lineRule="exact"/>
              <w:ind w:left="222"/>
              <w:rPr>
                <w:sz w:val="22"/>
              </w:rPr>
            </w:pPr>
            <w:r>
              <w:rPr>
                <w:sz w:val="22"/>
              </w:rPr>
              <w:t>reglas</w:t>
            </w:r>
          </w:p>
        </w:tc>
      </w:tr>
    </w:tbl>
    <w:p>
      <w:pPr>
        <w:spacing w:after="0" w:line="251" w:lineRule="exact"/>
        <w:rPr>
          <w:sz w:val="22"/>
        </w:rPr>
        <w:sectPr>
          <w:footerReference w:type="default" r:id="rId252"/>
          <w:pgSz w:w="15840" w:h="12240" w:orient="landscape"/>
          <w:pgMar w:footer="943" w:header="0" w:top="1140" w:bottom="1140" w:left="2020" w:right="1300"/>
          <w:pgNumType w:start="48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2792"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46"/>
              <w:rPr>
                <w:b/>
                <w:sz w:val="22"/>
              </w:rPr>
            </w:pPr>
            <w:r>
              <w:rPr>
                <w:b/>
                <w:sz w:val="22"/>
              </w:rPr>
              <w:t>R10S</w:t>
            </w:r>
          </w:p>
        </w:tc>
        <w:tc>
          <w:tcPr>
            <w:tcW w:w="730" w:type="dxa"/>
            <w:shd w:val="clear" w:color="auto" w:fill="F9BE8F"/>
          </w:tcPr>
          <w:p>
            <w:pPr/>
          </w:p>
        </w:tc>
        <w:tc>
          <w:tcPr>
            <w:tcW w:w="1990" w:type="dxa"/>
          </w:tcPr>
          <w:p>
            <w:pPr>
              <w:pStyle w:val="TableParagraph"/>
              <w:spacing w:line="252" w:lineRule="exact" w:before="2"/>
              <w:ind w:right="830"/>
              <w:rPr>
                <w:sz w:val="22"/>
              </w:rPr>
            </w:pPr>
            <w:r>
              <w:rPr>
                <w:sz w:val="22"/>
              </w:rPr>
              <w:t>formales e informales</w:t>
            </w:r>
          </w:p>
        </w:tc>
        <w:tc>
          <w:tcPr>
            <w:tcW w:w="3262" w:type="dxa"/>
          </w:tcPr>
          <w:p>
            <w:pPr>
              <w:pStyle w:val="TableParagraph"/>
              <w:tabs>
                <w:tab w:pos="2065" w:val="left" w:leader="none"/>
                <w:tab w:pos="2977" w:val="left" w:leader="none"/>
              </w:tabs>
              <w:ind w:right="102"/>
              <w:jc w:val="both"/>
              <w:rPr>
                <w:sz w:val="22"/>
              </w:rPr>
            </w:pPr>
            <w:r>
              <w:rPr>
                <w:sz w:val="22"/>
              </w:rPr>
              <w:t>formal e informal de las reglas entre actores para el uso cuidado y sostenibilidad de la CHPH a través de la gobernanza</w:t>
              <w:tab/>
              <w:t>y</w:t>
              <w:tab/>
              <w:t>la gobernabilidad (García, TC: 2013-2015).</w:t>
            </w:r>
          </w:p>
        </w:tc>
        <w:tc>
          <w:tcPr>
            <w:tcW w:w="2126" w:type="dxa"/>
          </w:tcPr>
          <w:p>
            <w:pPr>
              <w:pStyle w:val="TableParagraph"/>
              <w:ind w:left="107" w:right="107" w:hanging="4"/>
              <w:jc w:val="center"/>
              <w:rPr>
                <w:b/>
                <w:sz w:val="22"/>
              </w:rPr>
            </w:pPr>
            <w:r>
              <w:rPr>
                <w:b/>
                <w:sz w:val="22"/>
              </w:rPr>
              <w:t>formales e informales generadas por los actores sociopolíticos de la CHPH</w:t>
            </w:r>
          </w:p>
        </w:tc>
        <w:tc>
          <w:tcPr>
            <w:tcW w:w="2835" w:type="dxa"/>
          </w:tcPr>
          <w:p>
            <w:pPr>
              <w:pStyle w:val="TableParagraph"/>
              <w:ind w:right="100"/>
              <w:jc w:val="both"/>
              <w:rPr>
                <w:sz w:val="22"/>
              </w:rPr>
            </w:pPr>
            <w:r>
              <w:rPr>
                <w:sz w:val="22"/>
              </w:rPr>
              <w:t>formales e informales generadas por los actores sociopolíticos para el uso, cuidado y  sostenibilidad de la CHPH.</w:t>
            </w:r>
          </w:p>
          <w:p>
            <w:pPr>
              <w:pStyle w:val="TableParagraph"/>
              <w:tabs>
                <w:tab w:pos="2026" w:val="left" w:leader="none"/>
                <w:tab w:pos="2259" w:val="left" w:leader="none"/>
              </w:tabs>
              <w:ind w:right="100"/>
              <w:jc w:val="both"/>
              <w:rPr>
                <w:sz w:val="22"/>
              </w:rPr>
            </w:pPr>
            <w:r>
              <w:rPr>
                <w:sz w:val="22"/>
              </w:rPr>
              <w:t>(Ejemplo:</w:t>
              <w:tab/>
            </w:r>
            <w:r>
              <w:rPr>
                <w:spacing w:val="-1"/>
                <w:sz w:val="22"/>
              </w:rPr>
              <w:t>Comité </w:t>
            </w:r>
            <w:r>
              <w:rPr>
                <w:sz w:val="22"/>
              </w:rPr>
              <w:t>Intermunicipal</w:t>
              <w:tab/>
              <w:tab/>
            </w:r>
            <w:r>
              <w:rPr>
                <w:spacing w:val="-1"/>
                <w:sz w:val="22"/>
              </w:rPr>
              <w:t>Para </w:t>
            </w:r>
            <w:r>
              <w:rPr>
                <w:sz w:val="22"/>
              </w:rPr>
              <w:t>Cuidar, Defender y Administrar los Recursos de la CHPH con su Reglamento).</w:t>
            </w:r>
          </w:p>
        </w:tc>
      </w:tr>
      <w:tr>
        <w:trPr>
          <w:trHeight w:val="3048" w:hRule="exact"/>
        </w:trPr>
        <w:tc>
          <w:tcPr>
            <w:tcW w:w="852"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46"/>
              <w:rPr>
                <w:b/>
                <w:sz w:val="22"/>
              </w:rPr>
            </w:pPr>
            <w:r>
              <w:rPr>
                <w:b/>
                <w:sz w:val="22"/>
              </w:rPr>
              <w:t>R11S</w:t>
            </w:r>
          </w:p>
        </w:tc>
        <w:tc>
          <w:tcPr>
            <w:tcW w:w="730" w:type="dxa"/>
            <w:shd w:val="clear" w:color="auto" w:fill="F9BE8F"/>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
              <w:jc w:val="center"/>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267"/>
              <w:rPr>
                <w:sz w:val="22"/>
              </w:rPr>
            </w:pPr>
            <w:r>
              <w:rPr>
                <w:sz w:val="22"/>
              </w:rPr>
              <w:t>Reglas sociales</w:t>
            </w:r>
          </w:p>
        </w:tc>
        <w:tc>
          <w:tcPr>
            <w:tcW w:w="3262"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101"/>
              <w:jc w:val="both"/>
              <w:rPr>
                <w:sz w:val="22"/>
              </w:rPr>
            </w:pPr>
            <w:r>
              <w:rPr>
                <w:sz w:val="22"/>
              </w:rPr>
              <w:t>Existencia de acuerdos formales e informales respetados por todos los actores sociopolíticos (García, TC: 2013-2015).</w:t>
            </w:r>
          </w:p>
        </w:tc>
        <w:tc>
          <w:tcPr>
            <w:tcW w:w="2126"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155" w:right="158"/>
              <w:jc w:val="center"/>
              <w:rPr>
                <w:b/>
                <w:sz w:val="22"/>
              </w:rPr>
            </w:pPr>
            <w:r>
              <w:rPr>
                <w:b/>
                <w:sz w:val="22"/>
              </w:rPr>
              <w:t># de acuerdos formales e informales respetados por los actores sociopolíticos de la CHPH</w:t>
            </w:r>
          </w:p>
        </w:tc>
        <w:tc>
          <w:tcPr>
            <w:tcW w:w="2835" w:type="dxa"/>
          </w:tcPr>
          <w:p>
            <w:pPr>
              <w:pStyle w:val="TableParagraph"/>
              <w:ind w:right="99"/>
              <w:jc w:val="both"/>
              <w:rPr>
                <w:sz w:val="22"/>
              </w:rPr>
            </w:pPr>
            <w:r>
              <w:rPr>
                <w:sz w:val="22"/>
              </w:rPr>
              <w:t>Cantidad de acuerdos formales e informales respetados por todos los actores sociopolíticos de  la CHPH para lograr su sostenibilidad.</w:t>
            </w:r>
          </w:p>
          <w:p>
            <w:pPr>
              <w:pStyle w:val="TableParagraph"/>
              <w:tabs>
                <w:tab w:pos="2026" w:val="left" w:leader="none"/>
                <w:tab w:pos="2259" w:val="left" w:leader="none"/>
              </w:tabs>
              <w:ind w:right="100"/>
              <w:jc w:val="both"/>
              <w:rPr>
                <w:sz w:val="22"/>
              </w:rPr>
            </w:pPr>
            <w:r>
              <w:rPr>
                <w:sz w:val="22"/>
              </w:rPr>
              <w:t>(Ejemplo:</w:t>
              <w:tab/>
            </w:r>
            <w:r>
              <w:rPr>
                <w:spacing w:val="-1"/>
                <w:sz w:val="22"/>
              </w:rPr>
              <w:t>Comité </w:t>
            </w:r>
            <w:r>
              <w:rPr>
                <w:sz w:val="22"/>
              </w:rPr>
              <w:t>Intermunicipal</w:t>
              <w:tab/>
              <w:tab/>
            </w:r>
            <w:r>
              <w:rPr>
                <w:spacing w:val="-1"/>
                <w:sz w:val="22"/>
              </w:rPr>
              <w:t>Para </w:t>
            </w:r>
            <w:r>
              <w:rPr>
                <w:sz w:val="22"/>
              </w:rPr>
              <w:t>Cuidar, Defender y Administrar los Recursos de la CHPH con su Reglamento).</w:t>
            </w:r>
          </w:p>
        </w:tc>
      </w:tr>
    </w:tbl>
    <w:p>
      <w:pPr>
        <w:pStyle w:val="BodyText"/>
        <w:spacing w:line="248" w:lineRule="exact"/>
        <w:ind w:left="322"/>
      </w:pPr>
      <w:r>
        <w:rPr>
          <w:b/>
        </w:rPr>
        <w:t>Fuente: </w:t>
      </w:r>
      <w:r>
        <w:rPr/>
        <w:t>Elaboración propia con base en las consideraciones teóricas y el Trabajo de Campo, García (2013-2016).</w:t>
      </w:r>
    </w:p>
    <w:p>
      <w:pPr>
        <w:pStyle w:val="BodyText"/>
        <w:rPr>
          <w:sz w:val="20"/>
        </w:rPr>
      </w:pPr>
    </w:p>
    <w:p>
      <w:pPr>
        <w:pStyle w:val="BodyText"/>
        <w:rPr>
          <w:sz w:val="20"/>
        </w:rPr>
      </w:pPr>
    </w:p>
    <w:p>
      <w:pPr>
        <w:pStyle w:val="BodyText"/>
        <w:spacing w:before="8" w:after="1"/>
        <w:rPr>
          <w:sz w:val="23"/>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517" w:hRule="exact"/>
        </w:trPr>
        <w:tc>
          <w:tcPr>
            <w:tcW w:w="11795" w:type="dxa"/>
            <w:gridSpan w:val="6"/>
          </w:tcPr>
          <w:p>
            <w:pPr>
              <w:pStyle w:val="TableParagraph"/>
              <w:ind w:left="4896" w:right="1487" w:hanging="3397"/>
              <w:rPr>
                <w:b/>
                <w:sz w:val="22"/>
              </w:rPr>
            </w:pPr>
            <w:r>
              <w:rPr>
                <w:b/>
                <w:sz w:val="22"/>
              </w:rPr>
              <w:t>Tabla 7.5. Sistema de Indicadores PEIR para la Cuenca Hidrosocial Presa Huapango (AEPA Económica)</w:t>
            </w:r>
          </w:p>
        </w:tc>
      </w:tr>
      <w:tr>
        <w:trPr>
          <w:trHeight w:val="768" w:hRule="exact"/>
        </w:trPr>
        <w:tc>
          <w:tcPr>
            <w:tcW w:w="852" w:type="dxa"/>
            <w:shd w:val="clear" w:color="auto" w:fill="BEBEBE"/>
          </w:tcPr>
          <w:p>
            <w:pPr>
              <w:pStyle w:val="TableParagraph"/>
              <w:ind w:left="115" w:right="112" w:firstLine="12"/>
              <w:jc w:val="both"/>
              <w:rPr>
                <w:b/>
                <w:sz w:val="22"/>
              </w:rPr>
            </w:pPr>
            <w:r>
              <w:rPr>
                <w:b/>
                <w:sz w:val="22"/>
              </w:rPr>
              <w:t>Clave PEIR- AEPA</w:t>
            </w:r>
          </w:p>
        </w:tc>
        <w:tc>
          <w:tcPr>
            <w:tcW w:w="730" w:type="dxa"/>
            <w:shd w:val="clear" w:color="auto" w:fill="BEBEBE"/>
          </w:tcPr>
          <w:p>
            <w:pPr>
              <w:pStyle w:val="TableParagraph"/>
              <w:spacing w:line="248" w:lineRule="exact"/>
              <w:rPr>
                <w:b/>
                <w:sz w:val="22"/>
              </w:rPr>
            </w:pPr>
            <w:r>
              <w:rPr>
                <w:b/>
                <w:sz w:val="22"/>
              </w:rPr>
              <w:t>PEIR</w:t>
            </w:r>
          </w:p>
        </w:tc>
        <w:tc>
          <w:tcPr>
            <w:tcW w:w="1990" w:type="dxa"/>
            <w:shd w:val="clear" w:color="auto" w:fill="BEBEBE"/>
          </w:tcPr>
          <w:p>
            <w:pPr>
              <w:pStyle w:val="TableParagraph"/>
              <w:spacing w:before="5"/>
              <w:ind w:left="0"/>
              <w:rPr>
                <w:sz w:val="21"/>
              </w:rPr>
            </w:pPr>
          </w:p>
          <w:p>
            <w:pPr>
              <w:pStyle w:val="TableParagraph"/>
              <w:ind w:left="494" w:right="267"/>
              <w:rPr>
                <w:b/>
                <w:sz w:val="22"/>
              </w:rPr>
            </w:pPr>
            <w:r>
              <w:rPr>
                <w:b/>
                <w:sz w:val="22"/>
              </w:rPr>
              <w:t>Indicador</w:t>
            </w:r>
          </w:p>
        </w:tc>
        <w:tc>
          <w:tcPr>
            <w:tcW w:w="3262" w:type="dxa"/>
            <w:shd w:val="clear" w:color="auto" w:fill="BEBEBE"/>
          </w:tcPr>
          <w:p>
            <w:pPr>
              <w:pStyle w:val="TableParagraph"/>
              <w:spacing w:before="5"/>
              <w:ind w:left="0"/>
              <w:rPr>
                <w:sz w:val="21"/>
              </w:rPr>
            </w:pPr>
          </w:p>
          <w:p>
            <w:pPr>
              <w:pStyle w:val="TableParagraph"/>
              <w:ind w:left="431" w:right="103"/>
              <w:rPr>
                <w:b/>
                <w:sz w:val="22"/>
              </w:rPr>
            </w:pPr>
            <w:r>
              <w:rPr>
                <w:b/>
                <w:sz w:val="22"/>
              </w:rPr>
              <w:t>Concepto de Indicador</w:t>
            </w:r>
          </w:p>
        </w:tc>
        <w:tc>
          <w:tcPr>
            <w:tcW w:w="2126" w:type="dxa"/>
            <w:shd w:val="clear" w:color="auto" w:fill="BEBEBE"/>
          </w:tcPr>
          <w:p>
            <w:pPr>
              <w:pStyle w:val="TableParagraph"/>
              <w:spacing w:before="122"/>
              <w:ind w:left="578" w:right="511" w:hanging="56"/>
              <w:rPr>
                <w:b/>
                <w:sz w:val="22"/>
              </w:rPr>
            </w:pPr>
            <w:r>
              <w:rPr>
                <w:b/>
                <w:sz w:val="22"/>
              </w:rPr>
              <w:t>Unidad de Medición</w:t>
            </w:r>
          </w:p>
        </w:tc>
        <w:tc>
          <w:tcPr>
            <w:tcW w:w="2835" w:type="dxa"/>
            <w:shd w:val="clear" w:color="auto" w:fill="BEBEBE"/>
          </w:tcPr>
          <w:p>
            <w:pPr>
              <w:pStyle w:val="TableParagraph"/>
              <w:spacing w:line="252" w:lineRule="exact"/>
              <w:ind w:left="775" w:right="178" w:hanging="581"/>
              <w:rPr>
                <w:b/>
                <w:sz w:val="22"/>
              </w:rPr>
            </w:pPr>
            <w:r>
              <w:rPr>
                <w:b/>
                <w:sz w:val="22"/>
              </w:rPr>
              <w:t>Definición de la Unidad de Medición</w:t>
            </w:r>
          </w:p>
        </w:tc>
      </w:tr>
      <w:tr>
        <w:trPr>
          <w:trHeight w:val="516" w:hRule="exact"/>
        </w:trPr>
        <w:tc>
          <w:tcPr>
            <w:tcW w:w="852" w:type="dxa"/>
            <w:shd w:val="clear" w:color="auto" w:fill="F79546"/>
          </w:tcPr>
          <w:p>
            <w:pPr/>
          </w:p>
        </w:tc>
        <w:tc>
          <w:tcPr>
            <w:tcW w:w="730" w:type="dxa"/>
            <w:shd w:val="clear" w:color="auto" w:fill="F79546"/>
          </w:tcPr>
          <w:p>
            <w:pPr/>
          </w:p>
        </w:tc>
        <w:tc>
          <w:tcPr>
            <w:tcW w:w="1990" w:type="dxa"/>
          </w:tcPr>
          <w:p>
            <w:pPr/>
          </w:p>
        </w:tc>
        <w:tc>
          <w:tcPr>
            <w:tcW w:w="3262" w:type="dxa"/>
          </w:tcPr>
          <w:p>
            <w:pPr>
              <w:pStyle w:val="TableParagraph"/>
              <w:tabs>
                <w:tab w:pos="2025" w:val="left" w:leader="none"/>
                <w:tab w:pos="3037" w:val="left" w:leader="none"/>
              </w:tabs>
              <w:spacing w:line="242" w:lineRule="auto"/>
              <w:ind w:right="102"/>
              <w:rPr>
                <w:sz w:val="22"/>
              </w:rPr>
            </w:pPr>
            <w:r>
              <w:rPr>
                <w:sz w:val="22"/>
              </w:rPr>
              <w:t>Son los principales procesos socioeconómicos</w:t>
              <w:tab/>
              <w:t>internos</w:t>
              <w:tab/>
              <w:t>y</w:t>
            </w:r>
          </w:p>
        </w:tc>
        <w:tc>
          <w:tcPr>
            <w:tcW w:w="2126" w:type="dxa"/>
          </w:tcPr>
          <w:p>
            <w:pPr>
              <w:pStyle w:val="TableParagraph"/>
              <w:spacing w:line="242" w:lineRule="auto"/>
              <w:ind w:left="124" w:right="114" w:firstLine="434"/>
              <w:rPr>
                <w:b/>
                <w:sz w:val="22"/>
              </w:rPr>
            </w:pPr>
            <w:r>
              <w:rPr>
                <w:b/>
                <w:sz w:val="22"/>
              </w:rPr>
              <w:t>Procesos socioeconómicos</w:t>
            </w:r>
          </w:p>
        </w:tc>
        <w:tc>
          <w:tcPr>
            <w:tcW w:w="2835" w:type="dxa"/>
          </w:tcPr>
          <w:p>
            <w:pPr>
              <w:pStyle w:val="TableParagraph"/>
              <w:tabs>
                <w:tab w:pos="1432" w:val="left" w:leader="none"/>
                <w:tab w:pos="1633" w:val="left" w:leader="none"/>
                <w:tab w:pos="2612" w:val="left" w:leader="none"/>
              </w:tabs>
              <w:spacing w:line="242" w:lineRule="auto"/>
              <w:ind w:right="99"/>
              <w:rPr>
                <w:sz w:val="22"/>
              </w:rPr>
            </w:pPr>
            <w:r>
              <w:rPr>
                <w:sz w:val="22"/>
              </w:rPr>
              <w:t>Principales</w:t>
              <w:tab/>
              <w:tab/>
            </w:r>
            <w:r>
              <w:rPr>
                <w:spacing w:val="-1"/>
                <w:sz w:val="22"/>
              </w:rPr>
              <w:t>estructuras </w:t>
            </w:r>
            <w:r>
              <w:rPr>
                <w:sz w:val="22"/>
              </w:rPr>
              <w:t>históricas</w:t>
              <w:tab/>
              <w:t>internas</w:t>
              <w:tab/>
              <w:t>y</w:t>
            </w:r>
          </w:p>
        </w:tc>
      </w:tr>
    </w:tbl>
    <w:p>
      <w:pPr>
        <w:spacing w:after="0" w:line="242" w:lineRule="auto"/>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2033"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P1E</w:t>
            </w:r>
          </w:p>
        </w:tc>
        <w:tc>
          <w:tcPr>
            <w:tcW w:w="730" w:type="dxa"/>
            <w:shd w:val="clear" w:color="auto" w:fill="F79546"/>
          </w:tcPr>
          <w:p>
            <w:pPr>
              <w:pStyle w:val="TableParagraph"/>
              <w:spacing w:line="248" w:lineRule="exact"/>
              <w:ind w:left="0" w:right="114"/>
              <w:jc w:val="center"/>
              <w:rPr>
                <w:b/>
                <w:sz w:val="22"/>
              </w:rPr>
            </w:pPr>
            <w:r>
              <w:rPr>
                <w:b/>
                <w:w w:val="100"/>
                <w:sz w:val="22"/>
              </w:rPr>
              <w:t>P</w:t>
            </w:r>
          </w:p>
        </w:tc>
        <w:tc>
          <w:tcPr>
            <w:tcW w:w="1990" w:type="dxa"/>
          </w:tcPr>
          <w:p>
            <w:pPr>
              <w:pStyle w:val="TableParagraph"/>
              <w:spacing w:line="252" w:lineRule="exact" w:before="2"/>
              <w:ind w:right="793"/>
              <w:rPr>
                <w:sz w:val="22"/>
              </w:rPr>
            </w:pPr>
            <w:r>
              <w:rPr>
                <w:sz w:val="22"/>
              </w:rPr>
              <w:t>Historia económica</w:t>
            </w:r>
          </w:p>
        </w:tc>
        <w:tc>
          <w:tcPr>
            <w:tcW w:w="3262" w:type="dxa"/>
          </w:tcPr>
          <w:p>
            <w:pPr>
              <w:pStyle w:val="TableParagraph"/>
              <w:ind w:right="101"/>
              <w:jc w:val="both"/>
              <w:rPr>
                <w:sz w:val="22"/>
              </w:rPr>
            </w:pPr>
            <w:r>
              <w:rPr>
                <w:sz w:val="22"/>
              </w:rPr>
              <w:t>externos que han involucrado históricamente a los actores  de la CHPH en las relaciones de mercado (Cfr. Hecht, 1976; White, 2012 y García, TC: 2013-2015).</w:t>
            </w:r>
          </w:p>
        </w:tc>
        <w:tc>
          <w:tcPr>
            <w:tcW w:w="2126" w:type="dxa"/>
          </w:tcPr>
          <w:p>
            <w:pPr>
              <w:pStyle w:val="TableParagraph"/>
              <w:ind w:left="247" w:right="249" w:hanging="3"/>
              <w:jc w:val="center"/>
              <w:rPr>
                <w:b/>
                <w:sz w:val="22"/>
              </w:rPr>
            </w:pPr>
            <w:r>
              <w:rPr>
                <w:b/>
                <w:sz w:val="22"/>
              </w:rPr>
              <w:t>históricos internos y externos de los actores de la CHPH</w:t>
            </w:r>
          </w:p>
          <w:p>
            <w:pPr>
              <w:pStyle w:val="TableParagraph"/>
              <w:spacing w:line="252" w:lineRule="exact"/>
              <w:ind w:left="116" w:right="120"/>
              <w:jc w:val="center"/>
              <w:rPr>
                <w:b/>
                <w:sz w:val="22"/>
              </w:rPr>
            </w:pPr>
            <w:r>
              <w:rPr>
                <w:b/>
                <w:sz w:val="22"/>
              </w:rPr>
              <w:t>(adimensional)</w:t>
            </w:r>
          </w:p>
        </w:tc>
        <w:tc>
          <w:tcPr>
            <w:tcW w:w="2835" w:type="dxa"/>
          </w:tcPr>
          <w:p>
            <w:pPr>
              <w:pStyle w:val="TableParagraph"/>
              <w:tabs>
                <w:tab w:pos="638" w:val="left" w:leader="none"/>
                <w:tab w:pos="1427" w:val="left" w:leader="none"/>
                <w:tab w:pos="1623" w:val="left" w:leader="none"/>
                <w:tab w:pos="2233" w:val="left" w:leader="none"/>
                <w:tab w:pos="2355" w:val="left" w:leader="none"/>
              </w:tabs>
              <w:ind w:right="99"/>
              <w:rPr>
                <w:sz w:val="22"/>
              </w:rPr>
            </w:pPr>
            <w:r>
              <w:rPr>
                <w:sz w:val="22"/>
              </w:rPr>
              <w:t>externas de los actores de la</w:t>
              <w:tab/>
              <w:t>CHPH</w:t>
              <w:tab/>
              <w:tab/>
              <w:t>que</w:t>
              <w:tab/>
              <w:tab/>
              <w:t>han generado sus relaciones socioeconómicas. (Ejemplo: La construcción de la presa Huapango y el Tratado</w:t>
              <w:tab/>
              <w:t>de</w:t>
              <w:tab/>
              <w:t>Libre Comercio)</w:t>
            </w:r>
          </w:p>
        </w:tc>
      </w:tr>
      <w:tr>
        <w:trPr>
          <w:trHeight w:val="2795"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125" w:right="124"/>
              <w:jc w:val="center"/>
              <w:rPr>
                <w:b/>
                <w:sz w:val="22"/>
              </w:rPr>
            </w:pPr>
            <w:r>
              <w:rPr>
                <w:b/>
                <w:sz w:val="22"/>
              </w:rPr>
              <w:t>P2E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1"/>
              <w:jc w:val="center"/>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left="134"/>
              <w:rPr>
                <w:sz w:val="22"/>
              </w:rPr>
            </w:pPr>
            <w:r>
              <w:rPr>
                <w:sz w:val="22"/>
              </w:rPr>
              <w:t>Poder económico</w:t>
            </w:r>
          </w:p>
        </w:tc>
        <w:tc>
          <w:tcPr>
            <w:tcW w:w="3262" w:type="dxa"/>
          </w:tcPr>
          <w:p>
            <w:pPr>
              <w:pStyle w:val="TableParagraph"/>
              <w:ind w:right="101"/>
              <w:jc w:val="both"/>
              <w:rPr>
                <w:sz w:val="22"/>
              </w:rPr>
            </w:pPr>
            <w:r>
              <w:rPr>
                <w:sz w:val="22"/>
              </w:rPr>
              <w:t>Se refiere al dominio e influencia sobre los  mandos del Estado que tienen los municipios de la CHPH con concesión para riego de la presa Huapango con los municipios que no gozan de ese derecho aunque lo necesiten (Cfr. Norbert Elias, 1994;  Adams,  1980  y García,</w:t>
            </w:r>
          </w:p>
          <w:p>
            <w:pPr>
              <w:pStyle w:val="TableParagraph"/>
              <w:spacing w:line="252" w:lineRule="exact"/>
              <w:jc w:val="both"/>
              <w:rPr>
                <w:sz w:val="22"/>
              </w:rPr>
            </w:pPr>
            <w:r>
              <w:rPr>
                <w:sz w:val="22"/>
              </w:rPr>
              <w:t>TC: 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19" w:right="123"/>
              <w:jc w:val="center"/>
              <w:rPr>
                <w:b/>
                <w:sz w:val="22"/>
              </w:rPr>
            </w:pPr>
            <w:r>
              <w:rPr>
                <w:b/>
                <w:sz w:val="22"/>
              </w:rPr>
              <w:t># de municipios de la CHPH con concesión para riego de la presa Huapango</w:t>
            </w:r>
          </w:p>
        </w:tc>
        <w:tc>
          <w:tcPr>
            <w:tcW w:w="2835" w:type="dxa"/>
          </w:tcPr>
          <w:p>
            <w:pPr>
              <w:pStyle w:val="TableParagraph"/>
              <w:tabs>
                <w:tab w:pos="1365" w:val="left" w:leader="none"/>
              </w:tabs>
              <w:ind w:right="99"/>
              <w:jc w:val="both"/>
              <w:rPr>
                <w:sz w:val="22"/>
              </w:rPr>
            </w:pPr>
            <w:r>
              <w:rPr>
                <w:sz w:val="22"/>
              </w:rPr>
              <w:t>Municipios que se benefician con el agua para riego de la presa Huapango, produciendo una</w:t>
              <w:tab/>
            </w:r>
            <w:r>
              <w:rPr>
                <w:spacing w:val="-1"/>
                <w:sz w:val="22"/>
              </w:rPr>
              <w:t>diferenciación </w:t>
            </w:r>
            <w:r>
              <w:rPr>
                <w:sz w:val="22"/>
              </w:rPr>
              <w:t>socioeconómica y de control entre los municipios.</w:t>
            </w:r>
          </w:p>
          <w:p>
            <w:pPr>
              <w:pStyle w:val="TableParagraph"/>
              <w:spacing w:before="1"/>
              <w:ind w:right="101"/>
              <w:jc w:val="both"/>
              <w:rPr>
                <w:sz w:val="22"/>
              </w:rPr>
            </w:pPr>
            <w:r>
              <w:rPr>
                <w:sz w:val="22"/>
              </w:rPr>
              <w:t>(Ejemplo: Municipio de Polotitlán)</w:t>
            </w:r>
          </w:p>
        </w:tc>
      </w:tr>
      <w:tr>
        <w:trPr>
          <w:trHeight w:val="2792"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P3E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1"/>
              <w:jc w:val="center"/>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right="793"/>
              <w:rPr>
                <w:sz w:val="22"/>
              </w:rPr>
            </w:pPr>
            <w:r>
              <w:rPr>
                <w:sz w:val="22"/>
              </w:rPr>
              <w:t>Cultura económica</w:t>
            </w:r>
          </w:p>
        </w:tc>
        <w:tc>
          <w:tcPr>
            <w:tcW w:w="3262" w:type="dxa"/>
          </w:tcPr>
          <w:p>
            <w:pPr>
              <w:pStyle w:val="TableParagraph"/>
              <w:ind w:right="99" w:firstLine="62"/>
              <w:jc w:val="both"/>
              <w:rPr>
                <w:sz w:val="22"/>
              </w:rPr>
            </w:pPr>
            <w:r>
              <w:rPr>
                <w:sz w:val="22"/>
              </w:rPr>
              <w:t>Es la dependencia económica de los recursos naturales que han tenido los actores de la CHPH a través  del  tiempo para su subsistencia y que ha generado la sobreexplotación de éstos y mermado la sostenibilidad de la Cuenca para generaciones presentes y futuras (Arjona, 1986 y García, TC: 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07" w:right="108" w:hanging="5"/>
              <w:jc w:val="center"/>
              <w:rPr>
                <w:b/>
                <w:sz w:val="22"/>
              </w:rPr>
            </w:pPr>
            <w:r>
              <w:rPr>
                <w:b/>
                <w:sz w:val="22"/>
              </w:rPr>
              <w:t># de recursos naturales que son sobreexplotados por los actores de la CHPH para su subsistencia.</w:t>
            </w:r>
          </w:p>
        </w:tc>
        <w:tc>
          <w:tcPr>
            <w:tcW w:w="2835" w:type="dxa"/>
          </w:tcPr>
          <w:p>
            <w:pPr>
              <w:pStyle w:val="TableParagraph"/>
              <w:ind w:right="99"/>
              <w:jc w:val="both"/>
              <w:rPr>
                <w:sz w:val="22"/>
              </w:rPr>
            </w:pPr>
            <w:r>
              <w:rPr>
                <w:sz w:val="22"/>
              </w:rPr>
              <w:t>Cantidad de recursos naturales que son sobreexplotados por los actores de la CHPH para su subsistencia.</w:t>
            </w:r>
          </w:p>
          <w:p>
            <w:pPr>
              <w:pStyle w:val="TableParagraph"/>
              <w:ind w:right="101"/>
              <w:jc w:val="both"/>
              <w:rPr>
                <w:sz w:val="22"/>
              </w:rPr>
            </w:pPr>
            <w:r>
              <w:rPr>
                <w:sz w:val="22"/>
              </w:rPr>
              <w:t>(Ejemplo: agua para riego, agostaderos, comida lacustre)</w:t>
            </w:r>
          </w:p>
        </w:tc>
      </w:tr>
      <w:tr>
        <w:trPr>
          <w:trHeight w:val="1022" w:hRule="exact"/>
        </w:trPr>
        <w:tc>
          <w:tcPr>
            <w:tcW w:w="852" w:type="dxa"/>
            <w:shd w:val="clear" w:color="auto" w:fill="F79546"/>
          </w:tcPr>
          <w:p>
            <w:pPr/>
          </w:p>
        </w:tc>
        <w:tc>
          <w:tcPr>
            <w:tcW w:w="730" w:type="dxa"/>
            <w:shd w:val="clear" w:color="auto" w:fill="F79546"/>
          </w:tcPr>
          <w:p>
            <w:pPr>
              <w:pStyle w:val="TableParagraph"/>
              <w:spacing w:before="8"/>
              <w:ind w:left="0"/>
              <w:rPr>
                <w:rFonts w:ascii="Times New Roman"/>
                <w:sz w:val="32"/>
              </w:rPr>
            </w:pPr>
          </w:p>
          <w:p>
            <w:pPr>
              <w:pStyle w:val="TableParagraph"/>
              <w:spacing w:before="1"/>
              <w:ind w:left="0" w:right="1"/>
              <w:jc w:val="center"/>
              <w:rPr>
                <w:b/>
                <w:sz w:val="22"/>
              </w:rPr>
            </w:pPr>
            <w:r>
              <w:rPr>
                <w:b/>
                <w:w w:val="100"/>
                <w:sz w:val="22"/>
              </w:rPr>
              <w:t>P</w:t>
            </w:r>
          </w:p>
        </w:tc>
        <w:tc>
          <w:tcPr>
            <w:tcW w:w="1990" w:type="dxa"/>
          </w:tcPr>
          <w:p>
            <w:pPr>
              <w:pStyle w:val="TableParagraph"/>
              <w:spacing w:before="125"/>
              <w:ind w:right="512"/>
              <w:rPr>
                <w:sz w:val="22"/>
              </w:rPr>
            </w:pPr>
            <w:r>
              <w:rPr>
                <w:sz w:val="22"/>
              </w:rPr>
              <w:t>Democracia y voluntariedad</w:t>
            </w:r>
          </w:p>
        </w:tc>
        <w:tc>
          <w:tcPr>
            <w:tcW w:w="3262" w:type="dxa"/>
          </w:tcPr>
          <w:p>
            <w:pPr>
              <w:pStyle w:val="TableParagraph"/>
              <w:ind w:right="101"/>
              <w:jc w:val="both"/>
              <w:rPr>
                <w:sz w:val="22"/>
              </w:rPr>
            </w:pPr>
            <w:r>
              <w:rPr>
                <w:sz w:val="22"/>
              </w:rPr>
              <w:t>Es la petición pública de los actores históricos de la CHPH para acceder a una participación  equitativa  en   el</w:t>
            </w:r>
          </w:p>
        </w:tc>
        <w:tc>
          <w:tcPr>
            <w:tcW w:w="2126" w:type="dxa"/>
          </w:tcPr>
          <w:p>
            <w:pPr>
              <w:pStyle w:val="TableParagraph"/>
              <w:ind w:left="97" w:right="103"/>
              <w:jc w:val="center"/>
              <w:rPr>
                <w:b/>
                <w:sz w:val="22"/>
              </w:rPr>
            </w:pPr>
            <w:r>
              <w:rPr>
                <w:b/>
                <w:sz w:val="22"/>
              </w:rPr>
              <w:t>Acceso equitativo en el disfrute de los recursos de la cuenca por parte</w:t>
            </w:r>
          </w:p>
        </w:tc>
        <w:tc>
          <w:tcPr>
            <w:tcW w:w="2835" w:type="dxa"/>
          </w:tcPr>
          <w:p>
            <w:pPr>
              <w:pStyle w:val="TableParagraph"/>
              <w:ind w:right="100"/>
              <w:jc w:val="both"/>
              <w:rPr>
                <w:sz w:val="21"/>
              </w:rPr>
            </w:pPr>
            <w:r>
              <w:rPr>
                <w:sz w:val="21"/>
              </w:rPr>
              <w:t>Participación equitativa en el uso de los recursos de la CHPH por parte de todos los actores históricos de</w:t>
            </w:r>
            <w:r>
              <w:rPr>
                <w:spacing w:val="33"/>
                <w:sz w:val="21"/>
              </w:rPr>
              <w:t> </w:t>
            </w:r>
            <w:r>
              <w:rPr>
                <w:sz w:val="21"/>
              </w:rPr>
              <w:t>los</w:t>
            </w:r>
          </w:p>
        </w:tc>
      </w:tr>
    </w:tbl>
    <w:p>
      <w:pPr>
        <w:spacing w:after="0"/>
        <w:jc w:val="both"/>
        <w:rPr>
          <w:sz w:val="21"/>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1942" w:hRule="exact"/>
        </w:trPr>
        <w:tc>
          <w:tcPr>
            <w:tcW w:w="852" w:type="dxa"/>
            <w:shd w:val="clear" w:color="auto" w:fill="F79546"/>
          </w:tcPr>
          <w:p>
            <w:pPr>
              <w:pStyle w:val="TableParagraph"/>
              <w:spacing w:before="5"/>
              <w:ind w:left="0"/>
              <w:rPr>
                <w:rFonts w:ascii="Times New Roman"/>
                <w:sz w:val="21"/>
              </w:rPr>
            </w:pPr>
          </w:p>
          <w:p>
            <w:pPr>
              <w:pStyle w:val="TableParagraph"/>
              <w:ind w:left="125" w:right="124"/>
              <w:jc w:val="center"/>
              <w:rPr>
                <w:b/>
                <w:sz w:val="22"/>
              </w:rPr>
            </w:pPr>
            <w:r>
              <w:rPr>
                <w:b/>
                <w:sz w:val="22"/>
              </w:rPr>
              <w:t>P4E</w:t>
            </w:r>
          </w:p>
        </w:tc>
        <w:tc>
          <w:tcPr>
            <w:tcW w:w="730" w:type="dxa"/>
            <w:shd w:val="clear" w:color="auto" w:fill="F79546"/>
          </w:tcPr>
          <w:p>
            <w:pPr/>
          </w:p>
        </w:tc>
        <w:tc>
          <w:tcPr>
            <w:tcW w:w="1990" w:type="dxa"/>
          </w:tcPr>
          <w:p>
            <w:pPr/>
          </w:p>
        </w:tc>
        <w:tc>
          <w:tcPr>
            <w:tcW w:w="3262" w:type="dxa"/>
          </w:tcPr>
          <w:p>
            <w:pPr>
              <w:pStyle w:val="TableParagraph"/>
              <w:ind w:right="101"/>
              <w:jc w:val="both"/>
              <w:rPr>
                <w:sz w:val="22"/>
              </w:rPr>
            </w:pPr>
            <w:r>
              <w:rPr>
                <w:sz w:val="22"/>
              </w:rPr>
              <w:t>disfrute de los recursos socioeconómicos que se producen en la Cuenca (Romero, et al., 2012; Palerm, 1993;  Bobbio,  1999;   Bovero,</w:t>
            </w:r>
          </w:p>
          <w:p>
            <w:pPr>
              <w:pStyle w:val="TableParagraph"/>
              <w:spacing w:line="252" w:lineRule="exact"/>
              <w:jc w:val="both"/>
              <w:rPr>
                <w:sz w:val="22"/>
              </w:rPr>
            </w:pPr>
            <w:r>
              <w:rPr>
                <w:sz w:val="22"/>
              </w:rPr>
              <w:t>2002;  Sartori,  1993  y García,</w:t>
            </w:r>
          </w:p>
          <w:p>
            <w:pPr>
              <w:pStyle w:val="TableParagraph"/>
              <w:spacing w:line="252" w:lineRule="exact"/>
              <w:jc w:val="both"/>
              <w:rPr>
                <w:sz w:val="22"/>
              </w:rPr>
            </w:pPr>
            <w:r>
              <w:rPr>
                <w:sz w:val="22"/>
              </w:rPr>
              <w:t>TC: 2013-2015).</w:t>
            </w:r>
          </w:p>
        </w:tc>
        <w:tc>
          <w:tcPr>
            <w:tcW w:w="2126" w:type="dxa"/>
          </w:tcPr>
          <w:p>
            <w:pPr>
              <w:pStyle w:val="TableParagraph"/>
              <w:ind w:left="100" w:right="101"/>
              <w:jc w:val="center"/>
              <w:rPr>
                <w:b/>
                <w:sz w:val="22"/>
              </w:rPr>
            </w:pPr>
            <w:r>
              <w:rPr>
                <w:b/>
                <w:sz w:val="22"/>
              </w:rPr>
              <w:t>de todos los actores históricos de la CHPH (adimensional)</w:t>
            </w:r>
          </w:p>
        </w:tc>
        <w:tc>
          <w:tcPr>
            <w:tcW w:w="2835" w:type="dxa"/>
          </w:tcPr>
          <w:p>
            <w:pPr>
              <w:pStyle w:val="TableParagraph"/>
              <w:ind w:right="101"/>
              <w:jc w:val="both"/>
              <w:rPr>
                <w:sz w:val="21"/>
              </w:rPr>
            </w:pPr>
            <w:r>
              <w:rPr>
                <w:sz w:val="21"/>
              </w:rPr>
              <w:t>municipios que integran la Cuenca.</w:t>
            </w:r>
          </w:p>
          <w:p>
            <w:pPr>
              <w:pStyle w:val="TableParagraph"/>
              <w:tabs>
                <w:tab w:pos="1928" w:val="left" w:leader="none"/>
              </w:tabs>
              <w:ind w:right="100"/>
              <w:jc w:val="both"/>
              <w:rPr>
                <w:sz w:val="21"/>
              </w:rPr>
            </w:pPr>
            <w:r>
              <w:rPr>
                <w:sz w:val="21"/>
              </w:rPr>
              <w:t>(Ejemplo:</w:t>
              <w:tab/>
            </w:r>
            <w:r>
              <w:rPr>
                <w:spacing w:val="-1"/>
                <w:sz w:val="21"/>
              </w:rPr>
              <w:t>Derecho </w:t>
            </w:r>
            <w:r>
              <w:rPr>
                <w:sz w:val="21"/>
              </w:rPr>
              <w:t>igualitario de los actores de los cinco municipios que integran la CHPH al acceso del agua para riego de la presa</w:t>
            </w:r>
            <w:r>
              <w:rPr>
                <w:spacing w:val="-1"/>
                <w:sz w:val="21"/>
              </w:rPr>
              <w:t> </w:t>
            </w:r>
            <w:r>
              <w:rPr>
                <w:sz w:val="21"/>
              </w:rPr>
              <w:t>Huapango).</w:t>
            </w:r>
          </w:p>
        </w:tc>
      </w:tr>
      <w:tr>
        <w:trPr>
          <w:trHeight w:val="2795"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4"/>
              <w:jc w:val="center"/>
              <w:rPr>
                <w:b/>
                <w:sz w:val="22"/>
              </w:rPr>
            </w:pPr>
            <w:r>
              <w:rPr>
                <w:b/>
                <w:sz w:val="22"/>
              </w:rPr>
              <w:t>P5E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spacing w:before="1"/>
              <w:ind w:right="280"/>
              <w:rPr>
                <w:sz w:val="22"/>
              </w:rPr>
            </w:pPr>
            <w:r>
              <w:rPr>
                <w:sz w:val="22"/>
              </w:rPr>
              <w:t>Participación socioeconómica</w:t>
            </w:r>
          </w:p>
        </w:tc>
        <w:tc>
          <w:tcPr>
            <w:tcW w:w="3262" w:type="dxa"/>
          </w:tcPr>
          <w:p>
            <w:pPr>
              <w:pStyle w:val="TableParagraph"/>
              <w:ind w:right="99"/>
              <w:jc w:val="both"/>
              <w:rPr>
                <w:sz w:val="22"/>
              </w:rPr>
            </w:pPr>
            <w:r>
              <w:rPr>
                <w:sz w:val="22"/>
              </w:rPr>
              <w:t>El deseo consiente de participación equitativa de los actores históricos de la CHPH en el uso y disfrute de los recursos naturales para que  no exista una concentración  de riqueza en pocas manos y la distribución socioeconómica sea más igualitaria (Cfr. INAFED, 2014 y García, TC: 2013-2015).</w:t>
            </w:r>
          </w:p>
        </w:tc>
        <w:tc>
          <w:tcPr>
            <w:tcW w:w="2126" w:type="dxa"/>
          </w:tcPr>
          <w:p>
            <w:pPr>
              <w:pStyle w:val="TableParagraph"/>
              <w:spacing w:before="7"/>
              <w:ind w:left="0"/>
              <w:rPr>
                <w:rFonts w:ascii="Times New Roman"/>
                <w:sz w:val="32"/>
              </w:rPr>
            </w:pPr>
          </w:p>
          <w:p>
            <w:pPr>
              <w:pStyle w:val="TableParagraph"/>
              <w:ind w:left="107" w:right="108"/>
              <w:jc w:val="center"/>
              <w:rPr>
                <w:b/>
                <w:sz w:val="22"/>
              </w:rPr>
            </w:pPr>
            <w:r>
              <w:rPr>
                <w:b/>
                <w:sz w:val="22"/>
              </w:rPr>
              <w:t>Participación equitativa de los actores históricos en el uso y disfrute de los recursos de la CHPH</w:t>
            </w:r>
          </w:p>
          <w:p>
            <w:pPr>
              <w:pStyle w:val="TableParagraph"/>
              <w:spacing w:line="252" w:lineRule="exact"/>
              <w:ind w:left="116" w:right="120"/>
              <w:jc w:val="center"/>
              <w:rPr>
                <w:b/>
                <w:sz w:val="22"/>
              </w:rPr>
            </w:pPr>
            <w:r>
              <w:rPr>
                <w:b/>
                <w:sz w:val="22"/>
              </w:rPr>
              <w:t>(adimensional)</w:t>
            </w:r>
          </w:p>
        </w:tc>
        <w:tc>
          <w:tcPr>
            <w:tcW w:w="2835" w:type="dxa"/>
          </w:tcPr>
          <w:p>
            <w:pPr>
              <w:pStyle w:val="TableParagraph"/>
              <w:tabs>
                <w:tab w:pos="974" w:val="left" w:leader="none"/>
                <w:tab w:pos="1878" w:val="left" w:leader="none"/>
                <w:tab w:pos="2026" w:val="left" w:leader="none"/>
              </w:tabs>
              <w:ind w:right="99"/>
              <w:rPr>
                <w:sz w:val="22"/>
              </w:rPr>
            </w:pPr>
            <w:r>
              <w:rPr>
                <w:sz w:val="22"/>
              </w:rPr>
              <w:t>Participación equitativa de los actores históricos de la CHPH en el uso y disfrute de</w:t>
              <w:tab/>
              <w:t>los</w:t>
              <w:tab/>
            </w:r>
            <w:r>
              <w:rPr>
                <w:spacing w:val="-1"/>
                <w:sz w:val="22"/>
              </w:rPr>
              <w:t>recursos </w:t>
            </w:r>
            <w:r>
              <w:rPr>
                <w:sz w:val="22"/>
              </w:rPr>
              <w:t>socioeconómicos de ésta. (Ejemplo:</w:t>
              <w:tab/>
              <w:tab/>
            </w:r>
            <w:r>
              <w:rPr>
                <w:spacing w:val="-1"/>
                <w:sz w:val="22"/>
              </w:rPr>
              <w:t>acceso </w:t>
            </w:r>
            <w:r>
              <w:rPr>
                <w:sz w:val="22"/>
              </w:rPr>
              <w:t>igualitario en el uso de agua para</w:t>
            </w:r>
            <w:r>
              <w:rPr>
                <w:spacing w:val="-5"/>
                <w:sz w:val="22"/>
              </w:rPr>
              <w:t> </w:t>
            </w:r>
            <w:r>
              <w:rPr>
                <w:sz w:val="22"/>
              </w:rPr>
              <w:t>riego).</w:t>
            </w:r>
          </w:p>
        </w:tc>
      </w:tr>
      <w:tr>
        <w:trPr>
          <w:trHeight w:val="4057"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P6E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267"/>
              <w:rPr>
                <w:sz w:val="22"/>
              </w:rPr>
            </w:pPr>
            <w:r>
              <w:rPr>
                <w:sz w:val="22"/>
              </w:rPr>
              <w:t>Relaciones intermunicipales</w:t>
            </w:r>
          </w:p>
        </w:tc>
        <w:tc>
          <w:tcPr>
            <w:tcW w:w="3262" w:type="dxa"/>
          </w:tcPr>
          <w:p>
            <w:pPr>
              <w:pStyle w:val="TableParagraph"/>
              <w:spacing w:before="8"/>
              <w:ind w:left="0"/>
              <w:rPr>
                <w:rFonts w:ascii="Times New Roman"/>
                <w:sz w:val="21"/>
              </w:rPr>
            </w:pPr>
          </w:p>
          <w:p>
            <w:pPr>
              <w:pStyle w:val="TableParagraph"/>
              <w:tabs>
                <w:tab w:pos="1003" w:val="left" w:leader="none"/>
                <w:tab w:pos="2121" w:val="left" w:leader="none"/>
              </w:tabs>
              <w:ind w:right="100"/>
              <w:jc w:val="both"/>
              <w:rPr>
                <w:sz w:val="22"/>
              </w:rPr>
            </w:pPr>
            <w:r>
              <w:rPr>
                <w:sz w:val="22"/>
              </w:rPr>
              <w:t>Los actores históricos de los municipios que integran la CHPH no tienen un mecanismo formal de interrelación para hacer frente a</w:t>
              <w:tab/>
              <w:t>sus</w:t>
              <w:tab/>
            </w:r>
            <w:r>
              <w:rPr>
                <w:spacing w:val="-1"/>
                <w:sz w:val="22"/>
              </w:rPr>
              <w:t>problemas </w:t>
            </w:r>
            <w:r>
              <w:rPr>
                <w:sz w:val="22"/>
              </w:rPr>
              <w:t>socioeconómicos comunes, pero si existe una interrelación municipal informal en términos socioeconómicos a través  de la compra-venta de materias primas y con los mercados y tianguis</w:t>
            </w:r>
            <w:r>
              <w:rPr>
                <w:spacing w:val="-7"/>
                <w:sz w:val="22"/>
              </w:rPr>
              <w:t> </w:t>
            </w:r>
            <w:r>
              <w:rPr>
                <w:sz w:val="22"/>
              </w:rPr>
              <w:t>regionales.</w:t>
            </w:r>
          </w:p>
          <w:p>
            <w:pPr>
              <w:pStyle w:val="TableParagraph"/>
              <w:spacing w:line="252" w:lineRule="exact"/>
              <w:jc w:val="both"/>
              <w:rPr>
                <w:sz w:val="22"/>
              </w:rPr>
            </w:pPr>
            <w:r>
              <w:rPr>
                <w:sz w:val="22"/>
              </w:rPr>
              <w:t>(García, TC: 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4" w:right="129" w:firstLine="5"/>
              <w:jc w:val="center"/>
              <w:rPr>
                <w:b/>
                <w:sz w:val="22"/>
              </w:rPr>
            </w:pPr>
            <w:r>
              <w:rPr>
                <w:b/>
                <w:sz w:val="22"/>
              </w:rPr>
              <w:t># de acuerdos formales e informales entre los actores de los municipios de la CHPH</w:t>
            </w:r>
          </w:p>
        </w:tc>
        <w:tc>
          <w:tcPr>
            <w:tcW w:w="2835" w:type="dxa"/>
          </w:tcPr>
          <w:p>
            <w:pPr>
              <w:pStyle w:val="TableParagraph"/>
              <w:tabs>
                <w:tab w:pos="1696" w:val="left" w:leader="none"/>
              </w:tabs>
              <w:ind w:right="99"/>
              <w:jc w:val="both"/>
              <w:rPr>
                <w:sz w:val="22"/>
              </w:rPr>
            </w:pPr>
            <w:r>
              <w:rPr>
                <w:sz w:val="22"/>
              </w:rPr>
              <w:t>Cantidad de acuerdos formales e informales entre los actores de los municipios para atender los</w:t>
              <w:tab/>
            </w:r>
            <w:r>
              <w:rPr>
                <w:spacing w:val="-1"/>
                <w:sz w:val="22"/>
              </w:rPr>
              <w:t>problemas</w:t>
            </w:r>
          </w:p>
          <w:p>
            <w:pPr>
              <w:pStyle w:val="TableParagraph"/>
              <w:tabs>
                <w:tab w:pos="1120" w:val="left" w:leader="none"/>
                <w:tab w:pos="1187" w:val="left" w:leader="none"/>
                <w:tab w:pos="1319" w:val="left" w:leader="none"/>
                <w:tab w:pos="1510" w:val="left" w:leader="none"/>
                <w:tab w:pos="1792" w:val="left" w:leader="none"/>
                <w:tab w:pos="2026" w:val="left" w:leader="none"/>
                <w:tab w:pos="2442" w:val="left" w:leader="none"/>
                <w:tab w:pos="2475" w:val="left" w:leader="none"/>
                <w:tab w:pos="2550" w:val="left" w:leader="none"/>
              </w:tabs>
              <w:spacing w:before="1"/>
              <w:ind w:right="99"/>
              <w:rPr>
                <w:sz w:val="22"/>
              </w:rPr>
            </w:pPr>
            <w:r>
              <w:rPr>
                <w:sz w:val="22"/>
              </w:rPr>
              <w:t>socioeconómicos</w:t>
              <w:tab/>
              <w:t>de</w:t>
              <w:tab/>
              <w:tab/>
              <w:tab/>
              <w:t>la CHPH para el desarrollo equitativo de la región. (Ejemplo: aún no existen acuerdos</w:t>
              <w:tab/>
              <w:tab/>
              <w:tab/>
              <w:t>formales</w:t>
              <w:tab/>
              <w:tab/>
              <w:t>de interrelación</w:t>
              <w:tab/>
              <w:tab/>
              <w:tab/>
            </w:r>
            <w:r>
              <w:rPr>
                <w:spacing w:val="-1"/>
                <w:sz w:val="22"/>
              </w:rPr>
              <w:t>municipal </w:t>
            </w:r>
            <w:r>
              <w:rPr>
                <w:sz w:val="22"/>
              </w:rPr>
              <w:t>para</w:t>
              <w:tab/>
              <w:t>atender</w:t>
              <w:tab/>
              <w:tab/>
              <w:t>los problemas socioeconómicos</w:t>
              <w:tab/>
              <w:t>de</w:t>
              <w:tab/>
              <w:tab/>
              <w:tab/>
              <w:t>la CHPH,</w:t>
              <w:tab/>
              <w:tab/>
              <w:t>pero</w:t>
              <w:tab/>
              <w:tab/>
            </w:r>
            <w:r>
              <w:rPr>
                <w:spacing w:val="-1"/>
                <w:sz w:val="22"/>
              </w:rPr>
              <w:t>existen informales</w:t>
              <w:tab/>
              <w:tab/>
              <w:tab/>
            </w:r>
            <w:r>
              <w:rPr>
                <w:sz w:val="22"/>
              </w:rPr>
              <w:t>como</w:t>
              <w:tab/>
              <w:t>los</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516" w:hRule="exact"/>
        </w:trPr>
        <w:tc>
          <w:tcPr>
            <w:tcW w:w="852" w:type="dxa"/>
            <w:shd w:val="clear" w:color="auto" w:fill="F79546"/>
          </w:tcPr>
          <w:p>
            <w:pPr/>
          </w:p>
        </w:tc>
        <w:tc>
          <w:tcPr>
            <w:tcW w:w="730" w:type="dxa"/>
            <w:shd w:val="clear" w:color="auto" w:fill="F79546"/>
          </w:tcPr>
          <w:p>
            <w:pPr/>
          </w:p>
        </w:tc>
        <w:tc>
          <w:tcPr>
            <w:tcW w:w="1990" w:type="dxa"/>
          </w:tcPr>
          <w:p>
            <w:pPr/>
          </w:p>
        </w:tc>
        <w:tc>
          <w:tcPr>
            <w:tcW w:w="3262" w:type="dxa"/>
          </w:tcPr>
          <w:p>
            <w:pPr/>
          </w:p>
        </w:tc>
        <w:tc>
          <w:tcPr>
            <w:tcW w:w="2126" w:type="dxa"/>
          </w:tcPr>
          <w:p>
            <w:pPr/>
          </w:p>
        </w:tc>
        <w:tc>
          <w:tcPr>
            <w:tcW w:w="2835" w:type="dxa"/>
          </w:tcPr>
          <w:p>
            <w:pPr>
              <w:pStyle w:val="TableParagraph"/>
              <w:tabs>
                <w:tab w:pos="1463" w:val="left" w:leader="none"/>
                <w:tab w:pos="1964" w:val="left" w:leader="none"/>
              </w:tabs>
              <w:spacing w:line="252" w:lineRule="exact" w:before="2"/>
              <w:ind w:right="102"/>
              <w:rPr>
                <w:sz w:val="22"/>
              </w:rPr>
            </w:pPr>
            <w:r>
              <w:rPr>
                <w:sz w:val="22"/>
              </w:rPr>
              <w:t>mercados</w:t>
              <w:tab/>
              <w:t>y</w:t>
              <w:tab/>
            </w:r>
            <w:r>
              <w:rPr>
                <w:spacing w:val="-1"/>
                <w:sz w:val="22"/>
              </w:rPr>
              <w:t>tianguis </w:t>
            </w:r>
            <w:r>
              <w:rPr>
                <w:sz w:val="22"/>
              </w:rPr>
              <w:t>regionales).</w:t>
            </w:r>
          </w:p>
        </w:tc>
      </w:tr>
      <w:tr>
        <w:trPr>
          <w:trHeight w:val="3046"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rPr>
                <w:b/>
                <w:sz w:val="22"/>
              </w:rPr>
            </w:pPr>
            <w:r>
              <w:rPr>
                <w:b/>
                <w:sz w:val="22"/>
              </w:rPr>
              <w:t>P7E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610"/>
              <w:rPr>
                <w:sz w:val="22"/>
              </w:rPr>
            </w:pPr>
            <w:r>
              <w:rPr>
                <w:sz w:val="22"/>
              </w:rPr>
              <w:t>Cooperación económica</w:t>
            </w:r>
          </w:p>
        </w:tc>
        <w:tc>
          <w:tcPr>
            <w:tcW w:w="3262" w:type="dxa"/>
          </w:tcPr>
          <w:p>
            <w:pPr>
              <w:pStyle w:val="TableParagraph"/>
              <w:tabs>
                <w:tab w:pos="1185" w:val="left" w:leader="none"/>
                <w:tab w:pos="2303" w:val="left" w:leader="none"/>
              </w:tabs>
              <w:spacing w:before="125"/>
              <w:ind w:right="102"/>
              <w:jc w:val="both"/>
              <w:rPr>
                <w:sz w:val="22"/>
              </w:rPr>
            </w:pPr>
            <w:r>
              <w:rPr>
                <w:sz w:val="22"/>
              </w:rPr>
              <w:t>La colaboración intermunicipal entre los actores de la CHPH para el uso, manejo y cuidado de</w:t>
              <w:tab/>
              <w:t>los</w:t>
              <w:tab/>
            </w:r>
            <w:r>
              <w:rPr>
                <w:spacing w:val="-1"/>
                <w:sz w:val="22"/>
              </w:rPr>
              <w:t>recursos </w:t>
            </w:r>
            <w:r>
              <w:rPr>
                <w:sz w:val="22"/>
              </w:rPr>
              <w:t>socioeconómicos de la  Cuenca es aún limitada, ya  que no existen mecanismos formales e informales para el trabajo conjunto (González, 2003   y   García,   TC:   </w:t>
            </w:r>
            <w:r>
              <w:rPr>
                <w:spacing w:val="6"/>
                <w:sz w:val="22"/>
              </w:rPr>
              <w:t> </w:t>
            </w:r>
            <w:r>
              <w:rPr>
                <w:sz w:val="22"/>
              </w:rPr>
              <w:t>2013-</w:t>
            </w:r>
          </w:p>
          <w:p>
            <w:pPr>
              <w:pStyle w:val="TableParagraph"/>
              <w:spacing w:before="1"/>
              <w:jc w:val="both"/>
              <w:rPr>
                <w:sz w:val="22"/>
              </w:rPr>
            </w:pPr>
            <w:r>
              <w:rPr>
                <w:sz w:val="22"/>
              </w:rPr>
              <w:t>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00" w:right="103"/>
              <w:jc w:val="center"/>
              <w:rPr>
                <w:b/>
                <w:sz w:val="22"/>
              </w:rPr>
            </w:pPr>
            <w:r>
              <w:rPr>
                <w:b/>
                <w:sz w:val="22"/>
              </w:rPr>
              <w:t># de acuerdos intermunicipales para el trabajo conjunto entre los actores de la CHPH</w:t>
            </w:r>
          </w:p>
        </w:tc>
        <w:tc>
          <w:tcPr>
            <w:tcW w:w="2835" w:type="dxa"/>
          </w:tcPr>
          <w:p>
            <w:pPr>
              <w:pStyle w:val="TableParagraph"/>
              <w:ind w:right="99"/>
              <w:jc w:val="both"/>
              <w:rPr>
                <w:sz w:val="22"/>
              </w:rPr>
            </w:pPr>
            <w:r>
              <w:rPr>
                <w:sz w:val="22"/>
              </w:rPr>
              <w:t>Cantidad de convenios entre los actores de los municipios de la CHPH para el uso, manejo y cuidado de los recursos socioeconómicos de la Cuenca.</w:t>
            </w:r>
          </w:p>
          <w:p>
            <w:pPr>
              <w:pStyle w:val="TableParagraph"/>
              <w:spacing w:before="1"/>
              <w:ind w:right="99"/>
              <w:jc w:val="both"/>
              <w:rPr>
                <w:sz w:val="22"/>
              </w:rPr>
            </w:pPr>
            <w:r>
              <w:rPr>
                <w:sz w:val="22"/>
              </w:rPr>
              <w:t>(Ejemplo: aún no existen convenios entre los cinco municipios de la CHPH para el uso, manejo y cuidado de los recursos).</w:t>
            </w:r>
          </w:p>
        </w:tc>
      </w:tr>
      <w:tr>
        <w:trPr>
          <w:trHeight w:val="3046"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10"/>
              <w:jc w:val="right"/>
              <w:rPr>
                <w:b/>
                <w:sz w:val="22"/>
              </w:rPr>
            </w:pPr>
            <w:r>
              <w:rPr>
                <w:b/>
                <w:sz w:val="22"/>
              </w:rPr>
              <w:t>P8E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793"/>
              <w:rPr>
                <w:sz w:val="22"/>
              </w:rPr>
            </w:pPr>
            <w:r>
              <w:rPr>
                <w:sz w:val="22"/>
              </w:rPr>
              <w:t>Identidad económica</w:t>
            </w:r>
          </w:p>
        </w:tc>
        <w:tc>
          <w:tcPr>
            <w:tcW w:w="3262" w:type="dxa"/>
          </w:tcPr>
          <w:p>
            <w:pPr>
              <w:pStyle w:val="TableParagraph"/>
              <w:spacing w:before="125"/>
              <w:ind w:right="101"/>
              <w:jc w:val="both"/>
              <w:rPr>
                <w:sz w:val="22"/>
              </w:rPr>
            </w:pPr>
            <w:r>
              <w:rPr>
                <w:sz w:val="22"/>
              </w:rPr>
              <w:t>La historia ha generado un sistema productivo local basado en la agricultura,  pesca y ganadería, lo que ha traído consigo la generación  de reglas informales entre los actores de la CHPH basadas en el derecho consuetudinario para disponer de los recursos económicos de la CHPH (García, TC:</w:t>
            </w:r>
            <w:r>
              <w:rPr>
                <w:spacing w:val="-9"/>
                <w:sz w:val="22"/>
              </w:rPr>
              <w:t> </w:t>
            </w:r>
            <w:r>
              <w:rPr>
                <w:sz w:val="22"/>
              </w:rPr>
              <w:t>2013-2015).</w:t>
            </w:r>
          </w:p>
        </w:tc>
        <w:tc>
          <w:tcPr>
            <w:tcW w:w="2126" w:type="dxa"/>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191" w:right="197" w:firstLine="3"/>
              <w:jc w:val="center"/>
              <w:rPr>
                <w:b/>
                <w:sz w:val="22"/>
              </w:rPr>
            </w:pPr>
            <w:r>
              <w:rPr>
                <w:b/>
                <w:sz w:val="22"/>
              </w:rPr>
              <w:t># de reglas informales entre los actores de la CHPH para disponer de los recursos económicos</w:t>
            </w:r>
          </w:p>
        </w:tc>
        <w:tc>
          <w:tcPr>
            <w:tcW w:w="2835" w:type="dxa"/>
          </w:tcPr>
          <w:p>
            <w:pPr>
              <w:pStyle w:val="TableParagraph"/>
              <w:ind w:right="99"/>
              <w:jc w:val="both"/>
              <w:rPr>
                <w:sz w:val="22"/>
              </w:rPr>
            </w:pPr>
            <w:r>
              <w:rPr>
                <w:sz w:val="22"/>
              </w:rPr>
              <w:t>Cantidad de acuerdos informales de los actores para disponer de los recursos económicos  de la</w:t>
            </w:r>
            <w:r>
              <w:rPr>
                <w:spacing w:val="-4"/>
                <w:sz w:val="22"/>
              </w:rPr>
              <w:t> </w:t>
            </w:r>
            <w:r>
              <w:rPr>
                <w:sz w:val="22"/>
              </w:rPr>
              <w:t>CHPH.</w:t>
            </w:r>
          </w:p>
          <w:p>
            <w:pPr>
              <w:pStyle w:val="TableParagraph"/>
              <w:ind w:right="100"/>
              <w:jc w:val="both"/>
              <w:rPr>
                <w:sz w:val="22"/>
              </w:rPr>
            </w:pPr>
            <w:r>
              <w:rPr>
                <w:sz w:val="22"/>
              </w:rPr>
              <w:t>(Ejemplo: subdivisión de la laguna para pesca y el agostadero en las orillas de la presa de acuerdo al municipio donde residan los actores pescadores y ganaderos).</w:t>
            </w:r>
          </w:p>
        </w:tc>
      </w:tr>
      <w:tr>
        <w:trPr>
          <w:trHeight w:val="2033"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10"/>
              <w:jc w:val="right"/>
              <w:rPr>
                <w:b/>
                <w:sz w:val="22"/>
              </w:rPr>
            </w:pPr>
            <w:r>
              <w:rPr>
                <w:b/>
                <w:sz w:val="22"/>
              </w:rPr>
              <w:t>P9E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646"/>
              <w:rPr>
                <w:sz w:val="22"/>
              </w:rPr>
            </w:pPr>
            <w:r>
              <w:rPr>
                <w:sz w:val="22"/>
              </w:rPr>
              <w:t>Gobernanza económica</w:t>
            </w:r>
          </w:p>
        </w:tc>
        <w:tc>
          <w:tcPr>
            <w:tcW w:w="3262" w:type="dxa"/>
          </w:tcPr>
          <w:p>
            <w:pPr>
              <w:pStyle w:val="TableParagraph"/>
              <w:tabs>
                <w:tab w:pos="1180" w:val="left" w:leader="none"/>
                <w:tab w:pos="2171" w:val="left" w:leader="none"/>
              </w:tabs>
              <w:ind w:right="99"/>
              <w:jc w:val="both"/>
              <w:rPr>
                <w:sz w:val="22"/>
              </w:rPr>
            </w:pPr>
            <w:r>
              <w:rPr>
                <w:sz w:val="22"/>
              </w:rPr>
              <w:t>Es</w:t>
              <w:tab/>
              <w:t>la</w:t>
              <w:tab/>
            </w:r>
            <w:r>
              <w:rPr>
                <w:spacing w:val="-1"/>
                <w:sz w:val="22"/>
              </w:rPr>
              <w:t>estructura </w:t>
            </w:r>
            <w:r>
              <w:rPr>
                <w:sz w:val="22"/>
              </w:rPr>
              <w:t>socioeconómica de los actores de la CHPH consolidada a través de la historia, que demanda la redistribución equitativa de  los  recursos entre los actores históricos de los municipios que integran  </w:t>
            </w:r>
            <w:r>
              <w:rPr>
                <w:spacing w:val="12"/>
                <w:sz w:val="22"/>
              </w:rPr>
              <w:t> </w:t>
            </w:r>
            <w:r>
              <w:rPr>
                <w:sz w:val="22"/>
              </w:rPr>
              <w:t>la</w:t>
            </w:r>
          </w:p>
        </w:tc>
        <w:tc>
          <w:tcPr>
            <w:tcW w:w="2126" w:type="dxa"/>
          </w:tcPr>
          <w:p>
            <w:pPr>
              <w:pStyle w:val="TableParagraph"/>
              <w:spacing w:before="5"/>
              <w:ind w:left="0"/>
              <w:rPr>
                <w:rFonts w:ascii="Times New Roman"/>
                <w:sz w:val="21"/>
              </w:rPr>
            </w:pPr>
          </w:p>
          <w:p>
            <w:pPr>
              <w:pStyle w:val="TableParagraph"/>
              <w:ind w:left="100" w:right="103" w:firstLine="1"/>
              <w:jc w:val="center"/>
              <w:rPr>
                <w:b/>
                <w:sz w:val="22"/>
              </w:rPr>
            </w:pPr>
            <w:r>
              <w:rPr>
                <w:b/>
                <w:sz w:val="22"/>
              </w:rPr>
              <w:t>Redistribución equitativa de los recursos entre los actores históricos de la CHPH (adimensional)</w:t>
            </w:r>
          </w:p>
        </w:tc>
        <w:tc>
          <w:tcPr>
            <w:tcW w:w="2835" w:type="dxa"/>
          </w:tcPr>
          <w:p>
            <w:pPr>
              <w:pStyle w:val="TableParagraph"/>
              <w:tabs>
                <w:tab w:pos="556" w:val="left" w:leader="none"/>
                <w:tab w:pos="949" w:val="left" w:leader="none"/>
                <w:tab w:pos="1045" w:val="left" w:leader="none"/>
                <w:tab w:pos="1678" w:val="left" w:leader="none"/>
                <w:tab w:pos="1782" w:val="left" w:leader="none"/>
                <w:tab w:pos="2098" w:val="left" w:leader="none"/>
                <w:tab w:pos="2441" w:val="left" w:leader="none"/>
                <w:tab w:pos="2550" w:val="left" w:leader="none"/>
              </w:tabs>
              <w:ind w:right="100"/>
              <w:rPr>
                <w:sz w:val="22"/>
              </w:rPr>
            </w:pPr>
            <w:r>
              <w:rPr>
                <w:sz w:val="22"/>
              </w:rPr>
              <w:t>Reasignación</w:t>
              <w:tab/>
              <w:tab/>
            </w:r>
            <w:r>
              <w:rPr>
                <w:spacing w:val="-1"/>
                <w:sz w:val="22"/>
              </w:rPr>
              <w:t>equitativa </w:t>
            </w:r>
            <w:r>
              <w:rPr>
                <w:sz w:val="22"/>
              </w:rPr>
              <w:t>de</w:t>
              <w:tab/>
              <w:t>los</w:t>
              <w:tab/>
              <w:tab/>
              <w:t>recursos</w:t>
              <w:tab/>
              <w:t>de</w:t>
              <w:tab/>
              <w:tab/>
              <w:t>la CHPH</w:t>
              <w:tab/>
              <w:t>entre</w:t>
              <w:tab/>
              <w:t>todos</w:t>
              <w:tab/>
              <w:t>los actores históricos. (Ejemplo: que todos los actores históricos de los municipios de la CHPH tengan  acceso al</w:t>
            </w:r>
            <w:r>
              <w:rPr>
                <w:spacing w:val="31"/>
                <w:sz w:val="22"/>
              </w:rPr>
              <w:t> </w:t>
            </w:r>
            <w:r>
              <w:rPr>
                <w:sz w:val="22"/>
              </w:rPr>
              <w:t>derecho</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516" w:hRule="exact"/>
        </w:trPr>
        <w:tc>
          <w:tcPr>
            <w:tcW w:w="852" w:type="dxa"/>
            <w:shd w:val="clear" w:color="auto" w:fill="F79546"/>
          </w:tcPr>
          <w:p>
            <w:pPr/>
          </w:p>
        </w:tc>
        <w:tc>
          <w:tcPr>
            <w:tcW w:w="730" w:type="dxa"/>
            <w:shd w:val="clear" w:color="auto" w:fill="F79546"/>
          </w:tcPr>
          <w:p>
            <w:pPr/>
          </w:p>
        </w:tc>
        <w:tc>
          <w:tcPr>
            <w:tcW w:w="1990" w:type="dxa"/>
          </w:tcPr>
          <w:p>
            <w:pPr/>
          </w:p>
        </w:tc>
        <w:tc>
          <w:tcPr>
            <w:tcW w:w="3262" w:type="dxa"/>
          </w:tcPr>
          <w:p>
            <w:pPr>
              <w:pStyle w:val="TableParagraph"/>
              <w:spacing w:line="252" w:lineRule="exact" w:before="2"/>
              <w:ind w:right="103"/>
              <w:rPr>
                <w:sz w:val="22"/>
              </w:rPr>
            </w:pPr>
            <w:r>
              <w:rPr>
                <w:sz w:val="22"/>
              </w:rPr>
              <w:t>Cuenca (García, TC: 2013- 2015).</w:t>
            </w:r>
          </w:p>
        </w:tc>
        <w:tc>
          <w:tcPr>
            <w:tcW w:w="2126" w:type="dxa"/>
          </w:tcPr>
          <w:p>
            <w:pPr/>
          </w:p>
        </w:tc>
        <w:tc>
          <w:tcPr>
            <w:tcW w:w="2835" w:type="dxa"/>
          </w:tcPr>
          <w:p>
            <w:pPr>
              <w:pStyle w:val="TableParagraph"/>
              <w:spacing w:line="252" w:lineRule="exact" w:before="2"/>
              <w:ind w:right="181"/>
              <w:rPr>
                <w:sz w:val="22"/>
              </w:rPr>
            </w:pPr>
            <w:r>
              <w:rPr>
                <w:sz w:val="22"/>
              </w:rPr>
              <w:t>de agua para riego de la presa Huapango).</w:t>
            </w:r>
          </w:p>
        </w:tc>
      </w:tr>
      <w:tr>
        <w:trPr>
          <w:trHeight w:val="2540"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P10E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365"/>
              <w:rPr>
                <w:sz w:val="22"/>
              </w:rPr>
            </w:pPr>
            <w:r>
              <w:rPr>
                <w:sz w:val="22"/>
              </w:rPr>
              <w:t>Gobernabilidad económica</w:t>
            </w:r>
          </w:p>
        </w:tc>
        <w:tc>
          <w:tcPr>
            <w:tcW w:w="3262" w:type="dxa"/>
          </w:tcPr>
          <w:p>
            <w:pPr>
              <w:pStyle w:val="TableParagraph"/>
              <w:tabs>
                <w:tab w:pos="1873" w:val="left" w:leader="none"/>
              </w:tabs>
              <w:ind w:right="99"/>
              <w:jc w:val="both"/>
              <w:rPr>
                <w:sz w:val="22"/>
              </w:rPr>
            </w:pPr>
            <w:r>
              <w:rPr>
                <w:sz w:val="22"/>
              </w:rPr>
              <w:t>Los actores históricos de la CHPH</w:t>
              <w:tab/>
              <w:t>manifestaron públicamente en trabajo de campo la necesidad de establecer acuerdos formales con sus reglas para el uso equitativo de los recursos socioeconómicos de la  Cuenca (Cfr. Vargas, 2004 y García, TC:</w:t>
            </w:r>
            <w:r>
              <w:rPr>
                <w:spacing w:val="-7"/>
                <w:sz w:val="22"/>
              </w:rPr>
              <w:t> </w:t>
            </w:r>
            <w:r>
              <w:rPr>
                <w:sz w:val="22"/>
              </w:rPr>
              <w:t>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43" w:right="147" w:hanging="2"/>
              <w:jc w:val="center"/>
              <w:rPr>
                <w:b/>
                <w:sz w:val="22"/>
              </w:rPr>
            </w:pPr>
            <w:r>
              <w:rPr>
                <w:b/>
                <w:sz w:val="22"/>
              </w:rPr>
              <w:t># acuerdos formales para acceder de forma equitativa a los recursos de la CHPH</w:t>
            </w:r>
          </w:p>
        </w:tc>
        <w:tc>
          <w:tcPr>
            <w:tcW w:w="2835" w:type="dxa"/>
          </w:tcPr>
          <w:p>
            <w:pPr>
              <w:pStyle w:val="TableParagraph"/>
              <w:tabs>
                <w:tab w:pos="1223" w:val="left" w:leader="none"/>
                <w:tab w:pos="1278" w:val="left" w:leader="none"/>
                <w:tab w:pos="1818" w:val="left" w:leader="none"/>
                <w:tab w:pos="2283" w:val="left" w:leader="none"/>
              </w:tabs>
              <w:ind w:right="99"/>
              <w:rPr>
                <w:sz w:val="22"/>
              </w:rPr>
            </w:pPr>
            <w:r>
              <w:rPr>
                <w:sz w:val="22"/>
              </w:rPr>
              <w:t>Cantidad</w:t>
              <w:tab/>
              <w:tab/>
              <w:t>de</w:t>
              <w:tab/>
            </w:r>
            <w:r>
              <w:rPr>
                <w:spacing w:val="-1"/>
                <w:sz w:val="22"/>
              </w:rPr>
              <w:t>acuerdos </w:t>
            </w:r>
            <w:r>
              <w:rPr>
                <w:sz w:val="22"/>
              </w:rPr>
              <w:t>formales para acceder a los recursos de la CHPH de una forma equitativa. (Ejemplo: aún no existen acuerdos</w:t>
              <w:tab/>
              <w:t>formales</w:t>
              <w:tab/>
            </w:r>
            <w:r>
              <w:rPr>
                <w:spacing w:val="-1"/>
                <w:sz w:val="22"/>
              </w:rPr>
              <w:t>para </w:t>
            </w:r>
            <w:r>
              <w:rPr>
                <w:sz w:val="22"/>
              </w:rPr>
              <w:t>acceder equitativamente a los recursos de la</w:t>
            </w:r>
            <w:r>
              <w:rPr>
                <w:spacing w:val="-5"/>
                <w:sz w:val="22"/>
              </w:rPr>
              <w:t> </w:t>
            </w:r>
            <w:r>
              <w:rPr>
                <w:sz w:val="22"/>
              </w:rPr>
              <w:t>CHPH).</w:t>
            </w:r>
          </w:p>
        </w:tc>
      </w:tr>
      <w:tr>
        <w:trPr>
          <w:trHeight w:val="2540"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P11E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P</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695"/>
              <w:rPr>
                <w:sz w:val="22"/>
              </w:rPr>
            </w:pPr>
            <w:r>
              <w:rPr>
                <w:sz w:val="22"/>
              </w:rPr>
              <w:t>Autogestión económica</w:t>
            </w:r>
          </w:p>
        </w:tc>
        <w:tc>
          <w:tcPr>
            <w:tcW w:w="3262" w:type="dxa"/>
          </w:tcPr>
          <w:p>
            <w:pPr>
              <w:pStyle w:val="TableParagraph"/>
              <w:tabs>
                <w:tab w:pos="1473" w:val="left" w:leader="none"/>
              </w:tabs>
              <w:ind w:right="99"/>
              <w:jc w:val="both"/>
              <w:rPr>
                <w:sz w:val="22"/>
              </w:rPr>
            </w:pPr>
            <w:r>
              <w:rPr>
                <w:sz w:val="22"/>
              </w:rPr>
              <w:t>Los actores de la cuenca CHPH señalaron públicamente en trabajo de campo su deseo de</w:t>
              <w:tab/>
            </w:r>
            <w:r>
              <w:rPr>
                <w:spacing w:val="-1"/>
                <w:sz w:val="22"/>
              </w:rPr>
              <w:t>autoorganización </w:t>
            </w:r>
            <w:r>
              <w:rPr>
                <w:sz w:val="22"/>
              </w:rPr>
              <w:t>comunitaria para acceder administrar y cuidar sus recursos socioeconómicos de la Cuenca. (Cfr. Méndez y Vallota, 2006 y García, TC: 2013-2015).</w:t>
            </w:r>
          </w:p>
        </w:tc>
        <w:tc>
          <w:tcPr>
            <w:tcW w:w="2126" w:type="dxa"/>
          </w:tcPr>
          <w:p>
            <w:pPr>
              <w:pStyle w:val="TableParagraph"/>
              <w:spacing w:before="122"/>
              <w:ind w:left="124" w:right="131" w:firstLine="2"/>
              <w:jc w:val="center"/>
              <w:rPr>
                <w:b/>
                <w:sz w:val="22"/>
              </w:rPr>
            </w:pPr>
            <w:r>
              <w:rPr>
                <w:b/>
                <w:sz w:val="22"/>
              </w:rPr>
              <w:t># de acciones autónomas de los actores de la CHPH para acceder y administrar sus recursos </w:t>
            </w:r>
            <w:r>
              <w:rPr>
                <w:b/>
                <w:spacing w:val="-1"/>
                <w:sz w:val="22"/>
              </w:rPr>
              <w:t>socioeconómicos</w:t>
            </w:r>
          </w:p>
        </w:tc>
        <w:tc>
          <w:tcPr>
            <w:tcW w:w="2835" w:type="dxa"/>
          </w:tcPr>
          <w:p>
            <w:pPr>
              <w:pStyle w:val="TableParagraph"/>
              <w:ind w:right="99"/>
              <w:jc w:val="both"/>
              <w:rPr>
                <w:sz w:val="22"/>
              </w:rPr>
            </w:pPr>
            <w:r>
              <w:rPr>
                <w:sz w:val="22"/>
              </w:rPr>
              <w:t>Cantidad de acciones autónomas de los actores de la CHPH para acceder, administrar y cuidar sus recursos socioeconómicos de la Cuenca.</w:t>
            </w:r>
          </w:p>
          <w:p>
            <w:pPr>
              <w:pStyle w:val="TableParagraph"/>
              <w:spacing w:before="2"/>
              <w:ind w:right="99"/>
              <w:jc w:val="both"/>
              <w:rPr>
                <w:sz w:val="22"/>
              </w:rPr>
            </w:pPr>
            <w:r>
              <w:rPr>
                <w:sz w:val="22"/>
              </w:rPr>
              <w:t>(Ejemplo: limpieza de lirio acuático en la presa Huapango).</w:t>
            </w:r>
          </w:p>
        </w:tc>
      </w:tr>
      <w:tr>
        <w:trPr>
          <w:trHeight w:val="3046"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E1E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spacing w:line="242" w:lineRule="auto"/>
              <w:ind w:right="561"/>
              <w:rPr>
                <w:sz w:val="22"/>
              </w:rPr>
            </w:pPr>
            <w:r>
              <w:rPr>
                <w:sz w:val="22"/>
              </w:rPr>
              <w:t>Dependencia económica</w:t>
            </w:r>
          </w:p>
        </w:tc>
        <w:tc>
          <w:tcPr>
            <w:tcW w:w="3262" w:type="dxa"/>
          </w:tcPr>
          <w:p>
            <w:pPr>
              <w:pStyle w:val="TableParagraph"/>
              <w:tabs>
                <w:tab w:pos="1144" w:val="left" w:leader="none"/>
                <w:tab w:pos="2548" w:val="left" w:leader="none"/>
              </w:tabs>
              <w:ind w:right="100"/>
              <w:jc w:val="both"/>
              <w:rPr>
                <w:sz w:val="22"/>
              </w:rPr>
            </w:pPr>
            <w:r>
              <w:rPr>
                <w:sz w:val="22"/>
              </w:rPr>
              <w:t>Los</w:t>
              <w:tab/>
              <w:t>actores</w:t>
              <w:tab/>
              <w:t>tienen dependencia diferenciada de los recursos naturales de la CHPH desde la construcción de la presa Huapango; los actores de aguas abajo, están conectados con estructuras económicas externas que los benefician con el agua para riego principalmente. Los actores de aguas arriba están conectados    con  </w:t>
            </w:r>
            <w:r>
              <w:rPr>
                <w:spacing w:val="47"/>
                <w:sz w:val="22"/>
              </w:rPr>
              <w:t> </w:t>
            </w:r>
            <w:r>
              <w:rPr>
                <w:sz w:val="22"/>
              </w:rPr>
              <w:t>estructuras</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119" w:right="120" w:hanging="4"/>
              <w:jc w:val="center"/>
              <w:rPr>
                <w:b/>
                <w:sz w:val="22"/>
              </w:rPr>
            </w:pPr>
            <w:r>
              <w:rPr>
                <w:b/>
                <w:sz w:val="22"/>
              </w:rPr>
              <w:t>Acceso diferenciado de los recursos de la CHPH</w:t>
            </w:r>
          </w:p>
          <w:p>
            <w:pPr>
              <w:pStyle w:val="TableParagraph"/>
              <w:spacing w:line="252" w:lineRule="exact"/>
              <w:ind w:left="116" w:right="120"/>
              <w:jc w:val="center"/>
              <w:rPr>
                <w:b/>
                <w:sz w:val="22"/>
              </w:rPr>
            </w:pPr>
            <w:r>
              <w:rPr>
                <w:b/>
                <w:sz w:val="22"/>
              </w:rPr>
              <w:t>(adimensional)</w:t>
            </w:r>
          </w:p>
        </w:tc>
        <w:tc>
          <w:tcPr>
            <w:tcW w:w="2835" w:type="dxa"/>
          </w:tcPr>
          <w:p>
            <w:pPr>
              <w:pStyle w:val="TableParagraph"/>
              <w:tabs>
                <w:tab w:pos="1427" w:val="left" w:leader="none"/>
              </w:tabs>
              <w:ind w:right="99"/>
              <w:jc w:val="both"/>
              <w:rPr>
                <w:sz w:val="22"/>
              </w:rPr>
            </w:pPr>
            <w:r>
              <w:rPr>
                <w:sz w:val="22"/>
              </w:rPr>
              <w:t>El acceso diferenciado de los recursos de la CHPH por parte de los  actores, ha generado una amplia diferenciación económica entre los que tienen acceso al agua de riego (aguas abajo); y los que solo la usan y manejan para otras actividades menos</w:t>
              <w:tab/>
            </w:r>
            <w:r>
              <w:rPr>
                <w:spacing w:val="-1"/>
                <w:sz w:val="22"/>
              </w:rPr>
              <w:t>remuneradas </w:t>
            </w:r>
            <w:r>
              <w:rPr>
                <w:sz w:val="22"/>
              </w:rPr>
              <w:t>(aguas</w:t>
            </w:r>
            <w:r>
              <w:rPr>
                <w:spacing w:val="-6"/>
                <w:sz w:val="22"/>
              </w:rPr>
              <w:t> </w:t>
            </w:r>
            <w:r>
              <w:rPr>
                <w:sz w:val="22"/>
              </w:rPr>
              <w:t>arriba).</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1781" w:hRule="exact"/>
        </w:trPr>
        <w:tc>
          <w:tcPr>
            <w:tcW w:w="852" w:type="dxa"/>
            <w:shd w:val="clear" w:color="auto" w:fill="F79546"/>
          </w:tcPr>
          <w:p>
            <w:pPr/>
          </w:p>
        </w:tc>
        <w:tc>
          <w:tcPr>
            <w:tcW w:w="730" w:type="dxa"/>
            <w:shd w:val="clear" w:color="auto" w:fill="F79546"/>
          </w:tcPr>
          <w:p>
            <w:pPr/>
          </w:p>
        </w:tc>
        <w:tc>
          <w:tcPr>
            <w:tcW w:w="1990" w:type="dxa"/>
          </w:tcPr>
          <w:p>
            <w:pPr/>
          </w:p>
        </w:tc>
        <w:tc>
          <w:tcPr>
            <w:tcW w:w="3262" w:type="dxa"/>
          </w:tcPr>
          <w:p>
            <w:pPr>
              <w:pStyle w:val="TableParagraph"/>
              <w:ind w:right="99"/>
              <w:jc w:val="both"/>
              <w:rPr>
                <w:sz w:val="22"/>
              </w:rPr>
            </w:pPr>
            <w:r>
              <w:rPr>
                <w:sz w:val="22"/>
              </w:rPr>
              <w:t>económicas locales y regionales, limitados en el exclusivo uso de los recursos de la presa con la pesca, ganadería, comida lacustre, etc. (García, TC: 2013-2015).</w:t>
            </w:r>
          </w:p>
        </w:tc>
        <w:tc>
          <w:tcPr>
            <w:tcW w:w="2126" w:type="dxa"/>
          </w:tcPr>
          <w:p>
            <w:pPr/>
          </w:p>
        </w:tc>
        <w:tc>
          <w:tcPr>
            <w:tcW w:w="2835" w:type="dxa"/>
          </w:tcPr>
          <w:p>
            <w:pPr>
              <w:pStyle w:val="TableParagraph"/>
              <w:ind w:right="100"/>
              <w:jc w:val="both"/>
              <w:rPr>
                <w:sz w:val="22"/>
              </w:rPr>
            </w:pPr>
            <w:r>
              <w:rPr>
                <w:sz w:val="22"/>
              </w:rPr>
              <w:t>(Ejemplo: los actores de aguas abajo se benefician con el agua de la presa Huapango para riego, mientras que los de aguas arriba lo hacen con la pesca y los tianguis).</w:t>
            </w:r>
          </w:p>
        </w:tc>
      </w:tr>
      <w:tr>
        <w:trPr>
          <w:trHeight w:val="2792"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E2E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spacing w:before="1"/>
              <w:ind w:right="84"/>
              <w:rPr>
                <w:sz w:val="22"/>
              </w:rPr>
            </w:pPr>
            <w:r>
              <w:rPr>
                <w:sz w:val="22"/>
              </w:rPr>
              <w:t>Concentración del poder</w:t>
            </w:r>
          </w:p>
        </w:tc>
        <w:tc>
          <w:tcPr>
            <w:tcW w:w="3262" w:type="dxa"/>
          </w:tcPr>
          <w:p>
            <w:pPr>
              <w:pStyle w:val="TableParagraph"/>
              <w:spacing w:before="125"/>
              <w:ind w:right="101"/>
              <w:jc w:val="both"/>
              <w:rPr>
                <w:sz w:val="22"/>
              </w:rPr>
            </w:pPr>
            <w:r>
              <w:rPr>
                <w:sz w:val="22"/>
              </w:rPr>
              <w:t>El control diferenciado de la economía a través del control del agua de riego, reconocida por la  federación  (Conagua) ha beneficiado sólo a los actores de los municipios de aguas abajo de la CHPH en detrimento de los de aguas arriba (García, TC: 2013- 2015).</w:t>
            </w:r>
          </w:p>
        </w:tc>
        <w:tc>
          <w:tcPr>
            <w:tcW w:w="2126" w:type="dxa"/>
          </w:tcPr>
          <w:p>
            <w:pPr>
              <w:pStyle w:val="TableParagraph"/>
              <w:ind w:left="0"/>
              <w:rPr>
                <w:rFonts w:ascii="Times New Roman"/>
                <w:sz w:val="22"/>
              </w:rPr>
            </w:pPr>
          </w:p>
          <w:p>
            <w:pPr>
              <w:pStyle w:val="TableParagraph"/>
              <w:spacing w:before="6"/>
              <w:ind w:left="0"/>
              <w:rPr>
                <w:rFonts w:ascii="Times New Roman"/>
                <w:sz w:val="32"/>
              </w:rPr>
            </w:pPr>
          </w:p>
          <w:p>
            <w:pPr>
              <w:pStyle w:val="TableParagraph"/>
              <w:ind w:left="131" w:right="134"/>
              <w:jc w:val="center"/>
              <w:rPr>
                <w:b/>
                <w:sz w:val="22"/>
              </w:rPr>
            </w:pPr>
            <w:r>
              <w:rPr>
                <w:b/>
                <w:sz w:val="22"/>
              </w:rPr>
              <w:t># de municipios de la CHPH que se benefician con el sistema de riego de la presa Huapango</w:t>
            </w:r>
          </w:p>
        </w:tc>
        <w:tc>
          <w:tcPr>
            <w:tcW w:w="2835" w:type="dxa"/>
          </w:tcPr>
          <w:p>
            <w:pPr>
              <w:pStyle w:val="TableParagraph"/>
              <w:ind w:right="99"/>
              <w:jc w:val="both"/>
              <w:rPr>
                <w:sz w:val="22"/>
              </w:rPr>
            </w:pPr>
            <w:r>
              <w:rPr>
                <w:sz w:val="22"/>
              </w:rPr>
              <w:t>La Conagua asigna el agua de la presa Huapango para riego beneficiando sólo a los municipios de  aguas abajo, dejando  al margen a los municipios de aguas arriba (actores de Acambay, Jilotepec y Timilpan).</w:t>
            </w:r>
          </w:p>
          <w:p>
            <w:pPr>
              <w:pStyle w:val="TableParagraph"/>
              <w:spacing w:line="252" w:lineRule="exact"/>
              <w:jc w:val="both"/>
              <w:rPr>
                <w:sz w:val="22"/>
              </w:rPr>
            </w:pPr>
            <w:r>
              <w:rPr>
                <w:sz w:val="22"/>
              </w:rPr>
              <w:t>(Ejemplo: Polotitlán).</w:t>
            </w:r>
          </w:p>
        </w:tc>
      </w:tr>
      <w:tr>
        <w:trPr>
          <w:trHeight w:val="2795"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25" w:right="124"/>
              <w:jc w:val="center"/>
              <w:rPr>
                <w:b/>
                <w:sz w:val="22"/>
              </w:rPr>
            </w:pPr>
            <w:r>
              <w:rPr>
                <w:b/>
                <w:sz w:val="22"/>
              </w:rPr>
              <w:t>E3E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267"/>
              <w:rPr>
                <w:sz w:val="22"/>
              </w:rPr>
            </w:pPr>
            <w:r>
              <w:rPr>
                <w:sz w:val="22"/>
              </w:rPr>
              <w:t>Uso irracional</w:t>
            </w:r>
          </w:p>
        </w:tc>
        <w:tc>
          <w:tcPr>
            <w:tcW w:w="3262" w:type="dxa"/>
          </w:tcPr>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ind w:right="101"/>
              <w:jc w:val="both"/>
              <w:rPr>
                <w:sz w:val="22"/>
              </w:rPr>
            </w:pPr>
            <w:r>
              <w:rPr>
                <w:sz w:val="22"/>
              </w:rPr>
              <w:t>Los actores de la CHPH sobreexplotan y/o abusan de los recursos socioeconómicos renovables y no renovables de la Cuenca, lo que ha generado un problema de sostenibilidad (García, TC: 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107" w:right="108" w:hanging="5"/>
              <w:jc w:val="center"/>
              <w:rPr>
                <w:b/>
                <w:sz w:val="22"/>
              </w:rPr>
            </w:pPr>
            <w:r>
              <w:rPr>
                <w:b/>
                <w:sz w:val="22"/>
              </w:rPr>
              <w:t># de recursos socioeconómicos sobreexplotados por los actores de la CHPH</w:t>
            </w:r>
          </w:p>
        </w:tc>
        <w:tc>
          <w:tcPr>
            <w:tcW w:w="2835" w:type="dxa"/>
          </w:tcPr>
          <w:p>
            <w:pPr>
              <w:pStyle w:val="TableParagraph"/>
              <w:spacing w:before="10"/>
              <w:ind w:left="0"/>
              <w:rPr>
                <w:rFonts w:ascii="Times New Roman"/>
                <w:sz w:val="21"/>
              </w:rPr>
            </w:pPr>
          </w:p>
          <w:p>
            <w:pPr>
              <w:pStyle w:val="TableParagraph"/>
              <w:spacing w:before="1"/>
              <w:ind w:right="99"/>
              <w:jc w:val="both"/>
              <w:rPr>
                <w:sz w:val="22"/>
              </w:rPr>
            </w:pPr>
            <w:r>
              <w:rPr>
                <w:sz w:val="22"/>
              </w:rPr>
              <w:t>Cantidad de recursos socioeconómicos de la CHPH que se encuentran en situación de riesgo y que se han ido extinguiendo a través del tiempo.</w:t>
            </w:r>
          </w:p>
          <w:p>
            <w:pPr>
              <w:pStyle w:val="TableParagraph"/>
              <w:spacing w:before="1"/>
              <w:ind w:right="100"/>
              <w:jc w:val="both"/>
              <w:rPr>
                <w:sz w:val="22"/>
              </w:rPr>
            </w:pPr>
            <w:r>
              <w:rPr>
                <w:sz w:val="22"/>
              </w:rPr>
              <w:t>(Ejemplo: pastos, anfibios como las ranas y los ajolotes).</w:t>
            </w:r>
          </w:p>
        </w:tc>
      </w:tr>
      <w:tr>
        <w:trPr>
          <w:trHeight w:val="1274" w:hRule="exact"/>
        </w:trPr>
        <w:tc>
          <w:tcPr>
            <w:tcW w:w="852" w:type="dxa"/>
            <w:shd w:val="clear" w:color="auto" w:fill="F79546"/>
          </w:tcPr>
          <w:p>
            <w:pPr/>
          </w:p>
        </w:tc>
        <w:tc>
          <w:tcPr>
            <w:tcW w:w="730" w:type="dxa"/>
            <w:shd w:val="clear" w:color="auto" w:fill="F79546"/>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spacing w:before="8"/>
              <w:ind w:left="0"/>
              <w:rPr>
                <w:rFonts w:ascii="Times New Roman"/>
                <w:sz w:val="32"/>
              </w:rPr>
            </w:pPr>
          </w:p>
          <w:p>
            <w:pPr>
              <w:pStyle w:val="TableParagraph"/>
              <w:spacing w:before="1"/>
              <w:ind w:right="84"/>
              <w:rPr>
                <w:sz w:val="22"/>
              </w:rPr>
            </w:pPr>
            <w:r>
              <w:rPr>
                <w:sz w:val="22"/>
              </w:rPr>
              <w:t>Omisión de responsabilidades</w:t>
            </w:r>
          </w:p>
        </w:tc>
        <w:tc>
          <w:tcPr>
            <w:tcW w:w="3262" w:type="dxa"/>
          </w:tcPr>
          <w:p>
            <w:pPr>
              <w:pStyle w:val="TableParagraph"/>
              <w:ind w:right="101"/>
              <w:jc w:val="both"/>
              <w:rPr>
                <w:sz w:val="22"/>
              </w:rPr>
            </w:pPr>
            <w:r>
              <w:rPr>
                <w:sz w:val="22"/>
              </w:rPr>
              <w:t>Omisión pública de las autoridades gubernamentales ante las demandas de los actores por la apertura hacia sus derechos de acceso a   los</w:t>
            </w:r>
          </w:p>
        </w:tc>
        <w:tc>
          <w:tcPr>
            <w:tcW w:w="2126" w:type="dxa"/>
          </w:tcPr>
          <w:p>
            <w:pPr>
              <w:pStyle w:val="TableParagraph"/>
              <w:ind w:left="107" w:right="108" w:hanging="5"/>
              <w:jc w:val="center"/>
              <w:rPr>
                <w:b/>
                <w:sz w:val="22"/>
              </w:rPr>
            </w:pPr>
            <w:r>
              <w:rPr>
                <w:b/>
                <w:sz w:val="22"/>
              </w:rPr>
              <w:t># de peticiones públicas de los actores históricos de la CHPH para acceder a los</w:t>
            </w:r>
          </w:p>
        </w:tc>
        <w:tc>
          <w:tcPr>
            <w:tcW w:w="2835" w:type="dxa"/>
          </w:tcPr>
          <w:p>
            <w:pPr>
              <w:pStyle w:val="TableParagraph"/>
              <w:ind w:right="99"/>
              <w:jc w:val="both"/>
              <w:rPr>
                <w:sz w:val="22"/>
              </w:rPr>
            </w:pPr>
            <w:r>
              <w:rPr>
                <w:sz w:val="22"/>
              </w:rPr>
              <w:t>Cantidad de peticiones públicas de los actores históricos que han sido ignoradas y/o rechazadas por       las       autoridades</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2540" w:hRule="exact"/>
        </w:trPr>
        <w:tc>
          <w:tcPr>
            <w:tcW w:w="852" w:type="dxa"/>
            <w:shd w:val="clear" w:color="auto" w:fill="F79546"/>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E4E</w:t>
            </w:r>
          </w:p>
        </w:tc>
        <w:tc>
          <w:tcPr>
            <w:tcW w:w="730" w:type="dxa"/>
            <w:shd w:val="clear" w:color="auto" w:fill="F79546"/>
          </w:tcPr>
          <w:p>
            <w:pPr/>
          </w:p>
        </w:tc>
        <w:tc>
          <w:tcPr>
            <w:tcW w:w="1990" w:type="dxa"/>
          </w:tcPr>
          <w:p>
            <w:pPr/>
          </w:p>
        </w:tc>
        <w:tc>
          <w:tcPr>
            <w:tcW w:w="3262" w:type="dxa"/>
          </w:tcPr>
          <w:p>
            <w:pPr>
              <w:pStyle w:val="TableParagraph"/>
              <w:spacing w:line="252" w:lineRule="exact" w:before="2"/>
              <w:ind w:right="103"/>
              <w:rPr>
                <w:sz w:val="22"/>
              </w:rPr>
            </w:pPr>
            <w:r>
              <w:rPr>
                <w:sz w:val="22"/>
              </w:rPr>
              <w:t>recursos de la CHPH (García, TC: 2013-2015).</w:t>
            </w:r>
          </w:p>
        </w:tc>
        <w:tc>
          <w:tcPr>
            <w:tcW w:w="2126" w:type="dxa"/>
          </w:tcPr>
          <w:p>
            <w:pPr>
              <w:pStyle w:val="TableParagraph"/>
              <w:ind w:left="124" w:right="131" w:firstLine="3"/>
              <w:jc w:val="center"/>
              <w:rPr>
                <w:b/>
                <w:sz w:val="22"/>
              </w:rPr>
            </w:pPr>
            <w:r>
              <w:rPr>
                <w:b/>
                <w:sz w:val="22"/>
              </w:rPr>
              <w:t>recursos socioeconómicos que han sido ignoradas y/o rechazadas por las autoridades gubernamentales</w:t>
            </w:r>
          </w:p>
        </w:tc>
        <w:tc>
          <w:tcPr>
            <w:tcW w:w="2835" w:type="dxa"/>
          </w:tcPr>
          <w:p>
            <w:pPr>
              <w:pStyle w:val="TableParagraph"/>
              <w:ind w:right="99"/>
              <w:jc w:val="both"/>
              <w:rPr>
                <w:sz w:val="22"/>
              </w:rPr>
            </w:pPr>
            <w:r>
              <w:rPr>
                <w:sz w:val="22"/>
              </w:rPr>
              <w:t>gubernamentales para acceder de forma equitativa a los recursos socioeconómicos de la Cuenca.</w:t>
            </w:r>
          </w:p>
          <w:p>
            <w:pPr>
              <w:pStyle w:val="TableParagraph"/>
              <w:ind w:right="100"/>
              <w:jc w:val="both"/>
              <w:rPr>
                <w:sz w:val="22"/>
              </w:rPr>
            </w:pPr>
            <w:r>
              <w:rPr>
                <w:sz w:val="22"/>
              </w:rPr>
              <w:t>(Ejemplo: acceso de los actores de los cinco municipios de la CHPH al sistema de riego de la presa Huapango).</w:t>
            </w:r>
          </w:p>
        </w:tc>
      </w:tr>
      <w:tr>
        <w:trPr>
          <w:trHeight w:val="2033"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E5E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561"/>
              <w:rPr>
                <w:sz w:val="22"/>
              </w:rPr>
            </w:pPr>
            <w:r>
              <w:rPr>
                <w:sz w:val="22"/>
              </w:rPr>
              <w:t>Organización informal</w:t>
            </w:r>
          </w:p>
        </w:tc>
        <w:tc>
          <w:tcPr>
            <w:tcW w:w="3262" w:type="dxa"/>
          </w:tcPr>
          <w:p>
            <w:pPr>
              <w:pStyle w:val="TableParagraph"/>
              <w:tabs>
                <w:tab w:pos="1117" w:val="left" w:leader="none"/>
                <w:tab w:pos="1336" w:val="left" w:leader="none"/>
                <w:tab w:pos="1398" w:val="left" w:leader="none"/>
                <w:tab w:pos="1779" w:val="left" w:leader="none"/>
                <w:tab w:pos="1900" w:val="left" w:leader="none"/>
                <w:tab w:pos="1935" w:val="left" w:leader="none"/>
                <w:tab w:pos="2317" w:val="left" w:leader="none"/>
                <w:tab w:pos="2389" w:val="left" w:leader="none"/>
                <w:tab w:pos="2904" w:val="left" w:leader="none"/>
              </w:tabs>
              <w:spacing w:before="125"/>
              <w:ind w:right="99"/>
              <w:rPr>
                <w:sz w:val="22"/>
              </w:rPr>
            </w:pPr>
            <w:r>
              <w:rPr>
                <w:sz w:val="22"/>
              </w:rPr>
              <w:t>Existencia</w:t>
              <w:tab/>
              <w:tab/>
              <w:tab/>
              <w:t>de</w:t>
              <w:tab/>
              <w:tab/>
              <w:tab/>
              <w:t>grupos</w:t>
              <w:tab/>
              <w:t>de actores</w:t>
              <w:tab/>
              <w:t>que</w:t>
              <w:tab/>
              <w:t>no</w:t>
              <w:tab/>
            </w:r>
            <w:r>
              <w:rPr>
                <w:spacing w:val="-1"/>
                <w:sz w:val="22"/>
              </w:rPr>
              <w:t>acceden </w:t>
            </w:r>
            <w:r>
              <w:rPr>
                <w:sz w:val="22"/>
              </w:rPr>
              <w:t>equitativamente al uso de los recursos, lo que provoca su exclusión</w:t>
              <w:tab/>
              <w:tab/>
              <w:t>en</w:t>
              <w:tab/>
              <w:tab/>
              <w:t>el</w:t>
              <w:tab/>
              <w:tab/>
              <w:t>sistema socioeconómico de la CHPH (García, TC:</w:t>
            </w:r>
            <w:r>
              <w:rPr>
                <w:spacing w:val="-7"/>
                <w:sz w:val="22"/>
              </w:rPr>
              <w:t> </w:t>
            </w:r>
            <w:r>
              <w:rPr>
                <w:sz w:val="22"/>
              </w:rPr>
              <w:t>2013-2015).</w:t>
            </w:r>
          </w:p>
        </w:tc>
        <w:tc>
          <w:tcPr>
            <w:tcW w:w="2126" w:type="dxa"/>
          </w:tcPr>
          <w:p>
            <w:pPr>
              <w:pStyle w:val="TableParagraph"/>
              <w:ind w:left="124" w:right="131" w:firstLine="5"/>
              <w:jc w:val="center"/>
              <w:rPr>
                <w:b/>
                <w:sz w:val="22"/>
              </w:rPr>
            </w:pPr>
            <w:r>
              <w:rPr>
                <w:b/>
                <w:sz w:val="22"/>
              </w:rPr>
              <w:t># de grupos de actores que no acceden equitativamente en el uso de los recursos socioeconómicos de la CHPH</w:t>
            </w:r>
          </w:p>
        </w:tc>
        <w:tc>
          <w:tcPr>
            <w:tcW w:w="2835" w:type="dxa"/>
          </w:tcPr>
          <w:p>
            <w:pPr>
              <w:pStyle w:val="TableParagraph"/>
              <w:ind w:right="99"/>
              <w:jc w:val="both"/>
              <w:rPr>
                <w:sz w:val="22"/>
              </w:rPr>
            </w:pPr>
            <w:r>
              <w:rPr>
                <w:sz w:val="22"/>
              </w:rPr>
              <w:t>Cantidad de grupos de actores de la CHPH  que no acceden de forma equitativa a los recursos socioeconómicos de la Cuenca.</w:t>
            </w:r>
          </w:p>
          <w:p>
            <w:pPr>
              <w:pStyle w:val="TableParagraph"/>
              <w:spacing w:before="1"/>
              <w:ind w:right="101"/>
              <w:jc w:val="both"/>
              <w:rPr>
                <w:sz w:val="22"/>
              </w:rPr>
            </w:pPr>
            <w:r>
              <w:rPr>
                <w:sz w:val="22"/>
              </w:rPr>
              <w:t>(Ejemplo: ejidatarios, ganaderos).</w:t>
            </w:r>
          </w:p>
        </w:tc>
      </w:tr>
      <w:tr>
        <w:trPr>
          <w:trHeight w:val="3553"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4"/>
              <w:jc w:val="center"/>
              <w:rPr>
                <w:b/>
                <w:sz w:val="22"/>
              </w:rPr>
            </w:pPr>
            <w:r>
              <w:rPr>
                <w:b/>
                <w:sz w:val="22"/>
              </w:rPr>
              <w:t>E6E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spacing w:before="1"/>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spacing w:line="242" w:lineRule="auto"/>
              <w:ind w:right="145"/>
              <w:rPr>
                <w:sz w:val="22"/>
              </w:rPr>
            </w:pPr>
            <w:r>
              <w:rPr>
                <w:sz w:val="22"/>
              </w:rPr>
              <w:t>Nula interrelación municipal</w:t>
            </w:r>
          </w:p>
        </w:tc>
        <w:tc>
          <w:tcPr>
            <w:tcW w:w="3262" w:type="dxa"/>
          </w:tcPr>
          <w:p>
            <w:pPr>
              <w:pStyle w:val="TableParagraph"/>
              <w:ind w:right="100"/>
              <w:jc w:val="both"/>
              <w:rPr>
                <w:sz w:val="22"/>
              </w:rPr>
            </w:pPr>
            <w:r>
              <w:rPr>
                <w:sz w:val="22"/>
              </w:rPr>
              <w:t>Existe una inconformidad de la situación socioeconómica por el reparto inequitativo de los recursos entre los actores de los municipios de la CHPH, lo que ha mermado los intentos por llegar a acuerdos intermunicipales para cuidar, defender y administrar los recursos compartidos de la Cuenca        (Arnoletto,   2010;</w:t>
            </w:r>
          </w:p>
          <w:p>
            <w:pPr>
              <w:pStyle w:val="TableParagraph"/>
              <w:spacing w:line="252" w:lineRule="exact"/>
              <w:jc w:val="both"/>
              <w:rPr>
                <w:sz w:val="22"/>
              </w:rPr>
            </w:pPr>
            <w:r>
              <w:rPr>
                <w:sz w:val="22"/>
              </w:rPr>
              <w:t>Hernández,   2003;  Florentino,</w:t>
            </w:r>
          </w:p>
          <w:p>
            <w:pPr>
              <w:pStyle w:val="TableParagraph"/>
              <w:spacing w:line="252" w:lineRule="exact"/>
              <w:jc w:val="both"/>
              <w:rPr>
                <w:sz w:val="22"/>
              </w:rPr>
            </w:pPr>
            <w:r>
              <w:rPr>
                <w:sz w:val="22"/>
              </w:rPr>
              <w:t>2004   y   García,   TC:    2013-</w:t>
            </w:r>
          </w:p>
          <w:p>
            <w:pPr>
              <w:pStyle w:val="TableParagraph"/>
              <w:spacing w:before="1"/>
              <w:jc w:val="both"/>
              <w:rPr>
                <w:sz w:val="22"/>
              </w:rPr>
            </w:pPr>
            <w:r>
              <w:rPr>
                <w:sz w:val="22"/>
              </w:rPr>
              <w:t>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4" w:right="131" w:firstLine="3"/>
              <w:jc w:val="center"/>
              <w:rPr>
                <w:b/>
                <w:sz w:val="22"/>
              </w:rPr>
            </w:pPr>
            <w:r>
              <w:rPr>
                <w:b/>
                <w:sz w:val="22"/>
              </w:rPr>
              <w:t># de acuerdos intermunicipales para cuidar, defender y administrar los recursos socioeconómicos de la CHPH</w:t>
            </w:r>
          </w:p>
        </w:tc>
        <w:tc>
          <w:tcPr>
            <w:tcW w:w="2835" w:type="dxa"/>
          </w:tcPr>
          <w:p>
            <w:pPr>
              <w:pStyle w:val="TableParagraph"/>
              <w:spacing w:before="10"/>
              <w:ind w:left="0"/>
              <w:rPr>
                <w:rFonts w:ascii="Times New Roman"/>
                <w:sz w:val="21"/>
              </w:rPr>
            </w:pPr>
          </w:p>
          <w:p>
            <w:pPr>
              <w:pStyle w:val="TableParagraph"/>
              <w:tabs>
                <w:tab w:pos="1254" w:val="left" w:leader="none"/>
                <w:tab w:pos="1395" w:val="left" w:leader="none"/>
                <w:tab w:pos="1819" w:val="left" w:leader="none"/>
                <w:tab w:pos="1877" w:val="left" w:leader="none"/>
                <w:tab w:pos="2283" w:val="left" w:leader="none"/>
                <w:tab w:pos="2612" w:val="left" w:leader="none"/>
              </w:tabs>
              <w:spacing w:before="1"/>
              <w:ind w:right="97"/>
              <w:rPr>
                <w:sz w:val="22"/>
              </w:rPr>
            </w:pPr>
            <w:r>
              <w:rPr>
                <w:sz w:val="22"/>
              </w:rPr>
              <w:t>Cantidad</w:t>
              <w:tab/>
              <w:t>de</w:t>
              <w:tab/>
            </w:r>
            <w:r>
              <w:rPr>
                <w:spacing w:val="-1"/>
                <w:sz w:val="22"/>
              </w:rPr>
              <w:t>acuerdos </w:t>
            </w:r>
            <w:r>
              <w:rPr>
                <w:sz w:val="22"/>
              </w:rPr>
              <w:t>intermunicipales</w:t>
              <w:tab/>
              <w:tab/>
              <w:tab/>
              <w:t>para cuidar,</w:t>
              <w:tab/>
              <w:t>defender</w:t>
              <w:tab/>
              <w:tab/>
              <w:t>y administrar</w:t>
              <w:tab/>
              <w:tab/>
              <w:t>los</w:t>
              <w:tab/>
              <w:tab/>
              <w:t>recursos socioeconómicos compartidos de la CHPH. (Ejemplo: aún no existen acuerdos intermunicipales para cuidar, defender y administrar</w:t>
              <w:tab/>
              <w:tab/>
              <w:t>los</w:t>
              <w:tab/>
              <w:tab/>
              <w:t>recursos compartidos de la</w:t>
            </w:r>
            <w:r>
              <w:rPr>
                <w:spacing w:val="-5"/>
                <w:sz w:val="22"/>
              </w:rPr>
              <w:t> </w:t>
            </w:r>
            <w:r>
              <w:rPr>
                <w:sz w:val="22"/>
              </w:rPr>
              <w:t>CHPH).</w:t>
            </w:r>
          </w:p>
        </w:tc>
      </w:tr>
      <w:tr>
        <w:trPr>
          <w:trHeight w:val="516" w:hRule="exact"/>
        </w:trPr>
        <w:tc>
          <w:tcPr>
            <w:tcW w:w="852" w:type="dxa"/>
            <w:shd w:val="clear" w:color="auto" w:fill="F79546"/>
          </w:tcPr>
          <w:p>
            <w:pPr/>
          </w:p>
        </w:tc>
        <w:tc>
          <w:tcPr>
            <w:tcW w:w="730" w:type="dxa"/>
            <w:shd w:val="clear" w:color="auto" w:fill="F79546"/>
          </w:tcPr>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spacing w:line="242" w:lineRule="auto"/>
              <w:ind w:right="659"/>
              <w:rPr>
                <w:sz w:val="22"/>
              </w:rPr>
            </w:pPr>
            <w:r>
              <w:rPr>
                <w:sz w:val="22"/>
              </w:rPr>
              <w:t>Desarrollo diferenciado</w:t>
            </w:r>
          </w:p>
        </w:tc>
        <w:tc>
          <w:tcPr>
            <w:tcW w:w="3262" w:type="dxa"/>
          </w:tcPr>
          <w:p>
            <w:pPr>
              <w:pStyle w:val="TableParagraph"/>
              <w:tabs>
                <w:tab w:pos="707" w:val="left" w:leader="none"/>
                <w:tab w:pos="2084" w:val="left" w:leader="none"/>
              </w:tabs>
              <w:spacing w:line="242" w:lineRule="auto"/>
              <w:ind w:right="102"/>
              <w:rPr>
                <w:sz w:val="22"/>
              </w:rPr>
            </w:pPr>
            <w:r>
              <w:rPr>
                <w:sz w:val="22"/>
              </w:rPr>
              <w:t>El</w:t>
              <w:tab/>
              <w:t>desarrollo</w:t>
              <w:tab/>
            </w:r>
            <w:r>
              <w:rPr>
                <w:spacing w:val="-1"/>
                <w:sz w:val="22"/>
              </w:rPr>
              <w:t>económico </w:t>
            </w:r>
            <w:r>
              <w:rPr>
                <w:sz w:val="22"/>
              </w:rPr>
              <w:t>desigual  entre  los  actores</w:t>
            </w:r>
            <w:r>
              <w:rPr>
                <w:spacing w:val="40"/>
                <w:sz w:val="22"/>
              </w:rPr>
              <w:t> </w:t>
            </w:r>
            <w:r>
              <w:rPr>
                <w:sz w:val="22"/>
              </w:rPr>
              <w:t>de</w:t>
            </w:r>
          </w:p>
        </w:tc>
        <w:tc>
          <w:tcPr>
            <w:tcW w:w="2126" w:type="dxa"/>
          </w:tcPr>
          <w:p>
            <w:pPr>
              <w:pStyle w:val="TableParagraph"/>
              <w:spacing w:line="242" w:lineRule="auto"/>
              <w:ind w:left="400" w:right="161" w:hanging="226"/>
              <w:rPr>
                <w:b/>
                <w:sz w:val="22"/>
              </w:rPr>
            </w:pPr>
            <w:r>
              <w:rPr>
                <w:b/>
                <w:sz w:val="22"/>
              </w:rPr>
              <w:t># de acciones de cooperación</w:t>
            </w:r>
          </w:p>
        </w:tc>
        <w:tc>
          <w:tcPr>
            <w:tcW w:w="2835" w:type="dxa"/>
          </w:tcPr>
          <w:p>
            <w:pPr>
              <w:pStyle w:val="TableParagraph"/>
              <w:spacing w:line="242" w:lineRule="auto"/>
              <w:ind w:right="85"/>
              <w:rPr>
                <w:sz w:val="22"/>
              </w:rPr>
            </w:pPr>
            <w:r>
              <w:rPr>
                <w:sz w:val="22"/>
              </w:rPr>
              <w:t>Cantidad de acciones de cooperación intermunicipal</w:t>
            </w:r>
          </w:p>
        </w:tc>
      </w:tr>
    </w:tbl>
    <w:p>
      <w:pPr>
        <w:spacing w:after="0" w:line="242" w:lineRule="auto"/>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2288"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E7E</w:t>
            </w:r>
          </w:p>
        </w:tc>
        <w:tc>
          <w:tcPr>
            <w:tcW w:w="730" w:type="dxa"/>
            <w:shd w:val="clear" w:color="auto" w:fill="F79546"/>
          </w:tcPr>
          <w:p>
            <w:pPr/>
          </w:p>
        </w:tc>
        <w:tc>
          <w:tcPr>
            <w:tcW w:w="1990" w:type="dxa"/>
          </w:tcPr>
          <w:p>
            <w:pPr/>
          </w:p>
        </w:tc>
        <w:tc>
          <w:tcPr>
            <w:tcW w:w="3262" w:type="dxa"/>
          </w:tcPr>
          <w:p>
            <w:pPr>
              <w:pStyle w:val="TableParagraph"/>
              <w:tabs>
                <w:tab w:pos="2072" w:val="left" w:leader="none"/>
              </w:tabs>
              <w:ind w:right="101"/>
              <w:jc w:val="both"/>
              <w:rPr>
                <w:sz w:val="22"/>
              </w:rPr>
            </w:pPr>
            <w:r>
              <w:rPr>
                <w:sz w:val="22"/>
              </w:rPr>
              <w:t>la CHPH obedece a la inexistencia de acciones de cooperación intermunicipal de los actores de los municipios de la región para un crecimiento</w:t>
              <w:tab/>
            </w:r>
            <w:r>
              <w:rPr>
                <w:spacing w:val="-1"/>
                <w:sz w:val="22"/>
              </w:rPr>
              <w:t>equilibrado </w:t>
            </w:r>
            <w:r>
              <w:rPr>
                <w:sz w:val="22"/>
              </w:rPr>
              <w:t>(García, TC:</w:t>
            </w:r>
            <w:r>
              <w:rPr>
                <w:spacing w:val="-11"/>
                <w:sz w:val="22"/>
              </w:rPr>
              <w:t> </w:t>
            </w:r>
            <w:r>
              <w:rPr>
                <w:sz w:val="22"/>
              </w:rPr>
              <w:t>2013-2015).</w:t>
            </w:r>
          </w:p>
        </w:tc>
        <w:tc>
          <w:tcPr>
            <w:tcW w:w="2126" w:type="dxa"/>
          </w:tcPr>
          <w:p>
            <w:pPr>
              <w:pStyle w:val="TableParagraph"/>
              <w:ind w:left="117" w:right="120"/>
              <w:jc w:val="center"/>
              <w:rPr>
                <w:b/>
                <w:sz w:val="22"/>
              </w:rPr>
            </w:pPr>
            <w:r>
              <w:rPr>
                <w:b/>
                <w:sz w:val="22"/>
              </w:rPr>
              <w:t>intermunicipal de los actores de la CHPH para un desarrollo equilibrado</w:t>
            </w:r>
          </w:p>
        </w:tc>
        <w:tc>
          <w:tcPr>
            <w:tcW w:w="2835" w:type="dxa"/>
          </w:tcPr>
          <w:p>
            <w:pPr>
              <w:pStyle w:val="TableParagraph"/>
              <w:tabs>
                <w:tab w:pos="1331" w:val="left" w:leader="none"/>
                <w:tab w:pos="1678" w:val="left" w:leader="none"/>
                <w:tab w:pos="1750" w:val="left" w:leader="none"/>
                <w:tab w:pos="2441" w:val="left" w:leader="none"/>
                <w:tab w:pos="2475" w:val="left" w:leader="none"/>
              </w:tabs>
              <w:ind w:right="100"/>
              <w:rPr>
                <w:sz w:val="22"/>
              </w:rPr>
            </w:pPr>
            <w:r>
              <w:rPr>
                <w:sz w:val="22"/>
              </w:rPr>
              <w:t>de los actores de la CHPH para lograr un desarrollo equitativo en la región. (Ejemplo: aún no existen acciones de cooperación intermunicipal</w:t>
              <w:tab/>
              <w:tab/>
              <w:t>para</w:t>
              <w:tab/>
              <w:tab/>
              <w:t>un desarrollo equilibrado que involucren</w:t>
              <w:tab/>
              <w:t>a</w:t>
              <w:tab/>
              <w:t>todos</w:t>
              <w:tab/>
              <w:t>los actores de la</w:t>
            </w:r>
            <w:r>
              <w:rPr>
                <w:spacing w:val="-7"/>
                <w:sz w:val="22"/>
              </w:rPr>
              <w:t> </w:t>
            </w:r>
            <w:r>
              <w:rPr>
                <w:sz w:val="22"/>
              </w:rPr>
              <w:t>CHPH).</w:t>
            </w:r>
          </w:p>
        </w:tc>
      </w:tr>
      <w:tr>
        <w:trPr>
          <w:trHeight w:val="3298"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E8E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right="830"/>
              <w:rPr>
                <w:sz w:val="22"/>
              </w:rPr>
            </w:pPr>
            <w:r>
              <w:rPr>
                <w:sz w:val="22"/>
              </w:rPr>
              <w:t>Acceso restringido</w:t>
            </w:r>
          </w:p>
        </w:tc>
        <w:tc>
          <w:tcPr>
            <w:tcW w:w="3262" w:type="dxa"/>
          </w:tcPr>
          <w:p>
            <w:pPr>
              <w:pStyle w:val="TableParagraph"/>
              <w:spacing w:before="8"/>
              <w:ind w:left="0"/>
              <w:rPr>
                <w:rFonts w:ascii="Times New Roman"/>
                <w:sz w:val="21"/>
              </w:rPr>
            </w:pPr>
          </w:p>
          <w:p>
            <w:pPr>
              <w:pStyle w:val="TableParagraph"/>
              <w:ind w:right="100"/>
              <w:jc w:val="both"/>
              <w:rPr>
                <w:sz w:val="22"/>
              </w:rPr>
            </w:pPr>
            <w:r>
              <w:rPr>
                <w:sz w:val="22"/>
              </w:rPr>
              <w:t>Aunque existe un sentido de pertenencia, los actores históricos de aguas arriba tienen restringido el acceso de los recursos de la CHPH por parte de las instancias gubernamentales, lo que provoca un desequilibrio económico entre los actores  de los</w:t>
            </w:r>
            <w:r>
              <w:rPr>
                <w:spacing w:val="-6"/>
                <w:sz w:val="22"/>
              </w:rPr>
              <w:t> </w:t>
            </w:r>
            <w:r>
              <w:rPr>
                <w:sz w:val="22"/>
              </w:rPr>
              <w:t>municipios.</w:t>
            </w:r>
          </w:p>
          <w:p>
            <w:pPr>
              <w:pStyle w:val="TableParagraph"/>
              <w:spacing w:line="252" w:lineRule="exact"/>
              <w:jc w:val="both"/>
              <w:rPr>
                <w:sz w:val="22"/>
              </w:rPr>
            </w:pPr>
            <w:r>
              <w:rPr>
                <w:sz w:val="22"/>
              </w:rPr>
              <w:t>(García, TC: 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07" w:right="108" w:hanging="2"/>
              <w:jc w:val="center"/>
              <w:rPr>
                <w:b/>
                <w:sz w:val="22"/>
              </w:rPr>
            </w:pPr>
            <w:r>
              <w:rPr>
                <w:b/>
                <w:sz w:val="22"/>
              </w:rPr>
              <w:t># de recursos de la CHPH restringidos a los actores históricos por parte de las instancias gubernamentales</w:t>
            </w:r>
          </w:p>
        </w:tc>
        <w:tc>
          <w:tcPr>
            <w:tcW w:w="2835" w:type="dxa"/>
          </w:tcPr>
          <w:p>
            <w:pPr>
              <w:pStyle w:val="TableParagraph"/>
              <w:spacing w:before="8"/>
              <w:ind w:left="0"/>
              <w:rPr>
                <w:rFonts w:ascii="Times New Roman"/>
                <w:sz w:val="21"/>
              </w:rPr>
            </w:pPr>
          </w:p>
          <w:p>
            <w:pPr>
              <w:pStyle w:val="TableParagraph"/>
              <w:tabs>
                <w:tab w:pos="1250" w:val="left" w:leader="none"/>
                <w:tab w:pos="2443" w:val="left" w:leader="none"/>
              </w:tabs>
              <w:ind w:right="99"/>
              <w:rPr>
                <w:sz w:val="22"/>
              </w:rPr>
            </w:pPr>
            <w:r>
              <w:rPr>
                <w:sz w:val="22"/>
              </w:rPr>
              <w:t>Son el número de los recursos socioeconómicos de la CHPH a los que no pueden</w:t>
              <w:tab/>
              <w:t>acceder</w:t>
              <w:tab/>
              <w:t>los actores históricos porque están restringidos por las instancias gubernamentales como la Conagua.</w:t>
            </w:r>
          </w:p>
          <w:p>
            <w:pPr>
              <w:pStyle w:val="TableParagraph"/>
              <w:spacing w:before="1"/>
              <w:ind w:right="101"/>
              <w:jc w:val="both"/>
              <w:rPr>
                <w:sz w:val="22"/>
              </w:rPr>
            </w:pPr>
            <w:r>
              <w:rPr>
                <w:sz w:val="22"/>
              </w:rPr>
              <w:t>(Ejemplo: concesiones de agua para riego, pesca, caza) .</w:t>
            </w:r>
          </w:p>
        </w:tc>
      </w:tr>
      <w:tr>
        <w:trPr>
          <w:trHeight w:val="3046"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E9E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285"/>
              <w:jc w:val="right"/>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spacing w:line="242" w:lineRule="auto"/>
              <w:ind w:right="830"/>
              <w:rPr>
                <w:sz w:val="22"/>
              </w:rPr>
            </w:pPr>
            <w:r>
              <w:rPr>
                <w:sz w:val="22"/>
              </w:rPr>
              <w:t>Conflicto estructural</w:t>
            </w:r>
          </w:p>
        </w:tc>
        <w:tc>
          <w:tcPr>
            <w:tcW w:w="3262" w:type="dxa"/>
          </w:tcPr>
          <w:p>
            <w:pPr>
              <w:pStyle w:val="TableParagraph"/>
              <w:tabs>
                <w:tab w:pos="1137" w:val="left" w:leader="none"/>
                <w:tab w:pos="1419" w:val="left" w:leader="none"/>
                <w:tab w:pos="1895" w:val="left" w:leader="none"/>
                <w:tab w:pos="2060" w:val="left" w:leader="none"/>
                <w:tab w:pos="2427" w:val="left" w:leader="none"/>
                <w:tab w:pos="2867" w:val="left" w:leader="none"/>
              </w:tabs>
              <w:spacing w:before="125"/>
              <w:ind w:right="100"/>
              <w:rPr>
                <w:sz w:val="22"/>
              </w:rPr>
            </w:pPr>
            <w:r>
              <w:rPr>
                <w:sz w:val="22"/>
              </w:rPr>
              <w:t>Son</w:t>
              <w:tab/>
            </w:r>
            <w:r>
              <w:rPr>
                <w:spacing w:val="-1"/>
                <w:sz w:val="22"/>
              </w:rPr>
              <w:t>las</w:t>
              <w:tab/>
              <w:tab/>
              <w:tab/>
              <w:t>estructuras </w:t>
            </w:r>
            <w:r>
              <w:rPr>
                <w:sz w:val="22"/>
              </w:rPr>
              <w:t>consuetudinarias socioeconómicas consolidadas a través de la historia, que se enfrentan a las reglas formales económicas del Estado que no son incluyentes, generando un conflicto</w:t>
              <w:tab/>
              <w:tab/>
              <w:t>entre</w:t>
              <w:tab/>
              <w:tab/>
            </w:r>
            <w:r>
              <w:rPr>
                <w:spacing w:val="-1"/>
                <w:sz w:val="22"/>
              </w:rPr>
              <w:t>actores </w:t>
            </w:r>
            <w:r>
              <w:rPr>
                <w:sz w:val="22"/>
              </w:rPr>
              <w:t>históricos</w:t>
              <w:tab/>
              <w:tab/>
              <w:tab/>
              <w:t>y</w:t>
              <w:tab/>
              <w:tab/>
              <w:tab/>
              <w:t>los gubernamentales (García, TC: 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107" w:right="108" w:hanging="4"/>
              <w:jc w:val="center"/>
              <w:rPr>
                <w:b/>
                <w:sz w:val="22"/>
              </w:rPr>
            </w:pPr>
            <w:r>
              <w:rPr>
                <w:b/>
                <w:sz w:val="22"/>
              </w:rPr>
              <w:t># conflictos entre actores históricos y             gubernamentales de la CHPH</w:t>
            </w:r>
          </w:p>
        </w:tc>
        <w:tc>
          <w:tcPr>
            <w:tcW w:w="2835" w:type="dxa"/>
          </w:tcPr>
          <w:p>
            <w:pPr>
              <w:pStyle w:val="TableParagraph"/>
              <w:tabs>
                <w:tab w:pos="1926" w:val="left" w:leader="none"/>
              </w:tabs>
              <w:ind w:right="99"/>
              <w:jc w:val="both"/>
              <w:rPr>
                <w:sz w:val="22"/>
              </w:rPr>
            </w:pPr>
            <w:r>
              <w:rPr>
                <w:sz w:val="22"/>
              </w:rPr>
              <w:t>Número de las principales discrepancias entre las reglas económicas que dicta el Estado y las bases del</w:t>
              <w:tab/>
              <w:t>derecho</w:t>
            </w:r>
          </w:p>
          <w:p>
            <w:pPr>
              <w:pStyle w:val="TableParagraph"/>
              <w:tabs>
                <w:tab w:pos="484" w:val="left" w:leader="none"/>
                <w:tab w:pos="561" w:val="left" w:leader="none"/>
                <w:tab w:pos="1052" w:val="left" w:leader="none"/>
                <w:tab w:pos="1660" w:val="left" w:leader="none"/>
                <w:tab w:pos="1985" w:val="left" w:leader="none"/>
                <w:tab w:pos="2441" w:val="left" w:leader="none"/>
              </w:tabs>
              <w:ind w:right="99"/>
              <w:rPr>
                <w:sz w:val="22"/>
              </w:rPr>
            </w:pPr>
            <w:r>
              <w:rPr>
                <w:sz w:val="22"/>
              </w:rPr>
              <w:t>consuetudinario que rige  el</w:t>
              <w:tab/>
              <w:t>desarrollo</w:t>
              <w:tab/>
            </w:r>
            <w:r>
              <w:rPr>
                <w:spacing w:val="-1"/>
                <w:sz w:val="22"/>
              </w:rPr>
              <w:t>económico </w:t>
            </w:r>
            <w:r>
              <w:rPr>
                <w:sz w:val="22"/>
              </w:rPr>
              <w:t>de</w:t>
              <w:tab/>
              <w:tab/>
              <w:t>los</w:t>
              <w:tab/>
              <w:t>actores</w:t>
              <w:tab/>
              <w:t>de</w:t>
              <w:tab/>
              <w:t>los municipios de la CHPH. (Ejemplos: conflicto por la veda de pesca y por el agua para</w:t>
            </w:r>
            <w:r>
              <w:rPr>
                <w:spacing w:val="-5"/>
                <w:sz w:val="22"/>
              </w:rPr>
              <w:t> </w:t>
            </w:r>
            <w:r>
              <w:rPr>
                <w:sz w:val="22"/>
              </w:rPr>
              <w:t>riego).</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2792"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198"/>
              <w:jc w:val="right"/>
              <w:rPr>
                <w:b/>
                <w:sz w:val="22"/>
              </w:rPr>
            </w:pPr>
            <w:r>
              <w:rPr>
                <w:b/>
                <w:sz w:val="22"/>
              </w:rPr>
              <w:t>E10E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1"/>
              <w:jc w:val="center"/>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right="267"/>
              <w:rPr>
                <w:sz w:val="22"/>
              </w:rPr>
            </w:pPr>
            <w:r>
              <w:rPr>
                <w:sz w:val="22"/>
              </w:rPr>
              <w:t>Acuerdos intermunicipales</w:t>
            </w:r>
          </w:p>
        </w:tc>
        <w:tc>
          <w:tcPr>
            <w:tcW w:w="3262"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100"/>
              <w:jc w:val="both"/>
              <w:rPr>
                <w:sz w:val="22"/>
              </w:rPr>
            </w:pPr>
            <w:r>
              <w:rPr>
                <w:sz w:val="22"/>
              </w:rPr>
              <w:t>Inexistencia de acuerdos intermunicipales para la distribución equitativa de los recursos socioeconómicos entre los actores históricos de la CHPH (García, TC: 2013- 2015).</w:t>
            </w:r>
          </w:p>
        </w:tc>
        <w:tc>
          <w:tcPr>
            <w:tcW w:w="2126" w:type="dxa"/>
          </w:tcPr>
          <w:p>
            <w:pPr>
              <w:pStyle w:val="TableParagraph"/>
              <w:spacing w:before="6"/>
              <w:ind w:left="0"/>
              <w:rPr>
                <w:rFonts w:ascii="Times New Roman"/>
                <w:sz w:val="32"/>
              </w:rPr>
            </w:pPr>
          </w:p>
          <w:p>
            <w:pPr>
              <w:pStyle w:val="TableParagraph"/>
              <w:ind w:left="124" w:right="131" w:firstLine="3"/>
              <w:jc w:val="center"/>
              <w:rPr>
                <w:b/>
                <w:sz w:val="22"/>
              </w:rPr>
            </w:pPr>
            <w:r>
              <w:rPr>
                <w:b/>
                <w:sz w:val="22"/>
              </w:rPr>
              <w:t># de acuerdos intermunicipales formales para la distribución equitativa de los recursos socioeconómicos de la CHPH</w:t>
            </w:r>
          </w:p>
        </w:tc>
        <w:tc>
          <w:tcPr>
            <w:tcW w:w="2835" w:type="dxa"/>
          </w:tcPr>
          <w:p>
            <w:pPr>
              <w:pStyle w:val="TableParagraph"/>
              <w:ind w:right="99"/>
              <w:jc w:val="both"/>
              <w:rPr>
                <w:sz w:val="22"/>
              </w:rPr>
            </w:pPr>
            <w:r>
              <w:rPr>
                <w:sz w:val="22"/>
              </w:rPr>
              <w:t>Cantidad de acuerdos formales entre los actores socioeconómicos de la CHPH para una distribución equitativa de los recursos de la Cuenca. (Ejemplo: aún no exsiten acuerdos formales entre los municipios de la CHPH para acceder de forma equitativa a los recursos)</w:t>
            </w:r>
          </w:p>
        </w:tc>
      </w:tr>
      <w:tr>
        <w:trPr>
          <w:trHeight w:val="2036"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50"/>
              <w:jc w:val="right"/>
              <w:rPr>
                <w:b/>
                <w:sz w:val="22"/>
              </w:rPr>
            </w:pPr>
            <w:r>
              <w:rPr>
                <w:b/>
                <w:sz w:val="22"/>
              </w:rPr>
              <w:t>E11E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0" w:right="1"/>
              <w:jc w:val="center"/>
              <w:rPr>
                <w:b/>
                <w:sz w:val="22"/>
              </w:rPr>
            </w:pPr>
            <w:r>
              <w:rPr>
                <w:b/>
                <w:w w:val="100"/>
                <w:sz w:val="22"/>
              </w:rPr>
              <w:t>E</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267"/>
              <w:rPr>
                <w:sz w:val="22"/>
              </w:rPr>
            </w:pPr>
            <w:r>
              <w:rPr>
                <w:sz w:val="22"/>
              </w:rPr>
              <w:t>Acceso informal</w:t>
            </w:r>
          </w:p>
        </w:tc>
        <w:tc>
          <w:tcPr>
            <w:tcW w:w="3262" w:type="dxa"/>
          </w:tcPr>
          <w:p>
            <w:pPr>
              <w:pStyle w:val="TableParagraph"/>
              <w:tabs>
                <w:tab w:pos="690" w:val="left" w:leader="none"/>
                <w:tab w:pos="1645" w:val="left" w:leader="none"/>
                <w:tab w:pos="2122" w:val="left" w:leader="none"/>
                <w:tab w:pos="2523" w:val="left" w:leader="none"/>
              </w:tabs>
              <w:spacing w:before="125"/>
              <w:ind w:right="100"/>
              <w:rPr>
                <w:sz w:val="22"/>
              </w:rPr>
            </w:pPr>
            <w:r>
              <w:rPr>
                <w:sz w:val="22"/>
              </w:rPr>
              <w:t>Los</w:t>
              <w:tab/>
              <w:t>actores</w:t>
              <w:tab/>
              <w:t>de</w:t>
              <w:tab/>
              <w:t>la</w:t>
              <w:tab/>
              <w:t>CHPH acceden de manera informal a los recursos socioeconómicos de la región, porque existe una distribución formal inequitativa entre ellos (García, TC: 2013- 2015).</w:t>
            </w:r>
          </w:p>
        </w:tc>
        <w:tc>
          <w:tcPr>
            <w:tcW w:w="2126" w:type="dxa"/>
          </w:tcPr>
          <w:p>
            <w:pPr>
              <w:pStyle w:val="TableParagraph"/>
              <w:spacing w:before="8"/>
              <w:ind w:left="0"/>
              <w:rPr>
                <w:rFonts w:ascii="Times New Roman"/>
                <w:sz w:val="21"/>
              </w:rPr>
            </w:pPr>
          </w:p>
          <w:p>
            <w:pPr>
              <w:pStyle w:val="TableParagraph"/>
              <w:ind w:left="100" w:right="103" w:hanging="1"/>
              <w:jc w:val="center"/>
              <w:rPr>
                <w:b/>
                <w:sz w:val="22"/>
              </w:rPr>
            </w:pPr>
            <w:r>
              <w:rPr>
                <w:b/>
                <w:sz w:val="22"/>
              </w:rPr>
              <w:t>Distribución informal de los recursos entre los actores de la CHPH</w:t>
            </w:r>
          </w:p>
          <w:p>
            <w:pPr>
              <w:pStyle w:val="TableParagraph"/>
              <w:spacing w:line="252" w:lineRule="exact"/>
              <w:ind w:left="117" w:right="120"/>
              <w:jc w:val="center"/>
              <w:rPr>
                <w:b/>
                <w:sz w:val="22"/>
              </w:rPr>
            </w:pPr>
            <w:r>
              <w:rPr>
                <w:b/>
                <w:sz w:val="22"/>
              </w:rPr>
              <w:t>(adimensional)</w:t>
            </w:r>
          </w:p>
        </w:tc>
        <w:tc>
          <w:tcPr>
            <w:tcW w:w="2835" w:type="dxa"/>
          </w:tcPr>
          <w:p>
            <w:pPr>
              <w:pStyle w:val="TableParagraph"/>
              <w:ind w:right="100"/>
              <w:jc w:val="both"/>
              <w:rPr>
                <w:sz w:val="22"/>
              </w:rPr>
            </w:pPr>
            <w:r>
              <w:rPr>
                <w:sz w:val="22"/>
              </w:rPr>
              <w:t>Las formas y las prácticas en que acceden a los recursos los actores de la CHPH.</w:t>
            </w:r>
          </w:p>
          <w:p>
            <w:pPr>
              <w:pStyle w:val="TableParagraph"/>
              <w:ind w:right="102"/>
              <w:jc w:val="both"/>
              <w:rPr>
                <w:sz w:val="22"/>
              </w:rPr>
            </w:pPr>
            <w:r>
              <w:rPr>
                <w:sz w:val="22"/>
              </w:rPr>
              <w:t>(Ejemplo: acceso a la pesca y al pastoreo de acuerdo al municipio donde residen).</w:t>
            </w:r>
          </w:p>
        </w:tc>
      </w:tr>
      <w:tr>
        <w:trPr>
          <w:trHeight w:val="3805"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254"/>
              <w:rPr>
                <w:b/>
                <w:sz w:val="22"/>
              </w:rPr>
            </w:pPr>
            <w:r>
              <w:rPr>
                <w:b/>
                <w:sz w:val="22"/>
              </w:rPr>
              <w:t>I1E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right="463"/>
              <w:rPr>
                <w:sz w:val="22"/>
              </w:rPr>
            </w:pPr>
            <w:r>
              <w:rPr>
                <w:sz w:val="22"/>
              </w:rPr>
              <w:t>Diferenciación económica</w:t>
            </w:r>
          </w:p>
        </w:tc>
        <w:tc>
          <w:tcPr>
            <w:tcW w:w="3262" w:type="dxa"/>
          </w:tcPr>
          <w:p>
            <w:pPr>
              <w:pStyle w:val="TableParagraph"/>
              <w:ind w:right="99"/>
              <w:jc w:val="both"/>
              <w:rPr>
                <w:sz w:val="22"/>
              </w:rPr>
            </w:pPr>
            <w:r>
              <w:rPr>
                <w:sz w:val="22"/>
              </w:rPr>
              <w:t>Los actores de la CHPH han crecido económicamente de forma diferenciada; los actores de aguas abajo han sido beneficiados por el riego que les permite producir hacia un mercado nacional; los actores de aguas arriba sólo históricamente se les ha permitido el uso del agua para la pesca, abrevadero, pastar ganado, lo que los ha mantenido en un mercado local y regional (García, TC: 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07" w:right="110" w:firstLine="2"/>
              <w:jc w:val="center"/>
              <w:rPr>
                <w:b/>
                <w:sz w:val="22"/>
              </w:rPr>
            </w:pPr>
            <w:r>
              <w:rPr>
                <w:b/>
                <w:sz w:val="22"/>
              </w:rPr>
              <w:t>Volúmenes de producción en los municipios de aguas abajo y aguas arriba de la CHPH</w:t>
            </w:r>
          </w:p>
        </w:tc>
        <w:tc>
          <w:tcPr>
            <w:tcW w:w="2835" w:type="dxa"/>
          </w:tcPr>
          <w:p>
            <w:pPr>
              <w:pStyle w:val="TableParagraph"/>
              <w:ind w:right="100"/>
              <w:jc w:val="both"/>
              <w:rPr>
                <w:sz w:val="22"/>
              </w:rPr>
            </w:pPr>
            <w:r>
              <w:rPr>
                <w:sz w:val="22"/>
              </w:rPr>
              <w:t>Es el volumen y la producción constante de productos que demandan los mercados  nacionales, y locales, elaborados con base a la diferenciación de acceso a los recursos naturales por los actores de la CHPH.</w:t>
            </w:r>
          </w:p>
          <w:p>
            <w:pPr>
              <w:pStyle w:val="TableParagraph"/>
              <w:spacing w:before="2"/>
              <w:ind w:right="98"/>
              <w:jc w:val="both"/>
              <w:rPr>
                <w:sz w:val="22"/>
              </w:rPr>
            </w:pPr>
            <w:r>
              <w:rPr>
                <w:sz w:val="22"/>
              </w:rPr>
              <w:t>(Ejemplo: los  municipios de agua abajo producen lácteos en grandes volúmenes para mercados nacionales y  los municipios      de    </w:t>
            </w:r>
            <w:r>
              <w:rPr>
                <w:spacing w:val="59"/>
                <w:sz w:val="22"/>
              </w:rPr>
              <w:t> </w:t>
            </w:r>
            <w:r>
              <w:rPr>
                <w:sz w:val="22"/>
              </w:rPr>
              <w:t>aguas</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768" w:hRule="exact"/>
        </w:trPr>
        <w:tc>
          <w:tcPr>
            <w:tcW w:w="852" w:type="dxa"/>
            <w:shd w:val="clear" w:color="auto" w:fill="F79546"/>
          </w:tcPr>
          <w:p>
            <w:pPr/>
          </w:p>
        </w:tc>
        <w:tc>
          <w:tcPr>
            <w:tcW w:w="730" w:type="dxa"/>
            <w:shd w:val="clear" w:color="auto" w:fill="F79546"/>
          </w:tcPr>
          <w:p>
            <w:pPr/>
          </w:p>
        </w:tc>
        <w:tc>
          <w:tcPr>
            <w:tcW w:w="1990" w:type="dxa"/>
          </w:tcPr>
          <w:p>
            <w:pPr/>
          </w:p>
        </w:tc>
        <w:tc>
          <w:tcPr>
            <w:tcW w:w="3262" w:type="dxa"/>
          </w:tcPr>
          <w:p>
            <w:pPr/>
          </w:p>
        </w:tc>
        <w:tc>
          <w:tcPr>
            <w:tcW w:w="2126" w:type="dxa"/>
          </w:tcPr>
          <w:p>
            <w:pPr/>
          </w:p>
        </w:tc>
        <w:tc>
          <w:tcPr>
            <w:tcW w:w="2835" w:type="dxa"/>
          </w:tcPr>
          <w:p>
            <w:pPr>
              <w:pStyle w:val="TableParagraph"/>
              <w:ind w:right="100"/>
              <w:jc w:val="both"/>
              <w:rPr>
                <w:sz w:val="22"/>
              </w:rPr>
            </w:pPr>
            <w:r>
              <w:rPr>
                <w:sz w:val="22"/>
              </w:rPr>
              <w:t>arriba producen pequeños volúmenes para el mercado local y regional).</w:t>
            </w:r>
          </w:p>
        </w:tc>
      </w:tr>
      <w:tr>
        <w:trPr>
          <w:trHeight w:val="1781"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I2E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ind w:right="500"/>
              <w:rPr>
                <w:sz w:val="22"/>
              </w:rPr>
            </w:pPr>
            <w:r>
              <w:rPr>
                <w:sz w:val="22"/>
              </w:rPr>
              <w:t>Control de los recursos</w:t>
            </w:r>
          </w:p>
        </w:tc>
        <w:tc>
          <w:tcPr>
            <w:tcW w:w="3262" w:type="dxa"/>
          </w:tcPr>
          <w:p>
            <w:pPr>
              <w:pStyle w:val="TableParagraph"/>
              <w:ind w:right="100"/>
              <w:jc w:val="both"/>
              <w:rPr>
                <w:sz w:val="22"/>
              </w:rPr>
            </w:pPr>
            <w:r>
              <w:rPr>
                <w:sz w:val="22"/>
              </w:rPr>
              <w:t>Históricamente los actores de los municipios de aguas abajo han tenido los beneficios del agua para riego, y han frenado el desarrollo de los actores de los municipios de aguas arriba (García, TC: 2013-2015).</w:t>
            </w:r>
          </w:p>
        </w:tc>
        <w:tc>
          <w:tcPr>
            <w:tcW w:w="2126" w:type="dxa"/>
          </w:tcPr>
          <w:p>
            <w:pPr>
              <w:pStyle w:val="TableParagraph"/>
              <w:spacing w:before="6"/>
              <w:ind w:left="0"/>
              <w:rPr>
                <w:rFonts w:ascii="Times New Roman"/>
                <w:sz w:val="32"/>
              </w:rPr>
            </w:pPr>
          </w:p>
          <w:p>
            <w:pPr>
              <w:pStyle w:val="TableParagraph"/>
              <w:ind w:left="203" w:right="210" w:firstLine="19"/>
              <w:jc w:val="both"/>
              <w:rPr>
                <w:b/>
                <w:sz w:val="22"/>
              </w:rPr>
            </w:pPr>
            <w:r>
              <w:rPr>
                <w:b/>
                <w:sz w:val="22"/>
              </w:rPr>
              <w:t># de municipios de la CHPH que tienen acceso al agua para riego</w:t>
            </w:r>
          </w:p>
        </w:tc>
        <w:tc>
          <w:tcPr>
            <w:tcW w:w="2835" w:type="dxa"/>
          </w:tcPr>
          <w:p>
            <w:pPr>
              <w:pStyle w:val="TableParagraph"/>
              <w:spacing w:before="10"/>
              <w:ind w:left="0"/>
              <w:rPr>
                <w:rFonts w:ascii="Times New Roman"/>
                <w:sz w:val="21"/>
              </w:rPr>
            </w:pPr>
          </w:p>
          <w:p>
            <w:pPr>
              <w:pStyle w:val="TableParagraph"/>
              <w:ind w:right="97"/>
              <w:rPr>
                <w:sz w:val="22"/>
              </w:rPr>
            </w:pPr>
            <w:r>
              <w:rPr>
                <w:sz w:val="22"/>
              </w:rPr>
              <w:t>Cantidad de municipios de la CHPH que cuentan con la concesión histórica para usar el agua para riego. (Ejemplo: Polotitlán).</w:t>
            </w:r>
          </w:p>
        </w:tc>
      </w:tr>
      <w:tr>
        <w:trPr>
          <w:trHeight w:val="2794"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I3E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377"/>
              <w:rPr>
                <w:sz w:val="22"/>
              </w:rPr>
            </w:pPr>
            <w:r>
              <w:rPr>
                <w:sz w:val="22"/>
              </w:rPr>
              <w:t>Escases de los recursos</w:t>
            </w:r>
          </w:p>
        </w:tc>
        <w:tc>
          <w:tcPr>
            <w:tcW w:w="3262" w:type="dxa"/>
          </w:tcPr>
          <w:p>
            <w:pPr>
              <w:pStyle w:val="TableParagraph"/>
              <w:tabs>
                <w:tab w:pos="1549" w:val="left" w:leader="none"/>
                <w:tab w:pos="1939" w:val="left" w:leader="none"/>
                <w:tab w:pos="2742" w:val="left" w:leader="none"/>
              </w:tabs>
              <w:ind w:right="99"/>
              <w:jc w:val="both"/>
              <w:rPr>
                <w:sz w:val="22"/>
              </w:rPr>
            </w:pPr>
            <w:r>
              <w:rPr>
                <w:sz w:val="22"/>
              </w:rPr>
              <w:t>Los recursos económicos de la CHPH</w:t>
              <w:tab/>
              <w:t>han</w:t>
              <w:tab/>
              <w:tab/>
              <w:t>sido sobreexplotados por parte de los actores de la Cuenca lo cual se ha manifestado en el cambio de la comida lacustre y hábitos</w:t>
              <w:tab/>
              <w:tab/>
            </w:r>
            <w:r>
              <w:rPr>
                <w:spacing w:val="-1"/>
                <w:sz w:val="22"/>
              </w:rPr>
              <w:t>alimenticios, </w:t>
            </w:r>
            <w:r>
              <w:rPr>
                <w:sz w:val="22"/>
              </w:rPr>
              <w:t>ocasionando el remplazo de comida lacustre por comida industrializada (García, TC: 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175" w:right="175" w:hanging="5"/>
              <w:jc w:val="center"/>
              <w:rPr>
                <w:b/>
                <w:sz w:val="22"/>
              </w:rPr>
            </w:pPr>
            <w:r>
              <w:rPr>
                <w:b/>
                <w:sz w:val="22"/>
              </w:rPr>
              <w:t># de recursos económicos sobreexplotados en la CHPH</w:t>
            </w:r>
          </w:p>
        </w:tc>
        <w:tc>
          <w:tcPr>
            <w:tcW w:w="2835" w:type="dxa"/>
          </w:tcPr>
          <w:p>
            <w:pPr>
              <w:pStyle w:val="TableParagraph"/>
              <w:spacing w:before="10"/>
              <w:ind w:left="0"/>
              <w:rPr>
                <w:rFonts w:ascii="Times New Roman"/>
                <w:sz w:val="21"/>
              </w:rPr>
            </w:pPr>
          </w:p>
          <w:p>
            <w:pPr>
              <w:pStyle w:val="TableParagraph"/>
              <w:tabs>
                <w:tab w:pos="1310" w:val="left" w:leader="none"/>
                <w:tab w:pos="1878" w:val="left" w:leader="none"/>
                <w:tab w:pos="1922" w:val="left" w:leader="none"/>
                <w:tab w:pos="2442" w:val="left" w:leader="none"/>
              </w:tabs>
              <w:ind w:right="99"/>
              <w:rPr>
                <w:sz w:val="22"/>
              </w:rPr>
            </w:pPr>
            <w:r>
              <w:rPr>
                <w:sz w:val="22"/>
              </w:rPr>
              <w:t>Cantidad</w:t>
              <w:tab/>
              <w:t>de</w:t>
              <w:tab/>
            </w:r>
            <w:r>
              <w:rPr>
                <w:spacing w:val="-1"/>
                <w:sz w:val="22"/>
              </w:rPr>
              <w:t>recursos </w:t>
            </w:r>
            <w:r>
              <w:rPr>
                <w:sz w:val="22"/>
              </w:rPr>
              <w:t>económicos que han sido sobreexplotados</w:t>
              <w:tab/>
              <w:tab/>
              <w:t>por</w:t>
              <w:tab/>
              <w:t>los actores de la CHPH a través del tiempo. (Ejemplo: anfibios como los ajolotes y las</w:t>
            </w:r>
            <w:r>
              <w:rPr>
                <w:spacing w:val="-7"/>
                <w:sz w:val="22"/>
              </w:rPr>
              <w:t> </w:t>
            </w:r>
            <w:r>
              <w:rPr>
                <w:sz w:val="22"/>
              </w:rPr>
              <w:t>ranas).</w:t>
            </w:r>
          </w:p>
        </w:tc>
      </w:tr>
      <w:tr>
        <w:trPr>
          <w:trHeight w:val="2792"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I4E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right="512"/>
              <w:rPr>
                <w:sz w:val="22"/>
              </w:rPr>
            </w:pPr>
            <w:r>
              <w:rPr>
                <w:sz w:val="22"/>
              </w:rPr>
              <w:t>Incertidumbre económica</w:t>
            </w:r>
          </w:p>
        </w:tc>
        <w:tc>
          <w:tcPr>
            <w:tcW w:w="3262" w:type="dxa"/>
          </w:tcPr>
          <w:p>
            <w:pPr>
              <w:pStyle w:val="TableParagraph"/>
              <w:spacing w:before="125"/>
              <w:ind w:right="100"/>
              <w:jc w:val="both"/>
              <w:rPr>
                <w:sz w:val="22"/>
              </w:rPr>
            </w:pPr>
            <w:r>
              <w:rPr>
                <w:sz w:val="22"/>
              </w:rPr>
              <w:t>Los actores históricos y municipales, están en desacuerdo con la actual estructura federal del reparto de los recursos de la cuenca, ya que impide su desarrollo económico y genera inestabilidad socioeconómica en la región (García, TC: 2013-2015).</w:t>
            </w:r>
          </w:p>
        </w:tc>
        <w:tc>
          <w:tcPr>
            <w:tcW w:w="2126" w:type="dxa"/>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119" w:right="122" w:firstLine="1"/>
              <w:jc w:val="center"/>
              <w:rPr>
                <w:b/>
                <w:sz w:val="22"/>
              </w:rPr>
            </w:pPr>
            <w:r>
              <w:rPr>
                <w:b/>
                <w:sz w:val="22"/>
              </w:rPr>
              <w:t>Crecimiento económico desigual entre los municipios de la CHPH</w:t>
            </w:r>
          </w:p>
          <w:p>
            <w:pPr>
              <w:pStyle w:val="TableParagraph"/>
              <w:spacing w:before="2"/>
              <w:ind w:left="116" w:right="120"/>
              <w:jc w:val="center"/>
              <w:rPr>
                <w:b/>
                <w:sz w:val="22"/>
              </w:rPr>
            </w:pPr>
            <w:r>
              <w:rPr>
                <w:b/>
                <w:sz w:val="22"/>
              </w:rPr>
              <w:t>(adimensional)</w:t>
            </w:r>
          </w:p>
        </w:tc>
        <w:tc>
          <w:tcPr>
            <w:tcW w:w="2835" w:type="dxa"/>
          </w:tcPr>
          <w:p>
            <w:pPr>
              <w:pStyle w:val="TableParagraph"/>
              <w:tabs>
                <w:tab w:pos="2476" w:val="left" w:leader="none"/>
              </w:tabs>
              <w:ind w:right="99"/>
              <w:jc w:val="both"/>
              <w:rPr>
                <w:sz w:val="22"/>
              </w:rPr>
            </w:pPr>
            <w:r>
              <w:rPr>
                <w:sz w:val="22"/>
              </w:rPr>
              <w:t>Existe un crecimiento económico de los municipios que tienen acceso al agua de riego (Aculco y Polotitlán) a costa de los municipios que no lo tienen (Timilpan, Acambay y Jilotepec), provocando</w:t>
              <w:tab/>
              <w:t>un desequilibrio en el desarrollo de la</w:t>
            </w:r>
            <w:r>
              <w:rPr>
                <w:spacing w:val="-6"/>
                <w:sz w:val="22"/>
              </w:rPr>
              <w:t> </w:t>
            </w:r>
            <w:r>
              <w:rPr>
                <w:sz w:val="22"/>
              </w:rPr>
              <w:t>CHPH.</w:t>
            </w:r>
          </w:p>
        </w:tc>
      </w:tr>
      <w:tr>
        <w:trPr>
          <w:trHeight w:val="518" w:hRule="exact"/>
        </w:trPr>
        <w:tc>
          <w:tcPr>
            <w:tcW w:w="852" w:type="dxa"/>
            <w:shd w:val="clear" w:color="auto" w:fill="F79546"/>
          </w:tcPr>
          <w:p>
            <w:pPr/>
          </w:p>
        </w:tc>
        <w:tc>
          <w:tcPr>
            <w:tcW w:w="730" w:type="dxa"/>
            <w:shd w:val="clear" w:color="auto" w:fill="F79546"/>
          </w:tcPr>
          <w:p>
            <w:pPr>
              <w:pStyle w:val="TableParagraph"/>
              <w:spacing w:before="8"/>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spacing w:before="125"/>
              <w:ind w:right="267"/>
              <w:rPr>
                <w:sz w:val="22"/>
              </w:rPr>
            </w:pPr>
            <w:r>
              <w:rPr>
                <w:sz w:val="22"/>
              </w:rPr>
              <w:t>Acceso limitado</w:t>
            </w:r>
          </w:p>
        </w:tc>
        <w:tc>
          <w:tcPr>
            <w:tcW w:w="3262" w:type="dxa"/>
          </w:tcPr>
          <w:p>
            <w:pPr>
              <w:pStyle w:val="TableParagraph"/>
              <w:ind w:right="103"/>
              <w:rPr>
                <w:sz w:val="22"/>
              </w:rPr>
            </w:pPr>
            <w:r>
              <w:rPr>
                <w:sz w:val="22"/>
              </w:rPr>
              <w:t>Restricción por parte de la ley para que los grupos  históricos</w:t>
            </w:r>
          </w:p>
        </w:tc>
        <w:tc>
          <w:tcPr>
            <w:tcW w:w="2126" w:type="dxa"/>
          </w:tcPr>
          <w:p>
            <w:pPr>
              <w:pStyle w:val="TableParagraph"/>
              <w:spacing w:line="252" w:lineRule="exact" w:before="2"/>
              <w:ind w:left="247" w:right="235"/>
              <w:rPr>
                <w:b/>
                <w:sz w:val="22"/>
              </w:rPr>
            </w:pPr>
            <w:r>
              <w:rPr>
                <w:b/>
                <w:sz w:val="22"/>
              </w:rPr>
              <w:t># de recursos a los que pueden</w:t>
            </w:r>
          </w:p>
        </w:tc>
        <w:tc>
          <w:tcPr>
            <w:tcW w:w="2835" w:type="dxa"/>
          </w:tcPr>
          <w:p>
            <w:pPr>
              <w:pStyle w:val="TableParagraph"/>
              <w:tabs>
                <w:tab w:pos="1310" w:val="left" w:leader="none"/>
                <w:tab w:pos="1878" w:val="left" w:leader="none"/>
                <w:tab w:pos="2056" w:val="left" w:leader="none"/>
                <w:tab w:pos="2442" w:val="left" w:leader="none"/>
              </w:tabs>
              <w:ind w:right="99"/>
              <w:rPr>
                <w:sz w:val="22"/>
              </w:rPr>
            </w:pPr>
            <w:r>
              <w:rPr>
                <w:sz w:val="22"/>
              </w:rPr>
              <w:t>Cantidad</w:t>
              <w:tab/>
              <w:t>de</w:t>
              <w:tab/>
            </w:r>
            <w:r>
              <w:rPr>
                <w:spacing w:val="-1"/>
                <w:sz w:val="22"/>
              </w:rPr>
              <w:t>recursos </w:t>
            </w:r>
            <w:r>
              <w:rPr>
                <w:sz w:val="22"/>
              </w:rPr>
              <w:t>socioeconómicos</w:t>
              <w:tab/>
              <w:tab/>
              <w:t>a</w:t>
              <w:tab/>
              <w:t>los</w:t>
            </w:r>
          </w:p>
        </w:tc>
      </w:tr>
    </w:tbl>
    <w:p>
      <w:pPr>
        <w:spacing w:after="0"/>
        <w:rPr>
          <w:sz w:val="22"/>
        </w:rPr>
        <w:sectPr>
          <w:footerReference w:type="default" r:id="rId253"/>
          <w:pgSz w:w="15840" w:h="12240" w:orient="landscape"/>
          <w:pgMar w:footer="943" w:header="0" w:top="1140" w:bottom="1140" w:left="2020" w:right="1300"/>
          <w:pgNumType w:start="49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1274" w:hRule="exact"/>
        </w:trPr>
        <w:tc>
          <w:tcPr>
            <w:tcW w:w="852" w:type="dxa"/>
            <w:shd w:val="clear" w:color="auto" w:fill="F79546"/>
          </w:tcPr>
          <w:p>
            <w:pPr>
              <w:pStyle w:val="TableParagraph"/>
              <w:spacing w:before="5"/>
              <w:ind w:left="0"/>
              <w:rPr>
                <w:rFonts w:ascii="Times New Roman"/>
                <w:sz w:val="21"/>
              </w:rPr>
            </w:pPr>
          </w:p>
          <w:p>
            <w:pPr>
              <w:pStyle w:val="TableParagraph"/>
              <w:ind w:left="123" w:right="124"/>
              <w:jc w:val="center"/>
              <w:rPr>
                <w:b/>
                <w:sz w:val="22"/>
              </w:rPr>
            </w:pPr>
            <w:r>
              <w:rPr>
                <w:b/>
                <w:sz w:val="22"/>
              </w:rPr>
              <w:t>I5E</w:t>
            </w:r>
          </w:p>
        </w:tc>
        <w:tc>
          <w:tcPr>
            <w:tcW w:w="730" w:type="dxa"/>
            <w:shd w:val="clear" w:color="auto" w:fill="F79546"/>
          </w:tcPr>
          <w:p>
            <w:pPr/>
          </w:p>
        </w:tc>
        <w:tc>
          <w:tcPr>
            <w:tcW w:w="1990" w:type="dxa"/>
          </w:tcPr>
          <w:p>
            <w:pPr/>
          </w:p>
        </w:tc>
        <w:tc>
          <w:tcPr>
            <w:tcW w:w="3262" w:type="dxa"/>
          </w:tcPr>
          <w:p>
            <w:pPr>
              <w:pStyle w:val="TableParagraph"/>
              <w:ind w:right="103"/>
              <w:rPr>
                <w:sz w:val="22"/>
              </w:rPr>
            </w:pPr>
            <w:r>
              <w:rPr>
                <w:sz w:val="22"/>
              </w:rPr>
              <w:t>de la CHPH puedan acceder equitativamente a los recursos de la Cuenca,  lo que polariza el desarrollo de la región. (García, TC: 2013-2015).</w:t>
            </w:r>
          </w:p>
        </w:tc>
        <w:tc>
          <w:tcPr>
            <w:tcW w:w="2126" w:type="dxa"/>
          </w:tcPr>
          <w:p>
            <w:pPr>
              <w:pStyle w:val="TableParagraph"/>
              <w:ind w:left="107" w:right="108" w:hanging="2"/>
              <w:jc w:val="center"/>
              <w:rPr>
                <w:b/>
                <w:sz w:val="22"/>
              </w:rPr>
            </w:pPr>
            <w:r>
              <w:rPr>
                <w:b/>
                <w:sz w:val="22"/>
              </w:rPr>
              <w:t>acceder los actores históricos de la CHPH</w:t>
            </w:r>
          </w:p>
        </w:tc>
        <w:tc>
          <w:tcPr>
            <w:tcW w:w="2835" w:type="dxa"/>
          </w:tcPr>
          <w:p>
            <w:pPr>
              <w:pStyle w:val="TableParagraph"/>
              <w:ind w:right="99"/>
              <w:jc w:val="both"/>
              <w:rPr>
                <w:sz w:val="22"/>
              </w:rPr>
            </w:pPr>
            <w:r>
              <w:rPr>
                <w:sz w:val="22"/>
              </w:rPr>
              <w:t>que tienen acceso los actores históricos de la CHPH.</w:t>
            </w:r>
          </w:p>
          <w:p>
            <w:pPr>
              <w:pStyle w:val="TableParagraph"/>
              <w:ind w:right="100"/>
              <w:jc w:val="both"/>
              <w:rPr>
                <w:sz w:val="22"/>
              </w:rPr>
            </w:pPr>
            <w:r>
              <w:rPr>
                <w:sz w:val="22"/>
              </w:rPr>
              <w:t>(Ejemplo: pesca y pastoreo).</w:t>
            </w:r>
          </w:p>
        </w:tc>
      </w:tr>
      <w:tr>
        <w:trPr>
          <w:trHeight w:val="3298"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I6E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659"/>
              <w:rPr>
                <w:sz w:val="22"/>
              </w:rPr>
            </w:pPr>
            <w:r>
              <w:rPr>
                <w:sz w:val="22"/>
              </w:rPr>
              <w:t>Crecimiento diferenciado</w:t>
            </w:r>
          </w:p>
        </w:tc>
        <w:tc>
          <w:tcPr>
            <w:tcW w:w="3262"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tabs>
                <w:tab w:pos="551" w:val="left" w:leader="none"/>
                <w:tab w:pos="1287" w:val="left" w:leader="none"/>
                <w:tab w:pos="1451" w:val="left" w:leader="none"/>
                <w:tab w:pos="1777" w:val="left" w:leader="none"/>
                <w:tab w:pos="2048" w:val="left" w:leader="none"/>
                <w:tab w:pos="2084" w:val="left" w:leader="none"/>
                <w:tab w:pos="2302" w:val="left" w:leader="none"/>
                <w:tab w:pos="2571" w:val="left" w:leader="none"/>
              </w:tabs>
              <w:ind w:right="99"/>
              <w:rPr>
                <w:sz w:val="22"/>
              </w:rPr>
            </w:pPr>
            <w:r>
              <w:rPr>
                <w:sz w:val="22"/>
              </w:rPr>
              <w:t>Crecimiento</w:t>
              <w:tab/>
              <w:tab/>
              <w:tab/>
              <w:tab/>
              <w:tab/>
            </w:r>
            <w:r>
              <w:rPr>
                <w:spacing w:val="-1"/>
                <w:sz w:val="22"/>
              </w:rPr>
              <w:t>económico </w:t>
            </w:r>
            <w:r>
              <w:rPr>
                <w:sz w:val="22"/>
              </w:rPr>
              <w:t>desigual de los municipios de la</w:t>
              <w:tab/>
              <w:t>CHPH</w:t>
              <w:tab/>
              <w:tab/>
              <w:t>por</w:t>
              <w:tab/>
              <w:tab/>
              <w:t>no</w:t>
              <w:tab/>
              <w:tab/>
              <w:t>existir acuerdos intermunicipales que permitan una distribución más equitativa</w:t>
              <w:tab/>
              <w:t>de</w:t>
              <w:tab/>
              <w:t>los</w:t>
              <w:tab/>
              <w:tab/>
              <w:t>recursos naturales de la Cuenca (García, TC:</w:t>
            </w:r>
            <w:r>
              <w:rPr>
                <w:spacing w:val="-7"/>
                <w:sz w:val="22"/>
              </w:rPr>
              <w:t> </w:t>
            </w:r>
            <w:r>
              <w:rPr>
                <w:sz w:val="22"/>
              </w:rPr>
              <w:t>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100" w:right="104" w:firstLine="3"/>
              <w:jc w:val="center"/>
              <w:rPr>
                <w:b/>
                <w:sz w:val="22"/>
              </w:rPr>
            </w:pPr>
            <w:r>
              <w:rPr>
                <w:b/>
                <w:sz w:val="22"/>
              </w:rPr>
              <w:t>Crecimiento económico diferenciado entre los municipios de la CHPH (adimensional)</w:t>
            </w:r>
          </w:p>
        </w:tc>
        <w:tc>
          <w:tcPr>
            <w:tcW w:w="2835" w:type="dxa"/>
          </w:tcPr>
          <w:p>
            <w:pPr>
              <w:pStyle w:val="TableParagraph"/>
              <w:ind w:right="99"/>
              <w:jc w:val="both"/>
              <w:rPr>
                <w:sz w:val="22"/>
              </w:rPr>
            </w:pPr>
            <w:r>
              <w:rPr>
                <w:sz w:val="22"/>
              </w:rPr>
              <w:t>Son los procesos económicos que permiten el incremento de la economía de los municipios de agua abajo de la CHPH en detrimento de los municipios de  aguas</w:t>
            </w:r>
            <w:r>
              <w:rPr>
                <w:spacing w:val="-3"/>
                <w:sz w:val="22"/>
              </w:rPr>
              <w:t> </w:t>
            </w:r>
            <w:r>
              <w:rPr>
                <w:sz w:val="22"/>
              </w:rPr>
              <w:t>arriba.</w:t>
            </w:r>
          </w:p>
          <w:p>
            <w:pPr>
              <w:pStyle w:val="TableParagraph"/>
              <w:ind w:right="100"/>
              <w:jc w:val="both"/>
              <w:rPr>
                <w:sz w:val="22"/>
              </w:rPr>
            </w:pPr>
            <w:r>
              <w:rPr>
                <w:sz w:val="22"/>
              </w:rPr>
              <w:t>(Ejemplo: distribución del agua para riego que beneficia sólo a los municipios de aguas abajo).</w:t>
            </w:r>
          </w:p>
        </w:tc>
      </w:tr>
      <w:tr>
        <w:trPr>
          <w:trHeight w:val="1529"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23" w:right="124"/>
              <w:jc w:val="center"/>
              <w:rPr>
                <w:b/>
                <w:sz w:val="22"/>
              </w:rPr>
            </w:pPr>
            <w:r>
              <w:rPr>
                <w:b/>
                <w:sz w:val="22"/>
              </w:rPr>
              <w:t>I7E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rPr>
                <w:sz w:val="22"/>
              </w:rPr>
            </w:pPr>
            <w:r>
              <w:rPr>
                <w:sz w:val="22"/>
              </w:rPr>
              <w:t>Reparto desigual</w:t>
            </w:r>
          </w:p>
        </w:tc>
        <w:tc>
          <w:tcPr>
            <w:tcW w:w="3262" w:type="dxa"/>
          </w:tcPr>
          <w:p>
            <w:pPr>
              <w:pStyle w:val="TableParagraph"/>
              <w:tabs>
                <w:tab w:pos="978" w:val="left" w:leader="none"/>
                <w:tab w:pos="1650" w:val="left" w:leader="none"/>
                <w:tab w:pos="2096" w:val="left" w:leader="none"/>
                <w:tab w:pos="2647" w:val="left" w:leader="none"/>
              </w:tabs>
              <w:spacing w:before="125"/>
              <w:ind w:right="99"/>
              <w:rPr>
                <w:sz w:val="22"/>
              </w:rPr>
            </w:pPr>
            <w:r>
              <w:rPr>
                <w:sz w:val="22"/>
              </w:rPr>
              <w:t>Cooperación</w:t>
              <w:tab/>
              <w:t>escasa</w:t>
              <w:tab/>
              <w:t>entre actores de los municipios de la CHPH</w:t>
              <w:tab/>
              <w:t>para</w:t>
              <w:tab/>
              <w:t>la</w:t>
              <w:tab/>
            </w:r>
            <w:r>
              <w:rPr>
                <w:spacing w:val="-1"/>
                <w:sz w:val="22"/>
              </w:rPr>
              <w:t>asignación </w:t>
            </w:r>
            <w:r>
              <w:rPr>
                <w:sz w:val="22"/>
              </w:rPr>
              <w:t>equitativa de los recursos (García, TC:</w:t>
            </w:r>
            <w:r>
              <w:rPr>
                <w:spacing w:val="-7"/>
                <w:sz w:val="22"/>
              </w:rPr>
              <w:t> </w:t>
            </w:r>
            <w:r>
              <w:rPr>
                <w:sz w:val="22"/>
              </w:rPr>
              <w:t>2013-2015).</w:t>
            </w:r>
          </w:p>
        </w:tc>
        <w:tc>
          <w:tcPr>
            <w:tcW w:w="2126" w:type="dxa"/>
          </w:tcPr>
          <w:p>
            <w:pPr>
              <w:pStyle w:val="TableParagraph"/>
              <w:ind w:left="100" w:right="104" w:hanging="2"/>
              <w:jc w:val="center"/>
              <w:rPr>
                <w:b/>
                <w:sz w:val="22"/>
              </w:rPr>
            </w:pPr>
            <w:r>
              <w:rPr>
                <w:b/>
                <w:sz w:val="22"/>
              </w:rPr>
              <w:t>Reparto inequitativo de los recursos</w:t>
            </w:r>
            <w:r>
              <w:rPr>
                <w:b/>
                <w:spacing w:val="-2"/>
                <w:sz w:val="22"/>
              </w:rPr>
              <w:t> </w:t>
            </w:r>
            <w:r>
              <w:rPr>
                <w:b/>
                <w:sz w:val="22"/>
              </w:rPr>
              <w:t>entre los actores de la CHPH</w:t>
            </w:r>
          </w:p>
          <w:p>
            <w:pPr>
              <w:pStyle w:val="TableParagraph"/>
              <w:spacing w:before="1"/>
              <w:ind w:left="116" w:right="120"/>
              <w:jc w:val="center"/>
              <w:rPr>
                <w:b/>
                <w:sz w:val="22"/>
              </w:rPr>
            </w:pPr>
            <w:r>
              <w:rPr>
                <w:b/>
                <w:sz w:val="22"/>
              </w:rPr>
              <w:t>(adimensional)</w:t>
            </w:r>
          </w:p>
        </w:tc>
        <w:tc>
          <w:tcPr>
            <w:tcW w:w="2835" w:type="dxa"/>
          </w:tcPr>
          <w:p>
            <w:pPr>
              <w:pStyle w:val="TableParagraph"/>
              <w:tabs>
                <w:tab w:pos="556" w:val="left" w:leader="none"/>
                <w:tab w:pos="1045" w:val="left" w:leader="none"/>
                <w:tab w:pos="1525" w:val="left" w:leader="none"/>
                <w:tab w:pos="2098" w:val="left" w:leader="none"/>
                <w:tab w:pos="2550" w:val="left" w:leader="none"/>
              </w:tabs>
              <w:ind w:right="100"/>
              <w:rPr>
                <w:sz w:val="22"/>
              </w:rPr>
            </w:pPr>
            <w:r>
              <w:rPr>
                <w:sz w:val="22"/>
              </w:rPr>
              <w:t>Asignación</w:t>
              <w:tab/>
            </w:r>
            <w:r>
              <w:rPr>
                <w:spacing w:val="-1"/>
                <w:sz w:val="22"/>
              </w:rPr>
              <w:t>diferenciada </w:t>
            </w:r>
            <w:r>
              <w:rPr>
                <w:sz w:val="22"/>
              </w:rPr>
              <w:t>de</w:t>
              <w:tab/>
              <w:t>los</w:t>
              <w:tab/>
              <w:t>recursos</w:t>
              <w:tab/>
              <w:t>de</w:t>
              <w:tab/>
              <w:t>la CHPH entre los actores. (Ejemplo: concesión para riego).</w:t>
            </w:r>
          </w:p>
        </w:tc>
      </w:tr>
      <w:tr>
        <w:trPr>
          <w:trHeight w:val="2540"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I8E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spacing w:before="1"/>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32"/>
              </w:rPr>
            </w:pPr>
          </w:p>
          <w:p>
            <w:pPr>
              <w:pStyle w:val="TableParagraph"/>
              <w:rPr>
                <w:sz w:val="22"/>
              </w:rPr>
            </w:pPr>
            <w:r>
              <w:rPr>
                <w:sz w:val="22"/>
              </w:rPr>
              <w:t>Reparto informal</w:t>
            </w:r>
          </w:p>
        </w:tc>
        <w:tc>
          <w:tcPr>
            <w:tcW w:w="3262" w:type="dxa"/>
          </w:tcPr>
          <w:p>
            <w:pPr>
              <w:pStyle w:val="TableParagraph"/>
              <w:spacing w:before="8"/>
              <w:ind w:left="0"/>
              <w:rPr>
                <w:rFonts w:ascii="Times New Roman"/>
                <w:sz w:val="32"/>
              </w:rPr>
            </w:pPr>
          </w:p>
          <w:p>
            <w:pPr>
              <w:pStyle w:val="TableParagraph"/>
              <w:spacing w:before="1"/>
              <w:ind w:right="101"/>
              <w:jc w:val="both"/>
              <w:rPr>
                <w:sz w:val="22"/>
              </w:rPr>
            </w:pPr>
            <w:r>
              <w:rPr>
                <w:sz w:val="22"/>
              </w:rPr>
              <w:t>Los actores históricos de la CHPH disponen de los recursos mediante los usos y costumbres, lo que genera conflictos socioeconómicos entre actores de los municipios (García, TC: 2013-2015).</w:t>
            </w:r>
          </w:p>
        </w:tc>
        <w:tc>
          <w:tcPr>
            <w:tcW w:w="2126" w:type="dxa"/>
          </w:tcPr>
          <w:p>
            <w:pPr>
              <w:pStyle w:val="TableParagraph"/>
              <w:spacing w:before="6"/>
              <w:ind w:left="0"/>
              <w:rPr>
                <w:rFonts w:ascii="Times New Roman"/>
                <w:sz w:val="32"/>
              </w:rPr>
            </w:pPr>
          </w:p>
          <w:p>
            <w:pPr>
              <w:pStyle w:val="TableParagraph"/>
              <w:ind w:left="235" w:right="238" w:firstLine="3"/>
              <w:jc w:val="center"/>
              <w:rPr>
                <w:b/>
                <w:sz w:val="22"/>
              </w:rPr>
            </w:pPr>
            <w:r>
              <w:rPr>
                <w:b/>
                <w:sz w:val="22"/>
              </w:rPr>
              <w:t>Disposición informal de los recursos de la CHPH por parte de los actores históricos (adimensional)</w:t>
            </w:r>
          </w:p>
        </w:tc>
        <w:tc>
          <w:tcPr>
            <w:tcW w:w="2835" w:type="dxa"/>
          </w:tcPr>
          <w:p>
            <w:pPr>
              <w:pStyle w:val="TableParagraph"/>
              <w:ind w:right="99"/>
              <w:jc w:val="both"/>
              <w:rPr>
                <w:sz w:val="22"/>
              </w:rPr>
            </w:pPr>
            <w:r>
              <w:rPr>
                <w:sz w:val="22"/>
              </w:rPr>
              <w:t>A través de las prácticas consuetudinarias de los actores históricos de la CHPH para acceder a los recursos naturales  de ésta.</w:t>
            </w:r>
          </w:p>
          <w:p>
            <w:pPr>
              <w:pStyle w:val="TableParagraph"/>
              <w:spacing w:before="1"/>
              <w:ind w:right="99"/>
              <w:jc w:val="both"/>
              <w:rPr>
                <w:sz w:val="22"/>
              </w:rPr>
            </w:pPr>
            <w:r>
              <w:rPr>
                <w:sz w:val="22"/>
              </w:rPr>
              <w:t>(Ejemplo: la pesca se realiza en los municipios en que residen los pescadores).</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2288"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254"/>
              <w:rPr>
                <w:b/>
                <w:sz w:val="22"/>
              </w:rPr>
            </w:pPr>
            <w:r>
              <w:rPr>
                <w:b/>
                <w:sz w:val="22"/>
              </w:rPr>
              <w:t>I9E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left="83" w:right="91"/>
              <w:jc w:val="center"/>
              <w:rPr>
                <w:sz w:val="22"/>
              </w:rPr>
            </w:pPr>
            <w:r>
              <w:rPr>
                <w:sz w:val="22"/>
              </w:rPr>
              <w:t>Reglas informales</w:t>
            </w:r>
          </w:p>
        </w:tc>
        <w:tc>
          <w:tcPr>
            <w:tcW w:w="3262"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tabs>
                <w:tab w:pos="1334" w:val="left" w:leader="none"/>
                <w:tab w:pos="2645" w:val="left" w:leader="none"/>
              </w:tabs>
              <w:spacing w:before="1"/>
              <w:ind w:right="100"/>
              <w:rPr>
                <w:sz w:val="22"/>
              </w:rPr>
            </w:pPr>
            <w:r>
              <w:rPr>
                <w:sz w:val="22"/>
              </w:rPr>
              <w:t>Acuerdos</w:t>
              <w:tab/>
              <w:t>informales</w:t>
              <w:tab/>
              <w:t>entre actores para tener acceso a  los recursos de la CHPH (García, TC:</w:t>
            </w:r>
            <w:r>
              <w:rPr>
                <w:spacing w:val="-8"/>
                <w:sz w:val="22"/>
              </w:rPr>
              <w:t> </w:t>
            </w:r>
            <w:r>
              <w:rPr>
                <w:sz w:val="22"/>
              </w:rPr>
              <w:t>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99" w:right="202" w:firstLine="1"/>
              <w:jc w:val="center"/>
              <w:rPr>
                <w:b/>
                <w:sz w:val="22"/>
              </w:rPr>
            </w:pPr>
            <w:r>
              <w:rPr>
                <w:b/>
                <w:sz w:val="22"/>
              </w:rPr>
              <w:t># de acuerdos informales entre actores de la CHPH para acceder a los recursos</w:t>
            </w:r>
          </w:p>
        </w:tc>
        <w:tc>
          <w:tcPr>
            <w:tcW w:w="2835" w:type="dxa"/>
          </w:tcPr>
          <w:p>
            <w:pPr>
              <w:pStyle w:val="TableParagraph"/>
              <w:ind w:right="99"/>
              <w:jc w:val="both"/>
              <w:rPr>
                <w:sz w:val="22"/>
              </w:rPr>
            </w:pPr>
            <w:r>
              <w:rPr>
                <w:sz w:val="22"/>
              </w:rPr>
              <w:t>Cantidad de alianzas económicas informales entre actores de los municipios de la CHPH para acceder a los recursos.</w:t>
            </w:r>
          </w:p>
          <w:p>
            <w:pPr>
              <w:pStyle w:val="TableParagraph"/>
              <w:tabs>
                <w:tab w:pos="1928" w:val="left" w:leader="none"/>
              </w:tabs>
              <w:ind w:right="102"/>
              <w:jc w:val="both"/>
              <w:rPr>
                <w:sz w:val="22"/>
              </w:rPr>
            </w:pPr>
            <w:r>
              <w:rPr>
                <w:sz w:val="22"/>
              </w:rPr>
              <w:t>(Ejemplo:</w:t>
              <w:tab/>
            </w:r>
            <w:r>
              <w:rPr>
                <w:spacing w:val="-1"/>
                <w:sz w:val="22"/>
              </w:rPr>
              <w:t>acuerdo </w:t>
            </w:r>
            <w:r>
              <w:rPr>
                <w:sz w:val="22"/>
              </w:rPr>
              <w:t>informal para acceder a la pesca).</w:t>
            </w:r>
          </w:p>
        </w:tc>
      </w:tr>
      <w:tr>
        <w:trPr>
          <w:trHeight w:val="2540"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0" w:right="191"/>
              <w:jc w:val="right"/>
              <w:rPr>
                <w:b/>
                <w:sz w:val="22"/>
              </w:rPr>
            </w:pPr>
            <w:r>
              <w:rPr>
                <w:b/>
                <w:sz w:val="22"/>
              </w:rPr>
              <w:t>I10E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right="842"/>
              <w:rPr>
                <w:sz w:val="22"/>
              </w:rPr>
            </w:pPr>
            <w:r>
              <w:rPr>
                <w:sz w:val="22"/>
              </w:rPr>
              <w:t>Desarrollo polarizado</w:t>
            </w:r>
          </w:p>
        </w:tc>
        <w:tc>
          <w:tcPr>
            <w:tcW w:w="3262" w:type="dxa"/>
          </w:tcPr>
          <w:p>
            <w:pPr>
              <w:pStyle w:val="TableParagraph"/>
              <w:spacing w:before="8"/>
              <w:ind w:left="0"/>
              <w:rPr>
                <w:rFonts w:ascii="Times New Roman"/>
                <w:sz w:val="32"/>
              </w:rPr>
            </w:pPr>
          </w:p>
          <w:p>
            <w:pPr>
              <w:pStyle w:val="TableParagraph"/>
              <w:tabs>
                <w:tab w:pos="2084" w:val="left" w:leader="none"/>
              </w:tabs>
              <w:spacing w:before="1"/>
              <w:ind w:right="102"/>
              <w:rPr>
                <w:sz w:val="22"/>
              </w:rPr>
            </w:pPr>
            <w:r>
              <w:rPr>
                <w:sz w:val="22"/>
              </w:rPr>
              <w:t>Crecimiento</w:t>
              <w:tab/>
            </w:r>
            <w:r>
              <w:rPr>
                <w:spacing w:val="-1"/>
                <w:sz w:val="22"/>
              </w:rPr>
              <w:t>económico </w:t>
            </w:r>
            <w:r>
              <w:rPr>
                <w:sz w:val="22"/>
              </w:rPr>
              <w:t>polarizado en los</w:t>
            </w:r>
            <w:r>
              <w:rPr>
                <w:spacing w:val="-4"/>
                <w:sz w:val="22"/>
              </w:rPr>
              <w:t> </w:t>
            </w:r>
            <w:r>
              <w:rPr>
                <w:sz w:val="22"/>
              </w:rPr>
              <w:t>actores</w:t>
            </w:r>
          </w:p>
          <w:p>
            <w:pPr>
              <w:pStyle w:val="TableParagraph"/>
              <w:tabs>
                <w:tab w:pos="1177" w:val="left" w:leader="none"/>
                <w:tab w:pos="1887" w:val="left" w:leader="none"/>
                <w:tab w:pos="2449" w:val="left" w:leader="none"/>
              </w:tabs>
              <w:spacing w:before="1"/>
              <w:ind w:right="100"/>
              <w:rPr>
                <w:sz w:val="22"/>
              </w:rPr>
            </w:pPr>
            <w:r>
              <w:rPr>
                <w:sz w:val="22"/>
              </w:rPr>
              <w:t>de los municipios de aguas abajo y aguas arriba de la CHPH,</w:t>
              <w:tab/>
              <w:t>por</w:t>
              <w:tab/>
              <w:t>el</w:t>
              <w:tab/>
              <w:t>reparto inequitativo de los recursos (García, TC:</w:t>
            </w:r>
            <w:r>
              <w:rPr>
                <w:spacing w:val="-7"/>
                <w:sz w:val="22"/>
              </w:rPr>
              <w:t> </w:t>
            </w:r>
            <w:r>
              <w:rPr>
                <w:sz w:val="22"/>
              </w:rPr>
              <w:t>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19" w:right="122" w:hanging="1"/>
              <w:jc w:val="center"/>
              <w:rPr>
                <w:b/>
                <w:sz w:val="22"/>
              </w:rPr>
            </w:pPr>
            <w:r>
              <w:rPr>
                <w:b/>
                <w:sz w:val="22"/>
              </w:rPr>
              <w:t>Desarrollo económico desigual entre los municipios de la CHPH</w:t>
            </w:r>
          </w:p>
          <w:p>
            <w:pPr>
              <w:pStyle w:val="TableParagraph"/>
              <w:spacing w:before="1"/>
              <w:ind w:left="116" w:right="120"/>
              <w:jc w:val="center"/>
              <w:rPr>
                <w:b/>
                <w:sz w:val="22"/>
              </w:rPr>
            </w:pPr>
            <w:r>
              <w:rPr>
                <w:b/>
                <w:sz w:val="22"/>
              </w:rPr>
              <w:t>(adimensional)</w:t>
            </w:r>
          </w:p>
        </w:tc>
        <w:tc>
          <w:tcPr>
            <w:tcW w:w="2835" w:type="dxa"/>
          </w:tcPr>
          <w:p>
            <w:pPr>
              <w:pStyle w:val="TableParagraph"/>
              <w:ind w:right="100"/>
              <w:jc w:val="both"/>
              <w:rPr>
                <w:sz w:val="22"/>
              </w:rPr>
            </w:pPr>
            <w:r>
              <w:rPr>
                <w:sz w:val="22"/>
              </w:rPr>
              <w:t>Crecimiento de  los factores de producción en los municipios de aguas abajo en detrimento de los municipios de aguas arriba.</w:t>
            </w:r>
          </w:p>
          <w:p>
            <w:pPr>
              <w:pStyle w:val="TableParagraph"/>
              <w:ind w:right="99"/>
              <w:jc w:val="both"/>
              <w:rPr>
                <w:sz w:val="22"/>
              </w:rPr>
            </w:pPr>
            <w:r>
              <w:rPr>
                <w:sz w:val="22"/>
              </w:rPr>
              <w:t>(Ejemplo: crecimiento de las empresas de lácteos en los municipios de  aguas</w:t>
            </w:r>
            <w:r>
              <w:rPr>
                <w:spacing w:val="-2"/>
                <w:sz w:val="22"/>
              </w:rPr>
              <w:t> </w:t>
            </w:r>
            <w:r>
              <w:rPr>
                <w:sz w:val="22"/>
              </w:rPr>
              <w:t>abajo).</w:t>
            </w:r>
          </w:p>
        </w:tc>
      </w:tr>
      <w:tr>
        <w:trPr>
          <w:trHeight w:val="2540"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rPr>
                <w:b/>
                <w:sz w:val="22"/>
              </w:rPr>
            </w:pPr>
            <w:r>
              <w:rPr>
                <w:b/>
                <w:sz w:val="22"/>
              </w:rPr>
              <w:t>I11E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spacing w:before="1"/>
              <w:ind w:left="0" w:right="1"/>
              <w:jc w:val="center"/>
              <w:rPr>
                <w:b/>
                <w:sz w:val="22"/>
              </w:rPr>
            </w:pPr>
            <w:r>
              <w:rPr>
                <w:b/>
                <w:w w:val="100"/>
                <w:sz w:val="22"/>
              </w:rPr>
              <w:t>I</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83" w:right="155"/>
              <w:jc w:val="center"/>
              <w:rPr>
                <w:sz w:val="22"/>
              </w:rPr>
            </w:pPr>
            <w:r>
              <w:rPr>
                <w:sz w:val="22"/>
              </w:rPr>
              <w:t>Sobreexplotación</w:t>
            </w:r>
          </w:p>
        </w:tc>
        <w:tc>
          <w:tcPr>
            <w:tcW w:w="3262"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tabs>
                <w:tab w:pos="942" w:val="left" w:leader="none"/>
                <w:tab w:pos="1479" w:val="left" w:leader="none"/>
                <w:tab w:pos="1978" w:val="left" w:leader="none"/>
                <w:tab w:pos="2976" w:val="left" w:leader="none"/>
              </w:tabs>
              <w:ind w:right="102"/>
              <w:rPr>
                <w:sz w:val="22"/>
              </w:rPr>
            </w:pPr>
            <w:r>
              <w:rPr>
                <w:sz w:val="22"/>
              </w:rPr>
              <w:t>Abuso de los recursos de la CHPH</w:t>
              <w:tab/>
              <w:t>por</w:t>
              <w:tab/>
              <w:t>los</w:t>
              <w:tab/>
              <w:t>actores,</w:t>
              <w:tab/>
              <w:t>al existir un reparto económico inequitativo de la región (García, TC:</w:t>
            </w:r>
            <w:r>
              <w:rPr>
                <w:spacing w:val="-8"/>
                <w:sz w:val="22"/>
              </w:rPr>
              <w:t> </w:t>
            </w:r>
            <w:r>
              <w:rPr>
                <w:sz w:val="22"/>
              </w:rPr>
              <w:t>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87" w:right="190" w:hanging="2"/>
              <w:jc w:val="center"/>
              <w:rPr>
                <w:b/>
                <w:sz w:val="22"/>
              </w:rPr>
            </w:pPr>
            <w:r>
              <w:rPr>
                <w:b/>
                <w:sz w:val="22"/>
              </w:rPr>
              <w:t># de recursos naturales que se están agotando en la CHPH</w:t>
            </w:r>
          </w:p>
        </w:tc>
        <w:tc>
          <w:tcPr>
            <w:tcW w:w="2835" w:type="dxa"/>
          </w:tcPr>
          <w:p>
            <w:pPr>
              <w:pStyle w:val="TableParagraph"/>
              <w:tabs>
                <w:tab w:pos="642" w:val="left" w:leader="none"/>
                <w:tab w:pos="1108" w:val="left" w:leader="none"/>
                <w:tab w:pos="1143" w:val="left" w:leader="none"/>
                <w:tab w:pos="1285" w:val="left" w:leader="none"/>
                <w:tab w:pos="1413" w:val="left" w:leader="none"/>
                <w:tab w:pos="1575" w:val="left" w:leader="none"/>
                <w:tab w:pos="1660" w:val="left" w:leader="none"/>
                <w:tab w:pos="1724" w:val="left" w:leader="none"/>
                <w:tab w:pos="1878" w:val="left" w:leader="none"/>
                <w:tab w:pos="2086" w:val="left" w:leader="none"/>
                <w:tab w:pos="2134" w:val="left" w:leader="none"/>
                <w:tab w:pos="2186" w:val="left" w:leader="none"/>
                <w:tab w:pos="2356" w:val="left" w:leader="none"/>
                <w:tab w:pos="2475" w:val="left" w:leader="none"/>
                <w:tab w:pos="2549" w:val="left" w:leader="none"/>
              </w:tabs>
              <w:ind w:right="99"/>
              <w:rPr>
                <w:sz w:val="22"/>
              </w:rPr>
            </w:pPr>
            <w:r>
              <w:rPr>
                <w:sz w:val="22"/>
              </w:rPr>
              <w:t>Cantidad</w:t>
              <w:tab/>
              <w:tab/>
              <w:tab/>
              <w:t>de</w:t>
              <w:tab/>
              <w:tab/>
              <w:tab/>
              <w:tab/>
            </w:r>
            <w:r>
              <w:rPr>
                <w:spacing w:val="-1"/>
                <w:sz w:val="22"/>
              </w:rPr>
              <w:t>recursos </w:t>
            </w:r>
            <w:r>
              <w:rPr>
                <w:sz w:val="22"/>
              </w:rPr>
              <w:t>naturales</w:t>
              <w:tab/>
              <w:tab/>
              <w:tab/>
              <w:tab/>
              <w:t>que</w:t>
              <w:tab/>
              <w:tab/>
              <w:tab/>
              <w:tab/>
            </w:r>
            <w:r>
              <w:rPr>
                <w:spacing w:val="-1"/>
                <w:sz w:val="22"/>
              </w:rPr>
              <w:t>están </w:t>
            </w:r>
            <w:r>
              <w:rPr>
                <w:sz w:val="22"/>
              </w:rPr>
              <w:t>siendo</w:t>
              <w:tab/>
            </w:r>
            <w:r>
              <w:rPr>
                <w:spacing w:val="-1"/>
                <w:sz w:val="22"/>
              </w:rPr>
              <w:t>sobreexplotados </w:t>
            </w:r>
            <w:r>
              <w:rPr>
                <w:sz w:val="22"/>
              </w:rPr>
              <w:t>por</w:t>
              <w:tab/>
              <w:t>los</w:t>
              <w:tab/>
              <w:tab/>
              <w:t>actores</w:t>
              <w:tab/>
              <w:tab/>
              <w:t>de</w:t>
              <w:tab/>
              <w:tab/>
              <w:tab/>
              <w:t>la CHPH,</w:t>
              <w:tab/>
              <w:tab/>
              <w:t>lo</w:t>
              <w:tab/>
              <w:tab/>
              <w:tab/>
              <w:tab/>
              <w:t>que</w:t>
              <w:tab/>
              <w:tab/>
              <w:tab/>
              <w:tab/>
              <w:t>ha generado</w:t>
              <w:tab/>
              <w:tab/>
              <w:tab/>
              <w:tab/>
              <w:tab/>
              <w:t>que</w:t>
              <w:tab/>
              <w:tab/>
              <w:tab/>
              <w:tab/>
              <w:tab/>
              <w:t>se encuentren</w:t>
              <w:tab/>
              <w:tab/>
              <w:tab/>
              <w:tab/>
              <w:t>en</w:t>
              <w:tab/>
              <w:tab/>
              <w:tab/>
              <w:tab/>
              <w:t>una situación de riesgo. (Ejemplo:</w:t>
              <w:tab/>
              <w:tab/>
              <w:tab/>
              <w:t>charal</w:t>
              <w:tab/>
              <w:tab/>
              <w:t>nativo (pintito),</w:t>
            </w:r>
            <w:r>
              <w:rPr>
                <w:spacing w:val="-4"/>
                <w:sz w:val="22"/>
              </w:rPr>
              <w:t> </w:t>
            </w:r>
            <w:r>
              <w:rPr>
                <w:sz w:val="22"/>
              </w:rPr>
              <w:t>pastos).</w:t>
            </w:r>
          </w:p>
        </w:tc>
      </w:tr>
      <w:tr>
        <w:trPr>
          <w:trHeight w:val="1274"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05"/>
              <w:jc w:val="right"/>
              <w:rPr>
                <w:b/>
                <w:sz w:val="22"/>
              </w:rPr>
            </w:pPr>
            <w:r>
              <w:rPr>
                <w:b/>
                <w:sz w:val="22"/>
              </w:rPr>
              <w:t>R1E</w:t>
            </w:r>
          </w:p>
        </w:tc>
        <w:tc>
          <w:tcPr>
            <w:tcW w:w="730" w:type="dxa"/>
            <w:shd w:val="clear" w:color="auto" w:fill="F79546"/>
          </w:tcPr>
          <w:p>
            <w:pPr>
              <w:pStyle w:val="TableParagraph"/>
              <w:spacing w:before="6"/>
              <w:ind w:left="0"/>
              <w:rPr>
                <w:rFonts w:ascii="Times New Roman"/>
                <w:sz w:val="32"/>
              </w:rPr>
            </w:pPr>
          </w:p>
          <w:p>
            <w:pPr>
              <w:pStyle w:val="TableParagraph"/>
              <w:ind w:left="1"/>
              <w:jc w:val="center"/>
              <w:rPr>
                <w:b/>
                <w:sz w:val="22"/>
              </w:rPr>
            </w:pPr>
            <w:r>
              <w:rPr>
                <w:b/>
                <w:w w:val="100"/>
                <w:sz w:val="22"/>
              </w:rPr>
              <w:t>R</w:t>
            </w:r>
          </w:p>
        </w:tc>
        <w:tc>
          <w:tcPr>
            <w:tcW w:w="1990"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left="44" w:right="93"/>
              <w:jc w:val="center"/>
              <w:rPr>
                <w:sz w:val="22"/>
              </w:rPr>
            </w:pPr>
            <w:r>
              <w:rPr>
                <w:sz w:val="22"/>
              </w:rPr>
              <w:t>Acceso equitativo</w:t>
            </w:r>
          </w:p>
        </w:tc>
        <w:tc>
          <w:tcPr>
            <w:tcW w:w="3262" w:type="dxa"/>
          </w:tcPr>
          <w:p>
            <w:pPr>
              <w:pStyle w:val="TableParagraph"/>
              <w:ind w:right="101"/>
              <w:jc w:val="both"/>
              <w:rPr>
                <w:sz w:val="22"/>
              </w:rPr>
            </w:pPr>
            <w:r>
              <w:rPr>
                <w:sz w:val="22"/>
              </w:rPr>
              <w:t>Los recursos naturales de la CHPH deben estar distribuidos de forma más igualitaria y racional para lograr una sostenibilidad  y  desarrollo  de</w:t>
            </w:r>
          </w:p>
        </w:tc>
        <w:tc>
          <w:tcPr>
            <w:tcW w:w="2126" w:type="dxa"/>
          </w:tcPr>
          <w:p>
            <w:pPr>
              <w:pStyle w:val="TableParagraph"/>
              <w:ind w:left="97" w:right="103"/>
              <w:jc w:val="center"/>
              <w:rPr>
                <w:b/>
                <w:sz w:val="22"/>
              </w:rPr>
            </w:pPr>
            <w:r>
              <w:rPr>
                <w:b/>
                <w:sz w:val="22"/>
              </w:rPr>
              <w:t>Acceso equitativo y racional de los recursos económicos para todos los actores</w:t>
            </w:r>
          </w:p>
        </w:tc>
        <w:tc>
          <w:tcPr>
            <w:tcW w:w="2835" w:type="dxa"/>
          </w:tcPr>
          <w:p>
            <w:pPr>
              <w:pStyle w:val="TableParagraph"/>
              <w:spacing w:before="10"/>
              <w:ind w:left="0"/>
              <w:rPr>
                <w:rFonts w:ascii="Times New Roman"/>
                <w:sz w:val="21"/>
              </w:rPr>
            </w:pPr>
          </w:p>
          <w:p>
            <w:pPr>
              <w:pStyle w:val="TableParagraph"/>
              <w:ind w:right="100"/>
              <w:jc w:val="both"/>
              <w:rPr>
                <w:sz w:val="22"/>
              </w:rPr>
            </w:pPr>
            <w:r>
              <w:rPr>
                <w:sz w:val="22"/>
              </w:rPr>
              <w:t>Reparto equilibrado de los recursos entre todos los actores los actores de la CHPH,    para    lograr    la</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1274" w:hRule="exact"/>
        </w:trPr>
        <w:tc>
          <w:tcPr>
            <w:tcW w:w="852" w:type="dxa"/>
            <w:shd w:val="clear" w:color="auto" w:fill="F79546"/>
          </w:tcPr>
          <w:p>
            <w:pPr/>
          </w:p>
        </w:tc>
        <w:tc>
          <w:tcPr>
            <w:tcW w:w="730" w:type="dxa"/>
            <w:shd w:val="clear" w:color="auto" w:fill="F79546"/>
          </w:tcPr>
          <w:p>
            <w:pPr/>
          </w:p>
        </w:tc>
        <w:tc>
          <w:tcPr>
            <w:tcW w:w="1990" w:type="dxa"/>
          </w:tcPr>
          <w:p>
            <w:pPr/>
          </w:p>
        </w:tc>
        <w:tc>
          <w:tcPr>
            <w:tcW w:w="3262" w:type="dxa"/>
          </w:tcPr>
          <w:p>
            <w:pPr>
              <w:pStyle w:val="TableParagraph"/>
              <w:ind w:right="100"/>
              <w:jc w:val="both"/>
              <w:rPr>
                <w:sz w:val="22"/>
              </w:rPr>
            </w:pPr>
            <w:r>
              <w:rPr>
                <w:sz w:val="22"/>
              </w:rPr>
              <w:t>la CHPH donde se vean beneficiados todos los actores (García, TC: 2013-2015).</w:t>
            </w:r>
          </w:p>
        </w:tc>
        <w:tc>
          <w:tcPr>
            <w:tcW w:w="2126" w:type="dxa"/>
          </w:tcPr>
          <w:p>
            <w:pPr>
              <w:pStyle w:val="TableParagraph"/>
              <w:spacing w:line="252" w:lineRule="exact"/>
              <w:ind w:left="278" w:right="266" w:firstLine="184"/>
              <w:rPr>
                <w:b/>
                <w:sz w:val="22"/>
              </w:rPr>
            </w:pPr>
            <w:r>
              <w:rPr>
                <w:b/>
                <w:sz w:val="22"/>
              </w:rPr>
              <w:t>de la CHPH (adimensional)</w:t>
            </w:r>
          </w:p>
        </w:tc>
        <w:tc>
          <w:tcPr>
            <w:tcW w:w="2835" w:type="dxa"/>
          </w:tcPr>
          <w:p>
            <w:pPr>
              <w:pStyle w:val="TableParagraph"/>
              <w:ind w:right="102"/>
              <w:rPr>
                <w:sz w:val="22"/>
              </w:rPr>
            </w:pPr>
            <w:r>
              <w:rPr>
                <w:sz w:val="22"/>
              </w:rPr>
              <w:t>sostenibilidad económica. (Ejemplo: que los cinco municipios de la CHPH tengan acceso al agua para riego).</w:t>
            </w:r>
          </w:p>
        </w:tc>
      </w:tr>
      <w:tr>
        <w:trPr>
          <w:trHeight w:val="2288"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05"/>
              <w:jc w:val="right"/>
              <w:rPr>
                <w:b/>
                <w:sz w:val="22"/>
              </w:rPr>
            </w:pPr>
            <w:r>
              <w:rPr>
                <w:b/>
                <w:sz w:val="22"/>
              </w:rPr>
              <w:t>R2E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spacing w:before="1"/>
              <w:ind w:right="463"/>
              <w:rPr>
                <w:sz w:val="22"/>
              </w:rPr>
            </w:pPr>
            <w:r>
              <w:rPr>
                <w:sz w:val="22"/>
              </w:rPr>
              <w:t>Redistribución equitativa</w:t>
            </w:r>
          </w:p>
        </w:tc>
        <w:tc>
          <w:tcPr>
            <w:tcW w:w="3262" w:type="dxa"/>
          </w:tcPr>
          <w:p>
            <w:pPr>
              <w:pStyle w:val="TableParagraph"/>
              <w:spacing w:before="10"/>
              <w:ind w:left="0"/>
              <w:rPr>
                <w:rFonts w:ascii="Times New Roman"/>
                <w:sz w:val="21"/>
              </w:rPr>
            </w:pPr>
          </w:p>
          <w:p>
            <w:pPr>
              <w:pStyle w:val="TableParagraph"/>
              <w:ind w:right="100"/>
              <w:jc w:val="both"/>
              <w:rPr>
                <w:sz w:val="22"/>
              </w:rPr>
            </w:pPr>
            <w:r>
              <w:rPr>
                <w:sz w:val="22"/>
              </w:rPr>
              <w:t>La reasignación de los recursos hídricos de la CHPH de forma equitativa entre todos los actores para evitar la concentración de poder económico (García, TC: 2013- 2015).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97" w:right="103"/>
              <w:jc w:val="center"/>
              <w:rPr>
                <w:b/>
                <w:sz w:val="22"/>
              </w:rPr>
            </w:pPr>
            <w:r>
              <w:rPr>
                <w:b/>
                <w:sz w:val="22"/>
              </w:rPr>
              <w:t>Redistribución de los recursos de la CHPH entre todos los actores (adimensional)</w:t>
            </w:r>
          </w:p>
        </w:tc>
        <w:tc>
          <w:tcPr>
            <w:tcW w:w="2835" w:type="dxa"/>
          </w:tcPr>
          <w:p>
            <w:pPr>
              <w:pStyle w:val="TableParagraph"/>
              <w:ind w:right="99"/>
              <w:jc w:val="both"/>
              <w:rPr>
                <w:sz w:val="22"/>
              </w:rPr>
            </w:pPr>
            <w:r>
              <w:rPr>
                <w:sz w:val="22"/>
              </w:rPr>
              <w:t>Reasignación de los derechos para el acceso y a los recursos naturales  de la CHPH por parte de todos los actores de la Cuenca.</w:t>
            </w:r>
          </w:p>
          <w:p>
            <w:pPr>
              <w:pStyle w:val="TableParagraph"/>
              <w:spacing w:before="1"/>
              <w:ind w:right="102"/>
              <w:jc w:val="both"/>
              <w:rPr>
                <w:sz w:val="22"/>
              </w:rPr>
            </w:pPr>
            <w:r>
              <w:rPr>
                <w:sz w:val="22"/>
              </w:rPr>
              <w:t>(Ejemplo: reasignar la concesión de riego en la presa Huapango).</w:t>
            </w:r>
          </w:p>
        </w:tc>
      </w:tr>
      <w:tr>
        <w:trPr>
          <w:trHeight w:val="1527" w:hRule="exact"/>
        </w:trPr>
        <w:tc>
          <w:tcPr>
            <w:tcW w:w="852" w:type="dxa"/>
            <w:shd w:val="clear" w:color="auto" w:fill="F79546"/>
          </w:tcPr>
          <w:p>
            <w:pPr>
              <w:pStyle w:val="TableParagraph"/>
              <w:ind w:left="0"/>
              <w:rPr>
                <w:rFonts w:ascii="Times New Roman"/>
                <w:sz w:val="22"/>
              </w:rPr>
            </w:pPr>
          </w:p>
          <w:p>
            <w:pPr>
              <w:pStyle w:val="TableParagraph"/>
              <w:spacing w:before="7"/>
              <w:ind w:left="0"/>
              <w:rPr>
                <w:rFonts w:ascii="Times New Roman"/>
                <w:sz w:val="21"/>
              </w:rPr>
            </w:pPr>
          </w:p>
          <w:p>
            <w:pPr>
              <w:pStyle w:val="TableParagraph"/>
              <w:rPr>
                <w:b/>
                <w:sz w:val="22"/>
              </w:rPr>
            </w:pPr>
            <w:r>
              <w:rPr>
                <w:b/>
                <w:sz w:val="22"/>
              </w:rPr>
              <w:t>R3E</w:t>
            </w:r>
          </w:p>
        </w:tc>
        <w:tc>
          <w:tcPr>
            <w:tcW w:w="730" w:type="dxa"/>
            <w:shd w:val="clear" w:color="auto" w:fill="F79546"/>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right="267"/>
              <w:rPr>
                <w:sz w:val="22"/>
              </w:rPr>
            </w:pPr>
            <w:r>
              <w:rPr>
                <w:sz w:val="22"/>
              </w:rPr>
              <w:t>Uso racional</w:t>
            </w:r>
          </w:p>
        </w:tc>
        <w:tc>
          <w:tcPr>
            <w:tcW w:w="3262" w:type="dxa"/>
          </w:tcPr>
          <w:p>
            <w:pPr>
              <w:pStyle w:val="TableParagraph"/>
              <w:spacing w:before="8"/>
              <w:ind w:left="0"/>
              <w:rPr>
                <w:rFonts w:ascii="Times New Roman"/>
                <w:sz w:val="21"/>
              </w:rPr>
            </w:pPr>
          </w:p>
          <w:p>
            <w:pPr>
              <w:pStyle w:val="TableParagraph"/>
              <w:ind w:right="101"/>
              <w:jc w:val="both"/>
              <w:rPr>
                <w:sz w:val="22"/>
              </w:rPr>
            </w:pPr>
            <w:r>
              <w:rPr>
                <w:sz w:val="22"/>
              </w:rPr>
              <w:t>Se refiere al cuidado y uso óptimo de los recursos para evitar su sobrexplotación (García, TC: 2013-2015).</w:t>
            </w:r>
          </w:p>
        </w:tc>
        <w:tc>
          <w:tcPr>
            <w:tcW w:w="2126" w:type="dxa"/>
          </w:tcPr>
          <w:p>
            <w:pPr>
              <w:pStyle w:val="TableParagraph"/>
              <w:ind w:left="119" w:right="121" w:firstLine="1"/>
              <w:jc w:val="center"/>
              <w:rPr>
                <w:b/>
                <w:sz w:val="22"/>
              </w:rPr>
            </w:pPr>
            <w:r>
              <w:rPr>
                <w:b/>
                <w:sz w:val="22"/>
              </w:rPr>
              <w:t>Desarrollo de prácticas sobre el uso de los recursos de la CHPH</w:t>
            </w:r>
          </w:p>
          <w:p>
            <w:pPr>
              <w:pStyle w:val="TableParagraph"/>
              <w:spacing w:line="252" w:lineRule="exact"/>
              <w:ind w:left="116" w:right="120"/>
              <w:jc w:val="center"/>
              <w:rPr>
                <w:b/>
                <w:sz w:val="22"/>
              </w:rPr>
            </w:pPr>
            <w:r>
              <w:rPr>
                <w:b/>
                <w:sz w:val="22"/>
              </w:rPr>
              <w:t>(adimensional)</w:t>
            </w:r>
          </w:p>
        </w:tc>
        <w:tc>
          <w:tcPr>
            <w:tcW w:w="2835" w:type="dxa"/>
          </w:tcPr>
          <w:p>
            <w:pPr>
              <w:pStyle w:val="TableParagraph"/>
              <w:ind w:right="98"/>
              <w:jc w:val="both"/>
              <w:rPr>
                <w:sz w:val="22"/>
              </w:rPr>
            </w:pPr>
            <w:r>
              <w:rPr>
                <w:sz w:val="22"/>
              </w:rPr>
              <w:t>Hábitos adquiridos por los actores de la CHPH, para el cuidado y sostenibilidad de sus recursos.</w:t>
            </w:r>
          </w:p>
          <w:p>
            <w:pPr>
              <w:pStyle w:val="TableParagraph"/>
              <w:spacing w:before="2"/>
              <w:ind w:right="100"/>
              <w:jc w:val="both"/>
              <w:rPr>
                <w:sz w:val="22"/>
              </w:rPr>
            </w:pPr>
            <w:r>
              <w:rPr>
                <w:sz w:val="22"/>
              </w:rPr>
              <w:t>(Ejemplo: respetar los periodos de veda).</w:t>
            </w:r>
          </w:p>
        </w:tc>
      </w:tr>
      <w:tr>
        <w:trPr>
          <w:trHeight w:val="2288"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05"/>
              <w:jc w:val="right"/>
              <w:rPr>
                <w:b/>
                <w:sz w:val="22"/>
              </w:rPr>
            </w:pPr>
            <w:r>
              <w:rPr>
                <w:b/>
                <w:sz w:val="22"/>
              </w:rPr>
              <w:t>R4E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610"/>
              <w:rPr>
                <w:sz w:val="22"/>
              </w:rPr>
            </w:pPr>
            <w:r>
              <w:rPr>
                <w:sz w:val="22"/>
              </w:rPr>
              <w:t>Mayor organización</w:t>
            </w:r>
          </w:p>
        </w:tc>
        <w:tc>
          <w:tcPr>
            <w:tcW w:w="3262" w:type="dxa"/>
          </w:tcPr>
          <w:p>
            <w:pPr>
              <w:pStyle w:val="TableParagraph"/>
              <w:tabs>
                <w:tab w:pos="2707" w:val="left" w:leader="none"/>
              </w:tabs>
              <w:ind w:right="101"/>
              <w:jc w:val="both"/>
              <w:rPr>
                <w:sz w:val="22"/>
              </w:rPr>
            </w:pPr>
            <w:r>
              <w:rPr>
                <w:sz w:val="22"/>
              </w:rPr>
              <w:t>Los actores (históricos y municipales) deben tener una mejor y mayor organización socioeconómica</w:t>
              <w:tab/>
              <w:t>para demandar ante las instancias gubernamentales, acceso equitativo en el uso de los recursos de la CHPH (García, TC:</w:t>
            </w:r>
            <w:r>
              <w:rPr>
                <w:spacing w:val="-4"/>
                <w:sz w:val="22"/>
              </w:rPr>
              <w:t> </w:t>
            </w:r>
            <w:r>
              <w:rPr>
                <w:sz w:val="22"/>
              </w:rPr>
              <w:t>2013-2015).</w:t>
            </w:r>
          </w:p>
        </w:tc>
        <w:tc>
          <w:tcPr>
            <w:tcW w:w="2126" w:type="dxa"/>
          </w:tcPr>
          <w:p>
            <w:pPr>
              <w:pStyle w:val="TableParagraph"/>
              <w:spacing w:before="8"/>
              <w:ind w:left="0"/>
              <w:rPr>
                <w:rFonts w:ascii="Times New Roman"/>
                <w:sz w:val="21"/>
              </w:rPr>
            </w:pPr>
          </w:p>
          <w:p>
            <w:pPr>
              <w:pStyle w:val="TableParagraph"/>
              <w:ind w:left="115" w:right="120"/>
              <w:jc w:val="center"/>
              <w:rPr>
                <w:b/>
                <w:sz w:val="22"/>
              </w:rPr>
            </w:pPr>
            <w:r>
              <w:rPr>
                <w:b/>
                <w:sz w:val="22"/>
              </w:rPr>
              <w:t># de mecanismos formales de participación de los actores históricos y municipales de la CHPH</w:t>
            </w:r>
          </w:p>
        </w:tc>
        <w:tc>
          <w:tcPr>
            <w:tcW w:w="2835" w:type="dxa"/>
          </w:tcPr>
          <w:p>
            <w:pPr>
              <w:pStyle w:val="TableParagraph"/>
              <w:ind w:right="99"/>
              <w:jc w:val="both"/>
              <w:rPr>
                <w:sz w:val="22"/>
              </w:rPr>
            </w:pPr>
            <w:r>
              <w:rPr>
                <w:sz w:val="22"/>
              </w:rPr>
              <w:t>Cantidad de prácticas formales de los actores históricos y municipales para lograr un acceso más equitativo de los recursos de la CHPH.</w:t>
            </w:r>
          </w:p>
          <w:p>
            <w:pPr>
              <w:pStyle w:val="TableParagraph"/>
              <w:ind w:right="101"/>
              <w:jc w:val="both"/>
              <w:rPr>
                <w:sz w:val="22"/>
              </w:rPr>
            </w:pPr>
            <w:r>
              <w:rPr>
                <w:sz w:val="22"/>
              </w:rPr>
              <w:t>(Ejemplo: Asambleas, reuniones).</w:t>
            </w:r>
          </w:p>
        </w:tc>
      </w:tr>
      <w:tr>
        <w:trPr>
          <w:trHeight w:val="1277" w:hRule="exact"/>
        </w:trPr>
        <w:tc>
          <w:tcPr>
            <w:tcW w:w="852" w:type="dxa"/>
            <w:shd w:val="clear" w:color="auto" w:fill="F79546"/>
          </w:tcPr>
          <w:p>
            <w:pPr/>
          </w:p>
        </w:tc>
        <w:tc>
          <w:tcPr>
            <w:tcW w:w="730" w:type="dxa"/>
            <w:shd w:val="clear" w:color="auto" w:fill="F79546"/>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277"/>
              <w:jc w:val="right"/>
              <w:rPr>
                <w:b/>
                <w:sz w:val="22"/>
              </w:rPr>
            </w:pPr>
            <w:r>
              <w:rPr>
                <w:b/>
                <w:w w:val="100"/>
                <w:sz w:val="22"/>
              </w:rPr>
              <w:t>R</w:t>
            </w:r>
          </w:p>
        </w:tc>
        <w:tc>
          <w:tcPr>
            <w:tcW w:w="1990" w:type="dxa"/>
          </w:tcPr>
          <w:p>
            <w:pPr>
              <w:pStyle w:val="TableParagraph"/>
              <w:spacing w:before="11"/>
              <w:ind w:left="0"/>
              <w:rPr>
                <w:rFonts w:ascii="Times New Roman"/>
                <w:sz w:val="32"/>
              </w:rPr>
            </w:pPr>
          </w:p>
          <w:p>
            <w:pPr>
              <w:pStyle w:val="TableParagraph"/>
              <w:ind w:right="170"/>
              <w:rPr>
                <w:sz w:val="22"/>
              </w:rPr>
            </w:pPr>
            <w:r>
              <w:rPr>
                <w:sz w:val="22"/>
              </w:rPr>
              <w:t>Instituciones socioeconómicas</w:t>
            </w:r>
          </w:p>
        </w:tc>
        <w:tc>
          <w:tcPr>
            <w:tcW w:w="3262" w:type="dxa"/>
          </w:tcPr>
          <w:p>
            <w:pPr>
              <w:pStyle w:val="TableParagraph"/>
              <w:tabs>
                <w:tab w:pos="1002" w:val="left" w:leader="none"/>
                <w:tab w:pos="1938" w:val="left" w:leader="none"/>
              </w:tabs>
              <w:ind w:right="99"/>
              <w:jc w:val="both"/>
              <w:rPr>
                <w:sz w:val="22"/>
              </w:rPr>
            </w:pPr>
            <w:r>
              <w:rPr>
                <w:sz w:val="22"/>
              </w:rPr>
              <w:t>Generación y reconocimiento de</w:t>
              <w:tab/>
              <w:t>las</w:t>
              <w:tab/>
            </w:r>
            <w:r>
              <w:rPr>
                <w:spacing w:val="-1"/>
                <w:sz w:val="22"/>
              </w:rPr>
              <w:t>instituciones </w:t>
            </w:r>
            <w:r>
              <w:rPr>
                <w:sz w:val="22"/>
              </w:rPr>
              <w:t>socioeconómicas de  actores de la CHPH reguladas por el derecho  consuetudinario </w:t>
            </w:r>
            <w:r>
              <w:rPr>
                <w:spacing w:val="5"/>
                <w:sz w:val="22"/>
              </w:rPr>
              <w:t> </w:t>
            </w:r>
            <w:r>
              <w:rPr>
                <w:sz w:val="22"/>
              </w:rPr>
              <w:t>para</w:t>
            </w:r>
          </w:p>
        </w:tc>
        <w:tc>
          <w:tcPr>
            <w:tcW w:w="2126" w:type="dxa"/>
          </w:tcPr>
          <w:p>
            <w:pPr>
              <w:pStyle w:val="TableParagraph"/>
              <w:ind w:left="117" w:right="120"/>
              <w:jc w:val="center"/>
              <w:rPr>
                <w:b/>
                <w:sz w:val="22"/>
              </w:rPr>
            </w:pPr>
            <w:r>
              <w:rPr>
                <w:b/>
                <w:sz w:val="22"/>
              </w:rPr>
              <w:t># reconocido de instituciones socioeconómicas en la CHPH basadas en el</w:t>
            </w:r>
          </w:p>
        </w:tc>
        <w:tc>
          <w:tcPr>
            <w:tcW w:w="2835" w:type="dxa"/>
          </w:tcPr>
          <w:p>
            <w:pPr>
              <w:pStyle w:val="TableParagraph"/>
              <w:tabs>
                <w:tab w:pos="1384" w:val="left" w:leader="none"/>
                <w:tab w:pos="1929" w:val="left" w:leader="none"/>
              </w:tabs>
              <w:ind w:right="99"/>
              <w:rPr>
                <w:sz w:val="22"/>
              </w:rPr>
            </w:pPr>
            <w:r>
              <w:rPr>
                <w:sz w:val="22"/>
              </w:rPr>
              <w:t>Cantidad de instituciones socioeconómicas reconocidas formadas por los actores de la CHPH y emanadas</w:t>
              <w:tab/>
              <w:t>del</w:t>
              <w:tab/>
            </w:r>
            <w:r>
              <w:rPr>
                <w:spacing w:val="-1"/>
                <w:sz w:val="22"/>
              </w:rPr>
              <w:t>derecho</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2792"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R5E</w:t>
            </w:r>
          </w:p>
        </w:tc>
        <w:tc>
          <w:tcPr>
            <w:tcW w:w="730" w:type="dxa"/>
            <w:shd w:val="clear" w:color="auto" w:fill="F79546"/>
          </w:tcPr>
          <w:p>
            <w:pPr/>
          </w:p>
        </w:tc>
        <w:tc>
          <w:tcPr>
            <w:tcW w:w="1990" w:type="dxa"/>
          </w:tcPr>
          <w:p>
            <w:pPr/>
          </w:p>
        </w:tc>
        <w:tc>
          <w:tcPr>
            <w:tcW w:w="3262" w:type="dxa"/>
          </w:tcPr>
          <w:p>
            <w:pPr>
              <w:pStyle w:val="TableParagraph"/>
              <w:ind w:right="102"/>
              <w:jc w:val="both"/>
              <w:rPr>
                <w:sz w:val="22"/>
              </w:rPr>
            </w:pPr>
            <w:r>
              <w:rPr>
                <w:sz w:val="22"/>
              </w:rPr>
              <w:t>un acceso equitativo de los recursos (García, TC: 2013- 2015).</w:t>
            </w:r>
          </w:p>
        </w:tc>
        <w:tc>
          <w:tcPr>
            <w:tcW w:w="2126" w:type="dxa"/>
          </w:tcPr>
          <w:p>
            <w:pPr>
              <w:pStyle w:val="TableParagraph"/>
              <w:ind w:left="115" w:right="120"/>
              <w:jc w:val="center"/>
              <w:rPr>
                <w:b/>
                <w:sz w:val="22"/>
              </w:rPr>
            </w:pPr>
            <w:r>
              <w:rPr>
                <w:b/>
                <w:sz w:val="22"/>
              </w:rPr>
              <w:t>derecho consuetudinario para el acceso de los recursos</w:t>
            </w:r>
          </w:p>
        </w:tc>
        <w:tc>
          <w:tcPr>
            <w:tcW w:w="2835" w:type="dxa"/>
          </w:tcPr>
          <w:p>
            <w:pPr>
              <w:pStyle w:val="TableParagraph"/>
              <w:ind w:right="100"/>
              <w:jc w:val="both"/>
              <w:rPr>
                <w:sz w:val="22"/>
              </w:rPr>
            </w:pPr>
            <w:r>
              <w:rPr>
                <w:sz w:val="22"/>
              </w:rPr>
              <w:t>consuetudinario para el acceso equitativo de los recursos.</w:t>
            </w:r>
          </w:p>
          <w:p>
            <w:pPr>
              <w:pStyle w:val="TableParagraph"/>
              <w:tabs>
                <w:tab w:pos="1384" w:val="left" w:leader="none"/>
                <w:tab w:pos="1929" w:val="left" w:leader="none"/>
                <w:tab w:pos="2284" w:val="left" w:leader="none"/>
              </w:tabs>
              <w:ind w:right="99"/>
              <w:rPr>
                <w:sz w:val="22"/>
              </w:rPr>
            </w:pPr>
            <w:r>
              <w:rPr>
                <w:sz w:val="22"/>
              </w:rPr>
              <w:t>(Ejemplo: aún no existen instituciones intermunicipales emanadas</w:t>
              <w:tab/>
              <w:t>del</w:t>
              <w:tab/>
            </w:r>
            <w:r>
              <w:rPr>
                <w:spacing w:val="-1"/>
                <w:sz w:val="22"/>
              </w:rPr>
              <w:t>derecho </w:t>
            </w:r>
            <w:r>
              <w:rPr>
                <w:sz w:val="22"/>
              </w:rPr>
              <w:t>consuetudinario</w:t>
              <w:tab/>
              <w:tab/>
            </w:r>
            <w:r>
              <w:rPr>
                <w:spacing w:val="-1"/>
                <w:sz w:val="22"/>
              </w:rPr>
              <w:t>para </w:t>
            </w:r>
            <w:r>
              <w:rPr>
                <w:sz w:val="22"/>
              </w:rPr>
              <w:t>acceder equitativamente a los a los recursos de la CHPH).</w:t>
            </w:r>
          </w:p>
        </w:tc>
      </w:tr>
      <w:tr>
        <w:trPr>
          <w:trHeight w:val="3300"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R6E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267"/>
              <w:rPr>
                <w:sz w:val="22"/>
              </w:rPr>
            </w:pPr>
            <w:r>
              <w:rPr>
                <w:sz w:val="22"/>
              </w:rPr>
              <w:t>Acuerdos intermunicipales</w:t>
            </w:r>
          </w:p>
        </w:tc>
        <w:tc>
          <w:tcPr>
            <w:tcW w:w="3262"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ind w:right="102"/>
              <w:jc w:val="both"/>
              <w:rPr>
                <w:sz w:val="22"/>
              </w:rPr>
            </w:pPr>
            <w:r>
              <w:rPr>
                <w:sz w:val="22"/>
              </w:rPr>
              <w:t>Creación de  acuerdos formales   socioeconómicos que permitan el acceso equitativo a los recursos de la CHPH para generar un desarrollo equilibrado entre los municipios (García, TC: 2013- 2015).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4" w:right="130" w:firstLine="4"/>
              <w:jc w:val="center"/>
              <w:rPr>
                <w:b/>
                <w:sz w:val="22"/>
              </w:rPr>
            </w:pPr>
            <w:r>
              <w:rPr>
                <w:b/>
                <w:sz w:val="22"/>
              </w:rPr>
              <w:t># de acuerdos intermunicipales en la CHPH para acceder equitativamente a los recursos</w:t>
            </w:r>
          </w:p>
        </w:tc>
        <w:tc>
          <w:tcPr>
            <w:tcW w:w="2835" w:type="dxa"/>
          </w:tcPr>
          <w:p>
            <w:pPr>
              <w:pStyle w:val="TableParagraph"/>
              <w:tabs>
                <w:tab w:pos="1941" w:val="left" w:leader="none"/>
              </w:tabs>
              <w:ind w:right="99"/>
              <w:jc w:val="both"/>
              <w:rPr>
                <w:sz w:val="22"/>
              </w:rPr>
            </w:pPr>
            <w:r>
              <w:rPr>
                <w:sz w:val="22"/>
              </w:rPr>
              <w:t>Cantidad de acuerdos socioeconómicos formales entre actores de los municipios de la CHPH para</w:t>
              <w:tab/>
            </w:r>
            <w:r>
              <w:rPr>
                <w:spacing w:val="-1"/>
                <w:sz w:val="22"/>
              </w:rPr>
              <w:t>acceder</w:t>
            </w:r>
          </w:p>
          <w:p>
            <w:pPr>
              <w:pStyle w:val="TableParagraph"/>
              <w:tabs>
                <w:tab w:pos="1235" w:val="left" w:leader="none"/>
                <w:tab w:pos="1630" w:val="left" w:leader="none"/>
                <w:tab w:pos="1988" w:val="left" w:leader="none"/>
                <w:tab w:pos="2441" w:val="left" w:leader="none"/>
                <w:tab w:pos="2474" w:val="left" w:leader="none"/>
              </w:tabs>
              <w:spacing w:before="1"/>
              <w:ind w:right="99"/>
              <w:rPr>
                <w:sz w:val="22"/>
              </w:rPr>
            </w:pPr>
            <w:r>
              <w:rPr>
                <w:sz w:val="22"/>
              </w:rPr>
              <w:t>equitativamente</w:t>
              <w:tab/>
              <w:t>a</w:t>
              <w:tab/>
              <w:t>los recursos</w:t>
              <w:tab/>
              <w:t>y</w:t>
              <w:tab/>
              <w:t>lograr</w:t>
              <w:tab/>
              <w:tab/>
              <w:t>un desarrollo igualitario. (Ejemplo: aún no existen acuerdos intermunicipales para acceder de forma equitativa a los recursos de la</w:t>
            </w:r>
            <w:r>
              <w:rPr>
                <w:spacing w:val="-3"/>
                <w:sz w:val="22"/>
              </w:rPr>
              <w:t> </w:t>
            </w:r>
            <w:r>
              <w:rPr>
                <w:sz w:val="22"/>
              </w:rPr>
              <w:t>CHPH).</w:t>
            </w:r>
          </w:p>
        </w:tc>
      </w:tr>
      <w:tr>
        <w:trPr>
          <w:trHeight w:val="2540"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R7E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spacing w:before="1"/>
              <w:rPr>
                <w:sz w:val="22"/>
              </w:rPr>
            </w:pPr>
            <w:r>
              <w:rPr>
                <w:sz w:val="22"/>
              </w:rPr>
              <w:t>Acción colectiva</w:t>
            </w:r>
          </w:p>
        </w:tc>
        <w:tc>
          <w:tcPr>
            <w:tcW w:w="3262" w:type="dxa"/>
          </w:tcPr>
          <w:p>
            <w:pPr>
              <w:pStyle w:val="TableParagraph"/>
              <w:spacing w:before="8"/>
              <w:ind w:left="0"/>
              <w:rPr>
                <w:rFonts w:ascii="Times New Roman"/>
                <w:sz w:val="32"/>
              </w:rPr>
            </w:pPr>
          </w:p>
          <w:p>
            <w:pPr>
              <w:pStyle w:val="TableParagraph"/>
              <w:spacing w:before="1"/>
              <w:ind w:right="100"/>
              <w:jc w:val="both"/>
              <w:rPr>
                <w:sz w:val="22"/>
              </w:rPr>
            </w:pPr>
            <w:r>
              <w:rPr>
                <w:sz w:val="22"/>
              </w:rPr>
              <w:t>Organización formal de la cooperación de los actores de los municipios de la CHPH  para generar acción colectiva intermunicipal en el desarrollo económico</w:t>
            </w:r>
          </w:p>
          <w:p>
            <w:pPr>
              <w:pStyle w:val="TableParagraph"/>
              <w:spacing w:before="1"/>
              <w:jc w:val="both"/>
              <w:rPr>
                <w:sz w:val="22"/>
              </w:rPr>
            </w:pPr>
            <w:r>
              <w:rPr>
                <w:sz w:val="22"/>
              </w:rPr>
              <w:t>(García, TC: 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203" w:right="209" w:firstLine="5"/>
              <w:jc w:val="center"/>
              <w:rPr>
                <w:b/>
                <w:sz w:val="22"/>
              </w:rPr>
            </w:pPr>
            <w:r>
              <w:rPr>
                <w:b/>
                <w:sz w:val="22"/>
              </w:rPr>
              <w:t>Colaboración entre actores de la CHPH (adimensional)</w:t>
            </w:r>
          </w:p>
        </w:tc>
        <w:tc>
          <w:tcPr>
            <w:tcW w:w="2835" w:type="dxa"/>
          </w:tcPr>
          <w:p>
            <w:pPr>
              <w:pStyle w:val="TableParagraph"/>
              <w:ind w:right="99"/>
              <w:jc w:val="both"/>
              <w:rPr>
                <w:sz w:val="22"/>
              </w:rPr>
            </w:pPr>
            <w:r>
              <w:rPr>
                <w:sz w:val="22"/>
              </w:rPr>
              <w:t>Conjunto de esfuerzos colectivos intermunicipales entre los actores socioeconómicos de la CHPH para generar desarrollo equilibrado y sostenible.</w:t>
            </w:r>
          </w:p>
          <w:p>
            <w:pPr>
              <w:pStyle w:val="TableParagraph"/>
              <w:tabs>
                <w:tab w:pos="2283" w:val="left" w:leader="none"/>
              </w:tabs>
              <w:spacing w:before="1"/>
              <w:ind w:right="100"/>
              <w:rPr>
                <w:sz w:val="22"/>
              </w:rPr>
            </w:pPr>
            <w:r>
              <w:rPr>
                <w:sz w:val="22"/>
              </w:rPr>
              <w:t>(Ejemplo: aún no existe colaboración intermunicipal</w:t>
              <w:tab/>
            </w:r>
            <w:r>
              <w:rPr>
                <w:spacing w:val="-1"/>
                <w:sz w:val="22"/>
              </w:rPr>
              <w:t>para</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516" w:hRule="exact"/>
        </w:trPr>
        <w:tc>
          <w:tcPr>
            <w:tcW w:w="852" w:type="dxa"/>
            <w:shd w:val="clear" w:color="auto" w:fill="F79546"/>
          </w:tcPr>
          <w:p>
            <w:pPr/>
          </w:p>
        </w:tc>
        <w:tc>
          <w:tcPr>
            <w:tcW w:w="730" w:type="dxa"/>
            <w:shd w:val="clear" w:color="auto" w:fill="F79546"/>
          </w:tcPr>
          <w:p>
            <w:pPr/>
          </w:p>
        </w:tc>
        <w:tc>
          <w:tcPr>
            <w:tcW w:w="1990" w:type="dxa"/>
          </w:tcPr>
          <w:p>
            <w:pPr/>
          </w:p>
        </w:tc>
        <w:tc>
          <w:tcPr>
            <w:tcW w:w="3262" w:type="dxa"/>
          </w:tcPr>
          <w:p>
            <w:pPr/>
          </w:p>
        </w:tc>
        <w:tc>
          <w:tcPr>
            <w:tcW w:w="2126" w:type="dxa"/>
          </w:tcPr>
          <w:p>
            <w:pPr/>
          </w:p>
        </w:tc>
        <w:tc>
          <w:tcPr>
            <w:tcW w:w="2835" w:type="dxa"/>
          </w:tcPr>
          <w:p>
            <w:pPr>
              <w:pStyle w:val="TableParagraph"/>
              <w:tabs>
                <w:tab w:pos="1758" w:val="left" w:leader="none"/>
              </w:tabs>
              <w:spacing w:line="252" w:lineRule="exact" w:before="2"/>
              <w:ind w:right="102"/>
              <w:rPr>
                <w:sz w:val="22"/>
              </w:rPr>
            </w:pPr>
            <w:r>
              <w:rPr>
                <w:sz w:val="22"/>
              </w:rPr>
              <w:t>generar</w:t>
              <w:tab/>
            </w:r>
            <w:r>
              <w:rPr>
                <w:spacing w:val="-1"/>
                <w:sz w:val="22"/>
              </w:rPr>
              <w:t>desarrollo </w:t>
            </w:r>
            <w:r>
              <w:rPr>
                <w:sz w:val="22"/>
              </w:rPr>
              <w:t>equilibrado en la</w:t>
            </w:r>
            <w:r>
              <w:rPr>
                <w:spacing w:val="-7"/>
                <w:sz w:val="22"/>
              </w:rPr>
              <w:t> </w:t>
            </w:r>
            <w:r>
              <w:rPr>
                <w:sz w:val="22"/>
              </w:rPr>
              <w:t>CHPH).</w:t>
            </w:r>
          </w:p>
        </w:tc>
      </w:tr>
      <w:tr>
        <w:trPr>
          <w:trHeight w:val="2033"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05"/>
              <w:jc w:val="right"/>
              <w:rPr>
                <w:b/>
                <w:sz w:val="22"/>
              </w:rPr>
            </w:pPr>
            <w:r>
              <w:rPr>
                <w:b/>
                <w:sz w:val="22"/>
              </w:rPr>
              <w:t>R8E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671"/>
              <w:rPr>
                <w:sz w:val="22"/>
              </w:rPr>
            </w:pPr>
            <w:r>
              <w:rPr>
                <w:sz w:val="22"/>
              </w:rPr>
              <w:t>Acceso equitativo_2</w:t>
            </w:r>
          </w:p>
        </w:tc>
        <w:tc>
          <w:tcPr>
            <w:tcW w:w="3262" w:type="dxa"/>
          </w:tcPr>
          <w:p>
            <w:pPr>
              <w:pStyle w:val="TableParagraph"/>
              <w:spacing w:before="8"/>
              <w:ind w:left="0"/>
              <w:rPr>
                <w:rFonts w:ascii="Times New Roman"/>
                <w:sz w:val="32"/>
              </w:rPr>
            </w:pPr>
          </w:p>
          <w:p>
            <w:pPr>
              <w:pStyle w:val="TableParagraph"/>
              <w:spacing w:before="1"/>
              <w:ind w:right="101"/>
              <w:jc w:val="both"/>
              <w:rPr>
                <w:sz w:val="22"/>
              </w:rPr>
            </w:pPr>
            <w:r>
              <w:rPr>
                <w:sz w:val="22"/>
              </w:rPr>
              <w:t>Distribución equilibrada de los recursos de la CHPH entre los actores históricos de la Cuenca (García, TC: 2013- 2015).</w:t>
            </w:r>
          </w:p>
        </w:tc>
        <w:tc>
          <w:tcPr>
            <w:tcW w:w="2126" w:type="dxa"/>
          </w:tcPr>
          <w:p>
            <w:pPr>
              <w:pStyle w:val="TableParagraph"/>
              <w:ind w:left="191" w:right="197" w:firstLine="4"/>
              <w:jc w:val="center"/>
              <w:rPr>
                <w:b/>
                <w:sz w:val="22"/>
              </w:rPr>
            </w:pPr>
            <w:r>
              <w:rPr>
                <w:b/>
                <w:sz w:val="22"/>
              </w:rPr>
              <w:t>Participación equitativa de los actores de la CHPH en el reparto de los recursos naturales (adimensional)</w:t>
            </w:r>
          </w:p>
        </w:tc>
        <w:tc>
          <w:tcPr>
            <w:tcW w:w="2835" w:type="dxa"/>
          </w:tcPr>
          <w:p>
            <w:pPr>
              <w:pStyle w:val="TableParagraph"/>
              <w:ind w:right="100"/>
              <w:jc w:val="both"/>
              <w:rPr>
                <w:sz w:val="22"/>
              </w:rPr>
            </w:pPr>
            <w:r>
              <w:rPr>
                <w:sz w:val="22"/>
              </w:rPr>
              <w:t>Distribución equitativa de los recursos de la CHPH entre los actores históricos.</w:t>
            </w:r>
          </w:p>
          <w:p>
            <w:pPr>
              <w:pStyle w:val="TableParagraph"/>
              <w:spacing w:before="1"/>
              <w:ind w:right="100"/>
              <w:jc w:val="both"/>
              <w:rPr>
                <w:sz w:val="22"/>
              </w:rPr>
            </w:pPr>
            <w:r>
              <w:rPr>
                <w:sz w:val="22"/>
              </w:rPr>
              <w:t>(Ejemplo: acceso al agua para riego por parte de los actores de los cinco municipios de la CHPH).</w:t>
            </w:r>
          </w:p>
        </w:tc>
      </w:tr>
      <w:tr>
        <w:trPr>
          <w:trHeight w:val="3300"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05"/>
              <w:jc w:val="right"/>
              <w:rPr>
                <w:b/>
                <w:sz w:val="22"/>
              </w:rPr>
            </w:pPr>
            <w:r>
              <w:rPr>
                <w:b/>
                <w:sz w:val="22"/>
              </w:rPr>
              <w:t>R9E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right="928"/>
              <w:rPr>
                <w:sz w:val="22"/>
              </w:rPr>
            </w:pPr>
            <w:r>
              <w:rPr>
                <w:sz w:val="22"/>
              </w:rPr>
              <w:t>Acuerdos formales</w:t>
            </w:r>
          </w:p>
        </w:tc>
        <w:tc>
          <w:tcPr>
            <w:tcW w:w="3262"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tabs>
                <w:tab w:pos="1622" w:val="left" w:leader="none"/>
                <w:tab w:pos="2243" w:val="left" w:leader="none"/>
                <w:tab w:pos="2977" w:val="left" w:leader="none"/>
              </w:tabs>
              <w:ind w:right="99"/>
              <w:rPr>
                <w:sz w:val="22"/>
              </w:rPr>
            </w:pPr>
            <w:r>
              <w:rPr>
                <w:sz w:val="22"/>
              </w:rPr>
              <w:t>Generación</w:t>
              <w:tab/>
              <w:t>de</w:t>
              <w:tab/>
            </w:r>
            <w:r>
              <w:rPr>
                <w:spacing w:val="-1"/>
                <w:sz w:val="22"/>
              </w:rPr>
              <w:t>acuerdos </w:t>
            </w:r>
            <w:r>
              <w:rPr>
                <w:sz w:val="22"/>
              </w:rPr>
              <w:t>formales </w:t>
            </w:r>
            <w:r>
              <w:rPr>
                <w:spacing w:val="4"/>
                <w:sz w:val="22"/>
              </w:rPr>
              <w:t> </w:t>
            </w:r>
            <w:r>
              <w:rPr>
                <w:sz w:val="22"/>
              </w:rPr>
              <w:t>que </w:t>
            </w:r>
            <w:r>
              <w:rPr>
                <w:spacing w:val="7"/>
                <w:sz w:val="22"/>
              </w:rPr>
              <w:t> </w:t>
            </w:r>
            <w:r>
              <w:rPr>
                <w:sz w:val="22"/>
              </w:rPr>
              <w:t>contemplen</w:t>
              <w:tab/>
              <w:t>el derecho consuetudinario para el establecimiento de normas equitativas en el acceso y reparto de los recursos entre los actores de la CHPH (García, TC:</w:t>
            </w:r>
            <w:r>
              <w:rPr>
                <w:spacing w:val="-8"/>
                <w:sz w:val="22"/>
              </w:rPr>
              <w:t> </w:t>
            </w:r>
            <w:r>
              <w:rPr>
                <w:sz w:val="22"/>
              </w:rPr>
              <w:t>2013-2015).</w:t>
            </w:r>
          </w:p>
        </w:tc>
        <w:tc>
          <w:tcPr>
            <w:tcW w:w="212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107" w:right="108" w:hanging="2"/>
              <w:jc w:val="center"/>
              <w:rPr>
                <w:b/>
                <w:sz w:val="22"/>
              </w:rPr>
            </w:pPr>
            <w:r>
              <w:rPr>
                <w:b/>
                <w:sz w:val="22"/>
              </w:rPr>
              <w:t># de acuerdos formales entre los actores de la CHPH para acceder equitativamente a los recursos socioeconómicos</w:t>
            </w:r>
          </w:p>
        </w:tc>
        <w:tc>
          <w:tcPr>
            <w:tcW w:w="2835" w:type="dxa"/>
          </w:tcPr>
          <w:p>
            <w:pPr>
              <w:pStyle w:val="TableParagraph"/>
              <w:ind w:right="99"/>
              <w:jc w:val="both"/>
              <w:rPr>
                <w:sz w:val="22"/>
              </w:rPr>
            </w:pPr>
            <w:r>
              <w:rPr>
                <w:sz w:val="22"/>
              </w:rPr>
              <w:t>Cantidad de acuerdos formales emanados de las bases sociales de los actores de la CHPH para un acceso equitativo de los recursos.</w:t>
            </w:r>
          </w:p>
          <w:p>
            <w:pPr>
              <w:pStyle w:val="TableParagraph"/>
              <w:spacing w:before="1"/>
              <w:ind w:right="99"/>
              <w:jc w:val="both"/>
              <w:rPr>
                <w:sz w:val="22"/>
              </w:rPr>
            </w:pPr>
            <w:r>
              <w:rPr>
                <w:sz w:val="22"/>
              </w:rPr>
              <w:t>(Ejemplo: aún no existen acuerdos emanados  de las bases sociales para una distribución equitativa de los recursos socioeconómicos de la CHPH).</w:t>
            </w:r>
          </w:p>
        </w:tc>
      </w:tr>
      <w:tr>
        <w:trPr>
          <w:trHeight w:val="2792"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43"/>
              <w:jc w:val="right"/>
              <w:rPr>
                <w:b/>
                <w:sz w:val="22"/>
              </w:rPr>
            </w:pPr>
            <w:r>
              <w:rPr>
                <w:b/>
                <w:sz w:val="22"/>
              </w:rPr>
              <w:t>R10E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spacing w:before="1"/>
              <w:ind w:left="0" w:right="277"/>
              <w:jc w:val="right"/>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spacing w:line="242" w:lineRule="auto"/>
              <w:ind w:right="634"/>
              <w:rPr>
                <w:sz w:val="22"/>
              </w:rPr>
            </w:pPr>
            <w:r>
              <w:rPr>
                <w:sz w:val="22"/>
              </w:rPr>
              <w:t>Instituciones formales</w:t>
            </w:r>
          </w:p>
        </w:tc>
        <w:tc>
          <w:tcPr>
            <w:tcW w:w="3262" w:type="dxa"/>
          </w:tcPr>
          <w:p>
            <w:pPr>
              <w:pStyle w:val="TableParagraph"/>
              <w:spacing w:before="8"/>
              <w:ind w:left="0"/>
              <w:rPr>
                <w:rFonts w:ascii="Times New Roman"/>
                <w:sz w:val="32"/>
              </w:rPr>
            </w:pPr>
          </w:p>
          <w:p>
            <w:pPr>
              <w:pStyle w:val="TableParagraph"/>
              <w:spacing w:before="1"/>
              <w:ind w:right="105"/>
              <w:jc w:val="both"/>
              <w:rPr>
                <w:sz w:val="22"/>
              </w:rPr>
            </w:pPr>
            <w:r>
              <w:rPr>
                <w:sz w:val="22"/>
              </w:rPr>
              <w:t>La creación de instituciones formales</w:t>
            </w:r>
          </w:p>
          <w:p>
            <w:pPr>
              <w:pStyle w:val="TableParagraph"/>
              <w:tabs>
                <w:tab w:pos="2065" w:val="left" w:leader="none"/>
                <w:tab w:pos="2977" w:val="left" w:leader="none"/>
              </w:tabs>
              <w:spacing w:before="1"/>
              <w:ind w:right="101"/>
              <w:jc w:val="both"/>
              <w:rPr>
                <w:sz w:val="22"/>
              </w:rPr>
            </w:pPr>
            <w:r>
              <w:rPr>
                <w:sz w:val="22"/>
              </w:rPr>
              <w:t>Intermunicipales para el reparto equitativo de los recursos a través de la gobernanza</w:t>
              <w:tab/>
              <w:t>y</w:t>
              <w:tab/>
              <w:t>la gobernabilidad (García, TC: 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24" w:right="127" w:hanging="3"/>
              <w:jc w:val="center"/>
              <w:rPr>
                <w:b/>
                <w:sz w:val="22"/>
              </w:rPr>
            </w:pPr>
            <w:r>
              <w:rPr>
                <w:b/>
                <w:sz w:val="22"/>
              </w:rPr>
              <w:t># de instituciones formales intermunicipales para acceder equitativamente a los recursos socioeconómicos</w:t>
            </w:r>
          </w:p>
        </w:tc>
        <w:tc>
          <w:tcPr>
            <w:tcW w:w="2835" w:type="dxa"/>
          </w:tcPr>
          <w:p>
            <w:pPr>
              <w:pStyle w:val="TableParagraph"/>
              <w:ind w:right="99"/>
              <w:jc w:val="both"/>
              <w:rPr>
                <w:sz w:val="22"/>
              </w:rPr>
            </w:pPr>
            <w:r>
              <w:rPr>
                <w:sz w:val="22"/>
              </w:rPr>
              <w:t>Cantidad de instituciones formales intermunicipales para el reparto equitativo de los recursos socioeconómicos de la CHPH.</w:t>
            </w:r>
          </w:p>
          <w:p>
            <w:pPr>
              <w:pStyle w:val="TableParagraph"/>
              <w:ind w:right="99"/>
              <w:jc w:val="both"/>
              <w:rPr>
                <w:sz w:val="22"/>
              </w:rPr>
            </w:pPr>
            <w:r>
              <w:rPr>
                <w:sz w:val="22"/>
              </w:rPr>
              <w:t>(Ejemplo: aún no existen instituciones formales intermunicipales para un reparto equitativo de los recursos socioeconómicos</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90"/>
        <w:gridCol w:w="3262"/>
        <w:gridCol w:w="2126"/>
        <w:gridCol w:w="2835"/>
      </w:tblGrid>
      <w:tr>
        <w:trPr>
          <w:trHeight w:val="262" w:hRule="exact"/>
        </w:trPr>
        <w:tc>
          <w:tcPr>
            <w:tcW w:w="852" w:type="dxa"/>
            <w:shd w:val="clear" w:color="auto" w:fill="F79546"/>
          </w:tcPr>
          <w:p>
            <w:pPr/>
          </w:p>
        </w:tc>
        <w:tc>
          <w:tcPr>
            <w:tcW w:w="730" w:type="dxa"/>
            <w:shd w:val="clear" w:color="auto" w:fill="F79546"/>
          </w:tcPr>
          <w:p>
            <w:pPr/>
          </w:p>
        </w:tc>
        <w:tc>
          <w:tcPr>
            <w:tcW w:w="1990" w:type="dxa"/>
          </w:tcPr>
          <w:p>
            <w:pPr/>
          </w:p>
        </w:tc>
        <w:tc>
          <w:tcPr>
            <w:tcW w:w="3262" w:type="dxa"/>
          </w:tcPr>
          <w:p>
            <w:pPr/>
          </w:p>
        </w:tc>
        <w:tc>
          <w:tcPr>
            <w:tcW w:w="2126" w:type="dxa"/>
          </w:tcPr>
          <w:p>
            <w:pPr/>
          </w:p>
        </w:tc>
        <w:tc>
          <w:tcPr>
            <w:tcW w:w="2835" w:type="dxa"/>
          </w:tcPr>
          <w:p>
            <w:pPr>
              <w:pStyle w:val="TableParagraph"/>
              <w:spacing w:line="251" w:lineRule="exact"/>
              <w:ind w:right="181"/>
              <w:rPr>
                <w:sz w:val="22"/>
              </w:rPr>
            </w:pPr>
            <w:r>
              <w:rPr>
                <w:sz w:val="22"/>
              </w:rPr>
              <w:t>de la CHPH).</w:t>
            </w:r>
          </w:p>
        </w:tc>
      </w:tr>
      <w:tr>
        <w:trPr>
          <w:trHeight w:val="3553" w:hRule="exact"/>
        </w:trPr>
        <w:tc>
          <w:tcPr>
            <w:tcW w:w="852"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46"/>
              <w:rPr>
                <w:b/>
                <w:sz w:val="22"/>
              </w:rPr>
            </w:pPr>
            <w:r>
              <w:rPr>
                <w:b/>
                <w:sz w:val="22"/>
              </w:rPr>
              <w:t>R11E</w:t>
            </w:r>
          </w:p>
        </w:tc>
        <w:tc>
          <w:tcPr>
            <w:tcW w:w="730" w:type="dxa"/>
            <w:shd w:val="clear" w:color="auto" w:fill="F79546"/>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
              <w:jc w:val="center"/>
              <w:rPr>
                <w:b/>
                <w:sz w:val="22"/>
              </w:rPr>
            </w:pPr>
            <w:r>
              <w:rPr>
                <w:b/>
                <w:w w:val="100"/>
                <w:sz w:val="22"/>
              </w:rPr>
              <w:t>R</w:t>
            </w:r>
          </w:p>
        </w:tc>
        <w:tc>
          <w:tcPr>
            <w:tcW w:w="1990"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830"/>
              <w:rPr>
                <w:sz w:val="22"/>
              </w:rPr>
            </w:pPr>
            <w:r>
              <w:rPr>
                <w:sz w:val="22"/>
              </w:rPr>
              <w:t>Acuerdos formales e informales</w:t>
            </w:r>
          </w:p>
        </w:tc>
        <w:tc>
          <w:tcPr>
            <w:tcW w:w="3262"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tabs>
                <w:tab w:pos="1160" w:val="left" w:leader="none"/>
                <w:tab w:pos="1287" w:val="left" w:leader="none"/>
                <w:tab w:pos="1494" w:val="left" w:leader="none"/>
                <w:tab w:pos="1622" w:val="left" w:leader="none"/>
                <w:tab w:pos="1777" w:val="left" w:leader="none"/>
                <w:tab w:pos="2243" w:val="left" w:leader="none"/>
                <w:tab w:pos="2302" w:val="left" w:leader="none"/>
                <w:tab w:pos="2779" w:val="left" w:leader="none"/>
              </w:tabs>
              <w:ind w:right="101"/>
              <w:rPr>
                <w:sz w:val="22"/>
              </w:rPr>
            </w:pPr>
            <w:r>
              <w:rPr>
                <w:sz w:val="22"/>
              </w:rPr>
              <w:t>Generación</w:t>
              <w:tab/>
              <w:tab/>
              <w:tab/>
              <w:t>de</w:t>
              <w:tab/>
            </w:r>
            <w:r>
              <w:rPr>
                <w:spacing w:val="-1"/>
                <w:sz w:val="22"/>
              </w:rPr>
              <w:t>acuerdos </w:t>
            </w:r>
            <w:r>
              <w:rPr>
                <w:sz w:val="22"/>
              </w:rPr>
              <w:t>formales</w:t>
              <w:tab/>
              <w:t>e</w:t>
              <w:tab/>
              <w:tab/>
              <w:t>informales,</w:t>
              <w:tab/>
              <w:t>que garanticen la sostenibilidad de la región, a través del reparto equitativo</w:t>
              <w:tab/>
              <w:tab/>
              <w:t>de</w:t>
              <w:tab/>
              <w:tab/>
              <w:t>los</w:t>
              <w:tab/>
              <w:tab/>
              <w:t>recursos socioeconómicos de la CHPH (García, TC:</w:t>
            </w:r>
            <w:r>
              <w:rPr>
                <w:spacing w:val="-8"/>
                <w:sz w:val="22"/>
              </w:rPr>
              <w:t> </w:t>
            </w:r>
            <w:r>
              <w:rPr>
                <w:sz w:val="22"/>
              </w:rPr>
              <w:t>2013-2015).</w:t>
            </w:r>
          </w:p>
        </w:tc>
        <w:tc>
          <w:tcPr>
            <w:tcW w:w="2126"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24" w:right="129" w:firstLine="2"/>
              <w:jc w:val="center"/>
              <w:rPr>
                <w:b/>
                <w:sz w:val="22"/>
              </w:rPr>
            </w:pPr>
            <w:r>
              <w:rPr>
                <w:b/>
                <w:sz w:val="22"/>
              </w:rPr>
              <w:t># de acuerdos formales e informales entre los actores de los municipios de la CHPH para acceder equitativamente a los recursos socioeconómicos</w:t>
            </w:r>
          </w:p>
        </w:tc>
        <w:tc>
          <w:tcPr>
            <w:tcW w:w="2835" w:type="dxa"/>
          </w:tcPr>
          <w:p>
            <w:pPr>
              <w:pStyle w:val="TableParagraph"/>
              <w:tabs>
                <w:tab w:pos="1266" w:val="left" w:leader="none"/>
                <w:tab w:pos="1707" w:val="left" w:leader="none"/>
                <w:tab w:pos="1818" w:val="left" w:leader="none"/>
                <w:tab w:pos="1878" w:val="left" w:leader="none"/>
              </w:tabs>
              <w:ind w:right="99"/>
              <w:rPr>
                <w:sz w:val="22"/>
              </w:rPr>
            </w:pPr>
            <w:r>
              <w:rPr>
                <w:sz w:val="22"/>
              </w:rPr>
              <w:t>Cantidad</w:t>
              <w:tab/>
              <w:t>de</w:t>
              <w:tab/>
              <w:tab/>
            </w:r>
            <w:r>
              <w:rPr>
                <w:spacing w:val="-1"/>
                <w:sz w:val="22"/>
              </w:rPr>
              <w:t>acuerdos </w:t>
            </w:r>
            <w:r>
              <w:rPr>
                <w:sz w:val="22"/>
              </w:rPr>
              <w:t>formales</w:t>
              <w:tab/>
              <w:t>e</w:t>
              <w:tab/>
            </w:r>
            <w:r>
              <w:rPr>
                <w:spacing w:val="-1"/>
                <w:sz w:val="22"/>
              </w:rPr>
              <w:t>informales </w:t>
            </w:r>
            <w:r>
              <w:rPr>
                <w:sz w:val="22"/>
              </w:rPr>
              <w:t>entre los actores de los municipios de la CHPH para acceder de forma equitativa a los recursos socioeconómicos. (Ejemplo: aún no existen acuerdos intermunicipales formales e informales para acceder equitativamente a los</w:t>
              <w:tab/>
              <w:tab/>
              <w:tab/>
              <w:tab/>
            </w:r>
            <w:r>
              <w:rPr>
                <w:spacing w:val="-1"/>
                <w:sz w:val="22"/>
              </w:rPr>
              <w:t>recursos</w:t>
            </w:r>
          </w:p>
          <w:p>
            <w:pPr>
              <w:pStyle w:val="TableParagraph"/>
              <w:tabs>
                <w:tab w:pos="2051" w:val="left" w:leader="none"/>
                <w:tab w:pos="2550" w:val="left" w:leader="none"/>
              </w:tabs>
              <w:ind w:right="101"/>
              <w:rPr>
                <w:sz w:val="22"/>
              </w:rPr>
            </w:pPr>
            <w:r>
              <w:rPr>
                <w:sz w:val="22"/>
              </w:rPr>
              <w:t>socioeconómicos</w:t>
              <w:tab/>
              <w:t>de</w:t>
              <w:tab/>
              <w:t>la CHPH).</w:t>
            </w:r>
          </w:p>
        </w:tc>
      </w:tr>
    </w:tbl>
    <w:p>
      <w:pPr>
        <w:pStyle w:val="BodyText"/>
        <w:spacing w:line="248" w:lineRule="exact"/>
        <w:ind w:left="315"/>
      </w:pPr>
      <w:r>
        <w:rPr>
          <w:b/>
        </w:rPr>
        <w:t>Fuente: </w:t>
      </w:r>
      <w:r>
        <w:rPr/>
        <w:t>Elaboración propia con base en las consideraciones teóricas y el Trabajo de Campo, García (2013-2016).</w:t>
      </w:r>
    </w:p>
    <w:p>
      <w:pPr>
        <w:pStyle w:val="BodyText"/>
        <w:rPr>
          <w:sz w:val="20"/>
        </w:rPr>
      </w:pPr>
    </w:p>
    <w:p>
      <w:pPr>
        <w:pStyle w:val="BodyText"/>
        <w:rPr>
          <w:sz w:val="20"/>
        </w:rPr>
      </w:pPr>
    </w:p>
    <w:p>
      <w:pPr>
        <w:pStyle w:val="BodyText"/>
        <w:spacing w:before="9"/>
        <w:rPr>
          <w:sz w:val="23"/>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517" w:hRule="exact"/>
        </w:trPr>
        <w:tc>
          <w:tcPr>
            <w:tcW w:w="11805" w:type="dxa"/>
            <w:gridSpan w:val="6"/>
          </w:tcPr>
          <w:p>
            <w:pPr>
              <w:pStyle w:val="TableParagraph"/>
              <w:spacing w:line="252" w:lineRule="exact" w:before="2"/>
              <w:ind w:left="5095" w:right="1492" w:hanging="3591"/>
              <w:rPr>
                <w:b/>
                <w:sz w:val="22"/>
              </w:rPr>
            </w:pPr>
            <w:r>
              <w:rPr>
                <w:b/>
                <w:sz w:val="22"/>
              </w:rPr>
              <w:t>Tabla 7.6. Sistema de Indicadores PEIR para la Cuenca Hidrosocial Presa Huapango (AEPA Política)</w:t>
            </w:r>
          </w:p>
        </w:tc>
      </w:tr>
      <w:tr>
        <w:trPr>
          <w:trHeight w:val="769" w:hRule="exact"/>
        </w:trPr>
        <w:tc>
          <w:tcPr>
            <w:tcW w:w="852" w:type="dxa"/>
            <w:shd w:val="clear" w:color="auto" w:fill="BEBEBE"/>
          </w:tcPr>
          <w:p>
            <w:pPr>
              <w:pStyle w:val="TableParagraph"/>
              <w:spacing w:line="252" w:lineRule="exact" w:before="1"/>
              <w:ind w:left="115" w:right="112" w:firstLine="12"/>
              <w:jc w:val="both"/>
              <w:rPr>
                <w:b/>
                <w:sz w:val="22"/>
              </w:rPr>
            </w:pPr>
            <w:r>
              <w:rPr>
                <w:b/>
                <w:sz w:val="22"/>
              </w:rPr>
              <w:t>Clave PEIR- AEPA</w:t>
            </w:r>
          </w:p>
        </w:tc>
        <w:tc>
          <w:tcPr>
            <w:tcW w:w="730" w:type="dxa"/>
            <w:shd w:val="clear" w:color="auto" w:fill="BEBEBE"/>
          </w:tcPr>
          <w:p>
            <w:pPr>
              <w:pStyle w:val="TableParagraph"/>
              <w:spacing w:line="249" w:lineRule="exact"/>
              <w:ind w:left="83" w:right="83"/>
              <w:jc w:val="center"/>
              <w:rPr>
                <w:b/>
                <w:sz w:val="22"/>
              </w:rPr>
            </w:pPr>
            <w:r>
              <w:rPr>
                <w:b/>
                <w:sz w:val="22"/>
              </w:rPr>
              <w:t>PEIR</w:t>
            </w:r>
          </w:p>
        </w:tc>
        <w:tc>
          <w:tcPr>
            <w:tcW w:w="1918" w:type="dxa"/>
            <w:shd w:val="clear" w:color="auto" w:fill="BEBEBE"/>
          </w:tcPr>
          <w:p>
            <w:pPr>
              <w:pStyle w:val="TableParagraph"/>
              <w:spacing w:before="6"/>
              <w:ind w:left="0"/>
              <w:rPr>
                <w:sz w:val="21"/>
              </w:rPr>
            </w:pPr>
          </w:p>
          <w:p>
            <w:pPr>
              <w:pStyle w:val="TableParagraph"/>
              <w:spacing w:before="1"/>
              <w:ind w:left="458" w:right="195"/>
              <w:rPr>
                <w:b/>
                <w:sz w:val="22"/>
              </w:rPr>
            </w:pPr>
            <w:r>
              <w:rPr>
                <w:b/>
                <w:sz w:val="22"/>
              </w:rPr>
              <w:t>Indicador</w:t>
            </w:r>
          </w:p>
        </w:tc>
        <w:tc>
          <w:tcPr>
            <w:tcW w:w="3259" w:type="dxa"/>
            <w:shd w:val="clear" w:color="auto" w:fill="BEBEBE"/>
          </w:tcPr>
          <w:p>
            <w:pPr>
              <w:pStyle w:val="TableParagraph"/>
              <w:spacing w:before="6"/>
              <w:ind w:left="0"/>
              <w:rPr>
                <w:sz w:val="21"/>
              </w:rPr>
            </w:pPr>
          </w:p>
          <w:p>
            <w:pPr>
              <w:pStyle w:val="TableParagraph"/>
              <w:spacing w:before="1"/>
              <w:ind w:left="432" w:right="93"/>
              <w:rPr>
                <w:b/>
                <w:sz w:val="22"/>
              </w:rPr>
            </w:pPr>
            <w:r>
              <w:rPr>
                <w:b/>
                <w:sz w:val="22"/>
              </w:rPr>
              <w:t>Concepto de Indicador</w:t>
            </w:r>
          </w:p>
        </w:tc>
        <w:tc>
          <w:tcPr>
            <w:tcW w:w="2211" w:type="dxa"/>
            <w:shd w:val="clear" w:color="auto" w:fill="BEBEBE"/>
          </w:tcPr>
          <w:p>
            <w:pPr>
              <w:pStyle w:val="TableParagraph"/>
              <w:spacing w:before="121"/>
              <w:ind w:left="621" w:right="552" w:hanging="56"/>
              <w:rPr>
                <w:b/>
                <w:sz w:val="22"/>
              </w:rPr>
            </w:pPr>
            <w:r>
              <w:rPr>
                <w:b/>
                <w:sz w:val="22"/>
              </w:rPr>
              <w:t>Unidad de Medición</w:t>
            </w:r>
          </w:p>
        </w:tc>
        <w:tc>
          <w:tcPr>
            <w:tcW w:w="2835" w:type="dxa"/>
            <w:shd w:val="clear" w:color="auto" w:fill="BEBEBE"/>
          </w:tcPr>
          <w:p>
            <w:pPr>
              <w:pStyle w:val="TableParagraph"/>
              <w:spacing w:line="252" w:lineRule="exact" w:before="1"/>
              <w:ind w:left="772" w:right="181" w:hanging="581"/>
              <w:rPr>
                <w:b/>
                <w:sz w:val="22"/>
              </w:rPr>
            </w:pPr>
            <w:r>
              <w:rPr>
                <w:b/>
                <w:sz w:val="22"/>
              </w:rPr>
              <w:t>Definición de la Unidad de Medición</w:t>
            </w:r>
          </w:p>
        </w:tc>
      </w:tr>
      <w:tr>
        <w:trPr>
          <w:trHeight w:val="2540" w:hRule="exact"/>
        </w:trPr>
        <w:tc>
          <w:tcPr>
            <w:tcW w:w="852" w:type="dxa"/>
            <w:shd w:val="clear" w:color="auto" w:fill="4AACC5"/>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7"/>
              <w:ind w:left="0"/>
              <w:rPr>
                <w:sz w:val="21"/>
              </w:rPr>
            </w:pPr>
          </w:p>
          <w:p>
            <w:pPr>
              <w:pStyle w:val="TableParagraph"/>
              <w:ind w:left="213"/>
              <w:rPr>
                <w:b/>
                <w:sz w:val="22"/>
              </w:rPr>
            </w:pPr>
            <w:r>
              <w:rPr>
                <w:b/>
                <w:sz w:val="22"/>
              </w:rPr>
              <w:t>P1P</w:t>
            </w:r>
          </w:p>
        </w:tc>
        <w:tc>
          <w:tcPr>
            <w:tcW w:w="730" w:type="dxa"/>
            <w:shd w:val="clear" w:color="auto" w:fill="4AACC5"/>
          </w:tcPr>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8"/>
              <w:ind w:left="0"/>
              <w:rPr>
                <w:sz w:val="21"/>
              </w:rPr>
            </w:pPr>
          </w:p>
          <w:p>
            <w:pPr>
              <w:pStyle w:val="TableParagraph"/>
              <w:ind w:left="3"/>
              <w:jc w:val="center"/>
              <w:rPr>
                <w:b/>
                <w:sz w:val="22"/>
              </w:rPr>
            </w:pPr>
            <w:r>
              <w:rPr>
                <w:b/>
                <w:w w:val="100"/>
                <w:sz w:val="22"/>
              </w:rPr>
              <w:t>P</w:t>
            </w:r>
          </w:p>
        </w:tc>
        <w:tc>
          <w:tcPr>
            <w:tcW w:w="1918"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8"/>
              <w:ind w:left="0"/>
              <w:rPr>
                <w:sz w:val="32"/>
              </w:rPr>
            </w:pPr>
          </w:p>
          <w:p>
            <w:pPr>
              <w:pStyle w:val="TableParagraph"/>
              <w:spacing w:before="1"/>
              <w:ind w:right="195"/>
              <w:rPr>
                <w:sz w:val="22"/>
              </w:rPr>
            </w:pPr>
            <w:r>
              <w:rPr>
                <w:sz w:val="22"/>
              </w:rPr>
              <w:t>Historia política</w:t>
            </w:r>
          </w:p>
        </w:tc>
        <w:tc>
          <w:tcPr>
            <w:tcW w:w="3259" w:type="dxa"/>
          </w:tcPr>
          <w:p>
            <w:pPr>
              <w:pStyle w:val="TableParagraph"/>
              <w:ind w:right="96"/>
              <w:jc w:val="both"/>
              <w:rPr>
                <w:sz w:val="22"/>
              </w:rPr>
            </w:pPr>
            <w:r>
              <w:rPr>
                <w:sz w:val="22"/>
              </w:rPr>
              <w:t>Es la estructura sociopolítica de la región que vincula el pasado, presente y futuro de los actores de la CHPH a través de procesos históricos que han articulado a los municipios de la Cuenca en una región con características comunes (Cfr. Hecht, 1976; White,   2012   y   García,  </w:t>
            </w:r>
            <w:r>
              <w:rPr>
                <w:spacing w:val="5"/>
                <w:sz w:val="22"/>
              </w:rPr>
              <w:t> </w:t>
            </w:r>
            <w:r>
              <w:rPr>
                <w:sz w:val="22"/>
              </w:rPr>
              <w:t>TC:</w:t>
            </w:r>
          </w:p>
        </w:tc>
        <w:tc>
          <w:tcPr>
            <w:tcW w:w="2211" w:type="dxa"/>
          </w:tcPr>
          <w:p>
            <w:pPr>
              <w:pStyle w:val="TableParagraph"/>
              <w:spacing w:before="6"/>
              <w:ind w:left="0"/>
              <w:rPr>
                <w:sz w:val="32"/>
              </w:rPr>
            </w:pPr>
          </w:p>
          <w:p>
            <w:pPr>
              <w:pStyle w:val="TableParagraph"/>
              <w:ind w:right="101" w:hanging="5"/>
              <w:jc w:val="center"/>
              <w:rPr>
                <w:b/>
                <w:sz w:val="22"/>
              </w:rPr>
            </w:pPr>
            <w:r>
              <w:rPr>
                <w:b/>
                <w:sz w:val="22"/>
              </w:rPr>
              <w:t>Procesos históricos que han articulado sociopolíticamente a los actores de la CHPH</w:t>
            </w:r>
          </w:p>
          <w:p>
            <w:pPr>
              <w:pStyle w:val="TableParagraph"/>
              <w:spacing w:before="1"/>
              <w:ind w:left="143" w:right="144"/>
              <w:jc w:val="center"/>
              <w:rPr>
                <w:b/>
                <w:sz w:val="22"/>
              </w:rPr>
            </w:pPr>
            <w:r>
              <w:rPr>
                <w:b/>
                <w:sz w:val="22"/>
              </w:rPr>
              <w:t>(adimensional)</w:t>
            </w:r>
          </w:p>
        </w:tc>
        <w:tc>
          <w:tcPr>
            <w:tcW w:w="2835" w:type="dxa"/>
          </w:tcPr>
          <w:p>
            <w:pPr>
              <w:pStyle w:val="TableParagraph"/>
              <w:tabs>
                <w:tab w:pos="1766" w:val="left" w:leader="none"/>
              </w:tabs>
              <w:ind w:left="100" w:right="102"/>
              <w:jc w:val="both"/>
              <w:rPr>
                <w:sz w:val="22"/>
              </w:rPr>
            </w:pPr>
            <w:r>
              <w:rPr>
                <w:sz w:val="22"/>
              </w:rPr>
              <w:t>Procesos históricos que han</w:t>
              <w:tab/>
            </w:r>
            <w:r>
              <w:rPr>
                <w:spacing w:val="-1"/>
                <w:sz w:val="22"/>
              </w:rPr>
              <w:t>articulado </w:t>
            </w:r>
            <w:r>
              <w:rPr>
                <w:sz w:val="22"/>
              </w:rPr>
              <w:t>sociopolíticamente a los actores de la CHPH en una</w:t>
            </w:r>
            <w:r>
              <w:rPr>
                <w:spacing w:val="-2"/>
                <w:sz w:val="22"/>
              </w:rPr>
              <w:t> </w:t>
            </w:r>
            <w:r>
              <w:rPr>
                <w:sz w:val="22"/>
              </w:rPr>
              <w:t>región.</w:t>
            </w:r>
          </w:p>
          <w:p>
            <w:pPr>
              <w:pStyle w:val="TableParagraph"/>
              <w:ind w:left="100" w:right="162"/>
              <w:rPr>
                <w:sz w:val="22"/>
              </w:rPr>
            </w:pPr>
            <w:r>
              <w:rPr>
                <w:sz w:val="22"/>
              </w:rPr>
              <w:t>(Ejemplo: la conformación de El Ejido y la creación de los municipios).</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516" w:hRule="exact"/>
        </w:trPr>
        <w:tc>
          <w:tcPr>
            <w:tcW w:w="852" w:type="dxa"/>
            <w:shd w:val="clear" w:color="auto" w:fill="4AACC5"/>
          </w:tcPr>
          <w:p>
            <w:pPr/>
          </w:p>
        </w:tc>
        <w:tc>
          <w:tcPr>
            <w:tcW w:w="730" w:type="dxa"/>
            <w:shd w:val="clear" w:color="auto" w:fill="4AACC5"/>
          </w:tcPr>
          <w:p>
            <w:pPr/>
          </w:p>
        </w:tc>
        <w:tc>
          <w:tcPr>
            <w:tcW w:w="1918" w:type="dxa"/>
          </w:tcPr>
          <w:p>
            <w:pPr/>
          </w:p>
        </w:tc>
        <w:tc>
          <w:tcPr>
            <w:tcW w:w="3259" w:type="dxa"/>
          </w:tcPr>
          <w:p>
            <w:pPr>
              <w:pStyle w:val="TableParagraph"/>
              <w:spacing w:line="251" w:lineRule="exact"/>
              <w:ind w:right="93"/>
              <w:rPr>
                <w:sz w:val="22"/>
              </w:rPr>
            </w:pPr>
            <w:r>
              <w:rPr>
                <w:sz w:val="22"/>
              </w:rPr>
              <w:t>2013-2015).</w:t>
            </w:r>
          </w:p>
        </w:tc>
        <w:tc>
          <w:tcPr>
            <w:tcW w:w="2211" w:type="dxa"/>
          </w:tcPr>
          <w:p>
            <w:pPr/>
          </w:p>
        </w:tc>
        <w:tc>
          <w:tcPr>
            <w:tcW w:w="2835" w:type="dxa"/>
          </w:tcPr>
          <w:p>
            <w:pPr/>
          </w:p>
        </w:tc>
      </w:tr>
      <w:tr>
        <w:trPr>
          <w:trHeight w:val="3553"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P2P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195"/>
              <w:rPr>
                <w:sz w:val="22"/>
              </w:rPr>
            </w:pPr>
            <w:r>
              <w:rPr>
                <w:sz w:val="22"/>
              </w:rPr>
              <w:t>Poder político</w:t>
            </w:r>
          </w:p>
        </w:tc>
        <w:tc>
          <w:tcPr>
            <w:tcW w:w="3259" w:type="dxa"/>
          </w:tcPr>
          <w:p>
            <w:pPr>
              <w:pStyle w:val="TableParagraph"/>
              <w:ind w:right="98"/>
              <w:jc w:val="both"/>
              <w:rPr>
                <w:sz w:val="22"/>
              </w:rPr>
            </w:pPr>
            <w:r>
              <w:rPr>
                <w:sz w:val="22"/>
              </w:rPr>
              <w:t>Carácter estructural de  dominio del Estado que ha permitido que los actores de aguas abajo (Aculco y Polotitlán) de la CHPH ejerzan control político sobre los actores de aguas arriba (Acambay, Jilotepec y Timilpan) mediante el dominio de los recursos naturales y la injerencia de instituciones gubernamentales a su favor (Cfr. Dahl, 1976 y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44" w:right="146" w:firstLine="2"/>
              <w:jc w:val="center"/>
              <w:rPr>
                <w:b/>
                <w:sz w:val="22"/>
              </w:rPr>
            </w:pPr>
            <w:r>
              <w:rPr>
                <w:b/>
                <w:sz w:val="22"/>
              </w:rPr>
              <w:t># de municipios e instituciones gubernamentales que ejercen el control político en la CHPH</w:t>
            </w:r>
          </w:p>
        </w:tc>
        <w:tc>
          <w:tcPr>
            <w:tcW w:w="2835" w:type="dxa"/>
          </w:tcPr>
          <w:p>
            <w:pPr>
              <w:pStyle w:val="TableParagraph"/>
              <w:spacing w:before="8"/>
              <w:ind w:left="0"/>
              <w:rPr>
                <w:rFonts w:ascii="Times New Roman"/>
                <w:sz w:val="21"/>
              </w:rPr>
            </w:pPr>
          </w:p>
          <w:p>
            <w:pPr>
              <w:pStyle w:val="TableParagraph"/>
              <w:tabs>
                <w:tab w:pos="1050" w:val="left" w:leader="none"/>
                <w:tab w:pos="1209" w:val="left" w:leader="none"/>
                <w:tab w:pos="1291" w:val="left" w:leader="none"/>
                <w:tab w:pos="1510" w:val="left" w:leader="none"/>
                <w:tab w:pos="1681" w:val="left" w:leader="none"/>
                <w:tab w:pos="2350" w:val="left" w:leader="none"/>
                <w:tab w:pos="2473" w:val="left" w:leader="none"/>
                <w:tab w:pos="2609" w:val="left" w:leader="none"/>
              </w:tabs>
              <w:ind w:left="100" w:right="102"/>
              <w:rPr>
                <w:sz w:val="22"/>
              </w:rPr>
            </w:pPr>
            <w:r>
              <w:rPr>
                <w:sz w:val="22"/>
              </w:rPr>
              <w:t>Cantidad</w:t>
              <w:tab/>
              <w:tab/>
              <w:t>de</w:t>
              <w:tab/>
              <w:tab/>
            </w:r>
            <w:r>
              <w:rPr>
                <w:spacing w:val="-1"/>
                <w:sz w:val="22"/>
              </w:rPr>
              <w:t>municipios </w:t>
            </w:r>
            <w:r>
              <w:rPr>
                <w:sz w:val="22"/>
              </w:rPr>
              <w:t>que se han beneficiado con el agua para riego, generando</w:t>
              <w:tab/>
              <w:tab/>
              <w:tab/>
              <w:t>riqueza</w:t>
              <w:tab/>
              <w:tab/>
              <w:tab/>
              <w:t>y poder de dominio en la región</w:t>
              <w:tab/>
              <w:t>e</w:t>
              <w:tab/>
              <w:tab/>
              <w:tab/>
            </w:r>
            <w:r>
              <w:rPr>
                <w:spacing w:val="-1"/>
                <w:sz w:val="22"/>
              </w:rPr>
              <w:t>instituciones </w:t>
            </w:r>
            <w:r>
              <w:rPr>
                <w:sz w:val="22"/>
              </w:rPr>
              <w:t>gubernamentales</w:t>
              <w:tab/>
              <w:t>que favorecen los intereses de estos municipios. (Ejemplo:</w:t>
              <w:tab/>
              <w:tab/>
              <w:tab/>
              <w:t>Municipio</w:t>
              <w:tab/>
              <w:tab/>
              <w:t>de Polotitlán y la</w:t>
            </w:r>
            <w:r>
              <w:rPr>
                <w:spacing w:val="-5"/>
                <w:sz w:val="22"/>
              </w:rPr>
              <w:t> </w:t>
            </w:r>
            <w:r>
              <w:rPr>
                <w:sz w:val="22"/>
              </w:rPr>
              <w:t>Conagua).</w:t>
            </w:r>
          </w:p>
        </w:tc>
      </w:tr>
      <w:tr>
        <w:trPr>
          <w:trHeight w:val="3299"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P3P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195"/>
              <w:rPr>
                <w:sz w:val="22"/>
              </w:rPr>
            </w:pPr>
            <w:r>
              <w:rPr>
                <w:sz w:val="22"/>
              </w:rPr>
              <w:t>Cultura política</w:t>
            </w:r>
          </w:p>
        </w:tc>
        <w:tc>
          <w:tcPr>
            <w:tcW w:w="3259" w:type="dxa"/>
          </w:tcPr>
          <w:p>
            <w:pPr>
              <w:pStyle w:val="TableParagraph"/>
              <w:tabs>
                <w:tab w:pos="2389" w:val="left" w:leader="none"/>
              </w:tabs>
              <w:ind w:right="97"/>
              <w:jc w:val="both"/>
              <w:rPr>
                <w:sz w:val="22"/>
              </w:rPr>
            </w:pPr>
            <w:r>
              <w:rPr>
                <w:sz w:val="22"/>
              </w:rPr>
              <w:t>Es el sistema político internalizado en creencias, sentimientos,</w:t>
              <w:tab/>
              <w:t>ideales, costumbres y experiencias colectivas de los actores de la CHPH que se trasmiten de generación en  generación para darles el sentido de pertenencia a la región, lo que les permite exigir sus derechos intrínsecos como ciudadanos (Arjona, 1986 y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302" w:right="305" w:firstLine="7"/>
              <w:jc w:val="center"/>
              <w:rPr>
                <w:b/>
                <w:sz w:val="22"/>
              </w:rPr>
            </w:pPr>
            <w:r>
              <w:rPr>
                <w:b/>
                <w:sz w:val="22"/>
              </w:rPr>
              <w:t>Usos y costumbres políticas de los actores de la CHPH</w:t>
            </w:r>
          </w:p>
          <w:p>
            <w:pPr>
              <w:pStyle w:val="TableParagraph"/>
              <w:spacing w:before="1"/>
              <w:ind w:left="143" w:right="144"/>
              <w:jc w:val="center"/>
              <w:rPr>
                <w:b/>
                <w:sz w:val="22"/>
              </w:rPr>
            </w:pPr>
            <w:r>
              <w:rPr>
                <w:b/>
                <w:sz w:val="22"/>
              </w:rPr>
              <w:t>(adimensional)</w:t>
            </w:r>
          </w:p>
        </w:tc>
        <w:tc>
          <w:tcPr>
            <w:tcW w:w="2835" w:type="dxa"/>
          </w:tcPr>
          <w:p>
            <w:pPr>
              <w:pStyle w:val="TableParagraph"/>
              <w:spacing w:before="8"/>
              <w:ind w:left="0"/>
              <w:rPr>
                <w:rFonts w:ascii="Times New Roman"/>
                <w:sz w:val="21"/>
              </w:rPr>
            </w:pPr>
          </w:p>
          <w:p>
            <w:pPr>
              <w:pStyle w:val="TableParagraph"/>
              <w:tabs>
                <w:tab w:pos="820" w:val="left" w:leader="none"/>
                <w:tab w:pos="1257" w:val="left" w:leader="none"/>
                <w:tab w:pos="1486" w:val="left" w:leader="none"/>
                <w:tab w:pos="1679" w:val="left" w:leader="none"/>
                <w:tab w:pos="1768" w:val="left" w:leader="none"/>
                <w:tab w:pos="1873" w:val="left" w:leader="none"/>
                <w:tab w:pos="1914" w:val="left" w:leader="none"/>
                <w:tab w:pos="2183" w:val="left" w:leader="none"/>
                <w:tab w:pos="2473" w:val="left" w:leader="none"/>
                <w:tab w:pos="2610" w:val="left" w:leader="none"/>
              </w:tabs>
              <w:ind w:left="100" w:right="102"/>
              <w:rPr>
                <w:sz w:val="22"/>
              </w:rPr>
            </w:pPr>
            <w:r>
              <w:rPr>
                <w:sz w:val="22"/>
              </w:rPr>
              <w:t>Prácticas sociopolíticas de los actores de la CHPH que</w:t>
              <w:tab/>
              <w:t>hacen</w:t>
              <w:tab/>
              <w:tab/>
              <w:tab/>
              <w:t>que</w:t>
              <w:tab/>
              <w:tab/>
              <w:t>se distingan</w:t>
              <w:tab/>
              <w:t>sus</w:t>
              <w:tab/>
              <w:tab/>
              <w:tab/>
              <w:t>usos</w:t>
              <w:tab/>
              <w:tab/>
              <w:t>y costumbres</w:t>
              <w:tab/>
              <w:tab/>
              <w:tab/>
              <w:tab/>
              <w:tab/>
              <w:tab/>
              <w:tab/>
            </w:r>
            <w:r>
              <w:rPr>
                <w:spacing w:val="-1"/>
                <w:sz w:val="22"/>
              </w:rPr>
              <w:t>como </w:t>
            </w:r>
            <w:r>
              <w:rPr>
                <w:sz w:val="22"/>
              </w:rPr>
              <w:t>características</w:t>
              <w:tab/>
              <w:tab/>
              <w:tab/>
              <w:tab/>
            </w:r>
            <w:r>
              <w:rPr>
                <w:spacing w:val="-1"/>
                <w:sz w:val="22"/>
              </w:rPr>
              <w:t>políticas </w:t>
            </w:r>
            <w:r>
              <w:rPr>
                <w:sz w:val="22"/>
              </w:rPr>
              <w:t>comunes de la región. (Ejemplo:</w:t>
              <w:tab/>
              <w:tab/>
            </w:r>
            <w:r>
              <w:rPr>
                <w:spacing w:val="-1"/>
                <w:sz w:val="22"/>
              </w:rPr>
              <w:t>participación </w:t>
            </w:r>
            <w:r>
              <w:rPr>
                <w:sz w:val="22"/>
              </w:rPr>
              <w:t>sociopolítica,</w:t>
              <w:tab/>
              <w:tab/>
              <w:t>toma</w:t>
              <w:tab/>
              <w:tab/>
              <w:t>de decisiones</w:t>
            </w:r>
            <w:r>
              <w:rPr>
                <w:spacing w:val="-3"/>
                <w:sz w:val="22"/>
              </w:rPr>
              <w:t> </w:t>
            </w:r>
            <w:r>
              <w:rPr>
                <w:sz w:val="22"/>
              </w:rPr>
              <w:t>colectivas).</w:t>
            </w:r>
          </w:p>
        </w:tc>
      </w:tr>
      <w:tr>
        <w:trPr>
          <w:trHeight w:val="1274" w:hRule="exact"/>
        </w:trPr>
        <w:tc>
          <w:tcPr>
            <w:tcW w:w="852" w:type="dxa"/>
            <w:shd w:val="clear" w:color="auto" w:fill="4AACC5"/>
          </w:tcPr>
          <w:p>
            <w:pPr/>
          </w:p>
        </w:tc>
        <w:tc>
          <w:tcPr>
            <w:tcW w:w="730" w:type="dxa"/>
            <w:shd w:val="clear" w:color="auto" w:fill="4AACC5"/>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440"/>
              <w:rPr>
                <w:sz w:val="22"/>
              </w:rPr>
            </w:pPr>
            <w:r>
              <w:rPr>
                <w:sz w:val="22"/>
              </w:rPr>
              <w:t>Democracia y voluntariedad</w:t>
            </w:r>
          </w:p>
        </w:tc>
        <w:tc>
          <w:tcPr>
            <w:tcW w:w="3259" w:type="dxa"/>
          </w:tcPr>
          <w:p>
            <w:pPr>
              <w:pStyle w:val="TableParagraph"/>
              <w:ind w:right="99"/>
              <w:jc w:val="both"/>
              <w:rPr>
                <w:sz w:val="22"/>
              </w:rPr>
            </w:pPr>
            <w:r>
              <w:rPr>
                <w:sz w:val="22"/>
              </w:rPr>
              <w:t>Expresión de los deseos sociopolíticos y la voluntad de los actores de la CHPH en trabajo de campo para participar    en    la    toma    de</w:t>
            </w:r>
          </w:p>
        </w:tc>
        <w:tc>
          <w:tcPr>
            <w:tcW w:w="2211" w:type="dxa"/>
          </w:tcPr>
          <w:p>
            <w:pPr>
              <w:pStyle w:val="TableParagraph"/>
              <w:spacing w:before="8"/>
              <w:ind w:left="0"/>
              <w:rPr>
                <w:rFonts w:ascii="Times New Roman"/>
                <w:sz w:val="21"/>
              </w:rPr>
            </w:pPr>
          </w:p>
          <w:p>
            <w:pPr>
              <w:pStyle w:val="TableParagraph"/>
              <w:ind w:left="141" w:right="144"/>
              <w:jc w:val="center"/>
              <w:rPr>
                <w:b/>
                <w:sz w:val="22"/>
              </w:rPr>
            </w:pPr>
            <w:r>
              <w:rPr>
                <w:b/>
                <w:sz w:val="22"/>
              </w:rPr>
              <w:t>Voluntad de los actores de la CHPH para participar en</w:t>
            </w:r>
          </w:p>
        </w:tc>
        <w:tc>
          <w:tcPr>
            <w:tcW w:w="2835" w:type="dxa"/>
          </w:tcPr>
          <w:p>
            <w:pPr>
              <w:pStyle w:val="TableParagraph"/>
              <w:tabs>
                <w:tab w:pos="726" w:val="left" w:leader="none"/>
                <w:tab w:pos="1278" w:val="left" w:leader="none"/>
                <w:tab w:pos="1602" w:val="left" w:leader="none"/>
                <w:tab w:pos="2281" w:val="left" w:leader="none"/>
                <w:tab w:pos="2439" w:val="left" w:leader="none"/>
              </w:tabs>
              <w:ind w:left="100" w:right="102"/>
              <w:rPr>
                <w:sz w:val="22"/>
              </w:rPr>
            </w:pPr>
            <w:r>
              <w:rPr>
                <w:sz w:val="22"/>
              </w:rPr>
              <w:t>Manifestaciones sociopolíticas formales e informales de los actores de</w:t>
              <w:tab/>
              <w:t>la</w:t>
              <w:tab/>
              <w:t>CHPH</w:t>
              <w:tab/>
            </w:r>
            <w:r>
              <w:rPr>
                <w:spacing w:val="-1"/>
                <w:sz w:val="22"/>
              </w:rPr>
              <w:t>para </w:t>
            </w:r>
            <w:r>
              <w:rPr>
                <w:sz w:val="22"/>
              </w:rPr>
              <w:t>participar</w:t>
              <w:tab/>
              <w:tab/>
              <w:t>en</w:t>
              <w:tab/>
              <w:tab/>
              <w:t>las</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1526" w:hRule="exact"/>
        </w:trPr>
        <w:tc>
          <w:tcPr>
            <w:tcW w:w="852" w:type="dxa"/>
            <w:shd w:val="clear" w:color="auto" w:fill="4AACC5"/>
          </w:tcPr>
          <w:p>
            <w:pPr>
              <w:pStyle w:val="TableParagraph"/>
              <w:spacing w:line="248" w:lineRule="exact"/>
              <w:ind w:left="125" w:right="124"/>
              <w:jc w:val="center"/>
              <w:rPr>
                <w:b/>
                <w:sz w:val="22"/>
              </w:rPr>
            </w:pPr>
            <w:r>
              <w:rPr>
                <w:b/>
                <w:sz w:val="22"/>
              </w:rPr>
              <w:t>P4P</w:t>
            </w:r>
          </w:p>
        </w:tc>
        <w:tc>
          <w:tcPr>
            <w:tcW w:w="730" w:type="dxa"/>
            <w:shd w:val="clear" w:color="auto" w:fill="4AACC5"/>
          </w:tcPr>
          <w:p>
            <w:pPr/>
          </w:p>
        </w:tc>
        <w:tc>
          <w:tcPr>
            <w:tcW w:w="1918" w:type="dxa"/>
          </w:tcPr>
          <w:p>
            <w:pPr/>
          </w:p>
        </w:tc>
        <w:tc>
          <w:tcPr>
            <w:tcW w:w="3259" w:type="dxa"/>
          </w:tcPr>
          <w:p>
            <w:pPr>
              <w:pStyle w:val="TableParagraph"/>
              <w:ind w:right="99"/>
              <w:jc w:val="both"/>
              <w:rPr>
                <w:sz w:val="22"/>
              </w:rPr>
            </w:pPr>
            <w:r>
              <w:rPr>
                <w:sz w:val="22"/>
              </w:rPr>
              <w:t>decisiones colectivas de la Cuenca (Romero, et al., 2012; Palerm,  1993;  Bobbio,   1999;</w:t>
            </w:r>
          </w:p>
          <w:p>
            <w:pPr>
              <w:pStyle w:val="TableParagraph"/>
              <w:spacing w:line="252" w:lineRule="exact"/>
              <w:jc w:val="both"/>
              <w:rPr>
                <w:sz w:val="22"/>
              </w:rPr>
            </w:pPr>
            <w:r>
              <w:rPr>
                <w:sz w:val="22"/>
              </w:rPr>
              <w:t>Bovero,  2002;  Sartori,  1993 y</w:t>
            </w:r>
          </w:p>
          <w:p>
            <w:pPr>
              <w:pStyle w:val="TableParagraph"/>
              <w:spacing w:before="1"/>
              <w:jc w:val="both"/>
              <w:rPr>
                <w:sz w:val="22"/>
              </w:rPr>
            </w:pPr>
            <w:r>
              <w:rPr>
                <w:sz w:val="22"/>
              </w:rPr>
              <w:t>García, TC: 2013-2015).</w:t>
            </w:r>
          </w:p>
        </w:tc>
        <w:tc>
          <w:tcPr>
            <w:tcW w:w="2211" w:type="dxa"/>
          </w:tcPr>
          <w:p>
            <w:pPr>
              <w:pStyle w:val="TableParagraph"/>
              <w:ind w:left="321" w:right="323" w:firstLine="4"/>
              <w:jc w:val="center"/>
              <w:rPr>
                <w:b/>
                <w:sz w:val="22"/>
              </w:rPr>
            </w:pPr>
            <w:r>
              <w:rPr>
                <w:b/>
                <w:sz w:val="22"/>
              </w:rPr>
              <w:t>decisiones colectivas (adimensional)</w:t>
            </w:r>
          </w:p>
        </w:tc>
        <w:tc>
          <w:tcPr>
            <w:tcW w:w="2835" w:type="dxa"/>
          </w:tcPr>
          <w:p>
            <w:pPr>
              <w:pStyle w:val="TableParagraph"/>
              <w:tabs>
                <w:tab w:pos="477" w:val="left" w:leader="none"/>
                <w:tab w:pos="1453" w:val="left" w:leader="none"/>
                <w:tab w:pos="1821" w:val="left" w:leader="none"/>
                <w:tab w:pos="2101" w:val="left" w:leader="none"/>
                <w:tab w:pos="2473" w:val="left" w:leader="none"/>
                <w:tab w:pos="2547" w:val="left" w:leader="none"/>
              </w:tabs>
              <w:ind w:left="100" w:right="104"/>
              <w:rPr>
                <w:sz w:val="22"/>
              </w:rPr>
            </w:pPr>
            <w:r>
              <w:rPr>
                <w:sz w:val="22"/>
              </w:rPr>
              <w:t>decisiones colectivas. (Ejemplo:</w:t>
              <w:tab/>
              <w:t>deseo</w:t>
              <w:tab/>
              <w:tab/>
              <w:t>de participación</w:t>
              <w:tab/>
              <w:tab/>
              <w:t>en</w:t>
              <w:tab/>
              <w:tab/>
              <w:tab/>
              <w:t>la solución del problema de la</w:t>
              <w:tab/>
              <w:t>contaminación</w:t>
              <w:tab/>
              <w:t>en</w:t>
              <w:tab/>
              <w:tab/>
              <w:t>la presa</w:t>
            </w:r>
            <w:r>
              <w:rPr>
                <w:spacing w:val="-4"/>
                <w:sz w:val="22"/>
              </w:rPr>
              <w:t> </w:t>
            </w:r>
            <w:r>
              <w:rPr>
                <w:sz w:val="22"/>
              </w:rPr>
              <w:t>Huapango).</w:t>
            </w:r>
          </w:p>
        </w:tc>
      </w:tr>
      <w:tr>
        <w:trPr>
          <w:trHeight w:val="2542"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4"/>
              <w:jc w:val="center"/>
              <w:rPr>
                <w:b/>
                <w:sz w:val="22"/>
              </w:rPr>
            </w:pPr>
            <w:r>
              <w:rPr>
                <w:b/>
                <w:sz w:val="22"/>
              </w:rPr>
              <w:t>P5P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526"/>
              <w:rPr>
                <w:sz w:val="22"/>
              </w:rPr>
            </w:pPr>
            <w:r>
              <w:rPr>
                <w:sz w:val="22"/>
              </w:rPr>
              <w:t>Participación política_1</w:t>
            </w:r>
          </w:p>
        </w:tc>
        <w:tc>
          <w:tcPr>
            <w:tcW w:w="3259" w:type="dxa"/>
          </w:tcPr>
          <w:p>
            <w:pPr>
              <w:pStyle w:val="TableParagraph"/>
              <w:ind w:right="97"/>
              <w:jc w:val="both"/>
              <w:rPr>
                <w:sz w:val="22"/>
              </w:rPr>
            </w:pPr>
            <w:r>
              <w:rPr>
                <w:sz w:val="22"/>
              </w:rPr>
              <w:t>Es la organización racional y consciente de los actores sociopolíticos de la CHPH,  ante las escasas respuestas a los problemas de la Cuenca por parte de los actores federales, estatales y municipales (Cfr. INAFED, 2014   y   García,   TC:   </w:t>
            </w:r>
            <w:r>
              <w:rPr>
                <w:spacing w:val="5"/>
                <w:sz w:val="22"/>
              </w:rPr>
              <w:t> </w:t>
            </w:r>
            <w:r>
              <w:rPr>
                <w:sz w:val="22"/>
              </w:rPr>
              <w:t>2013-</w:t>
            </w:r>
          </w:p>
          <w:p>
            <w:pPr>
              <w:pStyle w:val="TableParagraph"/>
              <w:spacing w:line="252" w:lineRule="exact"/>
              <w:jc w:val="both"/>
              <w:rPr>
                <w:sz w:val="22"/>
              </w:rPr>
            </w:pPr>
            <w:r>
              <w:rPr>
                <w:sz w:val="22"/>
              </w:rPr>
              <w:t>2015).</w:t>
            </w:r>
          </w:p>
        </w:tc>
        <w:tc>
          <w:tcPr>
            <w:tcW w:w="2211" w:type="dxa"/>
          </w:tcPr>
          <w:p>
            <w:pPr>
              <w:pStyle w:val="TableParagraph"/>
              <w:ind w:left="0"/>
              <w:rPr>
                <w:rFonts w:ascii="Times New Roman"/>
                <w:sz w:val="22"/>
              </w:rPr>
            </w:pPr>
          </w:p>
          <w:p>
            <w:pPr>
              <w:pStyle w:val="TableParagraph"/>
              <w:spacing w:before="8"/>
              <w:ind w:left="0"/>
              <w:rPr>
                <w:rFonts w:ascii="Times New Roman"/>
                <w:sz w:val="32"/>
              </w:rPr>
            </w:pPr>
          </w:p>
          <w:p>
            <w:pPr>
              <w:pStyle w:val="TableParagraph"/>
              <w:ind w:left="235" w:right="238" w:firstLine="3"/>
              <w:jc w:val="center"/>
              <w:rPr>
                <w:b/>
                <w:sz w:val="22"/>
              </w:rPr>
            </w:pPr>
            <w:r>
              <w:rPr>
                <w:b/>
                <w:sz w:val="22"/>
              </w:rPr>
              <w:t># de acciones organizadas por los actores de la CHPH</w:t>
            </w:r>
          </w:p>
        </w:tc>
        <w:tc>
          <w:tcPr>
            <w:tcW w:w="2835" w:type="dxa"/>
          </w:tcPr>
          <w:p>
            <w:pPr>
              <w:pStyle w:val="TableParagraph"/>
              <w:ind w:left="100" w:right="102"/>
              <w:jc w:val="both"/>
              <w:rPr>
                <w:sz w:val="22"/>
              </w:rPr>
            </w:pPr>
            <w:r>
              <w:rPr>
                <w:sz w:val="22"/>
              </w:rPr>
              <w:t>Cantidad de acciones organizadas por los actores de la CHPH para atender los problemas sociopolíticos de dicha cuenca.</w:t>
            </w:r>
          </w:p>
          <w:p>
            <w:pPr>
              <w:pStyle w:val="TableParagraph"/>
              <w:ind w:left="100" w:right="102"/>
              <w:jc w:val="both"/>
              <w:rPr>
                <w:sz w:val="22"/>
              </w:rPr>
            </w:pPr>
            <w:r>
              <w:rPr>
                <w:sz w:val="22"/>
              </w:rPr>
              <w:t>(Ejemplo: reuniones de los pescadores para atender su problemática común).</w:t>
            </w:r>
          </w:p>
        </w:tc>
      </w:tr>
      <w:tr>
        <w:trPr>
          <w:trHeight w:val="2540"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125" w:right="124"/>
              <w:jc w:val="center"/>
              <w:rPr>
                <w:b/>
                <w:sz w:val="22"/>
              </w:rPr>
            </w:pPr>
            <w:r>
              <w:rPr>
                <w:b/>
                <w:sz w:val="22"/>
              </w:rPr>
              <w:t>P6P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195"/>
              <w:rPr>
                <w:sz w:val="22"/>
              </w:rPr>
            </w:pPr>
            <w:r>
              <w:rPr>
                <w:sz w:val="22"/>
              </w:rPr>
              <w:t>Relaciones intermunicipales</w:t>
            </w:r>
          </w:p>
        </w:tc>
        <w:tc>
          <w:tcPr>
            <w:tcW w:w="3259" w:type="dxa"/>
          </w:tcPr>
          <w:p>
            <w:pPr>
              <w:pStyle w:val="TableParagraph"/>
              <w:tabs>
                <w:tab w:pos="1828" w:val="left" w:leader="none"/>
              </w:tabs>
              <w:ind w:right="99"/>
              <w:jc w:val="both"/>
              <w:rPr>
                <w:sz w:val="22"/>
              </w:rPr>
            </w:pPr>
            <w:r>
              <w:rPr>
                <w:sz w:val="22"/>
              </w:rPr>
              <w:t>Se refiere a la necesidad de acuerdos</w:t>
              <w:tab/>
            </w:r>
            <w:r>
              <w:rPr>
                <w:spacing w:val="-1"/>
                <w:sz w:val="22"/>
              </w:rPr>
              <w:t>sociopolíticos </w:t>
            </w:r>
            <w:r>
              <w:rPr>
                <w:sz w:val="22"/>
              </w:rPr>
              <w:t>intermunicipales entre los actores de los municipios de la CHPH para atender la problemática común de la Cuenca      (Arnoletto,    </w:t>
            </w:r>
            <w:r>
              <w:rPr>
                <w:spacing w:val="41"/>
                <w:sz w:val="22"/>
              </w:rPr>
              <w:t> </w:t>
            </w:r>
            <w:r>
              <w:rPr>
                <w:sz w:val="22"/>
              </w:rPr>
              <w:t>2010;</w:t>
            </w:r>
          </w:p>
          <w:p>
            <w:pPr>
              <w:pStyle w:val="TableParagraph"/>
              <w:spacing w:line="252" w:lineRule="exact" w:before="1"/>
              <w:jc w:val="both"/>
              <w:rPr>
                <w:sz w:val="22"/>
              </w:rPr>
            </w:pPr>
            <w:r>
              <w:rPr>
                <w:sz w:val="22"/>
              </w:rPr>
              <w:t>Hernández,   2003;  Florentino,</w:t>
            </w:r>
          </w:p>
          <w:p>
            <w:pPr>
              <w:pStyle w:val="TableParagraph"/>
              <w:spacing w:line="252" w:lineRule="exact"/>
              <w:jc w:val="both"/>
              <w:rPr>
                <w:sz w:val="22"/>
              </w:rPr>
            </w:pPr>
            <w:r>
              <w:rPr>
                <w:sz w:val="22"/>
              </w:rPr>
              <w:t>2004   y   García,   TC:    2013-</w:t>
            </w:r>
          </w:p>
          <w:p>
            <w:pPr>
              <w:pStyle w:val="TableParagraph"/>
              <w:spacing w:line="252" w:lineRule="exact"/>
              <w:jc w:val="both"/>
              <w:rPr>
                <w:sz w:val="22"/>
              </w:rPr>
            </w:pPr>
            <w:r>
              <w:rPr>
                <w:sz w:val="22"/>
              </w:rPr>
              <w:t>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218" w:right="216" w:hanging="2"/>
              <w:jc w:val="center"/>
              <w:rPr>
                <w:b/>
                <w:sz w:val="22"/>
              </w:rPr>
            </w:pPr>
            <w:r>
              <w:rPr>
                <w:b/>
                <w:sz w:val="22"/>
              </w:rPr>
              <w:t># de acuerdos intermunicipales entre los actores de la CHPH</w:t>
            </w:r>
          </w:p>
        </w:tc>
        <w:tc>
          <w:tcPr>
            <w:tcW w:w="2835" w:type="dxa"/>
          </w:tcPr>
          <w:p>
            <w:pPr>
              <w:pStyle w:val="TableParagraph"/>
              <w:ind w:left="100" w:right="101"/>
              <w:jc w:val="both"/>
              <w:rPr>
                <w:sz w:val="22"/>
              </w:rPr>
            </w:pPr>
            <w:r>
              <w:rPr>
                <w:sz w:val="22"/>
              </w:rPr>
              <w:t>Cantidad de acuerdos intermunicipales en la CHPH para atender la problemática sociopolítica de ésta.</w:t>
            </w:r>
          </w:p>
          <w:p>
            <w:pPr>
              <w:pStyle w:val="TableParagraph"/>
              <w:tabs>
                <w:tab w:pos="1694" w:val="left" w:leader="none"/>
              </w:tabs>
              <w:spacing w:before="1"/>
              <w:ind w:left="100" w:right="101"/>
              <w:jc w:val="both"/>
              <w:rPr>
                <w:sz w:val="22"/>
              </w:rPr>
            </w:pPr>
            <w:r>
              <w:rPr>
                <w:sz w:val="22"/>
              </w:rPr>
              <w:t>(Ejemplo: aún no existen acuerdos intermunicipales en la CHPH para atender los</w:t>
              <w:tab/>
            </w:r>
            <w:r>
              <w:rPr>
                <w:spacing w:val="-1"/>
                <w:sz w:val="22"/>
              </w:rPr>
              <w:t>problemas</w:t>
            </w:r>
          </w:p>
          <w:p>
            <w:pPr>
              <w:pStyle w:val="TableParagraph"/>
              <w:spacing w:line="252" w:lineRule="exact"/>
              <w:ind w:left="100"/>
              <w:jc w:val="both"/>
              <w:rPr>
                <w:sz w:val="22"/>
              </w:rPr>
            </w:pPr>
            <w:r>
              <w:rPr>
                <w:sz w:val="22"/>
              </w:rPr>
              <w:t>sociopolíticos comunes).</w:t>
            </w:r>
          </w:p>
        </w:tc>
      </w:tr>
      <w:tr>
        <w:trPr>
          <w:trHeight w:val="2185"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P7P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spacing w:before="3"/>
              <w:ind w:left="0"/>
              <w:rPr>
                <w:rFonts w:ascii="Times New Roman"/>
                <w:sz w:val="28"/>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8"/>
              </w:rPr>
            </w:pPr>
          </w:p>
          <w:p>
            <w:pPr>
              <w:pStyle w:val="TableParagraph"/>
              <w:ind w:right="538"/>
              <w:rPr>
                <w:sz w:val="22"/>
              </w:rPr>
            </w:pPr>
            <w:r>
              <w:rPr>
                <w:sz w:val="22"/>
              </w:rPr>
              <w:t>Cooperación política</w:t>
            </w:r>
          </w:p>
        </w:tc>
        <w:tc>
          <w:tcPr>
            <w:tcW w:w="3259" w:type="dxa"/>
          </w:tcPr>
          <w:p>
            <w:pPr>
              <w:pStyle w:val="TableParagraph"/>
              <w:spacing w:before="4"/>
              <w:ind w:left="0"/>
              <w:rPr>
                <w:rFonts w:ascii="Times New Roman"/>
                <w:sz w:val="28"/>
              </w:rPr>
            </w:pPr>
          </w:p>
          <w:p>
            <w:pPr>
              <w:pStyle w:val="TableParagraph"/>
              <w:ind w:right="99"/>
              <w:jc w:val="both"/>
              <w:rPr>
                <w:sz w:val="22"/>
              </w:rPr>
            </w:pPr>
            <w:r>
              <w:rPr>
                <w:sz w:val="22"/>
              </w:rPr>
              <w:t>Es la manifestación pública hecha en trabajo de campo del deseo de colaboración de los actores históricos de los municipios de la CHPH para trabajar conjuntamente en la solución   de   sus    problemas</w:t>
            </w:r>
          </w:p>
        </w:tc>
        <w:tc>
          <w:tcPr>
            <w:tcW w:w="2211" w:type="dxa"/>
          </w:tcPr>
          <w:p>
            <w:pPr>
              <w:pStyle w:val="TableParagraph"/>
              <w:spacing w:before="72"/>
              <w:ind w:left="156" w:right="158" w:firstLine="3"/>
              <w:jc w:val="center"/>
              <w:rPr>
                <w:b/>
                <w:sz w:val="22"/>
              </w:rPr>
            </w:pPr>
            <w:r>
              <w:rPr>
                <w:b/>
                <w:sz w:val="22"/>
              </w:rPr>
              <w:t>Deseo de colaboración de los actores históricos de los municipios de la CHPH para trabajar conjuntamente en</w:t>
            </w:r>
          </w:p>
        </w:tc>
        <w:tc>
          <w:tcPr>
            <w:tcW w:w="2835" w:type="dxa"/>
          </w:tcPr>
          <w:p>
            <w:pPr>
              <w:pStyle w:val="TableParagraph"/>
              <w:tabs>
                <w:tab w:pos="1453" w:val="left" w:leader="none"/>
                <w:tab w:pos="1773" w:val="left" w:leader="none"/>
                <w:tab w:pos="2440" w:val="left" w:leader="none"/>
                <w:tab w:pos="2473" w:val="left" w:leader="none"/>
              </w:tabs>
              <w:ind w:left="100" w:right="101"/>
              <w:rPr>
                <w:sz w:val="22"/>
              </w:rPr>
            </w:pPr>
            <w:r>
              <w:rPr>
                <w:sz w:val="22"/>
              </w:rPr>
              <w:t>Manifestación pública de los actores históricos de la CHPH para solucionar su problemática sociopolítica común de dicha Cuenca. (Ejemplo:</w:t>
              <w:tab/>
              <w:t>deseo</w:t>
              <w:tab/>
              <w:tab/>
              <w:t>de colaboración</w:t>
              <w:tab/>
              <w:tab/>
              <w:t>de</w:t>
              <w:tab/>
              <w:t>los actores  históricos  de  </w:t>
            </w:r>
            <w:r>
              <w:rPr>
                <w:spacing w:val="8"/>
                <w:sz w:val="22"/>
              </w:rPr>
              <w:t> </w:t>
            </w:r>
            <w:r>
              <w:rPr>
                <w:sz w:val="22"/>
              </w:rPr>
              <w:t>los</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2185" w:hRule="exact"/>
        </w:trPr>
        <w:tc>
          <w:tcPr>
            <w:tcW w:w="852" w:type="dxa"/>
            <w:shd w:val="clear" w:color="auto" w:fill="4AACC5"/>
          </w:tcPr>
          <w:p>
            <w:pPr/>
          </w:p>
        </w:tc>
        <w:tc>
          <w:tcPr>
            <w:tcW w:w="730" w:type="dxa"/>
            <w:shd w:val="clear" w:color="auto" w:fill="4AACC5"/>
          </w:tcPr>
          <w:p>
            <w:pPr/>
          </w:p>
        </w:tc>
        <w:tc>
          <w:tcPr>
            <w:tcW w:w="1918" w:type="dxa"/>
          </w:tcPr>
          <w:p>
            <w:pPr/>
          </w:p>
        </w:tc>
        <w:tc>
          <w:tcPr>
            <w:tcW w:w="3259" w:type="dxa"/>
          </w:tcPr>
          <w:p>
            <w:pPr>
              <w:pStyle w:val="TableParagraph"/>
              <w:ind w:right="97"/>
              <w:jc w:val="both"/>
              <w:rPr>
                <w:sz w:val="22"/>
              </w:rPr>
            </w:pPr>
            <w:r>
              <w:rPr>
                <w:sz w:val="22"/>
              </w:rPr>
              <w:t>sociopolíticos compartidos (González, 2003 y García, TC: 2013-2015).</w:t>
            </w:r>
          </w:p>
        </w:tc>
        <w:tc>
          <w:tcPr>
            <w:tcW w:w="2211" w:type="dxa"/>
          </w:tcPr>
          <w:p>
            <w:pPr>
              <w:pStyle w:val="TableParagraph"/>
              <w:ind w:left="144" w:right="144"/>
              <w:jc w:val="center"/>
              <w:rPr>
                <w:b/>
                <w:sz w:val="22"/>
              </w:rPr>
            </w:pPr>
            <w:r>
              <w:rPr>
                <w:b/>
                <w:sz w:val="22"/>
              </w:rPr>
              <w:t>la solución de sus problemas sociopolíticos (adimensional)</w:t>
            </w:r>
          </w:p>
        </w:tc>
        <w:tc>
          <w:tcPr>
            <w:tcW w:w="2835" w:type="dxa"/>
          </w:tcPr>
          <w:p>
            <w:pPr>
              <w:pStyle w:val="TableParagraph"/>
              <w:ind w:left="100" w:right="102"/>
              <w:jc w:val="both"/>
              <w:rPr>
                <w:sz w:val="22"/>
              </w:rPr>
            </w:pPr>
            <w:r>
              <w:rPr>
                <w:sz w:val="22"/>
              </w:rPr>
              <w:t>cinco municipios para solucionar el problema de contaminación en la CHPH).</w:t>
            </w:r>
          </w:p>
        </w:tc>
      </w:tr>
      <w:tr>
        <w:trPr>
          <w:trHeight w:val="2287"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P8P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85"/>
              <w:rPr>
                <w:sz w:val="22"/>
              </w:rPr>
            </w:pPr>
            <w:r>
              <w:rPr>
                <w:sz w:val="22"/>
              </w:rPr>
              <w:t>Identidad política</w:t>
            </w:r>
          </w:p>
        </w:tc>
        <w:tc>
          <w:tcPr>
            <w:tcW w:w="3259" w:type="dxa"/>
          </w:tcPr>
          <w:p>
            <w:pPr>
              <w:pStyle w:val="TableParagraph"/>
              <w:ind w:right="97"/>
              <w:jc w:val="both"/>
              <w:rPr>
                <w:sz w:val="22"/>
              </w:rPr>
            </w:pPr>
            <w:r>
              <w:rPr>
                <w:sz w:val="22"/>
              </w:rPr>
              <w:t>El sentido de pertenencia histórica y comunitaria por parte de los actores históricos de la CHPH, favorece la coordinación social con otros actores para atender la problemática sociopolítica de dicha cuenca (García, TC: 2013-2015).</w:t>
            </w:r>
          </w:p>
        </w:tc>
        <w:tc>
          <w:tcPr>
            <w:tcW w:w="2211"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102" w:right="102"/>
              <w:jc w:val="center"/>
              <w:rPr>
                <w:b/>
                <w:sz w:val="22"/>
              </w:rPr>
            </w:pPr>
            <w:r>
              <w:rPr>
                <w:b/>
                <w:sz w:val="22"/>
              </w:rPr>
              <w:t>Lugar de nacimiento y # de años de residencia en la CHPH</w:t>
            </w:r>
          </w:p>
        </w:tc>
        <w:tc>
          <w:tcPr>
            <w:tcW w:w="2835" w:type="dxa"/>
          </w:tcPr>
          <w:p>
            <w:pPr>
              <w:pStyle w:val="TableParagraph"/>
              <w:tabs>
                <w:tab w:pos="1209" w:val="left" w:leader="none"/>
                <w:tab w:pos="1331" w:val="left" w:leader="none"/>
                <w:tab w:pos="1727" w:val="left" w:leader="none"/>
                <w:tab w:pos="2350" w:val="left" w:leader="none"/>
                <w:tab w:pos="2473" w:val="left" w:leader="none"/>
              </w:tabs>
              <w:ind w:left="100" w:right="103"/>
              <w:rPr>
                <w:sz w:val="22"/>
              </w:rPr>
            </w:pPr>
            <w:r>
              <w:rPr>
                <w:sz w:val="22"/>
              </w:rPr>
              <w:t>Lugar de nacimiento  de los actores de la CHPH y cantidad</w:t>
              <w:tab/>
              <w:t>de</w:t>
              <w:tab/>
              <w:t>años</w:t>
              <w:tab/>
              <w:tab/>
              <w:t>de residencia en la Cuenca. (Ejemplo:</w:t>
              <w:tab/>
              <w:tab/>
              <w:t>actores</w:t>
              <w:tab/>
              <w:t>que nacieron dentro de los 5 municipios que integran la CHPH y que han vivido allí siempre).</w:t>
            </w:r>
          </w:p>
        </w:tc>
      </w:tr>
      <w:tr>
        <w:trPr>
          <w:trHeight w:val="3047"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P9P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574"/>
              <w:rPr>
                <w:sz w:val="22"/>
              </w:rPr>
            </w:pPr>
            <w:r>
              <w:rPr>
                <w:sz w:val="22"/>
              </w:rPr>
              <w:t>Gobernanza política</w:t>
            </w:r>
          </w:p>
        </w:tc>
        <w:tc>
          <w:tcPr>
            <w:tcW w:w="3259" w:type="dxa"/>
          </w:tcPr>
          <w:p>
            <w:pPr>
              <w:pStyle w:val="TableParagraph"/>
              <w:tabs>
                <w:tab w:pos="1828" w:val="left" w:leader="none"/>
              </w:tabs>
              <w:ind w:right="97"/>
              <w:jc w:val="both"/>
              <w:rPr>
                <w:sz w:val="22"/>
              </w:rPr>
            </w:pPr>
            <w:r>
              <w:rPr>
                <w:sz w:val="22"/>
              </w:rPr>
              <w:t>Son las estructuras históricas de los actores de la CHPH que demandan una renovación del espacio político y de los fundamentos democráticos de la región para solucionar sus problemas</w:t>
              <w:tab/>
            </w:r>
            <w:r>
              <w:rPr>
                <w:spacing w:val="-1"/>
                <w:sz w:val="22"/>
              </w:rPr>
              <w:t>sociopolíticos </w:t>
            </w:r>
            <w:r>
              <w:rPr>
                <w:sz w:val="22"/>
              </w:rPr>
              <w:t>comunes     (Warman,    </w:t>
            </w:r>
            <w:r>
              <w:rPr>
                <w:spacing w:val="22"/>
                <w:sz w:val="22"/>
              </w:rPr>
              <w:t> </w:t>
            </w:r>
            <w:r>
              <w:rPr>
                <w:sz w:val="22"/>
              </w:rPr>
              <w:t>1982,</w:t>
            </w:r>
          </w:p>
          <w:p>
            <w:pPr>
              <w:pStyle w:val="TableParagraph"/>
              <w:spacing w:line="252" w:lineRule="exact"/>
              <w:jc w:val="both"/>
              <w:rPr>
                <w:sz w:val="22"/>
              </w:rPr>
            </w:pPr>
            <w:r>
              <w:rPr>
                <w:sz w:val="22"/>
              </w:rPr>
              <w:t>Centelles,  2006;  Prats,  2006;</w:t>
            </w:r>
          </w:p>
          <w:p>
            <w:pPr>
              <w:pStyle w:val="TableParagraph"/>
              <w:spacing w:line="252" w:lineRule="exact" w:before="1"/>
              <w:jc w:val="both"/>
              <w:rPr>
                <w:sz w:val="22"/>
              </w:rPr>
            </w:pPr>
            <w:r>
              <w:rPr>
                <w:sz w:val="22"/>
              </w:rPr>
              <w:t>Palerm,  1993;  Moreau,  2003;</w:t>
            </w:r>
          </w:p>
          <w:p>
            <w:pPr>
              <w:pStyle w:val="TableParagraph"/>
              <w:spacing w:line="242" w:lineRule="auto"/>
              <w:ind w:right="99"/>
              <w:jc w:val="both"/>
              <w:rPr>
                <w:sz w:val="22"/>
              </w:rPr>
            </w:pPr>
            <w:r>
              <w:rPr>
                <w:sz w:val="22"/>
              </w:rPr>
              <w:t>CapNET, 2000; WETNet, 2012 y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230" w:right="230" w:hanging="1"/>
              <w:jc w:val="center"/>
              <w:rPr>
                <w:b/>
                <w:sz w:val="22"/>
              </w:rPr>
            </w:pPr>
            <w:r>
              <w:rPr>
                <w:b/>
                <w:sz w:val="22"/>
              </w:rPr>
              <w:t>Estructuras sociopolíticas históricas de los actores de la CHPH</w:t>
            </w:r>
          </w:p>
          <w:p>
            <w:pPr>
              <w:pStyle w:val="TableParagraph"/>
              <w:spacing w:line="252" w:lineRule="exact"/>
              <w:ind w:left="143" w:right="144"/>
              <w:jc w:val="center"/>
              <w:rPr>
                <w:b/>
                <w:sz w:val="22"/>
              </w:rPr>
            </w:pPr>
            <w:r>
              <w:rPr>
                <w:b/>
                <w:sz w:val="22"/>
              </w:rPr>
              <w:t>(adimensional)</w:t>
            </w:r>
          </w:p>
        </w:tc>
        <w:tc>
          <w:tcPr>
            <w:tcW w:w="2835" w:type="dxa"/>
          </w:tcPr>
          <w:p>
            <w:pPr>
              <w:pStyle w:val="TableParagraph"/>
              <w:spacing w:before="10"/>
              <w:ind w:left="0"/>
              <w:rPr>
                <w:rFonts w:ascii="Times New Roman"/>
                <w:sz w:val="21"/>
              </w:rPr>
            </w:pPr>
          </w:p>
          <w:p>
            <w:pPr>
              <w:pStyle w:val="TableParagraph"/>
              <w:tabs>
                <w:tab w:pos="1190" w:val="left" w:leader="none"/>
                <w:tab w:pos="2168" w:val="left" w:leader="none"/>
              </w:tabs>
              <w:spacing w:before="1"/>
              <w:ind w:left="100" w:right="102"/>
              <w:jc w:val="both"/>
              <w:rPr>
                <w:sz w:val="22"/>
              </w:rPr>
            </w:pPr>
            <w:r>
              <w:rPr>
                <w:sz w:val="22"/>
              </w:rPr>
              <w:t>Son</w:t>
              <w:tab/>
              <w:t>las</w:t>
              <w:tab/>
              <w:t>redes sociopolíticas formales e informales que se han conformado a través de la historia entre los actores de la CHPH para solucionar la problemática común.</w:t>
            </w:r>
          </w:p>
          <w:p>
            <w:pPr>
              <w:pStyle w:val="TableParagraph"/>
              <w:tabs>
                <w:tab w:pos="1914" w:val="left" w:leader="none"/>
              </w:tabs>
              <w:spacing w:before="1"/>
              <w:ind w:left="100" w:right="102"/>
              <w:jc w:val="both"/>
              <w:rPr>
                <w:sz w:val="22"/>
              </w:rPr>
            </w:pPr>
            <w:r>
              <w:rPr>
                <w:sz w:val="22"/>
              </w:rPr>
              <w:t>(Ejemplos:</w:t>
              <w:tab/>
            </w:r>
            <w:r>
              <w:rPr>
                <w:spacing w:val="-1"/>
                <w:sz w:val="22"/>
              </w:rPr>
              <w:t>Comités </w:t>
            </w:r>
            <w:r>
              <w:rPr>
                <w:sz w:val="22"/>
              </w:rPr>
              <w:t>ciudadanos y El</w:t>
            </w:r>
            <w:r>
              <w:rPr>
                <w:spacing w:val="-3"/>
                <w:sz w:val="22"/>
              </w:rPr>
              <w:t> </w:t>
            </w:r>
            <w:r>
              <w:rPr>
                <w:sz w:val="22"/>
              </w:rPr>
              <w:t>Ejido).</w:t>
            </w:r>
          </w:p>
        </w:tc>
      </w:tr>
      <w:tr>
        <w:trPr>
          <w:trHeight w:val="1274" w:hRule="exact"/>
        </w:trPr>
        <w:tc>
          <w:tcPr>
            <w:tcW w:w="852" w:type="dxa"/>
            <w:shd w:val="clear" w:color="auto" w:fill="4AACC5"/>
          </w:tcPr>
          <w:p>
            <w:pPr/>
          </w:p>
        </w:tc>
        <w:tc>
          <w:tcPr>
            <w:tcW w:w="730" w:type="dxa"/>
            <w:shd w:val="clear" w:color="auto" w:fill="4AACC5"/>
          </w:tcPr>
          <w:p>
            <w:pPr>
              <w:pStyle w:val="TableParagraph"/>
              <w:spacing w:before="6"/>
              <w:ind w:left="0"/>
              <w:rPr>
                <w:rFonts w:ascii="Times New Roman"/>
                <w:sz w:val="32"/>
              </w:rPr>
            </w:pPr>
          </w:p>
          <w:p>
            <w:pPr>
              <w:pStyle w:val="TableParagraph"/>
              <w:ind w:left="0" w:right="285"/>
              <w:jc w:val="right"/>
              <w:rPr>
                <w:b/>
                <w:sz w:val="22"/>
              </w:rPr>
            </w:pPr>
            <w:r>
              <w:rPr>
                <w:b/>
                <w:w w:val="100"/>
                <w:sz w:val="22"/>
              </w:rPr>
              <w:t>P</w:t>
            </w:r>
          </w:p>
        </w:tc>
        <w:tc>
          <w:tcPr>
            <w:tcW w:w="1918" w:type="dxa"/>
          </w:tcPr>
          <w:p>
            <w:pPr>
              <w:pStyle w:val="TableParagraph"/>
              <w:spacing w:before="8"/>
              <w:ind w:left="0"/>
              <w:rPr>
                <w:rFonts w:ascii="Times New Roman"/>
                <w:sz w:val="32"/>
              </w:rPr>
            </w:pPr>
          </w:p>
          <w:p>
            <w:pPr>
              <w:pStyle w:val="TableParagraph"/>
              <w:spacing w:before="1"/>
              <w:ind w:right="293"/>
              <w:rPr>
                <w:sz w:val="22"/>
              </w:rPr>
            </w:pPr>
            <w:r>
              <w:rPr>
                <w:sz w:val="22"/>
              </w:rPr>
              <w:t>Gobernabilidad política</w:t>
            </w:r>
          </w:p>
        </w:tc>
        <w:tc>
          <w:tcPr>
            <w:tcW w:w="3259" w:type="dxa"/>
          </w:tcPr>
          <w:p>
            <w:pPr>
              <w:pStyle w:val="TableParagraph"/>
              <w:ind w:right="99"/>
              <w:jc w:val="both"/>
              <w:rPr>
                <w:sz w:val="22"/>
              </w:rPr>
            </w:pPr>
            <w:r>
              <w:rPr>
                <w:sz w:val="22"/>
              </w:rPr>
              <w:t>Reconocimiento público de la necesidad de generar leyes que reconozcan los derechos consuetudinarios  de  los grupos   de   actores históricos</w:t>
            </w:r>
          </w:p>
        </w:tc>
        <w:tc>
          <w:tcPr>
            <w:tcW w:w="2211" w:type="dxa"/>
          </w:tcPr>
          <w:p>
            <w:pPr>
              <w:pStyle w:val="TableParagraph"/>
              <w:spacing w:before="122"/>
              <w:ind w:left="151" w:right="149" w:hanging="2"/>
              <w:jc w:val="center"/>
              <w:rPr>
                <w:b/>
                <w:sz w:val="22"/>
              </w:rPr>
            </w:pPr>
            <w:r>
              <w:rPr>
                <w:b/>
                <w:sz w:val="22"/>
              </w:rPr>
              <w:t># de acuerdos formales de los actores históricos de la CHPH</w:t>
            </w:r>
          </w:p>
        </w:tc>
        <w:tc>
          <w:tcPr>
            <w:tcW w:w="2835"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left="100" w:right="100"/>
              <w:jc w:val="both"/>
              <w:rPr>
                <w:sz w:val="22"/>
              </w:rPr>
            </w:pPr>
            <w:r>
              <w:rPr>
                <w:sz w:val="22"/>
              </w:rPr>
              <w:t>Cantidad de convenios formales entre los actores históricos    de   la   CHPH</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2792"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P10P</w:t>
            </w:r>
          </w:p>
        </w:tc>
        <w:tc>
          <w:tcPr>
            <w:tcW w:w="730" w:type="dxa"/>
            <w:shd w:val="clear" w:color="auto" w:fill="4AACC5"/>
          </w:tcPr>
          <w:p>
            <w:pPr/>
          </w:p>
        </w:tc>
        <w:tc>
          <w:tcPr>
            <w:tcW w:w="1918" w:type="dxa"/>
          </w:tcPr>
          <w:p>
            <w:pPr/>
          </w:p>
        </w:tc>
        <w:tc>
          <w:tcPr>
            <w:tcW w:w="3259" w:type="dxa"/>
          </w:tcPr>
          <w:p>
            <w:pPr>
              <w:pStyle w:val="TableParagraph"/>
              <w:ind w:right="98"/>
              <w:jc w:val="both"/>
              <w:rPr>
                <w:sz w:val="22"/>
              </w:rPr>
            </w:pPr>
            <w:r>
              <w:rPr>
                <w:sz w:val="22"/>
              </w:rPr>
              <w:t>de la CHPH para un uso eficiente y equitativo de los recursos naturales a través de una legislación principal y secundaria. Esta última, emanada de los acuerdos entre dichos actores para regular sus acciones sociopolíticas en la Cuenca (Cfr. Integridad del Agua, 2009 y García, TC:</w:t>
            </w:r>
            <w:r>
              <w:rPr>
                <w:spacing w:val="-8"/>
                <w:sz w:val="22"/>
              </w:rPr>
              <w:t> </w:t>
            </w:r>
            <w:r>
              <w:rPr>
                <w:sz w:val="22"/>
              </w:rPr>
              <w:t>2013-2015).</w:t>
            </w:r>
          </w:p>
        </w:tc>
        <w:tc>
          <w:tcPr>
            <w:tcW w:w="2211" w:type="dxa"/>
          </w:tcPr>
          <w:p>
            <w:pPr/>
          </w:p>
        </w:tc>
        <w:tc>
          <w:tcPr>
            <w:tcW w:w="2835" w:type="dxa"/>
          </w:tcPr>
          <w:p>
            <w:pPr>
              <w:pStyle w:val="TableParagraph"/>
              <w:ind w:left="100" w:right="101"/>
              <w:jc w:val="both"/>
              <w:rPr>
                <w:sz w:val="22"/>
              </w:rPr>
            </w:pPr>
            <w:r>
              <w:rPr>
                <w:sz w:val="22"/>
              </w:rPr>
              <w:t>para solucionar su problemática sociopolítica común.</w:t>
            </w:r>
          </w:p>
          <w:p>
            <w:pPr>
              <w:pStyle w:val="TableParagraph"/>
              <w:ind w:left="100" w:right="102"/>
              <w:jc w:val="both"/>
              <w:rPr>
                <w:sz w:val="22"/>
              </w:rPr>
            </w:pPr>
            <w:r>
              <w:rPr>
                <w:sz w:val="22"/>
              </w:rPr>
              <w:t>(Ejemplo: aún no existen acuerdos formales entre los actores históricos de la CHPH para solucionar su problemática sociopolítica de la Cuenca).</w:t>
            </w:r>
          </w:p>
        </w:tc>
      </w:tr>
      <w:tr>
        <w:trPr>
          <w:trHeight w:val="3300"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P11P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spacing w:before="1"/>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623"/>
              <w:rPr>
                <w:sz w:val="22"/>
              </w:rPr>
            </w:pPr>
            <w:r>
              <w:rPr>
                <w:sz w:val="22"/>
              </w:rPr>
              <w:t>Autogestión política</w:t>
            </w:r>
          </w:p>
        </w:tc>
        <w:tc>
          <w:tcPr>
            <w:tcW w:w="3259" w:type="dxa"/>
          </w:tcPr>
          <w:p>
            <w:pPr>
              <w:pStyle w:val="TableParagraph"/>
              <w:tabs>
                <w:tab w:pos="1473" w:val="left" w:leader="none"/>
              </w:tabs>
              <w:spacing w:before="125"/>
              <w:ind w:right="98"/>
              <w:jc w:val="both"/>
              <w:rPr>
                <w:sz w:val="22"/>
              </w:rPr>
            </w:pPr>
            <w:r>
              <w:rPr>
                <w:sz w:val="22"/>
              </w:rPr>
              <w:t>Es la manifestación pública de los actores históricos de la CHPH de dirigir y orientar sus recursos mediante un sistema de</w:t>
              <w:tab/>
            </w:r>
            <w:r>
              <w:rPr>
                <w:spacing w:val="-1"/>
                <w:sz w:val="22"/>
              </w:rPr>
              <w:t>autoorganización </w:t>
            </w:r>
            <w:r>
              <w:rPr>
                <w:sz w:val="22"/>
              </w:rPr>
              <w:t>sociopolítica, en el que la administración de los recursos corresponda directamente a los actores para tener una distribución más  equitativa (Cfr. Méndez y Vallota, 2006 y García, TC:</w:t>
            </w:r>
            <w:r>
              <w:rPr>
                <w:spacing w:val="-6"/>
                <w:sz w:val="22"/>
              </w:rPr>
              <w:t> </w:t>
            </w:r>
            <w:r>
              <w:rPr>
                <w:sz w:val="22"/>
              </w:rPr>
              <w:t>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142" w:right="144"/>
              <w:jc w:val="center"/>
              <w:rPr>
                <w:b/>
                <w:sz w:val="22"/>
              </w:rPr>
            </w:pPr>
            <w:r>
              <w:rPr>
                <w:b/>
                <w:sz w:val="22"/>
              </w:rPr>
              <w:t>Autoorganización de los actores de la CHPH (adimensional)</w:t>
            </w:r>
          </w:p>
        </w:tc>
        <w:tc>
          <w:tcPr>
            <w:tcW w:w="2835" w:type="dxa"/>
          </w:tcPr>
          <w:p>
            <w:pPr>
              <w:pStyle w:val="TableParagraph"/>
              <w:ind w:left="100" w:right="100"/>
              <w:jc w:val="both"/>
              <w:rPr>
                <w:sz w:val="22"/>
              </w:rPr>
            </w:pPr>
            <w:r>
              <w:rPr>
                <w:sz w:val="22"/>
              </w:rPr>
              <w:t>Son las organizaciones formales e informales de los actores de la CHPH para cuidar, defender y administrar sus recursos naturales de  dicha cuenca.</w:t>
            </w:r>
          </w:p>
          <w:p>
            <w:pPr>
              <w:pStyle w:val="TableParagraph"/>
              <w:ind w:left="100" w:right="101"/>
              <w:jc w:val="both"/>
              <w:rPr>
                <w:sz w:val="22"/>
              </w:rPr>
            </w:pPr>
            <w:r>
              <w:rPr>
                <w:sz w:val="22"/>
              </w:rPr>
              <w:t>(Ejemplo: coordinación entre los actores pescadores de los cinco municipios de la CHPH para sembrar peces en la presa Huapango).</w:t>
            </w:r>
          </w:p>
        </w:tc>
      </w:tr>
      <w:tr>
        <w:trPr>
          <w:trHeight w:val="2033"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4"/>
              <w:jc w:val="center"/>
              <w:rPr>
                <w:b/>
                <w:sz w:val="22"/>
              </w:rPr>
            </w:pPr>
            <w:r>
              <w:rPr>
                <w:b/>
                <w:sz w:val="22"/>
              </w:rPr>
              <w:t>E1P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501"/>
              <w:rPr>
                <w:sz w:val="22"/>
              </w:rPr>
            </w:pPr>
            <w:r>
              <w:rPr>
                <w:sz w:val="22"/>
              </w:rPr>
              <w:t>Estructuras consolidadas</w:t>
            </w:r>
          </w:p>
        </w:tc>
        <w:tc>
          <w:tcPr>
            <w:tcW w:w="3259" w:type="dxa"/>
          </w:tcPr>
          <w:p>
            <w:pPr>
              <w:pStyle w:val="TableParagraph"/>
              <w:tabs>
                <w:tab w:pos="2255" w:val="left" w:leader="none"/>
              </w:tabs>
              <w:ind w:right="97"/>
              <w:jc w:val="both"/>
              <w:rPr>
                <w:sz w:val="22"/>
              </w:rPr>
            </w:pPr>
            <w:r>
              <w:rPr>
                <w:sz w:val="22"/>
              </w:rPr>
              <w:t>Instituciones</w:t>
              <w:tab/>
            </w:r>
            <w:r>
              <w:rPr>
                <w:spacing w:val="-1"/>
                <w:sz w:val="22"/>
              </w:rPr>
              <w:t>comunes </w:t>
            </w:r>
            <w:r>
              <w:rPr>
                <w:sz w:val="22"/>
              </w:rPr>
              <w:t>históricas de los actores sociopolíticos de los  municipios que integran la CHPH que los caracteriza como una región para la organización política (García, TC:</w:t>
            </w:r>
            <w:r>
              <w:rPr>
                <w:spacing w:val="-4"/>
                <w:sz w:val="22"/>
              </w:rPr>
              <w:t> </w:t>
            </w:r>
            <w:r>
              <w:rPr>
                <w:sz w:val="22"/>
              </w:rPr>
              <w:t>2013-2015).</w:t>
            </w:r>
          </w:p>
        </w:tc>
        <w:tc>
          <w:tcPr>
            <w:tcW w:w="2211" w:type="dxa"/>
          </w:tcPr>
          <w:p>
            <w:pPr>
              <w:pStyle w:val="TableParagraph"/>
              <w:spacing w:before="6"/>
              <w:ind w:left="0"/>
              <w:rPr>
                <w:rFonts w:ascii="Times New Roman"/>
                <w:sz w:val="32"/>
              </w:rPr>
            </w:pPr>
          </w:p>
          <w:p>
            <w:pPr>
              <w:pStyle w:val="TableParagraph"/>
              <w:ind w:left="266" w:right="266" w:firstLine="1"/>
              <w:jc w:val="center"/>
              <w:rPr>
                <w:b/>
                <w:sz w:val="22"/>
              </w:rPr>
            </w:pPr>
            <w:r>
              <w:rPr>
                <w:b/>
                <w:sz w:val="22"/>
              </w:rPr>
              <w:t># Instituciones históricas comunes de los actores de la CHPH</w:t>
            </w:r>
          </w:p>
        </w:tc>
        <w:tc>
          <w:tcPr>
            <w:tcW w:w="2835" w:type="dxa"/>
          </w:tcPr>
          <w:p>
            <w:pPr>
              <w:pStyle w:val="TableParagraph"/>
              <w:tabs>
                <w:tab w:pos="861" w:val="left" w:leader="none"/>
                <w:tab w:pos="1511" w:val="left" w:leader="none"/>
              </w:tabs>
              <w:ind w:left="100" w:right="102"/>
              <w:rPr>
                <w:sz w:val="22"/>
              </w:rPr>
            </w:pPr>
            <w:r>
              <w:rPr>
                <w:sz w:val="22"/>
              </w:rPr>
              <w:t>Son</w:t>
              <w:tab/>
              <w:t>las</w:t>
              <w:tab/>
            </w:r>
            <w:r>
              <w:rPr>
                <w:spacing w:val="-1"/>
                <w:sz w:val="22"/>
              </w:rPr>
              <w:t>instituciones </w:t>
            </w:r>
            <w:r>
              <w:rPr>
                <w:sz w:val="22"/>
              </w:rPr>
              <w:t>históricas comunes de los actores de la CHPH que los ha consolidado en una región sociopolítica. (Ejemplo: el Ejido y el Municipio).</w:t>
            </w:r>
          </w:p>
        </w:tc>
      </w:tr>
      <w:tr>
        <w:trPr>
          <w:trHeight w:val="516" w:hRule="exact"/>
        </w:trPr>
        <w:tc>
          <w:tcPr>
            <w:tcW w:w="852" w:type="dxa"/>
            <w:shd w:val="clear" w:color="auto" w:fill="4AACC5"/>
          </w:tcPr>
          <w:p>
            <w:pPr/>
          </w:p>
        </w:tc>
        <w:tc>
          <w:tcPr>
            <w:tcW w:w="730" w:type="dxa"/>
            <w:shd w:val="clear" w:color="auto" w:fill="4AACC5"/>
          </w:tcPr>
          <w:p>
            <w:pPr/>
          </w:p>
        </w:tc>
        <w:tc>
          <w:tcPr>
            <w:tcW w:w="1918" w:type="dxa"/>
          </w:tcPr>
          <w:p>
            <w:pPr>
              <w:pStyle w:val="TableParagraph"/>
              <w:spacing w:line="242" w:lineRule="auto"/>
              <w:ind w:right="208"/>
              <w:rPr>
                <w:sz w:val="22"/>
              </w:rPr>
            </w:pPr>
            <w:r>
              <w:rPr>
                <w:sz w:val="22"/>
              </w:rPr>
              <w:t>Desequilibrio de poder</w:t>
            </w:r>
          </w:p>
        </w:tc>
        <w:tc>
          <w:tcPr>
            <w:tcW w:w="3259" w:type="dxa"/>
          </w:tcPr>
          <w:p>
            <w:pPr>
              <w:pStyle w:val="TableParagraph"/>
              <w:spacing w:line="242" w:lineRule="auto"/>
              <w:ind w:right="93"/>
              <w:rPr>
                <w:sz w:val="22"/>
              </w:rPr>
            </w:pPr>
            <w:r>
              <w:rPr>
                <w:sz w:val="22"/>
              </w:rPr>
              <w:t>El poder político de los actores de la CHPH está distribuido de</w:t>
            </w:r>
          </w:p>
        </w:tc>
        <w:tc>
          <w:tcPr>
            <w:tcW w:w="2211" w:type="dxa"/>
          </w:tcPr>
          <w:p>
            <w:pPr>
              <w:pStyle w:val="TableParagraph"/>
              <w:spacing w:line="242" w:lineRule="auto"/>
              <w:ind w:left="120" w:right="104" w:firstLine="57"/>
              <w:rPr>
                <w:b/>
                <w:sz w:val="22"/>
              </w:rPr>
            </w:pPr>
            <w:r>
              <w:rPr>
                <w:b/>
                <w:sz w:val="22"/>
              </w:rPr>
              <w:t># de municipios y actores con mayor</w:t>
            </w:r>
          </w:p>
        </w:tc>
        <w:tc>
          <w:tcPr>
            <w:tcW w:w="2835" w:type="dxa"/>
          </w:tcPr>
          <w:p>
            <w:pPr/>
          </w:p>
        </w:tc>
      </w:tr>
    </w:tbl>
    <w:p>
      <w:pPr>
        <w:spacing w:after="0"/>
        <w:sectPr>
          <w:footerReference w:type="default" r:id="rId254"/>
          <w:pgSz w:w="15840" w:h="12240" w:orient="landscape"/>
          <w:pgMar w:footer="943" w:header="0" w:top="1140" w:bottom="1140" w:left="2020" w:right="1300"/>
          <w:pgNumType w:start="5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3046"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E2P</w:t>
            </w:r>
          </w:p>
        </w:tc>
        <w:tc>
          <w:tcPr>
            <w:tcW w:w="730" w:type="dxa"/>
            <w:shd w:val="clear" w:color="auto" w:fill="4AACC5"/>
          </w:tcPr>
          <w:p>
            <w:pPr>
              <w:pStyle w:val="TableParagraph"/>
              <w:spacing w:line="248" w:lineRule="exact"/>
              <w:ind w:left="0" w:right="285"/>
              <w:jc w:val="right"/>
              <w:rPr>
                <w:b/>
                <w:sz w:val="22"/>
              </w:rPr>
            </w:pPr>
            <w:r>
              <w:rPr>
                <w:b/>
                <w:w w:val="100"/>
                <w:sz w:val="22"/>
              </w:rPr>
              <w:t>E</w:t>
            </w:r>
          </w:p>
        </w:tc>
        <w:tc>
          <w:tcPr>
            <w:tcW w:w="1918" w:type="dxa"/>
          </w:tcPr>
          <w:p>
            <w:pPr/>
          </w:p>
        </w:tc>
        <w:tc>
          <w:tcPr>
            <w:tcW w:w="3259" w:type="dxa"/>
          </w:tcPr>
          <w:p>
            <w:pPr>
              <w:pStyle w:val="TableParagraph"/>
              <w:tabs>
                <w:tab w:pos="2341" w:val="left" w:leader="none"/>
              </w:tabs>
              <w:ind w:right="97"/>
              <w:jc w:val="both"/>
              <w:rPr>
                <w:sz w:val="22"/>
              </w:rPr>
            </w:pPr>
            <w:r>
              <w:rPr>
                <w:sz w:val="22"/>
              </w:rPr>
              <w:t>forma inequitativa, ya que existe una plutocracia en la región, donde los municipios con mayor desarrollo económico son los que toman decisiones políticas entorno al manejo de los recursos de la CHPH para incrementar y mantener su poder político generando</w:t>
              <w:tab/>
            </w:r>
            <w:r>
              <w:rPr>
                <w:spacing w:val="-1"/>
                <w:sz w:val="22"/>
              </w:rPr>
              <w:t>conflicto </w:t>
            </w:r>
            <w:r>
              <w:rPr>
                <w:sz w:val="22"/>
              </w:rPr>
              <w:t>sociopolítico (García, TC: 2013-2015).</w:t>
            </w:r>
          </w:p>
        </w:tc>
        <w:tc>
          <w:tcPr>
            <w:tcW w:w="2211" w:type="dxa"/>
          </w:tcPr>
          <w:p>
            <w:pPr>
              <w:pStyle w:val="TableParagraph"/>
              <w:ind w:left="144" w:right="144"/>
              <w:jc w:val="center"/>
              <w:rPr>
                <w:b/>
                <w:sz w:val="22"/>
              </w:rPr>
            </w:pPr>
            <w:r>
              <w:rPr>
                <w:b/>
                <w:sz w:val="22"/>
              </w:rPr>
              <w:t>desarrollo económico y poder políticos en la CHPH</w:t>
            </w:r>
          </w:p>
        </w:tc>
        <w:tc>
          <w:tcPr>
            <w:tcW w:w="2835" w:type="dxa"/>
          </w:tcPr>
          <w:p>
            <w:pPr>
              <w:pStyle w:val="TableParagraph"/>
              <w:spacing w:before="8"/>
              <w:ind w:left="0"/>
              <w:rPr>
                <w:rFonts w:ascii="Times New Roman"/>
                <w:sz w:val="21"/>
              </w:rPr>
            </w:pPr>
          </w:p>
          <w:p>
            <w:pPr>
              <w:pStyle w:val="TableParagraph"/>
              <w:tabs>
                <w:tab w:pos="916" w:val="left" w:leader="none"/>
                <w:tab w:pos="1064" w:val="left" w:leader="none"/>
                <w:tab w:pos="1614" w:val="left" w:leader="none"/>
                <w:tab w:pos="1671" w:val="left" w:leader="none"/>
                <w:tab w:pos="1839" w:val="left" w:leader="none"/>
                <w:tab w:pos="2350" w:val="left" w:leader="none"/>
                <w:tab w:pos="2440" w:val="left" w:leader="none"/>
                <w:tab w:pos="2598" w:val="left" w:leader="none"/>
              </w:tabs>
              <w:ind w:left="100" w:right="102"/>
              <w:rPr>
                <w:sz w:val="22"/>
              </w:rPr>
            </w:pPr>
            <w:r>
              <w:rPr>
                <w:sz w:val="22"/>
              </w:rPr>
              <w:t>Cantidad de municipios y actores de la CHPH con mayor</w:t>
              <w:tab/>
              <w:t>riqueza</w:t>
              <w:tab/>
              <w:tab/>
              <w:t>y</w:t>
              <w:tab/>
              <w:t>que gozan</w:t>
              <w:tab/>
              <w:tab/>
              <w:t>de</w:t>
              <w:tab/>
              <w:tab/>
              <w:t>poder</w:t>
              <w:tab/>
              <w:tab/>
              <w:tab/>
              <w:t>e influencias</w:t>
              <w:tab/>
              <w:t>con</w:t>
              <w:tab/>
              <w:tab/>
              <w:t>las instancias gubernamentales a causa de su</w:t>
            </w:r>
            <w:r>
              <w:rPr>
                <w:spacing w:val="-3"/>
                <w:sz w:val="22"/>
              </w:rPr>
              <w:t> </w:t>
            </w:r>
            <w:r>
              <w:rPr>
                <w:sz w:val="22"/>
              </w:rPr>
              <w:t>riqueza.</w:t>
            </w:r>
          </w:p>
          <w:p>
            <w:pPr>
              <w:pStyle w:val="TableParagraph"/>
              <w:spacing w:before="1"/>
              <w:ind w:left="100" w:right="101"/>
              <w:jc w:val="both"/>
              <w:rPr>
                <w:sz w:val="22"/>
              </w:rPr>
            </w:pPr>
            <w:r>
              <w:rPr>
                <w:sz w:val="22"/>
              </w:rPr>
              <w:t>(Ejemplos: Polotitlán y asociaciones de industrias lácteas de Aculco).</w:t>
            </w:r>
          </w:p>
        </w:tc>
      </w:tr>
      <w:tr>
        <w:trPr>
          <w:trHeight w:val="2792"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E3P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635"/>
              <w:rPr>
                <w:sz w:val="22"/>
              </w:rPr>
            </w:pPr>
            <w:r>
              <w:rPr>
                <w:sz w:val="22"/>
              </w:rPr>
              <w:t>Sentido de pertenencia</w:t>
            </w:r>
          </w:p>
        </w:tc>
        <w:tc>
          <w:tcPr>
            <w:tcW w:w="3259" w:type="dxa"/>
          </w:tcPr>
          <w:p>
            <w:pPr>
              <w:pStyle w:val="TableParagraph"/>
              <w:spacing w:before="8"/>
              <w:ind w:left="0"/>
              <w:rPr>
                <w:rFonts w:ascii="Times New Roman"/>
                <w:sz w:val="21"/>
              </w:rPr>
            </w:pPr>
          </w:p>
          <w:p>
            <w:pPr>
              <w:pStyle w:val="TableParagraph"/>
              <w:tabs>
                <w:tab w:pos="1938" w:val="left" w:leader="none"/>
                <w:tab w:pos="2243" w:val="left" w:leader="none"/>
              </w:tabs>
              <w:ind w:right="97"/>
              <w:jc w:val="both"/>
              <w:rPr>
                <w:sz w:val="22"/>
              </w:rPr>
            </w:pPr>
            <w:r>
              <w:rPr>
                <w:sz w:val="22"/>
              </w:rPr>
              <w:t>Los actores históricos de la CHPH se sienten parte de una estructura</w:t>
              <w:tab/>
            </w:r>
            <w:r>
              <w:rPr>
                <w:spacing w:val="-1"/>
                <w:sz w:val="22"/>
              </w:rPr>
              <w:t>sociopolítica </w:t>
            </w:r>
            <w:r>
              <w:rPr>
                <w:sz w:val="22"/>
              </w:rPr>
              <w:t>histórica que les permite generar</w:t>
              <w:tab/>
              <w:tab/>
            </w:r>
            <w:r>
              <w:rPr>
                <w:spacing w:val="-1"/>
                <w:sz w:val="22"/>
              </w:rPr>
              <w:t>derechos </w:t>
            </w:r>
            <w:r>
              <w:rPr>
                <w:sz w:val="22"/>
              </w:rPr>
              <w:t>consuetudinarios para acceder a los recursos de la Cuenca de una forma equitativa (García, TC:</w:t>
            </w:r>
            <w:r>
              <w:rPr>
                <w:spacing w:val="-4"/>
                <w:sz w:val="22"/>
              </w:rPr>
              <w:t> </w:t>
            </w:r>
            <w:r>
              <w:rPr>
                <w:sz w:val="22"/>
              </w:rPr>
              <w:t>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290" w:right="292" w:firstLine="2"/>
              <w:jc w:val="center"/>
              <w:rPr>
                <w:b/>
                <w:sz w:val="22"/>
              </w:rPr>
            </w:pPr>
            <w:r>
              <w:rPr>
                <w:b/>
                <w:sz w:val="22"/>
              </w:rPr>
              <w:t>Estructura sociopolítica histórica de los actores de la CHPH</w:t>
            </w:r>
          </w:p>
          <w:p>
            <w:pPr>
              <w:pStyle w:val="TableParagraph"/>
              <w:spacing w:line="252" w:lineRule="exact"/>
              <w:ind w:left="143" w:right="144"/>
              <w:jc w:val="center"/>
              <w:rPr>
                <w:b/>
                <w:sz w:val="22"/>
              </w:rPr>
            </w:pPr>
            <w:r>
              <w:rPr>
                <w:b/>
                <w:sz w:val="22"/>
              </w:rPr>
              <w:t>(adimensional)</w:t>
            </w:r>
          </w:p>
        </w:tc>
        <w:tc>
          <w:tcPr>
            <w:tcW w:w="2835" w:type="dxa"/>
          </w:tcPr>
          <w:p>
            <w:pPr>
              <w:pStyle w:val="TableParagraph"/>
              <w:tabs>
                <w:tab w:pos="1045" w:val="left" w:leader="none"/>
                <w:tab w:pos="1190" w:val="left" w:leader="none"/>
                <w:tab w:pos="1461" w:val="left" w:leader="none"/>
                <w:tab w:pos="1571" w:val="left" w:leader="none"/>
                <w:tab w:pos="1705" w:val="left" w:leader="none"/>
                <w:tab w:pos="1962" w:val="left" w:leader="none"/>
                <w:tab w:pos="2168" w:val="left" w:leader="none"/>
                <w:tab w:pos="2548" w:val="left" w:leader="none"/>
              </w:tabs>
              <w:ind w:left="100" w:right="102"/>
              <w:rPr>
                <w:sz w:val="22"/>
              </w:rPr>
            </w:pPr>
            <w:r>
              <w:rPr>
                <w:sz w:val="22"/>
              </w:rPr>
              <w:t>Son</w:t>
              <w:tab/>
              <w:tab/>
              <w:t>las</w:t>
              <w:tab/>
              <w:tab/>
              <w:tab/>
              <w:tab/>
              <w:t>redes sociopolíticas</w:t>
              <w:tab/>
              <w:tab/>
              <w:tab/>
            </w:r>
            <w:r>
              <w:rPr>
                <w:spacing w:val="-1"/>
                <w:sz w:val="22"/>
              </w:rPr>
              <w:t>informales </w:t>
            </w:r>
            <w:r>
              <w:rPr>
                <w:sz w:val="22"/>
              </w:rPr>
              <w:t>que se han conformado a través de la historia entre los actores de la CHPH para</w:t>
              <w:tab/>
              <w:t>solucionar</w:t>
              <w:tab/>
              <w:tab/>
              <w:t>la problemática común. (Ejemplo:</w:t>
              <w:tab/>
              <w:tab/>
              <w:tab/>
              <w:tab/>
            </w:r>
            <w:r>
              <w:rPr>
                <w:spacing w:val="-1"/>
                <w:sz w:val="22"/>
              </w:rPr>
              <w:t>parentesco, </w:t>
            </w:r>
            <w:r>
              <w:rPr>
                <w:sz w:val="22"/>
              </w:rPr>
              <w:t>mercados</w:t>
              <w:tab/>
              <w:tab/>
              <w:t>y</w:t>
              <w:tab/>
              <w:tab/>
              <w:tab/>
            </w:r>
            <w:r>
              <w:rPr>
                <w:spacing w:val="-1"/>
                <w:sz w:val="22"/>
              </w:rPr>
              <w:t>tianguis </w:t>
            </w:r>
            <w:r>
              <w:rPr>
                <w:sz w:val="22"/>
              </w:rPr>
              <w:t>regionales).</w:t>
            </w:r>
          </w:p>
        </w:tc>
      </w:tr>
      <w:tr>
        <w:trPr>
          <w:trHeight w:val="2794"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25" w:right="124"/>
              <w:jc w:val="center"/>
              <w:rPr>
                <w:b/>
                <w:sz w:val="22"/>
              </w:rPr>
            </w:pPr>
            <w:r>
              <w:rPr>
                <w:b/>
                <w:sz w:val="22"/>
              </w:rPr>
              <w:t>E4P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526"/>
              <w:rPr>
                <w:sz w:val="22"/>
              </w:rPr>
            </w:pPr>
            <w:r>
              <w:rPr>
                <w:sz w:val="22"/>
              </w:rPr>
              <w:t>Participación política_2</w:t>
            </w:r>
          </w:p>
        </w:tc>
        <w:tc>
          <w:tcPr>
            <w:tcW w:w="3259" w:type="dxa"/>
          </w:tcPr>
          <w:p>
            <w:pPr>
              <w:pStyle w:val="TableParagraph"/>
              <w:spacing w:before="10"/>
              <w:ind w:left="0"/>
              <w:rPr>
                <w:rFonts w:ascii="Times New Roman"/>
                <w:sz w:val="21"/>
              </w:rPr>
            </w:pPr>
          </w:p>
          <w:p>
            <w:pPr>
              <w:pStyle w:val="TableParagraph"/>
              <w:ind w:right="96"/>
              <w:jc w:val="both"/>
              <w:rPr>
                <w:sz w:val="22"/>
              </w:rPr>
            </w:pPr>
            <w:r>
              <w:rPr>
                <w:sz w:val="22"/>
              </w:rPr>
              <w:t>Los actores históricos de la CHPH tienen amplio interés en participar en las decisiones colectivas de la Cuenca para atender sus problemas sociopolíticos y acceder a un reparto equilibrado de los recursos (García, TC: 2013- 2015).</w:t>
            </w:r>
          </w:p>
        </w:tc>
        <w:tc>
          <w:tcPr>
            <w:tcW w:w="2211" w:type="dxa"/>
          </w:tcPr>
          <w:p>
            <w:pPr>
              <w:pStyle w:val="TableParagraph"/>
              <w:spacing w:before="8"/>
              <w:ind w:left="0"/>
              <w:rPr>
                <w:rFonts w:ascii="Times New Roman"/>
                <w:sz w:val="32"/>
              </w:rPr>
            </w:pPr>
          </w:p>
          <w:p>
            <w:pPr>
              <w:pStyle w:val="TableParagraph"/>
              <w:spacing w:before="1"/>
              <w:ind w:left="235" w:right="238" w:firstLine="2"/>
              <w:jc w:val="center"/>
              <w:rPr>
                <w:b/>
                <w:sz w:val="22"/>
              </w:rPr>
            </w:pPr>
            <w:r>
              <w:rPr>
                <w:b/>
                <w:sz w:val="22"/>
              </w:rPr>
              <w:t>Interés sociopolítico de los actores de la CHPH para participar en decisiones colectivas (adimensional)</w:t>
            </w:r>
          </w:p>
        </w:tc>
        <w:tc>
          <w:tcPr>
            <w:tcW w:w="2835" w:type="dxa"/>
          </w:tcPr>
          <w:p>
            <w:pPr>
              <w:pStyle w:val="TableParagraph"/>
              <w:ind w:left="100" w:right="102"/>
              <w:jc w:val="both"/>
              <w:rPr>
                <w:sz w:val="22"/>
              </w:rPr>
            </w:pPr>
            <w:r>
              <w:rPr>
                <w:sz w:val="22"/>
              </w:rPr>
              <w:t>Interés de colaboración de los actores de la CHPH para participar en decisiones sociopolíticas colectivas.</w:t>
            </w:r>
          </w:p>
          <w:p>
            <w:pPr>
              <w:pStyle w:val="TableParagraph"/>
              <w:tabs>
                <w:tab w:pos="2281" w:val="left" w:leader="none"/>
              </w:tabs>
              <w:spacing w:before="2"/>
              <w:ind w:left="100" w:right="102"/>
              <w:jc w:val="both"/>
              <w:rPr>
                <w:sz w:val="22"/>
              </w:rPr>
            </w:pPr>
            <w:r>
              <w:rPr>
                <w:sz w:val="22"/>
              </w:rPr>
              <w:t>(Ejemplo: la intensión de conformar un Comité intermunicipal</w:t>
              <w:tab/>
            </w:r>
            <w:r>
              <w:rPr>
                <w:spacing w:val="-1"/>
                <w:sz w:val="22"/>
              </w:rPr>
              <w:t>para </w:t>
            </w:r>
            <w:r>
              <w:rPr>
                <w:sz w:val="22"/>
              </w:rPr>
              <w:t>atender los problemas sociopolíticos de la CHPH).</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2540"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E5P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spacing w:before="1"/>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574"/>
              <w:rPr>
                <w:sz w:val="22"/>
              </w:rPr>
            </w:pPr>
            <w:r>
              <w:rPr>
                <w:sz w:val="22"/>
              </w:rPr>
              <w:t>Expresiones públicas</w:t>
            </w:r>
          </w:p>
        </w:tc>
        <w:tc>
          <w:tcPr>
            <w:tcW w:w="3259" w:type="dxa"/>
          </w:tcPr>
          <w:p>
            <w:pPr>
              <w:pStyle w:val="TableParagraph"/>
              <w:spacing w:before="125"/>
              <w:ind w:right="97"/>
              <w:jc w:val="both"/>
              <w:rPr>
                <w:sz w:val="22"/>
              </w:rPr>
            </w:pPr>
            <w:r>
              <w:rPr>
                <w:sz w:val="22"/>
              </w:rPr>
              <w:t>Los actores históricos de la CHPH intentan incidir en la toma de decisiones colectivas a través de actitudes de participación colectiva, para atender su problemática sociopolítica común de la Cuenca (García, TC: 2013- 2015).</w:t>
            </w:r>
          </w:p>
        </w:tc>
        <w:tc>
          <w:tcPr>
            <w:tcW w:w="2211" w:type="dxa"/>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151" w:right="149" w:hanging="2"/>
              <w:jc w:val="center"/>
              <w:rPr>
                <w:b/>
                <w:sz w:val="22"/>
              </w:rPr>
            </w:pPr>
            <w:r>
              <w:rPr>
                <w:b/>
                <w:sz w:val="22"/>
              </w:rPr>
              <w:t>Expresiones públicas de los actores históricos de la CHPH (adimensional)</w:t>
            </w:r>
          </w:p>
        </w:tc>
        <w:tc>
          <w:tcPr>
            <w:tcW w:w="2835" w:type="dxa"/>
          </w:tcPr>
          <w:p>
            <w:pPr>
              <w:pStyle w:val="TableParagraph"/>
              <w:tabs>
                <w:tab w:pos="642" w:val="left" w:leader="none"/>
                <w:tab w:pos="1125" w:val="left" w:leader="none"/>
                <w:tab w:pos="1401" w:val="left" w:leader="none"/>
                <w:tab w:pos="1535" w:val="left" w:leader="none"/>
                <w:tab w:pos="1585" w:val="left" w:leader="none"/>
                <w:tab w:pos="1821" w:val="left" w:leader="none"/>
                <w:tab w:pos="2437" w:val="left" w:leader="none"/>
                <w:tab w:pos="2474" w:val="left" w:leader="none"/>
              </w:tabs>
              <w:ind w:left="100" w:right="101"/>
              <w:rPr>
                <w:sz w:val="22"/>
              </w:rPr>
            </w:pPr>
            <w:r>
              <w:rPr>
                <w:sz w:val="22"/>
              </w:rPr>
              <w:t>Exposiciones públicas de los actores históricos de la CHPH para participar  en la</w:t>
              <w:tab/>
              <w:t>solución</w:t>
              <w:tab/>
              <w:tab/>
              <w:tab/>
              <w:t>de</w:t>
              <w:tab/>
              <w:t>los problemas</w:t>
              <w:tab/>
            </w:r>
            <w:r>
              <w:rPr>
                <w:spacing w:val="-1"/>
                <w:sz w:val="22"/>
              </w:rPr>
              <w:t>sociopolíticos </w:t>
            </w:r>
            <w:r>
              <w:rPr>
                <w:sz w:val="22"/>
              </w:rPr>
              <w:t>colectivos de la Cuenca. (Ejemplo:</w:t>
              <w:tab/>
              <w:tab/>
              <w:tab/>
            </w:r>
            <w:r>
              <w:rPr>
                <w:spacing w:val="-1"/>
                <w:sz w:val="22"/>
              </w:rPr>
              <w:t>expresiones </w:t>
            </w:r>
            <w:r>
              <w:rPr>
                <w:sz w:val="22"/>
              </w:rPr>
              <w:t>públicas</w:t>
              <w:tab/>
              <w:t>en</w:t>
              <w:tab/>
              <w:tab/>
              <w:tab/>
              <w:t>trabajo</w:t>
              <w:tab/>
              <w:tab/>
              <w:t>de campo y en asambleas de ejidatarios).</w:t>
            </w:r>
          </w:p>
        </w:tc>
      </w:tr>
      <w:tr>
        <w:trPr>
          <w:trHeight w:val="2794"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E6P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660"/>
              <w:rPr>
                <w:sz w:val="22"/>
              </w:rPr>
            </w:pPr>
            <w:r>
              <w:rPr>
                <w:sz w:val="22"/>
              </w:rPr>
              <w:t>Vinculación limitada</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tabs>
                <w:tab w:pos="1828" w:val="left" w:leader="none"/>
              </w:tabs>
              <w:ind w:right="97"/>
              <w:jc w:val="both"/>
              <w:rPr>
                <w:sz w:val="22"/>
              </w:rPr>
            </w:pPr>
            <w:r>
              <w:rPr>
                <w:sz w:val="22"/>
              </w:rPr>
              <w:t>Escasa articulación entre los actores de los municipios de la CHPH para hacer frente a sus problemas</w:t>
              <w:tab/>
            </w:r>
            <w:r>
              <w:rPr>
                <w:spacing w:val="-1"/>
                <w:sz w:val="22"/>
              </w:rPr>
              <w:t>sociopolíticos </w:t>
            </w:r>
            <w:r>
              <w:rPr>
                <w:sz w:val="22"/>
              </w:rPr>
              <w:t>comunes (García, TC: 2013- 2015).</w:t>
            </w:r>
          </w:p>
        </w:tc>
        <w:tc>
          <w:tcPr>
            <w:tcW w:w="2211"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44" w:right="144" w:firstLine="2"/>
              <w:jc w:val="center"/>
              <w:rPr>
                <w:b/>
                <w:sz w:val="22"/>
              </w:rPr>
            </w:pPr>
            <w:r>
              <w:rPr>
                <w:b/>
                <w:sz w:val="22"/>
              </w:rPr>
              <w:t># de alianzas intermunicipales entre los actores de la CHPH para hacer frente a su problemática sociopolítica de la CHPH</w:t>
            </w:r>
          </w:p>
        </w:tc>
        <w:tc>
          <w:tcPr>
            <w:tcW w:w="2835" w:type="dxa"/>
          </w:tcPr>
          <w:p>
            <w:pPr>
              <w:pStyle w:val="TableParagraph"/>
              <w:ind w:left="100" w:right="101"/>
              <w:jc w:val="both"/>
              <w:rPr>
                <w:sz w:val="22"/>
              </w:rPr>
            </w:pPr>
            <w:r>
              <w:rPr>
                <w:sz w:val="22"/>
              </w:rPr>
              <w:t>Cantidad de acuerdos intermunicipales de los actores de la CHPH para hacer frente a los problemas sociopolíticos de la CHPH.</w:t>
            </w:r>
          </w:p>
          <w:p>
            <w:pPr>
              <w:pStyle w:val="TableParagraph"/>
              <w:spacing w:before="1"/>
              <w:ind w:left="100" w:right="102"/>
              <w:jc w:val="both"/>
              <w:rPr>
                <w:sz w:val="22"/>
              </w:rPr>
            </w:pPr>
            <w:r>
              <w:rPr>
                <w:sz w:val="22"/>
              </w:rPr>
              <w:t>(Ejemplo: aún no existen acuerdos intermunicipales entre los actores de la CHPH para hacer frente a sus problemas comunes).</w:t>
            </w:r>
          </w:p>
        </w:tc>
      </w:tr>
      <w:tr>
        <w:trPr>
          <w:trHeight w:val="2033"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E7P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489"/>
              <w:rPr>
                <w:sz w:val="22"/>
              </w:rPr>
            </w:pPr>
            <w:r>
              <w:rPr>
                <w:sz w:val="22"/>
              </w:rPr>
              <w:t>Colaboración limitada</w:t>
            </w:r>
          </w:p>
        </w:tc>
        <w:tc>
          <w:tcPr>
            <w:tcW w:w="3259" w:type="dxa"/>
          </w:tcPr>
          <w:p>
            <w:pPr>
              <w:pStyle w:val="TableParagraph"/>
              <w:tabs>
                <w:tab w:pos="2341" w:val="left" w:leader="none"/>
              </w:tabs>
              <w:ind w:right="97"/>
              <w:jc w:val="both"/>
              <w:rPr>
                <w:sz w:val="22"/>
              </w:rPr>
            </w:pPr>
            <w:r>
              <w:rPr>
                <w:sz w:val="22"/>
              </w:rPr>
              <w:t>Mecanismos</w:t>
              <w:tab/>
            </w:r>
            <w:r>
              <w:rPr>
                <w:spacing w:val="-1"/>
                <w:sz w:val="22"/>
              </w:rPr>
              <w:t>aislados </w:t>
            </w:r>
            <w:r>
              <w:rPr>
                <w:sz w:val="22"/>
              </w:rPr>
              <w:t>sociopolíticos de cooperación entre los actores de los municipios de la CHPH, que restringen las acciones de trabajo común para solucionar problemas de la Cuenca (García, TC:</w:t>
            </w:r>
            <w:r>
              <w:rPr>
                <w:spacing w:val="-7"/>
                <w:sz w:val="22"/>
              </w:rPr>
              <w:t> </w:t>
            </w:r>
            <w:r>
              <w:rPr>
                <w:sz w:val="22"/>
              </w:rPr>
              <w:t>2013-2015).</w:t>
            </w:r>
          </w:p>
        </w:tc>
        <w:tc>
          <w:tcPr>
            <w:tcW w:w="2211" w:type="dxa"/>
          </w:tcPr>
          <w:p>
            <w:pPr>
              <w:pStyle w:val="TableParagraph"/>
              <w:spacing w:before="5"/>
              <w:ind w:left="0"/>
              <w:rPr>
                <w:rFonts w:ascii="Times New Roman"/>
                <w:sz w:val="21"/>
              </w:rPr>
            </w:pPr>
          </w:p>
          <w:p>
            <w:pPr>
              <w:pStyle w:val="TableParagraph"/>
              <w:ind w:left="102" w:right="102"/>
              <w:jc w:val="center"/>
              <w:rPr>
                <w:b/>
                <w:sz w:val="22"/>
              </w:rPr>
            </w:pPr>
            <w:r>
              <w:rPr>
                <w:b/>
                <w:sz w:val="22"/>
              </w:rPr>
              <w:t># de acciones aisladas de trabajo comunitario de los actores de los municipios de la CHPH</w:t>
            </w:r>
          </w:p>
        </w:tc>
        <w:tc>
          <w:tcPr>
            <w:tcW w:w="2835" w:type="dxa"/>
          </w:tcPr>
          <w:p>
            <w:pPr>
              <w:pStyle w:val="TableParagraph"/>
              <w:tabs>
                <w:tab w:pos="657" w:val="left" w:leader="none"/>
                <w:tab w:pos="1118" w:val="left" w:leader="none"/>
                <w:tab w:pos="1249" w:val="left" w:leader="none"/>
                <w:tab w:pos="1693" w:val="left" w:leader="none"/>
                <w:tab w:pos="2281" w:val="left" w:leader="none"/>
              </w:tabs>
              <w:ind w:left="100" w:right="102"/>
              <w:rPr>
                <w:sz w:val="22"/>
              </w:rPr>
            </w:pPr>
            <w:r>
              <w:rPr>
                <w:sz w:val="22"/>
              </w:rPr>
              <w:t>Cantidad de acciones de trabajo a nivel comunitario de</w:t>
              <w:tab/>
              <w:t>los</w:t>
              <w:tab/>
              <w:tab/>
              <w:t>actores</w:t>
              <w:tab/>
            </w:r>
            <w:r>
              <w:rPr>
                <w:spacing w:val="-1"/>
                <w:sz w:val="22"/>
              </w:rPr>
              <w:t>para </w:t>
            </w:r>
            <w:r>
              <w:rPr>
                <w:sz w:val="22"/>
              </w:rPr>
              <w:t>resolver</w:t>
              <w:tab/>
              <w:t>sus</w:t>
              <w:tab/>
            </w:r>
            <w:r>
              <w:rPr>
                <w:spacing w:val="-1"/>
                <w:sz w:val="22"/>
              </w:rPr>
              <w:t>problemas </w:t>
            </w:r>
            <w:r>
              <w:rPr>
                <w:sz w:val="22"/>
              </w:rPr>
              <w:t>sociopolíticos de la CHPH. (Ejemplo: construcción de biodigestores comunitarios).</w:t>
            </w:r>
          </w:p>
        </w:tc>
      </w:tr>
      <w:tr>
        <w:trPr>
          <w:trHeight w:val="1274" w:hRule="exact"/>
        </w:trPr>
        <w:tc>
          <w:tcPr>
            <w:tcW w:w="852" w:type="dxa"/>
            <w:shd w:val="clear" w:color="auto" w:fill="4AACC5"/>
          </w:tcPr>
          <w:p>
            <w:pPr/>
          </w:p>
        </w:tc>
        <w:tc>
          <w:tcPr>
            <w:tcW w:w="730" w:type="dxa"/>
            <w:shd w:val="clear" w:color="auto" w:fill="4AACC5"/>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spacing w:before="8"/>
              <w:ind w:left="0"/>
              <w:rPr>
                <w:rFonts w:ascii="Times New Roman"/>
                <w:sz w:val="32"/>
              </w:rPr>
            </w:pPr>
          </w:p>
          <w:p>
            <w:pPr>
              <w:pStyle w:val="TableParagraph"/>
              <w:spacing w:before="1"/>
              <w:ind w:right="758"/>
              <w:rPr>
                <w:sz w:val="22"/>
              </w:rPr>
            </w:pPr>
            <w:r>
              <w:rPr>
                <w:sz w:val="22"/>
              </w:rPr>
              <w:t>Grupos de actores</w:t>
            </w:r>
          </w:p>
        </w:tc>
        <w:tc>
          <w:tcPr>
            <w:tcW w:w="3259" w:type="dxa"/>
          </w:tcPr>
          <w:p>
            <w:pPr>
              <w:pStyle w:val="TableParagraph"/>
              <w:ind w:right="96"/>
              <w:jc w:val="both"/>
              <w:rPr>
                <w:sz w:val="22"/>
              </w:rPr>
            </w:pPr>
            <w:r>
              <w:rPr>
                <w:sz w:val="22"/>
              </w:rPr>
              <w:t>Los grupos de actores consolidados de la CHPH articulados por la historia común proponen una mejor distribución de los recursos  de</w:t>
            </w:r>
          </w:p>
        </w:tc>
        <w:tc>
          <w:tcPr>
            <w:tcW w:w="2211" w:type="dxa"/>
          </w:tcPr>
          <w:p>
            <w:pPr>
              <w:pStyle w:val="TableParagraph"/>
              <w:ind w:right="102"/>
              <w:jc w:val="center"/>
              <w:rPr>
                <w:b/>
                <w:sz w:val="22"/>
              </w:rPr>
            </w:pPr>
            <w:r>
              <w:rPr>
                <w:b/>
                <w:sz w:val="22"/>
              </w:rPr>
              <w:t>Propuestas de los actores históricos de la CHPH para una mejor distribución de los</w:t>
            </w:r>
          </w:p>
        </w:tc>
        <w:tc>
          <w:tcPr>
            <w:tcW w:w="2835" w:type="dxa"/>
          </w:tcPr>
          <w:p>
            <w:pPr>
              <w:pStyle w:val="TableParagraph"/>
              <w:ind w:left="100" w:right="102"/>
              <w:jc w:val="both"/>
              <w:rPr>
                <w:sz w:val="22"/>
              </w:rPr>
            </w:pPr>
            <w:r>
              <w:rPr>
                <w:sz w:val="22"/>
              </w:rPr>
              <w:t>Propuestas de los actores históricos para una mejor distribución de  los recursos de la CHPH a través       de       acuerdos</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1781" w:hRule="exact"/>
        </w:trPr>
        <w:tc>
          <w:tcPr>
            <w:tcW w:w="852" w:type="dxa"/>
            <w:shd w:val="clear" w:color="auto" w:fill="4AACC5"/>
          </w:tcPr>
          <w:p>
            <w:pPr>
              <w:pStyle w:val="TableParagraph"/>
              <w:spacing w:before="5"/>
              <w:ind w:left="0"/>
              <w:rPr>
                <w:rFonts w:ascii="Times New Roman"/>
                <w:sz w:val="21"/>
              </w:rPr>
            </w:pPr>
          </w:p>
          <w:p>
            <w:pPr>
              <w:pStyle w:val="TableParagraph"/>
              <w:ind w:left="125" w:right="124"/>
              <w:jc w:val="center"/>
              <w:rPr>
                <w:b/>
                <w:sz w:val="22"/>
              </w:rPr>
            </w:pPr>
            <w:r>
              <w:rPr>
                <w:b/>
                <w:sz w:val="22"/>
              </w:rPr>
              <w:t>E8P</w:t>
            </w:r>
          </w:p>
        </w:tc>
        <w:tc>
          <w:tcPr>
            <w:tcW w:w="730" w:type="dxa"/>
            <w:shd w:val="clear" w:color="auto" w:fill="4AACC5"/>
          </w:tcPr>
          <w:p>
            <w:pPr/>
          </w:p>
        </w:tc>
        <w:tc>
          <w:tcPr>
            <w:tcW w:w="1918" w:type="dxa"/>
          </w:tcPr>
          <w:p>
            <w:pPr/>
          </w:p>
        </w:tc>
        <w:tc>
          <w:tcPr>
            <w:tcW w:w="3259" w:type="dxa"/>
          </w:tcPr>
          <w:p>
            <w:pPr>
              <w:pStyle w:val="TableParagraph"/>
              <w:ind w:right="101"/>
              <w:jc w:val="both"/>
              <w:rPr>
                <w:sz w:val="22"/>
              </w:rPr>
            </w:pPr>
            <w:r>
              <w:rPr>
                <w:sz w:val="22"/>
              </w:rPr>
              <w:t>la región a través de acuerdos sociopolíticos (García, TC: 2013-2015).</w:t>
            </w:r>
          </w:p>
        </w:tc>
        <w:tc>
          <w:tcPr>
            <w:tcW w:w="2211" w:type="dxa"/>
          </w:tcPr>
          <w:p>
            <w:pPr>
              <w:pStyle w:val="TableParagraph"/>
              <w:spacing w:line="252" w:lineRule="exact"/>
              <w:ind w:left="321" w:right="307" w:firstLine="312"/>
              <w:rPr>
                <w:b/>
                <w:sz w:val="22"/>
              </w:rPr>
            </w:pPr>
            <w:r>
              <w:rPr>
                <w:b/>
                <w:sz w:val="22"/>
              </w:rPr>
              <w:t>recursos (adimensional)</w:t>
            </w:r>
          </w:p>
        </w:tc>
        <w:tc>
          <w:tcPr>
            <w:tcW w:w="2835" w:type="dxa"/>
          </w:tcPr>
          <w:p>
            <w:pPr>
              <w:pStyle w:val="TableParagraph"/>
              <w:spacing w:line="250" w:lineRule="exact"/>
              <w:ind w:left="100"/>
              <w:jc w:val="both"/>
              <w:rPr>
                <w:sz w:val="22"/>
              </w:rPr>
            </w:pPr>
            <w:r>
              <w:rPr>
                <w:sz w:val="22"/>
              </w:rPr>
              <w:t>sociopolíticos.</w:t>
            </w:r>
          </w:p>
          <w:p>
            <w:pPr>
              <w:pStyle w:val="TableParagraph"/>
              <w:ind w:left="100" w:right="102"/>
              <w:jc w:val="both"/>
              <w:rPr>
                <w:sz w:val="22"/>
              </w:rPr>
            </w:pPr>
            <w:r>
              <w:rPr>
                <w:sz w:val="22"/>
              </w:rPr>
              <w:t>(Ejemplo: distribución equitativa del agua de la presa Huapango  para riego entre los actores de los cinco municipios de la CHPH).</w:t>
            </w:r>
          </w:p>
        </w:tc>
      </w:tr>
      <w:tr>
        <w:trPr>
          <w:trHeight w:val="3299"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E9P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673"/>
              <w:rPr>
                <w:sz w:val="22"/>
              </w:rPr>
            </w:pPr>
            <w:r>
              <w:rPr>
                <w:sz w:val="22"/>
              </w:rPr>
              <w:t>Estructuras históricas</w:t>
            </w:r>
          </w:p>
        </w:tc>
        <w:tc>
          <w:tcPr>
            <w:tcW w:w="3259" w:type="dxa"/>
          </w:tcPr>
          <w:p>
            <w:pPr>
              <w:pStyle w:val="TableParagraph"/>
              <w:ind w:left="0"/>
              <w:rPr>
                <w:rFonts w:ascii="Times New Roman"/>
                <w:sz w:val="22"/>
              </w:rPr>
            </w:pPr>
          </w:p>
          <w:p>
            <w:pPr>
              <w:pStyle w:val="TableParagraph"/>
              <w:spacing w:before="10"/>
              <w:ind w:left="0"/>
              <w:rPr>
                <w:rFonts w:ascii="Times New Roman"/>
                <w:sz w:val="21"/>
              </w:rPr>
            </w:pPr>
          </w:p>
          <w:p>
            <w:pPr>
              <w:pStyle w:val="TableParagraph"/>
              <w:tabs>
                <w:tab w:pos="616" w:val="left" w:leader="none"/>
                <w:tab w:pos="705" w:val="left" w:leader="none"/>
                <w:tab w:pos="837" w:val="left" w:leader="none"/>
                <w:tab w:pos="1753" w:val="left" w:leader="none"/>
                <w:tab w:pos="1791" w:val="left" w:leader="none"/>
                <w:tab w:pos="1828" w:val="left" w:leader="none"/>
                <w:tab w:pos="2255" w:val="left" w:leader="none"/>
                <w:tab w:pos="2705" w:val="left" w:leader="none"/>
                <w:tab w:pos="2865" w:val="left" w:leader="none"/>
              </w:tabs>
              <w:ind w:right="99"/>
              <w:rPr>
                <w:sz w:val="22"/>
              </w:rPr>
            </w:pPr>
            <w:r>
              <w:rPr>
                <w:sz w:val="22"/>
              </w:rPr>
              <w:t>Las estructuras de la CHPH que</w:t>
              <w:tab/>
              <w:tab/>
              <w:t>permiten</w:t>
              <w:tab/>
              <w:tab/>
              <w:t>construir</w:t>
              <w:tab/>
              <w:tab/>
              <w:t>las relaciones</w:t>
              <w:tab/>
              <w:tab/>
              <w:tab/>
            </w:r>
            <w:r>
              <w:rPr>
                <w:spacing w:val="-1"/>
                <w:sz w:val="22"/>
              </w:rPr>
              <w:t>sociopolíticas </w:t>
            </w:r>
            <w:r>
              <w:rPr>
                <w:sz w:val="22"/>
              </w:rPr>
              <w:t>regionales, están limitadas por el</w:t>
              <w:tab/>
              <w:t>derecho</w:t>
              <w:tab/>
              <w:t>formal</w:t>
              <w:tab/>
              <w:t>para articularse  intermunicipalmente y atender sus</w:t>
              <w:tab/>
              <w:tab/>
              <w:tab/>
              <w:t>problemas</w:t>
              <w:tab/>
            </w:r>
            <w:r>
              <w:rPr>
                <w:spacing w:val="-1"/>
                <w:sz w:val="22"/>
              </w:rPr>
              <w:t>comunes </w:t>
            </w:r>
            <w:r>
              <w:rPr>
                <w:sz w:val="22"/>
              </w:rPr>
              <w:t>(García, TC:</w:t>
            </w:r>
            <w:r>
              <w:rPr>
                <w:spacing w:val="-7"/>
                <w:sz w:val="22"/>
              </w:rPr>
              <w:t> </w:t>
            </w:r>
            <w:r>
              <w:rPr>
                <w:sz w:val="22"/>
              </w:rPr>
              <w:t>2013-2015).</w:t>
            </w:r>
          </w:p>
        </w:tc>
        <w:tc>
          <w:tcPr>
            <w:tcW w:w="2211" w:type="dxa"/>
          </w:tcPr>
          <w:p>
            <w:pPr>
              <w:pStyle w:val="TableParagraph"/>
              <w:ind w:left="0"/>
              <w:rPr>
                <w:rFonts w:ascii="Times New Roman"/>
                <w:sz w:val="22"/>
              </w:rPr>
            </w:pPr>
          </w:p>
          <w:p>
            <w:pPr>
              <w:pStyle w:val="TableParagraph"/>
              <w:spacing w:before="6"/>
              <w:ind w:left="0"/>
              <w:rPr>
                <w:rFonts w:ascii="Times New Roman"/>
                <w:sz w:val="32"/>
              </w:rPr>
            </w:pPr>
          </w:p>
          <w:p>
            <w:pPr>
              <w:pStyle w:val="TableParagraph"/>
              <w:ind w:left="151" w:right="149" w:hanging="2"/>
              <w:jc w:val="center"/>
              <w:rPr>
                <w:b/>
                <w:sz w:val="22"/>
              </w:rPr>
            </w:pPr>
            <w:r>
              <w:rPr>
                <w:b/>
                <w:sz w:val="22"/>
              </w:rPr>
              <w:t>Facultades expresadas por la ley que limitan las relaciones consuetudinarias de los actores de los municipios de la CHPH (adimensional)</w:t>
            </w:r>
          </w:p>
        </w:tc>
        <w:tc>
          <w:tcPr>
            <w:tcW w:w="2835" w:type="dxa"/>
          </w:tcPr>
          <w:p>
            <w:pPr>
              <w:pStyle w:val="TableParagraph"/>
              <w:tabs>
                <w:tab w:pos="714" w:val="left" w:leader="none"/>
                <w:tab w:pos="1100" w:val="left" w:leader="none"/>
                <w:tab w:pos="1266" w:val="left" w:leader="none"/>
                <w:tab w:pos="1693" w:val="left" w:leader="none"/>
                <w:tab w:pos="1981" w:val="left" w:leader="none"/>
                <w:tab w:pos="2440" w:val="left" w:leader="none"/>
                <w:tab w:pos="2547" w:val="left" w:leader="none"/>
              </w:tabs>
              <w:ind w:left="100" w:right="101"/>
              <w:rPr>
                <w:sz w:val="22"/>
              </w:rPr>
            </w:pPr>
            <w:r>
              <w:rPr>
                <w:sz w:val="22"/>
              </w:rPr>
              <w:t>Son las potestades de la ley formal que limitan las relaciones consuetudinarias</w:t>
              <w:tab/>
              <w:t>de</w:t>
              <w:tab/>
              <w:t>los actores de la CHPH para atender</w:t>
              <w:tab/>
              <w:t>sus</w:t>
              <w:tab/>
            </w:r>
            <w:r>
              <w:rPr>
                <w:spacing w:val="-1"/>
                <w:sz w:val="22"/>
              </w:rPr>
              <w:t>problemas </w:t>
            </w:r>
            <w:r>
              <w:rPr>
                <w:sz w:val="22"/>
              </w:rPr>
              <w:t>sociopolíticos comunes. (Ejemplo: facultades que se</w:t>
              <w:tab/>
              <w:t>le</w:t>
              <w:tab/>
              <w:tab/>
              <w:t>atribuyen</w:t>
              <w:tab/>
              <w:tab/>
              <w:t>al Municipio   en   el </w:t>
            </w:r>
            <w:r>
              <w:rPr>
                <w:spacing w:val="54"/>
                <w:sz w:val="22"/>
              </w:rPr>
              <w:t> </w:t>
            </w:r>
            <w:r>
              <w:rPr>
                <w:sz w:val="22"/>
              </w:rPr>
              <w:t>artículo</w:t>
            </w:r>
          </w:p>
          <w:p>
            <w:pPr>
              <w:pStyle w:val="TableParagraph"/>
              <w:ind w:left="100" w:right="102"/>
              <w:jc w:val="both"/>
              <w:rPr>
                <w:sz w:val="22"/>
              </w:rPr>
            </w:pPr>
            <w:r>
              <w:rPr>
                <w:sz w:val="22"/>
              </w:rPr>
              <w:t>115 de la Constitución Política de los Estados Unidos Mexicanos).</w:t>
            </w:r>
          </w:p>
        </w:tc>
      </w:tr>
      <w:tr>
        <w:trPr>
          <w:trHeight w:val="3553"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E10P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513"/>
              <w:rPr>
                <w:sz w:val="22"/>
              </w:rPr>
            </w:pPr>
            <w:r>
              <w:rPr>
                <w:sz w:val="22"/>
              </w:rPr>
              <w:t>Legislación incongruente</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97"/>
              <w:jc w:val="both"/>
              <w:rPr>
                <w:sz w:val="22"/>
              </w:rPr>
            </w:pPr>
            <w:r>
              <w:rPr>
                <w:sz w:val="22"/>
              </w:rPr>
              <w:t>Leyes vigentes que han facultado limitadamente a los actores de la CHPH para intervenir en su propio desarrollo y en la toma de decisiones conjuntas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235" w:right="237"/>
              <w:jc w:val="center"/>
              <w:rPr>
                <w:b/>
                <w:sz w:val="22"/>
              </w:rPr>
            </w:pPr>
            <w:r>
              <w:rPr>
                <w:b/>
                <w:sz w:val="22"/>
              </w:rPr>
              <w:t># de leyes vigentes que regulan limitadamente la participación de los actores de la CHPH</w:t>
            </w:r>
          </w:p>
        </w:tc>
        <w:tc>
          <w:tcPr>
            <w:tcW w:w="2835" w:type="dxa"/>
          </w:tcPr>
          <w:p>
            <w:pPr>
              <w:pStyle w:val="TableParagraph"/>
              <w:ind w:left="100" w:right="101"/>
              <w:jc w:val="both"/>
              <w:rPr>
                <w:sz w:val="22"/>
              </w:rPr>
            </w:pPr>
            <w:r>
              <w:rPr>
                <w:sz w:val="22"/>
              </w:rPr>
              <w:t>Cantidad de normas del derecho formal que regulan los derechos y obligaciones de  los actores de la CHPH, pero que ignoran el derecho consuetudinario de dichos actores y los limitan en la solución de sus problemas sociopolíticos de la región. (Ejemplo: Constitución Política de los Estados Unidos Mexicanos y la Ley Orgánica Municipal).</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3298"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123" w:right="124"/>
              <w:jc w:val="center"/>
              <w:rPr>
                <w:b/>
                <w:sz w:val="22"/>
              </w:rPr>
            </w:pPr>
            <w:r>
              <w:rPr>
                <w:b/>
                <w:sz w:val="22"/>
              </w:rPr>
              <w:t>E11P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0" w:right="1"/>
              <w:jc w:val="center"/>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85"/>
              <w:rPr>
                <w:sz w:val="22"/>
              </w:rPr>
            </w:pPr>
            <w:r>
              <w:rPr>
                <w:sz w:val="22"/>
              </w:rPr>
              <w:t>Injerencias gubernamentales</w:t>
            </w:r>
          </w:p>
        </w:tc>
        <w:tc>
          <w:tcPr>
            <w:tcW w:w="3259" w:type="dxa"/>
          </w:tcPr>
          <w:p>
            <w:pPr>
              <w:pStyle w:val="TableParagraph"/>
              <w:ind w:right="98"/>
              <w:jc w:val="both"/>
              <w:rPr>
                <w:sz w:val="22"/>
              </w:rPr>
            </w:pPr>
            <w:r>
              <w:rPr>
                <w:sz w:val="22"/>
              </w:rPr>
              <w:t>Los actores de la cuenca CHPH tienen intervenciones políticas externas en la administración de sus recursos, ya que las instancias gubernamentales, como la Conagua y la Sagarpa, administran y reparten los recursos que, a consideración de los actores, ellos debieran administrar para un mejor reparto entre todos (García, TC:</w:t>
            </w:r>
            <w:r>
              <w:rPr>
                <w:spacing w:val="-5"/>
                <w:sz w:val="22"/>
              </w:rPr>
              <w:t> </w:t>
            </w:r>
            <w:r>
              <w:rPr>
                <w:sz w:val="22"/>
              </w:rPr>
              <w:t>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125" w:right="127" w:firstLine="1"/>
              <w:jc w:val="center"/>
              <w:rPr>
                <w:b/>
                <w:sz w:val="22"/>
              </w:rPr>
            </w:pPr>
            <w:r>
              <w:rPr>
                <w:b/>
                <w:sz w:val="22"/>
              </w:rPr>
              <w:t>Presencia gubernamental en la administración de los recursos de la CHPH (adimensional)</w:t>
            </w:r>
          </w:p>
        </w:tc>
        <w:tc>
          <w:tcPr>
            <w:tcW w:w="2835"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tabs>
                <w:tab w:pos="2350" w:val="left" w:leader="none"/>
              </w:tabs>
              <w:ind w:left="100" w:right="102"/>
              <w:rPr>
                <w:sz w:val="22"/>
              </w:rPr>
            </w:pPr>
            <w:r>
              <w:rPr>
                <w:sz w:val="22"/>
              </w:rPr>
              <w:t>Existencia de organismos gubernamentales</w:t>
              <w:tab/>
              <w:t>que administran y regulan los recursos de la CHPH. (Ejemplo: la Conagua y la Sagarpa)</w:t>
            </w:r>
          </w:p>
        </w:tc>
      </w:tr>
      <w:tr>
        <w:trPr>
          <w:trHeight w:val="2540"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I1P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770"/>
              <w:rPr>
                <w:sz w:val="22"/>
              </w:rPr>
            </w:pPr>
            <w:r>
              <w:rPr>
                <w:sz w:val="22"/>
              </w:rPr>
              <w:t>Vínculos informales</w:t>
            </w:r>
          </w:p>
        </w:tc>
        <w:tc>
          <w:tcPr>
            <w:tcW w:w="3259" w:type="dxa"/>
          </w:tcPr>
          <w:p>
            <w:pPr>
              <w:pStyle w:val="TableParagraph"/>
              <w:tabs>
                <w:tab w:pos="1770" w:val="left" w:leader="none"/>
                <w:tab w:pos="2792" w:val="left" w:leader="none"/>
              </w:tabs>
              <w:spacing w:before="125"/>
              <w:ind w:right="97"/>
              <w:jc w:val="both"/>
              <w:rPr>
                <w:sz w:val="22"/>
              </w:rPr>
            </w:pPr>
            <w:r>
              <w:rPr>
                <w:sz w:val="22"/>
              </w:rPr>
              <w:t>Relaciones comunitarias y familiares que articulan a los actores sociopolíticos de la CHPH para realizar prácticas informales</w:t>
              <w:tab/>
              <w:t>que</w:t>
              <w:tab/>
              <w:t>son insuficientes para resolver sus problemas comunes de la región (García, TC: 2013- 2015).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44" w:right="141"/>
              <w:jc w:val="center"/>
              <w:rPr>
                <w:b/>
                <w:sz w:val="22"/>
              </w:rPr>
            </w:pPr>
            <w:r>
              <w:rPr>
                <w:b/>
                <w:sz w:val="22"/>
              </w:rPr>
              <w:t># de redes que articulan a los actores de la CHPH</w:t>
            </w:r>
          </w:p>
        </w:tc>
        <w:tc>
          <w:tcPr>
            <w:tcW w:w="2835" w:type="dxa"/>
          </w:tcPr>
          <w:p>
            <w:pPr>
              <w:pStyle w:val="TableParagraph"/>
              <w:ind w:left="100" w:right="101"/>
              <w:jc w:val="both"/>
              <w:rPr>
                <w:sz w:val="22"/>
              </w:rPr>
            </w:pPr>
            <w:r>
              <w:rPr>
                <w:sz w:val="22"/>
              </w:rPr>
              <w:t>Cantidad de  relaciones que articulan a los actores sociopolíticos de la CHPH, pero que son insuficientes para resolver sus problemas comunes de la región.</w:t>
            </w:r>
          </w:p>
          <w:p>
            <w:pPr>
              <w:pStyle w:val="TableParagraph"/>
              <w:ind w:left="100" w:right="102"/>
              <w:jc w:val="both"/>
              <w:rPr>
                <w:sz w:val="22"/>
              </w:rPr>
            </w:pPr>
            <w:r>
              <w:rPr>
                <w:sz w:val="22"/>
              </w:rPr>
              <w:t>(Ejemplos: parentesco, compadrazgo, fiestas patronales y mercados).</w:t>
            </w:r>
          </w:p>
        </w:tc>
      </w:tr>
      <w:tr>
        <w:trPr>
          <w:trHeight w:val="2794"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I2P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440"/>
              <w:rPr>
                <w:sz w:val="22"/>
              </w:rPr>
            </w:pPr>
            <w:r>
              <w:rPr>
                <w:sz w:val="22"/>
              </w:rPr>
              <w:t>Élite política</w:t>
            </w:r>
          </w:p>
        </w:tc>
        <w:tc>
          <w:tcPr>
            <w:tcW w:w="3259" w:type="dxa"/>
          </w:tcPr>
          <w:p>
            <w:pPr>
              <w:pStyle w:val="TableParagraph"/>
              <w:spacing w:before="125"/>
              <w:ind w:right="97"/>
              <w:jc w:val="both"/>
              <w:rPr>
                <w:sz w:val="22"/>
              </w:rPr>
            </w:pPr>
            <w:r>
              <w:rPr>
                <w:sz w:val="22"/>
              </w:rPr>
              <w:t>Existencia de un grupo reducido de actores en la CHPH que ocupan posiciones de predominio político en la región y de preferencia en las instituciones del Estado para su beneficio de acceso a las decisiones de reparto de los recursos (García, TC: 2013- 2015).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44" w:right="141"/>
              <w:jc w:val="center"/>
              <w:rPr>
                <w:b/>
                <w:sz w:val="22"/>
              </w:rPr>
            </w:pPr>
            <w:r>
              <w:rPr>
                <w:b/>
                <w:sz w:val="22"/>
              </w:rPr>
              <w:t># de grupos de actores con predominio político en la CHPH</w:t>
            </w:r>
          </w:p>
        </w:tc>
        <w:tc>
          <w:tcPr>
            <w:tcW w:w="2835" w:type="dxa"/>
          </w:tcPr>
          <w:p>
            <w:pPr>
              <w:pStyle w:val="TableParagraph"/>
              <w:ind w:left="100" w:right="102"/>
              <w:jc w:val="both"/>
              <w:rPr>
                <w:sz w:val="22"/>
              </w:rPr>
            </w:pPr>
            <w:r>
              <w:rPr>
                <w:sz w:val="22"/>
              </w:rPr>
              <w:t>Cantidad de grupos de actores que inciden en las decisiones sociopolíticas de la CHPH para el reparto inequitativo de los recursos.</w:t>
            </w:r>
          </w:p>
          <w:p>
            <w:pPr>
              <w:pStyle w:val="TableParagraph"/>
              <w:ind w:left="100" w:right="102"/>
              <w:jc w:val="both"/>
              <w:rPr>
                <w:sz w:val="22"/>
              </w:rPr>
            </w:pPr>
            <w:r>
              <w:rPr>
                <w:sz w:val="22"/>
              </w:rPr>
              <w:t>(Ejemplos: la iglesia católica, partidos políticos como el PRI, PAN y PRD, dinastía Alcántara y Martínez).</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3046"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123" w:right="124"/>
              <w:jc w:val="center"/>
              <w:rPr>
                <w:b/>
                <w:sz w:val="22"/>
              </w:rPr>
            </w:pPr>
            <w:r>
              <w:rPr>
                <w:b/>
                <w:sz w:val="22"/>
              </w:rPr>
              <w:t>I3P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648"/>
              <w:rPr>
                <w:sz w:val="22"/>
              </w:rPr>
            </w:pPr>
            <w:r>
              <w:rPr>
                <w:sz w:val="22"/>
              </w:rPr>
              <w:t>Identidad comunitaria</w:t>
            </w:r>
          </w:p>
        </w:tc>
        <w:tc>
          <w:tcPr>
            <w:tcW w:w="3259"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99"/>
              <w:jc w:val="both"/>
              <w:rPr>
                <w:sz w:val="22"/>
              </w:rPr>
            </w:pPr>
            <w:r>
              <w:rPr>
                <w:sz w:val="22"/>
              </w:rPr>
              <w:t>Sentido de pertenencia histórica por parte de los actores de la CHPH que los articula informalmente en la región para organizarse como grupo sociopolítico e identificar sus problemas comunes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10" w:right="110"/>
              <w:jc w:val="center"/>
              <w:rPr>
                <w:b/>
                <w:sz w:val="22"/>
              </w:rPr>
            </w:pPr>
            <w:r>
              <w:rPr>
                <w:b/>
                <w:sz w:val="22"/>
              </w:rPr>
              <w:t>Lugar de nacimiento y # de años de</w:t>
            </w:r>
            <w:r>
              <w:rPr>
                <w:b/>
                <w:spacing w:val="-3"/>
                <w:sz w:val="22"/>
              </w:rPr>
              <w:t> </w:t>
            </w:r>
            <w:r>
              <w:rPr>
                <w:b/>
                <w:sz w:val="22"/>
              </w:rPr>
              <w:t>residencia de los actores en la</w:t>
            </w:r>
            <w:r>
              <w:rPr>
                <w:b/>
                <w:spacing w:val="-1"/>
                <w:sz w:val="22"/>
              </w:rPr>
              <w:t> </w:t>
            </w:r>
            <w:r>
              <w:rPr>
                <w:b/>
                <w:sz w:val="22"/>
              </w:rPr>
              <w:t>CHPH</w:t>
            </w:r>
          </w:p>
        </w:tc>
        <w:tc>
          <w:tcPr>
            <w:tcW w:w="2835" w:type="dxa"/>
          </w:tcPr>
          <w:p>
            <w:pPr>
              <w:pStyle w:val="TableParagraph"/>
              <w:spacing w:line="252" w:lineRule="exact" w:before="2"/>
              <w:ind w:left="100" w:right="104"/>
              <w:jc w:val="both"/>
              <w:rPr>
                <w:sz w:val="22"/>
              </w:rPr>
            </w:pPr>
            <w:r>
              <w:rPr>
                <w:sz w:val="22"/>
              </w:rPr>
              <w:t>Lugar de nacimiento  de los actores de la CHPH</w:t>
            </w:r>
          </w:p>
          <w:p>
            <w:pPr>
              <w:pStyle w:val="TableParagraph"/>
              <w:tabs>
                <w:tab w:pos="1694" w:val="left" w:leader="none"/>
              </w:tabs>
              <w:ind w:left="100" w:right="101"/>
              <w:jc w:val="both"/>
              <w:rPr>
                <w:sz w:val="22"/>
              </w:rPr>
            </w:pPr>
            <w:r>
              <w:rPr>
                <w:sz w:val="22"/>
              </w:rPr>
              <w:t>y cantidad de años de residencia en la  CHPH que les permite identificar los</w:t>
              <w:tab/>
            </w:r>
            <w:r>
              <w:rPr>
                <w:spacing w:val="-1"/>
                <w:sz w:val="22"/>
              </w:rPr>
              <w:t>problemas</w:t>
            </w:r>
          </w:p>
          <w:p>
            <w:pPr>
              <w:pStyle w:val="TableParagraph"/>
              <w:ind w:left="100" w:right="104"/>
              <w:jc w:val="both"/>
              <w:rPr>
                <w:sz w:val="22"/>
              </w:rPr>
            </w:pPr>
            <w:r>
              <w:rPr>
                <w:sz w:val="22"/>
              </w:rPr>
              <w:t>sociopolíticos de la Cuenca.</w:t>
            </w:r>
          </w:p>
          <w:p>
            <w:pPr>
              <w:pStyle w:val="TableParagraph"/>
              <w:ind w:left="100" w:right="102"/>
              <w:jc w:val="both"/>
              <w:rPr>
                <w:sz w:val="22"/>
              </w:rPr>
            </w:pPr>
            <w:r>
              <w:rPr>
                <w:sz w:val="22"/>
              </w:rPr>
              <w:t>(Ejemplo: un actor que nació en el municipio de Timilpan y ha vivido allí desde entonces).</w:t>
            </w:r>
          </w:p>
        </w:tc>
      </w:tr>
      <w:tr>
        <w:trPr>
          <w:trHeight w:val="1781" w:hRule="exact"/>
        </w:trPr>
        <w:tc>
          <w:tcPr>
            <w:tcW w:w="852" w:type="dxa"/>
            <w:shd w:val="clear" w:color="auto" w:fill="4AACC5"/>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I4P</w:t>
            </w:r>
          </w:p>
        </w:tc>
        <w:tc>
          <w:tcPr>
            <w:tcW w:w="730" w:type="dxa"/>
            <w:shd w:val="clear" w:color="auto" w:fill="4AACC5"/>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right="489"/>
              <w:rPr>
                <w:sz w:val="22"/>
              </w:rPr>
            </w:pPr>
            <w:r>
              <w:rPr>
                <w:sz w:val="22"/>
              </w:rPr>
              <w:t>Organización sociopolítica</w:t>
            </w:r>
          </w:p>
        </w:tc>
        <w:tc>
          <w:tcPr>
            <w:tcW w:w="3259" w:type="dxa"/>
          </w:tcPr>
          <w:p>
            <w:pPr>
              <w:pStyle w:val="TableParagraph"/>
              <w:spacing w:before="125"/>
              <w:ind w:right="99"/>
              <w:jc w:val="both"/>
              <w:rPr>
                <w:sz w:val="22"/>
              </w:rPr>
            </w:pPr>
            <w:r>
              <w:rPr>
                <w:sz w:val="22"/>
              </w:rPr>
              <w:t>Existencia de organizaciones sociopolíticas colectivas de los actores que permitirían proponer acuerdos políticos en torno a su problemática común (García, TC: 2013-2015).</w:t>
            </w:r>
          </w:p>
        </w:tc>
        <w:tc>
          <w:tcPr>
            <w:tcW w:w="2211" w:type="dxa"/>
          </w:tcPr>
          <w:p>
            <w:pPr>
              <w:pStyle w:val="TableParagraph"/>
              <w:spacing w:before="122"/>
              <w:ind w:left="218" w:right="216" w:hanging="3"/>
              <w:jc w:val="center"/>
              <w:rPr>
                <w:b/>
                <w:sz w:val="22"/>
              </w:rPr>
            </w:pPr>
            <w:r>
              <w:rPr>
                <w:b/>
                <w:sz w:val="22"/>
              </w:rPr>
              <w:t># de    organizaciones sociopolíticas colectivas de los actores de la CHPH</w:t>
            </w:r>
          </w:p>
        </w:tc>
        <w:tc>
          <w:tcPr>
            <w:tcW w:w="2835" w:type="dxa"/>
          </w:tcPr>
          <w:p>
            <w:pPr>
              <w:pStyle w:val="TableParagraph"/>
              <w:tabs>
                <w:tab w:pos="2473" w:val="left" w:leader="none"/>
              </w:tabs>
              <w:spacing w:line="250" w:lineRule="exact"/>
              <w:ind w:left="100"/>
              <w:jc w:val="both"/>
              <w:rPr>
                <w:sz w:val="22"/>
              </w:rPr>
            </w:pPr>
            <w:r>
              <w:rPr>
                <w:sz w:val="22"/>
              </w:rPr>
              <w:t>Cantidad</w:t>
              <w:tab/>
              <w:t>de</w:t>
            </w:r>
          </w:p>
          <w:p>
            <w:pPr>
              <w:pStyle w:val="TableParagraph"/>
              <w:ind w:left="100" w:right="101"/>
              <w:jc w:val="both"/>
              <w:rPr>
                <w:sz w:val="22"/>
              </w:rPr>
            </w:pPr>
            <w:r>
              <w:rPr>
                <w:sz w:val="22"/>
              </w:rPr>
              <w:t>organizaciones colectivas de los actores de la CHPH que permitirían atender los problemas sociopolíticos comunes de dicha cuenca. (Ejemplo: el Ejido).</w:t>
            </w:r>
          </w:p>
        </w:tc>
      </w:tr>
      <w:tr>
        <w:trPr>
          <w:trHeight w:val="3298"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123" w:right="124"/>
              <w:jc w:val="center"/>
              <w:rPr>
                <w:b/>
                <w:sz w:val="22"/>
              </w:rPr>
            </w:pPr>
            <w:r>
              <w:rPr>
                <w:b/>
                <w:sz w:val="22"/>
              </w:rPr>
              <w:t>I5P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305"/>
              <w:rPr>
                <w:sz w:val="22"/>
              </w:rPr>
            </w:pPr>
            <w:r>
              <w:rPr>
                <w:sz w:val="22"/>
              </w:rPr>
              <w:t>Formación de organizaciones</w:t>
            </w:r>
          </w:p>
        </w:tc>
        <w:tc>
          <w:tcPr>
            <w:tcW w:w="3259" w:type="dxa"/>
          </w:tcPr>
          <w:p>
            <w:pPr>
              <w:pStyle w:val="TableParagraph"/>
              <w:spacing w:before="8"/>
              <w:ind w:left="0"/>
              <w:rPr>
                <w:rFonts w:ascii="Times New Roman"/>
                <w:sz w:val="32"/>
              </w:rPr>
            </w:pPr>
          </w:p>
          <w:p>
            <w:pPr>
              <w:pStyle w:val="TableParagraph"/>
              <w:spacing w:before="1"/>
              <w:ind w:right="98"/>
              <w:jc w:val="both"/>
              <w:rPr>
                <w:sz w:val="22"/>
              </w:rPr>
            </w:pPr>
            <w:r>
              <w:rPr>
                <w:sz w:val="22"/>
              </w:rPr>
              <w:t>Los actores históricos de la CHPH tienen interés de participación en las soluciones colectivas de la problemática sociopolítica de la CHPH con  lo cual pueden conformar organizaciones formales e informales para atender su problemática común (García, TC:</w:t>
            </w:r>
            <w:r>
              <w:rPr>
                <w:spacing w:val="-4"/>
                <w:sz w:val="22"/>
              </w:rPr>
              <w:t> </w:t>
            </w:r>
            <w:r>
              <w:rPr>
                <w:sz w:val="22"/>
              </w:rPr>
              <w:t>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144" w:right="144"/>
              <w:jc w:val="center"/>
              <w:rPr>
                <w:b/>
                <w:sz w:val="22"/>
              </w:rPr>
            </w:pPr>
            <w:r>
              <w:rPr>
                <w:b/>
                <w:sz w:val="22"/>
              </w:rPr>
              <w:t># de     organizaciones formales e informales de los actores de la CHPH</w:t>
            </w:r>
          </w:p>
        </w:tc>
        <w:tc>
          <w:tcPr>
            <w:tcW w:w="2835" w:type="dxa"/>
          </w:tcPr>
          <w:p>
            <w:pPr>
              <w:pStyle w:val="TableParagraph"/>
              <w:tabs>
                <w:tab w:pos="2473" w:val="left" w:leader="none"/>
              </w:tabs>
              <w:spacing w:line="250" w:lineRule="exact"/>
              <w:ind w:left="100"/>
              <w:rPr>
                <w:sz w:val="22"/>
              </w:rPr>
            </w:pPr>
            <w:r>
              <w:rPr>
                <w:sz w:val="22"/>
              </w:rPr>
              <w:t>Cantidad</w:t>
              <w:tab/>
              <w:t>de</w:t>
            </w:r>
          </w:p>
          <w:p>
            <w:pPr>
              <w:pStyle w:val="TableParagraph"/>
              <w:tabs>
                <w:tab w:pos="1089" w:val="left" w:leader="none"/>
                <w:tab w:pos="1249" w:val="left" w:leader="none"/>
                <w:tab w:pos="1461" w:val="left" w:leader="none"/>
                <w:tab w:pos="1710" w:val="left" w:leader="none"/>
                <w:tab w:pos="2098" w:val="left" w:leader="none"/>
                <w:tab w:pos="2380" w:val="left" w:leader="none"/>
              </w:tabs>
              <w:ind w:left="100" w:right="102"/>
              <w:rPr>
                <w:sz w:val="22"/>
              </w:rPr>
            </w:pPr>
            <w:r>
              <w:rPr>
                <w:sz w:val="22"/>
              </w:rPr>
              <w:t>organizaciones formales e informales de los actores de la CHPH para atender la</w:t>
              <w:tab/>
              <w:tab/>
              <w:tab/>
            </w:r>
            <w:r>
              <w:rPr>
                <w:spacing w:val="-1"/>
                <w:sz w:val="22"/>
              </w:rPr>
              <w:t>problemática </w:t>
            </w:r>
            <w:r>
              <w:rPr>
                <w:sz w:val="22"/>
              </w:rPr>
              <w:t>sociopolítica común. (Ejemplo: aún no existen organizaciones formales e informales de los actores históricos</w:t>
              <w:tab/>
              <w:tab/>
              <w:t>de</w:t>
              <w:tab/>
              <w:t>la</w:t>
              <w:tab/>
            </w:r>
            <w:r>
              <w:rPr>
                <w:spacing w:val="-1"/>
                <w:sz w:val="22"/>
              </w:rPr>
              <w:t>CHPH </w:t>
            </w:r>
            <w:r>
              <w:rPr>
                <w:sz w:val="22"/>
              </w:rPr>
              <w:t>para</w:t>
              <w:tab/>
              <w:t>atender</w:t>
              <w:tab/>
              <w:tab/>
            </w:r>
            <w:r>
              <w:rPr>
                <w:spacing w:val="-1"/>
                <w:sz w:val="22"/>
              </w:rPr>
              <w:t>sus </w:t>
            </w:r>
            <w:r>
              <w:rPr>
                <w:sz w:val="22"/>
              </w:rPr>
              <w:t>problemática sociopolítica).</w:t>
            </w:r>
          </w:p>
        </w:tc>
      </w:tr>
      <w:tr>
        <w:trPr>
          <w:trHeight w:val="516" w:hRule="exact"/>
        </w:trPr>
        <w:tc>
          <w:tcPr>
            <w:tcW w:w="852" w:type="dxa"/>
            <w:shd w:val="clear" w:color="auto" w:fill="4AACC5"/>
          </w:tcPr>
          <w:p>
            <w:pPr/>
          </w:p>
        </w:tc>
        <w:tc>
          <w:tcPr>
            <w:tcW w:w="730" w:type="dxa"/>
            <w:shd w:val="clear" w:color="auto" w:fill="4AACC5"/>
          </w:tcPr>
          <w:p>
            <w:pPr>
              <w:pStyle w:val="TableParagraph"/>
              <w:spacing w:before="8"/>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spacing w:line="242" w:lineRule="auto"/>
              <w:ind w:right="318"/>
              <w:rPr>
                <w:sz w:val="22"/>
              </w:rPr>
            </w:pPr>
            <w:r>
              <w:rPr>
                <w:sz w:val="22"/>
              </w:rPr>
              <w:t>Inexistencia de acuerdos</w:t>
            </w:r>
          </w:p>
        </w:tc>
        <w:tc>
          <w:tcPr>
            <w:tcW w:w="3259" w:type="dxa"/>
          </w:tcPr>
          <w:p>
            <w:pPr>
              <w:pStyle w:val="TableParagraph"/>
              <w:tabs>
                <w:tab w:pos="1737" w:val="left" w:leader="none"/>
                <w:tab w:pos="3039" w:val="left" w:leader="none"/>
              </w:tabs>
              <w:spacing w:line="242" w:lineRule="auto"/>
              <w:ind w:right="97"/>
              <w:rPr>
                <w:sz w:val="22"/>
              </w:rPr>
            </w:pPr>
            <w:r>
              <w:rPr>
                <w:sz w:val="22"/>
              </w:rPr>
              <w:t>La conformación de grupos poderosos</w:t>
              <w:tab/>
              <w:t>política</w:t>
              <w:tab/>
              <w:t>y</w:t>
            </w:r>
          </w:p>
        </w:tc>
        <w:tc>
          <w:tcPr>
            <w:tcW w:w="2211" w:type="dxa"/>
          </w:tcPr>
          <w:p>
            <w:pPr>
              <w:pStyle w:val="TableParagraph"/>
              <w:spacing w:line="242" w:lineRule="auto"/>
              <w:ind w:left="357" w:right="344"/>
              <w:rPr>
                <w:b/>
                <w:sz w:val="22"/>
              </w:rPr>
            </w:pPr>
            <w:r>
              <w:rPr>
                <w:b/>
                <w:sz w:val="22"/>
              </w:rPr>
              <w:t># de acuerdos sociopolíticos</w:t>
            </w:r>
          </w:p>
        </w:tc>
        <w:tc>
          <w:tcPr>
            <w:tcW w:w="2835" w:type="dxa"/>
          </w:tcPr>
          <w:p>
            <w:pPr>
              <w:pStyle w:val="TableParagraph"/>
              <w:tabs>
                <w:tab w:pos="1331" w:val="left" w:leader="none"/>
                <w:tab w:pos="1926" w:val="left" w:leader="none"/>
              </w:tabs>
              <w:spacing w:line="242" w:lineRule="auto"/>
              <w:ind w:left="100" w:right="102"/>
              <w:rPr>
                <w:sz w:val="22"/>
              </w:rPr>
            </w:pPr>
            <w:r>
              <w:rPr>
                <w:sz w:val="22"/>
              </w:rPr>
              <w:t>Cantidad</w:t>
              <w:tab/>
              <w:t>de</w:t>
              <w:tab/>
            </w:r>
            <w:r>
              <w:rPr>
                <w:spacing w:val="-1"/>
                <w:sz w:val="22"/>
              </w:rPr>
              <w:t>arreglos </w:t>
            </w:r>
            <w:r>
              <w:rPr>
                <w:sz w:val="22"/>
              </w:rPr>
              <w:t>formales  e  informales </w:t>
            </w:r>
            <w:r>
              <w:rPr>
                <w:spacing w:val="18"/>
                <w:sz w:val="22"/>
              </w:rPr>
              <w:t> </w:t>
            </w:r>
            <w:r>
              <w:rPr>
                <w:sz w:val="22"/>
              </w:rPr>
              <w:t>de</w:t>
            </w:r>
          </w:p>
        </w:tc>
      </w:tr>
    </w:tbl>
    <w:p>
      <w:pPr>
        <w:spacing w:after="0" w:line="242" w:lineRule="auto"/>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2792"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I6P</w:t>
            </w:r>
          </w:p>
        </w:tc>
        <w:tc>
          <w:tcPr>
            <w:tcW w:w="730" w:type="dxa"/>
            <w:shd w:val="clear" w:color="auto" w:fill="4AACC5"/>
          </w:tcPr>
          <w:p>
            <w:pPr/>
          </w:p>
        </w:tc>
        <w:tc>
          <w:tcPr>
            <w:tcW w:w="1918" w:type="dxa"/>
          </w:tcPr>
          <w:p>
            <w:pPr/>
          </w:p>
        </w:tc>
        <w:tc>
          <w:tcPr>
            <w:tcW w:w="3259" w:type="dxa"/>
          </w:tcPr>
          <w:p>
            <w:pPr>
              <w:pStyle w:val="TableParagraph"/>
              <w:tabs>
                <w:tab w:pos="1828" w:val="left" w:leader="none"/>
              </w:tabs>
              <w:ind w:right="98"/>
              <w:jc w:val="both"/>
              <w:rPr>
                <w:sz w:val="22"/>
              </w:rPr>
            </w:pPr>
            <w:r>
              <w:rPr>
                <w:sz w:val="22"/>
              </w:rPr>
              <w:t>económicamente han limitado la articulación de los actores históricos de los municipios de la CHPH para atender sus problemas</w:t>
              <w:tab/>
            </w:r>
            <w:r>
              <w:rPr>
                <w:spacing w:val="-1"/>
                <w:sz w:val="22"/>
              </w:rPr>
              <w:t>sociopolíticos </w:t>
            </w:r>
            <w:r>
              <w:rPr>
                <w:sz w:val="22"/>
              </w:rPr>
              <w:t>conjuntos mediante acuerdos formales e informales (García, TC:</w:t>
            </w:r>
            <w:r>
              <w:rPr>
                <w:spacing w:val="-4"/>
                <w:sz w:val="22"/>
              </w:rPr>
              <w:t> </w:t>
            </w:r>
            <w:r>
              <w:rPr>
                <w:sz w:val="22"/>
              </w:rPr>
              <w:t>2013-2015).</w:t>
            </w:r>
          </w:p>
        </w:tc>
        <w:tc>
          <w:tcPr>
            <w:tcW w:w="2211" w:type="dxa"/>
          </w:tcPr>
          <w:p>
            <w:pPr>
              <w:pStyle w:val="TableParagraph"/>
              <w:ind w:left="168" w:right="170" w:firstLine="4"/>
              <w:jc w:val="center"/>
              <w:rPr>
                <w:b/>
                <w:sz w:val="22"/>
              </w:rPr>
            </w:pPr>
            <w:r>
              <w:rPr>
                <w:b/>
                <w:sz w:val="22"/>
              </w:rPr>
              <w:t>entre los actores de los municipios de la CHPH</w:t>
            </w:r>
          </w:p>
        </w:tc>
        <w:tc>
          <w:tcPr>
            <w:tcW w:w="2835" w:type="dxa"/>
          </w:tcPr>
          <w:p>
            <w:pPr>
              <w:pStyle w:val="TableParagraph"/>
              <w:ind w:left="100" w:right="101"/>
              <w:jc w:val="both"/>
              <w:rPr>
                <w:sz w:val="22"/>
              </w:rPr>
            </w:pPr>
            <w:r>
              <w:rPr>
                <w:sz w:val="22"/>
              </w:rPr>
              <w:t>los actores históricos de la CHPH para atender sus problemas sociopolíticos comunes.</w:t>
            </w:r>
          </w:p>
          <w:p>
            <w:pPr>
              <w:pStyle w:val="TableParagraph"/>
              <w:spacing w:before="1"/>
              <w:ind w:left="100" w:right="100"/>
              <w:jc w:val="both"/>
              <w:rPr>
                <w:sz w:val="22"/>
              </w:rPr>
            </w:pPr>
            <w:r>
              <w:rPr>
                <w:sz w:val="22"/>
              </w:rPr>
              <w:t>(Ejemplo: aún no existen acuerdos formales e informales entre los actores históricos de la CHPH para atender sus problemas sociopolíticos comunes).</w:t>
            </w:r>
          </w:p>
        </w:tc>
      </w:tr>
      <w:tr>
        <w:trPr>
          <w:trHeight w:val="2036"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I7P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ind w:right="477"/>
              <w:rPr>
                <w:sz w:val="22"/>
              </w:rPr>
            </w:pPr>
            <w:r>
              <w:rPr>
                <w:sz w:val="22"/>
              </w:rPr>
              <w:t>Trabajo desarticulado</w:t>
            </w:r>
          </w:p>
        </w:tc>
        <w:tc>
          <w:tcPr>
            <w:tcW w:w="3259" w:type="dxa"/>
          </w:tcPr>
          <w:p>
            <w:pPr>
              <w:pStyle w:val="TableParagraph"/>
              <w:ind w:right="97"/>
              <w:jc w:val="both"/>
              <w:rPr>
                <w:sz w:val="22"/>
              </w:rPr>
            </w:pPr>
            <w:r>
              <w:rPr>
                <w:sz w:val="22"/>
              </w:rPr>
              <w:t>Los actores históricos de la CHPH realizan trabajo a nivel comunitario para resolver sus problemas sociopolíticos que no se replica a nivel Cuenca por falta de mecanismos de cooperación regional (García, TC: 2013-2015).</w:t>
            </w:r>
          </w:p>
        </w:tc>
        <w:tc>
          <w:tcPr>
            <w:tcW w:w="2211" w:type="dxa"/>
          </w:tcPr>
          <w:p>
            <w:pPr>
              <w:pStyle w:val="TableParagraph"/>
              <w:ind w:left="187" w:right="187" w:firstLine="2"/>
              <w:jc w:val="center"/>
              <w:rPr>
                <w:b/>
                <w:sz w:val="22"/>
              </w:rPr>
            </w:pPr>
            <w:r>
              <w:rPr>
                <w:b/>
                <w:sz w:val="22"/>
              </w:rPr>
              <w:t># de acciones a nivel comunitario de los actores históricos para resolver sus problemas sociopolíticos de la CHPH</w:t>
            </w:r>
          </w:p>
        </w:tc>
        <w:tc>
          <w:tcPr>
            <w:tcW w:w="2835" w:type="dxa"/>
          </w:tcPr>
          <w:p>
            <w:pPr>
              <w:pStyle w:val="TableParagraph"/>
              <w:ind w:left="100" w:right="101" w:firstLine="62"/>
              <w:jc w:val="both"/>
              <w:rPr>
                <w:sz w:val="22"/>
              </w:rPr>
            </w:pPr>
            <w:r>
              <w:rPr>
                <w:sz w:val="22"/>
              </w:rPr>
              <w:t>Cantidad de acciones a nivel comunitario que poco se reflejan en la CHPH por realizarse de forma aislada.</w:t>
            </w:r>
          </w:p>
          <w:p>
            <w:pPr>
              <w:pStyle w:val="TableParagraph"/>
              <w:spacing w:before="1"/>
              <w:ind w:left="100" w:right="103"/>
              <w:jc w:val="both"/>
              <w:rPr>
                <w:sz w:val="22"/>
              </w:rPr>
            </w:pPr>
            <w:r>
              <w:rPr>
                <w:sz w:val="22"/>
              </w:rPr>
              <w:t>(Ejemplo: biodigestor eólico en San Juanico, municipio de Acambay).</w:t>
            </w:r>
          </w:p>
        </w:tc>
      </w:tr>
      <w:tr>
        <w:trPr>
          <w:trHeight w:val="2287"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I8P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97"/>
              <w:rPr>
                <w:sz w:val="22"/>
              </w:rPr>
            </w:pPr>
            <w:r>
              <w:rPr>
                <w:sz w:val="22"/>
              </w:rPr>
              <w:t>Consolidación de grupos</w:t>
            </w:r>
          </w:p>
        </w:tc>
        <w:tc>
          <w:tcPr>
            <w:tcW w:w="3259" w:type="dxa"/>
          </w:tcPr>
          <w:p>
            <w:pPr>
              <w:pStyle w:val="TableParagraph"/>
              <w:spacing w:before="8"/>
              <w:ind w:left="0"/>
              <w:rPr>
                <w:rFonts w:ascii="Times New Roman"/>
                <w:sz w:val="32"/>
              </w:rPr>
            </w:pPr>
          </w:p>
          <w:p>
            <w:pPr>
              <w:pStyle w:val="TableParagraph"/>
              <w:spacing w:before="1"/>
              <w:ind w:right="97"/>
              <w:jc w:val="both"/>
              <w:rPr>
                <w:sz w:val="22"/>
              </w:rPr>
            </w:pPr>
            <w:r>
              <w:rPr>
                <w:sz w:val="22"/>
              </w:rPr>
              <w:t>Conformación de grupos sociopolíticos a nivel municipal o comunitario con propuestas de acciones que pueden ser replicadas a nivel CHPH (García, TC: 2013-2015).</w:t>
            </w:r>
          </w:p>
        </w:tc>
        <w:tc>
          <w:tcPr>
            <w:tcW w:w="2211"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right="102"/>
              <w:jc w:val="center"/>
              <w:rPr>
                <w:b/>
                <w:sz w:val="22"/>
              </w:rPr>
            </w:pPr>
            <w:r>
              <w:rPr>
                <w:b/>
                <w:sz w:val="22"/>
              </w:rPr>
              <w:t># de grupos a nivel municipal y comunitario con acciones que se pueden replicar en la CHPH</w:t>
            </w:r>
          </w:p>
        </w:tc>
        <w:tc>
          <w:tcPr>
            <w:tcW w:w="2835" w:type="dxa"/>
          </w:tcPr>
          <w:p>
            <w:pPr>
              <w:pStyle w:val="TableParagraph"/>
              <w:ind w:left="100" w:right="101"/>
              <w:jc w:val="both"/>
              <w:rPr>
                <w:sz w:val="22"/>
              </w:rPr>
            </w:pPr>
            <w:r>
              <w:rPr>
                <w:sz w:val="22"/>
              </w:rPr>
              <w:t>Cantidad de agrupaciones sociopolíticas locales que tienen acciones que se pueden replicar a nivel CHPH.</w:t>
            </w:r>
          </w:p>
          <w:p>
            <w:pPr>
              <w:pStyle w:val="TableParagraph"/>
              <w:ind w:left="100" w:right="104"/>
              <w:jc w:val="both"/>
              <w:rPr>
                <w:sz w:val="22"/>
              </w:rPr>
            </w:pPr>
            <w:r>
              <w:rPr>
                <w:sz w:val="22"/>
              </w:rPr>
              <w:t>(Ejemplo: Asociación de Ejidatarios del  Municipio de Timilpan, Comités de obra en las comunidades).</w:t>
            </w:r>
          </w:p>
        </w:tc>
      </w:tr>
      <w:tr>
        <w:trPr>
          <w:trHeight w:val="1527"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spacing w:before="1"/>
              <w:ind w:left="123" w:right="124"/>
              <w:jc w:val="center"/>
              <w:rPr>
                <w:b/>
                <w:sz w:val="22"/>
              </w:rPr>
            </w:pPr>
            <w:r>
              <w:rPr>
                <w:b/>
                <w:sz w:val="22"/>
              </w:rPr>
              <w:t>I9P</w:t>
            </w:r>
          </w:p>
        </w:tc>
        <w:tc>
          <w:tcPr>
            <w:tcW w:w="730" w:type="dxa"/>
            <w:shd w:val="clear" w:color="auto" w:fill="4AACC5"/>
          </w:tcPr>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spacing w:before="10"/>
              <w:ind w:left="0"/>
              <w:rPr>
                <w:rFonts w:ascii="Times New Roman"/>
                <w:sz w:val="21"/>
              </w:rPr>
            </w:pPr>
          </w:p>
          <w:p>
            <w:pPr>
              <w:pStyle w:val="TableParagraph"/>
              <w:ind w:right="770"/>
              <w:rPr>
                <w:sz w:val="22"/>
              </w:rPr>
            </w:pPr>
            <w:r>
              <w:rPr>
                <w:sz w:val="22"/>
              </w:rPr>
              <w:t>Redes informales</w:t>
            </w:r>
          </w:p>
        </w:tc>
        <w:tc>
          <w:tcPr>
            <w:tcW w:w="3259" w:type="dxa"/>
          </w:tcPr>
          <w:p>
            <w:pPr>
              <w:pStyle w:val="TableParagraph"/>
              <w:ind w:right="100"/>
              <w:jc w:val="both"/>
              <w:rPr>
                <w:sz w:val="22"/>
              </w:rPr>
            </w:pPr>
            <w:r>
              <w:rPr>
                <w:sz w:val="22"/>
              </w:rPr>
              <w:t>Entendidas como la capacidad histórica de interrelación comunitaria informal en los municipios de la CHPH para tratar asuntos políticos comunes,  pero  limitadas a las</w:t>
            </w:r>
          </w:p>
        </w:tc>
        <w:tc>
          <w:tcPr>
            <w:tcW w:w="2211" w:type="dxa"/>
          </w:tcPr>
          <w:p>
            <w:pPr>
              <w:pStyle w:val="TableParagraph"/>
              <w:ind w:left="235" w:right="238" w:firstLine="5"/>
              <w:jc w:val="center"/>
              <w:rPr>
                <w:b/>
                <w:sz w:val="22"/>
              </w:rPr>
            </w:pPr>
            <w:r>
              <w:rPr>
                <w:b/>
                <w:sz w:val="22"/>
              </w:rPr>
              <w:t># de alianzas informales entre los actores de la CHPH para atender asuntos políticos</w:t>
            </w:r>
          </w:p>
        </w:tc>
        <w:tc>
          <w:tcPr>
            <w:tcW w:w="2835" w:type="dxa"/>
          </w:tcPr>
          <w:p>
            <w:pPr>
              <w:pStyle w:val="TableParagraph"/>
              <w:tabs>
                <w:tab w:pos="1405" w:val="left" w:leader="none"/>
                <w:tab w:pos="1981" w:val="left" w:leader="none"/>
                <w:tab w:pos="2072" w:val="left" w:leader="none"/>
                <w:tab w:pos="2440" w:val="left" w:leader="none"/>
              </w:tabs>
              <w:ind w:left="100" w:right="101"/>
              <w:rPr>
                <w:sz w:val="22"/>
              </w:rPr>
            </w:pPr>
            <w:r>
              <w:rPr>
                <w:sz w:val="22"/>
              </w:rPr>
              <w:t>Cantidad</w:t>
              <w:tab/>
              <w:t>de</w:t>
              <w:tab/>
              <w:tab/>
              <w:t>pactos consuetudinarios</w:t>
              <w:tab/>
              <w:t>de</w:t>
              <w:tab/>
              <w:t>los actores de los municipios de la CHPH para atender sus problemas comunes. (Ejemplo:  arreglos para</w:t>
            </w:r>
            <w:r>
              <w:rPr>
                <w:spacing w:val="27"/>
                <w:sz w:val="22"/>
              </w:rPr>
              <w:t> </w:t>
            </w:r>
            <w:r>
              <w:rPr>
                <w:sz w:val="22"/>
              </w:rPr>
              <w:t>la</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768" w:hRule="exact"/>
        </w:trPr>
        <w:tc>
          <w:tcPr>
            <w:tcW w:w="852" w:type="dxa"/>
            <w:shd w:val="clear" w:color="auto" w:fill="4AACC5"/>
          </w:tcPr>
          <w:p>
            <w:pPr/>
          </w:p>
        </w:tc>
        <w:tc>
          <w:tcPr>
            <w:tcW w:w="730" w:type="dxa"/>
            <w:shd w:val="clear" w:color="auto" w:fill="4AACC5"/>
          </w:tcPr>
          <w:p>
            <w:pPr/>
          </w:p>
        </w:tc>
        <w:tc>
          <w:tcPr>
            <w:tcW w:w="1918" w:type="dxa"/>
          </w:tcPr>
          <w:p>
            <w:pPr/>
          </w:p>
        </w:tc>
        <w:tc>
          <w:tcPr>
            <w:tcW w:w="3259" w:type="dxa"/>
          </w:tcPr>
          <w:p>
            <w:pPr>
              <w:pStyle w:val="TableParagraph"/>
              <w:ind w:right="99"/>
              <w:jc w:val="both"/>
              <w:rPr>
                <w:sz w:val="22"/>
              </w:rPr>
            </w:pPr>
            <w:r>
              <w:rPr>
                <w:sz w:val="22"/>
              </w:rPr>
              <w:t>acciones locales que  inhiben el desarrollo regional (García, TC:</w:t>
            </w:r>
            <w:r>
              <w:rPr>
                <w:spacing w:val="-4"/>
                <w:sz w:val="22"/>
              </w:rPr>
              <w:t> </w:t>
            </w:r>
            <w:r>
              <w:rPr>
                <w:sz w:val="22"/>
              </w:rPr>
              <w:t>2013-2015).</w:t>
            </w:r>
          </w:p>
        </w:tc>
        <w:tc>
          <w:tcPr>
            <w:tcW w:w="2211" w:type="dxa"/>
          </w:tcPr>
          <w:p>
            <w:pPr/>
          </w:p>
        </w:tc>
        <w:tc>
          <w:tcPr>
            <w:tcW w:w="2835" w:type="dxa"/>
          </w:tcPr>
          <w:p>
            <w:pPr>
              <w:pStyle w:val="TableParagraph"/>
              <w:spacing w:line="252" w:lineRule="exact" w:before="2"/>
              <w:ind w:left="100" w:right="181"/>
              <w:rPr>
                <w:sz w:val="22"/>
              </w:rPr>
            </w:pPr>
            <w:r>
              <w:rPr>
                <w:sz w:val="22"/>
              </w:rPr>
              <w:t>pesca y la caza de aves migratorias).</w:t>
            </w:r>
          </w:p>
        </w:tc>
      </w:tr>
      <w:tr>
        <w:trPr>
          <w:trHeight w:val="2288"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4" w:right="124"/>
              <w:jc w:val="center"/>
              <w:rPr>
                <w:b/>
                <w:sz w:val="22"/>
              </w:rPr>
            </w:pPr>
            <w:r>
              <w:rPr>
                <w:b/>
                <w:sz w:val="22"/>
              </w:rPr>
              <w:t>I10P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623"/>
              <w:rPr>
                <w:sz w:val="22"/>
              </w:rPr>
            </w:pPr>
            <w:r>
              <w:rPr>
                <w:sz w:val="22"/>
              </w:rPr>
              <w:t>Normas excluyentes</w:t>
            </w:r>
          </w:p>
        </w:tc>
        <w:tc>
          <w:tcPr>
            <w:tcW w:w="3259" w:type="dxa"/>
          </w:tcPr>
          <w:p>
            <w:pPr>
              <w:pStyle w:val="TableParagraph"/>
              <w:spacing w:before="8"/>
              <w:ind w:left="0"/>
              <w:rPr>
                <w:rFonts w:ascii="Times New Roman"/>
                <w:sz w:val="32"/>
              </w:rPr>
            </w:pPr>
          </w:p>
          <w:p>
            <w:pPr>
              <w:pStyle w:val="TableParagraph"/>
              <w:spacing w:before="1"/>
              <w:ind w:right="97"/>
              <w:jc w:val="both"/>
              <w:rPr>
                <w:sz w:val="22"/>
              </w:rPr>
            </w:pPr>
            <w:r>
              <w:rPr>
                <w:sz w:val="22"/>
              </w:rPr>
              <w:t>Legislación vigente que excluye a los actores de la CHPH, y que privilegia a los grupos poderosos para el uso de los recursos (García, TC: 2013-2015).</w:t>
            </w:r>
          </w:p>
        </w:tc>
        <w:tc>
          <w:tcPr>
            <w:tcW w:w="2211"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254" w:right="254" w:hanging="3"/>
              <w:jc w:val="center"/>
              <w:rPr>
                <w:b/>
                <w:sz w:val="22"/>
              </w:rPr>
            </w:pPr>
            <w:r>
              <w:rPr>
                <w:b/>
                <w:sz w:val="22"/>
              </w:rPr>
              <w:t># de leyes vigentes que excluyen a algunos actores históricos de la CHPH</w:t>
            </w:r>
          </w:p>
        </w:tc>
        <w:tc>
          <w:tcPr>
            <w:tcW w:w="2835" w:type="dxa"/>
          </w:tcPr>
          <w:p>
            <w:pPr>
              <w:pStyle w:val="TableParagraph"/>
              <w:ind w:left="100" w:right="102"/>
              <w:jc w:val="both"/>
              <w:rPr>
                <w:sz w:val="22"/>
              </w:rPr>
            </w:pPr>
            <w:r>
              <w:rPr>
                <w:sz w:val="22"/>
              </w:rPr>
              <w:t>Cantidad de normas vigentes que regulan las acciones de los actores históricos de la CHPH y que establecen las reglas del reparto de  los recursos.</w:t>
            </w:r>
          </w:p>
          <w:p>
            <w:pPr>
              <w:pStyle w:val="TableParagraph"/>
              <w:ind w:left="100" w:right="103"/>
              <w:jc w:val="both"/>
              <w:rPr>
                <w:sz w:val="22"/>
              </w:rPr>
            </w:pPr>
            <w:r>
              <w:rPr>
                <w:sz w:val="22"/>
              </w:rPr>
              <w:t>(Ejemplo: Ley de Aguas Nacionales).</w:t>
            </w:r>
          </w:p>
        </w:tc>
      </w:tr>
      <w:tr>
        <w:trPr>
          <w:trHeight w:val="3552"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4" w:right="124"/>
              <w:jc w:val="center"/>
              <w:rPr>
                <w:b/>
                <w:sz w:val="22"/>
              </w:rPr>
            </w:pPr>
            <w:r>
              <w:rPr>
                <w:b/>
                <w:sz w:val="22"/>
              </w:rPr>
              <w:t>I11P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550"/>
              <w:rPr>
                <w:sz w:val="22"/>
              </w:rPr>
            </w:pPr>
            <w:r>
              <w:rPr>
                <w:sz w:val="22"/>
              </w:rPr>
              <w:t>Descontento social</w:t>
            </w:r>
          </w:p>
        </w:tc>
        <w:tc>
          <w:tcPr>
            <w:tcW w:w="3259" w:type="dxa"/>
          </w:tcPr>
          <w:p>
            <w:pPr>
              <w:pStyle w:val="TableParagraph"/>
              <w:ind w:right="96"/>
              <w:jc w:val="both"/>
              <w:rPr>
                <w:sz w:val="22"/>
              </w:rPr>
            </w:pPr>
            <w:r>
              <w:rPr>
                <w:sz w:val="22"/>
              </w:rPr>
              <w:t>Los actores de la CHPH están en desacuerdo que instancias gubernamentales como la Conagua administren y distribuyan inequitativamente los recursos de la Cuenca, ya que benefician a solo  una parte de los de actores de la Cuenca (municipios de aguas abajo en perjuicio de los municipios de aguas arriba), generando un conflicto sociopolítico en la CHPH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144" w:right="144"/>
              <w:jc w:val="center"/>
              <w:rPr>
                <w:b/>
                <w:sz w:val="22"/>
              </w:rPr>
            </w:pPr>
            <w:r>
              <w:rPr>
                <w:b/>
                <w:sz w:val="22"/>
              </w:rPr>
              <w:t>Manifestaciones públicas de los actores de la CHPH en trabajo de campo (adimensional)</w:t>
            </w:r>
          </w:p>
        </w:tc>
        <w:tc>
          <w:tcPr>
            <w:tcW w:w="2835" w:type="dxa"/>
          </w:tcPr>
          <w:p>
            <w:pPr>
              <w:pStyle w:val="TableParagraph"/>
              <w:tabs>
                <w:tab w:pos="909" w:val="left" w:leader="none"/>
                <w:tab w:pos="1410" w:val="left" w:leader="none"/>
                <w:tab w:pos="1705" w:val="left" w:leader="none"/>
                <w:tab w:pos="2439" w:val="left" w:leader="none"/>
                <w:tab w:pos="2473" w:val="left" w:leader="none"/>
                <w:tab w:pos="2610" w:val="left" w:leader="none"/>
              </w:tabs>
              <w:ind w:left="100" w:right="101"/>
              <w:rPr>
                <w:sz w:val="22"/>
              </w:rPr>
            </w:pPr>
            <w:r>
              <w:rPr>
                <w:sz w:val="22"/>
              </w:rPr>
              <w:t>Declaraciones públicas de los actores de la CHPH con respecto al reparto inequitativo</w:t>
              <w:tab/>
              <w:tab/>
              <w:t>de</w:t>
              <w:tab/>
              <w:t>los recursos de la Cuenca. (Ejemplo: desacuerdo de los actores históricos de los</w:t>
              <w:tab/>
              <w:t>municipios</w:t>
              <w:tab/>
              <w:tab/>
              <w:t>de Acambay,</w:t>
              <w:tab/>
              <w:t>Jilotepec</w:t>
              <w:tab/>
              <w:tab/>
              <w:tab/>
              <w:t>y Timilpan con el reparto del agua para riego de la presa Huapango, ya que sólo se beneficia a Aculco y</w:t>
            </w:r>
            <w:r>
              <w:rPr>
                <w:spacing w:val="-2"/>
                <w:sz w:val="22"/>
              </w:rPr>
              <w:t> </w:t>
            </w:r>
            <w:r>
              <w:rPr>
                <w:sz w:val="22"/>
              </w:rPr>
              <w:t>Polotitlán).</w:t>
            </w:r>
          </w:p>
        </w:tc>
      </w:tr>
      <w:tr>
        <w:trPr>
          <w:trHeight w:val="2033"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R1P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
              <w:jc w:val="center"/>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684"/>
              <w:rPr>
                <w:sz w:val="22"/>
              </w:rPr>
            </w:pPr>
            <w:r>
              <w:rPr>
                <w:sz w:val="22"/>
              </w:rPr>
              <w:t>Acción colectiva_1</w:t>
            </w:r>
          </w:p>
        </w:tc>
        <w:tc>
          <w:tcPr>
            <w:tcW w:w="3259" w:type="dxa"/>
          </w:tcPr>
          <w:p>
            <w:pPr>
              <w:pStyle w:val="TableParagraph"/>
              <w:tabs>
                <w:tab w:pos="2301" w:val="left" w:leader="none"/>
              </w:tabs>
              <w:spacing w:before="125"/>
              <w:ind w:right="97"/>
              <w:jc w:val="both"/>
              <w:rPr>
                <w:sz w:val="22"/>
              </w:rPr>
            </w:pPr>
            <w:r>
              <w:rPr>
                <w:sz w:val="22"/>
              </w:rPr>
              <w:t>Utilización de las estructuras históricas de los actores de la CHPH para realizar acciones sociopolíticas</w:t>
              <w:tab/>
              <w:t>formales conjuntas en beneficio de toda la región (García, TC: 2013- 2015).</w:t>
            </w:r>
          </w:p>
        </w:tc>
        <w:tc>
          <w:tcPr>
            <w:tcW w:w="2211" w:type="dxa"/>
          </w:tcPr>
          <w:p>
            <w:pPr>
              <w:pStyle w:val="TableParagraph"/>
              <w:spacing w:before="6"/>
              <w:ind w:left="0"/>
              <w:rPr>
                <w:rFonts w:ascii="Times New Roman"/>
                <w:sz w:val="32"/>
              </w:rPr>
            </w:pPr>
          </w:p>
          <w:p>
            <w:pPr>
              <w:pStyle w:val="TableParagraph"/>
              <w:ind w:left="125" w:right="128" w:firstLine="6"/>
              <w:jc w:val="center"/>
              <w:rPr>
                <w:b/>
                <w:sz w:val="22"/>
              </w:rPr>
            </w:pPr>
            <w:r>
              <w:rPr>
                <w:b/>
                <w:sz w:val="22"/>
              </w:rPr>
              <w:t>Colaboración entre actores de la CHPH para la acción colectiva (adimensional)</w:t>
            </w:r>
          </w:p>
        </w:tc>
        <w:tc>
          <w:tcPr>
            <w:tcW w:w="2835" w:type="dxa"/>
          </w:tcPr>
          <w:p>
            <w:pPr>
              <w:pStyle w:val="TableParagraph"/>
              <w:tabs>
                <w:tab w:pos="726" w:val="left" w:leader="none"/>
                <w:tab w:pos="1251" w:val="left" w:leader="none"/>
                <w:tab w:pos="1767" w:val="left" w:leader="none"/>
                <w:tab w:pos="2281" w:val="left" w:leader="none"/>
              </w:tabs>
              <w:ind w:left="100" w:right="102"/>
              <w:rPr>
                <w:sz w:val="22"/>
              </w:rPr>
            </w:pPr>
            <w:r>
              <w:rPr>
                <w:sz w:val="22"/>
              </w:rPr>
              <w:t>Conjunto</w:t>
              <w:tab/>
              <w:t>de</w:t>
              <w:tab/>
            </w:r>
            <w:r>
              <w:rPr>
                <w:spacing w:val="-1"/>
                <w:sz w:val="22"/>
              </w:rPr>
              <w:t>esfuerzos </w:t>
            </w:r>
            <w:r>
              <w:rPr>
                <w:sz w:val="22"/>
              </w:rPr>
              <w:t>colectivos de los actores de</w:t>
              <w:tab/>
              <w:t>la</w:t>
              <w:tab/>
              <w:t>CHPH</w:t>
              <w:tab/>
            </w:r>
            <w:r>
              <w:rPr>
                <w:spacing w:val="-1"/>
                <w:sz w:val="22"/>
              </w:rPr>
              <w:t>para </w:t>
            </w:r>
            <w:r>
              <w:rPr>
                <w:sz w:val="22"/>
              </w:rPr>
              <w:t>solucionar la problemática sociopolítica común. (Ejemplo: aún no existen acciones colectivas de los actores  de  la  CHPH</w:t>
            </w:r>
            <w:r>
              <w:rPr>
                <w:spacing w:val="-18"/>
                <w:sz w:val="22"/>
              </w:rPr>
              <w:t> </w:t>
            </w:r>
            <w:r>
              <w:rPr>
                <w:sz w:val="22"/>
              </w:rPr>
              <w:t>para</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516" w:hRule="exact"/>
        </w:trPr>
        <w:tc>
          <w:tcPr>
            <w:tcW w:w="852" w:type="dxa"/>
            <w:shd w:val="clear" w:color="auto" w:fill="4AACC5"/>
          </w:tcPr>
          <w:p>
            <w:pPr/>
          </w:p>
        </w:tc>
        <w:tc>
          <w:tcPr>
            <w:tcW w:w="730" w:type="dxa"/>
            <w:shd w:val="clear" w:color="auto" w:fill="4AACC5"/>
          </w:tcPr>
          <w:p>
            <w:pPr/>
          </w:p>
        </w:tc>
        <w:tc>
          <w:tcPr>
            <w:tcW w:w="1918" w:type="dxa"/>
          </w:tcPr>
          <w:p>
            <w:pPr/>
          </w:p>
        </w:tc>
        <w:tc>
          <w:tcPr>
            <w:tcW w:w="3259" w:type="dxa"/>
          </w:tcPr>
          <w:p>
            <w:pPr/>
          </w:p>
        </w:tc>
        <w:tc>
          <w:tcPr>
            <w:tcW w:w="2211" w:type="dxa"/>
          </w:tcPr>
          <w:p>
            <w:pPr/>
          </w:p>
        </w:tc>
        <w:tc>
          <w:tcPr>
            <w:tcW w:w="2835" w:type="dxa"/>
          </w:tcPr>
          <w:p>
            <w:pPr>
              <w:pStyle w:val="TableParagraph"/>
              <w:spacing w:line="252" w:lineRule="exact" w:before="2"/>
              <w:ind w:left="100" w:right="181"/>
              <w:rPr>
                <w:sz w:val="22"/>
              </w:rPr>
            </w:pPr>
            <w:r>
              <w:rPr>
                <w:sz w:val="22"/>
              </w:rPr>
              <w:t>solucionar sus problemas sociopolíticos).</w:t>
            </w:r>
          </w:p>
        </w:tc>
      </w:tr>
      <w:tr>
        <w:trPr>
          <w:trHeight w:val="2540"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R2P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611"/>
              <w:rPr>
                <w:sz w:val="22"/>
              </w:rPr>
            </w:pPr>
            <w:r>
              <w:rPr>
                <w:sz w:val="22"/>
              </w:rPr>
              <w:t>Democracia política</w:t>
            </w:r>
          </w:p>
        </w:tc>
        <w:tc>
          <w:tcPr>
            <w:tcW w:w="3259" w:type="dxa"/>
          </w:tcPr>
          <w:p>
            <w:pPr>
              <w:pStyle w:val="TableParagraph"/>
              <w:spacing w:before="8"/>
              <w:ind w:left="0"/>
              <w:rPr>
                <w:rFonts w:ascii="Times New Roman"/>
                <w:sz w:val="21"/>
              </w:rPr>
            </w:pPr>
          </w:p>
          <w:p>
            <w:pPr>
              <w:pStyle w:val="TableParagraph"/>
              <w:tabs>
                <w:tab w:pos="1828" w:val="left" w:leader="none"/>
              </w:tabs>
              <w:ind w:right="96"/>
              <w:jc w:val="both"/>
              <w:rPr>
                <w:sz w:val="22"/>
              </w:rPr>
            </w:pPr>
            <w:r>
              <w:rPr>
                <w:sz w:val="22"/>
              </w:rPr>
              <w:t>Probabilidad de que  los actores sociopolíticos de la CHPH tengan la posibilidad de participar en las decisiones colectivas para solucionar sus problemas</w:t>
              <w:tab/>
            </w:r>
            <w:r>
              <w:rPr>
                <w:spacing w:val="-1"/>
                <w:sz w:val="22"/>
              </w:rPr>
              <w:t>sociopolíticos </w:t>
            </w:r>
            <w:r>
              <w:rPr>
                <w:sz w:val="22"/>
              </w:rPr>
              <w:t>comunes (García, TC: 2013- 2015).</w:t>
            </w:r>
          </w:p>
        </w:tc>
        <w:tc>
          <w:tcPr>
            <w:tcW w:w="2211" w:type="dxa"/>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235" w:right="238" w:firstLine="4"/>
              <w:jc w:val="center"/>
              <w:rPr>
                <w:b/>
                <w:sz w:val="22"/>
              </w:rPr>
            </w:pPr>
            <w:r>
              <w:rPr>
                <w:b/>
                <w:sz w:val="22"/>
              </w:rPr>
              <w:t>Participación sociopolítica de los actores de la CHPH</w:t>
            </w:r>
          </w:p>
          <w:p>
            <w:pPr>
              <w:pStyle w:val="TableParagraph"/>
              <w:spacing w:line="253" w:lineRule="exact"/>
              <w:ind w:left="143" w:right="144"/>
              <w:jc w:val="center"/>
              <w:rPr>
                <w:b/>
                <w:sz w:val="22"/>
              </w:rPr>
            </w:pPr>
            <w:r>
              <w:rPr>
                <w:b/>
                <w:sz w:val="22"/>
              </w:rPr>
              <w:t>(adimensional)</w:t>
            </w:r>
          </w:p>
        </w:tc>
        <w:tc>
          <w:tcPr>
            <w:tcW w:w="2835" w:type="dxa"/>
          </w:tcPr>
          <w:p>
            <w:pPr>
              <w:pStyle w:val="TableParagraph"/>
              <w:tabs>
                <w:tab w:pos="549" w:val="left" w:leader="none"/>
                <w:tab w:pos="923" w:val="left" w:leader="none"/>
                <w:tab w:pos="971" w:val="left" w:leader="none"/>
                <w:tab w:pos="1309" w:val="left" w:leader="none"/>
                <w:tab w:pos="1931" w:val="left" w:leader="none"/>
                <w:tab w:pos="2281" w:val="left" w:leader="none"/>
                <w:tab w:pos="2380" w:val="left" w:leader="none"/>
                <w:tab w:pos="2472" w:val="left" w:leader="none"/>
              </w:tabs>
              <w:ind w:left="100" w:right="101"/>
              <w:rPr>
                <w:sz w:val="22"/>
              </w:rPr>
            </w:pPr>
            <w:r>
              <w:rPr>
                <w:sz w:val="22"/>
              </w:rPr>
              <w:t>La posibilidad de intervenir de los actores de la CHPH en</w:t>
              <w:tab/>
              <w:t>la</w:t>
              <w:tab/>
              <w:t>solución</w:t>
              <w:tab/>
              <w:t>de</w:t>
              <w:tab/>
              <w:tab/>
            </w:r>
            <w:r>
              <w:rPr>
                <w:spacing w:val="-1"/>
                <w:sz w:val="22"/>
              </w:rPr>
              <w:t>sus </w:t>
            </w:r>
            <w:r>
              <w:rPr>
                <w:sz w:val="22"/>
              </w:rPr>
              <w:t>problemas comunes. (Ejemplo:</w:t>
              <w:tab/>
              <w:t>aún</w:t>
              <w:tab/>
              <w:t>no</w:t>
              <w:tab/>
              <w:tab/>
              <w:tab/>
              <w:t>ha existido una participación colectiva en la CHPH de los</w:t>
              <w:tab/>
              <w:tab/>
              <w:tab/>
              <w:t>actores</w:t>
              <w:tab/>
              <w:tab/>
            </w:r>
            <w:r>
              <w:rPr>
                <w:spacing w:val="-1"/>
                <w:sz w:val="22"/>
              </w:rPr>
              <w:t>para </w:t>
            </w:r>
            <w:r>
              <w:rPr>
                <w:sz w:val="22"/>
              </w:rPr>
              <w:t>solucionar sus problemas sociopolíticos).</w:t>
            </w:r>
          </w:p>
        </w:tc>
      </w:tr>
      <w:tr>
        <w:trPr>
          <w:trHeight w:val="3298"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R3P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spacing w:before="1"/>
              <w:ind w:right="232"/>
              <w:rPr>
                <w:sz w:val="22"/>
              </w:rPr>
            </w:pPr>
            <w:r>
              <w:rPr>
                <w:sz w:val="22"/>
              </w:rPr>
              <w:t>Derecho consuetudinario</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tabs>
                <w:tab w:pos="2133" w:val="left" w:leader="none"/>
              </w:tabs>
              <w:ind w:right="99"/>
              <w:jc w:val="both"/>
              <w:rPr>
                <w:sz w:val="22"/>
              </w:rPr>
            </w:pPr>
            <w:r>
              <w:rPr>
                <w:sz w:val="22"/>
              </w:rPr>
              <w:t>Generar reglas formales e informales a través de las relaciones</w:t>
              <w:tab/>
            </w:r>
            <w:r>
              <w:rPr>
                <w:spacing w:val="-1"/>
                <w:sz w:val="22"/>
              </w:rPr>
              <w:t>informales </w:t>
            </w:r>
            <w:r>
              <w:rPr>
                <w:sz w:val="22"/>
              </w:rPr>
              <w:t>históricas basadas en los usos y costumbres que  existen entre los actores de la CHPH (García, TC:</w:t>
            </w:r>
            <w:r>
              <w:rPr>
                <w:spacing w:val="-6"/>
                <w:sz w:val="22"/>
              </w:rPr>
              <w:t> </w:t>
            </w:r>
            <w:r>
              <w:rPr>
                <w:sz w:val="22"/>
              </w:rPr>
              <w:t>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194" w:right="192" w:hanging="3"/>
              <w:jc w:val="center"/>
              <w:rPr>
                <w:b/>
                <w:sz w:val="22"/>
              </w:rPr>
            </w:pPr>
            <w:r>
              <w:rPr>
                <w:b/>
                <w:sz w:val="22"/>
              </w:rPr>
              <w:t># de reglas formales e informales de los actores de la CHPH</w:t>
            </w:r>
          </w:p>
        </w:tc>
        <w:tc>
          <w:tcPr>
            <w:tcW w:w="2835" w:type="dxa"/>
          </w:tcPr>
          <w:p>
            <w:pPr>
              <w:pStyle w:val="TableParagraph"/>
              <w:tabs>
                <w:tab w:pos="935" w:val="left" w:leader="none"/>
                <w:tab w:pos="1264" w:val="left" w:leader="none"/>
                <w:tab w:pos="1429" w:val="left" w:leader="none"/>
                <w:tab w:pos="1705" w:val="left" w:leader="none"/>
                <w:tab w:pos="1981" w:val="left" w:leader="none"/>
                <w:tab w:pos="2121" w:val="left" w:leader="none"/>
                <w:tab w:pos="2439" w:val="left" w:leader="none"/>
              </w:tabs>
              <w:ind w:left="100" w:right="102"/>
              <w:rPr>
                <w:sz w:val="22"/>
              </w:rPr>
            </w:pPr>
            <w:r>
              <w:rPr>
                <w:sz w:val="22"/>
              </w:rPr>
              <w:t>Cantidad</w:t>
              <w:tab/>
              <w:tab/>
              <w:t>de</w:t>
              <w:tab/>
              <w:tab/>
              <w:tab/>
            </w:r>
            <w:r>
              <w:rPr>
                <w:spacing w:val="-1"/>
                <w:sz w:val="22"/>
              </w:rPr>
              <w:t>reglas </w:t>
            </w:r>
            <w:r>
              <w:rPr>
                <w:sz w:val="22"/>
              </w:rPr>
              <w:t>formales</w:t>
              <w:tab/>
              <w:t>e</w:t>
              <w:tab/>
              <w:tab/>
            </w:r>
            <w:r>
              <w:rPr>
                <w:spacing w:val="-1"/>
                <w:sz w:val="22"/>
              </w:rPr>
              <w:t>informales </w:t>
            </w:r>
            <w:r>
              <w:rPr>
                <w:sz w:val="22"/>
              </w:rPr>
              <w:t>entre los actores de la CHPH</w:t>
              <w:tab/>
              <w:t>basadas</w:t>
              <w:tab/>
              <w:t>en</w:t>
              <w:tab/>
              <w:t>los usos y costumbres de la región para regular el uso, cuidado y defensa de los recursos de la Cuenca. (Ejemplo: aún no existen reglas entre los actores de la CHPH para regular el uso, cuidado y defensa de los recursos</w:t>
            </w:r>
            <w:r>
              <w:rPr>
                <w:spacing w:val="-4"/>
                <w:sz w:val="22"/>
              </w:rPr>
              <w:t> </w:t>
            </w:r>
            <w:r>
              <w:rPr>
                <w:sz w:val="22"/>
              </w:rPr>
              <w:t>naturales)</w:t>
            </w:r>
          </w:p>
        </w:tc>
      </w:tr>
      <w:tr>
        <w:trPr>
          <w:trHeight w:val="2288"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23" w:right="124"/>
              <w:jc w:val="center"/>
              <w:rPr>
                <w:b/>
                <w:sz w:val="22"/>
              </w:rPr>
            </w:pPr>
            <w:r>
              <w:rPr>
                <w:b/>
                <w:sz w:val="22"/>
              </w:rPr>
              <w:t>R4P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right="526"/>
              <w:rPr>
                <w:sz w:val="22"/>
              </w:rPr>
            </w:pPr>
            <w:r>
              <w:rPr>
                <w:sz w:val="22"/>
              </w:rPr>
              <w:t>Acuerdos formales e informales_1</w:t>
            </w:r>
          </w:p>
        </w:tc>
        <w:tc>
          <w:tcPr>
            <w:tcW w:w="3259" w:type="dxa"/>
          </w:tcPr>
          <w:p>
            <w:pPr>
              <w:pStyle w:val="TableParagraph"/>
              <w:spacing w:before="10"/>
              <w:ind w:left="0"/>
              <w:rPr>
                <w:rFonts w:ascii="Times New Roman"/>
                <w:sz w:val="21"/>
              </w:rPr>
            </w:pPr>
          </w:p>
          <w:p>
            <w:pPr>
              <w:pStyle w:val="TableParagraph"/>
              <w:ind w:right="98"/>
              <w:jc w:val="both"/>
              <w:rPr>
                <w:sz w:val="22"/>
              </w:rPr>
            </w:pPr>
            <w:r>
              <w:rPr>
                <w:sz w:val="22"/>
              </w:rPr>
              <w:t>Son una serie de herramientas políticas que permiten una interrelación sociopolítica en la CHPH para tomar decisiones conjuntas en torno a una problemática común (García, TC: 2013-2015).</w:t>
            </w:r>
          </w:p>
        </w:tc>
        <w:tc>
          <w:tcPr>
            <w:tcW w:w="2211"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94" w:right="192" w:hanging="2"/>
              <w:jc w:val="center"/>
              <w:rPr>
                <w:b/>
                <w:sz w:val="22"/>
              </w:rPr>
            </w:pPr>
            <w:r>
              <w:rPr>
                <w:b/>
                <w:sz w:val="22"/>
              </w:rPr>
              <w:t># de acuerdos formales e informales de los actores de la CHPH</w:t>
            </w:r>
          </w:p>
        </w:tc>
        <w:tc>
          <w:tcPr>
            <w:tcW w:w="2835" w:type="dxa"/>
          </w:tcPr>
          <w:p>
            <w:pPr>
              <w:pStyle w:val="TableParagraph"/>
              <w:ind w:left="100" w:right="101"/>
              <w:jc w:val="both"/>
              <w:rPr>
                <w:sz w:val="22"/>
              </w:rPr>
            </w:pPr>
            <w:r>
              <w:rPr>
                <w:sz w:val="22"/>
              </w:rPr>
              <w:t>Cantidad de arreglos formales e informales de los actores de la CHPH que permiten la toma de decisiones consensadas en torno a una problemática sociopolítica común.</w:t>
            </w:r>
          </w:p>
          <w:p>
            <w:pPr>
              <w:pStyle w:val="TableParagraph"/>
              <w:spacing w:before="1"/>
              <w:ind w:left="100"/>
              <w:jc w:val="both"/>
              <w:rPr>
                <w:sz w:val="22"/>
              </w:rPr>
            </w:pPr>
            <w:r>
              <w:rPr>
                <w:sz w:val="22"/>
              </w:rPr>
              <w:t>(Ejemplo:  aún  no  existen</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1274" w:hRule="exact"/>
        </w:trPr>
        <w:tc>
          <w:tcPr>
            <w:tcW w:w="852" w:type="dxa"/>
            <w:shd w:val="clear" w:color="auto" w:fill="4AACC5"/>
          </w:tcPr>
          <w:p>
            <w:pPr/>
          </w:p>
        </w:tc>
        <w:tc>
          <w:tcPr>
            <w:tcW w:w="730" w:type="dxa"/>
            <w:shd w:val="clear" w:color="auto" w:fill="4AACC5"/>
          </w:tcPr>
          <w:p>
            <w:pPr/>
          </w:p>
        </w:tc>
        <w:tc>
          <w:tcPr>
            <w:tcW w:w="1918" w:type="dxa"/>
          </w:tcPr>
          <w:p>
            <w:pPr/>
          </w:p>
        </w:tc>
        <w:tc>
          <w:tcPr>
            <w:tcW w:w="3259" w:type="dxa"/>
          </w:tcPr>
          <w:p>
            <w:pPr/>
          </w:p>
        </w:tc>
        <w:tc>
          <w:tcPr>
            <w:tcW w:w="2211" w:type="dxa"/>
          </w:tcPr>
          <w:p>
            <w:pPr/>
          </w:p>
        </w:tc>
        <w:tc>
          <w:tcPr>
            <w:tcW w:w="2835" w:type="dxa"/>
          </w:tcPr>
          <w:p>
            <w:pPr>
              <w:pStyle w:val="TableParagraph"/>
              <w:ind w:left="100" w:right="101"/>
              <w:jc w:val="both"/>
              <w:rPr>
                <w:sz w:val="22"/>
              </w:rPr>
            </w:pPr>
            <w:r>
              <w:rPr>
                <w:sz w:val="22"/>
              </w:rPr>
              <w:t>acuerdos informales y formales entre los actores de la CHPH para solucionar sus problemas sociopolíticos).</w:t>
            </w:r>
          </w:p>
        </w:tc>
      </w:tr>
      <w:tr>
        <w:trPr>
          <w:trHeight w:val="2540"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R5P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526"/>
              <w:rPr>
                <w:sz w:val="22"/>
              </w:rPr>
            </w:pPr>
            <w:r>
              <w:rPr>
                <w:sz w:val="22"/>
              </w:rPr>
              <w:t>Participación colectiva</w:t>
            </w:r>
          </w:p>
        </w:tc>
        <w:tc>
          <w:tcPr>
            <w:tcW w:w="3259"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98"/>
              <w:jc w:val="both"/>
              <w:rPr>
                <w:sz w:val="22"/>
              </w:rPr>
            </w:pPr>
            <w:r>
              <w:rPr>
                <w:sz w:val="22"/>
              </w:rPr>
              <w:t>Reconocimiento político de las organizaciones colectivas de los actores de la CHPH en la solución de la problemática sociopolítica común (García, TC: 2013-2015).</w:t>
            </w:r>
          </w:p>
        </w:tc>
        <w:tc>
          <w:tcPr>
            <w:tcW w:w="2211" w:type="dxa"/>
          </w:tcPr>
          <w:p>
            <w:pPr>
              <w:pStyle w:val="TableParagraph"/>
              <w:spacing w:before="122"/>
              <w:ind w:left="194" w:right="192" w:hanging="3"/>
              <w:jc w:val="center"/>
              <w:rPr>
                <w:b/>
                <w:sz w:val="22"/>
              </w:rPr>
            </w:pPr>
            <w:r>
              <w:rPr>
                <w:b/>
                <w:sz w:val="22"/>
              </w:rPr>
              <w:t># de     organizaciones formales e informales de los actores de la CHPH para solucionar sus problemas sociopolíticos</w:t>
            </w:r>
          </w:p>
        </w:tc>
        <w:tc>
          <w:tcPr>
            <w:tcW w:w="2835" w:type="dxa"/>
          </w:tcPr>
          <w:p>
            <w:pPr>
              <w:pStyle w:val="TableParagraph"/>
              <w:tabs>
                <w:tab w:pos="1461" w:val="left" w:leader="none"/>
              </w:tabs>
              <w:ind w:left="100" w:right="101"/>
              <w:rPr>
                <w:sz w:val="22"/>
              </w:rPr>
            </w:pPr>
            <w:r>
              <w:rPr>
                <w:sz w:val="22"/>
              </w:rPr>
              <w:t>Cantidad de agrupaciones formales e informales  en la CHPH para solucionar su</w:t>
              <w:tab/>
            </w:r>
            <w:r>
              <w:rPr>
                <w:spacing w:val="-1"/>
                <w:sz w:val="22"/>
              </w:rPr>
              <w:t>problemática </w:t>
            </w:r>
            <w:r>
              <w:rPr>
                <w:sz w:val="22"/>
              </w:rPr>
              <w:t>sociopolítica común. (Ejemplo: aún no existen organizaciones formales e informales para solucionar la</w:t>
              <w:tab/>
            </w:r>
            <w:r>
              <w:rPr>
                <w:spacing w:val="-1"/>
                <w:sz w:val="22"/>
              </w:rPr>
              <w:t>problemática </w:t>
            </w:r>
            <w:r>
              <w:rPr>
                <w:sz w:val="22"/>
              </w:rPr>
              <w:t>sociopolítica de la</w:t>
            </w:r>
            <w:r>
              <w:rPr>
                <w:spacing w:val="-8"/>
                <w:sz w:val="22"/>
              </w:rPr>
              <w:t> </w:t>
            </w:r>
            <w:r>
              <w:rPr>
                <w:sz w:val="22"/>
              </w:rPr>
              <w:t>CHPH).</w:t>
            </w:r>
          </w:p>
        </w:tc>
      </w:tr>
      <w:tr>
        <w:trPr>
          <w:trHeight w:val="3300"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R6P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26"/>
              <w:ind w:right="526"/>
              <w:rPr>
                <w:sz w:val="22"/>
              </w:rPr>
            </w:pPr>
            <w:r>
              <w:rPr>
                <w:sz w:val="22"/>
              </w:rPr>
              <w:t>Acuerdos formales e informales_2</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ind w:right="97"/>
              <w:jc w:val="both"/>
              <w:rPr>
                <w:sz w:val="22"/>
              </w:rPr>
            </w:pPr>
            <w:r>
              <w:rPr>
                <w:sz w:val="22"/>
              </w:rPr>
              <w:t>Son las interrelaciones sociopolíticas de los actores  de la CHPH basadas en la acción colectiva para hacer frente a sus problemas comunes (García, TC: 2013- 2015).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168" w:right="170" w:firstLine="2"/>
              <w:jc w:val="center"/>
              <w:rPr>
                <w:b/>
                <w:sz w:val="22"/>
              </w:rPr>
            </w:pPr>
            <w:r>
              <w:rPr>
                <w:b/>
                <w:sz w:val="22"/>
              </w:rPr>
              <w:t>Convenios formales e informales entre los actores de los municipios de la CHPH</w:t>
            </w:r>
          </w:p>
        </w:tc>
        <w:tc>
          <w:tcPr>
            <w:tcW w:w="2835" w:type="dxa"/>
          </w:tcPr>
          <w:p>
            <w:pPr>
              <w:pStyle w:val="TableParagraph"/>
              <w:tabs>
                <w:tab w:pos="746" w:val="left" w:leader="none"/>
                <w:tab w:pos="1017" w:val="left" w:leader="none"/>
                <w:tab w:pos="1340" w:val="left" w:leader="none"/>
                <w:tab w:pos="1379" w:val="left" w:leader="none"/>
                <w:tab w:pos="1527" w:val="left" w:leader="none"/>
                <w:tab w:pos="1832" w:val="left" w:leader="none"/>
                <w:tab w:pos="1950" w:val="left" w:leader="none"/>
                <w:tab w:pos="2439" w:val="left" w:leader="none"/>
                <w:tab w:pos="2595" w:val="left" w:leader="none"/>
              </w:tabs>
              <w:ind w:left="100" w:right="101"/>
              <w:rPr>
                <w:sz w:val="22"/>
              </w:rPr>
            </w:pPr>
            <w:r>
              <w:rPr>
                <w:sz w:val="22"/>
              </w:rPr>
              <w:t>Alianzas</w:t>
              <w:tab/>
              <w:tab/>
              <w:t>formales</w:t>
              <w:tab/>
              <w:tab/>
              <w:t>e informales que establecen los</w:t>
              <w:tab/>
              <w:t>actores</w:t>
              <w:tab/>
              <w:tab/>
              <w:t>de</w:t>
              <w:tab/>
              <w:t>los municipios que integran la CHPH para solucionar sus problemas sociopolíticos. (Ejemplo: aún no existen acuerdos</w:t>
              <w:tab/>
              <w:tab/>
              <w:tab/>
              <w:t>formales</w:t>
              <w:tab/>
              <w:tab/>
              <w:t>e informales</w:t>
              <w:tab/>
              <w:tab/>
              <w:tab/>
              <w:t>entre</w:t>
              <w:tab/>
              <w:t>los actores de la CHPH para hacer</w:t>
              <w:tab/>
              <w:tab/>
              <w:t>frente</w:t>
              <w:tab/>
              <w:tab/>
              <w:t>a</w:t>
              <w:tab/>
              <w:t>los problemas</w:t>
              <w:tab/>
              <w:tab/>
              <w:t>sociopolíticos</w:t>
            </w:r>
            <w:r>
              <w:rPr>
                <w:w w:val="100"/>
                <w:sz w:val="22"/>
              </w:rPr>
              <w:t> </w:t>
            </w:r>
            <w:r>
              <w:rPr>
                <w:sz w:val="22"/>
              </w:rPr>
              <w:t>comunes).</w:t>
            </w:r>
          </w:p>
        </w:tc>
      </w:tr>
      <w:tr>
        <w:trPr>
          <w:trHeight w:val="1527"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R7P</w:t>
            </w:r>
          </w:p>
        </w:tc>
        <w:tc>
          <w:tcPr>
            <w:tcW w:w="730" w:type="dxa"/>
            <w:shd w:val="clear" w:color="auto" w:fill="4AACC5"/>
          </w:tcPr>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spacing w:before="10"/>
              <w:ind w:left="0"/>
              <w:rPr>
                <w:rFonts w:ascii="Times New Roman"/>
                <w:sz w:val="21"/>
              </w:rPr>
            </w:pPr>
          </w:p>
          <w:p>
            <w:pPr>
              <w:pStyle w:val="TableParagraph"/>
              <w:ind w:right="684"/>
              <w:rPr>
                <w:sz w:val="22"/>
              </w:rPr>
            </w:pPr>
            <w:r>
              <w:rPr>
                <w:sz w:val="22"/>
              </w:rPr>
              <w:t>Acción colectiva_2</w:t>
            </w:r>
          </w:p>
        </w:tc>
        <w:tc>
          <w:tcPr>
            <w:tcW w:w="3259" w:type="dxa"/>
          </w:tcPr>
          <w:p>
            <w:pPr>
              <w:pStyle w:val="TableParagraph"/>
              <w:tabs>
                <w:tab w:pos="1034" w:val="left" w:leader="none"/>
                <w:tab w:pos="1890" w:val="left" w:leader="none"/>
              </w:tabs>
              <w:ind w:right="97"/>
              <w:jc w:val="both"/>
              <w:rPr>
                <w:sz w:val="22"/>
              </w:rPr>
            </w:pPr>
            <w:r>
              <w:rPr>
                <w:sz w:val="22"/>
              </w:rPr>
              <w:t>La participación conjunta de los actores de los municipios de la CHPH para la solución  de</w:t>
              <w:tab/>
              <w:t>la</w:t>
              <w:tab/>
            </w:r>
            <w:r>
              <w:rPr>
                <w:spacing w:val="-1"/>
                <w:sz w:val="22"/>
              </w:rPr>
              <w:t>problemática </w:t>
            </w:r>
            <w:r>
              <w:rPr>
                <w:sz w:val="22"/>
              </w:rPr>
              <w:t>sociopolítica en aras de acceder  equitativamente  a</w:t>
            </w:r>
            <w:r>
              <w:rPr>
                <w:spacing w:val="-5"/>
                <w:sz w:val="22"/>
              </w:rPr>
              <w:t> </w:t>
            </w:r>
            <w:r>
              <w:rPr>
                <w:sz w:val="22"/>
              </w:rPr>
              <w:t>los</w:t>
            </w:r>
          </w:p>
        </w:tc>
        <w:tc>
          <w:tcPr>
            <w:tcW w:w="2211" w:type="dxa"/>
          </w:tcPr>
          <w:p>
            <w:pPr>
              <w:pStyle w:val="TableParagraph"/>
              <w:ind w:left="127" w:right="125" w:firstLine="1"/>
              <w:jc w:val="center"/>
              <w:rPr>
                <w:b/>
                <w:sz w:val="22"/>
              </w:rPr>
            </w:pPr>
            <w:r>
              <w:rPr>
                <w:b/>
                <w:sz w:val="22"/>
              </w:rPr>
              <w:t>Colaboración sociopolítica entre los actores de los municipios de la CHPH</w:t>
            </w:r>
          </w:p>
          <w:p>
            <w:pPr>
              <w:pStyle w:val="TableParagraph"/>
              <w:spacing w:before="1"/>
              <w:ind w:left="143" w:right="144"/>
              <w:jc w:val="center"/>
              <w:rPr>
                <w:b/>
                <w:sz w:val="22"/>
              </w:rPr>
            </w:pPr>
            <w:r>
              <w:rPr>
                <w:b/>
                <w:sz w:val="22"/>
              </w:rPr>
              <w:t>(adimensional)</w:t>
            </w:r>
          </w:p>
        </w:tc>
        <w:tc>
          <w:tcPr>
            <w:tcW w:w="2835" w:type="dxa"/>
          </w:tcPr>
          <w:p>
            <w:pPr>
              <w:pStyle w:val="TableParagraph"/>
              <w:ind w:left="100" w:right="102"/>
              <w:jc w:val="both"/>
              <w:rPr>
                <w:sz w:val="22"/>
              </w:rPr>
            </w:pPr>
            <w:r>
              <w:rPr>
                <w:sz w:val="22"/>
              </w:rPr>
              <w:t>Conjunto de esfuerzos colectivos de los actores de la CHPH para solucionar la problemática sociopolítica de  la Cuenca.</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1274" w:hRule="exact"/>
        </w:trPr>
        <w:tc>
          <w:tcPr>
            <w:tcW w:w="852" w:type="dxa"/>
            <w:shd w:val="clear" w:color="auto" w:fill="4AACC5"/>
          </w:tcPr>
          <w:p>
            <w:pPr/>
          </w:p>
        </w:tc>
        <w:tc>
          <w:tcPr>
            <w:tcW w:w="730" w:type="dxa"/>
            <w:shd w:val="clear" w:color="auto" w:fill="4AACC5"/>
          </w:tcPr>
          <w:p>
            <w:pPr/>
          </w:p>
        </w:tc>
        <w:tc>
          <w:tcPr>
            <w:tcW w:w="1918" w:type="dxa"/>
          </w:tcPr>
          <w:p>
            <w:pPr/>
          </w:p>
        </w:tc>
        <w:tc>
          <w:tcPr>
            <w:tcW w:w="3259" w:type="dxa"/>
          </w:tcPr>
          <w:p>
            <w:pPr>
              <w:pStyle w:val="TableParagraph"/>
              <w:tabs>
                <w:tab w:pos="1290" w:val="left" w:leader="none"/>
                <w:tab w:pos="1878" w:val="left" w:leader="none"/>
                <w:tab w:pos="2388" w:val="left" w:leader="none"/>
              </w:tabs>
              <w:spacing w:line="252" w:lineRule="exact" w:before="2"/>
              <w:ind w:right="99"/>
              <w:rPr>
                <w:sz w:val="22"/>
              </w:rPr>
            </w:pPr>
            <w:r>
              <w:rPr>
                <w:sz w:val="22"/>
              </w:rPr>
              <w:t>recursos</w:t>
              <w:tab/>
              <w:t>de</w:t>
              <w:tab/>
              <w:t>la</w:t>
              <w:tab/>
              <w:t>Cuenca (García, TC:</w:t>
            </w:r>
            <w:r>
              <w:rPr>
                <w:spacing w:val="-7"/>
                <w:sz w:val="22"/>
              </w:rPr>
              <w:t> </w:t>
            </w:r>
            <w:r>
              <w:rPr>
                <w:sz w:val="22"/>
              </w:rPr>
              <w:t>2013-2015).</w:t>
            </w:r>
          </w:p>
        </w:tc>
        <w:tc>
          <w:tcPr>
            <w:tcW w:w="2211" w:type="dxa"/>
          </w:tcPr>
          <w:p>
            <w:pPr/>
          </w:p>
        </w:tc>
        <w:tc>
          <w:tcPr>
            <w:tcW w:w="2835" w:type="dxa"/>
          </w:tcPr>
          <w:p>
            <w:pPr>
              <w:pStyle w:val="TableParagraph"/>
              <w:ind w:left="100" w:right="101"/>
              <w:jc w:val="both"/>
              <w:rPr>
                <w:sz w:val="22"/>
              </w:rPr>
            </w:pPr>
            <w:r>
              <w:rPr>
                <w:sz w:val="22"/>
              </w:rPr>
              <w:t>(Ejemplo: aún no existen esfuerzos colectivos de  los actores de la CHPH para solucionar sus problemas</w:t>
            </w:r>
            <w:r>
              <w:rPr>
                <w:spacing w:val="-6"/>
                <w:sz w:val="22"/>
              </w:rPr>
              <w:t> </w:t>
            </w:r>
            <w:r>
              <w:rPr>
                <w:sz w:val="22"/>
              </w:rPr>
              <w:t>sociopolíticos).</w:t>
            </w:r>
          </w:p>
        </w:tc>
      </w:tr>
      <w:tr>
        <w:trPr>
          <w:trHeight w:val="2794"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05"/>
              <w:jc w:val="right"/>
              <w:rPr>
                <w:b/>
                <w:sz w:val="22"/>
              </w:rPr>
            </w:pPr>
            <w:r>
              <w:rPr>
                <w:b/>
                <w:sz w:val="22"/>
              </w:rPr>
              <w:t>R8P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158"/>
              <w:rPr>
                <w:sz w:val="22"/>
              </w:rPr>
            </w:pPr>
            <w:r>
              <w:rPr>
                <w:sz w:val="22"/>
              </w:rPr>
              <w:t>Reconocimiento de agrupaciones</w:t>
            </w:r>
          </w:p>
        </w:tc>
        <w:tc>
          <w:tcPr>
            <w:tcW w:w="3259" w:type="dxa"/>
          </w:tcPr>
          <w:p>
            <w:pPr>
              <w:pStyle w:val="TableParagraph"/>
              <w:spacing w:before="10"/>
              <w:ind w:left="0"/>
              <w:rPr>
                <w:rFonts w:ascii="Times New Roman"/>
                <w:sz w:val="21"/>
              </w:rPr>
            </w:pPr>
          </w:p>
          <w:p>
            <w:pPr>
              <w:pStyle w:val="TableParagraph"/>
              <w:ind w:right="97"/>
              <w:jc w:val="both"/>
              <w:rPr>
                <w:sz w:val="22"/>
              </w:rPr>
            </w:pPr>
            <w:r>
              <w:rPr>
                <w:sz w:val="22"/>
              </w:rPr>
              <w:t>Aceptación formal de la existencia de grupos históricos consolidados que se rigen por sus usos y costumbres para participar en acuerdos sociopolíticos intermunicipales para atender los problemas comunes de la Cuenca (García, TC:</w:t>
            </w:r>
            <w:r>
              <w:rPr>
                <w:spacing w:val="-7"/>
                <w:sz w:val="22"/>
              </w:rPr>
              <w:t> </w:t>
            </w:r>
            <w:r>
              <w:rPr>
                <w:sz w:val="22"/>
              </w:rPr>
              <w:t>2013-2015).</w:t>
            </w:r>
          </w:p>
        </w:tc>
        <w:tc>
          <w:tcPr>
            <w:tcW w:w="2211"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199" w:right="199" w:hanging="1"/>
              <w:jc w:val="center"/>
              <w:rPr>
                <w:b/>
                <w:sz w:val="22"/>
              </w:rPr>
            </w:pPr>
            <w:r>
              <w:rPr>
                <w:b/>
                <w:sz w:val="22"/>
              </w:rPr>
              <w:t>Reconocimiento formal de grupos históricos de los actores de la CHPH</w:t>
            </w:r>
          </w:p>
          <w:p>
            <w:pPr>
              <w:pStyle w:val="TableParagraph"/>
              <w:spacing w:before="1"/>
              <w:ind w:left="143" w:right="144"/>
              <w:jc w:val="center"/>
              <w:rPr>
                <w:b/>
                <w:sz w:val="22"/>
              </w:rPr>
            </w:pPr>
            <w:r>
              <w:rPr>
                <w:b/>
                <w:sz w:val="22"/>
              </w:rPr>
              <w:t>(adimensional)</w:t>
            </w:r>
          </w:p>
        </w:tc>
        <w:tc>
          <w:tcPr>
            <w:tcW w:w="2835" w:type="dxa"/>
          </w:tcPr>
          <w:p>
            <w:pPr>
              <w:pStyle w:val="TableParagraph"/>
              <w:tabs>
                <w:tab w:pos="959" w:val="left" w:leader="none"/>
                <w:tab w:pos="1314" w:val="left" w:leader="none"/>
                <w:tab w:pos="1439" w:val="left" w:leader="none"/>
                <w:tab w:pos="1792" w:val="left" w:leader="none"/>
                <w:tab w:pos="1962" w:val="left" w:leader="none"/>
                <w:tab w:pos="2046" w:val="left" w:leader="none"/>
                <w:tab w:pos="2380" w:val="left" w:leader="none"/>
                <w:tab w:pos="2487" w:val="left" w:leader="none"/>
              </w:tabs>
              <w:ind w:left="100" w:right="101"/>
              <w:rPr>
                <w:sz w:val="22"/>
              </w:rPr>
            </w:pPr>
            <w:r>
              <w:rPr>
                <w:sz w:val="22"/>
              </w:rPr>
              <w:t>Participación formal de los grupos</w:t>
              <w:tab/>
              <w:tab/>
              <w:tab/>
              <w:tab/>
            </w:r>
            <w:r>
              <w:rPr>
                <w:spacing w:val="-1"/>
                <w:sz w:val="22"/>
              </w:rPr>
              <w:t>históricos </w:t>
            </w:r>
            <w:r>
              <w:rPr>
                <w:sz w:val="22"/>
              </w:rPr>
              <w:t>consolidados de la CHPH para</w:t>
              <w:tab/>
            </w:r>
            <w:r>
              <w:rPr>
                <w:spacing w:val="-1"/>
                <w:sz w:val="22"/>
              </w:rPr>
              <w:t>solucionar</w:t>
              <w:tab/>
              <w:tab/>
            </w:r>
            <w:r>
              <w:rPr>
                <w:sz w:val="22"/>
              </w:rPr>
              <w:t>sus problemas comunes. (Ejemplo:</w:t>
              <w:tab/>
              <w:t>aún</w:t>
              <w:tab/>
              <w:tab/>
              <w:t>no</w:t>
              <w:tab/>
              <w:tab/>
              <w:t>se reconoce formalmente la existencia</w:t>
              <w:tab/>
              <w:tab/>
              <w:t>de</w:t>
              <w:tab/>
              <w:tab/>
              <w:tab/>
              <w:t>grupos históricos que se rigen por sus usos y costumbres en la</w:t>
            </w:r>
            <w:r>
              <w:rPr>
                <w:spacing w:val="-4"/>
                <w:sz w:val="22"/>
              </w:rPr>
              <w:t> </w:t>
            </w:r>
            <w:r>
              <w:rPr>
                <w:sz w:val="22"/>
              </w:rPr>
              <w:t>CHPH).</w:t>
            </w:r>
          </w:p>
        </w:tc>
      </w:tr>
      <w:tr>
        <w:trPr>
          <w:trHeight w:val="3046"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05"/>
              <w:jc w:val="right"/>
              <w:rPr>
                <w:b/>
                <w:sz w:val="22"/>
              </w:rPr>
            </w:pPr>
            <w:r>
              <w:rPr>
                <w:b/>
                <w:sz w:val="22"/>
              </w:rPr>
              <w:t>R9P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856"/>
              <w:rPr>
                <w:sz w:val="22"/>
              </w:rPr>
            </w:pPr>
            <w:r>
              <w:rPr>
                <w:sz w:val="22"/>
              </w:rPr>
              <w:t>Acuerdos formales</w:t>
            </w:r>
          </w:p>
        </w:tc>
        <w:tc>
          <w:tcPr>
            <w:tcW w:w="3259" w:type="dxa"/>
          </w:tcPr>
          <w:p>
            <w:pPr>
              <w:pStyle w:val="TableParagraph"/>
              <w:ind w:left="0"/>
              <w:rPr>
                <w:rFonts w:ascii="Times New Roman"/>
                <w:sz w:val="22"/>
              </w:rPr>
            </w:pPr>
          </w:p>
          <w:p>
            <w:pPr>
              <w:pStyle w:val="TableParagraph"/>
              <w:spacing w:before="8"/>
              <w:ind w:left="0"/>
              <w:rPr>
                <w:rFonts w:ascii="Times New Roman"/>
                <w:sz w:val="32"/>
              </w:rPr>
            </w:pPr>
          </w:p>
          <w:p>
            <w:pPr>
              <w:pStyle w:val="TableParagraph"/>
              <w:ind w:right="96"/>
              <w:jc w:val="both"/>
              <w:rPr>
                <w:sz w:val="22"/>
              </w:rPr>
            </w:pPr>
            <w:r>
              <w:rPr>
                <w:sz w:val="22"/>
              </w:rPr>
              <w:t>Convenios que permiten legalmente a los grupos de actores de la CHPH, participar en la toma de decisiones sociopolíticas para  el desarrollo de  la  región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151" w:right="149" w:hanging="2"/>
              <w:jc w:val="center"/>
              <w:rPr>
                <w:b/>
                <w:sz w:val="22"/>
              </w:rPr>
            </w:pPr>
            <w:r>
              <w:rPr>
                <w:b/>
                <w:sz w:val="22"/>
              </w:rPr>
              <w:t># de acuerdos formales entre los actores de la CHPH</w:t>
            </w:r>
          </w:p>
        </w:tc>
        <w:tc>
          <w:tcPr>
            <w:tcW w:w="2835" w:type="dxa"/>
          </w:tcPr>
          <w:p>
            <w:pPr>
              <w:pStyle w:val="TableParagraph"/>
              <w:ind w:left="100" w:right="101"/>
              <w:jc w:val="both"/>
              <w:rPr>
                <w:sz w:val="22"/>
              </w:rPr>
            </w:pPr>
            <w:r>
              <w:rPr>
                <w:sz w:val="22"/>
              </w:rPr>
              <w:t>Cantidad de alianzas sociopolíticas formales de los actores de la CHPH que permitan solucionar los problemas  comunes de la Cuenca a través de la</w:t>
            </w:r>
            <w:r>
              <w:rPr>
                <w:spacing w:val="-2"/>
                <w:sz w:val="22"/>
              </w:rPr>
              <w:t> </w:t>
            </w:r>
            <w:r>
              <w:rPr>
                <w:sz w:val="22"/>
              </w:rPr>
              <w:t>democracia.</w:t>
            </w:r>
          </w:p>
          <w:p>
            <w:pPr>
              <w:pStyle w:val="TableParagraph"/>
              <w:spacing w:before="1"/>
              <w:ind w:left="100" w:right="101"/>
              <w:jc w:val="both"/>
              <w:rPr>
                <w:sz w:val="22"/>
              </w:rPr>
            </w:pPr>
            <w:r>
              <w:rPr>
                <w:sz w:val="22"/>
              </w:rPr>
              <w:t>(Ejemplo: aún no existen acuerdos formales entre los actores de la CHPH para solucionar sus problemas comunes).</w:t>
            </w:r>
          </w:p>
        </w:tc>
      </w:tr>
      <w:tr>
        <w:trPr>
          <w:trHeight w:val="1527"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43"/>
              <w:jc w:val="right"/>
              <w:rPr>
                <w:b/>
                <w:sz w:val="22"/>
              </w:rPr>
            </w:pPr>
            <w:r>
              <w:rPr>
                <w:b/>
                <w:sz w:val="22"/>
              </w:rPr>
              <w:t>R10P</w:t>
            </w:r>
          </w:p>
        </w:tc>
        <w:tc>
          <w:tcPr>
            <w:tcW w:w="730" w:type="dxa"/>
            <w:shd w:val="clear" w:color="auto" w:fill="4AACC5"/>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spacing w:before="10"/>
              <w:ind w:left="0"/>
              <w:rPr>
                <w:rFonts w:ascii="Times New Roman"/>
                <w:sz w:val="21"/>
              </w:rPr>
            </w:pPr>
          </w:p>
          <w:p>
            <w:pPr>
              <w:pStyle w:val="TableParagraph"/>
              <w:ind w:right="195"/>
              <w:rPr>
                <w:sz w:val="22"/>
              </w:rPr>
            </w:pPr>
            <w:r>
              <w:rPr>
                <w:sz w:val="22"/>
              </w:rPr>
              <w:t>Reglamentación formal</w:t>
            </w:r>
          </w:p>
        </w:tc>
        <w:tc>
          <w:tcPr>
            <w:tcW w:w="3259" w:type="dxa"/>
          </w:tcPr>
          <w:p>
            <w:pPr>
              <w:pStyle w:val="TableParagraph"/>
              <w:ind w:right="96"/>
              <w:jc w:val="both"/>
              <w:rPr>
                <w:sz w:val="22"/>
              </w:rPr>
            </w:pPr>
            <w:r>
              <w:rPr>
                <w:sz w:val="22"/>
              </w:rPr>
              <w:t>Es la estructura organizada de los actores de la CHPH con sus propias instituciones y reglas, a través del derecho consuetudinario, donde se establezcan   los   derechos  </w:t>
            </w:r>
            <w:r>
              <w:rPr>
                <w:spacing w:val="19"/>
                <w:sz w:val="22"/>
              </w:rPr>
              <w:t> </w:t>
            </w:r>
            <w:r>
              <w:rPr>
                <w:sz w:val="22"/>
              </w:rPr>
              <w:t>y</w:t>
            </w:r>
          </w:p>
        </w:tc>
        <w:tc>
          <w:tcPr>
            <w:tcW w:w="2211" w:type="dxa"/>
          </w:tcPr>
          <w:p>
            <w:pPr>
              <w:pStyle w:val="TableParagraph"/>
              <w:spacing w:before="7"/>
              <w:ind w:left="0"/>
              <w:rPr>
                <w:rFonts w:ascii="Times New Roman"/>
                <w:sz w:val="32"/>
              </w:rPr>
            </w:pPr>
          </w:p>
          <w:p>
            <w:pPr>
              <w:pStyle w:val="TableParagraph"/>
              <w:ind w:left="257" w:right="252" w:hanging="5"/>
              <w:jc w:val="center"/>
              <w:rPr>
                <w:b/>
                <w:sz w:val="22"/>
              </w:rPr>
            </w:pPr>
            <w:r>
              <w:rPr>
                <w:b/>
                <w:sz w:val="22"/>
              </w:rPr>
              <w:t>Comité Intermunicipal y su Reglamento (adimensional)</w:t>
            </w:r>
          </w:p>
        </w:tc>
        <w:tc>
          <w:tcPr>
            <w:tcW w:w="2835" w:type="dxa"/>
          </w:tcPr>
          <w:p>
            <w:pPr>
              <w:pStyle w:val="TableParagraph"/>
              <w:ind w:left="100" w:right="102"/>
              <w:jc w:val="both"/>
              <w:rPr>
                <w:sz w:val="22"/>
              </w:rPr>
            </w:pPr>
            <w:r>
              <w:rPr>
                <w:sz w:val="22"/>
              </w:rPr>
              <w:t>Representación política y ordenamiento jurídico de los actores de la Cuenca, donde se establezcan los derechos y obligaciones para     regular     el    uso,</w:t>
            </w:r>
          </w:p>
        </w:tc>
      </w:tr>
    </w:tbl>
    <w:p>
      <w:pPr>
        <w:spacing w:after="0"/>
        <w:jc w:val="both"/>
        <w:rPr>
          <w:sz w:val="22"/>
        </w:rPr>
        <w:sectPr>
          <w:footerReference w:type="default" r:id="rId255"/>
          <w:pgSz w:w="15840" w:h="12240" w:orient="landscape"/>
          <w:pgMar w:footer="943" w:header="0" w:top="1140" w:bottom="1140" w:left="2020" w:right="1300"/>
          <w:pgNumType w:start="51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1526" w:hRule="exact"/>
        </w:trPr>
        <w:tc>
          <w:tcPr>
            <w:tcW w:w="852" w:type="dxa"/>
            <w:shd w:val="clear" w:color="auto" w:fill="4AACC5"/>
          </w:tcPr>
          <w:p>
            <w:pPr/>
          </w:p>
        </w:tc>
        <w:tc>
          <w:tcPr>
            <w:tcW w:w="730" w:type="dxa"/>
            <w:shd w:val="clear" w:color="auto" w:fill="4AACC5"/>
          </w:tcPr>
          <w:p>
            <w:pPr/>
          </w:p>
        </w:tc>
        <w:tc>
          <w:tcPr>
            <w:tcW w:w="1918" w:type="dxa"/>
          </w:tcPr>
          <w:p>
            <w:pPr/>
          </w:p>
        </w:tc>
        <w:tc>
          <w:tcPr>
            <w:tcW w:w="3259" w:type="dxa"/>
          </w:tcPr>
          <w:p>
            <w:pPr>
              <w:pStyle w:val="TableParagraph"/>
              <w:ind w:right="97"/>
              <w:jc w:val="both"/>
              <w:rPr>
                <w:sz w:val="22"/>
              </w:rPr>
            </w:pPr>
            <w:r>
              <w:rPr>
                <w:sz w:val="22"/>
              </w:rPr>
              <w:t>obligaciones en el uso, cuidado, administración y defensa de la CHPH para garantizar la paz y el bienestar sociopolítico (García, TC: 2013-2015)</w:t>
            </w:r>
          </w:p>
        </w:tc>
        <w:tc>
          <w:tcPr>
            <w:tcW w:w="2211" w:type="dxa"/>
          </w:tcPr>
          <w:p>
            <w:pPr/>
          </w:p>
        </w:tc>
        <w:tc>
          <w:tcPr>
            <w:tcW w:w="2835" w:type="dxa"/>
          </w:tcPr>
          <w:p>
            <w:pPr>
              <w:pStyle w:val="TableParagraph"/>
              <w:spacing w:line="252" w:lineRule="exact" w:before="2"/>
              <w:ind w:left="100" w:right="104"/>
              <w:jc w:val="both"/>
              <w:rPr>
                <w:sz w:val="22"/>
              </w:rPr>
            </w:pPr>
            <w:r>
              <w:rPr>
                <w:sz w:val="22"/>
              </w:rPr>
              <w:t>cuidado y defensa de la CHPH.</w:t>
            </w:r>
          </w:p>
          <w:p>
            <w:pPr>
              <w:pStyle w:val="TableParagraph"/>
              <w:ind w:left="100" w:right="103"/>
              <w:jc w:val="both"/>
              <w:rPr>
                <w:sz w:val="22"/>
              </w:rPr>
            </w:pPr>
            <w:r>
              <w:rPr>
                <w:sz w:val="22"/>
              </w:rPr>
              <w:t>(Ejemplo: aún no existe un Comité con su reglamento par regular el uso, cuidado y defensa de la CHPH).</w:t>
            </w:r>
          </w:p>
        </w:tc>
      </w:tr>
      <w:tr>
        <w:trPr>
          <w:trHeight w:val="3301" w:hRule="exact"/>
        </w:trPr>
        <w:tc>
          <w:tcPr>
            <w:tcW w:w="852"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46"/>
              <w:rPr>
                <w:b/>
                <w:sz w:val="22"/>
              </w:rPr>
            </w:pPr>
            <w:r>
              <w:rPr>
                <w:b/>
                <w:sz w:val="22"/>
              </w:rPr>
              <w:t>R11P</w:t>
            </w:r>
          </w:p>
        </w:tc>
        <w:tc>
          <w:tcPr>
            <w:tcW w:w="730" w:type="dxa"/>
            <w:shd w:val="clear" w:color="auto" w:fill="4AACC5"/>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
              <w:jc w:val="center"/>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208"/>
              <w:rPr>
                <w:sz w:val="22"/>
              </w:rPr>
            </w:pPr>
            <w:r>
              <w:rPr>
                <w:sz w:val="22"/>
              </w:rPr>
              <w:t>Reconocimiento formal</w:t>
            </w:r>
          </w:p>
        </w:tc>
        <w:tc>
          <w:tcPr>
            <w:tcW w:w="3259" w:type="dxa"/>
          </w:tcPr>
          <w:p>
            <w:pPr>
              <w:pStyle w:val="TableParagraph"/>
              <w:spacing w:before="11"/>
              <w:ind w:left="0"/>
              <w:rPr>
                <w:rFonts w:ascii="Times New Roman"/>
                <w:sz w:val="32"/>
              </w:rPr>
            </w:pPr>
          </w:p>
          <w:p>
            <w:pPr>
              <w:pStyle w:val="TableParagraph"/>
              <w:ind w:right="96"/>
              <w:jc w:val="both"/>
              <w:rPr>
                <w:sz w:val="22"/>
              </w:rPr>
            </w:pPr>
            <w:r>
              <w:rPr>
                <w:sz w:val="22"/>
              </w:rPr>
              <w:t>Formalización de la petición de administrar y regular los recursos de la Cuenca por parte de los actores, mediante el reconocimiento de sus derechos consuetudinarios para el uso y disfrute de sus recursos de la CHPH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44" w:right="144"/>
              <w:jc w:val="center"/>
              <w:rPr>
                <w:b/>
                <w:sz w:val="22"/>
              </w:rPr>
            </w:pPr>
            <w:r>
              <w:rPr>
                <w:b/>
                <w:sz w:val="22"/>
              </w:rPr>
              <w:t># de reglas formales e informales de los actores de la CHPH para la administración de los recursos</w:t>
            </w:r>
          </w:p>
        </w:tc>
        <w:tc>
          <w:tcPr>
            <w:tcW w:w="2835" w:type="dxa"/>
          </w:tcPr>
          <w:p>
            <w:pPr>
              <w:pStyle w:val="TableParagraph"/>
              <w:tabs>
                <w:tab w:pos="1168" w:val="left" w:leader="none"/>
                <w:tab w:pos="1225" w:val="left" w:leader="none"/>
                <w:tab w:pos="1262" w:val="left" w:leader="none"/>
                <w:tab w:pos="1371" w:val="left" w:leader="none"/>
                <w:tab w:pos="1605" w:val="left" w:leader="none"/>
                <w:tab w:pos="1682" w:val="left" w:leader="none"/>
                <w:tab w:pos="2098" w:val="left" w:leader="none"/>
                <w:tab w:pos="2425" w:val="left" w:leader="none"/>
                <w:tab w:pos="2548" w:val="left" w:leader="none"/>
                <w:tab w:pos="2597" w:val="left" w:leader="none"/>
              </w:tabs>
              <w:ind w:left="100" w:right="102"/>
              <w:rPr>
                <w:sz w:val="22"/>
              </w:rPr>
            </w:pPr>
            <w:r>
              <w:rPr>
                <w:sz w:val="22"/>
              </w:rPr>
              <w:t>Cantidad de regulaciones formales</w:t>
              <w:tab/>
              <w:tab/>
              <w:tab/>
              <w:tab/>
              <w:t>e</w:t>
              <w:tab/>
              <w:tab/>
              <w:t>informales</w:t>
            </w:r>
            <w:r>
              <w:rPr>
                <w:w w:val="100"/>
                <w:sz w:val="22"/>
              </w:rPr>
              <w:t> </w:t>
            </w:r>
            <w:r>
              <w:rPr>
                <w:sz w:val="22"/>
              </w:rPr>
              <w:t>adoptadas</w:t>
              <w:tab/>
              <w:tab/>
              <w:tab/>
              <w:tab/>
              <w:tab/>
              <w:tab/>
              <w:t>por</w:t>
              <w:tab/>
              <w:tab/>
              <w:tab/>
              <w:t>la población</w:t>
              <w:tab/>
              <w:tab/>
              <w:tab/>
              <w:t>a</w:t>
              <w:tab/>
              <w:t>través</w:t>
              <w:tab/>
              <w:t>del derecho</w:t>
              <w:tab/>
            </w:r>
            <w:r>
              <w:rPr>
                <w:spacing w:val="-1"/>
                <w:sz w:val="22"/>
              </w:rPr>
              <w:t>consuetudinario </w:t>
            </w:r>
            <w:r>
              <w:rPr>
                <w:sz w:val="22"/>
              </w:rPr>
              <w:t>para administrar el uso de los recursos de la CHPH. (Ejemplo: aún no existen reglas</w:t>
              <w:tab/>
              <w:tab/>
              <w:t>formales</w:t>
              <w:tab/>
              <w:tab/>
              <w:tab/>
              <w:tab/>
              <w:t>e informales de los actores históricos</w:t>
              <w:tab/>
              <w:tab/>
              <w:t>de</w:t>
              <w:tab/>
              <w:tab/>
              <w:t>la</w:t>
              <w:tab/>
            </w:r>
            <w:r>
              <w:rPr>
                <w:spacing w:val="-1"/>
                <w:sz w:val="22"/>
              </w:rPr>
              <w:t>CHPH </w:t>
            </w:r>
            <w:r>
              <w:rPr>
                <w:sz w:val="22"/>
              </w:rPr>
              <w:t>para la administración de los</w:t>
            </w:r>
            <w:r>
              <w:rPr>
                <w:spacing w:val="-2"/>
                <w:sz w:val="22"/>
              </w:rPr>
              <w:t> </w:t>
            </w:r>
            <w:r>
              <w:rPr>
                <w:sz w:val="22"/>
              </w:rPr>
              <w:t>recursos).</w:t>
            </w:r>
          </w:p>
        </w:tc>
      </w:tr>
    </w:tbl>
    <w:p>
      <w:pPr>
        <w:pStyle w:val="BodyText"/>
        <w:spacing w:line="248" w:lineRule="exact"/>
        <w:ind w:left="322"/>
      </w:pPr>
      <w:r>
        <w:rPr>
          <w:b/>
        </w:rPr>
        <w:t>Fuente: </w:t>
      </w:r>
      <w:r>
        <w:rPr/>
        <w:t>Elaboración propia con base en las consideraciones teóricas y el Trabajo de Campo, García (2013-2016).</w:t>
      </w:r>
    </w:p>
    <w:p>
      <w:pPr>
        <w:spacing w:after="0" w:line="248" w:lineRule="exact"/>
        <w:sectPr>
          <w:pgSz w:w="15840" w:h="12240" w:orient="landscape"/>
          <w:pgMar w:header="0" w:footer="943" w:top="1140" w:bottom="1140" w:left="2020" w:right="1300"/>
        </w:sectPr>
      </w:pPr>
    </w:p>
    <w:p>
      <w:pPr>
        <w:pStyle w:val="Heading6"/>
        <w:spacing w:before="53"/>
        <w:jc w:val="both"/>
      </w:pPr>
      <w:bookmarkStart w:name="_TOC_250012" w:id="61"/>
      <w:bookmarkEnd w:id="61"/>
      <w:r>
        <w:rPr/>
        <w:t>7.6.1 Resultados del sistema PEIR de la CHPH (Cuatro AEPA)</w:t>
      </w:r>
    </w:p>
    <w:p>
      <w:pPr>
        <w:pStyle w:val="BodyText"/>
        <w:spacing w:before="6"/>
        <w:rPr>
          <w:b/>
          <w:sz w:val="28"/>
        </w:rPr>
      </w:pPr>
    </w:p>
    <w:p>
      <w:pPr>
        <w:pStyle w:val="BodyText"/>
        <w:spacing w:line="360" w:lineRule="auto"/>
        <w:ind w:left="102" w:right="115"/>
        <w:jc w:val="both"/>
      </w:pPr>
      <w:r>
        <w:rPr/>
        <w:t>Una vez realizada la conceptualización y medición de los indicadores del sistema PEIR  por AEPA para la Cuenca Hidrosocial Presa Huapango en las tablas anteriores, se procedió a elaborar la matriz del sistema de indicadores de presión, estado, impacto y respuesta (PEIR) de la CHPH (ver anexo 3), con base en </w:t>
      </w:r>
      <w:r>
        <w:rPr>
          <w:i/>
        </w:rPr>
        <w:t>los principios de gobernanza </w:t>
      </w:r>
      <w:r>
        <w:rPr/>
        <w:t>obtenidos de las consideraciones teórico metodológicas y el trabajo de campo, García (2013-2015).</w:t>
      </w:r>
    </w:p>
    <w:p>
      <w:pPr>
        <w:pStyle w:val="BodyText"/>
        <w:spacing w:before="7"/>
        <w:rPr>
          <w:sz w:val="17"/>
        </w:rPr>
      </w:pPr>
    </w:p>
    <w:p>
      <w:pPr>
        <w:spacing w:line="360" w:lineRule="auto" w:before="0"/>
        <w:ind w:left="102" w:right="115" w:firstLine="0"/>
        <w:jc w:val="both"/>
        <w:rPr>
          <w:sz w:val="22"/>
        </w:rPr>
      </w:pPr>
      <w:r>
        <w:rPr>
          <w:sz w:val="22"/>
        </w:rPr>
        <w:t>En el sistema PEIR se cruzaron 176 indicadores (44 indicadores por AEPA) mediante la pregunta: ¿Si mejora positivamente el factor en X, se mejora positivamente el factor en Y? Sí=1, No=0, obteniendo así el resultado en el sistema PEIR y por AEPA el total de vínculos, la jerarquía, el peso específico y el total del peso específico por AEPA con base en (Díaz et. al. </w:t>
      </w:r>
      <w:r>
        <w:rPr>
          <w:i/>
          <w:sz w:val="22"/>
        </w:rPr>
        <w:t>Guía de Planeación Estratégica Participativa para la Gestión Integrada de </w:t>
      </w:r>
      <w:r>
        <w:rPr>
          <w:i/>
          <w:sz w:val="22"/>
        </w:rPr>
        <w:t>los Recursos Hídricos de la Cuenca Lerma-Chapala-Santiago, </w:t>
      </w:r>
      <w:r>
        <w:rPr>
          <w:sz w:val="24"/>
        </w:rPr>
        <w:t>2009) </w:t>
      </w:r>
      <w:r>
        <w:rPr>
          <w:sz w:val="22"/>
        </w:rPr>
        <w:t>y el </w:t>
      </w:r>
      <w:r>
        <w:rPr>
          <w:i/>
          <w:sz w:val="22"/>
        </w:rPr>
        <w:t>principio de </w:t>
      </w:r>
      <w:r>
        <w:rPr>
          <w:i/>
          <w:sz w:val="22"/>
        </w:rPr>
        <w:t>Pareto </w:t>
      </w:r>
      <w:r>
        <w:rPr>
          <w:sz w:val="22"/>
        </w:rPr>
        <w:t>que se describió al inicio de este apartado.</w:t>
      </w:r>
    </w:p>
    <w:p>
      <w:pPr>
        <w:pStyle w:val="BodyText"/>
        <w:spacing w:before="9"/>
        <w:rPr>
          <w:sz w:val="17"/>
        </w:rPr>
      </w:pPr>
    </w:p>
    <w:p>
      <w:pPr>
        <w:pStyle w:val="BodyText"/>
        <w:spacing w:line="360" w:lineRule="auto"/>
        <w:ind w:left="102" w:right="118"/>
        <w:jc w:val="both"/>
      </w:pPr>
      <w:r>
        <w:rPr/>
        <w:t>La matriz del sistema PEIR dio como resultado los factores críticos de éxito (FCE) por AEPA que se enumeran en la tabla 7.7 y que se obtuvieron con el 20% más importante del sistema PEIR como lo establece el principio de Pareto. Estos son los FCE que se pretendían usar en la elaboración de la propuesta del Comité Intermunicipal, para Cuidar Defender y Administrar los Recursos de la CHPH y elaborar la propuesta de su Reglamento.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pStyle w:val="BodyText"/>
        <w:spacing w:before="56"/>
        <w:ind w:right="116"/>
        <w:jc w:val="right"/>
        <w:rPr>
          <w:rFonts w:ascii="Calibri"/>
        </w:rPr>
      </w:pPr>
      <w:r>
        <w:rPr>
          <w:rFonts w:ascii="Calibri"/>
        </w:rPr>
        <w:t>512</w:t>
      </w:r>
    </w:p>
    <w:p>
      <w:pPr>
        <w:spacing w:after="0"/>
        <w:jc w:val="right"/>
        <w:rPr>
          <w:rFonts w:ascii="Calibri"/>
        </w:rPr>
        <w:sectPr>
          <w:footerReference w:type="default" r:id="rId256"/>
          <w:pgSz w:w="12240" w:h="15840"/>
          <w:pgMar w:footer="0" w:header="0" w:top="1360" w:bottom="280" w:left="1600" w:right="1580"/>
        </w:sectPr>
      </w:pPr>
    </w:p>
    <w:p>
      <w:pPr>
        <w:pStyle w:val="BodyText"/>
        <w:rPr>
          <w:rFonts w:ascii="Calibri"/>
          <w:sz w:val="20"/>
        </w:rPr>
      </w:pPr>
    </w:p>
    <w:p>
      <w:pPr>
        <w:pStyle w:val="BodyText"/>
        <w:spacing w:before="8"/>
        <w:rPr>
          <w:rFonts w:ascii="Calibri"/>
          <w:sz w:val="19"/>
        </w:rPr>
      </w:pPr>
    </w:p>
    <w:p>
      <w:pPr>
        <w:pStyle w:val="Heading6"/>
        <w:spacing w:before="73"/>
        <w:ind w:left="2513" w:right="778"/>
      </w:pPr>
      <w:r>
        <w:rPr/>
        <w:t>Tabla 7.7. Factores Críticos de Éxito del sistema PEIR de la CHPH (cuatro AEPA)</w:t>
      </w:r>
    </w:p>
    <w:p>
      <w:pPr>
        <w:pStyle w:val="BodyText"/>
        <w:spacing w:before="8"/>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754"/>
        <w:gridCol w:w="1656"/>
        <w:gridCol w:w="1244"/>
        <w:gridCol w:w="1193"/>
        <w:gridCol w:w="1274"/>
        <w:gridCol w:w="1277"/>
        <w:gridCol w:w="1118"/>
        <w:gridCol w:w="1193"/>
        <w:gridCol w:w="1277"/>
        <w:gridCol w:w="1274"/>
      </w:tblGrid>
      <w:tr>
        <w:trPr>
          <w:trHeight w:val="390" w:hRule="exact"/>
        </w:trPr>
        <w:tc>
          <w:tcPr>
            <w:tcW w:w="8358" w:type="dxa"/>
            <w:gridSpan w:val="7"/>
          </w:tcPr>
          <w:p>
            <w:pPr>
              <w:pStyle w:val="TableParagraph"/>
              <w:spacing w:line="248" w:lineRule="exact"/>
              <w:ind w:left="3665" w:right="3665"/>
              <w:jc w:val="center"/>
              <w:rPr>
                <w:b/>
                <w:sz w:val="22"/>
              </w:rPr>
            </w:pPr>
            <w:r>
              <w:rPr>
                <w:b/>
                <w:sz w:val="22"/>
              </w:rPr>
              <w:t>SISTEMA</w:t>
            </w:r>
          </w:p>
        </w:tc>
        <w:tc>
          <w:tcPr>
            <w:tcW w:w="4863" w:type="dxa"/>
            <w:gridSpan w:val="4"/>
          </w:tcPr>
          <w:p>
            <w:pPr>
              <w:pStyle w:val="TableParagraph"/>
              <w:spacing w:line="248" w:lineRule="exact"/>
              <w:ind w:left="2101" w:right="2101"/>
              <w:jc w:val="center"/>
              <w:rPr>
                <w:b/>
                <w:sz w:val="22"/>
              </w:rPr>
            </w:pPr>
            <w:r>
              <w:rPr>
                <w:b/>
                <w:sz w:val="22"/>
              </w:rPr>
              <w:t>AEPA</w:t>
            </w:r>
          </w:p>
        </w:tc>
      </w:tr>
      <w:tr>
        <w:trPr>
          <w:trHeight w:val="1045" w:hRule="exact"/>
        </w:trPr>
        <w:tc>
          <w:tcPr>
            <w:tcW w:w="960" w:type="dxa"/>
            <w:shd w:val="clear" w:color="auto" w:fill="938953"/>
          </w:tcPr>
          <w:p>
            <w:pPr>
              <w:pStyle w:val="TableParagraph"/>
              <w:spacing w:line="226" w:lineRule="exact"/>
              <w:ind w:left="196"/>
              <w:rPr>
                <w:b/>
                <w:sz w:val="20"/>
              </w:rPr>
            </w:pPr>
            <w:r>
              <w:rPr>
                <w:b/>
                <w:sz w:val="20"/>
              </w:rPr>
              <w:t>AEPA</w:t>
            </w:r>
          </w:p>
        </w:tc>
        <w:tc>
          <w:tcPr>
            <w:tcW w:w="754" w:type="dxa"/>
            <w:shd w:val="clear" w:color="auto" w:fill="938953"/>
          </w:tcPr>
          <w:p>
            <w:pPr>
              <w:pStyle w:val="TableParagraph"/>
              <w:spacing w:line="226" w:lineRule="exact"/>
              <w:ind w:left="115" w:right="122"/>
              <w:jc w:val="center"/>
              <w:rPr>
                <w:b/>
                <w:sz w:val="20"/>
              </w:rPr>
            </w:pPr>
            <w:r>
              <w:rPr>
                <w:b/>
                <w:sz w:val="20"/>
              </w:rPr>
              <w:t>PEIR</w:t>
            </w:r>
          </w:p>
        </w:tc>
        <w:tc>
          <w:tcPr>
            <w:tcW w:w="1656" w:type="dxa"/>
            <w:shd w:val="clear" w:color="auto" w:fill="938953"/>
          </w:tcPr>
          <w:p>
            <w:pPr>
              <w:pStyle w:val="TableParagraph"/>
              <w:spacing w:line="226" w:lineRule="exact"/>
              <w:ind w:left="372" w:right="327"/>
              <w:rPr>
                <w:b/>
                <w:sz w:val="20"/>
              </w:rPr>
            </w:pPr>
            <w:r>
              <w:rPr>
                <w:b/>
                <w:sz w:val="20"/>
              </w:rPr>
              <w:t>Indicador</w:t>
            </w:r>
          </w:p>
        </w:tc>
        <w:tc>
          <w:tcPr>
            <w:tcW w:w="1244" w:type="dxa"/>
            <w:shd w:val="clear" w:color="auto" w:fill="938953"/>
          </w:tcPr>
          <w:p>
            <w:pPr>
              <w:pStyle w:val="TableParagraph"/>
              <w:spacing w:line="226" w:lineRule="exact"/>
              <w:ind w:left="178" w:right="181"/>
              <w:jc w:val="center"/>
              <w:rPr>
                <w:b/>
                <w:sz w:val="20"/>
              </w:rPr>
            </w:pPr>
            <w:r>
              <w:rPr>
                <w:b/>
                <w:sz w:val="20"/>
              </w:rPr>
              <w:t>Vínculos</w:t>
            </w:r>
          </w:p>
        </w:tc>
        <w:tc>
          <w:tcPr>
            <w:tcW w:w="1193" w:type="dxa"/>
            <w:shd w:val="clear" w:color="auto" w:fill="938953"/>
          </w:tcPr>
          <w:p>
            <w:pPr>
              <w:pStyle w:val="TableParagraph"/>
              <w:spacing w:line="226" w:lineRule="exact"/>
              <w:ind w:left="121" w:right="121"/>
              <w:jc w:val="center"/>
              <w:rPr>
                <w:b/>
                <w:sz w:val="20"/>
              </w:rPr>
            </w:pPr>
            <w:r>
              <w:rPr>
                <w:b/>
                <w:sz w:val="20"/>
              </w:rPr>
              <w:t>Jerarquía</w:t>
            </w:r>
          </w:p>
        </w:tc>
        <w:tc>
          <w:tcPr>
            <w:tcW w:w="1274" w:type="dxa"/>
            <w:shd w:val="clear" w:color="auto" w:fill="938953"/>
          </w:tcPr>
          <w:p>
            <w:pPr>
              <w:pStyle w:val="TableParagraph"/>
              <w:spacing w:line="357" w:lineRule="auto"/>
              <w:ind w:left="143" w:right="98" w:firstLine="252"/>
              <w:rPr>
                <w:b/>
                <w:sz w:val="20"/>
              </w:rPr>
            </w:pPr>
            <w:r>
              <w:rPr>
                <w:b/>
                <w:sz w:val="20"/>
              </w:rPr>
              <w:t>Peso </w:t>
            </w:r>
            <w:r>
              <w:rPr>
                <w:b/>
                <w:w w:val="95"/>
                <w:sz w:val="20"/>
              </w:rPr>
              <w:t>específico</w:t>
            </w:r>
          </w:p>
        </w:tc>
        <w:tc>
          <w:tcPr>
            <w:tcW w:w="1277" w:type="dxa"/>
            <w:shd w:val="clear" w:color="auto" w:fill="938953"/>
          </w:tcPr>
          <w:p>
            <w:pPr>
              <w:pStyle w:val="TableParagraph"/>
              <w:spacing w:line="360" w:lineRule="auto"/>
              <w:ind w:left="143" w:right="146" w:firstLine="3"/>
              <w:jc w:val="center"/>
              <w:rPr>
                <w:b/>
                <w:sz w:val="20"/>
              </w:rPr>
            </w:pPr>
            <w:r>
              <w:rPr>
                <w:b/>
                <w:sz w:val="20"/>
              </w:rPr>
              <w:t>Total de peso </w:t>
            </w:r>
            <w:r>
              <w:rPr>
                <w:b/>
                <w:w w:val="95"/>
                <w:sz w:val="20"/>
              </w:rPr>
              <w:t>específico</w:t>
            </w:r>
          </w:p>
        </w:tc>
        <w:tc>
          <w:tcPr>
            <w:tcW w:w="1118" w:type="dxa"/>
            <w:shd w:val="clear" w:color="auto" w:fill="938953"/>
          </w:tcPr>
          <w:p>
            <w:pPr>
              <w:pStyle w:val="TableParagraph"/>
              <w:spacing w:line="226" w:lineRule="exact"/>
              <w:ind w:left="82" w:right="85"/>
              <w:jc w:val="center"/>
              <w:rPr>
                <w:b/>
                <w:sz w:val="20"/>
              </w:rPr>
            </w:pPr>
            <w:r>
              <w:rPr>
                <w:b/>
                <w:sz w:val="20"/>
              </w:rPr>
              <w:t>Vínculos</w:t>
            </w:r>
          </w:p>
        </w:tc>
        <w:tc>
          <w:tcPr>
            <w:tcW w:w="1193" w:type="dxa"/>
            <w:shd w:val="clear" w:color="auto" w:fill="938953"/>
          </w:tcPr>
          <w:p>
            <w:pPr>
              <w:pStyle w:val="TableParagraph"/>
              <w:spacing w:line="226" w:lineRule="exact"/>
              <w:ind w:left="121" w:right="121"/>
              <w:jc w:val="center"/>
              <w:rPr>
                <w:b/>
                <w:sz w:val="20"/>
              </w:rPr>
            </w:pPr>
            <w:r>
              <w:rPr>
                <w:b/>
                <w:sz w:val="20"/>
              </w:rPr>
              <w:t>Jerarquía</w:t>
            </w:r>
          </w:p>
        </w:tc>
        <w:tc>
          <w:tcPr>
            <w:tcW w:w="1277" w:type="dxa"/>
            <w:shd w:val="clear" w:color="auto" w:fill="938953"/>
          </w:tcPr>
          <w:p>
            <w:pPr>
              <w:pStyle w:val="TableParagraph"/>
              <w:spacing w:line="357" w:lineRule="auto"/>
              <w:ind w:left="144" w:right="101" w:firstLine="252"/>
              <w:rPr>
                <w:b/>
                <w:sz w:val="20"/>
              </w:rPr>
            </w:pPr>
            <w:r>
              <w:rPr>
                <w:b/>
                <w:sz w:val="20"/>
              </w:rPr>
              <w:t>Peso </w:t>
            </w:r>
            <w:r>
              <w:rPr>
                <w:b/>
                <w:w w:val="95"/>
                <w:sz w:val="20"/>
              </w:rPr>
              <w:t>específico</w:t>
            </w:r>
          </w:p>
        </w:tc>
        <w:tc>
          <w:tcPr>
            <w:tcW w:w="1274" w:type="dxa"/>
            <w:shd w:val="clear" w:color="auto" w:fill="938953"/>
          </w:tcPr>
          <w:p>
            <w:pPr>
              <w:pStyle w:val="TableParagraph"/>
              <w:spacing w:line="360" w:lineRule="auto"/>
              <w:ind w:left="141" w:right="145" w:firstLine="3"/>
              <w:jc w:val="center"/>
              <w:rPr>
                <w:b/>
                <w:sz w:val="20"/>
              </w:rPr>
            </w:pPr>
            <w:r>
              <w:rPr>
                <w:b/>
                <w:sz w:val="20"/>
              </w:rPr>
              <w:t>Total de peso </w:t>
            </w:r>
            <w:r>
              <w:rPr>
                <w:b/>
                <w:w w:val="95"/>
                <w:sz w:val="20"/>
              </w:rPr>
              <w:t>específico</w:t>
            </w:r>
          </w:p>
        </w:tc>
      </w:tr>
      <w:tr>
        <w:trPr>
          <w:trHeight w:val="769" w:hRule="exact"/>
        </w:trPr>
        <w:tc>
          <w:tcPr>
            <w:tcW w:w="960" w:type="dxa"/>
            <w:vMerge w:val="restart"/>
            <w:shd w:val="clear" w:color="auto" w:fill="76923B"/>
            <w:textDirection w:val="btLr"/>
          </w:tcPr>
          <w:p>
            <w:pPr>
              <w:pStyle w:val="TableParagraph"/>
              <w:spacing w:before="105"/>
              <w:ind w:left="2670" w:right="2671"/>
              <w:jc w:val="center"/>
              <w:rPr>
                <w:b/>
                <w:sz w:val="22"/>
              </w:rPr>
            </w:pPr>
            <w:r>
              <w:rPr>
                <w:b/>
                <w:spacing w:val="-2"/>
                <w:w w:val="100"/>
                <w:sz w:val="22"/>
              </w:rPr>
              <w:t>A</w:t>
            </w:r>
            <w:r>
              <w:rPr>
                <w:b/>
                <w:w w:val="100"/>
                <w:sz w:val="22"/>
              </w:rPr>
              <w:t>M</w:t>
            </w:r>
            <w:r>
              <w:rPr>
                <w:b/>
                <w:spacing w:val="-2"/>
                <w:w w:val="100"/>
                <w:sz w:val="22"/>
              </w:rPr>
              <w:t>B</w:t>
            </w:r>
            <w:r>
              <w:rPr>
                <w:b/>
                <w:w w:val="100"/>
                <w:sz w:val="22"/>
              </w:rPr>
              <w:t>I</w:t>
            </w:r>
            <w:r>
              <w:rPr>
                <w:b/>
                <w:spacing w:val="-1"/>
                <w:w w:val="100"/>
                <w:sz w:val="22"/>
              </w:rPr>
              <w:t>E</w:t>
            </w:r>
            <w:r>
              <w:rPr>
                <w:b/>
                <w:spacing w:val="-2"/>
                <w:w w:val="100"/>
                <w:sz w:val="22"/>
              </w:rPr>
              <w:t>N</w:t>
            </w:r>
            <w:r>
              <w:rPr>
                <w:b/>
                <w:w w:val="100"/>
                <w:sz w:val="22"/>
              </w:rPr>
              <w:t>T</w:t>
            </w:r>
            <w:r>
              <w:rPr>
                <w:b/>
                <w:spacing w:val="-2"/>
                <w:w w:val="100"/>
                <w:sz w:val="22"/>
              </w:rPr>
              <w:t>A</w:t>
            </w:r>
            <w:r>
              <w:rPr>
                <w:b/>
                <w:w w:val="100"/>
                <w:sz w:val="22"/>
              </w:rPr>
              <w:t>L</w:t>
            </w:r>
          </w:p>
        </w:tc>
        <w:tc>
          <w:tcPr>
            <w:tcW w:w="754" w:type="dxa"/>
            <w:shd w:val="clear" w:color="auto" w:fill="76923B"/>
          </w:tcPr>
          <w:p>
            <w:pPr>
              <w:pStyle w:val="TableParagraph"/>
              <w:spacing w:line="251" w:lineRule="exact"/>
              <w:ind w:left="0" w:right="4"/>
              <w:jc w:val="center"/>
              <w:rPr>
                <w:sz w:val="22"/>
              </w:rPr>
            </w:pPr>
            <w:r>
              <w:rPr>
                <w:w w:val="100"/>
                <w:sz w:val="22"/>
              </w:rPr>
              <w:t>P</w:t>
            </w:r>
          </w:p>
        </w:tc>
        <w:tc>
          <w:tcPr>
            <w:tcW w:w="1656" w:type="dxa"/>
          </w:tcPr>
          <w:p>
            <w:pPr>
              <w:pStyle w:val="TableParagraph"/>
              <w:spacing w:line="360" w:lineRule="auto"/>
              <w:ind w:left="345" w:right="327" w:firstLine="103"/>
              <w:rPr>
                <w:sz w:val="22"/>
              </w:rPr>
            </w:pPr>
            <w:r>
              <w:rPr>
                <w:sz w:val="22"/>
              </w:rPr>
              <w:t>Historia ambiental</w:t>
            </w:r>
          </w:p>
        </w:tc>
        <w:tc>
          <w:tcPr>
            <w:tcW w:w="1244" w:type="dxa"/>
          </w:tcPr>
          <w:p>
            <w:pPr>
              <w:pStyle w:val="TableParagraph"/>
              <w:spacing w:line="251" w:lineRule="exact"/>
              <w:ind w:left="178" w:right="180"/>
              <w:jc w:val="center"/>
              <w:rPr>
                <w:sz w:val="22"/>
              </w:rPr>
            </w:pPr>
            <w:r>
              <w:rPr>
                <w:sz w:val="22"/>
              </w:rPr>
              <w:t>175</w:t>
            </w:r>
          </w:p>
        </w:tc>
        <w:tc>
          <w:tcPr>
            <w:tcW w:w="1193" w:type="dxa"/>
          </w:tcPr>
          <w:p>
            <w:pPr>
              <w:pStyle w:val="TableParagraph"/>
              <w:spacing w:line="251" w:lineRule="exact"/>
              <w:ind w:left="0"/>
              <w:jc w:val="center"/>
              <w:rPr>
                <w:sz w:val="22"/>
              </w:rPr>
            </w:pPr>
            <w:r>
              <w:rPr>
                <w:w w:val="100"/>
                <w:sz w:val="22"/>
              </w:rPr>
              <w:t>1</w:t>
            </w:r>
          </w:p>
        </w:tc>
        <w:tc>
          <w:tcPr>
            <w:tcW w:w="1274" w:type="dxa"/>
          </w:tcPr>
          <w:p>
            <w:pPr>
              <w:pStyle w:val="TableParagraph"/>
              <w:spacing w:line="251" w:lineRule="exact"/>
              <w:ind w:left="105" w:right="101"/>
              <w:jc w:val="center"/>
              <w:rPr>
                <w:sz w:val="22"/>
              </w:rPr>
            </w:pPr>
            <w:r>
              <w:rPr>
                <w:sz w:val="22"/>
              </w:rPr>
              <w:t>1.00</w:t>
            </w:r>
          </w:p>
        </w:tc>
        <w:tc>
          <w:tcPr>
            <w:tcW w:w="1277" w:type="dxa"/>
          </w:tcPr>
          <w:p>
            <w:pPr>
              <w:pStyle w:val="TableParagraph"/>
              <w:spacing w:line="251" w:lineRule="exact"/>
              <w:ind w:left="278" w:right="276"/>
              <w:jc w:val="center"/>
              <w:rPr>
                <w:sz w:val="22"/>
              </w:rPr>
            </w:pPr>
            <w:r>
              <w:rPr>
                <w:sz w:val="22"/>
              </w:rPr>
              <w:t>17.625</w:t>
            </w:r>
          </w:p>
        </w:tc>
        <w:tc>
          <w:tcPr>
            <w:tcW w:w="1118" w:type="dxa"/>
          </w:tcPr>
          <w:p>
            <w:pPr>
              <w:pStyle w:val="TableParagraph"/>
              <w:spacing w:line="251" w:lineRule="exact"/>
              <w:ind w:left="82" w:right="82"/>
              <w:jc w:val="center"/>
              <w:rPr>
                <w:sz w:val="22"/>
              </w:rPr>
            </w:pPr>
            <w:r>
              <w:rPr>
                <w:sz w:val="22"/>
              </w:rPr>
              <w:t>43</w:t>
            </w:r>
          </w:p>
        </w:tc>
        <w:tc>
          <w:tcPr>
            <w:tcW w:w="1193" w:type="dxa"/>
          </w:tcPr>
          <w:p>
            <w:pPr>
              <w:pStyle w:val="TableParagraph"/>
              <w:spacing w:line="251" w:lineRule="exact"/>
              <w:ind w:left="0"/>
              <w:jc w:val="center"/>
              <w:rPr>
                <w:sz w:val="22"/>
              </w:rPr>
            </w:pPr>
            <w:r>
              <w:rPr>
                <w:w w:val="100"/>
                <w:sz w:val="22"/>
              </w:rPr>
              <w:t>1</w:t>
            </w:r>
          </w:p>
        </w:tc>
        <w:tc>
          <w:tcPr>
            <w:tcW w:w="1277" w:type="dxa"/>
          </w:tcPr>
          <w:p>
            <w:pPr>
              <w:pStyle w:val="TableParagraph"/>
              <w:spacing w:line="251" w:lineRule="exact"/>
              <w:ind w:left="420" w:right="101"/>
              <w:rPr>
                <w:sz w:val="22"/>
              </w:rPr>
            </w:pPr>
            <w:r>
              <w:rPr>
                <w:sz w:val="22"/>
              </w:rPr>
              <w:t>1.00</w:t>
            </w:r>
          </w:p>
        </w:tc>
        <w:tc>
          <w:tcPr>
            <w:tcW w:w="1274" w:type="dxa"/>
          </w:tcPr>
          <w:p>
            <w:pPr>
              <w:pStyle w:val="TableParagraph"/>
              <w:spacing w:line="251" w:lineRule="exact"/>
              <w:ind w:left="295" w:right="98"/>
              <w:rPr>
                <w:sz w:val="22"/>
              </w:rPr>
            </w:pPr>
            <w:r>
              <w:rPr>
                <w:sz w:val="22"/>
              </w:rPr>
              <w:t>16.125</w:t>
            </w:r>
          </w:p>
        </w:tc>
      </w:tr>
      <w:tr>
        <w:trPr>
          <w:trHeight w:val="790" w:hRule="exact"/>
        </w:trPr>
        <w:tc>
          <w:tcPr>
            <w:tcW w:w="960" w:type="dxa"/>
            <w:vMerge/>
            <w:shd w:val="clear" w:color="auto" w:fill="76923B"/>
            <w:textDirection w:val="btLr"/>
          </w:tcPr>
          <w:p>
            <w:pPr/>
          </w:p>
        </w:tc>
        <w:tc>
          <w:tcPr>
            <w:tcW w:w="754" w:type="dxa"/>
            <w:shd w:val="clear" w:color="auto" w:fill="76923B"/>
          </w:tcPr>
          <w:p>
            <w:pPr>
              <w:pStyle w:val="TableParagraph"/>
              <w:spacing w:before="19"/>
              <w:ind w:left="0" w:right="4"/>
              <w:jc w:val="center"/>
              <w:rPr>
                <w:sz w:val="22"/>
              </w:rPr>
            </w:pPr>
            <w:r>
              <w:rPr>
                <w:w w:val="100"/>
                <w:sz w:val="22"/>
              </w:rPr>
              <w:t>P</w:t>
            </w:r>
          </w:p>
        </w:tc>
        <w:tc>
          <w:tcPr>
            <w:tcW w:w="1656" w:type="dxa"/>
          </w:tcPr>
          <w:p>
            <w:pPr>
              <w:pStyle w:val="TableParagraph"/>
              <w:spacing w:line="360" w:lineRule="auto" w:before="19"/>
              <w:ind w:left="345" w:right="327" w:firstLine="182"/>
              <w:rPr>
                <w:sz w:val="22"/>
              </w:rPr>
            </w:pPr>
            <w:r>
              <w:rPr>
                <w:sz w:val="22"/>
              </w:rPr>
              <w:t>Poder ambiental</w:t>
            </w:r>
          </w:p>
        </w:tc>
        <w:tc>
          <w:tcPr>
            <w:tcW w:w="1244" w:type="dxa"/>
          </w:tcPr>
          <w:p>
            <w:pPr>
              <w:pStyle w:val="TableParagraph"/>
              <w:spacing w:before="19"/>
              <w:ind w:left="178" w:right="180"/>
              <w:jc w:val="center"/>
              <w:rPr>
                <w:sz w:val="22"/>
              </w:rPr>
            </w:pPr>
            <w:r>
              <w:rPr>
                <w:sz w:val="22"/>
              </w:rPr>
              <w:t>174</w:t>
            </w:r>
          </w:p>
        </w:tc>
        <w:tc>
          <w:tcPr>
            <w:tcW w:w="1193" w:type="dxa"/>
          </w:tcPr>
          <w:p>
            <w:pPr>
              <w:pStyle w:val="TableParagraph"/>
              <w:spacing w:before="19"/>
              <w:ind w:left="0"/>
              <w:jc w:val="center"/>
              <w:rPr>
                <w:sz w:val="22"/>
              </w:rPr>
            </w:pPr>
            <w:r>
              <w:rPr>
                <w:w w:val="100"/>
                <w:sz w:val="22"/>
              </w:rPr>
              <w:t>2</w:t>
            </w:r>
          </w:p>
        </w:tc>
        <w:tc>
          <w:tcPr>
            <w:tcW w:w="1274" w:type="dxa"/>
          </w:tcPr>
          <w:p>
            <w:pPr>
              <w:pStyle w:val="TableParagraph"/>
              <w:spacing w:before="19"/>
              <w:ind w:left="105" w:right="101"/>
              <w:jc w:val="center"/>
              <w:rPr>
                <w:sz w:val="22"/>
              </w:rPr>
            </w:pPr>
            <w:r>
              <w:rPr>
                <w:sz w:val="22"/>
              </w:rPr>
              <w:t>1.00</w:t>
            </w:r>
          </w:p>
        </w:tc>
        <w:tc>
          <w:tcPr>
            <w:tcW w:w="1277" w:type="dxa"/>
          </w:tcPr>
          <w:p>
            <w:pPr>
              <w:pStyle w:val="TableParagraph"/>
              <w:spacing w:before="19"/>
              <w:ind w:left="278" w:right="276"/>
              <w:jc w:val="center"/>
              <w:rPr>
                <w:sz w:val="22"/>
              </w:rPr>
            </w:pPr>
            <w:r>
              <w:rPr>
                <w:sz w:val="22"/>
              </w:rPr>
              <w:t>17.625</w:t>
            </w:r>
          </w:p>
        </w:tc>
        <w:tc>
          <w:tcPr>
            <w:tcW w:w="1118" w:type="dxa"/>
          </w:tcPr>
          <w:p>
            <w:pPr>
              <w:pStyle w:val="TableParagraph"/>
              <w:spacing w:before="19"/>
              <w:ind w:left="82" w:right="82"/>
              <w:jc w:val="center"/>
              <w:rPr>
                <w:sz w:val="22"/>
              </w:rPr>
            </w:pPr>
            <w:r>
              <w:rPr>
                <w:sz w:val="22"/>
              </w:rPr>
              <w:t>42</w:t>
            </w:r>
          </w:p>
        </w:tc>
        <w:tc>
          <w:tcPr>
            <w:tcW w:w="1193" w:type="dxa"/>
          </w:tcPr>
          <w:p>
            <w:pPr>
              <w:pStyle w:val="TableParagraph"/>
              <w:spacing w:before="19"/>
              <w:ind w:left="0"/>
              <w:jc w:val="center"/>
              <w:rPr>
                <w:sz w:val="22"/>
              </w:rPr>
            </w:pPr>
            <w:r>
              <w:rPr>
                <w:w w:val="100"/>
                <w:sz w:val="22"/>
              </w:rPr>
              <w:t>2</w:t>
            </w:r>
          </w:p>
        </w:tc>
        <w:tc>
          <w:tcPr>
            <w:tcW w:w="1277" w:type="dxa"/>
          </w:tcPr>
          <w:p>
            <w:pPr>
              <w:pStyle w:val="TableParagraph"/>
              <w:spacing w:before="19"/>
              <w:ind w:left="420" w:right="101"/>
              <w:rPr>
                <w:sz w:val="22"/>
              </w:rPr>
            </w:pPr>
            <w:r>
              <w:rPr>
                <w:sz w:val="22"/>
              </w:rPr>
              <w:t>1.00</w:t>
            </w:r>
          </w:p>
        </w:tc>
        <w:tc>
          <w:tcPr>
            <w:tcW w:w="1274" w:type="dxa"/>
          </w:tcPr>
          <w:p>
            <w:pPr>
              <w:pStyle w:val="TableParagraph"/>
              <w:spacing w:before="19"/>
              <w:ind w:left="295" w:right="98"/>
              <w:rPr>
                <w:sz w:val="22"/>
              </w:rPr>
            </w:pPr>
            <w:r>
              <w:rPr>
                <w:sz w:val="22"/>
              </w:rPr>
              <w:t>16.125</w:t>
            </w:r>
          </w:p>
        </w:tc>
      </w:tr>
      <w:tr>
        <w:trPr>
          <w:trHeight w:val="790" w:hRule="exact"/>
        </w:trPr>
        <w:tc>
          <w:tcPr>
            <w:tcW w:w="960" w:type="dxa"/>
            <w:vMerge/>
            <w:shd w:val="clear" w:color="auto" w:fill="76923B"/>
            <w:textDirection w:val="btLr"/>
          </w:tcPr>
          <w:p>
            <w:pPr/>
          </w:p>
        </w:tc>
        <w:tc>
          <w:tcPr>
            <w:tcW w:w="754" w:type="dxa"/>
            <w:shd w:val="clear" w:color="auto" w:fill="76923B"/>
          </w:tcPr>
          <w:p>
            <w:pPr>
              <w:pStyle w:val="TableParagraph"/>
              <w:spacing w:before="17"/>
              <w:ind w:left="0" w:right="4"/>
              <w:jc w:val="center"/>
              <w:rPr>
                <w:sz w:val="22"/>
              </w:rPr>
            </w:pPr>
            <w:r>
              <w:rPr>
                <w:w w:val="100"/>
                <w:sz w:val="22"/>
              </w:rPr>
              <w:t>P</w:t>
            </w:r>
          </w:p>
        </w:tc>
        <w:tc>
          <w:tcPr>
            <w:tcW w:w="1656" w:type="dxa"/>
          </w:tcPr>
          <w:p>
            <w:pPr>
              <w:pStyle w:val="TableParagraph"/>
              <w:spacing w:line="362" w:lineRule="auto" w:before="17"/>
              <w:ind w:left="345" w:right="327" w:firstLine="122"/>
              <w:rPr>
                <w:sz w:val="22"/>
              </w:rPr>
            </w:pPr>
            <w:r>
              <w:rPr>
                <w:sz w:val="22"/>
              </w:rPr>
              <w:t>Cultura ambiental</w:t>
            </w:r>
          </w:p>
        </w:tc>
        <w:tc>
          <w:tcPr>
            <w:tcW w:w="1244" w:type="dxa"/>
          </w:tcPr>
          <w:p>
            <w:pPr>
              <w:pStyle w:val="TableParagraph"/>
              <w:spacing w:before="17"/>
              <w:ind w:left="178" w:right="180"/>
              <w:jc w:val="center"/>
              <w:rPr>
                <w:sz w:val="22"/>
              </w:rPr>
            </w:pPr>
            <w:r>
              <w:rPr>
                <w:sz w:val="22"/>
              </w:rPr>
              <w:t>173</w:t>
            </w:r>
          </w:p>
        </w:tc>
        <w:tc>
          <w:tcPr>
            <w:tcW w:w="1193" w:type="dxa"/>
          </w:tcPr>
          <w:p>
            <w:pPr>
              <w:pStyle w:val="TableParagraph"/>
              <w:spacing w:before="17"/>
              <w:ind w:left="0"/>
              <w:jc w:val="center"/>
              <w:rPr>
                <w:sz w:val="22"/>
              </w:rPr>
            </w:pPr>
            <w:r>
              <w:rPr>
                <w:w w:val="100"/>
                <w:sz w:val="22"/>
              </w:rPr>
              <w:t>3</w:t>
            </w:r>
          </w:p>
        </w:tc>
        <w:tc>
          <w:tcPr>
            <w:tcW w:w="1274" w:type="dxa"/>
          </w:tcPr>
          <w:p>
            <w:pPr>
              <w:pStyle w:val="TableParagraph"/>
              <w:spacing w:before="17"/>
              <w:ind w:left="105" w:right="101"/>
              <w:jc w:val="center"/>
              <w:rPr>
                <w:sz w:val="22"/>
              </w:rPr>
            </w:pPr>
            <w:r>
              <w:rPr>
                <w:sz w:val="22"/>
              </w:rPr>
              <w:t>1.00</w:t>
            </w:r>
          </w:p>
        </w:tc>
        <w:tc>
          <w:tcPr>
            <w:tcW w:w="1277" w:type="dxa"/>
          </w:tcPr>
          <w:p>
            <w:pPr>
              <w:pStyle w:val="TableParagraph"/>
              <w:spacing w:before="17"/>
              <w:ind w:left="278" w:right="276"/>
              <w:jc w:val="center"/>
              <w:rPr>
                <w:sz w:val="22"/>
              </w:rPr>
            </w:pPr>
            <w:r>
              <w:rPr>
                <w:sz w:val="22"/>
              </w:rPr>
              <w:t>17.625</w:t>
            </w:r>
          </w:p>
        </w:tc>
        <w:tc>
          <w:tcPr>
            <w:tcW w:w="1118" w:type="dxa"/>
          </w:tcPr>
          <w:p>
            <w:pPr>
              <w:pStyle w:val="TableParagraph"/>
              <w:spacing w:before="17"/>
              <w:ind w:left="82" w:right="82"/>
              <w:jc w:val="center"/>
              <w:rPr>
                <w:sz w:val="22"/>
              </w:rPr>
            </w:pPr>
            <w:r>
              <w:rPr>
                <w:sz w:val="22"/>
              </w:rPr>
              <w:t>41</w:t>
            </w:r>
          </w:p>
        </w:tc>
        <w:tc>
          <w:tcPr>
            <w:tcW w:w="1193" w:type="dxa"/>
          </w:tcPr>
          <w:p>
            <w:pPr>
              <w:pStyle w:val="TableParagraph"/>
              <w:spacing w:before="17"/>
              <w:ind w:left="0"/>
              <w:jc w:val="center"/>
              <w:rPr>
                <w:sz w:val="22"/>
              </w:rPr>
            </w:pPr>
            <w:r>
              <w:rPr>
                <w:w w:val="100"/>
                <w:sz w:val="22"/>
              </w:rPr>
              <w:t>3</w:t>
            </w:r>
          </w:p>
        </w:tc>
        <w:tc>
          <w:tcPr>
            <w:tcW w:w="1277" w:type="dxa"/>
          </w:tcPr>
          <w:p>
            <w:pPr>
              <w:pStyle w:val="TableParagraph"/>
              <w:spacing w:before="17"/>
              <w:ind w:left="420" w:right="101"/>
              <w:rPr>
                <w:sz w:val="22"/>
              </w:rPr>
            </w:pPr>
            <w:r>
              <w:rPr>
                <w:sz w:val="22"/>
              </w:rPr>
              <w:t>1.00</w:t>
            </w:r>
          </w:p>
        </w:tc>
        <w:tc>
          <w:tcPr>
            <w:tcW w:w="1274" w:type="dxa"/>
          </w:tcPr>
          <w:p>
            <w:pPr>
              <w:pStyle w:val="TableParagraph"/>
              <w:spacing w:before="17"/>
              <w:ind w:left="295" w:right="98"/>
              <w:rPr>
                <w:sz w:val="22"/>
              </w:rPr>
            </w:pPr>
            <w:r>
              <w:rPr>
                <w:sz w:val="22"/>
              </w:rPr>
              <w:t>16.125</w:t>
            </w:r>
          </w:p>
        </w:tc>
      </w:tr>
      <w:tr>
        <w:trPr>
          <w:trHeight w:val="788" w:hRule="exact"/>
        </w:trPr>
        <w:tc>
          <w:tcPr>
            <w:tcW w:w="960" w:type="dxa"/>
            <w:vMerge/>
            <w:shd w:val="clear" w:color="auto" w:fill="76923B"/>
            <w:textDirection w:val="btLr"/>
          </w:tcPr>
          <w:p>
            <w:pPr/>
          </w:p>
        </w:tc>
        <w:tc>
          <w:tcPr>
            <w:tcW w:w="754" w:type="dxa"/>
            <w:shd w:val="clear" w:color="auto" w:fill="76923B"/>
          </w:tcPr>
          <w:p>
            <w:pPr>
              <w:pStyle w:val="TableParagraph"/>
              <w:spacing w:before="17"/>
              <w:ind w:left="0" w:right="4"/>
              <w:jc w:val="center"/>
              <w:rPr>
                <w:sz w:val="22"/>
              </w:rPr>
            </w:pPr>
            <w:r>
              <w:rPr>
                <w:w w:val="100"/>
                <w:sz w:val="22"/>
              </w:rPr>
              <w:t>P</w:t>
            </w:r>
          </w:p>
        </w:tc>
        <w:tc>
          <w:tcPr>
            <w:tcW w:w="1656" w:type="dxa"/>
          </w:tcPr>
          <w:p>
            <w:pPr>
              <w:pStyle w:val="TableParagraph"/>
              <w:spacing w:line="360" w:lineRule="auto" w:before="17"/>
              <w:ind w:left="163" w:right="133" w:hanging="15"/>
              <w:rPr>
                <w:sz w:val="22"/>
              </w:rPr>
            </w:pPr>
            <w:r>
              <w:rPr>
                <w:sz w:val="22"/>
              </w:rPr>
              <w:t>Democracia y voluntariedad</w:t>
            </w:r>
          </w:p>
        </w:tc>
        <w:tc>
          <w:tcPr>
            <w:tcW w:w="1244" w:type="dxa"/>
          </w:tcPr>
          <w:p>
            <w:pPr>
              <w:pStyle w:val="TableParagraph"/>
              <w:spacing w:before="17"/>
              <w:ind w:left="178" w:right="180"/>
              <w:jc w:val="center"/>
              <w:rPr>
                <w:sz w:val="22"/>
              </w:rPr>
            </w:pPr>
            <w:r>
              <w:rPr>
                <w:sz w:val="22"/>
              </w:rPr>
              <w:t>172</w:t>
            </w:r>
          </w:p>
        </w:tc>
        <w:tc>
          <w:tcPr>
            <w:tcW w:w="1193" w:type="dxa"/>
          </w:tcPr>
          <w:p>
            <w:pPr>
              <w:pStyle w:val="TableParagraph"/>
              <w:spacing w:before="17"/>
              <w:ind w:left="0"/>
              <w:jc w:val="center"/>
              <w:rPr>
                <w:sz w:val="22"/>
              </w:rPr>
            </w:pPr>
            <w:r>
              <w:rPr>
                <w:w w:val="100"/>
                <w:sz w:val="22"/>
              </w:rPr>
              <w:t>4</w:t>
            </w:r>
          </w:p>
        </w:tc>
        <w:tc>
          <w:tcPr>
            <w:tcW w:w="1274" w:type="dxa"/>
          </w:tcPr>
          <w:p>
            <w:pPr>
              <w:pStyle w:val="TableParagraph"/>
              <w:spacing w:before="17"/>
              <w:ind w:left="105" w:right="101"/>
              <w:jc w:val="center"/>
              <w:rPr>
                <w:sz w:val="22"/>
              </w:rPr>
            </w:pPr>
            <w:r>
              <w:rPr>
                <w:sz w:val="22"/>
              </w:rPr>
              <w:t>1.00</w:t>
            </w:r>
          </w:p>
        </w:tc>
        <w:tc>
          <w:tcPr>
            <w:tcW w:w="1277" w:type="dxa"/>
          </w:tcPr>
          <w:p>
            <w:pPr>
              <w:pStyle w:val="TableParagraph"/>
              <w:spacing w:before="17"/>
              <w:ind w:left="278" w:right="276"/>
              <w:jc w:val="center"/>
              <w:rPr>
                <w:sz w:val="22"/>
              </w:rPr>
            </w:pPr>
            <w:r>
              <w:rPr>
                <w:sz w:val="22"/>
              </w:rPr>
              <w:t>17.625</w:t>
            </w:r>
          </w:p>
        </w:tc>
        <w:tc>
          <w:tcPr>
            <w:tcW w:w="1118" w:type="dxa"/>
          </w:tcPr>
          <w:p>
            <w:pPr>
              <w:pStyle w:val="TableParagraph"/>
              <w:spacing w:before="17"/>
              <w:ind w:left="82" w:right="82"/>
              <w:jc w:val="center"/>
              <w:rPr>
                <w:sz w:val="22"/>
              </w:rPr>
            </w:pPr>
            <w:r>
              <w:rPr>
                <w:sz w:val="22"/>
              </w:rPr>
              <w:t>40</w:t>
            </w:r>
          </w:p>
        </w:tc>
        <w:tc>
          <w:tcPr>
            <w:tcW w:w="1193" w:type="dxa"/>
          </w:tcPr>
          <w:p>
            <w:pPr>
              <w:pStyle w:val="TableParagraph"/>
              <w:spacing w:before="17"/>
              <w:ind w:left="0"/>
              <w:jc w:val="center"/>
              <w:rPr>
                <w:sz w:val="22"/>
              </w:rPr>
            </w:pPr>
            <w:r>
              <w:rPr>
                <w:w w:val="100"/>
                <w:sz w:val="22"/>
              </w:rPr>
              <w:t>4</w:t>
            </w:r>
          </w:p>
        </w:tc>
        <w:tc>
          <w:tcPr>
            <w:tcW w:w="1277" w:type="dxa"/>
          </w:tcPr>
          <w:p>
            <w:pPr>
              <w:pStyle w:val="TableParagraph"/>
              <w:spacing w:before="17"/>
              <w:ind w:left="420" w:right="101"/>
              <w:rPr>
                <w:sz w:val="22"/>
              </w:rPr>
            </w:pPr>
            <w:r>
              <w:rPr>
                <w:sz w:val="22"/>
              </w:rPr>
              <w:t>1.00</w:t>
            </w:r>
          </w:p>
        </w:tc>
        <w:tc>
          <w:tcPr>
            <w:tcW w:w="1274" w:type="dxa"/>
          </w:tcPr>
          <w:p>
            <w:pPr>
              <w:pStyle w:val="TableParagraph"/>
              <w:spacing w:before="17"/>
              <w:ind w:left="295" w:right="98"/>
              <w:rPr>
                <w:sz w:val="22"/>
              </w:rPr>
            </w:pPr>
            <w:r>
              <w:rPr>
                <w:sz w:val="22"/>
              </w:rPr>
              <w:t>16.125</w:t>
            </w:r>
          </w:p>
        </w:tc>
      </w:tr>
      <w:tr>
        <w:trPr>
          <w:trHeight w:val="790" w:hRule="exact"/>
        </w:trPr>
        <w:tc>
          <w:tcPr>
            <w:tcW w:w="960" w:type="dxa"/>
            <w:vMerge/>
            <w:shd w:val="clear" w:color="auto" w:fill="76923B"/>
            <w:textDirection w:val="btLr"/>
          </w:tcPr>
          <w:p>
            <w:pPr/>
          </w:p>
        </w:tc>
        <w:tc>
          <w:tcPr>
            <w:tcW w:w="754" w:type="dxa"/>
            <w:shd w:val="clear" w:color="auto" w:fill="76923B"/>
          </w:tcPr>
          <w:p>
            <w:pPr>
              <w:pStyle w:val="TableParagraph"/>
              <w:spacing w:before="19"/>
              <w:ind w:left="0" w:right="4"/>
              <w:jc w:val="center"/>
              <w:rPr>
                <w:sz w:val="22"/>
              </w:rPr>
            </w:pPr>
            <w:r>
              <w:rPr>
                <w:w w:val="100"/>
                <w:sz w:val="22"/>
              </w:rPr>
              <w:t>P</w:t>
            </w:r>
          </w:p>
        </w:tc>
        <w:tc>
          <w:tcPr>
            <w:tcW w:w="1656" w:type="dxa"/>
          </w:tcPr>
          <w:p>
            <w:pPr>
              <w:pStyle w:val="TableParagraph"/>
              <w:spacing w:line="360" w:lineRule="auto" w:before="19"/>
              <w:ind w:left="542" w:right="175" w:hanging="351"/>
              <w:rPr>
                <w:sz w:val="22"/>
              </w:rPr>
            </w:pPr>
            <w:r>
              <w:rPr>
                <w:sz w:val="22"/>
              </w:rPr>
              <w:t>Participación social</w:t>
            </w:r>
          </w:p>
        </w:tc>
        <w:tc>
          <w:tcPr>
            <w:tcW w:w="1244" w:type="dxa"/>
          </w:tcPr>
          <w:p>
            <w:pPr>
              <w:pStyle w:val="TableParagraph"/>
              <w:spacing w:before="19"/>
              <w:ind w:left="178" w:right="180"/>
              <w:jc w:val="center"/>
              <w:rPr>
                <w:sz w:val="22"/>
              </w:rPr>
            </w:pPr>
            <w:r>
              <w:rPr>
                <w:sz w:val="22"/>
              </w:rPr>
              <w:t>171</w:t>
            </w:r>
          </w:p>
        </w:tc>
        <w:tc>
          <w:tcPr>
            <w:tcW w:w="1193" w:type="dxa"/>
          </w:tcPr>
          <w:p>
            <w:pPr>
              <w:pStyle w:val="TableParagraph"/>
              <w:spacing w:before="19"/>
              <w:ind w:left="0"/>
              <w:jc w:val="center"/>
              <w:rPr>
                <w:sz w:val="22"/>
              </w:rPr>
            </w:pPr>
            <w:r>
              <w:rPr>
                <w:w w:val="100"/>
                <w:sz w:val="22"/>
              </w:rPr>
              <w:t>5</w:t>
            </w:r>
          </w:p>
        </w:tc>
        <w:tc>
          <w:tcPr>
            <w:tcW w:w="1274" w:type="dxa"/>
          </w:tcPr>
          <w:p>
            <w:pPr>
              <w:pStyle w:val="TableParagraph"/>
              <w:spacing w:before="19"/>
              <w:ind w:left="105" w:right="101"/>
              <w:jc w:val="center"/>
              <w:rPr>
                <w:sz w:val="22"/>
              </w:rPr>
            </w:pPr>
            <w:r>
              <w:rPr>
                <w:sz w:val="22"/>
              </w:rPr>
              <w:t>1.00</w:t>
            </w:r>
          </w:p>
        </w:tc>
        <w:tc>
          <w:tcPr>
            <w:tcW w:w="1277" w:type="dxa"/>
          </w:tcPr>
          <w:p>
            <w:pPr>
              <w:pStyle w:val="TableParagraph"/>
              <w:spacing w:before="19"/>
              <w:ind w:left="278" w:right="276"/>
              <w:jc w:val="center"/>
              <w:rPr>
                <w:sz w:val="22"/>
              </w:rPr>
            </w:pPr>
            <w:r>
              <w:rPr>
                <w:sz w:val="22"/>
              </w:rPr>
              <w:t>17.625</w:t>
            </w:r>
          </w:p>
        </w:tc>
        <w:tc>
          <w:tcPr>
            <w:tcW w:w="1118" w:type="dxa"/>
          </w:tcPr>
          <w:p>
            <w:pPr>
              <w:pStyle w:val="TableParagraph"/>
              <w:spacing w:before="19"/>
              <w:ind w:left="82" w:right="82"/>
              <w:jc w:val="center"/>
              <w:rPr>
                <w:sz w:val="22"/>
              </w:rPr>
            </w:pPr>
            <w:r>
              <w:rPr>
                <w:sz w:val="22"/>
              </w:rPr>
              <w:t>39</w:t>
            </w:r>
          </w:p>
        </w:tc>
        <w:tc>
          <w:tcPr>
            <w:tcW w:w="1193" w:type="dxa"/>
          </w:tcPr>
          <w:p>
            <w:pPr>
              <w:pStyle w:val="TableParagraph"/>
              <w:spacing w:before="19"/>
              <w:ind w:left="0"/>
              <w:jc w:val="center"/>
              <w:rPr>
                <w:sz w:val="22"/>
              </w:rPr>
            </w:pPr>
            <w:r>
              <w:rPr>
                <w:w w:val="100"/>
                <w:sz w:val="22"/>
              </w:rPr>
              <w:t>5</w:t>
            </w:r>
          </w:p>
        </w:tc>
        <w:tc>
          <w:tcPr>
            <w:tcW w:w="1277" w:type="dxa"/>
          </w:tcPr>
          <w:p>
            <w:pPr>
              <w:pStyle w:val="TableParagraph"/>
              <w:spacing w:before="19"/>
              <w:ind w:left="420" w:right="101"/>
              <w:rPr>
                <w:sz w:val="22"/>
              </w:rPr>
            </w:pPr>
            <w:r>
              <w:rPr>
                <w:sz w:val="22"/>
              </w:rPr>
              <w:t>1.00</w:t>
            </w:r>
          </w:p>
        </w:tc>
        <w:tc>
          <w:tcPr>
            <w:tcW w:w="1274" w:type="dxa"/>
          </w:tcPr>
          <w:p>
            <w:pPr>
              <w:pStyle w:val="TableParagraph"/>
              <w:spacing w:before="19"/>
              <w:ind w:left="295" w:right="98"/>
              <w:rPr>
                <w:sz w:val="22"/>
              </w:rPr>
            </w:pPr>
            <w:r>
              <w:rPr>
                <w:sz w:val="22"/>
              </w:rPr>
              <w:t>16.125</w:t>
            </w:r>
          </w:p>
        </w:tc>
      </w:tr>
      <w:tr>
        <w:trPr>
          <w:trHeight w:val="1169" w:hRule="exact"/>
        </w:trPr>
        <w:tc>
          <w:tcPr>
            <w:tcW w:w="960" w:type="dxa"/>
            <w:vMerge/>
            <w:shd w:val="clear" w:color="auto" w:fill="76923B"/>
            <w:textDirection w:val="btLr"/>
          </w:tcPr>
          <w:p>
            <w:pPr/>
          </w:p>
        </w:tc>
        <w:tc>
          <w:tcPr>
            <w:tcW w:w="754" w:type="dxa"/>
            <w:shd w:val="clear" w:color="auto" w:fill="76923B"/>
          </w:tcPr>
          <w:p>
            <w:pPr>
              <w:pStyle w:val="TableParagraph"/>
              <w:spacing w:before="19"/>
              <w:ind w:left="0" w:right="4"/>
              <w:jc w:val="center"/>
              <w:rPr>
                <w:sz w:val="22"/>
              </w:rPr>
            </w:pPr>
            <w:r>
              <w:rPr>
                <w:w w:val="100"/>
                <w:sz w:val="22"/>
              </w:rPr>
              <w:t>P</w:t>
            </w:r>
          </w:p>
        </w:tc>
        <w:tc>
          <w:tcPr>
            <w:tcW w:w="1656" w:type="dxa"/>
          </w:tcPr>
          <w:p>
            <w:pPr>
              <w:pStyle w:val="TableParagraph"/>
              <w:spacing w:line="360" w:lineRule="auto" w:before="19"/>
              <w:ind w:left="144" w:right="141" w:hanging="3"/>
              <w:jc w:val="center"/>
              <w:rPr>
                <w:sz w:val="22"/>
              </w:rPr>
            </w:pPr>
            <w:r>
              <w:rPr>
                <w:sz w:val="22"/>
              </w:rPr>
              <w:t>Relaciones intermunicipal es</w:t>
            </w:r>
          </w:p>
        </w:tc>
        <w:tc>
          <w:tcPr>
            <w:tcW w:w="1244" w:type="dxa"/>
          </w:tcPr>
          <w:p>
            <w:pPr>
              <w:pStyle w:val="TableParagraph"/>
              <w:spacing w:before="19"/>
              <w:ind w:left="178" w:right="180"/>
              <w:jc w:val="center"/>
              <w:rPr>
                <w:sz w:val="22"/>
              </w:rPr>
            </w:pPr>
            <w:r>
              <w:rPr>
                <w:sz w:val="22"/>
              </w:rPr>
              <w:t>170</w:t>
            </w:r>
          </w:p>
        </w:tc>
        <w:tc>
          <w:tcPr>
            <w:tcW w:w="1193" w:type="dxa"/>
          </w:tcPr>
          <w:p>
            <w:pPr>
              <w:pStyle w:val="TableParagraph"/>
              <w:spacing w:before="19"/>
              <w:ind w:left="0"/>
              <w:jc w:val="center"/>
              <w:rPr>
                <w:sz w:val="22"/>
              </w:rPr>
            </w:pPr>
            <w:r>
              <w:rPr>
                <w:w w:val="100"/>
                <w:sz w:val="22"/>
              </w:rPr>
              <w:t>6</w:t>
            </w:r>
          </w:p>
        </w:tc>
        <w:tc>
          <w:tcPr>
            <w:tcW w:w="1274" w:type="dxa"/>
          </w:tcPr>
          <w:p>
            <w:pPr>
              <w:pStyle w:val="TableParagraph"/>
              <w:spacing w:before="19"/>
              <w:ind w:left="105" w:right="101"/>
              <w:jc w:val="center"/>
              <w:rPr>
                <w:sz w:val="22"/>
              </w:rPr>
            </w:pPr>
            <w:r>
              <w:rPr>
                <w:sz w:val="22"/>
              </w:rPr>
              <w:t>1.00</w:t>
            </w:r>
          </w:p>
        </w:tc>
        <w:tc>
          <w:tcPr>
            <w:tcW w:w="1277" w:type="dxa"/>
          </w:tcPr>
          <w:p>
            <w:pPr>
              <w:pStyle w:val="TableParagraph"/>
              <w:spacing w:before="19"/>
              <w:ind w:left="278" w:right="276"/>
              <w:jc w:val="center"/>
              <w:rPr>
                <w:sz w:val="22"/>
              </w:rPr>
            </w:pPr>
            <w:r>
              <w:rPr>
                <w:sz w:val="22"/>
              </w:rPr>
              <w:t>17.625</w:t>
            </w:r>
          </w:p>
        </w:tc>
        <w:tc>
          <w:tcPr>
            <w:tcW w:w="1118" w:type="dxa"/>
          </w:tcPr>
          <w:p>
            <w:pPr>
              <w:pStyle w:val="TableParagraph"/>
              <w:spacing w:before="19"/>
              <w:ind w:left="82" w:right="82"/>
              <w:jc w:val="center"/>
              <w:rPr>
                <w:sz w:val="22"/>
              </w:rPr>
            </w:pPr>
            <w:r>
              <w:rPr>
                <w:sz w:val="22"/>
              </w:rPr>
              <w:t>38</w:t>
            </w:r>
          </w:p>
        </w:tc>
        <w:tc>
          <w:tcPr>
            <w:tcW w:w="1193" w:type="dxa"/>
          </w:tcPr>
          <w:p>
            <w:pPr>
              <w:pStyle w:val="TableParagraph"/>
              <w:spacing w:before="19"/>
              <w:ind w:left="0"/>
              <w:jc w:val="center"/>
              <w:rPr>
                <w:sz w:val="22"/>
              </w:rPr>
            </w:pPr>
            <w:r>
              <w:rPr>
                <w:w w:val="100"/>
                <w:sz w:val="22"/>
              </w:rPr>
              <w:t>6</w:t>
            </w:r>
          </w:p>
        </w:tc>
        <w:tc>
          <w:tcPr>
            <w:tcW w:w="1277" w:type="dxa"/>
          </w:tcPr>
          <w:p>
            <w:pPr>
              <w:pStyle w:val="TableParagraph"/>
              <w:spacing w:before="19"/>
              <w:ind w:left="420" w:right="101"/>
              <w:rPr>
                <w:sz w:val="22"/>
              </w:rPr>
            </w:pPr>
            <w:r>
              <w:rPr>
                <w:sz w:val="22"/>
              </w:rPr>
              <w:t>1.00</w:t>
            </w:r>
          </w:p>
        </w:tc>
        <w:tc>
          <w:tcPr>
            <w:tcW w:w="1274" w:type="dxa"/>
          </w:tcPr>
          <w:p>
            <w:pPr>
              <w:pStyle w:val="TableParagraph"/>
              <w:spacing w:before="19"/>
              <w:ind w:left="295" w:right="98"/>
              <w:rPr>
                <w:sz w:val="22"/>
              </w:rPr>
            </w:pPr>
            <w:r>
              <w:rPr>
                <w:sz w:val="22"/>
              </w:rPr>
              <w:t>16.125</w:t>
            </w:r>
          </w:p>
        </w:tc>
      </w:tr>
      <w:tr>
        <w:trPr>
          <w:trHeight w:val="790" w:hRule="exact"/>
        </w:trPr>
        <w:tc>
          <w:tcPr>
            <w:tcW w:w="960" w:type="dxa"/>
            <w:vMerge/>
            <w:shd w:val="clear" w:color="auto" w:fill="76923B"/>
            <w:textDirection w:val="btLr"/>
          </w:tcPr>
          <w:p>
            <w:pPr/>
          </w:p>
        </w:tc>
        <w:tc>
          <w:tcPr>
            <w:tcW w:w="754" w:type="dxa"/>
            <w:shd w:val="clear" w:color="auto" w:fill="76923B"/>
          </w:tcPr>
          <w:p>
            <w:pPr>
              <w:pStyle w:val="TableParagraph"/>
              <w:spacing w:before="17"/>
              <w:ind w:left="0" w:right="4"/>
              <w:jc w:val="center"/>
              <w:rPr>
                <w:sz w:val="22"/>
              </w:rPr>
            </w:pPr>
            <w:r>
              <w:rPr>
                <w:w w:val="100"/>
                <w:sz w:val="22"/>
              </w:rPr>
              <w:t>P</w:t>
            </w:r>
          </w:p>
        </w:tc>
        <w:tc>
          <w:tcPr>
            <w:tcW w:w="1656" w:type="dxa"/>
          </w:tcPr>
          <w:p>
            <w:pPr>
              <w:pStyle w:val="TableParagraph"/>
              <w:spacing w:line="362" w:lineRule="auto" w:before="17"/>
              <w:ind w:left="345" w:right="180" w:hanging="147"/>
              <w:rPr>
                <w:sz w:val="22"/>
              </w:rPr>
            </w:pPr>
            <w:r>
              <w:rPr>
                <w:sz w:val="22"/>
              </w:rPr>
              <w:t>Cooperación ambiental</w:t>
            </w:r>
          </w:p>
        </w:tc>
        <w:tc>
          <w:tcPr>
            <w:tcW w:w="1244" w:type="dxa"/>
          </w:tcPr>
          <w:p>
            <w:pPr>
              <w:pStyle w:val="TableParagraph"/>
              <w:spacing w:before="17"/>
              <w:ind w:left="178" w:right="180"/>
              <w:jc w:val="center"/>
              <w:rPr>
                <w:sz w:val="22"/>
              </w:rPr>
            </w:pPr>
            <w:r>
              <w:rPr>
                <w:sz w:val="22"/>
              </w:rPr>
              <w:t>169</w:t>
            </w:r>
          </w:p>
        </w:tc>
        <w:tc>
          <w:tcPr>
            <w:tcW w:w="1193" w:type="dxa"/>
          </w:tcPr>
          <w:p>
            <w:pPr>
              <w:pStyle w:val="TableParagraph"/>
              <w:spacing w:before="17"/>
              <w:ind w:left="0"/>
              <w:jc w:val="center"/>
              <w:rPr>
                <w:sz w:val="22"/>
              </w:rPr>
            </w:pPr>
            <w:r>
              <w:rPr>
                <w:w w:val="100"/>
                <w:sz w:val="22"/>
              </w:rPr>
              <w:t>7</w:t>
            </w:r>
          </w:p>
        </w:tc>
        <w:tc>
          <w:tcPr>
            <w:tcW w:w="1274" w:type="dxa"/>
          </w:tcPr>
          <w:p>
            <w:pPr>
              <w:pStyle w:val="TableParagraph"/>
              <w:spacing w:before="17"/>
              <w:ind w:left="105" w:right="101"/>
              <w:jc w:val="center"/>
              <w:rPr>
                <w:sz w:val="22"/>
              </w:rPr>
            </w:pPr>
            <w:r>
              <w:rPr>
                <w:sz w:val="22"/>
              </w:rPr>
              <w:t>1.00</w:t>
            </w:r>
          </w:p>
        </w:tc>
        <w:tc>
          <w:tcPr>
            <w:tcW w:w="1277" w:type="dxa"/>
          </w:tcPr>
          <w:p>
            <w:pPr>
              <w:pStyle w:val="TableParagraph"/>
              <w:spacing w:before="17"/>
              <w:ind w:left="278" w:right="276"/>
              <w:jc w:val="center"/>
              <w:rPr>
                <w:sz w:val="22"/>
              </w:rPr>
            </w:pPr>
            <w:r>
              <w:rPr>
                <w:sz w:val="22"/>
              </w:rPr>
              <w:t>17.625</w:t>
            </w:r>
          </w:p>
        </w:tc>
        <w:tc>
          <w:tcPr>
            <w:tcW w:w="1118" w:type="dxa"/>
          </w:tcPr>
          <w:p>
            <w:pPr>
              <w:pStyle w:val="TableParagraph"/>
              <w:spacing w:before="17"/>
              <w:ind w:left="82" w:right="82"/>
              <w:jc w:val="center"/>
              <w:rPr>
                <w:sz w:val="22"/>
              </w:rPr>
            </w:pPr>
            <w:r>
              <w:rPr>
                <w:sz w:val="22"/>
              </w:rPr>
              <w:t>37</w:t>
            </w:r>
          </w:p>
        </w:tc>
        <w:tc>
          <w:tcPr>
            <w:tcW w:w="1193" w:type="dxa"/>
          </w:tcPr>
          <w:p>
            <w:pPr>
              <w:pStyle w:val="TableParagraph"/>
              <w:spacing w:before="17"/>
              <w:ind w:left="0"/>
              <w:jc w:val="center"/>
              <w:rPr>
                <w:sz w:val="22"/>
              </w:rPr>
            </w:pPr>
            <w:r>
              <w:rPr>
                <w:w w:val="100"/>
                <w:sz w:val="22"/>
              </w:rPr>
              <w:t>7</w:t>
            </w:r>
          </w:p>
        </w:tc>
        <w:tc>
          <w:tcPr>
            <w:tcW w:w="1277" w:type="dxa"/>
          </w:tcPr>
          <w:p>
            <w:pPr>
              <w:pStyle w:val="TableParagraph"/>
              <w:spacing w:before="17"/>
              <w:ind w:left="420" w:right="101"/>
              <w:rPr>
                <w:sz w:val="22"/>
              </w:rPr>
            </w:pPr>
            <w:r>
              <w:rPr>
                <w:sz w:val="22"/>
              </w:rPr>
              <w:t>1.00</w:t>
            </w:r>
          </w:p>
        </w:tc>
        <w:tc>
          <w:tcPr>
            <w:tcW w:w="1274" w:type="dxa"/>
          </w:tcPr>
          <w:p>
            <w:pPr>
              <w:pStyle w:val="TableParagraph"/>
              <w:spacing w:before="17"/>
              <w:ind w:left="295" w:right="98"/>
              <w:rPr>
                <w:sz w:val="22"/>
              </w:rPr>
            </w:pPr>
            <w:r>
              <w:rPr>
                <w:sz w:val="22"/>
              </w:rPr>
              <w:t>16.125</w:t>
            </w:r>
          </w:p>
        </w:tc>
      </w:tr>
      <w:tr>
        <w:trPr>
          <w:trHeight w:val="799" w:hRule="exact"/>
        </w:trPr>
        <w:tc>
          <w:tcPr>
            <w:tcW w:w="960" w:type="dxa"/>
            <w:vMerge/>
            <w:tcBorders>
              <w:bottom w:val="single" w:sz="12" w:space="0" w:color="000000"/>
            </w:tcBorders>
            <w:shd w:val="clear" w:color="auto" w:fill="76923B"/>
            <w:textDirection w:val="btLr"/>
          </w:tcPr>
          <w:p>
            <w:pPr/>
          </w:p>
        </w:tc>
        <w:tc>
          <w:tcPr>
            <w:tcW w:w="754" w:type="dxa"/>
            <w:tcBorders>
              <w:bottom w:val="single" w:sz="12" w:space="0" w:color="000000"/>
            </w:tcBorders>
            <w:shd w:val="clear" w:color="auto" w:fill="76923B"/>
          </w:tcPr>
          <w:p>
            <w:pPr>
              <w:pStyle w:val="TableParagraph"/>
              <w:spacing w:before="17"/>
              <w:ind w:left="0" w:right="4"/>
              <w:jc w:val="center"/>
              <w:rPr>
                <w:sz w:val="22"/>
              </w:rPr>
            </w:pPr>
            <w:r>
              <w:rPr>
                <w:w w:val="100"/>
                <w:sz w:val="22"/>
              </w:rPr>
              <w:t>P</w:t>
            </w:r>
          </w:p>
        </w:tc>
        <w:tc>
          <w:tcPr>
            <w:tcW w:w="1656" w:type="dxa"/>
            <w:tcBorders>
              <w:bottom w:val="single" w:sz="12" w:space="0" w:color="000000"/>
            </w:tcBorders>
          </w:tcPr>
          <w:p>
            <w:pPr>
              <w:pStyle w:val="TableParagraph"/>
              <w:spacing w:line="360" w:lineRule="auto" w:before="17"/>
              <w:ind w:left="345" w:right="327" w:firstLine="24"/>
              <w:rPr>
                <w:sz w:val="22"/>
              </w:rPr>
            </w:pPr>
            <w:r>
              <w:rPr>
                <w:sz w:val="22"/>
              </w:rPr>
              <w:t>Identidad ambiental</w:t>
            </w:r>
          </w:p>
        </w:tc>
        <w:tc>
          <w:tcPr>
            <w:tcW w:w="1244" w:type="dxa"/>
            <w:tcBorders>
              <w:bottom w:val="single" w:sz="12" w:space="0" w:color="000000"/>
            </w:tcBorders>
          </w:tcPr>
          <w:p>
            <w:pPr>
              <w:pStyle w:val="TableParagraph"/>
              <w:spacing w:before="17"/>
              <w:ind w:left="178" w:right="180"/>
              <w:jc w:val="center"/>
              <w:rPr>
                <w:sz w:val="22"/>
              </w:rPr>
            </w:pPr>
            <w:r>
              <w:rPr>
                <w:sz w:val="22"/>
              </w:rPr>
              <w:t>168</w:t>
            </w:r>
          </w:p>
        </w:tc>
        <w:tc>
          <w:tcPr>
            <w:tcW w:w="1193" w:type="dxa"/>
            <w:tcBorders>
              <w:bottom w:val="single" w:sz="12" w:space="0" w:color="000000"/>
            </w:tcBorders>
          </w:tcPr>
          <w:p>
            <w:pPr>
              <w:pStyle w:val="TableParagraph"/>
              <w:spacing w:before="17"/>
              <w:ind w:left="0"/>
              <w:jc w:val="center"/>
              <w:rPr>
                <w:sz w:val="22"/>
              </w:rPr>
            </w:pPr>
            <w:r>
              <w:rPr>
                <w:w w:val="100"/>
                <w:sz w:val="22"/>
              </w:rPr>
              <w:t>8</w:t>
            </w:r>
          </w:p>
        </w:tc>
        <w:tc>
          <w:tcPr>
            <w:tcW w:w="1274" w:type="dxa"/>
            <w:tcBorders>
              <w:bottom w:val="single" w:sz="12" w:space="0" w:color="000000"/>
            </w:tcBorders>
          </w:tcPr>
          <w:p>
            <w:pPr>
              <w:pStyle w:val="TableParagraph"/>
              <w:spacing w:before="17"/>
              <w:ind w:left="105" w:right="101"/>
              <w:jc w:val="center"/>
              <w:rPr>
                <w:sz w:val="22"/>
              </w:rPr>
            </w:pPr>
            <w:r>
              <w:rPr>
                <w:sz w:val="22"/>
              </w:rPr>
              <w:t>1.00</w:t>
            </w:r>
          </w:p>
        </w:tc>
        <w:tc>
          <w:tcPr>
            <w:tcW w:w="1277" w:type="dxa"/>
            <w:tcBorders>
              <w:bottom w:val="single" w:sz="12" w:space="0" w:color="000000"/>
            </w:tcBorders>
          </w:tcPr>
          <w:p>
            <w:pPr>
              <w:pStyle w:val="TableParagraph"/>
              <w:spacing w:before="17"/>
              <w:ind w:left="278" w:right="276"/>
              <w:jc w:val="center"/>
              <w:rPr>
                <w:sz w:val="22"/>
              </w:rPr>
            </w:pPr>
            <w:r>
              <w:rPr>
                <w:sz w:val="22"/>
              </w:rPr>
              <w:t>17.625</w:t>
            </w:r>
          </w:p>
        </w:tc>
        <w:tc>
          <w:tcPr>
            <w:tcW w:w="1118" w:type="dxa"/>
            <w:tcBorders>
              <w:bottom w:val="single" w:sz="12" w:space="0" w:color="000000"/>
            </w:tcBorders>
          </w:tcPr>
          <w:p>
            <w:pPr>
              <w:pStyle w:val="TableParagraph"/>
              <w:spacing w:before="17"/>
              <w:ind w:left="82" w:right="82"/>
              <w:jc w:val="center"/>
              <w:rPr>
                <w:sz w:val="22"/>
              </w:rPr>
            </w:pPr>
            <w:r>
              <w:rPr>
                <w:sz w:val="22"/>
              </w:rPr>
              <w:t>36</w:t>
            </w:r>
          </w:p>
        </w:tc>
        <w:tc>
          <w:tcPr>
            <w:tcW w:w="1193" w:type="dxa"/>
            <w:tcBorders>
              <w:bottom w:val="single" w:sz="12" w:space="0" w:color="000000"/>
            </w:tcBorders>
          </w:tcPr>
          <w:p>
            <w:pPr>
              <w:pStyle w:val="TableParagraph"/>
              <w:spacing w:before="17"/>
              <w:ind w:left="0"/>
              <w:jc w:val="center"/>
              <w:rPr>
                <w:sz w:val="22"/>
              </w:rPr>
            </w:pPr>
            <w:r>
              <w:rPr>
                <w:w w:val="100"/>
                <w:sz w:val="22"/>
              </w:rPr>
              <w:t>8</w:t>
            </w:r>
          </w:p>
        </w:tc>
        <w:tc>
          <w:tcPr>
            <w:tcW w:w="1277" w:type="dxa"/>
            <w:tcBorders>
              <w:bottom w:val="single" w:sz="12" w:space="0" w:color="000000"/>
            </w:tcBorders>
          </w:tcPr>
          <w:p>
            <w:pPr>
              <w:pStyle w:val="TableParagraph"/>
              <w:spacing w:before="17"/>
              <w:ind w:left="420" w:right="101"/>
              <w:rPr>
                <w:sz w:val="22"/>
              </w:rPr>
            </w:pPr>
            <w:r>
              <w:rPr>
                <w:sz w:val="22"/>
              </w:rPr>
              <w:t>1.00</w:t>
            </w:r>
          </w:p>
        </w:tc>
        <w:tc>
          <w:tcPr>
            <w:tcW w:w="1274" w:type="dxa"/>
            <w:tcBorders>
              <w:bottom w:val="single" w:sz="12" w:space="0" w:color="000000"/>
            </w:tcBorders>
          </w:tcPr>
          <w:p>
            <w:pPr>
              <w:pStyle w:val="TableParagraph"/>
              <w:spacing w:before="17"/>
              <w:ind w:left="295" w:right="98"/>
              <w:rPr>
                <w:sz w:val="22"/>
              </w:rPr>
            </w:pPr>
            <w:r>
              <w:rPr>
                <w:sz w:val="22"/>
              </w:rPr>
              <w:t>16.125</w:t>
            </w:r>
          </w:p>
        </w:tc>
      </w:tr>
    </w:tbl>
    <w:p>
      <w:pPr>
        <w:spacing w:after="0"/>
        <w:rPr>
          <w:sz w:val="22"/>
        </w:rPr>
        <w:sectPr>
          <w:footerReference w:type="default" r:id="rId257"/>
          <w:pgSz w:w="15840" w:h="12240" w:orient="landscape"/>
          <w:pgMar w:footer="943" w:header="0" w:top="1140" w:bottom="1140" w:left="1200" w:right="1180"/>
          <w:pgNumType w:start="513"/>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60"/>
        <w:gridCol w:w="752"/>
        <w:gridCol w:w="1657"/>
        <w:gridCol w:w="1244"/>
        <w:gridCol w:w="1193"/>
        <w:gridCol w:w="1274"/>
        <w:gridCol w:w="1277"/>
        <w:gridCol w:w="1118"/>
        <w:gridCol w:w="1193"/>
        <w:gridCol w:w="1277"/>
        <w:gridCol w:w="1274"/>
      </w:tblGrid>
      <w:tr>
        <w:trPr>
          <w:trHeight w:val="398" w:hRule="exact"/>
        </w:trPr>
        <w:tc>
          <w:tcPr>
            <w:tcW w:w="960" w:type="dxa"/>
            <w:vMerge w:val="restart"/>
            <w:tcBorders>
              <w:left w:val="single" w:sz="4" w:space="0" w:color="000000"/>
              <w:right w:val="single" w:sz="4" w:space="0" w:color="000000"/>
            </w:tcBorders>
            <w:shd w:val="clear" w:color="auto" w:fill="F9BE8F"/>
            <w:textDirection w:val="btLr"/>
          </w:tcPr>
          <w:p>
            <w:pPr>
              <w:pStyle w:val="TableParagraph"/>
              <w:ind w:left="0"/>
              <w:rPr>
                <w:rFonts w:ascii="Times New Roman"/>
                <w:sz w:val="22"/>
              </w:rPr>
            </w:pPr>
          </w:p>
          <w:p>
            <w:pPr>
              <w:pStyle w:val="TableParagraph"/>
              <w:ind w:left="0"/>
              <w:rPr>
                <w:rFonts w:ascii="Times New Roman"/>
                <w:sz w:val="21"/>
              </w:rPr>
            </w:pPr>
          </w:p>
          <w:p>
            <w:pPr>
              <w:pStyle w:val="TableParagraph"/>
              <w:ind w:left="2262" w:right="2262"/>
              <w:jc w:val="center"/>
              <w:rPr>
                <w:b/>
                <w:sz w:val="22"/>
              </w:rPr>
            </w:pPr>
            <w:r>
              <w:rPr>
                <w:b/>
                <w:spacing w:val="-1"/>
                <w:w w:val="100"/>
                <w:sz w:val="22"/>
              </w:rPr>
              <w:t>S</w:t>
            </w:r>
            <w:r>
              <w:rPr>
                <w:b/>
                <w:w w:val="100"/>
                <w:sz w:val="22"/>
              </w:rPr>
              <w:t>O</w:t>
            </w:r>
            <w:r>
              <w:rPr>
                <w:b/>
                <w:spacing w:val="-2"/>
                <w:w w:val="100"/>
                <w:sz w:val="22"/>
              </w:rPr>
              <w:t>C</w:t>
            </w:r>
            <w:r>
              <w:rPr>
                <w:b/>
                <w:w w:val="100"/>
                <w:sz w:val="22"/>
              </w:rPr>
              <w:t>I</w:t>
            </w:r>
            <w:r>
              <w:rPr>
                <w:b/>
                <w:spacing w:val="-2"/>
                <w:w w:val="100"/>
                <w:sz w:val="22"/>
              </w:rPr>
              <w:t>A</w:t>
            </w:r>
            <w:r>
              <w:rPr>
                <w:b/>
                <w:w w:val="100"/>
                <w:sz w:val="22"/>
              </w:rPr>
              <w:t>L</w:t>
            </w:r>
          </w:p>
        </w:tc>
        <w:tc>
          <w:tcPr>
            <w:tcW w:w="752" w:type="dxa"/>
            <w:tcBorders>
              <w:left w:val="single" w:sz="4" w:space="0" w:color="000000"/>
              <w:bottom w:val="single" w:sz="4" w:space="0" w:color="000000"/>
              <w:right w:val="single" w:sz="4" w:space="0" w:color="000000"/>
            </w:tcBorders>
            <w:shd w:val="clear" w:color="auto" w:fill="F9BE8F"/>
          </w:tcPr>
          <w:p>
            <w:pPr>
              <w:pStyle w:val="TableParagraph"/>
              <w:spacing w:line="251" w:lineRule="exact"/>
              <w:ind w:left="0" w:right="3"/>
              <w:jc w:val="center"/>
              <w:rPr>
                <w:sz w:val="22"/>
              </w:rPr>
            </w:pPr>
            <w:r>
              <w:rPr>
                <w:w w:val="100"/>
                <w:sz w:val="22"/>
              </w:rPr>
              <w:t>P</w:t>
            </w:r>
          </w:p>
        </w:tc>
        <w:tc>
          <w:tcPr>
            <w:tcW w:w="1657" w:type="dxa"/>
            <w:tcBorders>
              <w:left w:val="single" w:sz="4" w:space="0" w:color="000000"/>
              <w:bottom w:val="single" w:sz="4" w:space="0" w:color="000000"/>
              <w:right w:val="single" w:sz="4" w:space="0" w:color="000000"/>
            </w:tcBorders>
          </w:tcPr>
          <w:p>
            <w:pPr>
              <w:pStyle w:val="TableParagraph"/>
              <w:spacing w:line="251" w:lineRule="exact"/>
              <w:ind w:left="119" w:right="119"/>
              <w:jc w:val="center"/>
              <w:rPr>
                <w:sz w:val="22"/>
              </w:rPr>
            </w:pPr>
            <w:r>
              <w:rPr>
                <w:sz w:val="22"/>
              </w:rPr>
              <w:t>Historia social</w:t>
            </w:r>
          </w:p>
        </w:tc>
        <w:tc>
          <w:tcPr>
            <w:tcW w:w="1244" w:type="dxa"/>
            <w:tcBorders>
              <w:left w:val="single" w:sz="4" w:space="0" w:color="000000"/>
              <w:bottom w:val="single" w:sz="4" w:space="0" w:color="000000"/>
              <w:right w:val="single" w:sz="4" w:space="0" w:color="000000"/>
            </w:tcBorders>
          </w:tcPr>
          <w:p>
            <w:pPr>
              <w:pStyle w:val="TableParagraph"/>
              <w:spacing w:line="251" w:lineRule="exact"/>
              <w:ind w:left="178" w:right="180"/>
              <w:jc w:val="center"/>
              <w:rPr>
                <w:sz w:val="22"/>
              </w:rPr>
            </w:pPr>
            <w:r>
              <w:rPr>
                <w:sz w:val="22"/>
              </w:rPr>
              <w:t>132</w:t>
            </w:r>
          </w:p>
        </w:tc>
        <w:tc>
          <w:tcPr>
            <w:tcW w:w="1193" w:type="dxa"/>
            <w:tcBorders>
              <w:left w:val="single" w:sz="4" w:space="0" w:color="000000"/>
              <w:bottom w:val="single" w:sz="4" w:space="0" w:color="000000"/>
              <w:right w:val="single" w:sz="4" w:space="0" w:color="000000"/>
            </w:tcBorders>
          </w:tcPr>
          <w:p>
            <w:pPr>
              <w:pStyle w:val="TableParagraph"/>
              <w:spacing w:line="251" w:lineRule="exact"/>
              <w:ind w:left="121" w:right="121"/>
              <w:jc w:val="center"/>
              <w:rPr>
                <w:sz w:val="22"/>
              </w:rPr>
            </w:pPr>
            <w:r>
              <w:rPr>
                <w:sz w:val="22"/>
              </w:rPr>
              <w:t>32</w:t>
            </w:r>
          </w:p>
        </w:tc>
        <w:tc>
          <w:tcPr>
            <w:tcW w:w="1274" w:type="dxa"/>
            <w:tcBorders>
              <w:left w:val="single" w:sz="4" w:space="0" w:color="000000"/>
              <w:bottom w:val="single" w:sz="4" w:space="0" w:color="000000"/>
              <w:right w:val="single" w:sz="4" w:space="0" w:color="000000"/>
            </w:tcBorders>
          </w:tcPr>
          <w:p>
            <w:pPr>
              <w:pStyle w:val="TableParagraph"/>
              <w:spacing w:line="251" w:lineRule="exact"/>
              <w:ind w:left="105" w:right="103"/>
              <w:jc w:val="center"/>
              <w:rPr>
                <w:sz w:val="22"/>
              </w:rPr>
            </w:pPr>
            <w:r>
              <w:rPr>
                <w:sz w:val="22"/>
              </w:rPr>
              <w:t>0.125</w:t>
            </w:r>
          </w:p>
        </w:tc>
        <w:tc>
          <w:tcPr>
            <w:tcW w:w="1277" w:type="dxa"/>
            <w:tcBorders>
              <w:left w:val="single" w:sz="4" w:space="0" w:color="000000"/>
              <w:bottom w:val="single" w:sz="4" w:space="0" w:color="000000"/>
              <w:right w:val="single" w:sz="4" w:space="0" w:color="000000"/>
            </w:tcBorders>
          </w:tcPr>
          <w:p>
            <w:pPr>
              <w:pStyle w:val="TableParagraph"/>
              <w:spacing w:line="251" w:lineRule="exact"/>
              <w:ind w:left="357" w:right="92"/>
              <w:rPr>
                <w:sz w:val="22"/>
              </w:rPr>
            </w:pPr>
            <w:r>
              <w:rPr>
                <w:sz w:val="22"/>
              </w:rPr>
              <w:t>1.227</w:t>
            </w:r>
          </w:p>
        </w:tc>
        <w:tc>
          <w:tcPr>
            <w:tcW w:w="1118" w:type="dxa"/>
            <w:tcBorders>
              <w:left w:val="single" w:sz="4" w:space="0" w:color="000000"/>
              <w:bottom w:val="single" w:sz="4" w:space="0" w:color="000000"/>
              <w:right w:val="single" w:sz="4" w:space="0" w:color="000000"/>
            </w:tcBorders>
          </w:tcPr>
          <w:p>
            <w:pPr>
              <w:pStyle w:val="TableParagraph"/>
              <w:spacing w:line="251" w:lineRule="exact"/>
              <w:ind w:left="432"/>
              <w:rPr>
                <w:sz w:val="22"/>
              </w:rPr>
            </w:pPr>
            <w:r>
              <w:rPr>
                <w:sz w:val="22"/>
              </w:rPr>
              <w:t>43</w:t>
            </w:r>
          </w:p>
        </w:tc>
        <w:tc>
          <w:tcPr>
            <w:tcW w:w="1193" w:type="dxa"/>
            <w:tcBorders>
              <w:left w:val="single" w:sz="4" w:space="0" w:color="000000"/>
              <w:bottom w:val="single" w:sz="4" w:space="0" w:color="000000"/>
              <w:right w:val="single" w:sz="4" w:space="0" w:color="000000"/>
            </w:tcBorders>
          </w:tcPr>
          <w:p>
            <w:pPr>
              <w:pStyle w:val="TableParagraph"/>
              <w:spacing w:line="251" w:lineRule="exact"/>
              <w:ind w:left="0"/>
              <w:jc w:val="center"/>
              <w:rPr>
                <w:sz w:val="22"/>
              </w:rPr>
            </w:pPr>
            <w:r>
              <w:rPr>
                <w:w w:val="100"/>
                <w:sz w:val="22"/>
              </w:rPr>
              <w:t>1</w:t>
            </w:r>
          </w:p>
        </w:tc>
        <w:tc>
          <w:tcPr>
            <w:tcW w:w="1277" w:type="dxa"/>
            <w:tcBorders>
              <w:left w:val="single" w:sz="4" w:space="0" w:color="000000"/>
              <w:bottom w:val="single" w:sz="4" w:space="0" w:color="000000"/>
              <w:right w:val="single" w:sz="4" w:space="0" w:color="000000"/>
            </w:tcBorders>
          </w:tcPr>
          <w:p>
            <w:pPr>
              <w:pStyle w:val="TableParagraph"/>
              <w:spacing w:line="251" w:lineRule="exact"/>
              <w:ind w:left="420" w:right="101"/>
              <w:rPr>
                <w:sz w:val="22"/>
              </w:rPr>
            </w:pPr>
            <w:r>
              <w:rPr>
                <w:sz w:val="22"/>
              </w:rPr>
              <w:t>1.00</w:t>
            </w:r>
          </w:p>
        </w:tc>
        <w:tc>
          <w:tcPr>
            <w:tcW w:w="1274" w:type="dxa"/>
            <w:tcBorders>
              <w:left w:val="single" w:sz="4" w:space="0" w:color="000000"/>
              <w:bottom w:val="single" w:sz="4" w:space="0" w:color="000000"/>
              <w:right w:val="single" w:sz="4" w:space="0" w:color="000000"/>
            </w:tcBorders>
          </w:tcPr>
          <w:p>
            <w:pPr>
              <w:pStyle w:val="TableParagraph"/>
              <w:spacing w:line="251" w:lineRule="exact"/>
              <w:ind w:left="295" w:right="98"/>
              <w:rPr>
                <w:sz w:val="22"/>
              </w:rPr>
            </w:pPr>
            <w:r>
              <w:rPr>
                <w:sz w:val="22"/>
              </w:rPr>
              <w:t>17.313</w:t>
            </w:r>
          </w:p>
        </w:tc>
      </w:tr>
      <w:tr>
        <w:trPr>
          <w:trHeight w:val="391" w:hRule="exact"/>
        </w:trPr>
        <w:tc>
          <w:tcPr>
            <w:tcW w:w="960" w:type="dxa"/>
            <w:vMerge/>
            <w:tcBorders>
              <w:left w:val="single" w:sz="4" w:space="0" w:color="000000"/>
              <w:right w:val="single" w:sz="4" w:space="0" w:color="000000"/>
            </w:tcBorders>
            <w:shd w:val="clear" w:color="auto" w:fill="F9BE8F"/>
            <w:textDirection w:val="btLr"/>
          </w:tcPr>
          <w:p>
            <w:pPr/>
          </w:p>
        </w:tc>
        <w:tc>
          <w:tcPr>
            <w:tcW w:w="752" w:type="dxa"/>
            <w:tcBorders>
              <w:top w:val="single" w:sz="4" w:space="0" w:color="000000"/>
              <w:left w:val="single" w:sz="4" w:space="0" w:color="000000"/>
              <w:bottom w:val="single" w:sz="4" w:space="0" w:color="000000"/>
              <w:right w:val="single" w:sz="4" w:space="0" w:color="000000"/>
            </w:tcBorders>
            <w:shd w:val="clear" w:color="auto" w:fill="F9BE8F"/>
          </w:tcPr>
          <w:p>
            <w:pPr>
              <w:pStyle w:val="TableParagraph"/>
              <w:ind w:left="0" w:right="3"/>
              <w:jc w:val="center"/>
              <w:rPr>
                <w:sz w:val="22"/>
              </w:rPr>
            </w:pPr>
            <w:r>
              <w:rPr>
                <w:w w:val="100"/>
                <w:sz w:val="22"/>
              </w:rPr>
              <w:t>P</w:t>
            </w:r>
          </w:p>
        </w:tc>
        <w:tc>
          <w:tcPr>
            <w:tcW w:w="1657" w:type="dxa"/>
            <w:tcBorders>
              <w:top w:val="single" w:sz="4" w:space="0" w:color="000000"/>
              <w:left w:val="single" w:sz="4" w:space="0" w:color="000000"/>
              <w:bottom w:val="single" w:sz="4" w:space="0" w:color="000000"/>
              <w:right w:val="single" w:sz="4" w:space="0" w:color="000000"/>
            </w:tcBorders>
          </w:tcPr>
          <w:p>
            <w:pPr>
              <w:pStyle w:val="TableParagraph"/>
              <w:ind w:left="119" w:right="115"/>
              <w:jc w:val="center"/>
              <w:rPr>
                <w:sz w:val="22"/>
              </w:rPr>
            </w:pPr>
            <w:r>
              <w:rPr>
                <w:sz w:val="22"/>
              </w:rPr>
              <w:t>Poder social</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ind w:left="178" w:right="180"/>
              <w:jc w:val="center"/>
              <w:rPr>
                <w:sz w:val="22"/>
              </w:rPr>
            </w:pPr>
            <w:r>
              <w:rPr>
                <w:sz w:val="22"/>
              </w:rPr>
              <w:t>131</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ind w:left="121" w:right="121"/>
              <w:jc w:val="center"/>
              <w:rPr>
                <w:sz w:val="22"/>
              </w:rPr>
            </w:pPr>
            <w:r>
              <w:rPr>
                <w:sz w:val="22"/>
              </w:rPr>
              <w:t>33</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ind w:left="105" w:right="100"/>
              <w:jc w:val="center"/>
              <w:rPr>
                <w:sz w:val="22"/>
              </w:rPr>
            </w:pPr>
            <w:r>
              <w:rPr>
                <w:sz w:val="22"/>
              </w:rPr>
              <w:t>0.0625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left="357" w:right="92"/>
              <w:rPr>
                <w:sz w:val="22"/>
              </w:rPr>
            </w:pPr>
            <w:r>
              <w:rPr>
                <w:sz w:val="22"/>
              </w:rPr>
              <w:t>1.227</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ind w:left="432"/>
              <w:rPr>
                <w:sz w:val="22"/>
              </w:rPr>
            </w:pPr>
            <w:r>
              <w:rPr>
                <w:sz w:val="22"/>
              </w:rPr>
              <w:t>42</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ind w:left="0"/>
              <w:jc w:val="center"/>
              <w:rPr>
                <w:sz w:val="22"/>
              </w:rPr>
            </w:pPr>
            <w:r>
              <w:rPr>
                <w:w w:val="100"/>
                <w:sz w:val="22"/>
              </w:rPr>
              <w:t>2</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left="420" w:right="101"/>
              <w:rPr>
                <w:sz w:val="22"/>
              </w:rPr>
            </w:pPr>
            <w:r>
              <w:rPr>
                <w:sz w:val="22"/>
              </w:rPr>
              <w:t>1.00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ind w:left="295" w:right="98"/>
              <w:rPr>
                <w:sz w:val="22"/>
              </w:rPr>
            </w:pPr>
            <w:r>
              <w:rPr>
                <w:sz w:val="22"/>
              </w:rPr>
              <w:t>17.313</w:t>
            </w:r>
          </w:p>
        </w:tc>
      </w:tr>
      <w:tr>
        <w:trPr>
          <w:trHeight w:val="389" w:hRule="exact"/>
        </w:trPr>
        <w:tc>
          <w:tcPr>
            <w:tcW w:w="960" w:type="dxa"/>
            <w:vMerge/>
            <w:tcBorders>
              <w:left w:val="single" w:sz="4" w:space="0" w:color="000000"/>
              <w:right w:val="single" w:sz="4" w:space="0" w:color="000000"/>
            </w:tcBorders>
            <w:shd w:val="clear" w:color="auto" w:fill="F9BE8F"/>
            <w:textDirection w:val="btLr"/>
          </w:tcPr>
          <w:p>
            <w:pPr/>
          </w:p>
        </w:tc>
        <w:tc>
          <w:tcPr>
            <w:tcW w:w="752" w:type="dxa"/>
            <w:tcBorders>
              <w:top w:val="single" w:sz="4" w:space="0" w:color="000000"/>
              <w:left w:val="single" w:sz="4" w:space="0" w:color="000000"/>
              <w:bottom w:val="single" w:sz="4" w:space="0" w:color="000000"/>
              <w:right w:val="single" w:sz="4" w:space="0" w:color="000000"/>
            </w:tcBorders>
            <w:shd w:val="clear" w:color="auto" w:fill="F9BE8F"/>
          </w:tcPr>
          <w:p>
            <w:pPr>
              <w:pStyle w:val="TableParagraph"/>
              <w:spacing w:line="251" w:lineRule="exact"/>
              <w:ind w:left="0" w:right="3"/>
              <w:jc w:val="center"/>
              <w:rPr>
                <w:sz w:val="22"/>
              </w:rPr>
            </w:pPr>
            <w:r>
              <w:rPr>
                <w:w w:val="100"/>
                <w:sz w:val="22"/>
              </w:rPr>
              <w:t>P</w:t>
            </w:r>
          </w:p>
        </w:tc>
        <w:tc>
          <w:tcPr>
            <w:tcW w:w="165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19" w:right="117"/>
              <w:jc w:val="center"/>
              <w:rPr>
                <w:sz w:val="22"/>
              </w:rPr>
            </w:pPr>
            <w:r>
              <w:rPr>
                <w:sz w:val="22"/>
              </w:rPr>
              <w:t>Cultura social</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78" w:right="180"/>
              <w:jc w:val="center"/>
              <w:rPr>
                <w:sz w:val="22"/>
              </w:rPr>
            </w:pPr>
            <w:r>
              <w:rPr>
                <w:sz w:val="22"/>
              </w:rPr>
              <w:t>130</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21" w:right="121"/>
              <w:jc w:val="center"/>
              <w:rPr>
                <w:sz w:val="22"/>
              </w:rPr>
            </w:pPr>
            <w:r>
              <w:rPr>
                <w:sz w:val="22"/>
              </w:rPr>
              <w:t>34</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05" w:right="100"/>
              <w:jc w:val="center"/>
              <w:rPr>
                <w:sz w:val="22"/>
              </w:rPr>
            </w:pPr>
            <w:r>
              <w:rPr>
                <w:sz w:val="22"/>
              </w:rPr>
              <w:t>0.0625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357" w:right="92"/>
              <w:rPr>
                <w:sz w:val="22"/>
              </w:rPr>
            </w:pPr>
            <w:r>
              <w:rPr>
                <w:sz w:val="22"/>
              </w:rPr>
              <w:t>1.227</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32"/>
              <w:rPr>
                <w:sz w:val="22"/>
              </w:rPr>
            </w:pPr>
            <w:r>
              <w:rPr>
                <w:sz w:val="22"/>
              </w:rPr>
              <w:t>41</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0"/>
              <w:jc w:val="center"/>
              <w:rPr>
                <w:sz w:val="22"/>
              </w:rPr>
            </w:pPr>
            <w:r>
              <w:rPr>
                <w:w w:val="100"/>
                <w:sz w:val="22"/>
              </w:rPr>
              <w:t>3</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20" w:right="101"/>
              <w:rPr>
                <w:sz w:val="22"/>
              </w:rPr>
            </w:pPr>
            <w:r>
              <w:rPr>
                <w:sz w:val="22"/>
              </w:rPr>
              <w:t>1.00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295" w:right="98"/>
              <w:rPr>
                <w:sz w:val="22"/>
              </w:rPr>
            </w:pPr>
            <w:r>
              <w:rPr>
                <w:sz w:val="22"/>
              </w:rPr>
              <w:t>17.313</w:t>
            </w:r>
          </w:p>
        </w:tc>
      </w:tr>
      <w:tr>
        <w:trPr>
          <w:trHeight w:val="768" w:hRule="exact"/>
        </w:trPr>
        <w:tc>
          <w:tcPr>
            <w:tcW w:w="960" w:type="dxa"/>
            <w:vMerge/>
            <w:tcBorders>
              <w:left w:val="single" w:sz="4" w:space="0" w:color="000000"/>
              <w:right w:val="single" w:sz="4" w:space="0" w:color="000000"/>
            </w:tcBorders>
            <w:shd w:val="clear" w:color="auto" w:fill="F9BE8F"/>
            <w:textDirection w:val="btLr"/>
          </w:tcPr>
          <w:p>
            <w:pPr/>
          </w:p>
        </w:tc>
        <w:tc>
          <w:tcPr>
            <w:tcW w:w="752" w:type="dxa"/>
            <w:tcBorders>
              <w:top w:val="single" w:sz="4" w:space="0" w:color="000000"/>
              <w:left w:val="single" w:sz="4" w:space="0" w:color="000000"/>
              <w:bottom w:val="single" w:sz="4" w:space="0" w:color="000000"/>
              <w:right w:val="single" w:sz="4" w:space="0" w:color="000000"/>
            </w:tcBorders>
            <w:shd w:val="clear" w:color="auto" w:fill="F9BE8F"/>
          </w:tcPr>
          <w:p>
            <w:pPr>
              <w:pStyle w:val="TableParagraph"/>
              <w:spacing w:line="251" w:lineRule="exact"/>
              <w:ind w:left="0" w:right="3"/>
              <w:jc w:val="center"/>
              <w:rPr>
                <w:sz w:val="22"/>
              </w:rPr>
            </w:pPr>
            <w:r>
              <w:rPr>
                <w:w w:val="100"/>
                <w:sz w:val="22"/>
              </w:rPr>
              <w:t>P</w:t>
            </w:r>
          </w:p>
        </w:tc>
        <w:tc>
          <w:tcPr>
            <w:tcW w:w="165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164" w:right="133" w:hanging="15"/>
              <w:rPr>
                <w:sz w:val="22"/>
              </w:rPr>
            </w:pPr>
            <w:r>
              <w:rPr>
                <w:sz w:val="22"/>
              </w:rPr>
              <w:t>Democracia y voluntariedad</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78" w:right="180"/>
              <w:jc w:val="center"/>
              <w:rPr>
                <w:sz w:val="22"/>
              </w:rPr>
            </w:pPr>
            <w:r>
              <w:rPr>
                <w:sz w:val="22"/>
              </w:rPr>
              <w:t>129</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21" w:right="121"/>
              <w:jc w:val="center"/>
              <w:rPr>
                <w:sz w:val="22"/>
              </w:rPr>
            </w:pPr>
            <w:r>
              <w:rPr>
                <w:sz w:val="22"/>
              </w:rPr>
              <w:t>35</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05" w:right="100"/>
              <w:jc w:val="center"/>
              <w:rPr>
                <w:sz w:val="22"/>
              </w:rPr>
            </w:pPr>
            <w:r>
              <w:rPr>
                <w:sz w:val="22"/>
              </w:rPr>
              <w:t>0.0625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357" w:right="92"/>
              <w:rPr>
                <w:sz w:val="22"/>
              </w:rPr>
            </w:pPr>
            <w:r>
              <w:rPr>
                <w:sz w:val="22"/>
              </w:rPr>
              <w:t>1.227</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32"/>
              <w:rPr>
                <w:sz w:val="22"/>
              </w:rPr>
            </w:pPr>
            <w:r>
              <w:rPr>
                <w:sz w:val="22"/>
              </w:rPr>
              <w:t>40</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0"/>
              <w:jc w:val="center"/>
              <w:rPr>
                <w:sz w:val="22"/>
              </w:rPr>
            </w:pPr>
            <w:r>
              <w:rPr>
                <w:w w:val="100"/>
                <w:sz w:val="22"/>
              </w:rPr>
              <w:t>4</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20" w:right="101"/>
              <w:rPr>
                <w:sz w:val="22"/>
              </w:rPr>
            </w:pPr>
            <w:r>
              <w:rPr>
                <w:sz w:val="22"/>
              </w:rPr>
              <w:t>1.00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295" w:right="98"/>
              <w:rPr>
                <w:sz w:val="22"/>
              </w:rPr>
            </w:pPr>
            <w:r>
              <w:rPr>
                <w:sz w:val="22"/>
              </w:rPr>
              <w:t>17.313</w:t>
            </w:r>
          </w:p>
        </w:tc>
      </w:tr>
      <w:tr>
        <w:trPr>
          <w:trHeight w:val="771" w:hRule="exact"/>
        </w:trPr>
        <w:tc>
          <w:tcPr>
            <w:tcW w:w="960" w:type="dxa"/>
            <w:vMerge/>
            <w:tcBorders>
              <w:left w:val="single" w:sz="4" w:space="0" w:color="000000"/>
              <w:right w:val="single" w:sz="4" w:space="0" w:color="000000"/>
            </w:tcBorders>
            <w:shd w:val="clear" w:color="auto" w:fill="F9BE8F"/>
            <w:textDirection w:val="btLr"/>
          </w:tcPr>
          <w:p>
            <w:pPr/>
          </w:p>
        </w:tc>
        <w:tc>
          <w:tcPr>
            <w:tcW w:w="752" w:type="dxa"/>
            <w:tcBorders>
              <w:top w:val="single" w:sz="4" w:space="0" w:color="000000"/>
              <w:left w:val="single" w:sz="4" w:space="0" w:color="000000"/>
              <w:bottom w:val="single" w:sz="4" w:space="0" w:color="000000"/>
              <w:right w:val="single" w:sz="4" w:space="0" w:color="000000"/>
            </w:tcBorders>
            <w:shd w:val="clear" w:color="auto" w:fill="F9BE8F"/>
          </w:tcPr>
          <w:p>
            <w:pPr>
              <w:pStyle w:val="TableParagraph"/>
              <w:spacing w:line="251" w:lineRule="exact"/>
              <w:ind w:left="0" w:right="3"/>
              <w:jc w:val="center"/>
              <w:rPr>
                <w:sz w:val="22"/>
              </w:rPr>
            </w:pPr>
            <w:r>
              <w:rPr>
                <w:w w:val="100"/>
                <w:sz w:val="22"/>
              </w:rPr>
              <w:t>P</w:t>
            </w:r>
          </w:p>
        </w:tc>
        <w:tc>
          <w:tcPr>
            <w:tcW w:w="1657"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543" w:right="176" w:hanging="351"/>
              <w:rPr>
                <w:sz w:val="22"/>
              </w:rPr>
            </w:pPr>
            <w:r>
              <w:rPr>
                <w:sz w:val="22"/>
              </w:rPr>
              <w:t>Participación social</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78" w:right="180"/>
              <w:jc w:val="center"/>
              <w:rPr>
                <w:sz w:val="22"/>
              </w:rPr>
            </w:pPr>
            <w:r>
              <w:rPr>
                <w:sz w:val="22"/>
              </w:rPr>
              <w:t>128</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21" w:right="121"/>
              <w:jc w:val="center"/>
              <w:rPr>
                <w:sz w:val="22"/>
              </w:rPr>
            </w:pPr>
            <w:r>
              <w:rPr>
                <w:sz w:val="22"/>
              </w:rPr>
              <w:t>36</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05" w:right="100"/>
              <w:jc w:val="center"/>
              <w:rPr>
                <w:sz w:val="22"/>
              </w:rPr>
            </w:pPr>
            <w:r>
              <w:rPr>
                <w:sz w:val="22"/>
              </w:rPr>
              <w:t>0.0625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357" w:right="92"/>
              <w:rPr>
                <w:sz w:val="22"/>
              </w:rPr>
            </w:pPr>
            <w:r>
              <w:rPr>
                <w:sz w:val="22"/>
              </w:rPr>
              <w:t>1.227</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32"/>
              <w:rPr>
                <w:sz w:val="22"/>
              </w:rPr>
            </w:pPr>
            <w:r>
              <w:rPr>
                <w:sz w:val="22"/>
              </w:rPr>
              <w:t>39</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0"/>
              <w:jc w:val="center"/>
              <w:rPr>
                <w:sz w:val="22"/>
              </w:rPr>
            </w:pPr>
            <w:r>
              <w:rPr>
                <w:w w:val="100"/>
                <w:sz w:val="22"/>
              </w:rPr>
              <w:t>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20" w:right="101"/>
              <w:rPr>
                <w:sz w:val="22"/>
              </w:rPr>
            </w:pPr>
            <w:r>
              <w:rPr>
                <w:sz w:val="22"/>
              </w:rPr>
              <w:t>1.00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295" w:right="98"/>
              <w:rPr>
                <w:sz w:val="22"/>
              </w:rPr>
            </w:pPr>
            <w:r>
              <w:rPr>
                <w:sz w:val="22"/>
              </w:rPr>
              <w:t>17.313</w:t>
            </w:r>
          </w:p>
        </w:tc>
      </w:tr>
      <w:tr>
        <w:trPr>
          <w:trHeight w:val="1147" w:hRule="exact"/>
        </w:trPr>
        <w:tc>
          <w:tcPr>
            <w:tcW w:w="960" w:type="dxa"/>
            <w:vMerge/>
            <w:tcBorders>
              <w:left w:val="single" w:sz="4" w:space="0" w:color="000000"/>
              <w:right w:val="single" w:sz="4" w:space="0" w:color="000000"/>
            </w:tcBorders>
            <w:shd w:val="clear" w:color="auto" w:fill="F9BE8F"/>
            <w:textDirection w:val="btLr"/>
          </w:tcPr>
          <w:p>
            <w:pPr/>
          </w:p>
        </w:tc>
        <w:tc>
          <w:tcPr>
            <w:tcW w:w="752" w:type="dxa"/>
            <w:tcBorders>
              <w:top w:val="single" w:sz="4" w:space="0" w:color="000000"/>
              <w:left w:val="single" w:sz="4" w:space="0" w:color="000000"/>
              <w:bottom w:val="single" w:sz="4" w:space="0" w:color="000000"/>
              <w:right w:val="single" w:sz="4" w:space="0" w:color="000000"/>
            </w:tcBorders>
            <w:shd w:val="clear" w:color="auto" w:fill="F9BE8F"/>
          </w:tcPr>
          <w:p>
            <w:pPr>
              <w:pStyle w:val="TableParagraph"/>
              <w:spacing w:line="251" w:lineRule="exact"/>
              <w:ind w:left="0" w:right="3"/>
              <w:jc w:val="center"/>
              <w:rPr>
                <w:sz w:val="22"/>
              </w:rPr>
            </w:pPr>
            <w:r>
              <w:rPr>
                <w:w w:val="100"/>
                <w:sz w:val="22"/>
              </w:rPr>
              <w:t>P</w:t>
            </w:r>
          </w:p>
        </w:tc>
        <w:tc>
          <w:tcPr>
            <w:tcW w:w="165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145" w:right="141" w:hanging="3"/>
              <w:jc w:val="center"/>
              <w:rPr>
                <w:sz w:val="22"/>
              </w:rPr>
            </w:pPr>
            <w:r>
              <w:rPr>
                <w:sz w:val="22"/>
              </w:rPr>
              <w:t>Relaciones intermunicipal es</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78" w:right="180"/>
              <w:jc w:val="center"/>
              <w:rPr>
                <w:sz w:val="22"/>
              </w:rPr>
            </w:pPr>
            <w:r>
              <w:rPr>
                <w:sz w:val="22"/>
              </w:rPr>
              <w:t>127</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21" w:right="121"/>
              <w:jc w:val="center"/>
              <w:rPr>
                <w:sz w:val="22"/>
              </w:rPr>
            </w:pPr>
            <w:r>
              <w:rPr>
                <w:sz w:val="22"/>
              </w:rPr>
              <w:t>37</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05" w:right="100"/>
              <w:jc w:val="center"/>
              <w:rPr>
                <w:sz w:val="22"/>
              </w:rPr>
            </w:pPr>
            <w:r>
              <w:rPr>
                <w:sz w:val="22"/>
              </w:rPr>
              <w:t>0.0625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357" w:right="92"/>
              <w:rPr>
                <w:sz w:val="22"/>
              </w:rPr>
            </w:pPr>
            <w:r>
              <w:rPr>
                <w:sz w:val="22"/>
              </w:rPr>
              <w:t>1.227</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32"/>
              <w:rPr>
                <w:sz w:val="22"/>
              </w:rPr>
            </w:pPr>
            <w:r>
              <w:rPr>
                <w:sz w:val="22"/>
              </w:rPr>
              <w:t>38</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0"/>
              <w:jc w:val="center"/>
              <w:rPr>
                <w:sz w:val="22"/>
              </w:rPr>
            </w:pPr>
            <w:r>
              <w:rPr>
                <w:w w:val="100"/>
                <w:sz w:val="22"/>
              </w:rPr>
              <w:t>6</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20" w:right="101"/>
              <w:rPr>
                <w:sz w:val="22"/>
              </w:rPr>
            </w:pPr>
            <w:r>
              <w:rPr>
                <w:sz w:val="22"/>
              </w:rPr>
              <w:t>1.00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295" w:right="98"/>
              <w:rPr>
                <w:sz w:val="22"/>
              </w:rPr>
            </w:pPr>
            <w:r>
              <w:rPr>
                <w:sz w:val="22"/>
              </w:rPr>
              <w:t>17.313</w:t>
            </w:r>
          </w:p>
        </w:tc>
      </w:tr>
      <w:tr>
        <w:trPr>
          <w:trHeight w:val="770" w:hRule="exact"/>
        </w:trPr>
        <w:tc>
          <w:tcPr>
            <w:tcW w:w="960" w:type="dxa"/>
            <w:vMerge/>
            <w:tcBorders>
              <w:left w:val="single" w:sz="4" w:space="0" w:color="000000"/>
              <w:right w:val="single" w:sz="4" w:space="0" w:color="000000"/>
            </w:tcBorders>
            <w:shd w:val="clear" w:color="auto" w:fill="F9BE8F"/>
            <w:textDirection w:val="btLr"/>
          </w:tcPr>
          <w:p>
            <w:pPr/>
          </w:p>
        </w:tc>
        <w:tc>
          <w:tcPr>
            <w:tcW w:w="752" w:type="dxa"/>
            <w:tcBorders>
              <w:top w:val="single" w:sz="4" w:space="0" w:color="000000"/>
              <w:left w:val="single" w:sz="4" w:space="0" w:color="000000"/>
              <w:bottom w:val="single" w:sz="4" w:space="0" w:color="000000"/>
              <w:right w:val="single" w:sz="4" w:space="0" w:color="000000"/>
            </w:tcBorders>
            <w:shd w:val="clear" w:color="auto" w:fill="F9BE8F"/>
          </w:tcPr>
          <w:p>
            <w:pPr>
              <w:pStyle w:val="TableParagraph"/>
              <w:spacing w:line="251" w:lineRule="exact"/>
              <w:ind w:left="0" w:right="3"/>
              <w:jc w:val="center"/>
              <w:rPr>
                <w:sz w:val="22"/>
              </w:rPr>
            </w:pPr>
            <w:r>
              <w:rPr>
                <w:w w:val="100"/>
                <w:sz w:val="22"/>
              </w:rPr>
              <w:t>P</w:t>
            </w:r>
          </w:p>
        </w:tc>
        <w:tc>
          <w:tcPr>
            <w:tcW w:w="165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543" w:right="181" w:hanging="344"/>
              <w:rPr>
                <w:sz w:val="22"/>
              </w:rPr>
            </w:pPr>
            <w:r>
              <w:rPr>
                <w:sz w:val="22"/>
              </w:rPr>
              <w:t>Cooperación social</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78" w:right="180"/>
              <w:jc w:val="center"/>
              <w:rPr>
                <w:sz w:val="22"/>
              </w:rPr>
            </w:pPr>
            <w:r>
              <w:rPr>
                <w:sz w:val="22"/>
              </w:rPr>
              <w:t>126</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21" w:right="121"/>
              <w:jc w:val="center"/>
              <w:rPr>
                <w:sz w:val="22"/>
              </w:rPr>
            </w:pPr>
            <w:r>
              <w:rPr>
                <w:sz w:val="22"/>
              </w:rPr>
              <w:t>38</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05" w:right="100"/>
              <w:jc w:val="center"/>
              <w:rPr>
                <w:sz w:val="22"/>
              </w:rPr>
            </w:pPr>
            <w:r>
              <w:rPr>
                <w:sz w:val="22"/>
              </w:rPr>
              <w:t>0.0625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357" w:right="92"/>
              <w:rPr>
                <w:sz w:val="22"/>
              </w:rPr>
            </w:pPr>
            <w:r>
              <w:rPr>
                <w:sz w:val="22"/>
              </w:rPr>
              <w:t>1.227</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32"/>
              <w:rPr>
                <w:sz w:val="22"/>
              </w:rPr>
            </w:pPr>
            <w:r>
              <w:rPr>
                <w:sz w:val="22"/>
              </w:rPr>
              <w:t>37</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0"/>
              <w:jc w:val="center"/>
              <w:rPr>
                <w:sz w:val="22"/>
              </w:rPr>
            </w:pPr>
            <w:r>
              <w:rPr>
                <w:w w:val="100"/>
                <w:sz w:val="22"/>
              </w:rPr>
              <w:t>7</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20" w:right="101"/>
              <w:rPr>
                <w:sz w:val="22"/>
              </w:rPr>
            </w:pPr>
            <w:r>
              <w:rPr>
                <w:sz w:val="22"/>
              </w:rPr>
              <w:t>1.00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295" w:right="98"/>
              <w:rPr>
                <w:sz w:val="22"/>
              </w:rPr>
            </w:pPr>
            <w:r>
              <w:rPr>
                <w:sz w:val="22"/>
              </w:rPr>
              <w:t>17.313</w:t>
            </w:r>
          </w:p>
        </w:tc>
      </w:tr>
      <w:tr>
        <w:trPr>
          <w:trHeight w:val="778" w:hRule="exact"/>
        </w:trPr>
        <w:tc>
          <w:tcPr>
            <w:tcW w:w="960" w:type="dxa"/>
            <w:vMerge/>
            <w:tcBorders>
              <w:left w:val="single" w:sz="4" w:space="0" w:color="000000"/>
              <w:right w:val="single" w:sz="4" w:space="0" w:color="000000"/>
            </w:tcBorders>
            <w:shd w:val="clear" w:color="auto" w:fill="F9BE8F"/>
            <w:textDirection w:val="btLr"/>
          </w:tcPr>
          <w:p>
            <w:pPr/>
          </w:p>
        </w:tc>
        <w:tc>
          <w:tcPr>
            <w:tcW w:w="752" w:type="dxa"/>
            <w:tcBorders>
              <w:top w:val="single" w:sz="4" w:space="0" w:color="000000"/>
              <w:left w:val="single" w:sz="4" w:space="0" w:color="000000"/>
              <w:right w:val="single" w:sz="4" w:space="0" w:color="000000"/>
            </w:tcBorders>
            <w:shd w:val="clear" w:color="auto" w:fill="F9BE8F"/>
          </w:tcPr>
          <w:p>
            <w:pPr>
              <w:pStyle w:val="TableParagraph"/>
              <w:spacing w:line="251" w:lineRule="exact"/>
              <w:ind w:left="0" w:right="3"/>
              <w:jc w:val="center"/>
              <w:rPr>
                <w:sz w:val="22"/>
              </w:rPr>
            </w:pPr>
            <w:r>
              <w:rPr>
                <w:w w:val="100"/>
                <w:sz w:val="22"/>
              </w:rPr>
              <w:t>P</w:t>
            </w:r>
          </w:p>
        </w:tc>
        <w:tc>
          <w:tcPr>
            <w:tcW w:w="1657" w:type="dxa"/>
            <w:tcBorders>
              <w:top w:val="single" w:sz="4" w:space="0" w:color="000000"/>
              <w:left w:val="single" w:sz="4" w:space="0" w:color="000000"/>
              <w:right w:val="single" w:sz="4" w:space="0" w:color="000000"/>
            </w:tcBorders>
          </w:tcPr>
          <w:p>
            <w:pPr>
              <w:pStyle w:val="TableParagraph"/>
              <w:spacing w:line="360" w:lineRule="auto"/>
              <w:ind w:left="543" w:right="352" w:hanging="173"/>
              <w:rPr>
                <w:sz w:val="22"/>
              </w:rPr>
            </w:pPr>
            <w:r>
              <w:rPr>
                <w:sz w:val="22"/>
              </w:rPr>
              <w:t>Identidad social</w:t>
            </w:r>
          </w:p>
        </w:tc>
        <w:tc>
          <w:tcPr>
            <w:tcW w:w="1244" w:type="dxa"/>
            <w:tcBorders>
              <w:top w:val="single" w:sz="4" w:space="0" w:color="000000"/>
              <w:left w:val="single" w:sz="4" w:space="0" w:color="000000"/>
              <w:right w:val="single" w:sz="4" w:space="0" w:color="000000"/>
            </w:tcBorders>
          </w:tcPr>
          <w:p>
            <w:pPr>
              <w:pStyle w:val="TableParagraph"/>
              <w:spacing w:line="251" w:lineRule="exact"/>
              <w:ind w:left="178" w:right="180"/>
              <w:jc w:val="center"/>
              <w:rPr>
                <w:sz w:val="22"/>
              </w:rPr>
            </w:pPr>
            <w:r>
              <w:rPr>
                <w:sz w:val="22"/>
              </w:rPr>
              <w:t>125</w:t>
            </w:r>
          </w:p>
        </w:tc>
        <w:tc>
          <w:tcPr>
            <w:tcW w:w="1193" w:type="dxa"/>
            <w:tcBorders>
              <w:top w:val="single" w:sz="4" w:space="0" w:color="000000"/>
              <w:left w:val="single" w:sz="4" w:space="0" w:color="000000"/>
              <w:right w:val="single" w:sz="4" w:space="0" w:color="000000"/>
            </w:tcBorders>
          </w:tcPr>
          <w:p>
            <w:pPr>
              <w:pStyle w:val="TableParagraph"/>
              <w:spacing w:line="251" w:lineRule="exact"/>
              <w:ind w:left="121" w:right="121"/>
              <w:jc w:val="center"/>
              <w:rPr>
                <w:sz w:val="22"/>
              </w:rPr>
            </w:pPr>
            <w:r>
              <w:rPr>
                <w:sz w:val="22"/>
              </w:rPr>
              <w:t>39</w:t>
            </w:r>
          </w:p>
        </w:tc>
        <w:tc>
          <w:tcPr>
            <w:tcW w:w="1274" w:type="dxa"/>
            <w:tcBorders>
              <w:top w:val="single" w:sz="4" w:space="0" w:color="000000"/>
              <w:left w:val="single" w:sz="4" w:space="0" w:color="000000"/>
              <w:right w:val="single" w:sz="4" w:space="0" w:color="000000"/>
            </w:tcBorders>
          </w:tcPr>
          <w:p>
            <w:pPr>
              <w:pStyle w:val="TableParagraph"/>
              <w:spacing w:line="251" w:lineRule="exact"/>
              <w:ind w:left="105" w:right="100"/>
              <w:jc w:val="center"/>
              <w:rPr>
                <w:sz w:val="22"/>
              </w:rPr>
            </w:pPr>
            <w:r>
              <w:rPr>
                <w:sz w:val="22"/>
              </w:rPr>
              <w:t>0.0625</w:t>
            </w:r>
          </w:p>
        </w:tc>
        <w:tc>
          <w:tcPr>
            <w:tcW w:w="1277" w:type="dxa"/>
            <w:tcBorders>
              <w:top w:val="single" w:sz="4" w:space="0" w:color="000000"/>
              <w:left w:val="single" w:sz="4" w:space="0" w:color="000000"/>
              <w:right w:val="single" w:sz="4" w:space="0" w:color="000000"/>
            </w:tcBorders>
          </w:tcPr>
          <w:p>
            <w:pPr>
              <w:pStyle w:val="TableParagraph"/>
              <w:spacing w:line="251" w:lineRule="exact"/>
              <w:ind w:left="357" w:right="92"/>
              <w:rPr>
                <w:sz w:val="22"/>
              </w:rPr>
            </w:pPr>
            <w:r>
              <w:rPr>
                <w:sz w:val="22"/>
              </w:rPr>
              <w:t>1.227</w:t>
            </w:r>
          </w:p>
        </w:tc>
        <w:tc>
          <w:tcPr>
            <w:tcW w:w="1118" w:type="dxa"/>
            <w:tcBorders>
              <w:top w:val="single" w:sz="4" w:space="0" w:color="000000"/>
              <w:left w:val="single" w:sz="4" w:space="0" w:color="000000"/>
              <w:right w:val="single" w:sz="4" w:space="0" w:color="000000"/>
            </w:tcBorders>
          </w:tcPr>
          <w:p>
            <w:pPr>
              <w:pStyle w:val="TableParagraph"/>
              <w:spacing w:line="251" w:lineRule="exact"/>
              <w:ind w:left="432"/>
              <w:rPr>
                <w:sz w:val="22"/>
              </w:rPr>
            </w:pPr>
            <w:r>
              <w:rPr>
                <w:sz w:val="22"/>
              </w:rPr>
              <w:t>36</w:t>
            </w:r>
          </w:p>
        </w:tc>
        <w:tc>
          <w:tcPr>
            <w:tcW w:w="1193" w:type="dxa"/>
            <w:tcBorders>
              <w:top w:val="single" w:sz="4" w:space="0" w:color="000000"/>
              <w:left w:val="single" w:sz="4" w:space="0" w:color="000000"/>
              <w:right w:val="single" w:sz="4" w:space="0" w:color="000000"/>
            </w:tcBorders>
          </w:tcPr>
          <w:p>
            <w:pPr>
              <w:pStyle w:val="TableParagraph"/>
              <w:spacing w:line="251" w:lineRule="exact"/>
              <w:ind w:left="0"/>
              <w:jc w:val="center"/>
              <w:rPr>
                <w:sz w:val="22"/>
              </w:rPr>
            </w:pPr>
            <w:r>
              <w:rPr>
                <w:w w:val="100"/>
                <w:sz w:val="22"/>
              </w:rPr>
              <w:t>8</w:t>
            </w:r>
          </w:p>
        </w:tc>
        <w:tc>
          <w:tcPr>
            <w:tcW w:w="1277" w:type="dxa"/>
            <w:tcBorders>
              <w:top w:val="single" w:sz="4" w:space="0" w:color="000000"/>
              <w:left w:val="single" w:sz="4" w:space="0" w:color="000000"/>
              <w:right w:val="single" w:sz="4" w:space="0" w:color="000000"/>
            </w:tcBorders>
          </w:tcPr>
          <w:p>
            <w:pPr>
              <w:pStyle w:val="TableParagraph"/>
              <w:spacing w:line="251" w:lineRule="exact"/>
              <w:ind w:left="420" w:right="101"/>
              <w:rPr>
                <w:sz w:val="22"/>
              </w:rPr>
            </w:pPr>
            <w:r>
              <w:rPr>
                <w:sz w:val="22"/>
              </w:rPr>
              <w:t>1.00</w:t>
            </w:r>
          </w:p>
        </w:tc>
        <w:tc>
          <w:tcPr>
            <w:tcW w:w="1274" w:type="dxa"/>
            <w:tcBorders>
              <w:top w:val="single" w:sz="4" w:space="0" w:color="000000"/>
              <w:left w:val="single" w:sz="4" w:space="0" w:color="000000"/>
              <w:right w:val="single" w:sz="4" w:space="0" w:color="000000"/>
            </w:tcBorders>
          </w:tcPr>
          <w:p>
            <w:pPr>
              <w:pStyle w:val="TableParagraph"/>
              <w:spacing w:line="251" w:lineRule="exact"/>
              <w:ind w:left="295" w:right="98"/>
              <w:rPr>
                <w:sz w:val="22"/>
              </w:rPr>
            </w:pPr>
            <w:r>
              <w:rPr>
                <w:sz w:val="22"/>
              </w:rPr>
              <w:t>17.313</w:t>
            </w:r>
          </w:p>
        </w:tc>
      </w:tr>
      <w:tr>
        <w:trPr>
          <w:trHeight w:val="780" w:hRule="exact"/>
        </w:trPr>
        <w:tc>
          <w:tcPr>
            <w:tcW w:w="960" w:type="dxa"/>
            <w:vMerge w:val="restart"/>
            <w:tcBorders>
              <w:left w:val="single" w:sz="4" w:space="0" w:color="000000"/>
              <w:right w:val="single" w:sz="4" w:space="0" w:color="000000"/>
            </w:tcBorders>
            <w:shd w:val="clear" w:color="auto" w:fill="F79546"/>
            <w:textDirection w:val="btLr"/>
          </w:tcPr>
          <w:p>
            <w:pPr>
              <w:pStyle w:val="TableParagraph"/>
              <w:spacing w:before="105"/>
              <w:ind w:left="112"/>
              <w:rPr>
                <w:b/>
                <w:sz w:val="22"/>
              </w:rPr>
            </w:pPr>
            <w:r>
              <w:rPr>
                <w:b/>
                <w:spacing w:val="-1"/>
                <w:w w:val="100"/>
                <w:sz w:val="22"/>
              </w:rPr>
              <w:t>E</w:t>
            </w:r>
            <w:r>
              <w:rPr>
                <w:b/>
                <w:spacing w:val="-2"/>
                <w:w w:val="100"/>
                <w:sz w:val="22"/>
              </w:rPr>
              <w:t>C</w:t>
            </w:r>
            <w:r>
              <w:rPr>
                <w:b/>
                <w:w w:val="100"/>
                <w:sz w:val="22"/>
              </w:rPr>
              <w:t>O</w:t>
            </w:r>
            <w:r>
              <w:rPr>
                <w:b/>
                <w:spacing w:val="-2"/>
                <w:w w:val="100"/>
                <w:sz w:val="22"/>
              </w:rPr>
              <w:t>N</w:t>
            </w:r>
            <w:r>
              <w:rPr>
                <w:b/>
                <w:w w:val="100"/>
                <w:sz w:val="22"/>
              </w:rPr>
              <w:t>Ó</w:t>
            </w:r>
            <w:r>
              <w:rPr>
                <w:b/>
                <w:spacing w:val="-2"/>
                <w:w w:val="100"/>
                <w:sz w:val="22"/>
              </w:rPr>
              <w:t>M</w:t>
            </w:r>
            <w:r>
              <w:rPr>
                <w:b/>
                <w:w w:val="100"/>
                <w:sz w:val="22"/>
              </w:rPr>
              <w:t>I</w:t>
            </w:r>
            <w:r>
              <w:rPr>
                <w:b/>
                <w:spacing w:val="-2"/>
                <w:w w:val="100"/>
                <w:sz w:val="22"/>
              </w:rPr>
              <w:t>C</w:t>
            </w:r>
            <w:r>
              <w:rPr>
                <w:b/>
                <w:w w:val="100"/>
                <w:sz w:val="22"/>
              </w:rPr>
              <w:t>A</w:t>
            </w:r>
          </w:p>
        </w:tc>
        <w:tc>
          <w:tcPr>
            <w:tcW w:w="752" w:type="dxa"/>
            <w:tcBorders>
              <w:left w:val="single" w:sz="4" w:space="0" w:color="000000"/>
              <w:bottom w:val="single" w:sz="4" w:space="0" w:color="000000"/>
              <w:right w:val="single" w:sz="4" w:space="0" w:color="000000"/>
            </w:tcBorders>
            <w:shd w:val="clear" w:color="auto" w:fill="F79546"/>
          </w:tcPr>
          <w:p>
            <w:pPr>
              <w:pStyle w:val="TableParagraph"/>
              <w:spacing w:line="251" w:lineRule="exact"/>
              <w:ind w:left="0" w:right="3"/>
              <w:jc w:val="center"/>
              <w:rPr>
                <w:sz w:val="22"/>
              </w:rPr>
            </w:pPr>
            <w:r>
              <w:rPr>
                <w:w w:val="100"/>
                <w:sz w:val="22"/>
              </w:rPr>
              <w:t>P</w:t>
            </w:r>
          </w:p>
        </w:tc>
        <w:tc>
          <w:tcPr>
            <w:tcW w:w="1657" w:type="dxa"/>
            <w:tcBorders>
              <w:left w:val="single" w:sz="4" w:space="0" w:color="000000"/>
              <w:bottom w:val="single" w:sz="4" w:space="0" w:color="000000"/>
              <w:right w:val="single" w:sz="4" w:space="0" w:color="000000"/>
            </w:tcBorders>
          </w:tcPr>
          <w:p>
            <w:pPr>
              <w:pStyle w:val="TableParagraph"/>
              <w:spacing w:line="362" w:lineRule="auto"/>
              <w:ind w:left="291" w:right="272" w:firstLine="158"/>
              <w:rPr>
                <w:sz w:val="22"/>
              </w:rPr>
            </w:pPr>
            <w:r>
              <w:rPr>
                <w:sz w:val="22"/>
              </w:rPr>
              <w:t>Historia económica</w:t>
            </w:r>
          </w:p>
        </w:tc>
        <w:tc>
          <w:tcPr>
            <w:tcW w:w="1244" w:type="dxa"/>
            <w:tcBorders>
              <w:left w:val="single" w:sz="4" w:space="0" w:color="000000"/>
              <w:bottom w:val="single" w:sz="4" w:space="0" w:color="000000"/>
              <w:right w:val="single" w:sz="4" w:space="0" w:color="000000"/>
            </w:tcBorders>
          </w:tcPr>
          <w:p>
            <w:pPr>
              <w:pStyle w:val="TableParagraph"/>
              <w:spacing w:line="251" w:lineRule="exact"/>
              <w:ind w:left="178" w:right="178"/>
              <w:jc w:val="center"/>
              <w:rPr>
                <w:sz w:val="22"/>
              </w:rPr>
            </w:pPr>
            <w:r>
              <w:rPr>
                <w:sz w:val="22"/>
              </w:rPr>
              <w:t>89</w:t>
            </w:r>
          </w:p>
        </w:tc>
        <w:tc>
          <w:tcPr>
            <w:tcW w:w="1193" w:type="dxa"/>
            <w:tcBorders>
              <w:left w:val="single" w:sz="4" w:space="0" w:color="000000"/>
              <w:bottom w:val="single" w:sz="4" w:space="0" w:color="000000"/>
              <w:right w:val="single" w:sz="4" w:space="0" w:color="000000"/>
            </w:tcBorders>
          </w:tcPr>
          <w:p>
            <w:pPr>
              <w:pStyle w:val="TableParagraph"/>
              <w:spacing w:line="251" w:lineRule="exact"/>
              <w:ind w:left="121" w:right="121"/>
              <w:jc w:val="center"/>
              <w:rPr>
                <w:sz w:val="22"/>
              </w:rPr>
            </w:pPr>
            <w:r>
              <w:rPr>
                <w:sz w:val="22"/>
              </w:rPr>
              <w:t>66</w:t>
            </w:r>
          </w:p>
        </w:tc>
        <w:tc>
          <w:tcPr>
            <w:tcW w:w="1274" w:type="dxa"/>
            <w:tcBorders>
              <w:left w:val="single" w:sz="4" w:space="0" w:color="000000"/>
              <w:bottom w:val="single" w:sz="4" w:space="0" w:color="000000"/>
              <w:right w:val="single" w:sz="4" w:space="0" w:color="000000"/>
            </w:tcBorders>
          </w:tcPr>
          <w:p>
            <w:pPr>
              <w:pStyle w:val="TableParagraph"/>
              <w:spacing w:line="251" w:lineRule="exact"/>
              <w:ind w:left="93" w:right="91"/>
              <w:jc w:val="center"/>
              <w:rPr>
                <w:sz w:val="22"/>
              </w:rPr>
            </w:pPr>
            <w:r>
              <w:rPr>
                <w:sz w:val="22"/>
              </w:rPr>
              <w:t>0.0039062</w:t>
            </w:r>
          </w:p>
          <w:p>
            <w:pPr>
              <w:pStyle w:val="TableParagraph"/>
              <w:spacing w:before="128"/>
              <w:ind w:left="0"/>
              <w:jc w:val="center"/>
              <w:rPr>
                <w:sz w:val="22"/>
              </w:rPr>
            </w:pPr>
            <w:r>
              <w:rPr>
                <w:w w:val="100"/>
                <w:sz w:val="22"/>
              </w:rPr>
              <w:t>5</w:t>
            </w:r>
          </w:p>
        </w:tc>
        <w:tc>
          <w:tcPr>
            <w:tcW w:w="1277" w:type="dxa"/>
            <w:tcBorders>
              <w:left w:val="single" w:sz="4" w:space="0" w:color="000000"/>
              <w:bottom w:val="single" w:sz="4" w:space="0" w:color="000000"/>
              <w:right w:val="single" w:sz="4" w:space="0" w:color="000000"/>
            </w:tcBorders>
          </w:tcPr>
          <w:p>
            <w:pPr>
              <w:pStyle w:val="TableParagraph"/>
              <w:spacing w:line="251" w:lineRule="exact"/>
              <w:ind w:left="357" w:right="92"/>
              <w:rPr>
                <w:sz w:val="22"/>
              </w:rPr>
            </w:pPr>
            <w:r>
              <w:rPr>
                <w:sz w:val="22"/>
              </w:rPr>
              <w:t>0.087</w:t>
            </w:r>
          </w:p>
        </w:tc>
        <w:tc>
          <w:tcPr>
            <w:tcW w:w="1118" w:type="dxa"/>
            <w:tcBorders>
              <w:left w:val="single" w:sz="4" w:space="0" w:color="000000"/>
              <w:bottom w:val="single" w:sz="4" w:space="0" w:color="000000"/>
              <w:right w:val="single" w:sz="4" w:space="0" w:color="000000"/>
            </w:tcBorders>
          </w:tcPr>
          <w:p>
            <w:pPr>
              <w:pStyle w:val="TableParagraph"/>
              <w:spacing w:line="251" w:lineRule="exact"/>
              <w:ind w:left="432"/>
              <w:rPr>
                <w:sz w:val="22"/>
              </w:rPr>
            </w:pPr>
            <w:r>
              <w:rPr>
                <w:sz w:val="22"/>
              </w:rPr>
              <w:t>43</w:t>
            </w:r>
          </w:p>
        </w:tc>
        <w:tc>
          <w:tcPr>
            <w:tcW w:w="1193" w:type="dxa"/>
            <w:tcBorders>
              <w:left w:val="single" w:sz="4" w:space="0" w:color="000000"/>
              <w:bottom w:val="single" w:sz="4" w:space="0" w:color="000000"/>
              <w:right w:val="single" w:sz="4" w:space="0" w:color="000000"/>
            </w:tcBorders>
          </w:tcPr>
          <w:p>
            <w:pPr>
              <w:pStyle w:val="TableParagraph"/>
              <w:spacing w:line="251" w:lineRule="exact"/>
              <w:ind w:left="0"/>
              <w:jc w:val="center"/>
              <w:rPr>
                <w:sz w:val="22"/>
              </w:rPr>
            </w:pPr>
            <w:r>
              <w:rPr>
                <w:w w:val="100"/>
                <w:sz w:val="22"/>
              </w:rPr>
              <w:t>1</w:t>
            </w:r>
          </w:p>
        </w:tc>
        <w:tc>
          <w:tcPr>
            <w:tcW w:w="1277" w:type="dxa"/>
            <w:tcBorders>
              <w:left w:val="single" w:sz="4" w:space="0" w:color="000000"/>
              <w:bottom w:val="single" w:sz="4" w:space="0" w:color="000000"/>
              <w:right w:val="single" w:sz="4" w:space="0" w:color="000000"/>
            </w:tcBorders>
          </w:tcPr>
          <w:p>
            <w:pPr>
              <w:pStyle w:val="TableParagraph"/>
              <w:spacing w:line="251" w:lineRule="exact"/>
              <w:ind w:left="420" w:right="101"/>
              <w:rPr>
                <w:sz w:val="22"/>
              </w:rPr>
            </w:pPr>
            <w:r>
              <w:rPr>
                <w:sz w:val="22"/>
              </w:rPr>
              <w:t>1.00</w:t>
            </w:r>
          </w:p>
        </w:tc>
        <w:tc>
          <w:tcPr>
            <w:tcW w:w="1274" w:type="dxa"/>
            <w:tcBorders>
              <w:left w:val="single" w:sz="4" w:space="0" w:color="000000"/>
              <w:bottom w:val="single" w:sz="4" w:space="0" w:color="000000"/>
              <w:right w:val="single" w:sz="4" w:space="0" w:color="000000"/>
            </w:tcBorders>
          </w:tcPr>
          <w:p>
            <w:pPr>
              <w:pStyle w:val="TableParagraph"/>
              <w:spacing w:line="251" w:lineRule="exact"/>
              <w:ind w:left="295" w:right="98"/>
              <w:rPr>
                <w:sz w:val="22"/>
              </w:rPr>
            </w:pPr>
            <w:r>
              <w:rPr>
                <w:sz w:val="22"/>
              </w:rPr>
              <w:t>16.813</w:t>
            </w:r>
          </w:p>
        </w:tc>
      </w:tr>
      <w:tr>
        <w:trPr>
          <w:trHeight w:val="768" w:hRule="exact"/>
        </w:trPr>
        <w:tc>
          <w:tcPr>
            <w:tcW w:w="960" w:type="dxa"/>
            <w:vMerge/>
            <w:tcBorders>
              <w:left w:val="single" w:sz="4" w:space="0" w:color="000000"/>
              <w:right w:val="single" w:sz="4" w:space="0" w:color="000000"/>
            </w:tcBorders>
            <w:shd w:val="clear" w:color="auto" w:fill="F79546"/>
            <w:textDirection w:val="btLr"/>
          </w:tcPr>
          <w:p>
            <w:pPr/>
          </w:p>
        </w:tc>
        <w:tc>
          <w:tcPr>
            <w:tcW w:w="752" w:type="dxa"/>
            <w:tcBorders>
              <w:top w:val="single" w:sz="4" w:space="0" w:color="000000"/>
              <w:left w:val="single" w:sz="4" w:space="0" w:color="000000"/>
              <w:bottom w:val="single" w:sz="4" w:space="0" w:color="000000"/>
              <w:right w:val="single" w:sz="4" w:space="0" w:color="000000"/>
            </w:tcBorders>
            <w:shd w:val="clear" w:color="auto" w:fill="F79546"/>
          </w:tcPr>
          <w:p>
            <w:pPr>
              <w:pStyle w:val="TableParagraph"/>
              <w:spacing w:line="251" w:lineRule="exact"/>
              <w:ind w:left="0" w:right="3"/>
              <w:jc w:val="center"/>
              <w:rPr>
                <w:sz w:val="22"/>
              </w:rPr>
            </w:pPr>
            <w:r>
              <w:rPr>
                <w:w w:val="100"/>
                <w:sz w:val="22"/>
              </w:rPr>
              <w:t>P</w:t>
            </w:r>
          </w:p>
        </w:tc>
        <w:tc>
          <w:tcPr>
            <w:tcW w:w="165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291" w:right="272" w:firstLine="177"/>
              <w:rPr>
                <w:sz w:val="22"/>
              </w:rPr>
            </w:pPr>
            <w:r>
              <w:rPr>
                <w:sz w:val="22"/>
              </w:rPr>
              <w:t>Cultura económica</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78" w:right="178"/>
              <w:jc w:val="center"/>
              <w:rPr>
                <w:sz w:val="22"/>
              </w:rPr>
            </w:pPr>
            <w:r>
              <w:rPr>
                <w:sz w:val="22"/>
              </w:rPr>
              <w:t>91</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21" w:right="121"/>
              <w:jc w:val="center"/>
              <w:rPr>
                <w:sz w:val="22"/>
              </w:rPr>
            </w:pPr>
            <w:r>
              <w:rPr>
                <w:sz w:val="22"/>
              </w:rPr>
              <w:t>65</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93" w:right="91"/>
              <w:jc w:val="center"/>
              <w:rPr>
                <w:sz w:val="22"/>
              </w:rPr>
            </w:pPr>
            <w:r>
              <w:rPr>
                <w:sz w:val="22"/>
              </w:rPr>
              <w:t>0.0039062</w:t>
            </w:r>
          </w:p>
          <w:p>
            <w:pPr>
              <w:pStyle w:val="TableParagraph"/>
              <w:spacing w:before="126"/>
              <w:ind w:left="0"/>
              <w:jc w:val="center"/>
              <w:rPr>
                <w:sz w:val="22"/>
              </w:rPr>
            </w:pPr>
            <w:r>
              <w:rPr>
                <w:w w:val="100"/>
                <w:sz w:val="22"/>
              </w:rPr>
              <w:t>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357" w:right="92"/>
              <w:rPr>
                <w:sz w:val="22"/>
              </w:rPr>
            </w:pPr>
            <w:r>
              <w:rPr>
                <w:sz w:val="22"/>
              </w:rPr>
              <w:t>0.087</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32"/>
              <w:rPr>
                <w:sz w:val="22"/>
              </w:rPr>
            </w:pPr>
            <w:r>
              <w:rPr>
                <w:sz w:val="22"/>
              </w:rPr>
              <w:t>42</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0"/>
              <w:jc w:val="center"/>
              <w:rPr>
                <w:sz w:val="22"/>
              </w:rPr>
            </w:pPr>
            <w:r>
              <w:rPr>
                <w:w w:val="100"/>
                <w:sz w:val="22"/>
              </w:rPr>
              <w:t>2</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20" w:right="101"/>
              <w:rPr>
                <w:sz w:val="22"/>
              </w:rPr>
            </w:pPr>
            <w:r>
              <w:rPr>
                <w:sz w:val="22"/>
              </w:rPr>
              <w:t>1.00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295" w:right="98"/>
              <w:rPr>
                <w:sz w:val="22"/>
              </w:rPr>
            </w:pPr>
            <w:r>
              <w:rPr>
                <w:sz w:val="22"/>
              </w:rPr>
              <w:t>16.813</w:t>
            </w:r>
          </w:p>
        </w:tc>
      </w:tr>
      <w:tr>
        <w:trPr>
          <w:trHeight w:val="769" w:hRule="exact"/>
        </w:trPr>
        <w:tc>
          <w:tcPr>
            <w:tcW w:w="960" w:type="dxa"/>
            <w:vMerge/>
            <w:tcBorders>
              <w:left w:val="single" w:sz="4" w:space="0" w:color="000000"/>
              <w:right w:val="single" w:sz="4" w:space="0" w:color="000000"/>
            </w:tcBorders>
            <w:shd w:val="clear" w:color="auto" w:fill="F79546"/>
            <w:textDirection w:val="btLr"/>
          </w:tcPr>
          <w:p>
            <w:pPr/>
          </w:p>
        </w:tc>
        <w:tc>
          <w:tcPr>
            <w:tcW w:w="752" w:type="dxa"/>
            <w:tcBorders>
              <w:top w:val="single" w:sz="4" w:space="0" w:color="000000"/>
              <w:left w:val="single" w:sz="4" w:space="0" w:color="000000"/>
              <w:bottom w:val="single" w:sz="4" w:space="0" w:color="000000"/>
              <w:right w:val="single" w:sz="4" w:space="0" w:color="000000"/>
            </w:tcBorders>
            <w:shd w:val="clear" w:color="auto" w:fill="F79546"/>
          </w:tcPr>
          <w:p>
            <w:pPr>
              <w:pStyle w:val="TableParagraph"/>
              <w:spacing w:line="251" w:lineRule="exact"/>
              <w:ind w:left="0" w:right="3"/>
              <w:jc w:val="center"/>
              <w:rPr>
                <w:sz w:val="22"/>
              </w:rPr>
            </w:pPr>
            <w:r>
              <w:rPr>
                <w:w w:val="100"/>
                <w:sz w:val="22"/>
              </w:rPr>
              <w:t>P</w:t>
            </w:r>
          </w:p>
        </w:tc>
        <w:tc>
          <w:tcPr>
            <w:tcW w:w="165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164" w:right="133" w:hanging="15"/>
              <w:rPr>
                <w:sz w:val="22"/>
              </w:rPr>
            </w:pPr>
            <w:r>
              <w:rPr>
                <w:sz w:val="22"/>
              </w:rPr>
              <w:t>Democracia y voluntariedad</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78" w:right="178"/>
              <w:jc w:val="center"/>
              <w:rPr>
                <w:sz w:val="22"/>
              </w:rPr>
            </w:pPr>
            <w:r>
              <w:rPr>
                <w:sz w:val="22"/>
              </w:rPr>
              <w:t>88</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21" w:right="121"/>
              <w:jc w:val="center"/>
              <w:rPr>
                <w:sz w:val="22"/>
              </w:rPr>
            </w:pPr>
            <w:r>
              <w:rPr>
                <w:sz w:val="22"/>
              </w:rPr>
              <w:t>67</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93" w:right="91"/>
              <w:jc w:val="center"/>
              <w:rPr>
                <w:sz w:val="22"/>
              </w:rPr>
            </w:pPr>
            <w:r>
              <w:rPr>
                <w:sz w:val="22"/>
              </w:rPr>
              <w:t>0.0039062</w:t>
            </w:r>
          </w:p>
          <w:p>
            <w:pPr>
              <w:pStyle w:val="TableParagraph"/>
              <w:spacing w:before="127"/>
              <w:ind w:left="0"/>
              <w:jc w:val="center"/>
              <w:rPr>
                <w:sz w:val="22"/>
              </w:rPr>
            </w:pPr>
            <w:r>
              <w:rPr>
                <w:w w:val="100"/>
                <w:sz w:val="22"/>
              </w:rPr>
              <w:t>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357" w:right="92"/>
              <w:rPr>
                <w:sz w:val="22"/>
              </w:rPr>
            </w:pPr>
            <w:r>
              <w:rPr>
                <w:sz w:val="22"/>
              </w:rPr>
              <w:t>0.087</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32"/>
              <w:rPr>
                <w:sz w:val="22"/>
              </w:rPr>
            </w:pPr>
            <w:r>
              <w:rPr>
                <w:sz w:val="22"/>
              </w:rPr>
              <w:t>41</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0"/>
              <w:jc w:val="center"/>
              <w:rPr>
                <w:sz w:val="22"/>
              </w:rPr>
            </w:pPr>
            <w:r>
              <w:rPr>
                <w:w w:val="100"/>
                <w:sz w:val="22"/>
              </w:rPr>
              <w:t>3</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420" w:right="101"/>
              <w:rPr>
                <w:sz w:val="22"/>
              </w:rPr>
            </w:pPr>
            <w:r>
              <w:rPr>
                <w:sz w:val="22"/>
              </w:rPr>
              <w:t>1.00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295" w:right="98"/>
              <w:rPr>
                <w:sz w:val="22"/>
              </w:rPr>
            </w:pPr>
            <w:r>
              <w:rPr>
                <w:sz w:val="22"/>
              </w:rPr>
              <w:t>16.813</w:t>
            </w:r>
          </w:p>
        </w:tc>
      </w:tr>
      <w:tr>
        <w:trPr>
          <w:trHeight w:val="770" w:hRule="exact"/>
        </w:trPr>
        <w:tc>
          <w:tcPr>
            <w:tcW w:w="960" w:type="dxa"/>
            <w:vMerge/>
            <w:tcBorders>
              <w:left w:val="single" w:sz="4" w:space="0" w:color="000000"/>
              <w:bottom w:val="single" w:sz="4" w:space="0" w:color="000000"/>
              <w:right w:val="single" w:sz="4" w:space="0" w:color="000000"/>
            </w:tcBorders>
            <w:shd w:val="clear" w:color="auto" w:fill="F79546"/>
            <w:textDirection w:val="btLr"/>
          </w:tcPr>
          <w:p>
            <w:pPr/>
          </w:p>
        </w:tc>
        <w:tc>
          <w:tcPr>
            <w:tcW w:w="752" w:type="dxa"/>
            <w:tcBorders>
              <w:top w:val="single" w:sz="4" w:space="0" w:color="000000"/>
              <w:left w:val="single" w:sz="4" w:space="0" w:color="000000"/>
              <w:bottom w:val="single" w:sz="4" w:space="0" w:color="000000"/>
              <w:right w:val="single" w:sz="4" w:space="0" w:color="000000"/>
            </w:tcBorders>
            <w:shd w:val="clear" w:color="auto" w:fill="F79546"/>
          </w:tcPr>
          <w:p>
            <w:pPr>
              <w:pStyle w:val="TableParagraph"/>
              <w:ind w:left="0" w:right="3"/>
              <w:jc w:val="center"/>
              <w:rPr>
                <w:sz w:val="22"/>
              </w:rPr>
            </w:pPr>
            <w:r>
              <w:rPr>
                <w:w w:val="100"/>
                <w:sz w:val="22"/>
              </w:rPr>
              <w:t>P</w:t>
            </w:r>
          </w:p>
        </w:tc>
        <w:tc>
          <w:tcPr>
            <w:tcW w:w="165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543" w:right="176" w:hanging="351"/>
              <w:rPr>
                <w:sz w:val="22"/>
              </w:rPr>
            </w:pPr>
            <w:r>
              <w:rPr>
                <w:sz w:val="22"/>
              </w:rPr>
              <w:t>Participación social</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ind w:left="178" w:right="178"/>
              <w:jc w:val="center"/>
              <w:rPr>
                <w:sz w:val="22"/>
              </w:rPr>
            </w:pPr>
            <w:r>
              <w:rPr>
                <w:sz w:val="22"/>
              </w:rPr>
              <w:t>87</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ind w:left="121" w:right="121"/>
              <w:jc w:val="center"/>
              <w:rPr>
                <w:sz w:val="22"/>
              </w:rPr>
            </w:pPr>
            <w:r>
              <w:rPr>
                <w:sz w:val="22"/>
              </w:rPr>
              <w:t>68</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ind w:left="93" w:right="91"/>
              <w:jc w:val="center"/>
              <w:rPr>
                <w:sz w:val="22"/>
              </w:rPr>
            </w:pPr>
            <w:r>
              <w:rPr>
                <w:sz w:val="22"/>
              </w:rPr>
              <w:t>0.0039062</w:t>
            </w:r>
          </w:p>
          <w:p>
            <w:pPr>
              <w:pStyle w:val="TableParagraph"/>
              <w:spacing w:before="126"/>
              <w:ind w:left="0"/>
              <w:jc w:val="center"/>
              <w:rPr>
                <w:sz w:val="22"/>
              </w:rPr>
            </w:pPr>
            <w:r>
              <w:rPr>
                <w:w w:val="100"/>
                <w:sz w:val="22"/>
              </w:rPr>
              <w:t>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left="357" w:right="92"/>
              <w:rPr>
                <w:sz w:val="22"/>
              </w:rPr>
            </w:pPr>
            <w:r>
              <w:rPr>
                <w:sz w:val="22"/>
              </w:rPr>
              <w:t>0.087</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ind w:left="432"/>
              <w:rPr>
                <w:sz w:val="22"/>
              </w:rPr>
            </w:pPr>
            <w:r>
              <w:rPr>
                <w:sz w:val="22"/>
              </w:rPr>
              <w:t>40</w:t>
            </w:r>
          </w:p>
        </w:tc>
        <w:tc>
          <w:tcPr>
            <w:tcW w:w="1193" w:type="dxa"/>
            <w:tcBorders>
              <w:top w:val="single" w:sz="4" w:space="0" w:color="000000"/>
              <w:left w:val="single" w:sz="4" w:space="0" w:color="000000"/>
              <w:bottom w:val="single" w:sz="4" w:space="0" w:color="000000"/>
              <w:right w:val="single" w:sz="4" w:space="0" w:color="000000"/>
            </w:tcBorders>
          </w:tcPr>
          <w:p>
            <w:pPr>
              <w:pStyle w:val="TableParagraph"/>
              <w:ind w:left="0"/>
              <w:jc w:val="center"/>
              <w:rPr>
                <w:sz w:val="22"/>
              </w:rPr>
            </w:pPr>
            <w:r>
              <w:rPr>
                <w:w w:val="100"/>
                <w:sz w:val="22"/>
              </w:rPr>
              <w:t>4</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left="420" w:right="101"/>
              <w:rPr>
                <w:sz w:val="22"/>
              </w:rPr>
            </w:pPr>
            <w:r>
              <w:rPr>
                <w:sz w:val="22"/>
              </w:rPr>
              <w:t>1.00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ind w:left="295" w:right="98"/>
              <w:rPr>
                <w:sz w:val="22"/>
              </w:rPr>
            </w:pPr>
            <w:r>
              <w:rPr>
                <w:sz w:val="22"/>
              </w:rPr>
              <w:t>16.813</w:t>
            </w:r>
          </w:p>
        </w:tc>
      </w:tr>
    </w:tbl>
    <w:p>
      <w:pPr>
        <w:spacing w:after="0"/>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754"/>
        <w:gridCol w:w="1656"/>
        <w:gridCol w:w="1244"/>
        <w:gridCol w:w="1193"/>
        <w:gridCol w:w="1274"/>
        <w:gridCol w:w="1277"/>
        <w:gridCol w:w="1118"/>
        <w:gridCol w:w="1193"/>
        <w:gridCol w:w="1277"/>
        <w:gridCol w:w="1274"/>
      </w:tblGrid>
      <w:tr>
        <w:trPr>
          <w:trHeight w:val="1147" w:hRule="exact"/>
        </w:trPr>
        <w:tc>
          <w:tcPr>
            <w:tcW w:w="960" w:type="dxa"/>
            <w:vMerge w:val="restart"/>
            <w:shd w:val="clear" w:color="auto" w:fill="F79546"/>
          </w:tcPr>
          <w:p>
            <w:pPr/>
          </w:p>
        </w:tc>
        <w:tc>
          <w:tcPr>
            <w:tcW w:w="754" w:type="dxa"/>
            <w:shd w:val="clear" w:color="auto" w:fill="F79546"/>
          </w:tcPr>
          <w:p>
            <w:pPr>
              <w:pStyle w:val="TableParagraph"/>
              <w:spacing w:line="251" w:lineRule="exact"/>
              <w:ind w:left="0" w:right="4"/>
              <w:jc w:val="center"/>
              <w:rPr>
                <w:sz w:val="22"/>
              </w:rPr>
            </w:pPr>
            <w:r>
              <w:rPr>
                <w:w w:val="100"/>
                <w:sz w:val="22"/>
              </w:rPr>
              <w:t>P</w:t>
            </w:r>
          </w:p>
        </w:tc>
        <w:tc>
          <w:tcPr>
            <w:tcW w:w="1656" w:type="dxa"/>
          </w:tcPr>
          <w:p>
            <w:pPr>
              <w:pStyle w:val="TableParagraph"/>
              <w:spacing w:line="360" w:lineRule="auto"/>
              <w:ind w:left="144" w:right="141" w:hanging="3"/>
              <w:jc w:val="center"/>
              <w:rPr>
                <w:sz w:val="22"/>
              </w:rPr>
            </w:pPr>
            <w:r>
              <w:rPr>
                <w:sz w:val="22"/>
              </w:rPr>
              <w:t>Relaciones intermunicipal es</w:t>
            </w:r>
          </w:p>
        </w:tc>
        <w:tc>
          <w:tcPr>
            <w:tcW w:w="1244" w:type="dxa"/>
          </w:tcPr>
          <w:p>
            <w:pPr>
              <w:pStyle w:val="TableParagraph"/>
              <w:spacing w:line="251" w:lineRule="exact"/>
              <w:ind w:left="178" w:right="178"/>
              <w:jc w:val="center"/>
              <w:rPr>
                <w:sz w:val="22"/>
              </w:rPr>
            </w:pPr>
            <w:r>
              <w:rPr>
                <w:sz w:val="22"/>
              </w:rPr>
              <w:t>86</w:t>
            </w:r>
          </w:p>
        </w:tc>
        <w:tc>
          <w:tcPr>
            <w:tcW w:w="1193" w:type="dxa"/>
          </w:tcPr>
          <w:p>
            <w:pPr>
              <w:pStyle w:val="TableParagraph"/>
              <w:spacing w:line="251" w:lineRule="exact"/>
              <w:ind w:left="468"/>
              <w:rPr>
                <w:sz w:val="22"/>
              </w:rPr>
            </w:pPr>
            <w:r>
              <w:rPr>
                <w:sz w:val="22"/>
              </w:rPr>
              <w:t>69</w:t>
            </w:r>
          </w:p>
        </w:tc>
        <w:tc>
          <w:tcPr>
            <w:tcW w:w="1274" w:type="dxa"/>
          </w:tcPr>
          <w:p>
            <w:pPr>
              <w:pStyle w:val="TableParagraph"/>
              <w:spacing w:line="251" w:lineRule="exact"/>
              <w:ind w:left="93" w:right="91"/>
              <w:jc w:val="center"/>
              <w:rPr>
                <w:sz w:val="22"/>
              </w:rPr>
            </w:pPr>
            <w:r>
              <w:rPr>
                <w:sz w:val="22"/>
              </w:rPr>
              <w:t>0.0039062</w:t>
            </w:r>
          </w:p>
          <w:p>
            <w:pPr>
              <w:pStyle w:val="TableParagraph"/>
              <w:spacing w:before="126"/>
              <w:ind w:left="0"/>
              <w:jc w:val="center"/>
              <w:rPr>
                <w:sz w:val="22"/>
              </w:rPr>
            </w:pPr>
            <w:r>
              <w:rPr>
                <w:w w:val="100"/>
                <w:sz w:val="22"/>
              </w:rPr>
              <w:t>5</w:t>
            </w:r>
          </w:p>
        </w:tc>
        <w:tc>
          <w:tcPr>
            <w:tcW w:w="1277" w:type="dxa"/>
          </w:tcPr>
          <w:p>
            <w:pPr>
              <w:pStyle w:val="TableParagraph"/>
              <w:spacing w:line="251" w:lineRule="exact"/>
              <w:ind w:left="357" w:right="92"/>
              <w:rPr>
                <w:sz w:val="22"/>
              </w:rPr>
            </w:pPr>
            <w:r>
              <w:rPr>
                <w:sz w:val="22"/>
              </w:rPr>
              <w:t>0.087</w:t>
            </w:r>
          </w:p>
        </w:tc>
        <w:tc>
          <w:tcPr>
            <w:tcW w:w="1118" w:type="dxa"/>
          </w:tcPr>
          <w:p>
            <w:pPr>
              <w:pStyle w:val="TableParagraph"/>
              <w:spacing w:line="251" w:lineRule="exact"/>
              <w:ind w:left="432"/>
              <w:rPr>
                <w:sz w:val="22"/>
              </w:rPr>
            </w:pPr>
            <w:r>
              <w:rPr>
                <w:sz w:val="22"/>
              </w:rPr>
              <w:t>39</w:t>
            </w:r>
          </w:p>
        </w:tc>
        <w:tc>
          <w:tcPr>
            <w:tcW w:w="1193" w:type="dxa"/>
          </w:tcPr>
          <w:p>
            <w:pPr>
              <w:pStyle w:val="TableParagraph"/>
              <w:spacing w:line="251" w:lineRule="exact"/>
              <w:ind w:left="0" w:right="528"/>
              <w:jc w:val="right"/>
              <w:rPr>
                <w:sz w:val="22"/>
              </w:rPr>
            </w:pPr>
            <w:r>
              <w:rPr>
                <w:w w:val="100"/>
                <w:sz w:val="22"/>
              </w:rPr>
              <w:t>5</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16.813</w:t>
            </w:r>
          </w:p>
        </w:tc>
      </w:tr>
      <w:tr>
        <w:trPr>
          <w:trHeight w:val="770" w:hRule="exact"/>
        </w:trPr>
        <w:tc>
          <w:tcPr>
            <w:tcW w:w="960" w:type="dxa"/>
            <w:vMerge/>
            <w:shd w:val="clear" w:color="auto" w:fill="F79546"/>
          </w:tcPr>
          <w:p>
            <w:pPr/>
          </w:p>
        </w:tc>
        <w:tc>
          <w:tcPr>
            <w:tcW w:w="754" w:type="dxa"/>
            <w:shd w:val="clear" w:color="auto" w:fill="F79546"/>
          </w:tcPr>
          <w:p>
            <w:pPr>
              <w:pStyle w:val="TableParagraph"/>
              <w:spacing w:line="251" w:lineRule="exact"/>
              <w:ind w:left="0" w:right="4"/>
              <w:jc w:val="center"/>
              <w:rPr>
                <w:sz w:val="22"/>
              </w:rPr>
            </w:pPr>
            <w:r>
              <w:rPr>
                <w:w w:val="100"/>
                <w:sz w:val="22"/>
              </w:rPr>
              <w:t>P</w:t>
            </w:r>
          </w:p>
        </w:tc>
        <w:tc>
          <w:tcPr>
            <w:tcW w:w="1656" w:type="dxa"/>
          </w:tcPr>
          <w:p>
            <w:pPr>
              <w:pStyle w:val="TableParagraph"/>
              <w:spacing w:line="362" w:lineRule="auto"/>
              <w:ind w:left="290" w:right="180" w:hanging="92"/>
              <w:rPr>
                <w:sz w:val="22"/>
              </w:rPr>
            </w:pPr>
            <w:r>
              <w:rPr>
                <w:sz w:val="22"/>
              </w:rPr>
              <w:t>Cooperación económica</w:t>
            </w:r>
          </w:p>
        </w:tc>
        <w:tc>
          <w:tcPr>
            <w:tcW w:w="1244" w:type="dxa"/>
          </w:tcPr>
          <w:p>
            <w:pPr>
              <w:pStyle w:val="TableParagraph"/>
              <w:spacing w:line="251" w:lineRule="exact"/>
              <w:ind w:left="178" w:right="178"/>
              <w:jc w:val="center"/>
              <w:rPr>
                <w:sz w:val="22"/>
              </w:rPr>
            </w:pPr>
            <w:r>
              <w:rPr>
                <w:sz w:val="22"/>
              </w:rPr>
              <w:t>85</w:t>
            </w:r>
          </w:p>
        </w:tc>
        <w:tc>
          <w:tcPr>
            <w:tcW w:w="1193" w:type="dxa"/>
          </w:tcPr>
          <w:p>
            <w:pPr>
              <w:pStyle w:val="TableParagraph"/>
              <w:spacing w:line="251" w:lineRule="exact"/>
              <w:ind w:left="468"/>
              <w:rPr>
                <w:sz w:val="22"/>
              </w:rPr>
            </w:pPr>
            <w:r>
              <w:rPr>
                <w:sz w:val="22"/>
              </w:rPr>
              <w:t>70</w:t>
            </w:r>
          </w:p>
        </w:tc>
        <w:tc>
          <w:tcPr>
            <w:tcW w:w="1274" w:type="dxa"/>
          </w:tcPr>
          <w:p>
            <w:pPr>
              <w:pStyle w:val="TableParagraph"/>
              <w:spacing w:line="251" w:lineRule="exact"/>
              <w:ind w:left="93" w:right="91"/>
              <w:jc w:val="center"/>
              <w:rPr>
                <w:sz w:val="22"/>
              </w:rPr>
            </w:pPr>
            <w:r>
              <w:rPr>
                <w:sz w:val="22"/>
              </w:rPr>
              <w:t>0.0039062</w:t>
            </w:r>
          </w:p>
          <w:p>
            <w:pPr>
              <w:pStyle w:val="TableParagraph"/>
              <w:spacing w:before="128"/>
              <w:ind w:left="0"/>
              <w:jc w:val="center"/>
              <w:rPr>
                <w:sz w:val="22"/>
              </w:rPr>
            </w:pPr>
            <w:r>
              <w:rPr>
                <w:w w:val="100"/>
                <w:sz w:val="22"/>
              </w:rPr>
              <w:t>5</w:t>
            </w:r>
          </w:p>
        </w:tc>
        <w:tc>
          <w:tcPr>
            <w:tcW w:w="1277" w:type="dxa"/>
          </w:tcPr>
          <w:p>
            <w:pPr>
              <w:pStyle w:val="TableParagraph"/>
              <w:spacing w:line="251" w:lineRule="exact"/>
              <w:ind w:left="357" w:right="92"/>
              <w:rPr>
                <w:sz w:val="22"/>
              </w:rPr>
            </w:pPr>
            <w:r>
              <w:rPr>
                <w:sz w:val="22"/>
              </w:rPr>
              <w:t>0.087</w:t>
            </w:r>
          </w:p>
        </w:tc>
        <w:tc>
          <w:tcPr>
            <w:tcW w:w="1118" w:type="dxa"/>
          </w:tcPr>
          <w:p>
            <w:pPr>
              <w:pStyle w:val="TableParagraph"/>
              <w:spacing w:line="251" w:lineRule="exact"/>
              <w:ind w:left="432"/>
              <w:rPr>
                <w:sz w:val="22"/>
              </w:rPr>
            </w:pPr>
            <w:r>
              <w:rPr>
                <w:sz w:val="22"/>
              </w:rPr>
              <w:t>38</w:t>
            </w:r>
          </w:p>
        </w:tc>
        <w:tc>
          <w:tcPr>
            <w:tcW w:w="1193" w:type="dxa"/>
          </w:tcPr>
          <w:p>
            <w:pPr>
              <w:pStyle w:val="TableParagraph"/>
              <w:spacing w:line="251" w:lineRule="exact"/>
              <w:ind w:left="0" w:right="528"/>
              <w:jc w:val="right"/>
              <w:rPr>
                <w:sz w:val="22"/>
              </w:rPr>
            </w:pPr>
            <w:r>
              <w:rPr>
                <w:w w:val="100"/>
                <w:sz w:val="22"/>
              </w:rPr>
              <w:t>6</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16.813</w:t>
            </w:r>
          </w:p>
        </w:tc>
      </w:tr>
      <w:tr>
        <w:trPr>
          <w:trHeight w:val="769" w:hRule="exact"/>
        </w:trPr>
        <w:tc>
          <w:tcPr>
            <w:tcW w:w="960" w:type="dxa"/>
            <w:vMerge/>
            <w:shd w:val="clear" w:color="auto" w:fill="F79546"/>
          </w:tcPr>
          <w:p>
            <w:pPr/>
          </w:p>
        </w:tc>
        <w:tc>
          <w:tcPr>
            <w:tcW w:w="754" w:type="dxa"/>
            <w:shd w:val="clear" w:color="auto" w:fill="F79546"/>
          </w:tcPr>
          <w:p>
            <w:pPr>
              <w:pStyle w:val="TableParagraph"/>
              <w:spacing w:line="251" w:lineRule="exact"/>
              <w:ind w:left="0" w:right="4"/>
              <w:jc w:val="center"/>
              <w:rPr>
                <w:sz w:val="22"/>
              </w:rPr>
            </w:pPr>
            <w:r>
              <w:rPr>
                <w:w w:val="100"/>
                <w:sz w:val="22"/>
              </w:rPr>
              <w:t>P</w:t>
            </w:r>
          </w:p>
        </w:tc>
        <w:tc>
          <w:tcPr>
            <w:tcW w:w="1656" w:type="dxa"/>
          </w:tcPr>
          <w:p>
            <w:pPr>
              <w:pStyle w:val="TableParagraph"/>
              <w:spacing w:line="360" w:lineRule="auto"/>
              <w:ind w:left="290" w:right="272" w:firstLine="79"/>
              <w:rPr>
                <w:sz w:val="22"/>
              </w:rPr>
            </w:pPr>
            <w:r>
              <w:rPr>
                <w:sz w:val="22"/>
              </w:rPr>
              <w:t>Identidad económica</w:t>
            </w:r>
          </w:p>
        </w:tc>
        <w:tc>
          <w:tcPr>
            <w:tcW w:w="1244" w:type="dxa"/>
          </w:tcPr>
          <w:p>
            <w:pPr>
              <w:pStyle w:val="TableParagraph"/>
              <w:spacing w:line="251" w:lineRule="exact"/>
              <w:ind w:left="178" w:right="178"/>
              <w:jc w:val="center"/>
              <w:rPr>
                <w:sz w:val="22"/>
              </w:rPr>
            </w:pPr>
            <w:r>
              <w:rPr>
                <w:sz w:val="22"/>
              </w:rPr>
              <w:t>84</w:t>
            </w:r>
          </w:p>
        </w:tc>
        <w:tc>
          <w:tcPr>
            <w:tcW w:w="1193" w:type="dxa"/>
          </w:tcPr>
          <w:p>
            <w:pPr>
              <w:pStyle w:val="TableParagraph"/>
              <w:spacing w:line="251" w:lineRule="exact"/>
              <w:ind w:left="468"/>
              <w:rPr>
                <w:sz w:val="22"/>
              </w:rPr>
            </w:pPr>
            <w:r>
              <w:rPr>
                <w:sz w:val="22"/>
              </w:rPr>
              <w:t>71</w:t>
            </w:r>
          </w:p>
        </w:tc>
        <w:tc>
          <w:tcPr>
            <w:tcW w:w="1274" w:type="dxa"/>
          </w:tcPr>
          <w:p>
            <w:pPr>
              <w:pStyle w:val="TableParagraph"/>
              <w:spacing w:line="251" w:lineRule="exact"/>
              <w:ind w:left="93" w:right="91"/>
              <w:jc w:val="center"/>
              <w:rPr>
                <w:sz w:val="22"/>
              </w:rPr>
            </w:pPr>
            <w:r>
              <w:rPr>
                <w:sz w:val="22"/>
              </w:rPr>
              <w:t>0.0039062</w:t>
            </w:r>
          </w:p>
          <w:p>
            <w:pPr>
              <w:pStyle w:val="TableParagraph"/>
              <w:spacing w:before="127"/>
              <w:ind w:left="0"/>
              <w:jc w:val="center"/>
              <w:rPr>
                <w:sz w:val="22"/>
              </w:rPr>
            </w:pPr>
            <w:r>
              <w:rPr>
                <w:w w:val="100"/>
                <w:sz w:val="22"/>
              </w:rPr>
              <w:t>5</w:t>
            </w:r>
          </w:p>
        </w:tc>
        <w:tc>
          <w:tcPr>
            <w:tcW w:w="1277" w:type="dxa"/>
          </w:tcPr>
          <w:p>
            <w:pPr>
              <w:pStyle w:val="TableParagraph"/>
              <w:spacing w:line="251" w:lineRule="exact"/>
              <w:ind w:left="357" w:right="92"/>
              <w:rPr>
                <w:sz w:val="22"/>
              </w:rPr>
            </w:pPr>
            <w:r>
              <w:rPr>
                <w:sz w:val="22"/>
              </w:rPr>
              <w:t>0.087</w:t>
            </w:r>
          </w:p>
        </w:tc>
        <w:tc>
          <w:tcPr>
            <w:tcW w:w="1118" w:type="dxa"/>
          </w:tcPr>
          <w:p>
            <w:pPr>
              <w:pStyle w:val="TableParagraph"/>
              <w:spacing w:line="251" w:lineRule="exact"/>
              <w:ind w:left="432"/>
              <w:rPr>
                <w:sz w:val="22"/>
              </w:rPr>
            </w:pPr>
            <w:r>
              <w:rPr>
                <w:sz w:val="22"/>
              </w:rPr>
              <w:t>37</w:t>
            </w:r>
          </w:p>
        </w:tc>
        <w:tc>
          <w:tcPr>
            <w:tcW w:w="1193" w:type="dxa"/>
          </w:tcPr>
          <w:p>
            <w:pPr>
              <w:pStyle w:val="TableParagraph"/>
              <w:spacing w:line="251" w:lineRule="exact"/>
              <w:ind w:left="0" w:right="528"/>
              <w:jc w:val="right"/>
              <w:rPr>
                <w:sz w:val="22"/>
              </w:rPr>
            </w:pPr>
            <w:r>
              <w:rPr>
                <w:w w:val="100"/>
                <w:sz w:val="22"/>
              </w:rPr>
              <w:t>7</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16.813</w:t>
            </w:r>
          </w:p>
        </w:tc>
      </w:tr>
      <w:tr>
        <w:trPr>
          <w:trHeight w:val="768" w:hRule="exact"/>
        </w:trPr>
        <w:tc>
          <w:tcPr>
            <w:tcW w:w="960" w:type="dxa"/>
            <w:vMerge/>
            <w:shd w:val="clear" w:color="auto" w:fill="F79546"/>
          </w:tcPr>
          <w:p>
            <w:pPr/>
          </w:p>
        </w:tc>
        <w:tc>
          <w:tcPr>
            <w:tcW w:w="754" w:type="dxa"/>
            <w:shd w:val="clear" w:color="auto" w:fill="F79546"/>
          </w:tcPr>
          <w:p>
            <w:pPr>
              <w:pStyle w:val="TableParagraph"/>
              <w:spacing w:line="251" w:lineRule="exact"/>
              <w:ind w:left="0" w:right="4"/>
              <w:jc w:val="center"/>
              <w:rPr>
                <w:sz w:val="22"/>
              </w:rPr>
            </w:pPr>
            <w:r>
              <w:rPr>
                <w:w w:val="100"/>
                <w:sz w:val="22"/>
              </w:rPr>
              <w:t>P</w:t>
            </w:r>
          </w:p>
        </w:tc>
        <w:tc>
          <w:tcPr>
            <w:tcW w:w="1656" w:type="dxa"/>
          </w:tcPr>
          <w:p>
            <w:pPr>
              <w:pStyle w:val="TableParagraph"/>
              <w:spacing w:line="360" w:lineRule="auto"/>
              <w:ind w:left="290" w:right="200" w:hanging="75"/>
              <w:rPr>
                <w:sz w:val="22"/>
              </w:rPr>
            </w:pPr>
            <w:r>
              <w:rPr>
                <w:sz w:val="22"/>
              </w:rPr>
              <w:t>Gobernanza económica</w:t>
            </w:r>
          </w:p>
        </w:tc>
        <w:tc>
          <w:tcPr>
            <w:tcW w:w="1244" w:type="dxa"/>
          </w:tcPr>
          <w:p>
            <w:pPr>
              <w:pStyle w:val="TableParagraph"/>
              <w:spacing w:line="251" w:lineRule="exact"/>
              <w:ind w:left="178" w:right="178"/>
              <w:jc w:val="center"/>
              <w:rPr>
                <w:sz w:val="22"/>
              </w:rPr>
            </w:pPr>
            <w:r>
              <w:rPr>
                <w:sz w:val="22"/>
              </w:rPr>
              <w:t>84</w:t>
            </w:r>
          </w:p>
        </w:tc>
        <w:tc>
          <w:tcPr>
            <w:tcW w:w="1193" w:type="dxa"/>
          </w:tcPr>
          <w:p>
            <w:pPr>
              <w:pStyle w:val="TableParagraph"/>
              <w:spacing w:line="251" w:lineRule="exact"/>
              <w:ind w:left="468"/>
              <w:rPr>
                <w:sz w:val="22"/>
              </w:rPr>
            </w:pPr>
            <w:r>
              <w:rPr>
                <w:sz w:val="22"/>
              </w:rPr>
              <w:t>71</w:t>
            </w:r>
          </w:p>
        </w:tc>
        <w:tc>
          <w:tcPr>
            <w:tcW w:w="1274" w:type="dxa"/>
          </w:tcPr>
          <w:p>
            <w:pPr>
              <w:pStyle w:val="TableParagraph"/>
              <w:spacing w:line="251" w:lineRule="exact"/>
              <w:ind w:left="93" w:right="91"/>
              <w:jc w:val="center"/>
              <w:rPr>
                <w:sz w:val="22"/>
              </w:rPr>
            </w:pPr>
            <w:r>
              <w:rPr>
                <w:sz w:val="22"/>
              </w:rPr>
              <w:t>0.0039062</w:t>
            </w:r>
          </w:p>
          <w:p>
            <w:pPr>
              <w:pStyle w:val="TableParagraph"/>
              <w:spacing w:before="126"/>
              <w:ind w:left="0"/>
              <w:jc w:val="center"/>
              <w:rPr>
                <w:sz w:val="22"/>
              </w:rPr>
            </w:pPr>
            <w:r>
              <w:rPr>
                <w:w w:val="100"/>
                <w:sz w:val="22"/>
              </w:rPr>
              <w:t>5</w:t>
            </w:r>
          </w:p>
        </w:tc>
        <w:tc>
          <w:tcPr>
            <w:tcW w:w="1277" w:type="dxa"/>
          </w:tcPr>
          <w:p>
            <w:pPr>
              <w:pStyle w:val="TableParagraph"/>
              <w:spacing w:line="251" w:lineRule="exact"/>
              <w:ind w:left="357" w:right="92"/>
              <w:rPr>
                <w:sz w:val="22"/>
              </w:rPr>
            </w:pPr>
            <w:r>
              <w:rPr>
                <w:sz w:val="22"/>
              </w:rPr>
              <w:t>0.087</w:t>
            </w:r>
          </w:p>
        </w:tc>
        <w:tc>
          <w:tcPr>
            <w:tcW w:w="1118" w:type="dxa"/>
          </w:tcPr>
          <w:p>
            <w:pPr>
              <w:pStyle w:val="TableParagraph"/>
              <w:spacing w:line="251" w:lineRule="exact"/>
              <w:ind w:left="432"/>
              <w:rPr>
                <w:sz w:val="22"/>
              </w:rPr>
            </w:pPr>
            <w:r>
              <w:rPr>
                <w:sz w:val="22"/>
              </w:rPr>
              <w:t>36</w:t>
            </w:r>
          </w:p>
        </w:tc>
        <w:tc>
          <w:tcPr>
            <w:tcW w:w="1193" w:type="dxa"/>
          </w:tcPr>
          <w:p>
            <w:pPr>
              <w:pStyle w:val="TableParagraph"/>
              <w:spacing w:line="251" w:lineRule="exact"/>
              <w:ind w:left="0" w:right="528"/>
              <w:jc w:val="right"/>
              <w:rPr>
                <w:sz w:val="22"/>
              </w:rPr>
            </w:pPr>
            <w:r>
              <w:rPr>
                <w:w w:val="100"/>
                <w:sz w:val="22"/>
              </w:rPr>
              <w:t>8</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16.813</w:t>
            </w:r>
          </w:p>
        </w:tc>
      </w:tr>
      <w:tr>
        <w:trPr>
          <w:trHeight w:val="770" w:hRule="exact"/>
        </w:trPr>
        <w:tc>
          <w:tcPr>
            <w:tcW w:w="960" w:type="dxa"/>
            <w:vMerge/>
            <w:shd w:val="clear" w:color="auto" w:fill="F79546"/>
          </w:tcPr>
          <w:p>
            <w:pPr/>
          </w:p>
        </w:tc>
        <w:tc>
          <w:tcPr>
            <w:tcW w:w="754" w:type="dxa"/>
            <w:shd w:val="clear" w:color="auto" w:fill="F79546"/>
          </w:tcPr>
          <w:p>
            <w:pPr>
              <w:pStyle w:val="TableParagraph"/>
              <w:ind w:left="0" w:right="4"/>
              <w:jc w:val="center"/>
              <w:rPr>
                <w:sz w:val="22"/>
              </w:rPr>
            </w:pPr>
            <w:r>
              <w:rPr>
                <w:w w:val="100"/>
                <w:sz w:val="22"/>
              </w:rPr>
              <w:t>P</w:t>
            </w:r>
          </w:p>
        </w:tc>
        <w:tc>
          <w:tcPr>
            <w:tcW w:w="1656" w:type="dxa"/>
          </w:tcPr>
          <w:p>
            <w:pPr>
              <w:pStyle w:val="TableParagraph"/>
              <w:spacing w:line="360" w:lineRule="auto"/>
              <w:ind w:left="199" w:right="120" w:hanging="63"/>
              <w:rPr>
                <w:sz w:val="22"/>
              </w:rPr>
            </w:pPr>
            <w:r>
              <w:rPr>
                <w:sz w:val="22"/>
              </w:rPr>
              <w:t>Gobernabilida d económica</w:t>
            </w:r>
          </w:p>
        </w:tc>
        <w:tc>
          <w:tcPr>
            <w:tcW w:w="1244" w:type="dxa"/>
          </w:tcPr>
          <w:p>
            <w:pPr>
              <w:pStyle w:val="TableParagraph"/>
              <w:ind w:left="178" w:right="178"/>
              <w:jc w:val="center"/>
              <w:rPr>
                <w:sz w:val="22"/>
              </w:rPr>
            </w:pPr>
            <w:r>
              <w:rPr>
                <w:sz w:val="22"/>
              </w:rPr>
              <w:t>83</w:t>
            </w:r>
          </w:p>
        </w:tc>
        <w:tc>
          <w:tcPr>
            <w:tcW w:w="1193" w:type="dxa"/>
          </w:tcPr>
          <w:p>
            <w:pPr>
              <w:pStyle w:val="TableParagraph"/>
              <w:ind w:left="468"/>
              <w:rPr>
                <w:sz w:val="22"/>
              </w:rPr>
            </w:pPr>
            <w:r>
              <w:rPr>
                <w:sz w:val="22"/>
              </w:rPr>
              <w:t>72</w:t>
            </w:r>
          </w:p>
        </w:tc>
        <w:tc>
          <w:tcPr>
            <w:tcW w:w="1274" w:type="dxa"/>
          </w:tcPr>
          <w:p>
            <w:pPr>
              <w:pStyle w:val="TableParagraph"/>
              <w:ind w:left="93" w:right="91"/>
              <w:jc w:val="center"/>
              <w:rPr>
                <w:sz w:val="22"/>
              </w:rPr>
            </w:pPr>
            <w:r>
              <w:rPr>
                <w:sz w:val="22"/>
              </w:rPr>
              <w:t>0.0039062</w:t>
            </w:r>
          </w:p>
          <w:p>
            <w:pPr>
              <w:pStyle w:val="TableParagraph"/>
              <w:spacing w:before="126"/>
              <w:ind w:left="0"/>
              <w:jc w:val="center"/>
              <w:rPr>
                <w:sz w:val="22"/>
              </w:rPr>
            </w:pPr>
            <w:r>
              <w:rPr>
                <w:w w:val="100"/>
                <w:sz w:val="22"/>
              </w:rPr>
              <w:t>5</w:t>
            </w:r>
          </w:p>
        </w:tc>
        <w:tc>
          <w:tcPr>
            <w:tcW w:w="1277" w:type="dxa"/>
          </w:tcPr>
          <w:p>
            <w:pPr>
              <w:pStyle w:val="TableParagraph"/>
              <w:ind w:left="357" w:right="92"/>
              <w:rPr>
                <w:sz w:val="22"/>
              </w:rPr>
            </w:pPr>
            <w:r>
              <w:rPr>
                <w:sz w:val="22"/>
              </w:rPr>
              <w:t>0.087</w:t>
            </w:r>
          </w:p>
        </w:tc>
        <w:tc>
          <w:tcPr>
            <w:tcW w:w="1118" w:type="dxa"/>
          </w:tcPr>
          <w:p>
            <w:pPr>
              <w:pStyle w:val="TableParagraph"/>
              <w:ind w:left="432"/>
              <w:rPr>
                <w:sz w:val="22"/>
              </w:rPr>
            </w:pPr>
            <w:r>
              <w:rPr>
                <w:sz w:val="22"/>
              </w:rPr>
              <w:t>35</w:t>
            </w:r>
          </w:p>
        </w:tc>
        <w:tc>
          <w:tcPr>
            <w:tcW w:w="1193" w:type="dxa"/>
          </w:tcPr>
          <w:p>
            <w:pPr>
              <w:pStyle w:val="TableParagraph"/>
              <w:ind w:left="0" w:right="528"/>
              <w:jc w:val="right"/>
              <w:rPr>
                <w:sz w:val="22"/>
              </w:rPr>
            </w:pPr>
            <w:r>
              <w:rPr>
                <w:w w:val="100"/>
                <w:sz w:val="22"/>
              </w:rPr>
              <w:t>9</w:t>
            </w:r>
          </w:p>
        </w:tc>
        <w:tc>
          <w:tcPr>
            <w:tcW w:w="1277" w:type="dxa"/>
          </w:tcPr>
          <w:p>
            <w:pPr>
              <w:pStyle w:val="TableParagraph"/>
              <w:ind w:left="338" w:right="338"/>
              <w:jc w:val="center"/>
              <w:rPr>
                <w:sz w:val="22"/>
              </w:rPr>
            </w:pPr>
            <w:r>
              <w:rPr>
                <w:sz w:val="22"/>
              </w:rPr>
              <w:t>0.500</w:t>
            </w:r>
          </w:p>
        </w:tc>
        <w:tc>
          <w:tcPr>
            <w:tcW w:w="1274" w:type="dxa"/>
          </w:tcPr>
          <w:p>
            <w:pPr>
              <w:pStyle w:val="TableParagraph"/>
              <w:ind w:left="295" w:right="98"/>
              <w:rPr>
                <w:sz w:val="22"/>
              </w:rPr>
            </w:pPr>
            <w:r>
              <w:rPr>
                <w:sz w:val="22"/>
              </w:rPr>
              <w:t>16.813</w:t>
            </w:r>
          </w:p>
        </w:tc>
      </w:tr>
      <w:tr>
        <w:trPr>
          <w:trHeight w:val="778" w:hRule="exact"/>
        </w:trPr>
        <w:tc>
          <w:tcPr>
            <w:tcW w:w="960" w:type="dxa"/>
            <w:vMerge/>
            <w:tcBorders>
              <w:bottom w:val="single" w:sz="12" w:space="0" w:color="000000"/>
            </w:tcBorders>
            <w:shd w:val="clear" w:color="auto" w:fill="F79546"/>
          </w:tcPr>
          <w:p>
            <w:pPr/>
          </w:p>
        </w:tc>
        <w:tc>
          <w:tcPr>
            <w:tcW w:w="754" w:type="dxa"/>
            <w:tcBorders>
              <w:bottom w:val="single" w:sz="12" w:space="0" w:color="000000"/>
            </w:tcBorders>
            <w:shd w:val="clear" w:color="auto" w:fill="F79546"/>
          </w:tcPr>
          <w:p>
            <w:pPr>
              <w:pStyle w:val="TableParagraph"/>
              <w:spacing w:line="251" w:lineRule="exact"/>
              <w:ind w:left="0" w:right="4"/>
              <w:jc w:val="center"/>
              <w:rPr>
                <w:sz w:val="22"/>
              </w:rPr>
            </w:pPr>
            <w:r>
              <w:rPr>
                <w:w w:val="100"/>
                <w:sz w:val="22"/>
              </w:rPr>
              <w:t>E</w:t>
            </w:r>
          </w:p>
        </w:tc>
        <w:tc>
          <w:tcPr>
            <w:tcW w:w="1656" w:type="dxa"/>
            <w:tcBorders>
              <w:bottom w:val="single" w:sz="12" w:space="0" w:color="000000"/>
            </w:tcBorders>
          </w:tcPr>
          <w:p>
            <w:pPr>
              <w:pStyle w:val="TableParagraph"/>
              <w:spacing w:line="251" w:lineRule="exact"/>
              <w:ind w:left="151"/>
              <w:rPr>
                <w:sz w:val="22"/>
              </w:rPr>
            </w:pPr>
            <w:r>
              <w:rPr>
                <w:sz w:val="22"/>
              </w:rPr>
              <w:t>Uso irracional</w:t>
            </w:r>
          </w:p>
        </w:tc>
        <w:tc>
          <w:tcPr>
            <w:tcW w:w="1244" w:type="dxa"/>
            <w:tcBorders>
              <w:bottom w:val="single" w:sz="12" w:space="0" w:color="000000"/>
            </w:tcBorders>
          </w:tcPr>
          <w:p>
            <w:pPr>
              <w:pStyle w:val="TableParagraph"/>
              <w:spacing w:line="251" w:lineRule="exact"/>
              <w:ind w:left="178" w:right="178"/>
              <w:jc w:val="center"/>
              <w:rPr>
                <w:sz w:val="22"/>
              </w:rPr>
            </w:pPr>
            <w:r>
              <w:rPr>
                <w:sz w:val="22"/>
              </w:rPr>
              <w:t>85</w:t>
            </w:r>
          </w:p>
        </w:tc>
        <w:tc>
          <w:tcPr>
            <w:tcW w:w="1193" w:type="dxa"/>
            <w:tcBorders>
              <w:bottom w:val="single" w:sz="12" w:space="0" w:color="000000"/>
            </w:tcBorders>
          </w:tcPr>
          <w:p>
            <w:pPr>
              <w:pStyle w:val="TableParagraph"/>
              <w:spacing w:line="251" w:lineRule="exact"/>
              <w:ind w:left="468"/>
              <w:rPr>
                <w:sz w:val="22"/>
              </w:rPr>
            </w:pPr>
            <w:r>
              <w:rPr>
                <w:sz w:val="22"/>
              </w:rPr>
              <w:t>70</w:t>
            </w:r>
          </w:p>
        </w:tc>
        <w:tc>
          <w:tcPr>
            <w:tcW w:w="1274" w:type="dxa"/>
            <w:tcBorders>
              <w:bottom w:val="single" w:sz="12" w:space="0" w:color="000000"/>
            </w:tcBorders>
          </w:tcPr>
          <w:p>
            <w:pPr>
              <w:pStyle w:val="TableParagraph"/>
              <w:spacing w:line="251" w:lineRule="exact"/>
              <w:ind w:left="93" w:right="91"/>
              <w:jc w:val="center"/>
              <w:rPr>
                <w:sz w:val="22"/>
              </w:rPr>
            </w:pPr>
            <w:r>
              <w:rPr>
                <w:sz w:val="22"/>
              </w:rPr>
              <w:t>0.0039062</w:t>
            </w:r>
          </w:p>
          <w:p>
            <w:pPr>
              <w:pStyle w:val="TableParagraph"/>
              <w:spacing w:before="126"/>
              <w:ind w:left="0"/>
              <w:jc w:val="center"/>
              <w:rPr>
                <w:sz w:val="22"/>
              </w:rPr>
            </w:pPr>
            <w:r>
              <w:rPr>
                <w:w w:val="100"/>
                <w:sz w:val="22"/>
              </w:rPr>
              <w:t>5</w:t>
            </w:r>
          </w:p>
        </w:tc>
        <w:tc>
          <w:tcPr>
            <w:tcW w:w="1277" w:type="dxa"/>
            <w:tcBorders>
              <w:bottom w:val="single" w:sz="12" w:space="0" w:color="000000"/>
            </w:tcBorders>
          </w:tcPr>
          <w:p>
            <w:pPr>
              <w:pStyle w:val="TableParagraph"/>
              <w:spacing w:line="251" w:lineRule="exact"/>
              <w:ind w:left="357" w:right="92"/>
              <w:rPr>
                <w:sz w:val="22"/>
              </w:rPr>
            </w:pPr>
            <w:r>
              <w:rPr>
                <w:sz w:val="22"/>
              </w:rPr>
              <w:t>0.087</w:t>
            </w:r>
          </w:p>
        </w:tc>
        <w:tc>
          <w:tcPr>
            <w:tcW w:w="1118" w:type="dxa"/>
            <w:tcBorders>
              <w:bottom w:val="single" w:sz="12" w:space="0" w:color="000000"/>
            </w:tcBorders>
          </w:tcPr>
          <w:p>
            <w:pPr>
              <w:pStyle w:val="TableParagraph"/>
              <w:spacing w:line="251" w:lineRule="exact"/>
              <w:ind w:left="432"/>
              <w:rPr>
                <w:sz w:val="22"/>
              </w:rPr>
            </w:pPr>
            <w:r>
              <w:rPr>
                <w:sz w:val="22"/>
              </w:rPr>
              <w:t>29</w:t>
            </w:r>
          </w:p>
        </w:tc>
        <w:tc>
          <w:tcPr>
            <w:tcW w:w="1193" w:type="dxa"/>
            <w:tcBorders>
              <w:bottom w:val="single" w:sz="12" w:space="0" w:color="000000"/>
            </w:tcBorders>
          </w:tcPr>
          <w:p>
            <w:pPr>
              <w:pStyle w:val="TableParagraph"/>
              <w:spacing w:line="251" w:lineRule="exact"/>
              <w:ind w:left="0" w:right="468"/>
              <w:jc w:val="right"/>
              <w:rPr>
                <w:sz w:val="22"/>
              </w:rPr>
            </w:pPr>
            <w:r>
              <w:rPr>
                <w:sz w:val="22"/>
              </w:rPr>
              <w:t>13</w:t>
            </w:r>
          </w:p>
        </w:tc>
        <w:tc>
          <w:tcPr>
            <w:tcW w:w="1277" w:type="dxa"/>
            <w:tcBorders>
              <w:bottom w:val="single" w:sz="12" w:space="0" w:color="000000"/>
            </w:tcBorders>
          </w:tcPr>
          <w:p>
            <w:pPr>
              <w:pStyle w:val="TableParagraph"/>
              <w:spacing w:line="251" w:lineRule="exact"/>
              <w:ind w:left="338" w:right="338"/>
              <w:jc w:val="center"/>
              <w:rPr>
                <w:sz w:val="22"/>
              </w:rPr>
            </w:pPr>
            <w:r>
              <w:rPr>
                <w:sz w:val="22"/>
              </w:rPr>
              <w:t>0.500</w:t>
            </w:r>
          </w:p>
        </w:tc>
        <w:tc>
          <w:tcPr>
            <w:tcW w:w="1274" w:type="dxa"/>
            <w:tcBorders>
              <w:bottom w:val="single" w:sz="12" w:space="0" w:color="000000"/>
            </w:tcBorders>
          </w:tcPr>
          <w:p>
            <w:pPr>
              <w:pStyle w:val="TableParagraph"/>
              <w:spacing w:line="251" w:lineRule="exact"/>
              <w:ind w:left="295" w:right="98"/>
              <w:rPr>
                <w:sz w:val="22"/>
              </w:rPr>
            </w:pPr>
            <w:r>
              <w:rPr>
                <w:sz w:val="22"/>
              </w:rPr>
              <w:t>16.813</w:t>
            </w:r>
          </w:p>
        </w:tc>
      </w:tr>
      <w:tr>
        <w:trPr>
          <w:trHeight w:val="780" w:hRule="exact"/>
        </w:trPr>
        <w:tc>
          <w:tcPr>
            <w:tcW w:w="960" w:type="dxa"/>
            <w:vMerge w:val="restart"/>
            <w:tcBorders>
              <w:top w:val="single" w:sz="12" w:space="0" w:color="000000"/>
            </w:tcBorders>
            <w:shd w:val="clear" w:color="auto" w:fill="4AACC5"/>
            <w:textDirection w:val="btLr"/>
          </w:tcPr>
          <w:p>
            <w:pPr>
              <w:pStyle w:val="TableParagraph"/>
              <w:spacing w:before="105"/>
              <w:ind w:left="1198" w:right="1196"/>
              <w:jc w:val="center"/>
              <w:rPr>
                <w:b/>
                <w:sz w:val="22"/>
              </w:rPr>
            </w:pPr>
            <w:r>
              <w:rPr>
                <w:b/>
                <w:spacing w:val="-1"/>
                <w:w w:val="100"/>
                <w:sz w:val="22"/>
              </w:rPr>
              <w:t>P</w:t>
            </w:r>
            <w:r>
              <w:rPr>
                <w:b/>
                <w:w w:val="100"/>
                <w:sz w:val="22"/>
              </w:rPr>
              <w:t>O</w:t>
            </w:r>
            <w:r>
              <w:rPr>
                <w:b/>
                <w:w w:val="100"/>
                <w:sz w:val="22"/>
              </w:rPr>
              <w:t>LÍ</w:t>
            </w:r>
            <w:r>
              <w:rPr>
                <w:b/>
                <w:spacing w:val="-3"/>
                <w:w w:val="100"/>
                <w:sz w:val="22"/>
              </w:rPr>
              <w:t>T</w:t>
            </w:r>
            <w:r>
              <w:rPr>
                <w:b/>
                <w:w w:val="100"/>
                <w:sz w:val="22"/>
              </w:rPr>
              <w:t>I</w:t>
            </w:r>
            <w:r>
              <w:rPr>
                <w:b/>
                <w:spacing w:val="-2"/>
                <w:w w:val="100"/>
                <w:sz w:val="22"/>
              </w:rPr>
              <w:t>C</w:t>
            </w:r>
            <w:r>
              <w:rPr>
                <w:b/>
                <w:w w:val="100"/>
                <w:sz w:val="22"/>
              </w:rPr>
              <w:t>A</w:t>
            </w:r>
          </w:p>
        </w:tc>
        <w:tc>
          <w:tcPr>
            <w:tcW w:w="754" w:type="dxa"/>
            <w:tcBorders>
              <w:top w:val="single" w:sz="12" w:space="0" w:color="000000"/>
            </w:tcBorders>
            <w:shd w:val="clear" w:color="auto" w:fill="4AACC5"/>
          </w:tcPr>
          <w:p>
            <w:pPr>
              <w:pStyle w:val="TableParagraph"/>
              <w:ind w:left="0" w:right="4"/>
              <w:jc w:val="center"/>
              <w:rPr>
                <w:sz w:val="22"/>
              </w:rPr>
            </w:pPr>
            <w:r>
              <w:rPr>
                <w:w w:val="100"/>
                <w:sz w:val="22"/>
              </w:rPr>
              <w:t>P</w:t>
            </w:r>
          </w:p>
        </w:tc>
        <w:tc>
          <w:tcPr>
            <w:tcW w:w="1656" w:type="dxa"/>
            <w:tcBorders>
              <w:top w:val="single" w:sz="12" w:space="0" w:color="000000"/>
            </w:tcBorders>
          </w:tcPr>
          <w:p>
            <w:pPr>
              <w:pStyle w:val="TableParagraph"/>
              <w:spacing w:line="360" w:lineRule="auto"/>
              <w:ind w:left="475" w:right="432" w:hanging="27"/>
              <w:rPr>
                <w:sz w:val="22"/>
              </w:rPr>
            </w:pPr>
            <w:r>
              <w:rPr>
                <w:sz w:val="22"/>
              </w:rPr>
              <w:t>Historia política</w:t>
            </w:r>
          </w:p>
        </w:tc>
        <w:tc>
          <w:tcPr>
            <w:tcW w:w="1244" w:type="dxa"/>
            <w:tcBorders>
              <w:top w:val="single" w:sz="12" w:space="0" w:color="000000"/>
            </w:tcBorders>
          </w:tcPr>
          <w:p>
            <w:pPr>
              <w:pStyle w:val="TableParagraph"/>
              <w:ind w:left="178" w:right="178"/>
              <w:jc w:val="center"/>
              <w:rPr>
                <w:sz w:val="22"/>
              </w:rPr>
            </w:pPr>
            <w:r>
              <w:rPr>
                <w:sz w:val="22"/>
              </w:rPr>
              <w:t>47</w:t>
            </w:r>
          </w:p>
        </w:tc>
        <w:tc>
          <w:tcPr>
            <w:tcW w:w="1193" w:type="dxa"/>
            <w:tcBorders>
              <w:top w:val="single" w:sz="12" w:space="0" w:color="000000"/>
            </w:tcBorders>
          </w:tcPr>
          <w:p>
            <w:pPr>
              <w:pStyle w:val="TableParagraph"/>
              <w:ind w:left="468"/>
              <w:rPr>
                <w:sz w:val="22"/>
              </w:rPr>
            </w:pPr>
            <w:r>
              <w:rPr>
                <w:sz w:val="22"/>
              </w:rPr>
              <w:t>97</w:t>
            </w:r>
          </w:p>
        </w:tc>
        <w:tc>
          <w:tcPr>
            <w:tcW w:w="1274" w:type="dxa"/>
            <w:tcBorders>
              <w:top w:val="single" w:sz="12" w:space="0" w:color="000000"/>
            </w:tcBorders>
          </w:tcPr>
          <w:p>
            <w:pPr>
              <w:pStyle w:val="TableParagraph"/>
              <w:ind w:left="93" w:right="91"/>
              <w:jc w:val="center"/>
              <w:rPr>
                <w:sz w:val="22"/>
              </w:rPr>
            </w:pPr>
            <w:r>
              <w:rPr>
                <w:sz w:val="22"/>
              </w:rPr>
              <w:t>0.0002441</w:t>
            </w:r>
          </w:p>
          <w:p>
            <w:pPr>
              <w:pStyle w:val="TableParagraph"/>
              <w:spacing w:before="126"/>
              <w:ind w:left="105" w:right="105"/>
              <w:jc w:val="center"/>
              <w:rPr>
                <w:sz w:val="22"/>
              </w:rPr>
            </w:pPr>
            <w:r>
              <w:rPr>
                <w:sz w:val="22"/>
              </w:rPr>
              <w:t>406</w:t>
            </w:r>
          </w:p>
        </w:tc>
        <w:tc>
          <w:tcPr>
            <w:tcW w:w="1277" w:type="dxa"/>
            <w:tcBorders>
              <w:top w:val="single" w:sz="12" w:space="0" w:color="000000"/>
            </w:tcBorders>
          </w:tcPr>
          <w:p>
            <w:pPr>
              <w:pStyle w:val="TableParagraph"/>
              <w:ind w:left="357" w:right="92"/>
              <w:rPr>
                <w:sz w:val="22"/>
              </w:rPr>
            </w:pPr>
            <w:r>
              <w:rPr>
                <w:sz w:val="22"/>
              </w:rPr>
              <w:t>0.007</w:t>
            </w:r>
          </w:p>
        </w:tc>
        <w:tc>
          <w:tcPr>
            <w:tcW w:w="1118" w:type="dxa"/>
            <w:tcBorders>
              <w:top w:val="single" w:sz="12" w:space="0" w:color="000000"/>
            </w:tcBorders>
          </w:tcPr>
          <w:p>
            <w:pPr>
              <w:pStyle w:val="TableParagraph"/>
              <w:ind w:left="432"/>
              <w:rPr>
                <w:sz w:val="22"/>
              </w:rPr>
            </w:pPr>
            <w:r>
              <w:rPr>
                <w:sz w:val="22"/>
              </w:rPr>
              <w:t>43</w:t>
            </w:r>
          </w:p>
        </w:tc>
        <w:tc>
          <w:tcPr>
            <w:tcW w:w="1193" w:type="dxa"/>
            <w:tcBorders>
              <w:top w:val="single" w:sz="12" w:space="0" w:color="000000"/>
            </w:tcBorders>
          </w:tcPr>
          <w:p>
            <w:pPr>
              <w:pStyle w:val="TableParagraph"/>
              <w:ind w:left="0" w:right="528"/>
              <w:jc w:val="right"/>
              <w:rPr>
                <w:sz w:val="22"/>
              </w:rPr>
            </w:pPr>
            <w:r>
              <w:rPr>
                <w:w w:val="100"/>
                <w:sz w:val="22"/>
              </w:rPr>
              <w:t>1</w:t>
            </w:r>
          </w:p>
        </w:tc>
        <w:tc>
          <w:tcPr>
            <w:tcW w:w="1277" w:type="dxa"/>
            <w:tcBorders>
              <w:top w:val="single" w:sz="12" w:space="0" w:color="000000"/>
            </w:tcBorders>
          </w:tcPr>
          <w:p>
            <w:pPr>
              <w:pStyle w:val="TableParagraph"/>
              <w:ind w:left="338" w:right="337"/>
              <w:jc w:val="center"/>
              <w:rPr>
                <w:sz w:val="22"/>
              </w:rPr>
            </w:pPr>
            <w:r>
              <w:rPr>
                <w:sz w:val="22"/>
              </w:rPr>
              <w:t>1.00</w:t>
            </w:r>
          </w:p>
        </w:tc>
        <w:tc>
          <w:tcPr>
            <w:tcW w:w="1274" w:type="dxa"/>
            <w:tcBorders>
              <w:top w:val="single" w:sz="12" w:space="0" w:color="000000"/>
            </w:tcBorders>
          </w:tcPr>
          <w:p>
            <w:pPr>
              <w:pStyle w:val="TableParagraph"/>
              <w:ind w:left="295" w:right="98"/>
              <w:rPr>
                <w:sz w:val="22"/>
              </w:rPr>
            </w:pPr>
            <w:r>
              <w:rPr>
                <w:sz w:val="22"/>
              </w:rPr>
              <w:t>18.188</w:t>
            </w:r>
          </w:p>
        </w:tc>
      </w:tr>
      <w:tr>
        <w:trPr>
          <w:trHeight w:val="768" w:hRule="exact"/>
        </w:trPr>
        <w:tc>
          <w:tcPr>
            <w:tcW w:w="960" w:type="dxa"/>
            <w:vMerge/>
            <w:shd w:val="clear" w:color="auto" w:fill="4AACC5"/>
            <w:textDirection w:val="btLr"/>
          </w:tcPr>
          <w:p>
            <w:pPr/>
          </w:p>
        </w:tc>
        <w:tc>
          <w:tcPr>
            <w:tcW w:w="754" w:type="dxa"/>
            <w:shd w:val="clear" w:color="auto" w:fill="4AACC5"/>
          </w:tcPr>
          <w:p>
            <w:pPr>
              <w:pStyle w:val="TableParagraph"/>
              <w:spacing w:line="251" w:lineRule="exact"/>
              <w:ind w:left="0" w:right="4"/>
              <w:jc w:val="center"/>
              <w:rPr>
                <w:sz w:val="22"/>
              </w:rPr>
            </w:pPr>
            <w:r>
              <w:rPr>
                <w:w w:val="100"/>
                <w:sz w:val="22"/>
              </w:rPr>
              <w:t>P</w:t>
            </w:r>
          </w:p>
        </w:tc>
        <w:tc>
          <w:tcPr>
            <w:tcW w:w="1656" w:type="dxa"/>
          </w:tcPr>
          <w:p>
            <w:pPr>
              <w:pStyle w:val="TableParagraph"/>
              <w:spacing w:line="251" w:lineRule="exact"/>
              <w:ind w:left="148"/>
              <w:rPr>
                <w:sz w:val="22"/>
              </w:rPr>
            </w:pPr>
            <w:r>
              <w:rPr>
                <w:sz w:val="22"/>
              </w:rPr>
              <w:t>Poder político</w:t>
            </w:r>
          </w:p>
        </w:tc>
        <w:tc>
          <w:tcPr>
            <w:tcW w:w="1244" w:type="dxa"/>
          </w:tcPr>
          <w:p>
            <w:pPr>
              <w:pStyle w:val="TableParagraph"/>
              <w:spacing w:line="251" w:lineRule="exact"/>
              <w:ind w:left="178" w:right="178"/>
              <w:jc w:val="center"/>
              <w:rPr>
                <w:sz w:val="22"/>
              </w:rPr>
            </w:pPr>
            <w:r>
              <w:rPr>
                <w:sz w:val="22"/>
              </w:rPr>
              <w:t>40</w:t>
            </w:r>
          </w:p>
        </w:tc>
        <w:tc>
          <w:tcPr>
            <w:tcW w:w="1193" w:type="dxa"/>
          </w:tcPr>
          <w:p>
            <w:pPr>
              <w:pStyle w:val="TableParagraph"/>
              <w:spacing w:line="251" w:lineRule="exact"/>
              <w:ind w:left="408"/>
              <w:rPr>
                <w:sz w:val="22"/>
              </w:rPr>
            </w:pPr>
            <w:r>
              <w:rPr>
                <w:sz w:val="22"/>
              </w:rPr>
              <w:t>102</w:t>
            </w:r>
          </w:p>
        </w:tc>
        <w:tc>
          <w:tcPr>
            <w:tcW w:w="1274" w:type="dxa"/>
          </w:tcPr>
          <w:p>
            <w:pPr>
              <w:pStyle w:val="TableParagraph"/>
              <w:spacing w:line="251" w:lineRule="exact"/>
              <w:ind w:left="93" w:right="91"/>
              <w:jc w:val="center"/>
              <w:rPr>
                <w:sz w:val="22"/>
              </w:rPr>
            </w:pPr>
            <w:r>
              <w:rPr>
                <w:sz w:val="22"/>
              </w:rPr>
              <w:t>0.0002441</w:t>
            </w:r>
          </w:p>
          <w:p>
            <w:pPr>
              <w:pStyle w:val="TableParagraph"/>
              <w:spacing w:before="126"/>
              <w:ind w:left="105" w:right="105"/>
              <w:jc w:val="center"/>
              <w:rPr>
                <w:sz w:val="22"/>
              </w:rPr>
            </w:pPr>
            <w:r>
              <w:rPr>
                <w:sz w:val="22"/>
              </w:rPr>
              <w:t>406</w:t>
            </w:r>
          </w:p>
        </w:tc>
        <w:tc>
          <w:tcPr>
            <w:tcW w:w="1277" w:type="dxa"/>
          </w:tcPr>
          <w:p>
            <w:pPr>
              <w:pStyle w:val="TableParagraph"/>
              <w:spacing w:line="251" w:lineRule="exact"/>
              <w:ind w:left="357" w:right="92"/>
              <w:rPr>
                <w:sz w:val="22"/>
              </w:rPr>
            </w:pPr>
            <w:r>
              <w:rPr>
                <w:sz w:val="22"/>
              </w:rPr>
              <w:t>0.007</w:t>
            </w:r>
          </w:p>
        </w:tc>
        <w:tc>
          <w:tcPr>
            <w:tcW w:w="1118" w:type="dxa"/>
          </w:tcPr>
          <w:p>
            <w:pPr>
              <w:pStyle w:val="TableParagraph"/>
              <w:spacing w:line="251" w:lineRule="exact"/>
              <w:ind w:left="432"/>
              <w:rPr>
                <w:sz w:val="22"/>
              </w:rPr>
            </w:pPr>
            <w:r>
              <w:rPr>
                <w:sz w:val="22"/>
              </w:rPr>
              <w:t>38</w:t>
            </w:r>
          </w:p>
        </w:tc>
        <w:tc>
          <w:tcPr>
            <w:tcW w:w="1193" w:type="dxa"/>
          </w:tcPr>
          <w:p>
            <w:pPr>
              <w:pStyle w:val="TableParagraph"/>
              <w:spacing w:line="251" w:lineRule="exact"/>
              <w:ind w:left="0" w:right="528"/>
              <w:jc w:val="right"/>
              <w:rPr>
                <w:sz w:val="22"/>
              </w:rPr>
            </w:pPr>
            <w:r>
              <w:rPr>
                <w:w w:val="100"/>
                <w:sz w:val="22"/>
              </w:rPr>
              <w:t>5</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18.188</w:t>
            </w:r>
          </w:p>
        </w:tc>
      </w:tr>
      <w:tr>
        <w:trPr>
          <w:trHeight w:val="771" w:hRule="exact"/>
        </w:trPr>
        <w:tc>
          <w:tcPr>
            <w:tcW w:w="960" w:type="dxa"/>
            <w:vMerge/>
            <w:shd w:val="clear" w:color="auto" w:fill="4AACC5"/>
            <w:textDirection w:val="btLr"/>
          </w:tcPr>
          <w:p>
            <w:pPr/>
          </w:p>
        </w:tc>
        <w:tc>
          <w:tcPr>
            <w:tcW w:w="754" w:type="dxa"/>
            <w:shd w:val="clear" w:color="auto" w:fill="4AACC5"/>
          </w:tcPr>
          <w:p>
            <w:pPr>
              <w:pStyle w:val="TableParagraph"/>
              <w:spacing w:line="251" w:lineRule="exact"/>
              <w:ind w:left="0" w:right="4"/>
              <w:jc w:val="center"/>
              <w:rPr>
                <w:sz w:val="22"/>
              </w:rPr>
            </w:pPr>
            <w:r>
              <w:rPr>
                <w:w w:val="100"/>
                <w:sz w:val="22"/>
              </w:rPr>
              <w:t>P</w:t>
            </w:r>
          </w:p>
        </w:tc>
        <w:tc>
          <w:tcPr>
            <w:tcW w:w="1656" w:type="dxa"/>
          </w:tcPr>
          <w:p>
            <w:pPr>
              <w:pStyle w:val="TableParagraph"/>
              <w:spacing w:line="362" w:lineRule="auto"/>
              <w:ind w:left="475" w:right="450" w:hanging="8"/>
              <w:rPr>
                <w:sz w:val="22"/>
              </w:rPr>
            </w:pPr>
            <w:r>
              <w:rPr>
                <w:sz w:val="22"/>
              </w:rPr>
              <w:t>Cultura política</w:t>
            </w:r>
          </w:p>
        </w:tc>
        <w:tc>
          <w:tcPr>
            <w:tcW w:w="1244" w:type="dxa"/>
          </w:tcPr>
          <w:p>
            <w:pPr>
              <w:pStyle w:val="TableParagraph"/>
              <w:spacing w:line="251" w:lineRule="exact"/>
              <w:ind w:left="178" w:right="178"/>
              <w:jc w:val="center"/>
              <w:rPr>
                <w:sz w:val="22"/>
              </w:rPr>
            </w:pPr>
            <w:r>
              <w:rPr>
                <w:sz w:val="22"/>
              </w:rPr>
              <w:t>49</w:t>
            </w:r>
          </w:p>
        </w:tc>
        <w:tc>
          <w:tcPr>
            <w:tcW w:w="1193" w:type="dxa"/>
          </w:tcPr>
          <w:p>
            <w:pPr>
              <w:pStyle w:val="TableParagraph"/>
              <w:spacing w:line="251" w:lineRule="exact"/>
              <w:ind w:left="468"/>
              <w:rPr>
                <w:sz w:val="22"/>
              </w:rPr>
            </w:pPr>
            <w:r>
              <w:rPr>
                <w:sz w:val="22"/>
              </w:rPr>
              <w:t>95</w:t>
            </w:r>
          </w:p>
        </w:tc>
        <w:tc>
          <w:tcPr>
            <w:tcW w:w="1274" w:type="dxa"/>
          </w:tcPr>
          <w:p>
            <w:pPr>
              <w:pStyle w:val="TableParagraph"/>
              <w:spacing w:line="251" w:lineRule="exact"/>
              <w:ind w:left="93" w:right="91"/>
              <w:jc w:val="center"/>
              <w:rPr>
                <w:sz w:val="22"/>
              </w:rPr>
            </w:pPr>
            <w:r>
              <w:rPr>
                <w:sz w:val="22"/>
              </w:rPr>
              <w:t>0.0002441</w:t>
            </w:r>
          </w:p>
          <w:p>
            <w:pPr>
              <w:pStyle w:val="TableParagraph"/>
              <w:spacing w:before="128"/>
              <w:ind w:left="105" w:right="105"/>
              <w:jc w:val="center"/>
              <w:rPr>
                <w:sz w:val="22"/>
              </w:rPr>
            </w:pPr>
            <w:r>
              <w:rPr>
                <w:sz w:val="22"/>
              </w:rPr>
              <w:t>406</w:t>
            </w:r>
          </w:p>
        </w:tc>
        <w:tc>
          <w:tcPr>
            <w:tcW w:w="1277" w:type="dxa"/>
          </w:tcPr>
          <w:p>
            <w:pPr>
              <w:pStyle w:val="TableParagraph"/>
              <w:spacing w:line="251" w:lineRule="exact"/>
              <w:ind w:left="357" w:right="92"/>
              <w:rPr>
                <w:sz w:val="22"/>
              </w:rPr>
            </w:pPr>
            <w:r>
              <w:rPr>
                <w:sz w:val="22"/>
              </w:rPr>
              <w:t>0.007</w:t>
            </w:r>
          </w:p>
        </w:tc>
        <w:tc>
          <w:tcPr>
            <w:tcW w:w="1118" w:type="dxa"/>
          </w:tcPr>
          <w:p>
            <w:pPr>
              <w:pStyle w:val="TableParagraph"/>
              <w:spacing w:line="251" w:lineRule="exact"/>
              <w:ind w:left="432"/>
              <w:rPr>
                <w:sz w:val="22"/>
              </w:rPr>
            </w:pPr>
            <w:r>
              <w:rPr>
                <w:sz w:val="22"/>
              </w:rPr>
              <w:t>41</w:t>
            </w:r>
          </w:p>
        </w:tc>
        <w:tc>
          <w:tcPr>
            <w:tcW w:w="1193" w:type="dxa"/>
          </w:tcPr>
          <w:p>
            <w:pPr>
              <w:pStyle w:val="TableParagraph"/>
              <w:spacing w:line="251" w:lineRule="exact"/>
              <w:ind w:left="0" w:right="528"/>
              <w:jc w:val="right"/>
              <w:rPr>
                <w:sz w:val="22"/>
              </w:rPr>
            </w:pPr>
            <w:r>
              <w:rPr>
                <w:w w:val="100"/>
                <w:sz w:val="22"/>
              </w:rPr>
              <w:t>2</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18.188</w:t>
            </w:r>
          </w:p>
        </w:tc>
      </w:tr>
      <w:tr>
        <w:trPr>
          <w:trHeight w:val="768" w:hRule="exact"/>
        </w:trPr>
        <w:tc>
          <w:tcPr>
            <w:tcW w:w="960" w:type="dxa"/>
            <w:vMerge/>
            <w:shd w:val="clear" w:color="auto" w:fill="4AACC5"/>
            <w:textDirection w:val="btLr"/>
          </w:tcPr>
          <w:p>
            <w:pPr/>
          </w:p>
        </w:tc>
        <w:tc>
          <w:tcPr>
            <w:tcW w:w="754" w:type="dxa"/>
            <w:shd w:val="clear" w:color="auto" w:fill="4AACC5"/>
          </w:tcPr>
          <w:p>
            <w:pPr>
              <w:pStyle w:val="TableParagraph"/>
              <w:spacing w:line="251" w:lineRule="exact"/>
              <w:ind w:left="0" w:right="4"/>
              <w:jc w:val="center"/>
              <w:rPr>
                <w:sz w:val="22"/>
              </w:rPr>
            </w:pPr>
            <w:r>
              <w:rPr>
                <w:w w:val="100"/>
                <w:sz w:val="22"/>
              </w:rPr>
              <w:t>P</w:t>
            </w:r>
          </w:p>
        </w:tc>
        <w:tc>
          <w:tcPr>
            <w:tcW w:w="1656" w:type="dxa"/>
          </w:tcPr>
          <w:p>
            <w:pPr>
              <w:pStyle w:val="TableParagraph"/>
              <w:spacing w:line="360" w:lineRule="auto"/>
              <w:ind w:left="163" w:right="133" w:hanging="15"/>
              <w:rPr>
                <w:sz w:val="22"/>
              </w:rPr>
            </w:pPr>
            <w:r>
              <w:rPr>
                <w:sz w:val="22"/>
              </w:rPr>
              <w:t>Democracia y voluntariedad</w:t>
            </w:r>
          </w:p>
        </w:tc>
        <w:tc>
          <w:tcPr>
            <w:tcW w:w="1244" w:type="dxa"/>
          </w:tcPr>
          <w:p>
            <w:pPr>
              <w:pStyle w:val="TableParagraph"/>
              <w:spacing w:line="251" w:lineRule="exact"/>
              <w:ind w:left="178" w:right="178"/>
              <w:jc w:val="center"/>
              <w:rPr>
                <w:sz w:val="22"/>
              </w:rPr>
            </w:pPr>
            <w:r>
              <w:rPr>
                <w:sz w:val="22"/>
              </w:rPr>
              <w:t>45</w:t>
            </w:r>
          </w:p>
        </w:tc>
        <w:tc>
          <w:tcPr>
            <w:tcW w:w="1193" w:type="dxa"/>
          </w:tcPr>
          <w:p>
            <w:pPr>
              <w:pStyle w:val="TableParagraph"/>
              <w:spacing w:line="251" w:lineRule="exact"/>
              <w:ind w:left="468"/>
              <w:rPr>
                <w:sz w:val="22"/>
              </w:rPr>
            </w:pPr>
            <w:r>
              <w:rPr>
                <w:sz w:val="22"/>
              </w:rPr>
              <w:t>98</w:t>
            </w:r>
          </w:p>
        </w:tc>
        <w:tc>
          <w:tcPr>
            <w:tcW w:w="1274" w:type="dxa"/>
          </w:tcPr>
          <w:p>
            <w:pPr>
              <w:pStyle w:val="TableParagraph"/>
              <w:spacing w:line="251" w:lineRule="exact"/>
              <w:ind w:left="93" w:right="91"/>
              <w:jc w:val="center"/>
              <w:rPr>
                <w:sz w:val="22"/>
              </w:rPr>
            </w:pPr>
            <w:r>
              <w:rPr>
                <w:sz w:val="22"/>
              </w:rPr>
              <w:t>0.0002441</w:t>
            </w:r>
          </w:p>
          <w:p>
            <w:pPr>
              <w:pStyle w:val="TableParagraph"/>
              <w:spacing w:before="126"/>
              <w:ind w:left="105" w:right="105"/>
              <w:jc w:val="center"/>
              <w:rPr>
                <w:sz w:val="22"/>
              </w:rPr>
            </w:pPr>
            <w:r>
              <w:rPr>
                <w:sz w:val="22"/>
              </w:rPr>
              <w:t>406</w:t>
            </w:r>
          </w:p>
        </w:tc>
        <w:tc>
          <w:tcPr>
            <w:tcW w:w="1277" w:type="dxa"/>
          </w:tcPr>
          <w:p>
            <w:pPr>
              <w:pStyle w:val="TableParagraph"/>
              <w:spacing w:line="251" w:lineRule="exact"/>
              <w:ind w:left="357" w:right="92"/>
              <w:rPr>
                <w:sz w:val="22"/>
              </w:rPr>
            </w:pPr>
            <w:r>
              <w:rPr>
                <w:sz w:val="22"/>
              </w:rPr>
              <w:t>0.007</w:t>
            </w:r>
          </w:p>
        </w:tc>
        <w:tc>
          <w:tcPr>
            <w:tcW w:w="1118" w:type="dxa"/>
          </w:tcPr>
          <w:p>
            <w:pPr>
              <w:pStyle w:val="TableParagraph"/>
              <w:spacing w:line="251" w:lineRule="exact"/>
              <w:ind w:left="432"/>
              <w:rPr>
                <w:sz w:val="22"/>
              </w:rPr>
            </w:pPr>
            <w:r>
              <w:rPr>
                <w:sz w:val="22"/>
              </w:rPr>
              <w:t>40</w:t>
            </w:r>
          </w:p>
        </w:tc>
        <w:tc>
          <w:tcPr>
            <w:tcW w:w="1193" w:type="dxa"/>
          </w:tcPr>
          <w:p>
            <w:pPr>
              <w:pStyle w:val="TableParagraph"/>
              <w:spacing w:line="251" w:lineRule="exact"/>
              <w:ind w:left="0" w:right="528"/>
              <w:jc w:val="right"/>
              <w:rPr>
                <w:sz w:val="22"/>
              </w:rPr>
            </w:pPr>
            <w:r>
              <w:rPr>
                <w:w w:val="100"/>
                <w:sz w:val="22"/>
              </w:rPr>
              <w:t>3</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18.188</w:t>
            </w:r>
          </w:p>
        </w:tc>
      </w:tr>
      <w:tr>
        <w:trPr>
          <w:trHeight w:val="391" w:hRule="exact"/>
        </w:trPr>
        <w:tc>
          <w:tcPr>
            <w:tcW w:w="960" w:type="dxa"/>
            <w:vMerge/>
            <w:shd w:val="clear" w:color="auto" w:fill="4AACC5"/>
            <w:textDirection w:val="btLr"/>
          </w:tcPr>
          <w:p>
            <w:pPr/>
          </w:p>
        </w:tc>
        <w:tc>
          <w:tcPr>
            <w:tcW w:w="754" w:type="dxa"/>
            <w:shd w:val="clear" w:color="auto" w:fill="4AACC5"/>
          </w:tcPr>
          <w:p>
            <w:pPr>
              <w:pStyle w:val="TableParagraph"/>
              <w:spacing w:line="251" w:lineRule="exact"/>
              <w:ind w:left="0" w:right="4"/>
              <w:jc w:val="center"/>
              <w:rPr>
                <w:sz w:val="22"/>
              </w:rPr>
            </w:pPr>
            <w:r>
              <w:rPr>
                <w:w w:val="100"/>
                <w:sz w:val="22"/>
              </w:rPr>
              <w:t>P</w:t>
            </w:r>
          </w:p>
        </w:tc>
        <w:tc>
          <w:tcPr>
            <w:tcW w:w="1656" w:type="dxa"/>
          </w:tcPr>
          <w:p>
            <w:pPr>
              <w:pStyle w:val="TableParagraph"/>
              <w:spacing w:line="251" w:lineRule="exact"/>
              <w:ind w:left="192" w:right="133"/>
              <w:rPr>
                <w:sz w:val="22"/>
              </w:rPr>
            </w:pPr>
            <w:r>
              <w:rPr>
                <w:sz w:val="22"/>
              </w:rPr>
              <w:t>Participación</w:t>
            </w:r>
          </w:p>
        </w:tc>
        <w:tc>
          <w:tcPr>
            <w:tcW w:w="1244" w:type="dxa"/>
          </w:tcPr>
          <w:p>
            <w:pPr>
              <w:pStyle w:val="TableParagraph"/>
              <w:spacing w:line="251" w:lineRule="exact"/>
              <w:ind w:left="178" w:right="178"/>
              <w:jc w:val="center"/>
              <w:rPr>
                <w:sz w:val="22"/>
              </w:rPr>
            </w:pPr>
            <w:r>
              <w:rPr>
                <w:sz w:val="22"/>
              </w:rPr>
              <w:t>44</w:t>
            </w:r>
          </w:p>
        </w:tc>
        <w:tc>
          <w:tcPr>
            <w:tcW w:w="1193" w:type="dxa"/>
          </w:tcPr>
          <w:p>
            <w:pPr>
              <w:pStyle w:val="TableParagraph"/>
              <w:spacing w:line="251" w:lineRule="exact"/>
              <w:ind w:left="468"/>
              <w:rPr>
                <w:sz w:val="22"/>
              </w:rPr>
            </w:pPr>
            <w:r>
              <w:rPr>
                <w:sz w:val="22"/>
              </w:rPr>
              <w:t>99</w:t>
            </w:r>
          </w:p>
        </w:tc>
        <w:tc>
          <w:tcPr>
            <w:tcW w:w="1274" w:type="dxa"/>
          </w:tcPr>
          <w:p>
            <w:pPr>
              <w:pStyle w:val="TableParagraph"/>
              <w:spacing w:line="251" w:lineRule="exact"/>
              <w:ind w:left="112"/>
              <w:rPr>
                <w:sz w:val="22"/>
              </w:rPr>
            </w:pPr>
            <w:r>
              <w:rPr>
                <w:sz w:val="22"/>
              </w:rPr>
              <w:t>0.0002441</w:t>
            </w:r>
          </w:p>
        </w:tc>
        <w:tc>
          <w:tcPr>
            <w:tcW w:w="1277" w:type="dxa"/>
          </w:tcPr>
          <w:p>
            <w:pPr>
              <w:pStyle w:val="TableParagraph"/>
              <w:spacing w:line="251" w:lineRule="exact"/>
              <w:ind w:left="357" w:right="92"/>
              <w:rPr>
                <w:sz w:val="22"/>
              </w:rPr>
            </w:pPr>
            <w:r>
              <w:rPr>
                <w:sz w:val="22"/>
              </w:rPr>
              <w:t>0.007</w:t>
            </w:r>
          </w:p>
        </w:tc>
        <w:tc>
          <w:tcPr>
            <w:tcW w:w="1118" w:type="dxa"/>
          </w:tcPr>
          <w:p>
            <w:pPr>
              <w:pStyle w:val="TableParagraph"/>
              <w:spacing w:line="251" w:lineRule="exact"/>
              <w:ind w:left="432"/>
              <w:rPr>
                <w:sz w:val="22"/>
              </w:rPr>
            </w:pPr>
            <w:r>
              <w:rPr>
                <w:sz w:val="22"/>
              </w:rPr>
              <w:t>39</w:t>
            </w:r>
          </w:p>
        </w:tc>
        <w:tc>
          <w:tcPr>
            <w:tcW w:w="1193" w:type="dxa"/>
          </w:tcPr>
          <w:p>
            <w:pPr>
              <w:pStyle w:val="TableParagraph"/>
              <w:spacing w:line="251" w:lineRule="exact"/>
              <w:ind w:left="0" w:right="528"/>
              <w:jc w:val="right"/>
              <w:rPr>
                <w:sz w:val="22"/>
              </w:rPr>
            </w:pPr>
            <w:r>
              <w:rPr>
                <w:w w:val="100"/>
                <w:sz w:val="22"/>
              </w:rPr>
              <w:t>4</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18.188</w:t>
            </w:r>
          </w:p>
        </w:tc>
      </w:tr>
    </w:tbl>
    <w:p>
      <w:pPr>
        <w:spacing w:after="0" w:line="251" w:lineRule="exact"/>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752"/>
        <w:gridCol w:w="1657"/>
        <w:gridCol w:w="1244"/>
        <w:gridCol w:w="1193"/>
        <w:gridCol w:w="1274"/>
        <w:gridCol w:w="1277"/>
        <w:gridCol w:w="1118"/>
        <w:gridCol w:w="1193"/>
        <w:gridCol w:w="1277"/>
        <w:gridCol w:w="1274"/>
      </w:tblGrid>
      <w:tr>
        <w:trPr>
          <w:trHeight w:val="389" w:hRule="exact"/>
        </w:trPr>
        <w:tc>
          <w:tcPr>
            <w:tcW w:w="960" w:type="dxa"/>
            <w:vMerge w:val="restart"/>
            <w:shd w:val="clear" w:color="auto" w:fill="4AACC5"/>
          </w:tcPr>
          <w:p>
            <w:pPr/>
          </w:p>
        </w:tc>
        <w:tc>
          <w:tcPr>
            <w:tcW w:w="752" w:type="dxa"/>
            <w:shd w:val="clear" w:color="auto" w:fill="4AACC5"/>
          </w:tcPr>
          <w:p>
            <w:pPr/>
          </w:p>
        </w:tc>
        <w:tc>
          <w:tcPr>
            <w:tcW w:w="1657" w:type="dxa"/>
          </w:tcPr>
          <w:p>
            <w:pPr>
              <w:pStyle w:val="TableParagraph"/>
              <w:spacing w:line="251" w:lineRule="exact"/>
              <w:ind w:left="353" w:right="133"/>
              <w:rPr>
                <w:sz w:val="22"/>
              </w:rPr>
            </w:pPr>
            <w:r>
              <w:rPr>
                <w:sz w:val="22"/>
              </w:rPr>
              <w:t>política_1</w:t>
            </w:r>
          </w:p>
        </w:tc>
        <w:tc>
          <w:tcPr>
            <w:tcW w:w="1244" w:type="dxa"/>
          </w:tcPr>
          <w:p>
            <w:pPr/>
          </w:p>
        </w:tc>
        <w:tc>
          <w:tcPr>
            <w:tcW w:w="1193" w:type="dxa"/>
          </w:tcPr>
          <w:p>
            <w:pPr/>
          </w:p>
        </w:tc>
        <w:tc>
          <w:tcPr>
            <w:tcW w:w="1274" w:type="dxa"/>
          </w:tcPr>
          <w:p>
            <w:pPr>
              <w:pStyle w:val="TableParagraph"/>
              <w:spacing w:line="251" w:lineRule="exact"/>
              <w:ind w:left="105" w:right="105"/>
              <w:jc w:val="center"/>
              <w:rPr>
                <w:sz w:val="22"/>
              </w:rPr>
            </w:pPr>
            <w:r>
              <w:rPr>
                <w:sz w:val="22"/>
              </w:rPr>
              <w:t>406</w:t>
            </w:r>
          </w:p>
        </w:tc>
        <w:tc>
          <w:tcPr>
            <w:tcW w:w="1277" w:type="dxa"/>
          </w:tcPr>
          <w:p>
            <w:pPr/>
          </w:p>
        </w:tc>
        <w:tc>
          <w:tcPr>
            <w:tcW w:w="1118" w:type="dxa"/>
          </w:tcPr>
          <w:p>
            <w:pPr/>
          </w:p>
        </w:tc>
        <w:tc>
          <w:tcPr>
            <w:tcW w:w="1193" w:type="dxa"/>
          </w:tcPr>
          <w:p>
            <w:pPr/>
          </w:p>
        </w:tc>
        <w:tc>
          <w:tcPr>
            <w:tcW w:w="1277" w:type="dxa"/>
          </w:tcPr>
          <w:p>
            <w:pPr/>
          </w:p>
        </w:tc>
        <w:tc>
          <w:tcPr>
            <w:tcW w:w="1274" w:type="dxa"/>
          </w:tcPr>
          <w:p>
            <w:pPr/>
          </w:p>
        </w:tc>
      </w:tr>
      <w:tr>
        <w:trPr>
          <w:trHeight w:val="1150" w:hRule="exact"/>
        </w:trPr>
        <w:tc>
          <w:tcPr>
            <w:tcW w:w="960" w:type="dxa"/>
            <w:vMerge/>
            <w:shd w:val="clear" w:color="auto" w:fill="4AACC5"/>
          </w:tcPr>
          <w:p>
            <w:pPr/>
          </w:p>
        </w:tc>
        <w:tc>
          <w:tcPr>
            <w:tcW w:w="752" w:type="dxa"/>
            <w:shd w:val="clear" w:color="auto" w:fill="4AACC5"/>
          </w:tcPr>
          <w:p>
            <w:pPr>
              <w:pStyle w:val="TableParagraph"/>
              <w:spacing w:line="251" w:lineRule="exact"/>
              <w:ind w:left="295"/>
              <w:rPr>
                <w:sz w:val="22"/>
              </w:rPr>
            </w:pPr>
            <w:r>
              <w:rPr>
                <w:w w:val="100"/>
                <w:sz w:val="22"/>
              </w:rPr>
              <w:t>P</w:t>
            </w:r>
          </w:p>
        </w:tc>
        <w:tc>
          <w:tcPr>
            <w:tcW w:w="1657" w:type="dxa"/>
          </w:tcPr>
          <w:p>
            <w:pPr>
              <w:pStyle w:val="TableParagraph"/>
              <w:spacing w:line="360" w:lineRule="auto"/>
              <w:ind w:left="145" w:right="141" w:hanging="3"/>
              <w:jc w:val="center"/>
              <w:rPr>
                <w:sz w:val="22"/>
              </w:rPr>
            </w:pPr>
            <w:r>
              <w:rPr>
                <w:sz w:val="22"/>
              </w:rPr>
              <w:t>Relaciones intermunicipal es</w:t>
            </w:r>
          </w:p>
        </w:tc>
        <w:tc>
          <w:tcPr>
            <w:tcW w:w="1244" w:type="dxa"/>
          </w:tcPr>
          <w:p>
            <w:pPr>
              <w:pStyle w:val="TableParagraph"/>
              <w:spacing w:line="251" w:lineRule="exact"/>
              <w:ind w:left="178" w:right="178"/>
              <w:jc w:val="center"/>
              <w:rPr>
                <w:sz w:val="22"/>
              </w:rPr>
            </w:pPr>
            <w:r>
              <w:rPr>
                <w:sz w:val="22"/>
              </w:rPr>
              <w:t>42</w:t>
            </w:r>
          </w:p>
        </w:tc>
        <w:tc>
          <w:tcPr>
            <w:tcW w:w="1193" w:type="dxa"/>
          </w:tcPr>
          <w:p>
            <w:pPr>
              <w:pStyle w:val="TableParagraph"/>
              <w:spacing w:line="251" w:lineRule="exact"/>
              <w:ind w:left="408"/>
              <w:rPr>
                <w:sz w:val="22"/>
              </w:rPr>
            </w:pPr>
            <w:r>
              <w:rPr>
                <w:sz w:val="22"/>
              </w:rPr>
              <w:t>100</w:t>
            </w:r>
          </w:p>
        </w:tc>
        <w:tc>
          <w:tcPr>
            <w:tcW w:w="1274" w:type="dxa"/>
          </w:tcPr>
          <w:p>
            <w:pPr>
              <w:pStyle w:val="TableParagraph"/>
              <w:spacing w:line="251" w:lineRule="exact"/>
              <w:ind w:left="93" w:right="91"/>
              <w:jc w:val="center"/>
              <w:rPr>
                <w:sz w:val="22"/>
              </w:rPr>
            </w:pPr>
            <w:r>
              <w:rPr>
                <w:sz w:val="22"/>
              </w:rPr>
              <w:t>0.0002441</w:t>
            </w:r>
          </w:p>
          <w:p>
            <w:pPr>
              <w:pStyle w:val="TableParagraph"/>
              <w:spacing w:before="126"/>
              <w:ind w:left="105" w:right="105"/>
              <w:jc w:val="center"/>
              <w:rPr>
                <w:sz w:val="22"/>
              </w:rPr>
            </w:pPr>
            <w:r>
              <w:rPr>
                <w:sz w:val="22"/>
              </w:rPr>
              <w:t>406</w:t>
            </w:r>
          </w:p>
        </w:tc>
        <w:tc>
          <w:tcPr>
            <w:tcW w:w="1277" w:type="dxa"/>
          </w:tcPr>
          <w:p>
            <w:pPr>
              <w:pStyle w:val="TableParagraph"/>
              <w:spacing w:line="251" w:lineRule="exact"/>
              <w:ind w:left="357" w:right="92"/>
              <w:rPr>
                <w:sz w:val="22"/>
              </w:rPr>
            </w:pPr>
            <w:r>
              <w:rPr>
                <w:sz w:val="22"/>
              </w:rPr>
              <w:t>0.007</w:t>
            </w:r>
          </w:p>
        </w:tc>
        <w:tc>
          <w:tcPr>
            <w:tcW w:w="1118" w:type="dxa"/>
          </w:tcPr>
          <w:p>
            <w:pPr>
              <w:pStyle w:val="TableParagraph"/>
              <w:spacing w:line="251" w:lineRule="exact"/>
              <w:ind w:left="432"/>
              <w:rPr>
                <w:sz w:val="22"/>
              </w:rPr>
            </w:pPr>
            <w:r>
              <w:rPr>
                <w:sz w:val="22"/>
              </w:rPr>
              <w:t>38</w:t>
            </w:r>
          </w:p>
        </w:tc>
        <w:tc>
          <w:tcPr>
            <w:tcW w:w="1193" w:type="dxa"/>
          </w:tcPr>
          <w:p>
            <w:pPr>
              <w:pStyle w:val="TableParagraph"/>
              <w:spacing w:line="251" w:lineRule="exact"/>
              <w:ind w:left="0" w:right="528"/>
              <w:jc w:val="right"/>
              <w:rPr>
                <w:sz w:val="22"/>
              </w:rPr>
            </w:pPr>
            <w:r>
              <w:rPr>
                <w:w w:val="100"/>
                <w:sz w:val="22"/>
              </w:rPr>
              <w:t>5</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18.188</w:t>
            </w:r>
          </w:p>
        </w:tc>
      </w:tr>
      <w:tr>
        <w:trPr>
          <w:trHeight w:val="769" w:hRule="exact"/>
        </w:trPr>
        <w:tc>
          <w:tcPr>
            <w:tcW w:w="960" w:type="dxa"/>
            <w:vMerge/>
            <w:shd w:val="clear" w:color="auto" w:fill="4AACC5"/>
          </w:tcPr>
          <w:p>
            <w:pPr/>
          </w:p>
        </w:tc>
        <w:tc>
          <w:tcPr>
            <w:tcW w:w="752" w:type="dxa"/>
            <w:shd w:val="clear" w:color="auto" w:fill="4AACC5"/>
          </w:tcPr>
          <w:p>
            <w:pPr>
              <w:pStyle w:val="TableParagraph"/>
              <w:spacing w:line="251" w:lineRule="exact"/>
              <w:ind w:left="295"/>
              <w:rPr>
                <w:sz w:val="22"/>
              </w:rPr>
            </w:pPr>
            <w:r>
              <w:rPr>
                <w:w w:val="100"/>
                <w:sz w:val="22"/>
              </w:rPr>
              <w:t>P</w:t>
            </w:r>
          </w:p>
        </w:tc>
        <w:tc>
          <w:tcPr>
            <w:tcW w:w="1657" w:type="dxa"/>
          </w:tcPr>
          <w:p>
            <w:pPr>
              <w:pStyle w:val="TableParagraph"/>
              <w:spacing w:line="360" w:lineRule="auto"/>
              <w:ind w:left="476" w:right="180" w:hanging="276"/>
              <w:rPr>
                <w:sz w:val="22"/>
              </w:rPr>
            </w:pPr>
            <w:r>
              <w:rPr>
                <w:sz w:val="22"/>
              </w:rPr>
              <w:t>Cooperación política</w:t>
            </w:r>
          </w:p>
        </w:tc>
        <w:tc>
          <w:tcPr>
            <w:tcW w:w="1244" w:type="dxa"/>
          </w:tcPr>
          <w:p>
            <w:pPr>
              <w:pStyle w:val="TableParagraph"/>
              <w:spacing w:line="251" w:lineRule="exact"/>
              <w:ind w:left="178" w:right="178"/>
              <w:jc w:val="center"/>
              <w:rPr>
                <w:sz w:val="22"/>
              </w:rPr>
            </w:pPr>
            <w:r>
              <w:rPr>
                <w:sz w:val="22"/>
              </w:rPr>
              <w:t>42</w:t>
            </w:r>
          </w:p>
        </w:tc>
        <w:tc>
          <w:tcPr>
            <w:tcW w:w="1193" w:type="dxa"/>
          </w:tcPr>
          <w:p>
            <w:pPr>
              <w:pStyle w:val="TableParagraph"/>
              <w:spacing w:line="251" w:lineRule="exact"/>
              <w:ind w:left="408"/>
              <w:rPr>
                <w:sz w:val="22"/>
              </w:rPr>
            </w:pPr>
            <w:r>
              <w:rPr>
                <w:sz w:val="22"/>
              </w:rPr>
              <w:t>100</w:t>
            </w:r>
          </w:p>
        </w:tc>
        <w:tc>
          <w:tcPr>
            <w:tcW w:w="1274" w:type="dxa"/>
          </w:tcPr>
          <w:p>
            <w:pPr>
              <w:pStyle w:val="TableParagraph"/>
              <w:spacing w:line="251" w:lineRule="exact"/>
              <w:ind w:left="93" w:right="91"/>
              <w:jc w:val="center"/>
              <w:rPr>
                <w:sz w:val="22"/>
              </w:rPr>
            </w:pPr>
            <w:r>
              <w:rPr>
                <w:sz w:val="22"/>
              </w:rPr>
              <w:t>0.0002441</w:t>
            </w:r>
          </w:p>
          <w:p>
            <w:pPr>
              <w:pStyle w:val="TableParagraph"/>
              <w:spacing w:before="126"/>
              <w:ind w:left="105" w:right="105"/>
              <w:jc w:val="center"/>
              <w:rPr>
                <w:sz w:val="22"/>
              </w:rPr>
            </w:pPr>
            <w:r>
              <w:rPr>
                <w:sz w:val="22"/>
              </w:rPr>
              <w:t>406</w:t>
            </w:r>
          </w:p>
        </w:tc>
        <w:tc>
          <w:tcPr>
            <w:tcW w:w="1277" w:type="dxa"/>
          </w:tcPr>
          <w:p>
            <w:pPr>
              <w:pStyle w:val="TableParagraph"/>
              <w:spacing w:line="251" w:lineRule="exact"/>
              <w:ind w:left="357" w:right="92"/>
              <w:rPr>
                <w:sz w:val="22"/>
              </w:rPr>
            </w:pPr>
            <w:r>
              <w:rPr>
                <w:sz w:val="22"/>
              </w:rPr>
              <w:t>0.007</w:t>
            </w:r>
          </w:p>
        </w:tc>
        <w:tc>
          <w:tcPr>
            <w:tcW w:w="1118" w:type="dxa"/>
          </w:tcPr>
          <w:p>
            <w:pPr>
              <w:pStyle w:val="TableParagraph"/>
              <w:spacing w:line="251" w:lineRule="exact"/>
              <w:ind w:left="432"/>
              <w:rPr>
                <w:sz w:val="22"/>
              </w:rPr>
            </w:pPr>
            <w:r>
              <w:rPr>
                <w:sz w:val="22"/>
              </w:rPr>
              <w:t>37</w:t>
            </w:r>
          </w:p>
        </w:tc>
        <w:tc>
          <w:tcPr>
            <w:tcW w:w="1193" w:type="dxa"/>
          </w:tcPr>
          <w:p>
            <w:pPr>
              <w:pStyle w:val="TableParagraph"/>
              <w:spacing w:line="251" w:lineRule="exact"/>
              <w:ind w:left="0" w:right="528"/>
              <w:jc w:val="right"/>
              <w:rPr>
                <w:sz w:val="22"/>
              </w:rPr>
            </w:pPr>
            <w:r>
              <w:rPr>
                <w:w w:val="100"/>
                <w:sz w:val="22"/>
              </w:rPr>
              <w:t>6</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18.188</w:t>
            </w:r>
          </w:p>
        </w:tc>
      </w:tr>
      <w:tr>
        <w:trPr>
          <w:trHeight w:val="768" w:hRule="exact"/>
        </w:trPr>
        <w:tc>
          <w:tcPr>
            <w:tcW w:w="960" w:type="dxa"/>
            <w:vMerge/>
            <w:shd w:val="clear" w:color="auto" w:fill="4AACC5"/>
          </w:tcPr>
          <w:p>
            <w:pPr/>
          </w:p>
        </w:tc>
        <w:tc>
          <w:tcPr>
            <w:tcW w:w="752" w:type="dxa"/>
            <w:shd w:val="clear" w:color="auto" w:fill="4AACC5"/>
          </w:tcPr>
          <w:p>
            <w:pPr>
              <w:pStyle w:val="TableParagraph"/>
              <w:spacing w:line="251" w:lineRule="exact"/>
              <w:ind w:left="295"/>
              <w:rPr>
                <w:sz w:val="22"/>
              </w:rPr>
            </w:pPr>
            <w:r>
              <w:rPr>
                <w:w w:val="100"/>
                <w:sz w:val="22"/>
              </w:rPr>
              <w:t>P</w:t>
            </w:r>
          </w:p>
        </w:tc>
        <w:tc>
          <w:tcPr>
            <w:tcW w:w="1657" w:type="dxa"/>
          </w:tcPr>
          <w:p>
            <w:pPr>
              <w:pStyle w:val="TableParagraph"/>
              <w:spacing w:line="360" w:lineRule="auto"/>
              <w:ind w:left="476" w:right="352" w:hanging="106"/>
              <w:rPr>
                <w:sz w:val="22"/>
              </w:rPr>
            </w:pPr>
            <w:r>
              <w:rPr>
                <w:sz w:val="22"/>
              </w:rPr>
              <w:t>Identidad política</w:t>
            </w:r>
          </w:p>
        </w:tc>
        <w:tc>
          <w:tcPr>
            <w:tcW w:w="1244" w:type="dxa"/>
          </w:tcPr>
          <w:p>
            <w:pPr>
              <w:pStyle w:val="TableParagraph"/>
              <w:spacing w:line="251" w:lineRule="exact"/>
              <w:ind w:left="178" w:right="178"/>
              <w:jc w:val="center"/>
              <w:rPr>
                <w:sz w:val="22"/>
              </w:rPr>
            </w:pPr>
            <w:r>
              <w:rPr>
                <w:sz w:val="22"/>
              </w:rPr>
              <w:t>41</w:t>
            </w:r>
          </w:p>
        </w:tc>
        <w:tc>
          <w:tcPr>
            <w:tcW w:w="1193" w:type="dxa"/>
          </w:tcPr>
          <w:p>
            <w:pPr>
              <w:pStyle w:val="TableParagraph"/>
              <w:spacing w:line="251" w:lineRule="exact"/>
              <w:ind w:left="408"/>
              <w:rPr>
                <w:sz w:val="22"/>
              </w:rPr>
            </w:pPr>
            <w:r>
              <w:rPr>
                <w:sz w:val="22"/>
              </w:rPr>
              <w:t>101</w:t>
            </w:r>
          </w:p>
        </w:tc>
        <w:tc>
          <w:tcPr>
            <w:tcW w:w="1274" w:type="dxa"/>
          </w:tcPr>
          <w:p>
            <w:pPr>
              <w:pStyle w:val="TableParagraph"/>
              <w:spacing w:line="251" w:lineRule="exact"/>
              <w:ind w:left="93" w:right="91"/>
              <w:jc w:val="center"/>
              <w:rPr>
                <w:sz w:val="22"/>
              </w:rPr>
            </w:pPr>
            <w:r>
              <w:rPr>
                <w:sz w:val="22"/>
              </w:rPr>
              <w:t>0.0002441</w:t>
            </w:r>
          </w:p>
          <w:p>
            <w:pPr>
              <w:pStyle w:val="TableParagraph"/>
              <w:spacing w:before="126"/>
              <w:ind w:left="105" w:right="105"/>
              <w:jc w:val="center"/>
              <w:rPr>
                <w:sz w:val="22"/>
              </w:rPr>
            </w:pPr>
            <w:r>
              <w:rPr>
                <w:sz w:val="22"/>
              </w:rPr>
              <w:t>406</w:t>
            </w:r>
          </w:p>
        </w:tc>
        <w:tc>
          <w:tcPr>
            <w:tcW w:w="1277" w:type="dxa"/>
          </w:tcPr>
          <w:p>
            <w:pPr>
              <w:pStyle w:val="TableParagraph"/>
              <w:spacing w:line="251" w:lineRule="exact"/>
              <w:ind w:left="357" w:right="92"/>
              <w:rPr>
                <w:sz w:val="22"/>
              </w:rPr>
            </w:pPr>
            <w:r>
              <w:rPr>
                <w:sz w:val="22"/>
              </w:rPr>
              <w:t>0.007</w:t>
            </w:r>
          </w:p>
        </w:tc>
        <w:tc>
          <w:tcPr>
            <w:tcW w:w="1118" w:type="dxa"/>
          </w:tcPr>
          <w:p>
            <w:pPr>
              <w:pStyle w:val="TableParagraph"/>
              <w:spacing w:line="251" w:lineRule="exact"/>
              <w:ind w:left="432"/>
              <w:rPr>
                <w:sz w:val="22"/>
              </w:rPr>
            </w:pPr>
            <w:r>
              <w:rPr>
                <w:sz w:val="22"/>
              </w:rPr>
              <w:t>36</w:t>
            </w:r>
          </w:p>
        </w:tc>
        <w:tc>
          <w:tcPr>
            <w:tcW w:w="1193" w:type="dxa"/>
          </w:tcPr>
          <w:p>
            <w:pPr>
              <w:pStyle w:val="TableParagraph"/>
              <w:spacing w:line="251" w:lineRule="exact"/>
              <w:ind w:left="0" w:right="528"/>
              <w:jc w:val="right"/>
              <w:rPr>
                <w:sz w:val="22"/>
              </w:rPr>
            </w:pPr>
            <w:r>
              <w:rPr>
                <w:w w:val="100"/>
                <w:sz w:val="22"/>
              </w:rPr>
              <w:t>7</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18.188</w:t>
            </w:r>
          </w:p>
        </w:tc>
      </w:tr>
      <w:tr>
        <w:trPr>
          <w:trHeight w:val="770" w:hRule="exact"/>
        </w:trPr>
        <w:tc>
          <w:tcPr>
            <w:tcW w:w="960" w:type="dxa"/>
            <w:vMerge/>
            <w:shd w:val="clear" w:color="auto" w:fill="4AACC5"/>
          </w:tcPr>
          <w:p>
            <w:pPr/>
          </w:p>
        </w:tc>
        <w:tc>
          <w:tcPr>
            <w:tcW w:w="752" w:type="dxa"/>
            <w:shd w:val="clear" w:color="auto" w:fill="4AACC5"/>
          </w:tcPr>
          <w:p>
            <w:pPr>
              <w:pStyle w:val="TableParagraph"/>
              <w:spacing w:line="251" w:lineRule="exact"/>
              <w:ind w:left="295"/>
              <w:rPr>
                <w:sz w:val="22"/>
              </w:rPr>
            </w:pPr>
            <w:r>
              <w:rPr>
                <w:w w:val="100"/>
                <w:sz w:val="22"/>
              </w:rPr>
              <w:t>P</w:t>
            </w:r>
          </w:p>
        </w:tc>
        <w:tc>
          <w:tcPr>
            <w:tcW w:w="1657" w:type="dxa"/>
          </w:tcPr>
          <w:p>
            <w:pPr>
              <w:pStyle w:val="TableParagraph"/>
              <w:spacing w:line="362" w:lineRule="auto"/>
              <w:ind w:left="476" w:right="200" w:hanging="260"/>
              <w:rPr>
                <w:sz w:val="22"/>
              </w:rPr>
            </w:pPr>
            <w:r>
              <w:rPr>
                <w:sz w:val="22"/>
              </w:rPr>
              <w:t>Gobernanza política</w:t>
            </w:r>
          </w:p>
        </w:tc>
        <w:tc>
          <w:tcPr>
            <w:tcW w:w="1244" w:type="dxa"/>
          </w:tcPr>
          <w:p>
            <w:pPr>
              <w:pStyle w:val="TableParagraph"/>
              <w:spacing w:line="251" w:lineRule="exact"/>
              <w:ind w:left="178" w:right="178"/>
              <w:jc w:val="center"/>
              <w:rPr>
                <w:sz w:val="22"/>
              </w:rPr>
            </w:pPr>
            <w:r>
              <w:rPr>
                <w:sz w:val="22"/>
              </w:rPr>
              <w:t>40</w:t>
            </w:r>
          </w:p>
        </w:tc>
        <w:tc>
          <w:tcPr>
            <w:tcW w:w="1193" w:type="dxa"/>
          </w:tcPr>
          <w:p>
            <w:pPr>
              <w:pStyle w:val="TableParagraph"/>
              <w:spacing w:line="251" w:lineRule="exact"/>
              <w:ind w:left="408"/>
              <w:rPr>
                <w:sz w:val="22"/>
              </w:rPr>
            </w:pPr>
            <w:r>
              <w:rPr>
                <w:sz w:val="22"/>
              </w:rPr>
              <w:t>102</w:t>
            </w:r>
          </w:p>
        </w:tc>
        <w:tc>
          <w:tcPr>
            <w:tcW w:w="1274" w:type="dxa"/>
          </w:tcPr>
          <w:p>
            <w:pPr>
              <w:pStyle w:val="TableParagraph"/>
              <w:spacing w:line="251" w:lineRule="exact"/>
              <w:ind w:left="93" w:right="91"/>
              <w:jc w:val="center"/>
              <w:rPr>
                <w:sz w:val="22"/>
              </w:rPr>
            </w:pPr>
            <w:r>
              <w:rPr>
                <w:sz w:val="22"/>
              </w:rPr>
              <w:t>0.0002441</w:t>
            </w:r>
          </w:p>
          <w:p>
            <w:pPr>
              <w:pStyle w:val="TableParagraph"/>
              <w:spacing w:before="128"/>
              <w:ind w:left="105" w:right="105"/>
              <w:jc w:val="center"/>
              <w:rPr>
                <w:sz w:val="22"/>
              </w:rPr>
            </w:pPr>
            <w:r>
              <w:rPr>
                <w:sz w:val="22"/>
              </w:rPr>
              <w:t>406</w:t>
            </w:r>
          </w:p>
        </w:tc>
        <w:tc>
          <w:tcPr>
            <w:tcW w:w="1277" w:type="dxa"/>
          </w:tcPr>
          <w:p>
            <w:pPr>
              <w:pStyle w:val="TableParagraph"/>
              <w:spacing w:line="251" w:lineRule="exact"/>
              <w:ind w:left="357" w:right="92"/>
              <w:rPr>
                <w:sz w:val="22"/>
              </w:rPr>
            </w:pPr>
            <w:r>
              <w:rPr>
                <w:sz w:val="22"/>
              </w:rPr>
              <w:t>0.007</w:t>
            </w:r>
          </w:p>
        </w:tc>
        <w:tc>
          <w:tcPr>
            <w:tcW w:w="1118" w:type="dxa"/>
          </w:tcPr>
          <w:p>
            <w:pPr>
              <w:pStyle w:val="TableParagraph"/>
              <w:spacing w:line="251" w:lineRule="exact"/>
              <w:ind w:left="432"/>
              <w:rPr>
                <w:sz w:val="22"/>
              </w:rPr>
            </w:pPr>
            <w:r>
              <w:rPr>
                <w:sz w:val="22"/>
              </w:rPr>
              <w:t>35</w:t>
            </w:r>
          </w:p>
        </w:tc>
        <w:tc>
          <w:tcPr>
            <w:tcW w:w="1193" w:type="dxa"/>
          </w:tcPr>
          <w:p>
            <w:pPr>
              <w:pStyle w:val="TableParagraph"/>
              <w:spacing w:line="251" w:lineRule="exact"/>
              <w:ind w:left="0" w:right="528"/>
              <w:jc w:val="right"/>
              <w:rPr>
                <w:sz w:val="22"/>
              </w:rPr>
            </w:pPr>
            <w:r>
              <w:rPr>
                <w:w w:val="100"/>
                <w:sz w:val="22"/>
              </w:rPr>
              <w:t>8</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18.188</w:t>
            </w:r>
          </w:p>
        </w:tc>
      </w:tr>
      <w:tr>
        <w:trPr>
          <w:trHeight w:val="768" w:hRule="exact"/>
        </w:trPr>
        <w:tc>
          <w:tcPr>
            <w:tcW w:w="960" w:type="dxa"/>
            <w:vMerge/>
            <w:shd w:val="clear" w:color="auto" w:fill="4AACC5"/>
          </w:tcPr>
          <w:p>
            <w:pPr/>
          </w:p>
        </w:tc>
        <w:tc>
          <w:tcPr>
            <w:tcW w:w="752" w:type="dxa"/>
            <w:shd w:val="clear" w:color="auto" w:fill="4AACC5"/>
          </w:tcPr>
          <w:p>
            <w:pPr>
              <w:pStyle w:val="TableParagraph"/>
              <w:spacing w:line="251" w:lineRule="exact"/>
              <w:ind w:left="295"/>
              <w:rPr>
                <w:sz w:val="22"/>
              </w:rPr>
            </w:pPr>
            <w:r>
              <w:rPr>
                <w:w w:val="100"/>
                <w:sz w:val="22"/>
              </w:rPr>
              <w:t>E</w:t>
            </w:r>
          </w:p>
        </w:tc>
        <w:tc>
          <w:tcPr>
            <w:tcW w:w="1657" w:type="dxa"/>
          </w:tcPr>
          <w:p>
            <w:pPr>
              <w:pStyle w:val="TableParagraph"/>
              <w:spacing w:line="360" w:lineRule="auto"/>
              <w:ind w:left="390" w:right="167" w:hanging="202"/>
              <w:rPr>
                <w:sz w:val="22"/>
              </w:rPr>
            </w:pPr>
            <w:r>
              <w:rPr>
                <w:sz w:val="22"/>
              </w:rPr>
              <w:t>Desequilibrio de poder</w:t>
            </w:r>
          </w:p>
        </w:tc>
        <w:tc>
          <w:tcPr>
            <w:tcW w:w="1244" w:type="dxa"/>
          </w:tcPr>
          <w:p>
            <w:pPr>
              <w:pStyle w:val="TableParagraph"/>
              <w:spacing w:line="251" w:lineRule="exact"/>
              <w:ind w:left="178" w:right="178"/>
              <w:jc w:val="center"/>
              <w:rPr>
                <w:sz w:val="22"/>
              </w:rPr>
            </w:pPr>
            <w:r>
              <w:rPr>
                <w:sz w:val="22"/>
              </w:rPr>
              <w:t>50</w:t>
            </w:r>
          </w:p>
        </w:tc>
        <w:tc>
          <w:tcPr>
            <w:tcW w:w="1193" w:type="dxa"/>
          </w:tcPr>
          <w:p>
            <w:pPr>
              <w:pStyle w:val="TableParagraph"/>
              <w:spacing w:line="251" w:lineRule="exact"/>
              <w:ind w:left="468"/>
              <w:rPr>
                <w:sz w:val="22"/>
              </w:rPr>
            </w:pPr>
            <w:r>
              <w:rPr>
                <w:sz w:val="22"/>
              </w:rPr>
              <w:t>94</w:t>
            </w:r>
          </w:p>
        </w:tc>
        <w:tc>
          <w:tcPr>
            <w:tcW w:w="1274" w:type="dxa"/>
          </w:tcPr>
          <w:p>
            <w:pPr>
              <w:pStyle w:val="TableParagraph"/>
              <w:spacing w:line="251" w:lineRule="exact"/>
              <w:ind w:left="93" w:right="91"/>
              <w:jc w:val="center"/>
              <w:rPr>
                <w:sz w:val="22"/>
              </w:rPr>
            </w:pPr>
            <w:r>
              <w:rPr>
                <w:sz w:val="22"/>
              </w:rPr>
              <w:t>0.0004882</w:t>
            </w:r>
          </w:p>
          <w:p>
            <w:pPr>
              <w:pStyle w:val="TableParagraph"/>
              <w:spacing w:before="126"/>
              <w:ind w:left="105" w:right="105"/>
              <w:jc w:val="center"/>
              <w:rPr>
                <w:sz w:val="22"/>
              </w:rPr>
            </w:pPr>
            <w:r>
              <w:rPr>
                <w:sz w:val="22"/>
              </w:rPr>
              <w:t>812</w:t>
            </w:r>
          </w:p>
        </w:tc>
        <w:tc>
          <w:tcPr>
            <w:tcW w:w="1277" w:type="dxa"/>
          </w:tcPr>
          <w:p>
            <w:pPr>
              <w:pStyle w:val="TableParagraph"/>
              <w:spacing w:line="251" w:lineRule="exact"/>
              <w:ind w:left="357" w:right="92"/>
              <w:rPr>
                <w:sz w:val="22"/>
              </w:rPr>
            </w:pPr>
            <w:r>
              <w:rPr>
                <w:sz w:val="22"/>
              </w:rPr>
              <w:t>0.007</w:t>
            </w:r>
          </w:p>
        </w:tc>
        <w:tc>
          <w:tcPr>
            <w:tcW w:w="1118" w:type="dxa"/>
          </w:tcPr>
          <w:p>
            <w:pPr>
              <w:pStyle w:val="TableParagraph"/>
              <w:spacing w:line="251" w:lineRule="exact"/>
              <w:ind w:left="432"/>
              <w:rPr>
                <w:sz w:val="22"/>
              </w:rPr>
            </w:pPr>
            <w:r>
              <w:rPr>
                <w:sz w:val="22"/>
              </w:rPr>
              <w:t>28</w:t>
            </w:r>
          </w:p>
        </w:tc>
        <w:tc>
          <w:tcPr>
            <w:tcW w:w="1193" w:type="dxa"/>
          </w:tcPr>
          <w:p>
            <w:pPr>
              <w:pStyle w:val="TableParagraph"/>
              <w:spacing w:line="251" w:lineRule="exact"/>
              <w:ind w:left="0" w:right="468"/>
              <w:jc w:val="right"/>
              <w:rPr>
                <w:sz w:val="22"/>
              </w:rPr>
            </w:pPr>
            <w:r>
              <w:rPr>
                <w:sz w:val="22"/>
              </w:rPr>
              <w:t>13</w:t>
            </w:r>
          </w:p>
        </w:tc>
        <w:tc>
          <w:tcPr>
            <w:tcW w:w="1277" w:type="dxa"/>
          </w:tcPr>
          <w:p>
            <w:pPr>
              <w:pStyle w:val="TableParagraph"/>
              <w:spacing w:line="251" w:lineRule="exact"/>
              <w:ind w:left="338" w:right="338"/>
              <w:jc w:val="center"/>
              <w:rPr>
                <w:sz w:val="22"/>
              </w:rPr>
            </w:pPr>
            <w:r>
              <w:rPr>
                <w:sz w:val="22"/>
              </w:rPr>
              <w:t>0.500</w:t>
            </w:r>
          </w:p>
        </w:tc>
        <w:tc>
          <w:tcPr>
            <w:tcW w:w="1274" w:type="dxa"/>
          </w:tcPr>
          <w:p>
            <w:pPr>
              <w:pStyle w:val="TableParagraph"/>
              <w:spacing w:line="251" w:lineRule="exact"/>
              <w:ind w:left="295" w:right="98"/>
              <w:rPr>
                <w:sz w:val="22"/>
              </w:rPr>
            </w:pPr>
            <w:r>
              <w:rPr>
                <w:sz w:val="22"/>
              </w:rPr>
              <w:t>18.188</w:t>
            </w:r>
          </w:p>
        </w:tc>
      </w:tr>
      <w:tr>
        <w:trPr>
          <w:trHeight w:val="768" w:hRule="exact"/>
        </w:trPr>
        <w:tc>
          <w:tcPr>
            <w:tcW w:w="960" w:type="dxa"/>
            <w:vMerge/>
            <w:shd w:val="clear" w:color="auto" w:fill="4AACC5"/>
          </w:tcPr>
          <w:p>
            <w:pPr/>
          </w:p>
        </w:tc>
        <w:tc>
          <w:tcPr>
            <w:tcW w:w="752" w:type="dxa"/>
            <w:shd w:val="clear" w:color="auto" w:fill="4AACC5"/>
          </w:tcPr>
          <w:p>
            <w:pPr>
              <w:pStyle w:val="TableParagraph"/>
              <w:spacing w:line="251" w:lineRule="exact"/>
              <w:ind w:left="295"/>
              <w:rPr>
                <w:sz w:val="22"/>
              </w:rPr>
            </w:pPr>
            <w:r>
              <w:rPr>
                <w:w w:val="100"/>
                <w:sz w:val="22"/>
              </w:rPr>
              <w:t>E</w:t>
            </w:r>
          </w:p>
        </w:tc>
        <w:tc>
          <w:tcPr>
            <w:tcW w:w="1657" w:type="dxa"/>
          </w:tcPr>
          <w:p>
            <w:pPr>
              <w:pStyle w:val="TableParagraph"/>
              <w:spacing w:line="360" w:lineRule="auto"/>
              <w:ind w:left="248" w:right="229" w:firstLine="48"/>
              <w:rPr>
                <w:sz w:val="22"/>
              </w:rPr>
            </w:pPr>
            <w:r>
              <w:rPr>
                <w:sz w:val="22"/>
              </w:rPr>
              <w:t>Sentido de pertenencia</w:t>
            </w:r>
          </w:p>
        </w:tc>
        <w:tc>
          <w:tcPr>
            <w:tcW w:w="1244" w:type="dxa"/>
          </w:tcPr>
          <w:p>
            <w:pPr>
              <w:pStyle w:val="TableParagraph"/>
              <w:spacing w:line="251" w:lineRule="exact"/>
              <w:ind w:left="178" w:right="178"/>
              <w:jc w:val="center"/>
              <w:rPr>
                <w:sz w:val="22"/>
              </w:rPr>
            </w:pPr>
            <w:r>
              <w:rPr>
                <w:sz w:val="22"/>
              </w:rPr>
              <w:t>50</w:t>
            </w:r>
          </w:p>
        </w:tc>
        <w:tc>
          <w:tcPr>
            <w:tcW w:w="1193" w:type="dxa"/>
          </w:tcPr>
          <w:p>
            <w:pPr>
              <w:pStyle w:val="TableParagraph"/>
              <w:spacing w:line="251" w:lineRule="exact"/>
              <w:ind w:left="468"/>
              <w:rPr>
                <w:sz w:val="22"/>
              </w:rPr>
            </w:pPr>
            <w:r>
              <w:rPr>
                <w:sz w:val="22"/>
              </w:rPr>
              <w:t>94</w:t>
            </w:r>
          </w:p>
        </w:tc>
        <w:tc>
          <w:tcPr>
            <w:tcW w:w="1274" w:type="dxa"/>
          </w:tcPr>
          <w:p>
            <w:pPr>
              <w:pStyle w:val="TableParagraph"/>
              <w:spacing w:line="251" w:lineRule="exact"/>
              <w:ind w:left="93" w:right="91"/>
              <w:jc w:val="center"/>
              <w:rPr>
                <w:sz w:val="22"/>
              </w:rPr>
            </w:pPr>
            <w:r>
              <w:rPr>
                <w:sz w:val="22"/>
              </w:rPr>
              <w:t>0.0004882</w:t>
            </w:r>
          </w:p>
          <w:p>
            <w:pPr>
              <w:pStyle w:val="TableParagraph"/>
              <w:spacing w:before="126"/>
              <w:ind w:left="105" w:right="105"/>
              <w:jc w:val="center"/>
              <w:rPr>
                <w:sz w:val="22"/>
              </w:rPr>
            </w:pPr>
            <w:r>
              <w:rPr>
                <w:sz w:val="22"/>
              </w:rPr>
              <w:t>812</w:t>
            </w:r>
          </w:p>
        </w:tc>
        <w:tc>
          <w:tcPr>
            <w:tcW w:w="1277" w:type="dxa"/>
          </w:tcPr>
          <w:p>
            <w:pPr>
              <w:pStyle w:val="TableParagraph"/>
              <w:spacing w:line="251" w:lineRule="exact"/>
              <w:ind w:left="357" w:right="92"/>
              <w:rPr>
                <w:sz w:val="22"/>
              </w:rPr>
            </w:pPr>
            <w:r>
              <w:rPr>
                <w:sz w:val="22"/>
              </w:rPr>
              <w:t>0.007</w:t>
            </w:r>
          </w:p>
        </w:tc>
        <w:tc>
          <w:tcPr>
            <w:tcW w:w="1118" w:type="dxa"/>
          </w:tcPr>
          <w:p>
            <w:pPr>
              <w:pStyle w:val="TableParagraph"/>
              <w:spacing w:line="251" w:lineRule="exact"/>
              <w:ind w:left="432"/>
              <w:rPr>
                <w:sz w:val="22"/>
              </w:rPr>
            </w:pPr>
            <w:r>
              <w:rPr>
                <w:sz w:val="22"/>
              </w:rPr>
              <w:t>29</w:t>
            </w:r>
          </w:p>
        </w:tc>
        <w:tc>
          <w:tcPr>
            <w:tcW w:w="1193" w:type="dxa"/>
          </w:tcPr>
          <w:p>
            <w:pPr>
              <w:pStyle w:val="TableParagraph"/>
              <w:spacing w:line="251" w:lineRule="exact"/>
              <w:ind w:left="0" w:right="468"/>
              <w:jc w:val="right"/>
              <w:rPr>
                <w:sz w:val="22"/>
              </w:rPr>
            </w:pPr>
            <w:r>
              <w:rPr>
                <w:sz w:val="22"/>
              </w:rPr>
              <w:t>12</w:t>
            </w:r>
          </w:p>
        </w:tc>
        <w:tc>
          <w:tcPr>
            <w:tcW w:w="1277" w:type="dxa"/>
          </w:tcPr>
          <w:p>
            <w:pPr>
              <w:pStyle w:val="TableParagraph"/>
              <w:spacing w:line="251" w:lineRule="exact"/>
              <w:ind w:left="338" w:right="338"/>
              <w:jc w:val="center"/>
              <w:rPr>
                <w:sz w:val="22"/>
              </w:rPr>
            </w:pPr>
            <w:r>
              <w:rPr>
                <w:sz w:val="22"/>
              </w:rPr>
              <w:t>0.500</w:t>
            </w:r>
          </w:p>
        </w:tc>
        <w:tc>
          <w:tcPr>
            <w:tcW w:w="1274" w:type="dxa"/>
          </w:tcPr>
          <w:p>
            <w:pPr>
              <w:pStyle w:val="TableParagraph"/>
              <w:spacing w:line="251" w:lineRule="exact"/>
              <w:ind w:left="295" w:right="98"/>
              <w:rPr>
                <w:sz w:val="22"/>
              </w:rPr>
            </w:pPr>
            <w:r>
              <w:rPr>
                <w:sz w:val="22"/>
              </w:rPr>
              <w:t>18.188</w:t>
            </w:r>
          </w:p>
        </w:tc>
      </w:tr>
      <w:tr>
        <w:trPr>
          <w:trHeight w:val="770" w:hRule="exact"/>
        </w:trPr>
        <w:tc>
          <w:tcPr>
            <w:tcW w:w="960" w:type="dxa"/>
            <w:vMerge/>
            <w:shd w:val="clear" w:color="auto" w:fill="4AACC5"/>
          </w:tcPr>
          <w:p>
            <w:pPr/>
          </w:p>
        </w:tc>
        <w:tc>
          <w:tcPr>
            <w:tcW w:w="752" w:type="dxa"/>
            <w:shd w:val="clear" w:color="auto" w:fill="4AACC5"/>
          </w:tcPr>
          <w:p>
            <w:pPr>
              <w:pStyle w:val="TableParagraph"/>
              <w:ind w:left="338"/>
              <w:rPr>
                <w:sz w:val="22"/>
              </w:rPr>
            </w:pPr>
            <w:r>
              <w:rPr>
                <w:w w:val="100"/>
                <w:sz w:val="22"/>
              </w:rPr>
              <w:t>I</w:t>
            </w:r>
          </w:p>
        </w:tc>
        <w:tc>
          <w:tcPr>
            <w:tcW w:w="1657" w:type="dxa"/>
          </w:tcPr>
          <w:p>
            <w:pPr>
              <w:pStyle w:val="TableParagraph"/>
              <w:spacing w:line="360" w:lineRule="auto"/>
              <w:ind w:left="255" w:right="235" w:firstLine="115"/>
              <w:rPr>
                <w:sz w:val="22"/>
              </w:rPr>
            </w:pPr>
            <w:r>
              <w:rPr>
                <w:sz w:val="22"/>
              </w:rPr>
              <w:t>Identidad comunitaria</w:t>
            </w:r>
          </w:p>
        </w:tc>
        <w:tc>
          <w:tcPr>
            <w:tcW w:w="1244" w:type="dxa"/>
          </w:tcPr>
          <w:p>
            <w:pPr>
              <w:pStyle w:val="TableParagraph"/>
              <w:ind w:left="178" w:right="178"/>
              <w:jc w:val="center"/>
              <w:rPr>
                <w:sz w:val="22"/>
              </w:rPr>
            </w:pPr>
            <w:r>
              <w:rPr>
                <w:sz w:val="22"/>
              </w:rPr>
              <w:t>44</w:t>
            </w:r>
          </w:p>
        </w:tc>
        <w:tc>
          <w:tcPr>
            <w:tcW w:w="1193" w:type="dxa"/>
          </w:tcPr>
          <w:p>
            <w:pPr>
              <w:pStyle w:val="TableParagraph"/>
              <w:ind w:left="468"/>
              <w:rPr>
                <w:sz w:val="22"/>
              </w:rPr>
            </w:pPr>
            <w:r>
              <w:rPr>
                <w:sz w:val="22"/>
              </w:rPr>
              <w:t>99</w:t>
            </w:r>
          </w:p>
        </w:tc>
        <w:tc>
          <w:tcPr>
            <w:tcW w:w="1274" w:type="dxa"/>
          </w:tcPr>
          <w:p>
            <w:pPr>
              <w:pStyle w:val="TableParagraph"/>
              <w:ind w:left="93" w:right="91"/>
              <w:jc w:val="center"/>
              <w:rPr>
                <w:sz w:val="22"/>
              </w:rPr>
            </w:pPr>
            <w:r>
              <w:rPr>
                <w:sz w:val="22"/>
              </w:rPr>
              <w:t>0.0002441</w:t>
            </w:r>
          </w:p>
          <w:p>
            <w:pPr>
              <w:pStyle w:val="TableParagraph"/>
              <w:spacing w:before="126"/>
              <w:ind w:left="105" w:right="105"/>
              <w:jc w:val="center"/>
              <w:rPr>
                <w:sz w:val="22"/>
              </w:rPr>
            </w:pPr>
            <w:r>
              <w:rPr>
                <w:sz w:val="22"/>
              </w:rPr>
              <w:t>406</w:t>
            </w:r>
          </w:p>
        </w:tc>
        <w:tc>
          <w:tcPr>
            <w:tcW w:w="1277" w:type="dxa"/>
          </w:tcPr>
          <w:p>
            <w:pPr>
              <w:pStyle w:val="TableParagraph"/>
              <w:ind w:left="357" w:right="92"/>
              <w:rPr>
                <w:sz w:val="22"/>
              </w:rPr>
            </w:pPr>
            <w:r>
              <w:rPr>
                <w:sz w:val="22"/>
              </w:rPr>
              <w:t>0.007</w:t>
            </w:r>
          </w:p>
        </w:tc>
        <w:tc>
          <w:tcPr>
            <w:tcW w:w="1118" w:type="dxa"/>
          </w:tcPr>
          <w:p>
            <w:pPr>
              <w:pStyle w:val="TableParagraph"/>
              <w:ind w:left="432"/>
              <w:rPr>
                <w:sz w:val="22"/>
              </w:rPr>
            </w:pPr>
            <w:r>
              <w:rPr>
                <w:sz w:val="22"/>
              </w:rPr>
              <w:t>22</w:t>
            </w:r>
          </w:p>
        </w:tc>
        <w:tc>
          <w:tcPr>
            <w:tcW w:w="1193" w:type="dxa"/>
          </w:tcPr>
          <w:p>
            <w:pPr>
              <w:pStyle w:val="TableParagraph"/>
              <w:ind w:left="0" w:right="468"/>
              <w:jc w:val="right"/>
              <w:rPr>
                <w:sz w:val="22"/>
              </w:rPr>
            </w:pPr>
            <w:r>
              <w:rPr>
                <w:sz w:val="22"/>
              </w:rPr>
              <w:t>19</w:t>
            </w:r>
          </w:p>
        </w:tc>
        <w:tc>
          <w:tcPr>
            <w:tcW w:w="1277" w:type="dxa"/>
          </w:tcPr>
          <w:p>
            <w:pPr>
              <w:pStyle w:val="TableParagraph"/>
              <w:ind w:left="338" w:right="338"/>
              <w:jc w:val="center"/>
              <w:rPr>
                <w:sz w:val="22"/>
              </w:rPr>
            </w:pPr>
            <w:r>
              <w:rPr>
                <w:sz w:val="22"/>
              </w:rPr>
              <w:t>0.250</w:t>
            </w:r>
          </w:p>
        </w:tc>
        <w:tc>
          <w:tcPr>
            <w:tcW w:w="1274" w:type="dxa"/>
          </w:tcPr>
          <w:p>
            <w:pPr>
              <w:pStyle w:val="TableParagraph"/>
              <w:ind w:left="295" w:right="98"/>
              <w:rPr>
                <w:sz w:val="22"/>
              </w:rPr>
            </w:pPr>
            <w:r>
              <w:rPr>
                <w:sz w:val="22"/>
              </w:rPr>
              <w:t>18.188</w:t>
            </w:r>
          </w:p>
        </w:tc>
      </w:tr>
      <w:tr>
        <w:trPr>
          <w:trHeight w:val="1150" w:hRule="exact"/>
        </w:trPr>
        <w:tc>
          <w:tcPr>
            <w:tcW w:w="960" w:type="dxa"/>
            <w:vMerge/>
            <w:shd w:val="clear" w:color="auto" w:fill="4AACC5"/>
          </w:tcPr>
          <w:p>
            <w:pPr/>
          </w:p>
        </w:tc>
        <w:tc>
          <w:tcPr>
            <w:tcW w:w="752" w:type="dxa"/>
            <w:shd w:val="clear" w:color="auto" w:fill="4AACC5"/>
          </w:tcPr>
          <w:p>
            <w:pPr>
              <w:pStyle w:val="TableParagraph"/>
              <w:spacing w:line="251" w:lineRule="exact"/>
              <w:ind w:left="338"/>
              <w:rPr>
                <w:sz w:val="22"/>
              </w:rPr>
            </w:pPr>
            <w:r>
              <w:rPr>
                <w:w w:val="100"/>
                <w:sz w:val="22"/>
              </w:rPr>
              <w:t>I</w:t>
            </w:r>
          </w:p>
        </w:tc>
        <w:tc>
          <w:tcPr>
            <w:tcW w:w="1657" w:type="dxa"/>
          </w:tcPr>
          <w:p>
            <w:pPr>
              <w:pStyle w:val="TableParagraph"/>
              <w:spacing w:line="360" w:lineRule="auto"/>
              <w:ind w:left="138" w:right="139" w:firstLine="2"/>
              <w:jc w:val="center"/>
              <w:rPr>
                <w:sz w:val="22"/>
              </w:rPr>
            </w:pPr>
            <w:r>
              <w:rPr>
                <w:sz w:val="22"/>
              </w:rPr>
              <w:t>Formación de organizacione s</w:t>
            </w:r>
          </w:p>
        </w:tc>
        <w:tc>
          <w:tcPr>
            <w:tcW w:w="1244" w:type="dxa"/>
          </w:tcPr>
          <w:p>
            <w:pPr>
              <w:pStyle w:val="TableParagraph"/>
              <w:spacing w:line="251" w:lineRule="exact"/>
              <w:ind w:left="178" w:right="178"/>
              <w:jc w:val="center"/>
              <w:rPr>
                <w:sz w:val="22"/>
              </w:rPr>
            </w:pPr>
            <w:r>
              <w:rPr>
                <w:sz w:val="22"/>
              </w:rPr>
              <w:t>44</w:t>
            </w:r>
          </w:p>
        </w:tc>
        <w:tc>
          <w:tcPr>
            <w:tcW w:w="1193" w:type="dxa"/>
          </w:tcPr>
          <w:p>
            <w:pPr>
              <w:pStyle w:val="TableParagraph"/>
              <w:spacing w:line="251" w:lineRule="exact"/>
              <w:ind w:left="468"/>
              <w:rPr>
                <w:sz w:val="22"/>
              </w:rPr>
            </w:pPr>
            <w:r>
              <w:rPr>
                <w:sz w:val="22"/>
              </w:rPr>
              <w:t>99</w:t>
            </w:r>
          </w:p>
        </w:tc>
        <w:tc>
          <w:tcPr>
            <w:tcW w:w="1274" w:type="dxa"/>
          </w:tcPr>
          <w:p>
            <w:pPr>
              <w:pStyle w:val="TableParagraph"/>
              <w:spacing w:line="251" w:lineRule="exact"/>
              <w:ind w:left="93" w:right="91"/>
              <w:jc w:val="center"/>
              <w:rPr>
                <w:sz w:val="22"/>
              </w:rPr>
            </w:pPr>
            <w:r>
              <w:rPr>
                <w:sz w:val="22"/>
              </w:rPr>
              <w:t>0.0002441</w:t>
            </w:r>
          </w:p>
          <w:p>
            <w:pPr>
              <w:pStyle w:val="TableParagraph"/>
              <w:spacing w:before="126"/>
              <w:ind w:left="105" w:right="105"/>
              <w:jc w:val="center"/>
              <w:rPr>
                <w:sz w:val="22"/>
              </w:rPr>
            </w:pPr>
            <w:r>
              <w:rPr>
                <w:sz w:val="22"/>
              </w:rPr>
              <w:t>406</w:t>
            </w:r>
          </w:p>
        </w:tc>
        <w:tc>
          <w:tcPr>
            <w:tcW w:w="1277" w:type="dxa"/>
          </w:tcPr>
          <w:p>
            <w:pPr>
              <w:pStyle w:val="TableParagraph"/>
              <w:spacing w:line="251" w:lineRule="exact"/>
              <w:ind w:left="357" w:right="92"/>
              <w:rPr>
                <w:sz w:val="22"/>
              </w:rPr>
            </w:pPr>
            <w:r>
              <w:rPr>
                <w:sz w:val="22"/>
              </w:rPr>
              <w:t>0.007</w:t>
            </w:r>
          </w:p>
        </w:tc>
        <w:tc>
          <w:tcPr>
            <w:tcW w:w="1118" w:type="dxa"/>
          </w:tcPr>
          <w:p>
            <w:pPr>
              <w:pStyle w:val="TableParagraph"/>
              <w:spacing w:line="251" w:lineRule="exact"/>
              <w:ind w:left="432"/>
              <w:rPr>
                <w:sz w:val="22"/>
              </w:rPr>
            </w:pPr>
            <w:r>
              <w:rPr>
                <w:sz w:val="22"/>
              </w:rPr>
              <w:t>22</w:t>
            </w:r>
          </w:p>
        </w:tc>
        <w:tc>
          <w:tcPr>
            <w:tcW w:w="1193" w:type="dxa"/>
          </w:tcPr>
          <w:p>
            <w:pPr>
              <w:pStyle w:val="TableParagraph"/>
              <w:spacing w:line="251" w:lineRule="exact"/>
              <w:ind w:left="0" w:right="468"/>
              <w:jc w:val="right"/>
              <w:rPr>
                <w:sz w:val="22"/>
              </w:rPr>
            </w:pPr>
            <w:r>
              <w:rPr>
                <w:sz w:val="22"/>
              </w:rPr>
              <w:t>19</w:t>
            </w:r>
          </w:p>
        </w:tc>
        <w:tc>
          <w:tcPr>
            <w:tcW w:w="1277" w:type="dxa"/>
          </w:tcPr>
          <w:p>
            <w:pPr>
              <w:pStyle w:val="TableParagraph"/>
              <w:spacing w:line="251" w:lineRule="exact"/>
              <w:ind w:left="338" w:right="338"/>
              <w:jc w:val="center"/>
              <w:rPr>
                <w:sz w:val="22"/>
              </w:rPr>
            </w:pPr>
            <w:r>
              <w:rPr>
                <w:sz w:val="22"/>
              </w:rPr>
              <w:t>0.250</w:t>
            </w:r>
          </w:p>
        </w:tc>
        <w:tc>
          <w:tcPr>
            <w:tcW w:w="1274" w:type="dxa"/>
          </w:tcPr>
          <w:p>
            <w:pPr>
              <w:pStyle w:val="TableParagraph"/>
              <w:spacing w:line="251" w:lineRule="exact"/>
              <w:ind w:left="295" w:right="98"/>
              <w:rPr>
                <w:sz w:val="22"/>
              </w:rPr>
            </w:pPr>
            <w:r>
              <w:rPr>
                <w:sz w:val="22"/>
              </w:rPr>
              <w:t>18.188</w:t>
            </w:r>
          </w:p>
        </w:tc>
      </w:tr>
    </w:tbl>
    <w:p>
      <w:pPr>
        <w:pStyle w:val="BodyText"/>
        <w:spacing w:line="248" w:lineRule="exact"/>
        <w:ind w:left="218" w:right="778"/>
      </w:pPr>
      <w:r>
        <w:rPr>
          <w:b/>
        </w:rPr>
        <w:t>Fuente: </w:t>
      </w:r>
      <w:r>
        <w:rPr/>
        <w:t>elaboración propia con base en el sistema PEIR de la CHPH.</w:t>
      </w:r>
    </w:p>
    <w:p>
      <w:pPr>
        <w:spacing w:after="0" w:line="248" w:lineRule="exact"/>
        <w:sectPr>
          <w:pgSz w:w="15840" w:h="12240" w:orient="landscape"/>
          <w:pgMar w:header="0" w:footer="943" w:top="1140" w:bottom="1140" w:left="1200" w:right="1180"/>
        </w:sectPr>
      </w:pPr>
    </w:p>
    <w:p>
      <w:pPr>
        <w:pStyle w:val="BodyText"/>
        <w:spacing w:line="360" w:lineRule="auto" w:before="56"/>
        <w:ind w:left="102" w:right="115"/>
        <w:jc w:val="both"/>
      </w:pPr>
      <w:r>
        <w:rPr/>
        <w:t>Cabe señalar que en la anterior tabla se identificaron los factores críticos de éxito (FCE) que se obtuvieron de la matriz PEIR de la CHPH, donde se aprecia que la mayoría de los FCE de las AEPA ambiental, social, económica y política coinciden con los indicadores de presión que se obtuvieron mediante la identificación de los principios de gobernanza en las consideraciones teóricas y el trabajo de campo; lo cual indica la pertinencia del  sistema de</w:t>
      </w:r>
      <w:r>
        <w:rPr>
          <w:spacing w:val="-6"/>
        </w:rPr>
        <w:t> </w:t>
      </w:r>
      <w:r>
        <w:rPr/>
        <w:t>indicadores.</w:t>
      </w:r>
    </w:p>
    <w:p>
      <w:pPr>
        <w:pStyle w:val="BodyText"/>
        <w:spacing w:before="9"/>
        <w:rPr>
          <w:sz w:val="17"/>
        </w:rPr>
      </w:pPr>
    </w:p>
    <w:p>
      <w:pPr>
        <w:pStyle w:val="BodyText"/>
        <w:spacing w:line="360" w:lineRule="auto"/>
        <w:ind w:left="102" w:right="117"/>
        <w:jc w:val="both"/>
      </w:pPr>
      <w:r>
        <w:rPr/>
        <w:t>Cabe señalar que en las cuatro AEPA que se consideraron para la elaboración del sistema PEIR, se seleccionaron los factores críticos de éxito con base en el 20% más importante en cada AEPA, como lo establece el principio de Pareto y que se calculó sumando el número de vínculos de los indicadores en el sistema PEIR, arrojando la siguiente</w:t>
      </w:r>
      <w:r>
        <w:rPr>
          <w:spacing w:val="-6"/>
        </w:rPr>
        <w:t> </w:t>
      </w:r>
      <w:r>
        <w:rPr/>
        <w:t>información:</w:t>
      </w:r>
    </w:p>
    <w:p>
      <w:pPr>
        <w:pStyle w:val="BodyText"/>
        <w:spacing w:before="9"/>
        <w:rPr>
          <w:sz w:val="17"/>
        </w:rPr>
      </w:pPr>
    </w:p>
    <w:p>
      <w:pPr>
        <w:pStyle w:val="BodyText"/>
        <w:spacing w:line="360" w:lineRule="auto"/>
        <w:ind w:left="102" w:right="121"/>
        <w:jc w:val="both"/>
      </w:pPr>
      <w:r>
        <w:rPr/>
        <w:t>1.- La AEPA ambiental a nivel sistema resultó ser la más pesada, con un peso específico de 17.625 que representa el 93.03% del sistema, seguida por</w:t>
      </w:r>
    </w:p>
    <w:p>
      <w:pPr>
        <w:pStyle w:val="BodyText"/>
        <w:spacing w:before="7"/>
        <w:rPr>
          <w:sz w:val="17"/>
        </w:rPr>
      </w:pPr>
    </w:p>
    <w:p>
      <w:pPr>
        <w:pStyle w:val="BodyText"/>
        <w:spacing w:line="360" w:lineRule="auto"/>
        <w:ind w:left="102" w:right="116"/>
        <w:jc w:val="both"/>
      </w:pPr>
      <w:r>
        <w:rPr/>
        <w:t>2.- La AEPA social que tiene un peso específico de 1.227 que representa el 6.47% del sietema;</w:t>
      </w:r>
    </w:p>
    <w:p>
      <w:pPr>
        <w:pStyle w:val="BodyText"/>
        <w:spacing w:before="9"/>
        <w:rPr>
          <w:sz w:val="17"/>
        </w:rPr>
      </w:pPr>
    </w:p>
    <w:p>
      <w:pPr>
        <w:pStyle w:val="BodyText"/>
        <w:spacing w:line="360" w:lineRule="auto"/>
        <w:ind w:left="102" w:right="119"/>
        <w:jc w:val="both"/>
      </w:pPr>
      <w:r>
        <w:rPr/>
        <w:t>3.- La AEPA económica resultó con un peso específico de 0.087 que representa el 0.46% del sistema, y finalmente</w:t>
      </w:r>
    </w:p>
    <w:p>
      <w:pPr>
        <w:pStyle w:val="BodyText"/>
        <w:spacing w:before="7"/>
        <w:rPr>
          <w:sz w:val="17"/>
        </w:rPr>
      </w:pPr>
    </w:p>
    <w:p>
      <w:pPr>
        <w:pStyle w:val="BodyText"/>
        <w:spacing w:line="362" w:lineRule="auto"/>
        <w:ind w:left="102" w:right="117"/>
        <w:jc w:val="both"/>
      </w:pPr>
      <w:r>
        <w:rPr/>
        <w:t>4.- La AEPA política con un peso específico de 0.007 que representa el 0.03% del sistema.</w:t>
      </w:r>
    </w:p>
    <w:p>
      <w:pPr>
        <w:pStyle w:val="BodyText"/>
        <w:spacing w:before="4"/>
        <w:rPr>
          <w:sz w:val="17"/>
        </w:rPr>
      </w:pPr>
    </w:p>
    <w:p>
      <w:pPr>
        <w:pStyle w:val="BodyText"/>
        <w:spacing w:line="360" w:lineRule="auto"/>
        <w:ind w:left="102" w:right="116"/>
        <w:jc w:val="both"/>
      </w:pPr>
      <w:r>
        <w:rPr/>
        <w:t>Sin embargo, esto no indica que la primera AEPA (ambiental) sea la más importante, ya que la interrelación de los indicadores está basada en un sistema holístico y de sinergia lo cual permite ver al sistema PEIR como una totalidad, donde todos los indicadores de las AEPA están vinculados entre sí para identificar las interacciones, particularidades y procesos que por lo regular no se perciben si se estudian los aspectos que conforman el todo, por separado.</w:t>
      </w:r>
    </w:p>
    <w:p>
      <w:pPr>
        <w:pStyle w:val="BodyText"/>
        <w:spacing w:before="7"/>
        <w:rPr>
          <w:sz w:val="17"/>
        </w:rPr>
      </w:pPr>
    </w:p>
    <w:p>
      <w:pPr>
        <w:pStyle w:val="BodyText"/>
        <w:spacing w:line="360" w:lineRule="auto"/>
        <w:ind w:left="102" w:right="115"/>
        <w:jc w:val="both"/>
      </w:pPr>
      <w:r>
        <w:rPr/>
        <w:t>Desde esta perspectiva, podemos decir, que sí bien la AEPA ambiental es la que ejerce más presión en el sistema PEIR de la CHPH, es porque las AEPA social, económica y política no están funcionando de manera adecuada, ya que al interrelacionarse los indicadores en el sistema PEIR, la primera AEPA es consecuencia de las segundas AEPA,</w:t>
      </w:r>
      <w:r>
        <w:rPr>
          <w:spacing w:val="17"/>
        </w:rPr>
        <w:t> </w:t>
      </w:r>
      <w:r>
        <w:rPr/>
        <w:t>por</w:t>
      </w:r>
      <w:r>
        <w:rPr>
          <w:spacing w:val="15"/>
        </w:rPr>
        <w:t> </w:t>
      </w:r>
      <w:r>
        <w:rPr/>
        <w:t>tal</w:t>
      </w:r>
      <w:r>
        <w:rPr>
          <w:spacing w:val="13"/>
        </w:rPr>
        <w:t> </w:t>
      </w:r>
      <w:r>
        <w:rPr/>
        <w:t>motivo</w:t>
      </w:r>
      <w:r>
        <w:rPr>
          <w:spacing w:val="16"/>
        </w:rPr>
        <w:t> </w:t>
      </w:r>
      <w:r>
        <w:rPr/>
        <w:t>se</w:t>
      </w:r>
      <w:r>
        <w:rPr>
          <w:spacing w:val="14"/>
        </w:rPr>
        <w:t> </w:t>
      </w:r>
      <w:r>
        <w:rPr/>
        <w:t>debe</w:t>
      </w:r>
      <w:r>
        <w:rPr>
          <w:spacing w:val="16"/>
        </w:rPr>
        <w:t> </w:t>
      </w:r>
      <w:r>
        <w:rPr/>
        <w:t>atender</w:t>
      </w:r>
      <w:r>
        <w:rPr>
          <w:spacing w:val="15"/>
        </w:rPr>
        <w:t> </w:t>
      </w:r>
      <w:r>
        <w:rPr/>
        <w:t>la</w:t>
      </w:r>
      <w:r>
        <w:rPr>
          <w:spacing w:val="16"/>
        </w:rPr>
        <w:t> </w:t>
      </w:r>
      <w:r>
        <w:rPr/>
        <w:t>problemática</w:t>
      </w:r>
      <w:r>
        <w:rPr>
          <w:spacing w:val="13"/>
        </w:rPr>
        <w:t> </w:t>
      </w:r>
      <w:r>
        <w:rPr/>
        <w:t>de</w:t>
      </w:r>
      <w:r>
        <w:rPr>
          <w:spacing w:val="16"/>
        </w:rPr>
        <w:t> </w:t>
      </w:r>
      <w:r>
        <w:rPr/>
        <w:t>la</w:t>
      </w:r>
      <w:r>
        <w:rPr>
          <w:spacing w:val="16"/>
        </w:rPr>
        <w:t> </w:t>
      </w:r>
      <w:r>
        <w:rPr/>
        <w:t>CHPH</w:t>
      </w:r>
      <w:r>
        <w:rPr>
          <w:spacing w:val="15"/>
        </w:rPr>
        <w:t> </w:t>
      </w:r>
      <w:r>
        <w:rPr/>
        <w:t>desde</w:t>
      </w:r>
      <w:r>
        <w:rPr>
          <w:spacing w:val="16"/>
        </w:rPr>
        <w:t> </w:t>
      </w:r>
      <w:r>
        <w:rPr/>
        <w:t>un</w:t>
      </w:r>
      <w:r>
        <w:rPr>
          <w:spacing w:val="16"/>
        </w:rPr>
        <w:t> </w:t>
      </w:r>
      <w:r>
        <w:rPr/>
        <w:t>enfoque</w:t>
      </w:r>
      <w:r>
        <w:rPr>
          <w:spacing w:val="16"/>
        </w:rPr>
        <w:t> </w:t>
      </w:r>
      <w:r>
        <w:rPr/>
        <w:t>de</w:t>
      </w:r>
    </w:p>
    <w:p>
      <w:pPr>
        <w:spacing w:after="0" w:line="360" w:lineRule="auto"/>
        <w:jc w:val="both"/>
        <w:sectPr>
          <w:footerReference w:type="default" r:id="rId258"/>
          <w:pgSz w:w="12240" w:h="15840"/>
          <w:pgMar w:footer="1003" w:header="0" w:top="1360" w:bottom="1200" w:left="1600" w:right="1580"/>
          <w:pgNumType w:start="517"/>
        </w:sectPr>
      </w:pPr>
    </w:p>
    <w:p>
      <w:pPr>
        <w:pStyle w:val="BodyText"/>
        <w:spacing w:line="360" w:lineRule="auto" w:before="56"/>
        <w:ind w:left="102" w:right="118"/>
        <w:jc w:val="both"/>
      </w:pPr>
      <w:r>
        <w:rPr/>
        <w:t>GIRH basado en la gobernanza y la gobernabilidad para obtener un mejor resultado en  los</w:t>
      </w:r>
      <w:r>
        <w:rPr>
          <w:spacing w:val="-1"/>
        </w:rPr>
        <w:t> </w:t>
      </w:r>
      <w:r>
        <w:rPr/>
        <w:t>proyectos.</w:t>
      </w:r>
    </w:p>
    <w:p>
      <w:pPr>
        <w:pStyle w:val="BodyText"/>
        <w:spacing w:before="7"/>
        <w:rPr>
          <w:sz w:val="17"/>
        </w:rPr>
      </w:pPr>
    </w:p>
    <w:p>
      <w:pPr>
        <w:pStyle w:val="BodyText"/>
        <w:spacing w:line="360" w:lineRule="auto"/>
        <w:ind w:left="102" w:right="117"/>
        <w:jc w:val="both"/>
      </w:pPr>
      <w:r>
        <w:rPr/>
        <w:t>En este sentido, se pretendía usar los factores críticos de éxito que arrojo el sistema PEIR para la elaboración de la propuesta de un Comité Intermunicipal para cuidar, defender y administrar los recursos de la CHPH con su reglamento, dichos factores críticos de éxito son también el resultado de los principios de gobernanza que fueron identificados a través de las consideraciones teóricas y del trabajo de campo que se realizó para esta investigación.</w:t>
      </w:r>
    </w:p>
    <w:p>
      <w:pPr>
        <w:pStyle w:val="BodyText"/>
        <w:spacing w:before="7"/>
        <w:rPr>
          <w:sz w:val="17"/>
        </w:rPr>
      </w:pPr>
    </w:p>
    <w:p>
      <w:pPr>
        <w:pStyle w:val="BodyText"/>
        <w:ind w:left="102"/>
        <w:jc w:val="both"/>
      </w:pPr>
      <w:r>
        <w:rPr/>
        <w:t>Los Factores Críticos de Éxito que arrojó el sistema PEIR fueron:</w:t>
      </w:r>
    </w:p>
    <w:p>
      <w:pPr>
        <w:pStyle w:val="BodyText"/>
        <w:spacing w:before="5"/>
        <w:rPr>
          <w:sz w:val="28"/>
        </w:rPr>
      </w:pPr>
    </w:p>
    <w:p>
      <w:pPr>
        <w:pStyle w:val="BodyText"/>
        <w:spacing w:line="360" w:lineRule="auto" w:before="1"/>
        <w:ind w:left="102" w:right="115"/>
        <w:jc w:val="both"/>
      </w:pPr>
      <w:r>
        <w:rPr/>
        <w:t>1.- Para la AEPA ambiental resultaron ocho indicadores: historia ambiental, poder ambiental, cultura ambiental, democracia y voluntariedad, participación social, relaciones intermunicipales, cooperación ambiental e identidad ambiental.</w:t>
      </w:r>
    </w:p>
    <w:p>
      <w:pPr>
        <w:pStyle w:val="BodyText"/>
        <w:spacing w:before="9"/>
        <w:rPr>
          <w:sz w:val="17"/>
        </w:rPr>
      </w:pPr>
    </w:p>
    <w:p>
      <w:pPr>
        <w:pStyle w:val="BodyText"/>
        <w:spacing w:line="360" w:lineRule="auto"/>
        <w:ind w:left="102" w:right="116"/>
        <w:jc w:val="both"/>
      </w:pPr>
      <w:r>
        <w:rPr/>
        <w:t>2.- Para la AEPA social resultaron ocho indicadores: historia social, poder social, cultura social, democracia y voluntariedad, participación social, relaciones intermunicipales, cooperación social e identidad social.</w:t>
      </w:r>
    </w:p>
    <w:p>
      <w:pPr>
        <w:pStyle w:val="BodyText"/>
        <w:spacing w:before="7"/>
        <w:rPr>
          <w:sz w:val="17"/>
        </w:rPr>
      </w:pPr>
    </w:p>
    <w:p>
      <w:pPr>
        <w:pStyle w:val="BodyText"/>
        <w:spacing w:line="360" w:lineRule="auto"/>
        <w:ind w:left="102" w:right="114"/>
        <w:jc w:val="both"/>
      </w:pPr>
      <w:r>
        <w:rPr/>
        <w:t>3.- Para la AEPA económica, resultaron ser diez los indicadores: historia económica, cultura económica, democracia y voluntariedad, participación social, relaciones intermunicipales, cooperación económica, identidad económica, gobernanza económica, gobernabilidad económica y uso irracional.</w:t>
      </w:r>
    </w:p>
    <w:p>
      <w:pPr>
        <w:pStyle w:val="BodyText"/>
        <w:spacing w:before="7"/>
        <w:rPr>
          <w:sz w:val="17"/>
        </w:rPr>
      </w:pPr>
    </w:p>
    <w:p>
      <w:pPr>
        <w:pStyle w:val="BodyText"/>
        <w:spacing w:line="360" w:lineRule="auto"/>
        <w:ind w:left="102" w:right="114"/>
        <w:jc w:val="both"/>
      </w:pPr>
      <w:r>
        <w:rPr/>
        <w:t>4.- Finalmente, para la AEPA política resultaron trece los indicadores: historia política, poder político, cultura política, democracia y voluntariedad, participación política_1, relaciones intermunicipales, cooperación política, identidad política, gobernanza política, desequilibrio de poder, sentido de pertenencia, identidad comunitaria y formación de organizaciones.</w:t>
      </w:r>
    </w:p>
    <w:p>
      <w:pPr>
        <w:pStyle w:val="BodyText"/>
        <w:spacing w:before="10"/>
        <w:rPr>
          <w:sz w:val="17"/>
        </w:rPr>
      </w:pPr>
    </w:p>
    <w:p>
      <w:pPr>
        <w:pStyle w:val="BodyText"/>
        <w:spacing w:line="360" w:lineRule="auto"/>
        <w:ind w:left="102" w:right="117"/>
        <w:jc w:val="both"/>
      </w:pPr>
      <w:r>
        <w:rPr/>
        <w:t>Con la interrelación de las cuatro AEPA anteriores se vincularon un total de 176 indicadores a través de los 44 indicadores por cada AEPA.</w:t>
      </w:r>
    </w:p>
    <w:p>
      <w:pPr>
        <w:pStyle w:val="BodyText"/>
        <w:spacing w:before="4"/>
        <w:rPr>
          <w:sz w:val="17"/>
        </w:rPr>
      </w:pPr>
    </w:p>
    <w:p>
      <w:pPr>
        <w:pStyle w:val="Heading6"/>
        <w:numPr>
          <w:ilvl w:val="1"/>
          <w:numId w:val="58"/>
        </w:numPr>
        <w:tabs>
          <w:tab w:pos="532" w:val="left" w:leader="none"/>
        </w:tabs>
        <w:spacing w:line="240" w:lineRule="auto" w:before="0" w:after="0"/>
        <w:ind w:left="531" w:right="0" w:hanging="429"/>
        <w:jc w:val="both"/>
      </w:pPr>
      <w:bookmarkStart w:name="_TOC_250011" w:id="62"/>
      <w:r>
        <w:rPr/>
        <w:t>Conjugación de las AEPA Política y Social en AEPA</w:t>
      </w:r>
      <w:r>
        <w:rPr>
          <w:spacing w:val="-18"/>
        </w:rPr>
        <w:t> </w:t>
      </w:r>
      <w:bookmarkEnd w:id="62"/>
      <w:r>
        <w:rPr/>
        <w:t>Sociopolítica</w:t>
      </w:r>
    </w:p>
    <w:p>
      <w:pPr>
        <w:pStyle w:val="BodyText"/>
        <w:spacing w:before="8"/>
        <w:rPr>
          <w:b/>
          <w:sz w:val="28"/>
        </w:rPr>
      </w:pPr>
    </w:p>
    <w:p>
      <w:pPr>
        <w:pStyle w:val="BodyText"/>
        <w:spacing w:line="360" w:lineRule="auto"/>
        <w:ind w:left="102" w:right="119"/>
        <w:jc w:val="both"/>
      </w:pPr>
      <w:r>
        <w:rPr/>
        <w:t>Sin embargo, al hacer la interpretación de los resultados anteriores el sistema PEIR arrojó resultados  similares  en  las  AEPA  social  y  política,  lo  cual  manifestó  la     necesidad</w:t>
      </w:r>
    </w:p>
    <w:p>
      <w:pPr>
        <w:spacing w:after="0" w:line="360" w:lineRule="auto"/>
        <w:jc w:val="both"/>
        <w:sectPr>
          <w:pgSz w:w="12240" w:h="15840"/>
          <w:pgMar w:header="0" w:footer="1003" w:top="1360" w:bottom="1200" w:left="1600" w:right="1580"/>
        </w:sectPr>
      </w:pPr>
    </w:p>
    <w:p>
      <w:pPr>
        <w:pStyle w:val="BodyText"/>
        <w:spacing w:line="360" w:lineRule="auto" w:before="56"/>
        <w:ind w:left="102" w:right="114"/>
        <w:jc w:val="both"/>
      </w:pPr>
      <w:r>
        <w:rPr/>
        <w:t>metodológica que ambas áreas estratégicas de planeación y articulación (social y  política), se simplificaran en la creación de una nueva AEPA, llamada ahora </w:t>
      </w:r>
      <w:r>
        <w:rPr>
          <w:i/>
        </w:rPr>
        <w:t>AEPA </w:t>
      </w:r>
      <w:r>
        <w:rPr>
          <w:i/>
        </w:rPr>
        <w:t>sociopolítica </w:t>
      </w:r>
      <w:r>
        <w:rPr/>
        <w:t>(ver anexo 4) ya que la AEPA política en el sistema PEIR apenas tuvo un peso específico de 0.007, el cual resultó muy bajo para dar una explicación por si sola de su importancia en el sistema PEIR, lo cual obedece a que, si bien los indicadores de las AEPA social y política no son los mismos, resultaron estar estrechamente interrelacionados, ya que la interpretación arrojó que las estructuras sociales generan las interrelaciones políticas en la CHPH, lo cual indicó la ruta hacia una simplificación del sistema PEIR en tres AEPA, fusionándose las AEPA social y política en una nueva, lo  cual requirió de un proceso de cruce de indicadores en el sistema PEIR (ver anexo 4), que consistió en preguntarse ¿si mejora positivamente el factor en X, se mejora positivamente el factor en Y? Sí=1, No=0, es decir, ¿Si mejora positivamente el indicador en la AEPA social, se mejora positivamente en la AEPA política? Sí=1, No=0. En esta matriz sólo cambiaron los ceros de la AEPA social en comparación con la AEPA política mediante  dos conjugaciones: sí en las AEPA social y política el indicador tenía cero, el resultado fue cero porque no hubo ningún impacto positivo y sí en la AEPA social el indicador tenía 0 y en la AEPA política tenía uno, el resultado fue 1 para la AEPA social porque sí hubo un impacto positivo en la relación de los indicadores de las dos AEPA. En síntesis las dos combinaciones que se dieron entre la AEPA social y política fueron: 0+0=0 y 0+1=1, dicho cruce sólo simplificó a estas dos AEPA en el sistema PEIR (ver anexo 4). Sin embargo, aunque el cruce de indicadores sólo se dio en las AEPA social y política y no en las AEPA ambiental y económica, se tuvo que realizar una nueva matriz porque se afectó a todo el sistema por la interrelación de los indicadores, ya que el número de vínculos cambió y por ende la jerarquía y el peso específico de cada</w:t>
      </w:r>
      <w:r>
        <w:rPr>
          <w:spacing w:val="-12"/>
        </w:rPr>
        <w:t> </w:t>
      </w:r>
      <w:r>
        <w:rPr/>
        <w:t>indicador.</w:t>
      </w:r>
    </w:p>
    <w:p>
      <w:pPr>
        <w:pStyle w:val="BodyText"/>
        <w:spacing w:before="7"/>
        <w:rPr>
          <w:sz w:val="17"/>
        </w:rPr>
      </w:pPr>
    </w:p>
    <w:p>
      <w:pPr>
        <w:pStyle w:val="Heading6"/>
        <w:numPr>
          <w:ilvl w:val="2"/>
          <w:numId w:val="58"/>
        </w:numPr>
        <w:tabs>
          <w:tab w:pos="719" w:val="left" w:leader="none"/>
        </w:tabs>
        <w:spacing w:line="360" w:lineRule="auto" w:before="0" w:after="0"/>
        <w:ind w:left="102" w:right="116" w:firstLine="0"/>
        <w:jc w:val="both"/>
      </w:pPr>
      <w:bookmarkStart w:name="_TOC_250010" w:id="63"/>
      <w:r>
        <w:rPr/>
        <w:t>Proceso de reestructuración del sistema PEIR-CHPH en tres AEPA (ambiental, sociopolítica y</w:t>
      </w:r>
      <w:r>
        <w:rPr>
          <w:spacing w:val="-5"/>
        </w:rPr>
        <w:t> </w:t>
      </w:r>
      <w:bookmarkEnd w:id="63"/>
      <w:r>
        <w:rPr/>
        <w:t>económica)</w:t>
      </w:r>
    </w:p>
    <w:p>
      <w:pPr>
        <w:pStyle w:val="BodyText"/>
        <w:spacing w:before="10"/>
        <w:rPr>
          <w:b/>
          <w:sz w:val="17"/>
        </w:rPr>
      </w:pPr>
    </w:p>
    <w:p>
      <w:pPr>
        <w:pStyle w:val="BodyText"/>
        <w:spacing w:line="360" w:lineRule="auto"/>
        <w:ind w:left="102" w:right="116"/>
        <w:jc w:val="both"/>
      </w:pPr>
      <w:r>
        <w:rPr/>
        <w:t>Dicha conjugación de las AEPA social y política trajo consigo una reducción del total de los 176 indicadores a 132 que se interrelacionaron en el nuevo sistema PEIR (44 indicadores por cada AEPA) de los cuales se obtuvieron los factores críticos de éxito para la elaboración de la propuesta del Comité Intermunicipal Para Cuidar, Defender y Administrar los Recursos de la CHPH con su</w:t>
      </w:r>
      <w:r>
        <w:rPr>
          <w:spacing w:val="-12"/>
        </w:rPr>
        <w:t> </w:t>
      </w:r>
      <w:r>
        <w:rPr/>
        <w:t>Reglamento.</w:t>
      </w:r>
    </w:p>
    <w:p>
      <w:pPr>
        <w:pStyle w:val="BodyText"/>
        <w:spacing w:before="6"/>
        <w:rPr>
          <w:sz w:val="17"/>
        </w:rPr>
      </w:pPr>
    </w:p>
    <w:p>
      <w:pPr>
        <w:pStyle w:val="BodyText"/>
        <w:spacing w:line="360" w:lineRule="auto" w:before="1"/>
        <w:ind w:left="102" w:right="118"/>
        <w:jc w:val="both"/>
      </w:pPr>
      <w:r>
        <w:rPr/>
        <w:t>Dicha simplificación de las AEPA social y política requirió de la generación de una nueva matriz, por lo que se dio inicio, otra vez, con un nuevo sistema PEIR, ahora con tres</w:t>
      </w:r>
    </w:p>
    <w:p>
      <w:pPr>
        <w:spacing w:after="0" w:line="360" w:lineRule="auto"/>
        <w:jc w:val="both"/>
        <w:sectPr>
          <w:pgSz w:w="12240" w:h="15840"/>
          <w:pgMar w:header="0" w:footer="1003" w:top="1360" w:bottom="1200" w:left="1600" w:right="1580"/>
        </w:sectPr>
      </w:pPr>
    </w:p>
    <w:p>
      <w:pPr>
        <w:pStyle w:val="BodyText"/>
        <w:spacing w:line="360" w:lineRule="auto" w:before="56"/>
        <w:ind w:left="102" w:right="114"/>
        <w:jc w:val="both"/>
      </w:pPr>
      <w:r>
        <w:rPr/>
        <w:t>AEPA. Lo primero que se hizo fue conjugar dichas AEPA a través del cruce de  indicadores (ver anexo 4), el cual se le llamo sistema PEIR para cohesionar las AEPA social y política en sociopolítica para posteriormente definir los nuevos indicadores en una nueva tabla para la AEPA Sociopolítica, ver tabla</w:t>
      </w:r>
      <w:r>
        <w:rPr>
          <w:spacing w:val="-16"/>
        </w:rPr>
        <w:t> </w:t>
      </w:r>
      <w:r>
        <w:rPr/>
        <w:t>7.8.</w:t>
      </w:r>
    </w:p>
    <w:p>
      <w:pPr>
        <w:spacing w:after="0" w:line="360" w:lineRule="auto"/>
        <w:jc w:val="both"/>
        <w:sectPr>
          <w:footerReference w:type="default" r:id="rId259"/>
          <w:pgSz w:w="12240" w:h="15840"/>
          <w:pgMar w:footer="1003" w:header="0" w:top="1360" w:bottom="1200" w:left="1600" w:right="1580"/>
          <w:pgNumType w:start="520"/>
        </w:sectPr>
      </w:pPr>
    </w:p>
    <w:p>
      <w:pPr>
        <w:pStyle w:val="BodyText"/>
        <w:rPr>
          <w:sz w:val="20"/>
        </w:rPr>
      </w:pPr>
    </w:p>
    <w:p>
      <w:pPr>
        <w:pStyle w:val="BodyText"/>
        <w:spacing w:before="1"/>
      </w:pPr>
    </w:p>
    <w:p>
      <w:pPr>
        <w:pStyle w:val="Heading6"/>
        <w:spacing w:before="73"/>
        <w:ind w:left="1926"/>
      </w:pPr>
      <w:r>
        <w:rPr/>
        <w:t>Tabla 7.8 Simplificación de las AEPA social y política en AEPA sociopolítica</w:t>
      </w:r>
    </w:p>
    <w:p>
      <w:pPr>
        <w:pStyle w:val="BodyText"/>
        <w:spacing w:before="8"/>
        <w:rPr>
          <w:b/>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473"/>
        <w:gridCol w:w="387"/>
        <w:gridCol w:w="976"/>
        <w:gridCol w:w="1424"/>
        <w:gridCol w:w="2211"/>
        <w:gridCol w:w="2835"/>
      </w:tblGrid>
      <w:tr>
        <w:trPr>
          <w:trHeight w:val="516" w:hRule="exact"/>
        </w:trPr>
        <w:tc>
          <w:tcPr>
            <w:tcW w:w="11805" w:type="dxa"/>
            <w:gridSpan w:val="9"/>
          </w:tcPr>
          <w:p>
            <w:pPr>
              <w:pStyle w:val="TableParagraph"/>
              <w:spacing w:line="242" w:lineRule="auto"/>
              <w:ind w:left="4692" w:right="647" w:hanging="3462"/>
              <w:rPr>
                <w:b/>
                <w:sz w:val="22"/>
              </w:rPr>
            </w:pPr>
            <w:r>
              <w:rPr>
                <w:b/>
                <w:sz w:val="22"/>
              </w:rPr>
              <w:t>SISTEMA DE INDICADORES PEIR PARA LA CUENCA HIDROSOCIAL PRESA HUAPANGO AEPA SOCIOPOLÍTICA</w:t>
            </w:r>
          </w:p>
        </w:tc>
      </w:tr>
      <w:tr>
        <w:trPr>
          <w:trHeight w:val="770" w:hRule="exact"/>
        </w:trPr>
        <w:tc>
          <w:tcPr>
            <w:tcW w:w="852" w:type="dxa"/>
            <w:shd w:val="clear" w:color="auto" w:fill="BEBEBE"/>
          </w:tcPr>
          <w:p>
            <w:pPr>
              <w:pStyle w:val="TableParagraph"/>
              <w:ind w:left="115" w:right="112" w:firstLine="12"/>
              <w:jc w:val="both"/>
              <w:rPr>
                <w:b/>
                <w:sz w:val="22"/>
              </w:rPr>
            </w:pPr>
            <w:r>
              <w:rPr>
                <w:b/>
                <w:sz w:val="22"/>
              </w:rPr>
              <w:t>Clave PEIR- AEPA</w:t>
            </w:r>
          </w:p>
        </w:tc>
        <w:tc>
          <w:tcPr>
            <w:tcW w:w="730" w:type="dxa"/>
            <w:shd w:val="clear" w:color="auto" w:fill="BEBEBE"/>
          </w:tcPr>
          <w:p>
            <w:pPr>
              <w:pStyle w:val="TableParagraph"/>
              <w:spacing w:line="248" w:lineRule="exact"/>
              <w:ind w:left="83" w:right="83"/>
              <w:jc w:val="center"/>
              <w:rPr>
                <w:b/>
                <w:sz w:val="22"/>
              </w:rPr>
            </w:pPr>
            <w:r>
              <w:rPr>
                <w:b/>
                <w:sz w:val="22"/>
              </w:rPr>
              <w:t>PEIR</w:t>
            </w:r>
          </w:p>
        </w:tc>
        <w:tc>
          <w:tcPr>
            <w:tcW w:w="1918" w:type="dxa"/>
            <w:shd w:val="clear" w:color="auto" w:fill="BEBEBE"/>
          </w:tcPr>
          <w:p>
            <w:pPr>
              <w:pStyle w:val="TableParagraph"/>
              <w:spacing w:before="8"/>
              <w:ind w:left="0"/>
              <w:rPr>
                <w:b/>
                <w:sz w:val="21"/>
              </w:rPr>
            </w:pPr>
          </w:p>
          <w:p>
            <w:pPr>
              <w:pStyle w:val="TableParagraph"/>
              <w:ind w:left="458" w:right="195"/>
              <w:rPr>
                <w:b/>
                <w:sz w:val="22"/>
              </w:rPr>
            </w:pPr>
            <w:r>
              <w:rPr>
                <w:b/>
                <w:sz w:val="22"/>
              </w:rPr>
              <w:t>Indicador</w:t>
            </w:r>
          </w:p>
        </w:tc>
        <w:tc>
          <w:tcPr>
            <w:tcW w:w="3259" w:type="dxa"/>
            <w:gridSpan w:val="4"/>
            <w:shd w:val="clear" w:color="auto" w:fill="BEBEBE"/>
          </w:tcPr>
          <w:p>
            <w:pPr>
              <w:pStyle w:val="TableParagraph"/>
              <w:spacing w:before="8"/>
              <w:ind w:left="0"/>
              <w:rPr>
                <w:b/>
                <w:sz w:val="21"/>
              </w:rPr>
            </w:pPr>
          </w:p>
          <w:p>
            <w:pPr>
              <w:pStyle w:val="TableParagraph"/>
              <w:ind w:left="432" w:right="93"/>
              <w:rPr>
                <w:b/>
                <w:sz w:val="22"/>
              </w:rPr>
            </w:pPr>
            <w:r>
              <w:rPr>
                <w:b/>
                <w:sz w:val="22"/>
              </w:rPr>
              <w:t>Concepto de Indicador</w:t>
            </w:r>
          </w:p>
        </w:tc>
        <w:tc>
          <w:tcPr>
            <w:tcW w:w="2211" w:type="dxa"/>
            <w:shd w:val="clear" w:color="auto" w:fill="BEBEBE"/>
          </w:tcPr>
          <w:p>
            <w:pPr>
              <w:pStyle w:val="TableParagraph"/>
              <w:spacing w:before="122"/>
              <w:ind w:left="621" w:right="552" w:hanging="56"/>
              <w:rPr>
                <w:b/>
                <w:sz w:val="22"/>
              </w:rPr>
            </w:pPr>
            <w:r>
              <w:rPr>
                <w:b/>
                <w:sz w:val="22"/>
              </w:rPr>
              <w:t>Unidad de Medición</w:t>
            </w:r>
          </w:p>
        </w:tc>
        <w:tc>
          <w:tcPr>
            <w:tcW w:w="2835" w:type="dxa"/>
            <w:shd w:val="clear" w:color="auto" w:fill="BEBEBE"/>
          </w:tcPr>
          <w:p>
            <w:pPr>
              <w:pStyle w:val="TableParagraph"/>
              <w:spacing w:line="242" w:lineRule="auto"/>
              <w:ind w:left="772" w:right="181" w:hanging="581"/>
              <w:rPr>
                <w:b/>
                <w:sz w:val="22"/>
              </w:rPr>
            </w:pPr>
            <w:r>
              <w:rPr>
                <w:b/>
                <w:sz w:val="22"/>
              </w:rPr>
              <w:t>Definición de la Unidad de Medición</w:t>
            </w:r>
          </w:p>
        </w:tc>
      </w:tr>
      <w:tr>
        <w:trPr>
          <w:trHeight w:val="3047" w:hRule="exact"/>
        </w:trPr>
        <w:tc>
          <w:tcPr>
            <w:tcW w:w="852" w:type="dxa"/>
            <w:shd w:val="clear" w:color="auto" w:fill="D99493"/>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7"/>
              <w:ind w:left="0"/>
              <w:rPr>
                <w:b/>
                <w:sz w:val="21"/>
              </w:rPr>
            </w:pPr>
          </w:p>
          <w:p>
            <w:pPr>
              <w:pStyle w:val="TableParagraph"/>
              <w:ind w:left="125" w:right="124"/>
              <w:jc w:val="center"/>
              <w:rPr>
                <w:b/>
                <w:sz w:val="22"/>
              </w:rPr>
            </w:pPr>
            <w:r>
              <w:rPr>
                <w:b/>
                <w:sz w:val="22"/>
              </w:rPr>
              <w:t>P1P</w:t>
            </w:r>
          </w:p>
        </w:tc>
        <w:tc>
          <w:tcPr>
            <w:tcW w:w="730" w:type="dxa"/>
            <w:shd w:val="clear" w:color="auto" w:fill="D99493"/>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7"/>
              <w:ind w:left="0"/>
              <w:rPr>
                <w:b/>
                <w:sz w:val="21"/>
              </w:rPr>
            </w:pPr>
          </w:p>
          <w:p>
            <w:pPr>
              <w:pStyle w:val="TableParagraph"/>
              <w:ind w:left="3"/>
              <w:jc w:val="center"/>
              <w:rPr>
                <w:b/>
                <w:sz w:val="22"/>
              </w:rPr>
            </w:pPr>
            <w:r>
              <w:rPr>
                <w:b/>
                <w:w w:val="100"/>
                <w:sz w:val="22"/>
              </w:rPr>
              <w:t>P</w:t>
            </w:r>
          </w:p>
        </w:tc>
        <w:tc>
          <w:tcPr>
            <w:tcW w:w="1918" w:type="dxa"/>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9"/>
              <w:ind w:left="0"/>
              <w:rPr>
                <w:b/>
                <w:sz w:val="21"/>
              </w:rPr>
            </w:pPr>
          </w:p>
          <w:p>
            <w:pPr>
              <w:pStyle w:val="TableParagraph"/>
              <w:ind w:right="574"/>
              <w:rPr>
                <w:sz w:val="22"/>
              </w:rPr>
            </w:pPr>
            <w:r>
              <w:rPr>
                <w:sz w:val="22"/>
              </w:rPr>
              <w:t>Historia sociopolítica</w:t>
            </w:r>
          </w:p>
        </w:tc>
        <w:tc>
          <w:tcPr>
            <w:tcW w:w="3259" w:type="dxa"/>
            <w:gridSpan w:val="4"/>
          </w:tcPr>
          <w:p>
            <w:pPr>
              <w:pStyle w:val="TableParagraph"/>
              <w:tabs>
                <w:tab w:pos="1137" w:val="left" w:leader="none"/>
                <w:tab w:pos="2060" w:val="left" w:leader="none"/>
              </w:tabs>
              <w:spacing w:before="123"/>
              <w:ind w:right="97"/>
              <w:jc w:val="both"/>
              <w:rPr>
                <w:sz w:val="22"/>
              </w:rPr>
            </w:pPr>
            <w:r>
              <w:rPr>
                <w:sz w:val="22"/>
              </w:rPr>
              <w:t>Son</w:t>
              <w:tab/>
              <w:t>las</w:t>
              <w:tab/>
            </w:r>
            <w:r>
              <w:rPr>
                <w:spacing w:val="-1"/>
                <w:sz w:val="22"/>
              </w:rPr>
              <w:t>estructuras </w:t>
            </w:r>
            <w:r>
              <w:rPr>
                <w:sz w:val="22"/>
              </w:rPr>
              <w:t>sociopolíticas de la región que vinculan el pasado, presente y futuro de los actores de la CHPH a través de procesos históricos que han articulado a los municipios de la  Cuenca en una región con características comunes (Cfr. Hecht,   1976;  White,   2012 </w:t>
            </w:r>
            <w:r>
              <w:rPr>
                <w:spacing w:val="16"/>
                <w:sz w:val="22"/>
              </w:rPr>
              <w:t> </w:t>
            </w:r>
            <w:r>
              <w:rPr>
                <w:sz w:val="22"/>
              </w:rPr>
              <w:t>y</w:t>
            </w:r>
          </w:p>
          <w:p>
            <w:pPr>
              <w:pStyle w:val="TableParagraph"/>
              <w:spacing w:before="2"/>
              <w:jc w:val="both"/>
              <w:rPr>
                <w:sz w:val="22"/>
              </w:rPr>
            </w:pPr>
            <w:r>
              <w:rPr>
                <w:sz w:val="22"/>
              </w:rPr>
              <w:t>García, TC: 2013-2015).</w:t>
            </w:r>
          </w:p>
        </w:tc>
        <w:tc>
          <w:tcPr>
            <w:tcW w:w="2211" w:type="dxa"/>
          </w:tcPr>
          <w:p>
            <w:pPr>
              <w:pStyle w:val="TableParagraph"/>
              <w:ind w:left="0"/>
              <w:rPr>
                <w:b/>
                <w:sz w:val="22"/>
              </w:rPr>
            </w:pPr>
          </w:p>
          <w:p>
            <w:pPr>
              <w:pStyle w:val="TableParagraph"/>
              <w:spacing w:before="6"/>
              <w:ind w:left="0"/>
              <w:rPr>
                <w:b/>
                <w:sz w:val="32"/>
              </w:rPr>
            </w:pPr>
          </w:p>
          <w:p>
            <w:pPr>
              <w:pStyle w:val="TableParagraph"/>
              <w:ind w:right="101" w:hanging="5"/>
              <w:jc w:val="center"/>
              <w:rPr>
                <w:b/>
                <w:sz w:val="22"/>
              </w:rPr>
            </w:pPr>
            <w:r>
              <w:rPr>
                <w:b/>
                <w:sz w:val="22"/>
              </w:rPr>
              <w:t>Procesos históricos que han articulado sociopolíticamente a los actores de la CHPH</w:t>
            </w:r>
          </w:p>
          <w:p>
            <w:pPr>
              <w:pStyle w:val="TableParagraph"/>
              <w:spacing w:before="1"/>
              <w:ind w:left="143" w:right="144"/>
              <w:jc w:val="center"/>
              <w:rPr>
                <w:b/>
                <w:sz w:val="22"/>
              </w:rPr>
            </w:pPr>
            <w:r>
              <w:rPr>
                <w:b/>
                <w:sz w:val="22"/>
              </w:rPr>
              <w:t>(adimensional)</w:t>
            </w:r>
          </w:p>
        </w:tc>
        <w:tc>
          <w:tcPr>
            <w:tcW w:w="2835" w:type="dxa"/>
          </w:tcPr>
          <w:p>
            <w:pPr>
              <w:pStyle w:val="TableParagraph"/>
              <w:tabs>
                <w:tab w:pos="1766" w:val="left" w:leader="none"/>
              </w:tabs>
              <w:ind w:left="100" w:right="102"/>
              <w:jc w:val="both"/>
              <w:rPr>
                <w:sz w:val="22"/>
              </w:rPr>
            </w:pPr>
            <w:r>
              <w:rPr>
                <w:sz w:val="22"/>
              </w:rPr>
              <w:t>Procesos históricos que han</w:t>
              <w:tab/>
            </w:r>
            <w:r>
              <w:rPr>
                <w:spacing w:val="-1"/>
                <w:sz w:val="22"/>
              </w:rPr>
              <w:t>articulado </w:t>
            </w:r>
            <w:r>
              <w:rPr>
                <w:sz w:val="22"/>
              </w:rPr>
              <w:t>sociopolíticamente a los actores de la CHPH en una</w:t>
            </w:r>
            <w:r>
              <w:rPr>
                <w:spacing w:val="-2"/>
                <w:sz w:val="22"/>
              </w:rPr>
              <w:t> </w:t>
            </w:r>
            <w:r>
              <w:rPr>
                <w:sz w:val="22"/>
              </w:rPr>
              <w:t>región.</w:t>
            </w:r>
          </w:p>
          <w:p>
            <w:pPr>
              <w:pStyle w:val="TableParagraph"/>
              <w:spacing w:before="1"/>
              <w:ind w:left="100" w:right="162"/>
              <w:rPr>
                <w:sz w:val="22"/>
              </w:rPr>
            </w:pPr>
            <w:r>
              <w:rPr>
                <w:sz w:val="22"/>
              </w:rPr>
              <w:t>(Ejemplo: la conformación de El Ejido y la creación de los municipios).</w:t>
            </w:r>
          </w:p>
        </w:tc>
      </w:tr>
      <w:tr>
        <w:trPr>
          <w:trHeight w:val="3553" w:hRule="exact"/>
        </w:trPr>
        <w:tc>
          <w:tcPr>
            <w:tcW w:w="852" w:type="dxa"/>
            <w:shd w:val="clear" w:color="auto" w:fill="D99493"/>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5"/>
              <w:ind w:left="0"/>
              <w:rPr>
                <w:b/>
                <w:sz w:val="21"/>
              </w:rPr>
            </w:pPr>
          </w:p>
          <w:p>
            <w:pPr>
              <w:pStyle w:val="TableParagraph"/>
              <w:ind w:left="125" w:right="124"/>
              <w:jc w:val="center"/>
              <w:rPr>
                <w:b/>
                <w:sz w:val="22"/>
              </w:rPr>
            </w:pPr>
            <w:r>
              <w:rPr>
                <w:b/>
                <w:sz w:val="22"/>
              </w:rPr>
              <w:t>P2P</w:t>
            </w:r>
          </w:p>
        </w:tc>
        <w:tc>
          <w:tcPr>
            <w:tcW w:w="730" w:type="dxa"/>
            <w:shd w:val="clear" w:color="auto" w:fill="D99493"/>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5"/>
              <w:ind w:left="0"/>
              <w:rPr>
                <w:b/>
                <w:sz w:val="21"/>
              </w:rPr>
            </w:pPr>
          </w:p>
          <w:p>
            <w:pPr>
              <w:pStyle w:val="TableParagraph"/>
              <w:ind w:left="0" w:right="1"/>
              <w:jc w:val="center"/>
              <w:rPr>
                <w:b/>
                <w:sz w:val="22"/>
              </w:rPr>
            </w:pPr>
            <w:r>
              <w:rPr>
                <w:b/>
                <w:w w:val="100"/>
                <w:sz w:val="22"/>
              </w:rPr>
              <w:t>P</w:t>
            </w:r>
          </w:p>
        </w:tc>
        <w:tc>
          <w:tcPr>
            <w:tcW w:w="1918" w:type="dxa"/>
          </w:tcPr>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8"/>
              <w:ind w:left="0"/>
              <w:rPr>
                <w:b/>
                <w:sz w:val="21"/>
              </w:rPr>
            </w:pPr>
          </w:p>
          <w:p>
            <w:pPr>
              <w:pStyle w:val="TableParagraph"/>
              <w:ind w:right="574"/>
              <w:rPr>
                <w:sz w:val="22"/>
              </w:rPr>
            </w:pPr>
            <w:r>
              <w:rPr>
                <w:sz w:val="22"/>
              </w:rPr>
              <w:t>Poder sociopolítico</w:t>
            </w:r>
          </w:p>
        </w:tc>
        <w:tc>
          <w:tcPr>
            <w:tcW w:w="3259" w:type="dxa"/>
            <w:gridSpan w:val="4"/>
          </w:tcPr>
          <w:p>
            <w:pPr>
              <w:pStyle w:val="TableParagraph"/>
              <w:ind w:right="99"/>
              <w:jc w:val="both"/>
              <w:rPr>
                <w:sz w:val="22"/>
              </w:rPr>
            </w:pPr>
            <w:r>
              <w:rPr>
                <w:sz w:val="22"/>
              </w:rPr>
              <w:t>Carácter estructural de  dominio del Estado que ha permitido que los actores de aguas abajo (Aculco y Polotitlán) de la CHPH ejerzan control político sobre los actores de aguas arriba (Acambay, Jilotepec y Timilpan) mediante el dominio de los recursos naturales y la injerencia de instituciones gubernamentales a su favor (Cfr. Dahl, 1976; Weber, 1957 y García, TC:</w:t>
            </w:r>
            <w:r>
              <w:rPr>
                <w:spacing w:val="-9"/>
                <w:sz w:val="22"/>
              </w:rPr>
              <w:t> </w:t>
            </w:r>
            <w:r>
              <w:rPr>
                <w:sz w:val="22"/>
              </w:rPr>
              <w:t>2013-2015).</w:t>
            </w:r>
          </w:p>
        </w:tc>
        <w:tc>
          <w:tcPr>
            <w:tcW w:w="2211" w:type="dxa"/>
          </w:tcPr>
          <w:p>
            <w:pPr>
              <w:pStyle w:val="TableParagraph"/>
              <w:ind w:left="0"/>
              <w:rPr>
                <w:b/>
                <w:sz w:val="22"/>
              </w:rPr>
            </w:pPr>
          </w:p>
          <w:p>
            <w:pPr>
              <w:pStyle w:val="TableParagraph"/>
              <w:ind w:left="0"/>
              <w:rPr>
                <w:b/>
                <w:sz w:val="22"/>
              </w:rPr>
            </w:pPr>
          </w:p>
          <w:p>
            <w:pPr>
              <w:pStyle w:val="TableParagraph"/>
              <w:spacing w:before="6"/>
              <w:ind w:left="0"/>
              <w:rPr>
                <w:b/>
                <w:sz w:val="32"/>
              </w:rPr>
            </w:pPr>
          </w:p>
          <w:p>
            <w:pPr>
              <w:pStyle w:val="TableParagraph"/>
              <w:spacing w:before="1"/>
              <w:ind w:left="139" w:right="137" w:hanging="2"/>
              <w:jc w:val="center"/>
              <w:rPr>
                <w:b/>
                <w:sz w:val="22"/>
              </w:rPr>
            </w:pPr>
            <w:r>
              <w:rPr>
                <w:b/>
                <w:sz w:val="22"/>
              </w:rPr>
              <w:t># de municipios e instituciones gubernamentales que ejercen el control sociopolítico en la CHPH</w:t>
            </w:r>
          </w:p>
        </w:tc>
        <w:tc>
          <w:tcPr>
            <w:tcW w:w="2835" w:type="dxa"/>
          </w:tcPr>
          <w:p>
            <w:pPr>
              <w:pStyle w:val="TableParagraph"/>
              <w:spacing w:before="8"/>
              <w:ind w:left="0"/>
              <w:rPr>
                <w:b/>
                <w:sz w:val="21"/>
              </w:rPr>
            </w:pPr>
          </w:p>
          <w:p>
            <w:pPr>
              <w:pStyle w:val="TableParagraph"/>
              <w:tabs>
                <w:tab w:pos="1050" w:val="left" w:leader="none"/>
                <w:tab w:pos="1209" w:val="left" w:leader="none"/>
                <w:tab w:pos="1290" w:val="left" w:leader="none"/>
                <w:tab w:pos="1510" w:val="left" w:leader="none"/>
                <w:tab w:pos="1681" w:val="left" w:leader="none"/>
                <w:tab w:pos="2350" w:val="left" w:leader="none"/>
                <w:tab w:pos="2472" w:val="left" w:leader="none"/>
                <w:tab w:pos="2609" w:val="left" w:leader="none"/>
              </w:tabs>
              <w:ind w:left="100" w:right="102"/>
              <w:rPr>
                <w:sz w:val="22"/>
              </w:rPr>
            </w:pPr>
            <w:r>
              <w:rPr>
                <w:sz w:val="22"/>
              </w:rPr>
              <w:t>Cantidad</w:t>
              <w:tab/>
              <w:tab/>
              <w:t>de</w:t>
              <w:tab/>
              <w:tab/>
            </w:r>
            <w:r>
              <w:rPr>
                <w:spacing w:val="-1"/>
                <w:sz w:val="22"/>
              </w:rPr>
              <w:t>municipios </w:t>
            </w:r>
            <w:r>
              <w:rPr>
                <w:sz w:val="22"/>
              </w:rPr>
              <w:t>que se han beneficiado con el agua para riego, generando</w:t>
              <w:tab/>
              <w:tab/>
              <w:tab/>
              <w:t>riqueza</w:t>
              <w:tab/>
              <w:tab/>
              <w:tab/>
              <w:t>y poder de dominio en la región</w:t>
              <w:tab/>
              <w:t>e</w:t>
              <w:tab/>
              <w:tab/>
              <w:tab/>
            </w:r>
            <w:r>
              <w:rPr>
                <w:spacing w:val="-1"/>
                <w:sz w:val="22"/>
              </w:rPr>
              <w:t>instituciones </w:t>
            </w:r>
            <w:r>
              <w:rPr>
                <w:sz w:val="22"/>
              </w:rPr>
              <w:t>gubernamentales</w:t>
              <w:tab/>
              <w:t>que favorecen los intereses de estos municipios. (Ejemplo:</w:t>
              <w:tab/>
              <w:tab/>
              <w:tab/>
              <w:t>Municipio</w:t>
              <w:tab/>
              <w:tab/>
              <w:t>de Polotitlán y la</w:t>
            </w:r>
            <w:r>
              <w:rPr>
                <w:spacing w:val="-5"/>
                <w:sz w:val="22"/>
              </w:rPr>
              <w:t> </w:t>
            </w:r>
            <w:r>
              <w:rPr>
                <w:sz w:val="22"/>
              </w:rPr>
              <w:t>Conagua).</w:t>
            </w:r>
          </w:p>
        </w:tc>
      </w:tr>
      <w:tr>
        <w:trPr>
          <w:trHeight w:val="262" w:hRule="exact"/>
        </w:trPr>
        <w:tc>
          <w:tcPr>
            <w:tcW w:w="852" w:type="dxa"/>
            <w:shd w:val="clear" w:color="auto" w:fill="D99493"/>
          </w:tcPr>
          <w:p>
            <w:pPr/>
          </w:p>
        </w:tc>
        <w:tc>
          <w:tcPr>
            <w:tcW w:w="730" w:type="dxa"/>
            <w:shd w:val="clear" w:color="auto" w:fill="D99493"/>
          </w:tcPr>
          <w:p>
            <w:pPr/>
          </w:p>
        </w:tc>
        <w:tc>
          <w:tcPr>
            <w:tcW w:w="1918" w:type="dxa"/>
          </w:tcPr>
          <w:p>
            <w:pPr>
              <w:pStyle w:val="TableParagraph"/>
              <w:spacing w:line="251" w:lineRule="exact"/>
              <w:ind w:right="831"/>
              <w:rPr>
                <w:sz w:val="22"/>
              </w:rPr>
            </w:pPr>
            <w:r>
              <w:rPr>
                <w:sz w:val="22"/>
              </w:rPr>
              <w:t>Cultura</w:t>
            </w:r>
          </w:p>
        </w:tc>
        <w:tc>
          <w:tcPr>
            <w:tcW w:w="473" w:type="dxa"/>
            <w:tcBorders>
              <w:right w:val="nil"/>
            </w:tcBorders>
          </w:tcPr>
          <w:p>
            <w:pPr>
              <w:pStyle w:val="TableParagraph"/>
              <w:spacing w:line="251" w:lineRule="exact"/>
              <w:rPr>
                <w:sz w:val="22"/>
              </w:rPr>
            </w:pPr>
            <w:r>
              <w:rPr>
                <w:sz w:val="22"/>
              </w:rPr>
              <w:t>Es</w:t>
            </w:r>
          </w:p>
        </w:tc>
        <w:tc>
          <w:tcPr>
            <w:tcW w:w="387" w:type="dxa"/>
            <w:tcBorders>
              <w:left w:val="nil"/>
              <w:right w:val="nil"/>
            </w:tcBorders>
          </w:tcPr>
          <w:p>
            <w:pPr>
              <w:pStyle w:val="TableParagraph"/>
              <w:spacing w:line="251" w:lineRule="exact"/>
              <w:ind w:left="107"/>
              <w:rPr>
                <w:sz w:val="22"/>
              </w:rPr>
            </w:pPr>
            <w:r>
              <w:rPr>
                <w:sz w:val="22"/>
              </w:rPr>
              <w:t>el</w:t>
            </w:r>
          </w:p>
        </w:tc>
        <w:tc>
          <w:tcPr>
            <w:tcW w:w="976" w:type="dxa"/>
            <w:tcBorders>
              <w:left w:val="nil"/>
              <w:right w:val="nil"/>
            </w:tcBorders>
          </w:tcPr>
          <w:p>
            <w:pPr>
              <w:pStyle w:val="TableParagraph"/>
              <w:spacing w:line="251" w:lineRule="exact"/>
              <w:ind w:left="107"/>
              <w:rPr>
                <w:sz w:val="22"/>
              </w:rPr>
            </w:pPr>
            <w:r>
              <w:rPr>
                <w:sz w:val="22"/>
              </w:rPr>
              <w:t>sistema</w:t>
            </w:r>
          </w:p>
        </w:tc>
        <w:tc>
          <w:tcPr>
            <w:tcW w:w="1424" w:type="dxa"/>
            <w:tcBorders>
              <w:left w:val="nil"/>
            </w:tcBorders>
          </w:tcPr>
          <w:p>
            <w:pPr>
              <w:pStyle w:val="TableParagraph"/>
              <w:spacing w:line="251" w:lineRule="exact"/>
              <w:ind w:left="107"/>
              <w:rPr>
                <w:sz w:val="22"/>
              </w:rPr>
            </w:pPr>
            <w:r>
              <w:rPr>
                <w:sz w:val="22"/>
              </w:rPr>
              <w:t>sociopolítico</w:t>
            </w:r>
          </w:p>
        </w:tc>
        <w:tc>
          <w:tcPr>
            <w:tcW w:w="2211" w:type="dxa"/>
          </w:tcPr>
          <w:p>
            <w:pPr>
              <w:pStyle w:val="TableParagraph"/>
              <w:spacing w:line="248" w:lineRule="exact"/>
              <w:ind w:left="144" w:right="142"/>
              <w:jc w:val="center"/>
              <w:rPr>
                <w:b/>
                <w:sz w:val="22"/>
              </w:rPr>
            </w:pPr>
            <w:r>
              <w:rPr>
                <w:b/>
                <w:sz w:val="22"/>
              </w:rPr>
              <w:t>Usos y</w:t>
            </w:r>
          </w:p>
        </w:tc>
        <w:tc>
          <w:tcPr>
            <w:tcW w:w="2835" w:type="dxa"/>
          </w:tcPr>
          <w:p>
            <w:pPr>
              <w:pStyle w:val="TableParagraph"/>
              <w:spacing w:line="251" w:lineRule="exact"/>
              <w:ind w:left="100" w:right="102"/>
              <w:rPr>
                <w:sz w:val="22"/>
              </w:rPr>
            </w:pPr>
            <w:r>
              <w:rPr>
                <w:sz w:val="22"/>
              </w:rPr>
              <w:t>Prácticas   recurrentes  de</w:t>
            </w:r>
          </w:p>
        </w:tc>
      </w:tr>
    </w:tbl>
    <w:p>
      <w:pPr>
        <w:spacing w:after="0" w:line="251" w:lineRule="exact"/>
        <w:rPr>
          <w:sz w:val="22"/>
        </w:rPr>
        <w:sectPr>
          <w:footerReference w:type="default" r:id="rId260"/>
          <w:pgSz w:w="15840" w:h="12240" w:orient="landscape"/>
          <w:pgMar w:footer="943" w:header="0" w:top="1140" w:bottom="1140" w:left="2020" w:right="1300"/>
          <w:pgNumType w:start="521"/>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3553"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P3P</w:t>
            </w:r>
          </w:p>
        </w:tc>
        <w:tc>
          <w:tcPr>
            <w:tcW w:w="730" w:type="dxa"/>
            <w:shd w:val="clear" w:color="auto" w:fill="D99493"/>
          </w:tcPr>
          <w:p>
            <w:pPr>
              <w:pStyle w:val="TableParagraph"/>
              <w:spacing w:line="248" w:lineRule="exact"/>
              <w:ind w:left="0" w:right="285"/>
              <w:jc w:val="right"/>
              <w:rPr>
                <w:b/>
                <w:sz w:val="22"/>
              </w:rPr>
            </w:pPr>
            <w:r>
              <w:rPr>
                <w:b/>
                <w:w w:val="100"/>
                <w:sz w:val="22"/>
              </w:rPr>
              <w:t>P</w:t>
            </w:r>
          </w:p>
        </w:tc>
        <w:tc>
          <w:tcPr>
            <w:tcW w:w="1918" w:type="dxa"/>
          </w:tcPr>
          <w:p>
            <w:pPr>
              <w:pStyle w:val="TableParagraph"/>
              <w:spacing w:line="251" w:lineRule="exact"/>
              <w:ind w:right="440"/>
              <w:rPr>
                <w:sz w:val="22"/>
              </w:rPr>
            </w:pPr>
            <w:r>
              <w:rPr>
                <w:sz w:val="22"/>
              </w:rPr>
              <w:t>sociopolítica</w:t>
            </w:r>
          </w:p>
        </w:tc>
        <w:tc>
          <w:tcPr>
            <w:tcW w:w="3259" w:type="dxa"/>
          </w:tcPr>
          <w:p>
            <w:pPr>
              <w:pStyle w:val="TableParagraph"/>
              <w:tabs>
                <w:tab w:pos="2389" w:val="left" w:leader="none"/>
              </w:tabs>
              <w:ind w:right="98"/>
              <w:jc w:val="both"/>
              <w:rPr>
                <w:sz w:val="22"/>
              </w:rPr>
            </w:pPr>
            <w:r>
              <w:rPr>
                <w:sz w:val="22"/>
              </w:rPr>
              <w:t>internalizado en creencias, sentimientos,</w:t>
              <w:tab/>
            </w:r>
            <w:r>
              <w:rPr>
                <w:spacing w:val="-1"/>
                <w:sz w:val="22"/>
              </w:rPr>
              <w:t>ideales, </w:t>
            </w:r>
            <w:r>
              <w:rPr>
                <w:sz w:val="22"/>
              </w:rPr>
              <w:t>costumbres y experiencias colectivas de los actores de la CHPH que les da el sentido de pertenencia a la región y que se trasmiten de generación en generación para permitir o inhibir la interrelación sociopolítica entre los actores de los municipios de la  Cuenca (Arjona, 1986  y García, TC:</w:t>
            </w:r>
            <w:r>
              <w:rPr>
                <w:spacing w:val="-6"/>
                <w:sz w:val="22"/>
              </w:rPr>
              <w:t> </w:t>
            </w:r>
            <w:r>
              <w:rPr>
                <w:sz w:val="22"/>
              </w:rPr>
              <w:t>2013-2015).</w:t>
            </w:r>
          </w:p>
        </w:tc>
        <w:tc>
          <w:tcPr>
            <w:tcW w:w="2211" w:type="dxa"/>
          </w:tcPr>
          <w:p>
            <w:pPr>
              <w:pStyle w:val="TableParagraph"/>
              <w:ind w:left="144" w:right="142"/>
              <w:jc w:val="center"/>
              <w:rPr>
                <w:b/>
                <w:sz w:val="22"/>
              </w:rPr>
            </w:pPr>
            <w:r>
              <w:rPr>
                <w:b/>
                <w:sz w:val="22"/>
              </w:rPr>
              <w:t>costumbres sociopolíticas de los actores de la CHPH</w:t>
            </w:r>
          </w:p>
          <w:p>
            <w:pPr>
              <w:pStyle w:val="TableParagraph"/>
              <w:spacing w:before="1"/>
              <w:ind w:left="143" w:right="144"/>
              <w:jc w:val="center"/>
              <w:rPr>
                <w:b/>
                <w:sz w:val="22"/>
              </w:rPr>
            </w:pPr>
            <w:r>
              <w:rPr>
                <w:b/>
                <w:sz w:val="22"/>
              </w:rPr>
              <w:t>(adimensional)</w:t>
            </w:r>
          </w:p>
        </w:tc>
        <w:tc>
          <w:tcPr>
            <w:tcW w:w="2835" w:type="dxa"/>
          </w:tcPr>
          <w:p>
            <w:pPr>
              <w:pStyle w:val="TableParagraph"/>
              <w:tabs>
                <w:tab w:pos="940" w:val="left" w:leader="none"/>
                <w:tab w:pos="1079" w:val="left" w:leader="none"/>
                <w:tab w:pos="1156" w:val="left" w:leader="none"/>
                <w:tab w:pos="1251" w:val="left" w:leader="none"/>
                <w:tab w:pos="1468" w:val="left" w:leader="none"/>
                <w:tab w:pos="1521" w:val="left" w:leader="none"/>
                <w:tab w:pos="1694" w:val="left" w:leader="none"/>
                <w:tab w:pos="1840" w:val="left" w:leader="none"/>
                <w:tab w:pos="2081" w:val="left" w:leader="none"/>
                <w:tab w:pos="2350" w:val="left" w:leader="none"/>
                <w:tab w:pos="2548" w:val="left" w:leader="none"/>
                <w:tab w:pos="2597" w:val="left" w:leader="none"/>
              </w:tabs>
              <w:ind w:left="100" w:right="102"/>
              <w:rPr>
                <w:sz w:val="22"/>
              </w:rPr>
            </w:pPr>
            <w:r>
              <w:rPr>
                <w:sz w:val="22"/>
              </w:rPr>
              <w:t>los actores sociales de los municipios que integran la CHPH</w:t>
              <w:tab/>
              <w:t>que</w:t>
              <w:tab/>
              <w:tab/>
              <w:t>permiten</w:t>
              <w:tab/>
              <w:tab/>
              <w:t>o inhiben</w:t>
              <w:tab/>
              <w:tab/>
            </w:r>
            <w:r>
              <w:rPr>
                <w:spacing w:val="-1"/>
                <w:sz w:val="22"/>
              </w:rPr>
              <w:t>la</w:t>
              <w:tab/>
              <w:tab/>
              <w:tab/>
              <w:t>interrelación </w:t>
            </w:r>
            <w:r>
              <w:rPr>
                <w:sz w:val="22"/>
              </w:rPr>
              <w:t>social entre actores. (Ejemplo:</w:t>
              <w:tab/>
              <w:tab/>
              <w:tab/>
              <w:t>prácticas</w:t>
              <w:tab/>
              <w:t>que permiten la interrelación entre</w:t>
              <w:tab/>
              <w:t>actores:</w:t>
              <w:tab/>
              <w:tab/>
              <w:t>fiestas patronales,</w:t>
              <w:tab/>
              <w:tab/>
              <w:tab/>
              <w:tab/>
            </w:r>
            <w:r>
              <w:rPr>
                <w:spacing w:val="-1"/>
                <w:sz w:val="22"/>
              </w:rPr>
              <w:t>mercados, </w:t>
            </w:r>
            <w:r>
              <w:rPr>
                <w:sz w:val="22"/>
              </w:rPr>
              <w:t>charreadas</w:t>
              <w:tab/>
              <w:tab/>
              <w:t>y</w:t>
              <w:tab/>
              <w:tab/>
            </w:r>
            <w:r>
              <w:rPr>
                <w:spacing w:val="-1"/>
                <w:sz w:val="22"/>
              </w:rPr>
              <w:t>prácticas </w:t>
            </w:r>
            <w:r>
              <w:rPr>
                <w:sz w:val="22"/>
              </w:rPr>
              <w:t>que</w:t>
              <w:tab/>
              <w:tab/>
              <w:tab/>
              <w:t>inhiben</w:t>
              <w:tab/>
              <w:tab/>
              <w:tab/>
              <w:t>la interrelación entre actores: exclusión de actores no identitarios).</w:t>
            </w:r>
          </w:p>
        </w:tc>
      </w:tr>
      <w:tr>
        <w:trPr>
          <w:trHeight w:val="3550"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P4P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440"/>
              <w:rPr>
                <w:sz w:val="22"/>
              </w:rPr>
            </w:pPr>
            <w:r>
              <w:rPr>
                <w:sz w:val="22"/>
              </w:rPr>
              <w:t>Democracia y voluntariedad</w:t>
            </w:r>
          </w:p>
        </w:tc>
        <w:tc>
          <w:tcPr>
            <w:tcW w:w="3259" w:type="dxa"/>
          </w:tcPr>
          <w:p>
            <w:pPr>
              <w:pStyle w:val="TableParagraph"/>
              <w:ind w:right="96"/>
              <w:jc w:val="both"/>
              <w:rPr>
                <w:sz w:val="22"/>
              </w:rPr>
            </w:pPr>
            <w:r>
              <w:rPr>
                <w:sz w:val="22"/>
              </w:rPr>
              <w:t>Expresión de los deseos sociopolíticos y la voluntad de los actores de la CHPH para participar en la toma de decisiones colectivas de la región y como alternativa de solución local, ya que los principios de poder externos responden a intereses nacionales e internacionales. (Romero, et al., 2012; Palerm, 1993;  Bobbio,  1999;   Bovero,</w:t>
            </w:r>
          </w:p>
          <w:p>
            <w:pPr>
              <w:pStyle w:val="TableParagraph"/>
              <w:spacing w:line="252" w:lineRule="exact" w:before="1"/>
              <w:jc w:val="both"/>
              <w:rPr>
                <w:sz w:val="22"/>
              </w:rPr>
            </w:pPr>
            <w:r>
              <w:rPr>
                <w:sz w:val="22"/>
              </w:rPr>
              <w:t>2002;  Sartori,  1993  y García,</w:t>
            </w:r>
          </w:p>
          <w:p>
            <w:pPr>
              <w:pStyle w:val="TableParagraph"/>
              <w:spacing w:line="252" w:lineRule="exact"/>
              <w:jc w:val="both"/>
              <w:rPr>
                <w:sz w:val="22"/>
              </w:rPr>
            </w:pPr>
            <w:r>
              <w:rPr>
                <w:sz w:val="22"/>
              </w:rPr>
              <w:t>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141" w:right="144"/>
              <w:jc w:val="center"/>
              <w:rPr>
                <w:b/>
                <w:sz w:val="22"/>
              </w:rPr>
            </w:pPr>
            <w:r>
              <w:rPr>
                <w:b/>
                <w:sz w:val="22"/>
              </w:rPr>
              <w:t>Voluntad de los actores de la CHPH para participar en decisiones colectivas (adimensional)</w:t>
            </w:r>
          </w:p>
        </w:tc>
        <w:tc>
          <w:tcPr>
            <w:tcW w:w="2835" w:type="dxa"/>
          </w:tcPr>
          <w:p>
            <w:pPr>
              <w:pStyle w:val="TableParagraph"/>
              <w:tabs>
                <w:tab w:pos="477" w:val="left" w:leader="none"/>
                <w:tab w:pos="726" w:val="left" w:leader="none"/>
                <w:tab w:pos="1278" w:val="left" w:leader="none"/>
                <w:tab w:pos="1453" w:val="left" w:leader="none"/>
                <w:tab w:pos="1602" w:val="left" w:leader="none"/>
                <w:tab w:pos="1820" w:val="left" w:leader="none"/>
                <w:tab w:pos="2101" w:val="left" w:leader="none"/>
                <w:tab w:pos="2281" w:val="left" w:leader="none"/>
                <w:tab w:pos="2439" w:val="left" w:leader="none"/>
                <w:tab w:pos="2473" w:val="left" w:leader="none"/>
                <w:tab w:pos="2547" w:val="left" w:leader="none"/>
              </w:tabs>
              <w:ind w:left="100" w:right="102"/>
              <w:rPr>
                <w:sz w:val="22"/>
              </w:rPr>
            </w:pPr>
            <w:r>
              <w:rPr>
                <w:sz w:val="22"/>
              </w:rPr>
              <w:t>Manifestaciones sociopolíticas formales e informales de los actores de</w:t>
              <w:tab/>
              <w:tab/>
              <w:t>la</w:t>
              <w:tab/>
              <w:t>CHPH</w:t>
              <w:tab/>
              <w:tab/>
            </w:r>
            <w:r>
              <w:rPr>
                <w:spacing w:val="-1"/>
                <w:sz w:val="22"/>
              </w:rPr>
              <w:t>para </w:t>
            </w:r>
            <w:r>
              <w:rPr>
                <w:sz w:val="22"/>
              </w:rPr>
              <w:t>participar</w:t>
              <w:tab/>
              <w:tab/>
              <w:tab/>
              <w:t>en</w:t>
              <w:tab/>
              <w:tab/>
              <w:tab/>
              <w:t>las decisiones colectivas. (Ejemplo:</w:t>
              <w:tab/>
              <w:tab/>
              <w:t>deseo</w:t>
              <w:tab/>
              <w:tab/>
              <w:tab/>
              <w:tab/>
              <w:t>de participación</w:t>
              <w:tab/>
              <w:tab/>
              <w:tab/>
              <w:t>en</w:t>
              <w:tab/>
              <w:tab/>
              <w:tab/>
              <w:tab/>
              <w:tab/>
              <w:t>la solución del problema de la</w:t>
              <w:tab/>
              <w:t>contaminación</w:t>
              <w:tab/>
              <w:t>en</w:t>
              <w:tab/>
              <w:tab/>
              <w:tab/>
              <w:t>la presa</w:t>
            </w:r>
            <w:r>
              <w:rPr>
                <w:spacing w:val="-4"/>
                <w:sz w:val="22"/>
              </w:rPr>
              <w:t> </w:t>
            </w:r>
            <w:r>
              <w:rPr>
                <w:sz w:val="22"/>
              </w:rPr>
              <w:t>Huapango).</w:t>
            </w:r>
          </w:p>
        </w:tc>
      </w:tr>
      <w:tr>
        <w:trPr>
          <w:trHeight w:val="1529"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4"/>
              <w:jc w:val="center"/>
              <w:rPr>
                <w:b/>
                <w:sz w:val="22"/>
              </w:rPr>
            </w:pPr>
            <w:r>
              <w:rPr>
                <w:b/>
                <w:sz w:val="22"/>
              </w:rPr>
              <w:t>P5P</w:t>
            </w:r>
          </w:p>
        </w:tc>
        <w:tc>
          <w:tcPr>
            <w:tcW w:w="730" w:type="dxa"/>
            <w:shd w:val="clear" w:color="auto" w:fill="D99493"/>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27"/>
              <w:ind w:right="330"/>
              <w:rPr>
                <w:sz w:val="22"/>
              </w:rPr>
            </w:pPr>
            <w:r>
              <w:rPr>
                <w:sz w:val="22"/>
              </w:rPr>
              <w:t>Participación sociopolítica_1</w:t>
            </w:r>
          </w:p>
        </w:tc>
        <w:tc>
          <w:tcPr>
            <w:tcW w:w="3259" w:type="dxa"/>
          </w:tcPr>
          <w:p>
            <w:pPr>
              <w:pStyle w:val="TableParagraph"/>
              <w:ind w:right="97"/>
              <w:jc w:val="both"/>
              <w:rPr>
                <w:sz w:val="22"/>
              </w:rPr>
            </w:pPr>
            <w:r>
              <w:rPr>
                <w:sz w:val="22"/>
              </w:rPr>
              <w:t>Es la organización racional y consciente de los actores sociopolíticos de la  CHPH  para atender su problemática común, ante las escasas respuestas a los problemas</w:t>
            </w:r>
            <w:r>
              <w:rPr>
                <w:spacing w:val="44"/>
                <w:sz w:val="22"/>
              </w:rPr>
              <w:t> </w:t>
            </w:r>
            <w:r>
              <w:rPr>
                <w:sz w:val="22"/>
              </w:rPr>
              <w:t>de</w:t>
            </w:r>
          </w:p>
        </w:tc>
        <w:tc>
          <w:tcPr>
            <w:tcW w:w="2211"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235" w:right="238" w:firstLine="3"/>
              <w:jc w:val="center"/>
              <w:rPr>
                <w:b/>
                <w:sz w:val="22"/>
              </w:rPr>
            </w:pPr>
            <w:r>
              <w:rPr>
                <w:b/>
                <w:sz w:val="22"/>
              </w:rPr>
              <w:t># de acciones organizadas por los actores de la CHPH</w:t>
            </w:r>
          </w:p>
        </w:tc>
        <w:tc>
          <w:tcPr>
            <w:tcW w:w="2835" w:type="dxa"/>
          </w:tcPr>
          <w:p>
            <w:pPr>
              <w:pStyle w:val="TableParagraph"/>
              <w:ind w:left="100" w:right="102"/>
              <w:jc w:val="both"/>
              <w:rPr>
                <w:sz w:val="22"/>
              </w:rPr>
            </w:pPr>
            <w:r>
              <w:rPr>
                <w:sz w:val="22"/>
              </w:rPr>
              <w:t>Cantidad de acciones organizadas por los actores de la CHPH para atender los problemas sociopolíticos de dicha cuenca.</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1274" w:hRule="exact"/>
        </w:trPr>
        <w:tc>
          <w:tcPr>
            <w:tcW w:w="852" w:type="dxa"/>
            <w:shd w:val="clear" w:color="auto" w:fill="D99493"/>
          </w:tcPr>
          <w:p>
            <w:pPr/>
          </w:p>
        </w:tc>
        <w:tc>
          <w:tcPr>
            <w:tcW w:w="730" w:type="dxa"/>
            <w:shd w:val="clear" w:color="auto" w:fill="D99493"/>
          </w:tcPr>
          <w:p>
            <w:pPr/>
          </w:p>
        </w:tc>
        <w:tc>
          <w:tcPr>
            <w:tcW w:w="1918" w:type="dxa"/>
          </w:tcPr>
          <w:p>
            <w:pPr/>
          </w:p>
        </w:tc>
        <w:tc>
          <w:tcPr>
            <w:tcW w:w="3259" w:type="dxa"/>
          </w:tcPr>
          <w:p>
            <w:pPr>
              <w:pStyle w:val="TableParagraph"/>
              <w:ind w:right="99"/>
              <w:jc w:val="both"/>
              <w:rPr>
                <w:sz w:val="22"/>
              </w:rPr>
            </w:pPr>
            <w:r>
              <w:rPr>
                <w:sz w:val="22"/>
              </w:rPr>
              <w:t>la Cuenca por parte de los actores federales, estatales y municipales (Cfr. INAFED, 2014   y   García,   TC:    2013-</w:t>
            </w:r>
          </w:p>
          <w:p>
            <w:pPr>
              <w:pStyle w:val="TableParagraph"/>
              <w:spacing w:before="1"/>
              <w:jc w:val="both"/>
              <w:rPr>
                <w:sz w:val="22"/>
              </w:rPr>
            </w:pPr>
            <w:r>
              <w:rPr>
                <w:sz w:val="22"/>
              </w:rPr>
              <w:t>2015).</w:t>
            </w:r>
          </w:p>
        </w:tc>
        <w:tc>
          <w:tcPr>
            <w:tcW w:w="2211" w:type="dxa"/>
          </w:tcPr>
          <w:p>
            <w:pPr/>
          </w:p>
        </w:tc>
        <w:tc>
          <w:tcPr>
            <w:tcW w:w="2835" w:type="dxa"/>
          </w:tcPr>
          <w:p>
            <w:pPr>
              <w:pStyle w:val="TableParagraph"/>
              <w:ind w:left="100" w:right="101"/>
              <w:jc w:val="both"/>
              <w:rPr>
                <w:sz w:val="22"/>
              </w:rPr>
            </w:pPr>
            <w:r>
              <w:rPr>
                <w:sz w:val="22"/>
              </w:rPr>
              <w:t>(Ejemplo: reuniones de los pescadores para sembrar peces en la presa Huapango).</w:t>
            </w:r>
          </w:p>
        </w:tc>
      </w:tr>
      <w:tr>
        <w:trPr>
          <w:trHeight w:val="3553"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4"/>
              <w:jc w:val="center"/>
              <w:rPr>
                <w:b/>
                <w:sz w:val="22"/>
              </w:rPr>
            </w:pPr>
            <w:r>
              <w:rPr>
                <w:b/>
                <w:sz w:val="22"/>
              </w:rPr>
              <w:t>P6P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ind w:right="195"/>
              <w:rPr>
                <w:sz w:val="22"/>
              </w:rPr>
            </w:pPr>
            <w:r>
              <w:rPr>
                <w:sz w:val="22"/>
              </w:rPr>
              <w:t>Relaciones intermunicipales</w:t>
            </w:r>
          </w:p>
        </w:tc>
        <w:tc>
          <w:tcPr>
            <w:tcW w:w="3259" w:type="dxa"/>
          </w:tcPr>
          <w:p>
            <w:pPr>
              <w:pStyle w:val="TableParagraph"/>
              <w:tabs>
                <w:tab w:pos="1828" w:val="left" w:leader="none"/>
              </w:tabs>
              <w:ind w:right="99"/>
              <w:jc w:val="both"/>
              <w:rPr>
                <w:sz w:val="22"/>
              </w:rPr>
            </w:pPr>
            <w:r>
              <w:rPr>
                <w:sz w:val="22"/>
              </w:rPr>
              <w:t>Se refiere a la necesidad de acuerdos</w:t>
              <w:tab/>
            </w:r>
            <w:r>
              <w:rPr>
                <w:spacing w:val="-1"/>
                <w:sz w:val="22"/>
              </w:rPr>
              <w:t>sociopolíticos </w:t>
            </w:r>
            <w:r>
              <w:rPr>
                <w:sz w:val="22"/>
              </w:rPr>
              <w:t>intermunicipales entre los actores de los municipios de la CHPH para atender la problemática común de la Cuenca, ya que existe una escasa y limitada vinculación formal para favorecer la solución de los problemas regionales    (Arnoletto,  </w:t>
            </w:r>
            <w:r>
              <w:rPr>
                <w:spacing w:val="26"/>
                <w:sz w:val="22"/>
              </w:rPr>
              <w:t> </w:t>
            </w:r>
            <w:r>
              <w:rPr>
                <w:sz w:val="22"/>
              </w:rPr>
              <w:t>2010;</w:t>
            </w:r>
          </w:p>
          <w:p>
            <w:pPr>
              <w:pStyle w:val="TableParagraph"/>
              <w:spacing w:line="252" w:lineRule="exact" w:before="1"/>
              <w:jc w:val="both"/>
              <w:rPr>
                <w:sz w:val="22"/>
              </w:rPr>
            </w:pPr>
            <w:r>
              <w:rPr>
                <w:sz w:val="22"/>
              </w:rPr>
              <w:t>Hernández,   2003;  Florentino,</w:t>
            </w:r>
          </w:p>
          <w:p>
            <w:pPr>
              <w:pStyle w:val="TableParagraph"/>
              <w:spacing w:line="252" w:lineRule="exact"/>
              <w:jc w:val="both"/>
              <w:rPr>
                <w:sz w:val="22"/>
              </w:rPr>
            </w:pPr>
            <w:r>
              <w:rPr>
                <w:sz w:val="22"/>
              </w:rPr>
              <w:t>2004   y   García,   TC:    2013-</w:t>
            </w:r>
          </w:p>
          <w:p>
            <w:pPr>
              <w:pStyle w:val="TableParagraph"/>
              <w:spacing w:line="253" w:lineRule="exact"/>
              <w:jc w:val="both"/>
              <w:rPr>
                <w:sz w:val="22"/>
              </w:rPr>
            </w:pPr>
            <w:r>
              <w:rPr>
                <w:sz w:val="22"/>
              </w:rPr>
              <w:t>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218" w:right="216" w:hanging="2"/>
              <w:jc w:val="center"/>
              <w:rPr>
                <w:b/>
                <w:sz w:val="22"/>
              </w:rPr>
            </w:pPr>
            <w:r>
              <w:rPr>
                <w:b/>
                <w:sz w:val="22"/>
              </w:rPr>
              <w:t># de acuerdos intermunicipales entre los actores de la CHPH</w:t>
            </w:r>
          </w:p>
        </w:tc>
        <w:tc>
          <w:tcPr>
            <w:tcW w:w="2835" w:type="dxa"/>
          </w:tcPr>
          <w:p>
            <w:pPr>
              <w:pStyle w:val="TableParagraph"/>
              <w:tabs>
                <w:tab w:pos="935" w:val="left" w:leader="none"/>
                <w:tab w:pos="1276" w:val="left" w:leader="none"/>
                <w:tab w:pos="1590" w:val="left" w:leader="none"/>
                <w:tab w:pos="1694" w:val="left" w:leader="none"/>
                <w:tab w:pos="1816" w:val="left" w:leader="none"/>
                <w:tab w:pos="1999" w:val="left" w:leader="none"/>
                <w:tab w:pos="2547" w:val="left" w:leader="none"/>
              </w:tabs>
              <w:ind w:left="100" w:right="101"/>
              <w:rPr>
                <w:sz w:val="22"/>
              </w:rPr>
            </w:pPr>
            <w:r>
              <w:rPr>
                <w:sz w:val="22"/>
              </w:rPr>
              <w:t>Cantidad</w:t>
              <w:tab/>
              <w:t>de</w:t>
              <w:tab/>
              <w:tab/>
              <w:tab/>
            </w:r>
            <w:r>
              <w:rPr>
                <w:spacing w:val="-1"/>
                <w:sz w:val="22"/>
              </w:rPr>
              <w:t>acuerdos intermunicipales</w:t>
              <w:tab/>
              <w:tab/>
              <w:tab/>
            </w:r>
            <w:r>
              <w:rPr>
                <w:sz w:val="22"/>
              </w:rPr>
              <w:t>en</w:t>
              <w:tab/>
              <w:t>la CHPH</w:t>
              <w:tab/>
              <w:t>para</w:t>
              <w:tab/>
              <w:t>atender</w:t>
              <w:tab/>
              <w:t>la problemática sociopolítica común de la región. (Ejemplo: aún no existen acuerdos intermunicipales en la CHPH para atender los</w:t>
              <w:tab/>
              <w:tab/>
              <w:tab/>
              <w:tab/>
            </w:r>
            <w:r>
              <w:rPr>
                <w:spacing w:val="-1"/>
                <w:sz w:val="22"/>
              </w:rPr>
              <w:t>problemas</w:t>
            </w:r>
          </w:p>
          <w:p>
            <w:pPr>
              <w:pStyle w:val="TableParagraph"/>
              <w:spacing w:before="1"/>
              <w:ind w:left="100" w:right="181"/>
              <w:rPr>
                <w:sz w:val="22"/>
              </w:rPr>
            </w:pPr>
            <w:r>
              <w:rPr>
                <w:sz w:val="22"/>
              </w:rPr>
              <w:t>sociopolíticos comunes).</w:t>
            </w:r>
          </w:p>
        </w:tc>
      </w:tr>
      <w:tr>
        <w:trPr>
          <w:trHeight w:val="3046"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P7P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538"/>
              <w:rPr>
                <w:sz w:val="22"/>
              </w:rPr>
            </w:pPr>
            <w:r>
              <w:rPr>
                <w:sz w:val="22"/>
              </w:rPr>
              <w:t>Cooperación sociopolítica</w:t>
            </w:r>
          </w:p>
        </w:tc>
        <w:tc>
          <w:tcPr>
            <w:tcW w:w="3259" w:type="dxa"/>
          </w:tcPr>
          <w:p>
            <w:pPr>
              <w:pStyle w:val="TableParagraph"/>
              <w:tabs>
                <w:tab w:pos="1062" w:val="left" w:leader="none"/>
                <w:tab w:pos="2121" w:val="left" w:leader="none"/>
              </w:tabs>
              <w:spacing w:before="125"/>
              <w:ind w:right="97"/>
              <w:jc w:val="both"/>
              <w:rPr>
                <w:sz w:val="22"/>
              </w:rPr>
            </w:pPr>
            <w:r>
              <w:rPr>
                <w:sz w:val="22"/>
              </w:rPr>
              <w:t>Es la manifestación  pública que se hizo en trabajo de campo por parte de los actores históricos de los municipios de la CHPH para trabajar conjuntamente en la solución de</w:t>
              <w:tab/>
              <w:t>sus</w:t>
              <w:tab/>
            </w:r>
            <w:r>
              <w:rPr>
                <w:spacing w:val="-1"/>
                <w:sz w:val="22"/>
              </w:rPr>
              <w:t>problemas </w:t>
            </w:r>
            <w:r>
              <w:rPr>
                <w:sz w:val="22"/>
              </w:rPr>
              <w:t>sociopolíticos compartidos (González, 2003 y García, TC: 2013-2015).</w:t>
            </w:r>
          </w:p>
        </w:tc>
        <w:tc>
          <w:tcPr>
            <w:tcW w:w="2211" w:type="dxa"/>
          </w:tcPr>
          <w:p>
            <w:pPr>
              <w:pStyle w:val="TableParagraph"/>
              <w:ind w:left="144" w:right="144"/>
              <w:jc w:val="center"/>
              <w:rPr>
                <w:b/>
                <w:sz w:val="22"/>
              </w:rPr>
            </w:pPr>
            <w:r>
              <w:rPr>
                <w:b/>
                <w:sz w:val="22"/>
              </w:rPr>
              <w:t>Deseo de colaboración de los actores históricos de los municipios de la CHPH para trabajar conjuntamente en la solución de sus problemas sociopolíticos (adimensional)</w:t>
            </w:r>
          </w:p>
        </w:tc>
        <w:tc>
          <w:tcPr>
            <w:tcW w:w="2835" w:type="dxa"/>
          </w:tcPr>
          <w:p>
            <w:pPr>
              <w:pStyle w:val="TableParagraph"/>
              <w:tabs>
                <w:tab w:pos="1268" w:val="left" w:leader="none"/>
                <w:tab w:pos="1849" w:val="left" w:leader="none"/>
                <w:tab w:pos="2352" w:val="left" w:leader="none"/>
              </w:tabs>
              <w:ind w:left="100" w:right="101"/>
              <w:rPr>
                <w:sz w:val="22"/>
              </w:rPr>
            </w:pPr>
            <w:r>
              <w:rPr>
                <w:sz w:val="22"/>
              </w:rPr>
              <w:t>Manifestación pública de los actores históricos de la CHPH para solucionar su problemática sociopolítica común de dicha Cuenca. (Ejemplo:</w:t>
              <w:tab/>
              <w:t>aún</w:t>
              <w:tab/>
              <w:t>no</w:t>
              <w:tab/>
              <w:t>han realizado</w:t>
              <w:tab/>
              <w:tab/>
              <w:t>acciones conjuntas los actores de la CHPH para solucionar sus problemas</w:t>
            </w:r>
            <w:r>
              <w:rPr>
                <w:spacing w:val="-6"/>
                <w:sz w:val="22"/>
              </w:rPr>
              <w:t> </w:t>
            </w:r>
            <w:r>
              <w:rPr>
                <w:sz w:val="22"/>
              </w:rPr>
              <w:t>sociopolíticos).</w:t>
            </w:r>
          </w:p>
        </w:tc>
      </w:tr>
      <w:tr>
        <w:trPr>
          <w:trHeight w:val="768" w:hRule="exact"/>
        </w:trPr>
        <w:tc>
          <w:tcPr>
            <w:tcW w:w="852" w:type="dxa"/>
            <w:shd w:val="clear" w:color="auto" w:fill="D99493"/>
          </w:tcPr>
          <w:p>
            <w:pPr/>
          </w:p>
        </w:tc>
        <w:tc>
          <w:tcPr>
            <w:tcW w:w="730" w:type="dxa"/>
            <w:shd w:val="clear" w:color="auto" w:fill="D99493"/>
          </w:tcPr>
          <w:p>
            <w:pPr/>
          </w:p>
        </w:tc>
        <w:tc>
          <w:tcPr>
            <w:tcW w:w="1918" w:type="dxa"/>
          </w:tcPr>
          <w:p>
            <w:pPr/>
          </w:p>
        </w:tc>
        <w:tc>
          <w:tcPr>
            <w:tcW w:w="3259" w:type="dxa"/>
          </w:tcPr>
          <w:p>
            <w:pPr>
              <w:pStyle w:val="TableParagraph"/>
              <w:ind w:right="100"/>
              <w:jc w:val="both"/>
              <w:rPr>
                <w:sz w:val="22"/>
              </w:rPr>
            </w:pPr>
            <w:r>
              <w:rPr>
                <w:sz w:val="22"/>
              </w:rPr>
              <w:t>El sentido de pertenencia histórica y comunitaria por parte de los actores </w:t>
            </w:r>
            <w:r>
              <w:rPr>
                <w:spacing w:val="52"/>
                <w:sz w:val="22"/>
              </w:rPr>
              <w:t> </w:t>
            </w:r>
            <w:r>
              <w:rPr>
                <w:sz w:val="22"/>
              </w:rPr>
              <w:t>históricos</w:t>
            </w:r>
          </w:p>
        </w:tc>
        <w:tc>
          <w:tcPr>
            <w:tcW w:w="2211" w:type="dxa"/>
          </w:tcPr>
          <w:p>
            <w:pPr>
              <w:pStyle w:val="TableParagraph"/>
              <w:ind w:left="102" w:right="102"/>
              <w:jc w:val="center"/>
              <w:rPr>
                <w:b/>
                <w:sz w:val="22"/>
              </w:rPr>
            </w:pPr>
            <w:r>
              <w:rPr>
                <w:b/>
                <w:sz w:val="22"/>
              </w:rPr>
              <w:t>Lugar de nacimiento y # de años de residencia</w:t>
            </w:r>
          </w:p>
        </w:tc>
        <w:tc>
          <w:tcPr>
            <w:tcW w:w="2835" w:type="dxa"/>
          </w:tcPr>
          <w:p>
            <w:pPr>
              <w:pStyle w:val="TableParagraph"/>
              <w:ind w:left="100" w:right="103"/>
              <w:jc w:val="both"/>
              <w:rPr>
                <w:sz w:val="22"/>
              </w:rPr>
            </w:pPr>
            <w:r>
              <w:rPr>
                <w:sz w:val="22"/>
              </w:rPr>
              <w:t>Lugar de nacimiento  de los actores de la CHPH y cantidad    de    años     de</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1526" w:hRule="exact"/>
        </w:trPr>
        <w:tc>
          <w:tcPr>
            <w:tcW w:w="852" w:type="dxa"/>
            <w:shd w:val="clear" w:color="auto" w:fill="D99493"/>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P8P</w:t>
            </w:r>
          </w:p>
        </w:tc>
        <w:tc>
          <w:tcPr>
            <w:tcW w:w="730" w:type="dxa"/>
            <w:shd w:val="clear" w:color="auto" w:fill="D99493"/>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spacing w:before="8"/>
              <w:ind w:left="0"/>
              <w:rPr>
                <w:rFonts w:ascii="Times New Roman"/>
                <w:sz w:val="21"/>
              </w:rPr>
            </w:pPr>
          </w:p>
          <w:p>
            <w:pPr>
              <w:pStyle w:val="TableParagraph"/>
              <w:ind w:right="574"/>
              <w:rPr>
                <w:sz w:val="22"/>
              </w:rPr>
            </w:pPr>
            <w:r>
              <w:rPr>
                <w:sz w:val="22"/>
              </w:rPr>
              <w:t>Identidad sociopolítica</w:t>
            </w:r>
          </w:p>
        </w:tc>
        <w:tc>
          <w:tcPr>
            <w:tcW w:w="3259" w:type="dxa"/>
          </w:tcPr>
          <w:p>
            <w:pPr>
              <w:pStyle w:val="TableParagraph"/>
              <w:ind w:right="97"/>
              <w:jc w:val="both"/>
              <w:rPr>
                <w:sz w:val="22"/>
              </w:rPr>
            </w:pPr>
            <w:r>
              <w:rPr>
                <w:sz w:val="22"/>
              </w:rPr>
              <w:t>de la CHPH que favorece la coordinación social con otros actores para atender la problemática sociopolítica de dicha cuenca (García, TC: 2013-2015).</w:t>
            </w:r>
          </w:p>
        </w:tc>
        <w:tc>
          <w:tcPr>
            <w:tcW w:w="2211" w:type="dxa"/>
          </w:tcPr>
          <w:p>
            <w:pPr>
              <w:pStyle w:val="TableParagraph"/>
              <w:spacing w:line="248" w:lineRule="exact"/>
              <w:ind w:left="506" w:right="104"/>
              <w:rPr>
                <w:b/>
                <w:sz w:val="22"/>
              </w:rPr>
            </w:pPr>
            <w:r>
              <w:rPr>
                <w:b/>
                <w:sz w:val="22"/>
              </w:rPr>
              <w:t>en la CHPH</w:t>
            </w:r>
          </w:p>
        </w:tc>
        <w:tc>
          <w:tcPr>
            <w:tcW w:w="2835" w:type="dxa"/>
          </w:tcPr>
          <w:p>
            <w:pPr>
              <w:pStyle w:val="TableParagraph"/>
              <w:tabs>
                <w:tab w:pos="1331" w:val="left" w:leader="none"/>
                <w:tab w:pos="2350" w:val="left" w:leader="none"/>
              </w:tabs>
              <w:ind w:left="100" w:right="103"/>
              <w:rPr>
                <w:sz w:val="22"/>
              </w:rPr>
            </w:pPr>
            <w:r>
              <w:rPr>
                <w:sz w:val="22"/>
              </w:rPr>
              <w:t>residencia en la Cuenca. (Ejemplo:</w:t>
              <w:tab/>
              <w:t>actores</w:t>
              <w:tab/>
              <w:t>que nacieron dentro de los 5 municipios que integran la CHPH y que han vivido allí siempre).</w:t>
            </w:r>
          </w:p>
        </w:tc>
      </w:tr>
      <w:tr>
        <w:trPr>
          <w:trHeight w:val="3553"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4"/>
              <w:jc w:val="center"/>
              <w:rPr>
                <w:b/>
                <w:sz w:val="22"/>
              </w:rPr>
            </w:pPr>
            <w:r>
              <w:rPr>
                <w:b/>
                <w:sz w:val="22"/>
              </w:rPr>
              <w:t>P9P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ind w:right="574"/>
              <w:rPr>
                <w:sz w:val="22"/>
              </w:rPr>
            </w:pPr>
            <w:r>
              <w:rPr>
                <w:sz w:val="22"/>
              </w:rPr>
              <w:t>Gobernanza sociopolítica</w:t>
            </w:r>
          </w:p>
        </w:tc>
        <w:tc>
          <w:tcPr>
            <w:tcW w:w="3259" w:type="dxa"/>
          </w:tcPr>
          <w:p>
            <w:pPr>
              <w:pStyle w:val="TableParagraph"/>
              <w:tabs>
                <w:tab w:pos="2255" w:val="left" w:leader="none"/>
                <w:tab w:pos="2706" w:val="left" w:leader="none"/>
              </w:tabs>
              <w:ind w:right="98"/>
              <w:jc w:val="both"/>
              <w:rPr>
                <w:sz w:val="22"/>
              </w:rPr>
            </w:pPr>
            <w:r>
              <w:rPr>
                <w:sz w:val="22"/>
              </w:rPr>
              <w:t>Son las estructuras históricas de los actores de la CHPH que demandan una renovación del espacio político y de los fundamentos democráticos de la región a través de redes intermunicipales</w:t>
              <w:tab/>
              <w:tab/>
              <w:t>para solucionar sus problemas sociopolíticos</w:t>
              <w:tab/>
            </w:r>
            <w:r>
              <w:rPr>
                <w:spacing w:val="-1"/>
                <w:sz w:val="22"/>
              </w:rPr>
              <w:t>comunes </w:t>
            </w:r>
            <w:r>
              <w:rPr>
                <w:sz w:val="22"/>
              </w:rPr>
              <w:t>(Warman,    1982,   </w:t>
            </w:r>
            <w:r>
              <w:rPr>
                <w:spacing w:val="54"/>
                <w:sz w:val="22"/>
              </w:rPr>
              <w:t> </w:t>
            </w:r>
            <w:r>
              <w:rPr>
                <w:sz w:val="22"/>
              </w:rPr>
              <w:t>Centelles,</w:t>
            </w:r>
          </w:p>
          <w:p>
            <w:pPr>
              <w:pStyle w:val="TableParagraph"/>
              <w:spacing w:line="252" w:lineRule="exact" w:before="1"/>
              <w:jc w:val="both"/>
              <w:rPr>
                <w:sz w:val="22"/>
              </w:rPr>
            </w:pPr>
            <w:r>
              <w:rPr>
                <w:sz w:val="22"/>
              </w:rPr>
              <w:t>2006;   Prats,   2006;  </w:t>
            </w:r>
            <w:r>
              <w:rPr>
                <w:spacing w:val="56"/>
                <w:sz w:val="22"/>
              </w:rPr>
              <w:t> </w:t>
            </w:r>
            <w:r>
              <w:rPr>
                <w:sz w:val="22"/>
              </w:rPr>
              <w:t>Palerm,</w:t>
            </w:r>
          </w:p>
          <w:p>
            <w:pPr>
              <w:pStyle w:val="TableParagraph"/>
              <w:spacing w:line="252" w:lineRule="exact"/>
              <w:jc w:val="both"/>
              <w:rPr>
                <w:sz w:val="22"/>
              </w:rPr>
            </w:pPr>
            <w:r>
              <w:rPr>
                <w:sz w:val="22"/>
              </w:rPr>
              <w:t>1993; Moreau, 2003; CapNET,</w:t>
            </w:r>
          </w:p>
          <w:p>
            <w:pPr>
              <w:pStyle w:val="TableParagraph"/>
              <w:spacing w:line="253" w:lineRule="exact"/>
              <w:jc w:val="both"/>
              <w:rPr>
                <w:sz w:val="22"/>
              </w:rPr>
            </w:pPr>
            <w:r>
              <w:rPr>
                <w:sz w:val="22"/>
              </w:rPr>
              <w:t>2000; WETNet, 2012 y García,</w:t>
            </w:r>
          </w:p>
          <w:p>
            <w:pPr>
              <w:pStyle w:val="TableParagraph"/>
              <w:spacing w:before="1"/>
              <w:jc w:val="both"/>
              <w:rPr>
                <w:sz w:val="22"/>
              </w:rPr>
            </w:pPr>
            <w:r>
              <w:rPr>
                <w:sz w:val="22"/>
              </w:rPr>
              <w:t>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230" w:right="230" w:hanging="1"/>
              <w:jc w:val="center"/>
              <w:rPr>
                <w:b/>
                <w:sz w:val="22"/>
              </w:rPr>
            </w:pPr>
            <w:r>
              <w:rPr>
                <w:b/>
                <w:sz w:val="22"/>
              </w:rPr>
              <w:t>Estructuras sociopolíticas históricas de los actores de la CHPH</w:t>
            </w:r>
          </w:p>
          <w:p>
            <w:pPr>
              <w:pStyle w:val="TableParagraph"/>
              <w:spacing w:line="252" w:lineRule="exact"/>
              <w:ind w:left="143" w:right="144"/>
              <w:jc w:val="center"/>
              <w:rPr>
                <w:b/>
                <w:sz w:val="22"/>
              </w:rPr>
            </w:pPr>
            <w:r>
              <w:rPr>
                <w:b/>
                <w:sz w:val="22"/>
              </w:rPr>
              <w:t>(adimensional)</w:t>
            </w:r>
          </w:p>
        </w:tc>
        <w:tc>
          <w:tcPr>
            <w:tcW w:w="2835" w:type="dxa"/>
          </w:tcPr>
          <w:p>
            <w:pPr>
              <w:pStyle w:val="TableParagraph"/>
              <w:spacing w:before="10"/>
              <w:ind w:left="0"/>
              <w:rPr>
                <w:rFonts w:ascii="Times New Roman"/>
                <w:sz w:val="21"/>
              </w:rPr>
            </w:pPr>
          </w:p>
          <w:p>
            <w:pPr>
              <w:pStyle w:val="TableParagraph"/>
              <w:tabs>
                <w:tab w:pos="1190" w:val="left" w:leader="none"/>
                <w:tab w:pos="2168" w:val="left" w:leader="none"/>
              </w:tabs>
              <w:ind w:left="100" w:right="102"/>
              <w:jc w:val="both"/>
              <w:rPr>
                <w:sz w:val="22"/>
              </w:rPr>
            </w:pPr>
            <w:r>
              <w:rPr>
                <w:sz w:val="22"/>
              </w:rPr>
              <w:t>Son</w:t>
              <w:tab/>
              <w:t>las</w:t>
              <w:tab/>
              <w:t>redes sociopolíticas formales e informales que se han conformado a través de la historia entre los actores de la CHPH para solucionar la problemática común.</w:t>
            </w:r>
          </w:p>
          <w:p>
            <w:pPr>
              <w:pStyle w:val="TableParagraph"/>
              <w:tabs>
                <w:tab w:pos="1914" w:val="left" w:leader="none"/>
              </w:tabs>
              <w:ind w:left="100" w:right="102"/>
              <w:jc w:val="both"/>
              <w:rPr>
                <w:sz w:val="22"/>
              </w:rPr>
            </w:pPr>
            <w:r>
              <w:rPr>
                <w:sz w:val="22"/>
              </w:rPr>
              <w:t>(Ejemplos:</w:t>
              <w:tab/>
            </w:r>
            <w:r>
              <w:rPr>
                <w:spacing w:val="-1"/>
                <w:sz w:val="22"/>
              </w:rPr>
              <w:t>Comités </w:t>
            </w:r>
            <w:r>
              <w:rPr>
                <w:sz w:val="22"/>
              </w:rPr>
              <w:t>ciudadanos y El</w:t>
            </w:r>
            <w:r>
              <w:rPr>
                <w:spacing w:val="-3"/>
                <w:sz w:val="22"/>
              </w:rPr>
              <w:t> </w:t>
            </w:r>
            <w:r>
              <w:rPr>
                <w:sz w:val="22"/>
              </w:rPr>
              <w:t>Ejido).</w:t>
            </w:r>
          </w:p>
        </w:tc>
      </w:tr>
      <w:tr>
        <w:trPr>
          <w:trHeight w:val="3553"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P10P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293"/>
              <w:rPr>
                <w:sz w:val="22"/>
              </w:rPr>
            </w:pPr>
            <w:r>
              <w:rPr>
                <w:sz w:val="22"/>
              </w:rPr>
              <w:t>Gobernabilidad sociopolítica</w:t>
            </w:r>
          </w:p>
        </w:tc>
        <w:tc>
          <w:tcPr>
            <w:tcW w:w="3259" w:type="dxa"/>
          </w:tcPr>
          <w:p>
            <w:pPr>
              <w:pStyle w:val="TableParagraph"/>
              <w:tabs>
                <w:tab w:pos="1679" w:val="left" w:leader="none"/>
              </w:tabs>
              <w:ind w:right="98"/>
              <w:jc w:val="both"/>
              <w:rPr>
                <w:sz w:val="22"/>
              </w:rPr>
            </w:pPr>
            <w:r>
              <w:rPr>
                <w:sz w:val="22"/>
              </w:rPr>
              <w:t>Existen reglas formales del sector</w:t>
              <w:tab/>
            </w:r>
            <w:r>
              <w:rPr>
                <w:spacing w:val="-1"/>
                <w:sz w:val="22"/>
              </w:rPr>
              <w:t>gubernamental </w:t>
            </w:r>
            <w:r>
              <w:rPr>
                <w:sz w:val="22"/>
              </w:rPr>
              <w:t>enfrentadas          con         </w:t>
            </w:r>
            <w:r>
              <w:rPr>
                <w:spacing w:val="19"/>
                <w:sz w:val="22"/>
              </w:rPr>
              <w:t> </w:t>
            </w:r>
            <w:r>
              <w:rPr>
                <w:sz w:val="22"/>
              </w:rPr>
              <w:t>las</w:t>
            </w:r>
          </w:p>
          <w:p>
            <w:pPr>
              <w:pStyle w:val="TableParagraph"/>
              <w:tabs>
                <w:tab w:pos="1876" w:val="left" w:leader="none"/>
                <w:tab w:pos="2353" w:val="left" w:leader="none"/>
              </w:tabs>
              <w:spacing w:before="1"/>
              <w:ind w:right="96"/>
              <w:jc w:val="both"/>
              <w:rPr>
                <w:sz w:val="22"/>
              </w:rPr>
            </w:pPr>
            <w:r>
              <w:rPr>
                <w:sz w:val="22"/>
              </w:rPr>
              <w:t>estructuras</w:t>
              <w:tab/>
              <w:tab/>
            </w:r>
            <w:r>
              <w:rPr>
                <w:spacing w:val="-1"/>
                <w:sz w:val="22"/>
              </w:rPr>
              <w:t>sociales </w:t>
            </w:r>
            <w:r>
              <w:rPr>
                <w:sz w:val="22"/>
              </w:rPr>
              <w:t>consuetudinarias de la CHPH, por lo que los grupos de actores históricos de la Cuenca</w:t>
              <w:tab/>
            </w:r>
            <w:r>
              <w:rPr>
                <w:spacing w:val="-1"/>
                <w:sz w:val="22"/>
              </w:rPr>
              <w:t>manifestaron </w:t>
            </w:r>
            <w:r>
              <w:rPr>
                <w:sz w:val="22"/>
              </w:rPr>
              <w:t>públicamente en trabajo de campo la necesidad de generar reglas formales e informales que  reconozcan sus derechos consuetudinarios para    un    uso    eficiente    </w:t>
            </w:r>
            <w:r>
              <w:rPr>
                <w:spacing w:val="30"/>
                <w:sz w:val="22"/>
              </w:rPr>
              <w:t> </w:t>
            </w:r>
            <w:r>
              <w:rPr>
                <w:sz w:val="22"/>
              </w:rPr>
              <w:t>y</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151" w:right="149" w:hanging="2"/>
              <w:jc w:val="center"/>
              <w:rPr>
                <w:b/>
                <w:sz w:val="22"/>
              </w:rPr>
            </w:pPr>
            <w:r>
              <w:rPr>
                <w:b/>
                <w:sz w:val="22"/>
              </w:rPr>
              <w:t># de acuerdos formales e informales de los actores históricos de la CHPH</w:t>
            </w:r>
          </w:p>
        </w:tc>
        <w:tc>
          <w:tcPr>
            <w:tcW w:w="2835" w:type="dxa"/>
          </w:tcPr>
          <w:p>
            <w:pPr>
              <w:pStyle w:val="TableParagraph"/>
              <w:tabs>
                <w:tab w:pos="726" w:val="left" w:leader="none"/>
                <w:tab w:pos="1233" w:val="left" w:leader="none"/>
                <w:tab w:pos="1264" w:val="left" w:leader="none"/>
                <w:tab w:pos="1379" w:val="left" w:leader="none"/>
                <w:tab w:pos="1527" w:val="left" w:leader="none"/>
                <w:tab w:pos="1705" w:val="left" w:leader="none"/>
                <w:tab w:pos="2281" w:val="left" w:leader="none"/>
                <w:tab w:pos="2439" w:val="left" w:leader="none"/>
                <w:tab w:pos="2595" w:val="left" w:leader="none"/>
              </w:tabs>
              <w:ind w:left="100" w:right="101"/>
              <w:rPr>
                <w:sz w:val="22"/>
              </w:rPr>
            </w:pPr>
            <w:r>
              <w:rPr>
                <w:sz w:val="22"/>
              </w:rPr>
              <w:t>Cantidad</w:t>
              <w:tab/>
              <w:t>de</w:t>
              <w:tab/>
              <w:tab/>
              <w:t>convenios</w:t>
            </w:r>
            <w:r>
              <w:rPr>
                <w:w w:val="100"/>
                <w:sz w:val="22"/>
              </w:rPr>
              <w:t> </w:t>
            </w:r>
            <w:r>
              <w:rPr>
                <w:sz w:val="22"/>
              </w:rPr>
              <w:t>formales</w:t>
              <w:tab/>
              <w:tab/>
              <w:t>e</w:t>
              <w:tab/>
              <w:tab/>
            </w:r>
            <w:r>
              <w:rPr>
                <w:spacing w:val="-1"/>
                <w:sz w:val="22"/>
              </w:rPr>
              <w:t>informales </w:t>
            </w:r>
            <w:r>
              <w:rPr>
                <w:sz w:val="22"/>
              </w:rPr>
              <w:t>entre los actores históricos de</w:t>
              <w:tab/>
              <w:t>la</w:t>
              <w:tab/>
              <w:tab/>
              <w:t>CHPH</w:t>
              <w:tab/>
            </w:r>
            <w:r>
              <w:rPr>
                <w:spacing w:val="-1"/>
                <w:sz w:val="22"/>
              </w:rPr>
              <w:t>para </w:t>
            </w:r>
            <w:r>
              <w:rPr>
                <w:sz w:val="22"/>
              </w:rPr>
              <w:t>solucionar su problemática sociopolítica común. (Ejemplo: aún no existen acuerdos</w:t>
              <w:tab/>
              <w:tab/>
              <w:tab/>
              <w:t>formales</w:t>
              <w:tab/>
              <w:tab/>
              <w:tab/>
              <w:t>e informales</w:t>
              <w:tab/>
              <w:tab/>
              <w:tab/>
              <w:tab/>
              <w:t>entre</w:t>
              <w:tab/>
              <w:tab/>
              <w:t>los actores históricos de la CHPH para solucionar su problemática sociopolítica de la</w:t>
            </w:r>
            <w:r>
              <w:rPr>
                <w:spacing w:val="-2"/>
                <w:sz w:val="22"/>
              </w:rPr>
              <w:t> </w:t>
            </w:r>
            <w:r>
              <w:rPr>
                <w:sz w:val="22"/>
              </w:rPr>
              <w:t>Cuenca).</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2540" w:hRule="exact"/>
        </w:trPr>
        <w:tc>
          <w:tcPr>
            <w:tcW w:w="852" w:type="dxa"/>
            <w:shd w:val="clear" w:color="auto" w:fill="D99493"/>
          </w:tcPr>
          <w:p>
            <w:pPr/>
          </w:p>
        </w:tc>
        <w:tc>
          <w:tcPr>
            <w:tcW w:w="730" w:type="dxa"/>
            <w:shd w:val="clear" w:color="auto" w:fill="D99493"/>
          </w:tcPr>
          <w:p>
            <w:pPr/>
          </w:p>
        </w:tc>
        <w:tc>
          <w:tcPr>
            <w:tcW w:w="1918" w:type="dxa"/>
          </w:tcPr>
          <w:p>
            <w:pPr/>
          </w:p>
        </w:tc>
        <w:tc>
          <w:tcPr>
            <w:tcW w:w="3259" w:type="dxa"/>
          </w:tcPr>
          <w:p>
            <w:pPr>
              <w:pStyle w:val="TableParagraph"/>
              <w:ind w:right="98"/>
              <w:jc w:val="both"/>
              <w:rPr>
                <w:sz w:val="22"/>
              </w:rPr>
            </w:pPr>
            <w:r>
              <w:rPr>
                <w:sz w:val="22"/>
              </w:rPr>
              <w:t>equitativo de los recursos naturales a través de una legislación principal y secundaria. Esta última, emanada de los acuerdos entre dichos actores para regular sus acciones sociopolíticas en la Cuenca (Cfr. Integridad del Agua, 2009 y García, TC:</w:t>
            </w:r>
            <w:r>
              <w:rPr>
                <w:spacing w:val="-8"/>
                <w:sz w:val="22"/>
              </w:rPr>
              <w:t> </w:t>
            </w:r>
            <w:r>
              <w:rPr>
                <w:sz w:val="22"/>
              </w:rPr>
              <w:t>2013-2015).</w:t>
            </w:r>
          </w:p>
        </w:tc>
        <w:tc>
          <w:tcPr>
            <w:tcW w:w="2211" w:type="dxa"/>
          </w:tcPr>
          <w:p>
            <w:pPr/>
          </w:p>
        </w:tc>
        <w:tc>
          <w:tcPr>
            <w:tcW w:w="2835" w:type="dxa"/>
          </w:tcPr>
          <w:p>
            <w:pPr/>
          </w:p>
        </w:tc>
      </w:tr>
      <w:tr>
        <w:trPr>
          <w:trHeight w:val="3046"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P11P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285"/>
              <w:jc w:val="right"/>
              <w:rPr>
                <w:b/>
                <w:sz w:val="22"/>
              </w:rPr>
            </w:pPr>
            <w:r>
              <w:rPr>
                <w:b/>
                <w:w w:val="100"/>
                <w:sz w:val="22"/>
              </w:rPr>
              <w:t>P</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574"/>
              <w:rPr>
                <w:sz w:val="22"/>
              </w:rPr>
            </w:pPr>
            <w:r>
              <w:rPr>
                <w:sz w:val="22"/>
              </w:rPr>
              <w:t>Autogestión sociopolítica</w:t>
            </w:r>
          </w:p>
        </w:tc>
        <w:tc>
          <w:tcPr>
            <w:tcW w:w="3259" w:type="dxa"/>
          </w:tcPr>
          <w:p>
            <w:pPr>
              <w:pStyle w:val="TableParagraph"/>
              <w:tabs>
                <w:tab w:pos="1473" w:val="left" w:leader="none"/>
              </w:tabs>
              <w:ind w:right="98"/>
              <w:jc w:val="both"/>
              <w:rPr>
                <w:sz w:val="22"/>
              </w:rPr>
            </w:pPr>
            <w:r>
              <w:rPr>
                <w:sz w:val="22"/>
              </w:rPr>
              <w:t>Es la manifestación pública de los actores históricos de la CHPH de dirigir y orientar sus recursos mediante un sistema de</w:t>
              <w:tab/>
            </w:r>
            <w:r>
              <w:rPr>
                <w:spacing w:val="-1"/>
                <w:sz w:val="22"/>
              </w:rPr>
              <w:t>autoorganización </w:t>
            </w:r>
            <w:r>
              <w:rPr>
                <w:sz w:val="22"/>
              </w:rPr>
              <w:t>sociopolítica, en el que la administración de los recursos corresponda directamente a los actores para tener una distribución más  equitativa (Cfr. Méndez y Vallota, 2006 y García, TC:</w:t>
            </w:r>
            <w:r>
              <w:rPr>
                <w:spacing w:val="-6"/>
                <w:sz w:val="22"/>
              </w:rPr>
              <w:t> </w:t>
            </w:r>
            <w:r>
              <w:rPr>
                <w:sz w:val="22"/>
              </w:rPr>
              <w:t>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32"/>
              </w:rPr>
            </w:pPr>
          </w:p>
          <w:p>
            <w:pPr>
              <w:pStyle w:val="TableParagraph"/>
              <w:spacing w:before="1"/>
              <w:ind w:left="142" w:right="144"/>
              <w:jc w:val="center"/>
              <w:rPr>
                <w:b/>
                <w:sz w:val="22"/>
              </w:rPr>
            </w:pPr>
            <w:r>
              <w:rPr>
                <w:b/>
                <w:sz w:val="22"/>
              </w:rPr>
              <w:t>Autoorganización de los actores de la CHPH (adimensional)</w:t>
            </w:r>
          </w:p>
        </w:tc>
        <w:tc>
          <w:tcPr>
            <w:tcW w:w="2835" w:type="dxa"/>
          </w:tcPr>
          <w:p>
            <w:pPr>
              <w:pStyle w:val="TableParagraph"/>
              <w:ind w:left="100" w:right="100"/>
              <w:jc w:val="both"/>
              <w:rPr>
                <w:sz w:val="22"/>
              </w:rPr>
            </w:pPr>
            <w:r>
              <w:rPr>
                <w:sz w:val="22"/>
              </w:rPr>
              <w:t>Son las organizaciones formales e informales de los actores de la CHPH para cuidar, defender y administrar sus recursos naturales de  dicha cuenca.</w:t>
            </w:r>
          </w:p>
          <w:p>
            <w:pPr>
              <w:pStyle w:val="TableParagraph"/>
              <w:ind w:left="100" w:right="102"/>
              <w:jc w:val="both"/>
              <w:rPr>
                <w:sz w:val="22"/>
              </w:rPr>
            </w:pPr>
            <w:r>
              <w:rPr>
                <w:sz w:val="22"/>
              </w:rPr>
              <w:t>(Ejemplo: organización entre los actores pescadores de la CHPH para sembrar peces en la presa Huapango).</w:t>
            </w:r>
          </w:p>
        </w:tc>
      </w:tr>
      <w:tr>
        <w:trPr>
          <w:trHeight w:val="2033"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E1P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501"/>
              <w:rPr>
                <w:sz w:val="22"/>
              </w:rPr>
            </w:pPr>
            <w:r>
              <w:rPr>
                <w:sz w:val="22"/>
              </w:rPr>
              <w:t>Estructuras consolidadas</w:t>
            </w:r>
          </w:p>
        </w:tc>
        <w:tc>
          <w:tcPr>
            <w:tcW w:w="3259" w:type="dxa"/>
          </w:tcPr>
          <w:p>
            <w:pPr>
              <w:pStyle w:val="TableParagraph"/>
              <w:tabs>
                <w:tab w:pos="2255" w:val="left" w:leader="none"/>
              </w:tabs>
              <w:spacing w:before="125"/>
              <w:ind w:right="99"/>
              <w:jc w:val="both"/>
              <w:rPr>
                <w:sz w:val="22"/>
              </w:rPr>
            </w:pPr>
            <w:r>
              <w:rPr>
                <w:sz w:val="22"/>
              </w:rPr>
              <w:t>Instituciones</w:t>
              <w:tab/>
            </w:r>
            <w:r>
              <w:rPr>
                <w:spacing w:val="-1"/>
                <w:sz w:val="22"/>
              </w:rPr>
              <w:t>comunes </w:t>
            </w:r>
            <w:r>
              <w:rPr>
                <w:sz w:val="22"/>
              </w:rPr>
              <w:t>históricas de los actores de los municipios que integran la CHPH que los caracteriza como una región para la organización sociopolítica (García, TC:</w:t>
            </w:r>
            <w:r>
              <w:rPr>
                <w:spacing w:val="-7"/>
                <w:sz w:val="22"/>
              </w:rPr>
              <w:t> </w:t>
            </w:r>
            <w:r>
              <w:rPr>
                <w:sz w:val="22"/>
              </w:rPr>
              <w:t>2013-2015).</w:t>
            </w:r>
          </w:p>
        </w:tc>
        <w:tc>
          <w:tcPr>
            <w:tcW w:w="2211" w:type="dxa"/>
          </w:tcPr>
          <w:p>
            <w:pPr>
              <w:pStyle w:val="TableParagraph"/>
              <w:spacing w:before="6"/>
              <w:ind w:left="0"/>
              <w:rPr>
                <w:rFonts w:ascii="Times New Roman"/>
                <w:sz w:val="32"/>
              </w:rPr>
            </w:pPr>
          </w:p>
          <w:p>
            <w:pPr>
              <w:pStyle w:val="TableParagraph"/>
              <w:ind w:left="266" w:right="266" w:firstLine="1"/>
              <w:jc w:val="center"/>
              <w:rPr>
                <w:b/>
                <w:sz w:val="22"/>
              </w:rPr>
            </w:pPr>
            <w:r>
              <w:rPr>
                <w:b/>
                <w:sz w:val="22"/>
              </w:rPr>
              <w:t># Instituciones históricas comunes de los actores de la CHPH</w:t>
            </w:r>
          </w:p>
        </w:tc>
        <w:tc>
          <w:tcPr>
            <w:tcW w:w="2835" w:type="dxa"/>
          </w:tcPr>
          <w:p>
            <w:pPr>
              <w:pStyle w:val="TableParagraph"/>
              <w:tabs>
                <w:tab w:pos="861" w:val="left" w:leader="none"/>
                <w:tab w:pos="1297" w:val="left" w:leader="none"/>
                <w:tab w:pos="1511" w:val="left" w:leader="none"/>
                <w:tab w:pos="1733" w:val="left" w:leader="none"/>
                <w:tab w:pos="2546" w:val="left" w:leader="none"/>
              </w:tabs>
              <w:ind w:left="100" w:right="102"/>
              <w:rPr>
                <w:sz w:val="22"/>
              </w:rPr>
            </w:pPr>
            <w:r>
              <w:rPr>
                <w:sz w:val="22"/>
              </w:rPr>
              <w:t>Son</w:t>
              <w:tab/>
              <w:t>las</w:t>
              <w:tab/>
              <w:tab/>
            </w:r>
            <w:r>
              <w:rPr>
                <w:spacing w:val="-1"/>
                <w:sz w:val="22"/>
              </w:rPr>
              <w:t>instituciones </w:t>
            </w:r>
            <w:r>
              <w:rPr>
                <w:sz w:val="22"/>
              </w:rPr>
              <w:t>históricas comunes de los actores de la CHPH que los ha consolidado en una región sociopolítica. (Ejemplo:</w:t>
              <w:tab/>
              <w:t>el</w:t>
              <w:tab/>
              <w:tab/>
              <w:t>Ejido,</w:t>
              <w:tab/>
              <w:t>el Municipio, cooperativas de pescadores y</w:t>
            </w:r>
            <w:r>
              <w:rPr>
                <w:spacing w:val="-5"/>
                <w:sz w:val="22"/>
              </w:rPr>
              <w:t> </w:t>
            </w:r>
            <w:r>
              <w:rPr>
                <w:sz w:val="22"/>
              </w:rPr>
              <w:t>ganaderos).</w:t>
            </w:r>
          </w:p>
        </w:tc>
      </w:tr>
      <w:tr>
        <w:trPr>
          <w:trHeight w:val="1022" w:hRule="exact"/>
        </w:trPr>
        <w:tc>
          <w:tcPr>
            <w:tcW w:w="852" w:type="dxa"/>
            <w:shd w:val="clear" w:color="auto" w:fill="D99493"/>
          </w:tcPr>
          <w:p>
            <w:pPr/>
          </w:p>
        </w:tc>
        <w:tc>
          <w:tcPr>
            <w:tcW w:w="730" w:type="dxa"/>
            <w:shd w:val="clear" w:color="auto" w:fill="D99493"/>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ind w:right="195"/>
              <w:rPr>
                <w:sz w:val="22"/>
              </w:rPr>
            </w:pPr>
            <w:r>
              <w:rPr>
                <w:sz w:val="22"/>
              </w:rPr>
              <w:t>Dominación de actores</w:t>
            </w:r>
          </w:p>
        </w:tc>
        <w:tc>
          <w:tcPr>
            <w:tcW w:w="3259" w:type="dxa"/>
          </w:tcPr>
          <w:p>
            <w:pPr>
              <w:pStyle w:val="TableParagraph"/>
              <w:ind w:right="96"/>
              <w:jc w:val="both"/>
              <w:rPr>
                <w:sz w:val="22"/>
              </w:rPr>
            </w:pPr>
            <w:r>
              <w:rPr>
                <w:sz w:val="22"/>
              </w:rPr>
              <w:t>Se refiere a las formas de control social legalmente establecidas que permiten la dominación sociopolítica de un</w:t>
            </w:r>
          </w:p>
        </w:tc>
        <w:tc>
          <w:tcPr>
            <w:tcW w:w="2211" w:type="dxa"/>
          </w:tcPr>
          <w:p>
            <w:pPr>
              <w:pStyle w:val="TableParagraph"/>
              <w:spacing w:before="122"/>
              <w:ind w:left="144" w:right="141"/>
              <w:jc w:val="center"/>
              <w:rPr>
                <w:b/>
                <w:sz w:val="22"/>
              </w:rPr>
            </w:pPr>
            <w:r>
              <w:rPr>
                <w:b/>
                <w:sz w:val="22"/>
              </w:rPr>
              <w:t># de grupos de actores dominantes</w:t>
            </w:r>
          </w:p>
        </w:tc>
        <w:tc>
          <w:tcPr>
            <w:tcW w:w="2835" w:type="dxa"/>
          </w:tcPr>
          <w:p>
            <w:pPr>
              <w:pStyle w:val="TableParagraph"/>
              <w:tabs>
                <w:tab w:pos="2351" w:val="left" w:leader="none"/>
                <w:tab w:pos="2610" w:val="left" w:leader="none"/>
              </w:tabs>
              <w:ind w:left="100" w:right="102"/>
              <w:jc w:val="both"/>
              <w:rPr>
                <w:sz w:val="22"/>
              </w:rPr>
            </w:pPr>
            <w:r>
              <w:rPr>
                <w:sz w:val="22"/>
              </w:rPr>
              <w:t>Cantidad de actores gubernamentales</w:t>
              <w:tab/>
              <w:tab/>
              <w:t>y empresariales</w:t>
              <w:tab/>
              <w:t>que concentran  las</w:t>
            </w:r>
            <w:r>
              <w:rPr>
                <w:spacing w:val="21"/>
                <w:sz w:val="22"/>
              </w:rPr>
              <w:t> </w:t>
            </w:r>
            <w:r>
              <w:rPr>
                <w:sz w:val="22"/>
              </w:rPr>
              <w:t>decisiones</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1274"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E2P</w:t>
            </w:r>
          </w:p>
        </w:tc>
        <w:tc>
          <w:tcPr>
            <w:tcW w:w="730" w:type="dxa"/>
            <w:shd w:val="clear" w:color="auto" w:fill="D99493"/>
          </w:tcPr>
          <w:p>
            <w:pPr/>
          </w:p>
        </w:tc>
        <w:tc>
          <w:tcPr>
            <w:tcW w:w="1918" w:type="dxa"/>
          </w:tcPr>
          <w:p>
            <w:pPr/>
          </w:p>
        </w:tc>
        <w:tc>
          <w:tcPr>
            <w:tcW w:w="3259" w:type="dxa"/>
          </w:tcPr>
          <w:p>
            <w:pPr>
              <w:pStyle w:val="TableParagraph"/>
              <w:ind w:right="97"/>
              <w:jc w:val="both"/>
              <w:rPr>
                <w:sz w:val="22"/>
              </w:rPr>
            </w:pPr>
            <w:r>
              <w:rPr>
                <w:sz w:val="22"/>
              </w:rPr>
              <w:t>grupo de actores sobre otro en la CHPH (García, TC: 2013- 2015).</w:t>
            </w:r>
          </w:p>
        </w:tc>
        <w:tc>
          <w:tcPr>
            <w:tcW w:w="2211" w:type="dxa"/>
          </w:tcPr>
          <w:p>
            <w:pPr/>
          </w:p>
        </w:tc>
        <w:tc>
          <w:tcPr>
            <w:tcW w:w="2835" w:type="dxa"/>
          </w:tcPr>
          <w:p>
            <w:pPr>
              <w:pStyle w:val="TableParagraph"/>
              <w:ind w:left="100" w:right="104"/>
              <w:jc w:val="both"/>
              <w:rPr>
                <w:sz w:val="22"/>
              </w:rPr>
            </w:pPr>
            <w:r>
              <w:rPr>
                <w:sz w:val="22"/>
              </w:rPr>
              <w:t>sociopolíticas que afectan las relaciones sociales de la CHPH.</w:t>
            </w:r>
          </w:p>
          <w:p>
            <w:pPr>
              <w:pStyle w:val="TableParagraph"/>
              <w:ind w:left="100" w:right="104"/>
              <w:jc w:val="both"/>
              <w:rPr>
                <w:sz w:val="22"/>
              </w:rPr>
            </w:pPr>
            <w:r>
              <w:rPr>
                <w:sz w:val="22"/>
              </w:rPr>
              <w:t>(Ejemplo: la Conagua, industriales lácteos).</w:t>
            </w:r>
          </w:p>
        </w:tc>
      </w:tr>
      <w:tr>
        <w:trPr>
          <w:trHeight w:val="2794"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E3P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635"/>
              <w:rPr>
                <w:sz w:val="22"/>
              </w:rPr>
            </w:pPr>
            <w:r>
              <w:rPr>
                <w:sz w:val="22"/>
              </w:rPr>
              <w:t>Sentido de pertenencia</w:t>
            </w:r>
          </w:p>
        </w:tc>
        <w:tc>
          <w:tcPr>
            <w:tcW w:w="3259" w:type="dxa"/>
          </w:tcPr>
          <w:p>
            <w:pPr>
              <w:pStyle w:val="TableParagraph"/>
              <w:spacing w:before="10"/>
              <w:ind w:left="0"/>
              <w:rPr>
                <w:rFonts w:ascii="Times New Roman"/>
                <w:sz w:val="21"/>
              </w:rPr>
            </w:pPr>
          </w:p>
          <w:p>
            <w:pPr>
              <w:pStyle w:val="TableParagraph"/>
              <w:tabs>
                <w:tab w:pos="1939" w:val="left" w:leader="none"/>
              </w:tabs>
              <w:ind w:right="98"/>
              <w:jc w:val="both"/>
              <w:rPr>
                <w:sz w:val="22"/>
              </w:rPr>
            </w:pPr>
            <w:r>
              <w:rPr>
                <w:sz w:val="22"/>
              </w:rPr>
              <w:t>Los actores históricos de la CHPH se sienten parte de una estructura</w:t>
              <w:tab/>
            </w:r>
            <w:r>
              <w:rPr>
                <w:spacing w:val="-1"/>
                <w:sz w:val="22"/>
              </w:rPr>
              <w:t>sociopolítica </w:t>
            </w:r>
            <w:r>
              <w:rPr>
                <w:sz w:val="22"/>
              </w:rPr>
              <w:t>histórica que les permite tener una convivencia sociopolítica entre actores y vincula a los cinco municipios de la Cuenca como una región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spacing w:before="1"/>
              <w:ind w:left="290" w:right="292" w:firstLine="2"/>
              <w:jc w:val="center"/>
              <w:rPr>
                <w:b/>
                <w:sz w:val="22"/>
              </w:rPr>
            </w:pPr>
            <w:r>
              <w:rPr>
                <w:b/>
                <w:sz w:val="22"/>
              </w:rPr>
              <w:t>Estructura sociopolítica histórica de los actores de la CHPH</w:t>
            </w:r>
          </w:p>
          <w:p>
            <w:pPr>
              <w:pStyle w:val="TableParagraph"/>
              <w:spacing w:line="252" w:lineRule="exact"/>
              <w:ind w:left="143" w:right="144"/>
              <w:jc w:val="center"/>
              <w:rPr>
                <w:b/>
                <w:sz w:val="22"/>
              </w:rPr>
            </w:pPr>
            <w:r>
              <w:rPr>
                <w:b/>
                <w:sz w:val="22"/>
              </w:rPr>
              <w:t>(adimensional)</w:t>
            </w:r>
          </w:p>
        </w:tc>
        <w:tc>
          <w:tcPr>
            <w:tcW w:w="2835" w:type="dxa"/>
          </w:tcPr>
          <w:p>
            <w:pPr>
              <w:pStyle w:val="TableParagraph"/>
              <w:tabs>
                <w:tab w:pos="1045" w:val="left" w:leader="none"/>
                <w:tab w:pos="1190" w:val="left" w:leader="none"/>
                <w:tab w:pos="1633" w:val="left" w:leader="none"/>
                <w:tab w:pos="1705" w:val="left" w:leader="none"/>
                <w:tab w:pos="2168" w:val="left" w:leader="none"/>
                <w:tab w:pos="2548" w:val="left" w:leader="none"/>
              </w:tabs>
              <w:ind w:left="100" w:right="102"/>
              <w:rPr>
                <w:sz w:val="22"/>
              </w:rPr>
            </w:pPr>
            <w:r>
              <w:rPr>
                <w:sz w:val="22"/>
              </w:rPr>
              <w:t>Son</w:t>
              <w:tab/>
              <w:tab/>
              <w:t>las</w:t>
              <w:tab/>
              <w:tab/>
              <w:tab/>
              <w:t>redes sociopolíticas</w:t>
              <w:tab/>
              <w:tab/>
            </w:r>
            <w:r>
              <w:rPr>
                <w:spacing w:val="-1"/>
                <w:sz w:val="22"/>
              </w:rPr>
              <w:t>informales </w:t>
            </w:r>
            <w:r>
              <w:rPr>
                <w:sz w:val="22"/>
              </w:rPr>
              <w:t>que se han conformado a través de la historia entre los actores de la CHPH para</w:t>
              <w:tab/>
              <w:t>solucionar</w:t>
              <w:tab/>
              <w:tab/>
              <w:t>la problemática común. (Ejemplo:</w:t>
              <w:tab/>
              <w:tab/>
              <w:tab/>
            </w:r>
            <w:r>
              <w:rPr>
                <w:spacing w:val="-1"/>
                <w:sz w:val="22"/>
              </w:rPr>
              <w:t>parentesco </w:t>
            </w:r>
            <w:r>
              <w:rPr>
                <w:sz w:val="22"/>
              </w:rPr>
              <w:t>ritual, mercados y tianguis regionales).</w:t>
            </w:r>
          </w:p>
        </w:tc>
      </w:tr>
      <w:tr>
        <w:trPr>
          <w:trHeight w:val="2792"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E4P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right="550"/>
              <w:rPr>
                <w:sz w:val="22"/>
              </w:rPr>
            </w:pPr>
            <w:r>
              <w:rPr>
                <w:sz w:val="22"/>
              </w:rPr>
              <w:t>Interés de participación</w:t>
            </w:r>
          </w:p>
        </w:tc>
        <w:tc>
          <w:tcPr>
            <w:tcW w:w="3259" w:type="dxa"/>
          </w:tcPr>
          <w:p>
            <w:pPr>
              <w:pStyle w:val="TableParagraph"/>
              <w:spacing w:before="8"/>
              <w:ind w:left="0"/>
              <w:rPr>
                <w:rFonts w:ascii="Times New Roman"/>
                <w:sz w:val="21"/>
              </w:rPr>
            </w:pPr>
          </w:p>
          <w:p>
            <w:pPr>
              <w:pStyle w:val="TableParagraph"/>
              <w:ind w:right="96"/>
              <w:jc w:val="both"/>
              <w:rPr>
                <w:sz w:val="22"/>
              </w:rPr>
            </w:pPr>
            <w:r>
              <w:rPr>
                <w:sz w:val="22"/>
              </w:rPr>
              <w:t>Los actores históricos de la CHPH tienen amplio interés en participar en las decisiones colectivas de la Cuenca para atender sus problemas sociopolíticos y acceder a un reparto equilibrado de los recursos (García, TC: 2013- 2015).</w:t>
            </w:r>
          </w:p>
        </w:tc>
        <w:tc>
          <w:tcPr>
            <w:tcW w:w="2211" w:type="dxa"/>
          </w:tcPr>
          <w:p>
            <w:pPr>
              <w:pStyle w:val="TableParagraph"/>
              <w:spacing w:before="6"/>
              <w:ind w:left="0"/>
              <w:rPr>
                <w:rFonts w:ascii="Times New Roman"/>
                <w:sz w:val="32"/>
              </w:rPr>
            </w:pPr>
          </w:p>
          <w:p>
            <w:pPr>
              <w:pStyle w:val="TableParagraph"/>
              <w:ind w:left="235" w:right="238" w:firstLine="2"/>
              <w:jc w:val="center"/>
              <w:rPr>
                <w:b/>
                <w:sz w:val="22"/>
              </w:rPr>
            </w:pPr>
            <w:r>
              <w:rPr>
                <w:b/>
                <w:sz w:val="22"/>
              </w:rPr>
              <w:t>Interés sociopolítico de los actores de la CHPH para participar en decisiones colectivas (adimensional)</w:t>
            </w:r>
          </w:p>
        </w:tc>
        <w:tc>
          <w:tcPr>
            <w:tcW w:w="2835" w:type="dxa"/>
          </w:tcPr>
          <w:p>
            <w:pPr>
              <w:pStyle w:val="TableParagraph"/>
              <w:ind w:left="100" w:right="102"/>
              <w:jc w:val="both"/>
              <w:rPr>
                <w:sz w:val="22"/>
              </w:rPr>
            </w:pPr>
            <w:r>
              <w:rPr>
                <w:sz w:val="22"/>
              </w:rPr>
              <w:t>Interés de colaboración de los actores de la CHPH para participar en decisiones sociopolíticas colectivas.</w:t>
            </w:r>
          </w:p>
          <w:p>
            <w:pPr>
              <w:pStyle w:val="TableParagraph"/>
              <w:tabs>
                <w:tab w:pos="2281" w:val="left" w:leader="none"/>
              </w:tabs>
              <w:spacing w:before="1"/>
              <w:ind w:left="100" w:right="102"/>
              <w:jc w:val="both"/>
              <w:rPr>
                <w:sz w:val="22"/>
              </w:rPr>
            </w:pPr>
            <w:r>
              <w:rPr>
                <w:sz w:val="22"/>
              </w:rPr>
              <w:t>(Ejemplo: la intensión de conformar un Comité intermunicipal</w:t>
              <w:tab/>
            </w:r>
            <w:r>
              <w:rPr>
                <w:spacing w:val="-1"/>
                <w:sz w:val="22"/>
              </w:rPr>
              <w:t>para </w:t>
            </w:r>
            <w:r>
              <w:rPr>
                <w:sz w:val="22"/>
              </w:rPr>
              <w:t>atender los problemas sociopolíticos de la CHPH).</w:t>
            </w:r>
          </w:p>
        </w:tc>
      </w:tr>
      <w:tr>
        <w:trPr>
          <w:trHeight w:val="1781"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E5P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574"/>
              <w:rPr>
                <w:sz w:val="22"/>
              </w:rPr>
            </w:pPr>
            <w:r>
              <w:rPr>
                <w:sz w:val="22"/>
              </w:rPr>
              <w:t>Expresiones públicas</w:t>
            </w:r>
          </w:p>
        </w:tc>
        <w:tc>
          <w:tcPr>
            <w:tcW w:w="3259" w:type="dxa"/>
          </w:tcPr>
          <w:p>
            <w:pPr>
              <w:pStyle w:val="TableParagraph"/>
              <w:ind w:right="97"/>
              <w:jc w:val="both"/>
              <w:rPr>
                <w:sz w:val="22"/>
              </w:rPr>
            </w:pPr>
            <w:r>
              <w:rPr>
                <w:sz w:val="22"/>
              </w:rPr>
              <w:t>Los actores históricos de la CHPH intentan incidir en la toma de decisiones colectivas a través de actitudes de participación colectiva, para atender su problemática sociopolítica    común    de   </w:t>
            </w:r>
            <w:r>
              <w:rPr>
                <w:spacing w:val="18"/>
                <w:sz w:val="22"/>
              </w:rPr>
              <w:t> </w:t>
            </w:r>
            <w:r>
              <w:rPr>
                <w:sz w:val="22"/>
              </w:rPr>
              <w:t>la</w:t>
            </w:r>
          </w:p>
        </w:tc>
        <w:tc>
          <w:tcPr>
            <w:tcW w:w="2211" w:type="dxa"/>
          </w:tcPr>
          <w:p>
            <w:pPr>
              <w:pStyle w:val="TableParagraph"/>
              <w:spacing w:before="8"/>
              <w:ind w:left="0"/>
              <w:rPr>
                <w:rFonts w:ascii="Times New Roman"/>
                <w:sz w:val="21"/>
              </w:rPr>
            </w:pPr>
          </w:p>
          <w:p>
            <w:pPr>
              <w:pStyle w:val="TableParagraph"/>
              <w:ind w:left="151" w:right="149" w:hanging="2"/>
              <w:jc w:val="center"/>
              <w:rPr>
                <w:b/>
                <w:sz w:val="22"/>
              </w:rPr>
            </w:pPr>
            <w:r>
              <w:rPr>
                <w:b/>
                <w:sz w:val="22"/>
              </w:rPr>
              <w:t>Expresiones públicas de los actores históricos de la CHPH (adimensional)</w:t>
            </w:r>
          </w:p>
        </w:tc>
        <w:tc>
          <w:tcPr>
            <w:tcW w:w="2835" w:type="dxa"/>
          </w:tcPr>
          <w:p>
            <w:pPr>
              <w:pStyle w:val="TableParagraph"/>
              <w:tabs>
                <w:tab w:pos="642" w:val="left" w:leader="none"/>
                <w:tab w:pos="1401" w:val="left" w:leader="none"/>
                <w:tab w:pos="1535" w:val="left" w:leader="none"/>
                <w:tab w:pos="1821" w:val="left" w:leader="none"/>
                <w:tab w:pos="2437" w:val="left" w:leader="none"/>
              </w:tabs>
              <w:ind w:left="100" w:right="101"/>
              <w:rPr>
                <w:sz w:val="22"/>
              </w:rPr>
            </w:pPr>
            <w:r>
              <w:rPr>
                <w:sz w:val="22"/>
              </w:rPr>
              <w:t>Exposiciones públicas de los actores históricos de la CHPH para participar  en la</w:t>
              <w:tab/>
              <w:t>solución</w:t>
              <w:tab/>
              <w:tab/>
              <w:t>de</w:t>
              <w:tab/>
              <w:t>los problemas</w:t>
              <w:tab/>
            </w:r>
            <w:r>
              <w:rPr>
                <w:spacing w:val="-1"/>
                <w:sz w:val="22"/>
              </w:rPr>
              <w:t>sociopolíticos </w:t>
            </w:r>
            <w:r>
              <w:rPr>
                <w:sz w:val="22"/>
              </w:rPr>
              <w:t>colectivos de la Cuenca. (Ejemplo:</w:t>
              <w:tab/>
              <w:tab/>
            </w:r>
            <w:r>
              <w:rPr>
                <w:spacing w:val="-1"/>
                <w:sz w:val="22"/>
              </w:rPr>
              <w:t>expresiones</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768" w:hRule="exact"/>
        </w:trPr>
        <w:tc>
          <w:tcPr>
            <w:tcW w:w="852" w:type="dxa"/>
            <w:shd w:val="clear" w:color="auto" w:fill="D99493"/>
          </w:tcPr>
          <w:p>
            <w:pPr/>
          </w:p>
        </w:tc>
        <w:tc>
          <w:tcPr>
            <w:tcW w:w="730" w:type="dxa"/>
            <w:shd w:val="clear" w:color="auto" w:fill="D99493"/>
          </w:tcPr>
          <w:p>
            <w:pPr/>
          </w:p>
        </w:tc>
        <w:tc>
          <w:tcPr>
            <w:tcW w:w="1918" w:type="dxa"/>
          </w:tcPr>
          <w:p>
            <w:pPr/>
          </w:p>
        </w:tc>
        <w:tc>
          <w:tcPr>
            <w:tcW w:w="3259" w:type="dxa"/>
          </w:tcPr>
          <w:p>
            <w:pPr>
              <w:pStyle w:val="TableParagraph"/>
              <w:spacing w:line="252" w:lineRule="exact" w:before="2"/>
              <w:ind w:right="93"/>
              <w:rPr>
                <w:sz w:val="22"/>
              </w:rPr>
            </w:pPr>
            <w:r>
              <w:rPr>
                <w:sz w:val="22"/>
              </w:rPr>
              <w:t>Cuenca (García, TC: 2013- 2015).</w:t>
            </w:r>
          </w:p>
        </w:tc>
        <w:tc>
          <w:tcPr>
            <w:tcW w:w="2211" w:type="dxa"/>
          </w:tcPr>
          <w:p>
            <w:pPr/>
          </w:p>
        </w:tc>
        <w:tc>
          <w:tcPr>
            <w:tcW w:w="2835" w:type="dxa"/>
          </w:tcPr>
          <w:p>
            <w:pPr>
              <w:pStyle w:val="TableParagraph"/>
              <w:ind w:left="100" w:right="104"/>
              <w:jc w:val="both"/>
              <w:rPr>
                <w:sz w:val="22"/>
              </w:rPr>
            </w:pPr>
            <w:r>
              <w:rPr>
                <w:sz w:val="22"/>
              </w:rPr>
              <w:t>públicas en trabajo de campo y en asambleas de ejidatarios).</w:t>
            </w:r>
          </w:p>
        </w:tc>
      </w:tr>
      <w:tr>
        <w:trPr>
          <w:trHeight w:val="2794"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5" w:right="124"/>
              <w:jc w:val="center"/>
              <w:rPr>
                <w:b/>
                <w:sz w:val="22"/>
              </w:rPr>
            </w:pPr>
            <w:r>
              <w:rPr>
                <w:b/>
                <w:sz w:val="22"/>
              </w:rPr>
              <w:t>E6P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195"/>
              <w:rPr>
                <w:sz w:val="22"/>
              </w:rPr>
            </w:pPr>
            <w:r>
              <w:rPr>
                <w:sz w:val="22"/>
              </w:rPr>
              <w:t>Vínculos intermunicipales</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tabs>
                <w:tab w:pos="2255" w:val="left" w:leader="none"/>
              </w:tabs>
              <w:ind w:right="98"/>
              <w:jc w:val="both"/>
              <w:rPr>
                <w:sz w:val="22"/>
              </w:rPr>
            </w:pPr>
            <w:r>
              <w:rPr>
                <w:sz w:val="22"/>
              </w:rPr>
              <w:t>Escasa articulación formal entre los actores de los municipios de la CHPH para hacer frente a sus problemas sociopolíticos</w:t>
              <w:tab/>
            </w:r>
            <w:r>
              <w:rPr>
                <w:spacing w:val="-1"/>
                <w:sz w:val="22"/>
              </w:rPr>
              <w:t>comunes </w:t>
            </w:r>
            <w:r>
              <w:rPr>
                <w:sz w:val="22"/>
              </w:rPr>
              <w:t>(García, TC:</w:t>
            </w:r>
            <w:r>
              <w:rPr>
                <w:spacing w:val="-7"/>
                <w:sz w:val="22"/>
              </w:rPr>
              <w:t> </w:t>
            </w:r>
            <w:r>
              <w:rPr>
                <w:sz w:val="22"/>
              </w:rPr>
              <w:t>2013-2015).</w:t>
            </w:r>
          </w:p>
        </w:tc>
        <w:tc>
          <w:tcPr>
            <w:tcW w:w="2211"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44" w:right="144" w:firstLine="2"/>
              <w:jc w:val="center"/>
              <w:rPr>
                <w:b/>
                <w:sz w:val="22"/>
              </w:rPr>
            </w:pPr>
            <w:r>
              <w:rPr>
                <w:b/>
                <w:sz w:val="22"/>
              </w:rPr>
              <w:t># de alianzas intermunicipales entre los actores de la CHPH para hacer frente a su problemática sociopolítica de la CHPH</w:t>
            </w:r>
          </w:p>
        </w:tc>
        <w:tc>
          <w:tcPr>
            <w:tcW w:w="2835" w:type="dxa"/>
          </w:tcPr>
          <w:p>
            <w:pPr>
              <w:pStyle w:val="TableParagraph"/>
              <w:ind w:left="100" w:right="101"/>
              <w:jc w:val="both"/>
              <w:rPr>
                <w:sz w:val="22"/>
              </w:rPr>
            </w:pPr>
            <w:r>
              <w:rPr>
                <w:sz w:val="22"/>
              </w:rPr>
              <w:t>Cantidad de acuerdos intermunicipales formales de los actores de la CHPH para hacer frente a los problemas sociopolíticos de la CHPH.</w:t>
            </w:r>
          </w:p>
          <w:p>
            <w:pPr>
              <w:pStyle w:val="TableParagraph"/>
              <w:spacing w:before="1"/>
              <w:ind w:left="100" w:right="100"/>
              <w:jc w:val="both"/>
              <w:rPr>
                <w:sz w:val="22"/>
              </w:rPr>
            </w:pPr>
            <w:r>
              <w:rPr>
                <w:sz w:val="22"/>
              </w:rPr>
              <w:t>(Ejemplo: aún no existen acuerdos intermunicipales entre los actores de la CHPH para hacer frente a sus problemas comunes).</w:t>
            </w:r>
          </w:p>
        </w:tc>
      </w:tr>
      <w:tr>
        <w:trPr>
          <w:trHeight w:val="2033"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5" w:right="124"/>
              <w:jc w:val="center"/>
              <w:rPr>
                <w:b/>
                <w:sz w:val="22"/>
              </w:rPr>
            </w:pPr>
            <w:r>
              <w:rPr>
                <w:b/>
                <w:sz w:val="22"/>
              </w:rPr>
              <w:t>E7P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489"/>
              <w:rPr>
                <w:sz w:val="22"/>
              </w:rPr>
            </w:pPr>
            <w:r>
              <w:rPr>
                <w:sz w:val="22"/>
              </w:rPr>
              <w:t>Colaboración limitada</w:t>
            </w:r>
          </w:p>
        </w:tc>
        <w:tc>
          <w:tcPr>
            <w:tcW w:w="3259" w:type="dxa"/>
          </w:tcPr>
          <w:p>
            <w:pPr>
              <w:pStyle w:val="TableParagraph"/>
              <w:ind w:right="97"/>
              <w:jc w:val="both"/>
              <w:rPr>
                <w:sz w:val="22"/>
              </w:rPr>
            </w:pPr>
            <w:r>
              <w:rPr>
                <w:sz w:val="22"/>
              </w:rPr>
              <w:t>Mecanismos aislados de cooperación entre los actores de los municipios de la CHPH por comunidad, que restringen las acciones de trabajo común para solucionar los problemas sociopolíticos de la Cuenca (García, TC: 2013-2015).</w:t>
            </w:r>
          </w:p>
        </w:tc>
        <w:tc>
          <w:tcPr>
            <w:tcW w:w="2211" w:type="dxa"/>
          </w:tcPr>
          <w:p>
            <w:pPr>
              <w:pStyle w:val="TableParagraph"/>
              <w:spacing w:before="5"/>
              <w:ind w:left="0"/>
              <w:rPr>
                <w:rFonts w:ascii="Times New Roman"/>
                <w:sz w:val="21"/>
              </w:rPr>
            </w:pPr>
          </w:p>
          <w:p>
            <w:pPr>
              <w:pStyle w:val="TableParagraph"/>
              <w:ind w:left="102" w:right="102"/>
              <w:jc w:val="center"/>
              <w:rPr>
                <w:b/>
                <w:sz w:val="22"/>
              </w:rPr>
            </w:pPr>
            <w:r>
              <w:rPr>
                <w:b/>
                <w:sz w:val="22"/>
              </w:rPr>
              <w:t># de acciones aisladas de trabajo comunitario de los actores de los municipios de la CHPH</w:t>
            </w:r>
          </w:p>
        </w:tc>
        <w:tc>
          <w:tcPr>
            <w:tcW w:w="2835" w:type="dxa"/>
          </w:tcPr>
          <w:p>
            <w:pPr>
              <w:pStyle w:val="TableParagraph"/>
              <w:tabs>
                <w:tab w:pos="657" w:val="left" w:leader="none"/>
                <w:tab w:pos="1118" w:val="left" w:leader="none"/>
                <w:tab w:pos="1249" w:val="left" w:leader="none"/>
                <w:tab w:pos="1693" w:val="left" w:leader="none"/>
                <w:tab w:pos="2281" w:val="left" w:leader="none"/>
              </w:tabs>
              <w:ind w:left="100" w:right="102"/>
              <w:rPr>
                <w:sz w:val="22"/>
              </w:rPr>
            </w:pPr>
            <w:r>
              <w:rPr>
                <w:sz w:val="22"/>
              </w:rPr>
              <w:t>Cantidad de acciones de trabajo a nivel comunitario de</w:t>
              <w:tab/>
              <w:t>los</w:t>
              <w:tab/>
              <w:tab/>
              <w:t>actores</w:t>
              <w:tab/>
            </w:r>
            <w:r>
              <w:rPr>
                <w:spacing w:val="-1"/>
                <w:sz w:val="22"/>
              </w:rPr>
              <w:t>para </w:t>
            </w:r>
            <w:r>
              <w:rPr>
                <w:sz w:val="22"/>
              </w:rPr>
              <w:t>resolver</w:t>
              <w:tab/>
              <w:t>sus</w:t>
              <w:tab/>
            </w:r>
            <w:r>
              <w:rPr>
                <w:spacing w:val="-1"/>
                <w:sz w:val="22"/>
              </w:rPr>
              <w:t>problemas </w:t>
            </w:r>
            <w:r>
              <w:rPr>
                <w:sz w:val="22"/>
              </w:rPr>
              <w:t>sociopolíticos de la CHPH. (Ejemplo: construcción de biodigestores comunitarios).</w:t>
            </w:r>
          </w:p>
        </w:tc>
      </w:tr>
      <w:tr>
        <w:trPr>
          <w:trHeight w:val="3046"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4"/>
              <w:jc w:val="center"/>
              <w:rPr>
                <w:b/>
                <w:sz w:val="22"/>
              </w:rPr>
            </w:pPr>
            <w:r>
              <w:rPr>
                <w:b/>
                <w:sz w:val="22"/>
              </w:rPr>
              <w:t>E8P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spacing w:line="242" w:lineRule="auto"/>
              <w:ind w:right="635"/>
              <w:rPr>
                <w:sz w:val="22"/>
              </w:rPr>
            </w:pPr>
            <w:r>
              <w:rPr>
                <w:sz w:val="22"/>
              </w:rPr>
              <w:t>Sentido de pertenencia</w:t>
            </w:r>
          </w:p>
        </w:tc>
        <w:tc>
          <w:tcPr>
            <w:tcW w:w="3259" w:type="dxa"/>
          </w:tcPr>
          <w:p>
            <w:pPr>
              <w:pStyle w:val="TableParagraph"/>
              <w:ind w:right="98"/>
              <w:jc w:val="both"/>
              <w:rPr>
                <w:sz w:val="22"/>
              </w:rPr>
            </w:pPr>
            <w:r>
              <w:rPr>
                <w:sz w:val="22"/>
              </w:rPr>
              <w:t>Existe una identidad sociopolítica arraigada de los actores históricos de la CHPH que les permite conocer la problemática de la región e identidad limitada de los actores gubernamentales para la solución de los problemas comunes porque en muchos  de los casos nacieron y viven en otro lugar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13" w:right="116" w:firstLine="3"/>
              <w:jc w:val="center"/>
              <w:rPr>
                <w:b/>
                <w:sz w:val="22"/>
              </w:rPr>
            </w:pPr>
            <w:r>
              <w:rPr>
                <w:b/>
                <w:sz w:val="22"/>
              </w:rPr>
              <w:t>Lugar de nacimiento y años de residencia en la CHPH</w:t>
            </w:r>
          </w:p>
        </w:tc>
        <w:tc>
          <w:tcPr>
            <w:tcW w:w="2835" w:type="dxa"/>
          </w:tcPr>
          <w:p>
            <w:pPr>
              <w:pStyle w:val="TableParagraph"/>
              <w:tabs>
                <w:tab w:pos="1331" w:val="left" w:leader="none"/>
                <w:tab w:pos="2350" w:val="left" w:leader="none"/>
              </w:tabs>
              <w:ind w:left="100" w:right="103"/>
              <w:rPr>
                <w:sz w:val="22"/>
              </w:rPr>
            </w:pPr>
            <w:r>
              <w:rPr>
                <w:sz w:val="22"/>
              </w:rPr>
              <w:t>Lugar de nacimiento  de los actores y años de residencia en la  CHPH que les permite conocer  su problemática común. (Ejemplo:</w:t>
              <w:tab/>
              <w:t>actores</w:t>
              <w:tab/>
              <w:t>que nacieron dentro de los 5 municipios que integran la CHPH y que han vivido allí siempre).</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3298"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125" w:right="124"/>
              <w:jc w:val="center"/>
              <w:rPr>
                <w:b/>
                <w:sz w:val="22"/>
              </w:rPr>
            </w:pPr>
            <w:r>
              <w:rPr>
                <w:b/>
                <w:sz w:val="22"/>
              </w:rPr>
              <w:t>E9P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right="673"/>
              <w:rPr>
                <w:sz w:val="22"/>
              </w:rPr>
            </w:pPr>
            <w:r>
              <w:rPr>
                <w:sz w:val="22"/>
              </w:rPr>
              <w:t>Estructuras limitadas</w:t>
            </w:r>
          </w:p>
        </w:tc>
        <w:tc>
          <w:tcPr>
            <w:tcW w:w="3259"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tabs>
                <w:tab w:pos="616" w:val="left" w:leader="none"/>
                <w:tab w:pos="705" w:val="left" w:leader="none"/>
                <w:tab w:pos="837" w:val="left" w:leader="none"/>
                <w:tab w:pos="1753" w:val="left" w:leader="none"/>
                <w:tab w:pos="1791" w:val="left" w:leader="none"/>
                <w:tab w:pos="1828" w:val="left" w:leader="none"/>
                <w:tab w:pos="2255" w:val="left" w:leader="none"/>
                <w:tab w:pos="2705" w:val="left" w:leader="none"/>
                <w:tab w:pos="2865" w:val="left" w:leader="none"/>
              </w:tabs>
              <w:ind w:right="99"/>
              <w:rPr>
                <w:sz w:val="22"/>
              </w:rPr>
            </w:pPr>
            <w:r>
              <w:rPr>
                <w:sz w:val="22"/>
              </w:rPr>
              <w:t>Las estructuras de la CHPH que</w:t>
              <w:tab/>
              <w:tab/>
              <w:t>permiten</w:t>
              <w:tab/>
              <w:tab/>
              <w:t>construir</w:t>
              <w:tab/>
              <w:tab/>
              <w:t>las relaciones</w:t>
              <w:tab/>
              <w:tab/>
              <w:tab/>
            </w:r>
            <w:r>
              <w:rPr>
                <w:spacing w:val="-1"/>
                <w:sz w:val="22"/>
              </w:rPr>
              <w:t>sociopolíticas </w:t>
            </w:r>
            <w:r>
              <w:rPr>
                <w:sz w:val="22"/>
              </w:rPr>
              <w:t>regionales, están limitadas por el</w:t>
              <w:tab/>
              <w:t>derecho</w:t>
              <w:tab/>
              <w:t>formal</w:t>
              <w:tab/>
              <w:t>para articularse  intermunicipalmente y atender sus</w:t>
              <w:tab/>
              <w:tab/>
              <w:tab/>
              <w:t>problemas</w:t>
              <w:tab/>
            </w:r>
            <w:r>
              <w:rPr>
                <w:spacing w:val="-1"/>
                <w:sz w:val="22"/>
              </w:rPr>
              <w:t>comunes </w:t>
            </w:r>
            <w:r>
              <w:rPr>
                <w:sz w:val="22"/>
              </w:rPr>
              <w:t>(García, TC:</w:t>
            </w:r>
            <w:r>
              <w:rPr>
                <w:spacing w:val="-7"/>
                <w:sz w:val="22"/>
              </w:rPr>
              <w:t> </w:t>
            </w:r>
            <w:r>
              <w:rPr>
                <w:sz w:val="22"/>
              </w:rPr>
              <w:t>2013-2015).</w:t>
            </w:r>
          </w:p>
        </w:tc>
        <w:tc>
          <w:tcPr>
            <w:tcW w:w="2211" w:type="dxa"/>
          </w:tcPr>
          <w:p>
            <w:pPr>
              <w:pStyle w:val="TableParagraph"/>
              <w:ind w:left="0"/>
              <w:rPr>
                <w:rFonts w:ascii="Times New Roman"/>
                <w:sz w:val="22"/>
              </w:rPr>
            </w:pPr>
          </w:p>
          <w:p>
            <w:pPr>
              <w:pStyle w:val="TableParagraph"/>
              <w:spacing w:before="5"/>
              <w:ind w:left="0"/>
              <w:rPr>
                <w:rFonts w:ascii="Times New Roman"/>
                <w:sz w:val="32"/>
              </w:rPr>
            </w:pPr>
          </w:p>
          <w:p>
            <w:pPr>
              <w:pStyle w:val="TableParagraph"/>
              <w:ind w:left="151" w:right="149" w:hanging="2"/>
              <w:jc w:val="center"/>
              <w:rPr>
                <w:b/>
                <w:sz w:val="22"/>
              </w:rPr>
            </w:pPr>
            <w:r>
              <w:rPr>
                <w:b/>
                <w:sz w:val="22"/>
              </w:rPr>
              <w:t>Facultades expresadas por la ley que limitan las relaciones consuetudinarias de los actores de los municipios de la CHPH (adimensional)</w:t>
            </w:r>
          </w:p>
        </w:tc>
        <w:tc>
          <w:tcPr>
            <w:tcW w:w="2835" w:type="dxa"/>
          </w:tcPr>
          <w:p>
            <w:pPr>
              <w:pStyle w:val="TableParagraph"/>
              <w:tabs>
                <w:tab w:pos="714" w:val="left" w:leader="none"/>
                <w:tab w:pos="1101" w:val="left" w:leader="none"/>
                <w:tab w:pos="1266" w:val="left" w:leader="none"/>
                <w:tab w:pos="1693" w:val="left" w:leader="none"/>
                <w:tab w:pos="1981" w:val="left" w:leader="none"/>
                <w:tab w:pos="2440" w:val="left" w:leader="none"/>
                <w:tab w:pos="2547" w:val="left" w:leader="none"/>
              </w:tabs>
              <w:ind w:left="100" w:right="102"/>
              <w:rPr>
                <w:sz w:val="22"/>
              </w:rPr>
            </w:pPr>
            <w:r>
              <w:rPr>
                <w:sz w:val="22"/>
              </w:rPr>
              <w:t>Son las potestades de la ley formal que limitan las relaciones consuetudinarias</w:t>
              <w:tab/>
              <w:t>de</w:t>
              <w:tab/>
              <w:t>los actores de la CHPH para atender</w:t>
              <w:tab/>
              <w:t>sus</w:t>
              <w:tab/>
            </w:r>
            <w:r>
              <w:rPr>
                <w:spacing w:val="-1"/>
                <w:sz w:val="22"/>
              </w:rPr>
              <w:t>problemas </w:t>
            </w:r>
            <w:r>
              <w:rPr>
                <w:sz w:val="22"/>
              </w:rPr>
              <w:t>sociopolíticos comunes. (Ejemplo: facultades que se</w:t>
              <w:tab/>
              <w:t>le</w:t>
              <w:tab/>
              <w:tab/>
              <w:t>atribuyen</w:t>
              <w:tab/>
              <w:tab/>
              <w:t>al Municipio   en   el </w:t>
            </w:r>
            <w:r>
              <w:rPr>
                <w:spacing w:val="54"/>
                <w:sz w:val="22"/>
              </w:rPr>
              <w:t> </w:t>
            </w:r>
            <w:r>
              <w:rPr>
                <w:sz w:val="22"/>
              </w:rPr>
              <w:t>artículo</w:t>
            </w:r>
          </w:p>
          <w:p>
            <w:pPr>
              <w:pStyle w:val="TableParagraph"/>
              <w:ind w:left="100" w:right="102"/>
              <w:jc w:val="both"/>
              <w:rPr>
                <w:sz w:val="22"/>
              </w:rPr>
            </w:pPr>
            <w:r>
              <w:rPr>
                <w:sz w:val="22"/>
              </w:rPr>
              <w:t>115 de la Constitución Política de los Estados Unidos Mexicanos).</w:t>
            </w:r>
          </w:p>
        </w:tc>
      </w:tr>
      <w:tr>
        <w:trPr>
          <w:trHeight w:val="3552"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E10P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spacing w:before="1"/>
              <w:ind w:right="513"/>
              <w:rPr>
                <w:sz w:val="22"/>
              </w:rPr>
            </w:pPr>
            <w:r>
              <w:rPr>
                <w:sz w:val="22"/>
              </w:rPr>
              <w:t>Legislación incongruente</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tabs>
                <w:tab w:pos="1826" w:val="left" w:leader="none"/>
              </w:tabs>
              <w:ind w:right="97"/>
              <w:jc w:val="both"/>
              <w:rPr>
                <w:sz w:val="22"/>
              </w:rPr>
            </w:pPr>
            <w:r>
              <w:rPr>
                <w:sz w:val="22"/>
              </w:rPr>
              <w:t>Leyes vigentes que han facultado limitadamente a los actores de la CHPH para intervenir en su propio desarrollo y en la toma de decisiones</w:t>
              <w:tab/>
            </w:r>
            <w:r>
              <w:rPr>
                <w:spacing w:val="-1"/>
                <w:sz w:val="22"/>
              </w:rPr>
              <w:t>sociopolíticas </w:t>
            </w:r>
            <w:r>
              <w:rPr>
                <w:sz w:val="22"/>
              </w:rPr>
              <w:t>conjuntas (García, TC: 2013- 2015).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234" w:right="237"/>
              <w:jc w:val="center"/>
              <w:rPr>
                <w:b/>
                <w:sz w:val="22"/>
              </w:rPr>
            </w:pPr>
            <w:r>
              <w:rPr>
                <w:b/>
                <w:sz w:val="22"/>
              </w:rPr>
              <w:t># de leyes vigentes que regulan limitadamente la participación sociopolítica de los actores de la CHPH</w:t>
            </w:r>
          </w:p>
        </w:tc>
        <w:tc>
          <w:tcPr>
            <w:tcW w:w="2835" w:type="dxa"/>
          </w:tcPr>
          <w:p>
            <w:pPr>
              <w:pStyle w:val="TableParagraph"/>
              <w:ind w:left="100" w:right="102"/>
              <w:jc w:val="both"/>
              <w:rPr>
                <w:sz w:val="22"/>
              </w:rPr>
            </w:pPr>
            <w:r>
              <w:rPr>
                <w:sz w:val="22"/>
              </w:rPr>
              <w:t>Cantidad de normas del derecho formal que regulan los derechos y obligaciones de  los actores de la CHPH, pero que ignoran el derecho consuetudinario de dichos actores y los limitan en la solución de sus problemas sociopolíticos de la región. (Ejemplo: Constitución Política de los Estados Unidos Mexicanos y la Ley Orgánica Municipal).</w:t>
            </w:r>
          </w:p>
        </w:tc>
      </w:tr>
      <w:tr>
        <w:trPr>
          <w:trHeight w:val="1781"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E11P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85"/>
              <w:jc w:val="right"/>
              <w:rPr>
                <w:b/>
                <w:sz w:val="22"/>
              </w:rPr>
            </w:pPr>
            <w:r>
              <w:rPr>
                <w:b/>
                <w:w w:val="100"/>
                <w:sz w:val="22"/>
              </w:rPr>
              <w:t>E</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1"/>
              <w:ind w:left="0"/>
              <w:rPr>
                <w:rFonts w:ascii="Times New Roman"/>
                <w:sz w:val="21"/>
              </w:rPr>
            </w:pPr>
          </w:p>
          <w:p>
            <w:pPr>
              <w:pStyle w:val="TableParagraph"/>
              <w:ind w:right="440"/>
              <w:rPr>
                <w:sz w:val="22"/>
              </w:rPr>
            </w:pPr>
            <w:r>
              <w:rPr>
                <w:sz w:val="22"/>
              </w:rPr>
              <w:t>Injerencias</w:t>
            </w:r>
          </w:p>
        </w:tc>
        <w:tc>
          <w:tcPr>
            <w:tcW w:w="3259" w:type="dxa"/>
          </w:tcPr>
          <w:p>
            <w:pPr>
              <w:pStyle w:val="TableParagraph"/>
              <w:ind w:right="98"/>
              <w:jc w:val="both"/>
              <w:rPr>
                <w:sz w:val="22"/>
              </w:rPr>
            </w:pPr>
            <w:r>
              <w:rPr>
                <w:sz w:val="22"/>
              </w:rPr>
              <w:t>Los actores de la cuenca CHPH tienen intervenciones políticas externas en la administración de sus recursos, ya que las instancias gubernamentales, como la Conagua     y     la    </w:t>
            </w:r>
            <w:r>
              <w:rPr>
                <w:spacing w:val="53"/>
                <w:sz w:val="22"/>
              </w:rPr>
              <w:t> </w:t>
            </w:r>
            <w:r>
              <w:rPr>
                <w:sz w:val="22"/>
              </w:rPr>
              <w:t>Sagarpa,</w:t>
            </w:r>
          </w:p>
        </w:tc>
        <w:tc>
          <w:tcPr>
            <w:tcW w:w="2211" w:type="dxa"/>
          </w:tcPr>
          <w:p>
            <w:pPr>
              <w:pStyle w:val="TableParagraph"/>
              <w:spacing w:before="122"/>
              <w:ind w:left="125" w:right="127" w:firstLine="1"/>
              <w:jc w:val="center"/>
              <w:rPr>
                <w:b/>
                <w:sz w:val="22"/>
              </w:rPr>
            </w:pPr>
            <w:r>
              <w:rPr>
                <w:b/>
                <w:sz w:val="22"/>
              </w:rPr>
              <w:t>Presencia gubernamental en la administración de los recursos de la CHPH (adimensional)</w:t>
            </w:r>
          </w:p>
        </w:tc>
        <w:tc>
          <w:tcPr>
            <w:tcW w:w="2835" w:type="dxa"/>
          </w:tcPr>
          <w:p>
            <w:pPr>
              <w:pStyle w:val="TableParagraph"/>
              <w:ind w:left="0"/>
              <w:rPr>
                <w:rFonts w:ascii="Times New Roman"/>
                <w:sz w:val="22"/>
              </w:rPr>
            </w:pPr>
          </w:p>
          <w:p>
            <w:pPr>
              <w:pStyle w:val="TableParagraph"/>
              <w:spacing w:before="10"/>
              <w:ind w:left="0"/>
              <w:rPr>
                <w:rFonts w:ascii="Times New Roman"/>
                <w:sz w:val="21"/>
              </w:rPr>
            </w:pPr>
          </w:p>
          <w:p>
            <w:pPr>
              <w:pStyle w:val="TableParagraph"/>
              <w:tabs>
                <w:tab w:pos="2350" w:val="left" w:leader="none"/>
              </w:tabs>
              <w:ind w:left="100" w:right="102"/>
              <w:rPr>
                <w:sz w:val="22"/>
              </w:rPr>
            </w:pPr>
            <w:r>
              <w:rPr>
                <w:sz w:val="22"/>
              </w:rPr>
              <w:t>Existencia de organismos gubernamentales</w:t>
              <w:tab/>
              <w:t>que administran y regulan los recursos de la CHPH. (Ejemplo: la Conagua y </w:t>
            </w:r>
            <w:r>
              <w:rPr>
                <w:spacing w:val="27"/>
                <w:sz w:val="22"/>
              </w:rPr>
              <w:t> </w:t>
            </w:r>
            <w:r>
              <w:rPr>
                <w:sz w:val="22"/>
              </w:rPr>
              <w:t>la</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1526" w:hRule="exact"/>
        </w:trPr>
        <w:tc>
          <w:tcPr>
            <w:tcW w:w="852" w:type="dxa"/>
            <w:shd w:val="clear" w:color="auto" w:fill="D99493"/>
          </w:tcPr>
          <w:p>
            <w:pPr/>
          </w:p>
        </w:tc>
        <w:tc>
          <w:tcPr>
            <w:tcW w:w="730" w:type="dxa"/>
            <w:shd w:val="clear" w:color="auto" w:fill="D99493"/>
          </w:tcPr>
          <w:p>
            <w:pPr/>
          </w:p>
        </w:tc>
        <w:tc>
          <w:tcPr>
            <w:tcW w:w="1918" w:type="dxa"/>
          </w:tcPr>
          <w:p>
            <w:pPr>
              <w:pStyle w:val="TableParagraph"/>
              <w:spacing w:line="251" w:lineRule="exact"/>
              <w:rPr>
                <w:sz w:val="22"/>
              </w:rPr>
            </w:pPr>
            <w:r>
              <w:rPr>
                <w:sz w:val="22"/>
              </w:rPr>
              <w:t>gubernamentales</w:t>
            </w:r>
          </w:p>
        </w:tc>
        <w:tc>
          <w:tcPr>
            <w:tcW w:w="3259" w:type="dxa"/>
          </w:tcPr>
          <w:p>
            <w:pPr>
              <w:pStyle w:val="TableParagraph"/>
              <w:ind w:right="98"/>
              <w:jc w:val="both"/>
              <w:rPr>
                <w:sz w:val="22"/>
              </w:rPr>
            </w:pPr>
            <w:r>
              <w:rPr>
                <w:sz w:val="22"/>
              </w:rPr>
              <w:t>administran y reparten los recursos que, a consideración de los actores, ellos debieran administrar para un mejor reparto entre todos (García, TC: 2013-2015).</w:t>
            </w:r>
          </w:p>
        </w:tc>
        <w:tc>
          <w:tcPr>
            <w:tcW w:w="2211" w:type="dxa"/>
          </w:tcPr>
          <w:p>
            <w:pPr/>
          </w:p>
        </w:tc>
        <w:tc>
          <w:tcPr>
            <w:tcW w:w="2835" w:type="dxa"/>
          </w:tcPr>
          <w:p>
            <w:pPr>
              <w:pStyle w:val="TableParagraph"/>
              <w:spacing w:line="251" w:lineRule="exact"/>
              <w:ind w:left="100" w:right="181"/>
              <w:rPr>
                <w:sz w:val="22"/>
              </w:rPr>
            </w:pPr>
            <w:r>
              <w:rPr>
                <w:sz w:val="22"/>
              </w:rPr>
              <w:t>Sagarpa)</w:t>
            </w:r>
          </w:p>
        </w:tc>
      </w:tr>
      <w:tr>
        <w:trPr>
          <w:trHeight w:val="2542"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23" w:right="124"/>
              <w:jc w:val="center"/>
              <w:rPr>
                <w:b/>
                <w:sz w:val="22"/>
              </w:rPr>
            </w:pPr>
            <w:r>
              <w:rPr>
                <w:b/>
                <w:sz w:val="22"/>
              </w:rPr>
              <w:t>I1P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770"/>
              <w:rPr>
                <w:sz w:val="22"/>
              </w:rPr>
            </w:pPr>
            <w:r>
              <w:rPr>
                <w:sz w:val="22"/>
              </w:rPr>
              <w:t>Vínculos informales</w:t>
            </w:r>
          </w:p>
        </w:tc>
        <w:tc>
          <w:tcPr>
            <w:tcW w:w="3259" w:type="dxa"/>
          </w:tcPr>
          <w:p>
            <w:pPr>
              <w:pStyle w:val="TableParagraph"/>
              <w:tabs>
                <w:tab w:pos="1770" w:val="left" w:leader="none"/>
                <w:tab w:pos="2792" w:val="left" w:leader="none"/>
              </w:tabs>
              <w:spacing w:before="125"/>
              <w:ind w:right="97"/>
              <w:jc w:val="both"/>
              <w:rPr>
                <w:sz w:val="22"/>
              </w:rPr>
            </w:pPr>
            <w:r>
              <w:rPr>
                <w:sz w:val="22"/>
              </w:rPr>
              <w:t>Relaciones comunitarias y familiares que articulan a los actores sociopolíticos de la CHPH para realizar prácticas informales</w:t>
              <w:tab/>
              <w:t>que</w:t>
              <w:tab/>
              <w:t>son insuficientes para resolver sus problemas comunes de la región (García, TC: 2013- 2015).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44" w:right="141"/>
              <w:jc w:val="center"/>
              <w:rPr>
                <w:b/>
                <w:sz w:val="22"/>
              </w:rPr>
            </w:pPr>
            <w:r>
              <w:rPr>
                <w:b/>
                <w:sz w:val="22"/>
              </w:rPr>
              <w:t># de redes que articulan a los actores de la CHPH</w:t>
            </w:r>
          </w:p>
        </w:tc>
        <w:tc>
          <w:tcPr>
            <w:tcW w:w="2835" w:type="dxa"/>
          </w:tcPr>
          <w:p>
            <w:pPr>
              <w:pStyle w:val="TableParagraph"/>
              <w:ind w:left="100" w:right="101"/>
              <w:jc w:val="both"/>
              <w:rPr>
                <w:sz w:val="22"/>
              </w:rPr>
            </w:pPr>
            <w:r>
              <w:rPr>
                <w:sz w:val="22"/>
              </w:rPr>
              <w:t>Cantidad de  relaciones que articulan a los actores sociopolíticos de la CHPH, pero que son insuficientes para resolver sus problemas comunes de la región.</w:t>
            </w:r>
          </w:p>
          <w:p>
            <w:pPr>
              <w:pStyle w:val="TableParagraph"/>
              <w:ind w:left="100" w:right="102"/>
              <w:jc w:val="both"/>
              <w:rPr>
                <w:sz w:val="22"/>
              </w:rPr>
            </w:pPr>
            <w:r>
              <w:rPr>
                <w:sz w:val="22"/>
              </w:rPr>
              <w:t>(Ejemplos: parentesco, compadrazgo, fiestas patronales y mercados).</w:t>
            </w:r>
          </w:p>
        </w:tc>
      </w:tr>
      <w:tr>
        <w:trPr>
          <w:trHeight w:val="2792"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I2P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440"/>
              <w:rPr>
                <w:sz w:val="22"/>
              </w:rPr>
            </w:pPr>
            <w:r>
              <w:rPr>
                <w:sz w:val="22"/>
              </w:rPr>
              <w:t>Élite política</w:t>
            </w:r>
          </w:p>
        </w:tc>
        <w:tc>
          <w:tcPr>
            <w:tcW w:w="3259" w:type="dxa"/>
          </w:tcPr>
          <w:p>
            <w:pPr>
              <w:pStyle w:val="TableParagraph"/>
              <w:spacing w:before="122"/>
              <w:ind w:right="97"/>
              <w:jc w:val="both"/>
              <w:rPr>
                <w:sz w:val="22"/>
              </w:rPr>
            </w:pPr>
            <w:r>
              <w:rPr>
                <w:sz w:val="22"/>
              </w:rPr>
              <w:t>Existencia de un grupo reducido de actores en la CHPH que ocupan posiciones de predominio político en la región y de preferencia en las instituciones del Estado para su beneficio de acceso a las decisiones de reparto de los recursos (García, TC: 2013- 2015).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44" w:right="141"/>
              <w:jc w:val="center"/>
              <w:rPr>
                <w:b/>
                <w:sz w:val="22"/>
              </w:rPr>
            </w:pPr>
            <w:r>
              <w:rPr>
                <w:b/>
                <w:sz w:val="22"/>
              </w:rPr>
              <w:t># de grupos de actores con predominio político en la CHPH</w:t>
            </w:r>
          </w:p>
        </w:tc>
        <w:tc>
          <w:tcPr>
            <w:tcW w:w="2835" w:type="dxa"/>
          </w:tcPr>
          <w:p>
            <w:pPr>
              <w:pStyle w:val="TableParagraph"/>
              <w:ind w:left="100" w:right="102"/>
              <w:jc w:val="both"/>
              <w:rPr>
                <w:sz w:val="22"/>
              </w:rPr>
            </w:pPr>
            <w:r>
              <w:rPr>
                <w:sz w:val="22"/>
              </w:rPr>
              <w:t>Cantidad de grupos de actores que inciden en las decisiones sociopolíticas de la CHPH para el reparto inequitativo de los recursos.</w:t>
            </w:r>
          </w:p>
          <w:p>
            <w:pPr>
              <w:pStyle w:val="TableParagraph"/>
              <w:ind w:left="100" w:right="102"/>
              <w:jc w:val="both"/>
              <w:rPr>
                <w:sz w:val="22"/>
              </w:rPr>
            </w:pPr>
            <w:r>
              <w:rPr>
                <w:sz w:val="22"/>
              </w:rPr>
              <w:t>(Ejemplos: la iglesia católica, partidos políticos como el PRI, PAN y PRD, dinastía Alcántara y Martínez).</w:t>
            </w:r>
          </w:p>
        </w:tc>
      </w:tr>
      <w:tr>
        <w:trPr>
          <w:trHeight w:val="1781"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I3P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right="464"/>
              <w:rPr>
                <w:sz w:val="22"/>
              </w:rPr>
            </w:pPr>
            <w:r>
              <w:rPr>
                <w:sz w:val="22"/>
              </w:rPr>
              <w:t>Vínculos sociopolíticos</w:t>
            </w:r>
          </w:p>
        </w:tc>
        <w:tc>
          <w:tcPr>
            <w:tcW w:w="3259" w:type="dxa"/>
          </w:tcPr>
          <w:p>
            <w:pPr>
              <w:pStyle w:val="TableParagraph"/>
              <w:ind w:right="97"/>
              <w:jc w:val="both"/>
              <w:rPr>
                <w:sz w:val="22"/>
              </w:rPr>
            </w:pPr>
            <w:r>
              <w:rPr>
                <w:sz w:val="22"/>
              </w:rPr>
              <w:t>Los actores de la CHPH están relacionados mediante sus usos y costumbres, lo cual ha permitido que exista una convivencia pacífica, a pesar del descontento sociopolítico por  el  reparto  del  agua  de</w:t>
            </w:r>
            <w:r>
              <w:rPr>
                <w:spacing w:val="-23"/>
                <w:sz w:val="22"/>
              </w:rPr>
              <w:t> </w:t>
            </w:r>
            <w:r>
              <w:rPr>
                <w:sz w:val="22"/>
              </w:rPr>
              <w:t>la</w:t>
            </w:r>
          </w:p>
        </w:tc>
        <w:tc>
          <w:tcPr>
            <w:tcW w:w="2211" w:type="dxa"/>
          </w:tcPr>
          <w:p>
            <w:pPr>
              <w:pStyle w:val="TableParagraph"/>
              <w:spacing w:before="122"/>
              <w:ind w:left="168" w:right="170" w:firstLine="2"/>
              <w:jc w:val="center"/>
              <w:rPr>
                <w:b/>
                <w:sz w:val="22"/>
              </w:rPr>
            </w:pPr>
            <w:r>
              <w:rPr>
                <w:b/>
                <w:sz w:val="22"/>
              </w:rPr>
              <w:t># de vínculos sociopolíticos entre los actores de los municipios que integran la CHPH</w:t>
            </w:r>
          </w:p>
        </w:tc>
        <w:tc>
          <w:tcPr>
            <w:tcW w:w="2835" w:type="dxa"/>
          </w:tcPr>
          <w:p>
            <w:pPr>
              <w:pStyle w:val="TableParagraph"/>
              <w:ind w:left="100" w:right="102"/>
              <w:jc w:val="both"/>
              <w:rPr>
                <w:sz w:val="22"/>
              </w:rPr>
            </w:pPr>
            <w:r>
              <w:rPr>
                <w:sz w:val="22"/>
              </w:rPr>
              <w:t>Son las prácticas sociopolíticas recurrentes que tienen los actores de la CHPH, y que están basadas en los usos y costumbres históricas de la  región  y  que </w:t>
            </w:r>
            <w:r>
              <w:rPr>
                <w:spacing w:val="3"/>
                <w:sz w:val="22"/>
              </w:rPr>
              <w:t> </w:t>
            </w:r>
            <w:r>
              <w:rPr>
                <w:sz w:val="22"/>
              </w:rPr>
              <w:t>permiten</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1274" w:hRule="exact"/>
        </w:trPr>
        <w:tc>
          <w:tcPr>
            <w:tcW w:w="852" w:type="dxa"/>
            <w:shd w:val="clear" w:color="auto" w:fill="D99493"/>
          </w:tcPr>
          <w:p>
            <w:pPr/>
          </w:p>
        </w:tc>
        <w:tc>
          <w:tcPr>
            <w:tcW w:w="730" w:type="dxa"/>
            <w:shd w:val="clear" w:color="auto" w:fill="D99493"/>
          </w:tcPr>
          <w:p>
            <w:pPr/>
          </w:p>
        </w:tc>
        <w:tc>
          <w:tcPr>
            <w:tcW w:w="1918" w:type="dxa"/>
          </w:tcPr>
          <w:p>
            <w:pPr/>
          </w:p>
        </w:tc>
        <w:tc>
          <w:tcPr>
            <w:tcW w:w="3259" w:type="dxa"/>
          </w:tcPr>
          <w:p>
            <w:pPr>
              <w:pStyle w:val="TableParagraph"/>
              <w:spacing w:line="252" w:lineRule="exact" w:before="2"/>
              <w:ind w:right="99"/>
              <w:rPr>
                <w:sz w:val="22"/>
              </w:rPr>
            </w:pPr>
            <w:r>
              <w:rPr>
                <w:sz w:val="22"/>
              </w:rPr>
              <w:t>presa Huapango (García, TC: 2013-2015).</w:t>
            </w:r>
          </w:p>
        </w:tc>
        <w:tc>
          <w:tcPr>
            <w:tcW w:w="2211" w:type="dxa"/>
          </w:tcPr>
          <w:p>
            <w:pPr/>
          </w:p>
        </w:tc>
        <w:tc>
          <w:tcPr>
            <w:tcW w:w="2835" w:type="dxa"/>
          </w:tcPr>
          <w:p>
            <w:pPr>
              <w:pStyle w:val="TableParagraph"/>
              <w:spacing w:line="252" w:lineRule="exact" w:before="2"/>
              <w:ind w:left="100" w:right="103"/>
              <w:jc w:val="both"/>
              <w:rPr>
                <w:sz w:val="22"/>
              </w:rPr>
            </w:pPr>
            <w:r>
              <w:rPr>
                <w:sz w:val="22"/>
              </w:rPr>
              <w:t>una convivencia social pacífica.</w:t>
            </w:r>
          </w:p>
          <w:p>
            <w:pPr>
              <w:pStyle w:val="TableParagraph"/>
              <w:ind w:left="100" w:right="102"/>
              <w:jc w:val="both"/>
              <w:rPr>
                <w:sz w:val="22"/>
              </w:rPr>
            </w:pPr>
            <w:r>
              <w:rPr>
                <w:sz w:val="22"/>
              </w:rPr>
              <w:t>(Ejemplo: parentesco ritual, fiestas patronales, mercados).</w:t>
            </w:r>
          </w:p>
        </w:tc>
      </w:tr>
      <w:tr>
        <w:trPr>
          <w:trHeight w:val="2288"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I4P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spacing w:before="1"/>
              <w:ind w:right="427"/>
              <w:rPr>
                <w:sz w:val="22"/>
              </w:rPr>
            </w:pPr>
            <w:r>
              <w:rPr>
                <w:sz w:val="22"/>
              </w:rPr>
              <w:t>Capacidad de organización</w:t>
            </w:r>
          </w:p>
        </w:tc>
        <w:tc>
          <w:tcPr>
            <w:tcW w:w="3259" w:type="dxa"/>
          </w:tcPr>
          <w:p>
            <w:pPr>
              <w:pStyle w:val="TableParagraph"/>
              <w:spacing w:before="8"/>
              <w:ind w:left="0"/>
              <w:rPr>
                <w:rFonts w:ascii="Times New Roman"/>
                <w:sz w:val="32"/>
              </w:rPr>
            </w:pPr>
          </w:p>
          <w:p>
            <w:pPr>
              <w:pStyle w:val="TableParagraph"/>
              <w:spacing w:before="1"/>
              <w:ind w:right="99"/>
              <w:jc w:val="both"/>
              <w:rPr>
                <w:sz w:val="22"/>
              </w:rPr>
            </w:pPr>
            <w:r>
              <w:rPr>
                <w:sz w:val="22"/>
              </w:rPr>
              <w:t>Existencia de organizaciones sociopolíticas colectivas de los actores que permitirán proponer acuerdos políticos en torno a su problemática común (García, TC: 2013-2015).</w:t>
            </w:r>
          </w:p>
        </w:tc>
        <w:tc>
          <w:tcPr>
            <w:tcW w:w="2211" w:type="dxa"/>
          </w:tcPr>
          <w:p>
            <w:pPr>
              <w:pStyle w:val="TableParagraph"/>
              <w:spacing w:before="6"/>
              <w:ind w:left="0"/>
              <w:rPr>
                <w:rFonts w:ascii="Times New Roman"/>
                <w:sz w:val="32"/>
              </w:rPr>
            </w:pPr>
          </w:p>
          <w:p>
            <w:pPr>
              <w:pStyle w:val="TableParagraph"/>
              <w:ind w:left="218" w:right="216" w:hanging="3"/>
              <w:jc w:val="center"/>
              <w:rPr>
                <w:b/>
                <w:sz w:val="22"/>
              </w:rPr>
            </w:pPr>
            <w:r>
              <w:rPr>
                <w:b/>
                <w:sz w:val="22"/>
              </w:rPr>
              <w:t># de    organizaciones sociopolíticas colectivas de los actores de la CHPH</w:t>
            </w:r>
          </w:p>
        </w:tc>
        <w:tc>
          <w:tcPr>
            <w:tcW w:w="2835" w:type="dxa"/>
          </w:tcPr>
          <w:p>
            <w:pPr>
              <w:pStyle w:val="TableParagraph"/>
              <w:tabs>
                <w:tab w:pos="2473" w:val="left" w:leader="none"/>
              </w:tabs>
              <w:spacing w:line="251" w:lineRule="exact"/>
              <w:ind w:left="100"/>
              <w:jc w:val="both"/>
              <w:rPr>
                <w:sz w:val="22"/>
              </w:rPr>
            </w:pPr>
            <w:r>
              <w:rPr>
                <w:sz w:val="22"/>
              </w:rPr>
              <w:t>Cantidad</w:t>
              <w:tab/>
              <w:t>de</w:t>
            </w:r>
          </w:p>
          <w:p>
            <w:pPr>
              <w:pStyle w:val="TableParagraph"/>
              <w:tabs>
                <w:tab w:pos="2473" w:val="left" w:leader="none"/>
              </w:tabs>
              <w:spacing w:before="1"/>
              <w:ind w:left="100" w:right="101"/>
              <w:jc w:val="both"/>
              <w:rPr>
                <w:sz w:val="22"/>
              </w:rPr>
            </w:pPr>
            <w:r>
              <w:rPr>
                <w:sz w:val="22"/>
              </w:rPr>
              <w:t>organizaciones colectivas de los actores de la CHPH que permitirán atender los problemas sociopolíticos comunes de dicha cuenca. (Ejemplo: el Ejido, cooperativas</w:t>
              <w:tab/>
              <w:t>de pescadores y</w:t>
            </w:r>
            <w:r>
              <w:rPr>
                <w:spacing w:val="-5"/>
                <w:sz w:val="22"/>
              </w:rPr>
              <w:t> </w:t>
            </w:r>
            <w:r>
              <w:rPr>
                <w:sz w:val="22"/>
              </w:rPr>
              <w:t>ganaderos).</w:t>
            </w:r>
          </w:p>
        </w:tc>
      </w:tr>
      <w:tr>
        <w:trPr>
          <w:trHeight w:val="3552"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I5P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305"/>
              <w:rPr>
                <w:sz w:val="22"/>
              </w:rPr>
            </w:pPr>
            <w:r>
              <w:rPr>
                <w:sz w:val="22"/>
              </w:rPr>
              <w:t>Formación de organizaciones</w:t>
            </w:r>
          </w:p>
        </w:tc>
        <w:tc>
          <w:tcPr>
            <w:tcW w:w="3259" w:type="dxa"/>
          </w:tcPr>
          <w:p>
            <w:pPr>
              <w:pStyle w:val="TableParagraph"/>
              <w:spacing w:before="8"/>
              <w:ind w:left="0"/>
              <w:rPr>
                <w:rFonts w:ascii="Times New Roman"/>
                <w:sz w:val="32"/>
              </w:rPr>
            </w:pPr>
          </w:p>
          <w:p>
            <w:pPr>
              <w:pStyle w:val="TableParagraph"/>
              <w:tabs>
                <w:tab w:pos="1846" w:val="left" w:leader="none"/>
                <w:tab w:pos="2695" w:val="left" w:leader="none"/>
              </w:tabs>
              <w:spacing w:before="1"/>
              <w:ind w:right="97"/>
              <w:jc w:val="both"/>
              <w:rPr>
                <w:sz w:val="22"/>
              </w:rPr>
            </w:pPr>
            <w:r>
              <w:rPr>
                <w:sz w:val="22"/>
              </w:rPr>
              <w:t>Los actores históricos de la CHPH tienen interés de participación en las soluciones colectivas de la problemática sociopolítica de la CHPH con  lo cual pueden conformar organizaciones formales e informales</w:t>
              <w:tab/>
              <w:t>a</w:t>
              <w:tab/>
              <w:t>nivel intermunicipal para atender su problemática común (García, TC:</w:t>
            </w:r>
            <w:r>
              <w:rPr>
                <w:spacing w:val="-4"/>
                <w:sz w:val="22"/>
              </w:rPr>
              <w:t> </w:t>
            </w:r>
            <w:r>
              <w:rPr>
                <w:sz w:val="22"/>
              </w:rPr>
              <w:t>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spacing w:before="1"/>
              <w:ind w:left="144" w:right="144"/>
              <w:jc w:val="center"/>
              <w:rPr>
                <w:b/>
                <w:sz w:val="22"/>
              </w:rPr>
            </w:pPr>
            <w:r>
              <w:rPr>
                <w:b/>
                <w:sz w:val="22"/>
              </w:rPr>
              <w:t># de     organizaciones intermunicipales formales e informales de los actores de la CHPH</w:t>
            </w:r>
          </w:p>
        </w:tc>
        <w:tc>
          <w:tcPr>
            <w:tcW w:w="2835" w:type="dxa"/>
          </w:tcPr>
          <w:p>
            <w:pPr>
              <w:pStyle w:val="TableParagraph"/>
              <w:tabs>
                <w:tab w:pos="2473" w:val="left" w:leader="none"/>
              </w:tabs>
              <w:spacing w:line="250" w:lineRule="exact"/>
              <w:ind w:left="100"/>
              <w:rPr>
                <w:sz w:val="22"/>
              </w:rPr>
            </w:pPr>
            <w:r>
              <w:rPr>
                <w:sz w:val="22"/>
              </w:rPr>
              <w:t>Cantidad</w:t>
              <w:tab/>
              <w:t>de</w:t>
            </w:r>
          </w:p>
          <w:p>
            <w:pPr>
              <w:pStyle w:val="TableParagraph"/>
              <w:tabs>
                <w:tab w:pos="542" w:val="left" w:leader="none"/>
                <w:tab w:pos="1460" w:val="left" w:leader="none"/>
                <w:tab w:pos="1875" w:val="left" w:leader="none"/>
                <w:tab w:pos="2439" w:val="left" w:leader="none"/>
              </w:tabs>
              <w:ind w:left="100" w:right="100"/>
              <w:rPr>
                <w:sz w:val="22"/>
              </w:rPr>
            </w:pPr>
            <w:r>
              <w:rPr>
                <w:sz w:val="22"/>
              </w:rPr>
              <w:t>organizaciones intermunicipales  formales e</w:t>
              <w:tab/>
              <w:t>informales</w:t>
              <w:tab/>
              <w:t>de</w:t>
              <w:tab/>
              <w:t>los actores de la CHPH para atender </w:t>
            </w:r>
            <w:r>
              <w:rPr>
                <w:spacing w:val="24"/>
                <w:sz w:val="22"/>
              </w:rPr>
              <w:t> </w:t>
            </w:r>
            <w:r>
              <w:rPr>
                <w:sz w:val="22"/>
              </w:rPr>
              <w:t>la</w:t>
              <w:tab/>
            </w:r>
            <w:r>
              <w:rPr>
                <w:spacing w:val="-1"/>
                <w:sz w:val="22"/>
              </w:rPr>
              <w:t>problemática </w:t>
            </w:r>
            <w:r>
              <w:rPr>
                <w:sz w:val="22"/>
              </w:rPr>
              <w:t>sociopolítica común. (Ejemplo: aún no existen organizaciones intermunicipales  formales e</w:t>
              <w:tab/>
              <w:t>informales</w:t>
              <w:tab/>
              <w:t>de</w:t>
              <w:tab/>
              <w:t>los actores históricos de la CHPH para atender sus problemas</w:t>
            </w:r>
            <w:r>
              <w:rPr>
                <w:spacing w:val="-6"/>
                <w:sz w:val="22"/>
              </w:rPr>
              <w:t> </w:t>
            </w:r>
            <w:r>
              <w:rPr>
                <w:sz w:val="22"/>
              </w:rPr>
              <w:t>sociopolíticos).</w:t>
            </w:r>
          </w:p>
        </w:tc>
      </w:tr>
      <w:tr>
        <w:trPr>
          <w:trHeight w:val="1527" w:hRule="exact"/>
        </w:trPr>
        <w:tc>
          <w:tcPr>
            <w:tcW w:w="852" w:type="dxa"/>
            <w:shd w:val="clear" w:color="auto" w:fill="D99493"/>
          </w:tcPr>
          <w:p>
            <w:pPr/>
          </w:p>
        </w:tc>
        <w:tc>
          <w:tcPr>
            <w:tcW w:w="730" w:type="dxa"/>
            <w:shd w:val="clear" w:color="auto" w:fill="D99493"/>
          </w:tcPr>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spacing w:before="10"/>
              <w:ind w:left="0"/>
              <w:rPr>
                <w:rFonts w:ascii="Times New Roman"/>
                <w:sz w:val="21"/>
              </w:rPr>
            </w:pPr>
          </w:p>
          <w:p>
            <w:pPr>
              <w:pStyle w:val="TableParagraph"/>
              <w:ind w:right="318"/>
              <w:rPr>
                <w:sz w:val="22"/>
              </w:rPr>
            </w:pPr>
            <w:r>
              <w:rPr>
                <w:sz w:val="22"/>
              </w:rPr>
              <w:t>Inexistencia de acuerdos</w:t>
            </w:r>
          </w:p>
        </w:tc>
        <w:tc>
          <w:tcPr>
            <w:tcW w:w="3259" w:type="dxa"/>
          </w:tcPr>
          <w:p>
            <w:pPr>
              <w:pStyle w:val="TableParagraph"/>
              <w:ind w:right="97"/>
              <w:jc w:val="both"/>
              <w:rPr>
                <w:sz w:val="22"/>
              </w:rPr>
            </w:pPr>
            <w:r>
              <w:rPr>
                <w:sz w:val="22"/>
              </w:rPr>
              <w:t>La conformación de grupos poderosos política y económicamente han limitado la articulación de los actores históricos de los municipios de la   CHPH   para   atender  sus</w:t>
            </w:r>
          </w:p>
        </w:tc>
        <w:tc>
          <w:tcPr>
            <w:tcW w:w="2211" w:type="dxa"/>
          </w:tcPr>
          <w:p>
            <w:pPr>
              <w:pStyle w:val="TableParagraph"/>
              <w:spacing w:before="123"/>
              <w:ind w:left="168" w:right="170" w:firstLine="2"/>
              <w:jc w:val="center"/>
              <w:rPr>
                <w:b/>
                <w:sz w:val="22"/>
              </w:rPr>
            </w:pPr>
            <w:r>
              <w:rPr>
                <w:b/>
                <w:sz w:val="22"/>
              </w:rPr>
              <w:t># de acuerdos sociopolíticos entre los actores de los municipios de la CHPH</w:t>
            </w:r>
          </w:p>
        </w:tc>
        <w:tc>
          <w:tcPr>
            <w:tcW w:w="2835" w:type="dxa"/>
          </w:tcPr>
          <w:p>
            <w:pPr>
              <w:pStyle w:val="TableParagraph"/>
              <w:ind w:left="100" w:right="101"/>
              <w:jc w:val="both"/>
              <w:rPr>
                <w:sz w:val="22"/>
              </w:rPr>
            </w:pPr>
            <w:r>
              <w:rPr>
                <w:sz w:val="22"/>
              </w:rPr>
              <w:t>Cantidad de arreglos formales e informales de los actores históricos de la CHPH para atender sus problemas sociopolíticos comunes.</w:t>
            </w:r>
          </w:p>
        </w:tc>
      </w:tr>
    </w:tbl>
    <w:p>
      <w:pPr>
        <w:spacing w:after="0"/>
        <w:jc w:val="both"/>
        <w:rPr>
          <w:sz w:val="22"/>
        </w:rPr>
        <w:sectPr>
          <w:footerReference w:type="default" r:id="rId261"/>
          <w:pgSz w:w="15840" w:h="12240" w:orient="landscape"/>
          <w:pgMar w:footer="943" w:header="0" w:top="1140" w:bottom="1140" w:left="2020" w:right="1300"/>
          <w:pgNumType w:start="53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2033" w:hRule="exact"/>
        </w:trPr>
        <w:tc>
          <w:tcPr>
            <w:tcW w:w="852" w:type="dxa"/>
            <w:shd w:val="clear" w:color="auto" w:fill="D99493"/>
          </w:tcPr>
          <w:p>
            <w:pPr>
              <w:pStyle w:val="TableParagraph"/>
              <w:spacing w:line="248" w:lineRule="exact"/>
              <w:ind w:left="123" w:right="124"/>
              <w:jc w:val="center"/>
              <w:rPr>
                <w:b/>
                <w:sz w:val="22"/>
              </w:rPr>
            </w:pPr>
            <w:r>
              <w:rPr>
                <w:b/>
                <w:sz w:val="22"/>
              </w:rPr>
              <w:t>I6P</w:t>
            </w:r>
          </w:p>
        </w:tc>
        <w:tc>
          <w:tcPr>
            <w:tcW w:w="730" w:type="dxa"/>
            <w:shd w:val="clear" w:color="auto" w:fill="D99493"/>
          </w:tcPr>
          <w:p>
            <w:pPr/>
          </w:p>
        </w:tc>
        <w:tc>
          <w:tcPr>
            <w:tcW w:w="1918" w:type="dxa"/>
          </w:tcPr>
          <w:p>
            <w:pPr/>
          </w:p>
        </w:tc>
        <w:tc>
          <w:tcPr>
            <w:tcW w:w="3259" w:type="dxa"/>
          </w:tcPr>
          <w:p>
            <w:pPr>
              <w:pStyle w:val="TableParagraph"/>
              <w:tabs>
                <w:tab w:pos="1828" w:val="left" w:leader="none"/>
              </w:tabs>
              <w:ind w:right="100"/>
              <w:jc w:val="both"/>
              <w:rPr>
                <w:sz w:val="22"/>
              </w:rPr>
            </w:pPr>
            <w:r>
              <w:rPr>
                <w:sz w:val="22"/>
              </w:rPr>
              <w:t>problemas</w:t>
              <w:tab/>
            </w:r>
            <w:r>
              <w:rPr>
                <w:spacing w:val="-1"/>
                <w:sz w:val="22"/>
              </w:rPr>
              <w:t>sociopolíticos </w:t>
            </w:r>
            <w:r>
              <w:rPr>
                <w:sz w:val="22"/>
              </w:rPr>
              <w:t>conjuntos mediante acuerdos formales e informales (García, TC:</w:t>
            </w:r>
            <w:r>
              <w:rPr>
                <w:spacing w:val="-4"/>
                <w:sz w:val="22"/>
              </w:rPr>
              <w:t> </w:t>
            </w:r>
            <w:r>
              <w:rPr>
                <w:sz w:val="22"/>
              </w:rPr>
              <w:t>2013-2015).</w:t>
            </w:r>
          </w:p>
        </w:tc>
        <w:tc>
          <w:tcPr>
            <w:tcW w:w="2211" w:type="dxa"/>
          </w:tcPr>
          <w:p>
            <w:pPr/>
          </w:p>
        </w:tc>
        <w:tc>
          <w:tcPr>
            <w:tcW w:w="2835" w:type="dxa"/>
          </w:tcPr>
          <w:p>
            <w:pPr>
              <w:pStyle w:val="TableParagraph"/>
              <w:ind w:left="100" w:right="101"/>
              <w:jc w:val="both"/>
              <w:rPr>
                <w:sz w:val="22"/>
              </w:rPr>
            </w:pPr>
            <w:r>
              <w:rPr>
                <w:sz w:val="22"/>
              </w:rPr>
              <w:t>(Ejemplo: aún no existen acuerdos formales e informales entre los actores históricos de los municipios de la CHPH para atender sus problemas sociopolíticos comunes).</w:t>
            </w:r>
          </w:p>
        </w:tc>
      </w:tr>
      <w:tr>
        <w:trPr>
          <w:trHeight w:val="2036"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left="123" w:right="124"/>
              <w:jc w:val="center"/>
              <w:rPr>
                <w:b/>
                <w:sz w:val="22"/>
              </w:rPr>
            </w:pPr>
            <w:r>
              <w:rPr>
                <w:b/>
                <w:sz w:val="22"/>
              </w:rPr>
              <w:t>I7P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right="477"/>
              <w:rPr>
                <w:sz w:val="22"/>
              </w:rPr>
            </w:pPr>
            <w:r>
              <w:rPr>
                <w:sz w:val="22"/>
              </w:rPr>
              <w:t>Trabajo desarticulado</w:t>
            </w:r>
          </w:p>
        </w:tc>
        <w:tc>
          <w:tcPr>
            <w:tcW w:w="3259" w:type="dxa"/>
          </w:tcPr>
          <w:p>
            <w:pPr>
              <w:pStyle w:val="TableParagraph"/>
              <w:ind w:right="97"/>
              <w:jc w:val="both"/>
              <w:rPr>
                <w:sz w:val="22"/>
              </w:rPr>
            </w:pPr>
            <w:r>
              <w:rPr>
                <w:sz w:val="22"/>
              </w:rPr>
              <w:t>Los actores históricos de la CHPH realizan trabajo a nivel comunitario para resolver sus problemas sociopolíticos que no se replica a nivel Cuenca por falta de mecanismos de cooperación regional (García, TC: 2013-2015).</w:t>
            </w:r>
          </w:p>
        </w:tc>
        <w:tc>
          <w:tcPr>
            <w:tcW w:w="2211" w:type="dxa"/>
          </w:tcPr>
          <w:p>
            <w:pPr>
              <w:pStyle w:val="TableParagraph"/>
              <w:ind w:left="187" w:right="187" w:firstLine="2"/>
              <w:jc w:val="center"/>
              <w:rPr>
                <w:b/>
                <w:sz w:val="22"/>
              </w:rPr>
            </w:pPr>
            <w:r>
              <w:rPr>
                <w:b/>
                <w:sz w:val="22"/>
              </w:rPr>
              <w:t># de acciones a nivel comunitario de los actores históricos para resolver sus problemas sociopolíticos de la CHPH</w:t>
            </w:r>
          </w:p>
        </w:tc>
        <w:tc>
          <w:tcPr>
            <w:tcW w:w="2835" w:type="dxa"/>
          </w:tcPr>
          <w:p>
            <w:pPr>
              <w:pStyle w:val="TableParagraph"/>
              <w:ind w:left="100" w:right="102"/>
              <w:jc w:val="both"/>
              <w:rPr>
                <w:sz w:val="22"/>
              </w:rPr>
            </w:pPr>
            <w:r>
              <w:rPr>
                <w:sz w:val="22"/>
              </w:rPr>
              <w:t>Cantidad de acciones a nivel comunitario que poco se reflejan en la CHPH por realizarse de forma aislada.</w:t>
            </w:r>
          </w:p>
          <w:p>
            <w:pPr>
              <w:pStyle w:val="TableParagraph"/>
              <w:ind w:left="100" w:right="103"/>
              <w:jc w:val="both"/>
              <w:rPr>
                <w:sz w:val="22"/>
              </w:rPr>
            </w:pPr>
            <w:r>
              <w:rPr>
                <w:sz w:val="22"/>
              </w:rPr>
              <w:t>(Ejemplo: biodigestor eólico en San Juanico, municipio de Acambay).</w:t>
            </w:r>
          </w:p>
        </w:tc>
      </w:tr>
      <w:tr>
        <w:trPr>
          <w:trHeight w:val="2285"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123" w:right="124"/>
              <w:jc w:val="center"/>
              <w:rPr>
                <w:b/>
                <w:sz w:val="22"/>
              </w:rPr>
            </w:pPr>
            <w:r>
              <w:rPr>
                <w:b/>
                <w:sz w:val="22"/>
              </w:rPr>
              <w:t>I8P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right="97"/>
              <w:rPr>
                <w:sz w:val="22"/>
              </w:rPr>
            </w:pPr>
            <w:r>
              <w:rPr>
                <w:sz w:val="22"/>
              </w:rPr>
              <w:t>Consolidación de grupos</w:t>
            </w:r>
          </w:p>
        </w:tc>
        <w:tc>
          <w:tcPr>
            <w:tcW w:w="3259" w:type="dxa"/>
          </w:tcPr>
          <w:p>
            <w:pPr>
              <w:pStyle w:val="TableParagraph"/>
              <w:spacing w:before="8"/>
              <w:ind w:left="0"/>
              <w:rPr>
                <w:rFonts w:ascii="Times New Roman"/>
                <w:sz w:val="32"/>
              </w:rPr>
            </w:pPr>
          </w:p>
          <w:p>
            <w:pPr>
              <w:pStyle w:val="TableParagraph"/>
              <w:spacing w:before="1"/>
              <w:ind w:right="97"/>
              <w:jc w:val="both"/>
              <w:rPr>
                <w:sz w:val="22"/>
              </w:rPr>
            </w:pPr>
            <w:r>
              <w:rPr>
                <w:sz w:val="22"/>
              </w:rPr>
              <w:t>Conformación de grupos sociopolíticos a nivel municipal o comunitario con propuestas de acciones que pueden ser replicadas a nivel CHPH (García, TC: 2013-2015).</w:t>
            </w:r>
          </w:p>
        </w:tc>
        <w:tc>
          <w:tcPr>
            <w:tcW w:w="2211"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right="102"/>
              <w:jc w:val="center"/>
              <w:rPr>
                <w:b/>
                <w:sz w:val="22"/>
              </w:rPr>
            </w:pPr>
            <w:r>
              <w:rPr>
                <w:b/>
                <w:sz w:val="22"/>
              </w:rPr>
              <w:t># de grupos a nivel municipal y comunitario con acciones que se pueden replicar en la CHPH</w:t>
            </w:r>
          </w:p>
        </w:tc>
        <w:tc>
          <w:tcPr>
            <w:tcW w:w="2835" w:type="dxa"/>
          </w:tcPr>
          <w:p>
            <w:pPr>
              <w:pStyle w:val="TableParagraph"/>
              <w:ind w:left="100" w:right="100"/>
              <w:jc w:val="both"/>
              <w:rPr>
                <w:sz w:val="22"/>
              </w:rPr>
            </w:pPr>
            <w:r>
              <w:rPr>
                <w:sz w:val="22"/>
              </w:rPr>
              <w:t>Cantidad de agrupaciones sociopolíticas locales que tienen acciones que se pueden replicar a nivel CHPH.</w:t>
            </w:r>
          </w:p>
          <w:p>
            <w:pPr>
              <w:pStyle w:val="TableParagraph"/>
              <w:spacing w:before="1"/>
              <w:ind w:left="100" w:right="104"/>
              <w:jc w:val="both"/>
              <w:rPr>
                <w:sz w:val="22"/>
              </w:rPr>
            </w:pPr>
            <w:r>
              <w:rPr>
                <w:sz w:val="22"/>
              </w:rPr>
              <w:t>(Ejemplo: Asociación de Ejidatarios del  Municipio de Timilpan, Comités de obra en las comunidades).</w:t>
            </w:r>
          </w:p>
        </w:tc>
      </w:tr>
      <w:tr>
        <w:trPr>
          <w:trHeight w:val="2288"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I9P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27"/>
              <w:ind w:right="770"/>
              <w:rPr>
                <w:sz w:val="22"/>
              </w:rPr>
            </w:pPr>
            <w:r>
              <w:rPr>
                <w:sz w:val="22"/>
              </w:rPr>
              <w:t>Redes informales</w:t>
            </w:r>
          </w:p>
        </w:tc>
        <w:tc>
          <w:tcPr>
            <w:tcW w:w="3259" w:type="dxa"/>
          </w:tcPr>
          <w:p>
            <w:pPr>
              <w:pStyle w:val="TableParagraph"/>
              <w:ind w:right="99"/>
              <w:jc w:val="both"/>
              <w:rPr>
                <w:sz w:val="22"/>
              </w:rPr>
            </w:pPr>
            <w:r>
              <w:rPr>
                <w:sz w:val="22"/>
              </w:rPr>
              <w:t>Entendidas como la capacidad histórica de interrelación comunitaria informal en los municipios de la CHPH para tratar asuntos sociopolíticos comunes, pero limitadas a las acciones locales que  inhiben el desarrollo regional (García, TC:</w:t>
            </w:r>
            <w:r>
              <w:rPr>
                <w:spacing w:val="-4"/>
                <w:sz w:val="22"/>
              </w:rPr>
              <w:t> </w:t>
            </w:r>
            <w:r>
              <w:rPr>
                <w:sz w:val="22"/>
              </w:rPr>
              <w:t>2013-2015).</w:t>
            </w:r>
          </w:p>
        </w:tc>
        <w:tc>
          <w:tcPr>
            <w:tcW w:w="2211" w:type="dxa"/>
          </w:tcPr>
          <w:p>
            <w:pPr>
              <w:pStyle w:val="TableParagraph"/>
              <w:spacing w:before="8"/>
              <w:ind w:left="0"/>
              <w:rPr>
                <w:rFonts w:ascii="Times New Roman"/>
                <w:sz w:val="32"/>
              </w:rPr>
            </w:pPr>
          </w:p>
          <w:p>
            <w:pPr>
              <w:pStyle w:val="TableParagraph"/>
              <w:spacing w:before="1"/>
              <w:ind w:left="235" w:right="238" w:firstLine="5"/>
              <w:jc w:val="center"/>
              <w:rPr>
                <w:b/>
                <w:sz w:val="22"/>
              </w:rPr>
            </w:pPr>
            <w:r>
              <w:rPr>
                <w:b/>
                <w:sz w:val="22"/>
              </w:rPr>
              <w:t># de alianzas informales entre los actores de la CHPH para atender asuntos sociopolíticos</w:t>
            </w:r>
          </w:p>
        </w:tc>
        <w:tc>
          <w:tcPr>
            <w:tcW w:w="2835" w:type="dxa"/>
          </w:tcPr>
          <w:p>
            <w:pPr>
              <w:pStyle w:val="TableParagraph"/>
              <w:tabs>
                <w:tab w:pos="1405" w:val="left" w:leader="none"/>
                <w:tab w:pos="1981" w:val="left" w:leader="none"/>
                <w:tab w:pos="2072" w:val="left" w:leader="none"/>
                <w:tab w:pos="2440" w:val="left" w:leader="none"/>
              </w:tabs>
              <w:ind w:left="100" w:right="101"/>
              <w:rPr>
                <w:sz w:val="22"/>
              </w:rPr>
            </w:pPr>
            <w:r>
              <w:rPr>
                <w:sz w:val="22"/>
              </w:rPr>
              <w:t>Cantidad</w:t>
              <w:tab/>
              <w:t>de</w:t>
              <w:tab/>
              <w:tab/>
              <w:t>pactos consuetudinarios</w:t>
              <w:tab/>
              <w:t>de</w:t>
              <w:tab/>
              <w:t>los actores de los municipios de la CHPH para atender sus problemas comunes. (Ejemplo: arreglos para la pesca y la caza de aves migratorias).</w:t>
            </w:r>
          </w:p>
        </w:tc>
      </w:tr>
    </w:tbl>
    <w:p>
      <w:pPr>
        <w:spacing w:after="0"/>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2288"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4" w:right="124"/>
              <w:jc w:val="center"/>
              <w:rPr>
                <w:b/>
                <w:sz w:val="22"/>
              </w:rPr>
            </w:pPr>
            <w:r>
              <w:rPr>
                <w:b/>
                <w:sz w:val="22"/>
              </w:rPr>
              <w:t>I10P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623"/>
              <w:rPr>
                <w:sz w:val="22"/>
              </w:rPr>
            </w:pPr>
            <w:r>
              <w:rPr>
                <w:sz w:val="22"/>
              </w:rPr>
              <w:t>Normas excluyentes</w:t>
            </w:r>
          </w:p>
        </w:tc>
        <w:tc>
          <w:tcPr>
            <w:tcW w:w="3259" w:type="dxa"/>
          </w:tcPr>
          <w:p>
            <w:pPr>
              <w:pStyle w:val="TableParagraph"/>
              <w:spacing w:before="8"/>
              <w:ind w:left="0"/>
              <w:rPr>
                <w:rFonts w:ascii="Times New Roman"/>
                <w:sz w:val="32"/>
              </w:rPr>
            </w:pPr>
          </w:p>
          <w:p>
            <w:pPr>
              <w:pStyle w:val="TableParagraph"/>
              <w:spacing w:before="1"/>
              <w:ind w:right="97"/>
              <w:jc w:val="both"/>
              <w:rPr>
                <w:sz w:val="22"/>
              </w:rPr>
            </w:pPr>
            <w:r>
              <w:rPr>
                <w:sz w:val="22"/>
              </w:rPr>
              <w:t>Legislación vigente que excluye a los actores de la CHPH, y que privilegia a los grupos poderosos para el uso de los recursos de la Cuenca (García, TC:</w:t>
            </w:r>
            <w:r>
              <w:rPr>
                <w:spacing w:val="-7"/>
                <w:sz w:val="22"/>
              </w:rPr>
              <w:t> </w:t>
            </w:r>
            <w:r>
              <w:rPr>
                <w:sz w:val="22"/>
              </w:rPr>
              <w:t>2013-2015).</w:t>
            </w:r>
          </w:p>
        </w:tc>
        <w:tc>
          <w:tcPr>
            <w:tcW w:w="2211"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254" w:right="254" w:hanging="3"/>
              <w:jc w:val="center"/>
              <w:rPr>
                <w:b/>
                <w:sz w:val="22"/>
              </w:rPr>
            </w:pPr>
            <w:r>
              <w:rPr>
                <w:b/>
                <w:sz w:val="22"/>
              </w:rPr>
              <w:t># de leyes vigentes que excluyen a algunos actores históricos de la CHPH</w:t>
            </w:r>
          </w:p>
        </w:tc>
        <w:tc>
          <w:tcPr>
            <w:tcW w:w="2835" w:type="dxa"/>
          </w:tcPr>
          <w:p>
            <w:pPr>
              <w:pStyle w:val="TableParagraph"/>
              <w:ind w:left="100" w:right="102"/>
              <w:jc w:val="both"/>
              <w:rPr>
                <w:sz w:val="22"/>
              </w:rPr>
            </w:pPr>
            <w:r>
              <w:rPr>
                <w:sz w:val="22"/>
              </w:rPr>
              <w:t>Cantidad de normas vigentes que regulan las acciones de los actores históricos de la CHPH y que establecen las reglas del reparto de  los recursos.</w:t>
            </w:r>
          </w:p>
          <w:p>
            <w:pPr>
              <w:pStyle w:val="TableParagraph"/>
              <w:spacing w:before="1"/>
              <w:ind w:left="100" w:right="103"/>
              <w:jc w:val="both"/>
              <w:rPr>
                <w:sz w:val="22"/>
              </w:rPr>
            </w:pPr>
            <w:r>
              <w:rPr>
                <w:sz w:val="22"/>
              </w:rPr>
              <w:t>(Ejemplo: Ley de Aguas Nacionales).</w:t>
            </w:r>
          </w:p>
        </w:tc>
      </w:tr>
      <w:tr>
        <w:trPr>
          <w:trHeight w:val="3550"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4" w:right="124"/>
              <w:jc w:val="center"/>
              <w:rPr>
                <w:b/>
                <w:sz w:val="22"/>
              </w:rPr>
            </w:pPr>
            <w:r>
              <w:rPr>
                <w:b/>
                <w:sz w:val="22"/>
              </w:rPr>
              <w:t>I11P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1"/>
              <w:jc w:val="center"/>
              <w:rPr>
                <w:b/>
                <w:sz w:val="22"/>
              </w:rPr>
            </w:pPr>
            <w:r>
              <w:rPr>
                <w:b/>
                <w:w w:val="100"/>
                <w:sz w:val="22"/>
              </w:rPr>
              <w:t>I</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ind w:right="550"/>
              <w:rPr>
                <w:sz w:val="22"/>
              </w:rPr>
            </w:pPr>
            <w:r>
              <w:rPr>
                <w:sz w:val="22"/>
              </w:rPr>
              <w:t>Descontento social</w:t>
            </w:r>
          </w:p>
        </w:tc>
        <w:tc>
          <w:tcPr>
            <w:tcW w:w="3259" w:type="dxa"/>
          </w:tcPr>
          <w:p>
            <w:pPr>
              <w:pStyle w:val="TableParagraph"/>
              <w:ind w:right="97"/>
              <w:jc w:val="both"/>
              <w:rPr>
                <w:sz w:val="22"/>
              </w:rPr>
            </w:pPr>
            <w:r>
              <w:rPr>
                <w:sz w:val="22"/>
              </w:rPr>
              <w:t>Los actores de la CHPH están en desacuerdo que instancias gubernamentales como la Conagua administren y distribuyan inequitativamente los recursos de la Cuenca, ya que benefician a solo una parte de los de actores de la Cuenca (municipios de aguas abajo en perjuicio de los municipios de aguas arriba), generando un conflicto sociopolítico en la CHPH (García, TC:</w:t>
            </w:r>
            <w:r>
              <w:rPr>
                <w:spacing w:val="-7"/>
                <w:sz w:val="22"/>
              </w:rPr>
              <w:t> </w:t>
            </w:r>
            <w:r>
              <w:rPr>
                <w:sz w:val="22"/>
              </w:rPr>
              <w:t>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4"/>
              <w:ind w:left="0"/>
              <w:rPr>
                <w:rFonts w:ascii="Times New Roman"/>
                <w:sz w:val="32"/>
              </w:rPr>
            </w:pPr>
          </w:p>
          <w:p>
            <w:pPr>
              <w:pStyle w:val="TableParagraph"/>
              <w:spacing w:before="1"/>
              <w:ind w:left="144" w:right="144"/>
              <w:jc w:val="center"/>
              <w:rPr>
                <w:b/>
                <w:sz w:val="22"/>
              </w:rPr>
            </w:pPr>
            <w:r>
              <w:rPr>
                <w:b/>
                <w:sz w:val="22"/>
              </w:rPr>
              <w:t>Manifestaciones públicas de los actores de la CHPH en trabajo de campo (adimensional)</w:t>
            </w:r>
          </w:p>
        </w:tc>
        <w:tc>
          <w:tcPr>
            <w:tcW w:w="2835" w:type="dxa"/>
          </w:tcPr>
          <w:p>
            <w:pPr>
              <w:pStyle w:val="TableParagraph"/>
              <w:tabs>
                <w:tab w:pos="909" w:val="left" w:leader="none"/>
                <w:tab w:pos="1410" w:val="left" w:leader="none"/>
                <w:tab w:pos="1705" w:val="left" w:leader="none"/>
                <w:tab w:pos="2439" w:val="left" w:leader="none"/>
                <w:tab w:pos="2473" w:val="left" w:leader="none"/>
                <w:tab w:pos="2610" w:val="left" w:leader="none"/>
              </w:tabs>
              <w:ind w:left="100" w:right="101"/>
              <w:rPr>
                <w:sz w:val="22"/>
              </w:rPr>
            </w:pPr>
            <w:r>
              <w:rPr>
                <w:sz w:val="22"/>
              </w:rPr>
              <w:t>Declaraciones públicas de los actores de la CHPH con respecto al reparto inequitativo</w:t>
              <w:tab/>
              <w:tab/>
              <w:t>de</w:t>
              <w:tab/>
              <w:t>los recursos de la Cuenca. (Ejemplo: desacuerdo de los actores históricos de los</w:t>
              <w:tab/>
              <w:t>municipios</w:t>
              <w:tab/>
              <w:tab/>
              <w:t>de Acambay,</w:t>
              <w:tab/>
              <w:t>Jilotepec</w:t>
              <w:tab/>
              <w:tab/>
              <w:tab/>
              <w:t>y Timilpan con el reparto del agua para riego de la presa Huapango, ya que sólo se beneficia a Aculco y</w:t>
            </w:r>
            <w:r>
              <w:rPr>
                <w:spacing w:val="-2"/>
                <w:sz w:val="22"/>
              </w:rPr>
              <w:t> </w:t>
            </w:r>
            <w:r>
              <w:rPr>
                <w:sz w:val="22"/>
              </w:rPr>
              <w:t>Polotitlán).</w:t>
            </w:r>
          </w:p>
        </w:tc>
      </w:tr>
      <w:tr>
        <w:trPr>
          <w:trHeight w:val="2794"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R1P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
              <w:jc w:val="center"/>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684"/>
              <w:rPr>
                <w:sz w:val="22"/>
              </w:rPr>
            </w:pPr>
            <w:r>
              <w:rPr>
                <w:sz w:val="22"/>
              </w:rPr>
              <w:t>Acción colectiva_1</w:t>
            </w:r>
          </w:p>
        </w:tc>
        <w:tc>
          <w:tcPr>
            <w:tcW w:w="3259" w:type="dxa"/>
          </w:tcPr>
          <w:p>
            <w:pPr>
              <w:pStyle w:val="TableParagraph"/>
              <w:ind w:left="0"/>
              <w:rPr>
                <w:rFonts w:ascii="Times New Roman"/>
                <w:sz w:val="22"/>
              </w:rPr>
            </w:pPr>
          </w:p>
          <w:p>
            <w:pPr>
              <w:pStyle w:val="TableParagraph"/>
              <w:spacing w:before="9"/>
              <w:ind w:left="0"/>
              <w:rPr>
                <w:rFonts w:ascii="Times New Roman"/>
                <w:sz w:val="21"/>
              </w:rPr>
            </w:pPr>
          </w:p>
          <w:p>
            <w:pPr>
              <w:pStyle w:val="TableParagraph"/>
              <w:tabs>
                <w:tab w:pos="2301" w:val="left" w:leader="none"/>
              </w:tabs>
              <w:ind w:right="97"/>
              <w:jc w:val="both"/>
              <w:rPr>
                <w:sz w:val="22"/>
              </w:rPr>
            </w:pPr>
            <w:r>
              <w:rPr>
                <w:sz w:val="22"/>
              </w:rPr>
              <w:t>Utilización de las estructuras históricas de los actores de la CHPH para realizar acciones sociopolíticas</w:t>
              <w:tab/>
              <w:t>formales conjuntas en beneficio de toda la región (García, TC: 2013- 2015).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5" w:right="128" w:firstLine="6"/>
              <w:jc w:val="center"/>
              <w:rPr>
                <w:b/>
                <w:sz w:val="22"/>
              </w:rPr>
            </w:pPr>
            <w:r>
              <w:rPr>
                <w:b/>
                <w:sz w:val="22"/>
              </w:rPr>
              <w:t>Colaboración entre actores de la CHPH para la acción colectiva (adimensional)</w:t>
            </w:r>
          </w:p>
        </w:tc>
        <w:tc>
          <w:tcPr>
            <w:tcW w:w="2835" w:type="dxa"/>
          </w:tcPr>
          <w:p>
            <w:pPr>
              <w:pStyle w:val="TableParagraph"/>
              <w:tabs>
                <w:tab w:pos="592" w:val="left" w:leader="none"/>
                <w:tab w:pos="952" w:val="left" w:leader="none"/>
                <w:tab w:pos="1631" w:val="left" w:leader="none"/>
                <w:tab w:pos="1827" w:val="left" w:leader="none"/>
              </w:tabs>
              <w:ind w:left="100" w:right="102"/>
              <w:rPr>
                <w:sz w:val="22"/>
              </w:rPr>
            </w:pPr>
            <w:r>
              <w:rPr>
                <w:sz w:val="22"/>
              </w:rPr>
              <w:t>Colaboración</w:t>
              <w:tab/>
            </w:r>
            <w:r>
              <w:rPr>
                <w:spacing w:val="-1"/>
                <w:sz w:val="22"/>
              </w:rPr>
              <w:t>organizada </w:t>
            </w:r>
            <w:r>
              <w:rPr>
                <w:sz w:val="22"/>
              </w:rPr>
              <w:t>de los actores históricos  de la CHPH para atender los</w:t>
              <w:tab/>
              <w:t>problemas</w:t>
              <w:tab/>
              <w:tab/>
            </w:r>
            <w:r>
              <w:rPr>
                <w:spacing w:val="-1"/>
                <w:sz w:val="22"/>
              </w:rPr>
              <w:t>comunes </w:t>
            </w:r>
            <w:r>
              <w:rPr>
                <w:sz w:val="22"/>
              </w:rPr>
              <w:t>de dicha cuenca a través de</w:t>
              <w:tab/>
              <w:tab/>
              <w:t>las</w:t>
              <w:tab/>
              <w:tab/>
            </w:r>
            <w:r>
              <w:rPr>
                <w:spacing w:val="-1"/>
                <w:sz w:val="22"/>
              </w:rPr>
              <w:t>prácticas </w:t>
            </w:r>
            <w:r>
              <w:rPr>
                <w:sz w:val="22"/>
              </w:rPr>
              <w:t>consuetudinarias conjuntas.</w:t>
            </w:r>
          </w:p>
          <w:p>
            <w:pPr>
              <w:pStyle w:val="TableParagraph"/>
              <w:spacing w:before="1"/>
              <w:ind w:left="100" w:right="102" w:firstLine="62"/>
              <w:jc w:val="both"/>
              <w:rPr>
                <w:sz w:val="22"/>
              </w:rPr>
            </w:pPr>
            <w:r>
              <w:rPr>
                <w:sz w:val="22"/>
              </w:rPr>
              <w:t>(Ejemplo: aún no existen acciones colectivas de los actores  de  la  CHPH</w:t>
            </w:r>
            <w:r>
              <w:rPr>
                <w:spacing w:val="-18"/>
                <w:sz w:val="22"/>
              </w:rPr>
              <w:t> </w:t>
            </w:r>
            <w:r>
              <w:rPr>
                <w:sz w:val="22"/>
              </w:rPr>
              <w:t>para</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516" w:hRule="exact"/>
        </w:trPr>
        <w:tc>
          <w:tcPr>
            <w:tcW w:w="852" w:type="dxa"/>
            <w:shd w:val="clear" w:color="auto" w:fill="D99493"/>
          </w:tcPr>
          <w:p>
            <w:pPr/>
          </w:p>
        </w:tc>
        <w:tc>
          <w:tcPr>
            <w:tcW w:w="730" w:type="dxa"/>
            <w:shd w:val="clear" w:color="auto" w:fill="D99493"/>
          </w:tcPr>
          <w:p>
            <w:pPr/>
          </w:p>
        </w:tc>
        <w:tc>
          <w:tcPr>
            <w:tcW w:w="1918" w:type="dxa"/>
          </w:tcPr>
          <w:p>
            <w:pPr/>
          </w:p>
        </w:tc>
        <w:tc>
          <w:tcPr>
            <w:tcW w:w="3259" w:type="dxa"/>
          </w:tcPr>
          <w:p>
            <w:pPr/>
          </w:p>
        </w:tc>
        <w:tc>
          <w:tcPr>
            <w:tcW w:w="2211" w:type="dxa"/>
          </w:tcPr>
          <w:p>
            <w:pPr/>
          </w:p>
        </w:tc>
        <w:tc>
          <w:tcPr>
            <w:tcW w:w="2835" w:type="dxa"/>
          </w:tcPr>
          <w:p>
            <w:pPr>
              <w:pStyle w:val="TableParagraph"/>
              <w:spacing w:line="252" w:lineRule="exact" w:before="2"/>
              <w:ind w:left="100" w:right="181"/>
              <w:rPr>
                <w:sz w:val="22"/>
              </w:rPr>
            </w:pPr>
            <w:r>
              <w:rPr>
                <w:sz w:val="22"/>
              </w:rPr>
              <w:t>solucionar sus problemas sociopolíticos).</w:t>
            </w:r>
          </w:p>
        </w:tc>
      </w:tr>
      <w:tr>
        <w:trPr>
          <w:trHeight w:val="2792"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R2P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right="574"/>
              <w:rPr>
                <w:sz w:val="22"/>
              </w:rPr>
            </w:pPr>
            <w:r>
              <w:rPr>
                <w:sz w:val="22"/>
              </w:rPr>
              <w:t>Democracia sociopolítica</w:t>
            </w:r>
          </w:p>
        </w:tc>
        <w:tc>
          <w:tcPr>
            <w:tcW w:w="3259" w:type="dxa"/>
          </w:tcPr>
          <w:p>
            <w:pPr>
              <w:pStyle w:val="TableParagraph"/>
              <w:spacing w:before="8"/>
              <w:ind w:left="0"/>
              <w:rPr>
                <w:rFonts w:ascii="Times New Roman"/>
                <w:sz w:val="32"/>
              </w:rPr>
            </w:pPr>
          </w:p>
          <w:p>
            <w:pPr>
              <w:pStyle w:val="TableParagraph"/>
              <w:tabs>
                <w:tab w:pos="1828" w:val="left" w:leader="none"/>
              </w:tabs>
              <w:spacing w:before="1"/>
              <w:ind w:right="96"/>
              <w:jc w:val="both"/>
              <w:rPr>
                <w:sz w:val="22"/>
              </w:rPr>
            </w:pPr>
            <w:r>
              <w:rPr>
                <w:sz w:val="22"/>
              </w:rPr>
              <w:t>Probabilidad de que  los actores sociopolíticos de la CHPH tengan la posibilidad de participar en las decisiones colectivas para solucionar sus problemas</w:t>
              <w:tab/>
            </w:r>
            <w:r>
              <w:rPr>
                <w:spacing w:val="-1"/>
                <w:sz w:val="22"/>
              </w:rPr>
              <w:t>sociopolíticos </w:t>
            </w:r>
            <w:r>
              <w:rPr>
                <w:sz w:val="22"/>
              </w:rPr>
              <w:t>comunes (García, TC: 2013- 2015).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235" w:right="238" w:firstLine="4"/>
              <w:jc w:val="center"/>
              <w:rPr>
                <w:b/>
                <w:sz w:val="22"/>
              </w:rPr>
            </w:pPr>
            <w:r>
              <w:rPr>
                <w:b/>
                <w:sz w:val="22"/>
              </w:rPr>
              <w:t>Participación sociopolítica de los actores de la CHPH</w:t>
            </w:r>
          </w:p>
          <w:p>
            <w:pPr>
              <w:pStyle w:val="TableParagraph"/>
              <w:spacing w:before="1"/>
              <w:ind w:left="143" w:right="144"/>
              <w:jc w:val="center"/>
              <w:rPr>
                <w:b/>
                <w:sz w:val="22"/>
              </w:rPr>
            </w:pPr>
            <w:r>
              <w:rPr>
                <w:b/>
                <w:sz w:val="22"/>
              </w:rPr>
              <w:t>(adimensional)</w:t>
            </w:r>
          </w:p>
        </w:tc>
        <w:tc>
          <w:tcPr>
            <w:tcW w:w="2835" w:type="dxa"/>
          </w:tcPr>
          <w:p>
            <w:pPr>
              <w:pStyle w:val="TableParagraph"/>
              <w:tabs>
                <w:tab w:pos="849" w:val="left" w:leader="none"/>
                <w:tab w:pos="971" w:val="left" w:leader="none"/>
                <w:tab w:pos="1309" w:val="left" w:leader="none"/>
                <w:tab w:pos="1694" w:val="left" w:leader="none"/>
                <w:tab w:pos="1954" w:val="left" w:leader="none"/>
                <w:tab w:pos="2281" w:val="left" w:leader="none"/>
                <w:tab w:pos="2472" w:val="left" w:leader="none"/>
              </w:tabs>
              <w:ind w:left="100" w:right="101"/>
              <w:rPr>
                <w:sz w:val="22"/>
              </w:rPr>
            </w:pPr>
            <w:r>
              <w:rPr>
                <w:sz w:val="22"/>
              </w:rPr>
              <w:t>La posibilidad de intervenir de los actores históricos  de la CHPH en la solución de</w:t>
              <w:tab/>
              <w:t>sus</w:t>
              <w:tab/>
              <w:tab/>
            </w:r>
            <w:r>
              <w:rPr>
                <w:spacing w:val="-1"/>
                <w:sz w:val="22"/>
              </w:rPr>
              <w:t>problemas </w:t>
            </w:r>
            <w:r>
              <w:rPr>
                <w:sz w:val="22"/>
              </w:rPr>
              <w:t>sociopolíticos comunes. (Ejemplo:</w:t>
              <w:tab/>
              <w:t>aún</w:t>
              <w:tab/>
              <w:tab/>
              <w:t>no</w:t>
              <w:tab/>
              <w:tab/>
              <w:t>ha existido una participación colectiva en la CHPH de los</w:t>
              <w:tab/>
              <w:tab/>
            </w:r>
            <w:r>
              <w:rPr>
                <w:spacing w:val="-1"/>
                <w:sz w:val="22"/>
              </w:rPr>
              <w:t>actores</w:t>
              <w:tab/>
              <w:tab/>
              <w:tab/>
              <w:t>para </w:t>
            </w:r>
            <w:r>
              <w:rPr>
                <w:sz w:val="22"/>
              </w:rPr>
              <w:t>solucionar sus problemas sociopolíticos).</w:t>
            </w:r>
          </w:p>
        </w:tc>
      </w:tr>
      <w:tr>
        <w:trPr>
          <w:trHeight w:val="2794"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R3P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122"/>
              <w:rPr>
                <w:sz w:val="22"/>
              </w:rPr>
            </w:pPr>
            <w:r>
              <w:rPr>
                <w:sz w:val="22"/>
              </w:rPr>
              <w:t>Relaciones consuetudinarias</w:t>
            </w:r>
          </w:p>
        </w:tc>
        <w:tc>
          <w:tcPr>
            <w:tcW w:w="3259" w:type="dxa"/>
          </w:tcPr>
          <w:p>
            <w:pPr>
              <w:pStyle w:val="TableParagraph"/>
              <w:spacing w:before="10"/>
              <w:ind w:left="0"/>
              <w:rPr>
                <w:rFonts w:ascii="Times New Roman"/>
                <w:sz w:val="21"/>
              </w:rPr>
            </w:pPr>
          </w:p>
          <w:p>
            <w:pPr>
              <w:pStyle w:val="TableParagraph"/>
              <w:tabs>
                <w:tab w:pos="2341" w:val="left" w:leader="none"/>
              </w:tabs>
              <w:ind w:right="99"/>
              <w:jc w:val="both"/>
              <w:rPr>
                <w:sz w:val="22"/>
              </w:rPr>
            </w:pPr>
            <w:r>
              <w:rPr>
                <w:sz w:val="22"/>
              </w:rPr>
              <w:t>Los usos y costumbres de los actores de la CHPH han generado</w:t>
              <w:tab/>
            </w:r>
            <w:r>
              <w:rPr>
                <w:spacing w:val="-1"/>
                <w:sz w:val="22"/>
              </w:rPr>
              <w:t>vínculos </w:t>
            </w:r>
            <w:r>
              <w:rPr>
                <w:sz w:val="22"/>
              </w:rPr>
              <w:t>sociopolíticos que pueden ser utilizados para llegar a acuerdos de tipo formal e informal para resolver problemas comunes (García, TC:</w:t>
            </w:r>
            <w:r>
              <w:rPr>
                <w:spacing w:val="-4"/>
                <w:sz w:val="22"/>
              </w:rPr>
              <w:t> </w:t>
            </w:r>
            <w:r>
              <w:rPr>
                <w:sz w:val="22"/>
              </w:rPr>
              <w:t>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94" w:right="192" w:firstLine="2"/>
              <w:jc w:val="center"/>
              <w:rPr>
                <w:b/>
                <w:sz w:val="22"/>
              </w:rPr>
            </w:pPr>
            <w:r>
              <w:rPr>
                <w:b/>
                <w:sz w:val="22"/>
              </w:rPr>
              <w:t># de usos y costumbres que generan vínculos entre los actores de la CHPH</w:t>
            </w:r>
          </w:p>
        </w:tc>
        <w:tc>
          <w:tcPr>
            <w:tcW w:w="2835" w:type="dxa"/>
          </w:tcPr>
          <w:p>
            <w:pPr>
              <w:pStyle w:val="TableParagraph"/>
              <w:tabs>
                <w:tab w:pos="911" w:val="left" w:leader="none"/>
                <w:tab w:pos="1251" w:val="left" w:leader="none"/>
                <w:tab w:pos="1288" w:val="left" w:leader="none"/>
                <w:tab w:pos="1679" w:val="left" w:leader="none"/>
                <w:tab w:pos="1840" w:val="left" w:leader="none"/>
                <w:tab w:pos="1914" w:val="left" w:leader="none"/>
                <w:tab w:pos="2082" w:val="left" w:leader="none"/>
                <w:tab w:pos="2351" w:val="left" w:leader="none"/>
                <w:tab w:pos="2439" w:val="left" w:leader="none"/>
                <w:tab w:pos="2472" w:val="left" w:leader="none"/>
              </w:tabs>
              <w:ind w:left="100" w:right="100"/>
              <w:rPr>
                <w:sz w:val="22"/>
              </w:rPr>
            </w:pPr>
            <w:r>
              <w:rPr>
                <w:sz w:val="22"/>
              </w:rPr>
              <w:t>Cantidad</w:t>
              <w:tab/>
              <w:tab/>
              <w:t>de</w:t>
              <w:tab/>
              <w:tab/>
              <w:t>prácticas consuetudinarias</w:t>
              <w:tab/>
              <w:tab/>
              <w:tab/>
              <w:tab/>
              <w:t>que </w:t>
            </w:r>
            <w:r>
              <w:rPr>
                <w:spacing w:val="-1"/>
                <w:sz w:val="22"/>
              </w:rPr>
              <w:t>generan</w:t>
              <w:tab/>
              <w:tab/>
              <w:tab/>
              <w:tab/>
              <w:tab/>
              <w:tab/>
              <w:t>vínculos </w:t>
            </w:r>
            <w:r>
              <w:rPr>
                <w:sz w:val="22"/>
              </w:rPr>
              <w:t>sociopolíticos</w:t>
              <w:tab/>
              <w:t>entre</w:t>
              <w:tab/>
              <w:tab/>
              <w:t>los actores de la CHPH para llegar</w:t>
              <w:tab/>
              <w:t>a</w:t>
              <w:tab/>
              <w:tab/>
              <w:t>acuerdos</w:t>
              <w:tab/>
              <w:tab/>
              <w:tab/>
              <w:t>de carácter formal e informal que beneficien a todos. (Ejemplo:</w:t>
              <w:tab/>
              <w:t>relaciones</w:t>
              <w:tab/>
              <w:tab/>
              <w:tab/>
              <w:t>de </w:t>
            </w:r>
            <w:r>
              <w:rPr>
                <w:spacing w:val="-1"/>
                <w:sz w:val="22"/>
              </w:rPr>
              <w:t>parentesco,</w:t>
              <w:tab/>
              <w:tab/>
              <w:tab/>
              <w:tab/>
              <w:tab/>
            </w:r>
            <w:r>
              <w:rPr>
                <w:sz w:val="22"/>
              </w:rPr>
              <w:t>fiestas patronales,</w:t>
            </w:r>
            <w:r>
              <w:rPr>
                <w:spacing w:val="-4"/>
                <w:sz w:val="22"/>
              </w:rPr>
              <w:t> </w:t>
            </w:r>
            <w:r>
              <w:rPr>
                <w:sz w:val="22"/>
              </w:rPr>
              <w:t>mercados).</w:t>
            </w:r>
          </w:p>
        </w:tc>
      </w:tr>
      <w:tr>
        <w:trPr>
          <w:trHeight w:val="2288"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R4P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32"/>
              </w:rPr>
            </w:pPr>
          </w:p>
          <w:p>
            <w:pPr>
              <w:pStyle w:val="TableParagraph"/>
              <w:spacing w:line="242" w:lineRule="auto"/>
              <w:ind w:right="709"/>
              <w:rPr>
                <w:sz w:val="22"/>
              </w:rPr>
            </w:pPr>
            <w:r>
              <w:rPr>
                <w:sz w:val="22"/>
              </w:rPr>
              <w:t>Decisiones colectivas</w:t>
            </w:r>
          </w:p>
        </w:tc>
        <w:tc>
          <w:tcPr>
            <w:tcW w:w="3259" w:type="dxa"/>
          </w:tcPr>
          <w:p>
            <w:pPr>
              <w:pStyle w:val="TableParagraph"/>
              <w:spacing w:before="10"/>
              <w:ind w:left="0"/>
              <w:rPr>
                <w:rFonts w:ascii="Times New Roman"/>
                <w:sz w:val="21"/>
              </w:rPr>
            </w:pPr>
          </w:p>
          <w:p>
            <w:pPr>
              <w:pStyle w:val="TableParagraph"/>
              <w:ind w:right="98"/>
              <w:jc w:val="both"/>
              <w:rPr>
                <w:sz w:val="22"/>
              </w:rPr>
            </w:pPr>
            <w:r>
              <w:rPr>
                <w:sz w:val="22"/>
              </w:rPr>
              <w:t>Probabilidad de que  los actores sociopolíticos de la CHPH tengan decisiones colectivas mediante acuerdos formales e informales que beneficien a todos  (García, TC: 2013-2015).</w:t>
            </w:r>
          </w:p>
        </w:tc>
        <w:tc>
          <w:tcPr>
            <w:tcW w:w="2211" w:type="dxa"/>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144" w:right="144"/>
              <w:jc w:val="center"/>
              <w:rPr>
                <w:b/>
                <w:sz w:val="22"/>
              </w:rPr>
            </w:pPr>
            <w:r>
              <w:rPr>
                <w:b/>
                <w:sz w:val="22"/>
              </w:rPr>
              <w:t># de acuerdos formales e informales entre todos los actores de la CHPH</w:t>
            </w:r>
          </w:p>
        </w:tc>
        <w:tc>
          <w:tcPr>
            <w:tcW w:w="2835" w:type="dxa"/>
          </w:tcPr>
          <w:p>
            <w:pPr>
              <w:pStyle w:val="TableParagraph"/>
              <w:tabs>
                <w:tab w:pos="1264" w:val="left" w:leader="none"/>
                <w:tab w:pos="1379" w:val="left" w:leader="none"/>
                <w:tab w:pos="1705" w:val="left" w:leader="none"/>
                <w:tab w:pos="1816" w:val="left" w:leader="none"/>
                <w:tab w:pos="2595" w:val="left" w:leader="none"/>
              </w:tabs>
              <w:ind w:left="100" w:right="101"/>
              <w:rPr>
                <w:sz w:val="22"/>
              </w:rPr>
            </w:pPr>
            <w:r>
              <w:rPr>
                <w:sz w:val="22"/>
              </w:rPr>
              <w:t>Cantidad</w:t>
              <w:tab/>
              <w:t>de</w:t>
              <w:tab/>
              <w:tab/>
            </w:r>
            <w:r>
              <w:rPr>
                <w:spacing w:val="-1"/>
                <w:sz w:val="22"/>
              </w:rPr>
              <w:t>acuerdos </w:t>
            </w:r>
            <w:r>
              <w:rPr>
                <w:sz w:val="22"/>
              </w:rPr>
              <w:t>formales</w:t>
              <w:tab/>
              <w:t>e</w:t>
              <w:tab/>
            </w:r>
            <w:r>
              <w:rPr>
                <w:spacing w:val="-1"/>
                <w:sz w:val="22"/>
              </w:rPr>
              <w:t>informales </w:t>
            </w:r>
            <w:r>
              <w:rPr>
                <w:sz w:val="22"/>
              </w:rPr>
              <w:t>entre todos los actores sociopolíticos de la CHPH para el beneficio común. (Ejemplo: aún no existen acuerdos</w:t>
              <w:tab/>
              <w:tab/>
              <w:t>formales</w:t>
              <w:tab/>
              <w:t>e informales entre todos los actores de la</w:t>
            </w:r>
            <w:r>
              <w:rPr>
                <w:spacing w:val="-7"/>
                <w:sz w:val="22"/>
              </w:rPr>
              <w:t> </w:t>
            </w:r>
            <w:r>
              <w:rPr>
                <w:sz w:val="22"/>
              </w:rPr>
              <w:t>CHPH).</w:t>
            </w:r>
          </w:p>
        </w:tc>
      </w:tr>
      <w:tr>
        <w:trPr>
          <w:trHeight w:val="264" w:hRule="exact"/>
        </w:trPr>
        <w:tc>
          <w:tcPr>
            <w:tcW w:w="852" w:type="dxa"/>
            <w:shd w:val="clear" w:color="auto" w:fill="D99493"/>
          </w:tcPr>
          <w:p>
            <w:pPr/>
          </w:p>
        </w:tc>
        <w:tc>
          <w:tcPr>
            <w:tcW w:w="730" w:type="dxa"/>
            <w:shd w:val="clear" w:color="auto" w:fill="D99493"/>
          </w:tcPr>
          <w:p>
            <w:pPr/>
          </w:p>
        </w:tc>
        <w:tc>
          <w:tcPr>
            <w:tcW w:w="1918" w:type="dxa"/>
          </w:tcPr>
          <w:p>
            <w:pPr/>
          </w:p>
        </w:tc>
        <w:tc>
          <w:tcPr>
            <w:tcW w:w="3259" w:type="dxa"/>
          </w:tcPr>
          <w:p>
            <w:pPr>
              <w:pStyle w:val="TableParagraph"/>
              <w:spacing w:line="251" w:lineRule="exact"/>
              <w:rPr>
                <w:sz w:val="22"/>
              </w:rPr>
            </w:pPr>
            <w:r>
              <w:rPr>
                <w:sz w:val="22"/>
              </w:rPr>
              <w:t>Es  la  posibilidad  de  que   los</w:t>
            </w:r>
          </w:p>
        </w:tc>
        <w:tc>
          <w:tcPr>
            <w:tcW w:w="2211" w:type="dxa"/>
          </w:tcPr>
          <w:p>
            <w:pPr>
              <w:pStyle w:val="TableParagraph"/>
              <w:spacing w:line="248" w:lineRule="exact"/>
              <w:ind w:left="401" w:right="104"/>
              <w:rPr>
                <w:b/>
                <w:sz w:val="22"/>
              </w:rPr>
            </w:pPr>
            <w:r>
              <w:rPr>
                <w:b/>
                <w:sz w:val="22"/>
              </w:rPr>
              <w:t>Organización</w:t>
            </w:r>
          </w:p>
        </w:tc>
        <w:tc>
          <w:tcPr>
            <w:tcW w:w="2835" w:type="dxa"/>
          </w:tcPr>
          <w:p>
            <w:pPr>
              <w:pStyle w:val="TableParagraph"/>
              <w:tabs>
                <w:tab w:pos="1631" w:val="left" w:leader="none"/>
              </w:tabs>
              <w:spacing w:line="251" w:lineRule="exact"/>
              <w:ind w:left="100"/>
              <w:rPr>
                <w:sz w:val="22"/>
              </w:rPr>
            </w:pPr>
            <w:r>
              <w:rPr>
                <w:sz w:val="22"/>
              </w:rPr>
              <w:t>Colaboración</w:t>
              <w:tab/>
              <w:t>organizada</w:t>
            </w:r>
          </w:p>
        </w:tc>
      </w:tr>
    </w:tbl>
    <w:p>
      <w:pPr>
        <w:spacing w:after="0" w:line="251" w:lineRule="exact"/>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1781"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23" w:right="124"/>
              <w:jc w:val="center"/>
              <w:rPr>
                <w:b/>
                <w:sz w:val="22"/>
              </w:rPr>
            </w:pPr>
            <w:r>
              <w:rPr>
                <w:b/>
                <w:sz w:val="22"/>
              </w:rPr>
              <w:t>R5P</w:t>
            </w:r>
          </w:p>
        </w:tc>
        <w:tc>
          <w:tcPr>
            <w:tcW w:w="730" w:type="dxa"/>
            <w:shd w:val="clear" w:color="auto" w:fill="D99493"/>
          </w:tcPr>
          <w:p>
            <w:pPr>
              <w:pStyle w:val="TableParagraph"/>
              <w:spacing w:before="5"/>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spacing w:before="8"/>
              <w:ind w:left="0"/>
              <w:rPr>
                <w:rFonts w:ascii="Times New Roman"/>
                <w:sz w:val="21"/>
              </w:rPr>
            </w:pPr>
          </w:p>
          <w:p>
            <w:pPr>
              <w:pStyle w:val="TableParagraph"/>
              <w:ind w:right="489"/>
              <w:rPr>
                <w:sz w:val="22"/>
              </w:rPr>
            </w:pPr>
            <w:r>
              <w:rPr>
                <w:sz w:val="22"/>
              </w:rPr>
              <w:t>Organización sociopolítica</w:t>
            </w:r>
          </w:p>
        </w:tc>
        <w:tc>
          <w:tcPr>
            <w:tcW w:w="3259" w:type="dxa"/>
          </w:tcPr>
          <w:p>
            <w:pPr>
              <w:pStyle w:val="TableParagraph"/>
              <w:ind w:right="98"/>
              <w:jc w:val="both"/>
              <w:rPr>
                <w:sz w:val="22"/>
              </w:rPr>
            </w:pPr>
            <w:r>
              <w:rPr>
                <w:sz w:val="22"/>
              </w:rPr>
              <w:t>actores sociopolíticos de la CHPH intervengan de forma organizada para solucionar la problemática de dicha cuenca (García, TC: 2013-2015).</w:t>
            </w:r>
          </w:p>
        </w:tc>
        <w:tc>
          <w:tcPr>
            <w:tcW w:w="2211" w:type="dxa"/>
          </w:tcPr>
          <w:p>
            <w:pPr>
              <w:pStyle w:val="TableParagraph"/>
              <w:ind w:left="144" w:right="144"/>
              <w:jc w:val="center"/>
              <w:rPr>
                <w:b/>
                <w:sz w:val="22"/>
              </w:rPr>
            </w:pPr>
            <w:r>
              <w:rPr>
                <w:b/>
                <w:sz w:val="22"/>
              </w:rPr>
              <w:t>formal e informal de los actores sociopolíticos de la CHPH (adimensional)</w:t>
            </w:r>
          </w:p>
        </w:tc>
        <w:tc>
          <w:tcPr>
            <w:tcW w:w="2835" w:type="dxa"/>
          </w:tcPr>
          <w:p>
            <w:pPr>
              <w:pStyle w:val="TableParagraph"/>
              <w:tabs>
                <w:tab w:pos="640" w:val="left" w:leader="none"/>
                <w:tab w:pos="1141" w:val="left" w:leader="none"/>
                <w:tab w:pos="1391" w:val="left" w:leader="none"/>
                <w:tab w:pos="1694" w:val="left" w:leader="none"/>
                <w:tab w:pos="1902" w:val="left" w:leader="none"/>
                <w:tab w:pos="2084" w:val="left" w:leader="none"/>
                <w:tab w:pos="2547" w:val="left" w:leader="none"/>
                <w:tab w:pos="2598" w:val="left" w:leader="none"/>
              </w:tabs>
              <w:ind w:left="100" w:right="102"/>
              <w:rPr>
                <w:sz w:val="22"/>
              </w:rPr>
            </w:pPr>
            <w:r>
              <w:rPr>
                <w:sz w:val="22"/>
              </w:rPr>
              <w:t>por</w:t>
              <w:tab/>
              <w:t>los</w:t>
              <w:tab/>
              <w:t>actores</w:t>
              <w:tab/>
              <w:tab/>
              <w:t>de</w:t>
              <w:tab/>
              <w:t>la CHPH para atender los problemas comunes. (Ejemplo:</w:t>
              <w:tab/>
              <w:tab/>
              <w:tab/>
              <w:tab/>
            </w:r>
            <w:r>
              <w:rPr>
                <w:spacing w:val="-1"/>
                <w:sz w:val="22"/>
              </w:rPr>
              <w:t>comités, </w:t>
            </w:r>
            <w:r>
              <w:rPr>
                <w:sz w:val="22"/>
              </w:rPr>
              <w:t>asambleas,</w:t>
              <w:tab/>
              <w:tab/>
            </w:r>
            <w:r>
              <w:rPr>
                <w:spacing w:val="-1"/>
                <w:sz w:val="22"/>
              </w:rPr>
              <w:t>reuniones, </w:t>
            </w:r>
            <w:r>
              <w:rPr>
                <w:sz w:val="22"/>
              </w:rPr>
              <w:t>consultas</w:t>
              <w:tab/>
              <w:tab/>
              <w:t>formales</w:t>
              <w:tab/>
              <w:tab/>
              <w:t>e informales).</w:t>
            </w:r>
          </w:p>
        </w:tc>
      </w:tr>
      <w:tr>
        <w:trPr>
          <w:trHeight w:val="3299"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23" w:right="124"/>
              <w:jc w:val="center"/>
              <w:rPr>
                <w:b/>
                <w:sz w:val="22"/>
              </w:rPr>
            </w:pPr>
            <w:r>
              <w:rPr>
                <w:b/>
                <w:sz w:val="22"/>
              </w:rPr>
              <w:t>R6P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1"/>
              </w:rPr>
            </w:pPr>
          </w:p>
          <w:p>
            <w:pPr>
              <w:pStyle w:val="TableParagraph"/>
              <w:ind w:right="147"/>
              <w:rPr>
                <w:sz w:val="22"/>
              </w:rPr>
            </w:pPr>
            <w:r>
              <w:rPr>
                <w:sz w:val="22"/>
              </w:rPr>
              <w:t>Articulación formal e informal</w:t>
            </w:r>
          </w:p>
        </w:tc>
        <w:tc>
          <w:tcPr>
            <w:tcW w:w="3259" w:type="dxa"/>
          </w:tcPr>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97"/>
              <w:jc w:val="both"/>
              <w:rPr>
                <w:sz w:val="22"/>
              </w:rPr>
            </w:pPr>
            <w:r>
              <w:rPr>
                <w:sz w:val="22"/>
              </w:rPr>
              <w:t>Son las interrelaciones sociopolíticas formales e informales de los actores de la CHPH basadas en la acción colectiva para hacer frente a sus problemas comunes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32"/>
              </w:rPr>
            </w:pPr>
          </w:p>
          <w:p>
            <w:pPr>
              <w:pStyle w:val="TableParagraph"/>
              <w:ind w:left="168" w:right="170" w:firstLine="2"/>
              <w:jc w:val="center"/>
              <w:rPr>
                <w:b/>
                <w:sz w:val="22"/>
              </w:rPr>
            </w:pPr>
            <w:r>
              <w:rPr>
                <w:b/>
                <w:sz w:val="22"/>
              </w:rPr>
              <w:t>Convenios formales e informales entre los actores de los municipios de la CHPH</w:t>
            </w:r>
          </w:p>
        </w:tc>
        <w:tc>
          <w:tcPr>
            <w:tcW w:w="2835" w:type="dxa"/>
          </w:tcPr>
          <w:p>
            <w:pPr>
              <w:pStyle w:val="TableParagraph"/>
              <w:tabs>
                <w:tab w:pos="746" w:val="left" w:leader="none"/>
                <w:tab w:pos="1017" w:val="left" w:leader="none"/>
                <w:tab w:pos="1340" w:val="left" w:leader="none"/>
                <w:tab w:pos="1379" w:val="left" w:leader="none"/>
                <w:tab w:pos="1527" w:val="left" w:leader="none"/>
                <w:tab w:pos="1832" w:val="left" w:leader="none"/>
                <w:tab w:pos="1950" w:val="left" w:leader="none"/>
                <w:tab w:pos="2439" w:val="left" w:leader="none"/>
                <w:tab w:pos="2595" w:val="left" w:leader="none"/>
              </w:tabs>
              <w:ind w:left="100" w:right="101"/>
              <w:rPr>
                <w:sz w:val="22"/>
              </w:rPr>
            </w:pPr>
            <w:r>
              <w:rPr>
                <w:sz w:val="22"/>
              </w:rPr>
              <w:t>Alianzas</w:t>
              <w:tab/>
              <w:tab/>
              <w:t>formales</w:t>
              <w:tab/>
              <w:tab/>
              <w:t>e informales que establecen los</w:t>
              <w:tab/>
              <w:t>actores</w:t>
              <w:tab/>
              <w:tab/>
              <w:t>de</w:t>
              <w:tab/>
              <w:t>los municipios que integran la CHPH para solucionar sus problemas sociopolíticos. (Ejemplo: aún no existen acuerdos</w:t>
              <w:tab/>
              <w:tab/>
              <w:tab/>
              <w:t>formales</w:t>
              <w:tab/>
              <w:tab/>
              <w:t>e informales</w:t>
              <w:tab/>
              <w:tab/>
              <w:tab/>
              <w:t>entre</w:t>
              <w:tab/>
              <w:t>los actores de la CHPH para hacer</w:t>
              <w:tab/>
              <w:tab/>
              <w:t>frente</w:t>
              <w:tab/>
              <w:tab/>
              <w:t>a</w:t>
              <w:tab/>
              <w:t>los problemas</w:t>
              <w:tab/>
              <w:tab/>
              <w:t>sociopolíticos</w:t>
            </w:r>
            <w:r>
              <w:rPr>
                <w:w w:val="100"/>
                <w:sz w:val="22"/>
              </w:rPr>
              <w:t> </w:t>
            </w:r>
            <w:r>
              <w:rPr>
                <w:sz w:val="22"/>
              </w:rPr>
              <w:t>comunes).</w:t>
            </w:r>
          </w:p>
        </w:tc>
      </w:tr>
      <w:tr>
        <w:trPr>
          <w:trHeight w:val="2794"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23" w:right="124"/>
              <w:jc w:val="center"/>
              <w:rPr>
                <w:b/>
                <w:sz w:val="22"/>
              </w:rPr>
            </w:pPr>
            <w:r>
              <w:rPr>
                <w:b/>
                <w:sz w:val="22"/>
              </w:rPr>
              <w:t>R7P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684"/>
              <w:rPr>
                <w:sz w:val="22"/>
              </w:rPr>
            </w:pPr>
            <w:r>
              <w:rPr>
                <w:sz w:val="22"/>
              </w:rPr>
              <w:t>Acción colectiva_2</w:t>
            </w:r>
          </w:p>
        </w:tc>
        <w:tc>
          <w:tcPr>
            <w:tcW w:w="3259" w:type="dxa"/>
          </w:tcPr>
          <w:p>
            <w:pPr>
              <w:pStyle w:val="TableParagraph"/>
              <w:spacing w:before="11"/>
              <w:ind w:left="0"/>
              <w:rPr>
                <w:rFonts w:ascii="Times New Roman"/>
                <w:sz w:val="32"/>
              </w:rPr>
            </w:pPr>
          </w:p>
          <w:p>
            <w:pPr>
              <w:pStyle w:val="TableParagraph"/>
              <w:tabs>
                <w:tab w:pos="1034" w:val="left" w:leader="none"/>
                <w:tab w:pos="1890" w:val="left" w:leader="none"/>
              </w:tabs>
              <w:ind w:right="97"/>
              <w:jc w:val="both"/>
              <w:rPr>
                <w:sz w:val="22"/>
              </w:rPr>
            </w:pPr>
            <w:r>
              <w:rPr>
                <w:sz w:val="22"/>
              </w:rPr>
              <w:t>La participación conjunta de los actores de los municipios de la CHPH para la solución  de</w:t>
              <w:tab/>
              <w:t>la</w:t>
              <w:tab/>
            </w:r>
            <w:r>
              <w:rPr>
                <w:spacing w:val="-1"/>
                <w:sz w:val="22"/>
              </w:rPr>
              <w:t>problemática </w:t>
            </w:r>
            <w:r>
              <w:rPr>
                <w:sz w:val="22"/>
              </w:rPr>
              <w:t>sociopolítica en aras de acceder equitativamente a los recursos de la Cuenca  (García, TC:</w:t>
            </w:r>
            <w:r>
              <w:rPr>
                <w:spacing w:val="-8"/>
                <w:sz w:val="22"/>
              </w:rPr>
              <w:t> </w:t>
            </w:r>
            <w:r>
              <w:rPr>
                <w:sz w:val="22"/>
              </w:rPr>
              <w:t>2013-2015).</w:t>
            </w:r>
          </w:p>
        </w:tc>
        <w:tc>
          <w:tcPr>
            <w:tcW w:w="2211" w:type="dxa"/>
          </w:tcPr>
          <w:p>
            <w:pPr>
              <w:pStyle w:val="TableParagraph"/>
              <w:ind w:left="0"/>
              <w:rPr>
                <w:rFonts w:ascii="Times New Roman"/>
                <w:sz w:val="22"/>
              </w:rPr>
            </w:pPr>
          </w:p>
          <w:p>
            <w:pPr>
              <w:pStyle w:val="TableParagraph"/>
              <w:spacing w:before="7"/>
              <w:ind w:left="0"/>
              <w:rPr>
                <w:rFonts w:ascii="Times New Roman"/>
                <w:sz w:val="32"/>
              </w:rPr>
            </w:pPr>
          </w:p>
          <w:p>
            <w:pPr>
              <w:pStyle w:val="TableParagraph"/>
              <w:spacing w:before="1"/>
              <w:ind w:left="127" w:right="125" w:firstLine="1"/>
              <w:jc w:val="center"/>
              <w:rPr>
                <w:b/>
                <w:sz w:val="22"/>
              </w:rPr>
            </w:pPr>
            <w:r>
              <w:rPr>
                <w:b/>
                <w:sz w:val="22"/>
              </w:rPr>
              <w:t>Colaboración sociopolítica entre los actores de los municipios de la CHPH</w:t>
            </w:r>
          </w:p>
          <w:p>
            <w:pPr>
              <w:pStyle w:val="TableParagraph"/>
              <w:spacing w:line="252" w:lineRule="exact"/>
              <w:ind w:left="143" w:right="144"/>
              <w:jc w:val="center"/>
              <w:rPr>
                <w:b/>
                <w:sz w:val="22"/>
              </w:rPr>
            </w:pPr>
            <w:r>
              <w:rPr>
                <w:b/>
                <w:sz w:val="22"/>
              </w:rPr>
              <w:t>(adimensional)</w:t>
            </w:r>
          </w:p>
        </w:tc>
        <w:tc>
          <w:tcPr>
            <w:tcW w:w="2835" w:type="dxa"/>
          </w:tcPr>
          <w:p>
            <w:pPr>
              <w:pStyle w:val="TableParagraph"/>
              <w:ind w:left="100" w:right="102"/>
              <w:jc w:val="both"/>
              <w:rPr>
                <w:sz w:val="22"/>
              </w:rPr>
            </w:pPr>
            <w:r>
              <w:rPr>
                <w:sz w:val="22"/>
              </w:rPr>
              <w:t>Conjunto de esfuerzos colectivos de los actores de la CHPH para solucionar la problemática sociopolítica de  la Cuenca.</w:t>
            </w:r>
          </w:p>
          <w:p>
            <w:pPr>
              <w:pStyle w:val="TableParagraph"/>
              <w:spacing w:before="1"/>
              <w:ind w:left="100" w:right="101"/>
              <w:jc w:val="both"/>
              <w:rPr>
                <w:sz w:val="22"/>
              </w:rPr>
            </w:pPr>
            <w:r>
              <w:rPr>
                <w:sz w:val="22"/>
              </w:rPr>
              <w:t>(Ejemplo: aún no existen esfuerzos colectivos  de los actores de la CHPH para solucionar sus problemas sociopolíticos).</w:t>
            </w:r>
          </w:p>
        </w:tc>
      </w:tr>
      <w:tr>
        <w:trPr>
          <w:trHeight w:val="768" w:hRule="exact"/>
        </w:trPr>
        <w:tc>
          <w:tcPr>
            <w:tcW w:w="852" w:type="dxa"/>
            <w:shd w:val="clear" w:color="auto" w:fill="D99493"/>
          </w:tcPr>
          <w:p>
            <w:pPr/>
          </w:p>
        </w:tc>
        <w:tc>
          <w:tcPr>
            <w:tcW w:w="730" w:type="dxa"/>
            <w:shd w:val="clear" w:color="auto" w:fill="D99493"/>
          </w:tcPr>
          <w:p>
            <w:pPr>
              <w:pStyle w:val="TableParagraph"/>
              <w:spacing w:before="5"/>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spacing w:before="8"/>
              <w:ind w:left="0"/>
              <w:rPr>
                <w:rFonts w:ascii="Times New Roman"/>
                <w:sz w:val="21"/>
              </w:rPr>
            </w:pPr>
          </w:p>
          <w:p>
            <w:pPr>
              <w:pStyle w:val="TableParagraph"/>
              <w:ind w:right="158"/>
              <w:rPr>
                <w:sz w:val="22"/>
              </w:rPr>
            </w:pPr>
            <w:r>
              <w:rPr>
                <w:sz w:val="22"/>
              </w:rPr>
              <w:t>Reconocimiento de agrupaciones</w:t>
            </w:r>
          </w:p>
        </w:tc>
        <w:tc>
          <w:tcPr>
            <w:tcW w:w="3259" w:type="dxa"/>
          </w:tcPr>
          <w:p>
            <w:pPr>
              <w:pStyle w:val="TableParagraph"/>
              <w:ind w:right="100"/>
              <w:jc w:val="both"/>
              <w:rPr>
                <w:sz w:val="22"/>
              </w:rPr>
            </w:pPr>
            <w:r>
              <w:rPr>
                <w:sz w:val="22"/>
              </w:rPr>
              <w:t>Aceptación formal de la existencia de grupos históricos consolidados que se rigen  por</w:t>
            </w:r>
          </w:p>
        </w:tc>
        <w:tc>
          <w:tcPr>
            <w:tcW w:w="2211" w:type="dxa"/>
          </w:tcPr>
          <w:p>
            <w:pPr>
              <w:pStyle w:val="TableParagraph"/>
              <w:ind w:left="199" w:right="199" w:firstLine="43"/>
              <w:jc w:val="both"/>
              <w:rPr>
                <w:b/>
                <w:sz w:val="22"/>
              </w:rPr>
            </w:pPr>
            <w:r>
              <w:rPr>
                <w:b/>
                <w:sz w:val="22"/>
              </w:rPr>
              <w:t>Reconocimiento formal de grupos históricos de los</w:t>
            </w:r>
          </w:p>
        </w:tc>
        <w:tc>
          <w:tcPr>
            <w:tcW w:w="2835" w:type="dxa"/>
          </w:tcPr>
          <w:p>
            <w:pPr>
              <w:pStyle w:val="TableParagraph"/>
              <w:tabs>
                <w:tab w:pos="1792" w:val="left" w:leader="none"/>
              </w:tabs>
              <w:ind w:left="100" w:right="102"/>
              <w:jc w:val="both"/>
              <w:rPr>
                <w:sz w:val="22"/>
              </w:rPr>
            </w:pPr>
            <w:r>
              <w:rPr>
                <w:sz w:val="22"/>
              </w:rPr>
              <w:t>Participación formal de los grupos</w:t>
              <w:tab/>
            </w:r>
            <w:r>
              <w:rPr>
                <w:spacing w:val="-1"/>
                <w:sz w:val="22"/>
              </w:rPr>
              <w:t>históricos </w:t>
            </w:r>
            <w:r>
              <w:rPr>
                <w:sz w:val="22"/>
              </w:rPr>
              <w:t>consolidados  de  la</w:t>
            </w:r>
            <w:r>
              <w:rPr>
                <w:spacing w:val="-16"/>
                <w:sz w:val="22"/>
              </w:rPr>
              <w:t> </w:t>
            </w:r>
            <w:r>
              <w:rPr>
                <w:sz w:val="22"/>
              </w:rPr>
              <w:t>CHPH</w:t>
            </w:r>
          </w:p>
        </w:tc>
      </w:tr>
    </w:tbl>
    <w:p>
      <w:pPr>
        <w:spacing w:after="0"/>
        <w:jc w:val="both"/>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2033" w:hRule="exact"/>
        </w:trPr>
        <w:tc>
          <w:tcPr>
            <w:tcW w:w="852" w:type="dxa"/>
            <w:shd w:val="clear" w:color="auto" w:fill="D99493"/>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05"/>
              <w:jc w:val="right"/>
              <w:rPr>
                <w:b/>
                <w:sz w:val="22"/>
              </w:rPr>
            </w:pPr>
            <w:r>
              <w:rPr>
                <w:b/>
                <w:sz w:val="22"/>
              </w:rPr>
              <w:t>R8P</w:t>
            </w:r>
          </w:p>
        </w:tc>
        <w:tc>
          <w:tcPr>
            <w:tcW w:w="730" w:type="dxa"/>
            <w:shd w:val="clear" w:color="auto" w:fill="D99493"/>
          </w:tcPr>
          <w:p>
            <w:pPr/>
          </w:p>
        </w:tc>
        <w:tc>
          <w:tcPr>
            <w:tcW w:w="1918" w:type="dxa"/>
          </w:tcPr>
          <w:p>
            <w:pPr/>
          </w:p>
        </w:tc>
        <w:tc>
          <w:tcPr>
            <w:tcW w:w="3259" w:type="dxa"/>
          </w:tcPr>
          <w:p>
            <w:pPr>
              <w:pStyle w:val="TableParagraph"/>
              <w:ind w:right="97"/>
              <w:jc w:val="both"/>
              <w:rPr>
                <w:sz w:val="22"/>
              </w:rPr>
            </w:pPr>
            <w:r>
              <w:rPr>
                <w:sz w:val="22"/>
              </w:rPr>
              <w:t>sus usos y costumbres para participar en acuerdos sociopolíticos intermunicipales para atender los problemas comunes de la Cuenca (García, TC:</w:t>
            </w:r>
            <w:r>
              <w:rPr>
                <w:spacing w:val="-7"/>
                <w:sz w:val="22"/>
              </w:rPr>
              <w:t> </w:t>
            </w:r>
            <w:r>
              <w:rPr>
                <w:sz w:val="22"/>
              </w:rPr>
              <w:t>2013-2015).</w:t>
            </w:r>
          </w:p>
        </w:tc>
        <w:tc>
          <w:tcPr>
            <w:tcW w:w="2211" w:type="dxa"/>
          </w:tcPr>
          <w:p>
            <w:pPr>
              <w:pStyle w:val="TableParagraph"/>
              <w:spacing w:line="252" w:lineRule="exact"/>
              <w:ind w:left="144" w:right="144"/>
              <w:jc w:val="center"/>
              <w:rPr>
                <w:b/>
                <w:sz w:val="22"/>
              </w:rPr>
            </w:pPr>
            <w:r>
              <w:rPr>
                <w:b/>
                <w:sz w:val="22"/>
              </w:rPr>
              <w:t>actores de la CHPH</w:t>
            </w:r>
          </w:p>
          <w:p>
            <w:pPr>
              <w:pStyle w:val="TableParagraph"/>
              <w:spacing w:line="251" w:lineRule="exact"/>
              <w:ind w:left="143" w:right="144"/>
              <w:jc w:val="center"/>
              <w:rPr>
                <w:b/>
                <w:sz w:val="22"/>
              </w:rPr>
            </w:pPr>
            <w:r>
              <w:rPr>
                <w:b/>
                <w:sz w:val="22"/>
              </w:rPr>
              <w:t>(adimensional)</w:t>
            </w:r>
          </w:p>
        </w:tc>
        <w:tc>
          <w:tcPr>
            <w:tcW w:w="2835" w:type="dxa"/>
          </w:tcPr>
          <w:p>
            <w:pPr>
              <w:pStyle w:val="TableParagraph"/>
              <w:tabs>
                <w:tab w:pos="959" w:val="left" w:leader="none"/>
                <w:tab w:pos="1314" w:val="left" w:leader="none"/>
                <w:tab w:pos="1439" w:val="left" w:leader="none"/>
                <w:tab w:pos="1962" w:val="left" w:leader="none"/>
                <w:tab w:pos="2046" w:val="left" w:leader="none"/>
                <w:tab w:pos="2380" w:val="left" w:leader="none"/>
                <w:tab w:pos="2487" w:val="left" w:leader="none"/>
              </w:tabs>
              <w:ind w:left="100" w:right="101"/>
              <w:rPr>
                <w:sz w:val="22"/>
              </w:rPr>
            </w:pPr>
            <w:r>
              <w:rPr>
                <w:sz w:val="22"/>
              </w:rPr>
              <w:t>para</w:t>
              <w:tab/>
            </w:r>
            <w:r>
              <w:rPr>
                <w:spacing w:val="-1"/>
                <w:sz w:val="22"/>
              </w:rPr>
              <w:t>solucionar</w:t>
              <w:tab/>
              <w:tab/>
            </w:r>
            <w:r>
              <w:rPr>
                <w:sz w:val="22"/>
              </w:rPr>
              <w:t>sus problemas comunes. (Ejemplo:</w:t>
              <w:tab/>
              <w:t>aún</w:t>
              <w:tab/>
              <w:t>no</w:t>
              <w:tab/>
              <w:tab/>
              <w:t>se reconoce formalmente la existencia</w:t>
              <w:tab/>
              <w:tab/>
              <w:t>de</w:t>
              <w:tab/>
              <w:tab/>
              <w:t>grupos históricos que se rigen por sus usos y costumbres en la</w:t>
            </w:r>
            <w:r>
              <w:rPr>
                <w:spacing w:val="-4"/>
                <w:sz w:val="22"/>
              </w:rPr>
              <w:t> </w:t>
            </w:r>
            <w:r>
              <w:rPr>
                <w:sz w:val="22"/>
              </w:rPr>
              <w:t>CHPH).</w:t>
            </w:r>
          </w:p>
        </w:tc>
      </w:tr>
      <w:tr>
        <w:trPr>
          <w:trHeight w:val="3047"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05"/>
              <w:jc w:val="right"/>
              <w:rPr>
                <w:b/>
                <w:sz w:val="22"/>
              </w:rPr>
            </w:pPr>
            <w:r>
              <w:rPr>
                <w:b/>
                <w:sz w:val="22"/>
              </w:rPr>
              <w:t>R9P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32"/>
              </w:rPr>
            </w:pPr>
          </w:p>
          <w:p>
            <w:pPr>
              <w:pStyle w:val="TableParagraph"/>
              <w:ind w:right="856"/>
              <w:rPr>
                <w:sz w:val="22"/>
              </w:rPr>
            </w:pPr>
            <w:r>
              <w:rPr>
                <w:sz w:val="22"/>
              </w:rPr>
              <w:t>Acuerdos formales</w:t>
            </w:r>
          </w:p>
        </w:tc>
        <w:tc>
          <w:tcPr>
            <w:tcW w:w="3259" w:type="dxa"/>
          </w:tcPr>
          <w:p>
            <w:pPr>
              <w:pStyle w:val="TableParagraph"/>
              <w:ind w:left="0"/>
              <w:rPr>
                <w:rFonts w:ascii="Times New Roman"/>
                <w:sz w:val="22"/>
              </w:rPr>
            </w:pPr>
          </w:p>
          <w:p>
            <w:pPr>
              <w:pStyle w:val="TableParagraph"/>
              <w:spacing w:before="10"/>
              <w:ind w:left="0"/>
              <w:rPr>
                <w:rFonts w:ascii="Times New Roman"/>
                <w:sz w:val="32"/>
              </w:rPr>
            </w:pPr>
          </w:p>
          <w:p>
            <w:pPr>
              <w:pStyle w:val="TableParagraph"/>
              <w:spacing w:before="1"/>
              <w:ind w:right="96"/>
              <w:jc w:val="both"/>
              <w:rPr>
                <w:sz w:val="22"/>
              </w:rPr>
            </w:pPr>
            <w:r>
              <w:rPr>
                <w:sz w:val="22"/>
              </w:rPr>
              <w:t>Convenios que permiten legalmente a los grupos de actores de la CHPH, participar en la toma de decisiones sociopolíticas para  el desarrollo de  la  región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51" w:right="149" w:hanging="2"/>
              <w:jc w:val="center"/>
              <w:rPr>
                <w:b/>
                <w:sz w:val="22"/>
              </w:rPr>
            </w:pPr>
            <w:r>
              <w:rPr>
                <w:b/>
                <w:sz w:val="22"/>
              </w:rPr>
              <w:t># de acuerdos formales entre los actores de la CHPH</w:t>
            </w:r>
          </w:p>
        </w:tc>
        <w:tc>
          <w:tcPr>
            <w:tcW w:w="2835" w:type="dxa"/>
          </w:tcPr>
          <w:p>
            <w:pPr>
              <w:pStyle w:val="TableParagraph"/>
              <w:ind w:left="100" w:right="101"/>
              <w:jc w:val="both"/>
              <w:rPr>
                <w:sz w:val="22"/>
              </w:rPr>
            </w:pPr>
            <w:r>
              <w:rPr>
                <w:sz w:val="22"/>
              </w:rPr>
              <w:t>Cantidad de alianzas sociopolíticas formales de los actores de la CHPH que permitan solucionar los problemas  comunes de la Cuenca a través de la</w:t>
            </w:r>
            <w:r>
              <w:rPr>
                <w:spacing w:val="-2"/>
                <w:sz w:val="22"/>
              </w:rPr>
              <w:t> </w:t>
            </w:r>
            <w:r>
              <w:rPr>
                <w:sz w:val="22"/>
              </w:rPr>
              <w:t>democracia.</w:t>
            </w:r>
          </w:p>
          <w:p>
            <w:pPr>
              <w:pStyle w:val="TableParagraph"/>
              <w:ind w:left="100" w:right="101"/>
              <w:jc w:val="both"/>
              <w:rPr>
                <w:sz w:val="22"/>
              </w:rPr>
            </w:pPr>
            <w:r>
              <w:rPr>
                <w:sz w:val="22"/>
              </w:rPr>
              <w:t>(Ejemplo: aún no existen acuerdos formales entre los actores de la CHPH para solucionar sus problemas comunes).</w:t>
            </w:r>
          </w:p>
        </w:tc>
      </w:tr>
      <w:tr>
        <w:trPr>
          <w:trHeight w:val="3046"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143"/>
              <w:jc w:val="right"/>
              <w:rPr>
                <w:b/>
                <w:sz w:val="22"/>
              </w:rPr>
            </w:pPr>
            <w:r>
              <w:rPr>
                <w:b/>
                <w:sz w:val="22"/>
              </w:rPr>
              <w:t>R10P</w:t>
            </w:r>
          </w:p>
        </w:tc>
        <w:tc>
          <w:tcPr>
            <w:tcW w:w="730"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1"/>
              </w:rPr>
            </w:pPr>
          </w:p>
          <w:p>
            <w:pPr>
              <w:pStyle w:val="TableParagraph"/>
              <w:ind w:right="195"/>
              <w:rPr>
                <w:sz w:val="22"/>
              </w:rPr>
            </w:pPr>
            <w:r>
              <w:rPr>
                <w:sz w:val="22"/>
              </w:rPr>
              <w:t>Reglamentación formal</w:t>
            </w:r>
          </w:p>
        </w:tc>
        <w:tc>
          <w:tcPr>
            <w:tcW w:w="3259" w:type="dxa"/>
          </w:tcPr>
          <w:p>
            <w:pPr>
              <w:pStyle w:val="TableParagraph"/>
              <w:ind w:right="96"/>
              <w:jc w:val="both"/>
              <w:rPr>
                <w:sz w:val="22"/>
              </w:rPr>
            </w:pPr>
            <w:r>
              <w:rPr>
                <w:sz w:val="22"/>
              </w:rPr>
              <w:t>Es la estructura organizada de los actores de la CHPH con sus propias instituciones y reglas, a través del derecho consuetudinario, donde se establezcan los derechos y obligaciones en el uso, cuidado, administración y defensa de la CHPH para garantizar la paz y el bienestar sociopolítico (García, TC: 2013-2015)</w:t>
            </w:r>
          </w:p>
        </w:tc>
        <w:tc>
          <w:tcPr>
            <w:tcW w:w="2211"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32"/>
              </w:rPr>
            </w:pPr>
          </w:p>
          <w:p>
            <w:pPr>
              <w:pStyle w:val="TableParagraph"/>
              <w:ind w:left="257" w:right="252" w:hanging="5"/>
              <w:jc w:val="center"/>
              <w:rPr>
                <w:b/>
                <w:sz w:val="22"/>
              </w:rPr>
            </w:pPr>
            <w:r>
              <w:rPr>
                <w:b/>
                <w:sz w:val="22"/>
              </w:rPr>
              <w:t>Comité Intermunicipal y su Reglamento (adimensional)</w:t>
            </w:r>
          </w:p>
        </w:tc>
        <w:tc>
          <w:tcPr>
            <w:tcW w:w="2835" w:type="dxa"/>
          </w:tcPr>
          <w:p>
            <w:pPr>
              <w:pStyle w:val="TableParagraph"/>
              <w:ind w:left="100" w:right="101"/>
              <w:jc w:val="both"/>
              <w:rPr>
                <w:sz w:val="22"/>
              </w:rPr>
            </w:pPr>
            <w:r>
              <w:rPr>
                <w:sz w:val="22"/>
              </w:rPr>
              <w:t>Representación política y ordenamiento jurídico de los actores de la Cuenca, donde se establezcan los derechos y obligaciones para regular el uso, cuidado y defensa de la CHPH.</w:t>
            </w:r>
          </w:p>
          <w:p>
            <w:pPr>
              <w:pStyle w:val="TableParagraph"/>
              <w:spacing w:before="2"/>
              <w:ind w:left="100" w:right="103"/>
              <w:jc w:val="both"/>
              <w:rPr>
                <w:sz w:val="22"/>
              </w:rPr>
            </w:pPr>
            <w:r>
              <w:rPr>
                <w:sz w:val="22"/>
              </w:rPr>
              <w:t>(Ejemplo: aún no existe un Comité con su reglamento par regular el uso, cuidado y defensa de la CHPH).</w:t>
            </w:r>
          </w:p>
        </w:tc>
      </w:tr>
      <w:tr>
        <w:trPr>
          <w:trHeight w:val="516" w:hRule="exact"/>
        </w:trPr>
        <w:tc>
          <w:tcPr>
            <w:tcW w:w="852" w:type="dxa"/>
            <w:shd w:val="clear" w:color="auto" w:fill="D99493"/>
          </w:tcPr>
          <w:p>
            <w:pPr/>
          </w:p>
        </w:tc>
        <w:tc>
          <w:tcPr>
            <w:tcW w:w="730" w:type="dxa"/>
            <w:shd w:val="clear" w:color="auto" w:fill="D99493"/>
          </w:tcPr>
          <w:p>
            <w:pPr>
              <w:pStyle w:val="TableParagraph"/>
              <w:spacing w:before="8"/>
              <w:ind w:left="0"/>
              <w:rPr>
                <w:rFonts w:ascii="Times New Roman"/>
                <w:sz w:val="21"/>
              </w:rPr>
            </w:pPr>
          </w:p>
          <w:p>
            <w:pPr>
              <w:pStyle w:val="TableParagraph"/>
              <w:ind w:left="0" w:right="277"/>
              <w:jc w:val="right"/>
              <w:rPr>
                <w:b/>
                <w:sz w:val="22"/>
              </w:rPr>
            </w:pPr>
            <w:r>
              <w:rPr>
                <w:b/>
                <w:w w:val="100"/>
                <w:sz w:val="22"/>
              </w:rPr>
              <w:t>R</w:t>
            </w:r>
          </w:p>
        </w:tc>
        <w:tc>
          <w:tcPr>
            <w:tcW w:w="1918" w:type="dxa"/>
          </w:tcPr>
          <w:p>
            <w:pPr>
              <w:pStyle w:val="TableParagraph"/>
              <w:spacing w:line="242" w:lineRule="auto"/>
              <w:ind w:right="208"/>
              <w:rPr>
                <w:sz w:val="22"/>
              </w:rPr>
            </w:pPr>
            <w:r>
              <w:rPr>
                <w:sz w:val="22"/>
              </w:rPr>
              <w:t>Reconocimiento formal</w:t>
            </w:r>
          </w:p>
        </w:tc>
        <w:tc>
          <w:tcPr>
            <w:tcW w:w="3259" w:type="dxa"/>
          </w:tcPr>
          <w:p>
            <w:pPr>
              <w:pStyle w:val="TableParagraph"/>
              <w:tabs>
                <w:tab w:pos="1486" w:val="left" w:leader="none"/>
                <w:tab w:pos="1887" w:val="left" w:leader="none"/>
                <w:tab w:pos="2868" w:val="left" w:leader="none"/>
              </w:tabs>
              <w:spacing w:line="242" w:lineRule="auto"/>
              <w:ind w:right="98"/>
              <w:rPr>
                <w:sz w:val="22"/>
              </w:rPr>
            </w:pPr>
            <w:r>
              <w:rPr>
                <w:sz w:val="22"/>
              </w:rPr>
              <w:t>Formalización de la petición de administrar</w:t>
              <w:tab/>
              <w:t>y</w:t>
              <w:tab/>
              <w:t>regular</w:t>
              <w:tab/>
              <w:t>los</w:t>
            </w:r>
          </w:p>
        </w:tc>
        <w:tc>
          <w:tcPr>
            <w:tcW w:w="2211" w:type="dxa"/>
          </w:tcPr>
          <w:p>
            <w:pPr>
              <w:pStyle w:val="TableParagraph"/>
              <w:spacing w:line="242" w:lineRule="auto"/>
              <w:ind w:left="547" w:right="508" w:hanging="24"/>
              <w:rPr>
                <w:b/>
                <w:sz w:val="22"/>
              </w:rPr>
            </w:pPr>
            <w:r>
              <w:rPr>
                <w:b/>
                <w:sz w:val="22"/>
              </w:rPr>
              <w:t># de reglas formales e</w:t>
            </w:r>
          </w:p>
        </w:tc>
        <w:tc>
          <w:tcPr>
            <w:tcW w:w="2835" w:type="dxa"/>
          </w:tcPr>
          <w:p>
            <w:pPr>
              <w:pStyle w:val="TableParagraph"/>
              <w:tabs>
                <w:tab w:pos="1371" w:val="left" w:leader="none"/>
                <w:tab w:pos="1705" w:val="left" w:leader="none"/>
              </w:tabs>
              <w:spacing w:line="242" w:lineRule="auto"/>
              <w:ind w:left="100" w:right="102"/>
              <w:rPr>
                <w:sz w:val="22"/>
              </w:rPr>
            </w:pPr>
            <w:r>
              <w:rPr>
                <w:sz w:val="22"/>
              </w:rPr>
              <w:t>Cantidad de regulaciones formales</w:t>
              <w:tab/>
              <w:t>e</w:t>
              <w:tab/>
            </w:r>
            <w:r>
              <w:rPr>
                <w:spacing w:val="-1"/>
                <w:sz w:val="22"/>
              </w:rPr>
              <w:t>informales</w:t>
            </w:r>
          </w:p>
        </w:tc>
      </w:tr>
    </w:tbl>
    <w:p>
      <w:pPr>
        <w:spacing w:after="0" w:line="242" w:lineRule="auto"/>
        <w:rPr>
          <w:sz w:val="22"/>
        </w:rPr>
        <w:sectPr>
          <w:pgSz w:w="15840" w:h="12240" w:orient="landscape"/>
          <w:pgMar w:header="0" w:footer="943" w:top="1140" w:bottom="1140" w:left="2020" w:right="1300"/>
        </w:sectPr>
      </w:pPr>
    </w:p>
    <w:p>
      <w:pPr>
        <w:pStyle w:val="BodyText"/>
        <w:rPr>
          <w:rFonts w:ascii="Times New Roman"/>
          <w:sz w:val="20"/>
        </w:rPr>
      </w:pPr>
    </w:p>
    <w:p>
      <w:pPr>
        <w:pStyle w:val="BodyText"/>
        <w:spacing w:before="10"/>
        <w:rPr>
          <w:rFonts w:ascii="Times New Roman"/>
          <w:sz w:val="28"/>
        </w:rPr>
      </w:pPr>
    </w:p>
    <w:tbl>
      <w:tblPr>
        <w:tblW w:w="0" w:type="auto"/>
        <w:jc w:val="left"/>
        <w:tblInd w:w="8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730"/>
        <w:gridCol w:w="1918"/>
        <w:gridCol w:w="3259"/>
        <w:gridCol w:w="2211"/>
        <w:gridCol w:w="2835"/>
      </w:tblGrid>
      <w:tr>
        <w:trPr>
          <w:trHeight w:val="2794" w:hRule="exact"/>
        </w:trPr>
        <w:tc>
          <w:tcPr>
            <w:tcW w:w="852" w:type="dxa"/>
            <w:shd w:val="clear" w:color="auto" w:fill="D99493"/>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146"/>
              <w:rPr>
                <w:b/>
                <w:sz w:val="22"/>
              </w:rPr>
            </w:pPr>
            <w:r>
              <w:rPr>
                <w:b/>
                <w:sz w:val="22"/>
              </w:rPr>
              <w:t>R11P</w:t>
            </w:r>
          </w:p>
        </w:tc>
        <w:tc>
          <w:tcPr>
            <w:tcW w:w="730" w:type="dxa"/>
            <w:shd w:val="clear" w:color="auto" w:fill="D99493"/>
          </w:tcPr>
          <w:p>
            <w:pPr/>
          </w:p>
        </w:tc>
        <w:tc>
          <w:tcPr>
            <w:tcW w:w="1918" w:type="dxa"/>
          </w:tcPr>
          <w:p>
            <w:pPr/>
          </w:p>
        </w:tc>
        <w:tc>
          <w:tcPr>
            <w:tcW w:w="3259" w:type="dxa"/>
          </w:tcPr>
          <w:p>
            <w:pPr>
              <w:pStyle w:val="TableParagraph"/>
              <w:ind w:right="96"/>
              <w:jc w:val="both"/>
              <w:rPr>
                <w:sz w:val="22"/>
              </w:rPr>
            </w:pPr>
            <w:r>
              <w:rPr>
                <w:sz w:val="22"/>
              </w:rPr>
              <w:t>recursos de la Cuenca por parte de los actores, mediante el reconocimiento de sus derechos consuetudinarios para el uso y disfrute de sus recursos de la CHPH (García, TC: 2013-2015).</w:t>
            </w:r>
          </w:p>
        </w:tc>
        <w:tc>
          <w:tcPr>
            <w:tcW w:w="2211" w:type="dxa"/>
          </w:tcPr>
          <w:p>
            <w:pPr>
              <w:pStyle w:val="TableParagraph"/>
              <w:ind w:left="156" w:right="156" w:firstLine="2"/>
              <w:jc w:val="center"/>
              <w:rPr>
                <w:b/>
                <w:sz w:val="22"/>
              </w:rPr>
            </w:pPr>
            <w:r>
              <w:rPr>
                <w:b/>
                <w:sz w:val="22"/>
              </w:rPr>
              <w:t>informales de los actores de la CHPH para la administración de los recursos</w:t>
            </w:r>
          </w:p>
        </w:tc>
        <w:tc>
          <w:tcPr>
            <w:tcW w:w="2835" w:type="dxa"/>
          </w:tcPr>
          <w:p>
            <w:pPr>
              <w:pStyle w:val="TableParagraph"/>
              <w:tabs>
                <w:tab w:pos="1168" w:val="left" w:leader="none"/>
                <w:tab w:pos="1225" w:val="left" w:leader="none"/>
                <w:tab w:pos="1262" w:val="left" w:leader="none"/>
                <w:tab w:pos="1605" w:val="left" w:leader="none"/>
                <w:tab w:pos="1682" w:val="left" w:leader="none"/>
                <w:tab w:pos="2100" w:val="left" w:leader="none"/>
                <w:tab w:pos="2425" w:val="left" w:leader="none"/>
                <w:tab w:pos="2548" w:val="left" w:leader="none"/>
                <w:tab w:pos="2597" w:val="left" w:leader="none"/>
              </w:tabs>
              <w:ind w:left="100" w:right="102"/>
              <w:rPr>
                <w:sz w:val="22"/>
              </w:rPr>
            </w:pPr>
            <w:r>
              <w:rPr>
                <w:sz w:val="22"/>
              </w:rPr>
              <w:t>adoptadas</w:t>
              <w:tab/>
              <w:tab/>
              <w:tab/>
              <w:tab/>
              <w:tab/>
              <w:t>por</w:t>
              <w:tab/>
              <w:tab/>
              <w:tab/>
              <w:t>la población</w:t>
              <w:tab/>
              <w:tab/>
              <w:tab/>
              <w:t>a</w:t>
              <w:tab/>
              <w:t>través</w:t>
              <w:tab/>
              <w:t>del derecho</w:t>
              <w:tab/>
            </w:r>
            <w:r>
              <w:rPr>
                <w:spacing w:val="-1"/>
                <w:sz w:val="22"/>
              </w:rPr>
              <w:t>consuetudinario </w:t>
            </w:r>
            <w:r>
              <w:rPr>
                <w:sz w:val="22"/>
              </w:rPr>
              <w:t>para administrar el uso de los recursos de la CHPH. (Ejemplo: aún no existen reglas</w:t>
              <w:tab/>
              <w:tab/>
              <w:t>formales</w:t>
              <w:tab/>
              <w:tab/>
              <w:tab/>
              <w:tab/>
              <w:t>e informales de los actores históricos</w:t>
              <w:tab/>
              <w:tab/>
              <w:t>de</w:t>
              <w:tab/>
              <w:tab/>
              <w:t>la</w:t>
              <w:tab/>
            </w:r>
            <w:r>
              <w:rPr>
                <w:spacing w:val="-1"/>
                <w:sz w:val="22"/>
              </w:rPr>
              <w:t>CHPH </w:t>
            </w:r>
            <w:r>
              <w:rPr>
                <w:sz w:val="22"/>
              </w:rPr>
              <w:t>para la administración de los</w:t>
            </w:r>
            <w:r>
              <w:rPr>
                <w:spacing w:val="-2"/>
                <w:sz w:val="22"/>
              </w:rPr>
              <w:t> </w:t>
            </w:r>
            <w:r>
              <w:rPr>
                <w:sz w:val="22"/>
              </w:rPr>
              <w:t>recursos).</w:t>
            </w:r>
          </w:p>
        </w:tc>
      </w:tr>
    </w:tbl>
    <w:p>
      <w:pPr>
        <w:pStyle w:val="BodyText"/>
        <w:spacing w:line="248" w:lineRule="exact"/>
        <w:ind w:left="1813"/>
      </w:pPr>
      <w:r>
        <w:rPr>
          <w:b/>
        </w:rPr>
        <w:t>Fuente: </w:t>
      </w:r>
      <w:r>
        <w:rPr/>
        <w:t>Elaboración propia mediante la conjugación de las AEPA social y política en sociopolítica.</w:t>
      </w:r>
    </w:p>
    <w:p>
      <w:pPr>
        <w:pStyle w:val="BodyText"/>
      </w:pPr>
    </w:p>
    <w:p>
      <w:pPr>
        <w:pStyle w:val="BodyText"/>
      </w:pPr>
    </w:p>
    <w:p>
      <w:pPr>
        <w:pStyle w:val="BodyText"/>
        <w:spacing w:before="4"/>
        <w:rPr>
          <w:sz w:val="19"/>
        </w:rPr>
      </w:pPr>
    </w:p>
    <w:p>
      <w:pPr>
        <w:pStyle w:val="Heading6"/>
        <w:numPr>
          <w:ilvl w:val="2"/>
          <w:numId w:val="58"/>
        </w:numPr>
        <w:tabs>
          <w:tab w:pos="733" w:val="left" w:leader="none"/>
        </w:tabs>
        <w:spacing w:line="240" w:lineRule="auto" w:before="0" w:after="0"/>
        <w:ind w:left="732" w:right="0" w:hanging="614"/>
        <w:jc w:val="both"/>
      </w:pPr>
      <w:r>
        <w:rPr/>
        <w:t>Resultado del sistema PEIR-CHPH con tres </w:t>
      </w:r>
      <w:r>
        <w:rPr>
          <w:spacing w:val="-3"/>
        </w:rPr>
        <w:t>AEPA: </w:t>
      </w:r>
      <w:r>
        <w:rPr/>
        <w:t>Factores Críticos de</w:t>
      </w:r>
      <w:r>
        <w:rPr>
          <w:spacing w:val="-4"/>
        </w:rPr>
        <w:t> </w:t>
      </w:r>
      <w:r>
        <w:rPr/>
        <w:t>Éxito</w:t>
      </w:r>
    </w:p>
    <w:p>
      <w:pPr>
        <w:pStyle w:val="BodyText"/>
        <w:spacing w:before="9"/>
        <w:rPr>
          <w:b/>
          <w:sz w:val="20"/>
        </w:rPr>
      </w:pPr>
    </w:p>
    <w:p>
      <w:pPr>
        <w:pStyle w:val="BodyText"/>
        <w:spacing w:line="360" w:lineRule="auto"/>
        <w:ind w:left="118" w:right="110"/>
        <w:jc w:val="both"/>
      </w:pPr>
      <w:r>
        <w:rPr/>
        <w:t>Por lo que con el cruce de los indicadores de las AEPA ambiental, sociopolítica y económica (ver anexo 5), se obtuvieron,  finalmente, los Factores Críticos de Éxito que se muestran en la tabla 7.9. Dichos factores críticos se obtuvieron con base </w:t>
      </w:r>
      <w:r>
        <w:rPr>
          <w:spacing w:val="5"/>
        </w:rPr>
        <w:t>en </w:t>
      </w:r>
      <w:r>
        <w:rPr/>
        <w:t>el número de vínculos, la jerarquización y el peso específico de cada indicador en el sistema PEIR-CHPH, pero además se hizo uso del Principio de Pareto, que ya se describió antes, el cual señala, que el 20% del total de un sistema representa la parte más importante que se debe atender, ya que el resto, el 80%, representa a la parte menos importante, por lo que la atención debe centrarse en el 20%. Por tal motivo, el 20% de cada AEPA, está representado por 8 FCE para las AEPA ambiental y social, respectivamente, y 6 para la AEPA económica, dando un total de 22 FCE, con los cuales se pudo elaborar el mismo número de tarjetas de valoración (scorecars) y tres mapas conceptuales (ver anexo 6a, 6b y</w:t>
      </w:r>
      <w:r>
        <w:rPr>
          <w:spacing w:val="-17"/>
        </w:rPr>
        <w:t> </w:t>
      </w:r>
      <w:r>
        <w:rPr/>
        <w:t>6c).</w:t>
      </w:r>
    </w:p>
    <w:p>
      <w:pPr>
        <w:spacing w:after="0" w:line="360" w:lineRule="auto"/>
        <w:jc w:val="both"/>
        <w:sectPr>
          <w:pgSz w:w="15840" w:h="12240" w:orient="landscape"/>
          <w:pgMar w:header="0" w:footer="943" w:top="1140" w:bottom="114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6"/>
        <w:ind w:left="2098" w:right="778"/>
      </w:pPr>
      <w:r>
        <w:rPr/>
        <w:t>Tabla 7.9 Factores Críticos de Éxito definitivos del sistema PEIR de la CHPH (tres AEPA)</w:t>
      </w: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754"/>
        <w:gridCol w:w="1939"/>
        <w:gridCol w:w="961"/>
        <w:gridCol w:w="1193"/>
        <w:gridCol w:w="1390"/>
        <w:gridCol w:w="1162"/>
        <w:gridCol w:w="1118"/>
        <w:gridCol w:w="1193"/>
        <w:gridCol w:w="1277"/>
        <w:gridCol w:w="1274"/>
      </w:tblGrid>
      <w:tr>
        <w:trPr>
          <w:trHeight w:val="389" w:hRule="exact"/>
        </w:trPr>
        <w:tc>
          <w:tcPr>
            <w:tcW w:w="8358" w:type="dxa"/>
            <w:gridSpan w:val="7"/>
          </w:tcPr>
          <w:p>
            <w:pPr>
              <w:pStyle w:val="TableParagraph"/>
              <w:spacing w:line="248" w:lineRule="exact"/>
              <w:ind w:left="3665" w:right="3665"/>
              <w:jc w:val="center"/>
              <w:rPr>
                <w:b/>
                <w:sz w:val="22"/>
              </w:rPr>
            </w:pPr>
            <w:r>
              <w:rPr>
                <w:b/>
                <w:sz w:val="22"/>
              </w:rPr>
              <w:t>SISTEMA</w:t>
            </w:r>
          </w:p>
        </w:tc>
        <w:tc>
          <w:tcPr>
            <w:tcW w:w="4863" w:type="dxa"/>
            <w:gridSpan w:val="4"/>
          </w:tcPr>
          <w:p>
            <w:pPr>
              <w:pStyle w:val="TableParagraph"/>
              <w:spacing w:line="248" w:lineRule="exact"/>
              <w:ind w:left="2101" w:right="2101"/>
              <w:jc w:val="center"/>
              <w:rPr>
                <w:b/>
                <w:sz w:val="22"/>
              </w:rPr>
            </w:pPr>
            <w:r>
              <w:rPr>
                <w:b/>
                <w:sz w:val="22"/>
              </w:rPr>
              <w:t>AEPA</w:t>
            </w:r>
          </w:p>
        </w:tc>
      </w:tr>
      <w:tr>
        <w:trPr>
          <w:trHeight w:val="1390" w:hRule="exact"/>
        </w:trPr>
        <w:tc>
          <w:tcPr>
            <w:tcW w:w="960" w:type="dxa"/>
            <w:shd w:val="clear" w:color="auto" w:fill="938953"/>
          </w:tcPr>
          <w:p>
            <w:pPr>
              <w:pStyle w:val="TableParagraph"/>
              <w:spacing w:line="225" w:lineRule="exact"/>
              <w:ind w:left="196"/>
              <w:rPr>
                <w:b/>
                <w:sz w:val="20"/>
              </w:rPr>
            </w:pPr>
            <w:r>
              <w:rPr>
                <w:b/>
                <w:sz w:val="20"/>
              </w:rPr>
              <w:t>AEPA</w:t>
            </w:r>
          </w:p>
        </w:tc>
        <w:tc>
          <w:tcPr>
            <w:tcW w:w="754" w:type="dxa"/>
            <w:shd w:val="clear" w:color="auto" w:fill="938953"/>
          </w:tcPr>
          <w:p>
            <w:pPr>
              <w:pStyle w:val="TableParagraph"/>
              <w:spacing w:line="225" w:lineRule="exact"/>
              <w:ind w:left="115" w:right="122"/>
              <w:jc w:val="center"/>
              <w:rPr>
                <w:b/>
                <w:sz w:val="20"/>
              </w:rPr>
            </w:pPr>
            <w:r>
              <w:rPr>
                <w:b/>
                <w:sz w:val="20"/>
              </w:rPr>
              <w:t>PEIR</w:t>
            </w:r>
          </w:p>
        </w:tc>
        <w:tc>
          <w:tcPr>
            <w:tcW w:w="1939" w:type="dxa"/>
            <w:shd w:val="clear" w:color="auto" w:fill="938953"/>
          </w:tcPr>
          <w:p>
            <w:pPr>
              <w:pStyle w:val="TableParagraph"/>
              <w:spacing w:line="225" w:lineRule="exact"/>
              <w:ind w:left="141" w:right="143"/>
              <w:jc w:val="center"/>
              <w:rPr>
                <w:b/>
                <w:sz w:val="20"/>
              </w:rPr>
            </w:pPr>
            <w:r>
              <w:rPr>
                <w:b/>
                <w:sz w:val="20"/>
              </w:rPr>
              <w:t>Indicador</w:t>
            </w:r>
          </w:p>
        </w:tc>
        <w:tc>
          <w:tcPr>
            <w:tcW w:w="961" w:type="dxa"/>
            <w:shd w:val="clear" w:color="auto" w:fill="938953"/>
          </w:tcPr>
          <w:p>
            <w:pPr>
              <w:pStyle w:val="TableParagraph"/>
              <w:spacing w:line="360" w:lineRule="auto"/>
              <w:ind w:left="418" w:right="63" w:hanging="308"/>
              <w:rPr>
                <w:b/>
                <w:sz w:val="20"/>
              </w:rPr>
            </w:pPr>
            <w:r>
              <w:rPr>
                <w:b/>
                <w:w w:val="95"/>
                <w:sz w:val="20"/>
              </w:rPr>
              <w:t>Vínculo </w:t>
            </w:r>
            <w:r>
              <w:rPr>
                <w:b/>
                <w:sz w:val="20"/>
              </w:rPr>
              <w:t>s</w:t>
            </w:r>
          </w:p>
        </w:tc>
        <w:tc>
          <w:tcPr>
            <w:tcW w:w="1193" w:type="dxa"/>
            <w:shd w:val="clear" w:color="auto" w:fill="938953"/>
          </w:tcPr>
          <w:p>
            <w:pPr>
              <w:pStyle w:val="TableParagraph"/>
              <w:spacing w:line="225" w:lineRule="exact"/>
              <w:ind w:left="121" w:right="121"/>
              <w:jc w:val="center"/>
              <w:rPr>
                <w:b/>
                <w:sz w:val="20"/>
              </w:rPr>
            </w:pPr>
            <w:r>
              <w:rPr>
                <w:b/>
                <w:sz w:val="20"/>
              </w:rPr>
              <w:t>Jerarquía</w:t>
            </w:r>
          </w:p>
        </w:tc>
        <w:tc>
          <w:tcPr>
            <w:tcW w:w="1390" w:type="dxa"/>
            <w:shd w:val="clear" w:color="auto" w:fill="938953"/>
          </w:tcPr>
          <w:p>
            <w:pPr>
              <w:pStyle w:val="TableParagraph"/>
              <w:spacing w:line="360" w:lineRule="auto"/>
              <w:ind w:left="201" w:firstLine="252"/>
              <w:rPr>
                <w:b/>
                <w:sz w:val="20"/>
              </w:rPr>
            </w:pPr>
            <w:r>
              <w:rPr>
                <w:b/>
                <w:sz w:val="20"/>
              </w:rPr>
              <w:t>Peso </w:t>
            </w:r>
            <w:r>
              <w:rPr>
                <w:b/>
                <w:w w:val="95"/>
                <w:sz w:val="20"/>
              </w:rPr>
              <w:t>específico</w:t>
            </w:r>
          </w:p>
        </w:tc>
        <w:tc>
          <w:tcPr>
            <w:tcW w:w="1162" w:type="dxa"/>
            <w:shd w:val="clear" w:color="auto" w:fill="938953"/>
          </w:tcPr>
          <w:p>
            <w:pPr>
              <w:pStyle w:val="TableParagraph"/>
              <w:spacing w:line="360" w:lineRule="auto"/>
              <w:ind w:left="146" w:right="150" w:firstLine="4"/>
              <w:jc w:val="center"/>
              <w:rPr>
                <w:b/>
                <w:sz w:val="20"/>
              </w:rPr>
            </w:pPr>
            <w:r>
              <w:rPr>
                <w:b/>
                <w:sz w:val="20"/>
              </w:rPr>
              <w:t>Total de peso </w:t>
            </w:r>
            <w:r>
              <w:rPr>
                <w:b/>
                <w:w w:val="95"/>
                <w:sz w:val="20"/>
              </w:rPr>
              <w:t>específic </w:t>
            </w:r>
            <w:r>
              <w:rPr>
                <w:b/>
                <w:sz w:val="20"/>
              </w:rPr>
              <w:t>o</w:t>
            </w:r>
          </w:p>
        </w:tc>
        <w:tc>
          <w:tcPr>
            <w:tcW w:w="1118" w:type="dxa"/>
            <w:shd w:val="clear" w:color="auto" w:fill="938953"/>
          </w:tcPr>
          <w:p>
            <w:pPr>
              <w:pStyle w:val="TableParagraph"/>
              <w:spacing w:line="225" w:lineRule="exact"/>
              <w:ind w:left="82" w:right="85"/>
              <w:jc w:val="center"/>
              <w:rPr>
                <w:b/>
                <w:sz w:val="20"/>
              </w:rPr>
            </w:pPr>
            <w:r>
              <w:rPr>
                <w:b/>
                <w:sz w:val="20"/>
              </w:rPr>
              <w:t>Vínculos</w:t>
            </w:r>
          </w:p>
        </w:tc>
        <w:tc>
          <w:tcPr>
            <w:tcW w:w="1193" w:type="dxa"/>
            <w:shd w:val="clear" w:color="auto" w:fill="938953"/>
          </w:tcPr>
          <w:p>
            <w:pPr>
              <w:pStyle w:val="TableParagraph"/>
              <w:spacing w:line="225" w:lineRule="exact"/>
              <w:ind w:left="121" w:right="121"/>
              <w:jc w:val="center"/>
              <w:rPr>
                <w:b/>
                <w:sz w:val="20"/>
              </w:rPr>
            </w:pPr>
            <w:r>
              <w:rPr>
                <w:b/>
                <w:sz w:val="20"/>
              </w:rPr>
              <w:t>Jerarquía</w:t>
            </w:r>
          </w:p>
        </w:tc>
        <w:tc>
          <w:tcPr>
            <w:tcW w:w="1277" w:type="dxa"/>
            <w:shd w:val="clear" w:color="auto" w:fill="938953"/>
          </w:tcPr>
          <w:p>
            <w:pPr>
              <w:pStyle w:val="TableParagraph"/>
              <w:spacing w:line="360" w:lineRule="auto"/>
              <w:ind w:left="144" w:right="101" w:firstLine="252"/>
              <w:rPr>
                <w:b/>
                <w:sz w:val="20"/>
              </w:rPr>
            </w:pPr>
            <w:r>
              <w:rPr>
                <w:b/>
                <w:sz w:val="20"/>
              </w:rPr>
              <w:t>Peso </w:t>
            </w:r>
            <w:r>
              <w:rPr>
                <w:b/>
                <w:w w:val="95"/>
                <w:sz w:val="20"/>
              </w:rPr>
              <w:t>específico</w:t>
            </w:r>
          </w:p>
        </w:tc>
        <w:tc>
          <w:tcPr>
            <w:tcW w:w="1274" w:type="dxa"/>
            <w:shd w:val="clear" w:color="auto" w:fill="938953"/>
          </w:tcPr>
          <w:p>
            <w:pPr>
              <w:pStyle w:val="TableParagraph"/>
              <w:spacing w:line="360" w:lineRule="auto"/>
              <w:ind w:left="141" w:right="145" w:firstLine="3"/>
              <w:jc w:val="center"/>
              <w:rPr>
                <w:b/>
                <w:sz w:val="20"/>
              </w:rPr>
            </w:pPr>
            <w:r>
              <w:rPr>
                <w:b/>
                <w:sz w:val="20"/>
              </w:rPr>
              <w:t>Total de peso </w:t>
            </w:r>
            <w:r>
              <w:rPr>
                <w:b/>
                <w:w w:val="95"/>
                <w:sz w:val="20"/>
              </w:rPr>
              <w:t>específico</w:t>
            </w:r>
          </w:p>
        </w:tc>
      </w:tr>
      <w:tr>
        <w:trPr>
          <w:trHeight w:val="768" w:hRule="exact"/>
        </w:trPr>
        <w:tc>
          <w:tcPr>
            <w:tcW w:w="960" w:type="dxa"/>
            <w:vMerge w:val="restart"/>
            <w:shd w:val="clear" w:color="auto" w:fill="76923B"/>
            <w:textDirection w:val="btLr"/>
          </w:tcPr>
          <w:p>
            <w:pPr>
              <w:pStyle w:val="TableParagraph"/>
              <w:spacing w:before="105"/>
              <w:ind w:left="1896" w:right="1896"/>
              <w:jc w:val="center"/>
              <w:rPr>
                <w:b/>
                <w:sz w:val="22"/>
              </w:rPr>
            </w:pPr>
            <w:r>
              <w:rPr>
                <w:b/>
                <w:spacing w:val="-2"/>
                <w:w w:val="100"/>
                <w:sz w:val="22"/>
              </w:rPr>
              <w:t>A</w:t>
            </w:r>
            <w:r>
              <w:rPr>
                <w:b/>
                <w:w w:val="100"/>
                <w:sz w:val="22"/>
              </w:rPr>
              <w:t>M</w:t>
            </w:r>
            <w:r>
              <w:rPr>
                <w:b/>
                <w:spacing w:val="-2"/>
                <w:w w:val="100"/>
                <w:sz w:val="22"/>
              </w:rPr>
              <w:t>B</w:t>
            </w:r>
            <w:r>
              <w:rPr>
                <w:b/>
                <w:w w:val="100"/>
                <w:sz w:val="22"/>
              </w:rPr>
              <w:t>I</w:t>
            </w:r>
            <w:r>
              <w:rPr>
                <w:b/>
                <w:spacing w:val="-1"/>
                <w:w w:val="100"/>
                <w:sz w:val="22"/>
              </w:rPr>
              <w:t>E</w:t>
            </w:r>
            <w:r>
              <w:rPr>
                <w:b/>
                <w:spacing w:val="-2"/>
                <w:w w:val="100"/>
                <w:sz w:val="22"/>
              </w:rPr>
              <w:t>N</w:t>
            </w:r>
            <w:r>
              <w:rPr>
                <w:b/>
                <w:w w:val="100"/>
                <w:sz w:val="22"/>
              </w:rPr>
              <w:t>T</w:t>
            </w:r>
            <w:r>
              <w:rPr>
                <w:b/>
                <w:spacing w:val="-2"/>
                <w:w w:val="100"/>
                <w:sz w:val="22"/>
              </w:rPr>
              <w:t>A</w:t>
            </w:r>
            <w:r>
              <w:rPr>
                <w:b/>
                <w:w w:val="100"/>
                <w:sz w:val="22"/>
              </w:rPr>
              <w:t>L</w:t>
            </w:r>
          </w:p>
        </w:tc>
        <w:tc>
          <w:tcPr>
            <w:tcW w:w="754" w:type="dxa"/>
            <w:shd w:val="clear" w:color="auto" w:fill="76923B"/>
          </w:tcPr>
          <w:p>
            <w:pPr>
              <w:pStyle w:val="TableParagraph"/>
              <w:spacing w:line="251" w:lineRule="exact"/>
              <w:ind w:left="0" w:right="4"/>
              <w:jc w:val="center"/>
              <w:rPr>
                <w:sz w:val="22"/>
              </w:rPr>
            </w:pPr>
            <w:r>
              <w:rPr>
                <w:w w:val="100"/>
                <w:sz w:val="22"/>
              </w:rPr>
              <w:t>P</w:t>
            </w:r>
          </w:p>
        </w:tc>
        <w:tc>
          <w:tcPr>
            <w:tcW w:w="1939" w:type="dxa"/>
          </w:tcPr>
          <w:p>
            <w:pPr>
              <w:pStyle w:val="TableParagraph"/>
              <w:spacing w:line="360" w:lineRule="auto"/>
              <w:ind w:left="487" w:right="468" w:firstLine="103"/>
              <w:rPr>
                <w:sz w:val="22"/>
              </w:rPr>
            </w:pPr>
            <w:r>
              <w:rPr>
                <w:sz w:val="22"/>
              </w:rPr>
              <w:t>Historia ambiental</w:t>
            </w:r>
          </w:p>
        </w:tc>
        <w:tc>
          <w:tcPr>
            <w:tcW w:w="961" w:type="dxa"/>
          </w:tcPr>
          <w:p>
            <w:pPr>
              <w:pStyle w:val="TableParagraph"/>
              <w:spacing w:line="251" w:lineRule="exact"/>
              <w:ind w:left="269" w:right="274"/>
              <w:jc w:val="center"/>
              <w:rPr>
                <w:sz w:val="22"/>
              </w:rPr>
            </w:pPr>
            <w:r>
              <w:rPr>
                <w:sz w:val="22"/>
              </w:rPr>
              <w:t>131</w:t>
            </w:r>
          </w:p>
        </w:tc>
        <w:tc>
          <w:tcPr>
            <w:tcW w:w="1193" w:type="dxa"/>
          </w:tcPr>
          <w:p>
            <w:pPr>
              <w:pStyle w:val="TableParagraph"/>
              <w:spacing w:line="251" w:lineRule="exact"/>
              <w:ind w:left="0"/>
              <w:jc w:val="center"/>
              <w:rPr>
                <w:sz w:val="22"/>
              </w:rPr>
            </w:pPr>
            <w:r>
              <w:rPr>
                <w:w w:val="100"/>
                <w:sz w:val="22"/>
              </w:rPr>
              <w:t>1</w:t>
            </w:r>
          </w:p>
        </w:tc>
        <w:tc>
          <w:tcPr>
            <w:tcW w:w="1390" w:type="dxa"/>
          </w:tcPr>
          <w:p>
            <w:pPr>
              <w:pStyle w:val="TableParagraph"/>
              <w:spacing w:line="251" w:lineRule="exact"/>
              <w:ind w:left="90" w:right="86"/>
              <w:jc w:val="center"/>
              <w:rPr>
                <w:sz w:val="22"/>
              </w:rPr>
            </w:pPr>
            <w:r>
              <w:rPr>
                <w:sz w:val="22"/>
              </w:rPr>
              <w:t>1.00</w:t>
            </w:r>
          </w:p>
        </w:tc>
        <w:tc>
          <w:tcPr>
            <w:tcW w:w="1162" w:type="dxa"/>
          </w:tcPr>
          <w:p>
            <w:pPr>
              <w:pStyle w:val="TableParagraph"/>
              <w:spacing w:line="251" w:lineRule="exact"/>
              <w:ind w:left="220" w:right="218"/>
              <w:jc w:val="center"/>
              <w:rPr>
                <w:sz w:val="22"/>
              </w:rPr>
            </w:pPr>
            <w:r>
              <w:rPr>
                <w:sz w:val="22"/>
              </w:rPr>
              <w:t>17.063</w:t>
            </w:r>
          </w:p>
        </w:tc>
        <w:tc>
          <w:tcPr>
            <w:tcW w:w="1118" w:type="dxa"/>
          </w:tcPr>
          <w:p>
            <w:pPr>
              <w:pStyle w:val="TableParagraph"/>
              <w:spacing w:line="251" w:lineRule="exact"/>
              <w:ind w:left="82" w:right="82"/>
              <w:jc w:val="center"/>
              <w:rPr>
                <w:sz w:val="22"/>
              </w:rPr>
            </w:pPr>
            <w:r>
              <w:rPr>
                <w:sz w:val="22"/>
              </w:rPr>
              <w:t>43</w:t>
            </w:r>
          </w:p>
        </w:tc>
        <w:tc>
          <w:tcPr>
            <w:tcW w:w="1193" w:type="dxa"/>
          </w:tcPr>
          <w:p>
            <w:pPr>
              <w:pStyle w:val="TableParagraph"/>
              <w:spacing w:line="251" w:lineRule="exact"/>
              <w:ind w:left="0"/>
              <w:jc w:val="center"/>
              <w:rPr>
                <w:sz w:val="22"/>
              </w:rPr>
            </w:pPr>
            <w:r>
              <w:rPr>
                <w:w w:val="100"/>
                <w:sz w:val="22"/>
              </w:rPr>
              <w:t>1</w:t>
            </w:r>
          </w:p>
        </w:tc>
        <w:tc>
          <w:tcPr>
            <w:tcW w:w="1277" w:type="dxa"/>
          </w:tcPr>
          <w:p>
            <w:pPr>
              <w:pStyle w:val="TableParagraph"/>
              <w:spacing w:line="251" w:lineRule="exact"/>
              <w:ind w:left="420" w:right="101"/>
              <w:rPr>
                <w:sz w:val="22"/>
              </w:rPr>
            </w:pPr>
            <w:r>
              <w:rPr>
                <w:sz w:val="22"/>
              </w:rPr>
              <w:t>1.00</w:t>
            </w:r>
          </w:p>
        </w:tc>
        <w:tc>
          <w:tcPr>
            <w:tcW w:w="1274" w:type="dxa"/>
          </w:tcPr>
          <w:p>
            <w:pPr>
              <w:pStyle w:val="TableParagraph"/>
              <w:spacing w:line="251" w:lineRule="exact"/>
              <w:ind w:left="295" w:right="98"/>
              <w:rPr>
                <w:sz w:val="22"/>
              </w:rPr>
            </w:pPr>
            <w:r>
              <w:rPr>
                <w:sz w:val="22"/>
              </w:rPr>
              <w:t>16.125</w:t>
            </w:r>
          </w:p>
        </w:tc>
      </w:tr>
      <w:tr>
        <w:trPr>
          <w:trHeight w:val="410" w:hRule="exact"/>
        </w:trPr>
        <w:tc>
          <w:tcPr>
            <w:tcW w:w="960" w:type="dxa"/>
            <w:vMerge/>
            <w:shd w:val="clear" w:color="auto" w:fill="76923B"/>
            <w:textDirection w:val="btLr"/>
          </w:tcPr>
          <w:p>
            <w:pPr/>
          </w:p>
        </w:tc>
        <w:tc>
          <w:tcPr>
            <w:tcW w:w="754" w:type="dxa"/>
            <w:shd w:val="clear" w:color="auto" w:fill="76923B"/>
          </w:tcPr>
          <w:p>
            <w:pPr>
              <w:pStyle w:val="TableParagraph"/>
              <w:spacing w:before="19"/>
              <w:ind w:left="0" w:right="4"/>
              <w:jc w:val="center"/>
              <w:rPr>
                <w:sz w:val="22"/>
              </w:rPr>
            </w:pPr>
            <w:r>
              <w:rPr>
                <w:w w:val="100"/>
                <w:sz w:val="22"/>
              </w:rPr>
              <w:t>P</w:t>
            </w:r>
          </w:p>
        </w:tc>
        <w:tc>
          <w:tcPr>
            <w:tcW w:w="1939" w:type="dxa"/>
          </w:tcPr>
          <w:p>
            <w:pPr>
              <w:pStyle w:val="TableParagraph"/>
              <w:spacing w:before="19"/>
              <w:ind w:left="143" w:right="143"/>
              <w:jc w:val="center"/>
              <w:rPr>
                <w:sz w:val="22"/>
              </w:rPr>
            </w:pPr>
            <w:r>
              <w:rPr>
                <w:sz w:val="22"/>
              </w:rPr>
              <w:t>Poder ambiental</w:t>
            </w:r>
          </w:p>
        </w:tc>
        <w:tc>
          <w:tcPr>
            <w:tcW w:w="961" w:type="dxa"/>
          </w:tcPr>
          <w:p>
            <w:pPr>
              <w:pStyle w:val="TableParagraph"/>
              <w:spacing w:before="19"/>
              <w:ind w:left="269" w:right="274"/>
              <w:jc w:val="center"/>
              <w:rPr>
                <w:sz w:val="22"/>
              </w:rPr>
            </w:pPr>
            <w:r>
              <w:rPr>
                <w:sz w:val="22"/>
              </w:rPr>
              <w:t>130</w:t>
            </w:r>
          </w:p>
        </w:tc>
        <w:tc>
          <w:tcPr>
            <w:tcW w:w="1193" w:type="dxa"/>
          </w:tcPr>
          <w:p>
            <w:pPr>
              <w:pStyle w:val="TableParagraph"/>
              <w:spacing w:before="19"/>
              <w:ind w:left="0"/>
              <w:jc w:val="center"/>
              <w:rPr>
                <w:sz w:val="22"/>
              </w:rPr>
            </w:pPr>
            <w:r>
              <w:rPr>
                <w:w w:val="100"/>
                <w:sz w:val="22"/>
              </w:rPr>
              <w:t>2</w:t>
            </w:r>
          </w:p>
        </w:tc>
        <w:tc>
          <w:tcPr>
            <w:tcW w:w="1390" w:type="dxa"/>
          </w:tcPr>
          <w:p>
            <w:pPr>
              <w:pStyle w:val="TableParagraph"/>
              <w:spacing w:before="19"/>
              <w:ind w:left="90" w:right="86"/>
              <w:jc w:val="center"/>
              <w:rPr>
                <w:sz w:val="22"/>
              </w:rPr>
            </w:pPr>
            <w:r>
              <w:rPr>
                <w:sz w:val="22"/>
              </w:rPr>
              <w:t>1.00</w:t>
            </w:r>
          </w:p>
        </w:tc>
        <w:tc>
          <w:tcPr>
            <w:tcW w:w="1162" w:type="dxa"/>
          </w:tcPr>
          <w:p>
            <w:pPr>
              <w:pStyle w:val="TableParagraph"/>
              <w:spacing w:before="19"/>
              <w:ind w:left="220" w:right="218"/>
              <w:jc w:val="center"/>
              <w:rPr>
                <w:sz w:val="22"/>
              </w:rPr>
            </w:pPr>
            <w:r>
              <w:rPr>
                <w:sz w:val="22"/>
              </w:rPr>
              <w:t>17.063</w:t>
            </w:r>
          </w:p>
        </w:tc>
        <w:tc>
          <w:tcPr>
            <w:tcW w:w="1118" w:type="dxa"/>
          </w:tcPr>
          <w:p>
            <w:pPr>
              <w:pStyle w:val="TableParagraph"/>
              <w:spacing w:before="19"/>
              <w:ind w:left="82" w:right="82"/>
              <w:jc w:val="center"/>
              <w:rPr>
                <w:sz w:val="22"/>
              </w:rPr>
            </w:pPr>
            <w:r>
              <w:rPr>
                <w:sz w:val="22"/>
              </w:rPr>
              <w:t>42</w:t>
            </w:r>
          </w:p>
        </w:tc>
        <w:tc>
          <w:tcPr>
            <w:tcW w:w="1193" w:type="dxa"/>
          </w:tcPr>
          <w:p>
            <w:pPr>
              <w:pStyle w:val="TableParagraph"/>
              <w:spacing w:before="19"/>
              <w:ind w:left="0"/>
              <w:jc w:val="center"/>
              <w:rPr>
                <w:sz w:val="22"/>
              </w:rPr>
            </w:pPr>
            <w:r>
              <w:rPr>
                <w:w w:val="100"/>
                <w:sz w:val="22"/>
              </w:rPr>
              <w:t>2</w:t>
            </w:r>
          </w:p>
        </w:tc>
        <w:tc>
          <w:tcPr>
            <w:tcW w:w="1277" w:type="dxa"/>
          </w:tcPr>
          <w:p>
            <w:pPr>
              <w:pStyle w:val="TableParagraph"/>
              <w:spacing w:before="19"/>
              <w:ind w:left="420" w:right="101"/>
              <w:rPr>
                <w:sz w:val="22"/>
              </w:rPr>
            </w:pPr>
            <w:r>
              <w:rPr>
                <w:sz w:val="22"/>
              </w:rPr>
              <w:t>1.00</w:t>
            </w:r>
          </w:p>
        </w:tc>
        <w:tc>
          <w:tcPr>
            <w:tcW w:w="1274" w:type="dxa"/>
          </w:tcPr>
          <w:p>
            <w:pPr>
              <w:pStyle w:val="TableParagraph"/>
              <w:spacing w:before="19"/>
              <w:ind w:left="295" w:right="98"/>
              <w:rPr>
                <w:sz w:val="22"/>
              </w:rPr>
            </w:pPr>
            <w:r>
              <w:rPr>
                <w:sz w:val="22"/>
              </w:rPr>
              <w:t>16.125</w:t>
            </w:r>
          </w:p>
        </w:tc>
      </w:tr>
      <w:tr>
        <w:trPr>
          <w:trHeight w:val="790" w:hRule="exact"/>
        </w:trPr>
        <w:tc>
          <w:tcPr>
            <w:tcW w:w="960" w:type="dxa"/>
            <w:vMerge/>
            <w:shd w:val="clear" w:color="auto" w:fill="76923B"/>
            <w:textDirection w:val="btLr"/>
          </w:tcPr>
          <w:p>
            <w:pPr/>
          </w:p>
        </w:tc>
        <w:tc>
          <w:tcPr>
            <w:tcW w:w="754" w:type="dxa"/>
            <w:shd w:val="clear" w:color="auto" w:fill="76923B"/>
          </w:tcPr>
          <w:p>
            <w:pPr>
              <w:pStyle w:val="TableParagraph"/>
              <w:spacing w:before="19"/>
              <w:ind w:left="0" w:right="4"/>
              <w:jc w:val="center"/>
              <w:rPr>
                <w:sz w:val="22"/>
              </w:rPr>
            </w:pPr>
            <w:r>
              <w:rPr>
                <w:w w:val="100"/>
                <w:sz w:val="22"/>
              </w:rPr>
              <w:t>P</w:t>
            </w:r>
          </w:p>
        </w:tc>
        <w:tc>
          <w:tcPr>
            <w:tcW w:w="1939" w:type="dxa"/>
          </w:tcPr>
          <w:p>
            <w:pPr>
              <w:pStyle w:val="TableParagraph"/>
              <w:spacing w:line="360" w:lineRule="auto" w:before="19"/>
              <w:ind w:left="487" w:right="468" w:firstLine="122"/>
              <w:rPr>
                <w:sz w:val="22"/>
              </w:rPr>
            </w:pPr>
            <w:r>
              <w:rPr>
                <w:sz w:val="22"/>
              </w:rPr>
              <w:t>Cultura ambiental</w:t>
            </w:r>
          </w:p>
        </w:tc>
        <w:tc>
          <w:tcPr>
            <w:tcW w:w="961" w:type="dxa"/>
          </w:tcPr>
          <w:p>
            <w:pPr>
              <w:pStyle w:val="TableParagraph"/>
              <w:spacing w:before="19"/>
              <w:ind w:left="269" w:right="274"/>
              <w:jc w:val="center"/>
              <w:rPr>
                <w:sz w:val="22"/>
              </w:rPr>
            </w:pPr>
            <w:r>
              <w:rPr>
                <w:sz w:val="22"/>
              </w:rPr>
              <w:t>129</w:t>
            </w:r>
          </w:p>
        </w:tc>
        <w:tc>
          <w:tcPr>
            <w:tcW w:w="1193" w:type="dxa"/>
          </w:tcPr>
          <w:p>
            <w:pPr>
              <w:pStyle w:val="TableParagraph"/>
              <w:spacing w:before="19"/>
              <w:ind w:left="0"/>
              <w:jc w:val="center"/>
              <w:rPr>
                <w:sz w:val="22"/>
              </w:rPr>
            </w:pPr>
            <w:r>
              <w:rPr>
                <w:w w:val="100"/>
                <w:sz w:val="22"/>
              </w:rPr>
              <w:t>3</w:t>
            </w:r>
          </w:p>
        </w:tc>
        <w:tc>
          <w:tcPr>
            <w:tcW w:w="1390" w:type="dxa"/>
          </w:tcPr>
          <w:p>
            <w:pPr>
              <w:pStyle w:val="TableParagraph"/>
              <w:spacing w:before="19"/>
              <w:ind w:left="90" w:right="86"/>
              <w:jc w:val="center"/>
              <w:rPr>
                <w:sz w:val="22"/>
              </w:rPr>
            </w:pPr>
            <w:r>
              <w:rPr>
                <w:sz w:val="22"/>
              </w:rPr>
              <w:t>1.00</w:t>
            </w:r>
          </w:p>
        </w:tc>
        <w:tc>
          <w:tcPr>
            <w:tcW w:w="1162" w:type="dxa"/>
          </w:tcPr>
          <w:p>
            <w:pPr>
              <w:pStyle w:val="TableParagraph"/>
              <w:spacing w:before="19"/>
              <w:ind w:left="220" w:right="218"/>
              <w:jc w:val="center"/>
              <w:rPr>
                <w:sz w:val="22"/>
              </w:rPr>
            </w:pPr>
            <w:r>
              <w:rPr>
                <w:sz w:val="22"/>
              </w:rPr>
              <w:t>17.063</w:t>
            </w:r>
          </w:p>
        </w:tc>
        <w:tc>
          <w:tcPr>
            <w:tcW w:w="1118" w:type="dxa"/>
          </w:tcPr>
          <w:p>
            <w:pPr>
              <w:pStyle w:val="TableParagraph"/>
              <w:spacing w:before="19"/>
              <w:ind w:left="82" w:right="82"/>
              <w:jc w:val="center"/>
              <w:rPr>
                <w:sz w:val="22"/>
              </w:rPr>
            </w:pPr>
            <w:r>
              <w:rPr>
                <w:sz w:val="22"/>
              </w:rPr>
              <w:t>41</w:t>
            </w:r>
          </w:p>
        </w:tc>
        <w:tc>
          <w:tcPr>
            <w:tcW w:w="1193" w:type="dxa"/>
          </w:tcPr>
          <w:p>
            <w:pPr>
              <w:pStyle w:val="TableParagraph"/>
              <w:spacing w:before="19"/>
              <w:ind w:left="0"/>
              <w:jc w:val="center"/>
              <w:rPr>
                <w:sz w:val="22"/>
              </w:rPr>
            </w:pPr>
            <w:r>
              <w:rPr>
                <w:w w:val="100"/>
                <w:sz w:val="22"/>
              </w:rPr>
              <w:t>3</w:t>
            </w:r>
          </w:p>
        </w:tc>
        <w:tc>
          <w:tcPr>
            <w:tcW w:w="1277" w:type="dxa"/>
          </w:tcPr>
          <w:p>
            <w:pPr>
              <w:pStyle w:val="TableParagraph"/>
              <w:spacing w:before="19"/>
              <w:ind w:left="420" w:right="101"/>
              <w:rPr>
                <w:sz w:val="22"/>
              </w:rPr>
            </w:pPr>
            <w:r>
              <w:rPr>
                <w:sz w:val="22"/>
              </w:rPr>
              <w:t>1.00</w:t>
            </w:r>
          </w:p>
        </w:tc>
        <w:tc>
          <w:tcPr>
            <w:tcW w:w="1274" w:type="dxa"/>
          </w:tcPr>
          <w:p>
            <w:pPr>
              <w:pStyle w:val="TableParagraph"/>
              <w:spacing w:before="19"/>
              <w:ind w:left="295" w:right="98"/>
              <w:rPr>
                <w:sz w:val="22"/>
              </w:rPr>
            </w:pPr>
            <w:r>
              <w:rPr>
                <w:sz w:val="22"/>
              </w:rPr>
              <w:t>16.125</w:t>
            </w:r>
          </w:p>
        </w:tc>
      </w:tr>
      <w:tr>
        <w:trPr>
          <w:trHeight w:val="787" w:hRule="exact"/>
        </w:trPr>
        <w:tc>
          <w:tcPr>
            <w:tcW w:w="960" w:type="dxa"/>
            <w:vMerge/>
            <w:shd w:val="clear" w:color="auto" w:fill="76923B"/>
            <w:textDirection w:val="btLr"/>
          </w:tcPr>
          <w:p>
            <w:pPr/>
          </w:p>
        </w:tc>
        <w:tc>
          <w:tcPr>
            <w:tcW w:w="754" w:type="dxa"/>
            <w:shd w:val="clear" w:color="auto" w:fill="76923B"/>
          </w:tcPr>
          <w:p>
            <w:pPr>
              <w:pStyle w:val="TableParagraph"/>
              <w:spacing w:before="17"/>
              <w:ind w:left="0" w:right="4"/>
              <w:jc w:val="center"/>
              <w:rPr>
                <w:sz w:val="22"/>
              </w:rPr>
            </w:pPr>
            <w:r>
              <w:rPr>
                <w:w w:val="100"/>
                <w:sz w:val="22"/>
              </w:rPr>
              <w:t>P</w:t>
            </w:r>
          </w:p>
        </w:tc>
        <w:tc>
          <w:tcPr>
            <w:tcW w:w="1939" w:type="dxa"/>
          </w:tcPr>
          <w:p>
            <w:pPr>
              <w:pStyle w:val="TableParagraph"/>
              <w:spacing w:line="360" w:lineRule="auto" w:before="17"/>
              <w:ind w:left="304" w:right="275" w:hanging="15"/>
              <w:rPr>
                <w:sz w:val="22"/>
              </w:rPr>
            </w:pPr>
            <w:r>
              <w:rPr>
                <w:sz w:val="22"/>
              </w:rPr>
              <w:t>Democracia y voluntariedad</w:t>
            </w:r>
          </w:p>
        </w:tc>
        <w:tc>
          <w:tcPr>
            <w:tcW w:w="961" w:type="dxa"/>
          </w:tcPr>
          <w:p>
            <w:pPr>
              <w:pStyle w:val="TableParagraph"/>
              <w:spacing w:before="17"/>
              <w:ind w:left="269" w:right="274"/>
              <w:jc w:val="center"/>
              <w:rPr>
                <w:sz w:val="22"/>
              </w:rPr>
            </w:pPr>
            <w:r>
              <w:rPr>
                <w:sz w:val="22"/>
              </w:rPr>
              <w:t>128</w:t>
            </w:r>
          </w:p>
        </w:tc>
        <w:tc>
          <w:tcPr>
            <w:tcW w:w="1193" w:type="dxa"/>
          </w:tcPr>
          <w:p>
            <w:pPr>
              <w:pStyle w:val="TableParagraph"/>
              <w:spacing w:before="17"/>
              <w:ind w:left="0"/>
              <w:jc w:val="center"/>
              <w:rPr>
                <w:sz w:val="22"/>
              </w:rPr>
            </w:pPr>
            <w:r>
              <w:rPr>
                <w:w w:val="100"/>
                <w:sz w:val="22"/>
              </w:rPr>
              <w:t>4</w:t>
            </w:r>
          </w:p>
        </w:tc>
        <w:tc>
          <w:tcPr>
            <w:tcW w:w="1390" w:type="dxa"/>
          </w:tcPr>
          <w:p>
            <w:pPr>
              <w:pStyle w:val="TableParagraph"/>
              <w:spacing w:before="17"/>
              <w:ind w:left="90" w:right="86"/>
              <w:jc w:val="center"/>
              <w:rPr>
                <w:sz w:val="22"/>
              </w:rPr>
            </w:pPr>
            <w:r>
              <w:rPr>
                <w:sz w:val="22"/>
              </w:rPr>
              <w:t>1.00</w:t>
            </w:r>
          </w:p>
        </w:tc>
        <w:tc>
          <w:tcPr>
            <w:tcW w:w="1162" w:type="dxa"/>
          </w:tcPr>
          <w:p>
            <w:pPr>
              <w:pStyle w:val="TableParagraph"/>
              <w:spacing w:before="17"/>
              <w:ind w:left="220" w:right="218"/>
              <w:jc w:val="center"/>
              <w:rPr>
                <w:sz w:val="22"/>
              </w:rPr>
            </w:pPr>
            <w:r>
              <w:rPr>
                <w:sz w:val="22"/>
              </w:rPr>
              <w:t>17.063</w:t>
            </w:r>
          </w:p>
        </w:tc>
        <w:tc>
          <w:tcPr>
            <w:tcW w:w="1118" w:type="dxa"/>
          </w:tcPr>
          <w:p>
            <w:pPr>
              <w:pStyle w:val="TableParagraph"/>
              <w:spacing w:before="17"/>
              <w:ind w:left="82" w:right="82"/>
              <w:jc w:val="center"/>
              <w:rPr>
                <w:sz w:val="22"/>
              </w:rPr>
            </w:pPr>
            <w:r>
              <w:rPr>
                <w:sz w:val="22"/>
              </w:rPr>
              <w:t>40</w:t>
            </w:r>
          </w:p>
        </w:tc>
        <w:tc>
          <w:tcPr>
            <w:tcW w:w="1193" w:type="dxa"/>
          </w:tcPr>
          <w:p>
            <w:pPr>
              <w:pStyle w:val="TableParagraph"/>
              <w:spacing w:before="17"/>
              <w:ind w:left="0"/>
              <w:jc w:val="center"/>
              <w:rPr>
                <w:sz w:val="22"/>
              </w:rPr>
            </w:pPr>
            <w:r>
              <w:rPr>
                <w:w w:val="100"/>
                <w:sz w:val="22"/>
              </w:rPr>
              <w:t>4</w:t>
            </w:r>
          </w:p>
        </w:tc>
        <w:tc>
          <w:tcPr>
            <w:tcW w:w="1277" w:type="dxa"/>
          </w:tcPr>
          <w:p>
            <w:pPr>
              <w:pStyle w:val="TableParagraph"/>
              <w:spacing w:before="17"/>
              <w:ind w:left="420" w:right="101"/>
              <w:rPr>
                <w:sz w:val="22"/>
              </w:rPr>
            </w:pPr>
            <w:r>
              <w:rPr>
                <w:sz w:val="22"/>
              </w:rPr>
              <w:t>1.00</w:t>
            </w:r>
          </w:p>
        </w:tc>
        <w:tc>
          <w:tcPr>
            <w:tcW w:w="1274" w:type="dxa"/>
          </w:tcPr>
          <w:p>
            <w:pPr>
              <w:pStyle w:val="TableParagraph"/>
              <w:spacing w:before="17"/>
              <w:ind w:left="295" w:right="98"/>
              <w:rPr>
                <w:sz w:val="22"/>
              </w:rPr>
            </w:pPr>
            <w:r>
              <w:rPr>
                <w:sz w:val="22"/>
              </w:rPr>
              <w:t>16.125</w:t>
            </w:r>
          </w:p>
        </w:tc>
      </w:tr>
      <w:tr>
        <w:trPr>
          <w:trHeight w:val="790" w:hRule="exact"/>
        </w:trPr>
        <w:tc>
          <w:tcPr>
            <w:tcW w:w="960" w:type="dxa"/>
            <w:vMerge/>
            <w:shd w:val="clear" w:color="auto" w:fill="76923B"/>
            <w:textDirection w:val="btLr"/>
          </w:tcPr>
          <w:p>
            <w:pPr/>
          </w:p>
        </w:tc>
        <w:tc>
          <w:tcPr>
            <w:tcW w:w="754" w:type="dxa"/>
            <w:shd w:val="clear" w:color="auto" w:fill="76923B"/>
          </w:tcPr>
          <w:p>
            <w:pPr>
              <w:pStyle w:val="TableParagraph"/>
              <w:spacing w:before="19"/>
              <w:ind w:left="0" w:right="4"/>
              <w:jc w:val="center"/>
              <w:rPr>
                <w:sz w:val="22"/>
              </w:rPr>
            </w:pPr>
            <w:r>
              <w:rPr>
                <w:w w:val="100"/>
                <w:sz w:val="22"/>
              </w:rPr>
              <w:t>P</w:t>
            </w:r>
          </w:p>
        </w:tc>
        <w:tc>
          <w:tcPr>
            <w:tcW w:w="1939" w:type="dxa"/>
          </w:tcPr>
          <w:p>
            <w:pPr>
              <w:pStyle w:val="TableParagraph"/>
              <w:spacing w:line="360" w:lineRule="auto" w:before="19"/>
              <w:ind w:left="684" w:right="317" w:hanging="351"/>
              <w:rPr>
                <w:sz w:val="22"/>
              </w:rPr>
            </w:pPr>
            <w:r>
              <w:rPr>
                <w:sz w:val="22"/>
              </w:rPr>
              <w:t>Participación social</w:t>
            </w:r>
          </w:p>
        </w:tc>
        <w:tc>
          <w:tcPr>
            <w:tcW w:w="961" w:type="dxa"/>
          </w:tcPr>
          <w:p>
            <w:pPr>
              <w:pStyle w:val="TableParagraph"/>
              <w:spacing w:before="19"/>
              <w:ind w:left="269" w:right="274"/>
              <w:jc w:val="center"/>
              <w:rPr>
                <w:sz w:val="22"/>
              </w:rPr>
            </w:pPr>
            <w:r>
              <w:rPr>
                <w:sz w:val="22"/>
              </w:rPr>
              <w:t>127</w:t>
            </w:r>
          </w:p>
        </w:tc>
        <w:tc>
          <w:tcPr>
            <w:tcW w:w="1193" w:type="dxa"/>
          </w:tcPr>
          <w:p>
            <w:pPr>
              <w:pStyle w:val="TableParagraph"/>
              <w:spacing w:before="19"/>
              <w:ind w:left="0"/>
              <w:jc w:val="center"/>
              <w:rPr>
                <w:sz w:val="22"/>
              </w:rPr>
            </w:pPr>
            <w:r>
              <w:rPr>
                <w:w w:val="100"/>
                <w:sz w:val="22"/>
              </w:rPr>
              <w:t>5</w:t>
            </w:r>
          </w:p>
        </w:tc>
        <w:tc>
          <w:tcPr>
            <w:tcW w:w="1390" w:type="dxa"/>
          </w:tcPr>
          <w:p>
            <w:pPr>
              <w:pStyle w:val="TableParagraph"/>
              <w:spacing w:before="19"/>
              <w:ind w:left="90" w:right="86"/>
              <w:jc w:val="center"/>
              <w:rPr>
                <w:sz w:val="22"/>
              </w:rPr>
            </w:pPr>
            <w:r>
              <w:rPr>
                <w:sz w:val="22"/>
              </w:rPr>
              <w:t>1.00</w:t>
            </w:r>
          </w:p>
        </w:tc>
        <w:tc>
          <w:tcPr>
            <w:tcW w:w="1162" w:type="dxa"/>
          </w:tcPr>
          <w:p>
            <w:pPr>
              <w:pStyle w:val="TableParagraph"/>
              <w:spacing w:before="19"/>
              <w:ind w:left="220" w:right="218"/>
              <w:jc w:val="center"/>
              <w:rPr>
                <w:sz w:val="22"/>
              </w:rPr>
            </w:pPr>
            <w:r>
              <w:rPr>
                <w:sz w:val="22"/>
              </w:rPr>
              <w:t>17.063</w:t>
            </w:r>
          </w:p>
        </w:tc>
        <w:tc>
          <w:tcPr>
            <w:tcW w:w="1118" w:type="dxa"/>
          </w:tcPr>
          <w:p>
            <w:pPr>
              <w:pStyle w:val="TableParagraph"/>
              <w:spacing w:before="19"/>
              <w:ind w:left="82" w:right="82"/>
              <w:jc w:val="center"/>
              <w:rPr>
                <w:sz w:val="22"/>
              </w:rPr>
            </w:pPr>
            <w:r>
              <w:rPr>
                <w:sz w:val="22"/>
              </w:rPr>
              <w:t>39</w:t>
            </w:r>
          </w:p>
        </w:tc>
        <w:tc>
          <w:tcPr>
            <w:tcW w:w="1193" w:type="dxa"/>
          </w:tcPr>
          <w:p>
            <w:pPr>
              <w:pStyle w:val="TableParagraph"/>
              <w:spacing w:before="19"/>
              <w:ind w:left="0"/>
              <w:jc w:val="center"/>
              <w:rPr>
                <w:sz w:val="22"/>
              </w:rPr>
            </w:pPr>
            <w:r>
              <w:rPr>
                <w:w w:val="100"/>
                <w:sz w:val="22"/>
              </w:rPr>
              <w:t>5</w:t>
            </w:r>
          </w:p>
        </w:tc>
        <w:tc>
          <w:tcPr>
            <w:tcW w:w="1277" w:type="dxa"/>
          </w:tcPr>
          <w:p>
            <w:pPr>
              <w:pStyle w:val="TableParagraph"/>
              <w:spacing w:before="19"/>
              <w:ind w:left="420" w:right="101"/>
              <w:rPr>
                <w:sz w:val="22"/>
              </w:rPr>
            </w:pPr>
            <w:r>
              <w:rPr>
                <w:sz w:val="22"/>
              </w:rPr>
              <w:t>1.00</w:t>
            </w:r>
          </w:p>
        </w:tc>
        <w:tc>
          <w:tcPr>
            <w:tcW w:w="1274" w:type="dxa"/>
          </w:tcPr>
          <w:p>
            <w:pPr>
              <w:pStyle w:val="TableParagraph"/>
              <w:spacing w:before="19"/>
              <w:ind w:left="295" w:right="98"/>
              <w:rPr>
                <w:sz w:val="22"/>
              </w:rPr>
            </w:pPr>
            <w:r>
              <w:rPr>
                <w:sz w:val="22"/>
              </w:rPr>
              <w:t>16.125</w:t>
            </w:r>
          </w:p>
        </w:tc>
      </w:tr>
      <w:tr>
        <w:trPr>
          <w:trHeight w:val="790" w:hRule="exact"/>
        </w:trPr>
        <w:tc>
          <w:tcPr>
            <w:tcW w:w="960" w:type="dxa"/>
            <w:vMerge/>
            <w:shd w:val="clear" w:color="auto" w:fill="76923B"/>
            <w:textDirection w:val="btLr"/>
          </w:tcPr>
          <w:p>
            <w:pPr/>
          </w:p>
        </w:tc>
        <w:tc>
          <w:tcPr>
            <w:tcW w:w="754" w:type="dxa"/>
            <w:shd w:val="clear" w:color="auto" w:fill="76923B"/>
          </w:tcPr>
          <w:p>
            <w:pPr>
              <w:pStyle w:val="TableParagraph"/>
              <w:spacing w:before="19"/>
              <w:ind w:left="0" w:right="4"/>
              <w:jc w:val="center"/>
              <w:rPr>
                <w:sz w:val="22"/>
              </w:rPr>
            </w:pPr>
            <w:r>
              <w:rPr>
                <w:w w:val="100"/>
                <w:sz w:val="22"/>
              </w:rPr>
              <w:t>P</w:t>
            </w:r>
          </w:p>
        </w:tc>
        <w:tc>
          <w:tcPr>
            <w:tcW w:w="1939" w:type="dxa"/>
          </w:tcPr>
          <w:p>
            <w:pPr>
              <w:pStyle w:val="TableParagraph"/>
              <w:spacing w:line="360" w:lineRule="auto" w:before="19"/>
              <w:ind w:left="170" w:right="149" w:firstLine="249"/>
              <w:rPr>
                <w:sz w:val="22"/>
              </w:rPr>
            </w:pPr>
            <w:r>
              <w:rPr>
                <w:sz w:val="22"/>
              </w:rPr>
              <w:t>Relaciones intermunicipales</w:t>
            </w:r>
          </w:p>
        </w:tc>
        <w:tc>
          <w:tcPr>
            <w:tcW w:w="961" w:type="dxa"/>
          </w:tcPr>
          <w:p>
            <w:pPr>
              <w:pStyle w:val="TableParagraph"/>
              <w:spacing w:before="19"/>
              <w:ind w:left="269" w:right="274"/>
              <w:jc w:val="center"/>
              <w:rPr>
                <w:sz w:val="22"/>
              </w:rPr>
            </w:pPr>
            <w:r>
              <w:rPr>
                <w:sz w:val="22"/>
              </w:rPr>
              <w:t>126</w:t>
            </w:r>
          </w:p>
        </w:tc>
        <w:tc>
          <w:tcPr>
            <w:tcW w:w="1193" w:type="dxa"/>
          </w:tcPr>
          <w:p>
            <w:pPr>
              <w:pStyle w:val="TableParagraph"/>
              <w:spacing w:before="19"/>
              <w:ind w:left="0"/>
              <w:jc w:val="center"/>
              <w:rPr>
                <w:sz w:val="22"/>
              </w:rPr>
            </w:pPr>
            <w:r>
              <w:rPr>
                <w:w w:val="100"/>
                <w:sz w:val="22"/>
              </w:rPr>
              <w:t>6</w:t>
            </w:r>
          </w:p>
        </w:tc>
        <w:tc>
          <w:tcPr>
            <w:tcW w:w="1390" w:type="dxa"/>
          </w:tcPr>
          <w:p>
            <w:pPr>
              <w:pStyle w:val="TableParagraph"/>
              <w:spacing w:before="19"/>
              <w:ind w:left="90" w:right="86"/>
              <w:jc w:val="center"/>
              <w:rPr>
                <w:sz w:val="22"/>
              </w:rPr>
            </w:pPr>
            <w:r>
              <w:rPr>
                <w:sz w:val="22"/>
              </w:rPr>
              <w:t>1.00</w:t>
            </w:r>
          </w:p>
        </w:tc>
        <w:tc>
          <w:tcPr>
            <w:tcW w:w="1162" w:type="dxa"/>
          </w:tcPr>
          <w:p>
            <w:pPr>
              <w:pStyle w:val="TableParagraph"/>
              <w:spacing w:before="19"/>
              <w:ind w:left="220" w:right="218"/>
              <w:jc w:val="center"/>
              <w:rPr>
                <w:sz w:val="22"/>
              </w:rPr>
            </w:pPr>
            <w:r>
              <w:rPr>
                <w:sz w:val="22"/>
              </w:rPr>
              <w:t>17.063</w:t>
            </w:r>
          </w:p>
        </w:tc>
        <w:tc>
          <w:tcPr>
            <w:tcW w:w="1118" w:type="dxa"/>
          </w:tcPr>
          <w:p>
            <w:pPr>
              <w:pStyle w:val="TableParagraph"/>
              <w:spacing w:before="19"/>
              <w:ind w:left="82" w:right="82"/>
              <w:jc w:val="center"/>
              <w:rPr>
                <w:sz w:val="22"/>
              </w:rPr>
            </w:pPr>
            <w:r>
              <w:rPr>
                <w:sz w:val="22"/>
              </w:rPr>
              <w:t>38</w:t>
            </w:r>
          </w:p>
        </w:tc>
        <w:tc>
          <w:tcPr>
            <w:tcW w:w="1193" w:type="dxa"/>
          </w:tcPr>
          <w:p>
            <w:pPr>
              <w:pStyle w:val="TableParagraph"/>
              <w:spacing w:before="19"/>
              <w:ind w:left="0"/>
              <w:jc w:val="center"/>
              <w:rPr>
                <w:sz w:val="22"/>
              </w:rPr>
            </w:pPr>
            <w:r>
              <w:rPr>
                <w:w w:val="100"/>
                <w:sz w:val="22"/>
              </w:rPr>
              <w:t>6</w:t>
            </w:r>
          </w:p>
        </w:tc>
        <w:tc>
          <w:tcPr>
            <w:tcW w:w="1277" w:type="dxa"/>
          </w:tcPr>
          <w:p>
            <w:pPr>
              <w:pStyle w:val="TableParagraph"/>
              <w:spacing w:before="19"/>
              <w:ind w:left="420" w:right="101"/>
              <w:rPr>
                <w:sz w:val="22"/>
              </w:rPr>
            </w:pPr>
            <w:r>
              <w:rPr>
                <w:sz w:val="22"/>
              </w:rPr>
              <w:t>1.00</w:t>
            </w:r>
          </w:p>
        </w:tc>
        <w:tc>
          <w:tcPr>
            <w:tcW w:w="1274" w:type="dxa"/>
          </w:tcPr>
          <w:p>
            <w:pPr>
              <w:pStyle w:val="TableParagraph"/>
              <w:spacing w:before="19"/>
              <w:ind w:left="295" w:right="98"/>
              <w:rPr>
                <w:sz w:val="22"/>
              </w:rPr>
            </w:pPr>
            <w:r>
              <w:rPr>
                <w:sz w:val="22"/>
              </w:rPr>
              <w:t>16.125</w:t>
            </w:r>
          </w:p>
        </w:tc>
      </w:tr>
      <w:tr>
        <w:trPr>
          <w:trHeight w:val="799" w:hRule="exact"/>
        </w:trPr>
        <w:tc>
          <w:tcPr>
            <w:tcW w:w="960" w:type="dxa"/>
            <w:vMerge/>
            <w:tcBorders>
              <w:bottom w:val="single" w:sz="12" w:space="0" w:color="000000"/>
            </w:tcBorders>
            <w:shd w:val="clear" w:color="auto" w:fill="76923B"/>
            <w:textDirection w:val="btLr"/>
          </w:tcPr>
          <w:p>
            <w:pPr/>
          </w:p>
        </w:tc>
        <w:tc>
          <w:tcPr>
            <w:tcW w:w="754" w:type="dxa"/>
            <w:shd w:val="clear" w:color="auto" w:fill="76923B"/>
          </w:tcPr>
          <w:p>
            <w:pPr>
              <w:pStyle w:val="TableParagraph"/>
              <w:spacing w:before="17"/>
              <w:ind w:left="0" w:right="4"/>
              <w:jc w:val="center"/>
              <w:rPr>
                <w:sz w:val="22"/>
              </w:rPr>
            </w:pPr>
            <w:r>
              <w:rPr>
                <w:w w:val="100"/>
                <w:sz w:val="22"/>
              </w:rPr>
              <w:t>P</w:t>
            </w:r>
          </w:p>
        </w:tc>
        <w:tc>
          <w:tcPr>
            <w:tcW w:w="1939" w:type="dxa"/>
          </w:tcPr>
          <w:p>
            <w:pPr>
              <w:pStyle w:val="TableParagraph"/>
              <w:spacing w:line="362" w:lineRule="auto" w:before="17"/>
              <w:ind w:left="364" w:right="322" w:hanging="24"/>
              <w:rPr>
                <w:sz w:val="22"/>
              </w:rPr>
            </w:pPr>
            <w:r>
              <w:rPr>
                <w:sz w:val="22"/>
              </w:rPr>
              <w:t>Cooperación ambiental_1</w:t>
            </w:r>
          </w:p>
        </w:tc>
        <w:tc>
          <w:tcPr>
            <w:tcW w:w="961" w:type="dxa"/>
          </w:tcPr>
          <w:p>
            <w:pPr>
              <w:pStyle w:val="TableParagraph"/>
              <w:spacing w:before="17"/>
              <w:ind w:left="269" w:right="274"/>
              <w:jc w:val="center"/>
              <w:rPr>
                <w:sz w:val="22"/>
              </w:rPr>
            </w:pPr>
            <w:r>
              <w:rPr>
                <w:sz w:val="22"/>
              </w:rPr>
              <w:t>125</w:t>
            </w:r>
          </w:p>
        </w:tc>
        <w:tc>
          <w:tcPr>
            <w:tcW w:w="1193" w:type="dxa"/>
          </w:tcPr>
          <w:p>
            <w:pPr>
              <w:pStyle w:val="TableParagraph"/>
              <w:spacing w:before="17"/>
              <w:ind w:left="0"/>
              <w:jc w:val="center"/>
              <w:rPr>
                <w:sz w:val="22"/>
              </w:rPr>
            </w:pPr>
            <w:r>
              <w:rPr>
                <w:w w:val="100"/>
                <w:sz w:val="22"/>
              </w:rPr>
              <w:t>7</w:t>
            </w:r>
          </w:p>
        </w:tc>
        <w:tc>
          <w:tcPr>
            <w:tcW w:w="1390" w:type="dxa"/>
          </w:tcPr>
          <w:p>
            <w:pPr>
              <w:pStyle w:val="TableParagraph"/>
              <w:spacing w:before="17"/>
              <w:ind w:left="90" w:right="86"/>
              <w:jc w:val="center"/>
              <w:rPr>
                <w:sz w:val="22"/>
              </w:rPr>
            </w:pPr>
            <w:r>
              <w:rPr>
                <w:sz w:val="22"/>
              </w:rPr>
              <w:t>1.00</w:t>
            </w:r>
          </w:p>
        </w:tc>
        <w:tc>
          <w:tcPr>
            <w:tcW w:w="1162" w:type="dxa"/>
          </w:tcPr>
          <w:p>
            <w:pPr>
              <w:pStyle w:val="TableParagraph"/>
              <w:spacing w:before="17"/>
              <w:ind w:left="220" w:right="218"/>
              <w:jc w:val="center"/>
              <w:rPr>
                <w:sz w:val="22"/>
              </w:rPr>
            </w:pPr>
            <w:r>
              <w:rPr>
                <w:sz w:val="22"/>
              </w:rPr>
              <w:t>17.063</w:t>
            </w:r>
          </w:p>
        </w:tc>
        <w:tc>
          <w:tcPr>
            <w:tcW w:w="1118" w:type="dxa"/>
          </w:tcPr>
          <w:p>
            <w:pPr>
              <w:pStyle w:val="TableParagraph"/>
              <w:spacing w:before="17"/>
              <w:ind w:left="82" w:right="82"/>
              <w:jc w:val="center"/>
              <w:rPr>
                <w:sz w:val="22"/>
              </w:rPr>
            </w:pPr>
            <w:r>
              <w:rPr>
                <w:sz w:val="22"/>
              </w:rPr>
              <w:t>37</w:t>
            </w:r>
          </w:p>
        </w:tc>
        <w:tc>
          <w:tcPr>
            <w:tcW w:w="1193" w:type="dxa"/>
          </w:tcPr>
          <w:p>
            <w:pPr>
              <w:pStyle w:val="TableParagraph"/>
              <w:spacing w:before="17"/>
              <w:ind w:left="0"/>
              <w:jc w:val="center"/>
              <w:rPr>
                <w:sz w:val="22"/>
              </w:rPr>
            </w:pPr>
            <w:r>
              <w:rPr>
                <w:w w:val="100"/>
                <w:sz w:val="22"/>
              </w:rPr>
              <w:t>7</w:t>
            </w:r>
          </w:p>
        </w:tc>
        <w:tc>
          <w:tcPr>
            <w:tcW w:w="1277" w:type="dxa"/>
          </w:tcPr>
          <w:p>
            <w:pPr>
              <w:pStyle w:val="TableParagraph"/>
              <w:spacing w:before="17"/>
              <w:ind w:left="420" w:right="101"/>
              <w:rPr>
                <w:sz w:val="22"/>
              </w:rPr>
            </w:pPr>
            <w:r>
              <w:rPr>
                <w:sz w:val="22"/>
              </w:rPr>
              <w:t>1.00</w:t>
            </w:r>
          </w:p>
        </w:tc>
        <w:tc>
          <w:tcPr>
            <w:tcW w:w="1274" w:type="dxa"/>
          </w:tcPr>
          <w:p>
            <w:pPr>
              <w:pStyle w:val="TableParagraph"/>
              <w:spacing w:before="17"/>
              <w:ind w:left="295" w:right="98"/>
              <w:rPr>
                <w:sz w:val="22"/>
              </w:rPr>
            </w:pPr>
            <w:r>
              <w:rPr>
                <w:sz w:val="22"/>
              </w:rPr>
              <w:t>16.125</w:t>
            </w:r>
          </w:p>
        </w:tc>
      </w:tr>
    </w:tbl>
    <w:p>
      <w:pPr>
        <w:spacing w:after="0"/>
        <w:rPr>
          <w:sz w:val="22"/>
        </w:rPr>
        <w:sectPr>
          <w:pgSz w:w="15840" w:h="12240" w:orient="landscape"/>
          <w:pgMar w:header="0" w:footer="943" w:top="1140" w:bottom="120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752"/>
        <w:gridCol w:w="1940"/>
        <w:gridCol w:w="961"/>
        <w:gridCol w:w="1193"/>
        <w:gridCol w:w="1390"/>
        <w:gridCol w:w="1162"/>
        <w:gridCol w:w="1118"/>
        <w:gridCol w:w="1193"/>
        <w:gridCol w:w="1277"/>
        <w:gridCol w:w="1274"/>
      </w:tblGrid>
      <w:tr>
        <w:trPr>
          <w:trHeight w:val="1596" w:hRule="exact"/>
        </w:trPr>
        <w:tc>
          <w:tcPr>
            <w:tcW w:w="960" w:type="dxa"/>
            <w:tcBorders>
              <w:bottom w:val="single" w:sz="12" w:space="0" w:color="000000"/>
            </w:tcBorders>
            <w:shd w:val="clear" w:color="auto" w:fill="76923B"/>
          </w:tcPr>
          <w:p>
            <w:pPr/>
          </w:p>
        </w:tc>
        <w:tc>
          <w:tcPr>
            <w:tcW w:w="752" w:type="dxa"/>
            <w:tcBorders>
              <w:bottom w:val="single" w:sz="12" w:space="0" w:color="000000"/>
            </w:tcBorders>
            <w:shd w:val="clear" w:color="auto" w:fill="76923B"/>
          </w:tcPr>
          <w:p>
            <w:pPr>
              <w:pStyle w:val="TableParagraph"/>
              <w:spacing w:line="251" w:lineRule="exact"/>
              <w:ind w:left="0" w:right="3"/>
              <w:jc w:val="center"/>
              <w:rPr>
                <w:sz w:val="22"/>
              </w:rPr>
            </w:pPr>
            <w:r>
              <w:rPr>
                <w:w w:val="100"/>
                <w:sz w:val="22"/>
              </w:rPr>
              <w:t>P</w:t>
            </w:r>
          </w:p>
        </w:tc>
        <w:tc>
          <w:tcPr>
            <w:tcW w:w="1940" w:type="dxa"/>
            <w:tcBorders>
              <w:bottom w:val="single" w:sz="12" w:space="0" w:color="000000"/>
            </w:tcBorders>
          </w:tcPr>
          <w:p>
            <w:pPr>
              <w:pStyle w:val="TableParagraph"/>
              <w:spacing w:line="360" w:lineRule="auto"/>
              <w:ind w:left="488" w:right="468" w:firstLine="24"/>
              <w:rPr>
                <w:sz w:val="22"/>
              </w:rPr>
            </w:pPr>
            <w:r>
              <w:rPr>
                <w:sz w:val="22"/>
              </w:rPr>
              <w:t>Identidad ambiental</w:t>
            </w:r>
          </w:p>
        </w:tc>
        <w:tc>
          <w:tcPr>
            <w:tcW w:w="961" w:type="dxa"/>
            <w:tcBorders>
              <w:bottom w:val="single" w:sz="12" w:space="0" w:color="000000"/>
            </w:tcBorders>
          </w:tcPr>
          <w:p>
            <w:pPr>
              <w:pStyle w:val="TableParagraph"/>
              <w:spacing w:line="251" w:lineRule="exact"/>
              <w:ind w:left="269" w:right="274"/>
              <w:jc w:val="center"/>
              <w:rPr>
                <w:sz w:val="22"/>
              </w:rPr>
            </w:pPr>
            <w:r>
              <w:rPr>
                <w:sz w:val="22"/>
              </w:rPr>
              <w:t>124</w:t>
            </w:r>
          </w:p>
        </w:tc>
        <w:tc>
          <w:tcPr>
            <w:tcW w:w="1193" w:type="dxa"/>
            <w:tcBorders>
              <w:bottom w:val="single" w:sz="12" w:space="0" w:color="000000"/>
            </w:tcBorders>
          </w:tcPr>
          <w:p>
            <w:pPr>
              <w:pStyle w:val="TableParagraph"/>
              <w:spacing w:line="251" w:lineRule="exact"/>
              <w:ind w:left="0"/>
              <w:jc w:val="center"/>
              <w:rPr>
                <w:sz w:val="22"/>
              </w:rPr>
            </w:pPr>
            <w:r>
              <w:rPr>
                <w:w w:val="100"/>
                <w:sz w:val="22"/>
              </w:rPr>
              <w:t>8</w:t>
            </w:r>
          </w:p>
        </w:tc>
        <w:tc>
          <w:tcPr>
            <w:tcW w:w="1390" w:type="dxa"/>
            <w:tcBorders>
              <w:bottom w:val="single" w:sz="12" w:space="0" w:color="000000"/>
            </w:tcBorders>
          </w:tcPr>
          <w:p>
            <w:pPr>
              <w:pStyle w:val="TableParagraph"/>
              <w:spacing w:line="251" w:lineRule="exact"/>
              <w:ind w:left="90" w:right="86"/>
              <w:jc w:val="center"/>
              <w:rPr>
                <w:sz w:val="22"/>
              </w:rPr>
            </w:pPr>
            <w:r>
              <w:rPr>
                <w:sz w:val="22"/>
              </w:rPr>
              <w:t>1.00</w:t>
            </w:r>
          </w:p>
        </w:tc>
        <w:tc>
          <w:tcPr>
            <w:tcW w:w="1162" w:type="dxa"/>
            <w:tcBorders>
              <w:bottom w:val="single" w:sz="12" w:space="0" w:color="000000"/>
            </w:tcBorders>
          </w:tcPr>
          <w:p>
            <w:pPr>
              <w:pStyle w:val="TableParagraph"/>
              <w:spacing w:line="251" w:lineRule="exact"/>
              <w:ind w:left="0" w:right="235"/>
              <w:jc w:val="right"/>
              <w:rPr>
                <w:sz w:val="22"/>
              </w:rPr>
            </w:pPr>
            <w:r>
              <w:rPr>
                <w:sz w:val="22"/>
              </w:rPr>
              <w:t>17.063</w:t>
            </w:r>
          </w:p>
        </w:tc>
        <w:tc>
          <w:tcPr>
            <w:tcW w:w="1118" w:type="dxa"/>
            <w:tcBorders>
              <w:bottom w:val="single" w:sz="12" w:space="0" w:color="000000"/>
            </w:tcBorders>
          </w:tcPr>
          <w:p>
            <w:pPr>
              <w:pStyle w:val="TableParagraph"/>
              <w:spacing w:line="251" w:lineRule="exact"/>
              <w:ind w:left="432"/>
              <w:rPr>
                <w:sz w:val="22"/>
              </w:rPr>
            </w:pPr>
            <w:r>
              <w:rPr>
                <w:sz w:val="22"/>
              </w:rPr>
              <w:t>36</w:t>
            </w:r>
          </w:p>
        </w:tc>
        <w:tc>
          <w:tcPr>
            <w:tcW w:w="1193" w:type="dxa"/>
            <w:tcBorders>
              <w:bottom w:val="single" w:sz="12" w:space="0" w:color="000000"/>
            </w:tcBorders>
          </w:tcPr>
          <w:p>
            <w:pPr>
              <w:pStyle w:val="TableParagraph"/>
              <w:spacing w:line="251" w:lineRule="exact"/>
              <w:ind w:left="0"/>
              <w:jc w:val="center"/>
              <w:rPr>
                <w:sz w:val="22"/>
              </w:rPr>
            </w:pPr>
            <w:r>
              <w:rPr>
                <w:w w:val="100"/>
                <w:sz w:val="22"/>
              </w:rPr>
              <w:t>8</w:t>
            </w:r>
          </w:p>
        </w:tc>
        <w:tc>
          <w:tcPr>
            <w:tcW w:w="1277" w:type="dxa"/>
            <w:tcBorders>
              <w:bottom w:val="single" w:sz="12" w:space="0" w:color="000000"/>
            </w:tcBorders>
          </w:tcPr>
          <w:p>
            <w:pPr>
              <w:pStyle w:val="TableParagraph"/>
              <w:spacing w:line="251" w:lineRule="exact"/>
              <w:ind w:left="420" w:right="101"/>
              <w:rPr>
                <w:sz w:val="22"/>
              </w:rPr>
            </w:pPr>
            <w:r>
              <w:rPr>
                <w:sz w:val="22"/>
              </w:rPr>
              <w:t>1.00</w:t>
            </w:r>
          </w:p>
        </w:tc>
        <w:tc>
          <w:tcPr>
            <w:tcW w:w="1274" w:type="dxa"/>
            <w:tcBorders>
              <w:bottom w:val="single" w:sz="12" w:space="0" w:color="000000"/>
            </w:tcBorders>
          </w:tcPr>
          <w:p>
            <w:pPr>
              <w:pStyle w:val="TableParagraph"/>
              <w:spacing w:line="251" w:lineRule="exact"/>
              <w:ind w:left="295" w:right="98"/>
              <w:rPr>
                <w:sz w:val="22"/>
              </w:rPr>
            </w:pPr>
            <w:r>
              <w:rPr>
                <w:sz w:val="22"/>
              </w:rPr>
              <w:t>16.125</w:t>
            </w:r>
          </w:p>
        </w:tc>
      </w:tr>
      <w:tr>
        <w:trPr>
          <w:trHeight w:val="778" w:hRule="exact"/>
        </w:trPr>
        <w:tc>
          <w:tcPr>
            <w:tcW w:w="960" w:type="dxa"/>
            <w:vMerge w:val="restart"/>
            <w:tcBorders>
              <w:top w:val="single" w:sz="12" w:space="0" w:color="000000"/>
            </w:tcBorders>
            <w:shd w:val="clear" w:color="auto" w:fill="D99493"/>
            <w:textDirection w:val="btLr"/>
          </w:tcPr>
          <w:p>
            <w:pPr>
              <w:pStyle w:val="TableParagraph"/>
              <w:ind w:left="0"/>
              <w:rPr>
                <w:rFonts w:ascii="Times New Roman"/>
                <w:sz w:val="22"/>
              </w:rPr>
            </w:pPr>
          </w:p>
          <w:p>
            <w:pPr>
              <w:pStyle w:val="TableParagraph"/>
              <w:ind w:left="0"/>
              <w:rPr>
                <w:rFonts w:ascii="Times New Roman"/>
                <w:sz w:val="21"/>
              </w:rPr>
            </w:pPr>
          </w:p>
          <w:p>
            <w:pPr>
              <w:pStyle w:val="TableParagraph"/>
              <w:ind w:left="2190" w:right="2188"/>
              <w:jc w:val="center"/>
              <w:rPr>
                <w:b/>
                <w:sz w:val="22"/>
              </w:rPr>
            </w:pPr>
            <w:r>
              <w:rPr>
                <w:b/>
                <w:spacing w:val="-1"/>
                <w:w w:val="100"/>
                <w:sz w:val="22"/>
              </w:rPr>
              <w:t>S</w:t>
            </w:r>
            <w:r>
              <w:rPr>
                <w:b/>
                <w:w w:val="100"/>
                <w:sz w:val="22"/>
              </w:rPr>
              <w:t>O</w:t>
            </w:r>
            <w:r>
              <w:rPr>
                <w:b/>
                <w:spacing w:val="-2"/>
                <w:w w:val="100"/>
                <w:sz w:val="22"/>
              </w:rPr>
              <w:t>C</w:t>
            </w:r>
            <w:r>
              <w:rPr>
                <w:b/>
                <w:spacing w:val="-2"/>
                <w:w w:val="100"/>
                <w:sz w:val="22"/>
              </w:rPr>
              <w:t>I</w:t>
            </w:r>
            <w:r>
              <w:rPr>
                <w:b/>
                <w:w w:val="100"/>
                <w:sz w:val="22"/>
              </w:rPr>
              <w:t>O</w:t>
            </w:r>
            <w:r>
              <w:rPr>
                <w:b/>
                <w:spacing w:val="-1"/>
                <w:w w:val="100"/>
                <w:sz w:val="22"/>
              </w:rPr>
              <w:t>P</w:t>
            </w:r>
            <w:r>
              <w:rPr>
                <w:b/>
                <w:w w:val="100"/>
                <w:sz w:val="22"/>
              </w:rPr>
              <w:t>O</w:t>
            </w:r>
            <w:r>
              <w:rPr>
                <w:b/>
                <w:spacing w:val="-3"/>
                <w:w w:val="100"/>
                <w:sz w:val="22"/>
              </w:rPr>
              <w:t>L</w:t>
            </w:r>
            <w:r>
              <w:rPr>
                <w:b/>
                <w:w w:val="100"/>
                <w:sz w:val="22"/>
              </w:rPr>
              <w:t>Í</w:t>
            </w:r>
            <w:r>
              <w:rPr>
                <w:b/>
                <w:w w:val="100"/>
                <w:sz w:val="22"/>
              </w:rPr>
              <w:t>TICA</w:t>
            </w:r>
          </w:p>
        </w:tc>
        <w:tc>
          <w:tcPr>
            <w:tcW w:w="752" w:type="dxa"/>
            <w:tcBorders>
              <w:top w:val="single" w:sz="12" w:space="0" w:color="000000"/>
            </w:tcBorders>
            <w:shd w:val="clear" w:color="auto" w:fill="D99493"/>
          </w:tcPr>
          <w:p>
            <w:pPr>
              <w:pStyle w:val="TableParagraph"/>
              <w:spacing w:line="251" w:lineRule="exact"/>
              <w:ind w:left="0" w:right="3"/>
              <w:jc w:val="center"/>
              <w:rPr>
                <w:sz w:val="22"/>
              </w:rPr>
            </w:pPr>
            <w:r>
              <w:rPr>
                <w:w w:val="100"/>
                <w:sz w:val="22"/>
              </w:rPr>
              <w:t>P</w:t>
            </w:r>
          </w:p>
        </w:tc>
        <w:tc>
          <w:tcPr>
            <w:tcW w:w="1940" w:type="dxa"/>
            <w:tcBorders>
              <w:top w:val="single" w:sz="12" w:space="0" w:color="000000"/>
            </w:tcBorders>
          </w:tcPr>
          <w:p>
            <w:pPr>
              <w:pStyle w:val="TableParagraph"/>
              <w:spacing w:line="360" w:lineRule="auto"/>
              <w:ind w:left="361" w:right="339" w:firstLine="230"/>
              <w:rPr>
                <w:sz w:val="22"/>
              </w:rPr>
            </w:pPr>
            <w:r>
              <w:rPr>
                <w:sz w:val="22"/>
              </w:rPr>
              <w:t>Historia sociopolítica</w:t>
            </w:r>
          </w:p>
        </w:tc>
        <w:tc>
          <w:tcPr>
            <w:tcW w:w="961" w:type="dxa"/>
            <w:tcBorders>
              <w:top w:val="single" w:sz="12" w:space="0" w:color="000000"/>
            </w:tcBorders>
          </w:tcPr>
          <w:p>
            <w:pPr>
              <w:pStyle w:val="TableParagraph"/>
              <w:spacing w:line="251" w:lineRule="exact"/>
              <w:ind w:left="269" w:right="272"/>
              <w:jc w:val="center"/>
              <w:rPr>
                <w:sz w:val="22"/>
              </w:rPr>
            </w:pPr>
            <w:r>
              <w:rPr>
                <w:sz w:val="22"/>
              </w:rPr>
              <w:t>88</w:t>
            </w:r>
          </w:p>
        </w:tc>
        <w:tc>
          <w:tcPr>
            <w:tcW w:w="1193" w:type="dxa"/>
            <w:tcBorders>
              <w:top w:val="single" w:sz="12" w:space="0" w:color="000000"/>
            </w:tcBorders>
          </w:tcPr>
          <w:p>
            <w:pPr>
              <w:pStyle w:val="TableParagraph"/>
              <w:spacing w:line="251" w:lineRule="exact"/>
              <w:ind w:left="121" w:right="121"/>
              <w:jc w:val="center"/>
              <w:rPr>
                <w:sz w:val="22"/>
              </w:rPr>
            </w:pPr>
            <w:r>
              <w:rPr>
                <w:sz w:val="22"/>
              </w:rPr>
              <w:t>35</w:t>
            </w:r>
          </w:p>
        </w:tc>
        <w:tc>
          <w:tcPr>
            <w:tcW w:w="1390" w:type="dxa"/>
            <w:tcBorders>
              <w:top w:val="single" w:sz="12" w:space="0" w:color="000000"/>
            </w:tcBorders>
          </w:tcPr>
          <w:p>
            <w:pPr>
              <w:pStyle w:val="TableParagraph"/>
              <w:spacing w:line="251" w:lineRule="exact"/>
              <w:ind w:left="91" w:right="86"/>
              <w:jc w:val="center"/>
              <w:rPr>
                <w:sz w:val="22"/>
              </w:rPr>
            </w:pPr>
            <w:r>
              <w:rPr>
                <w:sz w:val="22"/>
              </w:rPr>
              <w:t>0.0625</w:t>
            </w:r>
          </w:p>
        </w:tc>
        <w:tc>
          <w:tcPr>
            <w:tcW w:w="1162" w:type="dxa"/>
            <w:tcBorders>
              <w:top w:val="single" w:sz="12" w:space="0" w:color="000000"/>
            </w:tcBorders>
          </w:tcPr>
          <w:p>
            <w:pPr>
              <w:pStyle w:val="TableParagraph"/>
              <w:spacing w:line="251" w:lineRule="exact"/>
              <w:ind w:left="0" w:right="297"/>
              <w:jc w:val="right"/>
              <w:rPr>
                <w:sz w:val="22"/>
              </w:rPr>
            </w:pPr>
            <w:r>
              <w:rPr>
                <w:sz w:val="22"/>
              </w:rPr>
              <w:t>0.930</w:t>
            </w:r>
          </w:p>
        </w:tc>
        <w:tc>
          <w:tcPr>
            <w:tcW w:w="1118" w:type="dxa"/>
            <w:tcBorders>
              <w:top w:val="single" w:sz="12" w:space="0" w:color="000000"/>
            </w:tcBorders>
          </w:tcPr>
          <w:p>
            <w:pPr>
              <w:pStyle w:val="TableParagraph"/>
              <w:spacing w:line="251" w:lineRule="exact"/>
              <w:ind w:left="432"/>
              <w:rPr>
                <w:sz w:val="22"/>
              </w:rPr>
            </w:pPr>
            <w:r>
              <w:rPr>
                <w:sz w:val="22"/>
              </w:rPr>
              <w:t>43</w:t>
            </w:r>
          </w:p>
        </w:tc>
        <w:tc>
          <w:tcPr>
            <w:tcW w:w="1193" w:type="dxa"/>
            <w:tcBorders>
              <w:top w:val="single" w:sz="12" w:space="0" w:color="000000"/>
            </w:tcBorders>
          </w:tcPr>
          <w:p>
            <w:pPr>
              <w:pStyle w:val="TableParagraph"/>
              <w:spacing w:line="251" w:lineRule="exact"/>
              <w:ind w:left="0"/>
              <w:jc w:val="center"/>
              <w:rPr>
                <w:sz w:val="22"/>
              </w:rPr>
            </w:pPr>
            <w:r>
              <w:rPr>
                <w:w w:val="100"/>
                <w:sz w:val="22"/>
              </w:rPr>
              <w:t>1</w:t>
            </w:r>
          </w:p>
        </w:tc>
        <w:tc>
          <w:tcPr>
            <w:tcW w:w="1277" w:type="dxa"/>
            <w:tcBorders>
              <w:top w:val="single" w:sz="12" w:space="0" w:color="000000"/>
            </w:tcBorders>
          </w:tcPr>
          <w:p>
            <w:pPr>
              <w:pStyle w:val="TableParagraph"/>
              <w:spacing w:line="251" w:lineRule="exact"/>
              <w:ind w:left="420" w:right="101"/>
              <w:rPr>
                <w:sz w:val="22"/>
              </w:rPr>
            </w:pPr>
            <w:r>
              <w:rPr>
                <w:sz w:val="22"/>
              </w:rPr>
              <w:t>1.00</w:t>
            </w:r>
          </w:p>
        </w:tc>
        <w:tc>
          <w:tcPr>
            <w:tcW w:w="1274" w:type="dxa"/>
            <w:tcBorders>
              <w:top w:val="single" w:sz="12" w:space="0" w:color="000000"/>
            </w:tcBorders>
          </w:tcPr>
          <w:p>
            <w:pPr>
              <w:pStyle w:val="TableParagraph"/>
              <w:spacing w:line="251" w:lineRule="exact"/>
              <w:ind w:left="295" w:right="98"/>
              <w:rPr>
                <w:sz w:val="22"/>
              </w:rPr>
            </w:pPr>
            <w:r>
              <w:rPr>
                <w:sz w:val="22"/>
              </w:rPr>
              <w:t>16.875</w:t>
            </w:r>
          </w:p>
        </w:tc>
      </w:tr>
      <w:tr>
        <w:trPr>
          <w:trHeight w:val="770" w:hRule="exact"/>
        </w:trPr>
        <w:tc>
          <w:tcPr>
            <w:tcW w:w="960" w:type="dxa"/>
            <w:vMerge/>
            <w:shd w:val="clear" w:color="auto" w:fill="D99493"/>
            <w:textDirection w:val="btLr"/>
          </w:tcPr>
          <w:p>
            <w:pPr/>
          </w:p>
        </w:tc>
        <w:tc>
          <w:tcPr>
            <w:tcW w:w="752" w:type="dxa"/>
            <w:shd w:val="clear" w:color="auto" w:fill="D99493"/>
          </w:tcPr>
          <w:p>
            <w:pPr>
              <w:pStyle w:val="TableParagraph"/>
              <w:spacing w:line="251" w:lineRule="exact"/>
              <w:ind w:left="0" w:right="3"/>
              <w:jc w:val="center"/>
              <w:rPr>
                <w:sz w:val="22"/>
              </w:rPr>
            </w:pPr>
            <w:r>
              <w:rPr>
                <w:w w:val="100"/>
                <w:sz w:val="22"/>
              </w:rPr>
              <w:t>P</w:t>
            </w:r>
          </w:p>
        </w:tc>
        <w:tc>
          <w:tcPr>
            <w:tcW w:w="1940" w:type="dxa"/>
          </w:tcPr>
          <w:p>
            <w:pPr>
              <w:pStyle w:val="TableParagraph"/>
              <w:spacing w:line="362" w:lineRule="auto"/>
              <w:ind w:left="361" w:right="339" w:firstLine="309"/>
              <w:rPr>
                <w:sz w:val="22"/>
              </w:rPr>
            </w:pPr>
            <w:r>
              <w:rPr>
                <w:sz w:val="22"/>
              </w:rPr>
              <w:t>Poder sociopolítico</w:t>
            </w:r>
          </w:p>
        </w:tc>
        <w:tc>
          <w:tcPr>
            <w:tcW w:w="961" w:type="dxa"/>
          </w:tcPr>
          <w:p>
            <w:pPr>
              <w:pStyle w:val="TableParagraph"/>
              <w:spacing w:line="251" w:lineRule="exact"/>
              <w:ind w:left="269" w:right="272"/>
              <w:jc w:val="center"/>
              <w:rPr>
                <w:sz w:val="22"/>
              </w:rPr>
            </w:pPr>
            <w:r>
              <w:rPr>
                <w:sz w:val="22"/>
              </w:rPr>
              <w:t>87</w:t>
            </w:r>
          </w:p>
        </w:tc>
        <w:tc>
          <w:tcPr>
            <w:tcW w:w="1193" w:type="dxa"/>
          </w:tcPr>
          <w:p>
            <w:pPr>
              <w:pStyle w:val="TableParagraph"/>
              <w:spacing w:line="251" w:lineRule="exact"/>
              <w:ind w:left="121" w:right="121"/>
              <w:jc w:val="center"/>
              <w:rPr>
                <w:sz w:val="22"/>
              </w:rPr>
            </w:pPr>
            <w:r>
              <w:rPr>
                <w:sz w:val="22"/>
              </w:rPr>
              <w:t>36</w:t>
            </w:r>
          </w:p>
        </w:tc>
        <w:tc>
          <w:tcPr>
            <w:tcW w:w="1390" w:type="dxa"/>
          </w:tcPr>
          <w:p>
            <w:pPr>
              <w:pStyle w:val="TableParagraph"/>
              <w:spacing w:line="251" w:lineRule="exact"/>
              <w:ind w:left="91" w:right="86"/>
              <w:jc w:val="center"/>
              <w:rPr>
                <w:sz w:val="22"/>
              </w:rPr>
            </w:pPr>
            <w:r>
              <w:rPr>
                <w:sz w:val="22"/>
              </w:rPr>
              <w:t>0.0625</w:t>
            </w:r>
          </w:p>
        </w:tc>
        <w:tc>
          <w:tcPr>
            <w:tcW w:w="1162" w:type="dxa"/>
          </w:tcPr>
          <w:p>
            <w:pPr>
              <w:pStyle w:val="TableParagraph"/>
              <w:spacing w:line="251" w:lineRule="exact"/>
              <w:ind w:left="0" w:right="297"/>
              <w:jc w:val="right"/>
              <w:rPr>
                <w:sz w:val="22"/>
              </w:rPr>
            </w:pPr>
            <w:r>
              <w:rPr>
                <w:sz w:val="22"/>
              </w:rPr>
              <w:t>0.930</w:t>
            </w:r>
          </w:p>
        </w:tc>
        <w:tc>
          <w:tcPr>
            <w:tcW w:w="1118" w:type="dxa"/>
          </w:tcPr>
          <w:p>
            <w:pPr>
              <w:pStyle w:val="TableParagraph"/>
              <w:spacing w:line="251" w:lineRule="exact"/>
              <w:ind w:left="432"/>
              <w:rPr>
                <w:sz w:val="22"/>
              </w:rPr>
            </w:pPr>
            <w:r>
              <w:rPr>
                <w:sz w:val="22"/>
              </w:rPr>
              <w:t>42</w:t>
            </w:r>
          </w:p>
        </w:tc>
        <w:tc>
          <w:tcPr>
            <w:tcW w:w="1193" w:type="dxa"/>
          </w:tcPr>
          <w:p>
            <w:pPr>
              <w:pStyle w:val="TableParagraph"/>
              <w:spacing w:line="251" w:lineRule="exact"/>
              <w:ind w:left="0"/>
              <w:jc w:val="center"/>
              <w:rPr>
                <w:sz w:val="22"/>
              </w:rPr>
            </w:pPr>
            <w:r>
              <w:rPr>
                <w:w w:val="100"/>
                <w:sz w:val="22"/>
              </w:rPr>
              <w:t>2</w:t>
            </w:r>
          </w:p>
        </w:tc>
        <w:tc>
          <w:tcPr>
            <w:tcW w:w="1277" w:type="dxa"/>
          </w:tcPr>
          <w:p>
            <w:pPr>
              <w:pStyle w:val="TableParagraph"/>
              <w:spacing w:line="251" w:lineRule="exact"/>
              <w:ind w:left="420" w:right="101"/>
              <w:rPr>
                <w:sz w:val="22"/>
              </w:rPr>
            </w:pPr>
            <w:r>
              <w:rPr>
                <w:sz w:val="22"/>
              </w:rPr>
              <w:t>1.00</w:t>
            </w:r>
          </w:p>
        </w:tc>
        <w:tc>
          <w:tcPr>
            <w:tcW w:w="1274" w:type="dxa"/>
          </w:tcPr>
          <w:p>
            <w:pPr>
              <w:pStyle w:val="TableParagraph"/>
              <w:spacing w:line="251" w:lineRule="exact"/>
              <w:ind w:left="295" w:right="98"/>
              <w:rPr>
                <w:sz w:val="22"/>
              </w:rPr>
            </w:pPr>
            <w:r>
              <w:rPr>
                <w:sz w:val="22"/>
              </w:rPr>
              <w:t>16.875</w:t>
            </w:r>
          </w:p>
        </w:tc>
      </w:tr>
      <w:tr>
        <w:trPr>
          <w:trHeight w:val="768" w:hRule="exact"/>
        </w:trPr>
        <w:tc>
          <w:tcPr>
            <w:tcW w:w="960" w:type="dxa"/>
            <w:vMerge/>
            <w:shd w:val="clear" w:color="auto" w:fill="D99493"/>
            <w:textDirection w:val="btLr"/>
          </w:tcPr>
          <w:p>
            <w:pPr/>
          </w:p>
        </w:tc>
        <w:tc>
          <w:tcPr>
            <w:tcW w:w="752" w:type="dxa"/>
            <w:shd w:val="clear" w:color="auto" w:fill="D99493"/>
          </w:tcPr>
          <w:p>
            <w:pPr>
              <w:pStyle w:val="TableParagraph"/>
              <w:spacing w:line="251" w:lineRule="exact"/>
              <w:ind w:left="0" w:right="3"/>
              <w:jc w:val="center"/>
              <w:rPr>
                <w:sz w:val="22"/>
              </w:rPr>
            </w:pPr>
            <w:r>
              <w:rPr>
                <w:w w:val="100"/>
                <w:sz w:val="22"/>
              </w:rPr>
              <w:t>P</w:t>
            </w:r>
          </w:p>
        </w:tc>
        <w:tc>
          <w:tcPr>
            <w:tcW w:w="1940" w:type="dxa"/>
          </w:tcPr>
          <w:p>
            <w:pPr>
              <w:pStyle w:val="TableParagraph"/>
              <w:spacing w:line="360" w:lineRule="auto"/>
              <w:ind w:left="361" w:right="339" w:firstLine="249"/>
              <w:rPr>
                <w:sz w:val="22"/>
              </w:rPr>
            </w:pPr>
            <w:r>
              <w:rPr>
                <w:sz w:val="22"/>
              </w:rPr>
              <w:t>Cultura sociopolítica</w:t>
            </w:r>
          </w:p>
        </w:tc>
        <w:tc>
          <w:tcPr>
            <w:tcW w:w="961" w:type="dxa"/>
          </w:tcPr>
          <w:p>
            <w:pPr>
              <w:pStyle w:val="TableParagraph"/>
              <w:spacing w:line="251" w:lineRule="exact"/>
              <w:ind w:left="269" w:right="272"/>
              <w:jc w:val="center"/>
              <w:rPr>
                <w:sz w:val="22"/>
              </w:rPr>
            </w:pPr>
            <w:r>
              <w:rPr>
                <w:sz w:val="22"/>
              </w:rPr>
              <w:t>86</w:t>
            </w:r>
          </w:p>
        </w:tc>
        <w:tc>
          <w:tcPr>
            <w:tcW w:w="1193" w:type="dxa"/>
          </w:tcPr>
          <w:p>
            <w:pPr>
              <w:pStyle w:val="TableParagraph"/>
              <w:spacing w:line="251" w:lineRule="exact"/>
              <w:ind w:left="121" w:right="121"/>
              <w:jc w:val="center"/>
              <w:rPr>
                <w:sz w:val="22"/>
              </w:rPr>
            </w:pPr>
            <w:r>
              <w:rPr>
                <w:sz w:val="22"/>
              </w:rPr>
              <w:t>37</w:t>
            </w:r>
          </w:p>
        </w:tc>
        <w:tc>
          <w:tcPr>
            <w:tcW w:w="1390" w:type="dxa"/>
          </w:tcPr>
          <w:p>
            <w:pPr>
              <w:pStyle w:val="TableParagraph"/>
              <w:spacing w:line="251" w:lineRule="exact"/>
              <w:ind w:left="91" w:right="86"/>
              <w:jc w:val="center"/>
              <w:rPr>
                <w:sz w:val="22"/>
              </w:rPr>
            </w:pPr>
            <w:r>
              <w:rPr>
                <w:sz w:val="22"/>
              </w:rPr>
              <w:t>0.0625</w:t>
            </w:r>
          </w:p>
        </w:tc>
        <w:tc>
          <w:tcPr>
            <w:tcW w:w="1162" w:type="dxa"/>
          </w:tcPr>
          <w:p>
            <w:pPr>
              <w:pStyle w:val="TableParagraph"/>
              <w:spacing w:line="251" w:lineRule="exact"/>
              <w:ind w:left="0" w:right="297"/>
              <w:jc w:val="right"/>
              <w:rPr>
                <w:sz w:val="22"/>
              </w:rPr>
            </w:pPr>
            <w:r>
              <w:rPr>
                <w:sz w:val="22"/>
              </w:rPr>
              <w:t>0.930</w:t>
            </w:r>
          </w:p>
        </w:tc>
        <w:tc>
          <w:tcPr>
            <w:tcW w:w="1118" w:type="dxa"/>
          </w:tcPr>
          <w:p>
            <w:pPr>
              <w:pStyle w:val="TableParagraph"/>
              <w:spacing w:line="251" w:lineRule="exact"/>
              <w:ind w:left="432"/>
              <w:rPr>
                <w:sz w:val="22"/>
              </w:rPr>
            </w:pPr>
            <w:r>
              <w:rPr>
                <w:sz w:val="22"/>
              </w:rPr>
              <w:t>41</w:t>
            </w:r>
          </w:p>
        </w:tc>
        <w:tc>
          <w:tcPr>
            <w:tcW w:w="1193" w:type="dxa"/>
          </w:tcPr>
          <w:p>
            <w:pPr>
              <w:pStyle w:val="TableParagraph"/>
              <w:spacing w:line="251" w:lineRule="exact"/>
              <w:ind w:left="0"/>
              <w:jc w:val="center"/>
              <w:rPr>
                <w:sz w:val="22"/>
              </w:rPr>
            </w:pPr>
            <w:r>
              <w:rPr>
                <w:w w:val="100"/>
                <w:sz w:val="22"/>
              </w:rPr>
              <w:t>3</w:t>
            </w:r>
          </w:p>
        </w:tc>
        <w:tc>
          <w:tcPr>
            <w:tcW w:w="1277" w:type="dxa"/>
          </w:tcPr>
          <w:p>
            <w:pPr>
              <w:pStyle w:val="TableParagraph"/>
              <w:spacing w:line="251" w:lineRule="exact"/>
              <w:ind w:left="420" w:right="101"/>
              <w:rPr>
                <w:sz w:val="22"/>
              </w:rPr>
            </w:pPr>
            <w:r>
              <w:rPr>
                <w:sz w:val="22"/>
              </w:rPr>
              <w:t>1.00</w:t>
            </w:r>
          </w:p>
        </w:tc>
        <w:tc>
          <w:tcPr>
            <w:tcW w:w="1274" w:type="dxa"/>
          </w:tcPr>
          <w:p>
            <w:pPr>
              <w:pStyle w:val="TableParagraph"/>
              <w:spacing w:line="251" w:lineRule="exact"/>
              <w:ind w:left="295" w:right="98"/>
              <w:rPr>
                <w:sz w:val="22"/>
              </w:rPr>
            </w:pPr>
            <w:r>
              <w:rPr>
                <w:sz w:val="22"/>
              </w:rPr>
              <w:t>16.875</w:t>
            </w:r>
          </w:p>
        </w:tc>
      </w:tr>
      <w:tr>
        <w:trPr>
          <w:trHeight w:val="768" w:hRule="exact"/>
        </w:trPr>
        <w:tc>
          <w:tcPr>
            <w:tcW w:w="960" w:type="dxa"/>
            <w:vMerge/>
            <w:shd w:val="clear" w:color="auto" w:fill="D99493"/>
            <w:textDirection w:val="btLr"/>
          </w:tcPr>
          <w:p>
            <w:pPr/>
          </w:p>
        </w:tc>
        <w:tc>
          <w:tcPr>
            <w:tcW w:w="752" w:type="dxa"/>
            <w:tcBorders>
              <w:bottom w:val="single" w:sz="4" w:space="0" w:color="000000"/>
            </w:tcBorders>
            <w:shd w:val="clear" w:color="auto" w:fill="D99493"/>
          </w:tcPr>
          <w:p>
            <w:pPr>
              <w:pStyle w:val="TableParagraph"/>
              <w:spacing w:line="251" w:lineRule="exact"/>
              <w:ind w:left="0" w:right="3"/>
              <w:jc w:val="center"/>
              <w:rPr>
                <w:sz w:val="22"/>
              </w:rPr>
            </w:pPr>
            <w:r>
              <w:rPr>
                <w:w w:val="100"/>
                <w:sz w:val="22"/>
              </w:rPr>
              <w:t>P</w:t>
            </w:r>
          </w:p>
        </w:tc>
        <w:tc>
          <w:tcPr>
            <w:tcW w:w="1940" w:type="dxa"/>
            <w:tcBorders>
              <w:bottom w:val="single" w:sz="4" w:space="0" w:color="000000"/>
            </w:tcBorders>
          </w:tcPr>
          <w:p>
            <w:pPr>
              <w:pStyle w:val="TableParagraph"/>
              <w:spacing w:line="360" w:lineRule="auto"/>
              <w:ind w:left="305" w:right="276" w:hanging="15"/>
              <w:rPr>
                <w:sz w:val="22"/>
              </w:rPr>
            </w:pPr>
            <w:r>
              <w:rPr>
                <w:sz w:val="22"/>
              </w:rPr>
              <w:t>Democracia y voluntariedad</w:t>
            </w:r>
          </w:p>
        </w:tc>
        <w:tc>
          <w:tcPr>
            <w:tcW w:w="961" w:type="dxa"/>
            <w:tcBorders>
              <w:bottom w:val="single" w:sz="4" w:space="0" w:color="000000"/>
            </w:tcBorders>
          </w:tcPr>
          <w:p>
            <w:pPr>
              <w:pStyle w:val="TableParagraph"/>
              <w:spacing w:line="251" w:lineRule="exact"/>
              <w:ind w:left="269" w:right="272"/>
              <w:jc w:val="center"/>
              <w:rPr>
                <w:sz w:val="22"/>
              </w:rPr>
            </w:pPr>
            <w:r>
              <w:rPr>
                <w:sz w:val="22"/>
              </w:rPr>
              <w:t>85</w:t>
            </w:r>
          </w:p>
        </w:tc>
        <w:tc>
          <w:tcPr>
            <w:tcW w:w="1193" w:type="dxa"/>
            <w:tcBorders>
              <w:bottom w:val="single" w:sz="4" w:space="0" w:color="000000"/>
            </w:tcBorders>
          </w:tcPr>
          <w:p>
            <w:pPr>
              <w:pStyle w:val="TableParagraph"/>
              <w:spacing w:line="251" w:lineRule="exact"/>
              <w:ind w:left="121" w:right="121"/>
              <w:jc w:val="center"/>
              <w:rPr>
                <w:sz w:val="22"/>
              </w:rPr>
            </w:pPr>
            <w:r>
              <w:rPr>
                <w:sz w:val="22"/>
              </w:rPr>
              <w:t>38</w:t>
            </w:r>
          </w:p>
        </w:tc>
        <w:tc>
          <w:tcPr>
            <w:tcW w:w="1390" w:type="dxa"/>
            <w:tcBorders>
              <w:bottom w:val="single" w:sz="4" w:space="0" w:color="000000"/>
            </w:tcBorders>
          </w:tcPr>
          <w:p>
            <w:pPr>
              <w:pStyle w:val="TableParagraph"/>
              <w:spacing w:line="251" w:lineRule="exact"/>
              <w:ind w:left="91" w:right="86"/>
              <w:jc w:val="center"/>
              <w:rPr>
                <w:sz w:val="22"/>
              </w:rPr>
            </w:pPr>
            <w:r>
              <w:rPr>
                <w:sz w:val="22"/>
              </w:rPr>
              <w:t>0.0625</w:t>
            </w:r>
          </w:p>
        </w:tc>
        <w:tc>
          <w:tcPr>
            <w:tcW w:w="1162" w:type="dxa"/>
            <w:tcBorders>
              <w:bottom w:val="single" w:sz="4" w:space="0" w:color="000000"/>
            </w:tcBorders>
          </w:tcPr>
          <w:p>
            <w:pPr>
              <w:pStyle w:val="TableParagraph"/>
              <w:spacing w:line="251" w:lineRule="exact"/>
              <w:ind w:left="0" w:right="297"/>
              <w:jc w:val="right"/>
              <w:rPr>
                <w:sz w:val="22"/>
              </w:rPr>
            </w:pPr>
            <w:r>
              <w:rPr>
                <w:sz w:val="22"/>
              </w:rPr>
              <w:t>0.930</w:t>
            </w:r>
          </w:p>
        </w:tc>
        <w:tc>
          <w:tcPr>
            <w:tcW w:w="1118" w:type="dxa"/>
            <w:tcBorders>
              <w:bottom w:val="single" w:sz="4" w:space="0" w:color="000000"/>
            </w:tcBorders>
          </w:tcPr>
          <w:p>
            <w:pPr>
              <w:pStyle w:val="TableParagraph"/>
              <w:spacing w:line="251" w:lineRule="exact"/>
              <w:ind w:left="432"/>
              <w:rPr>
                <w:sz w:val="22"/>
              </w:rPr>
            </w:pPr>
            <w:r>
              <w:rPr>
                <w:sz w:val="22"/>
              </w:rPr>
              <w:t>40</w:t>
            </w:r>
          </w:p>
        </w:tc>
        <w:tc>
          <w:tcPr>
            <w:tcW w:w="1193" w:type="dxa"/>
            <w:tcBorders>
              <w:bottom w:val="single" w:sz="4" w:space="0" w:color="000000"/>
            </w:tcBorders>
          </w:tcPr>
          <w:p>
            <w:pPr>
              <w:pStyle w:val="TableParagraph"/>
              <w:spacing w:line="251" w:lineRule="exact"/>
              <w:ind w:left="0"/>
              <w:jc w:val="center"/>
              <w:rPr>
                <w:sz w:val="22"/>
              </w:rPr>
            </w:pPr>
            <w:r>
              <w:rPr>
                <w:w w:val="100"/>
                <w:sz w:val="22"/>
              </w:rPr>
              <w:t>4</w:t>
            </w:r>
          </w:p>
        </w:tc>
        <w:tc>
          <w:tcPr>
            <w:tcW w:w="1277" w:type="dxa"/>
            <w:tcBorders>
              <w:bottom w:val="single" w:sz="4" w:space="0" w:color="000000"/>
            </w:tcBorders>
          </w:tcPr>
          <w:p>
            <w:pPr>
              <w:pStyle w:val="TableParagraph"/>
              <w:spacing w:line="251" w:lineRule="exact"/>
              <w:ind w:left="420" w:right="101"/>
              <w:rPr>
                <w:sz w:val="22"/>
              </w:rPr>
            </w:pPr>
            <w:r>
              <w:rPr>
                <w:sz w:val="22"/>
              </w:rPr>
              <w:t>1.00</w:t>
            </w:r>
          </w:p>
        </w:tc>
        <w:tc>
          <w:tcPr>
            <w:tcW w:w="1274" w:type="dxa"/>
            <w:tcBorders>
              <w:bottom w:val="single" w:sz="4" w:space="0" w:color="000000"/>
            </w:tcBorders>
          </w:tcPr>
          <w:p>
            <w:pPr>
              <w:pStyle w:val="TableParagraph"/>
              <w:spacing w:line="251" w:lineRule="exact"/>
              <w:ind w:left="295" w:right="98"/>
              <w:rPr>
                <w:sz w:val="22"/>
              </w:rPr>
            </w:pPr>
            <w:r>
              <w:rPr>
                <w:sz w:val="22"/>
              </w:rPr>
              <w:t>16.875</w:t>
            </w:r>
          </w:p>
        </w:tc>
      </w:tr>
      <w:tr>
        <w:trPr>
          <w:trHeight w:val="771" w:hRule="exact"/>
        </w:trPr>
        <w:tc>
          <w:tcPr>
            <w:tcW w:w="960" w:type="dxa"/>
            <w:vMerge/>
            <w:shd w:val="clear" w:color="auto" w:fill="D99493"/>
            <w:textDirection w:val="btLr"/>
          </w:tcPr>
          <w:p>
            <w:pPr/>
          </w:p>
        </w:tc>
        <w:tc>
          <w:tcPr>
            <w:tcW w:w="752" w:type="dxa"/>
            <w:tcBorders>
              <w:top w:val="single" w:sz="4" w:space="0" w:color="000000"/>
            </w:tcBorders>
            <w:shd w:val="clear" w:color="auto" w:fill="D99493"/>
          </w:tcPr>
          <w:p>
            <w:pPr>
              <w:pStyle w:val="TableParagraph"/>
              <w:ind w:left="0" w:right="3"/>
              <w:jc w:val="center"/>
              <w:rPr>
                <w:sz w:val="22"/>
              </w:rPr>
            </w:pPr>
            <w:r>
              <w:rPr>
                <w:w w:val="100"/>
                <w:sz w:val="22"/>
              </w:rPr>
              <w:t>P</w:t>
            </w:r>
          </w:p>
        </w:tc>
        <w:tc>
          <w:tcPr>
            <w:tcW w:w="1940" w:type="dxa"/>
            <w:tcBorders>
              <w:top w:val="single" w:sz="4" w:space="0" w:color="000000"/>
            </w:tcBorders>
          </w:tcPr>
          <w:p>
            <w:pPr>
              <w:pStyle w:val="TableParagraph"/>
              <w:spacing w:line="360" w:lineRule="auto"/>
              <w:ind w:left="238" w:right="217" w:firstLine="96"/>
              <w:rPr>
                <w:sz w:val="22"/>
              </w:rPr>
            </w:pPr>
            <w:r>
              <w:rPr>
                <w:sz w:val="22"/>
              </w:rPr>
              <w:t>Participación sociopolítica_1</w:t>
            </w:r>
          </w:p>
        </w:tc>
        <w:tc>
          <w:tcPr>
            <w:tcW w:w="961" w:type="dxa"/>
            <w:tcBorders>
              <w:top w:val="single" w:sz="4" w:space="0" w:color="000000"/>
            </w:tcBorders>
          </w:tcPr>
          <w:p>
            <w:pPr>
              <w:pStyle w:val="TableParagraph"/>
              <w:ind w:left="269" w:right="272"/>
              <w:jc w:val="center"/>
              <w:rPr>
                <w:sz w:val="22"/>
              </w:rPr>
            </w:pPr>
            <w:r>
              <w:rPr>
                <w:sz w:val="22"/>
              </w:rPr>
              <w:t>84</w:t>
            </w:r>
          </w:p>
        </w:tc>
        <w:tc>
          <w:tcPr>
            <w:tcW w:w="1193" w:type="dxa"/>
            <w:tcBorders>
              <w:top w:val="single" w:sz="4" w:space="0" w:color="000000"/>
            </w:tcBorders>
          </w:tcPr>
          <w:p>
            <w:pPr>
              <w:pStyle w:val="TableParagraph"/>
              <w:ind w:left="121" w:right="121"/>
              <w:jc w:val="center"/>
              <w:rPr>
                <w:sz w:val="22"/>
              </w:rPr>
            </w:pPr>
            <w:r>
              <w:rPr>
                <w:sz w:val="22"/>
              </w:rPr>
              <w:t>39</w:t>
            </w:r>
          </w:p>
        </w:tc>
        <w:tc>
          <w:tcPr>
            <w:tcW w:w="1390" w:type="dxa"/>
            <w:tcBorders>
              <w:top w:val="single" w:sz="4" w:space="0" w:color="000000"/>
            </w:tcBorders>
          </w:tcPr>
          <w:p>
            <w:pPr>
              <w:pStyle w:val="TableParagraph"/>
              <w:ind w:left="91" w:right="86"/>
              <w:jc w:val="center"/>
              <w:rPr>
                <w:sz w:val="22"/>
              </w:rPr>
            </w:pPr>
            <w:r>
              <w:rPr>
                <w:sz w:val="22"/>
              </w:rPr>
              <w:t>0.0625</w:t>
            </w:r>
          </w:p>
        </w:tc>
        <w:tc>
          <w:tcPr>
            <w:tcW w:w="1162" w:type="dxa"/>
            <w:tcBorders>
              <w:top w:val="single" w:sz="4" w:space="0" w:color="000000"/>
            </w:tcBorders>
          </w:tcPr>
          <w:p>
            <w:pPr>
              <w:pStyle w:val="TableParagraph"/>
              <w:ind w:left="0" w:right="297"/>
              <w:jc w:val="right"/>
              <w:rPr>
                <w:sz w:val="22"/>
              </w:rPr>
            </w:pPr>
            <w:r>
              <w:rPr>
                <w:sz w:val="22"/>
              </w:rPr>
              <w:t>0.930</w:t>
            </w:r>
          </w:p>
        </w:tc>
        <w:tc>
          <w:tcPr>
            <w:tcW w:w="1118" w:type="dxa"/>
            <w:tcBorders>
              <w:top w:val="single" w:sz="4" w:space="0" w:color="000000"/>
            </w:tcBorders>
          </w:tcPr>
          <w:p>
            <w:pPr>
              <w:pStyle w:val="TableParagraph"/>
              <w:ind w:left="432"/>
              <w:rPr>
                <w:sz w:val="22"/>
              </w:rPr>
            </w:pPr>
            <w:r>
              <w:rPr>
                <w:sz w:val="22"/>
              </w:rPr>
              <w:t>39</w:t>
            </w:r>
          </w:p>
        </w:tc>
        <w:tc>
          <w:tcPr>
            <w:tcW w:w="1193" w:type="dxa"/>
            <w:tcBorders>
              <w:top w:val="single" w:sz="4" w:space="0" w:color="000000"/>
            </w:tcBorders>
          </w:tcPr>
          <w:p>
            <w:pPr>
              <w:pStyle w:val="TableParagraph"/>
              <w:ind w:left="0"/>
              <w:jc w:val="center"/>
              <w:rPr>
                <w:sz w:val="22"/>
              </w:rPr>
            </w:pPr>
            <w:r>
              <w:rPr>
                <w:w w:val="100"/>
                <w:sz w:val="22"/>
              </w:rPr>
              <w:t>5</w:t>
            </w:r>
          </w:p>
        </w:tc>
        <w:tc>
          <w:tcPr>
            <w:tcW w:w="1277" w:type="dxa"/>
            <w:tcBorders>
              <w:top w:val="single" w:sz="4" w:space="0" w:color="000000"/>
            </w:tcBorders>
          </w:tcPr>
          <w:p>
            <w:pPr>
              <w:pStyle w:val="TableParagraph"/>
              <w:ind w:left="420" w:right="101"/>
              <w:rPr>
                <w:sz w:val="22"/>
              </w:rPr>
            </w:pPr>
            <w:r>
              <w:rPr>
                <w:sz w:val="22"/>
              </w:rPr>
              <w:t>1.00</w:t>
            </w:r>
          </w:p>
        </w:tc>
        <w:tc>
          <w:tcPr>
            <w:tcW w:w="1274" w:type="dxa"/>
            <w:tcBorders>
              <w:top w:val="single" w:sz="4" w:space="0" w:color="000000"/>
            </w:tcBorders>
          </w:tcPr>
          <w:p>
            <w:pPr>
              <w:pStyle w:val="TableParagraph"/>
              <w:ind w:left="295" w:right="98"/>
              <w:rPr>
                <w:sz w:val="22"/>
              </w:rPr>
            </w:pPr>
            <w:r>
              <w:rPr>
                <w:sz w:val="22"/>
              </w:rPr>
              <w:t>16.875</w:t>
            </w:r>
          </w:p>
        </w:tc>
      </w:tr>
      <w:tr>
        <w:trPr>
          <w:trHeight w:val="768" w:hRule="exact"/>
        </w:trPr>
        <w:tc>
          <w:tcPr>
            <w:tcW w:w="960" w:type="dxa"/>
            <w:vMerge/>
            <w:shd w:val="clear" w:color="auto" w:fill="D99493"/>
            <w:textDirection w:val="btLr"/>
          </w:tcPr>
          <w:p>
            <w:pPr/>
          </w:p>
        </w:tc>
        <w:tc>
          <w:tcPr>
            <w:tcW w:w="752" w:type="dxa"/>
            <w:shd w:val="clear" w:color="auto" w:fill="D99493"/>
          </w:tcPr>
          <w:p>
            <w:pPr>
              <w:pStyle w:val="TableParagraph"/>
              <w:spacing w:line="251" w:lineRule="exact"/>
              <w:ind w:left="0" w:right="3"/>
              <w:jc w:val="center"/>
              <w:rPr>
                <w:sz w:val="22"/>
              </w:rPr>
            </w:pPr>
            <w:r>
              <w:rPr>
                <w:w w:val="100"/>
                <w:sz w:val="22"/>
              </w:rPr>
              <w:t>P</w:t>
            </w:r>
          </w:p>
        </w:tc>
        <w:tc>
          <w:tcPr>
            <w:tcW w:w="1940" w:type="dxa"/>
          </w:tcPr>
          <w:p>
            <w:pPr>
              <w:pStyle w:val="TableParagraph"/>
              <w:spacing w:line="360" w:lineRule="auto"/>
              <w:ind w:left="171" w:right="150" w:firstLine="249"/>
              <w:rPr>
                <w:sz w:val="22"/>
              </w:rPr>
            </w:pPr>
            <w:r>
              <w:rPr>
                <w:sz w:val="22"/>
              </w:rPr>
              <w:t>Relaciones intermunicipales</w:t>
            </w:r>
          </w:p>
        </w:tc>
        <w:tc>
          <w:tcPr>
            <w:tcW w:w="961" w:type="dxa"/>
          </w:tcPr>
          <w:p>
            <w:pPr>
              <w:pStyle w:val="TableParagraph"/>
              <w:spacing w:line="251" w:lineRule="exact"/>
              <w:ind w:left="269" w:right="272"/>
              <w:jc w:val="center"/>
              <w:rPr>
                <w:sz w:val="22"/>
              </w:rPr>
            </w:pPr>
            <w:r>
              <w:rPr>
                <w:sz w:val="22"/>
              </w:rPr>
              <w:t>83</w:t>
            </w:r>
          </w:p>
        </w:tc>
        <w:tc>
          <w:tcPr>
            <w:tcW w:w="1193" w:type="dxa"/>
          </w:tcPr>
          <w:p>
            <w:pPr>
              <w:pStyle w:val="TableParagraph"/>
              <w:spacing w:line="251" w:lineRule="exact"/>
              <w:ind w:left="121" w:right="121"/>
              <w:jc w:val="center"/>
              <w:rPr>
                <w:sz w:val="22"/>
              </w:rPr>
            </w:pPr>
            <w:r>
              <w:rPr>
                <w:sz w:val="22"/>
              </w:rPr>
              <w:t>40</w:t>
            </w:r>
          </w:p>
        </w:tc>
        <w:tc>
          <w:tcPr>
            <w:tcW w:w="1390" w:type="dxa"/>
          </w:tcPr>
          <w:p>
            <w:pPr>
              <w:pStyle w:val="TableParagraph"/>
              <w:spacing w:line="251" w:lineRule="exact"/>
              <w:ind w:left="91" w:right="86"/>
              <w:jc w:val="center"/>
              <w:rPr>
                <w:sz w:val="22"/>
              </w:rPr>
            </w:pPr>
            <w:r>
              <w:rPr>
                <w:sz w:val="22"/>
              </w:rPr>
              <w:t>0.0625</w:t>
            </w:r>
          </w:p>
        </w:tc>
        <w:tc>
          <w:tcPr>
            <w:tcW w:w="1162" w:type="dxa"/>
          </w:tcPr>
          <w:p>
            <w:pPr>
              <w:pStyle w:val="TableParagraph"/>
              <w:spacing w:line="251" w:lineRule="exact"/>
              <w:ind w:left="0" w:right="297"/>
              <w:jc w:val="right"/>
              <w:rPr>
                <w:sz w:val="22"/>
              </w:rPr>
            </w:pPr>
            <w:r>
              <w:rPr>
                <w:sz w:val="22"/>
              </w:rPr>
              <w:t>0.930</w:t>
            </w:r>
          </w:p>
        </w:tc>
        <w:tc>
          <w:tcPr>
            <w:tcW w:w="1118" w:type="dxa"/>
          </w:tcPr>
          <w:p>
            <w:pPr>
              <w:pStyle w:val="TableParagraph"/>
              <w:spacing w:line="251" w:lineRule="exact"/>
              <w:ind w:left="432"/>
              <w:rPr>
                <w:sz w:val="22"/>
              </w:rPr>
            </w:pPr>
            <w:r>
              <w:rPr>
                <w:sz w:val="22"/>
              </w:rPr>
              <w:t>38</w:t>
            </w:r>
          </w:p>
        </w:tc>
        <w:tc>
          <w:tcPr>
            <w:tcW w:w="1193" w:type="dxa"/>
          </w:tcPr>
          <w:p>
            <w:pPr>
              <w:pStyle w:val="TableParagraph"/>
              <w:spacing w:line="251" w:lineRule="exact"/>
              <w:ind w:left="0"/>
              <w:jc w:val="center"/>
              <w:rPr>
                <w:sz w:val="22"/>
              </w:rPr>
            </w:pPr>
            <w:r>
              <w:rPr>
                <w:w w:val="100"/>
                <w:sz w:val="22"/>
              </w:rPr>
              <w:t>6</w:t>
            </w:r>
          </w:p>
        </w:tc>
        <w:tc>
          <w:tcPr>
            <w:tcW w:w="1277" w:type="dxa"/>
          </w:tcPr>
          <w:p>
            <w:pPr>
              <w:pStyle w:val="TableParagraph"/>
              <w:spacing w:line="251" w:lineRule="exact"/>
              <w:ind w:left="420" w:right="101"/>
              <w:rPr>
                <w:sz w:val="22"/>
              </w:rPr>
            </w:pPr>
            <w:r>
              <w:rPr>
                <w:sz w:val="22"/>
              </w:rPr>
              <w:t>1.00</w:t>
            </w:r>
          </w:p>
        </w:tc>
        <w:tc>
          <w:tcPr>
            <w:tcW w:w="1274" w:type="dxa"/>
          </w:tcPr>
          <w:p>
            <w:pPr>
              <w:pStyle w:val="TableParagraph"/>
              <w:spacing w:line="251" w:lineRule="exact"/>
              <w:ind w:left="295" w:right="98"/>
              <w:rPr>
                <w:sz w:val="22"/>
              </w:rPr>
            </w:pPr>
            <w:r>
              <w:rPr>
                <w:sz w:val="22"/>
              </w:rPr>
              <w:t>16.875</w:t>
            </w:r>
          </w:p>
        </w:tc>
      </w:tr>
      <w:tr>
        <w:trPr>
          <w:trHeight w:val="770" w:hRule="exact"/>
        </w:trPr>
        <w:tc>
          <w:tcPr>
            <w:tcW w:w="960" w:type="dxa"/>
            <w:vMerge/>
            <w:shd w:val="clear" w:color="auto" w:fill="D99493"/>
            <w:textDirection w:val="btLr"/>
          </w:tcPr>
          <w:p>
            <w:pPr/>
          </w:p>
        </w:tc>
        <w:tc>
          <w:tcPr>
            <w:tcW w:w="752" w:type="dxa"/>
            <w:shd w:val="clear" w:color="auto" w:fill="D99493"/>
          </w:tcPr>
          <w:p>
            <w:pPr>
              <w:pStyle w:val="TableParagraph"/>
              <w:spacing w:line="251" w:lineRule="exact"/>
              <w:ind w:left="0" w:right="3"/>
              <w:jc w:val="center"/>
              <w:rPr>
                <w:sz w:val="22"/>
              </w:rPr>
            </w:pPr>
            <w:r>
              <w:rPr>
                <w:w w:val="100"/>
                <w:sz w:val="22"/>
              </w:rPr>
              <w:t>P</w:t>
            </w:r>
          </w:p>
        </w:tc>
        <w:tc>
          <w:tcPr>
            <w:tcW w:w="1940" w:type="dxa"/>
          </w:tcPr>
          <w:p>
            <w:pPr>
              <w:pStyle w:val="TableParagraph"/>
              <w:spacing w:line="362" w:lineRule="auto"/>
              <w:ind w:left="361" w:right="322" w:hanging="20"/>
              <w:rPr>
                <w:sz w:val="22"/>
              </w:rPr>
            </w:pPr>
            <w:r>
              <w:rPr>
                <w:sz w:val="22"/>
              </w:rPr>
              <w:t>Cooperación sociopolítica</w:t>
            </w:r>
          </w:p>
        </w:tc>
        <w:tc>
          <w:tcPr>
            <w:tcW w:w="961" w:type="dxa"/>
          </w:tcPr>
          <w:p>
            <w:pPr>
              <w:pStyle w:val="TableParagraph"/>
              <w:spacing w:line="251" w:lineRule="exact"/>
              <w:ind w:left="269" w:right="272"/>
              <w:jc w:val="center"/>
              <w:rPr>
                <w:sz w:val="22"/>
              </w:rPr>
            </w:pPr>
            <w:r>
              <w:rPr>
                <w:sz w:val="22"/>
              </w:rPr>
              <w:t>82</w:t>
            </w:r>
          </w:p>
        </w:tc>
        <w:tc>
          <w:tcPr>
            <w:tcW w:w="1193" w:type="dxa"/>
          </w:tcPr>
          <w:p>
            <w:pPr>
              <w:pStyle w:val="TableParagraph"/>
              <w:spacing w:line="251" w:lineRule="exact"/>
              <w:ind w:left="121" w:right="121"/>
              <w:jc w:val="center"/>
              <w:rPr>
                <w:sz w:val="22"/>
              </w:rPr>
            </w:pPr>
            <w:r>
              <w:rPr>
                <w:sz w:val="22"/>
              </w:rPr>
              <w:t>41</w:t>
            </w:r>
          </w:p>
        </w:tc>
        <w:tc>
          <w:tcPr>
            <w:tcW w:w="1390" w:type="dxa"/>
          </w:tcPr>
          <w:p>
            <w:pPr>
              <w:pStyle w:val="TableParagraph"/>
              <w:spacing w:line="251" w:lineRule="exact"/>
              <w:ind w:left="88" w:right="86"/>
              <w:jc w:val="center"/>
              <w:rPr>
                <w:sz w:val="22"/>
              </w:rPr>
            </w:pPr>
            <w:r>
              <w:rPr>
                <w:sz w:val="22"/>
              </w:rPr>
              <w:t>0.03125</w:t>
            </w:r>
          </w:p>
        </w:tc>
        <w:tc>
          <w:tcPr>
            <w:tcW w:w="1162" w:type="dxa"/>
          </w:tcPr>
          <w:p>
            <w:pPr>
              <w:pStyle w:val="TableParagraph"/>
              <w:spacing w:line="251" w:lineRule="exact"/>
              <w:ind w:left="0" w:right="297"/>
              <w:jc w:val="right"/>
              <w:rPr>
                <w:sz w:val="22"/>
              </w:rPr>
            </w:pPr>
            <w:r>
              <w:rPr>
                <w:sz w:val="22"/>
              </w:rPr>
              <w:t>0.930</w:t>
            </w:r>
          </w:p>
        </w:tc>
        <w:tc>
          <w:tcPr>
            <w:tcW w:w="1118" w:type="dxa"/>
          </w:tcPr>
          <w:p>
            <w:pPr>
              <w:pStyle w:val="TableParagraph"/>
              <w:spacing w:line="251" w:lineRule="exact"/>
              <w:ind w:left="432"/>
              <w:rPr>
                <w:sz w:val="22"/>
              </w:rPr>
            </w:pPr>
            <w:r>
              <w:rPr>
                <w:sz w:val="22"/>
              </w:rPr>
              <w:t>37</w:t>
            </w:r>
          </w:p>
        </w:tc>
        <w:tc>
          <w:tcPr>
            <w:tcW w:w="1193" w:type="dxa"/>
          </w:tcPr>
          <w:p>
            <w:pPr>
              <w:pStyle w:val="TableParagraph"/>
              <w:spacing w:line="251" w:lineRule="exact"/>
              <w:ind w:left="0"/>
              <w:jc w:val="center"/>
              <w:rPr>
                <w:sz w:val="22"/>
              </w:rPr>
            </w:pPr>
            <w:r>
              <w:rPr>
                <w:w w:val="100"/>
                <w:sz w:val="22"/>
              </w:rPr>
              <w:t>7</w:t>
            </w:r>
          </w:p>
        </w:tc>
        <w:tc>
          <w:tcPr>
            <w:tcW w:w="1277" w:type="dxa"/>
          </w:tcPr>
          <w:p>
            <w:pPr>
              <w:pStyle w:val="TableParagraph"/>
              <w:spacing w:line="251" w:lineRule="exact"/>
              <w:ind w:left="420" w:right="101"/>
              <w:rPr>
                <w:sz w:val="22"/>
              </w:rPr>
            </w:pPr>
            <w:r>
              <w:rPr>
                <w:sz w:val="22"/>
              </w:rPr>
              <w:t>1.00</w:t>
            </w:r>
          </w:p>
        </w:tc>
        <w:tc>
          <w:tcPr>
            <w:tcW w:w="1274" w:type="dxa"/>
          </w:tcPr>
          <w:p>
            <w:pPr>
              <w:pStyle w:val="TableParagraph"/>
              <w:spacing w:line="251" w:lineRule="exact"/>
              <w:ind w:left="295" w:right="98"/>
              <w:rPr>
                <w:sz w:val="22"/>
              </w:rPr>
            </w:pPr>
            <w:r>
              <w:rPr>
                <w:sz w:val="22"/>
              </w:rPr>
              <w:t>16.875</w:t>
            </w:r>
          </w:p>
        </w:tc>
      </w:tr>
      <w:tr>
        <w:trPr>
          <w:trHeight w:val="778" w:hRule="exact"/>
        </w:trPr>
        <w:tc>
          <w:tcPr>
            <w:tcW w:w="960" w:type="dxa"/>
            <w:vMerge/>
            <w:tcBorders>
              <w:bottom w:val="single" w:sz="12" w:space="0" w:color="000000"/>
            </w:tcBorders>
            <w:shd w:val="clear" w:color="auto" w:fill="D99493"/>
            <w:textDirection w:val="btLr"/>
          </w:tcPr>
          <w:p>
            <w:pPr/>
          </w:p>
        </w:tc>
        <w:tc>
          <w:tcPr>
            <w:tcW w:w="752" w:type="dxa"/>
            <w:tcBorders>
              <w:bottom w:val="single" w:sz="12" w:space="0" w:color="000000"/>
            </w:tcBorders>
            <w:shd w:val="clear" w:color="auto" w:fill="D99493"/>
          </w:tcPr>
          <w:p>
            <w:pPr>
              <w:pStyle w:val="TableParagraph"/>
              <w:spacing w:line="251" w:lineRule="exact"/>
              <w:ind w:left="0" w:right="3"/>
              <w:jc w:val="center"/>
              <w:rPr>
                <w:sz w:val="22"/>
              </w:rPr>
            </w:pPr>
            <w:r>
              <w:rPr>
                <w:w w:val="100"/>
                <w:sz w:val="22"/>
              </w:rPr>
              <w:t>P</w:t>
            </w:r>
          </w:p>
        </w:tc>
        <w:tc>
          <w:tcPr>
            <w:tcW w:w="1940" w:type="dxa"/>
            <w:tcBorders>
              <w:bottom w:val="single" w:sz="12" w:space="0" w:color="000000"/>
            </w:tcBorders>
          </w:tcPr>
          <w:p>
            <w:pPr>
              <w:pStyle w:val="TableParagraph"/>
              <w:spacing w:line="360" w:lineRule="auto"/>
              <w:ind w:left="361" w:right="339" w:firstLine="151"/>
              <w:rPr>
                <w:sz w:val="22"/>
              </w:rPr>
            </w:pPr>
            <w:r>
              <w:rPr>
                <w:sz w:val="22"/>
              </w:rPr>
              <w:t>Identidad sociopolítica</w:t>
            </w:r>
          </w:p>
        </w:tc>
        <w:tc>
          <w:tcPr>
            <w:tcW w:w="961" w:type="dxa"/>
            <w:tcBorders>
              <w:bottom w:val="single" w:sz="12" w:space="0" w:color="000000"/>
            </w:tcBorders>
          </w:tcPr>
          <w:p>
            <w:pPr>
              <w:pStyle w:val="TableParagraph"/>
              <w:spacing w:line="251" w:lineRule="exact"/>
              <w:ind w:left="269" w:right="272"/>
              <w:jc w:val="center"/>
              <w:rPr>
                <w:sz w:val="22"/>
              </w:rPr>
            </w:pPr>
            <w:r>
              <w:rPr>
                <w:sz w:val="22"/>
              </w:rPr>
              <w:t>81</w:t>
            </w:r>
          </w:p>
        </w:tc>
        <w:tc>
          <w:tcPr>
            <w:tcW w:w="1193" w:type="dxa"/>
            <w:tcBorders>
              <w:bottom w:val="single" w:sz="12" w:space="0" w:color="000000"/>
            </w:tcBorders>
          </w:tcPr>
          <w:p>
            <w:pPr>
              <w:pStyle w:val="TableParagraph"/>
              <w:spacing w:line="251" w:lineRule="exact"/>
              <w:ind w:left="121" w:right="121"/>
              <w:jc w:val="center"/>
              <w:rPr>
                <w:sz w:val="22"/>
              </w:rPr>
            </w:pPr>
            <w:r>
              <w:rPr>
                <w:sz w:val="22"/>
              </w:rPr>
              <w:t>42</w:t>
            </w:r>
          </w:p>
        </w:tc>
        <w:tc>
          <w:tcPr>
            <w:tcW w:w="1390" w:type="dxa"/>
            <w:tcBorders>
              <w:bottom w:val="single" w:sz="12" w:space="0" w:color="000000"/>
            </w:tcBorders>
          </w:tcPr>
          <w:p>
            <w:pPr>
              <w:pStyle w:val="TableParagraph"/>
              <w:spacing w:line="251" w:lineRule="exact"/>
              <w:ind w:left="88" w:right="86"/>
              <w:jc w:val="center"/>
              <w:rPr>
                <w:sz w:val="22"/>
              </w:rPr>
            </w:pPr>
            <w:r>
              <w:rPr>
                <w:sz w:val="22"/>
              </w:rPr>
              <w:t>0.03125</w:t>
            </w:r>
          </w:p>
        </w:tc>
        <w:tc>
          <w:tcPr>
            <w:tcW w:w="1162" w:type="dxa"/>
            <w:tcBorders>
              <w:bottom w:val="single" w:sz="12" w:space="0" w:color="000000"/>
            </w:tcBorders>
          </w:tcPr>
          <w:p>
            <w:pPr>
              <w:pStyle w:val="TableParagraph"/>
              <w:spacing w:line="251" w:lineRule="exact"/>
              <w:ind w:left="0" w:right="297"/>
              <w:jc w:val="right"/>
              <w:rPr>
                <w:sz w:val="22"/>
              </w:rPr>
            </w:pPr>
            <w:r>
              <w:rPr>
                <w:sz w:val="22"/>
              </w:rPr>
              <w:t>0.930</w:t>
            </w:r>
          </w:p>
        </w:tc>
        <w:tc>
          <w:tcPr>
            <w:tcW w:w="1118" w:type="dxa"/>
            <w:tcBorders>
              <w:bottom w:val="single" w:sz="12" w:space="0" w:color="000000"/>
            </w:tcBorders>
          </w:tcPr>
          <w:p>
            <w:pPr>
              <w:pStyle w:val="TableParagraph"/>
              <w:spacing w:line="251" w:lineRule="exact"/>
              <w:ind w:left="432"/>
              <w:rPr>
                <w:sz w:val="22"/>
              </w:rPr>
            </w:pPr>
            <w:r>
              <w:rPr>
                <w:sz w:val="22"/>
              </w:rPr>
              <w:t>36</w:t>
            </w:r>
          </w:p>
        </w:tc>
        <w:tc>
          <w:tcPr>
            <w:tcW w:w="1193" w:type="dxa"/>
            <w:tcBorders>
              <w:bottom w:val="single" w:sz="12" w:space="0" w:color="000000"/>
            </w:tcBorders>
          </w:tcPr>
          <w:p>
            <w:pPr>
              <w:pStyle w:val="TableParagraph"/>
              <w:spacing w:line="251" w:lineRule="exact"/>
              <w:ind w:left="0"/>
              <w:jc w:val="center"/>
              <w:rPr>
                <w:sz w:val="22"/>
              </w:rPr>
            </w:pPr>
            <w:r>
              <w:rPr>
                <w:w w:val="100"/>
                <w:sz w:val="22"/>
              </w:rPr>
              <w:t>8</w:t>
            </w:r>
          </w:p>
        </w:tc>
        <w:tc>
          <w:tcPr>
            <w:tcW w:w="1277" w:type="dxa"/>
            <w:tcBorders>
              <w:bottom w:val="single" w:sz="12" w:space="0" w:color="000000"/>
            </w:tcBorders>
          </w:tcPr>
          <w:p>
            <w:pPr>
              <w:pStyle w:val="TableParagraph"/>
              <w:spacing w:line="251" w:lineRule="exact"/>
              <w:ind w:left="420" w:right="101"/>
              <w:rPr>
                <w:sz w:val="22"/>
              </w:rPr>
            </w:pPr>
            <w:r>
              <w:rPr>
                <w:sz w:val="22"/>
              </w:rPr>
              <w:t>1.00</w:t>
            </w:r>
          </w:p>
        </w:tc>
        <w:tc>
          <w:tcPr>
            <w:tcW w:w="1274" w:type="dxa"/>
            <w:tcBorders>
              <w:bottom w:val="single" w:sz="12" w:space="0" w:color="000000"/>
            </w:tcBorders>
          </w:tcPr>
          <w:p>
            <w:pPr>
              <w:pStyle w:val="TableParagraph"/>
              <w:spacing w:line="251" w:lineRule="exact"/>
              <w:ind w:left="295" w:right="98"/>
              <w:rPr>
                <w:sz w:val="22"/>
              </w:rPr>
            </w:pPr>
            <w:r>
              <w:rPr>
                <w:sz w:val="22"/>
              </w:rPr>
              <w:t>16.875</w:t>
            </w:r>
          </w:p>
        </w:tc>
      </w:tr>
      <w:tr>
        <w:trPr>
          <w:trHeight w:val="780" w:hRule="exact"/>
        </w:trPr>
        <w:tc>
          <w:tcPr>
            <w:tcW w:w="960" w:type="dxa"/>
            <w:tcBorders>
              <w:top w:val="single" w:sz="12" w:space="0" w:color="000000"/>
            </w:tcBorders>
            <w:shd w:val="clear" w:color="auto" w:fill="F79546"/>
            <w:textDirection w:val="btLr"/>
          </w:tcPr>
          <w:p>
            <w:pPr>
              <w:pStyle w:val="TableParagraph"/>
              <w:spacing w:line="369" w:lineRule="auto" w:before="105"/>
              <w:ind w:left="112" w:right="115"/>
              <w:rPr>
                <w:b/>
                <w:sz w:val="22"/>
              </w:rPr>
            </w:pPr>
            <w:r>
              <w:rPr>
                <w:b/>
                <w:spacing w:val="-1"/>
                <w:w w:val="100"/>
                <w:sz w:val="22"/>
              </w:rPr>
              <w:t>ECO </w:t>
            </w:r>
            <w:r>
              <w:rPr>
                <w:b/>
                <w:spacing w:val="-2"/>
                <w:w w:val="100"/>
                <w:sz w:val="22"/>
              </w:rPr>
              <w:t>N</w:t>
            </w:r>
            <w:r>
              <w:rPr>
                <w:b/>
                <w:w w:val="100"/>
                <w:sz w:val="22"/>
              </w:rPr>
              <w:t>Ó</w:t>
            </w:r>
            <w:r>
              <w:rPr>
                <w:b/>
                <w:w w:val="100"/>
                <w:sz w:val="22"/>
              </w:rPr>
              <w:t>M</w:t>
            </w:r>
          </w:p>
        </w:tc>
        <w:tc>
          <w:tcPr>
            <w:tcW w:w="752" w:type="dxa"/>
            <w:tcBorders>
              <w:top w:val="single" w:sz="12" w:space="0" w:color="000000"/>
            </w:tcBorders>
            <w:shd w:val="clear" w:color="auto" w:fill="F79546"/>
          </w:tcPr>
          <w:p>
            <w:pPr>
              <w:pStyle w:val="TableParagraph"/>
              <w:ind w:left="0" w:right="3"/>
              <w:jc w:val="center"/>
              <w:rPr>
                <w:sz w:val="22"/>
              </w:rPr>
            </w:pPr>
            <w:r>
              <w:rPr>
                <w:w w:val="100"/>
                <w:sz w:val="22"/>
              </w:rPr>
              <w:t>P</w:t>
            </w:r>
          </w:p>
        </w:tc>
        <w:tc>
          <w:tcPr>
            <w:tcW w:w="1940" w:type="dxa"/>
            <w:tcBorders>
              <w:top w:val="single" w:sz="12" w:space="0" w:color="000000"/>
            </w:tcBorders>
          </w:tcPr>
          <w:p>
            <w:pPr>
              <w:pStyle w:val="TableParagraph"/>
              <w:spacing w:line="360" w:lineRule="auto"/>
              <w:ind w:left="433" w:right="413" w:firstLine="158"/>
              <w:rPr>
                <w:sz w:val="22"/>
              </w:rPr>
            </w:pPr>
            <w:r>
              <w:rPr>
                <w:sz w:val="22"/>
              </w:rPr>
              <w:t>Historia económica</w:t>
            </w:r>
          </w:p>
        </w:tc>
        <w:tc>
          <w:tcPr>
            <w:tcW w:w="961" w:type="dxa"/>
            <w:tcBorders>
              <w:top w:val="single" w:sz="12" w:space="0" w:color="000000"/>
            </w:tcBorders>
          </w:tcPr>
          <w:p>
            <w:pPr>
              <w:pStyle w:val="TableParagraph"/>
              <w:ind w:left="269" w:right="272"/>
              <w:jc w:val="center"/>
              <w:rPr>
                <w:sz w:val="22"/>
              </w:rPr>
            </w:pPr>
            <w:r>
              <w:rPr>
                <w:sz w:val="22"/>
              </w:rPr>
              <w:t>45</w:t>
            </w:r>
          </w:p>
        </w:tc>
        <w:tc>
          <w:tcPr>
            <w:tcW w:w="1193" w:type="dxa"/>
            <w:tcBorders>
              <w:top w:val="single" w:sz="12" w:space="0" w:color="000000"/>
            </w:tcBorders>
          </w:tcPr>
          <w:p>
            <w:pPr>
              <w:pStyle w:val="TableParagraph"/>
              <w:ind w:left="121" w:right="121"/>
              <w:jc w:val="center"/>
              <w:rPr>
                <w:sz w:val="22"/>
              </w:rPr>
            </w:pPr>
            <w:r>
              <w:rPr>
                <w:sz w:val="22"/>
              </w:rPr>
              <w:t>69</w:t>
            </w:r>
          </w:p>
        </w:tc>
        <w:tc>
          <w:tcPr>
            <w:tcW w:w="1390" w:type="dxa"/>
            <w:tcBorders>
              <w:top w:val="single" w:sz="12" w:space="0" w:color="000000"/>
            </w:tcBorders>
          </w:tcPr>
          <w:p>
            <w:pPr>
              <w:pStyle w:val="TableParagraph"/>
              <w:ind w:left="91" w:right="86"/>
              <w:jc w:val="center"/>
              <w:rPr>
                <w:sz w:val="22"/>
              </w:rPr>
            </w:pPr>
            <w:r>
              <w:rPr>
                <w:sz w:val="22"/>
              </w:rPr>
              <w:t>0.00390625</w:t>
            </w:r>
          </w:p>
        </w:tc>
        <w:tc>
          <w:tcPr>
            <w:tcW w:w="1162" w:type="dxa"/>
            <w:tcBorders>
              <w:top w:val="single" w:sz="12" w:space="0" w:color="000000"/>
            </w:tcBorders>
          </w:tcPr>
          <w:p>
            <w:pPr>
              <w:pStyle w:val="TableParagraph"/>
              <w:ind w:left="0" w:right="297"/>
              <w:jc w:val="right"/>
              <w:rPr>
                <w:sz w:val="22"/>
              </w:rPr>
            </w:pPr>
            <w:r>
              <w:rPr>
                <w:sz w:val="22"/>
              </w:rPr>
              <w:t>0.062</w:t>
            </w:r>
          </w:p>
        </w:tc>
        <w:tc>
          <w:tcPr>
            <w:tcW w:w="1118" w:type="dxa"/>
            <w:tcBorders>
              <w:top w:val="single" w:sz="12" w:space="0" w:color="000000"/>
            </w:tcBorders>
          </w:tcPr>
          <w:p>
            <w:pPr>
              <w:pStyle w:val="TableParagraph"/>
              <w:ind w:left="432"/>
              <w:rPr>
                <w:sz w:val="22"/>
              </w:rPr>
            </w:pPr>
            <w:r>
              <w:rPr>
                <w:sz w:val="22"/>
              </w:rPr>
              <w:t>43</w:t>
            </w:r>
          </w:p>
        </w:tc>
        <w:tc>
          <w:tcPr>
            <w:tcW w:w="1193" w:type="dxa"/>
            <w:tcBorders>
              <w:top w:val="single" w:sz="12" w:space="0" w:color="000000"/>
            </w:tcBorders>
          </w:tcPr>
          <w:p>
            <w:pPr>
              <w:pStyle w:val="TableParagraph"/>
              <w:ind w:left="0"/>
              <w:jc w:val="center"/>
              <w:rPr>
                <w:sz w:val="22"/>
              </w:rPr>
            </w:pPr>
            <w:r>
              <w:rPr>
                <w:w w:val="100"/>
                <w:sz w:val="22"/>
              </w:rPr>
              <w:t>1</w:t>
            </w:r>
          </w:p>
        </w:tc>
        <w:tc>
          <w:tcPr>
            <w:tcW w:w="1277" w:type="dxa"/>
            <w:tcBorders>
              <w:top w:val="single" w:sz="12" w:space="0" w:color="000000"/>
            </w:tcBorders>
          </w:tcPr>
          <w:p>
            <w:pPr>
              <w:pStyle w:val="TableParagraph"/>
              <w:ind w:left="420" w:right="101"/>
              <w:rPr>
                <w:sz w:val="22"/>
              </w:rPr>
            </w:pPr>
            <w:r>
              <w:rPr>
                <w:sz w:val="22"/>
              </w:rPr>
              <w:t>1.00</w:t>
            </w:r>
          </w:p>
        </w:tc>
        <w:tc>
          <w:tcPr>
            <w:tcW w:w="1274" w:type="dxa"/>
            <w:tcBorders>
              <w:top w:val="single" w:sz="12" w:space="0" w:color="000000"/>
            </w:tcBorders>
          </w:tcPr>
          <w:p>
            <w:pPr>
              <w:pStyle w:val="TableParagraph"/>
              <w:ind w:left="295" w:right="98"/>
              <w:rPr>
                <w:sz w:val="22"/>
              </w:rPr>
            </w:pPr>
            <w:r>
              <w:rPr>
                <w:sz w:val="22"/>
              </w:rPr>
              <w:t>16.813</w:t>
            </w:r>
          </w:p>
        </w:tc>
      </w:tr>
    </w:tbl>
    <w:p>
      <w:pPr>
        <w:spacing w:after="0"/>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752"/>
        <w:gridCol w:w="1940"/>
        <w:gridCol w:w="961"/>
        <w:gridCol w:w="1193"/>
        <w:gridCol w:w="1390"/>
        <w:gridCol w:w="1162"/>
        <w:gridCol w:w="1118"/>
        <w:gridCol w:w="1193"/>
        <w:gridCol w:w="1277"/>
        <w:gridCol w:w="1274"/>
      </w:tblGrid>
      <w:tr>
        <w:trPr>
          <w:trHeight w:val="768" w:hRule="exact"/>
        </w:trPr>
        <w:tc>
          <w:tcPr>
            <w:tcW w:w="960" w:type="dxa"/>
            <w:vMerge w:val="restart"/>
            <w:shd w:val="clear" w:color="auto" w:fill="F79546"/>
          </w:tcPr>
          <w:p>
            <w:pPr/>
          </w:p>
        </w:tc>
        <w:tc>
          <w:tcPr>
            <w:tcW w:w="752" w:type="dxa"/>
            <w:shd w:val="clear" w:color="auto" w:fill="F79546"/>
          </w:tcPr>
          <w:p>
            <w:pPr>
              <w:pStyle w:val="TableParagraph"/>
              <w:spacing w:line="251" w:lineRule="exact"/>
              <w:ind w:left="0" w:right="3"/>
              <w:jc w:val="center"/>
              <w:rPr>
                <w:sz w:val="22"/>
              </w:rPr>
            </w:pPr>
            <w:r>
              <w:rPr>
                <w:w w:val="100"/>
                <w:sz w:val="22"/>
              </w:rPr>
              <w:t>P</w:t>
            </w:r>
          </w:p>
        </w:tc>
        <w:tc>
          <w:tcPr>
            <w:tcW w:w="1940" w:type="dxa"/>
          </w:tcPr>
          <w:p>
            <w:pPr>
              <w:pStyle w:val="TableParagraph"/>
              <w:spacing w:line="360" w:lineRule="auto"/>
              <w:ind w:left="433" w:right="413" w:firstLine="177"/>
              <w:rPr>
                <w:sz w:val="22"/>
              </w:rPr>
            </w:pPr>
            <w:r>
              <w:rPr>
                <w:sz w:val="22"/>
              </w:rPr>
              <w:t>Cultura económica</w:t>
            </w:r>
          </w:p>
        </w:tc>
        <w:tc>
          <w:tcPr>
            <w:tcW w:w="961" w:type="dxa"/>
          </w:tcPr>
          <w:p>
            <w:pPr>
              <w:pStyle w:val="TableParagraph"/>
              <w:spacing w:line="251" w:lineRule="exact"/>
              <w:ind w:left="269" w:right="272"/>
              <w:jc w:val="center"/>
              <w:rPr>
                <w:sz w:val="22"/>
              </w:rPr>
            </w:pPr>
            <w:r>
              <w:rPr>
                <w:sz w:val="22"/>
              </w:rPr>
              <w:t>47</w:t>
            </w:r>
          </w:p>
        </w:tc>
        <w:tc>
          <w:tcPr>
            <w:tcW w:w="1193" w:type="dxa"/>
          </w:tcPr>
          <w:p>
            <w:pPr>
              <w:pStyle w:val="TableParagraph"/>
              <w:spacing w:line="251" w:lineRule="exact"/>
              <w:ind w:left="121" w:right="121"/>
              <w:jc w:val="center"/>
              <w:rPr>
                <w:sz w:val="22"/>
              </w:rPr>
            </w:pPr>
            <w:r>
              <w:rPr>
                <w:sz w:val="22"/>
              </w:rPr>
              <w:t>67</w:t>
            </w:r>
          </w:p>
        </w:tc>
        <w:tc>
          <w:tcPr>
            <w:tcW w:w="1390" w:type="dxa"/>
          </w:tcPr>
          <w:p>
            <w:pPr>
              <w:pStyle w:val="TableParagraph"/>
              <w:spacing w:line="251" w:lineRule="exact"/>
              <w:ind w:left="91" w:right="86"/>
              <w:jc w:val="center"/>
              <w:rPr>
                <w:sz w:val="22"/>
              </w:rPr>
            </w:pPr>
            <w:r>
              <w:rPr>
                <w:sz w:val="22"/>
              </w:rPr>
              <w:t>0.00390625</w:t>
            </w:r>
          </w:p>
        </w:tc>
        <w:tc>
          <w:tcPr>
            <w:tcW w:w="1162" w:type="dxa"/>
          </w:tcPr>
          <w:p>
            <w:pPr>
              <w:pStyle w:val="TableParagraph"/>
              <w:spacing w:line="251" w:lineRule="exact"/>
              <w:ind w:left="218" w:right="218"/>
              <w:jc w:val="center"/>
              <w:rPr>
                <w:sz w:val="22"/>
              </w:rPr>
            </w:pPr>
            <w:r>
              <w:rPr>
                <w:sz w:val="22"/>
              </w:rPr>
              <w:t>0.062</w:t>
            </w:r>
          </w:p>
        </w:tc>
        <w:tc>
          <w:tcPr>
            <w:tcW w:w="1118" w:type="dxa"/>
          </w:tcPr>
          <w:p>
            <w:pPr>
              <w:pStyle w:val="TableParagraph"/>
              <w:spacing w:line="251" w:lineRule="exact"/>
              <w:ind w:left="432"/>
              <w:rPr>
                <w:sz w:val="22"/>
              </w:rPr>
            </w:pPr>
            <w:r>
              <w:rPr>
                <w:sz w:val="22"/>
              </w:rPr>
              <w:t>42</w:t>
            </w:r>
          </w:p>
        </w:tc>
        <w:tc>
          <w:tcPr>
            <w:tcW w:w="1193" w:type="dxa"/>
          </w:tcPr>
          <w:p>
            <w:pPr>
              <w:pStyle w:val="TableParagraph"/>
              <w:spacing w:line="251" w:lineRule="exact"/>
              <w:ind w:left="0" w:right="528"/>
              <w:jc w:val="right"/>
              <w:rPr>
                <w:sz w:val="22"/>
              </w:rPr>
            </w:pPr>
            <w:r>
              <w:rPr>
                <w:w w:val="100"/>
                <w:sz w:val="22"/>
              </w:rPr>
              <w:t>2</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16.813</w:t>
            </w:r>
          </w:p>
        </w:tc>
      </w:tr>
      <w:tr>
        <w:trPr>
          <w:trHeight w:val="770" w:hRule="exact"/>
        </w:trPr>
        <w:tc>
          <w:tcPr>
            <w:tcW w:w="960" w:type="dxa"/>
            <w:vMerge/>
            <w:shd w:val="clear" w:color="auto" w:fill="F79546"/>
          </w:tcPr>
          <w:p>
            <w:pPr/>
          </w:p>
        </w:tc>
        <w:tc>
          <w:tcPr>
            <w:tcW w:w="752" w:type="dxa"/>
            <w:shd w:val="clear" w:color="auto" w:fill="F79546"/>
          </w:tcPr>
          <w:p>
            <w:pPr>
              <w:pStyle w:val="TableParagraph"/>
              <w:spacing w:line="251" w:lineRule="exact"/>
              <w:ind w:left="0" w:right="3"/>
              <w:jc w:val="center"/>
              <w:rPr>
                <w:sz w:val="22"/>
              </w:rPr>
            </w:pPr>
            <w:r>
              <w:rPr>
                <w:w w:val="100"/>
                <w:sz w:val="22"/>
              </w:rPr>
              <w:t>P</w:t>
            </w:r>
          </w:p>
        </w:tc>
        <w:tc>
          <w:tcPr>
            <w:tcW w:w="1940" w:type="dxa"/>
          </w:tcPr>
          <w:p>
            <w:pPr>
              <w:pStyle w:val="TableParagraph"/>
              <w:spacing w:line="360" w:lineRule="auto"/>
              <w:ind w:left="305" w:right="276" w:hanging="15"/>
              <w:rPr>
                <w:sz w:val="22"/>
              </w:rPr>
            </w:pPr>
            <w:r>
              <w:rPr>
                <w:sz w:val="22"/>
              </w:rPr>
              <w:t>Democracia y voluntariedad</w:t>
            </w:r>
          </w:p>
        </w:tc>
        <w:tc>
          <w:tcPr>
            <w:tcW w:w="961" w:type="dxa"/>
          </w:tcPr>
          <w:p>
            <w:pPr>
              <w:pStyle w:val="TableParagraph"/>
              <w:spacing w:line="251" w:lineRule="exact"/>
              <w:ind w:left="269" w:right="272"/>
              <w:jc w:val="center"/>
              <w:rPr>
                <w:sz w:val="22"/>
              </w:rPr>
            </w:pPr>
            <w:r>
              <w:rPr>
                <w:sz w:val="22"/>
              </w:rPr>
              <w:t>44</w:t>
            </w:r>
          </w:p>
        </w:tc>
        <w:tc>
          <w:tcPr>
            <w:tcW w:w="1193" w:type="dxa"/>
          </w:tcPr>
          <w:p>
            <w:pPr>
              <w:pStyle w:val="TableParagraph"/>
              <w:spacing w:line="251" w:lineRule="exact"/>
              <w:ind w:left="121" w:right="121"/>
              <w:jc w:val="center"/>
              <w:rPr>
                <w:sz w:val="22"/>
              </w:rPr>
            </w:pPr>
            <w:r>
              <w:rPr>
                <w:sz w:val="22"/>
              </w:rPr>
              <w:t>70</w:t>
            </w:r>
          </w:p>
        </w:tc>
        <w:tc>
          <w:tcPr>
            <w:tcW w:w="1390" w:type="dxa"/>
          </w:tcPr>
          <w:p>
            <w:pPr>
              <w:pStyle w:val="TableParagraph"/>
              <w:spacing w:line="251" w:lineRule="exact"/>
              <w:ind w:left="91" w:right="86"/>
              <w:jc w:val="center"/>
              <w:rPr>
                <w:sz w:val="22"/>
              </w:rPr>
            </w:pPr>
            <w:r>
              <w:rPr>
                <w:sz w:val="22"/>
              </w:rPr>
              <w:t>0.00390625</w:t>
            </w:r>
          </w:p>
        </w:tc>
        <w:tc>
          <w:tcPr>
            <w:tcW w:w="1162" w:type="dxa"/>
          </w:tcPr>
          <w:p>
            <w:pPr>
              <w:pStyle w:val="TableParagraph"/>
              <w:spacing w:line="251" w:lineRule="exact"/>
              <w:ind w:left="218" w:right="218"/>
              <w:jc w:val="center"/>
              <w:rPr>
                <w:sz w:val="22"/>
              </w:rPr>
            </w:pPr>
            <w:r>
              <w:rPr>
                <w:sz w:val="22"/>
              </w:rPr>
              <w:t>0.062</w:t>
            </w:r>
          </w:p>
        </w:tc>
        <w:tc>
          <w:tcPr>
            <w:tcW w:w="1118" w:type="dxa"/>
          </w:tcPr>
          <w:p>
            <w:pPr>
              <w:pStyle w:val="TableParagraph"/>
              <w:spacing w:line="251" w:lineRule="exact"/>
              <w:ind w:left="432"/>
              <w:rPr>
                <w:sz w:val="22"/>
              </w:rPr>
            </w:pPr>
            <w:r>
              <w:rPr>
                <w:sz w:val="22"/>
              </w:rPr>
              <w:t>41</w:t>
            </w:r>
          </w:p>
        </w:tc>
        <w:tc>
          <w:tcPr>
            <w:tcW w:w="1193" w:type="dxa"/>
          </w:tcPr>
          <w:p>
            <w:pPr>
              <w:pStyle w:val="TableParagraph"/>
              <w:spacing w:line="251" w:lineRule="exact"/>
              <w:ind w:left="0" w:right="528"/>
              <w:jc w:val="right"/>
              <w:rPr>
                <w:sz w:val="22"/>
              </w:rPr>
            </w:pPr>
            <w:r>
              <w:rPr>
                <w:w w:val="100"/>
                <w:sz w:val="22"/>
              </w:rPr>
              <w:t>3</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16.813</w:t>
            </w:r>
          </w:p>
        </w:tc>
      </w:tr>
      <w:tr>
        <w:trPr>
          <w:trHeight w:val="769" w:hRule="exact"/>
        </w:trPr>
        <w:tc>
          <w:tcPr>
            <w:tcW w:w="960" w:type="dxa"/>
            <w:vMerge/>
            <w:shd w:val="clear" w:color="auto" w:fill="F79546"/>
          </w:tcPr>
          <w:p>
            <w:pPr/>
          </w:p>
        </w:tc>
        <w:tc>
          <w:tcPr>
            <w:tcW w:w="752" w:type="dxa"/>
            <w:shd w:val="clear" w:color="auto" w:fill="F79546"/>
          </w:tcPr>
          <w:p>
            <w:pPr>
              <w:pStyle w:val="TableParagraph"/>
              <w:spacing w:line="251" w:lineRule="exact"/>
              <w:ind w:left="0" w:right="3"/>
              <w:jc w:val="center"/>
              <w:rPr>
                <w:sz w:val="22"/>
              </w:rPr>
            </w:pPr>
            <w:r>
              <w:rPr>
                <w:w w:val="100"/>
                <w:sz w:val="22"/>
              </w:rPr>
              <w:t>P</w:t>
            </w:r>
          </w:p>
        </w:tc>
        <w:tc>
          <w:tcPr>
            <w:tcW w:w="1940" w:type="dxa"/>
          </w:tcPr>
          <w:p>
            <w:pPr>
              <w:pStyle w:val="TableParagraph"/>
              <w:spacing w:line="360" w:lineRule="auto"/>
              <w:ind w:left="176" w:right="157" w:firstLine="158"/>
              <w:rPr>
                <w:sz w:val="22"/>
              </w:rPr>
            </w:pPr>
            <w:r>
              <w:rPr>
                <w:sz w:val="22"/>
              </w:rPr>
              <w:t>Participación socioeconómica</w:t>
            </w:r>
          </w:p>
        </w:tc>
        <w:tc>
          <w:tcPr>
            <w:tcW w:w="961" w:type="dxa"/>
          </w:tcPr>
          <w:p>
            <w:pPr>
              <w:pStyle w:val="TableParagraph"/>
              <w:spacing w:line="251" w:lineRule="exact"/>
              <w:ind w:left="269" w:right="272"/>
              <w:jc w:val="center"/>
              <w:rPr>
                <w:sz w:val="22"/>
              </w:rPr>
            </w:pPr>
            <w:r>
              <w:rPr>
                <w:sz w:val="22"/>
              </w:rPr>
              <w:t>43</w:t>
            </w:r>
          </w:p>
        </w:tc>
        <w:tc>
          <w:tcPr>
            <w:tcW w:w="1193" w:type="dxa"/>
          </w:tcPr>
          <w:p>
            <w:pPr>
              <w:pStyle w:val="TableParagraph"/>
              <w:spacing w:line="251" w:lineRule="exact"/>
              <w:ind w:left="121" w:right="121"/>
              <w:jc w:val="center"/>
              <w:rPr>
                <w:sz w:val="22"/>
              </w:rPr>
            </w:pPr>
            <w:r>
              <w:rPr>
                <w:sz w:val="22"/>
              </w:rPr>
              <w:t>71</w:t>
            </w:r>
          </w:p>
        </w:tc>
        <w:tc>
          <w:tcPr>
            <w:tcW w:w="1390" w:type="dxa"/>
          </w:tcPr>
          <w:p>
            <w:pPr>
              <w:pStyle w:val="TableParagraph"/>
              <w:spacing w:line="251" w:lineRule="exact"/>
              <w:ind w:left="91" w:right="86"/>
              <w:jc w:val="center"/>
              <w:rPr>
                <w:sz w:val="22"/>
              </w:rPr>
            </w:pPr>
            <w:r>
              <w:rPr>
                <w:sz w:val="22"/>
              </w:rPr>
              <w:t>0.00390625</w:t>
            </w:r>
          </w:p>
        </w:tc>
        <w:tc>
          <w:tcPr>
            <w:tcW w:w="1162" w:type="dxa"/>
          </w:tcPr>
          <w:p>
            <w:pPr>
              <w:pStyle w:val="TableParagraph"/>
              <w:spacing w:line="251" w:lineRule="exact"/>
              <w:ind w:left="218" w:right="218"/>
              <w:jc w:val="center"/>
              <w:rPr>
                <w:sz w:val="22"/>
              </w:rPr>
            </w:pPr>
            <w:r>
              <w:rPr>
                <w:sz w:val="22"/>
              </w:rPr>
              <w:t>0.062</w:t>
            </w:r>
          </w:p>
        </w:tc>
        <w:tc>
          <w:tcPr>
            <w:tcW w:w="1118" w:type="dxa"/>
          </w:tcPr>
          <w:p>
            <w:pPr>
              <w:pStyle w:val="TableParagraph"/>
              <w:spacing w:line="251" w:lineRule="exact"/>
              <w:ind w:left="432"/>
              <w:rPr>
                <w:sz w:val="22"/>
              </w:rPr>
            </w:pPr>
            <w:r>
              <w:rPr>
                <w:sz w:val="22"/>
              </w:rPr>
              <w:t>40</w:t>
            </w:r>
          </w:p>
        </w:tc>
        <w:tc>
          <w:tcPr>
            <w:tcW w:w="1193" w:type="dxa"/>
          </w:tcPr>
          <w:p>
            <w:pPr>
              <w:pStyle w:val="TableParagraph"/>
              <w:spacing w:line="251" w:lineRule="exact"/>
              <w:ind w:left="0" w:right="528"/>
              <w:jc w:val="right"/>
              <w:rPr>
                <w:sz w:val="22"/>
              </w:rPr>
            </w:pPr>
            <w:r>
              <w:rPr>
                <w:w w:val="100"/>
                <w:sz w:val="22"/>
              </w:rPr>
              <w:t>4</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16.813</w:t>
            </w:r>
          </w:p>
        </w:tc>
      </w:tr>
      <w:tr>
        <w:trPr>
          <w:trHeight w:val="768" w:hRule="exact"/>
        </w:trPr>
        <w:tc>
          <w:tcPr>
            <w:tcW w:w="960" w:type="dxa"/>
            <w:vMerge/>
            <w:shd w:val="clear" w:color="auto" w:fill="F79546"/>
          </w:tcPr>
          <w:p>
            <w:pPr/>
          </w:p>
        </w:tc>
        <w:tc>
          <w:tcPr>
            <w:tcW w:w="752" w:type="dxa"/>
            <w:shd w:val="clear" w:color="auto" w:fill="F79546"/>
          </w:tcPr>
          <w:p>
            <w:pPr>
              <w:pStyle w:val="TableParagraph"/>
              <w:spacing w:line="251" w:lineRule="exact"/>
              <w:ind w:left="0" w:right="3"/>
              <w:jc w:val="center"/>
              <w:rPr>
                <w:sz w:val="22"/>
              </w:rPr>
            </w:pPr>
            <w:r>
              <w:rPr>
                <w:w w:val="100"/>
                <w:sz w:val="22"/>
              </w:rPr>
              <w:t>P</w:t>
            </w:r>
          </w:p>
        </w:tc>
        <w:tc>
          <w:tcPr>
            <w:tcW w:w="1940" w:type="dxa"/>
          </w:tcPr>
          <w:p>
            <w:pPr>
              <w:pStyle w:val="TableParagraph"/>
              <w:spacing w:line="360" w:lineRule="auto"/>
              <w:ind w:left="171" w:right="150" w:firstLine="249"/>
              <w:rPr>
                <w:sz w:val="22"/>
              </w:rPr>
            </w:pPr>
            <w:r>
              <w:rPr>
                <w:sz w:val="22"/>
              </w:rPr>
              <w:t>Relaciones intermunicipales</w:t>
            </w:r>
          </w:p>
        </w:tc>
        <w:tc>
          <w:tcPr>
            <w:tcW w:w="961" w:type="dxa"/>
          </w:tcPr>
          <w:p>
            <w:pPr>
              <w:pStyle w:val="TableParagraph"/>
              <w:spacing w:line="251" w:lineRule="exact"/>
              <w:ind w:left="269" w:right="272"/>
              <w:jc w:val="center"/>
              <w:rPr>
                <w:sz w:val="22"/>
              </w:rPr>
            </w:pPr>
            <w:r>
              <w:rPr>
                <w:sz w:val="22"/>
              </w:rPr>
              <w:t>42</w:t>
            </w:r>
          </w:p>
        </w:tc>
        <w:tc>
          <w:tcPr>
            <w:tcW w:w="1193" w:type="dxa"/>
          </w:tcPr>
          <w:p>
            <w:pPr>
              <w:pStyle w:val="TableParagraph"/>
              <w:spacing w:line="251" w:lineRule="exact"/>
              <w:ind w:left="121" w:right="121"/>
              <w:jc w:val="center"/>
              <w:rPr>
                <w:sz w:val="22"/>
              </w:rPr>
            </w:pPr>
            <w:r>
              <w:rPr>
                <w:sz w:val="22"/>
              </w:rPr>
              <w:t>72</w:t>
            </w:r>
          </w:p>
        </w:tc>
        <w:tc>
          <w:tcPr>
            <w:tcW w:w="1390" w:type="dxa"/>
          </w:tcPr>
          <w:p>
            <w:pPr>
              <w:pStyle w:val="TableParagraph"/>
              <w:spacing w:line="251" w:lineRule="exact"/>
              <w:ind w:left="91" w:right="86"/>
              <w:jc w:val="center"/>
              <w:rPr>
                <w:sz w:val="22"/>
              </w:rPr>
            </w:pPr>
            <w:r>
              <w:rPr>
                <w:sz w:val="22"/>
              </w:rPr>
              <w:t>0.00390625</w:t>
            </w:r>
          </w:p>
        </w:tc>
        <w:tc>
          <w:tcPr>
            <w:tcW w:w="1162" w:type="dxa"/>
          </w:tcPr>
          <w:p>
            <w:pPr>
              <w:pStyle w:val="TableParagraph"/>
              <w:spacing w:line="251" w:lineRule="exact"/>
              <w:ind w:left="218" w:right="218"/>
              <w:jc w:val="center"/>
              <w:rPr>
                <w:sz w:val="22"/>
              </w:rPr>
            </w:pPr>
            <w:r>
              <w:rPr>
                <w:sz w:val="22"/>
              </w:rPr>
              <w:t>0.062</w:t>
            </w:r>
          </w:p>
        </w:tc>
        <w:tc>
          <w:tcPr>
            <w:tcW w:w="1118" w:type="dxa"/>
          </w:tcPr>
          <w:p>
            <w:pPr>
              <w:pStyle w:val="TableParagraph"/>
              <w:spacing w:line="251" w:lineRule="exact"/>
              <w:ind w:left="432"/>
              <w:rPr>
                <w:sz w:val="22"/>
              </w:rPr>
            </w:pPr>
            <w:r>
              <w:rPr>
                <w:sz w:val="22"/>
              </w:rPr>
              <w:t>39</w:t>
            </w:r>
          </w:p>
        </w:tc>
        <w:tc>
          <w:tcPr>
            <w:tcW w:w="1193" w:type="dxa"/>
          </w:tcPr>
          <w:p>
            <w:pPr>
              <w:pStyle w:val="TableParagraph"/>
              <w:spacing w:line="251" w:lineRule="exact"/>
              <w:ind w:left="0" w:right="528"/>
              <w:jc w:val="right"/>
              <w:rPr>
                <w:sz w:val="22"/>
              </w:rPr>
            </w:pPr>
            <w:r>
              <w:rPr>
                <w:w w:val="100"/>
                <w:sz w:val="22"/>
              </w:rPr>
              <w:t>5</w:t>
            </w:r>
          </w:p>
        </w:tc>
        <w:tc>
          <w:tcPr>
            <w:tcW w:w="1277" w:type="dxa"/>
          </w:tcPr>
          <w:p>
            <w:pPr>
              <w:pStyle w:val="TableParagraph"/>
              <w:spacing w:line="251" w:lineRule="exact"/>
              <w:ind w:left="338" w:right="337"/>
              <w:jc w:val="center"/>
              <w:rPr>
                <w:sz w:val="22"/>
              </w:rPr>
            </w:pPr>
            <w:r>
              <w:rPr>
                <w:sz w:val="22"/>
              </w:rPr>
              <w:t>1.00</w:t>
            </w:r>
          </w:p>
        </w:tc>
        <w:tc>
          <w:tcPr>
            <w:tcW w:w="1274" w:type="dxa"/>
          </w:tcPr>
          <w:p>
            <w:pPr>
              <w:pStyle w:val="TableParagraph"/>
              <w:spacing w:line="251" w:lineRule="exact"/>
              <w:ind w:left="295" w:right="98"/>
              <w:rPr>
                <w:sz w:val="22"/>
              </w:rPr>
            </w:pPr>
            <w:r>
              <w:rPr>
                <w:sz w:val="22"/>
              </w:rPr>
              <w:t>16.813</w:t>
            </w:r>
          </w:p>
        </w:tc>
      </w:tr>
      <w:tr>
        <w:trPr>
          <w:trHeight w:val="398" w:hRule="exact"/>
        </w:trPr>
        <w:tc>
          <w:tcPr>
            <w:tcW w:w="960" w:type="dxa"/>
            <w:vMerge/>
            <w:tcBorders>
              <w:bottom w:val="single" w:sz="12" w:space="0" w:color="000000"/>
            </w:tcBorders>
            <w:shd w:val="clear" w:color="auto" w:fill="F79546"/>
          </w:tcPr>
          <w:p>
            <w:pPr/>
          </w:p>
        </w:tc>
        <w:tc>
          <w:tcPr>
            <w:tcW w:w="752" w:type="dxa"/>
            <w:tcBorders>
              <w:bottom w:val="single" w:sz="12" w:space="0" w:color="000000"/>
            </w:tcBorders>
            <w:shd w:val="clear" w:color="auto" w:fill="F79546"/>
          </w:tcPr>
          <w:p>
            <w:pPr>
              <w:pStyle w:val="TableParagraph"/>
              <w:spacing w:line="251" w:lineRule="exact"/>
              <w:ind w:left="0" w:right="3"/>
              <w:jc w:val="center"/>
              <w:rPr>
                <w:sz w:val="22"/>
              </w:rPr>
            </w:pPr>
            <w:r>
              <w:rPr>
                <w:w w:val="100"/>
                <w:sz w:val="22"/>
              </w:rPr>
              <w:t>E</w:t>
            </w:r>
          </w:p>
        </w:tc>
        <w:tc>
          <w:tcPr>
            <w:tcW w:w="1940" w:type="dxa"/>
            <w:tcBorders>
              <w:left w:val="thickThinMediumGap" w:sz="23" w:space="0" w:color="F79546"/>
              <w:bottom w:val="single" w:sz="12" w:space="0" w:color="000000"/>
            </w:tcBorders>
          </w:tcPr>
          <w:p>
            <w:pPr>
              <w:pStyle w:val="TableParagraph"/>
              <w:spacing w:line="251" w:lineRule="exact"/>
              <w:ind w:left="242"/>
              <w:rPr>
                <w:sz w:val="22"/>
              </w:rPr>
            </w:pPr>
            <w:r>
              <w:rPr>
                <w:sz w:val="22"/>
              </w:rPr>
              <w:t>Uso irracional</w:t>
            </w:r>
          </w:p>
        </w:tc>
        <w:tc>
          <w:tcPr>
            <w:tcW w:w="961" w:type="dxa"/>
            <w:tcBorders>
              <w:bottom w:val="single" w:sz="12" w:space="0" w:color="000000"/>
            </w:tcBorders>
          </w:tcPr>
          <w:p>
            <w:pPr>
              <w:pStyle w:val="TableParagraph"/>
              <w:spacing w:line="251" w:lineRule="exact"/>
              <w:ind w:left="269" w:right="272"/>
              <w:jc w:val="center"/>
              <w:rPr>
                <w:sz w:val="22"/>
              </w:rPr>
            </w:pPr>
            <w:r>
              <w:rPr>
                <w:sz w:val="22"/>
              </w:rPr>
              <w:t>45</w:t>
            </w:r>
          </w:p>
        </w:tc>
        <w:tc>
          <w:tcPr>
            <w:tcW w:w="1193" w:type="dxa"/>
            <w:tcBorders>
              <w:bottom w:val="single" w:sz="12" w:space="0" w:color="000000"/>
            </w:tcBorders>
          </w:tcPr>
          <w:p>
            <w:pPr>
              <w:pStyle w:val="TableParagraph"/>
              <w:spacing w:line="251" w:lineRule="exact"/>
              <w:ind w:left="121" w:right="121"/>
              <w:jc w:val="center"/>
              <w:rPr>
                <w:sz w:val="22"/>
              </w:rPr>
            </w:pPr>
            <w:r>
              <w:rPr>
                <w:sz w:val="22"/>
              </w:rPr>
              <w:t>69</w:t>
            </w:r>
          </w:p>
        </w:tc>
        <w:tc>
          <w:tcPr>
            <w:tcW w:w="1390" w:type="dxa"/>
            <w:tcBorders>
              <w:bottom w:val="single" w:sz="12" w:space="0" w:color="000000"/>
            </w:tcBorders>
          </w:tcPr>
          <w:p>
            <w:pPr>
              <w:pStyle w:val="TableParagraph"/>
              <w:spacing w:line="251" w:lineRule="exact"/>
              <w:ind w:left="91" w:right="86"/>
              <w:jc w:val="center"/>
              <w:rPr>
                <w:sz w:val="22"/>
              </w:rPr>
            </w:pPr>
            <w:r>
              <w:rPr>
                <w:sz w:val="22"/>
              </w:rPr>
              <w:t>0.00390625</w:t>
            </w:r>
          </w:p>
        </w:tc>
        <w:tc>
          <w:tcPr>
            <w:tcW w:w="1162" w:type="dxa"/>
            <w:tcBorders>
              <w:bottom w:val="single" w:sz="12" w:space="0" w:color="000000"/>
            </w:tcBorders>
          </w:tcPr>
          <w:p>
            <w:pPr>
              <w:pStyle w:val="TableParagraph"/>
              <w:spacing w:line="251" w:lineRule="exact"/>
              <w:ind w:left="218" w:right="218"/>
              <w:jc w:val="center"/>
              <w:rPr>
                <w:sz w:val="22"/>
              </w:rPr>
            </w:pPr>
            <w:r>
              <w:rPr>
                <w:sz w:val="22"/>
              </w:rPr>
              <w:t>0.062</w:t>
            </w:r>
          </w:p>
        </w:tc>
        <w:tc>
          <w:tcPr>
            <w:tcW w:w="1118" w:type="dxa"/>
            <w:tcBorders>
              <w:bottom w:val="single" w:sz="12" w:space="0" w:color="000000"/>
            </w:tcBorders>
          </w:tcPr>
          <w:p>
            <w:pPr>
              <w:pStyle w:val="TableParagraph"/>
              <w:spacing w:line="251" w:lineRule="exact"/>
              <w:ind w:left="432"/>
              <w:rPr>
                <w:sz w:val="22"/>
              </w:rPr>
            </w:pPr>
            <w:r>
              <w:rPr>
                <w:sz w:val="22"/>
              </w:rPr>
              <w:t>29</w:t>
            </w:r>
          </w:p>
        </w:tc>
        <w:tc>
          <w:tcPr>
            <w:tcW w:w="1193" w:type="dxa"/>
            <w:tcBorders>
              <w:bottom w:val="single" w:sz="12" w:space="0" w:color="000000"/>
            </w:tcBorders>
          </w:tcPr>
          <w:p>
            <w:pPr>
              <w:pStyle w:val="TableParagraph"/>
              <w:spacing w:line="251" w:lineRule="exact"/>
              <w:ind w:left="0" w:right="468"/>
              <w:jc w:val="right"/>
              <w:rPr>
                <w:sz w:val="22"/>
              </w:rPr>
            </w:pPr>
            <w:r>
              <w:rPr>
                <w:sz w:val="22"/>
              </w:rPr>
              <w:t>13</w:t>
            </w:r>
          </w:p>
        </w:tc>
        <w:tc>
          <w:tcPr>
            <w:tcW w:w="1277" w:type="dxa"/>
            <w:tcBorders>
              <w:bottom w:val="single" w:sz="12" w:space="0" w:color="000000"/>
            </w:tcBorders>
          </w:tcPr>
          <w:p>
            <w:pPr>
              <w:pStyle w:val="TableParagraph"/>
              <w:spacing w:line="251" w:lineRule="exact"/>
              <w:ind w:left="338" w:right="338"/>
              <w:jc w:val="center"/>
              <w:rPr>
                <w:sz w:val="22"/>
              </w:rPr>
            </w:pPr>
            <w:r>
              <w:rPr>
                <w:sz w:val="22"/>
              </w:rPr>
              <w:t>0.500</w:t>
            </w:r>
          </w:p>
        </w:tc>
        <w:tc>
          <w:tcPr>
            <w:tcW w:w="1274" w:type="dxa"/>
            <w:tcBorders>
              <w:bottom w:val="single" w:sz="12" w:space="0" w:color="000000"/>
            </w:tcBorders>
          </w:tcPr>
          <w:p>
            <w:pPr>
              <w:pStyle w:val="TableParagraph"/>
              <w:spacing w:line="251" w:lineRule="exact"/>
              <w:ind w:left="295" w:right="98"/>
              <w:rPr>
                <w:sz w:val="22"/>
              </w:rPr>
            </w:pPr>
            <w:r>
              <w:rPr>
                <w:sz w:val="22"/>
              </w:rPr>
              <w:t>16.813</w:t>
            </w:r>
          </w:p>
        </w:tc>
      </w:tr>
    </w:tbl>
    <w:p>
      <w:pPr>
        <w:pStyle w:val="BodyText"/>
        <w:spacing w:line="362" w:lineRule="auto"/>
        <w:ind w:left="218" w:right="244"/>
        <w:jc w:val="both"/>
      </w:pPr>
      <w:r>
        <w:rPr>
          <w:b/>
        </w:rPr>
        <w:t>Fuente: </w:t>
      </w:r>
      <w:r>
        <w:rPr/>
        <w:t>elaboración propia con base en el sistema PEIR de la CHPH para la simplificación de las AEPA social y política en sociopolítica.</w:t>
      </w:r>
    </w:p>
    <w:p>
      <w:pPr>
        <w:pStyle w:val="BodyText"/>
        <w:spacing w:before="4"/>
        <w:rPr>
          <w:sz w:val="17"/>
        </w:rPr>
      </w:pPr>
    </w:p>
    <w:p>
      <w:pPr>
        <w:pStyle w:val="Heading6"/>
        <w:numPr>
          <w:ilvl w:val="2"/>
          <w:numId w:val="58"/>
        </w:numPr>
        <w:tabs>
          <w:tab w:pos="833" w:val="left" w:leader="none"/>
        </w:tabs>
        <w:spacing w:line="240" w:lineRule="auto" w:before="0" w:after="0"/>
        <w:ind w:left="832" w:right="0" w:hanging="614"/>
        <w:jc w:val="both"/>
      </w:pPr>
      <w:r>
        <w:rPr/>
        <w:t>Resultado del sistema PEIR-CHPH con tres </w:t>
      </w:r>
      <w:r>
        <w:rPr>
          <w:spacing w:val="-3"/>
        </w:rPr>
        <w:t>AEPA: </w:t>
      </w:r>
      <w:r>
        <w:rPr/>
        <w:t>Tarjetas de Valoración</w:t>
      </w:r>
      <w:r>
        <w:rPr>
          <w:spacing w:val="-3"/>
        </w:rPr>
        <w:t> </w:t>
      </w:r>
      <w:r>
        <w:rPr/>
        <w:t>(Scorecards)</w:t>
      </w:r>
    </w:p>
    <w:p>
      <w:pPr>
        <w:pStyle w:val="BodyText"/>
        <w:spacing w:before="9"/>
        <w:rPr>
          <w:b/>
          <w:sz w:val="20"/>
        </w:rPr>
      </w:pPr>
    </w:p>
    <w:p>
      <w:pPr>
        <w:pStyle w:val="BodyText"/>
        <w:spacing w:line="360" w:lineRule="auto"/>
        <w:ind w:left="218" w:right="231"/>
        <w:jc w:val="both"/>
      </w:pPr>
      <w:r>
        <w:rPr/>
        <w:t>Con las tarjetas de valoración (scorecards), se obtuvo un diagnóstico general de la problemática de la Cuenca Hidrosocial Presa Huapango a través de los procesos históricos, con el cual, se pudo elaborar, de forma simplificada y satisfactoria, la propuesta de Comité Intermunicipal con su Reglamento.</w:t>
      </w:r>
    </w:p>
    <w:p>
      <w:pPr>
        <w:spacing w:after="0" w:line="360" w:lineRule="auto"/>
        <w:jc w:val="both"/>
        <w:sectPr>
          <w:pgSz w:w="15840" w:h="12240" w:orient="landscape"/>
          <w:pgMar w:header="0" w:footer="943" w:top="1140" w:bottom="1140" w:left="1200" w:right="1180"/>
        </w:sectPr>
      </w:pPr>
    </w:p>
    <w:p>
      <w:pPr>
        <w:pStyle w:val="BodyText"/>
        <w:rPr>
          <w:sz w:val="20"/>
        </w:rPr>
      </w:pPr>
    </w:p>
    <w:p>
      <w:pPr>
        <w:pStyle w:val="BodyText"/>
        <w:spacing w:before="1"/>
      </w:pPr>
    </w:p>
    <w:p>
      <w:pPr>
        <w:pStyle w:val="Heading6"/>
        <w:spacing w:line="276" w:lineRule="auto" w:before="73"/>
        <w:ind w:left="213" w:right="214"/>
        <w:jc w:val="center"/>
      </w:pPr>
      <w:r>
        <w:rPr/>
        <w:t>FORMATO DE LAS TARJETAS DE VALORACIÓN (SCORECARDS) DE LOS FACTORES CRÍTICOS DE ÉXITO DEL SISTEMA PEIR DE LA CHPH</w:t>
      </w:r>
    </w:p>
    <w:p>
      <w:pPr>
        <w:pStyle w:val="BodyText"/>
        <w:spacing w:before="9"/>
        <w:rPr>
          <w:b/>
          <w:sz w:val="17"/>
        </w:rPr>
      </w:pPr>
    </w:p>
    <w:p>
      <w:pPr>
        <w:pStyle w:val="BodyText"/>
        <w:spacing w:line="360" w:lineRule="auto"/>
        <w:ind w:left="118" w:right="111"/>
        <w:jc w:val="both"/>
      </w:pPr>
      <w:r>
        <w:rPr/>
        <w:t>Las tarjetas de valoración (scorecards) que aquí se presentan, identifican y describen a los </w:t>
      </w:r>
      <w:r>
        <w:rPr>
          <w:i/>
        </w:rPr>
        <w:t>indicadores </w:t>
      </w:r>
      <w:r>
        <w:rPr/>
        <w:t>que son los Factores Críticos de Éxito (FCE), y que resultaron del sistema PEIR para las AEPA ambiental, sociopolítica y económica de la CHPH. Las tarjetas de valoración permiten estructurar, contextualizar y caracterizar la información de los indicadores a través de la historia en </w:t>
      </w:r>
      <w:r>
        <w:rPr>
          <w:spacing w:val="4"/>
        </w:rPr>
        <w:t>la </w:t>
      </w:r>
      <w:r>
        <w:rPr/>
        <w:t>CHPH  para valorar los factores y procesos que interactúan en la problemática de la Cuenca (CHPH), para proponer con base en ellos, la creación de un comité intermunicipal para cuidar, defender y administrar los recursos naturales con su</w:t>
      </w:r>
      <w:r>
        <w:rPr>
          <w:spacing w:val="-35"/>
        </w:rPr>
        <w:t> </w:t>
      </w:r>
      <w:r>
        <w:rPr/>
        <w:t>reglamento.</w:t>
      </w:r>
    </w:p>
    <w:p>
      <w:pPr>
        <w:pStyle w:val="BodyText"/>
        <w:spacing w:line="360" w:lineRule="auto" w:before="3"/>
        <w:ind w:left="118" w:right="109"/>
        <w:jc w:val="both"/>
      </w:pPr>
      <w:r>
        <w:rPr/>
        <w:t>Las tarjetas de valoración están realizadas conforme al formato diseñado con la ayuda del Dr. Carlos Díaz (2016), que permiten identificar y describir las principales características ambientales, sociopolíticas y económicas del indicador que resultaron del análisis del trabajo de campo y de gabinete, en el sistema PEIR: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6"/>
        <w:spacing w:before="181"/>
        <w:ind w:left="213" w:right="213"/>
        <w:jc w:val="center"/>
      </w:pPr>
      <w:r>
        <w:rPr/>
        <w:t>FORMATO DE LA TARJETA DE VALORACIÓN DEL INDICADOR (SCORECARD)</w:t>
      </w:r>
    </w:p>
    <w:p>
      <w:pPr>
        <w:spacing w:after="0"/>
        <w:jc w:val="center"/>
        <w:sectPr>
          <w:footerReference w:type="default" r:id="rId262"/>
          <w:pgSz w:w="15840" w:h="12240" w:orient="landscape"/>
          <w:pgMar w:footer="943" w:header="0" w:top="1140" w:bottom="1140" w:left="1300" w:right="1300"/>
          <w:pgNumType w:start="54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60"/>
        <w:gridCol w:w="283"/>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765"/>
              <w:rPr>
                <w:b/>
                <w:sz w:val="22"/>
              </w:rPr>
            </w:pPr>
            <w:r>
              <w:rPr>
                <w:b/>
                <w:sz w:val="22"/>
              </w:rPr>
              <w:t>1.- Ambiental, 2.- Económica, 3.- Sociopolítica</w:t>
            </w:r>
          </w:p>
        </w:tc>
        <w:tc>
          <w:tcPr>
            <w:tcW w:w="3274" w:type="dxa"/>
            <w:gridSpan w:val="5"/>
            <w:vMerge w:val="restart"/>
          </w:tcPr>
          <w:p>
            <w:pPr>
              <w:pStyle w:val="TableParagraph"/>
              <w:ind w:left="0"/>
              <w:rPr>
                <w:rFonts w:ascii="Times New Roman"/>
                <w:sz w:val="22"/>
              </w:rPr>
            </w:pPr>
          </w:p>
          <w:p>
            <w:pPr>
              <w:pStyle w:val="TableParagraph"/>
              <w:spacing w:before="7"/>
              <w:ind w:left="0"/>
              <w:rPr>
                <w:rFonts w:ascii="Times New Roman"/>
                <w:sz w:val="21"/>
              </w:rPr>
            </w:pPr>
          </w:p>
          <w:p>
            <w:pPr>
              <w:pStyle w:val="TableParagraph"/>
              <w:ind w:left="854" w:right="105" w:hanging="735"/>
              <w:rPr>
                <w:b/>
                <w:sz w:val="22"/>
              </w:rPr>
            </w:pPr>
            <w:r>
              <w:rPr>
                <w:b/>
                <w:sz w:val="22"/>
              </w:rPr>
              <w:t>Nombre del indicador que se está valorando</w:t>
            </w:r>
          </w:p>
        </w:tc>
        <w:tc>
          <w:tcPr>
            <w:tcW w:w="3277" w:type="dxa"/>
            <w:gridSpan w:val="3"/>
            <w:vMerge w:val="restart"/>
          </w:tcPr>
          <w:p>
            <w:pPr>
              <w:pStyle w:val="TableParagraph"/>
              <w:ind w:left="100" w:right="103"/>
              <w:jc w:val="both"/>
              <w:rPr>
                <w:b/>
                <w:sz w:val="22"/>
              </w:rPr>
            </w:pPr>
            <w:r>
              <w:rPr>
                <w:b/>
                <w:sz w:val="22"/>
              </w:rPr>
              <w:t>Es el fin que se persigue con la valoración del indicador en función de la AEPA a la que pertenece y al sistema PEIR.</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770" w:hRule="exact"/>
        </w:trPr>
        <w:tc>
          <w:tcPr>
            <w:tcW w:w="2093" w:type="dxa"/>
            <w:gridSpan w:val="2"/>
          </w:tcPr>
          <w:p>
            <w:pPr>
              <w:pStyle w:val="TableParagraph"/>
              <w:ind w:left="196" w:right="194"/>
              <w:jc w:val="center"/>
              <w:rPr>
                <w:b/>
                <w:sz w:val="22"/>
              </w:rPr>
            </w:pPr>
            <w:r>
              <w:rPr>
                <w:b/>
                <w:sz w:val="22"/>
              </w:rPr>
              <w:t>Peso específico del indicador en el sistema</w:t>
            </w:r>
          </w:p>
        </w:tc>
        <w:tc>
          <w:tcPr>
            <w:tcW w:w="1985" w:type="dxa"/>
            <w:gridSpan w:val="2"/>
          </w:tcPr>
          <w:p>
            <w:pPr>
              <w:pStyle w:val="TableParagraph"/>
              <w:ind w:left="114" w:right="115"/>
              <w:jc w:val="center"/>
              <w:rPr>
                <w:b/>
                <w:sz w:val="22"/>
              </w:rPr>
            </w:pPr>
            <w:r>
              <w:rPr>
                <w:b/>
                <w:sz w:val="22"/>
              </w:rPr>
              <w:t>Porcentaje de la AEPA en el sistema</w:t>
            </w:r>
          </w:p>
        </w:tc>
        <w:tc>
          <w:tcPr>
            <w:tcW w:w="2268" w:type="dxa"/>
            <w:gridSpan w:val="2"/>
          </w:tcPr>
          <w:p>
            <w:pPr>
              <w:pStyle w:val="TableParagraph"/>
              <w:ind w:left="108" w:right="104"/>
              <w:jc w:val="center"/>
              <w:rPr>
                <w:b/>
                <w:sz w:val="22"/>
              </w:rPr>
            </w:pPr>
            <w:r>
              <w:rPr>
                <w:b/>
                <w:sz w:val="22"/>
              </w:rPr>
              <w:t>Peso específico del indicador con respecto a la AEPA</w:t>
            </w:r>
          </w:p>
        </w:tc>
        <w:tc>
          <w:tcPr>
            <w:tcW w:w="3274" w:type="dxa"/>
            <w:gridSpan w:val="5"/>
            <w:vMerge/>
          </w:tcPr>
          <w:p>
            <w:pPr/>
          </w:p>
        </w:tc>
        <w:tc>
          <w:tcPr>
            <w:tcW w:w="3277" w:type="dxa"/>
            <w:gridSpan w:val="3"/>
            <w:vMerge/>
          </w:tcPr>
          <w:p>
            <w:pPr/>
          </w:p>
        </w:tc>
      </w:tr>
      <w:tr>
        <w:trPr>
          <w:trHeight w:val="396" w:hRule="exact"/>
        </w:trPr>
        <w:tc>
          <w:tcPr>
            <w:tcW w:w="6347" w:type="dxa"/>
            <w:gridSpan w:val="6"/>
          </w:tcPr>
          <w:p>
            <w:pPr>
              <w:pStyle w:val="TableParagraph"/>
              <w:spacing w:line="248" w:lineRule="exact"/>
              <w:ind w:left="470"/>
              <w:rPr>
                <w:b/>
                <w:sz w:val="22"/>
              </w:rPr>
            </w:pPr>
            <w:r>
              <w:rPr>
                <w:b/>
                <w:sz w:val="22"/>
              </w:rPr>
              <w:t>Número de AEPA a la que corresponde el indicador</w:t>
            </w:r>
          </w:p>
        </w:tc>
        <w:tc>
          <w:tcPr>
            <w:tcW w:w="6551" w:type="dxa"/>
            <w:gridSpan w:val="8"/>
          </w:tcPr>
          <w:p>
            <w:pPr>
              <w:pStyle w:val="TableParagraph"/>
              <w:spacing w:line="248" w:lineRule="exact"/>
              <w:ind w:left="206"/>
              <w:rPr>
                <w:b/>
                <w:sz w:val="22"/>
              </w:rPr>
            </w:pPr>
            <w:r>
              <w:rPr>
                <w:b/>
                <w:sz w:val="22"/>
              </w:rPr>
              <w:t>Categoría del sistema PEIR a la que pertenece el indicador</w:t>
            </w:r>
          </w:p>
        </w:tc>
      </w:tr>
      <w:tr>
        <w:trPr>
          <w:trHeight w:val="264" w:hRule="exact"/>
        </w:trPr>
        <w:tc>
          <w:tcPr>
            <w:tcW w:w="2093" w:type="dxa"/>
            <w:gridSpan w:val="2"/>
          </w:tcPr>
          <w:p>
            <w:pPr>
              <w:pStyle w:val="TableParagraph"/>
              <w:spacing w:line="248" w:lineRule="exact"/>
              <w:ind w:left="0" w:right="1"/>
              <w:jc w:val="center"/>
              <w:rPr>
                <w:b/>
                <w:sz w:val="22"/>
              </w:rPr>
            </w:pPr>
            <w:r>
              <w:rPr>
                <w:b/>
                <w:w w:val="100"/>
                <w:sz w:val="22"/>
              </w:rPr>
              <w:t>1</w:t>
            </w:r>
          </w:p>
        </w:tc>
        <w:tc>
          <w:tcPr>
            <w:tcW w:w="1985" w:type="dxa"/>
            <w:gridSpan w:val="2"/>
          </w:tcPr>
          <w:p>
            <w:pPr>
              <w:pStyle w:val="TableParagraph"/>
              <w:spacing w:line="248" w:lineRule="exact"/>
              <w:ind w:left="0"/>
              <w:jc w:val="center"/>
              <w:rPr>
                <w:b/>
                <w:sz w:val="22"/>
              </w:rPr>
            </w:pPr>
            <w:r>
              <w:rPr>
                <w:b/>
                <w:w w:val="100"/>
                <w:sz w:val="22"/>
              </w:rPr>
              <w:t>2</w:t>
            </w:r>
          </w:p>
        </w:tc>
        <w:tc>
          <w:tcPr>
            <w:tcW w:w="2268" w:type="dxa"/>
            <w:gridSpan w:val="2"/>
          </w:tcPr>
          <w:p>
            <w:pPr>
              <w:pStyle w:val="TableParagraph"/>
              <w:spacing w:line="248" w:lineRule="exact"/>
              <w:ind w:left="0"/>
              <w:jc w:val="center"/>
              <w:rPr>
                <w:b/>
                <w:sz w:val="22"/>
              </w:rPr>
            </w:pPr>
            <w:r>
              <w:rPr>
                <w:b/>
                <w:w w:val="100"/>
                <w:sz w:val="22"/>
              </w:rPr>
              <w:t>3</w:t>
            </w:r>
          </w:p>
        </w:tc>
        <w:tc>
          <w:tcPr>
            <w:tcW w:w="1702" w:type="dxa"/>
            <w:gridSpan w:val="2"/>
          </w:tcPr>
          <w:p>
            <w:pPr>
              <w:pStyle w:val="TableParagraph"/>
              <w:spacing w:line="248" w:lineRule="exact"/>
              <w:ind w:left="0"/>
              <w:jc w:val="center"/>
              <w:rPr>
                <w:b/>
                <w:sz w:val="22"/>
              </w:rPr>
            </w:pPr>
            <w:r>
              <w:rPr>
                <w:b/>
                <w:w w:val="100"/>
                <w:sz w:val="22"/>
              </w:rPr>
              <w:t>P</w:t>
            </w:r>
          </w:p>
        </w:tc>
        <w:tc>
          <w:tcPr>
            <w:tcW w:w="1416" w:type="dxa"/>
            <w:gridSpan w:val="2"/>
          </w:tcPr>
          <w:p>
            <w:pPr>
              <w:pStyle w:val="TableParagraph"/>
              <w:spacing w:line="248" w:lineRule="exact"/>
              <w:ind w:left="0" w:right="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2"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4"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511"/>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516" w:hRule="exact"/>
        </w:trPr>
        <w:tc>
          <w:tcPr>
            <w:tcW w:w="6488" w:type="dxa"/>
            <w:gridSpan w:val="7"/>
            <w:shd w:val="clear" w:color="auto" w:fill="92CDDC"/>
          </w:tcPr>
          <w:p>
            <w:pPr>
              <w:pStyle w:val="TableParagraph"/>
              <w:spacing w:line="252" w:lineRule="exact"/>
              <w:ind w:left="297" w:right="280" w:firstLine="139"/>
              <w:rPr>
                <w:b/>
                <w:sz w:val="22"/>
              </w:rPr>
            </w:pPr>
            <w:r>
              <w:rPr>
                <w:b/>
                <w:sz w:val="22"/>
              </w:rPr>
              <w:t>Son los resultados del indicador que se obtuvieron al interrelacionar todos los indicadores en el sistema PEIR</w:t>
            </w:r>
          </w:p>
        </w:tc>
        <w:tc>
          <w:tcPr>
            <w:tcW w:w="6409" w:type="dxa"/>
            <w:gridSpan w:val="7"/>
            <w:shd w:val="clear" w:color="auto" w:fill="F9BE8F"/>
          </w:tcPr>
          <w:p>
            <w:pPr>
              <w:pStyle w:val="TableParagraph"/>
              <w:spacing w:line="252" w:lineRule="exact"/>
              <w:ind w:left="434" w:right="382" w:hanging="36"/>
              <w:rPr>
                <w:b/>
                <w:sz w:val="22"/>
              </w:rPr>
            </w:pPr>
            <w:r>
              <w:rPr>
                <w:b/>
                <w:sz w:val="22"/>
              </w:rPr>
              <w:t>Son los resultados del indicador que se obtuvieron al interrelacionar los indicadores en la AEPA ambiental</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Representa a aquello que varía o que está sujeto a algún tipo de cambio.</w:t>
            </w:r>
          </w:p>
        </w:tc>
      </w:tr>
      <w:tr>
        <w:trPr>
          <w:trHeight w:val="262" w:hRule="exact"/>
        </w:trPr>
        <w:tc>
          <w:tcPr>
            <w:tcW w:w="2290" w:type="dxa"/>
            <w:gridSpan w:val="3"/>
          </w:tcPr>
          <w:p>
            <w:pPr>
              <w:pStyle w:val="TableParagraph"/>
              <w:spacing w:line="248" w:lineRule="exact"/>
              <w:ind w:left="453" w:right="408"/>
              <w:rPr>
                <w:b/>
                <w:sz w:val="22"/>
              </w:rPr>
            </w:pPr>
            <w:r>
              <w:rPr>
                <w:b/>
                <w:sz w:val="22"/>
              </w:rPr>
              <w:t>Metodología:</w:t>
            </w:r>
          </w:p>
        </w:tc>
        <w:tc>
          <w:tcPr>
            <w:tcW w:w="10607" w:type="dxa"/>
            <w:gridSpan w:val="11"/>
          </w:tcPr>
          <w:p>
            <w:pPr>
              <w:pStyle w:val="TableParagraph"/>
              <w:spacing w:line="251" w:lineRule="exact"/>
              <w:ind w:right="103"/>
              <w:rPr>
                <w:sz w:val="22"/>
              </w:rPr>
            </w:pPr>
            <w:r>
              <w:rPr>
                <w:sz w:val="22"/>
              </w:rPr>
              <w:t>Conjunto de métodos que se siguieron para obtener la información del indicador.</w:t>
            </w:r>
          </w:p>
        </w:tc>
      </w:tr>
      <w:tr>
        <w:trPr>
          <w:trHeight w:val="264"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262" w:hRule="exact"/>
        </w:trPr>
        <w:tc>
          <w:tcPr>
            <w:tcW w:w="12897" w:type="dxa"/>
            <w:gridSpan w:val="14"/>
          </w:tcPr>
          <w:p>
            <w:pPr>
              <w:pStyle w:val="TableParagraph"/>
              <w:spacing w:line="251" w:lineRule="exact"/>
              <w:ind w:left="2757" w:right="163"/>
              <w:rPr>
                <w:sz w:val="22"/>
              </w:rPr>
            </w:pPr>
            <w:r>
              <w:rPr>
                <w:sz w:val="22"/>
              </w:rPr>
              <w:t>Conjunto de proposiciones por medio de las cuales se designa al indicador.</w:t>
            </w:r>
          </w:p>
        </w:tc>
      </w:tr>
      <w:tr>
        <w:trPr>
          <w:trHeight w:val="264" w:hRule="exact"/>
        </w:trPr>
        <w:tc>
          <w:tcPr>
            <w:tcW w:w="4295" w:type="dxa"/>
            <w:gridSpan w:val="5"/>
          </w:tcPr>
          <w:p>
            <w:pPr>
              <w:pStyle w:val="TableParagraph"/>
              <w:spacing w:line="251" w:lineRule="exact"/>
              <w:ind w:left="1097" w:right="213"/>
              <w:rPr>
                <w:b/>
                <w:sz w:val="22"/>
              </w:rPr>
            </w:pPr>
            <w:r>
              <w:rPr>
                <w:b/>
                <w:sz w:val="22"/>
              </w:rPr>
              <w:t>Unidad de medición</w:t>
            </w:r>
          </w:p>
        </w:tc>
        <w:tc>
          <w:tcPr>
            <w:tcW w:w="8603" w:type="dxa"/>
            <w:gridSpan w:val="9"/>
          </w:tcPr>
          <w:p>
            <w:pPr>
              <w:pStyle w:val="TableParagraph"/>
              <w:spacing w:line="251" w:lineRule="exact"/>
              <w:ind w:left="2419" w:right="108"/>
              <w:rPr>
                <w:b/>
                <w:sz w:val="22"/>
              </w:rPr>
            </w:pPr>
            <w:r>
              <w:rPr>
                <w:b/>
                <w:sz w:val="22"/>
              </w:rPr>
              <w:t>Definición de la unidad de medición</w:t>
            </w:r>
          </w:p>
        </w:tc>
      </w:tr>
      <w:tr>
        <w:trPr>
          <w:trHeight w:val="517" w:hRule="exact"/>
        </w:trPr>
        <w:tc>
          <w:tcPr>
            <w:tcW w:w="4295" w:type="dxa"/>
            <w:gridSpan w:val="5"/>
          </w:tcPr>
          <w:p>
            <w:pPr>
              <w:pStyle w:val="TableParagraph"/>
              <w:spacing w:line="242" w:lineRule="auto"/>
              <w:ind w:right="213"/>
              <w:rPr>
                <w:sz w:val="22"/>
              </w:rPr>
            </w:pPr>
            <w:r>
              <w:rPr>
                <w:sz w:val="22"/>
              </w:rPr>
              <w:t>Cantidad numérica o adimensional que sirve para medir el indicador.</w:t>
            </w:r>
          </w:p>
        </w:tc>
        <w:tc>
          <w:tcPr>
            <w:tcW w:w="8603" w:type="dxa"/>
            <w:gridSpan w:val="9"/>
          </w:tcPr>
          <w:p>
            <w:pPr>
              <w:pStyle w:val="TableParagraph"/>
              <w:spacing w:line="242" w:lineRule="auto"/>
              <w:ind w:right="108"/>
              <w:rPr>
                <w:sz w:val="22"/>
              </w:rPr>
            </w:pPr>
            <w:r>
              <w:rPr>
                <w:sz w:val="22"/>
              </w:rPr>
              <w:t>Son las características específicas que definen la unidad de medición del indicador y que nos permiten proporcionar ejemplos.</w:t>
            </w:r>
          </w:p>
        </w:tc>
      </w:tr>
      <w:tr>
        <w:trPr>
          <w:trHeight w:val="1022" w:hRule="exact"/>
        </w:trPr>
        <w:tc>
          <w:tcPr>
            <w:tcW w:w="12897" w:type="dxa"/>
            <w:gridSpan w:val="14"/>
          </w:tcPr>
          <w:p>
            <w:pPr>
              <w:pStyle w:val="TableParagraph"/>
              <w:spacing w:line="248" w:lineRule="exact"/>
              <w:ind w:left="1495" w:right="163"/>
              <w:rPr>
                <w:b/>
                <w:sz w:val="22"/>
              </w:rPr>
            </w:pPr>
            <w:r>
              <w:rPr>
                <w:b/>
                <w:sz w:val="22"/>
              </w:rPr>
              <w:t>ANÁLISIS-CAUSA EFECTO DEL INDICADOR BAJO UN SISTEMA PEIR PARA LA VALORACIÓN</w:t>
            </w:r>
          </w:p>
          <w:p>
            <w:pPr>
              <w:pStyle w:val="TableParagraph"/>
              <w:spacing w:before="4"/>
              <w:ind w:right="106"/>
              <w:jc w:val="both"/>
              <w:rPr>
                <w:sz w:val="22"/>
              </w:rPr>
            </w:pPr>
            <w:r>
              <w:rPr>
                <w:sz w:val="22"/>
              </w:rPr>
              <w:t>Es el análisis causa-efecto de un sistema PEIR del indicador a través de la historia que permite ser representado en una gráfica y darle una calificación en la tarjeta de valoración de acuerdo al impacto positivo en los ámbitos ambiental, económico y sociopolítico.</w:t>
            </w:r>
          </w:p>
        </w:tc>
      </w:tr>
      <w:tr>
        <w:trPr>
          <w:trHeight w:val="262" w:hRule="exact"/>
        </w:trPr>
        <w:tc>
          <w:tcPr>
            <w:tcW w:w="12897" w:type="dxa"/>
            <w:gridSpan w:val="14"/>
          </w:tcPr>
          <w:p>
            <w:pPr>
              <w:pStyle w:val="TableParagraph"/>
              <w:spacing w:line="248" w:lineRule="exact"/>
              <w:ind w:left="171" w:right="175"/>
              <w:jc w:val="center"/>
              <w:rPr>
                <w:b/>
                <w:sz w:val="22"/>
              </w:rPr>
            </w:pPr>
            <w:r>
              <w:rPr>
                <w:b/>
                <w:sz w:val="22"/>
              </w:rPr>
              <w:t>Valoración del</w:t>
            </w:r>
            <w:r>
              <w:rPr>
                <w:b/>
                <w:spacing w:val="-5"/>
                <w:sz w:val="22"/>
              </w:rPr>
              <w:t> </w:t>
            </w:r>
            <w:r>
              <w:rPr>
                <w:b/>
                <w:sz w:val="22"/>
              </w:rPr>
              <w:t>indicador</w:t>
            </w:r>
          </w:p>
        </w:tc>
      </w:tr>
    </w:tbl>
    <w:p>
      <w:pPr>
        <w:spacing w:after="0" w:line="248" w:lineRule="exact"/>
        <w:jc w:val="center"/>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35.5pt;margin-top:388.269989pt;width:70.8pt;height:127pt;mso-position-horizontal-relative:page;mso-position-vertical-relative:page;z-index:-3331480" coordorigin="12710,7765" coordsize="1416,2540">
            <v:shape style="position:absolute;left:12710;top:7766;width:1416;height:2540" type="#_x0000_t75" stroked="false">
              <v:imagedata r:id="rId263" o:title=""/>
            </v:shape>
            <v:shape style="position:absolute;left:12813;top:7765;width:1210;height:230" type="#_x0000_t75" stroked="false">
              <v:imagedata r:id="rId264" o:title=""/>
            </v:shape>
            <v:shape style="position:absolute;left:12813;top:7996;width:1210;height:228" type="#_x0000_t75" stroked="false">
              <v:imagedata r:id="rId265" o:title=""/>
            </v:shape>
            <v:shape style="position:absolute;left:12813;top:8224;width:1210;height:230" type="#_x0000_t75" stroked="false">
              <v:imagedata r:id="rId266"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2"/>
        <w:gridCol w:w="1526"/>
        <w:gridCol w:w="1352"/>
        <w:gridCol w:w="2093"/>
        <w:gridCol w:w="2379"/>
        <w:gridCol w:w="1865"/>
        <w:gridCol w:w="1464"/>
      </w:tblGrid>
      <w:tr>
        <w:trPr>
          <w:trHeight w:val="262" w:hRule="exact"/>
        </w:trPr>
        <w:tc>
          <w:tcPr>
            <w:tcW w:w="12822" w:type="dxa"/>
            <w:gridSpan w:val="7"/>
          </w:tcPr>
          <w:p>
            <w:pPr>
              <w:pStyle w:val="TableParagraph"/>
              <w:spacing w:line="251" w:lineRule="exact"/>
              <w:ind w:left="27" w:right="57"/>
              <w:rPr>
                <w:sz w:val="22"/>
              </w:rPr>
            </w:pPr>
            <w:r>
              <w:rPr>
                <w:sz w:val="22"/>
              </w:rPr>
              <w:t>Es la evaluación del indicador mediante una tarjeta de valoración:</w:t>
            </w:r>
          </w:p>
        </w:tc>
      </w:tr>
      <w:tr>
        <w:trPr>
          <w:trHeight w:val="470" w:hRule="exact"/>
        </w:trPr>
        <w:tc>
          <w:tcPr>
            <w:tcW w:w="2142" w:type="dxa"/>
            <w:vMerge w:val="restart"/>
            <w:tcBorders>
              <w:left w:val="double" w:sz="11" w:space="0" w:color="000000"/>
            </w:tcBorders>
          </w:tcPr>
          <w:p>
            <w:pPr>
              <w:pStyle w:val="TableParagraph"/>
              <w:spacing w:before="9"/>
              <w:ind w:left="0"/>
              <w:rPr>
                <w:rFonts w:ascii="Times New Roman"/>
                <w:sz w:val="19"/>
              </w:rPr>
            </w:pPr>
          </w:p>
          <w:p>
            <w:pPr>
              <w:pStyle w:val="TableParagraph"/>
              <w:ind w:left="696"/>
              <w:rPr>
                <w:sz w:val="20"/>
              </w:rPr>
            </w:pPr>
            <w:r>
              <w:rPr>
                <w:sz w:val="20"/>
              </w:rPr>
              <w:t>Período</w:t>
            </w:r>
          </w:p>
        </w:tc>
        <w:tc>
          <w:tcPr>
            <w:tcW w:w="1526" w:type="dxa"/>
            <w:vMerge w:val="restart"/>
          </w:tcPr>
          <w:p>
            <w:pPr>
              <w:pStyle w:val="TableParagraph"/>
              <w:ind w:right="93"/>
              <w:rPr>
                <w:sz w:val="20"/>
              </w:rPr>
            </w:pPr>
            <w:r>
              <w:rPr>
                <w:sz w:val="20"/>
              </w:rPr>
              <w:t>Clasificación por número de eventos en el período</w:t>
            </w:r>
          </w:p>
        </w:tc>
        <w:tc>
          <w:tcPr>
            <w:tcW w:w="7689" w:type="dxa"/>
            <w:gridSpan w:val="4"/>
          </w:tcPr>
          <w:p>
            <w:pPr>
              <w:pStyle w:val="TableParagraph"/>
              <w:spacing w:line="242" w:lineRule="auto"/>
              <w:ind w:right="100"/>
              <w:rPr>
                <w:sz w:val="20"/>
              </w:rPr>
            </w:pPr>
            <w:r>
              <w:rPr>
                <w:sz w:val="20"/>
              </w:rPr>
              <w:t>Clasificación por </w:t>
            </w:r>
            <w:r>
              <w:rPr>
                <w:b/>
                <w:sz w:val="20"/>
              </w:rPr>
              <w:t>características de impacto positivo o negativo </w:t>
            </w:r>
            <w:r>
              <w:rPr>
                <w:sz w:val="20"/>
              </w:rPr>
              <w:t>en los ámbitos ambiental-sociopolítico-económico</w:t>
            </w:r>
          </w:p>
        </w:tc>
        <w:tc>
          <w:tcPr>
            <w:tcW w:w="1464" w:type="dxa"/>
            <w:vMerge w:val="restart"/>
            <w:tcBorders>
              <w:right w:val="double" w:sz="12" w:space="0" w:color="000000"/>
            </w:tcBorders>
          </w:tcPr>
          <w:p>
            <w:pPr>
              <w:pStyle w:val="TableParagraph"/>
              <w:spacing w:before="112"/>
              <w:ind w:left="154" w:right="155"/>
              <w:jc w:val="center"/>
              <w:rPr>
                <w:sz w:val="20"/>
              </w:rPr>
            </w:pPr>
            <w:r>
              <w:rPr>
                <w:w w:val="95"/>
                <w:sz w:val="20"/>
              </w:rPr>
              <w:t>Clasificación </w:t>
            </w:r>
            <w:r>
              <w:rPr>
                <w:sz w:val="20"/>
              </w:rPr>
              <w:t>de la calificación</w:t>
            </w:r>
          </w:p>
        </w:tc>
      </w:tr>
      <w:tr>
        <w:trPr>
          <w:trHeight w:val="461" w:hRule="exact"/>
        </w:trPr>
        <w:tc>
          <w:tcPr>
            <w:tcW w:w="2142" w:type="dxa"/>
            <w:vMerge/>
            <w:tcBorders>
              <w:left w:val="double" w:sz="11" w:space="0" w:color="000000"/>
            </w:tcBorders>
          </w:tcPr>
          <w:p>
            <w:pPr/>
          </w:p>
        </w:tc>
        <w:tc>
          <w:tcPr>
            <w:tcW w:w="1526" w:type="dxa"/>
            <w:vMerge/>
          </w:tcPr>
          <w:p>
            <w:pPr/>
          </w:p>
        </w:tc>
        <w:tc>
          <w:tcPr>
            <w:tcW w:w="1352" w:type="dxa"/>
          </w:tcPr>
          <w:p>
            <w:pPr>
              <w:pStyle w:val="TableParagraph"/>
              <w:spacing w:line="227" w:lineRule="exact"/>
              <w:rPr>
                <w:sz w:val="20"/>
              </w:rPr>
            </w:pPr>
            <w:r>
              <w:rPr>
                <w:sz w:val="20"/>
              </w:rPr>
              <w:t>Subsistema</w:t>
            </w:r>
          </w:p>
        </w:tc>
        <w:tc>
          <w:tcPr>
            <w:tcW w:w="2093" w:type="dxa"/>
          </w:tcPr>
          <w:p>
            <w:pPr>
              <w:pStyle w:val="TableParagraph"/>
              <w:spacing w:line="227" w:lineRule="exact"/>
              <w:ind w:left="100"/>
              <w:rPr>
                <w:sz w:val="20"/>
              </w:rPr>
            </w:pPr>
            <w:r>
              <w:rPr>
                <w:sz w:val="20"/>
              </w:rPr>
              <w:t>características</w:t>
            </w:r>
          </w:p>
        </w:tc>
        <w:tc>
          <w:tcPr>
            <w:tcW w:w="2379" w:type="dxa"/>
          </w:tcPr>
          <w:p>
            <w:pPr>
              <w:pStyle w:val="TableParagraph"/>
              <w:spacing w:line="227" w:lineRule="exact"/>
              <w:rPr>
                <w:sz w:val="20"/>
              </w:rPr>
            </w:pPr>
            <w:r>
              <w:rPr>
                <w:sz w:val="20"/>
              </w:rPr>
              <w:t>% de cumplimiento</w:t>
            </w:r>
          </w:p>
        </w:tc>
        <w:tc>
          <w:tcPr>
            <w:tcW w:w="1865" w:type="dxa"/>
          </w:tcPr>
          <w:p>
            <w:pPr>
              <w:pStyle w:val="TableParagraph"/>
              <w:spacing w:line="227" w:lineRule="exact"/>
              <w:rPr>
                <w:sz w:val="20"/>
              </w:rPr>
            </w:pPr>
            <w:r>
              <w:rPr>
                <w:sz w:val="20"/>
              </w:rPr>
              <w:t>Observaciones</w:t>
            </w:r>
          </w:p>
        </w:tc>
        <w:tc>
          <w:tcPr>
            <w:tcW w:w="1464" w:type="dxa"/>
            <w:vMerge/>
            <w:tcBorders>
              <w:right w:val="double" w:sz="12" w:space="0" w:color="000000"/>
            </w:tcBorders>
          </w:tcPr>
          <w:p>
            <w:pPr/>
          </w:p>
        </w:tc>
      </w:tr>
      <w:tr>
        <w:trPr>
          <w:trHeight w:val="1621" w:hRule="exact"/>
        </w:trPr>
        <w:tc>
          <w:tcPr>
            <w:tcW w:w="2142" w:type="dxa"/>
            <w:vMerge w:val="restart"/>
            <w:tcBorders>
              <w:left w:val="double" w:sz="11" w:space="0" w:color="000000"/>
            </w:tcBorders>
          </w:tcPr>
          <w:p>
            <w:pPr>
              <w:pStyle w:val="TableParagraph"/>
              <w:ind w:right="105"/>
              <w:jc w:val="both"/>
              <w:rPr>
                <w:sz w:val="20"/>
              </w:rPr>
            </w:pPr>
            <w:r>
              <w:rPr>
                <w:sz w:val="20"/>
              </w:rPr>
              <w:t>Son los años con eventos</w:t>
            </w:r>
          </w:p>
          <w:p>
            <w:pPr>
              <w:pStyle w:val="TableParagraph"/>
              <w:tabs>
                <w:tab w:pos="1892" w:val="left" w:leader="none"/>
              </w:tabs>
              <w:ind w:right="101"/>
              <w:jc w:val="both"/>
              <w:rPr>
                <w:sz w:val="20"/>
              </w:rPr>
            </w:pPr>
            <w:r>
              <w:rPr>
                <w:sz w:val="20"/>
              </w:rPr>
              <w:t>significativos en el proceso histórico de la CHPH, valorados de acuerdo a su impacto en los ámbitos ambiental, sociopolítico</w:t>
              <w:tab/>
              <w:t>y económico</w:t>
            </w:r>
          </w:p>
        </w:tc>
        <w:tc>
          <w:tcPr>
            <w:tcW w:w="152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9"/>
              </w:rPr>
            </w:pPr>
          </w:p>
          <w:p>
            <w:pPr>
              <w:pStyle w:val="TableParagraph"/>
              <w:ind w:left="0"/>
              <w:jc w:val="center"/>
              <w:rPr>
                <w:b/>
                <w:sz w:val="20"/>
              </w:rPr>
            </w:pPr>
            <w:r>
              <w:rPr>
                <w:b/>
                <w:w w:val="99"/>
                <w:sz w:val="20"/>
              </w:rPr>
              <w:t>1</w:t>
            </w:r>
          </w:p>
        </w:tc>
        <w:tc>
          <w:tcPr>
            <w:tcW w:w="1352" w:type="dxa"/>
          </w:tcPr>
          <w:p>
            <w:pPr>
              <w:pStyle w:val="TableParagraph"/>
              <w:spacing w:line="227" w:lineRule="exact"/>
              <w:rPr>
                <w:sz w:val="20"/>
              </w:rPr>
            </w:pPr>
            <w:r>
              <w:rPr>
                <w:sz w:val="20"/>
              </w:rPr>
              <w:t>Ambiental</w:t>
            </w:r>
          </w:p>
        </w:tc>
        <w:tc>
          <w:tcPr>
            <w:tcW w:w="2093" w:type="dxa"/>
          </w:tcPr>
          <w:p>
            <w:pPr>
              <w:pStyle w:val="TableParagraph"/>
              <w:tabs>
                <w:tab w:pos="1720" w:val="left" w:leader="none"/>
              </w:tabs>
              <w:spacing w:line="227" w:lineRule="exact"/>
              <w:ind w:left="278"/>
              <w:jc w:val="both"/>
              <w:rPr>
                <w:sz w:val="20"/>
              </w:rPr>
            </w:pPr>
            <w:r>
              <w:rPr>
                <w:sz w:val="20"/>
              </w:rPr>
              <w:t>Son</w:t>
              <w:tab/>
              <w:t>las</w:t>
            </w:r>
          </w:p>
          <w:p>
            <w:pPr>
              <w:pStyle w:val="TableParagraph"/>
              <w:ind w:left="278" w:right="105"/>
              <w:jc w:val="both"/>
              <w:rPr>
                <w:sz w:val="20"/>
              </w:rPr>
            </w:pPr>
            <w:r>
              <w:rPr>
                <w:sz w:val="20"/>
              </w:rPr>
              <w:t>características de impacto ambiental del indicador a través       de      la</w:t>
            </w:r>
          </w:p>
          <w:p>
            <w:pPr>
              <w:pStyle w:val="TableParagraph"/>
              <w:ind w:left="278" w:right="106"/>
              <w:jc w:val="both"/>
              <w:rPr>
                <w:sz w:val="20"/>
              </w:rPr>
            </w:pPr>
            <w:r>
              <w:rPr>
                <w:sz w:val="20"/>
              </w:rPr>
              <w:t>historia en la CHPH.</w:t>
            </w:r>
          </w:p>
        </w:tc>
        <w:tc>
          <w:tcPr>
            <w:tcW w:w="2379" w:type="dxa"/>
            <w:vMerge w:val="restart"/>
          </w:tcPr>
          <w:p>
            <w:pPr>
              <w:pStyle w:val="TableParagraph"/>
              <w:tabs>
                <w:tab w:pos="2106" w:val="left" w:leader="none"/>
              </w:tabs>
              <w:ind w:right="104"/>
              <w:jc w:val="both"/>
              <w:rPr>
                <w:sz w:val="20"/>
              </w:rPr>
            </w:pPr>
            <w:r>
              <w:rPr>
                <w:sz w:val="20"/>
              </w:rPr>
              <w:t>Es la calificación del indicador en los períodos históricos con base en categorías y de acuerdo</w:t>
              <w:tab/>
              <w:t>al</w:t>
            </w:r>
          </w:p>
          <w:p>
            <w:pPr>
              <w:pStyle w:val="TableParagraph"/>
              <w:tabs>
                <w:tab w:pos="1995" w:val="left" w:leader="none"/>
              </w:tabs>
              <w:ind w:right="100"/>
              <w:jc w:val="both"/>
              <w:rPr>
                <w:sz w:val="20"/>
              </w:rPr>
            </w:pPr>
            <w:r>
              <w:rPr>
                <w:sz w:val="20"/>
              </w:rPr>
              <w:t>cumplimiento de las características</w:t>
              <w:tab/>
              <w:t>del subsistema como se establece en las observaciones</w:t>
            </w:r>
          </w:p>
        </w:tc>
        <w:tc>
          <w:tcPr>
            <w:tcW w:w="1865" w:type="dxa"/>
            <w:vMerge w:val="restart"/>
          </w:tcPr>
          <w:p>
            <w:pPr>
              <w:pStyle w:val="TableParagraph"/>
              <w:ind w:right="102"/>
              <w:jc w:val="both"/>
              <w:rPr>
                <w:sz w:val="20"/>
              </w:rPr>
            </w:pPr>
            <w:r>
              <w:rPr>
                <w:sz w:val="20"/>
              </w:rPr>
              <w:t>Debe reunir al </w:t>
            </w:r>
            <w:r>
              <w:rPr>
                <w:b/>
                <w:sz w:val="20"/>
              </w:rPr>
              <w:t>100% las tres </w:t>
            </w:r>
            <w:r>
              <w:rPr>
                <w:sz w:val="20"/>
              </w:rPr>
              <w:t>características de impacto positivo</w:t>
            </w:r>
          </w:p>
        </w:tc>
        <w:tc>
          <w:tcPr>
            <w:tcW w:w="1464"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9"/>
              </w:rPr>
            </w:pPr>
          </w:p>
          <w:p>
            <w:pPr>
              <w:pStyle w:val="TableParagraph"/>
              <w:ind w:left="239"/>
              <w:rPr>
                <w:b/>
                <w:sz w:val="20"/>
              </w:rPr>
            </w:pPr>
            <w:r>
              <w:rPr>
                <w:b/>
                <w:sz w:val="20"/>
              </w:rPr>
              <w:t>Excelente</w:t>
            </w:r>
          </w:p>
        </w:tc>
      </w:tr>
      <w:tr>
        <w:trPr>
          <w:trHeight w:val="1620" w:hRule="exact"/>
        </w:trPr>
        <w:tc>
          <w:tcPr>
            <w:tcW w:w="2142" w:type="dxa"/>
            <w:vMerge/>
            <w:tcBorders>
              <w:left w:val="double" w:sz="11" w:space="0" w:color="000000"/>
            </w:tcBorders>
          </w:tcPr>
          <w:p>
            <w:pPr/>
          </w:p>
        </w:tc>
        <w:tc>
          <w:tcPr>
            <w:tcW w:w="1526" w:type="dxa"/>
            <w:vMerge/>
          </w:tcPr>
          <w:p>
            <w:pPr/>
          </w:p>
        </w:tc>
        <w:tc>
          <w:tcPr>
            <w:tcW w:w="1352" w:type="dxa"/>
          </w:tcPr>
          <w:p>
            <w:pPr>
              <w:pStyle w:val="TableParagraph"/>
              <w:spacing w:line="227" w:lineRule="exact"/>
              <w:rPr>
                <w:sz w:val="20"/>
              </w:rPr>
            </w:pPr>
            <w:r>
              <w:rPr>
                <w:sz w:val="20"/>
              </w:rPr>
              <w:t>Económico</w:t>
            </w:r>
          </w:p>
        </w:tc>
        <w:tc>
          <w:tcPr>
            <w:tcW w:w="2093" w:type="dxa"/>
          </w:tcPr>
          <w:p>
            <w:pPr>
              <w:pStyle w:val="TableParagraph"/>
              <w:tabs>
                <w:tab w:pos="1720" w:val="left" w:leader="none"/>
              </w:tabs>
              <w:spacing w:line="227" w:lineRule="exact"/>
              <w:ind w:left="333"/>
              <w:rPr>
                <w:sz w:val="20"/>
              </w:rPr>
            </w:pPr>
            <w:r>
              <w:rPr>
                <w:sz w:val="20"/>
              </w:rPr>
              <w:t>Son</w:t>
              <w:tab/>
              <w:t>las</w:t>
            </w:r>
          </w:p>
          <w:p>
            <w:pPr>
              <w:pStyle w:val="TableParagraph"/>
              <w:tabs>
                <w:tab w:pos="1710" w:val="left" w:leader="none"/>
              </w:tabs>
              <w:ind w:left="278" w:right="105"/>
              <w:rPr>
                <w:sz w:val="20"/>
              </w:rPr>
            </w:pPr>
            <w:r>
              <w:rPr>
                <w:sz w:val="20"/>
              </w:rPr>
              <w:t>características de impacto económico</w:t>
              <w:tab/>
              <w:t>del</w:t>
            </w:r>
            <w:r>
              <w:rPr>
                <w:w w:val="99"/>
                <w:sz w:val="20"/>
              </w:rPr>
              <w:t> </w:t>
            </w:r>
            <w:r>
              <w:rPr>
                <w:sz w:val="20"/>
              </w:rPr>
              <w:t>indicador a través de la historia en la CHPH.</w:t>
            </w:r>
          </w:p>
        </w:tc>
        <w:tc>
          <w:tcPr>
            <w:tcW w:w="2379" w:type="dxa"/>
            <w:vMerge/>
          </w:tcPr>
          <w:p>
            <w:pPr/>
          </w:p>
        </w:tc>
        <w:tc>
          <w:tcPr>
            <w:tcW w:w="1865" w:type="dxa"/>
            <w:vMerge/>
          </w:tcPr>
          <w:p>
            <w:pPr/>
          </w:p>
        </w:tc>
        <w:tc>
          <w:tcPr>
            <w:tcW w:w="1464" w:type="dxa"/>
            <w:vMerge/>
            <w:tcBorders>
              <w:right w:val="double" w:sz="12" w:space="0" w:color="000000"/>
            </w:tcBorders>
            <w:shd w:val="clear" w:color="auto" w:fill="00FF00"/>
          </w:tcPr>
          <w:p>
            <w:pPr/>
          </w:p>
        </w:tc>
      </w:tr>
      <w:tr>
        <w:trPr>
          <w:trHeight w:val="1620" w:hRule="exact"/>
        </w:trPr>
        <w:tc>
          <w:tcPr>
            <w:tcW w:w="2142" w:type="dxa"/>
            <w:vMerge/>
            <w:tcBorders>
              <w:left w:val="double" w:sz="11" w:space="0" w:color="000000"/>
            </w:tcBorders>
          </w:tcPr>
          <w:p>
            <w:pPr/>
          </w:p>
        </w:tc>
        <w:tc>
          <w:tcPr>
            <w:tcW w:w="1526" w:type="dxa"/>
            <w:vMerge/>
          </w:tcPr>
          <w:p>
            <w:pPr/>
          </w:p>
        </w:tc>
        <w:tc>
          <w:tcPr>
            <w:tcW w:w="1352" w:type="dxa"/>
          </w:tcPr>
          <w:p>
            <w:pPr>
              <w:pStyle w:val="TableParagraph"/>
              <w:spacing w:line="227" w:lineRule="exact"/>
              <w:rPr>
                <w:sz w:val="20"/>
              </w:rPr>
            </w:pPr>
            <w:r>
              <w:rPr>
                <w:sz w:val="20"/>
              </w:rPr>
              <w:t>Sociopolítico</w:t>
            </w:r>
          </w:p>
        </w:tc>
        <w:tc>
          <w:tcPr>
            <w:tcW w:w="2093" w:type="dxa"/>
          </w:tcPr>
          <w:p>
            <w:pPr>
              <w:pStyle w:val="TableParagraph"/>
              <w:tabs>
                <w:tab w:pos="1720" w:val="left" w:leader="none"/>
              </w:tabs>
              <w:spacing w:line="227" w:lineRule="exact"/>
              <w:ind w:left="333"/>
              <w:rPr>
                <w:sz w:val="20"/>
              </w:rPr>
            </w:pPr>
            <w:r>
              <w:rPr>
                <w:sz w:val="20"/>
              </w:rPr>
              <w:t>Son</w:t>
              <w:tab/>
              <w:t>las</w:t>
            </w:r>
          </w:p>
          <w:p>
            <w:pPr>
              <w:pStyle w:val="TableParagraph"/>
              <w:tabs>
                <w:tab w:pos="1709" w:val="left" w:leader="none"/>
              </w:tabs>
              <w:spacing w:before="1"/>
              <w:ind w:left="278" w:right="106"/>
              <w:rPr>
                <w:sz w:val="20"/>
              </w:rPr>
            </w:pPr>
            <w:r>
              <w:rPr>
                <w:sz w:val="20"/>
              </w:rPr>
              <w:t>características de impacto sociopolítico</w:t>
              <w:tab/>
              <w:t>del</w:t>
            </w:r>
            <w:r>
              <w:rPr>
                <w:w w:val="99"/>
                <w:sz w:val="20"/>
              </w:rPr>
              <w:t> </w:t>
            </w:r>
            <w:r>
              <w:rPr>
                <w:sz w:val="20"/>
              </w:rPr>
              <w:t>indicador a través de la historia en la CHPH.</w:t>
            </w:r>
          </w:p>
        </w:tc>
        <w:tc>
          <w:tcPr>
            <w:tcW w:w="2379" w:type="dxa"/>
            <w:vMerge/>
          </w:tcPr>
          <w:p>
            <w:pPr/>
          </w:p>
        </w:tc>
        <w:tc>
          <w:tcPr>
            <w:tcW w:w="1865" w:type="dxa"/>
            <w:vMerge/>
          </w:tcPr>
          <w:p>
            <w:pPr/>
          </w:p>
        </w:tc>
        <w:tc>
          <w:tcPr>
            <w:tcW w:w="1464" w:type="dxa"/>
            <w:vMerge/>
            <w:tcBorders>
              <w:right w:val="double" w:sz="12" w:space="0" w:color="000000"/>
            </w:tcBorders>
            <w:shd w:val="clear" w:color="auto" w:fill="00FF00"/>
          </w:tcPr>
          <w:p>
            <w:pPr/>
          </w:p>
        </w:tc>
      </w:tr>
      <w:tr>
        <w:trPr>
          <w:trHeight w:val="1621" w:hRule="exact"/>
        </w:trPr>
        <w:tc>
          <w:tcPr>
            <w:tcW w:w="2142" w:type="dxa"/>
            <w:vMerge w:val="restart"/>
            <w:tcBorders>
              <w:left w:val="double" w:sz="11" w:space="0" w:color="000000"/>
            </w:tcBorders>
          </w:tcPr>
          <w:p>
            <w:pPr/>
          </w:p>
        </w:tc>
        <w:tc>
          <w:tcPr>
            <w:tcW w:w="1526" w:type="dxa"/>
            <w:vMerge w:val="restart"/>
          </w:tcPr>
          <w:p>
            <w:pPr>
              <w:pStyle w:val="TableParagraph"/>
              <w:ind w:left="0"/>
              <w:rPr>
                <w:rFonts w:ascii="Times New Roman"/>
                <w:sz w:val="20"/>
              </w:rPr>
            </w:pPr>
          </w:p>
          <w:p>
            <w:pPr>
              <w:pStyle w:val="TableParagraph"/>
              <w:spacing w:before="4"/>
              <w:ind w:left="0"/>
              <w:rPr>
                <w:rFonts w:ascii="Times New Roman"/>
                <w:sz w:val="19"/>
              </w:rPr>
            </w:pPr>
          </w:p>
          <w:p>
            <w:pPr>
              <w:pStyle w:val="TableParagraph"/>
              <w:ind w:left="628" w:right="627"/>
              <w:jc w:val="center"/>
              <w:rPr>
                <w:b/>
                <w:sz w:val="20"/>
              </w:rPr>
            </w:pPr>
            <w:r>
              <w:rPr>
                <w:b/>
                <w:sz w:val="20"/>
              </w:rPr>
              <w:t>≥1</w:t>
            </w:r>
          </w:p>
        </w:tc>
        <w:tc>
          <w:tcPr>
            <w:tcW w:w="1352" w:type="dxa"/>
          </w:tcPr>
          <w:p>
            <w:pPr>
              <w:pStyle w:val="TableParagraph"/>
              <w:spacing w:line="227" w:lineRule="exact"/>
              <w:rPr>
                <w:sz w:val="20"/>
              </w:rPr>
            </w:pPr>
            <w:r>
              <w:rPr>
                <w:sz w:val="20"/>
              </w:rPr>
              <w:t>Ambiental</w:t>
            </w:r>
          </w:p>
        </w:tc>
        <w:tc>
          <w:tcPr>
            <w:tcW w:w="2093" w:type="dxa"/>
          </w:tcPr>
          <w:p>
            <w:pPr>
              <w:pStyle w:val="TableParagraph"/>
              <w:tabs>
                <w:tab w:pos="1720" w:val="left" w:leader="none"/>
              </w:tabs>
              <w:spacing w:line="227" w:lineRule="exact"/>
              <w:ind w:left="333"/>
              <w:jc w:val="both"/>
              <w:rPr>
                <w:sz w:val="20"/>
              </w:rPr>
            </w:pPr>
            <w:r>
              <w:rPr>
                <w:sz w:val="20"/>
              </w:rPr>
              <w:t>Son</w:t>
              <w:tab/>
              <w:t>las</w:t>
            </w:r>
          </w:p>
          <w:p>
            <w:pPr>
              <w:pStyle w:val="TableParagraph"/>
              <w:ind w:left="278" w:right="105"/>
              <w:jc w:val="both"/>
              <w:rPr>
                <w:sz w:val="20"/>
              </w:rPr>
            </w:pPr>
            <w:r>
              <w:rPr>
                <w:sz w:val="20"/>
              </w:rPr>
              <w:t>características de impacto ambiental del indicador a través       de      la</w:t>
            </w:r>
          </w:p>
          <w:p>
            <w:pPr>
              <w:pStyle w:val="TableParagraph"/>
              <w:spacing w:before="1"/>
              <w:ind w:left="278" w:right="106"/>
              <w:jc w:val="both"/>
              <w:rPr>
                <w:sz w:val="20"/>
              </w:rPr>
            </w:pPr>
            <w:r>
              <w:rPr>
                <w:sz w:val="20"/>
              </w:rPr>
              <w:t>historia en la CHPH.</w:t>
            </w:r>
          </w:p>
        </w:tc>
        <w:tc>
          <w:tcPr>
            <w:tcW w:w="2379" w:type="dxa"/>
            <w:vMerge w:val="restart"/>
          </w:tcPr>
          <w:p>
            <w:pPr/>
          </w:p>
        </w:tc>
        <w:tc>
          <w:tcPr>
            <w:tcW w:w="1865" w:type="dxa"/>
            <w:vMerge w:val="restart"/>
          </w:tcPr>
          <w:p>
            <w:pPr>
              <w:pStyle w:val="TableParagraph"/>
              <w:ind w:right="99"/>
              <w:jc w:val="both"/>
              <w:rPr>
                <w:sz w:val="20"/>
              </w:rPr>
            </w:pPr>
            <w:r>
              <w:rPr>
                <w:sz w:val="20"/>
              </w:rPr>
              <w:t>Debe reunir </w:t>
            </w:r>
            <w:r>
              <w:rPr>
                <w:b/>
                <w:sz w:val="20"/>
              </w:rPr>
              <w:t>al menos el 75% </w:t>
            </w:r>
            <w:r>
              <w:rPr>
                <w:sz w:val="20"/>
              </w:rPr>
              <w:t>dos de tres características de impacto</w:t>
            </w:r>
            <w:r>
              <w:rPr>
                <w:spacing w:val="-3"/>
                <w:sz w:val="20"/>
              </w:rPr>
              <w:t> </w:t>
            </w:r>
            <w:r>
              <w:rPr>
                <w:sz w:val="20"/>
              </w:rPr>
              <w:t>positivo</w:t>
            </w:r>
          </w:p>
        </w:tc>
        <w:tc>
          <w:tcPr>
            <w:tcW w:w="1464" w:type="dxa"/>
            <w:vMerge w:val="restart"/>
            <w:tcBorders>
              <w:right w:val="double" w:sz="12" w:space="0" w:color="000000"/>
            </w:tcBorders>
          </w:tcPr>
          <w:p>
            <w:pPr>
              <w:pStyle w:val="TableParagraph"/>
              <w:ind w:left="0"/>
              <w:rPr>
                <w:rFonts w:ascii="Times New Roman"/>
                <w:sz w:val="20"/>
              </w:rPr>
            </w:pPr>
          </w:p>
          <w:p>
            <w:pPr>
              <w:pStyle w:val="TableParagraph"/>
              <w:spacing w:before="4"/>
              <w:ind w:left="0"/>
              <w:rPr>
                <w:rFonts w:ascii="Times New Roman"/>
                <w:sz w:val="19"/>
              </w:rPr>
            </w:pPr>
          </w:p>
          <w:p>
            <w:pPr>
              <w:pStyle w:val="TableParagraph"/>
              <w:ind w:left="395"/>
              <w:rPr>
                <w:b/>
                <w:sz w:val="20"/>
              </w:rPr>
            </w:pPr>
            <w:r>
              <w:rPr>
                <w:b/>
                <w:sz w:val="20"/>
              </w:rPr>
              <w:t>Bueno</w:t>
            </w:r>
          </w:p>
        </w:tc>
      </w:tr>
      <w:tr>
        <w:trPr>
          <w:trHeight w:val="929" w:hRule="exact"/>
        </w:trPr>
        <w:tc>
          <w:tcPr>
            <w:tcW w:w="2142" w:type="dxa"/>
            <w:vMerge/>
            <w:tcBorders>
              <w:left w:val="double" w:sz="11" w:space="0" w:color="000000"/>
            </w:tcBorders>
          </w:tcPr>
          <w:p>
            <w:pPr/>
          </w:p>
        </w:tc>
        <w:tc>
          <w:tcPr>
            <w:tcW w:w="1526" w:type="dxa"/>
            <w:vMerge/>
          </w:tcPr>
          <w:p>
            <w:pPr/>
          </w:p>
        </w:tc>
        <w:tc>
          <w:tcPr>
            <w:tcW w:w="1352" w:type="dxa"/>
          </w:tcPr>
          <w:p>
            <w:pPr>
              <w:pStyle w:val="TableParagraph"/>
              <w:spacing w:line="227" w:lineRule="exact"/>
              <w:rPr>
                <w:sz w:val="20"/>
              </w:rPr>
            </w:pPr>
            <w:r>
              <w:rPr>
                <w:sz w:val="20"/>
              </w:rPr>
              <w:t>Económico</w:t>
            </w:r>
          </w:p>
        </w:tc>
        <w:tc>
          <w:tcPr>
            <w:tcW w:w="2093" w:type="dxa"/>
          </w:tcPr>
          <w:p>
            <w:pPr>
              <w:pStyle w:val="TableParagraph"/>
              <w:tabs>
                <w:tab w:pos="1720" w:val="left" w:leader="none"/>
              </w:tabs>
              <w:spacing w:line="227" w:lineRule="exact"/>
              <w:ind w:left="333"/>
              <w:rPr>
                <w:sz w:val="20"/>
              </w:rPr>
            </w:pPr>
            <w:r>
              <w:rPr>
                <w:sz w:val="20"/>
              </w:rPr>
              <w:t>Son</w:t>
              <w:tab/>
              <w:t>las</w:t>
            </w:r>
          </w:p>
          <w:p>
            <w:pPr>
              <w:pStyle w:val="TableParagraph"/>
              <w:tabs>
                <w:tab w:pos="1710" w:val="left" w:leader="none"/>
              </w:tabs>
              <w:ind w:left="278" w:right="105"/>
              <w:rPr>
                <w:sz w:val="20"/>
              </w:rPr>
            </w:pPr>
            <w:r>
              <w:rPr>
                <w:sz w:val="20"/>
              </w:rPr>
              <w:t>características de impacto económico</w:t>
              <w:tab/>
              <w:t>del</w:t>
            </w:r>
          </w:p>
        </w:tc>
        <w:tc>
          <w:tcPr>
            <w:tcW w:w="2379" w:type="dxa"/>
            <w:vMerge/>
          </w:tcPr>
          <w:p>
            <w:pPr/>
          </w:p>
        </w:tc>
        <w:tc>
          <w:tcPr>
            <w:tcW w:w="1865" w:type="dxa"/>
            <w:vMerge/>
          </w:tcPr>
          <w:p>
            <w:pPr/>
          </w:p>
        </w:tc>
        <w:tc>
          <w:tcPr>
            <w:tcW w:w="1464"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2"/>
        <w:gridCol w:w="1526"/>
        <w:gridCol w:w="1352"/>
        <w:gridCol w:w="2093"/>
        <w:gridCol w:w="2379"/>
        <w:gridCol w:w="1865"/>
        <w:gridCol w:w="1464"/>
      </w:tblGrid>
      <w:tr>
        <w:trPr>
          <w:trHeight w:val="710" w:hRule="exact"/>
        </w:trPr>
        <w:tc>
          <w:tcPr>
            <w:tcW w:w="2142" w:type="dxa"/>
            <w:vMerge w:val="restart"/>
            <w:tcBorders>
              <w:left w:val="double" w:sz="11" w:space="0" w:color="000000"/>
            </w:tcBorders>
          </w:tcPr>
          <w:p>
            <w:pPr/>
          </w:p>
        </w:tc>
        <w:tc>
          <w:tcPr>
            <w:tcW w:w="1526" w:type="dxa"/>
            <w:vMerge w:val="restart"/>
          </w:tcPr>
          <w:p>
            <w:pPr/>
          </w:p>
        </w:tc>
        <w:tc>
          <w:tcPr>
            <w:tcW w:w="1352" w:type="dxa"/>
          </w:tcPr>
          <w:p>
            <w:pPr/>
          </w:p>
        </w:tc>
        <w:tc>
          <w:tcPr>
            <w:tcW w:w="2093" w:type="dxa"/>
          </w:tcPr>
          <w:p>
            <w:pPr>
              <w:pStyle w:val="TableParagraph"/>
              <w:spacing w:before="7"/>
              <w:ind w:left="278" w:right="106"/>
              <w:jc w:val="both"/>
              <w:rPr>
                <w:sz w:val="20"/>
              </w:rPr>
            </w:pPr>
            <w:r>
              <w:rPr>
                <w:sz w:val="20"/>
              </w:rPr>
              <w:t>indicador a través de la historia en la CHPH.</w:t>
            </w:r>
          </w:p>
        </w:tc>
        <w:tc>
          <w:tcPr>
            <w:tcW w:w="2379" w:type="dxa"/>
            <w:vMerge w:val="restart"/>
          </w:tcPr>
          <w:p>
            <w:pPr/>
          </w:p>
        </w:tc>
        <w:tc>
          <w:tcPr>
            <w:tcW w:w="1865" w:type="dxa"/>
            <w:vMerge w:val="restart"/>
          </w:tcPr>
          <w:p>
            <w:pPr/>
          </w:p>
        </w:tc>
        <w:tc>
          <w:tcPr>
            <w:tcW w:w="1464" w:type="dxa"/>
            <w:vMerge w:val="restart"/>
            <w:tcBorders>
              <w:right w:val="double" w:sz="12" w:space="0" w:color="000000"/>
            </w:tcBorders>
          </w:tcPr>
          <w:p>
            <w:pPr>
              <w:pStyle w:val="TableParagraph"/>
              <w:ind w:left="0" w:right="-50"/>
              <w:rPr>
                <w:rFonts w:ascii="Times New Roman"/>
                <w:sz w:val="20"/>
              </w:rPr>
            </w:pPr>
            <w:r>
              <w:rPr>
                <w:rFonts w:ascii="Times New Roman"/>
                <w:sz w:val="20"/>
              </w:rPr>
              <w:pict>
                <v:group style="width:70.8pt;height:115.6pt;mso-position-horizontal-relative:char;mso-position-vertical-relative:line" coordorigin="0,0" coordsize="1416,2312">
                  <v:shape style="position:absolute;left:0;top:0;width:1416;height:691" type="#_x0000_t75" stroked="false">
                    <v:imagedata r:id="rId267" o:title=""/>
                  </v:shape>
                  <v:shape style="position:absolute;left:0;top:691;width:1416;height:1620" type="#_x0000_t75" stroked="false">
                    <v:imagedata r:id="rId268" o:title=""/>
                  </v:shape>
                </v:group>
              </w:pict>
            </w:r>
            <w:r>
              <w:rPr>
                <w:rFonts w:ascii="Times New Roman"/>
                <w:sz w:val="20"/>
              </w:rPr>
            </w:r>
          </w:p>
        </w:tc>
      </w:tr>
      <w:tr>
        <w:trPr>
          <w:trHeight w:val="1621" w:hRule="exact"/>
        </w:trPr>
        <w:tc>
          <w:tcPr>
            <w:tcW w:w="2142" w:type="dxa"/>
            <w:vMerge/>
            <w:tcBorders>
              <w:left w:val="double" w:sz="11" w:space="0" w:color="000000"/>
            </w:tcBorders>
          </w:tcPr>
          <w:p>
            <w:pPr/>
          </w:p>
        </w:tc>
        <w:tc>
          <w:tcPr>
            <w:tcW w:w="1526" w:type="dxa"/>
            <w:vMerge/>
          </w:tcPr>
          <w:p>
            <w:pPr/>
          </w:p>
        </w:tc>
        <w:tc>
          <w:tcPr>
            <w:tcW w:w="1352" w:type="dxa"/>
          </w:tcPr>
          <w:p>
            <w:pPr>
              <w:pStyle w:val="TableParagraph"/>
              <w:spacing w:line="227" w:lineRule="exact"/>
              <w:rPr>
                <w:sz w:val="20"/>
              </w:rPr>
            </w:pPr>
            <w:r>
              <w:rPr>
                <w:sz w:val="20"/>
              </w:rPr>
              <w:t>Sociopolítico</w:t>
            </w:r>
          </w:p>
        </w:tc>
        <w:tc>
          <w:tcPr>
            <w:tcW w:w="2093" w:type="dxa"/>
          </w:tcPr>
          <w:p>
            <w:pPr>
              <w:pStyle w:val="TableParagraph"/>
              <w:tabs>
                <w:tab w:pos="1720" w:val="left" w:leader="none"/>
              </w:tabs>
              <w:spacing w:line="227" w:lineRule="exact"/>
              <w:ind w:left="278"/>
              <w:rPr>
                <w:sz w:val="20"/>
              </w:rPr>
            </w:pPr>
            <w:r>
              <w:rPr>
                <w:sz w:val="20"/>
              </w:rPr>
              <w:t>Son</w:t>
              <w:tab/>
              <w:t>las</w:t>
            </w:r>
          </w:p>
          <w:p>
            <w:pPr>
              <w:pStyle w:val="TableParagraph"/>
              <w:tabs>
                <w:tab w:pos="1709" w:val="left" w:leader="none"/>
              </w:tabs>
              <w:ind w:left="278" w:right="106"/>
              <w:rPr>
                <w:sz w:val="20"/>
              </w:rPr>
            </w:pPr>
            <w:r>
              <w:rPr>
                <w:sz w:val="20"/>
              </w:rPr>
              <w:t>características de impacto sociopolítico</w:t>
              <w:tab/>
              <w:t>del</w:t>
            </w:r>
            <w:r>
              <w:rPr>
                <w:w w:val="99"/>
                <w:sz w:val="20"/>
              </w:rPr>
              <w:t> </w:t>
            </w:r>
            <w:r>
              <w:rPr>
                <w:sz w:val="20"/>
              </w:rPr>
              <w:t>indicador a través de la historia en la CHPH.</w:t>
            </w:r>
          </w:p>
        </w:tc>
        <w:tc>
          <w:tcPr>
            <w:tcW w:w="2379" w:type="dxa"/>
            <w:vMerge/>
          </w:tcPr>
          <w:p>
            <w:pPr/>
          </w:p>
        </w:tc>
        <w:tc>
          <w:tcPr>
            <w:tcW w:w="1865" w:type="dxa"/>
            <w:vMerge/>
          </w:tcPr>
          <w:p>
            <w:pPr/>
          </w:p>
        </w:tc>
        <w:tc>
          <w:tcPr>
            <w:tcW w:w="1464" w:type="dxa"/>
            <w:vMerge/>
            <w:tcBorders>
              <w:right w:val="double" w:sz="12" w:space="0" w:color="000000"/>
            </w:tcBorders>
          </w:tcPr>
          <w:p>
            <w:pPr/>
          </w:p>
        </w:tc>
      </w:tr>
      <w:tr>
        <w:trPr>
          <w:trHeight w:val="1618" w:hRule="exact"/>
        </w:trPr>
        <w:tc>
          <w:tcPr>
            <w:tcW w:w="2142" w:type="dxa"/>
            <w:vMerge w:val="restart"/>
            <w:tcBorders>
              <w:left w:val="double" w:sz="11" w:space="0" w:color="000000"/>
            </w:tcBorders>
          </w:tcPr>
          <w:p>
            <w:pPr/>
          </w:p>
        </w:tc>
        <w:tc>
          <w:tcPr>
            <w:tcW w:w="1526" w:type="dxa"/>
            <w:vMerge w:val="restart"/>
          </w:tcPr>
          <w:p>
            <w:pPr>
              <w:pStyle w:val="TableParagraph"/>
              <w:ind w:left="0"/>
              <w:rPr>
                <w:rFonts w:ascii="Times New Roman"/>
                <w:sz w:val="20"/>
              </w:rPr>
            </w:pPr>
          </w:p>
          <w:p>
            <w:pPr>
              <w:pStyle w:val="TableParagraph"/>
              <w:spacing w:before="4"/>
              <w:ind w:left="0"/>
              <w:rPr>
                <w:rFonts w:ascii="Times New Roman"/>
                <w:sz w:val="19"/>
              </w:rPr>
            </w:pPr>
          </w:p>
          <w:p>
            <w:pPr>
              <w:pStyle w:val="TableParagraph"/>
              <w:ind w:left="628" w:right="627"/>
              <w:jc w:val="center"/>
              <w:rPr>
                <w:b/>
                <w:sz w:val="20"/>
              </w:rPr>
            </w:pPr>
            <w:r>
              <w:rPr>
                <w:b/>
                <w:sz w:val="20"/>
              </w:rPr>
              <w:t>≥1</w:t>
            </w:r>
          </w:p>
        </w:tc>
        <w:tc>
          <w:tcPr>
            <w:tcW w:w="1352" w:type="dxa"/>
          </w:tcPr>
          <w:p>
            <w:pPr>
              <w:pStyle w:val="TableParagraph"/>
              <w:spacing w:line="227" w:lineRule="exact"/>
              <w:rPr>
                <w:sz w:val="20"/>
              </w:rPr>
            </w:pPr>
            <w:r>
              <w:rPr>
                <w:sz w:val="20"/>
              </w:rPr>
              <w:t>Ambiental</w:t>
            </w:r>
          </w:p>
        </w:tc>
        <w:tc>
          <w:tcPr>
            <w:tcW w:w="2093" w:type="dxa"/>
          </w:tcPr>
          <w:p>
            <w:pPr>
              <w:pStyle w:val="TableParagraph"/>
              <w:tabs>
                <w:tab w:pos="1720" w:val="left" w:leader="none"/>
              </w:tabs>
              <w:spacing w:line="226" w:lineRule="exact"/>
              <w:ind w:left="278"/>
              <w:jc w:val="both"/>
              <w:rPr>
                <w:sz w:val="20"/>
              </w:rPr>
            </w:pPr>
            <w:r>
              <w:rPr>
                <w:sz w:val="20"/>
              </w:rPr>
              <w:t>Son</w:t>
              <w:tab/>
              <w:t>las</w:t>
            </w:r>
          </w:p>
          <w:p>
            <w:pPr>
              <w:pStyle w:val="TableParagraph"/>
              <w:ind w:left="278" w:right="105"/>
              <w:jc w:val="both"/>
              <w:rPr>
                <w:sz w:val="20"/>
              </w:rPr>
            </w:pPr>
            <w:r>
              <w:rPr>
                <w:sz w:val="20"/>
              </w:rPr>
              <w:t>características de impacto ambiental del indicador a través       de      la</w:t>
            </w:r>
          </w:p>
          <w:p>
            <w:pPr>
              <w:pStyle w:val="TableParagraph"/>
              <w:ind w:left="278" w:right="106"/>
              <w:jc w:val="both"/>
              <w:rPr>
                <w:sz w:val="20"/>
              </w:rPr>
            </w:pPr>
            <w:r>
              <w:rPr>
                <w:sz w:val="20"/>
              </w:rPr>
              <w:t>historia en la CHPH.</w:t>
            </w:r>
          </w:p>
        </w:tc>
        <w:tc>
          <w:tcPr>
            <w:tcW w:w="2379" w:type="dxa"/>
            <w:vMerge w:val="restart"/>
          </w:tcPr>
          <w:p>
            <w:pPr/>
          </w:p>
        </w:tc>
        <w:tc>
          <w:tcPr>
            <w:tcW w:w="1865" w:type="dxa"/>
            <w:vMerge w:val="restart"/>
          </w:tcPr>
          <w:p>
            <w:pPr>
              <w:pStyle w:val="TableParagraph"/>
              <w:ind w:right="99"/>
              <w:jc w:val="both"/>
              <w:rPr>
                <w:sz w:val="20"/>
              </w:rPr>
            </w:pPr>
            <w:r>
              <w:rPr>
                <w:sz w:val="20"/>
              </w:rPr>
              <w:t>Debe reunir </w:t>
            </w:r>
            <w:r>
              <w:rPr>
                <w:b/>
                <w:sz w:val="20"/>
              </w:rPr>
              <w:t>al menos el 50% una de tres </w:t>
            </w:r>
            <w:r>
              <w:rPr>
                <w:sz w:val="20"/>
              </w:rPr>
              <w:t>características de impacto positivo</w:t>
            </w:r>
          </w:p>
        </w:tc>
        <w:tc>
          <w:tcPr>
            <w:tcW w:w="1464" w:type="dxa"/>
            <w:vMerge w:val="restart"/>
            <w:tcBorders>
              <w:right w:val="double" w:sz="12" w:space="0" w:color="000000"/>
            </w:tcBorders>
            <w:shd w:val="clear" w:color="auto" w:fill="FFFF00"/>
          </w:tcPr>
          <w:p>
            <w:pPr>
              <w:pStyle w:val="TableParagraph"/>
              <w:spacing w:before="4"/>
              <w:ind w:left="0"/>
              <w:rPr>
                <w:rFonts w:ascii="Times New Roman"/>
                <w:sz w:val="19"/>
              </w:rPr>
            </w:pPr>
          </w:p>
          <w:p>
            <w:pPr>
              <w:pStyle w:val="TableParagraph"/>
              <w:ind w:left="335"/>
              <w:rPr>
                <w:b/>
                <w:sz w:val="20"/>
              </w:rPr>
            </w:pPr>
            <w:r>
              <w:rPr>
                <w:b/>
                <w:sz w:val="20"/>
              </w:rPr>
              <w:t>Regular</w:t>
            </w:r>
          </w:p>
        </w:tc>
      </w:tr>
      <w:tr>
        <w:trPr>
          <w:trHeight w:val="1620" w:hRule="exact"/>
        </w:trPr>
        <w:tc>
          <w:tcPr>
            <w:tcW w:w="2142" w:type="dxa"/>
            <w:vMerge/>
            <w:tcBorders>
              <w:left w:val="double" w:sz="11" w:space="0" w:color="000000"/>
            </w:tcBorders>
          </w:tcPr>
          <w:p>
            <w:pPr/>
          </w:p>
        </w:tc>
        <w:tc>
          <w:tcPr>
            <w:tcW w:w="1526" w:type="dxa"/>
            <w:vMerge/>
          </w:tcPr>
          <w:p>
            <w:pPr/>
          </w:p>
        </w:tc>
        <w:tc>
          <w:tcPr>
            <w:tcW w:w="1352" w:type="dxa"/>
          </w:tcPr>
          <w:p>
            <w:pPr>
              <w:pStyle w:val="TableParagraph"/>
              <w:spacing w:line="230" w:lineRule="exact"/>
              <w:rPr>
                <w:sz w:val="20"/>
              </w:rPr>
            </w:pPr>
            <w:r>
              <w:rPr>
                <w:sz w:val="20"/>
              </w:rPr>
              <w:t>Económico</w:t>
            </w:r>
          </w:p>
        </w:tc>
        <w:tc>
          <w:tcPr>
            <w:tcW w:w="2093" w:type="dxa"/>
          </w:tcPr>
          <w:p>
            <w:pPr>
              <w:pStyle w:val="TableParagraph"/>
              <w:tabs>
                <w:tab w:pos="1720" w:val="left" w:leader="none"/>
              </w:tabs>
              <w:spacing w:line="229" w:lineRule="exact"/>
              <w:ind w:left="333"/>
              <w:rPr>
                <w:sz w:val="20"/>
              </w:rPr>
            </w:pPr>
            <w:r>
              <w:rPr>
                <w:sz w:val="20"/>
              </w:rPr>
              <w:t>Son</w:t>
              <w:tab/>
              <w:t>las</w:t>
            </w:r>
          </w:p>
          <w:p>
            <w:pPr>
              <w:pStyle w:val="TableParagraph"/>
              <w:tabs>
                <w:tab w:pos="1710" w:val="left" w:leader="none"/>
              </w:tabs>
              <w:ind w:left="278" w:right="105"/>
              <w:rPr>
                <w:sz w:val="20"/>
              </w:rPr>
            </w:pPr>
            <w:r>
              <w:rPr>
                <w:sz w:val="20"/>
              </w:rPr>
              <w:t>características de impacto económico</w:t>
              <w:tab/>
              <w:t>del</w:t>
            </w:r>
            <w:r>
              <w:rPr>
                <w:w w:val="99"/>
                <w:sz w:val="20"/>
              </w:rPr>
              <w:t> </w:t>
            </w:r>
            <w:r>
              <w:rPr>
                <w:sz w:val="20"/>
              </w:rPr>
              <w:t>indicador a través de la historia en la CHPH.</w:t>
            </w:r>
          </w:p>
        </w:tc>
        <w:tc>
          <w:tcPr>
            <w:tcW w:w="2379" w:type="dxa"/>
            <w:vMerge/>
          </w:tcPr>
          <w:p>
            <w:pPr/>
          </w:p>
        </w:tc>
        <w:tc>
          <w:tcPr>
            <w:tcW w:w="1865" w:type="dxa"/>
            <w:vMerge/>
          </w:tcPr>
          <w:p>
            <w:pPr/>
          </w:p>
        </w:tc>
        <w:tc>
          <w:tcPr>
            <w:tcW w:w="1464" w:type="dxa"/>
            <w:vMerge/>
            <w:tcBorders>
              <w:right w:val="double" w:sz="12" w:space="0" w:color="000000"/>
            </w:tcBorders>
            <w:shd w:val="clear" w:color="auto" w:fill="FFFF00"/>
          </w:tcPr>
          <w:p>
            <w:pPr/>
          </w:p>
        </w:tc>
      </w:tr>
      <w:tr>
        <w:trPr>
          <w:trHeight w:val="1392" w:hRule="exact"/>
        </w:trPr>
        <w:tc>
          <w:tcPr>
            <w:tcW w:w="2142" w:type="dxa"/>
            <w:vMerge/>
            <w:tcBorders>
              <w:left w:val="double" w:sz="11" w:space="0" w:color="000000"/>
            </w:tcBorders>
          </w:tcPr>
          <w:p>
            <w:pPr/>
          </w:p>
        </w:tc>
        <w:tc>
          <w:tcPr>
            <w:tcW w:w="1526" w:type="dxa"/>
            <w:vMerge/>
          </w:tcPr>
          <w:p>
            <w:pPr/>
          </w:p>
        </w:tc>
        <w:tc>
          <w:tcPr>
            <w:tcW w:w="1352" w:type="dxa"/>
          </w:tcPr>
          <w:p>
            <w:pPr>
              <w:pStyle w:val="TableParagraph"/>
              <w:spacing w:line="230" w:lineRule="exact"/>
              <w:rPr>
                <w:sz w:val="20"/>
              </w:rPr>
            </w:pPr>
            <w:r>
              <w:rPr>
                <w:sz w:val="20"/>
              </w:rPr>
              <w:t>Sociopolítico</w:t>
            </w:r>
          </w:p>
        </w:tc>
        <w:tc>
          <w:tcPr>
            <w:tcW w:w="2093" w:type="dxa"/>
          </w:tcPr>
          <w:p>
            <w:pPr>
              <w:pStyle w:val="TableParagraph"/>
              <w:tabs>
                <w:tab w:pos="1722" w:val="left" w:leader="none"/>
              </w:tabs>
              <w:spacing w:line="229" w:lineRule="exact"/>
              <w:ind w:left="100"/>
              <w:jc w:val="both"/>
              <w:rPr>
                <w:sz w:val="20"/>
              </w:rPr>
            </w:pPr>
            <w:r>
              <w:rPr>
                <w:sz w:val="20"/>
              </w:rPr>
              <w:t>Son</w:t>
              <w:tab/>
              <w:t>las</w:t>
            </w:r>
          </w:p>
          <w:p>
            <w:pPr>
              <w:pStyle w:val="TableParagraph"/>
              <w:ind w:left="100" w:right="104"/>
              <w:jc w:val="both"/>
              <w:rPr>
                <w:sz w:val="20"/>
              </w:rPr>
            </w:pPr>
            <w:r>
              <w:rPr>
                <w:sz w:val="20"/>
              </w:rPr>
              <w:t>características de impacto sociopolítico del indicador  a través de la historia en la CHPH.</w:t>
            </w:r>
          </w:p>
        </w:tc>
        <w:tc>
          <w:tcPr>
            <w:tcW w:w="2379" w:type="dxa"/>
            <w:vMerge/>
          </w:tcPr>
          <w:p>
            <w:pPr/>
          </w:p>
        </w:tc>
        <w:tc>
          <w:tcPr>
            <w:tcW w:w="1865" w:type="dxa"/>
            <w:vMerge/>
          </w:tcPr>
          <w:p>
            <w:pPr/>
          </w:p>
        </w:tc>
        <w:tc>
          <w:tcPr>
            <w:tcW w:w="1464" w:type="dxa"/>
            <w:vMerge/>
            <w:tcBorders>
              <w:right w:val="double" w:sz="12" w:space="0" w:color="000000"/>
            </w:tcBorders>
            <w:shd w:val="clear" w:color="auto" w:fill="FFFF00"/>
          </w:tcPr>
          <w:p>
            <w:pPr/>
          </w:p>
        </w:tc>
      </w:tr>
      <w:tr>
        <w:trPr>
          <w:trHeight w:val="1630" w:hRule="exact"/>
        </w:trPr>
        <w:tc>
          <w:tcPr>
            <w:tcW w:w="2142" w:type="dxa"/>
            <w:tcBorders>
              <w:left w:val="double" w:sz="11" w:space="0" w:color="000000"/>
              <w:bottom w:val="single" w:sz="8" w:space="0" w:color="000000"/>
            </w:tcBorders>
          </w:tcPr>
          <w:p>
            <w:pPr/>
          </w:p>
        </w:tc>
        <w:tc>
          <w:tcPr>
            <w:tcW w:w="1526" w:type="dxa"/>
            <w:tcBorders>
              <w:bottom w:val="single" w:sz="8" w:space="0" w:color="000000"/>
            </w:tcBorders>
          </w:tcPr>
          <w:p>
            <w:pPr>
              <w:pStyle w:val="TableParagraph"/>
              <w:spacing w:before="4"/>
              <w:ind w:left="0"/>
              <w:rPr>
                <w:rFonts w:ascii="Times New Roman"/>
                <w:sz w:val="19"/>
              </w:rPr>
            </w:pPr>
          </w:p>
          <w:p>
            <w:pPr>
              <w:pStyle w:val="TableParagraph"/>
              <w:spacing w:before="1"/>
              <w:ind w:left="628" w:right="627"/>
              <w:jc w:val="center"/>
              <w:rPr>
                <w:b/>
                <w:sz w:val="20"/>
              </w:rPr>
            </w:pPr>
            <w:r>
              <w:rPr>
                <w:b/>
                <w:sz w:val="20"/>
              </w:rPr>
              <w:t>≥0</w:t>
            </w:r>
          </w:p>
        </w:tc>
        <w:tc>
          <w:tcPr>
            <w:tcW w:w="1352" w:type="dxa"/>
            <w:tcBorders>
              <w:bottom w:val="single" w:sz="8" w:space="0" w:color="000000"/>
            </w:tcBorders>
          </w:tcPr>
          <w:p>
            <w:pPr>
              <w:pStyle w:val="TableParagraph"/>
              <w:spacing w:line="227" w:lineRule="exact"/>
              <w:rPr>
                <w:sz w:val="20"/>
              </w:rPr>
            </w:pPr>
            <w:r>
              <w:rPr>
                <w:sz w:val="20"/>
              </w:rPr>
              <w:t>Ambiental</w:t>
            </w:r>
          </w:p>
        </w:tc>
        <w:tc>
          <w:tcPr>
            <w:tcW w:w="2093" w:type="dxa"/>
            <w:tcBorders>
              <w:bottom w:val="single" w:sz="8" w:space="0" w:color="000000"/>
            </w:tcBorders>
          </w:tcPr>
          <w:p>
            <w:pPr>
              <w:pStyle w:val="TableParagraph"/>
              <w:tabs>
                <w:tab w:pos="1720" w:val="left" w:leader="none"/>
              </w:tabs>
              <w:spacing w:line="226" w:lineRule="exact"/>
              <w:ind w:left="333"/>
              <w:jc w:val="both"/>
              <w:rPr>
                <w:sz w:val="20"/>
              </w:rPr>
            </w:pPr>
            <w:r>
              <w:rPr>
                <w:sz w:val="20"/>
              </w:rPr>
              <w:t>Son</w:t>
              <w:tab/>
              <w:t>las</w:t>
            </w:r>
          </w:p>
          <w:p>
            <w:pPr>
              <w:pStyle w:val="TableParagraph"/>
              <w:ind w:left="278" w:right="105"/>
              <w:jc w:val="both"/>
              <w:rPr>
                <w:sz w:val="20"/>
              </w:rPr>
            </w:pPr>
            <w:r>
              <w:rPr>
                <w:sz w:val="20"/>
              </w:rPr>
              <w:t>características de impacto ambiental del indicador a través       de      la</w:t>
            </w:r>
          </w:p>
          <w:p>
            <w:pPr>
              <w:pStyle w:val="TableParagraph"/>
              <w:ind w:left="278" w:right="106"/>
              <w:jc w:val="both"/>
              <w:rPr>
                <w:sz w:val="20"/>
              </w:rPr>
            </w:pPr>
            <w:r>
              <w:rPr>
                <w:sz w:val="20"/>
              </w:rPr>
              <w:t>historia en la CHPH.</w:t>
            </w:r>
          </w:p>
        </w:tc>
        <w:tc>
          <w:tcPr>
            <w:tcW w:w="2379" w:type="dxa"/>
            <w:tcBorders>
              <w:bottom w:val="single" w:sz="8" w:space="0" w:color="000000"/>
            </w:tcBorders>
          </w:tcPr>
          <w:p>
            <w:pPr/>
          </w:p>
        </w:tc>
        <w:tc>
          <w:tcPr>
            <w:tcW w:w="1865" w:type="dxa"/>
            <w:tcBorders>
              <w:bottom w:val="single" w:sz="8" w:space="0" w:color="000000"/>
            </w:tcBorders>
          </w:tcPr>
          <w:p>
            <w:pPr>
              <w:pStyle w:val="TableParagraph"/>
              <w:ind w:right="102"/>
              <w:jc w:val="both"/>
              <w:rPr>
                <w:sz w:val="20"/>
              </w:rPr>
            </w:pPr>
            <w:r>
              <w:rPr>
                <w:sz w:val="20"/>
              </w:rPr>
              <w:t>No reúne ni el 50% en </w:t>
            </w:r>
            <w:r>
              <w:rPr>
                <w:b/>
                <w:sz w:val="20"/>
              </w:rPr>
              <w:t>ninguna </w:t>
            </w:r>
            <w:r>
              <w:rPr>
                <w:sz w:val="20"/>
              </w:rPr>
              <w:t>de las de impacto positivo</w:t>
            </w:r>
          </w:p>
        </w:tc>
        <w:tc>
          <w:tcPr>
            <w:tcW w:w="1464" w:type="dxa"/>
            <w:tcBorders>
              <w:bottom w:val="single" w:sz="8" w:space="0" w:color="000000"/>
              <w:right w:val="double" w:sz="12" w:space="0" w:color="000000"/>
            </w:tcBorders>
            <w:shd w:val="clear" w:color="auto" w:fill="FF0000"/>
          </w:tcPr>
          <w:p>
            <w:pPr>
              <w:pStyle w:val="TableParagraph"/>
              <w:ind w:left="0"/>
              <w:rPr>
                <w:rFonts w:ascii="Times New Roman"/>
                <w:sz w:val="20"/>
              </w:rPr>
            </w:pPr>
          </w:p>
          <w:p>
            <w:pPr>
              <w:pStyle w:val="TableParagraph"/>
              <w:spacing w:before="5"/>
              <w:ind w:left="0"/>
              <w:rPr>
                <w:rFonts w:ascii="Times New Roman"/>
                <w:sz w:val="19"/>
              </w:rPr>
            </w:pPr>
          </w:p>
          <w:p>
            <w:pPr>
              <w:pStyle w:val="TableParagraph"/>
              <w:ind w:left="230"/>
              <w:rPr>
                <w:b/>
                <w:sz w:val="20"/>
              </w:rPr>
            </w:pPr>
            <w:r>
              <w:rPr>
                <w:b/>
                <w:sz w:val="20"/>
              </w:rPr>
              <w:t>Deficiente</w:t>
            </w:r>
          </w:p>
        </w:tc>
      </w:tr>
    </w:tbl>
    <w:p>
      <w:pPr>
        <w:spacing w:after="0"/>
        <w:rPr>
          <w:sz w:val="20"/>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2"/>
        <w:gridCol w:w="1526"/>
        <w:gridCol w:w="1352"/>
        <w:gridCol w:w="2093"/>
        <w:gridCol w:w="2379"/>
        <w:gridCol w:w="1865"/>
        <w:gridCol w:w="1464"/>
      </w:tblGrid>
      <w:tr>
        <w:trPr>
          <w:trHeight w:val="1630" w:hRule="exact"/>
        </w:trPr>
        <w:tc>
          <w:tcPr>
            <w:tcW w:w="2142" w:type="dxa"/>
            <w:vMerge w:val="restart"/>
            <w:tcBorders>
              <w:left w:val="double" w:sz="11" w:space="0" w:color="000000"/>
            </w:tcBorders>
          </w:tcPr>
          <w:p>
            <w:pPr/>
          </w:p>
        </w:tc>
        <w:tc>
          <w:tcPr>
            <w:tcW w:w="1526" w:type="dxa"/>
            <w:vMerge w:val="restart"/>
          </w:tcPr>
          <w:p>
            <w:pPr/>
          </w:p>
        </w:tc>
        <w:tc>
          <w:tcPr>
            <w:tcW w:w="1352" w:type="dxa"/>
          </w:tcPr>
          <w:p>
            <w:pPr>
              <w:pStyle w:val="TableParagraph"/>
              <w:spacing w:before="7"/>
              <w:rPr>
                <w:sz w:val="20"/>
              </w:rPr>
            </w:pPr>
            <w:r>
              <w:rPr>
                <w:sz w:val="20"/>
              </w:rPr>
              <w:t>Económico</w:t>
            </w:r>
          </w:p>
        </w:tc>
        <w:tc>
          <w:tcPr>
            <w:tcW w:w="2093" w:type="dxa"/>
          </w:tcPr>
          <w:p>
            <w:pPr>
              <w:pStyle w:val="TableParagraph"/>
              <w:tabs>
                <w:tab w:pos="1720" w:val="left" w:leader="none"/>
              </w:tabs>
              <w:spacing w:before="7"/>
              <w:ind w:left="278"/>
              <w:rPr>
                <w:sz w:val="20"/>
              </w:rPr>
            </w:pPr>
            <w:r>
              <w:rPr>
                <w:sz w:val="20"/>
              </w:rPr>
              <w:t>Son</w:t>
              <w:tab/>
              <w:t>las</w:t>
            </w:r>
          </w:p>
          <w:p>
            <w:pPr>
              <w:pStyle w:val="TableParagraph"/>
              <w:tabs>
                <w:tab w:pos="1710" w:val="left" w:leader="none"/>
              </w:tabs>
              <w:ind w:left="278" w:right="105"/>
              <w:rPr>
                <w:sz w:val="20"/>
              </w:rPr>
            </w:pPr>
            <w:r>
              <w:rPr>
                <w:sz w:val="20"/>
              </w:rPr>
              <w:t>características de impacto económico</w:t>
              <w:tab/>
              <w:t>del</w:t>
            </w:r>
            <w:r>
              <w:rPr>
                <w:w w:val="99"/>
                <w:sz w:val="20"/>
              </w:rPr>
              <w:t> </w:t>
            </w:r>
            <w:r>
              <w:rPr>
                <w:sz w:val="20"/>
              </w:rPr>
              <w:t>indicador a través de la historia en la CHPH.</w:t>
            </w:r>
          </w:p>
        </w:tc>
        <w:tc>
          <w:tcPr>
            <w:tcW w:w="2379" w:type="dxa"/>
            <w:vMerge w:val="restart"/>
          </w:tcPr>
          <w:p>
            <w:pPr/>
          </w:p>
        </w:tc>
        <w:tc>
          <w:tcPr>
            <w:tcW w:w="1865" w:type="dxa"/>
            <w:vMerge w:val="restart"/>
          </w:tcPr>
          <w:p>
            <w:pPr/>
          </w:p>
        </w:tc>
        <w:tc>
          <w:tcPr>
            <w:tcW w:w="1464" w:type="dxa"/>
            <w:vMerge w:val="restart"/>
            <w:tcBorders>
              <w:right w:val="double" w:sz="12" w:space="0" w:color="000000"/>
            </w:tcBorders>
            <w:shd w:val="clear" w:color="auto" w:fill="FF0000"/>
          </w:tcPr>
          <w:p>
            <w:pPr/>
          </w:p>
        </w:tc>
      </w:tr>
      <w:tr>
        <w:trPr>
          <w:trHeight w:val="1621" w:hRule="exact"/>
        </w:trPr>
        <w:tc>
          <w:tcPr>
            <w:tcW w:w="2142" w:type="dxa"/>
            <w:vMerge/>
            <w:tcBorders>
              <w:left w:val="double" w:sz="11" w:space="0" w:color="000000"/>
            </w:tcBorders>
          </w:tcPr>
          <w:p>
            <w:pPr/>
          </w:p>
        </w:tc>
        <w:tc>
          <w:tcPr>
            <w:tcW w:w="1526" w:type="dxa"/>
            <w:vMerge/>
          </w:tcPr>
          <w:p>
            <w:pPr/>
          </w:p>
        </w:tc>
        <w:tc>
          <w:tcPr>
            <w:tcW w:w="1352" w:type="dxa"/>
          </w:tcPr>
          <w:p>
            <w:pPr>
              <w:pStyle w:val="TableParagraph"/>
              <w:spacing w:line="227" w:lineRule="exact"/>
              <w:rPr>
                <w:sz w:val="20"/>
              </w:rPr>
            </w:pPr>
            <w:r>
              <w:rPr>
                <w:sz w:val="20"/>
              </w:rPr>
              <w:t>Sociopolítico</w:t>
            </w:r>
          </w:p>
        </w:tc>
        <w:tc>
          <w:tcPr>
            <w:tcW w:w="2093" w:type="dxa"/>
          </w:tcPr>
          <w:p>
            <w:pPr>
              <w:pStyle w:val="TableParagraph"/>
              <w:tabs>
                <w:tab w:pos="1720" w:val="left" w:leader="none"/>
              </w:tabs>
              <w:spacing w:line="227" w:lineRule="exact"/>
              <w:ind w:left="278"/>
              <w:rPr>
                <w:sz w:val="20"/>
              </w:rPr>
            </w:pPr>
            <w:r>
              <w:rPr>
                <w:sz w:val="20"/>
              </w:rPr>
              <w:t>Son</w:t>
              <w:tab/>
              <w:t>las</w:t>
            </w:r>
          </w:p>
          <w:p>
            <w:pPr>
              <w:pStyle w:val="TableParagraph"/>
              <w:tabs>
                <w:tab w:pos="1709" w:val="left" w:leader="none"/>
              </w:tabs>
              <w:ind w:left="278" w:right="106"/>
              <w:rPr>
                <w:sz w:val="20"/>
              </w:rPr>
            </w:pPr>
            <w:r>
              <w:rPr>
                <w:sz w:val="20"/>
              </w:rPr>
              <w:t>características de impacto sociopolítico</w:t>
              <w:tab/>
              <w:t>del</w:t>
            </w:r>
            <w:r>
              <w:rPr>
                <w:w w:val="99"/>
                <w:sz w:val="20"/>
              </w:rPr>
              <w:t> </w:t>
            </w:r>
            <w:r>
              <w:rPr>
                <w:sz w:val="20"/>
              </w:rPr>
              <w:t>indicador a través de la historia en la CHPH.</w:t>
            </w:r>
          </w:p>
        </w:tc>
        <w:tc>
          <w:tcPr>
            <w:tcW w:w="2379" w:type="dxa"/>
            <w:vMerge/>
          </w:tcPr>
          <w:p>
            <w:pPr/>
          </w:p>
        </w:tc>
        <w:tc>
          <w:tcPr>
            <w:tcW w:w="1865" w:type="dxa"/>
            <w:vMerge/>
          </w:tcPr>
          <w:p>
            <w:pPr/>
          </w:p>
        </w:tc>
        <w:tc>
          <w:tcPr>
            <w:tcW w:w="1464" w:type="dxa"/>
            <w:vMerge/>
            <w:tcBorders>
              <w:right w:val="double" w:sz="12" w:space="0" w:color="000000"/>
            </w:tcBorders>
            <w:shd w:val="clear" w:color="auto" w:fill="FF0000"/>
          </w:tcPr>
          <w:p>
            <w:pPr/>
          </w:p>
        </w:tc>
      </w:tr>
      <w:tr>
        <w:trPr>
          <w:trHeight w:val="262" w:hRule="exact"/>
        </w:trPr>
        <w:tc>
          <w:tcPr>
            <w:tcW w:w="12822" w:type="dxa"/>
            <w:gridSpan w:val="7"/>
          </w:tcPr>
          <w:p>
            <w:pPr>
              <w:pStyle w:val="TableParagraph"/>
              <w:spacing w:line="248" w:lineRule="exact"/>
              <w:ind w:left="3212" w:right="57"/>
              <w:rPr>
                <w:sz w:val="22"/>
              </w:rPr>
            </w:pPr>
            <w:r>
              <w:rPr>
                <w:b/>
                <w:sz w:val="22"/>
              </w:rPr>
              <w:t>Fuente: </w:t>
            </w:r>
            <w:r>
              <w:rPr>
                <w:sz w:val="22"/>
              </w:rPr>
              <w:t>Formato elaborado con ayuda del Dr. Carlos Díaz, 2016.</w:t>
            </w:r>
          </w:p>
        </w:tc>
      </w:tr>
      <w:tr>
        <w:trPr>
          <w:trHeight w:val="341" w:hRule="exact"/>
        </w:trPr>
        <w:tc>
          <w:tcPr>
            <w:tcW w:w="12822" w:type="dxa"/>
            <w:gridSpan w:val="7"/>
          </w:tcPr>
          <w:p>
            <w:pPr>
              <w:pStyle w:val="TableParagraph"/>
              <w:spacing w:line="251" w:lineRule="exact"/>
              <w:ind w:left="2021" w:right="2026"/>
              <w:jc w:val="center"/>
              <w:rPr>
                <w:b/>
                <w:sz w:val="22"/>
              </w:rPr>
            </w:pPr>
            <w:r>
              <w:rPr>
                <w:b/>
                <w:sz w:val="22"/>
              </w:rPr>
              <w:t>VENTAJAS DEL</w:t>
            </w:r>
            <w:r>
              <w:rPr>
                <w:b/>
                <w:spacing w:val="-12"/>
                <w:sz w:val="22"/>
              </w:rPr>
              <w:t> </w:t>
            </w:r>
            <w:r>
              <w:rPr>
                <w:b/>
                <w:sz w:val="22"/>
              </w:rPr>
              <w:t>INDICADOR</w:t>
            </w:r>
          </w:p>
        </w:tc>
      </w:tr>
      <w:tr>
        <w:trPr>
          <w:trHeight w:val="516" w:hRule="exact"/>
        </w:trPr>
        <w:tc>
          <w:tcPr>
            <w:tcW w:w="12822" w:type="dxa"/>
            <w:gridSpan w:val="7"/>
          </w:tcPr>
          <w:p>
            <w:pPr>
              <w:pStyle w:val="TableParagraph"/>
              <w:spacing w:line="242" w:lineRule="auto"/>
              <w:ind w:left="65" w:right="57"/>
              <w:rPr>
                <w:sz w:val="22"/>
              </w:rPr>
            </w:pPr>
            <w:r>
              <w:rPr>
                <w:sz w:val="22"/>
              </w:rPr>
              <w:t>Son las características del indicador que favorecen su interpretación en la teoría e ingeniería social para proponer la creación de un Comité Intermunicipal con su reglamento en la CHPH.</w:t>
            </w:r>
          </w:p>
        </w:tc>
      </w:tr>
      <w:tr>
        <w:trPr>
          <w:trHeight w:val="341" w:hRule="exact"/>
        </w:trPr>
        <w:tc>
          <w:tcPr>
            <w:tcW w:w="12822" w:type="dxa"/>
            <w:gridSpan w:val="7"/>
          </w:tcPr>
          <w:p>
            <w:pPr>
              <w:pStyle w:val="TableParagraph"/>
              <w:spacing w:line="248" w:lineRule="exact"/>
              <w:ind w:left="2021" w:right="2026"/>
              <w:jc w:val="center"/>
              <w:rPr>
                <w:b/>
                <w:sz w:val="22"/>
              </w:rPr>
            </w:pPr>
            <w:r>
              <w:rPr>
                <w:b/>
                <w:sz w:val="22"/>
              </w:rPr>
              <w:t>DESVENTAJAS DEL</w:t>
            </w:r>
            <w:r>
              <w:rPr>
                <w:b/>
                <w:spacing w:val="-14"/>
                <w:sz w:val="22"/>
              </w:rPr>
              <w:t> </w:t>
            </w:r>
            <w:r>
              <w:rPr>
                <w:b/>
                <w:sz w:val="22"/>
              </w:rPr>
              <w:t>INDICADOR</w:t>
            </w:r>
          </w:p>
        </w:tc>
      </w:tr>
      <w:tr>
        <w:trPr>
          <w:trHeight w:val="516" w:hRule="exact"/>
        </w:trPr>
        <w:tc>
          <w:tcPr>
            <w:tcW w:w="12822" w:type="dxa"/>
            <w:gridSpan w:val="7"/>
          </w:tcPr>
          <w:p>
            <w:pPr>
              <w:pStyle w:val="TableParagraph"/>
              <w:spacing w:line="252" w:lineRule="exact" w:before="2"/>
              <w:ind w:left="65" w:right="57"/>
              <w:rPr>
                <w:sz w:val="22"/>
              </w:rPr>
            </w:pPr>
            <w:r>
              <w:rPr>
                <w:sz w:val="22"/>
              </w:rPr>
              <w:t>Son las situaciones o eventos que no permiten la manipulación de la información del indicador para hacer un análisis más atinado de la realidad y poder proponer la creación de un Comité Intermunicipal con su reglamento en la CHPH.</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
        <w:rPr>
          <w:rFonts w:ascii="Times New Roman"/>
        </w:rPr>
      </w:pPr>
    </w:p>
    <w:p>
      <w:pPr>
        <w:spacing w:line="360" w:lineRule="auto" w:before="73"/>
        <w:ind w:left="4575" w:right="397" w:hanging="2643"/>
        <w:jc w:val="left"/>
        <w:rPr>
          <w:b/>
          <w:sz w:val="22"/>
        </w:rPr>
      </w:pPr>
      <w:r>
        <w:rPr>
          <w:b/>
          <w:sz w:val="22"/>
        </w:rPr>
        <w:t>SCORECARDS DE LOS FACTORES CRÍTICOS DE ÉXITO DEL SISTEMA PEIR DE LA CHPH: </w:t>
      </w:r>
      <w:r>
        <w:rPr>
          <w:b/>
          <w:sz w:val="22"/>
          <w:u w:val="thick"/>
        </w:rPr>
        <w:t>INDICADORES DE LA AEPA AMBIENTAL</w:t>
      </w:r>
    </w:p>
    <w:p>
      <w:pPr>
        <w:pStyle w:val="BodyText"/>
        <w:spacing w:before="3"/>
        <w:rPr>
          <w:b/>
          <w:sz w:val="1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4" w:hRule="exact"/>
        </w:trPr>
        <w:tc>
          <w:tcPr>
            <w:tcW w:w="6347" w:type="dxa"/>
            <w:gridSpan w:val="6"/>
          </w:tcPr>
          <w:p>
            <w:pPr>
              <w:pStyle w:val="TableParagraph"/>
              <w:spacing w:line="251" w:lineRule="exact"/>
              <w:ind w:left="2616" w:right="2617"/>
              <w:jc w:val="center"/>
              <w:rPr>
                <w:b/>
                <w:sz w:val="22"/>
              </w:rPr>
            </w:pPr>
            <w:r>
              <w:rPr>
                <w:b/>
                <w:sz w:val="22"/>
              </w:rPr>
              <w:t>AEPA</w:t>
            </w:r>
          </w:p>
        </w:tc>
        <w:tc>
          <w:tcPr>
            <w:tcW w:w="3274" w:type="dxa"/>
            <w:gridSpan w:val="5"/>
          </w:tcPr>
          <w:p>
            <w:pPr>
              <w:pStyle w:val="TableParagraph"/>
              <w:spacing w:line="251" w:lineRule="exact"/>
              <w:ind w:left="237" w:right="105"/>
              <w:rPr>
                <w:b/>
                <w:sz w:val="22"/>
              </w:rPr>
            </w:pPr>
            <w:r>
              <w:rPr>
                <w:b/>
                <w:sz w:val="22"/>
              </w:rPr>
              <w:t>NOMBRE DEL INDICADOR</w:t>
            </w:r>
          </w:p>
        </w:tc>
        <w:tc>
          <w:tcPr>
            <w:tcW w:w="3277" w:type="dxa"/>
            <w:gridSpan w:val="3"/>
          </w:tcPr>
          <w:p>
            <w:pPr>
              <w:pStyle w:val="TableParagraph"/>
              <w:spacing w:line="251" w:lineRule="exact"/>
              <w:ind w:left="1072"/>
              <w:rPr>
                <w:b/>
                <w:sz w:val="22"/>
              </w:rPr>
            </w:pPr>
            <w:r>
              <w:rPr>
                <w:b/>
                <w:sz w:val="22"/>
              </w:rPr>
              <w:t>OBJETIVO</w:t>
            </w:r>
          </w:p>
        </w:tc>
      </w:tr>
      <w:tr>
        <w:trPr>
          <w:trHeight w:val="398"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b/>
                <w:sz w:val="22"/>
              </w:rPr>
            </w:pPr>
          </w:p>
          <w:p>
            <w:pPr>
              <w:pStyle w:val="TableParagraph"/>
              <w:ind w:left="0"/>
              <w:rPr>
                <w:b/>
                <w:sz w:val="22"/>
              </w:rPr>
            </w:pPr>
          </w:p>
          <w:p>
            <w:pPr>
              <w:pStyle w:val="TableParagraph"/>
              <w:spacing w:before="6"/>
              <w:ind w:left="0"/>
              <w:rPr>
                <w:b/>
                <w:sz w:val="21"/>
              </w:rPr>
            </w:pPr>
          </w:p>
          <w:p>
            <w:pPr>
              <w:pStyle w:val="TableParagraph"/>
              <w:ind w:left="676" w:right="105"/>
              <w:rPr>
                <w:b/>
                <w:sz w:val="22"/>
              </w:rPr>
            </w:pPr>
            <w:r>
              <w:rPr>
                <w:b/>
                <w:sz w:val="22"/>
              </w:rPr>
              <w:t>Historia ambiental</w:t>
            </w:r>
          </w:p>
        </w:tc>
        <w:tc>
          <w:tcPr>
            <w:tcW w:w="3277" w:type="dxa"/>
            <w:gridSpan w:val="3"/>
            <w:vMerge w:val="restart"/>
          </w:tcPr>
          <w:p>
            <w:pPr>
              <w:pStyle w:val="TableParagraph"/>
              <w:ind w:left="100" w:right="102"/>
              <w:jc w:val="both"/>
              <w:rPr>
                <w:b/>
                <w:sz w:val="22"/>
              </w:rPr>
            </w:pPr>
            <w:r>
              <w:rPr>
                <w:b/>
                <w:sz w:val="22"/>
              </w:rPr>
              <w:t>Identificar los procesos históricos que  han articulado a los actores de la CHPH con el medio ambiente.</w:t>
            </w:r>
          </w:p>
        </w:tc>
      </w:tr>
      <w:tr>
        <w:trPr>
          <w:trHeight w:val="1529"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6" w:hRule="exact"/>
        </w:trPr>
        <w:tc>
          <w:tcPr>
            <w:tcW w:w="2093" w:type="dxa"/>
            <w:gridSpan w:val="2"/>
          </w:tcPr>
          <w:p>
            <w:pPr>
              <w:pStyle w:val="TableParagraph"/>
              <w:spacing w:line="248" w:lineRule="exact"/>
              <w:ind w:left="307"/>
              <w:rPr>
                <w:b/>
                <w:sz w:val="22"/>
              </w:rPr>
            </w:pPr>
            <w:r>
              <w:rPr>
                <w:b/>
                <w:sz w:val="22"/>
              </w:rPr>
              <w:t>17.063/ 18.055</w:t>
            </w:r>
          </w:p>
        </w:tc>
        <w:tc>
          <w:tcPr>
            <w:tcW w:w="1985" w:type="dxa"/>
            <w:gridSpan w:val="2"/>
          </w:tcPr>
          <w:p>
            <w:pPr>
              <w:pStyle w:val="TableParagraph"/>
              <w:spacing w:line="248" w:lineRule="exact"/>
              <w:ind w:left="0"/>
              <w:jc w:val="center"/>
              <w:rPr>
                <w:b/>
                <w:sz w:val="22"/>
              </w:rPr>
            </w:pPr>
            <w:r>
              <w:rPr>
                <w:b/>
                <w:sz w:val="22"/>
              </w:rPr>
              <w:t>94.5%</w:t>
            </w:r>
          </w:p>
        </w:tc>
        <w:tc>
          <w:tcPr>
            <w:tcW w:w="2268" w:type="dxa"/>
            <w:gridSpan w:val="2"/>
          </w:tcPr>
          <w:p>
            <w:pPr>
              <w:pStyle w:val="TableParagraph"/>
              <w:spacing w:line="248" w:lineRule="exact"/>
              <w:ind w:left="136" w:right="136"/>
              <w:jc w:val="center"/>
              <w:rPr>
                <w:b/>
                <w:sz w:val="22"/>
              </w:rPr>
            </w:pPr>
            <w:r>
              <w:rPr>
                <w:b/>
                <w:sz w:val="22"/>
              </w:rPr>
              <w:t>16.125</w:t>
            </w:r>
          </w:p>
        </w:tc>
        <w:tc>
          <w:tcPr>
            <w:tcW w:w="3274" w:type="dxa"/>
            <w:gridSpan w:val="5"/>
            <w:vMerge/>
          </w:tcPr>
          <w:p>
            <w:pPr/>
          </w:p>
        </w:tc>
        <w:tc>
          <w:tcPr>
            <w:tcW w:w="3277" w:type="dxa"/>
            <w:gridSpan w:val="3"/>
            <w:vMerge/>
          </w:tcPr>
          <w:p>
            <w:pPr/>
          </w:p>
        </w:tc>
      </w:tr>
      <w:tr>
        <w:trPr>
          <w:trHeight w:val="264" w:hRule="exact"/>
        </w:trPr>
        <w:tc>
          <w:tcPr>
            <w:tcW w:w="2093" w:type="dxa"/>
            <w:gridSpan w:val="2"/>
            <w:shd w:val="clear" w:color="auto" w:fill="76923B"/>
          </w:tcPr>
          <w:p>
            <w:pPr>
              <w:pStyle w:val="TableParagraph"/>
              <w:spacing w:line="248" w:lineRule="exact"/>
              <w:ind w:left="0" w:right="1"/>
              <w:jc w:val="center"/>
              <w:rPr>
                <w:b/>
                <w:sz w:val="22"/>
              </w:rPr>
            </w:pPr>
            <w:r>
              <w:rPr>
                <w:b/>
                <w:w w:val="100"/>
                <w:sz w:val="22"/>
              </w:rPr>
              <w:t>1</w:t>
            </w:r>
          </w:p>
        </w:tc>
        <w:tc>
          <w:tcPr>
            <w:tcW w:w="1985" w:type="dxa"/>
            <w:gridSpan w:val="2"/>
            <w:tcBorders>
              <w:left w:val="single" w:sz="45" w:space="0" w:color="76923B"/>
            </w:tcBorders>
          </w:tcPr>
          <w:p>
            <w:pPr>
              <w:pStyle w:val="TableParagraph"/>
              <w:spacing w:line="248" w:lineRule="exact"/>
              <w:ind w:left="0" w:right="49"/>
              <w:jc w:val="center"/>
              <w:rPr>
                <w:b/>
                <w:sz w:val="22"/>
              </w:rPr>
            </w:pPr>
            <w:r>
              <w:rPr>
                <w:b/>
                <w:w w:val="100"/>
                <w:sz w:val="22"/>
              </w:rPr>
              <w:t>2</w:t>
            </w:r>
          </w:p>
        </w:tc>
        <w:tc>
          <w:tcPr>
            <w:tcW w:w="2268" w:type="dxa"/>
            <w:gridSpan w:val="2"/>
            <w:tcBorders>
              <w:right w:val="single" w:sz="41" w:space="0" w:color="76923B"/>
            </w:tcBorders>
          </w:tcPr>
          <w:p>
            <w:pPr>
              <w:pStyle w:val="TableParagraph"/>
              <w:spacing w:line="248" w:lineRule="exact"/>
              <w:ind w:left="47"/>
              <w:jc w:val="center"/>
              <w:rPr>
                <w:b/>
                <w:sz w:val="22"/>
              </w:rPr>
            </w:pPr>
            <w:r>
              <w:rPr>
                <w:b/>
                <w:w w:val="100"/>
                <w:sz w:val="22"/>
              </w:rPr>
              <w:t>3</w:t>
            </w:r>
          </w:p>
        </w:tc>
        <w:tc>
          <w:tcPr>
            <w:tcW w:w="1701" w:type="dxa"/>
            <w:gridSpan w:val="2"/>
            <w:shd w:val="clear" w:color="auto" w:fill="76923B"/>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76923B"/>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2"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4" w:hRule="exact"/>
        </w:trPr>
        <w:tc>
          <w:tcPr>
            <w:tcW w:w="6488" w:type="dxa"/>
            <w:gridSpan w:val="7"/>
            <w:shd w:val="clear" w:color="auto" w:fill="92CDDC"/>
          </w:tcPr>
          <w:p>
            <w:pPr>
              <w:pStyle w:val="TableParagraph"/>
              <w:spacing w:line="251"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51"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2" w:right="492"/>
              <w:jc w:val="center"/>
              <w:rPr>
                <w:b/>
                <w:sz w:val="22"/>
              </w:rPr>
            </w:pPr>
            <w:r>
              <w:rPr>
                <w:b/>
                <w:sz w:val="22"/>
              </w:rPr>
              <w:t>131</w:t>
            </w:r>
          </w:p>
        </w:tc>
        <w:tc>
          <w:tcPr>
            <w:tcW w:w="2127" w:type="dxa"/>
            <w:gridSpan w:val="3"/>
            <w:shd w:val="clear" w:color="auto" w:fill="92CDDC"/>
          </w:tcPr>
          <w:p>
            <w:pPr>
              <w:pStyle w:val="TableParagraph"/>
              <w:spacing w:line="248" w:lineRule="exact"/>
              <w:ind w:left="0"/>
              <w:jc w:val="center"/>
              <w:rPr>
                <w:b/>
                <w:sz w:val="22"/>
              </w:rPr>
            </w:pPr>
            <w:r>
              <w:rPr>
                <w:b/>
                <w:w w:val="100"/>
                <w:sz w:val="22"/>
              </w:rPr>
              <w:t>1</w:t>
            </w:r>
          </w:p>
        </w:tc>
        <w:tc>
          <w:tcPr>
            <w:tcW w:w="2410" w:type="dxa"/>
            <w:gridSpan w:val="3"/>
            <w:shd w:val="clear" w:color="auto" w:fill="92CDDC"/>
          </w:tcPr>
          <w:p>
            <w:pPr>
              <w:pStyle w:val="TableParagraph"/>
              <w:spacing w:line="248" w:lineRule="exact"/>
              <w:ind w:left="782" w:right="780"/>
              <w:jc w:val="center"/>
              <w:rPr>
                <w:b/>
                <w:sz w:val="22"/>
              </w:rPr>
            </w:pPr>
            <w:r>
              <w:rPr>
                <w:b/>
                <w:sz w:val="22"/>
              </w:rPr>
              <w:t>1.00</w:t>
            </w:r>
          </w:p>
        </w:tc>
        <w:tc>
          <w:tcPr>
            <w:tcW w:w="1844" w:type="dxa"/>
            <w:gridSpan w:val="2"/>
            <w:shd w:val="clear" w:color="auto" w:fill="F9BE8F"/>
          </w:tcPr>
          <w:p>
            <w:pPr>
              <w:pStyle w:val="TableParagraph"/>
              <w:spacing w:line="248" w:lineRule="exact"/>
              <w:ind w:left="774" w:right="774"/>
              <w:jc w:val="center"/>
              <w:rPr>
                <w:b/>
                <w:sz w:val="22"/>
              </w:rPr>
            </w:pPr>
            <w:r>
              <w:rPr>
                <w:b/>
                <w:sz w:val="22"/>
              </w:rPr>
              <w:t>43</w:t>
            </w:r>
          </w:p>
        </w:tc>
        <w:tc>
          <w:tcPr>
            <w:tcW w:w="2126" w:type="dxa"/>
            <w:gridSpan w:val="3"/>
            <w:shd w:val="clear" w:color="auto" w:fill="F9BE8F"/>
          </w:tcPr>
          <w:p>
            <w:pPr>
              <w:pStyle w:val="TableParagraph"/>
              <w:spacing w:line="248" w:lineRule="exact"/>
              <w:ind w:left="0"/>
              <w:jc w:val="center"/>
              <w:rPr>
                <w:b/>
                <w:sz w:val="22"/>
              </w:rPr>
            </w:pPr>
            <w:r>
              <w:rPr>
                <w:b/>
                <w:w w:val="100"/>
                <w:sz w:val="22"/>
              </w:rPr>
              <w:t>1</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Procesos históricos, actores, CHPH, medio ambiente.</w:t>
            </w:r>
          </w:p>
        </w:tc>
      </w:tr>
      <w:tr>
        <w:trPr>
          <w:trHeight w:val="516" w:hRule="exact"/>
        </w:trPr>
        <w:tc>
          <w:tcPr>
            <w:tcW w:w="2290" w:type="dxa"/>
            <w:gridSpan w:val="3"/>
          </w:tcPr>
          <w:p>
            <w:pPr>
              <w:pStyle w:val="TableParagraph"/>
              <w:spacing w:line="248" w:lineRule="exact"/>
              <w:ind w:left="453" w:right="408"/>
              <w:rPr>
                <w:b/>
                <w:sz w:val="22"/>
              </w:rPr>
            </w:pPr>
            <w:r>
              <w:rPr>
                <w:b/>
                <w:sz w:val="22"/>
              </w:rPr>
              <w:t>Metodología:</w:t>
            </w:r>
          </w:p>
        </w:tc>
        <w:tc>
          <w:tcPr>
            <w:tcW w:w="10607" w:type="dxa"/>
            <w:gridSpan w:val="11"/>
          </w:tcPr>
          <w:p>
            <w:pPr>
              <w:pStyle w:val="TableParagraph"/>
              <w:spacing w:line="252" w:lineRule="exact" w:before="2"/>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768" w:hRule="exact"/>
        </w:trPr>
        <w:tc>
          <w:tcPr>
            <w:tcW w:w="12897" w:type="dxa"/>
            <w:gridSpan w:val="14"/>
          </w:tcPr>
          <w:p>
            <w:pPr>
              <w:pStyle w:val="TableParagraph"/>
              <w:ind w:right="103"/>
              <w:jc w:val="both"/>
              <w:rPr>
                <w:sz w:val="22"/>
              </w:rPr>
            </w:pPr>
            <w:r>
              <w:rPr>
                <w:sz w:val="22"/>
              </w:rPr>
              <w:t>Son los principales hechos y procesos de las interacciones de los actores de la CHPH con el agua y ambiente a lo largo del tiempo; y las prácticas culturales de gran antigüedad asociadas a las características locales de la cuenca que facilitan el interés de la gestión ambiental para sostener sus recursos naturales de la región (Hecht. 1976; White, 2012 y García, TC:</w:t>
            </w:r>
            <w:r>
              <w:rPr>
                <w:spacing w:val="-29"/>
                <w:sz w:val="22"/>
              </w:rPr>
              <w:t> </w:t>
            </w:r>
            <w:r>
              <w:rPr>
                <w:sz w:val="22"/>
              </w:rPr>
              <w:t>2013-2015).</w:t>
            </w:r>
          </w:p>
        </w:tc>
      </w:tr>
      <w:tr>
        <w:trPr>
          <w:trHeight w:val="265" w:hRule="exact"/>
        </w:trPr>
        <w:tc>
          <w:tcPr>
            <w:tcW w:w="4295" w:type="dxa"/>
            <w:gridSpan w:val="5"/>
          </w:tcPr>
          <w:p>
            <w:pPr>
              <w:pStyle w:val="TableParagraph"/>
              <w:spacing w:line="251" w:lineRule="exact"/>
              <w:ind w:left="1097" w:right="213"/>
              <w:rPr>
                <w:b/>
                <w:sz w:val="22"/>
              </w:rPr>
            </w:pPr>
            <w:r>
              <w:rPr>
                <w:b/>
                <w:sz w:val="22"/>
              </w:rPr>
              <w:t>Unidad de medición</w:t>
            </w:r>
          </w:p>
        </w:tc>
        <w:tc>
          <w:tcPr>
            <w:tcW w:w="8603" w:type="dxa"/>
            <w:gridSpan w:val="9"/>
          </w:tcPr>
          <w:p>
            <w:pPr>
              <w:pStyle w:val="TableParagraph"/>
              <w:spacing w:line="251" w:lineRule="exact"/>
              <w:ind w:left="2419" w:right="108"/>
              <w:rPr>
                <w:b/>
                <w:sz w:val="22"/>
              </w:rPr>
            </w:pPr>
            <w:r>
              <w:rPr>
                <w:b/>
                <w:sz w:val="22"/>
              </w:rPr>
              <w:t>Definición de la unidad de medición</w:t>
            </w:r>
          </w:p>
        </w:tc>
      </w:tr>
      <w:tr>
        <w:trPr>
          <w:trHeight w:val="770" w:hRule="exact"/>
        </w:trPr>
        <w:tc>
          <w:tcPr>
            <w:tcW w:w="4295" w:type="dxa"/>
            <w:gridSpan w:val="5"/>
          </w:tcPr>
          <w:p>
            <w:pPr>
              <w:pStyle w:val="TableParagraph"/>
              <w:spacing w:line="242" w:lineRule="auto"/>
              <w:ind w:right="213"/>
              <w:rPr>
                <w:sz w:val="22"/>
              </w:rPr>
            </w:pPr>
            <w:r>
              <w:rPr>
                <w:sz w:val="22"/>
              </w:rPr>
              <w:t># de hechos históricos de impacto en la vinculación agua-ambiente-sociedad.</w:t>
            </w:r>
          </w:p>
        </w:tc>
        <w:tc>
          <w:tcPr>
            <w:tcW w:w="8603" w:type="dxa"/>
            <w:gridSpan w:val="9"/>
          </w:tcPr>
          <w:p>
            <w:pPr>
              <w:pStyle w:val="TableParagraph"/>
              <w:ind w:right="100"/>
              <w:jc w:val="both"/>
              <w:rPr>
                <w:sz w:val="22"/>
              </w:rPr>
            </w:pPr>
            <w:r>
              <w:rPr>
                <w:sz w:val="22"/>
              </w:rPr>
              <w:t>Cantidad de procesos históricos significativos que han articulado las redes socio- ambientales de la CHPH (Ejemplos de hechos históricos: construcción de la presa, creación del municipio y creación del ejido).</w:t>
            </w:r>
          </w:p>
        </w:tc>
      </w:tr>
    </w:tbl>
    <w:p>
      <w:pPr>
        <w:spacing w:after="0"/>
        <w:jc w:val="both"/>
        <w:rPr>
          <w:sz w:val="22"/>
        </w:rPr>
        <w:sectPr>
          <w:pgSz w:w="15840" w:h="12240" w:orient="landscape"/>
          <w:pgMar w:header="0" w:footer="943" w:top="1140" w:bottom="1140" w:left="1200" w:right="13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7"/>
        </w:rPr>
      </w:pPr>
    </w:p>
    <w:p>
      <w:pPr>
        <w:spacing w:before="0"/>
        <w:ind w:left="5768" w:right="897" w:hanging="5079"/>
        <w:jc w:val="left"/>
        <w:rPr>
          <w:b/>
          <w:sz w:val="22"/>
        </w:rPr>
      </w:pPr>
      <w:r>
        <w:rPr/>
        <w:pict>
          <v:group style="position:absolute;margin-left:65.269997pt;margin-top:-.492137pt;width:645.4pt;height:330.6pt;mso-position-horizontal-relative:page;mso-position-vertical-relative:paragraph;z-index:-3331360" coordorigin="1305,-10" coordsize="12908,6612">
            <v:line style="position:absolute" from="1315,0" to="14203,0" stroked="true" strokeweight=".48pt" strokecolor="#000000"/>
            <v:line style="position:absolute" from="1315,516" to="14203,516" stroked="true" strokeweight=".48001pt" strokecolor="#000000"/>
            <v:line style="position:absolute" from="1310,-5" to="1310,6597" stroked="true" strokeweight=".48pt" strokecolor="#000000"/>
            <v:line style="position:absolute" from="1315,6592" to="14203,6592" stroked="true" strokeweight=".47998pt" strokecolor="#000000"/>
            <v:line style="position:absolute" from="14208,-5" to="14208,6597" stroked="true" strokeweight=".48004pt" strokecolor="#000000"/>
            <v:line style="position:absolute" from="1900,562" to="1900,724" stroked="true" strokeweight="4.330281pt" strokecolor="#f79546"/>
            <v:line style="position:absolute" from="7335,562" to="7335,724" stroked="true" strokeweight="4.330281pt" strokecolor="#f79546"/>
            <v:rect style="position:absolute;left:1944;top:562;width:5348;height:162" filled="true" fillcolor="#f79546" stroked="false">
              <v:fill type="solid"/>
            </v:rect>
            <v:line style="position:absolute" from="1855,559" to="7378,559" stroked="true" strokeweight=".337285pt" strokecolor="#000000"/>
            <v:line style="position:absolute" from="1856,556" to="7377,556" stroked="true" strokeweight=".098373pt" strokecolor="#000000"/>
            <v:line style="position:absolute" from="1855,728" to="4224,728" stroked="true" strokeweight=".337281pt" strokecolor="#000000"/>
            <v:line style="position:absolute" from="1856,725" to="4223,725" stroked="true" strokeweight=".098373pt" strokecolor="#000000"/>
            <v:line style="position:absolute" from="4233,728" to="7378,728" stroked="true" strokeweight=".337282pt" strokecolor="#000000"/>
            <v:line style="position:absolute" from="4234,725" to="7377,725" stroked="true" strokeweight=".098373pt" strokecolor="#000000"/>
            <v:line style="position:absolute" from="7381,732" to="7381,994" stroked="true" strokeweight=".369449pt" strokecolor="#000000"/>
            <v:line style="position:absolute" from="1847,996" to="1855,996" stroked="true" strokeweight=".337279pt" strokecolor="#000000"/>
            <v:line style="position:absolute" from="1848,993" to="1854,993" stroked="true" strokeweight=".098373pt" strokecolor="#000000"/>
            <v:line style="position:absolute" from="1855,996" to="4224,996" stroked="true" strokeweight=".337281pt" strokecolor="#000000"/>
            <v:line style="position:absolute" from="1856,993" to="4223,993" stroked="true" strokeweight=".098373pt" strokecolor="#000000"/>
            <v:line style="position:absolute" from="4224,996" to="4233,996" stroked="true" strokeweight=".337279pt" strokecolor="#000000"/>
            <v:line style="position:absolute" from="4233,996" to="7378,996" stroked="true" strokeweight=".337282pt" strokecolor="#000000"/>
            <v:line style="position:absolute" from="4234,993" to="7377,993" stroked="true" strokeweight=".098373pt" strokecolor="#000000"/>
            <v:line style="position:absolute" from="7378,996" to="7386,996" stroked="true" strokeweight=".337279pt" strokecolor="#000000"/>
            <v:line style="position:absolute" from="1847,2553" to="1855,2553" stroked="true" strokeweight=".337279pt" strokecolor="#000000"/>
            <v:line style="position:absolute" from="1847,2553" to="1855,2553" stroked="true" strokeweight=".337279pt" strokecolor="#000000"/>
            <v:line style="position:absolute" from="1850,555" to="1850,2556" stroked="true" strokeweight=".369469pt" strokecolor="#000000"/>
            <v:line style="position:absolute" from="1855,2553" to="4224,2553" stroked="true" strokeweight=".337281pt" strokecolor="#000000"/>
            <v:line style="position:absolute" from="1856,2550" to="4223,2550" stroked="true" strokeweight=".098373pt" strokecolor="#000000"/>
            <v:line style="position:absolute" from="4229,724" to="4229,2556" stroked="true" strokeweight=".421035pt" strokecolor="#000000"/>
            <v:line style="position:absolute" from="4233,2553" to="7378,2553" stroked="true" strokeweight=".337282pt" strokecolor="#000000"/>
            <v:line style="position:absolute" from="4234,2550" to="7377,2550" stroked="true" strokeweight=".098373pt" strokecolor="#000000"/>
            <v:line style="position:absolute" from="7381,1000" to="7381,2551" stroked="true" strokeweight=".369473pt" strokecolor="#000000"/>
            <v:line style="position:absolute" from="7378,2553" to="7386,2553" stroked="true" strokeweight=".337279pt" strokecolor="#000000"/>
            <v:line style="position:absolute" from="7378,2553" to="7386,2553" stroked="true" strokeweight=".337279pt" strokecolor="#000000"/>
            <v:line style="position:absolute" from="7379,555" to="7379,2556" stroked="true" strokeweight=".120286pt" strokecolor="#000000"/>
            <v:line style="position:absolute" from="7921,529" to="7921,689" stroked="true" strokeweight="4.433383pt" strokecolor="#d99493"/>
            <v:line style="position:absolute" from="13599,529" to="13599,689" stroked="true" strokeweight="4.433383pt" strokecolor="#d99493"/>
            <v:rect style="position:absolute;left:7966;top:529;width:5589;height:160" filled="true" fillcolor="#d99493" stroked="false">
              <v:fill type="solid"/>
            </v:rect>
            <v:line style="position:absolute" from="7877,524" to="13643,524" stroked="true" strokeweight=".337285pt" strokecolor="#000000"/>
            <v:line style="position:absolute" from="7878,521" to="13642,521" stroked="true" strokeweight=".098373pt" strokecolor="#000000"/>
            <v:line style="position:absolute" from="7877,692" to="10764,692" stroked="true" strokeweight=".337282pt" strokecolor="#000000"/>
            <v:line style="position:absolute" from="7878,690" to="10763,690" stroked="true" strokeweight=".098373pt" strokecolor="#000000"/>
            <v:line style="position:absolute" from="10772,692" to="13643,692" stroked="true" strokeweight=".337282pt" strokecolor="#000000"/>
            <v:line style="position:absolute" from="10773,690" to="13642,690" stroked="true" strokeweight=".098373pt" strokecolor="#000000"/>
            <v:line style="position:absolute" from="13647,696" to="13647,869" stroked="true" strokeweight=".369449pt" strokecolor="#000000"/>
            <v:line style="position:absolute" from="7869,871" to="7877,871" stroked="true" strokeweight=".337279pt" strokecolor="#000000"/>
            <v:line style="position:absolute" from="7870,868" to="7876,868" stroked="true" strokeweight=".098373pt" strokecolor="#000000"/>
            <v:line style="position:absolute" from="7877,871" to="10764,871" stroked="true" strokeweight=".337282pt" strokecolor="#000000"/>
            <v:line style="position:absolute" from="7878,868" to="10763,868" stroked="true" strokeweight=".098373pt" strokecolor="#000000"/>
            <v:line style="position:absolute" from="10764,871" to="10772,871" stroked="true" strokeweight=".337279pt" strokecolor="#000000"/>
            <v:line style="position:absolute" from="10772,871" to="13643,871" stroked="true" strokeweight=".337282pt" strokecolor="#000000"/>
            <v:line style="position:absolute" from="10773,868" to="13642,868" stroked="true" strokeweight=".098373pt" strokecolor="#000000"/>
            <v:line style="position:absolute" from="13643,871" to="13651,871" stroked="true" strokeweight=".337279pt" strokecolor="#000000"/>
            <v:line style="position:absolute" from="7869,3553" to="7877,3553" stroked="true" strokeweight=".337286pt" strokecolor="#000000"/>
            <v:line style="position:absolute" from="7869,3553" to="7877,3553" stroked="true" strokeweight=".337286pt" strokecolor="#000000"/>
            <v:line style="position:absolute" from="7872,520" to="7872,3556" stroked="true" strokeweight=".36952pt" strokecolor="#000000"/>
            <v:line style="position:absolute" from="7877,3553" to="10764,3553" stroked="true" strokeweight=".337289pt" strokecolor="#000000"/>
            <v:line style="position:absolute" from="7878,3551" to="10763,3551" stroked="true" strokeweight=".098373pt" strokecolor="#000000"/>
            <v:line style="position:absolute" from="10768,689" to="10768,3557" stroked="true" strokeweight=".421098pt" strokecolor="#000000"/>
            <v:line style="position:absolute" from="10772,3553" to="13643,3553" stroked="true" strokeweight=".337289pt" strokecolor="#000000"/>
            <v:line style="position:absolute" from="10773,3551" to="13642,3551" stroked="true" strokeweight=".098373pt" strokecolor="#000000"/>
            <v:line style="position:absolute" from="13647,875" to="13647,3552" stroked="true" strokeweight=".369492pt" strokecolor="#000000"/>
            <v:line style="position:absolute" from="13643,3553" to="13651,3553" stroked="true" strokeweight=".337286pt" strokecolor="#000000"/>
            <v:line style="position:absolute" from="13643,3553" to="13651,3553" stroked="true" strokeweight=".337286pt" strokecolor="#000000"/>
            <v:line style="position:absolute" from="13644,520" to="13644,3556" stroked="true" strokeweight=".120286pt" strokecolor="#000000"/>
            <v:line style="position:absolute" from="1900,3801" to="1900,3963" stroked="true" strokeweight="4.330281pt" strokecolor="#92cddc"/>
            <v:line style="position:absolute" from="7407,3801" to="7407,3963" stroked="true" strokeweight="4.330281pt" strokecolor="#92cddc"/>
            <v:rect style="position:absolute;left:1944;top:3801;width:5420;height:162" filled="true" fillcolor="#92cddc" stroked="false">
              <v:fill type="solid"/>
            </v:rect>
            <v:line style="position:absolute" from="1855,3798" to="7450,3798" stroked="true" strokeweight=".337285pt" strokecolor="#000000"/>
            <v:line style="position:absolute" from="1856,3795" to="7449,3795" stroked="true" strokeweight=".098373pt" strokecolor="#000000"/>
            <v:line style="position:absolute" from="1855,3966" to="4010,3966" stroked="true" strokeweight=".337281pt" strokecolor="#000000"/>
            <v:line style="position:absolute" from="1856,3964" to="4009,3964" stroked="true" strokeweight=".098373pt" strokecolor="#000000"/>
            <v:line style="position:absolute" from="4018,3966" to="7450,3966" stroked="true" strokeweight=".337283pt" strokecolor="#000000"/>
            <v:line style="position:absolute" from="4019,3964" to="7449,3964" stroked="true" strokeweight=".098373pt" strokecolor="#000000"/>
            <v:line style="position:absolute" from="1850,3971" to="1850,4134" stroked="true" strokeweight=".369449pt" strokecolor="#000000"/>
            <v:line style="position:absolute" from="7454,3971" to="7454,4134" stroked="true" strokeweight=".369449pt" strokecolor="#000000"/>
            <v:line style="position:absolute" from="1847,4135" to="1855,4135" stroked="true" strokeweight=".337286pt" strokecolor="#000000"/>
            <v:line style="position:absolute" from="1855,4135" to="4010,4135" stroked="true" strokeweight=".337288pt" strokecolor="#000000"/>
            <v:line style="position:absolute" from="1856,4133" to="4009,4133" stroked="true" strokeweight=".098373pt" strokecolor="#000000"/>
            <v:line style="position:absolute" from="4010,4135" to="4018,4135" stroked="true" strokeweight=".337286pt" strokecolor="#000000"/>
            <v:line style="position:absolute" from="4018,4135" to="7450,4135" stroked="true" strokeweight=".33729pt" strokecolor="#000000"/>
            <v:line style="position:absolute" from="4019,4133" to="7449,4133" stroked="true" strokeweight=".098373pt" strokecolor="#000000"/>
            <v:line style="position:absolute" from="7450,4135" to="7458,4135" stroked="true" strokeweight=".337286pt" strokecolor="#000000"/>
            <v:line style="position:absolute" from="1851,4139" to="1851,6566" stroked="true" strokeweight=".421022pt" strokecolor="#000000"/>
            <v:line style="position:absolute" from="1848,3794" to="1848,6565" stroked="true" strokeweight=".120286pt" strokecolor="#000000"/>
            <v:line style="position:absolute" from="1855,6563" to="4010,6563" stroked="true" strokeweight=".337267pt" strokecolor="#000000"/>
            <v:line style="position:absolute" from="1856,6560" to="4009,6560" stroked="true" strokeweight=".098373pt" strokecolor="#000000"/>
            <v:line style="position:absolute" from="4014,3963" to="4014,6566" stroked="true" strokeweight=".421038pt" strokecolor="#000000"/>
            <v:line style="position:absolute" from="4018,6563" to="7450,6563" stroked="true" strokeweight=".337269pt" strokecolor="#000000"/>
            <v:line style="position:absolute" from="4019,6560" to="7449,6560" stroked="true" strokeweight=".098373pt" strokecolor="#000000"/>
            <v:line style="position:absolute" from="7454,4139" to="7454,6566" stroked="true" strokeweight=".421079pt" strokecolor="#000000"/>
            <v:line style="position:absolute" from="7451,3794" to="7451,6565" stroked="true" strokeweight=".120286pt" strokecolor="#000000"/>
            <v:line style="position:absolute" from="7903,3771" to="7903,3933" stroked="true" strokeweight="4.433383pt" strokecolor="#92d050"/>
            <v:line style="position:absolute" from="13543,3771" to="13543,3933" stroked="true" strokeweight="4.433383pt" strokecolor="#92d050"/>
            <v:rect style="position:absolute;left:7947;top:3771;width:5552;height:162" filled="true" fillcolor="#92d050" stroked="false">
              <v:fill type="solid"/>
            </v:rect>
            <v:line style="position:absolute" from="7858,3767" to="13590,3767" stroked="true" strokeweight=".337285pt" strokecolor="#000000"/>
            <v:line style="position:absolute" from="7859,3765" to="13589,3765" stroked="true" strokeweight=".098373pt" strokecolor="#000000"/>
            <v:line style="position:absolute" from="7858,3936" to="10892,3936" stroked="true" strokeweight=".337282pt" strokecolor="#000000"/>
            <v:line style="position:absolute" from="7859,3934" to="10891,3934" stroked="true" strokeweight=".098373pt" strokecolor="#000000"/>
            <v:line style="position:absolute" from="10900,3936" to="13589,3936" stroked="true" strokeweight=".337282pt" strokecolor="#000000"/>
            <v:line style="position:absolute" from="10901,3934" to="13589,3934" stroked="true" strokeweight=".098373pt" strokecolor="#000000"/>
            <v:line style="position:absolute" from="7854,3940" to="7854,4103" stroked="true" strokeweight=".369449pt" strokecolor="#000000"/>
            <v:line style="position:absolute" from="13593,3940" to="13593,4103" stroked="true" strokeweight=".369449pt" strokecolor="#000000"/>
            <v:line style="position:absolute" from="7850,4105" to="7858,4105" stroked="true" strokeweight=".337279pt" strokecolor="#000000"/>
            <v:line style="position:absolute" from="7858,4105" to="10892,4105" stroked="true" strokeweight=".337282pt" strokecolor="#000000"/>
            <v:line style="position:absolute" from="7859,4102" to="10891,4102" stroked="true" strokeweight=".098373pt" strokecolor="#000000"/>
            <v:line style="position:absolute" from="10892,4105" to="10900,4105" stroked="true" strokeweight=".337279pt" strokecolor="#000000"/>
            <v:line style="position:absolute" from="10900,4105" to="13589,4105" stroked="true" strokeweight=".337282pt" strokecolor="#000000"/>
            <v:line style="position:absolute" from="10901,4102" to="13589,4102" stroked="true" strokeweight=".098373pt" strokecolor="#000000"/>
            <v:line style="position:absolute" from="13590,4105" to="13598,4105" stroked="true" strokeweight=".337279pt" strokecolor="#000000"/>
            <v:line style="position:absolute" from="7854,4109" to="7854,6536" stroked="true" strokeweight=".369475pt" strokecolor="#000000"/>
            <v:line style="position:absolute" from="7850,6538" to="7858,6538" stroked="true" strokeweight=".337286pt" strokecolor="#000000"/>
            <v:line style="position:absolute" from="7850,6538" to="7858,6538" stroked="true" strokeweight=".337286pt" strokecolor="#000000"/>
            <v:line style="position:absolute" from="7851,3764" to="7851,6540" stroked="true" strokeweight=".120286pt" strokecolor="#000000"/>
            <v:line style="position:absolute" from="7858,6538" to="10892,6538" stroked="true" strokeweight=".337289pt" strokecolor="#000000"/>
            <v:line style="position:absolute" from="7859,6535" to="10891,6535" stroked="true" strokeweight=".098373pt" strokecolor="#000000"/>
            <v:line style="position:absolute" from="10896,3933" to="10896,6541" stroked="true" strokeweight=".421099pt" strokecolor="#000000"/>
            <v:line style="position:absolute" from="10900,6538" to="13589,6538" stroked="true" strokeweight=".337289pt" strokecolor="#000000"/>
            <v:line style="position:absolute" from="10901,6535" to="13589,6535" stroked="true" strokeweight=".098373pt" strokecolor="#000000"/>
            <v:line style="position:absolute" from="13593,4109" to="13593,6536" stroked="true" strokeweight=".369491pt" strokecolor="#000000"/>
            <v:line style="position:absolute" from="13590,6538" to="13598,6538" stroked="true" strokeweight=".337286pt" strokecolor="#000000"/>
            <v:line style="position:absolute" from="13590,6538" to="13598,6538" stroked="true" strokeweight=".337286pt" strokecolor="#000000"/>
            <v:line style="position:absolute" from="13591,3764" to="13591,6540" stroked="true" strokeweight=".120286pt" strokecolor="#000000"/>
            <v:shape style="position:absolute;left:2993;top:1015;width:1382;height:1309" coordorigin="2993,1015" coordsize="1382,1309" path="m4279,1850l4150,1879,4145,1880,4142,1884,4144,1888,4145,1891,4150,1894,4154,1893,4239,1874,3726,2302,3734,2308,3728,2311,3737,2323,4242,2062,4200,2129,4201,2133,4206,2134,4210,2136,4215,2135,4217,2132,4278,2036,4279,2034,4140,2038,4136,2042,4137,2049,4141,2052,4233,2050,3757,2296,4251,1884,4229,1953,4228,1957,4231,1961,4236,1961,4240,1962,4245,1960,4246,1956,4277,1855,4279,1850m4279,1753l4264,1746,4159,1696,4154,1697,4149,1704,4150,1708,4228,1745,4142,1731,4137,1734,4136,1738,4135,1742,4138,1745,4145,1746,3137,1746,3137,1760,4227,1760,3289,2028,3294,2041,4157,1795,4150,1798,4149,1803,4154,1809,4159,1810,4232,1775,4175,1830,4175,1835,4182,1840,4188,1839,4277,1754,4279,1753m4279,1072l4264,1065,4159,1015,4154,1016,4149,1023,4150,1027,4230,1065,3601,1065,3601,1079,4187,1079,4145,1083,4141,1083,4137,1086,4138,1090,4138,1094,4142,1097,4147,1097,4203,1092,4150,1117,4149,1122,4154,1128,4159,1130,4199,1110,3727,1387,3737,1398,4244,1101,4208,1167,4206,1170,4208,1174,4213,1176,4217,1178,4222,1176,4224,1172,4277,1075,4279,1072m4374,1393l4359,1386,4252,1339,4246,1340,4244,1344,4242,1347,4244,1352,4248,1353,4325,1387,3732,1405,3732,1412,3730,1419,4140,1528,4140,1529,4142,1533,4147,1534,4216,1554,4139,1568,4136,1572,4137,1572,2993,1745,2996,1759,4232,1572,4162,1621,4162,1626,4168,1632,4174,1632,4279,1558,4190,1476,4186,1473,4181,1473,4177,1475,4174,1478,4174,1482,4177,1485,4235,1539,3781,1418,4326,1401,4252,1440,4248,1442,4247,1446,4249,1449,4252,1453,4257,1454,4261,1451,4374,1393e" filled="true" fillcolor="#000000" stroked="false">
              <v:path arrowok="t"/>
              <v:fill type="solid"/>
            </v:shape>
            <v:shape style="position:absolute;left:9704;top:911;width:1212;height:2184" type="#_x0000_t75" stroked="false">
              <v:imagedata r:id="rId269" o:title=""/>
            </v:shape>
            <v:shape style="position:absolute;left:3132;top:4105;width:7931;height:2065" coordorigin="3132,4105" coordsize="7931,2065" path="m4110,5215l4107,5212,4097,5210,4093,5212,4092,5216,4079,5256,4079,5310,4063,5314,4078,5310,4079,5310,4079,5256,4071,5285,4054,5239,4054,5289,4020,5263,4010,5247,4007,5244,4002,5243,3997,5245,3987,5237,3982,5237,3975,5243,3975,5247,4006,5271,4037,5317,4029,5313,4029,5329,4004,5329,4005,5328,4006,5326,3959,5328,3959,5343,3902,5373,3902,5485,3777,5594,3764,5570,3764,5605,3539,5801,3527,5796,3527,5812,3205,6093,3367,5744,3527,5812,3527,5796,3373,5730,3409,5652,3705,5494,3764,5605,3764,5570,3720,5486,3886,5398,3902,5485,3902,5373,3899,5374,3894,5345,3942,5343,3959,5343,3959,5328,3941,5329,3936,5329,3936,5329,3891,5331,3883,5287,3883,5383,3713,5473,3699,5446,3699,5481,3419,5630,3587,5268,3699,5481,3699,5446,3595,5249,3644,5144,3859,5247,3874,5331,3867,5332,3863,5335,3863,5339,3864,5343,3868,5346,3877,5345,3883,5383,3883,5287,3878,5256,4029,5329,4029,5313,3875,5239,3856,5134,3856,5229,3650,5131,3763,4887,3791,4872,3856,5229,3856,5134,3806,4864,3887,4821,4054,5289,4054,5239,3902,4813,4039,4740,4000,4804,3997,4808,3999,4812,4003,4814,4007,4816,4013,4814,4015,4811,4074,4715,4075,4713,4030,4715,4030,4729,4006,4741,4006,4732,4006,4730,4030,4729,4030,4715,4007,4715,4014,4632,4014,4628,4010,4625,4006,4625,4005,4625,4005,4742,3897,4799,3882,4757,3882,4807,3804,4849,3797,4814,3846,4708,3882,4807,3882,4757,3856,4686,3901,4589,3976,4709,3898,4668,3893,4669,3888,4676,3889,4680,3960,4717,3941,4718,3936,4718,3933,4721,3933,4725,3933,4729,3937,4732,3942,4732,3984,4730,4005,4742,4005,4625,4001,4625,3997,4628,3996,4631,3991,4703,3910,4571,4020,4332,4066,4246,4076,4317,4077,4321,4081,4324,4090,4323,4094,4320,4093,4316,4092,4304,4093,4304,4097,4303,4101,4300,4100,4296,4080,4198,4078,4188,4062,4199,4042,4189,4042,4246,4003,4330,3891,4540,3882,4526,3882,4557,3880,4559,3880,4594,3848,4663,3846,4658,3880,4594,3880,4559,3839,4637,3838,4635,3838,4685,3792,4785,3789,4766,3836,4678,3838,4685,3838,4635,3828,4607,3828,4657,3788,4733,3788,4857,3774,4865,3785,4841,3788,4857,3788,4733,3784,4740,3780,4717,3780,4812,3749,4878,3739,4883,3739,4900,3635,5124,3629,5121,3629,5137,3586,5231,3563,5188,3599,5122,3629,5137,3629,5121,3606,5109,3709,4916,3739,4900,3739,4883,3721,4892,3776,4790,3780,4812,3780,4717,3771,4669,3771,4764,3695,4906,3683,4913,3683,4929,3591,5102,3584,5099,3584,5115,3554,5171,3505,5077,3584,5115,3584,5099,3494,5056,3483,5036,3683,4929,3683,4913,3496,5012,3743,4612,3771,4764,3771,4669,3757,4590,3787,4541,3828,4657,3828,4607,3798,4523,3829,4472,3882,4557,3882,4526,3839,4457,3959,4263,3971,4257,3971,4259,3970,4259,3969,4264,3971,4266,3971,4270,3966,4274,3965,4278,3968,4281,3970,4284,3973,4285,3975,4317,3975,4321,3979,4324,3984,4324,3989,4324,3992,4320,3992,4316,3989,4277,4042,4246,4042,4189,4029,4183,4029,4213,3986,4234,3985,4216,3985,4213,4029,4213,4029,4183,3958,4149,3953,4150,3950,4154,3948,4157,3949,4161,4029,4199,3972,4199,3972,4213,3868,4269,3866,4273,3869,4276,3872,4279,3877,4280,3955,4239,3829,4441,3820,4426,3820,4457,3791,4503,3780,4471,3780,4521,3752,4566,3707,4317,3780,4521,3780,4471,3713,4285,3820,4457,3820,4426,3688,4213,3972,4213,3972,4199,3685,4199,3683,4187,3666,4189,3668,4198,3665,4199,3668,4209,3667,4210,3671,4216,3672,4218,3739,4588,3467,5028,3466,5028,3466,5029,3465,5030,3468,5031,3471,5035,3465,5037,3469,5044,3415,5018,3407,5030,3480,5065,3545,5188,3286,5673,3302,5678,3554,5206,3577,5250,3395,5643,3385,5648,3385,5665,3357,5724,3311,5704,3385,5665,3385,5648,3289,5699,3294,5705,3290,5711,3351,5737,3174,6120,3132,6157,3140,6163,3141,6169,3170,6164,3172,6165,3172,6164,4032,6022,3966,6069,3963,6072,3962,6076,3969,6082,3974,6082,3978,6080,4078,6007,4063,6003,4028,5993,4028,6008,3179,6149,3189,6127,3543,5818,3957,5994,3865,5998,3862,6001,3862,6005,3862,6009,3866,6012,4005,6006,4005,6006,4002,6003,4006,6006,4008,6002,4028,6008,4028,5993,4014,5989,4055,5905,4057,5901,4055,5897,4046,5894,4041,5896,4039,5899,4007,5966,3998,5915,4000,5898,4001,5894,3998,5890,3993,5890,3990,5873,3990,5968,3990,5968,3990,5968,3990,5968,3990,5873,3980,5820,3980,5916,3975,5953,3957,5934,3957,5972,3886,5930,3883,5928,3877,5928,3874,5931,3872,5934,3872,5939,3876,5941,3891,5950,3555,5808,3771,5619,3924,5910,3917,5914,3916,5918,3918,5921,3954,5967,3957,5972,3957,5934,3954,5931,3784,5608,3905,5502,3980,5916,3980,5820,3920,5489,4049,5377,4029,5447,4028,5451,4031,5454,4040,5456,4045,5454,4046,5450,4075,5348,4076,5343,4036,5353,4036,5367,3917,5472,3902,5390,3969,5354,3958,5372,3943,5375,3940,5379,3943,5387,3948,5389,3930,5418,3928,5421,3930,5425,3934,5427,3938,5429,3943,5428,3945,5424,3970,5383,4036,5367,4036,5353,3981,5366,3995,5343,4075,5343,4074,5342,4048,5304,4076,5326,4079,5314,4108,5219,4110,5215m11062,5824l11061,5822,11007,5720,11002,5719,10998,5720,10993,5722,10991,5726,11028,5795,10161,5273,10777,5162,10761,5174,10758,5175,10756,5178,10712,5211,10709,5214,10708,5218,10715,5224,10720,5224,10724,5221,10770,5186,10878,5151,10893,5146,10785,5075,10779,5076,10773,5082,10774,5086,10777,5089,10846,5133,10843,5133,10843,5147,10805,5160,10822,5147,10808,5143,10807,5143,10843,5147,10843,5133,10773,5125,10773,5149,10143,5262,10121,5249,10121,5266,9858,5314,10008,5198,10121,5266,10121,5249,10021,5188,10179,5067,10703,5130,10773,5149,10773,5125,10706,5116,10695,5113,10690,5112,10686,5114,10195,5054,10793,4596,10768,4664,10766,4668,10769,4672,10774,4673,10778,4674,10783,4672,10809,4599,10811,4601,10817,4600,10820,4596,10893,4505,10890,4505,10879,4504,10880,4503,10865,4498,10853,4494,10853,4529,10819,4571,10821,4568,10822,4563,10781,4571,10781,4585,10174,5052,10158,5050,10158,5064,10007,5180,9727,5011,10158,5064,10158,5050,9713,4996,10686,4598,10686,4600,10691,4602,10781,4585,10781,4571,10771,4573,10815,4544,10853,4529,10853,4494,10756,4461,10752,4460,10747,4461,10745,4465,10743,4468,10745,4473,10830,4502,10754,4498,10750,4500,10750,4504,10750,4508,10752,4510,9350,4662,10789,4250,10763,4266,10759,4268,10758,4272,10761,4275,10764,4279,10769,4279,10773,4277,10844,4234,10849,4232,10790,4290,10790,4294,10797,4299,10803,4299,10893,4213,10879,4210,10875,4210,10866,4206,10831,4194,10819,4189,10881,4154,10866,4148,10833,4135,10833,4164,10800,4183,10799,4182,10799,4212,10775,4214,10783,4209,10799,4212,10799,4182,10763,4169,10833,4164,10833,4135,10756,4105,10751,4106,10747,4113,10748,4117,10753,4119,10832,4150,9966,4205,9967,4219,10748,4170,10747,4171,10745,4174,10747,4178,10784,4192,10779,4195,10761,4192,10756,4191,10752,4193,10751,4197,10750,4201,10753,4205,10758,4206,10759,4206,10757,4207,10756,4212,10759,4216,9359,4340,9361,4354,10828,4224,9267,4671,9263,4671,9264,4672,9262,4672,9265,4680,9266,4685,9267,4685,9268,4686,9271,4685,10831,4516,10832,4516,10806,4532,10770,4547,10770,4573,10725,4581,10760,4567,10762,4569,10765,4572,10770,4573,10770,4547,9678,4995,9685,5007,9692,5004,9691,5007,9692,5007,9692,5008,9994,5190,9830,5315,9842,5326,9857,5314,9861,5327,10139,5277,11018,5806,10926,5798,10922,5801,10921,5809,10924,5812,11062,5824e" filled="true" fillcolor="#000000" stroked="false">
              <v:path arrowok="t"/>
              <v:fill type="solid"/>
            </v:shape>
            <v:shape style="position:absolute;left:10590;top:5147;width:363;height:680" type="#_x0000_t75" stroked="false">
              <v:imagedata r:id="rId270" o:title=""/>
            </v:shape>
            <v:shape style="position:absolute;left:8688;top:4156;width:2374;height:2156" coordorigin="8688,4156" coordsize="2374,2156" path="m11061,5829l11048,5827,10925,5807,10921,5809,10920,5813,10919,5817,10922,5821,11012,5835,9401,6286,9969,5897,10774,5838,10702,5880,10698,5882,10697,5886,10703,5893,10708,5893,10712,5891,10821,5828,10806,5822,10696,5779,10691,5781,10689,5785,10687,5788,10688,5792,10772,5824,9992,5881,11028,5170,10999,5238,10997,5241,10999,5245,11008,5248,11013,5246,11015,5242,11059,5143,11060,5139,10928,5158,10924,5158,10920,5162,10921,5166,10922,5170,10926,5172,10931,5172,11017,5159,9962,5883,9939,5885,9939,5899,9415,6258,9739,5913,9939,5899,9939,5885,9753,5898,11037,4533,11026,4604,11026,4608,11029,4611,11034,4612,11038,4612,11043,4610,11043,4606,11059,4504,11060,4497,10936,4538,10932,4540,10930,4544,10931,4548,10933,4551,10938,4553,11024,4524,9730,5900,9716,5901,9716,5915,9448,6199,9656,5920,9716,5915,9716,5901,9667,5905,10552,4711,10721,4594,10692,4662,10690,4665,10692,4669,10701,4672,10706,4670,10708,4666,10751,4567,10753,4563,10710,4569,10710,4584,10580,4673,10639,4594,10710,4584,10710,4569,10651,4578,10935,4194,10933,4266,10933,4270,10937,4273,10947,4273,10950,4270,10951,4266,10953,4164,10953,4156,10831,4210,10829,4215,10832,4218,10834,4222,10839,4223,10920,4187,10628,4581,10621,4582,10616,4583,10613,4586,10614,4590,10614,4594,10617,4595,10539,4701,10511,4721,10511,4739,9646,5906,8720,5973,10511,4739,10511,4721,8688,5977,8693,5983,8694,5989,9635,5921,9353,6301,9360,6305,9363,6312,11018,5849,10957,5906,10958,5910,10965,5915,10970,5915,11061,5829e" filled="true" fillcolor="#000000" stroked="false">
              <v:path arrowok="t"/>
              <v:fill type="solid"/>
            </v:shape>
            <v:shape style="position:absolute;left:5077;top:3049;width:2090;height:373" type="#_x0000_t75" stroked="false">
              <v:imagedata r:id="rId271" o:title=""/>
            </v:shape>
            <v:shape style="position:absolute;left:2896;top:3744;width:4230;height:2231" coordorigin="2896,3744" coordsize="4230,2231" path="m4215,2529l5092,3330m7154,3196l7850,4096m7850,2529l6174,3063m6097,3407l4945,3786e" filled="false" stroked="true" strokeweight=".976154pt" strokecolor="#000000">
              <v:path arrowok="t"/>
            </v:shape>
            <w10:wrap type="none"/>
          </v:group>
        </w:pict>
      </w:r>
      <w:r>
        <w:rPr>
          <w:b/>
          <w:sz w:val="22"/>
        </w:rPr>
        <w:t>ANÁLISIS-CAUSA EFECTO DEL INDICADOR BAJO UN SISTEMA PEIR PARA LA DEFINICIÓN DE LA ESCALA DE CALIFICACIÓN</w:t>
      </w:r>
    </w:p>
    <w:p>
      <w:pPr>
        <w:spacing w:after="0"/>
        <w:jc w:val="left"/>
        <w:rPr>
          <w:sz w:val="22"/>
        </w:rPr>
        <w:sectPr>
          <w:pgSz w:w="15840" w:h="12240" w:orient="landscape"/>
          <w:pgMar w:header="0" w:footer="943" w:top="1140" w:bottom="1200" w:left="1200" w:right="1300"/>
        </w:sectPr>
      </w:pPr>
    </w:p>
    <w:p>
      <w:pPr>
        <w:spacing w:before="54"/>
        <w:ind w:left="3028" w:right="0" w:firstLine="0"/>
        <w:jc w:val="left"/>
        <w:rPr>
          <w:b/>
          <w:sz w:val="14"/>
        </w:rPr>
      </w:pPr>
      <w:r>
        <w:rPr>
          <w:b/>
          <w:w w:val="120"/>
          <w:sz w:val="14"/>
        </w:rPr>
        <w:t>PRESIÓN</w:t>
      </w:r>
    </w:p>
    <w:p>
      <w:pPr>
        <w:tabs>
          <w:tab w:pos="4199" w:val="left" w:leader="none"/>
        </w:tabs>
        <w:spacing w:before="7"/>
        <w:ind w:left="1475" w:right="0" w:firstLine="0"/>
        <w:jc w:val="left"/>
        <w:rPr>
          <w:b/>
          <w:sz w:val="14"/>
        </w:rPr>
      </w:pPr>
      <w:r>
        <w:rPr>
          <w:b/>
          <w:w w:val="120"/>
          <w:sz w:val="14"/>
        </w:rPr>
        <w:t>CAUSAS</w:t>
        <w:tab/>
        <w:t>EFECTOS</w:t>
      </w:r>
    </w:p>
    <w:p>
      <w:pPr>
        <w:spacing w:before="20"/>
        <w:ind w:left="0" w:right="505" w:firstLine="0"/>
        <w:jc w:val="center"/>
        <w:rPr>
          <w:b/>
          <w:sz w:val="14"/>
        </w:rPr>
      </w:pPr>
      <w:r>
        <w:rPr/>
        <w:br w:type="column"/>
      </w:r>
      <w:r>
        <w:rPr>
          <w:b/>
          <w:w w:val="120"/>
          <w:sz w:val="14"/>
        </w:rPr>
        <w:t>ESTADO</w:t>
      </w:r>
    </w:p>
    <w:p>
      <w:pPr>
        <w:tabs>
          <w:tab w:pos="2843" w:val="left" w:leader="none"/>
        </w:tabs>
        <w:spacing w:before="6"/>
        <w:ind w:left="0" w:right="450" w:firstLine="0"/>
        <w:jc w:val="center"/>
        <w:rPr>
          <w:b/>
          <w:sz w:val="14"/>
        </w:rPr>
      </w:pPr>
      <w:r>
        <w:rPr>
          <w:b/>
          <w:w w:val="120"/>
          <w:sz w:val="14"/>
        </w:rPr>
        <w:t>CAUSAS</w:t>
        <w:tab/>
        <w:t>EFECTOS</w:t>
      </w:r>
    </w:p>
    <w:p>
      <w:pPr>
        <w:spacing w:after="0"/>
        <w:jc w:val="center"/>
        <w:rPr>
          <w:sz w:val="14"/>
        </w:rPr>
        <w:sectPr>
          <w:type w:val="continuous"/>
          <w:pgSz w:w="15840" w:h="12240" w:orient="landscape"/>
          <w:pgMar w:top="1360" w:bottom="1200" w:left="1200" w:right="1300"/>
          <w:cols w:num="2" w:equalWidth="0">
            <w:col w:w="5011" w:space="1271"/>
            <w:col w:w="7058"/>
          </w:cols>
        </w:sectPr>
      </w:pPr>
    </w:p>
    <w:p>
      <w:pPr>
        <w:pStyle w:val="ListParagraph"/>
        <w:numPr>
          <w:ilvl w:val="0"/>
          <w:numId w:val="62"/>
        </w:numPr>
        <w:tabs>
          <w:tab w:pos="849" w:val="left" w:leader="none"/>
        </w:tabs>
        <w:spacing w:line="240" w:lineRule="auto" w:before="107" w:after="0"/>
        <w:ind w:left="848" w:right="0" w:hanging="105"/>
        <w:jc w:val="left"/>
        <w:rPr>
          <w:b/>
          <w:sz w:val="14"/>
        </w:rPr>
      </w:pPr>
      <w:r>
        <w:rPr>
          <w:b/>
          <w:w w:val="120"/>
          <w:sz w:val="14"/>
        </w:rPr>
        <w:t>Riego</w:t>
      </w:r>
      <w:r>
        <w:rPr>
          <w:b/>
          <w:spacing w:val="31"/>
          <w:w w:val="120"/>
          <w:sz w:val="14"/>
        </w:rPr>
        <w:t> </w:t>
      </w:r>
      <w:r>
        <w:rPr>
          <w:b/>
          <w:w w:val="120"/>
          <w:sz w:val="14"/>
        </w:rPr>
        <w:t>prehispánico.</w:t>
      </w:r>
    </w:p>
    <w:p>
      <w:pPr>
        <w:pStyle w:val="BodyText"/>
        <w:spacing w:before="1"/>
        <w:rPr>
          <w:b/>
          <w:sz w:val="14"/>
        </w:rPr>
      </w:pPr>
    </w:p>
    <w:p>
      <w:pPr>
        <w:pStyle w:val="ListParagraph"/>
        <w:numPr>
          <w:ilvl w:val="0"/>
          <w:numId w:val="62"/>
        </w:numPr>
        <w:tabs>
          <w:tab w:pos="849" w:val="left" w:leader="none"/>
        </w:tabs>
        <w:spacing w:line="240" w:lineRule="auto" w:before="1" w:after="0"/>
        <w:ind w:left="848" w:right="0" w:hanging="105"/>
        <w:jc w:val="left"/>
        <w:rPr>
          <w:b/>
          <w:sz w:val="14"/>
        </w:rPr>
      </w:pPr>
      <w:r>
        <w:rPr>
          <w:b/>
          <w:w w:val="120"/>
          <w:sz w:val="14"/>
        </w:rPr>
        <w:t>Conquista</w:t>
      </w:r>
      <w:r>
        <w:rPr>
          <w:b/>
          <w:spacing w:val="31"/>
          <w:w w:val="120"/>
          <w:sz w:val="14"/>
        </w:rPr>
        <w:t> </w:t>
      </w:r>
      <w:r>
        <w:rPr>
          <w:b/>
          <w:w w:val="120"/>
          <w:sz w:val="14"/>
        </w:rPr>
        <w:t>española.</w:t>
      </w:r>
    </w:p>
    <w:p>
      <w:pPr>
        <w:pStyle w:val="BodyText"/>
        <w:spacing w:before="1"/>
        <w:rPr>
          <w:b/>
          <w:sz w:val="14"/>
        </w:rPr>
      </w:pPr>
    </w:p>
    <w:p>
      <w:pPr>
        <w:pStyle w:val="ListParagraph"/>
        <w:numPr>
          <w:ilvl w:val="0"/>
          <w:numId w:val="62"/>
        </w:numPr>
        <w:tabs>
          <w:tab w:pos="849" w:val="left" w:leader="none"/>
        </w:tabs>
        <w:spacing w:line="240" w:lineRule="auto" w:before="1" w:after="0"/>
        <w:ind w:left="848" w:right="0" w:hanging="105"/>
        <w:jc w:val="left"/>
        <w:rPr>
          <w:b/>
          <w:sz w:val="14"/>
        </w:rPr>
      </w:pPr>
      <w:r>
        <w:rPr>
          <w:b/>
          <w:w w:val="120"/>
          <w:sz w:val="14"/>
        </w:rPr>
        <w:t>Encomiendas.</w:t>
      </w:r>
    </w:p>
    <w:p>
      <w:pPr>
        <w:pStyle w:val="BodyText"/>
        <w:rPr>
          <w:b/>
          <w:sz w:val="14"/>
        </w:rPr>
      </w:pPr>
    </w:p>
    <w:p>
      <w:pPr>
        <w:pStyle w:val="ListParagraph"/>
        <w:numPr>
          <w:ilvl w:val="0"/>
          <w:numId w:val="62"/>
        </w:numPr>
        <w:tabs>
          <w:tab w:pos="849" w:val="left" w:leader="none"/>
        </w:tabs>
        <w:spacing w:line="240" w:lineRule="auto" w:before="0" w:after="0"/>
        <w:ind w:left="848" w:right="0" w:hanging="105"/>
        <w:jc w:val="left"/>
        <w:rPr>
          <w:b/>
          <w:sz w:val="14"/>
        </w:rPr>
      </w:pPr>
      <w:r>
        <w:rPr>
          <w:b/>
          <w:w w:val="120"/>
          <w:sz w:val="14"/>
        </w:rPr>
        <w:t>Independencia.</w:t>
      </w:r>
    </w:p>
    <w:p>
      <w:pPr>
        <w:pStyle w:val="BodyText"/>
        <w:spacing w:before="1"/>
        <w:rPr>
          <w:b/>
          <w:sz w:val="14"/>
        </w:rPr>
      </w:pPr>
    </w:p>
    <w:p>
      <w:pPr>
        <w:pStyle w:val="ListParagraph"/>
        <w:numPr>
          <w:ilvl w:val="0"/>
          <w:numId w:val="62"/>
        </w:numPr>
        <w:tabs>
          <w:tab w:pos="849" w:val="left" w:leader="none"/>
        </w:tabs>
        <w:spacing w:line="240" w:lineRule="auto" w:before="1" w:after="0"/>
        <w:ind w:left="848" w:right="0" w:hanging="105"/>
        <w:jc w:val="left"/>
        <w:rPr>
          <w:b/>
          <w:sz w:val="14"/>
        </w:rPr>
      </w:pPr>
      <w:r>
        <w:rPr>
          <w:b/>
          <w:w w:val="120"/>
          <w:sz w:val="14"/>
        </w:rPr>
        <w:t>Revolución</w:t>
      </w:r>
      <w:r>
        <w:rPr>
          <w:b/>
          <w:spacing w:val="35"/>
          <w:w w:val="120"/>
          <w:sz w:val="14"/>
        </w:rPr>
        <w:t> </w:t>
      </w:r>
      <w:r>
        <w:rPr>
          <w:b/>
          <w:w w:val="120"/>
          <w:sz w:val="14"/>
        </w:rPr>
        <w:t>mexicana.</w:t>
      </w:r>
    </w:p>
    <w:p>
      <w:pPr>
        <w:pStyle w:val="ListParagraph"/>
        <w:numPr>
          <w:ilvl w:val="3"/>
          <w:numId w:val="58"/>
        </w:numPr>
        <w:tabs>
          <w:tab w:pos="536" w:val="left" w:leader="none"/>
        </w:tabs>
        <w:spacing w:line="240" w:lineRule="auto" w:before="107" w:after="0"/>
        <w:ind w:left="430" w:right="0" w:firstLine="0"/>
        <w:jc w:val="left"/>
        <w:rPr>
          <w:b/>
          <w:sz w:val="14"/>
        </w:rPr>
      </w:pPr>
      <w:r>
        <w:rPr>
          <w:b/>
          <w:spacing w:val="-1"/>
          <w:w w:val="122"/>
          <w:sz w:val="14"/>
        </w:rPr>
        <w:br w:type="column"/>
      </w:r>
      <w:r>
        <w:rPr>
          <w:b/>
          <w:w w:val="120"/>
          <w:sz w:val="14"/>
        </w:rPr>
        <w:t>Sistemas de producción agrícolas y</w:t>
      </w:r>
      <w:r>
        <w:rPr>
          <w:b/>
          <w:spacing w:val="18"/>
          <w:w w:val="120"/>
          <w:sz w:val="14"/>
        </w:rPr>
        <w:t> </w:t>
      </w:r>
      <w:r>
        <w:rPr>
          <w:b/>
          <w:w w:val="120"/>
          <w:sz w:val="14"/>
        </w:rPr>
        <w:t>ganaderos</w:t>
      </w:r>
    </w:p>
    <w:p>
      <w:pPr>
        <w:pStyle w:val="ListParagraph"/>
        <w:numPr>
          <w:ilvl w:val="3"/>
          <w:numId w:val="58"/>
        </w:numPr>
        <w:tabs>
          <w:tab w:pos="536" w:val="left" w:leader="none"/>
        </w:tabs>
        <w:spacing w:line="240" w:lineRule="auto" w:before="1" w:after="0"/>
        <w:ind w:left="535" w:right="0" w:hanging="105"/>
        <w:jc w:val="left"/>
        <w:rPr>
          <w:b/>
          <w:sz w:val="14"/>
        </w:rPr>
      </w:pPr>
      <w:r>
        <w:rPr>
          <w:b/>
          <w:w w:val="120"/>
          <w:sz w:val="14"/>
        </w:rPr>
        <w:t>Infraestructura</w:t>
      </w:r>
      <w:r>
        <w:rPr>
          <w:b/>
          <w:spacing w:val="40"/>
          <w:w w:val="120"/>
          <w:sz w:val="14"/>
        </w:rPr>
        <w:t> </w:t>
      </w:r>
      <w:r>
        <w:rPr>
          <w:b/>
          <w:w w:val="120"/>
          <w:sz w:val="14"/>
        </w:rPr>
        <w:t>hidráulica</w:t>
      </w:r>
    </w:p>
    <w:p>
      <w:pPr>
        <w:pStyle w:val="ListParagraph"/>
        <w:numPr>
          <w:ilvl w:val="3"/>
          <w:numId w:val="58"/>
        </w:numPr>
        <w:tabs>
          <w:tab w:pos="536" w:val="left" w:leader="none"/>
        </w:tabs>
        <w:spacing w:line="240" w:lineRule="auto" w:before="1" w:after="0"/>
        <w:ind w:left="535" w:right="0" w:hanging="105"/>
        <w:jc w:val="left"/>
        <w:rPr>
          <w:b/>
          <w:sz w:val="14"/>
        </w:rPr>
      </w:pPr>
      <w:r>
        <w:rPr>
          <w:b/>
          <w:w w:val="120"/>
          <w:sz w:val="14"/>
        </w:rPr>
        <w:t>Concentración de la</w:t>
      </w:r>
      <w:r>
        <w:rPr>
          <w:b/>
          <w:spacing w:val="38"/>
          <w:w w:val="120"/>
          <w:sz w:val="14"/>
        </w:rPr>
        <w:t> </w:t>
      </w:r>
      <w:r>
        <w:rPr>
          <w:b/>
          <w:w w:val="120"/>
          <w:sz w:val="14"/>
        </w:rPr>
        <w:t>tierra</w:t>
      </w:r>
    </w:p>
    <w:p>
      <w:pPr>
        <w:pStyle w:val="ListParagraph"/>
        <w:numPr>
          <w:ilvl w:val="3"/>
          <w:numId w:val="58"/>
        </w:numPr>
        <w:tabs>
          <w:tab w:pos="538" w:val="left" w:leader="none"/>
        </w:tabs>
        <w:spacing w:line="240" w:lineRule="auto" w:before="1" w:after="0"/>
        <w:ind w:left="537" w:right="0" w:hanging="107"/>
        <w:jc w:val="left"/>
        <w:rPr>
          <w:b/>
          <w:sz w:val="14"/>
        </w:rPr>
      </w:pPr>
      <w:r>
        <w:rPr>
          <w:b/>
          <w:w w:val="120"/>
          <w:sz w:val="14"/>
        </w:rPr>
        <w:t>Asignación de</w:t>
      </w:r>
      <w:r>
        <w:rPr>
          <w:b/>
          <w:spacing w:val="34"/>
          <w:w w:val="120"/>
          <w:sz w:val="14"/>
        </w:rPr>
        <w:t> </w:t>
      </w:r>
      <w:r>
        <w:rPr>
          <w:b/>
          <w:w w:val="120"/>
          <w:sz w:val="14"/>
        </w:rPr>
        <w:t>recursos</w:t>
      </w:r>
    </w:p>
    <w:p>
      <w:pPr>
        <w:pStyle w:val="ListParagraph"/>
        <w:numPr>
          <w:ilvl w:val="3"/>
          <w:numId w:val="58"/>
        </w:numPr>
        <w:tabs>
          <w:tab w:pos="536" w:val="left" w:leader="none"/>
        </w:tabs>
        <w:spacing w:line="161" w:lineRule="exact" w:before="1" w:after="0"/>
        <w:ind w:left="535" w:right="0" w:hanging="105"/>
        <w:jc w:val="left"/>
        <w:rPr>
          <w:b/>
          <w:sz w:val="14"/>
        </w:rPr>
      </w:pPr>
      <w:r>
        <w:rPr>
          <w:b/>
          <w:w w:val="120"/>
          <w:sz w:val="14"/>
        </w:rPr>
        <w:t>Surgimiento del</w:t>
      </w:r>
      <w:r>
        <w:rPr>
          <w:b/>
          <w:spacing w:val="41"/>
          <w:w w:val="120"/>
          <w:sz w:val="14"/>
        </w:rPr>
        <w:t> </w:t>
      </w:r>
      <w:r>
        <w:rPr>
          <w:b/>
          <w:w w:val="120"/>
          <w:sz w:val="14"/>
        </w:rPr>
        <w:t>Municipio</w:t>
      </w:r>
    </w:p>
    <w:p>
      <w:pPr>
        <w:pStyle w:val="ListParagraph"/>
        <w:numPr>
          <w:ilvl w:val="3"/>
          <w:numId w:val="58"/>
        </w:numPr>
        <w:tabs>
          <w:tab w:pos="536" w:val="left" w:leader="none"/>
        </w:tabs>
        <w:spacing w:line="240" w:lineRule="auto" w:before="0" w:after="0"/>
        <w:ind w:left="535" w:right="0" w:hanging="105"/>
        <w:jc w:val="left"/>
        <w:rPr>
          <w:b/>
          <w:sz w:val="14"/>
        </w:rPr>
      </w:pPr>
      <w:r>
        <w:rPr>
          <w:b/>
          <w:w w:val="120"/>
          <w:sz w:val="14"/>
        </w:rPr>
        <w:t>Surgimiento del</w:t>
      </w:r>
      <w:r>
        <w:rPr>
          <w:b/>
          <w:spacing w:val="33"/>
          <w:w w:val="120"/>
          <w:sz w:val="14"/>
        </w:rPr>
        <w:t> </w:t>
      </w:r>
      <w:r>
        <w:rPr>
          <w:b/>
          <w:w w:val="120"/>
          <w:sz w:val="14"/>
        </w:rPr>
        <w:t>Ejido</w:t>
      </w: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spacing w:before="1"/>
        <w:rPr>
          <w:b/>
          <w:sz w:val="17"/>
        </w:rPr>
      </w:pPr>
    </w:p>
    <w:p>
      <w:pPr>
        <w:spacing w:before="0"/>
        <w:ind w:left="1341" w:right="0" w:firstLine="0"/>
        <w:jc w:val="left"/>
        <w:rPr>
          <w:b/>
          <w:sz w:val="15"/>
        </w:rPr>
      </w:pPr>
      <w:r>
        <w:rPr>
          <w:b/>
          <w:w w:val="125"/>
          <w:sz w:val="15"/>
        </w:rPr>
        <w:t>Historia ambiental</w:t>
      </w:r>
    </w:p>
    <w:p>
      <w:pPr>
        <w:spacing w:line="143" w:lineRule="exact" w:before="0"/>
        <w:ind w:left="714" w:right="0" w:firstLine="0"/>
        <w:jc w:val="left"/>
        <w:rPr>
          <w:b/>
          <w:sz w:val="14"/>
        </w:rPr>
      </w:pPr>
      <w:r>
        <w:rPr/>
        <w:br w:type="column"/>
      </w:r>
      <w:r>
        <w:rPr>
          <w:b/>
          <w:w w:val="120"/>
          <w:sz w:val="14"/>
        </w:rPr>
        <w:t>-Riego prehispánico.</w:t>
      </w:r>
    </w:p>
    <w:p>
      <w:pPr>
        <w:pStyle w:val="ListParagraph"/>
        <w:numPr>
          <w:ilvl w:val="4"/>
          <w:numId w:val="58"/>
        </w:numPr>
        <w:tabs>
          <w:tab w:pos="820" w:val="left" w:leader="none"/>
        </w:tabs>
        <w:spacing w:line="240" w:lineRule="auto" w:before="1" w:after="0"/>
        <w:ind w:left="714" w:right="213" w:firstLine="0"/>
        <w:jc w:val="left"/>
        <w:rPr>
          <w:b/>
          <w:sz w:val="14"/>
        </w:rPr>
      </w:pPr>
      <w:r>
        <w:rPr>
          <w:b/>
          <w:w w:val="120"/>
          <w:sz w:val="14"/>
        </w:rPr>
        <w:t>Sistemas de producción agrícolas y</w:t>
      </w:r>
      <w:r>
        <w:rPr>
          <w:b/>
          <w:spacing w:val="34"/>
          <w:w w:val="120"/>
          <w:sz w:val="14"/>
        </w:rPr>
        <w:t> </w:t>
      </w:r>
      <w:r>
        <w:rPr>
          <w:b/>
          <w:w w:val="120"/>
          <w:sz w:val="14"/>
        </w:rPr>
        <w:t>ganaderos.</w:t>
      </w:r>
    </w:p>
    <w:p>
      <w:pPr>
        <w:pStyle w:val="BodyText"/>
        <w:rPr>
          <w:b/>
          <w:sz w:val="14"/>
        </w:rPr>
      </w:pPr>
    </w:p>
    <w:p>
      <w:pPr>
        <w:pStyle w:val="ListParagraph"/>
        <w:numPr>
          <w:ilvl w:val="4"/>
          <w:numId w:val="58"/>
        </w:numPr>
        <w:tabs>
          <w:tab w:pos="820" w:val="left" w:leader="none"/>
        </w:tabs>
        <w:spacing w:line="240" w:lineRule="auto" w:before="0" w:after="0"/>
        <w:ind w:left="819" w:right="0" w:hanging="105"/>
        <w:jc w:val="left"/>
        <w:rPr>
          <w:b/>
          <w:sz w:val="14"/>
        </w:rPr>
      </w:pPr>
      <w:r>
        <w:rPr>
          <w:b/>
          <w:w w:val="120"/>
          <w:sz w:val="14"/>
        </w:rPr>
        <w:t>Infraestructura</w:t>
      </w:r>
      <w:r>
        <w:rPr>
          <w:b/>
          <w:spacing w:val="41"/>
          <w:w w:val="120"/>
          <w:sz w:val="14"/>
        </w:rPr>
        <w:t> </w:t>
      </w:r>
      <w:r>
        <w:rPr>
          <w:b/>
          <w:w w:val="120"/>
          <w:sz w:val="14"/>
        </w:rPr>
        <w:t>hidráulica.</w:t>
      </w:r>
    </w:p>
    <w:p>
      <w:pPr>
        <w:pStyle w:val="BodyText"/>
        <w:spacing w:before="1"/>
        <w:rPr>
          <w:b/>
          <w:sz w:val="14"/>
        </w:rPr>
      </w:pPr>
    </w:p>
    <w:p>
      <w:pPr>
        <w:pStyle w:val="ListParagraph"/>
        <w:numPr>
          <w:ilvl w:val="4"/>
          <w:numId w:val="58"/>
        </w:numPr>
        <w:tabs>
          <w:tab w:pos="820" w:val="left" w:leader="none"/>
        </w:tabs>
        <w:spacing w:line="240" w:lineRule="auto" w:before="1" w:after="0"/>
        <w:ind w:left="819" w:right="0" w:hanging="105"/>
        <w:jc w:val="left"/>
        <w:rPr>
          <w:b/>
          <w:sz w:val="14"/>
        </w:rPr>
      </w:pPr>
      <w:r>
        <w:rPr>
          <w:b/>
          <w:w w:val="120"/>
          <w:sz w:val="14"/>
        </w:rPr>
        <w:t>Concentración de la</w:t>
      </w:r>
      <w:r>
        <w:rPr>
          <w:b/>
          <w:spacing w:val="39"/>
          <w:w w:val="120"/>
          <w:sz w:val="14"/>
        </w:rPr>
        <w:t> </w:t>
      </w:r>
      <w:r>
        <w:rPr>
          <w:b/>
          <w:w w:val="120"/>
          <w:sz w:val="14"/>
        </w:rPr>
        <w:t>tierra.</w:t>
      </w:r>
    </w:p>
    <w:p>
      <w:pPr>
        <w:pStyle w:val="BodyText"/>
        <w:spacing w:before="2"/>
        <w:rPr>
          <w:b/>
          <w:sz w:val="14"/>
        </w:rPr>
      </w:pPr>
    </w:p>
    <w:p>
      <w:pPr>
        <w:pStyle w:val="ListParagraph"/>
        <w:numPr>
          <w:ilvl w:val="4"/>
          <w:numId w:val="58"/>
        </w:numPr>
        <w:tabs>
          <w:tab w:pos="822" w:val="left" w:leader="none"/>
        </w:tabs>
        <w:spacing w:line="240" w:lineRule="auto" w:before="0" w:after="0"/>
        <w:ind w:left="821" w:right="0" w:hanging="107"/>
        <w:jc w:val="left"/>
        <w:rPr>
          <w:b/>
          <w:sz w:val="14"/>
        </w:rPr>
      </w:pPr>
      <w:r>
        <w:rPr>
          <w:b/>
          <w:w w:val="120"/>
          <w:sz w:val="14"/>
        </w:rPr>
        <w:t>Asignación de</w:t>
      </w:r>
      <w:r>
        <w:rPr>
          <w:b/>
          <w:spacing w:val="35"/>
          <w:w w:val="120"/>
          <w:sz w:val="14"/>
        </w:rPr>
        <w:t> </w:t>
      </w:r>
      <w:r>
        <w:rPr>
          <w:b/>
          <w:w w:val="120"/>
          <w:sz w:val="14"/>
        </w:rPr>
        <w:t>recursos.</w:t>
      </w:r>
    </w:p>
    <w:p>
      <w:pPr>
        <w:pStyle w:val="BodyText"/>
        <w:rPr>
          <w:b/>
          <w:sz w:val="14"/>
        </w:rPr>
      </w:pPr>
    </w:p>
    <w:p>
      <w:pPr>
        <w:pStyle w:val="ListParagraph"/>
        <w:numPr>
          <w:ilvl w:val="4"/>
          <w:numId w:val="58"/>
        </w:numPr>
        <w:tabs>
          <w:tab w:pos="820" w:val="left" w:leader="none"/>
        </w:tabs>
        <w:spacing w:line="240" w:lineRule="auto" w:before="0" w:after="0"/>
        <w:ind w:left="819" w:right="0" w:hanging="105"/>
        <w:jc w:val="left"/>
        <w:rPr>
          <w:b/>
          <w:sz w:val="14"/>
        </w:rPr>
      </w:pPr>
      <w:r>
        <w:rPr>
          <w:b/>
          <w:w w:val="120"/>
          <w:sz w:val="14"/>
        </w:rPr>
        <w:t>Surgimiento del</w:t>
      </w:r>
      <w:r>
        <w:rPr>
          <w:b/>
          <w:spacing w:val="44"/>
          <w:w w:val="120"/>
          <w:sz w:val="14"/>
        </w:rPr>
        <w:t> </w:t>
      </w:r>
      <w:r>
        <w:rPr>
          <w:b/>
          <w:w w:val="120"/>
          <w:sz w:val="14"/>
        </w:rPr>
        <w:t>Municipio.</w:t>
      </w:r>
    </w:p>
    <w:p>
      <w:pPr>
        <w:pStyle w:val="BodyText"/>
        <w:spacing w:before="1"/>
        <w:rPr>
          <w:b/>
          <w:sz w:val="14"/>
        </w:rPr>
      </w:pPr>
    </w:p>
    <w:p>
      <w:pPr>
        <w:pStyle w:val="ListParagraph"/>
        <w:numPr>
          <w:ilvl w:val="4"/>
          <w:numId w:val="58"/>
        </w:numPr>
        <w:tabs>
          <w:tab w:pos="820" w:val="left" w:leader="none"/>
        </w:tabs>
        <w:spacing w:line="240" w:lineRule="auto" w:before="1" w:after="0"/>
        <w:ind w:left="819" w:right="0" w:hanging="105"/>
        <w:jc w:val="left"/>
        <w:rPr>
          <w:b/>
          <w:sz w:val="14"/>
        </w:rPr>
      </w:pPr>
      <w:r>
        <w:rPr>
          <w:b/>
          <w:w w:val="120"/>
          <w:sz w:val="14"/>
        </w:rPr>
        <w:t>Surgimiento del</w:t>
      </w:r>
      <w:r>
        <w:rPr>
          <w:b/>
          <w:spacing w:val="36"/>
          <w:w w:val="120"/>
          <w:sz w:val="14"/>
        </w:rPr>
        <w:t> </w:t>
      </w:r>
      <w:r>
        <w:rPr>
          <w:b/>
          <w:w w:val="120"/>
          <w:sz w:val="14"/>
        </w:rPr>
        <w:t>Ejido.</w:t>
      </w:r>
    </w:p>
    <w:p>
      <w:pPr>
        <w:pStyle w:val="ListParagraph"/>
        <w:numPr>
          <w:ilvl w:val="0"/>
          <w:numId w:val="63"/>
        </w:numPr>
        <w:tabs>
          <w:tab w:pos="659" w:val="left" w:leader="none"/>
        </w:tabs>
        <w:spacing w:line="143" w:lineRule="exact" w:before="0" w:after="0"/>
        <w:ind w:left="553" w:right="0" w:firstLine="0"/>
        <w:jc w:val="both"/>
        <w:rPr>
          <w:b/>
          <w:sz w:val="14"/>
        </w:rPr>
      </w:pPr>
      <w:r>
        <w:rPr>
          <w:b/>
          <w:spacing w:val="-1"/>
          <w:w w:val="122"/>
          <w:sz w:val="14"/>
        </w:rPr>
        <w:br w:type="column"/>
      </w:r>
      <w:r>
        <w:rPr>
          <w:b/>
          <w:w w:val="120"/>
          <w:sz w:val="14"/>
        </w:rPr>
        <w:t>Explosión</w:t>
      </w:r>
      <w:r>
        <w:rPr>
          <w:b/>
          <w:spacing w:val="37"/>
          <w:w w:val="120"/>
          <w:sz w:val="14"/>
        </w:rPr>
        <w:t> </w:t>
      </w:r>
      <w:r>
        <w:rPr>
          <w:b/>
          <w:w w:val="120"/>
          <w:sz w:val="14"/>
        </w:rPr>
        <w:t>demográfica.</w:t>
      </w:r>
    </w:p>
    <w:p>
      <w:pPr>
        <w:pStyle w:val="ListParagraph"/>
        <w:numPr>
          <w:ilvl w:val="0"/>
          <w:numId w:val="63"/>
        </w:numPr>
        <w:tabs>
          <w:tab w:pos="659" w:val="left" w:leader="none"/>
        </w:tabs>
        <w:spacing w:line="240" w:lineRule="auto" w:before="1" w:after="0"/>
        <w:ind w:left="658" w:right="0" w:hanging="105"/>
        <w:jc w:val="both"/>
        <w:rPr>
          <w:b/>
          <w:sz w:val="14"/>
        </w:rPr>
      </w:pPr>
      <w:r>
        <w:rPr>
          <w:b/>
          <w:w w:val="120"/>
          <w:sz w:val="14"/>
        </w:rPr>
        <w:t>Contaminación.</w:t>
      </w:r>
    </w:p>
    <w:p>
      <w:pPr>
        <w:pStyle w:val="ListParagraph"/>
        <w:numPr>
          <w:ilvl w:val="0"/>
          <w:numId w:val="63"/>
        </w:numPr>
        <w:tabs>
          <w:tab w:pos="670" w:val="left" w:leader="none"/>
        </w:tabs>
        <w:spacing w:line="240" w:lineRule="auto" w:before="1" w:after="0"/>
        <w:ind w:left="553" w:right="988" w:firstLine="0"/>
        <w:jc w:val="both"/>
        <w:rPr>
          <w:b/>
          <w:sz w:val="14"/>
        </w:rPr>
      </w:pPr>
      <w:r>
        <w:rPr>
          <w:b/>
          <w:w w:val="120"/>
          <w:sz w:val="14"/>
        </w:rPr>
        <w:t>Distribución inequitativa de los recursos</w:t>
      </w:r>
      <w:r>
        <w:rPr>
          <w:b/>
          <w:spacing w:val="24"/>
          <w:w w:val="120"/>
          <w:sz w:val="14"/>
        </w:rPr>
        <w:t> </w:t>
      </w:r>
      <w:r>
        <w:rPr>
          <w:b/>
          <w:w w:val="120"/>
          <w:sz w:val="14"/>
        </w:rPr>
        <w:t>(agua).</w:t>
      </w:r>
    </w:p>
    <w:p>
      <w:pPr>
        <w:pStyle w:val="ListParagraph"/>
        <w:numPr>
          <w:ilvl w:val="0"/>
          <w:numId w:val="63"/>
        </w:numPr>
        <w:tabs>
          <w:tab w:pos="847" w:val="left" w:leader="none"/>
        </w:tabs>
        <w:spacing w:line="240" w:lineRule="auto" w:before="1" w:after="0"/>
        <w:ind w:left="553" w:right="988" w:firstLine="0"/>
        <w:jc w:val="both"/>
        <w:rPr>
          <w:b/>
          <w:sz w:val="14"/>
        </w:rPr>
      </w:pPr>
      <w:r>
        <w:rPr>
          <w:b/>
          <w:w w:val="120"/>
          <w:sz w:val="14"/>
        </w:rPr>
        <w:t>Concentración del poder económico y</w:t>
      </w:r>
      <w:r>
        <w:rPr>
          <w:b/>
          <w:spacing w:val="32"/>
          <w:w w:val="120"/>
          <w:sz w:val="14"/>
        </w:rPr>
        <w:t> </w:t>
      </w:r>
      <w:r>
        <w:rPr>
          <w:b/>
          <w:w w:val="120"/>
          <w:sz w:val="14"/>
        </w:rPr>
        <w:t>político.</w:t>
      </w:r>
    </w:p>
    <w:p>
      <w:pPr>
        <w:pStyle w:val="ListParagraph"/>
        <w:numPr>
          <w:ilvl w:val="0"/>
          <w:numId w:val="63"/>
        </w:numPr>
        <w:tabs>
          <w:tab w:pos="736" w:val="left" w:leader="none"/>
        </w:tabs>
        <w:spacing w:line="240" w:lineRule="auto" w:before="1" w:after="0"/>
        <w:ind w:left="553" w:right="988" w:firstLine="0"/>
        <w:jc w:val="both"/>
        <w:rPr>
          <w:b/>
          <w:sz w:val="14"/>
        </w:rPr>
      </w:pPr>
      <w:r>
        <w:rPr>
          <w:b/>
          <w:w w:val="120"/>
          <w:sz w:val="14"/>
        </w:rPr>
        <w:t>Crecimiento desigual de los municipios de la</w:t>
      </w:r>
      <w:r>
        <w:rPr>
          <w:b/>
          <w:spacing w:val="35"/>
          <w:w w:val="120"/>
          <w:sz w:val="14"/>
        </w:rPr>
        <w:t> </w:t>
      </w:r>
      <w:r>
        <w:rPr>
          <w:b/>
          <w:w w:val="120"/>
          <w:sz w:val="14"/>
        </w:rPr>
        <w:t>CHPH.</w:t>
      </w:r>
    </w:p>
    <w:p>
      <w:pPr>
        <w:pStyle w:val="ListParagraph"/>
        <w:numPr>
          <w:ilvl w:val="0"/>
          <w:numId w:val="63"/>
        </w:numPr>
        <w:tabs>
          <w:tab w:pos="657" w:val="left" w:leader="none"/>
        </w:tabs>
        <w:spacing w:line="161" w:lineRule="exact" w:before="1" w:after="0"/>
        <w:ind w:left="656" w:right="0" w:hanging="103"/>
        <w:jc w:val="both"/>
        <w:rPr>
          <w:b/>
          <w:sz w:val="14"/>
        </w:rPr>
      </w:pPr>
      <w:r>
        <w:rPr>
          <w:b/>
          <w:w w:val="120"/>
          <w:sz w:val="14"/>
        </w:rPr>
        <w:t>Municipios con poder </w:t>
      </w:r>
      <w:r>
        <w:rPr>
          <w:b/>
          <w:spacing w:val="2"/>
          <w:w w:val="120"/>
          <w:sz w:val="14"/>
        </w:rPr>
        <w:t> </w:t>
      </w:r>
      <w:r>
        <w:rPr>
          <w:b/>
          <w:w w:val="120"/>
          <w:sz w:val="14"/>
        </w:rPr>
        <w:t>marginal.</w:t>
      </w:r>
    </w:p>
    <w:p>
      <w:pPr>
        <w:pStyle w:val="ListParagraph"/>
        <w:numPr>
          <w:ilvl w:val="0"/>
          <w:numId w:val="63"/>
        </w:numPr>
        <w:tabs>
          <w:tab w:pos="663" w:val="left" w:leader="none"/>
        </w:tabs>
        <w:spacing w:line="240" w:lineRule="auto" w:before="0" w:after="0"/>
        <w:ind w:left="553" w:right="984" w:firstLine="0"/>
        <w:jc w:val="both"/>
        <w:rPr>
          <w:b/>
          <w:sz w:val="14"/>
        </w:rPr>
      </w:pPr>
      <w:r>
        <w:rPr>
          <w:b/>
          <w:w w:val="120"/>
          <w:sz w:val="14"/>
        </w:rPr>
        <w:t>Ejidatarios coopropietarios con el Estado y regulados por leyes externas.</w:t>
      </w:r>
    </w:p>
    <w:p>
      <w:pPr>
        <w:pStyle w:val="ListParagraph"/>
        <w:numPr>
          <w:ilvl w:val="0"/>
          <w:numId w:val="63"/>
        </w:numPr>
        <w:tabs>
          <w:tab w:pos="798" w:val="left" w:leader="none"/>
          <w:tab w:pos="2403" w:val="left" w:leader="none"/>
        </w:tabs>
        <w:spacing w:line="240" w:lineRule="auto" w:before="1" w:after="0"/>
        <w:ind w:left="553" w:right="986" w:firstLine="0"/>
        <w:jc w:val="both"/>
        <w:rPr>
          <w:b/>
          <w:sz w:val="14"/>
        </w:rPr>
      </w:pPr>
      <w:r>
        <w:rPr>
          <w:b/>
          <w:w w:val="120"/>
          <w:sz w:val="14"/>
        </w:rPr>
        <w:t>Creación de dependencias gubernamentales</w:t>
        <w:tab/>
        <w:t>(Conagua, Sagarpa, Semarnat,</w:t>
      </w:r>
      <w:r>
        <w:rPr>
          <w:b/>
          <w:spacing w:val="38"/>
          <w:w w:val="120"/>
          <w:sz w:val="14"/>
        </w:rPr>
        <w:t> </w:t>
      </w:r>
      <w:r>
        <w:rPr>
          <w:b/>
          <w:w w:val="120"/>
          <w:sz w:val="14"/>
        </w:rPr>
        <w:t>etc.).</w:t>
      </w:r>
    </w:p>
    <w:p>
      <w:pPr>
        <w:spacing w:after="0" w:line="240" w:lineRule="auto"/>
        <w:jc w:val="both"/>
        <w:rPr>
          <w:sz w:val="14"/>
        </w:rPr>
        <w:sectPr>
          <w:type w:val="continuous"/>
          <w:pgSz w:w="15840" w:h="12240" w:orient="landscape"/>
          <w:pgMar w:top="1360" w:bottom="1200" w:left="1200" w:right="1300"/>
          <w:cols w:num="4" w:equalWidth="0">
            <w:col w:w="2652" w:space="40"/>
            <w:col w:w="3321" w:space="40"/>
            <w:col w:w="3016" w:space="40"/>
            <w:col w:w="4231"/>
          </w:cols>
        </w:sectPr>
      </w:pPr>
    </w:p>
    <w:p>
      <w:pPr>
        <w:pStyle w:val="BodyText"/>
        <w:rPr>
          <w:b/>
          <w:sz w:val="20"/>
        </w:rPr>
      </w:pPr>
    </w:p>
    <w:p>
      <w:pPr>
        <w:spacing w:after="0"/>
        <w:rPr>
          <w:sz w:val="20"/>
        </w:rPr>
        <w:sectPr>
          <w:type w:val="continuous"/>
          <w:pgSz w:w="15840" w:h="12240" w:orient="landscape"/>
          <w:pgMar w:top="1360" w:bottom="1200" w:left="1200" w:right="1300"/>
        </w:sectPr>
      </w:pPr>
    </w:p>
    <w:p>
      <w:pPr>
        <w:pStyle w:val="BodyText"/>
        <w:rPr>
          <w:b/>
          <w:sz w:val="14"/>
        </w:rPr>
      </w:pPr>
    </w:p>
    <w:p>
      <w:pPr>
        <w:spacing w:before="105"/>
        <w:ind w:left="2927" w:right="0" w:firstLine="0"/>
        <w:jc w:val="left"/>
        <w:rPr>
          <w:b/>
          <w:sz w:val="14"/>
        </w:rPr>
      </w:pPr>
      <w:r>
        <w:rPr>
          <w:b/>
          <w:w w:val="120"/>
          <w:sz w:val="14"/>
        </w:rPr>
        <w:t>RESPUESTA</w:t>
      </w:r>
    </w:p>
    <w:p>
      <w:pPr>
        <w:tabs>
          <w:tab w:pos="4129" w:val="left" w:leader="none"/>
        </w:tabs>
        <w:spacing w:line="157" w:lineRule="exact" w:before="7"/>
        <w:ind w:left="1368" w:right="0" w:firstLine="0"/>
        <w:jc w:val="left"/>
        <w:rPr>
          <w:b/>
          <w:sz w:val="14"/>
        </w:rPr>
      </w:pPr>
      <w:r>
        <w:rPr>
          <w:b/>
          <w:w w:val="120"/>
          <w:sz w:val="14"/>
        </w:rPr>
        <w:t>CAUSAS</w:t>
        <w:tab/>
        <w:t>EFECTOS</w:t>
      </w:r>
    </w:p>
    <w:p>
      <w:pPr>
        <w:pStyle w:val="BodyText"/>
        <w:spacing w:before="5"/>
        <w:rPr>
          <w:b/>
          <w:sz w:val="20"/>
        </w:rPr>
      </w:pPr>
      <w:r>
        <w:rPr/>
        <w:br w:type="column"/>
      </w:r>
      <w:r>
        <w:rPr>
          <w:b/>
          <w:sz w:val="20"/>
        </w:rPr>
      </w:r>
    </w:p>
    <w:p>
      <w:pPr>
        <w:spacing w:before="1"/>
        <w:ind w:left="2674" w:right="3408" w:firstLine="0"/>
        <w:jc w:val="center"/>
        <w:rPr>
          <w:b/>
          <w:sz w:val="14"/>
        </w:rPr>
      </w:pPr>
      <w:r>
        <w:rPr>
          <w:b/>
          <w:w w:val="120"/>
          <w:sz w:val="14"/>
        </w:rPr>
        <w:t>IMPACTO</w:t>
      </w:r>
    </w:p>
    <w:p>
      <w:pPr>
        <w:tabs>
          <w:tab w:pos="4193" w:val="left" w:leader="none"/>
        </w:tabs>
        <w:spacing w:before="7"/>
        <w:ind w:left="1368" w:right="0" w:firstLine="0"/>
        <w:jc w:val="left"/>
        <w:rPr>
          <w:b/>
          <w:sz w:val="14"/>
        </w:rPr>
      </w:pPr>
      <w:r>
        <w:rPr>
          <w:b/>
          <w:w w:val="120"/>
          <w:sz w:val="14"/>
        </w:rPr>
        <w:t>CAUSAS</w:t>
        <w:tab/>
        <w:t>EFECTOS</w:t>
      </w:r>
    </w:p>
    <w:p>
      <w:pPr>
        <w:spacing w:after="0"/>
        <w:jc w:val="left"/>
        <w:rPr>
          <w:sz w:val="14"/>
        </w:rPr>
        <w:sectPr>
          <w:type w:val="continuous"/>
          <w:pgSz w:w="15840" w:h="12240" w:orient="landscape"/>
          <w:pgMar w:top="1360" w:bottom="1200" w:left="1200" w:right="1300"/>
          <w:cols w:num="2" w:equalWidth="0">
            <w:col w:w="4941" w:space="1502"/>
            <w:col w:w="6897"/>
          </w:cols>
        </w:sectPr>
      </w:pPr>
    </w:p>
    <w:p>
      <w:pPr>
        <w:pStyle w:val="ListParagraph"/>
        <w:numPr>
          <w:ilvl w:val="0"/>
          <w:numId w:val="64"/>
        </w:numPr>
        <w:tabs>
          <w:tab w:pos="849" w:val="left" w:leader="none"/>
        </w:tabs>
        <w:spacing w:line="240" w:lineRule="auto" w:before="12" w:after="0"/>
        <w:ind w:left="743" w:right="0" w:firstLine="0"/>
        <w:jc w:val="left"/>
        <w:rPr>
          <w:b/>
          <w:sz w:val="14"/>
        </w:rPr>
      </w:pPr>
      <w:r>
        <w:rPr>
          <w:b/>
          <w:w w:val="120"/>
          <w:sz w:val="14"/>
        </w:rPr>
        <w:t>Falta de</w:t>
      </w:r>
      <w:r>
        <w:rPr>
          <w:b/>
          <w:spacing w:val="31"/>
          <w:w w:val="120"/>
          <w:sz w:val="14"/>
        </w:rPr>
        <w:t> </w:t>
      </w:r>
      <w:r>
        <w:rPr>
          <w:b/>
          <w:w w:val="120"/>
          <w:sz w:val="14"/>
        </w:rPr>
        <w:t>planeación.</w:t>
      </w:r>
    </w:p>
    <w:p>
      <w:pPr>
        <w:pStyle w:val="BodyText"/>
        <w:spacing w:before="1"/>
        <w:rPr>
          <w:b/>
          <w:sz w:val="14"/>
        </w:rPr>
      </w:pPr>
    </w:p>
    <w:p>
      <w:pPr>
        <w:spacing w:before="1"/>
        <w:ind w:left="743" w:right="0" w:firstLine="0"/>
        <w:jc w:val="left"/>
        <w:rPr>
          <w:b/>
          <w:sz w:val="14"/>
        </w:rPr>
      </w:pPr>
      <w:r>
        <w:rPr>
          <w:b/>
          <w:w w:val="120"/>
          <w:sz w:val="14"/>
        </w:rPr>
        <w:t>-Deterioro, sobreexplotación y extinción de los recursos naturales.</w:t>
      </w:r>
    </w:p>
    <w:p>
      <w:pPr>
        <w:pStyle w:val="BodyText"/>
        <w:spacing w:before="2"/>
        <w:rPr>
          <w:b/>
          <w:sz w:val="14"/>
        </w:rPr>
      </w:pPr>
    </w:p>
    <w:p>
      <w:pPr>
        <w:pStyle w:val="ListParagraph"/>
        <w:numPr>
          <w:ilvl w:val="0"/>
          <w:numId w:val="64"/>
        </w:numPr>
        <w:tabs>
          <w:tab w:pos="849" w:val="left" w:leader="none"/>
        </w:tabs>
        <w:spacing w:line="240" w:lineRule="auto" w:before="0" w:after="0"/>
        <w:ind w:left="743" w:right="0" w:firstLine="0"/>
        <w:jc w:val="left"/>
        <w:rPr>
          <w:b/>
          <w:sz w:val="14"/>
        </w:rPr>
      </w:pPr>
      <w:r>
        <w:rPr>
          <w:b/>
          <w:w w:val="120"/>
          <w:sz w:val="14"/>
        </w:rPr>
        <w:t>Concentración de los recursos de la CHPH en pocas</w:t>
      </w:r>
      <w:r>
        <w:rPr>
          <w:b/>
          <w:spacing w:val="21"/>
          <w:w w:val="120"/>
          <w:sz w:val="14"/>
        </w:rPr>
        <w:t> </w:t>
      </w:r>
      <w:r>
        <w:rPr>
          <w:b/>
          <w:w w:val="120"/>
          <w:sz w:val="14"/>
        </w:rPr>
        <w:t>manos.</w:t>
      </w:r>
    </w:p>
    <w:p>
      <w:pPr>
        <w:pStyle w:val="BodyText"/>
        <w:rPr>
          <w:b/>
          <w:sz w:val="14"/>
        </w:rPr>
      </w:pPr>
    </w:p>
    <w:p>
      <w:pPr>
        <w:spacing w:before="0"/>
        <w:ind w:left="743" w:right="0" w:firstLine="0"/>
        <w:jc w:val="left"/>
        <w:rPr>
          <w:b/>
          <w:sz w:val="14"/>
        </w:rPr>
      </w:pPr>
      <w:r>
        <w:rPr>
          <w:b/>
          <w:w w:val="120"/>
          <w:sz w:val="14"/>
        </w:rPr>
        <w:t>-Conflictos sociopolíticos.</w:t>
      </w:r>
    </w:p>
    <w:p>
      <w:pPr>
        <w:pStyle w:val="ListParagraph"/>
        <w:numPr>
          <w:ilvl w:val="0"/>
          <w:numId w:val="65"/>
        </w:numPr>
        <w:tabs>
          <w:tab w:pos="428" w:val="left" w:leader="none"/>
        </w:tabs>
        <w:spacing w:line="240" w:lineRule="auto" w:before="12" w:after="0"/>
        <w:ind w:left="179" w:right="0" w:firstLine="0"/>
        <w:jc w:val="both"/>
        <w:rPr>
          <w:b/>
          <w:sz w:val="14"/>
        </w:rPr>
      </w:pPr>
      <w:r>
        <w:rPr>
          <w:b/>
          <w:w w:val="122"/>
          <w:sz w:val="14"/>
        </w:rPr>
        <w:br w:type="column"/>
      </w:r>
      <w:r>
        <w:rPr>
          <w:b/>
          <w:w w:val="120"/>
          <w:sz w:val="14"/>
        </w:rPr>
        <w:t>Necesidad de planear a corto, mediano y largo plazo  mediante  la GIRH</w:t>
      </w:r>
    </w:p>
    <w:p>
      <w:pPr>
        <w:pStyle w:val="ListParagraph"/>
        <w:numPr>
          <w:ilvl w:val="0"/>
          <w:numId w:val="65"/>
        </w:numPr>
        <w:tabs>
          <w:tab w:pos="368" w:val="left" w:leader="none"/>
        </w:tabs>
        <w:spacing w:line="240" w:lineRule="auto" w:before="1" w:after="0"/>
        <w:ind w:left="179" w:right="0" w:firstLine="0"/>
        <w:jc w:val="both"/>
        <w:rPr>
          <w:b/>
          <w:sz w:val="14"/>
        </w:rPr>
      </w:pPr>
      <w:r>
        <w:rPr>
          <w:b/>
          <w:w w:val="120"/>
          <w:sz w:val="14"/>
        </w:rPr>
        <w:t>Necesidad de cuidar los recursos naturales a través de la gobernabilidad basada en el derecho </w:t>
      </w:r>
      <w:r>
        <w:rPr>
          <w:b/>
          <w:spacing w:val="13"/>
          <w:w w:val="120"/>
          <w:sz w:val="14"/>
        </w:rPr>
        <w:t> </w:t>
      </w:r>
      <w:r>
        <w:rPr>
          <w:b/>
          <w:w w:val="120"/>
          <w:sz w:val="14"/>
        </w:rPr>
        <w:t>consuetudinario</w:t>
      </w:r>
    </w:p>
    <w:p>
      <w:pPr>
        <w:pStyle w:val="BodyText"/>
        <w:spacing w:before="2"/>
        <w:rPr>
          <w:b/>
          <w:sz w:val="14"/>
        </w:rPr>
      </w:pPr>
    </w:p>
    <w:p>
      <w:pPr>
        <w:pStyle w:val="ListParagraph"/>
        <w:numPr>
          <w:ilvl w:val="0"/>
          <w:numId w:val="65"/>
        </w:numPr>
        <w:tabs>
          <w:tab w:pos="463" w:val="left" w:leader="none"/>
        </w:tabs>
        <w:spacing w:line="240" w:lineRule="auto" w:before="0" w:after="0"/>
        <w:ind w:left="179" w:right="0" w:firstLine="0"/>
        <w:jc w:val="both"/>
        <w:rPr>
          <w:b/>
          <w:sz w:val="14"/>
        </w:rPr>
      </w:pPr>
      <w:r>
        <w:rPr>
          <w:b/>
          <w:w w:val="120"/>
          <w:sz w:val="14"/>
        </w:rPr>
        <w:t>Redistribuir equitativamente los recursos naturales a través de la gobernanza y la </w:t>
      </w:r>
      <w:r>
        <w:rPr>
          <w:b/>
          <w:spacing w:val="2"/>
          <w:w w:val="120"/>
          <w:sz w:val="14"/>
        </w:rPr>
        <w:t> </w:t>
      </w:r>
      <w:r>
        <w:rPr>
          <w:b/>
          <w:w w:val="120"/>
          <w:sz w:val="14"/>
        </w:rPr>
        <w:t>gobernabilidad</w:t>
      </w:r>
    </w:p>
    <w:p>
      <w:pPr>
        <w:pStyle w:val="BodyText"/>
        <w:rPr>
          <w:b/>
          <w:sz w:val="14"/>
        </w:rPr>
      </w:pPr>
    </w:p>
    <w:p>
      <w:pPr>
        <w:pStyle w:val="ListParagraph"/>
        <w:numPr>
          <w:ilvl w:val="0"/>
          <w:numId w:val="65"/>
        </w:numPr>
        <w:tabs>
          <w:tab w:pos="298" w:val="left" w:leader="none"/>
        </w:tabs>
        <w:spacing w:line="240" w:lineRule="auto" w:before="0" w:after="0"/>
        <w:ind w:left="179" w:right="0" w:firstLine="0"/>
        <w:jc w:val="both"/>
        <w:rPr>
          <w:b/>
          <w:sz w:val="14"/>
        </w:rPr>
      </w:pPr>
      <w:r>
        <w:rPr>
          <w:b/>
          <w:w w:val="120"/>
          <w:sz w:val="14"/>
        </w:rPr>
        <w:t>Crear instituciones sociopolíticas que permitan acuerdos democráticos entre los actores de la</w:t>
      </w:r>
      <w:r>
        <w:rPr>
          <w:b/>
          <w:spacing w:val="34"/>
          <w:w w:val="120"/>
          <w:sz w:val="14"/>
        </w:rPr>
        <w:t> </w:t>
      </w:r>
      <w:r>
        <w:rPr>
          <w:b/>
          <w:w w:val="120"/>
          <w:sz w:val="14"/>
        </w:rPr>
        <w:t>CHPH</w:t>
      </w:r>
    </w:p>
    <w:p>
      <w:pPr>
        <w:pStyle w:val="ListParagraph"/>
        <w:numPr>
          <w:ilvl w:val="1"/>
          <w:numId w:val="65"/>
        </w:numPr>
        <w:tabs>
          <w:tab w:pos="653" w:val="left" w:leader="none"/>
        </w:tabs>
        <w:spacing w:line="143" w:lineRule="exact" w:before="0" w:after="0"/>
        <w:ind w:left="547" w:right="0" w:firstLine="0"/>
        <w:jc w:val="both"/>
        <w:rPr>
          <w:b/>
          <w:sz w:val="14"/>
        </w:rPr>
      </w:pPr>
      <w:r>
        <w:rPr>
          <w:b/>
          <w:spacing w:val="-1"/>
          <w:w w:val="122"/>
          <w:sz w:val="14"/>
        </w:rPr>
        <w:br w:type="column"/>
      </w:r>
      <w:r>
        <w:rPr>
          <w:b/>
          <w:w w:val="120"/>
          <w:sz w:val="14"/>
        </w:rPr>
        <w:t>Explosión</w:t>
      </w:r>
      <w:r>
        <w:rPr>
          <w:b/>
          <w:spacing w:val="37"/>
          <w:w w:val="120"/>
          <w:sz w:val="14"/>
        </w:rPr>
        <w:t> </w:t>
      </w:r>
      <w:r>
        <w:rPr>
          <w:b/>
          <w:w w:val="120"/>
          <w:sz w:val="14"/>
        </w:rPr>
        <w:t>demográfica.</w:t>
      </w:r>
    </w:p>
    <w:p>
      <w:pPr>
        <w:pStyle w:val="ListParagraph"/>
        <w:numPr>
          <w:ilvl w:val="1"/>
          <w:numId w:val="65"/>
        </w:numPr>
        <w:tabs>
          <w:tab w:pos="653" w:val="left" w:leader="none"/>
        </w:tabs>
        <w:spacing w:line="240" w:lineRule="auto" w:before="1" w:after="0"/>
        <w:ind w:left="652" w:right="0" w:hanging="105"/>
        <w:jc w:val="both"/>
        <w:rPr>
          <w:b/>
          <w:sz w:val="14"/>
        </w:rPr>
      </w:pPr>
      <w:r>
        <w:rPr>
          <w:b/>
          <w:w w:val="120"/>
          <w:sz w:val="14"/>
        </w:rPr>
        <w:t>Contaminación.</w:t>
      </w:r>
    </w:p>
    <w:p>
      <w:pPr>
        <w:pStyle w:val="ListParagraph"/>
        <w:numPr>
          <w:ilvl w:val="1"/>
          <w:numId w:val="65"/>
        </w:numPr>
        <w:tabs>
          <w:tab w:pos="705" w:val="left" w:leader="none"/>
        </w:tabs>
        <w:spacing w:line="240" w:lineRule="auto" w:before="1" w:after="0"/>
        <w:ind w:left="547" w:right="0" w:firstLine="0"/>
        <w:jc w:val="both"/>
        <w:rPr>
          <w:b/>
          <w:sz w:val="14"/>
        </w:rPr>
      </w:pPr>
      <w:r>
        <w:rPr>
          <w:b/>
          <w:w w:val="120"/>
          <w:sz w:val="14"/>
        </w:rPr>
        <w:t>Distribución inequitativa de los recursos</w:t>
      </w:r>
      <w:r>
        <w:rPr>
          <w:b/>
          <w:spacing w:val="24"/>
          <w:w w:val="120"/>
          <w:sz w:val="14"/>
        </w:rPr>
        <w:t> </w:t>
      </w:r>
      <w:r>
        <w:rPr>
          <w:b/>
          <w:w w:val="120"/>
          <w:sz w:val="14"/>
        </w:rPr>
        <w:t>(agua).</w:t>
      </w:r>
    </w:p>
    <w:p>
      <w:pPr>
        <w:pStyle w:val="ListParagraph"/>
        <w:numPr>
          <w:ilvl w:val="1"/>
          <w:numId w:val="65"/>
        </w:numPr>
        <w:tabs>
          <w:tab w:pos="896" w:val="left" w:leader="none"/>
        </w:tabs>
        <w:spacing w:line="240" w:lineRule="auto" w:before="1" w:after="0"/>
        <w:ind w:left="547" w:right="0" w:firstLine="0"/>
        <w:jc w:val="both"/>
        <w:rPr>
          <w:b/>
          <w:sz w:val="14"/>
        </w:rPr>
      </w:pPr>
      <w:r>
        <w:rPr>
          <w:b/>
          <w:w w:val="120"/>
          <w:sz w:val="14"/>
        </w:rPr>
        <w:t>Concentración del poder económico y</w:t>
      </w:r>
      <w:r>
        <w:rPr>
          <w:b/>
          <w:spacing w:val="32"/>
          <w:w w:val="120"/>
          <w:sz w:val="14"/>
        </w:rPr>
        <w:t> </w:t>
      </w:r>
      <w:r>
        <w:rPr>
          <w:b/>
          <w:w w:val="120"/>
          <w:sz w:val="14"/>
        </w:rPr>
        <w:t>político.</w:t>
      </w:r>
    </w:p>
    <w:p>
      <w:pPr>
        <w:pStyle w:val="ListParagraph"/>
        <w:numPr>
          <w:ilvl w:val="1"/>
          <w:numId w:val="65"/>
        </w:numPr>
        <w:tabs>
          <w:tab w:pos="771" w:val="left" w:leader="none"/>
        </w:tabs>
        <w:spacing w:line="240" w:lineRule="auto" w:before="1" w:after="0"/>
        <w:ind w:left="547" w:right="0" w:firstLine="0"/>
        <w:jc w:val="both"/>
        <w:rPr>
          <w:b/>
          <w:sz w:val="14"/>
        </w:rPr>
      </w:pPr>
      <w:r>
        <w:rPr>
          <w:b/>
          <w:w w:val="120"/>
          <w:sz w:val="14"/>
        </w:rPr>
        <w:t>Crecimiento desigual de los municipios de la</w:t>
      </w:r>
      <w:r>
        <w:rPr>
          <w:b/>
          <w:spacing w:val="35"/>
          <w:w w:val="120"/>
          <w:sz w:val="14"/>
        </w:rPr>
        <w:t> </w:t>
      </w:r>
      <w:r>
        <w:rPr>
          <w:b/>
          <w:w w:val="120"/>
          <w:sz w:val="14"/>
        </w:rPr>
        <w:t>CHPH.</w:t>
      </w:r>
    </w:p>
    <w:p>
      <w:pPr>
        <w:pStyle w:val="ListParagraph"/>
        <w:numPr>
          <w:ilvl w:val="1"/>
          <w:numId w:val="65"/>
        </w:numPr>
        <w:tabs>
          <w:tab w:pos="651" w:val="left" w:leader="none"/>
        </w:tabs>
        <w:spacing w:line="161" w:lineRule="exact" w:before="1" w:after="0"/>
        <w:ind w:left="650" w:right="0" w:hanging="103"/>
        <w:jc w:val="both"/>
        <w:rPr>
          <w:b/>
          <w:sz w:val="14"/>
        </w:rPr>
      </w:pPr>
      <w:r>
        <w:rPr>
          <w:b/>
          <w:w w:val="120"/>
          <w:sz w:val="14"/>
        </w:rPr>
        <w:t>Municipios con poder </w:t>
      </w:r>
      <w:r>
        <w:rPr>
          <w:b/>
          <w:spacing w:val="4"/>
          <w:w w:val="120"/>
          <w:sz w:val="14"/>
        </w:rPr>
        <w:t> </w:t>
      </w:r>
      <w:r>
        <w:rPr>
          <w:b/>
          <w:w w:val="120"/>
          <w:sz w:val="14"/>
        </w:rPr>
        <w:t>marginal.</w:t>
      </w:r>
    </w:p>
    <w:p>
      <w:pPr>
        <w:pStyle w:val="ListParagraph"/>
        <w:numPr>
          <w:ilvl w:val="1"/>
          <w:numId w:val="65"/>
        </w:numPr>
        <w:tabs>
          <w:tab w:pos="711" w:val="left" w:leader="none"/>
        </w:tabs>
        <w:spacing w:line="240" w:lineRule="auto" w:before="0" w:after="0"/>
        <w:ind w:left="547" w:right="0" w:firstLine="0"/>
        <w:jc w:val="both"/>
        <w:rPr>
          <w:b/>
          <w:sz w:val="14"/>
        </w:rPr>
      </w:pPr>
      <w:r>
        <w:rPr>
          <w:b/>
          <w:w w:val="120"/>
          <w:sz w:val="14"/>
        </w:rPr>
        <w:t>Ejidatarios coopropietarios con  el Estado y regulados por leyes externas.</w:t>
      </w:r>
    </w:p>
    <w:p>
      <w:pPr>
        <w:pStyle w:val="ListParagraph"/>
        <w:numPr>
          <w:ilvl w:val="1"/>
          <w:numId w:val="65"/>
        </w:numPr>
        <w:tabs>
          <w:tab w:pos="845" w:val="left" w:leader="none"/>
        </w:tabs>
        <w:spacing w:line="240" w:lineRule="auto" w:before="1" w:after="0"/>
        <w:ind w:left="547" w:right="1" w:firstLine="0"/>
        <w:jc w:val="both"/>
        <w:rPr>
          <w:b/>
          <w:sz w:val="14"/>
        </w:rPr>
      </w:pPr>
      <w:r>
        <w:rPr>
          <w:b/>
          <w:w w:val="120"/>
          <w:sz w:val="14"/>
        </w:rPr>
        <w:t>Creación de dependencias gubernamentales.</w:t>
      </w:r>
    </w:p>
    <w:p>
      <w:pPr>
        <w:pStyle w:val="ListParagraph"/>
        <w:numPr>
          <w:ilvl w:val="0"/>
          <w:numId w:val="65"/>
        </w:numPr>
        <w:tabs>
          <w:tab w:pos="251" w:val="left" w:leader="none"/>
        </w:tabs>
        <w:spacing w:line="143" w:lineRule="exact" w:before="0" w:after="0"/>
        <w:ind w:left="250" w:right="0" w:hanging="105"/>
        <w:jc w:val="left"/>
        <w:rPr>
          <w:b/>
          <w:sz w:val="14"/>
        </w:rPr>
      </w:pPr>
      <w:r>
        <w:rPr>
          <w:b/>
          <w:w w:val="122"/>
          <w:sz w:val="14"/>
        </w:rPr>
        <w:br w:type="column"/>
      </w:r>
      <w:r>
        <w:rPr>
          <w:b/>
          <w:w w:val="120"/>
          <w:sz w:val="14"/>
        </w:rPr>
        <w:t>Falta de</w:t>
      </w:r>
      <w:r>
        <w:rPr>
          <w:b/>
          <w:spacing w:val="31"/>
          <w:w w:val="120"/>
          <w:sz w:val="14"/>
        </w:rPr>
        <w:t> </w:t>
      </w:r>
      <w:r>
        <w:rPr>
          <w:b/>
          <w:w w:val="120"/>
          <w:sz w:val="14"/>
        </w:rPr>
        <w:t>planeación.</w:t>
      </w:r>
    </w:p>
    <w:p>
      <w:pPr>
        <w:pStyle w:val="BodyText"/>
        <w:spacing w:before="1"/>
        <w:rPr>
          <w:b/>
          <w:sz w:val="14"/>
        </w:rPr>
      </w:pPr>
    </w:p>
    <w:p>
      <w:pPr>
        <w:spacing w:before="1"/>
        <w:ind w:left="145" w:right="752" w:firstLine="0"/>
        <w:jc w:val="left"/>
        <w:rPr>
          <w:b/>
          <w:sz w:val="14"/>
        </w:rPr>
      </w:pPr>
      <w:r>
        <w:rPr>
          <w:b/>
          <w:w w:val="120"/>
          <w:sz w:val="14"/>
        </w:rPr>
        <w:t>-Deterioro, sobreexplotación y extinción de los recursos naturales.</w:t>
      </w:r>
    </w:p>
    <w:p>
      <w:pPr>
        <w:pStyle w:val="BodyText"/>
        <w:spacing w:before="2"/>
        <w:rPr>
          <w:b/>
          <w:sz w:val="14"/>
        </w:rPr>
      </w:pPr>
    </w:p>
    <w:p>
      <w:pPr>
        <w:pStyle w:val="ListParagraph"/>
        <w:numPr>
          <w:ilvl w:val="0"/>
          <w:numId w:val="65"/>
        </w:numPr>
        <w:tabs>
          <w:tab w:pos="251" w:val="left" w:leader="none"/>
        </w:tabs>
        <w:spacing w:line="240" w:lineRule="auto" w:before="0" w:after="0"/>
        <w:ind w:left="145" w:right="1060" w:firstLine="0"/>
        <w:jc w:val="left"/>
        <w:rPr>
          <w:b/>
          <w:sz w:val="14"/>
        </w:rPr>
      </w:pPr>
      <w:r>
        <w:rPr>
          <w:b/>
          <w:w w:val="120"/>
          <w:sz w:val="14"/>
        </w:rPr>
        <w:t>Concentración de los recursos de la CHPH en pocas manos.</w:t>
      </w:r>
    </w:p>
    <w:p>
      <w:pPr>
        <w:pStyle w:val="BodyText"/>
        <w:rPr>
          <w:b/>
          <w:sz w:val="14"/>
        </w:rPr>
      </w:pPr>
    </w:p>
    <w:p>
      <w:pPr>
        <w:pStyle w:val="ListParagraph"/>
        <w:numPr>
          <w:ilvl w:val="0"/>
          <w:numId w:val="65"/>
        </w:numPr>
        <w:tabs>
          <w:tab w:pos="251" w:val="left" w:leader="none"/>
        </w:tabs>
        <w:spacing w:line="240" w:lineRule="auto" w:before="0" w:after="0"/>
        <w:ind w:left="250" w:right="0" w:hanging="105"/>
        <w:jc w:val="left"/>
        <w:rPr>
          <w:b/>
          <w:sz w:val="14"/>
        </w:rPr>
      </w:pPr>
      <w:r>
        <w:rPr>
          <w:b/>
          <w:w w:val="120"/>
          <w:sz w:val="14"/>
        </w:rPr>
        <w:t>Conflictos</w:t>
      </w:r>
      <w:r>
        <w:rPr>
          <w:b/>
          <w:spacing w:val="38"/>
          <w:w w:val="120"/>
          <w:sz w:val="14"/>
        </w:rPr>
        <w:t> </w:t>
      </w:r>
      <w:r>
        <w:rPr>
          <w:b/>
          <w:w w:val="120"/>
          <w:sz w:val="14"/>
        </w:rPr>
        <w:t>sociopolíticos.</w:t>
      </w:r>
    </w:p>
    <w:p>
      <w:pPr>
        <w:spacing w:after="0" w:line="240" w:lineRule="auto"/>
        <w:jc w:val="left"/>
        <w:rPr>
          <w:sz w:val="14"/>
        </w:rPr>
        <w:sectPr>
          <w:type w:val="continuous"/>
          <w:pgSz w:w="15840" w:h="12240" w:orient="landscape"/>
          <w:pgMar w:top="1360" w:bottom="1200" w:left="1200" w:right="1300"/>
          <w:cols w:num="4" w:equalWidth="0">
            <w:col w:w="2690" w:space="40"/>
            <w:col w:w="3431" w:space="40"/>
            <w:col w:w="3402" w:space="40"/>
            <w:col w:w="3697"/>
          </w:cols>
        </w:sectPr>
      </w:pPr>
    </w:p>
    <w:p>
      <w:pPr>
        <w:pStyle w:val="BodyText"/>
        <w:rPr>
          <w:b/>
          <w:sz w:val="20"/>
        </w:rPr>
      </w:pPr>
    </w:p>
    <w:p>
      <w:pPr>
        <w:pStyle w:val="BodyText"/>
        <w:rPr>
          <w:b/>
          <w:sz w:val="20"/>
        </w:rPr>
      </w:pPr>
    </w:p>
    <w:p>
      <w:pPr>
        <w:pStyle w:val="BodyText"/>
        <w:rPr>
          <w:b/>
          <w:sz w:val="21"/>
        </w:rPr>
      </w:pPr>
    </w:p>
    <w:p>
      <w:pPr>
        <w:pStyle w:val="BodyText"/>
        <w:ind w:left="105"/>
        <w:rPr>
          <w:sz w:val="20"/>
        </w:rPr>
      </w:pPr>
      <w:r>
        <w:rPr>
          <w:sz w:val="20"/>
        </w:rPr>
        <w:pict>
          <v:group style="width:645.4pt;height:27.3pt;mso-position-horizontal-relative:char;mso-position-vertical-relative:line" coordorigin="0,0" coordsize="12908,546">
            <v:line style="position:absolute" from="10,10" to="12897,10" stroked="true" strokeweight=".48001pt" strokecolor="#000000"/>
            <v:line style="position:absolute" from="10,271" to="12897,271" stroked="true" strokeweight=".47998pt" strokecolor="#000000"/>
            <v:line style="position:absolute" from="5,5" to="5,540" stroked="true" strokeweight=".48pt" strokecolor="#000000"/>
            <v:line style="position:absolute" from="10,535" to="12897,535" stroked="true" strokeweight=".47998pt" strokecolor="#000000"/>
            <v:line style="position:absolute" from="12902,5" to="12902,540" stroked="true" strokeweight=".48004pt" strokecolor="#000000"/>
            <v:shape style="position:absolute;left:5;top:10;width:12898;height:262" type="#_x0000_t202" filled="false" stroked="false">
              <v:textbox inset="0,0,0,0">
                <w:txbxContent>
                  <w:p>
                    <w:pPr>
                      <w:spacing w:before="0"/>
                      <w:ind w:left="5152" w:right="5156" w:firstLine="0"/>
                      <w:jc w:val="center"/>
                      <w:rPr>
                        <w:b/>
                        <w:sz w:val="22"/>
                      </w:rPr>
                    </w:pPr>
                    <w:r>
                      <w:rPr>
                        <w:b/>
                        <w:sz w:val="22"/>
                      </w:rPr>
                      <w:t>Valoración del</w:t>
                    </w:r>
                    <w:r>
                      <w:rPr>
                        <w:b/>
                        <w:spacing w:val="-5"/>
                        <w:sz w:val="22"/>
                      </w:rPr>
                      <w:t> </w:t>
                    </w:r>
                    <w:r>
                      <w:rPr>
                        <w:b/>
                        <w:sz w:val="22"/>
                      </w:rPr>
                      <w:t>indicador</w:t>
                    </w:r>
                  </w:p>
                </w:txbxContent>
              </v:textbox>
              <w10:wrap type="none"/>
            </v:shape>
            <v:shape style="position:absolute;left:5;top:271;width:12898;height:264" type="#_x0000_t202" filled="false" stroked="false">
              <v:textbox inset="0,0,0,0">
                <w:txbxContent>
                  <w:p>
                    <w:pPr>
                      <w:spacing w:before="4"/>
                      <w:ind w:left="69" w:right="0" w:firstLine="0"/>
                      <w:jc w:val="left"/>
                      <w:rPr>
                        <w:sz w:val="22"/>
                      </w:rPr>
                    </w:pPr>
                    <w:r>
                      <w:rPr>
                        <w:sz w:val="22"/>
                      </w:rPr>
                      <w:t>En las siguiente gráfica se puede identificar la transformación del indicador en el tiempo mediante categorías de calificación de</w:t>
                    </w:r>
                  </w:p>
                </w:txbxContent>
              </v:textbox>
              <w10:wrap type="none"/>
            </v:shape>
          </v:group>
        </w:pict>
      </w:r>
      <w:r>
        <w:rPr>
          <w:sz w:val="20"/>
        </w:rPr>
      </w:r>
    </w:p>
    <w:p>
      <w:pPr>
        <w:spacing w:after="0"/>
        <w:rPr>
          <w:sz w:val="20"/>
        </w:rPr>
        <w:sectPr>
          <w:type w:val="continuous"/>
          <w:pgSz w:w="15840" w:h="12240" w:orient="landscape"/>
          <w:pgMar w:top="1360" w:bottom="1200" w:left="1200" w:right="1300"/>
        </w:sectPr>
      </w:pPr>
    </w:p>
    <w:p>
      <w:pPr>
        <w:pStyle w:val="BodyText"/>
        <w:rPr>
          <w:rFonts w:ascii="Times New Roman"/>
          <w:sz w:val="20"/>
        </w:rPr>
      </w:pPr>
      <w:r>
        <w:rPr/>
        <w:drawing>
          <wp:anchor distT="0" distB="0" distL="0" distR="0" allowOverlap="1" layoutInCell="1" locked="0" behindDoc="0" simplePos="0" relativeHeight="12088">
            <wp:simplePos x="0" y="0"/>
            <wp:positionH relativeFrom="page">
              <wp:posOffset>876300</wp:posOffset>
            </wp:positionH>
            <wp:positionV relativeFrom="page">
              <wp:posOffset>1729104</wp:posOffset>
            </wp:positionV>
            <wp:extent cx="5410514" cy="2192274"/>
            <wp:effectExtent l="0" t="0" r="0" b="0"/>
            <wp:wrapNone/>
            <wp:docPr id="53" name="image153.png" descr=""/>
            <wp:cNvGraphicFramePr>
              <a:graphicFrameLocks noChangeAspect="1"/>
            </wp:cNvGraphicFramePr>
            <a:graphic>
              <a:graphicData uri="http://schemas.openxmlformats.org/drawingml/2006/picture">
                <pic:pic>
                  <pic:nvPicPr>
                    <pic:cNvPr id="54" name="image153.png"/>
                    <pic:cNvPicPr/>
                  </pic:nvPicPr>
                  <pic:blipFill>
                    <a:blip r:embed="rId272" cstate="print"/>
                    <a:stretch>
                      <a:fillRect/>
                    </a:stretch>
                  </pic:blipFill>
                  <pic:spPr>
                    <a:xfrm>
                      <a:off x="0" y="0"/>
                      <a:ext cx="5410514" cy="2192274"/>
                    </a:xfrm>
                    <a:prstGeom prst="rect">
                      <a:avLst/>
                    </a:prstGeom>
                  </pic:spPr>
                </pic:pic>
              </a:graphicData>
            </a:graphic>
          </wp:anchor>
        </w:drawing>
      </w:r>
      <w:r>
        <w:rPr/>
        <w:pict>
          <v:shape style="position:absolute;margin-left:520.630005pt;margin-top:128.179993pt;width:163.75pt;height:145.15pt;mso-position-horizontal-relative:page;mso-position-vertical-relative:page;z-index:1211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80"/>
                    <w:gridCol w:w="1580"/>
                  </w:tblGrid>
                  <w:tr>
                    <w:trPr>
                      <w:trHeight w:val="262" w:hRule="exact"/>
                    </w:trPr>
                    <w:tc>
                      <w:tcPr>
                        <w:tcW w:w="1680" w:type="dxa"/>
                      </w:tcPr>
                      <w:p>
                        <w:pPr>
                          <w:pStyle w:val="TableParagraph"/>
                          <w:spacing w:line="248" w:lineRule="exact"/>
                          <w:rPr>
                            <w:b/>
                            <w:sz w:val="22"/>
                          </w:rPr>
                        </w:pPr>
                        <w:r>
                          <w:rPr>
                            <w:b/>
                            <w:sz w:val="22"/>
                          </w:rPr>
                          <w:t>Período</w:t>
                        </w:r>
                      </w:p>
                    </w:tc>
                    <w:tc>
                      <w:tcPr>
                        <w:tcW w:w="1580" w:type="dxa"/>
                      </w:tcPr>
                      <w:p>
                        <w:pPr>
                          <w:pStyle w:val="TableParagraph"/>
                          <w:spacing w:line="248" w:lineRule="exact"/>
                          <w:rPr>
                            <w:b/>
                            <w:sz w:val="22"/>
                          </w:rPr>
                        </w:pPr>
                        <w:r>
                          <w:rPr>
                            <w:b/>
                            <w:sz w:val="22"/>
                          </w:rPr>
                          <w:t>Calificación</w:t>
                        </w:r>
                      </w:p>
                    </w:tc>
                  </w:tr>
                  <w:tr>
                    <w:trPr>
                      <w:trHeight w:val="264" w:hRule="exact"/>
                    </w:trPr>
                    <w:tc>
                      <w:tcPr>
                        <w:tcW w:w="1680" w:type="dxa"/>
                      </w:tcPr>
                      <w:p>
                        <w:pPr>
                          <w:pStyle w:val="TableParagraph"/>
                          <w:rPr>
                            <w:sz w:val="22"/>
                          </w:rPr>
                        </w:pPr>
                        <w:r>
                          <w:rPr>
                            <w:sz w:val="22"/>
                          </w:rPr>
                          <w:t>1400</w:t>
                        </w:r>
                      </w:p>
                    </w:tc>
                    <w:tc>
                      <w:tcPr>
                        <w:tcW w:w="1580" w:type="dxa"/>
                      </w:tcPr>
                      <w:p>
                        <w:pPr>
                          <w:pStyle w:val="TableParagraph"/>
                          <w:rPr>
                            <w:sz w:val="22"/>
                          </w:rPr>
                        </w:pPr>
                        <w:r>
                          <w:rPr>
                            <w:sz w:val="22"/>
                          </w:rPr>
                          <w:t>Excelente</w:t>
                        </w:r>
                      </w:p>
                    </w:tc>
                  </w:tr>
                  <w:tr>
                    <w:trPr>
                      <w:trHeight w:val="264" w:hRule="exact"/>
                    </w:trPr>
                    <w:tc>
                      <w:tcPr>
                        <w:tcW w:w="1680" w:type="dxa"/>
                      </w:tcPr>
                      <w:p>
                        <w:pPr>
                          <w:pStyle w:val="TableParagraph"/>
                          <w:spacing w:line="251" w:lineRule="exact"/>
                          <w:rPr>
                            <w:sz w:val="22"/>
                          </w:rPr>
                        </w:pPr>
                        <w:r>
                          <w:rPr>
                            <w:sz w:val="22"/>
                          </w:rPr>
                          <w:t>1519</w:t>
                        </w:r>
                      </w:p>
                    </w:tc>
                    <w:tc>
                      <w:tcPr>
                        <w:tcW w:w="1580" w:type="dxa"/>
                      </w:tcPr>
                      <w:p>
                        <w:pPr>
                          <w:pStyle w:val="TableParagraph"/>
                          <w:spacing w:line="251" w:lineRule="exact"/>
                          <w:rPr>
                            <w:sz w:val="22"/>
                          </w:rPr>
                        </w:pPr>
                        <w:r>
                          <w:rPr>
                            <w:sz w:val="22"/>
                          </w:rPr>
                          <w:t>Bueno</w:t>
                        </w:r>
                      </w:p>
                    </w:tc>
                  </w:tr>
                  <w:tr>
                    <w:trPr>
                      <w:trHeight w:val="262" w:hRule="exact"/>
                    </w:trPr>
                    <w:tc>
                      <w:tcPr>
                        <w:tcW w:w="1680" w:type="dxa"/>
                      </w:tcPr>
                      <w:p>
                        <w:pPr>
                          <w:pStyle w:val="TableParagraph"/>
                          <w:spacing w:line="251" w:lineRule="exact"/>
                          <w:rPr>
                            <w:sz w:val="22"/>
                          </w:rPr>
                        </w:pPr>
                        <w:r>
                          <w:rPr>
                            <w:sz w:val="22"/>
                          </w:rPr>
                          <w:t>1580</w:t>
                        </w:r>
                      </w:p>
                    </w:tc>
                    <w:tc>
                      <w:tcPr>
                        <w:tcW w:w="1580" w:type="dxa"/>
                      </w:tcPr>
                      <w:p>
                        <w:pPr>
                          <w:pStyle w:val="TableParagraph"/>
                          <w:spacing w:line="251" w:lineRule="exact"/>
                          <w:rPr>
                            <w:sz w:val="22"/>
                          </w:rPr>
                        </w:pPr>
                        <w:r>
                          <w:rPr>
                            <w:sz w:val="22"/>
                          </w:rPr>
                          <w:t>Bueno</w:t>
                        </w:r>
                      </w:p>
                    </w:tc>
                  </w:tr>
                  <w:tr>
                    <w:trPr>
                      <w:trHeight w:val="265" w:hRule="exact"/>
                    </w:trPr>
                    <w:tc>
                      <w:tcPr>
                        <w:tcW w:w="1680" w:type="dxa"/>
                      </w:tcPr>
                      <w:p>
                        <w:pPr>
                          <w:pStyle w:val="TableParagraph"/>
                          <w:spacing w:line="251" w:lineRule="exact"/>
                          <w:rPr>
                            <w:sz w:val="22"/>
                          </w:rPr>
                        </w:pPr>
                        <w:r>
                          <w:rPr>
                            <w:sz w:val="22"/>
                          </w:rPr>
                          <w:t>1785</w:t>
                        </w:r>
                      </w:p>
                    </w:tc>
                    <w:tc>
                      <w:tcPr>
                        <w:tcW w:w="1580" w:type="dxa"/>
                      </w:tcPr>
                      <w:p>
                        <w:pPr>
                          <w:pStyle w:val="TableParagraph"/>
                          <w:spacing w:line="251" w:lineRule="exact"/>
                          <w:rPr>
                            <w:sz w:val="22"/>
                          </w:rPr>
                        </w:pPr>
                        <w:r>
                          <w:rPr>
                            <w:sz w:val="22"/>
                          </w:rPr>
                          <w:t>Excelente</w:t>
                        </w:r>
                      </w:p>
                    </w:tc>
                  </w:tr>
                  <w:tr>
                    <w:trPr>
                      <w:trHeight w:val="262" w:hRule="exact"/>
                    </w:trPr>
                    <w:tc>
                      <w:tcPr>
                        <w:tcW w:w="1680" w:type="dxa"/>
                      </w:tcPr>
                      <w:p>
                        <w:pPr>
                          <w:pStyle w:val="TableParagraph"/>
                          <w:spacing w:line="251" w:lineRule="exact"/>
                          <w:rPr>
                            <w:sz w:val="22"/>
                          </w:rPr>
                        </w:pPr>
                        <w:r>
                          <w:rPr>
                            <w:sz w:val="22"/>
                          </w:rPr>
                          <w:t>1810</w:t>
                        </w:r>
                      </w:p>
                    </w:tc>
                    <w:tc>
                      <w:tcPr>
                        <w:tcW w:w="1580" w:type="dxa"/>
                      </w:tcPr>
                      <w:p>
                        <w:pPr>
                          <w:pStyle w:val="TableParagraph"/>
                          <w:spacing w:line="251" w:lineRule="exact"/>
                          <w:rPr>
                            <w:sz w:val="22"/>
                          </w:rPr>
                        </w:pPr>
                        <w:r>
                          <w:rPr>
                            <w:sz w:val="22"/>
                          </w:rPr>
                          <w:t>Excelente</w:t>
                        </w:r>
                      </w:p>
                    </w:tc>
                  </w:tr>
                  <w:tr>
                    <w:trPr>
                      <w:trHeight w:val="264" w:hRule="exact"/>
                    </w:trPr>
                    <w:tc>
                      <w:tcPr>
                        <w:tcW w:w="1680" w:type="dxa"/>
                      </w:tcPr>
                      <w:p>
                        <w:pPr>
                          <w:pStyle w:val="TableParagraph"/>
                          <w:rPr>
                            <w:sz w:val="22"/>
                          </w:rPr>
                        </w:pPr>
                        <w:r>
                          <w:rPr>
                            <w:sz w:val="22"/>
                          </w:rPr>
                          <w:t>1861</w:t>
                        </w:r>
                      </w:p>
                    </w:tc>
                    <w:tc>
                      <w:tcPr>
                        <w:tcW w:w="1580" w:type="dxa"/>
                      </w:tcPr>
                      <w:p>
                        <w:pPr>
                          <w:pStyle w:val="TableParagraph"/>
                          <w:rPr>
                            <w:sz w:val="22"/>
                          </w:rPr>
                        </w:pPr>
                        <w:r>
                          <w:rPr>
                            <w:sz w:val="22"/>
                          </w:rPr>
                          <w:t>Excelente</w:t>
                        </w:r>
                      </w:p>
                    </w:tc>
                  </w:tr>
                  <w:tr>
                    <w:trPr>
                      <w:trHeight w:val="264" w:hRule="exact"/>
                    </w:trPr>
                    <w:tc>
                      <w:tcPr>
                        <w:tcW w:w="1680" w:type="dxa"/>
                      </w:tcPr>
                      <w:p>
                        <w:pPr>
                          <w:pStyle w:val="TableParagraph"/>
                          <w:spacing w:line="251" w:lineRule="exact"/>
                          <w:rPr>
                            <w:sz w:val="22"/>
                          </w:rPr>
                        </w:pPr>
                        <w:r>
                          <w:rPr>
                            <w:sz w:val="22"/>
                          </w:rPr>
                          <w:t>1910</w:t>
                        </w:r>
                      </w:p>
                    </w:tc>
                    <w:tc>
                      <w:tcPr>
                        <w:tcW w:w="1580" w:type="dxa"/>
                      </w:tcPr>
                      <w:p>
                        <w:pPr>
                          <w:pStyle w:val="TableParagraph"/>
                          <w:spacing w:line="251" w:lineRule="exact"/>
                          <w:rPr>
                            <w:sz w:val="22"/>
                          </w:rPr>
                        </w:pPr>
                        <w:r>
                          <w:rPr>
                            <w:sz w:val="22"/>
                          </w:rPr>
                          <w:t>Excelente</w:t>
                        </w:r>
                      </w:p>
                    </w:tc>
                  </w:tr>
                  <w:tr>
                    <w:trPr>
                      <w:trHeight w:val="262" w:hRule="exact"/>
                    </w:trPr>
                    <w:tc>
                      <w:tcPr>
                        <w:tcW w:w="1680" w:type="dxa"/>
                      </w:tcPr>
                      <w:p>
                        <w:pPr>
                          <w:pStyle w:val="TableParagraph"/>
                          <w:spacing w:line="251" w:lineRule="exact"/>
                          <w:rPr>
                            <w:sz w:val="22"/>
                          </w:rPr>
                        </w:pPr>
                        <w:r>
                          <w:rPr>
                            <w:sz w:val="22"/>
                          </w:rPr>
                          <w:t>1940</w:t>
                        </w:r>
                      </w:p>
                    </w:tc>
                    <w:tc>
                      <w:tcPr>
                        <w:tcW w:w="1580" w:type="dxa"/>
                      </w:tcPr>
                      <w:p>
                        <w:pPr>
                          <w:pStyle w:val="TableParagraph"/>
                          <w:spacing w:line="251" w:lineRule="exact"/>
                          <w:rPr>
                            <w:sz w:val="22"/>
                          </w:rPr>
                        </w:pPr>
                        <w:r>
                          <w:rPr>
                            <w:sz w:val="22"/>
                          </w:rPr>
                          <w:t>Excelente</w:t>
                        </w:r>
                      </w:p>
                    </w:tc>
                  </w:tr>
                  <w:tr>
                    <w:trPr>
                      <w:trHeight w:val="264" w:hRule="exact"/>
                    </w:trPr>
                    <w:tc>
                      <w:tcPr>
                        <w:tcW w:w="1680" w:type="dxa"/>
                      </w:tcPr>
                      <w:p>
                        <w:pPr>
                          <w:pStyle w:val="TableParagraph"/>
                          <w:spacing w:line="251" w:lineRule="exact"/>
                          <w:rPr>
                            <w:sz w:val="22"/>
                          </w:rPr>
                        </w:pPr>
                        <w:r>
                          <w:rPr>
                            <w:sz w:val="22"/>
                          </w:rPr>
                          <w:t>1982</w:t>
                        </w:r>
                      </w:p>
                    </w:tc>
                    <w:tc>
                      <w:tcPr>
                        <w:tcW w:w="1580" w:type="dxa"/>
                      </w:tcPr>
                      <w:p>
                        <w:pPr>
                          <w:pStyle w:val="TableParagraph"/>
                          <w:spacing w:line="251" w:lineRule="exact"/>
                          <w:rPr>
                            <w:sz w:val="22"/>
                          </w:rPr>
                        </w:pPr>
                        <w:r>
                          <w:rPr>
                            <w:sz w:val="22"/>
                          </w:rPr>
                          <w:t>Deficiente</w:t>
                        </w:r>
                      </w:p>
                    </w:tc>
                  </w:tr>
                  <w:tr>
                    <w:trPr>
                      <w:trHeight w:val="262" w:hRule="exact"/>
                    </w:trPr>
                    <w:tc>
                      <w:tcPr>
                        <w:tcW w:w="1680" w:type="dxa"/>
                      </w:tcPr>
                      <w:p>
                        <w:pPr>
                          <w:pStyle w:val="TableParagraph"/>
                          <w:spacing w:line="251" w:lineRule="exact"/>
                          <w:rPr>
                            <w:sz w:val="22"/>
                          </w:rPr>
                        </w:pPr>
                        <w:r>
                          <w:rPr>
                            <w:sz w:val="22"/>
                          </w:rPr>
                          <w:t>2016</w:t>
                        </w:r>
                      </w:p>
                    </w:tc>
                    <w:tc>
                      <w:tcPr>
                        <w:tcW w:w="1580" w:type="dxa"/>
                      </w:tcPr>
                      <w:p>
                        <w:pPr>
                          <w:pStyle w:val="TableParagraph"/>
                          <w:spacing w:line="251" w:lineRule="exact"/>
                          <w:rPr>
                            <w:sz w:val="22"/>
                          </w:rPr>
                        </w:pPr>
                        <w:r>
                          <w:rPr>
                            <w:sz w:val="22"/>
                          </w:rPr>
                          <w:t>Deficiente</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903"/>
        <w:gridCol w:w="1349"/>
        <w:gridCol w:w="3000"/>
        <w:gridCol w:w="1481"/>
        <w:gridCol w:w="2497"/>
        <w:gridCol w:w="1634"/>
      </w:tblGrid>
      <w:tr>
        <w:trPr>
          <w:trHeight w:val="5202" w:hRule="exact"/>
        </w:trPr>
        <w:tc>
          <w:tcPr>
            <w:tcW w:w="12822" w:type="dxa"/>
            <w:gridSpan w:val="7"/>
          </w:tcPr>
          <w:p>
            <w:pPr>
              <w:pStyle w:val="TableParagraph"/>
              <w:spacing w:line="251" w:lineRule="exact"/>
              <w:ind w:left="27" w:right="57"/>
              <w:rPr>
                <w:sz w:val="22"/>
              </w:rPr>
            </w:pPr>
            <w:r>
              <w:rPr>
                <w:sz w:val="22"/>
              </w:rPr>
              <w:t>acuerdo a su impacto en el los ámbitos ambiental, sociopolítico y económico en la CHPH:</w:t>
            </w: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3512" w:right="57"/>
              <w:rPr>
                <w:b/>
                <w:sz w:val="22"/>
              </w:rPr>
            </w:pPr>
            <w:r>
              <w:rPr>
                <w:b/>
                <w:sz w:val="22"/>
              </w:rPr>
              <w:t>Gráfica. 7.1.</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510" w:lineRule="atLeast" w:before="129"/>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7"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903" w:type="dxa"/>
            <w:vMerge w:val="restart"/>
          </w:tcPr>
          <w:p>
            <w:pPr>
              <w:pStyle w:val="TableParagraph"/>
              <w:tabs>
                <w:tab w:pos="1569" w:val="left" w:leader="none"/>
              </w:tabs>
              <w:ind w:right="100"/>
              <w:jc w:val="both"/>
              <w:rPr>
                <w:sz w:val="20"/>
              </w:rPr>
            </w:pPr>
            <w:r>
              <w:rPr>
                <w:sz w:val="20"/>
              </w:rPr>
              <w:t>Clasificación por número</w:t>
              <w:tab/>
              <w:t>de eventos en el período</w:t>
            </w:r>
          </w:p>
        </w:tc>
        <w:tc>
          <w:tcPr>
            <w:tcW w:w="8327" w:type="dxa"/>
            <w:gridSpan w:val="4"/>
          </w:tcPr>
          <w:p>
            <w:pPr>
              <w:pStyle w:val="TableParagraph"/>
              <w:tabs>
                <w:tab w:pos="6778" w:val="left" w:leader="none"/>
              </w:tabs>
              <w:spacing w:line="242" w:lineRule="auto"/>
              <w:ind w:left="100" w:right="102"/>
              <w:rPr>
                <w:sz w:val="20"/>
              </w:rPr>
            </w:pPr>
            <w:r>
              <w:rPr>
                <w:sz w:val="20"/>
              </w:rPr>
              <w:t>Clasificación  por  </w:t>
            </w:r>
            <w:r>
              <w:rPr>
                <w:b/>
                <w:sz w:val="20"/>
              </w:rPr>
              <w:t>características  de  impacto  positivo  </w:t>
            </w:r>
            <w:r>
              <w:rPr>
                <w:b/>
                <w:spacing w:val="34"/>
                <w:sz w:val="20"/>
              </w:rPr>
              <w:t> </w:t>
            </w:r>
            <w:r>
              <w:rPr>
                <w:b/>
                <w:sz w:val="20"/>
              </w:rPr>
              <w:t>o </w:t>
            </w:r>
            <w:r>
              <w:rPr>
                <w:b/>
                <w:spacing w:val="13"/>
                <w:sz w:val="20"/>
              </w:rPr>
              <w:t> </w:t>
            </w:r>
            <w:r>
              <w:rPr>
                <w:b/>
                <w:sz w:val="20"/>
              </w:rPr>
              <w:t>negativo</w:t>
              <w:tab/>
            </w:r>
            <w:r>
              <w:rPr>
                <w:sz w:val="20"/>
              </w:rPr>
              <w:t>en </w:t>
            </w:r>
            <w:r>
              <w:rPr>
                <w:spacing w:val="15"/>
                <w:sz w:val="20"/>
              </w:rPr>
              <w:t> </w:t>
            </w:r>
            <w:r>
              <w:rPr>
                <w:sz w:val="20"/>
              </w:rPr>
              <w:t>los </w:t>
            </w:r>
            <w:r>
              <w:rPr>
                <w:spacing w:val="17"/>
                <w:sz w:val="20"/>
              </w:rPr>
              <w:t> </w:t>
            </w:r>
            <w:r>
              <w:rPr>
                <w:sz w:val="20"/>
              </w:rPr>
              <w:t>ámbitos</w:t>
            </w:r>
            <w:r>
              <w:rPr>
                <w:w w:val="99"/>
                <w:sz w:val="20"/>
              </w:rPr>
              <w:t> </w:t>
            </w:r>
            <w:r>
              <w:rPr>
                <w:sz w:val="20"/>
              </w:rPr>
              <w:t>ambiental-sociopolítico-económico</w:t>
            </w:r>
          </w:p>
        </w:tc>
        <w:tc>
          <w:tcPr>
            <w:tcW w:w="1634" w:type="dxa"/>
            <w:vMerge w:val="restart"/>
            <w:tcBorders>
              <w:right w:val="double" w:sz="12" w:space="0" w:color="000000"/>
            </w:tcBorders>
          </w:tcPr>
          <w:p>
            <w:pPr>
              <w:pStyle w:val="TableParagraph"/>
              <w:spacing w:before="117"/>
              <w:ind w:left="240" w:right="239"/>
              <w:jc w:val="center"/>
              <w:rPr>
                <w:sz w:val="20"/>
              </w:rPr>
            </w:pPr>
            <w:r>
              <w:rPr>
                <w:w w:val="95"/>
                <w:sz w:val="20"/>
              </w:rPr>
              <w:t>Clasificación </w:t>
            </w:r>
            <w:r>
              <w:rPr>
                <w:sz w:val="20"/>
              </w:rPr>
              <w:t>de la calificación</w:t>
            </w:r>
          </w:p>
        </w:tc>
      </w:tr>
      <w:tr>
        <w:trPr>
          <w:trHeight w:val="470" w:hRule="exact"/>
        </w:trPr>
        <w:tc>
          <w:tcPr>
            <w:tcW w:w="957" w:type="dxa"/>
            <w:vMerge/>
            <w:tcBorders>
              <w:left w:val="double" w:sz="11" w:space="0" w:color="000000"/>
            </w:tcBorders>
          </w:tcPr>
          <w:p>
            <w:pPr/>
          </w:p>
        </w:tc>
        <w:tc>
          <w:tcPr>
            <w:tcW w:w="1903" w:type="dxa"/>
            <w:vMerge/>
          </w:tcPr>
          <w:p>
            <w:pPr/>
          </w:p>
        </w:tc>
        <w:tc>
          <w:tcPr>
            <w:tcW w:w="1349" w:type="dxa"/>
          </w:tcPr>
          <w:p>
            <w:pPr>
              <w:pStyle w:val="TableParagraph"/>
              <w:spacing w:line="227" w:lineRule="exact"/>
              <w:ind w:left="100"/>
              <w:rPr>
                <w:sz w:val="20"/>
              </w:rPr>
            </w:pPr>
            <w:r>
              <w:rPr>
                <w:sz w:val="20"/>
              </w:rPr>
              <w:t>Subsistema</w:t>
            </w:r>
          </w:p>
        </w:tc>
        <w:tc>
          <w:tcPr>
            <w:tcW w:w="3000" w:type="dxa"/>
          </w:tcPr>
          <w:p>
            <w:pPr>
              <w:pStyle w:val="TableParagraph"/>
              <w:spacing w:line="227" w:lineRule="exact"/>
              <w:ind w:right="100"/>
              <w:rPr>
                <w:sz w:val="20"/>
              </w:rPr>
            </w:pPr>
            <w:r>
              <w:rPr>
                <w:sz w:val="20"/>
              </w:rPr>
              <w:t>características</w:t>
            </w:r>
          </w:p>
        </w:tc>
        <w:tc>
          <w:tcPr>
            <w:tcW w:w="1481" w:type="dxa"/>
          </w:tcPr>
          <w:p>
            <w:pPr>
              <w:pStyle w:val="TableParagraph"/>
              <w:tabs>
                <w:tab w:pos="1144" w:val="left" w:leader="none"/>
              </w:tabs>
              <w:spacing w:line="227" w:lineRule="exact"/>
              <w:rPr>
                <w:sz w:val="20"/>
              </w:rPr>
            </w:pPr>
            <w:r>
              <w:rPr>
                <w:sz w:val="20"/>
              </w:rPr>
              <w:t>%</w:t>
              <w:tab/>
              <w:t>de</w:t>
            </w:r>
          </w:p>
          <w:p>
            <w:pPr>
              <w:pStyle w:val="TableParagraph"/>
              <w:rPr>
                <w:sz w:val="20"/>
              </w:rPr>
            </w:pPr>
            <w:r>
              <w:rPr>
                <w:sz w:val="20"/>
              </w:rPr>
              <w:t>cumplimiento</w:t>
            </w:r>
          </w:p>
        </w:tc>
        <w:tc>
          <w:tcPr>
            <w:tcW w:w="2497" w:type="dxa"/>
          </w:tcPr>
          <w:p>
            <w:pPr>
              <w:pStyle w:val="TableParagraph"/>
              <w:spacing w:line="227" w:lineRule="exact"/>
              <w:rPr>
                <w:sz w:val="20"/>
              </w:rPr>
            </w:pPr>
            <w:r>
              <w:rPr>
                <w:sz w:val="20"/>
              </w:rPr>
              <w:t>Observaciones</w:t>
            </w:r>
          </w:p>
        </w:tc>
        <w:tc>
          <w:tcPr>
            <w:tcW w:w="1634" w:type="dxa"/>
            <w:vMerge/>
            <w:tcBorders>
              <w:right w:val="double" w:sz="12" w:space="0" w:color="000000"/>
            </w:tcBorders>
          </w:tcPr>
          <w:p>
            <w:pPr/>
          </w:p>
        </w:tc>
      </w:tr>
      <w:tr>
        <w:trPr>
          <w:trHeight w:val="595" w:hRule="exact"/>
        </w:trPr>
        <w:tc>
          <w:tcPr>
            <w:tcW w:w="957" w:type="dxa"/>
            <w:tcBorders>
              <w:left w:val="double" w:sz="11" w:space="0" w:color="000000"/>
            </w:tcBorders>
          </w:tcPr>
          <w:p>
            <w:pPr>
              <w:pStyle w:val="TableParagraph"/>
              <w:spacing w:before="175"/>
              <w:ind w:left="212" w:right="212"/>
              <w:jc w:val="center"/>
              <w:rPr>
                <w:sz w:val="20"/>
              </w:rPr>
            </w:pPr>
            <w:r>
              <w:rPr>
                <w:sz w:val="20"/>
              </w:rPr>
              <w:t>1400</w:t>
            </w:r>
          </w:p>
        </w:tc>
        <w:tc>
          <w:tcPr>
            <w:tcW w:w="1903" w:type="dxa"/>
            <w:vMerge w:val="restart"/>
          </w:tcPr>
          <w:p>
            <w:pPr/>
          </w:p>
        </w:tc>
        <w:tc>
          <w:tcPr>
            <w:tcW w:w="1349" w:type="dxa"/>
            <w:vMerge w:val="restart"/>
          </w:tcPr>
          <w:p>
            <w:pPr>
              <w:pStyle w:val="TableParagraph"/>
              <w:spacing w:line="227" w:lineRule="exact"/>
              <w:ind w:left="100"/>
              <w:rPr>
                <w:sz w:val="20"/>
              </w:rPr>
            </w:pPr>
            <w:r>
              <w:rPr>
                <w:sz w:val="20"/>
              </w:rPr>
              <w:t>Ambiental</w:t>
            </w:r>
          </w:p>
        </w:tc>
        <w:tc>
          <w:tcPr>
            <w:tcW w:w="3000" w:type="dxa"/>
            <w:vMerge w:val="restart"/>
          </w:tcPr>
          <w:p>
            <w:pPr>
              <w:pStyle w:val="TableParagraph"/>
              <w:numPr>
                <w:ilvl w:val="0"/>
                <w:numId w:val="66"/>
              </w:numPr>
              <w:tabs>
                <w:tab w:pos="812" w:val="left" w:leader="none"/>
              </w:tabs>
              <w:spacing w:line="240" w:lineRule="auto" w:before="0" w:after="0"/>
              <w:ind w:left="280" w:right="104" w:hanging="141"/>
              <w:jc w:val="both"/>
              <w:rPr>
                <w:sz w:val="20"/>
              </w:rPr>
            </w:pPr>
            <w:r>
              <w:rPr>
                <w:sz w:val="20"/>
              </w:rPr>
              <w:t>Existe equilibrio entre la relación agua-ambiente- sociedad.</w:t>
            </w:r>
          </w:p>
          <w:p>
            <w:pPr>
              <w:pStyle w:val="TableParagraph"/>
              <w:numPr>
                <w:ilvl w:val="0"/>
                <w:numId w:val="66"/>
              </w:numPr>
              <w:tabs>
                <w:tab w:pos="812" w:val="left" w:leader="none"/>
                <w:tab w:pos="2660" w:val="left" w:leader="none"/>
              </w:tabs>
              <w:spacing w:line="240" w:lineRule="auto" w:before="0" w:after="0"/>
              <w:ind w:left="280" w:right="104" w:hanging="141"/>
              <w:jc w:val="both"/>
              <w:rPr>
                <w:sz w:val="20"/>
              </w:rPr>
            </w:pPr>
            <w:r>
              <w:rPr>
                <w:sz w:val="20"/>
              </w:rPr>
              <w:t>Creación</w:t>
              <w:tab/>
              <w:t>de infraestructura hidráulica para aprovechamiento del agua        con       </w:t>
            </w:r>
            <w:r>
              <w:rPr>
                <w:spacing w:val="20"/>
                <w:sz w:val="20"/>
              </w:rPr>
              <w:t> </w:t>
            </w:r>
            <w:r>
              <w:rPr>
                <w:sz w:val="20"/>
              </w:rPr>
              <w:t>protección</w:t>
            </w:r>
          </w:p>
        </w:tc>
        <w:tc>
          <w:tcPr>
            <w:tcW w:w="1481"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spacing w:before="11"/>
              <w:ind w:left="0"/>
              <w:rPr>
                <w:rFonts w:ascii="Times New Roman"/>
                <w:sz w:val="26"/>
              </w:rPr>
            </w:pPr>
          </w:p>
          <w:p>
            <w:pPr>
              <w:pStyle w:val="TableParagraph"/>
              <w:ind w:left="480"/>
              <w:rPr>
                <w:sz w:val="20"/>
              </w:rPr>
            </w:pPr>
            <w:r>
              <w:rPr>
                <w:sz w:val="20"/>
              </w:rPr>
              <w:t>100%</w:t>
            </w:r>
          </w:p>
        </w:tc>
        <w:tc>
          <w:tcPr>
            <w:tcW w:w="2497" w:type="dxa"/>
            <w:vMerge w:val="restart"/>
          </w:tcPr>
          <w:p>
            <w:pPr>
              <w:pStyle w:val="TableParagraph"/>
              <w:spacing w:line="242" w:lineRule="auto"/>
              <w:ind w:right="103"/>
              <w:jc w:val="both"/>
              <w:rPr>
                <w:sz w:val="20"/>
              </w:rPr>
            </w:pPr>
            <w:r>
              <w:rPr>
                <w:sz w:val="20"/>
              </w:rPr>
              <w:t>Debe reunir al </w:t>
            </w:r>
            <w:r>
              <w:rPr>
                <w:b/>
                <w:sz w:val="20"/>
              </w:rPr>
              <w:t>100% las tres </w:t>
            </w:r>
            <w:r>
              <w:rPr>
                <w:sz w:val="20"/>
              </w:rPr>
              <w:t>características de impacto positivo</w:t>
            </w:r>
          </w:p>
        </w:tc>
        <w:tc>
          <w:tcPr>
            <w:tcW w:w="1634" w:type="dxa"/>
            <w:vMerge w:val="restart"/>
            <w:tcBorders>
              <w:right w:val="double" w:sz="12" w:space="0" w:color="000000"/>
            </w:tcBorders>
            <w:shd w:val="clear" w:color="auto" w:fill="00FF00"/>
          </w:tcPr>
          <w:p>
            <w:pPr/>
          </w:p>
        </w:tc>
      </w:tr>
      <w:tr>
        <w:trPr>
          <w:trHeight w:val="596" w:hRule="exact"/>
        </w:trPr>
        <w:tc>
          <w:tcPr>
            <w:tcW w:w="957" w:type="dxa"/>
            <w:tcBorders>
              <w:left w:val="double" w:sz="11" w:space="0" w:color="000000"/>
            </w:tcBorders>
          </w:tcPr>
          <w:p>
            <w:pPr>
              <w:pStyle w:val="TableParagraph"/>
              <w:spacing w:before="175"/>
              <w:ind w:left="212" w:right="212"/>
              <w:jc w:val="center"/>
              <w:rPr>
                <w:sz w:val="20"/>
              </w:rPr>
            </w:pPr>
            <w:r>
              <w:rPr>
                <w:sz w:val="20"/>
              </w:rPr>
              <w:t>1785</w:t>
            </w:r>
          </w:p>
        </w:tc>
        <w:tc>
          <w:tcPr>
            <w:tcW w:w="1903" w:type="dxa"/>
            <w:vMerge/>
          </w:tcPr>
          <w:p>
            <w:pPr/>
          </w:p>
        </w:tc>
        <w:tc>
          <w:tcPr>
            <w:tcW w:w="1349" w:type="dxa"/>
            <w:vMerge/>
          </w:tcPr>
          <w:p>
            <w:pPr/>
          </w:p>
        </w:tc>
        <w:tc>
          <w:tcPr>
            <w:tcW w:w="3000" w:type="dxa"/>
            <w:vMerge/>
          </w:tcPr>
          <w:p>
            <w:pPr/>
          </w:p>
        </w:tc>
        <w:tc>
          <w:tcPr>
            <w:tcW w:w="1481" w:type="dxa"/>
            <w:vMerge/>
          </w:tcPr>
          <w:p>
            <w:pPr/>
          </w:p>
        </w:tc>
        <w:tc>
          <w:tcPr>
            <w:tcW w:w="2497" w:type="dxa"/>
            <w:vMerge/>
          </w:tcPr>
          <w:p>
            <w:pPr/>
          </w:p>
        </w:tc>
        <w:tc>
          <w:tcPr>
            <w:tcW w:w="1634" w:type="dxa"/>
            <w:vMerge/>
            <w:tcBorders>
              <w:right w:val="double" w:sz="12" w:space="0" w:color="000000"/>
            </w:tcBorders>
            <w:shd w:val="clear" w:color="auto" w:fill="00FF00"/>
          </w:tcPr>
          <w:p>
            <w:pPr/>
          </w:p>
        </w:tc>
      </w:tr>
      <w:tr>
        <w:trPr>
          <w:trHeight w:val="605" w:hRule="exact"/>
        </w:trPr>
        <w:tc>
          <w:tcPr>
            <w:tcW w:w="957" w:type="dxa"/>
            <w:tcBorders>
              <w:left w:val="double" w:sz="11" w:space="0" w:color="000000"/>
            </w:tcBorders>
          </w:tcPr>
          <w:p>
            <w:pPr>
              <w:pStyle w:val="TableParagraph"/>
              <w:spacing w:before="175"/>
              <w:ind w:left="212" w:right="212"/>
              <w:jc w:val="center"/>
              <w:rPr>
                <w:sz w:val="20"/>
              </w:rPr>
            </w:pPr>
            <w:r>
              <w:rPr>
                <w:sz w:val="20"/>
              </w:rPr>
              <w:t>1810</w:t>
            </w:r>
          </w:p>
        </w:tc>
        <w:tc>
          <w:tcPr>
            <w:tcW w:w="1903" w:type="dxa"/>
            <w:vMerge/>
          </w:tcPr>
          <w:p>
            <w:pPr/>
          </w:p>
        </w:tc>
        <w:tc>
          <w:tcPr>
            <w:tcW w:w="1349" w:type="dxa"/>
            <w:vMerge/>
          </w:tcPr>
          <w:p>
            <w:pPr/>
          </w:p>
        </w:tc>
        <w:tc>
          <w:tcPr>
            <w:tcW w:w="3000" w:type="dxa"/>
            <w:vMerge/>
          </w:tcPr>
          <w:p>
            <w:pPr/>
          </w:p>
        </w:tc>
        <w:tc>
          <w:tcPr>
            <w:tcW w:w="1481" w:type="dxa"/>
            <w:vMerge/>
          </w:tcPr>
          <w:p>
            <w:pPr/>
          </w:p>
        </w:tc>
        <w:tc>
          <w:tcPr>
            <w:tcW w:w="2497" w:type="dxa"/>
            <w:vMerge/>
          </w:tcPr>
          <w:p>
            <w:pPr/>
          </w:p>
        </w:tc>
        <w:tc>
          <w:tcPr>
            <w:tcW w:w="1634"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903"/>
        <w:gridCol w:w="1349"/>
        <w:gridCol w:w="3000"/>
        <w:gridCol w:w="1481"/>
        <w:gridCol w:w="2497"/>
        <w:gridCol w:w="1634"/>
      </w:tblGrid>
      <w:tr>
        <w:trPr>
          <w:trHeight w:val="1399" w:hRule="exact"/>
        </w:trPr>
        <w:tc>
          <w:tcPr>
            <w:tcW w:w="957"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123"/>
              <w:ind w:left="212" w:right="212"/>
              <w:jc w:val="center"/>
              <w:rPr>
                <w:sz w:val="20"/>
              </w:rPr>
            </w:pPr>
            <w:r>
              <w:rPr>
                <w:sz w:val="20"/>
              </w:rPr>
              <w:t>1861</w:t>
            </w:r>
          </w:p>
        </w:tc>
        <w:tc>
          <w:tcPr>
            <w:tcW w:w="1903"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20"/>
              </w:rPr>
            </w:pPr>
          </w:p>
          <w:p>
            <w:pPr>
              <w:pStyle w:val="TableParagraph"/>
              <w:ind w:left="0"/>
              <w:jc w:val="center"/>
              <w:rPr>
                <w:b/>
                <w:sz w:val="20"/>
              </w:rPr>
            </w:pPr>
            <w:r>
              <w:rPr>
                <w:b/>
                <w:w w:val="99"/>
                <w:sz w:val="20"/>
              </w:rPr>
              <w:t>1</w:t>
            </w:r>
          </w:p>
        </w:tc>
        <w:tc>
          <w:tcPr>
            <w:tcW w:w="1349" w:type="dxa"/>
          </w:tcPr>
          <w:p>
            <w:pPr/>
          </w:p>
        </w:tc>
        <w:tc>
          <w:tcPr>
            <w:tcW w:w="3000" w:type="dxa"/>
          </w:tcPr>
          <w:p>
            <w:pPr>
              <w:pStyle w:val="TableParagraph"/>
              <w:spacing w:before="7"/>
              <w:ind w:left="280" w:right="100"/>
              <w:rPr>
                <w:sz w:val="20"/>
              </w:rPr>
            </w:pPr>
            <w:r>
              <w:rPr>
                <w:sz w:val="20"/>
              </w:rPr>
              <w:t>ambiental.</w:t>
            </w:r>
          </w:p>
          <w:p>
            <w:pPr>
              <w:pStyle w:val="TableParagraph"/>
              <w:numPr>
                <w:ilvl w:val="0"/>
                <w:numId w:val="67"/>
              </w:numPr>
              <w:tabs>
                <w:tab w:pos="812" w:val="left" w:leader="none"/>
              </w:tabs>
              <w:spacing w:line="240" w:lineRule="auto" w:before="0" w:after="0"/>
              <w:ind w:left="280" w:right="105" w:hanging="141"/>
              <w:jc w:val="both"/>
              <w:rPr>
                <w:sz w:val="20"/>
              </w:rPr>
            </w:pPr>
            <w:r>
              <w:rPr>
                <w:sz w:val="20"/>
              </w:rPr>
              <w:t>Existe control de la contaminación.</w:t>
            </w:r>
          </w:p>
          <w:p>
            <w:pPr>
              <w:pStyle w:val="TableParagraph"/>
              <w:numPr>
                <w:ilvl w:val="0"/>
                <w:numId w:val="67"/>
              </w:numPr>
              <w:tabs>
                <w:tab w:pos="812" w:val="left" w:leader="none"/>
              </w:tabs>
              <w:spacing w:line="240" w:lineRule="auto" w:before="0" w:after="0"/>
              <w:ind w:left="280" w:right="104" w:hanging="141"/>
              <w:jc w:val="both"/>
              <w:rPr>
                <w:sz w:val="20"/>
              </w:rPr>
            </w:pPr>
            <w:r>
              <w:rPr>
                <w:sz w:val="20"/>
              </w:rPr>
              <w:t>Existe planeación ambiental con articulación entre</w:t>
            </w:r>
            <w:r>
              <w:rPr>
                <w:spacing w:val="-5"/>
                <w:sz w:val="20"/>
              </w:rPr>
              <w:t> </w:t>
            </w:r>
            <w:r>
              <w:rPr>
                <w:sz w:val="20"/>
              </w:rPr>
              <w:t>actores</w:t>
            </w:r>
          </w:p>
        </w:tc>
        <w:tc>
          <w:tcPr>
            <w:tcW w:w="1481" w:type="dxa"/>
          </w:tcPr>
          <w:p>
            <w:pPr/>
          </w:p>
        </w:tc>
        <w:tc>
          <w:tcPr>
            <w:tcW w:w="2497" w:type="dxa"/>
            <w:vMerge w:val="restart"/>
          </w:tcPr>
          <w:p>
            <w:pPr/>
          </w:p>
        </w:tc>
        <w:tc>
          <w:tcPr>
            <w:tcW w:w="1634" w:type="dxa"/>
            <w:vMerge w:val="restart"/>
            <w:tcBorders>
              <w:right w:val="double" w:sz="12" w:space="0" w:color="000000"/>
            </w:tcBorders>
            <w:shd w:val="clear" w:color="auto" w:fill="00FF00"/>
          </w:tcPr>
          <w:p>
            <w:pPr>
              <w:pStyle w:val="TableParagraph"/>
              <w:spacing w:before="4"/>
              <w:ind w:left="326"/>
              <w:rPr>
                <w:b/>
                <w:sz w:val="20"/>
              </w:rPr>
            </w:pPr>
            <w:r>
              <w:rPr>
                <w:b/>
                <w:sz w:val="20"/>
              </w:rPr>
              <w:t>Excelente</w:t>
            </w:r>
          </w:p>
        </w:tc>
      </w:tr>
      <w:tr>
        <w:trPr>
          <w:trHeight w:val="2770" w:hRule="exact"/>
        </w:trPr>
        <w:tc>
          <w:tcPr>
            <w:tcW w:w="957"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9"/>
              </w:rPr>
            </w:pPr>
          </w:p>
          <w:p>
            <w:pPr>
              <w:pStyle w:val="TableParagraph"/>
              <w:ind w:left="212" w:right="212"/>
              <w:jc w:val="center"/>
              <w:rPr>
                <w:sz w:val="20"/>
              </w:rPr>
            </w:pPr>
            <w:r>
              <w:rPr>
                <w:sz w:val="20"/>
              </w:rPr>
              <w:t>1910</w:t>
            </w:r>
          </w:p>
        </w:tc>
        <w:tc>
          <w:tcPr>
            <w:tcW w:w="1903" w:type="dxa"/>
            <w:vMerge/>
          </w:tcPr>
          <w:p>
            <w:pPr/>
          </w:p>
        </w:tc>
        <w:tc>
          <w:tcPr>
            <w:tcW w:w="1349" w:type="dxa"/>
          </w:tcPr>
          <w:p>
            <w:pPr>
              <w:pStyle w:val="TableParagraph"/>
              <w:spacing w:line="227" w:lineRule="exact"/>
              <w:ind w:left="100"/>
              <w:rPr>
                <w:sz w:val="20"/>
              </w:rPr>
            </w:pPr>
            <w:r>
              <w:rPr>
                <w:sz w:val="20"/>
              </w:rPr>
              <w:t>Económico</w:t>
            </w:r>
          </w:p>
        </w:tc>
        <w:tc>
          <w:tcPr>
            <w:tcW w:w="3000" w:type="dxa"/>
          </w:tcPr>
          <w:p>
            <w:pPr>
              <w:pStyle w:val="TableParagraph"/>
              <w:numPr>
                <w:ilvl w:val="0"/>
                <w:numId w:val="68"/>
              </w:numPr>
              <w:tabs>
                <w:tab w:pos="812" w:val="left" w:leader="none"/>
                <w:tab w:pos="2727" w:val="left" w:leader="none"/>
              </w:tabs>
              <w:spacing w:line="240" w:lineRule="auto" w:before="0" w:after="0"/>
              <w:ind w:left="280" w:right="102" w:hanging="141"/>
              <w:jc w:val="both"/>
              <w:rPr>
                <w:sz w:val="20"/>
              </w:rPr>
            </w:pPr>
            <w:r>
              <w:rPr>
                <w:sz w:val="20"/>
              </w:rPr>
              <w:t>Favorece</w:t>
              <w:tab/>
              <w:t>la producción agrícola y ganadera</w:t>
            </w:r>
          </w:p>
          <w:p>
            <w:pPr>
              <w:pStyle w:val="TableParagraph"/>
              <w:numPr>
                <w:ilvl w:val="0"/>
                <w:numId w:val="68"/>
              </w:numPr>
              <w:tabs>
                <w:tab w:pos="812" w:val="left" w:leader="none"/>
                <w:tab w:pos="2727" w:val="left" w:leader="none"/>
              </w:tabs>
              <w:spacing w:line="240" w:lineRule="auto" w:before="1" w:after="0"/>
              <w:ind w:left="280" w:right="104" w:hanging="141"/>
              <w:jc w:val="both"/>
              <w:rPr>
                <w:sz w:val="20"/>
              </w:rPr>
            </w:pPr>
            <w:r>
              <w:rPr>
                <w:sz w:val="20"/>
              </w:rPr>
              <w:t>Favorece</w:t>
              <w:tab/>
              <w:t>la distribución de la tierra entre sus</w:t>
            </w:r>
            <w:r>
              <w:rPr>
                <w:spacing w:val="-5"/>
                <w:sz w:val="20"/>
              </w:rPr>
              <w:t> </w:t>
            </w:r>
            <w:r>
              <w:rPr>
                <w:sz w:val="20"/>
              </w:rPr>
              <w:t>pobladores</w:t>
            </w:r>
          </w:p>
          <w:p>
            <w:pPr>
              <w:pStyle w:val="TableParagraph"/>
              <w:numPr>
                <w:ilvl w:val="0"/>
                <w:numId w:val="68"/>
              </w:numPr>
              <w:tabs>
                <w:tab w:pos="811" w:val="left" w:leader="none"/>
                <w:tab w:pos="812" w:val="left" w:leader="none"/>
                <w:tab w:pos="2660" w:val="left" w:leader="none"/>
              </w:tabs>
              <w:spacing w:line="240" w:lineRule="auto" w:before="0" w:after="0"/>
              <w:ind w:left="811" w:right="0" w:hanging="672"/>
              <w:jc w:val="left"/>
              <w:rPr>
                <w:sz w:val="20"/>
              </w:rPr>
            </w:pPr>
            <w:r>
              <w:rPr>
                <w:sz w:val="20"/>
              </w:rPr>
              <w:t>Asignación</w:t>
              <w:tab/>
              <w:t>de</w:t>
            </w:r>
          </w:p>
          <w:p>
            <w:pPr>
              <w:pStyle w:val="TableParagraph"/>
              <w:tabs>
                <w:tab w:pos="1599" w:val="left" w:leader="none"/>
                <w:tab w:pos="2372" w:val="left" w:leader="none"/>
              </w:tabs>
              <w:ind w:left="280" w:right="100"/>
              <w:rPr>
                <w:sz w:val="20"/>
              </w:rPr>
            </w:pPr>
            <w:r>
              <w:rPr>
                <w:sz w:val="20"/>
              </w:rPr>
              <w:t>recursos</w:t>
              <w:tab/>
              <w:t>en</w:t>
              <w:tab/>
              <w:t>forma democrática y</w:t>
            </w:r>
            <w:r>
              <w:rPr>
                <w:spacing w:val="-8"/>
                <w:sz w:val="20"/>
              </w:rPr>
              <w:t> </w:t>
            </w:r>
            <w:r>
              <w:rPr>
                <w:sz w:val="20"/>
              </w:rPr>
              <w:t>equitativa</w:t>
            </w:r>
          </w:p>
          <w:p>
            <w:pPr>
              <w:pStyle w:val="TableParagraph"/>
              <w:numPr>
                <w:ilvl w:val="0"/>
                <w:numId w:val="68"/>
              </w:numPr>
              <w:tabs>
                <w:tab w:pos="812" w:val="left" w:leader="none"/>
              </w:tabs>
              <w:spacing w:line="240" w:lineRule="auto" w:before="0" w:after="0"/>
              <w:ind w:left="280" w:right="104" w:hanging="141"/>
              <w:jc w:val="both"/>
              <w:rPr>
                <w:sz w:val="20"/>
              </w:rPr>
            </w:pPr>
            <w:r>
              <w:rPr>
                <w:sz w:val="20"/>
              </w:rPr>
              <w:t>Existe planeación económica con articulación entre</w:t>
            </w:r>
            <w:r>
              <w:rPr>
                <w:spacing w:val="-5"/>
                <w:sz w:val="20"/>
              </w:rPr>
              <w:t> </w:t>
            </w:r>
            <w:r>
              <w:rPr>
                <w:sz w:val="20"/>
              </w:rPr>
              <w:t>actores</w:t>
            </w:r>
          </w:p>
        </w:tc>
        <w:tc>
          <w:tcPr>
            <w:tcW w:w="1481" w:type="dxa"/>
            <w:vMerge w:val="restart"/>
          </w:tcPr>
          <w:p>
            <w:pPr/>
          </w:p>
        </w:tc>
        <w:tc>
          <w:tcPr>
            <w:tcW w:w="2497" w:type="dxa"/>
            <w:vMerge/>
          </w:tcPr>
          <w:p>
            <w:pPr/>
          </w:p>
        </w:tc>
        <w:tc>
          <w:tcPr>
            <w:tcW w:w="1634" w:type="dxa"/>
            <w:vMerge/>
            <w:tcBorders>
              <w:right w:val="double" w:sz="12" w:space="0" w:color="000000"/>
            </w:tcBorders>
            <w:shd w:val="clear" w:color="auto" w:fill="00FF00"/>
          </w:tcPr>
          <w:p>
            <w:pPr/>
          </w:p>
        </w:tc>
      </w:tr>
      <w:tr>
        <w:trPr>
          <w:trHeight w:val="3462" w:hRule="exact"/>
        </w:trPr>
        <w:tc>
          <w:tcPr>
            <w:tcW w:w="957"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19"/>
              </w:rPr>
            </w:pPr>
          </w:p>
          <w:p>
            <w:pPr>
              <w:pStyle w:val="TableParagraph"/>
              <w:ind w:left="212" w:right="212"/>
              <w:jc w:val="center"/>
              <w:rPr>
                <w:sz w:val="20"/>
              </w:rPr>
            </w:pPr>
            <w:r>
              <w:rPr>
                <w:sz w:val="20"/>
              </w:rPr>
              <w:t>1940</w:t>
            </w:r>
          </w:p>
        </w:tc>
        <w:tc>
          <w:tcPr>
            <w:tcW w:w="1903" w:type="dxa"/>
            <w:vMerge/>
          </w:tcPr>
          <w:p>
            <w:pPr/>
          </w:p>
        </w:tc>
        <w:tc>
          <w:tcPr>
            <w:tcW w:w="1349" w:type="dxa"/>
          </w:tcPr>
          <w:p>
            <w:pPr>
              <w:pStyle w:val="TableParagraph"/>
              <w:spacing w:line="227" w:lineRule="exact"/>
              <w:ind w:left="100"/>
              <w:rPr>
                <w:sz w:val="20"/>
              </w:rPr>
            </w:pPr>
            <w:r>
              <w:rPr>
                <w:sz w:val="20"/>
              </w:rPr>
              <w:t>Sociopolítico</w:t>
            </w:r>
          </w:p>
        </w:tc>
        <w:tc>
          <w:tcPr>
            <w:tcW w:w="3000" w:type="dxa"/>
          </w:tcPr>
          <w:p>
            <w:pPr>
              <w:pStyle w:val="TableParagraph"/>
              <w:ind w:left="280" w:right="105" w:hanging="178"/>
              <w:jc w:val="both"/>
              <w:rPr>
                <w:sz w:val="20"/>
              </w:rPr>
            </w:pPr>
            <w:r>
              <w:rPr>
                <w:rFonts w:ascii="Wingdings" w:hAnsi="Wingdings"/>
                <w:sz w:val="20"/>
              </w:rPr>
              <w:t></w:t>
            </w:r>
            <w:r>
              <w:rPr>
                <w:sz w:val="20"/>
              </w:rPr>
              <w:t>Favorece la resolución de conflictos internos y externos entre actores</w:t>
            </w:r>
          </w:p>
          <w:p>
            <w:pPr>
              <w:pStyle w:val="TableParagraph"/>
              <w:tabs>
                <w:tab w:pos="1782" w:val="left" w:leader="none"/>
                <w:tab w:pos="2561" w:val="left" w:leader="none"/>
              </w:tabs>
              <w:ind w:left="280" w:right="104" w:hanging="178"/>
              <w:jc w:val="both"/>
              <w:rPr>
                <w:sz w:val="20"/>
              </w:rPr>
            </w:pPr>
            <w:r>
              <w:rPr>
                <w:rFonts w:ascii="Wingdings" w:hAnsi="Wingdings"/>
                <w:sz w:val="20"/>
              </w:rPr>
              <w:t></w:t>
            </w:r>
            <w:r>
              <w:rPr>
                <w:sz w:val="20"/>
              </w:rPr>
              <w:t>Fortalece</w:t>
              <w:tab/>
              <w:t>instituciones sociopolíticas</w:t>
              <w:tab/>
              <w:tab/>
              <w:t>con democracia</w:t>
            </w:r>
          </w:p>
          <w:p>
            <w:pPr>
              <w:pStyle w:val="TableParagraph"/>
              <w:ind w:left="280" w:right="104" w:hanging="178"/>
              <w:jc w:val="both"/>
              <w:rPr>
                <w:sz w:val="20"/>
              </w:rPr>
            </w:pPr>
            <w:r>
              <w:rPr>
                <w:rFonts w:ascii="Wingdings" w:hAnsi="Wingdings"/>
                <w:sz w:val="20"/>
              </w:rPr>
              <w:t></w:t>
            </w:r>
            <w:r>
              <w:rPr>
                <w:sz w:val="20"/>
              </w:rPr>
              <w:t>Favorece la  articulación entre actores</w:t>
            </w:r>
          </w:p>
          <w:p>
            <w:pPr>
              <w:pStyle w:val="TableParagraph"/>
              <w:ind w:right="100"/>
              <w:rPr>
                <w:sz w:val="20"/>
              </w:rPr>
            </w:pPr>
            <w:r>
              <w:rPr>
                <w:rFonts w:ascii="Wingdings" w:hAnsi="Wingdings"/>
                <w:sz w:val="20"/>
              </w:rPr>
              <w:t></w:t>
            </w:r>
            <w:r>
              <w:rPr>
                <w:sz w:val="20"/>
              </w:rPr>
              <w:t>Favorece la GIRH</w:t>
            </w:r>
          </w:p>
          <w:p>
            <w:pPr>
              <w:pStyle w:val="TableParagraph"/>
              <w:ind w:right="100"/>
              <w:rPr>
                <w:sz w:val="20"/>
              </w:rPr>
            </w:pPr>
            <w:r>
              <w:rPr>
                <w:rFonts w:ascii="Wingdings" w:hAnsi="Wingdings"/>
                <w:sz w:val="20"/>
              </w:rPr>
              <w:t></w:t>
            </w:r>
            <w:r>
              <w:rPr>
                <w:sz w:val="20"/>
              </w:rPr>
              <w:t>Favorece la gobernanza</w:t>
            </w:r>
          </w:p>
          <w:p>
            <w:pPr>
              <w:pStyle w:val="TableParagraph"/>
              <w:spacing w:line="229" w:lineRule="exact"/>
              <w:ind w:right="100"/>
              <w:rPr>
                <w:sz w:val="20"/>
              </w:rPr>
            </w:pPr>
            <w:r>
              <w:rPr>
                <w:rFonts w:ascii="Wingdings" w:hAnsi="Wingdings"/>
                <w:sz w:val="20"/>
              </w:rPr>
              <w:t></w:t>
            </w:r>
            <w:r>
              <w:rPr>
                <w:sz w:val="20"/>
              </w:rPr>
              <w:t>Fortalece la gobernabilidad</w:t>
            </w:r>
          </w:p>
          <w:p>
            <w:pPr>
              <w:pStyle w:val="TableParagraph"/>
              <w:spacing w:line="229" w:lineRule="exact"/>
              <w:ind w:right="100"/>
              <w:rPr>
                <w:sz w:val="20"/>
              </w:rPr>
            </w:pPr>
            <w:r>
              <w:rPr>
                <w:rFonts w:ascii="Wingdings" w:hAnsi="Wingdings"/>
                <w:sz w:val="20"/>
              </w:rPr>
              <w:t></w:t>
            </w:r>
            <w:r>
              <w:rPr>
                <w:rFonts w:ascii="Times New Roman" w:hAnsi="Times New Roman"/>
                <w:sz w:val="20"/>
              </w:rPr>
              <w:t> </w:t>
            </w:r>
            <w:r>
              <w:rPr>
                <w:sz w:val="20"/>
              </w:rPr>
              <w:t>Regula el poder</w:t>
            </w:r>
          </w:p>
          <w:p>
            <w:pPr>
              <w:pStyle w:val="TableParagraph"/>
              <w:tabs>
                <w:tab w:pos="1916"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81" w:type="dxa"/>
            <w:vMerge/>
          </w:tcPr>
          <w:p>
            <w:pPr/>
          </w:p>
        </w:tc>
        <w:tc>
          <w:tcPr>
            <w:tcW w:w="2497" w:type="dxa"/>
            <w:vMerge/>
          </w:tcPr>
          <w:p>
            <w:pPr/>
          </w:p>
        </w:tc>
        <w:tc>
          <w:tcPr>
            <w:tcW w:w="1634" w:type="dxa"/>
            <w:vMerge/>
            <w:tcBorders>
              <w:right w:val="double" w:sz="12" w:space="0" w:color="000000"/>
            </w:tcBorders>
            <w:shd w:val="clear" w:color="auto" w:fill="00FF00"/>
          </w:tcPr>
          <w:p>
            <w:pPr/>
          </w:p>
        </w:tc>
      </w:tr>
      <w:tr>
        <w:trPr>
          <w:trHeight w:val="1159" w:hRule="exact"/>
        </w:trPr>
        <w:tc>
          <w:tcPr>
            <w:tcW w:w="957" w:type="dxa"/>
            <w:tcBorders>
              <w:left w:val="double" w:sz="11" w:space="0" w:color="000000"/>
              <w:bottom w:val="single" w:sz="8" w:space="0" w:color="000000"/>
            </w:tcBorders>
          </w:tcPr>
          <w:p>
            <w:pPr>
              <w:pStyle w:val="TableParagraph"/>
              <w:ind w:left="0"/>
              <w:rPr>
                <w:rFonts w:ascii="Times New Roman"/>
                <w:sz w:val="20"/>
              </w:rPr>
            </w:pPr>
          </w:p>
          <w:p>
            <w:pPr>
              <w:pStyle w:val="TableParagraph"/>
              <w:spacing w:before="7"/>
              <w:ind w:left="0"/>
              <w:rPr>
                <w:rFonts w:ascii="Times New Roman"/>
                <w:sz w:val="19"/>
              </w:rPr>
            </w:pPr>
          </w:p>
          <w:p>
            <w:pPr>
              <w:pStyle w:val="TableParagraph"/>
              <w:ind w:left="212" w:right="212"/>
              <w:jc w:val="center"/>
              <w:rPr>
                <w:sz w:val="20"/>
              </w:rPr>
            </w:pPr>
            <w:r>
              <w:rPr>
                <w:sz w:val="20"/>
              </w:rPr>
              <w:t>1519</w:t>
            </w:r>
          </w:p>
        </w:tc>
        <w:tc>
          <w:tcPr>
            <w:tcW w:w="1903" w:type="dxa"/>
            <w:tcBorders>
              <w:bottom w:val="single" w:sz="8" w:space="0" w:color="000000"/>
            </w:tcBorders>
          </w:tcPr>
          <w:p>
            <w:pPr/>
          </w:p>
        </w:tc>
        <w:tc>
          <w:tcPr>
            <w:tcW w:w="1349" w:type="dxa"/>
            <w:tcBorders>
              <w:bottom w:val="single" w:sz="8" w:space="0" w:color="000000"/>
            </w:tcBorders>
          </w:tcPr>
          <w:p>
            <w:pPr>
              <w:pStyle w:val="TableParagraph"/>
              <w:spacing w:line="227" w:lineRule="exact"/>
              <w:ind w:left="100"/>
              <w:rPr>
                <w:sz w:val="20"/>
              </w:rPr>
            </w:pPr>
            <w:r>
              <w:rPr>
                <w:sz w:val="20"/>
              </w:rPr>
              <w:t>Ambiental</w:t>
            </w:r>
          </w:p>
        </w:tc>
        <w:tc>
          <w:tcPr>
            <w:tcW w:w="3000" w:type="dxa"/>
            <w:tcBorders>
              <w:bottom w:val="single" w:sz="8" w:space="0" w:color="000000"/>
            </w:tcBorders>
          </w:tcPr>
          <w:p>
            <w:pPr>
              <w:pStyle w:val="TableParagraph"/>
              <w:numPr>
                <w:ilvl w:val="0"/>
                <w:numId w:val="69"/>
              </w:numPr>
              <w:tabs>
                <w:tab w:pos="812" w:val="left" w:leader="none"/>
                <w:tab w:pos="2660" w:val="left" w:leader="none"/>
              </w:tabs>
              <w:spacing w:line="240" w:lineRule="auto" w:before="0" w:after="0"/>
              <w:ind w:left="280" w:right="104" w:hanging="141"/>
              <w:jc w:val="both"/>
              <w:rPr>
                <w:sz w:val="20"/>
              </w:rPr>
            </w:pPr>
            <w:r>
              <w:rPr>
                <w:sz w:val="20"/>
              </w:rPr>
              <w:t>Creación</w:t>
              <w:tab/>
              <w:t>de infraestructura hidráulica para aprovechamiento del agua con protección ambiental</w:t>
            </w:r>
          </w:p>
        </w:tc>
        <w:tc>
          <w:tcPr>
            <w:tcW w:w="1481" w:type="dxa"/>
            <w:tcBorders>
              <w:bottom w:val="single" w:sz="8" w:space="0" w:color="000000"/>
            </w:tcBorders>
          </w:tcPr>
          <w:p>
            <w:pPr/>
          </w:p>
        </w:tc>
        <w:tc>
          <w:tcPr>
            <w:tcW w:w="2497" w:type="dxa"/>
            <w:tcBorders>
              <w:bottom w:val="single" w:sz="8" w:space="0" w:color="000000"/>
            </w:tcBorders>
          </w:tcPr>
          <w:p>
            <w:pPr>
              <w:pStyle w:val="TableParagraph"/>
              <w:tabs>
                <w:tab w:pos="2158" w:val="left" w:leader="none"/>
              </w:tabs>
              <w:ind w:right="104"/>
              <w:jc w:val="both"/>
              <w:rPr>
                <w:sz w:val="20"/>
              </w:rPr>
            </w:pPr>
            <w:r>
              <w:rPr>
                <w:sz w:val="20"/>
              </w:rPr>
              <w:t>Debe reunir </w:t>
            </w:r>
            <w:r>
              <w:rPr>
                <w:b/>
                <w:sz w:val="20"/>
              </w:rPr>
              <w:t>al menos el 75% </w:t>
            </w:r>
            <w:r>
              <w:rPr>
                <w:sz w:val="20"/>
              </w:rPr>
              <w:t>dos de tres características</w:t>
              <w:tab/>
              <w:t>de impacto</w:t>
            </w:r>
            <w:r>
              <w:rPr>
                <w:spacing w:val="-3"/>
                <w:sz w:val="20"/>
              </w:rPr>
              <w:t> </w:t>
            </w:r>
            <w:r>
              <w:rPr>
                <w:sz w:val="20"/>
              </w:rPr>
              <w:t>positivo</w:t>
            </w:r>
          </w:p>
        </w:tc>
        <w:tc>
          <w:tcPr>
            <w:tcW w:w="1634" w:type="dxa"/>
            <w:tcBorders>
              <w:bottom w:val="single" w:sz="8" w:space="0" w:color="000000"/>
              <w:right w:val="double" w:sz="12" w:space="0" w:color="000000"/>
            </w:tcBorders>
          </w:tcPr>
          <w:p>
            <w:pPr>
              <w:pStyle w:val="TableParagraph"/>
              <w:ind w:left="0" w:right="-50"/>
              <w:rPr>
                <w:rFonts w:ascii="Times New Roman"/>
                <w:sz w:val="20"/>
              </w:rPr>
            </w:pPr>
            <w:r>
              <w:rPr>
                <w:rFonts w:ascii="Times New Roman"/>
                <w:sz w:val="20"/>
              </w:rPr>
              <w:pict>
                <v:group style="width:79.350pt;height:57.5pt;mso-position-horizontal-relative:char;mso-position-vertical-relative:line" coordorigin="0,0" coordsize="1587,1150">
                  <v:shape style="position:absolute;left:0;top:0;width:1586;height:1150" type="#_x0000_t75" stroked="false">
                    <v:imagedata r:id="rId273" o:title=""/>
                  </v:shape>
                  <v:shape style="position:absolute;left:103;top:0;width:1380;height:230" type="#_x0000_t75" stroked="false">
                    <v:imagedata r:id="rId274" o:title=""/>
                  </v:shape>
                  <v:shape style="position:absolute;left:103;top:230;width:1380;height:228" type="#_x0000_t75" stroked="false">
                    <v:imagedata r:id="rId275" o:title=""/>
                  </v:shape>
                  <v:shape style="position:absolute;left:103;top:458;width:1380;height:230" type="#_x0000_t75" stroked="false">
                    <v:imagedata r:id="rId276" o:title=""/>
                  </v:shape>
                  <v:shape style="position:absolute;left:103;top:689;width:1380;height:230" type="#_x0000_t75" stroked="false">
                    <v:imagedata r:id="rId277" o:title=""/>
                  </v:shape>
                  <v:shape style="position:absolute;left:103;top:919;width:1380;height:230" type="#_x0000_t75" stroked="false">
                    <v:imagedata r:id="rId278" o:title=""/>
                  </v:shape>
                </v:group>
              </w:pict>
            </w:r>
            <w:r>
              <w:rPr>
                <w:rFonts w:ascii="Times New Roman"/>
                <w:sz w:val="20"/>
              </w:rPr>
            </w:r>
          </w:p>
        </w:tc>
      </w:tr>
    </w:tbl>
    <w:p>
      <w:pPr>
        <w:spacing w:after="0"/>
        <w:rPr>
          <w:rFonts w:ascii="Times New Roman"/>
          <w:sz w:val="20"/>
        </w:rPr>
        <w:sectPr>
          <w:pgSz w:w="15840" w:h="12240" w:orient="landscape"/>
          <w:pgMar w:header="0" w:footer="943" w:top="1140" w:bottom="1140" w:left="1200" w:right="1300"/>
        </w:sectPr>
      </w:pPr>
    </w:p>
    <w:p>
      <w:pPr>
        <w:pStyle w:val="BodyText"/>
        <w:rPr>
          <w:rFonts w:ascii="Times New Roman"/>
          <w:sz w:val="20"/>
        </w:rPr>
      </w:pPr>
      <w:r>
        <w:rPr/>
        <w:pict>
          <v:group style="position:absolute;margin-left:626.979980pt;margin-top:86.059998pt;width:79.350pt;height:403.55pt;mso-position-horizontal-relative:page;mso-position-vertical-relative:page;z-index:-3331264" coordorigin="12540,1721" coordsize="1587,8071">
            <v:shape style="position:absolute;left:12540;top:1721;width:1586;height:8070" type="#_x0000_t75" stroked="false">
              <v:imagedata r:id="rId279" o:title=""/>
            </v:shape>
            <v:shape style="position:absolute;left:12643;top:1721;width:1380;height:230" type="#_x0000_t75" stroked="false">
              <v:imagedata r:id="rId280" o:title=""/>
            </v:shape>
            <v:shape style="position:absolute;left:12643;top:1952;width:1380;height:230" type="#_x0000_t75" stroked="false">
              <v:imagedata r:id="rId281" o:title=""/>
            </v:shape>
            <v:shape style="position:absolute;left:12643;top:2182;width:1380;height:230" type="#_x0000_t75" stroked="false">
              <v:imagedata r:id="rId282" o:title=""/>
            </v:shape>
            <v:shape style="position:absolute;left:12643;top:2412;width:1380;height:228" type="#_x0000_t75" stroked="false">
              <v:imagedata r:id="rId283"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903"/>
        <w:gridCol w:w="1349"/>
        <w:gridCol w:w="3000"/>
        <w:gridCol w:w="1481"/>
        <w:gridCol w:w="2497"/>
        <w:gridCol w:w="1634"/>
      </w:tblGrid>
      <w:tr>
        <w:trPr>
          <w:trHeight w:val="1169" w:hRule="exact"/>
        </w:trPr>
        <w:tc>
          <w:tcPr>
            <w:tcW w:w="957" w:type="dxa"/>
            <w:tcBorders>
              <w:left w:val="double" w:sz="11" w:space="0" w:color="000000"/>
            </w:tcBorders>
          </w:tcPr>
          <w:p>
            <w:pPr/>
          </w:p>
        </w:tc>
        <w:tc>
          <w:tcPr>
            <w:tcW w:w="1903"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3"/>
              <w:ind w:left="0"/>
              <w:rPr>
                <w:rFonts w:ascii="Times New Roman"/>
                <w:sz w:val="20"/>
              </w:rPr>
            </w:pPr>
          </w:p>
          <w:p>
            <w:pPr>
              <w:pStyle w:val="TableParagraph"/>
              <w:ind w:left="0"/>
              <w:jc w:val="center"/>
              <w:rPr>
                <w:b/>
                <w:sz w:val="20"/>
              </w:rPr>
            </w:pPr>
            <w:r>
              <w:rPr>
                <w:b/>
                <w:w w:val="99"/>
                <w:sz w:val="20"/>
              </w:rPr>
              <w:t>1</w:t>
            </w:r>
          </w:p>
        </w:tc>
        <w:tc>
          <w:tcPr>
            <w:tcW w:w="1349" w:type="dxa"/>
          </w:tcPr>
          <w:p>
            <w:pPr/>
          </w:p>
        </w:tc>
        <w:tc>
          <w:tcPr>
            <w:tcW w:w="3000" w:type="dxa"/>
          </w:tcPr>
          <w:p>
            <w:pPr>
              <w:pStyle w:val="TableParagraph"/>
              <w:numPr>
                <w:ilvl w:val="0"/>
                <w:numId w:val="70"/>
              </w:numPr>
              <w:tabs>
                <w:tab w:pos="812" w:val="left" w:leader="none"/>
              </w:tabs>
              <w:spacing w:line="240" w:lineRule="auto" w:before="7" w:after="0"/>
              <w:ind w:left="280" w:right="105" w:hanging="141"/>
              <w:jc w:val="both"/>
              <w:rPr>
                <w:sz w:val="20"/>
              </w:rPr>
            </w:pPr>
            <w:r>
              <w:rPr>
                <w:sz w:val="20"/>
              </w:rPr>
              <w:t>Existe control de la contaminación</w:t>
            </w:r>
          </w:p>
          <w:p>
            <w:pPr>
              <w:pStyle w:val="TableParagraph"/>
              <w:numPr>
                <w:ilvl w:val="0"/>
                <w:numId w:val="70"/>
              </w:numPr>
              <w:tabs>
                <w:tab w:pos="812" w:val="left" w:leader="none"/>
              </w:tabs>
              <w:spacing w:line="240" w:lineRule="auto" w:before="0" w:after="0"/>
              <w:ind w:left="280" w:right="104" w:hanging="141"/>
              <w:jc w:val="both"/>
              <w:rPr>
                <w:sz w:val="20"/>
              </w:rPr>
            </w:pPr>
            <w:r>
              <w:rPr>
                <w:sz w:val="20"/>
              </w:rPr>
              <w:t>Existe planeación ambiental con articulación entre</w:t>
            </w:r>
            <w:r>
              <w:rPr>
                <w:spacing w:val="-5"/>
                <w:sz w:val="20"/>
              </w:rPr>
              <w:t> </w:t>
            </w:r>
            <w:r>
              <w:rPr>
                <w:sz w:val="20"/>
              </w:rPr>
              <w:t>actores</w:t>
            </w:r>
          </w:p>
        </w:tc>
        <w:tc>
          <w:tcPr>
            <w:tcW w:w="1481"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515" w:right="515"/>
              <w:jc w:val="center"/>
              <w:rPr>
                <w:sz w:val="20"/>
              </w:rPr>
            </w:pPr>
            <w:r>
              <w:rPr>
                <w:sz w:val="20"/>
              </w:rPr>
              <w:t>75%</w:t>
            </w:r>
          </w:p>
        </w:tc>
        <w:tc>
          <w:tcPr>
            <w:tcW w:w="2497" w:type="dxa"/>
            <w:vMerge w:val="restart"/>
          </w:tcPr>
          <w:p>
            <w:pPr/>
          </w:p>
        </w:tc>
        <w:tc>
          <w:tcPr>
            <w:tcW w:w="1634"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482"/>
              <w:rPr>
                <w:b/>
                <w:sz w:val="20"/>
              </w:rPr>
            </w:pPr>
            <w:r>
              <w:rPr>
                <w:b/>
                <w:sz w:val="20"/>
              </w:rPr>
              <w:t>Bueno</w:t>
            </w:r>
          </w:p>
        </w:tc>
      </w:tr>
      <w:tr>
        <w:trPr>
          <w:trHeight w:val="2770" w:hRule="exact"/>
        </w:trPr>
        <w:tc>
          <w:tcPr>
            <w:tcW w:w="957"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19"/>
              <w:ind w:left="232"/>
              <w:rPr>
                <w:sz w:val="20"/>
              </w:rPr>
            </w:pPr>
            <w:r>
              <w:rPr>
                <w:sz w:val="20"/>
              </w:rPr>
              <w:t>1580</w:t>
            </w:r>
          </w:p>
        </w:tc>
        <w:tc>
          <w:tcPr>
            <w:tcW w:w="1903" w:type="dxa"/>
            <w:vMerge/>
          </w:tcPr>
          <w:p>
            <w:pPr/>
          </w:p>
        </w:tc>
        <w:tc>
          <w:tcPr>
            <w:tcW w:w="1349" w:type="dxa"/>
          </w:tcPr>
          <w:p>
            <w:pPr>
              <w:pStyle w:val="TableParagraph"/>
              <w:spacing w:line="227" w:lineRule="exact"/>
              <w:ind w:left="100"/>
              <w:rPr>
                <w:sz w:val="20"/>
              </w:rPr>
            </w:pPr>
            <w:r>
              <w:rPr>
                <w:sz w:val="20"/>
              </w:rPr>
              <w:t>Económico</w:t>
            </w:r>
          </w:p>
        </w:tc>
        <w:tc>
          <w:tcPr>
            <w:tcW w:w="3000" w:type="dxa"/>
          </w:tcPr>
          <w:p>
            <w:pPr>
              <w:pStyle w:val="TableParagraph"/>
              <w:numPr>
                <w:ilvl w:val="0"/>
                <w:numId w:val="71"/>
              </w:numPr>
              <w:tabs>
                <w:tab w:pos="812" w:val="left" w:leader="none"/>
                <w:tab w:pos="2727" w:val="left" w:leader="none"/>
              </w:tabs>
              <w:spacing w:line="240" w:lineRule="auto" w:before="0" w:after="0"/>
              <w:ind w:left="280" w:right="102" w:hanging="141"/>
              <w:jc w:val="both"/>
              <w:rPr>
                <w:sz w:val="20"/>
              </w:rPr>
            </w:pPr>
            <w:r>
              <w:rPr>
                <w:sz w:val="20"/>
              </w:rPr>
              <w:t>Favorece</w:t>
              <w:tab/>
              <w:t>la producción agrícola y ganadera</w:t>
            </w:r>
          </w:p>
          <w:p>
            <w:pPr>
              <w:pStyle w:val="TableParagraph"/>
              <w:numPr>
                <w:ilvl w:val="0"/>
                <w:numId w:val="71"/>
              </w:numPr>
              <w:tabs>
                <w:tab w:pos="812" w:val="left" w:leader="none"/>
                <w:tab w:pos="2727" w:val="left" w:leader="none"/>
              </w:tabs>
              <w:spacing w:line="240" w:lineRule="auto" w:before="0" w:after="0"/>
              <w:ind w:left="280" w:right="104" w:hanging="141"/>
              <w:jc w:val="both"/>
              <w:rPr>
                <w:sz w:val="20"/>
              </w:rPr>
            </w:pPr>
            <w:r>
              <w:rPr>
                <w:sz w:val="20"/>
              </w:rPr>
              <w:t>Favorece</w:t>
              <w:tab/>
              <w:t>la distribución de la tierra entre sus</w:t>
            </w:r>
            <w:r>
              <w:rPr>
                <w:spacing w:val="-5"/>
                <w:sz w:val="20"/>
              </w:rPr>
              <w:t> </w:t>
            </w:r>
            <w:r>
              <w:rPr>
                <w:sz w:val="20"/>
              </w:rPr>
              <w:t>pobladores</w:t>
            </w:r>
          </w:p>
          <w:p>
            <w:pPr>
              <w:pStyle w:val="TableParagraph"/>
              <w:numPr>
                <w:ilvl w:val="0"/>
                <w:numId w:val="71"/>
              </w:numPr>
              <w:tabs>
                <w:tab w:pos="811" w:val="left" w:leader="none"/>
                <w:tab w:pos="812" w:val="left" w:leader="none"/>
                <w:tab w:pos="2660" w:val="left" w:leader="none"/>
              </w:tabs>
              <w:spacing w:line="228" w:lineRule="exact" w:before="0" w:after="0"/>
              <w:ind w:left="811" w:right="0" w:hanging="672"/>
              <w:jc w:val="left"/>
              <w:rPr>
                <w:sz w:val="20"/>
              </w:rPr>
            </w:pPr>
            <w:r>
              <w:rPr>
                <w:sz w:val="20"/>
              </w:rPr>
              <w:t>Asignación</w:t>
              <w:tab/>
              <w:t>de</w:t>
            </w:r>
          </w:p>
          <w:p>
            <w:pPr>
              <w:pStyle w:val="TableParagraph"/>
              <w:tabs>
                <w:tab w:pos="1599" w:val="left" w:leader="none"/>
                <w:tab w:pos="2372" w:val="left" w:leader="none"/>
              </w:tabs>
              <w:ind w:left="280" w:right="100"/>
              <w:rPr>
                <w:sz w:val="20"/>
              </w:rPr>
            </w:pPr>
            <w:r>
              <w:rPr>
                <w:sz w:val="20"/>
              </w:rPr>
              <w:t>recursos</w:t>
              <w:tab/>
              <w:t>en</w:t>
              <w:tab/>
              <w:t>forma democrática y</w:t>
            </w:r>
            <w:r>
              <w:rPr>
                <w:spacing w:val="-8"/>
                <w:sz w:val="20"/>
              </w:rPr>
              <w:t> </w:t>
            </w:r>
            <w:r>
              <w:rPr>
                <w:sz w:val="20"/>
              </w:rPr>
              <w:t>equitativa</w:t>
            </w:r>
          </w:p>
          <w:p>
            <w:pPr>
              <w:pStyle w:val="TableParagraph"/>
              <w:numPr>
                <w:ilvl w:val="0"/>
                <w:numId w:val="71"/>
              </w:numPr>
              <w:tabs>
                <w:tab w:pos="812" w:val="left" w:leader="none"/>
              </w:tabs>
              <w:spacing w:line="240" w:lineRule="auto" w:before="0" w:after="0"/>
              <w:ind w:left="280" w:right="104" w:hanging="141"/>
              <w:jc w:val="both"/>
              <w:rPr>
                <w:sz w:val="20"/>
              </w:rPr>
            </w:pPr>
            <w:r>
              <w:rPr>
                <w:sz w:val="20"/>
              </w:rPr>
              <w:t>Existe planeación económica con articulación entre</w:t>
            </w:r>
            <w:r>
              <w:rPr>
                <w:spacing w:val="-5"/>
                <w:sz w:val="20"/>
              </w:rPr>
              <w:t> </w:t>
            </w:r>
            <w:r>
              <w:rPr>
                <w:sz w:val="20"/>
              </w:rPr>
              <w:t>actores</w:t>
            </w:r>
          </w:p>
        </w:tc>
        <w:tc>
          <w:tcPr>
            <w:tcW w:w="1481" w:type="dxa"/>
            <w:vMerge/>
          </w:tcPr>
          <w:p>
            <w:pPr/>
          </w:p>
        </w:tc>
        <w:tc>
          <w:tcPr>
            <w:tcW w:w="2497" w:type="dxa"/>
            <w:vMerge/>
          </w:tcPr>
          <w:p>
            <w:pPr/>
          </w:p>
        </w:tc>
        <w:tc>
          <w:tcPr>
            <w:tcW w:w="1634" w:type="dxa"/>
            <w:vMerge/>
            <w:tcBorders>
              <w:right w:val="double" w:sz="12" w:space="0" w:color="000000"/>
            </w:tcBorders>
          </w:tcPr>
          <w:p>
            <w:pPr/>
          </w:p>
        </w:tc>
      </w:tr>
      <w:tr>
        <w:trPr>
          <w:trHeight w:val="4151" w:hRule="exact"/>
        </w:trPr>
        <w:tc>
          <w:tcPr>
            <w:tcW w:w="957" w:type="dxa"/>
            <w:vMerge/>
            <w:tcBorders>
              <w:left w:val="double" w:sz="11" w:space="0" w:color="000000"/>
            </w:tcBorders>
          </w:tcPr>
          <w:p>
            <w:pPr/>
          </w:p>
        </w:tc>
        <w:tc>
          <w:tcPr>
            <w:tcW w:w="1903" w:type="dxa"/>
            <w:vMerge/>
          </w:tcPr>
          <w:p>
            <w:pPr/>
          </w:p>
        </w:tc>
        <w:tc>
          <w:tcPr>
            <w:tcW w:w="1349" w:type="dxa"/>
          </w:tcPr>
          <w:p>
            <w:pPr>
              <w:pStyle w:val="TableParagraph"/>
              <w:spacing w:line="227" w:lineRule="exact"/>
              <w:ind w:left="100"/>
              <w:rPr>
                <w:sz w:val="20"/>
              </w:rPr>
            </w:pPr>
            <w:r>
              <w:rPr>
                <w:sz w:val="20"/>
              </w:rPr>
              <w:t>Sociopolítico</w:t>
            </w:r>
          </w:p>
        </w:tc>
        <w:tc>
          <w:tcPr>
            <w:tcW w:w="3000" w:type="dxa"/>
          </w:tcPr>
          <w:p>
            <w:pPr>
              <w:pStyle w:val="TableParagraph"/>
              <w:ind w:left="280" w:right="105" w:hanging="178"/>
              <w:jc w:val="both"/>
              <w:rPr>
                <w:sz w:val="20"/>
              </w:rPr>
            </w:pPr>
            <w:r>
              <w:rPr>
                <w:rFonts w:ascii="Wingdings" w:hAnsi="Wingdings"/>
                <w:sz w:val="20"/>
              </w:rPr>
              <w:t></w:t>
            </w:r>
            <w:r>
              <w:rPr>
                <w:sz w:val="20"/>
              </w:rPr>
              <w:t>Favorece la resolución de conflictos internos y externos entre actores</w:t>
            </w:r>
          </w:p>
          <w:p>
            <w:pPr>
              <w:pStyle w:val="TableParagraph"/>
              <w:spacing w:before="1"/>
              <w:ind w:left="280" w:right="104" w:hanging="178"/>
              <w:jc w:val="both"/>
              <w:rPr>
                <w:sz w:val="20"/>
              </w:rPr>
            </w:pPr>
            <w:r>
              <w:rPr>
                <w:rFonts w:ascii="Wingdings" w:hAnsi="Wingdings"/>
                <w:spacing w:val="2"/>
                <w:sz w:val="20"/>
              </w:rPr>
              <w:t></w:t>
            </w:r>
            <w:r>
              <w:rPr>
                <w:spacing w:val="2"/>
                <w:sz w:val="20"/>
              </w:rPr>
              <w:t>Previene</w:t>
            </w:r>
            <w:r>
              <w:rPr>
                <w:spacing w:val="59"/>
                <w:sz w:val="20"/>
              </w:rPr>
              <w:t> </w:t>
            </w:r>
            <w:r>
              <w:rPr>
                <w:sz w:val="20"/>
              </w:rPr>
              <w:t>y establece políticas públicas de prevención de conflictos</w:t>
            </w:r>
          </w:p>
          <w:p>
            <w:pPr>
              <w:pStyle w:val="TableParagraph"/>
              <w:tabs>
                <w:tab w:pos="1782" w:val="left" w:leader="none"/>
                <w:tab w:pos="2561" w:val="left" w:leader="none"/>
              </w:tabs>
              <w:ind w:left="280" w:right="104" w:hanging="178"/>
              <w:jc w:val="both"/>
              <w:rPr>
                <w:sz w:val="20"/>
              </w:rPr>
            </w:pPr>
            <w:r>
              <w:rPr>
                <w:rFonts w:ascii="Wingdings" w:hAnsi="Wingdings"/>
                <w:sz w:val="20"/>
              </w:rPr>
              <w:t></w:t>
            </w:r>
            <w:r>
              <w:rPr>
                <w:sz w:val="20"/>
              </w:rPr>
              <w:t>Fortalece</w:t>
              <w:tab/>
              <w:t>instituciones sociopolíticas</w:t>
              <w:tab/>
              <w:tab/>
              <w:t>con democracia</w:t>
            </w:r>
          </w:p>
          <w:p>
            <w:pPr>
              <w:pStyle w:val="TableParagraph"/>
              <w:ind w:left="280" w:right="104" w:hanging="178"/>
              <w:jc w:val="both"/>
              <w:rPr>
                <w:sz w:val="20"/>
              </w:rPr>
            </w:pPr>
            <w:r>
              <w:rPr>
                <w:rFonts w:ascii="Wingdings" w:hAnsi="Wingdings"/>
                <w:sz w:val="20"/>
              </w:rPr>
              <w:t></w:t>
            </w:r>
            <w:r>
              <w:rPr>
                <w:sz w:val="20"/>
              </w:rPr>
              <w:t>Favorece la  articulación entre actores</w:t>
            </w:r>
          </w:p>
          <w:p>
            <w:pPr>
              <w:pStyle w:val="TableParagraph"/>
              <w:spacing w:line="229" w:lineRule="exact"/>
              <w:ind w:right="100"/>
              <w:rPr>
                <w:sz w:val="20"/>
              </w:rPr>
            </w:pPr>
            <w:r>
              <w:rPr>
                <w:rFonts w:ascii="Wingdings" w:hAnsi="Wingdings"/>
                <w:sz w:val="20"/>
              </w:rPr>
              <w:t></w:t>
            </w:r>
            <w:r>
              <w:rPr>
                <w:sz w:val="20"/>
              </w:rPr>
              <w:t>Favorece la GIRH</w:t>
            </w:r>
          </w:p>
          <w:p>
            <w:pPr>
              <w:pStyle w:val="TableParagraph"/>
              <w:spacing w:line="229" w:lineRule="exact"/>
              <w:ind w:right="100"/>
              <w:rPr>
                <w:sz w:val="20"/>
              </w:rPr>
            </w:pPr>
            <w:r>
              <w:rPr>
                <w:rFonts w:ascii="Wingdings" w:hAnsi="Wingdings"/>
                <w:sz w:val="20"/>
              </w:rPr>
              <w:t></w:t>
            </w:r>
            <w:r>
              <w:rPr>
                <w:sz w:val="20"/>
              </w:rPr>
              <w:t>Favorece la gobernanza</w:t>
            </w:r>
          </w:p>
          <w:p>
            <w:pPr>
              <w:pStyle w:val="TableParagraph"/>
              <w:ind w:right="100"/>
              <w:rPr>
                <w:sz w:val="20"/>
              </w:rPr>
            </w:pPr>
            <w:r>
              <w:rPr>
                <w:rFonts w:ascii="Wingdings" w:hAnsi="Wingdings"/>
                <w:sz w:val="20"/>
              </w:rPr>
              <w:t></w:t>
            </w:r>
            <w:r>
              <w:rPr>
                <w:sz w:val="20"/>
              </w:rPr>
              <w:t>Fortalece la gobernabilidad</w:t>
            </w:r>
          </w:p>
          <w:p>
            <w:pPr>
              <w:pStyle w:val="TableParagraph"/>
              <w:spacing w:before="1"/>
              <w:ind w:right="100"/>
              <w:rPr>
                <w:sz w:val="20"/>
              </w:rPr>
            </w:pPr>
            <w:r>
              <w:rPr>
                <w:rFonts w:ascii="Wingdings" w:hAnsi="Wingdings"/>
                <w:sz w:val="20"/>
              </w:rPr>
              <w:t></w:t>
            </w:r>
            <w:r>
              <w:rPr>
                <w:rFonts w:ascii="Times New Roman" w:hAnsi="Times New Roman"/>
                <w:sz w:val="20"/>
              </w:rPr>
              <w:t> </w:t>
            </w:r>
            <w:r>
              <w:rPr>
                <w:sz w:val="20"/>
              </w:rPr>
              <w:t>Regula el poder</w:t>
            </w:r>
          </w:p>
          <w:p>
            <w:pPr>
              <w:pStyle w:val="TableParagraph"/>
              <w:tabs>
                <w:tab w:pos="1916"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81" w:type="dxa"/>
            <w:vMerge/>
          </w:tcPr>
          <w:p>
            <w:pPr/>
          </w:p>
        </w:tc>
        <w:tc>
          <w:tcPr>
            <w:tcW w:w="2497" w:type="dxa"/>
            <w:vMerge/>
          </w:tcPr>
          <w:p>
            <w:pPr/>
          </w:p>
        </w:tc>
        <w:tc>
          <w:tcPr>
            <w:tcW w:w="1634" w:type="dxa"/>
            <w:vMerge/>
            <w:tcBorders>
              <w:right w:val="double" w:sz="12" w:space="0" w:color="000000"/>
            </w:tcBorders>
          </w:tcPr>
          <w:p>
            <w:pPr/>
          </w:p>
        </w:tc>
      </w:tr>
      <w:tr>
        <w:trPr>
          <w:trHeight w:val="701" w:hRule="exact"/>
        </w:trPr>
        <w:tc>
          <w:tcPr>
            <w:tcW w:w="957" w:type="dxa"/>
            <w:tcBorders>
              <w:left w:val="double" w:sz="11" w:space="0" w:color="000000"/>
              <w:bottom w:val="single" w:sz="8" w:space="0" w:color="000000"/>
            </w:tcBorders>
          </w:tcPr>
          <w:p>
            <w:pPr/>
          </w:p>
        </w:tc>
        <w:tc>
          <w:tcPr>
            <w:tcW w:w="1903" w:type="dxa"/>
            <w:tcBorders>
              <w:bottom w:val="single" w:sz="8" w:space="0" w:color="000000"/>
            </w:tcBorders>
          </w:tcPr>
          <w:p>
            <w:pPr/>
          </w:p>
        </w:tc>
        <w:tc>
          <w:tcPr>
            <w:tcW w:w="1349" w:type="dxa"/>
            <w:tcBorders>
              <w:bottom w:val="single" w:sz="8" w:space="0" w:color="000000"/>
            </w:tcBorders>
          </w:tcPr>
          <w:p>
            <w:pPr>
              <w:pStyle w:val="TableParagraph"/>
              <w:spacing w:line="227" w:lineRule="exact"/>
              <w:ind w:left="100"/>
              <w:rPr>
                <w:sz w:val="20"/>
              </w:rPr>
            </w:pPr>
            <w:r>
              <w:rPr>
                <w:sz w:val="20"/>
              </w:rPr>
              <w:t>Ambiental</w:t>
            </w:r>
          </w:p>
        </w:tc>
        <w:tc>
          <w:tcPr>
            <w:tcW w:w="3000" w:type="dxa"/>
            <w:tcBorders>
              <w:bottom w:val="single" w:sz="8" w:space="0" w:color="000000"/>
            </w:tcBorders>
          </w:tcPr>
          <w:p>
            <w:pPr>
              <w:pStyle w:val="TableParagraph"/>
              <w:numPr>
                <w:ilvl w:val="0"/>
                <w:numId w:val="72"/>
              </w:numPr>
              <w:tabs>
                <w:tab w:pos="812" w:val="left" w:leader="none"/>
                <w:tab w:pos="2660" w:val="left" w:leader="none"/>
              </w:tabs>
              <w:spacing w:line="240" w:lineRule="auto" w:before="0" w:after="0"/>
              <w:ind w:left="280" w:right="104" w:hanging="141"/>
              <w:jc w:val="both"/>
              <w:rPr>
                <w:sz w:val="20"/>
              </w:rPr>
            </w:pPr>
            <w:r>
              <w:rPr>
                <w:sz w:val="20"/>
              </w:rPr>
              <w:t>Creación</w:t>
              <w:tab/>
              <w:t>de infraestructura hidráulica para    aprovechamiento  </w:t>
            </w:r>
            <w:r>
              <w:rPr>
                <w:spacing w:val="7"/>
                <w:sz w:val="20"/>
              </w:rPr>
              <w:t> </w:t>
            </w:r>
            <w:r>
              <w:rPr>
                <w:sz w:val="20"/>
              </w:rPr>
              <w:t>del</w:t>
            </w:r>
          </w:p>
        </w:tc>
        <w:tc>
          <w:tcPr>
            <w:tcW w:w="1481" w:type="dxa"/>
            <w:tcBorders>
              <w:bottom w:val="single" w:sz="8" w:space="0" w:color="000000"/>
            </w:tcBorders>
          </w:tcPr>
          <w:p>
            <w:pPr/>
          </w:p>
        </w:tc>
        <w:tc>
          <w:tcPr>
            <w:tcW w:w="2497" w:type="dxa"/>
            <w:tcBorders>
              <w:bottom w:val="single" w:sz="8" w:space="0" w:color="000000"/>
            </w:tcBorders>
          </w:tcPr>
          <w:p>
            <w:pPr>
              <w:pStyle w:val="TableParagraph"/>
              <w:tabs>
                <w:tab w:pos="2158" w:val="left" w:leader="none"/>
              </w:tabs>
              <w:spacing w:line="242" w:lineRule="auto"/>
              <w:ind w:right="104"/>
              <w:jc w:val="both"/>
              <w:rPr>
                <w:sz w:val="20"/>
              </w:rPr>
            </w:pPr>
            <w:r>
              <w:rPr>
                <w:sz w:val="20"/>
              </w:rPr>
              <w:t>Debe reunir </w:t>
            </w:r>
            <w:r>
              <w:rPr>
                <w:b/>
                <w:sz w:val="20"/>
              </w:rPr>
              <w:t>al menos el 50% una de tres </w:t>
            </w:r>
            <w:r>
              <w:rPr>
                <w:sz w:val="20"/>
              </w:rPr>
              <w:t>características</w:t>
              <w:tab/>
              <w:t>de</w:t>
            </w:r>
          </w:p>
        </w:tc>
        <w:tc>
          <w:tcPr>
            <w:tcW w:w="1634" w:type="dxa"/>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903"/>
        <w:gridCol w:w="1349"/>
        <w:gridCol w:w="3000"/>
        <w:gridCol w:w="1481"/>
        <w:gridCol w:w="2497"/>
        <w:gridCol w:w="1634"/>
      </w:tblGrid>
      <w:tr>
        <w:trPr>
          <w:trHeight w:val="1630" w:hRule="exact"/>
        </w:trPr>
        <w:tc>
          <w:tcPr>
            <w:tcW w:w="957" w:type="dxa"/>
            <w:vMerge w:val="restart"/>
            <w:tcBorders>
              <w:left w:val="double" w:sz="11" w:space="0" w:color="000000"/>
            </w:tcBorders>
          </w:tcPr>
          <w:p>
            <w:pPr/>
          </w:p>
        </w:tc>
        <w:tc>
          <w:tcPr>
            <w:tcW w:w="1903"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0"/>
              <w:jc w:val="center"/>
              <w:rPr>
                <w:b/>
                <w:sz w:val="20"/>
              </w:rPr>
            </w:pPr>
            <w:r>
              <w:rPr>
                <w:b/>
                <w:w w:val="99"/>
                <w:sz w:val="20"/>
              </w:rPr>
              <w:t>1</w:t>
            </w:r>
          </w:p>
        </w:tc>
        <w:tc>
          <w:tcPr>
            <w:tcW w:w="1349" w:type="dxa"/>
          </w:tcPr>
          <w:p>
            <w:pPr/>
          </w:p>
        </w:tc>
        <w:tc>
          <w:tcPr>
            <w:tcW w:w="3000" w:type="dxa"/>
          </w:tcPr>
          <w:p>
            <w:pPr>
              <w:pStyle w:val="TableParagraph"/>
              <w:tabs>
                <w:tab w:pos="1180" w:val="left" w:leader="none"/>
                <w:tab w:pos="1959" w:val="left" w:leader="none"/>
              </w:tabs>
              <w:spacing w:before="7"/>
              <w:ind w:left="280" w:right="105"/>
              <w:rPr>
                <w:sz w:val="20"/>
              </w:rPr>
            </w:pPr>
            <w:r>
              <w:rPr>
                <w:sz w:val="20"/>
              </w:rPr>
              <w:t>agua</w:t>
              <w:tab/>
              <w:t>con</w:t>
              <w:tab/>
              <w:t>protección ambiental</w:t>
            </w:r>
          </w:p>
          <w:p>
            <w:pPr>
              <w:pStyle w:val="TableParagraph"/>
              <w:numPr>
                <w:ilvl w:val="0"/>
                <w:numId w:val="73"/>
              </w:numPr>
              <w:tabs>
                <w:tab w:pos="812" w:val="left" w:leader="none"/>
              </w:tabs>
              <w:spacing w:line="240" w:lineRule="auto" w:before="0" w:after="0"/>
              <w:ind w:left="280" w:right="103" w:hanging="141"/>
              <w:jc w:val="both"/>
              <w:rPr>
                <w:sz w:val="20"/>
              </w:rPr>
            </w:pPr>
            <w:r>
              <w:rPr>
                <w:sz w:val="20"/>
              </w:rPr>
              <w:t>Control de la contaminación</w:t>
            </w:r>
          </w:p>
          <w:p>
            <w:pPr>
              <w:pStyle w:val="TableParagraph"/>
              <w:numPr>
                <w:ilvl w:val="0"/>
                <w:numId w:val="73"/>
              </w:numPr>
              <w:tabs>
                <w:tab w:pos="812" w:val="left" w:leader="none"/>
              </w:tabs>
              <w:spacing w:line="240" w:lineRule="auto" w:before="0" w:after="0"/>
              <w:ind w:left="280" w:right="104" w:hanging="141"/>
              <w:jc w:val="both"/>
              <w:rPr>
                <w:sz w:val="20"/>
              </w:rPr>
            </w:pPr>
            <w:r>
              <w:rPr>
                <w:sz w:val="20"/>
              </w:rPr>
              <w:t>Existe planeación ambiental con articulación entre</w:t>
            </w:r>
            <w:r>
              <w:rPr>
                <w:spacing w:val="-5"/>
                <w:sz w:val="20"/>
              </w:rPr>
              <w:t> </w:t>
            </w:r>
            <w:r>
              <w:rPr>
                <w:sz w:val="20"/>
              </w:rPr>
              <w:t>actores</w:t>
            </w:r>
          </w:p>
        </w:tc>
        <w:tc>
          <w:tcPr>
            <w:tcW w:w="1481" w:type="dxa"/>
          </w:tcPr>
          <w:p>
            <w:pPr/>
          </w:p>
        </w:tc>
        <w:tc>
          <w:tcPr>
            <w:tcW w:w="2497" w:type="dxa"/>
            <w:vMerge w:val="restart"/>
          </w:tcPr>
          <w:p>
            <w:pPr>
              <w:pStyle w:val="TableParagraph"/>
              <w:spacing w:before="7"/>
              <w:rPr>
                <w:sz w:val="20"/>
              </w:rPr>
            </w:pPr>
            <w:r>
              <w:rPr>
                <w:sz w:val="20"/>
              </w:rPr>
              <w:t>impacto positivo</w:t>
            </w:r>
          </w:p>
        </w:tc>
        <w:tc>
          <w:tcPr>
            <w:tcW w:w="1634"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420"/>
              <w:rPr>
                <w:b/>
                <w:sz w:val="20"/>
              </w:rPr>
            </w:pPr>
            <w:r>
              <w:rPr>
                <w:b/>
                <w:sz w:val="20"/>
              </w:rPr>
              <w:t>Regular</w:t>
            </w:r>
          </w:p>
        </w:tc>
      </w:tr>
      <w:tr>
        <w:trPr>
          <w:trHeight w:val="2770" w:hRule="exact"/>
        </w:trPr>
        <w:tc>
          <w:tcPr>
            <w:tcW w:w="957" w:type="dxa"/>
            <w:vMerge/>
            <w:tcBorders>
              <w:left w:val="double" w:sz="11" w:space="0" w:color="000000"/>
            </w:tcBorders>
          </w:tcPr>
          <w:p>
            <w:pPr/>
          </w:p>
        </w:tc>
        <w:tc>
          <w:tcPr>
            <w:tcW w:w="1903" w:type="dxa"/>
            <w:vMerge/>
          </w:tcPr>
          <w:p>
            <w:pPr/>
          </w:p>
        </w:tc>
        <w:tc>
          <w:tcPr>
            <w:tcW w:w="1349" w:type="dxa"/>
          </w:tcPr>
          <w:p>
            <w:pPr>
              <w:pStyle w:val="TableParagraph"/>
              <w:spacing w:line="227" w:lineRule="exact"/>
              <w:ind w:left="100"/>
              <w:rPr>
                <w:sz w:val="20"/>
              </w:rPr>
            </w:pPr>
            <w:r>
              <w:rPr>
                <w:sz w:val="20"/>
              </w:rPr>
              <w:t>Económico</w:t>
            </w:r>
          </w:p>
        </w:tc>
        <w:tc>
          <w:tcPr>
            <w:tcW w:w="3000" w:type="dxa"/>
          </w:tcPr>
          <w:p>
            <w:pPr>
              <w:pStyle w:val="TableParagraph"/>
              <w:numPr>
                <w:ilvl w:val="0"/>
                <w:numId w:val="74"/>
              </w:numPr>
              <w:tabs>
                <w:tab w:pos="812" w:val="left" w:leader="none"/>
                <w:tab w:pos="2727" w:val="left" w:leader="none"/>
              </w:tabs>
              <w:spacing w:line="240" w:lineRule="auto" w:before="0" w:after="0"/>
              <w:ind w:left="280" w:right="102" w:hanging="141"/>
              <w:jc w:val="both"/>
              <w:rPr>
                <w:sz w:val="20"/>
              </w:rPr>
            </w:pPr>
            <w:r>
              <w:rPr>
                <w:sz w:val="20"/>
              </w:rPr>
              <w:t>Favorece</w:t>
              <w:tab/>
              <w:t>la producción agrícola y ganadera</w:t>
            </w:r>
          </w:p>
          <w:p>
            <w:pPr>
              <w:pStyle w:val="TableParagraph"/>
              <w:numPr>
                <w:ilvl w:val="0"/>
                <w:numId w:val="74"/>
              </w:numPr>
              <w:tabs>
                <w:tab w:pos="812" w:val="left" w:leader="none"/>
                <w:tab w:pos="2727" w:val="left" w:leader="none"/>
              </w:tabs>
              <w:spacing w:line="240" w:lineRule="auto" w:before="0" w:after="0"/>
              <w:ind w:left="280" w:right="104" w:hanging="141"/>
              <w:jc w:val="both"/>
              <w:rPr>
                <w:sz w:val="20"/>
              </w:rPr>
            </w:pPr>
            <w:r>
              <w:rPr>
                <w:sz w:val="20"/>
              </w:rPr>
              <w:t>Favorece</w:t>
              <w:tab/>
              <w:t>la distribución de la tierra entre sus</w:t>
            </w:r>
            <w:r>
              <w:rPr>
                <w:spacing w:val="-5"/>
                <w:sz w:val="20"/>
              </w:rPr>
              <w:t> </w:t>
            </w:r>
            <w:r>
              <w:rPr>
                <w:sz w:val="20"/>
              </w:rPr>
              <w:t>pobladores</w:t>
            </w:r>
          </w:p>
          <w:p>
            <w:pPr>
              <w:pStyle w:val="TableParagraph"/>
              <w:numPr>
                <w:ilvl w:val="0"/>
                <w:numId w:val="74"/>
              </w:numPr>
              <w:tabs>
                <w:tab w:pos="811" w:val="left" w:leader="none"/>
                <w:tab w:pos="812" w:val="left" w:leader="none"/>
                <w:tab w:pos="2660" w:val="left" w:leader="none"/>
              </w:tabs>
              <w:spacing w:line="240" w:lineRule="auto" w:before="0" w:after="0"/>
              <w:ind w:left="811" w:right="0" w:hanging="672"/>
              <w:jc w:val="left"/>
              <w:rPr>
                <w:sz w:val="20"/>
              </w:rPr>
            </w:pPr>
            <w:r>
              <w:rPr>
                <w:sz w:val="20"/>
              </w:rPr>
              <w:t>Asignación</w:t>
              <w:tab/>
              <w:t>de</w:t>
            </w:r>
          </w:p>
          <w:p>
            <w:pPr>
              <w:pStyle w:val="TableParagraph"/>
              <w:tabs>
                <w:tab w:pos="1599" w:val="left" w:leader="none"/>
                <w:tab w:pos="2372" w:val="left" w:leader="none"/>
              </w:tabs>
              <w:ind w:left="280" w:right="100"/>
              <w:rPr>
                <w:sz w:val="20"/>
              </w:rPr>
            </w:pPr>
            <w:r>
              <w:rPr>
                <w:sz w:val="20"/>
              </w:rPr>
              <w:t>recursos</w:t>
              <w:tab/>
              <w:t>en</w:t>
              <w:tab/>
              <w:t>forma democrática y</w:t>
            </w:r>
            <w:r>
              <w:rPr>
                <w:spacing w:val="-8"/>
                <w:sz w:val="20"/>
              </w:rPr>
              <w:t> </w:t>
            </w:r>
            <w:r>
              <w:rPr>
                <w:sz w:val="20"/>
              </w:rPr>
              <w:t>equitativa</w:t>
            </w:r>
          </w:p>
          <w:p>
            <w:pPr>
              <w:pStyle w:val="TableParagraph"/>
              <w:numPr>
                <w:ilvl w:val="0"/>
                <w:numId w:val="74"/>
              </w:numPr>
              <w:tabs>
                <w:tab w:pos="812" w:val="left" w:leader="none"/>
              </w:tabs>
              <w:spacing w:line="240" w:lineRule="auto" w:before="0" w:after="0"/>
              <w:ind w:left="280" w:right="104" w:hanging="141"/>
              <w:jc w:val="both"/>
              <w:rPr>
                <w:sz w:val="20"/>
              </w:rPr>
            </w:pPr>
            <w:r>
              <w:rPr>
                <w:sz w:val="20"/>
              </w:rPr>
              <w:t>Existe planeación económica con articulación entre</w:t>
            </w:r>
            <w:r>
              <w:rPr>
                <w:spacing w:val="-5"/>
                <w:sz w:val="20"/>
              </w:rPr>
              <w:t> </w:t>
            </w:r>
            <w:r>
              <w:rPr>
                <w:sz w:val="20"/>
              </w:rPr>
              <w:t>actores</w:t>
            </w:r>
          </w:p>
        </w:tc>
        <w:tc>
          <w:tcPr>
            <w:tcW w:w="1481" w:type="dxa"/>
          </w:tcPr>
          <w:p>
            <w:pPr/>
          </w:p>
        </w:tc>
        <w:tc>
          <w:tcPr>
            <w:tcW w:w="2497" w:type="dxa"/>
            <w:vMerge/>
          </w:tcPr>
          <w:p>
            <w:pPr/>
          </w:p>
        </w:tc>
        <w:tc>
          <w:tcPr>
            <w:tcW w:w="1634" w:type="dxa"/>
            <w:vMerge/>
            <w:tcBorders>
              <w:right w:val="double" w:sz="12" w:space="0" w:color="000000"/>
            </w:tcBorders>
            <w:shd w:val="clear" w:color="auto" w:fill="FFFF00"/>
          </w:tcPr>
          <w:p>
            <w:pPr/>
          </w:p>
        </w:tc>
      </w:tr>
      <w:tr>
        <w:trPr>
          <w:trHeight w:val="4151" w:hRule="exact"/>
        </w:trPr>
        <w:tc>
          <w:tcPr>
            <w:tcW w:w="957" w:type="dxa"/>
            <w:tcBorders>
              <w:left w:val="double" w:sz="11" w:space="0" w:color="000000"/>
            </w:tcBorders>
          </w:tcPr>
          <w:p>
            <w:pPr/>
          </w:p>
        </w:tc>
        <w:tc>
          <w:tcPr>
            <w:tcW w:w="1903" w:type="dxa"/>
            <w:vMerge/>
          </w:tcPr>
          <w:p>
            <w:pPr/>
          </w:p>
        </w:tc>
        <w:tc>
          <w:tcPr>
            <w:tcW w:w="1349" w:type="dxa"/>
          </w:tcPr>
          <w:p>
            <w:pPr>
              <w:pStyle w:val="TableParagraph"/>
              <w:spacing w:line="227" w:lineRule="exact"/>
              <w:ind w:left="100"/>
              <w:rPr>
                <w:sz w:val="20"/>
              </w:rPr>
            </w:pPr>
            <w:r>
              <w:rPr>
                <w:sz w:val="20"/>
              </w:rPr>
              <w:t>Sociopolítico</w:t>
            </w:r>
          </w:p>
        </w:tc>
        <w:tc>
          <w:tcPr>
            <w:tcW w:w="3000" w:type="dxa"/>
          </w:tcPr>
          <w:p>
            <w:pPr>
              <w:pStyle w:val="TableParagraph"/>
              <w:ind w:left="280" w:right="105" w:hanging="178"/>
              <w:jc w:val="both"/>
              <w:rPr>
                <w:sz w:val="20"/>
              </w:rPr>
            </w:pPr>
            <w:r>
              <w:rPr>
                <w:rFonts w:ascii="Wingdings" w:hAnsi="Wingdings"/>
                <w:sz w:val="20"/>
              </w:rPr>
              <w:t></w:t>
            </w:r>
            <w:r>
              <w:rPr>
                <w:sz w:val="20"/>
              </w:rPr>
              <w:t>Favorece la resolución de conflictos internos y externos entre actores</w:t>
            </w:r>
          </w:p>
          <w:p>
            <w:pPr>
              <w:pStyle w:val="TableParagraph"/>
              <w:ind w:left="280" w:right="104" w:hanging="178"/>
              <w:jc w:val="both"/>
              <w:rPr>
                <w:sz w:val="20"/>
              </w:rPr>
            </w:pPr>
            <w:r>
              <w:rPr>
                <w:rFonts w:ascii="Wingdings" w:hAnsi="Wingdings"/>
                <w:spacing w:val="2"/>
                <w:sz w:val="20"/>
              </w:rPr>
              <w:t></w:t>
            </w:r>
            <w:r>
              <w:rPr>
                <w:spacing w:val="2"/>
                <w:sz w:val="20"/>
              </w:rPr>
              <w:t>Previene</w:t>
            </w:r>
            <w:r>
              <w:rPr>
                <w:spacing w:val="59"/>
                <w:sz w:val="20"/>
              </w:rPr>
              <w:t> </w:t>
            </w:r>
            <w:r>
              <w:rPr>
                <w:sz w:val="20"/>
              </w:rPr>
              <w:t>y establece políticas públicas de prevención de conflictos</w:t>
            </w:r>
          </w:p>
          <w:p>
            <w:pPr>
              <w:pStyle w:val="TableParagraph"/>
              <w:tabs>
                <w:tab w:pos="1782" w:val="left" w:leader="none"/>
                <w:tab w:pos="2561" w:val="left" w:leader="none"/>
              </w:tabs>
              <w:ind w:left="280" w:right="104" w:hanging="178"/>
              <w:jc w:val="both"/>
              <w:rPr>
                <w:sz w:val="20"/>
              </w:rPr>
            </w:pPr>
            <w:r>
              <w:rPr>
                <w:rFonts w:ascii="Wingdings" w:hAnsi="Wingdings"/>
                <w:sz w:val="20"/>
              </w:rPr>
              <w:t></w:t>
            </w:r>
            <w:r>
              <w:rPr>
                <w:sz w:val="20"/>
              </w:rPr>
              <w:t>Fortalece</w:t>
              <w:tab/>
              <w:t>instituciones sociopolíticas</w:t>
              <w:tab/>
              <w:tab/>
              <w:t>con democracia</w:t>
            </w:r>
          </w:p>
          <w:p>
            <w:pPr>
              <w:pStyle w:val="TableParagraph"/>
              <w:ind w:left="280" w:right="104" w:hanging="178"/>
              <w:jc w:val="both"/>
              <w:rPr>
                <w:sz w:val="20"/>
              </w:rPr>
            </w:pPr>
            <w:r>
              <w:rPr>
                <w:rFonts w:ascii="Wingdings" w:hAnsi="Wingdings"/>
                <w:sz w:val="20"/>
              </w:rPr>
              <w:t></w:t>
            </w:r>
            <w:r>
              <w:rPr>
                <w:sz w:val="20"/>
              </w:rPr>
              <w:t>Favorece la  articulación entre actores</w:t>
            </w:r>
          </w:p>
          <w:p>
            <w:pPr>
              <w:pStyle w:val="TableParagraph"/>
              <w:ind w:right="100"/>
              <w:rPr>
                <w:sz w:val="20"/>
              </w:rPr>
            </w:pPr>
            <w:r>
              <w:rPr>
                <w:rFonts w:ascii="Wingdings" w:hAnsi="Wingdings"/>
                <w:sz w:val="20"/>
              </w:rPr>
              <w:t></w:t>
            </w:r>
            <w:r>
              <w:rPr>
                <w:sz w:val="20"/>
              </w:rPr>
              <w:t>Favorece la GIRH</w:t>
            </w:r>
          </w:p>
          <w:p>
            <w:pPr>
              <w:pStyle w:val="TableParagraph"/>
              <w:spacing w:before="1"/>
              <w:ind w:right="100"/>
              <w:rPr>
                <w:sz w:val="20"/>
              </w:rPr>
            </w:pPr>
            <w:r>
              <w:rPr>
                <w:rFonts w:ascii="Wingdings" w:hAnsi="Wingdings"/>
                <w:sz w:val="20"/>
              </w:rPr>
              <w:t></w:t>
            </w:r>
            <w:r>
              <w:rPr>
                <w:sz w:val="20"/>
              </w:rPr>
              <w:t>Favorece la gobernanza</w:t>
            </w:r>
          </w:p>
          <w:p>
            <w:pPr>
              <w:pStyle w:val="TableParagraph"/>
              <w:ind w:right="100"/>
              <w:rPr>
                <w:sz w:val="20"/>
              </w:rPr>
            </w:pPr>
            <w:r>
              <w:rPr>
                <w:rFonts w:ascii="Wingdings" w:hAnsi="Wingdings"/>
                <w:sz w:val="20"/>
              </w:rPr>
              <w:t></w:t>
            </w:r>
            <w:r>
              <w:rPr>
                <w:sz w:val="20"/>
              </w:rPr>
              <w:t>Fortalece la gobernabilidad</w:t>
            </w:r>
          </w:p>
          <w:p>
            <w:pPr>
              <w:pStyle w:val="TableParagraph"/>
              <w:spacing w:line="229" w:lineRule="exact"/>
              <w:ind w:right="100"/>
              <w:rPr>
                <w:sz w:val="20"/>
              </w:rPr>
            </w:pPr>
            <w:r>
              <w:rPr>
                <w:rFonts w:ascii="Wingdings" w:hAnsi="Wingdings"/>
                <w:sz w:val="20"/>
              </w:rPr>
              <w:t></w:t>
            </w:r>
            <w:r>
              <w:rPr>
                <w:rFonts w:ascii="Times New Roman" w:hAnsi="Times New Roman"/>
                <w:sz w:val="20"/>
              </w:rPr>
              <w:t> </w:t>
            </w:r>
            <w:r>
              <w:rPr>
                <w:sz w:val="20"/>
              </w:rPr>
              <w:t>Regula el poder</w:t>
            </w:r>
          </w:p>
          <w:p>
            <w:pPr>
              <w:pStyle w:val="TableParagraph"/>
              <w:tabs>
                <w:tab w:pos="1916"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81" w:type="dxa"/>
          </w:tcPr>
          <w:p>
            <w:pPr/>
          </w:p>
        </w:tc>
        <w:tc>
          <w:tcPr>
            <w:tcW w:w="2497" w:type="dxa"/>
            <w:vMerge/>
          </w:tcPr>
          <w:p>
            <w:pPr/>
          </w:p>
        </w:tc>
        <w:tc>
          <w:tcPr>
            <w:tcW w:w="1634" w:type="dxa"/>
            <w:vMerge/>
            <w:tcBorders>
              <w:right w:val="double" w:sz="12" w:space="0" w:color="000000"/>
            </w:tcBorders>
            <w:shd w:val="clear" w:color="auto" w:fill="FFFF00"/>
          </w:tcPr>
          <w:p>
            <w:pPr/>
          </w:p>
        </w:tc>
      </w:tr>
      <w:tr>
        <w:trPr>
          <w:trHeight w:val="240" w:hRule="exact"/>
        </w:trPr>
        <w:tc>
          <w:tcPr>
            <w:tcW w:w="957" w:type="dxa"/>
            <w:tcBorders>
              <w:left w:val="double" w:sz="11" w:space="0" w:color="000000"/>
              <w:bottom w:val="single" w:sz="8" w:space="0" w:color="000000"/>
            </w:tcBorders>
          </w:tcPr>
          <w:p>
            <w:pPr>
              <w:pStyle w:val="TableParagraph"/>
              <w:spacing w:line="227" w:lineRule="exact"/>
              <w:ind w:left="232"/>
              <w:rPr>
                <w:sz w:val="20"/>
              </w:rPr>
            </w:pPr>
            <w:r>
              <w:rPr>
                <w:sz w:val="20"/>
              </w:rPr>
              <w:t>1982</w:t>
            </w:r>
          </w:p>
        </w:tc>
        <w:tc>
          <w:tcPr>
            <w:tcW w:w="1903" w:type="dxa"/>
            <w:tcBorders>
              <w:bottom w:val="single" w:sz="8" w:space="0" w:color="000000"/>
            </w:tcBorders>
          </w:tcPr>
          <w:p>
            <w:pPr/>
          </w:p>
        </w:tc>
        <w:tc>
          <w:tcPr>
            <w:tcW w:w="1349" w:type="dxa"/>
            <w:tcBorders>
              <w:bottom w:val="single" w:sz="8" w:space="0" w:color="000000"/>
            </w:tcBorders>
          </w:tcPr>
          <w:p>
            <w:pPr>
              <w:pStyle w:val="TableParagraph"/>
              <w:spacing w:line="227" w:lineRule="exact"/>
              <w:ind w:left="100"/>
              <w:rPr>
                <w:sz w:val="20"/>
              </w:rPr>
            </w:pPr>
            <w:r>
              <w:rPr>
                <w:sz w:val="20"/>
              </w:rPr>
              <w:t>Ambiental</w:t>
            </w:r>
          </w:p>
        </w:tc>
        <w:tc>
          <w:tcPr>
            <w:tcW w:w="3000" w:type="dxa"/>
            <w:tcBorders>
              <w:bottom w:val="single" w:sz="8" w:space="0" w:color="000000"/>
            </w:tcBorders>
          </w:tcPr>
          <w:p>
            <w:pPr>
              <w:pStyle w:val="TableParagraph"/>
              <w:numPr>
                <w:ilvl w:val="0"/>
                <w:numId w:val="75"/>
              </w:numPr>
              <w:tabs>
                <w:tab w:pos="811" w:val="left" w:leader="none"/>
                <w:tab w:pos="812" w:val="left" w:leader="none"/>
                <w:tab w:pos="2660" w:val="left" w:leader="none"/>
              </w:tabs>
              <w:spacing w:line="227" w:lineRule="exact" w:before="0" w:after="0"/>
              <w:ind w:left="811" w:right="0" w:hanging="672"/>
              <w:jc w:val="left"/>
              <w:rPr>
                <w:sz w:val="20"/>
              </w:rPr>
            </w:pPr>
            <w:r>
              <w:rPr>
                <w:sz w:val="20"/>
              </w:rPr>
              <w:t>Creación</w:t>
              <w:tab/>
              <w:t>de</w:t>
            </w:r>
          </w:p>
        </w:tc>
        <w:tc>
          <w:tcPr>
            <w:tcW w:w="1481" w:type="dxa"/>
            <w:tcBorders>
              <w:bottom w:val="single" w:sz="8" w:space="0" w:color="000000"/>
            </w:tcBorders>
          </w:tcPr>
          <w:p>
            <w:pPr/>
          </w:p>
        </w:tc>
        <w:tc>
          <w:tcPr>
            <w:tcW w:w="2497" w:type="dxa"/>
            <w:tcBorders>
              <w:bottom w:val="single" w:sz="8" w:space="0" w:color="000000"/>
              <w:right w:val="single" w:sz="45" w:space="0" w:color="FF0000"/>
            </w:tcBorders>
          </w:tcPr>
          <w:p>
            <w:pPr>
              <w:pStyle w:val="TableParagraph"/>
              <w:spacing w:line="227" w:lineRule="exact"/>
              <w:rPr>
                <w:sz w:val="20"/>
              </w:rPr>
            </w:pPr>
            <w:r>
              <w:rPr>
                <w:sz w:val="20"/>
              </w:rPr>
              <w:t>No  reúne  ni  el  50%  en</w:t>
            </w:r>
          </w:p>
        </w:tc>
        <w:tc>
          <w:tcPr>
            <w:tcW w:w="1634" w:type="dxa"/>
            <w:tcBorders>
              <w:bottom w:val="single" w:sz="8" w:space="0" w:color="000000"/>
              <w:right w:val="double" w:sz="12" w:space="0" w:color="000000"/>
            </w:tcBorders>
            <w:shd w:val="clear" w:color="auto" w:fill="FF0000"/>
          </w:tcPr>
          <w:p>
            <w:pPr/>
          </w:p>
        </w:tc>
      </w:tr>
    </w:tbl>
    <w:p>
      <w:pPr>
        <w:spacing w:after="0"/>
        <w:sectPr>
          <w:footerReference w:type="default" r:id="rId284"/>
          <w:pgSz w:w="15840" w:h="12240" w:orient="landscape"/>
          <w:pgMar w:footer="943" w:header="0" w:top="1140" w:bottom="1140" w:left="1200" w:right="1300"/>
          <w:pgNumType w:start="55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903"/>
        <w:gridCol w:w="1349"/>
        <w:gridCol w:w="3000"/>
        <w:gridCol w:w="1481"/>
        <w:gridCol w:w="2497"/>
        <w:gridCol w:w="1634"/>
      </w:tblGrid>
      <w:tr>
        <w:trPr>
          <w:trHeight w:val="2090" w:hRule="exact"/>
        </w:trPr>
        <w:tc>
          <w:tcPr>
            <w:tcW w:w="957" w:type="dxa"/>
            <w:tcBorders>
              <w:left w:val="double" w:sz="11" w:space="0" w:color="000000"/>
            </w:tcBorders>
          </w:tcPr>
          <w:p>
            <w:pPr/>
          </w:p>
        </w:tc>
        <w:tc>
          <w:tcPr>
            <w:tcW w:w="1903" w:type="dxa"/>
            <w:vMerge w:val="restart"/>
          </w:tcPr>
          <w:p>
            <w:pPr/>
          </w:p>
        </w:tc>
        <w:tc>
          <w:tcPr>
            <w:tcW w:w="1349" w:type="dxa"/>
          </w:tcPr>
          <w:p>
            <w:pPr/>
          </w:p>
        </w:tc>
        <w:tc>
          <w:tcPr>
            <w:tcW w:w="3000" w:type="dxa"/>
          </w:tcPr>
          <w:p>
            <w:pPr>
              <w:pStyle w:val="TableParagraph"/>
              <w:spacing w:before="7"/>
              <w:ind w:left="280" w:right="104"/>
              <w:jc w:val="both"/>
              <w:rPr>
                <w:sz w:val="20"/>
              </w:rPr>
            </w:pPr>
            <w:r>
              <w:rPr>
                <w:sz w:val="20"/>
              </w:rPr>
              <w:t>infraestructura hidráulica para aprovechamiento del agua con protección ambiental</w:t>
            </w:r>
          </w:p>
          <w:p>
            <w:pPr>
              <w:pStyle w:val="TableParagraph"/>
              <w:numPr>
                <w:ilvl w:val="0"/>
                <w:numId w:val="76"/>
              </w:numPr>
              <w:tabs>
                <w:tab w:pos="812" w:val="left" w:leader="none"/>
              </w:tabs>
              <w:spacing w:line="240" w:lineRule="auto" w:before="0" w:after="0"/>
              <w:ind w:left="280" w:right="104" w:hanging="141"/>
              <w:jc w:val="both"/>
              <w:rPr>
                <w:sz w:val="20"/>
              </w:rPr>
            </w:pPr>
            <w:r>
              <w:rPr>
                <w:sz w:val="20"/>
              </w:rPr>
              <w:t>Control de la contaminación</w:t>
            </w:r>
          </w:p>
          <w:p>
            <w:pPr>
              <w:pStyle w:val="TableParagraph"/>
              <w:numPr>
                <w:ilvl w:val="0"/>
                <w:numId w:val="76"/>
              </w:numPr>
              <w:tabs>
                <w:tab w:pos="812" w:val="left" w:leader="none"/>
              </w:tabs>
              <w:spacing w:line="240" w:lineRule="auto" w:before="0" w:after="0"/>
              <w:ind w:left="280" w:right="104" w:hanging="141"/>
              <w:jc w:val="both"/>
              <w:rPr>
                <w:sz w:val="20"/>
              </w:rPr>
            </w:pPr>
            <w:r>
              <w:rPr>
                <w:sz w:val="20"/>
              </w:rPr>
              <w:t>Existe planeación ambiental con articulación entre</w:t>
            </w:r>
            <w:r>
              <w:rPr>
                <w:spacing w:val="-5"/>
                <w:sz w:val="20"/>
              </w:rPr>
              <w:t> </w:t>
            </w:r>
            <w:r>
              <w:rPr>
                <w:sz w:val="20"/>
              </w:rPr>
              <w:t>actores</w:t>
            </w:r>
          </w:p>
        </w:tc>
        <w:tc>
          <w:tcPr>
            <w:tcW w:w="1481"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477"/>
              <w:rPr>
                <w:sz w:val="20"/>
              </w:rPr>
            </w:pPr>
            <w:r>
              <w:rPr>
                <w:sz w:val="20"/>
              </w:rPr>
              <w:t>&lt;50%</w:t>
            </w:r>
          </w:p>
        </w:tc>
        <w:tc>
          <w:tcPr>
            <w:tcW w:w="2497" w:type="dxa"/>
            <w:vMerge w:val="restart"/>
          </w:tcPr>
          <w:p>
            <w:pPr>
              <w:pStyle w:val="TableParagraph"/>
              <w:tabs>
                <w:tab w:pos="1147" w:val="left" w:leader="none"/>
                <w:tab w:pos="1636" w:val="left" w:leader="none"/>
                <w:tab w:pos="2158" w:val="left" w:leader="none"/>
              </w:tabs>
              <w:spacing w:line="242" w:lineRule="auto" w:before="4"/>
              <w:ind w:right="104"/>
              <w:rPr>
                <w:sz w:val="20"/>
              </w:rPr>
            </w:pPr>
            <w:r>
              <w:rPr>
                <w:b/>
                <w:sz w:val="20"/>
              </w:rPr>
              <w:t>ninguna</w:t>
              <w:tab/>
            </w:r>
            <w:r>
              <w:rPr>
                <w:sz w:val="20"/>
              </w:rPr>
              <w:t>de</w:t>
              <w:tab/>
              <w:t>las</w:t>
              <w:tab/>
              <w:t>de impacto</w:t>
            </w:r>
            <w:r>
              <w:rPr>
                <w:spacing w:val="-3"/>
                <w:sz w:val="20"/>
              </w:rPr>
              <w:t> </w:t>
            </w:r>
            <w:r>
              <w:rPr>
                <w:sz w:val="20"/>
              </w:rPr>
              <w:t>positivo</w:t>
            </w:r>
          </w:p>
        </w:tc>
        <w:tc>
          <w:tcPr>
            <w:tcW w:w="1634"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314"/>
              <w:rPr>
                <w:b/>
                <w:sz w:val="20"/>
              </w:rPr>
            </w:pPr>
            <w:r>
              <w:rPr>
                <w:b/>
                <w:sz w:val="20"/>
              </w:rPr>
              <w:t>Deficiente</w:t>
            </w:r>
          </w:p>
        </w:tc>
      </w:tr>
      <w:tr>
        <w:trPr>
          <w:trHeight w:val="2771" w:hRule="exact"/>
        </w:trPr>
        <w:tc>
          <w:tcPr>
            <w:tcW w:w="957"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9"/>
              </w:rPr>
            </w:pPr>
          </w:p>
          <w:p>
            <w:pPr>
              <w:pStyle w:val="TableParagraph"/>
              <w:ind w:left="232"/>
              <w:rPr>
                <w:sz w:val="20"/>
              </w:rPr>
            </w:pPr>
            <w:r>
              <w:rPr>
                <w:sz w:val="20"/>
              </w:rPr>
              <w:t>2016</w:t>
            </w:r>
          </w:p>
        </w:tc>
        <w:tc>
          <w:tcPr>
            <w:tcW w:w="1903" w:type="dxa"/>
            <w:vMerge/>
          </w:tcPr>
          <w:p>
            <w:pPr/>
          </w:p>
        </w:tc>
        <w:tc>
          <w:tcPr>
            <w:tcW w:w="1349" w:type="dxa"/>
          </w:tcPr>
          <w:p>
            <w:pPr>
              <w:pStyle w:val="TableParagraph"/>
              <w:spacing w:line="228" w:lineRule="exact"/>
              <w:ind w:left="79" w:right="226"/>
              <w:jc w:val="center"/>
              <w:rPr>
                <w:sz w:val="20"/>
              </w:rPr>
            </w:pPr>
            <w:r>
              <w:rPr>
                <w:sz w:val="20"/>
              </w:rPr>
              <w:t>Económico</w:t>
            </w:r>
          </w:p>
        </w:tc>
        <w:tc>
          <w:tcPr>
            <w:tcW w:w="3000" w:type="dxa"/>
          </w:tcPr>
          <w:p>
            <w:pPr>
              <w:pStyle w:val="TableParagraph"/>
              <w:numPr>
                <w:ilvl w:val="0"/>
                <w:numId w:val="77"/>
              </w:numPr>
              <w:tabs>
                <w:tab w:pos="812" w:val="left" w:leader="none"/>
                <w:tab w:pos="2727" w:val="left" w:leader="none"/>
              </w:tabs>
              <w:spacing w:line="240" w:lineRule="auto" w:before="0" w:after="0"/>
              <w:ind w:left="280" w:right="102" w:hanging="141"/>
              <w:jc w:val="both"/>
              <w:rPr>
                <w:sz w:val="20"/>
              </w:rPr>
            </w:pPr>
            <w:r>
              <w:rPr>
                <w:sz w:val="20"/>
              </w:rPr>
              <w:t>Favorece</w:t>
              <w:tab/>
              <w:t>la producción agrícola y ganadera</w:t>
            </w:r>
          </w:p>
          <w:p>
            <w:pPr>
              <w:pStyle w:val="TableParagraph"/>
              <w:numPr>
                <w:ilvl w:val="0"/>
                <w:numId w:val="77"/>
              </w:numPr>
              <w:tabs>
                <w:tab w:pos="812" w:val="left" w:leader="none"/>
                <w:tab w:pos="2728" w:val="left" w:leader="none"/>
              </w:tabs>
              <w:spacing w:line="240" w:lineRule="auto" w:before="0" w:after="0"/>
              <w:ind w:left="280" w:right="103" w:hanging="141"/>
              <w:jc w:val="both"/>
              <w:rPr>
                <w:sz w:val="20"/>
              </w:rPr>
            </w:pPr>
            <w:r>
              <w:rPr>
                <w:sz w:val="20"/>
              </w:rPr>
              <w:t>Favorece</w:t>
              <w:tab/>
              <w:t>la distribución de la tierra entre sus</w:t>
            </w:r>
            <w:r>
              <w:rPr>
                <w:spacing w:val="-5"/>
                <w:sz w:val="20"/>
              </w:rPr>
              <w:t> </w:t>
            </w:r>
            <w:r>
              <w:rPr>
                <w:sz w:val="20"/>
              </w:rPr>
              <w:t>pobladores</w:t>
            </w:r>
          </w:p>
          <w:p>
            <w:pPr>
              <w:pStyle w:val="TableParagraph"/>
              <w:numPr>
                <w:ilvl w:val="0"/>
                <w:numId w:val="77"/>
              </w:numPr>
              <w:tabs>
                <w:tab w:pos="811" w:val="left" w:leader="none"/>
                <w:tab w:pos="812" w:val="left" w:leader="none"/>
                <w:tab w:pos="2660" w:val="left" w:leader="none"/>
              </w:tabs>
              <w:spacing w:line="229" w:lineRule="exact" w:before="0" w:after="0"/>
              <w:ind w:left="811" w:right="0" w:hanging="672"/>
              <w:jc w:val="left"/>
              <w:rPr>
                <w:sz w:val="20"/>
              </w:rPr>
            </w:pPr>
            <w:r>
              <w:rPr>
                <w:sz w:val="20"/>
              </w:rPr>
              <w:t>Asignación</w:t>
              <w:tab/>
              <w:t>de</w:t>
            </w:r>
          </w:p>
          <w:p>
            <w:pPr>
              <w:pStyle w:val="TableParagraph"/>
              <w:tabs>
                <w:tab w:pos="1599" w:val="left" w:leader="none"/>
                <w:tab w:pos="2372" w:val="left" w:leader="none"/>
              </w:tabs>
              <w:ind w:left="280" w:right="100"/>
              <w:rPr>
                <w:sz w:val="20"/>
              </w:rPr>
            </w:pPr>
            <w:r>
              <w:rPr>
                <w:sz w:val="20"/>
              </w:rPr>
              <w:t>recursos</w:t>
              <w:tab/>
              <w:t>en</w:t>
              <w:tab/>
              <w:t>forma democrática y</w:t>
            </w:r>
            <w:r>
              <w:rPr>
                <w:spacing w:val="-8"/>
                <w:sz w:val="20"/>
              </w:rPr>
              <w:t> </w:t>
            </w:r>
            <w:r>
              <w:rPr>
                <w:sz w:val="20"/>
              </w:rPr>
              <w:t>equitativa</w:t>
            </w:r>
          </w:p>
          <w:p>
            <w:pPr>
              <w:pStyle w:val="TableParagraph"/>
              <w:numPr>
                <w:ilvl w:val="0"/>
                <w:numId w:val="77"/>
              </w:numPr>
              <w:tabs>
                <w:tab w:pos="812" w:val="left" w:leader="none"/>
              </w:tabs>
              <w:spacing w:line="240" w:lineRule="auto" w:before="0" w:after="0"/>
              <w:ind w:left="280" w:right="104" w:hanging="141"/>
              <w:jc w:val="both"/>
              <w:rPr>
                <w:sz w:val="20"/>
              </w:rPr>
            </w:pPr>
            <w:r>
              <w:rPr>
                <w:sz w:val="20"/>
              </w:rPr>
              <w:t>Existe planeación económica con articulación entre</w:t>
            </w:r>
            <w:r>
              <w:rPr>
                <w:spacing w:val="-5"/>
                <w:sz w:val="20"/>
              </w:rPr>
              <w:t> </w:t>
            </w:r>
            <w:r>
              <w:rPr>
                <w:sz w:val="20"/>
              </w:rPr>
              <w:t>actores</w:t>
            </w:r>
          </w:p>
        </w:tc>
        <w:tc>
          <w:tcPr>
            <w:tcW w:w="1481" w:type="dxa"/>
            <w:vMerge/>
          </w:tcPr>
          <w:p>
            <w:pPr/>
          </w:p>
        </w:tc>
        <w:tc>
          <w:tcPr>
            <w:tcW w:w="2497" w:type="dxa"/>
            <w:vMerge/>
          </w:tcPr>
          <w:p>
            <w:pPr/>
          </w:p>
        </w:tc>
        <w:tc>
          <w:tcPr>
            <w:tcW w:w="1634" w:type="dxa"/>
            <w:vMerge/>
            <w:tcBorders>
              <w:right w:val="double" w:sz="12" w:space="0" w:color="000000"/>
            </w:tcBorders>
            <w:shd w:val="clear" w:color="auto" w:fill="FF0000"/>
          </w:tcPr>
          <w:p>
            <w:pPr/>
          </w:p>
        </w:tc>
      </w:tr>
      <w:tr>
        <w:trPr>
          <w:trHeight w:val="3459" w:hRule="exact"/>
        </w:trPr>
        <w:tc>
          <w:tcPr>
            <w:tcW w:w="957" w:type="dxa"/>
            <w:tcBorders>
              <w:left w:val="double" w:sz="11" w:space="0" w:color="000000"/>
            </w:tcBorders>
          </w:tcPr>
          <w:p>
            <w:pPr/>
          </w:p>
        </w:tc>
        <w:tc>
          <w:tcPr>
            <w:tcW w:w="1903" w:type="dxa"/>
            <w:vMerge/>
          </w:tcPr>
          <w:p>
            <w:pPr/>
          </w:p>
        </w:tc>
        <w:tc>
          <w:tcPr>
            <w:tcW w:w="1349" w:type="dxa"/>
          </w:tcPr>
          <w:p>
            <w:pPr>
              <w:pStyle w:val="TableParagraph"/>
              <w:spacing w:line="227" w:lineRule="exact"/>
              <w:ind w:left="79" w:right="83"/>
              <w:jc w:val="center"/>
              <w:rPr>
                <w:sz w:val="20"/>
              </w:rPr>
            </w:pPr>
            <w:r>
              <w:rPr>
                <w:sz w:val="20"/>
              </w:rPr>
              <w:t>Sociopolítico</w:t>
            </w:r>
          </w:p>
        </w:tc>
        <w:tc>
          <w:tcPr>
            <w:tcW w:w="3000" w:type="dxa"/>
          </w:tcPr>
          <w:p>
            <w:pPr>
              <w:pStyle w:val="TableParagraph"/>
              <w:ind w:left="280" w:right="105" w:hanging="178"/>
              <w:jc w:val="both"/>
              <w:rPr>
                <w:sz w:val="20"/>
              </w:rPr>
            </w:pPr>
            <w:r>
              <w:rPr>
                <w:rFonts w:ascii="Wingdings" w:hAnsi="Wingdings"/>
                <w:sz w:val="20"/>
              </w:rPr>
              <w:t></w:t>
            </w:r>
            <w:r>
              <w:rPr>
                <w:sz w:val="20"/>
              </w:rPr>
              <w:t>Favorece la resolución de conflictos internos y externos entre actores</w:t>
            </w:r>
          </w:p>
          <w:p>
            <w:pPr>
              <w:pStyle w:val="TableParagraph"/>
              <w:tabs>
                <w:tab w:pos="1782" w:val="left" w:leader="none"/>
                <w:tab w:pos="2561" w:val="left" w:leader="none"/>
              </w:tabs>
              <w:ind w:left="280" w:right="104" w:hanging="178"/>
              <w:jc w:val="both"/>
              <w:rPr>
                <w:sz w:val="20"/>
              </w:rPr>
            </w:pPr>
            <w:r>
              <w:rPr>
                <w:rFonts w:ascii="Wingdings" w:hAnsi="Wingdings"/>
                <w:sz w:val="20"/>
              </w:rPr>
              <w:t></w:t>
            </w:r>
            <w:r>
              <w:rPr>
                <w:sz w:val="20"/>
              </w:rPr>
              <w:t>Fortalece</w:t>
              <w:tab/>
              <w:t>instituciones sociopolíticas</w:t>
              <w:tab/>
              <w:tab/>
              <w:t>con democracia</w:t>
            </w:r>
          </w:p>
          <w:p>
            <w:pPr>
              <w:pStyle w:val="TableParagraph"/>
              <w:ind w:left="280" w:right="104" w:hanging="178"/>
              <w:jc w:val="both"/>
              <w:rPr>
                <w:sz w:val="20"/>
              </w:rPr>
            </w:pPr>
            <w:r>
              <w:rPr>
                <w:rFonts w:ascii="Wingdings" w:hAnsi="Wingdings"/>
                <w:sz w:val="20"/>
              </w:rPr>
              <w:t></w:t>
            </w:r>
            <w:r>
              <w:rPr>
                <w:sz w:val="20"/>
              </w:rPr>
              <w:t>Favorece la  articulación entre actores</w:t>
            </w:r>
          </w:p>
          <w:p>
            <w:pPr>
              <w:pStyle w:val="TableParagraph"/>
              <w:spacing w:line="228" w:lineRule="exact"/>
              <w:ind w:right="100"/>
              <w:rPr>
                <w:sz w:val="20"/>
              </w:rPr>
            </w:pPr>
            <w:r>
              <w:rPr>
                <w:rFonts w:ascii="Wingdings" w:hAnsi="Wingdings"/>
                <w:sz w:val="20"/>
              </w:rPr>
              <w:t></w:t>
            </w:r>
            <w:r>
              <w:rPr>
                <w:sz w:val="20"/>
              </w:rPr>
              <w:t>Favorece la GIRH</w:t>
            </w:r>
          </w:p>
          <w:p>
            <w:pPr>
              <w:pStyle w:val="TableParagraph"/>
              <w:ind w:right="100"/>
              <w:rPr>
                <w:sz w:val="20"/>
              </w:rPr>
            </w:pPr>
            <w:r>
              <w:rPr>
                <w:rFonts w:ascii="Wingdings" w:hAnsi="Wingdings"/>
                <w:sz w:val="20"/>
              </w:rPr>
              <w:t></w:t>
            </w:r>
            <w:r>
              <w:rPr>
                <w:sz w:val="20"/>
              </w:rPr>
              <w:t>Favorece la gobernanza</w:t>
            </w:r>
          </w:p>
          <w:p>
            <w:pPr>
              <w:pStyle w:val="TableParagraph"/>
              <w:spacing w:before="1"/>
              <w:ind w:right="100"/>
              <w:rPr>
                <w:sz w:val="20"/>
              </w:rPr>
            </w:pPr>
            <w:r>
              <w:rPr>
                <w:rFonts w:ascii="Wingdings" w:hAnsi="Wingdings"/>
                <w:sz w:val="20"/>
              </w:rPr>
              <w:t></w:t>
            </w:r>
            <w:r>
              <w:rPr>
                <w:sz w:val="20"/>
              </w:rPr>
              <w:t>Fortalece la gobernabilidad</w:t>
            </w:r>
          </w:p>
          <w:p>
            <w:pPr>
              <w:pStyle w:val="TableParagraph"/>
              <w:ind w:right="100"/>
              <w:rPr>
                <w:sz w:val="20"/>
              </w:rPr>
            </w:pPr>
            <w:r>
              <w:rPr>
                <w:rFonts w:ascii="Wingdings" w:hAnsi="Wingdings"/>
                <w:sz w:val="20"/>
              </w:rPr>
              <w:t></w:t>
            </w:r>
            <w:r>
              <w:rPr>
                <w:rFonts w:ascii="Times New Roman" w:hAnsi="Times New Roman"/>
                <w:sz w:val="20"/>
              </w:rPr>
              <w:t> </w:t>
            </w:r>
            <w:r>
              <w:rPr>
                <w:sz w:val="20"/>
              </w:rPr>
              <w:t>Regula el poder</w:t>
            </w:r>
          </w:p>
          <w:p>
            <w:pPr>
              <w:pStyle w:val="TableParagraph"/>
              <w:tabs>
                <w:tab w:pos="1916"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81" w:type="dxa"/>
          </w:tcPr>
          <w:p>
            <w:pPr/>
          </w:p>
        </w:tc>
        <w:tc>
          <w:tcPr>
            <w:tcW w:w="2497" w:type="dxa"/>
            <w:vMerge/>
          </w:tcPr>
          <w:p>
            <w:pPr/>
          </w:p>
        </w:tc>
        <w:tc>
          <w:tcPr>
            <w:tcW w:w="1634" w:type="dxa"/>
            <w:vMerge/>
            <w:tcBorders>
              <w:right w:val="double" w:sz="12" w:space="0" w:color="000000"/>
            </w:tcBorders>
            <w:shd w:val="clear" w:color="auto" w:fill="FF0000"/>
          </w:tcPr>
          <w:p>
            <w:pPr/>
          </w:p>
        </w:tc>
      </w:tr>
      <w:tr>
        <w:trPr>
          <w:trHeight w:val="264"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tc>
      </w:tr>
    </w:tbl>
    <w:p>
      <w:pPr>
        <w:spacing w:after="0" w:line="248" w:lineRule="exact"/>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31240"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rPr>
          <w:rFonts w:ascii="Times New Roman"/>
          <w:sz w:val="20"/>
        </w:rPr>
      </w:pPr>
    </w:p>
    <w:p>
      <w:pPr>
        <w:pStyle w:val="BodyText"/>
        <w:spacing w:before="10"/>
        <w:rPr>
          <w:rFonts w:ascii="Times New Roman"/>
          <w:sz w:val="24"/>
        </w:rPr>
      </w:pPr>
    </w:p>
    <w:p>
      <w:pPr>
        <w:pStyle w:val="Heading6"/>
        <w:spacing w:before="73"/>
        <w:ind w:left="180"/>
        <w:jc w:val="both"/>
      </w:pPr>
      <w:r>
        <w:rPr/>
        <w:t>Interpretación de la anterior gráfica y de la tarjeta de valoración:</w:t>
      </w:r>
    </w:p>
    <w:p>
      <w:pPr>
        <w:pStyle w:val="ListParagraph"/>
        <w:numPr>
          <w:ilvl w:val="0"/>
          <w:numId w:val="78"/>
        </w:numPr>
        <w:tabs>
          <w:tab w:pos="322" w:val="left" w:leader="none"/>
        </w:tabs>
        <w:spacing w:line="240" w:lineRule="auto" w:before="4" w:after="0"/>
        <w:ind w:left="180" w:right="399" w:firstLine="0"/>
        <w:jc w:val="both"/>
        <w:rPr>
          <w:sz w:val="22"/>
        </w:rPr>
      </w:pPr>
      <w:r>
        <w:rPr>
          <w:sz w:val="22"/>
        </w:rPr>
        <w:t>En 1400, época prehispánica, la Cuenca pertenecía a la provincia política del Señorío de Xilotepec. Estaba poblada por otomíes principalmente, divididos en clases sociales. Su base económica estaba apoyada principalmente en el uso intensivo de un cuerpo de agua utilizado para el riego (ese antiguo cuerpo de agua daría posteriormente lugar a la presa Huapango y a la presa Huaracha). Debido a esa intensidad del uso del agua, dicha provincia y Señorío de Xilotepec, adquirió una importancia política, religiosa y económica hasta convertirse en un importante Estado prehispánico con centro ceremonial y religioso llamado</w:t>
      </w:r>
      <w:r>
        <w:rPr>
          <w:spacing w:val="-39"/>
          <w:sz w:val="22"/>
        </w:rPr>
        <w:t> </w:t>
      </w:r>
      <w:r>
        <w:rPr>
          <w:sz w:val="22"/>
        </w:rPr>
        <w:t>Jilotepec.</w:t>
      </w:r>
    </w:p>
    <w:p>
      <w:pPr>
        <w:pStyle w:val="ListParagraph"/>
        <w:numPr>
          <w:ilvl w:val="0"/>
          <w:numId w:val="78"/>
        </w:numPr>
        <w:tabs>
          <w:tab w:pos="317" w:val="left" w:leader="none"/>
        </w:tabs>
        <w:spacing w:line="240" w:lineRule="auto" w:before="1" w:after="0"/>
        <w:ind w:left="180" w:right="398" w:firstLine="0"/>
        <w:jc w:val="both"/>
        <w:rPr>
          <w:sz w:val="22"/>
        </w:rPr>
      </w:pPr>
      <w:r>
        <w:rPr>
          <w:sz w:val="22"/>
        </w:rPr>
        <w:t>En 1519, dicha región fue visitada por primera vez por los españoles; pero fue a mediados de la década de 1520 que la provincia de Xilotepec fue dominada en la parte sur por los españoles, y en 1533 se le asignó el territorio como Encomienda,  al conquistador Juan Jaramillo de Salvatierra (esposo de la Malinche). En este período, la provincia de Xilotepec, se conectó económica y políticamente al  sistema mundo, como parte del territorio</w:t>
      </w:r>
      <w:r>
        <w:rPr>
          <w:spacing w:val="-24"/>
          <w:sz w:val="22"/>
        </w:rPr>
        <w:t> </w:t>
      </w:r>
      <w:r>
        <w:rPr>
          <w:sz w:val="22"/>
        </w:rPr>
        <w:t>español.</w:t>
      </w:r>
    </w:p>
    <w:p>
      <w:pPr>
        <w:pStyle w:val="ListParagraph"/>
        <w:numPr>
          <w:ilvl w:val="0"/>
          <w:numId w:val="78"/>
        </w:numPr>
        <w:tabs>
          <w:tab w:pos="447" w:val="left" w:leader="none"/>
        </w:tabs>
        <w:spacing w:line="240" w:lineRule="auto" w:before="0" w:after="0"/>
        <w:ind w:left="180" w:right="397" w:firstLine="62"/>
        <w:jc w:val="both"/>
        <w:rPr>
          <w:sz w:val="22"/>
        </w:rPr>
      </w:pPr>
      <w:r>
        <w:rPr>
          <w:sz w:val="22"/>
        </w:rPr>
        <w:t>Hacia el año 1580, con la dominación española, la encomienda de la provincia de Xilotepec se conformó política y económicamente en territorio de haciendas de ganado mayor y menor, en las que trabajaba un número creciente de españoles y mulatos. Así que para el año de 1794, ya existían 25 haciendas y 95 ranchos ganaderos y productores de leche. En este período hubo impacto económico y político, pero sobre todo, los derechos civiles de los trabajadores nativos eran precarios, porque existía concentración de la tierra y sobreexplotación de su labor a través de las tiendas de</w:t>
      </w:r>
      <w:r>
        <w:rPr>
          <w:spacing w:val="-24"/>
          <w:sz w:val="22"/>
        </w:rPr>
        <w:t> </w:t>
      </w:r>
      <w:r>
        <w:rPr>
          <w:sz w:val="22"/>
        </w:rPr>
        <w:t>raya.</w:t>
      </w:r>
    </w:p>
    <w:p>
      <w:pPr>
        <w:pStyle w:val="ListParagraph"/>
        <w:numPr>
          <w:ilvl w:val="0"/>
          <w:numId w:val="78"/>
        </w:numPr>
        <w:tabs>
          <w:tab w:pos="348" w:val="left" w:leader="none"/>
        </w:tabs>
        <w:spacing w:line="240" w:lineRule="auto" w:before="0" w:after="0"/>
        <w:ind w:left="180" w:right="402" w:firstLine="0"/>
        <w:jc w:val="both"/>
        <w:rPr>
          <w:sz w:val="22"/>
        </w:rPr>
      </w:pPr>
      <w:r>
        <w:rPr>
          <w:sz w:val="22"/>
        </w:rPr>
        <w:t>Hacia 1785-1788, los religiosos franciscanos que ya estaban en la región y que también eran dueños de ranchos y tierras, decidieron construir sobre el antiguo lago prehispánico, una presa de gran tamaño, capaz de regar tierras para el cultivo, y dar sostenimiento a miles de cabezas de ganado mayor. Dicho cuerpo de agua se conoció como presa o laguna de Huapango, uno  de los cuerpos de agua artificial más grandes del centro del país, y origen de la actual cuenca lechera más importante del Estado de México. En esta época subió el impacto económico, político y social de la región al aumentar el uso de los recursos de la CHPH, principalmente el</w:t>
      </w:r>
      <w:r>
        <w:rPr>
          <w:spacing w:val="-9"/>
          <w:sz w:val="22"/>
        </w:rPr>
        <w:t> </w:t>
      </w:r>
      <w:r>
        <w:rPr>
          <w:sz w:val="22"/>
        </w:rPr>
        <w:t>agua.</w:t>
      </w:r>
    </w:p>
    <w:p>
      <w:pPr>
        <w:pStyle w:val="ListParagraph"/>
        <w:numPr>
          <w:ilvl w:val="0"/>
          <w:numId w:val="78"/>
        </w:numPr>
        <w:tabs>
          <w:tab w:pos="320" w:val="left" w:leader="none"/>
        </w:tabs>
        <w:spacing w:line="240" w:lineRule="auto" w:before="1" w:after="0"/>
        <w:ind w:left="180" w:right="401" w:firstLine="0"/>
        <w:jc w:val="both"/>
        <w:rPr>
          <w:sz w:val="22"/>
        </w:rPr>
      </w:pPr>
      <w:r>
        <w:rPr>
          <w:sz w:val="22"/>
        </w:rPr>
        <w:t>En 1810 inició la independencia de la antigua Nueva España, hoy México. Esta fecha tiene un gran impacto porque se considera el parteaguas de la lucha civil en la CHPH, para que se reconocieran mejores derechos sociopolíticos, económicos y ambientales de los ciudadanos de la antigua provincia de</w:t>
      </w:r>
      <w:r>
        <w:rPr>
          <w:spacing w:val="-12"/>
          <w:sz w:val="22"/>
        </w:rPr>
        <w:t> </w:t>
      </w:r>
      <w:r>
        <w:rPr>
          <w:sz w:val="22"/>
        </w:rPr>
        <w:t>Xilotepec.</w:t>
      </w:r>
    </w:p>
    <w:p>
      <w:pPr>
        <w:pStyle w:val="ListParagraph"/>
        <w:numPr>
          <w:ilvl w:val="0"/>
          <w:numId w:val="78"/>
        </w:numPr>
        <w:tabs>
          <w:tab w:pos="336" w:val="left" w:leader="none"/>
        </w:tabs>
        <w:spacing w:line="240" w:lineRule="auto" w:before="0" w:after="0"/>
        <w:ind w:left="180" w:right="397" w:firstLine="0"/>
        <w:jc w:val="both"/>
        <w:rPr>
          <w:sz w:val="22"/>
        </w:rPr>
      </w:pPr>
      <w:r>
        <w:rPr>
          <w:sz w:val="22"/>
        </w:rPr>
        <w:t>Aunque el municipio en México tiene sus orígenes en la época prehispánica con los </w:t>
      </w:r>
      <w:r>
        <w:rPr>
          <w:i/>
          <w:sz w:val="22"/>
        </w:rPr>
        <w:t>Tlahtocayos</w:t>
      </w:r>
      <w:r>
        <w:rPr>
          <w:sz w:val="22"/>
        </w:rPr>
        <w:t>, fue hasta la Constitución de Cádiz de 1812, que se constituyó formalmente; este evento histórico socio político, permitió que se formaran e instituyeran </w:t>
      </w:r>
      <w:r>
        <w:rPr>
          <w:spacing w:val="3"/>
          <w:sz w:val="22"/>
        </w:rPr>
        <w:t>los </w:t>
      </w:r>
      <w:r>
        <w:rPr>
          <w:sz w:val="22"/>
        </w:rPr>
        <w:t>actuales municipios de la CHPH, siendo el primero en 1861 por decreto No. 27 la Villa de Jilotepec. Sin embargo dicha institución surge con una serie de limitaciones importantes que repercuten hasta la fecha, entre las principales deficiencias está la administración de solo algunos servicios públicos, donde no se cuenta ni estipula su competencia jurídica en torno a la protección del medio ambiente, y menos en conjunto con los municipios vecinos. Estas deficiencias siguen afectando las decisiones sociopolíticas de la Cuenca (a pesar de las reformas al artículo 115); el municipio sigue estando supeditado al sistema federal y estatal, lo cual no le permite tener la “autonomía y soberanía” que se estipula en la Constitución para su territorio, población y gobierno,  por lo que el municipio desde su origen, tiene problemas en sus facultades políticas-sociales, atribuciones limitadas</w:t>
      </w:r>
      <w:r>
        <w:rPr>
          <w:spacing w:val="-15"/>
          <w:sz w:val="22"/>
        </w:rPr>
        <w:t> </w:t>
      </w:r>
      <w:r>
        <w:rPr>
          <w:sz w:val="22"/>
        </w:rPr>
        <w:t>que</w:t>
      </w:r>
    </w:p>
    <w:p>
      <w:pPr>
        <w:spacing w:after="0" w:line="240" w:lineRule="auto"/>
        <w:jc w:val="both"/>
        <w:rPr>
          <w:sz w:val="22"/>
        </w:rPr>
        <w:sectPr>
          <w:pgSz w:w="15840" w:h="12240" w:orient="landscape"/>
          <w:pgMar w:header="0" w:footer="943" w:top="1140" w:bottom="1140" w:left="1200" w:right="1300"/>
        </w:sectPr>
      </w:pPr>
    </w:p>
    <w:p>
      <w:pPr>
        <w:pStyle w:val="BodyText"/>
        <w:rPr>
          <w:sz w:val="20"/>
        </w:rPr>
      </w:pPr>
      <w:r>
        <w:rPr/>
        <w:pict>
          <v:group style="position:absolute;margin-left:65.269997pt;margin-top:84.849998pt;width:645.4pt;height:431.65pt;mso-position-horizontal-relative:page;mso-position-vertical-relative:page;z-index:-3331216"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sz w:val="23"/>
        </w:rPr>
      </w:pPr>
    </w:p>
    <w:p>
      <w:pPr>
        <w:pStyle w:val="BodyText"/>
        <w:spacing w:before="72"/>
        <w:ind w:left="180" w:right="400"/>
        <w:jc w:val="both"/>
      </w:pPr>
      <w:r>
        <w:rPr/>
        <w:t>tienen un gran impacto sociopolítico, económico y ambiental como institución, que afectan directamente al agua y a sus habitantes de la</w:t>
      </w:r>
      <w:r>
        <w:rPr>
          <w:spacing w:val="57"/>
        </w:rPr>
        <w:t> </w:t>
      </w:r>
      <w:r>
        <w:rPr/>
        <w:t>Cuenca.</w:t>
      </w:r>
    </w:p>
    <w:p>
      <w:pPr>
        <w:pStyle w:val="ListParagraph"/>
        <w:numPr>
          <w:ilvl w:val="0"/>
          <w:numId w:val="78"/>
        </w:numPr>
        <w:tabs>
          <w:tab w:pos="332" w:val="left" w:leader="none"/>
        </w:tabs>
        <w:spacing w:line="240" w:lineRule="auto" w:before="1" w:after="0"/>
        <w:ind w:left="180" w:right="396" w:firstLine="0"/>
        <w:jc w:val="both"/>
        <w:rPr>
          <w:sz w:val="22"/>
        </w:rPr>
      </w:pPr>
      <w:r>
        <w:rPr>
          <w:sz w:val="22"/>
        </w:rPr>
        <w:t>En 1910, inicio la revolución mexicana que tuvo varias causas, entre ellas, la dictadura en la presidencia de la República, pero sobre todo, fueron los grandes latifundios que provocaron la decadencia de la agricultura, ya que el territorio nacional era propiedad de tan sólo 840 familias de hacendados, donde los abusos de esclavitud contra el campesinado y los obreros, limitaron el desarrollo agrícola y social de los actores. Dichas injusticias sociales provocaron la demanda de derechos civiles, por lo que dichas peticiones se plasmaron en la Constitución de 1917, como el derecho a la tierra y el acceso a los recursos naturales. Sin embargo, estos derechos fueron abusados por nuevos actores, lo que ocasionó la sobreexplotación de los recursos naturales, sobre todo bosques y aguas, provocando nuevas desigualdades sociopolíticas, por lo que ésta época tiene un gran impacto en lo social, económico y ambiental de la</w:t>
      </w:r>
      <w:r>
        <w:rPr>
          <w:spacing w:val="-11"/>
          <w:sz w:val="22"/>
        </w:rPr>
        <w:t> </w:t>
      </w:r>
      <w:r>
        <w:rPr>
          <w:sz w:val="22"/>
        </w:rPr>
        <w:t>Cuenca.</w:t>
      </w:r>
    </w:p>
    <w:p>
      <w:pPr>
        <w:pStyle w:val="ListParagraph"/>
        <w:numPr>
          <w:ilvl w:val="0"/>
          <w:numId w:val="78"/>
        </w:numPr>
        <w:tabs>
          <w:tab w:pos="322" w:val="left" w:leader="none"/>
        </w:tabs>
        <w:spacing w:line="240" w:lineRule="auto" w:before="0" w:after="0"/>
        <w:ind w:left="180" w:right="400" w:firstLine="0"/>
        <w:jc w:val="both"/>
        <w:rPr>
          <w:sz w:val="22"/>
        </w:rPr>
      </w:pPr>
      <w:r>
        <w:rPr>
          <w:sz w:val="22"/>
        </w:rPr>
        <w:t>La reforma agraria mexicana ha sido un proceso complejo y prolongado. La reforma tuvo su origen en una revolución popular de gran envergadura, y se desarrolló durante una guerra civil. El Plan de Ayala, propuesto por Emiliano Zapata y adoptado en 1911, exigía la devolución a los pueblos de las tierras que habían sido concentradas en las haciendas. En 1912 algunos jefes militares revolucionarios hicieron los primeros repartos de tierras. En 1915 las tres fuerzas revolucionarias más importantes, el constitucionalismo, el villismo y el zapatismo, promulgaron las leyes agrarias.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w:t>
      </w:r>
      <w:r>
        <w:rPr>
          <w:spacing w:val="2"/>
          <w:sz w:val="22"/>
        </w:rPr>
        <w:t>del </w:t>
      </w:r>
      <w:r>
        <w:rPr>
          <w:sz w:val="22"/>
        </w:rPr>
        <w:t>Río (1936-1940)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los bosques, etc.) que aún no se pueden resolver, teniendo esto un alto impacto en lo sociopolítico, económico y</w:t>
      </w:r>
      <w:r>
        <w:rPr>
          <w:spacing w:val="-11"/>
          <w:sz w:val="22"/>
        </w:rPr>
        <w:t> </w:t>
      </w:r>
      <w:r>
        <w:rPr>
          <w:sz w:val="22"/>
        </w:rPr>
        <w:t>ambiental.</w:t>
      </w:r>
    </w:p>
    <w:p>
      <w:pPr>
        <w:pStyle w:val="ListParagraph"/>
        <w:numPr>
          <w:ilvl w:val="0"/>
          <w:numId w:val="78"/>
        </w:numPr>
        <w:tabs>
          <w:tab w:pos="327" w:val="left" w:leader="none"/>
        </w:tabs>
        <w:spacing w:line="240" w:lineRule="auto" w:before="1" w:after="0"/>
        <w:ind w:left="180" w:right="399" w:firstLine="0"/>
        <w:jc w:val="both"/>
        <w:rPr>
          <w:sz w:val="22"/>
        </w:rPr>
      </w:pPr>
      <w:r>
        <w:rPr>
          <w:sz w:val="22"/>
        </w:rPr>
        <w:t>En 1982, el primer presidente neoliberal, Miguel de la Madrid, comienza la internacionalización del libre mercado, con lo que se da pie al nuevo sistema económico y político social, que promueve la intervención mínima del Estado y el libre juego de la  apertura del mercado. Dicha corriente fomenta el consumo de los recursos naturales, así como las prácticas de producción altamente contaminantes, ya que las multinacionales extienden su poder económico hacia las regiones de los países menos desarrollados, generando crisis ambientales locales y regionales, que acrecientan la de carácter global. La CHPH no es la excepción, el consumo de los recursos naturales (agua) está siendo voraz; y el deterioro ambiental por la generación de servicios (construcción de autopista Arco Norte) obedece a intereses económicos ajenos a los actores históricos, y han dejado a la región en</w:t>
      </w:r>
      <w:r>
        <w:rPr>
          <w:spacing w:val="15"/>
          <w:sz w:val="22"/>
        </w:rPr>
        <w:t> </w:t>
      </w:r>
      <w:r>
        <w:rPr>
          <w:sz w:val="22"/>
        </w:rPr>
        <w:t>una</w:t>
      </w:r>
      <w:r>
        <w:rPr>
          <w:spacing w:val="15"/>
          <w:sz w:val="22"/>
        </w:rPr>
        <w:t> </w:t>
      </w:r>
      <w:r>
        <w:rPr>
          <w:sz w:val="22"/>
        </w:rPr>
        <w:t>práctica</w:t>
      </w:r>
      <w:r>
        <w:rPr>
          <w:spacing w:val="15"/>
          <w:sz w:val="22"/>
        </w:rPr>
        <w:t> </w:t>
      </w:r>
      <w:r>
        <w:rPr>
          <w:sz w:val="22"/>
        </w:rPr>
        <w:t>vulnerabilidad</w:t>
      </w:r>
      <w:r>
        <w:rPr>
          <w:spacing w:val="15"/>
          <w:sz w:val="22"/>
        </w:rPr>
        <w:t> </w:t>
      </w:r>
      <w:r>
        <w:rPr>
          <w:sz w:val="22"/>
        </w:rPr>
        <w:t>socio-ambiental,</w:t>
      </w:r>
      <w:r>
        <w:rPr>
          <w:spacing w:val="14"/>
          <w:sz w:val="22"/>
        </w:rPr>
        <w:t> </w:t>
      </w:r>
      <w:r>
        <w:rPr>
          <w:sz w:val="22"/>
        </w:rPr>
        <w:t>por</w:t>
      </w:r>
      <w:r>
        <w:rPr>
          <w:spacing w:val="16"/>
          <w:sz w:val="22"/>
        </w:rPr>
        <w:t> </w:t>
      </w:r>
      <w:r>
        <w:rPr>
          <w:sz w:val="22"/>
        </w:rPr>
        <w:t>lo</w:t>
      </w:r>
      <w:r>
        <w:rPr>
          <w:spacing w:val="13"/>
          <w:sz w:val="22"/>
        </w:rPr>
        <w:t> </w:t>
      </w:r>
      <w:r>
        <w:rPr>
          <w:sz w:val="22"/>
        </w:rPr>
        <w:t>que</w:t>
      </w:r>
      <w:r>
        <w:rPr>
          <w:spacing w:val="15"/>
          <w:sz w:val="22"/>
        </w:rPr>
        <w:t> </w:t>
      </w:r>
      <w:r>
        <w:rPr>
          <w:sz w:val="22"/>
        </w:rPr>
        <w:t>esta</w:t>
      </w:r>
      <w:r>
        <w:rPr>
          <w:spacing w:val="15"/>
          <w:sz w:val="22"/>
        </w:rPr>
        <w:t> </w:t>
      </w:r>
      <w:r>
        <w:rPr>
          <w:sz w:val="22"/>
        </w:rPr>
        <w:t>época</w:t>
      </w:r>
      <w:r>
        <w:rPr>
          <w:spacing w:val="12"/>
          <w:sz w:val="22"/>
        </w:rPr>
        <w:t> </w:t>
      </w:r>
      <w:r>
        <w:rPr>
          <w:sz w:val="22"/>
        </w:rPr>
        <w:t>tuvo</w:t>
      </w:r>
      <w:r>
        <w:rPr>
          <w:spacing w:val="15"/>
          <w:sz w:val="22"/>
        </w:rPr>
        <w:t> </w:t>
      </w:r>
      <w:r>
        <w:rPr>
          <w:sz w:val="22"/>
        </w:rPr>
        <w:t>un</w:t>
      </w:r>
      <w:r>
        <w:rPr>
          <w:spacing w:val="15"/>
          <w:sz w:val="22"/>
        </w:rPr>
        <w:t> </w:t>
      </w:r>
      <w:r>
        <w:rPr>
          <w:sz w:val="22"/>
        </w:rPr>
        <w:t>impacto</w:t>
      </w:r>
      <w:r>
        <w:rPr>
          <w:spacing w:val="15"/>
          <w:sz w:val="22"/>
        </w:rPr>
        <w:t> </w:t>
      </w:r>
      <w:r>
        <w:rPr>
          <w:sz w:val="22"/>
        </w:rPr>
        <w:t>negativo</w:t>
      </w:r>
      <w:r>
        <w:rPr>
          <w:spacing w:val="15"/>
          <w:sz w:val="22"/>
        </w:rPr>
        <w:t> </w:t>
      </w:r>
      <w:r>
        <w:rPr>
          <w:sz w:val="22"/>
        </w:rPr>
        <w:t>en</w:t>
      </w:r>
      <w:r>
        <w:rPr>
          <w:spacing w:val="15"/>
          <w:sz w:val="22"/>
        </w:rPr>
        <w:t> </w:t>
      </w:r>
      <w:r>
        <w:rPr>
          <w:sz w:val="22"/>
        </w:rPr>
        <w:t>lo</w:t>
      </w:r>
      <w:r>
        <w:rPr>
          <w:spacing w:val="15"/>
          <w:sz w:val="22"/>
        </w:rPr>
        <w:t> </w:t>
      </w:r>
      <w:r>
        <w:rPr>
          <w:sz w:val="22"/>
        </w:rPr>
        <w:t>sociopolítico,</w:t>
      </w:r>
      <w:r>
        <w:rPr>
          <w:spacing w:val="16"/>
          <w:sz w:val="22"/>
        </w:rPr>
        <w:t> </w:t>
      </w:r>
      <w:r>
        <w:rPr>
          <w:sz w:val="22"/>
        </w:rPr>
        <w:t>económico</w:t>
      </w:r>
      <w:r>
        <w:rPr>
          <w:spacing w:val="15"/>
          <w:sz w:val="22"/>
        </w:rPr>
        <w:t> </w:t>
      </w:r>
      <w:r>
        <w:rPr>
          <w:sz w:val="22"/>
        </w:rPr>
        <w:t>y</w:t>
      </w:r>
    </w:p>
    <w:p>
      <w:pPr>
        <w:spacing w:after="0" w:line="240" w:lineRule="auto"/>
        <w:jc w:val="both"/>
        <w:rPr>
          <w:sz w:val="22"/>
        </w:rPr>
        <w:sectPr>
          <w:pgSz w:w="15840" w:h="12240" w:orient="landscape"/>
          <w:pgMar w:header="0" w:footer="943" w:top="1140" w:bottom="120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3046" w:hRule="exact"/>
        </w:trPr>
        <w:tc>
          <w:tcPr>
            <w:tcW w:w="12897" w:type="dxa"/>
          </w:tcPr>
          <w:p>
            <w:pPr>
              <w:pStyle w:val="TableParagraph"/>
              <w:spacing w:line="250" w:lineRule="exact"/>
              <w:ind w:left="64"/>
              <w:jc w:val="both"/>
              <w:rPr>
                <w:sz w:val="22"/>
              </w:rPr>
            </w:pPr>
            <w:r>
              <w:rPr>
                <w:sz w:val="22"/>
              </w:rPr>
              <w:t>ambiental.</w:t>
            </w:r>
          </w:p>
          <w:p>
            <w:pPr>
              <w:pStyle w:val="TableParagraph"/>
              <w:ind w:left="64" w:right="62"/>
              <w:jc w:val="both"/>
              <w:rPr>
                <w:sz w:val="22"/>
              </w:rPr>
            </w:pPr>
            <w:r>
              <w:rPr>
                <w:sz w:val="22"/>
              </w:rPr>
              <w:t>- Actualmente, en el año 2016, la CHPH se encuentra en franco deterioro, debido a la suma de los costos ambientales y sociales de los anteriores acontecimientos, lo que ha dado pie a que la actual política neoliberal, refuerce el reparto inequitativo de los recursos para favorecer intereses políticos y económicos de los actores más poderosos de la región. La utilización para legalizar tales inequidades es a través de las instituciones gubernamentales, como la Conagua y la Semanat, con la aplicación de una serie de incongruencias en la región como el reparto inequitativo de los recursos (agua), y ha generado hoy como en el pasado, conflictos, que sólo pueden solucionarse a través de una visión GIRH, donde se tomen acuerdos sociopolíticos, económicos y ambientales en base a los actores históricos, ya que son éstos actores los que ostentan identidad y territorialidad, que ahora puede ser utilizada para revertir los daños a través de la GIRH, mediante la gobernanza y la gobernabilidad, generando acuerdos democráticos con impacto positivo en los ámbitos sociopolítico, económico y ambiental, con la propuesta de conformación de un Comité Intermunicipal con su reglamento para que los actores históricos de los municipios de la Cuenca atiendan su problemática común.</w:t>
            </w:r>
          </w:p>
        </w:tc>
      </w:tr>
      <w:tr>
        <w:trPr>
          <w:trHeight w:val="338"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2794" w:hRule="exact"/>
        </w:trPr>
        <w:tc>
          <w:tcPr>
            <w:tcW w:w="12897" w:type="dxa"/>
          </w:tcPr>
          <w:p>
            <w:pPr>
              <w:pStyle w:val="TableParagraph"/>
              <w:numPr>
                <w:ilvl w:val="0"/>
                <w:numId w:val="79"/>
              </w:numPr>
              <w:tabs>
                <w:tab w:pos="248" w:val="left" w:leader="none"/>
              </w:tabs>
              <w:spacing w:line="240" w:lineRule="auto" w:before="0" w:after="0"/>
              <w:ind w:left="103" w:right="100" w:firstLine="0"/>
              <w:jc w:val="both"/>
              <w:rPr>
                <w:sz w:val="22"/>
              </w:rPr>
            </w:pPr>
            <w:r>
              <w:rPr>
                <w:sz w:val="22"/>
              </w:rPr>
              <w:t>Permitió identifica, caracterizar y analizar los procesos económicos y sociopolíticos de largo alcance o larga duración, que han vinculado a los actores de la CHPH con el medio ambiente para generar un diagnóstico de la</w:t>
            </w:r>
            <w:r>
              <w:rPr>
                <w:spacing w:val="-26"/>
                <w:sz w:val="22"/>
              </w:rPr>
              <w:t> </w:t>
            </w:r>
            <w:r>
              <w:rPr>
                <w:sz w:val="22"/>
              </w:rPr>
              <w:t>Cuenca.</w:t>
            </w:r>
          </w:p>
          <w:p>
            <w:pPr>
              <w:pStyle w:val="TableParagraph"/>
              <w:numPr>
                <w:ilvl w:val="0"/>
                <w:numId w:val="79"/>
              </w:numPr>
              <w:tabs>
                <w:tab w:pos="286" w:val="left" w:leader="none"/>
              </w:tabs>
              <w:spacing w:line="240" w:lineRule="auto" w:before="0" w:after="0"/>
              <w:ind w:left="103" w:right="104" w:firstLine="0"/>
              <w:jc w:val="both"/>
              <w:rPr>
                <w:sz w:val="22"/>
              </w:rPr>
            </w:pPr>
            <w:r>
              <w:rPr>
                <w:sz w:val="22"/>
              </w:rPr>
              <w:t>Se pudieron detectar las prácticas culturales de gran antigüedad asociadas a las características locales de la CHPH que explican el interés de los actores de la CHPH para sostener sus recursos naturales a través de la GIRH, la gobernanza y la gobernabilidad.</w:t>
            </w:r>
          </w:p>
          <w:p>
            <w:pPr>
              <w:pStyle w:val="TableParagraph"/>
              <w:spacing w:before="2"/>
              <w:ind w:right="101"/>
              <w:jc w:val="both"/>
              <w:rPr>
                <w:sz w:val="22"/>
              </w:rPr>
            </w:pPr>
            <w:r>
              <w:rPr>
                <w:sz w:val="22"/>
              </w:rPr>
              <w:t>. La comprensión del indicador a lo largo del tiempo, es excelente para identificar las causas del deterioro ambiental/hídrico en la CHPH.</w:t>
            </w:r>
          </w:p>
          <w:p>
            <w:pPr>
              <w:pStyle w:val="TableParagraph"/>
              <w:numPr>
                <w:ilvl w:val="0"/>
                <w:numId w:val="79"/>
              </w:numPr>
              <w:tabs>
                <w:tab w:pos="245" w:val="left" w:leader="none"/>
              </w:tabs>
              <w:spacing w:line="240" w:lineRule="auto" w:before="0" w:after="0"/>
              <w:ind w:left="103" w:right="113" w:firstLine="0"/>
              <w:jc w:val="both"/>
              <w:rPr>
                <w:sz w:val="22"/>
              </w:rPr>
            </w:pPr>
            <w:r>
              <w:rPr>
                <w:sz w:val="22"/>
              </w:rPr>
              <w:t>El indicador de historia ambiental, funge como guía de interpretación teórica para el resto de los indicadores de todas las AEPA Ambiental, Sociopolítica y Económica del sistema</w:t>
            </w:r>
            <w:r>
              <w:rPr>
                <w:spacing w:val="-13"/>
                <w:sz w:val="22"/>
              </w:rPr>
              <w:t> </w:t>
            </w:r>
            <w:r>
              <w:rPr>
                <w:sz w:val="22"/>
              </w:rPr>
              <w:t>PEIR.</w:t>
            </w:r>
          </w:p>
          <w:p>
            <w:pPr>
              <w:pStyle w:val="TableParagraph"/>
              <w:numPr>
                <w:ilvl w:val="0"/>
                <w:numId w:val="79"/>
              </w:numPr>
              <w:tabs>
                <w:tab w:pos="255" w:val="left" w:leader="none"/>
              </w:tabs>
              <w:spacing w:line="240" w:lineRule="auto" w:before="0" w:after="0"/>
              <w:ind w:left="103" w:right="100" w:firstLine="0"/>
              <w:jc w:val="both"/>
              <w:rPr>
                <w:sz w:val="22"/>
              </w:rPr>
            </w:pPr>
            <w:r>
              <w:rPr>
                <w:sz w:val="22"/>
              </w:rPr>
              <w:t>Así como guía de explicación para la elaboración de la propuesta de creación de un Comité Intermunicipal con su reglamento  en la</w:t>
            </w:r>
            <w:r>
              <w:rPr>
                <w:spacing w:val="-3"/>
                <w:sz w:val="22"/>
              </w:rPr>
              <w:t> </w:t>
            </w:r>
            <w:r>
              <w:rPr>
                <w:sz w:val="22"/>
              </w:rPr>
              <w:t>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1023" w:hRule="exact"/>
        </w:trPr>
        <w:tc>
          <w:tcPr>
            <w:tcW w:w="12897" w:type="dxa"/>
          </w:tcPr>
          <w:p>
            <w:pPr>
              <w:pStyle w:val="TableParagraph"/>
              <w:numPr>
                <w:ilvl w:val="0"/>
                <w:numId w:val="80"/>
              </w:numPr>
              <w:tabs>
                <w:tab w:pos="264" w:val="left" w:leader="none"/>
              </w:tabs>
              <w:spacing w:line="252" w:lineRule="exact" w:before="2" w:after="0"/>
              <w:ind w:left="103" w:right="98" w:firstLine="0"/>
              <w:jc w:val="left"/>
              <w:rPr>
                <w:sz w:val="22"/>
              </w:rPr>
            </w:pPr>
            <w:r>
              <w:rPr>
                <w:sz w:val="22"/>
              </w:rPr>
              <w:t>Se requiere de un análisis multidisciplinario para entender los procesos históricos de larga duración que han articulado a los actores de la CHPH con su medio</w:t>
            </w:r>
            <w:r>
              <w:rPr>
                <w:spacing w:val="-9"/>
                <w:sz w:val="22"/>
              </w:rPr>
              <w:t> </w:t>
            </w:r>
            <w:r>
              <w:rPr>
                <w:sz w:val="22"/>
              </w:rPr>
              <w:t>ambiente.</w:t>
            </w:r>
          </w:p>
          <w:p>
            <w:pPr>
              <w:pStyle w:val="TableParagraph"/>
              <w:numPr>
                <w:ilvl w:val="0"/>
                <w:numId w:val="80"/>
              </w:numPr>
              <w:tabs>
                <w:tab w:pos="260" w:val="left" w:leader="none"/>
              </w:tabs>
              <w:spacing w:line="252" w:lineRule="exact" w:before="2" w:after="0"/>
              <w:ind w:left="103" w:right="111" w:firstLine="0"/>
              <w:jc w:val="left"/>
              <w:rPr>
                <w:sz w:val="22"/>
              </w:rPr>
            </w:pPr>
            <w:r>
              <w:rPr>
                <w:sz w:val="22"/>
              </w:rPr>
              <w:t>Se requiere de un diagnóstico regional y local del caso de estudio, a través de gran esfuerzo en trabajo de campo y archivo, para entender sus particularidades con respecto su ubicación dentro del sistema nacional e</w:t>
            </w:r>
            <w:r>
              <w:rPr>
                <w:spacing w:val="34"/>
                <w:sz w:val="22"/>
              </w:rPr>
              <w:t> </w:t>
            </w:r>
            <w:r>
              <w:rPr>
                <w:sz w:val="22"/>
              </w:rPr>
              <w:t>internacional.</w:t>
            </w:r>
          </w:p>
        </w:tc>
      </w:tr>
    </w:tbl>
    <w:p>
      <w:pPr>
        <w:spacing w:after="0" w:line="252" w:lineRule="exact"/>
        <w:jc w:val="lef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775" w:right="105"/>
              <w:rPr>
                <w:b/>
                <w:sz w:val="22"/>
              </w:rPr>
            </w:pPr>
            <w:r>
              <w:rPr>
                <w:b/>
                <w:sz w:val="22"/>
              </w:rPr>
              <w:t>Poder ambiental</w:t>
            </w:r>
          </w:p>
        </w:tc>
        <w:tc>
          <w:tcPr>
            <w:tcW w:w="3277" w:type="dxa"/>
            <w:gridSpan w:val="3"/>
            <w:vMerge w:val="restart"/>
          </w:tcPr>
          <w:p>
            <w:pPr>
              <w:pStyle w:val="TableParagraph"/>
              <w:ind w:left="100" w:right="99"/>
              <w:jc w:val="both"/>
              <w:rPr>
                <w:b/>
                <w:sz w:val="22"/>
              </w:rPr>
            </w:pPr>
            <w:r>
              <w:rPr>
                <w:b/>
                <w:sz w:val="22"/>
              </w:rPr>
              <w:t>Identificar las estructuras sociopolíticas de la CHPH que han tenido el control de los recursos naturales en la región a través de la historia.</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07"/>
              <w:rPr>
                <w:b/>
                <w:sz w:val="22"/>
              </w:rPr>
            </w:pPr>
            <w:r>
              <w:rPr>
                <w:b/>
                <w:sz w:val="22"/>
              </w:rPr>
              <w:t>17.063/ 18.055</w:t>
            </w:r>
          </w:p>
        </w:tc>
        <w:tc>
          <w:tcPr>
            <w:tcW w:w="1985" w:type="dxa"/>
            <w:gridSpan w:val="2"/>
          </w:tcPr>
          <w:p>
            <w:pPr>
              <w:pStyle w:val="TableParagraph"/>
              <w:spacing w:line="248" w:lineRule="exact"/>
              <w:ind w:left="0"/>
              <w:jc w:val="center"/>
              <w:rPr>
                <w:b/>
                <w:sz w:val="22"/>
              </w:rPr>
            </w:pPr>
            <w:r>
              <w:rPr>
                <w:b/>
                <w:sz w:val="22"/>
              </w:rPr>
              <w:t>94.5%</w:t>
            </w:r>
          </w:p>
        </w:tc>
        <w:tc>
          <w:tcPr>
            <w:tcW w:w="2268" w:type="dxa"/>
            <w:gridSpan w:val="2"/>
          </w:tcPr>
          <w:p>
            <w:pPr>
              <w:pStyle w:val="TableParagraph"/>
              <w:spacing w:line="248" w:lineRule="exact"/>
              <w:ind w:left="136" w:right="136"/>
              <w:jc w:val="center"/>
              <w:rPr>
                <w:b/>
                <w:sz w:val="22"/>
              </w:rPr>
            </w:pPr>
            <w:r>
              <w:rPr>
                <w:b/>
                <w:sz w:val="22"/>
              </w:rPr>
              <w:t>16.125</w:t>
            </w:r>
          </w:p>
        </w:tc>
        <w:tc>
          <w:tcPr>
            <w:tcW w:w="3274" w:type="dxa"/>
            <w:gridSpan w:val="5"/>
            <w:vMerge/>
          </w:tcPr>
          <w:p>
            <w:pPr/>
          </w:p>
        </w:tc>
        <w:tc>
          <w:tcPr>
            <w:tcW w:w="3277" w:type="dxa"/>
            <w:gridSpan w:val="3"/>
            <w:vMerge/>
          </w:tcPr>
          <w:p>
            <w:pPr/>
          </w:p>
        </w:tc>
      </w:tr>
      <w:tr>
        <w:trPr>
          <w:trHeight w:val="262" w:hRule="exact"/>
        </w:trPr>
        <w:tc>
          <w:tcPr>
            <w:tcW w:w="2093" w:type="dxa"/>
            <w:gridSpan w:val="2"/>
            <w:shd w:val="clear" w:color="auto" w:fill="76923B"/>
          </w:tcPr>
          <w:p>
            <w:pPr>
              <w:pStyle w:val="TableParagraph"/>
              <w:spacing w:line="248" w:lineRule="exact"/>
              <w:ind w:left="0" w:right="1"/>
              <w:jc w:val="center"/>
              <w:rPr>
                <w:b/>
                <w:sz w:val="22"/>
              </w:rPr>
            </w:pPr>
            <w:r>
              <w:rPr>
                <w:b/>
                <w:w w:val="100"/>
                <w:sz w:val="22"/>
              </w:rPr>
              <w:t>1</w:t>
            </w:r>
          </w:p>
        </w:tc>
        <w:tc>
          <w:tcPr>
            <w:tcW w:w="1985" w:type="dxa"/>
            <w:gridSpan w:val="2"/>
            <w:tcBorders>
              <w:left w:val="single" w:sz="45" w:space="0" w:color="76923B"/>
            </w:tcBorders>
          </w:tcPr>
          <w:p>
            <w:pPr>
              <w:pStyle w:val="TableParagraph"/>
              <w:spacing w:line="248" w:lineRule="exact"/>
              <w:ind w:left="0" w:right="49"/>
              <w:jc w:val="center"/>
              <w:rPr>
                <w:b/>
                <w:sz w:val="22"/>
              </w:rPr>
            </w:pPr>
            <w:r>
              <w:rPr>
                <w:b/>
                <w:w w:val="100"/>
                <w:sz w:val="22"/>
              </w:rPr>
              <w:t>2</w:t>
            </w:r>
          </w:p>
        </w:tc>
        <w:tc>
          <w:tcPr>
            <w:tcW w:w="2268" w:type="dxa"/>
            <w:gridSpan w:val="2"/>
            <w:tcBorders>
              <w:right w:val="single" w:sz="41" w:space="0" w:color="76923B"/>
            </w:tcBorders>
          </w:tcPr>
          <w:p>
            <w:pPr>
              <w:pStyle w:val="TableParagraph"/>
              <w:spacing w:line="248" w:lineRule="exact"/>
              <w:ind w:left="47"/>
              <w:jc w:val="center"/>
              <w:rPr>
                <w:b/>
                <w:sz w:val="22"/>
              </w:rPr>
            </w:pPr>
            <w:r>
              <w:rPr>
                <w:b/>
                <w:w w:val="100"/>
                <w:sz w:val="22"/>
              </w:rPr>
              <w:t>3</w:t>
            </w:r>
          </w:p>
        </w:tc>
        <w:tc>
          <w:tcPr>
            <w:tcW w:w="1701" w:type="dxa"/>
            <w:gridSpan w:val="2"/>
            <w:shd w:val="clear" w:color="auto" w:fill="76923B"/>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76923B"/>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2" w:right="492"/>
              <w:jc w:val="center"/>
              <w:rPr>
                <w:b/>
                <w:sz w:val="22"/>
              </w:rPr>
            </w:pPr>
            <w:r>
              <w:rPr>
                <w:b/>
                <w:sz w:val="22"/>
              </w:rPr>
              <w:t>130</w:t>
            </w:r>
          </w:p>
        </w:tc>
        <w:tc>
          <w:tcPr>
            <w:tcW w:w="2127" w:type="dxa"/>
            <w:gridSpan w:val="3"/>
            <w:shd w:val="clear" w:color="auto" w:fill="92CDDC"/>
          </w:tcPr>
          <w:p>
            <w:pPr>
              <w:pStyle w:val="TableParagraph"/>
              <w:spacing w:line="248" w:lineRule="exact"/>
              <w:ind w:left="0"/>
              <w:jc w:val="center"/>
              <w:rPr>
                <w:b/>
                <w:sz w:val="22"/>
              </w:rPr>
            </w:pPr>
            <w:r>
              <w:rPr>
                <w:b/>
                <w:w w:val="100"/>
                <w:sz w:val="22"/>
              </w:rPr>
              <w:t>2</w:t>
            </w:r>
          </w:p>
        </w:tc>
        <w:tc>
          <w:tcPr>
            <w:tcW w:w="2410" w:type="dxa"/>
            <w:gridSpan w:val="3"/>
            <w:shd w:val="clear" w:color="auto" w:fill="92CDDC"/>
          </w:tcPr>
          <w:p>
            <w:pPr>
              <w:pStyle w:val="TableParagraph"/>
              <w:spacing w:line="248" w:lineRule="exact"/>
              <w:ind w:left="782" w:right="780"/>
              <w:jc w:val="center"/>
              <w:rPr>
                <w:b/>
                <w:sz w:val="22"/>
              </w:rPr>
            </w:pPr>
            <w:r>
              <w:rPr>
                <w:b/>
                <w:sz w:val="22"/>
              </w:rPr>
              <w:t>1.00</w:t>
            </w:r>
          </w:p>
        </w:tc>
        <w:tc>
          <w:tcPr>
            <w:tcW w:w="1844" w:type="dxa"/>
            <w:gridSpan w:val="2"/>
            <w:shd w:val="clear" w:color="auto" w:fill="F9BE8F"/>
          </w:tcPr>
          <w:p>
            <w:pPr>
              <w:pStyle w:val="TableParagraph"/>
              <w:spacing w:line="248" w:lineRule="exact"/>
              <w:ind w:left="774" w:right="774"/>
              <w:jc w:val="center"/>
              <w:rPr>
                <w:b/>
                <w:sz w:val="22"/>
              </w:rPr>
            </w:pPr>
            <w:r>
              <w:rPr>
                <w:b/>
                <w:sz w:val="22"/>
              </w:rPr>
              <w:t>42</w:t>
            </w:r>
          </w:p>
        </w:tc>
        <w:tc>
          <w:tcPr>
            <w:tcW w:w="2126" w:type="dxa"/>
            <w:gridSpan w:val="3"/>
            <w:shd w:val="clear" w:color="auto" w:fill="F9BE8F"/>
          </w:tcPr>
          <w:p>
            <w:pPr>
              <w:pStyle w:val="TableParagraph"/>
              <w:spacing w:line="248" w:lineRule="exact"/>
              <w:ind w:left="0"/>
              <w:jc w:val="center"/>
              <w:rPr>
                <w:b/>
                <w:sz w:val="22"/>
              </w:rPr>
            </w:pPr>
            <w:r>
              <w:rPr>
                <w:b/>
                <w:w w:val="100"/>
                <w:sz w:val="22"/>
              </w:rPr>
              <w:t>2</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Estructuras sociopolíticas, CHPH, control recursos naturales, región, historia.</w:t>
            </w:r>
          </w:p>
        </w:tc>
      </w:tr>
      <w:tr>
        <w:trPr>
          <w:trHeight w:val="516" w:hRule="exact"/>
        </w:trPr>
        <w:tc>
          <w:tcPr>
            <w:tcW w:w="2290" w:type="dxa"/>
            <w:gridSpan w:val="3"/>
          </w:tcPr>
          <w:p>
            <w:pPr>
              <w:pStyle w:val="TableParagraph"/>
              <w:spacing w:line="249" w:lineRule="exact"/>
              <w:ind w:left="453"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516" w:hRule="exact"/>
        </w:trPr>
        <w:tc>
          <w:tcPr>
            <w:tcW w:w="12897" w:type="dxa"/>
            <w:gridSpan w:val="14"/>
          </w:tcPr>
          <w:p>
            <w:pPr>
              <w:pStyle w:val="TableParagraph"/>
              <w:ind w:right="163"/>
              <w:rPr>
                <w:sz w:val="22"/>
              </w:rPr>
            </w:pPr>
            <w:r>
              <w:rPr>
                <w:sz w:val="22"/>
              </w:rPr>
              <w:t>Son las estructuras sociopolíticas de la CHPH que han tenido el control de los recursos naturales de la región a través de la historia (Cfr. Newbold Adams, 1978 y García, TC: 2013-2015).</w:t>
            </w:r>
          </w:p>
        </w:tc>
      </w:tr>
      <w:tr>
        <w:trPr>
          <w:trHeight w:val="264" w:hRule="exact"/>
        </w:trPr>
        <w:tc>
          <w:tcPr>
            <w:tcW w:w="4295" w:type="dxa"/>
            <w:gridSpan w:val="5"/>
          </w:tcPr>
          <w:p>
            <w:pPr>
              <w:pStyle w:val="TableParagraph"/>
              <w:spacing w:line="251" w:lineRule="exact"/>
              <w:ind w:left="1097" w:right="213"/>
              <w:rPr>
                <w:b/>
                <w:sz w:val="22"/>
              </w:rPr>
            </w:pPr>
            <w:r>
              <w:rPr>
                <w:b/>
                <w:sz w:val="22"/>
              </w:rPr>
              <w:t>Unidad de medición</w:t>
            </w:r>
          </w:p>
        </w:tc>
        <w:tc>
          <w:tcPr>
            <w:tcW w:w="8603" w:type="dxa"/>
            <w:gridSpan w:val="9"/>
          </w:tcPr>
          <w:p>
            <w:pPr>
              <w:pStyle w:val="TableParagraph"/>
              <w:spacing w:line="251" w:lineRule="exact"/>
              <w:ind w:left="2419" w:right="108"/>
              <w:rPr>
                <w:b/>
                <w:sz w:val="22"/>
              </w:rPr>
            </w:pPr>
            <w:r>
              <w:rPr>
                <w:b/>
                <w:sz w:val="22"/>
              </w:rPr>
              <w:t>Definición de la unidad de medición</w:t>
            </w:r>
          </w:p>
        </w:tc>
      </w:tr>
      <w:tr>
        <w:trPr>
          <w:trHeight w:val="1529" w:hRule="exact"/>
        </w:trPr>
        <w:tc>
          <w:tcPr>
            <w:tcW w:w="4295" w:type="dxa"/>
            <w:gridSpan w:val="5"/>
          </w:tcPr>
          <w:p>
            <w:pPr>
              <w:pStyle w:val="TableParagraph"/>
              <w:ind w:right="101"/>
              <w:jc w:val="both"/>
              <w:rPr>
                <w:sz w:val="22"/>
              </w:rPr>
            </w:pPr>
            <w:r>
              <w:rPr>
                <w:sz w:val="22"/>
              </w:rPr>
              <w:t># de municipios y mapas de actores de la CHPH dominantes y no dominantes ambientalmente.</w:t>
            </w:r>
          </w:p>
        </w:tc>
        <w:tc>
          <w:tcPr>
            <w:tcW w:w="8603" w:type="dxa"/>
            <w:gridSpan w:val="9"/>
          </w:tcPr>
          <w:p>
            <w:pPr>
              <w:pStyle w:val="TableParagraph"/>
              <w:ind w:right="103"/>
              <w:jc w:val="both"/>
              <w:rPr>
                <w:sz w:val="22"/>
              </w:rPr>
            </w:pPr>
            <w:r>
              <w:rPr>
                <w:sz w:val="22"/>
              </w:rPr>
              <w:t>Número de municipios de la CHPH y que dominan los recursos naturales sobre aquellos municipios no dominantes (Municipios dominantes: Aculco y Polotitlán y municipios no dominantes: Acambay, Jilotepec y Timilpan).</w:t>
            </w:r>
          </w:p>
          <w:p>
            <w:pPr>
              <w:pStyle w:val="TableParagraph"/>
              <w:ind w:right="99"/>
              <w:jc w:val="both"/>
              <w:rPr>
                <w:sz w:val="22"/>
              </w:rPr>
            </w:pPr>
            <w:r>
              <w:rPr>
                <w:sz w:val="22"/>
              </w:rPr>
              <w:t>Número de mapas de actores dominantes y no dominantes en la CHPH (Ejemplo de mapas de actores dominantes: federales, ganaderos e industria láctea y mapas de actores no dominantes: pescadores, agricultores).</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27.7pt;mso-position-horizontal-relative:page;mso-position-vertical-relative:page;z-index:-3331192"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644;top:2336;width:12253;height:7813" type="#_x0000_t75" stroked="false">
              <v:imagedata r:id="rId285" o:title=""/>
            </v:shape>
            <w10:wrap type="none"/>
          </v:group>
        </w:pict>
      </w:r>
    </w:p>
    <w:p>
      <w:pPr>
        <w:pStyle w:val="BodyText"/>
        <w:spacing w:before="11"/>
        <w:rPr>
          <w:rFonts w:ascii="Times New Roman"/>
        </w:rPr>
      </w:pPr>
    </w:p>
    <w:p>
      <w:pPr>
        <w:pStyle w:val="Heading6"/>
        <w:spacing w:before="73"/>
        <w:ind w:left="5782" w:right="397"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pict>
          <v:shape style="position:absolute;margin-left:493.269989pt;margin-top:189.860001pt;width:213.75pt;height:195.55pt;mso-position-horizontal-relative:page;mso-position-vertical-relative:page;z-index:1225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99"/>
                    <w:gridCol w:w="1661"/>
                    <w:gridCol w:w="1200"/>
                  </w:tblGrid>
                  <w:tr>
                    <w:trPr>
                      <w:trHeight w:val="310" w:hRule="exact"/>
                    </w:trPr>
                    <w:tc>
                      <w:tcPr>
                        <w:tcW w:w="1399" w:type="dxa"/>
                      </w:tcPr>
                      <w:p>
                        <w:pPr>
                          <w:pStyle w:val="TableParagraph"/>
                          <w:spacing w:before="41"/>
                          <w:ind w:left="64"/>
                          <w:rPr>
                            <w:b/>
                            <w:sz w:val="22"/>
                          </w:rPr>
                        </w:pPr>
                        <w:r>
                          <w:rPr>
                            <w:b/>
                            <w:sz w:val="22"/>
                          </w:rPr>
                          <w:t>Período</w:t>
                        </w:r>
                      </w:p>
                    </w:tc>
                    <w:tc>
                      <w:tcPr>
                        <w:tcW w:w="1661" w:type="dxa"/>
                      </w:tcPr>
                      <w:p>
                        <w:pPr>
                          <w:pStyle w:val="TableParagraph"/>
                          <w:spacing w:before="41"/>
                          <w:ind w:left="67"/>
                          <w:rPr>
                            <w:b/>
                            <w:sz w:val="22"/>
                          </w:rPr>
                        </w:pPr>
                        <w:r>
                          <w:rPr>
                            <w:b/>
                            <w:sz w:val="22"/>
                          </w:rPr>
                          <w:t>Calificación</w:t>
                        </w:r>
                      </w:p>
                    </w:tc>
                    <w:tc>
                      <w:tcPr>
                        <w:tcW w:w="1200" w:type="dxa"/>
                      </w:tcPr>
                      <w:p>
                        <w:pPr>
                          <w:pStyle w:val="TableParagraph"/>
                          <w:spacing w:before="41"/>
                          <w:ind w:left="64"/>
                          <w:rPr>
                            <w:b/>
                            <w:sz w:val="22"/>
                          </w:rPr>
                        </w:pPr>
                        <w:r>
                          <w:rPr>
                            <w:b/>
                            <w:sz w:val="22"/>
                          </w:rPr>
                          <w:t>Siglo</w:t>
                        </w:r>
                      </w:p>
                    </w:tc>
                  </w:tr>
                  <w:tr>
                    <w:trPr>
                      <w:trHeight w:val="310" w:hRule="exact"/>
                    </w:trPr>
                    <w:tc>
                      <w:tcPr>
                        <w:tcW w:w="1399" w:type="dxa"/>
                      </w:tcPr>
                      <w:p>
                        <w:pPr>
                          <w:pStyle w:val="TableParagraph"/>
                          <w:spacing w:before="45"/>
                          <w:ind w:left="0" w:right="62"/>
                          <w:jc w:val="right"/>
                          <w:rPr>
                            <w:sz w:val="22"/>
                          </w:rPr>
                        </w:pPr>
                        <w:r>
                          <w:rPr>
                            <w:sz w:val="22"/>
                          </w:rPr>
                          <w:t>1400</w:t>
                        </w:r>
                      </w:p>
                    </w:tc>
                    <w:tc>
                      <w:tcPr>
                        <w:tcW w:w="1661" w:type="dxa"/>
                      </w:tcPr>
                      <w:p>
                        <w:pPr>
                          <w:pStyle w:val="TableParagraph"/>
                          <w:spacing w:before="45"/>
                          <w:ind w:left="67"/>
                          <w:rPr>
                            <w:sz w:val="22"/>
                          </w:rPr>
                        </w:pPr>
                        <w:r>
                          <w:rPr>
                            <w:sz w:val="22"/>
                          </w:rPr>
                          <w:t>Excelente</w:t>
                        </w:r>
                      </w:p>
                    </w:tc>
                    <w:tc>
                      <w:tcPr>
                        <w:tcW w:w="1200" w:type="dxa"/>
                      </w:tcPr>
                      <w:p>
                        <w:pPr>
                          <w:pStyle w:val="TableParagraph"/>
                          <w:spacing w:before="45"/>
                          <w:ind w:left="64"/>
                          <w:rPr>
                            <w:sz w:val="22"/>
                          </w:rPr>
                        </w:pPr>
                        <w:r>
                          <w:rPr>
                            <w:sz w:val="22"/>
                          </w:rPr>
                          <w:t>Siglo XV</w:t>
                        </w:r>
                      </w:p>
                    </w:tc>
                  </w:tr>
                  <w:tr>
                    <w:trPr>
                      <w:trHeight w:val="802" w:hRule="exact"/>
                    </w:trPr>
                    <w:tc>
                      <w:tcPr>
                        <w:tcW w:w="1399" w:type="dxa"/>
                      </w:tcPr>
                      <w:p>
                        <w:pPr>
                          <w:pStyle w:val="TableParagraph"/>
                          <w:ind w:left="0"/>
                          <w:rPr>
                            <w:rFonts w:ascii="Times New Roman"/>
                            <w:sz w:val="22"/>
                          </w:rPr>
                        </w:pPr>
                      </w:p>
                      <w:p>
                        <w:pPr>
                          <w:pStyle w:val="TableParagraph"/>
                          <w:spacing w:before="6"/>
                          <w:ind w:left="0"/>
                          <w:rPr>
                            <w:rFonts w:ascii="Times New Roman"/>
                            <w:sz w:val="24"/>
                          </w:rPr>
                        </w:pPr>
                      </w:p>
                      <w:p>
                        <w:pPr>
                          <w:pStyle w:val="TableParagraph"/>
                          <w:ind w:left="0" w:right="62"/>
                          <w:jc w:val="right"/>
                          <w:rPr>
                            <w:sz w:val="22"/>
                          </w:rPr>
                        </w:pPr>
                        <w:r>
                          <w:rPr>
                            <w:sz w:val="22"/>
                          </w:rPr>
                          <w:t>1519</w:t>
                        </w:r>
                      </w:p>
                    </w:tc>
                    <w:tc>
                      <w:tcPr>
                        <w:tcW w:w="1661" w:type="dxa"/>
                      </w:tcPr>
                      <w:p>
                        <w:pPr>
                          <w:pStyle w:val="TableParagraph"/>
                          <w:ind w:left="0"/>
                          <w:rPr>
                            <w:rFonts w:ascii="Times New Roman"/>
                            <w:sz w:val="22"/>
                          </w:rPr>
                        </w:pPr>
                      </w:p>
                      <w:p>
                        <w:pPr>
                          <w:pStyle w:val="TableParagraph"/>
                          <w:spacing w:before="6"/>
                          <w:ind w:left="0"/>
                          <w:rPr>
                            <w:rFonts w:ascii="Times New Roman"/>
                            <w:sz w:val="24"/>
                          </w:rPr>
                        </w:pPr>
                      </w:p>
                      <w:p>
                        <w:pPr>
                          <w:pStyle w:val="TableParagraph"/>
                          <w:ind w:left="67"/>
                          <w:rPr>
                            <w:sz w:val="22"/>
                          </w:rPr>
                        </w:pPr>
                        <w:r>
                          <w:rPr>
                            <w:sz w:val="22"/>
                          </w:rPr>
                          <w:t>Bueno</w:t>
                        </w:r>
                      </w:p>
                    </w:tc>
                    <w:tc>
                      <w:tcPr>
                        <w:tcW w:w="1200" w:type="dxa"/>
                      </w:tcPr>
                      <w:p>
                        <w:pPr>
                          <w:pStyle w:val="TableParagraph"/>
                          <w:ind w:left="0"/>
                          <w:rPr>
                            <w:rFonts w:ascii="Times New Roman"/>
                            <w:sz w:val="22"/>
                          </w:rPr>
                        </w:pPr>
                      </w:p>
                      <w:p>
                        <w:pPr>
                          <w:pStyle w:val="TableParagraph"/>
                          <w:spacing w:before="6"/>
                          <w:ind w:left="0"/>
                          <w:rPr>
                            <w:rFonts w:ascii="Times New Roman"/>
                            <w:sz w:val="24"/>
                          </w:rPr>
                        </w:pPr>
                      </w:p>
                      <w:p>
                        <w:pPr>
                          <w:pStyle w:val="TableParagraph"/>
                          <w:ind w:left="64"/>
                          <w:rPr>
                            <w:sz w:val="22"/>
                          </w:rPr>
                        </w:pPr>
                        <w:r>
                          <w:rPr>
                            <w:sz w:val="22"/>
                          </w:rPr>
                          <w:t>Siglo XVI</w:t>
                        </w:r>
                      </w:p>
                    </w:tc>
                  </w:tr>
                  <w:tr>
                    <w:trPr>
                      <w:trHeight w:val="310" w:hRule="exact"/>
                    </w:trPr>
                    <w:tc>
                      <w:tcPr>
                        <w:tcW w:w="1399" w:type="dxa"/>
                      </w:tcPr>
                      <w:p>
                        <w:pPr>
                          <w:pStyle w:val="TableParagraph"/>
                          <w:spacing w:before="43"/>
                          <w:ind w:left="0" w:right="62"/>
                          <w:jc w:val="right"/>
                          <w:rPr>
                            <w:sz w:val="22"/>
                          </w:rPr>
                        </w:pPr>
                        <w:r>
                          <w:rPr>
                            <w:sz w:val="22"/>
                          </w:rPr>
                          <w:t>1580</w:t>
                        </w:r>
                      </w:p>
                    </w:tc>
                    <w:tc>
                      <w:tcPr>
                        <w:tcW w:w="1661" w:type="dxa"/>
                      </w:tcPr>
                      <w:p>
                        <w:pPr>
                          <w:pStyle w:val="TableParagraph"/>
                          <w:spacing w:before="43"/>
                          <w:ind w:left="67"/>
                          <w:rPr>
                            <w:sz w:val="22"/>
                          </w:rPr>
                        </w:pPr>
                        <w:r>
                          <w:rPr>
                            <w:sz w:val="22"/>
                          </w:rPr>
                          <w:t>Deficiente</w:t>
                        </w:r>
                      </w:p>
                    </w:tc>
                    <w:tc>
                      <w:tcPr>
                        <w:tcW w:w="1200" w:type="dxa"/>
                      </w:tcPr>
                      <w:p>
                        <w:pPr>
                          <w:pStyle w:val="TableParagraph"/>
                          <w:spacing w:before="43"/>
                          <w:ind w:left="64"/>
                          <w:rPr>
                            <w:sz w:val="22"/>
                          </w:rPr>
                        </w:pPr>
                        <w:r>
                          <w:rPr>
                            <w:sz w:val="22"/>
                          </w:rPr>
                          <w:t>Siglo XVII</w:t>
                        </w:r>
                      </w:p>
                    </w:tc>
                  </w:tr>
                  <w:tr>
                    <w:trPr>
                      <w:trHeight w:val="310" w:hRule="exact"/>
                    </w:trPr>
                    <w:tc>
                      <w:tcPr>
                        <w:tcW w:w="1399" w:type="dxa"/>
                      </w:tcPr>
                      <w:p>
                        <w:pPr>
                          <w:pStyle w:val="TableParagraph"/>
                          <w:spacing w:before="45"/>
                          <w:ind w:left="0" w:right="62"/>
                          <w:jc w:val="right"/>
                          <w:rPr>
                            <w:sz w:val="22"/>
                          </w:rPr>
                        </w:pPr>
                        <w:r>
                          <w:rPr>
                            <w:sz w:val="22"/>
                          </w:rPr>
                          <w:t>1785</w:t>
                        </w:r>
                      </w:p>
                    </w:tc>
                    <w:tc>
                      <w:tcPr>
                        <w:tcW w:w="1661" w:type="dxa"/>
                      </w:tcPr>
                      <w:p>
                        <w:pPr>
                          <w:pStyle w:val="TableParagraph"/>
                          <w:spacing w:before="45"/>
                          <w:ind w:left="67"/>
                          <w:rPr>
                            <w:sz w:val="22"/>
                          </w:rPr>
                        </w:pPr>
                        <w:r>
                          <w:rPr>
                            <w:sz w:val="22"/>
                          </w:rPr>
                          <w:t>Deficiente</w:t>
                        </w:r>
                      </w:p>
                    </w:tc>
                    <w:tc>
                      <w:tcPr>
                        <w:tcW w:w="1200" w:type="dxa"/>
                      </w:tcPr>
                      <w:p>
                        <w:pPr>
                          <w:pStyle w:val="TableParagraph"/>
                          <w:spacing w:before="45"/>
                          <w:ind w:left="64"/>
                          <w:rPr>
                            <w:sz w:val="22"/>
                          </w:rPr>
                        </w:pPr>
                        <w:r>
                          <w:rPr>
                            <w:sz w:val="22"/>
                          </w:rPr>
                          <w:t>Siglo XVIII</w:t>
                        </w:r>
                      </w:p>
                    </w:tc>
                  </w:tr>
                  <w:tr>
                    <w:trPr>
                      <w:trHeight w:val="310" w:hRule="exact"/>
                    </w:trPr>
                    <w:tc>
                      <w:tcPr>
                        <w:tcW w:w="1399" w:type="dxa"/>
                      </w:tcPr>
                      <w:p>
                        <w:pPr>
                          <w:pStyle w:val="TableParagraph"/>
                          <w:spacing w:before="45"/>
                          <w:ind w:left="0" w:right="62"/>
                          <w:jc w:val="right"/>
                          <w:rPr>
                            <w:sz w:val="22"/>
                          </w:rPr>
                        </w:pPr>
                        <w:r>
                          <w:rPr>
                            <w:sz w:val="22"/>
                          </w:rPr>
                          <w:t>1810</w:t>
                        </w:r>
                      </w:p>
                    </w:tc>
                    <w:tc>
                      <w:tcPr>
                        <w:tcW w:w="1661" w:type="dxa"/>
                      </w:tcPr>
                      <w:p>
                        <w:pPr>
                          <w:pStyle w:val="TableParagraph"/>
                          <w:spacing w:before="45"/>
                          <w:ind w:left="67"/>
                          <w:rPr>
                            <w:sz w:val="22"/>
                          </w:rPr>
                        </w:pPr>
                        <w:r>
                          <w:rPr>
                            <w:sz w:val="22"/>
                          </w:rPr>
                          <w:t>Deficiente</w:t>
                        </w:r>
                      </w:p>
                    </w:tc>
                    <w:tc>
                      <w:tcPr>
                        <w:tcW w:w="1200" w:type="dxa"/>
                      </w:tcPr>
                      <w:p>
                        <w:pPr>
                          <w:pStyle w:val="TableParagraph"/>
                          <w:spacing w:before="45"/>
                          <w:ind w:left="127"/>
                          <w:rPr>
                            <w:sz w:val="22"/>
                          </w:rPr>
                        </w:pPr>
                        <w:r>
                          <w:rPr>
                            <w:sz w:val="22"/>
                          </w:rPr>
                          <w:t>Siglo XIX</w:t>
                        </w:r>
                      </w:p>
                    </w:tc>
                  </w:tr>
                  <w:tr>
                    <w:trPr>
                      <w:trHeight w:val="310" w:hRule="exact"/>
                    </w:trPr>
                    <w:tc>
                      <w:tcPr>
                        <w:tcW w:w="1399" w:type="dxa"/>
                      </w:tcPr>
                      <w:p>
                        <w:pPr>
                          <w:pStyle w:val="TableParagraph"/>
                          <w:spacing w:before="46"/>
                          <w:ind w:left="0" w:right="62"/>
                          <w:jc w:val="right"/>
                          <w:rPr>
                            <w:sz w:val="22"/>
                          </w:rPr>
                        </w:pPr>
                        <w:r>
                          <w:rPr>
                            <w:sz w:val="22"/>
                          </w:rPr>
                          <w:t>1861</w:t>
                        </w:r>
                      </w:p>
                    </w:tc>
                    <w:tc>
                      <w:tcPr>
                        <w:tcW w:w="1661" w:type="dxa"/>
                      </w:tcPr>
                      <w:p>
                        <w:pPr>
                          <w:pStyle w:val="TableParagraph"/>
                          <w:spacing w:before="46"/>
                          <w:ind w:left="67"/>
                          <w:rPr>
                            <w:sz w:val="22"/>
                          </w:rPr>
                        </w:pPr>
                        <w:r>
                          <w:rPr>
                            <w:sz w:val="22"/>
                          </w:rPr>
                          <w:t>Deficiente</w:t>
                        </w:r>
                      </w:p>
                    </w:tc>
                    <w:tc>
                      <w:tcPr>
                        <w:tcW w:w="1200" w:type="dxa"/>
                      </w:tcPr>
                      <w:p>
                        <w:pPr>
                          <w:pStyle w:val="TableParagraph"/>
                          <w:spacing w:before="46"/>
                          <w:ind w:left="64"/>
                          <w:rPr>
                            <w:sz w:val="22"/>
                          </w:rPr>
                        </w:pPr>
                        <w:r>
                          <w:rPr>
                            <w:sz w:val="22"/>
                          </w:rPr>
                          <w:t>Siglo XIX</w:t>
                        </w:r>
                      </w:p>
                    </w:tc>
                  </w:tr>
                  <w:tr>
                    <w:trPr>
                      <w:trHeight w:val="312" w:hRule="exact"/>
                    </w:trPr>
                    <w:tc>
                      <w:tcPr>
                        <w:tcW w:w="1399" w:type="dxa"/>
                      </w:tcPr>
                      <w:p>
                        <w:pPr>
                          <w:pStyle w:val="TableParagraph"/>
                          <w:spacing w:before="45"/>
                          <w:ind w:left="0" w:right="62"/>
                          <w:jc w:val="right"/>
                          <w:rPr>
                            <w:sz w:val="22"/>
                          </w:rPr>
                        </w:pPr>
                        <w:r>
                          <w:rPr>
                            <w:sz w:val="22"/>
                          </w:rPr>
                          <w:t>1910</w:t>
                        </w:r>
                      </w:p>
                    </w:tc>
                    <w:tc>
                      <w:tcPr>
                        <w:tcW w:w="1661" w:type="dxa"/>
                      </w:tcPr>
                      <w:p>
                        <w:pPr>
                          <w:pStyle w:val="TableParagraph"/>
                          <w:spacing w:before="45"/>
                          <w:ind w:left="67"/>
                          <w:rPr>
                            <w:sz w:val="22"/>
                          </w:rPr>
                        </w:pPr>
                        <w:r>
                          <w:rPr>
                            <w:sz w:val="22"/>
                          </w:rPr>
                          <w:t>Deficiente</w:t>
                        </w:r>
                      </w:p>
                    </w:tc>
                    <w:tc>
                      <w:tcPr>
                        <w:tcW w:w="1200" w:type="dxa"/>
                      </w:tcPr>
                      <w:p>
                        <w:pPr>
                          <w:pStyle w:val="TableParagraph"/>
                          <w:spacing w:before="45"/>
                          <w:ind w:left="64"/>
                          <w:rPr>
                            <w:sz w:val="22"/>
                          </w:rPr>
                        </w:pPr>
                        <w:r>
                          <w:rPr>
                            <w:sz w:val="22"/>
                          </w:rPr>
                          <w:t>Siglo XX</w:t>
                        </w:r>
                      </w:p>
                    </w:tc>
                  </w:tr>
                  <w:tr>
                    <w:trPr>
                      <w:trHeight w:val="310" w:hRule="exact"/>
                    </w:trPr>
                    <w:tc>
                      <w:tcPr>
                        <w:tcW w:w="1399" w:type="dxa"/>
                      </w:tcPr>
                      <w:p>
                        <w:pPr>
                          <w:pStyle w:val="TableParagraph"/>
                          <w:spacing w:before="43"/>
                          <w:ind w:left="0" w:right="62"/>
                          <w:jc w:val="right"/>
                          <w:rPr>
                            <w:sz w:val="22"/>
                          </w:rPr>
                        </w:pPr>
                        <w:r>
                          <w:rPr>
                            <w:sz w:val="22"/>
                          </w:rPr>
                          <w:t>1940</w:t>
                        </w:r>
                      </w:p>
                    </w:tc>
                    <w:tc>
                      <w:tcPr>
                        <w:tcW w:w="1661" w:type="dxa"/>
                      </w:tcPr>
                      <w:p>
                        <w:pPr>
                          <w:pStyle w:val="TableParagraph"/>
                          <w:spacing w:before="43"/>
                          <w:ind w:left="67"/>
                          <w:rPr>
                            <w:sz w:val="22"/>
                          </w:rPr>
                        </w:pPr>
                        <w:r>
                          <w:rPr>
                            <w:sz w:val="22"/>
                          </w:rPr>
                          <w:t>Regular</w:t>
                        </w:r>
                      </w:p>
                    </w:tc>
                    <w:tc>
                      <w:tcPr>
                        <w:tcW w:w="1200" w:type="dxa"/>
                      </w:tcPr>
                      <w:p>
                        <w:pPr>
                          <w:pStyle w:val="TableParagraph"/>
                          <w:spacing w:before="43"/>
                          <w:ind w:left="64"/>
                          <w:rPr>
                            <w:sz w:val="22"/>
                          </w:rPr>
                        </w:pPr>
                        <w:r>
                          <w:rPr>
                            <w:sz w:val="22"/>
                          </w:rPr>
                          <w:t>Siglo XX</w:t>
                        </w:r>
                      </w:p>
                    </w:tc>
                  </w:tr>
                  <w:tr>
                    <w:trPr>
                      <w:trHeight w:val="310" w:hRule="exact"/>
                    </w:trPr>
                    <w:tc>
                      <w:tcPr>
                        <w:tcW w:w="1399" w:type="dxa"/>
                      </w:tcPr>
                      <w:p>
                        <w:pPr>
                          <w:pStyle w:val="TableParagraph"/>
                          <w:spacing w:before="43"/>
                          <w:ind w:left="0" w:right="62"/>
                          <w:jc w:val="right"/>
                          <w:rPr>
                            <w:sz w:val="22"/>
                          </w:rPr>
                        </w:pPr>
                        <w:r>
                          <w:rPr>
                            <w:sz w:val="22"/>
                          </w:rPr>
                          <w:t>1982</w:t>
                        </w:r>
                      </w:p>
                    </w:tc>
                    <w:tc>
                      <w:tcPr>
                        <w:tcW w:w="1661" w:type="dxa"/>
                      </w:tcPr>
                      <w:p>
                        <w:pPr>
                          <w:pStyle w:val="TableParagraph"/>
                          <w:spacing w:before="43"/>
                          <w:ind w:left="67"/>
                          <w:rPr>
                            <w:sz w:val="22"/>
                          </w:rPr>
                        </w:pPr>
                        <w:r>
                          <w:rPr>
                            <w:sz w:val="22"/>
                          </w:rPr>
                          <w:t>Deficiente</w:t>
                        </w:r>
                      </w:p>
                    </w:tc>
                    <w:tc>
                      <w:tcPr>
                        <w:tcW w:w="1200" w:type="dxa"/>
                      </w:tcPr>
                      <w:p>
                        <w:pPr>
                          <w:pStyle w:val="TableParagraph"/>
                          <w:spacing w:before="43"/>
                          <w:ind w:left="64"/>
                          <w:rPr>
                            <w:sz w:val="22"/>
                          </w:rPr>
                        </w:pPr>
                        <w:r>
                          <w:rPr>
                            <w:sz w:val="22"/>
                          </w:rPr>
                          <w:t>Siglo XX</w:t>
                        </w:r>
                      </w:p>
                    </w:tc>
                  </w:tr>
                  <w:tr>
                    <w:trPr>
                      <w:trHeight w:val="310" w:hRule="exact"/>
                    </w:trPr>
                    <w:tc>
                      <w:tcPr>
                        <w:tcW w:w="1399" w:type="dxa"/>
                      </w:tcPr>
                      <w:p>
                        <w:pPr>
                          <w:pStyle w:val="TableParagraph"/>
                          <w:spacing w:before="45"/>
                          <w:ind w:left="0" w:right="62"/>
                          <w:jc w:val="right"/>
                          <w:rPr>
                            <w:sz w:val="22"/>
                          </w:rPr>
                        </w:pPr>
                        <w:r>
                          <w:rPr>
                            <w:sz w:val="22"/>
                          </w:rPr>
                          <w:t>2016</w:t>
                        </w:r>
                      </w:p>
                    </w:tc>
                    <w:tc>
                      <w:tcPr>
                        <w:tcW w:w="1661" w:type="dxa"/>
                      </w:tcPr>
                      <w:p>
                        <w:pPr>
                          <w:pStyle w:val="TableParagraph"/>
                          <w:spacing w:before="45"/>
                          <w:ind w:left="67"/>
                          <w:rPr>
                            <w:sz w:val="22"/>
                          </w:rPr>
                        </w:pPr>
                        <w:r>
                          <w:rPr>
                            <w:sz w:val="22"/>
                          </w:rPr>
                          <w:t>Deficiente</w:t>
                        </w:r>
                      </w:p>
                    </w:tc>
                    <w:tc>
                      <w:tcPr>
                        <w:tcW w:w="1200" w:type="dxa"/>
                      </w:tcPr>
                      <w:p>
                        <w:pPr>
                          <w:pStyle w:val="TableParagraph"/>
                          <w:spacing w:before="45"/>
                          <w:ind w:left="64"/>
                          <w:rPr>
                            <w:sz w:val="22"/>
                          </w:rPr>
                        </w:pPr>
                        <w:r>
                          <w:rPr>
                            <w:sz w:val="22"/>
                          </w:rPr>
                          <w:t>Siglo XXI</w:t>
                        </w: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860"/>
        <w:gridCol w:w="1352"/>
        <w:gridCol w:w="3132"/>
        <w:gridCol w:w="1476"/>
        <w:gridCol w:w="2429"/>
        <w:gridCol w:w="1615"/>
      </w:tblGrid>
      <w:tr>
        <w:trPr>
          <w:trHeight w:val="264"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665" w:hRule="exact"/>
        </w:trPr>
        <w:tc>
          <w:tcPr>
            <w:tcW w:w="12822" w:type="dxa"/>
            <w:gridSpan w:val="7"/>
          </w:tcPr>
          <w:p>
            <w:pPr>
              <w:pStyle w:val="TableParagraph"/>
              <w:ind w:left="27" w:right="254" w:firstLine="62"/>
              <w:rPr>
                <w:sz w:val="22"/>
              </w:rPr>
            </w:pPr>
            <w:r>
              <w:rPr>
                <w:sz w:val="22"/>
              </w:rPr>
              <w:t>Para identificar las estructuras sociopolíticas que tienen el control de los recursos naturales a través de la historia en la CHPH y darles una calificación mediante el impacto ambiental, sociopolítico y económico que se ha tenido se elaboró una gráfica radial que representa la categorización de evaluación por siglo:</w:t>
            </w:r>
          </w:p>
          <w:p>
            <w:pPr>
              <w:pStyle w:val="TableParagraph"/>
              <w:spacing w:line="250" w:lineRule="exact" w:after="5"/>
              <w:ind w:left="3267" w:right="57"/>
              <w:rPr>
                <w:b/>
                <w:sz w:val="22"/>
              </w:rPr>
            </w:pPr>
            <w:r>
              <w:rPr>
                <w:b/>
                <w:sz w:val="22"/>
              </w:rPr>
              <w:t>Gráfica. 7.2.</w:t>
            </w:r>
          </w:p>
          <w:p>
            <w:pPr>
              <w:pStyle w:val="TableParagraph"/>
              <w:ind w:left="27"/>
              <w:rPr>
                <w:rFonts w:ascii="Times New Roman"/>
                <w:sz w:val="20"/>
              </w:rPr>
            </w:pPr>
            <w:r>
              <w:rPr>
                <w:rFonts w:ascii="Times New Roman"/>
                <w:sz w:val="20"/>
              </w:rPr>
              <w:drawing>
                <wp:inline distT="0" distB="0" distL="0" distR="0">
                  <wp:extent cx="5087981" cy="2296667"/>
                  <wp:effectExtent l="0" t="0" r="0" b="0"/>
                  <wp:docPr id="55" name="image166.png" descr=""/>
                  <wp:cNvGraphicFramePr>
                    <a:graphicFrameLocks noChangeAspect="1"/>
                  </wp:cNvGraphicFramePr>
                  <a:graphic>
                    <a:graphicData uri="http://schemas.openxmlformats.org/drawingml/2006/picture">
                      <pic:pic>
                        <pic:nvPicPr>
                          <pic:cNvPr id="56" name="image166.png"/>
                          <pic:cNvPicPr/>
                        </pic:nvPicPr>
                        <pic:blipFill>
                          <a:blip r:embed="rId286" cstate="print"/>
                          <a:stretch>
                            <a:fillRect/>
                          </a:stretch>
                        </pic:blipFill>
                        <pic:spPr>
                          <a:xfrm>
                            <a:off x="0" y="0"/>
                            <a:ext cx="5087981" cy="2296667"/>
                          </a:xfrm>
                          <a:prstGeom prst="rect">
                            <a:avLst/>
                          </a:prstGeom>
                        </pic:spPr>
                      </pic:pic>
                    </a:graphicData>
                  </a:graphic>
                </wp:inline>
              </w:drawing>
            </w:r>
            <w:r>
              <w:rPr>
                <w:rFonts w:ascii="Times New Roman"/>
                <w:sz w:val="20"/>
              </w:rPr>
            </w:r>
          </w:p>
          <w:p>
            <w:pPr>
              <w:pStyle w:val="TableParagraph"/>
              <w:spacing w:line="244" w:lineRule="auto" w:before="9"/>
              <w:ind w:left="27" w:right="5006"/>
              <w:rPr>
                <w:sz w:val="22"/>
              </w:rPr>
            </w:pPr>
            <w:r>
              <w:rPr>
                <w:b/>
                <w:sz w:val="22"/>
              </w:rPr>
              <w:t>Fuente: </w:t>
            </w:r>
            <w:r>
              <w:rPr>
                <w:sz w:val="22"/>
              </w:rPr>
              <w:t>elaboración propia con base en el trabajo de campo y gabinete García, 2013-2015.</w:t>
            </w:r>
          </w:p>
          <w:p>
            <w:pPr>
              <w:pStyle w:val="TableParagraph"/>
              <w:spacing w:before="4"/>
              <w:ind w:left="0"/>
              <w:rPr>
                <w:rFonts w:ascii="Times New Roman"/>
                <w:sz w:val="21"/>
              </w:rPr>
            </w:pPr>
          </w:p>
          <w:p>
            <w:pPr>
              <w:pStyle w:val="TableParagraph"/>
              <w:ind w:left="27" w:right="57"/>
              <w:rPr>
                <w:sz w:val="22"/>
              </w:rPr>
            </w:pPr>
            <w:r>
              <w:rPr>
                <w:sz w:val="22"/>
              </w:rPr>
              <w:t>Para evaluar el indicador se generó la siguiente tarjeta de valoración:</w:t>
            </w:r>
          </w:p>
        </w:tc>
      </w:tr>
      <w:tr>
        <w:trPr>
          <w:trHeight w:val="470" w:hRule="exact"/>
        </w:trPr>
        <w:tc>
          <w:tcPr>
            <w:tcW w:w="957"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860" w:type="dxa"/>
            <w:vMerge w:val="restart"/>
          </w:tcPr>
          <w:p>
            <w:pPr>
              <w:pStyle w:val="TableParagraph"/>
              <w:tabs>
                <w:tab w:pos="1525" w:val="left" w:leader="none"/>
              </w:tabs>
              <w:ind w:right="101"/>
              <w:jc w:val="both"/>
              <w:rPr>
                <w:sz w:val="20"/>
              </w:rPr>
            </w:pPr>
            <w:r>
              <w:rPr>
                <w:sz w:val="20"/>
              </w:rPr>
              <w:t>Clasificación por número</w:t>
              <w:tab/>
              <w:t>de</w:t>
            </w:r>
            <w:r>
              <w:rPr>
                <w:w w:val="99"/>
                <w:sz w:val="20"/>
              </w:rPr>
              <w:t> </w:t>
            </w:r>
            <w:r>
              <w:rPr>
                <w:sz w:val="20"/>
              </w:rPr>
              <w:t>eventos en el período</w:t>
            </w:r>
          </w:p>
        </w:tc>
        <w:tc>
          <w:tcPr>
            <w:tcW w:w="8390" w:type="dxa"/>
            <w:gridSpan w:val="4"/>
          </w:tcPr>
          <w:p>
            <w:pPr>
              <w:pStyle w:val="TableParagraph"/>
              <w:spacing w:line="242" w:lineRule="auto"/>
              <w:ind w:right="105"/>
              <w:rPr>
                <w:sz w:val="20"/>
              </w:rPr>
            </w:pPr>
            <w:r>
              <w:rPr>
                <w:sz w:val="20"/>
              </w:rPr>
              <w:t>Clasificación por </w:t>
            </w:r>
            <w:r>
              <w:rPr>
                <w:b/>
                <w:sz w:val="20"/>
              </w:rPr>
              <w:t>características de impacto positivo o negativo </w:t>
            </w:r>
            <w:r>
              <w:rPr>
                <w:sz w:val="20"/>
              </w:rPr>
              <w:t>en los ámbitos ambiental-sociopolítico-económico</w:t>
            </w:r>
          </w:p>
        </w:tc>
        <w:tc>
          <w:tcPr>
            <w:tcW w:w="1615" w:type="dxa"/>
            <w:vMerge w:val="restart"/>
            <w:tcBorders>
              <w:right w:val="double" w:sz="12" w:space="0" w:color="000000"/>
            </w:tcBorders>
          </w:tcPr>
          <w:p>
            <w:pPr>
              <w:pStyle w:val="TableParagraph"/>
              <w:spacing w:before="117"/>
              <w:ind w:left="231" w:right="229"/>
              <w:jc w:val="center"/>
              <w:rPr>
                <w:sz w:val="20"/>
              </w:rPr>
            </w:pPr>
            <w:r>
              <w:rPr>
                <w:w w:val="95"/>
                <w:sz w:val="20"/>
              </w:rPr>
              <w:t>Clasificación </w:t>
            </w:r>
            <w:r>
              <w:rPr>
                <w:sz w:val="20"/>
              </w:rPr>
              <w:t>de la calificación</w:t>
            </w:r>
          </w:p>
        </w:tc>
      </w:tr>
      <w:tr>
        <w:trPr>
          <w:trHeight w:val="481"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27" w:lineRule="exact"/>
              <w:rPr>
                <w:sz w:val="20"/>
              </w:rPr>
            </w:pPr>
            <w:r>
              <w:rPr>
                <w:sz w:val="20"/>
              </w:rPr>
              <w:t>Subsistema</w:t>
            </w:r>
          </w:p>
        </w:tc>
        <w:tc>
          <w:tcPr>
            <w:tcW w:w="3132" w:type="dxa"/>
          </w:tcPr>
          <w:p>
            <w:pPr>
              <w:pStyle w:val="TableParagraph"/>
              <w:spacing w:line="227" w:lineRule="exact"/>
              <w:ind w:right="98"/>
              <w:rPr>
                <w:sz w:val="20"/>
              </w:rPr>
            </w:pPr>
            <w:r>
              <w:rPr>
                <w:sz w:val="20"/>
              </w:rPr>
              <w:t>características</w:t>
            </w:r>
          </w:p>
        </w:tc>
        <w:tc>
          <w:tcPr>
            <w:tcW w:w="1476" w:type="dxa"/>
          </w:tcPr>
          <w:p>
            <w:pPr>
              <w:pStyle w:val="TableParagraph"/>
              <w:tabs>
                <w:tab w:pos="1139" w:val="left" w:leader="none"/>
              </w:tabs>
              <w:spacing w:line="227" w:lineRule="exact"/>
              <w:rPr>
                <w:sz w:val="20"/>
              </w:rPr>
            </w:pPr>
            <w:r>
              <w:rPr>
                <w:sz w:val="20"/>
              </w:rPr>
              <w:t>%</w:t>
              <w:tab/>
              <w:t>de</w:t>
            </w:r>
          </w:p>
          <w:p>
            <w:pPr>
              <w:pStyle w:val="TableParagraph"/>
              <w:spacing w:before="1"/>
              <w:rPr>
                <w:sz w:val="20"/>
              </w:rPr>
            </w:pPr>
            <w:r>
              <w:rPr>
                <w:sz w:val="20"/>
              </w:rPr>
              <w:t>cumplimiento</w:t>
            </w:r>
          </w:p>
        </w:tc>
        <w:tc>
          <w:tcPr>
            <w:tcW w:w="2429" w:type="dxa"/>
          </w:tcPr>
          <w:p>
            <w:pPr>
              <w:pStyle w:val="TableParagraph"/>
              <w:spacing w:line="227" w:lineRule="exact"/>
              <w:rPr>
                <w:sz w:val="20"/>
              </w:rPr>
            </w:pPr>
            <w:r>
              <w:rPr>
                <w:sz w:val="20"/>
              </w:rPr>
              <w:t>Observaciones</w:t>
            </w:r>
          </w:p>
        </w:tc>
        <w:tc>
          <w:tcPr>
            <w:tcW w:w="1615"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860"/>
        <w:gridCol w:w="1352"/>
        <w:gridCol w:w="3132"/>
        <w:gridCol w:w="1476"/>
        <w:gridCol w:w="2429"/>
        <w:gridCol w:w="1615"/>
      </w:tblGrid>
      <w:tr>
        <w:trPr>
          <w:trHeight w:val="2549" w:hRule="exact"/>
        </w:trPr>
        <w:tc>
          <w:tcPr>
            <w:tcW w:w="957"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20"/>
              </w:rPr>
            </w:pPr>
          </w:p>
          <w:p>
            <w:pPr>
              <w:pStyle w:val="TableParagraph"/>
              <w:spacing w:before="1"/>
              <w:ind w:left="232"/>
              <w:rPr>
                <w:sz w:val="20"/>
              </w:rPr>
            </w:pPr>
            <w:r>
              <w:rPr>
                <w:sz w:val="20"/>
              </w:rPr>
              <w:t>1400</w:t>
            </w:r>
          </w:p>
        </w:tc>
        <w:tc>
          <w:tcPr>
            <w:tcW w:w="1860"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2"/>
              <w:jc w:val="center"/>
              <w:rPr>
                <w:b/>
                <w:sz w:val="20"/>
              </w:rPr>
            </w:pPr>
            <w:r>
              <w:rPr>
                <w:b/>
                <w:w w:val="99"/>
                <w:sz w:val="20"/>
              </w:rPr>
              <w:t>1</w:t>
            </w:r>
          </w:p>
        </w:tc>
        <w:tc>
          <w:tcPr>
            <w:tcW w:w="1352" w:type="dxa"/>
          </w:tcPr>
          <w:p>
            <w:pPr>
              <w:pStyle w:val="TableParagraph"/>
              <w:spacing w:before="7"/>
              <w:rPr>
                <w:sz w:val="20"/>
              </w:rPr>
            </w:pPr>
            <w:r>
              <w:rPr>
                <w:sz w:val="20"/>
              </w:rPr>
              <w:t>Ambiental</w:t>
            </w:r>
          </w:p>
        </w:tc>
        <w:tc>
          <w:tcPr>
            <w:tcW w:w="3132" w:type="dxa"/>
          </w:tcPr>
          <w:p>
            <w:pPr>
              <w:pStyle w:val="TableParagraph"/>
              <w:numPr>
                <w:ilvl w:val="0"/>
                <w:numId w:val="81"/>
              </w:numPr>
              <w:tabs>
                <w:tab w:pos="812" w:val="left" w:leader="none"/>
              </w:tabs>
              <w:spacing w:line="240" w:lineRule="auto" w:before="7" w:after="0"/>
              <w:ind w:left="280" w:right="103" w:hanging="141"/>
              <w:jc w:val="both"/>
              <w:rPr>
                <w:sz w:val="20"/>
              </w:rPr>
            </w:pPr>
            <w:r>
              <w:rPr>
                <w:sz w:val="20"/>
              </w:rPr>
              <w:t>Existe equilibrio de dominio de los recursos naturales de la CHPH entre  los</w:t>
            </w:r>
            <w:r>
              <w:rPr>
                <w:spacing w:val="-5"/>
                <w:sz w:val="20"/>
              </w:rPr>
              <w:t> </w:t>
            </w:r>
            <w:r>
              <w:rPr>
                <w:sz w:val="20"/>
              </w:rPr>
              <w:t>actores</w:t>
            </w:r>
          </w:p>
          <w:p>
            <w:pPr>
              <w:pStyle w:val="TableParagraph"/>
              <w:numPr>
                <w:ilvl w:val="0"/>
                <w:numId w:val="81"/>
              </w:numPr>
              <w:tabs>
                <w:tab w:pos="812" w:val="left" w:leader="none"/>
              </w:tabs>
              <w:spacing w:line="240" w:lineRule="auto" w:before="0" w:after="0"/>
              <w:ind w:left="280" w:right="104" w:hanging="141"/>
              <w:jc w:val="both"/>
              <w:rPr>
                <w:sz w:val="20"/>
              </w:rPr>
            </w:pPr>
            <w:r>
              <w:rPr>
                <w:sz w:val="20"/>
              </w:rPr>
              <w:t>Existe participación sociopolítica de los actores para cuidar el medio ambiente de la</w:t>
            </w:r>
            <w:r>
              <w:rPr>
                <w:spacing w:val="-4"/>
                <w:sz w:val="20"/>
              </w:rPr>
              <w:t> </w:t>
            </w:r>
            <w:r>
              <w:rPr>
                <w:sz w:val="20"/>
              </w:rPr>
              <w:t>CHPH</w:t>
            </w:r>
          </w:p>
          <w:p>
            <w:pPr>
              <w:pStyle w:val="TableParagraph"/>
              <w:numPr>
                <w:ilvl w:val="0"/>
                <w:numId w:val="81"/>
              </w:numPr>
              <w:tabs>
                <w:tab w:pos="812" w:val="left" w:leader="none"/>
                <w:tab w:pos="2048" w:val="left" w:leader="none"/>
              </w:tabs>
              <w:spacing w:line="240" w:lineRule="auto" w:before="0" w:after="0"/>
              <w:ind w:left="280" w:right="103" w:hanging="141"/>
              <w:jc w:val="both"/>
              <w:rPr>
                <w:sz w:val="20"/>
              </w:rPr>
            </w:pPr>
            <w:r>
              <w:rPr>
                <w:sz w:val="20"/>
              </w:rPr>
              <w:t>Existe</w:t>
              <w:tab/>
              <w:t>planeación ambiental con articulación entre</w:t>
            </w:r>
            <w:r>
              <w:rPr>
                <w:spacing w:val="-5"/>
                <w:sz w:val="20"/>
              </w:rPr>
              <w:t> </w:t>
            </w:r>
            <w:r>
              <w:rPr>
                <w:sz w:val="20"/>
              </w:rPr>
              <w:t>actores</w:t>
            </w:r>
          </w:p>
        </w:tc>
        <w:tc>
          <w:tcPr>
            <w:tcW w:w="147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1"/>
              </w:rPr>
            </w:pPr>
          </w:p>
          <w:p>
            <w:pPr>
              <w:pStyle w:val="TableParagraph"/>
              <w:spacing w:before="1"/>
              <w:ind w:left="477"/>
              <w:rPr>
                <w:sz w:val="20"/>
              </w:rPr>
            </w:pPr>
            <w:r>
              <w:rPr>
                <w:sz w:val="20"/>
              </w:rPr>
              <w:t>100%</w:t>
            </w:r>
          </w:p>
        </w:tc>
        <w:tc>
          <w:tcPr>
            <w:tcW w:w="2429" w:type="dxa"/>
            <w:vMerge w:val="restart"/>
          </w:tcPr>
          <w:p>
            <w:pPr>
              <w:pStyle w:val="TableParagraph"/>
              <w:spacing w:line="242" w:lineRule="auto" w:before="4"/>
              <w:ind w:right="103"/>
              <w:jc w:val="both"/>
              <w:rPr>
                <w:sz w:val="20"/>
              </w:rPr>
            </w:pPr>
            <w:r>
              <w:rPr>
                <w:sz w:val="20"/>
              </w:rPr>
              <w:t>Debe reunir al </w:t>
            </w:r>
            <w:r>
              <w:rPr>
                <w:b/>
                <w:sz w:val="20"/>
              </w:rPr>
              <w:t>100% las tres </w:t>
            </w:r>
            <w:r>
              <w:rPr>
                <w:sz w:val="20"/>
              </w:rPr>
              <w:t>características de impacto positivo</w:t>
            </w:r>
          </w:p>
        </w:tc>
        <w:tc>
          <w:tcPr>
            <w:tcW w:w="1615"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16"/>
              <w:rPr>
                <w:b/>
                <w:sz w:val="20"/>
              </w:rPr>
            </w:pPr>
            <w:r>
              <w:rPr>
                <w:b/>
                <w:sz w:val="20"/>
              </w:rPr>
              <w:t>Excelente</w:t>
            </w:r>
          </w:p>
        </w:tc>
      </w:tr>
      <w:tr>
        <w:trPr>
          <w:trHeight w:val="2540"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27" w:lineRule="exact"/>
              <w:rPr>
                <w:sz w:val="20"/>
              </w:rPr>
            </w:pPr>
            <w:r>
              <w:rPr>
                <w:sz w:val="20"/>
              </w:rPr>
              <w:t>Económico</w:t>
            </w:r>
          </w:p>
        </w:tc>
        <w:tc>
          <w:tcPr>
            <w:tcW w:w="3132" w:type="dxa"/>
          </w:tcPr>
          <w:p>
            <w:pPr>
              <w:pStyle w:val="TableParagraph"/>
              <w:numPr>
                <w:ilvl w:val="0"/>
                <w:numId w:val="82"/>
              </w:numPr>
              <w:tabs>
                <w:tab w:pos="812" w:val="left" w:leader="none"/>
                <w:tab w:pos="2005"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de  la CHPH entre los</w:t>
            </w:r>
            <w:r>
              <w:rPr>
                <w:spacing w:val="-7"/>
                <w:sz w:val="20"/>
              </w:rPr>
              <w:t> </w:t>
            </w:r>
            <w:r>
              <w:rPr>
                <w:sz w:val="20"/>
              </w:rPr>
              <w:t>actores</w:t>
            </w:r>
          </w:p>
          <w:p>
            <w:pPr>
              <w:pStyle w:val="TableParagraph"/>
              <w:numPr>
                <w:ilvl w:val="0"/>
                <w:numId w:val="82"/>
              </w:numPr>
              <w:tabs>
                <w:tab w:pos="812" w:val="left" w:leader="none"/>
                <w:tab w:pos="1993" w:val="left" w:leader="none"/>
              </w:tabs>
              <w:spacing w:line="240" w:lineRule="auto" w:before="0" w:after="0"/>
              <w:ind w:left="280" w:right="102" w:hanging="141"/>
              <w:jc w:val="both"/>
              <w:rPr>
                <w:sz w:val="20"/>
              </w:rPr>
            </w:pPr>
            <w:r>
              <w:rPr>
                <w:sz w:val="20"/>
              </w:rPr>
              <w:t>Existe</w:t>
              <w:tab/>
              <w:t>crecimiento económico equitativo de los cinco municipios (Acambay, Aculco, Jilotepec, Timilpan y Polotitlán) de la</w:t>
            </w:r>
            <w:r>
              <w:rPr>
                <w:spacing w:val="-10"/>
                <w:sz w:val="20"/>
              </w:rPr>
              <w:t> </w:t>
            </w:r>
            <w:r>
              <w:rPr>
                <w:sz w:val="20"/>
              </w:rPr>
              <w:t>CHPH</w:t>
            </w:r>
          </w:p>
          <w:p>
            <w:pPr>
              <w:pStyle w:val="TableParagraph"/>
              <w:numPr>
                <w:ilvl w:val="0"/>
                <w:numId w:val="82"/>
              </w:numPr>
              <w:tabs>
                <w:tab w:pos="812" w:val="left" w:leader="none"/>
                <w:tab w:pos="2048"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6" w:type="dxa"/>
            <w:vMerge/>
          </w:tcPr>
          <w:p>
            <w:pPr/>
          </w:p>
        </w:tc>
        <w:tc>
          <w:tcPr>
            <w:tcW w:w="2429" w:type="dxa"/>
            <w:vMerge/>
          </w:tcPr>
          <w:p>
            <w:pPr/>
          </w:p>
        </w:tc>
        <w:tc>
          <w:tcPr>
            <w:tcW w:w="1615" w:type="dxa"/>
            <w:vMerge/>
            <w:tcBorders>
              <w:right w:val="double" w:sz="12" w:space="0" w:color="000000"/>
            </w:tcBorders>
            <w:shd w:val="clear" w:color="auto" w:fill="00FF00"/>
          </w:tcPr>
          <w:p>
            <w:pPr/>
          </w:p>
        </w:tc>
      </w:tr>
      <w:tr>
        <w:trPr>
          <w:trHeight w:val="3461"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30" w:lineRule="exact"/>
              <w:rPr>
                <w:sz w:val="20"/>
              </w:rPr>
            </w:pPr>
            <w:r>
              <w:rPr>
                <w:sz w:val="20"/>
              </w:rPr>
              <w:t>Sociopolítico</w:t>
            </w:r>
          </w:p>
        </w:tc>
        <w:tc>
          <w:tcPr>
            <w:tcW w:w="3132" w:type="dxa"/>
          </w:tcPr>
          <w:p>
            <w:pPr>
              <w:pStyle w:val="TableParagraph"/>
              <w:ind w:left="280" w:right="104" w:hanging="178"/>
              <w:jc w:val="both"/>
              <w:rPr>
                <w:sz w:val="20"/>
              </w:rPr>
            </w:pPr>
            <w:r>
              <w:rPr>
                <w:rFonts w:ascii="Wingdings" w:hAnsi="Wingdings"/>
                <w:sz w:val="20"/>
              </w:rPr>
              <w:t></w:t>
            </w:r>
            <w:r>
              <w:rPr>
                <w:sz w:val="20"/>
              </w:rPr>
              <w:t>Favorece el equilibrio  de poder entre actores e instituciones políticas en la CHPH</w:t>
            </w:r>
          </w:p>
          <w:p>
            <w:pPr>
              <w:pStyle w:val="TableParagraph"/>
              <w:ind w:left="280" w:right="103" w:hanging="178"/>
              <w:jc w:val="both"/>
              <w:rPr>
                <w:sz w:val="20"/>
              </w:rPr>
            </w:pPr>
            <w:r>
              <w:rPr>
                <w:rFonts w:ascii="Wingdings" w:hAnsi="Wingdings"/>
                <w:sz w:val="20"/>
              </w:rPr>
              <w:t></w:t>
            </w:r>
            <w:r>
              <w:rPr>
                <w:sz w:val="20"/>
              </w:rPr>
              <w:t>Favorece la creación de instituciones sociopolíticas y democráticas en la CHPH</w:t>
            </w:r>
          </w:p>
          <w:p>
            <w:pPr>
              <w:pStyle w:val="TableParagraph"/>
              <w:ind w:left="280" w:right="105" w:hanging="178"/>
              <w:jc w:val="both"/>
              <w:rPr>
                <w:sz w:val="20"/>
              </w:rPr>
            </w:pPr>
            <w:r>
              <w:rPr>
                <w:rFonts w:ascii="Wingdings" w:hAnsi="Wingdings"/>
                <w:sz w:val="20"/>
              </w:rPr>
              <w:t></w:t>
            </w:r>
            <w:r>
              <w:rPr>
                <w:sz w:val="20"/>
              </w:rPr>
              <w:t>Favorece la articulación entre actores a través de la participación política</w:t>
            </w:r>
          </w:p>
          <w:p>
            <w:pPr>
              <w:pStyle w:val="TableParagraph"/>
              <w:ind w:right="98"/>
              <w:rPr>
                <w:sz w:val="20"/>
              </w:rPr>
            </w:pPr>
            <w:r>
              <w:rPr>
                <w:rFonts w:ascii="Wingdings" w:hAnsi="Wingdings"/>
                <w:sz w:val="20"/>
              </w:rPr>
              <w:t></w:t>
            </w:r>
            <w:r>
              <w:rPr>
                <w:sz w:val="20"/>
              </w:rPr>
              <w:t>Favorece la GIRH</w:t>
            </w:r>
          </w:p>
          <w:p>
            <w:pPr>
              <w:pStyle w:val="TableParagraph"/>
              <w:ind w:right="98"/>
              <w:rPr>
                <w:sz w:val="20"/>
              </w:rPr>
            </w:pPr>
            <w:r>
              <w:rPr>
                <w:rFonts w:ascii="Wingdings" w:hAnsi="Wingdings"/>
                <w:sz w:val="20"/>
              </w:rPr>
              <w:t></w:t>
            </w:r>
            <w:r>
              <w:rPr>
                <w:sz w:val="20"/>
              </w:rPr>
              <w:t>Favorece la gobernanza</w:t>
            </w:r>
          </w:p>
          <w:p>
            <w:pPr>
              <w:pStyle w:val="TableParagraph"/>
              <w:spacing w:line="229" w:lineRule="exact"/>
              <w:ind w:right="98"/>
              <w:rPr>
                <w:sz w:val="20"/>
              </w:rPr>
            </w:pPr>
            <w:r>
              <w:rPr>
                <w:rFonts w:ascii="Wingdings" w:hAnsi="Wingdings"/>
                <w:sz w:val="20"/>
              </w:rPr>
              <w:t></w:t>
            </w:r>
            <w:r>
              <w:rPr>
                <w:sz w:val="20"/>
              </w:rPr>
              <w:t>Fortalece la gobernabilidad</w:t>
            </w:r>
          </w:p>
          <w:p>
            <w:pPr>
              <w:pStyle w:val="TableParagraph"/>
              <w:ind w:left="280" w:right="104" w:hanging="178"/>
              <w:jc w:val="both"/>
              <w:rPr>
                <w:sz w:val="20"/>
              </w:rPr>
            </w:pPr>
            <w:r>
              <w:rPr>
                <w:rFonts w:ascii="Wingdings" w:hAnsi="Wingdings"/>
                <w:sz w:val="20"/>
              </w:rPr>
              <w:t></w:t>
            </w:r>
            <w:r>
              <w:rPr>
                <w:sz w:val="20"/>
              </w:rPr>
              <w:t>Existe planeación sociopolítica con articulación entre actores</w:t>
            </w:r>
          </w:p>
        </w:tc>
        <w:tc>
          <w:tcPr>
            <w:tcW w:w="1476" w:type="dxa"/>
            <w:vMerge/>
          </w:tcPr>
          <w:p>
            <w:pPr/>
          </w:p>
        </w:tc>
        <w:tc>
          <w:tcPr>
            <w:tcW w:w="2429" w:type="dxa"/>
            <w:vMerge/>
          </w:tcPr>
          <w:p>
            <w:pPr/>
          </w:p>
        </w:tc>
        <w:tc>
          <w:tcPr>
            <w:tcW w:w="1615" w:type="dxa"/>
            <w:vMerge/>
            <w:tcBorders>
              <w:right w:val="double" w:sz="12" w:space="0" w:color="000000"/>
            </w:tcBorders>
            <w:shd w:val="clear" w:color="auto" w:fill="00FF00"/>
          </w:tcPr>
          <w:p>
            <w:pPr/>
          </w:p>
        </w:tc>
      </w:tr>
      <w:tr>
        <w:trPr>
          <w:trHeight w:val="240" w:hRule="exact"/>
        </w:trPr>
        <w:tc>
          <w:tcPr>
            <w:tcW w:w="957" w:type="dxa"/>
            <w:tcBorders>
              <w:left w:val="double" w:sz="11" w:space="0" w:color="000000"/>
              <w:bottom w:val="single" w:sz="8" w:space="0" w:color="000000"/>
            </w:tcBorders>
          </w:tcPr>
          <w:p>
            <w:pPr/>
          </w:p>
        </w:tc>
        <w:tc>
          <w:tcPr>
            <w:tcW w:w="1860" w:type="dxa"/>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Ambiental</w:t>
            </w:r>
          </w:p>
        </w:tc>
        <w:tc>
          <w:tcPr>
            <w:tcW w:w="3132" w:type="dxa"/>
            <w:tcBorders>
              <w:bottom w:val="single" w:sz="8" w:space="0" w:color="000000"/>
            </w:tcBorders>
          </w:tcPr>
          <w:p>
            <w:pPr>
              <w:pStyle w:val="TableParagraph"/>
              <w:numPr>
                <w:ilvl w:val="0"/>
                <w:numId w:val="83"/>
              </w:numPr>
              <w:tabs>
                <w:tab w:pos="811" w:val="left" w:leader="none"/>
                <w:tab w:pos="812" w:val="left" w:leader="none"/>
                <w:tab w:pos="1674" w:val="left" w:leader="none"/>
                <w:tab w:pos="2794" w:val="left" w:leader="none"/>
              </w:tabs>
              <w:spacing w:line="227" w:lineRule="exact" w:before="0" w:after="0"/>
              <w:ind w:left="811" w:right="0" w:hanging="672"/>
              <w:jc w:val="left"/>
              <w:rPr>
                <w:sz w:val="20"/>
              </w:rPr>
            </w:pPr>
            <w:r>
              <w:rPr>
                <w:sz w:val="20"/>
              </w:rPr>
              <w:t>Existe</w:t>
              <w:tab/>
              <w:t>equilibrio</w:t>
              <w:tab/>
              <w:t>de</w:t>
            </w:r>
          </w:p>
        </w:tc>
        <w:tc>
          <w:tcPr>
            <w:tcW w:w="1476" w:type="dxa"/>
            <w:tcBorders>
              <w:bottom w:val="single" w:sz="8" w:space="0" w:color="000000"/>
            </w:tcBorders>
          </w:tcPr>
          <w:p>
            <w:pPr/>
          </w:p>
        </w:tc>
        <w:tc>
          <w:tcPr>
            <w:tcW w:w="2429" w:type="dxa"/>
            <w:tcBorders>
              <w:bottom w:val="single" w:sz="8" w:space="0" w:color="000000"/>
            </w:tcBorders>
          </w:tcPr>
          <w:p>
            <w:pPr>
              <w:pStyle w:val="TableParagraph"/>
              <w:spacing w:line="225" w:lineRule="exact"/>
              <w:rPr>
                <w:b/>
                <w:sz w:val="20"/>
              </w:rPr>
            </w:pPr>
            <w:r>
              <w:rPr>
                <w:sz w:val="20"/>
              </w:rPr>
              <w:t>Debe reunir </w:t>
            </w:r>
            <w:r>
              <w:rPr>
                <w:b/>
                <w:sz w:val="20"/>
              </w:rPr>
              <w:t>al menos el</w:t>
            </w:r>
          </w:p>
        </w:tc>
        <w:tc>
          <w:tcPr>
            <w:tcW w:w="1615" w:type="dxa"/>
            <w:tcBorders>
              <w:bottom w:val="single" w:sz="8" w:space="0" w:color="000000"/>
              <w:right w:val="double" w:sz="12" w:space="0" w:color="000000"/>
            </w:tcBorders>
          </w:tcPr>
          <w:p>
            <w:pPr>
              <w:pStyle w:val="TableParagraph"/>
              <w:spacing w:line="230" w:lineRule="exact"/>
              <w:ind w:left="0" w:right="-50"/>
              <w:rPr>
                <w:rFonts w:ascii="Times New Roman"/>
                <w:sz w:val="20"/>
              </w:rPr>
            </w:pPr>
            <w:r>
              <w:rPr>
                <w:rFonts w:ascii="Times New Roman"/>
                <w:position w:val="-4"/>
                <w:sz w:val="20"/>
              </w:rPr>
              <w:pict>
                <v:group style="width:78.4pt;height:11.55pt;mso-position-horizontal-relative:char;mso-position-vertical-relative:line" coordorigin="0,0" coordsize="1568,231">
                  <v:shape style="position:absolute;left:0;top:0;width:1567;height:230" type="#_x0000_t75" stroked="false">
                    <v:imagedata r:id="rId287" o:title=""/>
                  </v:shape>
                  <v:shape style="position:absolute;left:103;top:0;width:1361;height:230" type="#_x0000_t75" stroked="false">
                    <v:imagedata r:id="rId288" o:title=""/>
                  </v:shape>
                </v:group>
              </w:pict>
            </w:r>
            <w:r>
              <w:rPr>
                <w:rFonts w:ascii="Times New Roman"/>
                <w:position w:val="-4"/>
                <w:sz w:val="20"/>
              </w:rPr>
            </w:r>
          </w:p>
        </w:tc>
      </w:tr>
    </w:tbl>
    <w:p>
      <w:pPr>
        <w:spacing w:after="0" w:line="230" w:lineRule="exact"/>
        <w:rPr>
          <w:rFonts w:ascii="Times New Roman"/>
          <w:sz w:val="20"/>
        </w:rPr>
        <w:sectPr>
          <w:pgSz w:w="15840" w:h="12240" w:orient="landscape"/>
          <w:pgMar w:header="0" w:footer="943" w:top="1140" w:bottom="1140" w:left="1200" w:right="1300"/>
        </w:sectPr>
      </w:pPr>
    </w:p>
    <w:p>
      <w:pPr>
        <w:pStyle w:val="BodyText"/>
        <w:rPr>
          <w:rFonts w:ascii="Times New Roman"/>
          <w:sz w:val="20"/>
        </w:rPr>
      </w:pPr>
      <w:r>
        <w:rPr/>
        <w:pict>
          <v:group style="position:absolute;margin-left:627.940002pt;margin-top:86.059998pt;width:78.4pt;height:403.55pt;mso-position-horizontal-relative:page;mso-position-vertical-relative:page;z-index:-3331120" coordorigin="12559,1721" coordsize="1568,8071">
            <v:shape style="position:absolute;left:12559;top:1721;width:1567;height:8070" type="#_x0000_t75" stroked="false">
              <v:imagedata r:id="rId289" o:title=""/>
            </v:shape>
            <v:shape style="position:absolute;left:12662;top:1721;width:1361;height:230" type="#_x0000_t75" stroked="false">
              <v:imagedata r:id="rId290" o:title=""/>
            </v:shape>
            <v:shape style="position:absolute;left:12662;top:1952;width:1361;height:230" type="#_x0000_t75" stroked="false">
              <v:imagedata r:id="rId291" o:title=""/>
            </v:shape>
            <v:shape style="position:absolute;left:12662;top:2182;width:1361;height:230" type="#_x0000_t75" stroked="false">
              <v:imagedata r:id="rId292" o:title=""/>
            </v:shape>
            <v:shape style="position:absolute;left:12662;top:2412;width:1361;height:228" type="#_x0000_t75" stroked="false">
              <v:imagedata r:id="rId293" o:title=""/>
            </v:shape>
            <v:shape style="position:absolute;left:12662;top:2640;width:1361;height:230" type="#_x0000_t75" stroked="false">
              <v:imagedata r:id="rId294" o:title=""/>
            </v:shape>
            <v:shape style="position:absolute;left:12662;top:2871;width:1361;height:230" type="#_x0000_t75" stroked="false">
              <v:imagedata r:id="rId295" o:title=""/>
            </v:shape>
            <v:shape style="position:absolute;left:12662;top:3101;width:1361;height:230" type="#_x0000_t75" stroked="false">
              <v:imagedata r:id="rId296" o:title=""/>
            </v:shape>
            <v:shape style="position:absolute;left:12662;top:3332;width:1361;height:230" type="#_x0000_t75" stroked="false">
              <v:imagedata r:id="rId297"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860"/>
        <w:gridCol w:w="1352"/>
        <w:gridCol w:w="3132"/>
        <w:gridCol w:w="1476"/>
        <w:gridCol w:w="2429"/>
        <w:gridCol w:w="1615"/>
      </w:tblGrid>
      <w:tr>
        <w:trPr>
          <w:trHeight w:val="2090" w:hRule="exact"/>
        </w:trPr>
        <w:tc>
          <w:tcPr>
            <w:tcW w:w="957"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232"/>
              <w:rPr>
                <w:sz w:val="20"/>
              </w:rPr>
            </w:pPr>
            <w:r>
              <w:rPr>
                <w:sz w:val="20"/>
              </w:rPr>
              <w:t>1519</w:t>
            </w:r>
          </w:p>
        </w:tc>
        <w:tc>
          <w:tcPr>
            <w:tcW w:w="1860"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2"/>
              <w:jc w:val="center"/>
              <w:rPr>
                <w:b/>
                <w:sz w:val="20"/>
              </w:rPr>
            </w:pPr>
            <w:r>
              <w:rPr>
                <w:b/>
                <w:w w:val="99"/>
                <w:sz w:val="20"/>
              </w:rPr>
              <w:t>1</w:t>
            </w:r>
          </w:p>
        </w:tc>
        <w:tc>
          <w:tcPr>
            <w:tcW w:w="1352" w:type="dxa"/>
          </w:tcPr>
          <w:p>
            <w:pPr/>
          </w:p>
        </w:tc>
        <w:tc>
          <w:tcPr>
            <w:tcW w:w="3132" w:type="dxa"/>
          </w:tcPr>
          <w:p>
            <w:pPr>
              <w:pStyle w:val="TableParagraph"/>
              <w:spacing w:before="7"/>
              <w:ind w:left="280" w:right="103"/>
              <w:jc w:val="both"/>
              <w:rPr>
                <w:sz w:val="20"/>
              </w:rPr>
            </w:pPr>
            <w:r>
              <w:rPr>
                <w:sz w:val="20"/>
              </w:rPr>
              <w:t>dominio de los recursos naturales de la CHPH entre  los</w:t>
            </w:r>
            <w:r>
              <w:rPr>
                <w:spacing w:val="-5"/>
                <w:sz w:val="20"/>
              </w:rPr>
              <w:t> </w:t>
            </w:r>
            <w:r>
              <w:rPr>
                <w:sz w:val="20"/>
              </w:rPr>
              <w:t>actores</w:t>
            </w:r>
          </w:p>
          <w:p>
            <w:pPr>
              <w:pStyle w:val="TableParagraph"/>
              <w:numPr>
                <w:ilvl w:val="0"/>
                <w:numId w:val="84"/>
              </w:numPr>
              <w:tabs>
                <w:tab w:pos="812" w:val="left" w:leader="none"/>
              </w:tabs>
              <w:spacing w:line="240" w:lineRule="auto" w:before="0" w:after="0"/>
              <w:ind w:left="280" w:right="104" w:hanging="141"/>
              <w:jc w:val="both"/>
              <w:rPr>
                <w:sz w:val="20"/>
              </w:rPr>
            </w:pPr>
            <w:r>
              <w:rPr>
                <w:sz w:val="20"/>
              </w:rPr>
              <w:t>Existe participación sociopolítica de los actores para cuidar el medio ambiente de la</w:t>
            </w:r>
            <w:r>
              <w:rPr>
                <w:spacing w:val="-4"/>
                <w:sz w:val="20"/>
              </w:rPr>
              <w:t> </w:t>
            </w:r>
            <w:r>
              <w:rPr>
                <w:sz w:val="20"/>
              </w:rPr>
              <w:t>CHPH</w:t>
            </w:r>
          </w:p>
          <w:p>
            <w:pPr>
              <w:pStyle w:val="TableParagraph"/>
              <w:ind w:left="280" w:right="102"/>
              <w:jc w:val="both"/>
              <w:rPr>
                <w:sz w:val="20"/>
              </w:rPr>
            </w:pPr>
            <w:r>
              <w:rPr>
                <w:sz w:val="20"/>
              </w:rPr>
              <w:t>Existe planeación ambiental con articulación entre actores</w:t>
            </w:r>
          </w:p>
        </w:tc>
        <w:tc>
          <w:tcPr>
            <w:tcW w:w="147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513" w:right="513"/>
              <w:jc w:val="center"/>
              <w:rPr>
                <w:sz w:val="20"/>
              </w:rPr>
            </w:pPr>
            <w:r>
              <w:rPr>
                <w:sz w:val="20"/>
              </w:rPr>
              <w:t>75%</w:t>
            </w:r>
          </w:p>
        </w:tc>
        <w:tc>
          <w:tcPr>
            <w:tcW w:w="2429" w:type="dxa"/>
            <w:vMerge w:val="restart"/>
          </w:tcPr>
          <w:p>
            <w:pPr>
              <w:pStyle w:val="TableParagraph"/>
              <w:tabs>
                <w:tab w:pos="2091" w:val="left" w:leader="none"/>
              </w:tabs>
              <w:spacing w:line="242" w:lineRule="auto" w:before="4"/>
              <w:ind w:right="104"/>
              <w:jc w:val="both"/>
              <w:rPr>
                <w:sz w:val="20"/>
              </w:rPr>
            </w:pPr>
            <w:r>
              <w:rPr>
                <w:b/>
                <w:sz w:val="20"/>
              </w:rPr>
              <w:t>75% </w:t>
            </w:r>
            <w:r>
              <w:rPr>
                <w:sz w:val="20"/>
              </w:rPr>
              <w:t>dos de tres características</w:t>
              <w:tab/>
              <w:t>de impacto</w:t>
            </w:r>
            <w:r>
              <w:rPr>
                <w:spacing w:val="-3"/>
                <w:sz w:val="20"/>
              </w:rPr>
              <w:t> </w:t>
            </w:r>
            <w:r>
              <w:rPr>
                <w:sz w:val="20"/>
              </w:rPr>
              <w:t>positivo</w:t>
            </w:r>
          </w:p>
        </w:tc>
        <w:tc>
          <w:tcPr>
            <w:tcW w:w="1615"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472"/>
              <w:rPr>
                <w:b/>
                <w:sz w:val="20"/>
              </w:rPr>
            </w:pPr>
            <w:r>
              <w:rPr>
                <w:b/>
                <w:sz w:val="20"/>
              </w:rPr>
              <w:t>Bueno</w:t>
            </w:r>
          </w:p>
        </w:tc>
      </w:tr>
      <w:tr>
        <w:trPr>
          <w:trHeight w:val="2540"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28" w:lineRule="exact"/>
              <w:rPr>
                <w:sz w:val="20"/>
              </w:rPr>
            </w:pPr>
            <w:r>
              <w:rPr>
                <w:sz w:val="20"/>
              </w:rPr>
              <w:t>Económico</w:t>
            </w:r>
          </w:p>
        </w:tc>
        <w:tc>
          <w:tcPr>
            <w:tcW w:w="3132" w:type="dxa"/>
          </w:tcPr>
          <w:p>
            <w:pPr>
              <w:pStyle w:val="TableParagraph"/>
              <w:numPr>
                <w:ilvl w:val="0"/>
                <w:numId w:val="85"/>
              </w:numPr>
              <w:tabs>
                <w:tab w:pos="866" w:val="left" w:leader="none"/>
                <w:tab w:pos="867" w:val="left" w:leader="none"/>
                <w:tab w:pos="2005"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de  la CHPH entre los</w:t>
            </w:r>
            <w:r>
              <w:rPr>
                <w:spacing w:val="-7"/>
                <w:sz w:val="20"/>
              </w:rPr>
              <w:t> </w:t>
            </w:r>
            <w:r>
              <w:rPr>
                <w:sz w:val="20"/>
              </w:rPr>
              <w:t>actores</w:t>
            </w:r>
          </w:p>
          <w:p>
            <w:pPr>
              <w:pStyle w:val="TableParagraph"/>
              <w:numPr>
                <w:ilvl w:val="0"/>
                <w:numId w:val="85"/>
              </w:numPr>
              <w:tabs>
                <w:tab w:pos="812" w:val="left" w:leader="none"/>
                <w:tab w:pos="1993" w:val="left" w:leader="none"/>
              </w:tabs>
              <w:spacing w:line="240" w:lineRule="auto" w:before="0" w:after="0"/>
              <w:ind w:left="280" w:right="102" w:hanging="141"/>
              <w:jc w:val="both"/>
              <w:rPr>
                <w:sz w:val="20"/>
              </w:rPr>
            </w:pPr>
            <w:r>
              <w:rPr>
                <w:sz w:val="20"/>
              </w:rPr>
              <w:t>Existe</w:t>
              <w:tab/>
              <w:t>crecimiento económico equitativo de los cinco municipios (Acambay, Aculco, Jilotepec, Timilpan y Polotitlán) de la</w:t>
            </w:r>
            <w:r>
              <w:rPr>
                <w:spacing w:val="-10"/>
                <w:sz w:val="20"/>
              </w:rPr>
              <w:t> </w:t>
            </w:r>
            <w:r>
              <w:rPr>
                <w:sz w:val="20"/>
              </w:rPr>
              <w:t>CHPH</w:t>
            </w:r>
          </w:p>
          <w:p>
            <w:pPr>
              <w:pStyle w:val="TableParagraph"/>
              <w:numPr>
                <w:ilvl w:val="0"/>
                <w:numId w:val="85"/>
              </w:numPr>
              <w:tabs>
                <w:tab w:pos="812" w:val="left" w:leader="none"/>
                <w:tab w:pos="2048"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6" w:type="dxa"/>
            <w:vMerge/>
          </w:tcPr>
          <w:p>
            <w:pPr/>
          </w:p>
        </w:tc>
        <w:tc>
          <w:tcPr>
            <w:tcW w:w="2429" w:type="dxa"/>
            <w:vMerge/>
          </w:tcPr>
          <w:p>
            <w:pPr/>
          </w:p>
        </w:tc>
        <w:tc>
          <w:tcPr>
            <w:tcW w:w="1615" w:type="dxa"/>
            <w:vMerge/>
            <w:tcBorders>
              <w:right w:val="double" w:sz="12" w:space="0" w:color="000000"/>
            </w:tcBorders>
          </w:tcPr>
          <w:p>
            <w:pPr/>
          </w:p>
        </w:tc>
      </w:tr>
      <w:tr>
        <w:trPr>
          <w:trHeight w:val="3459"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28" w:lineRule="exact"/>
              <w:rPr>
                <w:sz w:val="20"/>
              </w:rPr>
            </w:pPr>
            <w:r>
              <w:rPr>
                <w:sz w:val="20"/>
              </w:rPr>
              <w:t>Sociopolítico</w:t>
            </w:r>
          </w:p>
        </w:tc>
        <w:tc>
          <w:tcPr>
            <w:tcW w:w="3132" w:type="dxa"/>
          </w:tcPr>
          <w:p>
            <w:pPr>
              <w:pStyle w:val="TableParagraph"/>
              <w:ind w:left="280" w:right="104" w:hanging="178"/>
              <w:jc w:val="both"/>
              <w:rPr>
                <w:sz w:val="20"/>
              </w:rPr>
            </w:pPr>
            <w:r>
              <w:rPr>
                <w:rFonts w:ascii="Wingdings" w:hAnsi="Wingdings"/>
                <w:sz w:val="20"/>
              </w:rPr>
              <w:t></w:t>
            </w:r>
            <w:r>
              <w:rPr>
                <w:sz w:val="20"/>
              </w:rPr>
              <w:t>Favorece el equilibrio  de poder entre actores e instituciones políticas en la CHPH</w:t>
            </w:r>
          </w:p>
          <w:p>
            <w:pPr>
              <w:pStyle w:val="TableParagraph"/>
              <w:ind w:left="280" w:right="101" w:hanging="178"/>
              <w:jc w:val="both"/>
              <w:rPr>
                <w:sz w:val="20"/>
              </w:rPr>
            </w:pPr>
            <w:r>
              <w:rPr>
                <w:rFonts w:ascii="Wingdings" w:hAnsi="Wingdings"/>
                <w:sz w:val="20"/>
              </w:rPr>
              <w:t></w:t>
            </w:r>
            <w:r>
              <w:rPr>
                <w:sz w:val="20"/>
              </w:rPr>
              <w:t>Favorece la creación de instituciones sociopolíticas y democráticas en la CHPH</w:t>
            </w:r>
          </w:p>
          <w:p>
            <w:pPr>
              <w:pStyle w:val="TableParagraph"/>
              <w:ind w:left="280" w:right="105" w:hanging="178"/>
              <w:jc w:val="both"/>
              <w:rPr>
                <w:sz w:val="20"/>
              </w:rPr>
            </w:pPr>
            <w:r>
              <w:rPr>
                <w:rFonts w:ascii="Wingdings" w:hAnsi="Wingdings"/>
                <w:sz w:val="20"/>
              </w:rPr>
              <w:t></w:t>
            </w:r>
            <w:r>
              <w:rPr>
                <w:sz w:val="20"/>
              </w:rPr>
              <w:t>Favorece la articulación entre actores a través de la participación política</w:t>
            </w:r>
          </w:p>
          <w:p>
            <w:pPr>
              <w:pStyle w:val="TableParagraph"/>
              <w:ind w:right="98"/>
              <w:rPr>
                <w:sz w:val="20"/>
              </w:rPr>
            </w:pPr>
            <w:r>
              <w:rPr>
                <w:rFonts w:ascii="Wingdings" w:hAnsi="Wingdings"/>
                <w:sz w:val="20"/>
              </w:rPr>
              <w:t></w:t>
            </w:r>
            <w:r>
              <w:rPr>
                <w:sz w:val="20"/>
              </w:rPr>
              <w:t>Favorece la GIRH</w:t>
            </w:r>
          </w:p>
          <w:p>
            <w:pPr>
              <w:pStyle w:val="TableParagraph"/>
              <w:spacing w:before="1"/>
              <w:ind w:right="98"/>
              <w:rPr>
                <w:sz w:val="20"/>
              </w:rPr>
            </w:pPr>
            <w:r>
              <w:rPr>
                <w:rFonts w:ascii="Wingdings" w:hAnsi="Wingdings"/>
                <w:sz w:val="20"/>
              </w:rPr>
              <w:t></w:t>
            </w:r>
            <w:r>
              <w:rPr>
                <w:sz w:val="20"/>
              </w:rPr>
              <w:t>Favorece la gobernanza</w:t>
            </w:r>
          </w:p>
          <w:p>
            <w:pPr>
              <w:pStyle w:val="TableParagraph"/>
              <w:ind w:left="280" w:right="98" w:hanging="178"/>
              <w:rPr>
                <w:sz w:val="20"/>
              </w:rPr>
            </w:pPr>
            <w:r>
              <w:rPr>
                <w:rFonts w:ascii="Wingdings" w:hAnsi="Wingdings"/>
                <w:sz w:val="20"/>
              </w:rPr>
              <w:t></w:t>
            </w:r>
            <w:r>
              <w:rPr>
                <w:sz w:val="20"/>
              </w:rPr>
              <w:t>Fortalece la gobernabilidad Existe planeación sociopolítica con articulación entre actores</w:t>
            </w:r>
          </w:p>
        </w:tc>
        <w:tc>
          <w:tcPr>
            <w:tcW w:w="1476" w:type="dxa"/>
            <w:vMerge/>
          </w:tcPr>
          <w:p>
            <w:pPr/>
          </w:p>
        </w:tc>
        <w:tc>
          <w:tcPr>
            <w:tcW w:w="2429" w:type="dxa"/>
            <w:vMerge/>
          </w:tcPr>
          <w:p>
            <w:pPr/>
          </w:p>
        </w:tc>
        <w:tc>
          <w:tcPr>
            <w:tcW w:w="1615" w:type="dxa"/>
            <w:vMerge/>
            <w:tcBorders>
              <w:right w:val="double" w:sz="12" w:space="0" w:color="000000"/>
            </w:tcBorders>
          </w:tcPr>
          <w:p>
            <w:pPr/>
          </w:p>
        </w:tc>
      </w:tr>
      <w:tr>
        <w:trPr>
          <w:trHeight w:val="701" w:hRule="exact"/>
        </w:trPr>
        <w:tc>
          <w:tcPr>
            <w:tcW w:w="957" w:type="dxa"/>
            <w:tcBorders>
              <w:left w:val="double" w:sz="11" w:space="0" w:color="000000"/>
              <w:bottom w:val="single" w:sz="8" w:space="0" w:color="000000"/>
            </w:tcBorders>
          </w:tcPr>
          <w:p>
            <w:pPr/>
          </w:p>
        </w:tc>
        <w:tc>
          <w:tcPr>
            <w:tcW w:w="1860" w:type="dxa"/>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Ambiental</w:t>
            </w:r>
          </w:p>
        </w:tc>
        <w:tc>
          <w:tcPr>
            <w:tcW w:w="3132" w:type="dxa"/>
            <w:tcBorders>
              <w:bottom w:val="single" w:sz="8" w:space="0" w:color="000000"/>
            </w:tcBorders>
          </w:tcPr>
          <w:p>
            <w:pPr>
              <w:pStyle w:val="TableParagraph"/>
              <w:numPr>
                <w:ilvl w:val="0"/>
                <w:numId w:val="86"/>
              </w:numPr>
              <w:tabs>
                <w:tab w:pos="812" w:val="left" w:leader="none"/>
              </w:tabs>
              <w:spacing w:line="240" w:lineRule="auto" w:before="0" w:after="0"/>
              <w:ind w:left="280" w:right="103" w:hanging="141"/>
              <w:jc w:val="both"/>
              <w:rPr>
                <w:sz w:val="20"/>
              </w:rPr>
            </w:pPr>
            <w:r>
              <w:rPr>
                <w:sz w:val="20"/>
              </w:rPr>
              <w:t>Existe equilibrio de dominio de los recursos naturales  de  la  CHPH  </w:t>
            </w:r>
            <w:r>
              <w:rPr>
                <w:spacing w:val="6"/>
                <w:sz w:val="20"/>
              </w:rPr>
              <w:t> </w:t>
            </w:r>
            <w:r>
              <w:rPr>
                <w:sz w:val="20"/>
              </w:rPr>
              <w:t>entre</w:t>
            </w:r>
          </w:p>
        </w:tc>
        <w:tc>
          <w:tcPr>
            <w:tcW w:w="1476" w:type="dxa"/>
            <w:tcBorders>
              <w:bottom w:val="single" w:sz="8" w:space="0" w:color="000000"/>
            </w:tcBorders>
          </w:tcPr>
          <w:p>
            <w:pPr/>
          </w:p>
        </w:tc>
        <w:tc>
          <w:tcPr>
            <w:tcW w:w="2429" w:type="dxa"/>
            <w:tcBorders>
              <w:bottom w:val="single" w:sz="8" w:space="0" w:color="000000"/>
            </w:tcBorders>
          </w:tcPr>
          <w:p>
            <w:pPr>
              <w:pStyle w:val="TableParagraph"/>
              <w:tabs>
                <w:tab w:pos="2091" w:val="left" w:leader="none"/>
              </w:tabs>
              <w:spacing w:line="242" w:lineRule="auto"/>
              <w:ind w:right="104"/>
              <w:jc w:val="both"/>
              <w:rPr>
                <w:sz w:val="20"/>
              </w:rPr>
            </w:pPr>
            <w:r>
              <w:rPr>
                <w:sz w:val="20"/>
              </w:rPr>
              <w:t>Debe reunir </w:t>
            </w:r>
            <w:r>
              <w:rPr>
                <w:b/>
                <w:sz w:val="20"/>
              </w:rPr>
              <w:t>al menos el 50% una de tres </w:t>
            </w:r>
            <w:r>
              <w:rPr>
                <w:sz w:val="20"/>
              </w:rPr>
              <w:t>características</w:t>
              <w:tab/>
              <w:t>de</w:t>
            </w:r>
          </w:p>
        </w:tc>
        <w:tc>
          <w:tcPr>
            <w:tcW w:w="1615" w:type="dxa"/>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860"/>
        <w:gridCol w:w="1352"/>
        <w:gridCol w:w="3132"/>
        <w:gridCol w:w="1476"/>
        <w:gridCol w:w="2429"/>
        <w:gridCol w:w="1615"/>
      </w:tblGrid>
      <w:tr>
        <w:trPr>
          <w:trHeight w:val="1630" w:hRule="exact"/>
        </w:trPr>
        <w:tc>
          <w:tcPr>
            <w:tcW w:w="957" w:type="dxa"/>
            <w:tcBorders>
              <w:left w:val="double" w:sz="11" w:space="0" w:color="000000"/>
            </w:tcBorders>
          </w:tcPr>
          <w:p>
            <w:pPr>
              <w:pStyle w:val="TableParagraph"/>
              <w:ind w:left="0"/>
              <w:rPr>
                <w:rFonts w:ascii="Times New Roman"/>
                <w:sz w:val="20"/>
              </w:rPr>
            </w:pPr>
          </w:p>
          <w:p>
            <w:pPr>
              <w:pStyle w:val="TableParagraph"/>
              <w:spacing w:before="7"/>
              <w:ind w:left="0"/>
              <w:rPr>
                <w:rFonts w:ascii="Times New Roman"/>
                <w:sz w:val="20"/>
              </w:rPr>
            </w:pPr>
          </w:p>
          <w:p>
            <w:pPr>
              <w:pStyle w:val="TableParagraph"/>
              <w:ind w:left="212" w:right="212"/>
              <w:jc w:val="center"/>
              <w:rPr>
                <w:sz w:val="20"/>
              </w:rPr>
            </w:pPr>
            <w:r>
              <w:rPr>
                <w:sz w:val="20"/>
              </w:rPr>
              <w:t>1940</w:t>
            </w:r>
          </w:p>
        </w:tc>
        <w:tc>
          <w:tcPr>
            <w:tcW w:w="1860"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2"/>
              <w:jc w:val="center"/>
              <w:rPr>
                <w:b/>
                <w:sz w:val="20"/>
              </w:rPr>
            </w:pPr>
            <w:r>
              <w:rPr>
                <w:b/>
                <w:w w:val="99"/>
                <w:sz w:val="20"/>
              </w:rPr>
              <w:t>1</w:t>
            </w:r>
          </w:p>
        </w:tc>
        <w:tc>
          <w:tcPr>
            <w:tcW w:w="1352" w:type="dxa"/>
          </w:tcPr>
          <w:p>
            <w:pPr/>
          </w:p>
        </w:tc>
        <w:tc>
          <w:tcPr>
            <w:tcW w:w="3132" w:type="dxa"/>
          </w:tcPr>
          <w:p>
            <w:pPr>
              <w:pStyle w:val="TableParagraph"/>
              <w:spacing w:before="7"/>
              <w:ind w:left="280" w:right="98"/>
              <w:rPr>
                <w:sz w:val="20"/>
              </w:rPr>
            </w:pPr>
            <w:r>
              <w:rPr>
                <w:sz w:val="20"/>
              </w:rPr>
              <w:t>los actores</w:t>
            </w:r>
          </w:p>
          <w:p>
            <w:pPr>
              <w:pStyle w:val="TableParagraph"/>
              <w:numPr>
                <w:ilvl w:val="0"/>
                <w:numId w:val="87"/>
              </w:numPr>
              <w:tabs>
                <w:tab w:pos="812" w:val="left" w:leader="none"/>
              </w:tabs>
              <w:spacing w:line="240" w:lineRule="auto" w:before="0" w:after="0"/>
              <w:ind w:left="280" w:right="104" w:hanging="141"/>
              <w:jc w:val="both"/>
              <w:rPr>
                <w:sz w:val="20"/>
              </w:rPr>
            </w:pPr>
            <w:r>
              <w:rPr>
                <w:sz w:val="20"/>
              </w:rPr>
              <w:t>Existe participación sociopolítica de los actores para cuidar el medio ambiente de la</w:t>
            </w:r>
            <w:r>
              <w:rPr>
                <w:spacing w:val="-4"/>
                <w:sz w:val="20"/>
              </w:rPr>
              <w:t> </w:t>
            </w:r>
            <w:r>
              <w:rPr>
                <w:sz w:val="20"/>
              </w:rPr>
              <w:t>CHPH</w:t>
            </w:r>
          </w:p>
          <w:p>
            <w:pPr>
              <w:pStyle w:val="TableParagraph"/>
              <w:ind w:right="98"/>
              <w:rPr>
                <w:sz w:val="20"/>
              </w:rPr>
            </w:pPr>
            <w:r>
              <w:rPr>
                <w:sz w:val="20"/>
              </w:rPr>
              <w:t>Existe planeación ambiental con articulación entre actores</w:t>
            </w:r>
          </w:p>
        </w:tc>
        <w:tc>
          <w:tcPr>
            <w:tcW w:w="147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20"/>
              </w:rPr>
            </w:pPr>
          </w:p>
          <w:p>
            <w:pPr>
              <w:pStyle w:val="TableParagraph"/>
              <w:ind w:left="513" w:right="513"/>
              <w:jc w:val="center"/>
              <w:rPr>
                <w:sz w:val="20"/>
              </w:rPr>
            </w:pPr>
            <w:r>
              <w:rPr>
                <w:sz w:val="20"/>
              </w:rPr>
              <w:t>50%</w:t>
            </w:r>
          </w:p>
        </w:tc>
        <w:tc>
          <w:tcPr>
            <w:tcW w:w="2429" w:type="dxa"/>
            <w:vMerge w:val="restart"/>
          </w:tcPr>
          <w:p>
            <w:pPr>
              <w:pStyle w:val="TableParagraph"/>
              <w:spacing w:before="7"/>
              <w:rPr>
                <w:sz w:val="20"/>
              </w:rPr>
            </w:pPr>
            <w:r>
              <w:rPr>
                <w:sz w:val="20"/>
              </w:rPr>
              <w:t>impacto positivo</w:t>
            </w:r>
          </w:p>
        </w:tc>
        <w:tc>
          <w:tcPr>
            <w:tcW w:w="1615"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412"/>
              <w:rPr>
                <w:b/>
                <w:sz w:val="20"/>
              </w:rPr>
            </w:pPr>
            <w:r>
              <w:rPr>
                <w:b/>
                <w:sz w:val="20"/>
              </w:rPr>
              <w:t>Regular</w:t>
            </w:r>
          </w:p>
        </w:tc>
      </w:tr>
      <w:tr>
        <w:trPr>
          <w:trHeight w:val="2540" w:hRule="exact"/>
        </w:trPr>
        <w:tc>
          <w:tcPr>
            <w:tcW w:w="957" w:type="dxa"/>
            <w:vMerge w:val="restart"/>
            <w:tcBorders>
              <w:left w:val="double" w:sz="11" w:space="0" w:color="000000"/>
            </w:tcBorders>
          </w:tcPr>
          <w:p>
            <w:pPr/>
          </w:p>
        </w:tc>
        <w:tc>
          <w:tcPr>
            <w:tcW w:w="1860" w:type="dxa"/>
            <w:vMerge/>
          </w:tcPr>
          <w:p>
            <w:pPr/>
          </w:p>
        </w:tc>
        <w:tc>
          <w:tcPr>
            <w:tcW w:w="1352" w:type="dxa"/>
          </w:tcPr>
          <w:p>
            <w:pPr>
              <w:pStyle w:val="TableParagraph"/>
              <w:spacing w:line="227" w:lineRule="exact"/>
              <w:rPr>
                <w:sz w:val="20"/>
              </w:rPr>
            </w:pPr>
            <w:r>
              <w:rPr>
                <w:sz w:val="20"/>
              </w:rPr>
              <w:t>Económico</w:t>
            </w:r>
          </w:p>
        </w:tc>
        <w:tc>
          <w:tcPr>
            <w:tcW w:w="3132" w:type="dxa"/>
          </w:tcPr>
          <w:p>
            <w:pPr>
              <w:pStyle w:val="TableParagraph"/>
              <w:numPr>
                <w:ilvl w:val="0"/>
                <w:numId w:val="88"/>
              </w:numPr>
              <w:tabs>
                <w:tab w:pos="866" w:val="left" w:leader="none"/>
                <w:tab w:pos="867" w:val="left" w:leader="none"/>
                <w:tab w:pos="2005"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de  la CHPH entre los</w:t>
            </w:r>
            <w:r>
              <w:rPr>
                <w:spacing w:val="-7"/>
                <w:sz w:val="20"/>
              </w:rPr>
              <w:t> </w:t>
            </w:r>
            <w:r>
              <w:rPr>
                <w:sz w:val="20"/>
              </w:rPr>
              <w:t>actores</w:t>
            </w:r>
          </w:p>
          <w:p>
            <w:pPr>
              <w:pStyle w:val="TableParagraph"/>
              <w:numPr>
                <w:ilvl w:val="0"/>
                <w:numId w:val="88"/>
              </w:numPr>
              <w:tabs>
                <w:tab w:pos="812" w:val="left" w:leader="none"/>
                <w:tab w:pos="1993" w:val="left" w:leader="none"/>
              </w:tabs>
              <w:spacing w:line="240" w:lineRule="auto" w:before="0" w:after="0"/>
              <w:ind w:left="280" w:right="102" w:hanging="141"/>
              <w:jc w:val="both"/>
              <w:rPr>
                <w:sz w:val="20"/>
              </w:rPr>
            </w:pPr>
            <w:r>
              <w:rPr>
                <w:sz w:val="20"/>
              </w:rPr>
              <w:t>Existe</w:t>
              <w:tab/>
              <w:t>crecimiento económico equitativo de los cinco municipios (Acambay, Aculco, Jilotepec, Timilpan y Polotitlán) de la</w:t>
            </w:r>
            <w:r>
              <w:rPr>
                <w:spacing w:val="-10"/>
                <w:sz w:val="20"/>
              </w:rPr>
              <w:t> </w:t>
            </w:r>
            <w:r>
              <w:rPr>
                <w:sz w:val="20"/>
              </w:rPr>
              <w:t>CHPH</w:t>
            </w:r>
          </w:p>
          <w:p>
            <w:pPr>
              <w:pStyle w:val="TableParagraph"/>
              <w:numPr>
                <w:ilvl w:val="0"/>
                <w:numId w:val="88"/>
              </w:numPr>
              <w:tabs>
                <w:tab w:pos="812" w:val="left" w:leader="none"/>
                <w:tab w:pos="2048"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6" w:type="dxa"/>
            <w:vMerge/>
          </w:tcPr>
          <w:p>
            <w:pPr/>
          </w:p>
        </w:tc>
        <w:tc>
          <w:tcPr>
            <w:tcW w:w="2429" w:type="dxa"/>
            <w:vMerge/>
          </w:tcPr>
          <w:p>
            <w:pPr/>
          </w:p>
        </w:tc>
        <w:tc>
          <w:tcPr>
            <w:tcW w:w="1615" w:type="dxa"/>
            <w:vMerge/>
            <w:tcBorders>
              <w:right w:val="double" w:sz="12" w:space="0" w:color="000000"/>
            </w:tcBorders>
            <w:shd w:val="clear" w:color="auto" w:fill="FFFF00"/>
          </w:tcPr>
          <w:p>
            <w:pPr/>
          </w:p>
        </w:tc>
      </w:tr>
      <w:tr>
        <w:trPr>
          <w:trHeight w:val="3462"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27" w:lineRule="exact"/>
              <w:rPr>
                <w:sz w:val="20"/>
              </w:rPr>
            </w:pPr>
            <w:r>
              <w:rPr>
                <w:sz w:val="20"/>
              </w:rPr>
              <w:t>Sociopolítico</w:t>
            </w:r>
          </w:p>
        </w:tc>
        <w:tc>
          <w:tcPr>
            <w:tcW w:w="3132" w:type="dxa"/>
          </w:tcPr>
          <w:p>
            <w:pPr>
              <w:pStyle w:val="TableParagraph"/>
              <w:ind w:left="280" w:right="104" w:hanging="178"/>
              <w:jc w:val="both"/>
              <w:rPr>
                <w:sz w:val="20"/>
              </w:rPr>
            </w:pPr>
            <w:r>
              <w:rPr>
                <w:rFonts w:ascii="Wingdings" w:hAnsi="Wingdings"/>
                <w:sz w:val="20"/>
              </w:rPr>
              <w:t></w:t>
            </w:r>
            <w:r>
              <w:rPr>
                <w:sz w:val="20"/>
              </w:rPr>
              <w:t>Favorece el equilibrio  de poder entre actores e instituciones políticas en la CHPH</w:t>
            </w:r>
          </w:p>
          <w:p>
            <w:pPr>
              <w:pStyle w:val="TableParagraph"/>
              <w:ind w:left="280" w:right="103" w:hanging="178"/>
              <w:jc w:val="both"/>
              <w:rPr>
                <w:sz w:val="20"/>
              </w:rPr>
            </w:pPr>
            <w:r>
              <w:rPr>
                <w:rFonts w:ascii="Wingdings" w:hAnsi="Wingdings"/>
                <w:sz w:val="20"/>
              </w:rPr>
              <w:t></w:t>
            </w:r>
            <w:r>
              <w:rPr>
                <w:sz w:val="20"/>
              </w:rPr>
              <w:t>Favorece la creación de instituciones sociopolíticas y democráticas en la CHPH</w:t>
            </w:r>
          </w:p>
          <w:p>
            <w:pPr>
              <w:pStyle w:val="TableParagraph"/>
              <w:ind w:left="280" w:right="105" w:hanging="178"/>
              <w:jc w:val="both"/>
              <w:rPr>
                <w:sz w:val="20"/>
              </w:rPr>
            </w:pPr>
            <w:r>
              <w:rPr>
                <w:rFonts w:ascii="Wingdings" w:hAnsi="Wingdings"/>
                <w:sz w:val="20"/>
              </w:rPr>
              <w:t></w:t>
            </w:r>
            <w:r>
              <w:rPr>
                <w:sz w:val="20"/>
              </w:rPr>
              <w:t>Favorece la articulación entre actores a través de la participación política</w:t>
            </w:r>
          </w:p>
          <w:p>
            <w:pPr>
              <w:pStyle w:val="TableParagraph"/>
              <w:spacing w:line="229" w:lineRule="exact"/>
              <w:ind w:right="98"/>
              <w:rPr>
                <w:sz w:val="20"/>
              </w:rPr>
            </w:pPr>
            <w:r>
              <w:rPr>
                <w:rFonts w:ascii="Wingdings" w:hAnsi="Wingdings"/>
                <w:sz w:val="20"/>
              </w:rPr>
              <w:t></w:t>
            </w:r>
            <w:r>
              <w:rPr>
                <w:sz w:val="20"/>
              </w:rPr>
              <w:t>Favorece la GIRH</w:t>
            </w:r>
          </w:p>
          <w:p>
            <w:pPr>
              <w:pStyle w:val="TableParagraph"/>
              <w:spacing w:line="229" w:lineRule="exact"/>
              <w:ind w:right="98"/>
              <w:rPr>
                <w:sz w:val="20"/>
              </w:rPr>
            </w:pPr>
            <w:r>
              <w:rPr>
                <w:rFonts w:ascii="Wingdings" w:hAnsi="Wingdings"/>
                <w:sz w:val="20"/>
              </w:rPr>
              <w:t></w:t>
            </w:r>
            <w:r>
              <w:rPr>
                <w:sz w:val="20"/>
              </w:rPr>
              <w:t>Favorece la gobernanza</w:t>
            </w:r>
          </w:p>
          <w:p>
            <w:pPr>
              <w:pStyle w:val="TableParagraph"/>
              <w:ind w:left="280" w:right="98" w:hanging="178"/>
              <w:rPr>
                <w:sz w:val="20"/>
              </w:rPr>
            </w:pPr>
            <w:r>
              <w:rPr>
                <w:rFonts w:ascii="Wingdings" w:hAnsi="Wingdings"/>
                <w:sz w:val="20"/>
              </w:rPr>
              <w:t></w:t>
            </w:r>
            <w:r>
              <w:rPr>
                <w:sz w:val="20"/>
              </w:rPr>
              <w:t>Fortalece la gobernabilidad Existe planeación sociopolítica con articulación entre actores</w:t>
            </w:r>
          </w:p>
        </w:tc>
        <w:tc>
          <w:tcPr>
            <w:tcW w:w="1476" w:type="dxa"/>
            <w:vMerge/>
          </w:tcPr>
          <w:p>
            <w:pPr/>
          </w:p>
        </w:tc>
        <w:tc>
          <w:tcPr>
            <w:tcW w:w="2429" w:type="dxa"/>
            <w:vMerge/>
          </w:tcPr>
          <w:p>
            <w:pPr/>
          </w:p>
        </w:tc>
        <w:tc>
          <w:tcPr>
            <w:tcW w:w="1615" w:type="dxa"/>
            <w:vMerge/>
            <w:tcBorders>
              <w:right w:val="double" w:sz="12" w:space="0" w:color="000000"/>
            </w:tcBorders>
            <w:shd w:val="clear" w:color="auto" w:fill="FFFF00"/>
          </w:tcPr>
          <w:p>
            <w:pPr/>
          </w:p>
        </w:tc>
      </w:tr>
      <w:tr>
        <w:trPr>
          <w:trHeight w:val="1159" w:hRule="exact"/>
        </w:trPr>
        <w:tc>
          <w:tcPr>
            <w:tcW w:w="957" w:type="dxa"/>
            <w:tcBorders>
              <w:left w:val="double" w:sz="11" w:space="0" w:color="000000"/>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212" w:right="212"/>
              <w:jc w:val="center"/>
              <w:rPr>
                <w:sz w:val="20"/>
              </w:rPr>
            </w:pPr>
            <w:r>
              <w:rPr>
                <w:sz w:val="20"/>
              </w:rPr>
              <w:t>1580</w:t>
            </w:r>
          </w:p>
        </w:tc>
        <w:tc>
          <w:tcPr>
            <w:tcW w:w="1860" w:type="dxa"/>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Ambiental</w:t>
            </w:r>
          </w:p>
        </w:tc>
        <w:tc>
          <w:tcPr>
            <w:tcW w:w="3132" w:type="dxa"/>
            <w:tcBorders>
              <w:bottom w:val="single" w:sz="8" w:space="0" w:color="000000"/>
            </w:tcBorders>
          </w:tcPr>
          <w:p>
            <w:pPr>
              <w:pStyle w:val="TableParagraph"/>
              <w:numPr>
                <w:ilvl w:val="0"/>
                <w:numId w:val="89"/>
              </w:numPr>
              <w:tabs>
                <w:tab w:pos="812" w:val="left" w:leader="none"/>
              </w:tabs>
              <w:spacing w:line="240" w:lineRule="auto" w:before="0" w:after="0"/>
              <w:ind w:left="280" w:right="103" w:hanging="141"/>
              <w:jc w:val="both"/>
              <w:rPr>
                <w:sz w:val="20"/>
              </w:rPr>
            </w:pPr>
            <w:r>
              <w:rPr>
                <w:sz w:val="20"/>
              </w:rPr>
              <w:t>Existe equilibrio de dominio de los recursos naturales de la CHPH entre  los</w:t>
            </w:r>
            <w:r>
              <w:rPr>
                <w:spacing w:val="-5"/>
                <w:sz w:val="20"/>
              </w:rPr>
              <w:t> </w:t>
            </w:r>
            <w:r>
              <w:rPr>
                <w:sz w:val="20"/>
              </w:rPr>
              <w:t>actores</w:t>
            </w:r>
          </w:p>
          <w:p>
            <w:pPr>
              <w:pStyle w:val="TableParagraph"/>
              <w:numPr>
                <w:ilvl w:val="0"/>
                <w:numId w:val="89"/>
              </w:numPr>
              <w:tabs>
                <w:tab w:pos="811" w:val="left" w:leader="none"/>
                <w:tab w:pos="812" w:val="left" w:leader="none"/>
                <w:tab w:pos="1895" w:val="left" w:leader="none"/>
              </w:tabs>
              <w:spacing w:line="240" w:lineRule="auto" w:before="0" w:after="0"/>
              <w:ind w:left="811" w:right="0" w:hanging="672"/>
              <w:jc w:val="left"/>
              <w:rPr>
                <w:sz w:val="20"/>
              </w:rPr>
            </w:pPr>
            <w:r>
              <w:rPr>
                <w:sz w:val="20"/>
              </w:rPr>
              <w:t>Existe</w:t>
              <w:tab/>
              <w:t>participación</w:t>
            </w:r>
          </w:p>
        </w:tc>
        <w:tc>
          <w:tcPr>
            <w:tcW w:w="1476" w:type="dxa"/>
            <w:tcBorders>
              <w:bottom w:val="single" w:sz="8" w:space="0" w:color="000000"/>
            </w:tcBorders>
          </w:tcPr>
          <w:p>
            <w:pPr/>
          </w:p>
        </w:tc>
        <w:tc>
          <w:tcPr>
            <w:tcW w:w="2429" w:type="dxa"/>
            <w:tcBorders>
              <w:bottom w:val="single" w:sz="8" w:space="0" w:color="000000"/>
            </w:tcBorders>
          </w:tcPr>
          <w:p>
            <w:pPr>
              <w:pStyle w:val="TableParagraph"/>
              <w:ind w:right="104"/>
              <w:jc w:val="both"/>
              <w:rPr>
                <w:sz w:val="20"/>
              </w:rPr>
            </w:pPr>
            <w:r>
              <w:rPr>
                <w:sz w:val="20"/>
              </w:rPr>
              <w:t>No reúne ni el 50% en </w:t>
            </w:r>
            <w:r>
              <w:rPr>
                <w:b/>
                <w:sz w:val="20"/>
              </w:rPr>
              <w:t>ninguna </w:t>
            </w:r>
            <w:r>
              <w:rPr>
                <w:sz w:val="20"/>
              </w:rPr>
              <w:t>de las de impacto positivo</w:t>
            </w:r>
          </w:p>
        </w:tc>
        <w:tc>
          <w:tcPr>
            <w:tcW w:w="1615" w:type="dxa"/>
            <w:tcBorders>
              <w:bottom w:val="single" w:sz="8" w:space="0" w:color="000000"/>
              <w:right w:val="double" w:sz="12" w:space="0" w:color="000000"/>
            </w:tcBorders>
            <w:shd w:val="clear" w:color="auto" w:fill="FF0000"/>
          </w:tcPr>
          <w:p>
            <w:pPr/>
          </w:p>
        </w:tc>
      </w:tr>
    </w:tbl>
    <w:p>
      <w:pPr>
        <w:spacing w:after="0"/>
        <w:sectPr>
          <w:footerReference w:type="default" r:id="rId298"/>
          <w:pgSz w:w="15840" w:h="12240" w:orient="landscape"/>
          <w:pgMar w:footer="943" w:header="0" w:top="1140" w:bottom="1140" w:left="1200" w:right="1300"/>
          <w:pgNumType w:start="56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860"/>
        <w:gridCol w:w="1352"/>
        <w:gridCol w:w="3132"/>
        <w:gridCol w:w="1476"/>
        <w:gridCol w:w="2429"/>
        <w:gridCol w:w="1615"/>
      </w:tblGrid>
      <w:tr>
        <w:trPr>
          <w:trHeight w:val="1169" w:hRule="exact"/>
        </w:trPr>
        <w:tc>
          <w:tcPr>
            <w:tcW w:w="957" w:type="dxa"/>
            <w:tcBorders>
              <w:left w:val="double" w:sz="11" w:space="0" w:color="000000"/>
            </w:tcBorders>
          </w:tcPr>
          <w:p>
            <w:pPr/>
          </w:p>
        </w:tc>
        <w:tc>
          <w:tcPr>
            <w:tcW w:w="1860" w:type="dxa"/>
            <w:vMerge w:val="restart"/>
          </w:tcPr>
          <w:p>
            <w:pPr/>
          </w:p>
        </w:tc>
        <w:tc>
          <w:tcPr>
            <w:tcW w:w="1352" w:type="dxa"/>
          </w:tcPr>
          <w:p>
            <w:pPr/>
          </w:p>
        </w:tc>
        <w:tc>
          <w:tcPr>
            <w:tcW w:w="3132" w:type="dxa"/>
          </w:tcPr>
          <w:p>
            <w:pPr>
              <w:pStyle w:val="TableParagraph"/>
              <w:spacing w:before="7"/>
              <w:ind w:left="280" w:right="104"/>
              <w:jc w:val="both"/>
              <w:rPr>
                <w:sz w:val="20"/>
              </w:rPr>
            </w:pPr>
            <w:r>
              <w:rPr>
                <w:sz w:val="20"/>
              </w:rPr>
              <w:t>sociopolítica de los actores para cuidar el medio ambiente de la CHPH</w:t>
            </w:r>
          </w:p>
          <w:p>
            <w:pPr>
              <w:pStyle w:val="TableParagraph"/>
              <w:ind w:left="280" w:right="102"/>
              <w:jc w:val="both"/>
              <w:rPr>
                <w:sz w:val="20"/>
              </w:rPr>
            </w:pPr>
            <w:r>
              <w:rPr>
                <w:sz w:val="20"/>
              </w:rPr>
              <w:t>Existe planeación ambiental con articulación entre actores</w:t>
            </w:r>
          </w:p>
        </w:tc>
        <w:tc>
          <w:tcPr>
            <w:tcW w:w="1476" w:type="dxa"/>
          </w:tcPr>
          <w:p>
            <w:pPr>
              <w:pStyle w:val="TableParagraph"/>
              <w:spacing w:before="7"/>
              <w:ind w:left="0"/>
              <w:rPr>
                <w:rFonts w:ascii="Times New Roman"/>
                <w:sz w:val="20"/>
              </w:rPr>
            </w:pPr>
          </w:p>
          <w:p>
            <w:pPr>
              <w:pStyle w:val="TableParagraph"/>
              <w:ind w:left="475"/>
              <w:rPr>
                <w:sz w:val="20"/>
              </w:rPr>
            </w:pPr>
            <w:r>
              <w:rPr>
                <w:sz w:val="20"/>
              </w:rPr>
              <w:t>&lt;50%</w:t>
            </w:r>
          </w:p>
        </w:tc>
        <w:tc>
          <w:tcPr>
            <w:tcW w:w="2429" w:type="dxa"/>
            <w:vMerge w:val="restart"/>
          </w:tcPr>
          <w:p>
            <w:pPr/>
          </w:p>
        </w:tc>
        <w:tc>
          <w:tcPr>
            <w:tcW w:w="1615"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spacing w:before="5"/>
              <w:ind w:left="0"/>
              <w:rPr>
                <w:rFonts w:ascii="Times New Roman"/>
                <w:sz w:val="20"/>
              </w:rPr>
            </w:pPr>
          </w:p>
          <w:p>
            <w:pPr>
              <w:pStyle w:val="TableParagraph"/>
              <w:ind w:left="307"/>
              <w:rPr>
                <w:b/>
                <w:sz w:val="20"/>
              </w:rPr>
            </w:pPr>
            <w:r>
              <w:rPr>
                <w:b/>
                <w:sz w:val="20"/>
              </w:rPr>
              <w:t>Deficiente</w:t>
            </w:r>
          </w:p>
        </w:tc>
      </w:tr>
      <w:tr>
        <w:trPr>
          <w:trHeight w:val="2312" w:hRule="exact"/>
        </w:trPr>
        <w:tc>
          <w:tcPr>
            <w:tcW w:w="957"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1"/>
              <w:ind w:left="0"/>
              <w:rPr>
                <w:rFonts w:ascii="Times New Roman"/>
                <w:sz w:val="29"/>
              </w:rPr>
            </w:pPr>
          </w:p>
          <w:p>
            <w:pPr>
              <w:pStyle w:val="TableParagraph"/>
              <w:ind w:left="212" w:right="212"/>
              <w:jc w:val="center"/>
              <w:rPr>
                <w:sz w:val="20"/>
              </w:rPr>
            </w:pPr>
            <w:r>
              <w:rPr>
                <w:sz w:val="20"/>
              </w:rPr>
              <w:t>1785</w:t>
            </w:r>
          </w:p>
        </w:tc>
        <w:tc>
          <w:tcPr>
            <w:tcW w:w="1860" w:type="dxa"/>
            <w:vMerge/>
          </w:tcPr>
          <w:p>
            <w:pPr/>
          </w:p>
        </w:tc>
        <w:tc>
          <w:tcPr>
            <w:tcW w:w="1352" w:type="dxa"/>
          </w:tcPr>
          <w:p>
            <w:pPr>
              <w:pStyle w:val="TableParagraph"/>
              <w:spacing w:line="227" w:lineRule="exact"/>
              <w:rPr>
                <w:sz w:val="20"/>
              </w:rPr>
            </w:pPr>
            <w:r>
              <w:rPr>
                <w:sz w:val="20"/>
              </w:rPr>
              <w:t>Económico</w:t>
            </w:r>
          </w:p>
        </w:tc>
        <w:tc>
          <w:tcPr>
            <w:tcW w:w="3132" w:type="dxa"/>
          </w:tcPr>
          <w:p>
            <w:pPr>
              <w:pStyle w:val="TableParagraph"/>
              <w:numPr>
                <w:ilvl w:val="0"/>
                <w:numId w:val="90"/>
              </w:numPr>
              <w:tabs>
                <w:tab w:pos="866" w:val="left" w:leader="none"/>
                <w:tab w:pos="867" w:val="left" w:leader="none"/>
                <w:tab w:pos="2005"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de  la CHPH entre los</w:t>
            </w:r>
            <w:r>
              <w:rPr>
                <w:spacing w:val="-7"/>
                <w:sz w:val="20"/>
              </w:rPr>
              <w:t> </w:t>
            </w:r>
            <w:r>
              <w:rPr>
                <w:sz w:val="20"/>
              </w:rPr>
              <w:t>actores</w:t>
            </w:r>
          </w:p>
          <w:p>
            <w:pPr>
              <w:pStyle w:val="TableParagraph"/>
              <w:numPr>
                <w:ilvl w:val="0"/>
                <w:numId w:val="90"/>
              </w:numPr>
              <w:tabs>
                <w:tab w:pos="812" w:val="left" w:leader="none"/>
                <w:tab w:pos="1993" w:val="left" w:leader="none"/>
              </w:tabs>
              <w:spacing w:line="240" w:lineRule="auto" w:before="0" w:after="0"/>
              <w:ind w:left="280" w:right="102" w:hanging="141"/>
              <w:jc w:val="both"/>
              <w:rPr>
                <w:sz w:val="20"/>
              </w:rPr>
            </w:pPr>
            <w:r>
              <w:rPr>
                <w:sz w:val="20"/>
              </w:rPr>
              <w:t>Existe</w:t>
              <w:tab/>
              <w:t>crecimiento económico equitativo de los cinco municipios (Acambay, Aculco, Jilotepec, Timilpan y Polotitlán) de la</w:t>
            </w:r>
            <w:r>
              <w:rPr>
                <w:spacing w:val="-10"/>
                <w:sz w:val="20"/>
              </w:rPr>
              <w:t> </w:t>
            </w:r>
            <w:r>
              <w:rPr>
                <w:sz w:val="20"/>
              </w:rPr>
              <w:t>CHPH</w:t>
            </w:r>
          </w:p>
          <w:p>
            <w:pPr>
              <w:pStyle w:val="TableParagraph"/>
              <w:ind w:left="280" w:right="98"/>
              <w:rPr>
                <w:sz w:val="20"/>
              </w:rPr>
            </w:pPr>
            <w:r>
              <w:rPr>
                <w:sz w:val="20"/>
              </w:rPr>
              <w:t>Existe planeación económica con articulación entre actores</w:t>
            </w:r>
          </w:p>
        </w:tc>
        <w:tc>
          <w:tcPr>
            <w:tcW w:w="147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2"/>
              <w:ind w:left="0"/>
              <w:rPr>
                <w:rFonts w:ascii="Times New Roman"/>
                <w:sz w:val="20"/>
              </w:rPr>
            </w:pPr>
          </w:p>
          <w:p>
            <w:pPr>
              <w:pStyle w:val="TableParagraph"/>
              <w:spacing w:before="1"/>
              <w:ind w:left="475"/>
              <w:rPr>
                <w:sz w:val="20"/>
              </w:rPr>
            </w:pPr>
            <w:r>
              <w:rPr>
                <w:sz w:val="20"/>
              </w:rPr>
              <w:t>&lt;50%</w:t>
            </w:r>
          </w:p>
        </w:tc>
        <w:tc>
          <w:tcPr>
            <w:tcW w:w="2429" w:type="dxa"/>
            <w:vMerge/>
          </w:tcPr>
          <w:p>
            <w:pPr/>
          </w:p>
        </w:tc>
        <w:tc>
          <w:tcPr>
            <w:tcW w:w="1615" w:type="dxa"/>
            <w:vMerge/>
            <w:tcBorders>
              <w:right w:val="double" w:sz="12" w:space="0" w:color="000000"/>
            </w:tcBorders>
            <w:shd w:val="clear" w:color="auto" w:fill="FF0000"/>
          </w:tcPr>
          <w:p>
            <w:pPr/>
          </w:p>
        </w:tc>
      </w:tr>
      <w:tr>
        <w:trPr>
          <w:trHeight w:val="698" w:hRule="exact"/>
        </w:trPr>
        <w:tc>
          <w:tcPr>
            <w:tcW w:w="957" w:type="dxa"/>
            <w:tcBorders>
              <w:left w:val="double" w:sz="11" w:space="0" w:color="000000"/>
            </w:tcBorders>
          </w:tcPr>
          <w:p>
            <w:pPr>
              <w:pStyle w:val="TableParagraph"/>
              <w:spacing w:before="9"/>
              <w:ind w:left="0"/>
              <w:rPr>
                <w:rFonts w:ascii="Times New Roman"/>
                <w:sz w:val="19"/>
              </w:rPr>
            </w:pPr>
          </w:p>
          <w:p>
            <w:pPr>
              <w:pStyle w:val="TableParagraph"/>
              <w:ind w:left="212" w:right="212"/>
              <w:jc w:val="center"/>
              <w:rPr>
                <w:sz w:val="20"/>
              </w:rPr>
            </w:pPr>
            <w:r>
              <w:rPr>
                <w:sz w:val="20"/>
              </w:rPr>
              <w:t>1810</w:t>
            </w:r>
          </w:p>
        </w:tc>
        <w:tc>
          <w:tcPr>
            <w:tcW w:w="1860" w:type="dxa"/>
            <w:vMerge/>
          </w:tcPr>
          <w:p>
            <w:pPr/>
          </w:p>
        </w:tc>
        <w:tc>
          <w:tcPr>
            <w:tcW w:w="1352" w:type="dxa"/>
            <w:vMerge w:val="restart"/>
          </w:tcPr>
          <w:p>
            <w:pPr>
              <w:pStyle w:val="TableParagraph"/>
              <w:spacing w:line="227" w:lineRule="exact"/>
              <w:rPr>
                <w:sz w:val="20"/>
              </w:rPr>
            </w:pPr>
            <w:r>
              <w:rPr>
                <w:sz w:val="20"/>
              </w:rPr>
              <w:t>Sociopolítico</w:t>
            </w:r>
          </w:p>
        </w:tc>
        <w:tc>
          <w:tcPr>
            <w:tcW w:w="3132" w:type="dxa"/>
            <w:vMerge w:val="restart"/>
          </w:tcPr>
          <w:p>
            <w:pPr>
              <w:pStyle w:val="TableParagraph"/>
              <w:ind w:left="280" w:right="104" w:hanging="178"/>
              <w:jc w:val="both"/>
              <w:rPr>
                <w:sz w:val="20"/>
              </w:rPr>
            </w:pPr>
            <w:r>
              <w:rPr>
                <w:rFonts w:ascii="Wingdings" w:hAnsi="Wingdings"/>
                <w:sz w:val="20"/>
              </w:rPr>
              <w:t></w:t>
            </w:r>
            <w:r>
              <w:rPr>
                <w:sz w:val="20"/>
              </w:rPr>
              <w:t>Favorece el equilibrio  de poder entre actores e instituciones políticas en la CHPH</w:t>
            </w:r>
          </w:p>
          <w:p>
            <w:pPr>
              <w:pStyle w:val="TableParagraph"/>
              <w:ind w:left="280" w:right="103" w:hanging="178"/>
              <w:jc w:val="both"/>
              <w:rPr>
                <w:sz w:val="20"/>
              </w:rPr>
            </w:pPr>
            <w:r>
              <w:rPr>
                <w:rFonts w:ascii="Wingdings" w:hAnsi="Wingdings"/>
                <w:sz w:val="20"/>
              </w:rPr>
              <w:t></w:t>
            </w:r>
            <w:r>
              <w:rPr>
                <w:sz w:val="20"/>
              </w:rPr>
              <w:t>Favorece la creación de instituciones sociopolíticas y democráticas en la CHPH</w:t>
            </w:r>
          </w:p>
          <w:p>
            <w:pPr>
              <w:pStyle w:val="TableParagraph"/>
              <w:ind w:left="280" w:right="105" w:hanging="178"/>
              <w:jc w:val="both"/>
              <w:rPr>
                <w:sz w:val="20"/>
              </w:rPr>
            </w:pPr>
            <w:r>
              <w:rPr>
                <w:rFonts w:ascii="Wingdings" w:hAnsi="Wingdings"/>
                <w:sz w:val="20"/>
              </w:rPr>
              <w:t></w:t>
            </w:r>
            <w:r>
              <w:rPr>
                <w:sz w:val="20"/>
              </w:rPr>
              <w:t>Favorece la articulación entre actores a través de la participación política</w:t>
            </w:r>
          </w:p>
          <w:p>
            <w:pPr>
              <w:pStyle w:val="TableParagraph"/>
              <w:ind w:right="98"/>
              <w:rPr>
                <w:sz w:val="20"/>
              </w:rPr>
            </w:pPr>
            <w:r>
              <w:rPr>
                <w:rFonts w:ascii="Wingdings" w:hAnsi="Wingdings"/>
                <w:sz w:val="20"/>
              </w:rPr>
              <w:t></w:t>
            </w:r>
            <w:r>
              <w:rPr>
                <w:sz w:val="20"/>
              </w:rPr>
              <w:t>Favorece la GIRH</w:t>
            </w:r>
          </w:p>
          <w:p>
            <w:pPr>
              <w:pStyle w:val="TableParagraph"/>
              <w:ind w:right="98"/>
              <w:rPr>
                <w:sz w:val="20"/>
              </w:rPr>
            </w:pPr>
            <w:r>
              <w:rPr>
                <w:rFonts w:ascii="Wingdings" w:hAnsi="Wingdings"/>
                <w:sz w:val="20"/>
              </w:rPr>
              <w:t></w:t>
            </w:r>
            <w:r>
              <w:rPr>
                <w:sz w:val="20"/>
              </w:rPr>
              <w:t>Favorece la gobernanza</w:t>
            </w:r>
          </w:p>
          <w:p>
            <w:pPr>
              <w:pStyle w:val="TableParagraph"/>
              <w:ind w:left="280" w:right="98" w:hanging="178"/>
              <w:rPr>
                <w:sz w:val="20"/>
              </w:rPr>
            </w:pPr>
            <w:r>
              <w:rPr>
                <w:rFonts w:ascii="Wingdings" w:hAnsi="Wingdings"/>
                <w:sz w:val="20"/>
              </w:rPr>
              <w:t></w:t>
            </w:r>
            <w:r>
              <w:rPr>
                <w:sz w:val="20"/>
              </w:rPr>
              <w:t>Fortalece la gobernabilidad Existe planeación sociopolítica con articulación entre actores</w:t>
            </w: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391" w:hRule="exact"/>
        </w:trPr>
        <w:tc>
          <w:tcPr>
            <w:tcW w:w="957" w:type="dxa"/>
            <w:tcBorders>
              <w:left w:val="double" w:sz="11" w:space="0" w:color="000000"/>
            </w:tcBorders>
          </w:tcPr>
          <w:p>
            <w:pPr>
              <w:pStyle w:val="TableParagraph"/>
              <w:spacing w:before="74"/>
              <w:ind w:left="212" w:right="212"/>
              <w:jc w:val="center"/>
              <w:rPr>
                <w:sz w:val="20"/>
              </w:rPr>
            </w:pPr>
            <w:r>
              <w:rPr>
                <w:sz w:val="20"/>
              </w:rPr>
              <w:t>1861</w:t>
            </w:r>
          </w:p>
        </w:tc>
        <w:tc>
          <w:tcPr>
            <w:tcW w:w="1860" w:type="dxa"/>
            <w:vMerge/>
          </w:tcPr>
          <w:p>
            <w:pPr/>
          </w:p>
        </w:tc>
        <w:tc>
          <w:tcPr>
            <w:tcW w:w="1352" w:type="dxa"/>
            <w:vMerge/>
          </w:tcPr>
          <w:p>
            <w:pPr/>
          </w:p>
        </w:tc>
        <w:tc>
          <w:tcPr>
            <w:tcW w:w="3132" w:type="dxa"/>
            <w:vMerge/>
          </w:tcPr>
          <w:p>
            <w:pP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1001" w:hRule="exact"/>
        </w:trPr>
        <w:tc>
          <w:tcPr>
            <w:tcW w:w="957" w:type="dxa"/>
            <w:tcBorders>
              <w:left w:val="double" w:sz="11" w:space="0" w:color="000000"/>
            </w:tcBorders>
          </w:tcPr>
          <w:p>
            <w:pPr>
              <w:pStyle w:val="TableParagraph"/>
              <w:spacing w:before="11"/>
              <w:ind w:left="0"/>
              <w:rPr>
                <w:rFonts w:ascii="Times New Roman"/>
                <w:sz w:val="22"/>
              </w:rPr>
            </w:pPr>
          </w:p>
          <w:p>
            <w:pPr>
              <w:pStyle w:val="TableParagraph"/>
              <w:ind w:left="212" w:right="212"/>
              <w:jc w:val="center"/>
              <w:rPr>
                <w:sz w:val="20"/>
              </w:rPr>
            </w:pPr>
            <w:r>
              <w:rPr>
                <w:sz w:val="20"/>
              </w:rPr>
              <w:t>1910</w:t>
            </w:r>
          </w:p>
        </w:tc>
        <w:tc>
          <w:tcPr>
            <w:tcW w:w="1860" w:type="dxa"/>
            <w:vMerge/>
          </w:tcPr>
          <w:p>
            <w:pPr/>
          </w:p>
        </w:tc>
        <w:tc>
          <w:tcPr>
            <w:tcW w:w="1352" w:type="dxa"/>
            <w:vMerge/>
          </w:tcPr>
          <w:p>
            <w:pPr/>
          </w:p>
        </w:tc>
        <w:tc>
          <w:tcPr>
            <w:tcW w:w="3132" w:type="dxa"/>
            <w:vMerge/>
          </w:tcPr>
          <w:p>
            <w:pP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1368" w:hRule="exact"/>
        </w:trPr>
        <w:tc>
          <w:tcPr>
            <w:tcW w:w="957" w:type="dxa"/>
            <w:tcBorders>
              <w:left w:val="double" w:sz="11" w:space="0" w:color="000000"/>
            </w:tcBorders>
          </w:tcPr>
          <w:p>
            <w:pPr>
              <w:pStyle w:val="TableParagraph"/>
              <w:ind w:left="0"/>
              <w:rPr>
                <w:rFonts w:ascii="Times New Roman"/>
                <w:sz w:val="20"/>
              </w:rPr>
            </w:pPr>
          </w:p>
          <w:p>
            <w:pPr>
              <w:pStyle w:val="TableParagraph"/>
              <w:spacing w:before="9"/>
              <w:ind w:left="0"/>
              <w:rPr>
                <w:rFonts w:ascii="Times New Roman"/>
                <w:sz w:val="28"/>
              </w:rPr>
            </w:pPr>
          </w:p>
          <w:p>
            <w:pPr>
              <w:pStyle w:val="TableParagraph"/>
              <w:ind w:left="212" w:right="212"/>
              <w:jc w:val="center"/>
              <w:rPr>
                <w:sz w:val="20"/>
              </w:rPr>
            </w:pPr>
            <w:r>
              <w:rPr>
                <w:sz w:val="20"/>
              </w:rPr>
              <w:t>1982</w:t>
            </w:r>
          </w:p>
        </w:tc>
        <w:tc>
          <w:tcPr>
            <w:tcW w:w="1860" w:type="dxa"/>
            <w:vMerge/>
          </w:tcPr>
          <w:p>
            <w:pPr/>
          </w:p>
        </w:tc>
        <w:tc>
          <w:tcPr>
            <w:tcW w:w="1352" w:type="dxa"/>
            <w:vMerge/>
          </w:tcPr>
          <w:p>
            <w:pPr/>
          </w:p>
        </w:tc>
        <w:tc>
          <w:tcPr>
            <w:tcW w:w="3132" w:type="dxa"/>
            <w:vMerge/>
          </w:tcPr>
          <w:p>
            <w:pP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572" w:hRule="exact"/>
        </w:trPr>
        <w:tc>
          <w:tcPr>
            <w:tcW w:w="957" w:type="dxa"/>
            <w:tcBorders>
              <w:left w:val="double" w:sz="11" w:space="0" w:color="000000"/>
            </w:tcBorders>
          </w:tcPr>
          <w:p>
            <w:pPr>
              <w:pStyle w:val="TableParagraph"/>
              <w:spacing w:before="163"/>
              <w:ind w:left="212" w:right="212"/>
              <w:jc w:val="center"/>
              <w:rPr>
                <w:sz w:val="20"/>
              </w:rPr>
            </w:pPr>
            <w:r>
              <w:rPr>
                <w:sz w:val="20"/>
              </w:rPr>
              <w:t>2016</w:t>
            </w:r>
          </w:p>
        </w:tc>
        <w:tc>
          <w:tcPr>
            <w:tcW w:w="1860" w:type="dxa"/>
          </w:tcPr>
          <w:p>
            <w:pPr/>
          </w:p>
        </w:tc>
        <w:tc>
          <w:tcPr>
            <w:tcW w:w="1352" w:type="dxa"/>
          </w:tcPr>
          <w:p>
            <w:pPr/>
          </w:p>
        </w:tc>
        <w:tc>
          <w:tcPr>
            <w:tcW w:w="3132" w:type="dxa"/>
          </w:tcPr>
          <w:p>
            <w:pPr>
              <w:pStyle w:val="TableParagraph"/>
              <w:spacing w:before="5"/>
              <w:rPr>
                <w:rFonts w:ascii="Wingdings" w:hAnsi="Wingdings"/>
                <w:sz w:val="20"/>
              </w:rPr>
            </w:pPr>
            <w:r>
              <w:rPr>
                <w:rFonts w:ascii="Wingdings" w:hAnsi="Wingdings"/>
                <w:w w:val="99"/>
                <w:sz w:val="20"/>
              </w:rPr>
              <w:t></w:t>
            </w:r>
          </w:p>
        </w:tc>
        <w:tc>
          <w:tcPr>
            <w:tcW w:w="1476" w:type="dxa"/>
          </w:tcPr>
          <w:p>
            <w:pPr/>
          </w:p>
        </w:tc>
        <w:tc>
          <w:tcPr>
            <w:tcW w:w="2429" w:type="dxa"/>
          </w:tcPr>
          <w:p>
            <w:pPr/>
          </w:p>
        </w:tc>
        <w:tc>
          <w:tcPr>
            <w:tcW w:w="1615" w:type="dxa"/>
            <w:tcBorders>
              <w:right w:val="double" w:sz="12" w:space="0" w:color="000000"/>
            </w:tcBorders>
            <w:shd w:val="clear" w:color="auto" w:fill="FF0000"/>
          </w:tcPr>
          <w:p>
            <w:pPr/>
          </w:p>
        </w:tc>
      </w:tr>
      <w:tr>
        <w:trPr>
          <w:trHeight w:val="1274"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p>
            <w:pPr>
              <w:pStyle w:val="TableParagraph"/>
              <w:spacing w:before="1"/>
              <w:ind w:left="27"/>
              <w:jc w:val="both"/>
              <w:rPr>
                <w:b/>
                <w:sz w:val="22"/>
              </w:rPr>
            </w:pPr>
            <w:r>
              <w:rPr>
                <w:b/>
                <w:sz w:val="22"/>
              </w:rPr>
              <w:t>Interpretación de la anterior gráfica y la tarjeta de valoración:</w:t>
            </w:r>
          </w:p>
          <w:p>
            <w:pPr>
              <w:pStyle w:val="TableParagraph"/>
              <w:spacing w:before="1"/>
              <w:ind w:left="27" w:right="30"/>
              <w:jc w:val="both"/>
              <w:rPr>
                <w:sz w:val="22"/>
              </w:rPr>
            </w:pPr>
            <w:r>
              <w:rPr>
                <w:sz w:val="22"/>
              </w:rPr>
              <w:t>- En el siglo XV, las estructuras de poder eran más equitativas en la CHPH, porque la Provincia de Xilotepec, donde ahora está situada la CHPH, estaba habitada por un gobierno identificado como Señorío con otomíes principalmente, que tenían un gobierno con jerarquía de poder más horizontal, por lo que puede categorizarse este siglo como Excelente y bueno.</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6335" w:hRule="exact"/>
        </w:trPr>
        <w:tc>
          <w:tcPr>
            <w:tcW w:w="12897" w:type="dxa"/>
          </w:tcPr>
          <w:p>
            <w:pPr>
              <w:pStyle w:val="TableParagraph"/>
              <w:numPr>
                <w:ilvl w:val="0"/>
                <w:numId w:val="91"/>
              </w:numPr>
              <w:tabs>
                <w:tab w:pos="204" w:val="left" w:leader="none"/>
              </w:tabs>
              <w:spacing w:line="240" w:lineRule="auto" w:before="0" w:after="0"/>
              <w:ind w:left="64" w:right="62" w:firstLine="0"/>
              <w:jc w:val="both"/>
              <w:rPr>
                <w:sz w:val="22"/>
              </w:rPr>
            </w:pPr>
            <w:r>
              <w:rPr>
                <w:sz w:val="22"/>
              </w:rPr>
              <w:t>A principios del siglo XVI, todavía prevalecía la estructura del Señorío otomí en lo que ahora es la CHPH. Es en 1533, cuando se asigna el territorio como encomienda a Juan Jaramillo de Salvatierra (esposo de la Malinche), por lo menos hasta mitad de siglo, puede considerarse como</w:t>
            </w:r>
            <w:r>
              <w:rPr>
                <w:spacing w:val="-4"/>
                <w:sz w:val="22"/>
              </w:rPr>
              <w:t> </w:t>
            </w:r>
            <w:r>
              <w:rPr>
                <w:sz w:val="22"/>
              </w:rPr>
              <w:t>aceptable.</w:t>
            </w:r>
          </w:p>
          <w:p>
            <w:pPr>
              <w:pStyle w:val="TableParagraph"/>
              <w:numPr>
                <w:ilvl w:val="0"/>
                <w:numId w:val="91"/>
              </w:numPr>
              <w:tabs>
                <w:tab w:pos="219" w:val="left" w:leader="none"/>
              </w:tabs>
              <w:spacing w:line="240" w:lineRule="auto" w:before="0" w:after="0"/>
              <w:ind w:left="64" w:right="62" w:firstLine="0"/>
              <w:jc w:val="both"/>
              <w:rPr>
                <w:sz w:val="22"/>
              </w:rPr>
            </w:pPr>
            <w:r>
              <w:rPr>
                <w:sz w:val="22"/>
              </w:rPr>
              <w:t>En el siglo XVII y XVIII, se consolidó la dominación española en la CHPH a través de una serie de despojos sociales como la concentración de las tierras, la servidumbre de los trabajadores a través de las tiendas de raya y horarios excesivos de trabajo, aunado a esto la repartición de los recursos naturales fue dada con base a las haciendas y ranchos existentes en la región para esa época, por lo que estos siglos pueden considerarse como</w:t>
            </w:r>
            <w:r>
              <w:rPr>
                <w:spacing w:val="-16"/>
                <w:sz w:val="22"/>
              </w:rPr>
              <w:t> </w:t>
            </w:r>
            <w:r>
              <w:rPr>
                <w:sz w:val="22"/>
              </w:rPr>
              <w:t>deficientes.</w:t>
            </w:r>
          </w:p>
          <w:p>
            <w:pPr>
              <w:pStyle w:val="TableParagraph"/>
              <w:numPr>
                <w:ilvl w:val="0"/>
                <w:numId w:val="91"/>
              </w:numPr>
              <w:tabs>
                <w:tab w:pos="233" w:val="left" w:leader="none"/>
              </w:tabs>
              <w:spacing w:line="240" w:lineRule="auto" w:before="1" w:after="0"/>
              <w:ind w:left="64" w:right="64" w:firstLine="0"/>
              <w:jc w:val="both"/>
              <w:rPr>
                <w:sz w:val="22"/>
              </w:rPr>
            </w:pPr>
            <w:r>
              <w:rPr>
                <w:sz w:val="22"/>
              </w:rPr>
              <w:t>En el siglo XIX como consecuencia de las injusticias sociales cometidas por los conquistadores españoles inicia la lucha de independencia de México para liberarse de las ataduras españolas y obtener mejores condiciones sociales, sin embargo la distribución de la tierra generó una serie de latifundios que concentraban la tierra y seguían practicando las mismas injusticias sociales que los hacendados, por lo que este siglo puede categorizarse como deficiente, aunque es en este siglo que surge el municipio formalmente como</w:t>
            </w:r>
            <w:r>
              <w:rPr>
                <w:spacing w:val="-12"/>
                <w:sz w:val="22"/>
              </w:rPr>
              <w:t> </w:t>
            </w:r>
            <w:r>
              <w:rPr>
                <w:sz w:val="22"/>
              </w:rPr>
              <w:t>institución.</w:t>
            </w:r>
          </w:p>
          <w:p>
            <w:pPr>
              <w:pStyle w:val="TableParagraph"/>
              <w:numPr>
                <w:ilvl w:val="0"/>
                <w:numId w:val="91"/>
              </w:numPr>
              <w:tabs>
                <w:tab w:pos="219" w:val="left" w:leader="none"/>
              </w:tabs>
              <w:spacing w:line="240" w:lineRule="auto" w:before="1" w:after="0"/>
              <w:ind w:left="64" w:right="60" w:firstLine="0"/>
              <w:jc w:val="both"/>
              <w:rPr>
                <w:sz w:val="22"/>
              </w:rPr>
            </w:pPr>
            <w:r>
              <w:rPr>
                <w:sz w:val="22"/>
              </w:rPr>
              <w:t>En el siglo XX inicia la Revolución Mexicana para lograr una distribución más equitativa de la tierra, una jornada laboral más  justa y el derecho de participación política en la toma de decisiones sociales, por lo que surge una institución que le da vida a la región de la CHPH, el Ejido, esta institución fue creada para regular los excesos del pasado, sin embargo el Estado retomó la asignación de los recursos naturales que le precedía, y con ello se siguieron cometiendo una serie de errores semejantes que se traducen en el control político y económico de los recursos naturales, con lo que se continuó con las desigualdades sociales, aunque en otras dimensiones, por lo que puede categorizarse a este siglo como</w:t>
            </w:r>
            <w:r>
              <w:rPr>
                <w:spacing w:val="-22"/>
                <w:sz w:val="22"/>
              </w:rPr>
              <w:t> </w:t>
            </w:r>
            <w:r>
              <w:rPr>
                <w:sz w:val="22"/>
              </w:rPr>
              <w:t>deficiente.</w:t>
            </w:r>
          </w:p>
          <w:p>
            <w:pPr>
              <w:pStyle w:val="TableParagraph"/>
              <w:numPr>
                <w:ilvl w:val="0"/>
                <w:numId w:val="91"/>
              </w:numPr>
              <w:tabs>
                <w:tab w:pos="216" w:val="left" w:leader="none"/>
              </w:tabs>
              <w:spacing w:line="240" w:lineRule="auto" w:before="0" w:after="0"/>
              <w:ind w:left="64" w:right="62" w:firstLine="0"/>
              <w:jc w:val="both"/>
              <w:rPr>
                <w:sz w:val="22"/>
              </w:rPr>
            </w:pPr>
            <w:r>
              <w:rPr>
                <w:sz w:val="22"/>
              </w:rPr>
              <w:t>A comienzos del siglo XXI se identifica una realidad sociopolítica vulnerable en la CHPH que arrastra vicios del pasado, donde los municipios y actores que viven “aguas abajo” de la presa, concentran los recursos naturales y con ellos el poder económico y político, por lo que los actores históricos de “aguas arriba”, siguen demandando en el presente mejores derechos civiles y </w:t>
            </w:r>
            <w:r>
              <w:rPr>
                <w:spacing w:val="3"/>
                <w:sz w:val="22"/>
              </w:rPr>
              <w:t>una </w:t>
            </w:r>
            <w:r>
              <w:rPr>
                <w:sz w:val="22"/>
              </w:rPr>
              <w:t>menor concentración de poder ambiental para acceder de forma equitativa a los recursos naturales, por lo que los actores históricos, tratan de organizar su lucha local y regional por una redistribución más equitativa de los recursos a través de acuerdos sociopolíticos que estén basados en una GIRH mediante la gobernanza y la gobernabilidad para llegar a acuerdos democráticos y justos para</w:t>
            </w:r>
            <w:r>
              <w:rPr>
                <w:spacing w:val="-3"/>
                <w:sz w:val="22"/>
              </w:rPr>
              <w:t> </w:t>
            </w:r>
            <w:r>
              <w:rPr>
                <w:sz w:val="22"/>
              </w:rPr>
              <w:t>todos.</w:t>
            </w:r>
          </w:p>
        </w:tc>
      </w:tr>
      <w:tr>
        <w:trPr>
          <w:trHeight w:val="341"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023" w:hRule="exact"/>
        </w:trPr>
        <w:tc>
          <w:tcPr>
            <w:tcW w:w="12897" w:type="dxa"/>
          </w:tcPr>
          <w:p>
            <w:pPr>
              <w:pStyle w:val="TableParagraph"/>
              <w:numPr>
                <w:ilvl w:val="0"/>
                <w:numId w:val="92"/>
              </w:numPr>
              <w:tabs>
                <w:tab w:pos="281" w:val="left" w:leader="none"/>
              </w:tabs>
              <w:spacing w:line="252" w:lineRule="exact" w:before="2" w:after="0"/>
              <w:ind w:left="103" w:right="110" w:firstLine="0"/>
              <w:jc w:val="left"/>
              <w:rPr>
                <w:sz w:val="22"/>
              </w:rPr>
            </w:pPr>
            <w:r>
              <w:rPr>
                <w:sz w:val="22"/>
              </w:rPr>
              <w:t>Permite identificar a través de los eventos de alto impacto histórico, la conformación de las estructuras sociopolíticas que controlan los recursos naturales actualmente en la CHPH, principalmente el</w:t>
            </w:r>
            <w:r>
              <w:rPr>
                <w:spacing w:val="-24"/>
                <w:sz w:val="22"/>
              </w:rPr>
              <w:t> </w:t>
            </w:r>
            <w:r>
              <w:rPr>
                <w:sz w:val="22"/>
              </w:rPr>
              <w:t>agua.</w:t>
            </w:r>
          </w:p>
          <w:p>
            <w:pPr>
              <w:pStyle w:val="TableParagraph"/>
              <w:numPr>
                <w:ilvl w:val="0"/>
                <w:numId w:val="92"/>
              </w:numPr>
              <w:tabs>
                <w:tab w:pos="245" w:val="left" w:leader="none"/>
              </w:tabs>
              <w:spacing w:line="240" w:lineRule="auto" w:before="0" w:after="0"/>
              <w:ind w:left="103" w:right="100" w:firstLine="0"/>
              <w:jc w:val="left"/>
              <w:rPr>
                <w:sz w:val="22"/>
              </w:rPr>
            </w:pPr>
            <w:r>
              <w:rPr>
                <w:sz w:val="22"/>
              </w:rPr>
              <w:t>Sirve de guía de explicación para la elaboración de la propuesta de creación de un Comité Intermunicipal con su reglamento en la</w:t>
            </w:r>
            <w:r>
              <w:rPr>
                <w:spacing w:val="-3"/>
                <w:sz w:val="22"/>
              </w:rPr>
              <w:t> </w:t>
            </w:r>
            <w:r>
              <w:rPr>
                <w:sz w:val="22"/>
              </w:rPr>
              <w:t>CHPH.</w:t>
            </w:r>
          </w:p>
        </w:tc>
      </w:tr>
      <w:tr>
        <w:trPr>
          <w:trHeight w:val="338"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516" w:hRule="exact"/>
        </w:trPr>
        <w:tc>
          <w:tcPr>
            <w:tcW w:w="12897" w:type="dxa"/>
          </w:tcPr>
          <w:p>
            <w:pPr>
              <w:pStyle w:val="TableParagraph"/>
              <w:spacing w:line="242" w:lineRule="auto"/>
              <w:ind w:right="163"/>
              <w:rPr>
                <w:sz w:val="22"/>
              </w:rPr>
            </w:pPr>
            <w:r>
              <w:rPr>
                <w:sz w:val="22"/>
              </w:rPr>
              <w:t>- Se requiere de un análisis histórico social multidisciplinario detallado, para identificar las particularidades del poder ambiental creadas por el manejo del agua en la región de la CHPH.</w:t>
            </w:r>
          </w:p>
        </w:tc>
      </w:tr>
    </w:tbl>
    <w:p>
      <w:pPr>
        <w:spacing w:after="0" w:line="242" w:lineRule="auto"/>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703" w:right="105"/>
              <w:rPr>
                <w:b/>
                <w:sz w:val="22"/>
              </w:rPr>
            </w:pPr>
            <w:r>
              <w:rPr>
                <w:b/>
                <w:sz w:val="22"/>
              </w:rPr>
              <w:t>Cultura ambiental</w:t>
            </w:r>
          </w:p>
        </w:tc>
        <w:tc>
          <w:tcPr>
            <w:tcW w:w="3277" w:type="dxa"/>
            <w:gridSpan w:val="3"/>
            <w:vMerge w:val="restart"/>
          </w:tcPr>
          <w:p>
            <w:pPr>
              <w:pStyle w:val="TableParagraph"/>
              <w:ind w:left="100" w:right="99"/>
              <w:jc w:val="both"/>
              <w:rPr>
                <w:b/>
                <w:sz w:val="22"/>
              </w:rPr>
            </w:pPr>
            <w:r>
              <w:rPr>
                <w:b/>
                <w:sz w:val="22"/>
              </w:rPr>
              <w:t>Identificar las técnicas y valores culturales que se  han perdido en la CHPH sobre el manejo de los recursos</w:t>
            </w:r>
            <w:r>
              <w:rPr>
                <w:b/>
                <w:spacing w:val="-2"/>
                <w:sz w:val="22"/>
              </w:rPr>
              <w:t> </w:t>
            </w:r>
            <w:r>
              <w:rPr>
                <w:b/>
                <w:sz w:val="22"/>
              </w:rPr>
              <w:t>naturales.</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07"/>
              <w:rPr>
                <w:b/>
                <w:sz w:val="22"/>
              </w:rPr>
            </w:pPr>
            <w:r>
              <w:rPr>
                <w:b/>
                <w:sz w:val="22"/>
              </w:rPr>
              <w:t>17.063/ 18.055</w:t>
            </w:r>
          </w:p>
        </w:tc>
        <w:tc>
          <w:tcPr>
            <w:tcW w:w="1985" w:type="dxa"/>
            <w:gridSpan w:val="2"/>
          </w:tcPr>
          <w:p>
            <w:pPr>
              <w:pStyle w:val="TableParagraph"/>
              <w:spacing w:line="248" w:lineRule="exact"/>
              <w:ind w:left="0"/>
              <w:jc w:val="center"/>
              <w:rPr>
                <w:b/>
                <w:sz w:val="22"/>
              </w:rPr>
            </w:pPr>
            <w:r>
              <w:rPr>
                <w:b/>
                <w:sz w:val="22"/>
              </w:rPr>
              <w:t>94.5%</w:t>
            </w:r>
          </w:p>
        </w:tc>
        <w:tc>
          <w:tcPr>
            <w:tcW w:w="2268" w:type="dxa"/>
            <w:gridSpan w:val="2"/>
          </w:tcPr>
          <w:p>
            <w:pPr>
              <w:pStyle w:val="TableParagraph"/>
              <w:spacing w:line="248" w:lineRule="exact"/>
              <w:ind w:left="136" w:right="136"/>
              <w:jc w:val="center"/>
              <w:rPr>
                <w:b/>
                <w:sz w:val="22"/>
              </w:rPr>
            </w:pPr>
            <w:r>
              <w:rPr>
                <w:b/>
                <w:sz w:val="22"/>
              </w:rPr>
              <w:t>16.125</w:t>
            </w:r>
          </w:p>
        </w:tc>
        <w:tc>
          <w:tcPr>
            <w:tcW w:w="3274" w:type="dxa"/>
            <w:gridSpan w:val="5"/>
            <w:vMerge/>
          </w:tcPr>
          <w:p>
            <w:pPr/>
          </w:p>
        </w:tc>
        <w:tc>
          <w:tcPr>
            <w:tcW w:w="3277" w:type="dxa"/>
            <w:gridSpan w:val="3"/>
            <w:vMerge/>
          </w:tcPr>
          <w:p>
            <w:pPr/>
          </w:p>
        </w:tc>
      </w:tr>
      <w:tr>
        <w:trPr>
          <w:trHeight w:val="262" w:hRule="exact"/>
        </w:trPr>
        <w:tc>
          <w:tcPr>
            <w:tcW w:w="2093" w:type="dxa"/>
            <w:gridSpan w:val="2"/>
            <w:shd w:val="clear" w:color="auto" w:fill="76923B"/>
          </w:tcPr>
          <w:p>
            <w:pPr>
              <w:pStyle w:val="TableParagraph"/>
              <w:spacing w:line="248" w:lineRule="exact"/>
              <w:ind w:left="0" w:right="1"/>
              <w:jc w:val="center"/>
              <w:rPr>
                <w:b/>
                <w:sz w:val="22"/>
              </w:rPr>
            </w:pPr>
            <w:r>
              <w:rPr>
                <w:b/>
                <w:w w:val="100"/>
                <w:sz w:val="22"/>
              </w:rPr>
              <w:t>1</w:t>
            </w:r>
          </w:p>
        </w:tc>
        <w:tc>
          <w:tcPr>
            <w:tcW w:w="1985" w:type="dxa"/>
            <w:gridSpan w:val="2"/>
            <w:tcBorders>
              <w:left w:val="single" w:sz="45" w:space="0" w:color="76923B"/>
            </w:tcBorders>
          </w:tcPr>
          <w:p>
            <w:pPr>
              <w:pStyle w:val="TableParagraph"/>
              <w:spacing w:line="248" w:lineRule="exact"/>
              <w:ind w:left="0" w:right="49"/>
              <w:jc w:val="center"/>
              <w:rPr>
                <w:b/>
                <w:sz w:val="22"/>
              </w:rPr>
            </w:pPr>
            <w:r>
              <w:rPr>
                <w:b/>
                <w:w w:val="100"/>
                <w:sz w:val="22"/>
              </w:rPr>
              <w:t>2</w:t>
            </w:r>
          </w:p>
        </w:tc>
        <w:tc>
          <w:tcPr>
            <w:tcW w:w="2268" w:type="dxa"/>
            <w:gridSpan w:val="2"/>
            <w:tcBorders>
              <w:right w:val="single" w:sz="41" w:space="0" w:color="76923B"/>
            </w:tcBorders>
          </w:tcPr>
          <w:p>
            <w:pPr>
              <w:pStyle w:val="TableParagraph"/>
              <w:spacing w:line="248" w:lineRule="exact"/>
              <w:ind w:left="47"/>
              <w:jc w:val="center"/>
              <w:rPr>
                <w:b/>
                <w:sz w:val="22"/>
              </w:rPr>
            </w:pPr>
            <w:r>
              <w:rPr>
                <w:b/>
                <w:w w:val="100"/>
                <w:sz w:val="22"/>
              </w:rPr>
              <w:t>3</w:t>
            </w:r>
          </w:p>
        </w:tc>
        <w:tc>
          <w:tcPr>
            <w:tcW w:w="1701" w:type="dxa"/>
            <w:gridSpan w:val="2"/>
            <w:shd w:val="clear" w:color="auto" w:fill="76923B"/>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76923B"/>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2" w:right="492"/>
              <w:jc w:val="center"/>
              <w:rPr>
                <w:b/>
                <w:sz w:val="22"/>
              </w:rPr>
            </w:pPr>
            <w:r>
              <w:rPr>
                <w:b/>
                <w:sz w:val="22"/>
              </w:rPr>
              <w:t>129</w:t>
            </w:r>
          </w:p>
        </w:tc>
        <w:tc>
          <w:tcPr>
            <w:tcW w:w="2127" w:type="dxa"/>
            <w:gridSpan w:val="3"/>
            <w:shd w:val="clear" w:color="auto" w:fill="92CDDC"/>
          </w:tcPr>
          <w:p>
            <w:pPr>
              <w:pStyle w:val="TableParagraph"/>
              <w:spacing w:line="248" w:lineRule="exact"/>
              <w:ind w:left="0"/>
              <w:jc w:val="center"/>
              <w:rPr>
                <w:b/>
                <w:sz w:val="22"/>
              </w:rPr>
            </w:pPr>
            <w:r>
              <w:rPr>
                <w:b/>
                <w:w w:val="100"/>
                <w:sz w:val="22"/>
              </w:rPr>
              <w:t>3</w:t>
            </w:r>
          </w:p>
        </w:tc>
        <w:tc>
          <w:tcPr>
            <w:tcW w:w="2410" w:type="dxa"/>
            <w:gridSpan w:val="3"/>
            <w:shd w:val="clear" w:color="auto" w:fill="92CDDC"/>
          </w:tcPr>
          <w:p>
            <w:pPr>
              <w:pStyle w:val="TableParagraph"/>
              <w:spacing w:line="248" w:lineRule="exact"/>
              <w:ind w:left="782" w:right="780"/>
              <w:jc w:val="center"/>
              <w:rPr>
                <w:b/>
                <w:sz w:val="22"/>
              </w:rPr>
            </w:pPr>
            <w:r>
              <w:rPr>
                <w:b/>
                <w:sz w:val="22"/>
              </w:rPr>
              <w:t>1.00</w:t>
            </w:r>
          </w:p>
        </w:tc>
        <w:tc>
          <w:tcPr>
            <w:tcW w:w="1844" w:type="dxa"/>
            <w:gridSpan w:val="2"/>
            <w:shd w:val="clear" w:color="auto" w:fill="F9BE8F"/>
          </w:tcPr>
          <w:p>
            <w:pPr>
              <w:pStyle w:val="TableParagraph"/>
              <w:spacing w:line="248" w:lineRule="exact"/>
              <w:ind w:left="774" w:right="774"/>
              <w:jc w:val="center"/>
              <w:rPr>
                <w:b/>
                <w:sz w:val="22"/>
              </w:rPr>
            </w:pPr>
            <w:r>
              <w:rPr>
                <w:b/>
                <w:sz w:val="22"/>
              </w:rPr>
              <w:t>41</w:t>
            </w:r>
          </w:p>
        </w:tc>
        <w:tc>
          <w:tcPr>
            <w:tcW w:w="2126" w:type="dxa"/>
            <w:gridSpan w:val="3"/>
            <w:shd w:val="clear" w:color="auto" w:fill="F9BE8F"/>
          </w:tcPr>
          <w:p>
            <w:pPr>
              <w:pStyle w:val="TableParagraph"/>
              <w:spacing w:line="248" w:lineRule="exact"/>
              <w:ind w:left="0"/>
              <w:jc w:val="center"/>
              <w:rPr>
                <w:b/>
                <w:sz w:val="22"/>
              </w:rPr>
            </w:pPr>
            <w:r>
              <w:rPr>
                <w:b/>
                <w:w w:val="100"/>
                <w:sz w:val="22"/>
              </w:rPr>
              <w:t>3</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left="199" w:right="103"/>
              <w:rPr>
                <w:sz w:val="22"/>
              </w:rPr>
            </w:pPr>
            <w:r>
              <w:rPr>
                <w:sz w:val="22"/>
              </w:rPr>
              <w:t>Técnicas y valores culturales que se han perdido en la CHPH sobre el manejo de los recursos naturales.</w:t>
            </w:r>
          </w:p>
        </w:tc>
      </w:tr>
      <w:tr>
        <w:trPr>
          <w:trHeight w:val="516" w:hRule="exact"/>
        </w:trPr>
        <w:tc>
          <w:tcPr>
            <w:tcW w:w="2290" w:type="dxa"/>
            <w:gridSpan w:val="3"/>
          </w:tcPr>
          <w:p>
            <w:pPr>
              <w:pStyle w:val="TableParagraph"/>
              <w:spacing w:line="249" w:lineRule="exact"/>
              <w:ind w:left="453"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516" w:hRule="exact"/>
        </w:trPr>
        <w:tc>
          <w:tcPr>
            <w:tcW w:w="12897" w:type="dxa"/>
            <w:gridSpan w:val="14"/>
          </w:tcPr>
          <w:p>
            <w:pPr>
              <w:pStyle w:val="TableParagraph"/>
              <w:ind w:right="163"/>
              <w:rPr>
                <w:sz w:val="22"/>
              </w:rPr>
            </w:pPr>
            <w:r>
              <w:rPr>
                <w:sz w:val="22"/>
              </w:rPr>
              <w:t>Pérdida de técnicas y disminución de valores culturales sobre el manejo de los recursos naturales (</w:t>
            </w:r>
            <w:r>
              <w:rPr>
                <w:i/>
                <w:sz w:val="22"/>
              </w:rPr>
              <w:t>Cfr</w:t>
            </w:r>
            <w:r>
              <w:rPr>
                <w:sz w:val="22"/>
              </w:rPr>
              <w:t>. Arjona, 1986 y García, TC:</w:t>
            </w:r>
            <w:r>
              <w:rPr>
                <w:spacing w:val="-4"/>
                <w:sz w:val="22"/>
              </w:rPr>
              <w:t> </w:t>
            </w:r>
            <w:r>
              <w:rPr>
                <w:sz w:val="22"/>
              </w:rPr>
              <w:t>2013-2015).</w:t>
            </w:r>
          </w:p>
        </w:tc>
      </w:tr>
      <w:tr>
        <w:trPr>
          <w:trHeight w:val="264" w:hRule="exact"/>
        </w:trPr>
        <w:tc>
          <w:tcPr>
            <w:tcW w:w="4295" w:type="dxa"/>
            <w:gridSpan w:val="5"/>
          </w:tcPr>
          <w:p>
            <w:pPr>
              <w:pStyle w:val="TableParagraph"/>
              <w:spacing w:line="251" w:lineRule="exact"/>
              <w:ind w:left="1097" w:right="213"/>
              <w:rPr>
                <w:b/>
                <w:sz w:val="22"/>
              </w:rPr>
            </w:pPr>
            <w:r>
              <w:rPr>
                <w:b/>
                <w:sz w:val="22"/>
              </w:rPr>
              <w:t>Unidad de medición</w:t>
            </w:r>
          </w:p>
        </w:tc>
        <w:tc>
          <w:tcPr>
            <w:tcW w:w="8603" w:type="dxa"/>
            <w:gridSpan w:val="9"/>
          </w:tcPr>
          <w:p>
            <w:pPr>
              <w:pStyle w:val="TableParagraph"/>
              <w:spacing w:line="251" w:lineRule="exact"/>
              <w:ind w:left="2419" w:right="108"/>
              <w:rPr>
                <w:b/>
                <w:sz w:val="22"/>
              </w:rPr>
            </w:pPr>
            <w:r>
              <w:rPr>
                <w:b/>
                <w:sz w:val="22"/>
              </w:rPr>
              <w:t>Definición de la unidad de medición</w:t>
            </w:r>
          </w:p>
        </w:tc>
      </w:tr>
      <w:tr>
        <w:trPr>
          <w:trHeight w:val="1529" w:hRule="exact"/>
        </w:trPr>
        <w:tc>
          <w:tcPr>
            <w:tcW w:w="4295" w:type="dxa"/>
            <w:gridSpan w:val="5"/>
          </w:tcPr>
          <w:p>
            <w:pPr>
              <w:pStyle w:val="TableParagraph"/>
              <w:tabs>
                <w:tab w:pos="455" w:val="left" w:leader="none"/>
                <w:tab w:pos="928" w:val="left" w:leader="none"/>
                <w:tab w:pos="1964" w:val="left" w:leader="none"/>
                <w:tab w:pos="2302" w:val="left" w:leader="none"/>
                <w:tab w:pos="3240" w:val="left" w:leader="none"/>
              </w:tabs>
              <w:spacing w:line="242" w:lineRule="auto"/>
              <w:ind w:right="101"/>
              <w:rPr>
                <w:sz w:val="22"/>
              </w:rPr>
            </w:pPr>
            <w:r>
              <w:rPr>
                <w:sz w:val="22"/>
              </w:rPr>
              <w:t>#</w:t>
              <w:tab/>
              <w:t>de</w:t>
              <w:tab/>
              <w:t>técnicas</w:t>
              <w:tab/>
              <w:t>y</w:t>
              <w:tab/>
              <w:t>valores</w:t>
              <w:tab/>
            </w:r>
            <w:r>
              <w:rPr>
                <w:spacing w:val="-1"/>
                <w:sz w:val="22"/>
              </w:rPr>
              <w:t>culturales </w:t>
            </w:r>
            <w:r>
              <w:rPr>
                <w:sz w:val="22"/>
              </w:rPr>
              <w:t>perdidos.</w:t>
            </w:r>
          </w:p>
        </w:tc>
        <w:tc>
          <w:tcPr>
            <w:tcW w:w="8603" w:type="dxa"/>
            <w:gridSpan w:val="9"/>
          </w:tcPr>
          <w:p>
            <w:pPr>
              <w:pStyle w:val="TableParagraph"/>
              <w:spacing w:line="251" w:lineRule="exact"/>
              <w:jc w:val="both"/>
              <w:rPr>
                <w:sz w:val="22"/>
              </w:rPr>
            </w:pPr>
            <w:r>
              <w:rPr>
                <w:sz w:val="22"/>
              </w:rPr>
              <w:t>Pérdida de técnicas sostenibles de pesca, de cultivos, de recolección.</w:t>
            </w:r>
          </w:p>
          <w:p>
            <w:pPr>
              <w:pStyle w:val="TableParagraph"/>
              <w:spacing w:before="1"/>
              <w:ind w:right="102"/>
              <w:jc w:val="both"/>
              <w:rPr>
                <w:sz w:val="22"/>
              </w:rPr>
            </w:pPr>
            <w:r>
              <w:rPr>
                <w:sz w:val="22"/>
              </w:rPr>
              <w:t>Pérdida de valores: cosmogonía y mitos relacionados con el ambiente,  principalmente el</w:t>
            </w:r>
            <w:r>
              <w:rPr>
                <w:spacing w:val="-5"/>
                <w:sz w:val="22"/>
              </w:rPr>
              <w:t> </w:t>
            </w:r>
            <w:r>
              <w:rPr>
                <w:sz w:val="22"/>
              </w:rPr>
              <w:t>agua.</w:t>
            </w:r>
          </w:p>
          <w:p>
            <w:pPr>
              <w:pStyle w:val="TableParagraph"/>
              <w:ind w:right="102"/>
              <w:jc w:val="both"/>
              <w:rPr>
                <w:sz w:val="22"/>
              </w:rPr>
            </w:pPr>
            <w:r>
              <w:rPr>
                <w:sz w:val="22"/>
              </w:rPr>
              <w:t>Perdida de recetas tradicionales de productos lacustres (Ejemplo: pérdida de la identificación de las especies y los productos de la laguna: </w:t>
            </w:r>
            <w:r>
              <w:rPr>
                <w:i/>
                <w:sz w:val="22"/>
              </w:rPr>
              <w:t>quenopodiums</w:t>
            </w:r>
            <w:r>
              <w:rPr>
                <w:sz w:val="22"/>
              </w:rPr>
              <w:t>, anfibios, crustáceos).</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1"/>
        <w:rPr>
          <w:rFonts w:ascii="Times New Roman"/>
        </w:rPr>
      </w:pPr>
    </w:p>
    <w:p>
      <w:pPr>
        <w:pStyle w:val="Heading6"/>
        <w:spacing w:before="73"/>
        <w:ind w:left="5782" w:right="397" w:hanging="5079"/>
      </w:pPr>
      <w:r>
        <w:rPr/>
        <w:pict>
          <v:group style="position:absolute;margin-left:65.269997pt;margin-top:3.157898pt;width:646.7pt;height:408.25pt;mso-position-horizontal-relative:page;mso-position-vertical-relative:paragraph;z-index:-3331096" coordorigin="1305,63" coordsize="12934,8165">
            <v:line style="position:absolute" from="1315,73" to="14229,73" stroked="true" strokeweight=".48pt" strokecolor="#000000"/>
            <v:line style="position:absolute" from="1315,697" to="14229,697" stroked="true" strokeweight=".48pt" strokecolor="#000000"/>
            <v:line style="position:absolute" from="1310,68" to="1310,8223" stroked="true" strokeweight=".48pt" strokecolor="#000000"/>
            <v:line style="position:absolute" from="1315,8218" to="14229,8218" stroked="true" strokeweight=".48001pt" strokecolor="#000000"/>
            <v:line style="position:absolute" from="14234,68" to="14234,8223" stroked="true" strokeweight=".48004pt" strokecolor="#000000"/>
            <v:shape style="position:absolute;left:1713;top:702;width:12115;height:7449" type="#_x0000_t75" stroked="false">
              <v:imagedata r:id="rId299" o:title=""/>
            </v:shape>
            <w10:wrap type="none"/>
          </v:group>
        </w:pict>
      </w: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2352">
            <wp:simplePos x="0" y="0"/>
            <wp:positionH relativeFrom="page">
              <wp:posOffset>876300</wp:posOffset>
            </wp:positionH>
            <wp:positionV relativeFrom="page">
              <wp:posOffset>1895982</wp:posOffset>
            </wp:positionV>
            <wp:extent cx="4153598" cy="2087879"/>
            <wp:effectExtent l="0" t="0" r="0" b="0"/>
            <wp:wrapNone/>
            <wp:docPr id="57" name="image179.png" descr=""/>
            <wp:cNvGraphicFramePr>
              <a:graphicFrameLocks noChangeAspect="1"/>
            </wp:cNvGraphicFramePr>
            <a:graphic>
              <a:graphicData uri="http://schemas.openxmlformats.org/drawingml/2006/picture">
                <pic:pic>
                  <pic:nvPicPr>
                    <pic:cNvPr id="58" name="image179.png"/>
                    <pic:cNvPicPr/>
                  </pic:nvPicPr>
                  <pic:blipFill>
                    <a:blip r:embed="rId300" cstate="print"/>
                    <a:stretch>
                      <a:fillRect/>
                    </a:stretch>
                  </pic:blipFill>
                  <pic:spPr>
                    <a:xfrm>
                      <a:off x="0" y="0"/>
                      <a:ext cx="4153598" cy="2087879"/>
                    </a:xfrm>
                    <a:prstGeom prst="rect">
                      <a:avLst/>
                    </a:prstGeom>
                  </pic:spPr>
                </pic:pic>
              </a:graphicData>
            </a:graphic>
          </wp:anchor>
        </w:drawing>
      </w:r>
      <w:r>
        <w:rPr/>
        <w:pict>
          <v:shape style="position:absolute;margin-left:415.970001pt;margin-top:156.259995pt;width:291.05pt;height:166.05pt;mso-position-horizontal-relative:page;mso-position-vertical-relative:page;z-index:1237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8"/>
                    <w:gridCol w:w="1721"/>
                    <w:gridCol w:w="2948"/>
                  </w:tblGrid>
                  <w:tr>
                    <w:trPr>
                      <w:trHeight w:val="264" w:hRule="exact"/>
                    </w:trPr>
                    <w:tc>
                      <w:tcPr>
                        <w:tcW w:w="1138" w:type="dxa"/>
                      </w:tcPr>
                      <w:p>
                        <w:pPr>
                          <w:pStyle w:val="TableParagraph"/>
                          <w:spacing w:line="248" w:lineRule="exact"/>
                          <w:rPr>
                            <w:b/>
                            <w:sz w:val="22"/>
                          </w:rPr>
                        </w:pPr>
                        <w:r>
                          <w:rPr>
                            <w:b/>
                            <w:sz w:val="22"/>
                          </w:rPr>
                          <w:t>Período</w:t>
                        </w:r>
                      </w:p>
                    </w:tc>
                    <w:tc>
                      <w:tcPr>
                        <w:tcW w:w="1721" w:type="dxa"/>
                      </w:tcPr>
                      <w:p>
                        <w:pPr>
                          <w:pStyle w:val="TableParagraph"/>
                          <w:spacing w:line="248" w:lineRule="exact"/>
                          <w:rPr>
                            <w:b/>
                            <w:sz w:val="22"/>
                          </w:rPr>
                        </w:pPr>
                        <w:r>
                          <w:rPr>
                            <w:b/>
                            <w:sz w:val="22"/>
                          </w:rPr>
                          <w:t>Calificación</w:t>
                        </w:r>
                      </w:p>
                    </w:tc>
                    <w:tc>
                      <w:tcPr>
                        <w:tcW w:w="2948" w:type="dxa"/>
                      </w:tcPr>
                      <w:p>
                        <w:pPr>
                          <w:pStyle w:val="TableParagraph"/>
                          <w:spacing w:line="248" w:lineRule="exact"/>
                          <w:rPr>
                            <w:b/>
                            <w:sz w:val="22"/>
                          </w:rPr>
                        </w:pPr>
                        <w:r>
                          <w:rPr>
                            <w:b/>
                            <w:sz w:val="22"/>
                          </w:rPr>
                          <w:t>Valores</w:t>
                        </w:r>
                      </w:p>
                    </w:tc>
                  </w:tr>
                  <w:tr>
                    <w:trPr>
                      <w:trHeight w:val="262" w:hRule="exact"/>
                    </w:trPr>
                    <w:tc>
                      <w:tcPr>
                        <w:tcW w:w="1138" w:type="dxa"/>
                      </w:tcPr>
                      <w:p>
                        <w:pPr>
                          <w:pStyle w:val="TableParagraph"/>
                          <w:spacing w:line="251" w:lineRule="exact"/>
                          <w:rPr>
                            <w:sz w:val="22"/>
                          </w:rPr>
                        </w:pPr>
                        <w:r>
                          <w:rPr>
                            <w:sz w:val="22"/>
                          </w:rPr>
                          <w:t>1400</w:t>
                        </w:r>
                      </w:p>
                    </w:tc>
                    <w:tc>
                      <w:tcPr>
                        <w:tcW w:w="1721" w:type="dxa"/>
                      </w:tcPr>
                      <w:p>
                        <w:pPr>
                          <w:pStyle w:val="TableParagraph"/>
                          <w:spacing w:line="251" w:lineRule="exact"/>
                          <w:rPr>
                            <w:sz w:val="22"/>
                          </w:rPr>
                        </w:pPr>
                        <w:r>
                          <w:rPr>
                            <w:sz w:val="22"/>
                          </w:rPr>
                          <w:t>Excelente</w:t>
                        </w:r>
                      </w:p>
                    </w:tc>
                    <w:tc>
                      <w:tcPr>
                        <w:tcW w:w="2948" w:type="dxa"/>
                        <w:vMerge w:val="restart"/>
                      </w:tcPr>
                      <w:p>
                        <w:pPr>
                          <w:pStyle w:val="TableParagraph"/>
                          <w:tabs>
                            <w:tab w:pos="1871" w:val="left" w:leader="none"/>
                            <w:tab w:pos="1990" w:val="left" w:leader="none"/>
                            <w:tab w:pos="2212" w:val="left" w:leader="none"/>
                          </w:tabs>
                          <w:ind w:right="98"/>
                          <w:jc w:val="both"/>
                          <w:rPr>
                            <w:sz w:val="22"/>
                          </w:rPr>
                        </w:pPr>
                        <w:r>
                          <w:rPr>
                            <w:sz w:val="22"/>
                          </w:rPr>
                          <w:t>Valores para cuidar el medio</w:t>
                          <w:tab/>
                        </w:r>
                        <w:r>
                          <w:rPr>
                            <w:spacing w:val="-1"/>
                            <w:sz w:val="22"/>
                          </w:rPr>
                          <w:t>ambiente: </w:t>
                        </w:r>
                        <w:r>
                          <w:rPr>
                            <w:sz w:val="22"/>
                          </w:rPr>
                          <w:t>recolección, trasmisión de valores generacionales, gastronomía</w:t>
                          <w:tab/>
                          <w:tab/>
                        </w:r>
                        <w:r>
                          <w:rPr>
                            <w:spacing w:val="-1"/>
                            <w:sz w:val="22"/>
                          </w:rPr>
                          <w:t>regional, </w:t>
                        </w:r>
                        <w:r>
                          <w:rPr>
                            <w:sz w:val="22"/>
                          </w:rPr>
                          <w:t>comida lacustre, recetas regionales, mercados de comida lacustre, toma de conciencia</w:t>
                          <w:tab/>
                          <w:tab/>
                          <w:tab/>
                        </w:r>
                        <w:r>
                          <w:rPr>
                            <w:spacing w:val="-1"/>
                            <w:sz w:val="22"/>
                          </w:rPr>
                          <w:t>social,</w:t>
                        </w:r>
                      </w:p>
                      <w:p>
                        <w:pPr>
                          <w:pStyle w:val="TableParagraph"/>
                          <w:spacing w:line="252" w:lineRule="exact"/>
                          <w:jc w:val="both"/>
                          <w:rPr>
                            <w:sz w:val="22"/>
                          </w:rPr>
                        </w:pPr>
                        <w:r>
                          <w:rPr>
                            <w:sz w:val="22"/>
                          </w:rPr>
                          <w:t>honradez,          solidaridad,</w:t>
                        </w:r>
                      </w:p>
                      <w:p>
                        <w:pPr>
                          <w:pStyle w:val="TableParagraph"/>
                          <w:spacing w:before="1"/>
                          <w:ind w:right="101"/>
                          <w:jc w:val="both"/>
                          <w:rPr>
                            <w:sz w:val="22"/>
                          </w:rPr>
                        </w:pPr>
                        <w:r>
                          <w:rPr>
                            <w:sz w:val="22"/>
                          </w:rPr>
                          <w:t>equidad, organización sociopolítica.</w:t>
                        </w:r>
                      </w:p>
                    </w:tc>
                  </w:tr>
                  <w:tr>
                    <w:trPr>
                      <w:trHeight w:val="265" w:hRule="exact"/>
                    </w:trPr>
                    <w:tc>
                      <w:tcPr>
                        <w:tcW w:w="1138" w:type="dxa"/>
                      </w:tcPr>
                      <w:p>
                        <w:pPr>
                          <w:pStyle w:val="TableParagraph"/>
                          <w:spacing w:line="251" w:lineRule="exact"/>
                          <w:rPr>
                            <w:sz w:val="22"/>
                          </w:rPr>
                        </w:pPr>
                        <w:r>
                          <w:rPr>
                            <w:sz w:val="22"/>
                          </w:rPr>
                          <w:t>1519</w:t>
                        </w:r>
                      </w:p>
                    </w:tc>
                    <w:tc>
                      <w:tcPr>
                        <w:tcW w:w="1721" w:type="dxa"/>
                      </w:tcPr>
                      <w:p>
                        <w:pPr>
                          <w:pStyle w:val="TableParagraph"/>
                          <w:spacing w:line="251" w:lineRule="exact"/>
                          <w:rPr>
                            <w:sz w:val="22"/>
                          </w:rPr>
                        </w:pPr>
                        <w:r>
                          <w:rPr>
                            <w:sz w:val="22"/>
                          </w:rPr>
                          <w:t>Bueno</w:t>
                        </w:r>
                      </w:p>
                    </w:tc>
                    <w:tc>
                      <w:tcPr>
                        <w:tcW w:w="2948" w:type="dxa"/>
                        <w:vMerge/>
                      </w:tcPr>
                      <w:p>
                        <w:pPr/>
                      </w:p>
                    </w:tc>
                  </w:tr>
                  <w:tr>
                    <w:trPr>
                      <w:trHeight w:val="262" w:hRule="exact"/>
                    </w:trPr>
                    <w:tc>
                      <w:tcPr>
                        <w:tcW w:w="1138" w:type="dxa"/>
                      </w:tcPr>
                      <w:p>
                        <w:pPr>
                          <w:pStyle w:val="TableParagraph"/>
                          <w:spacing w:line="251" w:lineRule="exact"/>
                          <w:rPr>
                            <w:sz w:val="22"/>
                          </w:rPr>
                        </w:pPr>
                        <w:r>
                          <w:rPr>
                            <w:sz w:val="22"/>
                          </w:rPr>
                          <w:t>1580</w:t>
                        </w:r>
                      </w:p>
                    </w:tc>
                    <w:tc>
                      <w:tcPr>
                        <w:tcW w:w="1721" w:type="dxa"/>
                      </w:tcPr>
                      <w:p>
                        <w:pPr>
                          <w:pStyle w:val="TableParagraph"/>
                          <w:spacing w:line="251" w:lineRule="exact"/>
                          <w:rPr>
                            <w:sz w:val="22"/>
                          </w:rPr>
                        </w:pPr>
                        <w:r>
                          <w:rPr>
                            <w:sz w:val="22"/>
                          </w:rPr>
                          <w:t>Bueno</w:t>
                        </w:r>
                      </w:p>
                    </w:tc>
                    <w:tc>
                      <w:tcPr>
                        <w:tcW w:w="2948" w:type="dxa"/>
                        <w:vMerge/>
                      </w:tcPr>
                      <w:p>
                        <w:pPr/>
                      </w:p>
                    </w:tc>
                  </w:tr>
                  <w:tr>
                    <w:trPr>
                      <w:trHeight w:val="264" w:hRule="exact"/>
                    </w:trPr>
                    <w:tc>
                      <w:tcPr>
                        <w:tcW w:w="1138" w:type="dxa"/>
                      </w:tcPr>
                      <w:p>
                        <w:pPr>
                          <w:pStyle w:val="TableParagraph"/>
                          <w:rPr>
                            <w:sz w:val="22"/>
                          </w:rPr>
                        </w:pPr>
                        <w:r>
                          <w:rPr>
                            <w:sz w:val="22"/>
                          </w:rPr>
                          <w:t>1785</w:t>
                        </w:r>
                      </w:p>
                    </w:tc>
                    <w:tc>
                      <w:tcPr>
                        <w:tcW w:w="1721" w:type="dxa"/>
                      </w:tcPr>
                      <w:p>
                        <w:pPr>
                          <w:pStyle w:val="TableParagraph"/>
                          <w:rPr>
                            <w:sz w:val="22"/>
                          </w:rPr>
                        </w:pPr>
                        <w:r>
                          <w:rPr>
                            <w:sz w:val="22"/>
                          </w:rPr>
                          <w:t>Bueno</w:t>
                        </w:r>
                      </w:p>
                    </w:tc>
                    <w:tc>
                      <w:tcPr>
                        <w:tcW w:w="2948" w:type="dxa"/>
                        <w:vMerge/>
                      </w:tcPr>
                      <w:p>
                        <w:pPr/>
                      </w:p>
                    </w:tc>
                  </w:tr>
                  <w:tr>
                    <w:trPr>
                      <w:trHeight w:val="264" w:hRule="exact"/>
                    </w:trPr>
                    <w:tc>
                      <w:tcPr>
                        <w:tcW w:w="1138" w:type="dxa"/>
                      </w:tcPr>
                      <w:p>
                        <w:pPr>
                          <w:pStyle w:val="TableParagraph"/>
                          <w:spacing w:line="251" w:lineRule="exact"/>
                          <w:rPr>
                            <w:sz w:val="22"/>
                          </w:rPr>
                        </w:pPr>
                        <w:r>
                          <w:rPr>
                            <w:sz w:val="22"/>
                          </w:rPr>
                          <w:t>1810</w:t>
                        </w:r>
                      </w:p>
                    </w:tc>
                    <w:tc>
                      <w:tcPr>
                        <w:tcW w:w="1721" w:type="dxa"/>
                      </w:tcPr>
                      <w:p>
                        <w:pPr>
                          <w:pStyle w:val="TableParagraph"/>
                          <w:spacing w:line="251" w:lineRule="exact"/>
                          <w:rPr>
                            <w:sz w:val="22"/>
                          </w:rPr>
                        </w:pPr>
                        <w:r>
                          <w:rPr>
                            <w:sz w:val="22"/>
                          </w:rPr>
                          <w:t>Regular</w:t>
                        </w:r>
                      </w:p>
                    </w:tc>
                    <w:tc>
                      <w:tcPr>
                        <w:tcW w:w="2948" w:type="dxa"/>
                        <w:vMerge/>
                      </w:tcPr>
                      <w:p>
                        <w:pPr/>
                      </w:p>
                    </w:tc>
                  </w:tr>
                  <w:tr>
                    <w:trPr>
                      <w:trHeight w:val="262" w:hRule="exact"/>
                    </w:trPr>
                    <w:tc>
                      <w:tcPr>
                        <w:tcW w:w="1138" w:type="dxa"/>
                      </w:tcPr>
                      <w:p>
                        <w:pPr>
                          <w:pStyle w:val="TableParagraph"/>
                          <w:spacing w:line="251" w:lineRule="exact"/>
                          <w:rPr>
                            <w:sz w:val="22"/>
                          </w:rPr>
                        </w:pPr>
                        <w:r>
                          <w:rPr>
                            <w:sz w:val="22"/>
                          </w:rPr>
                          <w:t>1861</w:t>
                        </w:r>
                      </w:p>
                    </w:tc>
                    <w:tc>
                      <w:tcPr>
                        <w:tcW w:w="1721" w:type="dxa"/>
                      </w:tcPr>
                      <w:p>
                        <w:pPr>
                          <w:pStyle w:val="TableParagraph"/>
                          <w:spacing w:line="251" w:lineRule="exact"/>
                          <w:rPr>
                            <w:sz w:val="22"/>
                          </w:rPr>
                        </w:pPr>
                        <w:r>
                          <w:rPr>
                            <w:sz w:val="22"/>
                          </w:rPr>
                          <w:t>Regular</w:t>
                        </w:r>
                      </w:p>
                    </w:tc>
                    <w:tc>
                      <w:tcPr>
                        <w:tcW w:w="2948" w:type="dxa"/>
                        <w:vMerge/>
                      </w:tcPr>
                      <w:p>
                        <w:pPr/>
                      </w:p>
                    </w:tc>
                  </w:tr>
                  <w:tr>
                    <w:trPr>
                      <w:trHeight w:val="264" w:hRule="exact"/>
                    </w:trPr>
                    <w:tc>
                      <w:tcPr>
                        <w:tcW w:w="1138" w:type="dxa"/>
                      </w:tcPr>
                      <w:p>
                        <w:pPr>
                          <w:pStyle w:val="TableParagraph"/>
                          <w:spacing w:line="251" w:lineRule="exact"/>
                          <w:rPr>
                            <w:sz w:val="22"/>
                          </w:rPr>
                        </w:pPr>
                        <w:r>
                          <w:rPr>
                            <w:sz w:val="22"/>
                          </w:rPr>
                          <w:t>1910</w:t>
                        </w:r>
                      </w:p>
                    </w:tc>
                    <w:tc>
                      <w:tcPr>
                        <w:tcW w:w="1721" w:type="dxa"/>
                      </w:tcPr>
                      <w:p>
                        <w:pPr>
                          <w:pStyle w:val="TableParagraph"/>
                          <w:spacing w:line="251" w:lineRule="exact"/>
                          <w:rPr>
                            <w:sz w:val="22"/>
                          </w:rPr>
                        </w:pPr>
                        <w:r>
                          <w:rPr>
                            <w:sz w:val="22"/>
                          </w:rPr>
                          <w:t>Regular</w:t>
                        </w:r>
                      </w:p>
                    </w:tc>
                    <w:tc>
                      <w:tcPr>
                        <w:tcW w:w="2948" w:type="dxa"/>
                        <w:vMerge/>
                      </w:tcPr>
                      <w:p>
                        <w:pPr/>
                      </w:p>
                    </w:tc>
                  </w:tr>
                  <w:tr>
                    <w:trPr>
                      <w:trHeight w:val="262" w:hRule="exact"/>
                    </w:trPr>
                    <w:tc>
                      <w:tcPr>
                        <w:tcW w:w="1138" w:type="dxa"/>
                      </w:tcPr>
                      <w:p>
                        <w:pPr>
                          <w:pStyle w:val="TableParagraph"/>
                          <w:spacing w:line="251" w:lineRule="exact"/>
                          <w:rPr>
                            <w:sz w:val="22"/>
                          </w:rPr>
                        </w:pPr>
                        <w:r>
                          <w:rPr>
                            <w:sz w:val="22"/>
                          </w:rPr>
                          <w:t>1940</w:t>
                        </w:r>
                      </w:p>
                    </w:tc>
                    <w:tc>
                      <w:tcPr>
                        <w:tcW w:w="1721" w:type="dxa"/>
                      </w:tcPr>
                      <w:p>
                        <w:pPr>
                          <w:pStyle w:val="TableParagraph"/>
                          <w:spacing w:line="251" w:lineRule="exact"/>
                          <w:rPr>
                            <w:sz w:val="22"/>
                          </w:rPr>
                        </w:pPr>
                        <w:r>
                          <w:rPr>
                            <w:sz w:val="22"/>
                          </w:rPr>
                          <w:t>Regular</w:t>
                        </w:r>
                      </w:p>
                    </w:tc>
                    <w:tc>
                      <w:tcPr>
                        <w:tcW w:w="2948" w:type="dxa"/>
                        <w:vMerge/>
                      </w:tcPr>
                      <w:p>
                        <w:pPr/>
                      </w:p>
                    </w:tc>
                  </w:tr>
                  <w:tr>
                    <w:trPr>
                      <w:trHeight w:val="264" w:hRule="exact"/>
                    </w:trPr>
                    <w:tc>
                      <w:tcPr>
                        <w:tcW w:w="1138" w:type="dxa"/>
                      </w:tcPr>
                      <w:p>
                        <w:pPr>
                          <w:pStyle w:val="TableParagraph"/>
                          <w:spacing w:line="251" w:lineRule="exact"/>
                          <w:rPr>
                            <w:sz w:val="22"/>
                          </w:rPr>
                        </w:pPr>
                        <w:r>
                          <w:rPr>
                            <w:sz w:val="22"/>
                          </w:rPr>
                          <w:t>1982</w:t>
                        </w:r>
                      </w:p>
                    </w:tc>
                    <w:tc>
                      <w:tcPr>
                        <w:tcW w:w="1721" w:type="dxa"/>
                      </w:tcPr>
                      <w:p>
                        <w:pPr>
                          <w:pStyle w:val="TableParagraph"/>
                          <w:spacing w:line="251" w:lineRule="exact"/>
                          <w:rPr>
                            <w:sz w:val="22"/>
                          </w:rPr>
                        </w:pPr>
                        <w:r>
                          <w:rPr>
                            <w:sz w:val="22"/>
                          </w:rPr>
                          <w:t>Deficiente</w:t>
                        </w:r>
                      </w:p>
                    </w:tc>
                    <w:tc>
                      <w:tcPr>
                        <w:tcW w:w="2948" w:type="dxa"/>
                        <w:vMerge/>
                      </w:tcPr>
                      <w:p>
                        <w:pPr/>
                      </w:p>
                    </w:tc>
                  </w:tr>
                  <w:tr>
                    <w:trPr>
                      <w:trHeight w:val="680" w:hRule="exact"/>
                    </w:trPr>
                    <w:tc>
                      <w:tcPr>
                        <w:tcW w:w="1138" w:type="dxa"/>
                      </w:tcPr>
                      <w:p>
                        <w:pPr>
                          <w:pStyle w:val="TableParagraph"/>
                          <w:spacing w:line="251" w:lineRule="exact"/>
                          <w:rPr>
                            <w:sz w:val="22"/>
                          </w:rPr>
                        </w:pPr>
                        <w:r>
                          <w:rPr>
                            <w:sz w:val="22"/>
                          </w:rPr>
                          <w:t>2016</w:t>
                        </w:r>
                      </w:p>
                    </w:tc>
                    <w:tc>
                      <w:tcPr>
                        <w:tcW w:w="1721" w:type="dxa"/>
                      </w:tcPr>
                      <w:p>
                        <w:pPr>
                          <w:pStyle w:val="TableParagraph"/>
                          <w:spacing w:line="251" w:lineRule="exact"/>
                          <w:rPr>
                            <w:sz w:val="22"/>
                          </w:rPr>
                        </w:pPr>
                        <w:r>
                          <w:rPr>
                            <w:sz w:val="22"/>
                          </w:rPr>
                          <w:t>Deficiente</w:t>
                        </w:r>
                      </w:p>
                    </w:tc>
                    <w:tc>
                      <w:tcPr>
                        <w:tcW w:w="2948" w:type="dxa"/>
                        <w:vMerge/>
                      </w:tcPr>
                      <w:p>
                        <w:pP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82"/>
        <w:gridCol w:w="1349"/>
        <w:gridCol w:w="2743"/>
        <w:gridCol w:w="1493"/>
        <w:gridCol w:w="2749"/>
        <w:gridCol w:w="1550"/>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305" w:hRule="exact"/>
        </w:trPr>
        <w:tc>
          <w:tcPr>
            <w:tcW w:w="12822" w:type="dxa"/>
            <w:gridSpan w:val="7"/>
          </w:tcPr>
          <w:p>
            <w:pPr>
              <w:pStyle w:val="TableParagraph"/>
              <w:spacing w:line="242" w:lineRule="auto"/>
              <w:ind w:left="27" w:right="57"/>
              <w:rPr>
                <w:sz w:val="22"/>
              </w:rPr>
            </w:pPr>
            <w:r>
              <w:rPr>
                <w:sz w:val="22"/>
              </w:rPr>
              <w:t>Para identificar las técnicas y valores culturales que se han perdido en la CHPH a través del tiempo con un impacto ambiental, sociopolítico, económico se elaboró la siguiente gráfica:</w:t>
            </w:r>
          </w:p>
          <w:p>
            <w:pPr>
              <w:pStyle w:val="TableParagraph"/>
              <w:spacing w:before="7"/>
              <w:ind w:left="0"/>
              <w:rPr>
                <w:rFonts w:ascii="Times New Roman"/>
                <w:sz w:val="21"/>
              </w:rPr>
            </w:pPr>
          </w:p>
          <w:p>
            <w:pPr>
              <w:pStyle w:val="TableParagraph"/>
              <w:ind w:left="2473" w:right="57"/>
              <w:rPr>
                <w:b/>
                <w:sz w:val="22"/>
              </w:rPr>
            </w:pPr>
            <w:r>
              <w:rPr>
                <w:b/>
                <w:sz w:val="22"/>
              </w:rPr>
              <w:t>Gráfica. 7.3.</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0"/>
              </w:rPr>
            </w:pPr>
          </w:p>
          <w:p>
            <w:pPr>
              <w:pStyle w:val="TableParagraph"/>
              <w:spacing w:line="51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982" w:type="dxa"/>
            <w:vMerge w:val="restart"/>
          </w:tcPr>
          <w:p>
            <w:pPr>
              <w:pStyle w:val="TableParagraph"/>
              <w:ind w:right="104"/>
              <w:jc w:val="both"/>
              <w:rPr>
                <w:sz w:val="20"/>
              </w:rPr>
            </w:pPr>
            <w:r>
              <w:rPr>
                <w:sz w:val="20"/>
              </w:rPr>
              <w:t>Clasificación por número de eventos en el período</w:t>
            </w:r>
          </w:p>
        </w:tc>
        <w:tc>
          <w:tcPr>
            <w:tcW w:w="8334" w:type="dxa"/>
            <w:gridSpan w:val="4"/>
          </w:tcPr>
          <w:p>
            <w:pPr>
              <w:pStyle w:val="TableParagraph"/>
              <w:spacing w:line="242" w:lineRule="auto"/>
              <w:ind w:right="102"/>
              <w:rPr>
                <w:sz w:val="20"/>
              </w:rPr>
            </w:pPr>
            <w:r>
              <w:rPr>
                <w:sz w:val="20"/>
              </w:rPr>
              <w:t>Clasificación por </w:t>
            </w:r>
            <w:r>
              <w:rPr>
                <w:b/>
                <w:sz w:val="20"/>
              </w:rPr>
              <w:t>características de impacto positivo o negativo </w:t>
            </w:r>
            <w:r>
              <w:rPr>
                <w:sz w:val="20"/>
              </w:rPr>
              <w:t>en los ámbitos ambiental-sociopolítico-económico</w:t>
            </w:r>
          </w:p>
        </w:tc>
        <w:tc>
          <w:tcPr>
            <w:tcW w:w="1550" w:type="dxa"/>
            <w:vMerge w:val="restart"/>
            <w:tcBorders>
              <w:right w:val="double" w:sz="12" w:space="0" w:color="000000"/>
            </w:tcBorders>
          </w:tcPr>
          <w:p>
            <w:pPr>
              <w:pStyle w:val="TableParagraph"/>
              <w:spacing w:before="117"/>
              <w:ind w:left="197" w:right="198"/>
              <w:jc w:val="center"/>
              <w:rPr>
                <w:sz w:val="20"/>
              </w:rPr>
            </w:pPr>
            <w:r>
              <w:rPr>
                <w:w w:val="95"/>
                <w:sz w:val="20"/>
              </w:rPr>
              <w:t>Clasificación </w:t>
            </w:r>
            <w:r>
              <w:rPr>
                <w:sz w:val="20"/>
              </w:rPr>
              <w:t>de la calificación</w:t>
            </w:r>
          </w:p>
        </w:tc>
      </w:tr>
      <w:tr>
        <w:trPr>
          <w:trHeight w:val="480" w:hRule="exact"/>
        </w:trPr>
        <w:tc>
          <w:tcPr>
            <w:tcW w:w="954" w:type="dxa"/>
            <w:vMerge/>
            <w:tcBorders>
              <w:left w:val="double" w:sz="11" w:space="0" w:color="000000"/>
            </w:tcBorders>
          </w:tcPr>
          <w:p>
            <w:pPr/>
          </w:p>
        </w:tc>
        <w:tc>
          <w:tcPr>
            <w:tcW w:w="1982" w:type="dxa"/>
            <w:vMerge/>
          </w:tcPr>
          <w:p>
            <w:pPr/>
          </w:p>
        </w:tc>
        <w:tc>
          <w:tcPr>
            <w:tcW w:w="1349" w:type="dxa"/>
          </w:tcPr>
          <w:p>
            <w:pPr>
              <w:pStyle w:val="TableParagraph"/>
              <w:spacing w:line="227" w:lineRule="exact"/>
              <w:rPr>
                <w:sz w:val="20"/>
              </w:rPr>
            </w:pPr>
            <w:r>
              <w:rPr>
                <w:sz w:val="20"/>
              </w:rPr>
              <w:t>Subsistema</w:t>
            </w:r>
          </w:p>
        </w:tc>
        <w:tc>
          <w:tcPr>
            <w:tcW w:w="2743" w:type="dxa"/>
          </w:tcPr>
          <w:p>
            <w:pPr>
              <w:pStyle w:val="TableParagraph"/>
              <w:spacing w:line="227" w:lineRule="exact"/>
              <w:rPr>
                <w:sz w:val="20"/>
              </w:rPr>
            </w:pPr>
            <w:r>
              <w:rPr>
                <w:sz w:val="20"/>
              </w:rPr>
              <w:t>características</w:t>
            </w:r>
          </w:p>
        </w:tc>
        <w:tc>
          <w:tcPr>
            <w:tcW w:w="1493" w:type="dxa"/>
          </w:tcPr>
          <w:p>
            <w:pPr>
              <w:pStyle w:val="TableParagraph"/>
              <w:tabs>
                <w:tab w:pos="1156" w:val="left" w:leader="none"/>
              </w:tabs>
              <w:spacing w:line="227" w:lineRule="exact"/>
              <w:rPr>
                <w:sz w:val="20"/>
              </w:rPr>
            </w:pPr>
            <w:r>
              <w:rPr>
                <w:sz w:val="20"/>
              </w:rPr>
              <w:t>%</w:t>
              <w:tab/>
              <w:t>de</w:t>
            </w:r>
          </w:p>
          <w:p>
            <w:pPr>
              <w:pStyle w:val="TableParagraph"/>
              <w:rPr>
                <w:sz w:val="20"/>
              </w:rPr>
            </w:pPr>
            <w:r>
              <w:rPr>
                <w:sz w:val="20"/>
              </w:rPr>
              <w:t>cumplimiento</w:t>
            </w:r>
          </w:p>
        </w:tc>
        <w:tc>
          <w:tcPr>
            <w:tcW w:w="2749" w:type="dxa"/>
          </w:tcPr>
          <w:p>
            <w:pPr>
              <w:pStyle w:val="TableParagraph"/>
              <w:spacing w:line="227" w:lineRule="exact"/>
              <w:rPr>
                <w:sz w:val="20"/>
              </w:rPr>
            </w:pPr>
            <w:r>
              <w:rPr>
                <w:sz w:val="20"/>
              </w:rPr>
              <w:t>Observaciones</w:t>
            </w:r>
          </w:p>
        </w:tc>
        <w:tc>
          <w:tcPr>
            <w:tcW w:w="1550"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82"/>
        <w:gridCol w:w="1349"/>
        <w:gridCol w:w="2743"/>
        <w:gridCol w:w="1493"/>
        <w:gridCol w:w="2749"/>
        <w:gridCol w:w="1550"/>
      </w:tblGrid>
      <w:tr>
        <w:trPr>
          <w:trHeight w:val="3241"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rPr>
                <w:sz w:val="20"/>
              </w:rPr>
            </w:pPr>
            <w:r>
              <w:rPr>
                <w:sz w:val="20"/>
              </w:rPr>
              <w:t>1400</w:t>
            </w:r>
          </w:p>
        </w:tc>
        <w:tc>
          <w:tcPr>
            <w:tcW w:w="198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right="2"/>
              <w:jc w:val="center"/>
              <w:rPr>
                <w:b/>
                <w:sz w:val="20"/>
              </w:rPr>
            </w:pPr>
            <w:r>
              <w:rPr>
                <w:b/>
                <w:w w:val="99"/>
                <w:sz w:val="20"/>
              </w:rPr>
              <w:t>1</w:t>
            </w:r>
          </w:p>
        </w:tc>
        <w:tc>
          <w:tcPr>
            <w:tcW w:w="1349" w:type="dxa"/>
          </w:tcPr>
          <w:p>
            <w:pPr>
              <w:pStyle w:val="TableParagraph"/>
              <w:spacing w:before="7"/>
              <w:rPr>
                <w:sz w:val="20"/>
              </w:rPr>
            </w:pPr>
            <w:r>
              <w:rPr>
                <w:sz w:val="20"/>
              </w:rPr>
              <w:t>Ambiental</w:t>
            </w:r>
          </w:p>
        </w:tc>
        <w:tc>
          <w:tcPr>
            <w:tcW w:w="2743" w:type="dxa"/>
          </w:tcPr>
          <w:p>
            <w:pPr>
              <w:pStyle w:val="TableParagraph"/>
              <w:numPr>
                <w:ilvl w:val="0"/>
                <w:numId w:val="93"/>
              </w:numPr>
              <w:tabs>
                <w:tab w:pos="812" w:val="left" w:leader="none"/>
              </w:tabs>
              <w:spacing w:line="240" w:lineRule="auto" w:before="7" w:after="0"/>
              <w:ind w:left="280" w:right="104" w:hanging="141"/>
              <w:jc w:val="both"/>
              <w:rPr>
                <w:sz w:val="20"/>
              </w:rPr>
            </w:pPr>
            <w:r>
              <w:rPr>
                <w:sz w:val="20"/>
              </w:rPr>
              <w:t>Existe conciencia sobre el cuidado del medio</w:t>
            </w:r>
            <w:r>
              <w:rPr>
                <w:spacing w:val="-5"/>
                <w:sz w:val="20"/>
              </w:rPr>
              <w:t> </w:t>
            </w:r>
            <w:r>
              <w:rPr>
                <w:sz w:val="20"/>
              </w:rPr>
              <w:t>ambiente</w:t>
            </w:r>
          </w:p>
          <w:p>
            <w:pPr>
              <w:pStyle w:val="TableParagraph"/>
              <w:numPr>
                <w:ilvl w:val="0"/>
                <w:numId w:val="93"/>
              </w:numPr>
              <w:tabs>
                <w:tab w:pos="812" w:val="left" w:leader="none"/>
              </w:tabs>
              <w:spacing w:line="240" w:lineRule="auto" w:before="0" w:after="0"/>
              <w:ind w:left="280" w:right="105" w:hanging="141"/>
              <w:jc w:val="both"/>
              <w:rPr>
                <w:sz w:val="20"/>
              </w:rPr>
            </w:pPr>
            <w:r>
              <w:rPr>
                <w:sz w:val="20"/>
              </w:rPr>
              <w:t>Existen valores ambientales que se trasmiten de generación en</w:t>
            </w:r>
            <w:r>
              <w:rPr>
                <w:spacing w:val="-5"/>
                <w:sz w:val="20"/>
              </w:rPr>
              <w:t> </w:t>
            </w:r>
            <w:r>
              <w:rPr>
                <w:sz w:val="20"/>
              </w:rPr>
              <w:t>generación</w:t>
            </w:r>
          </w:p>
          <w:p>
            <w:pPr>
              <w:pStyle w:val="TableParagraph"/>
              <w:numPr>
                <w:ilvl w:val="0"/>
                <w:numId w:val="93"/>
              </w:numPr>
              <w:tabs>
                <w:tab w:pos="812" w:val="left" w:leader="none"/>
              </w:tabs>
              <w:spacing w:line="240" w:lineRule="auto" w:before="0" w:after="0"/>
              <w:ind w:left="280" w:right="104" w:hanging="141"/>
              <w:jc w:val="both"/>
              <w:rPr>
                <w:sz w:val="20"/>
              </w:rPr>
            </w:pPr>
            <w:r>
              <w:rPr>
                <w:sz w:val="20"/>
              </w:rPr>
              <w:t>Existe un equilibrio entre la explotación de los recursos naturales y su regeneración</w:t>
            </w:r>
          </w:p>
          <w:p>
            <w:pPr>
              <w:pStyle w:val="TableParagraph"/>
              <w:numPr>
                <w:ilvl w:val="0"/>
                <w:numId w:val="93"/>
              </w:numPr>
              <w:tabs>
                <w:tab w:pos="812" w:val="left" w:leader="none"/>
              </w:tabs>
              <w:spacing w:line="240" w:lineRule="auto" w:before="0" w:after="0"/>
              <w:ind w:left="280" w:right="104" w:hanging="141"/>
              <w:jc w:val="both"/>
              <w:rPr>
                <w:sz w:val="20"/>
              </w:rPr>
            </w:pPr>
            <w:r>
              <w:rPr>
                <w:sz w:val="20"/>
              </w:rPr>
              <w:t>Existe planeación ambiental con articulación entre</w:t>
            </w:r>
            <w:r>
              <w:rPr>
                <w:spacing w:val="-5"/>
                <w:sz w:val="20"/>
              </w:rPr>
              <w:t> </w:t>
            </w:r>
            <w:r>
              <w:rPr>
                <w:sz w:val="20"/>
              </w:rPr>
              <w:t>actores</w:t>
            </w:r>
          </w:p>
        </w:tc>
        <w:tc>
          <w:tcPr>
            <w:tcW w:w="1493"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484"/>
              <w:rPr>
                <w:sz w:val="20"/>
              </w:rPr>
            </w:pPr>
            <w:r>
              <w:rPr>
                <w:sz w:val="20"/>
              </w:rPr>
              <w:t>100%</w:t>
            </w:r>
          </w:p>
        </w:tc>
        <w:tc>
          <w:tcPr>
            <w:tcW w:w="2749" w:type="dxa"/>
            <w:vMerge w:val="restart"/>
          </w:tcPr>
          <w:p>
            <w:pPr>
              <w:pStyle w:val="TableParagraph"/>
              <w:spacing w:line="242" w:lineRule="auto" w:before="4"/>
              <w:ind w:right="101"/>
              <w:jc w:val="both"/>
              <w:rPr>
                <w:sz w:val="20"/>
              </w:rPr>
            </w:pPr>
            <w:r>
              <w:rPr>
                <w:sz w:val="20"/>
              </w:rPr>
              <w:t>Debe reunir al </w:t>
            </w:r>
            <w:r>
              <w:rPr>
                <w:b/>
                <w:sz w:val="20"/>
              </w:rPr>
              <w:t>100% las tres </w:t>
            </w:r>
            <w:r>
              <w:rPr>
                <w:sz w:val="20"/>
              </w:rPr>
              <w:t>características de impacto</w:t>
            </w:r>
            <w:r>
              <w:rPr>
                <w:spacing w:val="-3"/>
                <w:sz w:val="20"/>
              </w:rPr>
              <w:t> </w:t>
            </w:r>
            <w:r>
              <w:rPr>
                <w:sz w:val="20"/>
              </w:rPr>
              <w:t>positivo</w:t>
            </w:r>
          </w:p>
        </w:tc>
        <w:tc>
          <w:tcPr>
            <w:tcW w:w="1550"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283"/>
              <w:rPr>
                <w:b/>
                <w:sz w:val="20"/>
              </w:rPr>
            </w:pPr>
            <w:r>
              <w:rPr>
                <w:b/>
                <w:sz w:val="20"/>
              </w:rPr>
              <w:t>Excelente</w:t>
            </w:r>
          </w:p>
        </w:tc>
      </w:tr>
      <w:tr>
        <w:trPr>
          <w:trHeight w:val="3920" w:hRule="exact"/>
        </w:trPr>
        <w:tc>
          <w:tcPr>
            <w:tcW w:w="954" w:type="dxa"/>
            <w:vMerge/>
            <w:tcBorders>
              <w:left w:val="double" w:sz="11" w:space="0" w:color="000000"/>
            </w:tcBorders>
          </w:tcPr>
          <w:p>
            <w:pPr/>
          </w:p>
        </w:tc>
        <w:tc>
          <w:tcPr>
            <w:tcW w:w="1982" w:type="dxa"/>
            <w:vMerge/>
          </w:tcPr>
          <w:p>
            <w:pPr/>
          </w:p>
        </w:tc>
        <w:tc>
          <w:tcPr>
            <w:tcW w:w="1349" w:type="dxa"/>
          </w:tcPr>
          <w:p>
            <w:pPr>
              <w:pStyle w:val="TableParagraph"/>
              <w:spacing w:line="227" w:lineRule="exact"/>
              <w:rPr>
                <w:sz w:val="20"/>
              </w:rPr>
            </w:pPr>
            <w:r>
              <w:rPr>
                <w:sz w:val="20"/>
              </w:rPr>
              <w:t>Económico</w:t>
            </w:r>
          </w:p>
        </w:tc>
        <w:tc>
          <w:tcPr>
            <w:tcW w:w="2743" w:type="dxa"/>
          </w:tcPr>
          <w:p>
            <w:pPr>
              <w:pStyle w:val="TableParagraph"/>
              <w:numPr>
                <w:ilvl w:val="0"/>
                <w:numId w:val="94"/>
              </w:numPr>
              <w:tabs>
                <w:tab w:pos="812" w:val="left" w:leader="none"/>
              </w:tabs>
              <w:spacing w:line="240" w:lineRule="auto" w:before="0" w:after="0"/>
              <w:ind w:left="280" w:right="102" w:hanging="141"/>
              <w:jc w:val="both"/>
              <w:rPr>
                <w:sz w:val="20"/>
              </w:rPr>
            </w:pPr>
            <w:r>
              <w:rPr>
                <w:sz w:val="20"/>
              </w:rPr>
              <w:t>Existe gastronomía regional.</w:t>
            </w:r>
          </w:p>
          <w:p>
            <w:pPr>
              <w:pStyle w:val="TableParagraph"/>
              <w:numPr>
                <w:ilvl w:val="0"/>
                <w:numId w:val="94"/>
              </w:numPr>
              <w:tabs>
                <w:tab w:pos="812" w:val="left" w:leader="none"/>
                <w:tab w:pos="1981" w:val="left" w:leader="none"/>
              </w:tabs>
              <w:spacing w:line="240" w:lineRule="auto" w:before="0" w:after="0"/>
              <w:ind w:left="280" w:right="103" w:hanging="141"/>
              <w:jc w:val="both"/>
              <w:rPr>
                <w:sz w:val="20"/>
              </w:rPr>
            </w:pPr>
            <w:r>
              <w:rPr>
                <w:sz w:val="20"/>
              </w:rPr>
              <w:t>Existe</w:t>
              <w:tab/>
              <w:t>comida lacustre</w:t>
            </w:r>
          </w:p>
          <w:p>
            <w:pPr>
              <w:pStyle w:val="TableParagraph"/>
              <w:numPr>
                <w:ilvl w:val="0"/>
                <w:numId w:val="94"/>
              </w:numPr>
              <w:tabs>
                <w:tab w:pos="812" w:val="left" w:leader="none"/>
              </w:tabs>
              <w:spacing w:line="240" w:lineRule="auto" w:before="0" w:after="0"/>
              <w:ind w:left="280" w:right="102" w:hanging="141"/>
              <w:jc w:val="both"/>
              <w:rPr>
                <w:sz w:val="20"/>
              </w:rPr>
            </w:pPr>
            <w:r>
              <w:rPr>
                <w:sz w:val="20"/>
              </w:rPr>
              <w:t>Existen mercados regionales de comida lacustre</w:t>
            </w:r>
          </w:p>
          <w:p>
            <w:pPr>
              <w:pStyle w:val="TableParagraph"/>
              <w:numPr>
                <w:ilvl w:val="0"/>
                <w:numId w:val="94"/>
              </w:numPr>
              <w:tabs>
                <w:tab w:pos="812" w:val="left" w:leader="none"/>
              </w:tabs>
              <w:spacing w:line="240" w:lineRule="auto" w:before="0" w:after="0"/>
              <w:ind w:left="280" w:right="105" w:hanging="141"/>
              <w:jc w:val="both"/>
              <w:rPr>
                <w:sz w:val="20"/>
              </w:rPr>
            </w:pPr>
            <w:r>
              <w:rPr>
                <w:sz w:val="20"/>
              </w:rPr>
              <w:t>Existe equidad en el reparto de los recursos de la</w:t>
            </w:r>
            <w:r>
              <w:rPr>
                <w:spacing w:val="-5"/>
                <w:sz w:val="20"/>
              </w:rPr>
              <w:t> </w:t>
            </w:r>
            <w:r>
              <w:rPr>
                <w:sz w:val="20"/>
              </w:rPr>
              <w:t>CHPH</w:t>
            </w:r>
          </w:p>
          <w:p>
            <w:pPr>
              <w:pStyle w:val="TableParagraph"/>
              <w:numPr>
                <w:ilvl w:val="0"/>
                <w:numId w:val="94"/>
              </w:numPr>
              <w:tabs>
                <w:tab w:pos="812" w:val="left" w:leader="none"/>
                <w:tab w:pos="1893" w:val="left" w:leader="none"/>
              </w:tabs>
              <w:spacing w:line="240" w:lineRule="auto" w:before="0" w:after="0"/>
              <w:ind w:left="280" w:right="104" w:hanging="141"/>
              <w:jc w:val="both"/>
              <w:rPr>
                <w:sz w:val="20"/>
              </w:rPr>
            </w:pPr>
            <w:r>
              <w:rPr>
                <w:sz w:val="20"/>
              </w:rPr>
              <w:t>Se</w:t>
              <w:tab/>
              <w:t>generan empleos mediante la recolección de comida lacustre</w:t>
            </w:r>
          </w:p>
          <w:p>
            <w:pPr>
              <w:pStyle w:val="TableParagraph"/>
              <w:numPr>
                <w:ilvl w:val="0"/>
                <w:numId w:val="94"/>
              </w:numPr>
              <w:tabs>
                <w:tab w:pos="812" w:val="left" w:leader="none"/>
                <w:tab w:pos="2306" w:val="left" w:leader="none"/>
              </w:tabs>
              <w:spacing w:line="240" w:lineRule="auto" w:before="0" w:after="0"/>
              <w:ind w:left="280" w:right="103" w:hanging="141"/>
              <w:jc w:val="both"/>
              <w:rPr>
                <w:sz w:val="20"/>
              </w:rPr>
            </w:pPr>
            <w:r>
              <w:rPr>
                <w:sz w:val="20"/>
              </w:rPr>
              <w:t>Existe planeación económica</w:t>
              <w:tab/>
              <w:t>con articulación entre</w:t>
            </w:r>
            <w:r>
              <w:rPr>
                <w:spacing w:val="-11"/>
                <w:sz w:val="20"/>
              </w:rPr>
              <w:t> </w:t>
            </w:r>
            <w:r>
              <w:rPr>
                <w:sz w:val="20"/>
              </w:rPr>
              <w:t>actores</w:t>
            </w:r>
          </w:p>
        </w:tc>
        <w:tc>
          <w:tcPr>
            <w:tcW w:w="1493" w:type="dxa"/>
            <w:vMerge/>
          </w:tcPr>
          <w:p>
            <w:pPr/>
          </w:p>
        </w:tc>
        <w:tc>
          <w:tcPr>
            <w:tcW w:w="2749" w:type="dxa"/>
            <w:vMerge/>
          </w:tcPr>
          <w:p>
            <w:pPr/>
          </w:p>
        </w:tc>
        <w:tc>
          <w:tcPr>
            <w:tcW w:w="1550" w:type="dxa"/>
            <w:vMerge/>
            <w:tcBorders>
              <w:right w:val="double" w:sz="12" w:space="0" w:color="000000"/>
            </w:tcBorders>
            <w:shd w:val="clear" w:color="auto" w:fill="00FF00"/>
          </w:tcPr>
          <w:p>
            <w:pPr/>
          </w:p>
        </w:tc>
      </w:tr>
      <w:tr>
        <w:trPr>
          <w:trHeight w:val="1621" w:hRule="exact"/>
        </w:trPr>
        <w:tc>
          <w:tcPr>
            <w:tcW w:w="954" w:type="dxa"/>
            <w:vMerge/>
            <w:tcBorders>
              <w:left w:val="double" w:sz="11" w:space="0" w:color="000000"/>
            </w:tcBorders>
          </w:tcPr>
          <w:p>
            <w:pPr/>
          </w:p>
        </w:tc>
        <w:tc>
          <w:tcPr>
            <w:tcW w:w="1982" w:type="dxa"/>
            <w:vMerge/>
          </w:tcPr>
          <w:p>
            <w:pPr/>
          </w:p>
        </w:tc>
        <w:tc>
          <w:tcPr>
            <w:tcW w:w="1349" w:type="dxa"/>
          </w:tcPr>
          <w:p>
            <w:pPr>
              <w:pStyle w:val="TableParagraph"/>
              <w:spacing w:line="228" w:lineRule="exact"/>
              <w:rPr>
                <w:sz w:val="20"/>
              </w:rPr>
            </w:pPr>
            <w:r>
              <w:rPr>
                <w:sz w:val="20"/>
              </w:rPr>
              <w:t>Sociopolítico</w:t>
            </w:r>
          </w:p>
        </w:tc>
        <w:tc>
          <w:tcPr>
            <w:tcW w:w="2743" w:type="dxa"/>
          </w:tcPr>
          <w:p>
            <w:pPr>
              <w:pStyle w:val="TableParagraph"/>
              <w:ind w:left="280" w:right="104" w:hanging="178"/>
              <w:jc w:val="both"/>
              <w:rPr>
                <w:sz w:val="20"/>
              </w:rPr>
            </w:pPr>
            <w:r>
              <w:rPr>
                <w:rFonts w:ascii="Wingdings" w:hAnsi="Wingdings"/>
                <w:sz w:val="20"/>
              </w:rPr>
              <w:t></w:t>
            </w:r>
            <w:r>
              <w:rPr>
                <w:sz w:val="20"/>
              </w:rPr>
              <w:t>Favorece la solidaridad entre actores de la CHPH</w:t>
            </w:r>
          </w:p>
          <w:p>
            <w:pPr>
              <w:pStyle w:val="TableParagraph"/>
              <w:ind w:left="280" w:right="104" w:hanging="178"/>
              <w:jc w:val="both"/>
              <w:rPr>
                <w:sz w:val="20"/>
              </w:rPr>
            </w:pPr>
            <w:r>
              <w:rPr>
                <w:rFonts w:ascii="Wingdings" w:hAnsi="Wingdings"/>
                <w:spacing w:val="2"/>
                <w:sz w:val="20"/>
              </w:rPr>
              <w:t></w:t>
            </w:r>
            <w:r>
              <w:rPr>
                <w:spacing w:val="2"/>
                <w:sz w:val="20"/>
              </w:rPr>
              <w:t>Favorece </w:t>
            </w:r>
            <w:r>
              <w:rPr>
                <w:sz w:val="20"/>
              </w:rPr>
              <w:t>la organización sociopolítica de los actores de la</w:t>
            </w:r>
            <w:r>
              <w:rPr>
                <w:spacing w:val="-6"/>
                <w:sz w:val="20"/>
              </w:rPr>
              <w:t> </w:t>
            </w:r>
            <w:r>
              <w:rPr>
                <w:sz w:val="20"/>
              </w:rPr>
              <w:t>CHPH</w:t>
            </w:r>
          </w:p>
          <w:p>
            <w:pPr>
              <w:pStyle w:val="TableParagraph"/>
              <w:ind w:left="280" w:right="105" w:hanging="178"/>
              <w:jc w:val="both"/>
              <w:rPr>
                <w:sz w:val="20"/>
              </w:rPr>
            </w:pPr>
            <w:r>
              <w:rPr>
                <w:rFonts w:ascii="Wingdings" w:hAnsi="Wingdings"/>
                <w:sz w:val="20"/>
              </w:rPr>
              <w:t></w:t>
            </w:r>
            <w:r>
              <w:rPr>
                <w:sz w:val="20"/>
              </w:rPr>
              <w:t>Favorece la articulación entre  actores  para cuidar</w:t>
            </w:r>
          </w:p>
        </w:tc>
        <w:tc>
          <w:tcPr>
            <w:tcW w:w="1493" w:type="dxa"/>
            <w:vMerge/>
          </w:tcPr>
          <w:p>
            <w:pPr/>
          </w:p>
        </w:tc>
        <w:tc>
          <w:tcPr>
            <w:tcW w:w="2749" w:type="dxa"/>
            <w:vMerge/>
          </w:tcPr>
          <w:p>
            <w:pPr/>
          </w:p>
        </w:tc>
        <w:tc>
          <w:tcPr>
            <w:tcW w:w="1550"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31.179993pt;margin-top:178.580002pt;width:75.150pt;height:345.6pt;mso-position-horizontal-relative:page;mso-position-vertical-relative:page;z-index:-3331024" coordorigin="12624,3572" coordsize="1503,6912">
            <v:shape style="position:absolute;left:12624;top:3572;width:1502;height:6911" type="#_x0000_t75" stroked="false">
              <v:imagedata r:id="rId301" o:title=""/>
            </v:shape>
            <v:shape style="position:absolute;left:12727;top:3572;width:1296;height:230" type="#_x0000_t75" stroked="false">
              <v:imagedata r:id="rId302" o:title=""/>
            </v:shape>
            <v:shape style="position:absolute;left:12727;top:3802;width:1296;height:231" type="#_x0000_t75" stroked="false">
              <v:imagedata r:id="rId303" o:title=""/>
            </v:shape>
            <v:shape style="position:absolute;left:12727;top:4033;width:1296;height:228" type="#_x0000_t75" stroked="false">
              <v:imagedata r:id="rId304" o:title=""/>
            </v:shape>
            <v:shape style="position:absolute;left:12727;top:4261;width:1296;height:230" type="#_x0000_t75" stroked="false">
              <v:imagedata r:id="rId305" o:title=""/>
            </v:shape>
            <v:shape style="position:absolute;left:12727;top:4491;width:1296;height:230" type="#_x0000_t75" stroked="false">
              <v:imagedata r:id="rId306" o:title=""/>
            </v:shape>
            <v:shape style="position:absolute;left:12727;top:4722;width:1296;height:230" type="#_x0000_t75" stroked="false">
              <v:imagedata r:id="rId307" o:title=""/>
            </v:shape>
            <v:shape style="position:absolute;left:12727;top:4952;width:1296;height:230" type="#_x0000_t75" stroked="false">
              <v:imagedata r:id="rId308" o:title=""/>
            </v:shape>
            <v:shape style="position:absolute;left:12727;top:5183;width:1296;height:228" type="#_x0000_t75" stroked="false">
              <v:imagedata r:id="rId309" o:title=""/>
            </v:shape>
            <v:shape style="position:absolute;left:12727;top:5411;width:1296;height:230" type="#_x0000_t75" stroked="false">
              <v:imagedata r:id="rId310"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82"/>
        <w:gridCol w:w="1349"/>
        <w:gridCol w:w="2743"/>
        <w:gridCol w:w="1493"/>
        <w:gridCol w:w="2749"/>
        <w:gridCol w:w="1550"/>
      </w:tblGrid>
      <w:tr>
        <w:trPr>
          <w:trHeight w:val="1860" w:hRule="exact"/>
        </w:trPr>
        <w:tc>
          <w:tcPr>
            <w:tcW w:w="954" w:type="dxa"/>
            <w:tcBorders>
              <w:left w:val="double" w:sz="11" w:space="0" w:color="000000"/>
            </w:tcBorders>
          </w:tcPr>
          <w:p>
            <w:pPr/>
          </w:p>
        </w:tc>
        <w:tc>
          <w:tcPr>
            <w:tcW w:w="1982" w:type="dxa"/>
          </w:tcPr>
          <w:p>
            <w:pPr/>
          </w:p>
        </w:tc>
        <w:tc>
          <w:tcPr>
            <w:tcW w:w="1349" w:type="dxa"/>
          </w:tcPr>
          <w:p>
            <w:pPr/>
          </w:p>
        </w:tc>
        <w:tc>
          <w:tcPr>
            <w:tcW w:w="2743" w:type="dxa"/>
          </w:tcPr>
          <w:p>
            <w:pPr>
              <w:pStyle w:val="TableParagraph"/>
              <w:spacing w:before="7"/>
              <w:ind w:left="280"/>
              <w:rPr>
                <w:sz w:val="20"/>
              </w:rPr>
            </w:pPr>
            <w:r>
              <w:rPr>
                <w:sz w:val="20"/>
              </w:rPr>
              <w:t>el medio ambiente</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tabs>
                <w:tab w:pos="2470" w:val="left" w:leader="none"/>
              </w:tabs>
              <w:spacing w:line="229" w:lineRule="exact"/>
              <w:rPr>
                <w:sz w:val="20"/>
              </w:rPr>
            </w:pPr>
            <w:r>
              <w:rPr>
                <w:rFonts w:ascii="Wingdings" w:hAnsi="Wingdings"/>
                <w:sz w:val="20"/>
              </w:rPr>
              <w:t></w:t>
            </w:r>
            <w:r>
              <w:rPr>
                <w:sz w:val="20"/>
              </w:rPr>
              <w:t>Fortalece</w:t>
              <w:tab/>
              <w:t>la</w:t>
            </w:r>
          </w:p>
          <w:p>
            <w:pPr>
              <w:pStyle w:val="TableParagraph"/>
              <w:spacing w:line="229" w:lineRule="exact"/>
              <w:ind w:left="280"/>
              <w:rPr>
                <w:sz w:val="20"/>
              </w:rPr>
            </w:pPr>
            <w:r>
              <w:rPr>
                <w:sz w:val="20"/>
              </w:rPr>
              <w:t>gobernabilidad</w:t>
            </w:r>
          </w:p>
          <w:p>
            <w:pPr>
              <w:pStyle w:val="TableParagraph"/>
              <w:tabs>
                <w:tab w:pos="1660" w:val="left" w:leader="none"/>
                <w:tab w:pos="2306" w:val="left" w:leader="none"/>
              </w:tabs>
              <w:ind w:left="280" w:right="103"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0"/>
                <w:sz w:val="20"/>
              </w:rPr>
              <w:t> </w:t>
            </w:r>
            <w:r>
              <w:rPr>
                <w:sz w:val="20"/>
              </w:rPr>
              <w:t>actores</w:t>
            </w:r>
          </w:p>
        </w:tc>
        <w:tc>
          <w:tcPr>
            <w:tcW w:w="1493" w:type="dxa"/>
          </w:tcPr>
          <w:p>
            <w:pPr/>
          </w:p>
        </w:tc>
        <w:tc>
          <w:tcPr>
            <w:tcW w:w="2749" w:type="dxa"/>
          </w:tcPr>
          <w:p>
            <w:pPr/>
          </w:p>
        </w:tc>
        <w:tc>
          <w:tcPr>
            <w:tcW w:w="1550" w:type="dxa"/>
            <w:tcBorders>
              <w:right w:val="double" w:sz="12" w:space="0" w:color="000000"/>
            </w:tcBorders>
            <w:shd w:val="clear" w:color="auto" w:fill="00FF00"/>
          </w:tcPr>
          <w:p>
            <w:pPr/>
          </w:p>
        </w:tc>
      </w:tr>
      <w:tr>
        <w:trPr>
          <w:trHeight w:val="3229"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9"/>
              </w:rPr>
            </w:pPr>
          </w:p>
          <w:p>
            <w:pPr>
              <w:pStyle w:val="TableParagraph"/>
              <w:ind w:left="209" w:right="212"/>
              <w:jc w:val="center"/>
              <w:rPr>
                <w:sz w:val="20"/>
              </w:rPr>
            </w:pPr>
            <w:r>
              <w:rPr>
                <w:sz w:val="20"/>
              </w:rPr>
              <w:t>1519</w:t>
            </w:r>
          </w:p>
        </w:tc>
        <w:tc>
          <w:tcPr>
            <w:tcW w:w="198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9"/>
              </w:rPr>
            </w:pPr>
          </w:p>
          <w:p>
            <w:pPr>
              <w:pStyle w:val="TableParagraph"/>
              <w:spacing w:before="1"/>
              <w:ind w:left="0" w:right="2"/>
              <w:jc w:val="center"/>
              <w:rPr>
                <w:b/>
                <w:sz w:val="20"/>
              </w:rPr>
            </w:pPr>
            <w:r>
              <w:rPr>
                <w:b/>
                <w:w w:val="99"/>
                <w:sz w:val="20"/>
              </w:rPr>
              <w:t>1</w:t>
            </w:r>
          </w:p>
        </w:tc>
        <w:tc>
          <w:tcPr>
            <w:tcW w:w="1349" w:type="dxa"/>
          </w:tcPr>
          <w:p>
            <w:pPr>
              <w:pStyle w:val="TableParagraph"/>
              <w:spacing w:line="227" w:lineRule="exact"/>
              <w:rPr>
                <w:sz w:val="20"/>
              </w:rPr>
            </w:pPr>
            <w:r>
              <w:rPr>
                <w:sz w:val="20"/>
              </w:rPr>
              <w:t>Ambiental</w:t>
            </w:r>
          </w:p>
        </w:tc>
        <w:tc>
          <w:tcPr>
            <w:tcW w:w="2743" w:type="dxa"/>
          </w:tcPr>
          <w:p>
            <w:pPr>
              <w:pStyle w:val="TableParagraph"/>
              <w:numPr>
                <w:ilvl w:val="0"/>
                <w:numId w:val="95"/>
              </w:numPr>
              <w:tabs>
                <w:tab w:pos="812" w:val="left" w:leader="none"/>
              </w:tabs>
              <w:spacing w:line="240" w:lineRule="auto" w:before="0" w:after="0"/>
              <w:ind w:left="280" w:right="104" w:hanging="141"/>
              <w:jc w:val="both"/>
              <w:rPr>
                <w:sz w:val="20"/>
              </w:rPr>
            </w:pPr>
            <w:r>
              <w:rPr>
                <w:sz w:val="20"/>
              </w:rPr>
              <w:t>Existe conciencia sobre el cuidado del medio</w:t>
            </w:r>
            <w:r>
              <w:rPr>
                <w:spacing w:val="-5"/>
                <w:sz w:val="20"/>
              </w:rPr>
              <w:t> </w:t>
            </w:r>
            <w:r>
              <w:rPr>
                <w:sz w:val="20"/>
              </w:rPr>
              <w:t>ambiente</w:t>
            </w:r>
          </w:p>
          <w:p>
            <w:pPr>
              <w:pStyle w:val="TableParagraph"/>
              <w:numPr>
                <w:ilvl w:val="0"/>
                <w:numId w:val="95"/>
              </w:numPr>
              <w:tabs>
                <w:tab w:pos="812" w:val="left" w:leader="none"/>
              </w:tabs>
              <w:spacing w:line="240" w:lineRule="auto" w:before="0" w:after="0"/>
              <w:ind w:left="280" w:right="105" w:hanging="141"/>
              <w:jc w:val="both"/>
              <w:rPr>
                <w:sz w:val="20"/>
              </w:rPr>
            </w:pPr>
            <w:r>
              <w:rPr>
                <w:sz w:val="20"/>
              </w:rPr>
              <w:t>Existen valores ambientales que se trasmiten de generación en</w:t>
            </w:r>
            <w:r>
              <w:rPr>
                <w:spacing w:val="-5"/>
                <w:sz w:val="20"/>
              </w:rPr>
              <w:t> </w:t>
            </w:r>
            <w:r>
              <w:rPr>
                <w:sz w:val="20"/>
              </w:rPr>
              <w:t>generación</w:t>
            </w:r>
          </w:p>
          <w:p>
            <w:pPr>
              <w:pStyle w:val="TableParagraph"/>
              <w:numPr>
                <w:ilvl w:val="0"/>
                <w:numId w:val="95"/>
              </w:numPr>
              <w:tabs>
                <w:tab w:pos="812" w:val="left" w:leader="none"/>
              </w:tabs>
              <w:spacing w:line="240" w:lineRule="auto" w:before="0" w:after="0"/>
              <w:ind w:left="280" w:right="104" w:hanging="141"/>
              <w:jc w:val="both"/>
              <w:rPr>
                <w:sz w:val="20"/>
              </w:rPr>
            </w:pPr>
            <w:r>
              <w:rPr>
                <w:sz w:val="20"/>
              </w:rPr>
              <w:t>Existe un equilibrio entre la explotación de los recursos naturales y su regeneración</w:t>
            </w:r>
          </w:p>
          <w:p>
            <w:pPr>
              <w:pStyle w:val="TableParagraph"/>
              <w:numPr>
                <w:ilvl w:val="0"/>
                <w:numId w:val="95"/>
              </w:numPr>
              <w:tabs>
                <w:tab w:pos="812" w:val="left" w:leader="none"/>
              </w:tabs>
              <w:spacing w:line="240" w:lineRule="auto" w:before="0" w:after="0"/>
              <w:ind w:left="280" w:right="104" w:hanging="141"/>
              <w:jc w:val="both"/>
              <w:rPr>
                <w:sz w:val="20"/>
              </w:rPr>
            </w:pPr>
            <w:r>
              <w:rPr>
                <w:sz w:val="20"/>
              </w:rPr>
              <w:t>Existe planeación ambiental con articulación entre</w:t>
            </w:r>
            <w:r>
              <w:rPr>
                <w:spacing w:val="-5"/>
                <w:sz w:val="20"/>
              </w:rPr>
              <w:t> </w:t>
            </w:r>
            <w:r>
              <w:rPr>
                <w:sz w:val="20"/>
              </w:rPr>
              <w:t>actores</w:t>
            </w:r>
          </w:p>
        </w:tc>
        <w:tc>
          <w:tcPr>
            <w:tcW w:w="1493"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
              <w:ind w:left="0"/>
              <w:rPr>
                <w:rFonts w:ascii="Times New Roman"/>
                <w:sz w:val="20"/>
              </w:rPr>
            </w:pPr>
          </w:p>
          <w:p>
            <w:pPr>
              <w:pStyle w:val="TableParagraph"/>
              <w:ind w:left="520" w:right="523"/>
              <w:jc w:val="center"/>
              <w:rPr>
                <w:sz w:val="20"/>
              </w:rPr>
            </w:pPr>
            <w:r>
              <w:rPr>
                <w:sz w:val="20"/>
              </w:rPr>
              <w:t>75%</w:t>
            </w:r>
          </w:p>
        </w:tc>
        <w:tc>
          <w:tcPr>
            <w:tcW w:w="2749" w:type="dxa"/>
            <w:vMerge w:val="restart"/>
          </w:tcPr>
          <w:p>
            <w:pPr>
              <w:pStyle w:val="TableParagraph"/>
              <w:ind w:right="102"/>
              <w:jc w:val="both"/>
              <w:rPr>
                <w:sz w:val="20"/>
              </w:rPr>
            </w:pPr>
            <w:r>
              <w:rPr>
                <w:sz w:val="20"/>
              </w:rPr>
              <w:t>Debe reunir </w:t>
            </w:r>
            <w:r>
              <w:rPr>
                <w:b/>
                <w:sz w:val="20"/>
              </w:rPr>
              <w:t>al menos el 75% </w:t>
            </w:r>
            <w:r>
              <w:rPr>
                <w:sz w:val="20"/>
              </w:rPr>
              <w:t>dos de tres características de impacto positivo</w:t>
            </w:r>
          </w:p>
        </w:tc>
        <w:tc>
          <w:tcPr>
            <w:tcW w:w="1550"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9"/>
              </w:rPr>
            </w:pPr>
          </w:p>
          <w:p>
            <w:pPr>
              <w:pStyle w:val="TableParagraph"/>
              <w:ind w:left="439"/>
              <w:rPr>
                <w:b/>
                <w:sz w:val="20"/>
              </w:rPr>
            </w:pPr>
            <w:r>
              <w:rPr>
                <w:b/>
                <w:sz w:val="20"/>
              </w:rPr>
              <w:t>Bueno</w:t>
            </w:r>
          </w:p>
        </w:tc>
      </w:tr>
      <w:tr>
        <w:trPr>
          <w:trHeight w:val="3692"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9"/>
              </w:rPr>
            </w:pPr>
          </w:p>
          <w:p>
            <w:pPr>
              <w:pStyle w:val="TableParagraph"/>
              <w:ind w:left="209" w:right="212"/>
              <w:jc w:val="center"/>
              <w:rPr>
                <w:sz w:val="20"/>
              </w:rPr>
            </w:pPr>
            <w:r>
              <w:rPr>
                <w:sz w:val="20"/>
              </w:rPr>
              <w:t>1580</w:t>
            </w:r>
          </w:p>
        </w:tc>
        <w:tc>
          <w:tcPr>
            <w:tcW w:w="1982" w:type="dxa"/>
            <w:vMerge/>
          </w:tcPr>
          <w:p>
            <w:pPr/>
          </w:p>
        </w:tc>
        <w:tc>
          <w:tcPr>
            <w:tcW w:w="1349" w:type="dxa"/>
          </w:tcPr>
          <w:p>
            <w:pPr>
              <w:pStyle w:val="TableParagraph"/>
              <w:spacing w:line="230" w:lineRule="exact"/>
              <w:rPr>
                <w:sz w:val="20"/>
              </w:rPr>
            </w:pPr>
            <w:r>
              <w:rPr>
                <w:sz w:val="20"/>
              </w:rPr>
              <w:t>Económico</w:t>
            </w:r>
          </w:p>
        </w:tc>
        <w:tc>
          <w:tcPr>
            <w:tcW w:w="2743" w:type="dxa"/>
          </w:tcPr>
          <w:p>
            <w:pPr>
              <w:pStyle w:val="TableParagraph"/>
              <w:numPr>
                <w:ilvl w:val="0"/>
                <w:numId w:val="96"/>
              </w:numPr>
              <w:tabs>
                <w:tab w:pos="812" w:val="left" w:leader="none"/>
              </w:tabs>
              <w:spacing w:line="240" w:lineRule="auto" w:before="0" w:after="0"/>
              <w:ind w:left="280" w:right="102" w:hanging="141"/>
              <w:jc w:val="both"/>
              <w:rPr>
                <w:sz w:val="20"/>
              </w:rPr>
            </w:pPr>
            <w:r>
              <w:rPr>
                <w:sz w:val="20"/>
              </w:rPr>
              <w:t>Existe gastronomía regional.</w:t>
            </w:r>
          </w:p>
          <w:p>
            <w:pPr>
              <w:pStyle w:val="TableParagraph"/>
              <w:numPr>
                <w:ilvl w:val="0"/>
                <w:numId w:val="96"/>
              </w:numPr>
              <w:tabs>
                <w:tab w:pos="812" w:val="left" w:leader="none"/>
                <w:tab w:pos="1981" w:val="left" w:leader="none"/>
              </w:tabs>
              <w:spacing w:line="240" w:lineRule="auto" w:before="0" w:after="0"/>
              <w:ind w:left="280" w:right="103" w:hanging="141"/>
              <w:jc w:val="both"/>
              <w:rPr>
                <w:sz w:val="20"/>
              </w:rPr>
            </w:pPr>
            <w:r>
              <w:rPr>
                <w:sz w:val="20"/>
              </w:rPr>
              <w:t>Existe</w:t>
              <w:tab/>
              <w:t>comida lacustre</w:t>
            </w:r>
          </w:p>
          <w:p>
            <w:pPr>
              <w:pStyle w:val="TableParagraph"/>
              <w:numPr>
                <w:ilvl w:val="0"/>
                <w:numId w:val="96"/>
              </w:numPr>
              <w:tabs>
                <w:tab w:pos="812" w:val="left" w:leader="none"/>
              </w:tabs>
              <w:spacing w:line="240" w:lineRule="auto" w:before="0" w:after="0"/>
              <w:ind w:left="280" w:right="102" w:hanging="141"/>
              <w:jc w:val="both"/>
              <w:rPr>
                <w:sz w:val="20"/>
              </w:rPr>
            </w:pPr>
            <w:r>
              <w:rPr>
                <w:sz w:val="20"/>
              </w:rPr>
              <w:t>Existen mercados regionales de comida lacustre</w:t>
            </w:r>
          </w:p>
          <w:p>
            <w:pPr>
              <w:pStyle w:val="TableParagraph"/>
              <w:numPr>
                <w:ilvl w:val="0"/>
                <w:numId w:val="96"/>
              </w:numPr>
              <w:tabs>
                <w:tab w:pos="812" w:val="left" w:leader="none"/>
              </w:tabs>
              <w:spacing w:line="240" w:lineRule="auto" w:before="0" w:after="0"/>
              <w:ind w:left="280" w:right="105" w:hanging="141"/>
              <w:jc w:val="both"/>
              <w:rPr>
                <w:sz w:val="20"/>
              </w:rPr>
            </w:pPr>
            <w:r>
              <w:rPr>
                <w:sz w:val="20"/>
              </w:rPr>
              <w:t>Existe equidad en el reparto de los recursos de la</w:t>
            </w:r>
            <w:r>
              <w:rPr>
                <w:spacing w:val="-5"/>
                <w:sz w:val="20"/>
              </w:rPr>
              <w:t> </w:t>
            </w:r>
            <w:r>
              <w:rPr>
                <w:sz w:val="20"/>
              </w:rPr>
              <w:t>CHPH</w:t>
            </w:r>
          </w:p>
          <w:p>
            <w:pPr>
              <w:pStyle w:val="TableParagraph"/>
              <w:numPr>
                <w:ilvl w:val="0"/>
                <w:numId w:val="96"/>
              </w:numPr>
              <w:tabs>
                <w:tab w:pos="812" w:val="left" w:leader="none"/>
                <w:tab w:pos="1893" w:val="left" w:leader="none"/>
              </w:tabs>
              <w:spacing w:line="240" w:lineRule="auto" w:before="0" w:after="0"/>
              <w:ind w:left="280" w:right="104" w:hanging="141"/>
              <w:jc w:val="both"/>
              <w:rPr>
                <w:sz w:val="20"/>
              </w:rPr>
            </w:pPr>
            <w:r>
              <w:rPr>
                <w:sz w:val="20"/>
              </w:rPr>
              <w:t>Se</w:t>
              <w:tab/>
              <w:t>generan empleos mediante la recolección de comida lacustre</w:t>
            </w:r>
          </w:p>
          <w:p>
            <w:pPr>
              <w:pStyle w:val="TableParagraph"/>
              <w:numPr>
                <w:ilvl w:val="0"/>
                <w:numId w:val="96"/>
              </w:numPr>
              <w:tabs>
                <w:tab w:pos="812" w:val="left" w:leader="none"/>
                <w:tab w:pos="2305" w:val="left" w:leader="none"/>
              </w:tabs>
              <w:spacing w:line="240" w:lineRule="auto" w:before="0" w:after="0"/>
              <w:ind w:left="280" w:right="104" w:hanging="141"/>
              <w:jc w:val="both"/>
              <w:rPr>
                <w:sz w:val="20"/>
              </w:rPr>
            </w:pPr>
            <w:r>
              <w:rPr>
                <w:sz w:val="20"/>
              </w:rPr>
              <w:t>Existe planeación económica</w:t>
              <w:tab/>
              <w:t>con</w:t>
            </w:r>
          </w:p>
        </w:tc>
        <w:tc>
          <w:tcPr>
            <w:tcW w:w="1493" w:type="dxa"/>
            <w:vMerge/>
          </w:tcPr>
          <w:p>
            <w:pPr/>
          </w:p>
        </w:tc>
        <w:tc>
          <w:tcPr>
            <w:tcW w:w="2749" w:type="dxa"/>
            <w:vMerge/>
          </w:tcPr>
          <w:p>
            <w:pPr/>
          </w:p>
        </w:tc>
        <w:tc>
          <w:tcPr>
            <w:tcW w:w="1550"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82"/>
        <w:gridCol w:w="1349"/>
        <w:gridCol w:w="2743"/>
        <w:gridCol w:w="1493"/>
        <w:gridCol w:w="2749"/>
        <w:gridCol w:w="1550"/>
      </w:tblGrid>
      <w:tr>
        <w:trPr>
          <w:trHeight w:val="250" w:hRule="exact"/>
        </w:trPr>
        <w:tc>
          <w:tcPr>
            <w:tcW w:w="954" w:type="dxa"/>
            <w:tcBorders>
              <w:left w:val="double" w:sz="11" w:space="0" w:color="000000"/>
            </w:tcBorders>
          </w:tcPr>
          <w:p>
            <w:pPr/>
          </w:p>
        </w:tc>
        <w:tc>
          <w:tcPr>
            <w:tcW w:w="1982" w:type="dxa"/>
            <w:vMerge w:val="restart"/>
          </w:tcPr>
          <w:p>
            <w:pPr/>
          </w:p>
        </w:tc>
        <w:tc>
          <w:tcPr>
            <w:tcW w:w="1349" w:type="dxa"/>
          </w:tcPr>
          <w:p>
            <w:pPr/>
          </w:p>
        </w:tc>
        <w:tc>
          <w:tcPr>
            <w:tcW w:w="2743" w:type="dxa"/>
          </w:tcPr>
          <w:p>
            <w:pPr>
              <w:pStyle w:val="TableParagraph"/>
              <w:spacing w:before="7"/>
              <w:ind w:left="280"/>
              <w:rPr>
                <w:sz w:val="20"/>
              </w:rPr>
            </w:pPr>
            <w:r>
              <w:rPr>
                <w:sz w:val="20"/>
              </w:rPr>
              <w:t>articulación entre actores</w:t>
            </w:r>
          </w:p>
        </w:tc>
        <w:tc>
          <w:tcPr>
            <w:tcW w:w="1493" w:type="dxa"/>
            <w:vMerge w:val="restart"/>
          </w:tcPr>
          <w:p>
            <w:pPr/>
          </w:p>
        </w:tc>
        <w:tc>
          <w:tcPr>
            <w:tcW w:w="2749" w:type="dxa"/>
            <w:vMerge w:val="restart"/>
          </w:tcPr>
          <w:p>
            <w:pPr/>
          </w:p>
        </w:tc>
        <w:tc>
          <w:tcPr>
            <w:tcW w:w="1550" w:type="dxa"/>
            <w:vMerge w:val="restart"/>
            <w:tcBorders>
              <w:right w:val="double" w:sz="12" w:space="0" w:color="000000"/>
            </w:tcBorders>
          </w:tcPr>
          <w:p>
            <w:pPr>
              <w:pStyle w:val="TableParagraph"/>
              <w:ind w:left="0" w:right="-50"/>
              <w:rPr>
                <w:rFonts w:ascii="Times New Roman"/>
                <w:sz w:val="20"/>
              </w:rPr>
            </w:pPr>
            <w:r>
              <w:rPr>
                <w:rFonts w:ascii="Times New Roman"/>
                <w:sz w:val="20"/>
              </w:rPr>
              <w:pict>
                <v:group style="width:75.150pt;height:184.5pt;mso-position-horizontal-relative:char;mso-position-vertical-relative:line" coordorigin="0,0" coordsize="1503,3690">
                  <v:shape style="position:absolute;left:0;top:0;width:1502;height:230" type="#_x0000_t75" stroked="false">
                    <v:imagedata r:id="rId311" o:title=""/>
                  </v:shape>
                  <v:shape style="position:absolute;left:0;top:231;width:1502;height:3459" type="#_x0000_t75" stroked="false">
                    <v:imagedata r:id="rId312" o:title=""/>
                  </v:shape>
                </v:group>
              </w:pict>
            </w:r>
            <w:r>
              <w:rPr>
                <w:rFonts w:ascii="Times New Roman"/>
                <w:sz w:val="20"/>
              </w:rPr>
            </w:r>
          </w:p>
        </w:tc>
      </w:tr>
      <w:tr>
        <w:trPr>
          <w:trHeight w:val="3459"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9"/>
              </w:rPr>
            </w:pPr>
          </w:p>
          <w:p>
            <w:pPr>
              <w:pStyle w:val="TableParagraph"/>
              <w:spacing w:before="1"/>
              <w:ind w:left="209" w:right="212"/>
              <w:jc w:val="center"/>
              <w:rPr>
                <w:sz w:val="20"/>
              </w:rPr>
            </w:pPr>
            <w:r>
              <w:rPr>
                <w:sz w:val="20"/>
              </w:rPr>
              <w:t>1785</w:t>
            </w:r>
          </w:p>
        </w:tc>
        <w:tc>
          <w:tcPr>
            <w:tcW w:w="1982" w:type="dxa"/>
            <w:vMerge/>
          </w:tcPr>
          <w:p>
            <w:pPr/>
          </w:p>
        </w:tc>
        <w:tc>
          <w:tcPr>
            <w:tcW w:w="1349" w:type="dxa"/>
          </w:tcPr>
          <w:p>
            <w:pPr>
              <w:pStyle w:val="TableParagraph"/>
              <w:spacing w:line="227" w:lineRule="exact"/>
              <w:rPr>
                <w:sz w:val="20"/>
              </w:rPr>
            </w:pPr>
            <w:r>
              <w:rPr>
                <w:sz w:val="20"/>
              </w:rPr>
              <w:t>Sociopolítico</w:t>
            </w:r>
          </w:p>
        </w:tc>
        <w:tc>
          <w:tcPr>
            <w:tcW w:w="2743" w:type="dxa"/>
          </w:tcPr>
          <w:p>
            <w:pPr>
              <w:pStyle w:val="TableParagraph"/>
              <w:ind w:left="280" w:right="104" w:hanging="178"/>
              <w:jc w:val="both"/>
              <w:rPr>
                <w:sz w:val="20"/>
              </w:rPr>
            </w:pPr>
            <w:r>
              <w:rPr>
                <w:rFonts w:ascii="Wingdings" w:hAnsi="Wingdings"/>
                <w:sz w:val="20"/>
              </w:rPr>
              <w:t></w:t>
            </w:r>
            <w:r>
              <w:rPr>
                <w:sz w:val="20"/>
              </w:rPr>
              <w:t>Favorece la solidaridad entre actores de la CHPH</w:t>
            </w:r>
          </w:p>
          <w:p>
            <w:pPr>
              <w:pStyle w:val="TableParagraph"/>
              <w:ind w:left="280" w:right="104" w:hanging="178"/>
              <w:jc w:val="both"/>
              <w:rPr>
                <w:sz w:val="20"/>
              </w:rPr>
            </w:pPr>
            <w:r>
              <w:rPr>
                <w:rFonts w:ascii="Wingdings" w:hAnsi="Wingdings"/>
                <w:spacing w:val="2"/>
                <w:sz w:val="20"/>
              </w:rPr>
              <w:t></w:t>
            </w:r>
            <w:r>
              <w:rPr>
                <w:spacing w:val="2"/>
                <w:sz w:val="20"/>
              </w:rPr>
              <w:t>Favorece </w:t>
            </w:r>
            <w:r>
              <w:rPr>
                <w:sz w:val="20"/>
              </w:rPr>
              <w:t>la organización sociopolítica de los actores de la</w:t>
            </w:r>
            <w:r>
              <w:rPr>
                <w:spacing w:val="-6"/>
                <w:sz w:val="20"/>
              </w:rPr>
              <w:t> </w:t>
            </w:r>
            <w:r>
              <w:rPr>
                <w:sz w:val="20"/>
              </w:rPr>
              <w:t>CHPH</w:t>
            </w:r>
          </w:p>
          <w:p>
            <w:pPr>
              <w:pStyle w:val="TableParagraph"/>
              <w:ind w:left="280" w:right="105" w:hanging="178"/>
              <w:jc w:val="both"/>
              <w:rPr>
                <w:sz w:val="20"/>
              </w:rPr>
            </w:pPr>
            <w:r>
              <w:rPr>
                <w:rFonts w:ascii="Wingdings" w:hAnsi="Wingdings"/>
                <w:sz w:val="20"/>
              </w:rPr>
              <w:t></w:t>
            </w:r>
            <w:r>
              <w:rPr>
                <w:sz w:val="20"/>
              </w:rPr>
              <w:t>Favorece la articulación entre actores para cuidar el medio ambiente</w:t>
            </w:r>
          </w:p>
          <w:p>
            <w:pPr>
              <w:pStyle w:val="TableParagraph"/>
              <w:spacing w:before="1"/>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tabs>
                <w:tab w:pos="2470" w:val="left" w:leader="none"/>
              </w:tabs>
              <w:spacing w:line="229" w:lineRule="exact"/>
              <w:rPr>
                <w:sz w:val="20"/>
              </w:rPr>
            </w:pPr>
            <w:r>
              <w:rPr>
                <w:rFonts w:ascii="Wingdings" w:hAnsi="Wingdings"/>
                <w:sz w:val="20"/>
              </w:rPr>
              <w:t></w:t>
            </w:r>
            <w:r>
              <w:rPr>
                <w:sz w:val="20"/>
              </w:rPr>
              <w:t>Fortalece</w:t>
              <w:tab/>
              <w:t>la</w:t>
            </w:r>
          </w:p>
          <w:p>
            <w:pPr>
              <w:pStyle w:val="TableParagraph"/>
              <w:ind w:left="280"/>
              <w:rPr>
                <w:sz w:val="20"/>
              </w:rPr>
            </w:pPr>
            <w:r>
              <w:rPr>
                <w:sz w:val="20"/>
              </w:rPr>
              <w:t>gobernabilidad</w:t>
            </w:r>
          </w:p>
          <w:p>
            <w:pPr>
              <w:pStyle w:val="TableParagraph"/>
              <w:tabs>
                <w:tab w:pos="1660" w:val="left" w:leader="none"/>
                <w:tab w:pos="2304"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93" w:type="dxa"/>
            <w:vMerge/>
          </w:tcPr>
          <w:p>
            <w:pPr/>
          </w:p>
        </w:tc>
        <w:tc>
          <w:tcPr>
            <w:tcW w:w="2749" w:type="dxa"/>
            <w:vMerge/>
          </w:tcPr>
          <w:p>
            <w:pPr/>
          </w:p>
        </w:tc>
        <w:tc>
          <w:tcPr>
            <w:tcW w:w="1550" w:type="dxa"/>
            <w:vMerge/>
            <w:tcBorders>
              <w:right w:val="double" w:sz="12" w:space="0" w:color="000000"/>
            </w:tcBorders>
          </w:tcPr>
          <w:p>
            <w:pPr/>
          </w:p>
        </w:tc>
      </w:tr>
      <w:tr>
        <w:trPr>
          <w:trHeight w:val="3231"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9"/>
              </w:rPr>
            </w:pPr>
          </w:p>
          <w:p>
            <w:pPr>
              <w:pStyle w:val="TableParagraph"/>
              <w:ind w:left="209" w:right="212"/>
              <w:jc w:val="center"/>
              <w:rPr>
                <w:sz w:val="20"/>
              </w:rPr>
            </w:pPr>
            <w:r>
              <w:rPr>
                <w:sz w:val="20"/>
              </w:rPr>
              <w:t>1810</w:t>
            </w:r>
          </w:p>
        </w:tc>
        <w:tc>
          <w:tcPr>
            <w:tcW w:w="198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right="2"/>
              <w:jc w:val="center"/>
              <w:rPr>
                <w:b/>
                <w:sz w:val="20"/>
              </w:rPr>
            </w:pPr>
            <w:r>
              <w:rPr>
                <w:b/>
                <w:w w:val="99"/>
                <w:sz w:val="20"/>
              </w:rPr>
              <w:t>1</w:t>
            </w:r>
          </w:p>
        </w:tc>
        <w:tc>
          <w:tcPr>
            <w:tcW w:w="1349" w:type="dxa"/>
          </w:tcPr>
          <w:p>
            <w:pPr>
              <w:pStyle w:val="TableParagraph"/>
              <w:spacing w:line="230" w:lineRule="exact"/>
              <w:rPr>
                <w:sz w:val="20"/>
              </w:rPr>
            </w:pPr>
            <w:r>
              <w:rPr>
                <w:sz w:val="20"/>
              </w:rPr>
              <w:t>Ambiental</w:t>
            </w:r>
          </w:p>
        </w:tc>
        <w:tc>
          <w:tcPr>
            <w:tcW w:w="2743" w:type="dxa"/>
          </w:tcPr>
          <w:p>
            <w:pPr>
              <w:pStyle w:val="TableParagraph"/>
              <w:numPr>
                <w:ilvl w:val="0"/>
                <w:numId w:val="97"/>
              </w:numPr>
              <w:tabs>
                <w:tab w:pos="812" w:val="left" w:leader="none"/>
              </w:tabs>
              <w:spacing w:line="240" w:lineRule="auto" w:before="0" w:after="0"/>
              <w:ind w:left="280" w:right="104" w:hanging="141"/>
              <w:jc w:val="both"/>
              <w:rPr>
                <w:sz w:val="20"/>
              </w:rPr>
            </w:pPr>
            <w:r>
              <w:rPr>
                <w:sz w:val="20"/>
              </w:rPr>
              <w:t>Existe conciencia sobre el cuidado del medio</w:t>
            </w:r>
            <w:r>
              <w:rPr>
                <w:spacing w:val="-5"/>
                <w:sz w:val="20"/>
              </w:rPr>
              <w:t> </w:t>
            </w:r>
            <w:r>
              <w:rPr>
                <w:sz w:val="20"/>
              </w:rPr>
              <w:t>ambiente</w:t>
            </w:r>
          </w:p>
          <w:p>
            <w:pPr>
              <w:pStyle w:val="TableParagraph"/>
              <w:numPr>
                <w:ilvl w:val="0"/>
                <w:numId w:val="97"/>
              </w:numPr>
              <w:tabs>
                <w:tab w:pos="812" w:val="left" w:leader="none"/>
              </w:tabs>
              <w:spacing w:line="240" w:lineRule="auto" w:before="0" w:after="0"/>
              <w:ind w:left="280" w:right="105" w:hanging="141"/>
              <w:jc w:val="both"/>
              <w:rPr>
                <w:sz w:val="20"/>
              </w:rPr>
            </w:pPr>
            <w:r>
              <w:rPr>
                <w:sz w:val="20"/>
              </w:rPr>
              <w:t>Existen valores ambientales que se trasmiten de generación en</w:t>
            </w:r>
            <w:r>
              <w:rPr>
                <w:spacing w:val="-5"/>
                <w:sz w:val="20"/>
              </w:rPr>
              <w:t> </w:t>
            </w:r>
            <w:r>
              <w:rPr>
                <w:sz w:val="20"/>
              </w:rPr>
              <w:t>generación</w:t>
            </w:r>
          </w:p>
          <w:p>
            <w:pPr>
              <w:pStyle w:val="TableParagraph"/>
              <w:numPr>
                <w:ilvl w:val="0"/>
                <w:numId w:val="97"/>
              </w:numPr>
              <w:tabs>
                <w:tab w:pos="812" w:val="left" w:leader="none"/>
              </w:tabs>
              <w:spacing w:line="240" w:lineRule="auto" w:before="0" w:after="0"/>
              <w:ind w:left="280" w:right="104" w:hanging="141"/>
              <w:jc w:val="both"/>
              <w:rPr>
                <w:sz w:val="20"/>
              </w:rPr>
            </w:pPr>
            <w:r>
              <w:rPr>
                <w:sz w:val="20"/>
              </w:rPr>
              <w:t>Existe un equilibrio entre la explotación de los recursos naturales y su regeneración</w:t>
            </w:r>
          </w:p>
          <w:p>
            <w:pPr>
              <w:pStyle w:val="TableParagraph"/>
              <w:numPr>
                <w:ilvl w:val="0"/>
                <w:numId w:val="97"/>
              </w:numPr>
              <w:tabs>
                <w:tab w:pos="812" w:val="left" w:leader="none"/>
              </w:tabs>
              <w:spacing w:line="240" w:lineRule="auto" w:before="0" w:after="0"/>
              <w:ind w:left="280" w:right="104" w:hanging="141"/>
              <w:jc w:val="both"/>
              <w:rPr>
                <w:sz w:val="20"/>
              </w:rPr>
            </w:pPr>
            <w:r>
              <w:rPr>
                <w:sz w:val="20"/>
              </w:rPr>
              <w:t>Existe planeación ambiental con articulación entre</w:t>
            </w:r>
            <w:r>
              <w:rPr>
                <w:spacing w:val="-5"/>
                <w:sz w:val="20"/>
              </w:rPr>
              <w:t> </w:t>
            </w:r>
            <w:r>
              <w:rPr>
                <w:sz w:val="20"/>
              </w:rPr>
              <w:t>actores</w:t>
            </w:r>
          </w:p>
        </w:tc>
        <w:tc>
          <w:tcPr>
            <w:tcW w:w="1493"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520" w:right="523"/>
              <w:jc w:val="center"/>
              <w:rPr>
                <w:sz w:val="20"/>
              </w:rPr>
            </w:pPr>
            <w:r>
              <w:rPr>
                <w:sz w:val="20"/>
              </w:rPr>
              <w:t>50%</w:t>
            </w:r>
          </w:p>
        </w:tc>
        <w:tc>
          <w:tcPr>
            <w:tcW w:w="2749" w:type="dxa"/>
            <w:vMerge w:val="restart"/>
          </w:tcPr>
          <w:p>
            <w:pPr>
              <w:pStyle w:val="TableParagraph"/>
              <w:ind w:right="102"/>
              <w:jc w:val="both"/>
              <w:rPr>
                <w:sz w:val="20"/>
              </w:rPr>
            </w:pPr>
            <w:r>
              <w:rPr>
                <w:sz w:val="20"/>
              </w:rPr>
              <w:t>Debe reunir </w:t>
            </w:r>
            <w:r>
              <w:rPr>
                <w:b/>
                <w:sz w:val="20"/>
              </w:rPr>
              <w:t>al menos el 50% una de tres </w:t>
            </w:r>
            <w:r>
              <w:rPr>
                <w:sz w:val="20"/>
              </w:rPr>
              <w:t>características de impacto positivo</w:t>
            </w:r>
          </w:p>
        </w:tc>
        <w:tc>
          <w:tcPr>
            <w:tcW w:w="1550"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379"/>
              <w:rPr>
                <w:b/>
                <w:sz w:val="20"/>
              </w:rPr>
            </w:pPr>
            <w:r>
              <w:rPr>
                <w:b/>
                <w:sz w:val="20"/>
              </w:rPr>
              <w:t>Regular</w:t>
            </w:r>
          </w:p>
        </w:tc>
      </w:tr>
      <w:tr>
        <w:trPr>
          <w:trHeight w:val="1851" w:hRule="exact"/>
        </w:trPr>
        <w:tc>
          <w:tcPr>
            <w:tcW w:w="954" w:type="dxa"/>
            <w:tcBorders>
              <w:left w:val="double" w:sz="11" w:space="0" w:color="000000"/>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29"/>
              </w:rPr>
            </w:pPr>
          </w:p>
          <w:p>
            <w:pPr>
              <w:pStyle w:val="TableParagraph"/>
              <w:ind w:left="209" w:right="212"/>
              <w:jc w:val="center"/>
              <w:rPr>
                <w:sz w:val="20"/>
              </w:rPr>
            </w:pPr>
            <w:r>
              <w:rPr>
                <w:sz w:val="20"/>
              </w:rPr>
              <w:t>1861</w:t>
            </w:r>
          </w:p>
        </w:tc>
        <w:tc>
          <w:tcPr>
            <w:tcW w:w="1982" w:type="dxa"/>
            <w:vMerge/>
            <w:tcBorders>
              <w:bottom w:val="single" w:sz="8" w:space="0" w:color="000000"/>
            </w:tcBorders>
          </w:tcPr>
          <w:p>
            <w:pPr/>
          </w:p>
        </w:tc>
        <w:tc>
          <w:tcPr>
            <w:tcW w:w="1349" w:type="dxa"/>
            <w:tcBorders>
              <w:bottom w:val="single" w:sz="8" w:space="0" w:color="000000"/>
            </w:tcBorders>
          </w:tcPr>
          <w:p>
            <w:pPr>
              <w:pStyle w:val="TableParagraph"/>
              <w:spacing w:line="227" w:lineRule="exact"/>
              <w:rPr>
                <w:sz w:val="20"/>
              </w:rPr>
            </w:pPr>
            <w:r>
              <w:rPr>
                <w:sz w:val="20"/>
              </w:rPr>
              <w:t>Económico</w:t>
            </w:r>
          </w:p>
        </w:tc>
        <w:tc>
          <w:tcPr>
            <w:tcW w:w="2743" w:type="dxa"/>
            <w:tcBorders>
              <w:bottom w:val="single" w:sz="8" w:space="0" w:color="000000"/>
            </w:tcBorders>
          </w:tcPr>
          <w:p>
            <w:pPr>
              <w:pStyle w:val="TableParagraph"/>
              <w:numPr>
                <w:ilvl w:val="0"/>
                <w:numId w:val="98"/>
              </w:numPr>
              <w:tabs>
                <w:tab w:pos="812" w:val="left" w:leader="none"/>
              </w:tabs>
              <w:spacing w:line="240" w:lineRule="auto" w:before="0" w:after="0"/>
              <w:ind w:left="280" w:right="102" w:hanging="141"/>
              <w:jc w:val="both"/>
              <w:rPr>
                <w:sz w:val="20"/>
              </w:rPr>
            </w:pPr>
            <w:r>
              <w:rPr>
                <w:sz w:val="20"/>
              </w:rPr>
              <w:t>Existe gastronomía regional.</w:t>
            </w:r>
          </w:p>
          <w:p>
            <w:pPr>
              <w:pStyle w:val="TableParagraph"/>
              <w:numPr>
                <w:ilvl w:val="0"/>
                <w:numId w:val="98"/>
              </w:numPr>
              <w:tabs>
                <w:tab w:pos="812" w:val="left" w:leader="none"/>
                <w:tab w:pos="1981" w:val="left" w:leader="none"/>
              </w:tabs>
              <w:spacing w:line="240" w:lineRule="auto" w:before="0" w:after="0"/>
              <w:ind w:left="280" w:right="103" w:hanging="141"/>
              <w:jc w:val="both"/>
              <w:rPr>
                <w:sz w:val="20"/>
              </w:rPr>
            </w:pPr>
            <w:r>
              <w:rPr>
                <w:sz w:val="20"/>
              </w:rPr>
              <w:t>Existe</w:t>
              <w:tab/>
              <w:t>comida lacustre</w:t>
            </w:r>
          </w:p>
          <w:p>
            <w:pPr>
              <w:pStyle w:val="TableParagraph"/>
              <w:numPr>
                <w:ilvl w:val="0"/>
                <w:numId w:val="98"/>
              </w:numPr>
              <w:tabs>
                <w:tab w:pos="812" w:val="left" w:leader="none"/>
              </w:tabs>
              <w:spacing w:line="240" w:lineRule="auto" w:before="0" w:after="0"/>
              <w:ind w:left="280" w:right="102" w:hanging="141"/>
              <w:jc w:val="both"/>
              <w:rPr>
                <w:sz w:val="20"/>
              </w:rPr>
            </w:pPr>
            <w:r>
              <w:rPr>
                <w:sz w:val="20"/>
              </w:rPr>
              <w:t>Existen mercados regionales de comida lacustre</w:t>
            </w:r>
          </w:p>
          <w:p>
            <w:pPr>
              <w:pStyle w:val="TableParagraph"/>
              <w:numPr>
                <w:ilvl w:val="0"/>
                <w:numId w:val="98"/>
              </w:numPr>
              <w:tabs>
                <w:tab w:pos="811" w:val="left" w:leader="none"/>
                <w:tab w:pos="812" w:val="left" w:leader="none"/>
                <w:tab w:pos="1893" w:val="left" w:leader="none"/>
              </w:tabs>
              <w:spacing w:line="240" w:lineRule="auto" w:before="0" w:after="0"/>
              <w:ind w:left="811" w:right="0" w:hanging="672"/>
              <w:jc w:val="left"/>
              <w:rPr>
                <w:sz w:val="20"/>
              </w:rPr>
            </w:pPr>
            <w:r>
              <w:rPr>
                <w:sz w:val="20"/>
              </w:rPr>
              <w:t>Se</w:t>
              <w:tab/>
              <w:t>generan</w:t>
            </w:r>
          </w:p>
        </w:tc>
        <w:tc>
          <w:tcPr>
            <w:tcW w:w="1493" w:type="dxa"/>
            <w:vMerge/>
            <w:tcBorders>
              <w:bottom w:val="single" w:sz="8" w:space="0" w:color="000000"/>
            </w:tcBorders>
          </w:tcPr>
          <w:p>
            <w:pPr/>
          </w:p>
        </w:tc>
        <w:tc>
          <w:tcPr>
            <w:tcW w:w="2749" w:type="dxa"/>
            <w:vMerge/>
            <w:tcBorders>
              <w:bottom w:val="single" w:sz="8" w:space="0" w:color="000000"/>
            </w:tcBorders>
          </w:tcPr>
          <w:p>
            <w:pPr/>
          </w:p>
        </w:tc>
        <w:tc>
          <w:tcPr>
            <w:tcW w:w="1550" w:type="dxa"/>
            <w:vMerge/>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82"/>
        <w:gridCol w:w="1349"/>
        <w:gridCol w:w="2743"/>
        <w:gridCol w:w="1493"/>
        <w:gridCol w:w="2749"/>
        <w:gridCol w:w="1550"/>
      </w:tblGrid>
      <w:tr>
        <w:trPr>
          <w:trHeight w:val="2090" w:hRule="exact"/>
        </w:trPr>
        <w:tc>
          <w:tcPr>
            <w:tcW w:w="954" w:type="dxa"/>
            <w:tcBorders>
              <w:left w:val="double" w:sz="11" w:space="0" w:color="000000"/>
            </w:tcBorders>
          </w:tcPr>
          <w:p>
            <w:pPr/>
          </w:p>
        </w:tc>
        <w:tc>
          <w:tcPr>
            <w:tcW w:w="1982" w:type="dxa"/>
            <w:vMerge w:val="restart"/>
          </w:tcPr>
          <w:p>
            <w:pPr/>
          </w:p>
        </w:tc>
        <w:tc>
          <w:tcPr>
            <w:tcW w:w="1349" w:type="dxa"/>
          </w:tcPr>
          <w:p>
            <w:pPr/>
          </w:p>
        </w:tc>
        <w:tc>
          <w:tcPr>
            <w:tcW w:w="2743" w:type="dxa"/>
          </w:tcPr>
          <w:p>
            <w:pPr>
              <w:pStyle w:val="TableParagraph"/>
              <w:spacing w:before="7"/>
              <w:ind w:left="280" w:right="104"/>
              <w:jc w:val="both"/>
              <w:rPr>
                <w:sz w:val="20"/>
              </w:rPr>
            </w:pPr>
            <w:r>
              <w:rPr>
                <w:sz w:val="20"/>
              </w:rPr>
              <w:t>empleos mediante la recolección de comida lacustre</w:t>
            </w:r>
          </w:p>
          <w:p>
            <w:pPr>
              <w:pStyle w:val="TableParagraph"/>
              <w:numPr>
                <w:ilvl w:val="0"/>
                <w:numId w:val="99"/>
              </w:numPr>
              <w:tabs>
                <w:tab w:pos="812" w:val="left" w:leader="none"/>
              </w:tabs>
              <w:spacing w:line="240" w:lineRule="auto" w:before="0" w:after="0"/>
              <w:ind w:left="280" w:right="105" w:hanging="141"/>
              <w:jc w:val="both"/>
              <w:rPr>
                <w:sz w:val="20"/>
              </w:rPr>
            </w:pPr>
            <w:r>
              <w:rPr>
                <w:sz w:val="20"/>
              </w:rPr>
              <w:t>Existe equidad en el reparto de los recursos de la</w:t>
            </w:r>
            <w:r>
              <w:rPr>
                <w:spacing w:val="-5"/>
                <w:sz w:val="20"/>
              </w:rPr>
              <w:t> </w:t>
            </w:r>
            <w:r>
              <w:rPr>
                <w:sz w:val="20"/>
              </w:rPr>
              <w:t>CHPH</w:t>
            </w:r>
          </w:p>
          <w:p>
            <w:pPr>
              <w:pStyle w:val="TableParagraph"/>
              <w:numPr>
                <w:ilvl w:val="0"/>
                <w:numId w:val="99"/>
              </w:numPr>
              <w:tabs>
                <w:tab w:pos="812" w:val="left" w:leader="none"/>
                <w:tab w:pos="2305" w:val="left" w:leader="none"/>
              </w:tabs>
              <w:spacing w:line="240" w:lineRule="auto" w:before="0" w:after="0"/>
              <w:ind w:left="280" w:right="104" w:hanging="141"/>
              <w:jc w:val="both"/>
              <w:rPr>
                <w:sz w:val="20"/>
              </w:rPr>
            </w:pPr>
            <w:r>
              <w:rPr>
                <w:sz w:val="20"/>
              </w:rPr>
              <w:t>Existe planeación económica</w:t>
              <w:tab/>
              <w:t>con articulación entre</w:t>
            </w:r>
            <w:r>
              <w:rPr>
                <w:spacing w:val="-11"/>
                <w:sz w:val="20"/>
              </w:rPr>
              <w:t> </w:t>
            </w:r>
            <w:r>
              <w:rPr>
                <w:sz w:val="20"/>
              </w:rPr>
              <w:t>actores</w:t>
            </w:r>
          </w:p>
        </w:tc>
        <w:tc>
          <w:tcPr>
            <w:tcW w:w="1493" w:type="dxa"/>
          </w:tcPr>
          <w:p>
            <w:pPr/>
          </w:p>
        </w:tc>
        <w:tc>
          <w:tcPr>
            <w:tcW w:w="2749" w:type="dxa"/>
            <w:vMerge w:val="restart"/>
          </w:tcPr>
          <w:p>
            <w:pPr/>
          </w:p>
        </w:tc>
        <w:tc>
          <w:tcPr>
            <w:tcW w:w="1550" w:type="dxa"/>
            <w:vMerge w:val="restart"/>
            <w:tcBorders>
              <w:right w:val="double" w:sz="12" w:space="0" w:color="000000"/>
            </w:tcBorders>
            <w:shd w:val="clear" w:color="auto" w:fill="FFFF00"/>
          </w:tcPr>
          <w:p>
            <w:pPr/>
          </w:p>
        </w:tc>
      </w:tr>
      <w:tr>
        <w:trPr>
          <w:trHeight w:val="1498"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166"/>
              <w:ind w:left="209" w:right="212"/>
              <w:jc w:val="center"/>
              <w:rPr>
                <w:sz w:val="20"/>
              </w:rPr>
            </w:pPr>
            <w:r>
              <w:rPr>
                <w:sz w:val="20"/>
              </w:rPr>
              <w:t>1910</w:t>
            </w:r>
          </w:p>
        </w:tc>
        <w:tc>
          <w:tcPr>
            <w:tcW w:w="1982" w:type="dxa"/>
            <w:vMerge/>
          </w:tcPr>
          <w:p>
            <w:pPr/>
          </w:p>
        </w:tc>
        <w:tc>
          <w:tcPr>
            <w:tcW w:w="1349" w:type="dxa"/>
            <w:vMerge w:val="restart"/>
          </w:tcPr>
          <w:p>
            <w:pPr>
              <w:pStyle w:val="TableParagraph"/>
              <w:spacing w:line="228" w:lineRule="exact"/>
              <w:rPr>
                <w:sz w:val="20"/>
              </w:rPr>
            </w:pPr>
            <w:r>
              <w:rPr>
                <w:sz w:val="20"/>
              </w:rPr>
              <w:t>Sociopolítico</w:t>
            </w:r>
          </w:p>
        </w:tc>
        <w:tc>
          <w:tcPr>
            <w:tcW w:w="2743" w:type="dxa"/>
            <w:vMerge w:val="restart"/>
          </w:tcPr>
          <w:p>
            <w:pPr>
              <w:pStyle w:val="TableParagraph"/>
              <w:ind w:left="280" w:right="104" w:hanging="178"/>
              <w:jc w:val="both"/>
              <w:rPr>
                <w:sz w:val="20"/>
              </w:rPr>
            </w:pPr>
            <w:r>
              <w:rPr>
                <w:rFonts w:ascii="Wingdings" w:hAnsi="Wingdings"/>
                <w:sz w:val="20"/>
              </w:rPr>
              <w:t></w:t>
            </w:r>
            <w:r>
              <w:rPr>
                <w:sz w:val="20"/>
              </w:rPr>
              <w:t>Favorece la solidaridad entre actores de la CHPH</w:t>
            </w:r>
          </w:p>
          <w:p>
            <w:pPr>
              <w:pStyle w:val="TableParagraph"/>
              <w:ind w:left="280" w:right="104" w:hanging="178"/>
              <w:jc w:val="both"/>
              <w:rPr>
                <w:sz w:val="20"/>
              </w:rPr>
            </w:pPr>
            <w:r>
              <w:rPr>
                <w:rFonts w:ascii="Wingdings" w:hAnsi="Wingdings"/>
                <w:spacing w:val="2"/>
                <w:sz w:val="20"/>
              </w:rPr>
              <w:t></w:t>
            </w:r>
            <w:r>
              <w:rPr>
                <w:spacing w:val="2"/>
                <w:sz w:val="20"/>
              </w:rPr>
              <w:t>Favorece </w:t>
            </w:r>
            <w:r>
              <w:rPr>
                <w:sz w:val="20"/>
              </w:rPr>
              <w:t>la organización sociopolítica de los actores de la</w:t>
            </w:r>
            <w:r>
              <w:rPr>
                <w:spacing w:val="-6"/>
                <w:sz w:val="20"/>
              </w:rPr>
              <w:t> </w:t>
            </w:r>
            <w:r>
              <w:rPr>
                <w:sz w:val="20"/>
              </w:rPr>
              <w:t>CHPH</w:t>
            </w:r>
          </w:p>
          <w:p>
            <w:pPr>
              <w:pStyle w:val="TableParagraph"/>
              <w:ind w:left="280" w:right="105" w:hanging="178"/>
              <w:jc w:val="both"/>
              <w:rPr>
                <w:sz w:val="20"/>
              </w:rPr>
            </w:pPr>
            <w:r>
              <w:rPr>
                <w:rFonts w:ascii="Wingdings" w:hAnsi="Wingdings"/>
                <w:sz w:val="20"/>
              </w:rPr>
              <w:t></w:t>
            </w:r>
            <w:r>
              <w:rPr>
                <w:sz w:val="20"/>
              </w:rPr>
              <w:t>Favorece la articulación entre actores para cuidar el medio ambiente</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tabs>
                <w:tab w:pos="2470" w:val="left" w:leader="none"/>
              </w:tabs>
              <w:rPr>
                <w:sz w:val="20"/>
              </w:rPr>
            </w:pPr>
            <w:r>
              <w:rPr>
                <w:rFonts w:ascii="Wingdings" w:hAnsi="Wingdings"/>
                <w:sz w:val="20"/>
              </w:rPr>
              <w:t></w:t>
            </w:r>
            <w:r>
              <w:rPr>
                <w:sz w:val="20"/>
              </w:rPr>
              <w:t>Fortalece</w:t>
              <w:tab/>
              <w:t>la</w:t>
            </w:r>
          </w:p>
          <w:p>
            <w:pPr>
              <w:pStyle w:val="TableParagraph"/>
              <w:spacing w:before="1"/>
              <w:ind w:left="280"/>
              <w:rPr>
                <w:sz w:val="20"/>
              </w:rPr>
            </w:pPr>
            <w:r>
              <w:rPr>
                <w:sz w:val="20"/>
              </w:rPr>
              <w:t>gobernabilidad</w:t>
            </w:r>
          </w:p>
          <w:p>
            <w:pPr>
              <w:pStyle w:val="TableParagraph"/>
              <w:tabs>
                <w:tab w:pos="1660" w:val="left" w:leader="none"/>
                <w:tab w:pos="2304"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93"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19"/>
              </w:rPr>
            </w:pPr>
          </w:p>
          <w:p>
            <w:pPr>
              <w:pStyle w:val="TableParagraph"/>
              <w:ind w:left="520" w:right="523"/>
              <w:jc w:val="center"/>
              <w:rPr>
                <w:sz w:val="20"/>
              </w:rPr>
            </w:pPr>
            <w:r>
              <w:rPr>
                <w:sz w:val="20"/>
              </w:rPr>
              <w:t>50%</w:t>
            </w:r>
          </w:p>
        </w:tc>
        <w:tc>
          <w:tcPr>
            <w:tcW w:w="2749" w:type="dxa"/>
            <w:vMerge/>
          </w:tcPr>
          <w:p>
            <w:pPr/>
          </w:p>
        </w:tc>
        <w:tc>
          <w:tcPr>
            <w:tcW w:w="1550" w:type="dxa"/>
            <w:vMerge/>
            <w:tcBorders>
              <w:right w:val="double" w:sz="12" w:space="0" w:color="000000"/>
            </w:tcBorders>
            <w:shd w:val="clear" w:color="auto" w:fill="FFFF00"/>
          </w:tcPr>
          <w:p>
            <w:pPr/>
          </w:p>
        </w:tc>
      </w:tr>
      <w:tr>
        <w:trPr>
          <w:trHeight w:val="1961"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69"/>
              <w:ind w:left="209" w:right="212"/>
              <w:jc w:val="center"/>
              <w:rPr>
                <w:sz w:val="20"/>
              </w:rPr>
            </w:pPr>
            <w:r>
              <w:rPr>
                <w:sz w:val="20"/>
              </w:rPr>
              <w:t>1940</w:t>
            </w:r>
          </w:p>
        </w:tc>
        <w:tc>
          <w:tcPr>
            <w:tcW w:w="1982" w:type="dxa"/>
            <w:vMerge/>
          </w:tcPr>
          <w:p>
            <w:pPr/>
          </w:p>
        </w:tc>
        <w:tc>
          <w:tcPr>
            <w:tcW w:w="1349" w:type="dxa"/>
            <w:vMerge/>
          </w:tcPr>
          <w:p>
            <w:pPr/>
          </w:p>
        </w:tc>
        <w:tc>
          <w:tcPr>
            <w:tcW w:w="2743" w:type="dxa"/>
            <w:vMerge/>
          </w:tcPr>
          <w:p>
            <w:pPr/>
          </w:p>
        </w:tc>
        <w:tc>
          <w:tcPr>
            <w:tcW w:w="1493" w:type="dxa"/>
            <w:vMerge/>
          </w:tcPr>
          <w:p>
            <w:pPr/>
          </w:p>
        </w:tc>
        <w:tc>
          <w:tcPr>
            <w:tcW w:w="2749" w:type="dxa"/>
            <w:vMerge/>
          </w:tcPr>
          <w:p>
            <w:pPr/>
          </w:p>
        </w:tc>
        <w:tc>
          <w:tcPr>
            <w:tcW w:w="1550" w:type="dxa"/>
            <w:vMerge/>
            <w:tcBorders>
              <w:right w:val="double" w:sz="12" w:space="0" w:color="000000"/>
            </w:tcBorders>
            <w:shd w:val="clear" w:color="auto" w:fill="FFFF00"/>
          </w:tcPr>
          <w:p>
            <w:pPr/>
          </w:p>
        </w:tc>
      </w:tr>
      <w:tr>
        <w:trPr>
          <w:trHeight w:val="3241" w:hRule="exact"/>
        </w:trPr>
        <w:tc>
          <w:tcPr>
            <w:tcW w:w="954" w:type="dxa"/>
            <w:tcBorders>
              <w:left w:val="double" w:sz="11" w:space="0" w:color="000000"/>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9"/>
              </w:rPr>
            </w:pPr>
          </w:p>
          <w:p>
            <w:pPr>
              <w:pStyle w:val="TableParagraph"/>
              <w:ind w:left="209" w:right="212"/>
              <w:jc w:val="center"/>
              <w:rPr>
                <w:sz w:val="20"/>
              </w:rPr>
            </w:pPr>
            <w:r>
              <w:rPr>
                <w:sz w:val="20"/>
              </w:rPr>
              <w:t>1982</w:t>
            </w:r>
          </w:p>
        </w:tc>
        <w:tc>
          <w:tcPr>
            <w:tcW w:w="1982" w:type="dxa"/>
            <w:tcBorders>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right="2"/>
              <w:jc w:val="center"/>
              <w:rPr>
                <w:b/>
                <w:sz w:val="20"/>
              </w:rPr>
            </w:pPr>
            <w:r>
              <w:rPr>
                <w:b/>
                <w:w w:val="99"/>
                <w:sz w:val="20"/>
              </w:rPr>
              <w:t>1</w:t>
            </w:r>
          </w:p>
        </w:tc>
        <w:tc>
          <w:tcPr>
            <w:tcW w:w="1349" w:type="dxa"/>
            <w:tcBorders>
              <w:bottom w:val="single" w:sz="8" w:space="0" w:color="000000"/>
            </w:tcBorders>
          </w:tcPr>
          <w:p>
            <w:pPr>
              <w:pStyle w:val="TableParagraph"/>
              <w:spacing w:line="227" w:lineRule="exact"/>
              <w:rPr>
                <w:sz w:val="20"/>
              </w:rPr>
            </w:pPr>
            <w:r>
              <w:rPr>
                <w:sz w:val="20"/>
              </w:rPr>
              <w:t>Ambiental</w:t>
            </w:r>
          </w:p>
        </w:tc>
        <w:tc>
          <w:tcPr>
            <w:tcW w:w="2743" w:type="dxa"/>
            <w:tcBorders>
              <w:bottom w:val="single" w:sz="8" w:space="0" w:color="000000"/>
            </w:tcBorders>
          </w:tcPr>
          <w:p>
            <w:pPr>
              <w:pStyle w:val="TableParagraph"/>
              <w:numPr>
                <w:ilvl w:val="0"/>
                <w:numId w:val="100"/>
              </w:numPr>
              <w:tabs>
                <w:tab w:pos="866" w:val="left" w:leader="none"/>
                <w:tab w:pos="867" w:val="left" w:leader="none"/>
              </w:tabs>
              <w:spacing w:line="240" w:lineRule="auto" w:before="0" w:after="0"/>
              <w:ind w:left="280" w:right="104" w:hanging="141"/>
              <w:jc w:val="both"/>
              <w:rPr>
                <w:sz w:val="20"/>
              </w:rPr>
            </w:pPr>
            <w:r>
              <w:rPr>
                <w:sz w:val="20"/>
              </w:rPr>
              <w:t>Existe conciencia sobre el cuidado del medio</w:t>
            </w:r>
            <w:r>
              <w:rPr>
                <w:spacing w:val="-5"/>
                <w:sz w:val="20"/>
              </w:rPr>
              <w:t> </w:t>
            </w:r>
            <w:r>
              <w:rPr>
                <w:sz w:val="20"/>
              </w:rPr>
              <w:t>ambiente</w:t>
            </w:r>
          </w:p>
          <w:p>
            <w:pPr>
              <w:pStyle w:val="TableParagraph"/>
              <w:numPr>
                <w:ilvl w:val="0"/>
                <w:numId w:val="100"/>
              </w:numPr>
              <w:tabs>
                <w:tab w:pos="812" w:val="left" w:leader="none"/>
              </w:tabs>
              <w:spacing w:line="240" w:lineRule="auto" w:before="0" w:after="0"/>
              <w:ind w:left="280" w:right="105" w:hanging="141"/>
              <w:jc w:val="both"/>
              <w:rPr>
                <w:sz w:val="20"/>
              </w:rPr>
            </w:pPr>
            <w:r>
              <w:rPr>
                <w:sz w:val="20"/>
              </w:rPr>
              <w:t>Existen valores ambientales que se trasmiten de generación en</w:t>
            </w:r>
            <w:r>
              <w:rPr>
                <w:spacing w:val="-5"/>
                <w:sz w:val="20"/>
              </w:rPr>
              <w:t> </w:t>
            </w:r>
            <w:r>
              <w:rPr>
                <w:sz w:val="20"/>
              </w:rPr>
              <w:t>generación</w:t>
            </w:r>
          </w:p>
          <w:p>
            <w:pPr>
              <w:pStyle w:val="TableParagraph"/>
              <w:numPr>
                <w:ilvl w:val="0"/>
                <w:numId w:val="100"/>
              </w:numPr>
              <w:tabs>
                <w:tab w:pos="812" w:val="left" w:leader="none"/>
              </w:tabs>
              <w:spacing w:line="240" w:lineRule="auto" w:before="1" w:after="0"/>
              <w:ind w:left="280" w:right="103" w:hanging="141"/>
              <w:jc w:val="both"/>
              <w:rPr>
                <w:sz w:val="20"/>
              </w:rPr>
            </w:pPr>
            <w:r>
              <w:rPr>
                <w:sz w:val="20"/>
              </w:rPr>
              <w:t>Existe un equilibrio entre la explotación de los recursos naturales y su regeneración</w:t>
            </w:r>
          </w:p>
          <w:p>
            <w:pPr>
              <w:pStyle w:val="TableParagraph"/>
              <w:numPr>
                <w:ilvl w:val="0"/>
                <w:numId w:val="100"/>
              </w:numPr>
              <w:tabs>
                <w:tab w:pos="812" w:val="left" w:leader="none"/>
              </w:tabs>
              <w:spacing w:line="240" w:lineRule="auto" w:before="0" w:after="0"/>
              <w:ind w:left="280" w:right="104" w:hanging="141"/>
              <w:jc w:val="both"/>
              <w:rPr>
                <w:sz w:val="20"/>
              </w:rPr>
            </w:pPr>
            <w:r>
              <w:rPr>
                <w:sz w:val="20"/>
              </w:rPr>
              <w:t>Existe planeación ambiental con articulación entre</w:t>
            </w:r>
            <w:r>
              <w:rPr>
                <w:spacing w:val="-5"/>
                <w:sz w:val="20"/>
              </w:rPr>
              <w:t> </w:t>
            </w:r>
            <w:r>
              <w:rPr>
                <w:sz w:val="20"/>
              </w:rPr>
              <w:t>actores</w:t>
            </w:r>
          </w:p>
        </w:tc>
        <w:tc>
          <w:tcPr>
            <w:tcW w:w="1493" w:type="dxa"/>
            <w:tcBorders>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29"/>
              </w:rPr>
            </w:pPr>
          </w:p>
          <w:p>
            <w:pPr>
              <w:pStyle w:val="TableParagraph"/>
              <w:spacing w:before="1"/>
              <w:ind w:left="482"/>
              <w:rPr>
                <w:sz w:val="20"/>
              </w:rPr>
            </w:pPr>
            <w:r>
              <w:rPr>
                <w:sz w:val="20"/>
              </w:rPr>
              <w:t>&lt;50%</w:t>
            </w:r>
          </w:p>
        </w:tc>
        <w:tc>
          <w:tcPr>
            <w:tcW w:w="2749" w:type="dxa"/>
            <w:tcBorders>
              <w:bottom w:val="single" w:sz="8" w:space="0" w:color="000000"/>
            </w:tcBorders>
          </w:tcPr>
          <w:p>
            <w:pPr>
              <w:pStyle w:val="TableParagraph"/>
              <w:ind w:right="102"/>
              <w:jc w:val="both"/>
              <w:rPr>
                <w:sz w:val="20"/>
              </w:rPr>
            </w:pPr>
            <w:r>
              <w:rPr>
                <w:sz w:val="20"/>
              </w:rPr>
              <w:t>No reúne ni el 50% en </w:t>
            </w:r>
            <w:r>
              <w:rPr>
                <w:b/>
                <w:sz w:val="20"/>
              </w:rPr>
              <w:t>ninguna </w:t>
            </w:r>
            <w:r>
              <w:rPr>
                <w:sz w:val="20"/>
              </w:rPr>
              <w:t>de las de impacto positivo</w:t>
            </w:r>
          </w:p>
        </w:tc>
        <w:tc>
          <w:tcPr>
            <w:tcW w:w="1550" w:type="dxa"/>
            <w:tcBorders>
              <w:bottom w:val="single" w:sz="8" w:space="0" w:color="000000"/>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273"/>
              <w:rPr>
                <w:b/>
                <w:sz w:val="20"/>
              </w:rPr>
            </w:pPr>
            <w:r>
              <w:rPr>
                <w:b/>
                <w:sz w:val="20"/>
              </w:rPr>
              <w:t>Deficiente</w:t>
            </w:r>
          </w:p>
        </w:tc>
      </w:tr>
    </w:tbl>
    <w:p>
      <w:pPr>
        <w:spacing w:after="0"/>
        <w:rPr>
          <w:sz w:val="20"/>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82"/>
        <w:gridCol w:w="1349"/>
        <w:gridCol w:w="2743"/>
        <w:gridCol w:w="1493"/>
        <w:gridCol w:w="2749"/>
        <w:gridCol w:w="1550"/>
      </w:tblGrid>
      <w:tr>
        <w:trPr>
          <w:trHeight w:val="3929"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26"/>
              <w:ind w:left="230"/>
              <w:rPr>
                <w:sz w:val="20"/>
              </w:rPr>
            </w:pPr>
            <w:r>
              <w:rPr>
                <w:sz w:val="20"/>
              </w:rPr>
              <w:t>2016</w:t>
            </w:r>
          </w:p>
        </w:tc>
        <w:tc>
          <w:tcPr>
            <w:tcW w:w="1982" w:type="dxa"/>
            <w:vMerge w:val="restart"/>
          </w:tcPr>
          <w:p>
            <w:pPr/>
          </w:p>
        </w:tc>
        <w:tc>
          <w:tcPr>
            <w:tcW w:w="1349" w:type="dxa"/>
          </w:tcPr>
          <w:p>
            <w:pPr>
              <w:pStyle w:val="TableParagraph"/>
              <w:spacing w:before="7"/>
              <w:ind w:left="80" w:right="222"/>
              <w:jc w:val="center"/>
              <w:rPr>
                <w:sz w:val="20"/>
              </w:rPr>
            </w:pPr>
            <w:r>
              <w:rPr>
                <w:sz w:val="20"/>
              </w:rPr>
              <w:t>Económico</w:t>
            </w:r>
          </w:p>
        </w:tc>
        <w:tc>
          <w:tcPr>
            <w:tcW w:w="2743" w:type="dxa"/>
          </w:tcPr>
          <w:p>
            <w:pPr>
              <w:pStyle w:val="TableParagraph"/>
              <w:numPr>
                <w:ilvl w:val="0"/>
                <w:numId w:val="101"/>
              </w:numPr>
              <w:tabs>
                <w:tab w:pos="812" w:val="left" w:leader="none"/>
              </w:tabs>
              <w:spacing w:line="240" w:lineRule="auto" w:before="7" w:after="0"/>
              <w:ind w:left="280" w:right="101" w:hanging="141"/>
              <w:jc w:val="both"/>
              <w:rPr>
                <w:sz w:val="20"/>
              </w:rPr>
            </w:pPr>
            <w:r>
              <w:rPr>
                <w:sz w:val="20"/>
              </w:rPr>
              <w:t>Existe gastronomía regional.</w:t>
            </w:r>
          </w:p>
          <w:p>
            <w:pPr>
              <w:pStyle w:val="TableParagraph"/>
              <w:numPr>
                <w:ilvl w:val="0"/>
                <w:numId w:val="101"/>
              </w:numPr>
              <w:tabs>
                <w:tab w:pos="812" w:val="left" w:leader="none"/>
                <w:tab w:pos="1981" w:val="left" w:leader="none"/>
              </w:tabs>
              <w:spacing w:line="240" w:lineRule="auto" w:before="0" w:after="0"/>
              <w:ind w:left="280" w:right="103" w:hanging="141"/>
              <w:jc w:val="both"/>
              <w:rPr>
                <w:sz w:val="20"/>
              </w:rPr>
            </w:pPr>
            <w:r>
              <w:rPr>
                <w:sz w:val="20"/>
              </w:rPr>
              <w:t>Existe</w:t>
              <w:tab/>
              <w:t>comida lacustre</w:t>
            </w:r>
          </w:p>
          <w:p>
            <w:pPr>
              <w:pStyle w:val="TableParagraph"/>
              <w:numPr>
                <w:ilvl w:val="0"/>
                <w:numId w:val="101"/>
              </w:numPr>
              <w:tabs>
                <w:tab w:pos="812" w:val="left" w:leader="none"/>
              </w:tabs>
              <w:spacing w:line="240" w:lineRule="auto" w:before="0" w:after="0"/>
              <w:ind w:left="280" w:right="102" w:hanging="141"/>
              <w:jc w:val="both"/>
              <w:rPr>
                <w:sz w:val="20"/>
              </w:rPr>
            </w:pPr>
            <w:r>
              <w:rPr>
                <w:sz w:val="20"/>
              </w:rPr>
              <w:t>Existen mercados regionales de comida lacustre</w:t>
            </w:r>
          </w:p>
          <w:p>
            <w:pPr>
              <w:pStyle w:val="TableParagraph"/>
              <w:numPr>
                <w:ilvl w:val="0"/>
                <w:numId w:val="101"/>
              </w:numPr>
              <w:tabs>
                <w:tab w:pos="812" w:val="left" w:leader="none"/>
                <w:tab w:pos="1893" w:val="left" w:leader="none"/>
              </w:tabs>
              <w:spacing w:line="240" w:lineRule="auto" w:before="0" w:after="0"/>
              <w:ind w:left="280" w:right="104" w:hanging="141"/>
              <w:jc w:val="both"/>
              <w:rPr>
                <w:sz w:val="20"/>
              </w:rPr>
            </w:pPr>
            <w:r>
              <w:rPr>
                <w:sz w:val="20"/>
              </w:rPr>
              <w:t>Se</w:t>
              <w:tab/>
              <w:t>generan empleos mediante la recolección de comida lacustre</w:t>
            </w:r>
          </w:p>
          <w:p>
            <w:pPr>
              <w:pStyle w:val="TableParagraph"/>
              <w:numPr>
                <w:ilvl w:val="0"/>
                <w:numId w:val="101"/>
              </w:numPr>
              <w:tabs>
                <w:tab w:pos="812" w:val="left" w:leader="none"/>
              </w:tabs>
              <w:spacing w:line="240" w:lineRule="auto" w:before="0" w:after="0"/>
              <w:ind w:left="280" w:right="105" w:hanging="141"/>
              <w:jc w:val="both"/>
              <w:rPr>
                <w:sz w:val="20"/>
              </w:rPr>
            </w:pPr>
            <w:r>
              <w:rPr>
                <w:sz w:val="20"/>
              </w:rPr>
              <w:t>Existe equidad en el reparto de los recursos de la</w:t>
            </w:r>
            <w:r>
              <w:rPr>
                <w:spacing w:val="-5"/>
                <w:sz w:val="20"/>
              </w:rPr>
              <w:t> </w:t>
            </w:r>
            <w:r>
              <w:rPr>
                <w:sz w:val="20"/>
              </w:rPr>
              <w:t>CHPH</w:t>
            </w:r>
          </w:p>
          <w:p>
            <w:pPr>
              <w:pStyle w:val="TableParagraph"/>
              <w:numPr>
                <w:ilvl w:val="0"/>
                <w:numId w:val="101"/>
              </w:numPr>
              <w:tabs>
                <w:tab w:pos="812" w:val="left" w:leader="none"/>
                <w:tab w:pos="2305" w:val="left" w:leader="none"/>
              </w:tabs>
              <w:spacing w:line="240" w:lineRule="auto" w:before="0" w:after="0"/>
              <w:ind w:left="280" w:right="104" w:hanging="141"/>
              <w:jc w:val="both"/>
              <w:rPr>
                <w:sz w:val="20"/>
              </w:rPr>
            </w:pPr>
            <w:r>
              <w:rPr>
                <w:sz w:val="20"/>
              </w:rPr>
              <w:t>Existe planeación económica</w:t>
              <w:tab/>
              <w:t>con articulación entre</w:t>
            </w:r>
            <w:r>
              <w:rPr>
                <w:spacing w:val="-11"/>
                <w:sz w:val="20"/>
              </w:rPr>
              <w:t> </w:t>
            </w:r>
            <w:r>
              <w:rPr>
                <w:sz w:val="20"/>
              </w:rPr>
              <w:t>actores</w:t>
            </w:r>
          </w:p>
        </w:tc>
        <w:tc>
          <w:tcPr>
            <w:tcW w:w="1493" w:type="dxa"/>
          </w:tcPr>
          <w:p>
            <w:pPr/>
          </w:p>
        </w:tc>
        <w:tc>
          <w:tcPr>
            <w:tcW w:w="2749" w:type="dxa"/>
            <w:vMerge w:val="restart"/>
          </w:tcPr>
          <w:p>
            <w:pPr/>
          </w:p>
        </w:tc>
        <w:tc>
          <w:tcPr>
            <w:tcW w:w="1550" w:type="dxa"/>
            <w:vMerge w:val="restart"/>
            <w:tcBorders>
              <w:right w:val="double" w:sz="12" w:space="0" w:color="000000"/>
            </w:tcBorders>
            <w:shd w:val="clear" w:color="auto" w:fill="FF0000"/>
          </w:tcPr>
          <w:p>
            <w:pPr/>
          </w:p>
        </w:tc>
      </w:tr>
      <w:tr>
        <w:trPr>
          <w:trHeight w:val="3462" w:hRule="exact"/>
        </w:trPr>
        <w:tc>
          <w:tcPr>
            <w:tcW w:w="954" w:type="dxa"/>
            <w:vMerge/>
            <w:tcBorders>
              <w:left w:val="double" w:sz="11" w:space="0" w:color="000000"/>
            </w:tcBorders>
          </w:tcPr>
          <w:p>
            <w:pPr/>
          </w:p>
        </w:tc>
        <w:tc>
          <w:tcPr>
            <w:tcW w:w="1982" w:type="dxa"/>
            <w:vMerge/>
          </w:tcPr>
          <w:p>
            <w:pPr/>
          </w:p>
        </w:tc>
        <w:tc>
          <w:tcPr>
            <w:tcW w:w="1349" w:type="dxa"/>
          </w:tcPr>
          <w:p>
            <w:pPr>
              <w:pStyle w:val="TableParagraph"/>
              <w:spacing w:line="227" w:lineRule="exact"/>
              <w:ind w:left="80" w:right="81"/>
              <w:jc w:val="center"/>
              <w:rPr>
                <w:sz w:val="20"/>
              </w:rPr>
            </w:pPr>
            <w:r>
              <w:rPr>
                <w:sz w:val="20"/>
              </w:rPr>
              <w:t>Sociopolítico</w:t>
            </w:r>
          </w:p>
        </w:tc>
        <w:tc>
          <w:tcPr>
            <w:tcW w:w="2743" w:type="dxa"/>
          </w:tcPr>
          <w:p>
            <w:pPr>
              <w:pStyle w:val="TableParagraph"/>
              <w:ind w:left="280" w:right="104" w:hanging="178"/>
              <w:jc w:val="both"/>
              <w:rPr>
                <w:sz w:val="20"/>
              </w:rPr>
            </w:pPr>
            <w:r>
              <w:rPr>
                <w:rFonts w:ascii="Wingdings" w:hAnsi="Wingdings"/>
                <w:sz w:val="20"/>
              </w:rPr>
              <w:t></w:t>
            </w:r>
            <w:r>
              <w:rPr>
                <w:sz w:val="20"/>
              </w:rPr>
              <w:t>Favorece la solidaridad entre actores de la CHPH</w:t>
            </w:r>
          </w:p>
          <w:p>
            <w:pPr>
              <w:pStyle w:val="TableParagraph"/>
              <w:ind w:left="280" w:right="104" w:hanging="178"/>
              <w:jc w:val="both"/>
              <w:rPr>
                <w:sz w:val="20"/>
              </w:rPr>
            </w:pPr>
            <w:r>
              <w:rPr>
                <w:rFonts w:ascii="Wingdings" w:hAnsi="Wingdings"/>
                <w:spacing w:val="2"/>
                <w:sz w:val="20"/>
              </w:rPr>
              <w:t></w:t>
            </w:r>
            <w:r>
              <w:rPr>
                <w:spacing w:val="2"/>
                <w:sz w:val="20"/>
              </w:rPr>
              <w:t>Favorece </w:t>
            </w:r>
            <w:r>
              <w:rPr>
                <w:sz w:val="20"/>
              </w:rPr>
              <w:t>la organización sociopolítica de los actores de la</w:t>
            </w:r>
            <w:r>
              <w:rPr>
                <w:spacing w:val="-6"/>
                <w:sz w:val="20"/>
              </w:rPr>
              <w:t> </w:t>
            </w:r>
            <w:r>
              <w:rPr>
                <w:sz w:val="20"/>
              </w:rPr>
              <w:t>CHPH</w:t>
            </w:r>
          </w:p>
          <w:p>
            <w:pPr>
              <w:pStyle w:val="TableParagraph"/>
              <w:ind w:left="280" w:right="105" w:hanging="178"/>
              <w:jc w:val="both"/>
              <w:rPr>
                <w:sz w:val="20"/>
              </w:rPr>
            </w:pPr>
            <w:r>
              <w:rPr>
                <w:rFonts w:ascii="Wingdings" w:hAnsi="Wingdings"/>
                <w:sz w:val="20"/>
              </w:rPr>
              <w:t></w:t>
            </w:r>
            <w:r>
              <w:rPr>
                <w:sz w:val="20"/>
              </w:rPr>
              <w:t>Favorece la articulación entre actores para cuidar el medio ambiente</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tabs>
                <w:tab w:pos="2470" w:val="left" w:leader="none"/>
              </w:tabs>
              <w:spacing w:line="229" w:lineRule="exact"/>
              <w:rPr>
                <w:sz w:val="20"/>
              </w:rPr>
            </w:pPr>
            <w:r>
              <w:rPr>
                <w:rFonts w:ascii="Wingdings" w:hAnsi="Wingdings"/>
                <w:sz w:val="20"/>
              </w:rPr>
              <w:t></w:t>
            </w:r>
            <w:r>
              <w:rPr>
                <w:sz w:val="20"/>
              </w:rPr>
              <w:t>Fortalece</w:t>
              <w:tab/>
              <w:t>la</w:t>
            </w:r>
          </w:p>
          <w:p>
            <w:pPr>
              <w:pStyle w:val="TableParagraph"/>
              <w:spacing w:line="229" w:lineRule="exact"/>
              <w:ind w:left="280"/>
              <w:rPr>
                <w:sz w:val="20"/>
              </w:rPr>
            </w:pPr>
            <w:r>
              <w:rPr>
                <w:sz w:val="20"/>
              </w:rPr>
              <w:t>gobernabilidad</w:t>
            </w:r>
          </w:p>
          <w:p>
            <w:pPr>
              <w:pStyle w:val="TableParagraph"/>
              <w:tabs>
                <w:tab w:pos="1660" w:val="left" w:leader="none"/>
                <w:tab w:pos="2304"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93" w:type="dxa"/>
          </w:tcPr>
          <w:p>
            <w:pPr/>
          </w:p>
        </w:tc>
        <w:tc>
          <w:tcPr>
            <w:tcW w:w="2749" w:type="dxa"/>
            <w:vMerge/>
          </w:tcPr>
          <w:p>
            <w:pPr/>
          </w:p>
        </w:tc>
        <w:tc>
          <w:tcPr>
            <w:tcW w:w="1550" w:type="dxa"/>
            <w:vMerge/>
            <w:tcBorders>
              <w:right w:val="double" w:sz="12" w:space="0" w:color="000000"/>
            </w:tcBorders>
            <w:shd w:val="clear" w:color="auto" w:fill="FF0000"/>
          </w:tcPr>
          <w:p>
            <w:pPr/>
          </w:p>
        </w:tc>
      </w:tr>
      <w:tr>
        <w:trPr>
          <w:trHeight w:val="1274" w:hRule="exact"/>
        </w:trPr>
        <w:tc>
          <w:tcPr>
            <w:tcW w:w="12822" w:type="dxa"/>
            <w:gridSpan w:val="7"/>
          </w:tcPr>
          <w:p>
            <w:pPr>
              <w:pStyle w:val="TableParagraph"/>
              <w:spacing w:line="248" w:lineRule="exact"/>
              <w:ind w:left="2026" w:right="2026"/>
              <w:jc w:val="center"/>
              <w:rPr>
                <w:sz w:val="22"/>
              </w:rPr>
            </w:pPr>
            <w:r>
              <w:rPr>
                <w:b/>
                <w:sz w:val="22"/>
              </w:rPr>
              <w:t>Fuente: </w:t>
            </w:r>
            <w:r>
              <w:rPr>
                <w:sz w:val="22"/>
              </w:rPr>
              <w:t>elaboración propia con base en trabajo de campo y gabinete García, 2013-2015.</w:t>
            </w:r>
          </w:p>
          <w:p>
            <w:pPr>
              <w:pStyle w:val="TableParagraph"/>
              <w:ind w:left="0"/>
              <w:rPr>
                <w:rFonts w:ascii="Times New Roman"/>
                <w:sz w:val="22"/>
              </w:rPr>
            </w:pPr>
          </w:p>
          <w:p>
            <w:pPr>
              <w:pStyle w:val="TableParagraph"/>
              <w:ind w:left="27" w:right="57"/>
              <w:rPr>
                <w:b/>
                <w:sz w:val="22"/>
              </w:rPr>
            </w:pPr>
            <w:r>
              <w:rPr>
                <w:b/>
                <w:sz w:val="22"/>
              </w:rPr>
              <w:t>Interpretación de la anterior gráfica y de la tarjeta de valoración:</w:t>
            </w:r>
          </w:p>
          <w:p>
            <w:pPr>
              <w:pStyle w:val="TableParagraph"/>
              <w:spacing w:before="1"/>
              <w:ind w:left="27" w:right="57"/>
              <w:rPr>
                <w:sz w:val="22"/>
              </w:rPr>
            </w:pPr>
            <w:r>
              <w:rPr>
                <w:sz w:val="22"/>
              </w:rPr>
              <w:t>En la gráfica y la tabla anteriores, pudo detectarse que la pérdida de técnicas y valores para cuidar y manejar el medio ambiente, han sido la consecuencia de una serie de problemas que señalaron los actores entrevistados en la CHPH, donde destaca el</w:t>
            </w:r>
          </w:p>
        </w:tc>
      </w:tr>
    </w:tbl>
    <w:p>
      <w:pPr>
        <w:spacing w:after="0"/>
        <w:rPr>
          <w:sz w:val="22"/>
        </w:rPr>
        <w:sectPr>
          <w:footerReference w:type="default" r:id="rId313"/>
          <w:pgSz w:w="15840" w:h="12240" w:orient="landscape"/>
          <w:pgMar w:footer="943" w:header="0" w:top="1140" w:bottom="1140" w:left="1200" w:right="1300"/>
          <w:pgNumType w:start="570"/>
        </w:sectPr>
      </w:pPr>
    </w:p>
    <w:p>
      <w:pPr>
        <w:pStyle w:val="BodyText"/>
        <w:rPr>
          <w:rFonts w:ascii="Times New Roman"/>
          <w:sz w:val="20"/>
        </w:rPr>
      </w:pPr>
      <w:r>
        <w:rPr/>
        <w:pict>
          <v:group style="position:absolute;margin-left:65.269997pt;margin-top:84.849998pt;width:645.4pt;height:431.75pt;mso-position-horizontal-relative:page;mso-position-vertical-relative:page;z-index:-3330856" coordorigin="1305,1697" coordsize="12908,8635">
            <v:line style="position:absolute" from="1315,1707" to="14203,1707" stroked="true" strokeweight=".48pt" strokecolor="#000000"/>
            <v:line style="position:absolute" from="1310,1702" to="1310,10327" stroked="true" strokeweight=".48pt" strokecolor="#000000"/>
            <v:line style="position:absolute" from="1315,10322" to="14203,10322" stroked="true" strokeweight=".47998pt" strokecolor="#000000"/>
            <v:line style="position:absolute" from="14208,1702" to="14208,10327" stroked="true" strokeweight=".48004pt" strokecolor="#000000"/>
            <v:shape style="position:absolute;left:4901;top:5081;width:4276;height:2420" type="#_x0000_t75" stroked="false">
              <v:imagedata r:id="rId314" o:title=""/>
            </v:shape>
            <v:shape style="position:absolute;left:4873;top:5459;width:3818;height:2075" coordorigin="4873,5459" coordsize="3818,2075" path="m4937,7470l4873,7470m4937,7068l4873,7068m4937,6665l4873,6665m4937,6264l4873,6264m4937,5861l4873,5861m4937,5459l4873,5459m4937,7470l4937,7534m6187,7470l6187,7534m7440,7470l7440,7534m8691,7470l8691,7534e" filled="false" stroked="true" strokeweight=".75pt" strokecolor="#858585">
              <v:path arrowok="t"/>
            </v:shape>
            <v:rect style="position:absolute;left:9621;top:6500;width:110;height:110" filled="true" fillcolor="#4f81bc" stroked="false">
              <v:fill type="solid"/>
            </v:rect>
            <v:rect style="position:absolute;left:4262;top:4241;width:6946;height:4008" filled="false" stroked="true" strokeweight=".75pt" strokecolor="#000000"/>
            <w10:wrap type="none"/>
          </v:group>
        </w:pict>
      </w:r>
    </w:p>
    <w:p>
      <w:pPr>
        <w:pStyle w:val="BodyText"/>
        <w:spacing w:before="2"/>
        <w:rPr>
          <w:rFonts w:ascii="Times New Roman"/>
          <w:sz w:val="23"/>
        </w:rPr>
      </w:pPr>
    </w:p>
    <w:p>
      <w:pPr>
        <w:pStyle w:val="BodyText"/>
        <w:spacing w:before="72"/>
        <w:ind w:left="180" w:right="397"/>
      </w:pPr>
      <w:r>
        <w:rPr/>
        <w:t>problema de la contaminación como principal efecto de dicha pérdida. Por tal motivo esta causa-efecto puede considerarse en la actualidad como deficiente, lo cual conlleva a la toma de acuerdos entre los actores históricos para disminuir el daño que se ha ocasionado en la cuenca a través del tiempo por el descuido de dichos actores y por la intervención de actores ajenos a la región. Es por ello que los actores entrevistados muestran su preocupación a través del señalamiento de los principales problemas que tiene la CHPH. En la gráfica se puede detectar que de los 77 actores entrevistados, 70, es decir un 90%, consideran como principal problema la contaminación en la laguna de Huapango, quienes están distribuidos de la siguiente forma: 43 de 47 actores históricos, 25 de 27 actores municipales y 2 de 3 actores federales</w:t>
      </w:r>
    </w:p>
    <w:p>
      <w:pPr>
        <w:pStyle w:val="BodyText"/>
        <w:rPr>
          <w:sz w:val="20"/>
        </w:rPr>
      </w:pPr>
    </w:p>
    <w:p>
      <w:pPr>
        <w:pStyle w:val="BodyText"/>
        <w:rPr>
          <w:sz w:val="20"/>
        </w:rPr>
      </w:pPr>
    </w:p>
    <w:p>
      <w:pPr>
        <w:pStyle w:val="BodyText"/>
        <w:rPr>
          <w:sz w:val="20"/>
        </w:rPr>
      </w:pPr>
    </w:p>
    <w:p>
      <w:pPr>
        <w:pStyle w:val="BodyText"/>
        <w:spacing w:before="7"/>
        <w:rPr>
          <w:sz w:val="23"/>
        </w:rPr>
      </w:pPr>
      <w:r>
        <w:rPr/>
        <w:pict>
          <v:shape style="position:absolute;margin-left:330.309998pt;margin-top:14.79188pt;width:112.85pt;height:18pt;mso-position-horizontal-relative:page;mso-position-vertical-relative:paragraph;z-index:12448;mso-wrap-distance-left:0;mso-wrap-distance-right:0" type="#_x0000_t202" filled="false" stroked="false">
            <v:textbox inset="0,0,0,0">
              <w:txbxContent>
                <w:p>
                  <w:pPr>
                    <w:spacing w:line="360" w:lineRule="exact" w:before="0"/>
                    <w:ind w:left="0" w:right="-8" w:firstLine="0"/>
                    <w:jc w:val="left"/>
                    <w:rPr>
                      <w:rFonts w:ascii="Calibri" w:hAnsi="Calibri"/>
                      <w:b/>
                      <w:sz w:val="36"/>
                    </w:rPr>
                  </w:pPr>
                  <w:r>
                    <w:rPr>
                      <w:rFonts w:ascii="Calibri" w:hAnsi="Calibri"/>
                      <w:b/>
                      <w:spacing w:val="-1"/>
                      <w:sz w:val="36"/>
                    </w:rPr>
                    <w:t>Contaminación</w:t>
                  </w:r>
                </w:p>
              </w:txbxContent>
            </v:textbox>
            <w10:wrap type="topAndBottom"/>
          </v:shape>
        </w:pict>
      </w:r>
    </w:p>
    <w:p>
      <w:pPr>
        <w:pStyle w:val="BodyText"/>
        <w:rPr>
          <w:sz w:val="20"/>
        </w:rPr>
      </w:pPr>
    </w:p>
    <w:p>
      <w:pPr>
        <w:pStyle w:val="BodyText"/>
        <w:spacing w:before="8"/>
        <w:rPr>
          <w:sz w:val="24"/>
        </w:rPr>
      </w:pPr>
      <w:r>
        <w:rPr/>
        <w:pict>
          <v:shape style="position:absolute;margin-left:227.419998pt;margin-top:15.400976pt;width:10.15pt;height:110.55pt;mso-position-horizontal-relative:page;mso-position-vertical-relative:paragraph;z-index:12472;mso-wrap-distance-left:0;mso-wrap-distance-right:0" type="#_x0000_t202" filled="false" stroked="false">
            <v:textbox inset="0,0,0,0">
              <w:txbxContent>
                <w:p>
                  <w:pPr>
                    <w:spacing w:line="203" w:lineRule="exact" w:before="0"/>
                    <w:ind w:left="0" w:right="0" w:firstLine="0"/>
                    <w:jc w:val="center"/>
                    <w:rPr>
                      <w:rFonts w:ascii="Calibri"/>
                      <w:sz w:val="20"/>
                    </w:rPr>
                  </w:pPr>
                  <w:r>
                    <w:rPr>
                      <w:rFonts w:ascii="Calibri"/>
                      <w:sz w:val="20"/>
                    </w:rPr>
                    <w:t>50</w:t>
                  </w:r>
                </w:p>
                <w:p>
                  <w:pPr>
                    <w:spacing w:before="158"/>
                    <w:ind w:left="-1" w:right="0" w:firstLine="0"/>
                    <w:jc w:val="center"/>
                    <w:rPr>
                      <w:rFonts w:ascii="Calibri"/>
                      <w:sz w:val="20"/>
                    </w:rPr>
                  </w:pPr>
                  <w:r>
                    <w:rPr>
                      <w:rFonts w:ascii="Calibri"/>
                      <w:spacing w:val="-1"/>
                      <w:sz w:val="20"/>
                    </w:rPr>
                    <w:t>40</w:t>
                  </w:r>
                </w:p>
                <w:p>
                  <w:pPr>
                    <w:spacing w:before="158"/>
                    <w:ind w:left="0" w:right="0" w:firstLine="0"/>
                    <w:jc w:val="center"/>
                    <w:rPr>
                      <w:rFonts w:ascii="Calibri"/>
                      <w:sz w:val="20"/>
                    </w:rPr>
                  </w:pPr>
                  <w:r>
                    <w:rPr>
                      <w:rFonts w:ascii="Calibri"/>
                      <w:sz w:val="20"/>
                    </w:rPr>
                    <w:t>30</w:t>
                  </w:r>
                </w:p>
                <w:p>
                  <w:pPr>
                    <w:spacing w:before="158"/>
                    <w:ind w:left="0" w:right="0" w:firstLine="0"/>
                    <w:jc w:val="center"/>
                    <w:rPr>
                      <w:rFonts w:ascii="Calibri"/>
                      <w:sz w:val="20"/>
                    </w:rPr>
                  </w:pPr>
                  <w:r>
                    <w:rPr>
                      <w:rFonts w:ascii="Calibri"/>
                      <w:sz w:val="20"/>
                    </w:rPr>
                    <w:t>20</w:t>
                  </w:r>
                </w:p>
                <w:p>
                  <w:pPr>
                    <w:spacing w:before="158"/>
                    <w:ind w:left="0" w:right="0" w:firstLine="0"/>
                    <w:jc w:val="center"/>
                    <w:rPr>
                      <w:rFonts w:ascii="Calibri"/>
                      <w:sz w:val="20"/>
                    </w:rPr>
                  </w:pPr>
                  <w:r>
                    <w:rPr>
                      <w:rFonts w:ascii="Calibri"/>
                      <w:sz w:val="20"/>
                    </w:rPr>
                    <w:t>10</w:t>
                  </w:r>
                </w:p>
                <w:p>
                  <w:pPr>
                    <w:spacing w:line="240" w:lineRule="exact" w:before="158"/>
                    <w:ind w:left="101" w:right="0" w:firstLine="0"/>
                    <w:jc w:val="center"/>
                    <w:rPr>
                      <w:rFonts w:ascii="Calibri"/>
                      <w:sz w:val="20"/>
                    </w:rPr>
                  </w:pPr>
                  <w:r>
                    <w:rPr>
                      <w:rFonts w:ascii="Calibri"/>
                      <w:w w:val="99"/>
                      <w:sz w:val="20"/>
                    </w:rPr>
                    <w:t>0</w:t>
                  </w:r>
                </w:p>
              </w:txbxContent>
            </v:textbox>
            <w10:wrap type="topAndBottom"/>
          </v:shape>
        </w:pict>
      </w:r>
      <w:r>
        <w:rPr/>
        <w:pict>
          <v:shape style="position:absolute;margin-left:279.480011pt;margin-top:61.360977pt;width:10.1pt;height:10pt;mso-position-horizontal-relative:page;mso-position-vertical-relative:paragraph;z-index:12496;mso-wrap-distance-left:0;mso-wrap-distance-right: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topAndBottom"/>
          </v:shape>
        </w:pict>
      </w:r>
      <w:r>
        <w:rPr/>
        <w:pict>
          <v:shape style="position:absolute;margin-left:488.950012pt;margin-top:69.660980pt;width:61.35pt;height:10pt;mso-position-horizontal-relative:page;mso-position-vertical-relative:paragraph;z-index:12520;mso-wrap-distance-left:0;mso-wrap-distance-right: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Contaminación</w:t>
                  </w:r>
                </w:p>
              </w:txbxContent>
            </v:textbox>
            <w10:wrap type="topAndBottom"/>
          </v:shape>
        </w:pict>
      </w:r>
    </w:p>
    <w:p>
      <w:pPr>
        <w:pStyle w:val="BodyText"/>
        <w:rPr>
          <w:sz w:val="3"/>
        </w:rPr>
      </w:pPr>
    </w:p>
    <w:p>
      <w:pPr>
        <w:pStyle w:val="BodyText"/>
        <w:ind w:left="3960"/>
        <w:rPr>
          <w:sz w:val="20"/>
        </w:rPr>
      </w:pPr>
      <w:r>
        <w:rPr>
          <w:sz w:val="20"/>
        </w:rPr>
        <w:pict>
          <v:shape style="width:164.95pt;height:22.2pt;mso-position-horizontal-relative:char;mso-position-vertical-relative:line" type="#_x0000_t202" filled="false" stroked="false">
            <w10:anchorlock/>
            <v:textbox inset="0,0,0,0">
              <w:txbxContent>
                <w:p>
                  <w:pPr>
                    <w:tabs>
                      <w:tab w:pos="1344" w:val="left" w:leader="none"/>
                      <w:tab w:pos="2595" w:val="left" w:leader="none"/>
                    </w:tabs>
                    <w:spacing w:line="203" w:lineRule="exact" w:before="0"/>
                    <w:ind w:left="0" w:right="0" w:firstLine="92"/>
                    <w:jc w:val="left"/>
                    <w:rPr>
                      <w:rFonts w:ascii="Calibri"/>
                      <w:sz w:val="20"/>
                    </w:rPr>
                  </w:pPr>
                  <w:r>
                    <w:rPr>
                      <w:rFonts w:ascii="Calibri"/>
                      <w:sz w:val="20"/>
                    </w:rPr>
                    <w:t>Actores</w:t>
                    <w:tab/>
                    <w:t>Actores</w:t>
                    <w:tab/>
                    <w:t>Actores</w:t>
                  </w:r>
                </w:p>
                <w:p>
                  <w:pPr>
                    <w:tabs>
                      <w:tab w:pos="1163" w:val="left" w:leader="none"/>
                      <w:tab w:pos="2513" w:val="left" w:leader="none"/>
                    </w:tabs>
                    <w:spacing w:line="240" w:lineRule="exact" w:before="0"/>
                    <w:ind w:left="0" w:right="0" w:firstLine="0"/>
                    <w:jc w:val="left"/>
                    <w:rPr>
                      <w:rFonts w:ascii="Calibri" w:hAnsi="Calibri"/>
                      <w:sz w:val="20"/>
                    </w:rPr>
                  </w:pPr>
                  <w:r>
                    <w:rPr>
                      <w:rFonts w:ascii="Calibri" w:hAnsi="Calibri"/>
                      <w:sz w:val="20"/>
                    </w:rPr>
                    <w:t>Históricos</w:t>
                    <w:tab/>
                    <w:t>Municiaples</w:t>
                    <w:tab/>
                  </w:r>
                  <w:r>
                    <w:rPr>
                      <w:rFonts w:ascii="Calibri" w:hAnsi="Calibri"/>
                      <w:w w:val="95"/>
                      <w:sz w:val="20"/>
                    </w:rPr>
                    <w:t>Federales</w:t>
                  </w:r>
                </w:p>
              </w:txbxContent>
            </v:textbox>
          </v:shape>
        </w:pict>
      </w:r>
      <w:r>
        <w:rPr>
          <w:sz w:val="20"/>
        </w:rPr>
      </w:r>
    </w:p>
    <w:p>
      <w:pPr>
        <w:pStyle w:val="BodyText"/>
        <w:spacing w:before="8"/>
        <w:rPr>
          <w:sz w:val="17"/>
        </w:rPr>
      </w:pPr>
    </w:p>
    <w:p>
      <w:pPr>
        <w:pStyle w:val="BodyText"/>
        <w:ind w:left="1546" w:right="397"/>
      </w:pPr>
      <w:r>
        <w:rPr/>
        <w:pict>
          <v:shape style="position:absolute;margin-left:342.070007pt;margin-top:-68.842133pt;width:10.1pt;height:10pt;mso-position-horizontal-relative:page;mso-position-vertical-relative:paragraph;z-index:12592"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w:pict>
      </w:r>
      <w:r>
        <w:rPr/>
        <w:pict>
          <v:shape style="position:absolute;margin-left:412.01001pt;margin-top:-64.322136pt;width:5.05pt;height:10pt;mso-position-horizontal-relative:page;mso-position-vertical-relative:paragraph;z-index:12616"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w:pict>
      </w:r>
      <w:r>
        <w:rPr>
          <w:b/>
        </w:rPr>
        <w:t>Fuente: </w:t>
      </w:r>
      <w:r>
        <w:rPr/>
        <w:t>Elaboración propia con base en los datos obtenidos en trabajo de campo García (2013-2015).</w:t>
      </w:r>
    </w:p>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01"/>
        <w:gridCol w:w="1906"/>
        <w:gridCol w:w="7189"/>
        <w:gridCol w:w="1901"/>
      </w:tblGrid>
      <w:tr>
        <w:trPr>
          <w:trHeight w:val="895" w:hRule="exact"/>
        </w:trPr>
        <w:tc>
          <w:tcPr>
            <w:tcW w:w="12897" w:type="dxa"/>
            <w:gridSpan w:val="4"/>
            <w:tcBorders>
              <w:bottom w:val="nil"/>
            </w:tcBorders>
          </w:tcPr>
          <w:p>
            <w:pPr>
              <w:pStyle w:val="TableParagraph"/>
              <w:ind w:left="0"/>
              <w:rPr>
                <w:rFonts w:ascii="Times New Roman"/>
                <w:sz w:val="22"/>
              </w:rPr>
            </w:pPr>
          </w:p>
          <w:p>
            <w:pPr>
              <w:pStyle w:val="TableParagraph"/>
              <w:spacing w:before="9"/>
              <w:ind w:left="0"/>
              <w:rPr>
                <w:rFonts w:ascii="Times New Roman"/>
                <w:sz w:val="21"/>
              </w:rPr>
            </w:pPr>
          </w:p>
          <w:p>
            <w:pPr>
              <w:pStyle w:val="TableParagraph"/>
              <w:ind w:left="64" w:right="163"/>
              <w:rPr>
                <w:sz w:val="22"/>
              </w:rPr>
            </w:pPr>
            <w:r>
              <w:rPr>
                <w:sz w:val="22"/>
              </w:rPr>
              <w:t>Otros problemas señalados en la CHPH por los grupos de actores se enlistan en la siguiente tabla:</w:t>
            </w:r>
          </w:p>
        </w:tc>
      </w:tr>
      <w:tr>
        <w:trPr>
          <w:trHeight w:val="355" w:hRule="exact"/>
        </w:trPr>
        <w:tc>
          <w:tcPr>
            <w:tcW w:w="1901" w:type="dxa"/>
            <w:vMerge w:val="restart"/>
            <w:tcBorders>
              <w:top w:val="nil"/>
              <w:right w:val="single" w:sz="40" w:space="0" w:color="A6A6A6"/>
            </w:tcBorders>
          </w:tcPr>
          <w:p>
            <w:pPr/>
          </w:p>
        </w:tc>
        <w:tc>
          <w:tcPr>
            <w:tcW w:w="1906" w:type="dxa"/>
            <w:shd w:val="clear" w:color="auto" w:fill="A6A6A6"/>
          </w:tcPr>
          <w:p>
            <w:pPr>
              <w:pStyle w:val="TableParagraph"/>
              <w:spacing w:line="225" w:lineRule="exact"/>
              <w:ind w:left="100"/>
              <w:rPr>
                <w:b/>
                <w:sz w:val="20"/>
              </w:rPr>
            </w:pPr>
            <w:r>
              <w:rPr>
                <w:b/>
                <w:sz w:val="20"/>
              </w:rPr>
              <w:t>Grupo de Actores</w:t>
            </w:r>
          </w:p>
        </w:tc>
        <w:tc>
          <w:tcPr>
            <w:tcW w:w="7189" w:type="dxa"/>
            <w:shd w:val="clear" w:color="auto" w:fill="A6A6A6"/>
          </w:tcPr>
          <w:p>
            <w:pPr>
              <w:pStyle w:val="TableParagraph"/>
              <w:spacing w:line="225" w:lineRule="exact"/>
              <w:ind w:left="3057" w:right="3059"/>
              <w:jc w:val="center"/>
              <w:rPr>
                <w:b/>
                <w:sz w:val="20"/>
              </w:rPr>
            </w:pPr>
            <w:r>
              <w:rPr>
                <w:b/>
                <w:sz w:val="20"/>
              </w:rPr>
              <w:t>Problemas</w:t>
            </w:r>
          </w:p>
        </w:tc>
        <w:tc>
          <w:tcPr>
            <w:tcW w:w="1901" w:type="dxa"/>
            <w:vMerge w:val="restart"/>
            <w:tcBorders>
              <w:top w:val="nil"/>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val="restart"/>
            <w:textDirection w:val="btLr"/>
          </w:tcPr>
          <w:p>
            <w:pPr>
              <w:pStyle w:val="TableParagraph"/>
              <w:spacing w:before="103"/>
              <w:ind w:left="1083" w:right="1086"/>
              <w:jc w:val="center"/>
              <w:rPr>
                <w:b/>
                <w:sz w:val="20"/>
              </w:rPr>
            </w:pPr>
            <w:r>
              <w:rPr>
                <w:b/>
                <w:w w:val="99"/>
                <w:sz w:val="20"/>
              </w:rPr>
              <w:t>Hist</w:t>
            </w:r>
            <w:r>
              <w:rPr>
                <w:b/>
                <w:spacing w:val="1"/>
                <w:w w:val="99"/>
                <w:sz w:val="20"/>
              </w:rPr>
              <w:t>ó</w:t>
            </w:r>
            <w:r>
              <w:rPr>
                <w:b/>
                <w:spacing w:val="-1"/>
                <w:w w:val="99"/>
                <w:sz w:val="20"/>
              </w:rPr>
              <w:t>r</w:t>
            </w:r>
            <w:r>
              <w:rPr>
                <w:b/>
                <w:w w:val="99"/>
                <w:sz w:val="20"/>
              </w:rPr>
              <w:t>ic</w:t>
            </w:r>
            <w:r>
              <w:rPr>
                <w:b/>
                <w:spacing w:val="2"/>
                <w:w w:val="99"/>
                <w:sz w:val="20"/>
              </w:rPr>
              <w:t>o</w:t>
            </w:r>
            <w:r>
              <w:rPr>
                <w:b/>
                <w:w w:val="99"/>
                <w:sz w:val="20"/>
              </w:rPr>
              <w:t>s</w:t>
            </w:r>
          </w:p>
        </w:tc>
        <w:tc>
          <w:tcPr>
            <w:tcW w:w="7189" w:type="dxa"/>
          </w:tcPr>
          <w:p>
            <w:pPr>
              <w:pStyle w:val="TableParagraph"/>
              <w:spacing w:line="227" w:lineRule="exact"/>
              <w:rPr>
                <w:sz w:val="20"/>
              </w:rPr>
            </w:pPr>
            <w:r>
              <w:rPr>
                <w:sz w:val="20"/>
              </w:rPr>
              <w:t>Mortandad y escases de especies</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No dejan regar de la presa porque es federal (Acambay, Jilotepec y Timilpan)</w:t>
            </w:r>
          </w:p>
        </w:tc>
        <w:tc>
          <w:tcPr>
            <w:tcW w:w="1901" w:type="dxa"/>
            <w:vMerge/>
            <w:tcBorders>
              <w:left w:val="single" w:sz="41" w:space="0" w:color="A6A6A6"/>
            </w:tcBorders>
          </w:tcPr>
          <w:p>
            <w:pPr/>
          </w:p>
        </w:tc>
      </w:tr>
      <w:tr>
        <w:trPr>
          <w:trHeight w:val="353"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8" w:lineRule="exact"/>
              <w:rPr>
                <w:sz w:val="20"/>
              </w:rPr>
            </w:pPr>
            <w:r>
              <w:rPr>
                <w:sz w:val="20"/>
              </w:rPr>
              <w:t>No hay suficiente agua (Aculco)</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30" w:lineRule="exact"/>
              <w:rPr>
                <w:sz w:val="20"/>
              </w:rPr>
            </w:pPr>
            <w:r>
              <w:rPr>
                <w:sz w:val="20"/>
              </w:rPr>
              <w:t>Hay desorganización de pescadores (Aculco)</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30" w:lineRule="exact"/>
              <w:rPr>
                <w:sz w:val="20"/>
              </w:rPr>
            </w:pPr>
            <w:r>
              <w:rPr>
                <w:sz w:val="20"/>
              </w:rPr>
              <w:t>Caza masiva de especies migratorias (Acambay, Timilpan, )</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Azolve</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Corrupción en la Asociación de Riego (Polotitlán)</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Falta limpiar los canales de riego y están en mal estado (Polotitlán)</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Siembras invadidas por el nivel de agua de la laguna de Huapango (Acambay)</w:t>
            </w:r>
          </w:p>
        </w:tc>
        <w:tc>
          <w:tcPr>
            <w:tcW w:w="1901" w:type="dxa"/>
            <w:vMerge/>
            <w:tcBorders>
              <w:left w:val="single" w:sz="41" w:space="0" w:color="A6A6A6"/>
            </w:tcBorders>
          </w:tcPr>
          <w:p>
            <w:pPr/>
          </w:p>
        </w:tc>
      </w:tr>
      <w:tr>
        <w:trPr>
          <w:trHeight w:val="356" w:hRule="exact"/>
        </w:trPr>
        <w:tc>
          <w:tcPr>
            <w:tcW w:w="1901" w:type="dxa"/>
            <w:vMerge/>
            <w:tcBorders>
              <w:right w:val="single" w:sz="40" w:space="0" w:color="A6A6A6"/>
            </w:tcBorders>
          </w:tcPr>
          <w:p>
            <w:pPr/>
          </w:p>
        </w:tc>
        <w:tc>
          <w:tcPr>
            <w:tcW w:w="1906" w:type="dxa"/>
            <w:vMerge w:val="restart"/>
            <w:textDirection w:val="btLr"/>
          </w:tcPr>
          <w:p>
            <w:pPr>
              <w:pStyle w:val="TableParagraph"/>
              <w:spacing w:before="103"/>
              <w:ind w:left="842"/>
              <w:rPr>
                <w:b/>
                <w:sz w:val="20"/>
              </w:rPr>
            </w:pPr>
            <w:r>
              <w:rPr>
                <w:b/>
                <w:w w:val="99"/>
                <w:sz w:val="20"/>
              </w:rPr>
              <w:t>Munic</w:t>
            </w:r>
            <w:r>
              <w:rPr>
                <w:b/>
                <w:spacing w:val="-1"/>
                <w:w w:val="99"/>
                <w:sz w:val="20"/>
              </w:rPr>
              <w:t>i</w:t>
            </w:r>
            <w:r>
              <w:rPr>
                <w:b/>
                <w:w w:val="99"/>
                <w:sz w:val="20"/>
              </w:rPr>
              <w:t>p</w:t>
            </w:r>
            <w:r>
              <w:rPr>
                <w:b/>
                <w:w w:val="99"/>
                <w:sz w:val="20"/>
              </w:rPr>
              <w:t>a</w:t>
            </w:r>
            <w:r>
              <w:rPr>
                <w:b/>
                <w:spacing w:val="1"/>
                <w:w w:val="99"/>
                <w:sz w:val="20"/>
              </w:rPr>
              <w:t>l</w:t>
            </w:r>
            <w:r>
              <w:rPr>
                <w:b/>
                <w:w w:val="99"/>
                <w:sz w:val="20"/>
              </w:rPr>
              <w:t>es</w:t>
            </w:r>
          </w:p>
        </w:tc>
        <w:tc>
          <w:tcPr>
            <w:tcW w:w="7189" w:type="dxa"/>
          </w:tcPr>
          <w:p>
            <w:pPr>
              <w:pStyle w:val="TableParagraph"/>
              <w:spacing w:line="227" w:lineRule="exact"/>
              <w:rPr>
                <w:sz w:val="20"/>
              </w:rPr>
            </w:pPr>
            <w:r>
              <w:rPr>
                <w:sz w:val="20"/>
              </w:rPr>
              <w:t>Caza masiva (Acambay, Jilotepec yTimilpan)</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Sacan toda el agua y ya no se llena (Acambay, Jilotepec yTimilpan)</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Falta de limpieza en la zona (Timilpan)</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Arrojan suero de las queserías de Aculco a la presa Huapango</w:t>
            </w:r>
          </w:p>
        </w:tc>
        <w:tc>
          <w:tcPr>
            <w:tcW w:w="1901" w:type="dxa"/>
            <w:vMerge/>
            <w:tcBorders>
              <w:left w:val="single" w:sz="41" w:space="0" w:color="A6A6A6"/>
            </w:tcBorders>
          </w:tcPr>
          <w:p>
            <w:pPr/>
          </w:p>
        </w:tc>
      </w:tr>
      <w:tr>
        <w:trPr>
          <w:trHeight w:val="353"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Azolve (Acambay, Aculco, Jilotepec, Polotitlán y Timilpan)</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30" w:lineRule="exact"/>
              <w:rPr>
                <w:sz w:val="20"/>
              </w:rPr>
            </w:pPr>
            <w:r>
              <w:rPr>
                <w:sz w:val="20"/>
              </w:rPr>
              <w:t>No se aprovecha el agua (Acambay, Jilotepec y Timilpan)</w:t>
            </w:r>
          </w:p>
        </w:tc>
        <w:tc>
          <w:tcPr>
            <w:tcW w:w="1901" w:type="dxa"/>
            <w:vMerge/>
            <w:tcBorders>
              <w:left w:val="single" w:sz="41" w:space="0" w:color="A6A6A6"/>
            </w:tcBorders>
          </w:tcPr>
          <w:p>
            <w:pPr/>
          </w:p>
        </w:tc>
      </w:tr>
      <w:tr>
        <w:trPr>
          <w:trHeight w:val="355"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Desperdicios industriales en Bucio (Timilpan)</w:t>
            </w:r>
          </w:p>
        </w:tc>
        <w:tc>
          <w:tcPr>
            <w:tcW w:w="1901" w:type="dxa"/>
            <w:vMerge/>
            <w:tcBorders>
              <w:left w:val="single" w:sz="41" w:space="0" w:color="A6A6A6"/>
            </w:tcBorders>
          </w:tcPr>
          <w:p>
            <w:pPr/>
          </w:p>
        </w:tc>
      </w:tr>
      <w:tr>
        <w:trPr>
          <w:trHeight w:val="356"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No se le ha dado la protección que merece (Timilpan)</w:t>
            </w:r>
          </w:p>
        </w:tc>
        <w:tc>
          <w:tcPr>
            <w:tcW w:w="1901" w:type="dxa"/>
            <w:vMerge/>
            <w:tcBorders>
              <w:left w:val="single" w:sz="41" w:space="0" w:color="A6A6A6"/>
            </w:tcBorders>
          </w:tcPr>
          <w:p>
            <w:pPr/>
          </w:p>
        </w:tc>
      </w:tr>
      <w:tr>
        <w:trPr>
          <w:trHeight w:val="701" w:hRule="exact"/>
        </w:trPr>
        <w:tc>
          <w:tcPr>
            <w:tcW w:w="1901" w:type="dxa"/>
            <w:vMerge/>
            <w:tcBorders>
              <w:right w:val="single" w:sz="40" w:space="0" w:color="A6A6A6"/>
            </w:tcBorders>
          </w:tcPr>
          <w:p>
            <w:pPr/>
          </w:p>
        </w:tc>
        <w:tc>
          <w:tcPr>
            <w:tcW w:w="1906" w:type="dxa"/>
            <w:vMerge w:val="restart"/>
            <w:textDirection w:val="btLr"/>
          </w:tcPr>
          <w:p>
            <w:pPr>
              <w:pStyle w:val="TableParagraph"/>
              <w:spacing w:line="369" w:lineRule="auto" w:before="103"/>
              <w:ind w:left="211" w:right="185" w:firstLine="28"/>
              <w:rPr>
                <w:b/>
                <w:sz w:val="20"/>
              </w:rPr>
            </w:pPr>
            <w:r>
              <w:rPr>
                <w:b/>
                <w:w w:val="99"/>
                <w:sz w:val="20"/>
              </w:rPr>
              <w:t>F</w:t>
            </w:r>
            <w:r>
              <w:rPr>
                <w:b/>
                <w:w w:val="99"/>
                <w:sz w:val="20"/>
              </w:rPr>
              <w:t>ede</w:t>
            </w:r>
            <w:r>
              <w:rPr>
                <w:b/>
                <w:spacing w:val="-1"/>
                <w:w w:val="99"/>
                <w:sz w:val="20"/>
              </w:rPr>
              <w:t>r</w:t>
            </w:r>
            <w:r>
              <w:rPr>
                <w:b/>
                <w:w w:val="99"/>
                <w:sz w:val="20"/>
              </w:rPr>
              <w:t>a</w:t>
            </w:r>
            <w:r>
              <w:rPr>
                <w:b/>
                <w:spacing w:val="1"/>
                <w:w w:val="99"/>
                <w:sz w:val="20"/>
              </w:rPr>
              <w:t>l</w:t>
            </w:r>
            <w:r>
              <w:rPr>
                <w:b/>
                <w:w w:val="99"/>
                <w:sz w:val="20"/>
              </w:rPr>
              <w:t>es </w:t>
            </w:r>
            <w:r>
              <w:rPr>
                <w:b/>
                <w:w w:val="99"/>
                <w:sz w:val="20"/>
              </w:rPr>
              <w:t>(Co</w:t>
            </w:r>
            <w:r>
              <w:rPr>
                <w:b/>
                <w:w w:val="99"/>
                <w:sz w:val="20"/>
              </w:rPr>
              <w:t>n</w:t>
            </w:r>
            <w:r>
              <w:rPr>
                <w:b/>
                <w:w w:val="99"/>
                <w:sz w:val="20"/>
              </w:rPr>
              <w:t>agu</w:t>
            </w:r>
            <w:r>
              <w:rPr>
                <w:b/>
                <w:w w:val="99"/>
                <w:sz w:val="20"/>
              </w:rPr>
              <w:t>a)</w:t>
            </w:r>
          </w:p>
        </w:tc>
        <w:tc>
          <w:tcPr>
            <w:tcW w:w="7189" w:type="dxa"/>
          </w:tcPr>
          <w:p>
            <w:pPr>
              <w:pStyle w:val="TableParagraph"/>
              <w:spacing w:line="227" w:lineRule="exact"/>
              <w:rPr>
                <w:sz w:val="20"/>
              </w:rPr>
            </w:pPr>
            <w:r>
              <w:rPr>
                <w:sz w:val="20"/>
              </w:rPr>
              <w:t>Es una laguna muy antigua que requiere modernizarse.</w:t>
            </w:r>
          </w:p>
        </w:tc>
        <w:tc>
          <w:tcPr>
            <w:tcW w:w="1901" w:type="dxa"/>
            <w:vMerge/>
            <w:tcBorders>
              <w:left w:val="single" w:sz="41" w:space="0" w:color="A6A6A6"/>
            </w:tcBorders>
          </w:tcPr>
          <w:p>
            <w:pPr/>
          </w:p>
        </w:tc>
      </w:tr>
      <w:tr>
        <w:trPr>
          <w:trHeight w:val="710" w:hRule="exact"/>
        </w:trPr>
        <w:tc>
          <w:tcPr>
            <w:tcW w:w="1901" w:type="dxa"/>
            <w:vMerge/>
            <w:tcBorders>
              <w:right w:val="single" w:sz="40" w:space="0" w:color="A6A6A6"/>
            </w:tcBorders>
          </w:tcPr>
          <w:p>
            <w:pPr/>
          </w:p>
        </w:tc>
        <w:tc>
          <w:tcPr>
            <w:tcW w:w="1906" w:type="dxa"/>
            <w:vMerge/>
            <w:textDirection w:val="btLr"/>
          </w:tcPr>
          <w:p>
            <w:pPr/>
          </w:p>
        </w:tc>
        <w:tc>
          <w:tcPr>
            <w:tcW w:w="7189" w:type="dxa"/>
          </w:tcPr>
          <w:p>
            <w:pPr>
              <w:pStyle w:val="TableParagraph"/>
              <w:spacing w:line="227" w:lineRule="exact"/>
              <w:rPr>
                <w:sz w:val="20"/>
              </w:rPr>
            </w:pPr>
            <w:r>
              <w:rPr>
                <w:sz w:val="20"/>
              </w:rPr>
              <w:t>Poca captación de agua porque ya no hay suficiente lluvia.</w:t>
            </w:r>
          </w:p>
        </w:tc>
        <w:tc>
          <w:tcPr>
            <w:tcW w:w="1901" w:type="dxa"/>
            <w:vMerge/>
            <w:tcBorders>
              <w:left w:val="single" w:sz="41" w:space="0" w:color="A6A6A6"/>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389" w:hRule="exact"/>
        </w:trPr>
        <w:tc>
          <w:tcPr>
            <w:tcW w:w="12897" w:type="dxa"/>
          </w:tcPr>
          <w:p>
            <w:pPr>
              <w:pStyle w:val="TableParagraph"/>
              <w:spacing w:line="248" w:lineRule="exact"/>
              <w:ind w:left="172" w:right="174"/>
              <w:jc w:val="center"/>
              <w:rPr>
                <w:sz w:val="22"/>
              </w:rPr>
            </w:pPr>
            <w:r>
              <w:rPr>
                <w:b/>
                <w:sz w:val="22"/>
              </w:rPr>
              <w:t>Fuente: </w:t>
            </w:r>
            <w:r>
              <w:rPr>
                <w:sz w:val="22"/>
              </w:rPr>
              <w:t>Elaboración propia con base en los datos obtenidos en trabajo de campo García (2013-2015).</w:t>
            </w:r>
          </w:p>
        </w:tc>
      </w:tr>
      <w:tr>
        <w:trPr>
          <w:trHeight w:val="341"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020" w:hRule="exact"/>
        </w:trPr>
        <w:tc>
          <w:tcPr>
            <w:tcW w:w="12897" w:type="dxa"/>
          </w:tcPr>
          <w:p>
            <w:pPr>
              <w:pStyle w:val="TableParagraph"/>
              <w:spacing w:line="252" w:lineRule="exact" w:before="2"/>
              <w:ind w:right="163"/>
              <w:rPr>
                <w:sz w:val="22"/>
              </w:rPr>
            </w:pPr>
            <w:r>
              <w:rPr>
                <w:sz w:val="22"/>
              </w:rPr>
              <w:t>Permitió identificar la problemática de la CHPH como efecto de la pérdida de técnicas y valores para cuidar el medio ambiente a través de las entrevistas a los actores de la cuenca.</w:t>
            </w:r>
          </w:p>
          <w:p>
            <w:pPr>
              <w:pStyle w:val="TableParagraph"/>
              <w:spacing w:line="252" w:lineRule="exact" w:before="2"/>
              <w:ind w:right="12"/>
              <w:rPr>
                <w:sz w:val="22"/>
              </w:rPr>
            </w:pPr>
            <w:r>
              <w:rPr>
                <w:sz w:val="22"/>
              </w:rPr>
              <w:t>- Sirvió de guía de explicación para la elaboración de la propuesta de creación de un Comité Intermunicipal con su reglamento en la CHPH.</w:t>
            </w:r>
          </w:p>
        </w:tc>
      </w:tr>
      <w:tr>
        <w:trPr>
          <w:trHeight w:val="341" w:hRule="exact"/>
        </w:trPr>
        <w:tc>
          <w:tcPr>
            <w:tcW w:w="12897" w:type="dxa"/>
          </w:tcPr>
          <w:p>
            <w:pPr>
              <w:pStyle w:val="TableParagraph"/>
              <w:spacing w:line="251" w:lineRule="exact"/>
              <w:ind w:left="170" w:right="175"/>
              <w:jc w:val="center"/>
              <w:rPr>
                <w:b/>
                <w:sz w:val="22"/>
              </w:rPr>
            </w:pPr>
            <w:r>
              <w:rPr>
                <w:b/>
                <w:sz w:val="22"/>
              </w:rPr>
              <w:t>DESVENTAJAS DEL INDICADOR</w:t>
            </w:r>
          </w:p>
        </w:tc>
      </w:tr>
      <w:tr>
        <w:trPr>
          <w:trHeight w:val="517" w:hRule="exact"/>
        </w:trPr>
        <w:tc>
          <w:tcPr>
            <w:tcW w:w="12897" w:type="dxa"/>
          </w:tcPr>
          <w:p>
            <w:pPr>
              <w:pStyle w:val="TableParagraph"/>
              <w:ind w:right="163"/>
              <w:rPr>
                <w:sz w:val="22"/>
              </w:rPr>
            </w:pPr>
            <w:r>
              <w:rPr>
                <w:sz w:val="22"/>
              </w:rPr>
              <w:t>- La falta de cultura ambiental ha generado el deterioro ambiental de la CHPH, porque no existe una concientización de la población.</w:t>
            </w:r>
          </w:p>
        </w:tc>
      </w:tr>
    </w:tbl>
    <w:p>
      <w:pPr>
        <w:spacing w:after="0"/>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63" w:right="105"/>
              <w:rPr>
                <w:b/>
                <w:sz w:val="22"/>
              </w:rPr>
            </w:pPr>
            <w:r>
              <w:rPr>
                <w:b/>
                <w:sz w:val="22"/>
              </w:rPr>
              <w:t>Democracia y voluntariedad</w:t>
            </w:r>
          </w:p>
        </w:tc>
        <w:tc>
          <w:tcPr>
            <w:tcW w:w="3277" w:type="dxa"/>
            <w:gridSpan w:val="3"/>
            <w:vMerge w:val="restart"/>
          </w:tcPr>
          <w:p>
            <w:pPr>
              <w:pStyle w:val="TableParagraph"/>
              <w:ind w:left="100" w:right="100"/>
              <w:jc w:val="both"/>
              <w:rPr>
                <w:b/>
                <w:sz w:val="22"/>
              </w:rPr>
            </w:pPr>
            <w:r>
              <w:rPr>
                <w:b/>
                <w:sz w:val="22"/>
              </w:rPr>
              <w:t>Identificar la escasa participación directa de los actores históricos de la CHPH en la toma de decisiones de carácter ambiental a través del voto directo.</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07"/>
              <w:rPr>
                <w:b/>
                <w:sz w:val="22"/>
              </w:rPr>
            </w:pPr>
            <w:r>
              <w:rPr>
                <w:b/>
                <w:sz w:val="22"/>
              </w:rPr>
              <w:t>17.063/ 18.055</w:t>
            </w:r>
          </w:p>
        </w:tc>
        <w:tc>
          <w:tcPr>
            <w:tcW w:w="1985" w:type="dxa"/>
            <w:gridSpan w:val="2"/>
          </w:tcPr>
          <w:p>
            <w:pPr>
              <w:pStyle w:val="TableParagraph"/>
              <w:spacing w:line="248" w:lineRule="exact"/>
              <w:ind w:left="0"/>
              <w:jc w:val="center"/>
              <w:rPr>
                <w:b/>
                <w:sz w:val="22"/>
              </w:rPr>
            </w:pPr>
            <w:r>
              <w:rPr>
                <w:b/>
                <w:sz w:val="22"/>
              </w:rPr>
              <w:t>94.5%</w:t>
            </w:r>
          </w:p>
        </w:tc>
        <w:tc>
          <w:tcPr>
            <w:tcW w:w="2268" w:type="dxa"/>
            <w:gridSpan w:val="2"/>
          </w:tcPr>
          <w:p>
            <w:pPr>
              <w:pStyle w:val="TableParagraph"/>
              <w:spacing w:line="248" w:lineRule="exact"/>
              <w:ind w:left="136" w:right="136"/>
              <w:jc w:val="center"/>
              <w:rPr>
                <w:b/>
                <w:sz w:val="22"/>
              </w:rPr>
            </w:pPr>
            <w:r>
              <w:rPr>
                <w:b/>
                <w:sz w:val="22"/>
              </w:rPr>
              <w:t>16.125</w:t>
            </w:r>
          </w:p>
        </w:tc>
        <w:tc>
          <w:tcPr>
            <w:tcW w:w="3274" w:type="dxa"/>
            <w:gridSpan w:val="5"/>
            <w:vMerge/>
          </w:tcPr>
          <w:p>
            <w:pPr/>
          </w:p>
        </w:tc>
        <w:tc>
          <w:tcPr>
            <w:tcW w:w="3277" w:type="dxa"/>
            <w:gridSpan w:val="3"/>
            <w:vMerge/>
          </w:tcPr>
          <w:p>
            <w:pPr/>
          </w:p>
        </w:tc>
      </w:tr>
      <w:tr>
        <w:trPr>
          <w:trHeight w:val="262" w:hRule="exact"/>
        </w:trPr>
        <w:tc>
          <w:tcPr>
            <w:tcW w:w="2093" w:type="dxa"/>
            <w:gridSpan w:val="2"/>
            <w:shd w:val="clear" w:color="auto" w:fill="76923B"/>
          </w:tcPr>
          <w:p>
            <w:pPr>
              <w:pStyle w:val="TableParagraph"/>
              <w:spacing w:line="248" w:lineRule="exact"/>
              <w:ind w:left="0" w:right="1"/>
              <w:jc w:val="center"/>
              <w:rPr>
                <w:b/>
                <w:sz w:val="22"/>
              </w:rPr>
            </w:pPr>
            <w:r>
              <w:rPr>
                <w:b/>
                <w:w w:val="100"/>
                <w:sz w:val="22"/>
              </w:rPr>
              <w:t>1</w:t>
            </w:r>
          </w:p>
        </w:tc>
        <w:tc>
          <w:tcPr>
            <w:tcW w:w="1985" w:type="dxa"/>
            <w:gridSpan w:val="2"/>
            <w:tcBorders>
              <w:left w:val="single" w:sz="45" w:space="0" w:color="76923B"/>
            </w:tcBorders>
          </w:tcPr>
          <w:p>
            <w:pPr>
              <w:pStyle w:val="TableParagraph"/>
              <w:spacing w:line="248" w:lineRule="exact"/>
              <w:ind w:left="0" w:right="49"/>
              <w:jc w:val="center"/>
              <w:rPr>
                <w:b/>
                <w:sz w:val="22"/>
              </w:rPr>
            </w:pPr>
            <w:r>
              <w:rPr>
                <w:b/>
                <w:w w:val="100"/>
                <w:sz w:val="22"/>
              </w:rPr>
              <w:t>2</w:t>
            </w:r>
          </w:p>
        </w:tc>
        <w:tc>
          <w:tcPr>
            <w:tcW w:w="2268" w:type="dxa"/>
            <w:gridSpan w:val="2"/>
            <w:tcBorders>
              <w:right w:val="single" w:sz="41" w:space="0" w:color="76923B"/>
            </w:tcBorders>
          </w:tcPr>
          <w:p>
            <w:pPr>
              <w:pStyle w:val="TableParagraph"/>
              <w:spacing w:line="248" w:lineRule="exact"/>
              <w:ind w:left="47"/>
              <w:jc w:val="center"/>
              <w:rPr>
                <w:b/>
                <w:sz w:val="22"/>
              </w:rPr>
            </w:pPr>
            <w:r>
              <w:rPr>
                <w:b/>
                <w:w w:val="100"/>
                <w:sz w:val="22"/>
              </w:rPr>
              <w:t>3</w:t>
            </w:r>
          </w:p>
        </w:tc>
        <w:tc>
          <w:tcPr>
            <w:tcW w:w="1701" w:type="dxa"/>
            <w:gridSpan w:val="2"/>
            <w:shd w:val="clear" w:color="auto" w:fill="76923B"/>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76923B"/>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2" w:right="492"/>
              <w:jc w:val="center"/>
              <w:rPr>
                <w:b/>
                <w:sz w:val="22"/>
              </w:rPr>
            </w:pPr>
            <w:r>
              <w:rPr>
                <w:b/>
                <w:sz w:val="22"/>
              </w:rPr>
              <w:t>128</w:t>
            </w:r>
          </w:p>
        </w:tc>
        <w:tc>
          <w:tcPr>
            <w:tcW w:w="2127" w:type="dxa"/>
            <w:gridSpan w:val="3"/>
            <w:shd w:val="clear" w:color="auto" w:fill="92CDDC"/>
          </w:tcPr>
          <w:p>
            <w:pPr>
              <w:pStyle w:val="TableParagraph"/>
              <w:spacing w:line="248" w:lineRule="exact"/>
              <w:ind w:left="0"/>
              <w:jc w:val="center"/>
              <w:rPr>
                <w:b/>
                <w:sz w:val="22"/>
              </w:rPr>
            </w:pPr>
            <w:r>
              <w:rPr>
                <w:b/>
                <w:w w:val="100"/>
                <w:sz w:val="22"/>
              </w:rPr>
              <w:t>4</w:t>
            </w:r>
          </w:p>
        </w:tc>
        <w:tc>
          <w:tcPr>
            <w:tcW w:w="2410" w:type="dxa"/>
            <w:gridSpan w:val="3"/>
            <w:shd w:val="clear" w:color="auto" w:fill="92CDDC"/>
          </w:tcPr>
          <w:p>
            <w:pPr>
              <w:pStyle w:val="TableParagraph"/>
              <w:spacing w:line="248" w:lineRule="exact"/>
              <w:ind w:left="782" w:right="780"/>
              <w:jc w:val="center"/>
              <w:rPr>
                <w:b/>
                <w:sz w:val="22"/>
              </w:rPr>
            </w:pPr>
            <w:r>
              <w:rPr>
                <w:b/>
                <w:sz w:val="22"/>
              </w:rPr>
              <w:t>1.00</w:t>
            </w:r>
          </w:p>
        </w:tc>
        <w:tc>
          <w:tcPr>
            <w:tcW w:w="1844" w:type="dxa"/>
            <w:gridSpan w:val="2"/>
            <w:shd w:val="clear" w:color="auto" w:fill="F9BE8F"/>
          </w:tcPr>
          <w:p>
            <w:pPr>
              <w:pStyle w:val="TableParagraph"/>
              <w:spacing w:line="248" w:lineRule="exact"/>
              <w:ind w:left="774" w:right="774"/>
              <w:jc w:val="center"/>
              <w:rPr>
                <w:b/>
                <w:sz w:val="22"/>
              </w:rPr>
            </w:pPr>
            <w:r>
              <w:rPr>
                <w:b/>
                <w:sz w:val="22"/>
              </w:rPr>
              <w:t>40</w:t>
            </w:r>
          </w:p>
        </w:tc>
        <w:tc>
          <w:tcPr>
            <w:tcW w:w="2126" w:type="dxa"/>
            <w:gridSpan w:val="3"/>
            <w:shd w:val="clear" w:color="auto" w:fill="F9BE8F"/>
          </w:tcPr>
          <w:p>
            <w:pPr>
              <w:pStyle w:val="TableParagraph"/>
              <w:spacing w:line="248" w:lineRule="exact"/>
              <w:ind w:left="0"/>
              <w:jc w:val="center"/>
              <w:rPr>
                <w:b/>
                <w:sz w:val="22"/>
              </w:rPr>
            </w:pPr>
            <w:r>
              <w:rPr>
                <w:b/>
                <w:w w:val="100"/>
                <w:sz w:val="22"/>
              </w:rPr>
              <w:t>4</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Participación, actores históricos, decisiones ambientales y voto directo.</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left="729" w:right="250" w:hanging="466"/>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1022" w:hRule="exact"/>
        </w:trPr>
        <w:tc>
          <w:tcPr>
            <w:tcW w:w="12897" w:type="dxa"/>
            <w:gridSpan w:val="14"/>
          </w:tcPr>
          <w:p>
            <w:pPr>
              <w:pStyle w:val="TableParagraph"/>
              <w:ind w:left="172" w:right="175"/>
              <w:jc w:val="center"/>
              <w:rPr>
                <w:sz w:val="22"/>
              </w:rPr>
            </w:pPr>
            <w:r>
              <w:rPr>
                <w:sz w:val="22"/>
              </w:rPr>
              <w:t>Las estructuras democráticas gubernamentales existentes en la CHPH aceleran los procesos de deterioro en materia ambiental ocasionando la sobreexplotación de los recursos naturales, ya que no tienen voluntad de cambio y no permiten que los actores históricos intervengan directamente en la solución de sus problemas (Romero, et al., 2012; Palerm, 1993; Bobbio, 1999; Bovero, 2002; Sartori, 1993 y García, TC: 2013-2015).</w:t>
            </w:r>
          </w:p>
        </w:tc>
      </w:tr>
      <w:tr>
        <w:trPr>
          <w:trHeight w:val="264"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9"/>
          </w:tcPr>
          <w:p>
            <w:pPr>
              <w:pStyle w:val="TableParagraph"/>
              <w:spacing w:line="248" w:lineRule="exact"/>
              <w:ind w:left="2419" w:right="108"/>
              <w:rPr>
                <w:b/>
                <w:sz w:val="22"/>
              </w:rPr>
            </w:pPr>
            <w:r>
              <w:rPr>
                <w:b/>
                <w:sz w:val="22"/>
              </w:rPr>
              <w:t>Definición de la unidad de medición</w:t>
            </w:r>
          </w:p>
        </w:tc>
      </w:tr>
      <w:tr>
        <w:trPr>
          <w:trHeight w:val="1023" w:hRule="exact"/>
        </w:trPr>
        <w:tc>
          <w:tcPr>
            <w:tcW w:w="4295" w:type="dxa"/>
            <w:gridSpan w:val="5"/>
          </w:tcPr>
          <w:p>
            <w:pPr>
              <w:pStyle w:val="TableParagraph"/>
              <w:spacing w:line="252" w:lineRule="exact" w:before="2"/>
              <w:ind w:left="650" w:right="631" w:firstLine="16"/>
              <w:rPr>
                <w:sz w:val="22"/>
              </w:rPr>
            </w:pPr>
            <w:r>
              <w:rPr>
                <w:sz w:val="22"/>
              </w:rPr>
              <w:t># de estructuras democráticas gubernamentales en la CHPH.</w:t>
            </w:r>
          </w:p>
        </w:tc>
        <w:tc>
          <w:tcPr>
            <w:tcW w:w="8603" w:type="dxa"/>
            <w:gridSpan w:val="9"/>
          </w:tcPr>
          <w:p>
            <w:pPr>
              <w:pStyle w:val="TableParagraph"/>
              <w:ind w:left="160" w:right="160"/>
              <w:jc w:val="center"/>
              <w:rPr>
                <w:sz w:val="22"/>
              </w:rPr>
            </w:pPr>
            <w:r>
              <w:rPr>
                <w:sz w:val="22"/>
              </w:rPr>
              <w:t>Número de instituciones gubernamentales que no tienen voluntad de cambio y que a pesar de que conocen la situación de riesgo y el peligro de extinción de algunas especies siguen sobreexplotando los recursos naturales de la CHPH.</w:t>
            </w:r>
          </w:p>
          <w:p>
            <w:pPr>
              <w:pStyle w:val="TableParagraph"/>
              <w:spacing w:line="252" w:lineRule="exact"/>
              <w:ind w:left="158" w:right="160"/>
              <w:jc w:val="center"/>
              <w:rPr>
                <w:sz w:val="22"/>
              </w:rPr>
            </w:pPr>
            <w:r>
              <w:rPr>
                <w:sz w:val="22"/>
              </w:rPr>
              <w:t>(Ejemplo: Conagua, Semarnat, Sagarpa).</w:t>
            </w:r>
          </w:p>
        </w:tc>
      </w:tr>
    </w:tbl>
    <w:p>
      <w:pPr>
        <w:spacing w:after="0" w:line="252" w:lineRule="exact"/>
        <w:jc w:val="center"/>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27.7pt;mso-position-horizontal-relative:page;mso-position-vertical-relative:page;z-index:-3330784"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486;top:2336;width:12557;height:7864" type="#_x0000_t75" stroked="false">
              <v:imagedata r:id="rId315" o:title=""/>
            </v:shape>
            <w10:wrap type="none"/>
          </v:group>
        </w:pict>
      </w:r>
    </w:p>
    <w:p>
      <w:pPr>
        <w:pStyle w:val="BodyText"/>
        <w:spacing w:before="11"/>
        <w:rPr>
          <w:rFonts w:ascii="Times New Roman"/>
        </w:rPr>
      </w:pPr>
    </w:p>
    <w:p>
      <w:pPr>
        <w:pStyle w:val="Heading6"/>
        <w:spacing w:before="73"/>
        <w:ind w:left="5782" w:right="883"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2664">
            <wp:simplePos x="0" y="0"/>
            <wp:positionH relativeFrom="page">
              <wp:posOffset>876300</wp:posOffset>
            </wp:positionH>
            <wp:positionV relativeFrom="page">
              <wp:posOffset>1735454</wp:posOffset>
            </wp:positionV>
            <wp:extent cx="5520427" cy="2244470"/>
            <wp:effectExtent l="0" t="0" r="0" b="0"/>
            <wp:wrapNone/>
            <wp:docPr id="59" name="image194.png" descr=""/>
            <wp:cNvGraphicFramePr>
              <a:graphicFrameLocks noChangeAspect="1"/>
            </wp:cNvGraphicFramePr>
            <a:graphic>
              <a:graphicData uri="http://schemas.openxmlformats.org/drawingml/2006/picture">
                <pic:pic>
                  <pic:nvPicPr>
                    <pic:cNvPr id="60" name="image194.png"/>
                    <pic:cNvPicPr/>
                  </pic:nvPicPr>
                  <pic:blipFill>
                    <a:blip r:embed="rId316" cstate="print"/>
                    <a:stretch>
                      <a:fillRect/>
                    </a:stretch>
                  </pic:blipFill>
                  <pic:spPr>
                    <a:xfrm>
                      <a:off x="0" y="0"/>
                      <a:ext cx="5520427" cy="2244470"/>
                    </a:xfrm>
                    <a:prstGeom prst="rect">
                      <a:avLst/>
                    </a:prstGeom>
                  </pic:spPr>
                </pic:pic>
              </a:graphicData>
            </a:graphic>
          </wp:anchor>
        </w:drawing>
      </w:r>
      <w:r>
        <w:rPr/>
        <w:pict>
          <v:shape style="position:absolute;margin-left:522.070007pt;margin-top:143.059998pt;width:127.5pt;height:145.25pt;mso-position-horizontal-relative:page;mso-position-vertical-relative:page;z-index:1268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4" w:hRule="exact"/>
                    </w:trPr>
                    <w:tc>
                      <w:tcPr>
                        <w:tcW w:w="1034" w:type="dxa"/>
                      </w:tcPr>
                      <w:p>
                        <w:pPr>
                          <w:pStyle w:val="TableParagraph"/>
                          <w:spacing w:line="251" w:lineRule="exact"/>
                          <w:rPr>
                            <w:b/>
                            <w:sz w:val="22"/>
                          </w:rPr>
                        </w:pPr>
                        <w:r>
                          <w:rPr>
                            <w:b/>
                            <w:sz w:val="22"/>
                          </w:rPr>
                          <w:t>Período</w:t>
                        </w:r>
                      </w:p>
                    </w:tc>
                    <w:tc>
                      <w:tcPr>
                        <w:tcW w:w="1501" w:type="dxa"/>
                      </w:tcPr>
                      <w:p>
                        <w:pPr>
                          <w:pStyle w:val="TableParagraph"/>
                          <w:spacing w:line="251" w:lineRule="exact"/>
                          <w:rPr>
                            <w:b/>
                            <w:sz w:val="22"/>
                          </w:rPr>
                        </w:pPr>
                        <w:r>
                          <w:rPr>
                            <w:b/>
                            <w:sz w:val="22"/>
                          </w:rPr>
                          <w:t>Calificación</w:t>
                        </w:r>
                      </w:p>
                    </w:tc>
                  </w:tr>
                  <w:tr>
                    <w:trPr>
                      <w:trHeight w:val="264"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Excelente</w:t>
                        </w:r>
                      </w:p>
                    </w:tc>
                  </w:tr>
                  <w:tr>
                    <w:trPr>
                      <w:trHeight w:val="262"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Bueno</w:t>
                        </w:r>
                      </w:p>
                    </w:tc>
                  </w:tr>
                  <w:tr>
                    <w:trPr>
                      <w:trHeight w:val="265"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1785</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rPr>
                            <w:sz w:val="22"/>
                          </w:rPr>
                        </w:pPr>
                        <w:r>
                          <w:rPr>
                            <w:sz w:val="22"/>
                          </w:rPr>
                          <w:t>1810</w:t>
                        </w:r>
                      </w:p>
                    </w:tc>
                    <w:tc>
                      <w:tcPr>
                        <w:tcW w:w="1501" w:type="dxa"/>
                      </w:tcPr>
                      <w:p>
                        <w:pPr>
                          <w:pStyle w:val="TableParagraph"/>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1861</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rPr>
                            <w:sz w:val="22"/>
                          </w:rPr>
                        </w:pPr>
                        <w:r>
                          <w:rPr>
                            <w:sz w:val="22"/>
                          </w:rPr>
                          <w:t>Regular</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37"/>
        <w:gridCol w:w="1349"/>
        <w:gridCol w:w="2892"/>
        <w:gridCol w:w="1486"/>
        <w:gridCol w:w="2552"/>
        <w:gridCol w:w="1651"/>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099" w:hRule="exact"/>
        </w:trPr>
        <w:tc>
          <w:tcPr>
            <w:tcW w:w="12822" w:type="dxa"/>
            <w:gridSpan w:val="7"/>
          </w:tcPr>
          <w:p>
            <w:pPr>
              <w:pStyle w:val="TableParagraph"/>
              <w:spacing w:line="242" w:lineRule="auto"/>
              <w:ind w:left="27" w:right="57"/>
              <w:rPr>
                <w:sz w:val="22"/>
              </w:rPr>
            </w:pPr>
            <w:r>
              <w:rPr>
                <w:sz w:val="22"/>
              </w:rPr>
              <w:t>Para identificar la escasa participación directa de los actores históricos de la CHPH en la toma de decisiones de carácter  ambiental a través del tiempo se elaboró la siguiente</w:t>
            </w:r>
            <w:r>
              <w:rPr>
                <w:spacing w:val="-14"/>
                <w:sz w:val="22"/>
              </w:rPr>
              <w:t> </w:t>
            </w:r>
            <w:r>
              <w:rPr>
                <w:sz w:val="22"/>
              </w:rPr>
              <w:t>gráfica:</w:t>
            </w:r>
          </w:p>
          <w:p>
            <w:pPr>
              <w:pStyle w:val="TableParagraph"/>
              <w:spacing w:line="247" w:lineRule="exact"/>
              <w:ind w:left="3575" w:right="57"/>
              <w:rPr>
                <w:b/>
                <w:sz w:val="22"/>
              </w:rPr>
            </w:pPr>
            <w:r>
              <w:rPr>
                <w:b/>
                <w:sz w:val="22"/>
              </w:rPr>
              <w:t>Gráfica. 7.4.</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2"/>
              <w:ind w:left="0"/>
              <w:rPr>
                <w:rFonts w:ascii="Times New Roman"/>
                <w:sz w:val="24"/>
              </w:rPr>
            </w:pPr>
          </w:p>
          <w:p>
            <w:pPr>
              <w:pStyle w:val="TableParagraph"/>
              <w:spacing w:line="51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937" w:type="dxa"/>
            <w:vMerge w:val="restart"/>
          </w:tcPr>
          <w:p>
            <w:pPr>
              <w:pStyle w:val="TableParagraph"/>
              <w:ind w:right="104"/>
              <w:jc w:val="both"/>
              <w:rPr>
                <w:sz w:val="20"/>
              </w:rPr>
            </w:pPr>
            <w:r>
              <w:rPr>
                <w:sz w:val="20"/>
              </w:rPr>
              <w:t>Clasificación por número de eventos en el período</w:t>
            </w:r>
          </w:p>
        </w:tc>
        <w:tc>
          <w:tcPr>
            <w:tcW w:w="8279" w:type="dxa"/>
            <w:gridSpan w:val="4"/>
          </w:tcPr>
          <w:p>
            <w:pPr>
              <w:pStyle w:val="TableParagraph"/>
              <w:ind w:right="98"/>
              <w:rPr>
                <w:sz w:val="20"/>
              </w:rPr>
            </w:pPr>
            <w:r>
              <w:rPr>
                <w:sz w:val="20"/>
              </w:rPr>
              <w:t>Clasificación por </w:t>
            </w:r>
            <w:r>
              <w:rPr>
                <w:b/>
                <w:sz w:val="20"/>
              </w:rPr>
              <w:t>características de impacto positivo o negativo </w:t>
            </w:r>
            <w:r>
              <w:rPr>
                <w:sz w:val="20"/>
              </w:rPr>
              <w:t>en los ámbitos ambiental-sociopolítico-económico</w:t>
            </w:r>
          </w:p>
        </w:tc>
        <w:tc>
          <w:tcPr>
            <w:tcW w:w="1651" w:type="dxa"/>
            <w:vMerge w:val="restart"/>
            <w:tcBorders>
              <w:right w:val="double" w:sz="12" w:space="0" w:color="000000"/>
            </w:tcBorders>
          </w:tcPr>
          <w:p>
            <w:pPr>
              <w:pStyle w:val="TableParagraph"/>
              <w:spacing w:before="119"/>
              <w:ind w:left="247" w:right="248"/>
              <w:jc w:val="center"/>
              <w:rPr>
                <w:sz w:val="20"/>
              </w:rPr>
            </w:pPr>
            <w:r>
              <w:rPr>
                <w:w w:val="95"/>
                <w:sz w:val="20"/>
              </w:rPr>
              <w:t>Clasificación </w:t>
            </w:r>
            <w:r>
              <w:rPr>
                <w:sz w:val="20"/>
              </w:rPr>
              <w:t>de la calificación</w:t>
            </w:r>
          </w:p>
        </w:tc>
      </w:tr>
      <w:tr>
        <w:trPr>
          <w:trHeight w:val="480" w:hRule="exact"/>
        </w:trPr>
        <w:tc>
          <w:tcPr>
            <w:tcW w:w="954" w:type="dxa"/>
            <w:vMerge/>
            <w:tcBorders>
              <w:left w:val="double" w:sz="11" w:space="0" w:color="000000"/>
            </w:tcBorders>
          </w:tcPr>
          <w:p>
            <w:pPr/>
          </w:p>
        </w:tc>
        <w:tc>
          <w:tcPr>
            <w:tcW w:w="1937" w:type="dxa"/>
            <w:vMerge/>
          </w:tcPr>
          <w:p>
            <w:pPr/>
          </w:p>
        </w:tc>
        <w:tc>
          <w:tcPr>
            <w:tcW w:w="1349" w:type="dxa"/>
          </w:tcPr>
          <w:p>
            <w:pPr>
              <w:pStyle w:val="TableParagraph"/>
              <w:spacing w:line="227" w:lineRule="exact"/>
              <w:rPr>
                <w:sz w:val="20"/>
              </w:rPr>
            </w:pPr>
            <w:r>
              <w:rPr>
                <w:sz w:val="20"/>
              </w:rPr>
              <w:t>Subsistema</w:t>
            </w:r>
          </w:p>
        </w:tc>
        <w:tc>
          <w:tcPr>
            <w:tcW w:w="2892" w:type="dxa"/>
          </w:tcPr>
          <w:p>
            <w:pPr>
              <w:pStyle w:val="TableParagraph"/>
              <w:spacing w:line="227" w:lineRule="exact"/>
              <w:rPr>
                <w:sz w:val="20"/>
              </w:rPr>
            </w:pPr>
            <w:r>
              <w:rPr>
                <w:sz w:val="20"/>
              </w:rPr>
              <w:t>características</w:t>
            </w:r>
          </w:p>
        </w:tc>
        <w:tc>
          <w:tcPr>
            <w:tcW w:w="1486" w:type="dxa"/>
          </w:tcPr>
          <w:p>
            <w:pPr>
              <w:pStyle w:val="TableParagraph"/>
              <w:tabs>
                <w:tab w:pos="1146" w:val="left" w:leader="none"/>
              </w:tabs>
              <w:spacing w:line="227" w:lineRule="exact"/>
              <w:ind w:left="100"/>
              <w:rPr>
                <w:sz w:val="20"/>
              </w:rPr>
            </w:pPr>
            <w:r>
              <w:rPr>
                <w:sz w:val="20"/>
              </w:rPr>
              <w:t>%</w:t>
              <w:tab/>
              <w:t>de</w:t>
            </w:r>
          </w:p>
          <w:p>
            <w:pPr>
              <w:pStyle w:val="TableParagraph"/>
              <w:ind w:left="100"/>
              <w:rPr>
                <w:sz w:val="20"/>
              </w:rPr>
            </w:pPr>
            <w:r>
              <w:rPr>
                <w:sz w:val="20"/>
              </w:rPr>
              <w:t>cumplimiento</w:t>
            </w:r>
          </w:p>
        </w:tc>
        <w:tc>
          <w:tcPr>
            <w:tcW w:w="2552" w:type="dxa"/>
          </w:tcPr>
          <w:p>
            <w:pPr>
              <w:pStyle w:val="TableParagraph"/>
              <w:spacing w:line="227" w:lineRule="exact"/>
              <w:rPr>
                <w:sz w:val="20"/>
              </w:rPr>
            </w:pPr>
            <w:r>
              <w:rPr>
                <w:sz w:val="20"/>
              </w:rPr>
              <w:t>Observaciones</w:t>
            </w:r>
          </w:p>
        </w:tc>
        <w:tc>
          <w:tcPr>
            <w:tcW w:w="1651"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37"/>
        <w:gridCol w:w="1349"/>
        <w:gridCol w:w="2892"/>
        <w:gridCol w:w="1486"/>
        <w:gridCol w:w="2553"/>
        <w:gridCol w:w="1650"/>
      </w:tblGrid>
      <w:tr>
        <w:trPr>
          <w:trHeight w:val="3469"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230"/>
              <w:rPr>
                <w:sz w:val="20"/>
              </w:rPr>
            </w:pPr>
            <w:r>
              <w:rPr>
                <w:sz w:val="20"/>
              </w:rPr>
              <w:t>1400</w:t>
            </w:r>
          </w:p>
        </w:tc>
        <w:tc>
          <w:tcPr>
            <w:tcW w:w="1937"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49" w:type="dxa"/>
          </w:tcPr>
          <w:p>
            <w:pPr>
              <w:pStyle w:val="TableParagraph"/>
              <w:spacing w:before="7"/>
              <w:rPr>
                <w:sz w:val="20"/>
              </w:rPr>
            </w:pPr>
            <w:r>
              <w:rPr>
                <w:sz w:val="20"/>
              </w:rPr>
              <w:t>Ambiental</w:t>
            </w:r>
          </w:p>
        </w:tc>
        <w:tc>
          <w:tcPr>
            <w:tcW w:w="2892" w:type="dxa"/>
          </w:tcPr>
          <w:p>
            <w:pPr>
              <w:pStyle w:val="TableParagraph"/>
              <w:numPr>
                <w:ilvl w:val="0"/>
                <w:numId w:val="102"/>
              </w:numPr>
              <w:tabs>
                <w:tab w:pos="812" w:val="left" w:leader="none"/>
              </w:tabs>
              <w:spacing w:line="240" w:lineRule="auto" w:before="7" w:after="0"/>
              <w:ind w:left="280" w:right="104" w:hanging="141"/>
              <w:jc w:val="both"/>
              <w:rPr>
                <w:sz w:val="20"/>
              </w:rPr>
            </w:pPr>
            <w:r>
              <w:rPr>
                <w:sz w:val="20"/>
              </w:rPr>
              <w:t>Existe participación directa de los actores de la CHPH en el cuidado y rescate del medio</w:t>
            </w:r>
            <w:r>
              <w:rPr>
                <w:spacing w:val="-8"/>
                <w:sz w:val="20"/>
              </w:rPr>
              <w:t> </w:t>
            </w:r>
            <w:r>
              <w:rPr>
                <w:sz w:val="20"/>
              </w:rPr>
              <w:t>ambiente</w:t>
            </w:r>
          </w:p>
          <w:p>
            <w:pPr>
              <w:pStyle w:val="TableParagraph"/>
              <w:numPr>
                <w:ilvl w:val="0"/>
                <w:numId w:val="102"/>
              </w:numPr>
              <w:tabs>
                <w:tab w:pos="812" w:val="left" w:leader="none"/>
              </w:tabs>
              <w:spacing w:line="240" w:lineRule="auto" w:before="0" w:after="0"/>
              <w:ind w:left="280" w:right="105" w:hanging="141"/>
              <w:jc w:val="both"/>
              <w:rPr>
                <w:sz w:val="20"/>
              </w:rPr>
            </w:pPr>
            <w:r>
              <w:rPr>
                <w:sz w:val="20"/>
              </w:rPr>
              <w:t>Existe voluntariedad de los actores de la CHPH para cuidar el medio ambiente</w:t>
            </w:r>
          </w:p>
          <w:p>
            <w:pPr>
              <w:pStyle w:val="TableParagraph"/>
              <w:numPr>
                <w:ilvl w:val="0"/>
                <w:numId w:val="102"/>
              </w:numPr>
              <w:tabs>
                <w:tab w:pos="812" w:val="left" w:leader="none"/>
              </w:tabs>
              <w:spacing w:line="240" w:lineRule="auto" w:before="0" w:after="0"/>
              <w:ind w:left="280" w:right="105" w:hanging="141"/>
              <w:jc w:val="both"/>
              <w:rPr>
                <w:sz w:val="20"/>
              </w:rPr>
            </w:pPr>
            <w:r>
              <w:rPr>
                <w:sz w:val="20"/>
              </w:rPr>
              <w:t>Los acuerdos para cuidar el medio ambiente  se hacen por la vía democrática en la</w:t>
            </w:r>
            <w:r>
              <w:rPr>
                <w:spacing w:val="-10"/>
                <w:sz w:val="20"/>
              </w:rPr>
              <w:t> </w:t>
            </w:r>
            <w:r>
              <w:rPr>
                <w:sz w:val="20"/>
              </w:rPr>
              <w:t>CHPH</w:t>
            </w:r>
          </w:p>
          <w:p>
            <w:pPr>
              <w:pStyle w:val="TableParagraph"/>
              <w:numPr>
                <w:ilvl w:val="0"/>
                <w:numId w:val="102"/>
              </w:numPr>
              <w:tabs>
                <w:tab w:pos="812" w:val="left" w:leader="none"/>
              </w:tabs>
              <w:spacing w:line="240" w:lineRule="auto" w:before="0" w:after="0"/>
              <w:ind w:left="280" w:right="104" w:hanging="141"/>
              <w:jc w:val="both"/>
              <w:rPr>
                <w:sz w:val="20"/>
              </w:rPr>
            </w:pPr>
            <w:r>
              <w:rPr>
                <w:sz w:val="20"/>
              </w:rPr>
              <w:t>Existe planeación ambiental con articulación entre</w:t>
            </w:r>
            <w:r>
              <w:rPr>
                <w:spacing w:val="-5"/>
                <w:sz w:val="20"/>
              </w:rPr>
              <w:t> </w:t>
            </w:r>
            <w:r>
              <w:rPr>
                <w:sz w:val="20"/>
              </w:rPr>
              <w:t>actores</w:t>
            </w:r>
          </w:p>
        </w:tc>
        <w:tc>
          <w:tcPr>
            <w:tcW w:w="148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480"/>
              <w:rPr>
                <w:sz w:val="20"/>
              </w:rPr>
            </w:pPr>
            <w:r>
              <w:rPr>
                <w:sz w:val="20"/>
              </w:rPr>
              <w:t>100%</w:t>
            </w:r>
          </w:p>
        </w:tc>
        <w:tc>
          <w:tcPr>
            <w:tcW w:w="2553" w:type="dxa"/>
            <w:vMerge w:val="restart"/>
          </w:tcPr>
          <w:p>
            <w:pPr>
              <w:pStyle w:val="TableParagraph"/>
              <w:spacing w:line="242" w:lineRule="auto" w:before="4"/>
              <w:ind w:right="102"/>
              <w:jc w:val="both"/>
              <w:rPr>
                <w:sz w:val="20"/>
              </w:rPr>
            </w:pPr>
            <w:r>
              <w:rPr>
                <w:sz w:val="20"/>
              </w:rPr>
              <w:t>Debe reunir al </w:t>
            </w:r>
            <w:r>
              <w:rPr>
                <w:b/>
                <w:sz w:val="20"/>
              </w:rPr>
              <w:t>100% las tres </w:t>
            </w:r>
            <w:r>
              <w:rPr>
                <w:sz w:val="20"/>
              </w:rPr>
              <w:t>características de impacto positivo</w:t>
            </w:r>
          </w:p>
        </w:tc>
        <w:tc>
          <w:tcPr>
            <w:tcW w:w="1650"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32"/>
              <w:rPr>
                <w:b/>
                <w:sz w:val="20"/>
              </w:rPr>
            </w:pPr>
            <w:r>
              <w:rPr>
                <w:b/>
                <w:sz w:val="20"/>
              </w:rPr>
              <w:t>Excelente</w:t>
            </w:r>
          </w:p>
        </w:tc>
      </w:tr>
      <w:tr>
        <w:trPr>
          <w:trHeight w:val="2542" w:hRule="exact"/>
        </w:trPr>
        <w:tc>
          <w:tcPr>
            <w:tcW w:w="954" w:type="dxa"/>
            <w:vMerge/>
            <w:tcBorders>
              <w:left w:val="double" w:sz="11" w:space="0" w:color="000000"/>
            </w:tcBorders>
          </w:tcPr>
          <w:p>
            <w:pPr/>
          </w:p>
        </w:tc>
        <w:tc>
          <w:tcPr>
            <w:tcW w:w="1937" w:type="dxa"/>
            <w:vMerge/>
          </w:tcPr>
          <w:p>
            <w:pPr/>
          </w:p>
        </w:tc>
        <w:tc>
          <w:tcPr>
            <w:tcW w:w="1349" w:type="dxa"/>
          </w:tcPr>
          <w:p>
            <w:pPr>
              <w:pStyle w:val="TableParagraph"/>
              <w:spacing w:line="230" w:lineRule="exact"/>
              <w:rPr>
                <w:sz w:val="20"/>
              </w:rPr>
            </w:pPr>
            <w:r>
              <w:rPr>
                <w:sz w:val="20"/>
              </w:rPr>
              <w:t>Económico</w:t>
            </w:r>
          </w:p>
        </w:tc>
        <w:tc>
          <w:tcPr>
            <w:tcW w:w="2892" w:type="dxa"/>
          </w:tcPr>
          <w:p>
            <w:pPr>
              <w:pStyle w:val="TableParagraph"/>
              <w:numPr>
                <w:ilvl w:val="0"/>
                <w:numId w:val="103"/>
              </w:numPr>
              <w:tabs>
                <w:tab w:pos="812" w:val="left" w:leader="none"/>
              </w:tabs>
              <w:spacing w:line="240" w:lineRule="auto" w:before="0" w:after="0"/>
              <w:ind w:left="280" w:right="106"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103"/>
              </w:numPr>
              <w:tabs>
                <w:tab w:pos="812" w:val="left" w:leader="none"/>
              </w:tabs>
              <w:spacing w:line="240" w:lineRule="auto" w:before="0" w:after="0"/>
              <w:ind w:left="280" w:right="105" w:hanging="141"/>
              <w:jc w:val="both"/>
              <w:rPr>
                <w:sz w:val="20"/>
              </w:rPr>
            </w:pPr>
            <w:r>
              <w:rPr>
                <w:sz w:val="20"/>
              </w:rPr>
              <w:t>Existe crecimiento económico igualitario en los municipios que integran la CHPH</w:t>
            </w:r>
          </w:p>
          <w:p>
            <w:pPr>
              <w:pStyle w:val="TableParagraph"/>
              <w:numPr>
                <w:ilvl w:val="0"/>
                <w:numId w:val="103"/>
              </w:numPr>
              <w:tabs>
                <w:tab w:pos="812" w:val="left" w:leader="none"/>
              </w:tabs>
              <w:spacing w:line="240" w:lineRule="auto" w:before="0" w:after="0"/>
              <w:ind w:left="280" w:right="104" w:hanging="141"/>
              <w:jc w:val="both"/>
              <w:rPr>
                <w:sz w:val="20"/>
              </w:rPr>
            </w:pPr>
            <w:r>
              <w:rPr>
                <w:sz w:val="20"/>
              </w:rPr>
              <w:t>Existe planeación económica con articulación entre</w:t>
            </w:r>
            <w:r>
              <w:rPr>
                <w:spacing w:val="-5"/>
                <w:sz w:val="20"/>
              </w:rPr>
              <w:t> </w:t>
            </w:r>
            <w:r>
              <w:rPr>
                <w:sz w:val="20"/>
              </w:rPr>
              <w:t>actores</w:t>
            </w:r>
          </w:p>
        </w:tc>
        <w:tc>
          <w:tcPr>
            <w:tcW w:w="1486" w:type="dxa"/>
            <w:vMerge/>
          </w:tcPr>
          <w:p>
            <w:pPr/>
          </w:p>
        </w:tc>
        <w:tc>
          <w:tcPr>
            <w:tcW w:w="2553" w:type="dxa"/>
            <w:vMerge/>
          </w:tcPr>
          <w:p>
            <w:pPr/>
          </w:p>
        </w:tc>
        <w:tc>
          <w:tcPr>
            <w:tcW w:w="1650" w:type="dxa"/>
            <w:vMerge/>
            <w:tcBorders>
              <w:right w:val="double" w:sz="12" w:space="0" w:color="000000"/>
            </w:tcBorders>
            <w:shd w:val="clear" w:color="auto" w:fill="00FF00"/>
          </w:tcPr>
          <w:p>
            <w:pPr/>
          </w:p>
        </w:tc>
      </w:tr>
      <w:tr>
        <w:trPr>
          <w:trHeight w:val="2770" w:hRule="exact"/>
        </w:trPr>
        <w:tc>
          <w:tcPr>
            <w:tcW w:w="954" w:type="dxa"/>
            <w:vMerge/>
            <w:tcBorders>
              <w:left w:val="double" w:sz="11" w:space="0" w:color="000000"/>
            </w:tcBorders>
          </w:tcPr>
          <w:p>
            <w:pPr/>
          </w:p>
        </w:tc>
        <w:tc>
          <w:tcPr>
            <w:tcW w:w="1937" w:type="dxa"/>
            <w:vMerge/>
          </w:tcPr>
          <w:p>
            <w:pPr/>
          </w:p>
        </w:tc>
        <w:tc>
          <w:tcPr>
            <w:tcW w:w="1349" w:type="dxa"/>
          </w:tcPr>
          <w:p>
            <w:pPr>
              <w:pStyle w:val="TableParagraph"/>
              <w:spacing w:line="227" w:lineRule="exact"/>
              <w:rPr>
                <w:sz w:val="20"/>
              </w:rPr>
            </w:pPr>
            <w:r>
              <w:rPr>
                <w:sz w:val="20"/>
              </w:rPr>
              <w:t>Sociopolítico</w:t>
            </w:r>
          </w:p>
        </w:tc>
        <w:tc>
          <w:tcPr>
            <w:tcW w:w="2892" w:type="dxa"/>
          </w:tcPr>
          <w:p>
            <w:pPr>
              <w:pStyle w:val="TableParagraph"/>
              <w:ind w:left="280" w:right="104" w:hanging="178"/>
              <w:jc w:val="both"/>
              <w:rPr>
                <w:sz w:val="20"/>
              </w:rPr>
            </w:pPr>
            <w:r>
              <w:rPr>
                <w:rFonts w:ascii="Wingdings" w:hAnsi="Wingdings"/>
                <w:spacing w:val="2"/>
                <w:sz w:val="20"/>
              </w:rPr>
              <w:t></w:t>
            </w:r>
            <w:r>
              <w:rPr>
                <w:spacing w:val="2"/>
                <w:sz w:val="20"/>
              </w:rPr>
              <w:t>Favorece </w:t>
            </w:r>
            <w:r>
              <w:rPr>
                <w:sz w:val="20"/>
              </w:rPr>
              <w:t>la voluntariedad de los actores para cuidar  el medio ambiente de la CHPH</w:t>
            </w:r>
          </w:p>
          <w:p>
            <w:pPr>
              <w:pStyle w:val="TableParagraph"/>
              <w:ind w:left="280" w:right="105" w:hanging="178"/>
              <w:jc w:val="both"/>
              <w:rPr>
                <w:sz w:val="20"/>
              </w:rPr>
            </w:pPr>
            <w:r>
              <w:rPr>
                <w:rFonts w:ascii="Wingdings" w:hAnsi="Wingdings"/>
                <w:sz w:val="20"/>
              </w:rPr>
              <w:t></w:t>
            </w:r>
            <w:r>
              <w:rPr>
                <w:sz w:val="20"/>
              </w:rPr>
              <w:t>Favorece la organización sociopolítica de los actores de la CHPH por la vía democrática</w:t>
            </w:r>
          </w:p>
          <w:p>
            <w:pPr>
              <w:pStyle w:val="TableParagraph"/>
              <w:ind w:left="280" w:right="104" w:hanging="178"/>
              <w:jc w:val="both"/>
              <w:rPr>
                <w:sz w:val="20"/>
              </w:rPr>
            </w:pPr>
            <w:r>
              <w:rPr>
                <w:rFonts w:ascii="Wingdings" w:hAnsi="Wingdings"/>
                <w:sz w:val="20"/>
              </w:rPr>
              <w:t></w:t>
            </w:r>
            <w:r>
              <w:rPr>
                <w:sz w:val="20"/>
              </w:rPr>
              <w:t>Favorece la articulación entre actores para cuidar el medio ambiente</w:t>
            </w:r>
          </w:p>
          <w:p>
            <w:pPr>
              <w:pStyle w:val="TableParagraph"/>
              <w:rPr>
                <w:sz w:val="20"/>
              </w:rPr>
            </w:pPr>
            <w:r>
              <w:rPr>
                <w:rFonts w:ascii="Wingdings" w:hAnsi="Wingdings"/>
                <w:sz w:val="20"/>
              </w:rPr>
              <w:t></w:t>
            </w:r>
            <w:r>
              <w:rPr>
                <w:sz w:val="20"/>
              </w:rPr>
              <w:t>Favorece la GIRH</w:t>
            </w:r>
          </w:p>
        </w:tc>
        <w:tc>
          <w:tcPr>
            <w:tcW w:w="1486" w:type="dxa"/>
            <w:vMerge/>
          </w:tcPr>
          <w:p>
            <w:pPr/>
          </w:p>
        </w:tc>
        <w:tc>
          <w:tcPr>
            <w:tcW w:w="2553" w:type="dxa"/>
            <w:vMerge/>
          </w:tcPr>
          <w:p>
            <w:pPr/>
          </w:p>
        </w:tc>
        <w:tc>
          <w:tcPr>
            <w:tcW w:w="1650"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26.26001pt;margin-top:144.020004pt;width:80.05pt;height:380.6pt;mso-position-horizontal-relative:page;mso-position-vertical-relative:page;z-index:-3330712" coordorigin="12525,2880" coordsize="1601,7612">
            <v:shape style="position:absolute;left:12525;top:2881;width:1601;height:7612" type="#_x0000_t75" stroked="false">
              <v:imagedata r:id="rId317" o:title=""/>
            </v:shape>
            <v:shape style="position:absolute;left:12626;top:2880;width:1397;height:230" type="#_x0000_t75" stroked="false">
              <v:imagedata r:id="rId318" o:title=""/>
            </v:shape>
            <v:shape style="position:absolute;left:12626;top:3111;width:1397;height:230" type="#_x0000_t75" stroked="false">
              <v:imagedata r:id="rId319" o:title=""/>
            </v:shape>
            <v:shape style="position:absolute;left:12626;top:3341;width:1397;height:230" type="#_x0000_t75" stroked="false">
              <v:imagedata r:id="rId320" o:title=""/>
            </v:shape>
            <v:shape style="position:absolute;left:12626;top:3572;width:1397;height:230" type="#_x0000_t75" stroked="false">
              <v:imagedata r:id="rId321" o:title=""/>
            </v:shape>
            <v:shape style="position:absolute;left:12626;top:3802;width:1397;height:231" type="#_x0000_t75" stroked="false">
              <v:imagedata r:id="rId322" o:title=""/>
            </v:shape>
            <v:shape style="position:absolute;left:12626;top:4033;width:1397;height:228" type="#_x0000_t75" stroked="false">
              <v:imagedata r:id="rId323" o:title=""/>
            </v:shape>
            <v:shape style="position:absolute;left:12626;top:4261;width:1397;height:230" type="#_x0000_t75" stroked="false">
              <v:imagedata r:id="rId324" o:title=""/>
            </v:shape>
            <v:shape style="position:absolute;left:12626;top:4491;width:1397;height:230" type="#_x0000_t75" stroked="false">
              <v:imagedata r:id="rId325" o:title=""/>
            </v:shape>
            <v:shape style="position:absolute;left:12626;top:4722;width:1397;height:230" type="#_x0000_t75" stroked="false">
              <v:imagedata r:id="rId326"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37"/>
        <w:gridCol w:w="1349"/>
        <w:gridCol w:w="2892"/>
        <w:gridCol w:w="1486"/>
        <w:gridCol w:w="2552"/>
        <w:gridCol w:w="1651"/>
      </w:tblGrid>
      <w:tr>
        <w:trPr>
          <w:trHeight w:val="1169" w:hRule="exact"/>
        </w:trPr>
        <w:tc>
          <w:tcPr>
            <w:tcW w:w="954" w:type="dxa"/>
            <w:tcBorders>
              <w:left w:val="double" w:sz="11" w:space="0" w:color="000000"/>
            </w:tcBorders>
          </w:tcPr>
          <w:p>
            <w:pPr/>
          </w:p>
        </w:tc>
        <w:tc>
          <w:tcPr>
            <w:tcW w:w="1937" w:type="dxa"/>
          </w:tcPr>
          <w:p>
            <w:pPr/>
          </w:p>
        </w:tc>
        <w:tc>
          <w:tcPr>
            <w:tcW w:w="1349" w:type="dxa"/>
          </w:tcPr>
          <w:p>
            <w:pPr/>
          </w:p>
        </w:tc>
        <w:tc>
          <w:tcPr>
            <w:tcW w:w="2892" w:type="dxa"/>
          </w:tcPr>
          <w:p>
            <w:pPr>
              <w:pStyle w:val="TableParagraph"/>
              <w:spacing w:before="7"/>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806" w:val="left" w:leader="none"/>
                <w:tab w:pos="2452" w:val="left" w:leader="none"/>
              </w:tabs>
              <w:ind w:left="280" w:right="103"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86" w:type="dxa"/>
          </w:tcPr>
          <w:p>
            <w:pPr/>
          </w:p>
        </w:tc>
        <w:tc>
          <w:tcPr>
            <w:tcW w:w="2552" w:type="dxa"/>
          </w:tcPr>
          <w:p>
            <w:pPr/>
          </w:p>
        </w:tc>
        <w:tc>
          <w:tcPr>
            <w:tcW w:w="1651" w:type="dxa"/>
            <w:tcBorders>
              <w:right w:val="double" w:sz="12" w:space="0" w:color="000000"/>
            </w:tcBorders>
            <w:shd w:val="clear" w:color="auto" w:fill="00FF00"/>
          </w:tcPr>
          <w:p>
            <w:pPr/>
          </w:p>
        </w:tc>
      </w:tr>
      <w:tr>
        <w:trPr>
          <w:trHeight w:val="3461"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0"/>
              </w:rPr>
            </w:pPr>
          </w:p>
          <w:p>
            <w:pPr>
              <w:pStyle w:val="TableParagraph"/>
              <w:ind w:left="230"/>
              <w:rPr>
                <w:sz w:val="20"/>
              </w:rPr>
            </w:pPr>
            <w:r>
              <w:rPr>
                <w:sz w:val="20"/>
              </w:rPr>
              <w:t>1519</w:t>
            </w:r>
          </w:p>
        </w:tc>
        <w:tc>
          <w:tcPr>
            <w:tcW w:w="1937"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0"/>
              <w:jc w:val="center"/>
              <w:rPr>
                <w:b/>
                <w:sz w:val="20"/>
              </w:rPr>
            </w:pPr>
            <w:r>
              <w:rPr>
                <w:b/>
                <w:w w:val="99"/>
                <w:sz w:val="20"/>
              </w:rPr>
              <w:t>1</w:t>
            </w:r>
          </w:p>
        </w:tc>
        <w:tc>
          <w:tcPr>
            <w:tcW w:w="1349" w:type="dxa"/>
          </w:tcPr>
          <w:p>
            <w:pPr>
              <w:pStyle w:val="TableParagraph"/>
              <w:spacing w:line="227" w:lineRule="exact"/>
              <w:rPr>
                <w:sz w:val="20"/>
              </w:rPr>
            </w:pPr>
            <w:r>
              <w:rPr>
                <w:sz w:val="20"/>
              </w:rPr>
              <w:t>Ambiental</w:t>
            </w:r>
          </w:p>
        </w:tc>
        <w:tc>
          <w:tcPr>
            <w:tcW w:w="2892" w:type="dxa"/>
          </w:tcPr>
          <w:p>
            <w:pPr>
              <w:pStyle w:val="TableParagraph"/>
              <w:numPr>
                <w:ilvl w:val="0"/>
                <w:numId w:val="104"/>
              </w:numPr>
              <w:tabs>
                <w:tab w:pos="812" w:val="left" w:leader="none"/>
              </w:tabs>
              <w:spacing w:line="240" w:lineRule="auto" w:before="0" w:after="0"/>
              <w:ind w:left="280" w:right="104" w:hanging="141"/>
              <w:jc w:val="both"/>
              <w:rPr>
                <w:sz w:val="20"/>
              </w:rPr>
            </w:pPr>
            <w:r>
              <w:rPr>
                <w:sz w:val="20"/>
              </w:rPr>
              <w:t>Existe participación directa de los actores de la CHPH en el cuidado y rescate del medio</w:t>
            </w:r>
            <w:r>
              <w:rPr>
                <w:spacing w:val="-8"/>
                <w:sz w:val="20"/>
              </w:rPr>
              <w:t> </w:t>
            </w:r>
            <w:r>
              <w:rPr>
                <w:sz w:val="20"/>
              </w:rPr>
              <w:t>ambiente</w:t>
            </w:r>
          </w:p>
          <w:p>
            <w:pPr>
              <w:pStyle w:val="TableParagraph"/>
              <w:numPr>
                <w:ilvl w:val="0"/>
                <w:numId w:val="104"/>
              </w:numPr>
              <w:tabs>
                <w:tab w:pos="812" w:val="left" w:leader="none"/>
              </w:tabs>
              <w:spacing w:line="240" w:lineRule="auto" w:before="1" w:after="0"/>
              <w:ind w:left="280" w:right="105" w:hanging="141"/>
              <w:jc w:val="both"/>
              <w:rPr>
                <w:sz w:val="20"/>
              </w:rPr>
            </w:pPr>
            <w:r>
              <w:rPr>
                <w:sz w:val="20"/>
              </w:rPr>
              <w:t>Existe voluntariedad de los actores de la CHPH para cuidar el medio ambiente</w:t>
            </w:r>
          </w:p>
          <w:p>
            <w:pPr>
              <w:pStyle w:val="TableParagraph"/>
              <w:numPr>
                <w:ilvl w:val="0"/>
                <w:numId w:val="104"/>
              </w:numPr>
              <w:tabs>
                <w:tab w:pos="812" w:val="left" w:leader="none"/>
              </w:tabs>
              <w:spacing w:line="240" w:lineRule="auto" w:before="0" w:after="0"/>
              <w:ind w:left="280" w:right="104" w:hanging="141"/>
              <w:jc w:val="both"/>
              <w:rPr>
                <w:sz w:val="20"/>
              </w:rPr>
            </w:pPr>
            <w:r>
              <w:rPr>
                <w:sz w:val="20"/>
              </w:rPr>
              <w:t>Los acuerdos para cuidar el medio ambiente  se hacen por la vía democrática en la</w:t>
            </w:r>
            <w:r>
              <w:rPr>
                <w:spacing w:val="-10"/>
                <w:sz w:val="20"/>
              </w:rPr>
              <w:t> </w:t>
            </w:r>
            <w:r>
              <w:rPr>
                <w:sz w:val="20"/>
              </w:rPr>
              <w:t>CHPH</w:t>
            </w:r>
          </w:p>
          <w:p>
            <w:pPr>
              <w:pStyle w:val="TableParagraph"/>
              <w:numPr>
                <w:ilvl w:val="0"/>
                <w:numId w:val="104"/>
              </w:numPr>
              <w:tabs>
                <w:tab w:pos="812" w:val="left" w:leader="none"/>
              </w:tabs>
              <w:spacing w:line="240" w:lineRule="auto" w:before="0" w:after="0"/>
              <w:ind w:left="280" w:right="105" w:hanging="141"/>
              <w:jc w:val="both"/>
              <w:rPr>
                <w:sz w:val="20"/>
              </w:rPr>
            </w:pPr>
            <w:r>
              <w:rPr>
                <w:sz w:val="20"/>
              </w:rPr>
              <w:t>Existe planeación ambiental con articulación entre</w:t>
            </w:r>
            <w:r>
              <w:rPr>
                <w:spacing w:val="-5"/>
                <w:sz w:val="20"/>
              </w:rPr>
              <w:t> </w:t>
            </w:r>
            <w:r>
              <w:rPr>
                <w:sz w:val="20"/>
              </w:rPr>
              <w:t>actores</w:t>
            </w:r>
          </w:p>
        </w:tc>
        <w:tc>
          <w:tcPr>
            <w:tcW w:w="148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0"/>
              </w:rPr>
            </w:pPr>
          </w:p>
          <w:p>
            <w:pPr>
              <w:pStyle w:val="TableParagraph"/>
              <w:ind w:left="515" w:right="520"/>
              <w:jc w:val="center"/>
              <w:rPr>
                <w:sz w:val="20"/>
              </w:rPr>
            </w:pPr>
            <w:r>
              <w:rPr>
                <w:sz w:val="20"/>
              </w:rPr>
              <w:t>75%</w:t>
            </w:r>
          </w:p>
        </w:tc>
        <w:tc>
          <w:tcPr>
            <w:tcW w:w="2552" w:type="dxa"/>
            <w:vMerge w:val="restart"/>
          </w:tcPr>
          <w:p>
            <w:pPr>
              <w:pStyle w:val="TableParagraph"/>
              <w:spacing w:line="242" w:lineRule="auto"/>
              <w:ind w:right="102"/>
              <w:jc w:val="both"/>
              <w:rPr>
                <w:sz w:val="20"/>
              </w:rPr>
            </w:pPr>
            <w:r>
              <w:rPr>
                <w:sz w:val="20"/>
              </w:rPr>
              <w:t>Debe reunir </w:t>
            </w:r>
            <w:r>
              <w:rPr>
                <w:b/>
                <w:sz w:val="20"/>
              </w:rPr>
              <w:t>al menos el 75% </w:t>
            </w:r>
            <w:r>
              <w:rPr>
                <w:sz w:val="20"/>
              </w:rPr>
              <w:t>dos de tres características de impacto positivo</w:t>
            </w:r>
          </w:p>
        </w:tc>
        <w:tc>
          <w:tcPr>
            <w:tcW w:w="1651"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489"/>
              <w:rPr>
                <w:b/>
                <w:sz w:val="20"/>
              </w:rPr>
            </w:pPr>
            <w:r>
              <w:rPr>
                <w:b/>
                <w:sz w:val="20"/>
              </w:rPr>
              <w:t>Bueno</w:t>
            </w:r>
          </w:p>
        </w:tc>
      </w:tr>
      <w:tr>
        <w:trPr>
          <w:trHeight w:val="2540" w:hRule="exact"/>
        </w:trPr>
        <w:tc>
          <w:tcPr>
            <w:tcW w:w="954" w:type="dxa"/>
            <w:vMerge/>
            <w:tcBorders>
              <w:left w:val="double" w:sz="11" w:space="0" w:color="000000"/>
            </w:tcBorders>
          </w:tcPr>
          <w:p>
            <w:pPr/>
          </w:p>
        </w:tc>
        <w:tc>
          <w:tcPr>
            <w:tcW w:w="1937" w:type="dxa"/>
            <w:vMerge/>
          </w:tcPr>
          <w:p>
            <w:pPr/>
          </w:p>
        </w:tc>
        <w:tc>
          <w:tcPr>
            <w:tcW w:w="1349" w:type="dxa"/>
          </w:tcPr>
          <w:p>
            <w:pPr>
              <w:pStyle w:val="TableParagraph"/>
              <w:spacing w:line="228" w:lineRule="exact"/>
              <w:rPr>
                <w:sz w:val="20"/>
              </w:rPr>
            </w:pPr>
            <w:r>
              <w:rPr>
                <w:sz w:val="20"/>
              </w:rPr>
              <w:t>Económico</w:t>
            </w:r>
          </w:p>
        </w:tc>
        <w:tc>
          <w:tcPr>
            <w:tcW w:w="2892" w:type="dxa"/>
          </w:tcPr>
          <w:p>
            <w:pPr>
              <w:pStyle w:val="TableParagraph"/>
              <w:numPr>
                <w:ilvl w:val="0"/>
                <w:numId w:val="105"/>
              </w:numPr>
              <w:tabs>
                <w:tab w:pos="812" w:val="left" w:leader="none"/>
              </w:tabs>
              <w:spacing w:line="240" w:lineRule="auto" w:before="0" w:after="0"/>
              <w:ind w:left="280" w:right="105"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105"/>
              </w:numPr>
              <w:tabs>
                <w:tab w:pos="812" w:val="left" w:leader="none"/>
              </w:tabs>
              <w:spacing w:line="240" w:lineRule="auto" w:before="0" w:after="0"/>
              <w:ind w:left="280" w:right="105" w:hanging="141"/>
              <w:jc w:val="both"/>
              <w:rPr>
                <w:sz w:val="20"/>
              </w:rPr>
            </w:pPr>
            <w:r>
              <w:rPr>
                <w:sz w:val="20"/>
              </w:rPr>
              <w:t>Existe crecimiento económico igualitario en los municipios que integran la CHPH</w:t>
            </w:r>
          </w:p>
          <w:p>
            <w:pPr>
              <w:pStyle w:val="TableParagraph"/>
              <w:numPr>
                <w:ilvl w:val="0"/>
                <w:numId w:val="105"/>
              </w:numPr>
              <w:tabs>
                <w:tab w:pos="812" w:val="left" w:leader="none"/>
              </w:tabs>
              <w:spacing w:line="240" w:lineRule="auto" w:before="0" w:after="0"/>
              <w:ind w:left="280" w:right="105" w:hanging="141"/>
              <w:jc w:val="both"/>
              <w:rPr>
                <w:sz w:val="20"/>
              </w:rPr>
            </w:pPr>
            <w:r>
              <w:rPr>
                <w:sz w:val="20"/>
              </w:rPr>
              <w:t>Existe planeación económica con articulación entre</w:t>
            </w:r>
            <w:r>
              <w:rPr>
                <w:spacing w:val="-5"/>
                <w:sz w:val="20"/>
              </w:rPr>
              <w:t> </w:t>
            </w:r>
            <w:r>
              <w:rPr>
                <w:sz w:val="20"/>
              </w:rPr>
              <w:t>actores</w:t>
            </w:r>
          </w:p>
        </w:tc>
        <w:tc>
          <w:tcPr>
            <w:tcW w:w="1486" w:type="dxa"/>
            <w:vMerge/>
          </w:tcPr>
          <w:p>
            <w:pPr/>
          </w:p>
        </w:tc>
        <w:tc>
          <w:tcPr>
            <w:tcW w:w="2552" w:type="dxa"/>
            <w:vMerge/>
          </w:tcPr>
          <w:p>
            <w:pPr/>
          </w:p>
        </w:tc>
        <w:tc>
          <w:tcPr>
            <w:tcW w:w="1651" w:type="dxa"/>
            <w:vMerge/>
            <w:tcBorders>
              <w:right w:val="double" w:sz="12" w:space="0" w:color="000000"/>
            </w:tcBorders>
          </w:tcPr>
          <w:p>
            <w:pPr/>
          </w:p>
        </w:tc>
      </w:tr>
      <w:tr>
        <w:trPr>
          <w:trHeight w:val="1621" w:hRule="exact"/>
        </w:trPr>
        <w:tc>
          <w:tcPr>
            <w:tcW w:w="954" w:type="dxa"/>
            <w:vMerge/>
            <w:tcBorders>
              <w:left w:val="double" w:sz="11" w:space="0" w:color="000000"/>
              <w:bottom w:val="single" w:sz="8" w:space="0" w:color="000000"/>
            </w:tcBorders>
          </w:tcPr>
          <w:p>
            <w:pPr/>
          </w:p>
        </w:tc>
        <w:tc>
          <w:tcPr>
            <w:tcW w:w="1937" w:type="dxa"/>
            <w:vMerge/>
            <w:tcBorders>
              <w:bottom w:val="single" w:sz="8" w:space="0" w:color="000000"/>
            </w:tcBorders>
          </w:tcPr>
          <w:p>
            <w:pPr/>
          </w:p>
        </w:tc>
        <w:tc>
          <w:tcPr>
            <w:tcW w:w="1349" w:type="dxa"/>
            <w:tcBorders>
              <w:bottom w:val="single" w:sz="8" w:space="0" w:color="000000"/>
            </w:tcBorders>
          </w:tcPr>
          <w:p>
            <w:pPr>
              <w:pStyle w:val="TableParagraph"/>
              <w:spacing w:line="228" w:lineRule="exact"/>
              <w:rPr>
                <w:sz w:val="20"/>
              </w:rPr>
            </w:pPr>
            <w:r>
              <w:rPr>
                <w:sz w:val="20"/>
              </w:rPr>
              <w:t>Sociopolítico</w:t>
            </w:r>
          </w:p>
        </w:tc>
        <w:tc>
          <w:tcPr>
            <w:tcW w:w="2892" w:type="dxa"/>
            <w:tcBorders>
              <w:bottom w:val="single" w:sz="8" w:space="0" w:color="000000"/>
            </w:tcBorders>
          </w:tcPr>
          <w:p>
            <w:pPr>
              <w:pStyle w:val="TableParagraph"/>
              <w:ind w:left="280" w:right="104" w:hanging="178"/>
              <w:jc w:val="both"/>
              <w:rPr>
                <w:sz w:val="20"/>
              </w:rPr>
            </w:pPr>
            <w:r>
              <w:rPr>
                <w:rFonts w:ascii="Wingdings" w:hAnsi="Wingdings"/>
                <w:spacing w:val="2"/>
                <w:sz w:val="20"/>
              </w:rPr>
              <w:t></w:t>
            </w:r>
            <w:r>
              <w:rPr>
                <w:spacing w:val="2"/>
                <w:sz w:val="20"/>
              </w:rPr>
              <w:t>Favorece </w:t>
            </w:r>
            <w:r>
              <w:rPr>
                <w:sz w:val="20"/>
              </w:rPr>
              <w:t>la voluntariedad de los actores para cuidar  el medio ambiente de la CHPH</w:t>
            </w:r>
          </w:p>
          <w:p>
            <w:pPr>
              <w:pStyle w:val="TableParagraph"/>
              <w:ind w:left="280" w:right="105" w:hanging="178"/>
              <w:jc w:val="both"/>
              <w:rPr>
                <w:sz w:val="20"/>
              </w:rPr>
            </w:pPr>
            <w:r>
              <w:rPr>
                <w:rFonts w:ascii="Wingdings" w:hAnsi="Wingdings"/>
                <w:sz w:val="20"/>
              </w:rPr>
              <w:t></w:t>
            </w:r>
            <w:r>
              <w:rPr>
                <w:sz w:val="20"/>
              </w:rPr>
              <w:t>Favorece la organización sociopolítica de los actores de   la   CHPH   por   la   vía</w:t>
            </w:r>
          </w:p>
        </w:tc>
        <w:tc>
          <w:tcPr>
            <w:tcW w:w="1486" w:type="dxa"/>
            <w:vMerge/>
            <w:tcBorders>
              <w:bottom w:val="single" w:sz="8" w:space="0" w:color="000000"/>
            </w:tcBorders>
          </w:tcPr>
          <w:p>
            <w:pPr/>
          </w:p>
        </w:tc>
        <w:tc>
          <w:tcPr>
            <w:tcW w:w="2552" w:type="dxa"/>
            <w:vMerge/>
            <w:tcBorders>
              <w:bottom w:val="single" w:sz="8" w:space="0" w:color="000000"/>
            </w:tcBorders>
          </w:tcPr>
          <w:p>
            <w:pPr/>
          </w:p>
        </w:tc>
        <w:tc>
          <w:tcPr>
            <w:tcW w:w="1651" w:type="dxa"/>
            <w:vMerge/>
            <w:tcBorders>
              <w:bottom w:val="single" w:sz="8"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37"/>
        <w:gridCol w:w="1349"/>
        <w:gridCol w:w="2892"/>
        <w:gridCol w:w="1486"/>
        <w:gridCol w:w="2553"/>
        <w:gridCol w:w="1650"/>
      </w:tblGrid>
      <w:tr>
        <w:trPr>
          <w:trHeight w:val="2549" w:hRule="exact"/>
        </w:trPr>
        <w:tc>
          <w:tcPr>
            <w:tcW w:w="954" w:type="dxa"/>
            <w:tcBorders>
              <w:left w:val="double" w:sz="11" w:space="0" w:color="000000"/>
            </w:tcBorders>
          </w:tcPr>
          <w:p>
            <w:pPr/>
          </w:p>
        </w:tc>
        <w:tc>
          <w:tcPr>
            <w:tcW w:w="1937" w:type="dxa"/>
          </w:tcPr>
          <w:p>
            <w:pPr/>
          </w:p>
        </w:tc>
        <w:tc>
          <w:tcPr>
            <w:tcW w:w="1349" w:type="dxa"/>
          </w:tcPr>
          <w:p>
            <w:pPr/>
          </w:p>
        </w:tc>
        <w:tc>
          <w:tcPr>
            <w:tcW w:w="2892" w:type="dxa"/>
          </w:tcPr>
          <w:p>
            <w:pPr>
              <w:pStyle w:val="TableParagraph"/>
              <w:spacing w:before="7"/>
              <w:ind w:left="280"/>
              <w:rPr>
                <w:sz w:val="20"/>
              </w:rPr>
            </w:pPr>
            <w:r>
              <w:rPr>
                <w:sz w:val="20"/>
              </w:rPr>
              <w:t>democrática</w:t>
            </w:r>
          </w:p>
          <w:p>
            <w:pPr>
              <w:pStyle w:val="TableParagraph"/>
              <w:ind w:left="280" w:right="104" w:hanging="178"/>
              <w:jc w:val="both"/>
              <w:rPr>
                <w:sz w:val="20"/>
              </w:rPr>
            </w:pPr>
            <w:r>
              <w:rPr>
                <w:rFonts w:ascii="Wingdings" w:hAnsi="Wingdings"/>
                <w:sz w:val="20"/>
              </w:rPr>
              <w:t></w:t>
            </w:r>
            <w:r>
              <w:rPr>
                <w:sz w:val="20"/>
              </w:rPr>
              <w:t>Favorece la articulación entre actores para cuidar el medio ambiente</w:t>
            </w:r>
          </w:p>
          <w:p>
            <w:pPr>
              <w:pStyle w:val="TableParagraph"/>
              <w:spacing w:line="228" w:lineRule="exact"/>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806" w:val="left" w:leader="none"/>
                <w:tab w:pos="2451" w:val="left" w:leader="none"/>
              </w:tabs>
              <w:ind w:left="280" w:right="105"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86" w:type="dxa"/>
          </w:tcPr>
          <w:p>
            <w:pPr/>
          </w:p>
        </w:tc>
        <w:tc>
          <w:tcPr>
            <w:tcW w:w="2553" w:type="dxa"/>
          </w:tcPr>
          <w:p>
            <w:pPr/>
          </w:p>
        </w:tc>
        <w:tc>
          <w:tcPr>
            <w:tcW w:w="1650" w:type="dxa"/>
            <w:tcBorders>
              <w:right w:val="double" w:sz="12" w:space="0" w:color="000000"/>
            </w:tcBorders>
          </w:tcPr>
          <w:p>
            <w:pPr>
              <w:pStyle w:val="TableParagraph"/>
              <w:ind w:left="1" w:right="-50"/>
              <w:rPr>
                <w:rFonts w:ascii="Times New Roman"/>
                <w:sz w:val="20"/>
              </w:rPr>
            </w:pPr>
            <w:r>
              <w:rPr>
                <w:rFonts w:ascii="Times New Roman"/>
                <w:sz w:val="20"/>
              </w:rPr>
              <w:pict>
                <v:group style="width:80.05pt;height:126.5pt;mso-position-horizontal-relative:char;mso-position-vertical-relative:line" coordorigin="0,0" coordsize="1601,2530">
                  <v:shape style="position:absolute;left:0;top:0;width:1601;height:2530" type="#_x0000_t75" stroked="false">
                    <v:imagedata r:id="rId327" o:title=""/>
                  </v:shape>
                </v:group>
              </w:pict>
            </w:r>
            <w:r>
              <w:rPr>
                <w:rFonts w:ascii="Times New Roman"/>
                <w:sz w:val="20"/>
              </w:rPr>
            </w:r>
          </w:p>
        </w:tc>
      </w:tr>
      <w:tr>
        <w:trPr>
          <w:trHeight w:val="3461"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18"/>
              <w:ind w:left="230"/>
              <w:rPr>
                <w:sz w:val="20"/>
              </w:rPr>
            </w:pPr>
            <w:r>
              <w:rPr>
                <w:sz w:val="20"/>
              </w:rPr>
              <w:t>2016</w:t>
            </w:r>
          </w:p>
        </w:tc>
        <w:tc>
          <w:tcPr>
            <w:tcW w:w="1937"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349" w:type="dxa"/>
          </w:tcPr>
          <w:p>
            <w:pPr>
              <w:pStyle w:val="TableParagraph"/>
              <w:spacing w:line="227" w:lineRule="exact"/>
              <w:rPr>
                <w:sz w:val="20"/>
              </w:rPr>
            </w:pPr>
            <w:r>
              <w:rPr>
                <w:sz w:val="20"/>
              </w:rPr>
              <w:t>Ambiental</w:t>
            </w:r>
          </w:p>
        </w:tc>
        <w:tc>
          <w:tcPr>
            <w:tcW w:w="2892" w:type="dxa"/>
          </w:tcPr>
          <w:p>
            <w:pPr>
              <w:pStyle w:val="TableParagraph"/>
              <w:numPr>
                <w:ilvl w:val="0"/>
                <w:numId w:val="106"/>
              </w:numPr>
              <w:tabs>
                <w:tab w:pos="812" w:val="left" w:leader="none"/>
              </w:tabs>
              <w:spacing w:line="240" w:lineRule="auto" w:before="0" w:after="0"/>
              <w:ind w:left="280" w:right="104" w:hanging="141"/>
              <w:jc w:val="both"/>
              <w:rPr>
                <w:sz w:val="20"/>
              </w:rPr>
            </w:pPr>
            <w:r>
              <w:rPr>
                <w:sz w:val="20"/>
              </w:rPr>
              <w:t>Existe participación directa de los actores de la CHPH en el cuidado y rescate del medio</w:t>
            </w:r>
            <w:r>
              <w:rPr>
                <w:spacing w:val="-8"/>
                <w:sz w:val="20"/>
              </w:rPr>
              <w:t> </w:t>
            </w:r>
            <w:r>
              <w:rPr>
                <w:sz w:val="20"/>
              </w:rPr>
              <w:t>ambiente</w:t>
            </w:r>
          </w:p>
          <w:p>
            <w:pPr>
              <w:pStyle w:val="TableParagraph"/>
              <w:numPr>
                <w:ilvl w:val="0"/>
                <w:numId w:val="106"/>
              </w:numPr>
              <w:tabs>
                <w:tab w:pos="812" w:val="left" w:leader="none"/>
              </w:tabs>
              <w:spacing w:line="240" w:lineRule="auto" w:before="0" w:after="0"/>
              <w:ind w:left="280" w:right="105" w:hanging="141"/>
              <w:jc w:val="both"/>
              <w:rPr>
                <w:sz w:val="20"/>
              </w:rPr>
            </w:pPr>
            <w:r>
              <w:rPr>
                <w:sz w:val="20"/>
              </w:rPr>
              <w:t>Existe voluntariedad de los actores de la CHPH para cuidar el medio ambiente</w:t>
            </w:r>
          </w:p>
          <w:p>
            <w:pPr>
              <w:pStyle w:val="TableParagraph"/>
              <w:numPr>
                <w:ilvl w:val="0"/>
                <w:numId w:val="106"/>
              </w:numPr>
              <w:tabs>
                <w:tab w:pos="812" w:val="left" w:leader="none"/>
              </w:tabs>
              <w:spacing w:line="240" w:lineRule="auto" w:before="0" w:after="0"/>
              <w:ind w:left="280" w:right="105" w:hanging="141"/>
              <w:jc w:val="both"/>
              <w:rPr>
                <w:sz w:val="20"/>
              </w:rPr>
            </w:pPr>
            <w:r>
              <w:rPr>
                <w:sz w:val="20"/>
              </w:rPr>
              <w:t>Los acuerdos para cuidar el medio ambiente  se hacen por la vía democrática en la</w:t>
            </w:r>
            <w:r>
              <w:rPr>
                <w:spacing w:val="-10"/>
                <w:sz w:val="20"/>
              </w:rPr>
              <w:t> </w:t>
            </w:r>
            <w:r>
              <w:rPr>
                <w:sz w:val="20"/>
              </w:rPr>
              <w:t>CHPH</w:t>
            </w:r>
          </w:p>
          <w:p>
            <w:pPr>
              <w:pStyle w:val="TableParagraph"/>
              <w:numPr>
                <w:ilvl w:val="0"/>
                <w:numId w:val="106"/>
              </w:numPr>
              <w:tabs>
                <w:tab w:pos="812" w:val="left" w:leader="none"/>
              </w:tabs>
              <w:spacing w:line="240" w:lineRule="auto" w:before="0" w:after="0"/>
              <w:ind w:left="280" w:right="105" w:hanging="141"/>
              <w:jc w:val="both"/>
              <w:rPr>
                <w:sz w:val="20"/>
              </w:rPr>
            </w:pPr>
            <w:r>
              <w:rPr>
                <w:sz w:val="20"/>
              </w:rPr>
              <w:t>Existe planeación ambiental con articulación entre</w:t>
            </w:r>
            <w:r>
              <w:rPr>
                <w:spacing w:val="-5"/>
                <w:sz w:val="20"/>
              </w:rPr>
              <w:t> </w:t>
            </w:r>
            <w:r>
              <w:rPr>
                <w:sz w:val="20"/>
              </w:rPr>
              <w:t>actores</w:t>
            </w:r>
          </w:p>
        </w:tc>
        <w:tc>
          <w:tcPr>
            <w:tcW w:w="148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3"/>
              <w:ind w:left="0"/>
              <w:rPr>
                <w:rFonts w:ascii="Times New Roman"/>
                <w:sz w:val="20"/>
              </w:rPr>
            </w:pPr>
          </w:p>
          <w:p>
            <w:pPr>
              <w:pStyle w:val="TableParagraph"/>
              <w:ind w:left="515" w:right="520"/>
              <w:jc w:val="center"/>
              <w:rPr>
                <w:sz w:val="20"/>
              </w:rPr>
            </w:pPr>
            <w:r>
              <w:rPr>
                <w:sz w:val="20"/>
              </w:rPr>
              <w:t>50%</w:t>
            </w:r>
          </w:p>
        </w:tc>
        <w:tc>
          <w:tcPr>
            <w:tcW w:w="2553" w:type="dxa"/>
            <w:vMerge w:val="restart"/>
          </w:tcPr>
          <w:p>
            <w:pPr>
              <w:pStyle w:val="TableParagraph"/>
              <w:spacing w:line="242" w:lineRule="auto"/>
              <w:ind w:right="102"/>
              <w:jc w:val="both"/>
              <w:rPr>
                <w:sz w:val="20"/>
              </w:rPr>
            </w:pPr>
            <w:r>
              <w:rPr>
                <w:sz w:val="20"/>
              </w:rPr>
              <w:t>Debe reunir </w:t>
            </w:r>
            <w:r>
              <w:rPr>
                <w:b/>
                <w:sz w:val="20"/>
              </w:rPr>
              <w:t>al menos el 50% una de tres </w:t>
            </w:r>
            <w:r>
              <w:rPr>
                <w:sz w:val="20"/>
              </w:rPr>
              <w:t>características de impacto positivo</w:t>
            </w:r>
          </w:p>
        </w:tc>
        <w:tc>
          <w:tcPr>
            <w:tcW w:w="1650"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428"/>
              <w:rPr>
                <w:b/>
                <w:sz w:val="20"/>
              </w:rPr>
            </w:pPr>
            <w:r>
              <w:rPr>
                <w:b/>
                <w:sz w:val="20"/>
              </w:rPr>
              <w:t>Regular</w:t>
            </w:r>
          </w:p>
        </w:tc>
      </w:tr>
      <w:tr>
        <w:trPr>
          <w:trHeight w:val="2549" w:hRule="exact"/>
        </w:trPr>
        <w:tc>
          <w:tcPr>
            <w:tcW w:w="954" w:type="dxa"/>
            <w:vMerge/>
            <w:tcBorders>
              <w:left w:val="double" w:sz="11" w:space="0" w:color="000000"/>
              <w:bottom w:val="single" w:sz="8" w:space="0" w:color="000000"/>
            </w:tcBorders>
          </w:tcPr>
          <w:p>
            <w:pPr/>
          </w:p>
        </w:tc>
        <w:tc>
          <w:tcPr>
            <w:tcW w:w="1937" w:type="dxa"/>
            <w:vMerge/>
            <w:tcBorders>
              <w:bottom w:val="single" w:sz="8" w:space="0" w:color="000000"/>
            </w:tcBorders>
          </w:tcPr>
          <w:p>
            <w:pPr/>
          </w:p>
        </w:tc>
        <w:tc>
          <w:tcPr>
            <w:tcW w:w="1349" w:type="dxa"/>
            <w:tcBorders>
              <w:bottom w:val="single" w:sz="8" w:space="0" w:color="000000"/>
            </w:tcBorders>
          </w:tcPr>
          <w:p>
            <w:pPr>
              <w:pStyle w:val="TableParagraph"/>
              <w:spacing w:line="227" w:lineRule="exact"/>
              <w:rPr>
                <w:sz w:val="20"/>
              </w:rPr>
            </w:pPr>
            <w:r>
              <w:rPr>
                <w:sz w:val="20"/>
              </w:rPr>
              <w:t>Económico</w:t>
            </w:r>
          </w:p>
        </w:tc>
        <w:tc>
          <w:tcPr>
            <w:tcW w:w="2892" w:type="dxa"/>
            <w:tcBorders>
              <w:bottom w:val="single" w:sz="8" w:space="0" w:color="000000"/>
            </w:tcBorders>
          </w:tcPr>
          <w:p>
            <w:pPr>
              <w:pStyle w:val="TableParagraph"/>
              <w:numPr>
                <w:ilvl w:val="0"/>
                <w:numId w:val="107"/>
              </w:numPr>
              <w:tabs>
                <w:tab w:pos="812" w:val="left" w:leader="none"/>
              </w:tabs>
              <w:spacing w:line="240" w:lineRule="auto" w:before="0" w:after="0"/>
              <w:ind w:left="280" w:right="106"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107"/>
              </w:numPr>
              <w:tabs>
                <w:tab w:pos="812" w:val="left" w:leader="none"/>
              </w:tabs>
              <w:spacing w:line="240" w:lineRule="auto" w:before="0" w:after="0"/>
              <w:ind w:left="280" w:right="105" w:hanging="141"/>
              <w:jc w:val="both"/>
              <w:rPr>
                <w:sz w:val="20"/>
              </w:rPr>
            </w:pPr>
            <w:r>
              <w:rPr>
                <w:sz w:val="20"/>
              </w:rPr>
              <w:t>Existe crecimiento económico igualitario en los municipios que integran la CHPH</w:t>
            </w:r>
          </w:p>
          <w:p>
            <w:pPr>
              <w:pStyle w:val="TableParagraph"/>
              <w:numPr>
                <w:ilvl w:val="0"/>
                <w:numId w:val="107"/>
              </w:numPr>
              <w:tabs>
                <w:tab w:pos="812" w:val="left" w:leader="none"/>
              </w:tabs>
              <w:spacing w:line="240" w:lineRule="auto" w:before="0" w:after="0"/>
              <w:ind w:left="280" w:right="104" w:hanging="141"/>
              <w:jc w:val="both"/>
              <w:rPr>
                <w:sz w:val="20"/>
              </w:rPr>
            </w:pPr>
            <w:r>
              <w:rPr>
                <w:sz w:val="20"/>
              </w:rPr>
              <w:t>Existe planeación económica con articulación entre</w:t>
            </w:r>
            <w:r>
              <w:rPr>
                <w:spacing w:val="-5"/>
                <w:sz w:val="20"/>
              </w:rPr>
              <w:t> </w:t>
            </w:r>
            <w:r>
              <w:rPr>
                <w:sz w:val="20"/>
              </w:rPr>
              <w:t>actores</w:t>
            </w:r>
          </w:p>
        </w:tc>
        <w:tc>
          <w:tcPr>
            <w:tcW w:w="1486" w:type="dxa"/>
            <w:vMerge/>
            <w:tcBorders>
              <w:bottom w:val="single" w:sz="8" w:space="0" w:color="000000"/>
            </w:tcBorders>
          </w:tcPr>
          <w:p>
            <w:pPr/>
          </w:p>
        </w:tc>
        <w:tc>
          <w:tcPr>
            <w:tcW w:w="2553" w:type="dxa"/>
            <w:vMerge/>
            <w:tcBorders>
              <w:bottom w:val="single" w:sz="8" w:space="0" w:color="000000"/>
            </w:tcBorders>
          </w:tcPr>
          <w:p>
            <w:pPr/>
          </w:p>
        </w:tc>
        <w:tc>
          <w:tcPr>
            <w:tcW w:w="1650" w:type="dxa"/>
            <w:vMerge/>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37"/>
        <w:gridCol w:w="1349"/>
        <w:gridCol w:w="2892"/>
        <w:gridCol w:w="1486"/>
        <w:gridCol w:w="2552"/>
        <w:gridCol w:w="1651"/>
      </w:tblGrid>
      <w:tr>
        <w:trPr>
          <w:trHeight w:val="3929" w:hRule="exact"/>
        </w:trPr>
        <w:tc>
          <w:tcPr>
            <w:tcW w:w="954" w:type="dxa"/>
            <w:tcBorders>
              <w:left w:val="double" w:sz="11" w:space="0" w:color="000000"/>
            </w:tcBorders>
          </w:tcPr>
          <w:p>
            <w:pPr/>
          </w:p>
        </w:tc>
        <w:tc>
          <w:tcPr>
            <w:tcW w:w="1937" w:type="dxa"/>
          </w:tcPr>
          <w:p>
            <w:pPr/>
          </w:p>
        </w:tc>
        <w:tc>
          <w:tcPr>
            <w:tcW w:w="1349" w:type="dxa"/>
          </w:tcPr>
          <w:p>
            <w:pPr>
              <w:pStyle w:val="TableParagraph"/>
              <w:spacing w:before="7"/>
              <w:rPr>
                <w:sz w:val="20"/>
              </w:rPr>
            </w:pPr>
            <w:r>
              <w:rPr>
                <w:sz w:val="20"/>
              </w:rPr>
              <w:t>Sociopolítico</w:t>
            </w:r>
          </w:p>
        </w:tc>
        <w:tc>
          <w:tcPr>
            <w:tcW w:w="2892" w:type="dxa"/>
          </w:tcPr>
          <w:p>
            <w:pPr>
              <w:pStyle w:val="TableParagraph"/>
              <w:spacing w:before="7"/>
              <w:ind w:left="280" w:right="104" w:hanging="178"/>
              <w:jc w:val="both"/>
              <w:rPr>
                <w:sz w:val="20"/>
              </w:rPr>
            </w:pPr>
            <w:r>
              <w:rPr>
                <w:rFonts w:ascii="Wingdings" w:hAnsi="Wingdings"/>
                <w:spacing w:val="2"/>
                <w:sz w:val="20"/>
              </w:rPr>
              <w:t></w:t>
            </w:r>
            <w:r>
              <w:rPr>
                <w:spacing w:val="2"/>
                <w:sz w:val="20"/>
              </w:rPr>
              <w:t>Favorece </w:t>
            </w:r>
            <w:r>
              <w:rPr>
                <w:sz w:val="20"/>
              </w:rPr>
              <w:t>la voluntariedad de los actores para cuidar  el medio ambiente de la CHPH</w:t>
            </w:r>
          </w:p>
          <w:p>
            <w:pPr>
              <w:pStyle w:val="TableParagraph"/>
              <w:ind w:left="280" w:right="105" w:hanging="178"/>
              <w:jc w:val="both"/>
              <w:rPr>
                <w:sz w:val="20"/>
              </w:rPr>
            </w:pPr>
            <w:r>
              <w:rPr>
                <w:rFonts w:ascii="Wingdings" w:hAnsi="Wingdings"/>
                <w:sz w:val="20"/>
              </w:rPr>
              <w:t></w:t>
            </w:r>
            <w:r>
              <w:rPr>
                <w:sz w:val="20"/>
              </w:rPr>
              <w:t>Favorece la organización sociopolítica de los actores de la CHPH por la vía democrática</w:t>
            </w:r>
          </w:p>
          <w:p>
            <w:pPr>
              <w:pStyle w:val="TableParagraph"/>
              <w:ind w:left="280" w:right="104" w:hanging="178"/>
              <w:jc w:val="both"/>
              <w:rPr>
                <w:sz w:val="20"/>
              </w:rPr>
            </w:pPr>
            <w:r>
              <w:rPr>
                <w:rFonts w:ascii="Wingdings" w:hAnsi="Wingdings"/>
                <w:sz w:val="20"/>
              </w:rPr>
              <w:t></w:t>
            </w:r>
            <w:r>
              <w:rPr>
                <w:sz w:val="20"/>
              </w:rPr>
              <w:t>Favorece la articulación entre actores para cuidar el medio ambiente</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806" w:val="left" w:leader="none"/>
                <w:tab w:pos="2451" w:val="left" w:leader="none"/>
              </w:tabs>
              <w:ind w:left="280" w:right="105"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86" w:type="dxa"/>
          </w:tcPr>
          <w:p>
            <w:pPr/>
          </w:p>
        </w:tc>
        <w:tc>
          <w:tcPr>
            <w:tcW w:w="2552" w:type="dxa"/>
          </w:tcPr>
          <w:p>
            <w:pPr/>
          </w:p>
        </w:tc>
        <w:tc>
          <w:tcPr>
            <w:tcW w:w="1651" w:type="dxa"/>
            <w:tcBorders>
              <w:right w:val="double" w:sz="12" w:space="0" w:color="000000"/>
            </w:tcBorders>
            <w:shd w:val="clear" w:color="auto" w:fill="FFFF00"/>
          </w:tcPr>
          <w:p>
            <w:pPr/>
          </w:p>
        </w:tc>
      </w:tr>
      <w:tr>
        <w:trPr>
          <w:trHeight w:val="1620" w:hRule="exact"/>
        </w:trPr>
        <w:tc>
          <w:tcPr>
            <w:tcW w:w="954" w:type="dxa"/>
            <w:tcBorders>
              <w:left w:val="double" w:sz="11" w:space="0" w:color="000000"/>
            </w:tcBorders>
          </w:tcPr>
          <w:p>
            <w:pPr>
              <w:pStyle w:val="TableParagraph"/>
              <w:spacing w:line="227" w:lineRule="exact"/>
              <w:ind w:left="209" w:right="212"/>
              <w:jc w:val="center"/>
              <w:rPr>
                <w:sz w:val="20"/>
              </w:rPr>
            </w:pPr>
            <w:r>
              <w:rPr>
                <w:sz w:val="20"/>
              </w:rPr>
              <w:t>1580</w:t>
            </w:r>
          </w:p>
        </w:tc>
        <w:tc>
          <w:tcPr>
            <w:tcW w:w="1937"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jc w:val="center"/>
              <w:rPr>
                <w:b/>
                <w:sz w:val="20"/>
              </w:rPr>
            </w:pPr>
            <w:r>
              <w:rPr>
                <w:b/>
                <w:w w:val="99"/>
                <w:sz w:val="20"/>
              </w:rPr>
              <w:t>1</w:t>
            </w:r>
          </w:p>
        </w:tc>
        <w:tc>
          <w:tcPr>
            <w:tcW w:w="1349" w:type="dxa"/>
            <w:vMerge w:val="restart"/>
          </w:tcPr>
          <w:p>
            <w:pPr>
              <w:pStyle w:val="TableParagraph"/>
              <w:spacing w:line="227" w:lineRule="exact"/>
              <w:rPr>
                <w:sz w:val="20"/>
              </w:rPr>
            </w:pPr>
            <w:r>
              <w:rPr>
                <w:sz w:val="20"/>
              </w:rPr>
              <w:t>Ambiental</w:t>
            </w:r>
          </w:p>
        </w:tc>
        <w:tc>
          <w:tcPr>
            <w:tcW w:w="2892" w:type="dxa"/>
            <w:vMerge w:val="restart"/>
          </w:tcPr>
          <w:p>
            <w:pPr>
              <w:pStyle w:val="TableParagraph"/>
              <w:numPr>
                <w:ilvl w:val="0"/>
                <w:numId w:val="108"/>
              </w:numPr>
              <w:tabs>
                <w:tab w:pos="812" w:val="left" w:leader="none"/>
              </w:tabs>
              <w:spacing w:line="240" w:lineRule="auto" w:before="0" w:after="0"/>
              <w:ind w:left="280" w:right="104" w:hanging="141"/>
              <w:jc w:val="both"/>
              <w:rPr>
                <w:sz w:val="20"/>
              </w:rPr>
            </w:pPr>
            <w:r>
              <w:rPr>
                <w:sz w:val="20"/>
              </w:rPr>
              <w:t>Existe participación directa de los actores de la CHPH en el cuidado y rescate del medio</w:t>
            </w:r>
            <w:r>
              <w:rPr>
                <w:spacing w:val="-8"/>
                <w:sz w:val="20"/>
              </w:rPr>
              <w:t> </w:t>
            </w:r>
            <w:r>
              <w:rPr>
                <w:sz w:val="20"/>
              </w:rPr>
              <w:t>ambiente</w:t>
            </w:r>
          </w:p>
          <w:p>
            <w:pPr>
              <w:pStyle w:val="TableParagraph"/>
              <w:numPr>
                <w:ilvl w:val="0"/>
                <w:numId w:val="108"/>
              </w:numPr>
              <w:tabs>
                <w:tab w:pos="812" w:val="left" w:leader="none"/>
              </w:tabs>
              <w:spacing w:line="240" w:lineRule="auto" w:before="0" w:after="0"/>
              <w:ind w:left="280" w:right="105" w:hanging="141"/>
              <w:jc w:val="both"/>
              <w:rPr>
                <w:sz w:val="20"/>
              </w:rPr>
            </w:pPr>
            <w:r>
              <w:rPr>
                <w:sz w:val="20"/>
              </w:rPr>
              <w:t>Existe voluntariedad de los actores de la CHPH para cuidar el medio ambiente</w:t>
            </w:r>
          </w:p>
          <w:p>
            <w:pPr>
              <w:pStyle w:val="TableParagraph"/>
              <w:numPr>
                <w:ilvl w:val="0"/>
                <w:numId w:val="108"/>
              </w:numPr>
              <w:tabs>
                <w:tab w:pos="812" w:val="left" w:leader="none"/>
              </w:tabs>
              <w:spacing w:line="240" w:lineRule="auto" w:before="0" w:after="0"/>
              <w:ind w:left="280" w:right="105" w:hanging="141"/>
              <w:jc w:val="both"/>
              <w:rPr>
                <w:sz w:val="20"/>
              </w:rPr>
            </w:pPr>
            <w:r>
              <w:rPr>
                <w:sz w:val="20"/>
              </w:rPr>
              <w:t>Los acuerdos para cuidar el medio ambiente  se hacen por la vía democrática en la</w:t>
            </w:r>
            <w:r>
              <w:rPr>
                <w:spacing w:val="-10"/>
                <w:sz w:val="20"/>
              </w:rPr>
              <w:t> </w:t>
            </w:r>
            <w:r>
              <w:rPr>
                <w:sz w:val="20"/>
              </w:rPr>
              <w:t>CHPH</w:t>
            </w:r>
          </w:p>
          <w:p>
            <w:pPr>
              <w:pStyle w:val="TableParagraph"/>
              <w:numPr>
                <w:ilvl w:val="0"/>
                <w:numId w:val="108"/>
              </w:numPr>
              <w:tabs>
                <w:tab w:pos="812" w:val="left" w:leader="none"/>
              </w:tabs>
              <w:spacing w:line="240" w:lineRule="auto" w:before="0" w:after="0"/>
              <w:ind w:left="280" w:right="105" w:hanging="141"/>
              <w:jc w:val="both"/>
              <w:rPr>
                <w:sz w:val="20"/>
              </w:rPr>
            </w:pPr>
            <w:r>
              <w:rPr>
                <w:sz w:val="20"/>
              </w:rPr>
              <w:t>Existe planeación ambiental con articulación entre</w:t>
            </w:r>
            <w:r>
              <w:rPr>
                <w:spacing w:val="-5"/>
                <w:sz w:val="20"/>
              </w:rPr>
              <w:t> </w:t>
            </w:r>
            <w:r>
              <w:rPr>
                <w:sz w:val="20"/>
              </w:rPr>
              <w:t>actores</w:t>
            </w:r>
          </w:p>
        </w:tc>
        <w:tc>
          <w:tcPr>
            <w:tcW w:w="148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9"/>
              </w:rPr>
            </w:pPr>
          </w:p>
          <w:p>
            <w:pPr>
              <w:pStyle w:val="TableParagraph"/>
              <w:ind w:left="477"/>
              <w:rPr>
                <w:sz w:val="20"/>
              </w:rPr>
            </w:pPr>
            <w:r>
              <w:rPr>
                <w:sz w:val="20"/>
              </w:rPr>
              <w:t>&lt;50%</w:t>
            </w:r>
          </w:p>
        </w:tc>
        <w:tc>
          <w:tcPr>
            <w:tcW w:w="2552" w:type="dxa"/>
            <w:vMerge w:val="restart"/>
          </w:tcPr>
          <w:p>
            <w:pPr>
              <w:pStyle w:val="TableParagraph"/>
              <w:ind w:right="102"/>
              <w:jc w:val="both"/>
              <w:rPr>
                <w:sz w:val="20"/>
              </w:rPr>
            </w:pPr>
            <w:r>
              <w:rPr>
                <w:sz w:val="20"/>
              </w:rPr>
              <w:t>No reúne ni el 50% en </w:t>
            </w:r>
            <w:r>
              <w:rPr>
                <w:b/>
                <w:sz w:val="20"/>
              </w:rPr>
              <w:t>ninguna </w:t>
            </w:r>
            <w:r>
              <w:rPr>
                <w:sz w:val="20"/>
              </w:rPr>
              <w:t>de las de impacto positivo</w:t>
            </w:r>
          </w:p>
        </w:tc>
        <w:tc>
          <w:tcPr>
            <w:tcW w:w="1651"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324"/>
              <w:rPr>
                <w:b/>
                <w:sz w:val="20"/>
              </w:rPr>
            </w:pPr>
            <w:r>
              <w:rPr>
                <w:b/>
                <w:sz w:val="20"/>
              </w:rPr>
              <w:t>Deficiente</w:t>
            </w:r>
          </w:p>
        </w:tc>
      </w:tr>
      <w:tr>
        <w:trPr>
          <w:trHeight w:val="1841"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9"/>
              </w:rPr>
            </w:pPr>
          </w:p>
          <w:p>
            <w:pPr>
              <w:pStyle w:val="TableParagraph"/>
              <w:ind w:left="209" w:right="212"/>
              <w:jc w:val="center"/>
              <w:rPr>
                <w:sz w:val="20"/>
              </w:rPr>
            </w:pPr>
            <w:r>
              <w:rPr>
                <w:sz w:val="20"/>
              </w:rPr>
              <w:t>1785</w:t>
            </w:r>
          </w:p>
        </w:tc>
        <w:tc>
          <w:tcPr>
            <w:tcW w:w="1937" w:type="dxa"/>
            <w:vMerge/>
          </w:tcPr>
          <w:p>
            <w:pPr/>
          </w:p>
        </w:tc>
        <w:tc>
          <w:tcPr>
            <w:tcW w:w="1349" w:type="dxa"/>
            <w:vMerge/>
          </w:tcPr>
          <w:p>
            <w:pPr/>
          </w:p>
        </w:tc>
        <w:tc>
          <w:tcPr>
            <w:tcW w:w="2892" w:type="dxa"/>
            <w:vMerge/>
          </w:tcPr>
          <w:p>
            <w:pPr/>
          </w:p>
        </w:tc>
        <w:tc>
          <w:tcPr>
            <w:tcW w:w="1486" w:type="dxa"/>
            <w:vMerge/>
          </w:tcPr>
          <w:p>
            <w:pPr/>
          </w:p>
        </w:tc>
        <w:tc>
          <w:tcPr>
            <w:tcW w:w="2552" w:type="dxa"/>
            <w:vMerge/>
          </w:tcPr>
          <w:p>
            <w:pPr/>
          </w:p>
        </w:tc>
        <w:tc>
          <w:tcPr>
            <w:tcW w:w="1651" w:type="dxa"/>
            <w:vMerge/>
            <w:tcBorders>
              <w:right w:val="double" w:sz="12" w:space="0" w:color="000000"/>
            </w:tcBorders>
            <w:shd w:val="clear" w:color="auto" w:fill="FF0000"/>
          </w:tcPr>
          <w:p>
            <w:pPr/>
          </w:p>
        </w:tc>
      </w:tr>
      <w:tr>
        <w:trPr>
          <w:trHeight w:val="1390"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209" w:right="212"/>
              <w:jc w:val="center"/>
              <w:rPr>
                <w:sz w:val="20"/>
              </w:rPr>
            </w:pPr>
            <w:r>
              <w:rPr>
                <w:sz w:val="20"/>
              </w:rPr>
              <w:t>1810</w:t>
            </w:r>
          </w:p>
        </w:tc>
        <w:tc>
          <w:tcPr>
            <w:tcW w:w="1937" w:type="dxa"/>
            <w:vMerge/>
          </w:tcPr>
          <w:p>
            <w:pPr/>
          </w:p>
        </w:tc>
        <w:tc>
          <w:tcPr>
            <w:tcW w:w="1349" w:type="dxa"/>
          </w:tcPr>
          <w:p>
            <w:pPr>
              <w:pStyle w:val="TableParagraph"/>
              <w:spacing w:line="227" w:lineRule="exact"/>
              <w:rPr>
                <w:sz w:val="20"/>
              </w:rPr>
            </w:pPr>
            <w:r>
              <w:rPr>
                <w:sz w:val="20"/>
              </w:rPr>
              <w:t>Económico</w:t>
            </w:r>
          </w:p>
        </w:tc>
        <w:tc>
          <w:tcPr>
            <w:tcW w:w="2892" w:type="dxa"/>
          </w:tcPr>
          <w:p>
            <w:pPr>
              <w:pStyle w:val="TableParagraph"/>
              <w:numPr>
                <w:ilvl w:val="0"/>
                <w:numId w:val="109"/>
              </w:numPr>
              <w:tabs>
                <w:tab w:pos="812" w:val="left" w:leader="none"/>
              </w:tabs>
              <w:spacing w:line="240" w:lineRule="auto" w:before="0" w:after="0"/>
              <w:ind w:left="280" w:right="105"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109"/>
              </w:numPr>
              <w:tabs>
                <w:tab w:pos="812" w:val="left" w:leader="none"/>
              </w:tabs>
              <w:spacing w:line="240" w:lineRule="auto" w:before="0" w:after="0"/>
              <w:ind w:left="280" w:right="106" w:hanging="141"/>
              <w:jc w:val="both"/>
              <w:rPr>
                <w:sz w:val="20"/>
              </w:rPr>
            </w:pPr>
            <w:r>
              <w:rPr>
                <w:sz w:val="20"/>
              </w:rPr>
              <w:t>Existe crecimiento económico igualitario en</w:t>
            </w:r>
            <w:r>
              <w:rPr>
                <w:spacing w:val="18"/>
                <w:sz w:val="20"/>
              </w:rPr>
              <w:t> </w:t>
            </w:r>
            <w:r>
              <w:rPr>
                <w:sz w:val="20"/>
              </w:rPr>
              <w:t>los</w:t>
            </w:r>
          </w:p>
        </w:tc>
        <w:tc>
          <w:tcPr>
            <w:tcW w:w="1486" w:type="dxa"/>
            <w:vMerge/>
          </w:tcPr>
          <w:p>
            <w:pPr/>
          </w:p>
        </w:tc>
        <w:tc>
          <w:tcPr>
            <w:tcW w:w="2552" w:type="dxa"/>
            <w:vMerge/>
          </w:tcPr>
          <w:p>
            <w:pPr/>
          </w:p>
        </w:tc>
        <w:tc>
          <w:tcPr>
            <w:tcW w:w="1651" w:type="dxa"/>
            <w:vMerge/>
            <w:tcBorders>
              <w:right w:val="double" w:sz="12" w:space="0" w:color="000000"/>
            </w:tcBorders>
            <w:shd w:val="clear" w:color="auto" w:fill="FF0000"/>
          </w:tcPr>
          <w:p>
            <w:pPr/>
          </w:p>
        </w:tc>
      </w:tr>
    </w:tbl>
    <w:p>
      <w:pPr>
        <w:spacing w:after="0"/>
        <w:sectPr>
          <w:footerReference w:type="default" r:id="rId328"/>
          <w:pgSz w:w="15840" w:h="12240" w:orient="landscape"/>
          <w:pgMar w:footer="943" w:header="0" w:top="1140" w:bottom="1140" w:left="1200" w:right="1300"/>
          <w:pgNumType w:start="5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37"/>
        <w:gridCol w:w="1349"/>
        <w:gridCol w:w="2892"/>
        <w:gridCol w:w="1486"/>
        <w:gridCol w:w="2553"/>
        <w:gridCol w:w="1650"/>
      </w:tblGrid>
      <w:tr>
        <w:trPr>
          <w:trHeight w:val="1008" w:hRule="exact"/>
        </w:trPr>
        <w:tc>
          <w:tcPr>
            <w:tcW w:w="954" w:type="dxa"/>
            <w:tcBorders>
              <w:left w:val="double" w:sz="11" w:space="0" w:color="000000"/>
            </w:tcBorders>
          </w:tcPr>
          <w:p>
            <w:pPr/>
          </w:p>
        </w:tc>
        <w:tc>
          <w:tcPr>
            <w:tcW w:w="1937" w:type="dxa"/>
            <w:vMerge w:val="restart"/>
          </w:tcPr>
          <w:p>
            <w:pPr/>
          </w:p>
        </w:tc>
        <w:tc>
          <w:tcPr>
            <w:tcW w:w="1349" w:type="dxa"/>
            <w:vMerge w:val="restart"/>
          </w:tcPr>
          <w:p>
            <w:pPr/>
          </w:p>
        </w:tc>
        <w:tc>
          <w:tcPr>
            <w:tcW w:w="2892" w:type="dxa"/>
            <w:vMerge w:val="restart"/>
          </w:tcPr>
          <w:p>
            <w:pPr>
              <w:pStyle w:val="TableParagraph"/>
              <w:spacing w:before="7"/>
              <w:ind w:left="280"/>
              <w:rPr>
                <w:sz w:val="20"/>
              </w:rPr>
            </w:pPr>
            <w:r>
              <w:rPr>
                <w:sz w:val="20"/>
              </w:rPr>
              <w:t>municipios que integran la CHPH</w:t>
            </w:r>
          </w:p>
          <w:p>
            <w:pPr>
              <w:pStyle w:val="TableParagraph"/>
              <w:numPr>
                <w:ilvl w:val="0"/>
                <w:numId w:val="110"/>
              </w:numPr>
              <w:tabs>
                <w:tab w:pos="812" w:val="left" w:leader="none"/>
              </w:tabs>
              <w:spacing w:line="240" w:lineRule="auto" w:before="0" w:after="0"/>
              <w:ind w:left="280" w:right="105" w:hanging="141"/>
              <w:jc w:val="both"/>
              <w:rPr>
                <w:sz w:val="20"/>
              </w:rPr>
            </w:pPr>
            <w:r>
              <w:rPr>
                <w:sz w:val="20"/>
              </w:rPr>
              <w:t>Existe planeación económica con articulación entre</w:t>
            </w:r>
            <w:r>
              <w:rPr>
                <w:spacing w:val="-5"/>
                <w:sz w:val="20"/>
              </w:rPr>
              <w:t> </w:t>
            </w:r>
            <w:r>
              <w:rPr>
                <w:sz w:val="20"/>
              </w:rPr>
              <w:t>actores</w:t>
            </w:r>
          </w:p>
        </w:tc>
        <w:tc>
          <w:tcPr>
            <w:tcW w:w="1486" w:type="dxa"/>
            <w:vMerge w:val="restart"/>
          </w:tcPr>
          <w:p>
            <w:pPr/>
          </w:p>
        </w:tc>
        <w:tc>
          <w:tcPr>
            <w:tcW w:w="2553" w:type="dxa"/>
            <w:vMerge w:val="restart"/>
          </w:tcPr>
          <w:p>
            <w:pPr/>
          </w:p>
        </w:tc>
        <w:tc>
          <w:tcPr>
            <w:tcW w:w="1650" w:type="dxa"/>
            <w:vMerge w:val="restart"/>
            <w:tcBorders>
              <w:right w:val="double" w:sz="12" w:space="0" w:color="000000"/>
            </w:tcBorders>
            <w:shd w:val="clear" w:color="auto" w:fill="FF0000"/>
          </w:tcPr>
          <w:p>
            <w:pPr/>
          </w:p>
        </w:tc>
      </w:tr>
      <w:tr>
        <w:trPr>
          <w:trHeight w:val="240" w:hRule="exact"/>
        </w:trPr>
        <w:tc>
          <w:tcPr>
            <w:tcW w:w="954" w:type="dxa"/>
            <w:tcBorders>
              <w:left w:val="double" w:sz="11" w:space="0" w:color="000000"/>
            </w:tcBorders>
          </w:tcPr>
          <w:p>
            <w:pPr>
              <w:pStyle w:val="TableParagraph"/>
              <w:spacing w:line="227" w:lineRule="exact"/>
              <w:ind w:left="209" w:right="212"/>
              <w:jc w:val="center"/>
              <w:rPr>
                <w:sz w:val="20"/>
              </w:rPr>
            </w:pPr>
            <w:r>
              <w:rPr>
                <w:sz w:val="20"/>
              </w:rPr>
              <w:t>1861</w:t>
            </w:r>
          </w:p>
        </w:tc>
        <w:tc>
          <w:tcPr>
            <w:tcW w:w="1937" w:type="dxa"/>
            <w:vMerge/>
          </w:tcPr>
          <w:p>
            <w:pPr/>
          </w:p>
        </w:tc>
        <w:tc>
          <w:tcPr>
            <w:tcW w:w="1349" w:type="dxa"/>
            <w:vMerge/>
          </w:tcPr>
          <w:p>
            <w:pPr/>
          </w:p>
        </w:tc>
        <w:tc>
          <w:tcPr>
            <w:tcW w:w="2892" w:type="dxa"/>
            <w:vMerge/>
          </w:tcPr>
          <w:p>
            <w:pPr/>
          </w:p>
        </w:tc>
        <w:tc>
          <w:tcPr>
            <w:tcW w:w="1486" w:type="dxa"/>
            <w:vMerge/>
          </w:tcPr>
          <w:p>
            <w:pPr/>
          </w:p>
        </w:tc>
        <w:tc>
          <w:tcPr>
            <w:tcW w:w="2553" w:type="dxa"/>
            <w:vMerge/>
          </w:tcPr>
          <w:p>
            <w:pPr/>
          </w:p>
        </w:tc>
        <w:tc>
          <w:tcPr>
            <w:tcW w:w="1650" w:type="dxa"/>
            <w:vMerge/>
            <w:tcBorders>
              <w:right w:val="double" w:sz="12" w:space="0" w:color="000000"/>
            </w:tcBorders>
            <w:shd w:val="clear" w:color="auto" w:fill="FF0000"/>
          </w:tcPr>
          <w:p>
            <w:pPr/>
          </w:p>
        </w:tc>
      </w:tr>
      <w:tr>
        <w:trPr>
          <w:trHeight w:val="1181" w:hRule="exact"/>
        </w:trPr>
        <w:tc>
          <w:tcPr>
            <w:tcW w:w="954" w:type="dxa"/>
            <w:tcBorders>
              <w:left w:val="double" w:sz="11" w:space="0" w:color="000000"/>
            </w:tcBorders>
          </w:tcPr>
          <w:p>
            <w:pPr>
              <w:pStyle w:val="TableParagraph"/>
              <w:spacing w:line="227" w:lineRule="exact"/>
              <w:ind w:left="209" w:right="212"/>
              <w:jc w:val="center"/>
              <w:rPr>
                <w:sz w:val="20"/>
              </w:rPr>
            </w:pPr>
            <w:r>
              <w:rPr>
                <w:sz w:val="20"/>
              </w:rPr>
              <w:t>1910</w:t>
            </w:r>
          </w:p>
        </w:tc>
        <w:tc>
          <w:tcPr>
            <w:tcW w:w="1937" w:type="dxa"/>
            <w:vMerge/>
          </w:tcPr>
          <w:p>
            <w:pPr/>
          </w:p>
        </w:tc>
        <w:tc>
          <w:tcPr>
            <w:tcW w:w="1349" w:type="dxa"/>
            <w:vMerge w:val="restart"/>
          </w:tcPr>
          <w:p>
            <w:pPr>
              <w:pStyle w:val="TableParagraph"/>
              <w:spacing w:line="227" w:lineRule="exact"/>
              <w:rPr>
                <w:sz w:val="20"/>
              </w:rPr>
            </w:pPr>
            <w:r>
              <w:rPr>
                <w:sz w:val="20"/>
              </w:rPr>
              <w:t>Sociopolítico</w:t>
            </w:r>
          </w:p>
        </w:tc>
        <w:tc>
          <w:tcPr>
            <w:tcW w:w="2892" w:type="dxa"/>
            <w:vMerge w:val="restart"/>
          </w:tcPr>
          <w:p>
            <w:pPr>
              <w:pStyle w:val="TableParagraph"/>
              <w:ind w:left="280" w:right="104" w:hanging="178"/>
              <w:jc w:val="both"/>
              <w:rPr>
                <w:sz w:val="20"/>
              </w:rPr>
            </w:pPr>
            <w:r>
              <w:rPr>
                <w:rFonts w:ascii="Wingdings" w:hAnsi="Wingdings"/>
                <w:spacing w:val="2"/>
                <w:sz w:val="20"/>
              </w:rPr>
              <w:t></w:t>
            </w:r>
            <w:r>
              <w:rPr>
                <w:spacing w:val="2"/>
                <w:sz w:val="20"/>
              </w:rPr>
              <w:t>Favorece </w:t>
            </w:r>
            <w:r>
              <w:rPr>
                <w:sz w:val="20"/>
              </w:rPr>
              <w:t>la voluntariedad de los actores para cuidar  el medio ambiente de la CHPH</w:t>
            </w:r>
          </w:p>
          <w:p>
            <w:pPr>
              <w:pStyle w:val="TableParagraph"/>
              <w:spacing w:before="1"/>
              <w:ind w:left="280" w:right="105" w:hanging="178"/>
              <w:jc w:val="both"/>
              <w:rPr>
                <w:sz w:val="20"/>
              </w:rPr>
            </w:pPr>
            <w:r>
              <w:rPr>
                <w:rFonts w:ascii="Wingdings" w:hAnsi="Wingdings"/>
                <w:sz w:val="20"/>
              </w:rPr>
              <w:t></w:t>
            </w:r>
            <w:r>
              <w:rPr>
                <w:sz w:val="20"/>
              </w:rPr>
              <w:t>Favorece la organización sociopolítica de los actores de la CHPH por la vía democrática</w:t>
            </w:r>
          </w:p>
          <w:p>
            <w:pPr>
              <w:pStyle w:val="TableParagraph"/>
              <w:ind w:left="280" w:right="104" w:hanging="178"/>
              <w:jc w:val="both"/>
              <w:rPr>
                <w:sz w:val="20"/>
              </w:rPr>
            </w:pPr>
            <w:r>
              <w:rPr>
                <w:rFonts w:ascii="Wingdings" w:hAnsi="Wingdings"/>
                <w:sz w:val="20"/>
              </w:rPr>
              <w:t></w:t>
            </w:r>
            <w:r>
              <w:rPr>
                <w:sz w:val="20"/>
              </w:rPr>
              <w:t>Favorece la articulación entre actores para cuidar el medio ambiente</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tabs>
                <w:tab w:pos="1806" w:val="left" w:leader="none"/>
                <w:tab w:pos="2451"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86" w:type="dxa"/>
            <w:vMerge/>
          </w:tcPr>
          <w:p>
            <w:pPr/>
          </w:p>
        </w:tc>
        <w:tc>
          <w:tcPr>
            <w:tcW w:w="2553" w:type="dxa"/>
            <w:vMerge/>
          </w:tcPr>
          <w:p>
            <w:pPr/>
          </w:p>
        </w:tc>
        <w:tc>
          <w:tcPr>
            <w:tcW w:w="1650" w:type="dxa"/>
            <w:vMerge/>
            <w:tcBorders>
              <w:right w:val="double" w:sz="12" w:space="0" w:color="000000"/>
            </w:tcBorders>
            <w:shd w:val="clear" w:color="auto" w:fill="FF0000"/>
          </w:tcPr>
          <w:p>
            <w:pPr/>
          </w:p>
        </w:tc>
      </w:tr>
      <w:tr>
        <w:trPr>
          <w:trHeight w:val="698" w:hRule="exact"/>
        </w:trPr>
        <w:tc>
          <w:tcPr>
            <w:tcW w:w="954" w:type="dxa"/>
            <w:tcBorders>
              <w:left w:val="double" w:sz="11" w:space="0" w:color="000000"/>
            </w:tcBorders>
          </w:tcPr>
          <w:p>
            <w:pPr>
              <w:pStyle w:val="TableParagraph"/>
              <w:spacing w:line="227" w:lineRule="exact"/>
              <w:ind w:left="209" w:right="212"/>
              <w:jc w:val="center"/>
              <w:rPr>
                <w:sz w:val="20"/>
              </w:rPr>
            </w:pPr>
            <w:r>
              <w:rPr>
                <w:sz w:val="20"/>
              </w:rPr>
              <w:t>1940</w:t>
            </w:r>
          </w:p>
        </w:tc>
        <w:tc>
          <w:tcPr>
            <w:tcW w:w="1937" w:type="dxa"/>
            <w:vMerge/>
          </w:tcPr>
          <w:p>
            <w:pPr/>
          </w:p>
        </w:tc>
        <w:tc>
          <w:tcPr>
            <w:tcW w:w="1349" w:type="dxa"/>
            <w:vMerge/>
          </w:tcPr>
          <w:p>
            <w:pPr/>
          </w:p>
        </w:tc>
        <w:tc>
          <w:tcPr>
            <w:tcW w:w="2892" w:type="dxa"/>
            <w:vMerge/>
          </w:tcPr>
          <w:p>
            <w:pPr/>
          </w:p>
        </w:tc>
        <w:tc>
          <w:tcPr>
            <w:tcW w:w="1486" w:type="dxa"/>
            <w:vMerge/>
          </w:tcPr>
          <w:p>
            <w:pPr/>
          </w:p>
        </w:tc>
        <w:tc>
          <w:tcPr>
            <w:tcW w:w="2553" w:type="dxa"/>
            <w:vMerge/>
          </w:tcPr>
          <w:p>
            <w:pPr/>
          </w:p>
        </w:tc>
        <w:tc>
          <w:tcPr>
            <w:tcW w:w="1650" w:type="dxa"/>
            <w:vMerge/>
            <w:tcBorders>
              <w:right w:val="double" w:sz="12" w:space="0" w:color="000000"/>
            </w:tcBorders>
            <w:shd w:val="clear" w:color="auto" w:fill="FF0000"/>
          </w:tcPr>
          <w:p>
            <w:pPr/>
          </w:p>
        </w:tc>
      </w:tr>
      <w:tr>
        <w:trPr>
          <w:trHeight w:val="2040" w:hRule="exact"/>
        </w:trPr>
        <w:tc>
          <w:tcPr>
            <w:tcW w:w="954" w:type="dxa"/>
            <w:tcBorders>
              <w:left w:val="double" w:sz="11" w:space="0" w:color="000000"/>
            </w:tcBorders>
          </w:tcPr>
          <w:p>
            <w:pPr>
              <w:pStyle w:val="TableParagraph"/>
              <w:spacing w:before="9"/>
              <w:ind w:left="0"/>
              <w:rPr>
                <w:rFonts w:ascii="Times New Roman"/>
                <w:sz w:val="19"/>
              </w:rPr>
            </w:pPr>
          </w:p>
          <w:p>
            <w:pPr>
              <w:pStyle w:val="TableParagraph"/>
              <w:ind w:left="209" w:right="212"/>
              <w:jc w:val="center"/>
              <w:rPr>
                <w:sz w:val="20"/>
              </w:rPr>
            </w:pPr>
            <w:r>
              <w:rPr>
                <w:sz w:val="20"/>
              </w:rPr>
              <w:t>1982</w:t>
            </w:r>
          </w:p>
        </w:tc>
        <w:tc>
          <w:tcPr>
            <w:tcW w:w="1937" w:type="dxa"/>
            <w:vMerge/>
          </w:tcPr>
          <w:p>
            <w:pPr/>
          </w:p>
        </w:tc>
        <w:tc>
          <w:tcPr>
            <w:tcW w:w="1349" w:type="dxa"/>
            <w:vMerge/>
          </w:tcPr>
          <w:p>
            <w:pPr/>
          </w:p>
        </w:tc>
        <w:tc>
          <w:tcPr>
            <w:tcW w:w="2892" w:type="dxa"/>
            <w:vMerge/>
          </w:tcPr>
          <w:p>
            <w:pPr/>
          </w:p>
        </w:tc>
        <w:tc>
          <w:tcPr>
            <w:tcW w:w="1486" w:type="dxa"/>
            <w:vMerge/>
          </w:tcPr>
          <w:p>
            <w:pPr/>
          </w:p>
        </w:tc>
        <w:tc>
          <w:tcPr>
            <w:tcW w:w="2553" w:type="dxa"/>
            <w:vMerge/>
          </w:tcPr>
          <w:p>
            <w:pPr/>
          </w:p>
        </w:tc>
        <w:tc>
          <w:tcPr>
            <w:tcW w:w="1650" w:type="dxa"/>
            <w:vMerge/>
            <w:tcBorders>
              <w:right w:val="double" w:sz="12" w:space="0" w:color="000000"/>
            </w:tcBorders>
            <w:shd w:val="clear" w:color="auto" w:fill="FF0000"/>
          </w:tcPr>
          <w:p>
            <w:pPr/>
          </w:p>
        </w:tc>
      </w:tr>
      <w:tr>
        <w:trPr>
          <w:trHeight w:val="3553" w:hRule="exact"/>
        </w:trPr>
        <w:tc>
          <w:tcPr>
            <w:tcW w:w="12822" w:type="dxa"/>
            <w:gridSpan w:val="7"/>
          </w:tcPr>
          <w:p>
            <w:pPr>
              <w:pStyle w:val="TableParagraph"/>
              <w:spacing w:line="248" w:lineRule="exact"/>
              <w:ind w:left="2026" w:right="2026"/>
              <w:jc w:val="center"/>
              <w:rPr>
                <w:sz w:val="22"/>
              </w:rPr>
            </w:pPr>
            <w:r>
              <w:rPr>
                <w:b/>
                <w:sz w:val="22"/>
              </w:rPr>
              <w:t>Fuente: </w:t>
            </w:r>
            <w:r>
              <w:rPr>
                <w:sz w:val="22"/>
              </w:rPr>
              <w:t>elaboración propia con base en trabajo de campo y gabinete García, 2013-2015.</w:t>
            </w:r>
          </w:p>
          <w:p>
            <w:pPr>
              <w:pStyle w:val="TableParagraph"/>
              <w:ind w:left="0"/>
              <w:rPr>
                <w:rFonts w:ascii="Times New Roman"/>
                <w:sz w:val="22"/>
              </w:rPr>
            </w:pPr>
          </w:p>
          <w:p>
            <w:pPr>
              <w:pStyle w:val="TableParagraph"/>
              <w:ind w:left="27"/>
              <w:jc w:val="both"/>
              <w:rPr>
                <w:b/>
                <w:sz w:val="22"/>
              </w:rPr>
            </w:pPr>
            <w:r>
              <w:rPr>
                <w:b/>
                <w:sz w:val="22"/>
              </w:rPr>
              <w:t>Interpretación de la anterior gráfica y la tarjeta de valoración:</w:t>
            </w:r>
          </w:p>
          <w:p>
            <w:pPr>
              <w:pStyle w:val="TableParagraph"/>
              <w:numPr>
                <w:ilvl w:val="0"/>
                <w:numId w:val="111"/>
              </w:numPr>
              <w:tabs>
                <w:tab w:pos="179" w:val="left" w:leader="none"/>
              </w:tabs>
              <w:spacing w:line="240" w:lineRule="auto" w:before="1" w:after="0"/>
              <w:ind w:left="27" w:right="32" w:firstLine="0"/>
              <w:jc w:val="both"/>
              <w:rPr>
                <w:sz w:val="22"/>
              </w:rPr>
            </w:pPr>
            <w:r>
              <w:rPr>
                <w:sz w:val="22"/>
              </w:rPr>
              <w:t>En el año 1400, época prehispánica, la provincia de Xilotepec estaba poblada por Señoríos otomíes principalmente que tenían una organización sociopolítica de tipo horizontal, donde todos participaban de forma democrática en el cuidado del medio ambiente, por lo que esta época fue excelente, porque no existía el deterioro ambiental ni la sobreexplotación porque la población aún no era tan numerosa, por lo que el impacto ambiental, económico y sociopolítico fue</w:t>
            </w:r>
            <w:r>
              <w:rPr>
                <w:spacing w:val="-36"/>
                <w:sz w:val="22"/>
              </w:rPr>
              <w:t> </w:t>
            </w:r>
            <w:r>
              <w:rPr>
                <w:sz w:val="22"/>
              </w:rPr>
              <w:t>positivo.</w:t>
            </w:r>
          </w:p>
          <w:p>
            <w:pPr>
              <w:pStyle w:val="TableParagraph"/>
              <w:numPr>
                <w:ilvl w:val="0"/>
                <w:numId w:val="111"/>
              </w:numPr>
              <w:tabs>
                <w:tab w:pos="165" w:val="left" w:leader="none"/>
              </w:tabs>
              <w:spacing w:line="240" w:lineRule="auto" w:before="0" w:after="0"/>
              <w:ind w:left="27" w:right="27" w:firstLine="0"/>
              <w:jc w:val="both"/>
              <w:rPr>
                <w:sz w:val="22"/>
              </w:rPr>
            </w:pPr>
            <w:r>
              <w:rPr>
                <w:sz w:val="22"/>
              </w:rPr>
              <w:t>En 1519, fue visitada por primera vez la provincia de Xilotepec por los españoles, pero fue a mediados de la década de 1520 que la provincia de Xilotepec fue dominada por los españoles; y fue en 1533 que se asignó su territorio como encomienda a Juan Jaramillo de Salvatierra (esposo de la Malinche). En este período hubo impacto ambiental, económico y político (llegada de  nuevas especies como el ganado, nueva organización política –Encomienda- y nuevos actores), sin embargo los derechos sociales de los actores históricos se afectaron, sobre todo el acceso a los recursos naturales, los cuales empezaron a sobreexplotarse en la CHPH, pero aún puede considerarse está época como</w:t>
            </w:r>
            <w:r>
              <w:rPr>
                <w:spacing w:val="-18"/>
                <w:sz w:val="22"/>
              </w:rPr>
              <w:t> </w:t>
            </w:r>
            <w:r>
              <w:rPr>
                <w:sz w:val="22"/>
              </w:rPr>
              <w:t>buena.</w:t>
            </w:r>
          </w:p>
          <w:p>
            <w:pPr>
              <w:pStyle w:val="TableParagraph"/>
              <w:numPr>
                <w:ilvl w:val="0"/>
                <w:numId w:val="111"/>
              </w:numPr>
              <w:tabs>
                <w:tab w:pos="177" w:val="left" w:leader="none"/>
              </w:tabs>
              <w:spacing w:line="252" w:lineRule="exact" w:before="0" w:after="0"/>
              <w:ind w:left="176" w:right="0" w:hanging="149"/>
              <w:jc w:val="both"/>
              <w:rPr>
                <w:sz w:val="22"/>
              </w:rPr>
            </w:pPr>
            <w:r>
              <w:rPr>
                <w:sz w:val="22"/>
              </w:rPr>
              <w:t>A</w:t>
            </w:r>
            <w:r>
              <w:rPr>
                <w:spacing w:val="7"/>
                <w:sz w:val="22"/>
              </w:rPr>
              <w:t> </w:t>
            </w:r>
            <w:r>
              <w:rPr>
                <w:sz w:val="22"/>
              </w:rPr>
              <w:t>partir</w:t>
            </w:r>
            <w:r>
              <w:rPr>
                <w:spacing w:val="9"/>
                <w:sz w:val="22"/>
              </w:rPr>
              <w:t> </w:t>
            </w:r>
            <w:r>
              <w:rPr>
                <w:sz w:val="22"/>
              </w:rPr>
              <w:t>de</w:t>
            </w:r>
            <w:r>
              <w:rPr>
                <w:spacing w:val="7"/>
                <w:sz w:val="22"/>
              </w:rPr>
              <w:t> </w:t>
            </w:r>
            <w:r>
              <w:rPr>
                <w:sz w:val="22"/>
              </w:rPr>
              <w:t>1580,</w:t>
            </w:r>
            <w:r>
              <w:rPr>
                <w:spacing w:val="11"/>
                <w:sz w:val="22"/>
              </w:rPr>
              <w:t> </w:t>
            </w:r>
            <w:r>
              <w:rPr>
                <w:sz w:val="22"/>
              </w:rPr>
              <w:t>ya</w:t>
            </w:r>
            <w:r>
              <w:rPr>
                <w:spacing w:val="8"/>
                <w:sz w:val="22"/>
              </w:rPr>
              <w:t> </w:t>
            </w:r>
            <w:r>
              <w:rPr>
                <w:sz w:val="22"/>
              </w:rPr>
              <w:t>se</w:t>
            </w:r>
            <w:r>
              <w:rPr>
                <w:spacing w:val="8"/>
                <w:sz w:val="22"/>
              </w:rPr>
              <w:t> </w:t>
            </w:r>
            <w:r>
              <w:rPr>
                <w:sz w:val="22"/>
              </w:rPr>
              <w:t>tenían</w:t>
            </w:r>
            <w:r>
              <w:rPr>
                <w:spacing w:val="10"/>
                <w:sz w:val="22"/>
              </w:rPr>
              <w:t> </w:t>
            </w:r>
            <w:r>
              <w:rPr>
                <w:sz w:val="22"/>
              </w:rPr>
              <w:t>en</w:t>
            </w:r>
            <w:r>
              <w:rPr>
                <w:spacing w:val="7"/>
                <w:sz w:val="22"/>
              </w:rPr>
              <w:t> </w:t>
            </w:r>
            <w:r>
              <w:rPr>
                <w:sz w:val="22"/>
              </w:rPr>
              <w:t>la</w:t>
            </w:r>
            <w:r>
              <w:rPr>
                <w:spacing w:val="10"/>
                <w:sz w:val="22"/>
              </w:rPr>
              <w:t> </w:t>
            </w:r>
            <w:r>
              <w:rPr>
                <w:sz w:val="22"/>
              </w:rPr>
              <w:t>Cuenca</w:t>
            </w:r>
            <w:r>
              <w:rPr>
                <w:spacing w:val="7"/>
                <w:sz w:val="22"/>
              </w:rPr>
              <w:t> </w:t>
            </w:r>
            <w:r>
              <w:rPr>
                <w:sz w:val="22"/>
              </w:rPr>
              <w:t>una</w:t>
            </w:r>
            <w:r>
              <w:rPr>
                <w:spacing w:val="10"/>
                <w:sz w:val="22"/>
              </w:rPr>
              <w:t> </w:t>
            </w:r>
            <w:r>
              <w:rPr>
                <w:sz w:val="22"/>
              </w:rPr>
              <w:t>serie</w:t>
            </w:r>
            <w:r>
              <w:rPr>
                <w:spacing w:val="10"/>
                <w:sz w:val="22"/>
              </w:rPr>
              <w:t> </w:t>
            </w:r>
            <w:r>
              <w:rPr>
                <w:sz w:val="22"/>
              </w:rPr>
              <w:t>de</w:t>
            </w:r>
            <w:r>
              <w:rPr>
                <w:spacing w:val="7"/>
                <w:sz w:val="22"/>
              </w:rPr>
              <w:t> </w:t>
            </w:r>
            <w:r>
              <w:rPr>
                <w:sz w:val="22"/>
              </w:rPr>
              <w:t>haciendas</w:t>
            </w:r>
            <w:r>
              <w:rPr>
                <w:spacing w:val="8"/>
                <w:sz w:val="22"/>
              </w:rPr>
              <w:t> </w:t>
            </w:r>
            <w:r>
              <w:rPr>
                <w:sz w:val="22"/>
              </w:rPr>
              <w:t>y</w:t>
            </w:r>
            <w:r>
              <w:rPr>
                <w:spacing w:val="8"/>
                <w:sz w:val="22"/>
              </w:rPr>
              <w:t> </w:t>
            </w:r>
            <w:r>
              <w:rPr>
                <w:sz w:val="22"/>
              </w:rPr>
              <w:t>ranchos,</w:t>
            </w:r>
            <w:r>
              <w:rPr>
                <w:spacing w:val="9"/>
                <w:sz w:val="22"/>
              </w:rPr>
              <w:t> </w:t>
            </w:r>
            <w:r>
              <w:rPr>
                <w:sz w:val="22"/>
              </w:rPr>
              <w:t>como</w:t>
            </w:r>
            <w:r>
              <w:rPr>
                <w:spacing w:val="10"/>
                <w:sz w:val="22"/>
              </w:rPr>
              <w:t> </w:t>
            </w:r>
            <w:r>
              <w:rPr>
                <w:sz w:val="22"/>
              </w:rPr>
              <w:t>la</w:t>
            </w:r>
            <w:r>
              <w:rPr>
                <w:spacing w:val="8"/>
                <w:sz w:val="22"/>
              </w:rPr>
              <w:t> </w:t>
            </w:r>
            <w:r>
              <w:rPr>
                <w:sz w:val="22"/>
              </w:rPr>
              <w:t>Hacienda</w:t>
            </w:r>
            <w:r>
              <w:rPr>
                <w:spacing w:val="10"/>
                <w:sz w:val="22"/>
              </w:rPr>
              <w:t> </w:t>
            </w:r>
            <w:r>
              <w:rPr>
                <w:sz w:val="22"/>
              </w:rPr>
              <w:t>de</w:t>
            </w:r>
            <w:r>
              <w:rPr>
                <w:spacing w:val="7"/>
                <w:sz w:val="22"/>
              </w:rPr>
              <w:t> </w:t>
            </w:r>
            <w:r>
              <w:rPr>
                <w:sz w:val="22"/>
              </w:rPr>
              <w:t>Arroyo</w:t>
            </w:r>
            <w:r>
              <w:rPr>
                <w:spacing w:val="10"/>
                <w:sz w:val="22"/>
              </w:rPr>
              <w:t> </w:t>
            </w:r>
            <w:r>
              <w:rPr>
                <w:sz w:val="22"/>
              </w:rPr>
              <w:t>Zarco</w:t>
            </w:r>
            <w:r>
              <w:rPr>
                <w:spacing w:val="8"/>
                <w:sz w:val="22"/>
              </w:rPr>
              <w:t> </w:t>
            </w:r>
            <w:r>
              <w:rPr>
                <w:sz w:val="22"/>
              </w:rPr>
              <w:t>y</w:t>
            </w:r>
            <w:r>
              <w:rPr>
                <w:spacing w:val="8"/>
                <w:sz w:val="22"/>
              </w:rPr>
              <w:t> </w:t>
            </w:r>
            <w:r>
              <w:rPr>
                <w:sz w:val="22"/>
              </w:rPr>
              <w:t>el</w:t>
            </w:r>
            <w:r>
              <w:rPr>
                <w:spacing w:val="4"/>
                <w:sz w:val="22"/>
              </w:rPr>
              <w:t> </w:t>
            </w:r>
            <w:r>
              <w:rPr>
                <w:sz w:val="22"/>
              </w:rPr>
              <w:t>Rancho</w:t>
            </w:r>
          </w:p>
        </w:tc>
      </w:tr>
    </w:tbl>
    <w:p>
      <w:pPr>
        <w:spacing w:after="0" w:line="252" w:lineRule="exact"/>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30664"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BodyText"/>
        <w:spacing w:before="72"/>
        <w:ind w:left="180" w:right="397"/>
        <w:jc w:val="both"/>
      </w:pPr>
      <w:r>
        <w:rPr/>
        <w:t>Huapango, que requerían de mayor agua para riego de los sembradíos y manutención del ganado, por lo que en 1785, los frailes franciscanos que ya existían en el territorio, construyeron la presa Huapango a expensas de los cuerpos naturales de agua </w:t>
      </w:r>
      <w:r>
        <w:rPr>
          <w:spacing w:val="3"/>
        </w:rPr>
        <w:t>que</w:t>
      </w:r>
      <w:r>
        <w:rPr>
          <w:spacing w:val="67"/>
        </w:rPr>
        <w:t> </w:t>
      </w:r>
      <w:r>
        <w:rPr/>
        <w:t>ya existían en la sábana para retener el agua y poder regar, por lo que en este episodio empezó a haber un manejo distinto del agua para regadío, ya que el agua era usada en grandes cantidades y no existía un acceso libre a ella porque fue concesionada, por el Rey de España para abrevaderos y regadíos, así como los</w:t>
      </w:r>
      <w:r>
        <w:rPr>
          <w:spacing w:val="-18"/>
        </w:rPr>
        <w:t> </w:t>
      </w:r>
      <w:r>
        <w:rPr/>
        <w:t>pastos.</w:t>
      </w:r>
    </w:p>
    <w:p>
      <w:pPr>
        <w:pStyle w:val="ListParagraph"/>
        <w:numPr>
          <w:ilvl w:val="0"/>
          <w:numId w:val="78"/>
        </w:numPr>
        <w:tabs>
          <w:tab w:pos="344" w:val="left" w:leader="none"/>
        </w:tabs>
        <w:spacing w:line="240" w:lineRule="auto" w:before="0" w:after="0"/>
        <w:ind w:left="180" w:right="405" w:firstLine="0"/>
        <w:jc w:val="both"/>
        <w:rPr>
          <w:sz w:val="22"/>
        </w:rPr>
      </w:pPr>
      <w:r>
        <w:rPr>
          <w:sz w:val="22"/>
        </w:rPr>
        <w:t>Posteriormente para 1810, empezó la lucha de independencia, porque los recursos naturales, la tierra y el agua, estaban en manos de unos cuantos actores hacendados y era inequitativa, por lo que el impacto ambiental, económico y sociopolítico consiguió hacerse</w:t>
      </w:r>
      <w:r>
        <w:rPr>
          <w:spacing w:val="-8"/>
          <w:sz w:val="22"/>
        </w:rPr>
        <w:t> </w:t>
      </w:r>
      <w:r>
        <w:rPr>
          <w:sz w:val="22"/>
        </w:rPr>
        <w:t>deficiente.</w:t>
      </w:r>
    </w:p>
    <w:p>
      <w:pPr>
        <w:pStyle w:val="ListParagraph"/>
        <w:numPr>
          <w:ilvl w:val="0"/>
          <w:numId w:val="78"/>
        </w:numPr>
        <w:tabs>
          <w:tab w:pos="377" w:val="left" w:leader="none"/>
        </w:tabs>
        <w:spacing w:line="240" w:lineRule="auto" w:before="0" w:after="0"/>
        <w:ind w:left="180" w:right="401" w:firstLine="0"/>
        <w:jc w:val="both"/>
        <w:rPr>
          <w:sz w:val="22"/>
        </w:rPr>
      </w:pPr>
      <w:r>
        <w:rPr>
          <w:sz w:val="22"/>
        </w:rPr>
        <w:t>En 1861 comienza la creación de los municipios en la CHPH, como consecuencia de la nueva política social y por la concentración de la población, haciéndose llamar villas, donde ahora se encuentran las cabeceras municipales. Pero estos municipios se crean con una serie de desigualdades ambientales, económicas y sociopolíticas deficientes, problemas que en la actualidad se ven reflejadas en su</w:t>
      </w:r>
      <w:r>
        <w:rPr>
          <w:spacing w:val="-11"/>
          <w:sz w:val="22"/>
        </w:rPr>
        <w:t> </w:t>
      </w:r>
      <w:r>
        <w:rPr>
          <w:sz w:val="22"/>
        </w:rPr>
        <w:t>desarrollo.</w:t>
      </w:r>
    </w:p>
    <w:p>
      <w:pPr>
        <w:pStyle w:val="ListParagraph"/>
        <w:numPr>
          <w:ilvl w:val="0"/>
          <w:numId w:val="78"/>
        </w:numPr>
        <w:tabs>
          <w:tab w:pos="339" w:val="left" w:leader="none"/>
        </w:tabs>
        <w:spacing w:line="240" w:lineRule="auto" w:before="1" w:after="0"/>
        <w:ind w:left="180" w:right="399" w:firstLine="0"/>
        <w:jc w:val="both"/>
        <w:rPr>
          <w:sz w:val="22"/>
        </w:rPr>
      </w:pPr>
      <w:r>
        <w:rPr>
          <w:sz w:val="22"/>
        </w:rPr>
        <w:t>Para 1910 siguieron las desigualdades sociopolíticas, económicas y ambientales, donde los grandes terratenientes poseían la mayoría de las tierras y recursos naturales de la Cuenca, por lo que en la Revolución Mexicana, se buscó el reconocimiento a los derechos civiles y la equidad en el reparto agrario, estos derechos se plasmaron en la Constitución de 1917 con ciertas deficiencias que se ven reflejadas en la</w:t>
      </w:r>
      <w:r>
        <w:rPr>
          <w:spacing w:val="-17"/>
          <w:sz w:val="22"/>
        </w:rPr>
        <w:t> </w:t>
      </w:r>
      <w:r>
        <w:rPr>
          <w:sz w:val="22"/>
        </w:rPr>
        <w:t>actualidad.</w:t>
      </w:r>
    </w:p>
    <w:p>
      <w:pPr>
        <w:pStyle w:val="ListParagraph"/>
        <w:numPr>
          <w:ilvl w:val="0"/>
          <w:numId w:val="78"/>
        </w:numPr>
        <w:tabs>
          <w:tab w:pos="341" w:val="left" w:leader="none"/>
        </w:tabs>
        <w:spacing w:line="240" w:lineRule="auto" w:before="0" w:after="0"/>
        <w:ind w:left="180" w:right="397" w:firstLine="0"/>
        <w:jc w:val="both"/>
        <w:rPr>
          <w:sz w:val="22"/>
        </w:rPr>
      </w:pPr>
      <w:r>
        <w:rPr>
          <w:sz w:val="22"/>
        </w:rPr>
        <w:t>Desde la Revolución Mexicana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del </w:t>
      </w:r>
      <w:r>
        <w:rPr>
          <w:spacing w:val="-2"/>
          <w:sz w:val="22"/>
        </w:rPr>
        <w:t>Río </w:t>
      </w:r>
      <w:r>
        <w:rPr>
          <w:sz w:val="22"/>
        </w:rPr>
        <w:t>(1936-1940)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w:t>
      </w:r>
      <w:r>
        <w:rPr>
          <w:spacing w:val="2"/>
          <w:sz w:val="22"/>
        </w:rPr>
        <w:t>los </w:t>
      </w:r>
      <w:r>
        <w:rPr>
          <w:sz w:val="22"/>
        </w:rPr>
        <w:t>bosques, etc.) que aún no se pueden resolver, teniendo esto un impacto en lo sociopolítico, económico y</w:t>
      </w:r>
      <w:r>
        <w:rPr>
          <w:spacing w:val="-27"/>
          <w:sz w:val="22"/>
        </w:rPr>
        <w:t> </w:t>
      </w:r>
      <w:r>
        <w:rPr>
          <w:sz w:val="22"/>
        </w:rPr>
        <w:t>ambiental.</w:t>
      </w:r>
    </w:p>
    <w:p>
      <w:pPr>
        <w:pStyle w:val="ListParagraph"/>
        <w:numPr>
          <w:ilvl w:val="0"/>
          <w:numId w:val="78"/>
        </w:numPr>
        <w:tabs>
          <w:tab w:pos="332" w:val="left" w:leader="none"/>
        </w:tabs>
        <w:spacing w:line="240" w:lineRule="auto" w:before="0" w:after="0"/>
        <w:ind w:left="180" w:right="403" w:firstLine="0"/>
        <w:jc w:val="both"/>
        <w:rPr>
          <w:sz w:val="22"/>
        </w:rPr>
      </w:pPr>
      <w:r>
        <w:rPr>
          <w:sz w:val="22"/>
        </w:rPr>
        <w:t>Para 1982 se libera el mercado y se limita la intervención del Estado con lo que se genera una sobreexplotación mayor de los recursos naturales que obedece a intereses internacionales y a la limitación de la intervención de los actores locales de la CHPH, lo cual genera una deficiencia en la participación democrática de los</w:t>
      </w:r>
      <w:r>
        <w:rPr>
          <w:spacing w:val="-23"/>
          <w:sz w:val="22"/>
        </w:rPr>
        <w:t> </w:t>
      </w:r>
      <w:r>
        <w:rPr>
          <w:sz w:val="22"/>
        </w:rPr>
        <w:t>actores.</w:t>
      </w:r>
    </w:p>
    <w:p>
      <w:pPr>
        <w:pStyle w:val="ListParagraph"/>
        <w:numPr>
          <w:ilvl w:val="0"/>
          <w:numId w:val="78"/>
        </w:numPr>
        <w:tabs>
          <w:tab w:pos="332" w:val="left" w:leader="none"/>
        </w:tabs>
        <w:spacing w:line="240" w:lineRule="auto" w:before="0" w:after="0"/>
        <w:ind w:left="180" w:right="397" w:firstLine="0"/>
        <w:jc w:val="both"/>
        <w:rPr>
          <w:sz w:val="22"/>
        </w:rPr>
      </w:pPr>
      <w:r>
        <w:rPr>
          <w:sz w:val="22"/>
        </w:rPr>
        <w:t>Sin embargo para 2016 los actores históricos y del gobierno municipal, principalmente externaron en trabajo de campo García, 2013-2015 su voluntariedad de proteger el medio ambiente de la CHPH que perciben en constante deterioro, por lo que manifiestan su interés en constituir un Comité Intermunicipal con su reglamento para cuidar, defender y administrar los recursos  de</w:t>
      </w:r>
      <w:r>
        <w:rPr>
          <w:spacing w:val="36"/>
          <w:sz w:val="22"/>
        </w:rPr>
        <w:t> </w:t>
      </w:r>
      <w:r>
        <w:rPr>
          <w:sz w:val="22"/>
        </w:rPr>
        <w:t>la</w:t>
      </w:r>
      <w:r>
        <w:rPr>
          <w:spacing w:val="34"/>
          <w:sz w:val="22"/>
        </w:rPr>
        <w:t> </w:t>
      </w:r>
      <w:r>
        <w:rPr>
          <w:sz w:val="22"/>
        </w:rPr>
        <w:t>cuenca,</w:t>
      </w:r>
      <w:r>
        <w:rPr>
          <w:spacing w:val="36"/>
          <w:sz w:val="22"/>
        </w:rPr>
        <w:t> </w:t>
      </w:r>
      <w:r>
        <w:rPr>
          <w:sz w:val="22"/>
        </w:rPr>
        <w:t>mediante</w:t>
      </w:r>
      <w:r>
        <w:rPr>
          <w:spacing w:val="34"/>
          <w:sz w:val="22"/>
        </w:rPr>
        <w:t> </w:t>
      </w:r>
      <w:r>
        <w:rPr>
          <w:sz w:val="22"/>
        </w:rPr>
        <w:t>la</w:t>
      </w:r>
      <w:r>
        <w:rPr>
          <w:spacing w:val="34"/>
          <w:sz w:val="22"/>
        </w:rPr>
        <w:t> </w:t>
      </w:r>
      <w:r>
        <w:rPr>
          <w:sz w:val="22"/>
        </w:rPr>
        <w:t>GIRH,</w:t>
      </w:r>
      <w:r>
        <w:rPr>
          <w:spacing w:val="36"/>
          <w:sz w:val="22"/>
        </w:rPr>
        <w:t> </w:t>
      </w:r>
      <w:r>
        <w:rPr>
          <w:sz w:val="22"/>
        </w:rPr>
        <w:t>la</w:t>
      </w:r>
      <w:r>
        <w:rPr>
          <w:spacing w:val="32"/>
          <w:sz w:val="22"/>
        </w:rPr>
        <w:t> </w:t>
      </w:r>
      <w:r>
        <w:rPr>
          <w:sz w:val="22"/>
        </w:rPr>
        <w:t>gobernanza</w:t>
      </w:r>
      <w:r>
        <w:rPr>
          <w:spacing w:val="37"/>
          <w:sz w:val="22"/>
        </w:rPr>
        <w:t> </w:t>
      </w:r>
      <w:r>
        <w:rPr>
          <w:sz w:val="22"/>
        </w:rPr>
        <w:t>y</w:t>
      </w:r>
      <w:r>
        <w:rPr>
          <w:spacing w:val="35"/>
          <w:sz w:val="22"/>
        </w:rPr>
        <w:t> </w:t>
      </w:r>
      <w:r>
        <w:rPr>
          <w:sz w:val="22"/>
        </w:rPr>
        <w:t>la</w:t>
      </w:r>
      <w:r>
        <w:rPr>
          <w:spacing w:val="32"/>
          <w:sz w:val="22"/>
        </w:rPr>
        <w:t> </w:t>
      </w:r>
      <w:r>
        <w:rPr>
          <w:sz w:val="22"/>
        </w:rPr>
        <w:t>gobernabilidad</w:t>
      </w:r>
      <w:r>
        <w:rPr>
          <w:spacing w:val="37"/>
          <w:sz w:val="22"/>
        </w:rPr>
        <w:t> </w:t>
      </w:r>
      <w:r>
        <w:rPr>
          <w:sz w:val="22"/>
        </w:rPr>
        <w:t>sustentadas</w:t>
      </w:r>
      <w:r>
        <w:rPr>
          <w:spacing w:val="34"/>
          <w:sz w:val="22"/>
        </w:rPr>
        <w:t> </w:t>
      </w:r>
      <w:r>
        <w:rPr>
          <w:sz w:val="22"/>
        </w:rPr>
        <w:t>por</w:t>
      </w:r>
      <w:r>
        <w:rPr>
          <w:spacing w:val="35"/>
          <w:sz w:val="22"/>
        </w:rPr>
        <w:t> </w:t>
      </w:r>
      <w:r>
        <w:rPr>
          <w:sz w:val="22"/>
        </w:rPr>
        <w:t>la</w:t>
      </w:r>
      <w:r>
        <w:rPr>
          <w:spacing w:val="34"/>
          <w:sz w:val="22"/>
        </w:rPr>
        <w:t> </w:t>
      </w:r>
      <w:r>
        <w:rPr>
          <w:sz w:val="22"/>
        </w:rPr>
        <w:t>democracia</w:t>
      </w:r>
      <w:r>
        <w:rPr>
          <w:spacing w:val="34"/>
          <w:sz w:val="22"/>
        </w:rPr>
        <w:t> </w:t>
      </w:r>
      <w:r>
        <w:rPr>
          <w:sz w:val="22"/>
        </w:rPr>
        <w:t>sociopolítica,</w:t>
      </w:r>
      <w:r>
        <w:rPr>
          <w:spacing w:val="37"/>
          <w:sz w:val="22"/>
        </w:rPr>
        <w:t> </w:t>
      </w:r>
      <w:r>
        <w:rPr>
          <w:sz w:val="22"/>
        </w:rPr>
        <w:t>ambiental</w:t>
      </w:r>
      <w:r>
        <w:rPr>
          <w:spacing w:val="33"/>
          <w:sz w:val="22"/>
        </w:rPr>
        <w:t> </w:t>
      </w:r>
      <w:r>
        <w:rPr>
          <w:sz w:val="22"/>
        </w:rPr>
        <w:t>y</w:t>
      </w:r>
    </w:p>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262" w:hRule="exact"/>
        </w:trPr>
        <w:tc>
          <w:tcPr>
            <w:tcW w:w="12897" w:type="dxa"/>
          </w:tcPr>
          <w:p>
            <w:pPr>
              <w:pStyle w:val="TableParagraph"/>
              <w:spacing w:line="251" w:lineRule="exact"/>
              <w:ind w:left="64" w:right="163"/>
              <w:rPr>
                <w:sz w:val="22"/>
              </w:rPr>
            </w:pPr>
            <w:r>
              <w:rPr>
                <w:sz w:val="22"/>
              </w:rPr>
              <w:t>económica, por lo que se considera un período regular para poder actuar en pro de la sostenibilidad de la cuenca.</w:t>
            </w:r>
          </w:p>
        </w:tc>
      </w:tr>
      <w:tr>
        <w:trPr>
          <w:trHeight w:val="341"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274" w:hRule="exact"/>
        </w:trPr>
        <w:tc>
          <w:tcPr>
            <w:tcW w:w="12897" w:type="dxa"/>
          </w:tcPr>
          <w:p>
            <w:pPr>
              <w:pStyle w:val="TableParagraph"/>
              <w:numPr>
                <w:ilvl w:val="0"/>
                <w:numId w:val="112"/>
              </w:numPr>
              <w:tabs>
                <w:tab w:pos="296" w:val="left" w:leader="none"/>
              </w:tabs>
              <w:spacing w:line="240" w:lineRule="auto" w:before="0" w:after="0"/>
              <w:ind w:left="103" w:right="104" w:firstLine="0"/>
              <w:jc w:val="both"/>
              <w:rPr>
                <w:sz w:val="22"/>
              </w:rPr>
            </w:pPr>
            <w:r>
              <w:rPr>
                <w:sz w:val="22"/>
              </w:rPr>
              <w:t>Permitió identificar la escasa participación directa de los actores históricos de la CHPH debido a la intervención de las instituciones y reglas gubernamentales, así como el grado de voluntariedad que tienen estos actores para solucionar sus problemas del medio ambiente en la</w:t>
            </w:r>
            <w:r>
              <w:rPr>
                <w:spacing w:val="-11"/>
                <w:sz w:val="22"/>
              </w:rPr>
              <w:t> </w:t>
            </w:r>
            <w:r>
              <w:rPr>
                <w:sz w:val="22"/>
              </w:rPr>
              <w:t>región.</w:t>
            </w:r>
          </w:p>
          <w:p>
            <w:pPr>
              <w:pStyle w:val="TableParagraph"/>
              <w:numPr>
                <w:ilvl w:val="0"/>
                <w:numId w:val="112"/>
              </w:numPr>
              <w:tabs>
                <w:tab w:pos="243" w:val="left" w:leader="none"/>
              </w:tabs>
              <w:spacing w:line="240" w:lineRule="auto" w:before="0" w:after="0"/>
              <w:ind w:left="103" w:right="100" w:firstLine="0"/>
              <w:jc w:val="both"/>
              <w:rPr>
                <w:sz w:val="22"/>
              </w:rPr>
            </w:pPr>
            <w:r>
              <w:rPr>
                <w:sz w:val="22"/>
              </w:rPr>
              <w:t>Sirvió de guía de explicación para la elaboración de la propuesta de creación de un Comité Intermunicipal con su reglamento en la</w:t>
            </w:r>
            <w:r>
              <w:rPr>
                <w:spacing w:val="-3"/>
                <w:sz w:val="22"/>
              </w:rPr>
              <w:t> </w:t>
            </w:r>
            <w:r>
              <w:rPr>
                <w:sz w:val="22"/>
              </w:rPr>
              <w:t>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516" w:hRule="exact"/>
        </w:trPr>
        <w:tc>
          <w:tcPr>
            <w:tcW w:w="12897" w:type="dxa"/>
          </w:tcPr>
          <w:p>
            <w:pPr>
              <w:pStyle w:val="TableParagraph"/>
              <w:spacing w:line="252" w:lineRule="exact" w:before="2"/>
              <w:ind w:right="163"/>
              <w:rPr>
                <w:sz w:val="22"/>
              </w:rPr>
            </w:pPr>
            <w:r>
              <w:rPr>
                <w:sz w:val="22"/>
              </w:rPr>
              <w:t>- La democracia y voluntariedad son dos indicadores muy cambiantes, ya que obedecen a las coyunturas sociopolíticas del país, lo cual puede afectar la organización social de los actores de la CHPH.</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597" w:right="105"/>
              <w:rPr>
                <w:b/>
                <w:sz w:val="22"/>
              </w:rPr>
            </w:pPr>
            <w:r>
              <w:rPr>
                <w:b/>
                <w:sz w:val="22"/>
              </w:rPr>
              <w:t>Participación social</w:t>
            </w:r>
          </w:p>
        </w:tc>
        <w:tc>
          <w:tcPr>
            <w:tcW w:w="3277" w:type="dxa"/>
            <w:gridSpan w:val="3"/>
            <w:vMerge w:val="restart"/>
          </w:tcPr>
          <w:p>
            <w:pPr>
              <w:pStyle w:val="TableParagraph"/>
              <w:tabs>
                <w:tab w:pos="1864" w:val="left" w:leader="none"/>
                <w:tab w:pos="2989" w:val="left" w:leader="none"/>
              </w:tabs>
              <w:ind w:left="100" w:right="100"/>
              <w:jc w:val="both"/>
              <w:rPr>
                <w:sz w:val="22"/>
              </w:rPr>
            </w:pPr>
            <w:r>
              <w:rPr>
                <w:sz w:val="22"/>
              </w:rPr>
              <w:t>Identificar la inhibición de participación social en  la CHPH ante el deterioro ambiental</w:t>
              <w:tab/>
              <w:t>por</w:t>
              <w:tab/>
              <w:t>el incumplimiento de los actores políticos de sus promesas de desarrollo</w:t>
            </w:r>
            <w:r>
              <w:rPr>
                <w:spacing w:val="-6"/>
                <w:sz w:val="22"/>
              </w:rPr>
              <w:t> </w:t>
            </w:r>
            <w:r>
              <w:rPr>
                <w:sz w:val="22"/>
              </w:rPr>
              <w:t>sostenible.</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07"/>
              <w:rPr>
                <w:b/>
                <w:sz w:val="22"/>
              </w:rPr>
            </w:pPr>
            <w:r>
              <w:rPr>
                <w:b/>
                <w:sz w:val="22"/>
              </w:rPr>
              <w:t>17.063/ 18.055</w:t>
            </w:r>
          </w:p>
        </w:tc>
        <w:tc>
          <w:tcPr>
            <w:tcW w:w="1985" w:type="dxa"/>
            <w:gridSpan w:val="2"/>
          </w:tcPr>
          <w:p>
            <w:pPr>
              <w:pStyle w:val="TableParagraph"/>
              <w:spacing w:line="248" w:lineRule="exact"/>
              <w:ind w:left="0"/>
              <w:jc w:val="center"/>
              <w:rPr>
                <w:b/>
                <w:sz w:val="22"/>
              </w:rPr>
            </w:pPr>
            <w:r>
              <w:rPr>
                <w:b/>
                <w:sz w:val="22"/>
              </w:rPr>
              <w:t>94.5%</w:t>
            </w:r>
          </w:p>
        </w:tc>
        <w:tc>
          <w:tcPr>
            <w:tcW w:w="2268" w:type="dxa"/>
            <w:gridSpan w:val="2"/>
          </w:tcPr>
          <w:p>
            <w:pPr>
              <w:pStyle w:val="TableParagraph"/>
              <w:spacing w:line="248" w:lineRule="exact"/>
              <w:ind w:left="136" w:right="136"/>
              <w:jc w:val="center"/>
              <w:rPr>
                <w:b/>
                <w:sz w:val="22"/>
              </w:rPr>
            </w:pPr>
            <w:r>
              <w:rPr>
                <w:b/>
                <w:sz w:val="22"/>
              </w:rPr>
              <w:t>16.125</w:t>
            </w:r>
          </w:p>
        </w:tc>
        <w:tc>
          <w:tcPr>
            <w:tcW w:w="3274" w:type="dxa"/>
            <w:gridSpan w:val="5"/>
            <w:vMerge/>
          </w:tcPr>
          <w:p>
            <w:pPr/>
          </w:p>
        </w:tc>
        <w:tc>
          <w:tcPr>
            <w:tcW w:w="3277" w:type="dxa"/>
            <w:gridSpan w:val="3"/>
            <w:vMerge/>
          </w:tcPr>
          <w:p>
            <w:pPr/>
          </w:p>
        </w:tc>
      </w:tr>
      <w:tr>
        <w:trPr>
          <w:trHeight w:val="262" w:hRule="exact"/>
        </w:trPr>
        <w:tc>
          <w:tcPr>
            <w:tcW w:w="2093" w:type="dxa"/>
            <w:gridSpan w:val="2"/>
            <w:shd w:val="clear" w:color="auto" w:fill="76923B"/>
          </w:tcPr>
          <w:p>
            <w:pPr>
              <w:pStyle w:val="TableParagraph"/>
              <w:spacing w:line="248" w:lineRule="exact"/>
              <w:ind w:left="0" w:right="1"/>
              <w:jc w:val="center"/>
              <w:rPr>
                <w:b/>
                <w:sz w:val="22"/>
              </w:rPr>
            </w:pPr>
            <w:r>
              <w:rPr>
                <w:b/>
                <w:w w:val="100"/>
                <w:sz w:val="22"/>
              </w:rPr>
              <w:t>1</w:t>
            </w:r>
          </w:p>
        </w:tc>
        <w:tc>
          <w:tcPr>
            <w:tcW w:w="1985" w:type="dxa"/>
            <w:gridSpan w:val="2"/>
            <w:tcBorders>
              <w:left w:val="single" w:sz="45" w:space="0" w:color="76923B"/>
            </w:tcBorders>
          </w:tcPr>
          <w:p>
            <w:pPr>
              <w:pStyle w:val="TableParagraph"/>
              <w:spacing w:line="248" w:lineRule="exact"/>
              <w:ind w:left="0" w:right="49"/>
              <w:jc w:val="center"/>
              <w:rPr>
                <w:b/>
                <w:sz w:val="22"/>
              </w:rPr>
            </w:pPr>
            <w:r>
              <w:rPr>
                <w:b/>
                <w:w w:val="100"/>
                <w:sz w:val="22"/>
              </w:rPr>
              <w:t>2</w:t>
            </w:r>
          </w:p>
        </w:tc>
        <w:tc>
          <w:tcPr>
            <w:tcW w:w="2268" w:type="dxa"/>
            <w:gridSpan w:val="2"/>
            <w:tcBorders>
              <w:right w:val="single" w:sz="41" w:space="0" w:color="76923B"/>
            </w:tcBorders>
          </w:tcPr>
          <w:p>
            <w:pPr>
              <w:pStyle w:val="TableParagraph"/>
              <w:spacing w:line="248" w:lineRule="exact"/>
              <w:ind w:left="47"/>
              <w:jc w:val="center"/>
              <w:rPr>
                <w:b/>
                <w:sz w:val="22"/>
              </w:rPr>
            </w:pPr>
            <w:r>
              <w:rPr>
                <w:b/>
                <w:w w:val="100"/>
                <w:sz w:val="22"/>
              </w:rPr>
              <w:t>3</w:t>
            </w:r>
          </w:p>
        </w:tc>
        <w:tc>
          <w:tcPr>
            <w:tcW w:w="1701" w:type="dxa"/>
            <w:gridSpan w:val="2"/>
            <w:shd w:val="clear" w:color="auto" w:fill="76923B"/>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76923B"/>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2" w:right="492"/>
              <w:jc w:val="center"/>
              <w:rPr>
                <w:b/>
                <w:sz w:val="22"/>
              </w:rPr>
            </w:pPr>
            <w:r>
              <w:rPr>
                <w:b/>
                <w:sz w:val="22"/>
              </w:rPr>
              <w:t>127</w:t>
            </w:r>
          </w:p>
        </w:tc>
        <w:tc>
          <w:tcPr>
            <w:tcW w:w="2127" w:type="dxa"/>
            <w:gridSpan w:val="3"/>
            <w:shd w:val="clear" w:color="auto" w:fill="92CDDC"/>
          </w:tcPr>
          <w:p>
            <w:pPr>
              <w:pStyle w:val="TableParagraph"/>
              <w:spacing w:line="248" w:lineRule="exact"/>
              <w:ind w:left="0"/>
              <w:jc w:val="center"/>
              <w:rPr>
                <w:b/>
                <w:sz w:val="22"/>
              </w:rPr>
            </w:pPr>
            <w:r>
              <w:rPr>
                <w:b/>
                <w:w w:val="100"/>
                <w:sz w:val="22"/>
              </w:rPr>
              <w:t>5</w:t>
            </w:r>
          </w:p>
        </w:tc>
        <w:tc>
          <w:tcPr>
            <w:tcW w:w="2410" w:type="dxa"/>
            <w:gridSpan w:val="3"/>
            <w:shd w:val="clear" w:color="auto" w:fill="92CDDC"/>
          </w:tcPr>
          <w:p>
            <w:pPr>
              <w:pStyle w:val="TableParagraph"/>
              <w:spacing w:line="248" w:lineRule="exact"/>
              <w:ind w:left="782" w:right="780"/>
              <w:jc w:val="center"/>
              <w:rPr>
                <w:b/>
                <w:sz w:val="22"/>
              </w:rPr>
            </w:pPr>
            <w:r>
              <w:rPr>
                <w:b/>
                <w:sz w:val="22"/>
              </w:rPr>
              <w:t>1.00</w:t>
            </w:r>
          </w:p>
        </w:tc>
        <w:tc>
          <w:tcPr>
            <w:tcW w:w="1844" w:type="dxa"/>
            <w:gridSpan w:val="2"/>
            <w:shd w:val="clear" w:color="auto" w:fill="F9BE8F"/>
          </w:tcPr>
          <w:p>
            <w:pPr>
              <w:pStyle w:val="TableParagraph"/>
              <w:spacing w:line="248" w:lineRule="exact"/>
              <w:ind w:left="774" w:right="774"/>
              <w:jc w:val="center"/>
              <w:rPr>
                <w:b/>
                <w:sz w:val="22"/>
              </w:rPr>
            </w:pPr>
            <w:r>
              <w:rPr>
                <w:b/>
                <w:sz w:val="22"/>
              </w:rPr>
              <w:t>39</w:t>
            </w:r>
          </w:p>
        </w:tc>
        <w:tc>
          <w:tcPr>
            <w:tcW w:w="2126" w:type="dxa"/>
            <w:gridSpan w:val="3"/>
            <w:shd w:val="clear" w:color="auto" w:fill="F9BE8F"/>
          </w:tcPr>
          <w:p>
            <w:pPr>
              <w:pStyle w:val="TableParagraph"/>
              <w:spacing w:line="248" w:lineRule="exact"/>
              <w:ind w:left="0"/>
              <w:jc w:val="center"/>
              <w:rPr>
                <w:b/>
                <w:sz w:val="22"/>
              </w:rPr>
            </w:pPr>
            <w:r>
              <w:rPr>
                <w:b/>
                <w:w w:val="100"/>
                <w:sz w:val="22"/>
              </w:rPr>
              <w:t>5</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Participación social, deterioro ambiental, actores políticos, promesas de desarrollo sostenible.</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516" w:hRule="exact"/>
        </w:trPr>
        <w:tc>
          <w:tcPr>
            <w:tcW w:w="12897" w:type="dxa"/>
            <w:gridSpan w:val="14"/>
          </w:tcPr>
          <w:p>
            <w:pPr>
              <w:pStyle w:val="TableParagraph"/>
              <w:ind w:right="163"/>
              <w:rPr>
                <w:sz w:val="22"/>
              </w:rPr>
            </w:pPr>
            <w:r>
              <w:rPr>
                <w:sz w:val="22"/>
              </w:rPr>
              <w:t>Inhibición de la participación social ante el continuo deterioro ambiental por el incumplimiento de los actores políticos ante sus promesas de desarrollo sostenible (Cfr. INAFED, 2014 y García, TC: 2013-2015).</w:t>
            </w:r>
          </w:p>
        </w:tc>
      </w:tr>
      <w:tr>
        <w:trPr>
          <w:trHeight w:val="264" w:hRule="exact"/>
        </w:trPr>
        <w:tc>
          <w:tcPr>
            <w:tcW w:w="4295" w:type="dxa"/>
            <w:gridSpan w:val="5"/>
          </w:tcPr>
          <w:p>
            <w:pPr>
              <w:pStyle w:val="TableParagraph"/>
              <w:spacing w:line="251" w:lineRule="exact"/>
              <w:ind w:left="1097" w:right="213"/>
              <w:rPr>
                <w:b/>
                <w:sz w:val="22"/>
              </w:rPr>
            </w:pPr>
            <w:r>
              <w:rPr>
                <w:b/>
                <w:sz w:val="22"/>
              </w:rPr>
              <w:t>Unidad de medición</w:t>
            </w:r>
          </w:p>
        </w:tc>
        <w:tc>
          <w:tcPr>
            <w:tcW w:w="8603" w:type="dxa"/>
            <w:gridSpan w:val="9"/>
          </w:tcPr>
          <w:p>
            <w:pPr>
              <w:pStyle w:val="TableParagraph"/>
              <w:spacing w:line="251" w:lineRule="exact"/>
              <w:ind w:left="2419" w:right="108"/>
              <w:rPr>
                <w:b/>
                <w:sz w:val="22"/>
              </w:rPr>
            </w:pPr>
            <w:r>
              <w:rPr>
                <w:b/>
                <w:sz w:val="22"/>
              </w:rPr>
              <w:t>Definición de la unidad de medición</w:t>
            </w:r>
          </w:p>
        </w:tc>
      </w:tr>
      <w:tr>
        <w:trPr>
          <w:trHeight w:val="1275" w:hRule="exact"/>
        </w:trPr>
        <w:tc>
          <w:tcPr>
            <w:tcW w:w="4295" w:type="dxa"/>
            <w:gridSpan w:val="5"/>
          </w:tcPr>
          <w:p>
            <w:pPr>
              <w:pStyle w:val="TableParagraph"/>
              <w:spacing w:line="242" w:lineRule="auto"/>
              <w:ind w:left="986" w:right="213" w:hanging="762"/>
              <w:rPr>
                <w:sz w:val="22"/>
              </w:rPr>
            </w:pPr>
            <w:r>
              <w:rPr>
                <w:sz w:val="22"/>
              </w:rPr>
              <w:t># de acciones ambientales incumplidas por los actores políticos</w:t>
            </w:r>
          </w:p>
        </w:tc>
        <w:tc>
          <w:tcPr>
            <w:tcW w:w="8603" w:type="dxa"/>
            <w:gridSpan w:val="9"/>
          </w:tcPr>
          <w:p>
            <w:pPr>
              <w:pStyle w:val="TableParagraph"/>
              <w:ind w:right="102"/>
              <w:jc w:val="both"/>
              <w:rPr>
                <w:sz w:val="22"/>
              </w:rPr>
            </w:pPr>
            <w:r>
              <w:rPr>
                <w:sz w:val="22"/>
              </w:rPr>
              <w:t>Número de ofrecimientos políticos formales en materia ambiental no cumplidos (Ejemplo: construcción de biodigestores comunitarios y municipales, plantas de tratamiento de aguas residuales, caso omiso en la construcción de la autopista Arco- Norte dentro de la presa Huapango, cuidado de la sobreexplotación de los recursos en riesgo).</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27.7pt;mso-position-horizontal-relative:page;mso-position-vertical-relative:page;z-index:-3330640"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486;top:2336;width:12558;height:7629" type="#_x0000_t75" stroked="false">
              <v:imagedata r:id="rId329" o:title=""/>
            </v:shape>
            <w10:wrap type="none"/>
          </v:group>
        </w:pict>
      </w:r>
    </w:p>
    <w:p>
      <w:pPr>
        <w:pStyle w:val="BodyText"/>
        <w:spacing w:before="11"/>
        <w:rPr>
          <w:rFonts w:ascii="Times New Roman"/>
        </w:rPr>
      </w:pPr>
    </w:p>
    <w:p>
      <w:pPr>
        <w:pStyle w:val="Heading6"/>
        <w:spacing w:before="73"/>
        <w:ind w:left="5782" w:right="397"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2808">
            <wp:simplePos x="0" y="0"/>
            <wp:positionH relativeFrom="page">
              <wp:posOffset>876300</wp:posOffset>
            </wp:positionH>
            <wp:positionV relativeFrom="page">
              <wp:posOffset>2047113</wp:posOffset>
            </wp:positionV>
            <wp:extent cx="5746578" cy="2192274"/>
            <wp:effectExtent l="0" t="0" r="0" b="0"/>
            <wp:wrapNone/>
            <wp:docPr id="61" name="image207.png" descr=""/>
            <wp:cNvGraphicFramePr>
              <a:graphicFrameLocks noChangeAspect="1"/>
            </wp:cNvGraphicFramePr>
            <a:graphic>
              <a:graphicData uri="http://schemas.openxmlformats.org/drawingml/2006/picture">
                <pic:pic>
                  <pic:nvPicPr>
                    <pic:cNvPr id="62" name="image207.png"/>
                    <pic:cNvPicPr/>
                  </pic:nvPicPr>
                  <pic:blipFill>
                    <a:blip r:embed="rId330" cstate="print"/>
                    <a:stretch>
                      <a:fillRect/>
                    </a:stretch>
                  </pic:blipFill>
                  <pic:spPr>
                    <a:xfrm>
                      <a:off x="0" y="0"/>
                      <a:ext cx="5746578" cy="2192274"/>
                    </a:xfrm>
                    <a:prstGeom prst="rect">
                      <a:avLst/>
                    </a:prstGeom>
                  </pic:spPr>
                </pic:pic>
              </a:graphicData>
            </a:graphic>
          </wp:anchor>
        </w:drawing>
      </w:r>
      <w:r>
        <w:rPr/>
        <w:pict>
          <v:shape style="position:absolute;margin-left:557.349976pt;margin-top:173.660004pt;width:127.5pt;height:145.25pt;mso-position-horizontal-relative:page;mso-position-vertical-relative:page;z-index:1283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4" w:hRule="exact"/>
                    </w:trPr>
                    <w:tc>
                      <w:tcPr>
                        <w:tcW w:w="1034" w:type="dxa"/>
                      </w:tcPr>
                      <w:p>
                        <w:pPr>
                          <w:pStyle w:val="TableParagraph"/>
                          <w:spacing w:line="251" w:lineRule="exact"/>
                          <w:rPr>
                            <w:b/>
                            <w:sz w:val="22"/>
                          </w:rPr>
                        </w:pPr>
                        <w:r>
                          <w:rPr>
                            <w:b/>
                            <w:sz w:val="22"/>
                          </w:rPr>
                          <w:t>Período</w:t>
                        </w:r>
                      </w:p>
                    </w:tc>
                    <w:tc>
                      <w:tcPr>
                        <w:tcW w:w="1501" w:type="dxa"/>
                      </w:tcPr>
                      <w:p>
                        <w:pPr>
                          <w:pStyle w:val="TableParagraph"/>
                          <w:spacing w:line="251" w:lineRule="exact"/>
                          <w:rPr>
                            <w:b/>
                            <w:sz w:val="22"/>
                          </w:rPr>
                        </w:pPr>
                        <w:r>
                          <w:rPr>
                            <w:b/>
                            <w:sz w:val="22"/>
                          </w:rPr>
                          <w:t>Calificación</w:t>
                        </w:r>
                      </w:p>
                    </w:tc>
                  </w:tr>
                  <w:tr>
                    <w:trPr>
                      <w:trHeight w:val="265"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Excelente</w:t>
                        </w:r>
                      </w:p>
                    </w:tc>
                  </w:tr>
                  <w:tr>
                    <w:trPr>
                      <w:trHeight w:val="262"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rPr>
                            <w:sz w:val="22"/>
                          </w:rPr>
                        </w:pPr>
                        <w:r>
                          <w:rPr>
                            <w:sz w:val="22"/>
                          </w:rPr>
                          <w:t>Regular</w:t>
                        </w:r>
                      </w:p>
                    </w:tc>
                  </w:tr>
                  <w:tr>
                    <w:trPr>
                      <w:trHeight w:val="262" w:hRule="exact"/>
                    </w:trPr>
                    <w:tc>
                      <w:tcPr>
                        <w:tcW w:w="1034" w:type="dxa"/>
                      </w:tcPr>
                      <w:p>
                        <w:pPr>
                          <w:pStyle w:val="TableParagraph"/>
                          <w:spacing w:line="251" w:lineRule="exact"/>
                          <w:rPr>
                            <w:sz w:val="22"/>
                          </w:rPr>
                        </w:pPr>
                        <w:r>
                          <w:rPr>
                            <w:sz w:val="22"/>
                          </w:rPr>
                          <w:t>1785</w:t>
                        </w:r>
                      </w:p>
                    </w:tc>
                    <w:tc>
                      <w:tcPr>
                        <w:tcW w:w="1501" w:type="dxa"/>
                      </w:tcPr>
                      <w:p>
                        <w:pPr>
                          <w:pStyle w:val="TableParagraph"/>
                          <w:spacing w:line="251" w:lineRule="exact"/>
                          <w:rPr>
                            <w:sz w:val="22"/>
                          </w:rPr>
                        </w:pPr>
                        <w:r>
                          <w:rPr>
                            <w:sz w:val="22"/>
                          </w:rPr>
                          <w:t>Regular</w:t>
                        </w:r>
                      </w:p>
                    </w:tc>
                  </w:tr>
                  <w:tr>
                    <w:trPr>
                      <w:trHeight w:val="264" w:hRule="exact"/>
                    </w:trPr>
                    <w:tc>
                      <w:tcPr>
                        <w:tcW w:w="1034" w:type="dxa"/>
                      </w:tcPr>
                      <w:p>
                        <w:pPr>
                          <w:pStyle w:val="TableParagraph"/>
                          <w:spacing w:line="251" w:lineRule="exact"/>
                          <w:rPr>
                            <w:sz w:val="22"/>
                          </w:rPr>
                        </w:pPr>
                        <w:r>
                          <w:rPr>
                            <w:sz w:val="22"/>
                          </w:rPr>
                          <w:t>1810</w:t>
                        </w:r>
                      </w:p>
                    </w:tc>
                    <w:tc>
                      <w:tcPr>
                        <w:tcW w:w="1501" w:type="dxa"/>
                      </w:tcPr>
                      <w:p>
                        <w:pPr>
                          <w:pStyle w:val="TableParagraph"/>
                          <w:spacing w:line="251" w:lineRule="exact"/>
                          <w:rPr>
                            <w:sz w:val="22"/>
                          </w:rPr>
                        </w:pPr>
                        <w:r>
                          <w:rPr>
                            <w:sz w:val="22"/>
                          </w:rPr>
                          <w:t>Regular</w:t>
                        </w:r>
                      </w:p>
                    </w:tc>
                  </w:tr>
                  <w:tr>
                    <w:trPr>
                      <w:trHeight w:val="262" w:hRule="exact"/>
                    </w:trPr>
                    <w:tc>
                      <w:tcPr>
                        <w:tcW w:w="1034" w:type="dxa"/>
                      </w:tcPr>
                      <w:p>
                        <w:pPr>
                          <w:pStyle w:val="TableParagraph"/>
                          <w:spacing w:line="251" w:lineRule="exact"/>
                          <w:rPr>
                            <w:sz w:val="22"/>
                          </w:rPr>
                        </w:pPr>
                        <w:r>
                          <w:rPr>
                            <w:sz w:val="22"/>
                          </w:rPr>
                          <w:t>1861</w:t>
                        </w:r>
                      </w:p>
                    </w:tc>
                    <w:tc>
                      <w:tcPr>
                        <w:tcW w:w="1501" w:type="dxa"/>
                      </w:tcPr>
                      <w:p>
                        <w:pPr>
                          <w:pStyle w:val="TableParagraph"/>
                          <w:spacing w:line="251" w:lineRule="exact"/>
                          <w:rPr>
                            <w:sz w:val="22"/>
                          </w:rPr>
                        </w:pPr>
                        <w:r>
                          <w:rPr>
                            <w:sz w:val="22"/>
                          </w:rPr>
                          <w:t>Regular</w:t>
                        </w:r>
                      </w:p>
                    </w:tc>
                  </w:tr>
                  <w:tr>
                    <w:trPr>
                      <w:trHeight w:val="264" w:hRule="exact"/>
                    </w:trPr>
                    <w:tc>
                      <w:tcPr>
                        <w:tcW w:w="1034" w:type="dxa"/>
                      </w:tcPr>
                      <w:p>
                        <w:pPr>
                          <w:pStyle w:val="TableParagraph"/>
                          <w:rPr>
                            <w:sz w:val="22"/>
                          </w:rPr>
                        </w:pPr>
                        <w:r>
                          <w:rPr>
                            <w:sz w:val="22"/>
                          </w:rPr>
                          <w:t>1910</w:t>
                        </w:r>
                      </w:p>
                    </w:tc>
                    <w:tc>
                      <w:tcPr>
                        <w:tcW w:w="1501" w:type="dxa"/>
                      </w:tcPr>
                      <w:p>
                        <w:pPr>
                          <w:pStyle w:val="TableParagraph"/>
                          <w:rPr>
                            <w:sz w:val="22"/>
                          </w:rPr>
                        </w:pPr>
                        <w:r>
                          <w:rPr>
                            <w:sz w:val="22"/>
                          </w:rPr>
                          <w:t>Regular</w:t>
                        </w:r>
                      </w:p>
                    </w:tc>
                  </w:tr>
                  <w:tr>
                    <w:trPr>
                      <w:trHeight w:val="264"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Regular</w:t>
                        </w:r>
                      </w:p>
                    </w:tc>
                  </w:tr>
                  <w:tr>
                    <w:trPr>
                      <w:trHeight w:val="262"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rPr>
                            <w:sz w:val="22"/>
                          </w:rPr>
                        </w:pPr>
                        <w:r>
                          <w:rPr>
                            <w:sz w:val="22"/>
                          </w:rPr>
                          <w:t>Regular</w:t>
                        </w: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50"/>
        <w:gridCol w:w="1352"/>
        <w:gridCol w:w="3168"/>
        <w:gridCol w:w="1474"/>
        <w:gridCol w:w="2413"/>
        <w:gridCol w:w="1610"/>
      </w:tblGrid>
      <w:tr>
        <w:trPr>
          <w:trHeight w:val="264"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007" w:hRule="exact"/>
        </w:trPr>
        <w:tc>
          <w:tcPr>
            <w:tcW w:w="12822" w:type="dxa"/>
            <w:gridSpan w:val="7"/>
          </w:tcPr>
          <w:p>
            <w:pPr>
              <w:pStyle w:val="TableParagraph"/>
              <w:spacing w:line="252" w:lineRule="exact" w:before="2"/>
              <w:ind w:left="27" w:right="91"/>
              <w:rPr>
                <w:sz w:val="22"/>
              </w:rPr>
            </w:pPr>
            <w:r>
              <w:rPr>
                <w:sz w:val="22"/>
              </w:rPr>
              <w:t>Para identificar el grado de participación social para cuidar el medio ambiente en la CHPH por el impacto ambiental, sociopolítico  y económico que se ha tenido a través del tiempo se elaboró la siguiente</w:t>
            </w:r>
            <w:r>
              <w:rPr>
                <w:spacing w:val="-21"/>
                <w:sz w:val="22"/>
              </w:rPr>
              <w:t> </w:t>
            </w:r>
            <w:r>
              <w:rPr>
                <w:sz w:val="22"/>
              </w:rPr>
              <w:t>gráfica:</w:t>
            </w:r>
          </w:p>
          <w:p>
            <w:pPr>
              <w:pStyle w:val="TableParagraph"/>
              <w:spacing w:line="248" w:lineRule="exact"/>
              <w:ind w:left="3942" w:right="57"/>
              <w:rPr>
                <w:b/>
                <w:sz w:val="22"/>
              </w:rPr>
            </w:pPr>
            <w:r>
              <w:rPr>
                <w:b/>
                <w:sz w:val="22"/>
              </w:rPr>
              <w:t>Gráfica 7.5.</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510" w:lineRule="atLeast" w:before="187"/>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850" w:type="dxa"/>
            <w:vMerge w:val="restart"/>
          </w:tcPr>
          <w:p>
            <w:pPr>
              <w:pStyle w:val="TableParagraph"/>
              <w:tabs>
                <w:tab w:pos="1516" w:val="left" w:leader="none"/>
              </w:tabs>
              <w:ind w:right="100"/>
              <w:jc w:val="both"/>
              <w:rPr>
                <w:sz w:val="20"/>
              </w:rPr>
            </w:pPr>
            <w:r>
              <w:rPr>
                <w:sz w:val="20"/>
              </w:rPr>
              <w:t>Clasificación por número</w:t>
              <w:tab/>
              <w:t>de eventos en el período</w:t>
            </w:r>
          </w:p>
        </w:tc>
        <w:tc>
          <w:tcPr>
            <w:tcW w:w="8406" w:type="dxa"/>
            <w:gridSpan w:val="4"/>
          </w:tcPr>
          <w:p>
            <w:pPr>
              <w:pStyle w:val="TableParagraph"/>
              <w:ind w:right="105"/>
              <w:rPr>
                <w:sz w:val="20"/>
              </w:rPr>
            </w:pPr>
            <w:r>
              <w:rPr>
                <w:sz w:val="20"/>
              </w:rPr>
              <w:t>Clasificación por </w:t>
            </w:r>
            <w:r>
              <w:rPr>
                <w:b/>
                <w:sz w:val="20"/>
              </w:rPr>
              <w:t>características de impacto positivo o negativo </w:t>
            </w:r>
            <w:r>
              <w:rPr>
                <w:sz w:val="20"/>
              </w:rPr>
              <w:t>en los ámbitos ambiental-sociopolítico-económico</w:t>
            </w:r>
          </w:p>
        </w:tc>
        <w:tc>
          <w:tcPr>
            <w:tcW w:w="1610" w:type="dxa"/>
            <w:vMerge w:val="restart"/>
            <w:tcBorders>
              <w:right w:val="double" w:sz="12" w:space="0" w:color="000000"/>
            </w:tcBorders>
          </w:tcPr>
          <w:p>
            <w:pPr>
              <w:pStyle w:val="TableParagraph"/>
              <w:spacing w:before="119"/>
              <w:ind w:left="228" w:right="227"/>
              <w:jc w:val="center"/>
              <w:rPr>
                <w:sz w:val="20"/>
              </w:rPr>
            </w:pPr>
            <w:r>
              <w:rPr>
                <w:w w:val="95"/>
                <w:sz w:val="20"/>
              </w:rPr>
              <w:t>Clasificación </w:t>
            </w:r>
            <w:r>
              <w:rPr>
                <w:sz w:val="20"/>
              </w:rPr>
              <w:t>de la calificación</w:t>
            </w:r>
          </w:p>
        </w:tc>
      </w:tr>
      <w:tr>
        <w:trPr>
          <w:trHeight w:val="480" w:hRule="exact"/>
        </w:trPr>
        <w:tc>
          <w:tcPr>
            <w:tcW w:w="954" w:type="dxa"/>
            <w:vMerge/>
            <w:tcBorders>
              <w:left w:val="double" w:sz="11" w:space="0" w:color="000000"/>
            </w:tcBorders>
          </w:tcPr>
          <w:p>
            <w:pPr/>
          </w:p>
        </w:tc>
        <w:tc>
          <w:tcPr>
            <w:tcW w:w="1850" w:type="dxa"/>
            <w:vMerge/>
          </w:tcPr>
          <w:p>
            <w:pPr/>
          </w:p>
        </w:tc>
        <w:tc>
          <w:tcPr>
            <w:tcW w:w="1352" w:type="dxa"/>
          </w:tcPr>
          <w:p>
            <w:pPr>
              <w:pStyle w:val="TableParagraph"/>
              <w:spacing w:line="227" w:lineRule="exact"/>
              <w:rPr>
                <w:sz w:val="20"/>
              </w:rPr>
            </w:pPr>
            <w:r>
              <w:rPr>
                <w:sz w:val="20"/>
              </w:rPr>
              <w:t>Subsistema</w:t>
            </w:r>
          </w:p>
        </w:tc>
        <w:tc>
          <w:tcPr>
            <w:tcW w:w="3168" w:type="dxa"/>
          </w:tcPr>
          <w:p>
            <w:pPr>
              <w:pStyle w:val="TableParagraph"/>
              <w:spacing w:line="227" w:lineRule="exact"/>
              <w:rPr>
                <w:sz w:val="20"/>
              </w:rPr>
            </w:pPr>
            <w:r>
              <w:rPr>
                <w:sz w:val="20"/>
              </w:rPr>
              <w:t>características</w:t>
            </w:r>
          </w:p>
        </w:tc>
        <w:tc>
          <w:tcPr>
            <w:tcW w:w="1474" w:type="dxa"/>
          </w:tcPr>
          <w:p>
            <w:pPr>
              <w:pStyle w:val="TableParagraph"/>
              <w:tabs>
                <w:tab w:pos="1137" w:val="left" w:leader="none"/>
              </w:tabs>
              <w:spacing w:line="227" w:lineRule="exact"/>
              <w:rPr>
                <w:sz w:val="20"/>
              </w:rPr>
            </w:pPr>
            <w:r>
              <w:rPr>
                <w:sz w:val="20"/>
              </w:rPr>
              <w:t>%</w:t>
              <w:tab/>
              <w:t>de</w:t>
            </w:r>
          </w:p>
          <w:p>
            <w:pPr>
              <w:pStyle w:val="TableParagraph"/>
              <w:rPr>
                <w:sz w:val="20"/>
              </w:rPr>
            </w:pPr>
            <w:r>
              <w:rPr>
                <w:sz w:val="20"/>
              </w:rPr>
              <w:t>cumplimiento</w:t>
            </w:r>
          </w:p>
        </w:tc>
        <w:tc>
          <w:tcPr>
            <w:tcW w:w="2413" w:type="dxa"/>
          </w:tcPr>
          <w:p>
            <w:pPr>
              <w:pStyle w:val="TableParagraph"/>
              <w:spacing w:line="227" w:lineRule="exact"/>
              <w:rPr>
                <w:sz w:val="20"/>
              </w:rPr>
            </w:pPr>
            <w:r>
              <w:rPr>
                <w:sz w:val="20"/>
              </w:rPr>
              <w:t>Observaciones</w:t>
            </w:r>
          </w:p>
        </w:tc>
        <w:tc>
          <w:tcPr>
            <w:tcW w:w="1610"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50"/>
        <w:gridCol w:w="1352"/>
        <w:gridCol w:w="3168"/>
        <w:gridCol w:w="1474"/>
        <w:gridCol w:w="2413"/>
        <w:gridCol w:w="1610"/>
      </w:tblGrid>
      <w:tr>
        <w:trPr>
          <w:trHeight w:val="3241"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230"/>
              <w:rPr>
                <w:sz w:val="20"/>
              </w:rPr>
            </w:pPr>
            <w:r>
              <w:rPr>
                <w:sz w:val="20"/>
              </w:rPr>
              <w:t>1400</w:t>
            </w:r>
          </w:p>
        </w:tc>
        <w:tc>
          <w:tcPr>
            <w:tcW w:w="1850"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52" w:type="dxa"/>
          </w:tcPr>
          <w:p>
            <w:pPr>
              <w:pStyle w:val="TableParagraph"/>
              <w:spacing w:before="7"/>
              <w:rPr>
                <w:sz w:val="20"/>
              </w:rPr>
            </w:pPr>
            <w:r>
              <w:rPr>
                <w:sz w:val="20"/>
              </w:rPr>
              <w:t>Ambiental</w:t>
            </w:r>
          </w:p>
        </w:tc>
        <w:tc>
          <w:tcPr>
            <w:tcW w:w="3168" w:type="dxa"/>
          </w:tcPr>
          <w:p>
            <w:pPr>
              <w:pStyle w:val="TableParagraph"/>
              <w:numPr>
                <w:ilvl w:val="0"/>
                <w:numId w:val="113"/>
              </w:numPr>
              <w:tabs>
                <w:tab w:pos="812" w:val="left" w:leader="none"/>
              </w:tabs>
              <w:spacing w:line="240" w:lineRule="auto" w:before="7" w:after="0"/>
              <w:ind w:left="280" w:right="103" w:hanging="141"/>
              <w:jc w:val="both"/>
              <w:rPr>
                <w:sz w:val="20"/>
              </w:rPr>
            </w:pPr>
            <w:r>
              <w:rPr>
                <w:sz w:val="20"/>
              </w:rPr>
              <w:t>Existe participación social de los actores de la CHPH para cuidar el medio ambiente</w:t>
            </w:r>
          </w:p>
          <w:p>
            <w:pPr>
              <w:pStyle w:val="TableParagraph"/>
              <w:numPr>
                <w:ilvl w:val="0"/>
                <w:numId w:val="113"/>
              </w:numPr>
              <w:tabs>
                <w:tab w:pos="812" w:val="left" w:leader="none"/>
              </w:tabs>
              <w:spacing w:line="240" w:lineRule="auto" w:before="0" w:after="0"/>
              <w:ind w:left="280" w:right="105" w:hanging="141"/>
              <w:jc w:val="both"/>
              <w:rPr>
                <w:sz w:val="20"/>
              </w:rPr>
            </w:pPr>
            <w:r>
              <w:rPr>
                <w:sz w:val="20"/>
              </w:rPr>
              <w:t>Existe acción  colectiva de los actores para cuidar el medio</w:t>
            </w:r>
            <w:r>
              <w:rPr>
                <w:spacing w:val="-5"/>
                <w:sz w:val="20"/>
              </w:rPr>
              <w:t> </w:t>
            </w:r>
            <w:r>
              <w:rPr>
                <w:sz w:val="20"/>
              </w:rPr>
              <w:t>ambiente</w:t>
            </w:r>
          </w:p>
          <w:p>
            <w:pPr>
              <w:pStyle w:val="TableParagraph"/>
              <w:numPr>
                <w:ilvl w:val="0"/>
                <w:numId w:val="113"/>
              </w:numPr>
              <w:tabs>
                <w:tab w:pos="812" w:val="left" w:leader="none"/>
                <w:tab w:pos="2231" w:val="left" w:leader="none"/>
              </w:tabs>
              <w:spacing w:line="240" w:lineRule="auto" w:before="0" w:after="0"/>
              <w:ind w:left="280" w:right="103" w:hanging="141"/>
              <w:jc w:val="both"/>
              <w:rPr>
                <w:sz w:val="20"/>
              </w:rPr>
            </w:pPr>
            <w:r>
              <w:rPr>
                <w:sz w:val="20"/>
              </w:rPr>
              <w:t>Existen</w:t>
              <w:tab/>
            </w:r>
            <w:r>
              <w:rPr>
                <w:w w:val="95"/>
                <w:sz w:val="20"/>
              </w:rPr>
              <w:t>acuerdos </w:t>
            </w:r>
            <w:r>
              <w:rPr>
                <w:sz w:val="20"/>
              </w:rPr>
              <w:t>democráticos entre actores de la CHPH para cuidar el medio ambiente</w:t>
            </w:r>
          </w:p>
          <w:p>
            <w:pPr>
              <w:pStyle w:val="TableParagraph"/>
              <w:numPr>
                <w:ilvl w:val="0"/>
                <w:numId w:val="113"/>
              </w:numPr>
              <w:tabs>
                <w:tab w:pos="812" w:val="left" w:leader="none"/>
                <w:tab w:pos="2085" w:val="left" w:leader="none"/>
              </w:tabs>
              <w:spacing w:line="240" w:lineRule="auto" w:before="0" w:after="0"/>
              <w:ind w:left="280" w:right="103" w:hanging="141"/>
              <w:jc w:val="both"/>
              <w:rPr>
                <w:sz w:val="20"/>
              </w:rPr>
            </w:pPr>
            <w:r>
              <w:rPr>
                <w:sz w:val="20"/>
              </w:rPr>
              <w:t>Existe</w:t>
              <w:tab/>
              <w:t>planeación ambiental con articulación entre</w:t>
            </w:r>
            <w:r>
              <w:rPr>
                <w:spacing w:val="-5"/>
                <w:sz w:val="20"/>
              </w:rPr>
              <w:t> </w:t>
            </w:r>
            <w:r>
              <w:rPr>
                <w:sz w:val="20"/>
              </w:rPr>
              <w:t>actores</w:t>
            </w:r>
          </w:p>
        </w:tc>
        <w:tc>
          <w:tcPr>
            <w:tcW w:w="147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475"/>
              <w:rPr>
                <w:sz w:val="20"/>
              </w:rPr>
            </w:pPr>
            <w:r>
              <w:rPr>
                <w:sz w:val="20"/>
              </w:rPr>
              <w:t>100%</w:t>
            </w:r>
          </w:p>
        </w:tc>
        <w:tc>
          <w:tcPr>
            <w:tcW w:w="2413" w:type="dxa"/>
            <w:vMerge w:val="restart"/>
          </w:tcPr>
          <w:p>
            <w:pPr>
              <w:pStyle w:val="TableParagraph"/>
              <w:spacing w:line="242" w:lineRule="auto" w:before="4"/>
              <w:ind w:right="104"/>
              <w:jc w:val="both"/>
              <w:rPr>
                <w:sz w:val="20"/>
              </w:rPr>
            </w:pPr>
            <w:r>
              <w:rPr>
                <w:sz w:val="20"/>
              </w:rPr>
              <w:t>Debe reunir al </w:t>
            </w:r>
            <w:r>
              <w:rPr>
                <w:b/>
                <w:sz w:val="20"/>
              </w:rPr>
              <w:t>100% las tres </w:t>
            </w:r>
            <w:r>
              <w:rPr>
                <w:sz w:val="20"/>
              </w:rPr>
              <w:t>características de impacto positivo</w:t>
            </w:r>
          </w:p>
        </w:tc>
        <w:tc>
          <w:tcPr>
            <w:tcW w:w="1610"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14"/>
              <w:rPr>
                <w:b/>
                <w:sz w:val="20"/>
              </w:rPr>
            </w:pPr>
            <w:r>
              <w:rPr>
                <w:b/>
                <w:sz w:val="20"/>
              </w:rPr>
              <w:t>Excelente</w:t>
            </w:r>
          </w:p>
        </w:tc>
      </w:tr>
      <w:tr>
        <w:trPr>
          <w:trHeight w:val="2770" w:hRule="exact"/>
        </w:trPr>
        <w:tc>
          <w:tcPr>
            <w:tcW w:w="954" w:type="dxa"/>
            <w:vMerge/>
            <w:tcBorders>
              <w:left w:val="double" w:sz="11" w:space="0" w:color="000000"/>
            </w:tcBorders>
          </w:tcPr>
          <w:p>
            <w:pPr/>
          </w:p>
        </w:tc>
        <w:tc>
          <w:tcPr>
            <w:tcW w:w="1850" w:type="dxa"/>
            <w:vMerge/>
          </w:tcPr>
          <w:p>
            <w:pPr/>
          </w:p>
        </w:tc>
        <w:tc>
          <w:tcPr>
            <w:tcW w:w="1352" w:type="dxa"/>
          </w:tcPr>
          <w:p>
            <w:pPr>
              <w:pStyle w:val="TableParagraph"/>
              <w:spacing w:line="227" w:lineRule="exact"/>
              <w:rPr>
                <w:sz w:val="20"/>
              </w:rPr>
            </w:pPr>
            <w:r>
              <w:rPr>
                <w:sz w:val="20"/>
              </w:rPr>
              <w:t>Económico</w:t>
            </w:r>
          </w:p>
        </w:tc>
        <w:tc>
          <w:tcPr>
            <w:tcW w:w="3168" w:type="dxa"/>
          </w:tcPr>
          <w:p>
            <w:pPr>
              <w:pStyle w:val="TableParagraph"/>
              <w:numPr>
                <w:ilvl w:val="0"/>
                <w:numId w:val="114"/>
              </w:numPr>
              <w:tabs>
                <w:tab w:pos="812" w:val="left" w:leader="none"/>
                <w:tab w:pos="2041"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naturales entre los actores de la</w:t>
            </w:r>
            <w:r>
              <w:rPr>
                <w:spacing w:val="-5"/>
                <w:sz w:val="20"/>
              </w:rPr>
              <w:t> </w:t>
            </w:r>
            <w:r>
              <w:rPr>
                <w:sz w:val="20"/>
              </w:rPr>
              <w:t>CHPH</w:t>
            </w:r>
          </w:p>
          <w:p>
            <w:pPr>
              <w:pStyle w:val="TableParagraph"/>
              <w:numPr>
                <w:ilvl w:val="0"/>
                <w:numId w:val="114"/>
              </w:numPr>
              <w:tabs>
                <w:tab w:pos="812" w:val="left" w:leader="none"/>
                <w:tab w:pos="2029" w:val="left" w:leader="none"/>
              </w:tabs>
              <w:spacing w:line="240" w:lineRule="auto" w:before="0" w:after="0"/>
              <w:ind w:left="280" w:right="104" w:hanging="141"/>
              <w:jc w:val="both"/>
              <w:rPr>
                <w:sz w:val="20"/>
              </w:rPr>
            </w:pPr>
            <w:r>
              <w:rPr>
                <w:sz w:val="20"/>
              </w:rPr>
              <w:t>Existe</w:t>
              <w:tab/>
              <w:t>crecimiento económico igualitario en los municipios que integran la CHPH con participación social de los actores de la</w:t>
            </w:r>
            <w:r>
              <w:rPr>
                <w:spacing w:val="-10"/>
                <w:sz w:val="20"/>
              </w:rPr>
              <w:t> </w:t>
            </w:r>
            <w:r>
              <w:rPr>
                <w:sz w:val="20"/>
              </w:rPr>
              <w:t>cuenca</w:t>
            </w:r>
          </w:p>
          <w:p>
            <w:pPr>
              <w:pStyle w:val="TableParagraph"/>
              <w:numPr>
                <w:ilvl w:val="0"/>
                <w:numId w:val="114"/>
              </w:numPr>
              <w:tabs>
                <w:tab w:pos="812" w:val="left" w:leader="none"/>
                <w:tab w:pos="2085" w:val="left" w:leader="none"/>
              </w:tabs>
              <w:spacing w:line="240" w:lineRule="auto" w:before="0" w:after="0"/>
              <w:ind w:left="280" w:right="104" w:hanging="141"/>
              <w:jc w:val="both"/>
              <w:rPr>
                <w:sz w:val="20"/>
              </w:rPr>
            </w:pPr>
            <w:r>
              <w:rPr>
                <w:sz w:val="20"/>
              </w:rPr>
              <w:t>Existe</w:t>
              <w:tab/>
              <w:t>planeación</w:t>
            </w:r>
            <w:r>
              <w:rPr>
                <w:w w:val="99"/>
                <w:sz w:val="20"/>
              </w:rPr>
              <w:t> </w:t>
            </w:r>
            <w:r>
              <w:rPr>
                <w:sz w:val="20"/>
              </w:rPr>
              <w:t>económica con articulación entre</w:t>
            </w:r>
            <w:r>
              <w:rPr>
                <w:spacing w:val="-5"/>
                <w:sz w:val="20"/>
              </w:rPr>
              <w:t> </w:t>
            </w:r>
            <w:r>
              <w:rPr>
                <w:sz w:val="20"/>
              </w:rPr>
              <w:t>actores</w:t>
            </w:r>
          </w:p>
        </w:tc>
        <w:tc>
          <w:tcPr>
            <w:tcW w:w="1474" w:type="dxa"/>
            <w:vMerge/>
          </w:tcPr>
          <w:p>
            <w:pPr/>
          </w:p>
        </w:tc>
        <w:tc>
          <w:tcPr>
            <w:tcW w:w="2413" w:type="dxa"/>
            <w:vMerge/>
          </w:tcPr>
          <w:p>
            <w:pPr/>
          </w:p>
        </w:tc>
        <w:tc>
          <w:tcPr>
            <w:tcW w:w="1610" w:type="dxa"/>
            <w:vMerge/>
            <w:tcBorders>
              <w:right w:val="double" w:sz="12" w:space="0" w:color="000000"/>
            </w:tcBorders>
            <w:shd w:val="clear" w:color="auto" w:fill="00FF00"/>
          </w:tcPr>
          <w:p>
            <w:pPr/>
          </w:p>
        </w:tc>
      </w:tr>
      <w:tr>
        <w:trPr>
          <w:trHeight w:val="2780" w:hRule="exact"/>
        </w:trPr>
        <w:tc>
          <w:tcPr>
            <w:tcW w:w="954" w:type="dxa"/>
            <w:vMerge/>
            <w:tcBorders>
              <w:left w:val="double" w:sz="11" w:space="0" w:color="000000"/>
              <w:bottom w:val="single" w:sz="8" w:space="0" w:color="000000"/>
            </w:tcBorders>
          </w:tcPr>
          <w:p>
            <w:pPr/>
          </w:p>
        </w:tc>
        <w:tc>
          <w:tcPr>
            <w:tcW w:w="1850" w:type="dxa"/>
            <w:vMerge/>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Sociopolítico</w:t>
            </w:r>
          </w:p>
        </w:tc>
        <w:tc>
          <w:tcPr>
            <w:tcW w:w="3168" w:type="dxa"/>
            <w:tcBorders>
              <w:bottom w:val="single" w:sz="8" w:space="0" w:color="000000"/>
            </w:tcBorders>
          </w:tcPr>
          <w:p>
            <w:pPr>
              <w:pStyle w:val="TableParagraph"/>
              <w:ind w:left="280" w:right="103" w:hanging="178"/>
              <w:jc w:val="both"/>
              <w:rPr>
                <w:sz w:val="20"/>
              </w:rPr>
            </w:pPr>
            <w:r>
              <w:rPr>
                <w:rFonts w:ascii="Wingdings" w:hAnsi="Wingdings"/>
                <w:sz w:val="20"/>
              </w:rPr>
              <w:t></w:t>
            </w:r>
            <w:r>
              <w:rPr>
                <w:sz w:val="20"/>
              </w:rPr>
              <w:t>Favorece la organización sociopolítica de los actores de la CHPH mediante la participación social</w:t>
            </w:r>
          </w:p>
          <w:p>
            <w:pPr>
              <w:pStyle w:val="TableParagraph"/>
              <w:ind w:left="280" w:right="104" w:hanging="178"/>
              <w:jc w:val="both"/>
              <w:rPr>
                <w:sz w:val="20"/>
              </w:rPr>
            </w:pPr>
            <w:r>
              <w:rPr>
                <w:rFonts w:ascii="Wingdings" w:hAnsi="Wingdings"/>
                <w:sz w:val="20"/>
              </w:rPr>
              <w:t></w:t>
            </w:r>
            <w:r>
              <w:rPr>
                <w:sz w:val="20"/>
              </w:rPr>
              <w:t>Favorece la articulación entre actores para cuidar el medio ambiente</w:t>
            </w:r>
          </w:p>
          <w:p>
            <w:pPr>
              <w:pStyle w:val="TableParagraph"/>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ind w:left="280" w:right="106" w:hanging="178"/>
              <w:jc w:val="both"/>
              <w:rPr>
                <w:sz w:val="20"/>
              </w:rPr>
            </w:pPr>
            <w:r>
              <w:rPr>
                <w:rFonts w:ascii="Wingdings" w:hAnsi="Wingdings"/>
                <w:sz w:val="20"/>
              </w:rPr>
              <w:t></w:t>
            </w:r>
            <w:r>
              <w:rPr>
                <w:sz w:val="20"/>
              </w:rPr>
              <w:t>Existe planeación sociopolítica con articulación entre actores</w:t>
            </w:r>
          </w:p>
        </w:tc>
        <w:tc>
          <w:tcPr>
            <w:tcW w:w="1474" w:type="dxa"/>
            <w:vMerge/>
            <w:tcBorders>
              <w:bottom w:val="single" w:sz="8" w:space="0" w:color="000000"/>
            </w:tcBorders>
          </w:tcPr>
          <w:p>
            <w:pPr/>
          </w:p>
        </w:tc>
        <w:tc>
          <w:tcPr>
            <w:tcW w:w="2413" w:type="dxa"/>
            <w:vMerge/>
            <w:tcBorders>
              <w:bottom w:val="single" w:sz="8" w:space="0" w:color="000000"/>
            </w:tcBorders>
          </w:tcPr>
          <w:p>
            <w:pPr/>
          </w:p>
        </w:tc>
        <w:tc>
          <w:tcPr>
            <w:tcW w:w="1610" w:type="dxa"/>
            <w:vMerge/>
            <w:tcBorders>
              <w:bottom w:val="single" w:sz="8" w:space="0" w:color="000000"/>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28.179993pt;margin-top:86.059998pt;width:78.150pt;height:438.1pt;mso-position-horizontal-relative:page;mso-position-vertical-relative:page;z-index:-3330568" coordorigin="12564,1721" coordsize="1563,8762">
            <v:shape style="position:absolute;left:12564;top:1721;width:1562;height:8761" type="#_x0000_t75" stroked="false">
              <v:imagedata r:id="rId331" o:title=""/>
            </v:shape>
            <v:shape style="position:absolute;left:12667;top:1721;width:1356;height:230" type="#_x0000_t75" stroked="false">
              <v:imagedata r:id="rId290" o:title=""/>
            </v:shape>
            <v:shape style="position:absolute;left:12667;top:1952;width:1356;height:230" type="#_x0000_t75" stroked="false">
              <v:imagedata r:id="rId291" o:title=""/>
            </v:shape>
            <v:shape style="position:absolute;left:12667;top:2182;width:1356;height:230" type="#_x0000_t75" stroked="false">
              <v:imagedata r:id="rId292" o:title=""/>
            </v:shape>
            <v:shape style="position:absolute;left:12667;top:2412;width:1356;height:228" type="#_x0000_t75" stroked="false">
              <v:imagedata r:id="rId332" o:title=""/>
            </v:shape>
            <v:shape style="position:absolute;left:12667;top:2640;width:1356;height:230" type="#_x0000_t75" stroked="false">
              <v:imagedata r:id="rId333" o:title=""/>
            </v:shape>
            <v:shape style="position:absolute;left:12667;top:2871;width:1356;height:230" type="#_x0000_t75" stroked="false">
              <v:imagedata r:id="rId334" o:title=""/>
            </v:shape>
            <v:shape style="position:absolute;left:12667;top:3101;width:1356;height:230" type="#_x0000_t75" stroked="false">
              <v:imagedata r:id="rId335" o:title=""/>
            </v:shape>
            <v:shape style="position:absolute;left:12667;top:3332;width:1356;height:230" type="#_x0000_t75" stroked="false">
              <v:imagedata r:id="rId336" o:title=""/>
            </v:shape>
            <v:shape style="position:absolute;left:12667;top:3562;width:1356;height:230" type="#_x0000_t75" stroked="false">
              <v:imagedata r:id="rId337"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50"/>
        <w:gridCol w:w="1352"/>
        <w:gridCol w:w="3168"/>
        <w:gridCol w:w="1474"/>
        <w:gridCol w:w="2413"/>
        <w:gridCol w:w="1610"/>
      </w:tblGrid>
      <w:tr>
        <w:trPr>
          <w:trHeight w:val="3241"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230"/>
              <w:rPr>
                <w:sz w:val="20"/>
              </w:rPr>
            </w:pPr>
            <w:r>
              <w:rPr>
                <w:sz w:val="20"/>
              </w:rPr>
              <w:t>1519</w:t>
            </w:r>
          </w:p>
        </w:tc>
        <w:tc>
          <w:tcPr>
            <w:tcW w:w="1850"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52" w:type="dxa"/>
          </w:tcPr>
          <w:p>
            <w:pPr>
              <w:pStyle w:val="TableParagraph"/>
              <w:spacing w:before="7"/>
              <w:rPr>
                <w:sz w:val="20"/>
              </w:rPr>
            </w:pPr>
            <w:r>
              <w:rPr>
                <w:sz w:val="20"/>
              </w:rPr>
              <w:t>Ambiental</w:t>
            </w:r>
          </w:p>
        </w:tc>
        <w:tc>
          <w:tcPr>
            <w:tcW w:w="3168" w:type="dxa"/>
          </w:tcPr>
          <w:p>
            <w:pPr>
              <w:pStyle w:val="TableParagraph"/>
              <w:numPr>
                <w:ilvl w:val="0"/>
                <w:numId w:val="115"/>
              </w:numPr>
              <w:tabs>
                <w:tab w:pos="812" w:val="left" w:leader="none"/>
              </w:tabs>
              <w:spacing w:line="240" w:lineRule="auto" w:before="7" w:after="0"/>
              <w:ind w:left="280" w:right="104" w:hanging="141"/>
              <w:jc w:val="both"/>
              <w:rPr>
                <w:sz w:val="20"/>
              </w:rPr>
            </w:pPr>
            <w:r>
              <w:rPr>
                <w:sz w:val="20"/>
              </w:rPr>
              <w:t>Existe participación social de los actores de la CHPH para cuidar el medio ambiente</w:t>
            </w:r>
          </w:p>
          <w:p>
            <w:pPr>
              <w:pStyle w:val="TableParagraph"/>
              <w:numPr>
                <w:ilvl w:val="0"/>
                <w:numId w:val="115"/>
              </w:numPr>
              <w:tabs>
                <w:tab w:pos="812" w:val="left" w:leader="none"/>
              </w:tabs>
              <w:spacing w:line="240" w:lineRule="auto" w:before="0" w:after="0"/>
              <w:ind w:left="280" w:right="105" w:hanging="141"/>
              <w:jc w:val="both"/>
              <w:rPr>
                <w:sz w:val="20"/>
              </w:rPr>
            </w:pPr>
            <w:r>
              <w:rPr>
                <w:sz w:val="20"/>
              </w:rPr>
              <w:t>Existe acción  colectiva de los actores para cuidar el medio</w:t>
            </w:r>
            <w:r>
              <w:rPr>
                <w:spacing w:val="-5"/>
                <w:sz w:val="20"/>
              </w:rPr>
              <w:t> </w:t>
            </w:r>
            <w:r>
              <w:rPr>
                <w:sz w:val="20"/>
              </w:rPr>
              <w:t>ambiente</w:t>
            </w:r>
          </w:p>
          <w:p>
            <w:pPr>
              <w:pStyle w:val="TableParagraph"/>
              <w:numPr>
                <w:ilvl w:val="0"/>
                <w:numId w:val="115"/>
              </w:numPr>
              <w:tabs>
                <w:tab w:pos="812" w:val="left" w:leader="none"/>
                <w:tab w:pos="2231" w:val="left" w:leader="none"/>
              </w:tabs>
              <w:spacing w:line="240" w:lineRule="auto" w:before="0" w:after="0"/>
              <w:ind w:left="280" w:right="103" w:hanging="141"/>
              <w:jc w:val="both"/>
              <w:rPr>
                <w:sz w:val="20"/>
              </w:rPr>
            </w:pPr>
            <w:r>
              <w:rPr>
                <w:sz w:val="20"/>
              </w:rPr>
              <w:t>Existen</w:t>
              <w:tab/>
            </w:r>
            <w:r>
              <w:rPr>
                <w:w w:val="95"/>
                <w:sz w:val="20"/>
              </w:rPr>
              <w:t>acuerdos </w:t>
            </w:r>
            <w:r>
              <w:rPr>
                <w:sz w:val="20"/>
              </w:rPr>
              <w:t>democráticos entre actores de la CHPH para cuidar el medio ambiente</w:t>
            </w:r>
          </w:p>
          <w:p>
            <w:pPr>
              <w:pStyle w:val="TableParagraph"/>
              <w:numPr>
                <w:ilvl w:val="0"/>
                <w:numId w:val="115"/>
              </w:numPr>
              <w:tabs>
                <w:tab w:pos="812" w:val="left" w:leader="none"/>
                <w:tab w:pos="2085" w:val="left" w:leader="none"/>
              </w:tabs>
              <w:spacing w:line="240" w:lineRule="auto" w:before="0" w:after="0"/>
              <w:ind w:left="280" w:right="104" w:hanging="141"/>
              <w:jc w:val="both"/>
              <w:rPr>
                <w:sz w:val="20"/>
              </w:rPr>
            </w:pPr>
            <w:r>
              <w:rPr>
                <w:sz w:val="20"/>
              </w:rPr>
              <w:t>Existe</w:t>
              <w:tab/>
              <w:t>planeación</w:t>
            </w:r>
            <w:r>
              <w:rPr>
                <w:w w:val="99"/>
                <w:sz w:val="20"/>
              </w:rPr>
              <w:t> </w:t>
            </w:r>
            <w:r>
              <w:rPr>
                <w:sz w:val="20"/>
              </w:rPr>
              <w:t>ambiental con articulación entre</w:t>
            </w:r>
            <w:r>
              <w:rPr>
                <w:spacing w:val="-5"/>
                <w:sz w:val="20"/>
              </w:rPr>
              <w:t> </w:t>
            </w:r>
            <w:r>
              <w:rPr>
                <w:sz w:val="20"/>
              </w:rPr>
              <w:t>actores</w:t>
            </w:r>
          </w:p>
        </w:tc>
        <w:tc>
          <w:tcPr>
            <w:tcW w:w="147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510" w:right="513"/>
              <w:jc w:val="center"/>
              <w:rPr>
                <w:sz w:val="20"/>
              </w:rPr>
            </w:pPr>
            <w:r>
              <w:rPr>
                <w:sz w:val="20"/>
              </w:rPr>
              <w:t>75%</w:t>
            </w:r>
          </w:p>
        </w:tc>
        <w:tc>
          <w:tcPr>
            <w:tcW w:w="2413" w:type="dxa"/>
            <w:vMerge w:val="restart"/>
          </w:tcPr>
          <w:p>
            <w:pPr>
              <w:pStyle w:val="TableParagraph"/>
              <w:tabs>
                <w:tab w:pos="2074" w:val="left" w:leader="none"/>
              </w:tabs>
              <w:spacing w:line="242" w:lineRule="auto" w:before="4"/>
              <w:ind w:right="104"/>
              <w:jc w:val="both"/>
              <w:rPr>
                <w:sz w:val="20"/>
              </w:rPr>
            </w:pPr>
            <w:r>
              <w:rPr>
                <w:sz w:val="20"/>
              </w:rPr>
              <w:t>Debe reunir </w:t>
            </w:r>
            <w:r>
              <w:rPr>
                <w:b/>
                <w:sz w:val="20"/>
              </w:rPr>
              <w:t>al menos el 75% </w:t>
            </w:r>
            <w:r>
              <w:rPr>
                <w:sz w:val="20"/>
              </w:rPr>
              <w:t>dos de tres características</w:t>
              <w:tab/>
              <w:t>de impacto</w:t>
            </w:r>
            <w:r>
              <w:rPr>
                <w:spacing w:val="-3"/>
                <w:sz w:val="20"/>
              </w:rPr>
              <w:t> </w:t>
            </w:r>
            <w:r>
              <w:rPr>
                <w:sz w:val="20"/>
              </w:rPr>
              <w:t>positivo</w:t>
            </w:r>
          </w:p>
        </w:tc>
        <w:tc>
          <w:tcPr>
            <w:tcW w:w="1610"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470"/>
              <w:rPr>
                <w:b/>
                <w:sz w:val="20"/>
              </w:rPr>
            </w:pPr>
            <w:r>
              <w:rPr>
                <w:b/>
                <w:sz w:val="20"/>
              </w:rPr>
              <w:t>Bueno</w:t>
            </w:r>
          </w:p>
        </w:tc>
      </w:tr>
      <w:tr>
        <w:trPr>
          <w:trHeight w:val="2770" w:hRule="exact"/>
        </w:trPr>
        <w:tc>
          <w:tcPr>
            <w:tcW w:w="954" w:type="dxa"/>
            <w:vMerge/>
            <w:tcBorders>
              <w:left w:val="double" w:sz="11" w:space="0" w:color="000000"/>
            </w:tcBorders>
          </w:tcPr>
          <w:p>
            <w:pPr/>
          </w:p>
        </w:tc>
        <w:tc>
          <w:tcPr>
            <w:tcW w:w="1850" w:type="dxa"/>
            <w:vMerge/>
          </w:tcPr>
          <w:p>
            <w:pPr/>
          </w:p>
        </w:tc>
        <w:tc>
          <w:tcPr>
            <w:tcW w:w="1352" w:type="dxa"/>
          </w:tcPr>
          <w:p>
            <w:pPr>
              <w:pStyle w:val="TableParagraph"/>
              <w:spacing w:line="227" w:lineRule="exact"/>
              <w:rPr>
                <w:sz w:val="20"/>
              </w:rPr>
            </w:pPr>
            <w:r>
              <w:rPr>
                <w:sz w:val="20"/>
              </w:rPr>
              <w:t>Económico</w:t>
            </w:r>
          </w:p>
        </w:tc>
        <w:tc>
          <w:tcPr>
            <w:tcW w:w="3168" w:type="dxa"/>
          </w:tcPr>
          <w:p>
            <w:pPr>
              <w:pStyle w:val="TableParagraph"/>
              <w:numPr>
                <w:ilvl w:val="0"/>
                <w:numId w:val="116"/>
              </w:numPr>
              <w:tabs>
                <w:tab w:pos="812" w:val="left" w:leader="none"/>
                <w:tab w:pos="2041"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naturales entre los actores de la</w:t>
            </w:r>
            <w:r>
              <w:rPr>
                <w:spacing w:val="-5"/>
                <w:sz w:val="20"/>
              </w:rPr>
              <w:t> </w:t>
            </w:r>
            <w:r>
              <w:rPr>
                <w:sz w:val="20"/>
              </w:rPr>
              <w:t>CHPH</w:t>
            </w:r>
          </w:p>
          <w:p>
            <w:pPr>
              <w:pStyle w:val="TableParagraph"/>
              <w:numPr>
                <w:ilvl w:val="0"/>
                <w:numId w:val="116"/>
              </w:numPr>
              <w:tabs>
                <w:tab w:pos="812" w:val="left" w:leader="none"/>
                <w:tab w:pos="2029" w:val="left" w:leader="none"/>
              </w:tabs>
              <w:spacing w:line="240" w:lineRule="auto" w:before="0" w:after="0"/>
              <w:ind w:left="280" w:right="104" w:hanging="141"/>
              <w:jc w:val="both"/>
              <w:rPr>
                <w:sz w:val="20"/>
              </w:rPr>
            </w:pPr>
            <w:r>
              <w:rPr>
                <w:sz w:val="20"/>
              </w:rPr>
              <w:t>Existe</w:t>
              <w:tab/>
              <w:t>crecimiento económico igualitario en los municipios que integran la CHPH con participación social de los actores de la</w:t>
            </w:r>
            <w:r>
              <w:rPr>
                <w:spacing w:val="-10"/>
                <w:sz w:val="20"/>
              </w:rPr>
              <w:t> </w:t>
            </w:r>
            <w:r>
              <w:rPr>
                <w:sz w:val="20"/>
              </w:rPr>
              <w:t>cuenca</w:t>
            </w:r>
          </w:p>
          <w:p>
            <w:pPr>
              <w:pStyle w:val="TableParagraph"/>
              <w:numPr>
                <w:ilvl w:val="0"/>
                <w:numId w:val="116"/>
              </w:numPr>
              <w:tabs>
                <w:tab w:pos="812" w:val="left" w:leader="none"/>
                <w:tab w:pos="2085" w:val="left" w:leader="none"/>
              </w:tabs>
              <w:spacing w:line="240" w:lineRule="auto" w:before="0" w:after="0"/>
              <w:ind w:left="280" w:right="104" w:hanging="141"/>
              <w:jc w:val="both"/>
              <w:rPr>
                <w:sz w:val="20"/>
              </w:rPr>
            </w:pPr>
            <w:r>
              <w:rPr>
                <w:sz w:val="20"/>
              </w:rPr>
              <w:t>Existe</w:t>
              <w:tab/>
              <w:t>planeación</w:t>
            </w:r>
            <w:r>
              <w:rPr>
                <w:w w:val="99"/>
                <w:sz w:val="20"/>
              </w:rPr>
              <w:t> </w:t>
            </w:r>
            <w:r>
              <w:rPr>
                <w:sz w:val="20"/>
              </w:rPr>
              <w:t>económica con articulación entre</w:t>
            </w:r>
            <w:r>
              <w:rPr>
                <w:spacing w:val="-5"/>
                <w:sz w:val="20"/>
              </w:rPr>
              <w:t> </w:t>
            </w:r>
            <w:r>
              <w:rPr>
                <w:sz w:val="20"/>
              </w:rPr>
              <w:t>actores</w:t>
            </w:r>
          </w:p>
        </w:tc>
        <w:tc>
          <w:tcPr>
            <w:tcW w:w="1474" w:type="dxa"/>
            <w:vMerge/>
          </w:tcPr>
          <w:p>
            <w:pPr/>
          </w:p>
        </w:tc>
        <w:tc>
          <w:tcPr>
            <w:tcW w:w="2413" w:type="dxa"/>
            <w:vMerge/>
          </w:tcPr>
          <w:p>
            <w:pPr/>
          </w:p>
        </w:tc>
        <w:tc>
          <w:tcPr>
            <w:tcW w:w="1610" w:type="dxa"/>
            <w:vMerge/>
            <w:tcBorders>
              <w:right w:val="double" w:sz="12" w:space="0" w:color="000000"/>
            </w:tcBorders>
          </w:tcPr>
          <w:p>
            <w:pPr/>
          </w:p>
        </w:tc>
      </w:tr>
      <w:tr>
        <w:trPr>
          <w:trHeight w:val="2780" w:hRule="exact"/>
        </w:trPr>
        <w:tc>
          <w:tcPr>
            <w:tcW w:w="954" w:type="dxa"/>
            <w:vMerge/>
            <w:tcBorders>
              <w:left w:val="double" w:sz="11" w:space="0" w:color="000000"/>
              <w:bottom w:val="single" w:sz="8" w:space="0" w:color="000000"/>
            </w:tcBorders>
          </w:tcPr>
          <w:p>
            <w:pPr/>
          </w:p>
        </w:tc>
        <w:tc>
          <w:tcPr>
            <w:tcW w:w="1850" w:type="dxa"/>
            <w:vMerge/>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Sociopolítico</w:t>
            </w:r>
          </w:p>
        </w:tc>
        <w:tc>
          <w:tcPr>
            <w:tcW w:w="3168" w:type="dxa"/>
            <w:tcBorders>
              <w:bottom w:val="single" w:sz="8" w:space="0" w:color="000000"/>
            </w:tcBorders>
          </w:tcPr>
          <w:p>
            <w:pPr>
              <w:pStyle w:val="TableParagraph"/>
              <w:ind w:left="280" w:right="103" w:hanging="178"/>
              <w:jc w:val="both"/>
              <w:rPr>
                <w:sz w:val="20"/>
              </w:rPr>
            </w:pPr>
            <w:r>
              <w:rPr>
                <w:rFonts w:ascii="Wingdings" w:hAnsi="Wingdings"/>
                <w:sz w:val="20"/>
              </w:rPr>
              <w:t></w:t>
            </w:r>
            <w:r>
              <w:rPr>
                <w:sz w:val="20"/>
              </w:rPr>
              <w:t>Favorece la organización sociopolítica de los actores de la CHPH mediante la participación social</w:t>
            </w:r>
          </w:p>
          <w:p>
            <w:pPr>
              <w:pStyle w:val="TableParagraph"/>
              <w:ind w:left="280" w:right="105" w:hanging="178"/>
              <w:jc w:val="both"/>
              <w:rPr>
                <w:sz w:val="20"/>
              </w:rPr>
            </w:pPr>
            <w:r>
              <w:rPr>
                <w:rFonts w:ascii="Wingdings" w:hAnsi="Wingdings"/>
                <w:sz w:val="20"/>
              </w:rPr>
              <w:t></w:t>
            </w:r>
            <w:r>
              <w:rPr>
                <w:sz w:val="20"/>
              </w:rPr>
              <w:t>Favorece la articulación entre actores para cuidar el medio ambiente</w:t>
            </w:r>
          </w:p>
          <w:p>
            <w:pPr>
              <w:pStyle w:val="TableParagraph"/>
              <w:spacing w:line="229" w:lineRule="exact"/>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ind w:left="280" w:right="106" w:hanging="178"/>
              <w:jc w:val="both"/>
              <w:rPr>
                <w:sz w:val="20"/>
              </w:rPr>
            </w:pPr>
            <w:r>
              <w:rPr>
                <w:rFonts w:ascii="Wingdings" w:hAnsi="Wingdings"/>
                <w:sz w:val="20"/>
              </w:rPr>
              <w:t></w:t>
            </w:r>
            <w:r>
              <w:rPr>
                <w:sz w:val="20"/>
              </w:rPr>
              <w:t>Existe planeación sociopolítica con articulación entre actores</w:t>
            </w:r>
          </w:p>
        </w:tc>
        <w:tc>
          <w:tcPr>
            <w:tcW w:w="1474" w:type="dxa"/>
            <w:vMerge/>
            <w:tcBorders>
              <w:bottom w:val="single" w:sz="8" w:space="0" w:color="000000"/>
            </w:tcBorders>
          </w:tcPr>
          <w:p>
            <w:pPr/>
          </w:p>
        </w:tc>
        <w:tc>
          <w:tcPr>
            <w:tcW w:w="2413" w:type="dxa"/>
            <w:vMerge/>
            <w:tcBorders>
              <w:bottom w:val="single" w:sz="8" w:space="0" w:color="000000"/>
            </w:tcBorders>
          </w:tcPr>
          <w:p>
            <w:pPr/>
          </w:p>
        </w:tc>
        <w:tc>
          <w:tcPr>
            <w:tcW w:w="1610" w:type="dxa"/>
            <w:vMerge/>
            <w:tcBorders>
              <w:bottom w:val="single" w:sz="8"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50"/>
        <w:gridCol w:w="1352"/>
        <w:gridCol w:w="3168"/>
        <w:gridCol w:w="1474"/>
        <w:gridCol w:w="2413"/>
        <w:gridCol w:w="1610"/>
      </w:tblGrid>
      <w:tr>
        <w:trPr>
          <w:trHeight w:val="1013" w:hRule="exact"/>
        </w:trPr>
        <w:tc>
          <w:tcPr>
            <w:tcW w:w="954" w:type="dxa"/>
            <w:tcBorders>
              <w:left w:val="double" w:sz="11" w:space="0" w:color="000000"/>
            </w:tcBorders>
          </w:tcPr>
          <w:p>
            <w:pPr>
              <w:pStyle w:val="TableParagraph"/>
              <w:spacing w:before="7"/>
              <w:ind w:left="209" w:right="212"/>
              <w:jc w:val="center"/>
              <w:rPr>
                <w:sz w:val="20"/>
              </w:rPr>
            </w:pPr>
            <w:r>
              <w:rPr>
                <w:sz w:val="20"/>
              </w:rPr>
              <w:t>1580</w:t>
            </w:r>
          </w:p>
        </w:tc>
        <w:tc>
          <w:tcPr>
            <w:tcW w:w="1850"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52" w:type="dxa"/>
            <w:vMerge w:val="restart"/>
          </w:tcPr>
          <w:p>
            <w:pPr>
              <w:pStyle w:val="TableParagraph"/>
              <w:spacing w:before="7"/>
              <w:rPr>
                <w:sz w:val="20"/>
              </w:rPr>
            </w:pPr>
            <w:r>
              <w:rPr>
                <w:sz w:val="20"/>
              </w:rPr>
              <w:t>Ambiental</w:t>
            </w:r>
          </w:p>
        </w:tc>
        <w:tc>
          <w:tcPr>
            <w:tcW w:w="3168" w:type="dxa"/>
            <w:vMerge w:val="restart"/>
          </w:tcPr>
          <w:p>
            <w:pPr>
              <w:pStyle w:val="TableParagraph"/>
              <w:numPr>
                <w:ilvl w:val="0"/>
                <w:numId w:val="117"/>
              </w:numPr>
              <w:tabs>
                <w:tab w:pos="812" w:val="left" w:leader="none"/>
              </w:tabs>
              <w:spacing w:line="240" w:lineRule="auto" w:before="7" w:after="0"/>
              <w:ind w:left="280" w:right="104" w:hanging="141"/>
              <w:jc w:val="both"/>
              <w:rPr>
                <w:sz w:val="20"/>
              </w:rPr>
            </w:pPr>
            <w:r>
              <w:rPr>
                <w:sz w:val="20"/>
              </w:rPr>
              <w:t>Existe participación social de los actores de la CHPH para cuidar el medio ambiente</w:t>
            </w:r>
          </w:p>
          <w:p>
            <w:pPr>
              <w:pStyle w:val="TableParagraph"/>
              <w:numPr>
                <w:ilvl w:val="0"/>
                <w:numId w:val="117"/>
              </w:numPr>
              <w:tabs>
                <w:tab w:pos="812" w:val="left" w:leader="none"/>
              </w:tabs>
              <w:spacing w:line="240" w:lineRule="auto" w:before="0" w:after="0"/>
              <w:ind w:left="280" w:right="105" w:hanging="141"/>
              <w:jc w:val="both"/>
              <w:rPr>
                <w:sz w:val="20"/>
              </w:rPr>
            </w:pPr>
            <w:r>
              <w:rPr>
                <w:sz w:val="20"/>
              </w:rPr>
              <w:t>Existe acción  colectiva de los actores para cuidar el medio</w:t>
            </w:r>
            <w:r>
              <w:rPr>
                <w:spacing w:val="-5"/>
                <w:sz w:val="20"/>
              </w:rPr>
              <w:t> </w:t>
            </w:r>
            <w:r>
              <w:rPr>
                <w:sz w:val="20"/>
              </w:rPr>
              <w:t>ambiente</w:t>
            </w:r>
          </w:p>
          <w:p>
            <w:pPr>
              <w:pStyle w:val="TableParagraph"/>
              <w:numPr>
                <w:ilvl w:val="0"/>
                <w:numId w:val="117"/>
              </w:numPr>
              <w:tabs>
                <w:tab w:pos="812" w:val="left" w:leader="none"/>
                <w:tab w:pos="2231" w:val="left" w:leader="none"/>
              </w:tabs>
              <w:spacing w:line="240" w:lineRule="auto" w:before="0" w:after="0"/>
              <w:ind w:left="280" w:right="103" w:hanging="141"/>
              <w:jc w:val="both"/>
              <w:rPr>
                <w:sz w:val="20"/>
              </w:rPr>
            </w:pPr>
            <w:r>
              <w:rPr>
                <w:sz w:val="20"/>
              </w:rPr>
              <w:t>Existen</w:t>
              <w:tab/>
            </w:r>
            <w:r>
              <w:rPr>
                <w:w w:val="95"/>
                <w:sz w:val="20"/>
              </w:rPr>
              <w:t>acuerdos </w:t>
            </w:r>
            <w:r>
              <w:rPr>
                <w:sz w:val="20"/>
              </w:rPr>
              <w:t>democráticos entre actores de la CHPH para cuidar el medio ambiente</w:t>
            </w:r>
          </w:p>
          <w:p>
            <w:pPr>
              <w:pStyle w:val="TableParagraph"/>
              <w:numPr>
                <w:ilvl w:val="0"/>
                <w:numId w:val="117"/>
              </w:numPr>
              <w:tabs>
                <w:tab w:pos="812" w:val="left" w:leader="none"/>
                <w:tab w:pos="2085" w:val="left" w:leader="none"/>
              </w:tabs>
              <w:spacing w:line="240" w:lineRule="auto" w:before="0" w:after="0"/>
              <w:ind w:left="280" w:right="104" w:hanging="141"/>
              <w:jc w:val="both"/>
              <w:rPr>
                <w:sz w:val="20"/>
              </w:rPr>
            </w:pPr>
            <w:r>
              <w:rPr>
                <w:sz w:val="20"/>
              </w:rPr>
              <w:t>Existe</w:t>
              <w:tab/>
              <w:t>planeación</w:t>
            </w:r>
            <w:r>
              <w:rPr>
                <w:w w:val="99"/>
                <w:sz w:val="20"/>
              </w:rPr>
              <w:t> </w:t>
            </w:r>
            <w:r>
              <w:rPr>
                <w:sz w:val="20"/>
              </w:rPr>
              <w:t>ambiental con articulación entre</w:t>
            </w:r>
            <w:r>
              <w:rPr>
                <w:spacing w:val="-5"/>
                <w:sz w:val="20"/>
              </w:rPr>
              <w:t> </w:t>
            </w:r>
            <w:r>
              <w:rPr>
                <w:sz w:val="20"/>
              </w:rPr>
              <w:t>actores</w:t>
            </w:r>
          </w:p>
        </w:tc>
        <w:tc>
          <w:tcPr>
            <w:tcW w:w="147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510" w:right="513"/>
              <w:jc w:val="center"/>
              <w:rPr>
                <w:sz w:val="20"/>
              </w:rPr>
            </w:pPr>
            <w:r>
              <w:rPr>
                <w:sz w:val="20"/>
              </w:rPr>
              <w:t>50%</w:t>
            </w:r>
          </w:p>
        </w:tc>
        <w:tc>
          <w:tcPr>
            <w:tcW w:w="2413" w:type="dxa"/>
            <w:vMerge w:val="restart"/>
          </w:tcPr>
          <w:p>
            <w:pPr>
              <w:pStyle w:val="TableParagraph"/>
              <w:tabs>
                <w:tab w:pos="2074" w:val="left" w:leader="none"/>
              </w:tabs>
              <w:spacing w:line="242" w:lineRule="auto" w:before="4"/>
              <w:ind w:right="104"/>
              <w:jc w:val="both"/>
              <w:rPr>
                <w:sz w:val="20"/>
              </w:rPr>
            </w:pPr>
            <w:r>
              <w:rPr>
                <w:sz w:val="20"/>
              </w:rPr>
              <w:t>Debe reunir </w:t>
            </w:r>
            <w:r>
              <w:rPr>
                <w:b/>
                <w:sz w:val="20"/>
              </w:rPr>
              <w:t>al menos el 50% una de tres </w:t>
            </w:r>
            <w:r>
              <w:rPr>
                <w:sz w:val="20"/>
              </w:rPr>
              <w:t>características</w:t>
              <w:tab/>
              <w:t>de impacto</w:t>
            </w:r>
            <w:r>
              <w:rPr>
                <w:spacing w:val="-3"/>
                <w:sz w:val="20"/>
              </w:rPr>
              <w:t> </w:t>
            </w:r>
            <w:r>
              <w:rPr>
                <w:sz w:val="20"/>
              </w:rPr>
              <w:t>positivo</w:t>
            </w:r>
          </w:p>
        </w:tc>
        <w:tc>
          <w:tcPr>
            <w:tcW w:w="1610"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407"/>
              <w:rPr>
                <w:b/>
                <w:sz w:val="20"/>
              </w:rPr>
            </w:pPr>
            <w:r>
              <w:rPr>
                <w:b/>
                <w:sz w:val="20"/>
              </w:rPr>
              <w:t>Regular</w:t>
            </w:r>
          </w:p>
        </w:tc>
      </w:tr>
      <w:tr>
        <w:trPr>
          <w:trHeight w:val="1001" w:hRule="exact"/>
        </w:trPr>
        <w:tc>
          <w:tcPr>
            <w:tcW w:w="954" w:type="dxa"/>
            <w:tcBorders>
              <w:left w:val="double" w:sz="11" w:space="0" w:color="000000"/>
            </w:tcBorders>
          </w:tcPr>
          <w:p>
            <w:pPr>
              <w:pStyle w:val="TableParagraph"/>
              <w:ind w:left="0"/>
              <w:rPr>
                <w:rFonts w:ascii="Times New Roman"/>
                <w:sz w:val="20"/>
              </w:rPr>
            </w:pPr>
          </w:p>
          <w:p>
            <w:pPr>
              <w:pStyle w:val="TableParagraph"/>
              <w:spacing w:before="149"/>
              <w:ind w:left="209" w:right="212"/>
              <w:jc w:val="center"/>
              <w:rPr>
                <w:sz w:val="20"/>
              </w:rPr>
            </w:pPr>
            <w:r>
              <w:rPr>
                <w:sz w:val="20"/>
              </w:rPr>
              <w:t>1785</w:t>
            </w:r>
          </w:p>
        </w:tc>
        <w:tc>
          <w:tcPr>
            <w:tcW w:w="1850" w:type="dxa"/>
            <w:vMerge/>
          </w:tcPr>
          <w:p>
            <w:pPr/>
          </w:p>
        </w:tc>
        <w:tc>
          <w:tcPr>
            <w:tcW w:w="1352" w:type="dxa"/>
            <w:vMerge/>
          </w:tcPr>
          <w:p>
            <w:pPr/>
          </w:p>
        </w:tc>
        <w:tc>
          <w:tcPr>
            <w:tcW w:w="3168" w:type="dxa"/>
            <w:vMerge/>
          </w:tcPr>
          <w:p>
            <w:pPr/>
          </w:p>
        </w:tc>
        <w:tc>
          <w:tcPr>
            <w:tcW w:w="1474" w:type="dxa"/>
            <w:vMerge/>
          </w:tcPr>
          <w:p>
            <w:pPr/>
          </w:p>
        </w:tc>
        <w:tc>
          <w:tcPr>
            <w:tcW w:w="2413" w:type="dxa"/>
            <w:vMerge/>
          </w:tcPr>
          <w:p>
            <w:pPr/>
          </w:p>
        </w:tc>
        <w:tc>
          <w:tcPr>
            <w:tcW w:w="1610" w:type="dxa"/>
            <w:vMerge/>
            <w:tcBorders>
              <w:right w:val="double" w:sz="12" w:space="0" w:color="000000"/>
            </w:tcBorders>
            <w:shd w:val="clear" w:color="auto" w:fill="FFFF00"/>
          </w:tcPr>
          <w:p>
            <w:pPr/>
          </w:p>
        </w:tc>
      </w:tr>
      <w:tr>
        <w:trPr>
          <w:trHeight w:val="1227" w:hRule="exact"/>
        </w:trPr>
        <w:tc>
          <w:tcPr>
            <w:tcW w:w="954" w:type="dxa"/>
            <w:tcBorders>
              <w:left w:val="double" w:sz="11" w:space="0" w:color="000000"/>
            </w:tcBorders>
          </w:tcPr>
          <w:p>
            <w:pPr>
              <w:pStyle w:val="TableParagraph"/>
              <w:ind w:left="0"/>
              <w:rPr>
                <w:rFonts w:ascii="Times New Roman"/>
                <w:sz w:val="20"/>
              </w:rPr>
            </w:pPr>
          </w:p>
          <w:p>
            <w:pPr>
              <w:pStyle w:val="TableParagraph"/>
              <w:spacing w:before="9"/>
              <w:ind w:left="0"/>
              <w:rPr>
                <w:rFonts w:ascii="Times New Roman"/>
                <w:sz w:val="22"/>
              </w:rPr>
            </w:pPr>
          </w:p>
          <w:p>
            <w:pPr>
              <w:pStyle w:val="TableParagraph"/>
              <w:ind w:left="209" w:right="212"/>
              <w:jc w:val="center"/>
              <w:rPr>
                <w:sz w:val="20"/>
              </w:rPr>
            </w:pPr>
            <w:r>
              <w:rPr>
                <w:sz w:val="20"/>
              </w:rPr>
              <w:t>1810</w:t>
            </w:r>
          </w:p>
        </w:tc>
        <w:tc>
          <w:tcPr>
            <w:tcW w:w="1850" w:type="dxa"/>
            <w:vMerge/>
          </w:tcPr>
          <w:p>
            <w:pPr/>
          </w:p>
        </w:tc>
        <w:tc>
          <w:tcPr>
            <w:tcW w:w="1352" w:type="dxa"/>
            <w:vMerge/>
          </w:tcPr>
          <w:p>
            <w:pPr/>
          </w:p>
        </w:tc>
        <w:tc>
          <w:tcPr>
            <w:tcW w:w="3168" w:type="dxa"/>
            <w:vMerge/>
          </w:tcPr>
          <w:p>
            <w:pPr/>
          </w:p>
        </w:tc>
        <w:tc>
          <w:tcPr>
            <w:tcW w:w="1474" w:type="dxa"/>
            <w:vMerge/>
          </w:tcPr>
          <w:p>
            <w:pPr/>
          </w:p>
        </w:tc>
        <w:tc>
          <w:tcPr>
            <w:tcW w:w="2413" w:type="dxa"/>
            <w:vMerge/>
          </w:tcPr>
          <w:p>
            <w:pPr/>
          </w:p>
        </w:tc>
        <w:tc>
          <w:tcPr>
            <w:tcW w:w="1610" w:type="dxa"/>
            <w:vMerge/>
            <w:tcBorders>
              <w:right w:val="double" w:sz="12" w:space="0" w:color="000000"/>
            </w:tcBorders>
            <w:shd w:val="clear" w:color="auto" w:fill="FFFF00"/>
          </w:tcPr>
          <w:p>
            <w:pPr/>
          </w:p>
        </w:tc>
      </w:tr>
      <w:tr>
        <w:trPr>
          <w:trHeight w:val="2770"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9"/>
              </w:rPr>
            </w:pPr>
          </w:p>
          <w:p>
            <w:pPr>
              <w:pStyle w:val="TableParagraph"/>
              <w:ind w:left="209" w:right="212"/>
              <w:jc w:val="center"/>
              <w:rPr>
                <w:sz w:val="20"/>
              </w:rPr>
            </w:pPr>
            <w:r>
              <w:rPr>
                <w:sz w:val="20"/>
              </w:rPr>
              <w:t>1861</w:t>
            </w:r>
          </w:p>
        </w:tc>
        <w:tc>
          <w:tcPr>
            <w:tcW w:w="1850" w:type="dxa"/>
            <w:vMerge/>
          </w:tcPr>
          <w:p>
            <w:pPr/>
          </w:p>
        </w:tc>
        <w:tc>
          <w:tcPr>
            <w:tcW w:w="1352" w:type="dxa"/>
          </w:tcPr>
          <w:p>
            <w:pPr>
              <w:pStyle w:val="TableParagraph"/>
              <w:spacing w:line="227" w:lineRule="exact"/>
              <w:rPr>
                <w:sz w:val="20"/>
              </w:rPr>
            </w:pPr>
            <w:r>
              <w:rPr>
                <w:sz w:val="20"/>
              </w:rPr>
              <w:t>Económico</w:t>
            </w:r>
          </w:p>
        </w:tc>
        <w:tc>
          <w:tcPr>
            <w:tcW w:w="3168" w:type="dxa"/>
          </w:tcPr>
          <w:p>
            <w:pPr>
              <w:pStyle w:val="TableParagraph"/>
              <w:numPr>
                <w:ilvl w:val="0"/>
                <w:numId w:val="118"/>
              </w:numPr>
              <w:tabs>
                <w:tab w:pos="812" w:val="left" w:leader="none"/>
                <w:tab w:pos="2041"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naturales entre los actores de la</w:t>
            </w:r>
            <w:r>
              <w:rPr>
                <w:spacing w:val="-5"/>
                <w:sz w:val="20"/>
              </w:rPr>
              <w:t> </w:t>
            </w:r>
            <w:r>
              <w:rPr>
                <w:sz w:val="20"/>
              </w:rPr>
              <w:t>CHPH</w:t>
            </w:r>
          </w:p>
          <w:p>
            <w:pPr>
              <w:pStyle w:val="TableParagraph"/>
              <w:numPr>
                <w:ilvl w:val="0"/>
                <w:numId w:val="118"/>
              </w:numPr>
              <w:tabs>
                <w:tab w:pos="812" w:val="left" w:leader="none"/>
                <w:tab w:pos="2029" w:val="left" w:leader="none"/>
              </w:tabs>
              <w:spacing w:line="240" w:lineRule="auto" w:before="0" w:after="0"/>
              <w:ind w:left="280" w:right="104" w:hanging="141"/>
              <w:jc w:val="both"/>
              <w:rPr>
                <w:sz w:val="20"/>
              </w:rPr>
            </w:pPr>
            <w:r>
              <w:rPr>
                <w:sz w:val="20"/>
              </w:rPr>
              <w:t>Existe</w:t>
              <w:tab/>
              <w:t>crecimiento económico igualitario en los municipios que integran la CHPH con participación social de los actores de la</w:t>
            </w:r>
            <w:r>
              <w:rPr>
                <w:spacing w:val="-10"/>
                <w:sz w:val="20"/>
              </w:rPr>
              <w:t> </w:t>
            </w:r>
            <w:r>
              <w:rPr>
                <w:sz w:val="20"/>
              </w:rPr>
              <w:t>cuenca</w:t>
            </w:r>
          </w:p>
          <w:p>
            <w:pPr>
              <w:pStyle w:val="TableParagraph"/>
              <w:numPr>
                <w:ilvl w:val="0"/>
                <w:numId w:val="118"/>
              </w:numPr>
              <w:tabs>
                <w:tab w:pos="812" w:val="left" w:leader="none"/>
                <w:tab w:pos="2085" w:val="left" w:leader="none"/>
              </w:tabs>
              <w:spacing w:line="240" w:lineRule="auto" w:before="0" w:after="0"/>
              <w:ind w:left="280" w:right="104" w:hanging="141"/>
              <w:jc w:val="both"/>
              <w:rPr>
                <w:sz w:val="20"/>
              </w:rPr>
            </w:pPr>
            <w:r>
              <w:rPr>
                <w:sz w:val="20"/>
              </w:rPr>
              <w:t>Existe</w:t>
              <w:tab/>
              <w:t>planeación</w:t>
            </w:r>
            <w:r>
              <w:rPr>
                <w:w w:val="99"/>
                <w:sz w:val="20"/>
              </w:rPr>
              <w:t> </w:t>
            </w:r>
            <w:r>
              <w:rPr>
                <w:sz w:val="20"/>
              </w:rPr>
              <w:t>económica con articulación entre</w:t>
            </w:r>
            <w:r>
              <w:rPr>
                <w:spacing w:val="-5"/>
                <w:sz w:val="20"/>
              </w:rPr>
              <w:t> </w:t>
            </w:r>
            <w:r>
              <w:rPr>
                <w:sz w:val="20"/>
              </w:rPr>
              <w:t>actores</w:t>
            </w:r>
          </w:p>
        </w:tc>
        <w:tc>
          <w:tcPr>
            <w:tcW w:w="1474" w:type="dxa"/>
            <w:vMerge/>
          </w:tcPr>
          <w:p>
            <w:pPr/>
          </w:p>
        </w:tc>
        <w:tc>
          <w:tcPr>
            <w:tcW w:w="2413" w:type="dxa"/>
            <w:vMerge/>
          </w:tcPr>
          <w:p>
            <w:pPr/>
          </w:p>
        </w:tc>
        <w:tc>
          <w:tcPr>
            <w:tcW w:w="1610" w:type="dxa"/>
            <w:vMerge/>
            <w:tcBorders>
              <w:right w:val="double" w:sz="12" w:space="0" w:color="000000"/>
            </w:tcBorders>
            <w:shd w:val="clear" w:color="auto" w:fill="FFFF00"/>
          </w:tcPr>
          <w:p>
            <w:pPr/>
          </w:p>
        </w:tc>
      </w:tr>
      <w:tr>
        <w:trPr>
          <w:trHeight w:val="578" w:hRule="exact"/>
        </w:trPr>
        <w:tc>
          <w:tcPr>
            <w:tcW w:w="954" w:type="dxa"/>
            <w:tcBorders>
              <w:left w:val="double" w:sz="11" w:space="0" w:color="000000"/>
            </w:tcBorders>
          </w:tcPr>
          <w:p>
            <w:pPr>
              <w:pStyle w:val="TableParagraph"/>
              <w:spacing w:before="167"/>
              <w:ind w:left="209" w:right="212"/>
              <w:jc w:val="center"/>
              <w:rPr>
                <w:sz w:val="20"/>
              </w:rPr>
            </w:pPr>
            <w:r>
              <w:rPr>
                <w:sz w:val="20"/>
              </w:rPr>
              <w:t>1910</w:t>
            </w:r>
          </w:p>
        </w:tc>
        <w:tc>
          <w:tcPr>
            <w:tcW w:w="1850" w:type="dxa"/>
            <w:vMerge/>
          </w:tcPr>
          <w:p>
            <w:pPr/>
          </w:p>
        </w:tc>
        <w:tc>
          <w:tcPr>
            <w:tcW w:w="1352" w:type="dxa"/>
            <w:vMerge w:val="restart"/>
          </w:tcPr>
          <w:p>
            <w:pPr>
              <w:pStyle w:val="TableParagraph"/>
              <w:spacing w:line="227" w:lineRule="exact"/>
              <w:rPr>
                <w:sz w:val="20"/>
              </w:rPr>
            </w:pPr>
            <w:r>
              <w:rPr>
                <w:sz w:val="20"/>
              </w:rPr>
              <w:t>Sociopolítico</w:t>
            </w:r>
          </w:p>
        </w:tc>
        <w:tc>
          <w:tcPr>
            <w:tcW w:w="3168" w:type="dxa"/>
            <w:vMerge w:val="restart"/>
          </w:tcPr>
          <w:p>
            <w:pPr>
              <w:pStyle w:val="TableParagraph"/>
              <w:ind w:left="280" w:right="103" w:hanging="178"/>
              <w:jc w:val="both"/>
              <w:rPr>
                <w:sz w:val="20"/>
              </w:rPr>
            </w:pPr>
            <w:r>
              <w:rPr>
                <w:rFonts w:ascii="Wingdings" w:hAnsi="Wingdings"/>
                <w:sz w:val="20"/>
              </w:rPr>
              <w:t></w:t>
            </w:r>
            <w:r>
              <w:rPr>
                <w:sz w:val="20"/>
              </w:rPr>
              <w:t>Favorece la organización sociopolítica de los actores de la CHPH mediante la participación social</w:t>
            </w:r>
          </w:p>
          <w:p>
            <w:pPr>
              <w:pStyle w:val="TableParagraph"/>
              <w:ind w:left="280" w:right="105" w:hanging="178"/>
              <w:jc w:val="both"/>
              <w:rPr>
                <w:sz w:val="20"/>
              </w:rPr>
            </w:pPr>
            <w:r>
              <w:rPr>
                <w:rFonts w:ascii="Wingdings" w:hAnsi="Wingdings"/>
                <w:sz w:val="20"/>
              </w:rPr>
              <w:t></w:t>
            </w:r>
            <w:r>
              <w:rPr>
                <w:sz w:val="20"/>
              </w:rPr>
              <w:t>Favorece la articulación entre actores para cuidar el medio ambiente</w:t>
            </w:r>
          </w:p>
          <w:p>
            <w:pPr>
              <w:pStyle w:val="TableParagraph"/>
              <w:spacing w:line="229" w:lineRule="exact"/>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ind w:left="280" w:right="106" w:hanging="178"/>
              <w:jc w:val="both"/>
              <w:rPr>
                <w:sz w:val="20"/>
              </w:rPr>
            </w:pPr>
            <w:r>
              <w:rPr>
                <w:rFonts w:ascii="Wingdings" w:hAnsi="Wingdings"/>
                <w:sz w:val="20"/>
              </w:rPr>
              <w:t></w:t>
            </w:r>
            <w:r>
              <w:rPr>
                <w:sz w:val="20"/>
              </w:rPr>
              <w:t>Existe planeación sociopolítica con articulación entre actores</w:t>
            </w:r>
          </w:p>
        </w:tc>
        <w:tc>
          <w:tcPr>
            <w:tcW w:w="1474" w:type="dxa"/>
            <w:vMerge/>
          </w:tcPr>
          <w:p>
            <w:pPr/>
          </w:p>
        </w:tc>
        <w:tc>
          <w:tcPr>
            <w:tcW w:w="2413" w:type="dxa"/>
            <w:vMerge/>
          </w:tcPr>
          <w:p>
            <w:pPr/>
          </w:p>
        </w:tc>
        <w:tc>
          <w:tcPr>
            <w:tcW w:w="1610" w:type="dxa"/>
            <w:vMerge/>
            <w:tcBorders>
              <w:right w:val="double" w:sz="12" w:space="0" w:color="000000"/>
            </w:tcBorders>
            <w:shd w:val="clear" w:color="auto" w:fill="FFFF00"/>
          </w:tcPr>
          <w:p>
            <w:pPr/>
          </w:p>
        </w:tc>
      </w:tr>
      <w:tr>
        <w:trPr>
          <w:trHeight w:val="581" w:hRule="exact"/>
        </w:trPr>
        <w:tc>
          <w:tcPr>
            <w:tcW w:w="954" w:type="dxa"/>
            <w:tcBorders>
              <w:left w:val="double" w:sz="11" w:space="0" w:color="000000"/>
            </w:tcBorders>
          </w:tcPr>
          <w:p>
            <w:pPr>
              <w:pStyle w:val="TableParagraph"/>
              <w:spacing w:before="167"/>
              <w:ind w:left="209" w:right="212"/>
              <w:jc w:val="center"/>
              <w:rPr>
                <w:sz w:val="20"/>
              </w:rPr>
            </w:pPr>
            <w:r>
              <w:rPr>
                <w:sz w:val="20"/>
              </w:rPr>
              <w:t>2016</w:t>
            </w:r>
          </w:p>
        </w:tc>
        <w:tc>
          <w:tcPr>
            <w:tcW w:w="1850" w:type="dxa"/>
            <w:vMerge/>
          </w:tcPr>
          <w:p>
            <w:pPr/>
          </w:p>
        </w:tc>
        <w:tc>
          <w:tcPr>
            <w:tcW w:w="1352" w:type="dxa"/>
            <w:vMerge/>
          </w:tcPr>
          <w:p>
            <w:pPr/>
          </w:p>
        </w:tc>
        <w:tc>
          <w:tcPr>
            <w:tcW w:w="3168" w:type="dxa"/>
            <w:vMerge/>
          </w:tcPr>
          <w:p>
            <w:pPr/>
          </w:p>
        </w:tc>
        <w:tc>
          <w:tcPr>
            <w:tcW w:w="1474" w:type="dxa"/>
            <w:vMerge/>
          </w:tcPr>
          <w:p>
            <w:pPr/>
          </w:p>
        </w:tc>
        <w:tc>
          <w:tcPr>
            <w:tcW w:w="2413" w:type="dxa"/>
            <w:vMerge/>
          </w:tcPr>
          <w:p>
            <w:pPr/>
          </w:p>
        </w:tc>
        <w:tc>
          <w:tcPr>
            <w:tcW w:w="1610" w:type="dxa"/>
            <w:vMerge/>
            <w:tcBorders>
              <w:right w:val="double" w:sz="12" w:space="0" w:color="000000"/>
            </w:tcBorders>
            <w:shd w:val="clear" w:color="auto" w:fill="FFFF00"/>
          </w:tcPr>
          <w:p>
            <w:pPr/>
          </w:p>
        </w:tc>
      </w:tr>
      <w:tr>
        <w:trPr>
          <w:trHeight w:val="1621" w:hRule="exact"/>
        </w:trPr>
        <w:tc>
          <w:tcPr>
            <w:tcW w:w="954" w:type="dxa"/>
            <w:tcBorders>
              <w:left w:val="double" w:sz="11" w:space="0" w:color="000000"/>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9"/>
              </w:rPr>
            </w:pPr>
          </w:p>
          <w:p>
            <w:pPr>
              <w:pStyle w:val="TableParagraph"/>
              <w:ind w:left="209" w:right="212"/>
              <w:jc w:val="center"/>
              <w:rPr>
                <w:sz w:val="20"/>
              </w:rPr>
            </w:pPr>
            <w:r>
              <w:rPr>
                <w:sz w:val="20"/>
              </w:rPr>
              <w:t>1940</w:t>
            </w:r>
          </w:p>
        </w:tc>
        <w:tc>
          <w:tcPr>
            <w:tcW w:w="1850" w:type="dxa"/>
            <w:vMerge/>
            <w:tcBorders>
              <w:bottom w:val="single" w:sz="8" w:space="0" w:color="000000"/>
            </w:tcBorders>
          </w:tcPr>
          <w:p>
            <w:pPr/>
          </w:p>
        </w:tc>
        <w:tc>
          <w:tcPr>
            <w:tcW w:w="1352" w:type="dxa"/>
            <w:vMerge/>
            <w:tcBorders>
              <w:bottom w:val="single" w:sz="8" w:space="0" w:color="000000"/>
            </w:tcBorders>
          </w:tcPr>
          <w:p>
            <w:pPr/>
          </w:p>
        </w:tc>
        <w:tc>
          <w:tcPr>
            <w:tcW w:w="3168" w:type="dxa"/>
            <w:vMerge/>
            <w:tcBorders>
              <w:bottom w:val="single" w:sz="8" w:space="0" w:color="000000"/>
            </w:tcBorders>
          </w:tcPr>
          <w:p>
            <w:pPr/>
          </w:p>
        </w:tc>
        <w:tc>
          <w:tcPr>
            <w:tcW w:w="1474" w:type="dxa"/>
            <w:vMerge/>
            <w:tcBorders>
              <w:bottom w:val="single" w:sz="8" w:space="0" w:color="000000"/>
            </w:tcBorders>
          </w:tcPr>
          <w:p>
            <w:pPr/>
          </w:p>
        </w:tc>
        <w:tc>
          <w:tcPr>
            <w:tcW w:w="2413" w:type="dxa"/>
            <w:vMerge/>
            <w:tcBorders>
              <w:bottom w:val="single" w:sz="8" w:space="0" w:color="000000"/>
            </w:tcBorders>
          </w:tcPr>
          <w:p>
            <w:pPr/>
          </w:p>
        </w:tc>
        <w:tc>
          <w:tcPr>
            <w:tcW w:w="1610" w:type="dxa"/>
            <w:vMerge/>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50"/>
        <w:gridCol w:w="1352"/>
        <w:gridCol w:w="3168"/>
        <w:gridCol w:w="1474"/>
        <w:gridCol w:w="2413"/>
        <w:gridCol w:w="1610"/>
      </w:tblGrid>
      <w:tr>
        <w:trPr>
          <w:trHeight w:val="3241"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1"/>
              </w:rPr>
            </w:pPr>
          </w:p>
          <w:p>
            <w:pPr>
              <w:pStyle w:val="TableParagraph"/>
              <w:spacing w:before="1"/>
              <w:ind w:left="230"/>
              <w:rPr>
                <w:sz w:val="20"/>
              </w:rPr>
            </w:pPr>
            <w:r>
              <w:rPr>
                <w:sz w:val="20"/>
              </w:rPr>
              <w:t>1982</w:t>
            </w:r>
          </w:p>
        </w:tc>
        <w:tc>
          <w:tcPr>
            <w:tcW w:w="1850"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29"/>
              <w:ind w:left="0"/>
              <w:jc w:val="center"/>
              <w:rPr>
                <w:b/>
                <w:sz w:val="20"/>
              </w:rPr>
            </w:pPr>
            <w:r>
              <w:rPr>
                <w:b/>
                <w:w w:val="99"/>
                <w:sz w:val="20"/>
              </w:rPr>
              <w:t>1</w:t>
            </w:r>
          </w:p>
        </w:tc>
        <w:tc>
          <w:tcPr>
            <w:tcW w:w="1352" w:type="dxa"/>
          </w:tcPr>
          <w:p>
            <w:pPr>
              <w:pStyle w:val="TableParagraph"/>
              <w:spacing w:before="7"/>
              <w:rPr>
                <w:sz w:val="20"/>
              </w:rPr>
            </w:pPr>
            <w:r>
              <w:rPr>
                <w:sz w:val="20"/>
              </w:rPr>
              <w:t>Ambiental</w:t>
            </w:r>
          </w:p>
        </w:tc>
        <w:tc>
          <w:tcPr>
            <w:tcW w:w="3168" w:type="dxa"/>
          </w:tcPr>
          <w:p>
            <w:pPr>
              <w:pStyle w:val="TableParagraph"/>
              <w:numPr>
                <w:ilvl w:val="0"/>
                <w:numId w:val="119"/>
              </w:numPr>
              <w:tabs>
                <w:tab w:pos="812" w:val="left" w:leader="none"/>
              </w:tabs>
              <w:spacing w:line="240" w:lineRule="auto" w:before="7" w:after="0"/>
              <w:ind w:left="280" w:right="104" w:hanging="141"/>
              <w:jc w:val="both"/>
              <w:rPr>
                <w:sz w:val="20"/>
              </w:rPr>
            </w:pPr>
            <w:r>
              <w:rPr>
                <w:sz w:val="20"/>
              </w:rPr>
              <w:t>Existe participación social de los actores de la CHPH para cuidar el medio ambiente</w:t>
            </w:r>
          </w:p>
          <w:p>
            <w:pPr>
              <w:pStyle w:val="TableParagraph"/>
              <w:numPr>
                <w:ilvl w:val="0"/>
                <w:numId w:val="119"/>
              </w:numPr>
              <w:tabs>
                <w:tab w:pos="812" w:val="left" w:leader="none"/>
              </w:tabs>
              <w:spacing w:line="240" w:lineRule="auto" w:before="0" w:after="0"/>
              <w:ind w:left="280" w:right="105" w:hanging="141"/>
              <w:jc w:val="both"/>
              <w:rPr>
                <w:sz w:val="20"/>
              </w:rPr>
            </w:pPr>
            <w:r>
              <w:rPr>
                <w:sz w:val="20"/>
              </w:rPr>
              <w:t>Existe acción  colectiva de los actores para cuidar el medio</w:t>
            </w:r>
            <w:r>
              <w:rPr>
                <w:spacing w:val="-4"/>
                <w:sz w:val="20"/>
              </w:rPr>
              <w:t> </w:t>
            </w:r>
            <w:r>
              <w:rPr>
                <w:sz w:val="20"/>
              </w:rPr>
              <w:t>ambiente</w:t>
            </w:r>
          </w:p>
          <w:p>
            <w:pPr>
              <w:pStyle w:val="TableParagraph"/>
              <w:numPr>
                <w:ilvl w:val="0"/>
                <w:numId w:val="119"/>
              </w:numPr>
              <w:tabs>
                <w:tab w:pos="812" w:val="left" w:leader="none"/>
                <w:tab w:pos="2231" w:val="left" w:leader="none"/>
              </w:tabs>
              <w:spacing w:line="240" w:lineRule="auto" w:before="0" w:after="0"/>
              <w:ind w:left="280" w:right="103" w:hanging="141"/>
              <w:jc w:val="both"/>
              <w:rPr>
                <w:sz w:val="20"/>
              </w:rPr>
            </w:pPr>
            <w:r>
              <w:rPr>
                <w:sz w:val="20"/>
              </w:rPr>
              <w:t>Existen</w:t>
              <w:tab/>
            </w:r>
            <w:r>
              <w:rPr>
                <w:w w:val="95"/>
                <w:sz w:val="20"/>
              </w:rPr>
              <w:t>acuerdos </w:t>
            </w:r>
            <w:r>
              <w:rPr>
                <w:sz w:val="20"/>
              </w:rPr>
              <w:t>democráticos entre actores de la CHPH para cuidar el medio ambiente</w:t>
            </w:r>
          </w:p>
          <w:p>
            <w:pPr>
              <w:pStyle w:val="TableParagraph"/>
              <w:numPr>
                <w:ilvl w:val="0"/>
                <w:numId w:val="119"/>
              </w:numPr>
              <w:tabs>
                <w:tab w:pos="812" w:val="left" w:leader="none"/>
                <w:tab w:pos="2085" w:val="left" w:leader="none"/>
              </w:tabs>
              <w:spacing w:line="240" w:lineRule="auto" w:before="0" w:after="0"/>
              <w:ind w:left="280" w:right="104" w:hanging="141"/>
              <w:jc w:val="both"/>
              <w:rPr>
                <w:sz w:val="20"/>
              </w:rPr>
            </w:pPr>
            <w:r>
              <w:rPr>
                <w:sz w:val="20"/>
              </w:rPr>
              <w:t>Existe</w:t>
              <w:tab/>
              <w:t>planeación</w:t>
            </w:r>
            <w:r>
              <w:rPr>
                <w:w w:val="99"/>
                <w:sz w:val="20"/>
              </w:rPr>
              <w:t> </w:t>
            </w:r>
            <w:r>
              <w:rPr>
                <w:sz w:val="20"/>
              </w:rPr>
              <w:t>ambiental con articulación entre</w:t>
            </w:r>
            <w:r>
              <w:rPr>
                <w:spacing w:val="-5"/>
                <w:sz w:val="20"/>
              </w:rPr>
              <w:t> </w:t>
            </w:r>
            <w:r>
              <w:rPr>
                <w:sz w:val="20"/>
              </w:rPr>
              <w:t>actores</w:t>
            </w:r>
          </w:p>
        </w:tc>
        <w:tc>
          <w:tcPr>
            <w:tcW w:w="147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473"/>
              <w:rPr>
                <w:sz w:val="20"/>
              </w:rPr>
            </w:pPr>
            <w:r>
              <w:rPr>
                <w:sz w:val="20"/>
              </w:rPr>
              <w:t>&lt;50%</w:t>
            </w:r>
          </w:p>
        </w:tc>
        <w:tc>
          <w:tcPr>
            <w:tcW w:w="2413" w:type="dxa"/>
            <w:vMerge w:val="restart"/>
          </w:tcPr>
          <w:p>
            <w:pPr>
              <w:pStyle w:val="TableParagraph"/>
              <w:spacing w:before="7"/>
              <w:ind w:right="105"/>
              <w:jc w:val="both"/>
              <w:rPr>
                <w:sz w:val="20"/>
              </w:rPr>
            </w:pPr>
            <w:r>
              <w:rPr>
                <w:sz w:val="20"/>
              </w:rPr>
              <w:t>No reúne ni el 50% en </w:t>
            </w:r>
            <w:r>
              <w:rPr>
                <w:b/>
                <w:sz w:val="20"/>
              </w:rPr>
              <w:t>ninguna </w:t>
            </w:r>
            <w:r>
              <w:rPr>
                <w:sz w:val="20"/>
              </w:rPr>
              <w:t>de las de impacto positivo</w:t>
            </w:r>
          </w:p>
        </w:tc>
        <w:tc>
          <w:tcPr>
            <w:tcW w:w="1610"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02"/>
              <w:rPr>
                <w:b/>
                <w:sz w:val="20"/>
              </w:rPr>
            </w:pPr>
            <w:r>
              <w:rPr>
                <w:b/>
                <w:sz w:val="20"/>
              </w:rPr>
              <w:t>Deficiente</w:t>
            </w:r>
          </w:p>
        </w:tc>
      </w:tr>
      <w:tr>
        <w:trPr>
          <w:trHeight w:val="2770" w:hRule="exact"/>
        </w:trPr>
        <w:tc>
          <w:tcPr>
            <w:tcW w:w="954" w:type="dxa"/>
            <w:vMerge/>
            <w:tcBorders>
              <w:left w:val="double" w:sz="11" w:space="0" w:color="000000"/>
            </w:tcBorders>
          </w:tcPr>
          <w:p>
            <w:pPr/>
          </w:p>
        </w:tc>
        <w:tc>
          <w:tcPr>
            <w:tcW w:w="1850" w:type="dxa"/>
            <w:vMerge/>
          </w:tcPr>
          <w:p>
            <w:pPr/>
          </w:p>
        </w:tc>
        <w:tc>
          <w:tcPr>
            <w:tcW w:w="1352" w:type="dxa"/>
          </w:tcPr>
          <w:p>
            <w:pPr>
              <w:pStyle w:val="TableParagraph"/>
              <w:spacing w:line="227" w:lineRule="exact"/>
              <w:rPr>
                <w:sz w:val="20"/>
              </w:rPr>
            </w:pPr>
            <w:r>
              <w:rPr>
                <w:sz w:val="20"/>
              </w:rPr>
              <w:t>Económico</w:t>
            </w:r>
          </w:p>
        </w:tc>
        <w:tc>
          <w:tcPr>
            <w:tcW w:w="3168" w:type="dxa"/>
          </w:tcPr>
          <w:p>
            <w:pPr>
              <w:pStyle w:val="TableParagraph"/>
              <w:numPr>
                <w:ilvl w:val="0"/>
                <w:numId w:val="120"/>
              </w:numPr>
              <w:tabs>
                <w:tab w:pos="812" w:val="left" w:leader="none"/>
                <w:tab w:pos="2041"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naturales entre los actores de la</w:t>
            </w:r>
            <w:r>
              <w:rPr>
                <w:spacing w:val="-5"/>
                <w:sz w:val="20"/>
              </w:rPr>
              <w:t> </w:t>
            </w:r>
            <w:r>
              <w:rPr>
                <w:sz w:val="20"/>
              </w:rPr>
              <w:t>CHPH</w:t>
            </w:r>
          </w:p>
          <w:p>
            <w:pPr>
              <w:pStyle w:val="TableParagraph"/>
              <w:numPr>
                <w:ilvl w:val="0"/>
                <w:numId w:val="120"/>
              </w:numPr>
              <w:tabs>
                <w:tab w:pos="812" w:val="left" w:leader="none"/>
                <w:tab w:pos="2029" w:val="left" w:leader="none"/>
              </w:tabs>
              <w:spacing w:line="240" w:lineRule="auto" w:before="0" w:after="0"/>
              <w:ind w:left="280" w:right="104" w:hanging="141"/>
              <w:jc w:val="both"/>
              <w:rPr>
                <w:sz w:val="20"/>
              </w:rPr>
            </w:pPr>
            <w:r>
              <w:rPr>
                <w:sz w:val="20"/>
              </w:rPr>
              <w:t>Existe</w:t>
              <w:tab/>
              <w:t>crecimiento económico igualitario en los municipios que integran la CHPH con participación social de los actores de la</w:t>
            </w:r>
            <w:r>
              <w:rPr>
                <w:spacing w:val="-10"/>
                <w:sz w:val="20"/>
              </w:rPr>
              <w:t> </w:t>
            </w:r>
            <w:r>
              <w:rPr>
                <w:sz w:val="20"/>
              </w:rPr>
              <w:t>cuenca</w:t>
            </w:r>
          </w:p>
          <w:p>
            <w:pPr>
              <w:pStyle w:val="TableParagraph"/>
              <w:numPr>
                <w:ilvl w:val="0"/>
                <w:numId w:val="120"/>
              </w:numPr>
              <w:tabs>
                <w:tab w:pos="812" w:val="left" w:leader="none"/>
                <w:tab w:pos="2085" w:val="left" w:leader="none"/>
              </w:tabs>
              <w:spacing w:line="240" w:lineRule="auto" w:before="0" w:after="0"/>
              <w:ind w:left="280" w:right="104" w:hanging="141"/>
              <w:jc w:val="both"/>
              <w:rPr>
                <w:sz w:val="20"/>
              </w:rPr>
            </w:pPr>
            <w:r>
              <w:rPr>
                <w:sz w:val="20"/>
              </w:rPr>
              <w:t>Existe</w:t>
              <w:tab/>
              <w:t>planeación</w:t>
            </w:r>
            <w:r>
              <w:rPr>
                <w:w w:val="99"/>
                <w:sz w:val="20"/>
              </w:rPr>
              <w:t> </w:t>
            </w:r>
            <w:r>
              <w:rPr>
                <w:sz w:val="20"/>
              </w:rPr>
              <w:t>económica con articulación entre</w:t>
            </w:r>
            <w:r>
              <w:rPr>
                <w:spacing w:val="-5"/>
                <w:sz w:val="20"/>
              </w:rPr>
              <w:t> </w:t>
            </w:r>
            <w:r>
              <w:rPr>
                <w:sz w:val="20"/>
              </w:rPr>
              <w:t>actores</w:t>
            </w:r>
          </w:p>
        </w:tc>
        <w:tc>
          <w:tcPr>
            <w:tcW w:w="1474" w:type="dxa"/>
            <w:vMerge/>
          </w:tcPr>
          <w:p>
            <w:pPr/>
          </w:p>
        </w:tc>
        <w:tc>
          <w:tcPr>
            <w:tcW w:w="2413" w:type="dxa"/>
            <w:vMerge/>
          </w:tcPr>
          <w:p>
            <w:pPr/>
          </w:p>
        </w:tc>
        <w:tc>
          <w:tcPr>
            <w:tcW w:w="1610" w:type="dxa"/>
            <w:vMerge/>
            <w:tcBorders>
              <w:right w:val="double" w:sz="12" w:space="0" w:color="000000"/>
            </w:tcBorders>
            <w:shd w:val="clear" w:color="auto" w:fill="FF0000"/>
          </w:tcPr>
          <w:p>
            <w:pPr/>
          </w:p>
        </w:tc>
      </w:tr>
      <w:tr>
        <w:trPr>
          <w:trHeight w:val="2780" w:hRule="exact"/>
        </w:trPr>
        <w:tc>
          <w:tcPr>
            <w:tcW w:w="954" w:type="dxa"/>
            <w:vMerge/>
            <w:tcBorders>
              <w:left w:val="double" w:sz="11" w:space="0" w:color="000000"/>
              <w:bottom w:val="single" w:sz="8" w:space="0" w:color="000000"/>
            </w:tcBorders>
          </w:tcPr>
          <w:p>
            <w:pPr/>
          </w:p>
        </w:tc>
        <w:tc>
          <w:tcPr>
            <w:tcW w:w="1850" w:type="dxa"/>
            <w:vMerge/>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Sociopolítico</w:t>
            </w:r>
          </w:p>
        </w:tc>
        <w:tc>
          <w:tcPr>
            <w:tcW w:w="3168" w:type="dxa"/>
            <w:tcBorders>
              <w:bottom w:val="single" w:sz="8" w:space="0" w:color="000000"/>
            </w:tcBorders>
          </w:tcPr>
          <w:p>
            <w:pPr>
              <w:pStyle w:val="TableParagraph"/>
              <w:ind w:left="280" w:right="103" w:hanging="178"/>
              <w:jc w:val="both"/>
              <w:rPr>
                <w:sz w:val="20"/>
              </w:rPr>
            </w:pPr>
            <w:r>
              <w:rPr>
                <w:rFonts w:ascii="Wingdings" w:hAnsi="Wingdings"/>
                <w:sz w:val="20"/>
              </w:rPr>
              <w:t></w:t>
            </w:r>
            <w:r>
              <w:rPr>
                <w:sz w:val="20"/>
              </w:rPr>
              <w:t>Favorece la organización sociopolítica de los actores de la CHPH mediante la participación social</w:t>
            </w:r>
          </w:p>
          <w:p>
            <w:pPr>
              <w:pStyle w:val="TableParagraph"/>
              <w:ind w:left="280" w:right="105" w:hanging="178"/>
              <w:jc w:val="both"/>
              <w:rPr>
                <w:sz w:val="20"/>
              </w:rPr>
            </w:pPr>
            <w:r>
              <w:rPr>
                <w:rFonts w:ascii="Wingdings" w:hAnsi="Wingdings"/>
                <w:sz w:val="20"/>
              </w:rPr>
              <w:t></w:t>
            </w:r>
            <w:r>
              <w:rPr>
                <w:sz w:val="20"/>
              </w:rPr>
              <w:t>Favorece la articulación entre actores para cuidar el medio ambiente</w:t>
            </w:r>
          </w:p>
          <w:p>
            <w:pPr>
              <w:pStyle w:val="TableParagraph"/>
              <w:spacing w:line="229" w:lineRule="exact"/>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ind w:left="280" w:right="106" w:hanging="178"/>
              <w:jc w:val="both"/>
              <w:rPr>
                <w:sz w:val="20"/>
              </w:rPr>
            </w:pPr>
            <w:r>
              <w:rPr>
                <w:rFonts w:ascii="Wingdings" w:hAnsi="Wingdings"/>
                <w:sz w:val="20"/>
              </w:rPr>
              <w:t></w:t>
            </w:r>
            <w:r>
              <w:rPr>
                <w:sz w:val="20"/>
              </w:rPr>
              <w:t>Existe planeación sociopolítica con articulación entre actores</w:t>
            </w:r>
          </w:p>
        </w:tc>
        <w:tc>
          <w:tcPr>
            <w:tcW w:w="1474" w:type="dxa"/>
            <w:vMerge/>
            <w:tcBorders>
              <w:bottom w:val="single" w:sz="8" w:space="0" w:color="000000"/>
            </w:tcBorders>
          </w:tcPr>
          <w:p>
            <w:pPr/>
          </w:p>
        </w:tc>
        <w:tc>
          <w:tcPr>
            <w:tcW w:w="2413" w:type="dxa"/>
            <w:vMerge/>
            <w:tcBorders>
              <w:bottom w:val="single" w:sz="8" w:space="0" w:color="000000"/>
            </w:tcBorders>
          </w:tcPr>
          <w:p>
            <w:pPr/>
          </w:p>
        </w:tc>
        <w:tc>
          <w:tcPr>
            <w:tcW w:w="1610" w:type="dxa"/>
            <w:vMerge/>
            <w:tcBorders>
              <w:bottom w:val="single" w:sz="8" w:space="0" w:color="000000"/>
              <w:right w:val="double" w:sz="12" w:space="0" w:color="000000"/>
            </w:tcBorders>
            <w:shd w:val="clear" w:color="auto" w:fill="FF0000"/>
          </w:tcPr>
          <w:p>
            <w:pPr/>
          </w:p>
        </w:tc>
      </w:tr>
    </w:tbl>
    <w:p>
      <w:pPr>
        <w:spacing w:after="0"/>
        <w:sectPr>
          <w:footerReference w:type="default" r:id="rId338"/>
          <w:pgSz w:w="15840" w:h="12240" w:orient="landscape"/>
          <w:pgMar w:footer="943" w:header="0" w:top="1140" w:bottom="1140" w:left="1200" w:right="1300"/>
          <w:pgNumType w:start="59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30544"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11"/>
        <w:rPr>
          <w:rFonts w:ascii="Times New Roman"/>
        </w:rPr>
      </w:pPr>
    </w:p>
    <w:p>
      <w:pPr>
        <w:pStyle w:val="BodyText"/>
        <w:spacing w:before="73"/>
        <w:ind w:left="2179" w:right="2400"/>
        <w:jc w:val="center"/>
      </w:pPr>
      <w:r>
        <w:rPr>
          <w:b/>
        </w:rPr>
        <w:t>Fuente: </w:t>
      </w:r>
      <w:r>
        <w:rPr/>
        <w:t>elaboración propia con base en trabajo de gabinete y campo García, 2013-2015.</w:t>
      </w:r>
    </w:p>
    <w:p>
      <w:pPr>
        <w:pStyle w:val="BodyText"/>
      </w:pPr>
    </w:p>
    <w:p>
      <w:pPr>
        <w:pStyle w:val="Heading6"/>
        <w:ind w:left="180"/>
        <w:jc w:val="both"/>
      </w:pPr>
      <w:r>
        <w:rPr/>
        <w:t>Interpretación de la anterior gráfica y la tarjeta de valoración:</w:t>
      </w:r>
    </w:p>
    <w:p>
      <w:pPr>
        <w:pStyle w:val="BodyText"/>
        <w:spacing w:before="1"/>
        <w:ind w:left="180" w:right="399"/>
        <w:jc w:val="both"/>
      </w:pPr>
      <w:r>
        <w:rPr/>
        <w:t>En 1400 era la época prehispánica donde todavía la provincia de Xilotepec estaba poblada por otomíes principalmente, en esta época los actores de la CHPH tenían una amplia participación social para cuidar el medio ambiente por la relación tan directa que existía con éste mediante la caza y la recolección.</w:t>
      </w:r>
    </w:p>
    <w:p>
      <w:pPr>
        <w:pStyle w:val="ListParagraph"/>
        <w:numPr>
          <w:ilvl w:val="0"/>
          <w:numId w:val="121"/>
        </w:numPr>
        <w:tabs>
          <w:tab w:pos="322" w:val="left" w:leader="none"/>
        </w:tabs>
        <w:spacing w:line="240" w:lineRule="auto" w:before="0" w:after="0"/>
        <w:ind w:left="180" w:right="402" w:firstLine="0"/>
        <w:jc w:val="both"/>
        <w:rPr>
          <w:sz w:val="22"/>
        </w:rPr>
      </w:pPr>
      <w:r>
        <w:rPr>
          <w:sz w:val="22"/>
        </w:rPr>
        <w:t>En 1519 fue vista por primera vez la provincia de Xilotepec por los españoles, pero fue a mediados de la década de 1520 que </w:t>
      </w:r>
      <w:r>
        <w:rPr>
          <w:spacing w:val="4"/>
          <w:sz w:val="22"/>
        </w:rPr>
        <w:t>la </w:t>
      </w:r>
      <w:r>
        <w:rPr>
          <w:sz w:val="22"/>
        </w:rPr>
        <w:t>provincia de Xilotepec fue dominada en la parte sur por los españoles y fue en 1533 que se asignó en su totalidad como encomienda a Juan Jaramillo de Salvatierra (esposo de la Malinche). En este período la participación para cuidar el medio ambiente todavía era buena porque la provincia de Xilotepec aún no había sido conquistada en su</w:t>
      </w:r>
      <w:r>
        <w:rPr>
          <w:spacing w:val="-24"/>
          <w:sz w:val="22"/>
        </w:rPr>
        <w:t> </w:t>
      </w:r>
      <w:r>
        <w:rPr>
          <w:sz w:val="22"/>
        </w:rPr>
        <w:t>totalidad.</w:t>
      </w:r>
    </w:p>
    <w:p>
      <w:pPr>
        <w:pStyle w:val="ListParagraph"/>
        <w:numPr>
          <w:ilvl w:val="0"/>
          <w:numId w:val="121"/>
        </w:numPr>
        <w:tabs>
          <w:tab w:pos="404" w:val="left" w:leader="none"/>
        </w:tabs>
        <w:spacing w:line="240" w:lineRule="auto" w:before="0" w:after="0"/>
        <w:ind w:left="180" w:right="398" w:firstLine="62"/>
        <w:jc w:val="both"/>
        <w:rPr>
          <w:sz w:val="22"/>
        </w:rPr>
      </w:pPr>
      <w:r>
        <w:rPr>
          <w:sz w:val="22"/>
        </w:rPr>
        <w:t>En 1580 con la conquista española en la encomienda de la provincia de Xilotepec se conformaron las haciendas de ganado mayor y menor en las que trabajaba un número creciente de españoles y mulatos, para 1794 existían 25 haciendas y 95 ranchos ganaderos y productores de leche. En este período la participación social para cuidar el medio ambiente se vio mermada por la sobreexplotación de los recursos naturales y de los</w:t>
      </w:r>
      <w:r>
        <w:rPr>
          <w:spacing w:val="-18"/>
          <w:sz w:val="22"/>
        </w:rPr>
        <w:t> </w:t>
      </w:r>
      <w:r>
        <w:rPr>
          <w:sz w:val="22"/>
        </w:rPr>
        <w:t>trabajadores.</w:t>
      </w:r>
    </w:p>
    <w:p>
      <w:pPr>
        <w:pStyle w:val="ListParagraph"/>
        <w:numPr>
          <w:ilvl w:val="0"/>
          <w:numId w:val="121"/>
        </w:numPr>
        <w:tabs>
          <w:tab w:pos="341" w:val="left" w:leader="none"/>
        </w:tabs>
        <w:spacing w:line="240" w:lineRule="auto" w:before="1" w:after="0"/>
        <w:ind w:left="180" w:right="407" w:firstLine="0"/>
        <w:jc w:val="both"/>
        <w:rPr>
          <w:sz w:val="22"/>
        </w:rPr>
      </w:pPr>
      <w:r>
        <w:rPr>
          <w:sz w:val="22"/>
        </w:rPr>
        <w:t>En 1785-1788 los religiosos franciscanos construyeron la presa Huapango por la cantidad de tierras de cultivo y cabezas de ganado que existían en la región, lo que dio origen a la actual cuenca lechera más importante del Estado de México. En esta época la participación social para cuidar el medio ambiente no fue tan importante porque la construcción de la presa Huapango obedeció a los intereses de los</w:t>
      </w:r>
      <w:r>
        <w:rPr>
          <w:spacing w:val="-9"/>
          <w:sz w:val="22"/>
        </w:rPr>
        <w:t> </w:t>
      </w:r>
      <w:r>
        <w:rPr>
          <w:sz w:val="22"/>
        </w:rPr>
        <w:t>hacendados.</w:t>
      </w:r>
    </w:p>
    <w:p>
      <w:pPr>
        <w:pStyle w:val="ListParagraph"/>
        <w:numPr>
          <w:ilvl w:val="0"/>
          <w:numId w:val="121"/>
        </w:numPr>
        <w:tabs>
          <w:tab w:pos="320" w:val="left" w:leader="none"/>
        </w:tabs>
        <w:spacing w:line="240" w:lineRule="auto" w:before="0" w:after="0"/>
        <w:ind w:left="180" w:right="397" w:firstLine="0"/>
        <w:jc w:val="both"/>
        <w:rPr>
          <w:sz w:val="22"/>
        </w:rPr>
      </w:pPr>
      <w:r>
        <w:rPr>
          <w:sz w:val="22"/>
        </w:rPr>
        <w:t>En 1810 se llevó acabo la lucha de independencia en México porque la conquista española trajo consigo una serie de problemas como la concentración de la tierra y la sobreexplotación de los trabajadores, generando la desigualdad económica y social de los habitantes, esto dio inicio a la sobreexplotación y concentración de los recursos naturales en pocas manos. En esta fecha la participación social para cuidar los recursos naturales fue mermada por la lucha de los derechos</w:t>
      </w:r>
      <w:r>
        <w:rPr>
          <w:spacing w:val="-33"/>
          <w:sz w:val="22"/>
        </w:rPr>
        <w:t> </w:t>
      </w:r>
      <w:r>
        <w:rPr>
          <w:sz w:val="22"/>
        </w:rPr>
        <w:t>civiles.</w:t>
      </w:r>
    </w:p>
    <w:p>
      <w:pPr>
        <w:pStyle w:val="ListParagraph"/>
        <w:numPr>
          <w:ilvl w:val="0"/>
          <w:numId w:val="121"/>
        </w:numPr>
        <w:tabs>
          <w:tab w:pos="320" w:val="left" w:leader="none"/>
        </w:tabs>
        <w:spacing w:line="240" w:lineRule="auto" w:before="1" w:after="0"/>
        <w:ind w:left="180" w:right="396" w:firstLine="0"/>
        <w:jc w:val="both"/>
        <w:rPr>
          <w:sz w:val="22"/>
        </w:rPr>
      </w:pPr>
      <w:r>
        <w:rPr>
          <w:sz w:val="22"/>
        </w:rPr>
        <w:t>En el siglo XIX es cuando se crea el primer municipio de la CHPH: en 1861 por decreto No. 27 la Villa de Jilotepec. Sin embargo dicha institución surge con una serie de limitaciones, ya que se le atribuye sólo la administración de algunos servicios públicos y no se estipula su competencia jurídica entorno a la protección del medio ambiente en conjunto con otros municipios y a pesar de las reformas que se le han hecho al artículo 115, el municipio sigue estando supeditado al sistema federal y estatal, lo cual no le permite tener la “autonomía y soberanía” para incentivar la participación social para cuidar el medio ambiente entre sus ciudadanos.</w:t>
      </w:r>
    </w:p>
    <w:p>
      <w:pPr>
        <w:pStyle w:val="ListParagraph"/>
        <w:numPr>
          <w:ilvl w:val="0"/>
          <w:numId w:val="121"/>
        </w:numPr>
        <w:tabs>
          <w:tab w:pos="320" w:val="left" w:leader="none"/>
        </w:tabs>
        <w:spacing w:line="240" w:lineRule="auto" w:before="0" w:after="0"/>
        <w:ind w:left="180" w:right="399" w:firstLine="0"/>
        <w:jc w:val="both"/>
        <w:rPr>
          <w:sz w:val="22"/>
        </w:rPr>
      </w:pPr>
      <w:r>
        <w:rPr>
          <w:sz w:val="22"/>
        </w:rPr>
        <w:t>En 1910 dio inicio la revolución mexicana que tuvo varias causas, entre ellas, la dictadura de Porfirio Díaz en la presidencia de la República, los grandes latifundios que provocaron la decadencia de la agricultura, ya que el territorio nacional era propiedad de  tan sólo 840 hacendados, los abusos de esclavitud contra el campesinado y los obreros; dichas injusticias sociales provocaron que en esta fecha la participación social para cuidar los recursos naturales fuera mermada por la lucha de los derechos</w:t>
      </w:r>
      <w:r>
        <w:rPr>
          <w:spacing w:val="-29"/>
          <w:sz w:val="22"/>
        </w:rPr>
        <w:t> </w:t>
      </w:r>
      <w:r>
        <w:rPr>
          <w:sz w:val="22"/>
        </w:rPr>
        <w:t>civiles.</w:t>
      </w:r>
    </w:p>
    <w:p>
      <w:pPr>
        <w:pStyle w:val="ListParagraph"/>
        <w:numPr>
          <w:ilvl w:val="0"/>
          <w:numId w:val="121"/>
        </w:numPr>
        <w:tabs>
          <w:tab w:pos="341" w:val="left" w:leader="none"/>
        </w:tabs>
        <w:spacing w:line="240" w:lineRule="auto" w:before="0" w:after="0"/>
        <w:ind w:left="180" w:right="401" w:firstLine="0"/>
        <w:jc w:val="both"/>
        <w:rPr>
          <w:sz w:val="22"/>
        </w:rPr>
      </w:pPr>
      <w:r>
        <w:rPr>
          <w:sz w:val="22"/>
        </w:rPr>
        <w:t>Desde la Revolución Mexicana la atención al pedido generalizado de tierras se convirtió en condición de la pacificación y del restablecimiento</w:t>
      </w:r>
      <w:r>
        <w:rPr>
          <w:spacing w:val="33"/>
          <w:sz w:val="22"/>
        </w:rPr>
        <w:t> </w:t>
      </w:r>
      <w:r>
        <w:rPr>
          <w:sz w:val="22"/>
        </w:rPr>
        <w:t>de</w:t>
      </w:r>
      <w:r>
        <w:rPr>
          <w:spacing w:val="32"/>
          <w:sz w:val="22"/>
        </w:rPr>
        <w:t> </w:t>
      </w:r>
      <w:r>
        <w:rPr>
          <w:sz w:val="22"/>
        </w:rPr>
        <w:t>un</w:t>
      </w:r>
      <w:r>
        <w:rPr>
          <w:spacing w:val="32"/>
          <w:sz w:val="22"/>
        </w:rPr>
        <w:t> </w:t>
      </w:r>
      <w:r>
        <w:rPr>
          <w:sz w:val="22"/>
        </w:rPr>
        <w:t>gobierno</w:t>
      </w:r>
      <w:r>
        <w:rPr>
          <w:spacing w:val="33"/>
          <w:sz w:val="22"/>
        </w:rPr>
        <w:t> </w:t>
      </w:r>
      <w:r>
        <w:rPr>
          <w:sz w:val="22"/>
        </w:rPr>
        <w:t>nacional</w:t>
      </w:r>
      <w:r>
        <w:rPr>
          <w:spacing w:val="34"/>
          <w:sz w:val="22"/>
        </w:rPr>
        <w:t> </w:t>
      </w:r>
      <w:r>
        <w:rPr>
          <w:sz w:val="22"/>
        </w:rPr>
        <w:t>hegemónico:</w:t>
      </w:r>
      <w:r>
        <w:rPr>
          <w:spacing w:val="34"/>
          <w:sz w:val="22"/>
        </w:rPr>
        <w:t> </w:t>
      </w:r>
      <w:r>
        <w:rPr>
          <w:sz w:val="22"/>
        </w:rPr>
        <w:t>la</w:t>
      </w:r>
      <w:r>
        <w:rPr>
          <w:spacing w:val="35"/>
          <w:sz w:val="22"/>
        </w:rPr>
        <w:t> </w:t>
      </w:r>
      <w:r>
        <w:rPr>
          <w:sz w:val="22"/>
        </w:rPr>
        <w:t>constitución</w:t>
      </w:r>
      <w:r>
        <w:rPr>
          <w:spacing w:val="32"/>
          <w:sz w:val="22"/>
        </w:rPr>
        <w:t> </w:t>
      </w:r>
      <w:r>
        <w:rPr>
          <w:sz w:val="22"/>
        </w:rPr>
        <w:t>de</w:t>
      </w:r>
      <w:r>
        <w:rPr>
          <w:spacing w:val="35"/>
          <w:sz w:val="22"/>
        </w:rPr>
        <w:t> </w:t>
      </w:r>
      <w:r>
        <w:rPr>
          <w:sz w:val="22"/>
        </w:rPr>
        <w:t>1917</w:t>
      </w:r>
      <w:r>
        <w:rPr>
          <w:spacing w:val="35"/>
          <w:sz w:val="22"/>
        </w:rPr>
        <w:t> </w:t>
      </w:r>
      <w:r>
        <w:rPr>
          <w:sz w:val="22"/>
        </w:rPr>
        <w:t>incluyó</w:t>
      </w:r>
      <w:r>
        <w:rPr>
          <w:spacing w:val="35"/>
          <w:sz w:val="22"/>
        </w:rPr>
        <w:t> </w:t>
      </w:r>
      <w:r>
        <w:rPr>
          <w:sz w:val="22"/>
        </w:rPr>
        <w:t>el</w:t>
      </w:r>
      <w:r>
        <w:rPr>
          <w:spacing w:val="34"/>
          <w:sz w:val="22"/>
        </w:rPr>
        <w:t> </w:t>
      </w:r>
      <w:r>
        <w:rPr>
          <w:sz w:val="22"/>
        </w:rPr>
        <w:t>reparto</w:t>
      </w:r>
      <w:r>
        <w:rPr>
          <w:spacing w:val="33"/>
          <w:sz w:val="22"/>
        </w:rPr>
        <w:t> </w:t>
      </w:r>
      <w:r>
        <w:rPr>
          <w:sz w:val="22"/>
        </w:rPr>
        <w:t>de</w:t>
      </w:r>
      <w:r>
        <w:rPr>
          <w:spacing w:val="32"/>
          <w:sz w:val="22"/>
        </w:rPr>
        <w:t> </w:t>
      </w:r>
      <w:r>
        <w:rPr>
          <w:sz w:val="22"/>
        </w:rPr>
        <w:t>tierras</w:t>
      </w:r>
      <w:r>
        <w:rPr>
          <w:spacing w:val="33"/>
          <w:sz w:val="22"/>
        </w:rPr>
        <w:t> </w:t>
      </w:r>
      <w:r>
        <w:rPr>
          <w:sz w:val="22"/>
        </w:rPr>
        <w:t>en</w:t>
      </w:r>
      <w:r>
        <w:rPr>
          <w:spacing w:val="32"/>
          <w:sz w:val="22"/>
        </w:rPr>
        <w:t> </w:t>
      </w:r>
      <w:r>
        <w:rPr>
          <w:sz w:val="22"/>
        </w:rPr>
        <w:t>su</w:t>
      </w:r>
      <w:r>
        <w:rPr>
          <w:spacing w:val="35"/>
          <w:sz w:val="22"/>
        </w:rPr>
        <w:t> </w:t>
      </w:r>
      <w:r>
        <w:rPr>
          <w:sz w:val="22"/>
        </w:rPr>
        <w:t>artículo</w:t>
      </w:r>
      <w:r>
        <w:rPr>
          <w:spacing w:val="35"/>
          <w:sz w:val="22"/>
        </w:rPr>
        <w:t> </w:t>
      </w:r>
      <w:r>
        <w:rPr>
          <w:sz w:val="22"/>
        </w:rPr>
        <w:t>27.</w:t>
      </w:r>
    </w:p>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4818" w:hRule="exact"/>
        </w:trPr>
        <w:tc>
          <w:tcPr>
            <w:tcW w:w="12897" w:type="dxa"/>
          </w:tcPr>
          <w:p>
            <w:pPr>
              <w:pStyle w:val="TableParagraph"/>
              <w:ind w:left="64" w:right="61"/>
              <w:jc w:val="both"/>
              <w:rPr>
                <w:sz w:val="22"/>
              </w:rPr>
            </w:pPr>
            <w:r>
              <w:rPr>
                <w:sz w:val="22"/>
              </w:rPr>
              <w:t>Desde entonces, y con sucesivas adecuaciones hasta 1992, el reparto de tierras fue mandato constitucional y político del Estado mexicano, pero fue hasta el periodo de gobierno del presidente Lázaro Cárdenas del </w:t>
            </w:r>
            <w:r>
              <w:rPr>
                <w:spacing w:val="-2"/>
                <w:sz w:val="22"/>
              </w:rPr>
              <w:t>Río </w:t>
            </w:r>
            <w:r>
              <w:rPr>
                <w:sz w:val="22"/>
              </w:rPr>
              <w:t>(1936-1940)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los bosques, etc.) que aún no se pueden resolver, teniendo esto un impacto en lo sociopolítico, económico y</w:t>
            </w:r>
            <w:r>
              <w:rPr>
                <w:spacing w:val="-31"/>
                <w:sz w:val="22"/>
              </w:rPr>
              <w:t> </w:t>
            </w:r>
            <w:r>
              <w:rPr>
                <w:sz w:val="22"/>
              </w:rPr>
              <w:t>ambiental.</w:t>
            </w:r>
          </w:p>
          <w:p>
            <w:pPr>
              <w:pStyle w:val="TableParagraph"/>
              <w:numPr>
                <w:ilvl w:val="0"/>
                <w:numId w:val="122"/>
              </w:numPr>
              <w:tabs>
                <w:tab w:pos="216" w:val="left" w:leader="none"/>
              </w:tabs>
              <w:spacing w:line="240" w:lineRule="auto" w:before="1" w:after="0"/>
              <w:ind w:left="64" w:right="62" w:firstLine="0"/>
              <w:jc w:val="both"/>
              <w:rPr>
                <w:sz w:val="22"/>
              </w:rPr>
            </w:pPr>
            <w:r>
              <w:rPr>
                <w:sz w:val="22"/>
              </w:rPr>
              <w:t>En 1982 con el presidente Miguel de la Madrid comienza en México la internacionalización del mercado debido a la gran crisis económica que se vivía en ese momento, con lo que se da pie al nuevo sistema neoliberal, corriente político-económica que promueve la intervención mínima del Estado y la apertura del mercado, siendo la iniciativa privada la que domina los recursos naturales en contra de la participación social para cuidar dichos recursos, por lo que la organización social es deficiente y se ve supeditada a los intereses del</w:t>
            </w:r>
            <w:r>
              <w:rPr>
                <w:spacing w:val="-12"/>
                <w:sz w:val="22"/>
              </w:rPr>
              <w:t> </w:t>
            </w:r>
            <w:r>
              <w:rPr>
                <w:sz w:val="22"/>
              </w:rPr>
              <w:t>mercado.</w:t>
            </w:r>
          </w:p>
          <w:p>
            <w:pPr>
              <w:pStyle w:val="TableParagraph"/>
              <w:numPr>
                <w:ilvl w:val="0"/>
                <w:numId w:val="122"/>
              </w:numPr>
              <w:tabs>
                <w:tab w:pos="214" w:val="left" w:leader="none"/>
              </w:tabs>
              <w:spacing w:line="240" w:lineRule="auto" w:before="1" w:after="0"/>
              <w:ind w:left="64" w:right="63" w:firstLine="0"/>
              <w:jc w:val="both"/>
              <w:rPr>
                <w:sz w:val="22"/>
              </w:rPr>
            </w:pPr>
            <w:r>
              <w:rPr>
                <w:sz w:val="22"/>
              </w:rPr>
              <w:t>Actualmente en 2016 la CHPH se encuentra en franco deterioro debido a los grandes acontecimientos históricos que han dado pie a la falta de planeación y al crecimiento desmedido de la población y al reparto inequitativo de los recursos, lo que ha traído consigo la creación de instituciones con una serie de incongruencias que han generado el deterioro de los recursos naturales, el reparto inequitativo de éstos y conflictos sociopolíticos que sólo pueden mermarse a través de la participación social en la CHPH de los actores para cuidar el medio ambiente que apenas es incipiente, pero con grandes posibilidades de</w:t>
            </w:r>
            <w:r>
              <w:rPr>
                <w:spacing w:val="-29"/>
                <w:sz w:val="22"/>
              </w:rPr>
              <w:t> </w:t>
            </w:r>
            <w:r>
              <w:rPr>
                <w:sz w:val="22"/>
              </w:rPr>
              <w:t>crecer.</w:t>
            </w:r>
          </w:p>
        </w:tc>
      </w:tr>
      <w:tr>
        <w:trPr>
          <w:trHeight w:val="338"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770" w:hRule="exact"/>
        </w:trPr>
        <w:tc>
          <w:tcPr>
            <w:tcW w:w="12897" w:type="dxa"/>
          </w:tcPr>
          <w:p>
            <w:pPr>
              <w:pStyle w:val="TableParagraph"/>
              <w:numPr>
                <w:ilvl w:val="0"/>
                <w:numId w:val="123"/>
              </w:numPr>
              <w:tabs>
                <w:tab w:pos="240" w:val="left" w:leader="none"/>
              </w:tabs>
              <w:spacing w:line="251" w:lineRule="exact" w:before="0" w:after="0"/>
              <w:ind w:left="103" w:right="0" w:firstLine="0"/>
              <w:jc w:val="left"/>
              <w:rPr>
                <w:sz w:val="22"/>
              </w:rPr>
            </w:pPr>
            <w:r>
              <w:rPr>
                <w:sz w:val="22"/>
              </w:rPr>
              <w:t>Permitió identificar la inhibición de la participación social de los actores de la CHPH para cuidar el medio</w:t>
            </w:r>
            <w:r>
              <w:rPr>
                <w:spacing w:val="-38"/>
                <w:sz w:val="22"/>
              </w:rPr>
              <w:t> </w:t>
            </w:r>
            <w:r>
              <w:rPr>
                <w:sz w:val="22"/>
              </w:rPr>
              <w:t>ambiente.</w:t>
            </w:r>
          </w:p>
          <w:p>
            <w:pPr>
              <w:pStyle w:val="TableParagraph"/>
              <w:numPr>
                <w:ilvl w:val="0"/>
                <w:numId w:val="123"/>
              </w:numPr>
              <w:tabs>
                <w:tab w:pos="243" w:val="left" w:leader="none"/>
              </w:tabs>
              <w:spacing w:line="240" w:lineRule="auto" w:before="1" w:after="0"/>
              <w:ind w:left="103" w:right="100" w:firstLine="0"/>
              <w:jc w:val="left"/>
              <w:rPr>
                <w:sz w:val="22"/>
              </w:rPr>
            </w:pPr>
            <w:r>
              <w:rPr>
                <w:sz w:val="22"/>
              </w:rPr>
              <w:t>Sirvió de guía de explicación para la elaboración de la propuesta de creación de un Comité Intermunicipal con su reglamento en la</w:t>
            </w:r>
            <w:r>
              <w:rPr>
                <w:spacing w:val="-3"/>
                <w:sz w:val="22"/>
              </w:rPr>
              <w:t> </w:t>
            </w:r>
            <w:r>
              <w:rPr>
                <w:sz w:val="22"/>
              </w:rPr>
              <w:t>CHPH.</w:t>
            </w:r>
          </w:p>
        </w:tc>
      </w:tr>
      <w:tr>
        <w:trPr>
          <w:trHeight w:val="338"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518" w:hRule="exact"/>
        </w:trPr>
        <w:tc>
          <w:tcPr>
            <w:tcW w:w="12897" w:type="dxa"/>
          </w:tcPr>
          <w:p>
            <w:pPr>
              <w:pStyle w:val="TableParagraph"/>
              <w:ind w:right="163"/>
              <w:rPr>
                <w:sz w:val="22"/>
              </w:rPr>
            </w:pPr>
            <w:r>
              <w:rPr>
                <w:sz w:val="22"/>
              </w:rPr>
              <w:t>- La participación social para cuidar el medio ambiente en la CHPH es un indicador que requiere un estudio multidisciplinario por su importancia en la CHPH.</w:t>
            </w:r>
          </w:p>
        </w:tc>
      </w:tr>
    </w:tbl>
    <w:p>
      <w:pPr>
        <w:spacing w:after="0"/>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46" w:right="105"/>
              <w:rPr>
                <w:b/>
                <w:sz w:val="22"/>
              </w:rPr>
            </w:pPr>
            <w:r>
              <w:rPr>
                <w:b/>
                <w:sz w:val="22"/>
              </w:rPr>
              <w:t>Relaciones intermunicipales</w:t>
            </w:r>
          </w:p>
        </w:tc>
        <w:tc>
          <w:tcPr>
            <w:tcW w:w="3277" w:type="dxa"/>
            <w:gridSpan w:val="3"/>
            <w:vMerge w:val="restart"/>
          </w:tcPr>
          <w:p>
            <w:pPr>
              <w:pStyle w:val="TableParagraph"/>
              <w:tabs>
                <w:tab w:pos="2073" w:val="left" w:leader="none"/>
              </w:tabs>
              <w:spacing w:line="242" w:lineRule="auto"/>
              <w:ind w:left="100" w:right="102"/>
              <w:jc w:val="both"/>
              <w:rPr>
                <w:b/>
                <w:sz w:val="22"/>
              </w:rPr>
            </w:pPr>
            <w:r>
              <w:rPr>
                <w:b/>
                <w:sz w:val="22"/>
              </w:rPr>
              <w:t>Explicar porque no existen las</w:t>
              <w:tab/>
            </w:r>
            <w:r>
              <w:rPr>
                <w:b/>
                <w:spacing w:val="-1"/>
                <w:sz w:val="22"/>
              </w:rPr>
              <w:t>relaciones</w:t>
            </w:r>
          </w:p>
          <w:p>
            <w:pPr>
              <w:pStyle w:val="TableParagraph"/>
              <w:ind w:left="100" w:right="102"/>
              <w:jc w:val="both"/>
              <w:rPr>
                <w:b/>
                <w:sz w:val="22"/>
              </w:rPr>
            </w:pPr>
            <w:r>
              <w:rPr>
                <w:b/>
                <w:sz w:val="22"/>
              </w:rPr>
              <w:t>intermunicipales formales entre los municipios de la CHPH para atender el deterioro del medio ambiente.</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07"/>
              <w:rPr>
                <w:b/>
                <w:sz w:val="22"/>
              </w:rPr>
            </w:pPr>
            <w:r>
              <w:rPr>
                <w:b/>
                <w:sz w:val="22"/>
              </w:rPr>
              <w:t>17.063/ 18.055</w:t>
            </w:r>
          </w:p>
        </w:tc>
        <w:tc>
          <w:tcPr>
            <w:tcW w:w="1985" w:type="dxa"/>
            <w:gridSpan w:val="2"/>
          </w:tcPr>
          <w:p>
            <w:pPr>
              <w:pStyle w:val="TableParagraph"/>
              <w:spacing w:line="248" w:lineRule="exact"/>
              <w:ind w:left="0"/>
              <w:jc w:val="center"/>
              <w:rPr>
                <w:b/>
                <w:sz w:val="22"/>
              </w:rPr>
            </w:pPr>
            <w:r>
              <w:rPr>
                <w:b/>
                <w:sz w:val="22"/>
              </w:rPr>
              <w:t>94.5%</w:t>
            </w:r>
          </w:p>
        </w:tc>
        <w:tc>
          <w:tcPr>
            <w:tcW w:w="2268" w:type="dxa"/>
            <w:gridSpan w:val="2"/>
          </w:tcPr>
          <w:p>
            <w:pPr>
              <w:pStyle w:val="TableParagraph"/>
              <w:spacing w:line="248" w:lineRule="exact"/>
              <w:ind w:left="136" w:right="136"/>
              <w:jc w:val="center"/>
              <w:rPr>
                <w:b/>
                <w:sz w:val="22"/>
              </w:rPr>
            </w:pPr>
            <w:r>
              <w:rPr>
                <w:b/>
                <w:sz w:val="22"/>
              </w:rPr>
              <w:t>16.125</w:t>
            </w:r>
          </w:p>
        </w:tc>
        <w:tc>
          <w:tcPr>
            <w:tcW w:w="3274" w:type="dxa"/>
            <w:gridSpan w:val="5"/>
            <w:vMerge/>
          </w:tcPr>
          <w:p>
            <w:pPr/>
          </w:p>
        </w:tc>
        <w:tc>
          <w:tcPr>
            <w:tcW w:w="3277" w:type="dxa"/>
            <w:gridSpan w:val="3"/>
            <w:vMerge/>
          </w:tcPr>
          <w:p>
            <w:pPr/>
          </w:p>
        </w:tc>
      </w:tr>
      <w:tr>
        <w:trPr>
          <w:trHeight w:val="262" w:hRule="exact"/>
        </w:trPr>
        <w:tc>
          <w:tcPr>
            <w:tcW w:w="2093" w:type="dxa"/>
            <w:gridSpan w:val="2"/>
            <w:shd w:val="clear" w:color="auto" w:fill="76923B"/>
          </w:tcPr>
          <w:p>
            <w:pPr>
              <w:pStyle w:val="TableParagraph"/>
              <w:spacing w:line="248" w:lineRule="exact"/>
              <w:ind w:left="0" w:right="1"/>
              <w:jc w:val="center"/>
              <w:rPr>
                <w:b/>
                <w:sz w:val="22"/>
              </w:rPr>
            </w:pPr>
            <w:r>
              <w:rPr>
                <w:b/>
                <w:w w:val="100"/>
                <w:sz w:val="22"/>
              </w:rPr>
              <w:t>1</w:t>
            </w:r>
          </w:p>
        </w:tc>
        <w:tc>
          <w:tcPr>
            <w:tcW w:w="1985" w:type="dxa"/>
            <w:gridSpan w:val="2"/>
            <w:tcBorders>
              <w:left w:val="single" w:sz="45" w:space="0" w:color="76923B"/>
            </w:tcBorders>
          </w:tcPr>
          <w:p>
            <w:pPr>
              <w:pStyle w:val="TableParagraph"/>
              <w:spacing w:line="248" w:lineRule="exact"/>
              <w:ind w:left="0" w:right="49"/>
              <w:jc w:val="center"/>
              <w:rPr>
                <w:b/>
                <w:sz w:val="22"/>
              </w:rPr>
            </w:pPr>
            <w:r>
              <w:rPr>
                <w:b/>
                <w:w w:val="100"/>
                <w:sz w:val="22"/>
              </w:rPr>
              <w:t>2</w:t>
            </w:r>
          </w:p>
        </w:tc>
        <w:tc>
          <w:tcPr>
            <w:tcW w:w="2268" w:type="dxa"/>
            <w:gridSpan w:val="2"/>
            <w:tcBorders>
              <w:right w:val="single" w:sz="41" w:space="0" w:color="76923B"/>
            </w:tcBorders>
          </w:tcPr>
          <w:p>
            <w:pPr>
              <w:pStyle w:val="TableParagraph"/>
              <w:spacing w:line="248" w:lineRule="exact"/>
              <w:ind w:left="47"/>
              <w:jc w:val="center"/>
              <w:rPr>
                <w:b/>
                <w:sz w:val="22"/>
              </w:rPr>
            </w:pPr>
            <w:r>
              <w:rPr>
                <w:b/>
                <w:w w:val="100"/>
                <w:sz w:val="22"/>
              </w:rPr>
              <w:t>3</w:t>
            </w:r>
          </w:p>
        </w:tc>
        <w:tc>
          <w:tcPr>
            <w:tcW w:w="1701" w:type="dxa"/>
            <w:gridSpan w:val="2"/>
            <w:shd w:val="clear" w:color="auto" w:fill="76923B"/>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76923B"/>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2" w:right="492"/>
              <w:jc w:val="center"/>
              <w:rPr>
                <w:b/>
                <w:sz w:val="22"/>
              </w:rPr>
            </w:pPr>
            <w:r>
              <w:rPr>
                <w:b/>
                <w:sz w:val="22"/>
              </w:rPr>
              <w:t>126</w:t>
            </w:r>
          </w:p>
        </w:tc>
        <w:tc>
          <w:tcPr>
            <w:tcW w:w="2127" w:type="dxa"/>
            <w:gridSpan w:val="3"/>
            <w:shd w:val="clear" w:color="auto" w:fill="92CDDC"/>
          </w:tcPr>
          <w:p>
            <w:pPr>
              <w:pStyle w:val="TableParagraph"/>
              <w:spacing w:line="248" w:lineRule="exact"/>
              <w:ind w:left="0"/>
              <w:jc w:val="center"/>
              <w:rPr>
                <w:b/>
                <w:sz w:val="22"/>
              </w:rPr>
            </w:pPr>
            <w:r>
              <w:rPr>
                <w:b/>
                <w:w w:val="100"/>
                <w:sz w:val="22"/>
              </w:rPr>
              <w:t>6</w:t>
            </w:r>
          </w:p>
        </w:tc>
        <w:tc>
          <w:tcPr>
            <w:tcW w:w="2410" w:type="dxa"/>
            <w:gridSpan w:val="3"/>
            <w:shd w:val="clear" w:color="auto" w:fill="92CDDC"/>
          </w:tcPr>
          <w:p>
            <w:pPr>
              <w:pStyle w:val="TableParagraph"/>
              <w:spacing w:line="248" w:lineRule="exact"/>
              <w:ind w:left="782" w:right="780"/>
              <w:jc w:val="center"/>
              <w:rPr>
                <w:b/>
                <w:sz w:val="22"/>
              </w:rPr>
            </w:pPr>
            <w:r>
              <w:rPr>
                <w:b/>
                <w:sz w:val="22"/>
              </w:rPr>
              <w:t>1.00</w:t>
            </w:r>
          </w:p>
        </w:tc>
        <w:tc>
          <w:tcPr>
            <w:tcW w:w="1844" w:type="dxa"/>
            <w:gridSpan w:val="2"/>
            <w:shd w:val="clear" w:color="auto" w:fill="F9BE8F"/>
          </w:tcPr>
          <w:p>
            <w:pPr>
              <w:pStyle w:val="TableParagraph"/>
              <w:spacing w:line="248" w:lineRule="exact"/>
              <w:ind w:left="774" w:right="774"/>
              <w:jc w:val="center"/>
              <w:rPr>
                <w:b/>
                <w:sz w:val="22"/>
              </w:rPr>
            </w:pPr>
            <w:r>
              <w:rPr>
                <w:b/>
                <w:sz w:val="22"/>
              </w:rPr>
              <w:t>38</w:t>
            </w:r>
          </w:p>
        </w:tc>
        <w:tc>
          <w:tcPr>
            <w:tcW w:w="2126" w:type="dxa"/>
            <w:gridSpan w:val="3"/>
            <w:shd w:val="clear" w:color="auto" w:fill="F9BE8F"/>
          </w:tcPr>
          <w:p>
            <w:pPr>
              <w:pStyle w:val="TableParagraph"/>
              <w:spacing w:line="248" w:lineRule="exact"/>
              <w:ind w:left="0"/>
              <w:jc w:val="center"/>
              <w:rPr>
                <w:b/>
                <w:sz w:val="22"/>
              </w:rPr>
            </w:pPr>
            <w:r>
              <w:rPr>
                <w:b/>
                <w:w w:val="100"/>
                <w:sz w:val="22"/>
              </w:rPr>
              <w:t>6</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Relaciones intermunicipales formales, municipios y medio ambiente.</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left="729" w:right="250" w:hanging="466"/>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516" w:hRule="exact"/>
        </w:trPr>
        <w:tc>
          <w:tcPr>
            <w:tcW w:w="12897" w:type="dxa"/>
            <w:gridSpan w:val="14"/>
          </w:tcPr>
          <w:p>
            <w:pPr>
              <w:pStyle w:val="TableParagraph"/>
              <w:tabs>
                <w:tab w:pos="12359" w:val="left" w:leader="none"/>
              </w:tabs>
              <w:ind w:right="99"/>
              <w:rPr>
                <w:sz w:val="22"/>
              </w:rPr>
            </w:pPr>
            <w:r>
              <w:rPr>
                <w:sz w:val="22"/>
              </w:rPr>
              <w:t>Limitación</w:t>
            </w:r>
            <w:r>
              <w:rPr>
                <w:spacing w:val="22"/>
                <w:sz w:val="22"/>
              </w:rPr>
              <w:t> </w:t>
            </w:r>
            <w:r>
              <w:rPr>
                <w:sz w:val="22"/>
              </w:rPr>
              <w:t>de</w:t>
            </w:r>
            <w:r>
              <w:rPr>
                <w:spacing w:val="19"/>
                <w:sz w:val="22"/>
              </w:rPr>
              <w:t> </w:t>
            </w:r>
            <w:r>
              <w:rPr>
                <w:sz w:val="22"/>
              </w:rPr>
              <w:t>la</w:t>
            </w:r>
            <w:r>
              <w:rPr>
                <w:spacing w:val="22"/>
                <w:sz w:val="22"/>
              </w:rPr>
              <w:t> </w:t>
            </w:r>
            <w:r>
              <w:rPr>
                <w:sz w:val="22"/>
              </w:rPr>
              <w:t>legislación</w:t>
            </w:r>
            <w:r>
              <w:rPr>
                <w:spacing w:val="22"/>
                <w:sz w:val="22"/>
              </w:rPr>
              <w:t> </w:t>
            </w:r>
            <w:r>
              <w:rPr>
                <w:sz w:val="22"/>
              </w:rPr>
              <w:t>para</w:t>
            </w:r>
            <w:r>
              <w:rPr>
                <w:spacing w:val="18"/>
                <w:sz w:val="22"/>
              </w:rPr>
              <w:t> </w:t>
            </w:r>
            <w:r>
              <w:rPr>
                <w:sz w:val="22"/>
              </w:rPr>
              <w:t>que</w:t>
            </w:r>
            <w:r>
              <w:rPr>
                <w:spacing w:val="19"/>
                <w:sz w:val="22"/>
              </w:rPr>
              <w:t> </w:t>
            </w:r>
            <w:r>
              <w:rPr>
                <w:sz w:val="22"/>
              </w:rPr>
              <w:t>los</w:t>
            </w:r>
            <w:r>
              <w:rPr>
                <w:spacing w:val="20"/>
                <w:sz w:val="22"/>
              </w:rPr>
              <w:t> </w:t>
            </w:r>
            <w:r>
              <w:rPr>
                <w:sz w:val="22"/>
              </w:rPr>
              <w:t>municipios</w:t>
            </w:r>
            <w:r>
              <w:rPr>
                <w:spacing w:val="22"/>
                <w:sz w:val="22"/>
              </w:rPr>
              <w:t> </w:t>
            </w:r>
            <w:r>
              <w:rPr>
                <w:sz w:val="22"/>
              </w:rPr>
              <w:t>se</w:t>
            </w:r>
            <w:r>
              <w:rPr>
                <w:spacing w:val="22"/>
                <w:sz w:val="22"/>
              </w:rPr>
              <w:t> </w:t>
            </w:r>
            <w:r>
              <w:rPr>
                <w:sz w:val="22"/>
              </w:rPr>
              <w:t>interrelacionen</w:t>
            </w:r>
            <w:r>
              <w:rPr>
                <w:spacing w:val="22"/>
                <w:sz w:val="22"/>
              </w:rPr>
              <w:t> </w:t>
            </w:r>
            <w:r>
              <w:rPr>
                <w:sz w:val="22"/>
              </w:rPr>
              <w:t>para</w:t>
            </w:r>
            <w:r>
              <w:rPr>
                <w:spacing w:val="22"/>
                <w:sz w:val="22"/>
              </w:rPr>
              <w:t> </w:t>
            </w:r>
            <w:r>
              <w:rPr>
                <w:sz w:val="22"/>
              </w:rPr>
              <w:t>atender</w:t>
            </w:r>
            <w:r>
              <w:rPr>
                <w:spacing w:val="21"/>
                <w:sz w:val="22"/>
              </w:rPr>
              <w:t> </w:t>
            </w:r>
            <w:r>
              <w:rPr>
                <w:sz w:val="22"/>
              </w:rPr>
              <w:t>asuntos</w:t>
            </w:r>
            <w:r>
              <w:rPr>
                <w:spacing w:val="20"/>
                <w:sz w:val="22"/>
              </w:rPr>
              <w:t> </w:t>
            </w:r>
            <w:r>
              <w:rPr>
                <w:sz w:val="22"/>
              </w:rPr>
              <w:t>comunes</w:t>
            </w:r>
            <w:r>
              <w:rPr>
                <w:spacing w:val="22"/>
                <w:sz w:val="22"/>
              </w:rPr>
              <w:t> </w:t>
            </w:r>
            <w:r>
              <w:rPr>
                <w:sz w:val="22"/>
              </w:rPr>
              <w:t>de</w:t>
            </w:r>
            <w:r>
              <w:rPr>
                <w:spacing w:val="19"/>
                <w:sz w:val="22"/>
              </w:rPr>
              <w:t> </w:t>
            </w:r>
            <w:r>
              <w:rPr>
                <w:sz w:val="22"/>
              </w:rPr>
              <w:t>tipo</w:t>
            </w:r>
            <w:r>
              <w:rPr>
                <w:spacing w:val="19"/>
                <w:sz w:val="22"/>
              </w:rPr>
              <w:t> </w:t>
            </w:r>
            <w:r>
              <w:rPr>
                <w:sz w:val="22"/>
              </w:rPr>
              <w:t>ambiental</w:t>
              <w:tab/>
            </w:r>
            <w:r>
              <w:rPr>
                <w:spacing w:val="-1"/>
                <w:sz w:val="22"/>
              </w:rPr>
              <w:t>(Cfr. </w:t>
            </w:r>
            <w:r>
              <w:rPr>
                <w:sz w:val="22"/>
              </w:rPr>
              <w:t>Quintana, 2005 y García, TC:</w:t>
            </w:r>
            <w:r>
              <w:rPr>
                <w:spacing w:val="-9"/>
                <w:sz w:val="22"/>
              </w:rPr>
              <w:t> </w:t>
            </w:r>
            <w:r>
              <w:rPr>
                <w:sz w:val="22"/>
              </w:rPr>
              <w:t>2013-2015).</w:t>
            </w:r>
          </w:p>
        </w:tc>
      </w:tr>
      <w:tr>
        <w:trPr>
          <w:trHeight w:val="264" w:hRule="exact"/>
        </w:trPr>
        <w:tc>
          <w:tcPr>
            <w:tcW w:w="4295" w:type="dxa"/>
            <w:gridSpan w:val="5"/>
          </w:tcPr>
          <w:p>
            <w:pPr>
              <w:pStyle w:val="TableParagraph"/>
              <w:spacing w:line="251" w:lineRule="exact"/>
              <w:ind w:left="1097" w:right="213"/>
              <w:rPr>
                <w:b/>
                <w:sz w:val="22"/>
              </w:rPr>
            </w:pPr>
            <w:r>
              <w:rPr>
                <w:b/>
                <w:sz w:val="22"/>
              </w:rPr>
              <w:t>Unidad de medición</w:t>
            </w:r>
          </w:p>
        </w:tc>
        <w:tc>
          <w:tcPr>
            <w:tcW w:w="8603" w:type="dxa"/>
            <w:gridSpan w:val="9"/>
          </w:tcPr>
          <w:p>
            <w:pPr>
              <w:pStyle w:val="TableParagraph"/>
              <w:spacing w:line="251" w:lineRule="exact"/>
              <w:ind w:left="2419" w:right="108"/>
              <w:rPr>
                <w:b/>
                <w:sz w:val="22"/>
              </w:rPr>
            </w:pPr>
            <w:r>
              <w:rPr>
                <w:b/>
                <w:sz w:val="22"/>
              </w:rPr>
              <w:t>Definición de la unidad de medición</w:t>
            </w:r>
          </w:p>
        </w:tc>
      </w:tr>
      <w:tr>
        <w:trPr>
          <w:trHeight w:val="770" w:hRule="exact"/>
        </w:trPr>
        <w:tc>
          <w:tcPr>
            <w:tcW w:w="4295" w:type="dxa"/>
            <w:gridSpan w:val="5"/>
          </w:tcPr>
          <w:p>
            <w:pPr>
              <w:pStyle w:val="TableParagraph"/>
              <w:tabs>
                <w:tab w:pos="525" w:val="left" w:leader="none"/>
                <w:tab w:pos="1065" w:val="left" w:leader="none"/>
                <w:tab w:pos="2368" w:val="left" w:leader="none"/>
                <w:tab w:pos="3827" w:val="left" w:leader="none"/>
              </w:tabs>
              <w:spacing w:line="242" w:lineRule="auto"/>
              <w:ind w:right="99"/>
              <w:rPr>
                <w:sz w:val="22"/>
              </w:rPr>
            </w:pPr>
            <w:r>
              <w:rPr>
                <w:sz w:val="22"/>
              </w:rPr>
              <w:t>#</w:t>
              <w:tab/>
              <w:t>de</w:t>
              <w:tab/>
              <w:t>facultades</w:t>
              <w:tab/>
              <w:t>municipales</w:t>
              <w:tab/>
              <w:t>con características de interrelación</w:t>
            </w:r>
            <w:r>
              <w:rPr>
                <w:spacing w:val="-9"/>
                <w:sz w:val="22"/>
              </w:rPr>
              <w:t> </w:t>
            </w:r>
            <w:r>
              <w:rPr>
                <w:sz w:val="22"/>
              </w:rPr>
              <w:t>ambiental.</w:t>
            </w:r>
          </w:p>
        </w:tc>
        <w:tc>
          <w:tcPr>
            <w:tcW w:w="8603" w:type="dxa"/>
            <w:gridSpan w:val="9"/>
          </w:tcPr>
          <w:p>
            <w:pPr>
              <w:pStyle w:val="TableParagraph"/>
              <w:ind w:right="102"/>
              <w:jc w:val="both"/>
              <w:rPr>
                <w:sz w:val="22"/>
              </w:rPr>
            </w:pPr>
            <w:r>
              <w:rPr>
                <w:sz w:val="22"/>
              </w:rPr>
              <w:t>Cantidad de facultades municipales de carácter ambiental compartido que se estipulen en la legislación vigente (Ejemplo: facultades municipales establecidas en el artículo 115 de la Constitución Política de los Estados Unidos Mexicanos).</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27.7pt;mso-position-horizontal-relative:page;mso-position-vertical-relative:page;z-index:-3330520"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506;top:2336;width:12529;height:7490" type="#_x0000_t75" stroked="false">
              <v:imagedata r:id="rId339" o:title=""/>
            </v:shape>
            <w10:wrap type="none"/>
          </v:group>
        </w:pict>
      </w:r>
    </w:p>
    <w:p>
      <w:pPr>
        <w:pStyle w:val="BodyText"/>
        <w:spacing w:before="11"/>
        <w:rPr>
          <w:rFonts w:ascii="Times New Roman"/>
        </w:rPr>
      </w:pPr>
    </w:p>
    <w:p>
      <w:pPr>
        <w:pStyle w:val="Heading6"/>
        <w:spacing w:before="73"/>
        <w:ind w:left="5782" w:right="397"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2928">
            <wp:simplePos x="0" y="0"/>
            <wp:positionH relativeFrom="page">
              <wp:posOffset>876300</wp:posOffset>
            </wp:positionH>
            <wp:positionV relativeFrom="page">
              <wp:posOffset>1735327</wp:posOffset>
            </wp:positionV>
            <wp:extent cx="5640277" cy="2244471"/>
            <wp:effectExtent l="0" t="0" r="0" b="0"/>
            <wp:wrapNone/>
            <wp:docPr id="63" name="image216.png" descr=""/>
            <wp:cNvGraphicFramePr>
              <a:graphicFrameLocks noChangeAspect="1"/>
            </wp:cNvGraphicFramePr>
            <a:graphic>
              <a:graphicData uri="http://schemas.openxmlformats.org/drawingml/2006/picture">
                <pic:pic>
                  <pic:nvPicPr>
                    <pic:cNvPr id="64" name="image216.png"/>
                    <pic:cNvPicPr/>
                  </pic:nvPicPr>
                  <pic:blipFill>
                    <a:blip r:embed="rId340" cstate="print"/>
                    <a:stretch>
                      <a:fillRect/>
                    </a:stretch>
                  </pic:blipFill>
                  <pic:spPr>
                    <a:xfrm>
                      <a:off x="0" y="0"/>
                      <a:ext cx="5640277" cy="2244471"/>
                    </a:xfrm>
                    <a:prstGeom prst="rect">
                      <a:avLst/>
                    </a:prstGeom>
                  </pic:spPr>
                </pic:pic>
              </a:graphicData>
            </a:graphic>
          </wp:anchor>
        </w:drawing>
      </w:r>
      <w:r>
        <w:rPr/>
        <w:pict>
          <v:shape style="position:absolute;margin-left:524.830017pt;margin-top:148.460007pt;width:127.5pt;height:145.25pt;mso-position-horizontal-relative:page;mso-position-vertical-relative:page;z-index:1295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4" w:hRule="exact"/>
                    </w:trPr>
                    <w:tc>
                      <w:tcPr>
                        <w:tcW w:w="1034" w:type="dxa"/>
                      </w:tcPr>
                      <w:p>
                        <w:pPr>
                          <w:pStyle w:val="TableParagraph"/>
                          <w:spacing w:line="248" w:lineRule="exact"/>
                          <w:rPr>
                            <w:b/>
                            <w:sz w:val="22"/>
                          </w:rPr>
                        </w:pPr>
                        <w:r>
                          <w:rPr>
                            <w:b/>
                            <w:sz w:val="22"/>
                          </w:rPr>
                          <w:t>Período</w:t>
                        </w:r>
                      </w:p>
                    </w:tc>
                    <w:tc>
                      <w:tcPr>
                        <w:tcW w:w="1501" w:type="dxa"/>
                      </w:tcPr>
                      <w:p>
                        <w:pPr>
                          <w:pStyle w:val="TableParagraph"/>
                          <w:spacing w:line="248" w:lineRule="exact"/>
                          <w:rPr>
                            <w:b/>
                            <w:sz w:val="22"/>
                          </w:rPr>
                        </w:pPr>
                        <w:r>
                          <w:rPr>
                            <w:b/>
                            <w:sz w:val="22"/>
                          </w:rPr>
                          <w:t>Calificación</w:t>
                        </w:r>
                      </w:p>
                    </w:tc>
                  </w:tr>
                  <w:tr>
                    <w:trPr>
                      <w:trHeight w:val="262"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rPr>
                            <w:sz w:val="22"/>
                          </w:rPr>
                        </w:pPr>
                        <w:r>
                          <w:rPr>
                            <w:sz w:val="22"/>
                          </w:rPr>
                          <w:t>1785</w:t>
                        </w:r>
                      </w:p>
                    </w:tc>
                    <w:tc>
                      <w:tcPr>
                        <w:tcW w:w="1501" w:type="dxa"/>
                      </w:tcPr>
                      <w:p>
                        <w:pPr>
                          <w:pStyle w:val="TableParagraph"/>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1810</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1861</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rPr>
                            <w:sz w:val="22"/>
                          </w:rPr>
                        </w:pPr>
                        <w:r>
                          <w:rPr>
                            <w:sz w:val="22"/>
                          </w:rPr>
                          <w:t>Deficiente</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7"/>
        <w:gridCol w:w="1352"/>
        <w:gridCol w:w="3084"/>
        <w:gridCol w:w="1476"/>
        <w:gridCol w:w="2456"/>
        <w:gridCol w:w="1622"/>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077" w:hRule="exact"/>
        </w:trPr>
        <w:tc>
          <w:tcPr>
            <w:tcW w:w="12822" w:type="dxa"/>
            <w:gridSpan w:val="7"/>
          </w:tcPr>
          <w:p>
            <w:pPr>
              <w:pStyle w:val="TableParagraph"/>
              <w:spacing w:line="242" w:lineRule="auto"/>
              <w:ind w:left="27" w:right="22"/>
              <w:rPr>
                <w:sz w:val="22"/>
              </w:rPr>
            </w:pPr>
            <w:r>
              <w:rPr>
                <w:sz w:val="22"/>
              </w:rPr>
              <w:t>Para identificar la nula interrelación municipal de los actores de la CHPH para cuidar el medio ambiente a través del tiempo con un impacto ambiental, sociopolítico y económico se elaboró la siguiente gráfica:</w:t>
            </w:r>
          </w:p>
          <w:p>
            <w:pPr>
              <w:pStyle w:val="TableParagraph"/>
              <w:spacing w:line="247" w:lineRule="exact"/>
              <w:ind w:left="3820" w:right="57"/>
              <w:rPr>
                <w:b/>
                <w:sz w:val="22"/>
              </w:rPr>
            </w:pPr>
            <w:r>
              <w:rPr>
                <w:b/>
                <w:sz w:val="22"/>
              </w:rPr>
              <w:t>Gráfica 7.6.</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3"/>
              <w:ind w:left="0"/>
              <w:rPr>
                <w:rFonts w:ascii="Times New Roman"/>
                <w:sz w:val="22"/>
              </w:rPr>
            </w:pPr>
          </w:p>
          <w:p>
            <w:pPr>
              <w:pStyle w:val="TableParagraph"/>
              <w:spacing w:line="510" w:lineRule="atLeast" w:before="1"/>
              <w:ind w:left="27" w:right="2773"/>
              <w:rPr>
                <w:sz w:val="22"/>
              </w:rPr>
            </w:pPr>
            <w:r>
              <w:rPr>
                <w:b/>
                <w:sz w:val="22"/>
              </w:rPr>
              <w:t>Fuente: </w:t>
            </w:r>
            <w:r>
              <w:rPr>
                <w:sz w:val="22"/>
              </w:rPr>
              <w:t>elaboración propia con base en el trabajo de campo y trabajo de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877" w:type="dxa"/>
            <w:vMerge w:val="restart"/>
          </w:tcPr>
          <w:p>
            <w:pPr>
              <w:pStyle w:val="TableParagraph"/>
              <w:tabs>
                <w:tab w:pos="1542" w:val="left" w:leader="none"/>
              </w:tabs>
              <w:ind w:right="101"/>
              <w:jc w:val="both"/>
              <w:rPr>
                <w:sz w:val="20"/>
              </w:rPr>
            </w:pPr>
            <w:r>
              <w:rPr>
                <w:sz w:val="20"/>
              </w:rPr>
              <w:t>Clasificación por número</w:t>
              <w:tab/>
              <w:t>de</w:t>
            </w:r>
            <w:r>
              <w:rPr>
                <w:w w:val="99"/>
                <w:sz w:val="20"/>
              </w:rPr>
              <w:t> </w:t>
            </w:r>
            <w:r>
              <w:rPr>
                <w:sz w:val="20"/>
              </w:rPr>
              <w:t>eventos en el período</w:t>
            </w:r>
          </w:p>
        </w:tc>
        <w:tc>
          <w:tcPr>
            <w:tcW w:w="8368" w:type="dxa"/>
            <w:gridSpan w:val="4"/>
          </w:tcPr>
          <w:p>
            <w:pPr>
              <w:pStyle w:val="TableParagraph"/>
              <w:spacing w:line="242" w:lineRule="auto"/>
              <w:ind w:right="102"/>
              <w:rPr>
                <w:sz w:val="20"/>
              </w:rPr>
            </w:pPr>
            <w:r>
              <w:rPr>
                <w:sz w:val="20"/>
              </w:rPr>
              <w:t>Clasificación por </w:t>
            </w:r>
            <w:r>
              <w:rPr>
                <w:b/>
                <w:sz w:val="20"/>
              </w:rPr>
              <w:t>características de impacto positivo o negativo </w:t>
            </w:r>
            <w:r>
              <w:rPr>
                <w:sz w:val="20"/>
              </w:rPr>
              <w:t>en los ámbitos ambiental-sociopolítico-económico</w:t>
            </w:r>
          </w:p>
        </w:tc>
        <w:tc>
          <w:tcPr>
            <w:tcW w:w="1622" w:type="dxa"/>
            <w:vMerge w:val="restart"/>
            <w:tcBorders>
              <w:right w:val="double" w:sz="12" w:space="0" w:color="000000"/>
            </w:tcBorders>
          </w:tcPr>
          <w:p>
            <w:pPr>
              <w:pStyle w:val="TableParagraph"/>
              <w:spacing w:before="117"/>
              <w:ind w:left="233" w:right="234"/>
              <w:jc w:val="center"/>
              <w:rPr>
                <w:sz w:val="20"/>
              </w:rPr>
            </w:pPr>
            <w:r>
              <w:rPr>
                <w:w w:val="95"/>
                <w:sz w:val="20"/>
              </w:rPr>
              <w:t>Clasificación </w:t>
            </w:r>
            <w:r>
              <w:rPr>
                <w:sz w:val="20"/>
              </w:rPr>
              <w:t>de la calificación</w:t>
            </w:r>
          </w:p>
        </w:tc>
      </w:tr>
      <w:tr>
        <w:trPr>
          <w:trHeight w:val="480" w:hRule="exact"/>
        </w:trPr>
        <w:tc>
          <w:tcPr>
            <w:tcW w:w="954" w:type="dxa"/>
            <w:vMerge/>
            <w:tcBorders>
              <w:left w:val="double" w:sz="11" w:space="0" w:color="000000"/>
            </w:tcBorders>
          </w:tcPr>
          <w:p>
            <w:pPr/>
          </w:p>
        </w:tc>
        <w:tc>
          <w:tcPr>
            <w:tcW w:w="1877" w:type="dxa"/>
            <w:vMerge/>
          </w:tcPr>
          <w:p>
            <w:pPr/>
          </w:p>
        </w:tc>
        <w:tc>
          <w:tcPr>
            <w:tcW w:w="1352" w:type="dxa"/>
          </w:tcPr>
          <w:p>
            <w:pPr>
              <w:pStyle w:val="TableParagraph"/>
              <w:spacing w:line="227" w:lineRule="exact"/>
              <w:rPr>
                <w:sz w:val="20"/>
              </w:rPr>
            </w:pPr>
            <w:r>
              <w:rPr>
                <w:sz w:val="20"/>
              </w:rPr>
              <w:t>Subsistema</w:t>
            </w:r>
          </w:p>
        </w:tc>
        <w:tc>
          <w:tcPr>
            <w:tcW w:w="3084" w:type="dxa"/>
          </w:tcPr>
          <w:p>
            <w:pPr>
              <w:pStyle w:val="TableParagraph"/>
              <w:spacing w:line="227" w:lineRule="exact"/>
              <w:rPr>
                <w:sz w:val="20"/>
              </w:rPr>
            </w:pPr>
            <w:r>
              <w:rPr>
                <w:sz w:val="20"/>
              </w:rPr>
              <w:t>características</w:t>
            </w:r>
          </w:p>
        </w:tc>
        <w:tc>
          <w:tcPr>
            <w:tcW w:w="1476" w:type="dxa"/>
          </w:tcPr>
          <w:p>
            <w:pPr>
              <w:pStyle w:val="TableParagraph"/>
              <w:tabs>
                <w:tab w:pos="1142" w:val="left" w:leader="none"/>
              </w:tabs>
              <w:spacing w:line="227" w:lineRule="exact"/>
              <w:rPr>
                <w:sz w:val="20"/>
              </w:rPr>
            </w:pPr>
            <w:r>
              <w:rPr>
                <w:sz w:val="20"/>
              </w:rPr>
              <w:t>%</w:t>
              <w:tab/>
              <w:t>de</w:t>
            </w:r>
          </w:p>
          <w:p>
            <w:pPr>
              <w:pStyle w:val="TableParagraph"/>
              <w:rPr>
                <w:sz w:val="20"/>
              </w:rPr>
            </w:pPr>
            <w:r>
              <w:rPr>
                <w:sz w:val="20"/>
              </w:rPr>
              <w:t>cumplimiento</w:t>
            </w:r>
          </w:p>
        </w:tc>
        <w:tc>
          <w:tcPr>
            <w:tcW w:w="2456" w:type="dxa"/>
          </w:tcPr>
          <w:p>
            <w:pPr>
              <w:pStyle w:val="TableParagraph"/>
              <w:spacing w:line="227" w:lineRule="exact"/>
              <w:rPr>
                <w:sz w:val="20"/>
              </w:rPr>
            </w:pPr>
            <w:r>
              <w:rPr>
                <w:sz w:val="20"/>
              </w:rPr>
              <w:t>Observaciones</w:t>
            </w:r>
          </w:p>
        </w:tc>
        <w:tc>
          <w:tcPr>
            <w:tcW w:w="1622"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7"/>
        <w:gridCol w:w="1352"/>
        <w:gridCol w:w="3084"/>
        <w:gridCol w:w="1476"/>
        <w:gridCol w:w="2456"/>
        <w:gridCol w:w="1622"/>
      </w:tblGrid>
      <w:tr>
        <w:trPr>
          <w:trHeight w:val="3699" w:hRule="exact"/>
        </w:trPr>
        <w:tc>
          <w:tcPr>
            <w:tcW w:w="954" w:type="dxa"/>
            <w:vMerge w:val="restart"/>
            <w:tcBorders>
              <w:left w:val="double" w:sz="11" w:space="0" w:color="000000"/>
            </w:tcBorders>
          </w:tcPr>
          <w:p>
            <w:pPr/>
          </w:p>
        </w:tc>
        <w:tc>
          <w:tcPr>
            <w:tcW w:w="1877"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0"/>
              <w:jc w:val="center"/>
              <w:rPr>
                <w:b/>
                <w:sz w:val="20"/>
              </w:rPr>
            </w:pPr>
            <w:r>
              <w:rPr>
                <w:b/>
                <w:w w:val="99"/>
                <w:sz w:val="20"/>
              </w:rPr>
              <w:t>1</w:t>
            </w:r>
          </w:p>
        </w:tc>
        <w:tc>
          <w:tcPr>
            <w:tcW w:w="1352" w:type="dxa"/>
          </w:tcPr>
          <w:p>
            <w:pPr>
              <w:pStyle w:val="TableParagraph"/>
              <w:spacing w:before="7"/>
              <w:rPr>
                <w:sz w:val="20"/>
              </w:rPr>
            </w:pPr>
            <w:r>
              <w:rPr>
                <w:sz w:val="20"/>
              </w:rPr>
              <w:t>Ambiental</w:t>
            </w:r>
          </w:p>
        </w:tc>
        <w:tc>
          <w:tcPr>
            <w:tcW w:w="3084" w:type="dxa"/>
          </w:tcPr>
          <w:p>
            <w:pPr>
              <w:pStyle w:val="TableParagraph"/>
              <w:numPr>
                <w:ilvl w:val="0"/>
                <w:numId w:val="124"/>
              </w:numPr>
              <w:tabs>
                <w:tab w:pos="812" w:val="left" w:leader="none"/>
                <w:tab w:pos="2056" w:val="left" w:leader="none"/>
              </w:tabs>
              <w:spacing w:line="240" w:lineRule="auto" w:before="7" w:after="0"/>
              <w:ind w:left="280" w:right="106" w:hanging="141"/>
              <w:jc w:val="both"/>
              <w:rPr>
                <w:sz w:val="20"/>
              </w:rPr>
            </w:pPr>
            <w:r>
              <w:rPr>
                <w:sz w:val="20"/>
              </w:rPr>
              <w:t>Existen</w:t>
              <w:tab/>
            </w:r>
            <w:r>
              <w:rPr>
                <w:w w:val="95"/>
                <w:sz w:val="20"/>
              </w:rPr>
              <w:t>relaciones </w:t>
            </w:r>
            <w:r>
              <w:rPr>
                <w:sz w:val="20"/>
              </w:rPr>
              <w:t>intermunicipales para atender el medio ambiente de la CHPH</w:t>
            </w:r>
          </w:p>
          <w:p>
            <w:pPr>
              <w:pStyle w:val="TableParagraph"/>
              <w:numPr>
                <w:ilvl w:val="0"/>
                <w:numId w:val="124"/>
              </w:numPr>
              <w:tabs>
                <w:tab w:pos="812" w:val="left" w:leader="none"/>
              </w:tabs>
              <w:spacing w:line="240" w:lineRule="auto" w:before="0" w:after="0"/>
              <w:ind w:left="280" w:right="106" w:hanging="141"/>
              <w:jc w:val="both"/>
              <w:rPr>
                <w:sz w:val="20"/>
              </w:rPr>
            </w:pPr>
            <w:r>
              <w:rPr>
                <w:sz w:val="20"/>
              </w:rPr>
              <w:t>Los municipios tienen facultades para atender problemas del deterioro ambiental</w:t>
            </w:r>
          </w:p>
          <w:p>
            <w:pPr>
              <w:pStyle w:val="TableParagraph"/>
              <w:numPr>
                <w:ilvl w:val="0"/>
                <w:numId w:val="124"/>
              </w:numPr>
              <w:tabs>
                <w:tab w:pos="812" w:val="left" w:leader="none"/>
              </w:tabs>
              <w:spacing w:line="240" w:lineRule="auto" w:before="0" w:after="0"/>
              <w:ind w:left="280" w:right="105"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124"/>
              </w:numPr>
              <w:tabs>
                <w:tab w:pos="812" w:val="left" w:leader="none"/>
              </w:tabs>
              <w:spacing w:line="240" w:lineRule="auto" w:before="0" w:after="0"/>
              <w:ind w:left="280" w:right="102" w:hanging="141"/>
              <w:jc w:val="both"/>
              <w:rPr>
                <w:sz w:val="20"/>
              </w:rPr>
            </w:pPr>
            <w:r>
              <w:rPr>
                <w:sz w:val="20"/>
              </w:rPr>
              <w:t>Existe coordinación del cabildo con los actores históricos para cuidar el  medio</w:t>
            </w:r>
            <w:r>
              <w:rPr>
                <w:spacing w:val="-5"/>
                <w:sz w:val="20"/>
              </w:rPr>
              <w:t> </w:t>
            </w:r>
            <w:r>
              <w:rPr>
                <w:sz w:val="20"/>
              </w:rPr>
              <w:t>ambiente</w:t>
            </w:r>
          </w:p>
        </w:tc>
        <w:tc>
          <w:tcPr>
            <w:tcW w:w="1476" w:type="dxa"/>
            <w:vMerge w:val="restart"/>
          </w:tcPr>
          <w:p>
            <w:pPr/>
          </w:p>
        </w:tc>
        <w:tc>
          <w:tcPr>
            <w:tcW w:w="2456" w:type="dxa"/>
            <w:vMerge w:val="restart"/>
          </w:tcPr>
          <w:p>
            <w:pPr>
              <w:pStyle w:val="TableParagraph"/>
              <w:spacing w:line="242" w:lineRule="auto" w:before="4"/>
              <w:ind w:right="104"/>
              <w:jc w:val="both"/>
              <w:rPr>
                <w:sz w:val="20"/>
              </w:rPr>
            </w:pPr>
            <w:r>
              <w:rPr>
                <w:sz w:val="20"/>
              </w:rPr>
              <w:t>Debe reunir al </w:t>
            </w:r>
            <w:r>
              <w:rPr>
                <w:b/>
                <w:sz w:val="20"/>
              </w:rPr>
              <w:t>100% las tres </w:t>
            </w:r>
            <w:r>
              <w:rPr>
                <w:sz w:val="20"/>
              </w:rPr>
              <w:t>características de impacto positivo</w:t>
            </w:r>
          </w:p>
        </w:tc>
        <w:tc>
          <w:tcPr>
            <w:tcW w:w="1622"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19"/>
              <w:rPr>
                <w:b/>
                <w:sz w:val="20"/>
              </w:rPr>
            </w:pPr>
            <w:r>
              <w:rPr>
                <w:b/>
                <w:sz w:val="20"/>
              </w:rPr>
              <w:t>Excelente</w:t>
            </w:r>
          </w:p>
        </w:tc>
      </w:tr>
      <w:tr>
        <w:trPr>
          <w:trHeight w:val="2542" w:hRule="exact"/>
        </w:trPr>
        <w:tc>
          <w:tcPr>
            <w:tcW w:w="954" w:type="dxa"/>
            <w:vMerge/>
            <w:tcBorders>
              <w:left w:val="double" w:sz="11" w:space="0" w:color="000000"/>
            </w:tcBorders>
          </w:tcPr>
          <w:p>
            <w:pPr/>
          </w:p>
        </w:tc>
        <w:tc>
          <w:tcPr>
            <w:tcW w:w="1877" w:type="dxa"/>
            <w:vMerge/>
          </w:tcPr>
          <w:p>
            <w:pPr/>
          </w:p>
        </w:tc>
        <w:tc>
          <w:tcPr>
            <w:tcW w:w="1352" w:type="dxa"/>
          </w:tcPr>
          <w:p>
            <w:pPr>
              <w:pStyle w:val="TableParagraph"/>
              <w:spacing w:line="227" w:lineRule="exact"/>
              <w:rPr>
                <w:sz w:val="20"/>
              </w:rPr>
            </w:pPr>
            <w:r>
              <w:rPr>
                <w:sz w:val="20"/>
              </w:rPr>
              <w:t>Económico</w:t>
            </w:r>
          </w:p>
        </w:tc>
        <w:tc>
          <w:tcPr>
            <w:tcW w:w="3084" w:type="dxa"/>
          </w:tcPr>
          <w:p>
            <w:pPr>
              <w:pStyle w:val="TableParagraph"/>
              <w:numPr>
                <w:ilvl w:val="0"/>
                <w:numId w:val="125"/>
              </w:numPr>
              <w:tabs>
                <w:tab w:pos="812" w:val="left" w:leader="none"/>
                <w:tab w:pos="2147" w:val="left" w:leader="none"/>
                <w:tab w:pos="2568" w:val="left" w:leader="none"/>
              </w:tabs>
              <w:spacing w:line="240" w:lineRule="auto" w:before="0" w:after="0"/>
              <w:ind w:left="280" w:right="105" w:hanging="141"/>
              <w:jc w:val="both"/>
              <w:rPr>
                <w:sz w:val="20"/>
              </w:rPr>
            </w:pPr>
            <w:r>
              <w:rPr>
                <w:sz w:val="20"/>
              </w:rPr>
              <w:t>Existen</w:t>
              <w:tab/>
            </w:r>
            <w:r>
              <w:rPr>
                <w:w w:val="95"/>
                <w:sz w:val="20"/>
              </w:rPr>
              <w:t>acuerdos </w:t>
            </w:r>
            <w:r>
              <w:rPr>
                <w:sz w:val="20"/>
              </w:rPr>
              <w:t>intermunicipales</w:t>
              <w:tab/>
              <w:tab/>
            </w:r>
            <w:r>
              <w:rPr>
                <w:w w:val="95"/>
                <w:sz w:val="20"/>
              </w:rPr>
              <w:t>para </w:t>
            </w:r>
            <w:r>
              <w:rPr>
                <w:sz w:val="20"/>
              </w:rPr>
              <w:t>distribuir equitativamente los recursos</w:t>
            </w:r>
            <w:r>
              <w:rPr>
                <w:spacing w:val="-6"/>
                <w:sz w:val="20"/>
              </w:rPr>
              <w:t> </w:t>
            </w:r>
            <w:r>
              <w:rPr>
                <w:sz w:val="20"/>
              </w:rPr>
              <w:t>naturales</w:t>
            </w:r>
          </w:p>
          <w:p>
            <w:pPr>
              <w:pStyle w:val="TableParagraph"/>
              <w:numPr>
                <w:ilvl w:val="0"/>
                <w:numId w:val="125"/>
              </w:numPr>
              <w:tabs>
                <w:tab w:pos="812" w:val="left" w:leader="none"/>
                <w:tab w:pos="2147" w:val="left" w:leader="none"/>
              </w:tabs>
              <w:spacing w:line="240" w:lineRule="auto" w:before="1" w:after="0"/>
              <w:ind w:left="280" w:right="106" w:hanging="141"/>
              <w:jc w:val="both"/>
              <w:rPr>
                <w:sz w:val="20"/>
              </w:rPr>
            </w:pPr>
            <w:r>
              <w:rPr>
                <w:sz w:val="20"/>
              </w:rPr>
              <w:t>Existe</w:t>
              <w:tab/>
            </w:r>
            <w:r>
              <w:rPr>
                <w:w w:val="95"/>
                <w:sz w:val="20"/>
              </w:rPr>
              <w:t>acuerdos </w:t>
            </w:r>
            <w:r>
              <w:rPr>
                <w:sz w:val="20"/>
              </w:rPr>
              <w:t>intermunicipales para cuidar los recursos</w:t>
            </w:r>
            <w:r>
              <w:rPr>
                <w:spacing w:val="-6"/>
                <w:sz w:val="20"/>
              </w:rPr>
              <w:t> </w:t>
            </w:r>
            <w:r>
              <w:rPr>
                <w:sz w:val="20"/>
              </w:rPr>
              <w:t>naturales</w:t>
            </w:r>
          </w:p>
          <w:p>
            <w:pPr>
              <w:pStyle w:val="TableParagraph"/>
              <w:numPr>
                <w:ilvl w:val="0"/>
                <w:numId w:val="125"/>
              </w:numPr>
              <w:tabs>
                <w:tab w:pos="812" w:val="left" w:leader="none"/>
              </w:tabs>
              <w:spacing w:line="240" w:lineRule="auto" w:before="0" w:after="0"/>
              <w:ind w:left="280" w:right="104" w:hanging="141"/>
              <w:jc w:val="both"/>
              <w:rPr>
                <w:sz w:val="20"/>
              </w:rPr>
            </w:pPr>
            <w:r>
              <w:rPr>
                <w:sz w:val="20"/>
              </w:rPr>
              <w:t>Existe coordinación económica entre actores de la CHPH para un crecimiento equilibrado</w:t>
            </w:r>
          </w:p>
        </w:tc>
        <w:tc>
          <w:tcPr>
            <w:tcW w:w="1476" w:type="dxa"/>
            <w:vMerge/>
          </w:tcPr>
          <w:p>
            <w:pPr/>
          </w:p>
        </w:tc>
        <w:tc>
          <w:tcPr>
            <w:tcW w:w="2456" w:type="dxa"/>
            <w:vMerge/>
          </w:tcPr>
          <w:p>
            <w:pPr/>
          </w:p>
        </w:tc>
        <w:tc>
          <w:tcPr>
            <w:tcW w:w="1622" w:type="dxa"/>
            <w:vMerge/>
            <w:tcBorders>
              <w:right w:val="double" w:sz="12" w:space="0" w:color="000000"/>
            </w:tcBorders>
            <w:shd w:val="clear" w:color="auto" w:fill="00FF00"/>
          </w:tcPr>
          <w:p>
            <w:pPr/>
          </w:p>
        </w:tc>
      </w:tr>
      <w:tr>
        <w:trPr>
          <w:trHeight w:val="2540" w:hRule="exact"/>
        </w:trPr>
        <w:tc>
          <w:tcPr>
            <w:tcW w:w="954" w:type="dxa"/>
            <w:vMerge/>
            <w:tcBorders>
              <w:left w:val="double" w:sz="11" w:space="0" w:color="000000"/>
            </w:tcBorders>
          </w:tcPr>
          <w:p>
            <w:pPr/>
          </w:p>
        </w:tc>
        <w:tc>
          <w:tcPr>
            <w:tcW w:w="1877" w:type="dxa"/>
            <w:vMerge/>
          </w:tcPr>
          <w:p>
            <w:pPr/>
          </w:p>
        </w:tc>
        <w:tc>
          <w:tcPr>
            <w:tcW w:w="1352" w:type="dxa"/>
          </w:tcPr>
          <w:p>
            <w:pPr>
              <w:pStyle w:val="TableParagraph"/>
              <w:spacing w:line="227" w:lineRule="exact"/>
              <w:rPr>
                <w:sz w:val="20"/>
              </w:rPr>
            </w:pPr>
            <w:r>
              <w:rPr>
                <w:sz w:val="20"/>
              </w:rPr>
              <w:t>Sociopolítico</w:t>
            </w:r>
          </w:p>
        </w:tc>
        <w:tc>
          <w:tcPr>
            <w:tcW w:w="3084" w:type="dxa"/>
          </w:tcPr>
          <w:p>
            <w:pPr>
              <w:pStyle w:val="TableParagraph"/>
              <w:ind w:left="280" w:right="102" w:hanging="178"/>
              <w:jc w:val="both"/>
              <w:rPr>
                <w:sz w:val="20"/>
              </w:rPr>
            </w:pPr>
            <w:r>
              <w:rPr>
                <w:rFonts w:ascii="Wingdings" w:hAnsi="Wingdings"/>
                <w:spacing w:val="2"/>
                <w:sz w:val="20"/>
              </w:rPr>
              <w:t></w:t>
            </w:r>
            <w:r>
              <w:rPr>
                <w:spacing w:val="2"/>
                <w:sz w:val="20"/>
              </w:rPr>
              <w:t>Favorece </w:t>
            </w:r>
            <w:r>
              <w:rPr>
                <w:sz w:val="20"/>
              </w:rPr>
              <w:t>la voluntariedad de los cabildos y de los actores históricos para cuidar el  medio ambiente de la</w:t>
            </w:r>
            <w:r>
              <w:rPr>
                <w:spacing w:val="-7"/>
                <w:sz w:val="20"/>
              </w:rPr>
              <w:t> </w:t>
            </w:r>
            <w:r>
              <w:rPr>
                <w:sz w:val="20"/>
              </w:rPr>
              <w:t>CHPH</w:t>
            </w:r>
          </w:p>
          <w:p>
            <w:pPr>
              <w:pStyle w:val="TableParagraph"/>
              <w:spacing w:before="1"/>
              <w:ind w:left="280" w:right="104" w:hanging="178"/>
              <w:jc w:val="both"/>
              <w:rPr>
                <w:sz w:val="20"/>
              </w:rPr>
            </w:pPr>
            <w:r>
              <w:rPr>
                <w:rFonts w:ascii="Wingdings" w:hAnsi="Wingdings"/>
                <w:sz w:val="20"/>
              </w:rPr>
              <w:t></w:t>
            </w:r>
            <w:r>
              <w:rPr>
                <w:sz w:val="20"/>
              </w:rPr>
              <w:t>Favorece la organización sociopolítica de los actores de la CHPH para cuidar el medio ambiente</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tc>
        <w:tc>
          <w:tcPr>
            <w:tcW w:w="1476" w:type="dxa"/>
            <w:vMerge/>
          </w:tcPr>
          <w:p>
            <w:pPr/>
          </w:p>
        </w:tc>
        <w:tc>
          <w:tcPr>
            <w:tcW w:w="2456" w:type="dxa"/>
            <w:vMerge/>
          </w:tcPr>
          <w:p>
            <w:pPr/>
          </w:p>
        </w:tc>
        <w:tc>
          <w:tcPr>
            <w:tcW w:w="1622"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27.580017pt;margin-top:121.099998pt;width:78.75pt;height:403.55pt;mso-position-horizontal-relative:page;mso-position-vertical-relative:page;z-index:-3330448" coordorigin="12552,2422" coordsize="1575,8071">
            <v:shape style="position:absolute;left:12552;top:2422;width:1574;height:8070" type="#_x0000_t75" stroked="false">
              <v:imagedata r:id="rId341" o:title=""/>
            </v:shape>
            <v:shape style="position:absolute;left:12655;top:2422;width:1368;height:230" type="#_x0000_t75" stroked="false">
              <v:imagedata r:id="rId342" o:title=""/>
            </v:shape>
            <v:shape style="position:absolute;left:12655;top:2652;width:1368;height:228" type="#_x0000_t75" stroked="false">
              <v:imagedata r:id="rId343" o:title=""/>
            </v:shape>
            <v:shape style="position:absolute;left:12655;top:2880;width:1368;height:230" type="#_x0000_t75" stroked="false">
              <v:imagedata r:id="rId344" o:title=""/>
            </v:shape>
            <v:shape style="position:absolute;left:12655;top:3111;width:1368;height:230" type="#_x0000_t75" stroked="false">
              <v:imagedata r:id="rId345" o:title=""/>
            </v:shape>
            <v:shape style="position:absolute;left:12655;top:3341;width:1368;height:230" type="#_x0000_t75" stroked="false">
              <v:imagedata r:id="rId346" o:title=""/>
            </v:shape>
            <v:shape style="position:absolute;left:12655;top:3572;width:1368;height:230" type="#_x0000_t75" stroked="false">
              <v:imagedata r:id="rId347" o:title=""/>
            </v:shape>
            <v:shape style="position:absolute;left:12655;top:3802;width:1368;height:231" type="#_x0000_t75" stroked="false">
              <v:imagedata r:id="rId348" o:title=""/>
            </v:shape>
            <v:shape style="position:absolute;left:12655;top:4033;width:1368;height:228" type="#_x0000_t75" stroked="false">
              <v:imagedata r:id="rId349" o:title=""/>
            </v:shape>
            <v:shape style="position:absolute;left:12655;top:4261;width:1368;height:230" type="#_x0000_t75" stroked="false">
              <v:imagedata r:id="rId350"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7"/>
        <w:gridCol w:w="1352"/>
        <w:gridCol w:w="3084"/>
        <w:gridCol w:w="1476"/>
        <w:gridCol w:w="2456"/>
        <w:gridCol w:w="1622"/>
      </w:tblGrid>
      <w:tr>
        <w:trPr>
          <w:trHeight w:val="710" w:hRule="exact"/>
        </w:trPr>
        <w:tc>
          <w:tcPr>
            <w:tcW w:w="954" w:type="dxa"/>
            <w:tcBorders>
              <w:left w:val="double" w:sz="11" w:space="0" w:color="000000"/>
            </w:tcBorders>
          </w:tcPr>
          <w:p>
            <w:pPr/>
          </w:p>
        </w:tc>
        <w:tc>
          <w:tcPr>
            <w:tcW w:w="1877" w:type="dxa"/>
          </w:tcPr>
          <w:p>
            <w:pPr/>
          </w:p>
        </w:tc>
        <w:tc>
          <w:tcPr>
            <w:tcW w:w="1352" w:type="dxa"/>
          </w:tcPr>
          <w:p>
            <w:pPr/>
          </w:p>
        </w:tc>
        <w:tc>
          <w:tcPr>
            <w:tcW w:w="3084" w:type="dxa"/>
          </w:tcPr>
          <w:p>
            <w:pPr>
              <w:pStyle w:val="TableParagraph"/>
              <w:numPr>
                <w:ilvl w:val="0"/>
                <w:numId w:val="126"/>
              </w:numPr>
              <w:tabs>
                <w:tab w:pos="336" w:val="left" w:leader="none"/>
              </w:tabs>
              <w:spacing w:line="240" w:lineRule="auto" w:before="7" w:after="0"/>
              <w:ind w:left="280" w:right="103" w:hanging="177"/>
              <w:jc w:val="both"/>
              <w:rPr>
                <w:sz w:val="20"/>
              </w:rPr>
            </w:pPr>
            <w:r>
              <w:rPr>
                <w:sz w:val="20"/>
              </w:rPr>
              <w:t>Favorece la planeación sociopolítica con articulación entre</w:t>
            </w:r>
            <w:r>
              <w:rPr>
                <w:spacing w:val="-5"/>
                <w:sz w:val="20"/>
              </w:rPr>
              <w:t> </w:t>
            </w:r>
            <w:r>
              <w:rPr>
                <w:sz w:val="20"/>
              </w:rPr>
              <w:t>actores</w:t>
            </w:r>
          </w:p>
        </w:tc>
        <w:tc>
          <w:tcPr>
            <w:tcW w:w="1476" w:type="dxa"/>
          </w:tcPr>
          <w:p>
            <w:pPr/>
          </w:p>
        </w:tc>
        <w:tc>
          <w:tcPr>
            <w:tcW w:w="2456" w:type="dxa"/>
          </w:tcPr>
          <w:p>
            <w:pPr/>
          </w:p>
        </w:tc>
        <w:tc>
          <w:tcPr>
            <w:tcW w:w="1622" w:type="dxa"/>
            <w:tcBorders>
              <w:right w:val="double" w:sz="12" w:space="0" w:color="000000"/>
            </w:tcBorders>
            <w:shd w:val="clear" w:color="auto" w:fill="00FF00"/>
          </w:tcPr>
          <w:p>
            <w:pPr/>
          </w:p>
        </w:tc>
      </w:tr>
      <w:tr>
        <w:trPr>
          <w:trHeight w:val="3689" w:hRule="exact"/>
        </w:trPr>
        <w:tc>
          <w:tcPr>
            <w:tcW w:w="954" w:type="dxa"/>
            <w:vMerge w:val="restart"/>
            <w:tcBorders>
              <w:left w:val="double" w:sz="11" w:space="0" w:color="000000"/>
            </w:tcBorders>
          </w:tcPr>
          <w:p>
            <w:pPr/>
          </w:p>
        </w:tc>
        <w:tc>
          <w:tcPr>
            <w:tcW w:w="1877"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19"/>
              </w:rPr>
            </w:pPr>
          </w:p>
          <w:p>
            <w:pPr>
              <w:pStyle w:val="TableParagraph"/>
              <w:ind w:left="0"/>
              <w:jc w:val="center"/>
              <w:rPr>
                <w:b/>
                <w:sz w:val="20"/>
              </w:rPr>
            </w:pPr>
            <w:r>
              <w:rPr>
                <w:b/>
                <w:w w:val="99"/>
                <w:sz w:val="20"/>
              </w:rPr>
              <w:t>1</w:t>
            </w:r>
          </w:p>
        </w:tc>
        <w:tc>
          <w:tcPr>
            <w:tcW w:w="1352" w:type="dxa"/>
          </w:tcPr>
          <w:p>
            <w:pPr>
              <w:pStyle w:val="TableParagraph"/>
              <w:spacing w:line="227" w:lineRule="exact"/>
              <w:rPr>
                <w:sz w:val="20"/>
              </w:rPr>
            </w:pPr>
            <w:r>
              <w:rPr>
                <w:sz w:val="20"/>
              </w:rPr>
              <w:t>Ambiental</w:t>
            </w:r>
          </w:p>
        </w:tc>
        <w:tc>
          <w:tcPr>
            <w:tcW w:w="3084" w:type="dxa"/>
          </w:tcPr>
          <w:p>
            <w:pPr>
              <w:pStyle w:val="TableParagraph"/>
              <w:numPr>
                <w:ilvl w:val="0"/>
                <w:numId w:val="127"/>
              </w:numPr>
              <w:tabs>
                <w:tab w:pos="812" w:val="left" w:leader="none"/>
                <w:tab w:pos="2056" w:val="left" w:leader="none"/>
              </w:tabs>
              <w:spacing w:line="240" w:lineRule="auto" w:before="0" w:after="0"/>
              <w:ind w:left="280" w:right="106" w:hanging="141"/>
              <w:jc w:val="both"/>
              <w:rPr>
                <w:sz w:val="20"/>
              </w:rPr>
            </w:pPr>
            <w:r>
              <w:rPr>
                <w:sz w:val="20"/>
              </w:rPr>
              <w:t>Existen</w:t>
              <w:tab/>
            </w:r>
            <w:r>
              <w:rPr>
                <w:w w:val="95"/>
                <w:sz w:val="20"/>
              </w:rPr>
              <w:t>relaciones </w:t>
            </w:r>
            <w:r>
              <w:rPr>
                <w:sz w:val="20"/>
              </w:rPr>
              <w:t>intermunicipales para atender el medio ambiente de la CHPH</w:t>
            </w:r>
          </w:p>
          <w:p>
            <w:pPr>
              <w:pStyle w:val="TableParagraph"/>
              <w:numPr>
                <w:ilvl w:val="0"/>
                <w:numId w:val="127"/>
              </w:numPr>
              <w:tabs>
                <w:tab w:pos="812" w:val="left" w:leader="none"/>
              </w:tabs>
              <w:spacing w:line="240" w:lineRule="auto" w:before="0" w:after="0"/>
              <w:ind w:left="280" w:right="106" w:hanging="141"/>
              <w:jc w:val="both"/>
              <w:rPr>
                <w:sz w:val="20"/>
              </w:rPr>
            </w:pPr>
            <w:r>
              <w:rPr>
                <w:sz w:val="20"/>
              </w:rPr>
              <w:t>Los municipios tienen facultades para atender problemas del deterioro ambiental</w:t>
            </w:r>
          </w:p>
          <w:p>
            <w:pPr>
              <w:pStyle w:val="TableParagraph"/>
              <w:numPr>
                <w:ilvl w:val="0"/>
                <w:numId w:val="127"/>
              </w:numPr>
              <w:tabs>
                <w:tab w:pos="812" w:val="left" w:leader="none"/>
              </w:tabs>
              <w:spacing w:line="240" w:lineRule="auto" w:before="0" w:after="0"/>
              <w:ind w:left="280" w:right="105"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127"/>
              </w:numPr>
              <w:tabs>
                <w:tab w:pos="812" w:val="left" w:leader="none"/>
              </w:tabs>
              <w:spacing w:line="240" w:lineRule="auto" w:before="0" w:after="0"/>
              <w:ind w:left="280" w:right="104" w:hanging="141"/>
              <w:jc w:val="both"/>
              <w:rPr>
                <w:sz w:val="20"/>
              </w:rPr>
            </w:pPr>
            <w:r>
              <w:rPr>
                <w:sz w:val="20"/>
              </w:rPr>
              <w:t>Existe coordinación del cabildo con los actores históricos para cuidar el  medio</w:t>
            </w:r>
            <w:r>
              <w:rPr>
                <w:spacing w:val="-5"/>
                <w:sz w:val="20"/>
              </w:rPr>
              <w:t> </w:t>
            </w:r>
            <w:r>
              <w:rPr>
                <w:sz w:val="20"/>
              </w:rPr>
              <w:t>ambiente</w:t>
            </w:r>
          </w:p>
        </w:tc>
        <w:tc>
          <w:tcPr>
            <w:tcW w:w="1476" w:type="dxa"/>
            <w:vMerge w:val="restart"/>
          </w:tcPr>
          <w:p>
            <w:pPr/>
          </w:p>
        </w:tc>
        <w:tc>
          <w:tcPr>
            <w:tcW w:w="2456" w:type="dxa"/>
            <w:vMerge w:val="restart"/>
          </w:tcPr>
          <w:p>
            <w:pPr>
              <w:pStyle w:val="TableParagraph"/>
              <w:tabs>
                <w:tab w:pos="2115" w:val="left" w:leader="none"/>
              </w:tabs>
              <w:ind w:right="104"/>
              <w:jc w:val="both"/>
              <w:rPr>
                <w:sz w:val="20"/>
              </w:rPr>
            </w:pPr>
            <w:r>
              <w:rPr>
                <w:sz w:val="20"/>
              </w:rPr>
              <w:t>Debe reunir </w:t>
            </w:r>
            <w:r>
              <w:rPr>
                <w:b/>
                <w:sz w:val="20"/>
              </w:rPr>
              <w:t>al menos el 75% </w:t>
            </w:r>
            <w:r>
              <w:rPr>
                <w:sz w:val="20"/>
              </w:rPr>
              <w:t>dos de tres características</w:t>
              <w:tab/>
              <w:t>de impacto</w:t>
            </w:r>
            <w:r>
              <w:rPr>
                <w:spacing w:val="-3"/>
                <w:sz w:val="20"/>
              </w:rPr>
              <w:t> </w:t>
            </w:r>
            <w:r>
              <w:rPr>
                <w:sz w:val="20"/>
              </w:rPr>
              <w:t>positivo</w:t>
            </w:r>
          </w:p>
        </w:tc>
        <w:tc>
          <w:tcPr>
            <w:tcW w:w="1622"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9"/>
              </w:rPr>
            </w:pPr>
          </w:p>
          <w:p>
            <w:pPr>
              <w:pStyle w:val="TableParagraph"/>
              <w:ind w:left="475"/>
              <w:rPr>
                <w:b/>
                <w:sz w:val="20"/>
              </w:rPr>
            </w:pPr>
            <w:r>
              <w:rPr>
                <w:b/>
                <w:sz w:val="20"/>
              </w:rPr>
              <w:t>Bueno</w:t>
            </w:r>
          </w:p>
        </w:tc>
      </w:tr>
      <w:tr>
        <w:trPr>
          <w:trHeight w:val="2540" w:hRule="exact"/>
        </w:trPr>
        <w:tc>
          <w:tcPr>
            <w:tcW w:w="954" w:type="dxa"/>
            <w:vMerge/>
            <w:tcBorders>
              <w:left w:val="double" w:sz="11" w:space="0" w:color="000000"/>
            </w:tcBorders>
          </w:tcPr>
          <w:p>
            <w:pPr/>
          </w:p>
        </w:tc>
        <w:tc>
          <w:tcPr>
            <w:tcW w:w="1877" w:type="dxa"/>
            <w:vMerge/>
          </w:tcPr>
          <w:p>
            <w:pPr/>
          </w:p>
        </w:tc>
        <w:tc>
          <w:tcPr>
            <w:tcW w:w="1352" w:type="dxa"/>
          </w:tcPr>
          <w:p>
            <w:pPr>
              <w:pStyle w:val="TableParagraph"/>
              <w:spacing w:line="227" w:lineRule="exact"/>
              <w:rPr>
                <w:sz w:val="20"/>
              </w:rPr>
            </w:pPr>
            <w:r>
              <w:rPr>
                <w:sz w:val="20"/>
              </w:rPr>
              <w:t>Económico</w:t>
            </w:r>
          </w:p>
        </w:tc>
        <w:tc>
          <w:tcPr>
            <w:tcW w:w="3084" w:type="dxa"/>
          </w:tcPr>
          <w:p>
            <w:pPr>
              <w:pStyle w:val="TableParagraph"/>
              <w:numPr>
                <w:ilvl w:val="0"/>
                <w:numId w:val="128"/>
              </w:numPr>
              <w:tabs>
                <w:tab w:pos="812" w:val="left" w:leader="none"/>
                <w:tab w:pos="2147" w:val="left" w:leader="none"/>
                <w:tab w:pos="2568" w:val="left" w:leader="none"/>
              </w:tabs>
              <w:spacing w:line="240" w:lineRule="auto" w:before="0" w:after="0"/>
              <w:ind w:left="280" w:right="105" w:hanging="141"/>
              <w:jc w:val="both"/>
              <w:rPr>
                <w:sz w:val="20"/>
              </w:rPr>
            </w:pPr>
            <w:r>
              <w:rPr>
                <w:sz w:val="20"/>
              </w:rPr>
              <w:t>Existen</w:t>
              <w:tab/>
            </w:r>
            <w:r>
              <w:rPr>
                <w:w w:val="95"/>
                <w:sz w:val="20"/>
              </w:rPr>
              <w:t>acuerdos </w:t>
            </w:r>
            <w:r>
              <w:rPr>
                <w:sz w:val="20"/>
              </w:rPr>
              <w:t>intermunicipales</w:t>
              <w:tab/>
              <w:tab/>
            </w:r>
            <w:r>
              <w:rPr>
                <w:w w:val="95"/>
                <w:sz w:val="20"/>
              </w:rPr>
              <w:t>para </w:t>
            </w:r>
            <w:r>
              <w:rPr>
                <w:sz w:val="20"/>
              </w:rPr>
              <w:t>distribuir equitativamente los recursos</w:t>
            </w:r>
            <w:r>
              <w:rPr>
                <w:spacing w:val="-6"/>
                <w:sz w:val="20"/>
              </w:rPr>
              <w:t> </w:t>
            </w:r>
            <w:r>
              <w:rPr>
                <w:sz w:val="20"/>
              </w:rPr>
              <w:t>naturales</w:t>
            </w:r>
          </w:p>
          <w:p>
            <w:pPr>
              <w:pStyle w:val="TableParagraph"/>
              <w:numPr>
                <w:ilvl w:val="0"/>
                <w:numId w:val="128"/>
              </w:numPr>
              <w:tabs>
                <w:tab w:pos="812" w:val="left" w:leader="none"/>
                <w:tab w:pos="2147" w:val="left" w:leader="none"/>
              </w:tabs>
              <w:spacing w:line="240" w:lineRule="auto" w:before="0" w:after="0"/>
              <w:ind w:left="280" w:right="106" w:hanging="141"/>
              <w:jc w:val="both"/>
              <w:rPr>
                <w:sz w:val="20"/>
              </w:rPr>
            </w:pPr>
            <w:r>
              <w:rPr>
                <w:sz w:val="20"/>
              </w:rPr>
              <w:t>Existe</w:t>
              <w:tab/>
            </w:r>
            <w:r>
              <w:rPr>
                <w:w w:val="95"/>
                <w:sz w:val="20"/>
              </w:rPr>
              <w:t>acuerdos </w:t>
            </w:r>
            <w:r>
              <w:rPr>
                <w:sz w:val="20"/>
              </w:rPr>
              <w:t>intermunicipales para cuidar los recursos</w:t>
            </w:r>
            <w:r>
              <w:rPr>
                <w:spacing w:val="-6"/>
                <w:sz w:val="20"/>
              </w:rPr>
              <w:t> </w:t>
            </w:r>
            <w:r>
              <w:rPr>
                <w:sz w:val="20"/>
              </w:rPr>
              <w:t>naturales</w:t>
            </w:r>
          </w:p>
          <w:p>
            <w:pPr>
              <w:pStyle w:val="TableParagraph"/>
              <w:numPr>
                <w:ilvl w:val="0"/>
                <w:numId w:val="128"/>
              </w:numPr>
              <w:tabs>
                <w:tab w:pos="812" w:val="left" w:leader="none"/>
              </w:tabs>
              <w:spacing w:line="240" w:lineRule="auto" w:before="0" w:after="0"/>
              <w:ind w:left="280" w:right="104" w:hanging="141"/>
              <w:jc w:val="both"/>
              <w:rPr>
                <w:sz w:val="20"/>
              </w:rPr>
            </w:pPr>
            <w:r>
              <w:rPr>
                <w:sz w:val="20"/>
              </w:rPr>
              <w:t>Existe coordinación económica entre actores de la CHPH para un crecimiento equilibrado</w:t>
            </w:r>
          </w:p>
        </w:tc>
        <w:tc>
          <w:tcPr>
            <w:tcW w:w="1476" w:type="dxa"/>
            <w:vMerge/>
          </w:tcPr>
          <w:p>
            <w:pPr/>
          </w:p>
        </w:tc>
        <w:tc>
          <w:tcPr>
            <w:tcW w:w="2456" w:type="dxa"/>
            <w:vMerge/>
          </w:tcPr>
          <w:p>
            <w:pPr/>
          </w:p>
        </w:tc>
        <w:tc>
          <w:tcPr>
            <w:tcW w:w="1622" w:type="dxa"/>
            <w:vMerge/>
            <w:tcBorders>
              <w:right w:val="double" w:sz="12" w:space="0" w:color="000000"/>
            </w:tcBorders>
          </w:tcPr>
          <w:p>
            <w:pPr/>
          </w:p>
        </w:tc>
      </w:tr>
      <w:tr>
        <w:trPr>
          <w:trHeight w:val="1851" w:hRule="exact"/>
        </w:trPr>
        <w:tc>
          <w:tcPr>
            <w:tcW w:w="954" w:type="dxa"/>
            <w:vMerge/>
            <w:tcBorders>
              <w:left w:val="double" w:sz="11" w:space="0" w:color="000000"/>
              <w:bottom w:val="single" w:sz="8" w:space="0" w:color="000000"/>
            </w:tcBorders>
          </w:tcPr>
          <w:p>
            <w:pPr/>
          </w:p>
        </w:tc>
        <w:tc>
          <w:tcPr>
            <w:tcW w:w="1877" w:type="dxa"/>
            <w:vMerge/>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Sociopolítico</w:t>
            </w:r>
          </w:p>
        </w:tc>
        <w:tc>
          <w:tcPr>
            <w:tcW w:w="3084" w:type="dxa"/>
            <w:tcBorders>
              <w:bottom w:val="single" w:sz="8" w:space="0" w:color="000000"/>
            </w:tcBorders>
          </w:tcPr>
          <w:p>
            <w:pPr>
              <w:pStyle w:val="TableParagraph"/>
              <w:ind w:left="280" w:right="104" w:hanging="178"/>
              <w:jc w:val="both"/>
              <w:rPr>
                <w:sz w:val="20"/>
              </w:rPr>
            </w:pPr>
            <w:r>
              <w:rPr>
                <w:rFonts w:ascii="Wingdings" w:hAnsi="Wingdings"/>
                <w:spacing w:val="2"/>
                <w:sz w:val="20"/>
              </w:rPr>
              <w:t></w:t>
            </w:r>
            <w:r>
              <w:rPr>
                <w:spacing w:val="2"/>
                <w:sz w:val="20"/>
              </w:rPr>
              <w:t>Favorece </w:t>
            </w:r>
            <w:r>
              <w:rPr>
                <w:sz w:val="20"/>
              </w:rPr>
              <w:t>la voluntariedad de los cabildos y de los actores históricos para cuidar el  medio ambiente de la</w:t>
            </w:r>
            <w:r>
              <w:rPr>
                <w:spacing w:val="-7"/>
                <w:sz w:val="20"/>
              </w:rPr>
              <w:t> </w:t>
            </w:r>
            <w:r>
              <w:rPr>
                <w:sz w:val="20"/>
              </w:rPr>
              <w:t>CHPH</w:t>
            </w:r>
          </w:p>
          <w:p>
            <w:pPr>
              <w:pStyle w:val="TableParagraph"/>
              <w:ind w:left="280" w:right="104" w:hanging="178"/>
              <w:jc w:val="both"/>
              <w:rPr>
                <w:sz w:val="20"/>
              </w:rPr>
            </w:pPr>
            <w:r>
              <w:rPr>
                <w:rFonts w:ascii="Wingdings" w:hAnsi="Wingdings"/>
                <w:sz w:val="20"/>
              </w:rPr>
              <w:t></w:t>
            </w:r>
            <w:r>
              <w:rPr>
                <w:sz w:val="20"/>
              </w:rPr>
              <w:t>Favorece la organización sociopolítica de los actores de la CHPH para cuidar el medio ambiente</w:t>
            </w:r>
          </w:p>
        </w:tc>
        <w:tc>
          <w:tcPr>
            <w:tcW w:w="1476" w:type="dxa"/>
            <w:vMerge/>
            <w:tcBorders>
              <w:bottom w:val="single" w:sz="8" w:space="0" w:color="000000"/>
            </w:tcBorders>
          </w:tcPr>
          <w:p>
            <w:pPr/>
          </w:p>
        </w:tc>
        <w:tc>
          <w:tcPr>
            <w:tcW w:w="2456" w:type="dxa"/>
            <w:vMerge/>
            <w:tcBorders>
              <w:bottom w:val="single" w:sz="8" w:space="0" w:color="000000"/>
            </w:tcBorders>
          </w:tcPr>
          <w:p>
            <w:pPr/>
          </w:p>
        </w:tc>
        <w:tc>
          <w:tcPr>
            <w:tcW w:w="1622" w:type="dxa"/>
            <w:vMerge/>
            <w:tcBorders>
              <w:bottom w:val="single" w:sz="8"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7"/>
        <w:gridCol w:w="1352"/>
        <w:gridCol w:w="3084"/>
        <w:gridCol w:w="1476"/>
        <w:gridCol w:w="2456"/>
        <w:gridCol w:w="1622"/>
      </w:tblGrid>
      <w:tr>
        <w:trPr>
          <w:trHeight w:val="1399" w:hRule="exact"/>
        </w:trPr>
        <w:tc>
          <w:tcPr>
            <w:tcW w:w="954" w:type="dxa"/>
            <w:tcBorders>
              <w:left w:val="double" w:sz="11" w:space="0" w:color="000000"/>
            </w:tcBorders>
          </w:tcPr>
          <w:p>
            <w:pPr/>
          </w:p>
        </w:tc>
        <w:tc>
          <w:tcPr>
            <w:tcW w:w="1877" w:type="dxa"/>
          </w:tcPr>
          <w:p>
            <w:pPr/>
          </w:p>
        </w:tc>
        <w:tc>
          <w:tcPr>
            <w:tcW w:w="1352" w:type="dxa"/>
          </w:tcPr>
          <w:p>
            <w:pPr/>
          </w:p>
        </w:tc>
        <w:tc>
          <w:tcPr>
            <w:tcW w:w="3084" w:type="dxa"/>
          </w:tcPr>
          <w:p>
            <w:pPr>
              <w:pStyle w:val="TableParagraph"/>
              <w:spacing w:before="7"/>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ind w:left="280" w:right="104" w:hanging="178"/>
              <w:jc w:val="both"/>
              <w:rPr>
                <w:sz w:val="20"/>
              </w:rPr>
            </w:pPr>
            <w:r>
              <w:rPr>
                <w:rFonts w:ascii="Wingdings" w:hAnsi="Wingdings"/>
                <w:sz w:val="20"/>
              </w:rPr>
              <w:t></w:t>
            </w:r>
            <w:r>
              <w:rPr>
                <w:sz w:val="20"/>
              </w:rPr>
              <w:t>Favorece la planeación sociopolítica con articulación entre actores</w:t>
            </w:r>
          </w:p>
        </w:tc>
        <w:tc>
          <w:tcPr>
            <w:tcW w:w="1476" w:type="dxa"/>
          </w:tcPr>
          <w:p>
            <w:pPr/>
          </w:p>
        </w:tc>
        <w:tc>
          <w:tcPr>
            <w:tcW w:w="2456" w:type="dxa"/>
          </w:tcPr>
          <w:p>
            <w:pPr/>
          </w:p>
        </w:tc>
        <w:tc>
          <w:tcPr>
            <w:tcW w:w="1622" w:type="dxa"/>
            <w:tcBorders>
              <w:right w:val="double" w:sz="12" w:space="0" w:color="000000"/>
            </w:tcBorders>
          </w:tcPr>
          <w:p>
            <w:pPr>
              <w:pStyle w:val="TableParagraph"/>
              <w:ind w:left="0" w:right="-50"/>
              <w:rPr>
                <w:rFonts w:ascii="Times New Roman"/>
                <w:sz w:val="20"/>
              </w:rPr>
            </w:pPr>
            <w:r>
              <w:rPr>
                <w:rFonts w:ascii="Times New Roman"/>
                <w:sz w:val="20"/>
              </w:rPr>
              <w:pict>
                <v:group style="width:78.75pt;height:69pt;mso-position-horizontal-relative:char;mso-position-vertical-relative:line" coordorigin="0,0" coordsize="1575,1380">
                  <v:shape style="position:absolute;left:0;top:0;width:1574;height:1380" type="#_x0000_t75" stroked="false">
                    <v:imagedata r:id="rId351" o:title=""/>
                  </v:shape>
                </v:group>
              </w:pict>
            </w:r>
            <w:r>
              <w:rPr>
                <w:rFonts w:ascii="Times New Roman"/>
                <w:sz w:val="20"/>
              </w:rPr>
            </w:r>
          </w:p>
        </w:tc>
      </w:tr>
      <w:tr>
        <w:trPr>
          <w:trHeight w:val="3690" w:hRule="exact"/>
        </w:trPr>
        <w:tc>
          <w:tcPr>
            <w:tcW w:w="954" w:type="dxa"/>
            <w:vMerge w:val="restart"/>
            <w:tcBorders>
              <w:left w:val="double" w:sz="11" w:space="0" w:color="000000"/>
            </w:tcBorders>
          </w:tcPr>
          <w:p>
            <w:pPr/>
          </w:p>
        </w:tc>
        <w:tc>
          <w:tcPr>
            <w:tcW w:w="1877"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352" w:type="dxa"/>
          </w:tcPr>
          <w:p>
            <w:pPr>
              <w:pStyle w:val="TableParagraph"/>
              <w:spacing w:line="227" w:lineRule="exact"/>
              <w:rPr>
                <w:sz w:val="20"/>
              </w:rPr>
            </w:pPr>
            <w:r>
              <w:rPr>
                <w:sz w:val="20"/>
              </w:rPr>
              <w:t>Ambiental</w:t>
            </w:r>
          </w:p>
        </w:tc>
        <w:tc>
          <w:tcPr>
            <w:tcW w:w="3084" w:type="dxa"/>
          </w:tcPr>
          <w:p>
            <w:pPr>
              <w:pStyle w:val="TableParagraph"/>
              <w:numPr>
                <w:ilvl w:val="0"/>
                <w:numId w:val="129"/>
              </w:numPr>
              <w:tabs>
                <w:tab w:pos="812" w:val="left" w:leader="none"/>
                <w:tab w:pos="2056" w:val="left" w:leader="none"/>
              </w:tabs>
              <w:spacing w:line="240" w:lineRule="auto" w:before="0" w:after="0"/>
              <w:ind w:left="280" w:right="106" w:hanging="141"/>
              <w:jc w:val="both"/>
              <w:rPr>
                <w:sz w:val="20"/>
              </w:rPr>
            </w:pPr>
            <w:r>
              <w:rPr>
                <w:sz w:val="20"/>
              </w:rPr>
              <w:t>Existen</w:t>
              <w:tab/>
            </w:r>
            <w:r>
              <w:rPr>
                <w:w w:val="95"/>
                <w:sz w:val="20"/>
              </w:rPr>
              <w:t>relaciones </w:t>
            </w:r>
            <w:r>
              <w:rPr>
                <w:sz w:val="20"/>
              </w:rPr>
              <w:t>intermunicipales para atender el medio ambiente de la CHPH</w:t>
            </w:r>
          </w:p>
          <w:p>
            <w:pPr>
              <w:pStyle w:val="TableParagraph"/>
              <w:numPr>
                <w:ilvl w:val="0"/>
                <w:numId w:val="129"/>
              </w:numPr>
              <w:tabs>
                <w:tab w:pos="812" w:val="left" w:leader="none"/>
              </w:tabs>
              <w:spacing w:line="240" w:lineRule="auto" w:before="0" w:after="0"/>
              <w:ind w:left="280" w:right="104" w:hanging="141"/>
              <w:jc w:val="both"/>
              <w:rPr>
                <w:sz w:val="20"/>
              </w:rPr>
            </w:pPr>
            <w:r>
              <w:rPr>
                <w:sz w:val="20"/>
              </w:rPr>
              <w:t>Los municipios tienen facultades para atender problemas del deterioro ambiental</w:t>
            </w:r>
          </w:p>
          <w:p>
            <w:pPr>
              <w:pStyle w:val="TableParagraph"/>
              <w:numPr>
                <w:ilvl w:val="0"/>
                <w:numId w:val="129"/>
              </w:numPr>
              <w:tabs>
                <w:tab w:pos="812" w:val="left" w:leader="none"/>
              </w:tabs>
              <w:spacing w:line="240" w:lineRule="auto" w:before="0" w:after="0"/>
              <w:ind w:left="280" w:right="105"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129"/>
              </w:numPr>
              <w:tabs>
                <w:tab w:pos="812" w:val="left" w:leader="none"/>
              </w:tabs>
              <w:spacing w:line="240" w:lineRule="auto" w:before="0" w:after="0"/>
              <w:ind w:left="280" w:right="104" w:hanging="141"/>
              <w:jc w:val="both"/>
              <w:rPr>
                <w:sz w:val="20"/>
              </w:rPr>
            </w:pPr>
            <w:r>
              <w:rPr>
                <w:sz w:val="20"/>
              </w:rPr>
              <w:t>Existe coordinación del cabildo con los actores históricos para cuidar el  medio</w:t>
            </w:r>
            <w:r>
              <w:rPr>
                <w:spacing w:val="-5"/>
                <w:sz w:val="20"/>
              </w:rPr>
              <w:t> </w:t>
            </w:r>
            <w:r>
              <w:rPr>
                <w:sz w:val="20"/>
              </w:rPr>
              <w:t>ambiente</w:t>
            </w:r>
          </w:p>
        </w:tc>
        <w:tc>
          <w:tcPr>
            <w:tcW w:w="1476" w:type="dxa"/>
            <w:vMerge w:val="restart"/>
          </w:tcPr>
          <w:p>
            <w:pPr/>
          </w:p>
        </w:tc>
        <w:tc>
          <w:tcPr>
            <w:tcW w:w="2456" w:type="dxa"/>
            <w:vMerge w:val="restart"/>
          </w:tcPr>
          <w:p>
            <w:pPr>
              <w:pStyle w:val="TableParagraph"/>
              <w:tabs>
                <w:tab w:pos="2115" w:val="left" w:leader="none"/>
              </w:tabs>
              <w:spacing w:line="242" w:lineRule="auto"/>
              <w:ind w:right="104"/>
              <w:jc w:val="both"/>
              <w:rPr>
                <w:sz w:val="20"/>
              </w:rPr>
            </w:pPr>
            <w:r>
              <w:rPr>
                <w:sz w:val="20"/>
              </w:rPr>
              <w:t>Debe reunir </w:t>
            </w:r>
            <w:r>
              <w:rPr>
                <w:b/>
                <w:sz w:val="20"/>
              </w:rPr>
              <w:t>al menos el 50% una de tres </w:t>
            </w:r>
            <w:r>
              <w:rPr>
                <w:sz w:val="20"/>
              </w:rPr>
              <w:t>características</w:t>
              <w:tab/>
              <w:t>de impacto</w:t>
            </w:r>
            <w:r>
              <w:rPr>
                <w:spacing w:val="-3"/>
                <w:sz w:val="20"/>
              </w:rPr>
              <w:t> </w:t>
            </w:r>
            <w:r>
              <w:rPr>
                <w:sz w:val="20"/>
              </w:rPr>
              <w:t>positivo</w:t>
            </w:r>
          </w:p>
        </w:tc>
        <w:tc>
          <w:tcPr>
            <w:tcW w:w="1622"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415"/>
              <w:rPr>
                <w:b/>
                <w:sz w:val="20"/>
              </w:rPr>
            </w:pPr>
            <w:r>
              <w:rPr>
                <w:b/>
                <w:sz w:val="20"/>
              </w:rPr>
              <w:t>Regular</w:t>
            </w:r>
          </w:p>
        </w:tc>
      </w:tr>
      <w:tr>
        <w:trPr>
          <w:trHeight w:val="2552" w:hRule="exact"/>
        </w:trPr>
        <w:tc>
          <w:tcPr>
            <w:tcW w:w="954" w:type="dxa"/>
            <w:vMerge/>
            <w:tcBorders>
              <w:left w:val="double" w:sz="11" w:space="0" w:color="000000"/>
              <w:bottom w:val="single" w:sz="8" w:space="0" w:color="000000"/>
            </w:tcBorders>
          </w:tcPr>
          <w:p>
            <w:pPr/>
          </w:p>
        </w:tc>
        <w:tc>
          <w:tcPr>
            <w:tcW w:w="1877" w:type="dxa"/>
            <w:vMerge/>
            <w:tcBorders>
              <w:bottom w:val="single" w:sz="8" w:space="0" w:color="000000"/>
            </w:tcBorders>
          </w:tcPr>
          <w:p>
            <w:pPr/>
          </w:p>
        </w:tc>
        <w:tc>
          <w:tcPr>
            <w:tcW w:w="1352" w:type="dxa"/>
            <w:tcBorders>
              <w:bottom w:val="single" w:sz="8" w:space="0" w:color="000000"/>
            </w:tcBorders>
          </w:tcPr>
          <w:p>
            <w:pPr>
              <w:pStyle w:val="TableParagraph"/>
              <w:spacing w:line="230" w:lineRule="exact"/>
              <w:rPr>
                <w:sz w:val="20"/>
              </w:rPr>
            </w:pPr>
            <w:r>
              <w:rPr>
                <w:sz w:val="20"/>
              </w:rPr>
              <w:t>Económico</w:t>
            </w:r>
          </w:p>
        </w:tc>
        <w:tc>
          <w:tcPr>
            <w:tcW w:w="3084" w:type="dxa"/>
            <w:tcBorders>
              <w:bottom w:val="single" w:sz="8" w:space="0" w:color="000000"/>
            </w:tcBorders>
          </w:tcPr>
          <w:p>
            <w:pPr>
              <w:pStyle w:val="TableParagraph"/>
              <w:numPr>
                <w:ilvl w:val="0"/>
                <w:numId w:val="130"/>
              </w:numPr>
              <w:tabs>
                <w:tab w:pos="812" w:val="left" w:leader="none"/>
                <w:tab w:pos="2147" w:val="left" w:leader="none"/>
                <w:tab w:pos="2568" w:val="left" w:leader="none"/>
              </w:tabs>
              <w:spacing w:line="240" w:lineRule="auto" w:before="0" w:after="0"/>
              <w:ind w:left="280" w:right="105" w:hanging="141"/>
              <w:jc w:val="both"/>
              <w:rPr>
                <w:sz w:val="20"/>
              </w:rPr>
            </w:pPr>
            <w:r>
              <w:rPr>
                <w:sz w:val="20"/>
              </w:rPr>
              <w:t>Existen</w:t>
              <w:tab/>
            </w:r>
            <w:r>
              <w:rPr>
                <w:w w:val="95"/>
                <w:sz w:val="20"/>
              </w:rPr>
              <w:t>acuerdos </w:t>
            </w:r>
            <w:r>
              <w:rPr>
                <w:sz w:val="20"/>
              </w:rPr>
              <w:t>intermunicipales</w:t>
              <w:tab/>
              <w:tab/>
            </w:r>
            <w:r>
              <w:rPr>
                <w:w w:val="95"/>
                <w:sz w:val="20"/>
              </w:rPr>
              <w:t>para </w:t>
            </w:r>
            <w:r>
              <w:rPr>
                <w:sz w:val="20"/>
              </w:rPr>
              <w:t>distribuir equitativamente los recursos</w:t>
            </w:r>
            <w:r>
              <w:rPr>
                <w:spacing w:val="-6"/>
                <w:sz w:val="20"/>
              </w:rPr>
              <w:t> </w:t>
            </w:r>
            <w:r>
              <w:rPr>
                <w:sz w:val="20"/>
              </w:rPr>
              <w:t>naturales</w:t>
            </w:r>
          </w:p>
          <w:p>
            <w:pPr>
              <w:pStyle w:val="TableParagraph"/>
              <w:numPr>
                <w:ilvl w:val="0"/>
                <w:numId w:val="130"/>
              </w:numPr>
              <w:tabs>
                <w:tab w:pos="812" w:val="left" w:leader="none"/>
                <w:tab w:pos="2147" w:val="left" w:leader="none"/>
              </w:tabs>
              <w:spacing w:line="240" w:lineRule="auto" w:before="0" w:after="0"/>
              <w:ind w:left="280" w:right="106" w:hanging="141"/>
              <w:jc w:val="both"/>
              <w:rPr>
                <w:sz w:val="20"/>
              </w:rPr>
            </w:pPr>
            <w:r>
              <w:rPr>
                <w:sz w:val="20"/>
              </w:rPr>
              <w:t>Existe</w:t>
              <w:tab/>
            </w:r>
            <w:r>
              <w:rPr>
                <w:w w:val="95"/>
                <w:sz w:val="20"/>
              </w:rPr>
              <w:t>acuerdos </w:t>
            </w:r>
            <w:r>
              <w:rPr>
                <w:sz w:val="20"/>
              </w:rPr>
              <w:t>intermunicipales para cuidar los recursos</w:t>
            </w:r>
            <w:r>
              <w:rPr>
                <w:spacing w:val="-6"/>
                <w:sz w:val="20"/>
              </w:rPr>
              <w:t> </w:t>
            </w:r>
            <w:r>
              <w:rPr>
                <w:sz w:val="20"/>
              </w:rPr>
              <w:t>naturales</w:t>
            </w:r>
          </w:p>
          <w:p>
            <w:pPr>
              <w:pStyle w:val="TableParagraph"/>
              <w:numPr>
                <w:ilvl w:val="0"/>
                <w:numId w:val="130"/>
              </w:numPr>
              <w:tabs>
                <w:tab w:pos="812" w:val="left" w:leader="none"/>
              </w:tabs>
              <w:spacing w:line="240" w:lineRule="auto" w:before="0" w:after="0"/>
              <w:ind w:left="280" w:right="104" w:hanging="141"/>
              <w:jc w:val="both"/>
              <w:rPr>
                <w:sz w:val="20"/>
              </w:rPr>
            </w:pPr>
            <w:r>
              <w:rPr>
                <w:sz w:val="20"/>
              </w:rPr>
              <w:t>Existe coordinación económica entre actores de la CHPH para un crecimiento equilibrado</w:t>
            </w:r>
          </w:p>
        </w:tc>
        <w:tc>
          <w:tcPr>
            <w:tcW w:w="1476" w:type="dxa"/>
            <w:vMerge/>
            <w:tcBorders>
              <w:bottom w:val="single" w:sz="8" w:space="0" w:color="000000"/>
            </w:tcBorders>
          </w:tcPr>
          <w:p>
            <w:pPr/>
          </w:p>
        </w:tc>
        <w:tc>
          <w:tcPr>
            <w:tcW w:w="2456" w:type="dxa"/>
            <w:vMerge/>
            <w:tcBorders>
              <w:bottom w:val="single" w:sz="8" w:space="0" w:color="000000"/>
            </w:tcBorders>
          </w:tcPr>
          <w:p>
            <w:pPr/>
          </w:p>
        </w:tc>
        <w:tc>
          <w:tcPr>
            <w:tcW w:w="1622" w:type="dxa"/>
            <w:vMerge/>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7"/>
        <w:gridCol w:w="1352"/>
        <w:gridCol w:w="3084"/>
        <w:gridCol w:w="1476"/>
        <w:gridCol w:w="2456"/>
        <w:gridCol w:w="1622"/>
      </w:tblGrid>
      <w:tr>
        <w:trPr>
          <w:trHeight w:val="3241" w:hRule="exact"/>
        </w:trPr>
        <w:tc>
          <w:tcPr>
            <w:tcW w:w="954" w:type="dxa"/>
            <w:tcBorders>
              <w:left w:val="double" w:sz="11" w:space="0" w:color="000000"/>
            </w:tcBorders>
          </w:tcPr>
          <w:p>
            <w:pPr/>
          </w:p>
        </w:tc>
        <w:tc>
          <w:tcPr>
            <w:tcW w:w="1877" w:type="dxa"/>
          </w:tcPr>
          <w:p>
            <w:pPr/>
          </w:p>
        </w:tc>
        <w:tc>
          <w:tcPr>
            <w:tcW w:w="1352" w:type="dxa"/>
          </w:tcPr>
          <w:p>
            <w:pPr>
              <w:pStyle w:val="TableParagraph"/>
              <w:spacing w:before="7"/>
              <w:rPr>
                <w:sz w:val="20"/>
              </w:rPr>
            </w:pPr>
            <w:r>
              <w:rPr>
                <w:sz w:val="20"/>
              </w:rPr>
              <w:t>Sociopolítico</w:t>
            </w:r>
          </w:p>
        </w:tc>
        <w:tc>
          <w:tcPr>
            <w:tcW w:w="3084" w:type="dxa"/>
          </w:tcPr>
          <w:p>
            <w:pPr>
              <w:pStyle w:val="TableParagraph"/>
              <w:spacing w:before="7"/>
              <w:ind w:left="280" w:right="104" w:hanging="178"/>
              <w:jc w:val="both"/>
              <w:rPr>
                <w:sz w:val="20"/>
              </w:rPr>
            </w:pPr>
            <w:r>
              <w:rPr>
                <w:rFonts w:ascii="Wingdings" w:hAnsi="Wingdings"/>
                <w:spacing w:val="2"/>
                <w:sz w:val="20"/>
              </w:rPr>
              <w:t></w:t>
            </w:r>
            <w:r>
              <w:rPr>
                <w:spacing w:val="2"/>
                <w:sz w:val="20"/>
              </w:rPr>
              <w:t>Favorece </w:t>
            </w:r>
            <w:r>
              <w:rPr>
                <w:sz w:val="20"/>
              </w:rPr>
              <w:t>la voluntariedad de los cabildos y de los actores históricos para cuidar el  medio ambiente de la</w:t>
            </w:r>
            <w:r>
              <w:rPr>
                <w:spacing w:val="-7"/>
                <w:sz w:val="20"/>
              </w:rPr>
              <w:t> </w:t>
            </w:r>
            <w:r>
              <w:rPr>
                <w:sz w:val="20"/>
              </w:rPr>
              <w:t>CHPH</w:t>
            </w:r>
          </w:p>
          <w:p>
            <w:pPr>
              <w:pStyle w:val="TableParagraph"/>
              <w:ind w:left="280" w:right="104" w:hanging="178"/>
              <w:jc w:val="both"/>
              <w:rPr>
                <w:sz w:val="20"/>
              </w:rPr>
            </w:pPr>
            <w:r>
              <w:rPr>
                <w:rFonts w:ascii="Wingdings" w:hAnsi="Wingdings"/>
                <w:sz w:val="20"/>
              </w:rPr>
              <w:t></w:t>
            </w:r>
            <w:r>
              <w:rPr>
                <w:sz w:val="20"/>
              </w:rPr>
              <w:t>Favorece la organización sociopolítica de los actores de la CHPH para cuidar el medio ambiente</w:t>
            </w:r>
          </w:p>
          <w:p>
            <w:pPr>
              <w:pStyle w:val="TableParagraph"/>
              <w:rPr>
                <w:sz w:val="20"/>
              </w:rPr>
            </w:pPr>
            <w:r>
              <w:rPr>
                <w:rFonts w:ascii="Wingdings" w:hAnsi="Wingdings"/>
                <w:sz w:val="20"/>
              </w:rPr>
              <w:t></w:t>
            </w:r>
            <w:r>
              <w:rPr>
                <w:sz w:val="20"/>
              </w:rPr>
              <w:t>Favorece la GIRH</w:t>
            </w:r>
          </w:p>
          <w:p>
            <w:pPr>
              <w:pStyle w:val="TableParagraph"/>
              <w:spacing w:line="229" w:lineRule="exact" w:before="1"/>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ind w:left="280" w:right="104" w:hanging="178"/>
              <w:jc w:val="both"/>
              <w:rPr>
                <w:sz w:val="20"/>
              </w:rPr>
            </w:pPr>
            <w:r>
              <w:rPr>
                <w:rFonts w:ascii="Wingdings" w:hAnsi="Wingdings"/>
                <w:sz w:val="20"/>
              </w:rPr>
              <w:t></w:t>
            </w:r>
            <w:r>
              <w:rPr>
                <w:sz w:val="20"/>
              </w:rPr>
              <w:t>Favorece la planeación sociopolítica con articulación entre actores</w:t>
            </w:r>
          </w:p>
        </w:tc>
        <w:tc>
          <w:tcPr>
            <w:tcW w:w="1476" w:type="dxa"/>
          </w:tcPr>
          <w:p>
            <w:pPr/>
          </w:p>
        </w:tc>
        <w:tc>
          <w:tcPr>
            <w:tcW w:w="2456" w:type="dxa"/>
          </w:tcPr>
          <w:p>
            <w:pPr/>
          </w:p>
        </w:tc>
        <w:tc>
          <w:tcPr>
            <w:tcW w:w="1622" w:type="dxa"/>
            <w:tcBorders>
              <w:right w:val="double" w:sz="12" w:space="0" w:color="000000"/>
            </w:tcBorders>
            <w:shd w:val="clear" w:color="auto" w:fill="FFFF00"/>
          </w:tcPr>
          <w:p>
            <w:pPr/>
          </w:p>
        </w:tc>
      </w:tr>
      <w:tr>
        <w:trPr>
          <w:trHeight w:val="1620"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209" w:right="212"/>
              <w:jc w:val="center"/>
              <w:rPr>
                <w:sz w:val="20"/>
              </w:rPr>
            </w:pPr>
            <w:r>
              <w:rPr>
                <w:sz w:val="20"/>
              </w:rPr>
              <w:t>1400</w:t>
            </w:r>
          </w:p>
        </w:tc>
        <w:tc>
          <w:tcPr>
            <w:tcW w:w="1877"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19"/>
              </w:rPr>
            </w:pPr>
          </w:p>
          <w:p>
            <w:pPr>
              <w:pStyle w:val="TableParagraph"/>
              <w:ind w:left="0"/>
              <w:jc w:val="center"/>
              <w:rPr>
                <w:b/>
                <w:sz w:val="20"/>
              </w:rPr>
            </w:pPr>
            <w:r>
              <w:rPr>
                <w:b/>
                <w:w w:val="99"/>
                <w:sz w:val="20"/>
              </w:rPr>
              <w:t>1</w:t>
            </w:r>
          </w:p>
        </w:tc>
        <w:tc>
          <w:tcPr>
            <w:tcW w:w="1352" w:type="dxa"/>
            <w:vMerge w:val="restart"/>
          </w:tcPr>
          <w:p>
            <w:pPr>
              <w:pStyle w:val="TableParagraph"/>
              <w:spacing w:line="227" w:lineRule="exact"/>
              <w:rPr>
                <w:sz w:val="20"/>
              </w:rPr>
            </w:pPr>
            <w:r>
              <w:rPr>
                <w:sz w:val="20"/>
              </w:rPr>
              <w:t>Ambiental</w:t>
            </w:r>
          </w:p>
        </w:tc>
        <w:tc>
          <w:tcPr>
            <w:tcW w:w="3084" w:type="dxa"/>
            <w:vMerge w:val="restart"/>
          </w:tcPr>
          <w:p>
            <w:pPr>
              <w:pStyle w:val="TableParagraph"/>
              <w:numPr>
                <w:ilvl w:val="0"/>
                <w:numId w:val="131"/>
              </w:numPr>
              <w:tabs>
                <w:tab w:pos="812" w:val="left" w:leader="none"/>
                <w:tab w:pos="2056" w:val="left" w:leader="none"/>
              </w:tabs>
              <w:spacing w:line="240" w:lineRule="auto" w:before="0" w:after="0"/>
              <w:ind w:left="280" w:right="106" w:hanging="141"/>
              <w:jc w:val="both"/>
              <w:rPr>
                <w:sz w:val="20"/>
              </w:rPr>
            </w:pPr>
            <w:r>
              <w:rPr>
                <w:sz w:val="20"/>
              </w:rPr>
              <w:t>Existen</w:t>
              <w:tab/>
            </w:r>
            <w:r>
              <w:rPr>
                <w:w w:val="95"/>
                <w:sz w:val="20"/>
              </w:rPr>
              <w:t>relaciones </w:t>
            </w:r>
            <w:r>
              <w:rPr>
                <w:sz w:val="20"/>
              </w:rPr>
              <w:t>intermunicipales para atender el medio ambiente de la CHPH</w:t>
            </w:r>
          </w:p>
          <w:p>
            <w:pPr>
              <w:pStyle w:val="TableParagraph"/>
              <w:numPr>
                <w:ilvl w:val="0"/>
                <w:numId w:val="131"/>
              </w:numPr>
              <w:tabs>
                <w:tab w:pos="812" w:val="left" w:leader="none"/>
              </w:tabs>
              <w:spacing w:line="240" w:lineRule="auto" w:before="0" w:after="0"/>
              <w:ind w:left="280" w:right="106" w:hanging="141"/>
              <w:jc w:val="both"/>
              <w:rPr>
                <w:sz w:val="20"/>
              </w:rPr>
            </w:pPr>
            <w:r>
              <w:rPr>
                <w:sz w:val="20"/>
              </w:rPr>
              <w:t>Los municipios tienen facultades para atender problemas del deterioro ambiental</w:t>
            </w:r>
          </w:p>
          <w:p>
            <w:pPr>
              <w:pStyle w:val="TableParagraph"/>
              <w:numPr>
                <w:ilvl w:val="0"/>
                <w:numId w:val="131"/>
              </w:numPr>
              <w:tabs>
                <w:tab w:pos="812" w:val="left" w:leader="none"/>
              </w:tabs>
              <w:spacing w:line="240" w:lineRule="auto" w:before="0" w:after="0"/>
              <w:ind w:left="280" w:right="105"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131"/>
              </w:numPr>
              <w:tabs>
                <w:tab w:pos="812" w:val="left" w:leader="none"/>
              </w:tabs>
              <w:spacing w:line="240" w:lineRule="auto" w:before="0" w:after="0"/>
              <w:ind w:left="280" w:right="102" w:hanging="141"/>
              <w:jc w:val="both"/>
              <w:rPr>
                <w:sz w:val="20"/>
              </w:rPr>
            </w:pPr>
            <w:r>
              <w:rPr>
                <w:sz w:val="20"/>
              </w:rPr>
              <w:t>Existe coordinación del cabildo con los actores históricos para cuidar el  medio</w:t>
            </w:r>
            <w:r>
              <w:rPr>
                <w:spacing w:val="-5"/>
                <w:sz w:val="20"/>
              </w:rPr>
              <w:t> </w:t>
            </w:r>
            <w:r>
              <w:rPr>
                <w:sz w:val="20"/>
              </w:rPr>
              <w:t>ambiente</w:t>
            </w:r>
          </w:p>
        </w:tc>
        <w:tc>
          <w:tcPr>
            <w:tcW w:w="147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9"/>
              </w:rPr>
            </w:pPr>
          </w:p>
          <w:p>
            <w:pPr>
              <w:pStyle w:val="TableParagraph"/>
              <w:ind w:left="475"/>
              <w:rPr>
                <w:sz w:val="20"/>
              </w:rPr>
            </w:pPr>
            <w:r>
              <w:rPr>
                <w:sz w:val="20"/>
              </w:rPr>
              <w:t>&lt;50%</w:t>
            </w:r>
          </w:p>
        </w:tc>
        <w:tc>
          <w:tcPr>
            <w:tcW w:w="2456" w:type="dxa"/>
            <w:vMerge w:val="restart"/>
          </w:tcPr>
          <w:p>
            <w:pPr>
              <w:pStyle w:val="TableParagraph"/>
              <w:ind w:right="105"/>
              <w:jc w:val="both"/>
              <w:rPr>
                <w:sz w:val="20"/>
              </w:rPr>
            </w:pPr>
            <w:r>
              <w:rPr>
                <w:sz w:val="20"/>
              </w:rPr>
              <w:t>No reúne ni el 50% en </w:t>
            </w:r>
            <w:r>
              <w:rPr>
                <w:b/>
                <w:sz w:val="20"/>
              </w:rPr>
              <w:t>ninguna </w:t>
            </w:r>
            <w:r>
              <w:rPr>
                <w:sz w:val="20"/>
              </w:rPr>
              <w:t>de las de impacto positivo</w:t>
            </w:r>
          </w:p>
        </w:tc>
        <w:tc>
          <w:tcPr>
            <w:tcW w:w="1622"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309"/>
              <w:rPr>
                <w:b/>
                <w:sz w:val="20"/>
              </w:rPr>
            </w:pPr>
            <w:r>
              <w:rPr>
                <w:b/>
                <w:sz w:val="20"/>
              </w:rPr>
              <w:t>Deficiente</w:t>
            </w:r>
          </w:p>
        </w:tc>
      </w:tr>
      <w:tr>
        <w:trPr>
          <w:trHeight w:val="715" w:hRule="exact"/>
        </w:trPr>
        <w:tc>
          <w:tcPr>
            <w:tcW w:w="954" w:type="dxa"/>
            <w:tcBorders>
              <w:left w:val="double" w:sz="11" w:space="0" w:color="000000"/>
            </w:tcBorders>
          </w:tcPr>
          <w:p>
            <w:pPr>
              <w:pStyle w:val="TableParagraph"/>
              <w:spacing w:before="4"/>
              <w:ind w:left="0"/>
              <w:rPr>
                <w:rFonts w:ascii="Times New Roman"/>
                <w:sz w:val="20"/>
              </w:rPr>
            </w:pPr>
          </w:p>
          <w:p>
            <w:pPr>
              <w:pStyle w:val="TableParagraph"/>
              <w:spacing w:before="1"/>
              <w:ind w:left="209" w:right="212"/>
              <w:jc w:val="center"/>
              <w:rPr>
                <w:sz w:val="20"/>
              </w:rPr>
            </w:pPr>
            <w:r>
              <w:rPr>
                <w:sz w:val="20"/>
              </w:rPr>
              <w:t>1519</w:t>
            </w:r>
          </w:p>
        </w:tc>
        <w:tc>
          <w:tcPr>
            <w:tcW w:w="1877" w:type="dxa"/>
            <w:vMerge/>
          </w:tcPr>
          <w:p>
            <w:pPr/>
          </w:p>
        </w:tc>
        <w:tc>
          <w:tcPr>
            <w:tcW w:w="1352" w:type="dxa"/>
            <w:vMerge/>
          </w:tcPr>
          <w:p>
            <w:pPr/>
          </w:p>
        </w:tc>
        <w:tc>
          <w:tcPr>
            <w:tcW w:w="3084" w:type="dxa"/>
            <w:vMerge/>
          </w:tcPr>
          <w:p>
            <w:pPr/>
          </w:p>
        </w:tc>
        <w:tc>
          <w:tcPr>
            <w:tcW w:w="1476" w:type="dxa"/>
            <w:vMerge/>
          </w:tcPr>
          <w:p>
            <w:pPr/>
          </w:p>
        </w:tc>
        <w:tc>
          <w:tcPr>
            <w:tcW w:w="2456" w:type="dxa"/>
            <w:vMerge/>
          </w:tcPr>
          <w:p>
            <w:pPr/>
          </w:p>
        </w:tc>
        <w:tc>
          <w:tcPr>
            <w:tcW w:w="1622" w:type="dxa"/>
            <w:vMerge/>
            <w:tcBorders>
              <w:right w:val="double" w:sz="12" w:space="0" w:color="000000"/>
            </w:tcBorders>
            <w:shd w:val="clear" w:color="auto" w:fill="FF0000"/>
          </w:tcPr>
          <w:p>
            <w:pPr/>
          </w:p>
        </w:tc>
      </w:tr>
      <w:tr>
        <w:trPr>
          <w:trHeight w:val="715" w:hRule="exact"/>
        </w:trPr>
        <w:tc>
          <w:tcPr>
            <w:tcW w:w="954" w:type="dxa"/>
            <w:tcBorders>
              <w:left w:val="double" w:sz="11" w:space="0" w:color="000000"/>
            </w:tcBorders>
          </w:tcPr>
          <w:p>
            <w:pPr>
              <w:pStyle w:val="TableParagraph"/>
              <w:spacing w:before="4"/>
              <w:ind w:left="0"/>
              <w:rPr>
                <w:rFonts w:ascii="Times New Roman"/>
                <w:sz w:val="20"/>
              </w:rPr>
            </w:pPr>
          </w:p>
          <w:p>
            <w:pPr>
              <w:pStyle w:val="TableParagraph"/>
              <w:spacing w:before="1"/>
              <w:ind w:left="209" w:right="212"/>
              <w:jc w:val="center"/>
              <w:rPr>
                <w:sz w:val="20"/>
              </w:rPr>
            </w:pPr>
            <w:r>
              <w:rPr>
                <w:sz w:val="20"/>
              </w:rPr>
              <w:t>1580</w:t>
            </w:r>
          </w:p>
        </w:tc>
        <w:tc>
          <w:tcPr>
            <w:tcW w:w="1877" w:type="dxa"/>
            <w:vMerge/>
          </w:tcPr>
          <w:p>
            <w:pPr/>
          </w:p>
        </w:tc>
        <w:tc>
          <w:tcPr>
            <w:tcW w:w="1352" w:type="dxa"/>
            <w:vMerge/>
          </w:tcPr>
          <w:p>
            <w:pPr/>
          </w:p>
        </w:tc>
        <w:tc>
          <w:tcPr>
            <w:tcW w:w="3084" w:type="dxa"/>
            <w:vMerge/>
          </w:tcPr>
          <w:p>
            <w:pPr/>
          </w:p>
        </w:tc>
        <w:tc>
          <w:tcPr>
            <w:tcW w:w="1476" w:type="dxa"/>
            <w:vMerge/>
          </w:tcPr>
          <w:p>
            <w:pPr/>
          </w:p>
        </w:tc>
        <w:tc>
          <w:tcPr>
            <w:tcW w:w="2456" w:type="dxa"/>
            <w:vMerge/>
          </w:tcPr>
          <w:p>
            <w:pPr/>
          </w:p>
        </w:tc>
        <w:tc>
          <w:tcPr>
            <w:tcW w:w="1622" w:type="dxa"/>
            <w:vMerge/>
            <w:tcBorders>
              <w:right w:val="double" w:sz="12" w:space="0" w:color="000000"/>
            </w:tcBorders>
            <w:shd w:val="clear" w:color="auto" w:fill="FF0000"/>
          </w:tcPr>
          <w:p>
            <w:pPr/>
          </w:p>
        </w:tc>
      </w:tr>
      <w:tr>
        <w:trPr>
          <w:trHeight w:val="713" w:hRule="exact"/>
        </w:trPr>
        <w:tc>
          <w:tcPr>
            <w:tcW w:w="954" w:type="dxa"/>
            <w:tcBorders>
              <w:left w:val="double" w:sz="11" w:space="0" w:color="000000"/>
            </w:tcBorders>
          </w:tcPr>
          <w:p>
            <w:pPr>
              <w:pStyle w:val="TableParagraph"/>
              <w:spacing w:before="4"/>
              <w:ind w:left="0"/>
              <w:rPr>
                <w:rFonts w:ascii="Times New Roman"/>
                <w:sz w:val="20"/>
              </w:rPr>
            </w:pPr>
          </w:p>
          <w:p>
            <w:pPr>
              <w:pStyle w:val="TableParagraph"/>
              <w:spacing w:before="1"/>
              <w:ind w:left="209" w:right="212"/>
              <w:jc w:val="center"/>
              <w:rPr>
                <w:sz w:val="20"/>
              </w:rPr>
            </w:pPr>
            <w:r>
              <w:rPr>
                <w:sz w:val="20"/>
              </w:rPr>
              <w:t>1785</w:t>
            </w:r>
          </w:p>
        </w:tc>
        <w:tc>
          <w:tcPr>
            <w:tcW w:w="1877" w:type="dxa"/>
            <w:vMerge/>
          </w:tcPr>
          <w:p>
            <w:pPr/>
          </w:p>
        </w:tc>
        <w:tc>
          <w:tcPr>
            <w:tcW w:w="1352" w:type="dxa"/>
            <w:vMerge/>
          </w:tcPr>
          <w:p>
            <w:pPr/>
          </w:p>
        </w:tc>
        <w:tc>
          <w:tcPr>
            <w:tcW w:w="3084" w:type="dxa"/>
            <w:vMerge/>
          </w:tcPr>
          <w:p>
            <w:pPr/>
          </w:p>
        </w:tc>
        <w:tc>
          <w:tcPr>
            <w:tcW w:w="1476" w:type="dxa"/>
            <w:vMerge/>
          </w:tcPr>
          <w:p>
            <w:pPr/>
          </w:p>
        </w:tc>
        <w:tc>
          <w:tcPr>
            <w:tcW w:w="2456" w:type="dxa"/>
            <w:vMerge/>
          </w:tcPr>
          <w:p>
            <w:pPr/>
          </w:p>
        </w:tc>
        <w:tc>
          <w:tcPr>
            <w:tcW w:w="1622" w:type="dxa"/>
            <w:vMerge/>
            <w:tcBorders>
              <w:right w:val="double" w:sz="12" w:space="0" w:color="000000"/>
            </w:tcBorders>
            <w:shd w:val="clear" w:color="auto" w:fill="FF0000"/>
          </w:tcPr>
          <w:p>
            <w:pPr/>
          </w:p>
        </w:tc>
      </w:tr>
      <w:tr>
        <w:trPr>
          <w:trHeight w:val="1623" w:hRule="exact"/>
        </w:trPr>
        <w:tc>
          <w:tcPr>
            <w:tcW w:w="954" w:type="dxa"/>
            <w:tcBorders>
              <w:left w:val="double" w:sz="11" w:space="0" w:color="000000"/>
              <w:bottom w:val="double" w:sz="3" w:space="0" w:color="000000"/>
            </w:tcBorders>
          </w:tcPr>
          <w:p>
            <w:pPr>
              <w:pStyle w:val="TableParagraph"/>
              <w:spacing w:before="9"/>
              <w:ind w:left="0"/>
              <w:rPr>
                <w:rFonts w:ascii="Times New Roman"/>
                <w:sz w:val="19"/>
              </w:rPr>
            </w:pPr>
          </w:p>
          <w:p>
            <w:pPr>
              <w:pStyle w:val="TableParagraph"/>
              <w:ind w:left="209" w:right="212"/>
              <w:jc w:val="center"/>
              <w:rPr>
                <w:sz w:val="20"/>
              </w:rPr>
            </w:pPr>
            <w:r>
              <w:rPr>
                <w:sz w:val="20"/>
              </w:rPr>
              <w:t>1810</w:t>
            </w:r>
          </w:p>
        </w:tc>
        <w:tc>
          <w:tcPr>
            <w:tcW w:w="1877" w:type="dxa"/>
            <w:vMerge/>
            <w:tcBorders>
              <w:bottom w:val="double" w:sz="3" w:space="0" w:color="000000"/>
            </w:tcBorders>
          </w:tcPr>
          <w:p>
            <w:pPr/>
          </w:p>
        </w:tc>
        <w:tc>
          <w:tcPr>
            <w:tcW w:w="1352" w:type="dxa"/>
            <w:tcBorders>
              <w:bottom w:val="double" w:sz="3" w:space="0" w:color="000000"/>
            </w:tcBorders>
          </w:tcPr>
          <w:p>
            <w:pPr>
              <w:pStyle w:val="TableParagraph"/>
              <w:spacing w:line="230" w:lineRule="exact"/>
              <w:rPr>
                <w:sz w:val="20"/>
              </w:rPr>
            </w:pPr>
            <w:r>
              <w:rPr>
                <w:sz w:val="20"/>
              </w:rPr>
              <w:t>Económico</w:t>
            </w:r>
          </w:p>
        </w:tc>
        <w:tc>
          <w:tcPr>
            <w:tcW w:w="3084" w:type="dxa"/>
            <w:tcBorders>
              <w:bottom w:val="double" w:sz="3" w:space="0" w:color="000000"/>
            </w:tcBorders>
          </w:tcPr>
          <w:p>
            <w:pPr>
              <w:pStyle w:val="TableParagraph"/>
              <w:numPr>
                <w:ilvl w:val="0"/>
                <w:numId w:val="132"/>
              </w:numPr>
              <w:tabs>
                <w:tab w:pos="812" w:val="left" w:leader="none"/>
                <w:tab w:pos="2147" w:val="left" w:leader="none"/>
                <w:tab w:pos="2568" w:val="left" w:leader="none"/>
              </w:tabs>
              <w:spacing w:line="240" w:lineRule="auto" w:before="0" w:after="0"/>
              <w:ind w:left="280" w:right="105" w:hanging="141"/>
              <w:jc w:val="both"/>
              <w:rPr>
                <w:sz w:val="20"/>
              </w:rPr>
            </w:pPr>
            <w:r>
              <w:rPr>
                <w:sz w:val="20"/>
              </w:rPr>
              <w:t>Existen</w:t>
              <w:tab/>
            </w:r>
            <w:r>
              <w:rPr>
                <w:w w:val="95"/>
                <w:sz w:val="20"/>
              </w:rPr>
              <w:t>acuerdos </w:t>
            </w:r>
            <w:r>
              <w:rPr>
                <w:sz w:val="20"/>
              </w:rPr>
              <w:t>intermunicipales</w:t>
              <w:tab/>
              <w:tab/>
            </w:r>
            <w:r>
              <w:rPr>
                <w:w w:val="95"/>
                <w:sz w:val="20"/>
              </w:rPr>
              <w:t>para </w:t>
            </w:r>
            <w:r>
              <w:rPr>
                <w:sz w:val="20"/>
              </w:rPr>
              <w:t>distribuir equitativamente los recursos</w:t>
            </w:r>
            <w:r>
              <w:rPr>
                <w:spacing w:val="-6"/>
                <w:sz w:val="20"/>
              </w:rPr>
              <w:t> </w:t>
            </w:r>
            <w:r>
              <w:rPr>
                <w:sz w:val="20"/>
              </w:rPr>
              <w:t>naturales</w:t>
            </w:r>
          </w:p>
          <w:p>
            <w:pPr>
              <w:pStyle w:val="TableParagraph"/>
              <w:numPr>
                <w:ilvl w:val="0"/>
                <w:numId w:val="132"/>
              </w:numPr>
              <w:tabs>
                <w:tab w:pos="812" w:val="left" w:leader="none"/>
                <w:tab w:pos="2147" w:val="left" w:leader="none"/>
              </w:tabs>
              <w:spacing w:line="240" w:lineRule="auto" w:before="0" w:after="0"/>
              <w:ind w:left="280" w:right="106" w:hanging="141"/>
              <w:jc w:val="both"/>
              <w:rPr>
                <w:sz w:val="20"/>
              </w:rPr>
            </w:pPr>
            <w:r>
              <w:rPr>
                <w:sz w:val="20"/>
              </w:rPr>
              <w:t>Existe</w:t>
              <w:tab/>
            </w:r>
            <w:r>
              <w:rPr>
                <w:w w:val="95"/>
                <w:sz w:val="20"/>
              </w:rPr>
              <w:t>acuerdos </w:t>
            </w:r>
            <w:r>
              <w:rPr>
                <w:sz w:val="20"/>
              </w:rPr>
              <w:t>intermunicipales para cuidar los recursos</w:t>
            </w:r>
            <w:r>
              <w:rPr>
                <w:spacing w:val="-6"/>
                <w:sz w:val="20"/>
              </w:rPr>
              <w:t> </w:t>
            </w:r>
            <w:r>
              <w:rPr>
                <w:sz w:val="20"/>
              </w:rPr>
              <w:t>naturales</w:t>
            </w:r>
          </w:p>
        </w:tc>
        <w:tc>
          <w:tcPr>
            <w:tcW w:w="1476" w:type="dxa"/>
            <w:tcBorders>
              <w:bottom w:val="double" w:sz="3" w:space="0" w:color="000000"/>
            </w:tcBorders>
          </w:tcPr>
          <w:p>
            <w:pPr/>
          </w:p>
        </w:tc>
        <w:tc>
          <w:tcPr>
            <w:tcW w:w="2456" w:type="dxa"/>
            <w:vMerge/>
            <w:tcBorders>
              <w:bottom w:val="double" w:sz="3" w:space="0" w:color="000000"/>
            </w:tcBorders>
          </w:tcPr>
          <w:p>
            <w:pPr/>
          </w:p>
        </w:tc>
        <w:tc>
          <w:tcPr>
            <w:tcW w:w="1622" w:type="dxa"/>
            <w:vMerge/>
            <w:tcBorders>
              <w:bottom w:val="double" w:sz="3" w:space="0" w:color="000000"/>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7"/>
        <w:gridCol w:w="1352"/>
        <w:gridCol w:w="3084"/>
        <w:gridCol w:w="1476"/>
        <w:gridCol w:w="2456"/>
        <w:gridCol w:w="1622"/>
      </w:tblGrid>
      <w:tr>
        <w:trPr>
          <w:trHeight w:val="994" w:hRule="exact"/>
        </w:trPr>
        <w:tc>
          <w:tcPr>
            <w:tcW w:w="954" w:type="dxa"/>
            <w:tcBorders>
              <w:left w:val="double" w:sz="11" w:space="0" w:color="000000"/>
            </w:tcBorders>
          </w:tcPr>
          <w:p>
            <w:pPr>
              <w:pStyle w:val="TableParagraph"/>
              <w:spacing w:before="7"/>
              <w:ind w:left="209" w:right="212"/>
              <w:jc w:val="center"/>
              <w:rPr>
                <w:sz w:val="20"/>
              </w:rPr>
            </w:pPr>
            <w:r>
              <w:rPr>
                <w:sz w:val="20"/>
              </w:rPr>
              <w:t>1861</w:t>
            </w:r>
          </w:p>
        </w:tc>
        <w:tc>
          <w:tcPr>
            <w:tcW w:w="1877" w:type="dxa"/>
            <w:vMerge w:val="restart"/>
          </w:tcPr>
          <w:p>
            <w:pPr/>
          </w:p>
        </w:tc>
        <w:tc>
          <w:tcPr>
            <w:tcW w:w="1352" w:type="dxa"/>
            <w:vMerge w:val="restart"/>
          </w:tcPr>
          <w:p>
            <w:pPr/>
          </w:p>
        </w:tc>
        <w:tc>
          <w:tcPr>
            <w:tcW w:w="3084" w:type="dxa"/>
            <w:vMerge w:val="restart"/>
          </w:tcPr>
          <w:p>
            <w:pPr>
              <w:pStyle w:val="TableParagraph"/>
              <w:numPr>
                <w:ilvl w:val="0"/>
                <w:numId w:val="133"/>
              </w:numPr>
              <w:tabs>
                <w:tab w:pos="812" w:val="left" w:leader="none"/>
              </w:tabs>
              <w:spacing w:line="240" w:lineRule="auto" w:before="7" w:after="0"/>
              <w:ind w:left="280" w:right="104" w:hanging="141"/>
              <w:jc w:val="both"/>
              <w:rPr>
                <w:sz w:val="20"/>
              </w:rPr>
            </w:pPr>
            <w:r>
              <w:rPr>
                <w:sz w:val="20"/>
              </w:rPr>
              <w:t>Existe coordinación económica entre actores de la CHPH para un crecimiento equilibrado</w:t>
            </w:r>
          </w:p>
        </w:tc>
        <w:tc>
          <w:tcPr>
            <w:tcW w:w="1476" w:type="dxa"/>
            <w:vMerge w:val="restart"/>
          </w:tcPr>
          <w:p>
            <w:pPr/>
          </w:p>
        </w:tc>
        <w:tc>
          <w:tcPr>
            <w:tcW w:w="2456" w:type="dxa"/>
            <w:vMerge w:val="restart"/>
          </w:tcPr>
          <w:p>
            <w:pPr/>
          </w:p>
        </w:tc>
        <w:tc>
          <w:tcPr>
            <w:tcW w:w="1622" w:type="dxa"/>
            <w:vMerge w:val="restart"/>
            <w:tcBorders>
              <w:right w:val="double" w:sz="12" w:space="0" w:color="000000"/>
            </w:tcBorders>
            <w:shd w:val="clear" w:color="auto" w:fill="FF0000"/>
          </w:tcPr>
          <w:p>
            <w:pPr/>
          </w:p>
        </w:tc>
      </w:tr>
      <w:tr>
        <w:trPr>
          <w:trHeight w:val="982"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4"/>
              </w:rPr>
            </w:pPr>
          </w:p>
          <w:p>
            <w:pPr>
              <w:pStyle w:val="TableParagraph"/>
              <w:ind w:left="209" w:right="212"/>
              <w:jc w:val="center"/>
              <w:rPr>
                <w:sz w:val="20"/>
              </w:rPr>
            </w:pPr>
            <w:r>
              <w:rPr>
                <w:sz w:val="20"/>
              </w:rPr>
              <w:t>1910</w:t>
            </w:r>
          </w:p>
        </w:tc>
        <w:tc>
          <w:tcPr>
            <w:tcW w:w="1877" w:type="dxa"/>
            <w:vMerge/>
          </w:tcPr>
          <w:p>
            <w:pPr/>
          </w:p>
        </w:tc>
        <w:tc>
          <w:tcPr>
            <w:tcW w:w="1352" w:type="dxa"/>
            <w:vMerge/>
          </w:tcPr>
          <w:p>
            <w:pPr/>
          </w:p>
        </w:tc>
        <w:tc>
          <w:tcPr>
            <w:tcW w:w="3084" w:type="dxa"/>
            <w:vMerge/>
          </w:tcPr>
          <w:p>
            <w:pPr/>
          </w:p>
        </w:tc>
        <w:tc>
          <w:tcPr>
            <w:tcW w:w="1476" w:type="dxa"/>
            <w:vMerge/>
          </w:tcPr>
          <w:p>
            <w:pPr/>
          </w:p>
        </w:tc>
        <w:tc>
          <w:tcPr>
            <w:tcW w:w="2456" w:type="dxa"/>
            <w:vMerge/>
          </w:tcPr>
          <w:p>
            <w:pPr/>
          </w:p>
        </w:tc>
        <w:tc>
          <w:tcPr>
            <w:tcW w:w="1622" w:type="dxa"/>
            <w:vMerge/>
            <w:tcBorders>
              <w:right w:val="double" w:sz="12" w:space="0" w:color="000000"/>
            </w:tcBorders>
            <w:shd w:val="clear" w:color="auto" w:fill="FF0000"/>
          </w:tcPr>
          <w:p>
            <w:pPr/>
          </w:p>
        </w:tc>
      </w:tr>
      <w:tr>
        <w:trPr>
          <w:trHeight w:val="1851"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9"/>
              </w:rPr>
            </w:pPr>
          </w:p>
          <w:p>
            <w:pPr>
              <w:pStyle w:val="TableParagraph"/>
              <w:spacing w:before="1"/>
              <w:ind w:left="209" w:right="212"/>
              <w:jc w:val="center"/>
              <w:rPr>
                <w:sz w:val="20"/>
              </w:rPr>
            </w:pPr>
            <w:r>
              <w:rPr>
                <w:sz w:val="20"/>
              </w:rPr>
              <w:t>1940</w:t>
            </w:r>
          </w:p>
        </w:tc>
        <w:tc>
          <w:tcPr>
            <w:tcW w:w="1877" w:type="dxa"/>
            <w:vMerge/>
          </w:tcPr>
          <w:p>
            <w:pPr/>
          </w:p>
        </w:tc>
        <w:tc>
          <w:tcPr>
            <w:tcW w:w="1352" w:type="dxa"/>
            <w:vMerge w:val="restart"/>
          </w:tcPr>
          <w:p>
            <w:pPr>
              <w:pStyle w:val="TableParagraph"/>
              <w:rPr>
                <w:sz w:val="20"/>
              </w:rPr>
            </w:pPr>
            <w:r>
              <w:rPr>
                <w:sz w:val="20"/>
              </w:rPr>
              <w:t>Sociopolítico</w:t>
            </w:r>
          </w:p>
        </w:tc>
        <w:tc>
          <w:tcPr>
            <w:tcW w:w="3084" w:type="dxa"/>
            <w:vMerge w:val="restart"/>
          </w:tcPr>
          <w:p>
            <w:pPr>
              <w:pStyle w:val="TableParagraph"/>
              <w:ind w:left="280" w:right="104" w:hanging="178"/>
              <w:jc w:val="both"/>
              <w:rPr>
                <w:sz w:val="20"/>
              </w:rPr>
            </w:pPr>
            <w:r>
              <w:rPr>
                <w:rFonts w:ascii="Wingdings" w:hAnsi="Wingdings"/>
                <w:spacing w:val="2"/>
                <w:sz w:val="20"/>
              </w:rPr>
              <w:t></w:t>
            </w:r>
            <w:r>
              <w:rPr>
                <w:spacing w:val="2"/>
                <w:sz w:val="20"/>
              </w:rPr>
              <w:t>Favorece </w:t>
            </w:r>
            <w:r>
              <w:rPr>
                <w:sz w:val="20"/>
              </w:rPr>
              <w:t>la voluntariedad de los cabildos y de los actores históricos para cuidar el  medio ambiente de la</w:t>
            </w:r>
            <w:r>
              <w:rPr>
                <w:spacing w:val="-7"/>
                <w:sz w:val="20"/>
              </w:rPr>
              <w:t> </w:t>
            </w:r>
            <w:r>
              <w:rPr>
                <w:sz w:val="20"/>
              </w:rPr>
              <w:t>CHPH</w:t>
            </w:r>
          </w:p>
          <w:p>
            <w:pPr>
              <w:pStyle w:val="TableParagraph"/>
              <w:ind w:left="280" w:right="104" w:hanging="178"/>
              <w:jc w:val="both"/>
              <w:rPr>
                <w:sz w:val="20"/>
              </w:rPr>
            </w:pPr>
            <w:r>
              <w:rPr>
                <w:rFonts w:ascii="Wingdings" w:hAnsi="Wingdings"/>
                <w:sz w:val="20"/>
              </w:rPr>
              <w:t></w:t>
            </w:r>
            <w:r>
              <w:rPr>
                <w:sz w:val="20"/>
              </w:rPr>
              <w:t>Favorece la organización sociopolítica de los actores de la CHPH para cuidar el medio ambiente</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spacing w:before="1"/>
              <w:ind w:left="280" w:right="104" w:hanging="178"/>
              <w:jc w:val="both"/>
              <w:rPr>
                <w:sz w:val="20"/>
              </w:rPr>
            </w:pPr>
            <w:r>
              <w:rPr>
                <w:rFonts w:ascii="Wingdings" w:hAnsi="Wingdings"/>
                <w:sz w:val="20"/>
              </w:rPr>
              <w:t></w:t>
            </w:r>
            <w:r>
              <w:rPr>
                <w:sz w:val="20"/>
              </w:rPr>
              <w:t>Favorece la planeación sociopolítica con articulación entre actores</w:t>
            </w:r>
          </w:p>
        </w:tc>
        <w:tc>
          <w:tcPr>
            <w:tcW w:w="1476" w:type="dxa"/>
            <w:vMerge/>
          </w:tcPr>
          <w:p>
            <w:pPr/>
          </w:p>
        </w:tc>
        <w:tc>
          <w:tcPr>
            <w:tcW w:w="2456" w:type="dxa"/>
            <w:vMerge/>
          </w:tcPr>
          <w:p>
            <w:pPr/>
          </w:p>
        </w:tc>
        <w:tc>
          <w:tcPr>
            <w:tcW w:w="1622" w:type="dxa"/>
            <w:vMerge/>
            <w:tcBorders>
              <w:right w:val="double" w:sz="12" w:space="0" w:color="000000"/>
            </w:tcBorders>
            <w:shd w:val="clear" w:color="auto" w:fill="FF0000"/>
          </w:tcPr>
          <w:p>
            <w:pPr/>
          </w:p>
        </w:tc>
      </w:tr>
      <w:tr>
        <w:trPr>
          <w:trHeight w:val="535" w:hRule="exact"/>
        </w:trPr>
        <w:tc>
          <w:tcPr>
            <w:tcW w:w="954" w:type="dxa"/>
            <w:tcBorders>
              <w:left w:val="double" w:sz="11" w:space="0" w:color="000000"/>
            </w:tcBorders>
          </w:tcPr>
          <w:p>
            <w:pPr>
              <w:pStyle w:val="TableParagraph"/>
              <w:spacing w:before="146"/>
              <w:ind w:left="209" w:right="212"/>
              <w:jc w:val="center"/>
              <w:rPr>
                <w:sz w:val="20"/>
              </w:rPr>
            </w:pPr>
            <w:r>
              <w:rPr>
                <w:sz w:val="20"/>
              </w:rPr>
              <w:t>1982</w:t>
            </w:r>
          </w:p>
        </w:tc>
        <w:tc>
          <w:tcPr>
            <w:tcW w:w="1877" w:type="dxa"/>
            <w:vMerge/>
          </w:tcPr>
          <w:p>
            <w:pPr/>
          </w:p>
        </w:tc>
        <w:tc>
          <w:tcPr>
            <w:tcW w:w="1352" w:type="dxa"/>
            <w:vMerge/>
          </w:tcPr>
          <w:p>
            <w:pPr/>
          </w:p>
        </w:tc>
        <w:tc>
          <w:tcPr>
            <w:tcW w:w="3084" w:type="dxa"/>
            <w:vMerge/>
          </w:tcPr>
          <w:p>
            <w:pPr/>
          </w:p>
        </w:tc>
        <w:tc>
          <w:tcPr>
            <w:tcW w:w="1476" w:type="dxa"/>
            <w:vMerge/>
          </w:tcPr>
          <w:p>
            <w:pPr/>
          </w:p>
        </w:tc>
        <w:tc>
          <w:tcPr>
            <w:tcW w:w="2456" w:type="dxa"/>
            <w:vMerge/>
          </w:tcPr>
          <w:p>
            <w:pPr/>
          </w:p>
        </w:tc>
        <w:tc>
          <w:tcPr>
            <w:tcW w:w="1622" w:type="dxa"/>
            <w:vMerge/>
            <w:tcBorders>
              <w:right w:val="double" w:sz="12" w:space="0" w:color="000000"/>
            </w:tcBorders>
            <w:shd w:val="clear" w:color="auto" w:fill="FF0000"/>
          </w:tcPr>
          <w:p>
            <w:pPr/>
          </w:p>
        </w:tc>
      </w:tr>
      <w:tr>
        <w:trPr>
          <w:trHeight w:val="845" w:hRule="exact"/>
        </w:trPr>
        <w:tc>
          <w:tcPr>
            <w:tcW w:w="954" w:type="dxa"/>
            <w:tcBorders>
              <w:left w:val="double" w:sz="11" w:space="0" w:color="000000"/>
            </w:tcBorders>
          </w:tcPr>
          <w:p>
            <w:pPr>
              <w:pStyle w:val="TableParagraph"/>
              <w:spacing w:before="1"/>
              <w:ind w:left="0"/>
              <w:rPr>
                <w:rFonts w:ascii="Times New Roman"/>
                <w:sz w:val="26"/>
              </w:rPr>
            </w:pPr>
          </w:p>
          <w:p>
            <w:pPr>
              <w:pStyle w:val="TableParagraph"/>
              <w:ind w:left="209" w:right="212"/>
              <w:jc w:val="center"/>
              <w:rPr>
                <w:sz w:val="20"/>
              </w:rPr>
            </w:pPr>
            <w:r>
              <w:rPr>
                <w:sz w:val="20"/>
              </w:rPr>
              <w:t>2016</w:t>
            </w:r>
          </w:p>
        </w:tc>
        <w:tc>
          <w:tcPr>
            <w:tcW w:w="1877" w:type="dxa"/>
            <w:vMerge/>
          </w:tcPr>
          <w:p>
            <w:pPr/>
          </w:p>
        </w:tc>
        <w:tc>
          <w:tcPr>
            <w:tcW w:w="1352" w:type="dxa"/>
            <w:vMerge/>
          </w:tcPr>
          <w:p>
            <w:pPr/>
          </w:p>
        </w:tc>
        <w:tc>
          <w:tcPr>
            <w:tcW w:w="3084" w:type="dxa"/>
            <w:vMerge/>
          </w:tcPr>
          <w:p>
            <w:pPr/>
          </w:p>
        </w:tc>
        <w:tc>
          <w:tcPr>
            <w:tcW w:w="1476" w:type="dxa"/>
            <w:vMerge/>
          </w:tcPr>
          <w:p>
            <w:pPr/>
          </w:p>
        </w:tc>
        <w:tc>
          <w:tcPr>
            <w:tcW w:w="2456" w:type="dxa"/>
            <w:vMerge/>
          </w:tcPr>
          <w:p>
            <w:pPr/>
          </w:p>
        </w:tc>
        <w:tc>
          <w:tcPr>
            <w:tcW w:w="1622" w:type="dxa"/>
            <w:vMerge/>
            <w:tcBorders>
              <w:right w:val="double" w:sz="12" w:space="0" w:color="000000"/>
            </w:tcBorders>
            <w:shd w:val="clear" w:color="auto" w:fill="FF0000"/>
          </w:tcPr>
          <w:p>
            <w:pPr/>
          </w:p>
        </w:tc>
      </w:tr>
      <w:tr>
        <w:trPr>
          <w:trHeight w:val="3301"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gabinete y campo García, 2013-2015.</w:t>
            </w:r>
          </w:p>
          <w:p>
            <w:pPr>
              <w:pStyle w:val="TableParagraph"/>
              <w:ind w:left="0"/>
              <w:rPr>
                <w:rFonts w:ascii="Times New Roman"/>
                <w:sz w:val="22"/>
              </w:rPr>
            </w:pPr>
          </w:p>
          <w:p>
            <w:pPr>
              <w:pStyle w:val="TableParagraph"/>
              <w:ind w:left="27"/>
              <w:jc w:val="both"/>
              <w:rPr>
                <w:b/>
                <w:sz w:val="22"/>
              </w:rPr>
            </w:pPr>
            <w:r>
              <w:rPr>
                <w:b/>
                <w:sz w:val="22"/>
              </w:rPr>
              <w:t>Interpretación de la anterior gráfica y la tarjeta de valoración:</w:t>
            </w:r>
          </w:p>
          <w:p>
            <w:pPr>
              <w:pStyle w:val="TableParagraph"/>
              <w:spacing w:before="4"/>
              <w:ind w:left="27" w:right="24"/>
              <w:jc w:val="both"/>
              <w:rPr>
                <w:sz w:val="22"/>
              </w:rPr>
            </w:pPr>
            <w:r>
              <w:rPr>
                <w:sz w:val="22"/>
              </w:rPr>
              <w:t>- Aunque el municipio en México tiene sus orígenes en la época prehispánica con los </w:t>
            </w:r>
            <w:r>
              <w:rPr>
                <w:i/>
                <w:sz w:val="22"/>
              </w:rPr>
              <w:t>Tlahtocayos</w:t>
            </w:r>
            <w:r>
              <w:rPr>
                <w:sz w:val="22"/>
              </w:rPr>
              <w:t>, fue hasta la Constitución de Cádiz de 1812 que se constituyó formalmente, dicho evento histórico permitió que se decretaran los municipios de la CHPH en el siglo XIX, siendo el primero en 1861 por decreto No. 27 la Villa de Jilotepec. Sin embargo dicha institución surge con una serie de limitaciones, ya que se le atribuye sólo la administración de algunos servicios públicos y no se estipula su competencia jurídica entorno a la protección del medio ambiente en conjunto con otros municipios y a pesar de las reformas que se le han hecho al artículo 115, el municipio sigue estando supeditado al sistema federal y estatal, lo cual no le permite tener la “autonomía y soberanía” que tanto se pregonan en su territorio, por lo que las relaciones intermunicipales de los cabildos en materia de medio ambiente no existen en la CHPH, sin embargo el derecho consuetudinario de usos y costumbres sí permite la asociación de actores de los distintos municipios que conforman la cuenca, por tal motivo es un nicho que puede ser explotado para crear un Comité Intermunicipal Para Cuidar, Defender y Administrar los recursos naturales con su reglamento.</w:t>
            </w:r>
          </w:p>
        </w:tc>
      </w:tr>
    </w:tbl>
    <w:p>
      <w:pPr>
        <w:spacing w:after="0"/>
        <w:jc w:val="both"/>
        <w:rPr>
          <w:sz w:val="22"/>
        </w:rPr>
        <w:sectPr>
          <w:footerReference w:type="default" r:id="rId352"/>
          <w:pgSz w:w="15840" w:h="12240" w:orient="landscape"/>
          <w:pgMar w:footer="943" w:header="0" w:top="1140" w:bottom="1140" w:left="1200" w:right="1300"/>
          <w:pgNumType w:start="6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338"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022" w:hRule="exact"/>
        </w:trPr>
        <w:tc>
          <w:tcPr>
            <w:tcW w:w="12897" w:type="dxa"/>
          </w:tcPr>
          <w:p>
            <w:pPr>
              <w:pStyle w:val="TableParagraph"/>
              <w:ind w:right="163"/>
              <w:rPr>
                <w:sz w:val="22"/>
              </w:rPr>
            </w:pPr>
            <w:r>
              <w:rPr>
                <w:sz w:val="22"/>
              </w:rPr>
              <w:t>Permitió identificar la nula interrelación municipal en la CHPH para cuidar el medio ambiente y los recursos hídricos como la presa</w:t>
            </w:r>
            <w:r>
              <w:rPr>
                <w:spacing w:val="-4"/>
                <w:sz w:val="22"/>
              </w:rPr>
              <w:t> </w:t>
            </w:r>
            <w:r>
              <w:rPr>
                <w:sz w:val="22"/>
              </w:rPr>
              <w:t>Huapango.</w:t>
            </w:r>
          </w:p>
          <w:p>
            <w:pPr>
              <w:pStyle w:val="TableParagraph"/>
              <w:ind w:right="12"/>
              <w:rPr>
                <w:sz w:val="22"/>
              </w:rPr>
            </w:pPr>
            <w:r>
              <w:rPr>
                <w:sz w:val="22"/>
              </w:rPr>
              <w:t>- Sirvió de guía de explicación para la elaboración de la propuesta de creación de un Comité Intermunicipal con su reglamento en la 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517" w:hRule="exact"/>
        </w:trPr>
        <w:tc>
          <w:tcPr>
            <w:tcW w:w="12897" w:type="dxa"/>
          </w:tcPr>
          <w:p>
            <w:pPr>
              <w:pStyle w:val="TableParagraph"/>
              <w:spacing w:line="252" w:lineRule="exact" w:before="2"/>
              <w:ind w:right="163"/>
              <w:rPr>
                <w:sz w:val="22"/>
              </w:rPr>
            </w:pPr>
            <w:r>
              <w:rPr>
                <w:sz w:val="22"/>
              </w:rPr>
              <w:t>- Se requiere que los cabildos municipales tengan facultades para asociarse, no sólo para la prestación de algunos servicios públicos como lo establece la ley, sino para preservar sus recursos naturales por la vía democrática y participativa.</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292" w:right="105"/>
              <w:rPr>
                <w:b/>
                <w:sz w:val="22"/>
              </w:rPr>
            </w:pPr>
            <w:r>
              <w:rPr>
                <w:b/>
                <w:sz w:val="22"/>
              </w:rPr>
              <w:t>Cooperación ambiental_1</w:t>
            </w:r>
          </w:p>
        </w:tc>
        <w:tc>
          <w:tcPr>
            <w:tcW w:w="3277" w:type="dxa"/>
            <w:gridSpan w:val="3"/>
            <w:vMerge w:val="restart"/>
          </w:tcPr>
          <w:p>
            <w:pPr>
              <w:pStyle w:val="TableParagraph"/>
              <w:ind w:left="100" w:right="103"/>
              <w:jc w:val="both"/>
              <w:rPr>
                <w:sz w:val="22"/>
              </w:rPr>
            </w:pPr>
            <w:r>
              <w:rPr>
                <w:sz w:val="22"/>
              </w:rPr>
              <w:t>Identificar la inhibición del trabajo común de los actores de los municipios de la CHPH en materia ambiental.</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07"/>
              <w:rPr>
                <w:b/>
                <w:sz w:val="22"/>
              </w:rPr>
            </w:pPr>
            <w:r>
              <w:rPr>
                <w:b/>
                <w:sz w:val="22"/>
              </w:rPr>
              <w:t>17.063/ 18.055</w:t>
            </w:r>
          </w:p>
        </w:tc>
        <w:tc>
          <w:tcPr>
            <w:tcW w:w="1985" w:type="dxa"/>
            <w:gridSpan w:val="2"/>
          </w:tcPr>
          <w:p>
            <w:pPr>
              <w:pStyle w:val="TableParagraph"/>
              <w:spacing w:line="248" w:lineRule="exact"/>
              <w:ind w:left="0"/>
              <w:jc w:val="center"/>
              <w:rPr>
                <w:b/>
                <w:sz w:val="22"/>
              </w:rPr>
            </w:pPr>
            <w:r>
              <w:rPr>
                <w:b/>
                <w:sz w:val="22"/>
              </w:rPr>
              <w:t>94.5%</w:t>
            </w:r>
          </w:p>
        </w:tc>
        <w:tc>
          <w:tcPr>
            <w:tcW w:w="2268" w:type="dxa"/>
            <w:gridSpan w:val="2"/>
          </w:tcPr>
          <w:p>
            <w:pPr>
              <w:pStyle w:val="TableParagraph"/>
              <w:spacing w:line="248" w:lineRule="exact"/>
              <w:ind w:left="136" w:right="136"/>
              <w:jc w:val="center"/>
              <w:rPr>
                <w:b/>
                <w:sz w:val="22"/>
              </w:rPr>
            </w:pPr>
            <w:r>
              <w:rPr>
                <w:b/>
                <w:sz w:val="22"/>
              </w:rPr>
              <w:t>16.125</w:t>
            </w:r>
          </w:p>
        </w:tc>
        <w:tc>
          <w:tcPr>
            <w:tcW w:w="3274" w:type="dxa"/>
            <w:gridSpan w:val="5"/>
            <w:vMerge/>
          </w:tcPr>
          <w:p>
            <w:pPr/>
          </w:p>
        </w:tc>
        <w:tc>
          <w:tcPr>
            <w:tcW w:w="3277" w:type="dxa"/>
            <w:gridSpan w:val="3"/>
            <w:vMerge/>
          </w:tcPr>
          <w:p>
            <w:pPr/>
          </w:p>
        </w:tc>
      </w:tr>
      <w:tr>
        <w:trPr>
          <w:trHeight w:val="262" w:hRule="exact"/>
        </w:trPr>
        <w:tc>
          <w:tcPr>
            <w:tcW w:w="2093" w:type="dxa"/>
            <w:gridSpan w:val="2"/>
            <w:shd w:val="clear" w:color="auto" w:fill="76923B"/>
          </w:tcPr>
          <w:p>
            <w:pPr>
              <w:pStyle w:val="TableParagraph"/>
              <w:spacing w:line="248" w:lineRule="exact"/>
              <w:ind w:left="0" w:right="1"/>
              <w:jc w:val="center"/>
              <w:rPr>
                <w:b/>
                <w:sz w:val="22"/>
              </w:rPr>
            </w:pPr>
            <w:r>
              <w:rPr>
                <w:b/>
                <w:w w:val="100"/>
                <w:sz w:val="22"/>
              </w:rPr>
              <w:t>1</w:t>
            </w:r>
          </w:p>
        </w:tc>
        <w:tc>
          <w:tcPr>
            <w:tcW w:w="1985" w:type="dxa"/>
            <w:gridSpan w:val="2"/>
            <w:tcBorders>
              <w:left w:val="single" w:sz="45" w:space="0" w:color="76923B"/>
            </w:tcBorders>
          </w:tcPr>
          <w:p>
            <w:pPr>
              <w:pStyle w:val="TableParagraph"/>
              <w:spacing w:line="248" w:lineRule="exact"/>
              <w:ind w:left="0" w:right="49"/>
              <w:jc w:val="center"/>
              <w:rPr>
                <w:b/>
                <w:sz w:val="22"/>
              </w:rPr>
            </w:pPr>
            <w:r>
              <w:rPr>
                <w:b/>
                <w:w w:val="100"/>
                <w:sz w:val="22"/>
              </w:rPr>
              <w:t>2</w:t>
            </w:r>
          </w:p>
        </w:tc>
        <w:tc>
          <w:tcPr>
            <w:tcW w:w="2268" w:type="dxa"/>
            <w:gridSpan w:val="2"/>
            <w:tcBorders>
              <w:right w:val="single" w:sz="41" w:space="0" w:color="76923B"/>
            </w:tcBorders>
          </w:tcPr>
          <w:p>
            <w:pPr>
              <w:pStyle w:val="TableParagraph"/>
              <w:spacing w:line="248" w:lineRule="exact"/>
              <w:ind w:left="47"/>
              <w:jc w:val="center"/>
              <w:rPr>
                <w:b/>
                <w:sz w:val="22"/>
              </w:rPr>
            </w:pPr>
            <w:r>
              <w:rPr>
                <w:b/>
                <w:w w:val="100"/>
                <w:sz w:val="22"/>
              </w:rPr>
              <w:t>3</w:t>
            </w:r>
          </w:p>
        </w:tc>
        <w:tc>
          <w:tcPr>
            <w:tcW w:w="1701" w:type="dxa"/>
            <w:gridSpan w:val="2"/>
            <w:shd w:val="clear" w:color="auto" w:fill="76923B"/>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76923B"/>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2" w:right="492"/>
              <w:jc w:val="center"/>
              <w:rPr>
                <w:b/>
                <w:sz w:val="22"/>
              </w:rPr>
            </w:pPr>
            <w:r>
              <w:rPr>
                <w:b/>
                <w:sz w:val="22"/>
              </w:rPr>
              <w:t>125</w:t>
            </w:r>
          </w:p>
        </w:tc>
        <w:tc>
          <w:tcPr>
            <w:tcW w:w="2127" w:type="dxa"/>
            <w:gridSpan w:val="3"/>
            <w:shd w:val="clear" w:color="auto" w:fill="92CDDC"/>
          </w:tcPr>
          <w:p>
            <w:pPr>
              <w:pStyle w:val="TableParagraph"/>
              <w:spacing w:line="248" w:lineRule="exact"/>
              <w:ind w:left="0"/>
              <w:jc w:val="center"/>
              <w:rPr>
                <w:b/>
                <w:sz w:val="22"/>
              </w:rPr>
            </w:pPr>
            <w:r>
              <w:rPr>
                <w:b/>
                <w:w w:val="100"/>
                <w:sz w:val="22"/>
              </w:rPr>
              <w:t>7</w:t>
            </w:r>
          </w:p>
        </w:tc>
        <w:tc>
          <w:tcPr>
            <w:tcW w:w="2410" w:type="dxa"/>
            <w:gridSpan w:val="3"/>
            <w:shd w:val="clear" w:color="auto" w:fill="92CDDC"/>
          </w:tcPr>
          <w:p>
            <w:pPr>
              <w:pStyle w:val="TableParagraph"/>
              <w:spacing w:line="248" w:lineRule="exact"/>
              <w:ind w:left="782" w:right="780"/>
              <w:jc w:val="center"/>
              <w:rPr>
                <w:b/>
                <w:sz w:val="22"/>
              </w:rPr>
            </w:pPr>
            <w:r>
              <w:rPr>
                <w:b/>
                <w:sz w:val="22"/>
              </w:rPr>
              <w:t>1.00</w:t>
            </w:r>
          </w:p>
        </w:tc>
        <w:tc>
          <w:tcPr>
            <w:tcW w:w="1844" w:type="dxa"/>
            <w:gridSpan w:val="2"/>
            <w:shd w:val="clear" w:color="auto" w:fill="F9BE8F"/>
          </w:tcPr>
          <w:p>
            <w:pPr>
              <w:pStyle w:val="TableParagraph"/>
              <w:spacing w:line="248" w:lineRule="exact"/>
              <w:ind w:left="774" w:right="774"/>
              <w:jc w:val="center"/>
              <w:rPr>
                <w:b/>
                <w:sz w:val="22"/>
              </w:rPr>
            </w:pPr>
            <w:r>
              <w:rPr>
                <w:b/>
                <w:sz w:val="22"/>
              </w:rPr>
              <w:t>37</w:t>
            </w:r>
          </w:p>
        </w:tc>
        <w:tc>
          <w:tcPr>
            <w:tcW w:w="2126" w:type="dxa"/>
            <w:gridSpan w:val="3"/>
            <w:shd w:val="clear" w:color="auto" w:fill="F9BE8F"/>
          </w:tcPr>
          <w:p>
            <w:pPr>
              <w:pStyle w:val="TableParagraph"/>
              <w:spacing w:line="248" w:lineRule="exact"/>
              <w:ind w:left="0"/>
              <w:jc w:val="center"/>
              <w:rPr>
                <w:b/>
                <w:sz w:val="22"/>
              </w:rPr>
            </w:pPr>
            <w:r>
              <w:rPr>
                <w:b/>
                <w:w w:val="100"/>
                <w:sz w:val="22"/>
              </w:rPr>
              <w:t>7</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Trabajo común, actores, CHPH, medio ambiente.</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left="729" w:right="250" w:hanging="466"/>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516" w:hRule="exact"/>
        </w:trPr>
        <w:tc>
          <w:tcPr>
            <w:tcW w:w="12897" w:type="dxa"/>
            <w:gridSpan w:val="14"/>
          </w:tcPr>
          <w:p>
            <w:pPr>
              <w:pStyle w:val="TableParagraph"/>
              <w:ind w:left="165" w:right="1356" w:hanging="63"/>
              <w:rPr>
                <w:sz w:val="22"/>
              </w:rPr>
            </w:pPr>
            <w:r>
              <w:rPr>
                <w:sz w:val="22"/>
              </w:rPr>
              <w:t>Inhibición del trabajo común de los actores de los municipios de la CHPH en materia ambiental por razones políticas. (González, 2003 y García, TC: 2013-2015).</w:t>
            </w:r>
          </w:p>
        </w:tc>
      </w:tr>
      <w:tr>
        <w:trPr>
          <w:trHeight w:val="264" w:hRule="exact"/>
        </w:trPr>
        <w:tc>
          <w:tcPr>
            <w:tcW w:w="4295" w:type="dxa"/>
            <w:gridSpan w:val="5"/>
          </w:tcPr>
          <w:p>
            <w:pPr>
              <w:pStyle w:val="TableParagraph"/>
              <w:spacing w:line="251" w:lineRule="exact"/>
              <w:ind w:left="1097" w:right="213"/>
              <w:rPr>
                <w:b/>
                <w:sz w:val="22"/>
              </w:rPr>
            </w:pPr>
            <w:r>
              <w:rPr>
                <w:b/>
                <w:sz w:val="22"/>
              </w:rPr>
              <w:t>Unidad de medición</w:t>
            </w:r>
          </w:p>
        </w:tc>
        <w:tc>
          <w:tcPr>
            <w:tcW w:w="8603" w:type="dxa"/>
            <w:gridSpan w:val="9"/>
          </w:tcPr>
          <w:p>
            <w:pPr>
              <w:pStyle w:val="TableParagraph"/>
              <w:spacing w:line="251" w:lineRule="exact"/>
              <w:ind w:left="2419" w:right="108"/>
              <w:rPr>
                <w:b/>
                <w:sz w:val="22"/>
              </w:rPr>
            </w:pPr>
            <w:r>
              <w:rPr>
                <w:b/>
                <w:sz w:val="22"/>
              </w:rPr>
              <w:t>Definición de la unidad de medición</w:t>
            </w:r>
          </w:p>
        </w:tc>
      </w:tr>
      <w:tr>
        <w:trPr>
          <w:trHeight w:val="1023" w:hRule="exact"/>
        </w:trPr>
        <w:tc>
          <w:tcPr>
            <w:tcW w:w="4295" w:type="dxa"/>
            <w:gridSpan w:val="5"/>
          </w:tcPr>
          <w:p>
            <w:pPr>
              <w:pStyle w:val="TableParagraph"/>
              <w:tabs>
                <w:tab w:pos="441" w:val="left" w:leader="none"/>
                <w:tab w:pos="899" w:val="left" w:leader="none"/>
                <w:tab w:pos="2594" w:val="left" w:leader="none"/>
              </w:tabs>
              <w:spacing w:line="242" w:lineRule="auto"/>
              <w:ind w:right="99"/>
              <w:rPr>
                <w:sz w:val="22"/>
              </w:rPr>
            </w:pPr>
            <w:r>
              <w:rPr>
                <w:sz w:val="22"/>
              </w:rPr>
              <w:t>#</w:t>
              <w:tab/>
              <w:t>de</w:t>
              <w:tab/>
              <w:t>organizaciones</w:t>
              <w:tab/>
            </w:r>
            <w:r>
              <w:rPr>
                <w:spacing w:val="-1"/>
                <w:sz w:val="22"/>
              </w:rPr>
              <w:t>intermunicipales </w:t>
            </w:r>
            <w:r>
              <w:rPr>
                <w:sz w:val="22"/>
              </w:rPr>
              <w:t>para atender el medio</w:t>
            </w:r>
            <w:r>
              <w:rPr>
                <w:spacing w:val="-10"/>
                <w:sz w:val="22"/>
              </w:rPr>
              <w:t> </w:t>
            </w:r>
            <w:r>
              <w:rPr>
                <w:sz w:val="22"/>
              </w:rPr>
              <w:t>ambiente</w:t>
            </w:r>
          </w:p>
        </w:tc>
        <w:tc>
          <w:tcPr>
            <w:tcW w:w="8603" w:type="dxa"/>
            <w:gridSpan w:val="9"/>
          </w:tcPr>
          <w:p>
            <w:pPr>
              <w:pStyle w:val="TableParagraph"/>
              <w:ind w:right="104"/>
              <w:jc w:val="both"/>
              <w:rPr>
                <w:sz w:val="22"/>
              </w:rPr>
            </w:pPr>
            <w:r>
              <w:rPr>
                <w:sz w:val="22"/>
              </w:rPr>
              <w:t>Cantidad de Instituciones sociopolíticas creadas por los actores de los municipios para sostener el medio ambiente de la CHPH (Ejemplo: aún no existen organizaciones de actores de los cinco municipios que integran la CHPH para cuidar el medio ambiente).</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27.7pt;mso-position-horizontal-relative:page;mso-position-vertical-relative:page;z-index:-3330400"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513;top:2336;width:12515;height:7587" type="#_x0000_t75" stroked="false">
              <v:imagedata r:id="rId353" o:title=""/>
            </v:shape>
            <w10:wrap type="none"/>
          </v:group>
        </w:pict>
      </w:r>
    </w:p>
    <w:p>
      <w:pPr>
        <w:pStyle w:val="BodyText"/>
        <w:spacing w:before="11"/>
        <w:rPr>
          <w:rFonts w:ascii="Times New Roman"/>
        </w:rPr>
      </w:pPr>
    </w:p>
    <w:p>
      <w:pPr>
        <w:pStyle w:val="Heading6"/>
        <w:spacing w:before="73"/>
        <w:ind w:left="5782" w:right="397"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3048">
            <wp:simplePos x="0" y="0"/>
            <wp:positionH relativeFrom="page">
              <wp:posOffset>876300</wp:posOffset>
            </wp:positionH>
            <wp:positionV relativeFrom="page">
              <wp:posOffset>1735454</wp:posOffset>
            </wp:positionV>
            <wp:extent cx="5661219" cy="2296668"/>
            <wp:effectExtent l="0" t="0" r="0" b="0"/>
            <wp:wrapNone/>
            <wp:docPr id="65" name="image229.png" descr=""/>
            <wp:cNvGraphicFramePr>
              <a:graphicFrameLocks noChangeAspect="1"/>
            </wp:cNvGraphicFramePr>
            <a:graphic>
              <a:graphicData uri="http://schemas.openxmlformats.org/drawingml/2006/picture">
                <pic:pic>
                  <pic:nvPicPr>
                    <pic:cNvPr id="66" name="image229.png"/>
                    <pic:cNvPicPr/>
                  </pic:nvPicPr>
                  <pic:blipFill>
                    <a:blip r:embed="rId354" cstate="print"/>
                    <a:stretch>
                      <a:fillRect/>
                    </a:stretch>
                  </pic:blipFill>
                  <pic:spPr>
                    <a:xfrm>
                      <a:off x="0" y="0"/>
                      <a:ext cx="5661219" cy="2296668"/>
                    </a:xfrm>
                    <a:prstGeom prst="rect">
                      <a:avLst/>
                    </a:prstGeom>
                  </pic:spPr>
                </pic:pic>
              </a:graphicData>
            </a:graphic>
          </wp:anchor>
        </w:drawing>
      </w:r>
      <w:r>
        <w:rPr/>
        <w:pict>
          <v:shape style="position:absolute;margin-left:524.830017pt;margin-top:148.460007pt;width:127.5pt;height:145.25pt;mso-position-horizontal-relative:page;mso-position-vertical-relative:page;z-index:1307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4" w:hRule="exact"/>
                    </w:trPr>
                    <w:tc>
                      <w:tcPr>
                        <w:tcW w:w="1034" w:type="dxa"/>
                      </w:tcPr>
                      <w:p>
                        <w:pPr>
                          <w:pStyle w:val="TableParagraph"/>
                          <w:spacing w:line="248" w:lineRule="exact"/>
                          <w:rPr>
                            <w:b/>
                            <w:sz w:val="22"/>
                          </w:rPr>
                        </w:pPr>
                        <w:r>
                          <w:rPr>
                            <w:b/>
                            <w:sz w:val="22"/>
                          </w:rPr>
                          <w:t>Período</w:t>
                        </w:r>
                      </w:p>
                    </w:tc>
                    <w:tc>
                      <w:tcPr>
                        <w:tcW w:w="1501" w:type="dxa"/>
                      </w:tcPr>
                      <w:p>
                        <w:pPr>
                          <w:pStyle w:val="TableParagraph"/>
                          <w:spacing w:line="248" w:lineRule="exact"/>
                          <w:rPr>
                            <w:b/>
                            <w:sz w:val="22"/>
                          </w:rPr>
                        </w:pPr>
                        <w:r>
                          <w:rPr>
                            <w:b/>
                            <w:sz w:val="22"/>
                          </w:rPr>
                          <w:t>Calificación</w:t>
                        </w:r>
                      </w:p>
                    </w:tc>
                  </w:tr>
                  <w:tr>
                    <w:trPr>
                      <w:trHeight w:val="262"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Excelente</w:t>
                        </w:r>
                      </w:p>
                    </w:tc>
                  </w:tr>
                  <w:tr>
                    <w:trPr>
                      <w:trHeight w:val="264"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rPr>
                            <w:sz w:val="22"/>
                          </w:rPr>
                        </w:pPr>
                        <w:r>
                          <w:rPr>
                            <w:sz w:val="22"/>
                          </w:rPr>
                          <w:t>1785</w:t>
                        </w:r>
                      </w:p>
                    </w:tc>
                    <w:tc>
                      <w:tcPr>
                        <w:tcW w:w="1501" w:type="dxa"/>
                      </w:tcPr>
                      <w:p>
                        <w:pPr>
                          <w:pStyle w:val="TableParagraph"/>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1810</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1861</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rPr>
                            <w:sz w:val="22"/>
                          </w:rPr>
                        </w:pPr>
                        <w:r>
                          <w:rPr>
                            <w:sz w:val="22"/>
                          </w:rPr>
                          <w:t>Regular</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159" w:hRule="exact"/>
        </w:trPr>
        <w:tc>
          <w:tcPr>
            <w:tcW w:w="12822" w:type="dxa"/>
            <w:gridSpan w:val="7"/>
          </w:tcPr>
          <w:p>
            <w:pPr>
              <w:pStyle w:val="TableParagraph"/>
              <w:spacing w:line="242" w:lineRule="auto"/>
              <w:ind w:left="27" w:right="57"/>
              <w:rPr>
                <w:sz w:val="22"/>
              </w:rPr>
            </w:pPr>
            <w:r>
              <w:rPr>
                <w:sz w:val="22"/>
              </w:rPr>
              <w:t>Para identificar el grado de cooperación de los actores de la CHPH con un impacto ambiental, sociopolítico y económico a través del tiempo se elaboró la siguiente gráfica:</w:t>
            </w:r>
          </w:p>
          <w:p>
            <w:pPr>
              <w:pStyle w:val="TableParagraph"/>
              <w:spacing w:line="247" w:lineRule="exact"/>
              <w:ind w:left="3757" w:right="57"/>
              <w:rPr>
                <w:b/>
                <w:sz w:val="22"/>
              </w:rPr>
            </w:pPr>
            <w:r>
              <w:rPr>
                <w:b/>
                <w:sz w:val="22"/>
              </w:rPr>
              <w:t>Gráfica 7.7.</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29"/>
              </w:rPr>
            </w:pPr>
          </w:p>
          <w:p>
            <w:pPr>
              <w:pStyle w:val="TableParagraph"/>
              <w:spacing w:line="51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894" w:type="dxa"/>
            <w:vMerge w:val="restart"/>
          </w:tcPr>
          <w:p>
            <w:pPr>
              <w:pStyle w:val="TableParagraph"/>
              <w:tabs>
                <w:tab w:pos="1556" w:val="left" w:leader="none"/>
              </w:tabs>
              <w:ind w:right="103"/>
              <w:jc w:val="both"/>
              <w:rPr>
                <w:sz w:val="20"/>
              </w:rPr>
            </w:pPr>
            <w:r>
              <w:rPr>
                <w:sz w:val="20"/>
              </w:rPr>
              <w:t>Clasificación por número</w:t>
              <w:tab/>
              <w:t>de eventos en el período</w:t>
            </w:r>
          </w:p>
        </w:tc>
        <w:tc>
          <w:tcPr>
            <w:tcW w:w="8344" w:type="dxa"/>
            <w:gridSpan w:val="4"/>
          </w:tcPr>
          <w:p>
            <w:pPr>
              <w:pStyle w:val="TableParagraph"/>
              <w:ind w:left="100" w:right="102"/>
              <w:rPr>
                <w:sz w:val="20"/>
              </w:rPr>
            </w:pPr>
            <w:r>
              <w:rPr>
                <w:sz w:val="20"/>
              </w:rPr>
              <w:t>Clasificación por </w:t>
            </w:r>
            <w:r>
              <w:rPr>
                <w:b/>
                <w:sz w:val="20"/>
              </w:rPr>
              <w:t>características de impacto positivo o negativo </w:t>
            </w:r>
            <w:r>
              <w:rPr>
                <w:sz w:val="20"/>
              </w:rPr>
              <w:t>en los ámbitos ambiental-sociopolítico-económico</w:t>
            </w:r>
          </w:p>
        </w:tc>
        <w:tc>
          <w:tcPr>
            <w:tcW w:w="1630" w:type="dxa"/>
            <w:vMerge w:val="restart"/>
            <w:tcBorders>
              <w:right w:val="double" w:sz="12" w:space="0" w:color="000000"/>
            </w:tcBorders>
          </w:tcPr>
          <w:p>
            <w:pPr>
              <w:pStyle w:val="TableParagraph"/>
              <w:spacing w:before="119"/>
              <w:ind w:left="238" w:right="237"/>
              <w:jc w:val="center"/>
              <w:rPr>
                <w:sz w:val="20"/>
              </w:rPr>
            </w:pPr>
            <w:r>
              <w:rPr>
                <w:w w:val="95"/>
                <w:sz w:val="20"/>
              </w:rPr>
              <w:t>Clasificación </w:t>
            </w:r>
            <w:r>
              <w:rPr>
                <w:sz w:val="20"/>
              </w:rPr>
              <w:t>de la calificación</w:t>
            </w:r>
          </w:p>
        </w:tc>
      </w:tr>
      <w:tr>
        <w:trPr>
          <w:trHeight w:val="480"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27" w:lineRule="exact"/>
              <w:ind w:left="100"/>
              <w:rPr>
                <w:sz w:val="20"/>
              </w:rPr>
            </w:pPr>
            <w:r>
              <w:rPr>
                <w:sz w:val="20"/>
              </w:rPr>
              <w:t>Subsistema</w:t>
            </w:r>
          </w:p>
        </w:tc>
        <w:tc>
          <w:tcPr>
            <w:tcW w:w="3034" w:type="dxa"/>
          </w:tcPr>
          <w:p>
            <w:pPr>
              <w:pStyle w:val="TableParagraph"/>
              <w:spacing w:line="227" w:lineRule="exact"/>
              <w:rPr>
                <w:sz w:val="20"/>
              </w:rPr>
            </w:pPr>
            <w:r>
              <w:rPr>
                <w:sz w:val="20"/>
              </w:rPr>
              <w:t>Características</w:t>
            </w:r>
          </w:p>
        </w:tc>
        <w:tc>
          <w:tcPr>
            <w:tcW w:w="1479" w:type="dxa"/>
          </w:tcPr>
          <w:p>
            <w:pPr>
              <w:pStyle w:val="TableParagraph"/>
              <w:tabs>
                <w:tab w:pos="1144" w:val="left" w:leader="none"/>
              </w:tabs>
              <w:spacing w:line="227" w:lineRule="exact"/>
              <w:rPr>
                <w:sz w:val="20"/>
              </w:rPr>
            </w:pPr>
            <w:r>
              <w:rPr>
                <w:sz w:val="20"/>
              </w:rPr>
              <w:t>%</w:t>
              <w:tab/>
              <w:t>de</w:t>
            </w:r>
          </w:p>
          <w:p>
            <w:pPr>
              <w:pStyle w:val="TableParagraph"/>
              <w:rPr>
                <w:sz w:val="20"/>
              </w:rPr>
            </w:pPr>
            <w:r>
              <w:rPr>
                <w:sz w:val="20"/>
              </w:rPr>
              <w:t>cumplimiento</w:t>
            </w:r>
          </w:p>
        </w:tc>
        <w:tc>
          <w:tcPr>
            <w:tcW w:w="2482" w:type="dxa"/>
          </w:tcPr>
          <w:p>
            <w:pPr>
              <w:pStyle w:val="TableParagraph"/>
              <w:spacing w:line="227" w:lineRule="exact"/>
              <w:rPr>
                <w:sz w:val="20"/>
              </w:rPr>
            </w:pPr>
            <w:r>
              <w:rPr>
                <w:sz w:val="20"/>
              </w:rPr>
              <w:t>Observaciones</w:t>
            </w:r>
          </w:p>
        </w:tc>
        <w:tc>
          <w:tcPr>
            <w:tcW w:w="1630"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3469"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230"/>
              <w:rPr>
                <w:sz w:val="20"/>
              </w:rPr>
            </w:pPr>
            <w:r>
              <w:rPr>
                <w:sz w:val="20"/>
              </w:rPr>
              <w:t>1400</w:t>
            </w:r>
          </w:p>
        </w:tc>
        <w:tc>
          <w:tcPr>
            <w:tcW w:w="189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49" w:type="dxa"/>
          </w:tcPr>
          <w:p>
            <w:pPr>
              <w:pStyle w:val="TableParagraph"/>
              <w:spacing w:before="7"/>
              <w:ind w:left="100"/>
              <w:rPr>
                <w:sz w:val="20"/>
              </w:rPr>
            </w:pPr>
            <w:r>
              <w:rPr>
                <w:sz w:val="20"/>
              </w:rPr>
              <w:t>Ambiental</w:t>
            </w:r>
          </w:p>
        </w:tc>
        <w:tc>
          <w:tcPr>
            <w:tcW w:w="3034" w:type="dxa"/>
          </w:tcPr>
          <w:p>
            <w:pPr>
              <w:pStyle w:val="TableParagraph"/>
              <w:numPr>
                <w:ilvl w:val="0"/>
                <w:numId w:val="134"/>
              </w:numPr>
              <w:tabs>
                <w:tab w:pos="812" w:val="left" w:leader="none"/>
              </w:tabs>
              <w:spacing w:line="240" w:lineRule="auto" w:before="7" w:after="0"/>
              <w:ind w:left="280" w:right="104" w:hanging="141"/>
              <w:jc w:val="both"/>
              <w:rPr>
                <w:sz w:val="20"/>
              </w:rPr>
            </w:pPr>
            <w:r>
              <w:rPr>
                <w:sz w:val="20"/>
              </w:rPr>
              <w:t>Existe cooperación entre los actores de la CHPH para cuidar el medio ambiente</w:t>
            </w:r>
          </w:p>
          <w:p>
            <w:pPr>
              <w:pStyle w:val="TableParagraph"/>
              <w:numPr>
                <w:ilvl w:val="0"/>
                <w:numId w:val="134"/>
              </w:numPr>
              <w:tabs>
                <w:tab w:pos="812" w:val="left" w:leader="none"/>
                <w:tab w:pos="2094" w:val="left" w:leader="none"/>
              </w:tabs>
              <w:spacing w:line="240" w:lineRule="auto" w:before="0" w:after="0"/>
              <w:ind w:left="280" w:right="104" w:hanging="141"/>
              <w:jc w:val="both"/>
              <w:rPr>
                <w:sz w:val="20"/>
              </w:rPr>
            </w:pPr>
            <w:r>
              <w:rPr>
                <w:sz w:val="20"/>
              </w:rPr>
              <w:t>Existen</w:t>
              <w:tab/>
              <w:t>acuerdos democráticos entre los actores de la CHPH para cuidar el medio</w:t>
            </w:r>
            <w:r>
              <w:rPr>
                <w:spacing w:val="-8"/>
                <w:sz w:val="20"/>
              </w:rPr>
              <w:t> </w:t>
            </w:r>
            <w:r>
              <w:rPr>
                <w:sz w:val="20"/>
              </w:rPr>
              <w:t>ambiente</w:t>
            </w:r>
          </w:p>
          <w:p>
            <w:pPr>
              <w:pStyle w:val="TableParagraph"/>
              <w:numPr>
                <w:ilvl w:val="0"/>
                <w:numId w:val="134"/>
              </w:numPr>
              <w:tabs>
                <w:tab w:pos="812" w:val="left" w:leader="none"/>
              </w:tabs>
              <w:spacing w:line="240" w:lineRule="auto" w:before="0" w:after="0"/>
              <w:ind w:left="280" w:right="105" w:hanging="141"/>
              <w:jc w:val="both"/>
              <w:rPr>
                <w:sz w:val="20"/>
              </w:rPr>
            </w:pPr>
            <w:r>
              <w:rPr>
                <w:sz w:val="20"/>
              </w:rPr>
              <w:t>Existe acción colectiva de los actores de la CHPH para cuidar el medio ambiente</w:t>
            </w:r>
          </w:p>
          <w:p>
            <w:pPr>
              <w:pStyle w:val="TableParagraph"/>
              <w:numPr>
                <w:ilvl w:val="0"/>
                <w:numId w:val="134"/>
              </w:numPr>
              <w:tabs>
                <w:tab w:pos="812" w:val="left" w:leader="none"/>
                <w:tab w:pos="1950" w:val="left" w:leader="none"/>
              </w:tabs>
              <w:spacing w:line="240" w:lineRule="auto" w:before="0" w:after="0"/>
              <w:ind w:left="280" w:right="103" w:hanging="141"/>
              <w:jc w:val="both"/>
              <w:rPr>
                <w:sz w:val="20"/>
              </w:rPr>
            </w:pPr>
            <w:r>
              <w:rPr>
                <w:sz w:val="20"/>
              </w:rPr>
              <w:t>Existe</w:t>
              <w:tab/>
              <w:t>planeación ambiental con articulación entre</w:t>
            </w:r>
            <w:r>
              <w:rPr>
                <w:spacing w:val="-5"/>
                <w:sz w:val="20"/>
              </w:rPr>
              <w:t> </w:t>
            </w:r>
            <w:r>
              <w:rPr>
                <w:sz w:val="20"/>
              </w:rPr>
              <w:t>actores</w:t>
            </w:r>
          </w:p>
        </w:tc>
        <w:tc>
          <w:tcPr>
            <w:tcW w:w="1479"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480"/>
              <w:rPr>
                <w:sz w:val="20"/>
              </w:rPr>
            </w:pPr>
            <w:r>
              <w:rPr>
                <w:sz w:val="20"/>
              </w:rPr>
              <w:t>100%</w:t>
            </w:r>
          </w:p>
        </w:tc>
        <w:tc>
          <w:tcPr>
            <w:tcW w:w="2482" w:type="dxa"/>
            <w:vMerge w:val="restart"/>
          </w:tcPr>
          <w:p>
            <w:pPr>
              <w:pStyle w:val="TableParagraph"/>
              <w:spacing w:line="242" w:lineRule="auto" w:before="4"/>
              <w:ind w:right="105"/>
              <w:jc w:val="both"/>
              <w:rPr>
                <w:sz w:val="20"/>
              </w:rPr>
            </w:pPr>
            <w:r>
              <w:rPr>
                <w:sz w:val="20"/>
              </w:rPr>
              <w:t>Debe reunir al </w:t>
            </w:r>
            <w:r>
              <w:rPr>
                <w:b/>
                <w:sz w:val="20"/>
              </w:rPr>
              <w:t>100% las tres </w:t>
            </w:r>
            <w:r>
              <w:rPr>
                <w:sz w:val="20"/>
              </w:rPr>
              <w:t>características de impacto positivo</w:t>
            </w:r>
          </w:p>
        </w:tc>
        <w:tc>
          <w:tcPr>
            <w:tcW w:w="1630"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24"/>
              <w:rPr>
                <w:b/>
                <w:sz w:val="20"/>
              </w:rPr>
            </w:pPr>
            <w:r>
              <w:rPr>
                <w:b/>
                <w:sz w:val="20"/>
              </w:rPr>
              <w:t>Excelente</w:t>
            </w:r>
          </w:p>
        </w:tc>
      </w:tr>
      <w:tr>
        <w:trPr>
          <w:trHeight w:val="3000"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30" w:lineRule="exact"/>
              <w:ind w:left="100"/>
              <w:rPr>
                <w:sz w:val="20"/>
              </w:rPr>
            </w:pPr>
            <w:r>
              <w:rPr>
                <w:sz w:val="20"/>
              </w:rPr>
              <w:t>Económico</w:t>
            </w:r>
          </w:p>
        </w:tc>
        <w:tc>
          <w:tcPr>
            <w:tcW w:w="3034" w:type="dxa"/>
          </w:tcPr>
          <w:p>
            <w:pPr>
              <w:pStyle w:val="TableParagraph"/>
              <w:numPr>
                <w:ilvl w:val="0"/>
                <w:numId w:val="135"/>
              </w:numPr>
              <w:tabs>
                <w:tab w:pos="812" w:val="left" w:leader="none"/>
                <w:tab w:pos="1950" w:val="left" w:leader="none"/>
              </w:tabs>
              <w:spacing w:line="240" w:lineRule="auto" w:before="0" w:after="0"/>
              <w:ind w:left="280" w:right="102" w:hanging="141"/>
              <w:jc w:val="both"/>
              <w:rPr>
                <w:sz w:val="20"/>
              </w:rPr>
            </w:pPr>
            <w:r>
              <w:rPr>
                <w:sz w:val="20"/>
              </w:rPr>
              <w:t>Existe coordinación entre los actores de la CHPH para</w:t>
              <w:tab/>
              <w:t>distribuirse equitativamente los recursos naturales</w:t>
            </w:r>
          </w:p>
          <w:p>
            <w:pPr>
              <w:pStyle w:val="TableParagraph"/>
              <w:numPr>
                <w:ilvl w:val="0"/>
                <w:numId w:val="135"/>
              </w:numPr>
              <w:tabs>
                <w:tab w:pos="812" w:val="left" w:leader="none"/>
              </w:tabs>
              <w:spacing w:line="240" w:lineRule="auto" w:before="1" w:after="0"/>
              <w:ind w:left="280" w:right="104" w:hanging="141"/>
              <w:jc w:val="both"/>
              <w:rPr>
                <w:sz w:val="20"/>
              </w:rPr>
            </w:pPr>
            <w:r>
              <w:rPr>
                <w:sz w:val="20"/>
              </w:rPr>
              <w:t>Existe cooperación entre los actores de los distintos municipios de la CHPH para el crecimiento económico</w:t>
            </w:r>
          </w:p>
          <w:p>
            <w:pPr>
              <w:pStyle w:val="TableParagraph"/>
              <w:numPr>
                <w:ilvl w:val="0"/>
                <w:numId w:val="135"/>
              </w:numPr>
              <w:tabs>
                <w:tab w:pos="812" w:val="left" w:leader="none"/>
                <w:tab w:pos="1950"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9" w:type="dxa"/>
            <w:vMerge/>
          </w:tcPr>
          <w:p>
            <w:pPr/>
          </w:p>
        </w:tc>
        <w:tc>
          <w:tcPr>
            <w:tcW w:w="2482" w:type="dxa"/>
            <w:vMerge/>
          </w:tcPr>
          <w:p>
            <w:pPr/>
          </w:p>
        </w:tc>
        <w:tc>
          <w:tcPr>
            <w:tcW w:w="1630" w:type="dxa"/>
            <w:vMerge/>
            <w:tcBorders>
              <w:right w:val="double" w:sz="12" w:space="0" w:color="000000"/>
            </w:tcBorders>
            <w:shd w:val="clear" w:color="auto" w:fill="00FF00"/>
          </w:tcPr>
          <w:p>
            <w:pPr/>
          </w:p>
        </w:tc>
      </w:tr>
      <w:tr>
        <w:trPr>
          <w:trHeight w:val="2312"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30" w:lineRule="exact"/>
              <w:ind w:left="100"/>
              <w:rPr>
                <w:sz w:val="20"/>
              </w:rPr>
            </w:pPr>
            <w:r>
              <w:rPr>
                <w:sz w:val="20"/>
              </w:rPr>
              <w:t>Sociopolítico</w:t>
            </w:r>
          </w:p>
        </w:tc>
        <w:tc>
          <w:tcPr>
            <w:tcW w:w="3034" w:type="dxa"/>
          </w:tcPr>
          <w:p>
            <w:pPr>
              <w:pStyle w:val="TableParagraph"/>
              <w:ind w:left="280" w:right="104" w:hanging="178"/>
              <w:jc w:val="both"/>
              <w:rPr>
                <w:sz w:val="20"/>
              </w:rPr>
            </w:pPr>
            <w:r>
              <w:rPr>
                <w:rFonts w:ascii="Wingdings" w:hAnsi="Wingdings"/>
                <w:sz w:val="20"/>
              </w:rPr>
              <w:t></w:t>
            </w:r>
            <w:r>
              <w:rPr>
                <w:sz w:val="20"/>
              </w:rPr>
              <w:t>Favorece la cooperación de los actores para cuidar el medio ambiente de la CHPH</w:t>
            </w:r>
          </w:p>
          <w:p>
            <w:pPr>
              <w:pStyle w:val="TableParagraph"/>
              <w:tabs>
                <w:tab w:pos="1137" w:val="left" w:leader="none"/>
                <w:tab w:pos="2820" w:val="left" w:leader="none"/>
              </w:tabs>
              <w:spacing w:before="1"/>
              <w:ind w:left="280" w:right="103" w:hanging="178"/>
              <w:jc w:val="both"/>
              <w:rPr>
                <w:sz w:val="20"/>
              </w:rPr>
            </w:pPr>
            <w:r>
              <w:rPr>
                <w:rFonts w:ascii="Wingdings" w:hAnsi="Wingdings"/>
                <w:spacing w:val="2"/>
                <w:sz w:val="20"/>
              </w:rPr>
              <w:t></w:t>
            </w:r>
            <w:r>
              <w:rPr>
                <w:spacing w:val="2"/>
                <w:sz w:val="20"/>
              </w:rPr>
              <w:t>Favorece </w:t>
            </w:r>
            <w:r>
              <w:rPr>
                <w:sz w:val="20"/>
              </w:rPr>
              <w:t>la relación de los actores de la CHPH por  la vía</w:t>
              <w:tab/>
              <w:t>democrática</w:t>
              <w:tab/>
              <w:t>y</w:t>
            </w:r>
            <w:r>
              <w:rPr>
                <w:w w:val="99"/>
                <w:sz w:val="20"/>
              </w:rPr>
              <w:t> </w:t>
            </w:r>
            <w:r>
              <w:rPr>
                <w:sz w:val="20"/>
              </w:rPr>
              <w:t>participativa</w:t>
            </w:r>
          </w:p>
          <w:p>
            <w:pPr>
              <w:pStyle w:val="TableParagraph"/>
              <w:ind w:left="280" w:right="103" w:hanging="178"/>
              <w:jc w:val="both"/>
              <w:rPr>
                <w:sz w:val="20"/>
              </w:rPr>
            </w:pPr>
            <w:r>
              <w:rPr>
                <w:rFonts w:ascii="Wingdings" w:hAnsi="Wingdings"/>
                <w:sz w:val="20"/>
              </w:rPr>
              <w:t></w:t>
            </w:r>
            <w:r>
              <w:rPr>
                <w:sz w:val="20"/>
              </w:rPr>
              <w:t>Favorece los vínculos entre actores para cuidar el medio ambiente</w:t>
            </w:r>
          </w:p>
        </w:tc>
        <w:tc>
          <w:tcPr>
            <w:tcW w:w="1479" w:type="dxa"/>
            <w:vMerge/>
          </w:tcPr>
          <w:p>
            <w:pPr/>
          </w:p>
        </w:tc>
        <w:tc>
          <w:tcPr>
            <w:tcW w:w="2482" w:type="dxa"/>
            <w:vMerge/>
          </w:tcPr>
          <w:p>
            <w:pPr/>
          </w:p>
        </w:tc>
        <w:tc>
          <w:tcPr>
            <w:tcW w:w="1630"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27.219971pt;margin-top:155.539993pt;width:79.1pt;height:369.1pt;mso-position-horizontal-relative:page;mso-position-vertical-relative:page;z-index:-3330328" coordorigin="12544,3111" coordsize="1582,7382">
            <v:shape style="position:absolute;left:12544;top:3111;width:1582;height:7381" type="#_x0000_t75" stroked="false">
              <v:imagedata r:id="rId355" o:title=""/>
            </v:shape>
            <v:shape style="position:absolute;left:12648;top:3111;width:1375;height:230" type="#_x0000_t75" stroked="false">
              <v:imagedata r:id="rId356" o:title=""/>
            </v:shape>
            <v:shape style="position:absolute;left:12648;top:3341;width:1375;height:230" type="#_x0000_t75" stroked="false">
              <v:imagedata r:id="rId357" o:title=""/>
            </v:shape>
            <v:shape style="position:absolute;left:12648;top:3572;width:1375;height:230" type="#_x0000_t75" stroked="false">
              <v:imagedata r:id="rId358" o:title=""/>
            </v:shape>
            <v:shape style="position:absolute;left:12648;top:3802;width:1375;height:231" type="#_x0000_t75" stroked="false">
              <v:imagedata r:id="rId359" o:title=""/>
            </v:shape>
            <v:shape style="position:absolute;left:12648;top:4033;width:1375;height:228" type="#_x0000_t75" stroked="false">
              <v:imagedata r:id="rId360" o:title=""/>
            </v:shape>
            <v:shape style="position:absolute;left:12648;top:4261;width:1375;height:230" type="#_x0000_t75" stroked="false">
              <v:imagedata r:id="rId361" o:title=""/>
            </v:shape>
            <v:shape style="position:absolute;left:12648;top:4491;width:1375;height:230" type="#_x0000_t75" stroked="false">
              <v:imagedata r:id="rId362" o:title=""/>
            </v:shape>
            <v:shape style="position:absolute;left:12648;top:4722;width:1375;height:230" type="#_x0000_t75" stroked="false">
              <v:imagedata r:id="rId363" o:title=""/>
            </v:shape>
            <v:shape style="position:absolute;left:12648;top:4952;width:1375;height:230" type="#_x0000_t75" stroked="false">
              <v:imagedata r:id="rId364"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1399" w:hRule="exact"/>
        </w:trPr>
        <w:tc>
          <w:tcPr>
            <w:tcW w:w="954" w:type="dxa"/>
            <w:tcBorders>
              <w:left w:val="double" w:sz="11" w:space="0" w:color="000000"/>
            </w:tcBorders>
          </w:tcPr>
          <w:p>
            <w:pPr/>
          </w:p>
        </w:tc>
        <w:tc>
          <w:tcPr>
            <w:tcW w:w="1894" w:type="dxa"/>
          </w:tcPr>
          <w:p>
            <w:pPr/>
          </w:p>
        </w:tc>
        <w:tc>
          <w:tcPr>
            <w:tcW w:w="1349" w:type="dxa"/>
          </w:tcPr>
          <w:p>
            <w:pPr/>
          </w:p>
        </w:tc>
        <w:tc>
          <w:tcPr>
            <w:tcW w:w="3034" w:type="dxa"/>
          </w:tcPr>
          <w:p>
            <w:pPr>
              <w:pStyle w:val="TableParagraph"/>
              <w:spacing w:before="7"/>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950"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79" w:type="dxa"/>
          </w:tcPr>
          <w:p>
            <w:pPr/>
          </w:p>
        </w:tc>
        <w:tc>
          <w:tcPr>
            <w:tcW w:w="2482" w:type="dxa"/>
          </w:tcPr>
          <w:p>
            <w:pPr/>
          </w:p>
        </w:tc>
        <w:tc>
          <w:tcPr>
            <w:tcW w:w="1630" w:type="dxa"/>
            <w:tcBorders>
              <w:right w:val="double" w:sz="12" w:space="0" w:color="000000"/>
            </w:tcBorders>
            <w:shd w:val="clear" w:color="auto" w:fill="00FF00"/>
          </w:tcPr>
          <w:p>
            <w:pPr/>
          </w:p>
        </w:tc>
      </w:tr>
      <w:tr>
        <w:trPr>
          <w:trHeight w:val="3462"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0"/>
              </w:rPr>
            </w:pPr>
          </w:p>
          <w:p>
            <w:pPr>
              <w:pStyle w:val="TableParagraph"/>
              <w:spacing w:before="1"/>
              <w:ind w:left="230"/>
              <w:rPr>
                <w:sz w:val="20"/>
              </w:rPr>
            </w:pPr>
            <w:r>
              <w:rPr>
                <w:sz w:val="20"/>
              </w:rPr>
              <w:t>1519</w:t>
            </w:r>
          </w:p>
        </w:tc>
        <w:tc>
          <w:tcPr>
            <w:tcW w:w="189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349" w:type="dxa"/>
          </w:tcPr>
          <w:p>
            <w:pPr>
              <w:pStyle w:val="TableParagraph"/>
              <w:spacing w:line="227" w:lineRule="exact"/>
              <w:ind w:left="100"/>
              <w:rPr>
                <w:sz w:val="20"/>
              </w:rPr>
            </w:pPr>
            <w:r>
              <w:rPr>
                <w:sz w:val="20"/>
              </w:rPr>
              <w:t>Ambiental</w:t>
            </w:r>
          </w:p>
        </w:tc>
        <w:tc>
          <w:tcPr>
            <w:tcW w:w="3034" w:type="dxa"/>
          </w:tcPr>
          <w:p>
            <w:pPr>
              <w:pStyle w:val="TableParagraph"/>
              <w:numPr>
                <w:ilvl w:val="0"/>
                <w:numId w:val="136"/>
              </w:numPr>
              <w:tabs>
                <w:tab w:pos="812" w:val="left" w:leader="none"/>
              </w:tabs>
              <w:spacing w:line="240" w:lineRule="auto" w:before="0" w:after="0"/>
              <w:ind w:left="280" w:right="104" w:hanging="141"/>
              <w:jc w:val="both"/>
              <w:rPr>
                <w:sz w:val="20"/>
              </w:rPr>
            </w:pPr>
            <w:r>
              <w:rPr>
                <w:sz w:val="20"/>
              </w:rPr>
              <w:t>Existe cooperación entre los actores de la CHPH para cuidar el medio ambiente</w:t>
            </w:r>
          </w:p>
          <w:p>
            <w:pPr>
              <w:pStyle w:val="TableParagraph"/>
              <w:numPr>
                <w:ilvl w:val="0"/>
                <w:numId w:val="136"/>
              </w:numPr>
              <w:tabs>
                <w:tab w:pos="812" w:val="left" w:leader="none"/>
                <w:tab w:pos="2094" w:val="left" w:leader="none"/>
              </w:tabs>
              <w:spacing w:line="240" w:lineRule="auto" w:before="0" w:after="0"/>
              <w:ind w:left="280" w:right="104" w:hanging="141"/>
              <w:jc w:val="both"/>
              <w:rPr>
                <w:sz w:val="20"/>
              </w:rPr>
            </w:pPr>
            <w:r>
              <w:rPr>
                <w:sz w:val="20"/>
              </w:rPr>
              <w:t>Existen</w:t>
              <w:tab/>
              <w:t>acuerdos democráticos entre los actores de la CHPH para cuidar el medio</w:t>
            </w:r>
            <w:r>
              <w:rPr>
                <w:spacing w:val="-8"/>
                <w:sz w:val="20"/>
              </w:rPr>
              <w:t> </w:t>
            </w:r>
            <w:r>
              <w:rPr>
                <w:sz w:val="20"/>
              </w:rPr>
              <w:t>ambiente</w:t>
            </w:r>
          </w:p>
          <w:p>
            <w:pPr>
              <w:pStyle w:val="TableParagraph"/>
              <w:numPr>
                <w:ilvl w:val="0"/>
                <w:numId w:val="136"/>
              </w:numPr>
              <w:tabs>
                <w:tab w:pos="812" w:val="left" w:leader="none"/>
              </w:tabs>
              <w:spacing w:line="240" w:lineRule="auto" w:before="0" w:after="0"/>
              <w:ind w:left="280" w:right="105" w:hanging="141"/>
              <w:jc w:val="both"/>
              <w:rPr>
                <w:sz w:val="20"/>
              </w:rPr>
            </w:pPr>
            <w:r>
              <w:rPr>
                <w:sz w:val="20"/>
              </w:rPr>
              <w:t>Existe acción colectiva de los actores de la CHPH para cuidar el medio ambiente</w:t>
            </w:r>
          </w:p>
          <w:p>
            <w:pPr>
              <w:pStyle w:val="TableParagraph"/>
              <w:numPr>
                <w:ilvl w:val="0"/>
                <w:numId w:val="136"/>
              </w:numPr>
              <w:tabs>
                <w:tab w:pos="812" w:val="left" w:leader="none"/>
                <w:tab w:pos="1950" w:val="left" w:leader="none"/>
              </w:tabs>
              <w:spacing w:line="240" w:lineRule="auto" w:before="0" w:after="0"/>
              <w:ind w:left="280" w:right="101" w:hanging="141"/>
              <w:jc w:val="both"/>
              <w:rPr>
                <w:sz w:val="20"/>
              </w:rPr>
            </w:pPr>
            <w:r>
              <w:rPr>
                <w:sz w:val="20"/>
              </w:rPr>
              <w:t>Existe</w:t>
              <w:tab/>
              <w:t>planeación ambiental con articulación entre</w:t>
            </w:r>
            <w:r>
              <w:rPr>
                <w:spacing w:val="-5"/>
                <w:sz w:val="20"/>
              </w:rPr>
              <w:t> </w:t>
            </w:r>
            <w:r>
              <w:rPr>
                <w:sz w:val="20"/>
              </w:rPr>
              <w:t>actores</w:t>
            </w:r>
          </w:p>
        </w:tc>
        <w:tc>
          <w:tcPr>
            <w:tcW w:w="1479"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24"/>
              <w:ind w:left="514" w:right="514"/>
              <w:jc w:val="center"/>
              <w:rPr>
                <w:sz w:val="20"/>
              </w:rPr>
            </w:pPr>
            <w:r>
              <w:rPr>
                <w:sz w:val="20"/>
              </w:rPr>
              <w:t>75%</w:t>
            </w:r>
          </w:p>
        </w:tc>
        <w:tc>
          <w:tcPr>
            <w:tcW w:w="2482" w:type="dxa"/>
            <w:vMerge w:val="restart"/>
          </w:tcPr>
          <w:p>
            <w:pPr>
              <w:pStyle w:val="TableParagraph"/>
              <w:tabs>
                <w:tab w:pos="2141" w:val="left" w:leader="none"/>
              </w:tabs>
              <w:spacing w:line="242" w:lineRule="auto"/>
              <w:ind w:right="106"/>
              <w:jc w:val="both"/>
              <w:rPr>
                <w:sz w:val="20"/>
              </w:rPr>
            </w:pPr>
            <w:r>
              <w:rPr>
                <w:sz w:val="20"/>
              </w:rPr>
              <w:t>Debe reunir </w:t>
            </w:r>
            <w:r>
              <w:rPr>
                <w:b/>
                <w:sz w:val="20"/>
              </w:rPr>
              <w:t>al menos el 75% </w:t>
            </w:r>
            <w:r>
              <w:rPr>
                <w:sz w:val="20"/>
              </w:rPr>
              <w:t>dos de tres características</w:t>
              <w:tab/>
              <w:t>de impacto</w:t>
            </w:r>
            <w:r>
              <w:rPr>
                <w:spacing w:val="-3"/>
                <w:sz w:val="20"/>
              </w:rPr>
              <w:t> </w:t>
            </w:r>
            <w:r>
              <w:rPr>
                <w:sz w:val="20"/>
              </w:rPr>
              <w:t>positivo</w:t>
            </w:r>
          </w:p>
        </w:tc>
        <w:tc>
          <w:tcPr>
            <w:tcW w:w="1630"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480"/>
              <w:rPr>
                <w:b/>
                <w:sz w:val="20"/>
              </w:rPr>
            </w:pPr>
            <w:r>
              <w:rPr>
                <w:b/>
                <w:sz w:val="20"/>
              </w:rPr>
              <w:t>Bueno</w:t>
            </w:r>
          </w:p>
        </w:tc>
      </w:tr>
      <w:tr>
        <w:trPr>
          <w:trHeight w:val="2998"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27" w:lineRule="exact"/>
              <w:ind w:left="100"/>
              <w:rPr>
                <w:sz w:val="20"/>
              </w:rPr>
            </w:pPr>
            <w:r>
              <w:rPr>
                <w:sz w:val="20"/>
              </w:rPr>
              <w:t>Económico</w:t>
            </w:r>
          </w:p>
        </w:tc>
        <w:tc>
          <w:tcPr>
            <w:tcW w:w="3034" w:type="dxa"/>
          </w:tcPr>
          <w:p>
            <w:pPr>
              <w:pStyle w:val="TableParagraph"/>
              <w:numPr>
                <w:ilvl w:val="0"/>
                <w:numId w:val="137"/>
              </w:numPr>
              <w:tabs>
                <w:tab w:pos="812" w:val="left" w:leader="none"/>
                <w:tab w:pos="1950" w:val="left" w:leader="none"/>
              </w:tabs>
              <w:spacing w:line="240" w:lineRule="auto" w:before="0" w:after="0"/>
              <w:ind w:left="280" w:right="102" w:hanging="141"/>
              <w:jc w:val="both"/>
              <w:rPr>
                <w:sz w:val="20"/>
              </w:rPr>
            </w:pPr>
            <w:r>
              <w:rPr>
                <w:sz w:val="20"/>
              </w:rPr>
              <w:t>Existe coordinación entre los actores de la CHPH para</w:t>
              <w:tab/>
              <w:t>distribuirse equitativamente los recursos naturales</w:t>
            </w:r>
          </w:p>
          <w:p>
            <w:pPr>
              <w:pStyle w:val="TableParagraph"/>
              <w:numPr>
                <w:ilvl w:val="0"/>
                <w:numId w:val="137"/>
              </w:numPr>
              <w:tabs>
                <w:tab w:pos="812" w:val="left" w:leader="none"/>
              </w:tabs>
              <w:spacing w:line="240" w:lineRule="auto" w:before="0" w:after="0"/>
              <w:ind w:left="280" w:right="104" w:hanging="141"/>
              <w:jc w:val="both"/>
              <w:rPr>
                <w:sz w:val="20"/>
              </w:rPr>
            </w:pPr>
            <w:r>
              <w:rPr>
                <w:sz w:val="20"/>
              </w:rPr>
              <w:t>Existe cooperación entre los actores de los distintos municipios de la CHPH para el crecimiento económico</w:t>
            </w:r>
          </w:p>
          <w:p>
            <w:pPr>
              <w:pStyle w:val="TableParagraph"/>
              <w:numPr>
                <w:ilvl w:val="0"/>
                <w:numId w:val="137"/>
              </w:numPr>
              <w:tabs>
                <w:tab w:pos="812" w:val="left" w:leader="none"/>
                <w:tab w:pos="1950" w:val="left" w:leader="none"/>
              </w:tabs>
              <w:spacing w:line="240" w:lineRule="auto" w:before="1"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9" w:type="dxa"/>
            <w:vMerge/>
          </w:tcPr>
          <w:p>
            <w:pPr/>
          </w:p>
        </w:tc>
        <w:tc>
          <w:tcPr>
            <w:tcW w:w="2482" w:type="dxa"/>
            <w:vMerge/>
          </w:tcPr>
          <w:p>
            <w:pPr/>
          </w:p>
        </w:tc>
        <w:tc>
          <w:tcPr>
            <w:tcW w:w="1630" w:type="dxa"/>
            <w:vMerge/>
            <w:tcBorders>
              <w:right w:val="double" w:sz="12" w:space="0" w:color="000000"/>
            </w:tcBorders>
          </w:tcPr>
          <w:p>
            <w:pPr/>
          </w:p>
        </w:tc>
      </w:tr>
      <w:tr>
        <w:trPr>
          <w:trHeight w:val="931" w:hRule="exact"/>
        </w:trPr>
        <w:tc>
          <w:tcPr>
            <w:tcW w:w="954" w:type="dxa"/>
            <w:vMerge/>
            <w:tcBorders>
              <w:left w:val="double" w:sz="11" w:space="0" w:color="000000"/>
              <w:bottom w:val="single" w:sz="8" w:space="0" w:color="000000"/>
            </w:tcBorders>
          </w:tcPr>
          <w:p>
            <w:pPr/>
          </w:p>
        </w:tc>
        <w:tc>
          <w:tcPr>
            <w:tcW w:w="1894" w:type="dxa"/>
            <w:vMerge/>
            <w:tcBorders>
              <w:bottom w:val="single" w:sz="8" w:space="0" w:color="000000"/>
            </w:tcBorders>
          </w:tcPr>
          <w:p>
            <w:pPr/>
          </w:p>
        </w:tc>
        <w:tc>
          <w:tcPr>
            <w:tcW w:w="1349" w:type="dxa"/>
            <w:tcBorders>
              <w:bottom w:val="single" w:sz="8" w:space="0" w:color="000000"/>
            </w:tcBorders>
          </w:tcPr>
          <w:p>
            <w:pPr>
              <w:pStyle w:val="TableParagraph"/>
              <w:spacing w:line="230" w:lineRule="exact"/>
              <w:ind w:left="100"/>
              <w:rPr>
                <w:sz w:val="20"/>
              </w:rPr>
            </w:pPr>
            <w:r>
              <w:rPr>
                <w:sz w:val="20"/>
              </w:rPr>
              <w:t>Sociopolítico</w:t>
            </w:r>
          </w:p>
        </w:tc>
        <w:tc>
          <w:tcPr>
            <w:tcW w:w="3034" w:type="dxa"/>
            <w:tcBorders>
              <w:bottom w:val="single" w:sz="8" w:space="0" w:color="000000"/>
            </w:tcBorders>
          </w:tcPr>
          <w:p>
            <w:pPr>
              <w:pStyle w:val="TableParagraph"/>
              <w:ind w:left="280" w:right="102" w:hanging="178"/>
              <w:jc w:val="both"/>
              <w:rPr>
                <w:sz w:val="20"/>
              </w:rPr>
            </w:pPr>
            <w:r>
              <w:rPr>
                <w:rFonts w:ascii="Wingdings" w:hAnsi="Wingdings"/>
                <w:sz w:val="20"/>
              </w:rPr>
              <w:t></w:t>
            </w:r>
            <w:r>
              <w:rPr>
                <w:sz w:val="20"/>
              </w:rPr>
              <w:t>Favorece la cooperación de los actores para cuidar el medio ambiente de la CHPH</w:t>
            </w:r>
          </w:p>
          <w:p>
            <w:pPr>
              <w:pStyle w:val="TableParagraph"/>
              <w:rPr>
                <w:sz w:val="20"/>
              </w:rPr>
            </w:pPr>
            <w:r>
              <w:rPr>
                <w:rFonts w:ascii="Wingdings" w:hAnsi="Wingdings"/>
                <w:sz w:val="20"/>
              </w:rPr>
              <w:t></w:t>
            </w:r>
            <w:r>
              <w:rPr>
                <w:sz w:val="20"/>
              </w:rPr>
              <w:t>Favorece  la  relación  de  los</w:t>
            </w:r>
          </w:p>
        </w:tc>
        <w:tc>
          <w:tcPr>
            <w:tcW w:w="1479" w:type="dxa"/>
            <w:vMerge/>
            <w:tcBorders>
              <w:bottom w:val="single" w:sz="8" w:space="0" w:color="000000"/>
            </w:tcBorders>
          </w:tcPr>
          <w:p>
            <w:pPr/>
          </w:p>
        </w:tc>
        <w:tc>
          <w:tcPr>
            <w:tcW w:w="2482" w:type="dxa"/>
            <w:vMerge/>
            <w:tcBorders>
              <w:bottom w:val="single" w:sz="8" w:space="0" w:color="000000"/>
            </w:tcBorders>
          </w:tcPr>
          <w:p>
            <w:pPr/>
          </w:p>
        </w:tc>
        <w:tc>
          <w:tcPr>
            <w:tcW w:w="1630" w:type="dxa"/>
            <w:vMerge/>
            <w:tcBorders>
              <w:bottom w:val="single" w:sz="8"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2780" w:hRule="exact"/>
        </w:trPr>
        <w:tc>
          <w:tcPr>
            <w:tcW w:w="954" w:type="dxa"/>
            <w:tcBorders>
              <w:left w:val="double" w:sz="11" w:space="0" w:color="000000"/>
            </w:tcBorders>
          </w:tcPr>
          <w:p>
            <w:pPr/>
          </w:p>
        </w:tc>
        <w:tc>
          <w:tcPr>
            <w:tcW w:w="1894" w:type="dxa"/>
          </w:tcPr>
          <w:p>
            <w:pPr/>
          </w:p>
        </w:tc>
        <w:tc>
          <w:tcPr>
            <w:tcW w:w="1349" w:type="dxa"/>
          </w:tcPr>
          <w:p>
            <w:pPr/>
          </w:p>
        </w:tc>
        <w:tc>
          <w:tcPr>
            <w:tcW w:w="3034" w:type="dxa"/>
          </w:tcPr>
          <w:p>
            <w:pPr>
              <w:pStyle w:val="TableParagraph"/>
              <w:tabs>
                <w:tab w:pos="1137" w:val="left" w:leader="none"/>
                <w:tab w:pos="2820" w:val="left" w:leader="none"/>
              </w:tabs>
              <w:spacing w:before="7"/>
              <w:ind w:left="280" w:right="103"/>
              <w:jc w:val="both"/>
              <w:rPr>
                <w:sz w:val="20"/>
              </w:rPr>
            </w:pPr>
            <w:r>
              <w:rPr>
                <w:sz w:val="20"/>
              </w:rPr>
              <w:t>actores de la CHPH por  la vía</w:t>
              <w:tab/>
              <w:t>democrática</w:t>
              <w:tab/>
              <w:t>y</w:t>
            </w:r>
            <w:r>
              <w:rPr>
                <w:w w:val="99"/>
                <w:sz w:val="20"/>
              </w:rPr>
              <w:t> </w:t>
            </w:r>
            <w:r>
              <w:rPr>
                <w:sz w:val="20"/>
              </w:rPr>
              <w:t>participativa</w:t>
            </w:r>
          </w:p>
          <w:p>
            <w:pPr>
              <w:pStyle w:val="TableParagraph"/>
              <w:ind w:left="280" w:right="103" w:hanging="178"/>
              <w:jc w:val="both"/>
              <w:rPr>
                <w:sz w:val="20"/>
              </w:rPr>
            </w:pPr>
            <w:r>
              <w:rPr>
                <w:rFonts w:ascii="Wingdings" w:hAnsi="Wingdings"/>
                <w:sz w:val="20"/>
              </w:rPr>
              <w:t></w:t>
            </w:r>
            <w:r>
              <w:rPr>
                <w:sz w:val="20"/>
              </w:rPr>
              <w:t>Favorece los vínculos entre actores para cuidar el medio ambiente</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951" w:val="left" w:leader="none"/>
              </w:tabs>
              <w:spacing w:before="1"/>
              <w:ind w:left="280" w:right="103"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79" w:type="dxa"/>
          </w:tcPr>
          <w:p>
            <w:pPr/>
          </w:p>
        </w:tc>
        <w:tc>
          <w:tcPr>
            <w:tcW w:w="2482" w:type="dxa"/>
          </w:tcPr>
          <w:p>
            <w:pPr/>
          </w:p>
        </w:tc>
        <w:tc>
          <w:tcPr>
            <w:tcW w:w="1630" w:type="dxa"/>
            <w:tcBorders>
              <w:right w:val="double" w:sz="12" w:space="0" w:color="000000"/>
            </w:tcBorders>
          </w:tcPr>
          <w:p>
            <w:pPr>
              <w:pStyle w:val="TableParagraph"/>
              <w:ind w:left="0" w:right="-50"/>
              <w:rPr>
                <w:rFonts w:ascii="Times New Roman"/>
                <w:sz w:val="20"/>
              </w:rPr>
            </w:pPr>
            <w:r>
              <w:rPr>
                <w:rFonts w:ascii="Times New Roman"/>
                <w:sz w:val="20"/>
              </w:rPr>
              <w:pict>
                <v:group style="width:79.1pt;height:138.050pt;mso-position-horizontal-relative:char;mso-position-vertical-relative:line" coordorigin="0,0" coordsize="1582,2761">
                  <v:shape style="position:absolute;left:0;top:0;width:1582;height:2760" type="#_x0000_t75" stroked="false">
                    <v:imagedata r:id="rId365" o:title=""/>
                  </v:shape>
                </v:group>
              </w:pict>
            </w:r>
            <w:r>
              <w:rPr>
                <w:rFonts w:ascii="Times New Roman"/>
                <w:sz w:val="20"/>
              </w:rPr>
            </w:r>
          </w:p>
        </w:tc>
      </w:tr>
      <w:tr>
        <w:trPr>
          <w:trHeight w:val="3461"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18"/>
              <w:ind w:left="230"/>
              <w:rPr>
                <w:sz w:val="20"/>
              </w:rPr>
            </w:pPr>
            <w:r>
              <w:rPr>
                <w:sz w:val="20"/>
              </w:rPr>
              <w:t>2016</w:t>
            </w:r>
          </w:p>
        </w:tc>
        <w:tc>
          <w:tcPr>
            <w:tcW w:w="189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9"/>
              </w:rPr>
            </w:pPr>
          </w:p>
          <w:p>
            <w:pPr>
              <w:pStyle w:val="TableParagraph"/>
              <w:ind w:left="0"/>
              <w:jc w:val="center"/>
              <w:rPr>
                <w:b/>
                <w:sz w:val="20"/>
              </w:rPr>
            </w:pPr>
            <w:r>
              <w:rPr>
                <w:b/>
                <w:w w:val="99"/>
                <w:sz w:val="20"/>
              </w:rPr>
              <w:t>1</w:t>
            </w:r>
          </w:p>
        </w:tc>
        <w:tc>
          <w:tcPr>
            <w:tcW w:w="1349" w:type="dxa"/>
          </w:tcPr>
          <w:p>
            <w:pPr>
              <w:pStyle w:val="TableParagraph"/>
              <w:spacing w:line="227" w:lineRule="exact"/>
              <w:ind w:left="100"/>
              <w:rPr>
                <w:sz w:val="20"/>
              </w:rPr>
            </w:pPr>
            <w:r>
              <w:rPr>
                <w:sz w:val="20"/>
              </w:rPr>
              <w:t>Ambiental</w:t>
            </w:r>
          </w:p>
        </w:tc>
        <w:tc>
          <w:tcPr>
            <w:tcW w:w="3034" w:type="dxa"/>
          </w:tcPr>
          <w:p>
            <w:pPr>
              <w:pStyle w:val="TableParagraph"/>
              <w:numPr>
                <w:ilvl w:val="0"/>
                <w:numId w:val="138"/>
              </w:numPr>
              <w:tabs>
                <w:tab w:pos="812" w:val="left" w:leader="none"/>
              </w:tabs>
              <w:spacing w:line="240" w:lineRule="auto" w:before="0" w:after="0"/>
              <w:ind w:left="280" w:right="104" w:hanging="141"/>
              <w:jc w:val="both"/>
              <w:rPr>
                <w:sz w:val="20"/>
              </w:rPr>
            </w:pPr>
            <w:r>
              <w:rPr>
                <w:sz w:val="20"/>
              </w:rPr>
              <w:t>Existe cooperación entre los actores de la CHPH para cuidar el medio ambiente</w:t>
            </w:r>
          </w:p>
          <w:p>
            <w:pPr>
              <w:pStyle w:val="TableParagraph"/>
              <w:numPr>
                <w:ilvl w:val="0"/>
                <w:numId w:val="138"/>
              </w:numPr>
              <w:tabs>
                <w:tab w:pos="812" w:val="left" w:leader="none"/>
                <w:tab w:pos="2094" w:val="left" w:leader="none"/>
              </w:tabs>
              <w:spacing w:line="240" w:lineRule="auto" w:before="0" w:after="0"/>
              <w:ind w:left="280" w:right="104" w:hanging="141"/>
              <w:jc w:val="both"/>
              <w:rPr>
                <w:sz w:val="20"/>
              </w:rPr>
            </w:pPr>
            <w:r>
              <w:rPr>
                <w:sz w:val="20"/>
              </w:rPr>
              <w:t>Existen</w:t>
              <w:tab/>
              <w:t>acuerdos democráticos entre los actores de la CHPH para cuidar el medio</w:t>
            </w:r>
            <w:r>
              <w:rPr>
                <w:spacing w:val="-7"/>
                <w:sz w:val="20"/>
              </w:rPr>
              <w:t> </w:t>
            </w:r>
            <w:r>
              <w:rPr>
                <w:sz w:val="20"/>
              </w:rPr>
              <w:t>ambiente</w:t>
            </w:r>
          </w:p>
          <w:p>
            <w:pPr>
              <w:pStyle w:val="TableParagraph"/>
              <w:numPr>
                <w:ilvl w:val="0"/>
                <w:numId w:val="138"/>
              </w:numPr>
              <w:tabs>
                <w:tab w:pos="812" w:val="left" w:leader="none"/>
              </w:tabs>
              <w:spacing w:line="240" w:lineRule="auto" w:before="1" w:after="0"/>
              <w:ind w:left="280" w:right="105" w:hanging="141"/>
              <w:jc w:val="both"/>
              <w:rPr>
                <w:sz w:val="20"/>
              </w:rPr>
            </w:pPr>
            <w:r>
              <w:rPr>
                <w:sz w:val="20"/>
              </w:rPr>
              <w:t>Existe acción colectiva de los actores de la CHPH para cuidar el medio ambiente</w:t>
            </w:r>
          </w:p>
          <w:p>
            <w:pPr>
              <w:pStyle w:val="TableParagraph"/>
              <w:numPr>
                <w:ilvl w:val="0"/>
                <w:numId w:val="138"/>
              </w:numPr>
              <w:tabs>
                <w:tab w:pos="812" w:val="left" w:leader="none"/>
                <w:tab w:pos="1950" w:val="left" w:leader="none"/>
              </w:tabs>
              <w:spacing w:line="240" w:lineRule="auto" w:before="0" w:after="0"/>
              <w:ind w:left="280" w:right="103" w:hanging="141"/>
              <w:jc w:val="both"/>
              <w:rPr>
                <w:sz w:val="20"/>
              </w:rPr>
            </w:pPr>
            <w:r>
              <w:rPr>
                <w:sz w:val="20"/>
              </w:rPr>
              <w:t>Existe</w:t>
              <w:tab/>
              <w:t>planeación ambiental con articulación entre</w:t>
            </w:r>
            <w:r>
              <w:rPr>
                <w:spacing w:val="-5"/>
                <w:sz w:val="20"/>
              </w:rPr>
              <w:t> </w:t>
            </w:r>
            <w:r>
              <w:rPr>
                <w:sz w:val="20"/>
              </w:rPr>
              <w:t>actores</w:t>
            </w:r>
          </w:p>
        </w:tc>
        <w:tc>
          <w:tcPr>
            <w:tcW w:w="1479"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9"/>
              </w:rPr>
            </w:pPr>
          </w:p>
          <w:p>
            <w:pPr>
              <w:pStyle w:val="TableParagraph"/>
              <w:ind w:left="514" w:right="514"/>
              <w:jc w:val="center"/>
              <w:rPr>
                <w:sz w:val="20"/>
              </w:rPr>
            </w:pPr>
            <w:r>
              <w:rPr>
                <w:sz w:val="20"/>
              </w:rPr>
              <w:t>50%</w:t>
            </w:r>
          </w:p>
        </w:tc>
        <w:tc>
          <w:tcPr>
            <w:tcW w:w="2482" w:type="dxa"/>
            <w:vMerge w:val="restart"/>
          </w:tcPr>
          <w:p>
            <w:pPr>
              <w:pStyle w:val="TableParagraph"/>
              <w:tabs>
                <w:tab w:pos="2141" w:val="left" w:leader="none"/>
              </w:tabs>
              <w:spacing w:line="242" w:lineRule="auto"/>
              <w:ind w:right="107"/>
              <w:jc w:val="both"/>
              <w:rPr>
                <w:sz w:val="20"/>
              </w:rPr>
            </w:pPr>
            <w:r>
              <w:rPr>
                <w:sz w:val="20"/>
              </w:rPr>
              <w:t>Debe reunir </w:t>
            </w:r>
            <w:r>
              <w:rPr>
                <w:b/>
                <w:sz w:val="20"/>
              </w:rPr>
              <w:t>al menos el 50% una de tres </w:t>
            </w:r>
            <w:r>
              <w:rPr>
                <w:sz w:val="20"/>
              </w:rPr>
              <w:t>características</w:t>
              <w:tab/>
              <w:t>de impacto</w:t>
            </w:r>
            <w:r>
              <w:rPr>
                <w:spacing w:val="-3"/>
                <w:sz w:val="20"/>
              </w:rPr>
              <w:t> </w:t>
            </w:r>
            <w:r>
              <w:rPr>
                <w:sz w:val="20"/>
              </w:rPr>
              <w:t>positivo</w:t>
            </w:r>
          </w:p>
        </w:tc>
        <w:tc>
          <w:tcPr>
            <w:tcW w:w="1630"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417"/>
              <w:rPr>
                <w:b/>
                <w:sz w:val="20"/>
              </w:rPr>
            </w:pPr>
            <w:r>
              <w:rPr>
                <w:b/>
                <w:sz w:val="20"/>
              </w:rPr>
              <w:t>Regular</w:t>
            </w:r>
          </w:p>
        </w:tc>
      </w:tr>
      <w:tr>
        <w:trPr>
          <w:trHeight w:val="2540"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27" w:lineRule="exact"/>
              <w:ind w:left="100"/>
              <w:rPr>
                <w:sz w:val="20"/>
              </w:rPr>
            </w:pPr>
            <w:r>
              <w:rPr>
                <w:sz w:val="20"/>
              </w:rPr>
              <w:t>Económico</w:t>
            </w:r>
          </w:p>
        </w:tc>
        <w:tc>
          <w:tcPr>
            <w:tcW w:w="3034" w:type="dxa"/>
          </w:tcPr>
          <w:p>
            <w:pPr>
              <w:pStyle w:val="TableParagraph"/>
              <w:numPr>
                <w:ilvl w:val="0"/>
                <w:numId w:val="139"/>
              </w:numPr>
              <w:tabs>
                <w:tab w:pos="812" w:val="left" w:leader="none"/>
                <w:tab w:pos="1950" w:val="left" w:leader="none"/>
              </w:tabs>
              <w:spacing w:line="240" w:lineRule="auto" w:before="0" w:after="0"/>
              <w:ind w:left="280" w:right="102" w:hanging="141"/>
              <w:jc w:val="both"/>
              <w:rPr>
                <w:sz w:val="20"/>
              </w:rPr>
            </w:pPr>
            <w:r>
              <w:rPr>
                <w:sz w:val="20"/>
              </w:rPr>
              <w:t>Existe coordinación entre los actores de la CHPH para</w:t>
              <w:tab/>
              <w:t>distribuirse equitativamente los recursos naturales</w:t>
            </w:r>
          </w:p>
          <w:p>
            <w:pPr>
              <w:pStyle w:val="TableParagraph"/>
              <w:numPr>
                <w:ilvl w:val="0"/>
                <w:numId w:val="139"/>
              </w:numPr>
              <w:tabs>
                <w:tab w:pos="812" w:val="left" w:leader="none"/>
              </w:tabs>
              <w:spacing w:line="240" w:lineRule="auto" w:before="0" w:after="0"/>
              <w:ind w:left="280" w:right="104" w:hanging="141"/>
              <w:jc w:val="both"/>
              <w:rPr>
                <w:sz w:val="20"/>
              </w:rPr>
            </w:pPr>
            <w:r>
              <w:rPr>
                <w:sz w:val="20"/>
              </w:rPr>
              <w:t>Existe cooperación entre los actores de los distintos municipios de la CHPH para el crecimiento económico</w:t>
            </w:r>
          </w:p>
          <w:p>
            <w:pPr>
              <w:pStyle w:val="TableParagraph"/>
              <w:numPr>
                <w:ilvl w:val="0"/>
                <w:numId w:val="139"/>
              </w:numPr>
              <w:tabs>
                <w:tab w:pos="811" w:val="left" w:leader="none"/>
                <w:tab w:pos="812" w:val="left" w:leader="none"/>
                <w:tab w:pos="1950" w:val="left" w:leader="none"/>
              </w:tabs>
              <w:spacing w:line="240" w:lineRule="auto" w:before="0" w:after="0"/>
              <w:ind w:left="811" w:right="0" w:hanging="672"/>
              <w:jc w:val="left"/>
              <w:rPr>
                <w:sz w:val="20"/>
              </w:rPr>
            </w:pPr>
            <w:r>
              <w:rPr>
                <w:sz w:val="20"/>
              </w:rPr>
              <w:t>Existe</w:t>
              <w:tab/>
              <w:t>planeación</w:t>
            </w:r>
          </w:p>
        </w:tc>
        <w:tc>
          <w:tcPr>
            <w:tcW w:w="1479" w:type="dxa"/>
            <w:vMerge/>
          </w:tcPr>
          <w:p>
            <w:pPr/>
          </w:p>
        </w:tc>
        <w:tc>
          <w:tcPr>
            <w:tcW w:w="2482" w:type="dxa"/>
            <w:vMerge/>
          </w:tcPr>
          <w:p>
            <w:pPr/>
          </w:p>
        </w:tc>
        <w:tc>
          <w:tcPr>
            <w:tcW w:w="1630" w:type="dxa"/>
            <w:vMerge/>
            <w:tcBorders>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480" w:hRule="exact"/>
        </w:trPr>
        <w:tc>
          <w:tcPr>
            <w:tcW w:w="954" w:type="dxa"/>
            <w:vMerge w:val="restart"/>
            <w:tcBorders>
              <w:left w:val="double" w:sz="11" w:space="0" w:color="000000"/>
            </w:tcBorders>
          </w:tcPr>
          <w:p>
            <w:pPr/>
          </w:p>
        </w:tc>
        <w:tc>
          <w:tcPr>
            <w:tcW w:w="1894" w:type="dxa"/>
            <w:vMerge w:val="restart"/>
          </w:tcPr>
          <w:p>
            <w:pPr/>
          </w:p>
        </w:tc>
        <w:tc>
          <w:tcPr>
            <w:tcW w:w="1349" w:type="dxa"/>
          </w:tcPr>
          <w:p>
            <w:pPr/>
          </w:p>
        </w:tc>
        <w:tc>
          <w:tcPr>
            <w:tcW w:w="3034" w:type="dxa"/>
          </w:tcPr>
          <w:p>
            <w:pPr>
              <w:pStyle w:val="TableParagraph"/>
              <w:spacing w:before="7"/>
              <w:ind w:left="280"/>
              <w:rPr>
                <w:sz w:val="20"/>
              </w:rPr>
            </w:pPr>
            <w:r>
              <w:rPr>
                <w:sz w:val="20"/>
              </w:rPr>
              <w:t>económica con articulación entre actores</w:t>
            </w:r>
          </w:p>
        </w:tc>
        <w:tc>
          <w:tcPr>
            <w:tcW w:w="1479" w:type="dxa"/>
            <w:vMerge w:val="restart"/>
          </w:tcPr>
          <w:p>
            <w:pPr/>
          </w:p>
        </w:tc>
        <w:tc>
          <w:tcPr>
            <w:tcW w:w="2482" w:type="dxa"/>
            <w:vMerge w:val="restart"/>
          </w:tcPr>
          <w:p>
            <w:pPr/>
          </w:p>
        </w:tc>
        <w:tc>
          <w:tcPr>
            <w:tcW w:w="1630" w:type="dxa"/>
            <w:vMerge w:val="restart"/>
            <w:tcBorders>
              <w:right w:val="double" w:sz="12" w:space="0" w:color="000000"/>
            </w:tcBorders>
            <w:shd w:val="clear" w:color="auto" w:fill="FFFF00"/>
          </w:tcPr>
          <w:p>
            <w:pPr/>
          </w:p>
        </w:tc>
      </w:tr>
      <w:tr>
        <w:trPr>
          <w:trHeight w:val="1498" w:hRule="exact"/>
        </w:trPr>
        <w:tc>
          <w:tcPr>
            <w:tcW w:w="954" w:type="dxa"/>
            <w:vMerge/>
            <w:tcBorders>
              <w:left w:val="double" w:sz="11" w:space="0" w:color="000000"/>
            </w:tcBorders>
          </w:tcPr>
          <w:p>
            <w:pPr/>
          </w:p>
        </w:tc>
        <w:tc>
          <w:tcPr>
            <w:tcW w:w="1894" w:type="dxa"/>
            <w:vMerge/>
          </w:tcPr>
          <w:p>
            <w:pPr/>
          </w:p>
        </w:tc>
        <w:tc>
          <w:tcPr>
            <w:tcW w:w="1349" w:type="dxa"/>
            <w:vMerge w:val="restart"/>
          </w:tcPr>
          <w:p>
            <w:pPr>
              <w:pStyle w:val="TableParagraph"/>
              <w:spacing w:line="227" w:lineRule="exact"/>
              <w:ind w:left="100"/>
              <w:rPr>
                <w:sz w:val="20"/>
              </w:rPr>
            </w:pPr>
            <w:r>
              <w:rPr>
                <w:sz w:val="20"/>
              </w:rPr>
              <w:t>Sociopolítico</w:t>
            </w:r>
          </w:p>
        </w:tc>
        <w:tc>
          <w:tcPr>
            <w:tcW w:w="3034" w:type="dxa"/>
            <w:vMerge w:val="restart"/>
          </w:tcPr>
          <w:p>
            <w:pPr>
              <w:pStyle w:val="TableParagraph"/>
              <w:ind w:left="280" w:right="104" w:hanging="178"/>
              <w:jc w:val="both"/>
              <w:rPr>
                <w:sz w:val="20"/>
              </w:rPr>
            </w:pPr>
            <w:r>
              <w:rPr>
                <w:rFonts w:ascii="Wingdings" w:hAnsi="Wingdings"/>
                <w:sz w:val="20"/>
              </w:rPr>
              <w:t></w:t>
            </w:r>
            <w:r>
              <w:rPr>
                <w:sz w:val="20"/>
              </w:rPr>
              <w:t>Favorece la cooperación de los actores para cuidar el medio ambiente de la CHPH</w:t>
            </w:r>
          </w:p>
          <w:p>
            <w:pPr>
              <w:pStyle w:val="TableParagraph"/>
              <w:tabs>
                <w:tab w:pos="1137" w:val="left" w:leader="none"/>
                <w:tab w:pos="2820" w:val="left" w:leader="none"/>
              </w:tabs>
              <w:ind w:left="280" w:right="103" w:hanging="178"/>
              <w:jc w:val="both"/>
              <w:rPr>
                <w:sz w:val="20"/>
              </w:rPr>
            </w:pPr>
            <w:r>
              <w:rPr>
                <w:rFonts w:ascii="Wingdings" w:hAnsi="Wingdings"/>
                <w:spacing w:val="2"/>
                <w:sz w:val="20"/>
              </w:rPr>
              <w:t></w:t>
            </w:r>
            <w:r>
              <w:rPr>
                <w:spacing w:val="2"/>
                <w:sz w:val="20"/>
              </w:rPr>
              <w:t>Favorece </w:t>
            </w:r>
            <w:r>
              <w:rPr>
                <w:sz w:val="20"/>
              </w:rPr>
              <w:t>la relación de los actores de la CHPH por  la vía</w:t>
              <w:tab/>
              <w:t>democrática</w:t>
              <w:tab/>
              <w:t>y</w:t>
            </w:r>
            <w:r>
              <w:rPr>
                <w:w w:val="99"/>
                <w:sz w:val="20"/>
              </w:rPr>
              <w:t> </w:t>
            </w:r>
            <w:r>
              <w:rPr>
                <w:sz w:val="20"/>
              </w:rPr>
              <w:t>participativa</w:t>
            </w:r>
          </w:p>
          <w:p>
            <w:pPr>
              <w:pStyle w:val="TableParagraph"/>
              <w:spacing w:before="1"/>
              <w:ind w:left="280" w:right="103" w:hanging="178"/>
              <w:jc w:val="both"/>
              <w:rPr>
                <w:sz w:val="20"/>
              </w:rPr>
            </w:pPr>
            <w:r>
              <w:rPr>
                <w:rFonts w:ascii="Wingdings" w:hAnsi="Wingdings"/>
                <w:sz w:val="20"/>
              </w:rPr>
              <w:t></w:t>
            </w:r>
            <w:r>
              <w:rPr>
                <w:sz w:val="20"/>
              </w:rPr>
              <w:t>Favorece los vínculos entre actores para cuidar el medio ambiente</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950"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79" w:type="dxa"/>
            <w:vMerge/>
          </w:tcPr>
          <w:p>
            <w:pPr/>
          </w:p>
        </w:tc>
        <w:tc>
          <w:tcPr>
            <w:tcW w:w="2482" w:type="dxa"/>
            <w:vMerge/>
          </w:tcPr>
          <w:p>
            <w:pPr/>
          </w:p>
        </w:tc>
        <w:tc>
          <w:tcPr>
            <w:tcW w:w="1630" w:type="dxa"/>
            <w:vMerge/>
            <w:tcBorders>
              <w:right w:val="double" w:sz="12" w:space="0" w:color="000000"/>
            </w:tcBorders>
            <w:shd w:val="clear" w:color="auto" w:fill="FFFF00"/>
          </w:tcPr>
          <w:p>
            <w:pPr/>
          </w:p>
        </w:tc>
      </w:tr>
      <w:tr>
        <w:trPr>
          <w:trHeight w:val="2192" w:hRule="exact"/>
        </w:trPr>
        <w:tc>
          <w:tcPr>
            <w:tcW w:w="954" w:type="dxa"/>
            <w:tcBorders>
              <w:left w:val="double" w:sz="11" w:space="0" w:color="000000"/>
            </w:tcBorders>
          </w:tcPr>
          <w:p>
            <w:pPr/>
          </w:p>
        </w:tc>
        <w:tc>
          <w:tcPr>
            <w:tcW w:w="1894" w:type="dxa"/>
            <w:vMerge/>
          </w:tcPr>
          <w:p>
            <w:pPr/>
          </w:p>
        </w:tc>
        <w:tc>
          <w:tcPr>
            <w:tcW w:w="1349" w:type="dxa"/>
            <w:vMerge/>
          </w:tcPr>
          <w:p>
            <w:pPr/>
          </w:p>
        </w:tc>
        <w:tc>
          <w:tcPr>
            <w:tcW w:w="3034" w:type="dxa"/>
            <w:vMerge/>
          </w:tcPr>
          <w:p>
            <w:pPr/>
          </w:p>
        </w:tc>
        <w:tc>
          <w:tcPr>
            <w:tcW w:w="1479" w:type="dxa"/>
            <w:vMerge/>
          </w:tcPr>
          <w:p>
            <w:pPr/>
          </w:p>
        </w:tc>
        <w:tc>
          <w:tcPr>
            <w:tcW w:w="2482" w:type="dxa"/>
            <w:vMerge/>
          </w:tcPr>
          <w:p>
            <w:pPr/>
          </w:p>
        </w:tc>
        <w:tc>
          <w:tcPr>
            <w:tcW w:w="1630" w:type="dxa"/>
            <w:vMerge/>
            <w:tcBorders>
              <w:right w:val="double" w:sz="12" w:space="0" w:color="000000"/>
            </w:tcBorders>
            <w:shd w:val="clear" w:color="auto" w:fill="FFFF00"/>
          </w:tcPr>
          <w:p>
            <w:pPr/>
          </w:p>
        </w:tc>
      </w:tr>
      <w:tr>
        <w:trPr>
          <w:trHeight w:val="1500" w:hRule="exact"/>
        </w:trPr>
        <w:tc>
          <w:tcPr>
            <w:tcW w:w="954" w:type="dxa"/>
            <w:tcBorders>
              <w:left w:val="double" w:sz="11" w:space="0" w:color="000000"/>
            </w:tcBorders>
          </w:tcPr>
          <w:p>
            <w:pPr>
              <w:pStyle w:val="TableParagraph"/>
              <w:ind w:left="0"/>
              <w:rPr>
                <w:rFonts w:ascii="Times New Roman"/>
                <w:sz w:val="20"/>
              </w:rPr>
            </w:pPr>
          </w:p>
          <w:p>
            <w:pPr>
              <w:pStyle w:val="TableParagraph"/>
              <w:spacing w:before="4"/>
              <w:ind w:left="0"/>
              <w:rPr>
                <w:rFonts w:ascii="Times New Roman"/>
                <w:sz w:val="23"/>
              </w:rPr>
            </w:pPr>
          </w:p>
          <w:p>
            <w:pPr>
              <w:pStyle w:val="TableParagraph"/>
              <w:ind w:left="209" w:right="212"/>
              <w:jc w:val="center"/>
              <w:rPr>
                <w:sz w:val="20"/>
              </w:rPr>
            </w:pPr>
            <w:r>
              <w:rPr>
                <w:sz w:val="20"/>
              </w:rPr>
              <w:t>1580</w:t>
            </w:r>
          </w:p>
        </w:tc>
        <w:tc>
          <w:tcPr>
            <w:tcW w:w="1894" w:type="dxa"/>
            <w:vMerge w:val="restart"/>
          </w:tcPr>
          <w:p>
            <w:pPr/>
          </w:p>
        </w:tc>
        <w:tc>
          <w:tcPr>
            <w:tcW w:w="1349" w:type="dxa"/>
            <w:vMerge w:val="restart"/>
          </w:tcPr>
          <w:p>
            <w:pPr>
              <w:pStyle w:val="TableParagraph"/>
              <w:spacing w:line="227" w:lineRule="exact"/>
              <w:ind w:left="100"/>
              <w:rPr>
                <w:sz w:val="20"/>
              </w:rPr>
            </w:pPr>
            <w:r>
              <w:rPr>
                <w:sz w:val="20"/>
              </w:rPr>
              <w:t>Ambiental</w:t>
            </w:r>
          </w:p>
        </w:tc>
        <w:tc>
          <w:tcPr>
            <w:tcW w:w="3034" w:type="dxa"/>
            <w:vMerge w:val="restart"/>
          </w:tcPr>
          <w:p>
            <w:pPr>
              <w:pStyle w:val="TableParagraph"/>
              <w:numPr>
                <w:ilvl w:val="0"/>
                <w:numId w:val="140"/>
              </w:numPr>
              <w:tabs>
                <w:tab w:pos="812" w:val="left" w:leader="none"/>
              </w:tabs>
              <w:spacing w:line="240" w:lineRule="auto" w:before="0" w:after="0"/>
              <w:ind w:left="280" w:right="104" w:hanging="141"/>
              <w:jc w:val="both"/>
              <w:rPr>
                <w:sz w:val="20"/>
              </w:rPr>
            </w:pPr>
            <w:r>
              <w:rPr>
                <w:sz w:val="20"/>
              </w:rPr>
              <w:t>Existe cooperación entre los actores de la CHPH para cuidar el medio ambiente</w:t>
            </w:r>
          </w:p>
          <w:p>
            <w:pPr>
              <w:pStyle w:val="TableParagraph"/>
              <w:numPr>
                <w:ilvl w:val="0"/>
                <w:numId w:val="140"/>
              </w:numPr>
              <w:tabs>
                <w:tab w:pos="812" w:val="left" w:leader="none"/>
                <w:tab w:pos="2094" w:val="left" w:leader="none"/>
              </w:tabs>
              <w:spacing w:line="240" w:lineRule="auto" w:before="0" w:after="0"/>
              <w:ind w:left="280" w:right="104" w:hanging="141"/>
              <w:jc w:val="both"/>
              <w:rPr>
                <w:sz w:val="20"/>
              </w:rPr>
            </w:pPr>
            <w:r>
              <w:rPr>
                <w:sz w:val="20"/>
              </w:rPr>
              <w:t>Existen</w:t>
              <w:tab/>
              <w:t>acuerdos democráticos entre los actores de la CHPH para cuidar el medio</w:t>
            </w:r>
            <w:r>
              <w:rPr>
                <w:spacing w:val="-8"/>
                <w:sz w:val="20"/>
              </w:rPr>
              <w:t> </w:t>
            </w:r>
            <w:r>
              <w:rPr>
                <w:sz w:val="20"/>
              </w:rPr>
              <w:t>ambiente</w:t>
            </w:r>
          </w:p>
          <w:p>
            <w:pPr>
              <w:pStyle w:val="TableParagraph"/>
              <w:numPr>
                <w:ilvl w:val="0"/>
                <w:numId w:val="140"/>
              </w:numPr>
              <w:tabs>
                <w:tab w:pos="812" w:val="left" w:leader="none"/>
              </w:tabs>
              <w:spacing w:line="240" w:lineRule="auto" w:before="0" w:after="0"/>
              <w:ind w:left="280" w:right="105" w:hanging="141"/>
              <w:jc w:val="both"/>
              <w:rPr>
                <w:sz w:val="20"/>
              </w:rPr>
            </w:pPr>
            <w:r>
              <w:rPr>
                <w:sz w:val="20"/>
              </w:rPr>
              <w:t>Existe acción colectiva de los actores de la CHPH para cuidar el medio ambiente</w:t>
            </w:r>
          </w:p>
          <w:p>
            <w:pPr>
              <w:pStyle w:val="TableParagraph"/>
              <w:numPr>
                <w:ilvl w:val="0"/>
                <w:numId w:val="140"/>
              </w:numPr>
              <w:tabs>
                <w:tab w:pos="812" w:val="left" w:leader="none"/>
                <w:tab w:pos="1950" w:val="left" w:leader="none"/>
              </w:tabs>
              <w:spacing w:line="240" w:lineRule="auto" w:before="0" w:after="0"/>
              <w:ind w:left="280" w:right="101" w:hanging="141"/>
              <w:jc w:val="both"/>
              <w:rPr>
                <w:sz w:val="20"/>
              </w:rPr>
            </w:pPr>
            <w:r>
              <w:rPr>
                <w:sz w:val="20"/>
              </w:rPr>
              <w:t>Existe</w:t>
              <w:tab/>
              <w:t>planeación ambiental con articulación entre</w:t>
            </w:r>
            <w:r>
              <w:rPr>
                <w:spacing w:val="-5"/>
                <w:sz w:val="20"/>
              </w:rPr>
              <w:t> </w:t>
            </w:r>
            <w:r>
              <w:rPr>
                <w:sz w:val="20"/>
              </w:rPr>
              <w:t>actores</w:t>
            </w:r>
          </w:p>
        </w:tc>
        <w:tc>
          <w:tcPr>
            <w:tcW w:w="1479"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28"/>
              <w:ind w:left="478"/>
              <w:rPr>
                <w:sz w:val="20"/>
              </w:rPr>
            </w:pPr>
            <w:r>
              <w:rPr>
                <w:sz w:val="20"/>
              </w:rPr>
              <w:t>&lt;50%</w:t>
            </w:r>
          </w:p>
        </w:tc>
        <w:tc>
          <w:tcPr>
            <w:tcW w:w="2482" w:type="dxa"/>
            <w:vMerge w:val="restart"/>
          </w:tcPr>
          <w:p>
            <w:pPr>
              <w:pStyle w:val="TableParagraph"/>
              <w:ind w:right="106"/>
              <w:jc w:val="both"/>
              <w:rPr>
                <w:sz w:val="20"/>
              </w:rPr>
            </w:pPr>
            <w:r>
              <w:rPr>
                <w:sz w:val="20"/>
              </w:rPr>
              <w:t>No reúne ni el 50% en </w:t>
            </w:r>
            <w:r>
              <w:rPr>
                <w:b/>
                <w:sz w:val="20"/>
              </w:rPr>
              <w:t>ninguna </w:t>
            </w:r>
            <w:r>
              <w:rPr>
                <w:sz w:val="20"/>
              </w:rPr>
              <w:t>de las de impacto positivo</w:t>
            </w:r>
          </w:p>
        </w:tc>
        <w:tc>
          <w:tcPr>
            <w:tcW w:w="1630"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312"/>
              <w:rPr>
                <w:b/>
                <w:sz w:val="20"/>
              </w:rPr>
            </w:pPr>
            <w:r>
              <w:rPr>
                <w:b/>
                <w:sz w:val="20"/>
              </w:rPr>
              <w:t>Deficiente</w:t>
            </w:r>
          </w:p>
        </w:tc>
      </w:tr>
      <w:tr>
        <w:trPr>
          <w:trHeight w:val="1961"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66"/>
              <w:ind w:left="209" w:right="212"/>
              <w:jc w:val="center"/>
              <w:rPr>
                <w:sz w:val="20"/>
              </w:rPr>
            </w:pPr>
            <w:r>
              <w:rPr>
                <w:sz w:val="20"/>
              </w:rPr>
              <w:t>1785</w:t>
            </w:r>
          </w:p>
        </w:tc>
        <w:tc>
          <w:tcPr>
            <w:tcW w:w="1894" w:type="dxa"/>
            <w:vMerge/>
          </w:tcPr>
          <w:p>
            <w:pPr/>
          </w:p>
        </w:tc>
        <w:tc>
          <w:tcPr>
            <w:tcW w:w="1349" w:type="dxa"/>
            <w:vMerge/>
          </w:tcPr>
          <w:p>
            <w:pPr/>
          </w:p>
        </w:tc>
        <w:tc>
          <w:tcPr>
            <w:tcW w:w="3034" w:type="dxa"/>
            <w:vMerge/>
          </w:tcPr>
          <w:p>
            <w:pPr/>
          </w:p>
        </w:tc>
        <w:tc>
          <w:tcPr>
            <w:tcW w:w="1479" w:type="dxa"/>
            <w:vMerge/>
          </w:tcPr>
          <w:p>
            <w:pPr/>
          </w:p>
        </w:tc>
        <w:tc>
          <w:tcPr>
            <w:tcW w:w="2482" w:type="dxa"/>
            <w:vMerge/>
          </w:tcPr>
          <w:p>
            <w:pPr/>
          </w:p>
        </w:tc>
        <w:tc>
          <w:tcPr>
            <w:tcW w:w="1630" w:type="dxa"/>
            <w:vMerge/>
            <w:tcBorders>
              <w:right w:val="double" w:sz="12" w:space="0" w:color="000000"/>
            </w:tcBorders>
            <w:shd w:val="clear" w:color="auto" w:fill="FF0000"/>
          </w:tcPr>
          <w:p>
            <w:pPr/>
          </w:p>
        </w:tc>
      </w:tr>
      <w:tr>
        <w:trPr>
          <w:trHeight w:val="1178" w:hRule="exact"/>
        </w:trPr>
        <w:tc>
          <w:tcPr>
            <w:tcW w:w="954" w:type="dxa"/>
            <w:tcBorders>
              <w:left w:val="double" w:sz="11" w:space="0" w:color="000000"/>
            </w:tcBorders>
          </w:tcPr>
          <w:p>
            <w:pPr>
              <w:pStyle w:val="TableParagraph"/>
              <w:ind w:left="0"/>
              <w:rPr>
                <w:rFonts w:ascii="Times New Roman"/>
                <w:sz w:val="20"/>
              </w:rPr>
            </w:pPr>
          </w:p>
          <w:p>
            <w:pPr>
              <w:pStyle w:val="TableParagraph"/>
              <w:spacing w:before="7"/>
              <w:ind w:left="0"/>
              <w:rPr>
                <w:rFonts w:ascii="Times New Roman"/>
                <w:sz w:val="20"/>
              </w:rPr>
            </w:pPr>
          </w:p>
          <w:p>
            <w:pPr>
              <w:pStyle w:val="TableParagraph"/>
              <w:ind w:left="209" w:right="212"/>
              <w:jc w:val="center"/>
              <w:rPr>
                <w:sz w:val="20"/>
              </w:rPr>
            </w:pPr>
            <w:r>
              <w:rPr>
                <w:sz w:val="20"/>
              </w:rPr>
              <w:t>1810</w:t>
            </w:r>
          </w:p>
        </w:tc>
        <w:tc>
          <w:tcPr>
            <w:tcW w:w="1894" w:type="dxa"/>
            <w:vMerge/>
          </w:tcPr>
          <w:p>
            <w:pPr/>
          </w:p>
        </w:tc>
        <w:tc>
          <w:tcPr>
            <w:tcW w:w="1349" w:type="dxa"/>
          </w:tcPr>
          <w:p>
            <w:pPr>
              <w:pStyle w:val="TableParagraph"/>
              <w:spacing w:line="227" w:lineRule="exact"/>
              <w:ind w:left="100"/>
              <w:rPr>
                <w:sz w:val="20"/>
              </w:rPr>
            </w:pPr>
            <w:r>
              <w:rPr>
                <w:sz w:val="20"/>
              </w:rPr>
              <w:t>Económico</w:t>
            </w:r>
          </w:p>
        </w:tc>
        <w:tc>
          <w:tcPr>
            <w:tcW w:w="3034" w:type="dxa"/>
          </w:tcPr>
          <w:p>
            <w:pPr>
              <w:pStyle w:val="TableParagraph"/>
              <w:numPr>
                <w:ilvl w:val="0"/>
                <w:numId w:val="141"/>
              </w:numPr>
              <w:tabs>
                <w:tab w:pos="812" w:val="left" w:leader="none"/>
                <w:tab w:pos="1950" w:val="left" w:leader="none"/>
              </w:tabs>
              <w:spacing w:line="240" w:lineRule="auto" w:before="0" w:after="0"/>
              <w:ind w:left="280" w:right="102" w:hanging="141"/>
              <w:jc w:val="both"/>
              <w:rPr>
                <w:sz w:val="20"/>
              </w:rPr>
            </w:pPr>
            <w:r>
              <w:rPr>
                <w:sz w:val="20"/>
              </w:rPr>
              <w:t>Existe coordinación entre los actores de la CHPH para</w:t>
              <w:tab/>
              <w:t>distribuirse equitativamente los recursos naturales</w:t>
            </w:r>
          </w:p>
        </w:tc>
        <w:tc>
          <w:tcPr>
            <w:tcW w:w="1479" w:type="dxa"/>
            <w:vMerge/>
          </w:tcPr>
          <w:p>
            <w:pPr/>
          </w:p>
        </w:tc>
        <w:tc>
          <w:tcPr>
            <w:tcW w:w="2482" w:type="dxa"/>
            <w:vMerge/>
          </w:tcPr>
          <w:p>
            <w:pPr/>
          </w:p>
        </w:tc>
        <w:tc>
          <w:tcPr>
            <w:tcW w:w="1630" w:type="dxa"/>
            <w:vMerge/>
            <w:tcBorders>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1190" w:hRule="exact"/>
        </w:trPr>
        <w:tc>
          <w:tcPr>
            <w:tcW w:w="954" w:type="dxa"/>
            <w:tcBorders>
              <w:left w:val="double" w:sz="11" w:space="0" w:color="000000"/>
            </w:tcBorders>
          </w:tcPr>
          <w:p>
            <w:pPr/>
          </w:p>
        </w:tc>
        <w:tc>
          <w:tcPr>
            <w:tcW w:w="1894" w:type="dxa"/>
            <w:vMerge w:val="restart"/>
          </w:tcPr>
          <w:p>
            <w:pPr/>
          </w:p>
        </w:tc>
        <w:tc>
          <w:tcPr>
            <w:tcW w:w="1349" w:type="dxa"/>
            <w:vMerge w:val="restart"/>
          </w:tcPr>
          <w:p>
            <w:pPr/>
          </w:p>
        </w:tc>
        <w:tc>
          <w:tcPr>
            <w:tcW w:w="3034" w:type="dxa"/>
            <w:vMerge w:val="restart"/>
          </w:tcPr>
          <w:p>
            <w:pPr>
              <w:pStyle w:val="TableParagraph"/>
              <w:numPr>
                <w:ilvl w:val="0"/>
                <w:numId w:val="142"/>
              </w:numPr>
              <w:tabs>
                <w:tab w:pos="812" w:val="left" w:leader="none"/>
              </w:tabs>
              <w:spacing w:line="240" w:lineRule="auto" w:before="7" w:after="0"/>
              <w:ind w:left="280" w:right="104" w:hanging="141"/>
              <w:jc w:val="both"/>
              <w:rPr>
                <w:sz w:val="20"/>
              </w:rPr>
            </w:pPr>
            <w:r>
              <w:rPr>
                <w:sz w:val="20"/>
              </w:rPr>
              <w:t>Existe cooperación entre los actores de los distintos municipios de la CHPH para el crecimiento económico</w:t>
            </w:r>
          </w:p>
          <w:p>
            <w:pPr>
              <w:pStyle w:val="TableParagraph"/>
              <w:numPr>
                <w:ilvl w:val="0"/>
                <w:numId w:val="142"/>
              </w:numPr>
              <w:tabs>
                <w:tab w:pos="812" w:val="left" w:leader="none"/>
                <w:tab w:pos="1950"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9" w:type="dxa"/>
            <w:vMerge w:val="restart"/>
          </w:tcPr>
          <w:p>
            <w:pPr/>
          </w:p>
        </w:tc>
        <w:tc>
          <w:tcPr>
            <w:tcW w:w="2482" w:type="dxa"/>
            <w:vMerge w:val="restart"/>
          </w:tcPr>
          <w:p>
            <w:pPr/>
          </w:p>
        </w:tc>
        <w:tc>
          <w:tcPr>
            <w:tcW w:w="1630" w:type="dxa"/>
            <w:vMerge w:val="restart"/>
            <w:tcBorders>
              <w:right w:val="double" w:sz="12" w:space="0" w:color="000000"/>
            </w:tcBorders>
            <w:shd w:val="clear" w:color="auto" w:fill="FF0000"/>
          </w:tcPr>
          <w:p>
            <w:pPr/>
          </w:p>
        </w:tc>
      </w:tr>
      <w:tr>
        <w:trPr>
          <w:trHeight w:val="949" w:hRule="exact"/>
        </w:trPr>
        <w:tc>
          <w:tcPr>
            <w:tcW w:w="954" w:type="dxa"/>
            <w:tcBorders>
              <w:left w:val="double" w:sz="11" w:space="0" w:color="000000"/>
            </w:tcBorders>
          </w:tcPr>
          <w:p>
            <w:pPr>
              <w:pStyle w:val="TableParagraph"/>
              <w:ind w:left="0"/>
              <w:rPr>
                <w:rFonts w:ascii="Times New Roman"/>
                <w:sz w:val="20"/>
              </w:rPr>
            </w:pPr>
          </w:p>
          <w:p>
            <w:pPr>
              <w:pStyle w:val="TableParagraph"/>
              <w:spacing w:before="122"/>
              <w:ind w:left="209" w:right="212"/>
              <w:jc w:val="center"/>
              <w:rPr>
                <w:sz w:val="20"/>
              </w:rPr>
            </w:pPr>
            <w:r>
              <w:rPr>
                <w:sz w:val="20"/>
              </w:rPr>
              <w:t>1861</w:t>
            </w:r>
          </w:p>
        </w:tc>
        <w:tc>
          <w:tcPr>
            <w:tcW w:w="1894" w:type="dxa"/>
            <w:vMerge/>
          </w:tcPr>
          <w:p>
            <w:pPr/>
          </w:p>
        </w:tc>
        <w:tc>
          <w:tcPr>
            <w:tcW w:w="1349" w:type="dxa"/>
            <w:vMerge/>
          </w:tcPr>
          <w:p>
            <w:pPr/>
          </w:p>
        </w:tc>
        <w:tc>
          <w:tcPr>
            <w:tcW w:w="3034" w:type="dxa"/>
            <w:vMerge/>
          </w:tcPr>
          <w:p>
            <w:pPr/>
          </w:p>
        </w:tc>
        <w:tc>
          <w:tcPr>
            <w:tcW w:w="1479" w:type="dxa"/>
            <w:vMerge/>
          </w:tcPr>
          <w:p>
            <w:pPr/>
          </w:p>
        </w:tc>
        <w:tc>
          <w:tcPr>
            <w:tcW w:w="2482" w:type="dxa"/>
            <w:vMerge/>
          </w:tcPr>
          <w:p>
            <w:pPr/>
          </w:p>
        </w:tc>
        <w:tc>
          <w:tcPr>
            <w:tcW w:w="1630" w:type="dxa"/>
            <w:vMerge/>
            <w:tcBorders>
              <w:right w:val="double" w:sz="12" w:space="0" w:color="000000"/>
            </w:tcBorders>
            <w:shd w:val="clear" w:color="auto" w:fill="FF0000"/>
          </w:tcPr>
          <w:p>
            <w:pPr/>
          </w:p>
        </w:tc>
      </w:tr>
      <w:tr>
        <w:trPr>
          <w:trHeight w:val="1087" w:hRule="exact"/>
        </w:trPr>
        <w:tc>
          <w:tcPr>
            <w:tcW w:w="954" w:type="dxa"/>
            <w:tcBorders>
              <w:left w:val="double" w:sz="11" w:space="0" w:color="000000"/>
            </w:tcBorders>
          </w:tcPr>
          <w:p>
            <w:pPr>
              <w:pStyle w:val="TableParagraph"/>
              <w:ind w:left="0"/>
              <w:rPr>
                <w:rFonts w:ascii="Times New Roman"/>
                <w:sz w:val="20"/>
              </w:rPr>
            </w:pPr>
          </w:p>
          <w:p>
            <w:pPr>
              <w:pStyle w:val="TableParagraph"/>
              <w:spacing w:before="8"/>
              <w:ind w:left="0"/>
              <w:rPr>
                <w:rFonts w:ascii="Times New Roman"/>
                <w:sz w:val="16"/>
              </w:rPr>
            </w:pPr>
          </w:p>
          <w:p>
            <w:pPr>
              <w:pStyle w:val="TableParagraph"/>
              <w:ind w:left="209" w:right="212"/>
              <w:jc w:val="center"/>
              <w:rPr>
                <w:sz w:val="20"/>
              </w:rPr>
            </w:pPr>
            <w:r>
              <w:rPr>
                <w:sz w:val="20"/>
              </w:rPr>
              <w:t>1910</w:t>
            </w:r>
          </w:p>
        </w:tc>
        <w:tc>
          <w:tcPr>
            <w:tcW w:w="1894" w:type="dxa"/>
            <w:vMerge/>
          </w:tcPr>
          <w:p>
            <w:pPr/>
          </w:p>
        </w:tc>
        <w:tc>
          <w:tcPr>
            <w:tcW w:w="1349" w:type="dxa"/>
            <w:vMerge w:val="restart"/>
          </w:tcPr>
          <w:p>
            <w:pPr>
              <w:pStyle w:val="TableParagraph"/>
              <w:spacing w:line="230" w:lineRule="exact"/>
              <w:ind w:left="100"/>
              <w:rPr>
                <w:sz w:val="20"/>
              </w:rPr>
            </w:pPr>
            <w:r>
              <w:rPr>
                <w:sz w:val="20"/>
              </w:rPr>
              <w:t>Sociopolítico</w:t>
            </w:r>
          </w:p>
        </w:tc>
        <w:tc>
          <w:tcPr>
            <w:tcW w:w="3034" w:type="dxa"/>
            <w:vMerge w:val="restart"/>
          </w:tcPr>
          <w:p>
            <w:pPr>
              <w:pStyle w:val="TableParagraph"/>
              <w:ind w:left="280" w:right="104" w:hanging="178"/>
              <w:jc w:val="both"/>
              <w:rPr>
                <w:sz w:val="20"/>
              </w:rPr>
            </w:pPr>
            <w:r>
              <w:rPr>
                <w:rFonts w:ascii="Wingdings" w:hAnsi="Wingdings"/>
                <w:sz w:val="20"/>
              </w:rPr>
              <w:t></w:t>
            </w:r>
            <w:r>
              <w:rPr>
                <w:sz w:val="20"/>
              </w:rPr>
              <w:t>Favorece la cooperación de los actores para cuidar el medio ambiente de la CHPH</w:t>
            </w:r>
          </w:p>
          <w:p>
            <w:pPr>
              <w:pStyle w:val="TableParagraph"/>
              <w:tabs>
                <w:tab w:pos="1137" w:val="left" w:leader="none"/>
                <w:tab w:pos="2820" w:val="left" w:leader="none"/>
              </w:tabs>
              <w:ind w:left="280" w:right="103" w:hanging="178"/>
              <w:jc w:val="both"/>
              <w:rPr>
                <w:sz w:val="20"/>
              </w:rPr>
            </w:pPr>
            <w:r>
              <w:rPr>
                <w:rFonts w:ascii="Wingdings" w:hAnsi="Wingdings"/>
                <w:spacing w:val="2"/>
                <w:sz w:val="20"/>
              </w:rPr>
              <w:t></w:t>
            </w:r>
            <w:r>
              <w:rPr>
                <w:spacing w:val="2"/>
                <w:sz w:val="20"/>
              </w:rPr>
              <w:t>Favorece </w:t>
            </w:r>
            <w:r>
              <w:rPr>
                <w:sz w:val="20"/>
              </w:rPr>
              <w:t>la relación de los actores de la CHPH por  la vía</w:t>
              <w:tab/>
              <w:t>democrática</w:t>
              <w:tab/>
              <w:t>y</w:t>
            </w:r>
            <w:r>
              <w:rPr>
                <w:w w:val="99"/>
                <w:sz w:val="20"/>
              </w:rPr>
              <w:t> </w:t>
            </w:r>
            <w:r>
              <w:rPr>
                <w:sz w:val="20"/>
              </w:rPr>
              <w:t>participativa</w:t>
            </w:r>
          </w:p>
          <w:p>
            <w:pPr>
              <w:pStyle w:val="TableParagraph"/>
              <w:ind w:left="280" w:right="103" w:hanging="178"/>
              <w:jc w:val="both"/>
              <w:rPr>
                <w:sz w:val="20"/>
              </w:rPr>
            </w:pPr>
            <w:r>
              <w:rPr>
                <w:rFonts w:ascii="Wingdings" w:hAnsi="Wingdings"/>
                <w:sz w:val="20"/>
              </w:rPr>
              <w:t></w:t>
            </w:r>
            <w:r>
              <w:rPr>
                <w:sz w:val="20"/>
              </w:rPr>
              <w:t>Favorece los vínculos entre actores para cuidar el medio ambiente</w:t>
            </w:r>
          </w:p>
          <w:p>
            <w:pPr>
              <w:pStyle w:val="TableParagraph"/>
              <w:rPr>
                <w:sz w:val="20"/>
              </w:rPr>
            </w:pPr>
            <w:r>
              <w:rPr>
                <w:rFonts w:ascii="Wingdings" w:hAnsi="Wingdings"/>
                <w:sz w:val="20"/>
              </w:rPr>
              <w:t></w:t>
            </w:r>
            <w:r>
              <w:rPr>
                <w:sz w:val="20"/>
              </w:rPr>
              <w:t>Favorece la GIRH</w:t>
            </w:r>
          </w:p>
          <w:p>
            <w:pPr>
              <w:pStyle w:val="TableParagraph"/>
              <w:spacing w:line="229" w:lineRule="exact" w:before="1"/>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tabs>
                <w:tab w:pos="1950"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79" w:type="dxa"/>
            <w:vMerge/>
          </w:tcPr>
          <w:p>
            <w:pPr/>
          </w:p>
        </w:tc>
        <w:tc>
          <w:tcPr>
            <w:tcW w:w="2482" w:type="dxa"/>
            <w:vMerge/>
          </w:tcPr>
          <w:p>
            <w:pPr/>
          </w:p>
        </w:tc>
        <w:tc>
          <w:tcPr>
            <w:tcW w:w="1630" w:type="dxa"/>
            <w:vMerge/>
            <w:tcBorders>
              <w:right w:val="double" w:sz="12" w:space="0" w:color="000000"/>
            </w:tcBorders>
            <w:shd w:val="clear" w:color="auto" w:fill="FF0000"/>
          </w:tcPr>
          <w:p>
            <w:pPr/>
          </w:p>
        </w:tc>
      </w:tr>
      <w:tr>
        <w:trPr>
          <w:trHeight w:val="1481" w:hRule="exact"/>
        </w:trPr>
        <w:tc>
          <w:tcPr>
            <w:tcW w:w="954" w:type="dxa"/>
            <w:tcBorders>
              <w:left w:val="double" w:sz="11" w:space="0" w:color="000000"/>
            </w:tcBorders>
          </w:tcPr>
          <w:p>
            <w:pPr>
              <w:pStyle w:val="TableParagraph"/>
              <w:spacing w:line="227" w:lineRule="exact"/>
              <w:ind w:left="209" w:right="212"/>
              <w:jc w:val="center"/>
              <w:rPr>
                <w:sz w:val="20"/>
              </w:rPr>
            </w:pPr>
            <w:r>
              <w:rPr>
                <w:sz w:val="20"/>
              </w:rPr>
              <w:t>1940</w:t>
            </w:r>
          </w:p>
        </w:tc>
        <w:tc>
          <w:tcPr>
            <w:tcW w:w="1894" w:type="dxa"/>
            <w:vMerge/>
          </w:tcPr>
          <w:p>
            <w:pPr/>
          </w:p>
        </w:tc>
        <w:tc>
          <w:tcPr>
            <w:tcW w:w="1349" w:type="dxa"/>
            <w:vMerge/>
          </w:tcPr>
          <w:p>
            <w:pPr/>
          </w:p>
        </w:tc>
        <w:tc>
          <w:tcPr>
            <w:tcW w:w="3034" w:type="dxa"/>
            <w:vMerge/>
          </w:tcPr>
          <w:p>
            <w:pPr/>
          </w:p>
        </w:tc>
        <w:tc>
          <w:tcPr>
            <w:tcW w:w="1479" w:type="dxa"/>
            <w:vMerge/>
          </w:tcPr>
          <w:p>
            <w:pPr/>
          </w:p>
        </w:tc>
        <w:tc>
          <w:tcPr>
            <w:tcW w:w="2482" w:type="dxa"/>
            <w:vMerge/>
          </w:tcPr>
          <w:p>
            <w:pPr/>
          </w:p>
        </w:tc>
        <w:tc>
          <w:tcPr>
            <w:tcW w:w="1630" w:type="dxa"/>
            <w:vMerge/>
            <w:tcBorders>
              <w:right w:val="double" w:sz="12" w:space="0" w:color="000000"/>
            </w:tcBorders>
            <w:shd w:val="clear" w:color="auto" w:fill="FF0000"/>
          </w:tcPr>
          <w:p>
            <w:pPr/>
          </w:p>
        </w:tc>
      </w:tr>
      <w:tr>
        <w:trPr>
          <w:trHeight w:val="1123" w:hRule="exact"/>
        </w:trPr>
        <w:tc>
          <w:tcPr>
            <w:tcW w:w="954" w:type="dxa"/>
            <w:tcBorders>
              <w:left w:val="double" w:sz="11" w:space="0" w:color="000000"/>
            </w:tcBorders>
          </w:tcPr>
          <w:p>
            <w:pPr>
              <w:pStyle w:val="TableParagraph"/>
              <w:spacing w:line="227" w:lineRule="exact"/>
              <w:ind w:left="209" w:right="212"/>
              <w:jc w:val="center"/>
              <w:rPr>
                <w:sz w:val="20"/>
              </w:rPr>
            </w:pPr>
            <w:r>
              <w:rPr>
                <w:sz w:val="20"/>
              </w:rPr>
              <w:t>1982</w:t>
            </w:r>
          </w:p>
        </w:tc>
        <w:tc>
          <w:tcPr>
            <w:tcW w:w="1894" w:type="dxa"/>
            <w:vMerge/>
          </w:tcPr>
          <w:p>
            <w:pPr/>
          </w:p>
        </w:tc>
        <w:tc>
          <w:tcPr>
            <w:tcW w:w="1349" w:type="dxa"/>
            <w:vMerge/>
          </w:tcPr>
          <w:p>
            <w:pPr/>
          </w:p>
        </w:tc>
        <w:tc>
          <w:tcPr>
            <w:tcW w:w="3034" w:type="dxa"/>
            <w:vMerge/>
          </w:tcPr>
          <w:p>
            <w:pPr/>
          </w:p>
        </w:tc>
        <w:tc>
          <w:tcPr>
            <w:tcW w:w="1479" w:type="dxa"/>
            <w:vMerge/>
          </w:tcPr>
          <w:p>
            <w:pPr/>
          </w:p>
        </w:tc>
        <w:tc>
          <w:tcPr>
            <w:tcW w:w="2482" w:type="dxa"/>
            <w:vMerge/>
          </w:tcPr>
          <w:p>
            <w:pPr/>
          </w:p>
        </w:tc>
        <w:tc>
          <w:tcPr>
            <w:tcW w:w="1630" w:type="dxa"/>
            <w:vMerge/>
            <w:tcBorders>
              <w:right w:val="double" w:sz="12" w:space="0" w:color="000000"/>
            </w:tcBorders>
            <w:shd w:val="clear" w:color="auto" w:fill="FF0000"/>
          </w:tcPr>
          <w:p>
            <w:pPr/>
          </w:p>
        </w:tc>
      </w:tr>
      <w:tr>
        <w:trPr>
          <w:trHeight w:val="2794" w:hRule="exact"/>
        </w:trPr>
        <w:tc>
          <w:tcPr>
            <w:tcW w:w="12822" w:type="dxa"/>
            <w:gridSpan w:val="7"/>
          </w:tcPr>
          <w:p>
            <w:pPr>
              <w:pStyle w:val="TableParagraph"/>
              <w:spacing w:line="248" w:lineRule="exact"/>
              <w:ind w:left="2197" w:right="57"/>
              <w:rPr>
                <w:sz w:val="22"/>
              </w:rPr>
            </w:pPr>
            <w:r>
              <w:rPr>
                <w:b/>
                <w:sz w:val="22"/>
              </w:rPr>
              <w:t>Fuente: </w:t>
            </w:r>
            <w:r>
              <w:rPr>
                <w:sz w:val="22"/>
              </w:rPr>
              <w:t>elaboración propia con base en trabajo campo y gabinete García, 2013-2015.</w:t>
            </w:r>
          </w:p>
          <w:p>
            <w:pPr>
              <w:pStyle w:val="TableParagraph"/>
              <w:ind w:left="0"/>
              <w:rPr>
                <w:rFonts w:ascii="Times New Roman"/>
                <w:sz w:val="22"/>
              </w:rPr>
            </w:pPr>
          </w:p>
          <w:p>
            <w:pPr>
              <w:pStyle w:val="TableParagraph"/>
              <w:ind w:left="27"/>
              <w:jc w:val="both"/>
              <w:rPr>
                <w:b/>
                <w:sz w:val="22"/>
              </w:rPr>
            </w:pPr>
            <w:r>
              <w:rPr>
                <w:b/>
                <w:sz w:val="22"/>
              </w:rPr>
              <w:t>Interpretación de la anterior gráfica y la tarjeta de valoración:</w:t>
            </w:r>
          </w:p>
          <w:p>
            <w:pPr>
              <w:pStyle w:val="TableParagraph"/>
              <w:numPr>
                <w:ilvl w:val="0"/>
                <w:numId w:val="143"/>
              </w:numPr>
              <w:tabs>
                <w:tab w:pos="198" w:val="left" w:leader="none"/>
              </w:tabs>
              <w:spacing w:line="240" w:lineRule="auto" w:before="1" w:after="0"/>
              <w:ind w:left="27" w:right="26" w:firstLine="0"/>
              <w:jc w:val="both"/>
              <w:rPr>
                <w:sz w:val="22"/>
              </w:rPr>
            </w:pPr>
            <w:r>
              <w:rPr>
                <w:sz w:val="22"/>
              </w:rPr>
              <w:t>En 1400 era la época prehispánica donde todavía la provincia de Xilotepec estaba poblada por otomíes principalmente que tenían una organización sociopolítica de tipo horizontal, donde todos cooperaban en el cuidado del medio ambiente, por lo que esta época fue excelente porque no existía el deterioro ambiental ni la sobreexplotación porque la población aún no era tan numerosa, por lo que el impacto ambiental, económico y sociopolítico fue</w:t>
            </w:r>
            <w:r>
              <w:rPr>
                <w:spacing w:val="-26"/>
                <w:sz w:val="22"/>
              </w:rPr>
              <w:t> </w:t>
            </w:r>
            <w:r>
              <w:rPr>
                <w:sz w:val="22"/>
              </w:rPr>
              <w:t>positivo.</w:t>
            </w:r>
          </w:p>
          <w:p>
            <w:pPr>
              <w:pStyle w:val="TableParagraph"/>
              <w:numPr>
                <w:ilvl w:val="0"/>
                <w:numId w:val="143"/>
              </w:numPr>
              <w:tabs>
                <w:tab w:pos="170" w:val="left" w:leader="none"/>
              </w:tabs>
              <w:spacing w:line="240" w:lineRule="auto" w:before="1" w:after="0"/>
              <w:ind w:left="27" w:right="30" w:firstLine="0"/>
              <w:jc w:val="both"/>
              <w:rPr>
                <w:sz w:val="22"/>
              </w:rPr>
            </w:pPr>
            <w:r>
              <w:rPr>
                <w:sz w:val="22"/>
              </w:rPr>
              <w:t>En 1519 fue vista por primera vez la provincia de Xilotepec por los españoles, pero fue a mediados de la década de 1520 que la provincia de Xilotepec fue dominada en la parte sur por los españoles y fue en 1533 que se asignó en su totalidad como encomienda a Juan Jaramillo de Salvatierra (esposo de la Malinche). En este período había todavía cooperación sociopolítica, económica</w:t>
            </w:r>
            <w:r>
              <w:rPr>
                <w:spacing w:val="42"/>
                <w:sz w:val="22"/>
              </w:rPr>
              <w:t> </w:t>
            </w:r>
            <w:r>
              <w:rPr>
                <w:sz w:val="22"/>
              </w:rPr>
              <w:t>y</w:t>
            </w:r>
            <w:r>
              <w:rPr>
                <w:spacing w:val="40"/>
                <w:sz w:val="22"/>
              </w:rPr>
              <w:t> </w:t>
            </w:r>
            <w:r>
              <w:rPr>
                <w:sz w:val="22"/>
              </w:rPr>
              <w:t>ambiental</w:t>
            </w:r>
            <w:r>
              <w:rPr>
                <w:spacing w:val="39"/>
                <w:sz w:val="22"/>
              </w:rPr>
              <w:t> </w:t>
            </w:r>
            <w:r>
              <w:rPr>
                <w:sz w:val="22"/>
              </w:rPr>
              <w:t>entre</w:t>
            </w:r>
            <w:r>
              <w:rPr>
                <w:spacing w:val="40"/>
                <w:sz w:val="22"/>
              </w:rPr>
              <w:t> </w:t>
            </w:r>
            <w:r>
              <w:rPr>
                <w:sz w:val="22"/>
              </w:rPr>
              <w:t>actores,</w:t>
            </w:r>
            <w:r>
              <w:rPr>
                <w:spacing w:val="41"/>
                <w:sz w:val="22"/>
              </w:rPr>
              <w:t> </w:t>
            </w:r>
            <w:r>
              <w:rPr>
                <w:sz w:val="22"/>
              </w:rPr>
              <w:t>aunque</w:t>
            </w:r>
            <w:r>
              <w:rPr>
                <w:spacing w:val="42"/>
                <w:sz w:val="22"/>
              </w:rPr>
              <w:t> </w:t>
            </w:r>
            <w:r>
              <w:rPr>
                <w:spacing w:val="-3"/>
                <w:sz w:val="22"/>
              </w:rPr>
              <w:t>ya</w:t>
            </w:r>
            <w:r>
              <w:rPr>
                <w:spacing w:val="42"/>
                <w:sz w:val="22"/>
              </w:rPr>
              <w:t> </w:t>
            </w:r>
            <w:r>
              <w:rPr>
                <w:sz w:val="22"/>
              </w:rPr>
              <w:t>estaban</w:t>
            </w:r>
            <w:r>
              <w:rPr>
                <w:spacing w:val="39"/>
                <w:sz w:val="22"/>
              </w:rPr>
              <w:t> </w:t>
            </w:r>
            <w:r>
              <w:rPr>
                <w:sz w:val="22"/>
              </w:rPr>
              <w:t>inmersos</w:t>
            </w:r>
            <w:r>
              <w:rPr>
                <w:spacing w:val="42"/>
                <w:sz w:val="22"/>
              </w:rPr>
              <w:t> </w:t>
            </w:r>
            <w:r>
              <w:rPr>
                <w:sz w:val="22"/>
              </w:rPr>
              <w:t>los</w:t>
            </w:r>
            <w:r>
              <w:rPr>
                <w:spacing w:val="40"/>
                <w:sz w:val="22"/>
              </w:rPr>
              <w:t> </w:t>
            </w:r>
            <w:r>
              <w:rPr>
                <w:sz w:val="22"/>
              </w:rPr>
              <w:t>españoles</w:t>
            </w:r>
            <w:r>
              <w:rPr>
                <w:spacing w:val="42"/>
                <w:sz w:val="22"/>
              </w:rPr>
              <w:t> </w:t>
            </w:r>
            <w:r>
              <w:rPr>
                <w:sz w:val="22"/>
              </w:rPr>
              <w:t>en</w:t>
            </w:r>
            <w:r>
              <w:rPr>
                <w:spacing w:val="40"/>
                <w:sz w:val="22"/>
              </w:rPr>
              <w:t> </w:t>
            </w:r>
            <w:r>
              <w:rPr>
                <w:sz w:val="22"/>
              </w:rPr>
              <w:t>su</w:t>
            </w:r>
            <w:r>
              <w:rPr>
                <w:spacing w:val="40"/>
                <w:sz w:val="22"/>
              </w:rPr>
              <w:t> </w:t>
            </w:r>
            <w:r>
              <w:rPr>
                <w:sz w:val="22"/>
              </w:rPr>
              <w:t>territorio,</w:t>
            </w:r>
            <w:r>
              <w:rPr>
                <w:spacing w:val="43"/>
                <w:sz w:val="22"/>
              </w:rPr>
              <w:t> </w:t>
            </w:r>
            <w:r>
              <w:rPr>
                <w:sz w:val="22"/>
              </w:rPr>
              <w:t>por</w:t>
            </w:r>
            <w:r>
              <w:rPr>
                <w:spacing w:val="43"/>
                <w:sz w:val="22"/>
              </w:rPr>
              <w:t> </w:t>
            </w:r>
            <w:r>
              <w:rPr>
                <w:sz w:val="22"/>
              </w:rPr>
              <w:t>lo</w:t>
            </w:r>
            <w:r>
              <w:rPr>
                <w:spacing w:val="40"/>
                <w:sz w:val="22"/>
              </w:rPr>
              <w:t> </w:t>
            </w:r>
            <w:r>
              <w:rPr>
                <w:sz w:val="22"/>
              </w:rPr>
              <w:t>que</w:t>
            </w:r>
            <w:r>
              <w:rPr>
                <w:spacing w:val="40"/>
                <w:sz w:val="22"/>
              </w:rPr>
              <w:t> </w:t>
            </w:r>
            <w:r>
              <w:rPr>
                <w:sz w:val="22"/>
              </w:rPr>
              <w:t>todavía</w:t>
            </w:r>
            <w:r>
              <w:rPr>
                <w:spacing w:val="44"/>
                <w:sz w:val="22"/>
              </w:rPr>
              <w:t> </w:t>
            </w:r>
            <w:r>
              <w:rPr>
                <w:sz w:val="22"/>
              </w:rPr>
              <w:t>puede</w:t>
            </w:r>
          </w:p>
        </w:tc>
      </w:tr>
    </w:tbl>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30280"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BodyText"/>
        <w:spacing w:line="252" w:lineRule="exact" w:before="72"/>
        <w:ind w:left="180"/>
        <w:jc w:val="both"/>
      </w:pPr>
      <w:r>
        <w:rPr/>
        <w:t>considerarse como una época buena.</w:t>
      </w:r>
    </w:p>
    <w:p>
      <w:pPr>
        <w:pStyle w:val="ListParagraph"/>
        <w:numPr>
          <w:ilvl w:val="0"/>
          <w:numId w:val="121"/>
        </w:numPr>
        <w:tabs>
          <w:tab w:pos="324" w:val="left" w:leader="none"/>
        </w:tabs>
        <w:spacing w:line="240" w:lineRule="auto" w:before="0" w:after="0"/>
        <w:ind w:left="180" w:right="403" w:firstLine="0"/>
        <w:jc w:val="both"/>
        <w:rPr>
          <w:sz w:val="22"/>
        </w:rPr>
      </w:pPr>
      <w:r>
        <w:rPr>
          <w:sz w:val="22"/>
        </w:rPr>
        <w:t>A partir de que llegaron los españoles empezaron a sobreexplotar los recursos naturales y a la población nativa de la CHPH por lo que para 1580 ya tenían una serie de haciendas y ranchos, como la Hacienda de Arroyo Zarco y el Rancho Huapango, que requerían de agua para los sembradíos y el ganado, por lo que en 1785 los frailes franciscanos construyeron la presa Huapango  y Huaracha del gran lago que existía en la sábana Huapango para retener el agua y poder regar, por lo que en este episodio empezó a haber una sobreexplotación de los recursos naturales que limitó la cooperación entre actores de la</w:t>
      </w:r>
      <w:r>
        <w:rPr>
          <w:spacing w:val="-32"/>
          <w:sz w:val="22"/>
        </w:rPr>
        <w:t> </w:t>
      </w:r>
      <w:r>
        <w:rPr>
          <w:sz w:val="22"/>
        </w:rPr>
        <w:t>CHPH.</w:t>
      </w:r>
    </w:p>
    <w:p>
      <w:pPr>
        <w:pStyle w:val="ListParagraph"/>
        <w:numPr>
          <w:ilvl w:val="0"/>
          <w:numId w:val="121"/>
        </w:numPr>
        <w:tabs>
          <w:tab w:pos="341" w:val="left" w:leader="none"/>
        </w:tabs>
        <w:spacing w:line="240" w:lineRule="auto" w:before="0" w:after="0"/>
        <w:ind w:left="180" w:right="401" w:firstLine="0"/>
        <w:jc w:val="both"/>
        <w:rPr>
          <w:sz w:val="22"/>
        </w:rPr>
      </w:pPr>
      <w:r>
        <w:rPr>
          <w:sz w:val="22"/>
        </w:rPr>
        <w:t>Posteriormente para 1810 empieza la lucha de independencia, precisamente porque los recursos naturales, la tierra, el agua, montes, minas, etc. estaban en manos de unos cuantos hacendados y porque la sobreexplotación humana y natural era desmedida por lo que el impacto ambiental, económico y sociopolítico empezó a hacer deficiente completamente y la cooperación para cuidar el medio ambiente se vio limitada por estos hechos</w:t>
      </w:r>
      <w:r>
        <w:rPr>
          <w:spacing w:val="-22"/>
          <w:sz w:val="22"/>
        </w:rPr>
        <w:t> </w:t>
      </w:r>
      <w:r>
        <w:rPr>
          <w:sz w:val="22"/>
        </w:rPr>
        <w:t>históricos.</w:t>
      </w:r>
    </w:p>
    <w:p>
      <w:pPr>
        <w:pStyle w:val="ListParagraph"/>
        <w:numPr>
          <w:ilvl w:val="0"/>
          <w:numId w:val="121"/>
        </w:numPr>
        <w:tabs>
          <w:tab w:pos="334" w:val="left" w:leader="none"/>
        </w:tabs>
        <w:spacing w:line="240" w:lineRule="auto" w:before="0" w:after="0"/>
        <w:ind w:left="180" w:right="399" w:firstLine="0"/>
        <w:jc w:val="both"/>
        <w:rPr>
          <w:sz w:val="22"/>
        </w:rPr>
      </w:pPr>
      <w:r>
        <w:rPr>
          <w:sz w:val="22"/>
        </w:rPr>
        <w:t>En 1861 se empiezan a crear los municipios en la CHPH como consecuencia de la concentración de la población, haciéndose llamar villas, donde ahora se encuentran las cabeceras municipales, pero estos municipios se crean con una serie de vicios y desigualdades ambientales, económicas y sociopolíticas deficientes que en la actualidad se ven reflejadas en su desarrollo, por lo que la cooperación entre cabildos para cuidar el medio ambiente no existe porque la ley los limita y esto inhibe la cooperación de los actores</w:t>
      </w:r>
      <w:r>
        <w:rPr>
          <w:spacing w:val="-5"/>
          <w:sz w:val="22"/>
        </w:rPr>
        <w:t> </w:t>
      </w:r>
      <w:r>
        <w:rPr>
          <w:sz w:val="22"/>
        </w:rPr>
        <w:t>históricos.</w:t>
      </w:r>
    </w:p>
    <w:p>
      <w:pPr>
        <w:pStyle w:val="ListParagraph"/>
        <w:numPr>
          <w:ilvl w:val="0"/>
          <w:numId w:val="121"/>
        </w:numPr>
        <w:tabs>
          <w:tab w:pos="358" w:val="left" w:leader="none"/>
        </w:tabs>
        <w:spacing w:line="240" w:lineRule="auto" w:before="0" w:after="0"/>
        <w:ind w:left="180" w:right="399" w:firstLine="0"/>
        <w:jc w:val="both"/>
        <w:rPr>
          <w:sz w:val="22"/>
        </w:rPr>
      </w:pPr>
      <w:r>
        <w:rPr>
          <w:sz w:val="22"/>
        </w:rPr>
        <w:t>Para 1910 siguen las desigualdades sociopolíticas, económicas y ambientales, donde los grandes terratenientes poseen la mayoría de las tierras y recursos naturales, por lo que surge la Revolución Mexicana en busca del reconocimiento de los derechos civiles y el reparto agrario, se logran plasmar algunos derechos en la Constitución de 1917, pero aún deficientes en la actualidad y la cooperación entre actores de la CHPH para cuidar el medio ambiente sigue siendo limitada porque los actores de </w:t>
      </w:r>
      <w:r>
        <w:rPr>
          <w:spacing w:val="4"/>
          <w:sz w:val="22"/>
        </w:rPr>
        <w:t>la </w:t>
      </w:r>
      <w:r>
        <w:rPr>
          <w:sz w:val="22"/>
        </w:rPr>
        <w:t>cuenca están enfocados en defender sus derechos</w:t>
      </w:r>
      <w:r>
        <w:rPr>
          <w:spacing w:val="-15"/>
          <w:sz w:val="22"/>
        </w:rPr>
        <w:t> </w:t>
      </w:r>
      <w:r>
        <w:rPr>
          <w:sz w:val="22"/>
        </w:rPr>
        <w:t>civiles.</w:t>
      </w:r>
    </w:p>
    <w:p>
      <w:pPr>
        <w:pStyle w:val="ListParagraph"/>
        <w:numPr>
          <w:ilvl w:val="0"/>
          <w:numId w:val="121"/>
        </w:numPr>
        <w:tabs>
          <w:tab w:pos="341" w:val="left" w:leader="none"/>
        </w:tabs>
        <w:spacing w:line="240" w:lineRule="auto" w:before="0" w:after="0"/>
        <w:ind w:left="180" w:right="398" w:firstLine="0"/>
        <w:jc w:val="both"/>
        <w:rPr>
          <w:sz w:val="22"/>
        </w:rPr>
      </w:pPr>
      <w:r>
        <w:rPr>
          <w:sz w:val="22"/>
        </w:rPr>
        <w:t>Desde la Revolución Mexicana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del </w:t>
      </w:r>
      <w:r>
        <w:rPr>
          <w:spacing w:val="-2"/>
          <w:sz w:val="22"/>
        </w:rPr>
        <w:t>Río </w:t>
      </w:r>
      <w:r>
        <w:rPr>
          <w:sz w:val="22"/>
        </w:rPr>
        <w:t>(1936-1940)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los bosques, etc.) que aún no se pueden resolver, teniendo esto un impacto en lo sociopolítico, económico y</w:t>
      </w:r>
      <w:r>
        <w:rPr>
          <w:spacing w:val="-31"/>
          <w:sz w:val="22"/>
        </w:rPr>
        <w:t> </w:t>
      </w:r>
      <w:r>
        <w:rPr>
          <w:sz w:val="22"/>
        </w:rPr>
        <w:t>ambiental.</w:t>
      </w:r>
    </w:p>
    <w:p>
      <w:pPr>
        <w:pStyle w:val="ListParagraph"/>
        <w:numPr>
          <w:ilvl w:val="0"/>
          <w:numId w:val="121"/>
        </w:numPr>
        <w:tabs>
          <w:tab w:pos="332" w:val="left" w:leader="none"/>
        </w:tabs>
        <w:spacing w:line="240" w:lineRule="auto" w:before="1" w:after="0"/>
        <w:ind w:left="180" w:right="401" w:firstLine="0"/>
        <w:jc w:val="both"/>
        <w:rPr>
          <w:sz w:val="22"/>
        </w:rPr>
      </w:pPr>
      <w:r>
        <w:rPr>
          <w:sz w:val="22"/>
        </w:rPr>
        <w:t>Para 1982 se libera el mercado y se limita la intervención del Estado con lo que se genera una sobreexplotación mayor de los recursos naturales que obedece a intereses internacionales y a la limitación de la intervención de los actores locales de la CHPH, lo cual genera una deficiencia en la cooperación ambiental de los</w:t>
      </w:r>
      <w:r>
        <w:rPr>
          <w:spacing w:val="-16"/>
          <w:sz w:val="22"/>
        </w:rPr>
        <w:t> </w:t>
      </w:r>
      <w:r>
        <w:rPr>
          <w:sz w:val="22"/>
        </w:rPr>
        <w:t>actores.</w:t>
      </w:r>
    </w:p>
    <w:p>
      <w:pPr>
        <w:spacing w:after="0" w:line="240" w:lineRule="auto"/>
        <w:jc w:val="both"/>
        <w:rPr>
          <w:sz w:val="22"/>
        </w:rPr>
        <w:sectPr>
          <w:footerReference w:type="default" r:id="rId366"/>
          <w:pgSz w:w="15840" w:h="12240" w:orient="landscape"/>
          <w:pgMar w:footer="943" w:header="0" w:top="1140" w:bottom="1140" w:left="1200" w:right="1300"/>
          <w:pgNumType w:start="61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1526" w:hRule="exact"/>
        </w:trPr>
        <w:tc>
          <w:tcPr>
            <w:tcW w:w="12897" w:type="dxa"/>
          </w:tcPr>
          <w:p>
            <w:pPr>
              <w:pStyle w:val="TableParagraph"/>
              <w:ind w:left="64" w:right="67"/>
              <w:jc w:val="both"/>
              <w:rPr>
                <w:sz w:val="22"/>
              </w:rPr>
            </w:pPr>
            <w:r>
              <w:rPr>
                <w:sz w:val="22"/>
              </w:rPr>
              <w:t>- Sin embargo para 2016 los actores históricos y del gobierno municipal, principalmente externaron en trabajo de campo García, 2013-2015 su deseo de cooperación para proteger el medio ambiente de la CHPH que perciben en constante deterioro, por lo que manifestaron su interés en constituir un Comité Intermunicipal con su reglamento para cuidar, defender y administrar los recursos de la cuenca, mediante la GIRH, la gobernanza y la gobernabilidad sustentadas por la democracia sociopolítica, ambiental y económica, por lo que se considera un período regular e incipiente para poder actuar en pro de la sostenibilidad de la cuenca.</w:t>
            </w:r>
          </w:p>
        </w:tc>
      </w:tr>
      <w:tr>
        <w:trPr>
          <w:trHeight w:val="341" w:hRule="exact"/>
        </w:trPr>
        <w:tc>
          <w:tcPr>
            <w:tcW w:w="12897" w:type="dxa"/>
          </w:tcPr>
          <w:p>
            <w:pPr>
              <w:pStyle w:val="TableParagraph"/>
              <w:spacing w:line="251" w:lineRule="exact"/>
              <w:ind w:left="170" w:right="175"/>
              <w:jc w:val="center"/>
              <w:rPr>
                <w:b/>
                <w:sz w:val="22"/>
              </w:rPr>
            </w:pPr>
            <w:r>
              <w:rPr>
                <w:b/>
                <w:sz w:val="22"/>
              </w:rPr>
              <w:t>VENTAJAS DEL INDICADOR</w:t>
            </w:r>
          </w:p>
        </w:tc>
      </w:tr>
      <w:tr>
        <w:trPr>
          <w:trHeight w:val="769" w:hRule="exact"/>
        </w:trPr>
        <w:tc>
          <w:tcPr>
            <w:tcW w:w="12897" w:type="dxa"/>
          </w:tcPr>
          <w:p>
            <w:pPr>
              <w:pStyle w:val="TableParagraph"/>
              <w:numPr>
                <w:ilvl w:val="0"/>
                <w:numId w:val="144"/>
              </w:numPr>
              <w:tabs>
                <w:tab w:pos="240" w:val="left" w:leader="none"/>
              </w:tabs>
              <w:spacing w:line="251" w:lineRule="exact" w:before="0" w:after="0"/>
              <w:ind w:left="103" w:right="0" w:firstLine="0"/>
              <w:jc w:val="left"/>
              <w:rPr>
                <w:sz w:val="22"/>
              </w:rPr>
            </w:pPr>
            <w:r>
              <w:rPr>
                <w:sz w:val="22"/>
              </w:rPr>
              <w:t>Permitió identificar el grado de cooperación de los actores de la CHPH para cuidar el medio</w:t>
            </w:r>
            <w:r>
              <w:rPr>
                <w:spacing w:val="-28"/>
                <w:sz w:val="22"/>
              </w:rPr>
              <w:t> </w:t>
            </w:r>
            <w:r>
              <w:rPr>
                <w:sz w:val="22"/>
              </w:rPr>
              <w:t>ambiente.</w:t>
            </w:r>
          </w:p>
          <w:p>
            <w:pPr>
              <w:pStyle w:val="TableParagraph"/>
              <w:numPr>
                <w:ilvl w:val="0"/>
                <w:numId w:val="144"/>
              </w:numPr>
              <w:tabs>
                <w:tab w:pos="243" w:val="left" w:leader="none"/>
              </w:tabs>
              <w:spacing w:line="240" w:lineRule="auto" w:before="2" w:after="0"/>
              <w:ind w:left="103" w:right="100" w:firstLine="0"/>
              <w:jc w:val="left"/>
              <w:rPr>
                <w:sz w:val="22"/>
              </w:rPr>
            </w:pPr>
            <w:r>
              <w:rPr>
                <w:sz w:val="22"/>
              </w:rPr>
              <w:t>Sirvió de guía de explicación para la elaboración de la propuesta de creación de un Comité Intermunicipal con su reglamento en la</w:t>
            </w:r>
            <w:r>
              <w:rPr>
                <w:spacing w:val="-3"/>
                <w:sz w:val="22"/>
              </w:rPr>
              <w:t> </w:t>
            </w:r>
            <w:r>
              <w:rPr>
                <w:sz w:val="22"/>
              </w:rPr>
              <w:t>CHPH.</w:t>
            </w:r>
          </w:p>
        </w:tc>
      </w:tr>
      <w:tr>
        <w:trPr>
          <w:trHeight w:val="341" w:hRule="exact"/>
        </w:trPr>
        <w:tc>
          <w:tcPr>
            <w:tcW w:w="12897" w:type="dxa"/>
          </w:tcPr>
          <w:p>
            <w:pPr>
              <w:pStyle w:val="TableParagraph"/>
              <w:spacing w:line="251" w:lineRule="exact"/>
              <w:ind w:left="170" w:right="175"/>
              <w:jc w:val="center"/>
              <w:rPr>
                <w:b/>
                <w:sz w:val="22"/>
              </w:rPr>
            </w:pPr>
            <w:r>
              <w:rPr>
                <w:b/>
                <w:sz w:val="22"/>
              </w:rPr>
              <w:t>DESVENTAJAS DEL INDICADOR</w:t>
            </w:r>
          </w:p>
        </w:tc>
      </w:tr>
      <w:tr>
        <w:trPr>
          <w:trHeight w:val="516" w:hRule="exact"/>
        </w:trPr>
        <w:tc>
          <w:tcPr>
            <w:tcW w:w="12897" w:type="dxa"/>
          </w:tcPr>
          <w:p>
            <w:pPr>
              <w:pStyle w:val="TableParagraph"/>
              <w:spacing w:line="242" w:lineRule="auto"/>
              <w:ind w:right="163"/>
              <w:rPr>
                <w:sz w:val="22"/>
              </w:rPr>
            </w:pPr>
            <w:r>
              <w:rPr>
                <w:sz w:val="22"/>
              </w:rPr>
              <w:t>- La cooperación ambiental en la CHPH se pudo percibir como meramente local y no como regional, por lo que se requiere organización intermunicipal para atender los problemas ambientales comunes.</w:t>
            </w:r>
          </w:p>
        </w:tc>
      </w:tr>
    </w:tbl>
    <w:p>
      <w:pPr>
        <w:spacing w:after="0" w:line="242" w:lineRule="auto"/>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597" w:right="105"/>
              <w:rPr>
                <w:b/>
                <w:sz w:val="22"/>
              </w:rPr>
            </w:pPr>
            <w:r>
              <w:rPr>
                <w:b/>
                <w:sz w:val="22"/>
              </w:rPr>
              <w:t>Identidad ambiental</w:t>
            </w:r>
          </w:p>
        </w:tc>
        <w:tc>
          <w:tcPr>
            <w:tcW w:w="3277" w:type="dxa"/>
            <w:gridSpan w:val="3"/>
            <w:vMerge w:val="restart"/>
          </w:tcPr>
          <w:p>
            <w:pPr>
              <w:pStyle w:val="TableParagraph"/>
              <w:ind w:left="100" w:right="102"/>
              <w:jc w:val="both"/>
              <w:rPr>
                <w:b/>
                <w:sz w:val="22"/>
              </w:rPr>
            </w:pPr>
            <w:r>
              <w:rPr>
                <w:b/>
                <w:sz w:val="22"/>
              </w:rPr>
              <w:t>Enumerar los valores colectivos que se han perdido hacia el ecosistema de la CHPH a través del tiempo.</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07"/>
              <w:rPr>
                <w:b/>
                <w:sz w:val="22"/>
              </w:rPr>
            </w:pPr>
            <w:r>
              <w:rPr>
                <w:b/>
                <w:sz w:val="22"/>
              </w:rPr>
              <w:t>17.063/ 18.055</w:t>
            </w:r>
          </w:p>
        </w:tc>
        <w:tc>
          <w:tcPr>
            <w:tcW w:w="1985" w:type="dxa"/>
            <w:gridSpan w:val="2"/>
          </w:tcPr>
          <w:p>
            <w:pPr>
              <w:pStyle w:val="TableParagraph"/>
              <w:spacing w:line="248" w:lineRule="exact"/>
              <w:ind w:left="0"/>
              <w:jc w:val="center"/>
              <w:rPr>
                <w:b/>
                <w:sz w:val="22"/>
              </w:rPr>
            </w:pPr>
            <w:r>
              <w:rPr>
                <w:b/>
                <w:sz w:val="22"/>
              </w:rPr>
              <w:t>94.5%</w:t>
            </w:r>
          </w:p>
        </w:tc>
        <w:tc>
          <w:tcPr>
            <w:tcW w:w="2268" w:type="dxa"/>
            <w:gridSpan w:val="2"/>
          </w:tcPr>
          <w:p>
            <w:pPr>
              <w:pStyle w:val="TableParagraph"/>
              <w:spacing w:line="248" w:lineRule="exact"/>
              <w:ind w:left="136" w:right="136"/>
              <w:jc w:val="center"/>
              <w:rPr>
                <w:b/>
                <w:sz w:val="22"/>
              </w:rPr>
            </w:pPr>
            <w:r>
              <w:rPr>
                <w:b/>
                <w:sz w:val="22"/>
              </w:rPr>
              <w:t>16.125</w:t>
            </w:r>
          </w:p>
        </w:tc>
        <w:tc>
          <w:tcPr>
            <w:tcW w:w="3274" w:type="dxa"/>
            <w:gridSpan w:val="5"/>
            <w:vMerge/>
          </w:tcPr>
          <w:p>
            <w:pPr/>
          </w:p>
        </w:tc>
        <w:tc>
          <w:tcPr>
            <w:tcW w:w="3277" w:type="dxa"/>
            <w:gridSpan w:val="3"/>
            <w:vMerge/>
          </w:tcPr>
          <w:p>
            <w:pPr/>
          </w:p>
        </w:tc>
      </w:tr>
      <w:tr>
        <w:trPr>
          <w:trHeight w:val="262" w:hRule="exact"/>
        </w:trPr>
        <w:tc>
          <w:tcPr>
            <w:tcW w:w="2093" w:type="dxa"/>
            <w:gridSpan w:val="2"/>
            <w:shd w:val="clear" w:color="auto" w:fill="76923B"/>
          </w:tcPr>
          <w:p>
            <w:pPr>
              <w:pStyle w:val="TableParagraph"/>
              <w:spacing w:line="248" w:lineRule="exact"/>
              <w:ind w:left="0" w:right="1"/>
              <w:jc w:val="center"/>
              <w:rPr>
                <w:b/>
                <w:sz w:val="22"/>
              </w:rPr>
            </w:pPr>
            <w:r>
              <w:rPr>
                <w:b/>
                <w:w w:val="100"/>
                <w:sz w:val="22"/>
              </w:rPr>
              <w:t>1</w:t>
            </w:r>
          </w:p>
        </w:tc>
        <w:tc>
          <w:tcPr>
            <w:tcW w:w="1985" w:type="dxa"/>
            <w:gridSpan w:val="2"/>
            <w:tcBorders>
              <w:left w:val="single" w:sz="45" w:space="0" w:color="76923B"/>
            </w:tcBorders>
          </w:tcPr>
          <w:p>
            <w:pPr>
              <w:pStyle w:val="TableParagraph"/>
              <w:spacing w:line="248" w:lineRule="exact"/>
              <w:ind w:left="0" w:right="49"/>
              <w:jc w:val="center"/>
              <w:rPr>
                <w:b/>
                <w:sz w:val="22"/>
              </w:rPr>
            </w:pPr>
            <w:r>
              <w:rPr>
                <w:b/>
                <w:w w:val="100"/>
                <w:sz w:val="22"/>
              </w:rPr>
              <w:t>2</w:t>
            </w:r>
          </w:p>
        </w:tc>
        <w:tc>
          <w:tcPr>
            <w:tcW w:w="2268" w:type="dxa"/>
            <w:gridSpan w:val="2"/>
            <w:tcBorders>
              <w:right w:val="single" w:sz="41" w:space="0" w:color="76923B"/>
            </w:tcBorders>
          </w:tcPr>
          <w:p>
            <w:pPr>
              <w:pStyle w:val="TableParagraph"/>
              <w:spacing w:line="248" w:lineRule="exact"/>
              <w:ind w:left="47"/>
              <w:jc w:val="center"/>
              <w:rPr>
                <w:b/>
                <w:sz w:val="22"/>
              </w:rPr>
            </w:pPr>
            <w:r>
              <w:rPr>
                <w:b/>
                <w:w w:val="100"/>
                <w:sz w:val="22"/>
              </w:rPr>
              <w:t>3</w:t>
            </w:r>
          </w:p>
        </w:tc>
        <w:tc>
          <w:tcPr>
            <w:tcW w:w="1701" w:type="dxa"/>
            <w:gridSpan w:val="2"/>
            <w:shd w:val="clear" w:color="auto" w:fill="76923B"/>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76923B"/>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2" w:right="492"/>
              <w:jc w:val="center"/>
              <w:rPr>
                <w:b/>
                <w:sz w:val="22"/>
              </w:rPr>
            </w:pPr>
            <w:r>
              <w:rPr>
                <w:b/>
                <w:sz w:val="22"/>
              </w:rPr>
              <w:t>124</w:t>
            </w:r>
          </w:p>
        </w:tc>
        <w:tc>
          <w:tcPr>
            <w:tcW w:w="2127" w:type="dxa"/>
            <w:gridSpan w:val="3"/>
            <w:shd w:val="clear" w:color="auto" w:fill="92CDDC"/>
          </w:tcPr>
          <w:p>
            <w:pPr>
              <w:pStyle w:val="TableParagraph"/>
              <w:spacing w:line="248" w:lineRule="exact"/>
              <w:ind w:left="0"/>
              <w:jc w:val="center"/>
              <w:rPr>
                <w:b/>
                <w:sz w:val="22"/>
              </w:rPr>
            </w:pPr>
            <w:r>
              <w:rPr>
                <w:b/>
                <w:w w:val="100"/>
                <w:sz w:val="22"/>
              </w:rPr>
              <w:t>8</w:t>
            </w:r>
          </w:p>
        </w:tc>
        <w:tc>
          <w:tcPr>
            <w:tcW w:w="2410" w:type="dxa"/>
            <w:gridSpan w:val="3"/>
            <w:shd w:val="clear" w:color="auto" w:fill="92CDDC"/>
          </w:tcPr>
          <w:p>
            <w:pPr>
              <w:pStyle w:val="TableParagraph"/>
              <w:spacing w:line="248" w:lineRule="exact"/>
              <w:ind w:left="782" w:right="780"/>
              <w:jc w:val="center"/>
              <w:rPr>
                <w:b/>
                <w:sz w:val="22"/>
              </w:rPr>
            </w:pPr>
            <w:r>
              <w:rPr>
                <w:b/>
                <w:sz w:val="22"/>
              </w:rPr>
              <w:t>1.00</w:t>
            </w:r>
          </w:p>
        </w:tc>
        <w:tc>
          <w:tcPr>
            <w:tcW w:w="1844" w:type="dxa"/>
            <w:gridSpan w:val="2"/>
            <w:shd w:val="clear" w:color="auto" w:fill="F9BE8F"/>
          </w:tcPr>
          <w:p>
            <w:pPr>
              <w:pStyle w:val="TableParagraph"/>
              <w:spacing w:line="248" w:lineRule="exact"/>
              <w:ind w:left="774" w:right="774"/>
              <w:jc w:val="center"/>
              <w:rPr>
                <w:b/>
                <w:sz w:val="22"/>
              </w:rPr>
            </w:pPr>
            <w:r>
              <w:rPr>
                <w:b/>
                <w:sz w:val="22"/>
              </w:rPr>
              <w:t>36</w:t>
            </w:r>
          </w:p>
        </w:tc>
        <w:tc>
          <w:tcPr>
            <w:tcW w:w="2126" w:type="dxa"/>
            <w:gridSpan w:val="3"/>
            <w:shd w:val="clear" w:color="auto" w:fill="F9BE8F"/>
          </w:tcPr>
          <w:p>
            <w:pPr>
              <w:pStyle w:val="TableParagraph"/>
              <w:spacing w:line="248" w:lineRule="exact"/>
              <w:ind w:left="0"/>
              <w:jc w:val="center"/>
              <w:rPr>
                <w:b/>
                <w:sz w:val="22"/>
              </w:rPr>
            </w:pPr>
            <w:r>
              <w:rPr>
                <w:b/>
                <w:w w:val="100"/>
                <w:sz w:val="22"/>
              </w:rPr>
              <w:t>8</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Valores, ecosistema de la CHPH, tiempo.</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264" w:hRule="exact"/>
        </w:trPr>
        <w:tc>
          <w:tcPr>
            <w:tcW w:w="12897" w:type="dxa"/>
            <w:gridSpan w:val="14"/>
          </w:tcPr>
          <w:p>
            <w:pPr>
              <w:pStyle w:val="TableParagraph"/>
              <w:ind w:right="163"/>
              <w:rPr>
                <w:sz w:val="22"/>
              </w:rPr>
            </w:pPr>
            <w:r>
              <w:rPr>
                <w:sz w:val="22"/>
              </w:rPr>
              <w:t>Pérdida de un conjunto de valores colectivos hacia el ecosistema de la CHPH  (García, TC: 2013-2015).</w:t>
            </w:r>
          </w:p>
        </w:tc>
      </w:tr>
      <w:tr>
        <w:trPr>
          <w:trHeight w:val="264"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9"/>
          </w:tcPr>
          <w:p>
            <w:pPr>
              <w:pStyle w:val="TableParagraph"/>
              <w:spacing w:line="248" w:lineRule="exact"/>
              <w:ind w:left="2419" w:right="108"/>
              <w:rPr>
                <w:b/>
                <w:sz w:val="22"/>
              </w:rPr>
            </w:pPr>
            <w:r>
              <w:rPr>
                <w:b/>
                <w:sz w:val="22"/>
              </w:rPr>
              <w:t>Definición de la unidad de medición</w:t>
            </w:r>
          </w:p>
        </w:tc>
      </w:tr>
      <w:tr>
        <w:trPr>
          <w:trHeight w:val="1022" w:hRule="exact"/>
        </w:trPr>
        <w:tc>
          <w:tcPr>
            <w:tcW w:w="4295" w:type="dxa"/>
            <w:gridSpan w:val="5"/>
          </w:tcPr>
          <w:p>
            <w:pPr>
              <w:pStyle w:val="TableParagraph"/>
              <w:spacing w:line="252" w:lineRule="exact" w:before="2"/>
              <w:ind w:left="307" w:right="289" w:firstLine="146"/>
              <w:rPr>
                <w:sz w:val="22"/>
              </w:rPr>
            </w:pPr>
            <w:r>
              <w:rPr>
                <w:sz w:val="22"/>
              </w:rPr>
              <w:t># de valores colectivos que se han perdido en el ecosistema de la CHPH</w:t>
            </w:r>
          </w:p>
        </w:tc>
        <w:tc>
          <w:tcPr>
            <w:tcW w:w="8603" w:type="dxa"/>
            <w:gridSpan w:val="9"/>
          </w:tcPr>
          <w:p>
            <w:pPr>
              <w:pStyle w:val="TableParagraph"/>
              <w:ind w:right="106"/>
              <w:jc w:val="both"/>
              <w:rPr>
                <w:sz w:val="22"/>
              </w:rPr>
            </w:pPr>
            <w:r>
              <w:rPr>
                <w:sz w:val="22"/>
              </w:rPr>
              <w:t>Cantidad de normas o parámetros culturales de conducta que se han perdido para regular las acciones de los actores en el ecosistema de la CHPH para una convivencia armónica en la región (Ejemplos: la paz, el respeto, la igualdad, la solidaridad y la responsabilidad).</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27.7pt;mso-position-horizontal-relative:page;mso-position-vertical-relative:page;z-index:-3330256"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963;top:2336;width:11616;height:7532" type="#_x0000_t75" stroked="false">
              <v:imagedata r:id="rId367" o:title=""/>
            </v:shape>
            <w10:wrap type="none"/>
          </v:group>
        </w:pict>
      </w:r>
    </w:p>
    <w:p>
      <w:pPr>
        <w:pStyle w:val="BodyText"/>
        <w:spacing w:before="11"/>
        <w:rPr>
          <w:rFonts w:ascii="Times New Roman"/>
        </w:rPr>
      </w:pPr>
    </w:p>
    <w:p>
      <w:pPr>
        <w:pStyle w:val="Heading6"/>
        <w:spacing w:before="73"/>
        <w:ind w:left="5782" w:right="397"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3192">
            <wp:simplePos x="0" y="0"/>
            <wp:positionH relativeFrom="page">
              <wp:posOffset>876300</wp:posOffset>
            </wp:positionH>
            <wp:positionV relativeFrom="page">
              <wp:posOffset>1735454</wp:posOffset>
            </wp:positionV>
            <wp:extent cx="5434814" cy="2453258"/>
            <wp:effectExtent l="0" t="0" r="0" b="0"/>
            <wp:wrapNone/>
            <wp:docPr id="67" name="image242.png" descr=""/>
            <wp:cNvGraphicFramePr>
              <a:graphicFrameLocks noChangeAspect="1"/>
            </wp:cNvGraphicFramePr>
            <a:graphic>
              <a:graphicData uri="http://schemas.openxmlformats.org/drawingml/2006/picture">
                <pic:pic>
                  <pic:nvPicPr>
                    <pic:cNvPr id="68" name="image242.png"/>
                    <pic:cNvPicPr/>
                  </pic:nvPicPr>
                  <pic:blipFill>
                    <a:blip r:embed="rId368" cstate="print"/>
                    <a:stretch>
                      <a:fillRect/>
                    </a:stretch>
                  </pic:blipFill>
                  <pic:spPr>
                    <a:xfrm>
                      <a:off x="0" y="0"/>
                      <a:ext cx="5434814" cy="2453258"/>
                    </a:xfrm>
                    <a:prstGeom prst="rect">
                      <a:avLst/>
                    </a:prstGeom>
                  </pic:spPr>
                </pic:pic>
              </a:graphicData>
            </a:graphic>
          </wp:anchor>
        </w:drawing>
      </w:r>
      <w:r>
        <w:rPr/>
        <w:pict>
          <v:shape style="position:absolute;margin-left:524.830017pt;margin-top:148.460007pt;width:127.5pt;height:145.25pt;mso-position-horizontal-relative:page;mso-position-vertical-relative:page;z-index:132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4" w:hRule="exact"/>
                    </w:trPr>
                    <w:tc>
                      <w:tcPr>
                        <w:tcW w:w="1034" w:type="dxa"/>
                      </w:tcPr>
                      <w:p>
                        <w:pPr>
                          <w:pStyle w:val="TableParagraph"/>
                          <w:spacing w:line="248" w:lineRule="exact"/>
                          <w:rPr>
                            <w:b/>
                            <w:sz w:val="22"/>
                          </w:rPr>
                        </w:pPr>
                        <w:r>
                          <w:rPr>
                            <w:b/>
                            <w:sz w:val="22"/>
                          </w:rPr>
                          <w:t>Período</w:t>
                        </w:r>
                      </w:p>
                    </w:tc>
                    <w:tc>
                      <w:tcPr>
                        <w:tcW w:w="1501" w:type="dxa"/>
                      </w:tcPr>
                      <w:p>
                        <w:pPr>
                          <w:pStyle w:val="TableParagraph"/>
                          <w:spacing w:line="248" w:lineRule="exact"/>
                          <w:rPr>
                            <w:b/>
                            <w:sz w:val="22"/>
                          </w:rPr>
                        </w:pPr>
                        <w:r>
                          <w:rPr>
                            <w:b/>
                            <w:sz w:val="22"/>
                          </w:rPr>
                          <w:t>Calificación</w:t>
                        </w:r>
                      </w:p>
                    </w:tc>
                  </w:tr>
                  <w:tr>
                    <w:trPr>
                      <w:trHeight w:val="262"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Excelente</w:t>
                        </w:r>
                      </w:p>
                    </w:tc>
                  </w:tr>
                  <w:tr>
                    <w:trPr>
                      <w:trHeight w:val="264"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rPr>
                            <w:sz w:val="22"/>
                          </w:rPr>
                        </w:pPr>
                        <w:r>
                          <w:rPr>
                            <w:sz w:val="22"/>
                          </w:rPr>
                          <w:t>1785</w:t>
                        </w:r>
                      </w:p>
                    </w:tc>
                    <w:tc>
                      <w:tcPr>
                        <w:tcW w:w="1501" w:type="dxa"/>
                      </w:tcPr>
                      <w:p>
                        <w:pPr>
                          <w:pStyle w:val="TableParagraph"/>
                          <w:rPr>
                            <w:sz w:val="22"/>
                          </w:rPr>
                        </w:pPr>
                        <w:r>
                          <w:rPr>
                            <w:sz w:val="22"/>
                          </w:rPr>
                          <w:t>Bueno</w:t>
                        </w:r>
                      </w:p>
                    </w:tc>
                  </w:tr>
                  <w:tr>
                    <w:trPr>
                      <w:trHeight w:val="264" w:hRule="exact"/>
                    </w:trPr>
                    <w:tc>
                      <w:tcPr>
                        <w:tcW w:w="1034" w:type="dxa"/>
                      </w:tcPr>
                      <w:p>
                        <w:pPr>
                          <w:pStyle w:val="TableParagraph"/>
                          <w:spacing w:line="251" w:lineRule="exact"/>
                          <w:rPr>
                            <w:sz w:val="22"/>
                          </w:rPr>
                        </w:pPr>
                        <w:r>
                          <w:rPr>
                            <w:sz w:val="22"/>
                          </w:rPr>
                          <w:t>1810</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1861</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rPr>
                            <w:sz w:val="22"/>
                          </w:rPr>
                        </w:pPr>
                        <w:r>
                          <w:rPr>
                            <w:sz w:val="22"/>
                          </w:rPr>
                          <w:t>Bueno</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46"/>
        <w:gridCol w:w="1352"/>
        <w:gridCol w:w="3185"/>
        <w:gridCol w:w="1474"/>
        <w:gridCol w:w="2403"/>
        <w:gridCol w:w="1608"/>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399" w:hRule="exact"/>
        </w:trPr>
        <w:tc>
          <w:tcPr>
            <w:tcW w:w="12822" w:type="dxa"/>
            <w:gridSpan w:val="7"/>
          </w:tcPr>
          <w:p>
            <w:pPr>
              <w:pStyle w:val="TableParagraph"/>
              <w:spacing w:line="242" w:lineRule="auto"/>
              <w:ind w:left="27" w:right="57"/>
              <w:rPr>
                <w:sz w:val="22"/>
              </w:rPr>
            </w:pPr>
            <w:r>
              <w:rPr>
                <w:sz w:val="22"/>
              </w:rPr>
              <w:t>Para identificar la identidad ambiental en la CHPH con un impacto ambiental, sociopolítico y económico a través del tiempo se elaboró la siguiente gráfica:</w:t>
            </w:r>
          </w:p>
          <w:p>
            <w:pPr>
              <w:pStyle w:val="TableParagraph"/>
              <w:spacing w:line="247" w:lineRule="exact"/>
              <w:ind w:left="3512" w:right="57"/>
              <w:rPr>
                <w:b/>
                <w:sz w:val="22"/>
              </w:rPr>
            </w:pPr>
            <w:r>
              <w:rPr>
                <w:b/>
                <w:sz w:val="22"/>
              </w:rPr>
              <w:t>Gráfica 7.8.</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3"/>
              <w:ind w:left="0"/>
              <w:rPr>
                <w:rFonts w:ascii="Times New Roman"/>
                <w:sz w:val="28"/>
              </w:rPr>
            </w:pPr>
          </w:p>
          <w:p>
            <w:pPr>
              <w:pStyle w:val="TableParagraph"/>
              <w:spacing w:line="51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846" w:type="dxa"/>
            <w:vMerge w:val="restart"/>
          </w:tcPr>
          <w:p>
            <w:pPr>
              <w:pStyle w:val="TableParagraph"/>
              <w:tabs>
                <w:tab w:pos="1511" w:val="left" w:leader="none"/>
              </w:tabs>
              <w:ind w:right="101"/>
              <w:jc w:val="both"/>
              <w:rPr>
                <w:sz w:val="20"/>
              </w:rPr>
            </w:pPr>
            <w:r>
              <w:rPr>
                <w:sz w:val="20"/>
              </w:rPr>
              <w:t>Clasificación por número</w:t>
              <w:tab/>
              <w:t>de</w:t>
            </w:r>
            <w:r>
              <w:rPr>
                <w:w w:val="99"/>
                <w:sz w:val="20"/>
              </w:rPr>
              <w:t> </w:t>
            </w:r>
            <w:r>
              <w:rPr>
                <w:sz w:val="20"/>
              </w:rPr>
              <w:t>eventos en el período</w:t>
            </w:r>
          </w:p>
        </w:tc>
        <w:tc>
          <w:tcPr>
            <w:tcW w:w="8414" w:type="dxa"/>
            <w:gridSpan w:val="4"/>
          </w:tcPr>
          <w:p>
            <w:pPr>
              <w:pStyle w:val="TableParagraph"/>
              <w:ind w:right="105"/>
              <w:rPr>
                <w:sz w:val="20"/>
              </w:rPr>
            </w:pPr>
            <w:r>
              <w:rPr>
                <w:sz w:val="20"/>
              </w:rPr>
              <w:t>Clasificación por </w:t>
            </w:r>
            <w:r>
              <w:rPr>
                <w:b/>
                <w:sz w:val="20"/>
              </w:rPr>
              <w:t>características de impacto positivo o negativo </w:t>
            </w:r>
            <w:r>
              <w:rPr>
                <w:sz w:val="20"/>
              </w:rPr>
              <w:t>en los ámbitos ambiental-sociopolítico-económico</w:t>
            </w:r>
          </w:p>
        </w:tc>
        <w:tc>
          <w:tcPr>
            <w:tcW w:w="1608" w:type="dxa"/>
            <w:vMerge w:val="restart"/>
            <w:tcBorders>
              <w:right w:val="double" w:sz="12" w:space="0" w:color="000000"/>
            </w:tcBorders>
          </w:tcPr>
          <w:p>
            <w:pPr>
              <w:pStyle w:val="TableParagraph"/>
              <w:spacing w:before="119"/>
              <w:ind w:left="226" w:right="227"/>
              <w:jc w:val="center"/>
              <w:rPr>
                <w:sz w:val="20"/>
              </w:rPr>
            </w:pPr>
            <w:r>
              <w:rPr>
                <w:w w:val="95"/>
                <w:sz w:val="20"/>
              </w:rPr>
              <w:t>Clasificación </w:t>
            </w:r>
            <w:r>
              <w:rPr>
                <w:sz w:val="20"/>
              </w:rPr>
              <w:t>de la calificación</w:t>
            </w:r>
          </w:p>
        </w:tc>
      </w:tr>
      <w:tr>
        <w:trPr>
          <w:trHeight w:val="470" w:hRule="exact"/>
        </w:trPr>
        <w:tc>
          <w:tcPr>
            <w:tcW w:w="954" w:type="dxa"/>
            <w:vMerge/>
            <w:tcBorders>
              <w:left w:val="double" w:sz="11" w:space="0" w:color="000000"/>
            </w:tcBorders>
          </w:tcPr>
          <w:p>
            <w:pPr/>
          </w:p>
        </w:tc>
        <w:tc>
          <w:tcPr>
            <w:tcW w:w="1846" w:type="dxa"/>
            <w:vMerge/>
          </w:tcPr>
          <w:p>
            <w:pPr/>
          </w:p>
        </w:tc>
        <w:tc>
          <w:tcPr>
            <w:tcW w:w="1352" w:type="dxa"/>
          </w:tcPr>
          <w:p>
            <w:pPr>
              <w:pStyle w:val="TableParagraph"/>
              <w:spacing w:line="227" w:lineRule="exact"/>
              <w:rPr>
                <w:sz w:val="20"/>
              </w:rPr>
            </w:pPr>
            <w:r>
              <w:rPr>
                <w:sz w:val="20"/>
              </w:rPr>
              <w:t>Subsistema</w:t>
            </w:r>
          </w:p>
        </w:tc>
        <w:tc>
          <w:tcPr>
            <w:tcW w:w="3185" w:type="dxa"/>
          </w:tcPr>
          <w:p>
            <w:pPr>
              <w:pStyle w:val="TableParagraph"/>
              <w:spacing w:line="227" w:lineRule="exact"/>
              <w:ind w:right="19"/>
              <w:rPr>
                <w:sz w:val="20"/>
              </w:rPr>
            </w:pPr>
            <w:r>
              <w:rPr>
                <w:sz w:val="20"/>
              </w:rPr>
              <w:t>Características</w:t>
            </w:r>
          </w:p>
        </w:tc>
        <w:tc>
          <w:tcPr>
            <w:tcW w:w="1474" w:type="dxa"/>
          </w:tcPr>
          <w:p>
            <w:pPr>
              <w:pStyle w:val="TableParagraph"/>
              <w:tabs>
                <w:tab w:pos="1137" w:val="left" w:leader="none"/>
              </w:tabs>
              <w:spacing w:line="227" w:lineRule="exact"/>
              <w:rPr>
                <w:sz w:val="20"/>
              </w:rPr>
            </w:pPr>
            <w:r>
              <w:rPr>
                <w:sz w:val="20"/>
              </w:rPr>
              <w:t>%</w:t>
              <w:tab/>
              <w:t>de</w:t>
            </w:r>
          </w:p>
          <w:p>
            <w:pPr>
              <w:pStyle w:val="TableParagraph"/>
              <w:rPr>
                <w:sz w:val="20"/>
              </w:rPr>
            </w:pPr>
            <w:r>
              <w:rPr>
                <w:sz w:val="20"/>
              </w:rPr>
              <w:t>cumplimiento</w:t>
            </w:r>
          </w:p>
        </w:tc>
        <w:tc>
          <w:tcPr>
            <w:tcW w:w="2403" w:type="dxa"/>
          </w:tcPr>
          <w:p>
            <w:pPr>
              <w:pStyle w:val="TableParagraph"/>
              <w:spacing w:line="227" w:lineRule="exact"/>
              <w:rPr>
                <w:sz w:val="20"/>
              </w:rPr>
            </w:pPr>
            <w:r>
              <w:rPr>
                <w:sz w:val="20"/>
              </w:rPr>
              <w:t>Observaciones</w:t>
            </w:r>
          </w:p>
        </w:tc>
        <w:tc>
          <w:tcPr>
            <w:tcW w:w="1608" w:type="dxa"/>
            <w:vMerge/>
            <w:tcBorders>
              <w:right w:val="double" w:sz="12" w:space="0" w:color="000000"/>
            </w:tcBorders>
          </w:tcPr>
          <w:p>
            <w:pPr/>
          </w:p>
        </w:tc>
      </w:tr>
      <w:tr>
        <w:trPr>
          <w:trHeight w:val="2091"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9"/>
              </w:rPr>
            </w:pPr>
          </w:p>
          <w:p>
            <w:pPr>
              <w:pStyle w:val="TableParagraph"/>
              <w:ind w:left="230"/>
              <w:rPr>
                <w:sz w:val="20"/>
              </w:rPr>
            </w:pPr>
            <w:r>
              <w:rPr>
                <w:sz w:val="20"/>
              </w:rPr>
              <w:t>1400</w:t>
            </w:r>
          </w:p>
        </w:tc>
        <w:tc>
          <w:tcPr>
            <w:tcW w:w="1846" w:type="dxa"/>
          </w:tcPr>
          <w:p>
            <w:pPr/>
          </w:p>
        </w:tc>
        <w:tc>
          <w:tcPr>
            <w:tcW w:w="1352" w:type="dxa"/>
          </w:tcPr>
          <w:p>
            <w:pPr>
              <w:pStyle w:val="TableParagraph"/>
              <w:spacing w:line="227" w:lineRule="exact"/>
              <w:rPr>
                <w:sz w:val="20"/>
              </w:rPr>
            </w:pPr>
            <w:r>
              <w:rPr>
                <w:sz w:val="20"/>
              </w:rPr>
              <w:t>Ambiental</w:t>
            </w:r>
          </w:p>
        </w:tc>
        <w:tc>
          <w:tcPr>
            <w:tcW w:w="3185" w:type="dxa"/>
          </w:tcPr>
          <w:p>
            <w:pPr>
              <w:pStyle w:val="TableParagraph"/>
              <w:numPr>
                <w:ilvl w:val="0"/>
                <w:numId w:val="145"/>
              </w:numPr>
              <w:tabs>
                <w:tab w:pos="464" w:val="left" w:leader="none"/>
              </w:tabs>
              <w:spacing w:line="240" w:lineRule="auto" w:before="0" w:after="0"/>
              <w:ind w:left="463" w:right="103" w:hanging="360"/>
              <w:jc w:val="both"/>
              <w:rPr>
                <w:sz w:val="20"/>
              </w:rPr>
            </w:pPr>
            <w:r>
              <w:rPr>
                <w:sz w:val="20"/>
              </w:rPr>
              <w:t>Existen valores colectivos como la paz, la  solidaridad, el respeto, la responsabilidad para cuidar el ecosistema de la</w:t>
            </w:r>
            <w:r>
              <w:rPr>
                <w:spacing w:val="-5"/>
                <w:sz w:val="20"/>
              </w:rPr>
              <w:t> </w:t>
            </w:r>
            <w:r>
              <w:rPr>
                <w:sz w:val="20"/>
              </w:rPr>
              <w:t>CHPH</w:t>
            </w:r>
          </w:p>
          <w:p>
            <w:pPr>
              <w:pStyle w:val="TableParagraph"/>
              <w:numPr>
                <w:ilvl w:val="0"/>
                <w:numId w:val="145"/>
              </w:numPr>
              <w:tabs>
                <w:tab w:pos="464" w:val="left" w:leader="none"/>
              </w:tabs>
              <w:spacing w:line="240" w:lineRule="auto" w:before="0" w:after="0"/>
              <w:ind w:left="463" w:right="104" w:hanging="360"/>
              <w:jc w:val="both"/>
              <w:rPr>
                <w:sz w:val="20"/>
              </w:rPr>
            </w:pPr>
            <w:r>
              <w:rPr>
                <w:sz w:val="20"/>
              </w:rPr>
              <w:t>Existe trasmisión de valores de generación en generación de actores de la</w:t>
            </w:r>
            <w:r>
              <w:rPr>
                <w:spacing w:val="-8"/>
                <w:sz w:val="20"/>
              </w:rPr>
              <w:t> </w:t>
            </w:r>
            <w:r>
              <w:rPr>
                <w:sz w:val="20"/>
              </w:rPr>
              <w:t>CHPH</w:t>
            </w:r>
          </w:p>
          <w:p>
            <w:pPr>
              <w:pStyle w:val="TableParagraph"/>
              <w:numPr>
                <w:ilvl w:val="0"/>
                <w:numId w:val="145"/>
              </w:numPr>
              <w:tabs>
                <w:tab w:pos="463" w:val="left" w:leader="none"/>
                <w:tab w:pos="464" w:val="left" w:leader="none"/>
              </w:tabs>
              <w:spacing w:line="240" w:lineRule="auto" w:before="0" w:after="0"/>
              <w:ind w:left="463" w:right="0" w:hanging="360"/>
              <w:jc w:val="left"/>
              <w:rPr>
                <w:sz w:val="20"/>
              </w:rPr>
            </w:pPr>
            <w:r>
              <w:rPr>
                <w:sz w:val="20"/>
              </w:rPr>
              <w:t>Existe arraigo de los </w:t>
            </w:r>
            <w:r>
              <w:rPr>
                <w:spacing w:val="21"/>
                <w:sz w:val="20"/>
              </w:rPr>
              <w:t> </w:t>
            </w:r>
            <w:r>
              <w:rPr>
                <w:sz w:val="20"/>
              </w:rPr>
              <w:t>actores</w:t>
            </w:r>
          </w:p>
        </w:tc>
        <w:tc>
          <w:tcPr>
            <w:tcW w:w="1474"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9"/>
              </w:rPr>
            </w:pPr>
          </w:p>
          <w:p>
            <w:pPr>
              <w:pStyle w:val="TableParagraph"/>
              <w:spacing w:before="1"/>
              <w:ind w:left="475"/>
              <w:rPr>
                <w:sz w:val="20"/>
              </w:rPr>
            </w:pPr>
            <w:r>
              <w:rPr>
                <w:sz w:val="20"/>
              </w:rPr>
              <w:t>100%</w:t>
            </w:r>
          </w:p>
        </w:tc>
        <w:tc>
          <w:tcPr>
            <w:tcW w:w="2403" w:type="dxa"/>
          </w:tcPr>
          <w:p>
            <w:pPr>
              <w:pStyle w:val="TableParagraph"/>
              <w:spacing w:line="242" w:lineRule="auto"/>
              <w:ind w:right="103"/>
              <w:jc w:val="both"/>
              <w:rPr>
                <w:sz w:val="20"/>
              </w:rPr>
            </w:pPr>
            <w:r>
              <w:rPr>
                <w:sz w:val="20"/>
              </w:rPr>
              <w:t>Debe reunir al </w:t>
            </w:r>
            <w:r>
              <w:rPr>
                <w:b/>
                <w:sz w:val="20"/>
              </w:rPr>
              <w:t>100% las tres </w:t>
            </w:r>
            <w:r>
              <w:rPr>
                <w:sz w:val="20"/>
              </w:rPr>
              <w:t>características de impacto positivo</w:t>
            </w:r>
          </w:p>
        </w:tc>
        <w:tc>
          <w:tcPr>
            <w:tcW w:w="1608" w:type="dxa"/>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311"/>
              <w:rPr>
                <w:b/>
                <w:sz w:val="20"/>
              </w:rPr>
            </w:pPr>
            <w:r>
              <w:rPr>
                <w:b/>
                <w:sz w:val="20"/>
              </w:rPr>
              <w:t>Excelente</w:t>
            </w:r>
          </w:p>
        </w:tc>
      </w:tr>
    </w:tbl>
    <w:p>
      <w:pPr>
        <w:spacing w:after="0"/>
        <w:rPr>
          <w:sz w:val="20"/>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46"/>
        <w:gridCol w:w="1352"/>
        <w:gridCol w:w="3185"/>
        <w:gridCol w:w="1474"/>
        <w:gridCol w:w="2403"/>
        <w:gridCol w:w="1608"/>
      </w:tblGrid>
      <w:tr>
        <w:trPr>
          <w:trHeight w:val="1399" w:hRule="exact"/>
        </w:trPr>
        <w:tc>
          <w:tcPr>
            <w:tcW w:w="954" w:type="dxa"/>
            <w:vMerge w:val="restart"/>
            <w:tcBorders>
              <w:left w:val="double" w:sz="11" w:space="0" w:color="000000"/>
            </w:tcBorders>
          </w:tcPr>
          <w:p>
            <w:pPr/>
          </w:p>
        </w:tc>
        <w:tc>
          <w:tcPr>
            <w:tcW w:w="184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0"/>
              <w:jc w:val="center"/>
              <w:rPr>
                <w:b/>
                <w:sz w:val="20"/>
              </w:rPr>
            </w:pPr>
            <w:r>
              <w:rPr>
                <w:b/>
                <w:w w:val="99"/>
                <w:sz w:val="20"/>
              </w:rPr>
              <w:t>1</w:t>
            </w:r>
          </w:p>
        </w:tc>
        <w:tc>
          <w:tcPr>
            <w:tcW w:w="1352" w:type="dxa"/>
          </w:tcPr>
          <w:p>
            <w:pPr/>
          </w:p>
        </w:tc>
        <w:tc>
          <w:tcPr>
            <w:tcW w:w="3185" w:type="dxa"/>
          </w:tcPr>
          <w:p>
            <w:pPr>
              <w:pStyle w:val="TableParagraph"/>
              <w:spacing w:before="7"/>
              <w:ind w:left="463" w:right="103"/>
              <w:jc w:val="both"/>
              <w:rPr>
                <w:sz w:val="20"/>
              </w:rPr>
            </w:pPr>
            <w:r>
              <w:rPr>
                <w:sz w:val="20"/>
              </w:rPr>
              <w:t>en la región de la  CHPH  para cuidar el medio ambiente</w:t>
            </w:r>
          </w:p>
          <w:p>
            <w:pPr>
              <w:pStyle w:val="TableParagraph"/>
              <w:numPr>
                <w:ilvl w:val="0"/>
                <w:numId w:val="146"/>
              </w:numPr>
              <w:tabs>
                <w:tab w:pos="812" w:val="left" w:leader="none"/>
                <w:tab w:pos="2102" w:val="left" w:leader="none"/>
              </w:tabs>
              <w:spacing w:line="240" w:lineRule="auto" w:before="0" w:after="0"/>
              <w:ind w:left="280" w:right="103" w:hanging="141"/>
              <w:jc w:val="both"/>
              <w:rPr>
                <w:sz w:val="20"/>
              </w:rPr>
            </w:pPr>
            <w:r>
              <w:rPr>
                <w:sz w:val="20"/>
              </w:rPr>
              <w:t>Existe</w:t>
              <w:tab/>
              <w:t>planeación ambiental con articulación entre</w:t>
            </w:r>
            <w:r>
              <w:rPr>
                <w:spacing w:val="-5"/>
                <w:sz w:val="20"/>
              </w:rPr>
              <w:t> </w:t>
            </w:r>
            <w:r>
              <w:rPr>
                <w:sz w:val="20"/>
              </w:rPr>
              <w:t>actores</w:t>
            </w:r>
          </w:p>
        </w:tc>
        <w:tc>
          <w:tcPr>
            <w:tcW w:w="1474" w:type="dxa"/>
          </w:tcPr>
          <w:p>
            <w:pPr/>
          </w:p>
        </w:tc>
        <w:tc>
          <w:tcPr>
            <w:tcW w:w="2403" w:type="dxa"/>
            <w:vMerge w:val="restart"/>
          </w:tcPr>
          <w:p>
            <w:pPr/>
          </w:p>
        </w:tc>
        <w:tc>
          <w:tcPr>
            <w:tcW w:w="1608" w:type="dxa"/>
            <w:vMerge w:val="restart"/>
            <w:tcBorders>
              <w:right w:val="double" w:sz="12" w:space="0" w:color="000000"/>
            </w:tcBorders>
            <w:shd w:val="clear" w:color="auto" w:fill="00FF00"/>
          </w:tcPr>
          <w:p>
            <w:pPr/>
          </w:p>
        </w:tc>
      </w:tr>
      <w:tr>
        <w:trPr>
          <w:trHeight w:val="2081" w:hRule="exact"/>
        </w:trPr>
        <w:tc>
          <w:tcPr>
            <w:tcW w:w="954" w:type="dxa"/>
            <w:vMerge/>
            <w:tcBorders>
              <w:left w:val="double" w:sz="11" w:space="0" w:color="000000"/>
            </w:tcBorders>
          </w:tcPr>
          <w:p>
            <w:pPr/>
          </w:p>
        </w:tc>
        <w:tc>
          <w:tcPr>
            <w:tcW w:w="1846" w:type="dxa"/>
            <w:vMerge/>
          </w:tcPr>
          <w:p>
            <w:pPr/>
          </w:p>
        </w:tc>
        <w:tc>
          <w:tcPr>
            <w:tcW w:w="1352" w:type="dxa"/>
          </w:tcPr>
          <w:p>
            <w:pPr>
              <w:pStyle w:val="TableParagraph"/>
              <w:spacing w:line="227" w:lineRule="exact"/>
              <w:rPr>
                <w:sz w:val="20"/>
              </w:rPr>
            </w:pPr>
            <w:r>
              <w:rPr>
                <w:sz w:val="20"/>
              </w:rPr>
              <w:t>Económico</w:t>
            </w:r>
          </w:p>
        </w:tc>
        <w:tc>
          <w:tcPr>
            <w:tcW w:w="3185" w:type="dxa"/>
          </w:tcPr>
          <w:p>
            <w:pPr>
              <w:pStyle w:val="TableParagraph"/>
              <w:numPr>
                <w:ilvl w:val="0"/>
                <w:numId w:val="147"/>
              </w:numPr>
              <w:tabs>
                <w:tab w:pos="812" w:val="left" w:leader="none"/>
              </w:tabs>
              <w:spacing w:line="240" w:lineRule="auto" w:before="0" w:after="0"/>
              <w:ind w:left="280" w:right="102" w:hanging="141"/>
              <w:jc w:val="both"/>
              <w:rPr>
                <w:sz w:val="20"/>
              </w:rPr>
            </w:pPr>
            <w:r>
              <w:rPr>
                <w:sz w:val="20"/>
              </w:rPr>
              <w:t>Existe identificación social con los recursos naturales de la</w:t>
            </w:r>
            <w:r>
              <w:rPr>
                <w:spacing w:val="-8"/>
                <w:sz w:val="20"/>
              </w:rPr>
              <w:t> </w:t>
            </w:r>
            <w:r>
              <w:rPr>
                <w:sz w:val="20"/>
              </w:rPr>
              <w:t>CHPH.</w:t>
            </w:r>
          </w:p>
          <w:p>
            <w:pPr>
              <w:pStyle w:val="TableParagraph"/>
              <w:numPr>
                <w:ilvl w:val="0"/>
                <w:numId w:val="147"/>
              </w:numPr>
              <w:tabs>
                <w:tab w:pos="812" w:val="left" w:leader="none"/>
              </w:tabs>
              <w:spacing w:line="240" w:lineRule="auto" w:before="1" w:after="0"/>
              <w:ind w:left="280" w:right="102" w:hanging="141"/>
              <w:jc w:val="both"/>
              <w:rPr>
                <w:sz w:val="20"/>
              </w:rPr>
            </w:pPr>
            <w:r>
              <w:rPr>
                <w:sz w:val="20"/>
              </w:rPr>
              <w:t>Existe dependencia económica de los recursos naturales de la</w:t>
            </w:r>
            <w:r>
              <w:rPr>
                <w:spacing w:val="-8"/>
                <w:sz w:val="20"/>
              </w:rPr>
              <w:t> </w:t>
            </w:r>
            <w:r>
              <w:rPr>
                <w:sz w:val="20"/>
              </w:rPr>
              <w:t>CHPH</w:t>
            </w:r>
          </w:p>
          <w:p>
            <w:pPr>
              <w:pStyle w:val="TableParagraph"/>
              <w:numPr>
                <w:ilvl w:val="0"/>
                <w:numId w:val="147"/>
              </w:numPr>
              <w:tabs>
                <w:tab w:pos="812" w:val="left" w:leader="none"/>
                <w:tab w:pos="2101"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4" w:type="dxa"/>
            <w:vMerge w:val="restart"/>
          </w:tcPr>
          <w:p>
            <w:pPr/>
          </w:p>
        </w:tc>
        <w:tc>
          <w:tcPr>
            <w:tcW w:w="2403" w:type="dxa"/>
            <w:vMerge/>
          </w:tcPr>
          <w:p>
            <w:pPr/>
          </w:p>
        </w:tc>
        <w:tc>
          <w:tcPr>
            <w:tcW w:w="1608" w:type="dxa"/>
            <w:vMerge/>
            <w:tcBorders>
              <w:right w:val="double" w:sz="12" w:space="0" w:color="000000"/>
            </w:tcBorders>
            <w:shd w:val="clear" w:color="auto" w:fill="00FF00"/>
          </w:tcPr>
          <w:p>
            <w:pPr/>
          </w:p>
        </w:tc>
      </w:tr>
      <w:tr>
        <w:trPr>
          <w:trHeight w:val="3689" w:hRule="exact"/>
        </w:trPr>
        <w:tc>
          <w:tcPr>
            <w:tcW w:w="954" w:type="dxa"/>
            <w:vMerge/>
            <w:tcBorders>
              <w:left w:val="double" w:sz="11" w:space="0" w:color="000000"/>
            </w:tcBorders>
          </w:tcPr>
          <w:p>
            <w:pPr/>
          </w:p>
        </w:tc>
        <w:tc>
          <w:tcPr>
            <w:tcW w:w="1846" w:type="dxa"/>
            <w:vMerge/>
          </w:tcPr>
          <w:p>
            <w:pPr/>
          </w:p>
        </w:tc>
        <w:tc>
          <w:tcPr>
            <w:tcW w:w="1352" w:type="dxa"/>
          </w:tcPr>
          <w:p>
            <w:pPr>
              <w:pStyle w:val="TableParagraph"/>
              <w:spacing w:line="227" w:lineRule="exact"/>
              <w:rPr>
                <w:sz w:val="20"/>
              </w:rPr>
            </w:pPr>
            <w:r>
              <w:rPr>
                <w:sz w:val="20"/>
              </w:rPr>
              <w:t>Sociopolítico</w:t>
            </w:r>
          </w:p>
        </w:tc>
        <w:tc>
          <w:tcPr>
            <w:tcW w:w="3185" w:type="dxa"/>
          </w:tcPr>
          <w:p>
            <w:pPr>
              <w:pStyle w:val="TableParagraph"/>
              <w:ind w:left="280" w:right="103" w:hanging="178"/>
              <w:jc w:val="both"/>
              <w:rPr>
                <w:sz w:val="20"/>
              </w:rPr>
            </w:pPr>
            <w:r>
              <w:rPr>
                <w:rFonts w:ascii="Wingdings" w:hAnsi="Wingdings"/>
                <w:sz w:val="20"/>
              </w:rPr>
              <w:t></w:t>
            </w:r>
            <w:r>
              <w:rPr>
                <w:sz w:val="20"/>
              </w:rPr>
              <w:t>Favorece la organización sociopolítica de los actores para cuidar el medio ambiente</w:t>
            </w:r>
          </w:p>
          <w:p>
            <w:pPr>
              <w:pStyle w:val="TableParagraph"/>
              <w:ind w:left="280" w:right="102" w:hanging="178"/>
              <w:jc w:val="both"/>
              <w:rPr>
                <w:sz w:val="20"/>
              </w:rPr>
            </w:pPr>
            <w:r>
              <w:rPr>
                <w:rFonts w:ascii="Wingdings" w:hAnsi="Wingdings"/>
                <w:sz w:val="20"/>
              </w:rPr>
              <w:t></w:t>
            </w:r>
            <w:r>
              <w:rPr>
                <w:sz w:val="20"/>
              </w:rPr>
              <w:t>Favorece la organización sociopolítica de los actores de la CHPH por el lugar de nacimiento y el tiempo de residencia en la región</w:t>
            </w:r>
          </w:p>
          <w:p>
            <w:pPr>
              <w:pStyle w:val="TableParagraph"/>
              <w:ind w:left="280" w:right="105" w:hanging="178"/>
              <w:jc w:val="both"/>
              <w:rPr>
                <w:sz w:val="20"/>
              </w:rPr>
            </w:pPr>
            <w:r>
              <w:rPr>
                <w:rFonts w:ascii="Wingdings" w:hAnsi="Wingdings"/>
                <w:sz w:val="20"/>
              </w:rPr>
              <w:t></w:t>
            </w:r>
            <w:r>
              <w:rPr>
                <w:sz w:val="20"/>
              </w:rPr>
              <w:t>Favorece la articulación entre actores para cuidar el medio ambiente</w:t>
            </w:r>
          </w:p>
          <w:p>
            <w:pPr>
              <w:pStyle w:val="TableParagraph"/>
              <w:ind w:right="19"/>
              <w:rPr>
                <w:sz w:val="20"/>
              </w:rPr>
            </w:pPr>
            <w:r>
              <w:rPr>
                <w:rFonts w:ascii="Wingdings" w:hAnsi="Wingdings"/>
                <w:sz w:val="20"/>
              </w:rPr>
              <w:t></w:t>
            </w:r>
            <w:r>
              <w:rPr>
                <w:sz w:val="20"/>
              </w:rPr>
              <w:t>Favorece la GIRH</w:t>
            </w:r>
          </w:p>
          <w:p>
            <w:pPr>
              <w:pStyle w:val="TableParagraph"/>
              <w:ind w:right="19"/>
              <w:rPr>
                <w:sz w:val="20"/>
              </w:rPr>
            </w:pPr>
            <w:r>
              <w:rPr>
                <w:rFonts w:ascii="Wingdings" w:hAnsi="Wingdings"/>
                <w:sz w:val="20"/>
              </w:rPr>
              <w:t></w:t>
            </w:r>
            <w:r>
              <w:rPr>
                <w:sz w:val="20"/>
              </w:rPr>
              <w:t>Favorece la gobernanza</w:t>
            </w:r>
          </w:p>
          <w:p>
            <w:pPr>
              <w:pStyle w:val="TableParagraph"/>
              <w:spacing w:line="229" w:lineRule="exact"/>
              <w:ind w:right="19"/>
              <w:rPr>
                <w:sz w:val="20"/>
              </w:rPr>
            </w:pPr>
            <w:r>
              <w:rPr>
                <w:rFonts w:ascii="Wingdings" w:hAnsi="Wingdings"/>
                <w:sz w:val="20"/>
              </w:rPr>
              <w:t></w:t>
            </w:r>
            <w:r>
              <w:rPr>
                <w:sz w:val="20"/>
              </w:rPr>
              <w:t>Fortalece la gobernabilidad</w:t>
            </w:r>
          </w:p>
          <w:p>
            <w:pPr>
              <w:pStyle w:val="TableParagraph"/>
              <w:ind w:left="280" w:right="104" w:hanging="178"/>
              <w:jc w:val="both"/>
              <w:rPr>
                <w:sz w:val="20"/>
              </w:rPr>
            </w:pPr>
            <w:r>
              <w:rPr>
                <w:rFonts w:ascii="Wingdings" w:hAnsi="Wingdings"/>
                <w:sz w:val="20"/>
              </w:rPr>
              <w:t></w:t>
            </w:r>
            <w:r>
              <w:rPr>
                <w:sz w:val="20"/>
              </w:rPr>
              <w:t>Existe planeación sociopolítica con articulación entre actores</w:t>
            </w:r>
          </w:p>
        </w:tc>
        <w:tc>
          <w:tcPr>
            <w:tcW w:w="1474" w:type="dxa"/>
            <w:vMerge/>
          </w:tcPr>
          <w:p>
            <w:pPr/>
          </w:p>
        </w:tc>
        <w:tc>
          <w:tcPr>
            <w:tcW w:w="2403" w:type="dxa"/>
            <w:vMerge/>
          </w:tcPr>
          <w:p>
            <w:pPr/>
          </w:p>
        </w:tc>
        <w:tc>
          <w:tcPr>
            <w:tcW w:w="1608" w:type="dxa"/>
            <w:vMerge/>
            <w:tcBorders>
              <w:right w:val="double" w:sz="12" w:space="0" w:color="000000"/>
            </w:tcBorders>
            <w:shd w:val="clear" w:color="auto" w:fill="00FF00"/>
          </w:tcPr>
          <w:p>
            <w:pPr/>
          </w:p>
        </w:tc>
      </w:tr>
      <w:tr>
        <w:trPr>
          <w:trHeight w:val="939" w:hRule="exact"/>
        </w:trPr>
        <w:tc>
          <w:tcPr>
            <w:tcW w:w="954" w:type="dxa"/>
            <w:tcBorders>
              <w:left w:val="double" w:sz="11" w:space="0" w:color="000000"/>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9"/>
              </w:rPr>
            </w:pPr>
          </w:p>
          <w:p>
            <w:pPr>
              <w:pStyle w:val="TableParagraph"/>
              <w:ind w:left="230"/>
              <w:rPr>
                <w:sz w:val="20"/>
              </w:rPr>
            </w:pPr>
            <w:r>
              <w:rPr>
                <w:sz w:val="20"/>
              </w:rPr>
              <w:t>1519</w:t>
            </w:r>
          </w:p>
        </w:tc>
        <w:tc>
          <w:tcPr>
            <w:tcW w:w="1846" w:type="dxa"/>
            <w:tcBorders>
              <w:bottom w:val="single" w:sz="8" w:space="0" w:color="000000"/>
            </w:tcBorders>
          </w:tcPr>
          <w:p>
            <w:pPr/>
          </w:p>
        </w:tc>
        <w:tc>
          <w:tcPr>
            <w:tcW w:w="1352" w:type="dxa"/>
            <w:tcBorders>
              <w:bottom w:val="single" w:sz="8" w:space="0" w:color="000000"/>
            </w:tcBorders>
          </w:tcPr>
          <w:p>
            <w:pPr>
              <w:pStyle w:val="TableParagraph"/>
              <w:spacing w:line="228" w:lineRule="exact"/>
              <w:rPr>
                <w:sz w:val="20"/>
              </w:rPr>
            </w:pPr>
            <w:r>
              <w:rPr>
                <w:sz w:val="20"/>
              </w:rPr>
              <w:t>Ambiental</w:t>
            </w:r>
          </w:p>
        </w:tc>
        <w:tc>
          <w:tcPr>
            <w:tcW w:w="3185" w:type="dxa"/>
            <w:tcBorders>
              <w:bottom w:val="single" w:sz="8" w:space="0" w:color="000000"/>
            </w:tcBorders>
          </w:tcPr>
          <w:p>
            <w:pPr>
              <w:pStyle w:val="TableParagraph"/>
              <w:numPr>
                <w:ilvl w:val="0"/>
                <w:numId w:val="148"/>
              </w:numPr>
              <w:tabs>
                <w:tab w:pos="464" w:val="left" w:leader="none"/>
              </w:tabs>
              <w:spacing w:line="240" w:lineRule="auto" w:before="0" w:after="0"/>
              <w:ind w:left="463" w:right="103" w:hanging="360"/>
              <w:jc w:val="both"/>
              <w:rPr>
                <w:sz w:val="20"/>
              </w:rPr>
            </w:pPr>
            <w:r>
              <w:rPr>
                <w:sz w:val="20"/>
              </w:rPr>
              <w:t>Existen valores colectivos como la paz, la  solidaridad, el respeto, la</w:t>
            </w:r>
            <w:r>
              <w:rPr>
                <w:spacing w:val="-5"/>
                <w:sz w:val="20"/>
              </w:rPr>
              <w:t> </w:t>
            </w:r>
            <w:r>
              <w:rPr>
                <w:sz w:val="20"/>
              </w:rPr>
              <w:t>responsabilidad</w:t>
            </w:r>
          </w:p>
        </w:tc>
        <w:tc>
          <w:tcPr>
            <w:tcW w:w="1474" w:type="dxa"/>
            <w:tcBorders>
              <w:bottom w:val="single" w:sz="8" w:space="0" w:color="000000"/>
            </w:tcBorders>
          </w:tcPr>
          <w:p>
            <w:pPr/>
          </w:p>
        </w:tc>
        <w:tc>
          <w:tcPr>
            <w:tcW w:w="2403" w:type="dxa"/>
            <w:tcBorders>
              <w:bottom w:val="single" w:sz="8" w:space="0" w:color="000000"/>
            </w:tcBorders>
          </w:tcPr>
          <w:p>
            <w:pPr>
              <w:pStyle w:val="TableParagraph"/>
              <w:tabs>
                <w:tab w:pos="2065" w:val="left" w:leader="none"/>
              </w:tabs>
              <w:spacing w:line="242" w:lineRule="auto"/>
              <w:ind w:right="104"/>
              <w:jc w:val="both"/>
              <w:rPr>
                <w:sz w:val="20"/>
              </w:rPr>
            </w:pPr>
            <w:r>
              <w:rPr>
                <w:sz w:val="20"/>
              </w:rPr>
              <w:t>Debe reunir </w:t>
            </w:r>
            <w:r>
              <w:rPr>
                <w:b/>
                <w:sz w:val="20"/>
              </w:rPr>
              <w:t>al  menos el 75% </w:t>
            </w:r>
            <w:r>
              <w:rPr>
                <w:sz w:val="20"/>
              </w:rPr>
              <w:t>dos de tres características</w:t>
              <w:tab/>
              <w:t>de</w:t>
            </w:r>
          </w:p>
        </w:tc>
        <w:tc>
          <w:tcPr>
            <w:tcW w:w="1608" w:type="dxa"/>
            <w:tcBorders>
              <w:bottom w:val="single" w:sz="8" w:space="0" w:color="000000"/>
              <w:right w:val="double" w:sz="12" w:space="0" w:color="000000"/>
            </w:tcBorders>
          </w:tcPr>
          <w:p>
            <w:pPr>
              <w:pStyle w:val="TableParagraph"/>
              <w:ind w:left="0" w:right="-50"/>
              <w:rPr>
                <w:rFonts w:ascii="Times New Roman"/>
                <w:sz w:val="20"/>
              </w:rPr>
            </w:pPr>
            <w:r>
              <w:rPr>
                <w:rFonts w:ascii="Times New Roman"/>
                <w:sz w:val="20"/>
              </w:rPr>
              <w:pict>
                <v:group style="width:78pt;height:46pt;mso-position-horizontal-relative:char;mso-position-vertical-relative:line" coordorigin="0,0" coordsize="1560,920">
                  <v:shape style="position:absolute;left:0;top:0;width:1560;height:920" type="#_x0000_t75" stroked="false">
                    <v:imagedata r:id="rId369" o:title=""/>
                  </v:shape>
                  <v:shape style="position:absolute;left:101;top:0;width:1356;height:231" type="#_x0000_t75" stroked="false">
                    <v:imagedata r:id="rId370" o:title=""/>
                  </v:shape>
                  <v:shape style="position:absolute;left:101;top:231;width:1356;height:230" type="#_x0000_t75" stroked="false">
                    <v:imagedata r:id="rId371" o:title=""/>
                  </v:shape>
                  <v:shape style="position:absolute;left:101;top:461;width:1356;height:230" type="#_x0000_t75" stroked="false">
                    <v:imagedata r:id="rId372" o:title=""/>
                  </v:shape>
                </v:group>
              </w:pict>
            </w:r>
            <w:r>
              <w:rPr>
                <w:rFonts w:ascii="Times New Roman"/>
                <w:sz w:val="20"/>
              </w:rPr>
            </w:r>
          </w:p>
        </w:tc>
      </w:tr>
    </w:tbl>
    <w:p>
      <w:pPr>
        <w:spacing w:after="0"/>
        <w:rPr>
          <w:rFonts w:ascii="Times New Roman"/>
          <w:sz w:val="20"/>
        </w:rPr>
        <w:sectPr>
          <w:pgSz w:w="15840" w:h="12240" w:orient="landscape"/>
          <w:pgMar w:header="0" w:footer="943" w:top="1140" w:bottom="1140" w:left="1200" w:right="1300"/>
        </w:sectPr>
      </w:pPr>
    </w:p>
    <w:p>
      <w:pPr>
        <w:pStyle w:val="BodyText"/>
        <w:rPr>
          <w:rFonts w:ascii="Times New Roman"/>
          <w:sz w:val="20"/>
        </w:rPr>
      </w:pPr>
      <w:r>
        <w:rPr/>
        <w:pict>
          <v:group style="position:absolute;margin-left:628.299988pt;margin-top:86.059998pt;width:78pt;height:427.55pt;mso-position-horizontal-relative:page;mso-position-vertical-relative:page;z-index:-3330160" coordorigin="12566,1721" coordsize="1560,8551">
            <v:shape style="position:absolute;left:12566;top:1721;width:1560;height:8550" type="#_x0000_t75" stroked="false">
              <v:imagedata r:id="rId373" o:title=""/>
            </v:shape>
            <v:shape style="position:absolute;left:12667;top:1721;width:1356;height:230" type="#_x0000_t75" stroked="false">
              <v:imagedata r:id="rId290" o:title=""/>
            </v:shape>
            <v:shape style="position:absolute;left:12667;top:1952;width:1356;height:230" type="#_x0000_t75" stroked="false">
              <v:imagedata r:id="rId291" o:title=""/>
            </v:shape>
            <v:shape style="position:absolute;left:12667;top:2182;width:1356;height:230" type="#_x0000_t75" stroked="false">
              <v:imagedata r:id="rId292" o:title=""/>
            </v:shape>
            <v:shape style="position:absolute;left:12667;top:2412;width:1356;height:228" type="#_x0000_t75" stroked="false">
              <v:imagedata r:id="rId374" o:title=""/>
            </v:shape>
            <v:shape style="position:absolute;left:12667;top:2640;width:1356;height:230" type="#_x0000_t75" stroked="false">
              <v:imagedata r:id="rId375" o:title=""/>
            </v:shape>
            <v:shape style="position:absolute;left:12667;top:2871;width:1356;height:230" type="#_x0000_t75" stroked="false">
              <v:imagedata r:id="rId376"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46"/>
        <w:gridCol w:w="1352"/>
        <w:gridCol w:w="3185"/>
        <w:gridCol w:w="1474"/>
        <w:gridCol w:w="2403"/>
        <w:gridCol w:w="1608"/>
      </w:tblGrid>
      <w:tr>
        <w:trPr>
          <w:trHeight w:val="938"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209" w:right="212"/>
              <w:jc w:val="center"/>
              <w:rPr>
                <w:sz w:val="20"/>
              </w:rPr>
            </w:pPr>
            <w:r>
              <w:rPr>
                <w:sz w:val="20"/>
              </w:rPr>
              <w:t>1580</w:t>
            </w:r>
          </w:p>
        </w:tc>
        <w:tc>
          <w:tcPr>
            <w:tcW w:w="184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0"/>
              <w:jc w:val="center"/>
              <w:rPr>
                <w:b/>
                <w:sz w:val="20"/>
              </w:rPr>
            </w:pPr>
            <w:r>
              <w:rPr>
                <w:b/>
                <w:w w:val="99"/>
                <w:sz w:val="20"/>
              </w:rPr>
              <w:t>1</w:t>
            </w:r>
          </w:p>
        </w:tc>
        <w:tc>
          <w:tcPr>
            <w:tcW w:w="1352" w:type="dxa"/>
            <w:vMerge w:val="restart"/>
          </w:tcPr>
          <w:p>
            <w:pPr/>
          </w:p>
        </w:tc>
        <w:tc>
          <w:tcPr>
            <w:tcW w:w="3185" w:type="dxa"/>
            <w:vMerge w:val="restart"/>
          </w:tcPr>
          <w:p>
            <w:pPr>
              <w:pStyle w:val="TableParagraph"/>
              <w:spacing w:before="7"/>
              <w:ind w:left="463" w:right="19"/>
              <w:rPr>
                <w:sz w:val="20"/>
              </w:rPr>
            </w:pPr>
            <w:r>
              <w:rPr>
                <w:sz w:val="20"/>
              </w:rPr>
              <w:t>para cuidar el ecosistema de la CHPH</w:t>
            </w:r>
          </w:p>
          <w:p>
            <w:pPr>
              <w:pStyle w:val="TableParagraph"/>
              <w:numPr>
                <w:ilvl w:val="0"/>
                <w:numId w:val="149"/>
              </w:numPr>
              <w:tabs>
                <w:tab w:pos="464" w:val="left" w:leader="none"/>
              </w:tabs>
              <w:spacing w:line="240" w:lineRule="auto" w:before="0" w:after="0"/>
              <w:ind w:left="463" w:right="104" w:hanging="360"/>
              <w:jc w:val="both"/>
              <w:rPr>
                <w:sz w:val="20"/>
              </w:rPr>
            </w:pPr>
            <w:r>
              <w:rPr>
                <w:sz w:val="20"/>
              </w:rPr>
              <w:t>Existe trasmisión de valores de generación en generación de actores de la</w:t>
            </w:r>
            <w:r>
              <w:rPr>
                <w:spacing w:val="-8"/>
                <w:sz w:val="20"/>
              </w:rPr>
              <w:t> </w:t>
            </w:r>
            <w:r>
              <w:rPr>
                <w:sz w:val="20"/>
              </w:rPr>
              <w:t>CHPH</w:t>
            </w:r>
          </w:p>
          <w:p>
            <w:pPr>
              <w:pStyle w:val="TableParagraph"/>
              <w:numPr>
                <w:ilvl w:val="0"/>
                <w:numId w:val="149"/>
              </w:numPr>
              <w:tabs>
                <w:tab w:pos="464" w:val="left" w:leader="none"/>
              </w:tabs>
              <w:spacing w:line="240" w:lineRule="auto" w:before="0" w:after="0"/>
              <w:ind w:left="463" w:right="104" w:hanging="360"/>
              <w:jc w:val="both"/>
              <w:rPr>
                <w:sz w:val="20"/>
              </w:rPr>
            </w:pPr>
            <w:r>
              <w:rPr>
                <w:sz w:val="20"/>
              </w:rPr>
              <w:t>Existe arraigo de los actores en la región de la CHPH  para cuidar el medio ambiente</w:t>
            </w:r>
          </w:p>
          <w:p>
            <w:pPr>
              <w:pStyle w:val="TableParagraph"/>
              <w:numPr>
                <w:ilvl w:val="0"/>
                <w:numId w:val="149"/>
              </w:numPr>
              <w:tabs>
                <w:tab w:pos="464" w:val="left" w:leader="none"/>
              </w:tabs>
              <w:spacing w:line="240" w:lineRule="auto" w:before="1" w:after="0"/>
              <w:ind w:left="463" w:right="103" w:hanging="360"/>
              <w:jc w:val="both"/>
              <w:rPr>
                <w:sz w:val="20"/>
              </w:rPr>
            </w:pPr>
            <w:r>
              <w:rPr>
                <w:sz w:val="20"/>
              </w:rPr>
              <w:t>Existe planeación ambiental con articulación  entre actores</w:t>
            </w:r>
          </w:p>
        </w:tc>
        <w:tc>
          <w:tcPr>
            <w:tcW w:w="147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510" w:right="513"/>
              <w:jc w:val="center"/>
              <w:rPr>
                <w:sz w:val="20"/>
              </w:rPr>
            </w:pPr>
            <w:r>
              <w:rPr>
                <w:sz w:val="20"/>
              </w:rPr>
              <w:t>75%</w:t>
            </w:r>
          </w:p>
        </w:tc>
        <w:tc>
          <w:tcPr>
            <w:tcW w:w="2403" w:type="dxa"/>
            <w:vMerge w:val="restart"/>
          </w:tcPr>
          <w:p>
            <w:pPr>
              <w:pStyle w:val="TableParagraph"/>
              <w:spacing w:before="7"/>
              <w:rPr>
                <w:sz w:val="20"/>
              </w:rPr>
            </w:pPr>
            <w:r>
              <w:rPr>
                <w:sz w:val="20"/>
              </w:rPr>
              <w:t>impacto positivo</w:t>
            </w:r>
          </w:p>
        </w:tc>
        <w:tc>
          <w:tcPr>
            <w:tcW w:w="1608"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467"/>
              <w:rPr>
                <w:b/>
                <w:sz w:val="20"/>
              </w:rPr>
            </w:pPr>
            <w:r>
              <w:rPr>
                <w:b/>
                <w:sz w:val="20"/>
              </w:rPr>
              <w:t>Bueno</w:t>
            </w:r>
          </w:p>
        </w:tc>
      </w:tr>
      <w:tr>
        <w:trPr>
          <w:trHeight w:val="1841"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19"/>
              </w:rPr>
            </w:pPr>
          </w:p>
          <w:p>
            <w:pPr>
              <w:pStyle w:val="TableParagraph"/>
              <w:ind w:left="209" w:right="212"/>
              <w:jc w:val="center"/>
              <w:rPr>
                <w:sz w:val="20"/>
              </w:rPr>
            </w:pPr>
            <w:r>
              <w:rPr>
                <w:sz w:val="20"/>
              </w:rPr>
              <w:t>1785</w:t>
            </w:r>
          </w:p>
        </w:tc>
        <w:tc>
          <w:tcPr>
            <w:tcW w:w="1846" w:type="dxa"/>
            <w:vMerge/>
          </w:tcPr>
          <w:p>
            <w:pPr/>
          </w:p>
        </w:tc>
        <w:tc>
          <w:tcPr>
            <w:tcW w:w="1352" w:type="dxa"/>
            <w:vMerge/>
          </w:tcPr>
          <w:p>
            <w:pPr/>
          </w:p>
        </w:tc>
        <w:tc>
          <w:tcPr>
            <w:tcW w:w="3185" w:type="dxa"/>
            <w:vMerge/>
          </w:tcPr>
          <w:p>
            <w:pPr/>
          </w:p>
        </w:tc>
        <w:tc>
          <w:tcPr>
            <w:tcW w:w="1474" w:type="dxa"/>
            <w:vMerge/>
          </w:tcPr>
          <w:p>
            <w:pPr/>
          </w:p>
        </w:tc>
        <w:tc>
          <w:tcPr>
            <w:tcW w:w="2403" w:type="dxa"/>
            <w:vMerge/>
          </w:tcPr>
          <w:p>
            <w:pPr/>
          </w:p>
        </w:tc>
        <w:tc>
          <w:tcPr>
            <w:tcW w:w="1608" w:type="dxa"/>
            <w:vMerge/>
            <w:tcBorders>
              <w:right w:val="double" w:sz="12" w:space="0" w:color="000000"/>
            </w:tcBorders>
          </w:tcPr>
          <w:p>
            <w:pPr/>
          </w:p>
        </w:tc>
      </w:tr>
      <w:tr>
        <w:trPr>
          <w:trHeight w:val="648" w:hRule="exact"/>
        </w:trPr>
        <w:tc>
          <w:tcPr>
            <w:tcW w:w="954" w:type="dxa"/>
            <w:tcBorders>
              <w:left w:val="double" w:sz="11" w:space="0" w:color="000000"/>
            </w:tcBorders>
          </w:tcPr>
          <w:p>
            <w:pPr>
              <w:pStyle w:val="TableParagraph"/>
              <w:ind w:left="0"/>
              <w:rPr>
                <w:rFonts w:ascii="Times New Roman"/>
                <w:sz w:val="20"/>
              </w:rPr>
            </w:pPr>
          </w:p>
          <w:p>
            <w:pPr>
              <w:pStyle w:val="TableParagraph"/>
              <w:spacing w:before="175"/>
              <w:ind w:left="209" w:right="212"/>
              <w:jc w:val="center"/>
              <w:rPr>
                <w:sz w:val="20"/>
              </w:rPr>
            </w:pPr>
            <w:r>
              <w:rPr>
                <w:sz w:val="20"/>
              </w:rPr>
              <w:t>1810</w:t>
            </w:r>
          </w:p>
        </w:tc>
        <w:tc>
          <w:tcPr>
            <w:tcW w:w="1846" w:type="dxa"/>
            <w:vMerge/>
          </w:tcPr>
          <w:p>
            <w:pPr/>
          </w:p>
        </w:tc>
        <w:tc>
          <w:tcPr>
            <w:tcW w:w="1352" w:type="dxa"/>
            <w:vMerge w:val="restart"/>
          </w:tcPr>
          <w:p>
            <w:pPr>
              <w:pStyle w:val="TableParagraph"/>
              <w:spacing w:line="227" w:lineRule="exact"/>
              <w:rPr>
                <w:sz w:val="20"/>
              </w:rPr>
            </w:pPr>
            <w:r>
              <w:rPr>
                <w:sz w:val="20"/>
              </w:rPr>
              <w:t>Económico</w:t>
            </w:r>
          </w:p>
        </w:tc>
        <w:tc>
          <w:tcPr>
            <w:tcW w:w="3185" w:type="dxa"/>
            <w:vMerge w:val="restart"/>
          </w:tcPr>
          <w:p>
            <w:pPr>
              <w:pStyle w:val="TableParagraph"/>
              <w:numPr>
                <w:ilvl w:val="0"/>
                <w:numId w:val="150"/>
              </w:numPr>
              <w:tabs>
                <w:tab w:pos="812" w:val="left" w:leader="none"/>
              </w:tabs>
              <w:spacing w:line="240" w:lineRule="auto" w:before="0" w:after="0"/>
              <w:ind w:left="280" w:right="102" w:hanging="141"/>
              <w:jc w:val="both"/>
              <w:rPr>
                <w:sz w:val="20"/>
              </w:rPr>
            </w:pPr>
            <w:r>
              <w:rPr>
                <w:sz w:val="20"/>
              </w:rPr>
              <w:t>Existe identificación social con los recursos naturales de la</w:t>
            </w:r>
            <w:r>
              <w:rPr>
                <w:spacing w:val="-8"/>
                <w:sz w:val="20"/>
              </w:rPr>
              <w:t> </w:t>
            </w:r>
            <w:r>
              <w:rPr>
                <w:sz w:val="20"/>
              </w:rPr>
              <w:t>CHPH.</w:t>
            </w:r>
          </w:p>
          <w:p>
            <w:pPr>
              <w:pStyle w:val="TableParagraph"/>
              <w:numPr>
                <w:ilvl w:val="0"/>
                <w:numId w:val="150"/>
              </w:numPr>
              <w:tabs>
                <w:tab w:pos="812" w:val="left" w:leader="none"/>
              </w:tabs>
              <w:spacing w:line="240" w:lineRule="auto" w:before="0" w:after="0"/>
              <w:ind w:left="280" w:right="102" w:hanging="141"/>
              <w:jc w:val="both"/>
              <w:rPr>
                <w:sz w:val="20"/>
              </w:rPr>
            </w:pPr>
            <w:r>
              <w:rPr>
                <w:sz w:val="20"/>
              </w:rPr>
              <w:t>Existe dependencia económica de los recursos naturales de la</w:t>
            </w:r>
            <w:r>
              <w:rPr>
                <w:spacing w:val="-8"/>
                <w:sz w:val="20"/>
              </w:rPr>
              <w:t> </w:t>
            </w:r>
            <w:r>
              <w:rPr>
                <w:sz w:val="20"/>
              </w:rPr>
              <w:t>CHPH</w:t>
            </w:r>
          </w:p>
          <w:p>
            <w:pPr>
              <w:pStyle w:val="TableParagraph"/>
              <w:numPr>
                <w:ilvl w:val="0"/>
                <w:numId w:val="150"/>
              </w:numPr>
              <w:tabs>
                <w:tab w:pos="812" w:val="left" w:leader="none"/>
                <w:tab w:pos="2101"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4" w:type="dxa"/>
            <w:vMerge/>
          </w:tcPr>
          <w:p>
            <w:pPr/>
          </w:p>
        </w:tc>
        <w:tc>
          <w:tcPr>
            <w:tcW w:w="2403" w:type="dxa"/>
            <w:vMerge/>
          </w:tcPr>
          <w:p>
            <w:pPr/>
          </w:p>
        </w:tc>
        <w:tc>
          <w:tcPr>
            <w:tcW w:w="1608" w:type="dxa"/>
            <w:vMerge/>
            <w:tcBorders>
              <w:right w:val="double" w:sz="12" w:space="0" w:color="000000"/>
            </w:tcBorders>
          </w:tcPr>
          <w:p>
            <w:pPr/>
          </w:p>
        </w:tc>
      </w:tr>
      <w:tr>
        <w:trPr>
          <w:trHeight w:val="646" w:hRule="exact"/>
        </w:trPr>
        <w:tc>
          <w:tcPr>
            <w:tcW w:w="954" w:type="dxa"/>
            <w:tcBorders>
              <w:left w:val="double" w:sz="11" w:space="0" w:color="000000"/>
            </w:tcBorders>
          </w:tcPr>
          <w:p>
            <w:pPr>
              <w:pStyle w:val="TableParagraph"/>
              <w:ind w:left="0"/>
              <w:rPr>
                <w:rFonts w:ascii="Times New Roman"/>
                <w:sz w:val="20"/>
              </w:rPr>
            </w:pPr>
          </w:p>
          <w:p>
            <w:pPr>
              <w:pStyle w:val="TableParagraph"/>
              <w:spacing w:before="173"/>
              <w:ind w:left="209" w:right="212"/>
              <w:jc w:val="center"/>
              <w:rPr>
                <w:sz w:val="20"/>
              </w:rPr>
            </w:pPr>
            <w:r>
              <w:rPr>
                <w:sz w:val="20"/>
              </w:rPr>
              <w:t>1861</w:t>
            </w:r>
          </w:p>
        </w:tc>
        <w:tc>
          <w:tcPr>
            <w:tcW w:w="1846" w:type="dxa"/>
            <w:vMerge/>
          </w:tcPr>
          <w:p>
            <w:pPr/>
          </w:p>
        </w:tc>
        <w:tc>
          <w:tcPr>
            <w:tcW w:w="1352" w:type="dxa"/>
            <w:vMerge/>
          </w:tcPr>
          <w:p>
            <w:pPr/>
          </w:p>
        </w:tc>
        <w:tc>
          <w:tcPr>
            <w:tcW w:w="3185" w:type="dxa"/>
            <w:vMerge/>
          </w:tcPr>
          <w:p>
            <w:pPr/>
          </w:p>
        </w:tc>
        <w:tc>
          <w:tcPr>
            <w:tcW w:w="1474" w:type="dxa"/>
            <w:vMerge/>
          </w:tcPr>
          <w:p>
            <w:pPr/>
          </w:p>
        </w:tc>
        <w:tc>
          <w:tcPr>
            <w:tcW w:w="2403" w:type="dxa"/>
            <w:vMerge/>
          </w:tcPr>
          <w:p>
            <w:pPr/>
          </w:p>
        </w:tc>
        <w:tc>
          <w:tcPr>
            <w:tcW w:w="1608" w:type="dxa"/>
            <w:vMerge/>
            <w:tcBorders>
              <w:right w:val="double" w:sz="12" w:space="0" w:color="000000"/>
            </w:tcBorders>
          </w:tcPr>
          <w:p>
            <w:pPr/>
          </w:p>
        </w:tc>
      </w:tr>
      <w:tr>
        <w:trPr>
          <w:trHeight w:val="788" w:hRule="exact"/>
        </w:trPr>
        <w:tc>
          <w:tcPr>
            <w:tcW w:w="954" w:type="dxa"/>
            <w:tcBorders>
              <w:left w:val="double" w:sz="11" w:space="0" w:color="000000"/>
            </w:tcBorders>
          </w:tcPr>
          <w:p>
            <w:pPr>
              <w:pStyle w:val="TableParagraph"/>
              <w:ind w:left="0"/>
              <w:rPr>
                <w:rFonts w:ascii="Times New Roman"/>
                <w:sz w:val="20"/>
              </w:rPr>
            </w:pPr>
          </w:p>
          <w:p>
            <w:pPr>
              <w:pStyle w:val="TableParagraph"/>
              <w:spacing w:before="4"/>
              <w:ind w:left="0"/>
              <w:rPr>
                <w:rFonts w:ascii="Times New Roman"/>
                <w:sz w:val="27"/>
              </w:rPr>
            </w:pPr>
          </w:p>
          <w:p>
            <w:pPr>
              <w:pStyle w:val="TableParagraph"/>
              <w:ind w:left="209" w:right="212"/>
              <w:jc w:val="center"/>
              <w:rPr>
                <w:sz w:val="20"/>
              </w:rPr>
            </w:pPr>
            <w:r>
              <w:rPr>
                <w:sz w:val="20"/>
              </w:rPr>
              <w:t>1910</w:t>
            </w:r>
          </w:p>
        </w:tc>
        <w:tc>
          <w:tcPr>
            <w:tcW w:w="1846" w:type="dxa"/>
            <w:vMerge/>
          </w:tcPr>
          <w:p>
            <w:pPr/>
          </w:p>
        </w:tc>
        <w:tc>
          <w:tcPr>
            <w:tcW w:w="1352" w:type="dxa"/>
            <w:vMerge/>
          </w:tcPr>
          <w:p>
            <w:pPr/>
          </w:p>
        </w:tc>
        <w:tc>
          <w:tcPr>
            <w:tcW w:w="3185" w:type="dxa"/>
            <w:vMerge/>
          </w:tcPr>
          <w:p>
            <w:pPr/>
          </w:p>
        </w:tc>
        <w:tc>
          <w:tcPr>
            <w:tcW w:w="1474" w:type="dxa"/>
            <w:vMerge/>
          </w:tcPr>
          <w:p>
            <w:pPr/>
          </w:p>
        </w:tc>
        <w:tc>
          <w:tcPr>
            <w:tcW w:w="2403" w:type="dxa"/>
            <w:vMerge/>
          </w:tcPr>
          <w:p>
            <w:pPr/>
          </w:p>
        </w:tc>
        <w:tc>
          <w:tcPr>
            <w:tcW w:w="1608" w:type="dxa"/>
            <w:vMerge/>
            <w:tcBorders>
              <w:right w:val="double" w:sz="12" w:space="0" w:color="000000"/>
            </w:tcBorders>
          </w:tcPr>
          <w:p>
            <w:pPr/>
          </w:p>
        </w:tc>
      </w:tr>
      <w:tr>
        <w:trPr>
          <w:trHeight w:val="1159"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209" w:right="212"/>
              <w:jc w:val="center"/>
              <w:rPr>
                <w:sz w:val="20"/>
              </w:rPr>
            </w:pPr>
            <w:r>
              <w:rPr>
                <w:sz w:val="20"/>
              </w:rPr>
              <w:t>1940</w:t>
            </w:r>
          </w:p>
        </w:tc>
        <w:tc>
          <w:tcPr>
            <w:tcW w:w="1846" w:type="dxa"/>
            <w:vMerge/>
          </w:tcPr>
          <w:p>
            <w:pPr/>
          </w:p>
        </w:tc>
        <w:tc>
          <w:tcPr>
            <w:tcW w:w="1352" w:type="dxa"/>
            <w:vMerge w:val="restart"/>
          </w:tcPr>
          <w:p>
            <w:pPr>
              <w:pStyle w:val="TableParagraph"/>
              <w:spacing w:line="227" w:lineRule="exact"/>
              <w:rPr>
                <w:sz w:val="20"/>
              </w:rPr>
            </w:pPr>
            <w:r>
              <w:rPr>
                <w:sz w:val="20"/>
              </w:rPr>
              <w:t>Sociopolítico</w:t>
            </w:r>
          </w:p>
        </w:tc>
        <w:tc>
          <w:tcPr>
            <w:tcW w:w="3185" w:type="dxa"/>
            <w:vMerge w:val="restart"/>
          </w:tcPr>
          <w:p>
            <w:pPr>
              <w:pStyle w:val="TableParagraph"/>
              <w:ind w:left="280" w:right="103" w:hanging="178"/>
              <w:jc w:val="both"/>
              <w:rPr>
                <w:sz w:val="20"/>
              </w:rPr>
            </w:pPr>
            <w:r>
              <w:rPr>
                <w:rFonts w:ascii="Wingdings" w:hAnsi="Wingdings"/>
                <w:sz w:val="20"/>
              </w:rPr>
              <w:t></w:t>
            </w:r>
            <w:r>
              <w:rPr>
                <w:sz w:val="20"/>
              </w:rPr>
              <w:t>Favorece la organización sociopolítica de los actores para cuidar el medio ambiente</w:t>
            </w:r>
          </w:p>
          <w:p>
            <w:pPr>
              <w:pStyle w:val="TableParagraph"/>
              <w:ind w:left="280" w:right="101" w:hanging="178"/>
              <w:jc w:val="both"/>
              <w:rPr>
                <w:sz w:val="20"/>
              </w:rPr>
            </w:pPr>
            <w:r>
              <w:rPr>
                <w:rFonts w:ascii="Wingdings" w:hAnsi="Wingdings"/>
                <w:sz w:val="20"/>
              </w:rPr>
              <w:t></w:t>
            </w:r>
            <w:r>
              <w:rPr>
                <w:sz w:val="20"/>
              </w:rPr>
              <w:t>Favorece la organización sociopolítica de los actores de la CHPH por el lugar de nacimiento y el tiempo de residencia en la región</w:t>
            </w:r>
          </w:p>
          <w:p>
            <w:pPr>
              <w:pStyle w:val="TableParagraph"/>
              <w:ind w:left="280" w:right="105" w:hanging="178"/>
              <w:jc w:val="both"/>
              <w:rPr>
                <w:sz w:val="20"/>
              </w:rPr>
            </w:pPr>
            <w:r>
              <w:rPr>
                <w:rFonts w:ascii="Wingdings" w:hAnsi="Wingdings"/>
                <w:sz w:val="20"/>
              </w:rPr>
              <w:t></w:t>
            </w:r>
            <w:r>
              <w:rPr>
                <w:sz w:val="20"/>
              </w:rPr>
              <w:t>Favorece la articulación entre actores para cuidar el medio ambiente</w:t>
            </w:r>
          </w:p>
          <w:p>
            <w:pPr>
              <w:pStyle w:val="TableParagraph"/>
              <w:ind w:right="19"/>
              <w:rPr>
                <w:sz w:val="20"/>
              </w:rPr>
            </w:pPr>
            <w:r>
              <w:rPr>
                <w:rFonts w:ascii="Wingdings" w:hAnsi="Wingdings"/>
                <w:sz w:val="20"/>
              </w:rPr>
              <w:t></w:t>
            </w:r>
            <w:r>
              <w:rPr>
                <w:sz w:val="20"/>
              </w:rPr>
              <w:t>Favorece la GIRH</w:t>
            </w:r>
          </w:p>
          <w:p>
            <w:pPr>
              <w:pStyle w:val="TableParagraph"/>
              <w:spacing w:line="229" w:lineRule="exact"/>
              <w:ind w:right="19"/>
              <w:rPr>
                <w:sz w:val="20"/>
              </w:rPr>
            </w:pPr>
            <w:r>
              <w:rPr>
                <w:rFonts w:ascii="Wingdings" w:hAnsi="Wingdings"/>
                <w:sz w:val="20"/>
              </w:rPr>
              <w:t></w:t>
            </w:r>
            <w:r>
              <w:rPr>
                <w:sz w:val="20"/>
              </w:rPr>
              <w:t>Favorece la gobernanza</w:t>
            </w:r>
          </w:p>
          <w:p>
            <w:pPr>
              <w:pStyle w:val="TableParagraph"/>
              <w:spacing w:line="229" w:lineRule="exact"/>
              <w:ind w:right="19"/>
              <w:rPr>
                <w:sz w:val="20"/>
              </w:rPr>
            </w:pPr>
            <w:r>
              <w:rPr>
                <w:rFonts w:ascii="Wingdings" w:hAnsi="Wingdings"/>
                <w:sz w:val="20"/>
              </w:rPr>
              <w:t></w:t>
            </w:r>
            <w:r>
              <w:rPr>
                <w:sz w:val="20"/>
              </w:rPr>
              <w:t>Fortalece la gobernabilidad</w:t>
            </w:r>
          </w:p>
          <w:p>
            <w:pPr>
              <w:pStyle w:val="TableParagraph"/>
              <w:ind w:left="280" w:right="107" w:hanging="178"/>
              <w:jc w:val="both"/>
              <w:rPr>
                <w:sz w:val="20"/>
              </w:rPr>
            </w:pPr>
            <w:r>
              <w:rPr>
                <w:rFonts w:ascii="Wingdings" w:hAnsi="Wingdings"/>
                <w:sz w:val="20"/>
              </w:rPr>
              <w:t></w:t>
            </w:r>
            <w:r>
              <w:rPr>
                <w:sz w:val="20"/>
              </w:rPr>
              <w:t>Existe planeación sociopolítica con articulación entre actores</w:t>
            </w:r>
          </w:p>
        </w:tc>
        <w:tc>
          <w:tcPr>
            <w:tcW w:w="1474" w:type="dxa"/>
            <w:vMerge/>
          </w:tcPr>
          <w:p>
            <w:pPr/>
          </w:p>
        </w:tc>
        <w:tc>
          <w:tcPr>
            <w:tcW w:w="2403" w:type="dxa"/>
            <w:vMerge/>
          </w:tcPr>
          <w:p>
            <w:pPr/>
          </w:p>
        </w:tc>
        <w:tc>
          <w:tcPr>
            <w:tcW w:w="1608" w:type="dxa"/>
            <w:vMerge/>
            <w:tcBorders>
              <w:right w:val="double" w:sz="12" w:space="0" w:color="000000"/>
            </w:tcBorders>
          </w:tcPr>
          <w:p>
            <w:pPr/>
          </w:p>
        </w:tc>
      </w:tr>
      <w:tr>
        <w:trPr>
          <w:trHeight w:val="1159"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209" w:right="212"/>
              <w:jc w:val="center"/>
              <w:rPr>
                <w:sz w:val="20"/>
              </w:rPr>
            </w:pPr>
            <w:r>
              <w:rPr>
                <w:sz w:val="20"/>
              </w:rPr>
              <w:t>1982</w:t>
            </w:r>
          </w:p>
        </w:tc>
        <w:tc>
          <w:tcPr>
            <w:tcW w:w="1846" w:type="dxa"/>
            <w:vMerge/>
          </w:tcPr>
          <w:p>
            <w:pPr/>
          </w:p>
        </w:tc>
        <w:tc>
          <w:tcPr>
            <w:tcW w:w="1352" w:type="dxa"/>
            <w:vMerge/>
          </w:tcPr>
          <w:p>
            <w:pPr/>
          </w:p>
        </w:tc>
        <w:tc>
          <w:tcPr>
            <w:tcW w:w="3185" w:type="dxa"/>
            <w:vMerge/>
          </w:tcPr>
          <w:p>
            <w:pPr/>
          </w:p>
        </w:tc>
        <w:tc>
          <w:tcPr>
            <w:tcW w:w="1474" w:type="dxa"/>
            <w:vMerge/>
          </w:tcPr>
          <w:p>
            <w:pPr/>
          </w:p>
        </w:tc>
        <w:tc>
          <w:tcPr>
            <w:tcW w:w="2403" w:type="dxa"/>
            <w:vMerge/>
          </w:tcPr>
          <w:p>
            <w:pPr/>
          </w:p>
        </w:tc>
        <w:tc>
          <w:tcPr>
            <w:tcW w:w="1608" w:type="dxa"/>
            <w:vMerge/>
            <w:tcBorders>
              <w:right w:val="double" w:sz="12" w:space="0" w:color="000000"/>
            </w:tcBorders>
          </w:tcPr>
          <w:p>
            <w:pPr/>
          </w:p>
        </w:tc>
      </w:tr>
      <w:tr>
        <w:trPr>
          <w:trHeight w:val="1390"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19"/>
              </w:rPr>
            </w:pPr>
          </w:p>
          <w:p>
            <w:pPr>
              <w:pStyle w:val="TableParagraph"/>
              <w:ind w:left="209" w:right="212"/>
              <w:jc w:val="center"/>
              <w:rPr>
                <w:sz w:val="20"/>
              </w:rPr>
            </w:pPr>
            <w:r>
              <w:rPr>
                <w:sz w:val="20"/>
              </w:rPr>
              <w:t>2016</w:t>
            </w:r>
          </w:p>
        </w:tc>
        <w:tc>
          <w:tcPr>
            <w:tcW w:w="1846" w:type="dxa"/>
            <w:vMerge/>
          </w:tcPr>
          <w:p>
            <w:pPr/>
          </w:p>
        </w:tc>
        <w:tc>
          <w:tcPr>
            <w:tcW w:w="1352" w:type="dxa"/>
            <w:vMerge/>
          </w:tcPr>
          <w:p>
            <w:pPr/>
          </w:p>
        </w:tc>
        <w:tc>
          <w:tcPr>
            <w:tcW w:w="3185" w:type="dxa"/>
            <w:vMerge/>
          </w:tcPr>
          <w:p>
            <w:pPr/>
          </w:p>
        </w:tc>
        <w:tc>
          <w:tcPr>
            <w:tcW w:w="1474" w:type="dxa"/>
            <w:vMerge/>
          </w:tcPr>
          <w:p>
            <w:pPr/>
          </w:p>
        </w:tc>
        <w:tc>
          <w:tcPr>
            <w:tcW w:w="2403" w:type="dxa"/>
            <w:vMerge/>
          </w:tcPr>
          <w:p>
            <w:pPr/>
          </w:p>
        </w:tc>
        <w:tc>
          <w:tcPr>
            <w:tcW w:w="1608" w:type="dxa"/>
            <w:vMerge/>
            <w:tcBorders>
              <w:right w:val="double" w:sz="12" w:space="0" w:color="000000"/>
            </w:tcBorders>
          </w:tcPr>
          <w:p>
            <w:pPr/>
          </w:p>
        </w:tc>
      </w:tr>
      <w:tr>
        <w:trPr>
          <w:trHeight w:val="240" w:hRule="exact"/>
        </w:trPr>
        <w:tc>
          <w:tcPr>
            <w:tcW w:w="954" w:type="dxa"/>
            <w:tcBorders>
              <w:left w:val="double" w:sz="11" w:space="0" w:color="000000"/>
            </w:tcBorders>
          </w:tcPr>
          <w:p>
            <w:pPr/>
          </w:p>
        </w:tc>
        <w:tc>
          <w:tcPr>
            <w:tcW w:w="1846" w:type="dxa"/>
          </w:tcPr>
          <w:p>
            <w:pPr/>
          </w:p>
        </w:tc>
        <w:tc>
          <w:tcPr>
            <w:tcW w:w="1352" w:type="dxa"/>
          </w:tcPr>
          <w:p>
            <w:pPr>
              <w:pStyle w:val="TableParagraph"/>
              <w:spacing w:line="227" w:lineRule="exact"/>
              <w:rPr>
                <w:sz w:val="20"/>
              </w:rPr>
            </w:pPr>
            <w:r>
              <w:rPr>
                <w:sz w:val="20"/>
              </w:rPr>
              <w:t>Ambiental</w:t>
            </w:r>
          </w:p>
        </w:tc>
        <w:tc>
          <w:tcPr>
            <w:tcW w:w="3185" w:type="dxa"/>
          </w:tcPr>
          <w:p>
            <w:pPr>
              <w:pStyle w:val="TableParagraph"/>
              <w:numPr>
                <w:ilvl w:val="0"/>
                <w:numId w:val="151"/>
              </w:numPr>
              <w:tabs>
                <w:tab w:pos="463" w:val="left" w:leader="none"/>
                <w:tab w:pos="464" w:val="left" w:leader="none"/>
                <w:tab w:pos="1334" w:val="left" w:leader="none"/>
                <w:tab w:pos="2190" w:val="left" w:leader="none"/>
              </w:tabs>
              <w:spacing w:line="227" w:lineRule="exact" w:before="0" w:after="0"/>
              <w:ind w:left="463" w:right="0" w:hanging="360"/>
              <w:jc w:val="left"/>
              <w:rPr>
                <w:sz w:val="20"/>
              </w:rPr>
            </w:pPr>
            <w:r>
              <w:rPr>
                <w:sz w:val="20"/>
              </w:rPr>
              <w:t>Existen</w:t>
              <w:tab/>
              <w:t>valores</w:t>
              <w:tab/>
              <w:t>colectivos</w:t>
            </w:r>
          </w:p>
        </w:tc>
        <w:tc>
          <w:tcPr>
            <w:tcW w:w="1474" w:type="dxa"/>
          </w:tcPr>
          <w:p>
            <w:pPr/>
          </w:p>
        </w:tc>
        <w:tc>
          <w:tcPr>
            <w:tcW w:w="2403" w:type="dxa"/>
            <w:tcBorders>
              <w:right w:val="single" w:sz="40" w:space="0" w:color="FFFF00"/>
            </w:tcBorders>
          </w:tcPr>
          <w:p>
            <w:pPr>
              <w:pStyle w:val="TableParagraph"/>
              <w:spacing w:line="225" w:lineRule="exact"/>
              <w:rPr>
                <w:b/>
                <w:sz w:val="20"/>
              </w:rPr>
            </w:pPr>
            <w:r>
              <w:rPr>
                <w:sz w:val="20"/>
              </w:rPr>
              <w:t>Debe  reunir  </w:t>
            </w:r>
            <w:r>
              <w:rPr>
                <w:b/>
                <w:sz w:val="20"/>
              </w:rPr>
              <w:t>al  menos</w:t>
            </w:r>
          </w:p>
        </w:tc>
        <w:tc>
          <w:tcPr>
            <w:tcW w:w="1608" w:type="dxa"/>
            <w:tcBorders>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46"/>
        <w:gridCol w:w="1352"/>
        <w:gridCol w:w="3185"/>
        <w:gridCol w:w="1474"/>
        <w:gridCol w:w="2403"/>
        <w:gridCol w:w="1608"/>
      </w:tblGrid>
      <w:tr>
        <w:trPr>
          <w:trHeight w:val="3241" w:hRule="exact"/>
        </w:trPr>
        <w:tc>
          <w:tcPr>
            <w:tcW w:w="954" w:type="dxa"/>
            <w:tcBorders>
              <w:left w:val="double" w:sz="11" w:space="0" w:color="000000"/>
            </w:tcBorders>
          </w:tcPr>
          <w:p>
            <w:pPr/>
          </w:p>
        </w:tc>
        <w:tc>
          <w:tcPr>
            <w:tcW w:w="184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52" w:type="dxa"/>
          </w:tcPr>
          <w:p>
            <w:pPr/>
          </w:p>
        </w:tc>
        <w:tc>
          <w:tcPr>
            <w:tcW w:w="3185" w:type="dxa"/>
          </w:tcPr>
          <w:p>
            <w:pPr>
              <w:pStyle w:val="TableParagraph"/>
              <w:spacing w:before="7"/>
              <w:ind w:left="463" w:right="104"/>
              <w:jc w:val="both"/>
              <w:rPr>
                <w:sz w:val="20"/>
              </w:rPr>
            </w:pPr>
            <w:r>
              <w:rPr>
                <w:sz w:val="20"/>
              </w:rPr>
              <w:t>como la paz, la  solidaridad, el respeto, la responsabilidad para cuidar el ecosistema de la CHPH</w:t>
            </w:r>
          </w:p>
          <w:p>
            <w:pPr>
              <w:pStyle w:val="TableParagraph"/>
              <w:numPr>
                <w:ilvl w:val="0"/>
                <w:numId w:val="152"/>
              </w:numPr>
              <w:tabs>
                <w:tab w:pos="464" w:val="left" w:leader="none"/>
              </w:tabs>
              <w:spacing w:line="240" w:lineRule="auto" w:before="0" w:after="0"/>
              <w:ind w:left="463" w:right="104" w:hanging="360"/>
              <w:jc w:val="both"/>
              <w:rPr>
                <w:sz w:val="20"/>
              </w:rPr>
            </w:pPr>
            <w:r>
              <w:rPr>
                <w:sz w:val="20"/>
              </w:rPr>
              <w:t>Existe trasmisión de valores de generación en generación de actores de la</w:t>
            </w:r>
            <w:r>
              <w:rPr>
                <w:spacing w:val="-7"/>
                <w:sz w:val="20"/>
              </w:rPr>
              <w:t> </w:t>
            </w:r>
            <w:r>
              <w:rPr>
                <w:sz w:val="20"/>
              </w:rPr>
              <w:t>CHPH</w:t>
            </w:r>
          </w:p>
          <w:p>
            <w:pPr>
              <w:pStyle w:val="TableParagraph"/>
              <w:numPr>
                <w:ilvl w:val="0"/>
                <w:numId w:val="152"/>
              </w:numPr>
              <w:tabs>
                <w:tab w:pos="464" w:val="left" w:leader="none"/>
              </w:tabs>
              <w:spacing w:line="240" w:lineRule="auto" w:before="0" w:after="0"/>
              <w:ind w:left="463" w:right="104" w:hanging="360"/>
              <w:jc w:val="both"/>
              <w:rPr>
                <w:sz w:val="20"/>
              </w:rPr>
            </w:pPr>
            <w:r>
              <w:rPr>
                <w:sz w:val="20"/>
              </w:rPr>
              <w:t>Existe arraigo de los actores en la región de la CHPH  para cuidar el medio ambiente</w:t>
            </w:r>
          </w:p>
          <w:p>
            <w:pPr>
              <w:pStyle w:val="TableParagraph"/>
              <w:numPr>
                <w:ilvl w:val="0"/>
                <w:numId w:val="152"/>
              </w:numPr>
              <w:tabs>
                <w:tab w:pos="464" w:val="left" w:leader="none"/>
              </w:tabs>
              <w:spacing w:line="240" w:lineRule="auto" w:before="0" w:after="0"/>
              <w:ind w:left="463" w:right="103" w:hanging="360"/>
              <w:jc w:val="both"/>
              <w:rPr>
                <w:sz w:val="20"/>
              </w:rPr>
            </w:pPr>
            <w:r>
              <w:rPr>
                <w:sz w:val="20"/>
              </w:rPr>
              <w:t>Existe planeación ambiental con articulación  entre actores</w:t>
            </w:r>
          </w:p>
        </w:tc>
        <w:tc>
          <w:tcPr>
            <w:tcW w:w="1474" w:type="dxa"/>
            <w:vMerge w:val="restart"/>
          </w:tcPr>
          <w:p>
            <w:pPr/>
          </w:p>
        </w:tc>
        <w:tc>
          <w:tcPr>
            <w:tcW w:w="2403" w:type="dxa"/>
            <w:vMerge w:val="restart"/>
          </w:tcPr>
          <w:p>
            <w:pPr>
              <w:pStyle w:val="TableParagraph"/>
              <w:tabs>
                <w:tab w:pos="2065" w:val="left" w:leader="none"/>
              </w:tabs>
              <w:spacing w:line="242" w:lineRule="auto" w:before="4"/>
              <w:ind w:right="104"/>
              <w:jc w:val="both"/>
              <w:rPr>
                <w:sz w:val="20"/>
              </w:rPr>
            </w:pPr>
            <w:r>
              <w:rPr>
                <w:b/>
                <w:sz w:val="20"/>
              </w:rPr>
              <w:t>el 50% una de tres </w:t>
            </w:r>
            <w:r>
              <w:rPr>
                <w:sz w:val="20"/>
              </w:rPr>
              <w:t>características</w:t>
              <w:tab/>
              <w:t>de</w:t>
            </w:r>
            <w:r>
              <w:rPr>
                <w:w w:val="99"/>
                <w:sz w:val="20"/>
              </w:rPr>
              <w:t> </w:t>
            </w:r>
            <w:r>
              <w:rPr>
                <w:sz w:val="20"/>
              </w:rPr>
              <w:t>impacto</w:t>
            </w:r>
            <w:r>
              <w:rPr>
                <w:spacing w:val="-3"/>
                <w:sz w:val="20"/>
              </w:rPr>
              <w:t> </w:t>
            </w:r>
            <w:r>
              <w:rPr>
                <w:sz w:val="20"/>
              </w:rPr>
              <w:t>positivo</w:t>
            </w:r>
          </w:p>
        </w:tc>
        <w:tc>
          <w:tcPr>
            <w:tcW w:w="1608"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405"/>
              <w:rPr>
                <w:b/>
                <w:sz w:val="20"/>
              </w:rPr>
            </w:pPr>
            <w:r>
              <w:rPr>
                <w:b/>
                <w:sz w:val="20"/>
              </w:rPr>
              <w:t>Regular</w:t>
            </w:r>
          </w:p>
        </w:tc>
      </w:tr>
      <w:tr>
        <w:trPr>
          <w:trHeight w:val="1848" w:hRule="exact"/>
        </w:trPr>
        <w:tc>
          <w:tcPr>
            <w:tcW w:w="954" w:type="dxa"/>
            <w:vMerge w:val="restart"/>
            <w:tcBorders>
              <w:left w:val="double" w:sz="11" w:space="0" w:color="000000"/>
            </w:tcBorders>
          </w:tcPr>
          <w:p>
            <w:pPr/>
          </w:p>
        </w:tc>
        <w:tc>
          <w:tcPr>
            <w:tcW w:w="1846" w:type="dxa"/>
            <w:vMerge/>
          </w:tcPr>
          <w:p>
            <w:pPr/>
          </w:p>
        </w:tc>
        <w:tc>
          <w:tcPr>
            <w:tcW w:w="1352" w:type="dxa"/>
          </w:tcPr>
          <w:p>
            <w:pPr>
              <w:pStyle w:val="TableParagraph"/>
              <w:spacing w:line="227" w:lineRule="exact"/>
              <w:rPr>
                <w:sz w:val="20"/>
              </w:rPr>
            </w:pPr>
            <w:r>
              <w:rPr>
                <w:sz w:val="20"/>
              </w:rPr>
              <w:t>Económico</w:t>
            </w:r>
          </w:p>
        </w:tc>
        <w:tc>
          <w:tcPr>
            <w:tcW w:w="3185" w:type="dxa"/>
          </w:tcPr>
          <w:p>
            <w:pPr>
              <w:pStyle w:val="TableParagraph"/>
              <w:numPr>
                <w:ilvl w:val="0"/>
                <w:numId w:val="153"/>
              </w:numPr>
              <w:tabs>
                <w:tab w:pos="812" w:val="left" w:leader="none"/>
              </w:tabs>
              <w:spacing w:line="240" w:lineRule="auto" w:before="0" w:after="0"/>
              <w:ind w:left="280" w:right="102" w:hanging="141"/>
              <w:jc w:val="both"/>
              <w:rPr>
                <w:sz w:val="20"/>
              </w:rPr>
            </w:pPr>
            <w:r>
              <w:rPr>
                <w:sz w:val="20"/>
              </w:rPr>
              <w:t>Existe identificación social con los recursos naturales de la</w:t>
            </w:r>
            <w:r>
              <w:rPr>
                <w:spacing w:val="-8"/>
                <w:sz w:val="20"/>
              </w:rPr>
              <w:t> </w:t>
            </w:r>
            <w:r>
              <w:rPr>
                <w:sz w:val="20"/>
              </w:rPr>
              <w:t>CHPH.</w:t>
            </w:r>
          </w:p>
          <w:p>
            <w:pPr>
              <w:pStyle w:val="TableParagraph"/>
              <w:numPr>
                <w:ilvl w:val="0"/>
                <w:numId w:val="153"/>
              </w:numPr>
              <w:tabs>
                <w:tab w:pos="812" w:val="left" w:leader="none"/>
              </w:tabs>
              <w:spacing w:line="240" w:lineRule="auto" w:before="0" w:after="0"/>
              <w:ind w:left="280" w:right="102" w:hanging="141"/>
              <w:jc w:val="both"/>
              <w:rPr>
                <w:sz w:val="20"/>
              </w:rPr>
            </w:pPr>
            <w:r>
              <w:rPr>
                <w:sz w:val="20"/>
              </w:rPr>
              <w:t>Existe dependencia económica de los recursos naturales de la</w:t>
            </w:r>
            <w:r>
              <w:rPr>
                <w:spacing w:val="-8"/>
                <w:sz w:val="20"/>
              </w:rPr>
              <w:t> </w:t>
            </w:r>
            <w:r>
              <w:rPr>
                <w:sz w:val="20"/>
              </w:rPr>
              <w:t>CHPH</w:t>
            </w:r>
          </w:p>
          <w:p>
            <w:pPr>
              <w:pStyle w:val="TableParagraph"/>
              <w:spacing w:before="1"/>
              <w:ind w:left="280" w:right="19"/>
              <w:rPr>
                <w:sz w:val="20"/>
              </w:rPr>
            </w:pPr>
            <w:r>
              <w:rPr>
                <w:sz w:val="20"/>
              </w:rPr>
              <w:t>Existe planeación económica con articulación entre actores</w:t>
            </w:r>
          </w:p>
        </w:tc>
        <w:tc>
          <w:tcPr>
            <w:tcW w:w="1474" w:type="dxa"/>
            <w:vMerge/>
          </w:tcPr>
          <w:p>
            <w:pPr/>
          </w:p>
        </w:tc>
        <w:tc>
          <w:tcPr>
            <w:tcW w:w="2403" w:type="dxa"/>
            <w:vMerge/>
          </w:tcPr>
          <w:p>
            <w:pPr/>
          </w:p>
        </w:tc>
        <w:tc>
          <w:tcPr>
            <w:tcW w:w="1608" w:type="dxa"/>
            <w:vMerge/>
            <w:tcBorders>
              <w:right w:val="double" w:sz="12" w:space="0" w:color="000000"/>
            </w:tcBorders>
            <w:shd w:val="clear" w:color="auto" w:fill="FFFF00"/>
          </w:tcPr>
          <w:p>
            <w:pPr/>
          </w:p>
        </w:tc>
      </w:tr>
      <w:tr>
        <w:trPr>
          <w:trHeight w:val="3701" w:hRule="exact"/>
        </w:trPr>
        <w:tc>
          <w:tcPr>
            <w:tcW w:w="954" w:type="dxa"/>
            <w:vMerge/>
            <w:tcBorders>
              <w:left w:val="double" w:sz="11" w:space="0" w:color="000000"/>
              <w:bottom w:val="single" w:sz="8" w:space="0" w:color="000000"/>
            </w:tcBorders>
          </w:tcPr>
          <w:p>
            <w:pPr/>
          </w:p>
        </w:tc>
        <w:tc>
          <w:tcPr>
            <w:tcW w:w="1846" w:type="dxa"/>
            <w:vMerge/>
            <w:tcBorders>
              <w:bottom w:val="single" w:sz="8" w:space="0" w:color="000000"/>
            </w:tcBorders>
          </w:tcPr>
          <w:p>
            <w:pPr/>
          </w:p>
        </w:tc>
        <w:tc>
          <w:tcPr>
            <w:tcW w:w="1352" w:type="dxa"/>
            <w:tcBorders>
              <w:bottom w:val="single" w:sz="8" w:space="0" w:color="000000"/>
            </w:tcBorders>
          </w:tcPr>
          <w:p>
            <w:pPr>
              <w:pStyle w:val="TableParagraph"/>
              <w:spacing w:line="230" w:lineRule="exact"/>
              <w:rPr>
                <w:sz w:val="20"/>
              </w:rPr>
            </w:pPr>
            <w:r>
              <w:rPr>
                <w:sz w:val="20"/>
              </w:rPr>
              <w:t>Sociopolítico</w:t>
            </w:r>
          </w:p>
        </w:tc>
        <w:tc>
          <w:tcPr>
            <w:tcW w:w="3185" w:type="dxa"/>
            <w:tcBorders>
              <w:bottom w:val="single" w:sz="8" w:space="0" w:color="000000"/>
            </w:tcBorders>
          </w:tcPr>
          <w:p>
            <w:pPr>
              <w:pStyle w:val="TableParagraph"/>
              <w:ind w:left="280" w:right="103" w:hanging="178"/>
              <w:jc w:val="both"/>
              <w:rPr>
                <w:sz w:val="20"/>
              </w:rPr>
            </w:pPr>
            <w:r>
              <w:rPr>
                <w:rFonts w:ascii="Wingdings" w:hAnsi="Wingdings"/>
                <w:sz w:val="20"/>
              </w:rPr>
              <w:t></w:t>
            </w:r>
            <w:r>
              <w:rPr>
                <w:sz w:val="20"/>
              </w:rPr>
              <w:t>Favorece la organización sociopolítica de los actores para cuidar el medio ambiente</w:t>
            </w:r>
          </w:p>
          <w:p>
            <w:pPr>
              <w:pStyle w:val="TableParagraph"/>
              <w:ind w:left="280" w:right="102" w:hanging="178"/>
              <w:jc w:val="both"/>
              <w:rPr>
                <w:sz w:val="20"/>
              </w:rPr>
            </w:pPr>
            <w:r>
              <w:rPr>
                <w:rFonts w:ascii="Wingdings" w:hAnsi="Wingdings"/>
                <w:sz w:val="20"/>
              </w:rPr>
              <w:t></w:t>
            </w:r>
            <w:r>
              <w:rPr>
                <w:sz w:val="20"/>
              </w:rPr>
              <w:t>Favorece la organización sociopolítica de los actores de la CHPH por el lugar de nacimiento y el tiempo de residencia en la región</w:t>
            </w:r>
          </w:p>
          <w:p>
            <w:pPr>
              <w:pStyle w:val="TableParagraph"/>
              <w:ind w:left="280" w:right="105" w:hanging="178"/>
              <w:jc w:val="both"/>
              <w:rPr>
                <w:sz w:val="20"/>
              </w:rPr>
            </w:pPr>
            <w:r>
              <w:rPr>
                <w:rFonts w:ascii="Wingdings" w:hAnsi="Wingdings"/>
                <w:sz w:val="20"/>
              </w:rPr>
              <w:t></w:t>
            </w:r>
            <w:r>
              <w:rPr>
                <w:sz w:val="20"/>
              </w:rPr>
              <w:t>Favorece la articulación entre actores para cuidar el medio ambiente</w:t>
            </w:r>
          </w:p>
          <w:p>
            <w:pPr>
              <w:pStyle w:val="TableParagraph"/>
              <w:spacing w:line="229" w:lineRule="exact"/>
              <w:ind w:right="19"/>
              <w:rPr>
                <w:sz w:val="20"/>
              </w:rPr>
            </w:pPr>
            <w:r>
              <w:rPr>
                <w:rFonts w:ascii="Wingdings" w:hAnsi="Wingdings"/>
                <w:sz w:val="20"/>
              </w:rPr>
              <w:t></w:t>
            </w:r>
            <w:r>
              <w:rPr>
                <w:sz w:val="20"/>
              </w:rPr>
              <w:t>Favorece la GIRH</w:t>
            </w:r>
          </w:p>
          <w:p>
            <w:pPr>
              <w:pStyle w:val="TableParagraph"/>
              <w:spacing w:line="229" w:lineRule="exact"/>
              <w:ind w:right="19"/>
              <w:rPr>
                <w:sz w:val="20"/>
              </w:rPr>
            </w:pPr>
            <w:r>
              <w:rPr>
                <w:rFonts w:ascii="Wingdings" w:hAnsi="Wingdings"/>
                <w:sz w:val="20"/>
              </w:rPr>
              <w:t></w:t>
            </w:r>
            <w:r>
              <w:rPr>
                <w:sz w:val="20"/>
              </w:rPr>
              <w:t>Favorece la gobernanza</w:t>
            </w:r>
          </w:p>
          <w:p>
            <w:pPr>
              <w:pStyle w:val="TableParagraph"/>
              <w:ind w:right="19"/>
              <w:rPr>
                <w:sz w:val="20"/>
              </w:rPr>
            </w:pPr>
            <w:r>
              <w:rPr>
                <w:rFonts w:ascii="Wingdings" w:hAnsi="Wingdings"/>
                <w:sz w:val="20"/>
              </w:rPr>
              <w:t></w:t>
            </w:r>
            <w:r>
              <w:rPr>
                <w:sz w:val="20"/>
              </w:rPr>
              <w:t>Fortalece la gobernabilidad</w:t>
            </w:r>
          </w:p>
          <w:p>
            <w:pPr>
              <w:pStyle w:val="TableParagraph"/>
              <w:ind w:left="280" w:right="107" w:hanging="178"/>
              <w:jc w:val="both"/>
              <w:rPr>
                <w:sz w:val="20"/>
              </w:rPr>
            </w:pPr>
            <w:r>
              <w:rPr>
                <w:rFonts w:ascii="Wingdings" w:hAnsi="Wingdings"/>
                <w:sz w:val="20"/>
              </w:rPr>
              <w:t></w:t>
            </w:r>
            <w:r>
              <w:rPr>
                <w:sz w:val="20"/>
              </w:rPr>
              <w:t>Existe planeación sociopolítica con articulación entre actores</w:t>
            </w:r>
          </w:p>
        </w:tc>
        <w:tc>
          <w:tcPr>
            <w:tcW w:w="1474" w:type="dxa"/>
            <w:vMerge/>
            <w:tcBorders>
              <w:bottom w:val="single" w:sz="8" w:space="0" w:color="000000"/>
            </w:tcBorders>
          </w:tcPr>
          <w:p>
            <w:pPr/>
          </w:p>
        </w:tc>
        <w:tc>
          <w:tcPr>
            <w:tcW w:w="2403" w:type="dxa"/>
            <w:vMerge/>
            <w:tcBorders>
              <w:bottom w:val="single" w:sz="8" w:space="0" w:color="000000"/>
            </w:tcBorders>
          </w:tcPr>
          <w:p>
            <w:pPr/>
          </w:p>
        </w:tc>
        <w:tc>
          <w:tcPr>
            <w:tcW w:w="1608" w:type="dxa"/>
            <w:vMerge/>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46"/>
        <w:gridCol w:w="1352"/>
        <w:gridCol w:w="3185"/>
        <w:gridCol w:w="1474"/>
        <w:gridCol w:w="2403"/>
        <w:gridCol w:w="1608"/>
      </w:tblGrid>
      <w:tr>
        <w:trPr>
          <w:trHeight w:val="3469" w:hRule="exact"/>
        </w:trPr>
        <w:tc>
          <w:tcPr>
            <w:tcW w:w="954" w:type="dxa"/>
            <w:vMerge w:val="restart"/>
            <w:tcBorders>
              <w:left w:val="double" w:sz="11" w:space="0" w:color="000000"/>
            </w:tcBorders>
          </w:tcPr>
          <w:p>
            <w:pPr/>
          </w:p>
        </w:tc>
        <w:tc>
          <w:tcPr>
            <w:tcW w:w="1846" w:type="dxa"/>
            <w:vMerge w:val="restart"/>
          </w:tcPr>
          <w:p>
            <w:pPr/>
          </w:p>
        </w:tc>
        <w:tc>
          <w:tcPr>
            <w:tcW w:w="1352" w:type="dxa"/>
          </w:tcPr>
          <w:p>
            <w:pPr>
              <w:pStyle w:val="TableParagraph"/>
              <w:spacing w:before="7"/>
              <w:rPr>
                <w:sz w:val="20"/>
              </w:rPr>
            </w:pPr>
            <w:r>
              <w:rPr>
                <w:sz w:val="20"/>
              </w:rPr>
              <w:t>Ambiental</w:t>
            </w:r>
          </w:p>
        </w:tc>
        <w:tc>
          <w:tcPr>
            <w:tcW w:w="3185" w:type="dxa"/>
          </w:tcPr>
          <w:p>
            <w:pPr>
              <w:pStyle w:val="TableParagraph"/>
              <w:numPr>
                <w:ilvl w:val="0"/>
                <w:numId w:val="154"/>
              </w:numPr>
              <w:tabs>
                <w:tab w:pos="464" w:val="left" w:leader="none"/>
              </w:tabs>
              <w:spacing w:line="240" w:lineRule="auto" w:before="7" w:after="0"/>
              <w:ind w:left="463" w:right="103" w:hanging="360"/>
              <w:jc w:val="both"/>
              <w:rPr>
                <w:sz w:val="20"/>
              </w:rPr>
            </w:pPr>
            <w:r>
              <w:rPr>
                <w:sz w:val="20"/>
              </w:rPr>
              <w:t>Existen valores colectivos como la paz, la  solidaridad, el respeto, la responsabilidad para cuidar el ecosistema de la</w:t>
            </w:r>
            <w:r>
              <w:rPr>
                <w:spacing w:val="-5"/>
                <w:sz w:val="20"/>
              </w:rPr>
              <w:t> </w:t>
            </w:r>
            <w:r>
              <w:rPr>
                <w:sz w:val="20"/>
              </w:rPr>
              <w:t>CHPH</w:t>
            </w:r>
          </w:p>
          <w:p>
            <w:pPr>
              <w:pStyle w:val="TableParagraph"/>
              <w:numPr>
                <w:ilvl w:val="0"/>
                <w:numId w:val="154"/>
              </w:numPr>
              <w:tabs>
                <w:tab w:pos="464" w:val="left" w:leader="none"/>
              </w:tabs>
              <w:spacing w:line="240" w:lineRule="auto" w:before="0" w:after="0"/>
              <w:ind w:left="463" w:right="104" w:hanging="360"/>
              <w:jc w:val="both"/>
              <w:rPr>
                <w:sz w:val="20"/>
              </w:rPr>
            </w:pPr>
            <w:r>
              <w:rPr>
                <w:sz w:val="20"/>
              </w:rPr>
              <w:t>Existe trasmisión de valores de generación en generación de actores de la</w:t>
            </w:r>
            <w:r>
              <w:rPr>
                <w:spacing w:val="-8"/>
                <w:sz w:val="20"/>
              </w:rPr>
              <w:t> </w:t>
            </w:r>
            <w:r>
              <w:rPr>
                <w:sz w:val="20"/>
              </w:rPr>
              <w:t>CHPH</w:t>
            </w:r>
          </w:p>
          <w:p>
            <w:pPr>
              <w:pStyle w:val="TableParagraph"/>
              <w:numPr>
                <w:ilvl w:val="0"/>
                <w:numId w:val="154"/>
              </w:numPr>
              <w:tabs>
                <w:tab w:pos="464" w:val="left" w:leader="none"/>
              </w:tabs>
              <w:spacing w:line="240" w:lineRule="auto" w:before="0" w:after="0"/>
              <w:ind w:left="463" w:right="104" w:hanging="360"/>
              <w:jc w:val="both"/>
              <w:rPr>
                <w:sz w:val="20"/>
              </w:rPr>
            </w:pPr>
            <w:r>
              <w:rPr>
                <w:sz w:val="20"/>
              </w:rPr>
              <w:t>Existe arraigo de los actores en la región de la CHPH  para cuidar el medio ambiente</w:t>
            </w:r>
          </w:p>
          <w:p>
            <w:pPr>
              <w:pStyle w:val="TableParagraph"/>
              <w:numPr>
                <w:ilvl w:val="0"/>
                <w:numId w:val="154"/>
              </w:numPr>
              <w:tabs>
                <w:tab w:pos="464" w:val="left" w:leader="none"/>
              </w:tabs>
              <w:spacing w:line="240" w:lineRule="auto" w:before="0" w:after="0"/>
              <w:ind w:left="463" w:right="102" w:hanging="360"/>
              <w:jc w:val="both"/>
              <w:rPr>
                <w:sz w:val="20"/>
              </w:rPr>
            </w:pPr>
            <w:r>
              <w:rPr>
                <w:sz w:val="20"/>
              </w:rPr>
              <w:t>Existe planeación ambiental con articulación  entre actores</w:t>
            </w:r>
          </w:p>
        </w:tc>
        <w:tc>
          <w:tcPr>
            <w:tcW w:w="1474" w:type="dxa"/>
            <w:vMerge w:val="restart"/>
          </w:tcPr>
          <w:p>
            <w:pPr/>
          </w:p>
        </w:tc>
        <w:tc>
          <w:tcPr>
            <w:tcW w:w="2403" w:type="dxa"/>
            <w:vMerge w:val="restart"/>
          </w:tcPr>
          <w:p>
            <w:pPr>
              <w:pStyle w:val="TableParagraph"/>
              <w:spacing w:before="7"/>
              <w:ind w:right="104"/>
              <w:jc w:val="both"/>
              <w:rPr>
                <w:sz w:val="20"/>
              </w:rPr>
            </w:pPr>
            <w:r>
              <w:rPr>
                <w:sz w:val="20"/>
              </w:rPr>
              <w:t>No reúne ni el 50% en </w:t>
            </w:r>
            <w:r>
              <w:rPr>
                <w:b/>
                <w:sz w:val="20"/>
              </w:rPr>
              <w:t>ninguna </w:t>
            </w:r>
            <w:r>
              <w:rPr>
                <w:sz w:val="20"/>
              </w:rPr>
              <w:t>de las de impacto positivo</w:t>
            </w:r>
          </w:p>
        </w:tc>
        <w:tc>
          <w:tcPr>
            <w:tcW w:w="1608"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299"/>
              <w:rPr>
                <w:b/>
                <w:sz w:val="20"/>
              </w:rPr>
            </w:pPr>
            <w:r>
              <w:rPr>
                <w:b/>
                <w:sz w:val="20"/>
              </w:rPr>
              <w:t>Deficiente</w:t>
            </w:r>
          </w:p>
        </w:tc>
      </w:tr>
      <w:tr>
        <w:trPr>
          <w:trHeight w:val="2081" w:hRule="exact"/>
        </w:trPr>
        <w:tc>
          <w:tcPr>
            <w:tcW w:w="954" w:type="dxa"/>
            <w:vMerge/>
            <w:tcBorders>
              <w:left w:val="double" w:sz="11" w:space="0" w:color="000000"/>
            </w:tcBorders>
          </w:tcPr>
          <w:p>
            <w:pPr/>
          </w:p>
        </w:tc>
        <w:tc>
          <w:tcPr>
            <w:tcW w:w="1846" w:type="dxa"/>
            <w:vMerge/>
          </w:tcPr>
          <w:p>
            <w:pPr/>
          </w:p>
        </w:tc>
        <w:tc>
          <w:tcPr>
            <w:tcW w:w="1352" w:type="dxa"/>
          </w:tcPr>
          <w:p>
            <w:pPr>
              <w:pStyle w:val="TableParagraph"/>
              <w:spacing w:line="230" w:lineRule="exact"/>
              <w:rPr>
                <w:sz w:val="20"/>
              </w:rPr>
            </w:pPr>
            <w:r>
              <w:rPr>
                <w:sz w:val="20"/>
              </w:rPr>
              <w:t>Económico</w:t>
            </w:r>
          </w:p>
        </w:tc>
        <w:tc>
          <w:tcPr>
            <w:tcW w:w="3185" w:type="dxa"/>
          </w:tcPr>
          <w:p>
            <w:pPr>
              <w:pStyle w:val="TableParagraph"/>
              <w:numPr>
                <w:ilvl w:val="0"/>
                <w:numId w:val="155"/>
              </w:numPr>
              <w:tabs>
                <w:tab w:pos="812" w:val="left" w:leader="none"/>
              </w:tabs>
              <w:spacing w:line="240" w:lineRule="auto" w:before="0" w:after="0"/>
              <w:ind w:left="280" w:right="102" w:hanging="141"/>
              <w:jc w:val="both"/>
              <w:rPr>
                <w:sz w:val="20"/>
              </w:rPr>
            </w:pPr>
            <w:r>
              <w:rPr>
                <w:sz w:val="20"/>
              </w:rPr>
              <w:t>Existe identificación social con los recursos naturales de la</w:t>
            </w:r>
            <w:r>
              <w:rPr>
                <w:spacing w:val="-8"/>
                <w:sz w:val="20"/>
              </w:rPr>
              <w:t> </w:t>
            </w:r>
            <w:r>
              <w:rPr>
                <w:sz w:val="20"/>
              </w:rPr>
              <w:t>CHPH.</w:t>
            </w:r>
          </w:p>
          <w:p>
            <w:pPr>
              <w:pStyle w:val="TableParagraph"/>
              <w:numPr>
                <w:ilvl w:val="0"/>
                <w:numId w:val="155"/>
              </w:numPr>
              <w:tabs>
                <w:tab w:pos="812" w:val="left" w:leader="none"/>
              </w:tabs>
              <w:spacing w:line="240" w:lineRule="auto" w:before="0" w:after="0"/>
              <w:ind w:left="280" w:right="102" w:hanging="141"/>
              <w:jc w:val="both"/>
              <w:rPr>
                <w:sz w:val="20"/>
              </w:rPr>
            </w:pPr>
            <w:r>
              <w:rPr>
                <w:sz w:val="20"/>
              </w:rPr>
              <w:t>Existe dependencia económica de los recursos naturales de la</w:t>
            </w:r>
            <w:r>
              <w:rPr>
                <w:spacing w:val="-8"/>
                <w:sz w:val="20"/>
              </w:rPr>
              <w:t> </w:t>
            </w:r>
            <w:r>
              <w:rPr>
                <w:sz w:val="20"/>
              </w:rPr>
              <w:t>CHPH</w:t>
            </w:r>
          </w:p>
          <w:p>
            <w:pPr>
              <w:pStyle w:val="TableParagraph"/>
              <w:numPr>
                <w:ilvl w:val="0"/>
                <w:numId w:val="155"/>
              </w:numPr>
              <w:tabs>
                <w:tab w:pos="812" w:val="left" w:leader="none"/>
                <w:tab w:pos="2101"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4" w:type="dxa"/>
            <w:vMerge/>
          </w:tcPr>
          <w:p>
            <w:pPr/>
          </w:p>
        </w:tc>
        <w:tc>
          <w:tcPr>
            <w:tcW w:w="2403" w:type="dxa"/>
            <w:vMerge/>
          </w:tcPr>
          <w:p>
            <w:pPr/>
          </w:p>
        </w:tc>
        <w:tc>
          <w:tcPr>
            <w:tcW w:w="1608" w:type="dxa"/>
            <w:vMerge/>
            <w:tcBorders>
              <w:right w:val="double" w:sz="12" w:space="0" w:color="000000"/>
            </w:tcBorders>
            <w:shd w:val="clear" w:color="auto" w:fill="FF0000"/>
          </w:tcPr>
          <w:p>
            <w:pPr/>
          </w:p>
        </w:tc>
      </w:tr>
      <w:tr>
        <w:trPr>
          <w:trHeight w:val="3231" w:hRule="exact"/>
        </w:trPr>
        <w:tc>
          <w:tcPr>
            <w:tcW w:w="954" w:type="dxa"/>
            <w:vMerge/>
            <w:tcBorders>
              <w:left w:val="double" w:sz="11" w:space="0" w:color="000000"/>
            </w:tcBorders>
          </w:tcPr>
          <w:p>
            <w:pPr/>
          </w:p>
        </w:tc>
        <w:tc>
          <w:tcPr>
            <w:tcW w:w="1846" w:type="dxa"/>
            <w:vMerge/>
          </w:tcPr>
          <w:p>
            <w:pPr/>
          </w:p>
        </w:tc>
        <w:tc>
          <w:tcPr>
            <w:tcW w:w="1352" w:type="dxa"/>
          </w:tcPr>
          <w:p>
            <w:pPr>
              <w:pStyle w:val="TableParagraph"/>
              <w:spacing w:line="227" w:lineRule="exact"/>
              <w:rPr>
                <w:sz w:val="20"/>
              </w:rPr>
            </w:pPr>
            <w:r>
              <w:rPr>
                <w:sz w:val="20"/>
              </w:rPr>
              <w:t>Sociopolítico</w:t>
            </w:r>
          </w:p>
        </w:tc>
        <w:tc>
          <w:tcPr>
            <w:tcW w:w="3185" w:type="dxa"/>
          </w:tcPr>
          <w:p>
            <w:pPr>
              <w:pStyle w:val="TableParagraph"/>
              <w:ind w:left="280" w:right="103" w:hanging="178"/>
              <w:jc w:val="both"/>
              <w:rPr>
                <w:sz w:val="20"/>
              </w:rPr>
            </w:pPr>
            <w:r>
              <w:rPr>
                <w:rFonts w:ascii="Wingdings" w:hAnsi="Wingdings"/>
                <w:sz w:val="20"/>
              </w:rPr>
              <w:t></w:t>
            </w:r>
            <w:r>
              <w:rPr>
                <w:sz w:val="20"/>
              </w:rPr>
              <w:t>Favorece la organización sociopolítica de los actores para cuidar el medio ambiente</w:t>
            </w:r>
          </w:p>
          <w:p>
            <w:pPr>
              <w:pStyle w:val="TableParagraph"/>
              <w:ind w:left="280" w:right="101" w:hanging="178"/>
              <w:jc w:val="both"/>
              <w:rPr>
                <w:sz w:val="20"/>
              </w:rPr>
            </w:pPr>
            <w:r>
              <w:rPr>
                <w:rFonts w:ascii="Wingdings" w:hAnsi="Wingdings"/>
                <w:sz w:val="20"/>
              </w:rPr>
              <w:t></w:t>
            </w:r>
            <w:r>
              <w:rPr>
                <w:sz w:val="20"/>
              </w:rPr>
              <w:t>Favorece la organización sociopolítica de los actores de la CHPH por el lugar de nacimiento y el tiempo de residencia en la región</w:t>
            </w:r>
          </w:p>
          <w:p>
            <w:pPr>
              <w:pStyle w:val="TableParagraph"/>
              <w:ind w:left="280" w:right="105" w:hanging="178"/>
              <w:jc w:val="both"/>
              <w:rPr>
                <w:sz w:val="20"/>
              </w:rPr>
            </w:pPr>
            <w:r>
              <w:rPr>
                <w:rFonts w:ascii="Wingdings" w:hAnsi="Wingdings"/>
                <w:sz w:val="20"/>
              </w:rPr>
              <w:t></w:t>
            </w:r>
            <w:r>
              <w:rPr>
                <w:sz w:val="20"/>
              </w:rPr>
              <w:t>Favorece la articulación entre actores para cuidar el medio ambiente</w:t>
            </w:r>
          </w:p>
          <w:p>
            <w:pPr>
              <w:pStyle w:val="TableParagraph"/>
              <w:ind w:right="19"/>
              <w:rPr>
                <w:sz w:val="20"/>
              </w:rPr>
            </w:pPr>
            <w:r>
              <w:rPr>
                <w:rFonts w:ascii="Wingdings" w:hAnsi="Wingdings"/>
                <w:sz w:val="20"/>
              </w:rPr>
              <w:t></w:t>
            </w:r>
            <w:r>
              <w:rPr>
                <w:sz w:val="20"/>
              </w:rPr>
              <w:t>Favorece la GIRH</w:t>
            </w:r>
          </w:p>
          <w:p>
            <w:pPr>
              <w:pStyle w:val="TableParagraph"/>
              <w:ind w:right="19"/>
              <w:rPr>
                <w:sz w:val="20"/>
              </w:rPr>
            </w:pPr>
            <w:r>
              <w:rPr>
                <w:rFonts w:ascii="Wingdings" w:hAnsi="Wingdings"/>
                <w:sz w:val="20"/>
              </w:rPr>
              <w:t></w:t>
            </w:r>
            <w:r>
              <w:rPr>
                <w:sz w:val="20"/>
              </w:rPr>
              <w:t>Favorece la gobernanza</w:t>
            </w:r>
          </w:p>
          <w:p>
            <w:pPr>
              <w:pStyle w:val="TableParagraph"/>
              <w:ind w:right="19"/>
              <w:rPr>
                <w:sz w:val="20"/>
              </w:rPr>
            </w:pPr>
            <w:r>
              <w:rPr>
                <w:rFonts w:ascii="Wingdings" w:hAnsi="Wingdings"/>
                <w:sz w:val="20"/>
              </w:rPr>
              <w:t></w:t>
            </w:r>
            <w:r>
              <w:rPr>
                <w:sz w:val="20"/>
              </w:rPr>
              <w:t>Fortalece la gobernabilidad</w:t>
            </w:r>
          </w:p>
        </w:tc>
        <w:tc>
          <w:tcPr>
            <w:tcW w:w="1474" w:type="dxa"/>
            <w:vMerge/>
          </w:tcPr>
          <w:p>
            <w:pPr/>
          </w:p>
        </w:tc>
        <w:tc>
          <w:tcPr>
            <w:tcW w:w="2403" w:type="dxa"/>
            <w:vMerge/>
          </w:tcPr>
          <w:p>
            <w:pPr/>
          </w:p>
        </w:tc>
        <w:tc>
          <w:tcPr>
            <w:tcW w:w="1608" w:type="dxa"/>
            <w:vMerge/>
            <w:tcBorders>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46"/>
        <w:gridCol w:w="1352"/>
        <w:gridCol w:w="3185"/>
        <w:gridCol w:w="1474"/>
        <w:gridCol w:w="2403"/>
        <w:gridCol w:w="1608"/>
      </w:tblGrid>
      <w:tr>
        <w:trPr>
          <w:trHeight w:val="480" w:hRule="exact"/>
        </w:trPr>
        <w:tc>
          <w:tcPr>
            <w:tcW w:w="954" w:type="dxa"/>
            <w:tcBorders>
              <w:left w:val="double" w:sz="11" w:space="0" w:color="000000"/>
            </w:tcBorders>
          </w:tcPr>
          <w:p>
            <w:pPr/>
          </w:p>
        </w:tc>
        <w:tc>
          <w:tcPr>
            <w:tcW w:w="1846" w:type="dxa"/>
          </w:tcPr>
          <w:p>
            <w:pPr/>
          </w:p>
        </w:tc>
        <w:tc>
          <w:tcPr>
            <w:tcW w:w="1352" w:type="dxa"/>
          </w:tcPr>
          <w:p>
            <w:pPr/>
          </w:p>
        </w:tc>
        <w:tc>
          <w:tcPr>
            <w:tcW w:w="3185" w:type="dxa"/>
          </w:tcPr>
          <w:p>
            <w:pPr>
              <w:pStyle w:val="TableParagraph"/>
              <w:spacing w:before="7"/>
              <w:ind w:left="280" w:right="19" w:hanging="178"/>
              <w:rPr>
                <w:sz w:val="20"/>
              </w:rPr>
            </w:pPr>
            <w:r>
              <w:rPr>
                <w:rFonts w:ascii="Wingdings" w:hAnsi="Wingdings"/>
                <w:sz w:val="20"/>
              </w:rPr>
              <w:t></w:t>
            </w:r>
            <w:r>
              <w:rPr>
                <w:sz w:val="20"/>
              </w:rPr>
              <w:t>Existe planeación sociopolítica con articulación entre actores</w:t>
            </w:r>
          </w:p>
        </w:tc>
        <w:tc>
          <w:tcPr>
            <w:tcW w:w="1474" w:type="dxa"/>
          </w:tcPr>
          <w:p>
            <w:pPr/>
          </w:p>
        </w:tc>
        <w:tc>
          <w:tcPr>
            <w:tcW w:w="2403" w:type="dxa"/>
          </w:tcPr>
          <w:p>
            <w:pPr/>
          </w:p>
        </w:tc>
        <w:tc>
          <w:tcPr>
            <w:tcW w:w="1608" w:type="dxa"/>
            <w:tcBorders>
              <w:right w:val="double" w:sz="12" w:space="0" w:color="000000"/>
            </w:tcBorders>
            <w:shd w:val="clear" w:color="auto" w:fill="FF0000"/>
          </w:tcPr>
          <w:p>
            <w:pPr/>
          </w:p>
        </w:tc>
      </w:tr>
      <w:tr>
        <w:trPr>
          <w:trHeight w:val="3805"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p>
            <w:pPr>
              <w:pStyle w:val="TableParagraph"/>
              <w:ind w:left="0"/>
              <w:rPr>
                <w:rFonts w:ascii="Times New Roman"/>
                <w:sz w:val="22"/>
              </w:rPr>
            </w:pPr>
          </w:p>
          <w:p>
            <w:pPr>
              <w:pStyle w:val="TableParagraph"/>
              <w:spacing w:before="10"/>
              <w:ind w:left="0"/>
              <w:rPr>
                <w:rFonts w:ascii="Times New Roman"/>
                <w:sz w:val="21"/>
              </w:rPr>
            </w:pPr>
          </w:p>
          <w:p>
            <w:pPr>
              <w:pStyle w:val="TableParagraph"/>
              <w:spacing w:before="1"/>
              <w:ind w:left="27"/>
              <w:jc w:val="both"/>
              <w:rPr>
                <w:b/>
                <w:sz w:val="22"/>
              </w:rPr>
            </w:pPr>
            <w:r>
              <w:rPr>
                <w:b/>
                <w:sz w:val="22"/>
              </w:rPr>
              <w:t>Interpretación de la anterior gráfica y la tarjeta de valoración:</w:t>
            </w:r>
          </w:p>
          <w:p>
            <w:pPr>
              <w:pStyle w:val="TableParagraph"/>
              <w:spacing w:before="4"/>
              <w:ind w:left="27" w:right="21"/>
              <w:jc w:val="both"/>
              <w:rPr>
                <w:sz w:val="22"/>
              </w:rPr>
            </w:pPr>
            <w:r>
              <w:rPr>
                <w:sz w:val="22"/>
              </w:rPr>
              <w:t>En siglo XV en la época prehispánica la identidad ambiental estaba muy arraigada en la CHPH porque los antiguos pobladores consideraban al medio ambiente como algo intrínseco a su persona y como su forma de vida y por eso lo cuidaban, sin embargo con la llegada de los españoles en el siglo XVI empezó a sobreexplotarse y a generarse una cultura de consumo excesivo que ha llevado hasta la fecha a la sobreexplotación de los recursos naturales de la región y más en la actualidad por la apertura del mercado a nivel internacional que viene acompañada de una explotación masiva de los pocos recursos naturales que nos quedan, sin embargo aunque el deterioro del medio ambiente en la cuenca es evidente, cabe destacar que los actores históricos de la CHPH que son los que cuentan con una identidad de nacimiento y residencia en el lugar, están sumamente preocupados por el deterioro ambiental que es consecuencia de la pérdida de valores colectivos y la falta de acuerdos sociopolíticos intermunicipales para hacer frente a su problema común por lo que tienen interés en conformar un Comité Intermunicipal con su reglamento para cuidar, defender y administrar los recursos de la cuenta a través de la GIRH, la gobernanza y la gobernabilidad, lo cual es bueno porque la acción colectiva mediante acuerdos democráticos puede disminuir el daño que se está generando en la región.</w:t>
            </w:r>
          </w:p>
        </w:tc>
      </w:tr>
      <w:tr>
        <w:trPr>
          <w:trHeight w:val="341" w:hRule="exact"/>
        </w:trPr>
        <w:tc>
          <w:tcPr>
            <w:tcW w:w="12822" w:type="dxa"/>
            <w:gridSpan w:val="7"/>
          </w:tcPr>
          <w:p>
            <w:pPr>
              <w:pStyle w:val="TableParagraph"/>
              <w:spacing w:line="248" w:lineRule="exact"/>
              <w:ind w:left="2021" w:right="2026"/>
              <w:jc w:val="center"/>
              <w:rPr>
                <w:b/>
                <w:sz w:val="22"/>
              </w:rPr>
            </w:pPr>
            <w:r>
              <w:rPr>
                <w:b/>
                <w:sz w:val="22"/>
              </w:rPr>
              <w:t>VENTAJAS DEL</w:t>
            </w:r>
            <w:r>
              <w:rPr>
                <w:b/>
                <w:spacing w:val="-12"/>
                <w:sz w:val="22"/>
              </w:rPr>
              <w:t> </w:t>
            </w:r>
            <w:r>
              <w:rPr>
                <w:b/>
                <w:sz w:val="22"/>
              </w:rPr>
              <w:t>INDICADOR</w:t>
            </w:r>
          </w:p>
        </w:tc>
      </w:tr>
      <w:tr>
        <w:trPr>
          <w:trHeight w:val="1275" w:hRule="exact"/>
        </w:trPr>
        <w:tc>
          <w:tcPr>
            <w:tcW w:w="12822" w:type="dxa"/>
            <w:gridSpan w:val="7"/>
          </w:tcPr>
          <w:p>
            <w:pPr>
              <w:pStyle w:val="TableParagraph"/>
              <w:numPr>
                <w:ilvl w:val="0"/>
                <w:numId w:val="156"/>
              </w:numPr>
              <w:tabs>
                <w:tab w:pos="203" w:val="left" w:leader="none"/>
              </w:tabs>
              <w:spacing w:line="251" w:lineRule="exact" w:before="0" w:after="0"/>
              <w:ind w:left="66" w:right="0" w:firstLine="0"/>
              <w:jc w:val="left"/>
              <w:rPr>
                <w:sz w:val="22"/>
              </w:rPr>
            </w:pPr>
            <w:r>
              <w:rPr>
                <w:sz w:val="22"/>
              </w:rPr>
              <w:t>Permitió identificar la pérdida de valores colectivos de los actores de la CHPH para cuidar el</w:t>
            </w:r>
            <w:r>
              <w:rPr>
                <w:spacing w:val="-33"/>
                <w:sz w:val="22"/>
              </w:rPr>
              <w:t> </w:t>
            </w:r>
            <w:r>
              <w:rPr>
                <w:sz w:val="22"/>
              </w:rPr>
              <w:t>ecosistema.</w:t>
            </w:r>
          </w:p>
          <w:p>
            <w:pPr>
              <w:pStyle w:val="TableParagraph"/>
              <w:numPr>
                <w:ilvl w:val="0"/>
                <w:numId w:val="156"/>
              </w:numPr>
              <w:tabs>
                <w:tab w:pos="206" w:val="left" w:leader="none"/>
              </w:tabs>
              <w:spacing w:line="240" w:lineRule="auto" w:before="0" w:after="0"/>
              <w:ind w:left="66" w:right="64" w:firstLine="0"/>
              <w:jc w:val="left"/>
              <w:rPr>
                <w:sz w:val="22"/>
              </w:rPr>
            </w:pPr>
            <w:r>
              <w:rPr>
                <w:sz w:val="22"/>
              </w:rPr>
              <w:t>Permitió identificar a los actores históricos como el grupo con mayor identidad en la CHPH por haber nacido en la región o tener tiempo de residencia en ella, por lo que es el grupo que más conoce la problemática de la</w:t>
            </w:r>
            <w:r>
              <w:rPr>
                <w:spacing w:val="-30"/>
                <w:sz w:val="22"/>
              </w:rPr>
              <w:t> </w:t>
            </w:r>
            <w:r>
              <w:rPr>
                <w:sz w:val="22"/>
              </w:rPr>
              <w:t>región.</w:t>
            </w:r>
          </w:p>
          <w:p>
            <w:pPr>
              <w:pStyle w:val="TableParagraph"/>
              <w:numPr>
                <w:ilvl w:val="0"/>
                <w:numId w:val="156"/>
              </w:numPr>
              <w:tabs>
                <w:tab w:pos="206" w:val="left" w:leader="none"/>
              </w:tabs>
              <w:spacing w:line="240" w:lineRule="auto" w:before="0" w:after="0"/>
              <w:ind w:left="66" w:right="62" w:firstLine="0"/>
              <w:jc w:val="left"/>
              <w:rPr>
                <w:sz w:val="22"/>
              </w:rPr>
            </w:pPr>
            <w:r>
              <w:rPr>
                <w:sz w:val="22"/>
              </w:rPr>
              <w:t>Sirvió de guía de explicación para la elaboración de la propuesta de creación de un Comité Intermunicipal con su reglamento en la</w:t>
            </w:r>
            <w:r>
              <w:rPr>
                <w:spacing w:val="-3"/>
                <w:sz w:val="22"/>
              </w:rPr>
              <w:t> </w:t>
            </w:r>
            <w:r>
              <w:rPr>
                <w:sz w:val="22"/>
              </w:rPr>
              <w:t>CHPH.</w:t>
            </w:r>
          </w:p>
        </w:tc>
      </w:tr>
      <w:tr>
        <w:trPr>
          <w:trHeight w:val="341" w:hRule="exact"/>
        </w:trPr>
        <w:tc>
          <w:tcPr>
            <w:tcW w:w="12822" w:type="dxa"/>
            <w:gridSpan w:val="7"/>
          </w:tcPr>
          <w:p>
            <w:pPr>
              <w:pStyle w:val="TableParagraph"/>
              <w:spacing w:line="248" w:lineRule="exact"/>
              <w:ind w:left="2021" w:right="2026"/>
              <w:jc w:val="center"/>
              <w:rPr>
                <w:b/>
                <w:sz w:val="22"/>
              </w:rPr>
            </w:pPr>
            <w:r>
              <w:rPr>
                <w:b/>
                <w:sz w:val="22"/>
              </w:rPr>
              <w:t>DESVENTAJAS DEL</w:t>
            </w:r>
            <w:r>
              <w:rPr>
                <w:b/>
                <w:spacing w:val="-14"/>
                <w:sz w:val="22"/>
              </w:rPr>
              <w:t> </w:t>
            </w:r>
            <w:r>
              <w:rPr>
                <w:b/>
                <w:sz w:val="22"/>
              </w:rPr>
              <w:t>INDICADOR</w:t>
            </w:r>
          </w:p>
        </w:tc>
      </w:tr>
      <w:tr>
        <w:trPr>
          <w:trHeight w:val="516" w:hRule="exact"/>
        </w:trPr>
        <w:tc>
          <w:tcPr>
            <w:tcW w:w="12822" w:type="dxa"/>
            <w:gridSpan w:val="7"/>
          </w:tcPr>
          <w:p>
            <w:pPr>
              <w:pStyle w:val="TableParagraph"/>
              <w:spacing w:line="252" w:lineRule="exact" w:before="2"/>
              <w:ind w:left="65" w:right="57"/>
              <w:rPr>
                <w:sz w:val="22"/>
              </w:rPr>
            </w:pPr>
            <w:r>
              <w:rPr>
                <w:sz w:val="22"/>
              </w:rPr>
              <w:t>- Los valores colectivos como la paz, la solidaridad, el respeto, la responsabilidad, la cooperación, etc. son valores que requieren ser heredados mediante la educación cívica para garantizar la sostenibilidad de la CHPH.</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
        <w:rPr>
          <w:rFonts w:ascii="Times New Roman"/>
        </w:rPr>
      </w:pPr>
    </w:p>
    <w:p>
      <w:pPr>
        <w:pStyle w:val="Heading6"/>
        <w:spacing w:before="73"/>
        <w:ind w:left="4354" w:right="397"/>
      </w:pPr>
      <w:r>
        <w:rPr>
          <w:u w:val="thick"/>
        </w:rPr>
        <w:t>INDICADORES DE LA AEPA SOCIOPOLÍTICA</w:t>
      </w:r>
    </w:p>
    <w:p>
      <w:pPr>
        <w:pStyle w:val="BodyText"/>
        <w:spacing w:before="11"/>
        <w:rPr>
          <w:b/>
          <w:sz w:val="2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4"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398"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b/>
                <w:sz w:val="22"/>
              </w:rPr>
            </w:pPr>
          </w:p>
          <w:p>
            <w:pPr>
              <w:pStyle w:val="TableParagraph"/>
              <w:ind w:left="0"/>
              <w:rPr>
                <w:b/>
                <w:sz w:val="22"/>
              </w:rPr>
            </w:pPr>
          </w:p>
          <w:p>
            <w:pPr>
              <w:pStyle w:val="TableParagraph"/>
              <w:spacing w:before="6"/>
              <w:ind w:left="0"/>
              <w:rPr>
                <w:b/>
                <w:sz w:val="21"/>
              </w:rPr>
            </w:pPr>
          </w:p>
          <w:p>
            <w:pPr>
              <w:pStyle w:val="TableParagraph"/>
              <w:ind w:left="518" w:right="105"/>
              <w:rPr>
                <w:b/>
                <w:sz w:val="22"/>
              </w:rPr>
            </w:pPr>
            <w:r>
              <w:rPr>
                <w:b/>
                <w:sz w:val="22"/>
              </w:rPr>
              <w:t>Historia sociopolítica</w:t>
            </w:r>
          </w:p>
        </w:tc>
        <w:tc>
          <w:tcPr>
            <w:tcW w:w="3277" w:type="dxa"/>
            <w:gridSpan w:val="3"/>
            <w:vMerge w:val="restart"/>
          </w:tcPr>
          <w:p>
            <w:pPr>
              <w:pStyle w:val="TableParagraph"/>
              <w:ind w:left="100" w:right="102"/>
              <w:jc w:val="both"/>
              <w:rPr>
                <w:b/>
                <w:sz w:val="22"/>
              </w:rPr>
            </w:pPr>
            <w:r>
              <w:rPr>
                <w:b/>
                <w:sz w:val="22"/>
              </w:rPr>
              <w:t>Identificar las estructuras sociopolíticas que han articulado a los municipios de la CHPH como una región y su impacto ambiental, sociopolítico y económico.</w:t>
            </w:r>
          </w:p>
        </w:tc>
      </w:tr>
      <w:tr>
        <w:trPr>
          <w:trHeight w:val="1529"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6" w:hRule="exact"/>
        </w:trPr>
        <w:tc>
          <w:tcPr>
            <w:tcW w:w="2093" w:type="dxa"/>
            <w:gridSpan w:val="2"/>
          </w:tcPr>
          <w:p>
            <w:pPr>
              <w:pStyle w:val="TableParagraph"/>
              <w:spacing w:line="248" w:lineRule="exact"/>
              <w:ind w:left="367"/>
              <w:rPr>
                <w:b/>
                <w:sz w:val="22"/>
              </w:rPr>
            </w:pPr>
            <w:r>
              <w:rPr>
                <w:b/>
                <w:sz w:val="22"/>
              </w:rPr>
              <w:t>0.930/ 18.055</w:t>
            </w:r>
          </w:p>
        </w:tc>
        <w:tc>
          <w:tcPr>
            <w:tcW w:w="1985" w:type="dxa"/>
            <w:gridSpan w:val="2"/>
          </w:tcPr>
          <w:p>
            <w:pPr>
              <w:pStyle w:val="TableParagraph"/>
              <w:spacing w:line="248" w:lineRule="exact"/>
              <w:ind w:left="1" w:right="2"/>
              <w:jc w:val="center"/>
              <w:rPr>
                <w:b/>
                <w:sz w:val="22"/>
              </w:rPr>
            </w:pPr>
            <w:r>
              <w:rPr>
                <w:b/>
                <w:sz w:val="22"/>
              </w:rPr>
              <w:t>5.15%</w:t>
            </w:r>
          </w:p>
        </w:tc>
        <w:tc>
          <w:tcPr>
            <w:tcW w:w="2268" w:type="dxa"/>
            <w:gridSpan w:val="2"/>
          </w:tcPr>
          <w:p>
            <w:pPr>
              <w:pStyle w:val="TableParagraph"/>
              <w:spacing w:line="248" w:lineRule="exact"/>
              <w:ind w:left="136" w:right="136"/>
              <w:jc w:val="center"/>
              <w:rPr>
                <w:b/>
                <w:sz w:val="22"/>
              </w:rPr>
            </w:pPr>
            <w:r>
              <w:rPr>
                <w:b/>
                <w:sz w:val="22"/>
              </w:rPr>
              <w:t>16.875</w:t>
            </w:r>
          </w:p>
        </w:tc>
        <w:tc>
          <w:tcPr>
            <w:tcW w:w="3274" w:type="dxa"/>
            <w:gridSpan w:val="5"/>
            <w:vMerge/>
          </w:tcPr>
          <w:p>
            <w:pPr/>
          </w:p>
        </w:tc>
        <w:tc>
          <w:tcPr>
            <w:tcW w:w="3277" w:type="dxa"/>
            <w:gridSpan w:val="3"/>
            <w:vMerge/>
          </w:tcPr>
          <w:p>
            <w:pPr/>
          </w:p>
        </w:tc>
      </w:tr>
      <w:tr>
        <w:trPr>
          <w:trHeight w:val="264" w:hRule="exact"/>
        </w:trPr>
        <w:tc>
          <w:tcPr>
            <w:tcW w:w="2093" w:type="dxa"/>
            <w:gridSpan w:val="2"/>
            <w:tcBorders>
              <w:right w:val="single" w:sz="41" w:space="0" w:color="D99493"/>
            </w:tcBorders>
          </w:tcPr>
          <w:p>
            <w:pPr>
              <w:pStyle w:val="TableParagraph"/>
              <w:spacing w:line="248" w:lineRule="exact"/>
              <w:ind w:left="45"/>
              <w:jc w:val="center"/>
              <w:rPr>
                <w:b/>
                <w:sz w:val="22"/>
              </w:rPr>
            </w:pPr>
            <w:r>
              <w:rPr>
                <w:b/>
                <w:w w:val="100"/>
                <w:sz w:val="22"/>
              </w:rPr>
              <w:t>1</w:t>
            </w:r>
          </w:p>
        </w:tc>
        <w:tc>
          <w:tcPr>
            <w:tcW w:w="1985" w:type="dxa"/>
            <w:gridSpan w:val="2"/>
            <w:shd w:val="clear" w:color="auto" w:fill="D99493"/>
          </w:tcPr>
          <w:p>
            <w:pPr>
              <w:pStyle w:val="TableParagraph"/>
              <w:spacing w:line="248" w:lineRule="exact"/>
              <w:ind w:left="0"/>
              <w:jc w:val="center"/>
              <w:rPr>
                <w:b/>
                <w:sz w:val="22"/>
              </w:rPr>
            </w:pPr>
            <w:r>
              <w:rPr>
                <w:b/>
                <w:w w:val="100"/>
                <w:sz w:val="22"/>
              </w:rPr>
              <w:t>2</w:t>
            </w:r>
          </w:p>
        </w:tc>
        <w:tc>
          <w:tcPr>
            <w:tcW w:w="2268" w:type="dxa"/>
            <w:gridSpan w:val="2"/>
            <w:tcBorders>
              <w:left w:val="thickThinMediumGap" w:sz="23" w:space="0" w:color="D99493"/>
              <w:right w:val="single" w:sz="41" w:space="0" w:color="D99493"/>
            </w:tcBorders>
          </w:tcPr>
          <w:p>
            <w:pPr>
              <w:pStyle w:val="TableParagraph"/>
              <w:spacing w:line="248" w:lineRule="exact"/>
              <w:ind w:left="0" w:right="2"/>
              <w:jc w:val="center"/>
              <w:rPr>
                <w:b/>
                <w:sz w:val="22"/>
              </w:rPr>
            </w:pPr>
            <w:r>
              <w:rPr>
                <w:b/>
                <w:w w:val="100"/>
                <w:sz w:val="22"/>
              </w:rPr>
              <w:t>3</w:t>
            </w:r>
          </w:p>
        </w:tc>
        <w:tc>
          <w:tcPr>
            <w:tcW w:w="1701" w:type="dxa"/>
            <w:gridSpan w:val="2"/>
            <w:shd w:val="clear" w:color="auto" w:fill="D99493"/>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D99493"/>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2"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4"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2" w:hRule="exact"/>
        </w:trPr>
        <w:tc>
          <w:tcPr>
            <w:tcW w:w="1952" w:type="dxa"/>
            <w:shd w:val="clear" w:color="auto" w:fill="92CDDC"/>
          </w:tcPr>
          <w:p>
            <w:pPr>
              <w:pStyle w:val="TableParagraph"/>
              <w:spacing w:line="248" w:lineRule="exact"/>
              <w:ind w:left="491" w:right="492"/>
              <w:jc w:val="center"/>
              <w:rPr>
                <w:b/>
                <w:sz w:val="22"/>
              </w:rPr>
            </w:pPr>
            <w:r>
              <w:rPr>
                <w:b/>
                <w:sz w:val="22"/>
              </w:rPr>
              <w:t>88</w:t>
            </w:r>
          </w:p>
        </w:tc>
        <w:tc>
          <w:tcPr>
            <w:tcW w:w="2127" w:type="dxa"/>
            <w:gridSpan w:val="3"/>
            <w:shd w:val="clear" w:color="auto" w:fill="92CDDC"/>
          </w:tcPr>
          <w:p>
            <w:pPr>
              <w:pStyle w:val="TableParagraph"/>
              <w:spacing w:line="248" w:lineRule="exact"/>
              <w:ind w:left="916" w:right="916"/>
              <w:jc w:val="center"/>
              <w:rPr>
                <w:b/>
                <w:sz w:val="22"/>
              </w:rPr>
            </w:pPr>
            <w:r>
              <w:rPr>
                <w:b/>
                <w:sz w:val="22"/>
              </w:rPr>
              <w:t>35</w:t>
            </w:r>
          </w:p>
        </w:tc>
        <w:tc>
          <w:tcPr>
            <w:tcW w:w="2410" w:type="dxa"/>
            <w:gridSpan w:val="3"/>
            <w:shd w:val="clear" w:color="auto" w:fill="92CDDC"/>
          </w:tcPr>
          <w:p>
            <w:pPr>
              <w:pStyle w:val="TableParagraph"/>
              <w:spacing w:line="248" w:lineRule="exact"/>
              <w:ind w:left="782" w:right="779"/>
              <w:jc w:val="center"/>
              <w:rPr>
                <w:b/>
                <w:sz w:val="22"/>
              </w:rPr>
            </w:pPr>
            <w:r>
              <w:rPr>
                <w:b/>
                <w:sz w:val="22"/>
              </w:rPr>
              <w:t>0.0625</w:t>
            </w:r>
          </w:p>
        </w:tc>
        <w:tc>
          <w:tcPr>
            <w:tcW w:w="1844" w:type="dxa"/>
            <w:gridSpan w:val="2"/>
            <w:shd w:val="clear" w:color="auto" w:fill="F9BE8F"/>
          </w:tcPr>
          <w:p>
            <w:pPr>
              <w:pStyle w:val="TableParagraph"/>
              <w:spacing w:line="248" w:lineRule="exact"/>
              <w:ind w:left="774" w:right="774"/>
              <w:jc w:val="center"/>
              <w:rPr>
                <w:b/>
                <w:sz w:val="22"/>
              </w:rPr>
            </w:pPr>
            <w:r>
              <w:rPr>
                <w:b/>
                <w:sz w:val="22"/>
              </w:rPr>
              <w:t>43</w:t>
            </w:r>
          </w:p>
        </w:tc>
        <w:tc>
          <w:tcPr>
            <w:tcW w:w="2126" w:type="dxa"/>
            <w:gridSpan w:val="3"/>
            <w:shd w:val="clear" w:color="auto" w:fill="F9BE8F"/>
          </w:tcPr>
          <w:p>
            <w:pPr>
              <w:pStyle w:val="TableParagraph"/>
              <w:spacing w:line="248" w:lineRule="exact"/>
              <w:ind w:left="0"/>
              <w:jc w:val="center"/>
              <w:rPr>
                <w:b/>
                <w:sz w:val="22"/>
              </w:rPr>
            </w:pPr>
            <w:r>
              <w:rPr>
                <w:b/>
                <w:w w:val="100"/>
                <w:sz w:val="22"/>
              </w:rPr>
              <w:t>1</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ind w:left="516" w:right="408" w:hanging="95"/>
              <w:rPr>
                <w:b/>
                <w:sz w:val="22"/>
              </w:rPr>
            </w:pPr>
            <w:r>
              <w:rPr>
                <w:b/>
                <w:sz w:val="22"/>
              </w:rPr>
              <w:t>Variables que intervienen:</w:t>
            </w:r>
          </w:p>
        </w:tc>
        <w:tc>
          <w:tcPr>
            <w:tcW w:w="10607" w:type="dxa"/>
            <w:gridSpan w:val="11"/>
          </w:tcPr>
          <w:p>
            <w:pPr>
              <w:pStyle w:val="TableParagraph"/>
              <w:ind w:right="103"/>
              <w:rPr>
                <w:sz w:val="22"/>
              </w:rPr>
            </w:pPr>
            <w:r>
              <w:rPr>
                <w:sz w:val="22"/>
              </w:rPr>
              <w:t>Estructuras sociopolíticas, municipios, CHPH, región.</w:t>
            </w:r>
          </w:p>
        </w:tc>
      </w:tr>
      <w:tr>
        <w:trPr>
          <w:trHeight w:val="516" w:hRule="exact"/>
        </w:trPr>
        <w:tc>
          <w:tcPr>
            <w:tcW w:w="2290" w:type="dxa"/>
            <w:gridSpan w:val="3"/>
          </w:tcPr>
          <w:p>
            <w:pPr>
              <w:pStyle w:val="TableParagraph"/>
              <w:spacing w:line="251" w:lineRule="exact"/>
              <w:ind w:left="453"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4" w:hRule="exact"/>
        </w:trPr>
        <w:tc>
          <w:tcPr>
            <w:tcW w:w="12897" w:type="dxa"/>
            <w:gridSpan w:val="14"/>
          </w:tcPr>
          <w:p>
            <w:pPr>
              <w:pStyle w:val="TableParagraph"/>
              <w:spacing w:line="251" w:lineRule="exact"/>
              <w:ind w:left="172" w:right="173"/>
              <w:jc w:val="center"/>
              <w:rPr>
                <w:b/>
                <w:sz w:val="22"/>
              </w:rPr>
            </w:pPr>
            <w:r>
              <w:rPr>
                <w:b/>
                <w:sz w:val="22"/>
              </w:rPr>
              <w:t>DEFINICIÓN</w:t>
            </w:r>
          </w:p>
        </w:tc>
      </w:tr>
      <w:tr>
        <w:trPr>
          <w:trHeight w:val="768" w:hRule="exact"/>
        </w:trPr>
        <w:tc>
          <w:tcPr>
            <w:tcW w:w="12897" w:type="dxa"/>
            <w:gridSpan w:val="14"/>
          </w:tcPr>
          <w:p>
            <w:pPr>
              <w:pStyle w:val="TableParagraph"/>
              <w:ind w:right="100"/>
              <w:jc w:val="both"/>
              <w:rPr>
                <w:sz w:val="22"/>
              </w:rPr>
            </w:pPr>
            <w:r>
              <w:rPr>
                <w:sz w:val="22"/>
              </w:rPr>
              <w:t>Son las estructuras sociopolíticas de la región que vinculan el pasado, presente y futuro de los actores de la CHPH a través de procesos históricos que han articulado a los municipios de la Cuenca en una región con características comunes (Cfr. Hecht, 1976; White, 2012 y García, TC: 2013-2015).</w:t>
            </w:r>
          </w:p>
        </w:tc>
      </w:tr>
      <w:tr>
        <w:trPr>
          <w:trHeight w:val="264" w:hRule="exact"/>
        </w:trPr>
        <w:tc>
          <w:tcPr>
            <w:tcW w:w="4295" w:type="dxa"/>
            <w:gridSpan w:val="5"/>
          </w:tcPr>
          <w:p>
            <w:pPr>
              <w:pStyle w:val="TableParagraph"/>
              <w:spacing w:line="251" w:lineRule="exact"/>
              <w:ind w:left="1097" w:right="213"/>
              <w:rPr>
                <w:b/>
                <w:sz w:val="22"/>
              </w:rPr>
            </w:pPr>
            <w:r>
              <w:rPr>
                <w:b/>
                <w:sz w:val="22"/>
              </w:rPr>
              <w:t>Unidad de medición</w:t>
            </w:r>
          </w:p>
        </w:tc>
        <w:tc>
          <w:tcPr>
            <w:tcW w:w="8603" w:type="dxa"/>
            <w:gridSpan w:val="9"/>
          </w:tcPr>
          <w:p>
            <w:pPr>
              <w:pStyle w:val="TableParagraph"/>
              <w:spacing w:line="251" w:lineRule="exact"/>
              <w:ind w:left="2419" w:right="108"/>
              <w:rPr>
                <w:b/>
                <w:sz w:val="22"/>
              </w:rPr>
            </w:pPr>
            <w:r>
              <w:rPr>
                <w:b/>
                <w:sz w:val="22"/>
              </w:rPr>
              <w:t>Definición de la unidad de medición</w:t>
            </w:r>
          </w:p>
        </w:tc>
      </w:tr>
      <w:tr>
        <w:trPr>
          <w:trHeight w:val="1023" w:hRule="exact"/>
        </w:trPr>
        <w:tc>
          <w:tcPr>
            <w:tcW w:w="4295" w:type="dxa"/>
            <w:gridSpan w:val="5"/>
          </w:tcPr>
          <w:p>
            <w:pPr>
              <w:pStyle w:val="TableParagraph"/>
              <w:ind w:left="251" w:right="251"/>
              <w:jc w:val="center"/>
              <w:rPr>
                <w:sz w:val="22"/>
              </w:rPr>
            </w:pPr>
            <w:r>
              <w:rPr>
                <w:sz w:val="22"/>
              </w:rPr>
              <w:t>Procesos históricos que han articulado sociopolíticamente a los actores de la CHPH</w:t>
            </w:r>
          </w:p>
          <w:p>
            <w:pPr>
              <w:pStyle w:val="TableParagraph"/>
              <w:spacing w:line="252" w:lineRule="exact"/>
              <w:ind w:left="251" w:right="251"/>
              <w:jc w:val="center"/>
              <w:rPr>
                <w:sz w:val="22"/>
              </w:rPr>
            </w:pPr>
            <w:r>
              <w:rPr>
                <w:sz w:val="22"/>
              </w:rPr>
              <w:t>(adimensional)</w:t>
            </w:r>
          </w:p>
        </w:tc>
        <w:tc>
          <w:tcPr>
            <w:tcW w:w="8603" w:type="dxa"/>
            <w:gridSpan w:val="9"/>
          </w:tcPr>
          <w:p>
            <w:pPr>
              <w:pStyle w:val="TableParagraph"/>
              <w:spacing w:line="242" w:lineRule="auto"/>
              <w:ind w:right="108"/>
              <w:rPr>
                <w:sz w:val="22"/>
              </w:rPr>
            </w:pPr>
            <w:r>
              <w:rPr>
                <w:sz w:val="22"/>
              </w:rPr>
              <w:t>Procesos históricos que han articulado sociopolíticamente a los actores de la CHPH en una región.</w:t>
            </w:r>
          </w:p>
          <w:p>
            <w:pPr>
              <w:pStyle w:val="TableParagraph"/>
              <w:spacing w:line="250" w:lineRule="exact"/>
              <w:ind w:right="108"/>
              <w:rPr>
                <w:sz w:val="22"/>
              </w:rPr>
            </w:pPr>
            <w:r>
              <w:rPr>
                <w:sz w:val="22"/>
              </w:rPr>
              <w:t>(Ejemplo: la conformación de El Ejido y la creación de los municipios).</w:t>
            </w:r>
          </w:p>
        </w:tc>
      </w:tr>
    </w:tbl>
    <w:p>
      <w:pPr>
        <w:spacing w:after="0" w:line="250" w:lineRule="exact"/>
        <w:rPr>
          <w:sz w:val="22"/>
        </w:rPr>
        <w:sectPr>
          <w:footerReference w:type="default" r:id="rId377"/>
          <w:pgSz w:w="15840" w:h="12240" w:orient="landscape"/>
          <w:pgMar w:footer="943" w:header="0" w:top="1140" w:bottom="1140" w:left="1200" w:right="1300"/>
          <w:pgNumType w:start="620"/>
        </w:sect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spacing w:before="73"/>
        <w:ind w:left="5825" w:right="397" w:hanging="5079"/>
        <w:jc w:val="left"/>
        <w:rPr>
          <w:b/>
          <w:sz w:val="22"/>
        </w:rPr>
      </w:pPr>
      <w:r>
        <w:rPr/>
        <w:pict>
          <v:group style="position:absolute;margin-left:65.269997pt;margin-top:3.157865pt;width:650.9pt;height:385.55pt;mso-position-horizontal-relative:page;mso-position-vertical-relative:paragraph;z-index:-3330136" coordorigin="1305,63" coordsize="13018,7711">
            <v:line style="position:absolute" from="1315,73" to="14313,73" stroked="true" strokeweight=".48pt" strokecolor="#000000"/>
            <v:line style="position:absolute" from="1315,615" to="14313,615" stroked="true" strokeweight=".48pt" strokecolor="#000000"/>
            <v:line style="position:absolute" from="1310,68" to="1310,7769" stroked="true" strokeweight=".48pt" strokecolor="#000000"/>
            <v:line style="position:absolute" from="1315,7764" to="14313,7764" stroked="true" strokeweight=".48001pt" strokecolor="#000000"/>
            <v:line style="position:absolute" from="14318,68" to="14318,7769" stroked="true" strokeweight=".47998pt" strokecolor="#000000"/>
            <v:shape style="position:absolute;left:1762;top:620;width:12101;height:6742" type="#_x0000_t75" stroked="false">
              <v:imagedata r:id="rId378" o:title=""/>
            </v:shape>
            <w10:wrap type="none"/>
          </v:group>
        </w:pict>
      </w:r>
      <w:r>
        <w:rPr>
          <w:b/>
          <w:sz w:val="22"/>
        </w:rPr>
        <w:t>ANÁLISIS-CAUSA EFECTO DEL INDICADOR BAJO UN SISTEMA PEIR PARA LA DEFINICIÓN DE LA ESCALA DE CALIFICACIÓN</w:t>
      </w:r>
    </w:p>
    <w:p>
      <w:pPr>
        <w:spacing w:after="0"/>
        <w:jc w:val="left"/>
        <w:rPr>
          <w:sz w:val="22"/>
        </w:rPr>
        <w:sectPr>
          <w:pgSz w:w="15840" w:h="12240" w:orient="landscape"/>
          <w:pgMar w:header="0" w:footer="943" w:top="1140" w:bottom="1200" w:left="1200" w:right="1300"/>
        </w:sectPr>
      </w:pPr>
    </w:p>
    <w:p>
      <w:pPr>
        <w:pStyle w:val="BodyText"/>
        <w:rPr>
          <w:rFonts w:ascii="Times New Roman"/>
          <w:sz w:val="20"/>
        </w:rPr>
      </w:pPr>
      <w:r>
        <w:rPr/>
        <w:drawing>
          <wp:anchor distT="0" distB="0" distL="0" distR="0" allowOverlap="1" layoutInCell="1" locked="0" behindDoc="0" simplePos="0" relativeHeight="13312">
            <wp:simplePos x="0" y="0"/>
            <wp:positionH relativeFrom="page">
              <wp:posOffset>876300</wp:posOffset>
            </wp:positionH>
            <wp:positionV relativeFrom="page">
              <wp:posOffset>1735454</wp:posOffset>
            </wp:positionV>
            <wp:extent cx="5280655" cy="2244470"/>
            <wp:effectExtent l="0" t="0" r="0" b="0"/>
            <wp:wrapNone/>
            <wp:docPr id="69" name="image252.png" descr=""/>
            <wp:cNvGraphicFramePr>
              <a:graphicFrameLocks noChangeAspect="1"/>
            </wp:cNvGraphicFramePr>
            <a:graphic>
              <a:graphicData uri="http://schemas.openxmlformats.org/drawingml/2006/picture">
                <pic:pic>
                  <pic:nvPicPr>
                    <pic:cNvPr id="70" name="image252.png"/>
                    <pic:cNvPicPr/>
                  </pic:nvPicPr>
                  <pic:blipFill>
                    <a:blip r:embed="rId379" cstate="print"/>
                    <a:stretch>
                      <a:fillRect/>
                    </a:stretch>
                  </pic:blipFill>
                  <pic:spPr>
                    <a:xfrm>
                      <a:off x="0" y="0"/>
                      <a:ext cx="5280655" cy="2244470"/>
                    </a:xfrm>
                    <a:prstGeom prst="rect">
                      <a:avLst/>
                    </a:prstGeom>
                  </pic:spPr>
                </pic:pic>
              </a:graphicData>
            </a:graphic>
          </wp:anchor>
        </w:drawing>
      </w:r>
      <w:r>
        <w:rPr/>
        <w:pict>
          <v:shape style="position:absolute;margin-left:520.630005pt;margin-top:166.580002pt;width:163.75pt;height:145.25pt;mso-position-horizontal-relative:page;mso-position-vertical-relative:page;z-index:1333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80"/>
                    <w:gridCol w:w="1580"/>
                  </w:tblGrid>
                  <w:tr>
                    <w:trPr>
                      <w:trHeight w:val="264" w:hRule="exact"/>
                    </w:trPr>
                    <w:tc>
                      <w:tcPr>
                        <w:tcW w:w="1680" w:type="dxa"/>
                      </w:tcPr>
                      <w:p>
                        <w:pPr>
                          <w:pStyle w:val="TableParagraph"/>
                          <w:spacing w:line="248" w:lineRule="exact"/>
                          <w:rPr>
                            <w:b/>
                            <w:sz w:val="22"/>
                          </w:rPr>
                        </w:pPr>
                        <w:r>
                          <w:rPr>
                            <w:b/>
                            <w:sz w:val="22"/>
                          </w:rPr>
                          <w:t>Período</w:t>
                        </w:r>
                      </w:p>
                    </w:tc>
                    <w:tc>
                      <w:tcPr>
                        <w:tcW w:w="1580" w:type="dxa"/>
                      </w:tcPr>
                      <w:p>
                        <w:pPr>
                          <w:pStyle w:val="TableParagraph"/>
                          <w:spacing w:line="248" w:lineRule="exact"/>
                          <w:rPr>
                            <w:b/>
                            <w:sz w:val="22"/>
                          </w:rPr>
                        </w:pPr>
                        <w:r>
                          <w:rPr>
                            <w:b/>
                            <w:sz w:val="22"/>
                          </w:rPr>
                          <w:t>Calificación</w:t>
                        </w:r>
                      </w:p>
                    </w:tc>
                  </w:tr>
                  <w:tr>
                    <w:trPr>
                      <w:trHeight w:val="262" w:hRule="exact"/>
                    </w:trPr>
                    <w:tc>
                      <w:tcPr>
                        <w:tcW w:w="1680" w:type="dxa"/>
                      </w:tcPr>
                      <w:p>
                        <w:pPr>
                          <w:pStyle w:val="TableParagraph"/>
                          <w:spacing w:line="251" w:lineRule="exact"/>
                          <w:rPr>
                            <w:sz w:val="22"/>
                          </w:rPr>
                        </w:pPr>
                        <w:r>
                          <w:rPr>
                            <w:sz w:val="22"/>
                          </w:rPr>
                          <w:t>1400</w:t>
                        </w:r>
                      </w:p>
                    </w:tc>
                    <w:tc>
                      <w:tcPr>
                        <w:tcW w:w="1580" w:type="dxa"/>
                      </w:tcPr>
                      <w:p>
                        <w:pPr>
                          <w:pStyle w:val="TableParagraph"/>
                          <w:spacing w:line="251" w:lineRule="exact"/>
                          <w:rPr>
                            <w:sz w:val="22"/>
                          </w:rPr>
                        </w:pPr>
                        <w:r>
                          <w:rPr>
                            <w:sz w:val="22"/>
                          </w:rPr>
                          <w:t>Excelente</w:t>
                        </w:r>
                      </w:p>
                    </w:tc>
                  </w:tr>
                  <w:tr>
                    <w:trPr>
                      <w:trHeight w:val="264" w:hRule="exact"/>
                    </w:trPr>
                    <w:tc>
                      <w:tcPr>
                        <w:tcW w:w="1680" w:type="dxa"/>
                      </w:tcPr>
                      <w:p>
                        <w:pPr>
                          <w:pStyle w:val="TableParagraph"/>
                          <w:rPr>
                            <w:sz w:val="22"/>
                          </w:rPr>
                        </w:pPr>
                        <w:r>
                          <w:rPr>
                            <w:sz w:val="22"/>
                          </w:rPr>
                          <w:t>1519</w:t>
                        </w:r>
                      </w:p>
                    </w:tc>
                    <w:tc>
                      <w:tcPr>
                        <w:tcW w:w="1580" w:type="dxa"/>
                      </w:tcPr>
                      <w:p>
                        <w:pPr>
                          <w:pStyle w:val="TableParagraph"/>
                          <w:rPr>
                            <w:sz w:val="22"/>
                          </w:rPr>
                        </w:pPr>
                        <w:r>
                          <w:rPr>
                            <w:sz w:val="22"/>
                          </w:rPr>
                          <w:t>Excelente</w:t>
                        </w:r>
                      </w:p>
                    </w:tc>
                  </w:tr>
                  <w:tr>
                    <w:trPr>
                      <w:trHeight w:val="264" w:hRule="exact"/>
                    </w:trPr>
                    <w:tc>
                      <w:tcPr>
                        <w:tcW w:w="1680" w:type="dxa"/>
                      </w:tcPr>
                      <w:p>
                        <w:pPr>
                          <w:pStyle w:val="TableParagraph"/>
                          <w:spacing w:line="251" w:lineRule="exact"/>
                          <w:rPr>
                            <w:sz w:val="22"/>
                          </w:rPr>
                        </w:pPr>
                        <w:r>
                          <w:rPr>
                            <w:sz w:val="22"/>
                          </w:rPr>
                          <w:t>1580</w:t>
                        </w:r>
                      </w:p>
                    </w:tc>
                    <w:tc>
                      <w:tcPr>
                        <w:tcW w:w="1580" w:type="dxa"/>
                      </w:tcPr>
                      <w:p>
                        <w:pPr>
                          <w:pStyle w:val="TableParagraph"/>
                          <w:spacing w:line="251" w:lineRule="exact"/>
                          <w:rPr>
                            <w:sz w:val="22"/>
                          </w:rPr>
                        </w:pPr>
                        <w:r>
                          <w:rPr>
                            <w:sz w:val="22"/>
                          </w:rPr>
                          <w:t>Excelente</w:t>
                        </w:r>
                      </w:p>
                    </w:tc>
                  </w:tr>
                  <w:tr>
                    <w:trPr>
                      <w:trHeight w:val="262" w:hRule="exact"/>
                    </w:trPr>
                    <w:tc>
                      <w:tcPr>
                        <w:tcW w:w="1680" w:type="dxa"/>
                      </w:tcPr>
                      <w:p>
                        <w:pPr>
                          <w:pStyle w:val="TableParagraph"/>
                          <w:spacing w:line="251" w:lineRule="exact"/>
                          <w:rPr>
                            <w:sz w:val="22"/>
                          </w:rPr>
                        </w:pPr>
                        <w:r>
                          <w:rPr>
                            <w:sz w:val="22"/>
                          </w:rPr>
                          <w:t>1785</w:t>
                        </w:r>
                      </w:p>
                    </w:tc>
                    <w:tc>
                      <w:tcPr>
                        <w:tcW w:w="1580" w:type="dxa"/>
                      </w:tcPr>
                      <w:p>
                        <w:pPr>
                          <w:pStyle w:val="TableParagraph"/>
                          <w:spacing w:line="251" w:lineRule="exact"/>
                          <w:rPr>
                            <w:sz w:val="22"/>
                          </w:rPr>
                        </w:pPr>
                        <w:r>
                          <w:rPr>
                            <w:sz w:val="22"/>
                          </w:rPr>
                          <w:t>Excelente</w:t>
                        </w:r>
                      </w:p>
                    </w:tc>
                  </w:tr>
                  <w:tr>
                    <w:trPr>
                      <w:trHeight w:val="264" w:hRule="exact"/>
                    </w:trPr>
                    <w:tc>
                      <w:tcPr>
                        <w:tcW w:w="1680" w:type="dxa"/>
                      </w:tcPr>
                      <w:p>
                        <w:pPr>
                          <w:pStyle w:val="TableParagraph"/>
                          <w:spacing w:line="251" w:lineRule="exact"/>
                          <w:rPr>
                            <w:sz w:val="22"/>
                          </w:rPr>
                        </w:pPr>
                        <w:r>
                          <w:rPr>
                            <w:sz w:val="22"/>
                          </w:rPr>
                          <w:t>1810</w:t>
                        </w:r>
                      </w:p>
                    </w:tc>
                    <w:tc>
                      <w:tcPr>
                        <w:tcW w:w="1580" w:type="dxa"/>
                      </w:tcPr>
                      <w:p>
                        <w:pPr>
                          <w:pStyle w:val="TableParagraph"/>
                          <w:spacing w:line="251" w:lineRule="exact"/>
                          <w:rPr>
                            <w:sz w:val="22"/>
                          </w:rPr>
                        </w:pPr>
                        <w:r>
                          <w:rPr>
                            <w:sz w:val="22"/>
                          </w:rPr>
                          <w:t>Excelente</w:t>
                        </w:r>
                      </w:p>
                    </w:tc>
                  </w:tr>
                  <w:tr>
                    <w:trPr>
                      <w:trHeight w:val="262" w:hRule="exact"/>
                    </w:trPr>
                    <w:tc>
                      <w:tcPr>
                        <w:tcW w:w="1680" w:type="dxa"/>
                      </w:tcPr>
                      <w:p>
                        <w:pPr>
                          <w:pStyle w:val="TableParagraph"/>
                          <w:spacing w:line="251" w:lineRule="exact"/>
                          <w:rPr>
                            <w:sz w:val="22"/>
                          </w:rPr>
                        </w:pPr>
                        <w:r>
                          <w:rPr>
                            <w:sz w:val="22"/>
                          </w:rPr>
                          <w:t>1861</w:t>
                        </w:r>
                      </w:p>
                    </w:tc>
                    <w:tc>
                      <w:tcPr>
                        <w:tcW w:w="1580" w:type="dxa"/>
                      </w:tcPr>
                      <w:p>
                        <w:pPr>
                          <w:pStyle w:val="TableParagraph"/>
                          <w:spacing w:line="251" w:lineRule="exact"/>
                          <w:rPr>
                            <w:sz w:val="22"/>
                          </w:rPr>
                        </w:pPr>
                        <w:r>
                          <w:rPr>
                            <w:sz w:val="22"/>
                          </w:rPr>
                          <w:t>Excelente</w:t>
                        </w:r>
                      </w:p>
                    </w:tc>
                  </w:tr>
                  <w:tr>
                    <w:trPr>
                      <w:trHeight w:val="264" w:hRule="exact"/>
                    </w:trPr>
                    <w:tc>
                      <w:tcPr>
                        <w:tcW w:w="1680" w:type="dxa"/>
                      </w:tcPr>
                      <w:p>
                        <w:pPr>
                          <w:pStyle w:val="TableParagraph"/>
                          <w:rPr>
                            <w:sz w:val="22"/>
                          </w:rPr>
                        </w:pPr>
                        <w:r>
                          <w:rPr>
                            <w:sz w:val="22"/>
                          </w:rPr>
                          <w:t>1910</w:t>
                        </w:r>
                      </w:p>
                    </w:tc>
                    <w:tc>
                      <w:tcPr>
                        <w:tcW w:w="1580" w:type="dxa"/>
                      </w:tcPr>
                      <w:p>
                        <w:pPr>
                          <w:pStyle w:val="TableParagraph"/>
                          <w:rPr>
                            <w:sz w:val="22"/>
                          </w:rPr>
                        </w:pPr>
                        <w:r>
                          <w:rPr>
                            <w:sz w:val="22"/>
                          </w:rPr>
                          <w:t>Excelente</w:t>
                        </w:r>
                      </w:p>
                    </w:tc>
                  </w:tr>
                  <w:tr>
                    <w:trPr>
                      <w:trHeight w:val="262" w:hRule="exact"/>
                    </w:trPr>
                    <w:tc>
                      <w:tcPr>
                        <w:tcW w:w="1680" w:type="dxa"/>
                      </w:tcPr>
                      <w:p>
                        <w:pPr>
                          <w:pStyle w:val="TableParagraph"/>
                          <w:spacing w:line="251" w:lineRule="exact"/>
                          <w:rPr>
                            <w:sz w:val="22"/>
                          </w:rPr>
                        </w:pPr>
                        <w:r>
                          <w:rPr>
                            <w:sz w:val="22"/>
                          </w:rPr>
                          <w:t>1940</w:t>
                        </w:r>
                      </w:p>
                    </w:tc>
                    <w:tc>
                      <w:tcPr>
                        <w:tcW w:w="1580" w:type="dxa"/>
                      </w:tcPr>
                      <w:p>
                        <w:pPr>
                          <w:pStyle w:val="TableParagraph"/>
                          <w:spacing w:line="251" w:lineRule="exact"/>
                          <w:rPr>
                            <w:sz w:val="22"/>
                          </w:rPr>
                        </w:pPr>
                        <w:r>
                          <w:rPr>
                            <w:sz w:val="22"/>
                          </w:rPr>
                          <w:t>Excelente</w:t>
                        </w:r>
                      </w:p>
                    </w:tc>
                  </w:tr>
                  <w:tr>
                    <w:trPr>
                      <w:trHeight w:val="264" w:hRule="exact"/>
                    </w:trPr>
                    <w:tc>
                      <w:tcPr>
                        <w:tcW w:w="1680" w:type="dxa"/>
                      </w:tcPr>
                      <w:p>
                        <w:pPr>
                          <w:pStyle w:val="TableParagraph"/>
                          <w:rPr>
                            <w:sz w:val="22"/>
                          </w:rPr>
                        </w:pPr>
                        <w:r>
                          <w:rPr>
                            <w:sz w:val="22"/>
                          </w:rPr>
                          <w:t>1982</w:t>
                        </w:r>
                      </w:p>
                    </w:tc>
                    <w:tc>
                      <w:tcPr>
                        <w:tcW w:w="1580" w:type="dxa"/>
                      </w:tcPr>
                      <w:p>
                        <w:pPr>
                          <w:pStyle w:val="TableParagraph"/>
                          <w:rPr>
                            <w:sz w:val="22"/>
                          </w:rPr>
                        </w:pPr>
                        <w:r>
                          <w:rPr>
                            <w:sz w:val="22"/>
                          </w:rPr>
                          <w:t>Excelente</w:t>
                        </w:r>
                      </w:p>
                    </w:tc>
                  </w:tr>
                  <w:tr>
                    <w:trPr>
                      <w:trHeight w:val="264" w:hRule="exact"/>
                    </w:trPr>
                    <w:tc>
                      <w:tcPr>
                        <w:tcW w:w="1680" w:type="dxa"/>
                      </w:tcPr>
                      <w:p>
                        <w:pPr>
                          <w:pStyle w:val="TableParagraph"/>
                          <w:spacing w:line="251" w:lineRule="exact"/>
                          <w:rPr>
                            <w:sz w:val="22"/>
                          </w:rPr>
                        </w:pPr>
                        <w:r>
                          <w:rPr>
                            <w:sz w:val="22"/>
                          </w:rPr>
                          <w:t>2016</w:t>
                        </w:r>
                      </w:p>
                    </w:tc>
                    <w:tc>
                      <w:tcPr>
                        <w:tcW w:w="1580" w:type="dxa"/>
                      </w:tcPr>
                      <w:p>
                        <w:pPr>
                          <w:pStyle w:val="TableParagraph"/>
                          <w:spacing w:line="251" w:lineRule="exact"/>
                          <w:rPr>
                            <w:sz w:val="22"/>
                          </w:rPr>
                        </w:pPr>
                        <w:r>
                          <w:rPr>
                            <w:sz w:val="22"/>
                          </w:rPr>
                          <w:t>Excelente</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8"/>
        <w:gridCol w:w="3839"/>
        <w:gridCol w:w="1469"/>
        <w:gridCol w:w="2349"/>
        <w:gridCol w:w="1594"/>
      </w:tblGrid>
      <w:tr>
        <w:trPr>
          <w:trHeight w:val="262" w:hRule="exact"/>
        </w:trPr>
        <w:tc>
          <w:tcPr>
            <w:tcW w:w="13149" w:type="dxa"/>
            <w:gridSpan w:val="7"/>
          </w:tcPr>
          <w:p>
            <w:pPr>
              <w:pStyle w:val="TableParagraph"/>
              <w:spacing w:line="248" w:lineRule="exact"/>
              <w:ind w:left="2342" w:right="2343"/>
              <w:jc w:val="center"/>
              <w:rPr>
                <w:b/>
                <w:sz w:val="22"/>
              </w:rPr>
            </w:pPr>
            <w:r>
              <w:rPr>
                <w:b/>
                <w:sz w:val="22"/>
              </w:rPr>
              <w:t>Valoración del</w:t>
            </w:r>
            <w:r>
              <w:rPr>
                <w:b/>
                <w:spacing w:val="-5"/>
                <w:sz w:val="22"/>
              </w:rPr>
              <w:t> </w:t>
            </w:r>
            <w:r>
              <w:rPr>
                <w:b/>
                <w:sz w:val="22"/>
              </w:rPr>
              <w:t>indicador</w:t>
            </w:r>
          </w:p>
        </w:tc>
      </w:tr>
      <w:tr>
        <w:trPr>
          <w:trHeight w:val="5099" w:hRule="exact"/>
        </w:trPr>
        <w:tc>
          <w:tcPr>
            <w:tcW w:w="13149" w:type="dxa"/>
            <w:gridSpan w:val="7"/>
          </w:tcPr>
          <w:p>
            <w:pPr>
              <w:pStyle w:val="TableParagraph"/>
              <w:spacing w:line="242" w:lineRule="auto"/>
              <w:ind w:left="27"/>
              <w:rPr>
                <w:sz w:val="22"/>
              </w:rPr>
            </w:pPr>
            <w:r>
              <w:rPr>
                <w:sz w:val="22"/>
              </w:rPr>
              <w:t>En la siguiente gráfica se puede identificar la evolución del indicador en el tiempo en la CHPH mediante categorías de calificación de acuerdo a su impacto en los ámbitos ambiental, sociopolítico y económico:</w:t>
            </w:r>
          </w:p>
          <w:p>
            <w:pPr>
              <w:pStyle w:val="TableParagraph"/>
              <w:spacing w:line="247" w:lineRule="exact"/>
              <w:ind w:left="3697"/>
              <w:rPr>
                <w:b/>
                <w:sz w:val="22"/>
              </w:rPr>
            </w:pPr>
            <w:r>
              <w:rPr>
                <w:b/>
                <w:sz w:val="22"/>
              </w:rPr>
              <w:t>Gráfica 7.9.</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2"/>
              <w:ind w:left="0"/>
              <w:rPr>
                <w:rFonts w:ascii="Times New Roman"/>
                <w:sz w:val="24"/>
              </w:rPr>
            </w:pPr>
          </w:p>
          <w:p>
            <w:pPr>
              <w:pStyle w:val="TableParagraph"/>
              <w:spacing w:line="510" w:lineRule="atLeast"/>
              <w:ind w:left="27" w:right="4140"/>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526" w:type="dxa"/>
            <w:vMerge w:val="restart"/>
          </w:tcPr>
          <w:p>
            <w:pPr>
              <w:pStyle w:val="TableParagraph"/>
              <w:ind w:right="93"/>
              <w:rPr>
                <w:sz w:val="20"/>
              </w:rPr>
            </w:pPr>
            <w:r>
              <w:rPr>
                <w:sz w:val="20"/>
              </w:rPr>
              <w:t>Clasificación por número de eventos en el período</w:t>
            </w:r>
          </w:p>
        </w:tc>
        <w:tc>
          <w:tcPr>
            <w:tcW w:w="9075" w:type="dxa"/>
            <w:gridSpan w:val="4"/>
          </w:tcPr>
          <w:p>
            <w:pPr>
              <w:pStyle w:val="TableParagraph"/>
              <w:ind w:right="103"/>
              <w:rPr>
                <w:sz w:val="20"/>
              </w:rPr>
            </w:pPr>
            <w:r>
              <w:rPr>
                <w:sz w:val="20"/>
              </w:rPr>
              <w:t>Clasificación por </w:t>
            </w:r>
            <w:r>
              <w:rPr>
                <w:b/>
                <w:sz w:val="20"/>
              </w:rPr>
              <w:t>características de impacto positivo o negativo </w:t>
            </w:r>
            <w:r>
              <w:rPr>
                <w:sz w:val="20"/>
              </w:rPr>
              <w:t>en los ámbitos ambiental- sociopolítico-económico</w:t>
            </w:r>
          </w:p>
        </w:tc>
        <w:tc>
          <w:tcPr>
            <w:tcW w:w="1594" w:type="dxa"/>
            <w:vMerge w:val="restart"/>
            <w:tcBorders>
              <w:right w:val="double" w:sz="11" w:space="0" w:color="000000"/>
            </w:tcBorders>
          </w:tcPr>
          <w:p>
            <w:pPr>
              <w:pStyle w:val="TableParagraph"/>
              <w:spacing w:before="119"/>
              <w:ind w:left="218" w:right="222"/>
              <w:jc w:val="center"/>
              <w:rPr>
                <w:sz w:val="20"/>
              </w:rPr>
            </w:pPr>
            <w:r>
              <w:rPr>
                <w:w w:val="95"/>
                <w:sz w:val="20"/>
              </w:rPr>
              <w:t>Clasificación </w:t>
            </w:r>
            <w:r>
              <w:rPr>
                <w:sz w:val="20"/>
              </w:rPr>
              <w:t>de la calificación</w:t>
            </w:r>
          </w:p>
        </w:tc>
      </w:tr>
      <w:tr>
        <w:trPr>
          <w:trHeight w:val="470" w:hRule="exact"/>
        </w:trPr>
        <w:tc>
          <w:tcPr>
            <w:tcW w:w="954" w:type="dxa"/>
            <w:vMerge/>
            <w:tcBorders>
              <w:left w:val="double" w:sz="11" w:space="0" w:color="000000"/>
            </w:tcBorders>
          </w:tcPr>
          <w:p>
            <w:pPr/>
          </w:p>
        </w:tc>
        <w:tc>
          <w:tcPr>
            <w:tcW w:w="1526" w:type="dxa"/>
            <w:vMerge/>
          </w:tcPr>
          <w:p>
            <w:pPr/>
          </w:p>
        </w:tc>
        <w:tc>
          <w:tcPr>
            <w:tcW w:w="1418" w:type="dxa"/>
          </w:tcPr>
          <w:p>
            <w:pPr>
              <w:pStyle w:val="TableParagraph"/>
              <w:spacing w:line="227" w:lineRule="exact"/>
              <w:ind w:right="101"/>
              <w:rPr>
                <w:sz w:val="20"/>
              </w:rPr>
            </w:pPr>
            <w:r>
              <w:rPr>
                <w:sz w:val="20"/>
              </w:rPr>
              <w:t>Subsistema</w:t>
            </w:r>
          </w:p>
        </w:tc>
        <w:tc>
          <w:tcPr>
            <w:tcW w:w="3839" w:type="dxa"/>
          </w:tcPr>
          <w:p>
            <w:pPr>
              <w:pStyle w:val="TableParagraph"/>
              <w:spacing w:line="227" w:lineRule="exact"/>
              <w:rPr>
                <w:sz w:val="20"/>
              </w:rPr>
            </w:pPr>
            <w:r>
              <w:rPr>
                <w:sz w:val="20"/>
              </w:rPr>
              <w:t>características</w:t>
            </w:r>
          </w:p>
        </w:tc>
        <w:tc>
          <w:tcPr>
            <w:tcW w:w="1469" w:type="dxa"/>
          </w:tcPr>
          <w:p>
            <w:pPr>
              <w:pStyle w:val="TableParagraph"/>
              <w:tabs>
                <w:tab w:pos="1132" w:val="left" w:leader="none"/>
              </w:tabs>
              <w:spacing w:line="227" w:lineRule="exact"/>
              <w:rPr>
                <w:sz w:val="20"/>
              </w:rPr>
            </w:pPr>
            <w:r>
              <w:rPr>
                <w:sz w:val="20"/>
              </w:rPr>
              <w:t>%</w:t>
              <w:tab/>
              <w:t>de</w:t>
            </w:r>
          </w:p>
          <w:p>
            <w:pPr>
              <w:pStyle w:val="TableParagraph"/>
              <w:rPr>
                <w:sz w:val="20"/>
              </w:rPr>
            </w:pPr>
            <w:r>
              <w:rPr>
                <w:sz w:val="20"/>
              </w:rPr>
              <w:t>cumplimiento</w:t>
            </w:r>
          </w:p>
        </w:tc>
        <w:tc>
          <w:tcPr>
            <w:tcW w:w="2349" w:type="dxa"/>
          </w:tcPr>
          <w:p>
            <w:pPr>
              <w:pStyle w:val="TableParagraph"/>
              <w:spacing w:line="227" w:lineRule="exact"/>
              <w:rPr>
                <w:sz w:val="20"/>
              </w:rPr>
            </w:pPr>
            <w:r>
              <w:rPr>
                <w:sz w:val="20"/>
              </w:rPr>
              <w:t>Observaciones</w:t>
            </w:r>
          </w:p>
        </w:tc>
        <w:tc>
          <w:tcPr>
            <w:tcW w:w="1594" w:type="dxa"/>
            <w:vMerge/>
            <w:tcBorders>
              <w:right w:val="double" w:sz="11" w:space="0" w:color="000000"/>
            </w:tcBorders>
          </w:tcPr>
          <w:p>
            <w:pPr/>
          </w:p>
        </w:tc>
      </w:tr>
      <w:tr>
        <w:trPr>
          <w:trHeight w:val="1424"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3"/>
              <w:ind w:left="0"/>
              <w:rPr>
                <w:rFonts w:ascii="Times New Roman"/>
                <w:sz w:val="21"/>
              </w:rPr>
            </w:pPr>
          </w:p>
          <w:p>
            <w:pPr>
              <w:pStyle w:val="TableParagraph"/>
              <w:ind w:left="209" w:right="212"/>
              <w:jc w:val="center"/>
              <w:rPr>
                <w:sz w:val="20"/>
              </w:rPr>
            </w:pPr>
            <w:r>
              <w:rPr>
                <w:sz w:val="20"/>
              </w:rPr>
              <w:t>1400</w:t>
            </w:r>
          </w:p>
        </w:tc>
        <w:tc>
          <w:tcPr>
            <w:tcW w:w="1526" w:type="dxa"/>
            <w:vMerge w:val="restart"/>
          </w:tcPr>
          <w:p>
            <w:pPr/>
          </w:p>
        </w:tc>
        <w:tc>
          <w:tcPr>
            <w:tcW w:w="1418" w:type="dxa"/>
            <w:vMerge w:val="restart"/>
          </w:tcPr>
          <w:p>
            <w:pPr>
              <w:pStyle w:val="TableParagraph"/>
              <w:spacing w:line="227" w:lineRule="exact"/>
              <w:ind w:right="101"/>
              <w:rPr>
                <w:sz w:val="20"/>
              </w:rPr>
            </w:pPr>
            <w:r>
              <w:rPr>
                <w:sz w:val="20"/>
              </w:rPr>
              <w:t>Ambiental</w:t>
            </w:r>
          </w:p>
        </w:tc>
        <w:tc>
          <w:tcPr>
            <w:tcW w:w="3839" w:type="dxa"/>
            <w:vMerge w:val="restart"/>
          </w:tcPr>
          <w:p>
            <w:pPr>
              <w:pStyle w:val="TableParagraph"/>
              <w:numPr>
                <w:ilvl w:val="0"/>
                <w:numId w:val="157"/>
              </w:numPr>
              <w:tabs>
                <w:tab w:pos="812" w:val="left" w:leader="none"/>
              </w:tabs>
              <w:spacing w:line="240" w:lineRule="auto" w:before="0" w:after="0"/>
              <w:ind w:left="281" w:right="102" w:hanging="142"/>
              <w:jc w:val="both"/>
              <w:rPr>
                <w:sz w:val="20"/>
              </w:rPr>
            </w:pPr>
            <w:r>
              <w:rPr>
                <w:sz w:val="20"/>
              </w:rPr>
              <w:t>Existe relación entre agua- ambiente-sociedad</w:t>
            </w:r>
          </w:p>
          <w:p>
            <w:pPr>
              <w:pStyle w:val="TableParagraph"/>
              <w:numPr>
                <w:ilvl w:val="0"/>
                <w:numId w:val="157"/>
              </w:numPr>
              <w:tabs>
                <w:tab w:pos="812" w:val="left" w:leader="none"/>
              </w:tabs>
              <w:spacing w:line="240" w:lineRule="auto" w:before="0" w:after="0"/>
              <w:ind w:left="281" w:right="103" w:hanging="142"/>
              <w:jc w:val="both"/>
              <w:rPr>
                <w:sz w:val="20"/>
              </w:rPr>
            </w:pPr>
            <w:r>
              <w:rPr>
                <w:sz w:val="20"/>
              </w:rPr>
              <w:t>Existen instituciones para proteger el medio</w:t>
            </w:r>
            <w:r>
              <w:rPr>
                <w:spacing w:val="-6"/>
                <w:sz w:val="20"/>
              </w:rPr>
              <w:t> </w:t>
            </w:r>
            <w:r>
              <w:rPr>
                <w:sz w:val="20"/>
              </w:rPr>
              <w:t>ambiente</w:t>
            </w:r>
          </w:p>
          <w:p>
            <w:pPr>
              <w:pStyle w:val="TableParagraph"/>
              <w:numPr>
                <w:ilvl w:val="0"/>
                <w:numId w:val="157"/>
              </w:numPr>
              <w:tabs>
                <w:tab w:pos="812" w:val="left" w:leader="none"/>
              </w:tabs>
              <w:spacing w:line="240" w:lineRule="auto" w:before="1" w:after="0"/>
              <w:ind w:left="281" w:right="103" w:hanging="142"/>
              <w:jc w:val="both"/>
              <w:rPr>
                <w:sz w:val="20"/>
              </w:rPr>
            </w:pPr>
            <w:r>
              <w:rPr>
                <w:sz w:val="20"/>
              </w:rPr>
              <w:t>Existe conciencia o interés en los actores históricos para cuidar el medio</w:t>
            </w:r>
            <w:r>
              <w:rPr>
                <w:spacing w:val="-5"/>
                <w:sz w:val="20"/>
              </w:rPr>
              <w:t> </w:t>
            </w:r>
            <w:r>
              <w:rPr>
                <w:sz w:val="20"/>
              </w:rPr>
              <w:t>ambiente</w:t>
            </w:r>
          </w:p>
          <w:p>
            <w:pPr>
              <w:pStyle w:val="TableParagraph"/>
              <w:numPr>
                <w:ilvl w:val="0"/>
                <w:numId w:val="157"/>
              </w:numPr>
              <w:tabs>
                <w:tab w:pos="812" w:val="left" w:leader="none"/>
              </w:tabs>
              <w:spacing w:line="240" w:lineRule="auto" w:before="0" w:after="0"/>
              <w:ind w:left="281" w:right="104" w:hanging="142"/>
              <w:jc w:val="both"/>
              <w:rPr>
                <w:sz w:val="20"/>
              </w:rPr>
            </w:pPr>
            <w:r>
              <w:rPr>
                <w:sz w:val="20"/>
              </w:rPr>
              <w:t>Las instituciones sociopolíticas como  El  Municipio  y  El  Ejido </w:t>
            </w:r>
            <w:r>
              <w:rPr>
                <w:spacing w:val="45"/>
                <w:sz w:val="20"/>
              </w:rPr>
              <w:t> </w:t>
            </w:r>
            <w:r>
              <w:rPr>
                <w:sz w:val="20"/>
              </w:rPr>
              <w:t>están</w:t>
            </w:r>
          </w:p>
        </w:tc>
        <w:tc>
          <w:tcPr>
            <w:tcW w:w="1469" w:type="dxa"/>
            <w:vMerge w:val="restart"/>
          </w:tcPr>
          <w:p>
            <w:pPr/>
          </w:p>
        </w:tc>
        <w:tc>
          <w:tcPr>
            <w:tcW w:w="2349" w:type="dxa"/>
            <w:vMerge w:val="restart"/>
          </w:tcPr>
          <w:p>
            <w:pPr>
              <w:pStyle w:val="TableParagraph"/>
              <w:spacing w:line="242" w:lineRule="auto"/>
              <w:ind w:right="103"/>
              <w:jc w:val="both"/>
              <w:rPr>
                <w:sz w:val="20"/>
              </w:rPr>
            </w:pPr>
            <w:r>
              <w:rPr>
                <w:sz w:val="20"/>
              </w:rPr>
              <w:t>Debe reunir al  </w:t>
            </w:r>
            <w:r>
              <w:rPr>
                <w:b/>
                <w:sz w:val="20"/>
              </w:rPr>
              <w:t>100% las tres </w:t>
            </w:r>
            <w:r>
              <w:rPr>
                <w:sz w:val="20"/>
              </w:rPr>
              <w:t>características de impacto positivo</w:t>
            </w:r>
          </w:p>
        </w:tc>
        <w:tc>
          <w:tcPr>
            <w:tcW w:w="1594" w:type="dxa"/>
            <w:vMerge w:val="restart"/>
            <w:tcBorders>
              <w:right w:val="double" w:sz="11"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303"/>
              <w:rPr>
                <w:b/>
                <w:sz w:val="20"/>
              </w:rPr>
            </w:pPr>
            <w:r>
              <w:rPr>
                <w:b/>
                <w:sz w:val="20"/>
              </w:rPr>
              <w:t>Excelente</w:t>
            </w:r>
          </w:p>
        </w:tc>
      </w:tr>
      <w:tr>
        <w:trPr>
          <w:trHeight w:val="871" w:hRule="exact"/>
        </w:trPr>
        <w:tc>
          <w:tcPr>
            <w:tcW w:w="954" w:type="dxa"/>
            <w:tcBorders>
              <w:left w:val="double" w:sz="11" w:space="0" w:color="000000"/>
              <w:bottom w:val="single" w:sz="8" w:space="0" w:color="000000"/>
            </w:tcBorders>
          </w:tcPr>
          <w:p>
            <w:pPr>
              <w:pStyle w:val="TableParagraph"/>
              <w:spacing w:before="10"/>
              <w:ind w:left="0"/>
              <w:rPr>
                <w:rFonts w:ascii="Times New Roman"/>
                <w:sz w:val="26"/>
              </w:rPr>
            </w:pPr>
          </w:p>
          <w:p>
            <w:pPr>
              <w:pStyle w:val="TableParagraph"/>
              <w:ind w:left="209" w:right="212"/>
              <w:jc w:val="center"/>
              <w:rPr>
                <w:sz w:val="20"/>
              </w:rPr>
            </w:pPr>
            <w:r>
              <w:rPr>
                <w:sz w:val="20"/>
              </w:rPr>
              <w:t>1519</w:t>
            </w:r>
          </w:p>
        </w:tc>
        <w:tc>
          <w:tcPr>
            <w:tcW w:w="1526" w:type="dxa"/>
            <w:vMerge/>
            <w:tcBorders>
              <w:bottom w:val="single" w:sz="8" w:space="0" w:color="000000"/>
            </w:tcBorders>
          </w:tcPr>
          <w:p>
            <w:pPr/>
          </w:p>
        </w:tc>
        <w:tc>
          <w:tcPr>
            <w:tcW w:w="1418" w:type="dxa"/>
            <w:vMerge/>
            <w:tcBorders>
              <w:bottom w:val="single" w:sz="8" w:space="0" w:color="000000"/>
            </w:tcBorders>
          </w:tcPr>
          <w:p>
            <w:pPr/>
          </w:p>
        </w:tc>
        <w:tc>
          <w:tcPr>
            <w:tcW w:w="3839" w:type="dxa"/>
            <w:vMerge/>
            <w:tcBorders>
              <w:bottom w:val="single" w:sz="8" w:space="0" w:color="000000"/>
            </w:tcBorders>
          </w:tcPr>
          <w:p>
            <w:pPr/>
          </w:p>
        </w:tc>
        <w:tc>
          <w:tcPr>
            <w:tcW w:w="1469" w:type="dxa"/>
            <w:vMerge/>
            <w:tcBorders>
              <w:bottom w:val="single" w:sz="8" w:space="0" w:color="000000"/>
            </w:tcBorders>
          </w:tcPr>
          <w:p>
            <w:pPr/>
          </w:p>
        </w:tc>
        <w:tc>
          <w:tcPr>
            <w:tcW w:w="2349" w:type="dxa"/>
            <w:vMerge/>
            <w:tcBorders>
              <w:bottom w:val="single" w:sz="8" w:space="0" w:color="000000"/>
            </w:tcBorders>
          </w:tcPr>
          <w:p>
            <w:pPr/>
          </w:p>
        </w:tc>
        <w:tc>
          <w:tcPr>
            <w:tcW w:w="1594" w:type="dxa"/>
            <w:vMerge/>
            <w:tcBorders>
              <w:bottom w:val="single" w:sz="8" w:space="0" w:color="000000"/>
              <w:right w:val="double" w:sz="11" w:space="0" w:color="000000"/>
            </w:tcBorders>
            <w:shd w:val="clear" w:color="auto" w:fill="00FF00"/>
          </w:tcPr>
          <w:p>
            <w:pPr/>
          </w:p>
        </w:tc>
      </w:tr>
    </w:tbl>
    <w:p>
      <w:pPr>
        <w:spacing w:after="0"/>
        <w:sectPr>
          <w:pgSz w:w="15840" w:h="12240" w:orient="landscape"/>
          <w:pgMar w:header="0" w:footer="943" w:top="1140" w:bottom="1140" w:left="1200" w:right="1140"/>
        </w:sectPr>
      </w:pPr>
    </w:p>
    <w:p>
      <w:pPr>
        <w:pStyle w:val="BodyText"/>
        <w:rPr>
          <w:rFonts w:ascii="Times New Roman"/>
          <w:sz w:val="20"/>
        </w:rPr>
      </w:pPr>
      <w:r>
        <w:rPr/>
        <w:pict>
          <v:group style="position:absolute;margin-left:645.460022pt;margin-top:413.829987pt;width:77.3pt;height:103.5pt;mso-position-horizontal-relative:page;mso-position-vertical-relative:page;z-index:-3330064" coordorigin="12909,8277" coordsize="1546,2070">
            <v:shape style="position:absolute;left:12909;top:8277;width:1546;height:2069" type="#_x0000_t75" stroked="false">
              <v:imagedata r:id="rId380" o:title=""/>
            </v:shape>
            <v:shape style="position:absolute;left:13010;top:8277;width:1342;height:230" type="#_x0000_t75" stroked="false">
              <v:imagedata r:id="rId381" o:title=""/>
            </v:shape>
            <v:shape style="position:absolute;left:13010;top:8507;width:1342;height:228" type="#_x0000_t75" stroked="false">
              <v:imagedata r:id="rId382" o:title=""/>
            </v:shape>
            <v:shape style="position:absolute;left:13010;top:8735;width:1342;height:231" type="#_x0000_t75" stroked="false">
              <v:imagedata r:id="rId383"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8"/>
        <w:gridCol w:w="1410"/>
        <w:gridCol w:w="409"/>
        <w:gridCol w:w="930"/>
        <w:gridCol w:w="342"/>
        <w:gridCol w:w="748"/>
        <w:gridCol w:w="1469"/>
        <w:gridCol w:w="2349"/>
        <w:gridCol w:w="1594"/>
      </w:tblGrid>
      <w:tr>
        <w:trPr>
          <w:trHeight w:val="458" w:hRule="exact"/>
        </w:trPr>
        <w:tc>
          <w:tcPr>
            <w:tcW w:w="954" w:type="dxa"/>
            <w:tcBorders>
              <w:left w:val="double" w:sz="11" w:space="0" w:color="000000"/>
            </w:tcBorders>
          </w:tcPr>
          <w:p>
            <w:pPr>
              <w:pStyle w:val="TableParagraph"/>
              <w:spacing w:before="112"/>
              <w:ind w:left="209" w:right="212"/>
              <w:jc w:val="center"/>
              <w:rPr>
                <w:sz w:val="20"/>
              </w:rPr>
            </w:pPr>
            <w:r>
              <w:rPr>
                <w:sz w:val="20"/>
              </w:rPr>
              <w:t>1580</w:t>
            </w:r>
          </w:p>
        </w:tc>
        <w:tc>
          <w:tcPr>
            <w:tcW w:w="152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418" w:type="dxa"/>
            <w:vMerge w:val="restart"/>
          </w:tcPr>
          <w:p>
            <w:pPr/>
          </w:p>
        </w:tc>
        <w:tc>
          <w:tcPr>
            <w:tcW w:w="1410" w:type="dxa"/>
            <w:vMerge w:val="restart"/>
            <w:tcBorders>
              <w:right w:val="nil"/>
            </w:tcBorders>
          </w:tcPr>
          <w:p>
            <w:pPr>
              <w:pStyle w:val="TableParagraph"/>
              <w:spacing w:before="7"/>
              <w:ind w:left="281"/>
              <w:rPr>
                <w:sz w:val="20"/>
              </w:rPr>
            </w:pPr>
            <w:r>
              <w:rPr>
                <w:w w:val="95"/>
                <w:sz w:val="20"/>
              </w:rPr>
              <w:t>interesadas </w:t>
            </w:r>
            <w:r>
              <w:rPr>
                <w:sz w:val="20"/>
              </w:rPr>
              <w:t>ambiente</w:t>
            </w:r>
          </w:p>
        </w:tc>
        <w:tc>
          <w:tcPr>
            <w:tcW w:w="409" w:type="dxa"/>
            <w:vMerge w:val="restart"/>
            <w:tcBorders>
              <w:left w:val="nil"/>
              <w:right w:val="nil"/>
            </w:tcBorders>
          </w:tcPr>
          <w:p>
            <w:pPr>
              <w:pStyle w:val="TableParagraph"/>
              <w:spacing w:before="7"/>
              <w:ind w:left="94"/>
              <w:rPr>
                <w:sz w:val="20"/>
              </w:rPr>
            </w:pPr>
            <w:r>
              <w:rPr>
                <w:sz w:val="20"/>
              </w:rPr>
              <w:t>en</w:t>
            </w:r>
          </w:p>
        </w:tc>
        <w:tc>
          <w:tcPr>
            <w:tcW w:w="930" w:type="dxa"/>
            <w:vMerge w:val="restart"/>
            <w:tcBorders>
              <w:left w:val="nil"/>
              <w:right w:val="nil"/>
            </w:tcBorders>
          </w:tcPr>
          <w:p>
            <w:pPr>
              <w:pStyle w:val="TableParagraph"/>
              <w:spacing w:before="7"/>
              <w:ind w:left="93"/>
              <w:rPr>
                <w:sz w:val="20"/>
              </w:rPr>
            </w:pPr>
            <w:r>
              <w:rPr>
                <w:sz w:val="20"/>
              </w:rPr>
              <w:t>proteger</w:t>
            </w:r>
          </w:p>
        </w:tc>
        <w:tc>
          <w:tcPr>
            <w:tcW w:w="342" w:type="dxa"/>
            <w:vMerge w:val="restart"/>
            <w:tcBorders>
              <w:left w:val="nil"/>
              <w:right w:val="nil"/>
            </w:tcBorders>
          </w:tcPr>
          <w:p>
            <w:pPr>
              <w:pStyle w:val="TableParagraph"/>
              <w:spacing w:before="7"/>
              <w:ind w:left="93"/>
              <w:rPr>
                <w:sz w:val="20"/>
              </w:rPr>
            </w:pPr>
            <w:r>
              <w:rPr>
                <w:sz w:val="20"/>
              </w:rPr>
              <w:t>el</w:t>
            </w:r>
          </w:p>
        </w:tc>
        <w:tc>
          <w:tcPr>
            <w:tcW w:w="748" w:type="dxa"/>
            <w:vMerge w:val="restart"/>
            <w:tcBorders>
              <w:left w:val="nil"/>
            </w:tcBorders>
          </w:tcPr>
          <w:p>
            <w:pPr>
              <w:pStyle w:val="TableParagraph"/>
              <w:spacing w:before="7"/>
              <w:ind w:left="92"/>
              <w:rPr>
                <w:sz w:val="20"/>
              </w:rPr>
            </w:pPr>
            <w:r>
              <w:rPr>
                <w:sz w:val="20"/>
              </w:rPr>
              <w:t>medio</w:t>
            </w:r>
          </w:p>
        </w:tc>
        <w:tc>
          <w:tcPr>
            <w:tcW w:w="1469"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20"/>
              </w:rPr>
            </w:pPr>
          </w:p>
          <w:p>
            <w:pPr>
              <w:pStyle w:val="TableParagraph"/>
              <w:ind w:left="472"/>
              <w:rPr>
                <w:sz w:val="20"/>
              </w:rPr>
            </w:pPr>
            <w:r>
              <w:rPr>
                <w:sz w:val="20"/>
              </w:rPr>
              <w:t>100%</w:t>
            </w:r>
          </w:p>
        </w:tc>
        <w:tc>
          <w:tcPr>
            <w:tcW w:w="2349" w:type="dxa"/>
            <w:vMerge w:val="restart"/>
          </w:tcPr>
          <w:p>
            <w:pPr/>
          </w:p>
        </w:tc>
        <w:tc>
          <w:tcPr>
            <w:tcW w:w="1594" w:type="dxa"/>
            <w:vMerge w:val="restart"/>
            <w:tcBorders>
              <w:right w:val="double" w:sz="11" w:space="0" w:color="000000"/>
            </w:tcBorders>
            <w:shd w:val="clear" w:color="auto" w:fill="00FF00"/>
          </w:tcPr>
          <w:p>
            <w:pPr/>
          </w:p>
        </w:tc>
      </w:tr>
      <w:tr>
        <w:trPr>
          <w:trHeight w:val="266" w:hRule="exact"/>
        </w:trPr>
        <w:tc>
          <w:tcPr>
            <w:tcW w:w="954" w:type="dxa"/>
            <w:tcBorders>
              <w:left w:val="double" w:sz="11" w:space="0" w:color="000000"/>
            </w:tcBorders>
          </w:tcPr>
          <w:p>
            <w:pPr>
              <w:pStyle w:val="TableParagraph"/>
              <w:spacing w:line="230" w:lineRule="exact"/>
              <w:ind w:left="209" w:right="212"/>
              <w:jc w:val="center"/>
              <w:rPr>
                <w:sz w:val="20"/>
              </w:rPr>
            </w:pPr>
            <w:r>
              <w:rPr>
                <w:sz w:val="20"/>
              </w:rPr>
              <w:t>1785</w:t>
            </w:r>
          </w:p>
        </w:tc>
        <w:tc>
          <w:tcPr>
            <w:tcW w:w="1526" w:type="dxa"/>
            <w:vMerge/>
          </w:tcPr>
          <w:p>
            <w:pPr/>
          </w:p>
        </w:tc>
        <w:tc>
          <w:tcPr>
            <w:tcW w:w="1418" w:type="dxa"/>
            <w:vMerge/>
          </w:tcPr>
          <w:p>
            <w:pPr/>
          </w:p>
        </w:tc>
        <w:tc>
          <w:tcPr>
            <w:tcW w:w="1410" w:type="dxa"/>
            <w:vMerge/>
            <w:tcBorders>
              <w:right w:val="nil"/>
            </w:tcBorders>
          </w:tcPr>
          <w:p>
            <w:pPr/>
          </w:p>
        </w:tc>
        <w:tc>
          <w:tcPr>
            <w:tcW w:w="409" w:type="dxa"/>
            <w:vMerge/>
            <w:tcBorders>
              <w:left w:val="nil"/>
              <w:right w:val="nil"/>
            </w:tcBorders>
          </w:tcPr>
          <w:p>
            <w:pPr/>
          </w:p>
        </w:tc>
        <w:tc>
          <w:tcPr>
            <w:tcW w:w="930" w:type="dxa"/>
            <w:vMerge/>
            <w:tcBorders>
              <w:left w:val="nil"/>
              <w:right w:val="nil"/>
            </w:tcBorders>
          </w:tcPr>
          <w:p>
            <w:pPr/>
          </w:p>
        </w:tc>
        <w:tc>
          <w:tcPr>
            <w:tcW w:w="342" w:type="dxa"/>
            <w:vMerge/>
            <w:tcBorders>
              <w:left w:val="nil"/>
              <w:right w:val="nil"/>
            </w:tcBorders>
          </w:tcPr>
          <w:p>
            <w:pPr/>
          </w:p>
        </w:tc>
        <w:tc>
          <w:tcPr>
            <w:tcW w:w="748" w:type="dxa"/>
            <w:vMerge/>
            <w:tcBorders>
              <w:left w:val="nil"/>
            </w:tcBorders>
          </w:tcPr>
          <w:p>
            <w:pPr/>
          </w:p>
        </w:tc>
        <w:tc>
          <w:tcPr>
            <w:tcW w:w="1469" w:type="dxa"/>
            <w:vMerge/>
          </w:tcPr>
          <w:p>
            <w:pPr/>
          </w:p>
        </w:tc>
        <w:tc>
          <w:tcPr>
            <w:tcW w:w="2349" w:type="dxa"/>
            <w:vMerge/>
          </w:tcPr>
          <w:p>
            <w:pPr/>
          </w:p>
        </w:tc>
        <w:tc>
          <w:tcPr>
            <w:tcW w:w="1594" w:type="dxa"/>
            <w:vMerge/>
            <w:tcBorders>
              <w:right w:val="double" w:sz="11" w:space="0" w:color="000000"/>
            </w:tcBorders>
            <w:shd w:val="clear" w:color="auto" w:fill="00FF00"/>
          </w:tcPr>
          <w:p>
            <w:pPr/>
          </w:p>
        </w:tc>
      </w:tr>
      <w:tr>
        <w:trPr>
          <w:trHeight w:val="718" w:hRule="exact"/>
        </w:trPr>
        <w:tc>
          <w:tcPr>
            <w:tcW w:w="954" w:type="dxa"/>
            <w:tcBorders>
              <w:left w:val="double" w:sz="11" w:space="0" w:color="000000"/>
            </w:tcBorders>
          </w:tcPr>
          <w:p>
            <w:pPr>
              <w:pStyle w:val="TableParagraph"/>
              <w:spacing w:before="7"/>
              <w:ind w:left="0"/>
              <w:rPr>
                <w:rFonts w:ascii="Times New Roman"/>
                <w:sz w:val="20"/>
              </w:rPr>
            </w:pPr>
          </w:p>
          <w:p>
            <w:pPr>
              <w:pStyle w:val="TableParagraph"/>
              <w:ind w:left="209" w:right="212"/>
              <w:jc w:val="center"/>
              <w:rPr>
                <w:sz w:val="20"/>
              </w:rPr>
            </w:pPr>
            <w:r>
              <w:rPr>
                <w:sz w:val="20"/>
              </w:rPr>
              <w:t>1810</w:t>
            </w:r>
          </w:p>
        </w:tc>
        <w:tc>
          <w:tcPr>
            <w:tcW w:w="1526" w:type="dxa"/>
            <w:vMerge/>
          </w:tcPr>
          <w:p>
            <w:pPr/>
          </w:p>
        </w:tc>
        <w:tc>
          <w:tcPr>
            <w:tcW w:w="1418" w:type="dxa"/>
            <w:vMerge w:val="restart"/>
          </w:tcPr>
          <w:p>
            <w:pPr>
              <w:pStyle w:val="TableParagraph"/>
              <w:spacing w:line="227" w:lineRule="exact"/>
              <w:ind w:right="101"/>
              <w:rPr>
                <w:sz w:val="20"/>
              </w:rPr>
            </w:pPr>
            <w:r>
              <w:rPr>
                <w:sz w:val="20"/>
              </w:rPr>
              <w:t>Económico</w:t>
            </w:r>
          </w:p>
        </w:tc>
        <w:tc>
          <w:tcPr>
            <w:tcW w:w="3839" w:type="dxa"/>
            <w:gridSpan w:val="5"/>
            <w:vMerge w:val="restart"/>
          </w:tcPr>
          <w:p>
            <w:pPr>
              <w:pStyle w:val="TableParagraph"/>
              <w:numPr>
                <w:ilvl w:val="0"/>
                <w:numId w:val="158"/>
              </w:numPr>
              <w:tabs>
                <w:tab w:pos="812" w:val="left" w:leader="none"/>
              </w:tabs>
              <w:spacing w:line="240" w:lineRule="auto" w:before="0" w:after="0"/>
              <w:ind w:left="281" w:right="103" w:hanging="142"/>
              <w:jc w:val="both"/>
              <w:rPr>
                <w:sz w:val="20"/>
              </w:rPr>
            </w:pPr>
            <w:r>
              <w:rPr>
                <w:sz w:val="20"/>
              </w:rPr>
              <w:t>Existe una dependencia económica de los recursos naturales por parte de los actores de la</w:t>
            </w:r>
            <w:r>
              <w:rPr>
                <w:spacing w:val="-11"/>
                <w:sz w:val="20"/>
              </w:rPr>
              <w:t> </w:t>
            </w:r>
            <w:r>
              <w:rPr>
                <w:sz w:val="20"/>
              </w:rPr>
              <w:t>CHPH</w:t>
            </w:r>
          </w:p>
          <w:p>
            <w:pPr>
              <w:pStyle w:val="TableParagraph"/>
              <w:numPr>
                <w:ilvl w:val="0"/>
                <w:numId w:val="158"/>
              </w:numPr>
              <w:tabs>
                <w:tab w:pos="812" w:val="left" w:leader="none"/>
              </w:tabs>
              <w:spacing w:line="240" w:lineRule="auto" w:before="0" w:after="0"/>
              <w:ind w:left="281" w:right="101" w:hanging="142"/>
              <w:jc w:val="both"/>
              <w:rPr>
                <w:sz w:val="20"/>
              </w:rPr>
            </w:pPr>
            <w:r>
              <w:rPr>
                <w:sz w:val="20"/>
              </w:rPr>
              <w:t>La agricultura y la ganadería son la ventaja comparativa histórica de la CHPH</w:t>
            </w:r>
          </w:p>
          <w:p>
            <w:pPr>
              <w:pStyle w:val="TableParagraph"/>
              <w:numPr>
                <w:ilvl w:val="0"/>
                <w:numId w:val="158"/>
              </w:numPr>
              <w:tabs>
                <w:tab w:pos="812" w:val="left" w:leader="none"/>
              </w:tabs>
              <w:spacing w:line="240" w:lineRule="auto" w:before="0" w:after="0"/>
              <w:ind w:left="281" w:right="99" w:hanging="142"/>
              <w:jc w:val="both"/>
              <w:rPr>
                <w:sz w:val="20"/>
              </w:rPr>
            </w:pPr>
            <w:r>
              <w:rPr>
                <w:sz w:val="20"/>
              </w:rPr>
              <w:t>Existen grupos económicos consolidados a través de la historia en la</w:t>
            </w:r>
            <w:r>
              <w:rPr>
                <w:spacing w:val="-5"/>
                <w:sz w:val="20"/>
              </w:rPr>
              <w:t> </w:t>
            </w:r>
            <w:r>
              <w:rPr>
                <w:sz w:val="20"/>
              </w:rPr>
              <w:t>CHPH</w:t>
            </w:r>
          </w:p>
        </w:tc>
        <w:tc>
          <w:tcPr>
            <w:tcW w:w="1469" w:type="dxa"/>
            <w:vMerge/>
          </w:tcPr>
          <w:p>
            <w:pPr/>
          </w:p>
        </w:tc>
        <w:tc>
          <w:tcPr>
            <w:tcW w:w="2349" w:type="dxa"/>
            <w:vMerge/>
          </w:tcPr>
          <w:p>
            <w:pPr/>
          </w:p>
        </w:tc>
        <w:tc>
          <w:tcPr>
            <w:tcW w:w="1594" w:type="dxa"/>
            <w:vMerge/>
            <w:tcBorders>
              <w:right w:val="double" w:sz="11" w:space="0" w:color="000000"/>
            </w:tcBorders>
            <w:shd w:val="clear" w:color="auto" w:fill="00FF00"/>
          </w:tcPr>
          <w:p>
            <w:pPr/>
          </w:p>
        </w:tc>
      </w:tr>
      <w:tr>
        <w:trPr>
          <w:trHeight w:val="716" w:hRule="exact"/>
        </w:trPr>
        <w:tc>
          <w:tcPr>
            <w:tcW w:w="954" w:type="dxa"/>
            <w:tcBorders>
              <w:left w:val="double" w:sz="11" w:space="0" w:color="000000"/>
            </w:tcBorders>
          </w:tcPr>
          <w:p>
            <w:pPr>
              <w:pStyle w:val="TableParagraph"/>
              <w:spacing w:before="4"/>
              <w:ind w:left="0"/>
              <w:rPr>
                <w:rFonts w:ascii="Times New Roman"/>
                <w:sz w:val="20"/>
              </w:rPr>
            </w:pPr>
          </w:p>
          <w:p>
            <w:pPr>
              <w:pStyle w:val="TableParagraph"/>
              <w:spacing w:before="1"/>
              <w:ind w:left="209" w:right="212"/>
              <w:jc w:val="center"/>
              <w:rPr>
                <w:sz w:val="20"/>
              </w:rPr>
            </w:pPr>
            <w:r>
              <w:rPr>
                <w:sz w:val="20"/>
              </w:rPr>
              <w:t>1861</w:t>
            </w:r>
          </w:p>
        </w:tc>
        <w:tc>
          <w:tcPr>
            <w:tcW w:w="1526" w:type="dxa"/>
            <w:vMerge/>
          </w:tcPr>
          <w:p>
            <w:pPr/>
          </w:p>
        </w:tc>
        <w:tc>
          <w:tcPr>
            <w:tcW w:w="1418" w:type="dxa"/>
            <w:vMerge/>
          </w:tcPr>
          <w:p>
            <w:pPr/>
          </w:p>
        </w:tc>
        <w:tc>
          <w:tcPr>
            <w:tcW w:w="3839" w:type="dxa"/>
            <w:gridSpan w:val="5"/>
            <w:vMerge/>
          </w:tcPr>
          <w:p>
            <w:pPr/>
          </w:p>
        </w:tc>
        <w:tc>
          <w:tcPr>
            <w:tcW w:w="1469" w:type="dxa"/>
            <w:vMerge/>
          </w:tcPr>
          <w:p>
            <w:pPr/>
          </w:p>
        </w:tc>
        <w:tc>
          <w:tcPr>
            <w:tcW w:w="2349" w:type="dxa"/>
            <w:vMerge/>
          </w:tcPr>
          <w:p>
            <w:pPr/>
          </w:p>
        </w:tc>
        <w:tc>
          <w:tcPr>
            <w:tcW w:w="1594" w:type="dxa"/>
            <w:vMerge/>
            <w:tcBorders>
              <w:right w:val="double" w:sz="11" w:space="0" w:color="000000"/>
            </w:tcBorders>
            <w:shd w:val="clear" w:color="auto" w:fill="00FF00"/>
          </w:tcPr>
          <w:p>
            <w:pPr/>
          </w:p>
        </w:tc>
      </w:tr>
      <w:tr>
        <w:trPr>
          <w:trHeight w:val="715" w:hRule="exact"/>
        </w:trPr>
        <w:tc>
          <w:tcPr>
            <w:tcW w:w="954" w:type="dxa"/>
            <w:tcBorders>
              <w:left w:val="double" w:sz="11" w:space="0" w:color="000000"/>
            </w:tcBorders>
          </w:tcPr>
          <w:p>
            <w:pPr>
              <w:pStyle w:val="TableParagraph"/>
              <w:spacing w:before="4"/>
              <w:ind w:left="0"/>
              <w:rPr>
                <w:rFonts w:ascii="Times New Roman"/>
                <w:sz w:val="20"/>
              </w:rPr>
            </w:pPr>
          </w:p>
          <w:p>
            <w:pPr>
              <w:pStyle w:val="TableParagraph"/>
              <w:spacing w:before="1"/>
              <w:ind w:left="209" w:right="212"/>
              <w:jc w:val="center"/>
              <w:rPr>
                <w:sz w:val="20"/>
              </w:rPr>
            </w:pPr>
            <w:r>
              <w:rPr>
                <w:sz w:val="20"/>
              </w:rPr>
              <w:t>1910</w:t>
            </w:r>
          </w:p>
        </w:tc>
        <w:tc>
          <w:tcPr>
            <w:tcW w:w="1526" w:type="dxa"/>
            <w:vMerge/>
          </w:tcPr>
          <w:p>
            <w:pPr/>
          </w:p>
        </w:tc>
        <w:tc>
          <w:tcPr>
            <w:tcW w:w="1418" w:type="dxa"/>
            <w:vMerge/>
          </w:tcPr>
          <w:p>
            <w:pPr/>
          </w:p>
        </w:tc>
        <w:tc>
          <w:tcPr>
            <w:tcW w:w="3839" w:type="dxa"/>
            <w:gridSpan w:val="5"/>
            <w:vMerge/>
          </w:tcPr>
          <w:p>
            <w:pPr/>
          </w:p>
        </w:tc>
        <w:tc>
          <w:tcPr>
            <w:tcW w:w="1469" w:type="dxa"/>
            <w:vMerge/>
          </w:tcPr>
          <w:p>
            <w:pPr/>
          </w:p>
        </w:tc>
        <w:tc>
          <w:tcPr>
            <w:tcW w:w="2349" w:type="dxa"/>
            <w:vMerge/>
          </w:tcPr>
          <w:p>
            <w:pPr/>
          </w:p>
        </w:tc>
        <w:tc>
          <w:tcPr>
            <w:tcW w:w="1594" w:type="dxa"/>
            <w:vMerge/>
            <w:tcBorders>
              <w:right w:val="double" w:sz="11" w:space="0" w:color="000000"/>
            </w:tcBorders>
            <w:shd w:val="clear" w:color="auto" w:fill="00FF00"/>
          </w:tcPr>
          <w:p>
            <w:pPr/>
          </w:p>
        </w:tc>
      </w:tr>
      <w:tr>
        <w:trPr>
          <w:trHeight w:val="1003" w:hRule="exact"/>
        </w:trPr>
        <w:tc>
          <w:tcPr>
            <w:tcW w:w="954" w:type="dxa"/>
            <w:tcBorders>
              <w:left w:val="double" w:sz="11" w:space="0" w:color="000000"/>
            </w:tcBorders>
          </w:tcPr>
          <w:p>
            <w:pPr>
              <w:pStyle w:val="TableParagraph"/>
              <w:ind w:left="0"/>
              <w:rPr>
                <w:rFonts w:ascii="Times New Roman"/>
                <w:sz w:val="20"/>
              </w:rPr>
            </w:pPr>
          </w:p>
          <w:p>
            <w:pPr>
              <w:pStyle w:val="TableParagraph"/>
              <w:spacing w:before="149"/>
              <w:ind w:left="209" w:right="212"/>
              <w:jc w:val="center"/>
              <w:rPr>
                <w:sz w:val="20"/>
              </w:rPr>
            </w:pPr>
            <w:r>
              <w:rPr>
                <w:sz w:val="20"/>
              </w:rPr>
              <w:t>1940</w:t>
            </w:r>
          </w:p>
        </w:tc>
        <w:tc>
          <w:tcPr>
            <w:tcW w:w="1526" w:type="dxa"/>
            <w:vMerge/>
          </w:tcPr>
          <w:p>
            <w:pPr/>
          </w:p>
        </w:tc>
        <w:tc>
          <w:tcPr>
            <w:tcW w:w="1418" w:type="dxa"/>
            <w:vMerge w:val="restart"/>
          </w:tcPr>
          <w:p>
            <w:pPr>
              <w:pStyle w:val="TableParagraph"/>
              <w:spacing w:line="227" w:lineRule="exact"/>
              <w:ind w:right="101"/>
              <w:rPr>
                <w:sz w:val="20"/>
              </w:rPr>
            </w:pPr>
            <w:r>
              <w:rPr>
                <w:sz w:val="20"/>
              </w:rPr>
              <w:t>Sociopolítico</w:t>
            </w:r>
          </w:p>
        </w:tc>
        <w:tc>
          <w:tcPr>
            <w:tcW w:w="3839" w:type="dxa"/>
            <w:gridSpan w:val="5"/>
            <w:vMerge w:val="restart"/>
          </w:tcPr>
          <w:p>
            <w:pPr>
              <w:pStyle w:val="TableParagraph"/>
              <w:numPr>
                <w:ilvl w:val="0"/>
                <w:numId w:val="159"/>
              </w:numPr>
              <w:tabs>
                <w:tab w:pos="812" w:val="left" w:leader="none"/>
              </w:tabs>
              <w:spacing w:line="240" w:lineRule="auto" w:before="0" w:after="0"/>
              <w:ind w:left="281" w:right="102" w:hanging="142"/>
              <w:jc w:val="both"/>
              <w:rPr>
                <w:sz w:val="20"/>
              </w:rPr>
            </w:pPr>
            <w:r>
              <w:rPr>
                <w:sz w:val="20"/>
              </w:rPr>
              <w:t>Las instituciones políticas  que se han creado a través del tiempo como El Municipio y El Ejido  favorecen la articulación social en la CHPH</w:t>
            </w:r>
          </w:p>
          <w:p>
            <w:pPr>
              <w:pStyle w:val="TableParagraph"/>
              <w:numPr>
                <w:ilvl w:val="0"/>
                <w:numId w:val="159"/>
              </w:numPr>
              <w:tabs>
                <w:tab w:pos="812" w:val="left" w:leader="none"/>
              </w:tabs>
              <w:spacing w:line="240" w:lineRule="auto" w:before="0" w:after="0"/>
              <w:ind w:left="281" w:right="101" w:hanging="142"/>
              <w:jc w:val="both"/>
              <w:rPr>
                <w:sz w:val="20"/>
              </w:rPr>
            </w:pPr>
            <w:r>
              <w:rPr>
                <w:sz w:val="20"/>
              </w:rPr>
              <w:t>Las autoridades auxiliares son producto de las estructuras históricas consolidadas</w:t>
            </w:r>
          </w:p>
          <w:p>
            <w:pPr>
              <w:pStyle w:val="TableParagraph"/>
              <w:numPr>
                <w:ilvl w:val="0"/>
                <w:numId w:val="159"/>
              </w:numPr>
              <w:tabs>
                <w:tab w:pos="812" w:val="left" w:leader="none"/>
              </w:tabs>
              <w:spacing w:line="240" w:lineRule="auto" w:before="1" w:after="0"/>
              <w:ind w:left="281" w:right="103" w:hanging="142"/>
              <w:jc w:val="both"/>
              <w:rPr>
                <w:sz w:val="20"/>
              </w:rPr>
            </w:pPr>
            <w:r>
              <w:rPr>
                <w:sz w:val="20"/>
              </w:rPr>
              <w:t>La CHPH es producto de la articulación de eventos históricos en la región</w:t>
            </w:r>
          </w:p>
          <w:p>
            <w:pPr>
              <w:pStyle w:val="TableParagraph"/>
              <w:numPr>
                <w:ilvl w:val="0"/>
                <w:numId w:val="159"/>
              </w:numPr>
              <w:tabs>
                <w:tab w:pos="463" w:val="left" w:leader="none"/>
                <w:tab w:pos="464" w:val="left" w:leader="none"/>
              </w:tabs>
              <w:spacing w:line="228" w:lineRule="exact"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159"/>
              </w:numPr>
              <w:tabs>
                <w:tab w:pos="463" w:val="left" w:leader="none"/>
                <w:tab w:pos="464" w:val="left" w:leader="none"/>
              </w:tabs>
              <w:spacing w:line="240" w:lineRule="auto" w:before="0" w:after="0"/>
              <w:ind w:left="463" w:right="0" w:hanging="360"/>
              <w:jc w:val="left"/>
              <w:rPr>
                <w:sz w:val="20"/>
              </w:rPr>
            </w:pPr>
            <w:r>
              <w:rPr>
                <w:sz w:val="20"/>
              </w:rPr>
              <w:t>Favorece la</w:t>
            </w:r>
            <w:r>
              <w:rPr>
                <w:spacing w:val="-8"/>
                <w:sz w:val="20"/>
              </w:rPr>
              <w:t> </w:t>
            </w:r>
            <w:r>
              <w:rPr>
                <w:sz w:val="20"/>
              </w:rPr>
              <w:t>gobernanza</w:t>
            </w:r>
          </w:p>
          <w:p>
            <w:pPr>
              <w:pStyle w:val="TableParagraph"/>
              <w:numPr>
                <w:ilvl w:val="0"/>
                <w:numId w:val="159"/>
              </w:numPr>
              <w:tabs>
                <w:tab w:pos="463" w:val="left" w:leader="none"/>
                <w:tab w:pos="464" w:val="left" w:leader="none"/>
              </w:tabs>
              <w:spacing w:line="240" w:lineRule="auto"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159"/>
              </w:numPr>
              <w:tabs>
                <w:tab w:pos="463" w:val="left" w:leader="none"/>
                <w:tab w:pos="464" w:val="left" w:leader="none"/>
              </w:tabs>
              <w:spacing w:line="240" w:lineRule="auto" w:before="0" w:after="0"/>
              <w:ind w:left="463" w:right="105" w:hanging="360"/>
              <w:jc w:val="left"/>
              <w:rPr>
                <w:sz w:val="20"/>
              </w:rPr>
            </w:pPr>
            <w:r>
              <w:rPr>
                <w:sz w:val="20"/>
              </w:rPr>
              <w:t>Existe planeación sociopolítica con articulación entre</w:t>
            </w:r>
            <w:r>
              <w:rPr>
                <w:spacing w:val="-11"/>
                <w:sz w:val="20"/>
              </w:rPr>
              <w:t> </w:t>
            </w:r>
            <w:r>
              <w:rPr>
                <w:sz w:val="20"/>
              </w:rPr>
              <w:t>actores</w:t>
            </w:r>
          </w:p>
        </w:tc>
        <w:tc>
          <w:tcPr>
            <w:tcW w:w="1469" w:type="dxa"/>
            <w:vMerge/>
          </w:tcPr>
          <w:p>
            <w:pPr/>
          </w:p>
        </w:tc>
        <w:tc>
          <w:tcPr>
            <w:tcW w:w="2349" w:type="dxa"/>
            <w:vMerge/>
          </w:tcPr>
          <w:p>
            <w:pPr/>
          </w:p>
        </w:tc>
        <w:tc>
          <w:tcPr>
            <w:tcW w:w="1594" w:type="dxa"/>
            <w:vMerge/>
            <w:tcBorders>
              <w:right w:val="double" w:sz="11" w:space="0" w:color="000000"/>
            </w:tcBorders>
            <w:shd w:val="clear" w:color="auto" w:fill="00FF00"/>
          </w:tcPr>
          <w:p>
            <w:pPr/>
          </w:p>
        </w:tc>
      </w:tr>
      <w:tr>
        <w:trPr>
          <w:trHeight w:val="1004" w:hRule="exact"/>
        </w:trPr>
        <w:tc>
          <w:tcPr>
            <w:tcW w:w="954" w:type="dxa"/>
            <w:tcBorders>
              <w:left w:val="double" w:sz="11" w:space="0" w:color="000000"/>
            </w:tcBorders>
          </w:tcPr>
          <w:p>
            <w:pPr>
              <w:pStyle w:val="TableParagraph"/>
              <w:ind w:left="0"/>
              <w:rPr>
                <w:rFonts w:ascii="Times New Roman"/>
                <w:sz w:val="20"/>
              </w:rPr>
            </w:pPr>
          </w:p>
          <w:p>
            <w:pPr>
              <w:pStyle w:val="TableParagraph"/>
              <w:spacing w:before="149"/>
              <w:ind w:left="209" w:right="212"/>
              <w:jc w:val="center"/>
              <w:rPr>
                <w:sz w:val="20"/>
              </w:rPr>
            </w:pPr>
            <w:r>
              <w:rPr>
                <w:sz w:val="20"/>
              </w:rPr>
              <w:t>1982</w:t>
            </w:r>
          </w:p>
        </w:tc>
        <w:tc>
          <w:tcPr>
            <w:tcW w:w="1526" w:type="dxa"/>
            <w:vMerge/>
          </w:tcPr>
          <w:p>
            <w:pPr/>
          </w:p>
        </w:tc>
        <w:tc>
          <w:tcPr>
            <w:tcW w:w="1418" w:type="dxa"/>
            <w:vMerge/>
          </w:tcPr>
          <w:p>
            <w:pPr/>
          </w:p>
        </w:tc>
        <w:tc>
          <w:tcPr>
            <w:tcW w:w="3839" w:type="dxa"/>
            <w:gridSpan w:val="5"/>
            <w:vMerge/>
          </w:tcPr>
          <w:p>
            <w:pPr/>
          </w:p>
        </w:tc>
        <w:tc>
          <w:tcPr>
            <w:tcW w:w="1469" w:type="dxa"/>
            <w:vMerge/>
          </w:tcPr>
          <w:p>
            <w:pPr/>
          </w:p>
        </w:tc>
        <w:tc>
          <w:tcPr>
            <w:tcW w:w="2349" w:type="dxa"/>
            <w:vMerge/>
          </w:tcPr>
          <w:p>
            <w:pPr/>
          </w:p>
        </w:tc>
        <w:tc>
          <w:tcPr>
            <w:tcW w:w="1594" w:type="dxa"/>
            <w:vMerge/>
            <w:tcBorders>
              <w:right w:val="double" w:sz="11" w:space="0" w:color="000000"/>
            </w:tcBorders>
            <w:shd w:val="clear" w:color="auto" w:fill="00FF00"/>
          </w:tcPr>
          <w:p>
            <w:pPr/>
          </w:p>
        </w:tc>
      </w:tr>
      <w:tr>
        <w:trPr>
          <w:trHeight w:val="1685"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22"/>
              </w:rPr>
            </w:pPr>
          </w:p>
          <w:p>
            <w:pPr>
              <w:pStyle w:val="TableParagraph"/>
              <w:ind w:left="209" w:right="212"/>
              <w:jc w:val="center"/>
              <w:rPr>
                <w:sz w:val="20"/>
              </w:rPr>
            </w:pPr>
            <w:r>
              <w:rPr>
                <w:sz w:val="20"/>
              </w:rPr>
              <w:t>2016</w:t>
            </w:r>
          </w:p>
        </w:tc>
        <w:tc>
          <w:tcPr>
            <w:tcW w:w="1526" w:type="dxa"/>
            <w:vMerge/>
          </w:tcPr>
          <w:p>
            <w:pPr/>
          </w:p>
        </w:tc>
        <w:tc>
          <w:tcPr>
            <w:tcW w:w="1418" w:type="dxa"/>
            <w:vMerge/>
          </w:tcPr>
          <w:p>
            <w:pPr/>
          </w:p>
        </w:tc>
        <w:tc>
          <w:tcPr>
            <w:tcW w:w="3839" w:type="dxa"/>
            <w:gridSpan w:val="5"/>
            <w:vMerge/>
          </w:tcPr>
          <w:p>
            <w:pPr/>
          </w:p>
        </w:tc>
        <w:tc>
          <w:tcPr>
            <w:tcW w:w="1469" w:type="dxa"/>
            <w:vMerge/>
          </w:tcPr>
          <w:p>
            <w:pPr/>
          </w:p>
        </w:tc>
        <w:tc>
          <w:tcPr>
            <w:tcW w:w="2349" w:type="dxa"/>
            <w:vMerge/>
          </w:tcPr>
          <w:p>
            <w:pPr/>
          </w:p>
        </w:tc>
        <w:tc>
          <w:tcPr>
            <w:tcW w:w="1594" w:type="dxa"/>
            <w:vMerge/>
            <w:tcBorders>
              <w:right w:val="double" w:sz="11" w:space="0" w:color="000000"/>
            </w:tcBorders>
            <w:shd w:val="clear" w:color="auto" w:fill="00FF00"/>
          </w:tcPr>
          <w:p>
            <w:pPr/>
          </w:p>
        </w:tc>
      </w:tr>
      <w:tr>
        <w:trPr>
          <w:trHeight w:val="2079" w:hRule="exact"/>
        </w:trPr>
        <w:tc>
          <w:tcPr>
            <w:tcW w:w="954" w:type="dxa"/>
            <w:tcBorders>
              <w:left w:val="double" w:sz="11" w:space="0" w:color="000000"/>
              <w:bottom w:val="single" w:sz="8" w:space="0" w:color="000000"/>
            </w:tcBorders>
          </w:tcPr>
          <w:p>
            <w:pPr/>
          </w:p>
        </w:tc>
        <w:tc>
          <w:tcPr>
            <w:tcW w:w="1526" w:type="dxa"/>
            <w:tcBorders>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19"/>
              </w:rPr>
            </w:pPr>
          </w:p>
          <w:p>
            <w:pPr>
              <w:pStyle w:val="TableParagraph"/>
              <w:ind w:left="0"/>
              <w:jc w:val="center"/>
              <w:rPr>
                <w:b/>
                <w:sz w:val="20"/>
              </w:rPr>
            </w:pPr>
            <w:r>
              <w:rPr>
                <w:b/>
                <w:w w:val="99"/>
                <w:sz w:val="20"/>
              </w:rPr>
              <w:t>1</w:t>
            </w:r>
          </w:p>
        </w:tc>
        <w:tc>
          <w:tcPr>
            <w:tcW w:w="1418" w:type="dxa"/>
            <w:tcBorders>
              <w:bottom w:val="single" w:sz="8" w:space="0" w:color="000000"/>
            </w:tcBorders>
          </w:tcPr>
          <w:p>
            <w:pPr>
              <w:pStyle w:val="TableParagraph"/>
              <w:spacing w:line="227" w:lineRule="exact"/>
              <w:ind w:right="101"/>
              <w:rPr>
                <w:sz w:val="20"/>
              </w:rPr>
            </w:pPr>
            <w:r>
              <w:rPr>
                <w:sz w:val="20"/>
              </w:rPr>
              <w:t>Ambiental</w:t>
            </w:r>
          </w:p>
        </w:tc>
        <w:tc>
          <w:tcPr>
            <w:tcW w:w="3839" w:type="dxa"/>
            <w:gridSpan w:val="5"/>
            <w:tcBorders>
              <w:bottom w:val="single" w:sz="8" w:space="0" w:color="000000"/>
            </w:tcBorders>
          </w:tcPr>
          <w:p>
            <w:pPr>
              <w:pStyle w:val="TableParagraph"/>
              <w:numPr>
                <w:ilvl w:val="0"/>
                <w:numId w:val="160"/>
              </w:numPr>
              <w:tabs>
                <w:tab w:pos="812" w:val="left" w:leader="none"/>
              </w:tabs>
              <w:spacing w:line="240" w:lineRule="auto" w:before="0" w:after="0"/>
              <w:ind w:left="281" w:right="102" w:hanging="142"/>
              <w:jc w:val="both"/>
              <w:rPr>
                <w:sz w:val="20"/>
              </w:rPr>
            </w:pPr>
            <w:r>
              <w:rPr>
                <w:sz w:val="20"/>
              </w:rPr>
              <w:t>Existe relación entre agua- ambiente-sociedad</w:t>
            </w:r>
          </w:p>
          <w:p>
            <w:pPr>
              <w:pStyle w:val="TableParagraph"/>
              <w:numPr>
                <w:ilvl w:val="0"/>
                <w:numId w:val="160"/>
              </w:numPr>
              <w:tabs>
                <w:tab w:pos="812" w:val="left" w:leader="none"/>
              </w:tabs>
              <w:spacing w:line="240" w:lineRule="auto" w:before="0" w:after="0"/>
              <w:ind w:left="281" w:right="103" w:hanging="142"/>
              <w:jc w:val="both"/>
              <w:rPr>
                <w:sz w:val="20"/>
              </w:rPr>
            </w:pPr>
            <w:r>
              <w:rPr>
                <w:sz w:val="20"/>
              </w:rPr>
              <w:t>Existen instituciones para proteger el medio</w:t>
            </w:r>
            <w:r>
              <w:rPr>
                <w:spacing w:val="-6"/>
                <w:sz w:val="20"/>
              </w:rPr>
              <w:t> </w:t>
            </w:r>
            <w:r>
              <w:rPr>
                <w:sz w:val="20"/>
              </w:rPr>
              <w:t>ambiente</w:t>
            </w:r>
          </w:p>
          <w:p>
            <w:pPr>
              <w:pStyle w:val="TableParagraph"/>
              <w:numPr>
                <w:ilvl w:val="0"/>
                <w:numId w:val="160"/>
              </w:numPr>
              <w:tabs>
                <w:tab w:pos="812" w:val="left" w:leader="none"/>
              </w:tabs>
              <w:spacing w:line="240" w:lineRule="auto" w:before="0" w:after="0"/>
              <w:ind w:left="281" w:right="102" w:hanging="142"/>
              <w:jc w:val="both"/>
              <w:rPr>
                <w:sz w:val="20"/>
              </w:rPr>
            </w:pPr>
            <w:r>
              <w:rPr>
                <w:sz w:val="20"/>
              </w:rPr>
              <w:t>Existe conciencia o interés en los actores históricos para cuidar el medio</w:t>
            </w:r>
            <w:r>
              <w:rPr>
                <w:spacing w:val="-5"/>
                <w:sz w:val="20"/>
              </w:rPr>
              <w:t> </w:t>
            </w:r>
            <w:r>
              <w:rPr>
                <w:sz w:val="20"/>
              </w:rPr>
              <w:t>ambiente</w:t>
            </w:r>
          </w:p>
          <w:p>
            <w:pPr>
              <w:pStyle w:val="TableParagraph"/>
              <w:numPr>
                <w:ilvl w:val="0"/>
                <w:numId w:val="160"/>
              </w:numPr>
              <w:tabs>
                <w:tab w:pos="812" w:val="left" w:leader="none"/>
              </w:tabs>
              <w:spacing w:line="228" w:lineRule="exact" w:before="5" w:after="0"/>
              <w:ind w:left="281" w:right="104" w:hanging="142"/>
              <w:jc w:val="both"/>
              <w:rPr>
                <w:sz w:val="20"/>
              </w:rPr>
            </w:pPr>
            <w:r>
              <w:rPr>
                <w:sz w:val="20"/>
              </w:rPr>
              <w:t>Las instituciones sociopolíticas como  El  Municipio  y  El  Ejido </w:t>
            </w:r>
            <w:r>
              <w:rPr>
                <w:spacing w:val="45"/>
                <w:sz w:val="20"/>
              </w:rPr>
              <w:t> </w:t>
            </w:r>
            <w:r>
              <w:rPr>
                <w:sz w:val="20"/>
              </w:rPr>
              <w:t>están</w:t>
            </w:r>
          </w:p>
        </w:tc>
        <w:tc>
          <w:tcPr>
            <w:tcW w:w="1469" w:type="dxa"/>
            <w:tcBorders>
              <w:bottom w:val="single" w:sz="8" w:space="0" w:color="000000"/>
            </w:tcBorders>
          </w:tcPr>
          <w:p>
            <w:pPr/>
          </w:p>
        </w:tc>
        <w:tc>
          <w:tcPr>
            <w:tcW w:w="2349" w:type="dxa"/>
            <w:tcBorders>
              <w:bottom w:val="single" w:sz="8" w:space="0" w:color="000000"/>
            </w:tcBorders>
          </w:tcPr>
          <w:p>
            <w:pPr>
              <w:pStyle w:val="TableParagraph"/>
              <w:tabs>
                <w:tab w:pos="2009" w:val="left" w:leader="none"/>
              </w:tabs>
              <w:ind w:right="105"/>
              <w:jc w:val="both"/>
              <w:rPr>
                <w:sz w:val="20"/>
              </w:rPr>
            </w:pPr>
            <w:r>
              <w:rPr>
                <w:sz w:val="20"/>
              </w:rPr>
              <w:t>Debe reunir </w:t>
            </w:r>
            <w:r>
              <w:rPr>
                <w:b/>
                <w:sz w:val="20"/>
              </w:rPr>
              <w:t>al menos el 75% </w:t>
            </w:r>
            <w:r>
              <w:rPr>
                <w:sz w:val="20"/>
              </w:rPr>
              <w:t>dos de tres características</w:t>
              <w:tab/>
              <w:t>de impacto</w:t>
            </w:r>
            <w:r>
              <w:rPr>
                <w:spacing w:val="-3"/>
                <w:sz w:val="20"/>
              </w:rPr>
              <w:t> </w:t>
            </w:r>
            <w:r>
              <w:rPr>
                <w:sz w:val="20"/>
              </w:rPr>
              <w:t>positivo</w:t>
            </w:r>
          </w:p>
        </w:tc>
        <w:tc>
          <w:tcPr>
            <w:tcW w:w="1594" w:type="dxa"/>
            <w:tcBorders>
              <w:bottom w:val="single" w:sz="8" w:space="0" w:color="000000"/>
              <w:right w:val="double" w:sz="11" w:space="0" w:color="000000"/>
            </w:tcBorders>
          </w:tcPr>
          <w:p>
            <w:pPr>
              <w:pStyle w:val="TableParagraph"/>
              <w:ind w:left="0"/>
              <w:rPr>
                <w:rFonts w:ascii="Times New Roman"/>
                <w:sz w:val="20"/>
              </w:rPr>
            </w:pPr>
          </w:p>
          <w:p>
            <w:pPr>
              <w:pStyle w:val="TableParagraph"/>
              <w:spacing w:before="4"/>
              <w:ind w:left="0"/>
              <w:rPr>
                <w:rFonts w:ascii="Times New Roman"/>
                <w:sz w:val="19"/>
              </w:rPr>
            </w:pPr>
          </w:p>
          <w:p>
            <w:pPr>
              <w:pStyle w:val="TableParagraph"/>
              <w:ind w:left="459"/>
              <w:rPr>
                <w:b/>
                <w:sz w:val="20"/>
              </w:rPr>
            </w:pPr>
            <w:r>
              <w:rPr>
                <w:b/>
                <w:sz w:val="20"/>
              </w:rPr>
              <w:t>Bueno</w:t>
            </w:r>
          </w:p>
        </w:tc>
      </w:tr>
    </w:tbl>
    <w:p>
      <w:pPr>
        <w:spacing w:after="0"/>
        <w:rPr>
          <w:sz w:val="20"/>
        </w:rPr>
        <w:sectPr>
          <w:pgSz w:w="15840" w:h="12240" w:orient="landscape"/>
          <w:pgMar w:header="0" w:footer="943" w:top="1140" w:bottom="1140" w:left="1200" w:right="114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8"/>
        <w:gridCol w:w="1410"/>
        <w:gridCol w:w="409"/>
        <w:gridCol w:w="930"/>
        <w:gridCol w:w="342"/>
        <w:gridCol w:w="748"/>
        <w:gridCol w:w="1469"/>
        <w:gridCol w:w="2348"/>
        <w:gridCol w:w="1595"/>
      </w:tblGrid>
      <w:tr>
        <w:trPr>
          <w:trHeight w:val="480" w:hRule="exact"/>
        </w:trPr>
        <w:tc>
          <w:tcPr>
            <w:tcW w:w="954" w:type="dxa"/>
            <w:vMerge w:val="restart"/>
            <w:tcBorders>
              <w:left w:val="double" w:sz="11" w:space="0" w:color="000000"/>
            </w:tcBorders>
          </w:tcPr>
          <w:p>
            <w:pPr/>
          </w:p>
        </w:tc>
        <w:tc>
          <w:tcPr>
            <w:tcW w:w="1526" w:type="dxa"/>
            <w:vMerge w:val="restart"/>
          </w:tcPr>
          <w:p>
            <w:pPr/>
          </w:p>
        </w:tc>
        <w:tc>
          <w:tcPr>
            <w:tcW w:w="1418" w:type="dxa"/>
          </w:tcPr>
          <w:p>
            <w:pPr/>
          </w:p>
        </w:tc>
        <w:tc>
          <w:tcPr>
            <w:tcW w:w="1410" w:type="dxa"/>
            <w:tcBorders>
              <w:right w:val="nil"/>
            </w:tcBorders>
          </w:tcPr>
          <w:p>
            <w:pPr>
              <w:pStyle w:val="TableParagraph"/>
              <w:spacing w:before="7"/>
              <w:ind w:left="281"/>
              <w:rPr>
                <w:sz w:val="20"/>
              </w:rPr>
            </w:pPr>
            <w:r>
              <w:rPr>
                <w:w w:val="95"/>
                <w:sz w:val="20"/>
              </w:rPr>
              <w:t>interesadas </w:t>
            </w:r>
            <w:r>
              <w:rPr>
                <w:sz w:val="20"/>
              </w:rPr>
              <w:t>ambiente</w:t>
            </w:r>
          </w:p>
        </w:tc>
        <w:tc>
          <w:tcPr>
            <w:tcW w:w="409" w:type="dxa"/>
            <w:tcBorders>
              <w:left w:val="nil"/>
              <w:right w:val="nil"/>
            </w:tcBorders>
          </w:tcPr>
          <w:p>
            <w:pPr>
              <w:pStyle w:val="TableParagraph"/>
              <w:spacing w:before="7"/>
              <w:ind w:left="94"/>
              <w:rPr>
                <w:sz w:val="20"/>
              </w:rPr>
            </w:pPr>
            <w:r>
              <w:rPr>
                <w:sz w:val="20"/>
              </w:rPr>
              <w:t>en</w:t>
            </w:r>
          </w:p>
        </w:tc>
        <w:tc>
          <w:tcPr>
            <w:tcW w:w="930" w:type="dxa"/>
            <w:tcBorders>
              <w:left w:val="nil"/>
              <w:right w:val="nil"/>
            </w:tcBorders>
          </w:tcPr>
          <w:p>
            <w:pPr>
              <w:pStyle w:val="TableParagraph"/>
              <w:spacing w:before="7"/>
              <w:ind w:left="93"/>
              <w:rPr>
                <w:sz w:val="20"/>
              </w:rPr>
            </w:pPr>
            <w:r>
              <w:rPr>
                <w:sz w:val="20"/>
              </w:rPr>
              <w:t>proteger</w:t>
            </w:r>
          </w:p>
        </w:tc>
        <w:tc>
          <w:tcPr>
            <w:tcW w:w="342" w:type="dxa"/>
            <w:tcBorders>
              <w:left w:val="nil"/>
              <w:right w:val="nil"/>
            </w:tcBorders>
          </w:tcPr>
          <w:p>
            <w:pPr>
              <w:pStyle w:val="TableParagraph"/>
              <w:spacing w:before="7"/>
              <w:ind w:left="93"/>
              <w:rPr>
                <w:sz w:val="20"/>
              </w:rPr>
            </w:pPr>
            <w:r>
              <w:rPr>
                <w:sz w:val="20"/>
              </w:rPr>
              <w:t>el</w:t>
            </w:r>
          </w:p>
        </w:tc>
        <w:tc>
          <w:tcPr>
            <w:tcW w:w="748" w:type="dxa"/>
            <w:tcBorders>
              <w:left w:val="nil"/>
            </w:tcBorders>
          </w:tcPr>
          <w:p>
            <w:pPr>
              <w:pStyle w:val="TableParagraph"/>
              <w:spacing w:before="7"/>
              <w:ind w:left="92"/>
              <w:rPr>
                <w:sz w:val="20"/>
              </w:rPr>
            </w:pPr>
            <w:r>
              <w:rPr>
                <w:sz w:val="20"/>
              </w:rPr>
              <w:t>medio</w:t>
            </w:r>
          </w:p>
        </w:tc>
        <w:tc>
          <w:tcPr>
            <w:tcW w:w="1469" w:type="dxa"/>
            <w:vMerge w:val="restart"/>
          </w:tcPr>
          <w:p>
            <w:pPr/>
          </w:p>
        </w:tc>
        <w:tc>
          <w:tcPr>
            <w:tcW w:w="2348" w:type="dxa"/>
            <w:vMerge w:val="restart"/>
          </w:tcPr>
          <w:p>
            <w:pPr/>
          </w:p>
        </w:tc>
        <w:tc>
          <w:tcPr>
            <w:tcW w:w="1595" w:type="dxa"/>
            <w:vMerge w:val="restart"/>
            <w:tcBorders>
              <w:right w:val="double" w:sz="11" w:space="0" w:color="000000"/>
            </w:tcBorders>
          </w:tcPr>
          <w:p>
            <w:pPr>
              <w:pStyle w:val="TableParagraph"/>
              <w:ind w:left="2" w:right="-50"/>
              <w:rPr>
                <w:rFonts w:ascii="Times New Roman"/>
                <w:sz w:val="20"/>
              </w:rPr>
            </w:pPr>
            <w:r>
              <w:rPr>
                <w:rFonts w:ascii="Times New Roman"/>
                <w:sz w:val="20"/>
              </w:rPr>
              <w:pict>
                <v:group style="width:77.3pt;height:311.6pt;mso-position-horizontal-relative:char;mso-position-vertical-relative:line" coordorigin="0,0" coordsize="1546,6232">
                  <v:shape style="position:absolute;left:0;top:0;width:1546;height:461" type="#_x0000_t75" stroked="false">
                    <v:imagedata r:id="rId384" o:title=""/>
                  </v:shape>
                  <v:shape style="position:absolute;left:0;top:461;width:1546;height:2079" type="#_x0000_t75" stroked="false">
                    <v:imagedata r:id="rId385" o:title=""/>
                  </v:shape>
                  <v:shape style="position:absolute;left:0;top:2540;width:1546;height:3692" type="#_x0000_t75" stroked="false">
                    <v:imagedata r:id="rId386" o:title=""/>
                  </v:shape>
                </v:group>
              </w:pict>
            </w:r>
            <w:r>
              <w:rPr>
                <w:rFonts w:ascii="Times New Roman"/>
                <w:sz w:val="20"/>
              </w:rPr>
            </w:r>
          </w:p>
        </w:tc>
      </w:tr>
      <w:tr>
        <w:trPr>
          <w:trHeight w:val="2079" w:hRule="exact"/>
        </w:trPr>
        <w:tc>
          <w:tcPr>
            <w:tcW w:w="954" w:type="dxa"/>
            <w:vMerge/>
            <w:tcBorders>
              <w:left w:val="double" w:sz="11" w:space="0" w:color="000000"/>
            </w:tcBorders>
          </w:tcPr>
          <w:p>
            <w:pPr/>
          </w:p>
        </w:tc>
        <w:tc>
          <w:tcPr>
            <w:tcW w:w="1526" w:type="dxa"/>
            <w:vMerge/>
          </w:tcPr>
          <w:p>
            <w:pPr/>
          </w:p>
        </w:tc>
        <w:tc>
          <w:tcPr>
            <w:tcW w:w="1418" w:type="dxa"/>
          </w:tcPr>
          <w:p>
            <w:pPr>
              <w:pStyle w:val="TableParagraph"/>
              <w:spacing w:line="227" w:lineRule="exact"/>
              <w:ind w:right="101"/>
              <w:rPr>
                <w:sz w:val="20"/>
              </w:rPr>
            </w:pPr>
            <w:r>
              <w:rPr>
                <w:sz w:val="20"/>
              </w:rPr>
              <w:t>Económico</w:t>
            </w:r>
          </w:p>
        </w:tc>
        <w:tc>
          <w:tcPr>
            <w:tcW w:w="3839" w:type="dxa"/>
            <w:gridSpan w:val="5"/>
          </w:tcPr>
          <w:p>
            <w:pPr>
              <w:pStyle w:val="TableParagraph"/>
              <w:numPr>
                <w:ilvl w:val="0"/>
                <w:numId w:val="161"/>
              </w:numPr>
              <w:tabs>
                <w:tab w:pos="812" w:val="left" w:leader="none"/>
              </w:tabs>
              <w:spacing w:line="240" w:lineRule="auto" w:before="0" w:after="0"/>
              <w:ind w:left="281" w:right="103" w:hanging="142"/>
              <w:jc w:val="both"/>
              <w:rPr>
                <w:sz w:val="20"/>
              </w:rPr>
            </w:pPr>
            <w:r>
              <w:rPr>
                <w:sz w:val="20"/>
              </w:rPr>
              <w:t>Existe una dependencia económica de los recursos naturales por parte de los actores de la</w:t>
            </w:r>
            <w:r>
              <w:rPr>
                <w:spacing w:val="-11"/>
                <w:sz w:val="20"/>
              </w:rPr>
              <w:t> </w:t>
            </w:r>
            <w:r>
              <w:rPr>
                <w:sz w:val="20"/>
              </w:rPr>
              <w:t>CHPH</w:t>
            </w:r>
          </w:p>
          <w:p>
            <w:pPr>
              <w:pStyle w:val="TableParagraph"/>
              <w:numPr>
                <w:ilvl w:val="0"/>
                <w:numId w:val="161"/>
              </w:numPr>
              <w:tabs>
                <w:tab w:pos="812" w:val="left" w:leader="none"/>
              </w:tabs>
              <w:spacing w:line="240" w:lineRule="auto" w:before="0" w:after="0"/>
              <w:ind w:left="281" w:right="103" w:hanging="142"/>
              <w:jc w:val="both"/>
              <w:rPr>
                <w:sz w:val="20"/>
              </w:rPr>
            </w:pPr>
            <w:r>
              <w:rPr>
                <w:sz w:val="20"/>
              </w:rPr>
              <w:t>La agricultura y la ganadería son la ventaja comparativa histórica de la CHPH</w:t>
            </w:r>
          </w:p>
          <w:p>
            <w:pPr>
              <w:pStyle w:val="TableParagraph"/>
              <w:numPr>
                <w:ilvl w:val="0"/>
                <w:numId w:val="161"/>
              </w:numPr>
              <w:tabs>
                <w:tab w:pos="812" w:val="left" w:leader="none"/>
              </w:tabs>
              <w:spacing w:line="240" w:lineRule="auto" w:before="0" w:after="0"/>
              <w:ind w:left="281" w:right="99" w:hanging="142"/>
              <w:jc w:val="both"/>
              <w:rPr>
                <w:sz w:val="20"/>
              </w:rPr>
            </w:pPr>
            <w:r>
              <w:rPr>
                <w:sz w:val="20"/>
              </w:rPr>
              <w:t>Existen grupos económicos consolidados a través de la historia en la</w:t>
            </w:r>
            <w:r>
              <w:rPr>
                <w:spacing w:val="-5"/>
                <w:sz w:val="20"/>
              </w:rPr>
              <w:t> </w:t>
            </w:r>
            <w:r>
              <w:rPr>
                <w:sz w:val="20"/>
              </w:rPr>
              <w:t>CHPH</w:t>
            </w:r>
          </w:p>
        </w:tc>
        <w:tc>
          <w:tcPr>
            <w:tcW w:w="1469" w:type="dxa"/>
            <w:vMerge/>
          </w:tcPr>
          <w:p>
            <w:pPr/>
          </w:p>
        </w:tc>
        <w:tc>
          <w:tcPr>
            <w:tcW w:w="2348" w:type="dxa"/>
            <w:vMerge/>
          </w:tcPr>
          <w:p>
            <w:pPr/>
          </w:p>
        </w:tc>
        <w:tc>
          <w:tcPr>
            <w:tcW w:w="1595" w:type="dxa"/>
            <w:vMerge/>
            <w:tcBorders>
              <w:right w:val="double" w:sz="11" w:space="0" w:color="000000"/>
            </w:tcBorders>
          </w:tcPr>
          <w:p>
            <w:pPr/>
          </w:p>
        </w:tc>
      </w:tr>
      <w:tr>
        <w:trPr>
          <w:trHeight w:val="3692" w:hRule="exact"/>
        </w:trPr>
        <w:tc>
          <w:tcPr>
            <w:tcW w:w="954" w:type="dxa"/>
            <w:vMerge/>
            <w:tcBorders>
              <w:left w:val="double" w:sz="11" w:space="0" w:color="000000"/>
            </w:tcBorders>
          </w:tcPr>
          <w:p>
            <w:pPr/>
          </w:p>
        </w:tc>
        <w:tc>
          <w:tcPr>
            <w:tcW w:w="1526" w:type="dxa"/>
            <w:vMerge/>
          </w:tcPr>
          <w:p>
            <w:pPr/>
          </w:p>
        </w:tc>
        <w:tc>
          <w:tcPr>
            <w:tcW w:w="1418" w:type="dxa"/>
          </w:tcPr>
          <w:p>
            <w:pPr>
              <w:pStyle w:val="TableParagraph"/>
              <w:spacing w:line="227" w:lineRule="exact"/>
              <w:ind w:right="101"/>
              <w:rPr>
                <w:sz w:val="20"/>
              </w:rPr>
            </w:pPr>
            <w:r>
              <w:rPr>
                <w:sz w:val="20"/>
              </w:rPr>
              <w:t>Sociopolítico</w:t>
            </w:r>
          </w:p>
        </w:tc>
        <w:tc>
          <w:tcPr>
            <w:tcW w:w="3839" w:type="dxa"/>
            <w:gridSpan w:val="5"/>
          </w:tcPr>
          <w:p>
            <w:pPr>
              <w:pStyle w:val="TableParagraph"/>
              <w:numPr>
                <w:ilvl w:val="0"/>
                <w:numId w:val="162"/>
              </w:numPr>
              <w:tabs>
                <w:tab w:pos="812" w:val="left" w:leader="none"/>
              </w:tabs>
              <w:spacing w:line="240" w:lineRule="auto" w:before="0" w:after="0"/>
              <w:ind w:left="281" w:right="103" w:hanging="142"/>
              <w:jc w:val="both"/>
              <w:rPr>
                <w:sz w:val="20"/>
              </w:rPr>
            </w:pPr>
            <w:r>
              <w:rPr>
                <w:sz w:val="20"/>
              </w:rPr>
              <w:t>Las instituciones políticas  que se han creado a través del tiempo como El Municipio y El Ejido  favorecen la articulación social en la CHPH</w:t>
            </w:r>
          </w:p>
          <w:p>
            <w:pPr>
              <w:pStyle w:val="TableParagraph"/>
              <w:numPr>
                <w:ilvl w:val="0"/>
                <w:numId w:val="162"/>
              </w:numPr>
              <w:tabs>
                <w:tab w:pos="812" w:val="left" w:leader="none"/>
              </w:tabs>
              <w:spacing w:line="240" w:lineRule="auto" w:before="0" w:after="0"/>
              <w:ind w:left="281" w:right="101" w:hanging="142"/>
              <w:jc w:val="both"/>
              <w:rPr>
                <w:sz w:val="20"/>
              </w:rPr>
            </w:pPr>
            <w:r>
              <w:rPr>
                <w:sz w:val="20"/>
              </w:rPr>
              <w:t>Las autoridades auxiliares son producto de las estructuras históricas consolidadas</w:t>
            </w:r>
          </w:p>
          <w:p>
            <w:pPr>
              <w:pStyle w:val="TableParagraph"/>
              <w:numPr>
                <w:ilvl w:val="0"/>
                <w:numId w:val="162"/>
              </w:numPr>
              <w:tabs>
                <w:tab w:pos="812" w:val="left" w:leader="none"/>
              </w:tabs>
              <w:spacing w:line="240" w:lineRule="auto" w:before="0" w:after="0"/>
              <w:ind w:left="281" w:right="103" w:hanging="142"/>
              <w:jc w:val="both"/>
              <w:rPr>
                <w:sz w:val="20"/>
              </w:rPr>
            </w:pPr>
            <w:r>
              <w:rPr>
                <w:sz w:val="20"/>
              </w:rPr>
              <w:t>La CHPH es producto de la articulación de eventos históricos en la región</w:t>
            </w:r>
          </w:p>
          <w:p>
            <w:pPr>
              <w:pStyle w:val="TableParagraph"/>
              <w:numPr>
                <w:ilvl w:val="0"/>
                <w:numId w:val="162"/>
              </w:numPr>
              <w:tabs>
                <w:tab w:pos="463" w:val="left" w:leader="none"/>
                <w:tab w:pos="464" w:val="left" w:leader="none"/>
              </w:tabs>
              <w:spacing w:line="229" w:lineRule="exact"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162"/>
              </w:numPr>
              <w:tabs>
                <w:tab w:pos="463" w:val="left" w:leader="none"/>
                <w:tab w:pos="464" w:val="left" w:leader="none"/>
              </w:tabs>
              <w:spacing w:line="229" w:lineRule="exact"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162"/>
              </w:numPr>
              <w:tabs>
                <w:tab w:pos="463" w:val="left" w:leader="none"/>
                <w:tab w:pos="464" w:val="left" w:leader="none"/>
              </w:tabs>
              <w:spacing w:line="240" w:lineRule="auto"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162"/>
              </w:numPr>
              <w:tabs>
                <w:tab w:pos="463" w:val="left" w:leader="none"/>
                <w:tab w:pos="464" w:val="left" w:leader="none"/>
              </w:tabs>
              <w:spacing w:line="240" w:lineRule="auto" w:before="0" w:after="0"/>
              <w:ind w:left="463" w:right="105" w:hanging="360"/>
              <w:jc w:val="left"/>
              <w:rPr>
                <w:sz w:val="20"/>
              </w:rPr>
            </w:pPr>
            <w:r>
              <w:rPr>
                <w:sz w:val="20"/>
              </w:rPr>
              <w:t>Existe planeación sociopolítica con articulación entre</w:t>
            </w:r>
            <w:r>
              <w:rPr>
                <w:spacing w:val="-11"/>
                <w:sz w:val="20"/>
              </w:rPr>
              <w:t> </w:t>
            </w:r>
            <w:r>
              <w:rPr>
                <w:sz w:val="20"/>
              </w:rPr>
              <w:t>actores</w:t>
            </w:r>
          </w:p>
        </w:tc>
        <w:tc>
          <w:tcPr>
            <w:tcW w:w="1469" w:type="dxa"/>
            <w:vMerge/>
          </w:tcPr>
          <w:p>
            <w:pPr/>
          </w:p>
        </w:tc>
        <w:tc>
          <w:tcPr>
            <w:tcW w:w="2348" w:type="dxa"/>
            <w:vMerge/>
          </w:tcPr>
          <w:p>
            <w:pPr/>
          </w:p>
        </w:tc>
        <w:tc>
          <w:tcPr>
            <w:tcW w:w="1595" w:type="dxa"/>
            <w:vMerge/>
            <w:tcBorders>
              <w:right w:val="double" w:sz="11" w:space="0" w:color="000000"/>
            </w:tcBorders>
          </w:tcPr>
          <w:p>
            <w:pPr/>
          </w:p>
        </w:tc>
      </w:tr>
      <w:tr>
        <w:trPr>
          <w:trHeight w:val="2549" w:hRule="exact"/>
        </w:trPr>
        <w:tc>
          <w:tcPr>
            <w:tcW w:w="954" w:type="dxa"/>
            <w:tcBorders>
              <w:left w:val="double" w:sz="11" w:space="0" w:color="000000"/>
              <w:bottom w:val="single" w:sz="8" w:space="0" w:color="000000"/>
            </w:tcBorders>
          </w:tcPr>
          <w:p>
            <w:pPr/>
          </w:p>
        </w:tc>
        <w:tc>
          <w:tcPr>
            <w:tcW w:w="1526" w:type="dxa"/>
            <w:tcBorders>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418" w:type="dxa"/>
            <w:tcBorders>
              <w:bottom w:val="single" w:sz="8" w:space="0" w:color="000000"/>
            </w:tcBorders>
          </w:tcPr>
          <w:p>
            <w:pPr>
              <w:pStyle w:val="TableParagraph"/>
              <w:spacing w:line="227" w:lineRule="exact"/>
              <w:ind w:right="101"/>
              <w:rPr>
                <w:sz w:val="20"/>
              </w:rPr>
            </w:pPr>
            <w:r>
              <w:rPr>
                <w:sz w:val="20"/>
              </w:rPr>
              <w:t>Ambiental</w:t>
            </w:r>
          </w:p>
        </w:tc>
        <w:tc>
          <w:tcPr>
            <w:tcW w:w="3839" w:type="dxa"/>
            <w:gridSpan w:val="5"/>
            <w:tcBorders>
              <w:bottom w:val="single" w:sz="8" w:space="0" w:color="000000"/>
            </w:tcBorders>
          </w:tcPr>
          <w:p>
            <w:pPr>
              <w:pStyle w:val="TableParagraph"/>
              <w:numPr>
                <w:ilvl w:val="0"/>
                <w:numId w:val="163"/>
              </w:numPr>
              <w:tabs>
                <w:tab w:pos="812" w:val="left" w:leader="none"/>
              </w:tabs>
              <w:spacing w:line="240" w:lineRule="auto" w:before="0" w:after="0"/>
              <w:ind w:left="281" w:right="102" w:hanging="142"/>
              <w:jc w:val="both"/>
              <w:rPr>
                <w:sz w:val="20"/>
              </w:rPr>
            </w:pPr>
            <w:r>
              <w:rPr>
                <w:sz w:val="20"/>
              </w:rPr>
              <w:t>Existe relación entre agua- ambiente-sociedad</w:t>
            </w:r>
          </w:p>
          <w:p>
            <w:pPr>
              <w:pStyle w:val="TableParagraph"/>
              <w:numPr>
                <w:ilvl w:val="0"/>
                <w:numId w:val="163"/>
              </w:numPr>
              <w:tabs>
                <w:tab w:pos="812" w:val="left" w:leader="none"/>
              </w:tabs>
              <w:spacing w:line="240" w:lineRule="auto" w:before="0" w:after="0"/>
              <w:ind w:left="281" w:right="103" w:hanging="142"/>
              <w:jc w:val="both"/>
              <w:rPr>
                <w:sz w:val="20"/>
              </w:rPr>
            </w:pPr>
            <w:r>
              <w:rPr>
                <w:sz w:val="20"/>
              </w:rPr>
              <w:t>Existen instituciones para proteger el medio</w:t>
            </w:r>
            <w:r>
              <w:rPr>
                <w:spacing w:val="-6"/>
                <w:sz w:val="20"/>
              </w:rPr>
              <w:t> </w:t>
            </w:r>
            <w:r>
              <w:rPr>
                <w:sz w:val="20"/>
              </w:rPr>
              <w:t>ambiente</w:t>
            </w:r>
          </w:p>
          <w:p>
            <w:pPr>
              <w:pStyle w:val="TableParagraph"/>
              <w:numPr>
                <w:ilvl w:val="0"/>
                <w:numId w:val="163"/>
              </w:numPr>
              <w:tabs>
                <w:tab w:pos="812" w:val="left" w:leader="none"/>
              </w:tabs>
              <w:spacing w:line="240" w:lineRule="auto" w:before="1" w:after="0"/>
              <w:ind w:left="281" w:right="103" w:hanging="142"/>
              <w:jc w:val="both"/>
              <w:rPr>
                <w:sz w:val="20"/>
              </w:rPr>
            </w:pPr>
            <w:r>
              <w:rPr>
                <w:sz w:val="20"/>
              </w:rPr>
              <w:t>Existe conciencia o interés en los actores históricos para cuidar el medio</w:t>
            </w:r>
            <w:r>
              <w:rPr>
                <w:spacing w:val="-5"/>
                <w:sz w:val="20"/>
              </w:rPr>
              <w:t> </w:t>
            </w:r>
            <w:r>
              <w:rPr>
                <w:sz w:val="20"/>
              </w:rPr>
              <w:t>ambiente</w:t>
            </w:r>
          </w:p>
          <w:p>
            <w:pPr>
              <w:pStyle w:val="TableParagraph"/>
              <w:numPr>
                <w:ilvl w:val="0"/>
                <w:numId w:val="163"/>
              </w:numPr>
              <w:tabs>
                <w:tab w:pos="812" w:val="left" w:leader="none"/>
              </w:tabs>
              <w:spacing w:line="240" w:lineRule="auto" w:before="0" w:after="0"/>
              <w:ind w:left="281" w:right="102" w:hanging="142"/>
              <w:jc w:val="both"/>
              <w:rPr>
                <w:sz w:val="20"/>
              </w:rPr>
            </w:pPr>
            <w:r>
              <w:rPr>
                <w:sz w:val="20"/>
              </w:rPr>
              <w:t>Las instituciones sociopolíticas como El Municipio y El Ejido están interesadas en proteger el medio ambiente</w:t>
            </w:r>
          </w:p>
        </w:tc>
        <w:tc>
          <w:tcPr>
            <w:tcW w:w="1469" w:type="dxa"/>
            <w:tcBorders>
              <w:bottom w:val="single" w:sz="8" w:space="0" w:color="000000"/>
            </w:tcBorders>
          </w:tcPr>
          <w:p>
            <w:pPr/>
          </w:p>
        </w:tc>
        <w:tc>
          <w:tcPr>
            <w:tcW w:w="2348" w:type="dxa"/>
            <w:tcBorders>
              <w:bottom w:val="single" w:sz="8" w:space="0" w:color="000000"/>
            </w:tcBorders>
          </w:tcPr>
          <w:p>
            <w:pPr>
              <w:pStyle w:val="TableParagraph"/>
              <w:tabs>
                <w:tab w:pos="2009" w:val="left" w:leader="none"/>
              </w:tabs>
              <w:ind w:right="104"/>
              <w:jc w:val="both"/>
              <w:rPr>
                <w:sz w:val="20"/>
              </w:rPr>
            </w:pPr>
            <w:r>
              <w:rPr>
                <w:sz w:val="20"/>
              </w:rPr>
              <w:t>Debe reunir </w:t>
            </w:r>
            <w:r>
              <w:rPr>
                <w:b/>
                <w:sz w:val="20"/>
              </w:rPr>
              <w:t>al menos el 50% una de tres </w:t>
            </w:r>
            <w:r>
              <w:rPr>
                <w:sz w:val="20"/>
              </w:rPr>
              <w:t>características</w:t>
              <w:tab/>
              <w:t>de impacto</w:t>
            </w:r>
            <w:r>
              <w:rPr>
                <w:spacing w:val="-3"/>
                <w:sz w:val="20"/>
              </w:rPr>
              <w:t> </w:t>
            </w:r>
            <w:r>
              <w:rPr>
                <w:sz w:val="20"/>
              </w:rPr>
              <w:t>positivo</w:t>
            </w:r>
          </w:p>
        </w:tc>
        <w:tc>
          <w:tcPr>
            <w:tcW w:w="1595" w:type="dxa"/>
            <w:tcBorders>
              <w:bottom w:val="single" w:sz="8" w:space="0" w:color="000000"/>
              <w:right w:val="double" w:sz="11" w:space="0" w:color="000000"/>
            </w:tcBorders>
            <w:shd w:val="clear" w:color="auto" w:fill="FFFF00"/>
          </w:tcPr>
          <w:p>
            <w:pPr>
              <w:pStyle w:val="TableParagraph"/>
              <w:spacing w:before="6"/>
              <w:ind w:left="0"/>
              <w:rPr>
                <w:rFonts w:ascii="Times New Roman"/>
                <w:sz w:val="19"/>
              </w:rPr>
            </w:pPr>
          </w:p>
          <w:p>
            <w:pPr>
              <w:pStyle w:val="TableParagraph"/>
              <w:ind w:left="400"/>
              <w:rPr>
                <w:b/>
                <w:sz w:val="20"/>
              </w:rPr>
            </w:pPr>
            <w:r>
              <w:rPr>
                <w:b/>
                <w:sz w:val="20"/>
              </w:rPr>
              <w:t>Regular</w:t>
            </w:r>
          </w:p>
        </w:tc>
      </w:tr>
    </w:tbl>
    <w:p>
      <w:pPr>
        <w:spacing w:after="0"/>
        <w:rPr>
          <w:sz w:val="20"/>
        </w:rPr>
        <w:sectPr>
          <w:pgSz w:w="15840" w:h="12240" w:orient="landscape"/>
          <w:pgMar w:header="0" w:footer="943" w:top="1140" w:bottom="1140" w:left="1200" w:right="114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8"/>
        <w:gridCol w:w="3839"/>
        <w:gridCol w:w="1469"/>
        <w:gridCol w:w="2349"/>
        <w:gridCol w:w="1594"/>
      </w:tblGrid>
      <w:tr>
        <w:trPr>
          <w:trHeight w:val="2319" w:hRule="exact"/>
        </w:trPr>
        <w:tc>
          <w:tcPr>
            <w:tcW w:w="954" w:type="dxa"/>
            <w:vMerge w:val="restart"/>
            <w:tcBorders>
              <w:left w:val="double" w:sz="11" w:space="0" w:color="000000"/>
            </w:tcBorders>
          </w:tcPr>
          <w:p>
            <w:pPr/>
          </w:p>
        </w:tc>
        <w:tc>
          <w:tcPr>
            <w:tcW w:w="1526" w:type="dxa"/>
            <w:vMerge w:val="restart"/>
          </w:tcPr>
          <w:p>
            <w:pPr/>
          </w:p>
        </w:tc>
        <w:tc>
          <w:tcPr>
            <w:tcW w:w="1418" w:type="dxa"/>
          </w:tcPr>
          <w:p>
            <w:pPr>
              <w:pStyle w:val="TableParagraph"/>
              <w:spacing w:before="7"/>
              <w:ind w:right="101"/>
              <w:rPr>
                <w:sz w:val="20"/>
              </w:rPr>
            </w:pPr>
            <w:r>
              <w:rPr>
                <w:sz w:val="20"/>
              </w:rPr>
              <w:t>Económico</w:t>
            </w:r>
          </w:p>
        </w:tc>
        <w:tc>
          <w:tcPr>
            <w:tcW w:w="3839" w:type="dxa"/>
          </w:tcPr>
          <w:p>
            <w:pPr>
              <w:pStyle w:val="TableParagraph"/>
              <w:numPr>
                <w:ilvl w:val="0"/>
                <w:numId w:val="164"/>
              </w:numPr>
              <w:tabs>
                <w:tab w:pos="812" w:val="left" w:leader="none"/>
              </w:tabs>
              <w:spacing w:line="240" w:lineRule="auto" w:before="7" w:after="0"/>
              <w:ind w:left="281" w:right="103" w:hanging="142"/>
              <w:jc w:val="both"/>
              <w:rPr>
                <w:sz w:val="20"/>
              </w:rPr>
            </w:pPr>
            <w:r>
              <w:rPr>
                <w:sz w:val="20"/>
              </w:rPr>
              <w:t>Existe una dependencia económica de los recursos naturales por parte de los actores de la</w:t>
            </w:r>
            <w:r>
              <w:rPr>
                <w:spacing w:val="-11"/>
                <w:sz w:val="20"/>
              </w:rPr>
              <w:t> </w:t>
            </w:r>
            <w:r>
              <w:rPr>
                <w:sz w:val="20"/>
              </w:rPr>
              <w:t>CHPH</w:t>
            </w:r>
          </w:p>
          <w:p>
            <w:pPr>
              <w:pStyle w:val="TableParagraph"/>
              <w:numPr>
                <w:ilvl w:val="0"/>
                <w:numId w:val="164"/>
              </w:numPr>
              <w:tabs>
                <w:tab w:pos="812" w:val="left" w:leader="none"/>
              </w:tabs>
              <w:spacing w:line="240" w:lineRule="auto" w:before="0" w:after="0"/>
              <w:ind w:left="281" w:right="101" w:hanging="142"/>
              <w:jc w:val="both"/>
              <w:rPr>
                <w:sz w:val="20"/>
              </w:rPr>
            </w:pPr>
            <w:r>
              <w:rPr>
                <w:sz w:val="20"/>
              </w:rPr>
              <w:t>La agricultura y la ganadería son la ventaja comparativa histórica de la CHPH</w:t>
            </w:r>
          </w:p>
          <w:p>
            <w:pPr>
              <w:pStyle w:val="TableParagraph"/>
              <w:numPr>
                <w:ilvl w:val="0"/>
                <w:numId w:val="164"/>
              </w:numPr>
              <w:tabs>
                <w:tab w:pos="812" w:val="left" w:leader="none"/>
              </w:tabs>
              <w:spacing w:line="240" w:lineRule="auto" w:before="0" w:after="0"/>
              <w:ind w:left="281" w:right="99" w:hanging="142"/>
              <w:jc w:val="both"/>
              <w:rPr>
                <w:sz w:val="20"/>
              </w:rPr>
            </w:pPr>
            <w:r>
              <w:rPr>
                <w:sz w:val="20"/>
              </w:rPr>
              <w:t>Existen grupos económicos consolidados a través de la historia en la</w:t>
            </w:r>
            <w:r>
              <w:rPr>
                <w:spacing w:val="-5"/>
                <w:sz w:val="20"/>
              </w:rPr>
              <w:t> </w:t>
            </w:r>
            <w:r>
              <w:rPr>
                <w:sz w:val="20"/>
              </w:rPr>
              <w:t>CHPH</w:t>
            </w:r>
          </w:p>
        </w:tc>
        <w:tc>
          <w:tcPr>
            <w:tcW w:w="1469" w:type="dxa"/>
            <w:vMerge w:val="restart"/>
          </w:tcPr>
          <w:p>
            <w:pPr/>
          </w:p>
        </w:tc>
        <w:tc>
          <w:tcPr>
            <w:tcW w:w="2349" w:type="dxa"/>
            <w:vMerge w:val="restart"/>
          </w:tcPr>
          <w:p>
            <w:pPr/>
          </w:p>
        </w:tc>
        <w:tc>
          <w:tcPr>
            <w:tcW w:w="1594" w:type="dxa"/>
            <w:vMerge w:val="restart"/>
            <w:tcBorders>
              <w:right w:val="double" w:sz="11" w:space="0" w:color="000000"/>
            </w:tcBorders>
            <w:shd w:val="clear" w:color="auto" w:fill="FFFF00"/>
          </w:tcPr>
          <w:p>
            <w:pPr/>
          </w:p>
        </w:tc>
      </w:tr>
      <w:tr>
        <w:trPr>
          <w:trHeight w:val="3692" w:hRule="exact"/>
        </w:trPr>
        <w:tc>
          <w:tcPr>
            <w:tcW w:w="954" w:type="dxa"/>
            <w:vMerge/>
            <w:tcBorders>
              <w:left w:val="double" w:sz="11" w:space="0" w:color="000000"/>
            </w:tcBorders>
          </w:tcPr>
          <w:p>
            <w:pPr/>
          </w:p>
        </w:tc>
        <w:tc>
          <w:tcPr>
            <w:tcW w:w="1526" w:type="dxa"/>
            <w:vMerge/>
          </w:tcPr>
          <w:p>
            <w:pPr/>
          </w:p>
        </w:tc>
        <w:tc>
          <w:tcPr>
            <w:tcW w:w="1418" w:type="dxa"/>
          </w:tcPr>
          <w:p>
            <w:pPr>
              <w:pStyle w:val="TableParagraph"/>
              <w:spacing w:line="230" w:lineRule="exact"/>
              <w:ind w:right="101"/>
              <w:rPr>
                <w:sz w:val="20"/>
              </w:rPr>
            </w:pPr>
            <w:r>
              <w:rPr>
                <w:sz w:val="20"/>
              </w:rPr>
              <w:t>Sociopolítico</w:t>
            </w:r>
          </w:p>
        </w:tc>
        <w:tc>
          <w:tcPr>
            <w:tcW w:w="3839" w:type="dxa"/>
          </w:tcPr>
          <w:p>
            <w:pPr>
              <w:pStyle w:val="TableParagraph"/>
              <w:numPr>
                <w:ilvl w:val="0"/>
                <w:numId w:val="165"/>
              </w:numPr>
              <w:tabs>
                <w:tab w:pos="812" w:val="left" w:leader="none"/>
              </w:tabs>
              <w:spacing w:line="240" w:lineRule="auto" w:before="0" w:after="0"/>
              <w:ind w:left="281" w:right="103" w:hanging="142"/>
              <w:jc w:val="both"/>
              <w:rPr>
                <w:sz w:val="20"/>
              </w:rPr>
            </w:pPr>
            <w:r>
              <w:rPr>
                <w:sz w:val="20"/>
              </w:rPr>
              <w:t>Las instituciones políticas  que se han creado a través del tiempo como El Municipio y El Ejido  favorecen la articulación social en la CHPH</w:t>
            </w:r>
          </w:p>
          <w:p>
            <w:pPr>
              <w:pStyle w:val="TableParagraph"/>
              <w:numPr>
                <w:ilvl w:val="0"/>
                <w:numId w:val="165"/>
              </w:numPr>
              <w:tabs>
                <w:tab w:pos="812" w:val="left" w:leader="none"/>
              </w:tabs>
              <w:spacing w:line="240" w:lineRule="auto" w:before="0" w:after="0"/>
              <w:ind w:left="281" w:right="101" w:hanging="142"/>
              <w:jc w:val="both"/>
              <w:rPr>
                <w:sz w:val="20"/>
              </w:rPr>
            </w:pPr>
            <w:r>
              <w:rPr>
                <w:sz w:val="20"/>
              </w:rPr>
              <w:t>Las autoridades auxiliares son producto de las estructuras históricas consolidadas</w:t>
            </w:r>
          </w:p>
          <w:p>
            <w:pPr>
              <w:pStyle w:val="TableParagraph"/>
              <w:numPr>
                <w:ilvl w:val="0"/>
                <w:numId w:val="165"/>
              </w:numPr>
              <w:tabs>
                <w:tab w:pos="812" w:val="left" w:leader="none"/>
              </w:tabs>
              <w:spacing w:line="240" w:lineRule="auto" w:before="0" w:after="0"/>
              <w:ind w:left="281" w:right="103" w:hanging="142"/>
              <w:jc w:val="both"/>
              <w:rPr>
                <w:sz w:val="20"/>
              </w:rPr>
            </w:pPr>
            <w:r>
              <w:rPr>
                <w:sz w:val="20"/>
              </w:rPr>
              <w:t>La CHPH es producto de la articulación de eventos históricos en la región</w:t>
            </w:r>
          </w:p>
          <w:p>
            <w:pPr>
              <w:pStyle w:val="TableParagraph"/>
              <w:numPr>
                <w:ilvl w:val="0"/>
                <w:numId w:val="165"/>
              </w:numPr>
              <w:tabs>
                <w:tab w:pos="463" w:val="left" w:leader="none"/>
                <w:tab w:pos="464" w:val="left" w:leader="none"/>
              </w:tabs>
              <w:spacing w:line="229" w:lineRule="exact"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165"/>
              </w:numPr>
              <w:tabs>
                <w:tab w:pos="463" w:val="left" w:leader="none"/>
                <w:tab w:pos="464" w:val="left" w:leader="none"/>
              </w:tabs>
              <w:spacing w:line="229" w:lineRule="exact"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165"/>
              </w:numPr>
              <w:tabs>
                <w:tab w:pos="463" w:val="left" w:leader="none"/>
                <w:tab w:pos="464" w:val="left" w:leader="none"/>
              </w:tabs>
              <w:spacing w:line="240" w:lineRule="auto"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165"/>
              </w:numPr>
              <w:tabs>
                <w:tab w:pos="463" w:val="left" w:leader="none"/>
                <w:tab w:pos="464" w:val="left" w:leader="none"/>
              </w:tabs>
              <w:spacing w:line="240" w:lineRule="auto" w:before="0" w:after="0"/>
              <w:ind w:left="463" w:right="105" w:hanging="360"/>
              <w:jc w:val="left"/>
              <w:rPr>
                <w:sz w:val="20"/>
              </w:rPr>
            </w:pPr>
            <w:r>
              <w:rPr>
                <w:sz w:val="20"/>
              </w:rPr>
              <w:t>Existe planeación sociopolítica con articulación entre</w:t>
            </w:r>
            <w:r>
              <w:rPr>
                <w:spacing w:val="-11"/>
                <w:sz w:val="20"/>
              </w:rPr>
              <w:t> </w:t>
            </w:r>
            <w:r>
              <w:rPr>
                <w:sz w:val="20"/>
              </w:rPr>
              <w:t>actores</w:t>
            </w:r>
          </w:p>
        </w:tc>
        <w:tc>
          <w:tcPr>
            <w:tcW w:w="1469" w:type="dxa"/>
            <w:vMerge/>
          </w:tcPr>
          <w:p>
            <w:pPr/>
          </w:p>
        </w:tc>
        <w:tc>
          <w:tcPr>
            <w:tcW w:w="2349" w:type="dxa"/>
            <w:vMerge/>
          </w:tcPr>
          <w:p>
            <w:pPr/>
          </w:p>
        </w:tc>
        <w:tc>
          <w:tcPr>
            <w:tcW w:w="1594" w:type="dxa"/>
            <w:vMerge/>
            <w:tcBorders>
              <w:right w:val="double" w:sz="11" w:space="0" w:color="000000"/>
            </w:tcBorders>
            <w:shd w:val="clear" w:color="auto" w:fill="FFFF00"/>
          </w:tcPr>
          <w:p>
            <w:pPr/>
          </w:p>
        </w:tc>
      </w:tr>
      <w:tr>
        <w:trPr>
          <w:trHeight w:val="2739" w:hRule="exact"/>
        </w:trPr>
        <w:tc>
          <w:tcPr>
            <w:tcW w:w="954" w:type="dxa"/>
            <w:tcBorders>
              <w:left w:val="double" w:sz="11" w:space="0" w:color="000000"/>
            </w:tcBorders>
          </w:tcPr>
          <w:p>
            <w:pPr/>
          </w:p>
        </w:tc>
        <w:tc>
          <w:tcPr>
            <w:tcW w:w="1526"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7"/>
              </w:rPr>
            </w:pPr>
          </w:p>
          <w:p>
            <w:pPr>
              <w:pStyle w:val="TableParagraph"/>
              <w:ind w:left="0"/>
              <w:jc w:val="center"/>
              <w:rPr>
                <w:b/>
                <w:sz w:val="20"/>
              </w:rPr>
            </w:pPr>
            <w:r>
              <w:rPr>
                <w:b/>
                <w:w w:val="99"/>
                <w:sz w:val="20"/>
              </w:rPr>
              <w:t>1</w:t>
            </w:r>
          </w:p>
        </w:tc>
        <w:tc>
          <w:tcPr>
            <w:tcW w:w="1418" w:type="dxa"/>
          </w:tcPr>
          <w:p>
            <w:pPr>
              <w:pStyle w:val="TableParagraph"/>
              <w:spacing w:line="227" w:lineRule="exact"/>
              <w:ind w:right="101"/>
              <w:rPr>
                <w:sz w:val="20"/>
              </w:rPr>
            </w:pPr>
            <w:r>
              <w:rPr>
                <w:sz w:val="20"/>
              </w:rPr>
              <w:t>Ambiental</w:t>
            </w:r>
          </w:p>
        </w:tc>
        <w:tc>
          <w:tcPr>
            <w:tcW w:w="3839" w:type="dxa"/>
          </w:tcPr>
          <w:p>
            <w:pPr>
              <w:pStyle w:val="TableParagraph"/>
              <w:numPr>
                <w:ilvl w:val="0"/>
                <w:numId w:val="166"/>
              </w:numPr>
              <w:tabs>
                <w:tab w:pos="866" w:val="left" w:leader="none"/>
                <w:tab w:pos="867" w:val="left" w:leader="none"/>
              </w:tabs>
              <w:spacing w:line="240" w:lineRule="auto" w:before="0" w:after="0"/>
              <w:ind w:left="281" w:right="102" w:hanging="142"/>
              <w:jc w:val="both"/>
              <w:rPr>
                <w:sz w:val="20"/>
              </w:rPr>
            </w:pPr>
            <w:r>
              <w:rPr>
                <w:sz w:val="20"/>
              </w:rPr>
              <w:t>Existe relación entre agua- ambiente-sociedad</w:t>
            </w:r>
          </w:p>
          <w:p>
            <w:pPr>
              <w:pStyle w:val="TableParagraph"/>
              <w:numPr>
                <w:ilvl w:val="0"/>
                <w:numId w:val="166"/>
              </w:numPr>
              <w:tabs>
                <w:tab w:pos="812" w:val="left" w:leader="none"/>
              </w:tabs>
              <w:spacing w:line="240" w:lineRule="auto" w:before="0" w:after="0"/>
              <w:ind w:left="281" w:right="103" w:hanging="142"/>
              <w:jc w:val="both"/>
              <w:rPr>
                <w:sz w:val="20"/>
              </w:rPr>
            </w:pPr>
            <w:r>
              <w:rPr>
                <w:sz w:val="20"/>
              </w:rPr>
              <w:t>Existen instituciones para proteger el medio</w:t>
            </w:r>
            <w:r>
              <w:rPr>
                <w:spacing w:val="-6"/>
                <w:sz w:val="20"/>
              </w:rPr>
              <w:t> </w:t>
            </w:r>
            <w:r>
              <w:rPr>
                <w:sz w:val="20"/>
              </w:rPr>
              <w:t>ambiente</w:t>
            </w:r>
          </w:p>
          <w:p>
            <w:pPr>
              <w:pStyle w:val="TableParagraph"/>
              <w:numPr>
                <w:ilvl w:val="0"/>
                <w:numId w:val="166"/>
              </w:numPr>
              <w:tabs>
                <w:tab w:pos="812" w:val="left" w:leader="none"/>
              </w:tabs>
              <w:spacing w:line="240" w:lineRule="auto" w:before="0" w:after="0"/>
              <w:ind w:left="281" w:right="103" w:hanging="142"/>
              <w:jc w:val="both"/>
              <w:rPr>
                <w:sz w:val="20"/>
              </w:rPr>
            </w:pPr>
            <w:r>
              <w:rPr>
                <w:sz w:val="20"/>
              </w:rPr>
              <w:t>Existe conciencia o interés en los actores históricos para cuidar el medio</w:t>
            </w:r>
            <w:r>
              <w:rPr>
                <w:spacing w:val="-5"/>
                <w:sz w:val="20"/>
              </w:rPr>
              <w:t> </w:t>
            </w:r>
            <w:r>
              <w:rPr>
                <w:sz w:val="20"/>
              </w:rPr>
              <w:t>ambiente</w:t>
            </w:r>
          </w:p>
          <w:p>
            <w:pPr>
              <w:pStyle w:val="TableParagraph"/>
              <w:numPr>
                <w:ilvl w:val="0"/>
                <w:numId w:val="166"/>
              </w:numPr>
              <w:tabs>
                <w:tab w:pos="812" w:val="left" w:leader="none"/>
              </w:tabs>
              <w:spacing w:line="240" w:lineRule="auto" w:before="0" w:after="0"/>
              <w:ind w:left="281" w:right="104" w:hanging="142"/>
              <w:jc w:val="both"/>
              <w:rPr>
                <w:sz w:val="20"/>
              </w:rPr>
            </w:pPr>
            <w:r>
              <w:rPr>
                <w:sz w:val="20"/>
              </w:rPr>
              <w:t>Las instituciones sociopolíticas como El Municipio y El Ejido están interesadas en proteger el medio ambiente</w:t>
            </w:r>
          </w:p>
        </w:tc>
        <w:tc>
          <w:tcPr>
            <w:tcW w:w="1469" w:type="dxa"/>
          </w:tcPr>
          <w:p>
            <w:pPr/>
          </w:p>
        </w:tc>
        <w:tc>
          <w:tcPr>
            <w:tcW w:w="2349" w:type="dxa"/>
          </w:tcPr>
          <w:p>
            <w:pPr>
              <w:pStyle w:val="TableParagraph"/>
              <w:ind w:right="105"/>
              <w:jc w:val="both"/>
              <w:rPr>
                <w:sz w:val="20"/>
              </w:rPr>
            </w:pPr>
            <w:r>
              <w:rPr>
                <w:sz w:val="20"/>
              </w:rPr>
              <w:t>No reúne ni el 50% en </w:t>
            </w:r>
            <w:r>
              <w:rPr>
                <w:b/>
                <w:sz w:val="20"/>
              </w:rPr>
              <w:t>ninguna </w:t>
            </w:r>
            <w:r>
              <w:rPr>
                <w:sz w:val="20"/>
              </w:rPr>
              <w:t>de las de impacto positivo</w:t>
            </w:r>
          </w:p>
        </w:tc>
        <w:tc>
          <w:tcPr>
            <w:tcW w:w="1594" w:type="dxa"/>
            <w:tcBorders>
              <w:right w:val="double" w:sz="11" w:space="0" w:color="000000"/>
            </w:tcBorders>
            <w:shd w:val="clear" w:color="auto" w:fill="FF0000"/>
          </w:tcPr>
          <w:p>
            <w:pPr>
              <w:pStyle w:val="TableParagraph"/>
              <w:ind w:left="0"/>
              <w:rPr>
                <w:rFonts w:ascii="Times New Roman"/>
                <w:sz w:val="20"/>
              </w:rPr>
            </w:pPr>
          </w:p>
          <w:p>
            <w:pPr>
              <w:pStyle w:val="TableParagraph"/>
              <w:spacing w:before="7"/>
              <w:ind w:left="0"/>
              <w:rPr>
                <w:rFonts w:ascii="Times New Roman"/>
                <w:sz w:val="19"/>
              </w:rPr>
            </w:pPr>
          </w:p>
          <w:p>
            <w:pPr>
              <w:pStyle w:val="TableParagraph"/>
              <w:ind w:left="294"/>
              <w:rPr>
                <w:b/>
                <w:sz w:val="20"/>
              </w:rPr>
            </w:pPr>
            <w:r>
              <w:rPr>
                <w:b/>
                <w:sz w:val="20"/>
              </w:rPr>
              <w:t>Deficiente</w:t>
            </w:r>
          </w:p>
        </w:tc>
      </w:tr>
    </w:tbl>
    <w:p>
      <w:pPr>
        <w:spacing w:after="0"/>
        <w:rPr>
          <w:sz w:val="20"/>
        </w:rPr>
        <w:sectPr>
          <w:pgSz w:w="15840" w:h="12240" w:orient="landscape"/>
          <w:pgMar w:header="0" w:footer="943" w:top="1140" w:bottom="1140" w:left="1200" w:right="114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8"/>
        <w:gridCol w:w="3839"/>
        <w:gridCol w:w="1469"/>
        <w:gridCol w:w="2349"/>
        <w:gridCol w:w="1594"/>
      </w:tblGrid>
      <w:tr>
        <w:trPr>
          <w:trHeight w:val="2090" w:hRule="exact"/>
        </w:trPr>
        <w:tc>
          <w:tcPr>
            <w:tcW w:w="954" w:type="dxa"/>
            <w:vMerge w:val="restart"/>
            <w:tcBorders>
              <w:left w:val="double" w:sz="11" w:space="0" w:color="000000"/>
            </w:tcBorders>
          </w:tcPr>
          <w:p>
            <w:pPr/>
          </w:p>
        </w:tc>
        <w:tc>
          <w:tcPr>
            <w:tcW w:w="1526" w:type="dxa"/>
            <w:vMerge w:val="restart"/>
          </w:tcPr>
          <w:p>
            <w:pPr/>
          </w:p>
        </w:tc>
        <w:tc>
          <w:tcPr>
            <w:tcW w:w="1418" w:type="dxa"/>
          </w:tcPr>
          <w:p>
            <w:pPr>
              <w:pStyle w:val="TableParagraph"/>
              <w:spacing w:before="7"/>
              <w:ind w:right="101"/>
              <w:rPr>
                <w:sz w:val="20"/>
              </w:rPr>
            </w:pPr>
            <w:r>
              <w:rPr>
                <w:sz w:val="20"/>
              </w:rPr>
              <w:t>Económico</w:t>
            </w:r>
          </w:p>
        </w:tc>
        <w:tc>
          <w:tcPr>
            <w:tcW w:w="3839" w:type="dxa"/>
          </w:tcPr>
          <w:p>
            <w:pPr>
              <w:pStyle w:val="TableParagraph"/>
              <w:numPr>
                <w:ilvl w:val="0"/>
                <w:numId w:val="167"/>
              </w:numPr>
              <w:tabs>
                <w:tab w:pos="812" w:val="left" w:leader="none"/>
              </w:tabs>
              <w:spacing w:line="240" w:lineRule="auto" w:before="7" w:after="0"/>
              <w:ind w:left="281" w:right="103" w:hanging="142"/>
              <w:jc w:val="both"/>
              <w:rPr>
                <w:sz w:val="20"/>
              </w:rPr>
            </w:pPr>
            <w:r>
              <w:rPr>
                <w:sz w:val="20"/>
              </w:rPr>
              <w:t>Existe una dependencia económica de los recursos naturales por parte de los actores de la</w:t>
            </w:r>
            <w:r>
              <w:rPr>
                <w:spacing w:val="-11"/>
                <w:sz w:val="20"/>
              </w:rPr>
              <w:t> </w:t>
            </w:r>
            <w:r>
              <w:rPr>
                <w:sz w:val="20"/>
              </w:rPr>
              <w:t>CHPH</w:t>
            </w:r>
          </w:p>
          <w:p>
            <w:pPr>
              <w:pStyle w:val="TableParagraph"/>
              <w:numPr>
                <w:ilvl w:val="0"/>
                <w:numId w:val="167"/>
              </w:numPr>
              <w:tabs>
                <w:tab w:pos="812" w:val="left" w:leader="none"/>
              </w:tabs>
              <w:spacing w:line="240" w:lineRule="auto" w:before="0" w:after="0"/>
              <w:ind w:left="281" w:right="103" w:hanging="142"/>
              <w:jc w:val="both"/>
              <w:rPr>
                <w:sz w:val="20"/>
              </w:rPr>
            </w:pPr>
            <w:r>
              <w:rPr>
                <w:sz w:val="20"/>
              </w:rPr>
              <w:t>La agricultura y la ganadería son la ventaja comparativa histórica de la CHPH</w:t>
            </w:r>
          </w:p>
          <w:p>
            <w:pPr>
              <w:pStyle w:val="TableParagraph"/>
              <w:numPr>
                <w:ilvl w:val="0"/>
                <w:numId w:val="167"/>
              </w:numPr>
              <w:tabs>
                <w:tab w:pos="812" w:val="left" w:leader="none"/>
              </w:tabs>
              <w:spacing w:line="240" w:lineRule="auto" w:before="0" w:after="0"/>
              <w:ind w:left="281" w:right="99" w:hanging="142"/>
              <w:jc w:val="both"/>
              <w:rPr>
                <w:sz w:val="20"/>
              </w:rPr>
            </w:pPr>
            <w:r>
              <w:rPr>
                <w:sz w:val="20"/>
              </w:rPr>
              <w:t>Existen grupos económicos consolidados a través de la historia en la</w:t>
            </w:r>
            <w:r>
              <w:rPr>
                <w:spacing w:val="-5"/>
                <w:sz w:val="20"/>
              </w:rPr>
              <w:t> </w:t>
            </w:r>
            <w:r>
              <w:rPr>
                <w:sz w:val="20"/>
              </w:rPr>
              <w:t>CHPH</w:t>
            </w:r>
          </w:p>
        </w:tc>
        <w:tc>
          <w:tcPr>
            <w:tcW w:w="1469" w:type="dxa"/>
            <w:vMerge w:val="restart"/>
          </w:tcPr>
          <w:p>
            <w:pPr/>
          </w:p>
        </w:tc>
        <w:tc>
          <w:tcPr>
            <w:tcW w:w="2349" w:type="dxa"/>
            <w:vMerge w:val="restart"/>
          </w:tcPr>
          <w:p>
            <w:pPr/>
          </w:p>
        </w:tc>
        <w:tc>
          <w:tcPr>
            <w:tcW w:w="1594" w:type="dxa"/>
            <w:vMerge w:val="restart"/>
            <w:tcBorders>
              <w:right w:val="double" w:sz="11" w:space="0" w:color="000000"/>
            </w:tcBorders>
            <w:shd w:val="clear" w:color="auto" w:fill="FF0000"/>
          </w:tcPr>
          <w:p>
            <w:pPr/>
          </w:p>
        </w:tc>
      </w:tr>
      <w:tr>
        <w:trPr>
          <w:trHeight w:val="3690" w:hRule="exact"/>
        </w:trPr>
        <w:tc>
          <w:tcPr>
            <w:tcW w:w="954" w:type="dxa"/>
            <w:vMerge/>
            <w:tcBorders>
              <w:left w:val="double" w:sz="11" w:space="0" w:color="000000"/>
            </w:tcBorders>
          </w:tcPr>
          <w:p>
            <w:pPr/>
          </w:p>
        </w:tc>
        <w:tc>
          <w:tcPr>
            <w:tcW w:w="1526" w:type="dxa"/>
            <w:vMerge/>
          </w:tcPr>
          <w:p>
            <w:pPr/>
          </w:p>
        </w:tc>
        <w:tc>
          <w:tcPr>
            <w:tcW w:w="1418" w:type="dxa"/>
          </w:tcPr>
          <w:p>
            <w:pPr>
              <w:pStyle w:val="TableParagraph"/>
              <w:spacing w:line="228" w:lineRule="exact"/>
              <w:ind w:right="101"/>
              <w:rPr>
                <w:sz w:val="20"/>
              </w:rPr>
            </w:pPr>
            <w:r>
              <w:rPr>
                <w:sz w:val="20"/>
              </w:rPr>
              <w:t>Sociopolítico</w:t>
            </w:r>
          </w:p>
        </w:tc>
        <w:tc>
          <w:tcPr>
            <w:tcW w:w="3839" w:type="dxa"/>
          </w:tcPr>
          <w:p>
            <w:pPr>
              <w:pStyle w:val="TableParagraph"/>
              <w:numPr>
                <w:ilvl w:val="0"/>
                <w:numId w:val="168"/>
              </w:numPr>
              <w:tabs>
                <w:tab w:pos="812" w:val="left" w:leader="none"/>
              </w:tabs>
              <w:spacing w:line="240" w:lineRule="auto" w:before="0" w:after="0"/>
              <w:ind w:left="281" w:right="102" w:hanging="142"/>
              <w:jc w:val="both"/>
              <w:rPr>
                <w:sz w:val="20"/>
              </w:rPr>
            </w:pPr>
            <w:r>
              <w:rPr>
                <w:sz w:val="20"/>
              </w:rPr>
              <w:t>Las instituciones políticas que  se han creado a través del tiempo como El Municipio y El Ejido  favorecen la articulación social en la CHPH</w:t>
            </w:r>
          </w:p>
          <w:p>
            <w:pPr>
              <w:pStyle w:val="TableParagraph"/>
              <w:numPr>
                <w:ilvl w:val="0"/>
                <w:numId w:val="168"/>
              </w:numPr>
              <w:tabs>
                <w:tab w:pos="812" w:val="left" w:leader="none"/>
              </w:tabs>
              <w:spacing w:line="240" w:lineRule="auto" w:before="0" w:after="0"/>
              <w:ind w:left="281" w:right="101" w:hanging="142"/>
              <w:jc w:val="both"/>
              <w:rPr>
                <w:sz w:val="20"/>
              </w:rPr>
            </w:pPr>
            <w:r>
              <w:rPr>
                <w:sz w:val="20"/>
              </w:rPr>
              <w:t>Las autoridades auxiliares son producto de las estructuras históricas consolidadas</w:t>
            </w:r>
          </w:p>
          <w:p>
            <w:pPr>
              <w:pStyle w:val="TableParagraph"/>
              <w:numPr>
                <w:ilvl w:val="0"/>
                <w:numId w:val="168"/>
              </w:numPr>
              <w:tabs>
                <w:tab w:pos="812" w:val="left" w:leader="none"/>
              </w:tabs>
              <w:spacing w:line="240" w:lineRule="auto" w:before="0" w:after="0"/>
              <w:ind w:left="281" w:right="102" w:hanging="142"/>
              <w:jc w:val="both"/>
              <w:rPr>
                <w:sz w:val="20"/>
              </w:rPr>
            </w:pPr>
            <w:r>
              <w:rPr>
                <w:sz w:val="20"/>
              </w:rPr>
              <w:t>La CHPH es producto de la articulación de eventos históricos en la región</w:t>
            </w:r>
          </w:p>
          <w:p>
            <w:pPr>
              <w:pStyle w:val="TableParagraph"/>
              <w:numPr>
                <w:ilvl w:val="0"/>
                <w:numId w:val="168"/>
              </w:numPr>
              <w:tabs>
                <w:tab w:pos="463" w:val="left" w:leader="none"/>
                <w:tab w:pos="464" w:val="left" w:leader="none"/>
              </w:tabs>
              <w:spacing w:line="240" w:lineRule="auto" w:before="1" w:after="0"/>
              <w:ind w:left="463" w:right="0" w:hanging="360"/>
              <w:jc w:val="left"/>
              <w:rPr>
                <w:sz w:val="20"/>
              </w:rPr>
            </w:pPr>
            <w:r>
              <w:rPr>
                <w:sz w:val="20"/>
              </w:rPr>
              <w:t>Favorece la</w:t>
            </w:r>
            <w:r>
              <w:rPr>
                <w:spacing w:val="-8"/>
                <w:sz w:val="20"/>
              </w:rPr>
              <w:t> </w:t>
            </w:r>
            <w:r>
              <w:rPr>
                <w:sz w:val="20"/>
              </w:rPr>
              <w:t>GIRH</w:t>
            </w:r>
          </w:p>
          <w:p>
            <w:pPr>
              <w:pStyle w:val="TableParagraph"/>
              <w:numPr>
                <w:ilvl w:val="0"/>
                <w:numId w:val="168"/>
              </w:numPr>
              <w:tabs>
                <w:tab w:pos="463" w:val="left" w:leader="none"/>
                <w:tab w:pos="464" w:val="left" w:leader="none"/>
              </w:tabs>
              <w:spacing w:line="229" w:lineRule="exact"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168"/>
              </w:numPr>
              <w:tabs>
                <w:tab w:pos="463" w:val="left" w:leader="none"/>
                <w:tab w:pos="464" w:val="left" w:leader="none"/>
              </w:tabs>
              <w:spacing w:line="229" w:lineRule="exact"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168"/>
              </w:numPr>
              <w:tabs>
                <w:tab w:pos="463" w:val="left" w:leader="none"/>
                <w:tab w:pos="464" w:val="left" w:leader="none"/>
              </w:tabs>
              <w:spacing w:line="240" w:lineRule="auto" w:before="0" w:after="0"/>
              <w:ind w:left="463" w:right="105" w:hanging="360"/>
              <w:jc w:val="left"/>
              <w:rPr>
                <w:sz w:val="20"/>
              </w:rPr>
            </w:pPr>
            <w:r>
              <w:rPr>
                <w:sz w:val="20"/>
              </w:rPr>
              <w:t>Existe planeación sociopolítica con articulación entre</w:t>
            </w:r>
            <w:r>
              <w:rPr>
                <w:spacing w:val="-11"/>
                <w:sz w:val="20"/>
              </w:rPr>
              <w:t> </w:t>
            </w:r>
            <w:r>
              <w:rPr>
                <w:sz w:val="20"/>
              </w:rPr>
              <w:t>actores</w:t>
            </w:r>
          </w:p>
        </w:tc>
        <w:tc>
          <w:tcPr>
            <w:tcW w:w="1469" w:type="dxa"/>
            <w:vMerge/>
          </w:tcPr>
          <w:p>
            <w:pPr/>
          </w:p>
        </w:tc>
        <w:tc>
          <w:tcPr>
            <w:tcW w:w="2349" w:type="dxa"/>
            <w:vMerge/>
          </w:tcPr>
          <w:p>
            <w:pPr/>
          </w:p>
        </w:tc>
        <w:tc>
          <w:tcPr>
            <w:tcW w:w="1594" w:type="dxa"/>
            <w:vMerge/>
            <w:tcBorders>
              <w:right w:val="double" w:sz="11" w:space="0" w:color="000000"/>
            </w:tcBorders>
            <w:shd w:val="clear" w:color="auto" w:fill="FF0000"/>
          </w:tcPr>
          <w:p>
            <w:pPr/>
          </w:p>
        </w:tc>
      </w:tr>
      <w:tr>
        <w:trPr>
          <w:trHeight w:val="3046" w:hRule="exact"/>
        </w:trPr>
        <w:tc>
          <w:tcPr>
            <w:tcW w:w="13149" w:type="dxa"/>
            <w:gridSpan w:val="7"/>
          </w:tcPr>
          <w:p>
            <w:pPr>
              <w:pStyle w:val="TableParagraph"/>
              <w:spacing w:line="248" w:lineRule="exact"/>
              <w:ind w:left="2342" w:right="2343"/>
              <w:jc w:val="center"/>
              <w:rPr>
                <w:sz w:val="22"/>
              </w:rPr>
            </w:pPr>
            <w:r>
              <w:rPr>
                <w:b/>
                <w:sz w:val="22"/>
              </w:rPr>
              <w:t>Fuente: </w:t>
            </w:r>
            <w:r>
              <w:rPr>
                <w:sz w:val="22"/>
              </w:rPr>
              <w:t>elaboración propia con base en trabajo campo y gabinete García, 2013-2015.</w:t>
            </w:r>
          </w:p>
          <w:p>
            <w:pPr>
              <w:pStyle w:val="TableParagraph"/>
              <w:spacing w:line="252" w:lineRule="exact"/>
              <w:ind w:left="27"/>
              <w:jc w:val="both"/>
              <w:rPr>
                <w:b/>
                <w:sz w:val="22"/>
              </w:rPr>
            </w:pPr>
            <w:r>
              <w:rPr>
                <w:b/>
                <w:sz w:val="22"/>
              </w:rPr>
              <w:t>Interpretación de la anterior gráfica y la tarjeta de valoración:</w:t>
            </w:r>
          </w:p>
          <w:p>
            <w:pPr>
              <w:pStyle w:val="TableParagraph"/>
              <w:numPr>
                <w:ilvl w:val="0"/>
                <w:numId w:val="169"/>
              </w:numPr>
              <w:tabs>
                <w:tab w:pos="242" w:val="left" w:leader="none"/>
              </w:tabs>
              <w:spacing w:line="240" w:lineRule="auto" w:before="4" w:after="0"/>
              <w:ind w:left="27" w:right="23" w:firstLine="0"/>
              <w:jc w:val="both"/>
              <w:rPr>
                <w:sz w:val="22"/>
              </w:rPr>
            </w:pPr>
            <w:r>
              <w:rPr>
                <w:sz w:val="22"/>
              </w:rPr>
              <w:t>En 1400 era la época prehispánica donde todavía la provincia de Xilotepec estaba poblada por otomíes principalmente, provenientes de lugares dispersos que tenían un lago para riego, donde ahora está situada la presa Huapango y la presa Huaracha, dicha provincia con el tiempo adquirió una importancia política, religiosa y económica al convertirse en un centro ceremonial y religioso al que llamaron Jilotepec. En esa época existía un equilibrio excelente entre los ámbitos ambiental, sociopolítico  y económico porque la población no era tan grande ni los intereses</w:t>
            </w:r>
            <w:r>
              <w:rPr>
                <w:spacing w:val="-24"/>
                <w:sz w:val="22"/>
              </w:rPr>
              <w:t> </w:t>
            </w:r>
            <w:r>
              <w:rPr>
                <w:sz w:val="22"/>
              </w:rPr>
              <w:t>sociopolíticos.</w:t>
            </w:r>
          </w:p>
          <w:p>
            <w:pPr>
              <w:pStyle w:val="TableParagraph"/>
              <w:numPr>
                <w:ilvl w:val="0"/>
                <w:numId w:val="169"/>
              </w:numPr>
              <w:tabs>
                <w:tab w:pos="184" w:val="left" w:leader="none"/>
              </w:tabs>
              <w:spacing w:line="240" w:lineRule="auto" w:before="1" w:after="0"/>
              <w:ind w:left="27" w:right="20" w:firstLine="0"/>
              <w:jc w:val="both"/>
              <w:rPr>
                <w:sz w:val="22"/>
              </w:rPr>
            </w:pPr>
            <w:r>
              <w:rPr>
                <w:sz w:val="22"/>
              </w:rPr>
              <w:t>En 1519 fue vista por primera vez la provincia de Xilotepec por los españoles, pero fue a mediados de la década de 1520 que </w:t>
            </w:r>
            <w:r>
              <w:rPr>
                <w:spacing w:val="3"/>
                <w:sz w:val="22"/>
              </w:rPr>
              <w:t>la </w:t>
            </w:r>
            <w:r>
              <w:rPr>
                <w:sz w:val="22"/>
              </w:rPr>
              <w:t>provincia de Xilotepec fue dominada en la parte sur por los españoles y fue en 1533 que se asignó en su totalidad como encomienda a Juan Jaramillo de Salvatierra (esposo de la Malinche). En este período hubo impacto ambiental, sociopolítico y económico porque se consolido la CHPH como una región agrícola y</w:t>
            </w:r>
            <w:r>
              <w:rPr>
                <w:spacing w:val="-14"/>
                <w:sz w:val="22"/>
              </w:rPr>
              <w:t> </w:t>
            </w:r>
            <w:r>
              <w:rPr>
                <w:sz w:val="22"/>
              </w:rPr>
              <w:t>ganadera.</w:t>
            </w:r>
          </w:p>
          <w:p>
            <w:pPr>
              <w:pStyle w:val="TableParagraph"/>
              <w:numPr>
                <w:ilvl w:val="0"/>
                <w:numId w:val="169"/>
              </w:numPr>
              <w:tabs>
                <w:tab w:pos="232" w:val="left" w:leader="none"/>
              </w:tabs>
              <w:spacing w:line="240" w:lineRule="auto" w:before="1" w:after="0"/>
              <w:ind w:left="231" w:right="0" w:hanging="141"/>
              <w:jc w:val="both"/>
              <w:rPr>
                <w:sz w:val="22"/>
              </w:rPr>
            </w:pPr>
            <w:r>
              <w:rPr>
                <w:sz w:val="22"/>
              </w:rPr>
              <w:t>En 1580 con la conquista española en la encomienda de la provincia de Xilotepec se conformaron las haciendas de ganado </w:t>
            </w:r>
            <w:r>
              <w:rPr>
                <w:spacing w:val="48"/>
                <w:sz w:val="22"/>
              </w:rPr>
              <w:t> </w:t>
            </w:r>
            <w:r>
              <w:rPr>
                <w:sz w:val="22"/>
              </w:rPr>
              <w:t>mayor</w:t>
            </w:r>
          </w:p>
        </w:tc>
      </w:tr>
    </w:tbl>
    <w:p>
      <w:pPr>
        <w:spacing w:after="0" w:line="240" w:lineRule="auto"/>
        <w:jc w:val="both"/>
        <w:rPr>
          <w:sz w:val="22"/>
        </w:rPr>
        <w:sectPr>
          <w:pgSz w:w="15840" w:h="12240" w:orient="landscape"/>
          <w:pgMar w:header="0" w:footer="943" w:top="1140" w:bottom="1140" w:left="1200" w:right="1140"/>
        </w:sectPr>
      </w:pPr>
    </w:p>
    <w:p>
      <w:pPr>
        <w:pStyle w:val="BodyText"/>
        <w:rPr>
          <w:rFonts w:ascii="Times New Roman"/>
          <w:sz w:val="20"/>
        </w:rPr>
      </w:pPr>
      <w:r>
        <w:rPr/>
        <w:pict>
          <v:group style="position:absolute;margin-left:65.269997pt;margin-top:84.849998pt;width:661.7pt;height:431.65pt;mso-position-horizontal-relative:page;mso-position-vertical-relative:page;z-index:-3330016" coordorigin="1305,1697" coordsize="13234,8633">
            <v:line style="position:absolute" from="1315,1707" to="14529,1707" stroked="true" strokeweight=".48pt" strokecolor="#000000"/>
            <v:line style="position:absolute" from="1310,1702" to="1310,10324" stroked="true" strokeweight=".48pt" strokecolor="#000000"/>
            <v:line style="position:absolute" from="1315,10320" to="14529,10320" stroked="true" strokeweight=".47998pt" strokecolor="#000000"/>
            <v:line style="position:absolute" from="14534,1702" to="14534,10324" stroked="true" strokeweight=".48004pt" strokecolor="#000000"/>
            <w10:wrap type="none"/>
          </v:group>
        </w:pict>
      </w:r>
    </w:p>
    <w:p>
      <w:pPr>
        <w:pStyle w:val="BodyText"/>
        <w:spacing w:before="2"/>
        <w:rPr>
          <w:rFonts w:ascii="Times New Roman"/>
          <w:sz w:val="23"/>
        </w:rPr>
      </w:pPr>
    </w:p>
    <w:p>
      <w:pPr>
        <w:pStyle w:val="BodyText"/>
        <w:spacing w:before="72"/>
        <w:ind w:left="180" w:right="171"/>
        <w:jc w:val="both"/>
      </w:pPr>
      <w:r>
        <w:rPr/>
        <w:t>y menor en las que trabajaba un número creciente de españoles y mulatos, para 1794 existían 25 haciendas y 95 ranchos ganaderos y productores de leche. En este período hubo impacto ambiental, económico y sociopolítico porque se estableció la ventaja comparativa de la agricultura y la ganadería en la CHPH.</w:t>
      </w:r>
    </w:p>
    <w:p>
      <w:pPr>
        <w:pStyle w:val="ListParagraph"/>
        <w:numPr>
          <w:ilvl w:val="0"/>
          <w:numId w:val="121"/>
        </w:numPr>
        <w:tabs>
          <w:tab w:pos="356" w:val="left" w:leader="none"/>
        </w:tabs>
        <w:spacing w:line="240" w:lineRule="auto" w:before="0" w:after="0"/>
        <w:ind w:left="180" w:right="170" w:firstLine="0"/>
        <w:jc w:val="both"/>
        <w:rPr>
          <w:sz w:val="22"/>
        </w:rPr>
      </w:pPr>
      <w:r>
        <w:rPr>
          <w:sz w:val="22"/>
        </w:rPr>
        <w:t>En 1785-1788 los religiosos franciscanos construyeron la presa Huapango por la cantidad de tierras de cultivo y cabezas de  ganado que existían en la región, lo que dio origen a la actual cuenca lechera más importante del Estado de México. En esta época hubo un impacto ambiental, económico y sociopolítico porque el agua de la presa artículo a la</w:t>
      </w:r>
      <w:r>
        <w:rPr>
          <w:spacing w:val="-29"/>
          <w:sz w:val="22"/>
        </w:rPr>
        <w:t> </w:t>
      </w:r>
      <w:r>
        <w:rPr>
          <w:sz w:val="22"/>
        </w:rPr>
        <w:t>región.</w:t>
      </w:r>
    </w:p>
    <w:p>
      <w:pPr>
        <w:pStyle w:val="ListParagraph"/>
        <w:numPr>
          <w:ilvl w:val="0"/>
          <w:numId w:val="121"/>
        </w:numPr>
        <w:tabs>
          <w:tab w:pos="334" w:val="left" w:leader="none"/>
        </w:tabs>
        <w:spacing w:line="240" w:lineRule="auto" w:before="0" w:after="0"/>
        <w:ind w:left="180" w:right="171" w:firstLine="0"/>
        <w:jc w:val="both"/>
        <w:rPr>
          <w:sz w:val="22"/>
        </w:rPr>
      </w:pPr>
      <w:r>
        <w:rPr>
          <w:sz w:val="22"/>
        </w:rPr>
        <w:t>En 1810 se llevó acabo la lucha de independencia en México porque la conquista española trajo consigo una serie de problemas como la concentración de la tierra y la sobreexplotación de los trabajadores, generando la desigualdad económica y social de los habitantes, esto dio inicio a la sobreexplotación y concentración de los recursos naturales en pocas manos. Esta fecha tiene un gran impacto porque puede considerarse como el parteaguas de la lucha civil en la CHPH para que se reconocieran los derechos sociopolíticos, económicos y ambientales de los ciudadanos, sin embargo la lucha fue un tanto desfavorable porque siguieron existiendo los abusos de unos cuantos, pero se creó el municipio con una población, un territorio y un gobierno, lo cual fue un gran avance en cuetiones</w:t>
      </w:r>
      <w:r>
        <w:rPr>
          <w:spacing w:val="-11"/>
          <w:sz w:val="22"/>
        </w:rPr>
        <w:t> </w:t>
      </w:r>
      <w:r>
        <w:rPr>
          <w:sz w:val="22"/>
        </w:rPr>
        <w:t>sociopolíticas.</w:t>
      </w:r>
    </w:p>
    <w:p>
      <w:pPr>
        <w:pStyle w:val="ListParagraph"/>
        <w:numPr>
          <w:ilvl w:val="0"/>
          <w:numId w:val="121"/>
        </w:numPr>
        <w:tabs>
          <w:tab w:pos="320" w:val="left" w:leader="none"/>
        </w:tabs>
        <w:spacing w:line="240" w:lineRule="auto" w:before="0" w:after="0"/>
        <w:ind w:left="180" w:right="170" w:firstLine="0"/>
        <w:jc w:val="both"/>
        <w:rPr>
          <w:sz w:val="22"/>
        </w:rPr>
      </w:pPr>
      <w:r>
        <w:rPr>
          <w:sz w:val="22"/>
        </w:rPr>
        <w:t>Aunque el municipio en México tiene sus orígenes en la época prehispánica con los </w:t>
      </w:r>
      <w:r>
        <w:rPr>
          <w:i/>
          <w:sz w:val="22"/>
        </w:rPr>
        <w:t>Tlahtocayos</w:t>
      </w:r>
      <w:r>
        <w:rPr>
          <w:sz w:val="22"/>
        </w:rPr>
        <w:t>, fue hasta la Constitución de Cádiz de 1812 que se constituyó formalmente este evento histórico que permitió que se decretaran los municipios de la CHPH en el siglo XIX, siendo el primero en 1861 por decreto No. 27 la Villa de Jilotepec. Sin embargo dicha institución surge con una serie de limitaciones, ya que se le atribuye sólo la administración de algunos servicios públicos y no se estipula su competencia jurídica entorno a la protección del medio ambiente en conjunto con otros municipios y a pesar de las reformas que se le han hecho al  artículo 115, el municipio sigue estando supeditado al sistema federal y estatal, lo cual no le permite tener la “autonomía y soberanía” que tanto se pregonan en su territorio, sin embargo tiene un gran impacto sociopolítico, económico y ambiental como institución mediática entre la entidad federativa y la federación, por ser una estructura política cercana a la población y la conformación de los municipios de Acambay, Aculco, Jilotepec, Polotitlán y Timilpan son los que dieron origen a la</w:t>
      </w:r>
      <w:r>
        <w:rPr>
          <w:spacing w:val="-30"/>
          <w:sz w:val="22"/>
        </w:rPr>
        <w:t> </w:t>
      </w:r>
      <w:r>
        <w:rPr>
          <w:sz w:val="22"/>
        </w:rPr>
        <w:t>CHPH.</w:t>
      </w:r>
    </w:p>
    <w:p>
      <w:pPr>
        <w:pStyle w:val="ListParagraph"/>
        <w:numPr>
          <w:ilvl w:val="0"/>
          <w:numId w:val="121"/>
        </w:numPr>
        <w:tabs>
          <w:tab w:pos="334" w:val="left" w:leader="none"/>
        </w:tabs>
        <w:spacing w:line="240" w:lineRule="auto" w:before="1" w:after="0"/>
        <w:ind w:left="180" w:right="168" w:firstLine="0"/>
        <w:jc w:val="both"/>
        <w:rPr>
          <w:sz w:val="22"/>
        </w:rPr>
      </w:pPr>
      <w:r>
        <w:rPr>
          <w:sz w:val="22"/>
        </w:rPr>
        <w:t>En 1910 dio inicio la revolución mexicana que tuvo varias causas, entre ellas, la dictadura de Porfirio Díaz en la presidencia de la República, los grandes latifundios que provocaron la decadencia de la agricultura, ya que el territorio nacional era propiedad de tan sólo 840 hacendados, los abusos de esclavitud contra el campesinado y los obreros; dichas injusticias sociales provocaron que los habitantes demandarán derechos civiles mediante distintos movimientos sociales, por lo que hubo logros en dichas peticiones </w:t>
      </w:r>
      <w:r>
        <w:rPr>
          <w:spacing w:val="3"/>
          <w:sz w:val="22"/>
        </w:rPr>
        <w:t>que </w:t>
      </w:r>
      <w:r>
        <w:rPr>
          <w:sz w:val="22"/>
        </w:rPr>
        <w:t>se plasmaron en la Constitución de 1917, como el derecho a la tierra y a los recursos naturales, sin embargo estos derechos no quedaron bien claros y se ocasionó la sobreexplotación de los recursos naturales y siguieron las desigualdades sociales, pero como estructura sociopolítica es un gran avance porque se reconocieron una serie de derechos</w:t>
      </w:r>
      <w:r>
        <w:rPr>
          <w:spacing w:val="-24"/>
          <w:sz w:val="22"/>
        </w:rPr>
        <w:t> </w:t>
      </w:r>
      <w:r>
        <w:rPr>
          <w:sz w:val="22"/>
        </w:rPr>
        <w:t>civiles.</w:t>
      </w:r>
    </w:p>
    <w:p>
      <w:pPr>
        <w:pStyle w:val="ListParagraph"/>
        <w:numPr>
          <w:ilvl w:val="0"/>
          <w:numId w:val="121"/>
        </w:numPr>
        <w:tabs>
          <w:tab w:pos="358" w:val="left" w:leader="none"/>
        </w:tabs>
        <w:spacing w:line="240" w:lineRule="auto" w:before="1" w:after="0"/>
        <w:ind w:left="180" w:right="174" w:firstLine="0"/>
        <w:jc w:val="both"/>
        <w:rPr>
          <w:sz w:val="22"/>
        </w:rPr>
      </w:pPr>
      <w:r>
        <w:rPr>
          <w:sz w:val="22"/>
        </w:rPr>
        <w:t>Desde la Revolución Mexicana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del Río (1936-1940) que se consolidó la nueva repartición territorial</w:t>
      </w:r>
      <w:r>
        <w:rPr>
          <w:spacing w:val="15"/>
          <w:sz w:val="22"/>
        </w:rPr>
        <w:t> </w:t>
      </w:r>
      <w:r>
        <w:rPr>
          <w:sz w:val="22"/>
        </w:rPr>
        <w:t>en</w:t>
      </w:r>
      <w:r>
        <w:rPr>
          <w:spacing w:val="16"/>
          <w:sz w:val="22"/>
        </w:rPr>
        <w:t> </w:t>
      </w:r>
      <w:r>
        <w:rPr>
          <w:sz w:val="22"/>
        </w:rPr>
        <w:t>ejidos</w:t>
      </w:r>
      <w:r>
        <w:rPr>
          <w:spacing w:val="14"/>
          <w:sz w:val="22"/>
        </w:rPr>
        <w:t> </w:t>
      </w:r>
      <w:r>
        <w:rPr>
          <w:sz w:val="22"/>
        </w:rPr>
        <w:t>que</w:t>
      </w:r>
      <w:r>
        <w:rPr>
          <w:spacing w:val="13"/>
          <w:sz w:val="22"/>
        </w:rPr>
        <w:t> </w:t>
      </w:r>
      <w:r>
        <w:rPr>
          <w:sz w:val="22"/>
        </w:rPr>
        <w:t>propuso</w:t>
      </w:r>
      <w:r>
        <w:rPr>
          <w:spacing w:val="18"/>
          <w:sz w:val="22"/>
        </w:rPr>
        <w:t> </w:t>
      </w:r>
      <w:r>
        <w:rPr>
          <w:sz w:val="22"/>
        </w:rPr>
        <w:t>Emiliano</w:t>
      </w:r>
      <w:r>
        <w:rPr>
          <w:spacing w:val="16"/>
          <w:sz w:val="22"/>
        </w:rPr>
        <w:t> </w:t>
      </w:r>
      <w:r>
        <w:rPr>
          <w:sz w:val="22"/>
        </w:rPr>
        <w:t>Zapata</w:t>
      </w:r>
      <w:r>
        <w:rPr>
          <w:spacing w:val="17"/>
          <w:sz w:val="22"/>
        </w:rPr>
        <w:t> </w:t>
      </w:r>
      <w:r>
        <w:rPr>
          <w:sz w:val="22"/>
        </w:rPr>
        <w:t>durante</w:t>
      </w:r>
      <w:r>
        <w:rPr>
          <w:spacing w:val="16"/>
          <w:sz w:val="22"/>
        </w:rPr>
        <w:t> </w:t>
      </w:r>
      <w:r>
        <w:rPr>
          <w:sz w:val="22"/>
        </w:rPr>
        <w:t>la</w:t>
      </w:r>
      <w:r>
        <w:rPr>
          <w:spacing w:val="16"/>
          <w:sz w:val="22"/>
        </w:rPr>
        <w:t> </w:t>
      </w:r>
      <w:r>
        <w:rPr>
          <w:sz w:val="22"/>
        </w:rPr>
        <w:t>lucha</w:t>
      </w:r>
      <w:r>
        <w:rPr>
          <w:spacing w:val="16"/>
          <w:sz w:val="22"/>
        </w:rPr>
        <w:t> </w:t>
      </w:r>
      <w:r>
        <w:rPr>
          <w:sz w:val="22"/>
        </w:rPr>
        <w:t>por</w:t>
      </w:r>
      <w:r>
        <w:rPr>
          <w:spacing w:val="15"/>
          <w:sz w:val="22"/>
        </w:rPr>
        <w:t> </w:t>
      </w:r>
      <w:r>
        <w:rPr>
          <w:sz w:val="22"/>
        </w:rPr>
        <w:t>tierra</w:t>
      </w:r>
      <w:r>
        <w:rPr>
          <w:spacing w:val="16"/>
          <w:sz w:val="22"/>
        </w:rPr>
        <w:t> </w:t>
      </w:r>
      <w:r>
        <w:rPr>
          <w:sz w:val="22"/>
        </w:rPr>
        <w:t>y</w:t>
      </w:r>
      <w:r>
        <w:rPr>
          <w:spacing w:val="14"/>
          <w:sz w:val="22"/>
        </w:rPr>
        <w:t> </w:t>
      </w:r>
      <w:r>
        <w:rPr>
          <w:sz w:val="22"/>
        </w:rPr>
        <w:t>libertad</w:t>
      </w:r>
      <w:r>
        <w:rPr>
          <w:spacing w:val="16"/>
          <w:sz w:val="22"/>
        </w:rPr>
        <w:t> </w:t>
      </w:r>
      <w:r>
        <w:rPr>
          <w:sz w:val="22"/>
        </w:rPr>
        <w:t>a</w:t>
      </w:r>
      <w:r>
        <w:rPr>
          <w:spacing w:val="16"/>
          <w:sz w:val="22"/>
        </w:rPr>
        <w:t> </w:t>
      </w:r>
      <w:r>
        <w:rPr>
          <w:sz w:val="22"/>
        </w:rPr>
        <w:t>través</w:t>
      </w:r>
      <w:r>
        <w:rPr>
          <w:spacing w:val="16"/>
          <w:sz w:val="22"/>
        </w:rPr>
        <w:t> </w:t>
      </w:r>
      <w:r>
        <w:rPr>
          <w:sz w:val="22"/>
        </w:rPr>
        <w:t>del</w:t>
      </w:r>
      <w:r>
        <w:rPr>
          <w:spacing w:val="15"/>
          <w:sz w:val="22"/>
        </w:rPr>
        <w:t> </w:t>
      </w:r>
      <w:r>
        <w:rPr>
          <w:sz w:val="22"/>
        </w:rPr>
        <w:t>Plan</w:t>
      </w:r>
      <w:r>
        <w:rPr>
          <w:spacing w:val="16"/>
          <w:sz w:val="22"/>
        </w:rPr>
        <w:t> </w:t>
      </w:r>
      <w:r>
        <w:rPr>
          <w:sz w:val="22"/>
        </w:rPr>
        <w:t>Ayala,</w:t>
      </w:r>
      <w:r>
        <w:rPr>
          <w:spacing w:val="18"/>
          <w:sz w:val="22"/>
        </w:rPr>
        <w:t> </w:t>
      </w:r>
      <w:r>
        <w:rPr>
          <w:sz w:val="22"/>
        </w:rPr>
        <w:t>mediante</w:t>
      </w:r>
      <w:r>
        <w:rPr>
          <w:spacing w:val="16"/>
          <w:sz w:val="22"/>
        </w:rPr>
        <w:t> </w:t>
      </w:r>
      <w:r>
        <w:rPr>
          <w:sz w:val="22"/>
        </w:rPr>
        <w:t>el</w:t>
      </w:r>
      <w:r>
        <w:rPr>
          <w:spacing w:val="15"/>
          <w:sz w:val="22"/>
        </w:rPr>
        <w:t> </w:t>
      </w:r>
      <w:r>
        <w:rPr>
          <w:sz w:val="22"/>
        </w:rPr>
        <w:t>principio</w:t>
      </w:r>
    </w:p>
    <w:p>
      <w:pPr>
        <w:spacing w:after="0" w:line="240" w:lineRule="auto"/>
        <w:jc w:val="both"/>
        <w:rPr>
          <w:sz w:val="22"/>
        </w:rPr>
        <w:sectPr>
          <w:pgSz w:w="15840" w:h="12240" w:orient="landscape"/>
          <w:pgMar w:header="0" w:footer="943" w:top="1140" w:bottom="1140" w:left="1200" w:right="12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24"/>
      </w:tblGrid>
      <w:tr>
        <w:trPr>
          <w:trHeight w:val="6589" w:hRule="exact"/>
        </w:trPr>
        <w:tc>
          <w:tcPr>
            <w:tcW w:w="13224" w:type="dxa"/>
          </w:tcPr>
          <w:p>
            <w:pPr>
              <w:pStyle w:val="TableParagraph"/>
              <w:ind w:left="64" w:right="60"/>
              <w:jc w:val="both"/>
              <w:rPr>
                <w:sz w:val="22"/>
              </w:rPr>
            </w:pPr>
            <w:r>
              <w:rPr>
                <w:sz w:val="22"/>
              </w:rPr>
              <w:t>“La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los bosques, etc.) que aún no se pueden resolver, teniendo esto un impacto en lo sociopolítico, económico y</w:t>
            </w:r>
            <w:r>
              <w:rPr>
                <w:spacing w:val="-20"/>
                <w:sz w:val="22"/>
              </w:rPr>
              <w:t> </w:t>
            </w:r>
            <w:r>
              <w:rPr>
                <w:sz w:val="22"/>
              </w:rPr>
              <w:t>ambiental.</w:t>
            </w:r>
          </w:p>
          <w:p>
            <w:pPr>
              <w:pStyle w:val="TableParagraph"/>
              <w:numPr>
                <w:ilvl w:val="0"/>
                <w:numId w:val="170"/>
              </w:numPr>
              <w:tabs>
                <w:tab w:pos="233" w:val="left" w:leader="none"/>
              </w:tabs>
              <w:spacing w:line="240" w:lineRule="auto" w:before="0" w:after="0"/>
              <w:ind w:left="64" w:right="59" w:firstLine="0"/>
              <w:jc w:val="both"/>
              <w:rPr>
                <w:sz w:val="22"/>
              </w:rPr>
            </w:pPr>
            <w:r>
              <w:rPr>
                <w:sz w:val="22"/>
              </w:rPr>
              <w:t>En 1982 con el presidente Miguel de la Madrid comienza en México la internacionalización del mercado debido a la gran crisis económica que se vivía en ese momento, con lo que se da pie al nuevo sistema neoliberal, corriente político-económica que promueve la intervención mínima del Estado y la apertura del mercado. Dicha corriente fomenta el consumo desenfrenado de los recursos naturales y prácticas de producción altamente contaminantes, ya que las multinacionales extienden su poder económico en los países menos desarrollados generando crisis ambientales regionales que acrecientan la de carácter global, por lo que las consecuencias de estos actos tienen sus alcances hasta el lugar más recóndito del mundo, por lo que la CHPH no es la excepción, el consumo de los recursos naturales está siendo voraz y el deterioro ambiental por la generación de servicios (construcción de autopista Arco Norte) que obedece a intereses económicos ha dejado la región en una práctica vulnerabilidad socio-ambiental, por lo que esta época tuvo un impacto en lo sociopolítico, económico y ambiental en la CHPH detonando el interés y la conciencias sociopolítica de los actores históricos</w:t>
            </w:r>
            <w:r>
              <w:rPr>
                <w:spacing w:val="-18"/>
                <w:sz w:val="22"/>
              </w:rPr>
              <w:t> </w:t>
            </w:r>
            <w:r>
              <w:rPr>
                <w:sz w:val="22"/>
              </w:rPr>
              <w:t>principalmente..</w:t>
            </w:r>
          </w:p>
          <w:p>
            <w:pPr>
              <w:pStyle w:val="TableParagraph"/>
              <w:numPr>
                <w:ilvl w:val="0"/>
                <w:numId w:val="170"/>
              </w:numPr>
              <w:tabs>
                <w:tab w:pos="202" w:val="left" w:leader="none"/>
              </w:tabs>
              <w:spacing w:line="240" w:lineRule="auto" w:before="0" w:after="0"/>
              <w:ind w:left="64" w:right="60" w:firstLine="0"/>
              <w:jc w:val="both"/>
              <w:rPr>
                <w:sz w:val="22"/>
              </w:rPr>
            </w:pPr>
            <w:r>
              <w:rPr>
                <w:sz w:val="22"/>
              </w:rPr>
              <w:t>Actualmente en 2016 la CHPH se encuentra en franco deterioro debido a los grandes acontecimientos históricos que han dado pie a la falta de planeación y al crecimiento desmedido de la población y al reparto inequitativo de los recursos, lo que ha traído consigo la creación de instituciones con una serie de incongruencias que ahora han traído como consecuencia el deterioro de los recursos naturales, el reparto inequitativo de los recursos y los conflictos sociopolíticos que sólo pueden mermarse a través de acuerdos sociopolítico, económicos y ambientales, ya que aunque estos procesos han generado el deterioro ambiental en la CHPH, también han permitieron su creación como región con una identidad propia que ahora puede ser utilizada para revertir los daños a través de la GIRH mediante la gobernanza y la gobernabilidad generando acuerdos democráticos entre los actores de la Cuenca, pero actualmente el impacto sociopolítico, económico y ambiental en la CHPH es positivo porque ha generado el interés de los actores históricos para conformar un Comité Intermunicipal con su reglamento para que los actores históricos de los municipios de la Cuenca atiendan su problemática</w:t>
            </w:r>
            <w:r>
              <w:rPr>
                <w:spacing w:val="-8"/>
                <w:sz w:val="22"/>
              </w:rPr>
              <w:t> </w:t>
            </w:r>
            <w:r>
              <w:rPr>
                <w:sz w:val="22"/>
              </w:rPr>
              <w:t>común.</w:t>
            </w:r>
          </w:p>
        </w:tc>
      </w:tr>
      <w:tr>
        <w:trPr>
          <w:trHeight w:val="338" w:hRule="exact"/>
        </w:trPr>
        <w:tc>
          <w:tcPr>
            <w:tcW w:w="13224" w:type="dxa"/>
          </w:tcPr>
          <w:p>
            <w:pPr>
              <w:pStyle w:val="TableParagraph"/>
              <w:spacing w:line="248" w:lineRule="exact"/>
              <w:ind w:left="4869" w:right="4870"/>
              <w:jc w:val="center"/>
              <w:rPr>
                <w:b/>
                <w:sz w:val="22"/>
              </w:rPr>
            </w:pPr>
            <w:r>
              <w:rPr>
                <w:b/>
                <w:sz w:val="22"/>
              </w:rPr>
              <w:t>VENTAJAS DEL INDICADOR</w:t>
            </w:r>
          </w:p>
        </w:tc>
      </w:tr>
      <w:tr>
        <w:trPr>
          <w:trHeight w:val="1023" w:hRule="exact"/>
        </w:trPr>
        <w:tc>
          <w:tcPr>
            <w:tcW w:w="13224" w:type="dxa"/>
          </w:tcPr>
          <w:p>
            <w:pPr>
              <w:pStyle w:val="TableParagraph"/>
              <w:numPr>
                <w:ilvl w:val="0"/>
                <w:numId w:val="171"/>
              </w:numPr>
              <w:tabs>
                <w:tab w:pos="248" w:val="left" w:leader="none"/>
              </w:tabs>
              <w:spacing w:line="242" w:lineRule="auto" w:before="0" w:after="0"/>
              <w:ind w:left="103" w:right="99" w:firstLine="0"/>
              <w:jc w:val="left"/>
              <w:rPr>
                <w:sz w:val="22"/>
              </w:rPr>
            </w:pPr>
            <w:r>
              <w:rPr>
                <w:sz w:val="22"/>
              </w:rPr>
              <w:t>Permitió identificar las estructuras sociopolíticas que han articulado a los actores de los municipios de la CHPH como una región y su impacto ambiental, sociopolítico y</w:t>
            </w:r>
            <w:r>
              <w:rPr>
                <w:spacing w:val="-13"/>
                <w:sz w:val="22"/>
              </w:rPr>
              <w:t> </w:t>
            </w:r>
            <w:r>
              <w:rPr>
                <w:sz w:val="22"/>
              </w:rPr>
              <w:t>económico.</w:t>
            </w:r>
          </w:p>
          <w:p>
            <w:pPr>
              <w:pStyle w:val="TableParagraph"/>
              <w:numPr>
                <w:ilvl w:val="0"/>
                <w:numId w:val="171"/>
              </w:numPr>
              <w:tabs>
                <w:tab w:pos="248" w:val="left" w:leader="none"/>
              </w:tabs>
              <w:spacing w:line="242" w:lineRule="auto" w:before="0" w:after="0"/>
              <w:ind w:left="103" w:right="101" w:firstLine="0"/>
              <w:jc w:val="left"/>
              <w:rPr>
                <w:sz w:val="22"/>
              </w:rPr>
            </w:pPr>
            <w:r>
              <w:rPr>
                <w:sz w:val="22"/>
              </w:rPr>
              <w:t>Sirvió de guía de explicación para la elaboración de la propuesta de creación de un Comité Intermunicipal con su reglamento </w:t>
            </w:r>
            <w:r>
              <w:rPr>
                <w:spacing w:val="4"/>
                <w:sz w:val="22"/>
              </w:rPr>
              <w:t>en </w:t>
            </w:r>
            <w:r>
              <w:rPr>
                <w:sz w:val="22"/>
              </w:rPr>
              <w:t>la CHPH.</w:t>
            </w:r>
          </w:p>
        </w:tc>
      </w:tr>
      <w:tr>
        <w:trPr>
          <w:trHeight w:val="341" w:hRule="exact"/>
        </w:trPr>
        <w:tc>
          <w:tcPr>
            <w:tcW w:w="13224" w:type="dxa"/>
          </w:tcPr>
          <w:p>
            <w:pPr>
              <w:pStyle w:val="TableParagraph"/>
              <w:spacing w:line="248" w:lineRule="exact"/>
              <w:ind w:left="4869" w:right="4870"/>
              <w:jc w:val="center"/>
              <w:rPr>
                <w:b/>
                <w:sz w:val="22"/>
              </w:rPr>
            </w:pPr>
            <w:r>
              <w:rPr>
                <w:b/>
                <w:sz w:val="22"/>
              </w:rPr>
              <w:t>DESVENTAJAS DEL INDICADOR</w:t>
            </w:r>
          </w:p>
        </w:tc>
      </w:tr>
      <w:tr>
        <w:trPr>
          <w:trHeight w:val="338" w:hRule="exact"/>
        </w:trPr>
        <w:tc>
          <w:tcPr>
            <w:tcW w:w="13224" w:type="dxa"/>
          </w:tcPr>
          <w:p>
            <w:pPr>
              <w:pStyle w:val="TableParagraph"/>
              <w:spacing w:line="251" w:lineRule="exact"/>
              <w:rPr>
                <w:sz w:val="22"/>
              </w:rPr>
            </w:pPr>
            <w:r>
              <w:rPr>
                <w:sz w:val="22"/>
              </w:rPr>
              <w:t>- Se requiere de un análisis multidisciplinarios del indicador por su importancia.</w:t>
            </w:r>
          </w:p>
        </w:tc>
      </w:tr>
    </w:tbl>
    <w:p>
      <w:pPr>
        <w:spacing w:after="0" w:line="251" w:lineRule="exact"/>
        <w:rPr>
          <w:sz w:val="22"/>
        </w:rPr>
        <w:sectPr>
          <w:pgSz w:w="15840" w:h="12240" w:orient="landscape"/>
          <w:pgMar w:header="0" w:footer="943" w:top="1140" w:bottom="114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609" w:right="105"/>
              <w:rPr>
                <w:b/>
                <w:sz w:val="22"/>
              </w:rPr>
            </w:pPr>
            <w:r>
              <w:rPr>
                <w:b/>
                <w:sz w:val="22"/>
              </w:rPr>
              <w:t>Poder sociopolítico</w:t>
            </w:r>
          </w:p>
        </w:tc>
        <w:tc>
          <w:tcPr>
            <w:tcW w:w="3277" w:type="dxa"/>
            <w:gridSpan w:val="3"/>
            <w:vMerge w:val="restart"/>
          </w:tcPr>
          <w:p>
            <w:pPr>
              <w:pStyle w:val="TableParagraph"/>
              <w:ind w:left="100" w:right="102"/>
              <w:jc w:val="both"/>
              <w:rPr>
                <w:b/>
                <w:sz w:val="22"/>
              </w:rPr>
            </w:pPr>
            <w:r>
              <w:rPr>
                <w:b/>
                <w:sz w:val="22"/>
              </w:rPr>
              <w:t>Identificar los actores de la CHPH que ejercen el control político mediante el dominio de los recursos naturales y  la injerencia de instituciones gubernamentales a su</w:t>
            </w:r>
            <w:r>
              <w:rPr>
                <w:b/>
                <w:spacing w:val="-6"/>
                <w:sz w:val="22"/>
              </w:rPr>
              <w:t> </w:t>
            </w:r>
            <w:r>
              <w:rPr>
                <w:b/>
                <w:sz w:val="22"/>
              </w:rPr>
              <w:t>favor.</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67"/>
              <w:rPr>
                <w:b/>
                <w:sz w:val="22"/>
              </w:rPr>
            </w:pPr>
            <w:r>
              <w:rPr>
                <w:b/>
                <w:sz w:val="22"/>
              </w:rPr>
              <w:t>0.930/ 18.055</w:t>
            </w:r>
          </w:p>
        </w:tc>
        <w:tc>
          <w:tcPr>
            <w:tcW w:w="1985" w:type="dxa"/>
            <w:gridSpan w:val="2"/>
          </w:tcPr>
          <w:p>
            <w:pPr>
              <w:pStyle w:val="TableParagraph"/>
              <w:spacing w:line="248" w:lineRule="exact"/>
              <w:ind w:left="1" w:right="2"/>
              <w:jc w:val="center"/>
              <w:rPr>
                <w:b/>
                <w:sz w:val="22"/>
              </w:rPr>
            </w:pPr>
            <w:r>
              <w:rPr>
                <w:b/>
                <w:sz w:val="22"/>
              </w:rPr>
              <w:t>5.15%</w:t>
            </w:r>
          </w:p>
        </w:tc>
        <w:tc>
          <w:tcPr>
            <w:tcW w:w="2268" w:type="dxa"/>
            <w:gridSpan w:val="2"/>
          </w:tcPr>
          <w:p>
            <w:pPr>
              <w:pStyle w:val="TableParagraph"/>
              <w:spacing w:line="248" w:lineRule="exact"/>
              <w:ind w:left="136" w:right="136"/>
              <w:jc w:val="center"/>
              <w:rPr>
                <w:b/>
                <w:sz w:val="22"/>
              </w:rPr>
            </w:pPr>
            <w:r>
              <w:rPr>
                <w:b/>
                <w:sz w:val="22"/>
              </w:rPr>
              <w:t>16.875</w:t>
            </w:r>
          </w:p>
        </w:tc>
        <w:tc>
          <w:tcPr>
            <w:tcW w:w="3274" w:type="dxa"/>
            <w:gridSpan w:val="5"/>
            <w:vMerge/>
          </w:tcPr>
          <w:p>
            <w:pPr/>
          </w:p>
        </w:tc>
        <w:tc>
          <w:tcPr>
            <w:tcW w:w="3277" w:type="dxa"/>
            <w:gridSpan w:val="3"/>
            <w:vMerge/>
          </w:tcPr>
          <w:p>
            <w:pPr/>
          </w:p>
        </w:tc>
      </w:tr>
      <w:tr>
        <w:trPr>
          <w:trHeight w:val="262" w:hRule="exact"/>
        </w:trPr>
        <w:tc>
          <w:tcPr>
            <w:tcW w:w="2093" w:type="dxa"/>
            <w:gridSpan w:val="2"/>
            <w:tcBorders>
              <w:right w:val="single" w:sz="41" w:space="0" w:color="D99493"/>
            </w:tcBorders>
          </w:tcPr>
          <w:p>
            <w:pPr>
              <w:pStyle w:val="TableParagraph"/>
              <w:spacing w:line="248" w:lineRule="exact"/>
              <w:ind w:left="45"/>
              <w:jc w:val="center"/>
              <w:rPr>
                <w:b/>
                <w:sz w:val="22"/>
              </w:rPr>
            </w:pPr>
            <w:r>
              <w:rPr>
                <w:b/>
                <w:w w:val="100"/>
                <w:sz w:val="22"/>
              </w:rPr>
              <w:t>1</w:t>
            </w:r>
          </w:p>
        </w:tc>
        <w:tc>
          <w:tcPr>
            <w:tcW w:w="1985" w:type="dxa"/>
            <w:gridSpan w:val="2"/>
            <w:shd w:val="clear" w:color="auto" w:fill="D99493"/>
          </w:tcPr>
          <w:p>
            <w:pPr>
              <w:pStyle w:val="TableParagraph"/>
              <w:spacing w:line="248" w:lineRule="exact"/>
              <w:ind w:left="0"/>
              <w:jc w:val="center"/>
              <w:rPr>
                <w:b/>
                <w:sz w:val="22"/>
              </w:rPr>
            </w:pPr>
            <w:r>
              <w:rPr>
                <w:b/>
                <w:w w:val="100"/>
                <w:sz w:val="22"/>
              </w:rPr>
              <w:t>2</w:t>
            </w:r>
          </w:p>
        </w:tc>
        <w:tc>
          <w:tcPr>
            <w:tcW w:w="2268" w:type="dxa"/>
            <w:gridSpan w:val="2"/>
            <w:tcBorders>
              <w:left w:val="thickThinMediumGap" w:sz="23" w:space="0" w:color="D99493"/>
              <w:right w:val="single" w:sz="41" w:space="0" w:color="D99493"/>
            </w:tcBorders>
          </w:tcPr>
          <w:p>
            <w:pPr>
              <w:pStyle w:val="TableParagraph"/>
              <w:spacing w:line="248" w:lineRule="exact"/>
              <w:ind w:left="0" w:right="2"/>
              <w:jc w:val="center"/>
              <w:rPr>
                <w:b/>
                <w:sz w:val="22"/>
              </w:rPr>
            </w:pPr>
            <w:r>
              <w:rPr>
                <w:b/>
                <w:w w:val="100"/>
                <w:sz w:val="22"/>
              </w:rPr>
              <w:t>3</w:t>
            </w:r>
          </w:p>
        </w:tc>
        <w:tc>
          <w:tcPr>
            <w:tcW w:w="1701" w:type="dxa"/>
            <w:gridSpan w:val="2"/>
            <w:shd w:val="clear" w:color="auto" w:fill="D99493"/>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D99493"/>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1" w:right="492"/>
              <w:jc w:val="center"/>
              <w:rPr>
                <w:b/>
                <w:sz w:val="22"/>
              </w:rPr>
            </w:pPr>
            <w:r>
              <w:rPr>
                <w:b/>
                <w:sz w:val="22"/>
              </w:rPr>
              <w:t>87</w:t>
            </w:r>
          </w:p>
        </w:tc>
        <w:tc>
          <w:tcPr>
            <w:tcW w:w="2127" w:type="dxa"/>
            <w:gridSpan w:val="3"/>
            <w:shd w:val="clear" w:color="auto" w:fill="92CDDC"/>
          </w:tcPr>
          <w:p>
            <w:pPr>
              <w:pStyle w:val="TableParagraph"/>
              <w:spacing w:line="248" w:lineRule="exact"/>
              <w:ind w:left="916" w:right="916"/>
              <w:jc w:val="center"/>
              <w:rPr>
                <w:b/>
                <w:sz w:val="22"/>
              </w:rPr>
            </w:pPr>
            <w:r>
              <w:rPr>
                <w:b/>
                <w:sz w:val="22"/>
              </w:rPr>
              <w:t>36</w:t>
            </w:r>
          </w:p>
        </w:tc>
        <w:tc>
          <w:tcPr>
            <w:tcW w:w="2410" w:type="dxa"/>
            <w:gridSpan w:val="3"/>
            <w:shd w:val="clear" w:color="auto" w:fill="92CDDC"/>
          </w:tcPr>
          <w:p>
            <w:pPr>
              <w:pStyle w:val="TableParagraph"/>
              <w:spacing w:line="248" w:lineRule="exact"/>
              <w:ind w:left="782" w:right="779"/>
              <w:jc w:val="center"/>
              <w:rPr>
                <w:b/>
                <w:sz w:val="22"/>
              </w:rPr>
            </w:pPr>
            <w:r>
              <w:rPr>
                <w:b/>
                <w:sz w:val="22"/>
              </w:rPr>
              <w:t>0.0625</w:t>
            </w:r>
          </w:p>
        </w:tc>
        <w:tc>
          <w:tcPr>
            <w:tcW w:w="1844" w:type="dxa"/>
            <w:gridSpan w:val="2"/>
            <w:shd w:val="clear" w:color="auto" w:fill="F9BE8F"/>
          </w:tcPr>
          <w:p>
            <w:pPr>
              <w:pStyle w:val="TableParagraph"/>
              <w:spacing w:line="248" w:lineRule="exact"/>
              <w:ind w:left="774" w:right="774"/>
              <w:jc w:val="center"/>
              <w:rPr>
                <w:b/>
                <w:sz w:val="22"/>
              </w:rPr>
            </w:pPr>
            <w:r>
              <w:rPr>
                <w:b/>
                <w:sz w:val="22"/>
              </w:rPr>
              <w:t>42</w:t>
            </w:r>
          </w:p>
        </w:tc>
        <w:tc>
          <w:tcPr>
            <w:tcW w:w="2126" w:type="dxa"/>
            <w:gridSpan w:val="3"/>
            <w:shd w:val="clear" w:color="auto" w:fill="F9BE8F"/>
          </w:tcPr>
          <w:p>
            <w:pPr>
              <w:pStyle w:val="TableParagraph"/>
              <w:spacing w:line="248" w:lineRule="exact"/>
              <w:ind w:left="0"/>
              <w:jc w:val="center"/>
              <w:rPr>
                <w:b/>
                <w:sz w:val="22"/>
              </w:rPr>
            </w:pPr>
            <w:r>
              <w:rPr>
                <w:b/>
                <w:w w:val="100"/>
                <w:sz w:val="22"/>
              </w:rPr>
              <w:t>2</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Actores, CHPH, control político, recursos naturales, instituciones gubernamentales.</w:t>
            </w:r>
          </w:p>
        </w:tc>
      </w:tr>
      <w:tr>
        <w:trPr>
          <w:trHeight w:val="516" w:hRule="exact"/>
        </w:trPr>
        <w:tc>
          <w:tcPr>
            <w:tcW w:w="2290" w:type="dxa"/>
            <w:gridSpan w:val="3"/>
          </w:tcPr>
          <w:p>
            <w:pPr>
              <w:pStyle w:val="TableParagraph"/>
              <w:spacing w:line="249" w:lineRule="exact"/>
              <w:ind w:left="453"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770" w:hRule="exact"/>
        </w:trPr>
        <w:tc>
          <w:tcPr>
            <w:tcW w:w="12897" w:type="dxa"/>
            <w:gridSpan w:val="14"/>
          </w:tcPr>
          <w:p>
            <w:pPr>
              <w:pStyle w:val="TableParagraph"/>
              <w:ind w:right="101"/>
              <w:jc w:val="both"/>
              <w:rPr>
                <w:sz w:val="22"/>
              </w:rPr>
            </w:pPr>
            <w:r>
              <w:rPr>
                <w:sz w:val="22"/>
              </w:rPr>
              <w:t>Carácter estructural de dominio del Estado que ha permitido que los actores de aguas abajo (Aculco y Polotitlán) de la CHPH ejerzan control político sobre los actores de aguas arriba (Acambay, Jilotepec y Timilpan) mediante el dominio de los recursos naturales y la injerencia de instituciones gubernamentales  a su favor (Cfr. Dahl, 1976; Weber, 1957 y García, TC: 2013-2015).</w:t>
            </w:r>
          </w:p>
        </w:tc>
      </w:tr>
      <w:tr>
        <w:trPr>
          <w:trHeight w:val="262"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9"/>
          </w:tcPr>
          <w:p>
            <w:pPr>
              <w:pStyle w:val="TableParagraph"/>
              <w:spacing w:line="248" w:lineRule="exact"/>
              <w:ind w:left="2419" w:right="108"/>
              <w:rPr>
                <w:b/>
                <w:sz w:val="22"/>
              </w:rPr>
            </w:pPr>
            <w:r>
              <w:rPr>
                <w:b/>
                <w:sz w:val="22"/>
              </w:rPr>
              <w:t>Definición de la unidad de medición</w:t>
            </w:r>
          </w:p>
        </w:tc>
      </w:tr>
      <w:tr>
        <w:trPr>
          <w:trHeight w:val="1023" w:hRule="exact"/>
        </w:trPr>
        <w:tc>
          <w:tcPr>
            <w:tcW w:w="4295" w:type="dxa"/>
            <w:gridSpan w:val="5"/>
          </w:tcPr>
          <w:p>
            <w:pPr>
              <w:pStyle w:val="TableParagraph"/>
              <w:ind w:right="100"/>
              <w:jc w:val="both"/>
              <w:rPr>
                <w:sz w:val="22"/>
              </w:rPr>
            </w:pPr>
            <w:r>
              <w:rPr>
                <w:sz w:val="22"/>
              </w:rPr>
              <w:t># de municipios e instituciones gubernamentales que ejercen el control sociopolítico en la CHPH</w:t>
            </w:r>
          </w:p>
        </w:tc>
        <w:tc>
          <w:tcPr>
            <w:tcW w:w="8603" w:type="dxa"/>
            <w:gridSpan w:val="9"/>
          </w:tcPr>
          <w:p>
            <w:pPr>
              <w:pStyle w:val="TableParagraph"/>
              <w:ind w:right="104"/>
              <w:jc w:val="both"/>
              <w:rPr>
                <w:sz w:val="22"/>
              </w:rPr>
            </w:pPr>
            <w:r>
              <w:rPr>
                <w:sz w:val="22"/>
              </w:rPr>
              <w:t>Cantidad de municipios que se han beneficiado con el agua para riego, generando riqueza y poder de dominio en la región e instituciones gubernamentales que favorecen los intereses de estos municipios.</w:t>
            </w:r>
          </w:p>
          <w:p>
            <w:pPr>
              <w:pStyle w:val="TableParagraph"/>
              <w:spacing w:before="2"/>
              <w:jc w:val="both"/>
              <w:rPr>
                <w:sz w:val="22"/>
              </w:rPr>
            </w:pPr>
            <w:r>
              <w:rPr>
                <w:sz w:val="22"/>
              </w:rPr>
              <w:t>(Ejemplo: Municipio de Polotitlán y la Conagua).</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27.7pt;mso-position-horizontal-relative:page;mso-position-vertical-relative:page;z-index:-3329992"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623;top:2336;width:12294;height:7836" type="#_x0000_t75" stroked="false">
              <v:imagedata r:id="rId388" o:title=""/>
            </v:shape>
            <w10:wrap type="none"/>
          </v:group>
        </w:pict>
      </w:r>
    </w:p>
    <w:p>
      <w:pPr>
        <w:pStyle w:val="BodyText"/>
        <w:spacing w:before="11"/>
        <w:rPr>
          <w:rFonts w:ascii="Times New Roman"/>
        </w:rPr>
      </w:pPr>
    </w:p>
    <w:p>
      <w:pPr>
        <w:pStyle w:val="Heading6"/>
        <w:spacing w:before="73"/>
        <w:ind w:left="5782" w:right="397" w:hanging="5079"/>
      </w:pPr>
      <w:r>
        <w:rPr/>
        <w:t>ANÁLISIS-CAUSA EFECTO DEL INDICADOR BAJO UN SISTEMA PEIR PARA LA DEFINICIÓN DE LA ESCALA DE CALIFICACIÓN</w:t>
      </w:r>
    </w:p>
    <w:p>
      <w:pPr>
        <w:spacing w:after="0"/>
        <w:sectPr>
          <w:footerReference w:type="default" r:id="rId387"/>
          <w:pgSz w:w="15840" w:h="12240" w:orient="landscape"/>
          <w:pgMar w:footer="943" w:header="0" w:top="1140" w:bottom="1140" w:left="1200" w:right="1300"/>
          <w:pgNumType w:start="630"/>
        </w:sectPr>
      </w:pPr>
    </w:p>
    <w:p>
      <w:pPr>
        <w:pStyle w:val="BodyText"/>
        <w:rPr>
          <w:rFonts w:ascii="Times New Roman"/>
          <w:sz w:val="20"/>
        </w:rPr>
      </w:pPr>
      <w:r>
        <w:rPr/>
        <w:drawing>
          <wp:anchor distT="0" distB="0" distL="0" distR="0" allowOverlap="1" layoutInCell="1" locked="0" behindDoc="0" simplePos="0" relativeHeight="13456">
            <wp:simplePos x="0" y="0"/>
            <wp:positionH relativeFrom="page">
              <wp:posOffset>876300</wp:posOffset>
            </wp:positionH>
            <wp:positionV relativeFrom="page">
              <wp:posOffset>1895982</wp:posOffset>
            </wp:positionV>
            <wp:extent cx="5257001" cy="2192274"/>
            <wp:effectExtent l="0" t="0" r="0" b="0"/>
            <wp:wrapNone/>
            <wp:docPr id="71" name="image261.png" descr=""/>
            <wp:cNvGraphicFramePr>
              <a:graphicFrameLocks noChangeAspect="1"/>
            </wp:cNvGraphicFramePr>
            <a:graphic>
              <a:graphicData uri="http://schemas.openxmlformats.org/drawingml/2006/picture">
                <pic:pic>
                  <pic:nvPicPr>
                    <pic:cNvPr id="72" name="image261.png"/>
                    <pic:cNvPicPr/>
                  </pic:nvPicPr>
                  <pic:blipFill>
                    <a:blip r:embed="rId389" cstate="print"/>
                    <a:stretch>
                      <a:fillRect/>
                    </a:stretch>
                  </pic:blipFill>
                  <pic:spPr>
                    <a:xfrm>
                      <a:off x="0" y="0"/>
                      <a:ext cx="5257001" cy="2192274"/>
                    </a:xfrm>
                    <a:prstGeom prst="rect">
                      <a:avLst/>
                    </a:prstGeom>
                  </pic:spPr>
                </pic:pic>
              </a:graphicData>
            </a:graphic>
          </wp:anchor>
        </w:drawing>
      </w:r>
      <w:r>
        <w:rPr/>
        <w:pict>
          <v:shape style="position:absolute;margin-left:500.589996pt;margin-top:172.220001pt;width:163.75pt;height:145.15pt;mso-position-horizontal-relative:page;mso-position-vertical-relative:page;z-index:1348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80"/>
                    <w:gridCol w:w="1580"/>
                  </w:tblGrid>
                  <w:tr>
                    <w:trPr>
                      <w:trHeight w:val="262" w:hRule="exact"/>
                    </w:trPr>
                    <w:tc>
                      <w:tcPr>
                        <w:tcW w:w="1680" w:type="dxa"/>
                      </w:tcPr>
                      <w:p>
                        <w:pPr>
                          <w:pStyle w:val="TableParagraph"/>
                          <w:spacing w:line="248" w:lineRule="exact"/>
                          <w:rPr>
                            <w:b/>
                            <w:sz w:val="22"/>
                          </w:rPr>
                        </w:pPr>
                        <w:r>
                          <w:rPr>
                            <w:b/>
                            <w:sz w:val="22"/>
                          </w:rPr>
                          <w:t>Período</w:t>
                        </w:r>
                      </w:p>
                    </w:tc>
                    <w:tc>
                      <w:tcPr>
                        <w:tcW w:w="1580" w:type="dxa"/>
                      </w:tcPr>
                      <w:p>
                        <w:pPr>
                          <w:pStyle w:val="TableParagraph"/>
                          <w:spacing w:line="248" w:lineRule="exact"/>
                          <w:rPr>
                            <w:b/>
                            <w:sz w:val="22"/>
                          </w:rPr>
                        </w:pPr>
                        <w:r>
                          <w:rPr>
                            <w:b/>
                            <w:sz w:val="22"/>
                          </w:rPr>
                          <w:t>Calificación</w:t>
                        </w:r>
                      </w:p>
                    </w:tc>
                  </w:tr>
                  <w:tr>
                    <w:trPr>
                      <w:trHeight w:val="265" w:hRule="exact"/>
                    </w:trPr>
                    <w:tc>
                      <w:tcPr>
                        <w:tcW w:w="1680" w:type="dxa"/>
                      </w:tcPr>
                      <w:p>
                        <w:pPr>
                          <w:pStyle w:val="TableParagraph"/>
                          <w:spacing w:line="251" w:lineRule="exact"/>
                          <w:rPr>
                            <w:sz w:val="22"/>
                          </w:rPr>
                        </w:pPr>
                        <w:r>
                          <w:rPr>
                            <w:sz w:val="22"/>
                          </w:rPr>
                          <w:t>1400</w:t>
                        </w:r>
                      </w:p>
                    </w:tc>
                    <w:tc>
                      <w:tcPr>
                        <w:tcW w:w="1580" w:type="dxa"/>
                      </w:tcPr>
                      <w:p>
                        <w:pPr>
                          <w:pStyle w:val="TableParagraph"/>
                          <w:spacing w:line="251" w:lineRule="exact"/>
                          <w:rPr>
                            <w:sz w:val="22"/>
                          </w:rPr>
                        </w:pPr>
                        <w:r>
                          <w:rPr>
                            <w:sz w:val="22"/>
                          </w:rPr>
                          <w:t>Excelente</w:t>
                        </w:r>
                      </w:p>
                    </w:tc>
                  </w:tr>
                  <w:tr>
                    <w:trPr>
                      <w:trHeight w:val="262" w:hRule="exact"/>
                    </w:trPr>
                    <w:tc>
                      <w:tcPr>
                        <w:tcW w:w="1680" w:type="dxa"/>
                      </w:tcPr>
                      <w:p>
                        <w:pPr>
                          <w:pStyle w:val="TableParagraph"/>
                          <w:spacing w:line="251" w:lineRule="exact"/>
                          <w:rPr>
                            <w:sz w:val="22"/>
                          </w:rPr>
                        </w:pPr>
                        <w:r>
                          <w:rPr>
                            <w:sz w:val="22"/>
                          </w:rPr>
                          <w:t>1519</w:t>
                        </w:r>
                      </w:p>
                    </w:tc>
                    <w:tc>
                      <w:tcPr>
                        <w:tcW w:w="1580" w:type="dxa"/>
                      </w:tcPr>
                      <w:p>
                        <w:pPr>
                          <w:pStyle w:val="TableParagraph"/>
                          <w:spacing w:line="251" w:lineRule="exact"/>
                          <w:rPr>
                            <w:sz w:val="22"/>
                          </w:rPr>
                        </w:pPr>
                        <w:r>
                          <w:rPr>
                            <w:sz w:val="22"/>
                          </w:rPr>
                          <w:t>Bueno</w:t>
                        </w:r>
                      </w:p>
                    </w:tc>
                  </w:tr>
                  <w:tr>
                    <w:trPr>
                      <w:trHeight w:val="264" w:hRule="exact"/>
                    </w:trPr>
                    <w:tc>
                      <w:tcPr>
                        <w:tcW w:w="1680" w:type="dxa"/>
                      </w:tcPr>
                      <w:p>
                        <w:pPr>
                          <w:pStyle w:val="TableParagraph"/>
                          <w:spacing w:line="251" w:lineRule="exact"/>
                          <w:rPr>
                            <w:sz w:val="22"/>
                          </w:rPr>
                        </w:pPr>
                        <w:r>
                          <w:rPr>
                            <w:sz w:val="22"/>
                          </w:rPr>
                          <w:t>1580</w:t>
                        </w:r>
                      </w:p>
                    </w:tc>
                    <w:tc>
                      <w:tcPr>
                        <w:tcW w:w="1580" w:type="dxa"/>
                      </w:tcPr>
                      <w:p>
                        <w:pPr>
                          <w:pStyle w:val="TableParagraph"/>
                          <w:spacing w:line="251" w:lineRule="exact"/>
                          <w:rPr>
                            <w:sz w:val="22"/>
                          </w:rPr>
                        </w:pPr>
                        <w:r>
                          <w:rPr>
                            <w:sz w:val="22"/>
                          </w:rPr>
                          <w:t>Deficiente</w:t>
                        </w:r>
                      </w:p>
                    </w:tc>
                  </w:tr>
                  <w:tr>
                    <w:trPr>
                      <w:trHeight w:val="262" w:hRule="exact"/>
                    </w:trPr>
                    <w:tc>
                      <w:tcPr>
                        <w:tcW w:w="1680" w:type="dxa"/>
                      </w:tcPr>
                      <w:p>
                        <w:pPr>
                          <w:pStyle w:val="TableParagraph"/>
                          <w:spacing w:line="251" w:lineRule="exact"/>
                          <w:rPr>
                            <w:sz w:val="22"/>
                          </w:rPr>
                        </w:pPr>
                        <w:r>
                          <w:rPr>
                            <w:sz w:val="22"/>
                          </w:rPr>
                          <w:t>1785</w:t>
                        </w:r>
                      </w:p>
                    </w:tc>
                    <w:tc>
                      <w:tcPr>
                        <w:tcW w:w="1580" w:type="dxa"/>
                      </w:tcPr>
                      <w:p>
                        <w:pPr>
                          <w:pStyle w:val="TableParagraph"/>
                          <w:spacing w:line="251" w:lineRule="exact"/>
                          <w:rPr>
                            <w:sz w:val="22"/>
                          </w:rPr>
                        </w:pPr>
                        <w:r>
                          <w:rPr>
                            <w:sz w:val="22"/>
                          </w:rPr>
                          <w:t>Deficiente</w:t>
                        </w:r>
                      </w:p>
                    </w:tc>
                  </w:tr>
                  <w:tr>
                    <w:trPr>
                      <w:trHeight w:val="264" w:hRule="exact"/>
                    </w:trPr>
                    <w:tc>
                      <w:tcPr>
                        <w:tcW w:w="1680" w:type="dxa"/>
                      </w:tcPr>
                      <w:p>
                        <w:pPr>
                          <w:pStyle w:val="TableParagraph"/>
                          <w:rPr>
                            <w:sz w:val="22"/>
                          </w:rPr>
                        </w:pPr>
                        <w:r>
                          <w:rPr>
                            <w:sz w:val="22"/>
                          </w:rPr>
                          <w:t>1810</w:t>
                        </w:r>
                      </w:p>
                    </w:tc>
                    <w:tc>
                      <w:tcPr>
                        <w:tcW w:w="1580" w:type="dxa"/>
                      </w:tcPr>
                      <w:p>
                        <w:pPr>
                          <w:pStyle w:val="TableParagraph"/>
                          <w:rPr>
                            <w:sz w:val="22"/>
                          </w:rPr>
                        </w:pPr>
                        <w:r>
                          <w:rPr>
                            <w:sz w:val="22"/>
                          </w:rPr>
                          <w:t>Regular</w:t>
                        </w:r>
                      </w:p>
                    </w:tc>
                  </w:tr>
                  <w:tr>
                    <w:trPr>
                      <w:trHeight w:val="264" w:hRule="exact"/>
                    </w:trPr>
                    <w:tc>
                      <w:tcPr>
                        <w:tcW w:w="1680" w:type="dxa"/>
                      </w:tcPr>
                      <w:p>
                        <w:pPr>
                          <w:pStyle w:val="TableParagraph"/>
                          <w:spacing w:line="251" w:lineRule="exact"/>
                          <w:rPr>
                            <w:sz w:val="22"/>
                          </w:rPr>
                        </w:pPr>
                        <w:r>
                          <w:rPr>
                            <w:sz w:val="22"/>
                          </w:rPr>
                          <w:t>1861</w:t>
                        </w:r>
                      </w:p>
                    </w:tc>
                    <w:tc>
                      <w:tcPr>
                        <w:tcW w:w="1580" w:type="dxa"/>
                      </w:tcPr>
                      <w:p>
                        <w:pPr>
                          <w:pStyle w:val="TableParagraph"/>
                          <w:spacing w:line="251" w:lineRule="exact"/>
                          <w:rPr>
                            <w:sz w:val="22"/>
                          </w:rPr>
                        </w:pPr>
                        <w:r>
                          <w:rPr>
                            <w:sz w:val="22"/>
                          </w:rPr>
                          <w:t>Regular</w:t>
                        </w:r>
                      </w:p>
                    </w:tc>
                  </w:tr>
                  <w:tr>
                    <w:trPr>
                      <w:trHeight w:val="262" w:hRule="exact"/>
                    </w:trPr>
                    <w:tc>
                      <w:tcPr>
                        <w:tcW w:w="1680" w:type="dxa"/>
                      </w:tcPr>
                      <w:p>
                        <w:pPr>
                          <w:pStyle w:val="TableParagraph"/>
                          <w:spacing w:line="251" w:lineRule="exact"/>
                          <w:rPr>
                            <w:sz w:val="22"/>
                          </w:rPr>
                        </w:pPr>
                        <w:r>
                          <w:rPr>
                            <w:sz w:val="22"/>
                          </w:rPr>
                          <w:t>1910</w:t>
                        </w:r>
                      </w:p>
                    </w:tc>
                    <w:tc>
                      <w:tcPr>
                        <w:tcW w:w="1580" w:type="dxa"/>
                      </w:tcPr>
                      <w:p>
                        <w:pPr>
                          <w:pStyle w:val="TableParagraph"/>
                          <w:spacing w:line="251" w:lineRule="exact"/>
                          <w:rPr>
                            <w:sz w:val="22"/>
                          </w:rPr>
                        </w:pPr>
                        <w:r>
                          <w:rPr>
                            <w:sz w:val="22"/>
                          </w:rPr>
                          <w:t>Regular</w:t>
                        </w:r>
                      </w:p>
                    </w:tc>
                  </w:tr>
                  <w:tr>
                    <w:trPr>
                      <w:trHeight w:val="264" w:hRule="exact"/>
                    </w:trPr>
                    <w:tc>
                      <w:tcPr>
                        <w:tcW w:w="1680" w:type="dxa"/>
                      </w:tcPr>
                      <w:p>
                        <w:pPr>
                          <w:pStyle w:val="TableParagraph"/>
                          <w:spacing w:line="251" w:lineRule="exact"/>
                          <w:rPr>
                            <w:sz w:val="22"/>
                          </w:rPr>
                        </w:pPr>
                        <w:r>
                          <w:rPr>
                            <w:sz w:val="22"/>
                          </w:rPr>
                          <w:t>1940</w:t>
                        </w:r>
                      </w:p>
                    </w:tc>
                    <w:tc>
                      <w:tcPr>
                        <w:tcW w:w="1580" w:type="dxa"/>
                      </w:tcPr>
                      <w:p>
                        <w:pPr>
                          <w:pStyle w:val="TableParagraph"/>
                          <w:spacing w:line="251" w:lineRule="exact"/>
                          <w:rPr>
                            <w:sz w:val="22"/>
                          </w:rPr>
                        </w:pPr>
                        <w:r>
                          <w:rPr>
                            <w:sz w:val="22"/>
                          </w:rPr>
                          <w:t>Regular</w:t>
                        </w:r>
                      </w:p>
                    </w:tc>
                  </w:tr>
                  <w:tr>
                    <w:trPr>
                      <w:trHeight w:val="262" w:hRule="exact"/>
                    </w:trPr>
                    <w:tc>
                      <w:tcPr>
                        <w:tcW w:w="1680" w:type="dxa"/>
                      </w:tcPr>
                      <w:p>
                        <w:pPr>
                          <w:pStyle w:val="TableParagraph"/>
                          <w:spacing w:line="251" w:lineRule="exact"/>
                          <w:rPr>
                            <w:sz w:val="22"/>
                          </w:rPr>
                        </w:pPr>
                        <w:r>
                          <w:rPr>
                            <w:sz w:val="22"/>
                          </w:rPr>
                          <w:t>1982</w:t>
                        </w:r>
                      </w:p>
                    </w:tc>
                    <w:tc>
                      <w:tcPr>
                        <w:tcW w:w="1580" w:type="dxa"/>
                      </w:tcPr>
                      <w:p>
                        <w:pPr>
                          <w:pStyle w:val="TableParagraph"/>
                          <w:spacing w:line="251" w:lineRule="exact"/>
                          <w:rPr>
                            <w:sz w:val="22"/>
                          </w:rPr>
                        </w:pPr>
                        <w:r>
                          <w:rPr>
                            <w:sz w:val="22"/>
                          </w:rPr>
                          <w:t>Regular</w:t>
                        </w:r>
                      </w:p>
                    </w:tc>
                  </w:tr>
                  <w:tr>
                    <w:trPr>
                      <w:trHeight w:val="264" w:hRule="exact"/>
                    </w:trPr>
                    <w:tc>
                      <w:tcPr>
                        <w:tcW w:w="1680" w:type="dxa"/>
                      </w:tcPr>
                      <w:p>
                        <w:pPr>
                          <w:pStyle w:val="TableParagraph"/>
                          <w:spacing w:line="251" w:lineRule="exact"/>
                          <w:rPr>
                            <w:sz w:val="22"/>
                          </w:rPr>
                        </w:pPr>
                        <w:r>
                          <w:rPr>
                            <w:sz w:val="22"/>
                          </w:rPr>
                          <w:t>2016</w:t>
                        </w:r>
                      </w:p>
                    </w:tc>
                    <w:tc>
                      <w:tcPr>
                        <w:tcW w:w="1580" w:type="dxa"/>
                      </w:tcPr>
                      <w:p>
                        <w:pPr>
                          <w:pStyle w:val="TableParagraph"/>
                          <w:spacing w:line="251" w:lineRule="exact"/>
                          <w:rPr>
                            <w:sz w:val="22"/>
                          </w:rPr>
                        </w:pPr>
                        <w:r>
                          <w:rPr>
                            <w:sz w:val="22"/>
                          </w:rPr>
                          <w:t>Regular</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860"/>
        <w:gridCol w:w="1352"/>
        <w:gridCol w:w="3132"/>
        <w:gridCol w:w="1476"/>
        <w:gridCol w:w="2429"/>
        <w:gridCol w:w="1615"/>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233" w:hRule="exact"/>
        </w:trPr>
        <w:tc>
          <w:tcPr>
            <w:tcW w:w="12822" w:type="dxa"/>
            <w:gridSpan w:val="7"/>
          </w:tcPr>
          <w:p>
            <w:pPr>
              <w:pStyle w:val="TableParagraph"/>
              <w:spacing w:before="10"/>
              <w:ind w:left="0"/>
              <w:rPr>
                <w:rFonts w:ascii="Times New Roman"/>
                <w:sz w:val="21"/>
              </w:rPr>
            </w:pPr>
          </w:p>
          <w:p>
            <w:pPr>
              <w:pStyle w:val="TableParagraph"/>
              <w:ind w:left="27" w:right="57"/>
              <w:rPr>
                <w:sz w:val="22"/>
              </w:rPr>
            </w:pPr>
            <w:r>
              <w:rPr>
                <w:sz w:val="22"/>
              </w:rPr>
              <w:t>Para identificar los actores de la CHPH que ejercen el control político mediante el dominio de los recursos naturales a través de la historia y darles una calificación se requirió elaborar una gráfica radial para designar la categorización de evaluación por período:</w:t>
            </w:r>
          </w:p>
          <w:p>
            <w:pPr>
              <w:pStyle w:val="TableParagraph"/>
              <w:spacing w:line="252" w:lineRule="exact"/>
              <w:ind w:left="3452" w:right="57"/>
              <w:rPr>
                <w:b/>
                <w:sz w:val="22"/>
              </w:rPr>
            </w:pPr>
            <w:r>
              <w:rPr>
                <w:b/>
                <w:sz w:val="22"/>
              </w:rPr>
              <w:t>Gráfica 7.10.</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500" w:lineRule="atLeast" w:before="168"/>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7"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860" w:type="dxa"/>
            <w:vMerge w:val="restart"/>
          </w:tcPr>
          <w:p>
            <w:pPr>
              <w:pStyle w:val="TableParagraph"/>
              <w:tabs>
                <w:tab w:pos="1525" w:val="left" w:leader="none"/>
              </w:tabs>
              <w:ind w:right="101"/>
              <w:jc w:val="both"/>
              <w:rPr>
                <w:sz w:val="20"/>
              </w:rPr>
            </w:pPr>
            <w:r>
              <w:rPr>
                <w:sz w:val="20"/>
              </w:rPr>
              <w:t>Clasificación por número</w:t>
              <w:tab/>
              <w:t>de</w:t>
            </w:r>
            <w:r>
              <w:rPr>
                <w:w w:val="99"/>
                <w:sz w:val="20"/>
              </w:rPr>
              <w:t> </w:t>
            </w:r>
            <w:r>
              <w:rPr>
                <w:sz w:val="20"/>
              </w:rPr>
              <w:t>eventos en el período</w:t>
            </w:r>
          </w:p>
        </w:tc>
        <w:tc>
          <w:tcPr>
            <w:tcW w:w="8390" w:type="dxa"/>
            <w:gridSpan w:val="4"/>
          </w:tcPr>
          <w:p>
            <w:pPr>
              <w:pStyle w:val="TableParagraph"/>
              <w:spacing w:line="242" w:lineRule="auto"/>
              <w:ind w:right="105"/>
              <w:rPr>
                <w:sz w:val="20"/>
              </w:rPr>
            </w:pPr>
            <w:r>
              <w:rPr>
                <w:sz w:val="20"/>
              </w:rPr>
              <w:t>Clasificación por </w:t>
            </w:r>
            <w:r>
              <w:rPr>
                <w:b/>
                <w:sz w:val="20"/>
              </w:rPr>
              <w:t>características de impacto positivo o negativo </w:t>
            </w:r>
            <w:r>
              <w:rPr>
                <w:sz w:val="20"/>
              </w:rPr>
              <w:t>en los ámbitos ambiental-sociopolítico-económico</w:t>
            </w:r>
          </w:p>
        </w:tc>
        <w:tc>
          <w:tcPr>
            <w:tcW w:w="1615" w:type="dxa"/>
            <w:vMerge w:val="restart"/>
            <w:tcBorders>
              <w:right w:val="double" w:sz="12" w:space="0" w:color="000000"/>
            </w:tcBorders>
          </w:tcPr>
          <w:p>
            <w:pPr>
              <w:pStyle w:val="TableParagraph"/>
              <w:spacing w:before="117"/>
              <w:ind w:left="231" w:right="229"/>
              <w:jc w:val="center"/>
              <w:rPr>
                <w:sz w:val="20"/>
              </w:rPr>
            </w:pPr>
            <w:r>
              <w:rPr>
                <w:w w:val="95"/>
                <w:sz w:val="20"/>
              </w:rPr>
              <w:t>Clasificación </w:t>
            </w:r>
            <w:r>
              <w:rPr>
                <w:sz w:val="20"/>
              </w:rPr>
              <w:t>de la calificación</w:t>
            </w:r>
          </w:p>
        </w:tc>
      </w:tr>
      <w:tr>
        <w:trPr>
          <w:trHeight w:val="480"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27" w:lineRule="exact"/>
              <w:rPr>
                <w:sz w:val="20"/>
              </w:rPr>
            </w:pPr>
            <w:r>
              <w:rPr>
                <w:sz w:val="20"/>
              </w:rPr>
              <w:t>Subsistema</w:t>
            </w:r>
          </w:p>
        </w:tc>
        <w:tc>
          <w:tcPr>
            <w:tcW w:w="3132" w:type="dxa"/>
          </w:tcPr>
          <w:p>
            <w:pPr>
              <w:pStyle w:val="TableParagraph"/>
              <w:spacing w:line="227" w:lineRule="exact"/>
              <w:ind w:right="98"/>
              <w:rPr>
                <w:sz w:val="20"/>
              </w:rPr>
            </w:pPr>
            <w:r>
              <w:rPr>
                <w:sz w:val="20"/>
              </w:rPr>
              <w:t>características</w:t>
            </w:r>
          </w:p>
        </w:tc>
        <w:tc>
          <w:tcPr>
            <w:tcW w:w="1476" w:type="dxa"/>
          </w:tcPr>
          <w:p>
            <w:pPr>
              <w:pStyle w:val="TableParagraph"/>
              <w:tabs>
                <w:tab w:pos="1139" w:val="left" w:leader="none"/>
              </w:tabs>
              <w:spacing w:line="227" w:lineRule="exact"/>
              <w:rPr>
                <w:sz w:val="20"/>
              </w:rPr>
            </w:pPr>
            <w:r>
              <w:rPr>
                <w:sz w:val="20"/>
              </w:rPr>
              <w:t>%</w:t>
              <w:tab/>
              <w:t>de</w:t>
            </w:r>
          </w:p>
          <w:p>
            <w:pPr>
              <w:pStyle w:val="TableParagraph"/>
              <w:rPr>
                <w:sz w:val="20"/>
              </w:rPr>
            </w:pPr>
            <w:r>
              <w:rPr>
                <w:sz w:val="20"/>
              </w:rPr>
              <w:t>cumplimiento</w:t>
            </w:r>
          </w:p>
        </w:tc>
        <w:tc>
          <w:tcPr>
            <w:tcW w:w="2429" w:type="dxa"/>
          </w:tcPr>
          <w:p>
            <w:pPr>
              <w:pStyle w:val="TableParagraph"/>
              <w:spacing w:line="227" w:lineRule="exact"/>
              <w:rPr>
                <w:sz w:val="20"/>
              </w:rPr>
            </w:pPr>
            <w:r>
              <w:rPr>
                <w:sz w:val="20"/>
              </w:rPr>
              <w:t>Observaciones</w:t>
            </w:r>
          </w:p>
        </w:tc>
        <w:tc>
          <w:tcPr>
            <w:tcW w:w="1615"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860"/>
        <w:gridCol w:w="1352"/>
        <w:gridCol w:w="3132"/>
        <w:gridCol w:w="1476"/>
        <w:gridCol w:w="2429"/>
        <w:gridCol w:w="1615"/>
      </w:tblGrid>
      <w:tr>
        <w:trPr>
          <w:trHeight w:val="2549" w:hRule="exact"/>
        </w:trPr>
        <w:tc>
          <w:tcPr>
            <w:tcW w:w="957"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20"/>
              </w:rPr>
            </w:pPr>
          </w:p>
          <w:p>
            <w:pPr>
              <w:pStyle w:val="TableParagraph"/>
              <w:spacing w:before="1"/>
              <w:ind w:left="232"/>
              <w:rPr>
                <w:sz w:val="20"/>
              </w:rPr>
            </w:pPr>
            <w:r>
              <w:rPr>
                <w:sz w:val="20"/>
              </w:rPr>
              <w:t>1400</w:t>
            </w:r>
          </w:p>
        </w:tc>
        <w:tc>
          <w:tcPr>
            <w:tcW w:w="1860"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2"/>
              <w:jc w:val="center"/>
              <w:rPr>
                <w:b/>
                <w:sz w:val="20"/>
              </w:rPr>
            </w:pPr>
            <w:r>
              <w:rPr>
                <w:b/>
                <w:w w:val="99"/>
                <w:sz w:val="20"/>
              </w:rPr>
              <w:t>1</w:t>
            </w:r>
          </w:p>
        </w:tc>
        <w:tc>
          <w:tcPr>
            <w:tcW w:w="1352" w:type="dxa"/>
          </w:tcPr>
          <w:p>
            <w:pPr>
              <w:pStyle w:val="TableParagraph"/>
              <w:spacing w:before="7"/>
              <w:rPr>
                <w:sz w:val="20"/>
              </w:rPr>
            </w:pPr>
            <w:r>
              <w:rPr>
                <w:sz w:val="20"/>
              </w:rPr>
              <w:t>Ambiental</w:t>
            </w:r>
          </w:p>
        </w:tc>
        <w:tc>
          <w:tcPr>
            <w:tcW w:w="3132" w:type="dxa"/>
          </w:tcPr>
          <w:p>
            <w:pPr>
              <w:pStyle w:val="TableParagraph"/>
              <w:numPr>
                <w:ilvl w:val="0"/>
                <w:numId w:val="172"/>
              </w:numPr>
              <w:tabs>
                <w:tab w:pos="812" w:val="left" w:leader="none"/>
              </w:tabs>
              <w:spacing w:line="240" w:lineRule="auto" w:before="7" w:after="0"/>
              <w:ind w:left="280" w:right="103" w:hanging="141"/>
              <w:jc w:val="both"/>
              <w:rPr>
                <w:sz w:val="20"/>
              </w:rPr>
            </w:pPr>
            <w:r>
              <w:rPr>
                <w:sz w:val="20"/>
              </w:rPr>
              <w:t>Existe equilibrio de dominio de los recursos naturales de la CHPH entre  los</w:t>
            </w:r>
            <w:r>
              <w:rPr>
                <w:spacing w:val="-5"/>
                <w:sz w:val="20"/>
              </w:rPr>
              <w:t> </w:t>
            </w:r>
            <w:r>
              <w:rPr>
                <w:sz w:val="20"/>
              </w:rPr>
              <w:t>actores</w:t>
            </w:r>
          </w:p>
          <w:p>
            <w:pPr>
              <w:pStyle w:val="TableParagraph"/>
              <w:numPr>
                <w:ilvl w:val="0"/>
                <w:numId w:val="172"/>
              </w:numPr>
              <w:tabs>
                <w:tab w:pos="812" w:val="left" w:leader="none"/>
              </w:tabs>
              <w:spacing w:line="240" w:lineRule="auto" w:before="0" w:after="0"/>
              <w:ind w:left="280" w:right="104" w:hanging="141"/>
              <w:jc w:val="both"/>
              <w:rPr>
                <w:sz w:val="20"/>
              </w:rPr>
            </w:pPr>
            <w:r>
              <w:rPr>
                <w:sz w:val="20"/>
              </w:rPr>
              <w:t>Existe participación sociopolítica de los actores para cuidar el medio ambiente de la</w:t>
            </w:r>
            <w:r>
              <w:rPr>
                <w:spacing w:val="-4"/>
                <w:sz w:val="20"/>
              </w:rPr>
              <w:t> </w:t>
            </w:r>
            <w:r>
              <w:rPr>
                <w:sz w:val="20"/>
              </w:rPr>
              <w:t>CHPH</w:t>
            </w:r>
          </w:p>
          <w:p>
            <w:pPr>
              <w:pStyle w:val="TableParagraph"/>
              <w:numPr>
                <w:ilvl w:val="0"/>
                <w:numId w:val="172"/>
              </w:numPr>
              <w:tabs>
                <w:tab w:pos="812" w:val="left" w:leader="none"/>
                <w:tab w:pos="2048" w:val="left" w:leader="none"/>
              </w:tabs>
              <w:spacing w:line="240" w:lineRule="auto" w:before="0" w:after="0"/>
              <w:ind w:left="280" w:right="103" w:hanging="141"/>
              <w:jc w:val="both"/>
              <w:rPr>
                <w:sz w:val="20"/>
              </w:rPr>
            </w:pPr>
            <w:r>
              <w:rPr>
                <w:sz w:val="20"/>
              </w:rPr>
              <w:t>Existe</w:t>
              <w:tab/>
              <w:t>planeación ambiental con articulación entre</w:t>
            </w:r>
            <w:r>
              <w:rPr>
                <w:spacing w:val="-5"/>
                <w:sz w:val="20"/>
              </w:rPr>
              <w:t> </w:t>
            </w:r>
            <w:r>
              <w:rPr>
                <w:sz w:val="20"/>
              </w:rPr>
              <w:t>actores</w:t>
            </w:r>
          </w:p>
        </w:tc>
        <w:tc>
          <w:tcPr>
            <w:tcW w:w="147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1"/>
              </w:rPr>
            </w:pPr>
          </w:p>
          <w:p>
            <w:pPr>
              <w:pStyle w:val="TableParagraph"/>
              <w:spacing w:before="1"/>
              <w:ind w:left="477"/>
              <w:rPr>
                <w:sz w:val="20"/>
              </w:rPr>
            </w:pPr>
            <w:r>
              <w:rPr>
                <w:sz w:val="20"/>
              </w:rPr>
              <w:t>100%</w:t>
            </w:r>
          </w:p>
        </w:tc>
        <w:tc>
          <w:tcPr>
            <w:tcW w:w="2429" w:type="dxa"/>
            <w:vMerge w:val="restart"/>
          </w:tcPr>
          <w:p>
            <w:pPr>
              <w:pStyle w:val="TableParagraph"/>
              <w:spacing w:line="242" w:lineRule="auto" w:before="4"/>
              <w:ind w:right="103"/>
              <w:jc w:val="both"/>
              <w:rPr>
                <w:sz w:val="20"/>
              </w:rPr>
            </w:pPr>
            <w:r>
              <w:rPr>
                <w:sz w:val="20"/>
              </w:rPr>
              <w:t>Debe reunir al </w:t>
            </w:r>
            <w:r>
              <w:rPr>
                <w:b/>
                <w:sz w:val="20"/>
              </w:rPr>
              <w:t>100% las tres </w:t>
            </w:r>
            <w:r>
              <w:rPr>
                <w:sz w:val="20"/>
              </w:rPr>
              <w:t>características de impacto positivo</w:t>
            </w:r>
          </w:p>
        </w:tc>
        <w:tc>
          <w:tcPr>
            <w:tcW w:w="1615"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16"/>
              <w:rPr>
                <w:b/>
                <w:sz w:val="20"/>
              </w:rPr>
            </w:pPr>
            <w:r>
              <w:rPr>
                <w:b/>
                <w:sz w:val="20"/>
              </w:rPr>
              <w:t>Excelente</w:t>
            </w:r>
          </w:p>
        </w:tc>
      </w:tr>
      <w:tr>
        <w:trPr>
          <w:trHeight w:val="2540"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27" w:lineRule="exact"/>
              <w:rPr>
                <w:sz w:val="20"/>
              </w:rPr>
            </w:pPr>
            <w:r>
              <w:rPr>
                <w:sz w:val="20"/>
              </w:rPr>
              <w:t>Económico</w:t>
            </w:r>
          </w:p>
        </w:tc>
        <w:tc>
          <w:tcPr>
            <w:tcW w:w="3132" w:type="dxa"/>
          </w:tcPr>
          <w:p>
            <w:pPr>
              <w:pStyle w:val="TableParagraph"/>
              <w:numPr>
                <w:ilvl w:val="0"/>
                <w:numId w:val="173"/>
              </w:numPr>
              <w:tabs>
                <w:tab w:pos="812" w:val="left" w:leader="none"/>
                <w:tab w:pos="2005"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de  la CHPH entre los</w:t>
            </w:r>
            <w:r>
              <w:rPr>
                <w:spacing w:val="-7"/>
                <w:sz w:val="20"/>
              </w:rPr>
              <w:t> </w:t>
            </w:r>
            <w:r>
              <w:rPr>
                <w:sz w:val="20"/>
              </w:rPr>
              <w:t>actores</w:t>
            </w:r>
          </w:p>
          <w:p>
            <w:pPr>
              <w:pStyle w:val="TableParagraph"/>
              <w:numPr>
                <w:ilvl w:val="0"/>
                <w:numId w:val="173"/>
              </w:numPr>
              <w:tabs>
                <w:tab w:pos="812" w:val="left" w:leader="none"/>
                <w:tab w:pos="1993" w:val="left" w:leader="none"/>
              </w:tabs>
              <w:spacing w:line="240" w:lineRule="auto" w:before="0" w:after="0"/>
              <w:ind w:left="280" w:right="102" w:hanging="141"/>
              <w:jc w:val="both"/>
              <w:rPr>
                <w:sz w:val="20"/>
              </w:rPr>
            </w:pPr>
            <w:r>
              <w:rPr>
                <w:sz w:val="20"/>
              </w:rPr>
              <w:t>Existe</w:t>
              <w:tab/>
              <w:t>crecimiento económico equitativo de los cinco municipios (Acambay, Aculco, Jilotepec, Timilpan y Polotitlán) de la</w:t>
            </w:r>
            <w:r>
              <w:rPr>
                <w:spacing w:val="-10"/>
                <w:sz w:val="20"/>
              </w:rPr>
              <w:t> </w:t>
            </w:r>
            <w:r>
              <w:rPr>
                <w:sz w:val="20"/>
              </w:rPr>
              <w:t>CHPH</w:t>
            </w:r>
          </w:p>
          <w:p>
            <w:pPr>
              <w:pStyle w:val="TableParagraph"/>
              <w:numPr>
                <w:ilvl w:val="0"/>
                <w:numId w:val="173"/>
              </w:numPr>
              <w:tabs>
                <w:tab w:pos="812" w:val="left" w:leader="none"/>
                <w:tab w:pos="2048"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6" w:type="dxa"/>
            <w:vMerge/>
          </w:tcPr>
          <w:p>
            <w:pPr/>
          </w:p>
        </w:tc>
        <w:tc>
          <w:tcPr>
            <w:tcW w:w="2429" w:type="dxa"/>
            <w:vMerge/>
          </w:tcPr>
          <w:p>
            <w:pPr/>
          </w:p>
        </w:tc>
        <w:tc>
          <w:tcPr>
            <w:tcW w:w="1615" w:type="dxa"/>
            <w:vMerge/>
            <w:tcBorders>
              <w:right w:val="double" w:sz="12" w:space="0" w:color="000000"/>
            </w:tcBorders>
            <w:shd w:val="clear" w:color="auto" w:fill="00FF00"/>
          </w:tcPr>
          <w:p>
            <w:pPr/>
          </w:p>
        </w:tc>
      </w:tr>
      <w:tr>
        <w:trPr>
          <w:trHeight w:val="3461"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30" w:lineRule="exact"/>
              <w:rPr>
                <w:sz w:val="20"/>
              </w:rPr>
            </w:pPr>
            <w:r>
              <w:rPr>
                <w:sz w:val="20"/>
              </w:rPr>
              <w:t>Sociopolítico</w:t>
            </w:r>
          </w:p>
        </w:tc>
        <w:tc>
          <w:tcPr>
            <w:tcW w:w="3132" w:type="dxa"/>
          </w:tcPr>
          <w:p>
            <w:pPr>
              <w:pStyle w:val="TableParagraph"/>
              <w:ind w:left="280" w:right="104" w:hanging="178"/>
              <w:jc w:val="both"/>
              <w:rPr>
                <w:sz w:val="20"/>
              </w:rPr>
            </w:pPr>
            <w:r>
              <w:rPr>
                <w:rFonts w:ascii="Wingdings" w:hAnsi="Wingdings"/>
                <w:sz w:val="20"/>
              </w:rPr>
              <w:t></w:t>
            </w:r>
            <w:r>
              <w:rPr>
                <w:sz w:val="20"/>
              </w:rPr>
              <w:t>Favorece el equilibrio  de poder entre actores e instituciones políticas en la CHPH</w:t>
            </w:r>
          </w:p>
          <w:p>
            <w:pPr>
              <w:pStyle w:val="TableParagraph"/>
              <w:ind w:left="280" w:right="103" w:hanging="178"/>
              <w:jc w:val="both"/>
              <w:rPr>
                <w:sz w:val="20"/>
              </w:rPr>
            </w:pPr>
            <w:r>
              <w:rPr>
                <w:rFonts w:ascii="Wingdings" w:hAnsi="Wingdings"/>
                <w:sz w:val="20"/>
              </w:rPr>
              <w:t></w:t>
            </w:r>
            <w:r>
              <w:rPr>
                <w:sz w:val="20"/>
              </w:rPr>
              <w:t>Favorece la creación de instituciones sociopolíticas y democráticas en la CHPH</w:t>
            </w:r>
          </w:p>
          <w:p>
            <w:pPr>
              <w:pStyle w:val="TableParagraph"/>
              <w:ind w:left="280" w:right="105" w:hanging="178"/>
              <w:jc w:val="both"/>
              <w:rPr>
                <w:sz w:val="20"/>
              </w:rPr>
            </w:pPr>
            <w:r>
              <w:rPr>
                <w:rFonts w:ascii="Wingdings" w:hAnsi="Wingdings"/>
                <w:sz w:val="20"/>
              </w:rPr>
              <w:t></w:t>
            </w:r>
            <w:r>
              <w:rPr>
                <w:sz w:val="20"/>
              </w:rPr>
              <w:t>Favorece la articulación entre actores a través de la participación política</w:t>
            </w:r>
          </w:p>
          <w:p>
            <w:pPr>
              <w:pStyle w:val="TableParagraph"/>
              <w:ind w:right="98"/>
              <w:rPr>
                <w:sz w:val="20"/>
              </w:rPr>
            </w:pPr>
            <w:r>
              <w:rPr>
                <w:rFonts w:ascii="Wingdings" w:hAnsi="Wingdings"/>
                <w:sz w:val="20"/>
              </w:rPr>
              <w:t></w:t>
            </w:r>
            <w:r>
              <w:rPr>
                <w:sz w:val="20"/>
              </w:rPr>
              <w:t>Favorece la GIRH</w:t>
            </w:r>
          </w:p>
          <w:p>
            <w:pPr>
              <w:pStyle w:val="TableParagraph"/>
              <w:ind w:right="98"/>
              <w:rPr>
                <w:sz w:val="20"/>
              </w:rPr>
            </w:pPr>
            <w:r>
              <w:rPr>
                <w:rFonts w:ascii="Wingdings" w:hAnsi="Wingdings"/>
                <w:sz w:val="20"/>
              </w:rPr>
              <w:t></w:t>
            </w:r>
            <w:r>
              <w:rPr>
                <w:sz w:val="20"/>
              </w:rPr>
              <w:t>Favorece la gobernanza</w:t>
            </w:r>
          </w:p>
          <w:p>
            <w:pPr>
              <w:pStyle w:val="TableParagraph"/>
              <w:spacing w:line="229" w:lineRule="exact"/>
              <w:ind w:right="98"/>
              <w:rPr>
                <w:sz w:val="20"/>
              </w:rPr>
            </w:pPr>
            <w:r>
              <w:rPr>
                <w:rFonts w:ascii="Wingdings" w:hAnsi="Wingdings"/>
                <w:sz w:val="20"/>
              </w:rPr>
              <w:t></w:t>
            </w:r>
            <w:r>
              <w:rPr>
                <w:sz w:val="20"/>
              </w:rPr>
              <w:t>Fortalece la gobernabilidad</w:t>
            </w:r>
          </w:p>
          <w:p>
            <w:pPr>
              <w:pStyle w:val="TableParagraph"/>
              <w:ind w:left="280" w:right="104" w:hanging="178"/>
              <w:jc w:val="both"/>
              <w:rPr>
                <w:sz w:val="20"/>
              </w:rPr>
            </w:pPr>
            <w:r>
              <w:rPr>
                <w:rFonts w:ascii="Wingdings" w:hAnsi="Wingdings"/>
                <w:sz w:val="20"/>
              </w:rPr>
              <w:t></w:t>
            </w:r>
            <w:r>
              <w:rPr>
                <w:sz w:val="20"/>
              </w:rPr>
              <w:t>Existe planeación sociopolítica con articulación entre actores</w:t>
            </w:r>
          </w:p>
        </w:tc>
        <w:tc>
          <w:tcPr>
            <w:tcW w:w="1476" w:type="dxa"/>
            <w:vMerge/>
          </w:tcPr>
          <w:p>
            <w:pPr/>
          </w:p>
        </w:tc>
        <w:tc>
          <w:tcPr>
            <w:tcW w:w="2429" w:type="dxa"/>
            <w:vMerge/>
          </w:tcPr>
          <w:p>
            <w:pPr/>
          </w:p>
        </w:tc>
        <w:tc>
          <w:tcPr>
            <w:tcW w:w="1615" w:type="dxa"/>
            <w:vMerge/>
            <w:tcBorders>
              <w:right w:val="double" w:sz="12" w:space="0" w:color="000000"/>
            </w:tcBorders>
            <w:shd w:val="clear" w:color="auto" w:fill="00FF00"/>
          </w:tcPr>
          <w:p>
            <w:pPr/>
          </w:p>
        </w:tc>
      </w:tr>
      <w:tr>
        <w:trPr>
          <w:trHeight w:val="240" w:hRule="exact"/>
        </w:trPr>
        <w:tc>
          <w:tcPr>
            <w:tcW w:w="957" w:type="dxa"/>
            <w:tcBorders>
              <w:left w:val="double" w:sz="11" w:space="0" w:color="000000"/>
              <w:bottom w:val="single" w:sz="8" w:space="0" w:color="000000"/>
            </w:tcBorders>
          </w:tcPr>
          <w:p>
            <w:pPr/>
          </w:p>
        </w:tc>
        <w:tc>
          <w:tcPr>
            <w:tcW w:w="1860" w:type="dxa"/>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Ambiental</w:t>
            </w:r>
          </w:p>
        </w:tc>
        <w:tc>
          <w:tcPr>
            <w:tcW w:w="3132" w:type="dxa"/>
            <w:tcBorders>
              <w:bottom w:val="single" w:sz="8" w:space="0" w:color="000000"/>
            </w:tcBorders>
          </w:tcPr>
          <w:p>
            <w:pPr>
              <w:pStyle w:val="TableParagraph"/>
              <w:numPr>
                <w:ilvl w:val="0"/>
                <w:numId w:val="174"/>
              </w:numPr>
              <w:tabs>
                <w:tab w:pos="811" w:val="left" w:leader="none"/>
                <w:tab w:pos="812" w:val="left" w:leader="none"/>
                <w:tab w:pos="1674" w:val="left" w:leader="none"/>
                <w:tab w:pos="2794" w:val="left" w:leader="none"/>
              </w:tabs>
              <w:spacing w:line="227" w:lineRule="exact" w:before="0" w:after="0"/>
              <w:ind w:left="811" w:right="0" w:hanging="672"/>
              <w:jc w:val="left"/>
              <w:rPr>
                <w:sz w:val="20"/>
              </w:rPr>
            </w:pPr>
            <w:r>
              <w:rPr>
                <w:sz w:val="20"/>
              </w:rPr>
              <w:t>Existe</w:t>
              <w:tab/>
              <w:t>equilibrio</w:t>
              <w:tab/>
              <w:t>de</w:t>
            </w:r>
          </w:p>
        </w:tc>
        <w:tc>
          <w:tcPr>
            <w:tcW w:w="1476" w:type="dxa"/>
            <w:tcBorders>
              <w:bottom w:val="single" w:sz="8" w:space="0" w:color="000000"/>
            </w:tcBorders>
          </w:tcPr>
          <w:p>
            <w:pPr/>
          </w:p>
        </w:tc>
        <w:tc>
          <w:tcPr>
            <w:tcW w:w="2429" w:type="dxa"/>
            <w:tcBorders>
              <w:bottom w:val="single" w:sz="8" w:space="0" w:color="000000"/>
            </w:tcBorders>
          </w:tcPr>
          <w:p>
            <w:pPr>
              <w:pStyle w:val="TableParagraph"/>
              <w:spacing w:line="225" w:lineRule="exact"/>
              <w:rPr>
                <w:b/>
                <w:sz w:val="20"/>
              </w:rPr>
            </w:pPr>
            <w:r>
              <w:rPr>
                <w:sz w:val="20"/>
              </w:rPr>
              <w:t>Debe reunir </w:t>
            </w:r>
            <w:r>
              <w:rPr>
                <w:b/>
                <w:sz w:val="20"/>
              </w:rPr>
              <w:t>al menos el</w:t>
            </w:r>
          </w:p>
        </w:tc>
        <w:tc>
          <w:tcPr>
            <w:tcW w:w="1615" w:type="dxa"/>
            <w:tcBorders>
              <w:bottom w:val="single" w:sz="8" w:space="0" w:color="000000"/>
              <w:right w:val="double" w:sz="12" w:space="0" w:color="000000"/>
            </w:tcBorders>
          </w:tcPr>
          <w:p>
            <w:pPr>
              <w:pStyle w:val="TableParagraph"/>
              <w:spacing w:line="230" w:lineRule="exact"/>
              <w:ind w:left="0" w:right="-50"/>
              <w:rPr>
                <w:rFonts w:ascii="Times New Roman"/>
                <w:sz w:val="20"/>
              </w:rPr>
            </w:pPr>
            <w:r>
              <w:rPr>
                <w:rFonts w:ascii="Times New Roman"/>
                <w:position w:val="-4"/>
                <w:sz w:val="20"/>
              </w:rPr>
              <w:pict>
                <v:group style="width:78.4pt;height:11.55pt;mso-position-horizontal-relative:char;mso-position-vertical-relative:line" coordorigin="0,0" coordsize="1568,231">
                  <v:shape style="position:absolute;left:0;top:0;width:1567;height:230" type="#_x0000_t75" stroked="false">
                    <v:imagedata r:id="rId390" o:title=""/>
                  </v:shape>
                  <v:shape style="position:absolute;left:103;top:0;width:1361;height:230" type="#_x0000_t75" stroked="false">
                    <v:imagedata r:id="rId391" o:title=""/>
                  </v:shape>
                </v:group>
              </w:pict>
            </w:r>
            <w:r>
              <w:rPr>
                <w:rFonts w:ascii="Times New Roman"/>
                <w:position w:val="-4"/>
                <w:sz w:val="20"/>
              </w:rPr>
            </w:r>
          </w:p>
        </w:tc>
      </w:tr>
    </w:tbl>
    <w:p>
      <w:pPr>
        <w:spacing w:after="0" w:line="230" w:lineRule="exact"/>
        <w:rPr>
          <w:rFonts w:ascii="Times New Roman"/>
          <w:sz w:val="20"/>
        </w:rPr>
        <w:sectPr>
          <w:pgSz w:w="15840" w:h="12240" w:orient="landscape"/>
          <w:pgMar w:header="0" w:footer="943" w:top="1140" w:bottom="1140" w:left="1200" w:right="1300"/>
        </w:sectPr>
      </w:pPr>
    </w:p>
    <w:p>
      <w:pPr>
        <w:pStyle w:val="BodyText"/>
        <w:rPr>
          <w:rFonts w:ascii="Times New Roman"/>
          <w:sz w:val="20"/>
        </w:rPr>
      </w:pPr>
      <w:r>
        <w:rPr/>
        <w:pict>
          <v:group style="position:absolute;margin-left:627.940002pt;margin-top:86.059998pt;width:78.4pt;height:403.55pt;mso-position-horizontal-relative:page;mso-position-vertical-relative:page;z-index:-3329896" coordorigin="12559,1721" coordsize="1568,8071">
            <v:shape style="position:absolute;left:12559;top:1721;width:1567;height:8070" type="#_x0000_t75" stroked="false">
              <v:imagedata r:id="rId392" o:title=""/>
            </v:shape>
            <v:shape style="position:absolute;left:12662;top:1721;width:1361;height:230" type="#_x0000_t75" stroked="false">
              <v:imagedata r:id="rId290" o:title=""/>
            </v:shape>
            <v:shape style="position:absolute;left:12662;top:1952;width:1361;height:230" type="#_x0000_t75" stroked="false">
              <v:imagedata r:id="rId291" o:title=""/>
            </v:shape>
            <v:shape style="position:absolute;left:12662;top:2182;width:1361;height:230" type="#_x0000_t75" stroked="false">
              <v:imagedata r:id="rId292" o:title=""/>
            </v:shape>
            <v:shape style="position:absolute;left:12662;top:2412;width:1361;height:228" type="#_x0000_t75" stroked="false">
              <v:imagedata r:id="rId393" o:title=""/>
            </v:shape>
            <v:shape style="position:absolute;left:12662;top:2640;width:1361;height:230" type="#_x0000_t75" stroked="false">
              <v:imagedata r:id="rId394" o:title=""/>
            </v:shape>
            <v:shape style="position:absolute;left:12662;top:2871;width:1361;height:230" type="#_x0000_t75" stroked="false">
              <v:imagedata r:id="rId395" o:title=""/>
            </v:shape>
            <v:shape style="position:absolute;left:12662;top:3101;width:1361;height:230" type="#_x0000_t75" stroked="false">
              <v:imagedata r:id="rId396" o:title=""/>
            </v:shape>
            <v:shape style="position:absolute;left:12662;top:3332;width:1361;height:230" type="#_x0000_t75" stroked="false">
              <v:imagedata r:id="rId397"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860"/>
        <w:gridCol w:w="1352"/>
        <w:gridCol w:w="3132"/>
        <w:gridCol w:w="1476"/>
        <w:gridCol w:w="2429"/>
        <w:gridCol w:w="1615"/>
      </w:tblGrid>
      <w:tr>
        <w:trPr>
          <w:trHeight w:val="2090" w:hRule="exact"/>
        </w:trPr>
        <w:tc>
          <w:tcPr>
            <w:tcW w:w="957"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232"/>
              <w:rPr>
                <w:sz w:val="20"/>
              </w:rPr>
            </w:pPr>
            <w:r>
              <w:rPr>
                <w:sz w:val="20"/>
              </w:rPr>
              <w:t>1519</w:t>
            </w:r>
          </w:p>
        </w:tc>
        <w:tc>
          <w:tcPr>
            <w:tcW w:w="1860"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2"/>
              <w:jc w:val="center"/>
              <w:rPr>
                <w:b/>
                <w:sz w:val="20"/>
              </w:rPr>
            </w:pPr>
            <w:r>
              <w:rPr>
                <w:b/>
                <w:w w:val="99"/>
                <w:sz w:val="20"/>
              </w:rPr>
              <w:t>1</w:t>
            </w:r>
          </w:p>
        </w:tc>
        <w:tc>
          <w:tcPr>
            <w:tcW w:w="1352" w:type="dxa"/>
          </w:tcPr>
          <w:p>
            <w:pPr/>
          </w:p>
        </w:tc>
        <w:tc>
          <w:tcPr>
            <w:tcW w:w="3132" w:type="dxa"/>
          </w:tcPr>
          <w:p>
            <w:pPr>
              <w:pStyle w:val="TableParagraph"/>
              <w:spacing w:before="7"/>
              <w:ind w:left="280" w:right="103"/>
              <w:jc w:val="both"/>
              <w:rPr>
                <w:sz w:val="20"/>
              </w:rPr>
            </w:pPr>
            <w:r>
              <w:rPr>
                <w:sz w:val="20"/>
              </w:rPr>
              <w:t>dominio de los recursos naturales de la CHPH entre  los</w:t>
            </w:r>
            <w:r>
              <w:rPr>
                <w:spacing w:val="-5"/>
                <w:sz w:val="20"/>
              </w:rPr>
              <w:t> </w:t>
            </w:r>
            <w:r>
              <w:rPr>
                <w:sz w:val="20"/>
              </w:rPr>
              <w:t>actores</w:t>
            </w:r>
          </w:p>
          <w:p>
            <w:pPr>
              <w:pStyle w:val="TableParagraph"/>
              <w:numPr>
                <w:ilvl w:val="0"/>
                <w:numId w:val="175"/>
              </w:numPr>
              <w:tabs>
                <w:tab w:pos="812" w:val="left" w:leader="none"/>
              </w:tabs>
              <w:spacing w:line="240" w:lineRule="auto" w:before="0" w:after="0"/>
              <w:ind w:left="280" w:right="104" w:hanging="141"/>
              <w:jc w:val="both"/>
              <w:rPr>
                <w:sz w:val="20"/>
              </w:rPr>
            </w:pPr>
            <w:r>
              <w:rPr>
                <w:sz w:val="20"/>
              </w:rPr>
              <w:t>Existe participación sociopolítica de los actores para cuidar el medio ambiente de la</w:t>
            </w:r>
            <w:r>
              <w:rPr>
                <w:spacing w:val="-4"/>
                <w:sz w:val="20"/>
              </w:rPr>
              <w:t> </w:t>
            </w:r>
            <w:r>
              <w:rPr>
                <w:sz w:val="20"/>
              </w:rPr>
              <w:t>CHPH</w:t>
            </w:r>
          </w:p>
          <w:p>
            <w:pPr>
              <w:pStyle w:val="TableParagraph"/>
              <w:ind w:left="280" w:right="102"/>
              <w:jc w:val="both"/>
              <w:rPr>
                <w:sz w:val="20"/>
              </w:rPr>
            </w:pPr>
            <w:r>
              <w:rPr>
                <w:sz w:val="20"/>
              </w:rPr>
              <w:t>Existe planeación ambiental con articulación entre actores</w:t>
            </w:r>
          </w:p>
        </w:tc>
        <w:tc>
          <w:tcPr>
            <w:tcW w:w="147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513" w:right="513"/>
              <w:jc w:val="center"/>
              <w:rPr>
                <w:sz w:val="20"/>
              </w:rPr>
            </w:pPr>
            <w:r>
              <w:rPr>
                <w:sz w:val="20"/>
              </w:rPr>
              <w:t>75%</w:t>
            </w:r>
          </w:p>
        </w:tc>
        <w:tc>
          <w:tcPr>
            <w:tcW w:w="2429" w:type="dxa"/>
            <w:vMerge w:val="restart"/>
          </w:tcPr>
          <w:p>
            <w:pPr>
              <w:pStyle w:val="TableParagraph"/>
              <w:tabs>
                <w:tab w:pos="2091" w:val="left" w:leader="none"/>
              </w:tabs>
              <w:spacing w:line="242" w:lineRule="auto" w:before="4"/>
              <w:ind w:right="104"/>
              <w:jc w:val="both"/>
              <w:rPr>
                <w:sz w:val="20"/>
              </w:rPr>
            </w:pPr>
            <w:r>
              <w:rPr>
                <w:b/>
                <w:sz w:val="20"/>
              </w:rPr>
              <w:t>75% </w:t>
            </w:r>
            <w:r>
              <w:rPr>
                <w:sz w:val="20"/>
              </w:rPr>
              <w:t>dos de tres características</w:t>
              <w:tab/>
              <w:t>de impacto</w:t>
            </w:r>
            <w:r>
              <w:rPr>
                <w:spacing w:val="-3"/>
                <w:sz w:val="20"/>
              </w:rPr>
              <w:t> </w:t>
            </w:r>
            <w:r>
              <w:rPr>
                <w:sz w:val="20"/>
              </w:rPr>
              <w:t>positivo</w:t>
            </w:r>
          </w:p>
        </w:tc>
        <w:tc>
          <w:tcPr>
            <w:tcW w:w="1615"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472"/>
              <w:rPr>
                <w:b/>
                <w:sz w:val="20"/>
              </w:rPr>
            </w:pPr>
            <w:r>
              <w:rPr>
                <w:b/>
                <w:sz w:val="20"/>
              </w:rPr>
              <w:t>Bueno</w:t>
            </w:r>
          </w:p>
        </w:tc>
      </w:tr>
      <w:tr>
        <w:trPr>
          <w:trHeight w:val="2540"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28" w:lineRule="exact"/>
              <w:rPr>
                <w:sz w:val="20"/>
              </w:rPr>
            </w:pPr>
            <w:r>
              <w:rPr>
                <w:sz w:val="20"/>
              </w:rPr>
              <w:t>Económico</w:t>
            </w:r>
          </w:p>
        </w:tc>
        <w:tc>
          <w:tcPr>
            <w:tcW w:w="3132" w:type="dxa"/>
          </w:tcPr>
          <w:p>
            <w:pPr>
              <w:pStyle w:val="TableParagraph"/>
              <w:numPr>
                <w:ilvl w:val="0"/>
                <w:numId w:val="176"/>
              </w:numPr>
              <w:tabs>
                <w:tab w:pos="866" w:val="left" w:leader="none"/>
                <w:tab w:pos="867" w:val="left" w:leader="none"/>
                <w:tab w:pos="2005"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de  la CHPH entre los</w:t>
            </w:r>
            <w:r>
              <w:rPr>
                <w:spacing w:val="-7"/>
                <w:sz w:val="20"/>
              </w:rPr>
              <w:t> </w:t>
            </w:r>
            <w:r>
              <w:rPr>
                <w:sz w:val="20"/>
              </w:rPr>
              <w:t>actores</w:t>
            </w:r>
          </w:p>
          <w:p>
            <w:pPr>
              <w:pStyle w:val="TableParagraph"/>
              <w:numPr>
                <w:ilvl w:val="0"/>
                <w:numId w:val="176"/>
              </w:numPr>
              <w:tabs>
                <w:tab w:pos="812" w:val="left" w:leader="none"/>
                <w:tab w:pos="1993" w:val="left" w:leader="none"/>
              </w:tabs>
              <w:spacing w:line="240" w:lineRule="auto" w:before="0" w:after="0"/>
              <w:ind w:left="280" w:right="102" w:hanging="141"/>
              <w:jc w:val="both"/>
              <w:rPr>
                <w:sz w:val="20"/>
              </w:rPr>
            </w:pPr>
            <w:r>
              <w:rPr>
                <w:sz w:val="20"/>
              </w:rPr>
              <w:t>Existe</w:t>
              <w:tab/>
              <w:t>crecimiento económico equitativo de los cinco municipios (Acambay, Aculco, Jilotepec, Timilpan y Polotitlán) de la</w:t>
            </w:r>
            <w:r>
              <w:rPr>
                <w:spacing w:val="-10"/>
                <w:sz w:val="20"/>
              </w:rPr>
              <w:t> </w:t>
            </w:r>
            <w:r>
              <w:rPr>
                <w:sz w:val="20"/>
              </w:rPr>
              <w:t>CHPH</w:t>
            </w:r>
          </w:p>
          <w:p>
            <w:pPr>
              <w:pStyle w:val="TableParagraph"/>
              <w:numPr>
                <w:ilvl w:val="0"/>
                <w:numId w:val="176"/>
              </w:numPr>
              <w:tabs>
                <w:tab w:pos="812" w:val="left" w:leader="none"/>
                <w:tab w:pos="2048"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6" w:type="dxa"/>
            <w:vMerge/>
          </w:tcPr>
          <w:p>
            <w:pPr/>
          </w:p>
        </w:tc>
        <w:tc>
          <w:tcPr>
            <w:tcW w:w="2429" w:type="dxa"/>
            <w:vMerge/>
          </w:tcPr>
          <w:p>
            <w:pPr/>
          </w:p>
        </w:tc>
        <w:tc>
          <w:tcPr>
            <w:tcW w:w="1615" w:type="dxa"/>
            <w:vMerge/>
            <w:tcBorders>
              <w:right w:val="double" w:sz="12" w:space="0" w:color="000000"/>
            </w:tcBorders>
          </w:tcPr>
          <w:p>
            <w:pPr/>
          </w:p>
        </w:tc>
      </w:tr>
      <w:tr>
        <w:trPr>
          <w:trHeight w:val="3459"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28" w:lineRule="exact"/>
              <w:rPr>
                <w:sz w:val="20"/>
              </w:rPr>
            </w:pPr>
            <w:r>
              <w:rPr>
                <w:sz w:val="20"/>
              </w:rPr>
              <w:t>Sociopolítico</w:t>
            </w:r>
          </w:p>
        </w:tc>
        <w:tc>
          <w:tcPr>
            <w:tcW w:w="3132" w:type="dxa"/>
          </w:tcPr>
          <w:p>
            <w:pPr>
              <w:pStyle w:val="TableParagraph"/>
              <w:ind w:left="280" w:right="104" w:hanging="178"/>
              <w:jc w:val="both"/>
              <w:rPr>
                <w:sz w:val="20"/>
              </w:rPr>
            </w:pPr>
            <w:r>
              <w:rPr>
                <w:rFonts w:ascii="Wingdings" w:hAnsi="Wingdings"/>
                <w:sz w:val="20"/>
              </w:rPr>
              <w:t></w:t>
            </w:r>
            <w:r>
              <w:rPr>
                <w:sz w:val="20"/>
              </w:rPr>
              <w:t>Favorece el equilibrio  de poder entre actores e instituciones políticas en la CHPH</w:t>
            </w:r>
          </w:p>
          <w:p>
            <w:pPr>
              <w:pStyle w:val="TableParagraph"/>
              <w:ind w:left="280" w:right="101" w:hanging="178"/>
              <w:jc w:val="both"/>
              <w:rPr>
                <w:sz w:val="20"/>
              </w:rPr>
            </w:pPr>
            <w:r>
              <w:rPr>
                <w:rFonts w:ascii="Wingdings" w:hAnsi="Wingdings"/>
                <w:sz w:val="20"/>
              </w:rPr>
              <w:t></w:t>
            </w:r>
            <w:r>
              <w:rPr>
                <w:sz w:val="20"/>
              </w:rPr>
              <w:t>Favorece la creación de instituciones sociopolíticas y democráticas en la CHPH</w:t>
            </w:r>
          </w:p>
          <w:p>
            <w:pPr>
              <w:pStyle w:val="TableParagraph"/>
              <w:ind w:left="280" w:right="105" w:hanging="178"/>
              <w:jc w:val="both"/>
              <w:rPr>
                <w:sz w:val="20"/>
              </w:rPr>
            </w:pPr>
            <w:r>
              <w:rPr>
                <w:rFonts w:ascii="Wingdings" w:hAnsi="Wingdings"/>
                <w:sz w:val="20"/>
              </w:rPr>
              <w:t></w:t>
            </w:r>
            <w:r>
              <w:rPr>
                <w:sz w:val="20"/>
              </w:rPr>
              <w:t>Favorece la articulación entre actores a través de la participación política</w:t>
            </w:r>
          </w:p>
          <w:p>
            <w:pPr>
              <w:pStyle w:val="TableParagraph"/>
              <w:ind w:right="98"/>
              <w:rPr>
                <w:sz w:val="20"/>
              </w:rPr>
            </w:pPr>
            <w:r>
              <w:rPr>
                <w:rFonts w:ascii="Wingdings" w:hAnsi="Wingdings"/>
                <w:sz w:val="20"/>
              </w:rPr>
              <w:t></w:t>
            </w:r>
            <w:r>
              <w:rPr>
                <w:sz w:val="20"/>
              </w:rPr>
              <w:t>Favorece la GIRH</w:t>
            </w:r>
          </w:p>
          <w:p>
            <w:pPr>
              <w:pStyle w:val="TableParagraph"/>
              <w:spacing w:before="1"/>
              <w:ind w:right="98"/>
              <w:rPr>
                <w:sz w:val="20"/>
              </w:rPr>
            </w:pPr>
            <w:r>
              <w:rPr>
                <w:rFonts w:ascii="Wingdings" w:hAnsi="Wingdings"/>
                <w:sz w:val="20"/>
              </w:rPr>
              <w:t></w:t>
            </w:r>
            <w:r>
              <w:rPr>
                <w:sz w:val="20"/>
              </w:rPr>
              <w:t>Favorece la gobernanza</w:t>
            </w:r>
          </w:p>
          <w:p>
            <w:pPr>
              <w:pStyle w:val="TableParagraph"/>
              <w:ind w:left="280" w:right="98" w:hanging="178"/>
              <w:rPr>
                <w:sz w:val="20"/>
              </w:rPr>
            </w:pPr>
            <w:r>
              <w:rPr>
                <w:rFonts w:ascii="Wingdings" w:hAnsi="Wingdings"/>
                <w:sz w:val="20"/>
              </w:rPr>
              <w:t></w:t>
            </w:r>
            <w:r>
              <w:rPr>
                <w:sz w:val="20"/>
              </w:rPr>
              <w:t>Fortalece la gobernabilidad Existe planeación sociopolítica con articulación entre actores</w:t>
            </w:r>
          </w:p>
        </w:tc>
        <w:tc>
          <w:tcPr>
            <w:tcW w:w="1476" w:type="dxa"/>
            <w:vMerge/>
          </w:tcPr>
          <w:p>
            <w:pPr/>
          </w:p>
        </w:tc>
        <w:tc>
          <w:tcPr>
            <w:tcW w:w="2429" w:type="dxa"/>
            <w:vMerge/>
          </w:tcPr>
          <w:p>
            <w:pPr/>
          </w:p>
        </w:tc>
        <w:tc>
          <w:tcPr>
            <w:tcW w:w="1615" w:type="dxa"/>
            <w:vMerge/>
            <w:tcBorders>
              <w:right w:val="double" w:sz="12" w:space="0" w:color="000000"/>
            </w:tcBorders>
          </w:tcPr>
          <w:p>
            <w:pPr/>
          </w:p>
        </w:tc>
      </w:tr>
      <w:tr>
        <w:trPr>
          <w:trHeight w:val="701" w:hRule="exact"/>
        </w:trPr>
        <w:tc>
          <w:tcPr>
            <w:tcW w:w="957" w:type="dxa"/>
            <w:tcBorders>
              <w:left w:val="double" w:sz="11" w:space="0" w:color="000000"/>
              <w:bottom w:val="single" w:sz="8" w:space="0" w:color="000000"/>
            </w:tcBorders>
          </w:tcPr>
          <w:p>
            <w:pPr>
              <w:pStyle w:val="TableParagraph"/>
              <w:spacing w:before="9"/>
              <w:ind w:left="0"/>
              <w:rPr>
                <w:rFonts w:ascii="Times New Roman"/>
                <w:sz w:val="19"/>
              </w:rPr>
            </w:pPr>
          </w:p>
          <w:p>
            <w:pPr>
              <w:pStyle w:val="TableParagraph"/>
              <w:ind w:left="232"/>
              <w:rPr>
                <w:sz w:val="20"/>
              </w:rPr>
            </w:pPr>
            <w:r>
              <w:rPr>
                <w:sz w:val="20"/>
              </w:rPr>
              <w:t>1810</w:t>
            </w:r>
          </w:p>
        </w:tc>
        <w:tc>
          <w:tcPr>
            <w:tcW w:w="1860" w:type="dxa"/>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Ambiental</w:t>
            </w:r>
          </w:p>
        </w:tc>
        <w:tc>
          <w:tcPr>
            <w:tcW w:w="3132" w:type="dxa"/>
            <w:tcBorders>
              <w:bottom w:val="single" w:sz="8" w:space="0" w:color="000000"/>
            </w:tcBorders>
          </w:tcPr>
          <w:p>
            <w:pPr>
              <w:pStyle w:val="TableParagraph"/>
              <w:numPr>
                <w:ilvl w:val="0"/>
                <w:numId w:val="177"/>
              </w:numPr>
              <w:tabs>
                <w:tab w:pos="812" w:val="left" w:leader="none"/>
              </w:tabs>
              <w:spacing w:line="240" w:lineRule="auto" w:before="0" w:after="0"/>
              <w:ind w:left="280" w:right="103" w:hanging="141"/>
              <w:jc w:val="both"/>
              <w:rPr>
                <w:sz w:val="20"/>
              </w:rPr>
            </w:pPr>
            <w:r>
              <w:rPr>
                <w:sz w:val="20"/>
              </w:rPr>
              <w:t>Existe equilibrio de dominio de los recursos naturales  de  la  CHPH  </w:t>
            </w:r>
            <w:r>
              <w:rPr>
                <w:spacing w:val="6"/>
                <w:sz w:val="20"/>
              </w:rPr>
              <w:t> </w:t>
            </w:r>
            <w:r>
              <w:rPr>
                <w:sz w:val="20"/>
              </w:rPr>
              <w:t>entre</w:t>
            </w:r>
          </w:p>
        </w:tc>
        <w:tc>
          <w:tcPr>
            <w:tcW w:w="1476" w:type="dxa"/>
            <w:tcBorders>
              <w:bottom w:val="single" w:sz="8" w:space="0" w:color="000000"/>
            </w:tcBorders>
          </w:tcPr>
          <w:p>
            <w:pPr/>
          </w:p>
        </w:tc>
        <w:tc>
          <w:tcPr>
            <w:tcW w:w="2429" w:type="dxa"/>
            <w:tcBorders>
              <w:bottom w:val="single" w:sz="8" w:space="0" w:color="000000"/>
            </w:tcBorders>
          </w:tcPr>
          <w:p>
            <w:pPr>
              <w:pStyle w:val="TableParagraph"/>
              <w:tabs>
                <w:tab w:pos="2091" w:val="left" w:leader="none"/>
              </w:tabs>
              <w:spacing w:line="242" w:lineRule="auto"/>
              <w:ind w:right="104"/>
              <w:jc w:val="both"/>
              <w:rPr>
                <w:sz w:val="20"/>
              </w:rPr>
            </w:pPr>
            <w:r>
              <w:rPr>
                <w:sz w:val="20"/>
              </w:rPr>
              <w:t>Debe reunir </w:t>
            </w:r>
            <w:r>
              <w:rPr>
                <w:b/>
                <w:sz w:val="20"/>
              </w:rPr>
              <w:t>al menos el 50% una de tres </w:t>
            </w:r>
            <w:r>
              <w:rPr>
                <w:sz w:val="20"/>
              </w:rPr>
              <w:t>características</w:t>
              <w:tab/>
              <w:t>de</w:t>
            </w:r>
          </w:p>
        </w:tc>
        <w:tc>
          <w:tcPr>
            <w:tcW w:w="1615" w:type="dxa"/>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860"/>
        <w:gridCol w:w="1352"/>
        <w:gridCol w:w="3132"/>
        <w:gridCol w:w="1476"/>
        <w:gridCol w:w="2429"/>
        <w:gridCol w:w="1615"/>
      </w:tblGrid>
      <w:tr>
        <w:trPr>
          <w:trHeight w:val="1630" w:hRule="exact"/>
        </w:trPr>
        <w:tc>
          <w:tcPr>
            <w:tcW w:w="957" w:type="dxa"/>
            <w:tcBorders>
              <w:left w:val="double" w:sz="11" w:space="0" w:color="000000"/>
            </w:tcBorders>
          </w:tcPr>
          <w:p>
            <w:pPr/>
          </w:p>
        </w:tc>
        <w:tc>
          <w:tcPr>
            <w:tcW w:w="1860"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2"/>
              <w:jc w:val="center"/>
              <w:rPr>
                <w:b/>
                <w:sz w:val="20"/>
              </w:rPr>
            </w:pPr>
            <w:r>
              <w:rPr>
                <w:b/>
                <w:w w:val="99"/>
                <w:sz w:val="20"/>
              </w:rPr>
              <w:t>1</w:t>
            </w:r>
          </w:p>
        </w:tc>
        <w:tc>
          <w:tcPr>
            <w:tcW w:w="1352" w:type="dxa"/>
          </w:tcPr>
          <w:p>
            <w:pPr/>
          </w:p>
        </w:tc>
        <w:tc>
          <w:tcPr>
            <w:tcW w:w="3132" w:type="dxa"/>
          </w:tcPr>
          <w:p>
            <w:pPr>
              <w:pStyle w:val="TableParagraph"/>
              <w:spacing w:before="7"/>
              <w:ind w:left="280" w:right="98"/>
              <w:rPr>
                <w:sz w:val="20"/>
              </w:rPr>
            </w:pPr>
            <w:r>
              <w:rPr>
                <w:sz w:val="20"/>
              </w:rPr>
              <w:t>los actores</w:t>
            </w:r>
          </w:p>
          <w:p>
            <w:pPr>
              <w:pStyle w:val="TableParagraph"/>
              <w:numPr>
                <w:ilvl w:val="0"/>
                <w:numId w:val="178"/>
              </w:numPr>
              <w:tabs>
                <w:tab w:pos="812" w:val="left" w:leader="none"/>
              </w:tabs>
              <w:spacing w:line="240" w:lineRule="auto" w:before="0" w:after="0"/>
              <w:ind w:left="280" w:right="104" w:hanging="141"/>
              <w:jc w:val="both"/>
              <w:rPr>
                <w:sz w:val="20"/>
              </w:rPr>
            </w:pPr>
            <w:r>
              <w:rPr>
                <w:sz w:val="20"/>
              </w:rPr>
              <w:t>Existe participación sociopolítica de los actores para cuidar el medio ambiente de la</w:t>
            </w:r>
            <w:r>
              <w:rPr>
                <w:spacing w:val="-4"/>
                <w:sz w:val="20"/>
              </w:rPr>
              <w:t> </w:t>
            </w:r>
            <w:r>
              <w:rPr>
                <w:sz w:val="20"/>
              </w:rPr>
              <w:t>CHPH</w:t>
            </w:r>
          </w:p>
          <w:p>
            <w:pPr>
              <w:pStyle w:val="TableParagraph"/>
              <w:ind w:right="98"/>
              <w:rPr>
                <w:sz w:val="20"/>
              </w:rPr>
            </w:pPr>
            <w:r>
              <w:rPr>
                <w:sz w:val="20"/>
              </w:rPr>
              <w:t>Existe planeación ambiental con articulación entre actores</w:t>
            </w:r>
          </w:p>
        </w:tc>
        <w:tc>
          <w:tcPr>
            <w:tcW w:w="1476" w:type="dxa"/>
            <w:vMerge w:val="restart"/>
          </w:tcPr>
          <w:p>
            <w:pPr/>
          </w:p>
        </w:tc>
        <w:tc>
          <w:tcPr>
            <w:tcW w:w="2429" w:type="dxa"/>
            <w:vMerge w:val="restart"/>
          </w:tcPr>
          <w:p>
            <w:pPr>
              <w:pStyle w:val="TableParagraph"/>
              <w:spacing w:before="7"/>
              <w:rPr>
                <w:sz w:val="20"/>
              </w:rPr>
            </w:pPr>
            <w:r>
              <w:rPr>
                <w:sz w:val="20"/>
              </w:rPr>
              <w:t>impacto positivo</w:t>
            </w:r>
          </w:p>
        </w:tc>
        <w:tc>
          <w:tcPr>
            <w:tcW w:w="1615"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412"/>
              <w:rPr>
                <w:b/>
                <w:sz w:val="20"/>
              </w:rPr>
            </w:pPr>
            <w:r>
              <w:rPr>
                <w:b/>
                <w:sz w:val="20"/>
              </w:rPr>
              <w:t>Regular</w:t>
            </w:r>
          </w:p>
        </w:tc>
      </w:tr>
      <w:tr>
        <w:trPr>
          <w:trHeight w:val="2540" w:hRule="exact"/>
        </w:trPr>
        <w:tc>
          <w:tcPr>
            <w:tcW w:w="957"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17"/>
              <w:ind w:left="232"/>
              <w:rPr>
                <w:sz w:val="20"/>
              </w:rPr>
            </w:pPr>
            <w:r>
              <w:rPr>
                <w:sz w:val="20"/>
              </w:rPr>
              <w:t>1861</w:t>
            </w:r>
          </w:p>
          <w:p>
            <w:pPr>
              <w:pStyle w:val="TableParagraph"/>
              <w:ind w:left="232"/>
              <w:rPr>
                <w:sz w:val="20"/>
              </w:rPr>
            </w:pPr>
            <w:r>
              <w:rPr>
                <w:sz w:val="20"/>
              </w:rPr>
              <w:t>1910</w:t>
            </w:r>
          </w:p>
          <w:p>
            <w:pPr>
              <w:pStyle w:val="TableParagraph"/>
              <w:spacing w:before="1"/>
              <w:ind w:left="232"/>
              <w:rPr>
                <w:sz w:val="20"/>
              </w:rPr>
            </w:pPr>
            <w:r>
              <w:rPr>
                <w:sz w:val="20"/>
              </w:rPr>
              <w:t>1940</w:t>
            </w:r>
          </w:p>
          <w:p>
            <w:pPr>
              <w:pStyle w:val="TableParagraph"/>
              <w:ind w:left="232"/>
              <w:rPr>
                <w:sz w:val="20"/>
              </w:rPr>
            </w:pPr>
            <w:r>
              <w:rPr>
                <w:sz w:val="20"/>
              </w:rPr>
              <w:t>1982</w:t>
            </w:r>
          </w:p>
          <w:p>
            <w:pPr>
              <w:pStyle w:val="TableParagraph"/>
              <w:ind w:left="232"/>
              <w:rPr>
                <w:sz w:val="20"/>
              </w:rPr>
            </w:pPr>
            <w:r>
              <w:rPr>
                <w:sz w:val="20"/>
              </w:rPr>
              <w:t>2016</w:t>
            </w:r>
          </w:p>
        </w:tc>
        <w:tc>
          <w:tcPr>
            <w:tcW w:w="1860" w:type="dxa"/>
            <w:vMerge/>
          </w:tcPr>
          <w:p>
            <w:pPr/>
          </w:p>
        </w:tc>
        <w:tc>
          <w:tcPr>
            <w:tcW w:w="1352" w:type="dxa"/>
          </w:tcPr>
          <w:p>
            <w:pPr>
              <w:pStyle w:val="TableParagraph"/>
              <w:spacing w:line="227" w:lineRule="exact"/>
              <w:rPr>
                <w:sz w:val="20"/>
              </w:rPr>
            </w:pPr>
            <w:r>
              <w:rPr>
                <w:sz w:val="20"/>
              </w:rPr>
              <w:t>Económico</w:t>
            </w:r>
          </w:p>
        </w:tc>
        <w:tc>
          <w:tcPr>
            <w:tcW w:w="3132" w:type="dxa"/>
          </w:tcPr>
          <w:p>
            <w:pPr>
              <w:pStyle w:val="TableParagraph"/>
              <w:numPr>
                <w:ilvl w:val="0"/>
                <w:numId w:val="179"/>
              </w:numPr>
              <w:tabs>
                <w:tab w:pos="866" w:val="left" w:leader="none"/>
                <w:tab w:pos="867" w:val="left" w:leader="none"/>
                <w:tab w:pos="2005"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de  la CHPH entre los</w:t>
            </w:r>
            <w:r>
              <w:rPr>
                <w:spacing w:val="-7"/>
                <w:sz w:val="20"/>
              </w:rPr>
              <w:t> </w:t>
            </w:r>
            <w:r>
              <w:rPr>
                <w:sz w:val="20"/>
              </w:rPr>
              <w:t>actores</w:t>
            </w:r>
          </w:p>
          <w:p>
            <w:pPr>
              <w:pStyle w:val="TableParagraph"/>
              <w:numPr>
                <w:ilvl w:val="0"/>
                <w:numId w:val="179"/>
              </w:numPr>
              <w:tabs>
                <w:tab w:pos="812" w:val="left" w:leader="none"/>
                <w:tab w:pos="1993" w:val="left" w:leader="none"/>
              </w:tabs>
              <w:spacing w:line="240" w:lineRule="auto" w:before="0" w:after="0"/>
              <w:ind w:left="280" w:right="102" w:hanging="141"/>
              <w:jc w:val="both"/>
              <w:rPr>
                <w:sz w:val="20"/>
              </w:rPr>
            </w:pPr>
            <w:r>
              <w:rPr>
                <w:sz w:val="20"/>
              </w:rPr>
              <w:t>Existe</w:t>
              <w:tab/>
              <w:t>crecimiento económico equitativo de los cinco municipios (Acambay, Aculco, Jilotepec, Timilpan y Polotitlán) de la</w:t>
            </w:r>
            <w:r>
              <w:rPr>
                <w:spacing w:val="-10"/>
                <w:sz w:val="20"/>
              </w:rPr>
              <w:t> </w:t>
            </w:r>
            <w:r>
              <w:rPr>
                <w:sz w:val="20"/>
              </w:rPr>
              <w:t>CHPH</w:t>
            </w:r>
          </w:p>
          <w:p>
            <w:pPr>
              <w:pStyle w:val="TableParagraph"/>
              <w:numPr>
                <w:ilvl w:val="0"/>
                <w:numId w:val="179"/>
              </w:numPr>
              <w:tabs>
                <w:tab w:pos="812" w:val="left" w:leader="none"/>
                <w:tab w:pos="2048"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6" w:type="dxa"/>
            <w:vMerge/>
          </w:tcPr>
          <w:p>
            <w:pPr/>
          </w:p>
        </w:tc>
        <w:tc>
          <w:tcPr>
            <w:tcW w:w="2429" w:type="dxa"/>
            <w:vMerge/>
          </w:tcPr>
          <w:p>
            <w:pPr/>
          </w:p>
        </w:tc>
        <w:tc>
          <w:tcPr>
            <w:tcW w:w="1615" w:type="dxa"/>
            <w:vMerge/>
            <w:tcBorders>
              <w:right w:val="double" w:sz="12" w:space="0" w:color="000000"/>
            </w:tcBorders>
            <w:shd w:val="clear" w:color="auto" w:fill="FFFF00"/>
          </w:tcPr>
          <w:p>
            <w:pPr/>
          </w:p>
        </w:tc>
      </w:tr>
      <w:tr>
        <w:trPr>
          <w:trHeight w:val="3462"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27" w:lineRule="exact"/>
              <w:rPr>
                <w:sz w:val="20"/>
              </w:rPr>
            </w:pPr>
            <w:r>
              <w:rPr>
                <w:sz w:val="20"/>
              </w:rPr>
              <w:t>Sociopolítico</w:t>
            </w:r>
          </w:p>
        </w:tc>
        <w:tc>
          <w:tcPr>
            <w:tcW w:w="3132" w:type="dxa"/>
          </w:tcPr>
          <w:p>
            <w:pPr>
              <w:pStyle w:val="TableParagraph"/>
              <w:ind w:left="280" w:right="104" w:hanging="178"/>
              <w:jc w:val="both"/>
              <w:rPr>
                <w:sz w:val="20"/>
              </w:rPr>
            </w:pPr>
            <w:r>
              <w:rPr>
                <w:rFonts w:ascii="Wingdings" w:hAnsi="Wingdings"/>
                <w:sz w:val="20"/>
              </w:rPr>
              <w:t></w:t>
            </w:r>
            <w:r>
              <w:rPr>
                <w:sz w:val="20"/>
              </w:rPr>
              <w:t>Favorece el equilibrio  de poder entre actores e instituciones políticas en la CHPH</w:t>
            </w:r>
          </w:p>
          <w:p>
            <w:pPr>
              <w:pStyle w:val="TableParagraph"/>
              <w:ind w:left="280" w:right="103" w:hanging="178"/>
              <w:jc w:val="both"/>
              <w:rPr>
                <w:sz w:val="20"/>
              </w:rPr>
            </w:pPr>
            <w:r>
              <w:rPr>
                <w:rFonts w:ascii="Wingdings" w:hAnsi="Wingdings"/>
                <w:sz w:val="20"/>
              </w:rPr>
              <w:t></w:t>
            </w:r>
            <w:r>
              <w:rPr>
                <w:sz w:val="20"/>
              </w:rPr>
              <w:t>Favorece la creación de instituciones sociopolíticas y democráticas en la CHPH</w:t>
            </w:r>
          </w:p>
          <w:p>
            <w:pPr>
              <w:pStyle w:val="TableParagraph"/>
              <w:ind w:left="280" w:right="105" w:hanging="178"/>
              <w:jc w:val="both"/>
              <w:rPr>
                <w:sz w:val="20"/>
              </w:rPr>
            </w:pPr>
            <w:r>
              <w:rPr>
                <w:rFonts w:ascii="Wingdings" w:hAnsi="Wingdings"/>
                <w:sz w:val="20"/>
              </w:rPr>
              <w:t></w:t>
            </w:r>
            <w:r>
              <w:rPr>
                <w:sz w:val="20"/>
              </w:rPr>
              <w:t>Favorece la articulación entre actores a través de la participación política</w:t>
            </w:r>
          </w:p>
          <w:p>
            <w:pPr>
              <w:pStyle w:val="TableParagraph"/>
              <w:spacing w:line="229" w:lineRule="exact"/>
              <w:ind w:right="98"/>
              <w:rPr>
                <w:sz w:val="20"/>
              </w:rPr>
            </w:pPr>
            <w:r>
              <w:rPr>
                <w:rFonts w:ascii="Wingdings" w:hAnsi="Wingdings"/>
                <w:sz w:val="20"/>
              </w:rPr>
              <w:t></w:t>
            </w:r>
            <w:r>
              <w:rPr>
                <w:sz w:val="20"/>
              </w:rPr>
              <w:t>Favorece la GIRH</w:t>
            </w:r>
          </w:p>
          <w:p>
            <w:pPr>
              <w:pStyle w:val="TableParagraph"/>
              <w:spacing w:line="229" w:lineRule="exact"/>
              <w:ind w:right="98"/>
              <w:rPr>
                <w:sz w:val="20"/>
              </w:rPr>
            </w:pPr>
            <w:r>
              <w:rPr>
                <w:rFonts w:ascii="Wingdings" w:hAnsi="Wingdings"/>
                <w:sz w:val="20"/>
              </w:rPr>
              <w:t></w:t>
            </w:r>
            <w:r>
              <w:rPr>
                <w:sz w:val="20"/>
              </w:rPr>
              <w:t>Favorece la gobernanza</w:t>
            </w:r>
          </w:p>
          <w:p>
            <w:pPr>
              <w:pStyle w:val="TableParagraph"/>
              <w:ind w:left="280" w:right="98" w:hanging="178"/>
              <w:rPr>
                <w:sz w:val="20"/>
              </w:rPr>
            </w:pPr>
            <w:r>
              <w:rPr>
                <w:rFonts w:ascii="Wingdings" w:hAnsi="Wingdings"/>
                <w:sz w:val="20"/>
              </w:rPr>
              <w:t></w:t>
            </w:r>
            <w:r>
              <w:rPr>
                <w:sz w:val="20"/>
              </w:rPr>
              <w:t>Fortalece la gobernabilidad Existe planeación sociopolítica con articulación entre actores</w:t>
            </w:r>
          </w:p>
        </w:tc>
        <w:tc>
          <w:tcPr>
            <w:tcW w:w="1476" w:type="dxa"/>
            <w:vMerge/>
          </w:tcPr>
          <w:p>
            <w:pPr/>
          </w:p>
        </w:tc>
        <w:tc>
          <w:tcPr>
            <w:tcW w:w="2429" w:type="dxa"/>
            <w:vMerge/>
          </w:tcPr>
          <w:p>
            <w:pPr/>
          </w:p>
        </w:tc>
        <w:tc>
          <w:tcPr>
            <w:tcW w:w="1615" w:type="dxa"/>
            <w:vMerge/>
            <w:tcBorders>
              <w:right w:val="double" w:sz="12" w:space="0" w:color="000000"/>
            </w:tcBorders>
            <w:shd w:val="clear" w:color="auto" w:fill="FFFF00"/>
          </w:tcPr>
          <w:p>
            <w:pPr/>
          </w:p>
        </w:tc>
      </w:tr>
      <w:tr>
        <w:trPr>
          <w:trHeight w:val="725" w:hRule="exact"/>
        </w:trPr>
        <w:tc>
          <w:tcPr>
            <w:tcW w:w="957" w:type="dxa"/>
            <w:tcBorders>
              <w:left w:val="double" w:sz="11" w:space="0" w:color="000000"/>
            </w:tcBorders>
          </w:tcPr>
          <w:p>
            <w:pPr/>
          </w:p>
        </w:tc>
        <w:tc>
          <w:tcPr>
            <w:tcW w:w="1860" w:type="dxa"/>
          </w:tcPr>
          <w:p>
            <w:pPr/>
          </w:p>
        </w:tc>
        <w:tc>
          <w:tcPr>
            <w:tcW w:w="1352" w:type="dxa"/>
          </w:tcPr>
          <w:p>
            <w:pPr>
              <w:pStyle w:val="TableParagraph"/>
              <w:spacing w:line="227" w:lineRule="exact"/>
              <w:rPr>
                <w:sz w:val="20"/>
              </w:rPr>
            </w:pPr>
            <w:r>
              <w:rPr>
                <w:sz w:val="20"/>
              </w:rPr>
              <w:t>Ambiental</w:t>
            </w:r>
          </w:p>
        </w:tc>
        <w:tc>
          <w:tcPr>
            <w:tcW w:w="3132" w:type="dxa"/>
          </w:tcPr>
          <w:p>
            <w:pPr>
              <w:pStyle w:val="TableParagraph"/>
              <w:numPr>
                <w:ilvl w:val="0"/>
                <w:numId w:val="180"/>
              </w:numPr>
              <w:tabs>
                <w:tab w:pos="812" w:val="left" w:leader="none"/>
              </w:tabs>
              <w:spacing w:line="240" w:lineRule="auto" w:before="0" w:after="0"/>
              <w:ind w:left="280" w:right="103" w:hanging="141"/>
              <w:jc w:val="both"/>
              <w:rPr>
                <w:sz w:val="20"/>
              </w:rPr>
            </w:pPr>
            <w:r>
              <w:rPr>
                <w:sz w:val="20"/>
              </w:rPr>
              <w:t>Existe equilibrio de dominio de los recursos naturales  de  la  CHPH  </w:t>
            </w:r>
            <w:r>
              <w:rPr>
                <w:spacing w:val="6"/>
                <w:sz w:val="20"/>
              </w:rPr>
              <w:t> </w:t>
            </w:r>
            <w:r>
              <w:rPr>
                <w:sz w:val="20"/>
              </w:rPr>
              <w:t>entre</w:t>
            </w:r>
          </w:p>
        </w:tc>
        <w:tc>
          <w:tcPr>
            <w:tcW w:w="1476" w:type="dxa"/>
          </w:tcPr>
          <w:p>
            <w:pPr/>
          </w:p>
        </w:tc>
        <w:tc>
          <w:tcPr>
            <w:tcW w:w="2429" w:type="dxa"/>
          </w:tcPr>
          <w:p>
            <w:pPr>
              <w:pStyle w:val="TableParagraph"/>
              <w:ind w:right="104"/>
              <w:jc w:val="both"/>
              <w:rPr>
                <w:sz w:val="20"/>
              </w:rPr>
            </w:pPr>
            <w:r>
              <w:rPr>
                <w:sz w:val="20"/>
              </w:rPr>
              <w:t>No reúne ni el 50% en </w:t>
            </w:r>
            <w:r>
              <w:rPr>
                <w:b/>
                <w:sz w:val="20"/>
              </w:rPr>
              <w:t>ninguna </w:t>
            </w:r>
            <w:r>
              <w:rPr>
                <w:sz w:val="20"/>
              </w:rPr>
              <w:t>de las de impacto positivo</w:t>
            </w:r>
          </w:p>
        </w:tc>
        <w:tc>
          <w:tcPr>
            <w:tcW w:w="1615" w:type="dxa"/>
            <w:tcBorders>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860"/>
        <w:gridCol w:w="1352"/>
        <w:gridCol w:w="3132"/>
        <w:gridCol w:w="1476"/>
        <w:gridCol w:w="2429"/>
        <w:gridCol w:w="1615"/>
      </w:tblGrid>
      <w:tr>
        <w:trPr>
          <w:trHeight w:val="725" w:hRule="exact"/>
        </w:trPr>
        <w:tc>
          <w:tcPr>
            <w:tcW w:w="957" w:type="dxa"/>
            <w:tcBorders>
              <w:left w:val="double" w:sz="11" w:space="0" w:color="000000"/>
            </w:tcBorders>
          </w:tcPr>
          <w:p>
            <w:pPr>
              <w:pStyle w:val="TableParagraph"/>
              <w:spacing w:before="2"/>
              <w:ind w:left="0"/>
              <w:rPr>
                <w:rFonts w:ascii="Times New Roman"/>
                <w:sz w:val="21"/>
              </w:rPr>
            </w:pPr>
          </w:p>
          <w:p>
            <w:pPr>
              <w:pStyle w:val="TableParagraph"/>
              <w:spacing w:before="1"/>
              <w:ind w:left="232"/>
              <w:rPr>
                <w:sz w:val="20"/>
              </w:rPr>
            </w:pPr>
            <w:r>
              <w:rPr>
                <w:sz w:val="20"/>
              </w:rPr>
              <w:t>1580</w:t>
            </w:r>
          </w:p>
        </w:tc>
        <w:tc>
          <w:tcPr>
            <w:tcW w:w="1860"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2"/>
              <w:jc w:val="center"/>
              <w:rPr>
                <w:b/>
                <w:sz w:val="20"/>
              </w:rPr>
            </w:pPr>
            <w:r>
              <w:rPr>
                <w:b/>
                <w:w w:val="99"/>
                <w:sz w:val="20"/>
              </w:rPr>
              <w:t>1</w:t>
            </w:r>
          </w:p>
        </w:tc>
        <w:tc>
          <w:tcPr>
            <w:tcW w:w="1352" w:type="dxa"/>
            <w:vMerge w:val="restart"/>
          </w:tcPr>
          <w:p>
            <w:pPr/>
          </w:p>
        </w:tc>
        <w:tc>
          <w:tcPr>
            <w:tcW w:w="3132" w:type="dxa"/>
            <w:vMerge w:val="restart"/>
          </w:tcPr>
          <w:p>
            <w:pPr>
              <w:pStyle w:val="TableParagraph"/>
              <w:spacing w:before="7"/>
              <w:ind w:left="280" w:right="98"/>
              <w:rPr>
                <w:sz w:val="20"/>
              </w:rPr>
            </w:pPr>
            <w:r>
              <w:rPr>
                <w:sz w:val="20"/>
              </w:rPr>
              <w:t>los actores</w:t>
            </w:r>
          </w:p>
          <w:p>
            <w:pPr>
              <w:pStyle w:val="TableParagraph"/>
              <w:numPr>
                <w:ilvl w:val="0"/>
                <w:numId w:val="181"/>
              </w:numPr>
              <w:tabs>
                <w:tab w:pos="812" w:val="left" w:leader="none"/>
              </w:tabs>
              <w:spacing w:line="240" w:lineRule="auto" w:before="0" w:after="0"/>
              <w:ind w:left="280" w:right="104" w:hanging="141"/>
              <w:jc w:val="both"/>
              <w:rPr>
                <w:sz w:val="20"/>
              </w:rPr>
            </w:pPr>
            <w:r>
              <w:rPr>
                <w:sz w:val="20"/>
              </w:rPr>
              <w:t>Existe participación sociopolítica de los actores para cuidar el medio ambiente de la</w:t>
            </w:r>
            <w:r>
              <w:rPr>
                <w:spacing w:val="-4"/>
                <w:sz w:val="20"/>
              </w:rPr>
              <w:t> </w:t>
            </w:r>
            <w:r>
              <w:rPr>
                <w:sz w:val="20"/>
              </w:rPr>
              <w:t>CHPH</w:t>
            </w:r>
          </w:p>
          <w:p>
            <w:pPr>
              <w:pStyle w:val="TableParagraph"/>
              <w:ind w:left="280" w:right="98"/>
              <w:rPr>
                <w:sz w:val="20"/>
              </w:rPr>
            </w:pPr>
            <w:r>
              <w:rPr>
                <w:sz w:val="20"/>
              </w:rPr>
              <w:t>Existe planeación ambiental con articulación entre actores</w:t>
            </w:r>
          </w:p>
        </w:tc>
        <w:tc>
          <w:tcPr>
            <w:tcW w:w="147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20"/>
              </w:rPr>
            </w:pPr>
          </w:p>
          <w:p>
            <w:pPr>
              <w:pStyle w:val="TableParagraph"/>
              <w:spacing w:before="1"/>
              <w:ind w:left="475"/>
              <w:rPr>
                <w:sz w:val="20"/>
              </w:rPr>
            </w:pPr>
            <w:r>
              <w:rPr>
                <w:sz w:val="20"/>
              </w:rPr>
              <w:t>&lt;50%</w:t>
            </w:r>
          </w:p>
        </w:tc>
        <w:tc>
          <w:tcPr>
            <w:tcW w:w="2429" w:type="dxa"/>
            <w:vMerge w:val="restart"/>
          </w:tcPr>
          <w:p>
            <w:pPr/>
          </w:p>
        </w:tc>
        <w:tc>
          <w:tcPr>
            <w:tcW w:w="1615"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3"/>
              <w:ind w:left="0"/>
              <w:rPr>
                <w:rFonts w:ascii="Times New Roman"/>
                <w:sz w:val="20"/>
              </w:rPr>
            </w:pPr>
          </w:p>
          <w:p>
            <w:pPr>
              <w:pStyle w:val="TableParagraph"/>
              <w:ind w:left="307"/>
              <w:rPr>
                <w:b/>
                <w:sz w:val="20"/>
              </w:rPr>
            </w:pPr>
            <w:r>
              <w:rPr>
                <w:b/>
                <w:sz w:val="20"/>
              </w:rPr>
              <w:t>Deficiente</w:t>
            </w:r>
          </w:p>
        </w:tc>
      </w:tr>
      <w:tr>
        <w:trPr>
          <w:trHeight w:val="905" w:hRule="exact"/>
        </w:trPr>
        <w:tc>
          <w:tcPr>
            <w:tcW w:w="957"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232"/>
              <w:rPr>
                <w:sz w:val="20"/>
              </w:rPr>
            </w:pPr>
            <w:r>
              <w:rPr>
                <w:sz w:val="20"/>
              </w:rPr>
              <w:t>1785</w:t>
            </w:r>
          </w:p>
        </w:tc>
        <w:tc>
          <w:tcPr>
            <w:tcW w:w="1860" w:type="dxa"/>
            <w:vMerge/>
          </w:tcPr>
          <w:p>
            <w:pPr/>
          </w:p>
        </w:tc>
        <w:tc>
          <w:tcPr>
            <w:tcW w:w="1352" w:type="dxa"/>
            <w:vMerge/>
          </w:tcPr>
          <w:p>
            <w:pPr/>
          </w:p>
        </w:tc>
        <w:tc>
          <w:tcPr>
            <w:tcW w:w="3132" w:type="dxa"/>
            <w:vMerge/>
          </w:tcPr>
          <w:p>
            <w:pP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2309"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27" w:lineRule="exact"/>
              <w:ind w:left="83" w:right="228"/>
              <w:jc w:val="center"/>
              <w:rPr>
                <w:sz w:val="20"/>
              </w:rPr>
            </w:pPr>
            <w:r>
              <w:rPr>
                <w:sz w:val="20"/>
              </w:rPr>
              <w:t>Económico</w:t>
            </w:r>
          </w:p>
        </w:tc>
        <w:tc>
          <w:tcPr>
            <w:tcW w:w="3132" w:type="dxa"/>
          </w:tcPr>
          <w:p>
            <w:pPr>
              <w:pStyle w:val="TableParagraph"/>
              <w:numPr>
                <w:ilvl w:val="0"/>
                <w:numId w:val="182"/>
              </w:numPr>
              <w:tabs>
                <w:tab w:pos="866" w:val="left" w:leader="none"/>
                <w:tab w:pos="867" w:val="left" w:leader="none"/>
                <w:tab w:pos="2005" w:val="left" w:leader="none"/>
              </w:tabs>
              <w:spacing w:line="240" w:lineRule="auto" w:before="0" w:after="0"/>
              <w:ind w:left="280" w:right="104" w:hanging="141"/>
              <w:jc w:val="both"/>
              <w:rPr>
                <w:sz w:val="20"/>
              </w:rPr>
            </w:pPr>
            <w:r>
              <w:rPr>
                <w:sz w:val="20"/>
              </w:rPr>
              <w:t>Existe</w:t>
              <w:tab/>
              <w:t>distribución</w:t>
            </w:r>
            <w:r>
              <w:rPr>
                <w:w w:val="99"/>
                <w:sz w:val="20"/>
              </w:rPr>
              <w:t> </w:t>
            </w:r>
            <w:r>
              <w:rPr>
                <w:sz w:val="20"/>
              </w:rPr>
              <w:t>equitativa de los recursos de  la CHPH entre los</w:t>
            </w:r>
            <w:r>
              <w:rPr>
                <w:spacing w:val="-7"/>
                <w:sz w:val="20"/>
              </w:rPr>
              <w:t> </w:t>
            </w:r>
            <w:r>
              <w:rPr>
                <w:sz w:val="20"/>
              </w:rPr>
              <w:t>actores</w:t>
            </w:r>
          </w:p>
          <w:p>
            <w:pPr>
              <w:pStyle w:val="TableParagraph"/>
              <w:numPr>
                <w:ilvl w:val="0"/>
                <w:numId w:val="182"/>
              </w:numPr>
              <w:tabs>
                <w:tab w:pos="812" w:val="left" w:leader="none"/>
                <w:tab w:pos="1994" w:val="left" w:leader="none"/>
              </w:tabs>
              <w:spacing w:line="240" w:lineRule="auto" w:before="0" w:after="0"/>
              <w:ind w:left="280" w:right="102" w:hanging="141"/>
              <w:jc w:val="both"/>
              <w:rPr>
                <w:sz w:val="20"/>
              </w:rPr>
            </w:pPr>
            <w:r>
              <w:rPr>
                <w:sz w:val="20"/>
              </w:rPr>
              <w:t>Existe</w:t>
              <w:tab/>
              <w:t>crecimiento económico equitativo de los cinco municipios (Acambay, Aculco, Jilotepec, Timilpan y Polotitlán) de la</w:t>
            </w:r>
            <w:r>
              <w:rPr>
                <w:spacing w:val="-10"/>
                <w:sz w:val="20"/>
              </w:rPr>
              <w:t> </w:t>
            </w:r>
            <w:r>
              <w:rPr>
                <w:sz w:val="20"/>
              </w:rPr>
              <w:t>CHPH</w:t>
            </w:r>
          </w:p>
          <w:p>
            <w:pPr>
              <w:pStyle w:val="TableParagraph"/>
              <w:ind w:left="280" w:right="98"/>
              <w:rPr>
                <w:sz w:val="20"/>
              </w:rPr>
            </w:pPr>
            <w:r>
              <w:rPr>
                <w:sz w:val="20"/>
              </w:rPr>
              <w:t>Existe planeación económica con articulación entre actores</w:t>
            </w: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3462" w:hRule="exact"/>
        </w:trPr>
        <w:tc>
          <w:tcPr>
            <w:tcW w:w="957" w:type="dxa"/>
            <w:vMerge/>
            <w:tcBorders>
              <w:left w:val="double" w:sz="11" w:space="0" w:color="000000"/>
            </w:tcBorders>
          </w:tcPr>
          <w:p>
            <w:pPr/>
          </w:p>
        </w:tc>
        <w:tc>
          <w:tcPr>
            <w:tcW w:w="1860" w:type="dxa"/>
            <w:vMerge/>
          </w:tcPr>
          <w:p>
            <w:pPr/>
          </w:p>
        </w:tc>
        <w:tc>
          <w:tcPr>
            <w:tcW w:w="1352" w:type="dxa"/>
          </w:tcPr>
          <w:p>
            <w:pPr>
              <w:pStyle w:val="TableParagraph"/>
              <w:spacing w:line="230" w:lineRule="exact"/>
              <w:ind w:left="83" w:right="84"/>
              <w:jc w:val="center"/>
              <w:rPr>
                <w:sz w:val="20"/>
              </w:rPr>
            </w:pPr>
            <w:r>
              <w:rPr>
                <w:sz w:val="20"/>
              </w:rPr>
              <w:t>Sociopolítico</w:t>
            </w:r>
          </w:p>
        </w:tc>
        <w:tc>
          <w:tcPr>
            <w:tcW w:w="3132" w:type="dxa"/>
          </w:tcPr>
          <w:p>
            <w:pPr>
              <w:pStyle w:val="TableParagraph"/>
              <w:ind w:left="280" w:right="104" w:hanging="178"/>
              <w:jc w:val="both"/>
              <w:rPr>
                <w:sz w:val="20"/>
              </w:rPr>
            </w:pPr>
            <w:r>
              <w:rPr>
                <w:rFonts w:ascii="Wingdings" w:hAnsi="Wingdings"/>
                <w:sz w:val="20"/>
              </w:rPr>
              <w:t></w:t>
            </w:r>
            <w:r>
              <w:rPr>
                <w:sz w:val="20"/>
              </w:rPr>
              <w:t>Favorece el equilibrio  de poder entre actores e instituciones políticas en la CHPH</w:t>
            </w:r>
          </w:p>
          <w:p>
            <w:pPr>
              <w:pStyle w:val="TableParagraph"/>
              <w:ind w:left="280" w:right="103" w:hanging="178"/>
              <w:jc w:val="both"/>
              <w:rPr>
                <w:sz w:val="20"/>
              </w:rPr>
            </w:pPr>
            <w:r>
              <w:rPr>
                <w:rFonts w:ascii="Wingdings" w:hAnsi="Wingdings"/>
                <w:sz w:val="20"/>
              </w:rPr>
              <w:t></w:t>
            </w:r>
            <w:r>
              <w:rPr>
                <w:sz w:val="20"/>
              </w:rPr>
              <w:t>Favorece la creación de instituciones sociopolíticas y democráticas en la CHPH</w:t>
            </w:r>
          </w:p>
          <w:p>
            <w:pPr>
              <w:pStyle w:val="TableParagraph"/>
              <w:ind w:left="280" w:right="105" w:hanging="178"/>
              <w:jc w:val="both"/>
              <w:rPr>
                <w:sz w:val="20"/>
              </w:rPr>
            </w:pPr>
            <w:r>
              <w:rPr>
                <w:rFonts w:ascii="Wingdings" w:hAnsi="Wingdings"/>
                <w:sz w:val="20"/>
              </w:rPr>
              <w:t></w:t>
            </w:r>
            <w:r>
              <w:rPr>
                <w:sz w:val="20"/>
              </w:rPr>
              <w:t>Favorece la articulación entre actores a través de la participación política</w:t>
            </w:r>
          </w:p>
          <w:p>
            <w:pPr>
              <w:pStyle w:val="TableParagraph"/>
              <w:ind w:right="98"/>
              <w:rPr>
                <w:sz w:val="20"/>
              </w:rPr>
            </w:pPr>
            <w:r>
              <w:rPr>
                <w:rFonts w:ascii="Wingdings" w:hAnsi="Wingdings"/>
                <w:sz w:val="20"/>
              </w:rPr>
              <w:t></w:t>
            </w:r>
            <w:r>
              <w:rPr>
                <w:sz w:val="20"/>
              </w:rPr>
              <w:t>Favorece la GIRH</w:t>
            </w:r>
          </w:p>
          <w:p>
            <w:pPr>
              <w:pStyle w:val="TableParagraph"/>
              <w:spacing w:line="229" w:lineRule="exact"/>
              <w:ind w:right="98"/>
              <w:rPr>
                <w:sz w:val="20"/>
              </w:rPr>
            </w:pPr>
            <w:r>
              <w:rPr>
                <w:rFonts w:ascii="Wingdings" w:hAnsi="Wingdings"/>
                <w:sz w:val="20"/>
              </w:rPr>
              <w:t></w:t>
            </w:r>
            <w:r>
              <w:rPr>
                <w:sz w:val="20"/>
              </w:rPr>
              <w:t>Favorece la gobernanza</w:t>
            </w:r>
          </w:p>
          <w:p>
            <w:pPr>
              <w:pStyle w:val="TableParagraph"/>
              <w:ind w:left="280" w:right="98" w:hanging="178"/>
              <w:rPr>
                <w:sz w:val="20"/>
              </w:rPr>
            </w:pPr>
            <w:r>
              <w:rPr>
                <w:rFonts w:ascii="Wingdings" w:hAnsi="Wingdings"/>
                <w:sz w:val="20"/>
              </w:rPr>
              <w:t></w:t>
            </w:r>
            <w:r>
              <w:rPr>
                <w:sz w:val="20"/>
              </w:rPr>
              <w:t>Fortalece la gobernabilidad Existe planeación sociopolítica con articulación entre actores</w:t>
            </w: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1274" w:hRule="exact"/>
        </w:trPr>
        <w:tc>
          <w:tcPr>
            <w:tcW w:w="12822" w:type="dxa"/>
            <w:gridSpan w:val="7"/>
          </w:tcPr>
          <w:p>
            <w:pPr>
              <w:pStyle w:val="TableParagraph"/>
              <w:spacing w:line="248" w:lineRule="exact"/>
              <w:ind w:left="2026" w:right="2026"/>
              <w:jc w:val="center"/>
              <w:rPr>
                <w:sz w:val="22"/>
              </w:rPr>
            </w:pPr>
            <w:r>
              <w:rPr>
                <w:b/>
                <w:sz w:val="22"/>
              </w:rPr>
              <w:t>Fuente: </w:t>
            </w:r>
            <w:r>
              <w:rPr>
                <w:sz w:val="22"/>
              </w:rPr>
              <w:t>elaboración propia con base en trabajo de campo y gabinete García, 2013-2015.</w:t>
            </w:r>
          </w:p>
          <w:p>
            <w:pPr>
              <w:pStyle w:val="TableParagraph"/>
              <w:ind w:left="0"/>
              <w:rPr>
                <w:rFonts w:ascii="Times New Roman"/>
                <w:sz w:val="22"/>
              </w:rPr>
            </w:pPr>
          </w:p>
          <w:p>
            <w:pPr>
              <w:pStyle w:val="TableParagraph"/>
              <w:ind w:left="27" w:right="57"/>
              <w:rPr>
                <w:b/>
                <w:sz w:val="22"/>
              </w:rPr>
            </w:pPr>
            <w:r>
              <w:rPr>
                <w:b/>
                <w:sz w:val="22"/>
              </w:rPr>
              <w:t>Interpretación de la anterior gráfica y la tarjeta de valoración:</w:t>
            </w:r>
          </w:p>
          <w:p>
            <w:pPr>
              <w:pStyle w:val="TableParagraph"/>
              <w:spacing w:before="1"/>
              <w:ind w:left="27" w:right="41"/>
              <w:rPr>
                <w:sz w:val="22"/>
              </w:rPr>
            </w:pPr>
            <w:r>
              <w:rPr>
                <w:sz w:val="22"/>
              </w:rPr>
              <w:t>- En 1400 las estructuras de poder eran más igualitarias en la CHPH, porque la Provincia de Xilotepec, donde ahora está situada la</w:t>
            </w:r>
            <w:r>
              <w:rPr>
                <w:spacing w:val="10"/>
                <w:sz w:val="22"/>
              </w:rPr>
              <w:t> </w:t>
            </w:r>
            <w:r>
              <w:rPr>
                <w:sz w:val="22"/>
              </w:rPr>
              <w:t>CHPH,</w:t>
            </w:r>
            <w:r>
              <w:rPr>
                <w:spacing w:val="11"/>
                <w:sz w:val="22"/>
              </w:rPr>
              <w:t> </w:t>
            </w:r>
            <w:r>
              <w:rPr>
                <w:sz w:val="22"/>
              </w:rPr>
              <w:t>estaba</w:t>
            </w:r>
            <w:r>
              <w:rPr>
                <w:spacing w:val="10"/>
                <w:sz w:val="22"/>
              </w:rPr>
              <w:t> </w:t>
            </w:r>
            <w:r>
              <w:rPr>
                <w:sz w:val="22"/>
              </w:rPr>
              <w:t>habitada</w:t>
            </w:r>
            <w:r>
              <w:rPr>
                <w:spacing w:val="10"/>
                <w:sz w:val="22"/>
              </w:rPr>
              <w:t> </w:t>
            </w:r>
            <w:r>
              <w:rPr>
                <w:sz w:val="22"/>
              </w:rPr>
              <w:t>por</w:t>
            </w:r>
            <w:r>
              <w:rPr>
                <w:spacing w:val="11"/>
                <w:sz w:val="22"/>
              </w:rPr>
              <w:t> </w:t>
            </w:r>
            <w:r>
              <w:rPr>
                <w:sz w:val="22"/>
              </w:rPr>
              <w:t>otomíes</w:t>
            </w:r>
            <w:r>
              <w:rPr>
                <w:spacing w:val="10"/>
                <w:sz w:val="22"/>
              </w:rPr>
              <w:t> </w:t>
            </w:r>
            <w:r>
              <w:rPr>
                <w:sz w:val="22"/>
              </w:rPr>
              <w:t>principalmente,</w:t>
            </w:r>
            <w:r>
              <w:rPr>
                <w:spacing w:val="9"/>
                <w:sz w:val="22"/>
              </w:rPr>
              <w:t> </w:t>
            </w:r>
            <w:r>
              <w:rPr>
                <w:sz w:val="22"/>
              </w:rPr>
              <w:t>que</w:t>
            </w:r>
            <w:r>
              <w:rPr>
                <w:spacing w:val="7"/>
                <w:sz w:val="22"/>
              </w:rPr>
              <w:t> </w:t>
            </w:r>
            <w:r>
              <w:rPr>
                <w:sz w:val="22"/>
              </w:rPr>
              <w:t>tenían</w:t>
            </w:r>
            <w:r>
              <w:rPr>
                <w:spacing w:val="10"/>
                <w:sz w:val="22"/>
              </w:rPr>
              <w:t> </w:t>
            </w:r>
            <w:r>
              <w:rPr>
                <w:sz w:val="22"/>
              </w:rPr>
              <w:t>un</w:t>
            </w:r>
            <w:r>
              <w:rPr>
                <w:spacing w:val="10"/>
                <w:sz w:val="22"/>
              </w:rPr>
              <w:t> </w:t>
            </w:r>
            <w:r>
              <w:rPr>
                <w:sz w:val="22"/>
              </w:rPr>
              <w:t>gobierno</w:t>
            </w:r>
            <w:r>
              <w:rPr>
                <w:spacing w:val="10"/>
                <w:sz w:val="22"/>
              </w:rPr>
              <w:t> </w:t>
            </w:r>
            <w:r>
              <w:rPr>
                <w:sz w:val="22"/>
              </w:rPr>
              <w:t>con</w:t>
            </w:r>
            <w:r>
              <w:rPr>
                <w:spacing w:val="10"/>
                <w:sz w:val="22"/>
              </w:rPr>
              <w:t> </w:t>
            </w:r>
            <w:r>
              <w:rPr>
                <w:sz w:val="22"/>
              </w:rPr>
              <w:t>jerarquía</w:t>
            </w:r>
            <w:r>
              <w:rPr>
                <w:spacing w:val="10"/>
                <w:sz w:val="22"/>
              </w:rPr>
              <w:t> </w:t>
            </w:r>
            <w:r>
              <w:rPr>
                <w:sz w:val="22"/>
              </w:rPr>
              <w:t>de</w:t>
            </w:r>
            <w:r>
              <w:rPr>
                <w:spacing w:val="10"/>
                <w:sz w:val="22"/>
              </w:rPr>
              <w:t> </w:t>
            </w:r>
            <w:r>
              <w:rPr>
                <w:sz w:val="22"/>
              </w:rPr>
              <w:t>poder</w:t>
            </w:r>
            <w:r>
              <w:rPr>
                <w:spacing w:val="11"/>
                <w:sz w:val="22"/>
              </w:rPr>
              <w:t> </w:t>
            </w:r>
            <w:r>
              <w:rPr>
                <w:sz w:val="22"/>
              </w:rPr>
              <w:t>más</w:t>
            </w:r>
            <w:r>
              <w:rPr>
                <w:spacing w:val="11"/>
                <w:sz w:val="22"/>
              </w:rPr>
              <w:t> </w:t>
            </w:r>
            <w:r>
              <w:rPr>
                <w:sz w:val="22"/>
              </w:rPr>
              <w:t>horizontal,</w:t>
            </w:r>
            <w:r>
              <w:rPr>
                <w:spacing w:val="11"/>
                <w:sz w:val="22"/>
              </w:rPr>
              <w:t> </w:t>
            </w:r>
            <w:r>
              <w:rPr>
                <w:sz w:val="22"/>
              </w:rPr>
              <w:t>por</w:t>
            </w:r>
            <w:r>
              <w:rPr>
                <w:spacing w:val="11"/>
                <w:sz w:val="22"/>
              </w:rPr>
              <w:t> </w:t>
            </w:r>
            <w:r>
              <w:rPr>
                <w:sz w:val="22"/>
              </w:rPr>
              <w:t>lo</w:t>
            </w:r>
            <w:r>
              <w:rPr>
                <w:spacing w:val="8"/>
                <w:sz w:val="22"/>
              </w:rPr>
              <w:t> </w:t>
            </w:r>
            <w:r>
              <w:rPr>
                <w:sz w:val="22"/>
              </w:rPr>
              <w:t>que</w:t>
            </w:r>
          </w:p>
        </w:tc>
      </w:tr>
    </w:tbl>
    <w:p>
      <w:pPr>
        <w:spacing w:after="0"/>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29872"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BodyText"/>
        <w:spacing w:line="252" w:lineRule="exact" w:before="72"/>
        <w:ind w:left="180"/>
        <w:jc w:val="both"/>
      </w:pPr>
      <w:r>
        <w:rPr/>
        <w:t>puede categorizarse este período como Excelente.</w:t>
      </w:r>
    </w:p>
    <w:p>
      <w:pPr>
        <w:pStyle w:val="ListParagraph"/>
        <w:numPr>
          <w:ilvl w:val="0"/>
          <w:numId w:val="121"/>
        </w:numPr>
        <w:tabs>
          <w:tab w:pos="317" w:val="left" w:leader="none"/>
        </w:tabs>
        <w:spacing w:line="240" w:lineRule="auto" w:before="0" w:after="0"/>
        <w:ind w:left="180" w:right="399" w:firstLine="0"/>
        <w:jc w:val="both"/>
        <w:rPr>
          <w:sz w:val="22"/>
        </w:rPr>
      </w:pPr>
      <w:r>
        <w:rPr>
          <w:sz w:val="22"/>
        </w:rPr>
        <w:t>En 1519 todavía prevalecía la estructura del pueblo otomí en la provincia de Xilotepec en lo que ahora es la CHPH porque fue en 1533 cuando se asigna en su totalidad como encomienda a Juan Jaramillo de Salvatierra (esposo de la Malinche), por lo que todavía este período puede considerarse como</w:t>
      </w:r>
      <w:r>
        <w:rPr>
          <w:spacing w:val="-12"/>
          <w:sz w:val="22"/>
        </w:rPr>
        <w:t> </w:t>
      </w:r>
      <w:r>
        <w:rPr>
          <w:sz w:val="22"/>
        </w:rPr>
        <w:t>bueno</w:t>
      </w:r>
    </w:p>
    <w:p>
      <w:pPr>
        <w:pStyle w:val="ListParagraph"/>
        <w:numPr>
          <w:ilvl w:val="0"/>
          <w:numId w:val="121"/>
        </w:numPr>
        <w:tabs>
          <w:tab w:pos="322" w:val="left" w:leader="none"/>
        </w:tabs>
        <w:spacing w:line="240" w:lineRule="auto" w:before="1" w:after="0"/>
        <w:ind w:left="180" w:right="402" w:firstLine="0"/>
        <w:jc w:val="both"/>
        <w:rPr>
          <w:sz w:val="22"/>
        </w:rPr>
      </w:pPr>
      <w:r>
        <w:rPr>
          <w:sz w:val="22"/>
        </w:rPr>
        <w:t>A partir de 1580 el poder sociopolítico empieza a ser deficiente porque se concentra en pocas manos, ya que para 1794 existían 25 haciendas y 95 ranchos ganaderos y productores de leche en la CHPH, por lo que en el siglo XVII y XVIII se consolidó la dominación española en la cuenca a través de una serie de despojos sociales como la concentración de las tierras, la esclavitud de los trabajadores a través de las tiendas de raya y horarios excesivos de trabajo, aunado a esto la repartición de los recursos naturales fue dada con base a las haciendas y ranchos existentes en la</w:t>
      </w:r>
      <w:r>
        <w:rPr>
          <w:spacing w:val="-19"/>
          <w:sz w:val="22"/>
        </w:rPr>
        <w:t> </w:t>
      </w:r>
      <w:r>
        <w:rPr>
          <w:sz w:val="22"/>
        </w:rPr>
        <w:t>región.</w:t>
      </w:r>
    </w:p>
    <w:p>
      <w:pPr>
        <w:pStyle w:val="ListParagraph"/>
        <w:numPr>
          <w:ilvl w:val="0"/>
          <w:numId w:val="121"/>
        </w:numPr>
        <w:tabs>
          <w:tab w:pos="346" w:val="left" w:leader="none"/>
        </w:tabs>
        <w:spacing w:line="240" w:lineRule="auto" w:before="1" w:after="0"/>
        <w:ind w:left="180" w:right="402" w:firstLine="0"/>
        <w:jc w:val="both"/>
        <w:rPr>
          <w:sz w:val="22"/>
        </w:rPr>
      </w:pPr>
      <w:r>
        <w:rPr>
          <w:sz w:val="22"/>
        </w:rPr>
        <w:t>En 1785-1788 los religiosos franciscanos construyeron la presa Huapango por la cantidad de tierras de cultivo y cabezas de ganado que existían en la región, lo que dio origen a la actual cuenca lechera más importante del Estado de México. En esta época hubo un impacto ambiental, económico y sociopolítico porque el agua de la presa artículo a la región, sin embargo en términos de poder generó una serie de desequilibrios porque el reparto del agua es inequitativo, ya que sólo los municipios </w:t>
      </w:r>
      <w:r>
        <w:rPr>
          <w:spacing w:val="4"/>
          <w:sz w:val="22"/>
        </w:rPr>
        <w:t>de </w:t>
      </w:r>
      <w:r>
        <w:rPr>
          <w:sz w:val="22"/>
        </w:rPr>
        <w:t>aguas abajo tienen la concesión de</w:t>
      </w:r>
      <w:r>
        <w:rPr>
          <w:spacing w:val="-12"/>
          <w:sz w:val="22"/>
        </w:rPr>
        <w:t> </w:t>
      </w:r>
      <w:r>
        <w:rPr>
          <w:sz w:val="22"/>
        </w:rPr>
        <w:t>riego.</w:t>
      </w:r>
    </w:p>
    <w:p>
      <w:pPr>
        <w:pStyle w:val="ListParagraph"/>
        <w:numPr>
          <w:ilvl w:val="0"/>
          <w:numId w:val="121"/>
        </w:numPr>
        <w:tabs>
          <w:tab w:pos="324" w:val="left" w:leader="none"/>
        </w:tabs>
        <w:spacing w:line="240" w:lineRule="auto" w:before="1" w:after="0"/>
        <w:ind w:left="180" w:right="402" w:firstLine="0"/>
        <w:jc w:val="both"/>
        <w:rPr>
          <w:sz w:val="22"/>
        </w:rPr>
      </w:pPr>
      <w:r>
        <w:rPr>
          <w:sz w:val="22"/>
        </w:rPr>
        <w:t>En 1810 de las injusticias sociales cometidas por los conquistadores españoles inicia la lucha de independencia de México para liberarse de las ataduras españolas y obtener mejores condiciones sociales, sin embargo la distribución de la tierra generó una serie de latifundios que concentraban la tierra y seguían practicando las mismas injusticias sociales que los hacendados, por lo que este período puede categorizarse como</w:t>
      </w:r>
      <w:r>
        <w:rPr>
          <w:spacing w:val="-12"/>
          <w:sz w:val="22"/>
        </w:rPr>
        <w:t> </w:t>
      </w:r>
      <w:r>
        <w:rPr>
          <w:sz w:val="22"/>
        </w:rPr>
        <w:t>regular.</w:t>
      </w:r>
    </w:p>
    <w:p>
      <w:pPr>
        <w:pStyle w:val="ListParagraph"/>
        <w:numPr>
          <w:ilvl w:val="0"/>
          <w:numId w:val="121"/>
        </w:numPr>
        <w:tabs>
          <w:tab w:pos="320" w:val="left" w:leader="none"/>
        </w:tabs>
        <w:spacing w:line="240" w:lineRule="auto" w:before="0" w:after="0"/>
        <w:ind w:left="180" w:right="408" w:firstLine="0"/>
        <w:jc w:val="both"/>
        <w:rPr>
          <w:sz w:val="22"/>
        </w:rPr>
      </w:pPr>
      <w:r>
        <w:rPr>
          <w:sz w:val="22"/>
        </w:rPr>
        <w:t>En 1861 es cuando surge el primer municipio de la CHPH, Jilotepec, con una serie de desequilibrios de poder, ya que en México tenemos un sistema de gobierno federal, donde las entidades federativas y el municipio están supeditados a éste, por lo que es  un períodoregular en términos de poder</w:t>
      </w:r>
      <w:r>
        <w:rPr>
          <w:spacing w:val="-11"/>
          <w:sz w:val="22"/>
        </w:rPr>
        <w:t> </w:t>
      </w:r>
      <w:r>
        <w:rPr>
          <w:sz w:val="22"/>
        </w:rPr>
        <w:t>sociopolítico.</w:t>
      </w:r>
    </w:p>
    <w:p>
      <w:pPr>
        <w:pStyle w:val="ListParagraph"/>
        <w:numPr>
          <w:ilvl w:val="0"/>
          <w:numId w:val="121"/>
        </w:numPr>
        <w:tabs>
          <w:tab w:pos="365" w:val="left" w:leader="none"/>
        </w:tabs>
        <w:spacing w:line="240" w:lineRule="auto" w:before="0" w:after="0"/>
        <w:ind w:left="180" w:right="400" w:firstLine="0"/>
        <w:jc w:val="both"/>
        <w:rPr>
          <w:sz w:val="22"/>
        </w:rPr>
      </w:pPr>
      <w:r>
        <w:rPr>
          <w:sz w:val="22"/>
        </w:rPr>
        <w:t>En 1910 inicia la Revolución Mexicana para luchar por una serie de derechos sociales, entre ellos una distribución más  equitativa de la tierra, una jornada laboral más justa y el derecho de participación política en la toma de decisiones sociales, por lo que se crea la Constitución Política de 1917 donde se plasman los derechos civiles, pero que a la larga a generado también una serie de desequilibrios de poder, por lo que este período también es regular en términos de poder</w:t>
      </w:r>
      <w:r>
        <w:rPr>
          <w:spacing w:val="-32"/>
          <w:sz w:val="22"/>
        </w:rPr>
        <w:t> </w:t>
      </w:r>
      <w:r>
        <w:rPr>
          <w:sz w:val="22"/>
        </w:rPr>
        <w:t>sociopolítico.</w:t>
      </w:r>
    </w:p>
    <w:p>
      <w:pPr>
        <w:pStyle w:val="ListParagraph"/>
        <w:numPr>
          <w:ilvl w:val="0"/>
          <w:numId w:val="121"/>
        </w:numPr>
        <w:tabs>
          <w:tab w:pos="341" w:val="left" w:leader="none"/>
        </w:tabs>
        <w:spacing w:line="240" w:lineRule="auto" w:before="0" w:after="0"/>
        <w:ind w:left="180" w:right="399" w:firstLine="0"/>
        <w:jc w:val="both"/>
        <w:rPr>
          <w:sz w:val="22"/>
        </w:rPr>
      </w:pPr>
      <w:r>
        <w:rPr>
          <w:sz w:val="22"/>
        </w:rPr>
        <w:t>Desde la Revolución Mexicana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del </w:t>
      </w:r>
      <w:r>
        <w:rPr>
          <w:spacing w:val="-2"/>
          <w:sz w:val="22"/>
        </w:rPr>
        <w:t>Río </w:t>
      </w:r>
      <w:r>
        <w:rPr>
          <w:sz w:val="22"/>
        </w:rPr>
        <w:t>(1936-1940)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w:t>
      </w:r>
      <w:r>
        <w:rPr>
          <w:spacing w:val="11"/>
          <w:sz w:val="22"/>
        </w:rPr>
        <w:t> </w:t>
      </w:r>
      <w:r>
        <w:rPr>
          <w:sz w:val="22"/>
        </w:rPr>
        <w:t>se</w:t>
      </w:r>
      <w:r>
        <w:rPr>
          <w:spacing w:val="6"/>
          <w:sz w:val="22"/>
        </w:rPr>
        <w:t> </w:t>
      </w:r>
      <w:r>
        <w:rPr>
          <w:sz w:val="22"/>
        </w:rPr>
        <w:t>crea</w:t>
      </w:r>
      <w:r>
        <w:rPr>
          <w:spacing w:val="8"/>
          <w:sz w:val="22"/>
        </w:rPr>
        <w:t> </w:t>
      </w:r>
      <w:r>
        <w:rPr>
          <w:sz w:val="22"/>
        </w:rPr>
        <w:t>bajo</w:t>
      </w:r>
      <w:r>
        <w:rPr>
          <w:spacing w:val="9"/>
          <w:sz w:val="22"/>
        </w:rPr>
        <w:t> </w:t>
      </w:r>
      <w:r>
        <w:rPr>
          <w:sz w:val="22"/>
        </w:rPr>
        <w:t>la</w:t>
      </w:r>
      <w:r>
        <w:rPr>
          <w:spacing w:val="11"/>
          <w:sz w:val="22"/>
        </w:rPr>
        <w:t> </w:t>
      </w:r>
      <w:r>
        <w:rPr>
          <w:sz w:val="22"/>
        </w:rPr>
        <w:t>dominación</w:t>
      </w:r>
      <w:r>
        <w:rPr>
          <w:spacing w:val="11"/>
          <w:sz w:val="22"/>
        </w:rPr>
        <w:t> </w:t>
      </w:r>
      <w:r>
        <w:rPr>
          <w:sz w:val="22"/>
        </w:rPr>
        <w:t>de</w:t>
      </w:r>
      <w:r>
        <w:rPr>
          <w:spacing w:val="8"/>
          <w:sz w:val="22"/>
        </w:rPr>
        <w:t> </w:t>
      </w:r>
      <w:r>
        <w:rPr>
          <w:sz w:val="22"/>
        </w:rPr>
        <w:t>la</w:t>
      </w:r>
      <w:r>
        <w:rPr>
          <w:spacing w:val="10"/>
          <w:sz w:val="22"/>
        </w:rPr>
        <w:t> </w:t>
      </w:r>
      <w:r>
        <w:rPr>
          <w:sz w:val="22"/>
        </w:rPr>
        <w:t>federación,</w:t>
      </w:r>
      <w:r>
        <w:rPr>
          <w:spacing w:val="12"/>
          <w:sz w:val="22"/>
        </w:rPr>
        <w:t> </w:t>
      </w:r>
      <w:r>
        <w:rPr>
          <w:sz w:val="22"/>
        </w:rPr>
        <w:t>y</w:t>
      </w:r>
      <w:r>
        <w:rPr>
          <w:spacing w:val="7"/>
          <w:sz w:val="22"/>
        </w:rPr>
        <w:t> </w:t>
      </w:r>
      <w:r>
        <w:rPr>
          <w:sz w:val="22"/>
        </w:rPr>
        <w:t>con</w:t>
      </w:r>
      <w:r>
        <w:rPr>
          <w:spacing w:val="8"/>
          <w:sz w:val="22"/>
        </w:rPr>
        <w:t> </w:t>
      </w:r>
      <w:r>
        <w:rPr>
          <w:sz w:val="22"/>
        </w:rPr>
        <w:t>restricciones</w:t>
      </w:r>
      <w:r>
        <w:rPr>
          <w:spacing w:val="12"/>
          <w:sz w:val="22"/>
        </w:rPr>
        <w:t> </w:t>
      </w:r>
      <w:r>
        <w:rPr>
          <w:sz w:val="22"/>
        </w:rPr>
        <w:t>de</w:t>
      </w:r>
      <w:r>
        <w:rPr>
          <w:spacing w:val="8"/>
          <w:sz w:val="22"/>
        </w:rPr>
        <w:t> </w:t>
      </w:r>
      <w:r>
        <w:rPr>
          <w:sz w:val="22"/>
        </w:rPr>
        <w:t>copropiedad</w:t>
      </w:r>
      <w:r>
        <w:rPr>
          <w:spacing w:val="8"/>
          <w:sz w:val="22"/>
        </w:rPr>
        <w:t> </w:t>
      </w:r>
      <w:r>
        <w:rPr>
          <w:sz w:val="22"/>
        </w:rPr>
        <w:t>con</w:t>
      </w:r>
      <w:r>
        <w:rPr>
          <w:spacing w:val="8"/>
          <w:sz w:val="22"/>
        </w:rPr>
        <w:t> </w:t>
      </w:r>
      <w:r>
        <w:rPr>
          <w:sz w:val="22"/>
        </w:rPr>
        <w:t>el</w:t>
      </w:r>
      <w:r>
        <w:rPr>
          <w:spacing w:val="8"/>
          <w:sz w:val="22"/>
        </w:rPr>
        <w:t> </w:t>
      </w:r>
      <w:r>
        <w:rPr>
          <w:sz w:val="22"/>
        </w:rPr>
        <w:t>Estado,</w:t>
      </w:r>
      <w:r>
        <w:rPr>
          <w:spacing w:val="10"/>
          <w:sz w:val="22"/>
        </w:rPr>
        <w:t> </w:t>
      </w:r>
      <w:r>
        <w:rPr>
          <w:sz w:val="22"/>
        </w:rPr>
        <w:t>es</w:t>
      </w:r>
      <w:r>
        <w:rPr>
          <w:spacing w:val="9"/>
          <w:sz w:val="22"/>
        </w:rPr>
        <w:t> </w:t>
      </w:r>
      <w:r>
        <w:rPr>
          <w:sz w:val="22"/>
        </w:rPr>
        <w:t>decir</w:t>
      </w:r>
      <w:r>
        <w:rPr>
          <w:spacing w:val="10"/>
          <w:sz w:val="22"/>
        </w:rPr>
        <w:t> </w:t>
      </w:r>
      <w:r>
        <w:rPr>
          <w:sz w:val="22"/>
        </w:rPr>
        <w:t>bajo</w:t>
      </w:r>
      <w:r>
        <w:rPr>
          <w:spacing w:val="9"/>
          <w:sz w:val="22"/>
        </w:rPr>
        <w:t> </w:t>
      </w:r>
      <w:r>
        <w:rPr>
          <w:sz w:val="22"/>
        </w:rPr>
        <w:t>su</w:t>
      </w:r>
      <w:r>
        <w:rPr>
          <w:spacing w:val="9"/>
          <w:sz w:val="22"/>
        </w:rPr>
        <w:t> </w:t>
      </w:r>
      <w:r>
        <w:rPr>
          <w:sz w:val="22"/>
        </w:rPr>
        <w:t>tutela,</w:t>
      </w:r>
    </w:p>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3046" w:hRule="exact"/>
        </w:trPr>
        <w:tc>
          <w:tcPr>
            <w:tcW w:w="12897" w:type="dxa"/>
          </w:tcPr>
          <w:p>
            <w:pPr>
              <w:pStyle w:val="TableParagraph"/>
              <w:spacing w:line="252" w:lineRule="exact" w:before="2"/>
              <w:ind w:left="64" w:right="60"/>
              <w:jc w:val="both"/>
              <w:rPr>
                <w:sz w:val="22"/>
              </w:rPr>
            </w:pPr>
            <w:r>
              <w:rPr>
                <w:sz w:val="22"/>
              </w:rPr>
              <w:t>lo que generó una serie de problemas entre los actores campesinos de la Cuenca (acceso inequitativo al agua, a la tierra, a los bosques, etc.) que aún no se pueden resolver, teniendo esto un impacto en lo sociopolítico, económico y ambiental.</w:t>
            </w:r>
          </w:p>
          <w:p>
            <w:pPr>
              <w:pStyle w:val="TableParagraph"/>
              <w:numPr>
                <w:ilvl w:val="0"/>
                <w:numId w:val="183"/>
              </w:numPr>
              <w:tabs>
                <w:tab w:pos="207" w:val="left" w:leader="none"/>
              </w:tabs>
              <w:spacing w:line="240" w:lineRule="auto" w:before="0" w:after="0"/>
              <w:ind w:left="64" w:right="62" w:firstLine="0"/>
              <w:jc w:val="both"/>
              <w:rPr>
                <w:sz w:val="22"/>
              </w:rPr>
            </w:pPr>
            <w:r>
              <w:rPr>
                <w:sz w:val="22"/>
              </w:rPr>
              <w:t>En 1982 con el modelo neoliberal se abre el mercado internacional con lo que se agudiza el desequilibrio de poder porque ya </w:t>
            </w:r>
            <w:r>
              <w:rPr>
                <w:spacing w:val="4"/>
                <w:sz w:val="22"/>
              </w:rPr>
              <w:t>no </w:t>
            </w:r>
            <w:r>
              <w:rPr>
                <w:sz w:val="22"/>
              </w:rPr>
              <w:t>es el gobierno, ni la sociedad los que ostentan el poder, sino las grandes trasnacionales que producen en serie y que demandan grandes cantidades de materias primas, por lo que la explotación de los recursos naturales y humanos es cada día más</w:t>
            </w:r>
            <w:r>
              <w:rPr>
                <w:spacing w:val="-33"/>
                <w:sz w:val="22"/>
              </w:rPr>
              <w:t> </w:t>
            </w:r>
            <w:r>
              <w:rPr>
                <w:sz w:val="22"/>
              </w:rPr>
              <w:t>voraz.</w:t>
            </w:r>
          </w:p>
          <w:p>
            <w:pPr>
              <w:pStyle w:val="TableParagraph"/>
              <w:numPr>
                <w:ilvl w:val="0"/>
                <w:numId w:val="183"/>
              </w:numPr>
              <w:tabs>
                <w:tab w:pos="209" w:val="left" w:leader="none"/>
              </w:tabs>
              <w:spacing w:line="240" w:lineRule="auto" w:before="0" w:after="0"/>
              <w:ind w:left="64" w:right="60" w:firstLine="0"/>
              <w:jc w:val="both"/>
              <w:rPr>
                <w:sz w:val="22"/>
              </w:rPr>
            </w:pPr>
            <w:r>
              <w:rPr>
                <w:sz w:val="22"/>
              </w:rPr>
              <w:t>En 2016 nos encontramos con una realidad sociopolítica vulnerable en la CHPH que arrastra todos los vicios del pasado, donde los municipios y actores de aguas abajo concentran los recursos naturales y con ellos el poder económico y sociopolítico, por lo que los actores históricos siguen demandando en el presente mejores derechos civiles y una menor concentración de poder sociopolítico para acceder de forma equitativa a los recursos naturales, por lo que los actores de la cuenca, principalmente los históricos, deben iniciar su lucha local y regional para una redistribución más equitativa de los recursos a través de acuerdos sociopolíticos que estén basados en una GIRH mediante la gobernanza y la gobernabilidad para llegar a acuerdos democráticos y justos para todos que garanticen un poder más equilibrado y</w:t>
            </w:r>
            <w:r>
              <w:rPr>
                <w:spacing w:val="-19"/>
                <w:sz w:val="22"/>
              </w:rPr>
              <w:t> </w:t>
            </w:r>
            <w:r>
              <w:rPr>
                <w:sz w:val="22"/>
              </w:rPr>
              <w:t>democrático..</w:t>
            </w:r>
          </w:p>
        </w:tc>
      </w:tr>
      <w:tr>
        <w:trPr>
          <w:trHeight w:val="338"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022" w:hRule="exact"/>
        </w:trPr>
        <w:tc>
          <w:tcPr>
            <w:tcW w:w="12897" w:type="dxa"/>
          </w:tcPr>
          <w:p>
            <w:pPr>
              <w:pStyle w:val="TableParagraph"/>
              <w:numPr>
                <w:ilvl w:val="0"/>
                <w:numId w:val="184"/>
              </w:numPr>
              <w:tabs>
                <w:tab w:pos="255" w:val="left" w:leader="none"/>
              </w:tabs>
              <w:spacing w:line="240" w:lineRule="auto" w:before="0" w:after="0"/>
              <w:ind w:left="103" w:right="111" w:firstLine="0"/>
              <w:jc w:val="left"/>
              <w:rPr>
                <w:sz w:val="22"/>
              </w:rPr>
            </w:pPr>
            <w:r>
              <w:rPr>
                <w:sz w:val="22"/>
              </w:rPr>
              <w:t>Permitió identificar a los actores de la CHPH que ejercen el control político mediante el dominio de los recursos naturales y la injerencia de instituciones gubernamentales a su</w:t>
            </w:r>
            <w:r>
              <w:rPr>
                <w:spacing w:val="-11"/>
                <w:sz w:val="22"/>
              </w:rPr>
              <w:t> </w:t>
            </w:r>
            <w:r>
              <w:rPr>
                <w:sz w:val="22"/>
              </w:rPr>
              <w:t>favor.</w:t>
            </w:r>
          </w:p>
          <w:p>
            <w:pPr>
              <w:pStyle w:val="TableParagraph"/>
              <w:numPr>
                <w:ilvl w:val="0"/>
                <w:numId w:val="184"/>
              </w:numPr>
              <w:tabs>
                <w:tab w:pos="243" w:val="left" w:leader="none"/>
              </w:tabs>
              <w:spacing w:line="240" w:lineRule="auto" w:before="0" w:after="0"/>
              <w:ind w:left="103" w:right="100" w:firstLine="0"/>
              <w:jc w:val="left"/>
              <w:rPr>
                <w:sz w:val="22"/>
              </w:rPr>
            </w:pPr>
            <w:r>
              <w:rPr>
                <w:sz w:val="22"/>
              </w:rPr>
              <w:t>Sirvió de guía de explicación para la elaboración de la propuesta de creación de un Comité Intermunicipal con su reglamento en la</w:t>
            </w:r>
            <w:r>
              <w:rPr>
                <w:spacing w:val="-3"/>
                <w:sz w:val="22"/>
              </w:rPr>
              <w:t> </w:t>
            </w:r>
            <w:r>
              <w:rPr>
                <w:sz w:val="22"/>
              </w:rPr>
              <w:t>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341" w:hRule="exact"/>
        </w:trPr>
        <w:tc>
          <w:tcPr>
            <w:tcW w:w="12897" w:type="dxa"/>
          </w:tcPr>
          <w:p>
            <w:pPr>
              <w:pStyle w:val="TableParagraph"/>
              <w:spacing w:line="251" w:lineRule="exact"/>
              <w:ind w:right="163"/>
              <w:rPr>
                <w:sz w:val="22"/>
              </w:rPr>
            </w:pPr>
            <w:r>
              <w:rPr>
                <w:sz w:val="22"/>
              </w:rPr>
              <w:t>- Se requiere de un análisis multidisciplinario para entender el poder sociopolítico en la CHPH.</w:t>
            </w:r>
          </w:p>
        </w:tc>
      </w:tr>
    </w:tbl>
    <w:p>
      <w:pPr>
        <w:spacing w:after="0" w:line="25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542" w:right="105"/>
              <w:rPr>
                <w:b/>
                <w:sz w:val="22"/>
              </w:rPr>
            </w:pPr>
            <w:r>
              <w:rPr>
                <w:b/>
                <w:sz w:val="22"/>
              </w:rPr>
              <w:t>Cultura sociopolítica</w:t>
            </w:r>
          </w:p>
        </w:tc>
        <w:tc>
          <w:tcPr>
            <w:tcW w:w="3277" w:type="dxa"/>
            <w:gridSpan w:val="3"/>
            <w:vMerge w:val="restart"/>
          </w:tcPr>
          <w:p>
            <w:pPr>
              <w:pStyle w:val="TableParagraph"/>
              <w:ind w:left="100" w:right="98"/>
              <w:jc w:val="both"/>
              <w:rPr>
                <w:b/>
                <w:sz w:val="22"/>
              </w:rPr>
            </w:pPr>
            <w:r>
              <w:rPr>
                <w:b/>
                <w:sz w:val="22"/>
              </w:rPr>
              <w:t>Identificar el tejido sociopolítico histórico de la CHPH que permite o inhibe  la interrelación social entre actores</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67"/>
              <w:rPr>
                <w:b/>
                <w:sz w:val="22"/>
              </w:rPr>
            </w:pPr>
            <w:r>
              <w:rPr>
                <w:b/>
                <w:sz w:val="22"/>
              </w:rPr>
              <w:t>0.930/ 18.055</w:t>
            </w:r>
          </w:p>
        </w:tc>
        <w:tc>
          <w:tcPr>
            <w:tcW w:w="1985" w:type="dxa"/>
            <w:gridSpan w:val="2"/>
          </w:tcPr>
          <w:p>
            <w:pPr>
              <w:pStyle w:val="TableParagraph"/>
              <w:spacing w:line="248" w:lineRule="exact"/>
              <w:ind w:left="1" w:right="2"/>
              <w:jc w:val="center"/>
              <w:rPr>
                <w:b/>
                <w:sz w:val="22"/>
              </w:rPr>
            </w:pPr>
            <w:r>
              <w:rPr>
                <w:b/>
                <w:sz w:val="22"/>
              </w:rPr>
              <w:t>5.15%</w:t>
            </w:r>
          </w:p>
        </w:tc>
        <w:tc>
          <w:tcPr>
            <w:tcW w:w="2268" w:type="dxa"/>
            <w:gridSpan w:val="2"/>
          </w:tcPr>
          <w:p>
            <w:pPr>
              <w:pStyle w:val="TableParagraph"/>
              <w:spacing w:line="248" w:lineRule="exact"/>
              <w:ind w:left="136" w:right="136"/>
              <w:jc w:val="center"/>
              <w:rPr>
                <w:b/>
                <w:sz w:val="22"/>
              </w:rPr>
            </w:pPr>
            <w:r>
              <w:rPr>
                <w:b/>
                <w:sz w:val="22"/>
              </w:rPr>
              <w:t>16.875</w:t>
            </w:r>
          </w:p>
        </w:tc>
        <w:tc>
          <w:tcPr>
            <w:tcW w:w="3274" w:type="dxa"/>
            <w:gridSpan w:val="5"/>
            <w:vMerge/>
          </w:tcPr>
          <w:p>
            <w:pPr/>
          </w:p>
        </w:tc>
        <w:tc>
          <w:tcPr>
            <w:tcW w:w="3277" w:type="dxa"/>
            <w:gridSpan w:val="3"/>
            <w:vMerge/>
          </w:tcPr>
          <w:p>
            <w:pPr/>
          </w:p>
        </w:tc>
      </w:tr>
      <w:tr>
        <w:trPr>
          <w:trHeight w:val="262" w:hRule="exact"/>
        </w:trPr>
        <w:tc>
          <w:tcPr>
            <w:tcW w:w="2093" w:type="dxa"/>
            <w:gridSpan w:val="2"/>
            <w:tcBorders>
              <w:right w:val="single" w:sz="41" w:space="0" w:color="D99493"/>
            </w:tcBorders>
          </w:tcPr>
          <w:p>
            <w:pPr>
              <w:pStyle w:val="TableParagraph"/>
              <w:spacing w:line="248" w:lineRule="exact"/>
              <w:ind w:left="45"/>
              <w:jc w:val="center"/>
              <w:rPr>
                <w:b/>
                <w:sz w:val="22"/>
              </w:rPr>
            </w:pPr>
            <w:r>
              <w:rPr>
                <w:b/>
                <w:w w:val="100"/>
                <w:sz w:val="22"/>
              </w:rPr>
              <w:t>1</w:t>
            </w:r>
          </w:p>
        </w:tc>
        <w:tc>
          <w:tcPr>
            <w:tcW w:w="1985" w:type="dxa"/>
            <w:gridSpan w:val="2"/>
            <w:shd w:val="clear" w:color="auto" w:fill="D99493"/>
          </w:tcPr>
          <w:p>
            <w:pPr>
              <w:pStyle w:val="TableParagraph"/>
              <w:spacing w:line="248" w:lineRule="exact"/>
              <w:ind w:left="0"/>
              <w:jc w:val="center"/>
              <w:rPr>
                <w:b/>
                <w:sz w:val="22"/>
              </w:rPr>
            </w:pPr>
            <w:r>
              <w:rPr>
                <w:b/>
                <w:w w:val="100"/>
                <w:sz w:val="22"/>
              </w:rPr>
              <w:t>2</w:t>
            </w:r>
          </w:p>
        </w:tc>
        <w:tc>
          <w:tcPr>
            <w:tcW w:w="2268" w:type="dxa"/>
            <w:gridSpan w:val="2"/>
            <w:tcBorders>
              <w:left w:val="thickThinMediumGap" w:sz="23" w:space="0" w:color="D99493"/>
              <w:right w:val="single" w:sz="41" w:space="0" w:color="D99493"/>
            </w:tcBorders>
          </w:tcPr>
          <w:p>
            <w:pPr>
              <w:pStyle w:val="TableParagraph"/>
              <w:spacing w:line="248" w:lineRule="exact"/>
              <w:ind w:left="0" w:right="2"/>
              <w:jc w:val="center"/>
              <w:rPr>
                <w:b/>
                <w:sz w:val="22"/>
              </w:rPr>
            </w:pPr>
            <w:r>
              <w:rPr>
                <w:b/>
                <w:w w:val="100"/>
                <w:sz w:val="22"/>
              </w:rPr>
              <w:t>3</w:t>
            </w:r>
          </w:p>
        </w:tc>
        <w:tc>
          <w:tcPr>
            <w:tcW w:w="1701" w:type="dxa"/>
            <w:gridSpan w:val="2"/>
            <w:shd w:val="clear" w:color="auto" w:fill="D99493"/>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D99493"/>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1" w:right="492"/>
              <w:jc w:val="center"/>
              <w:rPr>
                <w:b/>
                <w:sz w:val="22"/>
              </w:rPr>
            </w:pPr>
            <w:r>
              <w:rPr>
                <w:b/>
                <w:sz w:val="22"/>
              </w:rPr>
              <w:t>86</w:t>
            </w:r>
          </w:p>
        </w:tc>
        <w:tc>
          <w:tcPr>
            <w:tcW w:w="2127" w:type="dxa"/>
            <w:gridSpan w:val="3"/>
            <w:shd w:val="clear" w:color="auto" w:fill="92CDDC"/>
          </w:tcPr>
          <w:p>
            <w:pPr>
              <w:pStyle w:val="TableParagraph"/>
              <w:spacing w:line="248" w:lineRule="exact"/>
              <w:ind w:left="916" w:right="916"/>
              <w:jc w:val="center"/>
              <w:rPr>
                <w:b/>
                <w:sz w:val="22"/>
              </w:rPr>
            </w:pPr>
            <w:r>
              <w:rPr>
                <w:b/>
                <w:sz w:val="22"/>
              </w:rPr>
              <w:t>37</w:t>
            </w:r>
          </w:p>
        </w:tc>
        <w:tc>
          <w:tcPr>
            <w:tcW w:w="2410" w:type="dxa"/>
            <w:gridSpan w:val="3"/>
            <w:shd w:val="clear" w:color="auto" w:fill="92CDDC"/>
          </w:tcPr>
          <w:p>
            <w:pPr>
              <w:pStyle w:val="TableParagraph"/>
              <w:spacing w:line="248" w:lineRule="exact"/>
              <w:ind w:left="782" w:right="779"/>
              <w:jc w:val="center"/>
              <w:rPr>
                <w:b/>
                <w:sz w:val="22"/>
              </w:rPr>
            </w:pPr>
            <w:r>
              <w:rPr>
                <w:b/>
                <w:sz w:val="22"/>
              </w:rPr>
              <w:t>0.0625</w:t>
            </w:r>
          </w:p>
        </w:tc>
        <w:tc>
          <w:tcPr>
            <w:tcW w:w="1844" w:type="dxa"/>
            <w:gridSpan w:val="2"/>
            <w:shd w:val="clear" w:color="auto" w:fill="F9BE8F"/>
          </w:tcPr>
          <w:p>
            <w:pPr>
              <w:pStyle w:val="TableParagraph"/>
              <w:spacing w:line="248" w:lineRule="exact"/>
              <w:ind w:left="774" w:right="774"/>
              <w:jc w:val="center"/>
              <w:rPr>
                <w:b/>
                <w:sz w:val="22"/>
              </w:rPr>
            </w:pPr>
            <w:r>
              <w:rPr>
                <w:b/>
                <w:sz w:val="22"/>
              </w:rPr>
              <w:t>41</w:t>
            </w:r>
          </w:p>
        </w:tc>
        <w:tc>
          <w:tcPr>
            <w:tcW w:w="2126" w:type="dxa"/>
            <w:gridSpan w:val="3"/>
            <w:shd w:val="clear" w:color="auto" w:fill="F9BE8F"/>
          </w:tcPr>
          <w:p>
            <w:pPr>
              <w:pStyle w:val="TableParagraph"/>
              <w:spacing w:line="248" w:lineRule="exact"/>
              <w:ind w:left="0"/>
              <w:jc w:val="center"/>
              <w:rPr>
                <w:b/>
                <w:sz w:val="22"/>
              </w:rPr>
            </w:pPr>
            <w:r>
              <w:rPr>
                <w:b/>
                <w:w w:val="100"/>
                <w:sz w:val="22"/>
              </w:rPr>
              <w:t>3</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Tejido sociopolítico, historia, CHPH, interrelación social.</w:t>
            </w:r>
          </w:p>
        </w:tc>
      </w:tr>
      <w:tr>
        <w:trPr>
          <w:trHeight w:val="516" w:hRule="exact"/>
        </w:trPr>
        <w:tc>
          <w:tcPr>
            <w:tcW w:w="2290" w:type="dxa"/>
            <w:gridSpan w:val="3"/>
          </w:tcPr>
          <w:p>
            <w:pPr>
              <w:pStyle w:val="TableParagraph"/>
              <w:spacing w:line="249" w:lineRule="exact"/>
              <w:ind w:left="453"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264" w:hRule="exact"/>
        </w:trPr>
        <w:tc>
          <w:tcPr>
            <w:tcW w:w="12897" w:type="dxa"/>
            <w:gridSpan w:val="14"/>
          </w:tcPr>
          <w:p>
            <w:pPr>
              <w:pStyle w:val="TableParagraph"/>
              <w:ind w:right="163"/>
              <w:rPr>
                <w:sz w:val="22"/>
              </w:rPr>
            </w:pPr>
            <w:r>
              <w:rPr>
                <w:sz w:val="22"/>
              </w:rPr>
              <w:t>Es el tejido sociopolítico histórico de la CHPH que permite o inhibe la interrelación social entre actores (García, TC: 2013-2015).</w:t>
            </w:r>
          </w:p>
        </w:tc>
      </w:tr>
      <w:tr>
        <w:trPr>
          <w:trHeight w:val="264"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9"/>
          </w:tcPr>
          <w:p>
            <w:pPr>
              <w:pStyle w:val="TableParagraph"/>
              <w:spacing w:line="248" w:lineRule="exact"/>
              <w:ind w:left="2419" w:right="108"/>
              <w:rPr>
                <w:b/>
                <w:sz w:val="22"/>
              </w:rPr>
            </w:pPr>
            <w:r>
              <w:rPr>
                <w:b/>
                <w:sz w:val="22"/>
              </w:rPr>
              <w:t>Definición de la unidad de medición</w:t>
            </w:r>
          </w:p>
        </w:tc>
      </w:tr>
      <w:tr>
        <w:trPr>
          <w:trHeight w:val="1275" w:hRule="exact"/>
        </w:trPr>
        <w:tc>
          <w:tcPr>
            <w:tcW w:w="4295" w:type="dxa"/>
            <w:gridSpan w:val="5"/>
          </w:tcPr>
          <w:p>
            <w:pPr>
              <w:pStyle w:val="TableParagraph"/>
              <w:spacing w:line="252" w:lineRule="exact" w:before="2"/>
              <w:ind w:right="213"/>
              <w:rPr>
                <w:sz w:val="22"/>
              </w:rPr>
            </w:pPr>
            <w:r>
              <w:rPr>
                <w:sz w:val="22"/>
              </w:rPr>
              <w:t>Usos y costumbres de los actores de la CHPH (adimensional).</w:t>
            </w:r>
          </w:p>
        </w:tc>
        <w:tc>
          <w:tcPr>
            <w:tcW w:w="8603" w:type="dxa"/>
            <w:gridSpan w:val="9"/>
          </w:tcPr>
          <w:p>
            <w:pPr>
              <w:pStyle w:val="TableParagraph"/>
              <w:spacing w:line="252" w:lineRule="exact" w:before="2"/>
              <w:ind w:right="103"/>
              <w:jc w:val="both"/>
              <w:rPr>
                <w:sz w:val="22"/>
              </w:rPr>
            </w:pPr>
            <w:r>
              <w:rPr>
                <w:sz w:val="22"/>
              </w:rPr>
              <w:t>Prácticas recurrentes de los actores sociales de los municipios que integran la CHPH que permiten o inhiben la interrelación sociopolítica entre actores.</w:t>
            </w:r>
          </w:p>
          <w:p>
            <w:pPr>
              <w:pStyle w:val="TableParagraph"/>
              <w:spacing w:line="252" w:lineRule="exact" w:before="2"/>
              <w:ind w:right="105"/>
              <w:jc w:val="both"/>
              <w:rPr>
                <w:sz w:val="22"/>
              </w:rPr>
            </w:pPr>
            <w:r>
              <w:rPr>
                <w:sz w:val="22"/>
              </w:rPr>
              <w:t>(Ejemplo: prácticas que permiten la interrelación entre actores: fiestas patronales, mercados, charreadas y prácticas que inhiben la interrelación entre actores: exclusión de actores no identitarios).</w:t>
            </w:r>
          </w:p>
        </w:tc>
      </w:tr>
    </w:tbl>
    <w:p>
      <w:pPr>
        <w:spacing w:after="0" w:line="252" w:lineRule="exact"/>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1"/>
        <w:rPr>
          <w:rFonts w:ascii="Times New Roman"/>
        </w:rPr>
      </w:pPr>
    </w:p>
    <w:p>
      <w:pPr>
        <w:pStyle w:val="Heading6"/>
        <w:spacing w:before="73"/>
        <w:ind w:left="5782" w:right="397" w:hanging="5079"/>
      </w:pPr>
      <w:r>
        <w:rPr/>
        <w:pict>
          <v:group style="position:absolute;margin-left:65.269997pt;margin-top:3.157898pt;width:646.7pt;height:408.25pt;mso-position-horizontal-relative:page;mso-position-vertical-relative:paragraph;z-index:-3329848" coordorigin="1305,63" coordsize="12934,8165">
            <v:line style="position:absolute" from="1315,73" to="14229,73" stroked="true" strokeweight=".48pt" strokecolor="#000000"/>
            <v:line style="position:absolute" from="1315,697" to="14229,697" stroked="true" strokeweight=".48pt" strokecolor="#000000"/>
            <v:line style="position:absolute" from="1310,68" to="1310,8223" stroked="true" strokeweight=".48pt" strokecolor="#000000"/>
            <v:line style="position:absolute" from="1315,8218" to="14229,8218" stroked="true" strokeweight=".48001pt" strokecolor="#000000"/>
            <v:line style="position:absolute" from="14234,68" to="14234,8223" stroked="true" strokeweight=".48004pt" strokecolor="#000000"/>
            <v:shape style="position:absolute;left:1771;top:702;width:11990;height:7200" type="#_x0000_t75" stroked="false">
              <v:imagedata r:id="rId398" o:title=""/>
            </v:shape>
            <w10:wrap type="none"/>
          </v:group>
        </w:pict>
      </w: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109.330002pt;width:645.4pt;height:312.2pt;mso-position-horizontal-relative:page;mso-position-vertical-relative:page;z-index:-3329752" coordorigin="1305,2187" coordsize="12908,6244">
            <v:line style="position:absolute" from="1315,2196" to="14203,2196" stroked="true" strokeweight=".48pt" strokecolor="#000000"/>
            <v:line style="position:absolute" from="1315,2460" to="14203,2460" stroked="true" strokeweight=".48pt" strokecolor="#000000"/>
            <v:line style="position:absolute" from="1310,2192" to="1310,8425" stroked="true" strokeweight=".48pt" strokecolor="#000000"/>
            <v:line style="position:absolute" from="1315,8421" to="14203,8421" stroked="true" strokeweight=".48001pt" strokecolor="#000000"/>
            <v:line style="position:absolute" from="14208,2192" to="14208,8425" stroked="true" strokeweight=".48004pt" strokecolor="#000000"/>
            <v:shape style="position:absolute;left:1380;top:3224;width:8639;height:2776" type="#_x0000_t75" stroked="false">
              <v:imagedata r:id="rId400" o:title=""/>
            </v:shape>
            <v:shape style="position:absolute;left:1310;top:2196;width:12898;height:264" type="#_x0000_t202" filled="false" stroked="false">
              <v:textbox inset="0,0,0,0">
                <w:txbxContent>
                  <w:p>
                    <w:pPr>
                      <w:spacing w:before="0"/>
                      <w:ind w:left="5152" w:right="5156" w:firstLine="0"/>
                      <w:jc w:val="center"/>
                      <w:rPr>
                        <w:b/>
                        <w:sz w:val="22"/>
                      </w:rPr>
                    </w:pPr>
                    <w:r>
                      <w:rPr>
                        <w:b/>
                        <w:sz w:val="22"/>
                      </w:rPr>
                      <w:t>Valoración del</w:t>
                    </w:r>
                    <w:r>
                      <w:rPr>
                        <w:b/>
                        <w:spacing w:val="-5"/>
                        <w:sz w:val="22"/>
                      </w:rPr>
                      <w:t> </w:t>
                    </w:r>
                    <w:r>
                      <w:rPr>
                        <w:b/>
                        <w:sz w:val="22"/>
                      </w:rPr>
                      <w:t>indicador</w:t>
                    </w:r>
                  </w:p>
                </w:txbxContent>
              </v:textbox>
              <w10:wrap type="none"/>
            </v:shape>
            <v:shape style="position:absolute;left:1380;top:2490;width:12758;height:725" type="#_x0000_t202" filled="false" stroked="false">
              <v:textbox inset="0,0,0,0">
                <w:txbxContent>
                  <w:p>
                    <w:pPr>
                      <w:spacing w:line="225" w:lineRule="exact" w:before="0"/>
                      <w:ind w:left="0" w:right="0" w:firstLine="0"/>
                      <w:jc w:val="left"/>
                      <w:rPr>
                        <w:sz w:val="22"/>
                      </w:rPr>
                    </w:pPr>
                    <w:r>
                      <w:rPr>
                        <w:sz w:val="22"/>
                      </w:rPr>
                      <w:t>Para representar el tejido sociopolítico histórico de la CHPH que permite o inhibe la interrelación social entre actores se elaboró la</w:t>
                    </w:r>
                  </w:p>
                  <w:p>
                    <w:pPr>
                      <w:spacing w:line="252" w:lineRule="exact" w:before="0"/>
                      <w:ind w:left="0" w:right="0" w:firstLine="0"/>
                      <w:jc w:val="left"/>
                      <w:rPr>
                        <w:sz w:val="22"/>
                      </w:rPr>
                    </w:pPr>
                    <w:r>
                      <w:rPr>
                        <w:sz w:val="22"/>
                      </w:rPr>
                      <w:t>siguiente gráfica:</w:t>
                    </w:r>
                  </w:p>
                  <w:p>
                    <w:pPr>
                      <w:spacing w:line="248" w:lineRule="exact" w:before="0"/>
                      <w:ind w:left="3902" w:right="0" w:firstLine="0"/>
                      <w:jc w:val="left"/>
                      <w:rPr>
                        <w:b/>
                        <w:sz w:val="22"/>
                      </w:rPr>
                    </w:pPr>
                    <w:r>
                      <w:rPr>
                        <w:b/>
                        <w:sz w:val="22"/>
                      </w:rPr>
                      <w:t>Gráfica 7.11.</w:t>
                    </w:r>
                  </w:p>
                </w:txbxContent>
              </v:textbox>
              <w10:wrap type="none"/>
            </v:shape>
            <v:shape style="position:absolute;left:1380;top:6038;width:8956;height:730" type="#_x0000_t202" filled="false" stroked="false">
              <v:textbox inset="0,0,0,0">
                <w:txbxContent>
                  <w:p>
                    <w:pPr>
                      <w:spacing w:line="226" w:lineRule="exact" w:before="0"/>
                      <w:ind w:left="0" w:right="-17" w:firstLine="0"/>
                      <w:jc w:val="left"/>
                      <w:rPr>
                        <w:sz w:val="22"/>
                      </w:rPr>
                    </w:pPr>
                    <w:r>
                      <w:rPr>
                        <w:b/>
                        <w:sz w:val="22"/>
                      </w:rPr>
                      <w:t>Fuente: </w:t>
                    </w:r>
                    <w:r>
                      <w:rPr>
                        <w:sz w:val="22"/>
                      </w:rPr>
                      <w:t>elaboración propia con base en el trabajo de campo y gabinete García, 2013-2015.</w:t>
                    </w:r>
                  </w:p>
                  <w:p>
                    <w:pPr>
                      <w:spacing w:line="240" w:lineRule="auto" w:before="3"/>
                      <w:rPr>
                        <w:rFonts w:ascii="Times New Roman"/>
                        <w:sz w:val="22"/>
                      </w:rPr>
                    </w:pPr>
                  </w:p>
                  <w:p>
                    <w:pPr>
                      <w:spacing w:line="248" w:lineRule="exact" w:before="0"/>
                      <w:ind w:left="0" w:right="-17" w:firstLine="0"/>
                      <w:jc w:val="left"/>
                      <w:rPr>
                        <w:sz w:val="22"/>
                      </w:rPr>
                    </w:pPr>
                    <w:r>
                      <w:rPr>
                        <w:sz w:val="22"/>
                      </w:rPr>
                      <w:t>Para evaluar el indicador se generó la siguiente tarjeta de valoración:</w:t>
                    </w:r>
                  </w:p>
                </w:txbxContent>
              </v:textbox>
              <w10:wrap type="non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tbl>
      <w:tblPr>
        <w:tblW w:w="0" w:type="auto"/>
        <w:jc w:val="left"/>
        <w:tblInd w:w="9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4" w:hRule="exact"/>
        </w:trPr>
        <w:tc>
          <w:tcPr>
            <w:tcW w:w="1034" w:type="dxa"/>
          </w:tcPr>
          <w:p>
            <w:pPr>
              <w:pStyle w:val="TableParagraph"/>
              <w:spacing w:line="251" w:lineRule="exact"/>
              <w:rPr>
                <w:b/>
                <w:sz w:val="22"/>
              </w:rPr>
            </w:pPr>
            <w:r>
              <w:rPr>
                <w:b/>
                <w:sz w:val="22"/>
              </w:rPr>
              <w:t>Período</w:t>
            </w:r>
          </w:p>
        </w:tc>
        <w:tc>
          <w:tcPr>
            <w:tcW w:w="1501" w:type="dxa"/>
          </w:tcPr>
          <w:p>
            <w:pPr>
              <w:pStyle w:val="TableParagraph"/>
              <w:spacing w:line="251" w:lineRule="exact"/>
              <w:ind w:left="105"/>
              <w:rPr>
                <w:b/>
                <w:sz w:val="22"/>
              </w:rPr>
            </w:pPr>
            <w:r>
              <w:rPr>
                <w:b/>
                <w:sz w:val="22"/>
              </w:rPr>
              <w:t>Calificación</w:t>
            </w:r>
          </w:p>
        </w:tc>
      </w:tr>
      <w:tr>
        <w:trPr>
          <w:trHeight w:val="264"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ind w:left="105"/>
              <w:rPr>
                <w:sz w:val="22"/>
              </w:rPr>
            </w:pPr>
            <w:r>
              <w:rPr>
                <w:sz w:val="22"/>
              </w:rPr>
              <w:t>Excelente</w:t>
            </w:r>
          </w:p>
        </w:tc>
      </w:tr>
      <w:tr>
        <w:trPr>
          <w:trHeight w:val="262"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ind w:left="105"/>
              <w:rPr>
                <w:sz w:val="22"/>
              </w:rPr>
            </w:pPr>
            <w:r>
              <w:rPr>
                <w:sz w:val="22"/>
              </w:rPr>
              <w:t>Bueno</w:t>
            </w:r>
          </w:p>
        </w:tc>
      </w:tr>
      <w:tr>
        <w:trPr>
          <w:trHeight w:val="264"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ind w:left="105"/>
              <w:rPr>
                <w:sz w:val="22"/>
              </w:rPr>
            </w:pPr>
            <w:r>
              <w:rPr>
                <w:sz w:val="22"/>
              </w:rPr>
              <w:t>Bueno</w:t>
            </w:r>
          </w:p>
        </w:tc>
      </w:tr>
      <w:tr>
        <w:trPr>
          <w:trHeight w:val="262" w:hRule="exact"/>
        </w:trPr>
        <w:tc>
          <w:tcPr>
            <w:tcW w:w="1034" w:type="dxa"/>
          </w:tcPr>
          <w:p>
            <w:pPr>
              <w:pStyle w:val="TableParagraph"/>
              <w:spacing w:line="251" w:lineRule="exact"/>
              <w:rPr>
                <w:sz w:val="22"/>
              </w:rPr>
            </w:pPr>
            <w:r>
              <w:rPr>
                <w:sz w:val="22"/>
              </w:rPr>
              <w:t>1785</w:t>
            </w:r>
          </w:p>
        </w:tc>
        <w:tc>
          <w:tcPr>
            <w:tcW w:w="1501" w:type="dxa"/>
          </w:tcPr>
          <w:p>
            <w:pPr>
              <w:pStyle w:val="TableParagraph"/>
              <w:spacing w:line="251" w:lineRule="exact"/>
              <w:ind w:left="105"/>
              <w:rPr>
                <w:sz w:val="22"/>
              </w:rPr>
            </w:pPr>
            <w:r>
              <w:rPr>
                <w:sz w:val="22"/>
              </w:rPr>
              <w:t>Bueno</w:t>
            </w:r>
          </w:p>
        </w:tc>
      </w:tr>
      <w:tr>
        <w:trPr>
          <w:trHeight w:val="264" w:hRule="exact"/>
        </w:trPr>
        <w:tc>
          <w:tcPr>
            <w:tcW w:w="1034" w:type="dxa"/>
          </w:tcPr>
          <w:p>
            <w:pPr>
              <w:pStyle w:val="TableParagraph"/>
              <w:spacing w:line="251" w:lineRule="exact"/>
              <w:rPr>
                <w:sz w:val="22"/>
              </w:rPr>
            </w:pPr>
            <w:r>
              <w:rPr>
                <w:sz w:val="22"/>
              </w:rPr>
              <w:t>1810</w:t>
            </w:r>
          </w:p>
        </w:tc>
        <w:tc>
          <w:tcPr>
            <w:tcW w:w="1501" w:type="dxa"/>
          </w:tcPr>
          <w:p>
            <w:pPr>
              <w:pStyle w:val="TableParagraph"/>
              <w:spacing w:line="251" w:lineRule="exact"/>
              <w:ind w:left="105"/>
              <w:rPr>
                <w:sz w:val="22"/>
              </w:rPr>
            </w:pPr>
            <w:r>
              <w:rPr>
                <w:sz w:val="22"/>
              </w:rPr>
              <w:t>Bueno</w:t>
            </w:r>
          </w:p>
        </w:tc>
      </w:tr>
      <w:tr>
        <w:trPr>
          <w:trHeight w:val="262" w:hRule="exact"/>
        </w:trPr>
        <w:tc>
          <w:tcPr>
            <w:tcW w:w="1034" w:type="dxa"/>
          </w:tcPr>
          <w:p>
            <w:pPr>
              <w:pStyle w:val="TableParagraph"/>
              <w:spacing w:line="251" w:lineRule="exact"/>
              <w:rPr>
                <w:sz w:val="22"/>
              </w:rPr>
            </w:pPr>
            <w:r>
              <w:rPr>
                <w:sz w:val="22"/>
              </w:rPr>
              <w:t>1861</w:t>
            </w:r>
          </w:p>
        </w:tc>
        <w:tc>
          <w:tcPr>
            <w:tcW w:w="1501" w:type="dxa"/>
          </w:tcPr>
          <w:p>
            <w:pPr>
              <w:pStyle w:val="TableParagraph"/>
              <w:spacing w:line="251" w:lineRule="exact"/>
              <w:ind w:left="105"/>
              <w:rPr>
                <w:sz w:val="22"/>
              </w:rPr>
            </w:pPr>
            <w:r>
              <w:rPr>
                <w:sz w:val="22"/>
              </w:rPr>
              <w:t>Bueno</w:t>
            </w:r>
          </w:p>
        </w:tc>
      </w:tr>
      <w:tr>
        <w:trPr>
          <w:trHeight w:val="264" w:hRule="exact"/>
        </w:trPr>
        <w:tc>
          <w:tcPr>
            <w:tcW w:w="1034" w:type="dxa"/>
          </w:tcPr>
          <w:p>
            <w:pPr>
              <w:pStyle w:val="TableParagraph"/>
              <w:rPr>
                <w:sz w:val="22"/>
              </w:rPr>
            </w:pPr>
            <w:r>
              <w:rPr>
                <w:sz w:val="22"/>
              </w:rPr>
              <w:t>1910</w:t>
            </w:r>
          </w:p>
        </w:tc>
        <w:tc>
          <w:tcPr>
            <w:tcW w:w="1501" w:type="dxa"/>
          </w:tcPr>
          <w:p>
            <w:pPr>
              <w:pStyle w:val="TableParagraph"/>
              <w:ind w:left="105"/>
              <w:rPr>
                <w:sz w:val="22"/>
              </w:rPr>
            </w:pPr>
            <w:r>
              <w:rPr>
                <w:sz w:val="22"/>
              </w:rPr>
              <w:t>Bueno</w:t>
            </w:r>
          </w:p>
        </w:tc>
      </w:tr>
      <w:tr>
        <w:trPr>
          <w:trHeight w:val="264"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ind w:left="105"/>
              <w:rPr>
                <w:sz w:val="22"/>
              </w:rPr>
            </w:pPr>
            <w:r>
              <w:rPr>
                <w:sz w:val="22"/>
              </w:rPr>
              <w:t>Bueno</w:t>
            </w:r>
          </w:p>
        </w:tc>
      </w:tr>
      <w:tr>
        <w:trPr>
          <w:trHeight w:val="262"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ind w:left="105"/>
              <w:rPr>
                <w:sz w:val="22"/>
              </w:rPr>
            </w:pPr>
            <w:r>
              <w:rPr>
                <w:sz w:val="22"/>
              </w:rPr>
              <w:t>Bueno</w:t>
            </w:r>
          </w:p>
        </w:tc>
      </w:tr>
      <w:tr>
        <w:trPr>
          <w:trHeight w:val="264"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ind w:left="105"/>
              <w:rPr>
                <w:sz w:val="22"/>
              </w:rPr>
            </w:pPr>
            <w:r>
              <w:rPr>
                <w:sz w:val="22"/>
              </w:rPr>
              <w:t>Bueno</w:t>
            </w:r>
          </w:p>
        </w:tc>
      </w:tr>
    </w:tbl>
    <w:p>
      <w:pPr>
        <w:pStyle w:val="BodyText"/>
        <w:rPr>
          <w:rFonts w:ascii="Times New Roman"/>
          <w:sz w:val="20"/>
        </w:rPr>
      </w:pPr>
    </w:p>
    <w:p>
      <w:pPr>
        <w:pStyle w:val="BodyText"/>
        <w:rPr>
          <w:rFonts w:ascii="Times New Roman"/>
          <w:sz w:val="20"/>
        </w:rPr>
      </w:pPr>
    </w:p>
    <w:p>
      <w:pPr>
        <w:pStyle w:val="BodyText"/>
        <w:spacing w:before="11"/>
        <w:rPr>
          <w:rFonts w:ascii="Times New Roman"/>
          <w:sz w:val="20"/>
        </w:rPr>
      </w:pPr>
    </w:p>
    <w:tbl>
      <w:tblPr>
        <w:tblW w:w="0" w:type="auto"/>
        <w:jc w:val="left"/>
        <w:tblInd w:w="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7"/>
        <w:gridCol w:w="1946"/>
        <w:gridCol w:w="1352"/>
        <w:gridCol w:w="2854"/>
        <w:gridCol w:w="1488"/>
        <w:gridCol w:w="2818"/>
        <w:gridCol w:w="1370"/>
      </w:tblGrid>
      <w:tr>
        <w:trPr>
          <w:trHeight w:val="470" w:hRule="exact"/>
        </w:trPr>
        <w:tc>
          <w:tcPr>
            <w:tcW w:w="917" w:type="dxa"/>
            <w:vMerge w:val="restart"/>
          </w:tcPr>
          <w:p>
            <w:pPr>
              <w:pStyle w:val="TableParagraph"/>
              <w:spacing w:before="9"/>
              <w:ind w:left="0"/>
              <w:rPr>
                <w:rFonts w:ascii="Times New Roman"/>
                <w:sz w:val="19"/>
              </w:rPr>
            </w:pPr>
          </w:p>
          <w:p>
            <w:pPr>
              <w:pStyle w:val="TableParagraph"/>
              <w:rPr>
                <w:sz w:val="20"/>
              </w:rPr>
            </w:pPr>
            <w:r>
              <w:rPr>
                <w:sz w:val="20"/>
              </w:rPr>
              <w:t>Período</w:t>
            </w:r>
          </w:p>
        </w:tc>
        <w:tc>
          <w:tcPr>
            <w:tcW w:w="1946" w:type="dxa"/>
            <w:vMerge w:val="restart"/>
          </w:tcPr>
          <w:p>
            <w:pPr>
              <w:pStyle w:val="TableParagraph"/>
              <w:ind w:right="101"/>
              <w:jc w:val="both"/>
              <w:rPr>
                <w:sz w:val="20"/>
              </w:rPr>
            </w:pPr>
            <w:r>
              <w:rPr>
                <w:sz w:val="20"/>
              </w:rPr>
              <w:t>Clasificación por número de eventos en el período</w:t>
            </w:r>
          </w:p>
        </w:tc>
        <w:tc>
          <w:tcPr>
            <w:tcW w:w="8512" w:type="dxa"/>
            <w:gridSpan w:val="4"/>
          </w:tcPr>
          <w:p>
            <w:pPr>
              <w:pStyle w:val="TableParagraph"/>
              <w:spacing w:line="242" w:lineRule="auto"/>
              <w:ind w:right="104"/>
              <w:rPr>
                <w:sz w:val="20"/>
              </w:rPr>
            </w:pPr>
            <w:r>
              <w:rPr>
                <w:sz w:val="20"/>
              </w:rPr>
              <w:t>Clasificación por </w:t>
            </w:r>
            <w:r>
              <w:rPr>
                <w:b/>
                <w:sz w:val="20"/>
              </w:rPr>
              <w:t>características de impacto positivo o negativo </w:t>
            </w:r>
            <w:r>
              <w:rPr>
                <w:sz w:val="20"/>
              </w:rPr>
              <w:t>en los ámbitos ambiental- sociopolítico-económico</w:t>
            </w:r>
          </w:p>
        </w:tc>
        <w:tc>
          <w:tcPr>
            <w:tcW w:w="1370" w:type="dxa"/>
            <w:vMerge w:val="restart"/>
          </w:tcPr>
          <w:p>
            <w:pPr>
              <w:pStyle w:val="TableParagraph"/>
              <w:spacing w:before="117"/>
              <w:ind w:left="128" w:right="126"/>
              <w:jc w:val="center"/>
              <w:rPr>
                <w:sz w:val="20"/>
              </w:rPr>
            </w:pPr>
            <w:r>
              <w:rPr>
                <w:w w:val="95"/>
                <w:sz w:val="20"/>
              </w:rPr>
              <w:t>Clasificación </w:t>
            </w:r>
            <w:r>
              <w:rPr>
                <w:sz w:val="20"/>
              </w:rPr>
              <w:t>de la calificación</w:t>
            </w:r>
          </w:p>
        </w:tc>
      </w:tr>
      <w:tr>
        <w:trPr>
          <w:trHeight w:val="470" w:hRule="exact"/>
        </w:trPr>
        <w:tc>
          <w:tcPr>
            <w:tcW w:w="917" w:type="dxa"/>
            <w:vMerge/>
          </w:tcPr>
          <w:p>
            <w:pPr/>
          </w:p>
        </w:tc>
        <w:tc>
          <w:tcPr>
            <w:tcW w:w="1946" w:type="dxa"/>
            <w:vMerge/>
          </w:tcPr>
          <w:p>
            <w:pPr/>
          </w:p>
        </w:tc>
        <w:tc>
          <w:tcPr>
            <w:tcW w:w="1352" w:type="dxa"/>
          </w:tcPr>
          <w:p>
            <w:pPr>
              <w:pStyle w:val="TableParagraph"/>
              <w:spacing w:line="227" w:lineRule="exact"/>
              <w:rPr>
                <w:sz w:val="20"/>
              </w:rPr>
            </w:pPr>
            <w:r>
              <w:rPr>
                <w:sz w:val="20"/>
              </w:rPr>
              <w:t>Subsistema</w:t>
            </w:r>
          </w:p>
        </w:tc>
        <w:tc>
          <w:tcPr>
            <w:tcW w:w="2854" w:type="dxa"/>
          </w:tcPr>
          <w:p>
            <w:pPr>
              <w:pStyle w:val="TableParagraph"/>
              <w:spacing w:line="227" w:lineRule="exact"/>
              <w:rPr>
                <w:sz w:val="20"/>
              </w:rPr>
            </w:pPr>
            <w:r>
              <w:rPr>
                <w:sz w:val="20"/>
              </w:rPr>
              <w:t>características</w:t>
            </w:r>
          </w:p>
        </w:tc>
        <w:tc>
          <w:tcPr>
            <w:tcW w:w="1488" w:type="dxa"/>
          </w:tcPr>
          <w:p>
            <w:pPr>
              <w:pStyle w:val="TableParagraph"/>
              <w:tabs>
                <w:tab w:pos="1151" w:val="left" w:leader="none"/>
              </w:tabs>
              <w:spacing w:line="227" w:lineRule="exact"/>
              <w:rPr>
                <w:sz w:val="20"/>
              </w:rPr>
            </w:pPr>
            <w:r>
              <w:rPr>
                <w:sz w:val="20"/>
              </w:rPr>
              <w:t>%</w:t>
              <w:tab/>
              <w:t>de</w:t>
            </w:r>
          </w:p>
          <w:p>
            <w:pPr>
              <w:pStyle w:val="TableParagraph"/>
              <w:rPr>
                <w:sz w:val="20"/>
              </w:rPr>
            </w:pPr>
            <w:r>
              <w:rPr>
                <w:sz w:val="20"/>
              </w:rPr>
              <w:t>cumplimiento</w:t>
            </w:r>
          </w:p>
        </w:tc>
        <w:tc>
          <w:tcPr>
            <w:tcW w:w="2818" w:type="dxa"/>
          </w:tcPr>
          <w:p>
            <w:pPr>
              <w:pStyle w:val="TableParagraph"/>
              <w:spacing w:line="227" w:lineRule="exact"/>
              <w:rPr>
                <w:sz w:val="20"/>
              </w:rPr>
            </w:pPr>
            <w:r>
              <w:rPr>
                <w:sz w:val="20"/>
              </w:rPr>
              <w:t>Observaciones</w:t>
            </w:r>
          </w:p>
        </w:tc>
        <w:tc>
          <w:tcPr>
            <w:tcW w:w="1370" w:type="dxa"/>
            <w:vMerge/>
          </w:tcPr>
          <w:p>
            <w:pPr/>
          </w:p>
        </w:tc>
      </w:tr>
    </w:tbl>
    <w:p>
      <w:pPr>
        <w:spacing w:after="0"/>
        <w:sectPr>
          <w:footerReference w:type="default" r:id="rId399"/>
          <w:pgSz w:w="15840" w:h="12240" w:orient="landscape"/>
          <w:pgMar w:footer="943" w:header="0" w:top="1140" w:bottom="1140" w:left="1200" w:right="1300"/>
          <w:pgNumType w:start="64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46"/>
        <w:gridCol w:w="1352"/>
        <w:gridCol w:w="2854"/>
        <w:gridCol w:w="1488"/>
        <w:gridCol w:w="2818"/>
        <w:gridCol w:w="1409"/>
      </w:tblGrid>
      <w:tr>
        <w:trPr>
          <w:trHeight w:val="3929"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rPr>
                <w:sz w:val="20"/>
              </w:rPr>
            </w:pPr>
            <w:r>
              <w:rPr>
                <w:sz w:val="20"/>
              </w:rPr>
              <w:t>1400</w:t>
            </w:r>
          </w:p>
        </w:tc>
        <w:tc>
          <w:tcPr>
            <w:tcW w:w="194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52" w:type="dxa"/>
          </w:tcPr>
          <w:p>
            <w:pPr>
              <w:pStyle w:val="TableParagraph"/>
              <w:spacing w:before="7"/>
              <w:rPr>
                <w:sz w:val="20"/>
              </w:rPr>
            </w:pPr>
            <w:r>
              <w:rPr>
                <w:sz w:val="20"/>
              </w:rPr>
              <w:t>Ambiental</w:t>
            </w:r>
          </w:p>
        </w:tc>
        <w:tc>
          <w:tcPr>
            <w:tcW w:w="2854" w:type="dxa"/>
          </w:tcPr>
          <w:p>
            <w:pPr>
              <w:pStyle w:val="TableParagraph"/>
              <w:spacing w:before="7"/>
              <w:ind w:left="280" w:right="102" w:hanging="178"/>
              <w:jc w:val="both"/>
              <w:rPr>
                <w:sz w:val="20"/>
              </w:rPr>
            </w:pPr>
            <w:r>
              <w:rPr>
                <w:rFonts w:ascii="Wingdings" w:hAnsi="Wingdings"/>
                <w:sz w:val="20"/>
              </w:rPr>
              <w:t></w:t>
            </w:r>
            <w:r>
              <w:rPr>
                <w:sz w:val="20"/>
              </w:rPr>
              <w:t>Existe relación de los actores de la CHPH con el medio ambiente</w:t>
            </w:r>
          </w:p>
          <w:p>
            <w:pPr>
              <w:pStyle w:val="TableParagraph"/>
              <w:ind w:left="280" w:right="102" w:hanging="178"/>
              <w:jc w:val="both"/>
              <w:rPr>
                <w:sz w:val="20"/>
              </w:rPr>
            </w:pPr>
            <w:r>
              <w:rPr>
                <w:rFonts w:ascii="Wingdings" w:hAnsi="Wingdings"/>
                <w:sz w:val="20"/>
              </w:rPr>
              <w:t></w:t>
            </w:r>
            <w:r>
              <w:rPr>
                <w:sz w:val="20"/>
              </w:rPr>
              <w:t>Existe preocupación de los actores históricos de la CHPH para cuidar el medio ambiente</w:t>
            </w:r>
          </w:p>
          <w:p>
            <w:pPr>
              <w:pStyle w:val="TableParagraph"/>
              <w:ind w:left="280" w:right="101" w:hanging="178"/>
              <w:jc w:val="both"/>
              <w:rPr>
                <w:sz w:val="20"/>
              </w:rPr>
            </w:pPr>
            <w:r>
              <w:rPr>
                <w:rFonts w:ascii="Wingdings" w:hAnsi="Wingdings"/>
                <w:sz w:val="20"/>
              </w:rPr>
              <w:t></w:t>
            </w:r>
            <w:r>
              <w:rPr>
                <w:sz w:val="20"/>
              </w:rPr>
              <w:t>Favorece la articulación entre actores para cuidar el medio ambiente</w:t>
            </w:r>
          </w:p>
          <w:p>
            <w:pPr>
              <w:pStyle w:val="TableParagraph"/>
              <w:ind w:left="280" w:right="101" w:hanging="178"/>
              <w:jc w:val="both"/>
              <w:rPr>
                <w:sz w:val="20"/>
              </w:rPr>
            </w:pPr>
            <w:r>
              <w:rPr>
                <w:rFonts w:ascii="Wingdings" w:hAnsi="Wingdings"/>
                <w:sz w:val="20"/>
              </w:rPr>
              <w:t></w:t>
            </w:r>
            <w:r>
              <w:rPr>
                <w:sz w:val="20"/>
              </w:rPr>
              <w:t>- Existen prácticas  y valores culturales de los actores que se relacionan con el medio ambiente</w:t>
            </w:r>
          </w:p>
          <w:p>
            <w:pPr>
              <w:pStyle w:val="TableParagraph"/>
              <w:numPr>
                <w:ilvl w:val="0"/>
                <w:numId w:val="185"/>
              </w:numPr>
              <w:tabs>
                <w:tab w:pos="336" w:val="left" w:leader="none"/>
              </w:tabs>
              <w:spacing w:line="240" w:lineRule="auto" w:before="0" w:after="0"/>
              <w:ind w:left="280" w:right="102" w:hanging="177"/>
              <w:jc w:val="both"/>
              <w:rPr>
                <w:sz w:val="20"/>
              </w:rPr>
            </w:pPr>
            <w:r>
              <w:rPr>
                <w:sz w:val="20"/>
              </w:rPr>
              <w:t>Los actores históricos  de la CHPH buscan la sostenibilidad de la</w:t>
            </w:r>
            <w:r>
              <w:rPr>
                <w:spacing w:val="-9"/>
                <w:sz w:val="20"/>
              </w:rPr>
              <w:t> </w:t>
            </w:r>
            <w:r>
              <w:rPr>
                <w:sz w:val="20"/>
              </w:rPr>
              <w:t>cuenca</w:t>
            </w:r>
          </w:p>
        </w:tc>
        <w:tc>
          <w:tcPr>
            <w:tcW w:w="1488"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482"/>
              <w:rPr>
                <w:sz w:val="20"/>
              </w:rPr>
            </w:pPr>
            <w:r>
              <w:rPr>
                <w:sz w:val="20"/>
              </w:rPr>
              <w:t>100%</w:t>
            </w:r>
          </w:p>
        </w:tc>
        <w:tc>
          <w:tcPr>
            <w:tcW w:w="2818" w:type="dxa"/>
            <w:vMerge w:val="restart"/>
          </w:tcPr>
          <w:p>
            <w:pPr>
              <w:pStyle w:val="TableParagraph"/>
              <w:spacing w:line="242" w:lineRule="auto" w:before="4"/>
              <w:ind w:right="104"/>
              <w:jc w:val="both"/>
              <w:rPr>
                <w:sz w:val="20"/>
              </w:rPr>
            </w:pPr>
            <w:r>
              <w:rPr>
                <w:sz w:val="20"/>
              </w:rPr>
              <w:t>Debe reunir al </w:t>
            </w:r>
            <w:r>
              <w:rPr>
                <w:b/>
                <w:sz w:val="20"/>
              </w:rPr>
              <w:t>100% las tres </w:t>
            </w:r>
            <w:r>
              <w:rPr>
                <w:sz w:val="20"/>
              </w:rPr>
              <w:t>características de impacto positivo</w:t>
            </w:r>
          </w:p>
        </w:tc>
        <w:tc>
          <w:tcPr>
            <w:tcW w:w="1409"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213"/>
              <w:rPr>
                <w:b/>
                <w:sz w:val="20"/>
              </w:rPr>
            </w:pPr>
            <w:r>
              <w:rPr>
                <w:b/>
                <w:sz w:val="20"/>
              </w:rPr>
              <w:t>Excelente</w:t>
            </w:r>
          </w:p>
        </w:tc>
      </w:tr>
      <w:tr>
        <w:trPr>
          <w:trHeight w:val="2770" w:hRule="exact"/>
        </w:trPr>
        <w:tc>
          <w:tcPr>
            <w:tcW w:w="954" w:type="dxa"/>
            <w:vMerge/>
            <w:tcBorders>
              <w:left w:val="double" w:sz="11" w:space="0" w:color="000000"/>
            </w:tcBorders>
          </w:tcPr>
          <w:p>
            <w:pPr/>
          </w:p>
        </w:tc>
        <w:tc>
          <w:tcPr>
            <w:tcW w:w="1946" w:type="dxa"/>
            <w:vMerge/>
          </w:tcPr>
          <w:p>
            <w:pPr/>
          </w:p>
        </w:tc>
        <w:tc>
          <w:tcPr>
            <w:tcW w:w="1352" w:type="dxa"/>
          </w:tcPr>
          <w:p>
            <w:pPr>
              <w:pStyle w:val="TableParagraph"/>
              <w:spacing w:line="227" w:lineRule="exact"/>
              <w:rPr>
                <w:sz w:val="20"/>
              </w:rPr>
            </w:pPr>
            <w:r>
              <w:rPr>
                <w:sz w:val="20"/>
              </w:rPr>
              <w:t>Económico</w:t>
            </w:r>
          </w:p>
        </w:tc>
        <w:tc>
          <w:tcPr>
            <w:tcW w:w="2854" w:type="dxa"/>
          </w:tcPr>
          <w:p>
            <w:pPr>
              <w:pStyle w:val="TableParagraph"/>
              <w:numPr>
                <w:ilvl w:val="0"/>
                <w:numId w:val="186"/>
              </w:numPr>
              <w:tabs>
                <w:tab w:pos="464" w:val="left" w:leader="none"/>
                <w:tab w:pos="1825" w:val="left" w:leader="none"/>
              </w:tabs>
              <w:spacing w:line="240" w:lineRule="auto" w:before="0" w:after="0"/>
              <w:ind w:left="463" w:right="103" w:hanging="360"/>
              <w:jc w:val="both"/>
              <w:rPr>
                <w:sz w:val="20"/>
              </w:rPr>
            </w:pPr>
            <w:r>
              <w:rPr>
                <w:sz w:val="20"/>
              </w:rPr>
              <w:t>Existen</w:t>
              <w:tab/>
              <w:t>relaciones sociopolíticas entorno a  la  gastronomía</w:t>
            </w:r>
            <w:r>
              <w:rPr>
                <w:spacing w:val="-8"/>
                <w:sz w:val="20"/>
              </w:rPr>
              <w:t> </w:t>
            </w:r>
            <w:r>
              <w:rPr>
                <w:sz w:val="20"/>
              </w:rPr>
              <w:t>regional.</w:t>
            </w:r>
          </w:p>
          <w:p>
            <w:pPr>
              <w:pStyle w:val="TableParagraph"/>
              <w:numPr>
                <w:ilvl w:val="0"/>
                <w:numId w:val="186"/>
              </w:numPr>
              <w:tabs>
                <w:tab w:pos="464" w:val="left" w:leader="none"/>
                <w:tab w:pos="1859" w:val="left" w:leader="none"/>
              </w:tabs>
              <w:spacing w:line="240" w:lineRule="auto" w:before="1" w:after="0"/>
              <w:ind w:left="463" w:right="102" w:hanging="360"/>
              <w:jc w:val="both"/>
              <w:rPr>
                <w:sz w:val="20"/>
              </w:rPr>
            </w:pPr>
            <w:r>
              <w:rPr>
                <w:sz w:val="20"/>
              </w:rPr>
              <w:t>Existen</w:t>
              <w:tab/>
              <w:t>mercados regionales de comida lacustre</w:t>
            </w:r>
          </w:p>
          <w:p>
            <w:pPr>
              <w:pStyle w:val="TableParagraph"/>
              <w:numPr>
                <w:ilvl w:val="0"/>
                <w:numId w:val="186"/>
              </w:numPr>
              <w:tabs>
                <w:tab w:pos="464" w:val="left" w:leader="none"/>
              </w:tabs>
              <w:spacing w:line="240" w:lineRule="auto" w:before="0" w:after="0"/>
              <w:ind w:left="463" w:right="103" w:hanging="360"/>
              <w:jc w:val="both"/>
              <w:rPr>
                <w:sz w:val="20"/>
              </w:rPr>
            </w:pPr>
            <w:r>
              <w:rPr>
                <w:sz w:val="20"/>
              </w:rPr>
              <w:t>Existe equidad en el reparto de los recursos  de la</w:t>
            </w:r>
            <w:r>
              <w:rPr>
                <w:spacing w:val="-4"/>
                <w:sz w:val="20"/>
              </w:rPr>
              <w:t> </w:t>
            </w:r>
            <w:r>
              <w:rPr>
                <w:sz w:val="20"/>
              </w:rPr>
              <w:t>CHPH</w:t>
            </w:r>
          </w:p>
          <w:p>
            <w:pPr>
              <w:pStyle w:val="TableParagraph"/>
              <w:numPr>
                <w:ilvl w:val="0"/>
                <w:numId w:val="186"/>
              </w:numPr>
              <w:tabs>
                <w:tab w:pos="464" w:val="left" w:leader="none"/>
                <w:tab w:pos="1770" w:val="left" w:leader="none"/>
                <w:tab w:pos="2419" w:val="left" w:leader="none"/>
              </w:tabs>
              <w:spacing w:line="240" w:lineRule="auto" w:before="0" w:after="0"/>
              <w:ind w:left="463" w:right="100" w:hanging="360"/>
              <w:jc w:val="both"/>
              <w:rPr>
                <w:sz w:val="20"/>
              </w:rPr>
            </w:pPr>
            <w:r>
              <w:rPr>
                <w:sz w:val="20"/>
              </w:rPr>
              <w:t>Existe</w:t>
              <w:tab/>
              <w:t>planeación económica</w:t>
              <w:tab/>
              <w:tab/>
              <w:t>con articulación entre</w:t>
            </w:r>
            <w:r>
              <w:rPr>
                <w:spacing w:val="-11"/>
                <w:sz w:val="20"/>
              </w:rPr>
              <w:t> </w:t>
            </w:r>
            <w:r>
              <w:rPr>
                <w:sz w:val="20"/>
              </w:rPr>
              <w:t>actores</w:t>
            </w:r>
          </w:p>
        </w:tc>
        <w:tc>
          <w:tcPr>
            <w:tcW w:w="1488" w:type="dxa"/>
            <w:vMerge/>
          </w:tcPr>
          <w:p>
            <w:pPr/>
          </w:p>
        </w:tc>
        <w:tc>
          <w:tcPr>
            <w:tcW w:w="2818" w:type="dxa"/>
            <w:vMerge/>
          </w:tcPr>
          <w:p>
            <w:pPr/>
          </w:p>
        </w:tc>
        <w:tc>
          <w:tcPr>
            <w:tcW w:w="1409" w:type="dxa"/>
            <w:vMerge/>
            <w:tcBorders>
              <w:right w:val="double" w:sz="12" w:space="0" w:color="000000"/>
            </w:tcBorders>
            <w:shd w:val="clear" w:color="auto" w:fill="00FF00"/>
          </w:tcPr>
          <w:p>
            <w:pPr/>
          </w:p>
        </w:tc>
      </w:tr>
      <w:tr>
        <w:trPr>
          <w:trHeight w:val="2081" w:hRule="exact"/>
        </w:trPr>
        <w:tc>
          <w:tcPr>
            <w:tcW w:w="954" w:type="dxa"/>
            <w:vMerge/>
            <w:tcBorders>
              <w:left w:val="double" w:sz="11" w:space="0" w:color="000000"/>
            </w:tcBorders>
          </w:tcPr>
          <w:p>
            <w:pPr/>
          </w:p>
        </w:tc>
        <w:tc>
          <w:tcPr>
            <w:tcW w:w="1946" w:type="dxa"/>
            <w:vMerge/>
          </w:tcPr>
          <w:p>
            <w:pPr/>
          </w:p>
        </w:tc>
        <w:tc>
          <w:tcPr>
            <w:tcW w:w="1352" w:type="dxa"/>
          </w:tcPr>
          <w:p>
            <w:pPr>
              <w:pStyle w:val="TableParagraph"/>
              <w:spacing w:line="227" w:lineRule="exact"/>
              <w:rPr>
                <w:sz w:val="20"/>
              </w:rPr>
            </w:pPr>
            <w:r>
              <w:rPr>
                <w:sz w:val="20"/>
              </w:rPr>
              <w:t>Sociopolítico</w:t>
            </w:r>
          </w:p>
        </w:tc>
        <w:tc>
          <w:tcPr>
            <w:tcW w:w="2854" w:type="dxa"/>
          </w:tcPr>
          <w:p>
            <w:pPr>
              <w:pStyle w:val="TableParagraph"/>
              <w:ind w:left="280" w:right="101" w:hanging="178"/>
              <w:jc w:val="both"/>
              <w:rPr>
                <w:sz w:val="20"/>
              </w:rPr>
            </w:pPr>
            <w:r>
              <w:rPr>
                <w:rFonts w:ascii="Wingdings" w:hAnsi="Wingdings"/>
                <w:sz w:val="20"/>
              </w:rPr>
              <w:t></w:t>
            </w:r>
            <w:r>
              <w:rPr>
                <w:sz w:val="20"/>
              </w:rPr>
              <w:t>Favorece la articulación sociopolítica de actores de la CHPH.</w:t>
            </w:r>
          </w:p>
          <w:p>
            <w:pPr>
              <w:pStyle w:val="TableParagraph"/>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ind w:left="280" w:right="102" w:hanging="178"/>
              <w:jc w:val="both"/>
              <w:rPr>
                <w:sz w:val="20"/>
              </w:rPr>
            </w:pPr>
            <w:r>
              <w:rPr>
                <w:rFonts w:ascii="Wingdings" w:hAnsi="Wingdings"/>
                <w:sz w:val="20"/>
              </w:rPr>
              <w:t></w:t>
            </w:r>
            <w:r>
              <w:rPr>
                <w:sz w:val="20"/>
              </w:rPr>
              <w:t>Favorece la creación de un Comité intermunicipal de la CHPH con su reglamento</w:t>
            </w:r>
          </w:p>
        </w:tc>
        <w:tc>
          <w:tcPr>
            <w:tcW w:w="1488" w:type="dxa"/>
            <w:vMerge/>
          </w:tcPr>
          <w:p>
            <w:pPr/>
          </w:p>
        </w:tc>
        <w:tc>
          <w:tcPr>
            <w:tcW w:w="2818" w:type="dxa"/>
            <w:vMerge/>
          </w:tcPr>
          <w:p>
            <w:pPr/>
          </w:p>
        </w:tc>
        <w:tc>
          <w:tcPr>
            <w:tcW w:w="1409"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38.26001pt;margin-top:121.099998pt;width:68.05pt;height:403.55pt;mso-position-horizontal-relative:page;mso-position-vertical-relative:page;z-index:-3329728" coordorigin="12765,2422" coordsize="1361,8071">
            <v:shape style="position:absolute;left:12765;top:2422;width:1361;height:8070" type="#_x0000_t75" stroked="false">
              <v:imagedata r:id="rId401" o:title=""/>
            </v:shape>
            <v:shape style="position:absolute;left:12868;top:2422;width:1154;height:230" type="#_x0000_t75" stroked="false">
              <v:imagedata r:id="rId402" o:title=""/>
            </v:shape>
            <v:shape style="position:absolute;left:12868;top:2652;width:1154;height:228" type="#_x0000_t75" stroked="false">
              <v:imagedata r:id="rId403" o:title=""/>
            </v:shape>
            <v:shape style="position:absolute;left:12868;top:2880;width:1154;height:230" type="#_x0000_t75" stroked="false">
              <v:imagedata r:id="rId404" o:title=""/>
            </v:shape>
            <v:shape style="position:absolute;left:12868;top:3111;width:1154;height:230" type="#_x0000_t75" stroked="false">
              <v:imagedata r:id="rId405" o:title=""/>
            </v:shape>
            <v:shape style="position:absolute;left:12868;top:3341;width:1154;height:230" type="#_x0000_t75" stroked="false">
              <v:imagedata r:id="rId406" o:title=""/>
            </v:shape>
            <v:shape style="position:absolute;left:12868;top:3572;width:1154;height:230" type="#_x0000_t75" stroked="false">
              <v:imagedata r:id="rId407" o:title=""/>
            </v:shape>
            <v:shape style="position:absolute;left:12868;top:3802;width:1154;height:231" type="#_x0000_t75" stroked="false">
              <v:imagedata r:id="rId408" o:title=""/>
            </v:shape>
            <v:shape style="position:absolute;left:12868;top:4033;width:1154;height:228" type="#_x0000_t75" stroked="false">
              <v:imagedata r:id="rId409" o:title=""/>
            </v:shape>
            <v:shape style="position:absolute;left:12868;top:4261;width:1154;height:230" type="#_x0000_t75" stroked="false">
              <v:imagedata r:id="rId410"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46"/>
        <w:gridCol w:w="1352"/>
        <w:gridCol w:w="2854"/>
        <w:gridCol w:w="1488"/>
        <w:gridCol w:w="2818"/>
        <w:gridCol w:w="1409"/>
      </w:tblGrid>
      <w:tr>
        <w:trPr>
          <w:trHeight w:val="710" w:hRule="exact"/>
        </w:trPr>
        <w:tc>
          <w:tcPr>
            <w:tcW w:w="954" w:type="dxa"/>
            <w:tcBorders>
              <w:left w:val="double" w:sz="11" w:space="0" w:color="000000"/>
            </w:tcBorders>
          </w:tcPr>
          <w:p>
            <w:pPr/>
          </w:p>
        </w:tc>
        <w:tc>
          <w:tcPr>
            <w:tcW w:w="1946" w:type="dxa"/>
          </w:tcPr>
          <w:p>
            <w:pPr/>
          </w:p>
        </w:tc>
        <w:tc>
          <w:tcPr>
            <w:tcW w:w="1352" w:type="dxa"/>
          </w:tcPr>
          <w:p>
            <w:pPr/>
          </w:p>
        </w:tc>
        <w:tc>
          <w:tcPr>
            <w:tcW w:w="2854" w:type="dxa"/>
          </w:tcPr>
          <w:p>
            <w:pPr>
              <w:pStyle w:val="TableParagraph"/>
              <w:tabs>
                <w:tab w:pos="1770" w:val="left" w:leader="none"/>
                <w:tab w:pos="2416" w:val="left" w:leader="none"/>
              </w:tabs>
              <w:spacing w:before="7"/>
              <w:ind w:left="280" w:right="101"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0"/>
                <w:sz w:val="20"/>
              </w:rPr>
              <w:t> </w:t>
            </w:r>
            <w:r>
              <w:rPr>
                <w:sz w:val="20"/>
              </w:rPr>
              <w:t>actores</w:t>
            </w:r>
          </w:p>
        </w:tc>
        <w:tc>
          <w:tcPr>
            <w:tcW w:w="1488" w:type="dxa"/>
          </w:tcPr>
          <w:p>
            <w:pPr/>
          </w:p>
        </w:tc>
        <w:tc>
          <w:tcPr>
            <w:tcW w:w="2818" w:type="dxa"/>
          </w:tcPr>
          <w:p>
            <w:pPr/>
          </w:p>
        </w:tc>
        <w:tc>
          <w:tcPr>
            <w:tcW w:w="1409" w:type="dxa"/>
            <w:tcBorders>
              <w:right w:val="double" w:sz="12" w:space="0" w:color="000000"/>
            </w:tcBorders>
            <w:shd w:val="clear" w:color="auto" w:fill="00FF00"/>
          </w:tcPr>
          <w:p>
            <w:pPr/>
          </w:p>
        </w:tc>
      </w:tr>
      <w:tr>
        <w:trPr>
          <w:trHeight w:val="1001" w:hRule="exact"/>
        </w:trPr>
        <w:tc>
          <w:tcPr>
            <w:tcW w:w="954" w:type="dxa"/>
            <w:tcBorders>
              <w:left w:val="double" w:sz="11" w:space="0" w:color="000000"/>
            </w:tcBorders>
          </w:tcPr>
          <w:p>
            <w:pPr>
              <w:pStyle w:val="TableParagraph"/>
              <w:ind w:left="0"/>
              <w:rPr>
                <w:rFonts w:ascii="Times New Roman"/>
                <w:sz w:val="20"/>
              </w:rPr>
            </w:pPr>
          </w:p>
          <w:p>
            <w:pPr>
              <w:pStyle w:val="TableParagraph"/>
              <w:spacing w:before="149"/>
              <w:ind w:left="209" w:right="212"/>
              <w:jc w:val="center"/>
              <w:rPr>
                <w:sz w:val="20"/>
              </w:rPr>
            </w:pPr>
            <w:r>
              <w:rPr>
                <w:sz w:val="20"/>
              </w:rPr>
              <w:t>1519</w:t>
            </w:r>
          </w:p>
        </w:tc>
        <w:tc>
          <w:tcPr>
            <w:tcW w:w="194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9"/>
              </w:rPr>
            </w:pPr>
          </w:p>
          <w:p>
            <w:pPr>
              <w:pStyle w:val="TableParagraph"/>
              <w:ind w:left="0"/>
              <w:jc w:val="center"/>
              <w:rPr>
                <w:b/>
                <w:sz w:val="20"/>
              </w:rPr>
            </w:pPr>
            <w:r>
              <w:rPr>
                <w:b/>
                <w:w w:val="99"/>
                <w:sz w:val="20"/>
              </w:rPr>
              <w:t>1</w:t>
            </w:r>
          </w:p>
        </w:tc>
        <w:tc>
          <w:tcPr>
            <w:tcW w:w="1352" w:type="dxa"/>
            <w:vMerge w:val="restart"/>
          </w:tcPr>
          <w:p>
            <w:pPr>
              <w:pStyle w:val="TableParagraph"/>
              <w:spacing w:line="227" w:lineRule="exact"/>
              <w:rPr>
                <w:sz w:val="20"/>
              </w:rPr>
            </w:pPr>
            <w:r>
              <w:rPr>
                <w:sz w:val="20"/>
              </w:rPr>
              <w:t>Ambiental</w:t>
            </w:r>
          </w:p>
        </w:tc>
        <w:tc>
          <w:tcPr>
            <w:tcW w:w="2854" w:type="dxa"/>
            <w:vMerge w:val="restart"/>
          </w:tcPr>
          <w:p>
            <w:pPr>
              <w:pStyle w:val="TableParagraph"/>
              <w:ind w:left="280" w:right="102" w:hanging="178"/>
              <w:jc w:val="both"/>
              <w:rPr>
                <w:sz w:val="20"/>
              </w:rPr>
            </w:pPr>
            <w:r>
              <w:rPr>
                <w:rFonts w:ascii="Wingdings" w:hAnsi="Wingdings"/>
                <w:sz w:val="20"/>
              </w:rPr>
              <w:t></w:t>
            </w:r>
            <w:r>
              <w:rPr>
                <w:sz w:val="20"/>
              </w:rPr>
              <w:t>Existe relación de los actores de la CHPH con el medio ambiente</w:t>
            </w:r>
          </w:p>
          <w:p>
            <w:pPr>
              <w:pStyle w:val="TableParagraph"/>
              <w:ind w:left="280" w:right="102" w:hanging="178"/>
              <w:jc w:val="both"/>
              <w:rPr>
                <w:sz w:val="20"/>
              </w:rPr>
            </w:pPr>
            <w:r>
              <w:rPr>
                <w:rFonts w:ascii="Wingdings" w:hAnsi="Wingdings"/>
                <w:sz w:val="20"/>
              </w:rPr>
              <w:t></w:t>
            </w:r>
            <w:r>
              <w:rPr>
                <w:sz w:val="20"/>
              </w:rPr>
              <w:t>Existe preocupación de los actores históricos de la CHPH para cuidar el medio ambiente</w:t>
            </w:r>
          </w:p>
          <w:p>
            <w:pPr>
              <w:pStyle w:val="TableParagraph"/>
              <w:ind w:left="280" w:right="101" w:hanging="178"/>
              <w:jc w:val="both"/>
              <w:rPr>
                <w:sz w:val="20"/>
              </w:rPr>
            </w:pPr>
            <w:r>
              <w:rPr>
                <w:rFonts w:ascii="Wingdings" w:hAnsi="Wingdings"/>
                <w:sz w:val="20"/>
              </w:rPr>
              <w:t></w:t>
            </w:r>
            <w:r>
              <w:rPr>
                <w:sz w:val="20"/>
              </w:rPr>
              <w:t>Favorece la articulación entre actores para cuidar el medio ambiente</w:t>
            </w:r>
          </w:p>
          <w:p>
            <w:pPr>
              <w:pStyle w:val="TableParagraph"/>
              <w:ind w:left="280" w:right="101" w:hanging="178"/>
              <w:jc w:val="both"/>
              <w:rPr>
                <w:sz w:val="20"/>
              </w:rPr>
            </w:pPr>
            <w:r>
              <w:rPr>
                <w:rFonts w:ascii="Wingdings" w:hAnsi="Wingdings"/>
                <w:sz w:val="20"/>
              </w:rPr>
              <w:t></w:t>
            </w:r>
            <w:r>
              <w:rPr>
                <w:sz w:val="20"/>
              </w:rPr>
              <w:t>- Existen prácticas  y valores culturales de los actores que se relacionan con el medio ambiente</w:t>
            </w:r>
          </w:p>
          <w:p>
            <w:pPr>
              <w:pStyle w:val="TableParagraph"/>
              <w:ind w:left="280" w:right="102" w:hanging="178"/>
              <w:jc w:val="both"/>
              <w:rPr>
                <w:sz w:val="20"/>
              </w:rPr>
            </w:pPr>
            <w:r>
              <w:rPr>
                <w:rFonts w:ascii="Wingdings" w:hAnsi="Wingdings"/>
                <w:sz w:val="20"/>
              </w:rPr>
              <w:t></w:t>
            </w:r>
            <w:r>
              <w:rPr>
                <w:rFonts w:ascii="Times New Roman" w:hAnsi="Times New Roman"/>
                <w:sz w:val="20"/>
              </w:rPr>
              <w:t> </w:t>
            </w:r>
            <w:r>
              <w:rPr>
                <w:sz w:val="20"/>
              </w:rPr>
              <w:t>Los actores históricos de la CHPH buscan la sostenibilidad de la cuenca</w:t>
            </w:r>
          </w:p>
        </w:tc>
        <w:tc>
          <w:tcPr>
            <w:tcW w:w="1488"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22"/>
              <w:ind w:left="517" w:right="520"/>
              <w:jc w:val="center"/>
              <w:rPr>
                <w:sz w:val="20"/>
              </w:rPr>
            </w:pPr>
            <w:r>
              <w:rPr>
                <w:sz w:val="20"/>
              </w:rPr>
              <w:t>75%</w:t>
            </w:r>
          </w:p>
        </w:tc>
        <w:tc>
          <w:tcPr>
            <w:tcW w:w="2818" w:type="dxa"/>
            <w:vMerge w:val="restart"/>
          </w:tcPr>
          <w:p>
            <w:pPr>
              <w:pStyle w:val="TableParagraph"/>
              <w:ind w:right="103"/>
              <w:jc w:val="both"/>
              <w:rPr>
                <w:sz w:val="20"/>
              </w:rPr>
            </w:pPr>
            <w:r>
              <w:rPr>
                <w:sz w:val="20"/>
              </w:rPr>
              <w:t>Debe reunir </w:t>
            </w:r>
            <w:r>
              <w:rPr>
                <w:b/>
                <w:sz w:val="20"/>
              </w:rPr>
              <w:t>al menos el 75% </w:t>
            </w:r>
            <w:r>
              <w:rPr>
                <w:sz w:val="20"/>
              </w:rPr>
              <w:t>dos de tres características de impacto positivo</w:t>
            </w:r>
          </w:p>
        </w:tc>
        <w:tc>
          <w:tcPr>
            <w:tcW w:w="1409"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9"/>
              </w:rPr>
            </w:pPr>
          </w:p>
          <w:p>
            <w:pPr>
              <w:pStyle w:val="TableParagraph"/>
              <w:ind w:left="369"/>
              <w:rPr>
                <w:b/>
                <w:sz w:val="20"/>
              </w:rPr>
            </w:pPr>
            <w:r>
              <w:rPr>
                <w:b/>
                <w:sz w:val="20"/>
              </w:rPr>
              <w:t>Bueno</w:t>
            </w:r>
          </w:p>
        </w:tc>
      </w:tr>
      <w:tr>
        <w:trPr>
          <w:trHeight w:val="1004" w:hRule="exact"/>
        </w:trPr>
        <w:tc>
          <w:tcPr>
            <w:tcW w:w="954" w:type="dxa"/>
            <w:tcBorders>
              <w:left w:val="double" w:sz="11" w:space="0" w:color="000000"/>
            </w:tcBorders>
          </w:tcPr>
          <w:p>
            <w:pPr>
              <w:pStyle w:val="TableParagraph"/>
              <w:ind w:left="0"/>
              <w:rPr>
                <w:rFonts w:ascii="Times New Roman"/>
                <w:sz w:val="20"/>
              </w:rPr>
            </w:pPr>
          </w:p>
          <w:p>
            <w:pPr>
              <w:pStyle w:val="TableParagraph"/>
              <w:spacing w:before="149"/>
              <w:ind w:left="209" w:right="212"/>
              <w:jc w:val="center"/>
              <w:rPr>
                <w:sz w:val="20"/>
              </w:rPr>
            </w:pPr>
            <w:r>
              <w:rPr>
                <w:sz w:val="20"/>
              </w:rPr>
              <w:t>1580</w:t>
            </w:r>
          </w:p>
        </w:tc>
        <w:tc>
          <w:tcPr>
            <w:tcW w:w="1946" w:type="dxa"/>
            <w:vMerge/>
          </w:tcPr>
          <w:p>
            <w:pPr/>
          </w:p>
        </w:tc>
        <w:tc>
          <w:tcPr>
            <w:tcW w:w="1352" w:type="dxa"/>
            <w:vMerge/>
          </w:tcPr>
          <w:p>
            <w:pPr/>
          </w:p>
        </w:tc>
        <w:tc>
          <w:tcPr>
            <w:tcW w:w="2854" w:type="dxa"/>
            <w:vMerge/>
          </w:tcPr>
          <w:p>
            <w:pPr/>
          </w:p>
        </w:tc>
        <w:tc>
          <w:tcPr>
            <w:tcW w:w="1488" w:type="dxa"/>
            <w:vMerge/>
          </w:tcPr>
          <w:p>
            <w:pPr/>
          </w:p>
        </w:tc>
        <w:tc>
          <w:tcPr>
            <w:tcW w:w="2818" w:type="dxa"/>
            <w:vMerge/>
          </w:tcPr>
          <w:p>
            <w:pPr/>
          </w:p>
        </w:tc>
        <w:tc>
          <w:tcPr>
            <w:tcW w:w="1409" w:type="dxa"/>
            <w:vMerge/>
            <w:tcBorders>
              <w:right w:val="double" w:sz="12" w:space="0" w:color="000000"/>
            </w:tcBorders>
          </w:tcPr>
          <w:p>
            <w:pPr/>
          </w:p>
        </w:tc>
      </w:tr>
      <w:tr>
        <w:trPr>
          <w:trHeight w:val="1915"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45"/>
              <w:ind w:left="209" w:right="212"/>
              <w:jc w:val="center"/>
              <w:rPr>
                <w:sz w:val="20"/>
              </w:rPr>
            </w:pPr>
            <w:r>
              <w:rPr>
                <w:sz w:val="20"/>
              </w:rPr>
              <w:t>1785</w:t>
            </w:r>
          </w:p>
        </w:tc>
        <w:tc>
          <w:tcPr>
            <w:tcW w:w="1946" w:type="dxa"/>
            <w:vMerge/>
          </w:tcPr>
          <w:p>
            <w:pPr/>
          </w:p>
        </w:tc>
        <w:tc>
          <w:tcPr>
            <w:tcW w:w="1352" w:type="dxa"/>
            <w:vMerge/>
          </w:tcPr>
          <w:p>
            <w:pPr/>
          </w:p>
        </w:tc>
        <w:tc>
          <w:tcPr>
            <w:tcW w:w="2854" w:type="dxa"/>
            <w:vMerge/>
          </w:tcPr>
          <w:p>
            <w:pPr/>
          </w:p>
        </w:tc>
        <w:tc>
          <w:tcPr>
            <w:tcW w:w="1488" w:type="dxa"/>
            <w:vMerge/>
          </w:tcPr>
          <w:p>
            <w:pPr/>
          </w:p>
        </w:tc>
        <w:tc>
          <w:tcPr>
            <w:tcW w:w="2818" w:type="dxa"/>
            <w:vMerge/>
          </w:tcPr>
          <w:p>
            <w:pPr/>
          </w:p>
        </w:tc>
        <w:tc>
          <w:tcPr>
            <w:tcW w:w="1409" w:type="dxa"/>
            <w:vMerge/>
            <w:tcBorders>
              <w:right w:val="double" w:sz="12" w:space="0" w:color="000000"/>
            </w:tcBorders>
          </w:tcPr>
          <w:p>
            <w:pPr/>
          </w:p>
        </w:tc>
      </w:tr>
      <w:tr>
        <w:trPr>
          <w:trHeight w:val="1143"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19"/>
              </w:rPr>
            </w:pPr>
          </w:p>
          <w:p>
            <w:pPr>
              <w:pStyle w:val="TableParagraph"/>
              <w:ind w:left="209" w:right="212"/>
              <w:jc w:val="center"/>
              <w:rPr>
                <w:sz w:val="20"/>
              </w:rPr>
            </w:pPr>
            <w:r>
              <w:rPr>
                <w:sz w:val="20"/>
              </w:rPr>
              <w:t>1810</w:t>
            </w:r>
          </w:p>
        </w:tc>
        <w:tc>
          <w:tcPr>
            <w:tcW w:w="1946" w:type="dxa"/>
            <w:vMerge/>
          </w:tcPr>
          <w:p>
            <w:pPr/>
          </w:p>
        </w:tc>
        <w:tc>
          <w:tcPr>
            <w:tcW w:w="1352" w:type="dxa"/>
            <w:vMerge w:val="restart"/>
          </w:tcPr>
          <w:p>
            <w:pPr>
              <w:pStyle w:val="TableParagraph"/>
              <w:spacing w:line="228" w:lineRule="exact"/>
              <w:rPr>
                <w:sz w:val="20"/>
              </w:rPr>
            </w:pPr>
            <w:r>
              <w:rPr>
                <w:sz w:val="20"/>
              </w:rPr>
              <w:t>Económico</w:t>
            </w:r>
          </w:p>
        </w:tc>
        <w:tc>
          <w:tcPr>
            <w:tcW w:w="2854" w:type="dxa"/>
            <w:vMerge w:val="restart"/>
          </w:tcPr>
          <w:p>
            <w:pPr>
              <w:pStyle w:val="TableParagraph"/>
              <w:numPr>
                <w:ilvl w:val="0"/>
                <w:numId w:val="187"/>
              </w:numPr>
              <w:tabs>
                <w:tab w:pos="464" w:val="left" w:leader="none"/>
                <w:tab w:pos="1825" w:val="left" w:leader="none"/>
              </w:tabs>
              <w:spacing w:line="240" w:lineRule="auto" w:before="0" w:after="0"/>
              <w:ind w:left="463" w:right="103" w:hanging="360"/>
              <w:jc w:val="both"/>
              <w:rPr>
                <w:sz w:val="20"/>
              </w:rPr>
            </w:pPr>
            <w:r>
              <w:rPr>
                <w:sz w:val="20"/>
              </w:rPr>
              <w:t>Existen</w:t>
              <w:tab/>
              <w:t>relaciones sociopolíticas entorno a  la  gastronomía</w:t>
            </w:r>
            <w:r>
              <w:rPr>
                <w:spacing w:val="-8"/>
                <w:sz w:val="20"/>
              </w:rPr>
              <w:t> </w:t>
            </w:r>
            <w:r>
              <w:rPr>
                <w:sz w:val="20"/>
              </w:rPr>
              <w:t>regional.</w:t>
            </w:r>
          </w:p>
          <w:p>
            <w:pPr>
              <w:pStyle w:val="TableParagraph"/>
              <w:numPr>
                <w:ilvl w:val="0"/>
                <w:numId w:val="187"/>
              </w:numPr>
              <w:tabs>
                <w:tab w:pos="464" w:val="left" w:leader="none"/>
                <w:tab w:pos="1859" w:val="left" w:leader="none"/>
              </w:tabs>
              <w:spacing w:line="240" w:lineRule="auto" w:before="0" w:after="0"/>
              <w:ind w:left="463" w:right="102" w:hanging="360"/>
              <w:jc w:val="both"/>
              <w:rPr>
                <w:sz w:val="20"/>
              </w:rPr>
            </w:pPr>
            <w:r>
              <w:rPr>
                <w:sz w:val="20"/>
              </w:rPr>
              <w:t>Existen</w:t>
              <w:tab/>
              <w:t>mercados regionales de comida lacustre</w:t>
            </w:r>
          </w:p>
          <w:p>
            <w:pPr>
              <w:pStyle w:val="TableParagraph"/>
              <w:numPr>
                <w:ilvl w:val="0"/>
                <w:numId w:val="187"/>
              </w:numPr>
              <w:tabs>
                <w:tab w:pos="464" w:val="left" w:leader="none"/>
              </w:tabs>
              <w:spacing w:line="240" w:lineRule="auto" w:before="0" w:after="0"/>
              <w:ind w:left="463" w:right="103" w:hanging="360"/>
              <w:jc w:val="both"/>
              <w:rPr>
                <w:sz w:val="20"/>
              </w:rPr>
            </w:pPr>
            <w:r>
              <w:rPr>
                <w:sz w:val="20"/>
              </w:rPr>
              <w:t>Existe equidad en el reparto de los recursos  de la</w:t>
            </w:r>
            <w:r>
              <w:rPr>
                <w:spacing w:val="-4"/>
                <w:sz w:val="20"/>
              </w:rPr>
              <w:t> </w:t>
            </w:r>
            <w:r>
              <w:rPr>
                <w:sz w:val="20"/>
              </w:rPr>
              <w:t>CHPH</w:t>
            </w:r>
          </w:p>
          <w:p>
            <w:pPr>
              <w:pStyle w:val="TableParagraph"/>
              <w:numPr>
                <w:ilvl w:val="0"/>
                <w:numId w:val="187"/>
              </w:numPr>
              <w:tabs>
                <w:tab w:pos="464" w:val="left" w:leader="none"/>
                <w:tab w:pos="1770" w:val="left" w:leader="none"/>
                <w:tab w:pos="2418" w:val="left" w:leader="none"/>
              </w:tabs>
              <w:spacing w:line="240" w:lineRule="auto" w:before="0" w:after="0"/>
              <w:ind w:left="463" w:right="101" w:hanging="360"/>
              <w:jc w:val="both"/>
              <w:rPr>
                <w:sz w:val="20"/>
              </w:rPr>
            </w:pPr>
            <w:r>
              <w:rPr>
                <w:sz w:val="20"/>
              </w:rPr>
              <w:t>Existe</w:t>
              <w:tab/>
              <w:t>planeación económica</w:t>
              <w:tab/>
              <w:tab/>
              <w:t>con articulación entre</w:t>
            </w:r>
            <w:r>
              <w:rPr>
                <w:spacing w:val="-11"/>
                <w:sz w:val="20"/>
              </w:rPr>
              <w:t> </w:t>
            </w:r>
            <w:r>
              <w:rPr>
                <w:sz w:val="20"/>
              </w:rPr>
              <w:t>actores</w:t>
            </w:r>
          </w:p>
        </w:tc>
        <w:tc>
          <w:tcPr>
            <w:tcW w:w="1488" w:type="dxa"/>
            <w:vMerge/>
          </w:tcPr>
          <w:p>
            <w:pPr/>
          </w:p>
        </w:tc>
        <w:tc>
          <w:tcPr>
            <w:tcW w:w="2818" w:type="dxa"/>
            <w:vMerge/>
          </w:tcPr>
          <w:p>
            <w:pPr/>
          </w:p>
        </w:tc>
        <w:tc>
          <w:tcPr>
            <w:tcW w:w="1409" w:type="dxa"/>
            <w:vMerge/>
            <w:tcBorders>
              <w:right w:val="double" w:sz="12" w:space="0" w:color="000000"/>
            </w:tcBorders>
          </w:tcPr>
          <w:p>
            <w:pPr/>
          </w:p>
        </w:tc>
      </w:tr>
      <w:tr>
        <w:trPr>
          <w:trHeight w:val="866" w:hRule="exact"/>
        </w:trPr>
        <w:tc>
          <w:tcPr>
            <w:tcW w:w="954" w:type="dxa"/>
            <w:tcBorders>
              <w:left w:val="double" w:sz="11" w:space="0" w:color="000000"/>
            </w:tcBorders>
          </w:tcPr>
          <w:p>
            <w:pPr>
              <w:pStyle w:val="TableParagraph"/>
              <w:spacing w:before="10"/>
              <w:ind w:left="0"/>
              <w:rPr>
                <w:rFonts w:ascii="Times New Roman"/>
                <w:sz w:val="26"/>
              </w:rPr>
            </w:pPr>
          </w:p>
          <w:p>
            <w:pPr>
              <w:pStyle w:val="TableParagraph"/>
              <w:ind w:left="209" w:right="212"/>
              <w:jc w:val="center"/>
              <w:rPr>
                <w:sz w:val="20"/>
              </w:rPr>
            </w:pPr>
            <w:r>
              <w:rPr>
                <w:sz w:val="20"/>
              </w:rPr>
              <w:t>1861</w:t>
            </w:r>
          </w:p>
        </w:tc>
        <w:tc>
          <w:tcPr>
            <w:tcW w:w="1946" w:type="dxa"/>
            <w:vMerge/>
          </w:tcPr>
          <w:p>
            <w:pPr/>
          </w:p>
        </w:tc>
        <w:tc>
          <w:tcPr>
            <w:tcW w:w="1352" w:type="dxa"/>
            <w:vMerge/>
          </w:tcPr>
          <w:p>
            <w:pPr/>
          </w:p>
        </w:tc>
        <w:tc>
          <w:tcPr>
            <w:tcW w:w="2854" w:type="dxa"/>
            <w:vMerge/>
          </w:tcPr>
          <w:p>
            <w:pPr/>
          </w:p>
        </w:tc>
        <w:tc>
          <w:tcPr>
            <w:tcW w:w="1488" w:type="dxa"/>
            <w:vMerge/>
          </w:tcPr>
          <w:p>
            <w:pPr/>
          </w:p>
        </w:tc>
        <w:tc>
          <w:tcPr>
            <w:tcW w:w="2818" w:type="dxa"/>
            <w:vMerge/>
          </w:tcPr>
          <w:p>
            <w:pPr/>
          </w:p>
        </w:tc>
        <w:tc>
          <w:tcPr>
            <w:tcW w:w="1409" w:type="dxa"/>
            <w:vMerge/>
            <w:tcBorders>
              <w:right w:val="double" w:sz="12" w:space="0" w:color="000000"/>
            </w:tcBorders>
          </w:tcPr>
          <w:p>
            <w:pPr/>
          </w:p>
        </w:tc>
      </w:tr>
      <w:tr>
        <w:trPr>
          <w:trHeight w:val="761" w:hRule="exact"/>
        </w:trPr>
        <w:tc>
          <w:tcPr>
            <w:tcW w:w="954" w:type="dxa"/>
            <w:tcBorders>
              <w:left w:val="double" w:sz="11" w:space="0" w:color="000000"/>
            </w:tcBorders>
          </w:tcPr>
          <w:p>
            <w:pPr>
              <w:pStyle w:val="TableParagraph"/>
              <w:spacing w:before="5"/>
              <w:ind w:left="0"/>
              <w:rPr>
                <w:rFonts w:ascii="Times New Roman"/>
                <w:sz w:val="22"/>
              </w:rPr>
            </w:pPr>
          </w:p>
          <w:p>
            <w:pPr>
              <w:pStyle w:val="TableParagraph"/>
              <w:spacing w:before="1"/>
              <w:ind w:left="209" w:right="212"/>
              <w:jc w:val="center"/>
              <w:rPr>
                <w:sz w:val="20"/>
              </w:rPr>
            </w:pPr>
            <w:r>
              <w:rPr>
                <w:sz w:val="20"/>
              </w:rPr>
              <w:t>1910</w:t>
            </w:r>
          </w:p>
        </w:tc>
        <w:tc>
          <w:tcPr>
            <w:tcW w:w="1946" w:type="dxa"/>
            <w:vMerge/>
          </w:tcPr>
          <w:p>
            <w:pPr/>
          </w:p>
        </w:tc>
        <w:tc>
          <w:tcPr>
            <w:tcW w:w="1352" w:type="dxa"/>
            <w:vMerge/>
          </w:tcPr>
          <w:p>
            <w:pPr/>
          </w:p>
        </w:tc>
        <w:tc>
          <w:tcPr>
            <w:tcW w:w="2854" w:type="dxa"/>
            <w:vMerge/>
          </w:tcPr>
          <w:p>
            <w:pPr/>
          </w:p>
        </w:tc>
        <w:tc>
          <w:tcPr>
            <w:tcW w:w="1488" w:type="dxa"/>
            <w:vMerge/>
          </w:tcPr>
          <w:p>
            <w:pPr/>
          </w:p>
        </w:tc>
        <w:tc>
          <w:tcPr>
            <w:tcW w:w="2818" w:type="dxa"/>
            <w:vMerge/>
          </w:tcPr>
          <w:p>
            <w:pPr/>
          </w:p>
        </w:tc>
        <w:tc>
          <w:tcPr>
            <w:tcW w:w="1409" w:type="dxa"/>
            <w:vMerge/>
            <w:tcBorders>
              <w:right w:val="double" w:sz="12" w:space="0" w:color="000000"/>
            </w:tcBorders>
          </w:tcPr>
          <w:p>
            <w:pPr/>
          </w:p>
        </w:tc>
      </w:tr>
      <w:tr>
        <w:trPr>
          <w:trHeight w:val="1390" w:hRule="exact"/>
        </w:trPr>
        <w:tc>
          <w:tcPr>
            <w:tcW w:w="954" w:type="dxa"/>
            <w:tcBorders>
              <w:left w:val="double" w:sz="11" w:space="0" w:color="000000"/>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209" w:right="212"/>
              <w:jc w:val="center"/>
              <w:rPr>
                <w:sz w:val="20"/>
              </w:rPr>
            </w:pPr>
            <w:r>
              <w:rPr>
                <w:sz w:val="20"/>
              </w:rPr>
              <w:t>1940</w:t>
            </w:r>
          </w:p>
        </w:tc>
        <w:tc>
          <w:tcPr>
            <w:tcW w:w="1946" w:type="dxa"/>
            <w:vMerge/>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Sociopolítico</w:t>
            </w:r>
          </w:p>
        </w:tc>
        <w:tc>
          <w:tcPr>
            <w:tcW w:w="2854" w:type="dxa"/>
            <w:tcBorders>
              <w:bottom w:val="single" w:sz="8" w:space="0" w:color="000000"/>
            </w:tcBorders>
          </w:tcPr>
          <w:p>
            <w:pPr>
              <w:pStyle w:val="TableParagraph"/>
              <w:ind w:left="280" w:right="102" w:hanging="178"/>
              <w:jc w:val="both"/>
              <w:rPr>
                <w:sz w:val="20"/>
              </w:rPr>
            </w:pPr>
            <w:r>
              <w:rPr>
                <w:rFonts w:ascii="Wingdings" w:hAnsi="Wingdings"/>
                <w:sz w:val="20"/>
              </w:rPr>
              <w:t></w:t>
            </w:r>
            <w:r>
              <w:rPr>
                <w:sz w:val="20"/>
              </w:rPr>
              <w:t>Favorece la articulación sociopolítica de actores de la CHPH.</w:t>
            </w:r>
          </w:p>
          <w:p>
            <w:pPr>
              <w:pStyle w:val="TableParagraph"/>
              <w:spacing w:line="228" w:lineRule="exact"/>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tc>
        <w:tc>
          <w:tcPr>
            <w:tcW w:w="1488" w:type="dxa"/>
            <w:vMerge/>
            <w:tcBorders>
              <w:bottom w:val="single" w:sz="8" w:space="0" w:color="000000"/>
            </w:tcBorders>
          </w:tcPr>
          <w:p>
            <w:pPr/>
          </w:p>
        </w:tc>
        <w:tc>
          <w:tcPr>
            <w:tcW w:w="2818" w:type="dxa"/>
            <w:vMerge/>
            <w:tcBorders>
              <w:bottom w:val="single" w:sz="8" w:space="0" w:color="000000"/>
            </w:tcBorders>
          </w:tcPr>
          <w:p>
            <w:pPr/>
          </w:p>
        </w:tc>
        <w:tc>
          <w:tcPr>
            <w:tcW w:w="1409" w:type="dxa"/>
            <w:vMerge/>
            <w:tcBorders>
              <w:bottom w:val="single" w:sz="8"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46"/>
        <w:gridCol w:w="1352"/>
        <w:gridCol w:w="2854"/>
        <w:gridCol w:w="1488"/>
        <w:gridCol w:w="2818"/>
        <w:gridCol w:w="1409"/>
      </w:tblGrid>
      <w:tr>
        <w:trPr>
          <w:trHeight w:val="250" w:hRule="exact"/>
        </w:trPr>
        <w:tc>
          <w:tcPr>
            <w:tcW w:w="954" w:type="dxa"/>
            <w:tcBorders>
              <w:left w:val="double" w:sz="11" w:space="0" w:color="000000"/>
            </w:tcBorders>
          </w:tcPr>
          <w:p>
            <w:pPr/>
          </w:p>
        </w:tc>
        <w:tc>
          <w:tcPr>
            <w:tcW w:w="1946" w:type="dxa"/>
            <w:vMerge w:val="restart"/>
          </w:tcPr>
          <w:p>
            <w:pPr/>
          </w:p>
        </w:tc>
        <w:tc>
          <w:tcPr>
            <w:tcW w:w="1352" w:type="dxa"/>
            <w:vMerge w:val="restart"/>
          </w:tcPr>
          <w:p>
            <w:pPr/>
          </w:p>
        </w:tc>
        <w:tc>
          <w:tcPr>
            <w:tcW w:w="2854" w:type="dxa"/>
            <w:vMerge w:val="restart"/>
          </w:tcPr>
          <w:p>
            <w:pPr>
              <w:pStyle w:val="TableParagraph"/>
              <w:spacing w:before="7"/>
              <w:ind w:left="280" w:right="102" w:hanging="178"/>
              <w:jc w:val="both"/>
              <w:rPr>
                <w:sz w:val="20"/>
              </w:rPr>
            </w:pPr>
            <w:r>
              <w:rPr>
                <w:rFonts w:ascii="Wingdings" w:hAnsi="Wingdings"/>
                <w:sz w:val="20"/>
              </w:rPr>
              <w:t></w:t>
            </w:r>
            <w:r>
              <w:rPr>
                <w:sz w:val="20"/>
              </w:rPr>
              <w:t>Favorece la creación de un Comité intermunicipal de la CHPH con su reglamento</w:t>
            </w:r>
          </w:p>
          <w:p>
            <w:pPr>
              <w:pStyle w:val="TableParagraph"/>
              <w:tabs>
                <w:tab w:pos="1770" w:val="left" w:leader="none"/>
                <w:tab w:pos="2415" w:val="left" w:leader="none"/>
              </w:tabs>
              <w:ind w:left="280" w:right="102"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88" w:type="dxa"/>
            <w:vMerge w:val="restart"/>
          </w:tcPr>
          <w:p>
            <w:pPr/>
          </w:p>
        </w:tc>
        <w:tc>
          <w:tcPr>
            <w:tcW w:w="2818" w:type="dxa"/>
            <w:vMerge w:val="restart"/>
          </w:tcPr>
          <w:p>
            <w:pPr/>
          </w:p>
        </w:tc>
        <w:tc>
          <w:tcPr>
            <w:tcW w:w="1409" w:type="dxa"/>
            <w:vMerge w:val="restart"/>
            <w:tcBorders>
              <w:right w:val="double" w:sz="12" w:space="0" w:color="000000"/>
            </w:tcBorders>
          </w:tcPr>
          <w:p>
            <w:pPr>
              <w:pStyle w:val="TableParagraph"/>
              <w:ind w:left="0" w:right="-50"/>
              <w:rPr>
                <w:rFonts w:ascii="Times New Roman"/>
                <w:sz w:val="20"/>
              </w:rPr>
            </w:pPr>
            <w:r>
              <w:rPr>
                <w:rFonts w:ascii="Times New Roman"/>
                <w:sz w:val="20"/>
              </w:rPr>
              <w:pict>
                <v:group style="width:68.05pt;height:73.6pt;mso-position-horizontal-relative:char;mso-position-vertical-relative:line" coordorigin="0,0" coordsize="1361,1472">
                  <v:shape style="position:absolute;left:0;top:0;width:1361;height:230" type="#_x0000_t75" stroked="false">
                    <v:imagedata r:id="rId411" o:title=""/>
                  </v:shape>
                  <v:shape style="position:absolute;left:0;top:230;width:1361;height:1001" type="#_x0000_t75" stroked="false">
                    <v:imagedata r:id="rId412" o:title=""/>
                  </v:shape>
                  <v:shape style="position:absolute;left:0;top:1234;width:1361;height:238" type="#_x0000_t75" stroked="false">
                    <v:imagedata r:id="rId413" o:title=""/>
                  </v:shape>
                </v:group>
              </w:pict>
            </w:r>
            <w:r>
              <w:rPr>
                <w:rFonts w:ascii="Times New Roman"/>
                <w:sz w:val="20"/>
              </w:rPr>
            </w:r>
          </w:p>
        </w:tc>
      </w:tr>
      <w:tr>
        <w:trPr>
          <w:trHeight w:val="1001" w:hRule="exact"/>
        </w:trPr>
        <w:tc>
          <w:tcPr>
            <w:tcW w:w="954" w:type="dxa"/>
            <w:tcBorders>
              <w:left w:val="double" w:sz="11" w:space="0" w:color="000000"/>
            </w:tcBorders>
          </w:tcPr>
          <w:p>
            <w:pPr>
              <w:pStyle w:val="TableParagraph"/>
              <w:ind w:left="0"/>
              <w:rPr>
                <w:rFonts w:ascii="Times New Roman"/>
                <w:sz w:val="20"/>
              </w:rPr>
            </w:pPr>
          </w:p>
          <w:p>
            <w:pPr>
              <w:pStyle w:val="TableParagraph"/>
              <w:spacing w:before="149"/>
              <w:ind w:left="209" w:right="212"/>
              <w:jc w:val="center"/>
              <w:rPr>
                <w:sz w:val="20"/>
              </w:rPr>
            </w:pPr>
            <w:r>
              <w:rPr>
                <w:sz w:val="20"/>
              </w:rPr>
              <w:t>1982</w:t>
            </w:r>
          </w:p>
        </w:tc>
        <w:tc>
          <w:tcPr>
            <w:tcW w:w="1946" w:type="dxa"/>
            <w:vMerge/>
          </w:tcPr>
          <w:p>
            <w:pPr/>
          </w:p>
        </w:tc>
        <w:tc>
          <w:tcPr>
            <w:tcW w:w="1352" w:type="dxa"/>
            <w:vMerge/>
          </w:tcPr>
          <w:p>
            <w:pPr/>
          </w:p>
        </w:tc>
        <w:tc>
          <w:tcPr>
            <w:tcW w:w="2854" w:type="dxa"/>
            <w:vMerge/>
          </w:tcPr>
          <w:p>
            <w:pPr/>
          </w:p>
        </w:tc>
        <w:tc>
          <w:tcPr>
            <w:tcW w:w="1488" w:type="dxa"/>
            <w:vMerge/>
          </w:tcPr>
          <w:p>
            <w:pPr/>
          </w:p>
        </w:tc>
        <w:tc>
          <w:tcPr>
            <w:tcW w:w="2818" w:type="dxa"/>
            <w:vMerge/>
          </w:tcPr>
          <w:p>
            <w:pPr/>
          </w:p>
        </w:tc>
        <w:tc>
          <w:tcPr>
            <w:tcW w:w="1409" w:type="dxa"/>
            <w:vMerge/>
            <w:tcBorders>
              <w:right w:val="double" w:sz="12" w:space="0" w:color="000000"/>
            </w:tcBorders>
          </w:tcPr>
          <w:p>
            <w:pPr/>
          </w:p>
        </w:tc>
      </w:tr>
      <w:tr>
        <w:trPr>
          <w:trHeight w:val="240" w:hRule="exact"/>
        </w:trPr>
        <w:tc>
          <w:tcPr>
            <w:tcW w:w="954" w:type="dxa"/>
            <w:tcBorders>
              <w:left w:val="double" w:sz="11" w:space="0" w:color="000000"/>
            </w:tcBorders>
          </w:tcPr>
          <w:p>
            <w:pPr>
              <w:pStyle w:val="TableParagraph"/>
              <w:spacing w:line="230" w:lineRule="exact"/>
              <w:ind w:left="209" w:right="212"/>
              <w:jc w:val="center"/>
              <w:rPr>
                <w:sz w:val="20"/>
              </w:rPr>
            </w:pPr>
            <w:r>
              <w:rPr>
                <w:sz w:val="20"/>
              </w:rPr>
              <w:t>2016</w:t>
            </w:r>
          </w:p>
        </w:tc>
        <w:tc>
          <w:tcPr>
            <w:tcW w:w="1946" w:type="dxa"/>
            <w:vMerge/>
          </w:tcPr>
          <w:p>
            <w:pPr/>
          </w:p>
        </w:tc>
        <w:tc>
          <w:tcPr>
            <w:tcW w:w="1352" w:type="dxa"/>
            <w:vMerge/>
          </w:tcPr>
          <w:p>
            <w:pPr/>
          </w:p>
        </w:tc>
        <w:tc>
          <w:tcPr>
            <w:tcW w:w="2854" w:type="dxa"/>
            <w:vMerge/>
          </w:tcPr>
          <w:p>
            <w:pPr/>
          </w:p>
        </w:tc>
        <w:tc>
          <w:tcPr>
            <w:tcW w:w="1488" w:type="dxa"/>
            <w:vMerge/>
          </w:tcPr>
          <w:p>
            <w:pPr/>
          </w:p>
        </w:tc>
        <w:tc>
          <w:tcPr>
            <w:tcW w:w="2818" w:type="dxa"/>
            <w:vMerge/>
          </w:tcPr>
          <w:p>
            <w:pPr/>
          </w:p>
        </w:tc>
        <w:tc>
          <w:tcPr>
            <w:tcW w:w="1409" w:type="dxa"/>
            <w:vMerge/>
            <w:tcBorders>
              <w:right w:val="double" w:sz="12" w:space="0" w:color="000000"/>
            </w:tcBorders>
          </w:tcPr>
          <w:p>
            <w:pPr/>
          </w:p>
        </w:tc>
      </w:tr>
      <w:tr>
        <w:trPr>
          <w:trHeight w:val="3923" w:hRule="exact"/>
        </w:trPr>
        <w:tc>
          <w:tcPr>
            <w:tcW w:w="954" w:type="dxa"/>
            <w:vMerge w:val="restart"/>
            <w:tcBorders>
              <w:left w:val="double" w:sz="11" w:space="0" w:color="000000"/>
            </w:tcBorders>
          </w:tcPr>
          <w:p>
            <w:pPr/>
          </w:p>
        </w:tc>
        <w:tc>
          <w:tcPr>
            <w:tcW w:w="194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352" w:type="dxa"/>
          </w:tcPr>
          <w:p>
            <w:pPr>
              <w:pStyle w:val="TableParagraph"/>
              <w:spacing w:line="230" w:lineRule="exact"/>
              <w:rPr>
                <w:sz w:val="20"/>
              </w:rPr>
            </w:pPr>
            <w:r>
              <w:rPr>
                <w:sz w:val="20"/>
              </w:rPr>
              <w:t>Ambiental</w:t>
            </w:r>
          </w:p>
        </w:tc>
        <w:tc>
          <w:tcPr>
            <w:tcW w:w="2854" w:type="dxa"/>
          </w:tcPr>
          <w:p>
            <w:pPr>
              <w:pStyle w:val="TableParagraph"/>
              <w:ind w:left="280" w:right="102" w:hanging="178"/>
              <w:jc w:val="both"/>
              <w:rPr>
                <w:sz w:val="20"/>
              </w:rPr>
            </w:pPr>
            <w:r>
              <w:rPr>
                <w:rFonts w:ascii="Wingdings" w:hAnsi="Wingdings"/>
                <w:sz w:val="20"/>
              </w:rPr>
              <w:t></w:t>
            </w:r>
            <w:r>
              <w:rPr>
                <w:sz w:val="20"/>
              </w:rPr>
              <w:t>Existe relación de los actores de la CHPH con el medio ambiente</w:t>
            </w:r>
          </w:p>
          <w:p>
            <w:pPr>
              <w:pStyle w:val="TableParagraph"/>
              <w:ind w:left="280" w:right="102" w:hanging="178"/>
              <w:jc w:val="both"/>
              <w:rPr>
                <w:sz w:val="20"/>
              </w:rPr>
            </w:pPr>
            <w:r>
              <w:rPr>
                <w:rFonts w:ascii="Wingdings" w:hAnsi="Wingdings"/>
                <w:sz w:val="20"/>
              </w:rPr>
              <w:t></w:t>
            </w:r>
            <w:r>
              <w:rPr>
                <w:sz w:val="20"/>
              </w:rPr>
              <w:t>Existe preocupación de los actores históricos de la CHPH para cuidar el medio ambiente</w:t>
            </w:r>
          </w:p>
          <w:p>
            <w:pPr>
              <w:pStyle w:val="TableParagraph"/>
              <w:ind w:left="280" w:right="101" w:hanging="178"/>
              <w:jc w:val="both"/>
              <w:rPr>
                <w:sz w:val="20"/>
              </w:rPr>
            </w:pPr>
            <w:r>
              <w:rPr>
                <w:rFonts w:ascii="Wingdings" w:hAnsi="Wingdings"/>
                <w:sz w:val="20"/>
              </w:rPr>
              <w:t></w:t>
            </w:r>
            <w:r>
              <w:rPr>
                <w:sz w:val="20"/>
              </w:rPr>
              <w:t>Favorece la articulación entre actores para cuidar el medio ambiente</w:t>
            </w:r>
          </w:p>
          <w:p>
            <w:pPr>
              <w:pStyle w:val="TableParagraph"/>
              <w:ind w:left="280" w:right="101" w:hanging="178"/>
              <w:jc w:val="both"/>
              <w:rPr>
                <w:sz w:val="20"/>
              </w:rPr>
            </w:pPr>
            <w:r>
              <w:rPr>
                <w:rFonts w:ascii="Wingdings" w:hAnsi="Wingdings"/>
                <w:sz w:val="20"/>
              </w:rPr>
              <w:t></w:t>
            </w:r>
            <w:r>
              <w:rPr>
                <w:sz w:val="20"/>
              </w:rPr>
              <w:t>- Existen prácticas  y valores culturales de los actores que se relacionan con el medio ambiente</w:t>
            </w:r>
          </w:p>
          <w:p>
            <w:pPr>
              <w:pStyle w:val="TableParagraph"/>
              <w:numPr>
                <w:ilvl w:val="0"/>
                <w:numId w:val="188"/>
              </w:numPr>
              <w:tabs>
                <w:tab w:pos="336" w:val="left" w:leader="none"/>
              </w:tabs>
              <w:spacing w:line="240" w:lineRule="auto" w:before="1" w:after="0"/>
              <w:ind w:left="280" w:right="102" w:hanging="177"/>
              <w:jc w:val="both"/>
              <w:rPr>
                <w:sz w:val="20"/>
              </w:rPr>
            </w:pPr>
            <w:r>
              <w:rPr>
                <w:sz w:val="20"/>
              </w:rPr>
              <w:t>Los actores históricos  de la CHPH buscan la sostenibilidad de la</w:t>
            </w:r>
            <w:r>
              <w:rPr>
                <w:spacing w:val="-9"/>
                <w:sz w:val="20"/>
              </w:rPr>
              <w:t> </w:t>
            </w:r>
            <w:r>
              <w:rPr>
                <w:sz w:val="20"/>
              </w:rPr>
              <w:t>cuenca</w:t>
            </w:r>
          </w:p>
        </w:tc>
        <w:tc>
          <w:tcPr>
            <w:tcW w:w="1488" w:type="dxa"/>
            <w:vMerge w:val="restart"/>
          </w:tcPr>
          <w:p>
            <w:pPr/>
          </w:p>
        </w:tc>
        <w:tc>
          <w:tcPr>
            <w:tcW w:w="2818" w:type="dxa"/>
            <w:vMerge w:val="restart"/>
          </w:tcPr>
          <w:p>
            <w:pPr>
              <w:pStyle w:val="TableParagraph"/>
              <w:ind w:right="104"/>
              <w:jc w:val="both"/>
              <w:rPr>
                <w:sz w:val="20"/>
              </w:rPr>
            </w:pPr>
            <w:r>
              <w:rPr>
                <w:sz w:val="20"/>
              </w:rPr>
              <w:t>Debe reunir </w:t>
            </w:r>
            <w:r>
              <w:rPr>
                <w:b/>
                <w:sz w:val="20"/>
              </w:rPr>
              <w:t>al menos el 50% una de tres </w:t>
            </w:r>
            <w:r>
              <w:rPr>
                <w:sz w:val="20"/>
              </w:rPr>
              <w:t>características de impacto positivo</w:t>
            </w:r>
          </w:p>
        </w:tc>
        <w:tc>
          <w:tcPr>
            <w:tcW w:w="1409"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307"/>
              <w:rPr>
                <w:b/>
                <w:sz w:val="20"/>
              </w:rPr>
            </w:pPr>
            <w:r>
              <w:rPr>
                <w:b/>
                <w:sz w:val="20"/>
              </w:rPr>
              <w:t>Regular</w:t>
            </w:r>
          </w:p>
        </w:tc>
      </w:tr>
      <w:tr>
        <w:trPr>
          <w:trHeight w:val="2780" w:hRule="exact"/>
        </w:trPr>
        <w:tc>
          <w:tcPr>
            <w:tcW w:w="954" w:type="dxa"/>
            <w:vMerge/>
            <w:tcBorders>
              <w:left w:val="double" w:sz="11" w:space="0" w:color="000000"/>
            </w:tcBorders>
          </w:tcPr>
          <w:p>
            <w:pPr/>
          </w:p>
        </w:tc>
        <w:tc>
          <w:tcPr>
            <w:tcW w:w="1946" w:type="dxa"/>
            <w:vMerge/>
          </w:tcPr>
          <w:p>
            <w:pPr/>
          </w:p>
        </w:tc>
        <w:tc>
          <w:tcPr>
            <w:tcW w:w="1352" w:type="dxa"/>
          </w:tcPr>
          <w:p>
            <w:pPr>
              <w:pStyle w:val="TableParagraph"/>
              <w:spacing w:line="227" w:lineRule="exact"/>
              <w:rPr>
                <w:sz w:val="20"/>
              </w:rPr>
            </w:pPr>
            <w:r>
              <w:rPr>
                <w:sz w:val="20"/>
              </w:rPr>
              <w:t>Económico</w:t>
            </w:r>
          </w:p>
        </w:tc>
        <w:tc>
          <w:tcPr>
            <w:tcW w:w="2854" w:type="dxa"/>
          </w:tcPr>
          <w:p>
            <w:pPr>
              <w:pStyle w:val="TableParagraph"/>
              <w:numPr>
                <w:ilvl w:val="0"/>
                <w:numId w:val="189"/>
              </w:numPr>
              <w:tabs>
                <w:tab w:pos="464" w:val="left" w:leader="none"/>
                <w:tab w:pos="1825" w:val="left" w:leader="none"/>
              </w:tabs>
              <w:spacing w:line="240" w:lineRule="auto" w:before="0" w:after="0"/>
              <w:ind w:left="463" w:right="103" w:hanging="360"/>
              <w:jc w:val="both"/>
              <w:rPr>
                <w:sz w:val="20"/>
              </w:rPr>
            </w:pPr>
            <w:r>
              <w:rPr>
                <w:sz w:val="20"/>
              </w:rPr>
              <w:t>Existen</w:t>
              <w:tab/>
              <w:t>relaciones sociopolíticas entorno a  la  gastronomía</w:t>
            </w:r>
            <w:r>
              <w:rPr>
                <w:spacing w:val="-8"/>
                <w:sz w:val="20"/>
              </w:rPr>
              <w:t> </w:t>
            </w:r>
            <w:r>
              <w:rPr>
                <w:sz w:val="20"/>
              </w:rPr>
              <w:t>regional.</w:t>
            </w:r>
          </w:p>
          <w:p>
            <w:pPr>
              <w:pStyle w:val="TableParagraph"/>
              <w:numPr>
                <w:ilvl w:val="0"/>
                <w:numId w:val="189"/>
              </w:numPr>
              <w:tabs>
                <w:tab w:pos="464" w:val="left" w:leader="none"/>
                <w:tab w:pos="1859" w:val="left" w:leader="none"/>
              </w:tabs>
              <w:spacing w:line="240" w:lineRule="auto" w:before="0" w:after="0"/>
              <w:ind w:left="463" w:right="102" w:hanging="360"/>
              <w:jc w:val="both"/>
              <w:rPr>
                <w:sz w:val="20"/>
              </w:rPr>
            </w:pPr>
            <w:r>
              <w:rPr>
                <w:sz w:val="20"/>
              </w:rPr>
              <w:t>Existen</w:t>
              <w:tab/>
              <w:t>mercados regionales de comida lacustre</w:t>
            </w:r>
          </w:p>
          <w:p>
            <w:pPr>
              <w:pStyle w:val="TableParagraph"/>
              <w:numPr>
                <w:ilvl w:val="0"/>
                <w:numId w:val="189"/>
              </w:numPr>
              <w:tabs>
                <w:tab w:pos="464" w:val="left" w:leader="none"/>
              </w:tabs>
              <w:spacing w:line="240" w:lineRule="auto" w:before="0" w:after="0"/>
              <w:ind w:left="463" w:right="103" w:hanging="360"/>
              <w:jc w:val="both"/>
              <w:rPr>
                <w:sz w:val="20"/>
              </w:rPr>
            </w:pPr>
            <w:r>
              <w:rPr>
                <w:sz w:val="20"/>
              </w:rPr>
              <w:t>Existe equidad en el reparto de los recursos  de la</w:t>
            </w:r>
            <w:r>
              <w:rPr>
                <w:spacing w:val="-4"/>
                <w:sz w:val="20"/>
              </w:rPr>
              <w:t> </w:t>
            </w:r>
            <w:r>
              <w:rPr>
                <w:sz w:val="20"/>
              </w:rPr>
              <w:t>CHPH</w:t>
            </w:r>
          </w:p>
          <w:p>
            <w:pPr>
              <w:pStyle w:val="TableParagraph"/>
              <w:numPr>
                <w:ilvl w:val="0"/>
                <w:numId w:val="189"/>
              </w:numPr>
              <w:tabs>
                <w:tab w:pos="464" w:val="left" w:leader="none"/>
                <w:tab w:pos="1770" w:val="left" w:leader="none"/>
                <w:tab w:pos="2418" w:val="left" w:leader="none"/>
              </w:tabs>
              <w:spacing w:line="240" w:lineRule="auto" w:before="0" w:after="0"/>
              <w:ind w:left="463" w:right="101" w:hanging="360"/>
              <w:jc w:val="both"/>
              <w:rPr>
                <w:sz w:val="20"/>
              </w:rPr>
            </w:pPr>
            <w:r>
              <w:rPr>
                <w:sz w:val="20"/>
              </w:rPr>
              <w:t>Existe</w:t>
              <w:tab/>
              <w:t>planeación económica</w:t>
              <w:tab/>
              <w:tab/>
              <w:t>con articulación entre</w:t>
            </w:r>
            <w:r>
              <w:rPr>
                <w:spacing w:val="-11"/>
                <w:sz w:val="20"/>
              </w:rPr>
              <w:t> </w:t>
            </w:r>
            <w:r>
              <w:rPr>
                <w:sz w:val="20"/>
              </w:rPr>
              <w:t>actores</w:t>
            </w:r>
          </w:p>
        </w:tc>
        <w:tc>
          <w:tcPr>
            <w:tcW w:w="1488" w:type="dxa"/>
            <w:vMerge/>
          </w:tcPr>
          <w:p>
            <w:pPr/>
          </w:p>
        </w:tc>
        <w:tc>
          <w:tcPr>
            <w:tcW w:w="2818" w:type="dxa"/>
            <w:vMerge/>
          </w:tcPr>
          <w:p>
            <w:pPr/>
          </w:p>
        </w:tc>
        <w:tc>
          <w:tcPr>
            <w:tcW w:w="1409" w:type="dxa"/>
            <w:vMerge/>
            <w:tcBorders>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46"/>
        <w:gridCol w:w="1352"/>
        <w:gridCol w:w="2854"/>
        <w:gridCol w:w="1488"/>
        <w:gridCol w:w="2818"/>
        <w:gridCol w:w="1409"/>
      </w:tblGrid>
      <w:tr>
        <w:trPr>
          <w:trHeight w:val="2849" w:hRule="exact"/>
        </w:trPr>
        <w:tc>
          <w:tcPr>
            <w:tcW w:w="954" w:type="dxa"/>
            <w:tcBorders>
              <w:left w:val="double" w:sz="11" w:space="0" w:color="000000"/>
            </w:tcBorders>
          </w:tcPr>
          <w:p>
            <w:pPr/>
          </w:p>
        </w:tc>
        <w:tc>
          <w:tcPr>
            <w:tcW w:w="1946" w:type="dxa"/>
          </w:tcPr>
          <w:p>
            <w:pPr/>
          </w:p>
        </w:tc>
        <w:tc>
          <w:tcPr>
            <w:tcW w:w="1352" w:type="dxa"/>
          </w:tcPr>
          <w:p>
            <w:pPr>
              <w:pStyle w:val="TableParagraph"/>
              <w:spacing w:before="7"/>
              <w:rPr>
                <w:sz w:val="20"/>
              </w:rPr>
            </w:pPr>
            <w:r>
              <w:rPr>
                <w:sz w:val="20"/>
              </w:rPr>
              <w:t>Sociopolítico</w:t>
            </w:r>
          </w:p>
        </w:tc>
        <w:tc>
          <w:tcPr>
            <w:tcW w:w="2854" w:type="dxa"/>
          </w:tcPr>
          <w:p>
            <w:pPr>
              <w:pStyle w:val="TableParagraph"/>
              <w:spacing w:before="7"/>
              <w:ind w:left="280" w:right="102" w:hanging="178"/>
              <w:jc w:val="both"/>
              <w:rPr>
                <w:sz w:val="20"/>
              </w:rPr>
            </w:pPr>
            <w:r>
              <w:rPr>
                <w:rFonts w:ascii="Wingdings" w:hAnsi="Wingdings"/>
                <w:sz w:val="20"/>
              </w:rPr>
              <w:t></w:t>
            </w:r>
            <w:r>
              <w:rPr>
                <w:sz w:val="20"/>
              </w:rPr>
              <w:t>Favorece la articulación sociopolítica de actores de la CHPH.</w:t>
            </w:r>
          </w:p>
          <w:p>
            <w:pPr>
              <w:pStyle w:val="TableParagraph"/>
              <w:spacing w:line="229" w:lineRule="exact"/>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770" w:val="left" w:leader="none"/>
                <w:tab w:pos="2416" w:val="left" w:leader="none"/>
              </w:tabs>
              <w:ind w:left="280" w:right="101" w:hanging="178"/>
              <w:rPr>
                <w:sz w:val="20"/>
              </w:rPr>
            </w:pPr>
            <w:r>
              <w:rPr>
                <w:rFonts w:ascii="Wingdings" w:hAnsi="Wingdings"/>
                <w:spacing w:val="2"/>
                <w:sz w:val="20"/>
              </w:rPr>
              <w:t></w:t>
            </w:r>
            <w:r>
              <w:rPr>
                <w:spacing w:val="2"/>
                <w:sz w:val="20"/>
              </w:rPr>
              <w:t>Favorece </w:t>
            </w:r>
            <w:r>
              <w:rPr>
                <w:sz w:val="20"/>
              </w:rPr>
              <w:t>la creación de un Comité intermunicipal de la CHPH con su reglamento Existe</w:t>
              <w:tab/>
              <w:t>planeación sociopolítica</w:t>
              <w:tab/>
              <w:tab/>
              <w:t>con articulación entre</w:t>
            </w:r>
            <w:r>
              <w:rPr>
                <w:spacing w:val="-11"/>
                <w:sz w:val="20"/>
              </w:rPr>
              <w:t> </w:t>
            </w:r>
            <w:r>
              <w:rPr>
                <w:sz w:val="20"/>
              </w:rPr>
              <w:t>actores</w:t>
            </w:r>
          </w:p>
        </w:tc>
        <w:tc>
          <w:tcPr>
            <w:tcW w:w="1488" w:type="dxa"/>
          </w:tcPr>
          <w:p>
            <w:pPr/>
          </w:p>
        </w:tc>
        <w:tc>
          <w:tcPr>
            <w:tcW w:w="2818" w:type="dxa"/>
          </w:tcPr>
          <w:p>
            <w:pPr/>
          </w:p>
        </w:tc>
        <w:tc>
          <w:tcPr>
            <w:tcW w:w="1409" w:type="dxa"/>
            <w:tcBorders>
              <w:right w:val="double" w:sz="12" w:space="0" w:color="000000"/>
            </w:tcBorders>
            <w:shd w:val="clear" w:color="auto" w:fill="FFFF00"/>
          </w:tcPr>
          <w:p>
            <w:pPr/>
          </w:p>
        </w:tc>
      </w:tr>
      <w:tr>
        <w:trPr>
          <w:trHeight w:val="3920" w:hRule="exact"/>
        </w:trPr>
        <w:tc>
          <w:tcPr>
            <w:tcW w:w="954" w:type="dxa"/>
            <w:vMerge w:val="restart"/>
            <w:tcBorders>
              <w:left w:val="double" w:sz="11" w:space="0" w:color="000000"/>
            </w:tcBorders>
          </w:tcPr>
          <w:p>
            <w:pPr/>
          </w:p>
        </w:tc>
        <w:tc>
          <w:tcPr>
            <w:tcW w:w="194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
              <w:ind w:left="0"/>
              <w:rPr>
                <w:rFonts w:ascii="Times New Roman"/>
                <w:sz w:val="20"/>
              </w:rPr>
            </w:pPr>
          </w:p>
          <w:p>
            <w:pPr>
              <w:pStyle w:val="TableParagraph"/>
              <w:spacing w:before="1"/>
              <w:ind w:left="0"/>
              <w:jc w:val="center"/>
              <w:rPr>
                <w:b/>
                <w:sz w:val="20"/>
              </w:rPr>
            </w:pPr>
            <w:r>
              <w:rPr>
                <w:b/>
                <w:w w:val="99"/>
                <w:sz w:val="20"/>
              </w:rPr>
              <w:t>1</w:t>
            </w:r>
          </w:p>
        </w:tc>
        <w:tc>
          <w:tcPr>
            <w:tcW w:w="1352" w:type="dxa"/>
          </w:tcPr>
          <w:p>
            <w:pPr>
              <w:pStyle w:val="TableParagraph"/>
              <w:spacing w:line="227" w:lineRule="exact"/>
              <w:rPr>
                <w:sz w:val="20"/>
              </w:rPr>
            </w:pPr>
            <w:r>
              <w:rPr>
                <w:sz w:val="20"/>
              </w:rPr>
              <w:t>Ambiental</w:t>
            </w:r>
          </w:p>
        </w:tc>
        <w:tc>
          <w:tcPr>
            <w:tcW w:w="2854" w:type="dxa"/>
          </w:tcPr>
          <w:p>
            <w:pPr>
              <w:pStyle w:val="TableParagraph"/>
              <w:ind w:left="280" w:right="100" w:hanging="178"/>
              <w:jc w:val="both"/>
              <w:rPr>
                <w:sz w:val="20"/>
              </w:rPr>
            </w:pPr>
            <w:r>
              <w:rPr>
                <w:rFonts w:ascii="Wingdings" w:hAnsi="Wingdings"/>
                <w:sz w:val="20"/>
              </w:rPr>
              <w:t></w:t>
            </w:r>
            <w:r>
              <w:rPr>
                <w:sz w:val="20"/>
              </w:rPr>
              <w:t>Existe relación de los actores de la CHPH con el medio ambiente</w:t>
            </w:r>
          </w:p>
          <w:p>
            <w:pPr>
              <w:pStyle w:val="TableParagraph"/>
              <w:ind w:left="280" w:right="102" w:hanging="178"/>
              <w:jc w:val="both"/>
              <w:rPr>
                <w:sz w:val="20"/>
              </w:rPr>
            </w:pPr>
            <w:r>
              <w:rPr>
                <w:rFonts w:ascii="Wingdings" w:hAnsi="Wingdings"/>
                <w:sz w:val="20"/>
              </w:rPr>
              <w:t></w:t>
            </w:r>
            <w:r>
              <w:rPr>
                <w:sz w:val="20"/>
              </w:rPr>
              <w:t>Existe preocupación de los actores históricos de la CHPH para cuidar el medio ambiente</w:t>
            </w:r>
          </w:p>
          <w:p>
            <w:pPr>
              <w:pStyle w:val="TableParagraph"/>
              <w:ind w:left="280" w:right="101" w:hanging="178"/>
              <w:jc w:val="both"/>
              <w:rPr>
                <w:sz w:val="20"/>
              </w:rPr>
            </w:pPr>
            <w:r>
              <w:rPr>
                <w:rFonts w:ascii="Wingdings" w:hAnsi="Wingdings"/>
                <w:sz w:val="20"/>
              </w:rPr>
              <w:t></w:t>
            </w:r>
            <w:r>
              <w:rPr>
                <w:sz w:val="20"/>
              </w:rPr>
              <w:t>Favorece la articulación entre actores para cuidar el medio ambiente</w:t>
            </w:r>
          </w:p>
          <w:p>
            <w:pPr>
              <w:pStyle w:val="TableParagraph"/>
              <w:ind w:left="280" w:right="101" w:hanging="178"/>
              <w:jc w:val="both"/>
              <w:rPr>
                <w:sz w:val="20"/>
              </w:rPr>
            </w:pPr>
            <w:r>
              <w:rPr>
                <w:rFonts w:ascii="Wingdings" w:hAnsi="Wingdings"/>
                <w:sz w:val="20"/>
              </w:rPr>
              <w:t></w:t>
            </w:r>
            <w:r>
              <w:rPr>
                <w:sz w:val="20"/>
              </w:rPr>
              <w:t>- Existen prácticas  y valores culturales de los actores que se relacionan con el medio ambiente</w:t>
            </w:r>
          </w:p>
          <w:p>
            <w:pPr>
              <w:pStyle w:val="TableParagraph"/>
              <w:numPr>
                <w:ilvl w:val="0"/>
                <w:numId w:val="190"/>
              </w:numPr>
              <w:tabs>
                <w:tab w:pos="336" w:val="left" w:leader="none"/>
              </w:tabs>
              <w:spacing w:line="240" w:lineRule="auto" w:before="0" w:after="0"/>
              <w:ind w:left="280" w:right="102" w:hanging="177"/>
              <w:jc w:val="both"/>
              <w:rPr>
                <w:sz w:val="20"/>
              </w:rPr>
            </w:pPr>
            <w:r>
              <w:rPr>
                <w:sz w:val="20"/>
              </w:rPr>
              <w:t>Los actores históricos  de la CHPH buscan la sostenibilidad de la</w:t>
            </w:r>
            <w:r>
              <w:rPr>
                <w:spacing w:val="-9"/>
                <w:sz w:val="20"/>
              </w:rPr>
              <w:t> </w:t>
            </w:r>
            <w:r>
              <w:rPr>
                <w:sz w:val="20"/>
              </w:rPr>
              <w:t>cuenca</w:t>
            </w:r>
          </w:p>
        </w:tc>
        <w:tc>
          <w:tcPr>
            <w:tcW w:w="1488" w:type="dxa"/>
            <w:vMerge w:val="restart"/>
          </w:tcPr>
          <w:p>
            <w:pPr/>
          </w:p>
        </w:tc>
        <w:tc>
          <w:tcPr>
            <w:tcW w:w="2818" w:type="dxa"/>
            <w:vMerge w:val="restart"/>
          </w:tcPr>
          <w:p>
            <w:pPr>
              <w:pStyle w:val="TableParagraph"/>
              <w:ind w:right="105"/>
              <w:jc w:val="both"/>
              <w:rPr>
                <w:sz w:val="20"/>
              </w:rPr>
            </w:pPr>
            <w:r>
              <w:rPr>
                <w:sz w:val="20"/>
              </w:rPr>
              <w:t>No reúne ni el 50% en </w:t>
            </w:r>
            <w:r>
              <w:rPr>
                <w:b/>
                <w:sz w:val="20"/>
              </w:rPr>
              <w:t>ninguna </w:t>
            </w:r>
            <w:r>
              <w:rPr>
                <w:sz w:val="20"/>
              </w:rPr>
              <w:t>de las de impacto positivo</w:t>
            </w:r>
          </w:p>
        </w:tc>
        <w:tc>
          <w:tcPr>
            <w:tcW w:w="1409"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19"/>
              </w:rPr>
            </w:pPr>
          </w:p>
          <w:p>
            <w:pPr>
              <w:pStyle w:val="TableParagraph"/>
              <w:spacing w:before="1"/>
              <w:ind w:left="201"/>
              <w:rPr>
                <w:b/>
                <w:sz w:val="20"/>
              </w:rPr>
            </w:pPr>
            <w:r>
              <w:rPr>
                <w:b/>
                <w:sz w:val="20"/>
              </w:rPr>
              <w:t>Deficiente</w:t>
            </w:r>
          </w:p>
        </w:tc>
      </w:tr>
      <w:tr>
        <w:trPr>
          <w:trHeight w:val="1851" w:hRule="exact"/>
        </w:trPr>
        <w:tc>
          <w:tcPr>
            <w:tcW w:w="954" w:type="dxa"/>
            <w:vMerge/>
            <w:tcBorders>
              <w:left w:val="double" w:sz="11" w:space="0" w:color="000000"/>
              <w:bottom w:val="single" w:sz="8" w:space="0" w:color="000000"/>
            </w:tcBorders>
          </w:tcPr>
          <w:p>
            <w:pPr/>
          </w:p>
        </w:tc>
        <w:tc>
          <w:tcPr>
            <w:tcW w:w="1946" w:type="dxa"/>
            <w:vMerge/>
            <w:tcBorders>
              <w:bottom w:val="single" w:sz="8" w:space="0" w:color="000000"/>
            </w:tcBorders>
          </w:tcPr>
          <w:p>
            <w:pPr/>
          </w:p>
        </w:tc>
        <w:tc>
          <w:tcPr>
            <w:tcW w:w="1352" w:type="dxa"/>
            <w:tcBorders>
              <w:bottom w:val="single" w:sz="8" w:space="0" w:color="000000"/>
            </w:tcBorders>
          </w:tcPr>
          <w:p>
            <w:pPr>
              <w:pStyle w:val="TableParagraph"/>
              <w:spacing w:line="230" w:lineRule="exact"/>
              <w:rPr>
                <w:sz w:val="20"/>
              </w:rPr>
            </w:pPr>
            <w:r>
              <w:rPr>
                <w:sz w:val="20"/>
              </w:rPr>
              <w:t>Económico</w:t>
            </w:r>
          </w:p>
        </w:tc>
        <w:tc>
          <w:tcPr>
            <w:tcW w:w="2854" w:type="dxa"/>
            <w:tcBorders>
              <w:bottom w:val="single" w:sz="8" w:space="0" w:color="000000"/>
            </w:tcBorders>
          </w:tcPr>
          <w:p>
            <w:pPr>
              <w:pStyle w:val="TableParagraph"/>
              <w:numPr>
                <w:ilvl w:val="0"/>
                <w:numId w:val="191"/>
              </w:numPr>
              <w:tabs>
                <w:tab w:pos="464" w:val="left" w:leader="none"/>
                <w:tab w:pos="1825" w:val="left" w:leader="none"/>
              </w:tabs>
              <w:spacing w:line="240" w:lineRule="auto" w:before="0" w:after="0"/>
              <w:ind w:left="463" w:right="103" w:hanging="360"/>
              <w:jc w:val="both"/>
              <w:rPr>
                <w:sz w:val="20"/>
              </w:rPr>
            </w:pPr>
            <w:r>
              <w:rPr>
                <w:sz w:val="20"/>
              </w:rPr>
              <w:t>Existen</w:t>
              <w:tab/>
              <w:t>relaciones sociopolíticas entorno a  la  gastronomía</w:t>
            </w:r>
            <w:r>
              <w:rPr>
                <w:spacing w:val="-7"/>
                <w:sz w:val="20"/>
              </w:rPr>
              <w:t> </w:t>
            </w:r>
            <w:r>
              <w:rPr>
                <w:sz w:val="20"/>
              </w:rPr>
              <w:t>regional.</w:t>
            </w:r>
          </w:p>
          <w:p>
            <w:pPr>
              <w:pStyle w:val="TableParagraph"/>
              <w:numPr>
                <w:ilvl w:val="0"/>
                <w:numId w:val="191"/>
              </w:numPr>
              <w:tabs>
                <w:tab w:pos="464" w:val="left" w:leader="none"/>
                <w:tab w:pos="1859" w:val="left" w:leader="none"/>
              </w:tabs>
              <w:spacing w:line="240" w:lineRule="auto" w:before="0" w:after="0"/>
              <w:ind w:left="463" w:right="102" w:hanging="360"/>
              <w:jc w:val="both"/>
              <w:rPr>
                <w:sz w:val="20"/>
              </w:rPr>
            </w:pPr>
            <w:r>
              <w:rPr>
                <w:sz w:val="20"/>
              </w:rPr>
              <w:t>Existen</w:t>
              <w:tab/>
              <w:t>mercados regionales de comida lacustre</w:t>
            </w:r>
          </w:p>
          <w:p>
            <w:pPr>
              <w:pStyle w:val="TableParagraph"/>
              <w:numPr>
                <w:ilvl w:val="0"/>
                <w:numId w:val="191"/>
              </w:numPr>
              <w:tabs>
                <w:tab w:pos="464" w:val="left" w:leader="none"/>
              </w:tabs>
              <w:spacing w:line="228" w:lineRule="exact" w:before="5" w:after="0"/>
              <w:ind w:left="463" w:right="103" w:hanging="360"/>
              <w:jc w:val="both"/>
              <w:rPr>
                <w:sz w:val="20"/>
              </w:rPr>
            </w:pPr>
            <w:r>
              <w:rPr>
                <w:sz w:val="20"/>
              </w:rPr>
              <w:t>Existe equidad en el reparto  de  los  </w:t>
            </w:r>
            <w:r>
              <w:rPr>
                <w:spacing w:val="2"/>
                <w:sz w:val="20"/>
              </w:rPr>
              <w:t> </w:t>
            </w:r>
            <w:r>
              <w:rPr>
                <w:sz w:val="20"/>
              </w:rPr>
              <w:t>recursos</w:t>
            </w:r>
          </w:p>
        </w:tc>
        <w:tc>
          <w:tcPr>
            <w:tcW w:w="1488" w:type="dxa"/>
            <w:vMerge/>
            <w:tcBorders>
              <w:bottom w:val="single" w:sz="8" w:space="0" w:color="000000"/>
            </w:tcBorders>
          </w:tcPr>
          <w:p>
            <w:pPr/>
          </w:p>
        </w:tc>
        <w:tc>
          <w:tcPr>
            <w:tcW w:w="2818" w:type="dxa"/>
            <w:vMerge/>
            <w:tcBorders>
              <w:bottom w:val="single" w:sz="8" w:space="0" w:color="000000"/>
            </w:tcBorders>
          </w:tcPr>
          <w:p>
            <w:pPr/>
          </w:p>
        </w:tc>
        <w:tc>
          <w:tcPr>
            <w:tcW w:w="1409" w:type="dxa"/>
            <w:vMerge/>
            <w:tcBorders>
              <w:bottom w:val="single" w:sz="8" w:space="0" w:color="000000"/>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46"/>
        <w:gridCol w:w="1352"/>
        <w:gridCol w:w="2854"/>
        <w:gridCol w:w="1488"/>
        <w:gridCol w:w="2818"/>
        <w:gridCol w:w="1409"/>
      </w:tblGrid>
      <w:tr>
        <w:trPr>
          <w:trHeight w:val="938" w:hRule="exact"/>
        </w:trPr>
        <w:tc>
          <w:tcPr>
            <w:tcW w:w="954" w:type="dxa"/>
            <w:vMerge w:val="restart"/>
            <w:tcBorders>
              <w:left w:val="double" w:sz="11" w:space="0" w:color="000000"/>
            </w:tcBorders>
          </w:tcPr>
          <w:p>
            <w:pPr/>
          </w:p>
        </w:tc>
        <w:tc>
          <w:tcPr>
            <w:tcW w:w="1946" w:type="dxa"/>
            <w:vMerge w:val="restart"/>
          </w:tcPr>
          <w:p>
            <w:pPr/>
          </w:p>
        </w:tc>
        <w:tc>
          <w:tcPr>
            <w:tcW w:w="1352" w:type="dxa"/>
          </w:tcPr>
          <w:p>
            <w:pPr/>
          </w:p>
        </w:tc>
        <w:tc>
          <w:tcPr>
            <w:tcW w:w="2854" w:type="dxa"/>
          </w:tcPr>
          <w:p>
            <w:pPr>
              <w:pStyle w:val="TableParagraph"/>
              <w:spacing w:before="7"/>
              <w:ind w:left="463"/>
              <w:rPr>
                <w:sz w:val="20"/>
              </w:rPr>
            </w:pPr>
            <w:r>
              <w:rPr>
                <w:sz w:val="20"/>
              </w:rPr>
              <w:t>de la CHPH</w:t>
            </w:r>
          </w:p>
          <w:p>
            <w:pPr>
              <w:pStyle w:val="TableParagraph"/>
              <w:numPr>
                <w:ilvl w:val="0"/>
                <w:numId w:val="192"/>
              </w:numPr>
              <w:tabs>
                <w:tab w:pos="464" w:val="left" w:leader="none"/>
                <w:tab w:pos="1770" w:val="left" w:leader="none"/>
                <w:tab w:pos="2418" w:val="left" w:leader="none"/>
              </w:tabs>
              <w:spacing w:line="240" w:lineRule="auto" w:before="0" w:after="0"/>
              <w:ind w:left="463" w:right="101" w:hanging="360"/>
              <w:jc w:val="both"/>
              <w:rPr>
                <w:sz w:val="20"/>
              </w:rPr>
            </w:pPr>
            <w:r>
              <w:rPr>
                <w:sz w:val="20"/>
              </w:rPr>
              <w:t>Existe</w:t>
              <w:tab/>
              <w:t>planeación económica</w:t>
              <w:tab/>
              <w:tab/>
              <w:t>con articulación entre</w:t>
            </w:r>
            <w:r>
              <w:rPr>
                <w:spacing w:val="-11"/>
                <w:sz w:val="20"/>
              </w:rPr>
              <w:t> </w:t>
            </w:r>
            <w:r>
              <w:rPr>
                <w:sz w:val="20"/>
              </w:rPr>
              <w:t>actores</w:t>
            </w:r>
          </w:p>
        </w:tc>
        <w:tc>
          <w:tcPr>
            <w:tcW w:w="1488" w:type="dxa"/>
          </w:tcPr>
          <w:p>
            <w:pPr/>
          </w:p>
        </w:tc>
        <w:tc>
          <w:tcPr>
            <w:tcW w:w="2818" w:type="dxa"/>
            <w:vMerge w:val="restart"/>
          </w:tcPr>
          <w:p>
            <w:pPr/>
          </w:p>
        </w:tc>
        <w:tc>
          <w:tcPr>
            <w:tcW w:w="1409" w:type="dxa"/>
            <w:vMerge w:val="restart"/>
            <w:tcBorders>
              <w:right w:val="double" w:sz="12" w:space="0" w:color="000000"/>
            </w:tcBorders>
            <w:shd w:val="clear" w:color="auto" w:fill="FF0000"/>
          </w:tcPr>
          <w:p>
            <w:pPr/>
          </w:p>
        </w:tc>
      </w:tr>
      <w:tr>
        <w:trPr>
          <w:trHeight w:val="2773" w:hRule="exact"/>
        </w:trPr>
        <w:tc>
          <w:tcPr>
            <w:tcW w:w="954" w:type="dxa"/>
            <w:vMerge/>
            <w:tcBorders>
              <w:left w:val="double" w:sz="11" w:space="0" w:color="000000"/>
            </w:tcBorders>
          </w:tcPr>
          <w:p>
            <w:pPr/>
          </w:p>
        </w:tc>
        <w:tc>
          <w:tcPr>
            <w:tcW w:w="1946" w:type="dxa"/>
            <w:vMerge/>
          </w:tcPr>
          <w:p>
            <w:pPr/>
          </w:p>
        </w:tc>
        <w:tc>
          <w:tcPr>
            <w:tcW w:w="1352" w:type="dxa"/>
          </w:tcPr>
          <w:p>
            <w:pPr>
              <w:pStyle w:val="TableParagraph"/>
              <w:spacing w:line="230" w:lineRule="exact"/>
              <w:rPr>
                <w:sz w:val="20"/>
              </w:rPr>
            </w:pPr>
            <w:r>
              <w:rPr>
                <w:sz w:val="20"/>
              </w:rPr>
              <w:t>Sociopolítico</w:t>
            </w:r>
          </w:p>
        </w:tc>
        <w:tc>
          <w:tcPr>
            <w:tcW w:w="2854" w:type="dxa"/>
          </w:tcPr>
          <w:p>
            <w:pPr>
              <w:pStyle w:val="TableParagraph"/>
              <w:ind w:left="280" w:right="102" w:hanging="178"/>
              <w:jc w:val="both"/>
              <w:rPr>
                <w:sz w:val="20"/>
              </w:rPr>
            </w:pPr>
            <w:r>
              <w:rPr>
                <w:rFonts w:ascii="Wingdings" w:hAnsi="Wingdings"/>
                <w:sz w:val="20"/>
              </w:rPr>
              <w:t></w:t>
            </w:r>
            <w:r>
              <w:rPr>
                <w:sz w:val="20"/>
              </w:rPr>
              <w:t>Favorece la articulación sociopolítica de actores de la CHPH.</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spacing w:before="1"/>
              <w:rPr>
                <w:sz w:val="20"/>
              </w:rPr>
            </w:pPr>
            <w:r>
              <w:rPr>
                <w:rFonts w:ascii="Wingdings" w:hAnsi="Wingdings"/>
                <w:sz w:val="20"/>
              </w:rPr>
              <w:t></w:t>
            </w:r>
            <w:r>
              <w:rPr>
                <w:sz w:val="20"/>
              </w:rPr>
              <w:t>Fortalece la gobernabilidad</w:t>
            </w:r>
          </w:p>
          <w:p>
            <w:pPr>
              <w:pStyle w:val="TableParagraph"/>
              <w:ind w:left="280" w:right="102" w:hanging="178"/>
              <w:jc w:val="both"/>
              <w:rPr>
                <w:sz w:val="20"/>
              </w:rPr>
            </w:pPr>
            <w:r>
              <w:rPr>
                <w:rFonts w:ascii="Wingdings" w:hAnsi="Wingdings"/>
                <w:sz w:val="20"/>
              </w:rPr>
              <w:t></w:t>
            </w:r>
            <w:r>
              <w:rPr>
                <w:sz w:val="20"/>
              </w:rPr>
              <w:t>Favorece la creación de un Comité intermunicipal de la CHPH con su reglamento</w:t>
            </w:r>
          </w:p>
          <w:p>
            <w:pPr>
              <w:pStyle w:val="TableParagraph"/>
              <w:tabs>
                <w:tab w:pos="1770" w:val="left" w:leader="none"/>
                <w:tab w:pos="2415" w:val="left" w:leader="none"/>
              </w:tabs>
              <w:ind w:left="280" w:right="102"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88" w:type="dxa"/>
          </w:tcPr>
          <w:p>
            <w:pPr/>
          </w:p>
        </w:tc>
        <w:tc>
          <w:tcPr>
            <w:tcW w:w="2818" w:type="dxa"/>
            <w:vMerge/>
          </w:tcPr>
          <w:p>
            <w:pPr/>
          </w:p>
        </w:tc>
        <w:tc>
          <w:tcPr>
            <w:tcW w:w="1409" w:type="dxa"/>
            <w:vMerge/>
            <w:tcBorders>
              <w:right w:val="double" w:sz="12" w:space="0" w:color="000000"/>
            </w:tcBorders>
            <w:shd w:val="clear" w:color="auto" w:fill="FF0000"/>
          </w:tcPr>
          <w:p>
            <w:pPr/>
          </w:p>
        </w:tc>
      </w:tr>
      <w:tr>
        <w:trPr>
          <w:trHeight w:val="2285"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p>
            <w:pPr>
              <w:pStyle w:val="TableParagraph"/>
              <w:spacing w:before="9"/>
              <w:ind w:left="0"/>
              <w:rPr>
                <w:rFonts w:ascii="Times New Roman"/>
                <w:sz w:val="21"/>
              </w:rPr>
            </w:pPr>
          </w:p>
          <w:p>
            <w:pPr>
              <w:pStyle w:val="TableParagraph"/>
              <w:ind w:left="27"/>
              <w:jc w:val="both"/>
              <w:rPr>
                <w:b/>
                <w:sz w:val="22"/>
              </w:rPr>
            </w:pPr>
            <w:r>
              <w:rPr>
                <w:b/>
                <w:sz w:val="22"/>
              </w:rPr>
              <w:t>Interpretación de la anterior gráfica y la tarjeta de valoración:</w:t>
            </w:r>
          </w:p>
          <w:p>
            <w:pPr>
              <w:pStyle w:val="TableParagraph"/>
              <w:spacing w:before="4"/>
              <w:ind w:left="27" w:right="23"/>
              <w:jc w:val="both"/>
              <w:rPr>
                <w:sz w:val="22"/>
              </w:rPr>
            </w:pPr>
            <w:r>
              <w:rPr>
                <w:sz w:val="22"/>
              </w:rPr>
              <w:t>En la gráfica y la tabla anteriores, pudo detectarse que la cultura sociopolítica en los actores históricos de la CHPH tiene un peso importante porque es una estructura histórica que se ha ido consolidando a través del tiempo y que a pesar de que ha existido crecimiento poblacional y conformación de instituciones sociales y gubernamentales en la región, ésta sigue interrelacionándose por medio de prácticas identitarias y valores sociopolíticos recurrentes que garantizan la organización sociopolítica sobre todo de los actores históricos, es por ello que desde la época prehispánica la interrelación sociopolítica de los actores de la CHPH se ve reflejada en la cultura sociopolítica de la región.</w:t>
            </w:r>
          </w:p>
        </w:tc>
      </w:tr>
      <w:tr>
        <w:trPr>
          <w:trHeight w:val="341" w:hRule="exact"/>
        </w:trPr>
        <w:tc>
          <w:tcPr>
            <w:tcW w:w="12822" w:type="dxa"/>
            <w:gridSpan w:val="7"/>
          </w:tcPr>
          <w:p>
            <w:pPr>
              <w:pStyle w:val="TableParagraph"/>
              <w:spacing w:line="248" w:lineRule="exact"/>
              <w:ind w:left="2021" w:right="2026"/>
              <w:jc w:val="center"/>
              <w:rPr>
                <w:b/>
                <w:sz w:val="22"/>
              </w:rPr>
            </w:pPr>
            <w:r>
              <w:rPr>
                <w:b/>
                <w:sz w:val="22"/>
              </w:rPr>
              <w:t>VENTAJAS DEL</w:t>
            </w:r>
            <w:r>
              <w:rPr>
                <w:b/>
                <w:spacing w:val="-12"/>
                <w:sz w:val="22"/>
              </w:rPr>
              <w:t> </w:t>
            </w:r>
            <w:r>
              <w:rPr>
                <w:b/>
                <w:sz w:val="22"/>
              </w:rPr>
              <w:t>INDICADOR</w:t>
            </w:r>
          </w:p>
        </w:tc>
      </w:tr>
      <w:tr>
        <w:trPr>
          <w:trHeight w:val="768" w:hRule="exact"/>
        </w:trPr>
        <w:tc>
          <w:tcPr>
            <w:tcW w:w="12822" w:type="dxa"/>
            <w:gridSpan w:val="7"/>
          </w:tcPr>
          <w:p>
            <w:pPr>
              <w:pStyle w:val="TableParagraph"/>
              <w:spacing w:line="251" w:lineRule="exact"/>
              <w:ind w:left="65" w:right="57"/>
              <w:rPr>
                <w:sz w:val="22"/>
              </w:rPr>
            </w:pPr>
            <w:r>
              <w:rPr>
                <w:sz w:val="22"/>
              </w:rPr>
              <w:t>Permitió identificar el tejido sociopolítico histórico de la CHPH que permite o inhibe la interrelación social entre actores.</w:t>
            </w:r>
          </w:p>
          <w:p>
            <w:pPr>
              <w:pStyle w:val="TableParagraph"/>
              <w:spacing w:before="1"/>
              <w:ind w:left="65" w:right="57"/>
              <w:rPr>
                <w:sz w:val="22"/>
              </w:rPr>
            </w:pPr>
            <w:r>
              <w:rPr>
                <w:sz w:val="22"/>
              </w:rPr>
              <w:t>- Sirvió de guía de explicación para la elaboración de la propuesta de creación de un Comité Intermunicipal con su reglamento en la CHPH.</w:t>
            </w:r>
          </w:p>
        </w:tc>
      </w:tr>
      <w:tr>
        <w:trPr>
          <w:trHeight w:val="341" w:hRule="exact"/>
        </w:trPr>
        <w:tc>
          <w:tcPr>
            <w:tcW w:w="12822" w:type="dxa"/>
            <w:gridSpan w:val="7"/>
          </w:tcPr>
          <w:p>
            <w:pPr>
              <w:pStyle w:val="TableParagraph"/>
              <w:spacing w:line="251" w:lineRule="exact"/>
              <w:ind w:left="2021" w:right="2026"/>
              <w:jc w:val="center"/>
              <w:rPr>
                <w:b/>
                <w:sz w:val="22"/>
              </w:rPr>
            </w:pPr>
            <w:r>
              <w:rPr>
                <w:b/>
                <w:sz w:val="22"/>
              </w:rPr>
              <w:t>DESVENTAJAS DEL</w:t>
            </w:r>
            <w:r>
              <w:rPr>
                <w:b/>
                <w:spacing w:val="-14"/>
                <w:sz w:val="22"/>
              </w:rPr>
              <w:t> </w:t>
            </w:r>
            <w:r>
              <w:rPr>
                <w:b/>
                <w:sz w:val="22"/>
              </w:rPr>
              <w:t>INDICADOR</w:t>
            </w:r>
          </w:p>
        </w:tc>
      </w:tr>
      <w:tr>
        <w:trPr>
          <w:trHeight w:val="516" w:hRule="exact"/>
        </w:trPr>
        <w:tc>
          <w:tcPr>
            <w:tcW w:w="12822" w:type="dxa"/>
            <w:gridSpan w:val="7"/>
          </w:tcPr>
          <w:p>
            <w:pPr>
              <w:pStyle w:val="TableParagraph"/>
              <w:spacing w:line="242" w:lineRule="auto"/>
              <w:ind w:left="65" w:right="57"/>
              <w:rPr>
                <w:sz w:val="22"/>
              </w:rPr>
            </w:pPr>
            <w:r>
              <w:rPr>
                <w:sz w:val="22"/>
              </w:rPr>
              <w:t>- La cultura sociopolítica en la CHPH, si bien está consolidada por la historia, ésta también ha sido trastocada por los procesos políticos nacionales e internacionales que limitan a veces la articulación social de la región.</w:t>
            </w:r>
          </w:p>
        </w:tc>
      </w:tr>
    </w:tbl>
    <w:p>
      <w:pPr>
        <w:spacing w:after="0" w:line="242" w:lineRule="auto"/>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63" w:right="105"/>
              <w:rPr>
                <w:b/>
                <w:sz w:val="22"/>
              </w:rPr>
            </w:pPr>
            <w:r>
              <w:rPr>
                <w:b/>
                <w:sz w:val="22"/>
              </w:rPr>
              <w:t>Democracia y voluntariedad</w:t>
            </w:r>
          </w:p>
        </w:tc>
        <w:tc>
          <w:tcPr>
            <w:tcW w:w="3277" w:type="dxa"/>
            <w:gridSpan w:val="3"/>
            <w:vMerge w:val="restart"/>
          </w:tcPr>
          <w:p>
            <w:pPr>
              <w:pStyle w:val="TableParagraph"/>
              <w:ind w:left="100" w:right="100"/>
              <w:jc w:val="both"/>
              <w:rPr>
                <w:b/>
                <w:sz w:val="22"/>
              </w:rPr>
            </w:pPr>
            <w:r>
              <w:rPr>
                <w:b/>
                <w:sz w:val="22"/>
              </w:rPr>
              <w:t>Identificar la voluntad de los actores de la CHPH para participar en la toma de decisiones colectivas de la región.</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67"/>
              <w:rPr>
                <w:b/>
                <w:sz w:val="22"/>
              </w:rPr>
            </w:pPr>
            <w:r>
              <w:rPr>
                <w:b/>
                <w:sz w:val="22"/>
              </w:rPr>
              <w:t>0.930/ 18.055</w:t>
            </w:r>
          </w:p>
        </w:tc>
        <w:tc>
          <w:tcPr>
            <w:tcW w:w="1985" w:type="dxa"/>
            <w:gridSpan w:val="2"/>
          </w:tcPr>
          <w:p>
            <w:pPr>
              <w:pStyle w:val="TableParagraph"/>
              <w:spacing w:line="248" w:lineRule="exact"/>
              <w:ind w:left="1" w:right="2"/>
              <w:jc w:val="center"/>
              <w:rPr>
                <w:b/>
                <w:sz w:val="22"/>
              </w:rPr>
            </w:pPr>
            <w:r>
              <w:rPr>
                <w:b/>
                <w:sz w:val="22"/>
              </w:rPr>
              <w:t>5.15%</w:t>
            </w:r>
          </w:p>
        </w:tc>
        <w:tc>
          <w:tcPr>
            <w:tcW w:w="2268" w:type="dxa"/>
            <w:gridSpan w:val="2"/>
          </w:tcPr>
          <w:p>
            <w:pPr>
              <w:pStyle w:val="TableParagraph"/>
              <w:spacing w:line="248" w:lineRule="exact"/>
              <w:ind w:left="136" w:right="136"/>
              <w:jc w:val="center"/>
              <w:rPr>
                <w:b/>
                <w:sz w:val="22"/>
              </w:rPr>
            </w:pPr>
            <w:r>
              <w:rPr>
                <w:b/>
                <w:sz w:val="22"/>
              </w:rPr>
              <w:t>16.875</w:t>
            </w:r>
          </w:p>
        </w:tc>
        <w:tc>
          <w:tcPr>
            <w:tcW w:w="3274" w:type="dxa"/>
            <w:gridSpan w:val="5"/>
            <w:vMerge/>
          </w:tcPr>
          <w:p>
            <w:pPr/>
          </w:p>
        </w:tc>
        <w:tc>
          <w:tcPr>
            <w:tcW w:w="3277" w:type="dxa"/>
            <w:gridSpan w:val="3"/>
            <w:vMerge/>
          </w:tcPr>
          <w:p>
            <w:pPr/>
          </w:p>
        </w:tc>
      </w:tr>
      <w:tr>
        <w:trPr>
          <w:trHeight w:val="262" w:hRule="exact"/>
        </w:trPr>
        <w:tc>
          <w:tcPr>
            <w:tcW w:w="2093" w:type="dxa"/>
            <w:gridSpan w:val="2"/>
            <w:tcBorders>
              <w:right w:val="single" w:sz="41" w:space="0" w:color="D99493"/>
            </w:tcBorders>
          </w:tcPr>
          <w:p>
            <w:pPr>
              <w:pStyle w:val="TableParagraph"/>
              <w:spacing w:line="248" w:lineRule="exact"/>
              <w:ind w:left="45"/>
              <w:jc w:val="center"/>
              <w:rPr>
                <w:b/>
                <w:sz w:val="22"/>
              </w:rPr>
            </w:pPr>
            <w:r>
              <w:rPr>
                <w:b/>
                <w:w w:val="100"/>
                <w:sz w:val="22"/>
              </w:rPr>
              <w:t>1</w:t>
            </w:r>
          </w:p>
        </w:tc>
        <w:tc>
          <w:tcPr>
            <w:tcW w:w="1985" w:type="dxa"/>
            <w:gridSpan w:val="2"/>
            <w:shd w:val="clear" w:color="auto" w:fill="D99493"/>
          </w:tcPr>
          <w:p>
            <w:pPr>
              <w:pStyle w:val="TableParagraph"/>
              <w:spacing w:line="248" w:lineRule="exact"/>
              <w:ind w:left="0"/>
              <w:jc w:val="center"/>
              <w:rPr>
                <w:b/>
                <w:sz w:val="22"/>
              </w:rPr>
            </w:pPr>
            <w:r>
              <w:rPr>
                <w:b/>
                <w:w w:val="100"/>
                <w:sz w:val="22"/>
              </w:rPr>
              <w:t>2</w:t>
            </w:r>
          </w:p>
        </w:tc>
        <w:tc>
          <w:tcPr>
            <w:tcW w:w="2268" w:type="dxa"/>
            <w:gridSpan w:val="2"/>
            <w:tcBorders>
              <w:left w:val="thickThinMediumGap" w:sz="23" w:space="0" w:color="D99493"/>
              <w:right w:val="single" w:sz="41" w:space="0" w:color="D99493"/>
            </w:tcBorders>
          </w:tcPr>
          <w:p>
            <w:pPr>
              <w:pStyle w:val="TableParagraph"/>
              <w:spacing w:line="248" w:lineRule="exact"/>
              <w:ind w:left="0" w:right="2"/>
              <w:jc w:val="center"/>
              <w:rPr>
                <w:b/>
                <w:sz w:val="22"/>
              </w:rPr>
            </w:pPr>
            <w:r>
              <w:rPr>
                <w:b/>
                <w:w w:val="100"/>
                <w:sz w:val="22"/>
              </w:rPr>
              <w:t>3</w:t>
            </w:r>
          </w:p>
        </w:tc>
        <w:tc>
          <w:tcPr>
            <w:tcW w:w="1701" w:type="dxa"/>
            <w:gridSpan w:val="2"/>
            <w:shd w:val="clear" w:color="auto" w:fill="D99493"/>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D99493"/>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1" w:right="492"/>
              <w:jc w:val="center"/>
              <w:rPr>
                <w:b/>
                <w:sz w:val="22"/>
              </w:rPr>
            </w:pPr>
            <w:r>
              <w:rPr>
                <w:b/>
                <w:sz w:val="22"/>
              </w:rPr>
              <w:t>85</w:t>
            </w:r>
          </w:p>
        </w:tc>
        <w:tc>
          <w:tcPr>
            <w:tcW w:w="2127" w:type="dxa"/>
            <w:gridSpan w:val="3"/>
            <w:shd w:val="clear" w:color="auto" w:fill="92CDDC"/>
          </w:tcPr>
          <w:p>
            <w:pPr>
              <w:pStyle w:val="TableParagraph"/>
              <w:spacing w:line="248" w:lineRule="exact"/>
              <w:ind w:left="916" w:right="916"/>
              <w:jc w:val="center"/>
              <w:rPr>
                <w:b/>
                <w:sz w:val="22"/>
              </w:rPr>
            </w:pPr>
            <w:r>
              <w:rPr>
                <w:b/>
                <w:sz w:val="22"/>
              </w:rPr>
              <w:t>38</w:t>
            </w:r>
          </w:p>
        </w:tc>
        <w:tc>
          <w:tcPr>
            <w:tcW w:w="2410" w:type="dxa"/>
            <w:gridSpan w:val="3"/>
            <w:shd w:val="clear" w:color="auto" w:fill="92CDDC"/>
          </w:tcPr>
          <w:p>
            <w:pPr>
              <w:pStyle w:val="TableParagraph"/>
              <w:spacing w:line="248" w:lineRule="exact"/>
              <w:ind w:left="782" w:right="779"/>
              <w:jc w:val="center"/>
              <w:rPr>
                <w:b/>
                <w:sz w:val="22"/>
              </w:rPr>
            </w:pPr>
            <w:r>
              <w:rPr>
                <w:b/>
                <w:sz w:val="22"/>
              </w:rPr>
              <w:t>0.0625</w:t>
            </w:r>
          </w:p>
        </w:tc>
        <w:tc>
          <w:tcPr>
            <w:tcW w:w="1844" w:type="dxa"/>
            <w:gridSpan w:val="2"/>
            <w:shd w:val="clear" w:color="auto" w:fill="F9BE8F"/>
          </w:tcPr>
          <w:p>
            <w:pPr>
              <w:pStyle w:val="TableParagraph"/>
              <w:spacing w:line="248" w:lineRule="exact"/>
              <w:ind w:left="774" w:right="774"/>
              <w:jc w:val="center"/>
              <w:rPr>
                <w:b/>
                <w:sz w:val="22"/>
              </w:rPr>
            </w:pPr>
            <w:r>
              <w:rPr>
                <w:b/>
                <w:sz w:val="22"/>
              </w:rPr>
              <w:t>40</w:t>
            </w:r>
          </w:p>
        </w:tc>
        <w:tc>
          <w:tcPr>
            <w:tcW w:w="2126" w:type="dxa"/>
            <w:gridSpan w:val="3"/>
            <w:shd w:val="clear" w:color="auto" w:fill="F9BE8F"/>
          </w:tcPr>
          <w:p>
            <w:pPr>
              <w:pStyle w:val="TableParagraph"/>
              <w:spacing w:line="248" w:lineRule="exact"/>
              <w:ind w:left="0"/>
              <w:jc w:val="center"/>
              <w:rPr>
                <w:b/>
                <w:sz w:val="22"/>
              </w:rPr>
            </w:pPr>
            <w:r>
              <w:rPr>
                <w:b/>
                <w:w w:val="100"/>
                <w:sz w:val="22"/>
              </w:rPr>
              <w:t>4</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Voluntad, actores, CHPH, participación, decisiones colectivas, región.</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1022" w:hRule="exact"/>
        </w:trPr>
        <w:tc>
          <w:tcPr>
            <w:tcW w:w="12897" w:type="dxa"/>
            <w:gridSpan w:val="14"/>
          </w:tcPr>
          <w:p>
            <w:pPr>
              <w:pStyle w:val="TableParagraph"/>
              <w:ind w:right="99"/>
              <w:jc w:val="both"/>
              <w:rPr>
                <w:sz w:val="22"/>
              </w:rPr>
            </w:pPr>
            <w:r>
              <w:rPr>
                <w:sz w:val="22"/>
              </w:rPr>
              <w:t>Expresión de los deseos sociopolíticos y la voluntad de los actores de la CHPH para participar en la toma de decisiones colectivas de la región y como alternativa de solución local, ya que los principios de poder externos responden a intereses nacionales e internacionales. (Romero, et al., 2012; Palerm, 1993; Bobbio, 1999; Bovero, 2002; Sartori, 1993 y García, TC:</w:t>
            </w:r>
            <w:r>
              <w:rPr>
                <w:spacing w:val="33"/>
                <w:sz w:val="22"/>
              </w:rPr>
              <w:t> </w:t>
            </w:r>
            <w:r>
              <w:rPr>
                <w:sz w:val="22"/>
              </w:rPr>
              <w:t>2013-</w:t>
            </w:r>
          </w:p>
          <w:p>
            <w:pPr>
              <w:pStyle w:val="TableParagraph"/>
              <w:spacing w:before="1"/>
              <w:jc w:val="both"/>
              <w:rPr>
                <w:sz w:val="22"/>
              </w:rPr>
            </w:pPr>
            <w:r>
              <w:rPr>
                <w:sz w:val="22"/>
              </w:rPr>
              <w:t>2015).</w:t>
            </w:r>
          </w:p>
        </w:tc>
      </w:tr>
      <w:tr>
        <w:trPr>
          <w:trHeight w:val="264"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9"/>
          </w:tcPr>
          <w:p>
            <w:pPr>
              <w:pStyle w:val="TableParagraph"/>
              <w:spacing w:line="248" w:lineRule="exact"/>
              <w:ind w:left="2419" w:right="108"/>
              <w:rPr>
                <w:b/>
                <w:sz w:val="22"/>
              </w:rPr>
            </w:pPr>
            <w:r>
              <w:rPr>
                <w:b/>
                <w:sz w:val="22"/>
              </w:rPr>
              <w:t>Definición de la unidad de medición</w:t>
            </w:r>
          </w:p>
        </w:tc>
      </w:tr>
      <w:tr>
        <w:trPr>
          <w:trHeight w:val="1023" w:hRule="exact"/>
        </w:trPr>
        <w:tc>
          <w:tcPr>
            <w:tcW w:w="4295" w:type="dxa"/>
            <w:gridSpan w:val="5"/>
          </w:tcPr>
          <w:p>
            <w:pPr>
              <w:pStyle w:val="TableParagraph"/>
              <w:ind w:right="99"/>
              <w:jc w:val="both"/>
              <w:rPr>
                <w:b/>
                <w:sz w:val="22"/>
              </w:rPr>
            </w:pPr>
            <w:r>
              <w:rPr>
                <w:b/>
                <w:sz w:val="22"/>
              </w:rPr>
              <w:t>Voluntad de los actores de la CHPH para participar en decisiones colectivas (adimensional).</w:t>
            </w:r>
          </w:p>
        </w:tc>
        <w:tc>
          <w:tcPr>
            <w:tcW w:w="8603" w:type="dxa"/>
            <w:gridSpan w:val="9"/>
          </w:tcPr>
          <w:p>
            <w:pPr>
              <w:pStyle w:val="TableParagraph"/>
              <w:spacing w:line="252" w:lineRule="exact" w:before="2"/>
              <w:ind w:right="108"/>
              <w:rPr>
                <w:sz w:val="22"/>
              </w:rPr>
            </w:pPr>
            <w:r>
              <w:rPr>
                <w:sz w:val="22"/>
              </w:rPr>
              <w:t>Manifestaciones sociopolíticas formales e informales de los actores de la CHPH para participar en las decisiones colectivas.</w:t>
            </w:r>
          </w:p>
          <w:p>
            <w:pPr>
              <w:pStyle w:val="TableParagraph"/>
              <w:ind w:right="108"/>
              <w:rPr>
                <w:sz w:val="22"/>
              </w:rPr>
            </w:pPr>
            <w:r>
              <w:rPr>
                <w:sz w:val="22"/>
              </w:rPr>
              <w:t>(Ejemplo: deseo de participación en la solución del problema de la contaminación en la presa Huapango).</w:t>
            </w:r>
          </w:p>
        </w:tc>
      </w:tr>
    </w:tbl>
    <w:p>
      <w:pPr>
        <w:spacing w:after="0"/>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27.7pt;mso-position-horizontal-relative:page;mso-position-vertical-relative:page;z-index:-3329680"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686;top:2336;width:12170;height:7629" type="#_x0000_t75" stroked="false">
              <v:imagedata r:id="rId414" o:title=""/>
            </v:shape>
            <w10:wrap type="none"/>
          </v:group>
        </w:pict>
      </w:r>
    </w:p>
    <w:p>
      <w:pPr>
        <w:pStyle w:val="BodyText"/>
        <w:spacing w:before="11"/>
        <w:rPr>
          <w:rFonts w:ascii="Times New Roman"/>
        </w:rPr>
      </w:pPr>
    </w:p>
    <w:p>
      <w:pPr>
        <w:pStyle w:val="Heading6"/>
        <w:spacing w:before="73"/>
        <w:ind w:left="5782" w:right="883"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3768">
            <wp:simplePos x="0" y="0"/>
            <wp:positionH relativeFrom="page">
              <wp:posOffset>876300</wp:posOffset>
            </wp:positionH>
            <wp:positionV relativeFrom="page">
              <wp:posOffset>1735454</wp:posOffset>
            </wp:positionV>
            <wp:extent cx="5498157" cy="2401062"/>
            <wp:effectExtent l="0" t="0" r="0" b="0"/>
            <wp:wrapNone/>
            <wp:docPr id="73" name="image286.png" descr=""/>
            <wp:cNvGraphicFramePr>
              <a:graphicFrameLocks noChangeAspect="1"/>
            </wp:cNvGraphicFramePr>
            <a:graphic>
              <a:graphicData uri="http://schemas.openxmlformats.org/drawingml/2006/picture">
                <pic:pic>
                  <pic:nvPicPr>
                    <pic:cNvPr id="74" name="image286.png"/>
                    <pic:cNvPicPr/>
                  </pic:nvPicPr>
                  <pic:blipFill>
                    <a:blip r:embed="rId415" cstate="print"/>
                    <a:stretch>
                      <a:fillRect/>
                    </a:stretch>
                  </pic:blipFill>
                  <pic:spPr>
                    <a:xfrm>
                      <a:off x="0" y="0"/>
                      <a:ext cx="5498157" cy="2401062"/>
                    </a:xfrm>
                    <a:prstGeom prst="rect">
                      <a:avLst/>
                    </a:prstGeom>
                  </pic:spPr>
                </pic:pic>
              </a:graphicData>
            </a:graphic>
          </wp:anchor>
        </w:drawing>
      </w:r>
      <w:r>
        <w:rPr/>
        <w:pict>
          <v:shape style="position:absolute;margin-left:524.830017pt;margin-top:148.460007pt;width:127.5pt;height:145.25pt;mso-position-horizontal-relative:page;mso-position-vertical-relative:page;z-index:137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4" w:hRule="exact"/>
                    </w:trPr>
                    <w:tc>
                      <w:tcPr>
                        <w:tcW w:w="1034" w:type="dxa"/>
                      </w:tcPr>
                      <w:p>
                        <w:pPr>
                          <w:pStyle w:val="TableParagraph"/>
                          <w:spacing w:line="248" w:lineRule="exact"/>
                          <w:rPr>
                            <w:b/>
                            <w:sz w:val="22"/>
                          </w:rPr>
                        </w:pPr>
                        <w:r>
                          <w:rPr>
                            <w:b/>
                            <w:sz w:val="22"/>
                          </w:rPr>
                          <w:t>Período</w:t>
                        </w:r>
                      </w:p>
                    </w:tc>
                    <w:tc>
                      <w:tcPr>
                        <w:tcW w:w="1501" w:type="dxa"/>
                      </w:tcPr>
                      <w:p>
                        <w:pPr>
                          <w:pStyle w:val="TableParagraph"/>
                          <w:spacing w:line="248" w:lineRule="exact"/>
                          <w:rPr>
                            <w:b/>
                            <w:sz w:val="22"/>
                          </w:rPr>
                        </w:pPr>
                        <w:r>
                          <w:rPr>
                            <w:b/>
                            <w:sz w:val="22"/>
                          </w:rPr>
                          <w:t>Calificación</w:t>
                        </w:r>
                      </w:p>
                    </w:tc>
                  </w:tr>
                  <w:tr>
                    <w:trPr>
                      <w:trHeight w:val="262"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Excelente</w:t>
                        </w:r>
                      </w:p>
                    </w:tc>
                  </w:tr>
                  <w:tr>
                    <w:trPr>
                      <w:trHeight w:val="264"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rPr>
                            <w:sz w:val="22"/>
                          </w:rPr>
                        </w:pPr>
                        <w:r>
                          <w:rPr>
                            <w:sz w:val="22"/>
                          </w:rPr>
                          <w:t>1785</w:t>
                        </w:r>
                      </w:p>
                    </w:tc>
                    <w:tc>
                      <w:tcPr>
                        <w:tcW w:w="1501" w:type="dxa"/>
                      </w:tcPr>
                      <w:p>
                        <w:pPr>
                          <w:pStyle w:val="TableParagraph"/>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1810</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1861</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rPr>
                            <w:sz w:val="22"/>
                          </w:rPr>
                        </w:pPr>
                        <w:r>
                          <w:rPr>
                            <w:sz w:val="22"/>
                          </w:rPr>
                          <w:t>Bueno</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946"/>
        <w:gridCol w:w="1352"/>
        <w:gridCol w:w="2849"/>
        <w:gridCol w:w="1488"/>
        <w:gridCol w:w="2679"/>
        <w:gridCol w:w="1550"/>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310" w:hRule="exact"/>
        </w:trPr>
        <w:tc>
          <w:tcPr>
            <w:tcW w:w="12822" w:type="dxa"/>
            <w:gridSpan w:val="7"/>
          </w:tcPr>
          <w:p>
            <w:pPr>
              <w:pStyle w:val="TableParagraph"/>
              <w:spacing w:line="242" w:lineRule="auto"/>
              <w:ind w:left="27" w:right="57"/>
              <w:rPr>
                <w:sz w:val="22"/>
              </w:rPr>
            </w:pPr>
            <w:r>
              <w:rPr>
                <w:sz w:val="22"/>
              </w:rPr>
              <w:t>Para identificar la escasa participación directa de los actores históricos de la CHPH en la toma de decisiones de carácter  ambiental a través del tiempo se elaboró la siguiente</w:t>
            </w:r>
            <w:r>
              <w:rPr>
                <w:spacing w:val="-14"/>
                <w:sz w:val="22"/>
              </w:rPr>
              <w:t> </w:t>
            </w:r>
            <w:r>
              <w:rPr>
                <w:sz w:val="22"/>
              </w:rPr>
              <w:t>gráfica:</w:t>
            </w:r>
          </w:p>
          <w:p>
            <w:pPr>
              <w:pStyle w:val="TableParagraph"/>
              <w:spacing w:line="247" w:lineRule="exact"/>
              <w:ind w:left="3697" w:right="57"/>
              <w:rPr>
                <w:b/>
                <w:sz w:val="22"/>
              </w:rPr>
            </w:pPr>
            <w:r>
              <w:rPr>
                <w:b/>
                <w:sz w:val="22"/>
              </w:rPr>
              <w:t>Gráfica 7.12.</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0"/>
              </w:rPr>
            </w:pPr>
          </w:p>
          <w:p>
            <w:pPr>
              <w:pStyle w:val="TableParagraph"/>
              <w:spacing w:line="51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7"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946" w:type="dxa"/>
            <w:vMerge w:val="restart"/>
          </w:tcPr>
          <w:p>
            <w:pPr>
              <w:pStyle w:val="TableParagraph"/>
              <w:ind w:right="102"/>
              <w:jc w:val="both"/>
              <w:rPr>
                <w:sz w:val="20"/>
              </w:rPr>
            </w:pPr>
            <w:r>
              <w:rPr>
                <w:sz w:val="20"/>
              </w:rPr>
              <w:t>Clasificación por número de eventos en el período</w:t>
            </w:r>
          </w:p>
        </w:tc>
        <w:tc>
          <w:tcPr>
            <w:tcW w:w="8368" w:type="dxa"/>
            <w:gridSpan w:val="4"/>
          </w:tcPr>
          <w:p>
            <w:pPr>
              <w:pStyle w:val="TableParagraph"/>
              <w:spacing w:line="242" w:lineRule="auto"/>
              <w:ind w:right="102"/>
              <w:rPr>
                <w:sz w:val="20"/>
              </w:rPr>
            </w:pPr>
            <w:r>
              <w:rPr>
                <w:sz w:val="20"/>
              </w:rPr>
              <w:t>Clasificación por </w:t>
            </w:r>
            <w:r>
              <w:rPr>
                <w:b/>
                <w:sz w:val="20"/>
              </w:rPr>
              <w:t>características de impacto positivo o negativo </w:t>
            </w:r>
            <w:r>
              <w:rPr>
                <w:sz w:val="20"/>
              </w:rPr>
              <w:t>en los ámbitos ambiental-sociopolítico-económico</w:t>
            </w:r>
          </w:p>
        </w:tc>
        <w:tc>
          <w:tcPr>
            <w:tcW w:w="1550" w:type="dxa"/>
            <w:vMerge w:val="restart"/>
            <w:tcBorders>
              <w:right w:val="double" w:sz="12" w:space="0" w:color="000000"/>
            </w:tcBorders>
          </w:tcPr>
          <w:p>
            <w:pPr>
              <w:pStyle w:val="TableParagraph"/>
              <w:spacing w:before="117"/>
              <w:ind w:left="197" w:right="198"/>
              <w:jc w:val="center"/>
              <w:rPr>
                <w:sz w:val="20"/>
              </w:rPr>
            </w:pPr>
            <w:r>
              <w:rPr>
                <w:w w:val="95"/>
                <w:sz w:val="20"/>
              </w:rPr>
              <w:t>Clasificación </w:t>
            </w:r>
            <w:r>
              <w:rPr>
                <w:sz w:val="20"/>
              </w:rPr>
              <w:t>de la calificación</w:t>
            </w:r>
          </w:p>
        </w:tc>
      </w:tr>
      <w:tr>
        <w:trPr>
          <w:trHeight w:val="480" w:hRule="exact"/>
        </w:trPr>
        <w:tc>
          <w:tcPr>
            <w:tcW w:w="957" w:type="dxa"/>
            <w:vMerge/>
            <w:tcBorders>
              <w:left w:val="double" w:sz="11" w:space="0" w:color="000000"/>
              <w:bottom w:val="single" w:sz="8" w:space="0" w:color="000000"/>
            </w:tcBorders>
          </w:tcPr>
          <w:p>
            <w:pPr/>
          </w:p>
        </w:tc>
        <w:tc>
          <w:tcPr>
            <w:tcW w:w="1946" w:type="dxa"/>
            <w:vMerge/>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Subsistema</w:t>
            </w:r>
          </w:p>
        </w:tc>
        <w:tc>
          <w:tcPr>
            <w:tcW w:w="2849" w:type="dxa"/>
            <w:tcBorders>
              <w:bottom w:val="single" w:sz="8" w:space="0" w:color="000000"/>
            </w:tcBorders>
          </w:tcPr>
          <w:p>
            <w:pPr>
              <w:pStyle w:val="TableParagraph"/>
              <w:spacing w:line="227" w:lineRule="exact"/>
              <w:rPr>
                <w:sz w:val="20"/>
              </w:rPr>
            </w:pPr>
            <w:r>
              <w:rPr>
                <w:sz w:val="20"/>
              </w:rPr>
              <w:t>características</w:t>
            </w:r>
          </w:p>
        </w:tc>
        <w:tc>
          <w:tcPr>
            <w:tcW w:w="1488" w:type="dxa"/>
            <w:tcBorders>
              <w:bottom w:val="single" w:sz="8" w:space="0" w:color="000000"/>
            </w:tcBorders>
          </w:tcPr>
          <w:p>
            <w:pPr>
              <w:pStyle w:val="TableParagraph"/>
              <w:tabs>
                <w:tab w:pos="1151" w:val="left" w:leader="none"/>
              </w:tabs>
              <w:spacing w:line="227" w:lineRule="exact"/>
              <w:rPr>
                <w:sz w:val="20"/>
              </w:rPr>
            </w:pPr>
            <w:r>
              <w:rPr>
                <w:sz w:val="20"/>
              </w:rPr>
              <w:t>%</w:t>
              <w:tab/>
              <w:t>de</w:t>
            </w:r>
          </w:p>
          <w:p>
            <w:pPr>
              <w:pStyle w:val="TableParagraph"/>
              <w:rPr>
                <w:sz w:val="20"/>
              </w:rPr>
            </w:pPr>
            <w:r>
              <w:rPr>
                <w:sz w:val="20"/>
              </w:rPr>
              <w:t>cumplimiento</w:t>
            </w:r>
          </w:p>
        </w:tc>
        <w:tc>
          <w:tcPr>
            <w:tcW w:w="2679" w:type="dxa"/>
            <w:tcBorders>
              <w:bottom w:val="single" w:sz="8" w:space="0" w:color="000000"/>
            </w:tcBorders>
          </w:tcPr>
          <w:p>
            <w:pPr>
              <w:pStyle w:val="TableParagraph"/>
              <w:spacing w:line="227" w:lineRule="exact"/>
              <w:rPr>
                <w:sz w:val="20"/>
              </w:rPr>
            </w:pPr>
            <w:r>
              <w:rPr>
                <w:sz w:val="20"/>
              </w:rPr>
              <w:t>Observaciones</w:t>
            </w:r>
          </w:p>
        </w:tc>
        <w:tc>
          <w:tcPr>
            <w:tcW w:w="1550" w:type="dxa"/>
            <w:vMerge/>
            <w:tcBorders>
              <w:bottom w:val="single" w:sz="8"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946"/>
        <w:gridCol w:w="1352"/>
        <w:gridCol w:w="2849"/>
        <w:gridCol w:w="1488"/>
        <w:gridCol w:w="2679"/>
        <w:gridCol w:w="1550"/>
      </w:tblGrid>
      <w:tr>
        <w:trPr>
          <w:trHeight w:val="3241" w:hRule="exact"/>
        </w:trPr>
        <w:tc>
          <w:tcPr>
            <w:tcW w:w="957"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232"/>
              <w:rPr>
                <w:sz w:val="20"/>
              </w:rPr>
            </w:pPr>
            <w:r>
              <w:rPr>
                <w:sz w:val="20"/>
              </w:rPr>
              <w:t>1400</w:t>
            </w:r>
          </w:p>
        </w:tc>
        <w:tc>
          <w:tcPr>
            <w:tcW w:w="194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2"/>
              <w:jc w:val="center"/>
              <w:rPr>
                <w:b/>
                <w:sz w:val="20"/>
              </w:rPr>
            </w:pPr>
            <w:r>
              <w:rPr>
                <w:b/>
                <w:w w:val="99"/>
                <w:sz w:val="20"/>
              </w:rPr>
              <w:t>1</w:t>
            </w:r>
          </w:p>
        </w:tc>
        <w:tc>
          <w:tcPr>
            <w:tcW w:w="1352" w:type="dxa"/>
          </w:tcPr>
          <w:p>
            <w:pPr>
              <w:pStyle w:val="TableParagraph"/>
              <w:spacing w:before="7"/>
              <w:rPr>
                <w:sz w:val="20"/>
              </w:rPr>
            </w:pPr>
            <w:r>
              <w:rPr>
                <w:sz w:val="20"/>
              </w:rPr>
              <w:t>Ambiental</w:t>
            </w:r>
          </w:p>
        </w:tc>
        <w:tc>
          <w:tcPr>
            <w:tcW w:w="2849" w:type="dxa"/>
          </w:tcPr>
          <w:p>
            <w:pPr>
              <w:pStyle w:val="TableParagraph"/>
              <w:numPr>
                <w:ilvl w:val="0"/>
                <w:numId w:val="193"/>
              </w:numPr>
              <w:tabs>
                <w:tab w:pos="812" w:val="left" w:leader="none"/>
              </w:tabs>
              <w:spacing w:line="240" w:lineRule="auto" w:before="7" w:after="0"/>
              <w:ind w:left="280" w:right="101" w:hanging="141"/>
              <w:jc w:val="both"/>
              <w:rPr>
                <w:sz w:val="20"/>
              </w:rPr>
            </w:pPr>
            <w:r>
              <w:rPr>
                <w:sz w:val="20"/>
              </w:rPr>
              <w:t>Existe voluntad  de los actores de la CHPH para cuidar el medio ambiente</w:t>
            </w:r>
          </w:p>
          <w:p>
            <w:pPr>
              <w:pStyle w:val="TableParagraph"/>
              <w:numPr>
                <w:ilvl w:val="0"/>
                <w:numId w:val="193"/>
              </w:numPr>
              <w:tabs>
                <w:tab w:pos="812" w:val="left" w:leader="none"/>
                <w:tab w:pos="2080" w:val="left" w:leader="none"/>
              </w:tabs>
              <w:spacing w:line="240" w:lineRule="auto" w:before="0" w:after="0"/>
              <w:ind w:left="280" w:right="103" w:hanging="141"/>
              <w:jc w:val="both"/>
              <w:rPr>
                <w:sz w:val="20"/>
              </w:rPr>
            </w:pPr>
            <w:r>
              <w:rPr>
                <w:sz w:val="20"/>
              </w:rPr>
              <w:t>Los</w:t>
              <w:tab/>
            </w:r>
            <w:r>
              <w:rPr>
                <w:w w:val="95"/>
                <w:sz w:val="20"/>
              </w:rPr>
              <w:t>actores </w:t>
            </w:r>
            <w:r>
              <w:rPr>
                <w:sz w:val="20"/>
              </w:rPr>
              <w:t>históricos autogestionan sus propios recursos naturales</w:t>
            </w:r>
          </w:p>
          <w:p>
            <w:pPr>
              <w:pStyle w:val="TableParagraph"/>
              <w:numPr>
                <w:ilvl w:val="0"/>
                <w:numId w:val="193"/>
              </w:numPr>
              <w:tabs>
                <w:tab w:pos="812" w:val="left" w:leader="none"/>
              </w:tabs>
              <w:spacing w:line="240" w:lineRule="auto" w:before="0" w:after="0"/>
              <w:ind w:left="280" w:right="102" w:hanging="141"/>
              <w:jc w:val="both"/>
              <w:rPr>
                <w:sz w:val="20"/>
              </w:rPr>
            </w:pPr>
            <w:r>
              <w:rPr>
                <w:sz w:val="20"/>
              </w:rPr>
              <w:t>Los actores de la CHPH procuran la sostenibilidad de la</w:t>
            </w:r>
            <w:r>
              <w:rPr>
                <w:spacing w:val="-9"/>
                <w:sz w:val="20"/>
              </w:rPr>
              <w:t> </w:t>
            </w:r>
            <w:r>
              <w:rPr>
                <w:sz w:val="20"/>
              </w:rPr>
              <w:t>CHPH</w:t>
            </w:r>
          </w:p>
          <w:p>
            <w:pPr>
              <w:pStyle w:val="TableParagraph"/>
              <w:numPr>
                <w:ilvl w:val="0"/>
                <w:numId w:val="193"/>
              </w:numPr>
              <w:tabs>
                <w:tab w:pos="812" w:val="left" w:leader="none"/>
              </w:tabs>
              <w:spacing w:line="240" w:lineRule="auto" w:before="0" w:after="0"/>
              <w:ind w:left="280" w:right="102" w:hanging="141"/>
              <w:jc w:val="both"/>
              <w:rPr>
                <w:sz w:val="20"/>
              </w:rPr>
            </w:pPr>
            <w:r>
              <w:rPr>
                <w:sz w:val="20"/>
              </w:rPr>
              <w:t>Existe planeación ambiental con articulación entre</w:t>
            </w:r>
            <w:r>
              <w:rPr>
                <w:spacing w:val="-5"/>
                <w:sz w:val="20"/>
              </w:rPr>
              <w:t> </w:t>
            </w:r>
            <w:r>
              <w:rPr>
                <w:sz w:val="20"/>
              </w:rPr>
              <w:t>actores</w:t>
            </w:r>
          </w:p>
        </w:tc>
        <w:tc>
          <w:tcPr>
            <w:tcW w:w="1488"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482"/>
              <w:rPr>
                <w:sz w:val="20"/>
              </w:rPr>
            </w:pPr>
            <w:r>
              <w:rPr>
                <w:sz w:val="20"/>
              </w:rPr>
              <w:t>100%</w:t>
            </w:r>
          </w:p>
        </w:tc>
        <w:tc>
          <w:tcPr>
            <w:tcW w:w="2679" w:type="dxa"/>
            <w:vMerge w:val="restart"/>
          </w:tcPr>
          <w:p>
            <w:pPr>
              <w:pStyle w:val="TableParagraph"/>
              <w:spacing w:line="242" w:lineRule="auto" w:before="4"/>
              <w:ind w:right="101"/>
              <w:jc w:val="both"/>
              <w:rPr>
                <w:sz w:val="20"/>
              </w:rPr>
            </w:pPr>
            <w:r>
              <w:rPr>
                <w:sz w:val="20"/>
              </w:rPr>
              <w:t>Debe reunir al </w:t>
            </w:r>
            <w:r>
              <w:rPr>
                <w:b/>
                <w:sz w:val="20"/>
              </w:rPr>
              <w:t>100% las tres </w:t>
            </w:r>
            <w:r>
              <w:rPr>
                <w:sz w:val="20"/>
              </w:rPr>
              <w:t>características de impacto positivo</w:t>
            </w:r>
          </w:p>
        </w:tc>
        <w:tc>
          <w:tcPr>
            <w:tcW w:w="1550"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283"/>
              <w:rPr>
                <w:b/>
                <w:sz w:val="20"/>
              </w:rPr>
            </w:pPr>
            <w:r>
              <w:rPr>
                <w:b/>
                <w:sz w:val="20"/>
              </w:rPr>
              <w:t>Excelente</w:t>
            </w:r>
          </w:p>
        </w:tc>
      </w:tr>
      <w:tr>
        <w:trPr>
          <w:trHeight w:val="2540" w:hRule="exact"/>
        </w:trPr>
        <w:tc>
          <w:tcPr>
            <w:tcW w:w="957" w:type="dxa"/>
            <w:vMerge/>
            <w:tcBorders>
              <w:left w:val="double" w:sz="11" w:space="0" w:color="000000"/>
            </w:tcBorders>
          </w:tcPr>
          <w:p>
            <w:pPr/>
          </w:p>
        </w:tc>
        <w:tc>
          <w:tcPr>
            <w:tcW w:w="1946" w:type="dxa"/>
            <w:vMerge/>
          </w:tcPr>
          <w:p>
            <w:pPr/>
          </w:p>
        </w:tc>
        <w:tc>
          <w:tcPr>
            <w:tcW w:w="1352" w:type="dxa"/>
          </w:tcPr>
          <w:p>
            <w:pPr>
              <w:pStyle w:val="TableParagraph"/>
              <w:spacing w:line="227" w:lineRule="exact"/>
              <w:rPr>
                <w:sz w:val="20"/>
              </w:rPr>
            </w:pPr>
            <w:r>
              <w:rPr>
                <w:sz w:val="20"/>
              </w:rPr>
              <w:t>Económico</w:t>
            </w:r>
          </w:p>
        </w:tc>
        <w:tc>
          <w:tcPr>
            <w:tcW w:w="2849" w:type="dxa"/>
          </w:tcPr>
          <w:p>
            <w:pPr>
              <w:pStyle w:val="TableParagraph"/>
              <w:numPr>
                <w:ilvl w:val="0"/>
                <w:numId w:val="194"/>
              </w:numPr>
              <w:tabs>
                <w:tab w:pos="812" w:val="left" w:leader="none"/>
              </w:tabs>
              <w:spacing w:line="240" w:lineRule="auto" w:before="0" w:after="0"/>
              <w:ind w:left="280" w:right="102"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194"/>
              </w:numPr>
              <w:tabs>
                <w:tab w:pos="812" w:val="left" w:leader="none"/>
              </w:tabs>
              <w:spacing w:line="240" w:lineRule="auto" w:before="0" w:after="0"/>
              <w:ind w:left="280" w:right="102" w:hanging="141"/>
              <w:jc w:val="both"/>
              <w:rPr>
                <w:sz w:val="20"/>
              </w:rPr>
            </w:pPr>
            <w:r>
              <w:rPr>
                <w:sz w:val="20"/>
              </w:rPr>
              <w:t>Existe crecimiento económico igualitario en  los municipios que integran la</w:t>
            </w:r>
            <w:r>
              <w:rPr>
                <w:spacing w:val="-5"/>
                <w:sz w:val="20"/>
              </w:rPr>
              <w:t> </w:t>
            </w:r>
            <w:r>
              <w:rPr>
                <w:sz w:val="20"/>
              </w:rPr>
              <w:t>CHPH</w:t>
            </w:r>
          </w:p>
          <w:p>
            <w:pPr>
              <w:pStyle w:val="TableParagraph"/>
              <w:numPr>
                <w:ilvl w:val="0"/>
                <w:numId w:val="194"/>
              </w:numPr>
              <w:tabs>
                <w:tab w:pos="812" w:val="left" w:leader="none"/>
              </w:tabs>
              <w:spacing w:line="240" w:lineRule="auto" w:before="0" w:after="0"/>
              <w:ind w:left="280" w:right="102" w:hanging="141"/>
              <w:jc w:val="both"/>
              <w:rPr>
                <w:sz w:val="20"/>
              </w:rPr>
            </w:pPr>
            <w:r>
              <w:rPr>
                <w:sz w:val="20"/>
              </w:rPr>
              <w:t>Existe planeación económica con articulación entre</w:t>
            </w:r>
            <w:r>
              <w:rPr>
                <w:spacing w:val="-5"/>
                <w:sz w:val="20"/>
              </w:rPr>
              <w:t> </w:t>
            </w:r>
            <w:r>
              <w:rPr>
                <w:sz w:val="20"/>
              </w:rPr>
              <w:t>actores</w:t>
            </w:r>
          </w:p>
        </w:tc>
        <w:tc>
          <w:tcPr>
            <w:tcW w:w="1488" w:type="dxa"/>
            <w:vMerge/>
          </w:tcPr>
          <w:p>
            <w:pPr/>
          </w:p>
        </w:tc>
        <w:tc>
          <w:tcPr>
            <w:tcW w:w="2679" w:type="dxa"/>
            <w:vMerge/>
          </w:tcPr>
          <w:p>
            <w:pPr/>
          </w:p>
        </w:tc>
        <w:tc>
          <w:tcPr>
            <w:tcW w:w="1550" w:type="dxa"/>
            <w:vMerge/>
            <w:tcBorders>
              <w:right w:val="double" w:sz="12" w:space="0" w:color="000000"/>
            </w:tcBorders>
            <w:shd w:val="clear" w:color="auto" w:fill="00FF00"/>
          </w:tcPr>
          <w:p>
            <w:pPr/>
          </w:p>
        </w:tc>
      </w:tr>
      <w:tr>
        <w:trPr>
          <w:trHeight w:val="3001" w:hRule="exact"/>
        </w:trPr>
        <w:tc>
          <w:tcPr>
            <w:tcW w:w="957" w:type="dxa"/>
            <w:vMerge/>
            <w:tcBorders>
              <w:left w:val="double" w:sz="11" w:space="0" w:color="000000"/>
            </w:tcBorders>
          </w:tcPr>
          <w:p>
            <w:pPr/>
          </w:p>
        </w:tc>
        <w:tc>
          <w:tcPr>
            <w:tcW w:w="1946" w:type="dxa"/>
            <w:vMerge/>
          </w:tcPr>
          <w:p>
            <w:pPr/>
          </w:p>
        </w:tc>
        <w:tc>
          <w:tcPr>
            <w:tcW w:w="1352" w:type="dxa"/>
          </w:tcPr>
          <w:p>
            <w:pPr>
              <w:pStyle w:val="TableParagraph"/>
              <w:spacing w:line="227" w:lineRule="exact"/>
              <w:rPr>
                <w:sz w:val="20"/>
              </w:rPr>
            </w:pPr>
            <w:r>
              <w:rPr>
                <w:sz w:val="20"/>
              </w:rPr>
              <w:t>Sociopolítico</w:t>
            </w:r>
          </w:p>
        </w:tc>
        <w:tc>
          <w:tcPr>
            <w:tcW w:w="2849" w:type="dxa"/>
          </w:tcPr>
          <w:p>
            <w:pPr>
              <w:pStyle w:val="TableParagraph"/>
              <w:ind w:left="280" w:right="103" w:hanging="178"/>
              <w:jc w:val="both"/>
              <w:rPr>
                <w:sz w:val="20"/>
              </w:rPr>
            </w:pPr>
            <w:r>
              <w:rPr>
                <w:rFonts w:ascii="Wingdings" w:hAnsi="Wingdings"/>
                <w:spacing w:val="2"/>
                <w:sz w:val="20"/>
              </w:rPr>
              <w:t></w:t>
            </w:r>
            <w:r>
              <w:rPr>
                <w:spacing w:val="2"/>
                <w:sz w:val="20"/>
              </w:rPr>
              <w:t>Favorece</w:t>
            </w:r>
            <w:r>
              <w:rPr>
                <w:spacing w:val="59"/>
                <w:sz w:val="20"/>
              </w:rPr>
              <w:t> </w:t>
            </w:r>
            <w:r>
              <w:rPr>
                <w:sz w:val="20"/>
              </w:rPr>
              <w:t>la acción colectiva de los actores de la CHPH para resolver sus problemas comunes</w:t>
            </w:r>
          </w:p>
          <w:p>
            <w:pPr>
              <w:pStyle w:val="TableParagraph"/>
              <w:ind w:left="280" w:right="105" w:hanging="178"/>
              <w:jc w:val="both"/>
              <w:rPr>
                <w:sz w:val="20"/>
              </w:rPr>
            </w:pPr>
            <w:r>
              <w:rPr>
                <w:rFonts w:ascii="Wingdings" w:hAnsi="Wingdings"/>
                <w:sz w:val="20"/>
              </w:rPr>
              <w:t></w:t>
            </w:r>
            <w:r>
              <w:rPr>
                <w:sz w:val="20"/>
              </w:rPr>
              <w:t>Favorece la organización sociopolítica de los actores de la CHPH por la vía democrática</w:t>
            </w:r>
          </w:p>
          <w:p>
            <w:pPr>
              <w:pStyle w:val="TableParagraph"/>
              <w:spacing w:line="229" w:lineRule="exact"/>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768" w:val="left" w:leader="none"/>
                <w:tab w:pos="2411" w:val="left" w:leader="none"/>
              </w:tabs>
              <w:ind w:left="280" w:right="103" w:hanging="178"/>
              <w:jc w:val="both"/>
              <w:rPr>
                <w:sz w:val="20"/>
              </w:rPr>
            </w:pPr>
            <w:r>
              <w:rPr>
                <w:rFonts w:ascii="Wingdings" w:hAnsi="Wingdings"/>
                <w:spacing w:val="3"/>
                <w:sz w:val="20"/>
              </w:rPr>
              <w:t></w:t>
            </w:r>
            <w:r>
              <w:rPr>
                <w:spacing w:val="3"/>
                <w:sz w:val="20"/>
              </w:rPr>
              <w:t>Existe</w:t>
              <w:tab/>
            </w:r>
            <w:r>
              <w:rPr>
                <w:w w:val="95"/>
                <w:sz w:val="20"/>
              </w:rPr>
              <w:t>planeación </w:t>
            </w:r>
            <w:r>
              <w:rPr>
                <w:sz w:val="20"/>
              </w:rPr>
              <w:t>sociopolítica</w:t>
              <w:tab/>
              <w:tab/>
              <w:t>con</w:t>
            </w:r>
          </w:p>
        </w:tc>
        <w:tc>
          <w:tcPr>
            <w:tcW w:w="1488" w:type="dxa"/>
            <w:vMerge/>
          </w:tcPr>
          <w:p>
            <w:pPr/>
          </w:p>
        </w:tc>
        <w:tc>
          <w:tcPr>
            <w:tcW w:w="2679" w:type="dxa"/>
            <w:vMerge/>
          </w:tcPr>
          <w:p>
            <w:pPr/>
          </w:p>
        </w:tc>
        <w:tc>
          <w:tcPr>
            <w:tcW w:w="1550"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31.179993pt;margin-top:98.059998pt;width:75.150pt;height:388.3pt;mso-position-horizontal-relative:page;mso-position-vertical-relative:page;z-index:-3329608" coordorigin="12624,1961" coordsize="1503,7766">
            <v:shape style="position:absolute;left:12624;top:1961;width:1502;height:7765" type="#_x0000_t75" stroked="false">
              <v:imagedata r:id="rId417" o:title=""/>
            </v:shape>
            <v:shape style="position:absolute;left:12727;top:1961;width:1296;height:230" type="#_x0000_t75" stroked="false">
              <v:imagedata r:id="rId418" o:title=""/>
            </v:shape>
            <v:shape style="position:absolute;left:12727;top:2192;width:1296;height:230" type="#_x0000_t75" stroked="false">
              <v:imagedata r:id="rId419" o:title=""/>
            </v:shape>
            <v:shape style="position:absolute;left:12727;top:2422;width:1296;height:230" type="#_x0000_t75" stroked="false">
              <v:imagedata r:id="rId420" o:title=""/>
            </v:shape>
            <v:shape style="position:absolute;left:12727;top:2652;width:1296;height:228" type="#_x0000_t75" stroked="false">
              <v:imagedata r:id="rId421" o:title=""/>
            </v:shape>
            <v:shape style="position:absolute;left:12727;top:2880;width:1296;height:230" type="#_x0000_t75" stroked="false">
              <v:imagedata r:id="rId422" o:title=""/>
            </v:shape>
            <v:shape style="position:absolute;left:12727;top:3111;width:1296;height:230" type="#_x0000_t75" stroked="false">
              <v:imagedata r:id="rId423" o:title=""/>
            </v:shape>
            <v:shape style="position:absolute;left:12727;top:3341;width:1296;height:230" type="#_x0000_t75" stroked="false">
              <v:imagedata r:id="rId424" o:title=""/>
            </v:shape>
            <v:shape style="position:absolute;left:12727;top:3572;width:1296;height:230" type="#_x0000_t75" stroked="false">
              <v:imagedata r:id="rId425" o:title=""/>
            </v:shape>
            <v:shape style="position:absolute;left:12727;top:3802;width:1296;height:231" type="#_x0000_t75" stroked="false">
              <v:imagedata r:id="rId426"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946"/>
        <w:gridCol w:w="1352"/>
        <w:gridCol w:w="2849"/>
        <w:gridCol w:w="1488"/>
        <w:gridCol w:w="2679"/>
        <w:gridCol w:w="1550"/>
      </w:tblGrid>
      <w:tr>
        <w:trPr>
          <w:trHeight w:val="250" w:hRule="exact"/>
        </w:trPr>
        <w:tc>
          <w:tcPr>
            <w:tcW w:w="957" w:type="dxa"/>
            <w:tcBorders>
              <w:left w:val="double" w:sz="11" w:space="0" w:color="000000"/>
            </w:tcBorders>
          </w:tcPr>
          <w:p>
            <w:pPr/>
          </w:p>
        </w:tc>
        <w:tc>
          <w:tcPr>
            <w:tcW w:w="1946" w:type="dxa"/>
          </w:tcPr>
          <w:p>
            <w:pPr/>
          </w:p>
        </w:tc>
        <w:tc>
          <w:tcPr>
            <w:tcW w:w="1352" w:type="dxa"/>
          </w:tcPr>
          <w:p>
            <w:pPr/>
          </w:p>
        </w:tc>
        <w:tc>
          <w:tcPr>
            <w:tcW w:w="2849" w:type="dxa"/>
          </w:tcPr>
          <w:p>
            <w:pPr>
              <w:pStyle w:val="TableParagraph"/>
              <w:spacing w:before="7"/>
              <w:ind w:left="280"/>
              <w:rPr>
                <w:sz w:val="20"/>
              </w:rPr>
            </w:pPr>
            <w:r>
              <w:rPr>
                <w:sz w:val="20"/>
              </w:rPr>
              <w:t>articulación entre actores</w:t>
            </w:r>
          </w:p>
        </w:tc>
        <w:tc>
          <w:tcPr>
            <w:tcW w:w="1488" w:type="dxa"/>
          </w:tcPr>
          <w:p>
            <w:pPr/>
          </w:p>
        </w:tc>
        <w:tc>
          <w:tcPr>
            <w:tcW w:w="2679" w:type="dxa"/>
          </w:tcPr>
          <w:p>
            <w:pPr/>
          </w:p>
        </w:tc>
        <w:tc>
          <w:tcPr>
            <w:tcW w:w="1550" w:type="dxa"/>
            <w:tcBorders>
              <w:right w:val="double" w:sz="12" w:space="0" w:color="000000"/>
            </w:tcBorders>
            <w:shd w:val="clear" w:color="auto" w:fill="00FF00"/>
          </w:tcPr>
          <w:p>
            <w:pPr/>
          </w:p>
        </w:tc>
      </w:tr>
      <w:tr>
        <w:trPr>
          <w:trHeight w:val="1718" w:hRule="exact"/>
        </w:trPr>
        <w:tc>
          <w:tcPr>
            <w:tcW w:w="957"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4"/>
              </w:rPr>
            </w:pPr>
          </w:p>
          <w:p>
            <w:pPr>
              <w:pStyle w:val="TableParagraph"/>
              <w:ind w:left="212" w:right="212"/>
              <w:jc w:val="center"/>
              <w:rPr>
                <w:sz w:val="20"/>
              </w:rPr>
            </w:pPr>
            <w:r>
              <w:rPr>
                <w:sz w:val="20"/>
              </w:rPr>
              <w:t>1519</w:t>
            </w:r>
          </w:p>
        </w:tc>
        <w:tc>
          <w:tcPr>
            <w:tcW w:w="194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3"/>
              <w:ind w:left="0"/>
              <w:rPr>
                <w:rFonts w:ascii="Times New Roman"/>
                <w:sz w:val="27"/>
              </w:rPr>
            </w:pPr>
          </w:p>
          <w:p>
            <w:pPr>
              <w:pStyle w:val="TableParagraph"/>
              <w:ind w:left="2"/>
              <w:jc w:val="center"/>
              <w:rPr>
                <w:b/>
                <w:sz w:val="20"/>
              </w:rPr>
            </w:pPr>
            <w:r>
              <w:rPr>
                <w:b/>
                <w:w w:val="99"/>
                <w:sz w:val="20"/>
              </w:rPr>
              <w:t>1</w:t>
            </w:r>
          </w:p>
        </w:tc>
        <w:tc>
          <w:tcPr>
            <w:tcW w:w="1352" w:type="dxa"/>
            <w:vMerge w:val="restart"/>
          </w:tcPr>
          <w:p>
            <w:pPr>
              <w:pStyle w:val="TableParagraph"/>
              <w:spacing w:line="227" w:lineRule="exact"/>
              <w:rPr>
                <w:sz w:val="20"/>
              </w:rPr>
            </w:pPr>
            <w:r>
              <w:rPr>
                <w:sz w:val="20"/>
              </w:rPr>
              <w:t>Ambiental</w:t>
            </w:r>
          </w:p>
        </w:tc>
        <w:tc>
          <w:tcPr>
            <w:tcW w:w="2849" w:type="dxa"/>
            <w:vMerge w:val="restart"/>
          </w:tcPr>
          <w:p>
            <w:pPr>
              <w:pStyle w:val="TableParagraph"/>
              <w:numPr>
                <w:ilvl w:val="0"/>
                <w:numId w:val="195"/>
              </w:numPr>
              <w:tabs>
                <w:tab w:pos="812" w:val="left" w:leader="none"/>
              </w:tabs>
              <w:spacing w:line="240" w:lineRule="auto" w:before="0" w:after="0"/>
              <w:ind w:left="280" w:right="101" w:hanging="141"/>
              <w:jc w:val="both"/>
              <w:rPr>
                <w:sz w:val="20"/>
              </w:rPr>
            </w:pPr>
            <w:r>
              <w:rPr>
                <w:sz w:val="20"/>
              </w:rPr>
              <w:t>Existe voluntad  de los actores de la CHPH para cuidar el medio ambiente</w:t>
            </w:r>
          </w:p>
          <w:p>
            <w:pPr>
              <w:pStyle w:val="TableParagraph"/>
              <w:numPr>
                <w:ilvl w:val="0"/>
                <w:numId w:val="195"/>
              </w:numPr>
              <w:tabs>
                <w:tab w:pos="812" w:val="left" w:leader="none"/>
                <w:tab w:pos="2080" w:val="left" w:leader="none"/>
              </w:tabs>
              <w:spacing w:line="240" w:lineRule="auto" w:before="0" w:after="0"/>
              <w:ind w:left="280" w:right="103" w:hanging="141"/>
              <w:jc w:val="both"/>
              <w:rPr>
                <w:sz w:val="20"/>
              </w:rPr>
            </w:pPr>
            <w:r>
              <w:rPr>
                <w:sz w:val="20"/>
              </w:rPr>
              <w:t>Los</w:t>
              <w:tab/>
            </w:r>
            <w:r>
              <w:rPr>
                <w:w w:val="95"/>
                <w:sz w:val="20"/>
              </w:rPr>
              <w:t>actores </w:t>
            </w:r>
            <w:r>
              <w:rPr>
                <w:sz w:val="20"/>
              </w:rPr>
              <w:t>históricos autogestionan sus propios recursos naturales</w:t>
            </w:r>
          </w:p>
          <w:p>
            <w:pPr>
              <w:pStyle w:val="TableParagraph"/>
              <w:numPr>
                <w:ilvl w:val="0"/>
                <w:numId w:val="195"/>
              </w:numPr>
              <w:tabs>
                <w:tab w:pos="812" w:val="left" w:leader="none"/>
              </w:tabs>
              <w:spacing w:line="240" w:lineRule="auto" w:before="1" w:after="0"/>
              <w:ind w:left="280" w:right="102" w:hanging="141"/>
              <w:jc w:val="both"/>
              <w:rPr>
                <w:sz w:val="20"/>
              </w:rPr>
            </w:pPr>
            <w:r>
              <w:rPr>
                <w:sz w:val="20"/>
              </w:rPr>
              <w:t>Los actores de la CHPH procuran la sostenibilidad de la</w:t>
            </w:r>
            <w:r>
              <w:rPr>
                <w:spacing w:val="-9"/>
                <w:sz w:val="20"/>
              </w:rPr>
              <w:t> </w:t>
            </w:r>
            <w:r>
              <w:rPr>
                <w:sz w:val="20"/>
              </w:rPr>
              <w:t>CHPH</w:t>
            </w:r>
          </w:p>
          <w:p>
            <w:pPr>
              <w:pStyle w:val="TableParagraph"/>
              <w:numPr>
                <w:ilvl w:val="0"/>
                <w:numId w:val="195"/>
              </w:numPr>
              <w:tabs>
                <w:tab w:pos="812" w:val="left" w:leader="none"/>
              </w:tabs>
              <w:spacing w:line="240" w:lineRule="auto" w:before="0" w:after="0"/>
              <w:ind w:left="280" w:right="102" w:hanging="141"/>
              <w:jc w:val="both"/>
              <w:rPr>
                <w:sz w:val="20"/>
              </w:rPr>
            </w:pPr>
            <w:r>
              <w:rPr>
                <w:sz w:val="20"/>
              </w:rPr>
              <w:t>Existe planeación ambiental con articulación entre</w:t>
            </w:r>
            <w:r>
              <w:rPr>
                <w:spacing w:val="-5"/>
                <w:sz w:val="20"/>
              </w:rPr>
              <w:t> </w:t>
            </w:r>
            <w:r>
              <w:rPr>
                <w:sz w:val="20"/>
              </w:rPr>
              <w:t>actores</w:t>
            </w:r>
          </w:p>
        </w:tc>
        <w:tc>
          <w:tcPr>
            <w:tcW w:w="1488"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7"/>
              </w:rPr>
            </w:pPr>
          </w:p>
          <w:p>
            <w:pPr>
              <w:pStyle w:val="TableParagraph"/>
              <w:ind w:left="517" w:right="520"/>
              <w:jc w:val="center"/>
              <w:rPr>
                <w:sz w:val="20"/>
              </w:rPr>
            </w:pPr>
            <w:r>
              <w:rPr>
                <w:sz w:val="20"/>
              </w:rPr>
              <w:t>75%</w:t>
            </w:r>
          </w:p>
        </w:tc>
        <w:tc>
          <w:tcPr>
            <w:tcW w:w="2679" w:type="dxa"/>
            <w:vMerge w:val="restart"/>
          </w:tcPr>
          <w:p>
            <w:pPr>
              <w:pStyle w:val="TableParagraph"/>
              <w:spacing w:line="242" w:lineRule="auto"/>
              <w:ind w:right="102"/>
              <w:jc w:val="both"/>
              <w:rPr>
                <w:sz w:val="20"/>
              </w:rPr>
            </w:pPr>
            <w:r>
              <w:rPr>
                <w:sz w:val="20"/>
              </w:rPr>
              <w:t>Debe reunir </w:t>
            </w:r>
            <w:r>
              <w:rPr>
                <w:b/>
                <w:sz w:val="20"/>
              </w:rPr>
              <w:t>al menos el 75% </w:t>
            </w:r>
            <w:r>
              <w:rPr>
                <w:sz w:val="20"/>
              </w:rPr>
              <w:t>dos de tres características de impacto positivo</w:t>
            </w:r>
          </w:p>
        </w:tc>
        <w:tc>
          <w:tcPr>
            <w:tcW w:w="1550"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439"/>
              <w:rPr>
                <w:b/>
                <w:sz w:val="20"/>
              </w:rPr>
            </w:pPr>
            <w:r>
              <w:rPr>
                <w:b/>
                <w:sz w:val="20"/>
              </w:rPr>
              <w:t>Bueno</w:t>
            </w:r>
          </w:p>
        </w:tc>
      </w:tr>
      <w:tr>
        <w:trPr>
          <w:trHeight w:val="1513" w:hRule="exact"/>
        </w:trPr>
        <w:tc>
          <w:tcPr>
            <w:tcW w:w="957"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9"/>
              </w:rPr>
            </w:pPr>
          </w:p>
          <w:p>
            <w:pPr>
              <w:pStyle w:val="TableParagraph"/>
              <w:spacing w:before="1"/>
              <w:ind w:left="232"/>
              <w:rPr>
                <w:sz w:val="20"/>
              </w:rPr>
            </w:pPr>
            <w:r>
              <w:rPr>
                <w:sz w:val="20"/>
              </w:rPr>
              <w:t>1810</w:t>
            </w:r>
          </w:p>
        </w:tc>
        <w:tc>
          <w:tcPr>
            <w:tcW w:w="1946" w:type="dxa"/>
            <w:vMerge/>
          </w:tcPr>
          <w:p>
            <w:pPr/>
          </w:p>
        </w:tc>
        <w:tc>
          <w:tcPr>
            <w:tcW w:w="1352" w:type="dxa"/>
            <w:vMerge/>
          </w:tcPr>
          <w:p>
            <w:pPr/>
          </w:p>
        </w:tc>
        <w:tc>
          <w:tcPr>
            <w:tcW w:w="2849" w:type="dxa"/>
            <w:vMerge/>
          </w:tcPr>
          <w:p>
            <w:pPr/>
          </w:p>
        </w:tc>
        <w:tc>
          <w:tcPr>
            <w:tcW w:w="1488" w:type="dxa"/>
            <w:vMerge/>
          </w:tcPr>
          <w:p>
            <w:pPr/>
          </w:p>
        </w:tc>
        <w:tc>
          <w:tcPr>
            <w:tcW w:w="2679" w:type="dxa"/>
            <w:vMerge/>
          </w:tcPr>
          <w:p>
            <w:pPr/>
          </w:p>
        </w:tc>
        <w:tc>
          <w:tcPr>
            <w:tcW w:w="1550" w:type="dxa"/>
            <w:vMerge/>
            <w:tcBorders>
              <w:right w:val="double" w:sz="12" w:space="0" w:color="000000"/>
            </w:tcBorders>
          </w:tcPr>
          <w:p>
            <w:pPr/>
          </w:p>
        </w:tc>
      </w:tr>
      <w:tr>
        <w:trPr>
          <w:trHeight w:val="571" w:hRule="exact"/>
        </w:trPr>
        <w:tc>
          <w:tcPr>
            <w:tcW w:w="957" w:type="dxa"/>
            <w:vMerge/>
            <w:tcBorders>
              <w:left w:val="double" w:sz="11" w:space="0" w:color="000000"/>
            </w:tcBorders>
          </w:tcPr>
          <w:p>
            <w:pPr/>
          </w:p>
        </w:tc>
        <w:tc>
          <w:tcPr>
            <w:tcW w:w="1946" w:type="dxa"/>
            <w:vMerge/>
          </w:tcPr>
          <w:p>
            <w:pPr/>
          </w:p>
        </w:tc>
        <w:tc>
          <w:tcPr>
            <w:tcW w:w="1352" w:type="dxa"/>
            <w:vMerge w:val="restart"/>
          </w:tcPr>
          <w:p>
            <w:pPr>
              <w:pStyle w:val="TableParagraph"/>
              <w:spacing w:line="227" w:lineRule="exact"/>
              <w:rPr>
                <w:sz w:val="20"/>
              </w:rPr>
            </w:pPr>
            <w:r>
              <w:rPr>
                <w:sz w:val="20"/>
              </w:rPr>
              <w:t>Económico</w:t>
            </w:r>
          </w:p>
        </w:tc>
        <w:tc>
          <w:tcPr>
            <w:tcW w:w="2849" w:type="dxa"/>
            <w:vMerge w:val="restart"/>
          </w:tcPr>
          <w:p>
            <w:pPr>
              <w:pStyle w:val="TableParagraph"/>
              <w:numPr>
                <w:ilvl w:val="0"/>
                <w:numId w:val="196"/>
              </w:numPr>
              <w:tabs>
                <w:tab w:pos="812" w:val="left" w:leader="none"/>
              </w:tabs>
              <w:spacing w:line="240" w:lineRule="auto" w:before="0" w:after="0"/>
              <w:ind w:left="280" w:right="102"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196"/>
              </w:numPr>
              <w:tabs>
                <w:tab w:pos="812" w:val="left" w:leader="none"/>
              </w:tabs>
              <w:spacing w:line="240" w:lineRule="auto" w:before="0" w:after="0"/>
              <w:ind w:left="280" w:right="102" w:hanging="141"/>
              <w:jc w:val="both"/>
              <w:rPr>
                <w:sz w:val="20"/>
              </w:rPr>
            </w:pPr>
            <w:r>
              <w:rPr>
                <w:sz w:val="20"/>
              </w:rPr>
              <w:t>Existe crecimiento económico igualitario en  los municipios que integran la</w:t>
            </w:r>
            <w:r>
              <w:rPr>
                <w:spacing w:val="-5"/>
                <w:sz w:val="20"/>
              </w:rPr>
              <w:t> </w:t>
            </w:r>
            <w:r>
              <w:rPr>
                <w:sz w:val="20"/>
              </w:rPr>
              <w:t>CHPH</w:t>
            </w:r>
          </w:p>
          <w:p>
            <w:pPr>
              <w:pStyle w:val="TableParagraph"/>
              <w:numPr>
                <w:ilvl w:val="0"/>
                <w:numId w:val="196"/>
              </w:numPr>
              <w:tabs>
                <w:tab w:pos="812" w:val="left" w:leader="none"/>
              </w:tabs>
              <w:spacing w:line="240" w:lineRule="auto" w:before="0" w:after="0"/>
              <w:ind w:left="280" w:right="102" w:hanging="141"/>
              <w:jc w:val="both"/>
              <w:rPr>
                <w:sz w:val="20"/>
              </w:rPr>
            </w:pPr>
            <w:r>
              <w:rPr>
                <w:sz w:val="20"/>
              </w:rPr>
              <w:t>Existe planeación económica con articulación entre</w:t>
            </w:r>
            <w:r>
              <w:rPr>
                <w:spacing w:val="-5"/>
                <w:sz w:val="20"/>
              </w:rPr>
              <w:t> </w:t>
            </w:r>
            <w:r>
              <w:rPr>
                <w:sz w:val="20"/>
              </w:rPr>
              <w:t>actores</w:t>
            </w:r>
          </w:p>
        </w:tc>
        <w:tc>
          <w:tcPr>
            <w:tcW w:w="1488" w:type="dxa"/>
            <w:vMerge/>
          </w:tcPr>
          <w:p>
            <w:pPr/>
          </w:p>
        </w:tc>
        <w:tc>
          <w:tcPr>
            <w:tcW w:w="2679" w:type="dxa"/>
            <w:vMerge/>
          </w:tcPr>
          <w:p>
            <w:pPr/>
          </w:p>
        </w:tc>
        <w:tc>
          <w:tcPr>
            <w:tcW w:w="1550" w:type="dxa"/>
            <w:vMerge/>
            <w:tcBorders>
              <w:right w:val="double" w:sz="12" w:space="0" w:color="000000"/>
            </w:tcBorders>
          </w:tcPr>
          <w:p>
            <w:pPr/>
          </w:p>
        </w:tc>
      </w:tr>
      <w:tr>
        <w:trPr>
          <w:trHeight w:val="790" w:hRule="exact"/>
        </w:trPr>
        <w:tc>
          <w:tcPr>
            <w:tcW w:w="957" w:type="dxa"/>
            <w:tcBorders>
              <w:left w:val="double" w:sz="11" w:space="0" w:color="000000"/>
            </w:tcBorders>
          </w:tcPr>
          <w:p>
            <w:pPr>
              <w:pStyle w:val="TableParagraph"/>
              <w:spacing w:before="8"/>
              <w:ind w:left="0"/>
              <w:rPr>
                <w:rFonts w:ascii="Times New Roman"/>
                <w:sz w:val="23"/>
              </w:rPr>
            </w:pPr>
          </w:p>
          <w:p>
            <w:pPr>
              <w:pStyle w:val="TableParagraph"/>
              <w:ind w:left="212" w:right="212"/>
              <w:jc w:val="center"/>
              <w:rPr>
                <w:sz w:val="20"/>
              </w:rPr>
            </w:pPr>
            <w:r>
              <w:rPr>
                <w:sz w:val="20"/>
              </w:rPr>
              <w:t>1861</w:t>
            </w:r>
          </w:p>
        </w:tc>
        <w:tc>
          <w:tcPr>
            <w:tcW w:w="1946" w:type="dxa"/>
            <w:vMerge/>
          </w:tcPr>
          <w:p>
            <w:pPr/>
          </w:p>
        </w:tc>
        <w:tc>
          <w:tcPr>
            <w:tcW w:w="1352" w:type="dxa"/>
            <w:vMerge/>
          </w:tcPr>
          <w:p>
            <w:pPr/>
          </w:p>
        </w:tc>
        <w:tc>
          <w:tcPr>
            <w:tcW w:w="2849" w:type="dxa"/>
            <w:vMerge/>
          </w:tcPr>
          <w:p>
            <w:pPr/>
          </w:p>
        </w:tc>
        <w:tc>
          <w:tcPr>
            <w:tcW w:w="1488" w:type="dxa"/>
            <w:vMerge/>
          </w:tcPr>
          <w:p>
            <w:pPr/>
          </w:p>
        </w:tc>
        <w:tc>
          <w:tcPr>
            <w:tcW w:w="2679" w:type="dxa"/>
            <w:vMerge/>
          </w:tcPr>
          <w:p>
            <w:pPr/>
          </w:p>
        </w:tc>
        <w:tc>
          <w:tcPr>
            <w:tcW w:w="1550" w:type="dxa"/>
            <w:vMerge/>
            <w:tcBorders>
              <w:right w:val="double" w:sz="12" w:space="0" w:color="000000"/>
            </w:tcBorders>
          </w:tcPr>
          <w:p>
            <w:pPr/>
          </w:p>
        </w:tc>
      </w:tr>
      <w:tr>
        <w:trPr>
          <w:trHeight w:val="1178" w:hRule="exact"/>
        </w:trPr>
        <w:tc>
          <w:tcPr>
            <w:tcW w:w="957" w:type="dxa"/>
            <w:tcBorders>
              <w:left w:val="double" w:sz="11" w:space="0" w:color="000000"/>
            </w:tcBorders>
          </w:tcPr>
          <w:p>
            <w:pPr>
              <w:pStyle w:val="TableParagraph"/>
              <w:ind w:left="0"/>
              <w:rPr>
                <w:rFonts w:ascii="Times New Roman"/>
                <w:sz w:val="20"/>
              </w:rPr>
            </w:pPr>
          </w:p>
          <w:p>
            <w:pPr>
              <w:pStyle w:val="TableParagraph"/>
              <w:spacing w:before="7"/>
              <w:ind w:left="0"/>
              <w:rPr>
                <w:rFonts w:ascii="Times New Roman"/>
                <w:sz w:val="20"/>
              </w:rPr>
            </w:pPr>
          </w:p>
          <w:p>
            <w:pPr>
              <w:pStyle w:val="TableParagraph"/>
              <w:ind w:left="212" w:right="212"/>
              <w:jc w:val="center"/>
              <w:rPr>
                <w:sz w:val="20"/>
              </w:rPr>
            </w:pPr>
            <w:r>
              <w:rPr>
                <w:sz w:val="20"/>
              </w:rPr>
              <w:t>1910</w:t>
            </w:r>
          </w:p>
        </w:tc>
        <w:tc>
          <w:tcPr>
            <w:tcW w:w="1946" w:type="dxa"/>
            <w:vMerge/>
          </w:tcPr>
          <w:p>
            <w:pPr/>
          </w:p>
        </w:tc>
        <w:tc>
          <w:tcPr>
            <w:tcW w:w="1352" w:type="dxa"/>
            <w:vMerge/>
          </w:tcPr>
          <w:p>
            <w:pPr/>
          </w:p>
        </w:tc>
        <w:tc>
          <w:tcPr>
            <w:tcW w:w="2849" w:type="dxa"/>
            <w:vMerge/>
          </w:tcPr>
          <w:p>
            <w:pPr/>
          </w:p>
        </w:tc>
        <w:tc>
          <w:tcPr>
            <w:tcW w:w="1488" w:type="dxa"/>
            <w:vMerge/>
          </w:tcPr>
          <w:p>
            <w:pPr/>
          </w:p>
        </w:tc>
        <w:tc>
          <w:tcPr>
            <w:tcW w:w="2679" w:type="dxa"/>
            <w:vMerge/>
          </w:tcPr>
          <w:p>
            <w:pPr/>
          </w:p>
        </w:tc>
        <w:tc>
          <w:tcPr>
            <w:tcW w:w="1550" w:type="dxa"/>
            <w:vMerge/>
            <w:tcBorders>
              <w:right w:val="double" w:sz="12" w:space="0" w:color="000000"/>
            </w:tcBorders>
          </w:tcPr>
          <w:p>
            <w:pPr/>
          </w:p>
        </w:tc>
      </w:tr>
      <w:tr>
        <w:trPr>
          <w:trHeight w:val="1003" w:hRule="exact"/>
        </w:trPr>
        <w:tc>
          <w:tcPr>
            <w:tcW w:w="957" w:type="dxa"/>
            <w:tcBorders>
              <w:left w:val="double" w:sz="11" w:space="0" w:color="000000"/>
            </w:tcBorders>
          </w:tcPr>
          <w:p>
            <w:pPr>
              <w:pStyle w:val="TableParagraph"/>
              <w:ind w:left="0"/>
              <w:rPr>
                <w:rFonts w:ascii="Times New Roman"/>
                <w:sz w:val="20"/>
              </w:rPr>
            </w:pPr>
          </w:p>
          <w:p>
            <w:pPr>
              <w:pStyle w:val="TableParagraph"/>
              <w:spacing w:before="149"/>
              <w:ind w:left="212" w:right="212"/>
              <w:jc w:val="center"/>
              <w:rPr>
                <w:sz w:val="20"/>
              </w:rPr>
            </w:pPr>
            <w:r>
              <w:rPr>
                <w:sz w:val="20"/>
              </w:rPr>
              <w:t>1940</w:t>
            </w:r>
          </w:p>
        </w:tc>
        <w:tc>
          <w:tcPr>
            <w:tcW w:w="1946" w:type="dxa"/>
            <w:vMerge/>
          </w:tcPr>
          <w:p>
            <w:pPr/>
          </w:p>
        </w:tc>
        <w:tc>
          <w:tcPr>
            <w:tcW w:w="1352" w:type="dxa"/>
            <w:vMerge w:val="restart"/>
          </w:tcPr>
          <w:p>
            <w:pPr>
              <w:pStyle w:val="TableParagraph"/>
              <w:spacing w:line="227" w:lineRule="exact"/>
              <w:rPr>
                <w:sz w:val="20"/>
              </w:rPr>
            </w:pPr>
            <w:r>
              <w:rPr>
                <w:sz w:val="20"/>
              </w:rPr>
              <w:t>Sociopolítico</w:t>
            </w:r>
          </w:p>
        </w:tc>
        <w:tc>
          <w:tcPr>
            <w:tcW w:w="2849" w:type="dxa"/>
            <w:vMerge w:val="restart"/>
          </w:tcPr>
          <w:p>
            <w:pPr>
              <w:pStyle w:val="TableParagraph"/>
              <w:ind w:left="280" w:right="103" w:hanging="178"/>
              <w:jc w:val="both"/>
              <w:rPr>
                <w:sz w:val="20"/>
              </w:rPr>
            </w:pPr>
            <w:r>
              <w:rPr>
                <w:rFonts w:ascii="Wingdings" w:hAnsi="Wingdings"/>
                <w:spacing w:val="2"/>
                <w:sz w:val="20"/>
              </w:rPr>
              <w:t></w:t>
            </w:r>
            <w:r>
              <w:rPr>
                <w:spacing w:val="2"/>
                <w:sz w:val="20"/>
              </w:rPr>
              <w:t>Favorece</w:t>
            </w:r>
            <w:r>
              <w:rPr>
                <w:spacing w:val="59"/>
                <w:sz w:val="20"/>
              </w:rPr>
              <w:t> </w:t>
            </w:r>
            <w:r>
              <w:rPr>
                <w:sz w:val="20"/>
              </w:rPr>
              <w:t>la acción colectiva de los actores de la CHPH para resolver sus problemas comunes</w:t>
            </w:r>
          </w:p>
          <w:p>
            <w:pPr>
              <w:pStyle w:val="TableParagraph"/>
              <w:ind w:left="280" w:right="105" w:hanging="178"/>
              <w:jc w:val="both"/>
              <w:rPr>
                <w:sz w:val="20"/>
              </w:rPr>
            </w:pPr>
            <w:r>
              <w:rPr>
                <w:rFonts w:ascii="Wingdings" w:hAnsi="Wingdings"/>
                <w:sz w:val="20"/>
              </w:rPr>
              <w:t></w:t>
            </w:r>
            <w:r>
              <w:rPr>
                <w:sz w:val="20"/>
              </w:rPr>
              <w:t>Favorece la organización sociopolítica de los actores de la CHPH por la vía democrática</w:t>
            </w:r>
          </w:p>
        </w:tc>
        <w:tc>
          <w:tcPr>
            <w:tcW w:w="1488" w:type="dxa"/>
            <w:vMerge/>
          </w:tcPr>
          <w:p>
            <w:pPr/>
          </w:p>
        </w:tc>
        <w:tc>
          <w:tcPr>
            <w:tcW w:w="2679" w:type="dxa"/>
            <w:vMerge/>
          </w:tcPr>
          <w:p>
            <w:pPr/>
          </w:p>
        </w:tc>
        <w:tc>
          <w:tcPr>
            <w:tcW w:w="1550" w:type="dxa"/>
            <w:vMerge/>
            <w:tcBorders>
              <w:right w:val="double" w:sz="12" w:space="0" w:color="000000"/>
            </w:tcBorders>
          </w:tcPr>
          <w:p>
            <w:pPr/>
          </w:p>
        </w:tc>
      </w:tr>
      <w:tr>
        <w:trPr>
          <w:trHeight w:val="1013" w:hRule="exact"/>
        </w:trPr>
        <w:tc>
          <w:tcPr>
            <w:tcW w:w="957" w:type="dxa"/>
            <w:tcBorders>
              <w:left w:val="double" w:sz="11" w:space="0" w:color="000000"/>
              <w:bottom w:val="double" w:sz="3" w:space="0" w:color="000000"/>
            </w:tcBorders>
          </w:tcPr>
          <w:p>
            <w:pPr>
              <w:pStyle w:val="TableParagraph"/>
              <w:ind w:left="0"/>
              <w:rPr>
                <w:rFonts w:ascii="Times New Roman"/>
                <w:sz w:val="20"/>
              </w:rPr>
            </w:pPr>
          </w:p>
          <w:p>
            <w:pPr>
              <w:pStyle w:val="TableParagraph"/>
              <w:spacing w:before="149"/>
              <w:ind w:left="212" w:right="212"/>
              <w:jc w:val="center"/>
              <w:rPr>
                <w:sz w:val="20"/>
              </w:rPr>
            </w:pPr>
            <w:r>
              <w:rPr>
                <w:sz w:val="20"/>
              </w:rPr>
              <w:t>1982</w:t>
            </w:r>
          </w:p>
        </w:tc>
        <w:tc>
          <w:tcPr>
            <w:tcW w:w="1946" w:type="dxa"/>
            <w:vMerge/>
            <w:tcBorders>
              <w:bottom w:val="double" w:sz="3" w:space="0" w:color="000000"/>
            </w:tcBorders>
          </w:tcPr>
          <w:p>
            <w:pPr/>
          </w:p>
        </w:tc>
        <w:tc>
          <w:tcPr>
            <w:tcW w:w="1352" w:type="dxa"/>
            <w:vMerge/>
            <w:tcBorders>
              <w:bottom w:val="double" w:sz="3" w:space="0" w:color="000000"/>
            </w:tcBorders>
          </w:tcPr>
          <w:p>
            <w:pPr/>
          </w:p>
        </w:tc>
        <w:tc>
          <w:tcPr>
            <w:tcW w:w="2849" w:type="dxa"/>
            <w:vMerge/>
            <w:tcBorders>
              <w:bottom w:val="double" w:sz="3" w:space="0" w:color="000000"/>
            </w:tcBorders>
          </w:tcPr>
          <w:p>
            <w:pPr/>
          </w:p>
        </w:tc>
        <w:tc>
          <w:tcPr>
            <w:tcW w:w="1488" w:type="dxa"/>
            <w:vMerge/>
            <w:tcBorders>
              <w:bottom w:val="double" w:sz="3" w:space="0" w:color="000000"/>
            </w:tcBorders>
          </w:tcPr>
          <w:p>
            <w:pPr/>
          </w:p>
        </w:tc>
        <w:tc>
          <w:tcPr>
            <w:tcW w:w="2679" w:type="dxa"/>
            <w:vMerge/>
            <w:tcBorders>
              <w:bottom w:val="double" w:sz="3" w:space="0" w:color="000000"/>
            </w:tcBorders>
          </w:tcPr>
          <w:p>
            <w:pPr/>
          </w:p>
        </w:tc>
        <w:tc>
          <w:tcPr>
            <w:tcW w:w="1550" w:type="dxa"/>
            <w:vMerge/>
            <w:tcBorders>
              <w:bottom w:val="double" w:sz="3" w:space="0" w:color="000000"/>
              <w:right w:val="double" w:sz="12" w:space="0" w:color="000000"/>
            </w:tcBorders>
          </w:tcPr>
          <w:p>
            <w:pPr/>
          </w:p>
        </w:tc>
      </w:tr>
    </w:tbl>
    <w:p>
      <w:pPr>
        <w:spacing w:after="0"/>
        <w:sectPr>
          <w:footerReference w:type="default" r:id="rId416"/>
          <w:pgSz w:w="15840" w:h="12240" w:orient="landscape"/>
          <w:pgMar w:footer="943" w:header="0" w:top="1140" w:bottom="1140" w:left="1200" w:right="1300"/>
          <w:pgNumType w:start="65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946"/>
        <w:gridCol w:w="1352"/>
        <w:gridCol w:w="2849"/>
        <w:gridCol w:w="1488"/>
        <w:gridCol w:w="2679"/>
        <w:gridCol w:w="1550"/>
      </w:tblGrid>
      <w:tr>
        <w:trPr>
          <w:trHeight w:val="1399" w:hRule="exact"/>
        </w:trPr>
        <w:tc>
          <w:tcPr>
            <w:tcW w:w="957"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123"/>
              <w:ind w:left="232"/>
              <w:rPr>
                <w:sz w:val="20"/>
              </w:rPr>
            </w:pPr>
            <w:r>
              <w:rPr>
                <w:sz w:val="20"/>
              </w:rPr>
              <w:t>2016</w:t>
            </w:r>
          </w:p>
        </w:tc>
        <w:tc>
          <w:tcPr>
            <w:tcW w:w="1946" w:type="dxa"/>
          </w:tcPr>
          <w:p>
            <w:pPr/>
          </w:p>
        </w:tc>
        <w:tc>
          <w:tcPr>
            <w:tcW w:w="1352" w:type="dxa"/>
          </w:tcPr>
          <w:p>
            <w:pPr/>
          </w:p>
        </w:tc>
        <w:tc>
          <w:tcPr>
            <w:tcW w:w="2849" w:type="dxa"/>
          </w:tcPr>
          <w:p>
            <w:pPr>
              <w:pStyle w:val="TableParagraph"/>
              <w:spacing w:before="7"/>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768" w:val="left" w:leader="none"/>
                <w:tab w:pos="2411" w:val="left" w:leader="none"/>
              </w:tabs>
              <w:ind w:left="280" w:right="103" w:hanging="178"/>
              <w:jc w:val="both"/>
              <w:rPr>
                <w:sz w:val="20"/>
              </w:rPr>
            </w:pPr>
            <w:r>
              <w:rPr>
                <w:rFonts w:ascii="Wingdings" w:hAnsi="Wingdings"/>
                <w:spacing w:val="3"/>
                <w:sz w:val="20"/>
              </w:rPr>
              <w:t></w:t>
            </w:r>
            <w:r>
              <w:rPr>
                <w:spacing w:val="3"/>
                <w:sz w:val="20"/>
              </w:rPr>
              <w:t>Existe</w:t>
              <w:tab/>
            </w:r>
            <w:r>
              <w:rPr>
                <w:w w:val="95"/>
                <w:sz w:val="20"/>
              </w:rPr>
              <w:t>planeación </w:t>
            </w:r>
            <w:r>
              <w:rPr>
                <w:sz w:val="20"/>
              </w:rPr>
              <w:t>sociopolítica</w:t>
              <w:tab/>
              <w:tab/>
              <w:t>con articulación entre</w:t>
            </w:r>
            <w:r>
              <w:rPr>
                <w:spacing w:val="-11"/>
                <w:sz w:val="20"/>
              </w:rPr>
              <w:t> </w:t>
            </w:r>
            <w:r>
              <w:rPr>
                <w:sz w:val="20"/>
              </w:rPr>
              <w:t>actores</w:t>
            </w:r>
          </w:p>
        </w:tc>
        <w:tc>
          <w:tcPr>
            <w:tcW w:w="1488" w:type="dxa"/>
          </w:tcPr>
          <w:p>
            <w:pPr/>
          </w:p>
        </w:tc>
        <w:tc>
          <w:tcPr>
            <w:tcW w:w="2679" w:type="dxa"/>
          </w:tcPr>
          <w:p>
            <w:pPr/>
          </w:p>
        </w:tc>
        <w:tc>
          <w:tcPr>
            <w:tcW w:w="1550" w:type="dxa"/>
            <w:tcBorders>
              <w:right w:val="double" w:sz="12" w:space="0" w:color="000000"/>
            </w:tcBorders>
          </w:tcPr>
          <w:p>
            <w:pPr>
              <w:pStyle w:val="TableParagraph"/>
              <w:ind w:left="0" w:right="-50"/>
              <w:rPr>
                <w:rFonts w:ascii="Times New Roman"/>
                <w:sz w:val="20"/>
              </w:rPr>
            </w:pPr>
            <w:r>
              <w:rPr>
                <w:rFonts w:ascii="Times New Roman"/>
                <w:sz w:val="20"/>
              </w:rPr>
              <w:pict>
                <v:group style="width:75.150pt;height:69pt;mso-position-horizontal-relative:char;mso-position-vertical-relative:line" coordorigin="0,0" coordsize="1503,1380">
                  <v:shape style="position:absolute;left:0;top:0;width:1502;height:1380" type="#_x0000_t75" stroked="false">
                    <v:imagedata r:id="rId427" o:title=""/>
                  </v:shape>
                </v:group>
              </w:pict>
            </w:r>
            <w:r>
              <w:rPr>
                <w:rFonts w:ascii="Times New Roman"/>
                <w:sz w:val="20"/>
              </w:rPr>
            </w:r>
          </w:p>
        </w:tc>
      </w:tr>
      <w:tr>
        <w:trPr>
          <w:trHeight w:val="3231" w:hRule="exact"/>
        </w:trPr>
        <w:tc>
          <w:tcPr>
            <w:tcW w:w="957" w:type="dxa"/>
            <w:vMerge w:val="restart"/>
            <w:tcBorders>
              <w:left w:val="double" w:sz="11" w:space="0" w:color="000000"/>
            </w:tcBorders>
          </w:tcPr>
          <w:p>
            <w:pPr/>
          </w:p>
        </w:tc>
        <w:tc>
          <w:tcPr>
            <w:tcW w:w="194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2"/>
              <w:jc w:val="center"/>
              <w:rPr>
                <w:b/>
                <w:sz w:val="20"/>
              </w:rPr>
            </w:pPr>
            <w:r>
              <w:rPr>
                <w:b/>
                <w:w w:val="99"/>
                <w:sz w:val="20"/>
              </w:rPr>
              <w:t>1</w:t>
            </w:r>
          </w:p>
        </w:tc>
        <w:tc>
          <w:tcPr>
            <w:tcW w:w="1352" w:type="dxa"/>
          </w:tcPr>
          <w:p>
            <w:pPr>
              <w:pStyle w:val="TableParagraph"/>
              <w:spacing w:line="227" w:lineRule="exact"/>
              <w:rPr>
                <w:sz w:val="20"/>
              </w:rPr>
            </w:pPr>
            <w:r>
              <w:rPr>
                <w:sz w:val="20"/>
              </w:rPr>
              <w:t>Ambiental</w:t>
            </w:r>
          </w:p>
        </w:tc>
        <w:tc>
          <w:tcPr>
            <w:tcW w:w="2849" w:type="dxa"/>
          </w:tcPr>
          <w:p>
            <w:pPr>
              <w:pStyle w:val="TableParagraph"/>
              <w:numPr>
                <w:ilvl w:val="0"/>
                <w:numId w:val="197"/>
              </w:numPr>
              <w:tabs>
                <w:tab w:pos="812" w:val="left" w:leader="none"/>
              </w:tabs>
              <w:spacing w:line="240" w:lineRule="auto" w:before="0" w:after="0"/>
              <w:ind w:left="280" w:right="101" w:hanging="141"/>
              <w:jc w:val="both"/>
              <w:rPr>
                <w:sz w:val="20"/>
              </w:rPr>
            </w:pPr>
            <w:r>
              <w:rPr>
                <w:sz w:val="20"/>
              </w:rPr>
              <w:t>Existe voluntad  de los actores de la CHPH para cuidar el medio ambiente</w:t>
            </w:r>
          </w:p>
          <w:p>
            <w:pPr>
              <w:pStyle w:val="TableParagraph"/>
              <w:numPr>
                <w:ilvl w:val="0"/>
                <w:numId w:val="197"/>
              </w:numPr>
              <w:tabs>
                <w:tab w:pos="812" w:val="left" w:leader="none"/>
                <w:tab w:pos="2080" w:val="left" w:leader="none"/>
              </w:tabs>
              <w:spacing w:line="240" w:lineRule="auto" w:before="0" w:after="0"/>
              <w:ind w:left="280" w:right="103" w:hanging="141"/>
              <w:jc w:val="both"/>
              <w:rPr>
                <w:sz w:val="20"/>
              </w:rPr>
            </w:pPr>
            <w:r>
              <w:rPr>
                <w:sz w:val="20"/>
              </w:rPr>
              <w:t>Los</w:t>
              <w:tab/>
            </w:r>
            <w:r>
              <w:rPr>
                <w:w w:val="95"/>
                <w:sz w:val="20"/>
              </w:rPr>
              <w:t>actores </w:t>
            </w:r>
            <w:r>
              <w:rPr>
                <w:sz w:val="20"/>
              </w:rPr>
              <w:t>históricos autogestionan sus propios recursos naturales</w:t>
            </w:r>
          </w:p>
          <w:p>
            <w:pPr>
              <w:pStyle w:val="TableParagraph"/>
              <w:numPr>
                <w:ilvl w:val="0"/>
                <w:numId w:val="197"/>
              </w:numPr>
              <w:tabs>
                <w:tab w:pos="812" w:val="left" w:leader="none"/>
              </w:tabs>
              <w:spacing w:line="240" w:lineRule="auto" w:before="0" w:after="0"/>
              <w:ind w:left="280" w:right="102" w:hanging="141"/>
              <w:jc w:val="both"/>
              <w:rPr>
                <w:sz w:val="20"/>
              </w:rPr>
            </w:pPr>
            <w:r>
              <w:rPr>
                <w:sz w:val="20"/>
              </w:rPr>
              <w:t>Los actores de la CHPH procuran la sostenibilidad de la</w:t>
            </w:r>
            <w:r>
              <w:rPr>
                <w:spacing w:val="-9"/>
                <w:sz w:val="20"/>
              </w:rPr>
              <w:t> </w:t>
            </w:r>
            <w:r>
              <w:rPr>
                <w:sz w:val="20"/>
              </w:rPr>
              <w:t>CHPH</w:t>
            </w:r>
          </w:p>
          <w:p>
            <w:pPr>
              <w:pStyle w:val="TableParagraph"/>
              <w:numPr>
                <w:ilvl w:val="0"/>
                <w:numId w:val="197"/>
              </w:numPr>
              <w:tabs>
                <w:tab w:pos="812" w:val="left" w:leader="none"/>
              </w:tabs>
              <w:spacing w:line="240" w:lineRule="auto" w:before="0" w:after="0"/>
              <w:ind w:left="280" w:right="102" w:hanging="141"/>
              <w:jc w:val="both"/>
              <w:rPr>
                <w:sz w:val="20"/>
              </w:rPr>
            </w:pPr>
            <w:r>
              <w:rPr>
                <w:sz w:val="20"/>
              </w:rPr>
              <w:t>Existe planeación ambiental con articulación entre</w:t>
            </w:r>
            <w:r>
              <w:rPr>
                <w:spacing w:val="-5"/>
                <w:sz w:val="20"/>
              </w:rPr>
              <w:t> </w:t>
            </w:r>
            <w:r>
              <w:rPr>
                <w:sz w:val="20"/>
              </w:rPr>
              <w:t>actores</w:t>
            </w:r>
          </w:p>
        </w:tc>
        <w:tc>
          <w:tcPr>
            <w:tcW w:w="1488" w:type="dxa"/>
            <w:vMerge w:val="restart"/>
          </w:tcPr>
          <w:p>
            <w:pPr/>
          </w:p>
        </w:tc>
        <w:tc>
          <w:tcPr>
            <w:tcW w:w="2679" w:type="dxa"/>
            <w:vMerge w:val="restart"/>
          </w:tcPr>
          <w:p>
            <w:pPr>
              <w:pStyle w:val="TableParagraph"/>
              <w:spacing w:line="242" w:lineRule="auto"/>
              <w:ind w:right="102"/>
              <w:jc w:val="both"/>
              <w:rPr>
                <w:sz w:val="20"/>
              </w:rPr>
            </w:pPr>
            <w:r>
              <w:rPr>
                <w:sz w:val="20"/>
              </w:rPr>
              <w:t>Debe reunir </w:t>
            </w:r>
            <w:r>
              <w:rPr>
                <w:b/>
                <w:sz w:val="20"/>
              </w:rPr>
              <w:t>al menos el 50% una de tres </w:t>
            </w:r>
            <w:r>
              <w:rPr>
                <w:sz w:val="20"/>
              </w:rPr>
              <w:t>características de impacto positivo</w:t>
            </w:r>
          </w:p>
        </w:tc>
        <w:tc>
          <w:tcPr>
            <w:tcW w:w="1550"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379"/>
              <w:rPr>
                <w:b/>
                <w:sz w:val="20"/>
              </w:rPr>
            </w:pPr>
            <w:r>
              <w:rPr>
                <w:b/>
                <w:sz w:val="20"/>
              </w:rPr>
              <w:t>Regular</w:t>
            </w:r>
          </w:p>
        </w:tc>
      </w:tr>
      <w:tr>
        <w:trPr>
          <w:trHeight w:val="2549" w:hRule="exact"/>
        </w:trPr>
        <w:tc>
          <w:tcPr>
            <w:tcW w:w="957" w:type="dxa"/>
            <w:vMerge/>
            <w:tcBorders>
              <w:left w:val="double" w:sz="11" w:space="0" w:color="000000"/>
            </w:tcBorders>
          </w:tcPr>
          <w:p>
            <w:pPr/>
          </w:p>
        </w:tc>
        <w:tc>
          <w:tcPr>
            <w:tcW w:w="1946" w:type="dxa"/>
            <w:vMerge/>
          </w:tcPr>
          <w:p>
            <w:pPr/>
          </w:p>
        </w:tc>
        <w:tc>
          <w:tcPr>
            <w:tcW w:w="1352" w:type="dxa"/>
          </w:tcPr>
          <w:p>
            <w:pPr>
              <w:pStyle w:val="TableParagraph"/>
              <w:spacing w:line="228" w:lineRule="exact"/>
              <w:rPr>
                <w:sz w:val="20"/>
              </w:rPr>
            </w:pPr>
            <w:r>
              <w:rPr>
                <w:sz w:val="20"/>
              </w:rPr>
              <w:t>Económico</w:t>
            </w:r>
          </w:p>
        </w:tc>
        <w:tc>
          <w:tcPr>
            <w:tcW w:w="2849" w:type="dxa"/>
          </w:tcPr>
          <w:p>
            <w:pPr>
              <w:pStyle w:val="TableParagraph"/>
              <w:numPr>
                <w:ilvl w:val="0"/>
                <w:numId w:val="198"/>
              </w:numPr>
              <w:tabs>
                <w:tab w:pos="812" w:val="left" w:leader="none"/>
              </w:tabs>
              <w:spacing w:line="240" w:lineRule="auto" w:before="0" w:after="0"/>
              <w:ind w:left="280" w:right="102"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198"/>
              </w:numPr>
              <w:tabs>
                <w:tab w:pos="812" w:val="left" w:leader="none"/>
              </w:tabs>
              <w:spacing w:line="240" w:lineRule="auto" w:before="0" w:after="0"/>
              <w:ind w:left="280" w:right="102" w:hanging="141"/>
              <w:jc w:val="both"/>
              <w:rPr>
                <w:sz w:val="20"/>
              </w:rPr>
            </w:pPr>
            <w:r>
              <w:rPr>
                <w:sz w:val="20"/>
              </w:rPr>
              <w:t>Existe crecimiento económico igualitario en  los municipios que integran la</w:t>
            </w:r>
            <w:r>
              <w:rPr>
                <w:spacing w:val="-5"/>
                <w:sz w:val="20"/>
              </w:rPr>
              <w:t> </w:t>
            </w:r>
            <w:r>
              <w:rPr>
                <w:sz w:val="20"/>
              </w:rPr>
              <w:t>CHPH</w:t>
            </w:r>
          </w:p>
          <w:p>
            <w:pPr>
              <w:pStyle w:val="TableParagraph"/>
              <w:numPr>
                <w:ilvl w:val="0"/>
                <w:numId w:val="198"/>
              </w:numPr>
              <w:tabs>
                <w:tab w:pos="812" w:val="left" w:leader="none"/>
              </w:tabs>
              <w:spacing w:line="240" w:lineRule="auto" w:before="0" w:after="0"/>
              <w:ind w:left="280" w:right="102" w:hanging="141"/>
              <w:jc w:val="both"/>
              <w:rPr>
                <w:sz w:val="20"/>
              </w:rPr>
            </w:pPr>
            <w:r>
              <w:rPr>
                <w:sz w:val="20"/>
              </w:rPr>
              <w:t>Existe planeación económica con articulación entre</w:t>
            </w:r>
            <w:r>
              <w:rPr>
                <w:spacing w:val="-5"/>
                <w:sz w:val="20"/>
              </w:rPr>
              <w:t> </w:t>
            </w:r>
            <w:r>
              <w:rPr>
                <w:sz w:val="20"/>
              </w:rPr>
              <w:t>actores</w:t>
            </w:r>
          </w:p>
        </w:tc>
        <w:tc>
          <w:tcPr>
            <w:tcW w:w="1488" w:type="dxa"/>
            <w:vMerge/>
          </w:tcPr>
          <w:p>
            <w:pPr/>
          </w:p>
        </w:tc>
        <w:tc>
          <w:tcPr>
            <w:tcW w:w="2679" w:type="dxa"/>
            <w:vMerge/>
          </w:tcPr>
          <w:p>
            <w:pPr/>
          </w:p>
        </w:tc>
        <w:tc>
          <w:tcPr>
            <w:tcW w:w="1550" w:type="dxa"/>
            <w:vMerge/>
            <w:tcBorders>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946"/>
        <w:gridCol w:w="1352"/>
        <w:gridCol w:w="2849"/>
        <w:gridCol w:w="1488"/>
        <w:gridCol w:w="2679"/>
        <w:gridCol w:w="1550"/>
      </w:tblGrid>
      <w:tr>
        <w:trPr>
          <w:trHeight w:val="3291" w:hRule="exact"/>
        </w:trPr>
        <w:tc>
          <w:tcPr>
            <w:tcW w:w="957" w:type="dxa"/>
            <w:tcBorders>
              <w:left w:val="double" w:sz="11" w:space="0" w:color="000000"/>
            </w:tcBorders>
          </w:tcPr>
          <w:p>
            <w:pPr/>
          </w:p>
        </w:tc>
        <w:tc>
          <w:tcPr>
            <w:tcW w:w="1946" w:type="dxa"/>
          </w:tcPr>
          <w:p>
            <w:pPr/>
          </w:p>
        </w:tc>
        <w:tc>
          <w:tcPr>
            <w:tcW w:w="1352" w:type="dxa"/>
          </w:tcPr>
          <w:p>
            <w:pPr>
              <w:pStyle w:val="TableParagraph"/>
              <w:spacing w:before="7"/>
              <w:rPr>
                <w:sz w:val="20"/>
              </w:rPr>
            </w:pPr>
            <w:r>
              <w:rPr>
                <w:sz w:val="20"/>
              </w:rPr>
              <w:t>Sociopolítico</w:t>
            </w:r>
          </w:p>
        </w:tc>
        <w:tc>
          <w:tcPr>
            <w:tcW w:w="2849" w:type="dxa"/>
          </w:tcPr>
          <w:p>
            <w:pPr>
              <w:pStyle w:val="TableParagraph"/>
              <w:spacing w:before="7"/>
              <w:ind w:left="280" w:right="103" w:hanging="178"/>
              <w:jc w:val="both"/>
              <w:rPr>
                <w:sz w:val="20"/>
              </w:rPr>
            </w:pPr>
            <w:r>
              <w:rPr>
                <w:rFonts w:ascii="Wingdings" w:hAnsi="Wingdings"/>
                <w:spacing w:val="2"/>
                <w:sz w:val="20"/>
              </w:rPr>
              <w:t></w:t>
            </w:r>
            <w:r>
              <w:rPr>
                <w:spacing w:val="2"/>
                <w:sz w:val="20"/>
              </w:rPr>
              <w:t>Favorece</w:t>
            </w:r>
            <w:r>
              <w:rPr>
                <w:spacing w:val="59"/>
                <w:sz w:val="20"/>
              </w:rPr>
              <w:t> </w:t>
            </w:r>
            <w:r>
              <w:rPr>
                <w:sz w:val="20"/>
              </w:rPr>
              <w:t>la acción colectiva de los actores de la CHPH para resolver sus problemas comunes</w:t>
            </w:r>
          </w:p>
          <w:p>
            <w:pPr>
              <w:pStyle w:val="TableParagraph"/>
              <w:ind w:left="280" w:right="105" w:hanging="178"/>
              <w:jc w:val="both"/>
              <w:rPr>
                <w:sz w:val="20"/>
              </w:rPr>
            </w:pPr>
            <w:r>
              <w:rPr>
                <w:rFonts w:ascii="Wingdings" w:hAnsi="Wingdings"/>
                <w:sz w:val="20"/>
              </w:rPr>
              <w:t></w:t>
            </w:r>
            <w:r>
              <w:rPr>
                <w:sz w:val="20"/>
              </w:rPr>
              <w:t>Favorece la organización sociopolítica de los actores de la CHPH por la vía democrática</w:t>
            </w:r>
          </w:p>
          <w:p>
            <w:pPr>
              <w:pStyle w:val="TableParagraph"/>
              <w:rPr>
                <w:sz w:val="20"/>
              </w:rPr>
            </w:pPr>
            <w:r>
              <w:rPr>
                <w:rFonts w:ascii="Wingdings" w:hAnsi="Wingdings"/>
                <w:sz w:val="20"/>
              </w:rPr>
              <w:t></w:t>
            </w:r>
            <w:r>
              <w:rPr>
                <w:sz w:val="20"/>
              </w:rPr>
              <w:t>Favorece la GIRH</w:t>
            </w:r>
          </w:p>
          <w:p>
            <w:pPr>
              <w:pStyle w:val="TableParagraph"/>
              <w:spacing w:line="229" w:lineRule="exact" w:before="1"/>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tabs>
                <w:tab w:pos="1768" w:val="left" w:leader="none"/>
                <w:tab w:pos="2411" w:val="left" w:leader="none"/>
              </w:tabs>
              <w:ind w:left="280" w:right="103" w:hanging="178"/>
              <w:jc w:val="both"/>
              <w:rPr>
                <w:sz w:val="20"/>
              </w:rPr>
            </w:pPr>
            <w:r>
              <w:rPr>
                <w:rFonts w:ascii="Wingdings" w:hAnsi="Wingdings"/>
                <w:spacing w:val="3"/>
                <w:sz w:val="20"/>
              </w:rPr>
              <w:t></w:t>
            </w:r>
            <w:r>
              <w:rPr>
                <w:spacing w:val="3"/>
                <w:sz w:val="20"/>
              </w:rPr>
              <w:t>Existe</w:t>
              <w:tab/>
            </w:r>
            <w:r>
              <w:rPr>
                <w:w w:val="95"/>
                <w:sz w:val="20"/>
              </w:rPr>
              <w:t>planeación </w:t>
            </w:r>
            <w:r>
              <w:rPr>
                <w:sz w:val="20"/>
              </w:rPr>
              <w:t>sociopolítica</w:t>
              <w:tab/>
              <w:tab/>
              <w:t>con articulación entre</w:t>
            </w:r>
            <w:r>
              <w:rPr>
                <w:spacing w:val="-11"/>
                <w:sz w:val="20"/>
              </w:rPr>
              <w:t> </w:t>
            </w:r>
            <w:r>
              <w:rPr>
                <w:sz w:val="20"/>
              </w:rPr>
              <w:t>actores</w:t>
            </w:r>
          </w:p>
        </w:tc>
        <w:tc>
          <w:tcPr>
            <w:tcW w:w="1488" w:type="dxa"/>
          </w:tcPr>
          <w:p>
            <w:pPr/>
          </w:p>
        </w:tc>
        <w:tc>
          <w:tcPr>
            <w:tcW w:w="2679" w:type="dxa"/>
          </w:tcPr>
          <w:p>
            <w:pPr/>
          </w:p>
        </w:tc>
        <w:tc>
          <w:tcPr>
            <w:tcW w:w="1550" w:type="dxa"/>
            <w:tcBorders>
              <w:right w:val="double" w:sz="12" w:space="0" w:color="000000"/>
            </w:tcBorders>
            <w:shd w:val="clear" w:color="auto" w:fill="FFFF00"/>
          </w:tcPr>
          <w:p>
            <w:pPr/>
          </w:p>
        </w:tc>
      </w:tr>
      <w:tr>
        <w:trPr>
          <w:trHeight w:val="3228" w:hRule="exact"/>
        </w:trPr>
        <w:tc>
          <w:tcPr>
            <w:tcW w:w="957"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17"/>
              <w:ind w:left="232"/>
              <w:rPr>
                <w:sz w:val="20"/>
              </w:rPr>
            </w:pPr>
            <w:r>
              <w:rPr>
                <w:sz w:val="20"/>
              </w:rPr>
              <w:t>1580</w:t>
            </w:r>
          </w:p>
        </w:tc>
        <w:tc>
          <w:tcPr>
            <w:tcW w:w="194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9"/>
              </w:rPr>
            </w:pPr>
          </w:p>
          <w:p>
            <w:pPr>
              <w:pStyle w:val="TableParagraph"/>
              <w:ind w:left="2"/>
              <w:jc w:val="center"/>
              <w:rPr>
                <w:b/>
                <w:sz w:val="20"/>
              </w:rPr>
            </w:pPr>
            <w:r>
              <w:rPr>
                <w:b/>
                <w:w w:val="99"/>
                <w:sz w:val="20"/>
              </w:rPr>
              <w:t>1</w:t>
            </w:r>
          </w:p>
        </w:tc>
        <w:tc>
          <w:tcPr>
            <w:tcW w:w="1352" w:type="dxa"/>
          </w:tcPr>
          <w:p>
            <w:pPr>
              <w:pStyle w:val="TableParagraph"/>
              <w:spacing w:line="227" w:lineRule="exact"/>
              <w:rPr>
                <w:sz w:val="20"/>
              </w:rPr>
            </w:pPr>
            <w:r>
              <w:rPr>
                <w:sz w:val="20"/>
              </w:rPr>
              <w:t>Ambiental</w:t>
            </w:r>
          </w:p>
        </w:tc>
        <w:tc>
          <w:tcPr>
            <w:tcW w:w="2849" w:type="dxa"/>
          </w:tcPr>
          <w:p>
            <w:pPr>
              <w:pStyle w:val="TableParagraph"/>
              <w:numPr>
                <w:ilvl w:val="0"/>
                <w:numId w:val="199"/>
              </w:numPr>
              <w:tabs>
                <w:tab w:pos="812" w:val="left" w:leader="none"/>
              </w:tabs>
              <w:spacing w:line="240" w:lineRule="auto" w:before="0" w:after="0"/>
              <w:ind w:left="280" w:right="101" w:hanging="141"/>
              <w:jc w:val="both"/>
              <w:rPr>
                <w:sz w:val="20"/>
              </w:rPr>
            </w:pPr>
            <w:r>
              <w:rPr>
                <w:sz w:val="20"/>
              </w:rPr>
              <w:t>Existe voluntad  de los actores de la CHPH para cuidar el medio ambiente</w:t>
            </w:r>
          </w:p>
          <w:p>
            <w:pPr>
              <w:pStyle w:val="TableParagraph"/>
              <w:numPr>
                <w:ilvl w:val="0"/>
                <w:numId w:val="199"/>
              </w:numPr>
              <w:tabs>
                <w:tab w:pos="812" w:val="left" w:leader="none"/>
                <w:tab w:pos="2080" w:val="left" w:leader="none"/>
              </w:tabs>
              <w:spacing w:line="240" w:lineRule="auto" w:before="0" w:after="0"/>
              <w:ind w:left="280" w:right="103" w:hanging="141"/>
              <w:jc w:val="both"/>
              <w:rPr>
                <w:sz w:val="20"/>
              </w:rPr>
            </w:pPr>
            <w:r>
              <w:rPr>
                <w:sz w:val="20"/>
              </w:rPr>
              <w:t>Los</w:t>
              <w:tab/>
            </w:r>
            <w:r>
              <w:rPr>
                <w:w w:val="95"/>
                <w:sz w:val="20"/>
              </w:rPr>
              <w:t>actores </w:t>
            </w:r>
            <w:r>
              <w:rPr>
                <w:sz w:val="20"/>
              </w:rPr>
              <w:t>históricos autogestionan sus propios recursos naturales</w:t>
            </w:r>
          </w:p>
          <w:p>
            <w:pPr>
              <w:pStyle w:val="TableParagraph"/>
              <w:numPr>
                <w:ilvl w:val="0"/>
                <w:numId w:val="199"/>
              </w:numPr>
              <w:tabs>
                <w:tab w:pos="812" w:val="left" w:leader="none"/>
              </w:tabs>
              <w:spacing w:line="240" w:lineRule="auto" w:before="0" w:after="0"/>
              <w:ind w:left="280" w:right="102" w:hanging="141"/>
              <w:jc w:val="both"/>
              <w:rPr>
                <w:sz w:val="20"/>
              </w:rPr>
            </w:pPr>
            <w:r>
              <w:rPr>
                <w:sz w:val="20"/>
              </w:rPr>
              <w:t>Los actores de la CHPH procuran la sostenibilidad de la</w:t>
            </w:r>
            <w:r>
              <w:rPr>
                <w:spacing w:val="-9"/>
                <w:sz w:val="20"/>
              </w:rPr>
              <w:t> </w:t>
            </w:r>
            <w:r>
              <w:rPr>
                <w:sz w:val="20"/>
              </w:rPr>
              <w:t>CHPH</w:t>
            </w:r>
          </w:p>
          <w:p>
            <w:pPr>
              <w:pStyle w:val="TableParagraph"/>
              <w:numPr>
                <w:ilvl w:val="0"/>
                <w:numId w:val="199"/>
              </w:numPr>
              <w:tabs>
                <w:tab w:pos="812" w:val="left" w:leader="none"/>
              </w:tabs>
              <w:spacing w:line="240" w:lineRule="auto" w:before="0" w:after="0"/>
              <w:ind w:left="280" w:right="102" w:hanging="141"/>
              <w:jc w:val="both"/>
              <w:rPr>
                <w:sz w:val="20"/>
              </w:rPr>
            </w:pPr>
            <w:r>
              <w:rPr>
                <w:sz w:val="20"/>
              </w:rPr>
              <w:t>Existe planeación ambiental con articulación entre</w:t>
            </w:r>
            <w:r>
              <w:rPr>
                <w:spacing w:val="-5"/>
                <w:sz w:val="20"/>
              </w:rPr>
              <w:t> </w:t>
            </w:r>
            <w:r>
              <w:rPr>
                <w:sz w:val="20"/>
              </w:rPr>
              <w:t>actores</w:t>
            </w:r>
          </w:p>
        </w:tc>
        <w:tc>
          <w:tcPr>
            <w:tcW w:w="1488"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480"/>
              <w:rPr>
                <w:sz w:val="20"/>
              </w:rPr>
            </w:pPr>
            <w:r>
              <w:rPr>
                <w:sz w:val="20"/>
              </w:rPr>
              <w:t>&lt;50%</w:t>
            </w:r>
          </w:p>
        </w:tc>
        <w:tc>
          <w:tcPr>
            <w:tcW w:w="2679" w:type="dxa"/>
            <w:vMerge w:val="restart"/>
          </w:tcPr>
          <w:p>
            <w:pPr>
              <w:pStyle w:val="TableParagraph"/>
              <w:ind w:right="103"/>
              <w:jc w:val="both"/>
              <w:rPr>
                <w:sz w:val="20"/>
              </w:rPr>
            </w:pPr>
            <w:r>
              <w:rPr>
                <w:sz w:val="20"/>
              </w:rPr>
              <w:t>No reúne ni el 50% en </w:t>
            </w:r>
            <w:r>
              <w:rPr>
                <w:b/>
                <w:sz w:val="20"/>
              </w:rPr>
              <w:t>ninguna </w:t>
            </w:r>
            <w:r>
              <w:rPr>
                <w:sz w:val="20"/>
              </w:rPr>
              <w:t>de las de impacto positivo</w:t>
            </w:r>
          </w:p>
        </w:tc>
        <w:tc>
          <w:tcPr>
            <w:tcW w:w="1550"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273"/>
              <w:rPr>
                <w:b/>
                <w:sz w:val="20"/>
              </w:rPr>
            </w:pPr>
            <w:r>
              <w:rPr>
                <w:b/>
                <w:sz w:val="20"/>
              </w:rPr>
              <w:t>Deficiente</w:t>
            </w:r>
          </w:p>
        </w:tc>
      </w:tr>
      <w:tr>
        <w:trPr>
          <w:trHeight w:val="2081" w:hRule="exact"/>
        </w:trPr>
        <w:tc>
          <w:tcPr>
            <w:tcW w:w="957" w:type="dxa"/>
            <w:vMerge/>
            <w:tcBorders>
              <w:left w:val="double" w:sz="11" w:space="0" w:color="000000"/>
            </w:tcBorders>
          </w:tcPr>
          <w:p>
            <w:pPr/>
          </w:p>
        </w:tc>
        <w:tc>
          <w:tcPr>
            <w:tcW w:w="1946" w:type="dxa"/>
            <w:vMerge/>
          </w:tcPr>
          <w:p>
            <w:pPr/>
          </w:p>
        </w:tc>
        <w:tc>
          <w:tcPr>
            <w:tcW w:w="1352" w:type="dxa"/>
          </w:tcPr>
          <w:p>
            <w:pPr>
              <w:pStyle w:val="TableParagraph"/>
              <w:spacing w:line="227" w:lineRule="exact"/>
              <w:rPr>
                <w:sz w:val="20"/>
              </w:rPr>
            </w:pPr>
            <w:r>
              <w:rPr>
                <w:sz w:val="20"/>
              </w:rPr>
              <w:t>Económico</w:t>
            </w:r>
          </w:p>
        </w:tc>
        <w:tc>
          <w:tcPr>
            <w:tcW w:w="2849" w:type="dxa"/>
          </w:tcPr>
          <w:p>
            <w:pPr>
              <w:pStyle w:val="TableParagraph"/>
              <w:numPr>
                <w:ilvl w:val="0"/>
                <w:numId w:val="200"/>
              </w:numPr>
              <w:tabs>
                <w:tab w:pos="812" w:val="left" w:leader="none"/>
              </w:tabs>
              <w:spacing w:line="240" w:lineRule="auto" w:before="0" w:after="0"/>
              <w:ind w:left="280" w:right="102"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200"/>
              </w:numPr>
              <w:tabs>
                <w:tab w:pos="812" w:val="left" w:leader="none"/>
              </w:tabs>
              <w:spacing w:line="240" w:lineRule="auto" w:before="0" w:after="0"/>
              <w:ind w:left="280" w:right="102" w:hanging="141"/>
              <w:jc w:val="both"/>
              <w:rPr>
                <w:sz w:val="20"/>
              </w:rPr>
            </w:pPr>
            <w:r>
              <w:rPr>
                <w:sz w:val="20"/>
              </w:rPr>
              <w:t>Existe crecimiento económico igualitario en  los municipios que integran la</w:t>
            </w:r>
            <w:r>
              <w:rPr>
                <w:spacing w:val="-5"/>
                <w:sz w:val="20"/>
              </w:rPr>
              <w:t> </w:t>
            </w:r>
            <w:r>
              <w:rPr>
                <w:sz w:val="20"/>
              </w:rPr>
              <w:t>CHPH</w:t>
            </w:r>
          </w:p>
          <w:p>
            <w:pPr>
              <w:pStyle w:val="TableParagraph"/>
              <w:numPr>
                <w:ilvl w:val="0"/>
                <w:numId w:val="200"/>
              </w:numPr>
              <w:tabs>
                <w:tab w:pos="811" w:val="left" w:leader="none"/>
                <w:tab w:pos="812" w:val="left" w:leader="none"/>
                <w:tab w:pos="1768" w:val="left" w:leader="none"/>
              </w:tabs>
              <w:spacing w:line="240" w:lineRule="auto" w:before="0" w:after="0"/>
              <w:ind w:left="811" w:right="0" w:hanging="672"/>
              <w:jc w:val="left"/>
              <w:rPr>
                <w:sz w:val="20"/>
              </w:rPr>
            </w:pPr>
            <w:r>
              <w:rPr>
                <w:sz w:val="20"/>
              </w:rPr>
              <w:t>Existe</w:t>
              <w:tab/>
              <w:t>planeación</w:t>
            </w:r>
          </w:p>
        </w:tc>
        <w:tc>
          <w:tcPr>
            <w:tcW w:w="1488" w:type="dxa"/>
            <w:vMerge/>
          </w:tcPr>
          <w:p>
            <w:pPr/>
          </w:p>
        </w:tc>
        <w:tc>
          <w:tcPr>
            <w:tcW w:w="2679" w:type="dxa"/>
            <w:vMerge/>
          </w:tcPr>
          <w:p>
            <w:pPr/>
          </w:p>
        </w:tc>
        <w:tc>
          <w:tcPr>
            <w:tcW w:w="1550" w:type="dxa"/>
            <w:vMerge/>
            <w:tcBorders>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7"/>
        <w:gridCol w:w="1946"/>
        <w:gridCol w:w="1352"/>
        <w:gridCol w:w="2849"/>
        <w:gridCol w:w="1488"/>
        <w:gridCol w:w="2679"/>
        <w:gridCol w:w="1550"/>
      </w:tblGrid>
      <w:tr>
        <w:trPr>
          <w:trHeight w:val="1082" w:hRule="exact"/>
        </w:trPr>
        <w:tc>
          <w:tcPr>
            <w:tcW w:w="957" w:type="dxa"/>
            <w:tcBorders>
              <w:left w:val="double" w:sz="11" w:space="0" w:color="000000"/>
            </w:tcBorders>
          </w:tcPr>
          <w:p>
            <w:pPr/>
          </w:p>
        </w:tc>
        <w:tc>
          <w:tcPr>
            <w:tcW w:w="1946" w:type="dxa"/>
            <w:vMerge w:val="restart"/>
          </w:tcPr>
          <w:p>
            <w:pPr/>
          </w:p>
        </w:tc>
        <w:tc>
          <w:tcPr>
            <w:tcW w:w="1352" w:type="dxa"/>
          </w:tcPr>
          <w:p>
            <w:pPr/>
          </w:p>
        </w:tc>
        <w:tc>
          <w:tcPr>
            <w:tcW w:w="2849" w:type="dxa"/>
          </w:tcPr>
          <w:p>
            <w:pPr>
              <w:pStyle w:val="TableParagraph"/>
              <w:spacing w:before="7"/>
              <w:ind w:left="280"/>
              <w:rPr>
                <w:sz w:val="20"/>
              </w:rPr>
            </w:pPr>
            <w:r>
              <w:rPr>
                <w:sz w:val="20"/>
              </w:rPr>
              <w:t>económica con articulación entre actores</w:t>
            </w:r>
          </w:p>
        </w:tc>
        <w:tc>
          <w:tcPr>
            <w:tcW w:w="1488" w:type="dxa"/>
            <w:vMerge w:val="restart"/>
          </w:tcPr>
          <w:p>
            <w:pPr/>
          </w:p>
        </w:tc>
        <w:tc>
          <w:tcPr>
            <w:tcW w:w="2679" w:type="dxa"/>
            <w:vMerge w:val="restart"/>
          </w:tcPr>
          <w:p>
            <w:pPr/>
          </w:p>
        </w:tc>
        <w:tc>
          <w:tcPr>
            <w:tcW w:w="1550" w:type="dxa"/>
            <w:vMerge w:val="restart"/>
            <w:tcBorders>
              <w:right w:val="double" w:sz="12" w:space="0" w:color="000000"/>
            </w:tcBorders>
            <w:shd w:val="clear" w:color="auto" w:fill="FF0000"/>
          </w:tcPr>
          <w:p>
            <w:pPr/>
          </w:p>
        </w:tc>
      </w:tr>
      <w:tr>
        <w:trPr>
          <w:trHeight w:val="3231" w:hRule="exact"/>
        </w:trPr>
        <w:tc>
          <w:tcPr>
            <w:tcW w:w="957"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9"/>
              </w:rPr>
            </w:pPr>
          </w:p>
          <w:p>
            <w:pPr>
              <w:pStyle w:val="TableParagraph"/>
              <w:ind w:left="232"/>
              <w:rPr>
                <w:sz w:val="20"/>
              </w:rPr>
            </w:pPr>
            <w:r>
              <w:rPr>
                <w:sz w:val="20"/>
              </w:rPr>
              <w:t>1785</w:t>
            </w:r>
          </w:p>
        </w:tc>
        <w:tc>
          <w:tcPr>
            <w:tcW w:w="1946" w:type="dxa"/>
            <w:vMerge/>
          </w:tcPr>
          <w:p>
            <w:pPr/>
          </w:p>
        </w:tc>
        <w:tc>
          <w:tcPr>
            <w:tcW w:w="1352" w:type="dxa"/>
          </w:tcPr>
          <w:p>
            <w:pPr>
              <w:pStyle w:val="TableParagraph"/>
              <w:spacing w:line="227" w:lineRule="exact"/>
              <w:rPr>
                <w:sz w:val="20"/>
              </w:rPr>
            </w:pPr>
            <w:r>
              <w:rPr>
                <w:sz w:val="20"/>
              </w:rPr>
              <w:t>Sociopolítico</w:t>
            </w:r>
          </w:p>
        </w:tc>
        <w:tc>
          <w:tcPr>
            <w:tcW w:w="2849" w:type="dxa"/>
          </w:tcPr>
          <w:p>
            <w:pPr>
              <w:pStyle w:val="TableParagraph"/>
              <w:ind w:left="280" w:right="103" w:hanging="178"/>
              <w:jc w:val="both"/>
              <w:rPr>
                <w:sz w:val="20"/>
              </w:rPr>
            </w:pPr>
            <w:r>
              <w:rPr>
                <w:rFonts w:ascii="Wingdings" w:hAnsi="Wingdings"/>
                <w:spacing w:val="2"/>
                <w:sz w:val="20"/>
              </w:rPr>
              <w:t></w:t>
            </w:r>
            <w:r>
              <w:rPr>
                <w:spacing w:val="2"/>
                <w:sz w:val="20"/>
              </w:rPr>
              <w:t>Favorece</w:t>
            </w:r>
            <w:r>
              <w:rPr>
                <w:spacing w:val="59"/>
                <w:sz w:val="20"/>
              </w:rPr>
              <w:t> </w:t>
            </w:r>
            <w:r>
              <w:rPr>
                <w:sz w:val="20"/>
              </w:rPr>
              <w:t>la acción colectiva de los actores de la CHPH para resolver sus problemas comunes</w:t>
            </w:r>
          </w:p>
          <w:p>
            <w:pPr>
              <w:pStyle w:val="TableParagraph"/>
              <w:ind w:left="280" w:right="104" w:hanging="178"/>
              <w:jc w:val="both"/>
              <w:rPr>
                <w:sz w:val="20"/>
              </w:rPr>
            </w:pPr>
            <w:r>
              <w:rPr>
                <w:rFonts w:ascii="Wingdings" w:hAnsi="Wingdings"/>
                <w:sz w:val="20"/>
              </w:rPr>
              <w:t></w:t>
            </w:r>
            <w:r>
              <w:rPr>
                <w:sz w:val="20"/>
              </w:rPr>
              <w:t>Favorece la organización sociopolítica de los actores de la CHPH por la vía democrática</w:t>
            </w:r>
          </w:p>
          <w:p>
            <w:pPr>
              <w:pStyle w:val="TableParagraph"/>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tabs>
                <w:tab w:pos="1768" w:val="left" w:leader="none"/>
                <w:tab w:pos="2411" w:val="left" w:leader="none"/>
              </w:tabs>
              <w:ind w:left="280" w:right="103" w:hanging="178"/>
              <w:jc w:val="both"/>
              <w:rPr>
                <w:sz w:val="20"/>
              </w:rPr>
            </w:pPr>
            <w:r>
              <w:rPr>
                <w:rFonts w:ascii="Wingdings" w:hAnsi="Wingdings"/>
                <w:spacing w:val="3"/>
                <w:sz w:val="20"/>
              </w:rPr>
              <w:t></w:t>
            </w:r>
            <w:r>
              <w:rPr>
                <w:spacing w:val="3"/>
                <w:sz w:val="20"/>
              </w:rPr>
              <w:t>Existe</w:t>
              <w:tab/>
            </w:r>
            <w:r>
              <w:rPr>
                <w:w w:val="95"/>
                <w:sz w:val="20"/>
              </w:rPr>
              <w:t>planeación </w:t>
            </w:r>
            <w:r>
              <w:rPr>
                <w:sz w:val="20"/>
              </w:rPr>
              <w:t>sociopolítica</w:t>
              <w:tab/>
              <w:tab/>
              <w:t>con articulación entre</w:t>
            </w:r>
            <w:r>
              <w:rPr>
                <w:spacing w:val="-11"/>
                <w:sz w:val="20"/>
              </w:rPr>
              <w:t> </w:t>
            </w:r>
            <w:r>
              <w:rPr>
                <w:sz w:val="20"/>
              </w:rPr>
              <w:t>actores</w:t>
            </w:r>
          </w:p>
        </w:tc>
        <w:tc>
          <w:tcPr>
            <w:tcW w:w="1488" w:type="dxa"/>
            <w:vMerge/>
          </w:tcPr>
          <w:p>
            <w:pPr/>
          </w:p>
        </w:tc>
        <w:tc>
          <w:tcPr>
            <w:tcW w:w="2679" w:type="dxa"/>
            <w:vMerge/>
          </w:tcPr>
          <w:p>
            <w:pPr/>
          </w:p>
        </w:tc>
        <w:tc>
          <w:tcPr>
            <w:tcW w:w="1550" w:type="dxa"/>
            <w:vMerge/>
            <w:tcBorders>
              <w:right w:val="double" w:sz="12" w:space="0" w:color="000000"/>
            </w:tcBorders>
            <w:shd w:val="clear" w:color="auto" w:fill="FF0000"/>
          </w:tcPr>
          <w:p>
            <w:pPr/>
          </w:p>
        </w:tc>
      </w:tr>
      <w:tr>
        <w:trPr>
          <w:trHeight w:val="4311"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p>
            <w:pPr>
              <w:pStyle w:val="TableParagraph"/>
              <w:ind w:left="0"/>
              <w:rPr>
                <w:rFonts w:ascii="Times New Roman"/>
                <w:sz w:val="22"/>
              </w:rPr>
            </w:pPr>
          </w:p>
          <w:p>
            <w:pPr>
              <w:pStyle w:val="TableParagraph"/>
              <w:spacing w:before="1"/>
              <w:ind w:left="27"/>
              <w:jc w:val="both"/>
              <w:rPr>
                <w:b/>
                <w:sz w:val="22"/>
              </w:rPr>
            </w:pPr>
            <w:r>
              <w:rPr>
                <w:b/>
                <w:sz w:val="22"/>
              </w:rPr>
              <w:t>Interpretación de la anterior gráfica y la tarjeta de valoración:</w:t>
            </w:r>
          </w:p>
          <w:p>
            <w:pPr>
              <w:pStyle w:val="TableParagraph"/>
              <w:numPr>
                <w:ilvl w:val="0"/>
                <w:numId w:val="201"/>
              </w:numPr>
              <w:tabs>
                <w:tab w:pos="198" w:val="left" w:leader="none"/>
              </w:tabs>
              <w:spacing w:line="240" w:lineRule="auto" w:before="1" w:after="0"/>
              <w:ind w:left="27" w:right="27" w:firstLine="0"/>
              <w:jc w:val="both"/>
              <w:rPr>
                <w:sz w:val="22"/>
              </w:rPr>
            </w:pPr>
            <w:r>
              <w:rPr>
                <w:sz w:val="22"/>
              </w:rPr>
              <w:t>En 1400 era la época prehispánica donde todavía la provincia de Xilotepec estaba poblada por otomíes principalmente que tenían una organización sociopolítica de tipo horizontal, donde la participación democrática era directa por la cantidad de  población y por la articulación social que</w:t>
            </w:r>
            <w:r>
              <w:rPr>
                <w:spacing w:val="-16"/>
                <w:sz w:val="22"/>
              </w:rPr>
              <w:t> </w:t>
            </w:r>
            <w:r>
              <w:rPr>
                <w:sz w:val="22"/>
              </w:rPr>
              <w:t>existía.</w:t>
            </w:r>
          </w:p>
          <w:p>
            <w:pPr>
              <w:pStyle w:val="TableParagraph"/>
              <w:numPr>
                <w:ilvl w:val="0"/>
                <w:numId w:val="201"/>
              </w:numPr>
              <w:tabs>
                <w:tab w:pos="170" w:val="left" w:leader="none"/>
              </w:tabs>
              <w:spacing w:line="240" w:lineRule="auto" w:before="0" w:after="0"/>
              <w:ind w:left="27" w:right="26" w:firstLine="0"/>
              <w:jc w:val="both"/>
              <w:rPr>
                <w:sz w:val="22"/>
              </w:rPr>
            </w:pPr>
            <w:r>
              <w:rPr>
                <w:sz w:val="22"/>
              </w:rPr>
              <w:t>En 1519 fue vista por primera vez la provincia de Xilotepec por los españoles, pero fue a mediados de la década de 1520 que </w:t>
            </w:r>
            <w:r>
              <w:rPr>
                <w:spacing w:val="4"/>
                <w:sz w:val="22"/>
              </w:rPr>
              <w:t>la </w:t>
            </w:r>
            <w:r>
              <w:rPr>
                <w:sz w:val="22"/>
              </w:rPr>
              <w:t>provincia de Xilotepec fue dominada en la parte sur por los españoles y fue en 1533 que se asignó en su totalidad como encomienda a Juan Jaramillo de Salvatierra (esposo de la Malinche). En este período hubo impacto ambiental, económico y político, sin embargo los derechos sociales empezaron a afectarse y los recursos naturales empezaron a sobreexplotarse en la CHPH con la llegada de los españoles, pero como aún no tenían amplia dominación del territorio, este período puede  considerarse como</w:t>
            </w:r>
            <w:r>
              <w:rPr>
                <w:spacing w:val="-5"/>
                <w:sz w:val="22"/>
              </w:rPr>
              <w:t> </w:t>
            </w:r>
            <w:r>
              <w:rPr>
                <w:sz w:val="22"/>
              </w:rPr>
              <w:t>bueno.</w:t>
            </w:r>
          </w:p>
          <w:p>
            <w:pPr>
              <w:pStyle w:val="TableParagraph"/>
              <w:numPr>
                <w:ilvl w:val="0"/>
                <w:numId w:val="201"/>
              </w:numPr>
              <w:tabs>
                <w:tab w:pos="172" w:val="left" w:leader="none"/>
              </w:tabs>
              <w:spacing w:line="240" w:lineRule="auto" w:before="1" w:after="0"/>
              <w:ind w:left="27" w:right="29" w:firstLine="0"/>
              <w:jc w:val="both"/>
              <w:rPr>
                <w:sz w:val="22"/>
              </w:rPr>
            </w:pPr>
            <w:r>
              <w:rPr>
                <w:sz w:val="22"/>
              </w:rPr>
              <w:t>A partir de que llegaron los españoles empezaron a sobreexplotar los recursos naturales y a la población nativa de la CHPH por lo que para 1580 ya tenían una serie de haciendas y ranchos, como la Hacienda de Arroyo Zarco y el Rancho Huapango, que requerían de agua para los sembradíos y el ganado, por lo que en 1785 los frailes franciscanos construyeron la presa Huapango  y Huaracha del gran lago que existía en la sábana Huapango para retener el agua y poder regar, por lo que en este episodio empezó</w:t>
            </w:r>
            <w:r>
              <w:rPr>
                <w:spacing w:val="23"/>
                <w:sz w:val="22"/>
              </w:rPr>
              <w:t> </w:t>
            </w:r>
            <w:r>
              <w:rPr>
                <w:sz w:val="22"/>
              </w:rPr>
              <w:t>a</w:t>
            </w:r>
            <w:r>
              <w:rPr>
                <w:spacing w:val="21"/>
                <w:sz w:val="22"/>
              </w:rPr>
              <w:t> </w:t>
            </w:r>
            <w:r>
              <w:rPr>
                <w:sz w:val="22"/>
              </w:rPr>
              <w:t>haber</w:t>
            </w:r>
            <w:r>
              <w:rPr>
                <w:spacing w:val="22"/>
                <w:sz w:val="22"/>
              </w:rPr>
              <w:t> </w:t>
            </w:r>
            <w:r>
              <w:rPr>
                <w:sz w:val="22"/>
              </w:rPr>
              <w:t>una</w:t>
            </w:r>
            <w:r>
              <w:rPr>
                <w:spacing w:val="21"/>
                <w:sz w:val="22"/>
              </w:rPr>
              <w:t> </w:t>
            </w:r>
            <w:r>
              <w:rPr>
                <w:sz w:val="22"/>
              </w:rPr>
              <w:t>sobreexplotación</w:t>
            </w:r>
            <w:r>
              <w:rPr>
                <w:spacing w:val="23"/>
                <w:sz w:val="22"/>
              </w:rPr>
              <w:t> </w:t>
            </w:r>
            <w:r>
              <w:rPr>
                <w:sz w:val="22"/>
              </w:rPr>
              <w:t>de</w:t>
            </w:r>
            <w:r>
              <w:rPr>
                <w:spacing w:val="25"/>
                <w:sz w:val="22"/>
              </w:rPr>
              <w:t> </w:t>
            </w:r>
            <w:r>
              <w:rPr>
                <w:sz w:val="22"/>
              </w:rPr>
              <w:t>los</w:t>
            </w:r>
            <w:r>
              <w:rPr>
                <w:spacing w:val="18"/>
                <w:sz w:val="22"/>
              </w:rPr>
              <w:t> </w:t>
            </w:r>
            <w:r>
              <w:rPr>
                <w:sz w:val="22"/>
              </w:rPr>
              <w:t>recursos</w:t>
            </w:r>
            <w:r>
              <w:rPr>
                <w:spacing w:val="21"/>
                <w:sz w:val="22"/>
              </w:rPr>
              <w:t> </w:t>
            </w:r>
            <w:r>
              <w:rPr>
                <w:sz w:val="22"/>
              </w:rPr>
              <w:t>naturales,</w:t>
            </w:r>
            <w:r>
              <w:rPr>
                <w:spacing w:val="22"/>
                <w:sz w:val="22"/>
              </w:rPr>
              <w:t> </w:t>
            </w:r>
            <w:r>
              <w:rPr>
                <w:sz w:val="22"/>
              </w:rPr>
              <w:t>ya</w:t>
            </w:r>
            <w:r>
              <w:rPr>
                <w:spacing w:val="21"/>
                <w:sz w:val="22"/>
              </w:rPr>
              <w:t> </w:t>
            </w:r>
            <w:r>
              <w:rPr>
                <w:sz w:val="22"/>
              </w:rPr>
              <w:t>que</w:t>
            </w:r>
            <w:r>
              <w:rPr>
                <w:spacing w:val="23"/>
                <w:sz w:val="22"/>
              </w:rPr>
              <w:t> </w:t>
            </w:r>
            <w:r>
              <w:rPr>
                <w:sz w:val="22"/>
              </w:rPr>
              <w:t>el</w:t>
            </w:r>
            <w:r>
              <w:rPr>
                <w:spacing w:val="22"/>
                <w:sz w:val="22"/>
              </w:rPr>
              <w:t> </w:t>
            </w:r>
            <w:r>
              <w:rPr>
                <w:sz w:val="22"/>
              </w:rPr>
              <w:t>agua</w:t>
            </w:r>
            <w:r>
              <w:rPr>
                <w:spacing w:val="20"/>
                <w:sz w:val="22"/>
              </w:rPr>
              <w:t> </w:t>
            </w:r>
            <w:r>
              <w:rPr>
                <w:sz w:val="22"/>
              </w:rPr>
              <w:t>era</w:t>
            </w:r>
            <w:r>
              <w:rPr>
                <w:spacing w:val="21"/>
                <w:sz w:val="22"/>
              </w:rPr>
              <w:t> </w:t>
            </w:r>
            <w:r>
              <w:rPr>
                <w:sz w:val="22"/>
              </w:rPr>
              <w:t>usada</w:t>
            </w:r>
            <w:r>
              <w:rPr>
                <w:spacing w:val="20"/>
                <w:sz w:val="22"/>
              </w:rPr>
              <w:t> </w:t>
            </w:r>
            <w:r>
              <w:rPr>
                <w:sz w:val="22"/>
              </w:rPr>
              <w:t>en</w:t>
            </w:r>
            <w:r>
              <w:rPr>
                <w:spacing w:val="18"/>
                <w:sz w:val="22"/>
              </w:rPr>
              <w:t> </w:t>
            </w:r>
            <w:r>
              <w:rPr>
                <w:sz w:val="22"/>
              </w:rPr>
              <w:t>las</w:t>
            </w:r>
            <w:r>
              <w:rPr>
                <w:spacing w:val="21"/>
                <w:sz w:val="22"/>
              </w:rPr>
              <w:t> </w:t>
            </w:r>
            <w:r>
              <w:rPr>
                <w:sz w:val="22"/>
              </w:rPr>
              <w:t>grandes</w:t>
            </w:r>
            <w:r>
              <w:rPr>
                <w:spacing w:val="21"/>
                <w:sz w:val="22"/>
              </w:rPr>
              <w:t> </w:t>
            </w:r>
            <w:r>
              <w:rPr>
                <w:sz w:val="22"/>
              </w:rPr>
              <w:t>cantidades</w:t>
            </w:r>
            <w:r>
              <w:rPr>
                <w:spacing w:val="19"/>
                <w:sz w:val="22"/>
              </w:rPr>
              <w:t> </w:t>
            </w:r>
            <w:r>
              <w:rPr>
                <w:sz w:val="22"/>
              </w:rPr>
              <w:t>y</w:t>
            </w:r>
            <w:r>
              <w:rPr>
                <w:spacing w:val="21"/>
                <w:sz w:val="22"/>
              </w:rPr>
              <w:t> </w:t>
            </w:r>
            <w:r>
              <w:rPr>
                <w:sz w:val="22"/>
              </w:rPr>
              <w:t>ya</w:t>
            </w:r>
            <w:r>
              <w:rPr>
                <w:spacing w:val="23"/>
                <w:sz w:val="22"/>
              </w:rPr>
              <w:t> </w:t>
            </w:r>
            <w:r>
              <w:rPr>
                <w:sz w:val="22"/>
              </w:rPr>
              <w:t>no</w:t>
            </w:r>
          </w:p>
        </w:tc>
      </w:tr>
    </w:tbl>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29560"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BodyText"/>
        <w:spacing w:before="72"/>
        <w:ind w:left="180" w:right="401"/>
        <w:jc w:val="both"/>
      </w:pPr>
      <w:r>
        <w:rPr/>
        <w:t>existía un acceso libre a los recursos naturales porque fueron concesionados, principalmente el agua para abrevaderos y regadíos, así como los pastos, por lo que este período puede considerarse como deficiente porque no existía la voluntad de cambio de los españoles ni la posibilidad de participación democrática de los actores históricos de la CHPH por la dominación en la que se</w:t>
      </w:r>
      <w:r>
        <w:rPr>
          <w:spacing w:val="-5"/>
        </w:rPr>
        <w:t> </w:t>
      </w:r>
      <w:r>
        <w:rPr/>
        <w:t>encontraban..</w:t>
      </w:r>
    </w:p>
    <w:p>
      <w:pPr>
        <w:pStyle w:val="ListParagraph"/>
        <w:numPr>
          <w:ilvl w:val="0"/>
          <w:numId w:val="121"/>
        </w:numPr>
        <w:tabs>
          <w:tab w:pos="341" w:val="left" w:leader="none"/>
        </w:tabs>
        <w:spacing w:line="240" w:lineRule="auto" w:before="1" w:after="0"/>
        <w:ind w:left="180" w:right="404" w:firstLine="0"/>
        <w:jc w:val="both"/>
        <w:rPr>
          <w:sz w:val="22"/>
        </w:rPr>
      </w:pPr>
      <w:r>
        <w:rPr>
          <w:sz w:val="22"/>
        </w:rPr>
        <w:t>Posteriormente para 1810 empieza la lucha de independencia, precisamente porque los recursos naturales, la tierra, el agua, montes, minas, etc. estaban en manos de unos cuantos hacendados y porque la sobreexplotación humana y natural era desmedida por lo que el impacto sociopolítico se hizo evidente a través de la búsqueda de participación democrática de los actores que habían sido excluidos por los españoles en la CHPH, por lo que este período es el parteaguas de la búsqueda de la democracia en la</w:t>
      </w:r>
      <w:r>
        <w:rPr>
          <w:spacing w:val="-4"/>
          <w:sz w:val="22"/>
        </w:rPr>
        <w:t> </w:t>
      </w:r>
      <w:r>
        <w:rPr>
          <w:sz w:val="22"/>
        </w:rPr>
        <w:t>CHPH.</w:t>
      </w:r>
    </w:p>
    <w:p>
      <w:pPr>
        <w:pStyle w:val="ListParagraph"/>
        <w:numPr>
          <w:ilvl w:val="0"/>
          <w:numId w:val="121"/>
        </w:numPr>
        <w:tabs>
          <w:tab w:pos="334" w:val="left" w:leader="none"/>
        </w:tabs>
        <w:spacing w:line="240" w:lineRule="auto" w:before="1" w:after="0"/>
        <w:ind w:left="180" w:right="399" w:firstLine="0"/>
        <w:jc w:val="both"/>
        <w:rPr>
          <w:sz w:val="22"/>
        </w:rPr>
      </w:pPr>
      <w:r>
        <w:rPr>
          <w:sz w:val="22"/>
        </w:rPr>
        <w:t>En 1861 se empiezan a crear los municipios en la CHPH como consecuencia de la concentración de la población, haciéndose llamar villas, donde actualmente se desarrollan las estructuras sociopolíticas de los actores de la CHPH con voluntad de participación democrática en los asuntos comunes mediante las autoridades auxiliares del municipio que son los delegados municipales, electos por la vía democrática, siendo éstos una de las figuras más legitimas de la estructura sociopolítica de la cuenca.</w:t>
      </w:r>
    </w:p>
    <w:p>
      <w:pPr>
        <w:pStyle w:val="ListParagraph"/>
        <w:numPr>
          <w:ilvl w:val="0"/>
          <w:numId w:val="121"/>
        </w:numPr>
        <w:tabs>
          <w:tab w:pos="358" w:val="left" w:leader="none"/>
        </w:tabs>
        <w:spacing w:line="240" w:lineRule="auto" w:before="1" w:after="0"/>
        <w:ind w:left="180" w:right="399" w:firstLine="0"/>
        <w:jc w:val="both"/>
        <w:rPr>
          <w:sz w:val="22"/>
        </w:rPr>
      </w:pPr>
      <w:r>
        <w:rPr>
          <w:sz w:val="22"/>
        </w:rPr>
        <w:t>Para 1910 siguen las desigualdades sociopolíticas, económicas y ambientales, donde los grandes terratenientes poseen la mayoría de las tierras y recursos naturales, por lo que surge la Revolución Mexicana en busca del reconocimiento de los derechos civiles y el reparto agrario, se logran plasmar algunos derechos en la Constitución de 1917, por lo que la participación sociopolítica de los actores empieza a ser</w:t>
      </w:r>
      <w:r>
        <w:rPr>
          <w:spacing w:val="-9"/>
          <w:sz w:val="22"/>
        </w:rPr>
        <w:t> </w:t>
      </w:r>
      <w:r>
        <w:rPr>
          <w:sz w:val="22"/>
        </w:rPr>
        <w:t>evidente.</w:t>
      </w:r>
    </w:p>
    <w:p>
      <w:pPr>
        <w:pStyle w:val="ListParagraph"/>
        <w:numPr>
          <w:ilvl w:val="0"/>
          <w:numId w:val="121"/>
        </w:numPr>
        <w:tabs>
          <w:tab w:pos="341" w:val="left" w:leader="none"/>
        </w:tabs>
        <w:spacing w:line="240" w:lineRule="auto" w:before="0" w:after="0"/>
        <w:ind w:left="180" w:right="397" w:firstLine="0"/>
        <w:jc w:val="both"/>
        <w:rPr>
          <w:sz w:val="22"/>
        </w:rPr>
      </w:pPr>
      <w:r>
        <w:rPr>
          <w:sz w:val="22"/>
        </w:rPr>
        <w:t>Desde la Revolución Mexicana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del </w:t>
      </w:r>
      <w:r>
        <w:rPr>
          <w:spacing w:val="-2"/>
          <w:sz w:val="22"/>
        </w:rPr>
        <w:t>Río </w:t>
      </w:r>
      <w:r>
        <w:rPr>
          <w:sz w:val="22"/>
        </w:rPr>
        <w:t>(1936-1940)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w:t>
      </w:r>
      <w:r>
        <w:rPr>
          <w:spacing w:val="2"/>
          <w:sz w:val="22"/>
        </w:rPr>
        <w:t>los </w:t>
      </w:r>
      <w:r>
        <w:rPr>
          <w:sz w:val="22"/>
        </w:rPr>
        <w:t>bosques, etc.) que aún no se pueden resolver, teniendo esto un impacto en lo sociopolítico, económico y</w:t>
      </w:r>
      <w:r>
        <w:rPr>
          <w:spacing w:val="-31"/>
          <w:sz w:val="22"/>
        </w:rPr>
        <w:t> </w:t>
      </w:r>
      <w:r>
        <w:rPr>
          <w:sz w:val="22"/>
        </w:rPr>
        <w:t>ambiental.</w:t>
      </w:r>
    </w:p>
    <w:p>
      <w:pPr>
        <w:pStyle w:val="ListParagraph"/>
        <w:numPr>
          <w:ilvl w:val="0"/>
          <w:numId w:val="121"/>
        </w:numPr>
        <w:tabs>
          <w:tab w:pos="332" w:val="left" w:leader="none"/>
        </w:tabs>
        <w:spacing w:line="240" w:lineRule="auto" w:before="1" w:after="0"/>
        <w:ind w:left="180" w:right="406" w:firstLine="0"/>
        <w:jc w:val="both"/>
        <w:rPr>
          <w:sz w:val="22"/>
        </w:rPr>
      </w:pPr>
      <w:r>
        <w:rPr>
          <w:sz w:val="22"/>
        </w:rPr>
        <w:t>Para 1982 se libera el mercado y se limita la intervención del Estado con lo que se genera una sobreexplotación mayor de los recursos naturales que obedece a intereses internacionales, por lo que el deterioro de la CHPH es cada día más preocupante y esto ha generado que los actores históricos de la cuenca tomen conciencia del daño ocasionado y tengan voluntad sociopolítica para disminuir los</w:t>
      </w:r>
      <w:r>
        <w:rPr>
          <w:spacing w:val="-7"/>
          <w:sz w:val="22"/>
        </w:rPr>
        <w:t> </w:t>
      </w:r>
      <w:r>
        <w:rPr>
          <w:sz w:val="22"/>
        </w:rPr>
        <w:t>daños.</w:t>
      </w:r>
    </w:p>
    <w:p>
      <w:pPr>
        <w:pStyle w:val="ListParagraph"/>
        <w:numPr>
          <w:ilvl w:val="0"/>
          <w:numId w:val="121"/>
        </w:numPr>
        <w:tabs>
          <w:tab w:pos="346" w:val="left" w:leader="none"/>
        </w:tabs>
        <w:spacing w:line="252" w:lineRule="exact" w:before="0" w:after="0"/>
        <w:ind w:left="345" w:right="0" w:hanging="165"/>
        <w:jc w:val="both"/>
        <w:rPr>
          <w:sz w:val="22"/>
        </w:rPr>
      </w:pPr>
      <w:r>
        <w:rPr>
          <w:sz w:val="22"/>
        </w:rPr>
        <w:t>Actualmente</w:t>
      </w:r>
      <w:r>
        <w:rPr>
          <w:spacing w:val="25"/>
          <w:sz w:val="22"/>
        </w:rPr>
        <w:t> </w:t>
      </w:r>
      <w:r>
        <w:rPr>
          <w:sz w:val="22"/>
        </w:rPr>
        <w:t>en</w:t>
      </w:r>
      <w:r>
        <w:rPr>
          <w:spacing w:val="25"/>
          <w:sz w:val="22"/>
        </w:rPr>
        <w:t> </w:t>
      </w:r>
      <w:r>
        <w:rPr>
          <w:sz w:val="22"/>
        </w:rPr>
        <w:t>2016</w:t>
      </w:r>
      <w:r>
        <w:rPr>
          <w:spacing w:val="28"/>
          <w:sz w:val="22"/>
        </w:rPr>
        <w:t> </w:t>
      </w:r>
      <w:r>
        <w:rPr>
          <w:sz w:val="22"/>
        </w:rPr>
        <w:t>los</w:t>
      </w:r>
      <w:r>
        <w:rPr>
          <w:spacing w:val="28"/>
          <w:sz w:val="22"/>
        </w:rPr>
        <w:t> </w:t>
      </w:r>
      <w:r>
        <w:rPr>
          <w:sz w:val="22"/>
        </w:rPr>
        <w:t>actores</w:t>
      </w:r>
      <w:r>
        <w:rPr>
          <w:spacing w:val="26"/>
          <w:sz w:val="22"/>
        </w:rPr>
        <w:t> </w:t>
      </w:r>
      <w:r>
        <w:rPr>
          <w:sz w:val="22"/>
        </w:rPr>
        <w:t>históricos</w:t>
      </w:r>
      <w:r>
        <w:rPr>
          <w:spacing w:val="26"/>
          <w:sz w:val="22"/>
        </w:rPr>
        <w:t> </w:t>
      </w:r>
      <w:r>
        <w:rPr>
          <w:sz w:val="22"/>
        </w:rPr>
        <w:t>y</w:t>
      </w:r>
      <w:r>
        <w:rPr>
          <w:spacing w:val="24"/>
          <w:sz w:val="22"/>
        </w:rPr>
        <w:t> </w:t>
      </w:r>
      <w:r>
        <w:rPr>
          <w:sz w:val="22"/>
        </w:rPr>
        <w:t>del</w:t>
      </w:r>
      <w:r>
        <w:rPr>
          <w:spacing w:val="25"/>
          <w:sz w:val="22"/>
        </w:rPr>
        <w:t> </w:t>
      </w:r>
      <w:r>
        <w:rPr>
          <w:sz w:val="22"/>
        </w:rPr>
        <w:t>gobierno</w:t>
      </w:r>
      <w:r>
        <w:rPr>
          <w:spacing w:val="26"/>
          <w:sz w:val="22"/>
        </w:rPr>
        <w:t> </w:t>
      </w:r>
      <w:r>
        <w:rPr>
          <w:sz w:val="22"/>
        </w:rPr>
        <w:t>municipal,</w:t>
      </w:r>
      <w:r>
        <w:rPr>
          <w:spacing w:val="25"/>
          <w:sz w:val="22"/>
        </w:rPr>
        <w:t> </w:t>
      </w:r>
      <w:r>
        <w:rPr>
          <w:sz w:val="22"/>
        </w:rPr>
        <w:t>principalmente</w:t>
      </w:r>
      <w:r>
        <w:rPr>
          <w:spacing w:val="25"/>
          <w:sz w:val="22"/>
        </w:rPr>
        <w:t> </w:t>
      </w:r>
      <w:r>
        <w:rPr>
          <w:sz w:val="22"/>
        </w:rPr>
        <w:t>externaron</w:t>
      </w:r>
      <w:r>
        <w:rPr>
          <w:spacing w:val="28"/>
          <w:sz w:val="22"/>
        </w:rPr>
        <w:t> </w:t>
      </w:r>
      <w:r>
        <w:rPr>
          <w:sz w:val="22"/>
        </w:rPr>
        <w:t>en</w:t>
      </w:r>
      <w:r>
        <w:rPr>
          <w:spacing w:val="25"/>
          <w:sz w:val="22"/>
        </w:rPr>
        <w:t> </w:t>
      </w:r>
      <w:r>
        <w:rPr>
          <w:sz w:val="22"/>
        </w:rPr>
        <w:t>trabajo</w:t>
      </w:r>
      <w:r>
        <w:rPr>
          <w:spacing w:val="25"/>
          <w:sz w:val="22"/>
        </w:rPr>
        <w:t> </w:t>
      </w:r>
      <w:r>
        <w:rPr>
          <w:sz w:val="22"/>
        </w:rPr>
        <w:t>de</w:t>
      </w:r>
      <w:r>
        <w:rPr>
          <w:spacing w:val="25"/>
          <w:sz w:val="22"/>
        </w:rPr>
        <w:t> </w:t>
      </w:r>
      <w:r>
        <w:rPr>
          <w:sz w:val="22"/>
        </w:rPr>
        <w:t>campo</w:t>
      </w:r>
      <w:r>
        <w:rPr>
          <w:spacing w:val="23"/>
          <w:sz w:val="22"/>
        </w:rPr>
        <w:t> </w:t>
      </w:r>
      <w:r>
        <w:rPr>
          <w:sz w:val="22"/>
        </w:rPr>
        <w:t>García,</w:t>
      </w:r>
    </w:p>
    <w:p>
      <w:pPr>
        <w:spacing w:after="0" w:line="252" w:lineRule="exact"/>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1274" w:hRule="exact"/>
        </w:trPr>
        <w:tc>
          <w:tcPr>
            <w:tcW w:w="12897" w:type="dxa"/>
          </w:tcPr>
          <w:p>
            <w:pPr>
              <w:pStyle w:val="TableParagraph"/>
              <w:ind w:left="64" w:right="60"/>
              <w:jc w:val="both"/>
              <w:rPr>
                <w:sz w:val="22"/>
              </w:rPr>
            </w:pPr>
            <w:r>
              <w:rPr>
                <w:sz w:val="22"/>
              </w:rPr>
              <w:t>2013-2015 su voluntariedad de proteger el medio ambiente de la CHPH que perciben en constante deterioro, por lo que manifiestan su interés en constituir un Comité Intermunicipal con su reglamento para cuidar, defender y administrar los recursos  de la cuenca, mediante la GIRH, la gobernanza y la gobernabilidad sustentadas por el derecho consuetudinario a través de la democracia sociopolítica, ambiental y económica, por lo que se considera un período bueno para poder actuar en pro de la sostenibilidad de la</w:t>
            </w:r>
            <w:r>
              <w:rPr>
                <w:spacing w:val="-5"/>
                <w:sz w:val="22"/>
              </w:rPr>
              <w:t> </w:t>
            </w:r>
            <w:r>
              <w:rPr>
                <w:sz w:val="22"/>
              </w:rPr>
              <w:t>cuenca.</w:t>
            </w:r>
          </w:p>
        </w:tc>
      </w:tr>
      <w:tr>
        <w:trPr>
          <w:trHeight w:val="341"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769" w:hRule="exact"/>
        </w:trPr>
        <w:tc>
          <w:tcPr>
            <w:tcW w:w="12897" w:type="dxa"/>
          </w:tcPr>
          <w:p>
            <w:pPr>
              <w:pStyle w:val="TableParagraph"/>
              <w:numPr>
                <w:ilvl w:val="0"/>
                <w:numId w:val="202"/>
              </w:numPr>
              <w:tabs>
                <w:tab w:pos="240" w:val="left" w:leader="none"/>
              </w:tabs>
              <w:spacing w:line="250" w:lineRule="exact" w:before="0" w:after="0"/>
              <w:ind w:left="103" w:right="0" w:firstLine="0"/>
              <w:jc w:val="left"/>
              <w:rPr>
                <w:sz w:val="22"/>
              </w:rPr>
            </w:pPr>
            <w:r>
              <w:rPr>
                <w:sz w:val="22"/>
              </w:rPr>
              <w:t>Permitió</w:t>
            </w:r>
            <w:r>
              <w:rPr>
                <w:spacing w:val="-2"/>
                <w:sz w:val="22"/>
              </w:rPr>
              <w:t> </w:t>
            </w:r>
            <w:r>
              <w:rPr>
                <w:sz w:val="22"/>
              </w:rPr>
              <w:t>identificar</w:t>
            </w:r>
            <w:r>
              <w:rPr>
                <w:spacing w:val="-2"/>
                <w:sz w:val="22"/>
              </w:rPr>
              <w:t> </w:t>
            </w:r>
            <w:r>
              <w:rPr>
                <w:sz w:val="22"/>
              </w:rPr>
              <w:t>la</w:t>
            </w:r>
            <w:r>
              <w:rPr>
                <w:spacing w:val="-2"/>
                <w:sz w:val="22"/>
              </w:rPr>
              <w:t> </w:t>
            </w:r>
            <w:r>
              <w:rPr>
                <w:sz w:val="22"/>
              </w:rPr>
              <w:t>voluntad</w:t>
            </w:r>
            <w:r>
              <w:rPr>
                <w:spacing w:val="-2"/>
                <w:sz w:val="22"/>
              </w:rPr>
              <w:t> </w:t>
            </w:r>
            <w:r>
              <w:rPr>
                <w:sz w:val="22"/>
              </w:rPr>
              <w:t>de</w:t>
            </w:r>
            <w:r>
              <w:rPr>
                <w:spacing w:val="-2"/>
                <w:sz w:val="22"/>
              </w:rPr>
              <w:t> </w:t>
            </w:r>
            <w:r>
              <w:rPr>
                <w:sz w:val="22"/>
              </w:rPr>
              <w:t>los</w:t>
            </w:r>
            <w:r>
              <w:rPr>
                <w:spacing w:val="-4"/>
                <w:sz w:val="22"/>
              </w:rPr>
              <w:t> </w:t>
            </w:r>
            <w:r>
              <w:rPr>
                <w:sz w:val="22"/>
              </w:rPr>
              <w:t>actores</w:t>
            </w:r>
            <w:r>
              <w:rPr>
                <w:spacing w:val="-4"/>
                <w:sz w:val="22"/>
              </w:rPr>
              <w:t> </w:t>
            </w:r>
            <w:r>
              <w:rPr>
                <w:sz w:val="22"/>
              </w:rPr>
              <w:t>de</w:t>
            </w:r>
            <w:r>
              <w:rPr>
                <w:spacing w:val="-2"/>
                <w:sz w:val="22"/>
              </w:rPr>
              <w:t> </w:t>
            </w:r>
            <w:r>
              <w:rPr>
                <w:sz w:val="22"/>
              </w:rPr>
              <w:t>la</w:t>
            </w:r>
            <w:r>
              <w:rPr>
                <w:spacing w:val="-2"/>
                <w:sz w:val="22"/>
              </w:rPr>
              <w:t> </w:t>
            </w:r>
            <w:r>
              <w:rPr>
                <w:sz w:val="22"/>
              </w:rPr>
              <w:t>CHPH</w:t>
            </w:r>
            <w:r>
              <w:rPr>
                <w:spacing w:val="-2"/>
                <w:sz w:val="22"/>
              </w:rPr>
              <w:t> </w:t>
            </w:r>
            <w:r>
              <w:rPr>
                <w:sz w:val="22"/>
              </w:rPr>
              <w:t>para</w:t>
            </w:r>
            <w:r>
              <w:rPr>
                <w:spacing w:val="-4"/>
                <w:sz w:val="22"/>
              </w:rPr>
              <w:t> </w:t>
            </w:r>
            <w:r>
              <w:rPr>
                <w:sz w:val="22"/>
              </w:rPr>
              <w:t>participar</w:t>
            </w:r>
            <w:r>
              <w:rPr>
                <w:spacing w:val="-1"/>
                <w:sz w:val="22"/>
              </w:rPr>
              <w:t> </w:t>
            </w:r>
            <w:r>
              <w:rPr>
                <w:sz w:val="22"/>
              </w:rPr>
              <w:t>en</w:t>
            </w:r>
            <w:r>
              <w:rPr>
                <w:spacing w:val="-4"/>
                <w:sz w:val="22"/>
              </w:rPr>
              <w:t> </w:t>
            </w:r>
            <w:r>
              <w:rPr>
                <w:sz w:val="22"/>
              </w:rPr>
              <w:t>la</w:t>
            </w:r>
            <w:r>
              <w:rPr>
                <w:spacing w:val="-2"/>
                <w:sz w:val="22"/>
              </w:rPr>
              <w:t> </w:t>
            </w:r>
            <w:r>
              <w:rPr>
                <w:sz w:val="22"/>
              </w:rPr>
              <w:t>toma</w:t>
            </w:r>
            <w:r>
              <w:rPr>
                <w:spacing w:val="-2"/>
                <w:sz w:val="22"/>
              </w:rPr>
              <w:t> </w:t>
            </w:r>
            <w:r>
              <w:rPr>
                <w:sz w:val="22"/>
              </w:rPr>
              <w:t>de</w:t>
            </w:r>
            <w:r>
              <w:rPr>
                <w:spacing w:val="-4"/>
                <w:sz w:val="22"/>
              </w:rPr>
              <w:t> </w:t>
            </w:r>
            <w:r>
              <w:rPr>
                <w:sz w:val="22"/>
              </w:rPr>
              <w:t>decisiones</w:t>
            </w:r>
            <w:r>
              <w:rPr>
                <w:spacing w:val="-2"/>
                <w:sz w:val="22"/>
              </w:rPr>
              <w:t> </w:t>
            </w:r>
            <w:r>
              <w:rPr>
                <w:sz w:val="22"/>
              </w:rPr>
              <w:t>colectivas</w:t>
            </w:r>
            <w:r>
              <w:rPr>
                <w:spacing w:val="-2"/>
                <w:sz w:val="22"/>
              </w:rPr>
              <w:t> </w:t>
            </w:r>
            <w:r>
              <w:rPr>
                <w:sz w:val="22"/>
              </w:rPr>
              <w:t>de</w:t>
            </w:r>
            <w:r>
              <w:rPr>
                <w:spacing w:val="-2"/>
                <w:sz w:val="22"/>
              </w:rPr>
              <w:t> </w:t>
            </w:r>
            <w:r>
              <w:rPr>
                <w:sz w:val="22"/>
              </w:rPr>
              <w:t>la</w:t>
            </w:r>
            <w:r>
              <w:rPr>
                <w:spacing w:val="-4"/>
                <w:sz w:val="22"/>
              </w:rPr>
              <w:t> </w:t>
            </w:r>
            <w:r>
              <w:rPr>
                <w:sz w:val="22"/>
              </w:rPr>
              <w:t>región.</w:t>
            </w:r>
          </w:p>
          <w:p>
            <w:pPr>
              <w:pStyle w:val="TableParagraph"/>
              <w:numPr>
                <w:ilvl w:val="0"/>
                <w:numId w:val="202"/>
              </w:numPr>
              <w:tabs>
                <w:tab w:pos="243" w:val="left" w:leader="none"/>
              </w:tabs>
              <w:spacing w:line="242" w:lineRule="auto" w:before="0" w:after="0"/>
              <w:ind w:left="103" w:right="100" w:firstLine="0"/>
              <w:jc w:val="left"/>
              <w:rPr>
                <w:sz w:val="22"/>
              </w:rPr>
            </w:pPr>
            <w:r>
              <w:rPr>
                <w:sz w:val="22"/>
              </w:rPr>
              <w:t>Sirvió de guía de explicación para la elaboración de la propuesta de creación de un Comité Intermunicipal con su reglamento en la</w:t>
            </w:r>
            <w:r>
              <w:rPr>
                <w:spacing w:val="-3"/>
                <w:sz w:val="22"/>
              </w:rPr>
              <w:t> </w:t>
            </w:r>
            <w:r>
              <w:rPr>
                <w:sz w:val="22"/>
              </w:rPr>
              <w:t>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516" w:hRule="exact"/>
        </w:trPr>
        <w:tc>
          <w:tcPr>
            <w:tcW w:w="12897" w:type="dxa"/>
          </w:tcPr>
          <w:p>
            <w:pPr>
              <w:pStyle w:val="TableParagraph"/>
              <w:spacing w:line="252" w:lineRule="exact" w:before="2"/>
              <w:ind w:right="163"/>
              <w:rPr>
                <w:sz w:val="22"/>
              </w:rPr>
            </w:pPr>
            <w:r>
              <w:rPr>
                <w:sz w:val="22"/>
              </w:rPr>
              <w:t>- La democracia y voluntariedad sociopolítica de los actores de la CHPH es un indicador vulnerable a la coyuntura política del país.</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15"/>
              <w:rPr>
                <w:b/>
                <w:sz w:val="22"/>
              </w:rPr>
            </w:pPr>
            <w:r>
              <w:rPr>
                <w:b/>
                <w:sz w:val="22"/>
              </w:rPr>
              <w:t>Participación sociopolítica_1</w:t>
            </w:r>
          </w:p>
        </w:tc>
        <w:tc>
          <w:tcPr>
            <w:tcW w:w="3277" w:type="dxa"/>
            <w:gridSpan w:val="3"/>
            <w:vMerge w:val="restart"/>
          </w:tcPr>
          <w:p>
            <w:pPr>
              <w:pStyle w:val="TableParagraph"/>
              <w:ind w:left="100" w:right="102"/>
              <w:jc w:val="both"/>
              <w:rPr>
                <w:sz w:val="22"/>
              </w:rPr>
            </w:pPr>
            <w:r>
              <w:rPr>
                <w:sz w:val="22"/>
              </w:rPr>
              <w:t>Identificar la organización racional y consciente de los actores sociopolíticos de la CHPH para atender su problemática común.</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67"/>
              <w:rPr>
                <w:b/>
                <w:sz w:val="22"/>
              </w:rPr>
            </w:pPr>
            <w:r>
              <w:rPr>
                <w:b/>
                <w:sz w:val="22"/>
              </w:rPr>
              <w:t>0.930/ 18.055</w:t>
            </w:r>
          </w:p>
        </w:tc>
        <w:tc>
          <w:tcPr>
            <w:tcW w:w="1985" w:type="dxa"/>
            <w:gridSpan w:val="2"/>
          </w:tcPr>
          <w:p>
            <w:pPr>
              <w:pStyle w:val="TableParagraph"/>
              <w:spacing w:line="248" w:lineRule="exact"/>
              <w:ind w:left="1" w:right="2"/>
              <w:jc w:val="center"/>
              <w:rPr>
                <w:b/>
                <w:sz w:val="22"/>
              </w:rPr>
            </w:pPr>
            <w:r>
              <w:rPr>
                <w:b/>
                <w:sz w:val="22"/>
              </w:rPr>
              <w:t>5.15%</w:t>
            </w:r>
          </w:p>
        </w:tc>
        <w:tc>
          <w:tcPr>
            <w:tcW w:w="2268" w:type="dxa"/>
            <w:gridSpan w:val="2"/>
          </w:tcPr>
          <w:p>
            <w:pPr>
              <w:pStyle w:val="TableParagraph"/>
              <w:spacing w:line="248" w:lineRule="exact"/>
              <w:ind w:left="136" w:right="136"/>
              <w:jc w:val="center"/>
              <w:rPr>
                <w:b/>
                <w:sz w:val="22"/>
              </w:rPr>
            </w:pPr>
            <w:r>
              <w:rPr>
                <w:b/>
                <w:sz w:val="22"/>
              </w:rPr>
              <w:t>16.875</w:t>
            </w:r>
          </w:p>
        </w:tc>
        <w:tc>
          <w:tcPr>
            <w:tcW w:w="3274" w:type="dxa"/>
            <w:gridSpan w:val="5"/>
            <w:vMerge/>
          </w:tcPr>
          <w:p>
            <w:pPr/>
          </w:p>
        </w:tc>
        <w:tc>
          <w:tcPr>
            <w:tcW w:w="3277" w:type="dxa"/>
            <w:gridSpan w:val="3"/>
            <w:vMerge/>
          </w:tcPr>
          <w:p>
            <w:pPr/>
          </w:p>
        </w:tc>
      </w:tr>
      <w:tr>
        <w:trPr>
          <w:trHeight w:val="262" w:hRule="exact"/>
        </w:trPr>
        <w:tc>
          <w:tcPr>
            <w:tcW w:w="2093" w:type="dxa"/>
            <w:gridSpan w:val="2"/>
            <w:tcBorders>
              <w:right w:val="single" w:sz="41" w:space="0" w:color="D99493"/>
            </w:tcBorders>
          </w:tcPr>
          <w:p>
            <w:pPr>
              <w:pStyle w:val="TableParagraph"/>
              <w:spacing w:line="248" w:lineRule="exact"/>
              <w:ind w:left="45"/>
              <w:jc w:val="center"/>
              <w:rPr>
                <w:b/>
                <w:sz w:val="22"/>
              </w:rPr>
            </w:pPr>
            <w:r>
              <w:rPr>
                <w:b/>
                <w:w w:val="100"/>
                <w:sz w:val="22"/>
              </w:rPr>
              <w:t>1</w:t>
            </w:r>
          </w:p>
        </w:tc>
        <w:tc>
          <w:tcPr>
            <w:tcW w:w="1985" w:type="dxa"/>
            <w:gridSpan w:val="2"/>
            <w:shd w:val="clear" w:color="auto" w:fill="D99493"/>
          </w:tcPr>
          <w:p>
            <w:pPr>
              <w:pStyle w:val="TableParagraph"/>
              <w:spacing w:line="248" w:lineRule="exact"/>
              <w:ind w:left="0"/>
              <w:jc w:val="center"/>
              <w:rPr>
                <w:b/>
                <w:sz w:val="22"/>
              </w:rPr>
            </w:pPr>
            <w:r>
              <w:rPr>
                <w:b/>
                <w:w w:val="100"/>
                <w:sz w:val="22"/>
              </w:rPr>
              <w:t>2</w:t>
            </w:r>
          </w:p>
        </w:tc>
        <w:tc>
          <w:tcPr>
            <w:tcW w:w="2268" w:type="dxa"/>
            <w:gridSpan w:val="2"/>
            <w:tcBorders>
              <w:left w:val="thickThinMediumGap" w:sz="23" w:space="0" w:color="D99493"/>
              <w:right w:val="single" w:sz="41" w:space="0" w:color="D99493"/>
            </w:tcBorders>
          </w:tcPr>
          <w:p>
            <w:pPr>
              <w:pStyle w:val="TableParagraph"/>
              <w:spacing w:line="248" w:lineRule="exact"/>
              <w:ind w:left="0" w:right="2"/>
              <w:jc w:val="center"/>
              <w:rPr>
                <w:b/>
                <w:sz w:val="22"/>
              </w:rPr>
            </w:pPr>
            <w:r>
              <w:rPr>
                <w:b/>
                <w:w w:val="100"/>
                <w:sz w:val="22"/>
              </w:rPr>
              <w:t>3</w:t>
            </w:r>
          </w:p>
        </w:tc>
        <w:tc>
          <w:tcPr>
            <w:tcW w:w="1701" w:type="dxa"/>
            <w:gridSpan w:val="2"/>
            <w:shd w:val="clear" w:color="auto" w:fill="D99493"/>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D99493"/>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1" w:right="492"/>
              <w:jc w:val="center"/>
              <w:rPr>
                <w:b/>
                <w:sz w:val="22"/>
              </w:rPr>
            </w:pPr>
            <w:r>
              <w:rPr>
                <w:b/>
                <w:sz w:val="22"/>
              </w:rPr>
              <w:t>84</w:t>
            </w:r>
          </w:p>
        </w:tc>
        <w:tc>
          <w:tcPr>
            <w:tcW w:w="2127" w:type="dxa"/>
            <w:gridSpan w:val="3"/>
            <w:shd w:val="clear" w:color="auto" w:fill="92CDDC"/>
          </w:tcPr>
          <w:p>
            <w:pPr>
              <w:pStyle w:val="TableParagraph"/>
              <w:spacing w:line="248" w:lineRule="exact"/>
              <w:ind w:left="916" w:right="916"/>
              <w:jc w:val="center"/>
              <w:rPr>
                <w:b/>
                <w:sz w:val="22"/>
              </w:rPr>
            </w:pPr>
            <w:r>
              <w:rPr>
                <w:b/>
                <w:sz w:val="22"/>
              </w:rPr>
              <w:t>39</w:t>
            </w:r>
          </w:p>
        </w:tc>
        <w:tc>
          <w:tcPr>
            <w:tcW w:w="2410" w:type="dxa"/>
            <w:gridSpan w:val="3"/>
            <w:shd w:val="clear" w:color="auto" w:fill="92CDDC"/>
          </w:tcPr>
          <w:p>
            <w:pPr>
              <w:pStyle w:val="TableParagraph"/>
              <w:spacing w:line="248" w:lineRule="exact"/>
              <w:ind w:left="782" w:right="779"/>
              <w:jc w:val="center"/>
              <w:rPr>
                <w:b/>
                <w:sz w:val="22"/>
              </w:rPr>
            </w:pPr>
            <w:r>
              <w:rPr>
                <w:b/>
                <w:sz w:val="22"/>
              </w:rPr>
              <w:t>0.0625</w:t>
            </w:r>
          </w:p>
        </w:tc>
        <w:tc>
          <w:tcPr>
            <w:tcW w:w="1844" w:type="dxa"/>
            <w:gridSpan w:val="2"/>
            <w:shd w:val="clear" w:color="auto" w:fill="F9BE8F"/>
          </w:tcPr>
          <w:p>
            <w:pPr>
              <w:pStyle w:val="TableParagraph"/>
              <w:spacing w:line="248" w:lineRule="exact"/>
              <w:ind w:left="774" w:right="774"/>
              <w:jc w:val="center"/>
              <w:rPr>
                <w:b/>
                <w:sz w:val="22"/>
              </w:rPr>
            </w:pPr>
            <w:r>
              <w:rPr>
                <w:b/>
                <w:sz w:val="22"/>
              </w:rPr>
              <w:t>39</w:t>
            </w:r>
          </w:p>
        </w:tc>
        <w:tc>
          <w:tcPr>
            <w:tcW w:w="2126" w:type="dxa"/>
            <w:gridSpan w:val="3"/>
            <w:shd w:val="clear" w:color="auto" w:fill="F9BE8F"/>
          </w:tcPr>
          <w:p>
            <w:pPr>
              <w:pStyle w:val="TableParagraph"/>
              <w:spacing w:line="248" w:lineRule="exact"/>
              <w:ind w:left="0"/>
              <w:jc w:val="center"/>
              <w:rPr>
                <w:b/>
                <w:sz w:val="22"/>
              </w:rPr>
            </w:pPr>
            <w:r>
              <w:rPr>
                <w:b/>
                <w:w w:val="100"/>
                <w:sz w:val="22"/>
              </w:rPr>
              <w:t>5</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Organización racional y consciente, actores sociopolíticos, CHPH, problemática común.</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770" w:hRule="exact"/>
        </w:trPr>
        <w:tc>
          <w:tcPr>
            <w:tcW w:w="12897" w:type="dxa"/>
            <w:gridSpan w:val="14"/>
          </w:tcPr>
          <w:p>
            <w:pPr>
              <w:pStyle w:val="TableParagraph"/>
              <w:ind w:right="101"/>
              <w:jc w:val="both"/>
              <w:rPr>
                <w:sz w:val="22"/>
              </w:rPr>
            </w:pPr>
            <w:r>
              <w:rPr>
                <w:sz w:val="22"/>
              </w:rPr>
              <w:t>Es la organización racional y consciente de los actores sociopolíticos de la CHPH para atender su problemática común, ante las escasas respuestas a los problemas de la Cuenca por parte de los actores federales, estatales y municipales (Cfr. INAFED, 2014 y García, TC: 2013-2015).</w:t>
            </w:r>
          </w:p>
        </w:tc>
      </w:tr>
      <w:tr>
        <w:trPr>
          <w:trHeight w:val="262"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9"/>
          </w:tcPr>
          <w:p>
            <w:pPr>
              <w:pStyle w:val="TableParagraph"/>
              <w:spacing w:line="248" w:lineRule="exact"/>
              <w:ind w:left="2419" w:right="108"/>
              <w:rPr>
                <w:b/>
                <w:sz w:val="22"/>
              </w:rPr>
            </w:pPr>
            <w:r>
              <w:rPr>
                <w:b/>
                <w:sz w:val="22"/>
              </w:rPr>
              <w:t>Definición de la unidad de medición</w:t>
            </w:r>
          </w:p>
        </w:tc>
      </w:tr>
      <w:tr>
        <w:trPr>
          <w:trHeight w:val="771" w:hRule="exact"/>
        </w:trPr>
        <w:tc>
          <w:tcPr>
            <w:tcW w:w="4295" w:type="dxa"/>
            <w:gridSpan w:val="5"/>
          </w:tcPr>
          <w:p>
            <w:pPr>
              <w:pStyle w:val="TableParagraph"/>
              <w:tabs>
                <w:tab w:pos="436" w:val="left" w:leader="none"/>
                <w:tab w:pos="890" w:val="left" w:leader="none"/>
                <w:tab w:pos="1967" w:val="left" w:leader="none"/>
                <w:tab w:pos="3371" w:val="left" w:leader="none"/>
                <w:tab w:pos="3901" w:val="left" w:leader="none"/>
              </w:tabs>
              <w:ind w:right="100"/>
              <w:rPr>
                <w:sz w:val="22"/>
              </w:rPr>
            </w:pPr>
            <w:r>
              <w:rPr>
                <w:sz w:val="22"/>
              </w:rPr>
              <w:t>#</w:t>
              <w:tab/>
              <w:t>de</w:t>
              <w:tab/>
              <w:t>acciones</w:t>
              <w:tab/>
              <w:t>organizadas</w:t>
              <w:tab/>
              <w:t>por</w:t>
              <w:tab/>
              <w:t>los actores de la</w:t>
            </w:r>
            <w:r>
              <w:rPr>
                <w:spacing w:val="-5"/>
                <w:sz w:val="22"/>
              </w:rPr>
              <w:t> </w:t>
            </w:r>
            <w:r>
              <w:rPr>
                <w:sz w:val="22"/>
              </w:rPr>
              <w:t>CHPH</w:t>
            </w:r>
          </w:p>
        </w:tc>
        <w:tc>
          <w:tcPr>
            <w:tcW w:w="8603" w:type="dxa"/>
            <w:gridSpan w:val="9"/>
          </w:tcPr>
          <w:p>
            <w:pPr>
              <w:pStyle w:val="TableParagraph"/>
              <w:ind w:right="108"/>
              <w:rPr>
                <w:sz w:val="22"/>
              </w:rPr>
            </w:pPr>
            <w:r>
              <w:rPr>
                <w:sz w:val="22"/>
              </w:rPr>
              <w:t>Cantidad de acciones organizadas por los actores de la CHPH para atender los problemas sociopolíticos de dicha cuenca.</w:t>
            </w:r>
          </w:p>
          <w:p>
            <w:pPr>
              <w:pStyle w:val="TableParagraph"/>
              <w:spacing w:line="252" w:lineRule="exact"/>
              <w:ind w:right="108"/>
              <w:rPr>
                <w:sz w:val="22"/>
              </w:rPr>
            </w:pPr>
            <w:r>
              <w:rPr>
                <w:sz w:val="22"/>
              </w:rPr>
              <w:t>(Ejemplo: reuniones de los pescadores para sembrar peces en la presa Huapango).</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27.7pt;mso-position-horizontal-relative:page;mso-position-vertical-relative:page;z-index:-3329536"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418;top:2336;width:12758;height:7598" type="#_x0000_t75" stroked="false">
              <v:imagedata r:id="rId428" o:title=""/>
            </v:shape>
            <w10:wrap type="none"/>
          </v:group>
        </w:pict>
      </w:r>
    </w:p>
    <w:p>
      <w:pPr>
        <w:pStyle w:val="BodyText"/>
        <w:spacing w:before="11"/>
        <w:rPr>
          <w:rFonts w:ascii="Times New Roman"/>
        </w:rPr>
      </w:pPr>
    </w:p>
    <w:p>
      <w:pPr>
        <w:pStyle w:val="Heading6"/>
        <w:spacing w:before="73"/>
        <w:ind w:left="5782" w:right="397"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3912">
            <wp:simplePos x="0" y="0"/>
            <wp:positionH relativeFrom="page">
              <wp:posOffset>876300</wp:posOffset>
            </wp:positionH>
            <wp:positionV relativeFrom="page">
              <wp:posOffset>1886457</wp:posOffset>
            </wp:positionV>
            <wp:extent cx="5897329" cy="2662047"/>
            <wp:effectExtent l="0" t="0" r="0" b="0"/>
            <wp:wrapNone/>
            <wp:docPr id="75" name="image299.png" descr=""/>
            <wp:cNvGraphicFramePr>
              <a:graphicFrameLocks noChangeAspect="1"/>
            </wp:cNvGraphicFramePr>
            <a:graphic>
              <a:graphicData uri="http://schemas.openxmlformats.org/drawingml/2006/picture">
                <pic:pic>
                  <pic:nvPicPr>
                    <pic:cNvPr id="76" name="image299.png"/>
                    <pic:cNvPicPr/>
                  </pic:nvPicPr>
                  <pic:blipFill>
                    <a:blip r:embed="rId429" cstate="print"/>
                    <a:stretch>
                      <a:fillRect/>
                    </a:stretch>
                  </pic:blipFill>
                  <pic:spPr>
                    <a:xfrm>
                      <a:off x="0" y="0"/>
                      <a:ext cx="5897329" cy="2662047"/>
                    </a:xfrm>
                    <a:prstGeom prst="rect">
                      <a:avLst/>
                    </a:prstGeom>
                  </pic:spPr>
                </pic:pic>
              </a:graphicData>
            </a:graphic>
          </wp:anchor>
        </w:drawing>
      </w:r>
      <w:r>
        <w:rPr/>
        <w:pict>
          <v:shape style="position:absolute;margin-left:557.349976pt;margin-top:161.059998pt;width:127.5pt;height:145.25pt;mso-position-horizontal-relative:page;mso-position-vertical-relative:page;z-index:1393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4" w:hRule="exact"/>
                    </w:trPr>
                    <w:tc>
                      <w:tcPr>
                        <w:tcW w:w="1034" w:type="dxa"/>
                      </w:tcPr>
                      <w:p>
                        <w:pPr>
                          <w:pStyle w:val="TableParagraph"/>
                          <w:spacing w:line="248" w:lineRule="exact"/>
                          <w:rPr>
                            <w:b/>
                            <w:sz w:val="22"/>
                          </w:rPr>
                        </w:pPr>
                        <w:r>
                          <w:rPr>
                            <w:b/>
                            <w:sz w:val="22"/>
                          </w:rPr>
                          <w:t>Período</w:t>
                        </w:r>
                      </w:p>
                    </w:tc>
                    <w:tc>
                      <w:tcPr>
                        <w:tcW w:w="1501" w:type="dxa"/>
                      </w:tcPr>
                      <w:p>
                        <w:pPr>
                          <w:pStyle w:val="TableParagraph"/>
                          <w:spacing w:line="248" w:lineRule="exact"/>
                          <w:rPr>
                            <w:b/>
                            <w:sz w:val="22"/>
                          </w:rPr>
                        </w:pPr>
                        <w:r>
                          <w:rPr>
                            <w:b/>
                            <w:sz w:val="22"/>
                          </w:rPr>
                          <w:t>Calificación</w:t>
                        </w:r>
                      </w:p>
                    </w:tc>
                  </w:tr>
                  <w:tr>
                    <w:trPr>
                      <w:trHeight w:val="262"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Excelente</w:t>
                        </w:r>
                      </w:p>
                    </w:tc>
                  </w:tr>
                  <w:tr>
                    <w:trPr>
                      <w:trHeight w:val="265"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rPr>
                            <w:sz w:val="22"/>
                          </w:rPr>
                        </w:pPr>
                        <w:r>
                          <w:rPr>
                            <w:sz w:val="22"/>
                          </w:rPr>
                          <w:t>1785</w:t>
                        </w:r>
                      </w:p>
                    </w:tc>
                    <w:tc>
                      <w:tcPr>
                        <w:tcW w:w="1501" w:type="dxa"/>
                      </w:tcPr>
                      <w:p>
                        <w:pPr>
                          <w:pStyle w:val="TableParagraph"/>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1810</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rPr>
                            <w:sz w:val="22"/>
                          </w:rPr>
                        </w:pPr>
                        <w:r>
                          <w:rPr>
                            <w:sz w:val="22"/>
                          </w:rPr>
                          <w:t>1861</w:t>
                        </w:r>
                      </w:p>
                    </w:tc>
                    <w:tc>
                      <w:tcPr>
                        <w:tcW w:w="1501" w:type="dxa"/>
                      </w:tcPr>
                      <w:p>
                        <w:pPr>
                          <w:pStyle w:val="TableParagraph"/>
                          <w:rPr>
                            <w:sz w:val="22"/>
                          </w:rPr>
                        </w:pPr>
                        <w:r>
                          <w:rPr>
                            <w:sz w:val="22"/>
                          </w:rPr>
                          <w:t>Bueno</w:t>
                        </w:r>
                      </w:p>
                    </w:tc>
                  </w:tr>
                  <w:tr>
                    <w:trPr>
                      <w:trHeight w:val="264"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rPr>
                            <w:sz w:val="22"/>
                          </w:rPr>
                        </w:pPr>
                        <w:r>
                          <w:rPr>
                            <w:sz w:val="22"/>
                          </w:rPr>
                          <w:t>Bueno</w:t>
                        </w: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13"/>
        <w:gridCol w:w="1352"/>
        <w:gridCol w:w="2966"/>
        <w:gridCol w:w="1484"/>
        <w:gridCol w:w="2513"/>
        <w:gridCol w:w="1639"/>
      </w:tblGrid>
      <w:tr>
        <w:trPr>
          <w:trHeight w:val="264"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447" w:hRule="exact"/>
        </w:trPr>
        <w:tc>
          <w:tcPr>
            <w:tcW w:w="12822" w:type="dxa"/>
            <w:gridSpan w:val="7"/>
          </w:tcPr>
          <w:p>
            <w:pPr>
              <w:pStyle w:val="TableParagraph"/>
              <w:spacing w:line="249" w:lineRule="exact"/>
              <w:ind w:left="27" w:right="57"/>
              <w:rPr>
                <w:sz w:val="22"/>
              </w:rPr>
            </w:pPr>
            <w:r>
              <w:rPr>
                <w:sz w:val="22"/>
              </w:rPr>
              <w:t>Para identificar el grado de participación social en la CHPH a través del tiempo se elaboró la siguiente gráfica:</w:t>
            </w:r>
          </w:p>
          <w:p>
            <w:pPr>
              <w:pStyle w:val="TableParagraph"/>
              <w:spacing w:line="251" w:lineRule="exact"/>
              <w:ind w:left="3880" w:right="57"/>
              <w:rPr>
                <w:b/>
                <w:sz w:val="22"/>
              </w:rPr>
            </w:pPr>
            <w:r>
              <w:rPr>
                <w:b/>
                <w:sz w:val="22"/>
              </w:rPr>
              <w:t>Gráfica 7.13.</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4"/>
              <w:ind w:left="0"/>
              <w:rPr>
                <w:rFonts w:ascii="Times New Roman"/>
                <w:sz w:val="32"/>
              </w:rPr>
            </w:pPr>
          </w:p>
          <w:p>
            <w:pPr>
              <w:pStyle w:val="TableParagraph"/>
              <w:spacing w:line="51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68"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913" w:type="dxa"/>
            <w:vMerge w:val="restart"/>
          </w:tcPr>
          <w:p>
            <w:pPr>
              <w:pStyle w:val="TableParagraph"/>
              <w:tabs>
                <w:tab w:pos="1578" w:val="left" w:leader="none"/>
              </w:tabs>
              <w:ind w:right="101"/>
              <w:jc w:val="both"/>
              <w:rPr>
                <w:sz w:val="20"/>
              </w:rPr>
            </w:pPr>
            <w:r>
              <w:rPr>
                <w:sz w:val="20"/>
              </w:rPr>
              <w:t>Clasificación por número</w:t>
              <w:tab/>
              <w:t>de</w:t>
            </w:r>
            <w:r>
              <w:rPr>
                <w:w w:val="99"/>
                <w:sz w:val="20"/>
              </w:rPr>
              <w:t> </w:t>
            </w:r>
            <w:r>
              <w:rPr>
                <w:sz w:val="20"/>
              </w:rPr>
              <w:t>eventos en el período</w:t>
            </w:r>
          </w:p>
        </w:tc>
        <w:tc>
          <w:tcPr>
            <w:tcW w:w="8315" w:type="dxa"/>
            <w:gridSpan w:val="4"/>
          </w:tcPr>
          <w:p>
            <w:pPr>
              <w:pStyle w:val="TableParagraph"/>
              <w:spacing w:line="242" w:lineRule="auto"/>
              <w:ind w:right="102"/>
              <w:rPr>
                <w:sz w:val="20"/>
              </w:rPr>
            </w:pPr>
            <w:r>
              <w:rPr>
                <w:sz w:val="20"/>
              </w:rPr>
              <w:t>Clasificación por </w:t>
            </w:r>
            <w:r>
              <w:rPr>
                <w:b/>
                <w:sz w:val="20"/>
              </w:rPr>
              <w:t>características de impacto positivo o negativo </w:t>
            </w:r>
            <w:r>
              <w:rPr>
                <w:sz w:val="20"/>
              </w:rPr>
              <w:t>en los ámbitos ambiental-sociopolítico-económico</w:t>
            </w:r>
          </w:p>
        </w:tc>
        <w:tc>
          <w:tcPr>
            <w:tcW w:w="1639" w:type="dxa"/>
            <w:vMerge w:val="restart"/>
            <w:tcBorders>
              <w:right w:val="double" w:sz="12" w:space="0" w:color="000000"/>
            </w:tcBorders>
          </w:tcPr>
          <w:p>
            <w:pPr>
              <w:pStyle w:val="TableParagraph"/>
              <w:spacing w:before="117"/>
              <w:ind w:left="243" w:right="241"/>
              <w:jc w:val="center"/>
              <w:rPr>
                <w:sz w:val="20"/>
              </w:rPr>
            </w:pPr>
            <w:r>
              <w:rPr>
                <w:w w:val="95"/>
                <w:sz w:val="20"/>
              </w:rPr>
              <w:t>Clasificación </w:t>
            </w:r>
            <w:r>
              <w:rPr>
                <w:sz w:val="20"/>
              </w:rPr>
              <w:t>de la calificación</w:t>
            </w:r>
          </w:p>
        </w:tc>
      </w:tr>
      <w:tr>
        <w:trPr>
          <w:trHeight w:val="482" w:hRule="exact"/>
        </w:trPr>
        <w:tc>
          <w:tcPr>
            <w:tcW w:w="954" w:type="dxa"/>
            <w:vMerge/>
            <w:tcBorders>
              <w:left w:val="double" w:sz="11" w:space="0" w:color="000000"/>
              <w:bottom w:val="double" w:sz="3" w:space="0" w:color="000000"/>
            </w:tcBorders>
          </w:tcPr>
          <w:p>
            <w:pPr/>
          </w:p>
        </w:tc>
        <w:tc>
          <w:tcPr>
            <w:tcW w:w="1913" w:type="dxa"/>
            <w:vMerge/>
            <w:tcBorders>
              <w:bottom w:val="double" w:sz="3" w:space="0" w:color="000000"/>
            </w:tcBorders>
          </w:tcPr>
          <w:p>
            <w:pPr/>
          </w:p>
        </w:tc>
        <w:tc>
          <w:tcPr>
            <w:tcW w:w="1352" w:type="dxa"/>
            <w:tcBorders>
              <w:bottom w:val="double" w:sz="3" w:space="0" w:color="000000"/>
            </w:tcBorders>
          </w:tcPr>
          <w:p>
            <w:pPr>
              <w:pStyle w:val="TableParagraph"/>
              <w:spacing w:line="230" w:lineRule="exact"/>
              <w:rPr>
                <w:sz w:val="20"/>
              </w:rPr>
            </w:pPr>
            <w:r>
              <w:rPr>
                <w:sz w:val="20"/>
              </w:rPr>
              <w:t>Subsistema</w:t>
            </w:r>
          </w:p>
        </w:tc>
        <w:tc>
          <w:tcPr>
            <w:tcW w:w="2966" w:type="dxa"/>
            <w:tcBorders>
              <w:bottom w:val="double" w:sz="3" w:space="0" w:color="000000"/>
            </w:tcBorders>
          </w:tcPr>
          <w:p>
            <w:pPr>
              <w:pStyle w:val="TableParagraph"/>
              <w:spacing w:line="230" w:lineRule="exact"/>
              <w:rPr>
                <w:sz w:val="20"/>
              </w:rPr>
            </w:pPr>
            <w:r>
              <w:rPr>
                <w:sz w:val="20"/>
              </w:rPr>
              <w:t>Características</w:t>
            </w:r>
          </w:p>
        </w:tc>
        <w:tc>
          <w:tcPr>
            <w:tcW w:w="1484" w:type="dxa"/>
            <w:tcBorders>
              <w:bottom w:val="double" w:sz="3" w:space="0" w:color="000000"/>
            </w:tcBorders>
          </w:tcPr>
          <w:p>
            <w:pPr>
              <w:pStyle w:val="TableParagraph"/>
              <w:tabs>
                <w:tab w:pos="1146" w:val="left" w:leader="none"/>
              </w:tabs>
              <w:spacing w:line="229" w:lineRule="exact"/>
              <w:rPr>
                <w:sz w:val="20"/>
              </w:rPr>
            </w:pPr>
            <w:r>
              <w:rPr>
                <w:sz w:val="20"/>
              </w:rPr>
              <w:t>%</w:t>
              <w:tab/>
              <w:t>de</w:t>
            </w:r>
          </w:p>
          <w:p>
            <w:pPr>
              <w:pStyle w:val="TableParagraph"/>
              <w:spacing w:line="229" w:lineRule="exact"/>
              <w:rPr>
                <w:sz w:val="20"/>
              </w:rPr>
            </w:pPr>
            <w:r>
              <w:rPr>
                <w:sz w:val="20"/>
              </w:rPr>
              <w:t>cumplimiento</w:t>
            </w:r>
          </w:p>
        </w:tc>
        <w:tc>
          <w:tcPr>
            <w:tcW w:w="2513" w:type="dxa"/>
            <w:tcBorders>
              <w:bottom w:val="double" w:sz="3" w:space="0" w:color="000000"/>
            </w:tcBorders>
          </w:tcPr>
          <w:p>
            <w:pPr>
              <w:pStyle w:val="TableParagraph"/>
              <w:spacing w:line="230" w:lineRule="exact"/>
              <w:ind w:left="100"/>
              <w:rPr>
                <w:sz w:val="20"/>
              </w:rPr>
            </w:pPr>
            <w:r>
              <w:rPr>
                <w:sz w:val="20"/>
              </w:rPr>
              <w:t>Observaciones</w:t>
            </w:r>
          </w:p>
        </w:tc>
        <w:tc>
          <w:tcPr>
            <w:tcW w:w="1639" w:type="dxa"/>
            <w:vMerge/>
            <w:tcBorders>
              <w:bottom w:val="double" w:sz="3"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13"/>
        <w:gridCol w:w="1352"/>
        <w:gridCol w:w="2966"/>
        <w:gridCol w:w="1484"/>
        <w:gridCol w:w="2513"/>
        <w:gridCol w:w="1639"/>
      </w:tblGrid>
      <w:tr>
        <w:trPr>
          <w:trHeight w:val="3699"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230"/>
              <w:rPr>
                <w:sz w:val="20"/>
              </w:rPr>
            </w:pPr>
            <w:r>
              <w:rPr>
                <w:sz w:val="20"/>
              </w:rPr>
              <w:t>1400</w:t>
            </w:r>
          </w:p>
        </w:tc>
        <w:tc>
          <w:tcPr>
            <w:tcW w:w="1913"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52" w:type="dxa"/>
          </w:tcPr>
          <w:p>
            <w:pPr>
              <w:pStyle w:val="TableParagraph"/>
              <w:spacing w:before="7"/>
              <w:rPr>
                <w:sz w:val="20"/>
              </w:rPr>
            </w:pPr>
            <w:r>
              <w:rPr>
                <w:sz w:val="20"/>
              </w:rPr>
              <w:t>Ambiental</w:t>
            </w:r>
          </w:p>
        </w:tc>
        <w:tc>
          <w:tcPr>
            <w:tcW w:w="2966" w:type="dxa"/>
          </w:tcPr>
          <w:p>
            <w:pPr>
              <w:pStyle w:val="TableParagraph"/>
              <w:numPr>
                <w:ilvl w:val="0"/>
                <w:numId w:val="203"/>
              </w:numPr>
              <w:tabs>
                <w:tab w:pos="812" w:val="left" w:leader="none"/>
              </w:tabs>
              <w:spacing w:line="240" w:lineRule="auto" w:before="7" w:after="0"/>
              <w:ind w:left="280" w:right="103" w:hanging="141"/>
              <w:jc w:val="both"/>
              <w:rPr>
                <w:sz w:val="20"/>
              </w:rPr>
            </w:pPr>
            <w:r>
              <w:rPr>
                <w:sz w:val="20"/>
              </w:rPr>
              <w:t>Existe deseo de participación sociopolítica de los actores de la CHPH para cuidar el medio</w:t>
            </w:r>
            <w:r>
              <w:rPr>
                <w:spacing w:val="-8"/>
                <w:sz w:val="20"/>
              </w:rPr>
              <w:t> </w:t>
            </w:r>
            <w:r>
              <w:rPr>
                <w:sz w:val="20"/>
              </w:rPr>
              <w:t>ambiente</w:t>
            </w:r>
          </w:p>
          <w:p>
            <w:pPr>
              <w:pStyle w:val="TableParagraph"/>
              <w:numPr>
                <w:ilvl w:val="0"/>
                <w:numId w:val="203"/>
              </w:numPr>
              <w:tabs>
                <w:tab w:pos="812" w:val="left" w:leader="none"/>
              </w:tabs>
              <w:spacing w:line="240" w:lineRule="auto" w:before="0" w:after="0"/>
              <w:ind w:left="280" w:right="104" w:hanging="141"/>
              <w:jc w:val="both"/>
              <w:rPr>
                <w:sz w:val="20"/>
              </w:rPr>
            </w:pPr>
            <w:r>
              <w:rPr>
                <w:sz w:val="20"/>
              </w:rPr>
              <w:t>Existe la probabilidad de acción colectiva de los actores para cuidar el medio ambiente</w:t>
            </w:r>
          </w:p>
          <w:p>
            <w:pPr>
              <w:pStyle w:val="TableParagraph"/>
              <w:numPr>
                <w:ilvl w:val="0"/>
                <w:numId w:val="203"/>
              </w:numPr>
              <w:tabs>
                <w:tab w:pos="812" w:val="left" w:leader="none"/>
              </w:tabs>
              <w:spacing w:line="240" w:lineRule="auto" w:before="0" w:after="0"/>
              <w:ind w:left="280" w:right="103" w:hanging="141"/>
              <w:jc w:val="both"/>
              <w:rPr>
                <w:sz w:val="20"/>
              </w:rPr>
            </w:pPr>
            <w:r>
              <w:rPr>
                <w:sz w:val="20"/>
              </w:rPr>
              <w:t>Existen la posibilidad de acuerdos democráticos entre actores de la CHPH para cuidar el medio ambiente</w:t>
            </w:r>
          </w:p>
          <w:p>
            <w:pPr>
              <w:pStyle w:val="TableParagraph"/>
              <w:numPr>
                <w:ilvl w:val="0"/>
                <w:numId w:val="203"/>
              </w:numPr>
              <w:tabs>
                <w:tab w:pos="812" w:val="left" w:leader="none"/>
              </w:tabs>
              <w:spacing w:line="240" w:lineRule="auto" w:before="0" w:after="0"/>
              <w:ind w:left="280" w:right="103" w:hanging="141"/>
              <w:jc w:val="both"/>
              <w:rPr>
                <w:sz w:val="20"/>
              </w:rPr>
            </w:pPr>
            <w:r>
              <w:rPr>
                <w:sz w:val="20"/>
              </w:rPr>
              <w:t>Existe la posibilidad de planeación ambiental con articulación entre</w:t>
            </w:r>
            <w:r>
              <w:rPr>
                <w:spacing w:val="-11"/>
                <w:sz w:val="20"/>
              </w:rPr>
              <w:t> </w:t>
            </w:r>
            <w:r>
              <w:rPr>
                <w:sz w:val="20"/>
              </w:rPr>
              <w:t>actores</w:t>
            </w:r>
          </w:p>
        </w:tc>
        <w:tc>
          <w:tcPr>
            <w:tcW w:w="148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480"/>
              <w:rPr>
                <w:sz w:val="20"/>
              </w:rPr>
            </w:pPr>
            <w:r>
              <w:rPr>
                <w:sz w:val="20"/>
              </w:rPr>
              <w:t>100%</w:t>
            </w:r>
          </w:p>
        </w:tc>
        <w:tc>
          <w:tcPr>
            <w:tcW w:w="2513" w:type="dxa"/>
            <w:vMerge w:val="restart"/>
          </w:tcPr>
          <w:p>
            <w:pPr>
              <w:pStyle w:val="TableParagraph"/>
              <w:spacing w:line="242" w:lineRule="auto" w:before="4"/>
              <w:ind w:left="100" w:right="104"/>
              <w:jc w:val="both"/>
              <w:rPr>
                <w:sz w:val="20"/>
              </w:rPr>
            </w:pPr>
            <w:r>
              <w:rPr>
                <w:sz w:val="20"/>
              </w:rPr>
              <w:t>Debe reunir al </w:t>
            </w:r>
            <w:r>
              <w:rPr>
                <w:b/>
                <w:sz w:val="20"/>
              </w:rPr>
              <w:t>100% las tres </w:t>
            </w:r>
            <w:r>
              <w:rPr>
                <w:sz w:val="20"/>
              </w:rPr>
              <w:t>características de impacto positivo</w:t>
            </w:r>
          </w:p>
        </w:tc>
        <w:tc>
          <w:tcPr>
            <w:tcW w:w="1639"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28"/>
              <w:rPr>
                <w:b/>
                <w:sz w:val="20"/>
              </w:rPr>
            </w:pPr>
            <w:r>
              <w:rPr>
                <w:b/>
                <w:sz w:val="20"/>
              </w:rPr>
              <w:t>Excelente</w:t>
            </w:r>
          </w:p>
        </w:tc>
      </w:tr>
      <w:tr>
        <w:trPr>
          <w:trHeight w:val="2312" w:hRule="exact"/>
        </w:trPr>
        <w:tc>
          <w:tcPr>
            <w:tcW w:w="954" w:type="dxa"/>
            <w:vMerge/>
            <w:tcBorders>
              <w:left w:val="double" w:sz="11" w:space="0" w:color="000000"/>
            </w:tcBorders>
          </w:tcPr>
          <w:p>
            <w:pPr/>
          </w:p>
        </w:tc>
        <w:tc>
          <w:tcPr>
            <w:tcW w:w="1913" w:type="dxa"/>
            <w:vMerge/>
          </w:tcPr>
          <w:p>
            <w:pPr/>
          </w:p>
        </w:tc>
        <w:tc>
          <w:tcPr>
            <w:tcW w:w="1352" w:type="dxa"/>
          </w:tcPr>
          <w:p>
            <w:pPr>
              <w:pStyle w:val="TableParagraph"/>
              <w:spacing w:line="227" w:lineRule="exact"/>
              <w:rPr>
                <w:sz w:val="20"/>
              </w:rPr>
            </w:pPr>
            <w:r>
              <w:rPr>
                <w:sz w:val="20"/>
              </w:rPr>
              <w:t>Económico</w:t>
            </w:r>
          </w:p>
        </w:tc>
        <w:tc>
          <w:tcPr>
            <w:tcW w:w="2966" w:type="dxa"/>
          </w:tcPr>
          <w:p>
            <w:pPr>
              <w:pStyle w:val="TableParagraph"/>
              <w:numPr>
                <w:ilvl w:val="0"/>
                <w:numId w:val="204"/>
              </w:numPr>
              <w:tabs>
                <w:tab w:pos="812" w:val="left" w:leader="none"/>
              </w:tabs>
              <w:spacing w:line="240" w:lineRule="auto" w:before="0" w:after="0"/>
              <w:ind w:left="280" w:right="104" w:hanging="141"/>
              <w:jc w:val="both"/>
              <w:rPr>
                <w:sz w:val="20"/>
              </w:rPr>
            </w:pPr>
            <w:r>
              <w:rPr>
                <w:sz w:val="20"/>
              </w:rPr>
              <w:t>Existe la posibilidad de una redistribución equitativa de los recursos naturales de la</w:t>
            </w:r>
            <w:r>
              <w:rPr>
                <w:spacing w:val="-5"/>
                <w:sz w:val="20"/>
              </w:rPr>
              <w:t> </w:t>
            </w:r>
            <w:r>
              <w:rPr>
                <w:sz w:val="20"/>
              </w:rPr>
              <w:t>CHPH</w:t>
            </w:r>
          </w:p>
          <w:p>
            <w:pPr>
              <w:pStyle w:val="TableParagraph"/>
              <w:numPr>
                <w:ilvl w:val="0"/>
                <w:numId w:val="204"/>
              </w:numPr>
              <w:tabs>
                <w:tab w:pos="812" w:val="left" w:leader="none"/>
              </w:tabs>
              <w:spacing w:line="240" w:lineRule="auto" w:before="1" w:after="0"/>
              <w:ind w:left="280" w:right="103" w:hanging="141"/>
              <w:jc w:val="both"/>
              <w:rPr>
                <w:sz w:val="20"/>
              </w:rPr>
            </w:pPr>
            <w:r>
              <w:rPr>
                <w:sz w:val="20"/>
              </w:rPr>
              <w:t>Existe posibilidad de un crecimiento económico equilibrado en la</w:t>
            </w:r>
            <w:r>
              <w:rPr>
                <w:spacing w:val="-9"/>
                <w:sz w:val="20"/>
              </w:rPr>
              <w:t> </w:t>
            </w:r>
            <w:r>
              <w:rPr>
                <w:sz w:val="20"/>
              </w:rPr>
              <w:t>CHPH.</w:t>
            </w:r>
          </w:p>
          <w:p>
            <w:pPr>
              <w:pStyle w:val="TableParagraph"/>
              <w:numPr>
                <w:ilvl w:val="0"/>
                <w:numId w:val="204"/>
              </w:numPr>
              <w:tabs>
                <w:tab w:pos="812" w:val="left" w:leader="none"/>
              </w:tabs>
              <w:spacing w:line="240" w:lineRule="auto" w:before="0" w:after="0"/>
              <w:ind w:left="280" w:right="103" w:hanging="141"/>
              <w:jc w:val="both"/>
              <w:rPr>
                <w:sz w:val="20"/>
              </w:rPr>
            </w:pPr>
            <w:r>
              <w:rPr>
                <w:sz w:val="20"/>
              </w:rPr>
              <w:t>Existe posibilidad de planeación económica con articulación entre</w:t>
            </w:r>
            <w:r>
              <w:rPr>
                <w:spacing w:val="-11"/>
                <w:sz w:val="20"/>
              </w:rPr>
              <w:t> </w:t>
            </w:r>
            <w:r>
              <w:rPr>
                <w:sz w:val="20"/>
              </w:rPr>
              <w:t>actores</w:t>
            </w:r>
          </w:p>
        </w:tc>
        <w:tc>
          <w:tcPr>
            <w:tcW w:w="1484" w:type="dxa"/>
            <w:vMerge/>
          </w:tcPr>
          <w:p>
            <w:pPr/>
          </w:p>
        </w:tc>
        <w:tc>
          <w:tcPr>
            <w:tcW w:w="2513" w:type="dxa"/>
            <w:vMerge/>
          </w:tcPr>
          <w:p>
            <w:pPr/>
          </w:p>
        </w:tc>
        <w:tc>
          <w:tcPr>
            <w:tcW w:w="1639" w:type="dxa"/>
            <w:vMerge/>
            <w:tcBorders>
              <w:right w:val="double" w:sz="12" w:space="0" w:color="000000"/>
            </w:tcBorders>
            <w:shd w:val="clear" w:color="auto" w:fill="00FF00"/>
          </w:tcPr>
          <w:p>
            <w:pPr/>
          </w:p>
        </w:tc>
      </w:tr>
      <w:tr>
        <w:trPr>
          <w:trHeight w:val="2770" w:hRule="exact"/>
        </w:trPr>
        <w:tc>
          <w:tcPr>
            <w:tcW w:w="954" w:type="dxa"/>
            <w:vMerge/>
            <w:tcBorders>
              <w:left w:val="double" w:sz="11" w:space="0" w:color="000000"/>
            </w:tcBorders>
          </w:tcPr>
          <w:p>
            <w:pPr/>
          </w:p>
        </w:tc>
        <w:tc>
          <w:tcPr>
            <w:tcW w:w="1913" w:type="dxa"/>
            <w:vMerge/>
          </w:tcPr>
          <w:p>
            <w:pPr/>
          </w:p>
        </w:tc>
        <w:tc>
          <w:tcPr>
            <w:tcW w:w="1352" w:type="dxa"/>
          </w:tcPr>
          <w:p>
            <w:pPr>
              <w:pStyle w:val="TableParagraph"/>
              <w:spacing w:line="227" w:lineRule="exact"/>
              <w:rPr>
                <w:sz w:val="20"/>
              </w:rPr>
            </w:pPr>
            <w:r>
              <w:rPr>
                <w:sz w:val="20"/>
              </w:rPr>
              <w:t>Sociopolítico</w:t>
            </w:r>
          </w:p>
        </w:tc>
        <w:tc>
          <w:tcPr>
            <w:tcW w:w="2966" w:type="dxa"/>
          </w:tcPr>
          <w:p>
            <w:pPr>
              <w:pStyle w:val="TableParagraph"/>
              <w:ind w:left="280" w:right="102" w:hanging="178"/>
              <w:jc w:val="both"/>
              <w:rPr>
                <w:sz w:val="20"/>
              </w:rPr>
            </w:pPr>
            <w:r>
              <w:rPr>
                <w:rFonts w:ascii="Wingdings" w:hAnsi="Wingdings"/>
                <w:sz w:val="20"/>
              </w:rPr>
              <w:t></w:t>
            </w:r>
            <w:r>
              <w:rPr>
                <w:sz w:val="20"/>
              </w:rPr>
              <w:t>Favorece la organización sociopolítica de los actores de la CHPH mediante la participación social</w:t>
            </w:r>
          </w:p>
          <w:p>
            <w:pPr>
              <w:pStyle w:val="TableParagraph"/>
              <w:ind w:left="280" w:right="102" w:hanging="178"/>
              <w:jc w:val="both"/>
              <w:rPr>
                <w:sz w:val="20"/>
              </w:rPr>
            </w:pPr>
            <w:r>
              <w:rPr>
                <w:rFonts w:ascii="Wingdings" w:hAnsi="Wingdings"/>
                <w:sz w:val="20"/>
              </w:rPr>
              <w:t></w:t>
            </w:r>
            <w:r>
              <w:rPr>
                <w:sz w:val="20"/>
              </w:rPr>
              <w:t>Favorece la  articulación entre actores para atender problemas comunes de la CHPH</w:t>
            </w:r>
          </w:p>
          <w:p>
            <w:pPr>
              <w:pStyle w:val="TableParagraph"/>
              <w:spacing w:line="228" w:lineRule="exact"/>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419" w:val="left" w:leader="none"/>
                <w:tab w:pos="1883" w:val="left" w:leader="none"/>
              </w:tabs>
              <w:rPr>
                <w:sz w:val="20"/>
              </w:rPr>
            </w:pPr>
            <w:r>
              <w:rPr>
                <w:rFonts w:ascii="Wingdings" w:hAnsi="Wingdings"/>
                <w:spacing w:val="2"/>
                <w:sz w:val="20"/>
              </w:rPr>
              <w:t></w:t>
            </w:r>
            <w:r>
              <w:rPr>
                <w:spacing w:val="2"/>
                <w:sz w:val="20"/>
              </w:rPr>
              <w:t>Favorece</w:t>
              <w:tab/>
            </w:r>
            <w:r>
              <w:rPr>
                <w:sz w:val="20"/>
              </w:rPr>
              <w:t>la</w:t>
              <w:tab/>
              <w:t>planeación</w:t>
            </w:r>
          </w:p>
        </w:tc>
        <w:tc>
          <w:tcPr>
            <w:tcW w:w="1484" w:type="dxa"/>
            <w:vMerge/>
          </w:tcPr>
          <w:p>
            <w:pPr/>
          </w:p>
        </w:tc>
        <w:tc>
          <w:tcPr>
            <w:tcW w:w="2513" w:type="dxa"/>
            <w:vMerge/>
          </w:tcPr>
          <w:p>
            <w:pPr/>
          </w:p>
        </w:tc>
        <w:tc>
          <w:tcPr>
            <w:tcW w:w="1639"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26.73999pt;margin-top:109.580002pt;width:79.6pt;height:407.85pt;mso-position-horizontal-relative:page;mso-position-vertical-relative:page;z-index:-3329464" coordorigin="12535,2192" coordsize="1592,8157">
            <v:shape style="position:absolute;left:12535;top:2192;width:1591;height:8157" type="#_x0000_t75" stroked="false">
              <v:imagedata r:id="rId431" o:title=""/>
            </v:shape>
            <v:shape style="position:absolute;left:12638;top:2192;width:1385;height:230" type="#_x0000_t75" stroked="false">
              <v:imagedata r:id="rId432" o:title=""/>
            </v:shape>
            <v:shape style="position:absolute;left:12638;top:2422;width:1385;height:230" type="#_x0000_t75" stroked="false">
              <v:imagedata r:id="rId433" o:title=""/>
            </v:shape>
            <v:shape style="position:absolute;left:12638;top:2652;width:1385;height:228" type="#_x0000_t75" stroked="false">
              <v:imagedata r:id="rId434" o:title=""/>
            </v:shape>
            <v:shape style="position:absolute;left:12638;top:2880;width:1385;height:230" type="#_x0000_t75" stroked="false">
              <v:imagedata r:id="rId435" o:title=""/>
            </v:shape>
            <v:shape style="position:absolute;left:12638;top:3111;width:1385;height:230" type="#_x0000_t75" stroked="false">
              <v:imagedata r:id="rId436" o:title=""/>
            </v:shape>
            <v:shape style="position:absolute;left:12638;top:3341;width:1385;height:230" type="#_x0000_t75" stroked="false">
              <v:imagedata r:id="rId437" o:title=""/>
            </v:shape>
            <v:shape style="position:absolute;left:12638;top:3572;width:1385;height:230" type="#_x0000_t75" stroked="false">
              <v:imagedata r:id="rId438" o:title=""/>
            </v:shape>
            <v:shape style="position:absolute;left:12638;top:3802;width:1385;height:231" type="#_x0000_t75" stroked="false">
              <v:imagedata r:id="rId439" o:title=""/>
            </v:shape>
            <v:shape style="position:absolute;left:12638;top:4033;width:1385;height:228" type="#_x0000_t75" stroked="false">
              <v:imagedata r:id="rId440"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13"/>
        <w:gridCol w:w="1352"/>
        <w:gridCol w:w="2966"/>
        <w:gridCol w:w="1484"/>
        <w:gridCol w:w="2513"/>
        <w:gridCol w:w="1639"/>
      </w:tblGrid>
      <w:tr>
        <w:trPr>
          <w:trHeight w:val="480" w:hRule="exact"/>
        </w:trPr>
        <w:tc>
          <w:tcPr>
            <w:tcW w:w="954" w:type="dxa"/>
            <w:tcBorders>
              <w:left w:val="double" w:sz="11" w:space="0" w:color="000000"/>
            </w:tcBorders>
          </w:tcPr>
          <w:p>
            <w:pPr/>
          </w:p>
        </w:tc>
        <w:tc>
          <w:tcPr>
            <w:tcW w:w="1913" w:type="dxa"/>
          </w:tcPr>
          <w:p>
            <w:pPr/>
          </w:p>
        </w:tc>
        <w:tc>
          <w:tcPr>
            <w:tcW w:w="1352" w:type="dxa"/>
          </w:tcPr>
          <w:p>
            <w:pPr/>
          </w:p>
        </w:tc>
        <w:tc>
          <w:tcPr>
            <w:tcW w:w="2966" w:type="dxa"/>
          </w:tcPr>
          <w:p>
            <w:pPr>
              <w:pStyle w:val="TableParagraph"/>
              <w:spacing w:before="7"/>
              <w:ind w:left="280"/>
              <w:rPr>
                <w:sz w:val="20"/>
              </w:rPr>
            </w:pPr>
            <w:r>
              <w:rPr>
                <w:sz w:val="20"/>
              </w:rPr>
              <w:t>sociopolítica con articulación entre actores</w:t>
            </w:r>
          </w:p>
        </w:tc>
        <w:tc>
          <w:tcPr>
            <w:tcW w:w="1484" w:type="dxa"/>
          </w:tcPr>
          <w:p>
            <w:pPr/>
          </w:p>
        </w:tc>
        <w:tc>
          <w:tcPr>
            <w:tcW w:w="2513" w:type="dxa"/>
          </w:tcPr>
          <w:p>
            <w:pPr/>
          </w:p>
        </w:tc>
        <w:tc>
          <w:tcPr>
            <w:tcW w:w="1639" w:type="dxa"/>
            <w:tcBorders>
              <w:right w:val="double" w:sz="12" w:space="0" w:color="000000"/>
            </w:tcBorders>
            <w:shd w:val="clear" w:color="auto" w:fill="00FF00"/>
          </w:tcPr>
          <w:p>
            <w:pPr/>
          </w:p>
        </w:tc>
      </w:tr>
      <w:tr>
        <w:trPr>
          <w:trHeight w:val="929" w:hRule="exact"/>
        </w:trPr>
        <w:tc>
          <w:tcPr>
            <w:tcW w:w="954" w:type="dxa"/>
            <w:tcBorders>
              <w:left w:val="double" w:sz="11" w:space="0" w:color="000000"/>
            </w:tcBorders>
          </w:tcPr>
          <w:p>
            <w:pPr>
              <w:pStyle w:val="TableParagraph"/>
              <w:spacing w:before="6"/>
              <w:ind w:left="0"/>
              <w:rPr>
                <w:rFonts w:ascii="Times New Roman"/>
                <w:sz w:val="29"/>
              </w:rPr>
            </w:pPr>
          </w:p>
          <w:p>
            <w:pPr>
              <w:pStyle w:val="TableParagraph"/>
              <w:spacing w:before="1"/>
              <w:ind w:left="209" w:right="212"/>
              <w:jc w:val="center"/>
              <w:rPr>
                <w:sz w:val="20"/>
              </w:rPr>
            </w:pPr>
            <w:r>
              <w:rPr>
                <w:sz w:val="20"/>
              </w:rPr>
              <w:t>1519</w:t>
            </w:r>
          </w:p>
        </w:tc>
        <w:tc>
          <w:tcPr>
            <w:tcW w:w="1913"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352" w:type="dxa"/>
            <w:vMerge w:val="restart"/>
          </w:tcPr>
          <w:p>
            <w:pPr>
              <w:pStyle w:val="TableParagraph"/>
              <w:spacing w:line="227" w:lineRule="exact"/>
              <w:rPr>
                <w:sz w:val="20"/>
              </w:rPr>
            </w:pPr>
            <w:r>
              <w:rPr>
                <w:sz w:val="20"/>
              </w:rPr>
              <w:t>Ambiental</w:t>
            </w:r>
          </w:p>
        </w:tc>
        <w:tc>
          <w:tcPr>
            <w:tcW w:w="2966" w:type="dxa"/>
            <w:vMerge w:val="restart"/>
          </w:tcPr>
          <w:p>
            <w:pPr>
              <w:pStyle w:val="TableParagraph"/>
              <w:numPr>
                <w:ilvl w:val="0"/>
                <w:numId w:val="205"/>
              </w:numPr>
              <w:tabs>
                <w:tab w:pos="812" w:val="left" w:leader="none"/>
              </w:tabs>
              <w:spacing w:line="240" w:lineRule="auto" w:before="0" w:after="0"/>
              <w:ind w:left="280" w:right="104" w:hanging="141"/>
              <w:jc w:val="both"/>
              <w:rPr>
                <w:sz w:val="20"/>
              </w:rPr>
            </w:pPr>
            <w:r>
              <w:rPr>
                <w:sz w:val="20"/>
              </w:rPr>
              <w:t>Existe deseo de participación sociopolítica de los actores de la CHPH para cuidar el medio</w:t>
            </w:r>
            <w:r>
              <w:rPr>
                <w:spacing w:val="-8"/>
                <w:sz w:val="20"/>
              </w:rPr>
              <w:t> </w:t>
            </w:r>
            <w:r>
              <w:rPr>
                <w:sz w:val="20"/>
              </w:rPr>
              <w:t>ambiente</w:t>
            </w:r>
          </w:p>
          <w:p>
            <w:pPr>
              <w:pStyle w:val="TableParagraph"/>
              <w:numPr>
                <w:ilvl w:val="0"/>
                <w:numId w:val="205"/>
              </w:numPr>
              <w:tabs>
                <w:tab w:pos="812" w:val="left" w:leader="none"/>
              </w:tabs>
              <w:spacing w:line="240" w:lineRule="auto" w:before="0" w:after="0"/>
              <w:ind w:left="280" w:right="104" w:hanging="141"/>
              <w:jc w:val="both"/>
              <w:rPr>
                <w:sz w:val="20"/>
              </w:rPr>
            </w:pPr>
            <w:r>
              <w:rPr>
                <w:sz w:val="20"/>
              </w:rPr>
              <w:t>Existe la probabilidad de acción colectiva de los actores para cuidar el medio ambiente</w:t>
            </w:r>
          </w:p>
          <w:p>
            <w:pPr>
              <w:pStyle w:val="TableParagraph"/>
              <w:numPr>
                <w:ilvl w:val="0"/>
                <w:numId w:val="205"/>
              </w:numPr>
              <w:tabs>
                <w:tab w:pos="812" w:val="left" w:leader="none"/>
              </w:tabs>
              <w:spacing w:line="240" w:lineRule="auto" w:before="0" w:after="0"/>
              <w:ind w:left="280" w:right="103" w:hanging="141"/>
              <w:jc w:val="both"/>
              <w:rPr>
                <w:sz w:val="20"/>
              </w:rPr>
            </w:pPr>
            <w:r>
              <w:rPr>
                <w:sz w:val="20"/>
              </w:rPr>
              <w:t>Existen la posibilidad de acuerdos democráticos entre actores de la CHPH para cuidar el medio ambiente</w:t>
            </w:r>
          </w:p>
          <w:p>
            <w:pPr>
              <w:pStyle w:val="TableParagraph"/>
              <w:numPr>
                <w:ilvl w:val="0"/>
                <w:numId w:val="205"/>
              </w:numPr>
              <w:tabs>
                <w:tab w:pos="812" w:val="left" w:leader="none"/>
              </w:tabs>
              <w:spacing w:line="240" w:lineRule="auto" w:before="0" w:after="0"/>
              <w:ind w:left="280" w:right="104" w:hanging="141"/>
              <w:jc w:val="both"/>
              <w:rPr>
                <w:sz w:val="20"/>
              </w:rPr>
            </w:pPr>
            <w:r>
              <w:rPr>
                <w:sz w:val="20"/>
              </w:rPr>
              <w:t>Existe la posibilidad de planeación ambiental con articulación entre</w:t>
            </w:r>
            <w:r>
              <w:rPr>
                <w:spacing w:val="-11"/>
                <w:sz w:val="20"/>
              </w:rPr>
              <w:t> </w:t>
            </w:r>
            <w:r>
              <w:rPr>
                <w:sz w:val="20"/>
              </w:rPr>
              <w:t>actores</w:t>
            </w:r>
          </w:p>
        </w:tc>
        <w:tc>
          <w:tcPr>
            <w:tcW w:w="148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4"/>
              </w:rPr>
            </w:pPr>
          </w:p>
          <w:p>
            <w:pPr>
              <w:pStyle w:val="TableParagraph"/>
              <w:ind w:left="515" w:right="518"/>
              <w:jc w:val="center"/>
              <w:rPr>
                <w:sz w:val="20"/>
              </w:rPr>
            </w:pPr>
            <w:r>
              <w:rPr>
                <w:sz w:val="20"/>
              </w:rPr>
              <w:t>75%</w:t>
            </w:r>
          </w:p>
        </w:tc>
        <w:tc>
          <w:tcPr>
            <w:tcW w:w="2513" w:type="dxa"/>
            <w:vMerge w:val="restart"/>
          </w:tcPr>
          <w:p>
            <w:pPr>
              <w:pStyle w:val="TableParagraph"/>
              <w:tabs>
                <w:tab w:pos="2173" w:val="left" w:leader="none"/>
              </w:tabs>
              <w:ind w:left="100" w:right="104"/>
              <w:jc w:val="both"/>
              <w:rPr>
                <w:sz w:val="20"/>
              </w:rPr>
            </w:pPr>
            <w:r>
              <w:rPr>
                <w:sz w:val="20"/>
              </w:rPr>
              <w:t>Debe reunir </w:t>
            </w:r>
            <w:r>
              <w:rPr>
                <w:b/>
                <w:sz w:val="20"/>
              </w:rPr>
              <w:t>al menos el 75% </w:t>
            </w:r>
            <w:r>
              <w:rPr>
                <w:sz w:val="20"/>
              </w:rPr>
              <w:t>dos de tres características</w:t>
              <w:tab/>
              <w:t>de impacto</w:t>
            </w:r>
            <w:r>
              <w:rPr>
                <w:spacing w:val="-3"/>
                <w:sz w:val="20"/>
              </w:rPr>
              <w:t> </w:t>
            </w:r>
            <w:r>
              <w:rPr>
                <w:sz w:val="20"/>
              </w:rPr>
              <w:t>positivo</w:t>
            </w:r>
          </w:p>
        </w:tc>
        <w:tc>
          <w:tcPr>
            <w:tcW w:w="1639"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484"/>
              <w:rPr>
                <w:b/>
                <w:sz w:val="20"/>
              </w:rPr>
            </w:pPr>
            <w:r>
              <w:rPr>
                <w:b/>
                <w:sz w:val="20"/>
              </w:rPr>
              <w:t>Bueno</w:t>
            </w:r>
          </w:p>
        </w:tc>
      </w:tr>
      <w:tr>
        <w:trPr>
          <w:trHeight w:val="927" w:hRule="exact"/>
        </w:trPr>
        <w:tc>
          <w:tcPr>
            <w:tcW w:w="954" w:type="dxa"/>
            <w:tcBorders>
              <w:left w:val="double" w:sz="11" w:space="0" w:color="000000"/>
            </w:tcBorders>
          </w:tcPr>
          <w:p>
            <w:pPr>
              <w:pStyle w:val="TableParagraph"/>
              <w:spacing w:before="6"/>
              <w:ind w:left="0"/>
              <w:rPr>
                <w:rFonts w:ascii="Times New Roman"/>
                <w:sz w:val="29"/>
              </w:rPr>
            </w:pPr>
          </w:p>
          <w:p>
            <w:pPr>
              <w:pStyle w:val="TableParagraph"/>
              <w:spacing w:before="1"/>
              <w:ind w:left="209" w:right="212"/>
              <w:jc w:val="center"/>
              <w:rPr>
                <w:sz w:val="20"/>
              </w:rPr>
            </w:pPr>
            <w:r>
              <w:rPr>
                <w:sz w:val="20"/>
              </w:rPr>
              <w:t>1810</w:t>
            </w:r>
          </w:p>
        </w:tc>
        <w:tc>
          <w:tcPr>
            <w:tcW w:w="1913" w:type="dxa"/>
            <w:vMerge/>
          </w:tcPr>
          <w:p>
            <w:pPr/>
          </w:p>
        </w:tc>
        <w:tc>
          <w:tcPr>
            <w:tcW w:w="1352" w:type="dxa"/>
            <w:vMerge/>
          </w:tcPr>
          <w:p>
            <w:pPr/>
          </w:p>
        </w:tc>
        <w:tc>
          <w:tcPr>
            <w:tcW w:w="2966" w:type="dxa"/>
            <w:vMerge/>
          </w:tcPr>
          <w:p>
            <w:pPr/>
          </w:p>
        </w:tc>
        <w:tc>
          <w:tcPr>
            <w:tcW w:w="1484" w:type="dxa"/>
            <w:vMerge/>
          </w:tcPr>
          <w:p>
            <w:pPr/>
          </w:p>
        </w:tc>
        <w:tc>
          <w:tcPr>
            <w:tcW w:w="2513" w:type="dxa"/>
            <w:vMerge/>
          </w:tcPr>
          <w:p>
            <w:pPr/>
          </w:p>
        </w:tc>
        <w:tc>
          <w:tcPr>
            <w:tcW w:w="1639" w:type="dxa"/>
            <w:vMerge/>
            <w:tcBorders>
              <w:right w:val="double" w:sz="12" w:space="0" w:color="000000"/>
            </w:tcBorders>
          </w:tcPr>
          <w:p>
            <w:pPr/>
          </w:p>
        </w:tc>
      </w:tr>
      <w:tr>
        <w:trPr>
          <w:trHeight w:val="1834"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9"/>
              </w:rPr>
            </w:pPr>
          </w:p>
          <w:p>
            <w:pPr>
              <w:pStyle w:val="TableParagraph"/>
              <w:ind w:left="209" w:right="212"/>
              <w:jc w:val="center"/>
              <w:rPr>
                <w:sz w:val="20"/>
              </w:rPr>
            </w:pPr>
            <w:r>
              <w:rPr>
                <w:sz w:val="20"/>
              </w:rPr>
              <w:t>1861</w:t>
            </w:r>
          </w:p>
        </w:tc>
        <w:tc>
          <w:tcPr>
            <w:tcW w:w="1913" w:type="dxa"/>
            <w:vMerge/>
          </w:tcPr>
          <w:p>
            <w:pPr/>
          </w:p>
        </w:tc>
        <w:tc>
          <w:tcPr>
            <w:tcW w:w="1352" w:type="dxa"/>
            <w:vMerge/>
          </w:tcPr>
          <w:p>
            <w:pPr/>
          </w:p>
        </w:tc>
        <w:tc>
          <w:tcPr>
            <w:tcW w:w="2966" w:type="dxa"/>
            <w:vMerge/>
          </w:tcPr>
          <w:p>
            <w:pPr/>
          </w:p>
        </w:tc>
        <w:tc>
          <w:tcPr>
            <w:tcW w:w="1484" w:type="dxa"/>
            <w:vMerge/>
          </w:tcPr>
          <w:p>
            <w:pPr/>
          </w:p>
        </w:tc>
        <w:tc>
          <w:tcPr>
            <w:tcW w:w="2513" w:type="dxa"/>
            <w:vMerge/>
          </w:tcPr>
          <w:p>
            <w:pPr/>
          </w:p>
        </w:tc>
        <w:tc>
          <w:tcPr>
            <w:tcW w:w="1639" w:type="dxa"/>
            <w:vMerge/>
            <w:tcBorders>
              <w:right w:val="double" w:sz="12" w:space="0" w:color="000000"/>
            </w:tcBorders>
          </w:tcPr>
          <w:p>
            <w:pPr/>
          </w:p>
        </w:tc>
      </w:tr>
      <w:tr>
        <w:trPr>
          <w:trHeight w:val="860" w:hRule="exact"/>
        </w:trPr>
        <w:tc>
          <w:tcPr>
            <w:tcW w:w="954" w:type="dxa"/>
            <w:tcBorders>
              <w:left w:val="double" w:sz="11" w:space="0" w:color="000000"/>
            </w:tcBorders>
          </w:tcPr>
          <w:p>
            <w:pPr>
              <w:pStyle w:val="TableParagraph"/>
              <w:spacing w:before="7"/>
              <w:ind w:left="0"/>
              <w:rPr>
                <w:rFonts w:ascii="Times New Roman"/>
                <w:sz w:val="26"/>
              </w:rPr>
            </w:pPr>
          </w:p>
          <w:p>
            <w:pPr>
              <w:pStyle w:val="TableParagraph"/>
              <w:spacing w:before="1"/>
              <w:ind w:left="209" w:right="212"/>
              <w:jc w:val="center"/>
              <w:rPr>
                <w:sz w:val="20"/>
              </w:rPr>
            </w:pPr>
            <w:r>
              <w:rPr>
                <w:sz w:val="20"/>
              </w:rPr>
              <w:t>1910</w:t>
            </w:r>
          </w:p>
        </w:tc>
        <w:tc>
          <w:tcPr>
            <w:tcW w:w="1913" w:type="dxa"/>
            <w:vMerge/>
          </w:tcPr>
          <w:p>
            <w:pPr/>
          </w:p>
        </w:tc>
        <w:tc>
          <w:tcPr>
            <w:tcW w:w="1352" w:type="dxa"/>
            <w:vMerge w:val="restart"/>
          </w:tcPr>
          <w:p>
            <w:pPr>
              <w:pStyle w:val="TableParagraph"/>
              <w:spacing w:line="227" w:lineRule="exact"/>
              <w:rPr>
                <w:sz w:val="20"/>
              </w:rPr>
            </w:pPr>
            <w:r>
              <w:rPr>
                <w:sz w:val="20"/>
              </w:rPr>
              <w:t>Económico</w:t>
            </w:r>
          </w:p>
        </w:tc>
        <w:tc>
          <w:tcPr>
            <w:tcW w:w="2966" w:type="dxa"/>
            <w:vMerge w:val="restart"/>
          </w:tcPr>
          <w:p>
            <w:pPr>
              <w:pStyle w:val="TableParagraph"/>
              <w:numPr>
                <w:ilvl w:val="0"/>
                <w:numId w:val="206"/>
              </w:numPr>
              <w:tabs>
                <w:tab w:pos="812" w:val="left" w:leader="none"/>
              </w:tabs>
              <w:spacing w:line="240" w:lineRule="auto" w:before="0" w:after="0"/>
              <w:ind w:left="280" w:right="104" w:hanging="141"/>
              <w:jc w:val="both"/>
              <w:rPr>
                <w:sz w:val="20"/>
              </w:rPr>
            </w:pPr>
            <w:r>
              <w:rPr>
                <w:sz w:val="20"/>
              </w:rPr>
              <w:t>Existe la posibilidad de una redistribución equitativa de los recursos naturales de la</w:t>
            </w:r>
            <w:r>
              <w:rPr>
                <w:spacing w:val="-5"/>
                <w:sz w:val="20"/>
              </w:rPr>
              <w:t> </w:t>
            </w:r>
            <w:r>
              <w:rPr>
                <w:sz w:val="20"/>
              </w:rPr>
              <w:t>CHPH</w:t>
            </w:r>
          </w:p>
          <w:p>
            <w:pPr>
              <w:pStyle w:val="TableParagraph"/>
              <w:numPr>
                <w:ilvl w:val="0"/>
                <w:numId w:val="206"/>
              </w:numPr>
              <w:tabs>
                <w:tab w:pos="812" w:val="left" w:leader="none"/>
              </w:tabs>
              <w:spacing w:line="240" w:lineRule="auto" w:before="0" w:after="0"/>
              <w:ind w:left="280" w:right="103" w:hanging="141"/>
              <w:jc w:val="both"/>
              <w:rPr>
                <w:sz w:val="20"/>
              </w:rPr>
            </w:pPr>
            <w:r>
              <w:rPr>
                <w:sz w:val="20"/>
              </w:rPr>
              <w:t>Existe posibilidad de un crecimiento económico equilibrado en la</w:t>
            </w:r>
            <w:r>
              <w:rPr>
                <w:spacing w:val="-9"/>
                <w:sz w:val="20"/>
              </w:rPr>
              <w:t> </w:t>
            </w:r>
            <w:r>
              <w:rPr>
                <w:sz w:val="20"/>
              </w:rPr>
              <w:t>CHPH.</w:t>
            </w:r>
          </w:p>
          <w:p>
            <w:pPr>
              <w:pStyle w:val="TableParagraph"/>
              <w:numPr>
                <w:ilvl w:val="0"/>
                <w:numId w:val="206"/>
              </w:numPr>
              <w:tabs>
                <w:tab w:pos="812" w:val="left" w:leader="none"/>
              </w:tabs>
              <w:spacing w:line="240" w:lineRule="auto" w:before="0" w:after="0"/>
              <w:ind w:left="280" w:right="103" w:hanging="141"/>
              <w:jc w:val="both"/>
              <w:rPr>
                <w:sz w:val="20"/>
              </w:rPr>
            </w:pPr>
            <w:r>
              <w:rPr>
                <w:sz w:val="20"/>
              </w:rPr>
              <w:t>Existe posibilidad de planeación económica con articulación entre</w:t>
            </w:r>
            <w:r>
              <w:rPr>
                <w:spacing w:val="-11"/>
                <w:sz w:val="20"/>
              </w:rPr>
              <w:t> </w:t>
            </w:r>
            <w:r>
              <w:rPr>
                <w:sz w:val="20"/>
              </w:rPr>
              <w:t>actores</w:t>
            </w:r>
          </w:p>
        </w:tc>
        <w:tc>
          <w:tcPr>
            <w:tcW w:w="1484" w:type="dxa"/>
            <w:vMerge/>
          </w:tcPr>
          <w:p>
            <w:pPr/>
          </w:p>
        </w:tc>
        <w:tc>
          <w:tcPr>
            <w:tcW w:w="2513" w:type="dxa"/>
            <w:vMerge/>
          </w:tcPr>
          <w:p>
            <w:pPr/>
          </w:p>
        </w:tc>
        <w:tc>
          <w:tcPr>
            <w:tcW w:w="1639" w:type="dxa"/>
            <w:vMerge/>
            <w:tcBorders>
              <w:right w:val="double" w:sz="12" w:space="0" w:color="000000"/>
            </w:tcBorders>
          </w:tcPr>
          <w:p>
            <w:pPr/>
          </w:p>
        </w:tc>
      </w:tr>
      <w:tr>
        <w:trPr>
          <w:trHeight w:val="859" w:hRule="exact"/>
        </w:trPr>
        <w:tc>
          <w:tcPr>
            <w:tcW w:w="954" w:type="dxa"/>
            <w:tcBorders>
              <w:left w:val="double" w:sz="11" w:space="0" w:color="000000"/>
            </w:tcBorders>
          </w:tcPr>
          <w:p>
            <w:pPr>
              <w:pStyle w:val="TableParagraph"/>
              <w:spacing w:before="10"/>
              <w:ind w:left="0"/>
              <w:rPr>
                <w:rFonts w:ascii="Times New Roman"/>
                <w:sz w:val="26"/>
              </w:rPr>
            </w:pPr>
          </w:p>
          <w:p>
            <w:pPr>
              <w:pStyle w:val="TableParagraph"/>
              <w:ind w:left="209" w:right="212"/>
              <w:jc w:val="center"/>
              <w:rPr>
                <w:sz w:val="20"/>
              </w:rPr>
            </w:pPr>
            <w:r>
              <w:rPr>
                <w:sz w:val="20"/>
              </w:rPr>
              <w:t>1940</w:t>
            </w:r>
          </w:p>
        </w:tc>
        <w:tc>
          <w:tcPr>
            <w:tcW w:w="1913" w:type="dxa"/>
            <w:vMerge/>
          </w:tcPr>
          <w:p>
            <w:pPr/>
          </w:p>
        </w:tc>
        <w:tc>
          <w:tcPr>
            <w:tcW w:w="1352" w:type="dxa"/>
            <w:vMerge/>
          </w:tcPr>
          <w:p>
            <w:pPr/>
          </w:p>
        </w:tc>
        <w:tc>
          <w:tcPr>
            <w:tcW w:w="2966" w:type="dxa"/>
            <w:vMerge/>
          </w:tcPr>
          <w:p>
            <w:pPr/>
          </w:p>
        </w:tc>
        <w:tc>
          <w:tcPr>
            <w:tcW w:w="1484" w:type="dxa"/>
            <w:vMerge/>
          </w:tcPr>
          <w:p>
            <w:pPr/>
          </w:p>
        </w:tc>
        <w:tc>
          <w:tcPr>
            <w:tcW w:w="2513" w:type="dxa"/>
            <w:vMerge/>
          </w:tcPr>
          <w:p>
            <w:pPr/>
          </w:p>
        </w:tc>
        <w:tc>
          <w:tcPr>
            <w:tcW w:w="1639" w:type="dxa"/>
            <w:vMerge/>
            <w:tcBorders>
              <w:right w:val="double" w:sz="12" w:space="0" w:color="000000"/>
            </w:tcBorders>
          </w:tcPr>
          <w:p>
            <w:pPr/>
          </w:p>
        </w:tc>
      </w:tr>
      <w:tr>
        <w:trPr>
          <w:trHeight w:val="677" w:hRule="exact"/>
        </w:trPr>
        <w:tc>
          <w:tcPr>
            <w:tcW w:w="954" w:type="dxa"/>
            <w:tcBorders>
              <w:left w:val="double" w:sz="11" w:space="0" w:color="000000"/>
            </w:tcBorders>
          </w:tcPr>
          <w:p>
            <w:pPr>
              <w:pStyle w:val="TableParagraph"/>
              <w:spacing w:before="11"/>
              <w:ind w:left="0"/>
              <w:rPr>
                <w:rFonts w:ascii="Times New Roman"/>
                <w:sz w:val="18"/>
              </w:rPr>
            </w:pPr>
          </w:p>
          <w:p>
            <w:pPr>
              <w:pStyle w:val="TableParagraph"/>
              <w:ind w:left="209" w:right="212"/>
              <w:jc w:val="center"/>
              <w:rPr>
                <w:sz w:val="20"/>
              </w:rPr>
            </w:pPr>
            <w:r>
              <w:rPr>
                <w:sz w:val="20"/>
              </w:rPr>
              <w:t>1982</w:t>
            </w:r>
          </w:p>
        </w:tc>
        <w:tc>
          <w:tcPr>
            <w:tcW w:w="1913" w:type="dxa"/>
            <w:vMerge/>
          </w:tcPr>
          <w:p>
            <w:pPr/>
          </w:p>
        </w:tc>
        <w:tc>
          <w:tcPr>
            <w:tcW w:w="1352" w:type="dxa"/>
            <w:vMerge/>
          </w:tcPr>
          <w:p>
            <w:pPr/>
          </w:p>
        </w:tc>
        <w:tc>
          <w:tcPr>
            <w:tcW w:w="2966" w:type="dxa"/>
            <w:vMerge/>
          </w:tcPr>
          <w:p>
            <w:pPr/>
          </w:p>
        </w:tc>
        <w:tc>
          <w:tcPr>
            <w:tcW w:w="1484" w:type="dxa"/>
            <w:vMerge/>
          </w:tcPr>
          <w:p>
            <w:pPr/>
          </w:p>
        </w:tc>
        <w:tc>
          <w:tcPr>
            <w:tcW w:w="2513" w:type="dxa"/>
            <w:vMerge/>
          </w:tcPr>
          <w:p>
            <w:pPr/>
          </w:p>
        </w:tc>
        <w:tc>
          <w:tcPr>
            <w:tcW w:w="1639" w:type="dxa"/>
            <w:vMerge/>
            <w:tcBorders>
              <w:right w:val="double" w:sz="12" w:space="0" w:color="000000"/>
            </w:tcBorders>
          </w:tcPr>
          <w:p>
            <w:pPr/>
          </w:p>
        </w:tc>
      </w:tr>
      <w:tr>
        <w:trPr>
          <w:trHeight w:val="2081" w:hRule="exact"/>
        </w:trPr>
        <w:tc>
          <w:tcPr>
            <w:tcW w:w="954" w:type="dxa"/>
            <w:tcBorders>
              <w:left w:val="double" w:sz="11" w:space="0" w:color="000000"/>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9"/>
              </w:rPr>
            </w:pPr>
          </w:p>
          <w:p>
            <w:pPr>
              <w:pStyle w:val="TableParagraph"/>
              <w:spacing w:before="1"/>
              <w:ind w:left="209" w:right="212"/>
              <w:jc w:val="center"/>
              <w:rPr>
                <w:sz w:val="20"/>
              </w:rPr>
            </w:pPr>
            <w:r>
              <w:rPr>
                <w:sz w:val="20"/>
              </w:rPr>
              <w:t>2016</w:t>
            </w:r>
          </w:p>
        </w:tc>
        <w:tc>
          <w:tcPr>
            <w:tcW w:w="1913" w:type="dxa"/>
            <w:vMerge/>
            <w:tcBorders>
              <w:bottom w:val="single" w:sz="8" w:space="0" w:color="000000"/>
            </w:tcBorders>
          </w:tcPr>
          <w:p>
            <w:pPr/>
          </w:p>
        </w:tc>
        <w:tc>
          <w:tcPr>
            <w:tcW w:w="1352" w:type="dxa"/>
            <w:tcBorders>
              <w:bottom w:val="single" w:sz="8" w:space="0" w:color="000000"/>
            </w:tcBorders>
          </w:tcPr>
          <w:p>
            <w:pPr>
              <w:pStyle w:val="TableParagraph"/>
              <w:spacing w:line="230" w:lineRule="exact"/>
              <w:rPr>
                <w:sz w:val="20"/>
              </w:rPr>
            </w:pPr>
            <w:r>
              <w:rPr>
                <w:sz w:val="20"/>
              </w:rPr>
              <w:t>Sociopolítico</w:t>
            </w:r>
          </w:p>
        </w:tc>
        <w:tc>
          <w:tcPr>
            <w:tcW w:w="2966" w:type="dxa"/>
            <w:tcBorders>
              <w:bottom w:val="single" w:sz="8" w:space="0" w:color="000000"/>
            </w:tcBorders>
          </w:tcPr>
          <w:p>
            <w:pPr>
              <w:pStyle w:val="TableParagraph"/>
              <w:ind w:left="280" w:right="104" w:hanging="178"/>
              <w:jc w:val="both"/>
              <w:rPr>
                <w:sz w:val="20"/>
              </w:rPr>
            </w:pPr>
            <w:r>
              <w:rPr>
                <w:rFonts w:ascii="Wingdings" w:hAnsi="Wingdings"/>
                <w:sz w:val="20"/>
              </w:rPr>
              <w:t></w:t>
            </w:r>
            <w:r>
              <w:rPr>
                <w:sz w:val="20"/>
              </w:rPr>
              <w:t>Favorece la organización sociopolítica de los actores de la CHPH mediante la participación social</w:t>
            </w:r>
          </w:p>
          <w:p>
            <w:pPr>
              <w:pStyle w:val="TableParagraph"/>
              <w:ind w:left="280" w:right="102" w:hanging="178"/>
              <w:jc w:val="both"/>
              <w:rPr>
                <w:sz w:val="20"/>
              </w:rPr>
            </w:pPr>
            <w:r>
              <w:rPr>
                <w:rFonts w:ascii="Wingdings" w:hAnsi="Wingdings"/>
                <w:sz w:val="20"/>
              </w:rPr>
              <w:t></w:t>
            </w:r>
            <w:r>
              <w:rPr>
                <w:sz w:val="20"/>
              </w:rPr>
              <w:t>Favorece la  articulación entre actores para atender problemas comunes de la CHPH</w:t>
            </w:r>
          </w:p>
          <w:p>
            <w:pPr>
              <w:pStyle w:val="TableParagraph"/>
              <w:rPr>
                <w:sz w:val="20"/>
              </w:rPr>
            </w:pPr>
            <w:r>
              <w:rPr>
                <w:rFonts w:ascii="Wingdings" w:hAnsi="Wingdings"/>
                <w:sz w:val="20"/>
              </w:rPr>
              <w:t></w:t>
            </w:r>
            <w:r>
              <w:rPr>
                <w:sz w:val="20"/>
              </w:rPr>
              <w:t>Favorece la GIRH</w:t>
            </w:r>
          </w:p>
        </w:tc>
        <w:tc>
          <w:tcPr>
            <w:tcW w:w="1484" w:type="dxa"/>
            <w:vMerge/>
            <w:tcBorders>
              <w:bottom w:val="single" w:sz="8" w:space="0" w:color="000000"/>
            </w:tcBorders>
          </w:tcPr>
          <w:p>
            <w:pPr/>
          </w:p>
        </w:tc>
        <w:tc>
          <w:tcPr>
            <w:tcW w:w="2513" w:type="dxa"/>
            <w:vMerge/>
            <w:tcBorders>
              <w:bottom w:val="single" w:sz="8" w:space="0" w:color="000000"/>
            </w:tcBorders>
          </w:tcPr>
          <w:p>
            <w:pPr/>
          </w:p>
        </w:tc>
        <w:tc>
          <w:tcPr>
            <w:tcW w:w="1639" w:type="dxa"/>
            <w:vMerge/>
            <w:tcBorders>
              <w:bottom w:val="single" w:sz="8" w:space="0" w:color="000000"/>
              <w:right w:val="double" w:sz="12" w:space="0" w:color="000000"/>
            </w:tcBorders>
          </w:tcPr>
          <w:p>
            <w:pPr/>
          </w:p>
        </w:tc>
      </w:tr>
    </w:tbl>
    <w:p>
      <w:pPr>
        <w:spacing w:after="0"/>
        <w:sectPr>
          <w:footerReference w:type="default" r:id="rId430"/>
          <w:pgSz w:w="15840" w:h="12240" w:orient="landscape"/>
          <w:pgMar w:footer="943" w:header="0" w:top="1140" w:bottom="1140" w:left="1200" w:right="1300"/>
          <w:pgNumType w:start="66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13"/>
        <w:gridCol w:w="1352"/>
        <w:gridCol w:w="2966"/>
        <w:gridCol w:w="1484"/>
        <w:gridCol w:w="2513"/>
        <w:gridCol w:w="1639"/>
      </w:tblGrid>
      <w:tr>
        <w:trPr>
          <w:trHeight w:val="1169" w:hRule="exact"/>
        </w:trPr>
        <w:tc>
          <w:tcPr>
            <w:tcW w:w="954" w:type="dxa"/>
            <w:tcBorders>
              <w:left w:val="double" w:sz="11" w:space="0" w:color="000000"/>
            </w:tcBorders>
          </w:tcPr>
          <w:p>
            <w:pPr/>
          </w:p>
        </w:tc>
        <w:tc>
          <w:tcPr>
            <w:tcW w:w="1913" w:type="dxa"/>
          </w:tcPr>
          <w:p>
            <w:pPr/>
          </w:p>
        </w:tc>
        <w:tc>
          <w:tcPr>
            <w:tcW w:w="1352" w:type="dxa"/>
          </w:tcPr>
          <w:p>
            <w:pPr/>
          </w:p>
        </w:tc>
        <w:tc>
          <w:tcPr>
            <w:tcW w:w="2966" w:type="dxa"/>
          </w:tcPr>
          <w:p>
            <w:pPr>
              <w:pStyle w:val="TableParagraph"/>
              <w:spacing w:before="7"/>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ind w:left="280" w:right="105" w:hanging="178"/>
              <w:jc w:val="both"/>
              <w:rPr>
                <w:sz w:val="20"/>
              </w:rPr>
            </w:pPr>
            <w:r>
              <w:rPr>
                <w:rFonts w:ascii="Wingdings" w:hAnsi="Wingdings"/>
                <w:sz w:val="20"/>
              </w:rPr>
              <w:t></w:t>
            </w:r>
            <w:r>
              <w:rPr>
                <w:sz w:val="20"/>
              </w:rPr>
              <w:t>Favorece la planeación sociopolítica con articulación entre actores</w:t>
            </w:r>
          </w:p>
        </w:tc>
        <w:tc>
          <w:tcPr>
            <w:tcW w:w="1484" w:type="dxa"/>
          </w:tcPr>
          <w:p>
            <w:pPr/>
          </w:p>
        </w:tc>
        <w:tc>
          <w:tcPr>
            <w:tcW w:w="2513" w:type="dxa"/>
          </w:tcPr>
          <w:p>
            <w:pPr/>
          </w:p>
        </w:tc>
        <w:tc>
          <w:tcPr>
            <w:tcW w:w="1639" w:type="dxa"/>
            <w:tcBorders>
              <w:right w:val="double" w:sz="12" w:space="0" w:color="000000"/>
            </w:tcBorders>
          </w:tcPr>
          <w:p>
            <w:pPr>
              <w:pStyle w:val="TableParagraph"/>
              <w:ind w:left="0" w:right="-50"/>
              <w:rPr>
                <w:rFonts w:ascii="Times New Roman"/>
                <w:sz w:val="20"/>
              </w:rPr>
            </w:pPr>
            <w:r>
              <w:rPr>
                <w:rFonts w:ascii="Times New Roman"/>
                <w:sz w:val="20"/>
              </w:rPr>
              <w:pict>
                <v:group style="width:79.6pt;height:57.5pt;mso-position-horizontal-relative:char;mso-position-vertical-relative:line" coordorigin="0,0" coordsize="1592,1150">
                  <v:shape style="position:absolute;left:0;top:0;width:1591;height:1150" type="#_x0000_t75" stroked="false">
                    <v:imagedata r:id="rId441" o:title=""/>
                  </v:shape>
                </v:group>
              </w:pict>
            </w:r>
            <w:r>
              <w:rPr>
                <w:rFonts w:ascii="Times New Roman"/>
                <w:sz w:val="20"/>
              </w:rPr>
            </w:r>
          </w:p>
        </w:tc>
      </w:tr>
      <w:tr>
        <w:trPr>
          <w:trHeight w:val="3692" w:hRule="exact"/>
        </w:trPr>
        <w:tc>
          <w:tcPr>
            <w:tcW w:w="954" w:type="dxa"/>
            <w:vMerge w:val="restart"/>
            <w:tcBorders>
              <w:left w:val="double" w:sz="11" w:space="0" w:color="000000"/>
            </w:tcBorders>
          </w:tcPr>
          <w:p>
            <w:pPr/>
          </w:p>
        </w:tc>
        <w:tc>
          <w:tcPr>
            <w:tcW w:w="1913"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352" w:type="dxa"/>
          </w:tcPr>
          <w:p>
            <w:pPr>
              <w:pStyle w:val="TableParagraph"/>
              <w:spacing w:line="227" w:lineRule="exact"/>
              <w:rPr>
                <w:sz w:val="20"/>
              </w:rPr>
            </w:pPr>
            <w:r>
              <w:rPr>
                <w:sz w:val="20"/>
              </w:rPr>
              <w:t>Ambiental</w:t>
            </w:r>
          </w:p>
        </w:tc>
        <w:tc>
          <w:tcPr>
            <w:tcW w:w="2966" w:type="dxa"/>
          </w:tcPr>
          <w:p>
            <w:pPr>
              <w:pStyle w:val="TableParagraph"/>
              <w:numPr>
                <w:ilvl w:val="0"/>
                <w:numId w:val="207"/>
              </w:numPr>
              <w:tabs>
                <w:tab w:pos="812" w:val="left" w:leader="none"/>
              </w:tabs>
              <w:spacing w:line="240" w:lineRule="auto" w:before="0" w:after="0"/>
              <w:ind w:left="280" w:right="104" w:hanging="141"/>
              <w:jc w:val="both"/>
              <w:rPr>
                <w:sz w:val="20"/>
              </w:rPr>
            </w:pPr>
            <w:r>
              <w:rPr>
                <w:sz w:val="20"/>
              </w:rPr>
              <w:t>Existe deseo de participación sociopolítica de los actores de la CHPH para cuidar el medio</w:t>
            </w:r>
            <w:r>
              <w:rPr>
                <w:spacing w:val="-8"/>
                <w:sz w:val="20"/>
              </w:rPr>
              <w:t> </w:t>
            </w:r>
            <w:r>
              <w:rPr>
                <w:sz w:val="20"/>
              </w:rPr>
              <w:t>ambiente</w:t>
            </w:r>
          </w:p>
          <w:p>
            <w:pPr>
              <w:pStyle w:val="TableParagraph"/>
              <w:numPr>
                <w:ilvl w:val="0"/>
                <w:numId w:val="207"/>
              </w:numPr>
              <w:tabs>
                <w:tab w:pos="812" w:val="left" w:leader="none"/>
              </w:tabs>
              <w:spacing w:line="240" w:lineRule="auto" w:before="1" w:after="0"/>
              <w:ind w:left="280" w:right="104" w:hanging="141"/>
              <w:jc w:val="both"/>
              <w:rPr>
                <w:sz w:val="20"/>
              </w:rPr>
            </w:pPr>
            <w:r>
              <w:rPr>
                <w:sz w:val="20"/>
              </w:rPr>
              <w:t>Existe la probabilidad de acción colectiva de los actores para cuidar el medio ambiente</w:t>
            </w:r>
          </w:p>
          <w:p>
            <w:pPr>
              <w:pStyle w:val="TableParagraph"/>
              <w:numPr>
                <w:ilvl w:val="0"/>
                <w:numId w:val="207"/>
              </w:numPr>
              <w:tabs>
                <w:tab w:pos="812" w:val="left" w:leader="none"/>
              </w:tabs>
              <w:spacing w:line="240" w:lineRule="auto" w:before="0" w:after="0"/>
              <w:ind w:left="280" w:right="103" w:hanging="141"/>
              <w:jc w:val="both"/>
              <w:rPr>
                <w:sz w:val="20"/>
              </w:rPr>
            </w:pPr>
            <w:r>
              <w:rPr>
                <w:sz w:val="20"/>
              </w:rPr>
              <w:t>Existen la posibilidad de acuerdos democráticos entre actores de la CHPH para cuidar el medio ambiente</w:t>
            </w:r>
          </w:p>
          <w:p>
            <w:pPr>
              <w:pStyle w:val="TableParagraph"/>
              <w:numPr>
                <w:ilvl w:val="0"/>
                <w:numId w:val="207"/>
              </w:numPr>
              <w:tabs>
                <w:tab w:pos="812" w:val="left" w:leader="none"/>
              </w:tabs>
              <w:spacing w:line="240" w:lineRule="auto" w:before="0" w:after="0"/>
              <w:ind w:left="280" w:right="104" w:hanging="141"/>
              <w:jc w:val="both"/>
              <w:rPr>
                <w:sz w:val="20"/>
              </w:rPr>
            </w:pPr>
            <w:r>
              <w:rPr>
                <w:sz w:val="20"/>
              </w:rPr>
              <w:t>Existe la posibilidad de planeación ambiental con articulación entre</w:t>
            </w:r>
            <w:r>
              <w:rPr>
                <w:spacing w:val="-11"/>
                <w:sz w:val="20"/>
              </w:rPr>
              <w:t> </w:t>
            </w:r>
            <w:r>
              <w:rPr>
                <w:sz w:val="20"/>
              </w:rPr>
              <w:t>actores</w:t>
            </w:r>
          </w:p>
        </w:tc>
        <w:tc>
          <w:tcPr>
            <w:tcW w:w="1484" w:type="dxa"/>
            <w:vMerge w:val="restart"/>
          </w:tcPr>
          <w:p>
            <w:pPr/>
          </w:p>
        </w:tc>
        <w:tc>
          <w:tcPr>
            <w:tcW w:w="2513" w:type="dxa"/>
            <w:vMerge w:val="restart"/>
          </w:tcPr>
          <w:p>
            <w:pPr>
              <w:pStyle w:val="TableParagraph"/>
              <w:tabs>
                <w:tab w:pos="2173" w:val="left" w:leader="none"/>
              </w:tabs>
              <w:spacing w:line="242" w:lineRule="auto"/>
              <w:ind w:left="100" w:right="105"/>
              <w:jc w:val="both"/>
              <w:rPr>
                <w:sz w:val="20"/>
              </w:rPr>
            </w:pPr>
            <w:r>
              <w:rPr>
                <w:sz w:val="20"/>
              </w:rPr>
              <w:t>Debe reunir </w:t>
            </w:r>
            <w:r>
              <w:rPr>
                <w:b/>
                <w:sz w:val="20"/>
              </w:rPr>
              <w:t>al menos el 50% una de tres </w:t>
            </w:r>
            <w:r>
              <w:rPr>
                <w:sz w:val="20"/>
              </w:rPr>
              <w:t>características</w:t>
              <w:tab/>
              <w:t>de impacto</w:t>
            </w:r>
            <w:r>
              <w:rPr>
                <w:spacing w:val="-3"/>
                <w:sz w:val="20"/>
              </w:rPr>
              <w:t> </w:t>
            </w:r>
            <w:r>
              <w:rPr>
                <w:sz w:val="20"/>
              </w:rPr>
              <w:t>positivo</w:t>
            </w:r>
          </w:p>
        </w:tc>
        <w:tc>
          <w:tcPr>
            <w:tcW w:w="1639"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422"/>
              <w:rPr>
                <w:b/>
                <w:sz w:val="20"/>
              </w:rPr>
            </w:pPr>
            <w:r>
              <w:rPr>
                <w:b/>
                <w:sz w:val="20"/>
              </w:rPr>
              <w:t>Regular</w:t>
            </w:r>
          </w:p>
        </w:tc>
      </w:tr>
      <w:tr>
        <w:trPr>
          <w:trHeight w:val="2396" w:hRule="exact"/>
        </w:trPr>
        <w:tc>
          <w:tcPr>
            <w:tcW w:w="954" w:type="dxa"/>
            <w:vMerge/>
            <w:tcBorders>
              <w:left w:val="double" w:sz="11" w:space="0" w:color="000000"/>
            </w:tcBorders>
          </w:tcPr>
          <w:p>
            <w:pPr/>
          </w:p>
        </w:tc>
        <w:tc>
          <w:tcPr>
            <w:tcW w:w="1913" w:type="dxa"/>
            <w:vMerge/>
          </w:tcPr>
          <w:p>
            <w:pPr/>
          </w:p>
        </w:tc>
        <w:tc>
          <w:tcPr>
            <w:tcW w:w="1352" w:type="dxa"/>
          </w:tcPr>
          <w:p>
            <w:pPr>
              <w:pStyle w:val="TableParagraph"/>
              <w:spacing w:line="227" w:lineRule="exact"/>
              <w:rPr>
                <w:sz w:val="20"/>
              </w:rPr>
            </w:pPr>
            <w:r>
              <w:rPr>
                <w:sz w:val="20"/>
              </w:rPr>
              <w:t>Económico</w:t>
            </w:r>
          </w:p>
        </w:tc>
        <w:tc>
          <w:tcPr>
            <w:tcW w:w="2966" w:type="dxa"/>
          </w:tcPr>
          <w:p>
            <w:pPr>
              <w:pStyle w:val="TableParagraph"/>
              <w:numPr>
                <w:ilvl w:val="0"/>
                <w:numId w:val="208"/>
              </w:numPr>
              <w:tabs>
                <w:tab w:pos="812" w:val="left" w:leader="none"/>
              </w:tabs>
              <w:spacing w:line="240" w:lineRule="auto" w:before="0" w:after="0"/>
              <w:ind w:left="280" w:right="104" w:hanging="141"/>
              <w:jc w:val="both"/>
              <w:rPr>
                <w:sz w:val="20"/>
              </w:rPr>
            </w:pPr>
            <w:r>
              <w:rPr>
                <w:sz w:val="20"/>
              </w:rPr>
              <w:t>Existe la posibilidad de una redistribución equitativa de los recursos naturales de la</w:t>
            </w:r>
            <w:r>
              <w:rPr>
                <w:spacing w:val="-5"/>
                <w:sz w:val="20"/>
              </w:rPr>
              <w:t> </w:t>
            </w:r>
            <w:r>
              <w:rPr>
                <w:sz w:val="20"/>
              </w:rPr>
              <w:t>CHPH</w:t>
            </w:r>
          </w:p>
          <w:p>
            <w:pPr>
              <w:pStyle w:val="TableParagraph"/>
              <w:numPr>
                <w:ilvl w:val="0"/>
                <w:numId w:val="208"/>
              </w:numPr>
              <w:tabs>
                <w:tab w:pos="812" w:val="left" w:leader="none"/>
              </w:tabs>
              <w:spacing w:line="240" w:lineRule="auto" w:before="0" w:after="0"/>
              <w:ind w:left="280" w:right="103" w:hanging="141"/>
              <w:jc w:val="both"/>
              <w:rPr>
                <w:sz w:val="20"/>
              </w:rPr>
            </w:pPr>
            <w:r>
              <w:rPr>
                <w:sz w:val="20"/>
              </w:rPr>
              <w:t>Existe posibilidad de un crecimiento económico equilibrado en la</w:t>
            </w:r>
            <w:r>
              <w:rPr>
                <w:spacing w:val="-9"/>
                <w:sz w:val="20"/>
              </w:rPr>
              <w:t> </w:t>
            </w:r>
            <w:r>
              <w:rPr>
                <w:sz w:val="20"/>
              </w:rPr>
              <w:t>CHPH.</w:t>
            </w:r>
          </w:p>
          <w:p>
            <w:pPr>
              <w:pStyle w:val="TableParagraph"/>
              <w:numPr>
                <w:ilvl w:val="0"/>
                <w:numId w:val="208"/>
              </w:numPr>
              <w:tabs>
                <w:tab w:pos="812" w:val="left" w:leader="none"/>
              </w:tabs>
              <w:spacing w:line="240" w:lineRule="auto" w:before="0" w:after="0"/>
              <w:ind w:left="280" w:right="104" w:hanging="141"/>
              <w:jc w:val="both"/>
              <w:rPr>
                <w:sz w:val="20"/>
              </w:rPr>
            </w:pPr>
            <w:r>
              <w:rPr>
                <w:sz w:val="20"/>
              </w:rPr>
              <w:t>Existe posibilidad de planeación económica con articulación entre</w:t>
            </w:r>
            <w:r>
              <w:rPr>
                <w:spacing w:val="-11"/>
                <w:sz w:val="20"/>
              </w:rPr>
              <w:t> </w:t>
            </w:r>
            <w:r>
              <w:rPr>
                <w:sz w:val="20"/>
              </w:rPr>
              <w:t>actores</w:t>
            </w:r>
          </w:p>
        </w:tc>
        <w:tc>
          <w:tcPr>
            <w:tcW w:w="1484" w:type="dxa"/>
            <w:vMerge/>
          </w:tcPr>
          <w:p>
            <w:pPr/>
          </w:p>
        </w:tc>
        <w:tc>
          <w:tcPr>
            <w:tcW w:w="2513" w:type="dxa"/>
            <w:vMerge/>
          </w:tcPr>
          <w:p>
            <w:pPr/>
          </w:p>
        </w:tc>
        <w:tc>
          <w:tcPr>
            <w:tcW w:w="1639" w:type="dxa"/>
            <w:vMerge/>
            <w:tcBorders>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13"/>
        <w:gridCol w:w="1352"/>
        <w:gridCol w:w="2966"/>
        <w:gridCol w:w="1484"/>
        <w:gridCol w:w="2513"/>
        <w:gridCol w:w="1639"/>
      </w:tblGrid>
      <w:tr>
        <w:trPr>
          <w:trHeight w:val="3241" w:hRule="exact"/>
        </w:trPr>
        <w:tc>
          <w:tcPr>
            <w:tcW w:w="954" w:type="dxa"/>
            <w:tcBorders>
              <w:left w:val="double" w:sz="11" w:space="0" w:color="000000"/>
            </w:tcBorders>
          </w:tcPr>
          <w:p>
            <w:pPr/>
          </w:p>
        </w:tc>
        <w:tc>
          <w:tcPr>
            <w:tcW w:w="1913" w:type="dxa"/>
          </w:tcPr>
          <w:p>
            <w:pPr/>
          </w:p>
        </w:tc>
        <w:tc>
          <w:tcPr>
            <w:tcW w:w="1352" w:type="dxa"/>
          </w:tcPr>
          <w:p>
            <w:pPr>
              <w:pStyle w:val="TableParagraph"/>
              <w:spacing w:before="7"/>
              <w:rPr>
                <w:sz w:val="20"/>
              </w:rPr>
            </w:pPr>
            <w:r>
              <w:rPr>
                <w:sz w:val="20"/>
              </w:rPr>
              <w:t>Sociopolítico</w:t>
            </w:r>
          </w:p>
        </w:tc>
        <w:tc>
          <w:tcPr>
            <w:tcW w:w="2966" w:type="dxa"/>
          </w:tcPr>
          <w:p>
            <w:pPr>
              <w:pStyle w:val="TableParagraph"/>
              <w:spacing w:before="7"/>
              <w:ind w:left="280" w:right="104" w:hanging="178"/>
              <w:jc w:val="both"/>
              <w:rPr>
                <w:sz w:val="20"/>
              </w:rPr>
            </w:pPr>
            <w:r>
              <w:rPr>
                <w:rFonts w:ascii="Wingdings" w:hAnsi="Wingdings"/>
                <w:sz w:val="20"/>
              </w:rPr>
              <w:t></w:t>
            </w:r>
            <w:r>
              <w:rPr>
                <w:sz w:val="20"/>
              </w:rPr>
              <w:t>Favorece la organización sociopolítica de los actores de la CHPH mediante la participación social</w:t>
            </w:r>
          </w:p>
          <w:p>
            <w:pPr>
              <w:pStyle w:val="TableParagraph"/>
              <w:ind w:left="280" w:right="102" w:hanging="178"/>
              <w:jc w:val="both"/>
              <w:rPr>
                <w:sz w:val="20"/>
              </w:rPr>
            </w:pPr>
            <w:r>
              <w:rPr>
                <w:rFonts w:ascii="Wingdings" w:hAnsi="Wingdings"/>
                <w:sz w:val="20"/>
              </w:rPr>
              <w:t></w:t>
            </w:r>
            <w:r>
              <w:rPr>
                <w:sz w:val="20"/>
              </w:rPr>
              <w:t>Favorece la  articulación entre actores para atender problemas comunes de la CHPH</w:t>
            </w:r>
          </w:p>
          <w:p>
            <w:pPr>
              <w:pStyle w:val="TableParagraph"/>
              <w:rPr>
                <w:sz w:val="20"/>
              </w:rPr>
            </w:pPr>
            <w:r>
              <w:rPr>
                <w:rFonts w:ascii="Wingdings" w:hAnsi="Wingdings"/>
                <w:sz w:val="20"/>
              </w:rPr>
              <w:t></w:t>
            </w:r>
            <w:r>
              <w:rPr>
                <w:sz w:val="20"/>
              </w:rPr>
              <w:t>Favorece la GIRH</w:t>
            </w:r>
          </w:p>
          <w:p>
            <w:pPr>
              <w:pStyle w:val="TableParagraph"/>
              <w:spacing w:line="229" w:lineRule="exact" w:before="1"/>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ind w:left="280" w:right="105" w:hanging="178"/>
              <w:jc w:val="both"/>
              <w:rPr>
                <w:sz w:val="20"/>
              </w:rPr>
            </w:pPr>
            <w:r>
              <w:rPr>
                <w:rFonts w:ascii="Wingdings" w:hAnsi="Wingdings"/>
                <w:sz w:val="20"/>
              </w:rPr>
              <w:t></w:t>
            </w:r>
            <w:r>
              <w:rPr>
                <w:sz w:val="20"/>
              </w:rPr>
              <w:t>Favorece la planeación sociopolítica con articulación entre actores</w:t>
            </w:r>
          </w:p>
        </w:tc>
        <w:tc>
          <w:tcPr>
            <w:tcW w:w="1484" w:type="dxa"/>
          </w:tcPr>
          <w:p>
            <w:pPr/>
          </w:p>
        </w:tc>
        <w:tc>
          <w:tcPr>
            <w:tcW w:w="2513" w:type="dxa"/>
          </w:tcPr>
          <w:p>
            <w:pPr/>
          </w:p>
        </w:tc>
        <w:tc>
          <w:tcPr>
            <w:tcW w:w="1639" w:type="dxa"/>
            <w:tcBorders>
              <w:right w:val="double" w:sz="12" w:space="0" w:color="000000"/>
            </w:tcBorders>
            <w:shd w:val="clear" w:color="auto" w:fill="FFFF00"/>
          </w:tcPr>
          <w:p>
            <w:pPr/>
          </w:p>
        </w:tc>
      </w:tr>
      <w:tr>
        <w:trPr>
          <w:trHeight w:val="3689"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19"/>
              </w:rPr>
            </w:pPr>
          </w:p>
          <w:p>
            <w:pPr>
              <w:pStyle w:val="TableParagraph"/>
              <w:ind w:left="230"/>
              <w:rPr>
                <w:sz w:val="20"/>
              </w:rPr>
            </w:pPr>
            <w:r>
              <w:rPr>
                <w:sz w:val="20"/>
              </w:rPr>
              <w:t>1580</w:t>
            </w:r>
          </w:p>
        </w:tc>
        <w:tc>
          <w:tcPr>
            <w:tcW w:w="1913"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29"/>
              </w:rPr>
            </w:pPr>
          </w:p>
          <w:p>
            <w:pPr>
              <w:pStyle w:val="TableParagraph"/>
              <w:ind w:left="0"/>
              <w:jc w:val="center"/>
              <w:rPr>
                <w:b/>
                <w:sz w:val="20"/>
              </w:rPr>
            </w:pPr>
            <w:r>
              <w:rPr>
                <w:b/>
                <w:w w:val="99"/>
                <w:sz w:val="20"/>
              </w:rPr>
              <w:t>1</w:t>
            </w:r>
          </w:p>
        </w:tc>
        <w:tc>
          <w:tcPr>
            <w:tcW w:w="1352" w:type="dxa"/>
          </w:tcPr>
          <w:p>
            <w:pPr>
              <w:pStyle w:val="TableParagraph"/>
              <w:spacing w:line="227" w:lineRule="exact"/>
              <w:rPr>
                <w:sz w:val="20"/>
              </w:rPr>
            </w:pPr>
            <w:r>
              <w:rPr>
                <w:sz w:val="20"/>
              </w:rPr>
              <w:t>Ambiental</w:t>
            </w:r>
          </w:p>
        </w:tc>
        <w:tc>
          <w:tcPr>
            <w:tcW w:w="2966" w:type="dxa"/>
          </w:tcPr>
          <w:p>
            <w:pPr>
              <w:pStyle w:val="TableParagraph"/>
              <w:numPr>
                <w:ilvl w:val="0"/>
                <w:numId w:val="209"/>
              </w:numPr>
              <w:tabs>
                <w:tab w:pos="812" w:val="left" w:leader="none"/>
              </w:tabs>
              <w:spacing w:line="240" w:lineRule="auto" w:before="0" w:after="0"/>
              <w:ind w:left="280" w:right="104" w:hanging="141"/>
              <w:jc w:val="both"/>
              <w:rPr>
                <w:sz w:val="20"/>
              </w:rPr>
            </w:pPr>
            <w:r>
              <w:rPr>
                <w:sz w:val="20"/>
              </w:rPr>
              <w:t>Existe deseo de participación sociopolítica de los actores de la CHPH para cuidar el medio</w:t>
            </w:r>
            <w:r>
              <w:rPr>
                <w:spacing w:val="-8"/>
                <w:sz w:val="20"/>
              </w:rPr>
              <w:t> </w:t>
            </w:r>
            <w:r>
              <w:rPr>
                <w:sz w:val="20"/>
              </w:rPr>
              <w:t>ambiente</w:t>
            </w:r>
          </w:p>
          <w:p>
            <w:pPr>
              <w:pStyle w:val="TableParagraph"/>
              <w:numPr>
                <w:ilvl w:val="0"/>
                <w:numId w:val="209"/>
              </w:numPr>
              <w:tabs>
                <w:tab w:pos="812" w:val="left" w:leader="none"/>
              </w:tabs>
              <w:spacing w:line="240" w:lineRule="auto" w:before="0" w:after="0"/>
              <w:ind w:left="280" w:right="104" w:hanging="141"/>
              <w:jc w:val="both"/>
              <w:rPr>
                <w:sz w:val="20"/>
              </w:rPr>
            </w:pPr>
            <w:r>
              <w:rPr>
                <w:sz w:val="20"/>
              </w:rPr>
              <w:t>Existe la probabilidad de acción colectiva de los actores para cuidar el medio ambiente</w:t>
            </w:r>
          </w:p>
          <w:p>
            <w:pPr>
              <w:pStyle w:val="TableParagraph"/>
              <w:numPr>
                <w:ilvl w:val="0"/>
                <w:numId w:val="209"/>
              </w:numPr>
              <w:tabs>
                <w:tab w:pos="812" w:val="left" w:leader="none"/>
              </w:tabs>
              <w:spacing w:line="240" w:lineRule="auto" w:before="0" w:after="0"/>
              <w:ind w:left="280" w:right="103" w:hanging="141"/>
              <w:jc w:val="both"/>
              <w:rPr>
                <w:sz w:val="20"/>
              </w:rPr>
            </w:pPr>
            <w:r>
              <w:rPr>
                <w:sz w:val="20"/>
              </w:rPr>
              <w:t>Existen la posibilidad de acuerdos democráticos entre actores de la CHPH para cuidar el medio ambiente</w:t>
            </w:r>
          </w:p>
          <w:p>
            <w:pPr>
              <w:pStyle w:val="TableParagraph"/>
              <w:numPr>
                <w:ilvl w:val="0"/>
                <w:numId w:val="209"/>
              </w:numPr>
              <w:tabs>
                <w:tab w:pos="812" w:val="left" w:leader="none"/>
              </w:tabs>
              <w:spacing w:line="240" w:lineRule="auto" w:before="0" w:after="0"/>
              <w:ind w:left="280" w:right="104" w:hanging="141"/>
              <w:jc w:val="both"/>
              <w:rPr>
                <w:sz w:val="20"/>
              </w:rPr>
            </w:pPr>
            <w:r>
              <w:rPr>
                <w:sz w:val="20"/>
              </w:rPr>
              <w:t>Existe la posibilidad de planeación ambiental con articulación entre</w:t>
            </w:r>
            <w:r>
              <w:rPr>
                <w:spacing w:val="-11"/>
                <w:sz w:val="20"/>
              </w:rPr>
              <w:t> </w:t>
            </w:r>
            <w:r>
              <w:rPr>
                <w:sz w:val="20"/>
              </w:rPr>
              <w:t>actores</w:t>
            </w:r>
          </w:p>
        </w:tc>
        <w:tc>
          <w:tcPr>
            <w:tcW w:w="148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9"/>
              </w:rPr>
            </w:pPr>
          </w:p>
          <w:p>
            <w:pPr>
              <w:pStyle w:val="TableParagraph"/>
              <w:spacing w:before="1"/>
              <w:ind w:left="477"/>
              <w:rPr>
                <w:sz w:val="20"/>
              </w:rPr>
            </w:pPr>
            <w:r>
              <w:rPr>
                <w:sz w:val="20"/>
              </w:rPr>
              <w:t>&lt;50%</w:t>
            </w:r>
          </w:p>
        </w:tc>
        <w:tc>
          <w:tcPr>
            <w:tcW w:w="2513" w:type="dxa"/>
            <w:vMerge w:val="restart"/>
          </w:tcPr>
          <w:p>
            <w:pPr>
              <w:pStyle w:val="TableParagraph"/>
              <w:ind w:left="100" w:right="106"/>
              <w:jc w:val="both"/>
              <w:rPr>
                <w:sz w:val="20"/>
              </w:rPr>
            </w:pPr>
            <w:r>
              <w:rPr>
                <w:sz w:val="20"/>
              </w:rPr>
              <w:t>No reúne ni el 50% en </w:t>
            </w:r>
            <w:r>
              <w:rPr>
                <w:b/>
                <w:sz w:val="20"/>
              </w:rPr>
              <w:t>ninguna </w:t>
            </w:r>
            <w:r>
              <w:rPr>
                <w:sz w:val="20"/>
              </w:rPr>
              <w:t>de las de impacto positivo</w:t>
            </w:r>
          </w:p>
        </w:tc>
        <w:tc>
          <w:tcPr>
            <w:tcW w:w="1639"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316"/>
              <w:rPr>
                <w:b/>
                <w:sz w:val="20"/>
              </w:rPr>
            </w:pPr>
            <w:r>
              <w:rPr>
                <w:b/>
                <w:sz w:val="20"/>
              </w:rPr>
              <w:t>Deficiente</w:t>
            </w:r>
          </w:p>
        </w:tc>
      </w:tr>
      <w:tr>
        <w:trPr>
          <w:trHeight w:val="1851" w:hRule="exact"/>
        </w:trPr>
        <w:tc>
          <w:tcPr>
            <w:tcW w:w="954" w:type="dxa"/>
            <w:tcBorders>
              <w:left w:val="double" w:sz="11" w:space="0" w:color="000000"/>
            </w:tcBorders>
          </w:tcPr>
          <w:p>
            <w:pPr/>
          </w:p>
        </w:tc>
        <w:tc>
          <w:tcPr>
            <w:tcW w:w="1913" w:type="dxa"/>
            <w:vMerge/>
          </w:tcPr>
          <w:p>
            <w:pPr/>
          </w:p>
        </w:tc>
        <w:tc>
          <w:tcPr>
            <w:tcW w:w="1352" w:type="dxa"/>
          </w:tcPr>
          <w:p>
            <w:pPr>
              <w:pStyle w:val="TableParagraph"/>
              <w:spacing w:line="227" w:lineRule="exact"/>
              <w:rPr>
                <w:sz w:val="20"/>
              </w:rPr>
            </w:pPr>
            <w:r>
              <w:rPr>
                <w:sz w:val="20"/>
              </w:rPr>
              <w:t>Económico</w:t>
            </w:r>
          </w:p>
        </w:tc>
        <w:tc>
          <w:tcPr>
            <w:tcW w:w="2966" w:type="dxa"/>
          </w:tcPr>
          <w:p>
            <w:pPr>
              <w:pStyle w:val="TableParagraph"/>
              <w:numPr>
                <w:ilvl w:val="0"/>
                <w:numId w:val="210"/>
              </w:numPr>
              <w:tabs>
                <w:tab w:pos="812" w:val="left" w:leader="none"/>
              </w:tabs>
              <w:spacing w:line="240" w:lineRule="auto" w:before="0" w:after="0"/>
              <w:ind w:left="280" w:right="104" w:hanging="141"/>
              <w:jc w:val="both"/>
              <w:rPr>
                <w:sz w:val="20"/>
              </w:rPr>
            </w:pPr>
            <w:r>
              <w:rPr>
                <w:sz w:val="20"/>
              </w:rPr>
              <w:t>Existe la posibilidad de una redistribución equitativa de los recursos naturales de la</w:t>
            </w:r>
            <w:r>
              <w:rPr>
                <w:spacing w:val="-5"/>
                <w:sz w:val="20"/>
              </w:rPr>
              <w:t> </w:t>
            </w:r>
            <w:r>
              <w:rPr>
                <w:sz w:val="20"/>
              </w:rPr>
              <w:t>CHPH</w:t>
            </w:r>
          </w:p>
          <w:p>
            <w:pPr>
              <w:pStyle w:val="TableParagraph"/>
              <w:numPr>
                <w:ilvl w:val="0"/>
                <w:numId w:val="210"/>
              </w:numPr>
              <w:tabs>
                <w:tab w:pos="812" w:val="left" w:leader="none"/>
              </w:tabs>
              <w:spacing w:line="240" w:lineRule="auto" w:before="0" w:after="0"/>
              <w:ind w:left="280" w:right="103" w:hanging="141"/>
              <w:jc w:val="both"/>
              <w:rPr>
                <w:sz w:val="20"/>
              </w:rPr>
            </w:pPr>
            <w:r>
              <w:rPr>
                <w:sz w:val="20"/>
              </w:rPr>
              <w:t>Existe posibilidad de un crecimiento económico equilibrado en la</w:t>
            </w:r>
            <w:r>
              <w:rPr>
                <w:spacing w:val="-9"/>
                <w:sz w:val="20"/>
              </w:rPr>
              <w:t> </w:t>
            </w:r>
            <w:r>
              <w:rPr>
                <w:sz w:val="20"/>
              </w:rPr>
              <w:t>CHPH.</w:t>
            </w:r>
          </w:p>
          <w:p>
            <w:pPr>
              <w:pStyle w:val="TableParagraph"/>
              <w:numPr>
                <w:ilvl w:val="0"/>
                <w:numId w:val="210"/>
              </w:numPr>
              <w:tabs>
                <w:tab w:pos="811" w:val="left" w:leader="none"/>
                <w:tab w:pos="812" w:val="left" w:leader="none"/>
              </w:tabs>
              <w:spacing w:line="240" w:lineRule="auto" w:before="0" w:after="0"/>
              <w:ind w:left="811" w:right="0" w:hanging="672"/>
              <w:jc w:val="left"/>
              <w:rPr>
                <w:sz w:val="20"/>
              </w:rPr>
            </w:pPr>
            <w:r>
              <w:rPr>
                <w:sz w:val="20"/>
              </w:rPr>
              <w:t>Existe   posibilidad </w:t>
            </w:r>
            <w:r>
              <w:rPr>
                <w:spacing w:val="46"/>
                <w:sz w:val="20"/>
              </w:rPr>
              <w:t> </w:t>
            </w:r>
            <w:r>
              <w:rPr>
                <w:sz w:val="20"/>
              </w:rPr>
              <w:t>de</w:t>
            </w:r>
          </w:p>
        </w:tc>
        <w:tc>
          <w:tcPr>
            <w:tcW w:w="1484" w:type="dxa"/>
            <w:vMerge/>
          </w:tcPr>
          <w:p>
            <w:pPr/>
          </w:p>
        </w:tc>
        <w:tc>
          <w:tcPr>
            <w:tcW w:w="2513" w:type="dxa"/>
            <w:vMerge/>
          </w:tcPr>
          <w:p>
            <w:pPr/>
          </w:p>
        </w:tc>
        <w:tc>
          <w:tcPr>
            <w:tcW w:w="1639" w:type="dxa"/>
            <w:vMerge/>
            <w:tcBorders>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13"/>
        <w:gridCol w:w="1352"/>
        <w:gridCol w:w="2966"/>
        <w:gridCol w:w="1484"/>
        <w:gridCol w:w="2513"/>
        <w:gridCol w:w="1639"/>
      </w:tblGrid>
      <w:tr>
        <w:trPr>
          <w:trHeight w:val="480" w:hRule="exact"/>
        </w:trPr>
        <w:tc>
          <w:tcPr>
            <w:tcW w:w="954" w:type="dxa"/>
            <w:vMerge w:val="restart"/>
            <w:tcBorders>
              <w:left w:val="double" w:sz="11" w:space="0" w:color="000000"/>
            </w:tcBorders>
          </w:tcPr>
          <w:p>
            <w:pPr>
              <w:pStyle w:val="TableParagraph"/>
              <w:spacing w:before="7"/>
              <w:ind w:left="0"/>
              <w:rPr>
                <w:rFonts w:ascii="Times New Roman"/>
                <w:sz w:val="20"/>
              </w:rPr>
            </w:pPr>
          </w:p>
          <w:p>
            <w:pPr>
              <w:pStyle w:val="TableParagraph"/>
              <w:ind w:left="230"/>
              <w:rPr>
                <w:sz w:val="20"/>
              </w:rPr>
            </w:pPr>
            <w:r>
              <w:rPr>
                <w:sz w:val="20"/>
              </w:rPr>
              <w:t>1785</w:t>
            </w:r>
          </w:p>
        </w:tc>
        <w:tc>
          <w:tcPr>
            <w:tcW w:w="1913" w:type="dxa"/>
            <w:vMerge w:val="restart"/>
          </w:tcPr>
          <w:p>
            <w:pPr/>
          </w:p>
        </w:tc>
        <w:tc>
          <w:tcPr>
            <w:tcW w:w="1352" w:type="dxa"/>
          </w:tcPr>
          <w:p>
            <w:pPr/>
          </w:p>
        </w:tc>
        <w:tc>
          <w:tcPr>
            <w:tcW w:w="2966" w:type="dxa"/>
          </w:tcPr>
          <w:p>
            <w:pPr>
              <w:pStyle w:val="TableParagraph"/>
              <w:spacing w:before="7"/>
              <w:ind w:left="280"/>
              <w:rPr>
                <w:sz w:val="20"/>
              </w:rPr>
            </w:pPr>
            <w:r>
              <w:rPr>
                <w:sz w:val="20"/>
              </w:rPr>
              <w:t>planeación económica con articulación entre actores</w:t>
            </w:r>
          </w:p>
        </w:tc>
        <w:tc>
          <w:tcPr>
            <w:tcW w:w="1484" w:type="dxa"/>
            <w:vMerge w:val="restart"/>
          </w:tcPr>
          <w:p>
            <w:pPr/>
          </w:p>
        </w:tc>
        <w:tc>
          <w:tcPr>
            <w:tcW w:w="2513" w:type="dxa"/>
            <w:vMerge w:val="restart"/>
          </w:tcPr>
          <w:p>
            <w:pPr/>
          </w:p>
        </w:tc>
        <w:tc>
          <w:tcPr>
            <w:tcW w:w="1639" w:type="dxa"/>
            <w:vMerge w:val="restart"/>
            <w:tcBorders>
              <w:right w:val="double" w:sz="12" w:space="0" w:color="000000"/>
            </w:tcBorders>
            <w:shd w:val="clear" w:color="auto" w:fill="FF0000"/>
          </w:tcPr>
          <w:p>
            <w:pPr/>
          </w:p>
        </w:tc>
      </w:tr>
      <w:tr>
        <w:trPr>
          <w:trHeight w:val="3231" w:hRule="exact"/>
        </w:trPr>
        <w:tc>
          <w:tcPr>
            <w:tcW w:w="954" w:type="dxa"/>
            <w:vMerge/>
            <w:tcBorders>
              <w:left w:val="double" w:sz="11" w:space="0" w:color="000000"/>
            </w:tcBorders>
          </w:tcPr>
          <w:p>
            <w:pPr/>
          </w:p>
        </w:tc>
        <w:tc>
          <w:tcPr>
            <w:tcW w:w="1913" w:type="dxa"/>
            <w:vMerge/>
          </w:tcPr>
          <w:p>
            <w:pPr/>
          </w:p>
        </w:tc>
        <w:tc>
          <w:tcPr>
            <w:tcW w:w="1352" w:type="dxa"/>
          </w:tcPr>
          <w:p>
            <w:pPr>
              <w:pStyle w:val="TableParagraph"/>
              <w:spacing w:line="227" w:lineRule="exact"/>
              <w:rPr>
                <w:sz w:val="20"/>
              </w:rPr>
            </w:pPr>
            <w:r>
              <w:rPr>
                <w:sz w:val="20"/>
              </w:rPr>
              <w:t>Sociopolítico</w:t>
            </w:r>
          </w:p>
        </w:tc>
        <w:tc>
          <w:tcPr>
            <w:tcW w:w="2966" w:type="dxa"/>
          </w:tcPr>
          <w:p>
            <w:pPr>
              <w:pStyle w:val="TableParagraph"/>
              <w:ind w:left="280" w:right="104" w:hanging="178"/>
              <w:jc w:val="both"/>
              <w:rPr>
                <w:sz w:val="20"/>
              </w:rPr>
            </w:pPr>
            <w:r>
              <w:rPr>
                <w:rFonts w:ascii="Wingdings" w:hAnsi="Wingdings"/>
                <w:sz w:val="20"/>
              </w:rPr>
              <w:t></w:t>
            </w:r>
            <w:r>
              <w:rPr>
                <w:sz w:val="20"/>
              </w:rPr>
              <w:t>Favorece la organización sociopolítica de los actores de la CHPH mediante la participación social</w:t>
            </w:r>
          </w:p>
          <w:p>
            <w:pPr>
              <w:pStyle w:val="TableParagraph"/>
              <w:ind w:left="280" w:right="102" w:hanging="178"/>
              <w:jc w:val="both"/>
              <w:rPr>
                <w:sz w:val="20"/>
              </w:rPr>
            </w:pPr>
            <w:r>
              <w:rPr>
                <w:rFonts w:ascii="Wingdings" w:hAnsi="Wingdings"/>
                <w:sz w:val="20"/>
              </w:rPr>
              <w:t></w:t>
            </w:r>
            <w:r>
              <w:rPr>
                <w:sz w:val="20"/>
              </w:rPr>
              <w:t>Favorece la  articulación entre actores para atender problemas comunes de la CHPH</w:t>
            </w:r>
          </w:p>
          <w:p>
            <w:pPr>
              <w:pStyle w:val="TableParagraph"/>
              <w:spacing w:line="229" w:lineRule="exact"/>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ind w:left="280" w:right="105" w:hanging="178"/>
              <w:jc w:val="both"/>
              <w:rPr>
                <w:sz w:val="20"/>
              </w:rPr>
            </w:pPr>
            <w:r>
              <w:rPr>
                <w:rFonts w:ascii="Wingdings" w:hAnsi="Wingdings"/>
                <w:sz w:val="20"/>
              </w:rPr>
              <w:t></w:t>
            </w:r>
            <w:r>
              <w:rPr>
                <w:sz w:val="20"/>
              </w:rPr>
              <w:t>Favorece la planeación sociopolítica con articulación entre actores</w:t>
            </w:r>
          </w:p>
        </w:tc>
        <w:tc>
          <w:tcPr>
            <w:tcW w:w="1484" w:type="dxa"/>
            <w:vMerge/>
          </w:tcPr>
          <w:p>
            <w:pPr/>
          </w:p>
        </w:tc>
        <w:tc>
          <w:tcPr>
            <w:tcW w:w="2513" w:type="dxa"/>
            <w:vMerge/>
          </w:tcPr>
          <w:p>
            <w:pPr/>
          </w:p>
        </w:tc>
        <w:tc>
          <w:tcPr>
            <w:tcW w:w="1639" w:type="dxa"/>
            <w:vMerge/>
            <w:tcBorders>
              <w:right w:val="double" w:sz="12" w:space="0" w:color="000000"/>
            </w:tcBorders>
            <w:shd w:val="clear" w:color="auto" w:fill="FF0000"/>
          </w:tcPr>
          <w:p>
            <w:pPr/>
          </w:p>
        </w:tc>
      </w:tr>
      <w:tr>
        <w:trPr>
          <w:trHeight w:val="5070"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p>
            <w:pPr>
              <w:pStyle w:val="TableParagraph"/>
              <w:spacing w:before="9"/>
              <w:ind w:left="0"/>
              <w:rPr>
                <w:rFonts w:ascii="Times New Roman"/>
                <w:sz w:val="21"/>
              </w:rPr>
            </w:pPr>
          </w:p>
          <w:p>
            <w:pPr>
              <w:pStyle w:val="TableParagraph"/>
              <w:ind w:left="27"/>
              <w:jc w:val="both"/>
              <w:rPr>
                <w:b/>
                <w:sz w:val="22"/>
              </w:rPr>
            </w:pPr>
            <w:r>
              <w:rPr>
                <w:b/>
                <w:sz w:val="22"/>
              </w:rPr>
              <w:t>Interpretación de la anterior gráfica y la tarjeta de valoración:</w:t>
            </w:r>
          </w:p>
          <w:p>
            <w:pPr>
              <w:pStyle w:val="TableParagraph"/>
              <w:spacing w:before="4"/>
              <w:ind w:left="27" w:right="30"/>
              <w:jc w:val="both"/>
              <w:rPr>
                <w:sz w:val="22"/>
              </w:rPr>
            </w:pPr>
            <w:r>
              <w:rPr>
                <w:sz w:val="22"/>
              </w:rPr>
              <w:t>En 1400 era la época prehispánica donde todavía la provincia de Xilotepec estaba poblada por otomíes principalmente, en esta época los actores de la CHPH tenían una amplia participación sociopolítica para resolver sus problemas comunes.</w:t>
            </w:r>
          </w:p>
          <w:p>
            <w:pPr>
              <w:pStyle w:val="TableParagraph"/>
              <w:numPr>
                <w:ilvl w:val="0"/>
                <w:numId w:val="211"/>
              </w:numPr>
              <w:tabs>
                <w:tab w:pos="170" w:val="left" w:leader="none"/>
              </w:tabs>
              <w:spacing w:line="240" w:lineRule="auto" w:before="1" w:after="0"/>
              <w:ind w:left="27" w:right="25" w:firstLine="0"/>
              <w:jc w:val="both"/>
              <w:rPr>
                <w:sz w:val="22"/>
              </w:rPr>
            </w:pPr>
            <w:r>
              <w:rPr>
                <w:sz w:val="22"/>
              </w:rPr>
              <w:t>En 1519 fue vista por primera vez la provincia de Xilotepec por los españoles, pero fue a mediados de la década de 1520 que </w:t>
            </w:r>
            <w:r>
              <w:rPr>
                <w:spacing w:val="4"/>
                <w:sz w:val="22"/>
              </w:rPr>
              <w:t>la </w:t>
            </w:r>
            <w:r>
              <w:rPr>
                <w:sz w:val="22"/>
              </w:rPr>
              <w:t>provincia de Xilotepec fue dominada en la parte sur por los españoles y fue en 1533 que se asignó en su totalidad como encomienda a Juan Jaramillo de Salvatierra (esposo de la Malinche). En este período la participación sociopolítica era buena porque la provincia de Xilotepec aún no había sido conquistada en su</w:t>
            </w:r>
            <w:r>
              <w:rPr>
                <w:spacing w:val="-23"/>
                <w:sz w:val="22"/>
              </w:rPr>
              <w:t> </w:t>
            </w:r>
            <w:r>
              <w:rPr>
                <w:sz w:val="22"/>
              </w:rPr>
              <w:t>totalidad.</w:t>
            </w:r>
          </w:p>
          <w:p>
            <w:pPr>
              <w:pStyle w:val="TableParagraph"/>
              <w:numPr>
                <w:ilvl w:val="0"/>
                <w:numId w:val="211"/>
              </w:numPr>
              <w:tabs>
                <w:tab w:pos="251" w:val="left" w:leader="none"/>
              </w:tabs>
              <w:spacing w:line="240" w:lineRule="auto" w:before="0" w:after="0"/>
              <w:ind w:left="27" w:right="23" w:firstLine="63"/>
              <w:jc w:val="both"/>
              <w:rPr>
                <w:sz w:val="22"/>
              </w:rPr>
            </w:pPr>
            <w:r>
              <w:rPr>
                <w:sz w:val="22"/>
              </w:rPr>
              <w:t>En 1580 con la conquista española en la encomienda de la provincia de Xilotepec se conformaron las haciendas de ganado mayor y menor en las que trabajaba un número creciente de españoles y mulatos, para 1794 existían 25 haciendas y 95 ranchos ganaderos y productores de leche. En este período la participación sociopolítica de los actores de la CHPH se vio mermada por la dominación española, por lo que se considera</w:t>
            </w:r>
            <w:r>
              <w:rPr>
                <w:spacing w:val="-19"/>
                <w:sz w:val="22"/>
              </w:rPr>
              <w:t> </w:t>
            </w:r>
            <w:r>
              <w:rPr>
                <w:sz w:val="22"/>
              </w:rPr>
              <w:t>deficiente.</w:t>
            </w:r>
          </w:p>
          <w:p>
            <w:pPr>
              <w:pStyle w:val="TableParagraph"/>
              <w:numPr>
                <w:ilvl w:val="0"/>
                <w:numId w:val="211"/>
              </w:numPr>
              <w:tabs>
                <w:tab w:pos="189" w:val="left" w:leader="none"/>
              </w:tabs>
              <w:spacing w:line="240" w:lineRule="auto" w:before="0" w:after="0"/>
              <w:ind w:left="27" w:right="25" w:firstLine="0"/>
              <w:jc w:val="both"/>
              <w:rPr>
                <w:sz w:val="22"/>
              </w:rPr>
            </w:pPr>
            <w:r>
              <w:rPr>
                <w:sz w:val="22"/>
              </w:rPr>
              <w:t>En 1785-1788 los religiosos franciscanos construyeron la presa Huapango por la cantidad de tierras de cultivo y cabezas de ganado que existían en la región, lo que dio origen a la actual cuenca lechera más importante del Estado de México. En esta época la participación sociopolítica de los actores no fue tan importante porque el clero se encargó de la construcción de la presa Huapango que obedeció a los intereses de los hacendados, por lo que se considera</w:t>
            </w:r>
            <w:r>
              <w:rPr>
                <w:spacing w:val="-19"/>
                <w:sz w:val="22"/>
              </w:rPr>
              <w:t> </w:t>
            </w:r>
            <w:r>
              <w:rPr>
                <w:sz w:val="22"/>
              </w:rPr>
              <w:t>deficiente.</w:t>
            </w:r>
          </w:p>
          <w:p>
            <w:pPr>
              <w:pStyle w:val="TableParagraph"/>
              <w:numPr>
                <w:ilvl w:val="0"/>
                <w:numId w:val="211"/>
              </w:numPr>
              <w:tabs>
                <w:tab w:pos="167" w:val="left" w:leader="none"/>
              </w:tabs>
              <w:spacing w:line="240" w:lineRule="auto" w:before="1" w:after="0"/>
              <w:ind w:left="27" w:right="25" w:firstLine="0"/>
              <w:jc w:val="both"/>
              <w:rPr>
                <w:sz w:val="22"/>
              </w:rPr>
            </w:pPr>
            <w:r>
              <w:rPr>
                <w:sz w:val="22"/>
              </w:rPr>
              <w:t>En 1810 se llevó acabo la lucha de independencia en México porque la conquista española trajo consigo una serie de problemas como la concentración de la tierra y la sobreexplotación de los trabajadores, generando la desigualdad económica y social de los habitantes,</w:t>
            </w:r>
            <w:r>
              <w:rPr>
                <w:spacing w:val="27"/>
                <w:sz w:val="22"/>
              </w:rPr>
              <w:t> </w:t>
            </w:r>
            <w:r>
              <w:rPr>
                <w:sz w:val="22"/>
              </w:rPr>
              <w:t>esto</w:t>
            </w:r>
            <w:r>
              <w:rPr>
                <w:spacing w:val="25"/>
                <w:sz w:val="22"/>
              </w:rPr>
              <w:t> </w:t>
            </w:r>
            <w:r>
              <w:rPr>
                <w:sz w:val="22"/>
              </w:rPr>
              <w:t>dio</w:t>
            </w:r>
            <w:r>
              <w:rPr>
                <w:spacing w:val="28"/>
                <w:sz w:val="22"/>
              </w:rPr>
              <w:t> </w:t>
            </w:r>
            <w:r>
              <w:rPr>
                <w:sz w:val="22"/>
              </w:rPr>
              <w:t>inicio</w:t>
            </w:r>
            <w:r>
              <w:rPr>
                <w:spacing w:val="28"/>
                <w:sz w:val="22"/>
              </w:rPr>
              <w:t> </w:t>
            </w:r>
            <w:r>
              <w:rPr>
                <w:sz w:val="22"/>
              </w:rPr>
              <w:t>a</w:t>
            </w:r>
            <w:r>
              <w:rPr>
                <w:spacing w:val="25"/>
                <w:sz w:val="22"/>
              </w:rPr>
              <w:t> </w:t>
            </w:r>
            <w:r>
              <w:rPr>
                <w:sz w:val="22"/>
              </w:rPr>
              <w:t>la</w:t>
            </w:r>
            <w:r>
              <w:rPr>
                <w:spacing w:val="28"/>
                <w:sz w:val="22"/>
              </w:rPr>
              <w:t> </w:t>
            </w:r>
            <w:r>
              <w:rPr>
                <w:sz w:val="22"/>
              </w:rPr>
              <w:t>sobreexplotación</w:t>
            </w:r>
            <w:r>
              <w:rPr>
                <w:spacing w:val="25"/>
                <w:sz w:val="22"/>
              </w:rPr>
              <w:t> </w:t>
            </w:r>
            <w:r>
              <w:rPr>
                <w:sz w:val="22"/>
              </w:rPr>
              <w:t>y</w:t>
            </w:r>
            <w:r>
              <w:rPr>
                <w:spacing w:val="26"/>
                <w:sz w:val="22"/>
              </w:rPr>
              <w:t> </w:t>
            </w:r>
            <w:r>
              <w:rPr>
                <w:sz w:val="22"/>
              </w:rPr>
              <w:t>concentración</w:t>
            </w:r>
            <w:r>
              <w:rPr>
                <w:spacing w:val="25"/>
                <w:sz w:val="22"/>
              </w:rPr>
              <w:t> </w:t>
            </w:r>
            <w:r>
              <w:rPr>
                <w:sz w:val="22"/>
              </w:rPr>
              <w:t>de</w:t>
            </w:r>
            <w:r>
              <w:rPr>
                <w:spacing w:val="25"/>
                <w:sz w:val="22"/>
              </w:rPr>
              <w:t> </w:t>
            </w:r>
            <w:r>
              <w:rPr>
                <w:sz w:val="22"/>
              </w:rPr>
              <w:t>los</w:t>
            </w:r>
            <w:r>
              <w:rPr>
                <w:spacing w:val="26"/>
                <w:sz w:val="22"/>
              </w:rPr>
              <w:t> </w:t>
            </w:r>
            <w:r>
              <w:rPr>
                <w:sz w:val="22"/>
              </w:rPr>
              <w:t>recursos</w:t>
            </w:r>
            <w:r>
              <w:rPr>
                <w:spacing w:val="25"/>
                <w:sz w:val="22"/>
              </w:rPr>
              <w:t> </w:t>
            </w:r>
            <w:r>
              <w:rPr>
                <w:sz w:val="22"/>
              </w:rPr>
              <w:t>naturales</w:t>
            </w:r>
            <w:r>
              <w:rPr>
                <w:spacing w:val="28"/>
                <w:sz w:val="22"/>
              </w:rPr>
              <w:t> </w:t>
            </w:r>
            <w:r>
              <w:rPr>
                <w:sz w:val="22"/>
              </w:rPr>
              <w:t>en</w:t>
            </w:r>
            <w:r>
              <w:rPr>
                <w:spacing w:val="25"/>
                <w:sz w:val="22"/>
              </w:rPr>
              <w:t> </w:t>
            </w:r>
            <w:r>
              <w:rPr>
                <w:sz w:val="22"/>
              </w:rPr>
              <w:t>pocas</w:t>
            </w:r>
            <w:r>
              <w:rPr>
                <w:spacing w:val="26"/>
                <w:sz w:val="22"/>
              </w:rPr>
              <w:t> </w:t>
            </w:r>
            <w:r>
              <w:rPr>
                <w:sz w:val="22"/>
              </w:rPr>
              <w:t>manos.</w:t>
            </w:r>
            <w:r>
              <w:rPr>
                <w:spacing w:val="33"/>
                <w:sz w:val="22"/>
              </w:rPr>
              <w:t> </w:t>
            </w:r>
            <w:r>
              <w:rPr>
                <w:sz w:val="22"/>
              </w:rPr>
              <w:t>En</w:t>
            </w:r>
            <w:r>
              <w:rPr>
                <w:spacing w:val="25"/>
                <w:sz w:val="22"/>
              </w:rPr>
              <w:t> </w:t>
            </w:r>
            <w:r>
              <w:rPr>
                <w:sz w:val="22"/>
              </w:rPr>
              <w:t>esta</w:t>
            </w:r>
            <w:r>
              <w:rPr>
                <w:spacing w:val="26"/>
                <w:sz w:val="22"/>
              </w:rPr>
              <w:t> </w:t>
            </w:r>
            <w:r>
              <w:rPr>
                <w:sz w:val="22"/>
              </w:rPr>
              <w:t>fecha</w:t>
            </w:r>
            <w:r>
              <w:rPr>
                <w:spacing w:val="28"/>
                <w:sz w:val="22"/>
              </w:rPr>
              <w:t> </w:t>
            </w:r>
            <w:r>
              <w:rPr>
                <w:sz w:val="22"/>
              </w:rPr>
              <w:t>los</w:t>
            </w:r>
          </w:p>
        </w:tc>
      </w:tr>
    </w:tbl>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29416"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BodyText"/>
        <w:spacing w:line="252" w:lineRule="exact" w:before="72"/>
        <w:ind w:left="180"/>
        <w:jc w:val="both"/>
      </w:pPr>
      <w:r>
        <w:rPr/>
        <w:t>actores históricos de la CHPH tuvieron una participación importante para defender sus derechos civiles.</w:t>
      </w:r>
    </w:p>
    <w:p>
      <w:pPr>
        <w:pStyle w:val="ListParagraph"/>
        <w:numPr>
          <w:ilvl w:val="0"/>
          <w:numId w:val="121"/>
        </w:numPr>
        <w:tabs>
          <w:tab w:pos="324" w:val="left" w:leader="none"/>
        </w:tabs>
        <w:spacing w:line="240" w:lineRule="auto" w:before="0" w:after="0"/>
        <w:ind w:left="180" w:right="397" w:firstLine="0"/>
        <w:jc w:val="both"/>
        <w:rPr>
          <w:sz w:val="22"/>
        </w:rPr>
      </w:pPr>
      <w:r>
        <w:rPr>
          <w:sz w:val="22"/>
        </w:rPr>
        <w:t>En el siglo XIX es cuando se crea el primer municipio de la CHPH: en 1861 por decreto No. 27 la Villa de Jilotepec y a pesar </w:t>
      </w:r>
      <w:r>
        <w:rPr>
          <w:spacing w:val="-3"/>
          <w:sz w:val="22"/>
        </w:rPr>
        <w:t>de </w:t>
      </w:r>
      <w:r>
        <w:rPr>
          <w:sz w:val="22"/>
        </w:rPr>
        <w:t>las grandes limitaciones que tiene el municipio hasta la fecha, es una institución que ha generado una amplia participación sociopolítica en la región a través de la figura del Delegado Municipal como máximo órgano de representación local, por lo </w:t>
      </w:r>
      <w:r>
        <w:rPr>
          <w:spacing w:val="3"/>
          <w:sz w:val="22"/>
        </w:rPr>
        <w:t>que </w:t>
      </w:r>
      <w:r>
        <w:rPr>
          <w:sz w:val="22"/>
        </w:rPr>
        <w:t>este período se considera</w:t>
      </w:r>
      <w:r>
        <w:rPr>
          <w:spacing w:val="-4"/>
          <w:sz w:val="22"/>
        </w:rPr>
        <w:t> </w:t>
      </w:r>
      <w:r>
        <w:rPr>
          <w:sz w:val="22"/>
        </w:rPr>
        <w:t>bueno.</w:t>
      </w:r>
    </w:p>
    <w:p>
      <w:pPr>
        <w:pStyle w:val="ListParagraph"/>
        <w:numPr>
          <w:ilvl w:val="0"/>
          <w:numId w:val="121"/>
        </w:numPr>
        <w:tabs>
          <w:tab w:pos="320" w:val="left" w:leader="none"/>
        </w:tabs>
        <w:spacing w:line="240" w:lineRule="auto" w:before="0" w:after="0"/>
        <w:ind w:left="180" w:right="399" w:firstLine="0"/>
        <w:jc w:val="both"/>
        <w:rPr>
          <w:sz w:val="22"/>
        </w:rPr>
      </w:pPr>
      <w:r>
        <w:rPr>
          <w:sz w:val="22"/>
        </w:rPr>
        <w:t>En 1910 dio inicio la revolución mexicana que tuvo varias causas, entre ellas, la dictadura de Porfirio Díaz en la presidencia de la República, los grandes latifundios que provocaron la decadencia de la agricultura, ya que el territorio nacional era propiedad de  tan sólo 840 hacendados, los abusos de esclavitud contra el campesinado y los obreros; dichas injusticias sociales provocaron que en esta fecha la participación sociopolítica de los actores de la CHPH fuera intensa, por lo que se considera una época  buena.</w:t>
      </w:r>
    </w:p>
    <w:p>
      <w:pPr>
        <w:pStyle w:val="ListParagraph"/>
        <w:numPr>
          <w:ilvl w:val="0"/>
          <w:numId w:val="121"/>
        </w:numPr>
        <w:tabs>
          <w:tab w:pos="341" w:val="left" w:leader="none"/>
        </w:tabs>
        <w:spacing w:line="240" w:lineRule="auto" w:before="0" w:after="0"/>
        <w:ind w:left="180" w:right="397" w:firstLine="0"/>
        <w:jc w:val="both"/>
        <w:rPr>
          <w:sz w:val="22"/>
        </w:rPr>
      </w:pPr>
      <w:r>
        <w:rPr>
          <w:sz w:val="22"/>
        </w:rPr>
        <w:t>Desde la Revolución Mexicana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del </w:t>
      </w:r>
      <w:r>
        <w:rPr>
          <w:spacing w:val="-2"/>
          <w:sz w:val="22"/>
        </w:rPr>
        <w:t>Río </w:t>
      </w:r>
      <w:r>
        <w:rPr>
          <w:sz w:val="22"/>
        </w:rPr>
        <w:t>(1936-1940)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w:t>
      </w:r>
      <w:r>
        <w:rPr>
          <w:spacing w:val="2"/>
          <w:sz w:val="22"/>
        </w:rPr>
        <w:t>los </w:t>
      </w:r>
      <w:r>
        <w:rPr>
          <w:sz w:val="22"/>
        </w:rPr>
        <w:t>bosques, etc.) que aún no se pueden resolver, teniendo esto un impacto en lo sociopolítico, económico y ambiental. En esta  época es cuando surgen los ejidos de la CHPH y a pesar de tener limitaciones por la ley, El Ejido es una institución sumamente importante en la región porque casi todo su territorio está bajo este régimen de propiedad, lo cual ha permitido una amplia participación sociopolítica de los ejidatarios como actores históricos a través de sus estructuras de representación, es decir a través del Comisariado Ejidal y de la Asamblea como máximo órgano de representación, por lo este período puede considerarse bueno.</w:t>
      </w:r>
    </w:p>
    <w:p>
      <w:pPr>
        <w:pStyle w:val="ListParagraph"/>
        <w:numPr>
          <w:ilvl w:val="0"/>
          <w:numId w:val="121"/>
        </w:numPr>
        <w:tabs>
          <w:tab w:pos="332" w:val="left" w:leader="none"/>
        </w:tabs>
        <w:spacing w:line="240" w:lineRule="auto" w:before="1" w:after="0"/>
        <w:ind w:left="180" w:right="399" w:firstLine="0"/>
        <w:jc w:val="both"/>
        <w:rPr>
          <w:sz w:val="22"/>
        </w:rPr>
      </w:pPr>
      <w:r>
        <w:rPr>
          <w:sz w:val="22"/>
        </w:rPr>
        <w:t>En 1982 con el presidente Miguel de la Madrid comienza en México la internacionalización del mercado debido a la gran crisis económica que se vivía en ese momento, con lo que se da pie al nuevo sistema neoliberal, corriente político-económica que promueve la intervención mínima del Estado y la apertura del mercado, siendo la iniciativa privada la que domina los recursos naturales, sin embargo la participación sociopolítica local de los actores históricos de la CHPH se intensifica en esa lucha contra el despojo de sus recursos</w:t>
      </w:r>
      <w:r>
        <w:rPr>
          <w:spacing w:val="-3"/>
          <w:sz w:val="22"/>
        </w:rPr>
        <w:t> </w:t>
      </w:r>
      <w:r>
        <w:rPr>
          <w:sz w:val="22"/>
        </w:rPr>
        <w:t>naturales.</w:t>
      </w:r>
    </w:p>
    <w:p>
      <w:pPr>
        <w:pStyle w:val="ListParagraph"/>
        <w:numPr>
          <w:ilvl w:val="0"/>
          <w:numId w:val="121"/>
        </w:numPr>
        <w:tabs>
          <w:tab w:pos="329" w:val="left" w:leader="none"/>
        </w:tabs>
        <w:spacing w:line="240" w:lineRule="auto" w:before="1" w:after="0"/>
        <w:ind w:left="180" w:right="401" w:firstLine="0"/>
        <w:jc w:val="both"/>
        <w:rPr>
          <w:sz w:val="22"/>
        </w:rPr>
      </w:pPr>
      <w:r>
        <w:rPr>
          <w:sz w:val="22"/>
        </w:rPr>
        <w:t>Actualmente en 2016 la CHPH se encuentra en franco deterioro debido a los grandes acontecimientos históricos que han dado pie a la falta de planeación y al crecimiento desmedido de la población y al reparto inequitativo de los recursos, por lo que dichas injusticias sólo  pueden mermarse  a través  de la  participación sociopolítica  local  de  los  actores  históricos,  es por  eso     </w:t>
      </w:r>
      <w:r>
        <w:rPr>
          <w:spacing w:val="16"/>
          <w:sz w:val="22"/>
        </w:rPr>
        <w:t> </w:t>
      </w:r>
      <w:r>
        <w:rPr>
          <w:sz w:val="22"/>
        </w:rPr>
        <w:t>que</w:t>
      </w:r>
    </w:p>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516" w:hRule="exact"/>
        </w:trPr>
        <w:tc>
          <w:tcPr>
            <w:tcW w:w="12897" w:type="dxa"/>
          </w:tcPr>
          <w:p>
            <w:pPr>
              <w:pStyle w:val="TableParagraph"/>
              <w:spacing w:line="252" w:lineRule="exact" w:before="2"/>
              <w:ind w:left="64" w:right="12"/>
              <w:rPr>
                <w:sz w:val="22"/>
              </w:rPr>
            </w:pPr>
            <w:r>
              <w:rPr>
                <w:sz w:val="22"/>
              </w:rPr>
              <w:t>actualmente dichos actores tienen amplio interés para participar en el cuidado, defensa y autogestión de sus recursos naturales a través de sus usos y costumbres, por lo que este período  se considera bueno.</w:t>
            </w:r>
          </w:p>
        </w:tc>
      </w:tr>
      <w:tr>
        <w:trPr>
          <w:trHeight w:val="338"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022" w:hRule="exact"/>
        </w:trPr>
        <w:tc>
          <w:tcPr>
            <w:tcW w:w="12897" w:type="dxa"/>
          </w:tcPr>
          <w:p>
            <w:pPr>
              <w:pStyle w:val="TableParagraph"/>
              <w:numPr>
                <w:ilvl w:val="0"/>
                <w:numId w:val="212"/>
              </w:numPr>
              <w:tabs>
                <w:tab w:pos="248" w:val="left" w:leader="none"/>
              </w:tabs>
              <w:spacing w:line="240" w:lineRule="auto" w:before="0" w:after="0"/>
              <w:ind w:left="103" w:right="100" w:firstLine="0"/>
              <w:jc w:val="left"/>
              <w:rPr>
                <w:sz w:val="22"/>
              </w:rPr>
            </w:pPr>
            <w:r>
              <w:rPr>
                <w:sz w:val="22"/>
              </w:rPr>
              <w:t>Permitió identificar la organización racional y consciente de los actores sociopolíticos de la CHPH para atender su problemática común.</w:t>
            </w:r>
          </w:p>
          <w:p>
            <w:pPr>
              <w:pStyle w:val="TableParagraph"/>
              <w:numPr>
                <w:ilvl w:val="0"/>
                <w:numId w:val="212"/>
              </w:numPr>
              <w:tabs>
                <w:tab w:pos="243" w:val="left" w:leader="none"/>
              </w:tabs>
              <w:spacing w:line="240" w:lineRule="auto" w:before="0" w:after="0"/>
              <w:ind w:left="103" w:right="100" w:firstLine="0"/>
              <w:jc w:val="left"/>
              <w:rPr>
                <w:sz w:val="22"/>
              </w:rPr>
            </w:pPr>
            <w:r>
              <w:rPr>
                <w:sz w:val="22"/>
              </w:rPr>
              <w:t>Sirvió de guía de explicación para la elaboración de la propuesta de creación de un Comité Intermunicipal con su reglamento en la</w:t>
            </w:r>
            <w:r>
              <w:rPr>
                <w:spacing w:val="-3"/>
                <w:sz w:val="22"/>
              </w:rPr>
              <w:t> </w:t>
            </w:r>
            <w:r>
              <w:rPr>
                <w:sz w:val="22"/>
              </w:rPr>
              <w:t>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341" w:hRule="exact"/>
        </w:trPr>
        <w:tc>
          <w:tcPr>
            <w:tcW w:w="12897" w:type="dxa"/>
          </w:tcPr>
          <w:p>
            <w:pPr>
              <w:pStyle w:val="TableParagraph"/>
              <w:spacing w:line="251" w:lineRule="exact"/>
              <w:ind w:right="163"/>
              <w:rPr>
                <w:sz w:val="22"/>
              </w:rPr>
            </w:pPr>
            <w:r>
              <w:rPr>
                <w:sz w:val="22"/>
              </w:rPr>
              <w:t>- La participación sociopolítica es un indicador que requiere ser analizado multidisciplinariamente.</w:t>
            </w:r>
          </w:p>
        </w:tc>
      </w:tr>
    </w:tbl>
    <w:p>
      <w:pPr>
        <w:spacing w:after="0" w:line="25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146" w:right="105"/>
              <w:rPr>
                <w:b/>
                <w:sz w:val="22"/>
              </w:rPr>
            </w:pPr>
            <w:r>
              <w:rPr>
                <w:b/>
                <w:sz w:val="22"/>
              </w:rPr>
              <w:t>Relaciones intermunicipales</w:t>
            </w:r>
          </w:p>
        </w:tc>
        <w:tc>
          <w:tcPr>
            <w:tcW w:w="3277" w:type="dxa"/>
            <w:gridSpan w:val="3"/>
            <w:vMerge w:val="restart"/>
          </w:tcPr>
          <w:p>
            <w:pPr>
              <w:pStyle w:val="TableParagraph"/>
              <w:ind w:left="100" w:right="98"/>
              <w:jc w:val="both"/>
              <w:rPr>
                <w:b/>
                <w:sz w:val="22"/>
              </w:rPr>
            </w:pPr>
            <w:r>
              <w:rPr>
                <w:b/>
                <w:sz w:val="22"/>
              </w:rPr>
              <w:t>Identificar la necesidad de acuerdos sociopolíticos intermunicipales entre los actores de los municipios de la CHPH para atender la problemática común de la región.</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67"/>
              <w:rPr>
                <w:b/>
                <w:sz w:val="22"/>
              </w:rPr>
            </w:pPr>
            <w:r>
              <w:rPr>
                <w:b/>
                <w:sz w:val="22"/>
              </w:rPr>
              <w:t>0.930/ 18.055</w:t>
            </w:r>
          </w:p>
        </w:tc>
        <w:tc>
          <w:tcPr>
            <w:tcW w:w="1985" w:type="dxa"/>
            <w:gridSpan w:val="2"/>
          </w:tcPr>
          <w:p>
            <w:pPr>
              <w:pStyle w:val="TableParagraph"/>
              <w:spacing w:line="248" w:lineRule="exact"/>
              <w:ind w:left="1" w:right="2"/>
              <w:jc w:val="center"/>
              <w:rPr>
                <w:b/>
                <w:sz w:val="22"/>
              </w:rPr>
            </w:pPr>
            <w:r>
              <w:rPr>
                <w:b/>
                <w:sz w:val="22"/>
              </w:rPr>
              <w:t>5.15%</w:t>
            </w:r>
          </w:p>
        </w:tc>
        <w:tc>
          <w:tcPr>
            <w:tcW w:w="2268" w:type="dxa"/>
            <w:gridSpan w:val="2"/>
          </w:tcPr>
          <w:p>
            <w:pPr>
              <w:pStyle w:val="TableParagraph"/>
              <w:spacing w:line="248" w:lineRule="exact"/>
              <w:ind w:left="136" w:right="136"/>
              <w:jc w:val="center"/>
              <w:rPr>
                <w:b/>
                <w:sz w:val="22"/>
              </w:rPr>
            </w:pPr>
            <w:r>
              <w:rPr>
                <w:b/>
                <w:sz w:val="22"/>
              </w:rPr>
              <w:t>16.875</w:t>
            </w:r>
          </w:p>
        </w:tc>
        <w:tc>
          <w:tcPr>
            <w:tcW w:w="3274" w:type="dxa"/>
            <w:gridSpan w:val="5"/>
            <w:vMerge/>
          </w:tcPr>
          <w:p>
            <w:pPr/>
          </w:p>
        </w:tc>
        <w:tc>
          <w:tcPr>
            <w:tcW w:w="3277" w:type="dxa"/>
            <w:gridSpan w:val="3"/>
            <w:vMerge/>
          </w:tcPr>
          <w:p>
            <w:pPr/>
          </w:p>
        </w:tc>
      </w:tr>
      <w:tr>
        <w:trPr>
          <w:trHeight w:val="262" w:hRule="exact"/>
        </w:trPr>
        <w:tc>
          <w:tcPr>
            <w:tcW w:w="2093" w:type="dxa"/>
            <w:gridSpan w:val="2"/>
            <w:tcBorders>
              <w:right w:val="single" w:sz="41" w:space="0" w:color="D99493"/>
            </w:tcBorders>
          </w:tcPr>
          <w:p>
            <w:pPr>
              <w:pStyle w:val="TableParagraph"/>
              <w:spacing w:line="248" w:lineRule="exact"/>
              <w:ind w:left="45"/>
              <w:jc w:val="center"/>
              <w:rPr>
                <w:b/>
                <w:sz w:val="22"/>
              </w:rPr>
            </w:pPr>
            <w:r>
              <w:rPr>
                <w:b/>
                <w:w w:val="100"/>
                <w:sz w:val="22"/>
              </w:rPr>
              <w:t>1</w:t>
            </w:r>
          </w:p>
        </w:tc>
        <w:tc>
          <w:tcPr>
            <w:tcW w:w="1985" w:type="dxa"/>
            <w:gridSpan w:val="2"/>
            <w:shd w:val="clear" w:color="auto" w:fill="D99493"/>
          </w:tcPr>
          <w:p>
            <w:pPr>
              <w:pStyle w:val="TableParagraph"/>
              <w:spacing w:line="248" w:lineRule="exact"/>
              <w:ind w:left="0"/>
              <w:jc w:val="center"/>
              <w:rPr>
                <w:b/>
                <w:sz w:val="22"/>
              </w:rPr>
            </w:pPr>
            <w:r>
              <w:rPr>
                <w:b/>
                <w:w w:val="100"/>
                <w:sz w:val="22"/>
              </w:rPr>
              <w:t>2</w:t>
            </w:r>
          </w:p>
        </w:tc>
        <w:tc>
          <w:tcPr>
            <w:tcW w:w="2268" w:type="dxa"/>
            <w:gridSpan w:val="2"/>
            <w:tcBorders>
              <w:left w:val="thickThinMediumGap" w:sz="23" w:space="0" w:color="D99493"/>
              <w:right w:val="single" w:sz="41" w:space="0" w:color="D99493"/>
            </w:tcBorders>
          </w:tcPr>
          <w:p>
            <w:pPr>
              <w:pStyle w:val="TableParagraph"/>
              <w:spacing w:line="248" w:lineRule="exact"/>
              <w:ind w:left="0" w:right="2"/>
              <w:jc w:val="center"/>
              <w:rPr>
                <w:b/>
                <w:sz w:val="22"/>
              </w:rPr>
            </w:pPr>
            <w:r>
              <w:rPr>
                <w:b/>
                <w:w w:val="100"/>
                <w:sz w:val="22"/>
              </w:rPr>
              <w:t>3</w:t>
            </w:r>
          </w:p>
        </w:tc>
        <w:tc>
          <w:tcPr>
            <w:tcW w:w="1701" w:type="dxa"/>
            <w:gridSpan w:val="2"/>
            <w:shd w:val="clear" w:color="auto" w:fill="D99493"/>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D99493"/>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1" w:right="492"/>
              <w:jc w:val="center"/>
              <w:rPr>
                <w:b/>
                <w:sz w:val="22"/>
              </w:rPr>
            </w:pPr>
            <w:r>
              <w:rPr>
                <w:b/>
                <w:sz w:val="22"/>
              </w:rPr>
              <w:t>83</w:t>
            </w:r>
          </w:p>
        </w:tc>
        <w:tc>
          <w:tcPr>
            <w:tcW w:w="2127" w:type="dxa"/>
            <w:gridSpan w:val="3"/>
            <w:shd w:val="clear" w:color="auto" w:fill="92CDDC"/>
          </w:tcPr>
          <w:p>
            <w:pPr>
              <w:pStyle w:val="TableParagraph"/>
              <w:spacing w:line="248" w:lineRule="exact"/>
              <w:ind w:left="916" w:right="916"/>
              <w:jc w:val="center"/>
              <w:rPr>
                <w:b/>
                <w:sz w:val="22"/>
              </w:rPr>
            </w:pPr>
            <w:r>
              <w:rPr>
                <w:b/>
                <w:sz w:val="22"/>
              </w:rPr>
              <w:t>40</w:t>
            </w:r>
          </w:p>
        </w:tc>
        <w:tc>
          <w:tcPr>
            <w:tcW w:w="2410" w:type="dxa"/>
            <w:gridSpan w:val="3"/>
            <w:shd w:val="clear" w:color="auto" w:fill="92CDDC"/>
          </w:tcPr>
          <w:p>
            <w:pPr>
              <w:pStyle w:val="TableParagraph"/>
              <w:spacing w:line="248" w:lineRule="exact"/>
              <w:ind w:left="782" w:right="779"/>
              <w:jc w:val="center"/>
              <w:rPr>
                <w:b/>
                <w:sz w:val="22"/>
              </w:rPr>
            </w:pPr>
            <w:r>
              <w:rPr>
                <w:b/>
                <w:sz w:val="22"/>
              </w:rPr>
              <w:t>0.0625</w:t>
            </w:r>
          </w:p>
        </w:tc>
        <w:tc>
          <w:tcPr>
            <w:tcW w:w="1844" w:type="dxa"/>
            <w:gridSpan w:val="2"/>
            <w:shd w:val="clear" w:color="auto" w:fill="F9BE8F"/>
          </w:tcPr>
          <w:p>
            <w:pPr>
              <w:pStyle w:val="TableParagraph"/>
              <w:spacing w:line="248" w:lineRule="exact"/>
              <w:ind w:left="774" w:right="774"/>
              <w:jc w:val="center"/>
              <w:rPr>
                <w:b/>
                <w:sz w:val="22"/>
              </w:rPr>
            </w:pPr>
            <w:r>
              <w:rPr>
                <w:b/>
                <w:sz w:val="22"/>
              </w:rPr>
              <w:t>38</w:t>
            </w:r>
          </w:p>
        </w:tc>
        <w:tc>
          <w:tcPr>
            <w:tcW w:w="2126" w:type="dxa"/>
            <w:gridSpan w:val="3"/>
            <w:shd w:val="clear" w:color="auto" w:fill="F9BE8F"/>
          </w:tcPr>
          <w:p>
            <w:pPr>
              <w:pStyle w:val="TableParagraph"/>
              <w:spacing w:line="248" w:lineRule="exact"/>
              <w:ind w:left="0"/>
              <w:jc w:val="center"/>
              <w:rPr>
                <w:b/>
                <w:sz w:val="22"/>
              </w:rPr>
            </w:pPr>
            <w:r>
              <w:rPr>
                <w:b/>
                <w:w w:val="100"/>
                <w:sz w:val="22"/>
              </w:rPr>
              <w:t>6</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Acuerdos sociopolíticos intermunicipales, municipios, CHPH, problemática, región.</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left="729" w:right="250" w:hanging="466"/>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770" w:hRule="exact"/>
        </w:trPr>
        <w:tc>
          <w:tcPr>
            <w:tcW w:w="12897" w:type="dxa"/>
            <w:gridSpan w:val="14"/>
          </w:tcPr>
          <w:p>
            <w:pPr>
              <w:pStyle w:val="TableParagraph"/>
              <w:ind w:right="105"/>
              <w:jc w:val="both"/>
              <w:rPr>
                <w:sz w:val="22"/>
              </w:rPr>
            </w:pPr>
            <w:r>
              <w:rPr>
                <w:sz w:val="22"/>
              </w:rPr>
              <w:t>Se refiere a la necesidad de acuerdos sociopolíticos intermunicipales entre los actores de los municipios de la CHPH para  atender la problemática común de la Cuenca, ya que existe una escasa y limitada vinculación formal para favorecer la solución  de los problemas regionales (Arnoletto, 2010; Hernández, 2003; Florentino, 2004 y García, TC:</w:t>
            </w:r>
            <w:r>
              <w:rPr>
                <w:spacing w:val="-31"/>
                <w:sz w:val="22"/>
              </w:rPr>
              <w:t> </w:t>
            </w:r>
            <w:r>
              <w:rPr>
                <w:sz w:val="22"/>
              </w:rPr>
              <w:t>2013-2015).</w:t>
            </w:r>
          </w:p>
        </w:tc>
      </w:tr>
      <w:tr>
        <w:trPr>
          <w:trHeight w:val="262"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9"/>
          </w:tcPr>
          <w:p>
            <w:pPr>
              <w:pStyle w:val="TableParagraph"/>
              <w:spacing w:line="248" w:lineRule="exact"/>
              <w:ind w:left="2419" w:right="108"/>
              <w:rPr>
                <w:b/>
                <w:sz w:val="22"/>
              </w:rPr>
            </w:pPr>
            <w:r>
              <w:rPr>
                <w:b/>
                <w:sz w:val="22"/>
              </w:rPr>
              <w:t>Definición de la unidad de medición</w:t>
            </w:r>
          </w:p>
        </w:tc>
      </w:tr>
      <w:tr>
        <w:trPr>
          <w:trHeight w:val="1023" w:hRule="exact"/>
        </w:trPr>
        <w:tc>
          <w:tcPr>
            <w:tcW w:w="4295" w:type="dxa"/>
            <w:gridSpan w:val="5"/>
          </w:tcPr>
          <w:p>
            <w:pPr>
              <w:pStyle w:val="TableParagraph"/>
              <w:ind w:right="99"/>
              <w:rPr>
                <w:sz w:val="22"/>
              </w:rPr>
            </w:pPr>
            <w:r>
              <w:rPr>
                <w:sz w:val="22"/>
              </w:rPr>
              <w:t># de acuerdos intermunicipales entre los actores de la CHPH</w:t>
            </w:r>
          </w:p>
        </w:tc>
        <w:tc>
          <w:tcPr>
            <w:tcW w:w="8603" w:type="dxa"/>
            <w:gridSpan w:val="9"/>
          </w:tcPr>
          <w:p>
            <w:pPr>
              <w:pStyle w:val="TableParagraph"/>
              <w:ind w:right="108"/>
              <w:rPr>
                <w:sz w:val="22"/>
              </w:rPr>
            </w:pPr>
            <w:r>
              <w:rPr>
                <w:sz w:val="22"/>
              </w:rPr>
              <w:t>Cantidad de acuerdos intermunicipales en la CHPH para atender la problemática sociopolítica común de la región.</w:t>
            </w:r>
          </w:p>
          <w:p>
            <w:pPr>
              <w:pStyle w:val="TableParagraph"/>
              <w:spacing w:line="242" w:lineRule="auto"/>
              <w:ind w:right="108"/>
              <w:rPr>
                <w:sz w:val="22"/>
              </w:rPr>
            </w:pPr>
            <w:r>
              <w:rPr>
                <w:sz w:val="22"/>
              </w:rPr>
              <w:t>(Ejemplo: aún no existen acuerdos intermunicipales en la CHPH para atender los problemas sociopolíticos comunes).</w:t>
            </w:r>
          </w:p>
        </w:tc>
      </w:tr>
    </w:tbl>
    <w:p>
      <w:pPr>
        <w:spacing w:after="0" w:line="242" w:lineRule="auto"/>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36.45pt;mso-position-horizontal-relative:page;mso-position-vertical-relative:page;z-index:-3329392" coordorigin="1305,1697" coordsize="12934,8729">
            <v:line style="position:absolute" from="1315,1707" to="14229,1707" stroked="true" strokeweight=".48pt" strokecolor="#000000"/>
            <v:line style="position:absolute" from="1315,2331" to="14229,2331" stroked="true" strokeweight=".48pt" strokecolor="#000000"/>
            <v:line style="position:absolute" from="1310,1702" to="1310,10420" stroked="true" strokeweight=".48pt" strokecolor="#000000"/>
            <v:line style="position:absolute" from="1315,10416" to="14229,10416" stroked="true" strokeweight=".47998pt" strokecolor="#000000"/>
            <v:line style="position:absolute" from="14234,1702" to="14234,10420" stroked="true" strokeweight=".48004pt" strokecolor="#000000"/>
            <v:shape style="position:absolute;left:1679;top:2336;width:12184;height:8072" type="#_x0000_t75" stroked="false">
              <v:imagedata r:id="rId442" o:title=""/>
            </v:shape>
            <w10:wrap type="none"/>
          </v:group>
        </w:pict>
      </w:r>
    </w:p>
    <w:p>
      <w:pPr>
        <w:pStyle w:val="BodyText"/>
        <w:spacing w:before="11"/>
        <w:rPr>
          <w:rFonts w:ascii="Times New Roman"/>
        </w:rPr>
      </w:pPr>
    </w:p>
    <w:p>
      <w:pPr>
        <w:pStyle w:val="Heading6"/>
        <w:spacing w:before="73"/>
        <w:ind w:left="5782" w:right="397"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4056">
            <wp:simplePos x="0" y="0"/>
            <wp:positionH relativeFrom="page">
              <wp:posOffset>876300</wp:posOffset>
            </wp:positionH>
            <wp:positionV relativeFrom="page">
              <wp:posOffset>2047113</wp:posOffset>
            </wp:positionV>
            <wp:extent cx="5464529" cy="2401062"/>
            <wp:effectExtent l="0" t="0" r="0" b="0"/>
            <wp:wrapNone/>
            <wp:docPr id="77" name="image312.png" descr=""/>
            <wp:cNvGraphicFramePr>
              <a:graphicFrameLocks noChangeAspect="1"/>
            </wp:cNvGraphicFramePr>
            <a:graphic>
              <a:graphicData uri="http://schemas.openxmlformats.org/drawingml/2006/picture">
                <pic:pic>
                  <pic:nvPicPr>
                    <pic:cNvPr id="78" name="image312.png"/>
                    <pic:cNvPicPr/>
                  </pic:nvPicPr>
                  <pic:blipFill>
                    <a:blip r:embed="rId443" cstate="print"/>
                    <a:stretch>
                      <a:fillRect/>
                    </a:stretch>
                  </pic:blipFill>
                  <pic:spPr>
                    <a:xfrm>
                      <a:off x="0" y="0"/>
                      <a:ext cx="5464529" cy="2401062"/>
                    </a:xfrm>
                    <a:prstGeom prst="rect">
                      <a:avLst/>
                    </a:prstGeom>
                  </pic:spPr>
                </pic:pic>
              </a:graphicData>
            </a:graphic>
          </wp:anchor>
        </w:drawing>
      </w:r>
      <w:r>
        <w:rPr/>
        <w:pict>
          <v:shape style="position:absolute;margin-left:524.830017pt;margin-top:173.059998pt;width:127.5pt;height:145.15pt;mso-position-horizontal-relative:page;mso-position-vertical-relative:page;z-index:1408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2" w:hRule="exact"/>
                    </w:trPr>
                    <w:tc>
                      <w:tcPr>
                        <w:tcW w:w="1034" w:type="dxa"/>
                      </w:tcPr>
                      <w:p>
                        <w:pPr>
                          <w:pStyle w:val="TableParagraph"/>
                          <w:spacing w:line="248" w:lineRule="exact"/>
                          <w:rPr>
                            <w:b/>
                            <w:sz w:val="22"/>
                          </w:rPr>
                        </w:pPr>
                        <w:r>
                          <w:rPr>
                            <w:b/>
                            <w:sz w:val="22"/>
                          </w:rPr>
                          <w:t>Período</w:t>
                        </w:r>
                      </w:p>
                    </w:tc>
                    <w:tc>
                      <w:tcPr>
                        <w:tcW w:w="1501" w:type="dxa"/>
                      </w:tcPr>
                      <w:p>
                        <w:pPr>
                          <w:pStyle w:val="TableParagraph"/>
                          <w:spacing w:line="248" w:lineRule="exact"/>
                          <w:rPr>
                            <w:b/>
                            <w:sz w:val="22"/>
                          </w:rPr>
                        </w:pPr>
                        <w:r>
                          <w:rPr>
                            <w:b/>
                            <w:sz w:val="22"/>
                          </w:rPr>
                          <w:t>Calificación</w:t>
                        </w:r>
                      </w:p>
                    </w:tc>
                  </w:tr>
                  <w:tr>
                    <w:trPr>
                      <w:trHeight w:val="265"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rPr>
                            <w:sz w:val="22"/>
                          </w:rPr>
                        </w:pPr>
                        <w:r>
                          <w:rPr>
                            <w:sz w:val="22"/>
                          </w:rPr>
                          <w:t>1580</w:t>
                        </w:r>
                      </w:p>
                    </w:tc>
                    <w:tc>
                      <w:tcPr>
                        <w:tcW w:w="1501" w:type="dxa"/>
                      </w:tcPr>
                      <w:p>
                        <w:pPr>
                          <w:pStyle w:val="TableParagraph"/>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1785</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rPr>
                            <w:sz w:val="22"/>
                          </w:rPr>
                        </w:pPr>
                        <w:r>
                          <w:rPr>
                            <w:sz w:val="22"/>
                          </w:rPr>
                          <w:t>1810</w:t>
                        </w:r>
                      </w:p>
                    </w:tc>
                    <w:tc>
                      <w:tcPr>
                        <w:tcW w:w="1501" w:type="dxa"/>
                      </w:tcPr>
                      <w:p>
                        <w:pPr>
                          <w:pStyle w:val="TableParagraph"/>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1861</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rPr>
                            <w:sz w:val="22"/>
                          </w:rPr>
                        </w:pPr>
                        <w:r>
                          <w:rPr>
                            <w:sz w:val="22"/>
                          </w:rPr>
                          <w:t>2016</w:t>
                        </w:r>
                      </w:p>
                    </w:tc>
                    <w:tc>
                      <w:tcPr>
                        <w:tcW w:w="1501" w:type="dxa"/>
                      </w:tcPr>
                      <w:p>
                        <w:pPr>
                          <w:pStyle w:val="TableParagraph"/>
                          <w:rPr>
                            <w:sz w:val="22"/>
                          </w:rPr>
                        </w:pPr>
                        <w:r>
                          <w:rPr>
                            <w:sz w:val="22"/>
                          </w:rPr>
                          <w:t>Deficiente</w:t>
                        </w: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2"/>
        <w:gridCol w:w="1349"/>
        <w:gridCol w:w="3103"/>
        <w:gridCol w:w="1479"/>
        <w:gridCol w:w="2444"/>
        <w:gridCol w:w="1620"/>
      </w:tblGrid>
      <w:tr>
        <w:trPr>
          <w:trHeight w:val="264"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339" w:hRule="exact"/>
        </w:trPr>
        <w:tc>
          <w:tcPr>
            <w:tcW w:w="12822" w:type="dxa"/>
            <w:gridSpan w:val="7"/>
          </w:tcPr>
          <w:p>
            <w:pPr>
              <w:pStyle w:val="TableParagraph"/>
              <w:spacing w:line="252" w:lineRule="exact" w:before="2"/>
              <w:ind w:left="27" w:right="254"/>
              <w:rPr>
                <w:sz w:val="22"/>
              </w:rPr>
            </w:pPr>
            <w:r>
              <w:rPr>
                <w:sz w:val="22"/>
              </w:rPr>
              <w:t>Para ilustrar la necesidad de acuerdos sociopolíticos intermunicipales entre los actores de los municipios de la CHPH para  atender la problemática común de la región se elaboró la siguiente</w:t>
            </w:r>
            <w:r>
              <w:rPr>
                <w:spacing w:val="-18"/>
                <w:sz w:val="22"/>
              </w:rPr>
              <w:t> </w:t>
            </w:r>
            <w:r>
              <w:rPr>
                <w:sz w:val="22"/>
              </w:rPr>
              <w:t>gráfica:</w:t>
            </w:r>
          </w:p>
          <w:p>
            <w:pPr>
              <w:pStyle w:val="TableParagraph"/>
              <w:spacing w:line="248" w:lineRule="exact"/>
              <w:ind w:left="3575" w:right="57"/>
              <w:rPr>
                <w:b/>
                <w:sz w:val="22"/>
              </w:rPr>
            </w:pPr>
            <w:r>
              <w:rPr>
                <w:b/>
                <w:sz w:val="22"/>
              </w:rPr>
              <w:t>Gráfica 7.14.</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
              <w:ind w:left="0"/>
              <w:rPr>
                <w:rFonts w:ascii="Times New Roman"/>
                <w:sz w:val="23"/>
              </w:rPr>
            </w:pPr>
          </w:p>
          <w:p>
            <w:pPr>
              <w:pStyle w:val="TableParagraph"/>
              <w:spacing w:line="51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872" w:type="dxa"/>
            <w:vMerge w:val="restart"/>
          </w:tcPr>
          <w:p>
            <w:pPr>
              <w:pStyle w:val="TableParagraph"/>
              <w:tabs>
                <w:tab w:pos="1535" w:val="left" w:leader="none"/>
              </w:tabs>
              <w:ind w:right="103"/>
              <w:jc w:val="both"/>
              <w:rPr>
                <w:sz w:val="20"/>
              </w:rPr>
            </w:pPr>
            <w:r>
              <w:rPr>
                <w:sz w:val="20"/>
              </w:rPr>
              <w:t>Clasificación por número</w:t>
              <w:tab/>
              <w:t>de</w:t>
            </w:r>
            <w:r>
              <w:rPr>
                <w:w w:val="99"/>
                <w:sz w:val="20"/>
              </w:rPr>
              <w:t> </w:t>
            </w:r>
            <w:r>
              <w:rPr>
                <w:sz w:val="20"/>
              </w:rPr>
              <w:t>eventos en el período</w:t>
            </w:r>
          </w:p>
        </w:tc>
        <w:tc>
          <w:tcPr>
            <w:tcW w:w="8375" w:type="dxa"/>
            <w:gridSpan w:val="4"/>
          </w:tcPr>
          <w:p>
            <w:pPr>
              <w:pStyle w:val="TableParagraph"/>
              <w:spacing w:line="242" w:lineRule="auto"/>
              <w:ind w:right="105"/>
              <w:rPr>
                <w:sz w:val="20"/>
              </w:rPr>
            </w:pPr>
            <w:r>
              <w:rPr>
                <w:sz w:val="20"/>
              </w:rPr>
              <w:t>Clasificación por </w:t>
            </w:r>
            <w:r>
              <w:rPr>
                <w:b/>
                <w:sz w:val="20"/>
              </w:rPr>
              <w:t>características de impacto positivo o negativo </w:t>
            </w:r>
            <w:r>
              <w:rPr>
                <w:sz w:val="20"/>
              </w:rPr>
              <w:t>en los ámbitos ambiental-sociopolítico-económico</w:t>
            </w:r>
          </w:p>
        </w:tc>
        <w:tc>
          <w:tcPr>
            <w:tcW w:w="1620" w:type="dxa"/>
            <w:vMerge w:val="restart"/>
            <w:tcBorders>
              <w:right w:val="double" w:sz="12" w:space="0" w:color="000000"/>
            </w:tcBorders>
          </w:tcPr>
          <w:p>
            <w:pPr>
              <w:pStyle w:val="TableParagraph"/>
              <w:spacing w:before="117"/>
              <w:ind w:left="233" w:right="232"/>
              <w:jc w:val="center"/>
              <w:rPr>
                <w:sz w:val="20"/>
              </w:rPr>
            </w:pPr>
            <w:r>
              <w:rPr>
                <w:w w:val="95"/>
                <w:sz w:val="20"/>
              </w:rPr>
              <w:t>Clasificación </w:t>
            </w:r>
            <w:r>
              <w:rPr>
                <w:sz w:val="20"/>
              </w:rPr>
              <w:t>de la calificación</w:t>
            </w:r>
          </w:p>
        </w:tc>
      </w:tr>
      <w:tr>
        <w:trPr>
          <w:trHeight w:val="480" w:hRule="exact"/>
        </w:trPr>
        <w:tc>
          <w:tcPr>
            <w:tcW w:w="954" w:type="dxa"/>
            <w:vMerge/>
            <w:tcBorders>
              <w:left w:val="double" w:sz="11" w:space="0" w:color="000000"/>
            </w:tcBorders>
          </w:tcPr>
          <w:p>
            <w:pPr/>
          </w:p>
        </w:tc>
        <w:tc>
          <w:tcPr>
            <w:tcW w:w="1872" w:type="dxa"/>
            <w:vMerge/>
          </w:tcPr>
          <w:p>
            <w:pPr/>
          </w:p>
        </w:tc>
        <w:tc>
          <w:tcPr>
            <w:tcW w:w="1349" w:type="dxa"/>
          </w:tcPr>
          <w:p>
            <w:pPr>
              <w:pStyle w:val="TableParagraph"/>
              <w:spacing w:line="227" w:lineRule="exact"/>
              <w:rPr>
                <w:sz w:val="20"/>
              </w:rPr>
            </w:pPr>
            <w:r>
              <w:rPr>
                <w:sz w:val="20"/>
              </w:rPr>
              <w:t>Subsistema</w:t>
            </w:r>
          </w:p>
        </w:tc>
        <w:tc>
          <w:tcPr>
            <w:tcW w:w="3103" w:type="dxa"/>
          </w:tcPr>
          <w:p>
            <w:pPr>
              <w:pStyle w:val="TableParagraph"/>
              <w:spacing w:line="227" w:lineRule="exact"/>
              <w:rPr>
                <w:sz w:val="20"/>
              </w:rPr>
            </w:pPr>
            <w:r>
              <w:rPr>
                <w:sz w:val="20"/>
              </w:rPr>
              <w:t>Características</w:t>
            </w:r>
          </w:p>
        </w:tc>
        <w:tc>
          <w:tcPr>
            <w:tcW w:w="1479" w:type="dxa"/>
          </w:tcPr>
          <w:p>
            <w:pPr>
              <w:pStyle w:val="TableParagraph"/>
              <w:tabs>
                <w:tab w:pos="1142" w:val="left" w:leader="none"/>
              </w:tabs>
              <w:spacing w:line="227" w:lineRule="exact"/>
              <w:rPr>
                <w:sz w:val="20"/>
              </w:rPr>
            </w:pPr>
            <w:r>
              <w:rPr>
                <w:sz w:val="20"/>
              </w:rPr>
              <w:t>%</w:t>
              <w:tab/>
              <w:t>de</w:t>
            </w:r>
          </w:p>
          <w:p>
            <w:pPr>
              <w:pStyle w:val="TableParagraph"/>
              <w:rPr>
                <w:sz w:val="20"/>
              </w:rPr>
            </w:pPr>
            <w:r>
              <w:rPr>
                <w:sz w:val="20"/>
              </w:rPr>
              <w:t>cumplimiento</w:t>
            </w:r>
          </w:p>
        </w:tc>
        <w:tc>
          <w:tcPr>
            <w:tcW w:w="2444" w:type="dxa"/>
          </w:tcPr>
          <w:p>
            <w:pPr>
              <w:pStyle w:val="TableParagraph"/>
              <w:spacing w:line="227" w:lineRule="exact"/>
              <w:rPr>
                <w:sz w:val="20"/>
              </w:rPr>
            </w:pPr>
            <w:r>
              <w:rPr>
                <w:sz w:val="20"/>
              </w:rPr>
              <w:t>Observaciones</w:t>
            </w:r>
          </w:p>
        </w:tc>
        <w:tc>
          <w:tcPr>
            <w:tcW w:w="1620"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2"/>
        <w:gridCol w:w="1349"/>
        <w:gridCol w:w="3103"/>
        <w:gridCol w:w="1479"/>
        <w:gridCol w:w="2444"/>
        <w:gridCol w:w="1620"/>
      </w:tblGrid>
      <w:tr>
        <w:trPr>
          <w:trHeight w:val="3699" w:hRule="exact"/>
        </w:trPr>
        <w:tc>
          <w:tcPr>
            <w:tcW w:w="954" w:type="dxa"/>
            <w:vMerge w:val="restart"/>
            <w:tcBorders>
              <w:left w:val="double" w:sz="11" w:space="0" w:color="000000"/>
            </w:tcBorders>
          </w:tcPr>
          <w:p>
            <w:pPr/>
          </w:p>
        </w:tc>
        <w:tc>
          <w:tcPr>
            <w:tcW w:w="187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0"/>
              <w:jc w:val="center"/>
              <w:rPr>
                <w:b/>
                <w:sz w:val="20"/>
              </w:rPr>
            </w:pPr>
            <w:r>
              <w:rPr>
                <w:b/>
                <w:w w:val="99"/>
                <w:sz w:val="20"/>
              </w:rPr>
              <w:t>1</w:t>
            </w:r>
          </w:p>
        </w:tc>
        <w:tc>
          <w:tcPr>
            <w:tcW w:w="1349" w:type="dxa"/>
          </w:tcPr>
          <w:p>
            <w:pPr>
              <w:pStyle w:val="TableParagraph"/>
              <w:spacing w:before="7"/>
              <w:rPr>
                <w:sz w:val="20"/>
              </w:rPr>
            </w:pPr>
            <w:r>
              <w:rPr>
                <w:sz w:val="20"/>
              </w:rPr>
              <w:t>Ambiental</w:t>
            </w:r>
          </w:p>
        </w:tc>
        <w:tc>
          <w:tcPr>
            <w:tcW w:w="3103" w:type="dxa"/>
          </w:tcPr>
          <w:p>
            <w:pPr>
              <w:pStyle w:val="TableParagraph"/>
              <w:numPr>
                <w:ilvl w:val="0"/>
                <w:numId w:val="213"/>
              </w:numPr>
              <w:tabs>
                <w:tab w:pos="812" w:val="left" w:leader="none"/>
                <w:tab w:pos="2075" w:val="left" w:leader="none"/>
              </w:tabs>
              <w:spacing w:line="240" w:lineRule="auto" w:before="7" w:after="0"/>
              <w:ind w:left="280" w:right="105" w:hanging="141"/>
              <w:jc w:val="both"/>
              <w:rPr>
                <w:sz w:val="20"/>
              </w:rPr>
            </w:pPr>
            <w:r>
              <w:rPr>
                <w:sz w:val="20"/>
              </w:rPr>
              <w:t>Existen</w:t>
              <w:tab/>
              <w:t>relaciones</w:t>
            </w:r>
            <w:r>
              <w:rPr>
                <w:w w:val="99"/>
                <w:sz w:val="20"/>
              </w:rPr>
              <w:t> </w:t>
            </w:r>
            <w:r>
              <w:rPr>
                <w:sz w:val="20"/>
              </w:rPr>
              <w:t>intermunicipales para atender el medio ambiente de la CHPH</w:t>
            </w:r>
          </w:p>
          <w:p>
            <w:pPr>
              <w:pStyle w:val="TableParagraph"/>
              <w:numPr>
                <w:ilvl w:val="0"/>
                <w:numId w:val="213"/>
              </w:numPr>
              <w:tabs>
                <w:tab w:pos="812" w:val="left" w:leader="none"/>
              </w:tabs>
              <w:spacing w:line="240" w:lineRule="auto" w:before="0" w:after="0"/>
              <w:ind w:left="280" w:right="104" w:hanging="141"/>
              <w:jc w:val="both"/>
              <w:rPr>
                <w:sz w:val="20"/>
              </w:rPr>
            </w:pPr>
            <w:r>
              <w:rPr>
                <w:sz w:val="20"/>
              </w:rPr>
              <w:t>Los municipios tienen facultades para atender problemas del deterioro ambiental</w:t>
            </w:r>
          </w:p>
          <w:p>
            <w:pPr>
              <w:pStyle w:val="TableParagraph"/>
              <w:numPr>
                <w:ilvl w:val="0"/>
                <w:numId w:val="213"/>
              </w:numPr>
              <w:tabs>
                <w:tab w:pos="812" w:val="left" w:leader="none"/>
              </w:tabs>
              <w:spacing w:line="240" w:lineRule="auto" w:before="0" w:after="0"/>
              <w:ind w:left="280" w:right="104"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213"/>
              </w:numPr>
              <w:tabs>
                <w:tab w:pos="812" w:val="left" w:leader="none"/>
              </w:tabs>
              <w:spacing w:line="240" w:lineRule="auto" w:before="0" w:after="0"/>
              <w:ind w:left="280" w:right="104" w:hanging="141"/>
              <w:jc w:val="both"/>
              <w:rPr>
                <w:sz w:val="20"/>
              </w:rPr>
            </w:pPr>
            <w:r>
              <w:rPr>
                <w:sz w:val="20"/>
              </w:rPr>
              <w:t>Existe coordinación del cabildo con los actores históricos para cuidar el  medio</w:t>
            </w:r>
            <w:r>
              <w:rPr>
                <w:spacing w:val="-5"/>
                <w:sz w:val="20"/>
              </w:rPr>
              <w:t> </w:t>
            </w:r>
            <w:r>
              <w:rPr>
                <w:sz w:val="20"/>
              </w:rPr>
              <w:t>ambiente</w:t>
            </w:r>
          </w:p>
        </w:tc>
        <w:tc>
          <w:tcPr>
            <w:tcW w:w="1479" w:type="dxa"/>
            <w:vMerge w:val="restart"/>
          </w:tcPr>
          <w:p>
            <w:pPr/>
          </w:p>
        </w:tc>
        <w:tc>
          <w:tcPr>
            <w:tcW w:w="2444" w:type="dxa"/>
            <w:vMerge w:val="restart"/>
          </w:tcPr>
          <w:p>
            <w:pPr>
              <w:pStyle w:val="TableParagraph"/>
              <w:spacing w:line="242" w:lineRule="auto" w:before="4"/>
              <w:ind w:right="103"/>
              <w:jc w:val="both"/>
              <w:rPr>
                <w:sz w:val="20"/>
              </w:rPr>
            </w:pPr>
            <w:r>
              <w:rPr>
                <w:sz w:val="20"/>
              </w:rPr>
              <w:t>Debe reunir al </w:t>
            </w:r>
            <w:r>
              <w:rPr>
                <w:b/>
                <w:sz w:val="20"/>
              </w:rPr>
              <w:t>100% las tres </w:t>
            </w:r>
            <w:r>
              <w:rPr>
                <w:sz w:val="20"/>
              </w:rPr>
              <w:t>características de impacto positivo</w:t>
            </w:r>
          </w:p>
        </w:tc>
        <w:tc>
          <w:tcPr>
            <w:tcW w:w="1620"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19"/>
              <w:rPr>
                <w:b/>
                <w:sz w:val="20"/>
              </w:rPr>
            </w:pPr>
            <w:r>
              <w:rPr>
                <w:b/>
                <w:sz w:val="20"/>
              </w:rPr>
              <w:t>Excelente</w:t>
            </w:r>
          </w:p>
        </w:tc>
      </w:tr>
      <w:tr>
        <w:trPr>
          <w:trHeight w:val="2542" w:hRule="exact"/>
        </w:trPr>
        <w:tc>
          <w:tcPr>
            <w:tcW w:w="954" w:type="dxa"/>
            <w:vMerge/>
            <w:tcBorders>
              <w:left w:val="double" w:sz="11" w:space="0" w:color="000000"/>
            </w:tcBorders>
          </w:tcPr>
          <w:p>
            <w:pPr/>
          </w:p>
        </w:tc>
        <w:tc>
          <w:tcPr>
            <w:tcW w:w="1872" w:type="dxa"/>
            <w:vMerge/>
          </w:tcPr>
          <w:p>
            <w:pPr/>
          </w:p>
        </w:tc>
        <w:tc>
          <w:tcPr>
            <w:tcW w:w="1349" w:type="dxa"/>
          </w:tcPr>
          <w:p>
            <w:pPr>
              <w:pStyle w:val="TableParagraph"/>
              <w:spacing w:line="227" w:lineRule="exact"/>
              <w:rPr>
                <w:sz w:val="20"/>
              </w:rPr>
            </w:pPr>
            <w:r>
              <w:rPr>
                <w:sz w:val="20"/>
              </w:rPr>
              <w:t>Económico</w:t>
            </w:r>
          </w:p>
        </w:tc>
        <w:tc>
          <w:tcPr>
            <w:tcW w:w="3103" w:type="dxa"/>
          </w:tcPr>
          <w:p>
            <w:pPr>
              <w:pStyle w:val="TableParagraph"/>
              <w:numPr>
                <w:ilvl w:val="0"/>
                <w:numId w:val="214"/>
              </w:numPr>
              <w:tabs>
                <w:tab w:pos="812" w:val="left" w:leader="none"/>
                <w:tab w:pos="2164" w:val="left" w:leader="none"/>
                <w:tab w:pos="2587" w:val="left" w:leader="none"/>
              </w:tabs>
              <w:spacing w:line="240" w:lineRule="auto" w:before="0" w:after="0"/>
              <w:ind w:left="280" w:right="105" w:hanging="141"/>
              <w:jc w:val="both"/>
              <w:rPr>
                <w:sz w:val="20"/>
              </w:rPr>
            </w:pPr>
            <w:r>
              <w:rPr>
                <w:sz w:val="20"/>
              </w:rPr>
              <w:t>Existen</w:t>
              <w:tab/>
              <w:t>acuerdos</w:t>
            </w:r>
            <w:r>
              <w:rPr>
                <w:w w:val="99"/>
                <w:sz w:val="20"/>
              </w:rPr>
              <w:t> </w:t>
            </w:r>
            <w:r>
              <w:rPr>
                <w:sz w:val="20"/>
              </w:rPr>
              <w:t>intermunicipales</w:t>
              <w:tab/>
              <w:tab/>
            </w:r>
            <w:r>
              <w:rPr>
                <w:w w:val="95"/>
                <w:sz w:val="20"/>
              </w:rPr>
              <w:t>para </w:t>
            </w:r>
            <w:r>
              <w:rPr>
                <w:sz w:val="20"/>
              </w:rPr>
              <w:t>distribuir equitativamente los recursos</w:t>
            </w:r>
            <w:r>
              <w:rPr>
                <w:spacing w:val="-6"/>
                <w:sz w:val="20"/>
              </w:rPr>
              <w:t> </w:t>
            </w:r>
            <w:r>
              <w:rPr>
                <w:sz w:val="20"/>
              </w:rPr>
              <w:t>naturales</w:t>
            </w:r>
          </w:p>
          <w:p>
            <w:pPr>
              <w:pStyle w:val="TableParagraph"/>
              <w:numPr>
                <w:ilvl w:val="0"/>
                <w:numId w:val="214"/>
              </w:numPr>
              <w:tabs>
                <w:tab w:pos="812" w:val="left" w:leader="none"/>
                <w:tab w:pos="2164" w:val="left" w:leader="none"/>
              </w:tabs>
              <w:spacing w:line="240" w:lineRule="auto" w:before="1" w:after="0"/>
              <w:ind w:left="280" w:right="105" w:hanging="141"/>
              <w:jc w:val="both"/>
              <w:rPr>
                <w:sz w:val="20"/>
              </w:rPr>
            </w:pPr>
            <w:r>
              <w:rPr>
                <w:sz w:val="20"/>
              </w:rPr>
              <w:t>Existe</w:t>
              <w:tab/>
              <w:t>acuerdos</w:t>
            </w:r>
            <w:r>
              <w:rPr>
                <w:w w:val="99"/>
                <w:sz w:val="20"/>
              </w:rPr>
              <w:t> </w:t>
            </w:r>
            <w:r>
              <w:rPr>
                <w:sz w:val="20"/>
              </w:rPr>
              <w:t>intermunicipales para cuidar los recursos</w:t>
            </w:r>
            <w:r>
              <w:rPr>
                <w:spacing w:val="-6"/>
                <w:sz w:val="20"/>
              </w:rPr>
              <w:t> </w:t>
            </w:r>
            <w:r>
              <w:rPr>
                <w:sz w:val="20"/>
              </w:rPr>
              <w:t>naturales</w:t>
            </w:r>
          </w:p>
          <w:p>
            <w:pPr>
              <w:pStyle w:val="TableParagraph"/>
              <w:numPr>
                <w:ilvl w:val="0"/>
                <w:numId w:val="214"/>
              </w:numPr>
              <w:tabs>
                <w:tab w:pos="812" w:val="left" w:leader="none"/>
              </w:tabs>
              <w:spacing w:line="240" w:lineRule="auto" w:before="0" w:after="0"/>
              <w:ind w:left="280" w:right="103" w:hanging="141"/>
              <w:jc w:val="both"/>
              <w:rPr>
                <w:sz w:val="20"/>
              </w:rPr>
            </w:pPr>
            <w:r>
              <w:rPr>
                <w:sz w:val="20"/>
              </w:rPr>
              <w:t>Existe coordinación económica entre actores de la CHPH para un crecimiento equilibrado</w:t>
            </w:r>
          </w:p>
        </w:tc>
        <w:tc>
          <w:tcPr>
            <w:tcW w:w="1479" w:type="dxa"/>
            <w:vMerge/>
          </w:tcPr>
          <w:p>
            <w:pPr/>
          </w:p>
        </w:tc>
        <w:tc>
          <w:tcPr>
            <w:tcW w:w="2444" w:type="dxa"/>
            <w:vMerge/>
          </w:tcPr>
          <w:p>
            <w:pPr/>
          </w:p>
        </w:tc>
        <w:tc>
          <w:tcPr>
            <w:tcW w:w="1620" w:type="dxa"/>
            <w:vMerge/>
            <w:tcBorders>
              <w:right w:val="double" w:sz="12" w:space="0" w:color="000000"/>
            </w:tcBorders>
            <w:shd w:val="clear" w:color="auto" w:fill="00FF00"/>
          </w:tcPr>
          <w:p>
            <w:pPr/>
          </w:p>
        </w:tc>
      </w:tr>
      <w:tr>
        <w:trPr>
          <w:trHeight w:val="2540" w:hRule="exact"/>
        </w:trPr>
        <w:tc>
          <w:tcPr>
            <w:tcW w:w="954" w:type="dxa"/>
            <w:vMerge/>
            <w:tcBorders>
              <w:left w:val="double" w:sz="11" w:space="0" w:color="000000"/>
            </w:tcBorders>
          </w:tcPr>
          <w:p>
            <w:pPr/>
          </w:p>
        </w:tc>
        <w:tc>
          <w:tcPr>
            <w:tcW w:w="1872" w:type="dxa"/>
            <w:vMerge/>
          </w:tcPr>
          <w:p>
            <w:pPr/>
          </w:p>
        </w:tc>
        <w:tc>
          <w:tcPr>
            <w:tcW w:w="1349" w:type="dxa"/>
          </w:tcPr>
          <w:p>
            <w:pPr>
              <w:pStyle w:val="TableParagraph"/>
              <w:spacing w:line="227" w:lineRule="exact"/>
              <w:rPr>
                <w:sz w:val="20"/>
              </w:rPr>
            </w:pPr>
            <w:r>
              <w:rPr>
                <w:sz w:val="20"/>
              </w:rPr>
              <w:t>Sociopolítico</w:t>
            </w:r>
          </w:p>
        </w:tc>
        <w:tc>
          <w:tcPr>
            <w:tcW w:w="3103" w:type="dxa"/>
          </w:tcPr>
          <w:p>
            <w:pPr>
              <w:pStyle w:val="TableParagraph"/>
              <w:ind w:left="280" w:right="104" w:hanging="178"/>
              <w:jc w:val="both"/>
              <w:rPr>
                <w:sz w:val="20"/>
              </w:rPr>
            </w:pPr>
            <w:r>
              <w:rPr>
                <w:rFonts w:ascii="Wingdings" w:hAnsi="Wingdings"/>
                <w:sz w:val="20"/>
              </w:rPr>
              <w:t></w:t>
            </w:r>
            <w:r>
              <w:rPr>
                <w:sz w:val="20"/>
              </w:rPr>
              <w:t>Favorece la voluntariedad de los cabildos y de los actores históricos para la interrelación sociopolítica en la región</w:t>
            </w:r>
          </w:p>
          <w:p>
            <w:pPr>
              <w:pStyle w:val="TableParagraph"/>
              <w:spacing w:before="1"/>
              <w:ind w:left="280" w:right="104" w:hanging="178"/>
              <w:jc w:val="both"/>
              <w:rPr>
                <w:sz w:val="20"/>
              </w:rPr>
            </w:pPr>
            <w:r>
              <w:rPr>
                <w:rFonts w:ascii="Wingdings" w:hAnsi="Wingdings"/>
                <w:sz w:val="20"/>
              </w:rPr>
              <w:t></w:t>
            </w:r>
            <w:r>
              <w:rPr>
                <w:sz w:val="20"/>
              </w:rPr>
              <w:t>Favorece la organización sociopolítica de los actores de la CHPH para atender problemas comunes</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tc>
        <w:tc>
          <w:tcPr>
            <w:tcW w:w="1479" w:type="dxa"/>
            <w:vMerge/>
          </w:tcPr>
          <w:p>
            <w:pPr/>
          </w:p>
        </w:tc>
        <w:tc>
          <w:tcPr>
            <w:tcW w:w="2444" w:type="dxa"/>
            <w:vMerge/>
          </w:tcPr>
          <w:p>
            <w:pPr/>
          </w:p>
        </w:tc>
        <w:tc>
          <w:tcPr>
            <w:tcW w:w="1620"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27.700012pt;margin-top:121.099998pt;width:78.6pt;height:403.55pt;mso-position-horizontal-relative:page;mso-position-vertical-relative:page;z-index:-3329320" coordorigin="12554,2422" coordsize="1572,8071">
            <v:shape style="position:absolute;left:12554;top:2422;width:1572;height:8070" type="#_x0000_t75" stroked="false">
              <v:imagedata r:id="rId445" o:title=""/>
            </v:shape>
            <v:shape style="position:absolute;left:12657;top:2422;width:1366;height:230" type="#_x0000_t75" stroked="false">
              <v:imagedata r:id="rId446" o:title=""/>
            </v:shape>
            <v:shape style="position:absolute;left:12657;top:2652;width:1366;height:228" type="#_x0000_t75" stroked="false">
              <v:imagedata r:id="rId447" o:title=""/>
            </v:shape>
            <v:shape style="position:absolute;left:12657;top:2880;width:1366;height:230" type="#_x0000_t75" stroked="false">
              <v:imagedata r:id="rId448" o:title=""/>
            </v:shape>
            <v:shape style="position:absolute;left:12657;top:3111;width:1366;height:230" type="#_x0000_t75" stroked="false">
              <v:imagedata r:id="rId345" o:title=""/>
            </v:shape>
            <v:shape style="position:absolute;left:12657;top:3341;width:1366;height:230" type="#_x0000_t75" stroked="false">
              <v:imagedata r:id="rId449" o:title=""/>
            </v:shape>
            <v:shape style="position:absolute;left:12657;top:3572;width:1366;height:230" type="#_x0000_t75" stroked="false">
              <v:imagedata r:id="rId450" o:title=""/>
            </v:shape>
            <v:shape style="position:absolute;left:12657;top:3802;width:1366;height:231" type="#_x0000_t75" stroked="false">
              <v:imagedata r:id="rId451" o:title=""/>
            </v:shape>
            <v:shape style="position:absolute;left:12657;top:4033;width:1366;height:228" type="#_x0000_t75" stroked="false">
              <v:imagedata r:id="rId452" o:title=""/>
            </v:shape>
            <v:shape style="position:absolute;left:12657;top:4261;width:1366;height:230" type="#_x0000_t75" stroked="false">
              <v:imagedata r:id="rId453"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2"/>
        <w:gridCol w:w="1349"/>
        <w:gridCol w:w="3103"/>
        <w:gridCol w:w="1479"/>
        <w:gridCol w:w="2444"/>
        <w:gridCol w:w="1620"/>
      </w:tblGrid>
      <w:tr>
        <w:trPr>
          <w:trHeight w:val="710" w:hRule="exact"/>
        </w:trPr>
        <w:tc>
          <w:tcPr>
            <w:tcW w:w="954" w:type="dxa"/>
            <w:tcBorders>
              <w:left w:val="double" w:sz="11" w:space="0" w:color="000000"/>
            </w:tcBorders>
          </w:tcPr>
          <w:p>
            <w:pPr/>
          </w:p>
        </w:tc>
        <w:tc>
          <w:tcPr>
            <w:tcW w:w="1872" w:type="dxa"/>
          </w:tcPr>
          <w:p>
            <w:pPr/>
          </w:p>
        </w:tc>
        <w:tc>
          <w:tcPr>
            <w:tcW w:w="1349" w:type="dxa"/>
          </w:tcPr>
          <w:p>
            <w:pPr/>
          </w:p>
        </w:tc>
        <w:tc>
          <w:tcPr>
            <w:tcW w:w="3103" w:type="dxa"/>
          </w:tcPr>
          <w:p>
            <w:pPr>
              <w:pStyle w:val="TableParagraph"/>
              <w:numPr>
                <w:ilvl w:val="0"/>
                <w:numId w:val="215"/>
              </w:numPr>
              <w:tabs>
                <w:tab w:pos="336" w:val="left" w:leader="none"/>
              </w:tabs>
              <w:spacing w:line="240" w:lineRule="auto" w:before="7" w:after="0"/>
              <w:ind w:left="280" w:right="103" w:hanging="177"/>
              <w:jc w:val="both"/>
              <w:rPr>
                <w:sz w:val="20"/>
              </w:rPr>
            </w:pPr>
            <w:r>
              <w:rPr>
                <w:sz w:val="20"/>
              </w:rPr>
              <w:t>Favorece la planeación sociopolítica con articulación entre</w:t>
            </w:r>
            <w:r>
              <w:rPr>
                <w:spacing w:val="-5"/>
                <w:sz w:val="20"/>
              </w:rPr>
              <w:t> </w:t>
            </w:r>
            <w:r>
              <w:rPr>
                <w:sz w:val="20"/>
              </w:rPr>
              <w:t>actores</w:t>
            </w:r>
          </w:p>
        </w:tc>
        <w:tc>
          <w:tcPr>
            <w:tcW w:w="1479" w:type="dxa"/>
          </w:tcPr>
          <w:p>
            <w:pPr/>
          </w:p>
        </w:tc>
        <w:tc>
          <w:tcPr>
            <w:tcW w:w="2444" w:type="dxa"/>
          </w:tcPr>
          <w:p>
            <w:pPr/>
          </w:p>
        </w:tc>
        <w:tc>
          <w:tcPr>
            <w:tcW w:w="1620" w:type="dxa"/>
            <w:tcBorders>
              <w:right w:val="double" w:sz="12" w:space="0" w:color="000000"/>
            </w:tcBorders>
            <w:shd w:val="clear" w:color="auto" w:fill="00FF00"/>
          </w:tcPr>
          <w:p>
            <w:pPr/>
          </w:p>
        </w:tc>
      </w:tr>
      <w:tr>
        <w:trPr>
          <w:trHeight w:val="3689" w:hRule="exact"/>
        </w:trPr>
        <w:tc>
          <w:tcPr>
            <w:tcW w:w="954" w:type="dxa"/>
            <w:vMerge w:val="restart"/>
            <w:tcBorders>
              <w:left w:val="double" w:sz="11" w:space="0" w:color="000000"/>
            </w:tcBorders>
          </w:tcPr>
          <w:p>
            <w:pPr/>
          </w:p>
        </w:tc>
        <w:tc>
          <w:tcPr>
            <w:tcW w:w="187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19"/>
              </w:rPr>
            </w:pPr>
          </w:p>
          <w:p>
            <w:pPr>
              <w:pStyle w:val="TableParagraph"/>
              <w:ind w:left="0"/>
              <w:jc w:val="center"/>
              <w:rPr>
                <w:b/>
                <w:sz w:val="20"/>
              </w:rPr>
            </w:pPr>
            <w:r>
              <w:rPr>
                <w:b/>
                <w:w w:val="99"/>
                <w:sz w:val="20"/>
              </w:rPr>
              <w:t>1</w:t>
            </w:r>
          </w:p>
        </w:tc>
        <w:tc>
          <w:tcPr>
            <w:tcW w:w="1349" w:type="dxa"/>
          </w:tcPr>
          <w:p>
            <w:pPr>
              <w:pStyle w:val="TableParagraph"/>
              <w:spacing w:line="227" w:lineRule="exact"/>
              <w:rPr>
                <w:sz w:val="20"/>
              </w:rPr>
            </w:pPr>
            <w:r>
              <w:rPr>
                <w:sz w:val="20"/>
              </w:rPr>
              <w:t>Ambiental</w:t>
            </w:r>
          </w:p>
        </w:tc>
        <w:tc>
          <w:tcPr>
            <w:tcW w:w="3103" w:type="dxa"/>
          </w:tcPr>
          <w:p>
            <w:pPr>
              <w:pStyle w:val="TableParagraph"/>
              <w:numPr>
                <w:ilvl w:val="0"/>
                <w:numId w:val="216"/>
              </w:numPr>
              <w:tabs>
                <w:tab w:pos="812" w:val="left" w:leader="none"/>
                <w:tab w:pos="2075" w:val="left" w:leader="none"/>
              </w:tabs>
              <w:spacing w:line="240" w:lineRule="auto" w:before="0" w:after="0"/>
              <w:ind w:left="280" w:right="105" w:hanging="141"/>
              <w:jc w:val="both"/>
              <w:rPr>
                <w:sz w:val="20"/>
              </w:rPr>
            </w:pPr>
            <w:r>
              <w:rPr>
                <w:sz w:val="20"/>
              </w:rPr>
              <w:t>Existen</w:t>
              <w:tab/>
              <w:t>relaciones</w:t>
            </w:r>
            <w:r>
              <w:rPr>
                <w:w w:val="99"/>
                <w:sz w:val="20"/>
              </w:rPr>
              <w:t> </w:t>
            </w:r>
            <w:r>
              <w:rPr>
                <w:sz w:val="20"/>
              </w:rPr>
              <w:t>intermunicipales para atender el medio ambiente de la CHPH</w:t>
            </w:r>
          </w:p>
          <w:p>
            <w:pPr>
              <w:pStyle w:val="TableParagraph"/>
              <w:numPr>
                <w:ilvl w:val="0"/>
                <w:numId w:val="216"/>
              </w:numPr>
              <w:tabs>
                <w:tab w:pos="812" w:val="left" w:leader="none"/>
              </w:tabs>
              <w:spacing w:line="240" w:lineRule="auto" w:before="0" w:after="0"/>
              <w:ind w:left="280" w:right="104" w:hanging="141"/>
              <w:jc w:val="both"/>
              <w:rPr>
                <w:sz w:val="20"/>
              </w:rPr>
            </w:pPr>
            <w:r>
              <w:rPr>
                <w:sz w:val="20"/>
              </w:rPr>
              <w:t>Los municipios tienen facultades para atender problemas del deterioro ambiental</w:t>
            </w:r>
          </w:p>
          <w:p>
            <w:pPr>
              <w:pStyle w:val="TableParagraph"/>
              <w:numPr>
                <w:ilvl w:val="0"/>
                <w:numId w:val="216"/>
              </w:numPr>
              <w:tabs>
                <w:tab w:pos="812" w:val="left" w:leader="none"/>
              </w:tabs>
              <w:spacing w:line="240" w:lineRule="auto" w:before="0" w:after="0"/>
              <w:ind w:left="280" w:right="105"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216"/>
              </w:numPr>
              <w:tabs>
                <w:tab w:pos="812" w:val="left" w:leader="none"/>
              </w:tabs>
              <w:spacing w:line="240" w:lineRule="auto" w:before="0" w:after="0"/>
              <w:ind w:left="280" w:right="104" w:hanging="141"/>
              <w:jc w:val="both"/>
              <w:rPr>
                <w:sz w:val="20"/>
              </w:rPr>
            </w:pPr>
            <w:r>
              <w:rPr>
                <w:sz w:val="20"/>
              </w:rPr>
              <w:t>Existe coordinación del cabildo con los actores históricos para cuidar el  medio</w:t>
            </w:r>
            <w:r>
              <w:rPr>
                <w:spacing w:val="-5"/>
                <w:sz w:val="20"/>
              </w:rPr>
              <w:t> </w:t>
            </w:r>
            <w:r>
              <w:rPr>
                <w:sz w:val="20"/>
              </w:rPr>
              <w:t>ambiente</w:t>
            </w:r>
          </w:p>
        </w:tc>
        <w:tc>
          <w:tcPr>
            <w:tcW w:w="1479" w:type="dxa"/>
            <w:vMerge w:val="restart"/>
          </w:tcPr>
          <w:p>
            <w:pPr/>
          </w:p>
        </w:tc>
        <w:tc>
          <w:tcPr>
            <w:tcW w:w="2444" w:type="dxa"/>
            <w:vMerge w:val="restart"/>
          </w:tcPr>
          <w:p>
            <w:pPr>
              <w:pStyle w:val="TableParagraph"/>
              <w:tabs>
                <w:tab w:pos="2105" w:val="left" w:leader="none"/>
              </w:tabs>
              <w:ind w:right="103"/>
              <w:jc w:val="both"/>
              <w:rPr>
                <w:sz w:val="20"/>
              </w:rPr>
            </w:pPr>
            <w:r>
              <w:rPr>
                <w:sz w:val="20"/>
              </w:rPr>
              <w:t>Debe reunir </w:t>
            </w:r>
            <w:r>
              <w:rPr>
                <w:b/>
                <w:sz w:val="20"/>
              </w:rPr>
              <w:t>al menos el 75% </w:t>
            </w:r>
            <w:r>
              <w:rPr>
                <w:sz w:val="20"/>
              </w:rPr>
              <w:t>dos de tres características</w:t>
              <w:tab/>
              <w:t>de impacto</w:t>
            </w:r>
            <w:r>
              <w:rPr>
                <w:spacing w:val="-3"/>
                <w:sz w:val="20"/>
              </w:rPr>
              <w:t> </w:t>
            </w:r>
            <w:r>
              <w:rPr>
                <w:sz w:val="20"/>
              </w:rPr>
              <w:t>positivo</w:t>
            </w:r>
          </w:p>
        </w:tc>
        <w:tc>
          <w:tcPr>
            <w:tcW w:w="1620"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9"/>
              </w:rPr>
            </w:pPr>
          </w:p>
          <w:p>
            <w:pPr>
              <w:pStyle w:val="TableParagraph"/>
              <w:ind w:left="475"/>
              <w:rPr>
                <w:b/>
                <w:sz w:val="20"/>
              </w:rPr>
            </w:pPr>
            <w:r>
              <w:rPr>
                <w:b/>
                <w:sz w:val="20"/>
              </w:rPr>
              <w:t>Bueno</w:t>
            </w:r>
          </w:p>
        </w:tc>
      </w:tr>
      <w:tr>
        <w:trPr>
          <w:trHeight w:val="2540" w:hRule="exact"/>
        </w:trPr>
        <w:tc>
          <w:tcPr>
            <w:tcW w:w="954" w:type="dxa"/>
            <w:vMerge/>
            <w:tcBorders>
              <w:left w:val="double" w:sz="11" w:space="0" w:color="000000"/>
            </w:tcBorders>
          </w:tcPr>
          <w:p>
            <w:pPr/>
          </w:p>
        </w:tc>
        <w:tc>
          <w:tcPr>
            <w:tcW w:w="1872" w:type="dxa"/>
            <w:vMerge/>
          </w:tcPr>
          <w:p>
            <w:pPr/>
          </w:p>
        </w:tc>
        <w:tc>
          <w:tcPr>
            <w:tcW w:w="1349" w:type="dxa"/>
          </w:tcPr>
          <w:p>
            <w:pPr>
              <w:pStyle w:val="TableParagraph"/>
              <w:spacing w:line="227" w:lineRule="exact"/>
              <w:rPr>
                <w:sz w:val="20"/>
              </w:rPr>
            </w:pPr>
            <w:r>
              <w:rPr>
                <w:sz w:val="20"/>
              </w:rPr>
              <w:t>Económico</w:t>
            </w:r>
          </w:p>
        </w:tc>
        <w:tc>
          <w:tcPr>
            <w:tcW w:w="3103" w:type="dxa"/>
          </w:tcPr>
          <w:p>
            <w:pPr>
              <w:pStyle w:val="TableParagraph"/>
              <w:numPr>
                <w:ilvl w:val="0"/>
                <w:numId w:val="217"/>
              </w:numPr>
              <w:tabs>
                <w:tab w:pos="812" w:val="left" w:leader="none"/>
                <w:tab w:pos="2164" w:val="left" w:leader="none"/>
                <w:tab w:pos="2587" w:val="left" w:leader="none"/>
              </w:tabs>
              <w:spacing w:line="240" w:lineRule="auto" w:before="0" w:after="0"/>
              <w:ind w:left="280" w:right="104" w:hanging="141"/>
              <w:jc w:val="both"/>
              <w:rPr>
                <w:sz w:val="20"/>
              </w:rPr>
            </w:pPr>
            <w:r>
              <w:rPr>
                <w:sz w:val="20"/>
              </w:rPr>
              <w:t>Existen</w:t>
              <w:tab/>
              <w:t>acuerdos intermunicipales</w:t>
              <w:tab/>
              <w:tab/>
              <w:t>para distribuir equitativamente los recursos</w:t>
            </w:r>
            <w:r>
              <w:rPr>
                <w:spacing w:val="-6"/>
                <w:sz w:val="20"/>
              </w:rPr>
              <w:t> </w:t>
            </w:r>
            <w:r>
              <w:rPr>
                <w:sz w:val="20"/>
              </w:rPr>
              <w:t>naturales</w:t>
            </w:r>
          </w:p>
          <w:p>
            <w:pPr>
              <w:pStyle w:val="TableParagraph"/>
              <w:numPr>
                <w:ilvl w:val="0"/>
                <w:numId w:val="217"/>
              </w:numPr>
              <w:tabs>
                <w:tab w:pos="812" w:val="left" w:leader="none"/>
                <w:tab w:pos="2164" w:val="left" w:leader="none"/>
              </w:tabs>
              <w:spacing w:line="240" w:lineRule="auto" w:before="0" w:after="0"/>
              <w:ind w:left="280" w:right="105" w:hanging="141"/>
              <w:jc w:val="both"/>
              <w:rPr>
                <w:sz w:val="20"/>
              </w:rPr>
            </w:pPr>
            <w:r>
              <w:rPr>
                <w:sz w:val="20"/>
              </w:rPr>
              <w:t>Existe</w:t>
              <w:tab/>
              <w:t>acuerdos</w:t>
            </w:r>
            <w:r>
              <w:rPr>
                <w:w w:val="99"/>
                <w:sz w:val="20"/>
              </w:rPr>
              <w:t> </w:t>
            </w:r>
            <w:r>
              <w:rPr>
                <w:sz w:val="20"/>
              </w:rPr>
              <w:t>intermunicipales para cuidar los recursos</w:t>
            </w:r>
            <w:r>
              <w:rPr>
                <w:spacing w:val="-6"/>
                <w:sz w:val="20"/>
              </w:rPr>
              <w:t> </w:t>
            </w:r>
            <w:r>
              <w:rPr>
                <w:sz w:val="20"/>
              </w:rPr>
              <w:t>naturales</w:t>
            </w:r>
          </w:p>
          <w:p>
            <w:pPr>
              <w:pStyle w:val="TableParagraph"/>
              <w:numPr>
                <w:ilvl w:val="0"/>
                <w:numId w:val="217"/>
              </w:numPr>
              <w:tabs>
                <w:tab w:pos="812" w:val="left" w:leader="none"/>
              </w:tabs>
              <w:spacing w:line="240" w:lineRule="auto" w:before="0" w:after="0"/>
              <w:ind w:left="280" w:right="104" w:hanging="141"/>
              <w:jc w:val="both"/>
              <w:rPr>
                <w:sz w:val="20"/>
              </w:rPr>
            </w:pPr>
            <w:r>
              <w:rPr>
                <w:sz w:val="20"/>
              </w:rPr>
              <w:t>Existe coordinación económica entre actores de la CHPH para un crecimiento equilibrado</w:t>
            </w:r>
          </w:p>
        </w:tc>
        <w:tc>
          <w:tcPr>
            <w:tcW w:w="1479" w:type="dxa"/>
            <w:vMerge/>
          </w:tcPr>
          <w:p>
            <w:pPr/>
          </w:p>
        </w:tc>
        <w:tc>
          <w:tcPr>
            <w:tcW w:w="2444" w:type="dxa"/>
            <w:vMerge/>
          </w:tcPr>
          <w:p>
            <w:pPr/>
          </w:p>
        </w:tc>
        <w:tc>
          <w:tcPr>
            <w:tcW w:w="1620" w:type="dxa"/>
            <w:vMerge/>
            <w:tcBorders>
              <w:right w:val="double" w:sz="12" w:space="0" w:color="000000"/>
            </w:tcBorders>
          </w:tcPr>
          <w:p>
            <w:pPr/>
          </w:p>
        </w:tc>
      </w:tr>
      <w:tr>
        <w:trPr>
          <w:trHeight w:val="1851" w:hRule="exact"/>
        </w:trPr>
        <w:tc>
          <w:tcPr>
            <w:tcW w:w="954" w:type="dxa"/>
            <w:vMerge/>
            <w:tcBorders>
              <w:left w:val="double" w:sz="11" w:space="0" w:color="000000"/>
              <w:bottom w:val="single" w:sz="8" w:space="0" w:color="000000"/>
            </w:tcBorders>
          </w:tcPr>
          <w:p>
            <w:pPr/>
          </w:p>
        </w:tc>
        <w:tc>
          <w:tcPr>
            <w:tcW w:w="1872" w:type="dxa"/>
            <w:vMerge/>
            <w:tcBorders>
              <w:bottom w:val="single" w:sz="8" w:space="0" w:color="000000"/>
            </w:tcBorders>
          </w:tcPr>
          <w:p>
            <w:pPr/>
          </w:p>
        </w:tc>
        <w:tc>
          <w:tcPr>
            <w:tcW w:w="1349" w:type="dxa"/>
            <w:tcBorders>
              <w:bottom w:val="single" w:sz="8" w:space="0" w:color="000000"/>
            </w:tcBorders>
          </w:tcPr>
          <w:p>
            <w:pPr>
              <w:pStyle w:val="TableParagraph"/>
              <w:spacing w:line="227" w:lineRule="exact"/>
              <w:rPr>
                <w:sz w:val="20"/>
              </w:rPr>
            </w:pPr>
            <w:r>
              <w:rPr>
                <w:sz w:val="20"/>
              </w:rPr>
              <w:t>Sociopolítico</w:t>
            </w:r>
          </w:p>
        </w:tc>
        <w:tc>
          <w:tcPr>
            <w:tcW w:w="3103" w:type="dxa"/>
            <w:tcBorders>
              <w:bottom w:val="single" w:sz="8" w:space="0" w:color="000000"/>
            </w:tcBorders>
          </w:tcPr>
          <w:p>
            <w:pPr>
              <w:pStyle w:val="TableParagraph"/>
              <w:ind w:left="280" w:right="104" w:hanging="178"/>
              <w:jc w:val="both"/>
              <w:rPr>
                <w:sz w:val="20"/>
              </w:rPr>
            </w:pPr>
            <w:r>
              <w:rPr>
                <w:rFonts w:ascii="Wingdings" w:hAnsi="Wingdings"/>
                <w:sz w:val="20"/>
              </w:rPr>
              <w:t></w:t>
            </w:r>
            <w:r>
              <w:rPr>
                <w:sz w:val="20"/>
              </w:rPr>
              <w:t>Favorece la voluntariedad de los cabildos y de los actores históricos para la interrelación sociopolítica en la región</w:t>
            </w:r>
          </w:p>
          <w:p>
            <w:pPr>
              <w:pStyle w:val="TableParagraph"/>
              <w:ind w:left="280" w:right="104" w:hanging="178"/>
              <w:jc w:val="both"/>
              <w:rPr>
                <w:sz w:val="20"/>
              </w:rPr>
            </w:pPr>
            <w:r>
              <w:rPr>
                <w:rFonts w:ascii="Wingdings" w:hAnsi="Wingdings"/>
                <w:sz w:val="20"/>
              </w:rPr>
              <w:t></w:t>
            </w:r>
            <w:r>
              <w:rPr>
                <w:sz w:val="20"/>
              </w:rPr>
              <w:t>Favorece la organización sociopolítica de los actores de la CHPH para atender problemas comunes</w:t>
            </w:r>
          </w:p>
        </w:tc>
        <w:tc>
          <w:tcPr>
            <w:tcW w:w="1479" w:type="dxa"/>
            <w:vMerge/>
            <w:tcBorders>
              <w:bottom w:val="single" w:sz="8" w:space="0" w:color="000000"/>
            </w:tcBorders>
          </w:tcPr>
          <w:p>
            <w:pPr/>
          </w:p>
        </w:tc>
        <w:tc>
          <w:tcPr>
            <w:tcW w:w="2444" w:type="dxa"/>
            <w:vMerge/>
            <w:tcBorders>
              <w:bottom w:val="single" w:sz="8" w:space="0" w:color="000000"/>
            </w:tcBorders>
          </w:tcPr>
          <w:p>
            <w:pPr/>
          </w:p>
        </w:tc>
        <w:tc>
          <w:tcPr>
            <w:tcW w:w="1620" w:type="dxa"/>
            <w:vMerge/>
            <w:tcBorders>
              <w:bottom w:val="single" w:sz="8" w:space="0" w:color="000000"/>
              <w:right w:val="double" w:sz="12" w:space="0" w:color="000000"/>
            </w:tcBorders>
          </w:tcPr>
          <w:p>
            <w:pPr/>
          </w:p>
        </w:tc>
      </w:tr>
    </w:tbl>
    <w:p>
      <w:pPr>
        <w:spacing w:after="0"/>
        <w:sectPr>
          <w:footerReference w:type="default" r:id="rId444"/>
          <w:pgSz w:w="15840" w:h="12240" w:orient="landscape"/>
          <w:pgMar w:footer="943" w:header="0" w:top="1140" w:bottom="1140" w:left="1200" w:right="1300"/>
          <w:pgNumType w:start="67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2"/>
        <w:gridCol w:w="1349"/>
        <w:gridCol w:w="3103"/>
        <w:gridCol w:w="1479"/>
        <w:gridCol w:w="2444"/>
        <w:gridCol w:w="1620"/>
      </w:tblGrid>
      <w:tr>
        <w:trPr>
          <w:trHeight w:val="1399" w:hRule="exact"/>
        </w:trPr>
        <w:tc>
          <w:tcPr>
            <w:tcW w:w="954" w:type="dxa"/>
            <w:tcBorders>
              <w:left w:val="double" w:sz="11" w:space="0" w:color="000000"/>
            </w:tcBorders>
          </w:tcPr>
          <w:p>
            <w:pPr/>
          </w:p>
        </w:tc>
        <w:tc>
          <w:tcPr>
            <w:tcW w:w="1872" w:type="dxa"/>
          </w:tcPr>
          <w:p>
            <w:pPr/>
          </w:p>
        </w:tc>
        <w:tc>
          <w:tcPr>
            <w:tcW w:w="1349" w:type="dxa"/>
          </w:tcPr>
          <w:p>
            <w:pPr/>
          </w:p>
        </w:tc>
        <w:tc>
          <w:tcPr>
            <w:tcW w:w="3103" w:type="dxa"/>
          </w:tcPr>
          <w:p>
            <w:pPr>
              <w:pStyle w:val="TableParagraph"/>
              <w:spacing w:before="7"/>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numPr>
                <w:ilvl w:val="0"/>
                <w:numId w:val="218"/>
              </w:numPr>
              <w:tabs>
                <w:tab w:pos="336" w:val="left" w:leader="none"/>
              </w:tabs>
              <w:spacing w:line="240" w:lineRule="auto" w:before="0" w:after="0"/>
              <w:ind w:left="280" w:right="105" w:hanging="177"/>
              <w:jc w:val="both"/>
              <w:rPr>
                <w:sz w:val="20"/>
              </w:rPr>
            </w:pPr>
            <w:r>
              <w:rPr>
                <w:sz w:val="20"/>
              </w:rPr>
              <w:t>Favorece la planeación sociopolítica con articulación entre</w:t>
            </w:r>
            <w:r>
              <w:rPr>
                <w:spacing w:val="-5"/>
                <w:sz w:val="20"/>
              </w:rPr>
              <w:t> </w:t>
            </w:r>
            <w:r>
              <w:rPr>
                <w:sz w:val="20"/>
              </w:rPr>
              <w:t>actores</w:t>
            </w:r>
          </w:p>
        </w:tc>
        <w:tc>
          <w:tcPr>
            <w:tcW w:w="1479" w:type="dxa"/>
          </w:tcPr>
          <w:p>
            <w:pPr/>
          </w:p>
        </w:tc>
        <w:tc>
          <w:tcPr>
            <w:tcW w:w="2444" w:type="dxa"/>
          </w:tcPr>
          <w:p>
            <w:pPr/>
          </w:p>
        </w:tc>
        <w:tc>
          <w:tcPr>
            <w:tcW w:w="1620" w:type="dxa"/>
            <w:tcBorders>
              <w:right w:val="double" w:sz="12" w:space="0" w:color="000000"/>
            </w:tcBorders>
          </w:tcPr>
          <w:p>
            <w:pPr>
              <w:pStyle w:val="TableParagraph"/>
              <w:ind w:left="0" w:right="-50"/>
              <w:rPr>
                <w:rFonts w:ascii="Times New Roman"/>
                <w:sz w:val="20"/>
              </w:rPr>
            </w:pPr>
            <w:r>
              <w:rPr>
                <w:rFonts w:ascii="Times New Roman"/>
                <w:sz w:val="20"/>
              </w:rPr>
              <w:pict>
                <v:group style="width:78.6pt;height:69pt;mso-position-horizontal-relative:char;mso-position-vertical-relative:line" coordorigin="0,0" coordsize="1572,1380">
                  <v:shape style="position:absolute;left:0;top:0;width:1572;height:1380" type="#_x0000_t75" stroked="false">
                    <v:imagedata r:id="rId454" o:title=""/>
                  </v:shape>
                </v:group>
              </w:pict>
            </w:r>
            <w:r>
              <w:rPr>
                <w:rFonts w:ascii="Times New Roman"/>
                <w:sz w:val="20"/>
              </w:rPr>
            </w:r>
          </w:p>
        </w:tc>
      </w:tr>
      <w:tr>
        <w:trPr>
          <w:trHeight w:val="3690" w:hRule="exact"/>
        </w:trPr>
        <w:tc>
          <w:tcPr>
            <w:tcW w:w="954" w:type="dxa"/>
            <w:vMerge w:val="restart"/>
            <w:tcBorders>
              <w:left w:val="double" w:sz="11" w:space="0" w:color="000000"/>
            </w:tcBorders>
          </w:tcPr>
          <w:p>
            <w:pPr/>
          </w:p>
        </w:tc>
        <w:tc>
          <w:tcPr>
            <w:tcW w:w="187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349" w:type="dxa"/>
          </w:tcPr>
          <w:p>
            <w:pPr>
              <w:pStyle w:val="TableParagraph"/>
              <w:spacing w:line="227" w:lineRule="exact"/>
              <w:rPr>
                <w:sz w:val="20"/>
              </w:rPr>
            </w:pPr>
            <w:r>
              <w:rPr>
                <w:sz w:val="20"/>
              </w:rPr>
              <w:t>Ambiental</w:t>
            </w:r>
          </w:p>
        </w:tc>
        <w:tc>
          <w:tcPr>
            <w:tcW w:w="3103" w:type="dxa"/>
          </w:tcPr>
          <w:p>
            <w:pPr>
              <w:pStyle w:val="TableParagraph"/>
              <w:numPr>
                <w:ilvl w:val="0"/>
                <w:numId w:val="219"/>
              </w:numPr>
              <w:tabs>
                <w:tab w:pos="812" w:val="left" w:leader="none"/>
                <w:tab w:pos="2075" w:val="left" w:leader="none"/>
              </w:tabs>
              <w:spacing w:line="240" w:lineRule="auto" w:before="0" w:after="0"/>
              <w:ind w:left="280" w:right="105" w:hanging="141"/>
              <w:jc w:val="both"/>
              <w:rPr>
                <w:sz w:val="20"/>
              </w:rPr>
            </w:pPr>
            <w:r>
              <w:rPr>
                <w:sz w:val="20"/>
              </w:rPr>
              <w:t>Existen</w:t>
              <w:tab/>
              <w:t>relaciones</w:t>
            </w:r>
            <w:r>
              <w:rPr>
                <w:w w:val="99"/>
                <w:sz w:val="20"/>
              </w:rPr>
              <w:t> </w:t>
            </w:r>
            <w:r>
              <w:rPr>
                <w:sz w:val="20"/>
              </w:rPr>
              <w:t>intermunicipales para atender el medio ambiente de la CHPH</w:t>
            </w:r>
          </w:p>
          <w:p>
            <w:pPr>
              <w:pStyle w:val="TableParagraph"/>
              <w:numPr>
                <w:ilvl w:val="0"/>
                <w:numId w:val="219"/>
              </w:numPr>
              <w:tabs>
                <w:tab w:pos="812" w:val="left" w:leader="none"/>
              </w:tabs>
              <w:spacing w:line="240" w:lineRule="auto" w:before="0" w:after="0"/>
              <w:ind w:left="280" w:right="104" w:hanging="141"/>
              <w:jc w:val="both"/>
              <w:rPr>
                <w:sz w:val="20"/>
              </w:rPr>
            </w:pPr>
            <w:r>
              <w:rPr>
                <w:sz w:val="20"/>
              </w:rPr>
              <w:t>Los municipios tienen facultades para atender problemas del deterioro ambiental</w:t>
            </w:r>
          </w:p>
          <w:p>
            <w:pPr>
              <w:pStyle w:val="TableParagraph"/>
              <w:numPr>
                <w:ilvl w:val="0"/>
                <w:numId w:val="219"/>
              </w:numPr>
              <w:tabs>
                <w:tab w:pos="812" w:val="left" w:leader="none"/>
              </w:tabs>
              <w:spacing w:line="240" w:lineRule="auto" w:before="0" w:after="0"/>
              <w:ind w:left="280" w:right="105"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219"/>
              </w:numPr>
              <w:tabs>
                <w:tab w:pos="812" w:val="left" w:leader="none"/>
              </w:tabs>
              <w:spacing w:line="240" w:lineRule="auto" w:before="0" w:after="0"/>
              <w:ind w:left="280" w:right="104" w:hanging="141"/>
              <w:jc w:val="both"/>
              <w:rPr>
                <w:sz w:val="20"/>
              </w:rPr>
            </w:pPr>
            <w:r>
              <w:rPr>
                <w:sz w:val="20"/>
              </w:rPr>
              <w:t>Existe coordinación del cabildo con los actores históricos para cuidar el  medio</w:t>
            </w:r>
            <w:r>
              <w:rPr>
                <w:spacing w:val="-5"/>
                <w:sz w:val="20"/>
              </w:rPr>
              <w:t> </w:t>
            </w:r>
            <w:r>
              <w:rPr>
                <w:sz w:val="20"/>
              </w:rPr>
              <w:t>ambiente</w:t>
            </w:r>
          </w:p>
        </w:tc>
        <w:tc>
          <w:tcPr>
            <w:tcW w:w="1479" w:type="dxa"/>
            <w:vMerge w:val="restart"/>
          </w:tcPr>
          <w:p>
            <w:pPr/>
          </w:p>
        </w:tc>
        <w:tc>
          <w:tcPr>
            <w:tcW w:w="2444" w:type="dxa"/>
            <w:vMerge w:val="restart"/>
          </w:tcPr>
          <w:p>
            <w:pPr>
              <w:pStyle w:val="TableParagraph"/>
              <w:tabs>
                <w:tab w:pos="2105" w:val="left" w:leader="none"/>
              </w:tabs>
              <w:spacing w:line="242" w:lineRule="auto"/>
              <w:ind w:right="104"/>
              <w:jc w:val="both"/>
              <w:rPr>
                <w:sz w:val="20"/>
              </w:rPr>
            </w:pPr>
            <w:r>
              <w:rPr>
                <w:sz w:val="20"/>
              </w:rPr>
              <w:t>Debe reunir </w:t>
            </w:r>
            <w:r>
              <w:rPr>
                <w:b/>
                <w:sz w:val="20"/>
              </w:rPr>
              <w:t>al menos el 50% una de tres </w:t>
            </w:r>
            <w:r>
              <w:rPr>
                <w:sz w:val="20"/>
              </w:rPr>
              <w:t>características</w:t>
              <w:tab/>
              <w:t>de impacto</w:t>
            </w:r>
            <w:r>
              <w:rPr>
                <w:spacing w:val="-3"/>
                <w:sz w:val="20"/>
              </w:rPr>
              <w:t> </w:t>
            </w:r>
            <w:r>
              <w:rPr>
                <w:sz w:val="20"/>
              </w:rPr>
              <w:t>positivo</w:t>
            </w:r>
          </w:p>
        </w:tc>
        <w:tc>
          <w:tcPr>
            <w:tcW w:w="1620"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412"/>
              <w:rPr>
                <w:b/>
                <w:sz w:val="20"/>
              </w:rPr>
            </w:pPr>
            <w:r>
              <w:rPr>
                <w:b/>
                <w:sz w:val="20"/>
              </w:rPr>
              <w:t>Regular</w:t>
            </w:r>
          </w:p>
        </w:tc>
      </w:tr>
      <w:tr>
        <w:trPr>
          <w:trHeight w:val="2552" w:hRule="exact"/>
        </w:trPr>
        <w:tc>
          <w:tcPr>
            <w:tcW w:w="954" w:type="dxa"/>
            <w:vMerge/>
            <w:tcBorders>
              <w:left w:val="double" w:sz="11" w:space="0" w:color="000000"/>
              <w:bottom w:val="single" w:sz="8" w:space="0" w:color="000000"/>
            </w:tcBorders>
          </w:tcPr>
          <w:p>
            <w:pPr/>
          </w:p>
        </w:tc>
        <w:tc>
          <w:tcPr>
            <w:tcW w:w="1872" w:type="dxa"/>
            <w:vMerge/>
            <w:tcBorders>
              <w:bottom w:val="single" w:sz="8" w:space="0" w:color="000000"/>
            </w:tcBorders>
          </w:tcPr>
          <w:p>
            <w:pPr/>
          </w:p>
        </w:tc>
        <w:tc>
          <w:tcPr>
            <w:tcW w:w="1349" w:type="dxa"/>
            <w:tcBorders>
              <w:bottom w:val="single" w:sz="8" w:space="0" w:color="000000"/>
            </w:tcBorders>
          </w:tcPr>
          <w:p>
            <w:pPr>
              <w:pStyle w:val="TableParagraph"/>
              <w:spacing w:line="230" w:lineRule="exact"/>
              <w:rPr>
                <w:sz w:val="20"/>
              </w:rPr>
            </w:pPr>
            <w:r>
              <w:rPr>
                <w:sz w:val="20"/>
              </w:rPr>
              <w:t>Económico</w:t>
            </w:r>
          </w:p>
        </w:tc>
        <w:tc>
          <w:tcPr>
            <w:tcW w:w="3103" w:type="dxa"/>
            <w:tcBorders>
              <w:bottom w:val="single" w:sz="8" w:space="0" w:color="000000"/>
            </w:tcBorders>
          </w:tcPr>
          <w:p>
            <w:pPr>
              <w:pStyle w:val="TableParagraph"/>
              <w:numPr>
                <w:ilvl w:val="0"/>
                <w:numId w:val="220"/>
              </w:numPr>
              <w:tabs>
                <w:tab w:pos="812" w:val="left" w:leader="none"/>
                <w:tab w:pos="2164" w:val="left" w:leader="none"/>
                <w:tab w:pos="2587" w:val="left" w:leader="none"/>
              </w:tabs>
              <w:spacing w:line="240" w:lineRule="auto" w:before="0" w:after="0"/>
              <w:ind w:left="280" w:right="105" w:hanging="141"/>
              <w:jc w:val="both"/>
              <w:rPr>
                <w:sz w:val="20"/>
              </w:rPr>
            </w:pPr>
            <w:r>
              <w:rPr>
                <w:sz w:val="20"/>
              </w:rPr>
              <w:t>Existen</w:t>
              <w:tab/>
              <w:t>acuerdos</w:t>
            </w:r>
            <w:r>
              <w:rPr>
                <w:w w:val="99"/>
                <w:sz w:val="20"/>
              </w:rPr>
              <w:t> </w:t>
            </w:r>
            <w:r>
              <w:rPr>
                <w:sz w:val="20"/>
              </w:rPr>
              <w:t>intermunicipales</w:t>
              <w:tab/>
              <w:tab/>
            </w:r>
            <w:r>
              <w:rPr>
                <w:w w:val="95"/>
                <w:sz w:val="20"/>
              </w:rPr>
              <w:t>para </w:t>
            </w:r>
            <w:r>
              <w:rPr>
                <w:sz w:val="20"/>
              </w:rPr>
              <w:t>distribuir equitativamente los recursos</w:t>
            </w:r>
            <w:r>
              <w:rPr>
                <w:spacing w:val="-6"/>
                <w:sz w:val="20"/>
              </w:rPr>
              <w:t> </w:t>
            </w:r>
            <w:r>
              <w:rPr>
                <w:sz w:val="20"/>
              </w:rPr>
              <w:t>naturales</w:t>
            </w:r>
          </w:p>
          <w:p>
            <w:pPr>
              <w:pStyle w:val="TableParagraph"/>
              <w:numPr>
                <w:ilvl w:val="0"/>
                <w:numId w:val="220"/>
              </w:numPr>
              <w:tabs>
                <w:tab w:pos="812" w:val="left" w:leader="none"/>
                <w:tab w:pos="2164" w:val="left" w:leader="none"/>
              </w:tabs>
              <w:spacing w:line="240" w:lineRule="auto" w:before="0" w:after="0"/>
              <w:ind w:left="280" w:right="105" w:hanging="141"/>
              <w:jc w:val="both"/>
              <w:rPr>
                <w:sz w:val="20"/>
              </w:rPr>
            </w:pPr>
            <w:r>
              <w:rPr>
                <w:sz w:val="20"/>
              </w:rPr>
              <w:t>Existe</w:t>
              <w:tab/>
              <w:t>acuerdos</w:t>
            </w:r>
            <w:r>
              <w:rPr>
                <w:w w:val="99"/>
                <w:sz w:val="20"/>
              </w:rPr>
              <w:t> </w:t>
            </w:r>
            <w:r>
              <w:rPr>
                <w:sz w:val="20"/>
              </w:rPr>
              <w:t>intermunicipales para cuidar los recursos</w:t>
            </w:r>
            <w:r>
              <w:rPr>
                <w:spacing w:val="-6"/>
                <w:sz w:val="20"/>
              </w:rPr>
              <w:t> </w:t>
            </w:r>
            <w:r>
              <w:rPr>
                <w:sz w:val="20"/>
              </w:rPr>
              <w:t>naturales</w:t>
            </w:r>
          </w:p>
          <w:p>
            <w:pPr>
              <w:pStyle w:val="TableParagraph"/>
              <w:numPr>
                <w:ilvl w:val="0"/>
                <w:numId w:val="220"/>
              </w:numPr>
              <w:tabs>
                <w:tab w:pos="812" w:val="left" w:leader="none"/>
              </w:tabs>
              <w:spacing w:line="240" w:lineRule="auto" w:before="0" w:after="0"/>
              <w:ind w:left="280" w:right="104" w:hanging="141"/>
              <w:jc w:val="both"/>
              <w:rPr>
                <w:sz w:val="20"/>
              </w:rPr>
            </w:pPr>
            <w:r>
              <w:rPr>
                <w:sz w:val="20"/>
              </w:rPr>
              <w:t>Existe coordinación económica entre actores de la CHPH para un crecimiento equilibrado</w:t>
            </w:r>
          </w:p>
        </w:tc>
        <w:tc>
          <w:tcPr>
            <w:tcW w:w="1479" w:type="dxa"/>
            <w:vMerge/>
            <w:tcBorders>
              <w:bottom w:val="single" w:sz="8" w:space="0" w:color="000000"/>
            </w:tcBorders>
          </w:tcPr>
          <w:p>
            <w:pPr/>
          </w:p>
        </w:tc>
        <w:tc>
          <w:tcPr>
            <w:tcW w:w="2444" w:type="dxa"/>
            <w:vMerge/>
            <w:tcBorders>
              <w:bottom w:val="single" w:sz="8" w:space="0" w:color="000000"/>
            </w:tcBorders>
          </w:tcPr>
          <w:p>
            <w:pPr/>
          </w:p>
        </w:tc>
        <w:tc>
          <w:tcPr>
            <w:tcW w:w="1620" w:type="dxa"/>
            <w:vMerge/>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2"/>
        <w:gridCol w:w="1349"/>
        <w:gridCol w:w="3103"/>
        <w:gridCol w:w="1479"/>
        <w:gridCol w:w="1572"/>
        <w:gridCol w:w="485"/>
        <w:gridCol w:w="387"/>
        <w:gridCol w:w="1620"/>
      </w:tblGrid>
      <w:tr>
        <w:trPr>
          <w:trHeight w:val="3241" w:hRule="exact"/>
        </w:trPr>
        <w:tc>
          <w:tcPr>
            <w:tcW w:w="954" w:type="dxa"/>
            <w:tcBorders>
              <w:left w:val="double" w:sz="11" w:space="0" w:color="000000"/>
            </w:tcBorders>
          </w:tcPr>
          <w:p>
            <w:pPr/>
          </w:p>
        </w:tc>
        <w:tc>
          <w:tcPr>
            <w:tcW w:w="1872" w:type="dxa"/>
          </w:tcPr>
          <w:p>
            <w:pPr/>
          </w:p>
        </w:tc>
        <w:tc>
          <w:tcPr>
            <w:tcW w:w="1349" w:type="dxa"/>
          </w:tcPr>
          <w:p>
            <w:pPr>
              <w:pStyle w:val="TableParagraph"/>
              <w:spacing w:before="7"/>
              <w:rPr>
                <w:sz w:val="20"/>
              </w:rPr>
            </w:pPr>
            <w:r>
              <w:rPr>
                <w:sz w:val="20"/>
              </w:rPr>
              <w:t>Sociopolítico</w:t>
            </w:r>
          </w:p>
        </w:tc>
        <w:tc>
          <w:tcPr>
            <w:tcW w:w="3103" w:type="dxa"/>
          </w:tcPr>
          <w:p>
            <w:pPr>
              <w:pStyle w:val="TableParagraph"/>
              <w:spacing w:before="7"/>
              <w:ind w:left="280" w:right="104" w:hanging="178"/>
              <w:jc w:val="both"/>
              <w:rPr>
                <w:sz w:val="20"/>
              </w:rPr>
            </w:pPr>
            <w:r>
              <w:rPr>
                <w:rFonts w:ascii="Wingdings" w:hAnsi="Wingdings"/>
                <w:sz w:val="20"/>
              </w:rPr>
              <w:t></w:t>
            </w:r>
            <w:r>
              <w:rPr>
                <w:sz w:val="20"/>
              </w:rPr>
              <w:t>Favorece la voluntariedad de los cabildos y de los actores históricos para la interrelación sociopolítica en la región</w:t>
            </w:r>
          </w:p>
          <w:p>
            <w:pPr>
              <w:pStyle w:val="TableParagraph"/>
              <w:ind w:left="280" w:right="104" w:hanging="178"/>
              <w:jc w:val="both"/>
              <w:rPr>
                <w:sz w:val="20"/>
              </w:rPr>
            </w:pPr>
            <w:r>
              <w:rPr>
                <w:rFonts w:ascii="Wingdings" w:hAnsi="Wingdings"/>
                <w:sz w:val="20"/>
              </w:rPr>
              <w:t></w:t>
            </w:r>
            <w:r>
              <w:rPr>
                <w:sz w:val="20"/>
              </w:rPr>
              <w:t>Favorece la organización sociopolítica de los actores de la CHPH para atender problemas comunes</w:t>
            </w:r>
          </w:p>
          <w:p>
            <w:pPr>
              <w:pStyle w:val="TableParagraph"/>
              <w:rPr>
                <w:sz w:val="20"/>
              </w:rPr>
            </w:pPr>
            <w:r>
              <w:rPr>
                <w:rFonts w:ascii="Wingdings" w:hAnsi="Wingdings"/>
                <w:sz w:val="20"/>
              </w:rPr>
              <w:t></w:t>
            </w:r>
            <w:r>
              <w:rPr>
                <w:sz w:val="20"/>
              </w:rPr>
              <w:t>Favorece la GIRH</w:t>
            </w:r>
          </w:p>
          <w:p>
            <w:pPr>
              <w:pStyle w:val="TableParagraph"/>
              <w:spacing w:line="229" w:lineRule="exact" w:before="1"/>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numPr>
                <w:ilvl w:val="0"/>
                <w:numId w:val="221"/>
              </w:numPr>
              <w:tabs>
                <w:tab w:pos="336" w:val="left" w:leader="none"/>
              </w:tabs>
              <w:spacing w:line="240" w:lineRule="auto" w:before="0" w:after="0"/>
              <w:ind w:left="280" w:right="105" w:hanging="177"/>
              <w:jc w:val="both"/>
              <w:rPr>
                <w:sz w:val="20"/>
              </w:rPr>
            </w:pPr>
            <w:r>
              <w:rPr>
                <w:sz w:val="20"/>
              </w:rPr>
              <w:t>Favorece la planeación sociopolítica con articulación entre</w:t>
            </w:r>
            <w:r>
              <w:rPr>
                <w:spacing w:val="-5"/>
                <w:sz w:val="20"/>
              </w:rPr>
              <w:t> </w:t>
            </w:r>
            <w:r>
              <w:rPr>
                <w:sz w:val="20"/>
              </w:rPr>
              <w:t>actores</w:t>
            </w:r>
          </w:p>
        </w:tc>
        <w:tc>
          <w:tcPr>
            <w:tcW w:w="1479" w:type="dxa"/>
          </w:tcPr>
          <w:p>
            <w:pPr/>
          </w:p>
        </w:tc>
        <w:tc>
          <w:tcPr>
            <w:tcW w:w="2444" w:type="dxa"/>
            <w:gridSpan w:val="3"/>
          </w:tcPr>
          <w:p>
            <w:pPr/>
          </w:p>
        </w:tc>
        <w:tc>
          <w:tcPr>
            <w:tcW w:w="1620" w:type="dxa"/>
            <w:tcBorders>
              <w:right w:val="double" w:sz="12" w:space="0" w:color="000000"/>
            </w:tcBorders>
            <w:shd w:val="clear" w:color="auto" w:fill="FFFF00"/>
          </w:tcPr>
          <w:p>
            <w:pPr/>
          </w:p>
        </w:tc>
      </w:tr>
      <w:tr>
        <w:trPr>
          <w:trHeight w:val="242" w:hRule="exact"/>
        </w:trPr>
        <w:tc>
          <w:tcPr>
            <w:tcW w:w="954" w:type="dxa"/>
            <w:tcBorders>
              <w:left w:val="double" w:sz="11" w:space="0" w:color="000000"/>
              <w:bottom w:val="nil"/>
            </w:tcBorders>
          </w:tcPr>
          <w:p>
            <w:pPr/>
          </w:p>
        </w:tc>
        <w:tc>
          <w:tcPr>
            <w:tcW w:w="1872" w:type="dxa"/>
            <w:tcBorders>
              <w:bottom w:val="nil"/>
            </w:tcBorders>
          </w:tcPr>
          <w:p>
            <w:pPr/>
          </w:p>
        </w:tc>
        <w:tc>
          <w:tcPr>
            <w:tcW w:w="1349" w:type="dxa"/>
            <w:tcBorders>
              <w:bottom w:val="nil"/>
            </w:tcBorders>
          </w:tcPr>
          <w:p>
            <w:pPr>
              <w:pStyle w:val="TableParagraph"/>
              <w:spacing w:line="227" w:lineRule="exact"/>
              <w:rPr>
                <w:sz w:val="20"/>
              </w:rPr>
            </w:pPr>
            <w:r>
              <w:rPr>
                <w:sz w:val="20"/>
              </w:rPr>
              <w:t>Ambiental</w:t>
            </w:r>
          </w:p>
        </w:tc>
        <w:tc>
          <w:tcPr>
            <w:tcW w:w="3103" w:type="dxa"/>
            <w:vMerge w:val="restart"/>
          </w:tcPr>
          <w:p>
            <w:pPr>
              <w:pStyle w:val="TableParagraph"/>
              <w:numPr>
                <w:ilvl w:val="0"/>
                <w:numId w:val="222"/>
              </w:numPr>
              <w:tabs>
                <w:tab w:pos="812" w:val="left" w:leader="none"/>
                <w:tab w:pos="2075" w:val="left" w:leader="none"/>
              </w:tabs>
              <w:spacing w:line="240" w:lineRule="auto" w:before="0" w:after="0"/>
              <w:ind w:left="280" w:right="105" w:hanging="141"/>
              <w:jc w:val="both"/>
              <w:rPr>
                <w:sz w:val="20"/>
              </w:rPr>
            </w:pPr>
            <w:r>
              <w:rPr>
                <w:sz w:val="20"/>
              </w:rPr>
              <w:t>Existen</w:t>
              <w:tab/>
              <w:t>relaciones</w:t>
            </w:r>
            <w:r>
              <w:rPr>
                <w:w w:val="99"/>
                <w:sz w:val="20"/>
              </w:rPr>
              <w:t> </w:t>
            </w:r>
            <w:r>
              <w:rPr>
                <w:sz w:val="20"/>
              </w:rPr>
              <w:t>intermunicipales para atender el medio ambiente de la CHPH</w:t>
            </w:r>
          </w:p>
          <w:p>
            <w:pPr>
              <w:pStyle w:val="TableParagraph"/>
              <w:numPr>
                <w:ilvl w:val="0"/>
                <w:numId w:val="222"/>
              </w:numPr>
              <w:tabs>
                <w:tab w:pos="812" w:val="left" w:leader="none"/>
              </w:tabs>
              <w:spacing w:line="240" w:lineRule="auto" w:before="0" w:after="0"/>
              <w:ind w:left="280" w:right="104" w:hanging="141"/>
              <w:jc w:val="both"/>
              <w:rPr>
                <w:sz w:val="20"/>
              </w:rPr>
            </w:pPr>
            <w:r>
              <w:rPr>
                <w:sz w:val="20"/>
              </w:rPr>
              <w:t>Los municipios tienen facultades para atender problemas del deterioro ambiental</w:t>
            </w:r>
          </w:p>
          <w:p>
            <w:pPr>
              <w:pStyle w:val="TableParagraph"/>
              <w:numPr>
                <w:ilvl w:val="0"/>
                <w:numId w:val="222"/>
              </w:numPr>
              <w:tabs>
                <w:tab w:pos="812" w:val="left" w:leader="none"/>
              </w:tabs>
              <w:spacing w:line="240" w:lineRule="auto" w:before="0" w:after="0"/>
              <w:ind w:left="280" w:right="105"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222"/>
              </w:numPr>
              <w:tabs>
                <w:tab w:pos="812" w:val="left" w:leader="none"/>
              </w:tabs>
              <w:spacing w:line="240" w:lineRule="auto" w:before="0" w:after="0"/>
              <w:ind w:left="280" w:right="103" w:hanging="141"/>
              <w:jc w:val="both"/>
              <w:rPr>
                <w:sz w:val="20"/>
              </w:rPr>
            </w:pPr>
            <w:r>
              <w:rPr>
                <w:sz w:val="20"/>
              </w:rPr>
              <w:t>Existe coordinación del cabildo con los actores históricos para cuidar el  medio</w:t>
            </w:r>
            <w:r>
              <w:rPr>
                <w:spacing w:val="-5"/>
                <w:sz w:val="20"/>
              </w:rPr>
              <w:t> </w:t>
            </w:r>
            <w:r>
              <w:rPr>
                <w:sz w:val="20"/>
              </w:rPr>
              <w:t>ambiente</w:t>
            </w:r>
          </w:p>
        </w:tc>
        <w:tc>
          <w:tcPr>
            <w:tcW w:w="1479" w:type="dxa"/>
            <w:tcBorders>
              <w:bottom w:val="nil"/>
            </w:tcBorders>
          </w:tcPr>
          <w:p>
            <w:pPr/>
          </w:p>
        </w:tc>
        <w:tc>
          <w:tcPr>
            <w:tcW w:w="1572" w:type="dxa"/>
            <w:tcBorders>
              <w:bottom w:val="nil"/>
              <w:right w:val="nil"/>
            </w:tcBorders>
          </w:tcPr>
          <w:p>
            <w:pPr>
              <w:pStyle w:val="TableParagraph"/>
              <w:spacing w:line="227" w:lineRule="exact"/>
              <w:rPr>
                <w:sz w:val="20"/>
              </w:rPr>
            </w:pPr>
            <w:r>
              <w:rPr>
                <w:sz w:val="20"/>
              </w:rPr>
              <w:t>No  reúne  ni el</w:t>
            </w:r>
          </w:p>
        </w:tc>
        <w:tc>
          <w:tcPr>
            <w:tcW w:w="485" w:type="dxa"/>
            <w:tcBorders>
              <w:left w:val="nil"/>
              <w:bottom w:val="nil"/>
              <w:right w:val="nil"/>
            </w:tcBorders>
          </w:tcPr>
          <w:p>
            <w:pPr>
              <w:pStyle w:val="TableParagraph"/>
              <w:spacing w:line="227" w:lineRule="exact"/>
              <w:ind w:left="32"/>
              <w:rPr>
                <w:sz w:val="20"/>
              </w:rPr>
            </w:pPr>
            <w:r>
              <w:rPr>
                <w:sz w:val="20"/>
              </w:rPr>
              <w:t>50%</w:t>
            </w:r>
          </w:p>
        </w:tc>
        <w:tc>
          <w:tcPr>
            <w:tcW w:w="387" w:type="dxa"/>
            <w:tcBorders>
              <w:left w:val="nil"/>
              <w:bottom w:val="nil"/>
            </w:tcBorders>
          </w:tcPr>
          <w:p>
            <w:pPr>
              <w:pStyle w:val="TableParagraph"/>
              <w:spacing w:line="227" w:lineRule="exact"/>
              <w:ind w:left="52"/>
              <w:rPr>
                <w:sz w:val="20"/>
              </w:rPr>
            </w:pPr>
            <w:r>
              <w:rPr>
                <w:sz w:val="20"/>
              </w:rPr>
              <w:t>en</w:t>
            </w:r>
          </w:p>
        </w:tc>
        <w:tc>
          <w:tcPr>
            <w:tcW w:w="1620" w:type="dxa"/>
            <w:tcBorders>
              <w:bottom w:val="nil"/>
              <w:right w:val="double" w:sz="12" w:space="0" w:color="000000"/>
            </w:tcBorders>
            <w:shd w:val="clear" w:color="auto" w:fill="FF0000"/>
          </w:tcPr>
          <w:p>
            <w:pPr/>
          </w:p>
        </w:tc>
      </w:tr>
      <w:tr>
        <w:trPr>
          <w:trHeight w:val="242" w:hRule="exact"/>
        </w:trPr>
        <w:tc>
          <w:tcPr>
            <w:tcW w:w="954" w:type="dxa"/>
            <w:tcBorders>
              <w:top w:val="nil"/>
              <w:left w:val="double" w:sz="11" w:space="0" w:color="000000"/>
              <w:bottom w:val="nil"/>
            </w:tcBorders>
          </w:tcPr>
          <w:p>
            <w:pPr>
              <w:pStyle w:val="TableParagraph"/>
              <w:spacing w:before="12"/>
              <w:ind w:left="209" w:right="212"/>
              <w:jc w:val="center"/>
              <w:rPr>
                <w:sz w:val="20"/>
              </w:rPr>
            </w:pPr>
            <w:r>
              <w:rPr>
                <w:sz w:val="20"/>
              </w:rPr>
              <w:t>1400</w:t>
            </w:r>
          </w:p>
        </w:tc>
        <w:tc>
          <w:tcPr>
            <w:tcW w:w="1872" w:type="dxa"/>
            <w:tcBorders>
              <w:top w:val="nil"/>
              <w:bottom w:val="nil"/>
            </w:tcBorders>
          </w:tcPr>
          <w:p>
            <w:pPr/>
          </w:p>
        </w:tc>
        <w:tc>
          <w:tcPr>
            <w:tcW w:w="1349" w:type="dxa"/>
            <w:tcBorders>
              <w:top w:val="nil"/>
              <w:bottom w:val="nil"/>
            </w:tcBorders>
          </w:tcPr>
          <w:p>
            <w:pPr/>
          </w:p>
        </w:tc>
        <w:tc>
          <w:tcPr>
            <w:tcW w:w="3103" w:type="dxa"/>
            <w:vMerge/>
          </w:tcPr>
          <w:p>
            <w:pPr/>
          </w:p>
        </w:tc>
        <w:tc>
          <w:tcPr>
            <w:tcW w:w="1479" w:type="dxa"/>
            <w:tcBorders>
              <w:top w:val="nil"/>
              <w:bottom w:val="nil"/>
            </w:tcBorders>
          </w:tcPr>
          <w:p>
            <w:pPr/>
          </w:p>
        </w:tc>
        <w:tc>
          <w:tcPr>
            <w:tcW w:w="1572" w:type="dxa"/>
            <w:tcBorders>
              <w:top w:val="nil"/>
              <w:bottom w:val="nil"/>
              <w:right w:val="nil"/>
            </w:tcBorders>
          </w:tcPr>
          <w:p>
            <w:pPr>
              <w:pStyle w:val="TableParagraph"/>
              <w:tabs>
                <w:tab w:pos="1130" w:val="left" w:leader="none"/>
              </w:tabs>
              <w:spacing w:line="218" w:lineRule="exact"/>
              <w:rPr>
                <w:sz w:val="20"/>
              </w:rPr>
            </w:pPr>
            <w:r>
              <w:rPr>
                <w:b/>
                <w:sz w:val="20"/>
              </w:rPr>
              <w:t>ninguna</w:t>
              <w:tab/>
            </w:r>
            <w:r>
              <w:rPr>
                <w:sz w:val="20"/>
              </w:rPr>
              <w:t>de</w:t>
            </w:r>
          </w:p>
        </w:tc>
        <w:tc>
          <w:tcPr>
            <w:tcW w:w="485" w:type="dxa"/>
            <w:tcBorders>
              <w:top w:val="nil"/>
              <w:left w:val="nil"/>
              <w:bottom w:val="nil"/>
              <w:right w:val="nil"/>
            </w:tcBorders>
          </w:tcPr>
          <w:p>
            <w:pPr>
              <w:pStyle w:val="TableParagraph"/>
              <w:spacing w:line="218" w:lineRule="exact"/>
              <w:ind w:left="35"/>
              <w:rPr>
                <w:sz w:val="20"/>
              </w:rPr>
            </w:pPr>
            <w:r>
              <w:rPr>
                <w:sz w:val="20"/>
              </w:rPr>
              <w:t>las</w:t>
            </w:r>
          </w:p>
        </w:tc>
        <w:tc>
          <w:tcPr>
            <w:tcW w:w="387" w:type="dxa"/>
            <w:tcBorders>
              <w:top w:val="nil"/>
              <w:left w:val="nil"/>
              <w:bottom w:val="nil"/>
            </w:tcBorders>
          </w:tcPr>
          <w:p>
            <w:pPr>
              <w:pStyle w:val="TableParagraph"/>
              <w:spacing w:line="218" w:lineRule="exact"/>
              <w:ind w:left="54"/>
              <w:rPr>
                <w:sz w:val="20"/>
              </w:rPr>
            </w:pPr>
            <w:r>
              <w:rPr>
                <w:sz w:val="20"/>
              </w:rPr>
              <w:t>de</w:t>
            </w:r>
          </w:p>
        </w:tc>
        <w:tc>
          <w:tcPr>
            <w:tcW w:w="1620" w:type="dxa"/>
            <w:tcBorders>
              <w:top w:val="nil"/>
              <w:bottom w:val="nil"/>
              <w:right w:val="double" w:sz="12" w:space="0" w:color="000000"/>
            </w:tcBorders>
            <w:shd w:val="clear" w:color="auto" w:fill="FF0000"/>
          </w:tcPr>
          <w:p>
            <w:pPr/>
          </w:p>
        </w:tc>
      </w:tr>
      <w:tr>
        <w:trPr>
          <w:trHeight w:val="230" w:hRule="exact"/>
        </w:trPr>
        <w:tc>
          <w:tcPr>
            <w:tcW w:w="954" w:type="dxa"/>
            <w:tcBorders>
              <w:top w:val="nil"/>
              <w:left w:val="double" w:sz="11" w:space="0" w:color="000000"/>
              <w:bottom w:val="nil"/>
            </w:tcBorders>
          </w:tcPr>
          <w:p>
            <w:pPr/>
          </w:p>
        </w:tc>
        <w:tc>
          <w:tcPr>
            <w:tcW w:w="1872" w:type="dxa"/>
            <w:tcBorders>
              <w:top w:val="nil"/>
              <w:bottom w:val="nil"/>
            </w:tcBorders>
          </w:tcPr>
          <w:p>
            <w:pPr/>
          </w:p>
        </w:tc>
        <w:tc>
          <w:tcPr>
            <w:tcW w:w="1349" w:type="dxa"/>
            <w:tcBorders>
              <w:top w:val="nil"/>
              <w:bottom w:val="nil"/>
            </w:tcBorders>
          </w:tcPr>
          <w:p>
            <w:pPr/>
          </w:p>
        </w:tc>
        <w:tc>
          <w:tcPr>
            <w:tcW w:w="3103" w:type="dxa"/>
            <w:vMerge/>
          </w:tcPr>
          <w:p>
            <w:pPr/>
          </w:p>
        </w:tc>
        <w:tc>
          <w:tcPr>
            <w:tcW w:w="1479" w:type="dxa"/>
            <w:tcBorders>
              <w:top w:val="nil"/>
              <w:bottom w:val="nil"/>
            </w:tcBorders>
          </w:tcPr>
          <w:p>
            <w:pPr/>
          </w:p>
        </w:tc>
        <w:tc>
          <w:tcPr>
            <w:tcW w:w="1572" w:type="dxa"/>
            <w:tcBorders>
              <w:top w:val="nil"/>
              <w:bottom w:val="nil"/>
              <w:right w:val="nil"/>
            </w:tcBorders>
          </w:tcPr>
          <w:p>
            <w:pPr>
              <w:pStyle w:val="TableParagraph"/>
              <w:spacing w:line="209" w:lineRule="exact"/>
              <w:rPr>
                <w:sz w:val="20"/>
              </w:rPr>
            </w:pPr>
            <w:r>
              <w:rPr>
                <w:sz w:val="20"/>
              </w:rPr>
              <w:t>impacto positivo</w:t>
            </w:r>
          </w:p>
        </w:tc>
        <w:tc>
          <w:tcPr>
            <w:tcW w:w="485" w:type="dxa"/>
            <w:tcBorders>
              <w:top w:val="nil"/>
              <w:left w:val="nil"/>
              <w:bottom w:val="nil"/>
              <w:right w:val="nil"/>
            </w:tcBorders>
          </w:tcPr>
          <w:p>
            <w:pPr/>
          </w:p>
        </w:tc>
        <w:tc>
          <w:tcPr>
            <w:tcW w:w="387" w:type="dxa"/>
            <w:tcBorders>
              <w:top w:val="nil"/>
              <w:left w:val="nil"/>
              <w:bottom w:val="nil"/>
            </w:tcBorders>
          </w:tcPr>
          <w:p>
            <w:pPr/>
          </w:p>
        </w:tc>
        <w:tc>
          <w:tcPr>
            <w:tcW w:w="1620" w:type="dxa"/>
            <w:tcBorders>
              <w:top w:val="nil"/>
              <w:bottom w:val="nil"/>
              <w:right w:val="double" w:sz="12" w:space="0" w:color="000000"/>
            </w:tcBorders>
            <w:shd w:val="clear" w:color="auto" w:fill="FF0000"/>
          </w:tcPr>
          <w:p>
            <w:pPr/>
          </w:p>
        </w:tc>
      </w:tr>
      <w:tr>
        <w:trPr>
          <w:trHeight w:val="356" w:hRule="exact"/>
        </w:trPr>
        <w:tc>
          <w:tcPr>
            <w:tcW w:w="954" w:type="dxa"/>
            <w:tcBorders>
              <w:top w:val="nil"/>
              <w:left w:val="double" w:sz="11" w:space="0" w:color="000000"/>
              <w:bottom w:val="nil"/>
            </w:tcBorders>
          </w:tcPr>
          <w:p>
            <w:pPr>
              <w:pStyle w:val="TableParagraph"/>
              <w:ind w:left="209" w:right="212"/>
              <w:jc w:val="center"/>
              <w:rPr>
                <w:sz w:val="20"/>
              </w:rPr>
            </w:pPr>
            <w:r>
              <w:rPr>
                <w:sz w:val="20"/>
              </w:rPr>
              <w:t>1519</w:t>
            </w:r>
          </w:p>
        </w:tc>
        <w:tc>
          <w:tcPr>
            <w:tcW w:w="1872" w:type="dxa"/>
            <w:tcBorders>
              <w:top w:val="nil"/>
              <w:bottom w:val="nil"/>
            </w:tcBorders>
          </w:tcPr>
          <w:p>
            <w:pPr/>
          </w:p>
        </w:tc>
        <w:tc>
          <w:tcPr>
            <w:tcW w:w="1349" w:type="dxa"/>
            <w:tcBorders>
              <w:top w:val="nil"/>
              <w:bottom w:val="nil"/>
            </w:tcBorders>
          </w:tcPr>
          <w:p>
            <w:pPr/>
          </w:p>
        </w:tc>
        <w:tc>
          <w:tcPr>
            <w:tcW w:w="3103" w:type="dxa"/>
            <w:vMerge/>
          </w:tcPr>
          <w:p>
            <w:pPr/>
          </w:p>
        </w:tc>
        <w:tc>
          <w:tcPr>
            <w:tcW w:w="1479" w:type="dxa"/>
            <w:tcBorders>
              <w:top w:val="nil"/>
              <w:bottom w:val="nil"/>
            </w:tcBorders>
          </w:tcPr>
          <w:p>
            <w:pPr/>
          </w:p>
        </w:tc>
        <w:tc>
          <w:tcPr>
            <w:tcW w:w="1572" w:type="dxa"/>
            <w:tcBorders>
              <w:top w:val="nil"/>
              <w:bottom w:val="nil"/>
              <w:right w:val="nil"/>
            </w:tcBorders>
          </w:tcPr>
          <w:p>
            <w:pPr/>
          </w:p>
        </w:tc>
        <w:tc>
          <w:tcPr>
            <w:tcW w:w="485" w:type="dxa"/>
            <w:tcBorders>
              <w:top w:val="nil"/>
              <w:left w:val="nil"/>
              <w:bottom w:val="nil"/>
              <w:right w:val="nil"/>
            </w:tcBorders>
          </w:tcPr>
          <w:p>
            <w:pPr/>
          </w:p>
        </w:tc>
        <w:tc>
          <w:tcPr>
            <w:tcW w:w="387" w:type="dxa"/>
            <w:tcBorders>
              <w:top w:val="nil"/>
              <w:left w:val="nil"/>
              <w:bottom w:val="nil"/>
            </w:tcBorders>
          </w:tcPr>
          <w:p>
            <w:pPr/>
          </w:p>
        </w:tc>
        <w:tc>
          <w:tcPr>
            <w:tcW w:w="1620" w:type="dxa"/>
            <w:tcBorders>
              <w:top w:val="nil"/>
              <w:bottom w:val="nil"/>
              <w:right w:val="double" w:sz="12" w:space="0" w:color="000000"/>
            </w:tcBorders>
            <w:shd w:val="clear" w:color="auto" w:fill="FF0000"/>
          </w:tcPr>
          <w:p>
            <w:pPr/>
          </w:p>
        </w:tc>
      </w:tr>
      <w:tr>
        <w:trPr>
          <w:trHeight w:val="448" w:hRule="exact"/>
        </w:trPr>
        <w:tc>
          <w:tcPr>
            <w:tcW w:w="954" w:type="dxa"/>
            <w:tcBorders>
              <w:top w:val="nil"/>
              <w:left w:val="double" w:sz="11" w:space="0" w:color="000000"/>
              <w:bottom w:val="nil"/>
            </w:tcBorders>
          </w:tcPr>
          <w:p>
            <w:pPr>
              <w:pStyle w:val="TableParagraph"/>
              <w:spacing w:before="104"/>
              <w:ind w:left="209" w:right="212"/>
              <w:jc w:val="center"/>
              <w:rPr>
                <w:sz w:val="20"/>
              </w:rPr>
            </w:pPr>
            <w:r>
              <w:rPr>
                <w:sz w:val="20"/>
              </w:rPr>
              <w:t>1580</w:t>
            </w:r>
          </w:p>
        </w:tc>
        <w:tc>
          <w:tcPr>
            <w:tcW w:w="1872" w:type="dxa"/>
            <w:tcBorders>
              <w:top w:val="nil"/>
              <w:bottom w:val="nil"/>
            </w:tcBorders>
          </w:tcPr>
          <w:p>
            <w:pPr/>
          </w:p>
        </w:tc>
        <w:tc>
          <w:tcPr>
            <w:tcW w:w="1349" w:type="dxa"/>
            <w:tcBorders>
              <w:top w:val="nil"/>
              <w:bottom w:val="nil"/>
            </w:tcBorders>
          </w:tcPr>
          <w:p>
            <w:pPr/>
          </w:p>
        </w:tc>
        <w:tc>
          <w:tcPr>
            <w:tcW w:w="3103" w:type="dxa"/>
            <w:vMerge/>
          </w:tcPr>
          <w:p>
            <w:pPr/>
          </w:p>
        </w:tc>
        <w:tc>
          <w:tcPr>
            <w:tcW w:w="1479" w:type="dxa"/>
            <w:tcBorders>
              <w:top w:val="nil"/>
              <w:bottom w:val="nil"/>
            </w:tcBorders>
          </w:tcPr>
          <w:p>
            <w:pPr/>
          </w:p>
        </w:tc>
        <w:tc>
          <w:tcPr>
            <w:tcW w:w="1572" w:type="dxa"/>
            <w:tcBorders>
              <w:top w:val="nil"/>
              <w:bottom w:val="nil"/>
              <w:right w:val="nil"/>
            </w:tcBorders>
          </w:tcPr>
          <w:p>
            <w:pPr/>
          </w:p>
        </w:tc>
        <w:tc>
          <w:tcPr>
            <w:tcW w:w="485" w:type="dxa"/>
            <w:tcBorders>
              <w:top w:val="nil"/>
              <w:left w:val="nil"/>
              <w:bottom w:val="nil"/>
              <w:right w:val="nil"/>
            </w:tcBorders>
          </w:tcPr>
          <w:p>
            <w:pPr/>
          </w:p>
        </w:tc>
        <w:tc>
          <w:tcPr>
            <w:tcW w:w="387" w:type="dxa"/>
            <w:tcBorders>
              <w:top w:val="nil"/>
              <w:left w:val="nil"/>
              <w:bottom w:val="nil"/>
            </w:tcBorders>
          </w:tcPr>
          <w:p>
            <w:pPr/>
          </w:p>
        </w:tc>
        <w:tc>
          <w:tcPr>
            <w:tcW w:w="1620" w:type="dxa"/>
            <w:tcBorders>
              <w:top w:val="nil"/>
              <w:bottom w:val="nil"/>
              <w:right w:val="double" w:sz="12" w:space="0" w:color="000000"/>
            </w:tcBorders>
            <w:shd w:val="clear" w:color="auto" w:fill="FF0000"/>
          </w:tcPr>
          <w:p>
            <w:pPr/>
          </w:p>
        </w:tc>
      </w:tr>
      <w:tr>
        <w:trPr>
          <w:trHeight w:val="460" w:hRule="exact"/>
        </w:trPr>
        <w:tc>
          <w:tcPr>
            <w:tcW w:w="954" w:type="dxa"/>
            <w:tcBorders>
              <w:top w:val="nil"/>
              <w:left w:val="double" w:sz="11" w:space="0" w:color="000000"/>
              <w:bottom w:val="nil"/>
            </w:tcBorders>
          </w:tcPr>
          <w:p>
            <w:pPr>
              <w:pStyle w:val="TableParagraph"/>
              <w:spacing w:before="115"/>
              <w:ind w:left="209" w:right="212"/>
              <w:jc w:val="center"/>
              <w:rPr>
                <w:sz w:val="20"/>
              </w:rPr>
            </w:pPr>
            <w:r>
              <w:rPr>
                <w:sz w:val="20"/>
              </w:rPr>
              <w:t>1785</w:t>
            </w:r>
          </w:p>
        </w:tc>
        <w:tc>
          <w:tcPr>
            <w:tcW w:w="1872" w:type="dxa"/>
            <w:tcBorders>
              <w:top w:val="nil"/>
              <w:bottom w:val="nil"/>
            </w:tcBorders>
          </w:tcPr>
          <w:p>
            <w:pPr/>
          </w:p>
        </w:tc>
        <w:tc>
          <w:tcPr>
            <w:tcW w:w="1349" w:type="dxa"/>
            <w:tcBorders>
              <w:top w:val="nil"/>
              <w:bottom w:val="nil"/>
            </w:tcBorders>
          </w:tcPr>
          <w:p>
            <w:pPr/>
          </w:p>
        </w:tc>
        <w:tc>
          <w:tcPr>
            <w:tcW w:w="3103" w:type="dxa"/>
            <w:vMerge/>
          </w:tcPr>
          <w:p>
            <w:pPr/>
          </w:p>
        </w:tc>
        <w:tc>
          <w:tcPr>
            <w:tcW w:w="1479" w:type="dxa"/>
            <w:tcBorders>
              <w:top w:val="nil"/>
              <w:bottom w:val="nil"/>
            </w:tcBorders>
          </w:tcPr>
          <w:p>
            <w:pPr/>
          </w:p>
        </w:tc>
        <w:tc>
          <w:tcPr>
            <w:tcW w:w="1572" w:type="dxa"/>
            <w:tcBorders>
              <w:top w:val="nil"/>
              <w:bottom w:val="nil"/>
              <w:right w:val="nil"/>
            </w:tcBorders>
          </w:tcPr>
          <w:p>
            <w:pPr/>
          </w:p>
        </w:tc>
        <w:tc>
          <w:tcPr>
            <w:tcW w:w="485" w:type="dxa"/>
            <w:tcBorders>
              <w:top w:val="nil"/>
              <w:left w:val="nil"/>
              <w:bottom w:val="nil"/>
              <w:right w:val="nil"/>
            </w:tcBorders>
          </w:tcPr>
          <w:p>
            <w:pPr/>
          </w:p>
        </w:tc>
        <w:tc>
          <w:tcPr>
            <w:tcW w:w="387" w:type="dxa"/>
            <w:tcBorders>
              <w:top w:val="nil"/>
              <w:left w:val="nil"/>
              <w:bottom w:val="nil"/>
            </w:tcBorders>
          </w:tcPr>
          <w:p>
            <w:pPr/>
          </w:p>
        </w:tc>
        <w:tc>
          <w:tcPr>
            <w:tcW w:w="1620" w:type="dxa"/>
            <w:tcBorders>
              <w:top w:val="nil"/>
              <w:bottom w:val="nil"/>
              <w:right w:val="double" w:sz="12" w:space="0" w:color="000000"/>
            </w:tcBorders>
            <w:shd w:val="clear" w:color="auto" w:fill="FF0000"/>
          </w:tcPr>
          <w:p>
            <w:pPr>
              <w:pStyle w:val="TableParagraph"/>
              <w:spacing w:before="91"/>
              <w:ind w:left="307"/>
              <w:rPr>
                <w:b/>
                <w:sz w:val="20"/>
              </w:rPr>
            </w:pPr>
            <w:r>
              <w:rPr>
                <w:b/>
                <w:sz w:val="20"/>
              </w:rPr>
              <w:t>Deficiente</w:t>
            </w:r>
          </w:p>
        </w:tc>
      </w:tr>
      <w:tr>
        <w:trPr>
          <w:trHeight w:val="344" w:hRule="exact"/>
        </w:trPr>
        <w:tc>
          <w:tcPr>
            <w:tcW w:w="954" w:type="dxa"/>
            <w:tcBorders>
              <w:top w:val="nil"/>
              <w:left w:val="double" w:sz="11" w:space="0" w:color="000000"/>
              <w:bottom w:val="nil"/>
            </w:tcBorders>
          </w:tcPr>
          <w:p>
            <w:pPr>
              <w:pStyle w:val="TableParagraph"/>
              <w:spacing w:before="116"/>
              <w:ind w:left="209" w:right="212"/>
              <w:jc w:val="center"/>
              <w:rPr>
                <w:sz w:val="20"/>
              </w:rPr>
            </w:pPr>
            <w:r>
              <w:rPr>
                <w:sz w:val="20"/>
              </w:rPr>
              <w:t>1810</w:t>
            </w:r>
          </w:p>
        </w:tc>
        <w:tc>
          <w:tcPr>
            <w:tcW w:w="1872" w:type="dxa"/>
            <w:tcBorders>
              <w:top w:val="nil"/>
              <w:bottom w:val="nil"/>
            </w:tcBorders>
          </w:tcPr>
          <w:p>
            <w:pPr/>
          </w:p>
        </w:tc>
        <w:tc>
          <w:tcPr>
            <w:tcW w:w="1349" w:type="dxa"/>
            <w:tcBorders>
              <w:top w:val="nil"/>
              <w:bottom w:val="nil"/>
            </w:tcBorders>
          </w:tcPr>
          <w:p>
            <w:pPr/>
          </w:p>
        </w:tc>
        <w:tc>
          <w:tcPr>
            <w:tcW w:w="3103" w:type="dxa"/>
            <w:vMerge/>
          </w:tcPr>
          <w:p>
            <w:pPr/>
          </w:p>
        </w:tc>
        <w:tc>
          <w:tcPr>
            <w:tcW w:w="1479" w:type="dxa"/>
            <w:tcBorders>
              <w:top w:val="nil"/>
              <w:bottom w:val="nil"/>
            </w:tcBorders>
          </w:tcPr>
          <w:p>
            <w:pPr>
              <w:pStyle w:val="TableParagraph"/>
              <w:spacing w:before="92"/>
              <w:ind w:left="475"/>
              <w:rPr>
                <w:sz w:val="20"/>
              </w:rPr>
            </w:pPr>
            <w:r>
              <w:rPr>
                <w:sz w:val="20"/>
              </w:rPr>
              <w:t>&lt;50%</w:t>
            </w:r>
          </w:p>
        </w:tc>
        <w:tc>
          <w:tcPr>
            <w:tcW w:w="1572" w:type="dxa"/>
            <w:tcBorders>
              <w:top w:val="nil"/>
              <w:bottom w:val="nil"/>
              <w:right w:val="nil"/>
            </w:tcBorders>
          </w:tcPr>
          <w:p>
            <w:pPr/>
          </w:p>
        </w:tc>
        <w:tc>
          <w:tcPr>
            <w:tcW w:w="485" w:type="dxa"/>
            <w:tcBorders>
              <w:top w:val="nil"/>
              <w:left w:val="nil"/>
              <w:bottom w:val="nil"/>
              <w:right w:val="nil"/>
            </w:tcBorders>
          </w:tcPr>
          <w:p>
            <w:pPr/>
          </w:p>
        </w:tc>
        <w:tc>
          <w:tcPr>
            <w:tcW w:w="387" w:type="dxa"/>
            <w:tcBorders>
              <w:top w:val="nil"/>
              <w:left w:val="nil"/>
              <w:bottom w:val="nil"/>
            </w:tcBorders>
          </w:tcPr>
          <w:p>
            <w:pPr/>
          </w:p>
        </w:tc>
        <w:tc>
          <w:tcPr>
            <w:tcW w:w="1620" w:type="dxa"/>
            <w:tcBorders>
              <w:top w:val="nil"/>
              <w:bottom w:val="nil"/>
              <w:right w:val="double" w:sz="12" w:space="0" w:color="000000"/>
            </w:tcBorders>
            <w:shd w:val="clear" w:color="auto" w:fill="FF0000"/>
          </w:tcPr>
          <w:p>
            <w:pPr/>
          </w:p>
        </w:tc>
      </w:tr>
      <w:tr>
        <w:trPr>
          <w:trHeight w:val="1229" w:hRule="exact"/>
        </w:trPr>
        <w:tc>
          <w:tcPr>
            <w:tcW w:w="954" w:type="dxa"/>
            <w:tcBorders>
              <w:top w:val="nil"/>
              <w:left w:val="double" w:sz="11" w:space="0" w:color="000000"/>
            </w:tcBorders>
          </w:tcPr>
          <w:p>
            <w:pPr/>
          </w:p>
        </w:tc>
        <w:tc>
          <w:tcPr>
            <w:tcW w:w="1872" w:type="dxa"/>
            <w:tcBorders>
              <w:top w:val="nil"/>
              <w:bottom w:val="nil"/>
            </w:tcBorders>
          </w:tcPr>
          <w:p>
            <w:pPr>
              <w:pStyle w:val="TableParagraph"/>
              <w:spacing w:line="206" w:lineRule="exact"/>
              <w:ind w:left="0"/>
              <w:jc w:val="center"/>
              <w:rPr>
                <w:b/>
                <w:sz w:val="20"/>
              </w:rPr>
            </w:pPr>
            <w:r>
              <w:rPr>
                <w:b/>
                <w:w w:val="99"/>
                <w:sz w:val="20"/>
              </w:rPr>
              <w:t>1</w:t>
            </w:r>
          </w:p>
        </w:tc>
        <w:tc>
          <w:tcPr>
            <w:tcW w:w="1349" w:type="dxa"/>
            <w:tcBorders>
              <w:top w:val="nil"/>
              <w:bottom w:val="nil"/>
            </w:tcBorders>
          </w:tcPr>
          <w:p>
            <w:pPr/>
          </w:p>
        </w:tc>
        <w:tc>
          <w:tcPr>
            <w:tcW w:w="3103" w:type="dxa"/>
            <w:vMerge/>
          </w:tcPr>
          <w:p>
            <w:pPr/>
          </w:p>
        </w:tc>
        <w:tc>
          <w:tcPr>
            <w:tcW w:w="1479" w:type="dxa"/>
            <w:tcBorders>
              <w:top w:val="nil"/>
              <w:bottom w:val="nil"/>
            </w:tcBorders>
          </w:tcPr>
          <w:p>
            <w:pPr/>
          </w:p>
        </w:tc>
        <w:tc>
          <w:tcPr>
            <w:tcW w:w="1572" w:type="dxa"/>
            <w:tcBorders>
              <w:top w:val="nil"/>
              <w:bottom w:val="nil"/>
              <w:right w:val="nil"/>
            </w:tcBorders>
          </w:tcPr>
          <w:p>
            <w:pPr/>
          </w:p>
        </w:tc>
        <w:tc>
          <w:tcPr>
            <w:tcW w:w="485" w:type="dxa"/>
            <w:tcBorders>
              <w:top w:val="nil"/>
              <w:left w:val="nil"/>
              <w:bottom w:val="nil"/>
              <w:right w:val="nil"/>
            </w:tcBorders>
          </w:tcPr>
          <w:p>
            <w:pPr/>
          </w:p>
        </w:tc>
        <w:tc>
          <w:tcPr>
            <w:tcW w:w="387" w:type="dxa"/>
            <w:tcBorders>
              <w:top w:val="nil"/>
              <w:left w:val="nil"/>
              <w:bottom w:val="nil"/>
            </w:tcBorders>
          </w:tcPr>
          <w:p>
            <w:pPr/>
          </w:p>
        </w:tc>
        <w:tc>
          <w:tcPr>
            <w:tcW w:w="1620" w:type="dxa"/>
            <w:tcBorders>
              <w:top w:val="nil"/>
              <w:bottom w:val="nil"/>
              <w:right w:val="double" w:sz="12" w:space="0" w:color="000000"/>
            </w:tcBorders>
            <w:shd w:val="clear" w:color="auto" w:fill="FF0000"/>
          </w:tcPr>
          <w:p>
            <w:pPr/>
          </w:p>
        </w:tc>
      </w:tr>
      <w:tr>
        <w:trPr>
          <w:trHeight w:val="1431"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128"/>
              <w:ind w:left="209" w:right="212"/>
              <w:jc w:val="center"/>
              <w:rPr>
                <w:sz w:val="20"/>
              </w:rPr>
            </w:pPr>
            <w:r>
              <w:rPr>
                <w:sz w:val="20"/>
              </w:rPr>
              <w:t>1861</w:t>
            </w:r>
          </w:p>
        </w:tc>
        <w:tc>
          <w:tcPr>
            <w:tcW w:w="1872" w:type="dxa"/>
            <w:tcBorders>
              <w:top w:val="nil"/>
            </w:tcBorders>
          </w:tcPr>
          <w:p>
            <w:pPr/>
          </w:p>
        </w:tc>
        <w:tc>
          <w:tcPr>
            <w:tcW w:w="1349" w:type="dxa"/>
            <w:tcBorders>
              <w:top w:val="nil"/>
            </w:tcBorders>
          </w:tcPr>
          <w:p>
            <w:pPr/>
          </w:p>
        </w:tc>
        <w:tc>
          <w:tcPr>
            <w:tcW w:w="3103" w:type="dxa"/>
            <w:vMerge/>
          </w:tcPr>
          <w:p>
            <w:pPr/>
          </w:p>
        </w:tc>
        <w:tc>
          <w:tcPr>
            <w:tcW w:w="1479" w:type="dxa"/>
            <w:tcBorders>
              <w:top w:val="nil"/>
            </w:tcBorders>
          </w:tcPr>
          <w:p>
            <w:pPr/>
          </w:p>
        </w:tc>
        <w:tc>
          <w:tcPr>
            <w:tcW w:w="1572" w:type="dxa"/>
            <w:tcBorders>
              <w:top w:val="nil"/>
              <w:right w:val="nil"/>
            </w:tcBorders>
          </w:tcPr>
          <w:p>
            <w:pPr/>
          </w:p>
        </w:tc>
        <w:tc>
          <w:tcPr>
            <w:tcW w:w="485" w:type="dxa"/>
            <w:tcBorders>
              <w:top w:val="nil"/>
              <w:left w:val="nil"/>
              <w:right w:val="nil"/>
            </w:tcBorders>
          </w:tcPr>
          <w:p>
            <w:pPr/>
          </w:p>
        </w:tc>
        <w:tc>
          <w:tcPr>
            <w:tcW w:w="387" w:type="dxa"/>
            <w:tcBorders>
              <w:top w:val="nil"/>
              <w:left w:val="nil"/>
            </w:tcBorders>
          </w:tcPr>
          <w:p>
            <w:pPr/>
          </w:p>
        </w:tc>
        <w:tc>
          <w:tcPr>
            <w:tcW w:w="1620" w:type="dxa"/>
            <w:tcBorders>
              <w:top w:val="nil"/>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72"/>
        <w:gridCol w:w="1349"/>
        <w:gridCol w:w="3103"/>
        <w:gridCol w:w="1479"/>
        <w:gridCol w:w="2444"/>
        <w:gridCol w:w="1620"/>
      </w:tblGrid>
      <w:tr>
        <w:trPr>
          <w:trHeight w:val="2549" w:hRule="exact"/>
        </w:trPr>
        <w:tc>
          <w:tcPr>
            <w:tcW w:w="954" w:type="dxa"/>
            <w:tcBorders>
              <w:left w:val="double" w:sz="11" w:space="0" w:color="000000"/>
            </w:tcBorders>
          </w:tcPr>
          <w:p>
            <w:pPr>
              <w:pStyle w:val="TableParagraph"/>
              <w:ind w:left="0"/>
              <w:rPr>
                <w:rFonts w:ascii="Times New Roman"/>
                <w:sz w:val="20"/>
              </w:rPr>
            </w:pPr>
          </w:p>
          <w:p>
            <w:pPr>
              <w:pStyle w:val="TableParagraph"/>
              <w:spacing w:before="5"/>
              <w:ind w:left="0"/>
              <w:rPr>
                <w:rFonts w:ascii="Times New Roman"/>
                <w:sz w:val="26"/>
              </w:rPr>
            </w:pPr>
          </w:p>
          <w:p>
            <w:pPr>
              <w:pStyle w:val="TableParagraph"/>
              <w:spacing w:before="1"/>
              <w:ind w:left="209" w:right="212"/>
              <w:jc w:val="center"/>
              <w:rPr>
                <w:sz w:val="20"/>
              </w:rPr>
            </w:pPr>
            <w:r>
              <w:rPr>
                <w:sz w:val="20"/>
              </w:rPr>
              <w:t>1910</w:t>
            </w:r>
          </w:p>
        </w:tc>
        <w:tc>
          <w:tcPr>
            <w:tcW w:w="1872" w:type="dxa"/>
            <w:vMerge w:val="restart"/>
          </w:tcPr>
          <w:p>
            <w:pPr/>
          </w:p>
        </w:tc>
        <w:tc>
          <w:tcPr>
            <w:tcW w:w="1349" w:type="dxa"/>
          </w:tcPr>
          <w:p>
            <w:pPr>
              <w:pStyle w:val="TableParagraph"/>
              <w:spacing w:before="7"/>
              <w:rPr>
                <w:sz w:val="20"/>
              </w:rPr>
            </w:pPr>
            <w:r>
              <w:rPr>
                <w:sz w:val="20"/>
              </w:rPr>
              <w:t>Económico</w:t>
            </w:r>
          </w:p>
        </w:tc>
        <w:tc>
          <w:tcPr>
            <w:tcW w:w="3103" w:type="dxa"/>
          </w:tcPr>
          <w:p>
            <w:pPr>
              <w:pStyle w:val="TableParagraph"/>
              <w:numPr>
                <w:ilvl w:val="0"/>
                <w:numId w:val="223"/>
              </w:numPr>
              <w:tabs>
                <w:tab w:pos="812" w:val="left" w:leader="none"/>
                <w:tab w:pos="2164" w:val="left" w:leader="none"/>
                <w:tab w:pos="2587" w:val="left" w:leader="none"/>
              </w:tabs>
              <w:spacing w:line="240" w:lineRule="auto" w:before="7" w:after="0"/>
              <w:ind w:left="280" w:right="105" w:hanging="141"/>
              <w:jc w:val="both"/>
              <w:rPr>
                <w:sz w:val="20"/>
              </w:rPr>
            </w:pPr>
            <w:r>
              <w:rPr>
                <w:sz w:val="20"/>
              </w:rPr>
              <w:t>Existen</w:t>
              <w:tab/>
              <w:t>acuerdos</w:t>
            </w:r>
            <w:r>
              <w:rPr>
                <w:w w:val="99"/>
                <w:sz w:val="20"/>
              </w:rPr>
              <w:t> </w:t>
            </w:r>
            <w:r>
              <w:rPr>
                <w:sz w:val="20"/>
              </w:rPr>
              <w:t>intermunicipales</w:t>
              <w:tab/>
              <w:tab/>
            </w:r>
            <w:r>
              <w:rPr>
                <w:w w:val="95"/>
                <w:sz w:val="20"/>
              </w:rPr>
              <w:t>para </w:t>
            </w:r>
            <w:r>
              <w:rPr>
                <w:sz w:val="20"/>
              </w:rPr>
              <w:t>distribuir equitativamente los recursos</w:t>
            </w:r>
            <w:r>
              <w:rPr>
                <w:spacing w:val="-6"/>
                <w:sz w:val="20"/>
              </w:rPr>
              <w:t> </w:t>
            </w:r>
            <w:r>
              <w:rPr>
                <w:sz w:val="20"/>
              </w:rPr>
              <w:t>naturales</w:t>
            </w:r>
          </w:p>
          <w:p>
            <w:pPr>
              <w:pStyle w:val="TableParagraph"/>
              <w:numPr>
                <w:ilvl w:val="0"/>
                <w:numId w:val="223"/>
              </w:numPr>
              <w:tabs>
                <w:tab w:pos="812" w:val="left" w:leader="none"/>
                <w:tab w:pos="2164" w:val="left" w:leader="none"/>
              </w:tabs>
              <w:spacing w:line="240" w:lineRule="auto" w:before="0" w:after="0"/>
              <w:ind w:left="280" w:right="105" w:hanging="141"/>
              <w:jc w:val="both"/>
              <w:rPr>
                <w:sz w:val="20"/>
              </w:rPr>
            </w:pPr>
            <w:r>
              <w:rPr>
                <w:sz w:val="20"/>
              </w:rPr>
              <w:t>Existe</w:t>
              <w:tab/>
              <w:t>acuerdos</w:t>
            </w:r>
            <w:r>
              <w:rPr>
                <w:w w:val="99"/>
                <w:sz w:val="20"/>
              </w:rPr>
              <w:t> </w:t>
            </w:r>
            <w:r>
              <w:rPr>
                <w:sz w:val="20"/>
              </w:rPr>
              <w:t>intermunicipales para cuidar los recursos</w:t>
            </w:r>
            <w:r>
              <w:rPr>
                <w:spacing w:val="-6"/>
                <w:sz w:val="20"/>
              </w:rPr>
              <w:t> </w:t>
            </w:r>
            <w:r>
              <w:rPr>
                <w:sz w:val="20"/>
              </w:rPr>
              <w:t>naturales</w:t>
            </w:r>
          </w:p>
          <w:p>
            <w:pPr>
              <w:pStyle w:val="TableParagraph"/>
              <w:numPr>
                <w:ilvl w:val="0"/>
                <w:numId w:val="223"/>
              </w:numPr>
              <w:tabs>
                <w:tab w:pos="812" w:val="left" w:leader="none"/>
              </w:tabs>
              <w:spacing w:line="240" w:lineRule="auto" w:before="0" w:after="0"/>
              <w:ind w:left="280" w:right="104" w:hanging="141"/>
              <w:jc w:val="both"/>
              <w:rPr>
                <w:sz w:val="20"/>
              </w:rPr>
            </w:pPr>
            <w:r>
              <w:rPr>
                <w:sz w:val="20"/>
              </w:rPr>
              <w:t>Existe coordinación económica entre actores de la CHPH para un crecimiento equilibrado</w:t>
            </w:r>
          </w:p>
        </w:tc>
        <w:tc>
          <w:tcPr>
            <w:tcW w:w="1479" w:type="dxa"/>
            <w:vMerge w:val="restart"/>
          </w:tcPr>
          <w:p>
            <w:pPr/>
          </w:p>
        </w:tc>
        <w:tc>
          <w:tcPr>
            <w:tcW w:w="2444" w:type="dxa"/>
            <w:vMerge w:val="restart"/>
          </w:tcPr>
          <w:p>
            <w:pPr/>
          </w:p>
        </w:tc>
        <w:tc>
          <w:tcPr>
            <w:tcW w:w="1620" w:type="dxa"/>
            <w:vMerge w:val="restart"/>
            <w:tcBorders>
              <w:right w:val="double" w:sz="12" w:space="0" w:color="000000"/>
            </w:tcBorders>
            <w:shd w:val="clear" w:color="auto" w:fill="FF0000"/>
          </w:tcPr>
          <w:p>
            <w:pPr/>
          </w:p>
        </w:tc>
      </w:tr>
      <w:tr>
        <w:trPr>
          <w:trHeight w:val="1850"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9"/>
              </w:rPr>
            </w:pPr>
          </w:p>
          <w:p>
            <w:pPr>
              <w:pStyle w:val="TableParagraph"/>
              <w:ind w:left="209" w:right="212"/>
              <w:jc w:val="center"/>
              <w:rPr>
                <w:sz w:val="20"/>
              </w:rPr>
            </w:pPr>
            <w:r>
              <w:rPr>
                <w:sz w:val="20"/>
              </w:rPr>
              <w:t>1940</w:t>
            </w:r>
          </w:p>
        </w:tc>
        <w:tc>
          <w:tcPr>
            <w:tcW w:w="1872" w:type="dxa"/>
            <w:vMerge/>
          </w:tcPr>
          <w:p>
            <w:pPr/>
          </w:p>
        </w:tc>
        <w:tc>
          <w:tcPr>
            <w:tcW w:w="1349" w:type="dxa"/>
            <w:vMerge w:val="restart"/>
          </w:tcPr>
          <w:p>
            <w:pPr>
              <w:pStyle w:val="TableParagraph"/>
              <w:spacing w:line="227" w:lineRule="exact"/>
              <w:rPr>
                <w:sz w:val="20"/>
              </w:rPr>
            </w:pPr>
            <w:r>
              <w:rPr>
                <w:sz w:val="20"/>
              </w:rPr>
              <w:t>Sociopolítico</w:t>
            </w:r>
          </w:p>
        </w:tc>
        <w:tc>
          <w:tcPr>
            <w:tcW w:w="3103" w:type="dxa"/>
            <w:vMerge w:val="restart"/>
          </w:tcPr>
          <w:p>
            <w:pPr>
              <w:pStyle w:val="TableParagraph"/>
              <w:ind w:left="280" w:right="104" w:hanging="178"/>
              <w:jc w:val="both"/>
              <w:rPr>
                <w:sz w:val="20"/>
              </w:rPr>
            </w:pPr>
            <w:r>
              <w:rPr>
                <w:rFonts w:ascii="Wingdings" w:hAnsi="Wingdings"/>
                <w:sz w:val="20"/>
              </w:rPr>
              <w:t></w:t>
            </w:r>
            <w:r>
              <w:rPr>
                <w:sz w:val="20"/>
              </w:rPr>
              <w:t>Favorece la voluntariedad de los cabildos y de los actores históricos para la interrelación sociopolítica en la región</w:t>
            </w:r>
          </w:p>
          <w:p>
            <w:pPr>
              <w:pStyle w:val="TableParagraph"/>
              <w:ind w:left="280" w:right="104" w:hanging="178"/>
              <w:jc w:val="both"/>
              <w:rPr>
                <w:sz w:val="20"/>
              </w:rPr>
            </w:pPr>
            <w:r>
              <w:rPr>
                <w:rFonts w:ascii="Wingdings" w:hAnsi="Wingdings"/>
                <w:sz w:val="20"/>
              </w:rPr>
              <w:t></w:t>
            </w:r>
            <w:r>
              <w:rPr>
                <w:sz w:val="20"/>
              </w:rPr>
              <w:t>Favorece la organización sociopolítica de los actores de la CHPH para atender problemas comunes</w:t>
            </w:r>
          </w:p>
          <w:p>
            <w:pPr>
              <w:pStyle w:val="TableParagraph"/>
              <w:rPr>
                <w:sz w:val="20"/>
              </w:rPr>
            </w:pPr>
            <w:r>
              <w:rPr>
                <w:rFonts w:ascii="Wingdings" w:hAnsi="Wingdings"/>
                <w:sz w:val="20"/>
              </w:rPr>
              <w:t></w:t>
            </w:r>
            <w:r>
              <w:rPr>
                <w:sz w:val="20"/>
              </w:rPr>
              <w:t>Favorece la GIRH</w:t>
            </w:r>
          </w:p>
          <w:p>
            <w:pPr>
              <w:pStyle w:val="TableParagraph"/>
              <w:spacing w:before="1"/>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ind w:left="280" w:right="104" w:hanging="178"/>
              <w:jc w:val="both"/>
              <w:rPr>
                <w:sz w:val="20"/>
              </w:rPr>
            </w:pPr>
            <w:r>
              <w:rPr>
                <w:rFonts w:ascii="Wingdings" w:hAnsi="Wingdings"/>
                <w:sz w:val="20"/>
              </w:rPr>
              <w:t></w:t>
            </w:r>
            <w:r>
              <w:rPr>
                <w:sz w:val="20"/>
              </w:rPr>
              <w:t>Favorece la planeación sociopolítica con articulación entre actores</w:t>
            </w:r>
          </w:p>
        </w:tc>
        <w:tc>
          <w:tcPr>
            <w:tcW w:w="1479" w:type="dxa"/>
            <w:vMerge/>
          </w:tcPr>
          <w:p>
            <w:pPr/>
          </w:p>
        </w:tc>
        <w:tc>
          <w:tcPr>
            <w:tcW w:w="2444" w:type="dxa"/>
            <w:vMerge/>
          </w:tcPr>
          <w:p>
            <w:pPr/>
          </w:p>
        </w:tc>
        <w:tc>
          <w:tcPr>
            <w:tcW w:w="1620" w:type="dxa"/>
            <w:vMerge/>
            <w:tcBorders>
              <w:right w:val="double" w:sz="12" w:space="0" w:color="000000"/>
            </w:tcBorders>
            <w:shd w:val="clear" w:color="auto" w:fill="FF0000"/>
          </w:tcPr>
          <w:p>
            <w:pPr/>
          </w:p>
        </w:tc>
      </w:tr>
      <w:tr>
        <w:trPr>
          <w:trHeight w:val="533" w:hRule="exact"/>
        </w:trPr>
        <w:tc>
          <w:tcPr>
            <w:tcW w:w="954" w:type="dxa"/>
            <w:tcBorders>
              <w:left w:val="double" w:sz="11" w:space="0" w:color="000000"/>
            </w:tcBorders>
          </w:tcPr>
          <w:p>
            <w:pPr>
              <w:pStyle w:val="TableParagraph"/>
              <w:spacing w:before="144"/>
              <w:ind w:left="209" w:right="212"/>
              <w:jc w:val="center"/>
              <w:rPr>
                <w:sz w:val="20"/>
              </w:rPr>
            </w:pPr>
            <w:r>
              <w:rPr>
                <w:sz w:val="20"/>
              </w:rPr>
              <w:t>1982</w:t>
            </w:r>
          </w:p>
        </w:tc>
        <w:tc>
          <w:tcPr>
            <w:tcW w:w="1872" w:type="dxa"/>
            <w:vMerge/>
          </w:tcPr>
          <w:p>
            <w:pPr/>
          </w:p>
        </w:tc>
        <w:tc>
          <w:tcPr>
            <w:tcW w:w="1349" w:type="dxa"/>
            <w:vMerge/>
          </w:tcPr>
          <w:p>
            <w:pPr/>
          </w:p>
        </w:tc>
        <w:tc>
          <w:tcPr>
            <w:tcW w:w="3103" w:type="dxa"/>
            <w:vMerge/>
          </w:tcPr>
          <w:p>
            <w:pPr/>
          </w:p>
        </w:tc>
        <w:tc>
          <w:tcPr>
            <w:tcW w:w="1479" w:type="dxa"/>
            <w:vMerge/>
          </w:tcPr>
          <w:p>
            <w:pPr/>
          </w:p>
        </w:tc>
        <w:tc>
          <w:tcPr>
            <w:tcW w:w="2444" w:type="dxa"/>
            <w:vMerge/>
          </w:tcPr>
          <w:p>
            <w:pPr/>
          </w:p>
        </w:tc>
        <w:tc>
          <w:tcPr>
            <w:tcW w:w="1620" w:type="dxa"/>
            <w:vMerge/>
            <w:tcBorders>
              <w:right w:val="double" w:sz="12" w:space="0" w:color="000000"/>
            </w:tcBorders>
            <w:shd w:val="clear" w:color="auto" w:fill="FF0000"/>
          </w:tcPr>
          <w:p>
            <w:pPr/>
          </w:p>
        </w:tc>
      </w:tr>
      <w:tr>
        <w:trPr>
          <w:trHeight w:val="847" w:hRule="exact"/>
        </w:trPr>
        <w:tc>
          <w:tcPr>
            <w:tcW w:w="954" w:type="dxa"/>
            <w:tcBorders>
              <w:left w:val="double" w:sz="11" w:space="0" w:color="000000"/>
            </w:tcBorders>
          </w:tcPr>
          <w:p>
            <w:pPr>
              <w:pStyle w:val="TableParagraph"/>
              <w:spacing w:before="3"/>
              <w:ind w:left="0"/>
              <w:rPr>
                <w:rFonts w:ascii="Times New Roman"/>
                <w:sz w:val="26"/>
              </w:rPr>
            </w:pPr>
          </w:p>
          <w:p>
            <w:pPr>
              <w:pStyle w:val="TableParagraph"/>
              <w:ind w:left="209" w:right="212"/>
              <w:jc w:val="center"/>
              <w:rPr>
                <w:sz w:val="20"/>
              </w:rPr>
            </w:pPr>
            <w:r>
              <w:rPr>
                <w:sz w:val="20"/>
              </w:rPr>
              <w:t>2016</w:t>
            </w:r>
          </w:p>
        </w:tc>
        <w:tc>
          <w:tcPr>
            <w:tcW w:w="1872" w:type="dxa"/>
            <w:vMerge/>
          </w:tcPr>
          <w:p>
            <w:pPr/>
          </w:p>
        </w:tc>
        <w:tc>
          <w:tcPr>
            <w:tcW w:w="1349" w:type="dxa"/>
            <w:vMerge/>
          </w:tcPr>
          <w:p>
            <w:pPr/>
          </w:p>
        </w:tc>
        <w:tc>
          <w:tcPr>
            <w:tcW w:w="3103" w:type="dxa"/>
            <w:vMerge/>
          </w:tcPr>
          <w:p>
            <w:pPr/>
          </w:p>
        </w:tc>
        <w:tc>
          <w:tcPr>
            <w:tcW w:w="1479" w:type="dxa"/>
            <w:vMerge/>
          </w:tcPr>
          <w:p>
            <w:pPr/>
          </w:p>
        </w:tc>
        <w:tc>
          <w:tcPr>
            <w:tcW w:w="2444" w:type="dxa"/>
            <w:vMerge/>
          </w:tcPr>
          <w:p>
            <w:pPr/>
          </w:p>
        </w:tc>
        <w:tc>
          <w:tcPr>
            <w:tcW w:w="1620" w:type="dxa"/>
            <w:vMerge/>
            <w:tcBorders>
              <w:right w:val="double" w:sz="12" w:space="0" w:color="000000"/>
            </w:tcBorders>
            <w:shd w:val="clear" w:color="auto" w:fill="FF0000"/>
          </w:tcPr>
          <w:p>
            <w:pPr/>
          </w:p>
        </w:tc>
      </w:tr>
      <w:tr>
        <w:trPr>
          <w:trHeight w:val="3046"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p>
            <w:pPr>
              <w:pStyle w:val="TableParagraph"/>
              <w:ind w:left="0"/>
              <w:rPr>
                <w:rFonts w:ascii="Times New Roman"/>
                <w:sz w:val="22"/>
              </w:rPr>
            </w:pPr>
          </w:p>
          <w:p>
            <w:pPr>
              <w:pStyle w:val="TableParagraph"/>
              <w:ind w:left="27"/>
              <w:jc w:val="both"/>
              <w:rPr>
                <w:b/>
                <w:sz w:val="22"/>
              </w:rPr>
            </w:pPr>
            <w:r>
              <w:rPr>
                <w:b/>
                <w:sz w:val="22"/>
              </w:rPr>
              <w:t>Interpretación de la anterior gráfica y la tarjeta de valoración:</w:t>
            </w:r>
          </w:p>
          <w:p>
            <w:pPr>
              <w:pStyle w:val="TableParagraph"/>
              <w:spacing w:before="1"/>
              <w:ind w:left="27" w:right="22"/>
              <w:jc w:val="both"/>
              <w:rPr>
                <w:sz w:val="22"/>
              </w:rPr>
            </w:pPr>
            <w:r>
              <w:rPr>
                <w:sz w:val="22"/>
              </w:rPr>
              <w:t>- Aunque el municipio en México tiene sus orígenes en la época prehispánica con los </w:t>
            </w:r>
            <w:r>
              <w:rPr>
                <w:i/>
                <w:sz w:val="22"/>
              </w:rPr>
              <w:t>Tlahtocayos</w:t>
            </w:r>
            <w:r>
              <w:rPr>
                <w:sz w:val="22"/>
              </w:rPr>
              <w:t>, fue hasta la Constitución de Cádiz de 1812 que se constituyó formalmente, dicho evento histórico permitió que se decretaran los municipios de la CHPH en el siglo XIX, siendo el primero en 1861 por decreto No. 27 la Villa de Jilotepec. Sin embargo dicha institución surge con una serie de limitaciones, ya que se le atribuye sólo la administración de algunos servicios públicos y no se estipula su competencia jurídica entorno a la protección del medio ambiente en conjunto con otros municipios y a pesar de las reformas que se le han hecho al artículo 115, el municipio sigue estando supeditado al sistema federal y estatal, lo cual no le permite tener la “autonomía y soberanía” que tanto se pregonan en su territorio, por lo que las relaciones intermunicipales de los cabildos en materia de medio ambiente y asuntos sociopolíticos no existen en la CHPH, sin embargo el derecho consuetudinario de usos y costumbres sí permite la asociación de actores de los distintos municipios que conforman la cuenca, por tal motivo es un nicho que puede ser</w:t>
            </w:r>
          </w:p>
        </w:tc>
      </w:tr>
    </w:tbl>
    <w:p>
      <w:pPr>
        <w:spacing w:after="0"/>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516" w:hRule="exact"/>
        </w:trPr>
        <w:tc>
          <w:tcPr>
            <w:tcW w:w="12897" w:type="dxa"/>
          </w:tcPr>
          <w:p>
            <w:pPr>
              <w:pStyle w:val="TableParagraph"/>
              <w:spacing w:line="252" w:lineRule="exact" w:before="2"/>
              <w:ind w:left="64" w:right="163"/>
              <w:rPr>
                <w:sz w:val="22"/>
              </w:rPr>
            </w:pPr>
            <w:r>
              <w:rPr>
                <w:sz w:val="22"/>
              </w:rPr>
              <w:t>explotado para crear un Comité Intermunicipal Para Cuidar, Defender y Administrar los Recursos Naturales de la CHPH con su reglamento.</w:t>
            </w:r>
          </w:p>
        </w:tc>
      </w:tr>
      <w:tr>
        <w:trPr>
          <w:trHeight w:val="338"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022" w:hRule="exact"/>
        </w:trPr>
        <w:tc>
          <w:tcPr>
            <w:tcW w:w="12897" w:type="dxa"/>
          </w:tcPr>
          <w:p>
            <w:pPr>
              <w:pStyle w:val="TableParagraph"/>
              <w:ind w:right="163"/>
              <w:rPr>
                <w:sz w:val="22"/>
              </w:rPr>
            </w:pPr>
            <w:r>
              <w:rPr>
                <w:sz w:val="22"/>
              </w:rPr>
              <w:t>Permitió identificar la necesidad de acuerdos sociopolíticos intermunicipales entre los actores de los municipios de la CHPH para atender la problemática común de la región.</w:t>
            </w:r>
          </w:p>
          <w:p>
            <w:pPr>
              <w:pStyle w:val="TableParagraph"/>
              <w:ind w:right="12"/>
              <w:rPr>
                <w:sz w:val="22"/>
              </w:rPr>
            </w:pPr>
            <w:r>
              <w:rPr>
                <w:sz w:val="22"/>
              </w:rPr>
              <w:t>- Sirvió de guía de explicación para la elaboración de la propuesta de creación de un Comité Intermunicipal con su reglamento en la 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516" w:hRule="exact"/>
        </w:trPr>
        <w:tc>
          <w:tcPr>
            <w:tcW w:w="12897" w:type="dxa"/>
          </w:tcPr>
          <w:p>
            <w:pPr>
              <w:pStyle w:val="TableParagraph"/>
              <w:spacing w:line="252" w:lineRule="exact" w:before="2"/>
              <w:ind w:right="163"/>
              <w:rPr>
                <w:sz w:val="22"/>
              </w:rPr>
            </w:pPr>
            <w:r>
              <w:rPr>
                <w:sz w:val="22"/>
              </w:rPr>
              <w:t>- Se requiere una reforma constitucional para que los municipios a través de sus cabildos tengan la facultad para asociarse intermunicipalmente para el cuidado del medio ambiente y no sólo para prestar servicios públicos.</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256" w:right="105"/>
              <w:rPr>
                <w:b/>
                <w:sz w:val="22"/>
              </w:rPr>
            </w:pPr>
            <w:r>
              <w:rPr>
                <w:b/>
                <w:sz w:val="22"/>
              </w:rPr>
              <w:t>Cooperación sociopolítica</w:t>
            </w:r>
          </w:p>
        </w:tc>
        <w:tc>
          <w:tcPr>
            <w:tcW w:w="3277" w:type="dxa"/>
            <w:gridSpan w:val="3"/>
            <w:vMerge w:val="restart"/>
          </w:tcPr>
          <w:p>
            <w:pPr>
              <w:pStyle w:val="TableParagraph"/>
              <w:ind w:left="100" w:right="101"/>
              <w:jc w:val="both"/>
              <w:rPr>
                <w:b/>
                <w:sz w:val="22"/>
              </w:rPr>
            </w:pPr>
            <w:r>
              <w:rPr>
                <w:b/>
                <w:sz w:val="22"/>
              </w:rPr>
              <w:t>Identificar el deseo de colaboración de los actores históricos de los municipios de la CHPH para trabajar conjuntamente en  la solución de sus problemas sociopolíticos compartidos</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9" w:hanging="5"/>
              <w:jc w:val="center"/>
              <w:rPr>
                <w:b/>
                <w:sz w:val="22"/>
              </w:rPr>
            </w:pPr>
            <w:r>
              <w:rPr>
                <w:b/>
                <w:sz w:val="22"/>
              </w:rPr>
              <w:t>Proporción del peso de la AEPA</w:t>
            </w:r>
            <w:r>
              <w:rPr>
                <w:b/>
                <w:w w:val="100"/>
                <w:sz w:val="22"/>
              </w:rPr>
              <w:t> </w:t>
            </w:r>
            <w:r>
              <w:rPr>
                <w:b/>
                <w:sz w:val="22"/>
              </w:rPr>
              <w:t>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67"/>
              <w:rPr>
                <w:b/>
                <w:sz w:val="22"/>
              </w:rPr>
            </w:pPr>
            <w:r>
              <w:rPr>
                <w:b/>
                <w:sz w:val="22"/>
              </w:rPr>
              <w:t>0.930/ 18.055</w:t>
            </w:r>
          </w:p>
        </w:tc>
        <w:tc>
          <w:tcPr>
            <w:tcW w:w="1985" w:type="dxa"/>
            <w:gridSpan w:val="2"/>
          </w:tcPr>
          <w:p>
            <w:pPr>
              <w:pStyle w:val="TableParagraph"/>
              <w:spacing w:line="248" w:lineRule="exact"/>
              <w:ind w:left="1" w:right="2"/>
              <w:jc w:val="center"/>
              <w:rPr>
                <w:b/>
                <w:sz w:val="22"/>
              </w:rPr>
            </w:pPr>
            <w:r>
              <w:rPr>
                <w:b/>
                <w:sz w:val="22"/>
              </w:rPr>
              <w:t>5.15%</w:t>
            </w:r>
          </w:p>
        </w:tc>
        <w:tc>
          <w:tcPr>
            <w:tcW w:w="2268" w:type="dxa"/>
            <w:gridSpan w:val="2"/>
          </w:tcPr>
          <w:p>
            <w:pPr>
              <w:pStyle w:val="TableParagraph"/>
              <w:spacing w:line="248" w:lineRule="exact"/>
              <w:ind w:left="136" w:right="136"/>
              <w:jc w:val="center"/>
              <w:rPr>
                <w:b/>
                <w:sz w:val="22"/>
              </w:rPr>
            </w:pPr>
            <w:r>
              <w:rPr>
                <w:b/>
                <w:sz w:val="22"/>
              </w:rPr>
              <w:t>16.875</w:t>
            </w:r>
          </w:p>
        </w:tc>
        <w:tc>
          <w:tcPr>
            <w:tcW w:w="3274" w:type="dxa"/>
            <w:gridSpan w:val="5"/>
            <w:vMerge/>
          </w:tcPr>
          <w:p>
            <w:pPr/>
          </w:p>
        </w:tc>
        <w:tc>
          <w:tcPr>
            <w:tcW w:w="3277" w:type="dxa"/>
            <w:gridSpan w:val="3"/>
            <w:vMerge/>
          </w:tcPr>
          <w:p>
            <w:pPr/>
          </w:p>
        </w:tc>
      </w:tr>
      <w:tr>
        <w:trPr>
          <w:trHeight w:val="262" w:hRule="exact"/>
        </w:trPr>
        <w:tc>
          <w:tcPr>
            <w:tcW w:w="2093" w:type="dxa"/>
            <w:gridSpan w:val="2"/>
            <w:tcBorders>
              <w:right w:val="single" w:sz="41" w:space="0" w:color="D99493"/>
            </w:tcBorders>
          </w:tcPr>
          <w:p>
            <w:pPr>
              <w:pStyle w:val="TableParagraph"/>
              <w:spacing w:line="248" w:lineRule="exact"/>
              <w:ind w:left="45"/>
              <w:jc w:val="center"/>
              <w:rPr>
                <w:b/>
                <w:sz w:val="22"/>
              </w:rPr>
            </w:pPr>
            <w:r>
              <w:rPr>
                <w:b/>
                <w:w w:val="100"/>
                <w:sz w:val="22"/>
              </w:rPr>
              <w:t>1</w:t>
            </w:r>
          </w:p>
        </w:tc>
        <w:tc>
          <w:tcPr>
            <w:tcW w:w="1985" w:type="dxa"/>
            <w:gridSpan w:val="2"/>
            <w:shd w:val="clear" w:color="auto" w:fill="D99493"/>
          </w:tcPr>
          <w:p>
            <w:pPr>
              <w:pStyle w:val="TableParagraph"/>
              <w:spacing w:line="248" w:lineRule="exact"/>
              <w:ind w:left="0"/>
              <w:jc w:val="center"/>
              <w:rPr>
                <w:b/>
                <w:sz w:val="22"/>
              </w:rPr>
            </w:pPr>
            <w:r>
              <w:rPr>
                <w:b/>
                <w:w w:val="100"/>
                <w:sz w:val="22"/>
              </w:rPr>
              <w:t>2</w:t>
            </w:r>
          </w:p>
        </w:tc>
        <w:tc>
          <w:tcPr>
            <w:tcW w:w="2268" w:type="dxa"/>
            <w:gridSpan w:val="2"/>
            <w:tcBorders>
              <w:left w:val="thickThinMediumGap" w:sz="23" w:space="0" w:color="D99493"/>
              <w:right w:val="single" w:sz="41" w:space="0" w:color="D99493"/>
            </w:tcBorders>
          </w:tcPr>
          <w:p>
            <w:pPr>
              <w:pStyle w:val="TableParagraph"/>
              <w:spacing w:line="248" w:lineRule="exact"/>
              <w:ind w:left="0" w:right="2"/>
              <w:jc w:val="center"/>
              <w:rPr>
                <w:b/>
                <w:sz w:val="22"/>
              </w:rPr>
            </w:pPr>
            <w:r>
              <w:rPr>
                <w:b/>
                <w:w w:val="100"/>
                <w:sz w:val="22"/>
              </w:rPr>
              <w:t>3</w:t>
            </w:r>
          </w:p>
        </w:tc>
        <w:tc>
          <w:tcPr>
            <w:tcW w:w="1701" w:type="dxa"/>
            <w:gridSpan w:val="2"/>
            <w:shd w:val="clear" w:color="auto" w:fill="D99493"/>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D99493"/>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1" w:right="492"/>
              <w:jc w:val="center"/>
              <w:rPr>
                <w:b/>
                <w:sz w:val="22"/>
              </w:rPr>
            </w:pPr>
            <w:r>
              <w:rPr>
                <w:b/>
                <w:sz w:val="22"/>
              </w:rPr>
              <w:t>82</w:t>
            </w:r>
          </w:p>
        </w:tc>
        <w:tc>
          <w:tcPr>
            <w:tcW w:w="2127" w:type="dxa"/>
            <w:gridSpan w:val="3"/>
            <w:shd w:val="clear" w:color="auto" w:fill="92CDDC"/>
          </w:tcPr>
          <w:p>
            <w:pPr>
              <w:pStyle w:val="TableParagraph"/>
              <w:spacing w:line="248" w:lineRule="exact"/>
              <w:ind w:left="916" w:right="916"/>
              <w:jc w:val="center"/>
              <w:rPr>
                <w:b/>
                <w:sz w:val="22"/>
              </w:rPr>
            </w:pPr>
            <w:r>
              <w:rPr>
                <w:b/>
                <w:sz w:val="22"/>
              </w:rPr>
              <w:t>41</w:t>
            </w:r>
          </w:p>
        </w:tc>
        <w:tc>
          <w:tcPr>
            <w:tcW w:w="2410" w:type="dxa"/>
            <w:gridSpan w:val="3"/>
            <w:shd w:val="clear" w:color="auto" w:fill="92CDDC"/>
          </w:tcPr>
          <w:p>
            <w:pPr>
              <w:pStyle w:val="TableParagraph"/>
              <w:spacing w:line="248" w:lineRule="exact"/>
              <w:ind w:left="782" w:right="782"/>
              <w:jc w:val="center"/>
              <w:rPr>
                <w:b/>
                <w:sz w:val="22"/>
              </w:rPr>
            </w:pPr>
            <w:r>
              <w:rPr>
                <w:b/>
                <w:sz w:val="22"/>
              </w:rPr>
              <w:t>0.03125</w:t>
            </w:r>
          </w:p>
        </w:tc>
        <w:tc>
          <w:tcPr>
            <w:tcW w:w="1844" w:type="dxa"/>
            <w:gridSpan w:val="2"/>
            <w:shd w:val="clear" w:color="auto" w:fill="F9BE8F"/>
          </w:tcPr>
          <w:p>
            <w:pPr>
              <w:pStyle w:val="TableParagraph"/>
              <w:spacing w:line="248" w:lineRule="exact"/>
              <w:ind w:left="774" w:right="774"/>
              <w:jc w:val="center"/>
              <w:rPr>
                <w:b/>
                <w:sz w:val="22"/>
              </w:rPr>
            </w:pPr>
            <w:r>
              <w:rPr>
                <w:b/>
                <w:sz w:val="22"/>
              </w:rPr>
              <w:t>37</w:t>
            </w:r>
          </w:p>
        </w:tc>
        <w:tc>
          <w:tcPr>
            <w:tcW w:w="2126" w:type="dxa"/>
            <w:gridSpan w:val="3"/>
            <w:shd w:val="clear" w:color="auto" w:fill="F9BE8F"/>
          </w:tcPr>
          <w:p>
            <w:pPr>
              <w:pStyle w:val="TableParagraph"/>
              <w:spacing w:line="248" w:lineRule="exact"/>
              <w:ind w:left="0"/>
              <w:jc w:val="center"/>
              <w:rPr>
                <w:b/>
                <w:sz w:val="22"/>
              </w:rPr>
            </w:pPr>
            <w:r>
              <w:rPr>
                <w:b/>
                <w:w w:val="100"/>
                <w:sz w:val="22"/>
              </w:rPr>
              <w:t>7</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Colaboración, actores históricos, municipios, CHPH, trabajar, problemas socioólíticos.</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left="729" w:right="250" w:hanging="466"/>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770" w:hRule="exact"/>
        </w:trPr>
        <w:tc>
          <w:tcPr>
            <w:tcW w:w="12897" w:type="dxa"/>
            <w:gridSpan w:val="14"/>
          </w:tcPr>
          <w:p>
            <w:pPr>
              <w:pStyle w:val="TableParagraph"/>
              <w:ind w:right="99"/>
              <w:jc w:val="both"/>
              <w:rPr>
                <w:sz w:val="22"/>
              </w:rPr>
            </w:pPr>
            <w:r>
              <w:rPr>
                <w:sz w:val="22"/>
              </w:rPr>
              <w:t>Es la manifestación pública que se hizo en trabajo de campo por parte de los actores históricos de los municipios de la CHPH para trabajar conjuntamente en la solución de sus problemas sociopolíticos compartidos (González, 2003 y García, TC: 2013- 2015).</w:t>
            </w:r>
          </w:p>
        </w:tc>
      </w:tr>
      <w:tr>
        <w:trPr>
          <w:trHeight w:val="262"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9"/>
          </w:tcPr>
          <w:p>
            <w:pPr>
              <w:pStyle w:val="TableParagraph"/>
              <w:spacing w:line="248" w:lineRule="exact"/>
              <w:ind w:left="2419" w:right="108"/>
              <w:rPr>
                <w:b/>
                <w:sz w:val="22"/>
              </w:rPr>
            </w:pPr>
            <w:r>
              <w:rPr>
                <w:b/>
                <w:sz w:val="22"/>
              </w:rPr>
              <w:t>Definición de la unidad de medición</w:t>
            </w:r>
          </w:p>
        </w:tc>
      </w:tr>
      <w:tr>
        <w:trPr>
          <w:trHeight w:val="1277" w:hRule="exact"/>
        </w:trPr>
        <w:tc>
          <w:tcPr>
            <w:tcW w:w="4295" w:type="dxa"/>
            <w:gridSpan w:val="5"/>
          </w:tcPr>
          <w:p>
            <w:pPr>
              <w:pStyle w:val="TableParagraph"/>
              <w:tabs>
                <w:tab w:pos="803" w:val="left" w:leader="none"/>
                <w:tab w:pos="1805" w:val="left" w:leader="none"/>
                <w:tab w:pos="3506" w:val="left" w:leader="none"/>
                <w:tab w:pos="4010" w:val="left" w:leader="none"/>
              </w:tabs>
              <w:ind w:right="100"/>
              <w:rPr>
                <w:sz w:val="22"/>
              </w:rPr>
            </w:pPr>
            <w:r>
              <w:rPr>
                <w:sz w:val="22"/>
              </w:rPr>
              <w:t>Deseo de colaboración de los actores históricos de los municipios de la CHPH para</w:t>
              <w:tab/>
              <w:t>trabajar</w:t>
              <w:tab/>
              <w:t>conjuntamente</w:t>
              <w:tab/>
              <w:t>en</w:t>
              <w:tab/>
              <w:t>la solución de sus problemas sociopolíticos (adimensional)</w:t>
            </w:r>
          </w:p>
        </w:tc>
        <w:tc>
          <w:tcPr>
            <w:tcW w:w="8603" w:type="dxa"/>
            <w:gridSpan w:val="9"/>
          </w:tcPr>
          <w:p>
            <w:pPr>
              <w:pStyle w:val="TableParagraph"/>
              <w:ind w:right="108"/>
              <w:rPr>
                <w:sz w:val="22"/>
              </w:rPr>
            </w:pPr>
            <w:r>
              <w:rPr>
                <w:sz w:val="22"/>
              </w:rPr>
              <w:t>Manifestación pública de los actores históricos de la CHPH para solucionar su problemática sociopolítica común de dicha Cuenca.</w:t>
            </w:r>
          </w:p>
          <w:p>
            <w:pPr>
              <w:pStyle w:val="TableParagraph"/>
              <w:spacing w:line="242" w:lineRule="auto"/>
              <w:ind w:right="108"/>
              <w:rPr>
                <w:sz w:val="22"/>
              </w:rPr>
            </w:pPr>
            <w:r>
              <w:rPr>
                <w:sz w:val="22"/>
              </w:rPr>
              <w:t>(Ejemplo: aún no han realizado acciones conjuntas los actores de la CHPH para solucionar sus problemas sociopolíticos).</w:t>
            </w:r>
          </w:p>
        </w:tc>
      </w:tr>
    </w:tbl>
    <w:p>
      <w:pPr>
        <w:spacing w:after="0" w:line="242" w:lineRule="auto"/>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27.7pt;mso-position-horizontal-relative:page;mso-position-vertical-relative:page;z-index:-3329272"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591;top:2336;width:12350;height:7504" type="#_x0000_t75" stroked="false">
              <v:imagedata r:id="rId455" o:title=""/>
            </v:shape>
            <w10:wrap type="none"/>
          </v:group>
        </w:pict>
      </w:r>
    </w:p>
    <w:p>
      <w:pPr>
        <w:pStyle w:val="BodyText"/>
        <w:spacing w:before="11"/>
        <w:rPr>
          <w:rFonts w:ascii="Times New Roman"/>
        </w:rPr>
      </w:pPr>
    </w:p>
    <w:p>
      <w:pPr>
        <w:pStyle w:val="Heading6"/>
        <w:spacing w:before="73"/>
        <w:ind w:left="5782" w:right="883"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4176">
            <wp:simplePos x="0" y="0"/>
            <wp:positionH relativeFrom="page">
              <wp:posOffset>876300</wp:posOffset>
            </wp:positionH>
            <wp:positionV relativeFrom="page">
              <wp:posOffset>1895982</wp:posOffset>
            </wp:positionV>
            <wp:extent cx="5404136" cy="2244470"/>
            <wp:effectExtent l="0" t="0" r="0" b="0"/>
            <wp:wrapNone/>
            <wp:docPr id="79" name="image324.png" descr=""/>
            <wp:cNvGraphicFramePr>
              <a:graphicFrameLocks noChangeAspect="1"/>
            </wp:cNvGraphicFramePr>
            <a:graphic>
              <a:graphicData uri="http://schemas.openxmlformats.org/drawingml/2006/picture">
                <pic:pic>
                  <pic:nvPicPr>
                    <pic:cNvPr id="80" name="image324.png"/>
                    <pic:cNvPicPr/>
                  </pic:nvPicPr>
                  <pic:blipFill>
                    <a:blip r:embed="rId456" cstate="print"/>
                    <a:stretch>
                      <a:fillRect/>
                    </a:stretch>
                  </pic:blipFill>
                  <pic:spPr>
                    <a:xfrm>
                      <a:off x="0" y="0"/>
                      <a:ext cx="5404136" cy="2244470"/>
                    </a:xfrm>
                    <a:prstGeom prst="rect">
                      <a:avLst/>
                    </a:prstGeom>
                  </pic:spPr>
                </pic:pic>
              </a:graphicData>
            </a:graphic>
          </wp:anchor>
        </w:drawing>
      </w:r>
      <w:r>
        <w:rPr/>
        <w:pict>
          <v:shape style="position:absolute;margin-left:524.830017pt;margin-top:161.059998pt;width:127.5pt;height:145.25pt;mso-position-horizontal-relative:page;mso-position-vertical-relative:page;z-index:1420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4" w:hRule="exact"/>
                    </w:trPr>
                    <w:tc>
                      <w:tcPr>
                        <w:tcW w:w="1034" w:type="dxa"/>
                      </w:tcPr>
                      <w:p>
                        <w:pPr>
                          <w:pStyle w:val="TableParagraph"/>
                          <w:spacing w:line="251" w:lineRule="exact"/>
                          <w:rPr>
                            <w:b/>
                            <w:sz w:val="22"/>
                          </w:rPr>
                        </w:pPr>
                        <w:r>
                          <w:rPr>
                            <w:b/>
                            <w:sz w:val="22"/>
                          </w:rPr>
                          <w:t>Período</w:t>
                        </w:r>
                      </w:p>
                    </w:tc>
                    <w:tc>
                      <w:tcPr>
                        <w:tcW w:w="1501" w:type="dxa"/>
                      </w:tcPr>
                      <w:p>
                        <w:pPr>
                          <w:pStyle w:val="TableParagraph"/>
                          <w:spacing w:line="251" w:lineRule="exact"/>
                          <w:rPr>
                            <w:b/>
                            <w:sz w:val="22"/>
                          </w:rPr>
                        </w:pPr>
                        <w:r>
                          <w:rPr>
                            <w:b/>
                            <w:sz w:val="22"/>
                          </w:rPr>
                          <w:t>Calificación</w:t>
                        </w:r>
                      </w:p>
                    </w:tc>
                  </w:tr>
                  <w:tr>
                    <w:trPr>
                      <w:trHeight w:val="264"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Excelente</w:t>
                        </w:r>
                      </w:p>
                    </w:tc>
                  </w:tr>
                  <w:tr>
                    <w:trPr>
                      <w:trHeight w:val="262"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Excelente</w:t>
                        </w:r>
                      </w:p>
                    </w:tc>
                  </w:tr>
                  <w:tr>
                    <w:trPr>
                      <w:trHeight w:val="264"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1785</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rPr>
                            <w:sz w:val="22"/>
                          </w:rPr>
                        </w:pPr>
                        <w:r>
                          <w:rPr>
                            <w:sz w:val="22"/>
                          </w:rPr>
                          <w:t>1810</w:t>
                        </w:r>
                      </w:p>
                    </w:tc>
                    <w:tc>
                      <w:tcPr>
                        <w:tcW w:w="1501" w:type="dxa"/>
                      </w:tcPr>
                      <w:p>
                        <w:pPr>
                          <w:pStyle w:val="TableParagraph"/>
                          <w:rPr>
                            <w:sz w:val="22"/>
                          </w:rPr>
                        </w:pPr>
                        <w:r>
                          <w:rPr>
                            <w:sz w:val="22"/>
                          </w:rPr>
                          <w:t>Bueno</w:t>
                        </w:r>
                      </w:p>
                    </w:tc>
                  </w:tr>
                  <w:tr>
                    <w:trPr>
                      <w:trHeight w:val="264" w:hRule="exact"/>
                    </w:trPr>
                    <w:tc>
                      <w:tcPr>
                        <w:tcW w:w="1034" w:type="dxa"/>
                      </w:tcPr>
                      <w:p>
                        <w:pPr>
                          <w:pStyle w:val="TableParagraph"/>
                          <w:spacing w:line="251" w:lineRule="exact"/>
                          <w:rPr>
                            <w:sz w:val="22"/>
                          </w:rPr>
                        </w:pPr>
                        <w:r>
                          <w:rPr>
                            <w:sz w:val="22"/>
                          </w:rPr>
                          <w:t>1861</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rPr>
                            <w:sz w:val="22"/>
                          </w:rPr>
                        </w:pPr>
                        <w:r>
                          <w:rPr>
                            <w:sz w:val="22"/>
                          </w:rPr>
                          <w:t>Bueno</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353" w:hRule="exact"/>
        </w:trPr>
        <w:tc>
          <w:tcPr>
            <w:tcW w:w="12822" w:type="dxa"/>
            <w:gridSpan w:val="7"/>
          </w:tcPr>
          <w:p>
            <w:pPr>
              <w:pStyle w:val="TableParagraph"/>
              <w:spacing w:line="242" w:lineRule="auto"/>
              <w:ind w:left="27" w:right="22"/>
              <w:rPr>
                <w:sz w:val="22"/>
              </w:rPr>
            </w:pPr>
            <w:r>
              <w:rPr>
                <w:sz w:val="22"/>
              </w:rPr>
              <w:t>Para identificar el deseo de colaboración de los actores históricos de los municipios de la CHPH para trabajar conjuntamente en la solución de sus problemas sociopolíticos compartidos se elaboró la siguiente gráfica:</w:t>
            </w:r>
          </w:p>
          <w:p>
            <w:pPr>
              <w:pStyle w:val="TableParagraph"/>
              <w:spacing w:before="7"/>
              <w:ind w:left="0"/>
              <w:rPr>
                <w:rFonts w:ascii="Times New Roman"/>
                <w:sz w:val="21"/>
              </w:rPr>
            </w:pPr>
          </w:p>
          <w:p>
            <w:pPr>
              <w:pStyle w:val="TableParagraph"/>
              <w:ind w:left="3757" w:right="57"/>
              <w:rPr>
                <w:b/>
                <w:sz w:val="22"/>
              </w:rPr>
            </w:pPr>
            <w:r>
              <w:rPr>
                <w:b/>
                <w:sz w:val="22"/>
              </w:rPr>
              <w:t>Gráfica 7.15.</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
              <w:ind w:left="0"/>
              <w:rPr>
                <w:rFonts w:ascii="Times New Roman"/>
                <w:sz w:val="25"/>
              </w:rPr>
            </w:pPr>
          </w:p>
          <w:p>
            <w:pPr>
              <w:pStyle w:val="TableParagraph"/>
              <w:spacing w:line="50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894" w:type="dxa"/>
            <w:vMerge w:val="restart"/>
          </w:tcPr>
          <w:p>
            <w:pPr>
              <w:pStyle w:val="TableParagraph"/>
              <w:tabs>
                <w:tab w:pos="1556" w:val="left" w:leader="none"/>
              </w:tabs>
              <w:ind w:right="103"/>
              <w:jc w:val="both"/>
              <w:rPr>
                <w:sz w:val="20"/>
              </w:rPr>
            </w:pPr>
            <w:r>
              <w:rPr>
                <w:sz w:val="20"/>
              </w:rPr>
              <w:t>Clasificación por número</w:t>
              <w:tab/>
              <w:t>de eventos en el período</w:t>
            </w:r>
          </w:p>
        </w:tc>
        <w:tc>
          <w:tcPr>
            <w:tcW w:w="8344" w:type="dxa"/>
            <w:gridSpan w:val="4"/>
          </w:tcPr>
          <w:p>
            <w:pPr>
              <w:pStyle w:val="TableParagraph"/>
              <w:spacing w:line="242" w:lineRule="auto"/>
              <w:ind w:left="100" w:right="102"/>
              <w:rPr>
                <w:sz w:val="20"/>
              </w:rPr>
            </w:pPr>
            <w:r>
              <w:rPr>
                <w:sz w:val="20"/>
              </w:rPr>
              <w:t>Clasificación por </w:t>
            </w:r>
            <w:r>
              <w:rPr>
                <w:b/>
                <w:sz w:val="20"/>
              </w:rPr>
              <w:t>características de impacto positivo o negativo </w:t>
            </w:r>
            <w:r>
              <w:rPr>
                <w:sz w:val="20"/>
              </w:rPr>
              <w:t>en los ámbitos ambiental-sociopolítico-económico</w:t>
            </w:r>
          </w:p>
        </w:tc>
        <w:tc>
          <w:tcPr>
            <w:tcW w:w="1630" w:type="dxa"/>
            <w:vMerge w:val="restart"/>
            <w:tcBorders>
              <w:right w:val="double" w:sz="12" w:space="0" w:color="000000"/>
            </w:tcBorders>
          </w:tcPr>
          <w:p>
            <w:pPr>
              <w:pStyle w:val="TableParagraph"/>
              <w:spacing w:before="117"/>
              <w:ind w:left="238" w:right="237"/>
              <w:jc w:val="center"/>
              <w:rPr>
                <w:sz w:val="20"/>
              </w:rPr>
            </w:pPr>
            <w:r>
              <w:rPr>
                <w:w w:val="95"/>
                <w:sz w:val="20"/>
              </w:rPr>
              <w:t>Clasificación </w:t>
            </w:r>
            <w:r>
              <w:rPr>
                <w:sz w:val="20"/>
              </w:rPr>
              <w:t>de la calificación</w:t>
            </w:r>
          </w:p>
        </w:tc>
      </w:tr>
      <w:tr>
        <w:trPr>
          <w:trHeight w:val="480"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27" w:lineRule="exact"/>
              <w:ind w:left="100"/>
              <w:rPr>
                <w:sz w:val="20"/>
              </w:rPr>
            </w:pPr>
            <w:r>
              <w:rPr>
                <w:sz w:val="20"/>
              </w:rPr>
              <w:t>Subsistema</w:t>
            </w:r>
          </w:p>
        </w:tc>
        <w:tc>
          <w:tcPr>
            <w:tcW w:w="3034" w:type="dxa"/>
          </w:tcPr>
          <w:p>
            <w:pPr>
              <w:pStyle w:val="TableParagraph"/>
              <w:spacing w:line="227" w:lineRule="exact"/>
              <w:rPr>
                <w:sz w:val="20"/>
              </w:rPr>
            </w:pPr>
            <w:r>
              <w:rPr>
                <w:sz w:val="20"/>
              </w:rPr>
              <w:t>características</w:t>
            </w:r>
          </w:p>
        </w:tc>
        <w:tc>
          <w:tcPr>
            <w:tcW w:w="1479" w:type="dxa"/>
          </w:tcPr>
          <w:p>
            <w:pPr>
              <w:pStyle w:val="TableParagraph"/>
              <w:tabs>
                <w:tab w:pos="1144" w:val="left" w:leader="none"/>
              </w:tabs>
              <w:spacing w:line="227" w:lineRule="exact"/>
              <w:rPr>
                <w:sz w:val="20"/>
              </w:rPr>
            </w:pPr>
            <w:r>
              <w:rPr>
                <w:sz w:val="20"/>
              </w:rPr>
              <w:t>%</w:t>
              <w:tab/>
              <w:t>de</w:t>
            </w:r>
          </w:p>
          <w:p>
            <w:pPr>
              <w:pStyle w:val="TableParagraph"/>
              <w:rPr>
                <w:sz w:val="20"/>
              </w:rPr>
            </w:pPr>
            <w:r>
              <w:rPr>
                <w:sz w:val="20"/>
              </w:rPr>
              <w:t>cumplimiento</w:t>
            </w:r>
          </w:p>
        </w:tc>
        <w:tc>
          <w:tcPr>
            <w:tcW w:w="2482" w:type="dxa"/>
          </w:tcPr>
          <w:p>
            <w:pPr>
              <w:pStyle w:val="TableParagraph"/>
              <w:spacing w:line="227" w:lineRule="exact"/>
              <w:rPr>
                <w:sz w:val="20"/>
              </w:rPr>
            </w:pPr>
            <w:r>
              <w:rPr>
                <w:sz w:val="20"/>
              </w:rPr>
              <w:t>Observaciones</w:t>
            </w:r>
          </w:p>
        </w:tc>
        <w:tc>
          <w:tcPr>
            <w:tcW w:w="1630"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3469"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209" w:right="212"/>
              <w:jc w:val="center"/>
              <w:rPr>
                <w:sz w:val="20"/>
              </w:rPr>
            </w:pPr>
            <w:r>
              <w:rPr>
                <w:sz w:val="20"/>
              </w:rPr>
              <w:t>1400</w:t>
            </w:r>
          </w:p>
        </w:tc>
        <w:tc>
          <w:tcPr>
            <w:tcW w:w="189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49" w:type="dxa"/>
          </w:tcPr>
          <w:p>
            <w:pPr>
              <w:pStyle w:val="TableParagraph"/>
              <w:spacing w:before="7"/>
              <w:ind w:left="100"/>
              <w:rPr>
                <w:sz w:val="20"/>
              </w:rPr>
            </w:pPr>
            <w:r>
              <w:rPr>
                <w:sz w:val="20"/>
              </w:rPr>
              <w:t>Ambiental</w:t>
            </w:r>
          </w:p>
        </w:tc>
        <w:tc>
          <w:tcPr>
            <w:tcW w:w="3034" w:type="dxa"/>
          </w:tcPr>
          <w:p>
            <w:pPr>
              <w:pStyle w:val="TableParagraph"/>
              <w:numPr>
                <w:ilvl w:val="0"/>
                <w:numId w:val="224"/>
              </w:numPr>
              <w:tabs>
                <w:tab w:pos="812" w:val="left" w:leader="none"/>
              </w:tabs>
              <w:spacing w:line="240" w:lineRule="auto" w:before="7" w:after="0"/>
              <w:ind w:left="280" w:right="104" w:hanging="141"/>
              <w:jc w:val="both"/>
              <w:rPr>
                <w:sz w:val="20"/>
              </w:rPr>
            </w:pPr>
            <w:r>
              <w:rPr>
                <w:sz w:val="20"/>
              </w:rPr>
              <w:t>Existe cooperación entre los actores de la CHPH para cuidar el medio ambiente</w:t>
            </w:r>
          </w:p>
          <w:p>
            <w:pPr>
              <w:pStyle w:val="TableParagraph"/>
              <w:numPr>
                <w:ilvl w:val="0"/>
                <w:numId w:val="224"/>
              </w:numPr>
              <w:tabs>
                <w:tab w:pos="812" w:val="left" w:leader="none"/>
                <w:tab w:pos="2094" w:val="left" w:leader="none"/>
              </w:tabs>
              <w:spacing w:line="240" w:lineRule="auto" w:before="0" w:after="0"/>
              <w:ind w:left="280" w:right="104" w:hanging="141"/>
              <w:jc w:val="both"/>
              <w:rPr>
                <w:sz w:val="20"/>
              </w:rPr>
            </w:pPr>
            <w:r>
              <w:rPr>
                <w:sz w:val="20"/>
              </w:rPr>
              <w:t>Existen</w:t>
              <w:tab/>
              <w:t>acuerdos democráticos entre los actores de la CHPH para cuidar el medio</w:t>
            </w:r>
            <w:r>
              <w:rPr>
                <w:spacing w:val="-8"/>
                <w:sz w:val="20"/>
              </w:rPr>
              <w:t> </w:t>
            </w:r>
            <w:r>
              <w:rPr>
                <w:sz w:val="20"/>
              </w:rPr>
              <w:t>ambiente</w:t>
            </w:r>
          </w:p>
          <w:p>
            <w:pPr>
              <w:pStyle w:val="TableParagraph"/>
              <w:numPr>
                <w:ilvl w:val="0"/>
                <w:numId w:val="224"/>
              </w:numPr>
              <w:tabs>
                <w:tab w:pos="812" w:val="left" w:leader="none"/>
              </w:tabs>
              <w:spacing w:line="240" w:lineRule="auto" w:before="0" w:after="0"/>
              <w:ind w:left="280" w:right="105" w:hanging="141"/>
              <w:jc w:val="both"/>
              <w:rPr>
                <w:sz w:val="20"/>
              </w:rPr>
            </w:pPr>
            <w:r>
              <w:rPr>
                <w:sz w:val="20"/>
              </w:rPr>
              <w:t>Existe acción colectiva de los actores de la CHPH para cuidar el medio ambiente</w:t>
            </w:r>
          </w:p>
          <w:p>
            <w:pPr>
              <w:pStyle w:val="TableParagraph"/>
              <w:numPr>
                <w:ilvl w:val="0"/>
                <w:numId w:val="224"/>
              </w:numPr>
              <w:tabs>
                <w:tab w:pos="812" w:val="left" w:leader="none"/>
                <w:tab w:pos="1950" w:val="left" w:leader="none"/>
              </w:tabs>
              <w:spacing w:line="240" w:lineRule="auto" w:before="0" w:after="0"/>
              <w:ind w:left="280" w:right="101" w:hanging="141"/>
              <w:jc w:val="both"/>
              <w:rPr>
                <w:sz w:val="20"/>
              </w:rPr>
            </w:pPr>
            <w:r>
              <w:rPr>
                <w:sz w:val="20"/>
              </w:rPr>
              <w:t>Existe</w:t>
              <w:tab/>
              <w:t>planeación ambiental con articulación entre</w:t>
            </w:r>
            <w:r>
              <w:rPr>
                <w:spacing w:val="-5"/>
                <w:sz w:val="20"/>
              </w:rPr>
              <w:t> </w:t>
            </w:r>
            <w:r>
              <w:rPr>
                <w:sz w:val="20"/>
              </w:rPr>
              <w:t>actores</w:t>
            </w:r>
          </w:p>
        </w:tc>
        <w:tc>
          <w:tcPr>
            <w:tcW w:w="1479"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480"/>
              <w:rPr>
                <w:sz w:val="20"/>
              </w:rPr>
            </w:pPr>
            <w:r>
              <w:rPr>
                <w:sz w:val="20"/>
              </w:rPr>
              <w:t>100%</w:t>
            </w:r>
          </w:p>
        </w:tc>
        <w:tc>
          <w:tcPr>
            <w:tcW w:w="2482" w:type="dxa"/>
            <w:vMerge w:val="restart"/>
          </w:tcPr>
          <w:p>
            <w:pPr>
              <w:pStyle w:val="TableParagraph"/>
              <w:spacing w:line="242" w:lineRule="auto" w:before="4"/>
              <w:ind w:right="105"/>
              <w:jc w:val="both"/>
              <w:rPr>
                <w:sz w:val="20"/>
              </w:rPr>
            </w:pPr>
            <w:r>
              <w:rPr>
                <w:sz w:val="20"/>
              </w:rPr>
              <w:t>Debe reunir al </w:t>
            </w:r>
            <w:r>
              <w:rPr>
                <w:b/>
                <w:sz w:val="20"/>
              </w:rPr>
              <w:t>100% las tres </w:t>
            </w:r>
            <w:r>
              <w:rPr>
                <w:sz w:val="20"/>
              </w:rPr>
              <w:t>características de impacto positivo</w:t>
            </w:r>
          </w:p>
        </w:tc>
        <w:tc>
          <w:tcPr>
            <w:tcW w:w="1630"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24"/>
              <w:rPr>
                <w:b/>
                <w:sz w:val="20"/>
              </w:rPr>
            </w:pPr>
            <w:r>
              <w:rPr>
                <w:b/>
                <w:sz w:val="20"/>
              </w:rPr>
              <w:t>Excelente</w:t>
            </w:r>
          </w:p>
        </w:tc>
      </w:tr>
      <w:tr>
        <w:trPr>
          <w:trHeight w:val="3000"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209" w:right="212"/>
              <w:jc w:val="center"/>
              <w:rPr>
                <w:sz w:val="20"/>
              </w:rPr>
            </w:pPr>
            <w:r>
              <w:rPr>
                <w:sz w:val="20"/>
              </w:rPr>
              <w:t>1519</w:t>
            </w:r>
          </w:p>
        </w:tc>
        <w:tc>
          <w:tcPr>
            <w:tcW w:w="1894" w:type="dxa"/>
            <w:vMerge/>
          </w:tcPr>
          <w:p>
            <w:pPr/>
          </w:p>
        </w:tc>
        <w:tc>
          <w:tcPr>
            <w:tcW w:w="1349" w:type="dxa"/>
          </w:tcPr>
          <w:p>
            <w:pPr>
              <w:pStyle w:val="TableParagraph"/>
              <w:spacing w:line="230" w:lineRule="exact"/>
              <w:ind w:left="100"/>
              <w:rPr>
                <w:sz w:val="20"/>
              </w:rPr>
            </w:pPr>
            <w:r>
              <w:rPr>
                <w:sz w:val="20"/>
              </w:rPr>
              <w:t>Económico</w:t>
            </w:r>
          </w:p>
        </w:tc>
        <w:tc>
          <w:tcPr>
            <w:tcW w:w="3034" w:type="dxa"/>
          </w:tcPr>
          <w:p>
            <w:pPr>
              <w:pStyle w:val="TableParagraph"/>
              <w:numPr>
                <w:ilvl w:val="0"/>
                <w:numId w:val="225"/>
              </w:numPr>
              <w:tabs>
                <w:tab w:pos="812" w:val="left" w:leader="none"/>
                <w:tab w:pos="1950" w:val="left" w:leader="none"/>
              </w:tabs>
              <w:spacing w:line="240" w:lineRule="auto" w:before="0" w:after="0"/>
              <w:ind w:left="280" w:right="102" w:hanging="141"/>
              <w:jc w:val="both"/>
              <w:rPr>
                <w:sz w:val="20"/>
              </w:rPr>
            </w:pPr>
            <w:r>
              <w:rPr>
                <w:sz w:val="20"/>
              </w:rPr>
              <w:t>Existe coordinación entre los actores de la CHPH para</w:t>
              <w:tab/>
              <w:t>distribuirse equitativamente los recursos naturales</w:t>
            </w:r>
          </w:p>
          <w:p>
            <w:pPr>
              <w:pStyle w:val="TableParagraph"/>
              <w:numPr>
                <w:ilvl w:val="0"/>
                <w:numId w:val="225"/>
              </w:numPr>
              <w:tabs>
                <w:tab w:pos="812" w:val="left" w:leader="none"/>
              </w:tabs>
              <w:spacing w:line="240" w:lineRule="auto" w:before="1" w:after="0"/>
              <w:ind w:left="280" w:right="104" w:hanging="141"/>
              <w:jc w:val="both"/>
              <w:rPr>
                <w:sz w:val="20"/>
              </w:rPr>
            </w:pPr>
            <w:r>
              <w:rPr>
                <w:sz w:val="20"/>
              </w:rPr>
              <w:t>Existe cooperación entre los actores de los distintos municipios de la CHPH para el crecimiento económico</w:t>
            </w:r>
          </w:p>
          <w:p>
            <w:pPr>
              <w:pStyle w:val="TableParagraph"/>
              <w:numPr>
                <w:ilvl w:val="0"/>
                <w:numId w:val="225"/>
              </w:numPr>
              <w:tabs>
                <w:tab w:pos="812" w:val="left" w:leader="none"/>
                <w:tab w:pos="1950"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9" w:type="dxa"/>
            <w:vMerge/>
          </w:tcPr>
          <w:p>
            <w:pPr/>
          </w:p>
        </w:tc>
        <w:tc>
          <w:tcPr>
            <w:tcW w:w="2482" w:type="dxa"/>
            <w:vMerge/>
          </w:tcPr>
          <w:p>
            <w:pPr/>
          </w:p>
        </w:tc>
        <w:tc>
          <w:tcPr>
            <w:tcW w:w="1630" w:type="dxa"/>
            <w:vMerge/>
            <w:tcBorders>
              <w:right w:val="double" w:sz="12" w:space="0" w:color="000000"/>
            </w:tcBorders>
            <w:shd w:val="clear" w:color="auto" w:fill="00FF00"/>
          </w:tcPr>
          <w:p>
            <w:pPr/>
          </w:p>
        </w:tc>
      </w:tr>
      <w:tr>
        <w:trPr>
          <w:trHeight w:val="2312" w:hRule="exact"/>
        </w:trPr>
        <w:tc>
          <w:tcPr>
            <w:tcW w:w="954" w:type="dxa"/>
            <w:tcBorders>
              <w:left w:val="double" w:sz="11" w:space="0" w:color="000000"/>
            </w:tcBorders>
          </w:tcPr>
          <w:p>
            <w:pPr/>
          </w:p>
        </w:tc>
        <w:tc>
          <w:tcPr>
            <w:tcW w:w="1894" w:type="dxa"/>
            <w:vMerge/>
          </w:tcPr>
          <w:p>
            <w:pPr/>
          </w:p>
        </w:tc>
        <w:tc>
          <w:tcPr>
            <w:tcW w:w="1349" w:type="dxa"/>
          </w:tcPr>
          <w:p>
            <w:pPr>
              <w:pStyle w:val="TableParagraph"/>
              <w:spacing w:line="230" w:lineRule="exact"/>
              <w:ind w:left="100"/>
              <w:rPr>
                <w:sz w:val="20"/>
              </w:rPr>
            </w:pPr>
            <w:r>
              <w:rPr>
                <w:sz w:val="20"/>
              </w:rPr>
              <w:t>Sociopolítico</w:t>
            </w:r>
          </w:p>
        </w:tc>
        <w:tc>
          <w:tcPr>
            <w:tcW w:w="3034" w:type="dxa"/>
          </w:tcPr>
          <w:p>
            <w:pPr>
              <w:pStyle w:val="TableParagraph"/>
              <w:ind w:left="280" w:right="104" w:hanging="178"/>
              <w:jc w:val="both"/>
              <w:rPr>
                <w:sz w:val="20"/>
              </w:rPr>
            </w:pPr>
            <w:r>
              <w:rPr>
                <w:rFonts w:ascii="Wingdings" w:hAnsi="Wingdings"/>
                <w:sz w:val="20"/>
              </w:rPr>
              <w:t></w:t>
            </w:r>
            <w:r>
              <w:rPr>
                <w:sz w:val="20"/>
              </w:rPr>
              <w:t>Favorece la cooperación de los actores para cuidar el medio ambiente de la CHPH</w:t>
            </w:r>
          </w:p>
          <w:p>
            <w:pPr>
              <w:pStyle w:val="TableParagraph"/>
              <w:tabs>
                <w:tab w:pos="1137" w:val="left" w:leader="none"/>
                <w:tab w:pos="2820" w:val="left" w:leader="none"/>
              </w:tabs>
              <w:spacing w:before="1"/>
              <w:ind w:left="280" w:right="103" w:hanging="178"/>
              <w:jc w:val="both"/>
              <w:rPr>
                <w:sz w:val="20"/>
              </w:rPr>
            </w:pPr>
            <w:r>
              <w:rPr>
                <w:rFonts w:ascii="Wingdings" w:hAnsi="Wingdings"/>
                <w:spacing w:val="2"/>
                <w:sz w:val="20"/>
              </w:rPr>
              <w:t></w:t>
            </w:r>
            <w:r>
              <w:rPr>
                <w:spacing w:val="2"/>
                <w:sz w:val="20"/>
              </w:rPr>
              <w:t>Favorece </w:t>
            </w:r>
            <w:r>
              <w:rPr>
                <w:sz w:val="20"/>
              </w:rPr>
              <w:t>la relación de los actores de la CHPH por  la vía</w:t>
              <w:tab/>
              <w:t>democrática</w:t>
              <w:tab/>
              <w:t>y</w:t>
            </w:r>
            <w:r>
              <w:rPr>
                <w:w w:val="99"/>
                <w:sz w:val="20"/>
              </w:rPr>
              <w:t> </w:t>
            </w:r>
            <w:r>
              <w:rPr>
                <w:sz w:val="20"/>
              </w:rPr>
              <w:t>participativa</w:t>
            </w:r>
          </w:p>
          <w:p>
            <w:pPr>
              <w:pStyle w:val="TableParagraph"/>
              <w:ind w:left="280" w:right="103" w:hanging="178"/>
              <w:jc w:val="both"/>
              <w:rPr>
                <w:sz w:val="20"/>
              </w:rPr>
            </w:pPr>
            <w:r>
              <w:rPr>
                <w:rFonts w:ascii="Wingdings" w:hAnsi="Wingdings"/>
                <w:sz w:val="20"/>
              </w:rPr>
              <w:t></w:t>
            </w:r>
            <w:r>
              <w:rPr>
                <w:sz w:val="20"/>
              </w:rPr>
              <w:t>Favorece los vínculos entre actores para cuidar el medio ambiente</w:t>
            </w:r>
          </w:p>
        </w:tc>
        <w:tc>
          <w:tcPr>
            <w:tcW w:w="1479" w:type="dxa"/>
            <w:vMerge/>
          </w:tcPr>
          <w:p>
            <w:pPr/>
          </w:p>
        </w:tc>
        <w:tc>
          <w:tcPr>
            <w:tcW w:w="2482" w:type="dxa"/>
            <w:vMerge/>
          </w:tcPr>
          <w:p>
            <w:pPr/>
          </w:p>
        </w:tc>
        <w:tc>
          <w:tcPr>
            <w:tcW w:w="1630"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27.219971pt;margin-top:155.546005pt;width:79.1pt;height:366.45pt;mso-position-horizontal-relative:page;mso-position-vertical-relative:page;z-index:-3329200" coordorigin="12544,3111" coordsize="1582,7329">
            <v:shape style="position:absolute;left:12544;top:3111;width:1582;height:7329" type="#_x0000_t75" stroked="false">
              <v:imagedata r:id="rId457" o:title=""/>
            </v:shape>
            <v:shape style="position:absolute;left:12648;top:5742;width:1375;height:228" type="#_x0000_t75" stroked="false">
              <v:imagedata r:id="rId458" o:title=""/>
            </v:shape>
            <v:shape style="position:absolute;left:12648;top:5970;width:1375;height:230" type="#_x0000_t75" stroked="false">
              <v:imagedata r:id="rId459" o:title=""/>
            </v:shape>
            <v:shape style="position:absolute;left:12648;top:6200;width:1375;height:231" type="#_x0000_t75" stroked="false">
              <v:imagedata r:id="rId460" o:title=""/>
            </v:shape>
            <v:shape style="position:absolute;left:12648;top:6431;width:1375;height:230" type="#_x0000_t75" stroked="false">
              <v:imagedata r:id="rId461" o:title=""/>
            </v:shape>
            <v:shape style="position:absolute;left:12648;top:6661;width:1375;height:230" type="#_x0000_t75" stroked="false">
              <v:imagedata r:id="rId462" o:title=""/>
            </v:shape>
            <v:shape style="position:absolute;left:12648;top:6892;width:1375;height:230" type="#_x0000_t75" stroked="false">
              <v:imagedata r:id="rId463" o:title=""/>
            </v:shape>
            <v:shape style="position:absolute;left:12648;top:7122;width:1375;height:228" type="#_x0000_t75" stroked="false">
              <v:imagedata r:id="rId464" o:title=""/>
            </v:shape>
            <v:shape style="position:absolute;left:12648;top:7350;width:1375;height:230" type="#_x0000_t75" stroked="false">
              <v:imagedata r:id="rId465" o:title=""/>
            </v:shape>
            <v:shape style="position:absolute;left:12648;top:7581;width:1375;height:230" type="#_x0000_t75" stroked="false">
              <v:imagedata r:id="rId466"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1399" w:hRule="exact"/>
        </w:trPr>
        <w:tc>
          <w:tcPr>
            <w:tcW w:w="954" w:type="dxa"/>
            <w:tcBorders>
              <w:left w:val="double" w:sz="11" w:space="0" w:color="000000"/>
            </w:tcBorders>
          </w:tcPr>
          <w:p>
            <w:pPr/>
          </w:p>
        </w:tc>
        <w:tc>
          <w:tcPr>
            <w:tcW w:w="1894" w:type="dxa"/>
          </w:tcPr>
          <w:p>
            <w:pPr/>
          </w:p>
        </w:tc>
        <w:tc>
          <w:tcPr>
            <w:tcW w:w="1349" w:type="dxa"/>
          </w:tcPr>
          <w:p>
            <w:pPr/>
          </w:p>
        </w:tc>
        <w:tc>
          <w:tcPr>
            <w:tcW w:w="3034" w:type="dxa"/>
          </w:tcPr>
          <w:p>
            <w:pPr>
              <w:pStyle w:val="TableParagraph"/>
              <w:spacing w:before="7"/>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950"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79" w:type="dxa"/>
          </w:tcPr>
          <w:p>
            <w:pPr/>
          </w:p>
        </w:tc>
        <w:tc>
          <w:tcPr>
            <w:tcW w:w="2482" w:type="dxa"/>
          </w:tcPr>
          <w:p>
            <w:pPr/>
          </w:p>
        </w:tc>
        <w:tc>
          <w:tcPr>
            <w:tcW w:w="1630" w:type="dxa"/>
            <w:tcBorders>
              <w:right w:val="double" w:sz="12" w:space="0" w:color="000000"/>
            </w:tcBorders>
            <w:shd w:val="clear" w:color="auto" w:fill="00FF00"/>
          </w:tcPr>
          <w:p>
            <w:pPr/>
          </w:p>
        </w:tc>
      </w:tr>
      <w:tr>
        <w:trPr>
          <w:trHeight w:val="3231"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19"/>
              </w:rPr>
            </w:pPr>
          </w:p>
          <w:p>
            <w:pPr>
              <w:pStyle w:val="TableParagraph"/>
              <w:ind w:left="209" w:right="212"/>
              <w:jc w:val="center"/>
              <w:rPr>
                <w:sz w:val="20"/>
              </w:rPr>
            </w:pPr>
            <w:r>
              <w:rPr>
                <w:sz w:val="20"/>
              </w:rPr>
              <w:t>1580</w:t>
            </w:r>
          </w:p>
        </w:tc>
        <w:tc>
          <w:tcPr>
            <w:tcW w:w="189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349" w:type="dxa"/>
            <w:vMerge w:val="restart"/>
          </w:tcPr>
          <w:p>
            <w:pPr>
              <w:pStyle w:val="TableParagraph"/>
              <w:spacing w:line="227" w:lineRule="exact"/>
              <w:ind w:left="100"/>
              <w:rPr>
                <w:sz w:val="20"/>
              </w:rPr>
            </w:pPr>
            <w:r>
              <w:rPr>
                <w:sz w:val="20"/>
              </w:rPr>
              <w:t>Ambiental</w:t>
            </w:r>
          </w:p>
        </w:tc>
        <w:tc>
          <w:tcPr>
            <w:tcW w:w="3034" w:type="dxa"/>
            <w:vMerge w:val="restart"/>
          </w:tcPr>
          <w:p>
            <w:pPr>
              <w:pStyle w:val="TableParagraph"/>
              <w:numPr>
                <w:ilvl w:val="0"/>
                <w:numId w:val="226"/>
              </w:numPr>
              <w:tabs>
                <w:tab w:pos="812" w:val="left" w:leader="none"/>
              </w:tabs>
              <w:spacing w:line="240" w:lineRule="auto" w:before="0" w:after="0"/>
              <w:ind w:left="280" w:right="104" w:hanging="141"/>
              <w:jc w:val="both"/>
              <w:rPr>
                <w:sz w:val="20"/>
              </w:rPr>
            </w:pPr>
            <w:r>
              <w:rPr>
                <w:sz w:val="20"/>
              </w:rPr>
              <w:t>Existe cooperación entre los actores de la CHPH para cuidar el medio ambiente</w:t>
            </w:r>
          </w:p>
          <w:p>
            <w:pPr>
              <w:pStyle w:val="TableParagraph"/>
              <w:numPr>
                <w:ilvl w:val="0"/>
                <w:numId w:val="226"/>
              </w:numPr>
              <w:tabs>
                <w:tab w:pos="812" w:val="left" w:leader="none"/>
                <w:tab w:pos="2094" w:val="left" w:leader="none"/>
              </w:tabs>
              <w:spacing w:line="240" w:lineRule="auto" w:before="0" w:after="0"/>
              <w:ind w:left="280" w:right="104" w:hanging="141"/>
              <w:jc w:val="both"/>
              <w:rPr>
                <w:sz w:val="20"/>
              </w:rPr>
            </w:pPr>
            <w:r>
              <w:rPr>
                <w:sz w:val="20"/>
              </w:rPr>
              <w:t>Existen</w:t>
              <w:tab/>
              <w:t>acuerdos democráticos entre los actores de la CHPH para cuidar el medio</w:t>
            </w:r>
            <w:r>
              <w:rPr>
                <w:spacing w:val="-7"/>
                <w:sz w:val="20"/>
              </w:rPr>
              <w:t> </w:t>
            </w:r>
            <w:r>
              <w:rPr>
                <w:sz w:val="20"/>
              </w:rPr>
              <w:t>ambiente</w:t>
            </w:r>
          </w:p>
          <w:p>
            <w:pPr>
              <w:pStyle w:val="TableParagraph"/>
              <w:numPr>
                <w:ilvl w:val="0"/>
                <w:numId w:val="226"/>
              </w:numPr>
              <w:tabs>
                <w:tab w:pos="812" w:val="left" w:leader="none"/>
              </w:tabs>
              <w:spacing w:line="240" w:lineRule="auto" w:before="0" w:after="0"/>
              <w:ind w:left="280" w:right="105" w:hanging="141"/>
              <w:jc w:val="both"/>
              <w:rPr>
                <w:sz w:val="20"/>
              </w:rPr>
            </w:pPr>
            <w:r>
              <w:rPr>
                <w:sz w:val="20"/>
              </w:rPr>
              <w:t>Existe acción colectiva de los actores de la CHPH para cuidar el medio ambiente</w:t>
            </w:r>
          </w:p>
          <w:p>
            <w:pPr>
              <w:pStyle w:val="TableParagraph"/>
              <w:numPr>
                <w:ilvl w:val="0"/>
                <w:numId w:val="226"/>
              </w:numPr>
              <w:tabs>
                <w:tab w:pos="812" w:val="left" w:leader="none"/>
                <w:tab w:pos="1950" w:val="left" w:leader="none"/>
              </w:tabs>
              <w:spacing w:line="240" w:lineRule="auto" w:before="0" w:after="0"/>
              <w:ind w:left="280" w:right="103" w:hanging="141"/>
              <w:jc w:val="both"/>
              <w:rPr>
                <w:sz w:val="20"/>
              </w:rPr>
            </w:pPr>
            <w:r>
              <w:rPr>
                <w:sz w:val="20"/>
              </w:rPr>
              <w:t>Existe</w:t>
              <w:tab/>
              <w:t>planeación ambiental con articulación entre</w:t>
            </w:r>
            <w:r>
              <w:rPr>
                <w:spacing w:val="-5"/>
                <w:sz w:val="20"/>
              </w:rPr>
              <w:t> </w:t>
            </w:r>
            <w:r>
              <w:rPr>
                <w:sz w:val="20"/>
              </w:rPr>
              <w:t>actores</w:t>
            </w:r>
          </w:p>
        </w:tc>
        <w:tc>
          <w:tcPr>
            <w:tcW w:w="1479"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8"/>
              </w:rPr>
            </w:pPr>
          </w:p>
          <w:p>
            <w:pPr>
              <w:pStyle w:val="TableParagraph"/>
              <w:spacing w:before="1"/>
              <w:ind w:left="514" w:right="514"/>
              <w:jc w:val="center"/>
              <w:rPr>
                <w:sz w:val="20"/>
              </w:rPr>
            </w:pPr>
            <w:r>
              <w:rPr>
                <w:sz w:val="20"/>
              </w:rPr>
              <w:t>75%</w:t>
            </w:r>
          </w:p>
        </w:tc>
        <w:tc>
          <w:tcPr>
            <w:tcW w:w="2482" w:type="dxa"/>
            <w:vMerge w:val="restart"/>
          </w:tcPr>
          <w:p>
            <w:pPr>
              <w:pStyle w:val="TableParagraph"/>
              <w:tabs>
                <w:tab w:pos="2141" w:val="left" w:leader="none"/>
              </w:tabs>
              <w:spacing w:line="242" w:lineRule="auto"/>
              <w:ind w:right="106"/>
              <w:jc w:val="both"/>
              <w:rPr>
                <w:sz w:val="20"/>
              </w:rPr>
            </w:pPr>
            <w:r>
              <w:rPr>
                <w:sz w:val="20"/>
              </w:rPr>
              <w:t>Debe reunir </w:t>
            </w:r>
            <w:r>
              <w:rPr>
                <w:b/>
                <w:sz w:val="20"/>
              </w:rPr>
              <w:t>al menos el 75% </w:t>
            </w:r>
            <w:r>
              <w:rPr>
                <w:sz w:val="20"/>
              </w:rPr>
              <w:t>dos de tres características</w:t>
              <w:tab/>
              <w:t>de impacto</w:t>
            </w:r>
            <w:r>
              <w:rPr>
                <w:spacing w:val="-3"/>
                <w:sz w:val="20"/>
              </w:rPr>
              <w:t> </w:t>
            </w:r>
            <w:r>
              <w:rPr>
                <w:sz w:val="20"/>
              </w:rPr>
              <w:t>positivo</w:t>
            </w:r>
          </w:p>
        </w:tc>
        <w:tc>
          <w:tcPr>
            <w:tcW w:w="1630"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3"/>
              <w:ind w:left="0"/>
              <w:rPr>
                <w:rFonts w:ascii="Times New Roman"/>
                <w:sz w:val="28"/>
              </w:rPr>
            </w:pPr>
          </w:p>
          <w:p>
            <w:pPr>
              <w:pStyle w:val="TableParagraph"/>
              <w:ind w:left="480"/>
              <w:rPr>
                <w:b/>
                <w:sz w:val="20"/>
              </w:rPr>
            </w:pPr>
            <w:r>
              <w:rPr>
                <w:b/>
                <w:sz w:val="20"/>
              </w:rPr>
              <w:t>Bueno</w:t>
            </w:r>
          </w:p>
        </w:tc>
      </w:tr>
      <w:tr>
        <w:trPr>
          <w:trHeight w:val="893" w:hRule="exact"/>
        </w:trPr>
        <w:tc>
          <w:tcPr>
            <w:tcW w:w="954" w:type="dxa"/>
            <w:tcBorders>
              <w:left w:val="double" w:sz="11" w:space="0" w:color="000000"/>
            </w:tcBorders>
          </w:tcPr>
          <w:p>
            <w:pPr>
              <w:pStyle w:val="TableParagraph"/>
              <w:spacing w:before="2"/>
              <w:ind w:left="0"/>
              <w:rPr>
                <w:rFonts w:ascii="Times New Roman"/>
                <w:sz w:val="28"/>
              </w:rPr>
            </w:pPr>
          </w:p>
          <w:p>
            <w:pPr>
              <w:pStyle w:val="TableParagraph"/>
              <w:ind w:left="209" w:right="212"/>
              <w:jc w:val="center"/>
              <w:rPr>
                <w:sz w:val="20"/>
              </w:rPr>
            </w:pPr>
            <w:r>
              <w:rPr>
                <w:sz w:val="20"/>
              </w:rPr>
              <w:t>1785</w:t>
            </w:r>
          </w:p>
        </w:tc>
        <w:tc>
          <w:tcPr>
            <w:tcW w:w="1894" w:type="dxa"/>
            <w:vMerge/>
          </w:tcPr>
          <w:p>
            <w:pPr/>
          </w:p>
        </w:tc>
        <w:tc>
          <w:tcPr>
            <w:tcW w:w="1349" w:type="dxa"/>
            <w:vMerge/>
          </w:tcPr>
          <w:p>
            <w:pPr/>
          </w:p>
        </w:tc>
        <w:tc>
          <w:tcPr>
            <w:tcW w:w="3034" w:type="dxa"/>
            <w:vMerge/>
          </w:tcPr>
          <w:p>
            <w:pPr/>
          </w:p>
        </w:tc>
        <w:tc>
          <w:tcPr>
            <w:tcW w:w="1479" w:type="dxa"/>
            <w:vMerge/>
          </w:tcPr>
          <w:p>
            <w:pPr/>
          </w:p>
        </w:tc>
        <w:tc>
          <w:tcPr>
            <w:tcW w:w="2482" w:type="dxa"/>
            <w:vMerge/>
          </w:tcPr>
          <w:p>
            <w:pPr/>
          </w:p>
        </w:tc>
        <w:tc>
          <w:tcPr>
            <w:tcW w:w="1630" w:type="dxa"/>
            <w:vMerge/>
            <w:tcBorders>
              <w:right w:val="double" w:sz="12" w:space="0" w:color="000000"/>
            </w:tcBorders>
          </w:tcPr>
          <w:p>
            <w:pPr/>
          </w:p>
        </w:tc>
      </w:tr>
      <w:tr>
        <w:trPr>
          <w:trHeight w:val="893" w:hRule="exact"/>
        </w:trPr>
        <w:tc>
          <w:tcPr>
            <w:tcW w:w="954" w:type="dxa"/>
            <w:tcBorders>
              <w:left w:val="double" w:sz="11" w:space="0" w:color="000000"/>
            </w:tcBorders>
          </w:tcPr>
          <w:p>
            <w:pPr>
              <w:pStyle w:val="TableParagraph"/>
              <w:spacing w:before="1"/>
              <w:ind w:left="0"/>
              <w:rPr>
                <w:rFonts w:ascii="Times New Roman"/>
                <w:sz w:val="28"/>
              </w:rPr>
            </w:pPr>
          </w:p>
          <w:p>
            <w:pPr>
              <w:pStyle w:val="TableParagraph"/>
              <w:ind w:left="209" w:right="212"/>
              <w:jc w:val="center"/>
              <w:rPr>
                <w:sz w:val="20"/>
              </w:rPr>
            </w:pPr>
            <w:r>
              <w:rPr>
                <w:sz w:val="20"/>
              </w:rPr>
              <w:t>1810</w:t>
            </w:r>
          </w:p>
        </w:tc>
        <w:tc>
          <w:tcPr>
            <w:tcW w:w="1894" w:type="dxa"/>
            <w:vMerge/>
          </w:tcPr>
          <w:p>
            <w:pPr/>
          </w:p>
        </w:tc>
        <w:tc>
          <w:tcPr>
            <w:tcW w:w="1349" w:type="dxa"/>
            <w:vMerge/>
          </w:tcPr>
          <w:p>
            <w:pPr/>
          </w:p>
        </w:tc>
        <w:tc>
          <w:tcPr>
            <w:tcW w:w="3034" w:type="dxa"/>
            <w:vMerge/>
          </w:tcPr>
          <w:p>
            <w:pPr/>
          </w:p>
        </w:tc>
        <w:tc>
          <w:tcPr>
            <w:tcW w:w="1479" w:type="dxa"/>
            <w:vMerge/>
          </w:tcPr>
          <w:p>
            <w:pPr/>
          </w:p>
        </w:tc>
        <w:tc>
          <w:tcPr>
            <w:tcW w:w="2482" w:type="dxa"/>
            <w:vMerge/>
          </w:tcPr>
          <w:p>
            <w:pPr/>
          </w:p>
        </w:tc>
        <w:tc>
          <w:tcPr>
            <w:tcW w:w="1630" w:type="dxa"/>
            <w:vMerge/>
            <w:tcBorders>
              <w:right w:val="double" w:sz="12" w:space="0" w:color="000000"/>
            </w:tcBorders>
          </w:tcPr>
          <w:p>
            <w:pPr/>
          </w:p>
        </w:tc>
      </w:tr>
      <w:tr>
        <w:trPr>
          <w:trHeight w:val="773" w:hRule="exact"/>
        </w:trPr>
        <w:tc>
          <w:tcPr>
            <w:tcW w:w="954" w:type="dxa"/>
            <w:tcBorders>
              <w:left w:val="double" w:sz="11" w:space="0" w:color="000000"/>
            </w:tcBorders>
          </w:tcPr>
          <w:p>
            <w:pPr>
              <w:pStyle w:val="TableParagraph"/>
              <w:spacing w:before="10"/>
              <w:ind w:left="0"/>
              <w:rPr>
                <w:rFonts w:ascii="Times New Roman"/>
                <w:sz w:val="22"/>
              </w:rPr>
            </w:pPr>
          </w:p>
          <w:p>
            <w:pPr>
              <w:pStyle w:val="TableParagraph"/>
              <w:ind w:left="209" w:right="212"/>
              <w:jc w:val="center"/>
              <w:rPr>
                <w:sz w:val="20"/>
              </w:rPr>
            </w:pPr>
            <w:r>
              <w:rPr>
                <w:sz w:val="20"/>
              </w:rPr>
              <w:t>1861</w:t>
            </w:r>
          </w:p>
        </w:tc>
        <w:tc>
          <w:tcPr>
            <w:tcW w:w="1894" w:type="dxa"/>
            <w:vMerge/>
          </w:tcPr>
          <w:p>
            <w:pPr/>
          </w:p>
        </w:tc>
        <w:tc>
          <w:tcPr>
            <w:tcW w:w="1349" w:type="dxa"/>
            <w:vMerge w:val="restart"/>
          </w:tcPr>
          <w:p>
            <w:pPr>
              <w:pStyle w:val="TableParagraph"/>
              <w:spacing w:line="227" w:lineRule="exact"/>
              <w:ind w:left="100"/>
              <w:rPr>
                <w:sz w:val="20"/>
              </w:rPr>
            </w:pPr>
            <w:r>
              <w:rPr>
                <w:sz w:val="20"/>
              </w:rPr>
              <w:t>Económico</w:t>
            </w:r>
          </w:p>
        </w:tc>
        <w:tc>
          <w:tcPr>
            <w:tcW w:w="3034" w:type="dxa"/>
            <w:vMerge w:val="restart"/>
          </w:tcPr>
          <w:p>
            <w:pPr>
              <w:pStyle w:val="TableParagraph"/>
              <w:numPr>
                <w:ilvl w:val="0"/>
                <w:numId w:val="227"/>
              </w:numPr>
              <w:tabs>
                <w:tab w:pos="812" w:val="left" w:leader="none"/>
                <w:tab w:pos="1950" w:val="left" w:leader="none"/>
              </w:tabs>
              <w:spacing w:line="240" w:lineRule="auto" w:before="0" w:after="0"/>
              <w:ind w:left="280" w:right="102" w:hanging="141"/>
              <w:jc w:val="both"/>
              <w:rPr>
                <w:sz w:val="20"/>
              </w:rPr>
            </w:pPr>
            <w:r>
              <w:rPr>
                <w:sz w:val="20"/>
              </w:rPr>
              <w:t>Existe coordinación entre los actores de la CHPH para</w:t>
              <w:tab/>
              <w:t>distribuirse equitativamente los recursos naturales</w:t>
            </w:r>
          </w:p>
          <w:p>
            <w:pPr>
              <w:pStyle w:val="TableParagraph"/>
              <w:numPr>
                <w:ilvl w:val="0"/>
                <w:numId w:val="227"/>
              </w:numPr>
              <w:tabs>
                <w:tab w:pos="812" w:val="left" w:leader="none"/>
              </w:tabs>
              <w:spacing w:line="240" w:lineRule="auto" w:before="0" w:after="0"/>
              <w:ind w:left="280" w:right="104" w:hanging="141"/>
              <w:jc w:val="both"/>
              <w:rPr>
                <w:sz w:val="20"/>
              </w:rPr>
            </w:pPr>
            <w:r>
              <w:rPr>
                <w:sz w:val="20"/>
              </w:rPr>
              <w:t>Existe cooperación entre los actores de los distintos municipios de la CHPH para el crecimiento económico</w:t>
            </w:r>
          </w:p>
        </w:tc>
        <w:tc>
          <w:tcPr>
            <w:tcW w:w="1479" w:type="dxa"/>
            <w:vMerge/>
          </w:tcPr>
          <w:p>
            <w:pPr/>
          </w:p>
        </w:tc>
        <w:tc>
          <w:tcPr>
            <w:tcW w:w="2482" w:type="dxa"/>
            <w:vMerge/>
          </w:tcPr>
          <w:p>
            <w:pPr/>
          </w:p>
        </w:tc>
        <w:tc>
          <w:tcPr>
            <w:tcW w:w="1630" w:type="dxa"/>
            <w:vMerge/>
            <w:tcBorders>
              <w:right w:val="double" w:sz="12" w:space="0" w:color="000000"/>
            </w:tcBorders>
          </w:tcPr>
          <w:p>
            <w:pPr/>
          </w:p>
        </w:tc>
      </w:tr>
      <w:tr>
        <w:trPr>
          <w:trHeight w:val="776" w:hRule="exact"/>
        </w:trPr>
        <w:tc>
          <w:tcPr>
            <w:tcW w:w="954" w:type="dxa"/>
            <w:tcBorders>
              <w:left w:val="double" w:sz="11" w:space="0" w:color="000000"/>
            </w:tcBorders>
          </w:tcPr>
          <w:p>
            <w:pPr>
              <w:pStyle w:val="TableParagraph"/>
              <w:spacing w:before="2"/>
              <w:ind w:left="0"/>
              <w:rPr>
                <w:rFonts w:ascii="Times New Roman"/>
                <w:sz w:val="23"/>
              </w:rPr>
            </w:pPr>
          </w:p>
          <w:p>
            <w:pPr>
              <w:pStyle w:val="TableParagraph"/>
              <w:ind w:left="209" w:right="212"/>
              <w:jc w:val="center"/>
              <w:rPr>
                <w:sz w:val="20"/>
              </w:rPr>
            </w:pPr>
            <w:r>
              <w:rPr>
                <w:sz w:val="20"/>
              </w:rPr>
              <w:t>1910</w:t>
            </w:r>
          </w:p>
        </w:tc>
        <w:tc>
          <w:tcPr>
            <w:tcW w:w="1894" w:type="dxa"/>
            <w:vMerge/>
          </w:tcPr>
          <w:p>
            <w:pPr/>
          </w:p>
        </w:tc>
        <w:tc>
          <w:tcPr>
            <w:tcW w:w="1349" w:type="dxa"/>
            <w:vMerge/>
          </w:tcPr>
          <w:p>
            <w:pPr/>
          </w:p>
        </w:tc>
        <w:tc>
          <w:tcPr>
            <w:tcW w:w="3034" w:type="dxa"/>
            <w:vMerge/>
          </w:tcPr>
          <w:p>
            <w:pPr/>
          </w:p>
        </w:tc>
        <w:tc>
          <w:tcPr>
            <w:tcW w:w="1479" w:type="dxa"/>
            <w:vMerge/>
          </w:tcPr>
          <w:p>
            <w:pPr/>
          </w:p>
        </w:tc>
        <w:tc>
          <w:tcPr>
            <w:tcW w:w="2482" w:type="dxa"/>
            <w:vMerge/>
          </w:tcPr>
          <w:p>
            <w:pPr/>
          </w:p>
        </w:tc>
        <w:tc>
          <w:tcPr>
            <w:tcW w:w="1630" w:type="dxa"/>
            <w:vMerge/>
            <w:tcBorders>
              <w:right w:val="double" w:sz="12" w:space="0" w:color="000000"/>
            </w:tcBorders>
          </w:tcPr>
          <w:p>
            <w:pPr/>
          </w:p>
        </w:tc>
      </w:tr>
      <w:tr>
        <w:trPr>
          <w:trHeight w:val="775" w:hRule="exact"/>
        </w:trPr>
        <w:tc>
          <w:tcPr>
            <w:tcW w:w="954" w:type="dxa"/>
            <w:tcBorders>
              <w:left w:val="double" w:sz="11" w:space="0" w:color="000000"/>
              <w:bottom w:val="double" w:sz="3" w:space="0" w:color="000000"/>
            </w:tcBorders>
          </w:tcPr>
          <w:p>
            <w:pPr>
              <w:pStyle w:val="TableParagraph"/>
              <w:spacing w:before="10"/>
              <w:ind w:left="0"/>
              <w:rPr>
                <w:rFonts w:ascii="Times New Roman"/>
                <w:sz w:val="22"/>
              </w:rPr>
            </w:pPr>
          </w:p>
          <w:p>
            <w:pPr>
              <w:pStyle w:val="TableParagraph"/>
              <w:ind w:left="209" w:right="212"/>
              <w:jc w:val="center"/>
              <w:rPr>
                <w:sz w:val="20"/>
              </w:rPr>
            </w:pPr>
            <w:r>
              <w:rPr>
                <w:sz w:val="20"/>
              </w:rPr>
              <w:t>1940</w:t>
            </w:r>
          </w:p>
        </w:tc>
        <w:tc>
          <w:tcPr>
            <w:tcW w:w="1894" w:type="dxa"/>
            <w:vMerge/>
            <w:tcBorders>
              <w:bottom w:val="double" w:sz="3" w:space="0" w:color="000000"/>
            </w:tcBorders>
          </w:tcPr>
          <w:p>
            <w:pPr/>
          </w:p>
        </w:tc>
        <w:tc>
          <w:tcPr>
            <w:tcW w:w="1349" w:type="dxa"/>
            <w:vMerge/>
            <w:tcBorders>
              <w:bottom w:val="double" w:sz="3" w:space="0" w:color="000000"/>
            </w:tcBorders>
          </w:tcPr>
          <w:p>
            <w:pPr/>
          </w:p>
        </w:tc>
        <w:tc>
          <w:tcPr>
            <w:tcW w:w="3034" w:type="dxa"/>
            <w:vMerge/>
            <w:tcBorders>
              <w:bottom w:val="double" w:sz="3" w:space="0" w:color="000000"/>
            </w:tcBorders>
          </w:tcPr>
          <w:p>
            <w:pPr/>
          </w:p>
        </w:tc>
        <w:tc>
          <w:tcPr>
            <w:tcW w:w="1479" w:type="dxa"/>
            <w:vMerge/>
            <w:tcBorders>
              <w:bottom w:val="double" w:sz="3" w:space="0" w:color="000000"/>
            </w:tcBorders>
          </w:tcPr>
          <w:p>
            <w:pPr/>
          </w:p>
        </w:tc>
        <w:tc>
          <w:tcPr>
            <w:tcW w:w="2482" w:type="dxa"/>
            <w:vMerge/>
            <w:tcBorders>
              <w:bottom w:val="double" w:sz="3" w:space="0" w:color="000000"/>
            </w:tcBorders>
          </w:tcPr>
          <w:p>
            <w:pPr/>
          </w:p>
        </w:tc>
        <w:tc>
          <w:tcPr>
            <w:tcW w:w="1630" w:type="dxa"/>
            <w:vMerge/>
            <w:tcBorders>
              <w:bottom w:val="double" w:sz="3"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782" w:hRule="exact"/>
        </w:trPr>
        <w:tc>
          <w:tcPr>
            <w:tcW w:w="954" w:type="dxa"/>
            <w:tcBorders>
              <w:left w:val="double" w:sz="11" w:space="0" w:color="000000"/>
            </w:tcBorders>
          </w:tcPr>
          <w:p>
            <w:pPr/>
          </w:p>
        </w:tc>
        <w:tc>
          <w:tcPr>
            <w:tcW w:w="1894" w:type="dxa"/>
            <w:vMerge w:val="restart"/>
          </w:tcPr>
          <w:p>
            <w:pPr/>
          </w:p>
        </w:tc>
        <w:tc>
          <w:tcPr>
            <w:tcW w:w="1349" w:type="dxa"/>
          </w:tcPr>
          <w:p>
            <w:pPr/>
          </w:p>
        </w:tc>
        <w:tc>
          <w:tcPr>
            <w:tcW w:w="3034" w:type="dxa"/>
          </w:tcPr>
          <w:p>
            <w:pPr>
              <w:pStyle w:val="TableParagraph"/>
              <w:numPr>
                <w:ilvl w:val="0"/>
                <w:numId w:val="228"/>
              </w:numPr>
              <w:tabs>
                <w:tab w:pos="812" w:val="left" w:leader="none"/>
                <w:tab w:pos="1950" w:val="left" w:leader="none"/>
              </w:tabs>
              <w:spacing w:line="240" w:lineRule="auto" w:before="7"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9" w:type="dxa"/>
            <w:vMerge w:val="restart"/>
          </w:tcPr>
          <w:p>
            <w:pPr/>
          </w:p>
        </w:tc>
        <w:tc>
          <w:tcPr>
            <w:tcW w:w="2482" w:type="dxa"/>
            <w:vMerge w:val="restart"/>
          </w:tcPr>
          <w:p>
            <w:pPr/>
          </w:p>
        </w:tc>
        <w:tc>
          <w:tcPr>
            <w:tcW w:w="1630" w:type="dxa"/>
            <w:vMerge w:val="restart"/>
            <w:tcBorders>
              <w:right w:val="double" w:sz="12" w:space="0" w:color="000000"/>
            </w:tcBorders>
          </w:tcPr>
          <w:p>
            <w:pPr>
              <w:pStyle w:val="TableParagraph"/>
              <w:ind w:left="0" w:right="-50"/>
              <w:rPr>
                <w:rFonts w:ascii="Times New Roman"/>
                <w:sz w:val="20"/>
              </w:rPr>
            </w:pPr>
            <w:r>
              <w:rPr>
                <w:rFonts w:ascii="Times New Roman"/>
                <w:sz w:val="20"/>
              </w:rPr>
              <w:pict>
                <v:group style="width:79.1pt;height:222.75pt;mso-position-horizontal-relative:char;mso-position-vertical-relative:line" coordorigin="0,0" coordsize="1582,4455">
                  <v:shape style="position:absolute;left:0;top:0;width:1582;height:763" type="#_x0000_t75" stroked="false">
                    <v:imagedata r:id="rId468" o:title=""/>
                  </v:shape>
                  <v:shape style="position:absolute;left:0;top:766;width:1582;height:1421" type="#_x0000_t75" stroked="false">
                    <v:imagedata r:id="rId469" o:title=""/>
                  </v:shape>
                  <v:shape style="position:absolute;left:0;top:2187;width:1582;height:2268" type="#_x0000_t75" stroked="false">
                    <v:imagedata r:id="rId470" o:title=""/>
                  </v:shape>
                </v:group>
              </w:pict>
            </w:r>
            <w:r>
              <w:rPr>
                <w:rFonts w:ascii="Times New Roman"/>
                <w:sz w:val="20"/>
              </w:rPr>
            </w:r>
          </w:p>
        </w:tc>
      </w:tr>
      <w:tr>
        <w:trPr>
          <w:trHeight w:val="1424"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130"/>
              <w:ind w:left="209" w:right="212"/>
              <w:jc w:val="center"/>
              <w:rPr>
                <w:sz w:val="20"/>
              </w:rPr>
            </w:pPr>
            <w:r>
              <w:rPr>
                <w:sz w:val="20"/>
              </w:rPr>
              <w:t>1982</w:t>
            </w:r>
          </w:p>
        </w:tc>
        <w:tc>
          <w:tcPr>
            <w:tcW w:w="1894" w:type="dxa"/>
            <w:vMerge/>
          </w:tcPr>
          <w:p>
            <w:pPr/>
          </w:p>
        </w:tc>
        <w:tc>
          <w:tcPr>
            <w:tcW w:w="1349" w:type="dxa"/>
            <w:vMerge w:val="restart"/>
          </w:tcPr>
          <w:p>
            <w:pPr>
              <w:pStyle w:val="TableParagraph"/>
              <w:spacing w:line="230" w:lineRule="exact"/>
              <w:ind w:left="100"/>
              <w:rPr>
                <w:sz w:val="20"/>
              </w:rPr>
            </w:pPr>
            <w:r>
              <w:rPr>
                <w:sz w:val="20"/>
              </w:rPr>
              <w:t>Sociopolítico</w:t>
            </w:r>
          </w:p>
        </w:tc>
        <w:tc>
          <w:tcPr>
            <w:tcW w:w="3034" w:type="dxa"/>
            <w:vMerge w:val="restart"/>
          </w:tcPr>
          <w:p>
            <w:pPr>
              <w:pStyle w:val="TableParagraph"/>
              <w:ind w:left="280" w:right="104" w:hanging="178"/>
              <w:jc w:val="both"/>
              <w:rPr>
                <w:sz w:val="20"/>
              </w:rPr>
            </w:pPr>
            <w:r>
              <w:rPr>
                <w:rFonts w:ascii="Wingdings" w:hAnsi="Wingdings"/>
                <w:sz w:val="20"/>
              </w:rPr>
              <w:t></w:t>
            </w:r>
            <w:r>
              <w:rPr>
                <w:sz w:val="20"/>
              </w:rPr>
              <w:t>Favorece la cooperación de los actores para cuidar el medio ambiente de la CHPH</w:t>
            </w:r>
          </w:p>
          <w:p>
            <w:pPr>
              <w:pStyle w:val="TableParagraph"/>
              <w:tabs>
                <w:tab w:pos="1137" w:val="left" w:leader="none"/>
                <w:tab w:pos="2820" w:val="left" w:leader="none"/>
              </w:tabs>
              <w:ind w:left="280" w:right="101" w:hanging="178"/>
              <w:jc w:val="both"/>
              <w:rPr>
                <w:sz w:val="20"/>
              </w:rPr>
            </w:pPr>
            <w:r>
              <w:rPr>
                <w:rFonts w:ascii="Wingdings" w:hAnsi="Wingdings"/>
                <w:spacing w:val="2"/>
                <w:sz w:val="20"/>
              </w:rPr>
              <w:t></w:t>
            </w:r>
            <w:r>
              <w:rPr>
                <w:spacing w:val="2"/>
                <w:sz w:val="20"/>
              </w:rPr>
              <w:t>Favorece </w:t>
            </w:r>
            <w:r>
              <w:rPr>
                <w:sz w:val="20"/>
              </w:rPr>
              <w:t>la relación de los actores de la CHPH por  la vía</w:t>
              <w:tab/>
              <w:t>democrática</w:t>
              <w:tab/>
              <w:t>y participativa</w:t>
            </w:r>
          </w:p>
          <w:p>
            <w:pPr>
              <w:pStyle w:val="TableParagraph"/>
              <w:ind w:left="280" w:right="103" w:hanging="178"/>
              <w:jc w:val="both"/>
              <w:rPr>
                <w:sz w:val="20"/>
              </w:rPr>
            </w:pPr>
            <w:r>
              <w:rPr>
                <w:rFonts w:ascii="Wingdings" w:hAnsi="Wingdings"/>
                <w:sz w:val="20"/>
              </w:rPr>
              <w:t></w:t>
            </w:r>
            <w:r>
              <w:rPr>
                <w:sz w:val="20"/>
              </w:rPr>
              <w:t>Favorece los vínculos entre actores para cuidar el medio ambiente</w:t>
            </w:r>
          </w:p>
          <w:p>
            <w:pPr>
              <w:pStyle w:val="TableParagraph"/>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tabs>
                <w:tab w:pos="1950"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79" w:type="dxa"/>
            <w:vMerge/>
          </w:tcPr>
          <w:p>
            <w:pPr/>
          </w:p>
        </w:tc>
        <w:tc>
          <w:tcPr>
            <w:tcW w:w="2482" w:type="dxa"/>
            <w:vMerge/>
          </w:tcPr>
          <w:p>
            <w:pPr/>
          </w:p>
        </w:tc>
        <w:tc>
          <w:tcPr>
            <w:tcW w:w="1630" w:type="dxa"/>
            <w:vMerge/>
            <w:tcBorders>
              <w:right w:val="double" w:sz="12" w:space="0" w:color="000000"/>
            </w:tcBorders>
          </w:tcPr>
          <w:p>
            <w:pPr/>
          </w:p>
        </w:tc>
      </w:tr>
      <w:tr>
        <w:trPr>
          <w:trHeight w:val="2268"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7"/>
              </w:rPr>
            </w:pPr>
          </w:p>
          <w:p>
            <w:pPr>
              <w:pStyle w:val="TableParagraph"/>
              <w:ind w:left="209" w:right="212"/>
              <w:jc w:val="center"/>
              <w:rPr>
                <w:sz w:val="20"/>
              </w:rPr>
            </w:pPr>
            <w:r>
              <w:rPr>
                <w:sz w:val="20"/>
              </w:rPr>
              <w:t>2016</w:t>
            </w:r>
          </w:p>
        </w:tc>
        <w:tc>
          <w:tcPr>
            <w:tcW w:w="1894" w:type="dxa"/>
            <w:vMerge/>
          </w:tcPr>
          <w:p>
            <w:pPr/>
          </w:p>
        </w:tc>
        <w:tc>
          <w:tcPr>
            <w:tcW w:w="1349" w:type="dxa"/>
            <w:vMerge/>
          </w:tcPr>
          <w:p>
            <w:pPr/>
          </w:p>
        </w:tc>
        <w:tc>
          <w:tcPr>
            <w:tcW w:w="3034" w:type="dxa"/>
            <w:vMerge/>
          </w:tcPr>
          <w:p>
            <w:pPr/>
          </w:p>
        </w:tc>
        <w:tc>
          <w:tcPr>
            <w:tcW w:w="1479" w:type="dxa"/>
            <w:vMerge/>
          </w:tcPr>
          <w:p>
            <w:pPr/>
          </w:p>
        </w:tc>
        <w:tc>
          <w:tcPr>
            <w:tcW w:w="2482" w:type="dxa"/>
            <w:vMerge/>
          </w:tcPr>
          <w:p>
            <w:pPr/>
          </w:p>
        </w:tc>
        <w:tc>
          <w:tcPr>
            <w:tcW w:w="1630" w:type="dxa"/>
            <w:vMerge/>
            <w:tcBorders>
              <w:right w:val="double" w:sz="12" w:space="0" w:color="000000"/>
            </w:tcBorders>
          </w:tcPr>
          <w:p>
            <w:pPr/>
          </w:p>
        </w:tc>
      </w:tr>
      <w:tr>
        <w:trPr>
          <w:trHeight w:val="3459" w:hRule="exact"/>
        </w:trPr>
        <w:tc>
          <w:tcPr>
            <w:tcW w:w="954" w:type="dxa"/>
            <w:vMerge w:val="restart"/>
            <w:tcBorders>
              <w:left w:val="double" w:sz="11" w:space="0" w:color="000000"/>
            </w:tcBorders>
          </w:tcPr>
          <w:p>
            <w:pPr/>
          </w:p>
        </w:tc>
        <w:tc>
          <w:tcPr>
            <w:tcW w:w="189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19"/>
              </w:rPr>
            </w:pPr>
          </w:p>
          <w:p>
            <w:pPr>
              <w:pStyle w:val="TableParagraph"/>
              <w:ind w:left="0"/>
              <w:jc w:val="center"/>
              <w:rPr>
                <w:b/>
                <w:sz w:val="20"/>
              </w:rPr>
            </w:pPr>
            <w:r>
              <w:rPr>
                <w:b/>
                <w:w w:val="99"/>
                <w:sz w:val="20"/>
              </w:rPr>
              <w:t>1</w:t>
            </w:r>
          </w:p>
        </w:tc>
        <w:tc>
          <w:tcPr>
            <w:tcW w:w="1349" w:type="dxa"/>
          </w:tcPr>
          <w:p>
            <w:pPr>
              <w:pStyle w:val="TableParagraph"/>
              <w:spacing w:line="227" w:lineRule="exact"/>
              <w:ind w:left="100"/>
              <w:rPr>
                <w:sz w:val="20"/>
              </w:rPr>
            </w:pPr>
            <w:r>
              <w:rPr>
                <w:sz w:val="20"/>
              </w:rPr>
              <w:t>Ambiental</w:t>
            </w:r>
          </w:p>
        </w:tc>
        <w:tc>
          <w:tcPr>
            <w:tcW w:w="3034" w:type="dxa"/>
          </w:tcPr>
          <w:p>
            <w:pPr>
              <w:pStyle w:val="TableParagraph"/>
              <w:numPr>
                <w:ilvl w:val="0"/>
                <w:numId w:val="229"/>
              </w:numPr>
              <w:tabs>
                <w:tab w:pos="812" w:val="left" w:leader="none"/>
              </w:tabs>
              <w:spacing w:line="240" w:lineRule="auto" w:before="0" w:after="0"/>
              <w:ind w:left="280" w:right="104" w:hanging="141"/>
              <w:jc w:val="both"/>
              <w:rPr>
                <w:sz w:val="20"/>
              </w:rPr>
            </w:pPr>
            <w:r>
              <w:rPr>
                <w:sz w:val="20"/>
              </w:rPr>
              <w:t>Existe cooperación entre los actores de la CHPH para cuidar el medio ambiente</w:t>
            </w:r>
          </w:p>
          <w:p>
            <w:pPr>
              <w:pStyle w:val="TableParagraph"/>
              <w:numPr>
                <w:ilvl w:val="0"/>
                <w:numId w:val="229"/>
              </w:numPr>
              <w:tabs>
                <w:tab w:pos="812" w:val="left" w:leader="none"/>
                <w:tab w:pos="2094" w:val="left" w:leader="none"/>
              </w:tabs>
              <w:spacing w:line="240" w:lineRule="auto" w:before="0" w:after="0"/>
              <w:ind w:left="280" w:right="104" w:hanging="141"/>
              <w:jc w:val="both"/>
              <w:rPr>
                <w:sz w:val="20"/>
              </w:rPr>
            </w:pPr>
            <w:r>
              <w:rPr>
                <w:sz w:val="20"/>
              </w:rPr>
              <w:t>Existen</w:t>
              <w:tab/>
              <w:t>acuerdos democráticos entre los actores de la CHPH para cuidar el medio</w:t>
            </w:r>
            <w:r>
              <w:rPr>
                <w:spacing w:val="-8"/>
                <w:sz w:val="20"/>
              </w:rPr>
              <w:t> </w:t>
            </w:r>
            <w:r>
              <w:rPr>
                <w:sz w:val="20"/>
              </w:rPr>
              <w:t>ambiente</w:t>
            </w:r>
          </w:p>
          <w:p>
            <w:pPr>
              <w:pStyle w:val="TableParagraph"/>
              <w:numPr>
                <w:ilvl w:val="0"/>
                <w:numId w:val="229"/>
              </w:numPr>
              <w:tabs>
                <w:tab w:pos="812" w:val="left" w:leader="none"/>
              </w:tabs>
              <w:spacing w:line="240" w:lineRule="auto" w:before="0" w:after="0"/>
              <w:ind w:left="280" w:right="105" w:hanging="141"/>
              <w:jc w:val="both"/>
              <w:rPr>
                <w:sz w:val="20"/>
              </w:rPr>
            </w:pPr>
            <w:r>
              <w:rPr>
                <w:sz w:val="20"/>
              </w:rPr>
              <w:t>Existe acción colectiva de los actores de la CHPH para cuidar el medio ambiente</w:t>
            </w:r>
          </w:p>
          <w:p>
            <w:pPr>
              <w:pStyle w:val="TableParagraph"/>
              <w:numPr>
                <w:ilvl w:val="0"/>
                <w:numId w:val="229"/>
              </w:numPr>
              <w:tabs>
                <w:tab w:pos="812" w:val="left" w:leader="none"/>
                <w:tab w:pos="1950" w:val="left" w:leader="none"/>
              </w:tabs>
              <w:spacing w:line="240" w:lineRule="auto" w:before="1" w:after="0"/>
              <w:ind w:left="280" w:right="103" w:hanging="141"/>
              <w:jc w:val="both"/>
              <w:rPr>
                <w:sz w:val="20"/>
              </w:rPr>
            </w:pPr>
            <w:r>
              <w:rPr>
                <w:sz w:val="20"/>
              </w:rPr>
              <w:t>Existe</w:t>
              <w:tab/>
              <w:t>planeación ambiental con articulación entre</w:t>
            </w:r>
            <w:r>
              <w:rPr>
                <w:spacing w:val="-5"/>
                <w:sz w:val="20"/>
              </w:rPr>
              <w:t> </w:t>
            </w:r>
            <w:r>
              <w:rPr>
                <w:sz w:val="20"/>
              </w:rPr>
              <w:t>actores</w:t>
            </w:r>
          </w:p>
        </w:tc>
        <w:tc>
          <w:tcPr>
            <w:tcW w:w="1479" w:type="dxa"/>
            <w:vMerge w:val="restart"/>
          </w:tcPr>
          <w:p>
            <w:pPr/>
          </w:p>
        </w:tc>
        <w:tc>
          <w:tcPr>
            <w:tcW w:w="2482" w:type="dxa"/>
            <w:vMerge w:val="restart"/>
          </w:tcPr>
          <w:p>
            <w:pPr>
              <w:pStyle w:val="TableParagraph"/>
              <w:tabs>
                <w:tab w:pos="2141" w:val="left" w:leader="none"/>
              </w:tabs>
              <w:ind w:right="107"/>
              <w:jc w:val="both"/>
              <w:rPr>
                <w:sz w:val="20"/>
              </w:rPr>
            </w:pPr>
            <w:r>
              <w:rPr>
                <w:sz w:val="20"/>
              </w:rPr>
              <w:t>Debe reunir </w:t>
            </w:r>
            <w:r>
              <w:rPr>
                <w:b/>
                <w:sz w:val="20"/>
              </w:rPr>
              <w:t>al menos el 50% una de tres </w:t>
            </w:r>
            <w:r>
              <w:rPr>
                <w:sz w:val="20"/>
              </w:rPr>
              <w:t>características</w:t>
              <w:tab/>
              <w:t>de impacto</w:t>
            </w:r>
            <w:r>
              <w:rPr>
                <w:spacing w:val="-3"/>
                <w:sz w:val="20"/>
              </w:rPr>
              <w:t> </w:t>
            </w:r>
            <w:r>
              <w:rPr>
                <w:sz w:val="20"/>
              </w:rPr>
              <w:t>positivo</w:t>
            </w:r>
          </w:p>
        </w:tc>
        <w:tc>
          <w:tcPr>
            <w:tcW w:w="1630"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417"/>
              <w:rPr>
                <w:b/>
                <w:sz w:val="20"/>
              </w:rPr>
            </w:pPr>
            <w:r>
              <w:rPr>
                <w:b/>
                <w:sz w:val="20"/>
              </w:rPr>
              <w:t>Regular</w:t>
            </w:r>
          </w:p>
        </w:tc>
      </w:tr>
      <w:tr>
        <w:trPr>
          <w:trHeight w:val="701"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27" w:lineRule="exact"/>
              <w:ind w:left="100"/>
              <w:rPr>
                <w:sz w:val="20"/>
              </w:rPr>
            </w:pPr>
            <w:r>
              <w:rPr>
                <w:sz w:val="20"/>
              </w:rPr>
              <w:t>Económico</w:t>
            </w:r>
          </w:p>
        </w:tc>
        <w:tc>
          <w:tcPr>
            <w:tcW w:w="3034" w:type="dxa"/>
          </w:tcPr>
          <w:p>
            <w:pPr>
              <w:pStyle w:val="TableParagraph"/>
              <w:numPr>
                <w:ilvl w:val="0"/>
                <w:numId w:val="230"/>
              </w:numPr>
              <w:tabs>
                <w:tab w:pos="812" w:val="left" w:leader="none"/>
                <w:tab w:pos="1950" w:val="left" w:leader="none"/>
              </w:tabs>
              <w:spacing w:line="240" w:lineRule="auto" w:before="0" w:after="0"/>
              <w:ind w:left="280" w:right="102" w:hanging="141"/>
              <w:jc w:val="both"/>
              <w:rPr>
                <w:sz w:val="20"/>
              </w:rPr>
            </w:pPr>
            <w:r>
              <w:rPr>
                <w:sz w:val="20"/>
              </w:rPr>
              <w:t>Existe coordinación entre los actores de la CHPH para</w:t>
              <w:tab/>
              <w:t>distribuirse</w:t>
            </w:r>
          </w:p>
        </w:tc>
        <w:tc>
          <w:tcPr>
            <w:tcW w:w="1479" w:type="dxa"/>
            <w:vMerge/>
          </w:tcPr>
          <w:p>
            <w:pPr/>
          </w:p>
        </w:tc>
        <w:tc>
          <w:tcPr>
            <w:tcW w:w="2482" w:type="dxa"/>
            <w:vMerge/>
          </w:tcPr>
          <w:p>
            <w:pPr/>
          </w:p>
        </w:tc>
        <w:tc>
          <w:tcPr>
            <w:tcW w:w="1630" w:type="dxa"/>
            <w:vMerge/>
            <w:tcBorders>
              <w:right w:val="double" w:sz="12" w:space="0" w:color="000000"/>
            </w:tcBorders>
            <w:shd w:val="clear" w:color="auto" w:fill="FFFF00"/>
          </w:tcPr>
          <w:p>
            <w:pPr/>
          </w:p>
        </w:tc>
      </w:tr>
    </w:tbl>
    <w:p>
      <w:pPr>
        <w:spacing w:after="0"/>
        <w:sectPr>
          <w:footerReference w:type="default" r:id="rId467"/>
          <w:pgSz w:w="15840" w:h="12240" w:orient="landscape"/>
          <w:pgMar w:footer="943" w:header="0" w:top="1140" w:bottom="1140" w:left="1200" w:right="1300"/>
          <w:pgNumType w:start="6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2319" w:hRule="exact"/>
        </w:trPr>
        <w:tc>
          <w:tcPr>
            <w:tcW w:w="954" w:type="dxa"/>
            <w:vMerge w:val="restart"/>
            <w:tcBorders>
              <w:left w:val="double" w:sz="11" w:space="0" w:color="000000"/>
            </w:tcBorders>
          </w:tcPr>
          <w:p>
            <w:pPr/>
          </w:p>
        </w:tc>
        <w:tc>
          <w:tcPr>
            <w:tcW w:w="1894" w:type="dxa"/>
            <w:vMerge w:val="restart"/>
          </w:tcPr>
          <w:p>
            <w:pPr/>
          </w:p>
        </w:tc>
        <w:tc>
          <w:tcPr>
            <w:tcW w:w="1349" w:type="dxa"/>
          </w:tcPr>
          <w:p>
            <w:pPr/>
          </w:p>
        </w:tc>
        <w:tc>
          <w:tcPr>
            <w:tcW w:w="3034" w:type="dxa"/>
          </w:tcPr>
          <w:p>
            <w:pPr>
              <w:pStyle w:val="TableParagraph"/>
              <w:spacing w:before="7"/>
              <w:ind w:left="280"/>
              <w:rPr>
                <w:sz w:val="20"/>
              </w:rPr>
            </w:pPr>
            <w:r>
              <w:rPr>
                <w:sz w:val="20"/>
              </w:rPr>
              <w:t>equitativamente los recursos naturales</w:t>
            </w:r>
          </w:p>
          <w:p>
            <w:pPr>
              <w:pStyle w:val="TableParagraph"/>
              <w:numPr>
                <w:ilvl w:val="0"/>
                <w:numId w:val="231"/>
              </w:numPr>
              <w:tabs>
                <w:tab w:pos="812" w:val="left" w:leader="none"/>
              </w:tabs>
              <w:spacing w:line="240" w:lineRule="auto" w:before="0" w:after="0"/>
              <w:ind w:left="280" w:right="104" w:hanging="141"/>
              <w:jc w:val="both"/>
              <w:rPr>
                <w:sz w:val="20"/>
              </w:rPr>
            </w:pPr>
            <w:r>
              <w:rPr>
                <w:sz w:val="20"/>
              </w:rPr>
              <w:t>Existe cooperación entre los actores de los distintos municipios de la CHPH para el crecimiento económico</w:t>
            </w:r>
          </w:p>
          <w:p>
            <w:pPr>
              <w:pStyle w:val="TableParagraph"/>
              <w:numPr>
                <w:ilvl w:val="0"/>
                <w:numId w:val="231"/>
              </w:numPr>
              <w:tabs>
                <w:tab w:pos="812" w:val="left" w:leader="none"/>
                <w:tab w:pos="1950" w:val="left" w:leader="none"/>
              </w:tabs>
              <w:spacing w:line="240" w:lineRule="auto" w:before="0" w:after="0"/>
              <w:ind w:left="280" w:right="104" w:hanging="141"/>
              <w:jc w:val="both"/>
              <w:rPr>
                <w:sz w:val="20"/>
              </w:rPr>
            </w:pPr>
            <w:r>
              <w:rPr>
                <w:sz w:val="20"/>
              </w:rPr>
              <w:t>Existe</w:t>
              <w:tab/>
              <w:t>planeación económica con articulación entre</w:t>
            </w:r>
            <w:r>
              <w:rPr>
                <w:spacing w:val="-5"/>
                <w:sz w:val="20"/>
              </w:rPr>
              <w:t> </w:t>
            </w:r>
            <w:r>
              <w:rPr>
                <w:sz w:val="20"/>
              </w:rPr>
              <w:t>actores</w:t>
            </w:r>
          </w:p>
        </w:tc>
        <w:tc>
          <w:tcPr>
            <w:tcW w:w="1479" w:type="dxa"/>
            <w:vMerge w:val="restart"/>
          </w:tcPr>
          <w:p>
            <w:pPr/>
          </w:p>
        </w:tc>
        <w:tc>
          <w:tcPr>
            <w:tcW w:w="2482" w:type="dxa"/>
            <w:vMerge w:val="restart"/>
          </w:tcPr>
          <w:p>
            <w:pPr/>
          </w:p>
        </w:tc>
        <w:tc>
          <w:tcPr>
            <w:tcW w:w="1630" w:type="dxa"/>
            <w:vMerge w:val="restart"/>
            <w:tcBorders>
              <w:right w:val="double" w:sz="12" w:space="0" w:color="000000"/>
            </w:tcBorders>
            <w:shd w:val="clear" w:color="auto" w:fill="FFFF00"/>
          </w:tcPr>
          <w:p>
            <w:pPr/>
          </w:p>
        </w:tc>
      </w:tr>
      <w:tr>
        <w:trPr>
          <w:trHeight w:val="1500" w:hRule="exact"/>
        </w:trPr>
        <w:tc>
          <w:tcPr>
            <w:tcW w:w="954" w:type="dxa"/>
            <w:vMerge/>
            <w:tcBorders>
              <w:left w:val="double" w:sz="11" w:space="0" w:color="000000"/>
            </w:tcBorders>
          </w:tcPr>
          <w:p>
            <w:pPr/>
          </w:p>
        </w:tc>
        <w:tc>
          <w:tcPr>
            <w:tcW w:w="1894" w:type="dxa"/>
            <w:vMerge/>
          </w:tcPr>
          <w:p>
            <w:pPr/>
          </w:p>
        </w:tc>
        <w:tc>
          <w:tcPr>
            <w:tcW w:w="1349" w:type="dxa"/>
            <w:vMerge w:val="restart"/>
          </w:tcPr>
          <w:p>
            <w:pPr>
              <w:pStyle w:val="TableParagraph"/>
              <w:spacing w:line="230" w:lineRule="exact"/>
              <w:ind w:left="100"/>
              <w:rPr>
                <w:sz w:val="20"/>
              </w:rPr>
            </w:pPr>
            <w:r>
              <w:rPr>
                <w:sz w:val="20"/>
              </w:rPr>
              <w:t>Sociopolítico</w:t>
            </w:r>
          </w:p>
        </w:tc>
        <w:tc>
          <w:tcPr>
            <w:tcW w:w="3034" w:type="dxa"/>
            <w:vMerge w:val="restart"/>
          </w:tcPr>
          <w:p>
            <w:pPr>
              <w:pStyle w:val="TableParagraph"/>
              <w:ind w:left="280" w:right="104" w:hanging="178"/>
              <w:jc w:val="both"/>
              <w:rPr>
                <w:sz w:val="20"/>
              </w:rPr>
            </w:pPr>
            <w:r>
              <w:rPr>
                <w:rFonts w:ascii="Wingdings" w:hAnsi="Wingdings"/>
                <w:sz w:val="20"/>
              </w:rPr>
              <w:t></w:t>
            </w:r>
            <w:r>
              <w:rPr>
                <w:sz w:val="20"/>
              </w:rPr>
              <w:t>Favorece la cooperación de los actores para cuidar el medio ambiente de la CHPH</w:t>
            </w:r>
          </w:p>
          <w:p>
            <w:pPr>
              <w:pStyle w:val="TableParagraph"/>
              <w:tabs>
                <w:tab w:pos="1137" w:val="left" w:leader="none"/>
                <w:tab w:pos="2820" w:val="left" w:leader="none"/>
              </w:tabs>
              <w:ind w:left="280" w:right="103" w:hanging="178"/>
              <w:jc w:val="both"/>
              <w:rPr>
                <w:sz w:val="20"/>
              </w:rPr>
            </w:pPr>
            <w:r>
              <w:rPr>
                <w:rFonts w:ascii="Wingdings" w:hAnsi="Wingdings"/>
                <w:spacing w:val="2"/>
                <w:sz w:val="20"/>
              </w:rPr>
              <w:t></w:t>
            </w:r>
            <w:r>
              <w:rPr>
                <w:spacing w:val="2"/>
                <w:sz w:val="20"/>
              </w:rPr>
              <w:t>Favorece </w:t>
            </w:r>
            <w:r>
              <w:rPr>
                <w:sz w:val="20"/>
              </w:rPr>
              <w:t>la relación de los actores de la CHPH por  la vía</w:t>
              <w:tab/>
              <w:t>democrática</w:t>
              <w:tab/>
              <w:t>y</w:t>
            </w:r>
            <w:r>
              <w:rPr>
                <w:w w:val="99"/>
                <w:sz w:val="20"/>
              </w:rPr>
              <w:t> </w:t>
            </w:r>
            <w:r>
              <w:rPr>
                <w:sz w:val="20"/>
              </w:rPr>
              <w:t>participativa</w:t>
            </w:r>
          </w:p>
          <w:p>
            <w:pPr>
              <w:pStyle w:val="TableParagraph"/>
              <w:ind w:left="280" w:right="103" w:hanging="178"/>
              <w:jc w:val="both"/>
              <w:rPr>
                <w:sz w:val="20"/>
              </w:rPr>
            </w:pPr>
            <w:r>
              <w:rPr>
                <w:rFonts w:ascii="Wingdings" w:hAnsi="Wingdings"/>
                <w:sz w:val="20"/>
              </w:rPr>
              <w:t></w:t>
            </w:r>
            <w:r>
              <w:rPr>
                <w:sz w:val="20"/>
              </w:rPr>
              <w:t>Favorece los vínculos entre actores para cuidar el medio ambiente</w:t>
            </w:r>
          </w:p>
          <w:p>
            <w:pPr>
              <w:pStyle w:val="TableParagraph"/>
              <w:spacing w:before="1"/>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tabs>
                <w:tab w:pos="1950"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79" w:type="dxa"/>
            <w:vMerge/>
          </w:tcPr>
          <w:p>
            <w:pPr/>
          </w:p>
        </w:tc>
        <w:tc>
          <w:tcPr>
            <w:tcW w:w="2482" w:type="dxa"/>
            <w:vMerge/>
          </w:tcPr>
          <w:p>
            <w:pPr/>
          </w:p>
        </w:tc>
        <w:tc>
          <w:tcPr>
            <w:tcW w:w="1630" w:type="dxa"/>
            <w:vMerge/>
            <w:tcBorders>
              <w:right w:val="double" w:sz="12" w:space="0" w:color="000000"/>
            </w:tcBorders>
            <w:shd w:val="clear" w:color="auto" w:fill="FFFF00"/>
          </w:tcPr>
          <w:p>
            <w:pPr/>
          </w:p>
        </w:tc>
      </w:tr>
      <w:tr>
        <w:trPr>
          <w:trHeight w:val="2201" w:hRule="exact"/>
        </w:trPr>
        <w:tc>
          <w:tcPr>
            <w:tcW w:w="954" w:type="dxa"/>
            <w:tcBorders>
              <w:left w:val="double" w:sz="11" w:space="0" w:color="000000"/>
            </w:tcBorders>
          </w:tcPr>
          <w:p>
            <w:pPr/>
          </w:p>
        </w:tc>
        <w:tc>
          <w:tcPr>
            <w:tcW w:w="1894" w:type="dxa"/>
            <w:vMerge/>
          </w:tcPr>
          <w:p>
            <w:pPr/>
          </w:p>
        </w:tc>
        <w:tc>
          <w:tcPr>
            <w:tcW w:w="1349" w:type="dxa"/>
            <w:vMerge/>
          </w:tcPr>
          <w:p>
            <w:pPr/>
          </w:p>
        </w:tc>
        <w:tc>
          <w:tcPr>
            <w:tcW w:w="3034" w:type="dxa"/>
            <w:vMerge/>
          </w:tcPr>
          <w:p>
            <w:pPr/>
          </w:p>
        </w:tc>
        <w:tc>
          <w:tcPr>
            <w:tcW w:w="1479" w:type="dxa"/>
            <w:vMerge/>
          </w:tcPr>
          <w:p>
            <w:pPr/>
          </w:p>
        </w:tc>
        <w:tc>
          <w:tcPr>
            <w:tcW w:w="2482" w:type="dxa"/>
            <w:vMerge/>
          </w:tcPr>
          <w:p>
            <w:pPr/>
          </w:p>
        </w:tc>
        <w:tc>
          <w:tcPr>
            <w:tcW w:w="1630" w:type="dxa"/>
            <w:vMerge/>
            <w:tcBorders>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3471" w:hRule="exact"/>
        </w:trPr>
        <w:tc>
          <w:tcPr>
            <w:tcW w:w="954" w:type="dxa"/>
            <w:vMerge w:val="restart"/>
            <w:tcBorders>
              <w:left w:val="double" w:sz="11" w:space="0" w:color="000000"/>
            </w:tcBorders>
          </w:tcPr>
          <w:p>
            <w:pPr/>
          </w:p>
        </w:tc>
        <w:tc>
          <w:tcPr>
            <w:tcW w:w="1894" w:type="dxa"/>
            <w:vMerge w:val="restart"/>
          </w:tcPr>
          <w:p>
            <w:pPr/>
          </w:p>
        </w:tc>
        <w:tc>
          <w:tcPr>
            <w:tcW w:w="1349" w:type="dxa"/>
          </w:tcPr>
          <w:p>
            <w:pPr>
              <w:pStyle w:val="TableParagraph"/>
              <w:spacing w:before="7"/>
              <w:ind w:left="100"/>
              <w:rPr>
                <w:sz w:val="20"/>
              </w:rPr>
            </w:pPr>
            <w:r>
              <w:rPr>
                <w:sz w:val="20"/>
              </w:rPr>
              <w:t>Ambiental</w:t>
            </w:r>
          </w:p>
        </w:tc>
        <w:tc>
          <w:tcPr>
            <w:tcW w:w="3034" w:type="dxa"/>
          </w:tcPr>
          <w:p>
            <w:pPr>
              <w:pStyle w:val="TableParagraph"/>
              <w:numPr>
                <w:ilvl w:val="0"/>
                <w:numId w:val="232"/>
              </w:numPr>
              <w:tabs>
                <w:tab w:pos="812" w:val="left" w:leader="none"/>
              </w:tabs>
              <w:spacing w:line="240" w:lineRule="auto" w:before="7" w:after="0"/>
              <w:ind w:left="280" w:right="104" w:hanging="141"/>
              <w:jc w:val="both"/>
              <w:rPr>
                <w:sz w:val="20"/>
              </w:rPr>
            </w:pPr>
            <w:r>
              <w:rPr>
                <w:sz w:val="20"/>
              </w:rPr>
              <w:t>Existe cooperación entre los actores de la CHPH para cuidar el medio ambiente</w:t>
            </w:r>
          </w:p>
          <w:p>
            <w:pPr>
              <w:pStyle w:val="TableParagraph"/>
              <w:numPr>
                <w:ilvl w:val="0"/>
                <w:numId w:val="232"/>
              </w:numPr>
              <w:tabs>
                <w:tab w:pos="812" w:val="left" w:leader="none"/>
                <w:tab w:pos="2094" w:val="left" w:leader="none"/>
              </w:tabs>
              <w:spacing w:line="240" w:lineRule="auto" w:before="0" w:after="0"/>
              <w:ind w:left="280" w:right="104" w:hanging="141"/>
              <w:jc w:val="both"/>
              <w:rPr>
                <w:sz w:val="20"/>
              </w:rPr>
            </w:pPr>
            <w:r>
              <w:rPr>
                <w:sz w:val="20"/>
              </w:rPr>
              <w:t>Existen</w:t>
              <w:tab/>
              <w:t>acuerdos democráticos entre los actores de la CHPH para cuidar el medio</w:t>
            </w:r>
            <w:r>
              <w:rPr>
                <w:spacing w:val="-8"/>
                <w:sz w:val="20"/>
              </w:rPr>
              <w:t> </w:t>
            </w:r>
            <w:r>
              <w:rPr>
                <w:sz w:val="20"/>
              </w:rPr>
              <w:t>ambiente</w:t>
            </w:r>
          </w:p>
          <w:p>
            <w:pPr>
              <w:pStyle w:val="TableParagraph"/>
              <w:numPr>
                <w:ilvl w:val="0"/>
                <w:numId w:val="232"/>
              </w:numPr>
              <w:tabs>
                <w:tab w:pos="812" w:val="left" w:leader="none"/>
              </w:tabs>
              <w:spacing w:line="240" w:lineRule="auto" w:before="0" w:after="0"/>
              <w:ind w:left="280" w:right="105" w:hanging="141"/>
              <w:jc w:val="both"/>
              <w:rPr>
                <w:sz w:val="20"/>
              </w:rPr>
            </w:pPr>
            <w:r>
              <w:rPr>
                <w:sz w:val="20"/>
              </w:rPr>
              <w:t>Existe acción colectiva de los actores de la CHPH para cuidar el medio ambiente</w:t>
            </w:r>
          </w:p>
          <w:p>
            <w:pPr>
              <w:pStyle w:val="TableParagraph"/>
              <w:numPr>
                <w:ilvl w:val="0"/>
                <w:numId w:val="232"/>
              </w:numPr>
              <w:tabs>
                <w:tab w:pos="812" w:val="left" w:leader="none"/>
                <w:tab w:pos="1950" w:val="left" w:leader="none"/>
              </w:tabs>
              <w:spacing w:line="240" w:lineRule="auto" w:before="0" w:after="0"/>
              <w:ind w:left="280" w:right="104" w:hanging="141"/>
              <w:jc w:val="both"/>
              <w:rPr>
                <w:sz w:val="20"/>
              </w:rPr>
            </w:pPr>
            <w:r>
              <w:rPr>
                <w:sz w:val="20"/>
              </w:rPr>
              <w:t>Existe</w:t>
              <w:tab/>
              <w:t>planeación ambiental con articulación entre</w:t>
            </w:r>
            <w:r>
              <w:rPr>
                <w:spacing w:val="-5"/>
                <w:sz w:val="20"/>
              </w:rPr>
              <w:t> </w:t>
            </w:r>
            <w:r>
              <w:rPr>
                <w:sz w:val="20"/>
              </w:rPr>
              <w:t>actores</w:t>
            </w:r>
          </w:p>
        </w:tc>
        <w:tc>
          <w:tcPr>
            <w:tcW w:w="1479" w:type="dxa"/>
            <w:vMerge w:val="restart"/>
          </w:tcPr>
          <w:p>
            <w:pPr/>
          </w:p>
        </w:tc>
        <w:tc>
          <w:tcPr>
            <w:tcW w:w="2482" w:type="dxa"/>
            <w:vMerge w:val="restart"/>
          </w:tcPr>
          <w:p>
            <w:pPr>
              <w:pStyle w:val="TableParagraph"/>
              <w:spacing w:before="7"/>
              <w:ind w:right="106"/>
              <w:jc w:val="both"/>
              <w:rPr>
                <w:sz w:val="20"/>
              </w:rPr>
            </w:pPr>
            <w:r>
              <w:rPr>
                <w:sz w:val="20"/>
              </w:rPr>
              <w:t>No reúne ni el 50% en </w:t>
            </w:r>
            <w:r>
              <w:rPr>
                <w:b/>
                <w:sz w:val="20"/>
              </w:rPr>
              <w:t>ninguna </w:t>
            </w:r>
            <w:r>
              <w:rPr>
                <w:sz w:val="20"/>
              </w:rPr>
              <w:t>de las de impacto positivo</w:t>
            </w:r>
          </w:p>
        </w:tc>
        <w:tc>
          <w:tcPr>
            <w:tcW w:w="1630"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0"/>
              </w:rPr>
            </w:pPr>
          </w:p>
          <w:p>
            <w:pPr>
              <w:pStyle w:val="TableParagraph"/>
              <w:ind w:left="312"/>
              <w:rPr>
                <w:b/>
                <w:sz w:val="20"/>
              </w:rPr>
            </w:pPr>
            <w:r>
              <w:rPr>
                <w:b/>
                <w:sz w:val="20"/>
              </w:rPr>
              <w:t>Deficiente</w:t>
            </w:r>
          </w:p>
        </w:tc>
      </w:tr>
      <w:tr>
        <w:trPr>
          <w:trHeight w:val="1178" w:hRule="exact"/>
        </w:trPr>
        <w:tc>
          <w:tcPr>
            <w:tcW w:w="954" w:type="dxa"/>
            <w:vMerge/>
            <w:tcBorders>
              <w:left w:val="double" w:sz="11" w:space="0" w:color="000000"/>
            </w:tcBorders>
          </w:tcPr>
          <w:p>
            <w:pPr/>
          </w:p>
        </w:tc>
        <w:tc>
          <w:tcPr>
            <w:tcW w:w="1894" w:type="dxa"/>
            <w:vMerge/>
          </w:tcPr>
          <w:p>
            <w:pPr/>
          </w:p>
        </w:tc>
        <w:tc>
          <w:tcPr>
            <w:tcW w:w="1349" w:type="dxa"/>
            <w:vMerge w:val="restart"/>
          </w:tcPr>
          <w:p>
            <w:pPr>
              <w:pStyle w:val="TableParagraph"/>
              <w:spacing w:line="227" w:lineRule="exact"/>
              <w:ind w:left="100"/>
              <w:rPr>
                <w:sz w:val="20"/>
              </w:rPr>
            </w:pPr>
            <w:r>
              <w:rPr>
                <w:sz w:val="20"/>
              </w:rPr>
              <w:t>Económico</w:t>
            </w:r>
          </w:p>
        </w:tc>
        <w:tc>
          <w:tcPr>
            <w:tcW w:w="3034" w:type="dxa"/>
            <w:vMerge w:val="restart"/>
          </w:tcPr>
          <w:p>
            <w:pPr>
              <w:pStyle w:val="TableParagraph"/>
              <w:numPr>
                <w:ilvl w:val="0"/>
                <w:numId w:val="233"/>
              </w:numPr>
              <w:tabs>
                <w:tab w:pos="812" w:val="left" w:leader="none"/>
                <w:tab w:pos="1950" w:val="left" w:leader="none"/>
              </w:tabs>
              <w:spacing w:line="240" w:lineRule="auto" w:before="0" w:after="0"/>
              <w:ind w:left="280" w:right="102" w:hanging="141"/>
              <w:jc w:val="both"/>
              <w:rPr>
                <w:sz w:val="20"/>
              </w:rPr>
            </w:pPr>
            <w:r>
              <w:rPr>
                <w:sz w:val="20"/>
              </w:rPr>
              <w:t>Existe coordinación entre los actores de la CHPH para</w:t>
              <w:tab/>
              <w:t>distribuirse equitativamente los recursos naturales</w:t>
            </w:r>
          </w:p>
          <w:p>
            <w:pPr>
              <w:pStyle w:val="TableParagraph"/>
              <w:numPr>
                <w:ilvl w:val="0"/>
                <w:numId w:val="233"/>
              </w:numPr>
              <w:tabs>
                <w:tab w:pos="812" w:val="left" w:leader="none"/>
              </w:tabs>
              <w:spacing w:line="240" w:lineRule="auto" w:before="1" w:after="0"/>
              <w:ind w:left="280" w:right="104" w:hanging="141"/>
              <w:jc w:val="both"/>
              <w:rPr>
                <w:sz w:val="20"/>
              </w:rPr>
            </w:pPr>
            <w:r>
              <w:rPr>
                <w:sz w:val="20"/>
              </w:rPr>
              <w:t>Existe cooperación entre los actores de los distintos municipios de la CHPH para el crecimiento económico</w:t>
            </w:r>
          </w:p>
          <w:p>
            <w:pPr>
              <w:pStyle w:val="TableParagraph"/>
              <w:numPr>
                <w:ilvl w:val="0"/>
                <w:numId w:val="233"/>
              </w:numPr>
              <w:tabs>
                <w:tab w:pos="812" w:val="left" w:leader="none"/>
                <w:tab w:pos="1950" w:val="left" w:leader="none"/>
              </w:tabs>
              <w:spacing w:line="240" w:lineRule="auto" w:before="0" w:after="0"/>
              <w:ind w:left="280" w:right="103" w:hanging="141"/>
              <w:jc w:val="both"/>
              <w:rPr>
                <w:sz w:val="20"/>
              </w:rPr>
            </w:pPr>
            <w:r>
              <w:rPr>
                <w:sz w:val="20"/>
              </w:rPr>
              <w:t>Existe</w:t>
              <w:tab/>
              <w:t>planeación económica con articulación entre</w:t>
            </w:r>
            <w:r>
              <w:rPr>
                <w:spacing w:val="-5"/>
                <w:sz w:val="20"/>
              </w:rPr>
              <w:t> </w:t>
            </w:r>
            <w:r>
              <w:rPr>
                <w:sz w:val="20"/>
              </w:rPr>
              <w:t>actores</w:t>
            </w:r>
          </w:p>
        </w:tc>
        <w:tc>
          <w:tcPr>
            <w:tcW w:w="1479" w:type="dxa"/>
            <w:vMerge/>
          </w:tcPr>
          <w:p>
            <w:pPr/>
          </w:p>
        </w:tc>
        <w:tc>
          <w:tcPr>
            <w:tcW w:w="2482" w:type="dxa"/>
            <w:vMerge/>
          </w:tcPr>
          <w:p>
            <w:pPr/>
          </w:p>
        </w:tc>
        <w:tc>
          <w:tcPr>
            <w:tcW w:w="1630" w:type="dxa"/>
            <w:vMerge/>
            <w:tcBorders>
              <w:right w:val="double" w:sz="12" w:space="0" w:color="000000"/>
            </w:tcBorders>
            <w:shd w:val="clear" w:color="auto" w:fill="FF0000"/>
          </w:tcPr>
          <w:p>
            <w:pPr/>
          </w:p>
        </w:tc>
      </w:tr>
      <w:tr>
        <w:trPr>
          <w:trHeight w:val="1832" w:hRule="exact"/>
        </w:trPr>
        <w:tc>
          <w:tcPr>
            <w:tcW w:w="954" w:type="dxa"/>
            <w:tcBorders>
              <w:left w:val="double" w:sz="11" w:space="0" w:color="000000"/>
              <w:bottom w:val="single" w:sz="8" w:space="0" w:color="000000"/>
            </w:tcBorders>
          </w:tcPr>
          <w:p>
            <w:pPr/>
          </w:p>
        </w:tc>
        <w:tc>
          <w:tcPr>
            <w:tcW w:w="1894" w:type="dxa"/>
            <w:vMerge/>
            <w:tcBorders>
              <w:bottom w:val="single" w:sz="8" w:space="0" w:color="000000"/>
            </w:tcBorders>
          </w:tcPr>
          <w:p>
            <w:pPr/>
          </w:p>
        </w:tc>
        <w:tc>
          <w:tcPr>
            <w:tcW w:w="1349" w:type="dxa"/>
            <w:vMerge/>
            <w:tcBorders>
              <w:bottom w:val="single" w:sz="8" w:space="0" w:color="000000"/>
            </w:tcBorders>
          </w:tcPr>
          <w:p>
            <w:pPr/>
          </w:p>
        </w:tc>
        <w:tc>
          <w:tcPr>
            <w:tcW w:w="3034" w:type="dxa"/>
            <w:vMerge/>
            <w:tcBorders>
              <w:bottom w:val="single" w:sz="8" w:space="0" w:color="000000"/>
            </w:tcBorders>
          </w:tcPr>
          <w:p>
            <w:pPr/>
          </w:p>
        </w:tc>
        <w:tc>
          <w:tcPr>
            <w:tcW w:w="1479" w:type="dxa"/>
            <w:vMerge/>
            <w:tcBorders>
              <w:bottom w:val="single" w:sz="8" w:space="0" w:color="000000"/>
            </w:tcBorders>
          </w:tcPr>
          <w:p>
            <w:pPr/>
          </w:p>
        </w:tc>
        <w:tc>
          <w:tcPr>
            <w:tcW w:w="2482" w:type="dxa"/>
            <w:vMerge/>
            <w:tcBorders>
              <w:bottom w:val="single" w:sz="8" w:space="0" w:color="000000"/>
            </w:tcBorders>
          </w:tcPr>
          <w:p>
            <w:pPr/>
          </w:p>
        </w:tc>
        <w:tc>
          <w:tcPr>
            <w:tcW w:w="1630" w:type="dxa"/>
            <w:vMerge/>
            <w:tcBorders>
              <w:bottom w:val="single" w:sz="8" w:space="0" w:color="000000"/>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4"/>
        <w:gridCol w:w="1479"/>
        <w:gridCol w:w="2482"/>
        <w:gridCol w:w="1630"/>
      </w:tblGrid>
      <w:tr>
        <w:trPr>
          <w:trHeight w:val="3701" w:hRule="exact"/>
        </w:trPr>
        <w:tc>
          <w:tcPr>
            <w:tcW w:w="954" w:type="dxa"/>
            <w:tcBorders>
              <w:left w:val="double" w:sz="11" w:space="0" w:color="000000"/>
            </w:tcBorders>
          </w:tcPr>
          <w:p>
            <w:pPr/>
          </w:p>
        </w:tc>
        <w:tc>
          <w:tcPr>
            <w:tcW w:w="1894" w:type="dxa"/>
          </w:tcPr>
          <w:p>
            <w:pPr/>
          </w:p>
        </w:tc>
        <w:tc>
          <w:tcPr>
            <w:tcW w:w="1349" w:type="dxa"/>
          </w:tcPr>
          <w:p>
            <w:pPr>
              <w:pStyle w:val="TableParagraph"/>
              <w:spacing w:before="7"/>
              <w:ind w:left="100"/>
              <w:rPr>
                <w:sz w:val="20"/>
              </w:rPr>
            </w:pPr>
            <w:r>
              <w:rPr>
                <w:sz w:val="20"/>
              </w:rPr>
              <w:t>Sociopolítico</w:t>
            </w:r>
          </w:p>
        </w:tc>
        <w:tc>
          <w:tcPr>
            <w:tcW w:w="3034" w:type="dxa"/>
          </w:tcPr>
          <w:p>
            <w:pPr>
              <w:pStyle w:val="TableParagraph"/>
              <w:spacing w:before="7"/>
              <w:ind w:left="280" w:right="104" w:hanging="178"/>
              <w:jc w:val="both"/>
              <w:rPr>
                <w:sz w:val="20"/>
              </w:rPr>
            </w:pPr>
            <w:r>
              <w:rPr>
                <w:rFonts w:ascii="Wingdings" w:hAnsi="Wingdings"/>
                <w:sz w:val="20"/>
              </w:rPr>
              <w:t></w:t>
            </w:r>
            <w:r>
              <w:rPr>
                <w:sz w:val="20"/>
              </w:rPr>
              <w:t>Favorece la cooperación de los actores para cuidar el medio ambiente de la CHPH</w:t>
            </w:r>
          </w:p>
          <w:p>
            <w:pPr>
              <w:pStyle w:val="TableParagraph"/>
              <w:tabs>
                <w:tab w:pos="1137" w:val="left" w:leader="none"/>
                <w:tab w:pos="2820" w:val="left" w:leader="none"/>
              </w:tabs>
              <w:ind w:left="280" w:right="103" w:hanging="178"/>
              <w:jc w:val="both"/>
              <w:rPr>
                <w:sz w:val="20"/>
              </w:rPr>
            </w:pPr>
            <w:r>
              <w:rPr>
                <w:rFonts w:ascii="Wingdings" w:hAnsi="Wingdings"/>
                <w:spacing w:val="2"/>
                <w:sz w:val="20"/>
              </w:rPr>
              <w:t></w:t>
            </w:r>
            <w:r>
              <w:rPr>
                <w:spacing w:val="2"/>
                <w:sz w:val="20"/>
              </w:rPr>
              <w:t>Favorece </w:t>
            </w:r>
            <w:r>
              <w:rPr>
                <w:sz w:val="20"/>
              </w:rPr>
              <w:t>la relación de los actores de la CHPH por  la vía</w:t>
              <w:tab/>
              <w:t>democrática</w:t>
              <w:tab/>
              <w:t>y</w:t>
            </w:r>
            <w:r>
              <w:rPr>
                <w:w w:val="99"/>
                <w:sz w:val="20"/>
              </w:rPr>
              <w:t> </w:t>
            </w:r>
            <w:r>
              <w:rPr>
                <w:sz w:val="20"/>
              </w:rPr>
              <w:t>participativa</w:t>
            </w:r>
          </w:p>
          <w:p>
            <w:pPr>
              <w:pStyle w:val="TableParagraph"/>
              <w:ind w:left="280" w:right="103" w:hanging="178"/>
              <w:jc w:val="both"/>
              <w:rPr>
                <w:sz w:val="20"/>
              </w:rPr>
            </w:pPr>
            <w:r>
              <w:rPr>
                <w:rFonts w:ascii="Wingdings" w:hAnsi="Wingdings"/>
                <w:sz w:val="20"/>
              </w:rPr>
              <w:t></w:t>
            </w:r>
            <w:r>
              <w:rPr>
                <w:sz w:val="20"/>
              </w:rPr>
              <w:t>Favorece los vínculos entre actores para cuidar el medio ambiente</w:t>
            </w:r>
          </w:p>
          <w:p>
            <w:pPr>
              <w:pStyle w:val="TableParagraph"/>
              <w:spacing w:line="228" w:lineRule="exact"/>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950" w:val="left" w:leader="none"/>
              </w:tabs>
              <w:ind w:left="280" w:right="104" w:hanging="178"/>
              <w:jc w:val="both"/>
              <w:rPr>
                <w:sz w:val="20"/>
              </w:rPr>
            </w:pPr>
            <w:r>
              <w:rPr>
                <w:rFonts w:ascii="Wingdings" w:hAnsi="Wingdings"/>
                <w:spacing w:val="3"/>
                <w:sz w:val="20"/>
              </w:rPr>
              <w:t></w:t>
            </w:r>
            <w:r>
              <w:rPr>
                <w:spacing w:val="3"/>
                <w:sz w:val="20"/>
              </w:rPr>
              <w:t>Existe</w:t>
              <w:tab/>
            </w:r>
            <w:r>
              <w:rPr>
                <w:sz w:val="20"/>
              </w:rPr>
              <w:t>planeación sociopolítica con articulación entre</w:t>
            </w:r>
            <w:r>
              <w:rPr>
                <w:spacing w:val="-5"/>
                <w:sz w:val="20"/>
              </w:rPr>
              <w:t> </w:t>
            </w:r>
            <w:r>
              <w:rPr>
                <w:sz w:val="20"/>
              </w:rPr>
              <w:t>actores</w:t>
            </w:r>
          </w:p>
        </w:tc>
        <w:tc>
          <w:tcPr>
            <w:tcW w:w="1479" w:type="dxa"/>
          </w:tcPr>
          <w:p>
            <w:pPr/>
          </w:p>
        </w:tc>
        <w:tc>
          <w:tcPr>
            <w:tcW w:w="2482" w:type="dxa"/>
          </w:tcPr>
          <w:p>
            <w:pPr/>
          </w:p>
        </w:tc>
        <w:tc>
          <w:tcPr>
            <w:tcW w:w="1630" w:type="dxa"/>
            <w:tcBorders>
              <w:right w:val="double" w:sz="12" w:space="0" w:color="000000"/>
            </w:tcBorders>
            <w:shd w:val="clear" w:color="auto" w:fill="FF0000"/>
          </w:tcPr>
          <w:p>
            <w:pPr/>
          </w:p>
        </w:tc>
      </w:tr>
      <w:tr>
        <w:trPr>
          <w:trHeight w:val="5070"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p>
            <w:pPr>
              <w:pStyle w:val="TableParagraph"/>
              <w:spacing w:before="9"/>
              <w:ind w:left="0"/>
              <w:rPr>
                <w:rFonts w:ascii="Times New Roman"/>
                <w:sz w:val="21"/>
              </w:rPr>
            </w:pPr>
          </w:p>
          <w:p>
            <w:pPr>
              <w:pStyle w:val="TableParagraph"/>
              <w:ind w:left="27"/>
              <w:jc w:val="both"/>
              <w:rPr>
                <w:b/>
                <w:sz w:val="22"/>
              </w:rPr>
            </w:pPr>
            <w:r>
              <w:rPr>
                <w:b/>
                <w:sz w:val="22"/>
              </w:rPr>
              <w:t>Interpretación de la anterior gráfica y la tarjeta de valoración:</w:t>
            </w:r>
          </w:p>
          <w:p>
            <w:pPr>
              <w:pStyle w:val="TableParagraph"/>
              <w:numPr>
                <w:ilvl w:val="0"/>
                <w:numId w:val="234"/>
              </w:numPr>
              <w:tabs>
                <w:tab w:pos="170" w:val="left" w:leader="none"/>
              </w:tabs>
              <w:spacing w:line="240" w:lineRule="auto" w:before="4" w:after="0"/>
              <w:ind w:left="27" w:right="25" w:firstLine="0"/>
              <w:jc w:val="both"/>
              <w:rPr>
                <w:sz w:val="22"/>
              </w:rPr>
            </w:pPr>
            <w:r>
              <w:rPr>
                <w:sz w:val="22"/>
              </w:rPr>
              <w:t>En 1400, época prehispánica, la Cuenca pertenecía a la provincia política del Señorío de Xilotepec. Estaba poblada por otomíes principalmente, divididos en clases sociales. Su base económica estaba apoyada principalmente en el uso intensivo de un cuerpo de agua utilizado para el riego (ese antiguo cuerpo de agua daría posteriormente lugar a la presa Huapango y a la presa Huaracha). Debido a esa intensidad del uso del agua, dicha provincia y Señorío de Xilotepec, adquirió una importancia política, religiosa y económica hasta convertirse en un importante Estado prehispánico con centro ceremonial y religioso llamado Jilotepec, en este período la cooperación era excelente porque la población se podía organizar sin ningún</w:t>
            </w:r>
            <w:r>
              <w:rPr>
                <w:spacing w:val="-22"/>
                <w:sz w:val="22"/>
              </w:rPr>
              <w:t> </w:t>
            </w:r>
            <w:r>
              <w:rPr>
                <w:sz w:val="22"/>
              </w:rPr>
              <w:t>problema.</w:t>
            </w:r>
          </w:p>
          <w:p>
            <w:pPr>
              <w:pStyle w:val="TableParagraph"/>
              <w:numPr>
                <w:ilvl w:val="0"/>
                <w:numId w:val="234"/>
              </w:numPr>
              <w:tabs>
                <w:tab w:pos="165" w:val="left" w:leader="none"/>
              </w:tabs>
              <w:spacing w:line="240" w:lineRule="auto" w:before="0" w:after="0"/>
              <w:ind w:left="27" w:right="23" w:firstLine="0"/>
              <w:jc w:val="both"/>
              <w:rPr>
                <w:sz w:val="22"/>
              </w:rPr>
            </w:pPr>
            <w:r>
              <w:rPr>
                <w:sz w:val="22"/>
              </w:rPr>
              <w:t>En 1519, dicha región fue visitada por primera vez por los españoles; pero fue a mediados de la década de 1520 que la provincia de Xilotepec fue dominada en la parte sur por los españoles, y en 1533 se le asignó el territorio como Encomienda,  al conquistador Juan Jaramillo de Salvatierra (esposo de la Malinche). En este período, la provincia de Xilotepec, se conectó económica y políticamente al sistema mundo, como parte del territorio español, pero todavía su organización sociopolítica prevalecía y cooperaban entre ellos para un bien estar</w:t>
            </w:r>
            <w:r>
              <w:rPr>
                <w:spacing w:val="-12"/>
                <w:sz w:val="22"/>
              </w:rPr>
              <w:t> </w:t>
            </w:r>
            <w:r>
              <w:rPr>
                <w:sz w:val="22"/>
              </w:rPr>
              <w:t>general.</w:t>
            </w:r>
          </w:p>
          <w:p>
            <w:pPr>
              <w:pStyle w:val="TableParagraph"/>
              <w:numPr>
                <w:ilvl w:val="0"/>
                <w:numId w:val="234"/>
              </w:numPr>
              <w:tabs>
                <w:tab w:pos="294" w:val="left" w:leader="none"/>
              </w:tabs>
              <w:spacing w:line="240" w:lineRule="auto" w:before="0" w:after="0"/>
              <w:ind w:left="27" w:right="22" w:firstLine="63"/>
              <w:jc w:val="both"/>
              <w:rPr>
                <w:sz w:val="22"/>
              </w:rPr>
            </w:pPr>
            <w:r>
              <w:rPr>
                <w:sz w:val="22"/>
              </w:rPr>
              <w:t>Hacia el año 1580, con la dominación española, la encomienda de la provincia de Xilotepec se conformó política y económicamente en territorio de haciendas de ganado mayor y menor, en las que trabajaba un número creciente de españoles y mulatos. Así que para el año de 1794, ya existían 25 haciendas y 95 ranchos ganaderos y productores de leche. En este período hubo impacto económico y político, pero sobre todo, los derechos civiles de los trabajadores nativos eran precarios, porque existía concentración de la tierra y sobreexplotación de su labor a través de las tiendas de raya, sin embargo la cooperación entre </w:t>
            </w:r>
            <w:r>
              <w:rPr>
                <w:spacing w:val="3"/>
                <w:sz w:val="22"/>
              </w:rPr>
              <w:t>los </w:t>
            </w:r>
            <w:r>
              <w:rPr>
                <w:sz w:val="22"/>
              </w:rPr>
              <w:t>pueblos nativos era</w:t>
            </w:r>
            <w:r>
              <w:rPr>
                <w:spacing w:val="-8"/>
                <w:sz w:val="22"/>
              </w:rPr>
              <w:t> </w:t>
            </w:r>
            <w:r>
              <w:rPr>
                <w:sz w:val="22"/>
              </w:rPr>
              <w:t>buena.</w:t>
            </w:r>
          </w:p>
        </w:tc>
      </w:tr>
    </w:tbl>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29152"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ListParagraph"/>
        <w:numPr>
          <w:ilvl w:val="0"/>
          <w:numId w:val="121"/>
        </w:numPr>
        <w:tabs>
          <w:tab w:pos="348" w:val="left" w:leader="none"/>
        </w:tabs>
        <w:spacing w:line="240" w:lineRule="auto" w:before="72" w:after="0"/>
        <w:ind w:left="180" w:right="398" w:firstLine="0"/>
        <w:jc w:val="both"/>
        <w:rPr>
          <w:sz w:val="22"/>
        </w:rPr>
      </w:pPr>
      <w:r>
        <w:rPr>
          <w:sz w:val="22"/>
        </w:rPr>
        <w:t>Hacia 1785-1788, los religiosos franciscanos que ya estaban en la región y que también eran dueños de ranchos y tierras, decidieron construir sobre el antiguo lago prehispánico, una presa de gran tamaño, capaz de regar tierras para el cultivo, y dar sostenimiento a miles de cabezas de ganado mayor. Dicho cuerpo de agua se conoció como presa o laguna de Huapango, uno  de los cuerpos de agua artificial más grandes del centro del país, y origen de la actual cuenca lechera más importante del Estado de México. En esta época subió el impacto económico, político y social de la región al aumentar el uso de los recursos de la CHPH, principalmente el agua, por lo que los nativos seguían cooperando entre ellos para la recolección y la</w:t>
      </w:r>
      <w:r>
        <w:rPr>
          <w:spacing w:val="-35"/>
          <w:sz w:val="22"/>
        </w:rPr>
        <w:t> </w:t>
      </w:r>
      <w:r>
        <w:rPr>
          <w:sz w:val="22"/>
        </w:rPr>
        <w:t>caza.</w:t>
      </w:r>
    </w:p>
    <w:p>
      <w:pPr>
        <w:pStyle w:val="ListParagraph"/>
        <w:numPr>
          <w:ilvl w:val="0"/>
          <w:numId w:val="121"/>
        </w:numPr>
        <w:tabs>
          <w:tab w:pos="320" w:val="left" w:leader="none"/>
        </w:tabs>
        <w:spacing w:line="240" w:lineRule="auto" w:before="0" w:after="0"/>
        <w:ind w:left="180" w:right="401" w:firstLine="0"/>
        <w:jc w:val="both"/>
        <w:rPr>
          <w:sz w:val="22"/>
        </w:rPr>
      </w:pPr>
      <w:r>
        <w:rPr>
          <w:sz w:val="22"/>
        </w:rPr>
        <w:t>En 1810 inició la independencia de la antigua Nueva España, hoy México. Esta fecha tiene un gran impacto porque se considera el parteaguas de la lucha civil en la CHPH, para que se reconocieran mejores derechos sociopolíticos, económicos y ambientales de los ciudadanos de la antigua provincia de Xilotepec, en esta época empieza una cooperación más sólida entre los habitantes históricos de la CHPH porque inicia la articulación sociopolítica para independizarse y obtener sus derechos más</w:t>
      </w:r>
      <w:r>
        <w:rPr>
          <w:spacing w:val="-30"/>
          <w:sz w:val="22"/>
        </w:rPr>
        <w:t> </w:t>
      </w:r>
      <w:r>
        <w:rPr>
          <w:sz w:val="22"/>
        </w:rPr>
        <w:t>elementales.</w:t>
      </w:r>
    </w:p>
    <w:p>
      <w:pPr>
        <w:pStyle w:val="ListParagraph"/>
        <w:numPr>
          <w:ilvl w:val="0"/>
          <w:numId w:val="121"/>
        </w:numPr>
        <w:tabs>
          <w:tab w:pos="336" w:val="left" w:leader="none"/>
        </w:tabs>
        <w:spacing w:line="240" w:lineRule="auto" w:before="0" w:after="0"/>
        <w:ind w:left="180" w:right="397" w:firstLine="0"/>
        <w:jc w:val="both"/>
        <w:rPr>
          <w:sz w:val="22"/>
        </w:rPr>
      </w:pPr>
      <w:r>
        <w:rPr>
          <w:sz w:val="22"/>
        </w:rPr>
        <w:t>Aunque el municipio en México tiene sus orígenes en la época prehispánica con los </w:t>
      </w:r>
      <w:r>
        <w:rPr>
          <w:i/>
          <w:sz w:val="22"/>
        </w:rPr>
        <w:t>Tlahtocayos</w:t>
      </w:r>
      <w:r>
        <w:rPr>
          <w:sz w:val="22"/>
        </w:rPr>
        <w:t>, fue hasta la Constitución de Cádiz de 1812, que se constituyó formalmente; este evento histórico socio político, permitió que se formaran e instituyeran </w:t>
      </w:r>
      <w:r>
        <w:rPr>
          <w:spacing w:val="3"/>
          <w:sz w:val="22"/>
        </w:rPr>
        <w:t>los </w:t>
      </w:r>
      <w:r>
        <w:rPr>
          <w:sz w:val="22"/>
        </w:rPr>
        <w:t>actuales municipios de la CHPH, siendo el primero en 1861 por decreto No. 27 la Villa de Jilotepec. Sin embargo dicha institución surge con una serie de limitaciones importantes que repercuten hasta la fecha, entre las principales deficiencias está la administración de solo algunos servicios públicos, donde no se cuenta ni estipula su competencia jurídica en torno a la protección del medio ambiente, y menos en conjunto con los municipios vecinos. Estas deficiencias siguen afectando las decisiones sociopolíticas de la Cuenca (a pesar de las reformas al artículo 115); el municipio sigue estando supeditado al sistema federal y estatal, lo cual no le permite tener la “autonomía y soberanía” que se estipula en la Constitución para su territorio, población y gobierno, por lo que el municipio desde su origen, tiene problemas en sus facultades políticas-sociales, atribuciones limitadas que tienen un gran impacto sociopolítico, económico y ambiental como institución, que afectan directamente al agua y a sus habitantes de la  Cuenca, sin embargo la cooperación basada en usos y costumbres ha existido en los municipios que integran la</w:t>
      </w:r>
      <w:r>
        <w:rPr>
          <w:spacing w:val="-36"/>
          <w:sz w:val="22"/>
        </w:rPr>
        <w:t> </w:t>
      </w:r>
      <w:r>
        <w:rPr>
          <w:sz w:val="22"/>
        </w:rPr>
        <w:t>CHPH.</w:t>
      </w:r>
    </w:p>
    <w:p>
      <w:pPr>
        <w:pStyle w:val="ListParagraph"/>
        <w:numPr>
          <w:ilvl w:val="0"/>
          <w:numId w:val="121"/>
        </w:numPr>
        <w:tabs>
          <w:tab w:pos="332" w:val="left" w:leader="none"/>
        </w:tabs>
        <w:spacing w:line="240" w:lineRule="auto" w:before="0" w:after="0"/>
        <w:ind w:left="180" w:right="396" w:firstLine="0"/>
        <w:jc w:val="both"/>
        <w:rPr>
          <w:sz w:val="22"/>
        </w:rPr>
      </w:pPr>
      <w:r>
        <w:rPr>
          <w:sz w:val="22"/>
        </w:rPr>
        <w:t>En 1910, inicio la revolución mexicana que tuvo varias causas, entre ellas, la dictadura en la presidencia de la República, pero sobre todo, fueron los grandes latifundios que provocaron la decadencia de la agricultura, ya que el territorio nacional era propiedad de tan sólo 840 familias de hacendados, donde los abusos de esclavitud contra el campesinado y los obreros, limitaron el desarrollo agrícola y social de los actores. Dichas injusticias sociales provocaron la demanda de derechos civiles, por lo que dichas peticiones se plasmaron en la Constitución de 1917, como el derecho a la tierra y el acceso a los recursos naturales. Sin embargo, estos derechos fueron abusados por nuevos actores, lo que ocasionó la sobreexplotación de los recursos naturales, sobre todo bosques y aguas, provocando nuevas desigualdades sociopolíticas, por lo que ésta época tiene un gran impacto en lo social, económico y ambiental de la Cuenca, en este período la cooperación fue más visible al plasmar las peticiones sociales en la Constitución de</w:t>
      </w:r>
      <w:r>
        <w:rPr>
          <w:spacing w:val="-1"/>
          <w:sz w:val="22"/>
        </w:rPr>
        <w:t> </w:t>
      </w:r>
      <w:r>
        <w:rPr>
          <w:sz w:val="22"/>
        </w:rPr>
        <w:t>1917.</w:t>
      </w:r>
    </w:p>
    <w:p>
      <w:pPr>
        <w:pStyle w:val="ListParagraph"/>
        <w:numPr>
          <w:ilvl w:val="0"/>
          <w:numId w:val="121"/>
        </w:numPr>
        <w:tabs>
          <w:tab w:pos="322" w:val="left" w:leader="none"/>
        </w:tabs>
        <w:spacing w:line="240" w:lineRule="auto" w:before="0" w:after="0"/>
        <w:ind w:left="180" w:right="399" w:firstLine="0"/>
        <w:jc w:val="both"/>
        <w:rPr>
          <w:sz w:val="22"/>
        </w:rPr>
      </w:pPr>
      <w:r>
        <w:rPr>
          <w:sz w:val="22"/>
        </w:rPr>
        <w:t>La reforma agraria mexicana ha sido un proceso complejo y prolongado. La reforma tuvo su origen en una revolución popular de gran envergadura, y se desarrolló durante una guerra civil. El Plan de Ayala, propuesto por Emiliano Zapata y adoptado en 1911, exigía la devolución a los pueblos de las tierras que habían sido concentradas en las haciendas. En 1912 algunos jefes militares revolucionarios  hicieron  los  primeros  repartos  de  tierras.  En  1915  las  tres  fuerzas  revolucionarias  más  importantes,        el</w:t>
      </w:r>
    </w:p>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8106" w:hRule="exact"/>
        </w:trPr>
        <w:tc>
          <w:tcPr>
            <w:tcW w:w="12897" w:type="dxa"/>
          </w:tcPr>
          <w:p>
            <w:pPr>
              <w:pStyle w:val="TableParagraph"/>
              <w:ind w:left="64" w:right="60"/>
              <w:jc w:val="both"/>
              <w:rPr>
                <w:sz w:val="22"/>
              </w:rPr>
            </w:pPr>
            <w:r>
              <w:rPr>
                <w:sz w:val="22"/>
              </w:rPr>
              <w:t>constitucionalismo, el villismo y el zapatismo, promulgaron las leyes agrarias.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del Río (1936-1940)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los bosques, etc.) que aún no se pueden resolver, teniendo esto un alto impacto en lo sociopolítico, económico y ambiental, pero sobre todo el Ejido como institución ha generado lazos muy importantes de cooperación entre los actores históricos de la región.</w:t>
            </w:r>
          </w:p>
          <w:p>
            <w:pPr>
              <w:pStyle w:val="TableParagraph"/>
              <w:numPr>
                <w:ilvl w:val="0"/>
                <w:numId w:val="235"/>
              </w:numPr>
              <w:tabs>
                <w:tab w:pos="212" w:val="left" w:leader="none"/>
              </w:tabs>
              <w:spacing w:line="240" w:lineRule="auto" w:before="0" w:after="0"/>
              <w:ind w:left="64" w:right="60" w:firstLine="0"/>
              <w:jc w:val="both"/>
              <w:rPr>
                <w:sz w:val="22"/>
              </w:rPr>
            </w:pPr>
            <w:r>
              <w:rPr>
                <w:sz w:val="22"/>
              </w:rPr>
              <w:t>En 1982, el primer presidente neoliberal, Miguel de la Madrid, comienza la internacionalización del libre mercado, con lo que se da pie al nuevo sistema económico y político social, que promueve la intervención mínima del Estado y el libre juego de la  apertura del mercado. Dicha corriente fomenta el consumo de los recursos naturales, así como las prácticas de producción altamente contaminantes, ya que las multinacionales extienden su poder económico hacia las regiones de los países menos desarrollados, generando crisis ambientales locales y regionales, que acrecientan la de carácter global. La CHPH no es la excepción, el consumo de los recursos naturales (agua) está siendo voraz; y el deterioro ambiental por la generación de servicios (construcción de autopista Arco Norte) obedece a intereses económicos ajenos a los actores históricos, y han dejado a la región en una práctica vulnerabilidad socio-ambiental, por lo que esta época tuvo un impacto negativo en lo sociopolítico, económico y ambiental, pero lo que garantiza la sobrevivencia de los actores históricos en la Cuenca es la cooperación entre ellos que </w:t>
            </w:r>
            <w:r>
              <w:rPr>
                <w:spacing w:val="2"/>
                <w:sz w:val="22"/>
              </w:rPr>
              <w:t>está </w:t>
            </w:r>
            <w:r>
              <w:rPr>
                <w:sz w:val="22"/>
              </w:rPr>
              <w:t>basada en usos y</w:t>
            </w:r>
            <w:r>
              <w:rPr>
                <w:spacing w:val="-5"/>
                <w:sz w:val="22"/>
              </w:rPr>
              <w:t> </w:t>
            </w:r>
            <w:r>
              <w:rPr>
                <w:sz w:val="22"/>
              </w:rPr>
              <w:t>costumbres.</w:t>
            </w:r>
          </w:p>
          <w:p>
            <w:pPr>
              <w:pStyle w:val="TableParagraph"/>
              <w:numPr>
                <w:ilvl w:val="0"/>
                <w:numId w:val="235"/>
              </w:numPr>
              <w:tabs>
                <w:tab w:pos="209" w:val="left" w:leader="none"/>
              </w:tabs>
              <w:spacing w:line="240" w:lineRule="auto" w:before="0" w:after="0"/>
              <w:ind w:left="64" w:right="63" w:firstLine="0"/>
              <w:jc w:val="both"/>
              <w:rPr>
                <w:sz w:val="22"/>
              </w:rPr>
            </w:pPr>
            <w:r>
              <w:rPr>
                <w:sz w:val="22"/>
              </w:rPr>
              <w:t>Actualmente, en el año 2016, la CHPH se encuentra en franco deterioro, debido a la suma de los costos ambientales y sociales de los anteriores acontecimientos, lo que ha dado pie a que la actual política neoliberal, refuerce el reparto inequitativo de los recursos para favorecer intereses políticos y económicos de los actores más poderosos de la región. La utilización para legalizar tales inequidades es a través de las instituciones gubernamentales, como la Conagua y la Semanat, con la aplicación de una serie de incongruencias en la región como el reparto inequitativo de los recursos (agua), y ha generado hoy como en el pasado, conflictos, que sólo pueden solucionarse a través de una visión GIRH, mediante la gobernanza y la gobernabilidad, generando acuerdos democráticos con impacto positivo en los ámbitos sociopolítico, económico y ambiental, con la propuesta de conformación de un Comité Intermunicipal con su reglamento para que los actores históricos de los municipios de la Cuenca atiendan su problemática</w:t>
            </w:r>
            <w:r>
              <w:rPr>
                <w:spacing w:val="-8"/>
                <w:sz w:val="22"/>
              </w:rPr>
              <w:t> </w:t>
            </w:r>
            <w:r>
              <w:rPr>
                <w:sz w:val="22"/>
              </w:rPr>
              <w:t>común.</w:t>
            </w:r>
          </w:p>
        </w:tc>
      </w:tr>
      <w:tr>
        <w:trPr>
          <w:trHeight w:val="341"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338" w:hRule="exact"/>
        </w:trPr>
        <w:tc>
          <w:tcPr>
            <w:tcW w:w="12897" w:type="dxa"/>
          </w:tcPr>
          <w:p>
            <w:pPr>
              <w:pStyle w:val="TableParagraph"/>
              <w:spacing w:line="251" w:lineRule="exact"/>
              <w:ind w:right="163"/>
              <w:rPr>
                <w:sz w:val="22"/>
              </w:rPr>
            </w:pPr>
            <w:r>
              <w:rPr>
                <w:sz w:val="22"/>
              </w:rPr>
              <w:t>- Permitió identificar el grado de cooperación de los actores de la CHPH para cuidar el medio ambiente.</w:t>
            </w:r>
          </w:p>
        </w:tc>
      </w:tr>
    </w:tbl>
    <w:p>
      <w:pPr>
        <w:spacing w:after="0" w:line="25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516" w:hRule="exact"/>
        </w:trPr>
        <w:tc>
          <w:tcPr>
            <w:tcW w:w="12897" w:type="dxa"/>
          </w:tcPr>
          <w:p>
            <w:pPr>
              <w:pStyle w:val="TableParagraph"/>
              <w:spacing w:line="252" w:lineRule="exact" w:before="2"/>
              <w:ind w:right="12"/>
              <w:rPr>
                <w:sz w:val="22"/>
              </w:rPr>
            </w:pPr>
            <w:r>
              <w:rPr>
                <w:sz w:val="22"/>
              </w:rPr>
              <w:t>- Sirvió de guía de explicación para la elaboración de la propuesta de creación de un Comité Intermunicipal con su reglamento en la CHPH.</w:t>
            </w:r>
          </w:p>
        </w:tc>
      </w:tr>
      <w:tr>
        <w:trPr>
          <w:trHeight w:val="338"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518" w:hRule="exact"/>
        </w:trPr>
        <w:tc>
          <w:tcPr>
            <w:tcW w:w="12897" w:type="dxa"/>
          </w:tcPr>
          <w:p>
            <w:pPr>
              <w:pStyle w:val="TableParagraph"/>
              <w:ind w:right="163"/>
              <w:rPr>
                <w:sz w:val="22"/>
              </w:rPr>
            </w:pPr>
            <w:r>
              <w:rPr>
                <w:sz w:val="22"/>
              </w:rPr>
              <w:t>- La cooperación ambiental formal en la CHPH aún se percibe como local y no como regional, por lo que se requieren acuerdos regionales.</w:t>
            </w:r>
          </w:p>
        </w:tc>
      </w:tr>
    </w:tbl>
    <w:p>
      <w:pPr>
        <w:spacing w:after="0"/>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439" w:right="105"/>
              <w:rPr>
                <w:b/>
                <w:sz w:val="22"/>
              </w:rPr>
            </w:pPr>
            <w:r>
              <w:rPr>
                <w:b/>
                <w:sz w:val="22"/>
              </w:rPr>
              <w:t>Identidad sociopolítica</w:t>
            </w:r>
          </w:p>
        </w:tc>
        <w:tc>
          <w:tcPr>
            <w:tcW w:w="3277" w:type="dxa"/>
            <w:gridSpan w:val="3"/>
            <w:vMerge w:val="restart"/>
          </w:tcPr>
          <w:p>
            <w:pPr>
              <w:pStyle w:val="TableParagraph"/>
              <w:ind w:left="100" w:right="100"/>
              <w:jc w:val="both"/>
              <w:rPr>
                <w:b/>
                <w:sz w:val="22"/>
              </w:rPr>
            </w:pPr>
            <w:r>
              <w:rPr>
                <w:b/>
                <w:sz w:val="22"/>
              </w:rPr>
              <w:t>Identificar el sentido de pertenencia histórica y comunitaria por parte de los actores históricos de la CHPH que favorece la coordinación social con otros actores para atender la problemática sociopolítica compartida</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67"/>
              <w:rPr>
                <w:b/>
                <w:sz w:val="22"/>
              </w:rPr>
            </w:pPr>
            <w:r>
              <w:rPr>
                <w:b/>
                <w:sz w:val="22"/>
              </w:rPr>
              <w:t>0.930/ 18.055</w:t>
            </w:r>
          </w:p>
        </w:tc>
        <w:tc>
          <w:tcPr>
            <w:tcW w:w="1985" w:type="dxa"/>
            <w:gridSpan w:val="2"/>
          </w:tcPr>
          <w:p>
            <w:pPr>
              <w:pStyle w:val="TableParagraph"/>
              <w:spacing w:line="248" w:lineRule="exact"/>
              <w:ind w:left="1" w:right="2"/>
              <w:jc w:val="center"/>
              <w:rPr>
                <w:b/>
                <w:sz w:val="22"/>
              </w:rPr>
            </w:pPr>
            <w:r>
              <w:rPr>
                <w:b/>
                <w:sz w:val="22"/>
              </w:rPr>
              <w:t>5.15%</w:t>
            </w:r>
          </w:p>
        </w:tc>
        <w:tc>
          <w:tcPr>
            <w:tcW w:w="2268" w:type="dxa"/>
            <w:gridSpan w:val="2"/>
          </w:tcPr>
          <w:p>
            <w:pPr>
              <w:pStyle w:val="TableParagraph"/>
              <w:spacing w:line="248" w:lineRule="exact"/>
              <w:ind w:left="136" w:right="136"/>
              <w:jc w:val="center"/>
              <w:rPr>
                <w:b/>
                <w:sz w:val="22"/>
              </w:rPr>
            </w:pPr>
            <w:r>
              <w:rPr>
                <w:b/>
                <w:sz w:val="22"/>
              </w:rPr>
              <w:t>16.875</w:t>
            </w:r>
          </w:p>
        </w:tc>
        <w:tc>
          <w:tcPr>
            <w:tcW w:w="3274" w:type="dxa"/>
            <w:gridSpan w:val="5"/>
            <w:vMerge/>
          </w:tcPr>
          <w:p>
            <w:pPr/>
          </w:p>
        </w:tc>
        <w:tc>
          <w:tcPr>
            <w:tcW w:w="3277" w:type="dxa"/>
            <w:gridSpan w:val="3"/>
            <w:vMerge/>
          </w:tcPr>
          <w:p>
            <w:pPr/>
          </w:p>
        </w:tc>
      </w:tr>
      <w:tr>
        <w:trPr>
          <w:trHeight w:val="262" w:hRule="exact"/>
        </w:trPr>
        <w:tc>
          <w:tcPr>
            <w:tcW w:w="2093" w:type="dxa"/>
            <w:gridSpan w:val="2"/>
            <w:tcBorders>
              <w:right w:val="single" w:sz="41" w:space="0" w:color="D99493"/>
            </w:tcBorders>
          </w:tcPr>
          <w:p>
            <w:pPr>
              <w:pStyle w:val="TableParagraph"/>
              <w:spacing w:line="248" w:lineRule="exact"/>
              <w:ind w:left="45"/>
              <w:jc w:val="center"/>
              <w:rPr>
                <w:b/>
                <w:sz w:val="22"/>
              </w:rPr>
            </w:pPr>
            <w:r>
              <w:rPr>
                <w:b/>
                <w:w w:val="100"/>
                <w:sz w:val="22"/>
              </w:rPr>
              <w:t>1</w:t>
            </w:r>
          </w:p>
        </w:tc>
        <w:tc>
          <w:tcPr>
            <w:tcW w:w="1985" w:type="dxa"/>
            <w:gridSpan w:val="2"/>
            <w:shd w:val="clear" w:color="auto" w:fill="D99493"/>
          </w:tcPr>
          <w:p>
            <w:pPr>
              <w:pStyle w:val="TableParagraph"/>
              <w:spacing w:line="248" w:lineRule="exact"/>
              <w:ind w:left="0"/>
              <w:jc w:val="center"/>
              <w:rPr>
                <w:b/>
                <w:sz w:val="22"/>
              </w:rPr>
            </w:pPr>
            <w:r>
              <w:rPr>
                <w:b/>
                <w:w w:val="100"/>
                <w:sz w:val="22"/>
              </w:rPr>
              <w:t>2</w:t>
            </w:r>
          </w:p>
        </w:tc>
        <w:tc>
          <w:tcPr>
            <w:tcW w:w="2268" w:type="dxa"/>
            <w:gridSpan w:val="2"/>
            <w:tcBorders>
              <w:left w:val="thickThinMediumGap" w:sz="23" w:space="0" w:color="D99493"/>
              <w:right w:val="single" w:sz="41" w:space="0" w:color="D99493"/>
            </w:tcBorders>
          </w:tcPr>
          <w:p>
            <w:pPr>
              <w:pStyle w:val="TableParagraph"/>
              <w:spacing w:line="248" w:lineRule="exact"/>
              <w:ind w:left="0" w:right="2"/>
              <w:jc w:val="center"/>
              <w:rPr>
                <w:b/>
                <w:sz w:val="22"/>
              </w:rPr>
            </w:pPr>
            <w:r>
              <w:rPr>
                <w:b/>
                <w:w w:val="100"/>
                <w:sz w:val="22"/>
              </w:rPr>
              <w:t>3</w:t>
            </w:r>
          </w:p>
        </w:tc>
        <w:tc>
          <w:tcPr>
            <w:tcW w:w="1701" w:type="dxa"/>
            <w:gridSpan w:val="2"/>
            <w:shd w:val="clear" w:color="auto" w:fill="D99493"/>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D99493"/>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1" w:right="492"/>
              <w:jc w:val="center"/>
              <w:rPr>
                <w:b/>
                <w:sz w:val="22"/>
              </w:rPr>
            </w:pPr>
            <w:r>
              <w:rPr>
                <w:b/>
                <w:sz w:val="22"/>
              </w:rPr>
              <w:t>81</w:t>
            </w:r>
          </w:p>
        </w:tc>
        <w:tc>
          <w:tcPr>
            <w:tcW w:w="2127" w:type="dxa"/>
            <w:gridSpan w:val="3"/>
            <w:shd w:val="clear" w:color="auto" w:fill="92CDDC"/>
          </w:tcPr>
          <w:p>
            <w:pPr>
              <w:pStyle w:val="TableParagraph"/>
              <w:spacing w:line="248" w:lineRule="exact"/>
              <w:ind w:left="916" w:right="916"/>
              <w:jc w:val="center"/>
              <w:rPr>
                <w:b/>
                <w:sz w:val="22"/>
              </w:rPr>
            </w:pPr>
            <w:r>
              <w:rPr>
                <w:b/>
                <w:sz w:val="22"/>
              </w:rPr>
              <w:t>42</w:t>
            </w:r>
          </w:p>
        </w:tc>
        <w:tc>
          <w:tcPr>
            <w:tcW w:w="2410" w:type="dxa"/>
            <w:gridSpan w:val="3"/>
            <w:shd w:val="clear" w:color="auto" w:fill="92CDDC"/>
          </w:tcPr>
          <w:p>
            <w:pPr>
              <w:pStyle w:val="TableParagraph"/>
              <w:spacing w:line="248" w:lineRule="exact"/>
              <w:ind w:left="782" w:right="782"/>
              <w:jc w:val="center"/>
              <w:rPr>
                <w:b/>
                <w:sz w:val="22"/>
              </w:rPr>
            </w:pPr>
            <w:r>
              <w:rPr>
                <w:b/>
                <w:sz w:val="22"/>
              </w:rPr>
              <w:t>0.03125</w:t>
            </w:r>
          </w:p>
        </w:tc>
        <w:tc>
          <w:tcPr>
            <w:tcW w:w="1844" w:type="dxa"/>
            <w:gridSpan w:val="2"/>
            <w:shd w:val="clear" w:color="auto" w:fill="F9BE8F"/>
          </w:tcPr>
          <w:p>
            <w:pPr>
              <w:pStyle w:val="TableParagraph"/>
              <w:spacing w:line="248" w:lineRule="exact"/>
              <w:ind w:left="774" w:right="774"/>
              <w:jc w:val="center"/>
              <w:rPr>
                <w:b/>
                <w:sz w:val="22"/>
              </w:rPr>
            </w:pPr>
            <w:r>
              <w:rPr>
                <w:b/>
                <w:sz w:val="22"/>
              </w:rPr>
              <w:t>36</w:t>
            </w:r>
          </w:p>
        </w:tc>
        <w:tc>
          <w:tcPr>
            <w:tcW w:w="2126" w:type="dxa"/>
            <w:gridSpan w:val="3"/>
            <w:shd w:val="clear" w:color="auto" w:fill="F9BE8F"/>
          </w:tcPr>
          <w:p>
            <w:pPr>
              <w:pStyle w:val="TableParagraph"/>
              <w:spacing w:line="248" w:lineRule="exact"/>
              <w:ind w:left="0"/>
              <w:jc w:val="center"/>
              <w:rPr>
                <w:b/>
                <w:sz w:val="22"/>
              </w:rPr>
            </w:pPr>
            <w:r>
              <w:rPr>
                <w:b/>
                <w:w w:val="100"/>
                <w:sz w:val="22"/>
              </w:rPr>
              <w:t>8</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2" w:lineRule="exact" w:before="2"/>
              <w:ind w:right="103"/>
              <w:rPr>
                <w:sz w:val="22"/>
              </w:rPr>
            </w:pPr>
            <w:r>
              <w:rPr>
                <w:sz w:val="22"/>
              </w:rPr>
              <w:t>Sentido de pertenencia histórica y comunitaria, actores históricos, CHPH, coordinación social, problemática sociopolítica.</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516" w:hRule="exact"/>
        </w:trPr>
        <w:tc>
          <w:tcPr>
            <w:tcW w:w="12897" w:type="dxa"/>
            <w:gridSpan w:val="14"/>
          </w:tcPr>
          <w:p>
            <w:pPr>
              <w:pStyle w:val="TableParagraph"/>
              <w:ind w:right="163"/>
              <w:rPr>
                <w:sz w:val="22"/>
              </w:rPr>
            </w:pPr>
            <w:r>
              <w:rPr>
                <w:sz w:val="22"/>
              </w:rPr>
              <w:t>El sentido de pertenencia histórica y comunitaria por parte de los actores históricos de la CHPH que favorece la coordinación social con otros actores para atender la problemática sociopolítica de dicha cuenca (García, TC: 2013-2015).</w:t>
            </w:r>
          </w:p>
        </w:tc>
      </w:tr>
      <w:tr>
        <w:trPr>
          <w:trHeight w:val="264" w:hRule="exact"/>
        </w:trPr>
        <w:tc>
          <w:tcPr>
            <w:tcW w:w="4295" w:type="dxa"/>
            <w:gridSpan w:val="5"/>
          </w:tcPr>
          <w:p>
            <w:pPr>
              <w:pStyle w:val="TableParagraph"/>
              <w:spacing w:line="251" w:lineRule="exact"/>
              <w:ind w:left="1097" w:right="213"/>
              <w:rPr>
                <w:b/>
                <w:sz w:val="22"/>
              </w:rPr>
            </w:pPr>
            <w:r>
              <w:rPr>
                <w:b/>
                <w:sz w:val="22"/>
              </w:rPr>
              <w:t>Unidad de medición</w:t>
            </w:r>
          </w:p>
        </w:tc>
        <w:tc>
          <w:tcPr>
            <w:tcW w:w="8603" w:type="dxa"/>
            <w:gridSpan w:val="9"/>
          </w:tcPr>
          <w:p>
            <w:pPr>
              <w:pStyle w:val="TableParagraph"/>
              <w:spacing w:line="251" w:lineRule="exact"/>
              <w:ind w:left="2419" w:right="108"/>
              <w:rPr>
                <w:b/>
                <w:sz w:val="22"/>
              </w:rPr>
            </w:pPr>
            <w:r>
              <w:rPr>
                <w:b/>
                <w:sz w:val="22"/>
              </w:rPr>
              <w:t>Definición de la unidad de medición</w:t>
            </w:r>
          </w:p>
        </w:tc>
      </w:tr>
      <w:tr>
        <w:trPr>
          <w:trHeight w:val="1023" w:hRule="exact"/>
        </w:trPr>
        <w:tc>
          <w:tcPr>
            <w:tcW w:w="4295" w:type="dxa"/>
            <w:gridSpan w:val="5"/>
          </w:tcPr>
          <w:p>
            <w:pPr>
              <w:pStyle w:val="TableParagraph"/>
              <w:spacing w:line="242" w:lineRule="auto"/>
              <w:ind w:right="213"/>
              <w:rPr>
                <w:sz w:val="22"/>
              </w:rPr>
            </w:pPr>
            <w:r>
              <w:rPr>
                <w:sz w:val="22"/>
              </w:rPr>
              <w:t>Lugar de nacimiento y # de años de residencia en la CHPH</w:t>
            </w:r>
          </w:p>
        </w:tc>
        <w:tc>
          <w:tcPr>
            <w:tcW w:w="8603" w:type="dxa"/>
            <w:gridSpan w:val="9"/>
          </w:tcPr>
          <w:p>
            <w:pPr>
              <w:pStyle w:val="TableParagraph"/>
              <w:spacing w:line="242" w:lineRule="auto"/>
              <w:ind w:right="108"/>
              <w:rPr>
                <w:sz w:val="22"/>
              </w:rPr>
            </w:pPr>
            <w:r>
              <w:rPr>
                <w:sz w:val="22"/>
              </w:rPr>
              <w:t>Lugar de nacimiento de los actores de la CHPH y cantidad de años de residencia en la Cuenca.</w:t>
            </w:r>
          </w:p>
          <w:p>
            <w:pPr>
              <w:pStyle w:val="TableParagraph"/>
              <w:spacing w:line="252" w:lineRule="exact" w:before="1"/>
              <w:ind w:right="108"/>
              <w:rPr>
                <w:sz w:val="22"/>
              </w:rPr>
            </w:pPr>
            <w:r>
              <w:rPr>
                <w:sz w:val="22"/>
              </w:rPr>
              <w:t>(Ejemplo: actores que nacieron dentro de los 5 municipios que integran la CHPH y que han vivido allí siempre).</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6.7pt;height:432.25pt;mso-position-horizontal-relative:page;mso-position-vertical-relative:page;z-index:-3329128" coordorigin="1305,1697" coordsize="12934,8645">
            <v:line style="position:absolute" from="1315,1707" to="14229,1707" stroked="true" strokeweight=".48pt" strokecolor="#000000"/>
            <v:line style="position:absolute" from="1315,2331" to="14229,2331" stroked="true" strokeweight=".48pt" strokecolor="#000000"/>
            <v:line style="position:absolute" from="1310,1702" to="1310,10336" stroked="true" strokeweight=".48pt" strokecolor="#000000"/>
            <v:line style="position:absolute" from="1315,10332" to="14229,10332" stroked="true" strokeweight=".47998pt" strokecolor="#000000"/>
            <v:line style="position:absolute" from="14234,1702" to="14234,10336" stroked="true" strokeweight=".48004pt" strokecolor="#000000"/>
            <v:shape style="position:absolute;left:1561;top:2336;width:12420;height:7989" type="#_x0000_t75" stroked="false">
              <v:imagedata r:id="rId471" o:title=""/>
            </v:shape>
            <w10:wrap type="none"/>
          </v:group>
        </w:pict>
      </w:r>
    </w:p>
    <w:p>
      <w:pPr>
        <w:pStyle w:val="BodyText"/>
        <w:spacing w:before="11"/>
        <w:rPr>
          <w:rFonts w:ascii="Times New Roman"/>
        </w:rPr>
      </w:pPr>
    </w:p>
    <w:p>
      <w:pPr>
        <w:pStyle w:val="Heading6"/>
        <w:spacing w:before="73"/>
        <w:ind w:left="5782" w:right="397"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4320">
            <wp:simplePos x="0" y="0"/>
            <wp:positionH relativeFrom="page">
              <wp:posOffset>876300</wp:posOffset>
            </wp:positionH>
            <wp:positionV relativeFrom="page">
              <wp:posOffset>2047113</wp:posOffset>
            </wp:positionV>
            <wp:extent cx="5550528" cy="2505456"/>
            <wp:effectExtent l="0" t="0" r="0" b="0"/>
            <wp:wrapNone/>
            <wp:docPr id="81" name="image339.png" descr=""/>
            <wp:cNvGraphicFramePr>
              <a:graphicFrameLocks noChangeAspect="1"/>
            </wp:cNvGraphicFramePr>
            <a:graphic>
              <a:graphicData uri="http://schemas.openxmlformats.org/drawingml/2006/picture">
                <pic:pic>
                  <pic:nvPicPr>
                    <pic:cNvPr id="82" name="image339.png"/>
                    <pic:cNvPicPr/>
                  </pic:nvPicPr>
                  <pic:blipFill>
                    <a:blip r:embed="rId472" cstate="print"/>
                    <a:stretch>
                      <a:fillRect/>
                    </a:stretch>
                  </pic:blipFill>
                  <pic:spPr>
                    <a:xfrm>
                      <a:off x="0" y="0"/>
                      <a:ext cx="5550528" cy="2505456"/>
                    </a:xfrm>
                    <a:prstGeom prst="rect">
                      <a:avLst/>
                    </a:prstGeom>
                  </pic:spPr>
                </pic:pic>
              </a:graphicData>
            </a:graphic>
          </wp:anchor>
        </w:drawing>
      </w:r>
      <w:r>
        <w:rPr/>
        <w:pict>
          <v:shape style="position:absolute;margin-left:524.830017pt;margin-top:173.059998pt;width:127.5pt;height:145.15pt;mso-position-horizontal-relative:page;mso-position-vertical-relative:page;z-index:143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2" w:hRule="exact"/>
                    </w:trPr>
                    <w:tc>
                      <w:tcPr>
                        <w:tcW w:w="1034" w:type="dxa"/>
                      </w:tcPr>
                      <w:p>
                        <w:pPr>
                          <w:pStyle w:val="TableParagraph"/>
                          <w:spacing w:line="248" w:lineRule="exact"/>
                          <w:rPr>
                            <w:b/>
                            <w:sz w:val="22"/>
                          </w:rPr>
                        </w:pPr>
                        <w:r>
                          <w:rPr>
                            <w:b/>
                            <w:sz w:val="22"/>
                          </w:rPr>
                          <w:t>Período</w:t>
                        </w:r>
                      </w:p>
                    </w:tc>
                    <w:tc>
                      <w:tcPr>
                        <w:tcW w:w="1501" w:type="dxa"/>
                      </w:tcPr>
                      <w:p>
                        <w:pPr>
                          <w:pStyle w:val="TableParagraph"/>
                          <w:spacing w:line="248" w:lineRule="exact"/>
                          <w:rPr>
                            <w:b/>
                            <w:sz w:val="22"/>
                          </w:rPr>
                        </w:pPr>
                        <w:r>
                          <w:rPr>
                            <w:b/>
                            <w:sz w:val="22"/>
                          </w:rPr>
                          <w:t>Calificación</w:t>
                        </w:r>
                      </w:p>
                    </w:tc>
                  </w:tr>
                  <w:tr>
                    <w:trPr>
                      <w:trHeight w:val="265" w:hRule="exact"/>
                    </w:trPr>
                    <w:tc>
                      <w:tcPr>
                        <w:tcW w:w="1034" w:type="dxa"/>
                      </w:tcPr>
                      <w:p>
                        <w:pPr>
                          <w:pStyle w:val="TableParagraph"/>
                          <w:spacing w:line="249" w:lineRule="exact"/>
                          <w:rPr>
                            <w:b/>
                            <w:sz w:val="22"/>
                          </w:rPr>
                        </w:pPr>
                        <w:r>
                          <w:rPr>
                            <w:b/>
                            <w:sz w:val="22"/>
                          </w:rPr>
                          <w:t>1400</w:t>
                        </w:r>
                      </w:p>
                    </w:tc>
                    <w:tc>
                      <w:tcPr>
                        <w:tcW w:w="1501" w:type="dxa"/>
                      </w:tcPr>
                      <w:p>
                        <w:pPr>
                          <w:pStyle w:val="TableParagraph"/>
                          <w:spacing w:line="249" w:lineRule="exact"/>
                          <w:rPr>
                            <w:b/>
                            <w:sz w:val="22"/>
                          </w:rPr>
                        </w:pPr>
                        <w:r>
                          <w:rPr>
                            <w:b/>
                            <w:sz w:val="22"/>
                          </w:rPr>
                          <w:t>Excelente</w:t>
                        </w:r>
                      </w:p>
                    </w:tc>
                  </w:tr>
                  <w:tr>
                    <w:trPr>
                      <w:trHeight w:val="262" w:hRule="exact"/>
                    </w:trPr>
                    <w:tc>
                      <w:tcPr>
                        <w:tcW w:w="1034" w:type="dxa"/>
                      </w:tcPr>
                      <w:p>
                        <w:pPr>
                          <w:pStyle w:val="TableParagraph"/>
                          <w:spacing w:line="248" w:lineRule="exact"/>
                          <w:rPr>
                            <w:b/>
                            <w:sz w:val="22"/>
                          </w:rPr>
                        </w:pPr>
                        <w:r>
                          <w:rPr>
                            <w:b/>
                            <w:sz w:val="22"/>
                          </w:rPr>
                          <w:t>1519</w:t>
                        </w:r>
                      </w:p>
                    </w:tc>
                    <w:tc>
                      <w:tcPr>
                        <w:tcW w:w="1501" w:type="dxa"/>
                      </w:tcPr>
                      <w:p>
                        <w:pPr>
                          <w:pStyle w:val="TableParagraph"/>
                          <w:spacing w:line="248" w:lineRule="exact"/>
                          <w:rPr>
                            <w:b/>
                            <w:sz w:val="22"/>
                          </w:rPr>
                        </w:pPr>
                        <w:r>
                          <w:rPr>
                            <w:b/>
                            <w:sz w:val="22"/>
                          </w:rPr>
                          <w:t>Excelente</w:t>
                        </w:r>
                      </w:p>
                    </w:tc>
                  </w:tr>
                  <w:tr>
                    <w:trPr>
                      <w:trHeight w:val="264" w:hRule="exact"/>
                    </w:trPr>
                    <w:tc>
                      <w:tcPr>
                        <w:tcW w:w="1034" w:type="dxa"/>
                      </w:tcPr>
                      <w:p>
                        <w:pPr>
                          <w:pStyle w:val="TableParagraph"/>
                          <w:spacing w:line="251" w:lineRule="exact"/>
                          <w:rPr>
                            <w:b/>
                            <w:sz w:val="22"/>
                          </w:rPr>
                        </w:pPr>
                        <w:r>
                          <w:rPr>
                            <w:b/>
                            <w:sz w:val="22"/>
                          </w:rPr>
                          <w:t>1580</w:t>
                        </w:r>
                      </w:p>
                    </w:tc>
                    <w:tc>
                      <w:tcPr>
                        <w:tcW w:w="1501" w:type="dxa"/>
                      </w:tcPr>
                      <w:p>
                        <w:pPr>
                          <w:pStyle w:val="TableParagraph"/>
                          <w:spacing w:line="251" w:lineRule="exact"/>
                          <w:rPr>
                            <w:b/>
                            <w:sz w:val="22"/>
                          </w:rPr>
                        </w:pPr>
                        <w:r>
                          <w:rPr>
                            <w:b/>
                            <w:sz w:val="22"/>
                          </w:rPr>
                          <w:t>Excelente</w:t>
                        </w:r>
                      </w:p>
                    </w:tc>
                  </w:tr>
                  <w:tr>
                    <w:trPr>
                      <w:trHeight w:val="262" w:hRule="exact"/>
                    </w:trPr>
                    <w:tc>
                      <w:tcPr>
                        <w:tcW w:w="1034" w:type="dxa"/>
                      </w:tcPr>
                      <w:p>
                        <w:pPr>
                          <w:pStyle w:val="TableParagraph"/>
                          <w:spacing w:line="248" w:lineRule="exact"/>
                          <w:rPr>
                            <w:b/>
                            <w:sz w:val="22"/>
                          </w:rPr>
                        </w:pPr>
                        <w:r>
                          <w:rPr>
                            <w:b/>
                            <w:sz w:val="22"/>
                          </w:rPr>
                          <w:t>1785</w:t>
                        </w:r>
                      </w:p>
                    </w:tc>
                    <w:tc>
                      <w:tcPr>
                        <w:tcW w:w="1501" w:type="dxa"/>
                      </w:tcPr>
                      <w:p>
                        <w:pPr>
                          <w:pStyle w:val="TableParagraph"/>
                          <w:spacing w:line="248" w:lineRule="exact"/>
                          <w:rPr>
                            <w:b/>
                            <w:sz w:val="22"/>
                          </w:rPr>
                        </w:pPr>
                        <w:r>
                          <w:rPr>
                            <w:b/>
                            <w:sz w:val="22"/>
                          </w:rPr>
                          <w:t>Excelente</w:t>
                        </w:r>
                      </w:p>
                    </w:tc>
                  </w:tr>
                  <w:tr>
                    <w:trPr>
                      <w:trHeight w:val="264" w:hRule="exact"/>
                    </w:trPr>
                    <w:tc>
                      <w:tcPr>
                        <w:tcW w:w="1034" w:type="dxa"/>
                      </w:tcPr>
                      <w:p>
                        <w:pPr>
                          <w:pStyle w:val="TableParagraph"/>
                          <w:spacing w:line="251" w:lineRule="exact"/>
                          <w:rPr>
                            <w:b/>
                            <w:sz w:val="22"/>
                          </w:rPr>
                        </w:pPr>
                        <w:r>
                          <w:rPr>
                            <w:b/>
                            <w:sz w:val="22"/>
                          </w:rPr>
                          <w:t>1810</w:t>
                        </w:r>
                      </w:p>
                    </w:tc>
                    <w:tc>
                      <w:tcPr>
                        <w:tcW w:w="1501" w:type="dxa"/>
                      </w:tcPr>
                      <w:p>
                        <w:pPr>
                          <w:pStyle w:val="TableParagraph"/>
                          <w:spacing w:line="251" w:lineRule="exact"/>
                          <w:rPr>
                            <w:b/>
                            <w:sz w:val="22"/>
                          </w:rPr>
                        </w:pPr>
                        <w:r>
                          <w:rPr>
                            <w:b/>
                            <w:sz w:val="22"/>
                          </w:rPr>
                          <w:t>Excelente</w:t>
                        </w:r>
                      </w:p>
                    </w:tc>
                  </w:tr>
                  <w:tr>
                    <w:trPr>
                      <w:trHeight w:val="264" w:hRule="exact"/>
                    </w:trPr>
                    <w:tc>
                      <w:tcPr>
                        <w:tcW w:w="1034" w:type="dxa"/>
                      </w:tcPr>
                      <w:p>
                        <w:pPr>
                          <w:pStyle w:val="TableParagraph"/>
                          <w:spacing w:line="248" w:lineRule="exact"/>
                          <w:rPr>
                            <w:b/>
                            <w:sz w:val="22"/>
                          </w:rPr>
                        </w:pPr>
                        <w:r>
                          <w:rPr>
                            <w:b/>
                            <w:sz w:val="22"/>
                          </w:rPr>
                          <w:t>1861</w:t>
                        </w:r>
                      </w:p>
                    </w:tc>
                    <w:tc>
                      <w:tcPr>
                        <w:tcW w:w="1501" w:type="dxa"/>
                      </w:tcPr>
                      <w:p>
                        <w:pPr>
                          <w:pStyle w:val="TableParagraph"/>
                          <w:spacing w:line="248" w:lineRule="exact"/>
                          <w:rPr>
                            <w:b/>
                            <w:sz w:val="22"/>
                          </w:rPr>
                        </w:pPr>
                        <w:r>
                          <w:rPr>
                            <w:b/>
                            <w:sz w:val="22"/>
                          </w:rPr>
                          <w:t>Excelente</w:t>
                        </w:r>
                      </w:p>
                    </w:tc>
                  </w:tr>
                  <w:tr>
                    <w:trPr>
                      <w:trHeight w:val="262" w:hRule="exact"/>
                    </w:trPr>
                    <w:tc>
                      <w:tcPr>
                        <w:tcW w:w="1034" w:type="dxa"/>
                      </w:tcPr>
                      <w:p>
                        <w:pPr>
                          <w:pStyle w:val="TableParagraph"/>
                          <w:spacing w:line="248" w:lineRule="exact"/>
                          <w:rPr>
                            <w:b/>
                            <w:sz w:val="22"/>
                          </w:rPr>
                        </w:pPr>
                        <w:r>
                          <w:rPr>
                            <w:b/>
                            <w:sz w:val="22"/>
                          </w:rPr>
                          <w:t>1910</w:t>
                        </w:r>
                      </w:p>
                    </w:tc>
                    <w:tc>
                      <w:tcPr>
                        <w:tcW w:w="1501" w:type="dxa"/>
                      </w:tcPr>
                      <w:p>
                        <w:pPr>
                          <w:pStyle w:val="TableParagraph"/>
                          <w:spacing w:line="248" w:lineRule="exact"/>
                          <w:rPr>
                            <w:b/>
                            <w:sz w:val="22"/>
                          </w:rPr>
                        </w:pPr>
                        <w:r>
                          <w:rPr>
                            <w:b/>
                            <w:sz w:val="22"/>
                          </w:rPr>
                          <w:t>Excelente</w:t>
                        </w:r>
                      </w:p>
                    </w:tc>
                  </w:tr>
                  <w:tr>
                    <w:trPr>
                      <w:trHeight w:val="264" w:hRule="exact"/>
                    </w:trPr>
                    <w:tc>
                      <w:tcPr>
                        <w:tcW w:w="1034" w:type="dxa"/>
                      </w:tcPr>
                      <w:p>
                        <w:pPr>
                          <w:pStyle w:val="TableParagraph"/>
                          <w:spacing w:line="248" w:lineRule="exact"/>
                          <w:rPr>
                            <w:b/>
                            <w:sz w:val="22"/>
                          </w:rPr>
                        </w:pPr>
                        <w:r>
                          <w:rPr>
                            <w:b/>
                            <w:sz w:val="22"/>
                          </w:rPr>
                          <w:t>1940</w:t>
                        </w:r>
                      </w:p>
                    </w:tc>
                    <w:tc>
                      <w:tcPr>
                        <w:tcW w:w="1501" w:type="dxa"/>
                      </w:tcPr>
                      <w:p>
                        <w:pPr>
                          <w:pStyle w:val="TableParagraph"/>
                          <w:spacing w:line="248" w:lineRule="exact"/>
                          <w:rPr>
                            <w:b/>
                            <w:sz w:val="22"/>
                          </w:rPr>
                        </w:pPr>
                        <w:r>
                          <w:rPr>
                            <w:b/>
                            <w:sz w:val="22"/>
                          </w:rPr>
                          <w:t>Excelente</w:t>
                        </w:r>
                      </w:p>
                    </w:tc>
                  </w:tr>
                  <w:tr>
                    <w:trPr>
                      <w:trHeight w:val="262" w:hRule="exact"/>
                    </w:trPr>
                    <w:tc>
                      <w:tcPr>
                        <w:tcW w:w="1034" w:type="dxa"/>
                      </w:tcPr>
                      <w:p>
                        <w:pPr>
                          <w:pStyle w:val="TableParagraph"/>
                          <w:spacing w:line="248" w:lineRule="exact"/>
                          <w:rPr>
                            <w:b/>
                            <w:sz w:val="22"/>
                          </w:rPr>
                        </w:pPr>
                        <w:r>
                          <w:rPr>
                            <w:b/>
                            <w:sz w:val="22"/>
                          </w:rPr>
                          <w:t>1982</w:t>
                        </w:r>
                      </w:p>
                    </w:tc>
                    <w:tc>
                      <w:tcPr>
                        <w:tcW w:w="1501" w:type="dxa"/>
                      </w:tcPr>
                      <w:p>
                        <w:pPr>
                          <w:pStyle w:val="TableParagraph"/>
                          <w:spacing w:line="248" w:lineRule="exact"/>
                          <w:rPr>
                            <w:b/>
                            <w:sz w:val="22"/>
                          </w:rPr>
                        </w:pPr>
                        <w:r>
                          <w:rPr>
                            <w:b/>
                            <w:sz w:val="22"/>
                          </w:rPr>
                          <w:t>Excelente</w:t>
                        </w:r>
                      </w:p>
                    </w:tc>
                  </w:tr>
                  <w:tr>
                    <w:trPr>
                      <w:trHeight w:val="264" w:hRule="exact"/>
                    </w:trPr>
                    <w:tc>
                      <w:tcPr>
                        <w:tcW w:w="1034" w:type="dxa"/>
                      </w:tcPr>
                      <w:p>
                        <w:pPr>
                          <w:pStyle w:val="TableParagraph"/>
                          <w:spacing w:line="251" w:lineRule="exact"/>
                          <w:rPr>
                            <w:b/>
                            <w:sz w:val="22"/>
                          </w:rPr>
                        </w:pPr>
                        <w:r>
                          <w:rPr>
                            <w:b/>
                            <w:sz w:val="22"/>
                          </w:rPr>
                          <w:t>2016</w:t>
                        </w:r>
                      </w:p>
                    </w:tc>
                    <w:tc>
                      <w:tcPr>
                        <w:tcW w:w="1501" w:type="dxa"/>
                      </w:tcPr>
                      <w:p>
                        <w:pPr>
                          <w:pStyle w:val="TableParagraph"/>
                          <w:spacing w:line="251" w:lineRule="exact"/>
                          <w:rPr>
                            <w:b/>
                            <w:sz w:val="22"/>
                          </w:rPr>
                        </w:pPr>
                        <w:r>
                          <w:rPr>
                            <w:b/>
                            <w:sz w:val="22"/>
                          </w:rPr>
                          <w:t>Excelente</w:t>
                        </w: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6"/>
        <w:gridCol w:w="3841"/>
        <w:gridCol w:w="1447"/>
        <w:gridCol w:w="2108"/>
        <w:gridCol w:w="1529"/>
      </w:tblGrid>
      <w:tr>
        <w:trPr>
          <w:trHeight w:val="264"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459" w:hRule="exact"/>
        </w:trPr>
        <w:tc>
          <w:tcPr>
            <w:tcW w:w="12822" w:type="dxa"/>
            <w:gridSpan w:val="7"/>
          </w:tcPr>
          <w:p>
            <w:pPr>
              <w:pStyle w:val="TableParagraph"/>
              <w:spacing w:line="252" w:lineRule="exact" w:before="2"/>
              <w:ind w:left="27" w:right="57"/>
              <w:rPr>
                <w:sz w:val="22"/>
              </w:rPr>
            </w:pPr>
            <w:r>
              <w:rPr>
                <w:sz w:val="22"/>
              </w:rPr>
              <w:t>Para Identificar el sentido de pertenencia histórica y comunitaria por parte de los actores históricos de la CHPH que favorece la coordinación social con otros actores para atender la problemática sociopolítica compartida se elaboró la siguiente gráfica:</w:t>
            </w:r>
          </w:p>
          <w:p>
            <w:pPr>
              <w:pStyle w:val="TableParagraph"/>
              <w:spacing w:line="248" w:lineRule="exact"/>
              <w:ind w:left="3635" w:right="57"/>
              <w:rPr>
                <w:b/>
                <w:sz w:val="22"/>
              </w:rPr>
            </w:pPr>
            <w:r>
              <w:rPr>
                <w:b/>
                <w:sz w:val="22"/>
              </w:rPr>
              <w:t>Gráfica 7.16.</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510" w:lineRule="atLeast" w:before="132"/>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526" w:type="dxa"/>
            <w:vMerge w:val="restart"/>
          </w:tcPr>
          <w:p>
            <w:pPr>
              <w:pStyle w:val="TableParagraph"/>
              <w:ind w:right="93"/>
              <w:rPr>
                <w:sz w:val="20"/>
              </w:rPr>
            </w:pPr>
            <w:r>
              <w:rPr>
                <w:sz w:val="20"/>
              </w:rPr>
              <w:t>Clasificación por número de eventos en el período</w:t>
            </w:r>
          </w:p>
        </w:tc>
        <w:tc>
          <w:tcPr>
            <w:tcW w:w="8812" w:type="dxa"/>
            <w:gridSpan w:val="4"/>
          </w:tcPr>
          <w:p>
            <w:pPr>
              <w:pStyle w:val="TableParagraph"/>
              <w:spacing w:line="242" w:lineRule="auto"/>
              <w:ind w:right="105"/>
              <w:rPr>
                <w:sz w:val="20"/>
              </w:rPr>
            </w:pPr>
            <w:r>
              <w:rPr>
                <w:sz w:val="20"/>
              </w:rPr>
              <w:t>Clasificación por </w:t>
            </w:r>
            <w:r>
              <w:rPr>
                <w:b/>
                <w:sz w:val="20"/>
              </w:rPr>
              <w:t>características de impacto positivo o negativo </w:t>
            </w:r>
            <w:r>
              <w:rPr>
                <w:sz w:val="20"/>
              </w:rPr>
              <w:t>en los ámbitos ambiental- sociopolítico-económico</w:t>
            </w:r>
          </w:p>
        </w:tc>
        <w:tc>
          <w:tcPr>
            <w:tcW w:w="1529" w:type="dxa"/>
            <w:vMerge w:val="restart"/>
            <w:tcBorders>
              <w:right w:val="double" w:sz="12" w:space="0" w:color="000000"/>
            </w:tcBorders>
          </w:tcPr>
          <w:p>
            <w:pPr>
              <w:pStyle w:val="TableParagraph"/>
              <w:spacing w:before="117"/>
              <w:ind w:left="188" w:right="186"/>
              <w:jc w:val="center"/>
              <w:rPr>
                <w:sz w:val="20"/>
              </w:rPr>
            </w:pPr>
            <w:r>
              <w:rPr>
                <w:w w:val="95"/>
                <w:sz w:val="20"/>
              </w:rPr>
              <w:t>Clasificación </w:t>
            </w:r>
            <w:r>
              <w:rPr>
                <w:sz w:val="20"/>
              </w:rPr>
              <w:t>de la calificación</w:t>
            </w:r>
          </w:p>
        </w:tc>
      </w:tr>
      <w:tr>
        <w:trPr>
          <w:trHeight w:val="470"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27" w:lineRule="exact"/>
              <w:rPr>
                <w:sz w:val="20"/>
              </w:rPr>
            </w:pPr>
            <w:r>
              <w:rPr>
                <w:sz w:val="20"/>
              </w:rPr>
              <w:t>Subsistema</w:t>
            </w:r>
          </w:p>
        </w:tc>
        <w:tc>
          <w:tcPr>
            <w:tcW w:w="3841" w:type="dxa"/>
          </w:tcPr>
          <w:p>
            <w:pPr>
              <w:pStyle w:val="TableParagraph"/>
              <w:spacing w:line="227" w:lineRule="exact"/>
              <w:ind w:right="104"/>
              <w:rPr>
                <w:sz w:val="20"/>
              </w:rPr>
            </w:pPr>
            <w:r>
              <w:rPr>
                <w:sz w:val="20"/>
              </w:rPr>
              <w:t>características</w:t>
            </w:r>
          </w:p>
        </w:tc>
        <w:tc>
          <w:tcPr>
            <w:tcW w:w="1447" w:type="dxa"/>
          </w:tcPr>
          <w:p>
            <w:pPr>
              <w:pStyle w:val="TableParagraph"/>
              <w:tabs>
                <w:tab w:pos="1110" w:val="left" w:leader="none"/>
              </w:tabs>
              <w:spacing w:line="227" w:lineRule="exact"/>
              <w:rPr>
                <w:sz w:val="20"/>
              </w:rPr>
            </w:pPr>
            <w:r>
              <w:rPr>
                <w:sz w:val="20"/>
              </w:rPr>
              <w:t>%</w:t>
              <w:tab/>
              <w:t>de</w:t>
            </w:r>
          </w:p>
          <w:p>
            <w:pPr>
              <w:pStyle w:val="TableParagraph"/>
              <w:rPr>
                <w:sz w:val="20"/>
              </w:rPr>
            </w:pPr>
            <w:r>
              <w:rPr>
                <w:sz w:val="20"/>
              </w:rPr>
              <w:t>cumplimiento</w:t>
            </w:r>
          </w:p>
        </w:tc>
        <w:tc>
          <w:tcPr>
            <w:tcW w:w="2108" w:type="dxa"/>
          </w:tcPr>
          <w:p>
            <w:pPr>
              <w:pStyle w:val="TableParagraph"/>
              <w:spacing w:line="227" w:lineRule="exact"/>
              <w:ind w:left="100" w:right="105"/>
              <w:rPr>
                <w:sz w:val="20"/>
              </w:rPr>
            </w:pPr>
            <w:r>
              <w:rPr>
                <w:sz w:val="20"/>
              </w:rPr>
              <w:t>Observaciones</w:t>
            </w:r>
          </w:p>
        </w:tc>
        <w:tc>
          <w:tcPr>
            <w:tcW w:w="1529" w:type="dxa"/>
            <w:vMerge/>
            <w:tcBorders>
              <w:right w:val="double" w:sz="12" w:space="0" w:color="000000"/>
            </w:tcBorders>
          </w:tcPr>
          <w:p>
            <w:pPr/>
          </w:p>
        </w:tc>
      </w:tr>
      <w:tr>
        <w:trPr>
          <w:trHeight w:val="1433" w:hRule="exact"/>
        </w:trPr>
        <w:tc>
          <w:tcPr>
            <w:tcW w:w="954" w:type="dxa"/>
            <w:tcBorders>
              <w:left w:val="double" w:sz="11" w:space="0" w:color="000000"/>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1"/>
              <w:ind w:left="0"/>
              <w:rPr>
                <w:rFonts w:ascii="Times New Roman"/>
                <w:sz w:val="21"/>
              </w:rPr>
            </w:pPr>
          </w:p>
          <w:p>
            <w:pPr>
              <w:pStyle w:val="TableParagraph"/>
              <w:spacing w:before="1"/>
              <w:ind w:left="230"/>
              <w:rPr>
                <w:sz w:val="20"/>
              </w:rPr>
            </w:pPr>
            <w:r>
              <w:rPr>
                <w:sz w:val="20"/>
              </w:rPr>
              <w:t>1400</w:t>
            </w:r>
          </w:p>
        </w:tc>
        <w:tc>
          <w:tcPr>
            <w:tcW w:w="1526" w:type="dxa"/>
            <w:tcBorders>
              <w:bottom w:val="single" w:sz="8" w:space="0" w:color="000000"/>
            </w:tcBorders>
          </w:tcPr>
          <w:p>
            <w:pPr/>
          </w:p>
        </w:tc>
        <w:tc>
          <w:tcPr>
            <w:tcW w:w="1416" w:type="dxa"/>
            <w:tcBorders>
              <w:bottom w:val="single" w:sz="8" w:space="0" w:color="000000"/>
            </w:tcBorders>
          </w:tcPr>
          <w:p>
            <w:pPr>
              <w:pStyle w:val="TableParagraph"/>
              <w:spacing w:line="228" w:lineRule="exact"/>
              <w:rPr>
                <w:sz w:val="20"/>
              </w:rPr>
            </w:pPr>
            <w:r>
              <w:rPr>
                <w:sz w:val="20"/>
              </w:rPr>
              <w:t>Ambiental</w:t>
            </w:r>
          </w:p>
        </w:tc>
        <w:tc>
          <w:tcPr>
            <w:tcW w:w="3841" w:type="dxa"/>
            <w:tcBorders>
              <w:bottom w:val="single" w:sz="8" w:space="0" w:color="000000"/>
            </w:tcBorders>
          </w:tcPr>
          <w:p>
            <w:pPr>
              <w:pStyle w:val="TableParagraph"/>
              <w:numPr>
                <w:ilvl w:val="0"/>
                <w:numId w:val="236"/>
              </w:numPr>
              <w:tabs>
                <w:tab w:pos="811" w:val="left" w:leader="none"/>
                <w:tab w:pos="812" w:val="left" w:leader="none"/>
                <w:tab w:pos="1589" w:val="left" w:leader="none"/>
                <w:tab w:pos="2521" w:val="left" w:leader="none"/>
                <w:tab w:pos="3214" w:val="left" w:leader="none"/>
              </w:tabs>
              <w:spacing w:line="240" w:lineRule="auto" w:before="0" w:after="0"/>
              <w:ind w:left="281" w:right="104" w:hanging="142"/>
              <w:jc w:val="left"/>
              <w:rPr>
                <w:sz w:val="20"/>
              </w:rPr>
            </w:pPr>
            <w:r>
              <w:rPr>
                <w:sz w:val="20"/>
              </w:rPr>
              <w:t>Existe</w:t>
              <w:tab/>
              <w:t>relación</w:t>
              <w:tab/>
              <w:t>entre</w:t>
              <w:tab/>
              <w:t>agua-</w:t>
            </w:r>
            <w:r>
              <w:rPr>
                <w:w w:val="99"/>
                <w:sz w:val="20"/>
              </w:rPr>
              <w:t> </w:t>
            </w:r>
            <w:r>
              <w:rPr>
                <w:sz w:val="20"/>
              </w:rPr>
              <w:t>ambiente-sociedad</w:t>
            </w:r>
          </w:p>
          <w:p>
            <w:pPr>
              <w:pStyle w:val="TableParagraph"/>
              <w:numPr>
                <w:ilvl w:val="0"/>
                <w:numId w:val="236"/>
              </w:numPr>
              <w:tabs>
                <w:tab w:pos="811" w:val="left" w:leader="none"/>
                <w:tab w:pos="812" w:val="left" w:leader="none"/>
                <w:tab w:pos="1845" w:val="left" w:leader="none"/>
                <w:tab w:pos="3325" w:val="left" w:leader="none"/>
              </w:tabs>
              <w:spacing w:line="240" w:lineRule="auto" w:before="0" w:after="0"/>
              <w:ind w:left="281" w:right="105" w:hanging="142"/>
              <w:jc w:val="left"/>
              <w:rPr>
                <w:sz w:val="20"/>
              </w:rPr>
            </w:pPr>
            <w:r>
              <w:rPr>
                <w:sz w:val="20"/>
              </w:rPr>
              <w:t>Existen</w:t>
              <w:tab/>
              <w:t>instituciones</w:t>
              <w:tab/>
            </w:r>
            <w:r>
              <w:rPr>
                <w:w w:val="95"/>
                <w:sz w:val="20"/>
              </w:rPr>
              <w:t>para </w:t>
            </w:r>
            <w:r>
              <w:rPr>
                <w:sz w:val="20"/>
              </w:rPr>
              <w:t>proteger el medio</w:t>
            </w:r>
            <w:r>
              <w:rPr>
                <w:spacing w:val="-6"/>
                <w:sz w:val="20"/>
              </w:rPr>
              <w:t> </w:t>
            </w:r>
            <w:r>
              <w:rPr>
                <w:sz w:val="20"/>
              </w:rPr>
              <w:t>ambiente</w:t>
            </w:r>
          </w:p>
          <w:p>
            <w:pPr>
              <w:pStyle w:val="TableParagraph"/>
              <w:numPr>
                <w:ilvl w:val="0"/>
                <w:numId w:val="236"/>
              </w:numPr>
              <w:tabs>
                <w:tab w:pos="811" w:val="left" w:leader="none"/>
                <w:tab w:pos="812" w:val="left" w:leader="none"/>
              </w:tabs>
              <w:spacing w:line="240" w:lineRule="auto" w:before="0" w:after="0"/>
              <w:ind w:left="281" w:right="106" w:hanging="142"/>
              <w:jc w:val="left"/>
              <w:rPr>
                <w:sz w:val="20"/>
              </w:rPr>
            </w:pPr>
            <w:r>
              <w:rPr>
                <w:sz w:val="20"/>
              </w:rPr>
              <w:t>Existe conciencia o interés en los  actores  históricos  para  cuidar </w:t>
            </w:r>
            <w:r>
              <w:rPr>
                <w:spacing w:val="20"/>
                <w:sz w:val="20"/>
              </w:rPr>
              <w:t> </w:t>
            </w:r>
            <w:r>
              <w:rPr>
                <w:sz w:val="20"/>
              </w:rPr>
              <w:t>el</w:t>
            </w:r>
          </w:p>
        </w:tc>
        <w:tc>
          <w:tcPr>
            <w:tcW w:w="1447" w:type="dxa"/>
            <w:tcBorders>
              <w:bottom w:val="single" w:sz="8" w:space="0" w:color="000000"/>
            </w:tcBorders>
          </w:tcPr>
          <w:p>
            <w:pPr/>
          </w:p>
        </w:tc>
        <w:tc>
          <w:tcPr>
            <w:tcW w:w="2108" w:type="dxa"/>
            <w:tcBorders>
              <w:bottom w:val="single" w:sz="8" w:space="0" w:color="000000"/>
            </w:tcBorders>
          </w:tcPr>
          <w:p>
            <w:pPr>
              <w:pStyle w:val="TableParagraph"/>
              <w:tabs>
                <w:tab w:pos="1624" w:val="left" w:leader="none"/>
              </w:tabs>
              <w:ind w:left="100" w:right="105"/>
              <w:rPr>
                <w:b/>
                <w:sz w:val="20"/>
              </w:rPr>
            </w:pPr>
            <w:r>
              <w:rPr>
                <w:sz w:val="20"/>
              </w:rPr>
              <w:t>Debe reunir al </w:t>
            </w:r>
            <w:r>
              <w:rPr>
                <w:b/>
                <w:sz w:val="20"/>
              </w:rPr>
              <w:t>100% las</w:t>
              <w:tab/>
              <w:t>tres</w:t>
            </w:r>
          </w:p>
          <w:p>
            <w:pPr>
              <w:pStyle w:val="TableParagraph"/>
              <w:tabs>
                <w:tab w:pos="1767" w:val="left" w:leader="none"/>
              </w:tabs>
              <w:ind w:left="100" w:right="108"/>
              <w:rPr>
                <w:sz w:val="20"/>
              </w:rPr>
            </w:pPr>
            <w:r>
              <w:rPr>
                <w:sz w:val="20"/>
              </w:rPr>
              <w:t>características</w:t>
              <w:tab/>
              <w:t>de</w:t>
            </w:r>
            <w:r>
              <w:rPr>
                <w:w w:val="99"/>
                <w:sz w:val="20"/>
              </w:rPr>
              <w:t> </w:t>
            </w:r>
            <w:r>
              <w:rPr>
                <w:sz w:val="20"/>
              </w:rPr>
              <w:t>impacto</w:t>
            </w:r>
            <w:r>
              <w:rPr>
                <w:spacing w:val="-3"/>
                <w:sz w:val="20"/>
              </w:rPr>
              <w:t> </w:t>
            </w:r>
            <w:r>
              <w:rPr>
                <w:sz w:val="20"/>
              </w:rPr>
              <w:t>positivo</w:t>
            </w:r>
          </w:p>
        </w:tc>
        <w:tc>
          <w:tcPr>
            <w:tcW w:w="1529" w:type="dxa"/>
            <w:tcBorders>
              <w:bottom w:val="single" w:sz="8" w:space="0" w:color="000000"/>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9"/>
              </w:rPr>
            </w:pPr>
          </w:p>
          <w:p>
            <w:pPr>
              <w:pStyle w:val="TableParagraph"/>
              <w:ind w:left="273"/>
              <w:rPr>
                <w:b/>
                <w:sz w:val="20"/>
              </w:rPr>
            </w:pPr>
            <w:r>
              <w:rPr>
                <w:b/>
                <w:sz w:val="20"/>
              </w:rPr>
              <w:t>Excelente</w:t>
            </w:r>
          </w:p>
        </w:tc>
      </w:tr>
    </w:tbl>
    <w:p>
      <w:pPr>
        <w:spacing w:after="0"/>
        <w:rPr>
          <w:sz w:val="20"/>
        </w:rPr>
        <w:sectPr>
          <w:pgSz w:w="15840" w:h="12240" w:orient="landscape"/>
          <w:pgMar w:header="0" w:footer="943" w:top="1140" w:bottom="1140" w:left="1200" w:right="1300"/>
        </w:sectPr>
      </w:pPr>
    </w:p>
    <w:p>
      <w:pPr>
        <w:pStyle w:val="BodyText"/>
        <w:rPr>
          <w:rFonts w:ascii="Times New Roman"/>
          <w:sz w:val="20"/>
        </w:rPr>
      </w:pPr>
      <w:r>
        <w:rPr/>
        <w:pict>
          <v:group style="position:absolute;margin-left:632.26001pt;margin-top:456.936005pt;width:74.05pt;height:68.9pt;mso-position-horizontal-relative:page;mso-position-vertical-relative:page;z-index:-3329056" coordorigin="12645,9139" coordsize="1481,1378">
            <v:shape style="position:absolute;left:12645;top:9139;width:1481;height:1378" type="#_x0000_t75" stroked="false">
              <v:imagedata r:id="rId474" o:title=""/>
            </v:shape>
            <v:shape style="position:absolute;left:12748;top:9139;width:1274;height:228" type="#_x0000_t75" stroked="false">
              <v:imagedata r:id="rId475" o:title=""/>
            </v:shape>
            <v:shape style="position:absolute;left:12748;top:9367;width:1274;height:230" type="#_x0000_t75" stroked="false">
              <v:imagedata r:id="rId476" o:title=""/>
            </v:shape>
            <v:shape style="position:absolute;left:12748;top:9597;width:1274;height:230" type="#_x0000_t75" stroked="false">
              <v:imagedata r:id="rId477"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6"/>
        <w:gridCol w:w="3841"/>
        <w:gridCol w:w="1447"/>
        <w:gridCol w:w="2108"/>
        <w:gridCol w:w="1529"/>
      </w:tblGrid>
      <w:tr>
        <w:trPr>
          <w:trHeight w:val="871" w:hRule="exact"/>
        </w:trPr>
        <w:tc>
          <w:tcPr>
            <w:tcW w:w="954" w:type="dxa"/>
            <w:tcBorders>
              <w:left w:val="double" w:sz="11" w:space="0" w:color="000000"/>
            </w:tcBorders>
          </w:tcPr>
          <w:p>
            <w:pPr>
              <w:pStyle w:val="TableParagraph"/>
              <w:spacing w:before="5"/>
              <w:ind w:left="0"/>
              <w:rPr>
                <w:rFonts w:ascii="Times New Roman"/>
                <w:sz w:val="27"/>
              </w:rPr>
            </w:pPr>
          </w:p>
          <w:p>
            <w:pPr>
              <w:pStyle w:val="TableParagraph"/>
              <w:spacing w:before="1"/>
              <w:ind w:left="209" w:right="212"/>
              <w:jc w:val="center"/>
              <w:rPr>
                <w:sz w:val="20"/>
              </w:rPr>
            </w:pPr>
            <w:r>
              <w:rPr>
                <w:sz w:val="20"/>
              </w:rPr>
              <w:t>1519</w:t>
            </w:r>
          </w:p>
        </w:tc>
        <w:tc>
          <w:tcPr>
            <w:tcW w:w="152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0" w:right="2"/>
              <w:jc w:val="center"/>
              <w:rPr>
                <w:b/>
                <w:sz w:val="20"/>
              </w:rPr>
            </w:pPr>
            <w:r>
              <w:rPr>
                <w:b/>
                <w:w w:val="99"/>
                <w:sz w:val="20"/>
              </w:rPr>
              <w:t>1</w:t>
            </w:r>
          </w:p>
        </w:tc>
        <w:tc>
          <w:tcPr>
            <w:tcW w:w="1416" w:type="dxa"/>
            <w:vMerge w:val="restart"/>
          </w:tcPr>
          <w:p>
            <w:pPr/>
          </w:p>
        </w:tc>
        <w:tc>
          <w:tcPr>
            <w:tcW w:w="3841" w:type="dxa"/>
            <w:vMerge w:val="restart"/>
          </w:tcPr>
          <w:p>
            <w:pPr>
              <w:pStyle w:val="TableParagraph"/>
              <w:spacing w:before="7"/>
              <w:ind w:left="281" w:right="104"/>
              <w:rPr>
                <w:sz w:val="20"/>
              </w:rPr>
            </w:pPr>
            <w:r>
              <w:rPr>
                <w:sz w:val="20"/>
              </w:rPr>
              <w:t>medio ambiente</w:t>
            </w:r>
          </w:p>
          <w:p>
            <w:pPr>
              <w:pStyle w:val="TableParagraph"/>
              <w:numPr>
                <w:ilvl w:val="0"/>
                <w:numId w:val="237"/>
              </w:numPr>
              <w:tabs>
                <w:tab w:pos="812" w:val="left" w:leader="none"/>
              </w:tabs>
              <w:spacing w:line="240" w:lineRule="auto" w:before="0" w:after="0"/>
              <w:ind w:left="281" w:right="105" w:hanging="142"/>
              <w:jc w:val="both"/>
              <w:rPr>
                <w:sz w:val="20"/>
              </w:rPr>
            </w:pPr>
            <w:r>
              <w:rPr>
                <w:sz w:val="20"/>
              </w:rPr>
              <w:t>Las instituciones sociopolíticas como El Municipio y El Ejido están interesadas en proteger el medio ambiente</w:t>
            </w:r>
          </w:p>
        </w:tc>
        <w:tc>
          <w:tcPr>
            <w:tcW w:w="1447"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20"/>
              </w:rPr>
            </w:pPr>
          </w:p>
          <w:p>
            <w:pPr>
              <w:pStyle w:val="TableParagraph"/>
              <w:spacing w:before="1"/>
              <w:ind w:left="463"/>
              <w:rPr>
                <w:sz w:val="20"/>
              </w:rPr>
            </w:pPr>
            <w:r>
              <w:rPr>
                <w:sz w:val="20"/>
              </w:rPr>
              <w:t>100%</w:t>
            </w:r>
          </w:p>
        </w:tc>
        <w:tc>
          <w:tcPr>
            <w:tcW w:w="2108" w:type="dxa"/>
            <w:vMerge w:val="restart"/>
          </w:tcPr>
          <w:p>
            <w:pPr/>
          </w:p>
        </w:tc>
        <w:tc>
          <w:tcPr>
            <w:tcW w:w="1529" w:type="dxa"/>
            <w:vMerge w:val="restart"/>
            <w:tcBorders>
              <w:right w:val="double" w:sz="12" w:space="0" w:color="000000"/>
            </w:tcBorders>
            <w:shd w:val="clear" w:color="auto" w:fill="00FF00"/>
          </w:tcPr>
          <w:p>
            <w:pPr/>
          </w:p>
        </w:tc>
      </w:tr>
      <w:tr>
        <w:trPr>
          <w:trHeight w:val="449" w:hRule="exact"/>
        </w:trPr>
        <w:tc>
          <w:tcPr>
            <w:tcW w:w="954" w:type="dxa"/>
            <w:tcBorders>
              <w:left w:val="double" w:sz="11" w:space="0" w:color="000000"/>
            </w:tcBorders>
          </w:tcPr>
          <w:p>
            <w:pPr>
              <w:pStyle w:val="TableParagraph"/>
              <w:spacing w:before="103"/>
              <w:ind w:left="209" w:right="212"/>
              <w:jc w:val="center"/>
              <w:rPr>
                <w:sz w:val="20"/>
              </w:rPr>
            </w:pPr>
            <w:r>
              <w:rPr>
                <w:sz w:val="20"/>
              </w:rPr>
              <w:t>1580</w:t>
            </w:r>
          </w:p>
        </w:tc>
        <w:tc>
          <w:tcPr>
            <w:tcW w:w="1526" w:type="dxa"/>
            <w:vMerge/>
          </w:tcPr>
          <w:p>
            <w:pPr/>
          </w:p>
        </w:tc>
        <w:tc>
          <w:tcPr>
            <w:tcW w:w="1416" w:type="dxa"/>
            <w:vMerge/>
          </w:tcPr>
          <w:p>
            <w:pPr/>
          </w:p>
        </w:tc>
        <w:tc>
          <w:tcPr>
            <w:tcW w:w="3841" w:type="dxa"/>
            <w:vMerge/>
          </w:tcPr>
          <w:p>
            <w:pPr/>
          </w:p>
        </w:tc>
        <w:tc>
          <w:tcPr>
            <w:tcW w:w="1447" w:type="dxa"/>
            <w:vMerge/>
          </w:tcPr>
          <w:p>
            <w:pPr/>
          </w:p>
        </w:tc>
        <w:tc>
          <w:tcPr>
            <w:tcW w:w="2108" w:type="dxa"/>
            <w:vMerge/>
          </w:tcPr>
          <w:p>
            <w:pPr/>
          </w:p>
        </w:tc>
        <w:tc>
          <w:tcPr>
            <w:tcW w:w="1529" w:type="dxa"/>
            <w:vMerge/>
            <w:tcBorders>
              <w:right w:val="double" w:sz="12" w:space="0" w:color="000000"/>
            </w:tcBorders>
            <w:shd w:val="clear" w:color="auto" w:fill="00FF00"/>
          </w:tcPr>
          <w:p>
            <w:pPr/>
          </w:p>
        </w:tc>
      </w:tr>
      <w:tr>
        <w:trPr>
          <w:trHeight w:val="266" w:hRule="exact"/>
        </w:trPr>
        <w:tc>
          <w:tcPr>
            <w:tcW w:w="954" w:type="dxa"/>
            <w:tcBorders>
              <w:left w:val="double" w:sz="11" w:space="0" w:color="000000"/>
            </w:tcBorders>
          </w:tcPr>
          <w:p>
            <w:pPr>
              <w:pStyle w:val="TableParagraph"/>
              <w:spacing w:line="227" w:lineRule="exact"/>
              <w:ind w:left="209" w:right="212"/>
              <w:jc w:val="center"/>
              <w:rPr>
                <w:sz w:val="20"/>
              </w:rPr>
            </w:pPr>
            <w:r>
              <w:rPr>
                <w:sz w:val="20"/>
              </w:rPr>
              <w:t>1785</w:t>
            </w:r>
          </w:p>
        </w:tc>
        <w:tc>
          <w:tcPr>
            <w:tcW w:w="1526" w:type="dxa"/>
            <w:vMerge/>
          </w:tcPr>
          <w:p>
            <w:pPr/>
          </w:p>
        </w:tc>
        <w:tc>
          <w:tcPr>
            <w:tcW w:w="1416" w:type="dxa"/>
            <w:vMerge/>
          </w:tcPr>
          <w:p>
            <w:pPr/>
          </w:p>
        </w:tc>
        <w:tc>
          <w:tcPr>
            <w:tcW w:w="3841" w:type="dxa"/>
            <w:vMerge/>
          </w:tcPr>
          <w:p>
            <w:pPr/>
          </w:p>
        </w:tc>
        <w:tc>
          <w:tcPr>
            <w:tcW w:w="1447" w:type="dxa"/>
            <w:vMerge/>
          </w:tcPr>
          <w:p>
            <w:pPr/>
          </w:p>
        </w:tc>
        <w:tc>
          <w:tcPr>
            <w:tcW w:w="2108" w:type="dxa"/>
            <w:vMerge/>
          </w:tcPr>
          <w:p>
            <w:pPr/>
          </w:p>
        </w:tc>
        <w:tc>
          <w:tcPr>
            <w:tcW w:w="1529" w:type="dxa"/>
            <w:vMerge/>
            <w:tcBorders>
              <w:right w:val="double" w:sz="12" w:space="0" w:color="000000"/>
            </w:tcBorders>
            <w:shd w:val="clear" w:color="auto" w:fill="00FF00"/>
          </w:tcPr>
          <w:p>
            <w:pPr/>
          </w:p>
        </w:tc>
      </w:tr>
      <w:tr>
        <w:trPr>
          <w:trHeight w:val="716" w:hRule="exact"/>
        </w:trPr>
        <w:tc>
          <w:tcPr>
            <w:tcW w:w="954" w:type="dxa"/>
            <w:tcBorders>
              <w:left w:val="double" w:sz="11" w:space="0" w:color="000000"/>
            </w:tcBorders>
          </w:tcPr>
          <w:p>
            <w:pPr>
              <w:pStyle w:val="TableParagraph"/>
              <w:spacing w:before="4"/>
              <w:ind w:left="0"/>
              <w:rPr>
                <w:rFonts w:ascii="Times New Roman"/>
                <w:sz w:val="20"/>
              </w:rPr>
            </w:pPr>
          </w:p>
          <w:p>
            <w:pPr>
              <w:pStyle w:val="TableParagraph"/>
              <w:spacing w:before="1"/>
              <w:ind w:left="209" w:right="212"/>
              <w:jc w:val="center"/>
              <w:rPr>
                <w:sz w:val="20"/>
              </w:rPr>
            </w:pPr>
            <w:r>
              <w:rPr>
                <w:sz w:val="20"/>
              </w:rPr>
              <w:t>1810</w:t>
            </w:r>
          </w:p>
        </w:tc>
        <w:tc>
          <w:tcPr>
            <w:tcW w:w="1526" w:type="dxa"/>
            <w:vMerge/>
          </w:tcPr>
          <w:p>
            <w:pPr/>
          </w:p>
        </w:tc>
        <w:tc>
          <w:tcPr>
            <w:tcW w:w="1416" w:type="dxa"/>
            <w:vMerge w:val="restart"/>
          </w:tcPr>
          <w:p>
            <w:pPr>
              <w:pStyle w:val="TableParagraph"/>
              <w:spacing w:line="227" w:lineRule="exact"/>
              <w:rPr>
                <w:sz w:val="20"/>
              </w:rPr>
            </w:pPr>
            <w:r>
              <w:rPr>
                <w:sz w:val="20"/>
              </w:rPr>
              <w:t>Económico</w:t>
            </w:r>
          </w:p>
        </w:tc>
        <w:tc>
          <w:tcPr>
            <w:tcW w:w="3841" w:type="dxa"/>
            <w:vMerge w:val="restart"/>
          </w:tcPr>
          <w:p>
            <w:pPr>
              <w:pStyle w:val="TableParagraph"/>
              <w:numPr>
                <w:ilvl w:val="0"/>
                <w:numId w:val="238"/>
              </w:numPr>
              <w:tabs>
                <w:tab w:pos="812" w:val="left" w:leader="none"/>
              </w:tabs>
              <w:spacing w:line="240" w:lineRule="auto" w:before="0" w:after="0"/>
              <w:ind w:left="281" w:right="105" w:hanging="142"/>
              <w:jc w:val="both"/>
              <w:rPr>
                <w:sz w:val="20"/>
              </w:rPr>
            </w:pPr>
            <w:r>
              <w:rPr>
                <w:sz w:val="20"/>
              </w:rPr>
              <w:t>Existe una dependencia económica de los recursos naturales por parte de los actores de la</w:t>
            </w:r>
            <w:r>
              <w:rPr>
                <w:spacing w:val="-10"/>
                <w:sz w:val="20"/>
              </w:rPr>
              <w:t> </w:t>
            </w:r>
            <w:r>
              <w:rPr>
                <w:sz w:val="20"/>
              </w:rPr>
              <w:t>CHPH</w:t>
            </w:r>
          </w:p>
          <w:p>
            <w:pPr>
              <w:pStyle w:val="TableParagraph"/>
              <w:numPr>
                <w:ilvl w:val="0"/>
                <w:numId w:val="238"/>
              </w:numPr>
              <w:tabs>
                <w:tab w:pos="812" w:val="left" w:leader="none"/>
              </w:tabs>
              <w:spacing w:line="240" w:lineRule="auto" w:before="0" w:after="0"/>
              <w:ind w:left="281" w:right="105" w:hanging="142"/>
              <w:jc w:val="both"/>
              <w:rPr>
                <w:sz w:val="20"/>
              </w:rPr>
            </w:pPr>
            <w:r>
              <w:rPr>
                <w:sz w:val="20"/>
              </w:rPr>
              <w:t>La agricultura y la ganadería son la ventaja comparativa histórica de la CHPH</w:t>
            </w:r>
          </w:p>
          <w:p>
            <w:pPr>
              <w:pStyle w:val="TableParagraph"/>
              <w:numPr>
                <w:ilvl w:val="0"/>
                <w:numId w:val="238"/>
              </w:numPr>
              <w:tabs>
                <w:tab w:pos="812" w:val="left" w:leader="none"/>
              </w:tabs>
              <w:spacing w:line="240" w:lineRule="auto" w:before="0" w:after="0"/>
              <w:ind w:left="281" w:right="102" w:hanging="142"/>
              <w:jc w:val="both"/>
              <w:rPr>
                <w:sz w:val="20"/>
              </w:rPr>
            </w:pPr>
            <w:r>
              <w:rPr>
                <w:sz w:val="20"/>
              </w:rPr>
              <w:t>Existen grupos económicos consolidados a través de la historia en la</w:t>
            </w:r>
            <w:r>
              <w:rPr>
                <w:spacing w:val="-5"/>
                <w:sz w:val="20"/>
              </w:rPr>
              <w:t> </w:t>
            </w:r>
            <w:r>
              <w:rPr>
                <w:sz w:val="20"/>
              </w:rPr>
              <w:t>CHPH</w:t>
            </w:r>
          </w:p>
        </w:tc>
        <w:tc>
          <w:tcPr>
            <w:tcW w:w="1447" w:type="dxa"/>
            <w:vMerge/>
          </w:tcPr>
          <w:p>
            <w:pPr/>
          </w:p>
        </w:tc>
        <w:tc>
          <w:tcPr>
            <w:tcW w:w="2108" w:type="dxa"/>
            <w:vMerge/>
          </w:tcPr>
          <w:p>
            <w:pPr/>
          </w:p>
        </w:tc>
        <w:tc>
          <w:tcPr>
            <w:tcW w:w="1529" w:type="dxa"/>
            <w:vMerge/>
            <w:tcBorders>
              <w:right w:val="double" w:sz="12" w:space="0" w:color="000000"/>
            </w:tcBorders>
            <w:shd w:val="clear" w:color="auto" w:fill="00FF00"/>
          </w:tcPr>
          <w:p>
            <w:pPr/>
          </w:p>
        </w:tc>
      </w:tr>
      <w:tr>
        <w:trPr>
          <w:trHeight w:val="718" w:hRule="exact"/>
        </w:trPr>
        <w:tc>
          <w:tcPr>
            <w:tcW w:w="954" w:type="dxa"/>
            <w:tcBorders>
              <w:left w:val="double" w:sz="11" w:space="0" w:color="000000"/>
            </w:tcBorders>
          </w:tcPr>
          <w:p>
            <w:pPr>
              <w:pStyle w:val="TableParagraph"/>
              <w:spacing w:before="7"/>
              <w:ind w:left="0"/>
              <w:rPr>
                <w:rFonts w:ascii="Times New Roman"/>
                <w:sz w:val="20"/>
              </w:rPr>
            </w:pPr>
          </w:p>
          <w:p>
            <w:pPr>
              <w:pStyle w:val="TableParagraph"/>
              <w:ind w:left="209" w:right="212"/>
              <w:jc w:val="center"/>
              <w:rPr>
                <w:sz w:val="20"/>
              </w:rPr>
            </w:pPr>
            <w:r>
              <w:rPr>
                <w:sz w:val="20"/>
              </w:rPr>
              <w:t>1861</w:t>
            </w:r>
          </w:p>
        </w:tc>
        <w:tc>
          <w:tcPr>
            <w:tcW w:w="1526" w:type="dxa"/>
            <w:vMerge/>
          </w:tcPr>
          <w:p>
            <w:pPr/>
          </w:p>
        </w:tc>
        <w:tc>
          <w:tcPr>
            <w:tcW w:w="1416" w:type="dxa"/>
            <w:vMerge/>
          </w:tcPr>
          <w:p>
            <w:pPr/>
          </w:p>
        </w:tc>
        <w:tc>
          <w:tcPr>
            <w:tcW w:w="3841" w:type="dxa"/>
            <w:vMerge/>
          </w:tcPr>
          <w:p>
            <w:pPr/>
          </w:p>
        </w:tc>
        <w:tc>
          <w:tcPr>
            <w:tcW w:w="1447" w:type="dxa"/>
            <w:vMerge/>
          </w:tcPr>
          <w:p>
            <w:pPr/>
          </w:p>
        </w:tc>
        <w:tc>
          <w:tcPr>
            <w:tcW w:w="2108" w:type="dxa"/>
            <w:vMerge/>
          </w:tcPr>
          <w:p>
            <w:pPr/>
          </w:p>
        </w:tc>
        <w:tc>
          <w:tcPr>
            <w:tcW w:w="1529" w:type="dxa"/>
            <w:vMerge/>
            <w:tcBorders>
              <w:right w:val="double" w:sz="12" w:space="0" w:color="000000"/>
            </w:tcBorders>
            <w:shd w:val="clear" w:color="auto" w:fill="00FF00"/>
          </w:tcPr>
          <w:p>
            <w:pPr/>
          </w:p>
        </w:tc>
      </w:tr>
      <w:tr>
        <w:trPr>
          <w:trHeight w:val="715" w:hRule="exact"/>
        </w:trPr>
        <w:tc>
          <w:tcPr>
            <w:tcW w:w="954" w:type="dxa"/>
            <w:tcBorders>
              <w:left w:val="double" w:sz="11" w:space="0" w:color="000000"/>
            </w:tcBorders>
          </w:tcPr>
          <w:p>
            <w:pPr>
              <w:pStyle w:val="TableParagraph"/>
              <w:spacing w:before="4"/>
              <w:ind w:left="0"/>
              <w:rPr>
                <w:rFonts w:ascii="Times New Roman"/>
                <w:sz w:val="20"/>
              </w:rPr>
            </w:pPr>
          </w:p>
          <w:p>
            <w:pPr>
              <w:pStyle w:val="TableParagraph"/>
              <w:spacing w:before="1"/>
              <w:ind w:left="209" w:right="212"/>
              <w:jc w:val="center"/>
              <w:rPr>
                <w:sz w:val="20"/>
              </w:rPr>
            </w:pPr>
            <w:r>
              <w:rPr>
                <w:sz w:val="20"/>
              </w:rPr>
              <w:t>1910</w:t>
            </w:r>
          </w:p>
        </w:tc>
        <w:tc>
          <w:tcPr>
            <w:tcW w:w="1526" w:type="dxa"/>
            <w:vMerge/>
          </w:tcPr>
          <w:p>
            <w:pPr/>
          </w:p>
        </w:tc>
        <w:tc>
          <w:tcPr>
            <w:tcW w:w="1416" w:type="dxa"/>
            <w:vMerge/>
          </w:tcPr>
          <w:p>
            <w:pPr/>
          </w:p>
        </w:tc>
        <w:tc>
          <w:tcPr>
            <w:tcW w:w="3841" w:type="dxa"/>
            <w:vMerge/>
          </w:tcPr>
          <w:p>
            <w:pPr/>
          </w:p>
        </w:tc>
        <w:tc>
          <w:tcPr>
            <w:tcW w:w="1447" w:type="dxa"/>
            <w:vMerge/>
          </w:tcPr>
          <w:p>
            <w:pPr/>
          </w:p>
        </w:tc>
        <w:tc>
          <w:tcPr>
            <w:tcW w:w="2108" w:type="dxa"/>
            <w:vMerge/>
          </w:tcPr>
          <w:p>
            <w:pPr/>
          </w:p>
        </w:tc>
        <w:tc>
          <w:tcPr>
            <w:tcW w:w="1529" w:type="dxa"/>
            <w:vMerge/>
            <w:tcBorders>
              <w:right w:val="double" w:sz="12" w:space="0" w:color="000000"/>
            </w:tcBorders>
            <w:shd w:val="clear" w:color="auto" w:fill="00FF00"/>
          </w:tcPr>
          <w:p>
            <w:pPr/>
          </w:p>
        </w:tc>
      </w:tr>
      <w:tr>
        <w:trPr>
          <w:trHeight w:val="1004" w:hRule="exact"/>
        </w:trPr>
        <w:tc>
          <w:tcPr>
            <w:tcW w:w="954" w:type="dxa"/>
            <w:tcBorders>
              <w:left w:val="double" w:sz="11" w:space="0" w:color="000000"/>
            </w:tcBorders>
          </w:tcPr>
          <w:p>
            <w:pPr>
              <w:pStyle w:val="TableParagraph"/>
              <w:ind w:left="0"/>
              <w:rPr>
                <w:rFonts w:ascii="Times New Roman"/>
                <w:sz w:val="20"/>
              </w:rPr>
            </w:pPr>
          </w:p>
          <w:p>
            <w:pPr>
              <w:pStyle w:val="TableParagraph"/>
              <w:spacing w:before="149"/>
              <w:ind w:left="209" w:right="212"/>
              <w:jc w:val="center"/>
              <w:rPr>
                <w:sz w:val="20"/>
              </w:rPr>
            </w:pPr>
            <w:r>
              <w:rPr>
                <w:sz w:val="20"/>
              </w:rPr>
              <w:t>1940</w:t>
            </w:r>
          </w:p>
        </w:tc>
        <w:tc>
          <w:tcPr>
            <w:tcW w:w="1526" w:type="dxa"/>
            <w:vMerge/>
          </w:tcPr>
          <w:p>
            <w:pPr/>
          </w:p>
        </w:tc>
        <w:tc>
          <w:tcPr>
            <w:tcW w:w="1416" w:type="dxa"/>
            <w:vMerge w:val="restart"/>
          </w:tcPr>
          <w:p>
            <w:pPr>
              <w:pStyle w:val="TableParagraph"/>
              <w:spacing w:line="227" w:lineRule="exact"/>
              <w:rPr>
                <w:sz w:val="20"/>
              </w:rPr>
            </w:pPr>
            <w:r>
              <w:rPr>
                <w:sz w:val="20"/>
              </w:rPr>
              <w:t>Sociopolítico</w:t>
            </w:r>
          </w:p>
        </w:tc>
        <w:tc>
          <w:tcPr>
            <w:tcW w:w="3841" w:type="dxa"/>
            <w:vMerge w:val="restart"/>
          </w:tcPr>
          <w:p>
            <w:pPr>
              <w:pStyle w:val="TableParagraph"/>
              <w:numPr>
                <w:ilvl w:val="0"/>
                <w:numId w:val="239"/>
              </w:numPr>
              <w:tabs>
                <w:tab w:pos="812" w:val="left" w:leader="none"/>
              </w:tabs>
              <w:spacing w:line="240" w:lineRule="auto" w:before="0" w:after="0"/>
              <w:ind w:left="281" w:right="105" w:hanging="142"/>
              <w:jc w:val="both"/>
              <w:rPr>
                <w:sz w:val="20"/>
              </w:rPr>
            </w:pPr>
            <w:r>
              <w:rPr>
                <w:sz w:val="20"/>
              </w:rPr>
              <w:t>Las instituciones políticas  que se han creado a través del tiempo como El Municipio y El Ejido  favorecen la articulación social en la CHPH</w:t>
            </w:r>
          </w:p>
          <w:p>
            <w:pPr>
              <w:pStyle w:val="TableParagraph"/>
              <w:numPr>
                <w:ilvl w:val="0"/>
                <w:numId w:val="239"/>
              </w:numPr>
              <w:tabs>
                <w:tab w:pos="812" w:val="left" w:leader="none"/>
              </w:tabs>
              <w:spacing w:line="240" w:lineRule="auto" w:before="0" w:after="0"/>
              <w:ind w:left="281" w:right="103" w:hanging="142"/>
              <w:jc w:val="both"/>
              <w:rPr>
                <w:sz w:val="20"/>
              </w:rPr>
            </w:pPr>
            <w:r>
              <w:rPr>
                <w:sz w:val="20"/>
              </w:rPr>
              <w:t>Las autoridades auxiliares son producto de las estructuras históricas consolidadas</w:t>
            </w:r>
          </w:p>
          <w:p>
            <w:pPr>
              <w:pStyle w:val="TableParagraph"/>
              <w:numPr>
                <w:ilvl w:val="0"/>
                <w:numId w:val="239"/>
              </w:numPr>
              <w:tabs>
                <w:tab w:pos="812" w:val="left" w:leader="none"/>
              </w:tabs>
              <w:spacing w:line="240" w:lineRule="auto" w:before="0" w:after="0"/>
              <w:ind w:left="281" w:right="105" w:hanging="142"/>
              <w:jc w:val="both"/>
              <w:rPr>
                <w:sz w:val="20"/>
              </w:rPr>
            </w:pPr>
            <w:r>
              <w:rPr>
                <w:sz w:val="20"/>
              </w:rPr>
              <w:t>La CHPH es producto de la articulación de eventos históricos en la región</w:t>
            </w:r>
          </w:p>
          <w:p>
            <w:pPr>
              <w:pStyle w:val="TableParagraph"/>
              <w:numPr>
                <w:ilvl w:val="0"/>
                <w:numId w:val="239"/>
              </w:numPr>
              <w:tabs>
                <w:tab w:pos="463" w:val="left" w:leader="none"/>
                <w:tab w:pos="464" w:val="left" w:leader="none"/>
              </w:tabs>
              <w:spacing w:line="240" w:lineRule="auto"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239"/>
              </w:numPr>
              <w:tabs>
                <w:tab w:pos="463" w:val="left" w:leader="none"/>
                <w:tab w:pos="464" w:val="left" w:leader="none"/>
              </w:tabs>
              <w:spacing w:line="240" w:lineRule="auto"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239"/>
              </w:numPr>
              <w:tabs>
                <w:tab w:pos="463" w:val="left" w:leader="none"/>
                <w:tab w:pos="464" w:val="left" w:leader="none"/>
              </w:tabs>
              <w:spacing w:line="240" w:lineRule="auto"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239"/>
              </w:numPr>
              <w:tabs>
                <w:tab w:pos="463" w:val="left" w:leader="none"/>
                <w:tab w:pos="464" w:val="left" w:leader="none"/>
              </w:tabs>
              <w:spacing w:line="240" w:lineRule="auto" w:before="0" w:after="0"/>
              <w:ind w:left="463" w:right="107" w:hanging="360"/>
              <w:jc w:val="left"/>
              <w:rPr>
                <w:sz w:val="20"/>
              </w:rPr>
            </w:pPr>
            <w:r>
              <w:rPr>
                <w:sz w:val="20"/>
              </w:rPr>
              <w:t>Existe planeación sociopolítica con articulación entre</w:t>
            </w:r>
            <w:r>
              <w:rPr>
                <w:spacing w:val="-11"/>
                <w:sz w:val="20"/>
              </w:rPr>
              <w:t> </w:t>
            </w:r>
            <w:r>
              <w:rPr>
                <w:sz w:val="20"/>
              </w:rPr>
              <w:t>actores</w:t>
            </w:r>
          </w:p>
        </w:tc>
        <w:tc>
          <w:tcPr>
            <w:tcW w:w="1447" w:type="dxa"/>
            <w:vMerge/>
          </w:tcPr>
          <w:p>
            <w:pPr/>
          </w:p>
        </w:tc>
        <w:tc>
          <w:tcPr>
            <w:tcW w:w="2108" w:type="dxa"/>
            <w:vMerge/>
          </w:tcPr>
          <w:p>
            <w:pPr/>
          </w:p>
        </w:tc>
        <w:tc>
          <w:tcPr>
            <w:tcW w:w="1529" w:type="dxa"/>
            <w:vMerge/>
            <w:tcBorders>
              <w:right w:val="double" w:sz="12" w:space="0" w:color="000000"/>
            </w:tcBorders>
            <w:shd w:val="clear" w:color="auto" w:fill="00FF00"/>
          </w:tcPr>
          <w:p>
            <w:pPr/>
          </w:p>
        </w:tc>
      </w:tr>
      <w:tr>
        <w:trPr>
          <w:trHeight w:val="1001" w:hRule="exact"/>
        </w:trPr>
        <w:tc>
          <w:tcPr>
            <w:tcW w:w="954" w:type="dxa"/>
            <w:tcBorders>
              <w:left w:val="double" w:sz="11" w:space="0" w:color="000000"/>
            </w:tcBorders>
          </w:tcPr>
          <w:p>
            <w:pPr>
              <w:pStyle w:val="TableParagraph"/>
              <w:ind w:left="0"/>
              <w:rPr>
                <w:rFonts w:ascii="Times New Roman"/>
                <w:sz w:val="20"/>
              </w:rPr>
            </w:pPr>
          </w:p>
          <w:p>
            <w:pPr>
              <w:pStyle w:val="TableParagraph"/>
              <w:spacing w:before="149"/>
              <w:ind w:left="209" w:right="212"/>
              <w:jc w:val="center"/>
              <w:rPr>
                <w:sz w:val="20"/>
              </w:rPr>
            </w:pPr>
            <w:r>
              <w:rPr>
                <w:sz w:val="20"/>
              </w:rPr>
              <w:t>1982</w:t>
            </w:r>
          </w:p>
        </w:tc>
        <w:tc>
          <w:tcPr>
            <w:tcW w:w="1526" w:type="dxa"/>
            <w:vMerge/>
          </w:tcPr>
          <w:p>
            <w:pPr/>
          </w:p>
        </w:tc>
        <w:tc>
          <w:tcPr>
            <w:tcW w:w="1416" w:type="dxa"/>
            <w:vMerge/>
          </w:tcPr>
          <w:p>
            <w:pPr/>
          </w:p>
        </w:tc>
        <w:tc>
          <w:tcPr>
            <w:tcW w:w="3841" w:type="dxa"/>
            <w:vMerge/>
          </w:tcPr>
          <w:p>
            <w:pPr/>
          </w:p>
        </w:tc>
        <w:tc>
          <w:tcPr>
            <w:tcW w:w="1447" w:type="dxa"/>
            <w:vMerge/>
          </w:tcPr>
          <w:p>
            <w:pPr/>
          </w:p>
        </w:tc>
        <w:tc>
          <w:tcPr>
            <w:tcW w:w="2108" w:type="dxa"/>
            <w:vMerge/>
          </w:tcPr>
          <w:p>
            <w:pPr/>
          </w:p>
        </w:tc>
        <w:tc>
          <w:tcPr>
            <w:tcW w:w="1529" w:type="dxa"/>
            <w:vMerge/>
            <w:tcBorders>
              <w:right w:val="double" w:sz="12" w:space="0" w:color="000000"/>
            </w:tcBorders>
            <w:shd w:val="clear" w:color="auto" w:fill="00FF00"/>
          </w:tcPr>
          <w:p>
            <w:pPr/>
          </w:p>
        </w:tc>
      </w:tr>
      <w:tr>
        <w:trPr>
          <w:trHeight w:val="1685"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2"/>
              </w:rPr>
            </w:pPr>
          </w:p>
          <w:p>
            <w:pPr>
              <w:pStyle w:val="TableParagraph"/>
              <w:ind w:left="209" w:right="212"/>
              <w:jc w:val="center"/>
              <w:rPr>
                <w:sz w:val="20"/>
              </w:rPr>
            </w:pPr>
            <w:r>
              <w:rPr>
                <w:sz w:val="20"/>
              </w:rPr>
              <w:t>2016</w:t>
            </w:r>
          </w:p>
        </w:tc>
        <w:tc>
          <w:tcPr>
            <w:tcW w:w="1526" w:type="dxa"/>
            <w:vMerge/>
          </w:tcPr>
          <w:p>
            <w:pPr/>
          </w:p>
        </w:tc>
        <w:tc>
          <w:tcPr>
            <w:tcW w:w="1416" w:type="dxa"/>
            <w:vMerge/>
          </w:tcPr>
          <w:p>
            <w:pPr/>
          </w:p>
        </w:tc>
        <w:tc>
          <w:tcPr>
            <w:tcW w:w="3841" w:type="dxa"/>
            <w:vMerge/>
          </w:tcPr>
          <w:p>
            <w:pPr/>
          </w:p>
        </w:tc>
        <w:tc>
          <w:tcPr>
            <w:tcW w:w="1447" w:type="dxa"/>
            <w:vMerge/>
          </w:tcPr>
          <w:p>
            <w:pPr/>
          </w:p>
        </w:tc>
        <w:tc>
          <w:tcPr>
            <w:tcW w:w="2108" w:type="dxa"/>
            <w:vMerge/>
          </w:tcPr>
          <w:p>
            <w:pPr/>
          </w:p>
        </w:tc>
        <w:tc>
          <w:tcPr>
            <w:tcW w:w="1529" w:type="dxa"/>
            <w:vMerge/>
            <w:tcBorders>
              <w:right w:val="double" w:sz="12" w:space="0" w:color="000000"/>
            </w:tcBorders>
            <w:shd w:val="clear" w:color="auto" w:fill="00FF00"/>
          </w:tcPr>
          <w:p>
            <w:pPr/>
          </w:p>
        </w:tc>
      </w:tr>
      <w:tr>
        <w:trPr>
          <w:trHeight w:val="1392" w:hRule="exact"/>
        </w:trPr>
        <w:tc>
          <w:tcPr>
            <w:tcW w:w="954" w:type="dxa"/>
            <w:tcBorders>
              <w:left w:val="double" w:sz="11" w:space="0" w:color="000000"/>
              <w:bottom w:val="double" w:sz="3" w:space="0" w:color="000000"/>
            </w:tcBorders>
          </w:tcPr>
          <w:p>
            <w:pPr/>
          </w:p>
        </w:tc>
        <w:tc>
          <w:tcPr>
            <w:tcW w:w="1526" w:type="dxa"/>
            <w:tcBorders>
              <w:bottom w:val="double" w:sz="3"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9"/>
              </w:rPr>
            </w:pPr>
          </w:p>
          <w:p>
            <w:pPr>
              <w:pStyle w:val="TableParagraph"/>
              <w:ind w:left="0" w:right="2"/>
              <w:jc w:val="center"/>
              <w:rPr>
                <w:b/>
                <w:sz w:val="20"/>
              </w:rPr>
            </w:pPr>
            <w:r>
              <w:rPr>
                <w:b/>
                <w:w w:val="99"/>
                <w:sz w:val="20"/>
              </w:rPr>
              <w:t>1</w:t>
            </w:r>
          </w:p>
        </w:tc>
        <w:tc>
          <w:tcPr>
            <w:tcW w:w="1416" w:type="dxa"/>
            <w:tcBorders>
              <w:bottom w:val="double" w:sz="3" w:space="0" w:color="000000"/>
            </w:tcBorders>
          </w:tcPr>
          <w:p>
            <w:pPr>
              <w:pStyle w:val="TableParagraph"/>
              <w:spacing w:line="230" w:lineRule="exact"/>
              <w:rPr>
                <w:sz w:val="20"/>
              </w:rPr>
            </w:pPr>
            <w:r>
              <w:rPr>
                <w:sz w:val="20"/>
              </w:rPr>
              <w:t>Ambiental</w:t>
            </w:r>
          </w:p>
        </w:tc>
        <w:tc>
          <w:tcPr>
            <w:tcW w:w="3841" w:type="dxa"/>
            <w:tcBorders>
              <w:bottom w:val="double" w:sz="3" w:space="0" w:color="000000"/>
            </w:tcBorders>
          </w:tcPr>
          <w:p>
            <w:pPr>
              <w:pStyle w:val="TableParagraph"/>
              <w:numPr>
                <w:ilvl w:val="0"/>
                <w:numId w:val="240"/>
              </w:numPr>
              <w:tabs>
                <w:tab w:pos="811" w:val="left" w:leader="none"/>
                <w:tab w:pos="812" w:val="left" w:leader="none"/>
                <w:tab w:pos="1589" w:val="left" w:leader="none"/>
                <w:tab w:pos="2521" w:val="left" w:leader="none"/>
                <w:tab w:pos="3214" w:val="left" w:leader="none"/>
              </w:tabs>
              <w:spacing w:line="240" w:lineRule="auto" w:before="0" w:after="0"/>
              <w:ind w:left="281" w:right="104" w:hanging="142"/>
              <w:jc w:val="left"/>
              <w:rPr>
                <w:sz w:val="20"/>
              </w:rPr>
            </w:pPr>
            <w:r>
              <w:rPr>
                <w:sz w:val="20"/>
              </w:rPr>
              <w:t>Existe</w:t>
              <w:tab/>
              <w:t>relación</w:t>
              <w:tab/>
              <w:t>entre</w:t>
              <w:tab/>
              <w:t>agua-</w:t>
            </w:r>
            <w:r>
              <w:rPr>
                <w:w w:val="99"/>
                <w:sz w:val="20"/>
              </w:rPr>
              <w:t> </w:t>
            </w:r>
            <w:r>
              <w:rPr>
                <w:sz w:val="20"/>
              </w:rPr>
              <w:t>ambiente-sociedad</w:t>
            </w:r>
          </w:p>
          <w:p>
            <w:pPr>
              <w:pStyle w:val="TableParagraph"/>
              <w:numPr>
                <w:ilvl w:val="0"/>
                <w:numId w:val="240"/>
              </w:numPr>
              <w:tabs>
                <w:tab w:pos="811" w:val="left" w:leader="none"/>
                <w:tab w:pos="812" w:val="left" w:leader="none"/>
                <w:tab w:pos="1845" w:val="left" w:leader="none"/>
                <w:tab w:pos="3325" w:val="left" w:leader="none"/>
              </w:tabs>
              <w:spacing w:line="240" w:lineRule="auto" w:before="0" w:after="0"/>
              <w:ind w:left="281" w:right="105" w:hanging="142"/>
              <w:jc w:val="left"/>
              <w:rPr>
                <w:sz w:val="20"/>
              </w:rPr>
            </w:pPr>
            <w:r>
              <w:rPr>
                <w:sz w:val="20"/>
              </w:rPr>
              <w:t>Existen</w:t>
              <w:tab/>
              <w:t>instituciones</w:t>
              <w:tab/>
            </w:r>
            <w:r>
              <w:rPr>
                <w:w w:val="95"/>
                <w:sz w:val="20"/>
              </w:rPr>
              <w:t>para </w:t>
            </w:r>
            <w:r>
              <w:rPr>
                <w:sz w:val="20"/>
              </w:rPr>
              <w:t>proteger el medio</w:t>
            </w:r>
            <w:r>
              <w:rPr>
                <w:spacing w:val="-6"/>
                <w:sz w:val="20"/>
              </w:rPr>
              <w:t> </w:t>
            </w:r>
            <w:r>
              <w:rPr>
                <w:sz w:val="20"/>
              </w:rPr>
              <w:t>ambiente</w:t>
            </w:r>
          </w:p>
          <w:p>
            <w:pPr>
              <w:pStyle w:val="TableParagraph"/>
              <w:numPr>
                <w:ilvl w:val="0"/>
                <w:numId w:val="240"/>
              </w:numPr>
              <w:tabs>
                <w:tab w:pos="811" w:val="left" w:leader="none"/>
                <w:tab w:pos="812" w:val="left" w:leader="none"/>
              </w:tabs>
              <w:spacing w:line="240" w:lineRule="auto" w:before="0" w:after="0"/>
              <w:ind w:left="281" w:right="106" w:hanging="142"/>
              <w:jc w:val="left"/>
              <w:rPr>
                <w:sz w:val="20"/>
              </w:rPr>
            </w:pPr>
            <w:r>
              <w:rPr>
                <w:sz w:val="20"/>
              </w:rPr>
              <w:t>Existe conciencia o interés en los  actores  históricos  para  cuidar </w:t>
            </w:r>
            <w:r>
              <w:rPr>
                <w:spacing w:val="20"/>
                <w:sz w:val="20"/>
              </w:rPr>
              <w:t> </w:t>
            </w:r>
            <w:r>
              <w:rPr>
                <w:sz w:val="20"/>
              </w:rPr>
              <w:t>el</w:t>
            </w:r>
          </w:p>
        </w:tc>
        <w:tc>
          <w:tcPr>
            <w:tcW w:w="1447" w:type="dxa"/>
            <w:tcBorders>
              <w:bottom w:val="double" w:sz="3" w:space="0" w:color="000000"/>
            </w:tcBorders>
          </w:tcPr>
          <w:p>
            <w:pPr/>
          </w:p>
        </w:tc>
        <w:tc>
          <w:tcPr>
            <w:tcW w:w="2108" w:type="dxa"/>
            <w:tcBorders>
              <w:bottom w:val="double" w:sz="3" w:space="0" w:color="000000"/>
            </w:tcBorders>
          </w:tcPr>
          <w:p>
            <w:pPr>
              <w:pStyle w:val="TableParagraph"/>
              <w:tabs>
                <w:tab w:pos="1658" w:val="left" w:leader="none"/>
              </w:tabs>
              <w:ind w:left="100" w:right="105"/>
              <w:jc w:val="both"/>
              <w:rPr>
                <w:sz w:val="20"/>
              </w:rPr>
            </w:pPr>
            <w:r>
              <w:rPr>
                <w:sz w:val="20"/>
              </w:rPr>
              <w:t>Debe reunir </w:t>
            </w:r>
            <w:r>
              <w:rPr>
                <w:b/>
                <w:sz w:val="20"/>
              </w:rPr>
              <w:t>al menos el 75% </w:t>
            </w:r>
            <w:r>
              <w:rPr>
                <w:sz w:val="20"/>
              </w:rPr>
              <w:t>dos de</w:t>
              <w:tab/>
              <w:t>tres</w:t>
            </w:r>
          </w:p>
          <w:p>
            <w:pPr>
              <w:pStyle w:val="TableParagraph"/>
              <w:ind w:left="100" w:right="108"/>
              <w:jc w:val="both"/>
              <w:rPr>
                <w:sz w:val="20"/>
              </w:rPr>
            </w:pPr>
            <w:r>
              <w:rPr>
                <w:sz w:val="20"/>
              </w:rPr>
              <w:t>características de impacto positivo</w:t>
            </w:r>
          </w:p>
        </w:tc>
        <w:tc>
          <w:tcPr>
            <w:tcW w:w="1529" w:type="dxa"/>
            <w:tcBorders>
              <w:bottom w:val="double" w:sz="3" w:space="0" w:color="000000"/>
              <w:right w:val="double" w:sz="12" w:space="0" w:color="000000"/>
            </w:tcBorders>
          </w:tcPr>
          <w:p>
            <w:pPr>
              <w:pStyle w:val="TableParagraph"/>
              <w:ind w:left="0"/>
              <w:rPr>
                <w:rFonts w:ascii="Times New Roman"/>
                <w:sz w:val="20"/>
              </w:rPr>
            </w:pPr>
          </w:p>
          <w:p>
            <w:pPr>
              <w:pStyle w:val="TableParagraph"/>
              <w:spacing w:before="7"/>
              <w:ind w:left="0"/>
              <w:rPr>
                <w:rFonts w:ascii="Times New Roman"/>
                <w:sz w:val="19"/>
              </w:rPr>
            </w:pPr>
          </w:p>
          <w:p>
            <w:pPr>
              <w:pStyle w:val="TableParagraph"/>
              <w:ind w:left="429"/>
              <w:rPr>
                <w:b/>
                <w:sz w:val="20"/>
              </w:rPr>
            </w:pPr>
            <w:r>
              <w:rPr>
                <w:b/>
                <w:sz w:val="20"/>
              </w:rPr>
              <w:t>Bueno</w:t>
            </w:r>
          </w:p>
        </w:tc>
      </w:tr>
    </w:tbl>
    <w:p>
      <w:pPr>
        <w:spacing w:after="0"/>
        <w:rPr>
          <w:sz w:val="20"/>
        </w:rPr>
        <w:sectPr>
          <w:footerReference w:type="default" r:id="rId473"/>
          <w:pgSz w:w="15840" w:h="12240" w:orient="landscape"/>
          <w:pgMar w:footer="943" w:header="0" w:top="1140" w:bottom="1140" w:left="1200" w:right="1300"/>
          <w:pgNumType w:start="69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6"/>
        <w:gridCol w:w="3841"/>
        <w:gridCol w:w="1447"/>
        <w:gridCol w:w="2108"/>
        <w:gridCol w:w="1529"/>
      </w:tblGrid>
      <w:tr>
        <w:trPr>
          <w:trHeight w:val="1169" w:hRule="exact"/>
        </w:trPr>
        <w:tc>
          <w:tcPr>
            <w:tcW w:w="954" w:type="dxa"/>
            <w:vMerge w:val="restart"/>
            <w:tcBorders>
              <w:left w:val="double" w:sz="11" w:space="0" w:color="000000"/>
            </w:tcBorders>
          </w:tcPr>
          <w:p>
            <w:pPr/>
          </w:p>
        </w:tc>
        <w:tc>
          <w:tcPr>
            <w:tcW w:w="1526" w:type="dxa"/>
            <w:vMerge w:val="restart"/>
          </w:tcPr>
          <w:p>
            <w:pPr/>
          </w:p>
        </w:tc>
        <w:tc>
          <w:tcPr>
            <w:tcW w:w="1416" w:type="dxa"/>
          </w:tcPr>
          <w:p>
            <w:pPr/>
          </w:p>
        </w:tc>
        <w:tc>
          <w:tcPr>
            <w:tcW w:w="3841" w:type="dxa"/>
          </w:tcPr>
          <w:p>
            <w:pPr>
              <w:pStyle w:val="TableParagraph"/>
              <w:spacing w:before="7"/>
              <w:ind w:left="281" w:right="104"/>
              <w:rPr>
                <w:sz w:val="20"/>
              </w:rPr>
            </w:pPr>
            <w:r>
              <w:rPr>
                <w:sz w:val="20"/>
              </w:rPr>
              <w:t>medio ambiente</w:t>
            </w:r>
          </w:p>
          <w:p>
            <w:pPr>
              <w:pStyle w:val="TableParagraph"/>
              <w:numPr>
                <w:ilvl w:val="0"/>
                <w:numId w:val="241"/>
              </w:numPr>
              <w:tabs>
                <w:tab w:pos="812" w:val="left" w:leader="none"/>
              </w:tabs>
              <w:spacing w:line="240" w:lineRule="auto" w:before="0" w:after="0"/>
              <w:ind w:left="281" w:right="106" w:hanging="142"/>
              <w:jc w:val="both"/>
              <w:rPr>
                <w:sz w:val="20"/>
              </w:rPr>
            </w:pPr>
            <w:r>
              <w:rPr>
                <w:sz w:val="20"/>
              </w:rPr>
              <w:t>Las instituciones sociopolíticas como El Municipio y El Ejido están interesadas en proteger el medio ambiente</w:t>
            </w:r>
          </w:p>
        </w:tc>
        <w:tc>
          <w:tcPr>
            <w:tcW w:w="1447" w:type="dxa"/>
            <w:vMerge w:val="restart"/>
          </w:tcPr>
          <w:p>
            <w:pPr/>
          </w:p>
        </w:tc>
        <w:tc>
          <w:tcPr>
            <w:tcW w:w="2108" w:type="dxa"/>
            <w:vMerge w:val="restart"/>
          </w:tcPr>
          <w:p>
            <w:pPr/>
          </w:p>
        </w:tc>
        <w:tc>
          <w:tcPr>
            <w:tcW w:w="1529" w:type="dxa"/>
            <w:vMerge w:val="restart"/>
            <w:tcBorders>
              <w:right w:val="double" w:sz="12" w:space="0" w:color="000000"/>
            </w:tcBorders>
          </w:tcPr>
          <w:p>
            <w:pPr>
              <w:pStyle w:val="TableParagraph"/>
              <w:ind w:left="0" w:right="-50"/>
              <w:rPr>
                <w:rFonts w:ascii="Times New Roman"/>
                <w:sz w:val="20"/>
              </w:rPr>
            </w:pPr>
            <w:r>
              <w:rPr>
                <w:rFonts w:ascii="Times New Roman"/>
                <w:sz w:val="20"/>
              </w:rPr>
              <w:pict>
                <v:group style="width:74.05pt;height:346.05pt;mso-position-horizontal-relative:char;mso-position-vertical-relative:line" coordorigin="0,0" coordsize="1481,6921">
                  <v:shape style="position:absolute;left:0;top:0;width:1481;height:1150" type="#_x0000_t75" stroked="false">
                    <v:imagedata r:id="rId478" o:title=""/>
                  </v:shape>
                  <v:shape style="position:absolute;left:0;top:1150;width:1481;height:2081" type="#_x0000_t75" stroked="false">
                    <v:imagedata r:id="rId479" o:title=""/>
                  </v:shape>
                  <v:shape style="position:absolute;left:0;top:3231;width:1481;height:3689" type="#_x0000_t75" stroked="false">
                    <v:imagedata r:id="rId480" o:title=""/>
                  </v:shape>
                </v:group>
              </w:pict>
            </w:r>
            <w:r>
              <w:rPr>
                <w:rFonts w:ascii="Times New Roman"/>
                <w:sz w:val="20"/>
              </w:rPr>
            </w:r>
          </w:p>
        </w:tc>
      </w:tr>
      <w:tr>
        <w:trPr>
          <w:trHeight w:val="2081"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27" w:lineRule="exact"/>
              <w:rPr>
                <w:sz w:val="20"/>
              </w:rPr>
            </w:pPr>
            <w:r>
              <w:rPr>
                <w:sz w:val="20"/>
              </w:rPr>
              <w:t>Económico</w:t>
            </w:r>
          </w:p>
        </w:tc>
        <w:tc>
          <w:tcPr>
            <w:tcW w:w="3841" w:type="dxa"/>
          </w:tcPr>
          <w:p>
            <w:pPr>
              <w:pStyle w:val="TableParagraph"/>
              <w:numPr>
                <w:ilvl w:val="0"/>
                <w:numId w:val="242"/>
              </w:numPr>
              <w:tabs>
                <w:tab w:pos="812" w:val="left" w:leader="none"/>
              </w:tabs>
              <w:spacing w:line="240" w:lineRule="auto" w:before="0" w:after="0"/>
              <w:ind w:left="281" w:right="105" w:hanging="142"/>
              <w:jc w:val="both"/>
              <w:rPr>
                <w:sz w:val="20"/>
              </w:rPr>
            </w:pPr>
            <w:r>
              <w:rPr>
                <w:sz w:val="20"/>
              </w:rPr>
              <w:t>Existe una dependencia económica de los recursos naturales por parte de los actores de la</w:t>
            </w:r>
            <w:r>
              <w:rPr>
                <w:spacing w:val="-11"/>
                <w:sz w:val="20"/>
              </w:rPr>
              <w:t> </w:t>
            </w:r>
            <w:r>
              <w:rPr>
                <w:sz w:val="20"/>
              </w:rPr>
              <w:t>CHPH</w:t>
            </w:r>
          </w:p>
          <w:p>
            <w:pPr>
              <w:pStyle w:val="TableParagraph"/>
              <w:numPr>
                <w:ilvl w:val="0"/>
                <w:numId w:val="242"/>
              </w:numPr>
              <w:tabs>
                <w:tab w:pos="812" w:val="left" w:leader="none"/>
              </w:tabs>
              <w:spacing w:line="240" w:lineRule="auto" w:before="0" w:after="0"/>
              <w:ind w:left="281" w:right="105" w:hanging="142"/>
              <w:jc w:val="both"/>
              <w:rPr>
                <w:sz w:val="20"/>
              </w:rPr>
            </w:pPr>
            <w:r>
              <w:rPr>
                <w:sz w:val="20"/>
              </w:rPr>
              <w:t>La agricultura y la ganadería son la ventaja comparativa histórica de la CHPH</w:t>
            </w:r>
          </w:p>
          <w:p>
            <w:pPr>
              <w:pStyle w:val="TableParagraph"/>
              <w:numPr>
                <w:ilvl w:val="0"/>
                <w:numId w:val="242"/>
              </w:numPr>
              <w:tabs>
                <w:tab w:pos="812" w:val="left" w:leader="none"/>
              </w:tabs>
              <w:spacing w:line="240" w:lineRule="auto" w:before="0" w:after="0"/>
              <w:ind w:left="281" w:right="102" w:hanging="142"/>
              <w:jc w:val="both"/>
              <w:rPr>
                <w:sz w:val="20"/>
              </w:rPr>
            </w:pPr>
            <w:r>
              <w:rPr>
                <w:sz w:val="20"/>
              </w:rPr>
              <w:t>Existen grupos económicos consolidados a través de la historia en la</w:t>
            </w:r>
            <w:r>
              <w:rPr>
                <w:spacing w:val="-5"/>
                <w:sz w:val="20"/>
              </w:rPr>
              <w:t> </w:t>
            </w:r>
            <w:r>
              <w:rPr>
                <w:sz w:val="20"/>
              </w:rPr>
              <w:t>CHPH</w:t>
            </w:r>
          </w:p>
        </w:tc>
        <w:tc>
          <w:tcPr>
            <w:tcW w:w="1447" w:type="dxa"/>
            <w:vMerge/>
          </w:tcPr>
          <w:p>
            <w:pPr/>
          </w:p>
        </w:tc>
        <w:tc>
          <w:tcPr>
            <w:tcW w:w="2108" w:type="dxa"/>
            <w:vMerge/>
          </w:tcPr>
          <w:p>
            <w:pPr/>
          </w:p>
        </w:tc>
        <w:tc>
          <w:tcPr>
            <w:tcW w:w="1529" w:type="dxa"/>
            <w:vMerge/>
            <w:tcBorders>
              <w:right w:val="double" w:sz="12" w:space="0" w:color="000000"/>
            </w:tcBorders>
          </w:tcPr>
          <w:p>
            <w:pPr/>
          </w:p>
        </w:tc>
      </w:tr>
      <w:tr>
        <w:trPr>
          <w:trHeight w:val="3689"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27" w:lineRule="exact"/>
              <w:rPr>
                <w:sz w:val="20"/>
              </w:rPr>
            </w:pPr>
            <w:r>
              <w:rPr>
                <w:sz w:val="20"/>
              </w:rPr>
              <w:t>Sociopolítico</w:t>
            </w:r>
          </w:p>
        </w:tc>
        <w:tc>
          <w:tcPr>
            <w:tcW w:w="3841" w:type="dxa"/>
          </w:tcPr>
          <w:p>
            <w:pPr>
              <w:pStyle w:val="TableParagraph"/>
              <w:numPr>
                <w:ilvl w:val="0"/>
                <w:numId w:val="243"/>
              </w:numPr>
              <w:tabs>
                <w:tab w:pos="812" w:val="left" w:leader="none"/>
              </w:tabs>
              <w:spacing w:line="240" w:lineRule="auto" w:before="0" w:after="0"/>
              <w:ind w:left="281" w:right="105" w:hanging="142"/>
              <w:jc w:val="both"/>
              <w:rPr>
                <w:sz w:val="20"/>
              </w:rPr>
            </w:pPr>
            <w:r>
              <w:rPr>
                <w:sz w:val="20"/>
              </w:rPr>
              <w:t>Las instituciones políticas  que se han creado a través del tiempo como El Municipio y El Ejido  favorecen la articulación social en la CHPH</w:t>
            </w:r>
          </w:p>
          <w:p>
            <w:pPr>
              <w:pStyle w:val="TableParagraph"/>
              <w:numPr>
                <w:ilvl w:val="0"/>
                <w:numId w:val="243"/>
              </w:numPr>
              <w:tabs>
                <w:tab w:pos="812" w:val="left" w:leader="none"/>
              </w:tabs>
              <w:spacing w:line="240" w:lineRule="auto" w:before="0" w:after="0"/>
              <w:ind w:left="281" w:right="102" w:hanging="142"/>
              <w:jc w:val="both"/>
              <w:rPr>
                <w:sz w:val="20"/>
              </w:rPr>
            </w:pPr>
            <w:r>
              <w:rPr>
                <w:sz w:val="20"/>
              </w:rPr>
              <w:t>Las autoridades auxiliares son producto de las estructuras históricas consolidadas</w:t>
            </w:r>
          </w:p>
          <w:p>
            <w:pPr>
              <w:pStyle w:val="TableParagraph"/>
              <w:numPr>
                <w:ilvl w:val="0"/>
                <w:numId w:val="243"/>
              </w:numPr>
              <w:tabs>
                <w:tab w:pos="812" w:val="left" w:leader="none"/>
              </w:tabs>
              <w:spacing w:line="240" w:lineRule="auto" w:before="0" w:after="0"/>
              <w:ind w:left="281" w:right="105" w:hanging="142"/>
              <w:jc w:val="both"/>
              <w:rPr>
                <w:sz w:val="20"/>
              </w:rPr>
            </w:pPr>
            <w:r>
              <w:rPr>
                <w:sz w:val="20"/>
              </w:rPr>
              <w:t>La CHPH es producto de la articulación de eventos históricos en la región</w:t>
            </w:r>
          </w:p>
          <w:p>
            <w:pPr>
              <w:pStyle w:val="TableParagraph"/>
              <w:numPr>
                <w:ilvl w:val="0"/>
                <w:numId w:val="243"/>
              </w:numPr>
              <w:tabs>
                <w:tab w:pos="463" w:val="left" w:leader="none"/>
                <w:tab w:pos="464" w:val="left" w:leader="none"/>
              </w:tabs>
              <w:spacing w:line="240" w:lineRule="auto"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243"/>
              </w:numPr>
              <w:tabs>
                <w:tab w:pos="463" w:val="left" w:leader="none"/>
                <w:tab w:pos="464" w:val="left" w:leader="none"/>
              </w:tabs>
              <w:spacing w:line="240" w:lineRule="auto"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243"/>
              </w:numPr>
              <w:tabs>
                <w:tab w:pos="463" w:val="left" w:leader="none"/>
                <w:tab w:pos="464" w:val="left" w:leader="none"/>
              </w:tabs>
              <w:spacing w:line="240" w:lineRule="auto"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243"/>
              </w:numPr>
              <w:tabs>
                <w:tab w:pos="463" w:val="left" w:leader="none"/>
                <w:tab w:pos="464" w:val="left" w:leader="none"/>
              </w:tabs>
              <w:spacing w:line="240" w:lineRule="auto" w:before="0" w:after="0"/>
              <w:ind w:left="463" w:right="107" w:hanging="360"/>
              <w:jc w:val="left"/>
              <w:rPr>
                <w:sz w:val="20"/>
              </w:rPr>
            </w:pPr>
            <w:r>
              <w:rPr>
                <w:sz w:val="20"/>
              </w:rPr>
              <w:t>Existe planeación sociopolítica con articulación entre</w:t>
            </w:r>
            <w:r>
              <w:rPr>
                <w:spacing w:val="-10"/>
                <w:sz w:val="20"/>
              </w:rPr>
              <w:t> </w:t>
            </w:r>
            <w:r>
              <w:rPr>
                <w:sz w:val="20"/>
              </w:rPr>
              <w:t>actores</w:t>
            </w:r>
          </w:p>
        </w:tc>
        <w:tc>
          <w:tcPr>
            <w:tcW w:w="1447" w:type="dxa"/>
            <w:vMerge/>
          </w:tcPr>
          <w:p>
            <w:pPr/>
          </w:p>
        </w:tc>
        <w:tc>
          <w:tcPr>
            <w:tcW w:w="2108" w:type="dxa"/>
            <w:vMerge/>
          </w:tcPr>
          <w:p>
            <w:pPr/>
          </w:p>
        </w:tc>
        <w:tc>
          <w:tcPr>
            <w:tcW w:w="1529" w:type="dxa"/>
            <w:vMerge/>
            <w:tcBorders>
              <w:right w:val="double" w:sz="12" w:space="0" w:color="000000"/>
            </w:tcBorders>
          </w:tcPr>
          <w:p>
            <w:pPr/>
          </w:p>
        </w:tc>
      </w:tr>
      <w:tr>
        <w:trPr>
          <w:trHeight w:val="1851" w:hRule="exact"/>
        </w:trPr>
        <w:tc>
          <w:tcPr>
            <w:tcW w:w="954" w:type="dxa"/>
            <w:tcBorders>
              <w:left w:val="double" w:sz="11" w:space="0" w:color="000000"/>
              <w:bottom w:val="single" w:sz="8" w:space="0" w:color="000000"/>
            </w:tcBorders>
          </w:tcPr>
          <w:p>
            <w:pPr/>
          </w:p>
        </w:tc>
        <w:tc>
          <w:tcPr>
            <w:tcW w:w="1526" w:type="dxa"/>
            <w:tcBorders>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29"/>
              </w:rPr>
            </w:pPr>
          </w:p>
          <w:p>
            <w:pPr>
              <w:pStyle w:val="TableParagraph"/>
              <w:ind w:left="0" w:right="2"/>
              <w:jc w:val="center"/>
              <w:rPr>
                <w:b/>
                <w:sz w:val="20"/>
              </w:rPr>
            </w:pPr>
            <w:r>
              <w:rPr>
                <w:b/>
                <w:w w:val="99"/>
                <w:sz w:val="20"/>
              </w:rPr>
              <w:t>1</w:t>
            </w:r>
          </w:p>
        </w:tc>
        <w:tc>
          <w:tcPr>
            <w:tcW w:w="1416" w:type="dxa"/>
            <w:tcBorders>
              <w:bottom w:val="single" w:sz="8" w:space="0" w:color="000000"/>
            </w:tcBorders>
          </w:tcPr>
          <w:p>
            <w:pPr>
              <w:pStyle w:val="TableParagraph"/>
              <w:spacing w:line="227" w:lineRule="exact"/>
              <w:rPr>
                <w:sz w:val="20"/>
              </w:rPr>
            </w:pPr>
            <w:r>
              <w:rPr>
                <w:sz w:val="20"/>
              </w:rPr>
              <w:t>Ambiental</w:t>
            </w:r>
          </w:p>
        </w:tc>
        <w:tc>
          <w:tcPr>
            <w:tcW w:w="3841" w:type="dxa"/>
            <w:tcBorders>
              <w:bottom w:val="single" w:sz="8" w:space="0" w:color="000000"/>
            </w:tcBorders>
          </w:tcPr>
          <w:p>
            <w:pPr>
              <w:pStyle w:val="TableParagraph"/>
              <w:numPr>
                <w:ilvl w:val="0"/>
                <w:numId w:val="244"/>
              </w:numPr>
              <w:tabs>
                <w:tab w:pos="812" w:val="left" w:leader="none"/>
              </w:tabs>
              <w:spacing w:line="240" w:lineRule="auto" w:before="0" w:after="0"/>
              <w:ind w:left="281" w:right="104" w:hanging="142"/>
              <w:jc w:val="both"/>
              <w:rPr>
                <w:sz w:val="20"/>
              </w:rPr>
            </w:pPr>
            <w:r>
              <w:rPr>
                <w:sz w:val="20"/>
              </w:rPr>
              <w:t>Existe relación entre agua- ambiente-sociedad</w:t>
            </w:r>
          </w:p>
          <w:p>
            <w:pPr>
              <w:pStyle w:val="TableParagraph"/>
              <w:numPr>
                <w:ilvl w:val="0"/>
                <w:numId w:val="244"/>
              </w:numPr>
              <w:tabs>
                <w:tab w:pos="812" w:val="left" w:leader="none"/>
              </w:tabs>
              <w:spacing w:line="240" w:lineRule="auto" w:before="0" w:after="0"/>
              <w:ind w:left="281" w:right="105" w:hanging="142"/>
              <w:jc w:val="both"/>
              <w:rPr>
                <w:sz w:val="20"/>
              </w:rPr>
            </w:pPr>
            <w:r>
              <w:rPr>
                <w:sz w:val="20"/>
              </w:rPr>
              <w:t>Existen instituciones para proteger el medio</w:t>
            </w:r>
            <w:r>
              <w:rPr>
                <w:spacing w:val="-6"/>
                <w:sz w:val="20"/>
              </w:rPr>
              <w:t> </w:t>
            </w:r>
            <w:r>
              <w:rPr>
                <w:sz w:val="20"/>
              </w:rPr>
              <w:t>ambiente</w:t>
            </w:r>
          </w:p>
          <w:p>
            <w:pPr>
              <w:pStyle w:val="TableParagraph"/>
              <w:numPr>
                <w:ilvl w:val="0"/>
                <w:numId w:val="244"/>
              </w:numPr>
              <w:tabs>
                <w:tab w:pos="812" w:val="left" w:leader="none"/>
              </w:tabs>
              <w:spacing w:line="240" w:lineRule="auto" w:before="0" w:after="0"/>
              <w:ind w:left="281" w:right="106" w:hanging="142"/>
              <w:jc w:val="both"/>
              <w:rPr>
                <w:sz w:val="20"/>
              </w:rPr>
            </w:pPr>
            <w:r>
              <w:rPr>
                <w:sz w:val="20"/>
              </w:rPr>
              <w:t>Existe conciencia o interés en los actores históricos para cuidar el medio</w:t>
            </w:r>
            <w:r>
              <w:rPr>
                <w:spacing w:val="-5"/>
                <w:sz w:val="20"/>
              </w:rPr>
              <w:t> </w:t>
            </w:r>
            <w:r>
              <w:rPr>
                <w:sz w:val="20"/>
              </w:rPr>
              <w:t>ambiente</w:t>
            </w:r>
          </w:p>
          <w:p>
            <w:pPr>
              <w:pStyle w:val="TableParagraph"/>
              <w:numPr>
                <w:ilvl w:val="0"/>
                <w:numId w:val="244"/>
              </w:numPr>
              <w:tabs>
                <w:tab w:pos="811" w:val="left" w:leader="none"/>
                <w:tab w:pos="812" w:val="left" w:leader="none"/>
              </w:tabs>
              <w:spacing w:line="240" w:lineRule="auto" w:before="0" w:after="0"/>
              <w:ind w:left="811" w:right="0" w:hanging="672"/>
              <w:jc w:val="left"/>
              <w:rPr>
                <w:sz w:val="20"/>
              </w:rPr>
            </w:pPr>
            <w:r>
              <w:rPr>
                <w:sz w:val="20"/>
              </w:rPr>
              <w:t>Las   instituciones </w:t>
            </w:r>
            <w:r>
              <w:rPr>
                <w:spacing w:val="1"/>
                <w:sz w:val="20"/>
              </w:rPr>
              <w:t> </w:t>
            </w:r>
            <w:r>
              <w:rPr>
                <w:sz w:val="20"/>
              </w:rPr>
              <w:t>sociopolíticas</w:t>
            </w:r>
          </w:p>
        </w:tc>
        <w:tc>
          <w:tcPr>
            <w:tcW w:w="1447" w:type="dxa"/>
            <w:tcBorders>
              <w:bottom w:val="single" w:sz="8" w:space="0" w:color="000000"/>
            </w:tcBorders>
          </w:tcPr>
          <w:p>
            <w:pPr/>
          </w:p>
        </w:tc>
        <w:tc>
          <w:tcPr>
            <w:tcW w:w="2108" w:type="dxa"/>
            <w:tcBorders>
              <w:bottom w:val="single" w:sz="8" w:space="0" w:color="000000"/>
            </w:tcBorders>
          </w:tcPr>
          <w:p>
            <w:pPr>
              <w:pStyle w:val="TableParagraph"/>
              <w:tabs>
                <w:tab w:pos="1624" w:val="left" w:leader="none"/>
              </w:tabs>
              <w:ind w:left="100" w:right="106"/>
              <w:jc w:val="both"/>
              <w:rPr>
                <w:b/>
                <w:sz w:val="20"/>
              </w:rPr>
            </w:pPr>
            <w:r>
              <w:rPr>
                <w:sz w:val="20"/>
              </w:rPr>
              <w:t>Debe reunir </w:t>
            </w:r>
            <w:r>
              <w:rPr>
                <w:b/>
                <w:sz w:val="20"/>
              </w:rPr>
              <w:t>al menos el 50% una de</w:t>
              <w:tab/>
              <w:t>tres</w:t>
            </w:r>
          </w:p>
          <w:p>
            <w:pPr>
              <w:pStyle w:val="TableParagraph"/>
              <w:spacing w:before="3"/>
              <w:ind w:left="100" w:right="108"/>
              <w:jc w:val="both"/>
              <w:rPr>
                <w:sz w:val="20"/>
              </w:rPr>
            </w:pPr>
            <w:r>
              <w:rPr>
                <w:sz w:val="20"/>
              </w:rPr>
              <w:t>características de impacto positivo</w:t>
            </w:r>
          </w:p>
        </w:tc>
        <w:tc>
          <w:tcPr>
            <w:tcW w:w="1529" w:type="dxa"/>
            <w:tcBorders>
              <w:bottom w:val="single" w:sz="8" w:space="0" w:color="000000"/>
              <w:right w:val="double" w:sz="12" w:space="0" w:color="000000"/>
            </w:tcBorders>
            <w:shd w:val="clear" w:color="auto" w:fill="FFFF00"/>
          </w:tcPr>
          <w:p>
            <w:pPr>
              <w:pStyle w:val="TableParagraph"/>
              <w:spacing w:before="7"/>
              <w:ind w:left="0"/>
              <w:rPr>
                <w:rFonts w:ascii="Times New Roman"/>
                <w:sz w:val="19"/>
              </w:rPr>
            </w:pPr>
          </w:p>
          <w:p>
            <w:pPr>
              <w:pStyle w:val="TableParagraph"/>
              <w:ind w:left="367"/>
              <w:rPr>
                <w:b/>
                <w:sz w:val="20"/>
              </w:rPr>
            </w:pPr>
            <w:r>
              <w:rPr>
                <w:b/>
                <w:sz w:val="20"/>
              </w:rPr>
              <w:t>Regular</w:t>
            </w:r>
          </w:p>
        </w:tc>
      </w:tr>
    </w:tbl>
    <w:p>
      <w:pPr>
        <w:spacing w:after="0"/>
        <w:rPr>
          <w:sz w:val="20"/>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6"/>
        <w:gridCol w:w="3841"/>
        <w:gridCol w:w="1447"/>
        <w:gridCol w:w="2108"/>
        <w:gridCol w:w="1529"/>
      </w:tblGrid>
      <w:tr>
        <w:trPr>
          <w:trHeight w:val="710" w:hRule="exact"/>
        </w:trPr>
        <w:tc>
          <w:tcPr>
            <w:tcW w:w="954" w:type="dxa"/>
            <w:vMerge w:val="restart"/>
            <w:tcBorders>
              <w:left w:val="double" w:sz="11" w:space="0" w:color="000000"/>
            </w:tcBorders>
          </w:tcPr>
          <w:p>
            <w:pPr/>
          </w:p>
        </w:tc>
        <w:tc>
          <w:tcPr>
            <w:tcW w:w="1526" w:type="dxa"/>
            <w:vMerge w:val="restart"/>
          </w:tcPr>
          <w:p>
            <w:pPr/>
          </w:p>
        </w:tc>
        <w:tc>
          <w:tcPr>
            <w:tcW w:w="1416" w:type="dxa"/>
          </w:tcPr>
          <w:p>
            <w:pPr/>
          </w:p>
        </w:tc>
        <w:tc>
          <w:tcPr>
            <w:tcW w:w="3841" w:type="dxa"/>
          </w:tcPr>
          <w:p>
            <w:pPr>
              <w:pStyle w:val="TableParagraph"/>
              <w:spacing w:before="7"/>
              <w:ind w:left="281" w:right="105"/>
              <w:jc w:val="both"/>
              <w:rPr>
                <w:sz w:val="20"/>
              </w:rPr>
            </w:pPr>
            <w:r>
              <w:rPr>
                <w:sz w:val="20"/>
              </w:rPr>
              <w:t>como El Municipio y El Ejido están interesadas en proteger el medio ambiente</w:t>
            </w:r>
          </w:p>
        </w:tc>
        <w:tc>
          <w:tcPr>
            <w:tcW w:w="1447" w:type="dxa"/>
            <w:vMerge w:val="restart"/>
          </w:tcPr>
          <w:p>
            <w:pPr/>
          </w:p>
        </w:tc>
        <w:tc>
          <w:tcPr>
            <w:tcW w:w="2108" w:type="dxa"/>
            <w:vMerge w:val="restart"/>
          </w:tcPr>
          <w:p>
            <w:pPr/>
          </w:p>
        </w:tc>
        <w:tc>
          <w:tcPr>
            <w:tcW w:w="1529" w:type="dxa"/>
            <w:vMerge w:val="restart"/>
            <w:tcBorders>
              <w:right w:val="double" w:sz="12" w:space="0" w:color="000000"/>
            </w:tcBorders>
            <w:shd w:val="clear" w:color="auto" w:fill="FFFF00"/>
          </w:tcPr>
          <w:p>
            <w:pPr/>
          </w:p>
        </w:tc>
      </w:tr>
      <w:tr>
        <w:trPr>
          <w:trHeight w:val="2309"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27" w:lineRule="exact"/>
              <w:rPr>
                <w:sz w:val="20"/>
              </w:rPr>
            </w:pPr>
            <w:r>
              <w:rPr>
                <w:sz w:val="20"/>
              </w:rPr>
              <w:t>Económico</w:t>
            </w:r>
          </w:p>
        </w:tc>
        <w:tc>
          <w:tcPr>
            <w:tcW w:w="3841" w:type="dxa"/>
          </w:tcPr>
          <w:p>
            <w:pPr>
              <w:pStyle w:val="TableParagraph"/>
              <w:numPr>
                <w:ilvl w:val="0"/>
                <w:numId w:val="245"/>
              </w:numPr>
              <w:tabs>
                <w:tab w:pos="812" w:val="left" w:leader="none"/>
              </w:tabs>
              <w:spacing w:line="240" w:lineRule="auto" w:before="0" w:after="0"/>
              <w:ind w:left="281" w:right="105" w:hanging="142"/>
              <w:jc w:val="both"/>
              <w:rPr>
                <w:sz w:val="20"/>
              </w:rPr>
            </w:pPr>
            <w:r>
              <w:rPr>
                <w:sz w:val="20"/>
              </w:rPr>
              <w:t>Existe una dependencia económica de los recursos naturales por parte de los actores de la</w:t>
            </w:r>
            <w:r>
              <w:rPr>
                <w:spacing w:val="-9"/>
                <w:sz w:val="20"/>
              </w:rPr>
              <w:t> </w:t>
            </w:r>
            <w:r>
              <w:rPr>
                <w:sz w:val="20"/>
              </w:rPr>
              <w:t>CHPH</w:t>
            </w:r>
          </w:p>
          <w:p>
            <w:pPr>
              <w:pStyle w:val="TableParagraph"/>
              <w:numPr>
                <w:ilvl w:val="0"/>
                <w:numId w:val="245"/>
              </w:numPr>
              <w:tabs>
                <w:tab w:pos="812" w:val="left" w:leader="none"/>
              </w:tabs>
              <w:spacing w:line="240" w:lineRule="auto" w:before="0" w:after="0"/>
              <w:ind w:left="281" w:right="105" w:hanging="142"/>
              <w:jc w:val="both"/>
              <w:rPr>
                <w:sz w:val="20"/>
              </w:rPr>
            </w:pPr>
            <w:r>
              <w:rPr>
                <w:sz w:val="20"/>
              </w:rPr>
              <w:t>La agricultura y la ganadería son la ventaja comparativa histórica de la CHPH</w:t>
            </w:r>
          </w:p>
          <w:p>
            <w:pPr>
              <w:pStyle w:val="TableParagraph"/>
              <w:numPr>
                <w:ilvl w:val="0"/>
                <w:numId w:val="245"/>
              </w:numPr>
              <w:tabs>
                <w:tab w:pos="812" w:val="left" w:leader="none"/>
              </w:tabs>
              <w:spacing w:line="240" w:lineRule="auto" w:before="1" w:after="0"/>
              <w:ind w:left="281" w:right="102" w:hanging="142"/>
              <w:jc w:val="both"/>
              <w:rPr>
                <w:sz w:val="20"/>
              </w:rPr>
            </w:pPr>
            <w:r>
              <w:rPr>
                <w:sz w:val="20"/>
              </w:rPr>
              <w:t>Existen grupos económicos consolidados a través de la historia en la</w:t>
            </w:r>
            <w:r>
              <w:rPr>
                <w:spacing w:val="-5"/>
                <w:sz w:val="20"/>
              </w:rPr>
              <w:t> </w:t>
            </w:r>
            <w:r>
              <w:rPr>
                <w:sz w:val="20"/>
              </w:rPr>
              <w:t>CHPH</w:t>
            </w:r>
          </w:p>
        </w:tc>
        <w:tc>
          <w:tcPr>
            <w:tcW w:w="1447" w:type="dxa"/>
            <w:vMerge/>
          </w:tcPr>
          <w:p>
            <w:pPr/>
          </w:p>
        </w:tc>
        <w:tc>
          <w:tcPr>
            <w:tcW w:w="2108" w:type="dxa"/>
            <w:vMerge/>
          </w:tcPr>
          <w:p>
            <w:pPr/>
          </w:p>
        </w:tc>
        <w:tc>
          <w:tcPr>
            <w:tcW w:w="1529" w:type="dxa"/>
            <w:vMerge/>
            <w:tcBorders>
              <w:right w:val="double" w:sz="12" w:space="0" w:color="000000"/>
            </w:tcBorders>
            <w:shd w:val="clear" w:color="auto" w:fill="FFFF00"/>
          </w:tcPr>
          <w:p>
            <w:pPr/>
          </w:p>
        </w:tc>
      </w:tr>
      <w:tr>
        <w:trPr>
          <w:trHeight w:val="3701" w:hRule="exact"/>
        </w:trPr>
        <w:tc>
          <w:tcPr>
            <w:tcW w:w="954" w:type="dxa"/>
            <w:vMerge/>
            <w:tcBorders>
              <w:left w:val="double" w:sz="11" w:space="0" w:color="000000"/>
              <w:bottom w:val="single" w:sz="8" w:space="0" w:color="000000"/>
            </w:tcBorders>
          </w:tcPr>
          <w:p>
            <w:pPr/>
          </w:p>
        </w:tc>
        <w:tc>
          <w:tcPr>
            <w:tcW w:w="1526" w:type="dxa"/>
            <w:vMerge/>
            <w:tcBorders>
              <w:bottom w:val="single" w:sz="8" w:space="0" w:color="000000"/>
            </w:tcBorders>
          </w:tcPr>
          <w:p>
            <w:pPr/>
          </w:p>
        </w:tc>
        <w:tc>
          <w:tcPr>
            <w:tcW w:w="1416" w:type="dxa"/>
            <w:tcBorders>
              <w:bottom w:val="single" w:sz="8" w:space="0" w:color="000000"/>
            </w:tcBorders>
          </w:tcPr>
          <w:p>
            <w:pPr>
              <w:pStyle w:val="TableParagraph"/>
              <w:spacing w:line="227" w:lineRule="exact"/>
              <w:rPr>
                <w:sz w:val="20"/>
              </w:rPr>
            </w:pPr>
            <w:r>
              <w:rPr>
                <w:sz w:val="20"/>
              </w:rPr>
              <w:t>Sociopolítico</w:t>
            </w:r>
          </w:p>
        </w:tc>
        <w:tc>
          <w:tcPr>
            <w:tcW w:w="3841" w:type="dxa"/>
            <w:tcBorders>
              <w:bottom w:val="single" w:sz="8" w:space="0" w:color="000000"/>
            </w:tcBorders>
          </w:tcPr>
          <w:p>
            <w:pPr>
              <w:pStyle w:val="TableParagraph"/>
              <w:numPr>
                <w:ilvl w:val="0"/>
                <w:numId w:val="246"/>
              </w:numPr>
              <w:tabs>
                <w:tab w:pos="812" w:val="left" w:leader="none"/>
              </w:tabs>
              <w:spacing w:line="240" w:lineRule="auto" w:before="0" w:after="0"/>
              <w:ind w:left="281" w:right="103" w:hanging="142"/>
              <w:jc w:val="both"/>
              <w:rPr>
                <w:sz w:val="20"/>
              </w:rPr>
            </w:pPr>
            <w:r>
              <w:rPr>
                <w:sz w:val="20"/>
              </w:rPr>
              <w:t>Las instituciones políticas  que se han creado a través del tiempo como El Municipio y El Ejido  favorecen la articulación social en la CHPH</w:t>
            </w:r>
          </w:p>
          <w:p>
            <w:pPr>
              <w:pStyle w:val="TableParagraph"/>
              <w:numPr>
                <w:ilvl w:val="0"/>
                <w:numId w:val="246"/>
              </w:numPr>
              <w:tabs>
                <w:tab w:pos="812" w:val="left" w:leader="none"/>
              </w:tabs>
              <w:spacing w:line="240" w:lineRule="auto" w:before="0" w:after="0"/>
              <w:ind w:left="281" w:right="103" w:hanging="142"/>
              <w:jc w:val="both"/>
              <w:rPr>
                <w:sz w:val="20"/>
              </w:rPr>
            </w:pPr>
            <w:r>
              <w:rPr>
                <w:sz w:val="20"/>
              </w:rPr>
              <w:t>Las autoridades auxiliares son producto de las estructuras históricas consolidadas</w:t>
            </w:r>
          </w:p>
          <w:p>
            <w:pPr>
              <w:pStyle w:val="TableParagraph"/>
              <w:numPr>
                <w:ilvl w:val="0"/>
                <w:numId w:val="246"/>
              </w:numPr>
              <w:tabs>
                <w:tab w:pos="812" w:val="left" w:leader="none"/>
              </w:tabs>
              <w:spacing w:line="240" w:lineRule="auto" w:before="0" w:after="0"/>
              <w:ind w:left="281" w:right="105" w:hanging="142"/>
              <w:jc w:val="both"/>
              <w:rPr>
                <w:sz w:val="20"/>
              </w:rPr>
            </w:pPr>
            <w:r>
              <w:rPr>
                <w:sz w:val="20"/>
              </w:rPr>
              <w:t>La CHPH es producto de la articulación de eventos históricos en la región</w:t>
            </w:r>
          </w:p>
          <w:p>
            <w:pPr>
              <w:pStyle w:val="TableParagraph"/>
              <w:numPr>
                <w:ilvl w:val="0"/>
                <w:numId w:val="246"/>
              </w:numPr>
              <w:tabs>
                <w:tab w:pos="463" w:val="left" w:leader="none"/>
                <w:tab w:pos="464" w:val="left" w:leader="none"/>
              </w:tabs>
              <w:spacing w:line="240" w:lineRule="auto"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246"/>
              </w:numPr>
              <w:tabs>
                <w:tab w:pos="463" w:val="left" w:leader="none"/>
                <w:tab w:pos="464" w:val="left" w:leader="none"/>
              </w:tabs>
              <w:spacing w:line="240" w:lineRule="auto" w:before="0" w:after="0"/>
              <w:ind w:left="463" w:right="0" w:hanging="360"/>
              <w:jc w:val="left"/>
              <w:rPr>
                <w:sz w:val="20"/>
              </w:rPr>
            </w:pPr>
            <w:r>
              <w:rPr>
                <w:sz w:val="20"/>
              </w:rPr>
              <w:t>Favorece la</w:t>
            </w:r>
            <w:r>
              <w:rPr>
                <w:spacing w:val="-11"/>
                <w:sz w:val="20"/>
              </w:rPr>
              <w:t> </w:t>
            </w:r>
            <w:r>
              <w:rPr>
                <w:sz w:val="20"/>
              </w:rPr>
              <w:t>gobernanza</w:t>
            </w:r>
          </w:p>
          <w:p>
            <w:pPr>
              <w:pStyle w:val="TableParagraph"/>
              <w:numPr>
                <w:ilvl w:val="0"/>
                <w:numId w:val="246"/>
              </w:numPr>
              <w:tabs>
                <w:tab w:pos="463" w:val="left" w:leader="none"/>
                <w:tab w:pos="464" w:val="left" w:leader="none"/>
              </w:tabs>
              <w:spacing w:line="240" w:lineRule="auto"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246"/>
              </w:numPr>
              <w:tabs>
                <w:tab w:pos="463" w:val="left" w:leader="none"/>
                <w:tab w:pos="464" w:val="left" w:leader="none"/>
              </w:tabs>
              <w:spacing w:line="240" w:lineRule="auto" w:before="0" w:after="0"/>
              <w:ind w:left="463" w:right="107" w:hanging="360"/>
              <w:jc w:val="left"/>
              <w:rPr>
                <w:sz w:val="20"/>
              </w:rPr>
            </w:pPr>
            <w:r>
              <w:rPr>
                <w:sz w:val="20"/>
              </w:rPr>
              <w:t>Existe planeación sociopolítica con articulación entre</w:t>
            </w:r>
            <w:r>
              <w:rPr>
                <w:spacing w:val="-11"/>
                <w:sz w:val="20"/>
              </w:rPr>
              <w:t> </w:t>
            </w:r>
            <w:r>
              <w:rPr>
                <w:sz w:val="20"/>
              </w:rPr>
              <w:t>actores</w:t>
            </w:r>
          </w:p>
        </w:tc>
        <w:tc>
          <w:tcPr>
            <w:tcW w:w="1447" w:type="dxa"/>
            <w:vMerge/>
            <w:tcBorders>
              <w:bottom w:val="single" w:sz="8" w:space="0" w:color="000000"/>
            </w:tcBorders>
          </w:tcPr>
          <w:p>
            <w:pPr/>
          </w:p>
        </w:tc>
        <w:tc>
          <w:tcPr>
            <w:tcW w:w="2108" w:type="dxa"/>
            <w:vMerge/>
            <w:tcBorders>
              <w:bottom w:val="single" w:sz="8" w:space="0" w:color="000000"/>
            </w:tcBorders>
          </w:tcPr>
          <w:p>
            <w:pPr/>
          </w:p>
        </w:tc>
        <w:tc>
          <w:tcPr>
            <w:tcW w:w="1529" w:type="dxa"/>
            <w:vMerge/>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6"/>
        <w:gridCol w:w="3841"/>
        <w:gridCol w:w="1447"/>
        <w:gridCol w:w="2108"/>
        <w:gridCol w:w="1529"/>
      </w:tblGrid>
      <w:tr>
        <w:trPr>
          <w:trHeight w:val="2739" w:hRule="exact"/>
        </w:trPr>
        <w:tc>
          <w:tcPr>
            <w:tcW w:w="954" w:type="dxa"/>
            <w:vMerge w:val="restart"/>
            <w:tcBorders>
              <w:left w:val="double" w:sz="11" w:space="0" w:color="000000"/>
            </w:tcBorders>
          </w:tcPr>
          <w:p>
            <w:pPr/>
          </w:p>
        </w:tc>
        <w:tc>
          <w:tcPr>
            <w:tcW w:w="152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9"/>
              </w:rPr>
            </w:pPr>
          </w:p>
          <w:p>
            <w:pPr>
              <w:pStyle w:val="TableParagraph"/>
              <w:ind w:left="0" w:right="2"/>
              <w:jc w:val="center"/>
              <w:rPr>
                <w:b/>
                <w:sz w:val="20"/>
              </w:rPr>
            </w:pPr>
            <w:r>
              <w:rPr>
                <w:b/>
                <w:w w:val="99"/>
                <w:sz w:val="20"/>
              </w:rPr>
              <w:t>1</w:t>
            </w:r>
          </w:p>
        </w:tc>
        <w:tc>
          <w:tcPr>
            <w:tcW w:w="1416" w:type="dxa"/>
          </w:tcPr>
          <w:p>
            <w:pPr>
              <w:pStyle w:val="TableParagraph"/>
              <w:spacing w:before="7"/>
              <w:rPr>
                <w:sz w:val="20"/>
              </w:rPr>
            </w:pPr>
            <w:r>
              <w:rPr>
                <w:sz w:val="20"/>
              </w:rPr>
              <w:t>Ambiental</w:t>
            </w:r>
          </w:p>
        </w:tc>
        <w:tc>
          <w:tcPr>
            <w:tcW w:w="3841" w:type="dxa"/>
          </w:tcPr>
          <w:p>
            <w:pPr>
              <w:pStyle w:val="TableParagraph"/>
              <w:numPr>
                <w:ilvl w:val="0"/>
                <w:numId w:val="247"/>
              </w:numPr>
              <w:tabs>
                <w:tab w:pos="866" w:val="left" w:leader="none"/>
                <w:tab w:pos="867" w:val="left" w:leader="none"/>
              </w:tabs>
              <w:spacing w:line="240" w:lineRule="auto" w:before="7" w:after="0"/>
              <w:ind w:left="281" w:right="104" w:hanging="142"/>
              <w:jc w:val="both"/>
              <w:rPr>
                <w:sz w:val="20"/>
              </w:rPr>
            </w:pPr>
            <w:r>
              <w:rPr>
                <w:sz w:val="20"/>
              </w:rPr>
              <w:t>Existe relación entre agua- ambiente-sociedad</w:t>
            </w:r>
          </w:p>
          <w:p>
            <w:pPr>
              <w:pStyle w:val="TableParagraph"/>
              <w:numPr>
                <w:ilvl w:val="0"/>
                <w:numId w:val="247"/>
              </w:numPr>
              <w:tabs>
                <w:tab w:pos="812" w:val="left" w:leader="none"/>
              </w:tabs>
              <w:spacing w:line="240" w:lineRule="auto" w:before="0" w:after="0"/>
              <w:ind w:left="281" w:right="105" w:hanging="142"/>
              <w:jc w:val="both"/>
              <w:rPr>
                <w:sz w:val="20"/>
              </w:rPr>
            </w:pPr>
            <w:r>
              <w:rPr>
                <w:sz w:val="20"/>
              </w:rPr>
              <w:t>Existen instituciones para proteger el medio</w:t>
            </w:r>
            <w:r>
              <w:rPr>
                <w:spacing w:val="-6"/>
                <w:sz w:val="20"/>
              </w:rPr>
              <w:t> </w:t>
            </w:r>
            <w:r>
              <w:rPr>
                <w:sz w:val="20"/>
              </w:rPr>
              <w:t>ambiente</w:t>
            </w:r>
          </w:p>
          <w:p>
            <w:pPr>
              <w:pStyle w:val="TableParagraph"/>
              <w:numPr>
                <w:ilvl w:val="0"/>
                <w:numId w:val="247"/>
              </w:numPr>
              <w:tabs>
                <w:tab w:pos="812" w:val="left" w:leader="none"/>
              </w:tabs>
              <w:spacing w:line="240" w:lineRule="auto" w:before="0" w:after="0"/>
              <w:ind w:left="281" w:right="104" w:hanging="142"/>
              <w:jc w:val="both"/>
              <w:rPr>
                <w:sz w:val="20"/>
              </w:rPr>
            </w:pPr>
            <w:r>
              <w:rPr>
                <w:sz w:val="20"/>
              </w:rPr>
              <w:t>Existe conciencia o interés en los actores históricos para cuidar el medio</w:t>
            </w:r>
            <w:r>
              <w:rPr>
                <w:spacing w:val="-5"/>
                <w:sz w:val="20"/>
              </w:rPr>
              <w:t> </w:t>
            </w:r>
            <w:r>
              <w:rPr>
                <w:sz w:val="20"/>
              </w:rPr>
              <w:t>ambiente</w:t>
            </w:r>
          </w:p>
          <w:p>
            <w:pPr>
              <w:pStyle w:val="TableParagraph"/>
              <w:numPr>
                <w:ilvl w:val="0"/>
                <w:numId w:val="247"/>
              </w:numPr>
              <w:tabs>
                <w:tab w:pos="812" w:val="left" w:leader="none"/>
              </w:tabs>
              <w:spacing w:line="240" w:lineRule="auto" w:before="0" w:after="0"/>
              <w:ind w:left="281" w:right="106" w:hanging="142"/>
              <w:jc w:val="both"/>
              <w:rPr>
                <w:sz w:val="20"/>
              </w:rPr>
            </w:pPr>
            <w:r>
              <w:rPr>
                <w:sz w:val="20"/>
              </w:rPr>
              <w:t>Las instituciones sociopolíticas como El Municipio y El Ejido están interesadas en proteger el medio ambiente</w:t>
            </w:r>
          </w:p>
        </w:tc>
        <w:tc>
          <w:tcPr>
            <w:tcW w:w="1447" w:type="dxa"/>
            <w:vMerge w:val="restart"/>
          </w:tcPr>
          <w:p>
            <w:pPr/>
          </w:p>
        </w:tc>
        <w:tc>
          <w:tcPr>
            <w:tcW w:w="2108" w:type="dxa"/>
            <w:vMerge w:val="restart"/>
          </w:tcPr>
          <w:p>
            <w:pPr>
              <w:pStyle w:val="TableParagraph"/>
              <w:spacing w:before="7"/>
              <w:ind w:left="100" w:right="105"/>
              <w:jc w:val="both"/>
              <w:rPr>
                <w:sz w:val="20"/>
              </w:rPr>
            </w:pPr>
            <w:r>
              <w:rPr>
                <w:sz w:val="20"/>
              </w:rPr>
              <w:t>No reúne ni el 50% en </w:t>
            </w:r>
            <w:r>
              <w:rPr>
                <w:b/>
                <w:sz w:val="20"/>
              </w:rPr>
              <w:t>ninguna </w:t>
            </w:r>
            <w:r>
              <w:rPr>
                <w:sz w:val="20"/>
              </w:rPr>
              <w:t>de las  de impacto</w:t>
            </w:r>
            <w:r>
              <w:rPr>
                <w:spacing w:val="-8"/>
                <w:sz w:val="20"/>
              </w:rPr>
              <w:t> </w:t>
            </w:r>
            <w:r>
              <w:rPr>
                <w:sz w:val="20"/>
              </w:rPr>
              <w:t>positivo</w:t>
            </w:r>
          </w:p>
        </w:tc>
        <w:tc>
          <w:tcPr>
            <w:tcW w:w="1529"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spacing w:before="5"/>
              <w:ind w:left="0"/>
              <w:rPr>
                <w:rFonts w:ascii="Times New Roman"/>
                <w:sz w:val="20"/>
              </w:rPr>
            </w:pPr>
          </w:p>
          <w:p>
            <w:pPr>
              <w:pStyle w:val="TableParagraph"/>
              <w:ind w:left="261"/>
              <w:rPr>
                <w:b/>
                <w:sz w:val="20"/>
              </w:rPr>
            </w:pPr>
            <w:r>
              <w:rPr>
                <w:b/>
                <w:sz w:val="20"/>
              </w:rPr>
              <w:t>Deficiente</w:t>
            </w:r>
          </w:p>
        </w:tc>
      </w:tr>
      <w:tr>
        <w:trPr>
          <w:trHeight w:val="2081"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27" w:lineRule="exact"/>
              <w:rPr>
                <w:sz w:val="20"/>
              </w:rPr>
            </w:pPr>
            <w:r>
              <w:rPr>
                <w:sz w:val="20"/>
              </w:rPr>
              <w:t>Económico</w:t>
            </w:r>
          </w:p>
        </w:tc>
        <w:tc>
          <w:tcPr>
            <w:tcW w:w="3841" w:type="dxa"/>
          </w:tcPr>
          <w:p>
            <w:pPr>
              <w:pStyle w:val="TableParagraph"/>
              <w:numPr>
                <w:ilvl w:val="0"/>
                <w:numId w:val="248"/>
              </w:numPr>
              <w:tabs>
                <w:tab w:pos="812" w:val="left" w:leader="none"/>
              </w:tabs>
              <w:spacing w:line="240" w:lineRule="auto" w:before="0" w:after="0"/>
              <w:ind w:left="281" w:right="105" w:hanging="142"/>
              <w:jc w:val="both"/>
              <w:rPr>
                <w:sz w:val="20"/>
              </w:rPr>
            </w:pPr>
            <w:r>
              <w:rPr>
                <w:sz w:val="20"/>
              </w:rPr>
              <w:t>Existe una dependencia económica de los recursos naturales por parte de los actores de la</w:t>
            </w:r>
            <w:r>
              <w:rPr>
                <w:spacing w:val="-11"/>
                <w:sz w:val="20"/>
              </w:rPr>
              <w:t> </w:t>
            </w:r>
            <w:r>
              <w:rPr>
                <w:sz w:val="20"/>
              </w:rPr>
              <w:t>CHPH</w:t>
            </w:r>
          </w:p>
          <w:p>
            <w:pPr>
              <w:pStyle w:val="TableParagraph"/>
              <w:numPr>
                <w:ilvl w:val="0"/>
                <w:numId w:val="248"/>
              </w:numPr>
              <w:tabs>
                <w:tab w:pos="812" w:val="left" w:leader="none"/>
              </w:tabs>
              <w:spacing w:line="240" w:lineRule="auto" w:before="0" w:after="0"/>
              <w:ind w:left="281" w:right="105" w:hanging="142"/>
              <w:jc w:val="both"/>
              <w:rPr>
                <w:sz w:val="20"/>
              </w:rPr>
            </w:pPr>
            <w:r>
              <w:rPr>
                <w:sz w:val="20"/>
              </w:rPr>
              <w:t>La agricultura y la ganadería son la ventaja comparativa histórica de la CHPH</w:t>
            </w:r>
          </w:p>
          <w:p>
            <w:pPr>
              <w:pStyle w:val="TableParagraph"/>
              <w:numPr>
                <w:ilvl w:val="0"/>
                <w:numId w:val="248"/>
              </w:numPr>
              <w:tabs>
                <w:tab w:pos="812" w:val="left" w:leader="none"/>
              </w:tabs>
              <w:spacing w:line="240" w:lineRule="auto" w:before="0" w:after="0"/>
              <w:ind w:left="281" w:right="102" w:hanging="142"/>
              <w:jc w:val="both"/>
              <w:rPr>
                <w:sz w:val="20"/>
              </w:rPr>
            </w:pPr>
            <w:r>
              <w:rPr>
                <w:sz w:val="20"/>
              </w:rPr>
              <w:t>Existen grupos económicos consolidados a través de la historia en la</w:t>
            </w:r>
            <w:r>
              <w:rPr>
                <w:spacing w:val="-5"/>
                <w:sz w:val="20"/>
              </w:rPr>
              <w:t> </w:t>
            </w:r>
            <w:r>
              <w:rPr>
                <w:sz w:val="20"/>
              </w:rPr>
              <w:t>CHPH</w:t>
            </w:r>
          </w:p>
        </w:tc>
        <w:tc>
          <w:tcPr>
            <w:tcW w:w="1447" w:type="dxa"/>
            <w:vMerge/>
          </w:tcPr>
          <w:p>
            <w:pPr/>
          </w:p>
        </w:tc>
        <w:tc>
          <w:tcPr>
            <w:tcW w:w="2108" w:type="dxa"/>
            <w:vMerge/>
          </w:tcPr>
          <w:p>
            <w:pPr/>
          </w:p>
        </w:tc>
        <w:tc>
          <w:tcPr>
            <w:tcW w:w="1529" w:type="dxa"/>
            <w:vMerge/>
            <w:tcBorders>
              <w:right w:val="double" w:sz="12" w:space="0" w:color="000000"/>
            </w:tcBorders>
            <w:shd w:val="clear" w:color="auto" w:fill="FF0000"/>
          </w:tcPr>
          <w:p>
            <w:pPr/>
          </w:p>
        </w:tc>
      </w:tr>
      <w:tr>
        <w:trPr>
          <w:trHeight w:val="3689"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27" w:lineRule="exact"/>
              <w:rPr>
                <w:sz w:val="20"/>
              </w:rPr>
            </w:pPr>
            <w:r>
              <w:rPr>
                <w:sz w:val="20"/>
              </w:rPr>
              <w:t>Sociopolítico</w:t>
            </w:r>
          </w:p>
        </w:tc>
        <w:tc>
          <w:tcPr>
            <w:tcW w:w="3841" w:type="dxa"/>
          </w:tcPr>
          <w:p>
            <w:pPr>
              <w:pStyle w:val="TableParagraph"/>
              <w:numPr>
                <w:ilvl w:val="0"/>
                <w:numId w:val="249"/>
              </w:numPr>
              <w:tabs>
                <w:tab w:pos="812" w:val="left" w:leader="none"/>
              </w:tabs>
              <w:spacing w:line="240" w:lineRule="auto" w:before="0" w:after="0"/>
              <w:ind w:left="281" w:right="105" w:hanging="142"/>
              <w:jc w:val="both"/>
              <w:rPr>
                <w:sz w:val="20"/>
              </w:rPr>
            </w:pPr>
            <w:r>
              <w:rPr>
                <w:sz w:val="20"/>
              </w:rPr>
              <w:t>Las instituciones políticas  que se han creado a través del tiempo como El Municipio y El Ejido  favorecen la articulación social en la CHPH</w:t>
            </w:r>
          </w:p>
          <w:p>
            <w:pPr>
              <w:pStyle w:val="TableParagraph"/>
              <w:numPr>
                <w:ilvl w:val="0"/>
                <w:numId w:val="249"/>
              </w:numPr>
              <w:tabs>
                <w:tab w:pos="812" w:val="left" w:leader="none"/>
              </w:tabs>
              <w:spacing w:line="240" w:lineRule="auto" w:before="0" w:after="0"/>
              <w:ind w:left="281" w:right="103" w:hanging="142"/>
              <w:jc w:val="both"/>
              <w:rPr>
                <w:sz w:val="20"/>
              </w:rPr>
            </w:pPr>
            <w:r>
              <w:rPr>
                <w:sz w:val="20"/>
              </w:rPr>
              <w:t>Las autoridades auxiliares son producto de las estructuras históricas consolidadas</w:t>
            </w:r>
          </w:p>
          <w:p>
            <w:pPr>
              <w:pStyle w:val="TableParagraph"/>
              <w:numPr>
                <w:ilvl w:val="0"/>
                <w:numId w:val="249"/>
              </w:numPr>
              <w:tabs>
                <w:tab w:pos="812" w:val="left" w:leader="none"/>
              </w:tabs>
              <w:spacing w:line="240" w:lineRule="auto" w:before="0" w:after="0"/>
              <w:ind w:left="281" w:right="105" w:hanging="142"/>
              <w:jc w:val="both"/>
              <w:rPr>
                <w:sz w:val="20"/>
              </w:rPr>
            </w:pPr>
            <w:r>
              <w:rPr>
                <w:sz w:val="20"/>
              </w:rPr>
              <w:t>La CHPH es producto de la articulación de eventos históricos en la región</w:t>
            </w:r>
          </w:p>
          <w:p>
            <w:pPr>
              <w:pStyle w:val="TableParagraph"/>
              <w:numPr>
                <w:ilvl w:val="0"/>
                <w:numId w:val="249"/>
              </w:numPr>
              <w:tabs>
                <w:tab w:pos="463" w:val="left" w:leader="none"/>
                <w:tab w:pos="464" w:val="left" w:leader="none"/>
              </w:tabs>
              <w:spacing w:line="240" w:lineRule="auto"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249"/>
              </w:numPr>
              <w:tabs>
                <w:tab w:pos="463" w:val="left" w:leader="none"/>
                <w:tab w:pos="464" w:val="left" w:leader="none"/>
              </w:tabs>
              <w:spacing w:line="229" w:lineRule="exact"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249"/>
              </w:numPr>
              <w:tabs>
                <w:tab w:pos="463" w:val="left" w:leader="none"/>
                <w:tab w:pos="464" w:val="left" w:leader="none"/>
              </w:tabs>
              <w:spacing w:line="229" w:lineRule="exact"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249"/>
              </w:numPr>
              <w:tabs>
                <w:tab w:pos="463" w:val="left" w:leader="none"/>
                <w:tab w:pos="464" w:val="left" w:leader="none"/>
              </w:tabs>
              <w:spacing w:line="240" w:lineRule="auto" w:before="0" w:after="0"/>
              <w:ind w:left="463" w:right="107" w:hanging="360"/>
              <w:jc w:val="left"/>
              <w:rPr>
                <w:sz w:val="20"/>
              </w:rPr>
            </w:pPr>
            <w:r>
              <w:rPr>
                <w:sz w:val="20"/>
              </w:rPr>
              <w:t>Existe planeación sociopolítica con articulación entre</w:t>
            </w:r>
            <w:r>
              <w:rPr>
                <w:spacing w:val="-11"/>
                <w:sz w:val="20"/>
              </w:rPr>
              <w:t> </w:t>
            </w:r>
            <w:r>
              <w:rPr>
                <w:sz w:val="20"/>
              </w:rPr>
              <w:t>actores</w:t>
            </w:r>
          </w:p>
        </w:tc>
        <w:tc>
          <w:tcPr>
            <w:tcW w:w="1447" w:type="dxa"/>
            <w:vMerge/>
          </w:tcPr>
          <w:p>
            <w:pPr/>
          </w:p>
        </w:tc>
        <w:tc>
          <w:tcPr>
            <w:tcW w:w="2108" w:type="dxa"/>
            <w:vMerge/>
          </w:tcPr>
          <w:p>
            <w:pPr/>
          </w:p>
        </w:tc>
        <w:tc>
          <w:tcPr>
            <w:tcW w:w="1529" w:type="dxa"/>
            <w:vMerge/>
            <w:tcBorders>
              <w:right w:val="double" w:sz="12" w:space="0" w:color="000000"/>
            </w:tcBorders>
            <w:shd w:val="clear" w:color="auto" w:fill="FF0000"/>
          </w:tcPr>
          <w:p>
            <w:pPr/>
          </w:p>
        </w:tc>
      </w:tr>
      <w:tr>
        <w:trPr>
          <w:trHeight w:val="264"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tc>
      </w:tr>
    </w:tbl>
    <w:p>
      <w:pPr>
        <w:spacing w:after="0" w:line="248" w:lineRule="exact"/>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29008"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11"/>
        <w:rPr>
          <w:rFonts w:ascii="Times New Roman"/>
        </w:rPr>
      </w:pPr>
    </w:p>
    <w:p>
      <w:pPr>
        <w:pStyle w:val="Heading6"/>
        <w:spacing w:before="73"/>
        <w:ind w:left="180"/>
        <w:jc w:val="both"/>
      </w:pPr>
      <w:r>
        <w:rPr/>
        <w:t>Interpretación de la anterior gráfica y la tarjeta de valoración:</w:t>
      </w:r>
    </w:p>
    <w:p>
      <w:pPr>
        <w:pStyle w:val="ListParagraph"/>
        <w:numPr>
          <w:ilvl w:val="0"/>
          <w:numId w:val="121"/>
        </w:numPr>
        <w:tabs>
          <w:tab w:pos="322" w:val="left" w:leader="none"/>
        </w:tabs>
        <w:spacing w:line="240" w:lineRule="auto" w:before="1" w:after="0"/>
        <w:ind w:left="180" w:right="397" w:firstLine="0"/>
        <w:jc w:val="both"/>
        <w:rPr>
          <w:sz w:val="22"/>
        </w:rPr>
      </w:pPr>
      <w:r>
        <w:rPr>
          <w:sz w:val="22"/>
        </w:rPr>
        <w:t>En 1400, época prehispánica, la Cuenca pertenecía a la provincia política del Señorío de Xilotepec. Estaba poblada por otomíes principalmente, divididos en clases sociales. Su base económica estaba apoyada principalmente en el uso intensivo de un cuerpo de agua utilizado para el riego (ese antiguo cuerpo de agua daría posteriormente lugar a la presa Huapango y a la presa Huaracha). Debido a esa intensidad del uso del agua, dicha provincia y Señorío de Xilotepec, adquirió una importancia política, religiosa y económica hasta convertirse en un importante Estado prehispánico con centro ceremonial y religioso llamado Jilotepec, en esta época la identidad sociopolítica era excelente porque todos eran nativos del</w:t>
      </w:r>
      <w:r>
        <w:rPr>
          <w:spacing w:val="-28"/>
          <w:sz w:val="22"/>
        </w:rPr>
        <w:t> </w:t>
      </w:r>
      <w:r>
        <w:rPr>
          <w:sz w:val="22"/>
        </w:rPr>
        <w:t>lugar.</w:t>
      </w:r>
    </w:p>
    <w:p>
      <w:pPr>
        <w:pStyle w:val="ListParagraph"/>
        <w:numPr>
          <w:ilvl w:val="0"/>
          <w:numId w:val="121"/>
        </w:numPr>
        <w:tabs>
          <w:tab w:pos="317" w:val="left" w:leader="none"/>
        </w:tabs>
        <w:spacing w:line="240" w:lineRule="auto" w:before="1" w:after="0"/>
        <w:ind w:left="180" w:right="404" w:firstLine="0"/>
        <w:jc w:val="both"/>
        <w:rPr>
          <w:sz w:val="22"/>
        </w:rPr>
      </w:pPr>
      <w:r>
        <w:rPr>
          <w:sz w:val="22"/>
        </w:rPr>
        <w:t>En 1519, dicha región fue visitada por primera vez por los españoles; pero fue a mediados de la década de 1520 que la provincia de Xilotepec fue dominada en la parte sur por los españoles, y en 1533 se le asignó el territorio como Encomienda,  al conquistador Juan Jaramillo de Salvatierra (esposo de la Malinche). En este período, la provincia de Xilotepec, se conectó económica y políticamente al sistema mundo, como parte del territorio español, sin embargo la provincia de Xilotepec aún era poblada por la mayoría de pobladores nativos con un alto grado de identidad</w:t>
      </w:r>
      <w:r>
        <w:rPr>
          <w:spacing w:val="-28"/>
          <w:sz w:val="22"/>
        </w:rPr>
        <w:t> </w:t>
      </w:r>
      <w:r>
        <w:rPr>
          <w:sz w:val="22"/>
        </w:rPr>
        <w:t>sociopolítica.</w:t>
      </w:r>
    </w:p>
    <w:p>
      <w:pPr>
        <w:pStyle w:val="ListParagraph"/>
        <w:numPr>
          <w:ilvl w:val="0"/>
          <w:numId w:val="121"/>
        </w:numPr>
        <w:tabs>
          <w:tab w:pos="447" w:val="left" w:leader="none"/>
        </w:tabs>
        <w:spacing w:line="240" w:lineRule="auto" w:before="1" w:after="0"/>
        <w:ind w:left="180" w:right="397" w:firstLine="62"/>
        <w:jc w:val="both"/>
        <w:rPr>
          <w:sz w:val="22"/>
        </w:rPr>
      </w:pPr>
      <w:r>
        <w:rPr>
          <w:sz w:val="22"/>
        </w:rPr>
        <w:t>Hacia el año 1580, con la dominación española, la encomienda de la provincia de Xilotepec se conformó política y económicamente en territorio de haciendas de ganado mayor y menor, en las que trabajaba un número creciente de españoles y mulatos. Así que para el año de 1794, ya existían 25 haciendas y 95 ranchos ganaderos y productores de leche. En este período hubo impacto económico y político, pero sobre todo, los derechos civiles de los trabajadores nativos eran precarios, porque existía concentración de la tierra y sobreexplotación de su labor a través de las tiendas de raya, sin embargo los pobladores históricos de la CHPH seguían teniendo un alto índice de identidad</w:t>
      </w:r>
      <w:r>
        <w:rPr>
          <w:spacing w:val="-19"/>
          <w:sz w:val="22"/>
        </w:rPr>
        <w:t> </w:t>
      </w:r>
      <w:r>
        <w:rPr>
          <w:sz w:val="22"/>
        </w:rPr>
        <w:t>sociopolítica.</w:t>
      </w:r>
    </w:p>
    <w:p>
      <w:pPr>
        <w:pStyle w:val="ListParagraph"/>
        <w:numPr>
          <w:ilvl w:val="0"/>
          <w:numId w:val="121"/>
        </w:numPr>
        <w:tabs>
          <w:tab w:pos="348" w:val="left" w:leader="none"/>
        </w:tabs>
        <w:spacing w:line="240" w:lineRule="auto" w:before="0" w:after="0"/>
        <w:ind w:left="180" w:right="407" w:firstLine="0"/>
        <w:jc w:val="both"/>
        <w:rPr>
          <w:sz w:val="22"/>
        </w:rPr>
      </w:pPr>
      <w:r>
        <w:rPr>
          <w:sz w:val="22"/>
        </w:rPr>
        <w:t>Hacia 1785-1788, los religiosos franciscanos que ya estaban en la región y que también eran dueños de ranchos y tierras, decidieron construir sobre el antiguo lago prehispánico, una presa de gran tamaño, capaz de regar tierras para el cultivo, y dar sostenimiento a miles de cabezas de ganado mayor. Dicho cuerpo de agua se conoció como presa o laguna de Huapango, uno  de los cuerpos de agua artificial más grandes del centro del país, y origen de la actual cuenca lechera más importante del Estado de México. En esta época subió el impacto económico, político y social de la región al aumentar el uso de los recursos de la CHPH, principalmente el agua, por lo que los actores históricos incrementan su identidad a través de los recursos hídricos de la presa</w:t>
      </w:r>
      <w:r>
        <w:rPr>
          <w:spacing w:val="-4"/>
          <w:sz w:val="22"/>
        </w:rPr>
        <w:t> </w:t>
      </w:r>
      <w:r>
        <w:rPr>
          <w:sz w:val="22"/>
        </w:rPr>
        <w:t>Huapango.</w:t>
      </w:r>
    </w:p>
    <w:p>
      <w:pPr>
        <w:pStyle w:val="ListParagraph"/>
        <w:numPr>
          <w:ilvl w:val="0"/>
          <w:numId w:val="121"/>
        </w:numPr>
        <w:tabs>
          <w:tab w:pos="320" w:val="left" w:leader="none"/>
        </w:tabs>
        <w:spacing w:line="240" w:lineRule="auto" w:before="0" w:after="0"/>
        <w:ind w:left="180" w:right="401" w:firstLine="0"/>
        <w:jc w:val="both"/>
        <w:rPr>
          <w:sz w:val="22"/>
        </w:rPr>
      </w:pPr>
      <w:r>
        <w:rPr>
          <w:sz w:val="22"/>
        </w:rPr>
        <w:t>En 1810 inició la independencia de la antigua Nueva España, hoy México. Esta fecha tiene un gran impacto porque se considera el parteaguas de la lucha civil en la CHPH, para que se reconocieran mejores derechos sociopolíticos, económicos y ambientales de los ciudadanos de la antigua provincia de Xilotepec, en esta época la población luchaba por sus derechos civiles haciendo valer su identidad local y</w:t>
      </w:r>
      <w:r>
        <w:rPr>
          <w:spacing w:val="-11"/>
          <w:sz w:val="22"/>
        </w:rPr>
        <w:t> </w:t>
      </w:r>
      <w:r>
        <w:rPr>
          <w:sz w:val="22"/>
        </w:rPr>
        <w:t>regional.</w:t>
      </w:r>
    </w:p>
    <w:p>
      <w:pPr>
        <w:pStyle w:val="ListParagraph"/>
        <w:numPr>
          <w:ilvl w:val="0"/>
          <w:numId w:val="121"/>
        </w:numPr>
        <w:tabs>
          <w:tab w:pos="336" w:val="left" w:leader="none"/>
        </w:tabs>
        <w:spacing w:line="240" w:lineRule="auto" w:before="1" w:after="0"/>
        <w:ind w:left="180" w:right="399" w:firstLine="0"/>
        <w:jc w:val="both"/>
        <w:rPr>
          <w:sz w:val="22"/>
        </w:rPr>
      </w:pPr>
      <w:r>
        <w:rPr>
          <w:sz w:val="22"/>
        </w:rPr>
        <w:t>Aunque el municipio en México tiene sus orígenes en la época prehispánica con los </w:t>
      </w:r>
      <w:r>
        <w:rPr>
          <w:i/>
          <w:sz w:val="22"/>
        </w:rPr>
        <w:t>Tlahtocayos</w:t>
      </w:r>
      <w:r>
        <w:rPr>
          <w:sz w:val="22"/>
        </w:rPr>
        <w:t>, fue hasta la Constitución de Cádiz de 1812, que se constituyó formalmente; este evento histórico socio político, permitió que se formaran e instituyeran los actuales municipios de la CHPH, siendo el primero en 1861 por decreto No. 27 la Villa de Jilotepec. Sin embargo dicha institución surge con una serie de limitaciones importantes que repercuten hasta la fecha, entre las principales deficiencias está la administración de solo algunos servicios públicos, donde no se cuenta ni estipula su competencia jurídica en torno a la </w:t>
      </w:r>
      <w:r>
        <w:rPr>
          <w:spacing w:val="24"/>
          <w:sz w:val="22"/>
        </w:rPr>
        <w:t> </w:t>
      </w:r>
      <w:r>
        <w:rPr>
          <w:sz w:val="22"/>
        </w:rPr>
        <w:t>protección</w:t>
      </w:r>
    </w:p>
    <w:p>
      <w:pPr>
        <w:spacing w:after="0" w:line="240" w:lineRule="auto"/>
        <w:jc w:val="both"/>
        <w:rPr>
          <w:sz w:val="22"/>
        </w:rPr>
        <w:sectPr>
          <w:pgSz w:w="15840" w:h="12240" w:orient="landscape"/>
          <w:pgMar w:header="0" w:footer="943" w:top="1140" w:bottom="1140" w:left="1200" w:right="1300"/>
        </w:sectPr>
      </w:pPr>
    </w:p>
    <w:p>
      <w:pPr>
        <w:pStyle w:val="BodyText"/>
        <w:rPr>
          <w:sz w:val="20"/>
        </w:rPr>
      </w:pPr>
      <w:r>
        <w:rPr/>
        <w:pict>
          <v:group style="position:absolute;margin-left:65.269997pt;margin-top:84.849998pt;width:645.4pt;height:431.65pt;mso-position-horizontal-relative:page;mso-position-vertical-relative:page;z-index:-3328984"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sz w:val="23"/>
        </w:rPr>
      </w:pPr>
    </w:p>
    <w:p>
      <w:pPr>
        <w:pStyle w:val="BodyText"/>
        <w:spacing w:before="72"/>
        <w:ind w:left="180" w:right="396"/>
        <w:jc w:val="both"/>
      </w:pPr>
      <w:r>
        <w:rPr/>
        <w:t>del medio ambiente, y menos en conjunto con los municipios vecinos. Estas deficiencias siguen afectando las decisiones sociopolíticas de la Cuenca (a pesar de las reformas al artículo 115); el municipio sigue estando supeditado al sistema federal y estatal, lo cual no le permite tener la “autonomía y soberanía” que se estipula en la Constitución para su territorio, población y gobierno, por lo que el municipio desde su origen, tiene problemas en sus facultades políticas-sociales, atribuciones limitadas que tienen un gran impacto sociopolítico, económico y ambiental como institución, que afectan directamente al agua y a sus habitantes de la Cuenca, sin embargo, el municipio incrementa la identidad del individuo porque ya pertenece a un territorio especifico con  un gobierno compartido y una población con características</w:t>
      </w:r>
      <w:r>
        <w:rPr>
          <w:spacing w:val="-18"/>
        </w:rPr>
        <w:t> </w:t>
      </w:r>
      <w:r>
        <w:rPr/>
        <w:t>similares.</w:t>
      </w:r>
    </w:p>
    <w:p>
      <w:pPr>
        <w:pStyle w:val="ListParagraph"/>
        <w:numPr>
          <w:ilvl w:val="0"/>
          <w:numId w:val="121"/>
        </w:numPr>
        <w:tabs>
          <w:tab w:pos="332" w:val="left" w:leader="none"/>
        </w:tabs>
        <w:spacing w:line="240" w:lineRule="auto" w:before="1" w:after="0"/>
        <w:ind w:left="180" w:right="399" w:firstLine="0"/>
        <w:jc w:val="both"/>
        <w:rPr>
          <w:sz w:val="22"/>
        </w:rPr>
      </w:pPr>
      <w:r>
        <w:rPr>
          <w:sz w:val="22"/>
        </w:rPr>
        <w:t>En 1910, inicio la revolución mexicana que tuvo varias causas, entre ellas, la dictadura en la presidencia de la República, pero sobre todo, fueron los grandes latifundios que provocaron la decadencia de la agricultura, ya que el territorio nacional era propiedad de tan sólo 840 familias de hacendados, donde los abusos de esclavitud contra el campesinado y los obreros, limitaron el desarrollo agrícola y social de los actores. Dichas injusticias sociales provocaron la demanda de derechos civiles, por lo que dichas peticiones se plasmaron en la Constitución de 1917, como el derecho a la tierra y el acceso a los recursos naturales. Sin embargo, estos derechos fueron abusados por nuevos actores, lo que ocasionó la sobreexplotación de los recursos naturales, sobre todo bosques y aguas, provocando nuevas desigualdades sociopolíticas, por lo que ésta época tiene un gran impacto en lo social, económico y ambiental de la Cuenca. En este periodo los actores históricos de la CHPH lograron plasmar sus derechos civiles en la Constitución de 1917, donde la identidad de los pueblos se ve reflejada en sus derechos y obligaciones, así como en las garantías individuales que se manifiestan en dicho</w:t>
      </w:r>
      <w:r>
        <w:rPr>
          <w:spacing w:val="-16"/>
          <w:sz w:val="22"/>
        </w:rPr>
        <w:t> </w:t>
      </w:r>
      <w:r>
        <w:rPr>
          <w:sz w:val="22"/>
        </w:rPr>
        <w:t>documento.</w:t>
      </w:r>
    </w:p>
    <w:p>
      <w:pPr>
        <w:pStyle w:val="ListParagraph"/>
        <w:numPr>
          <w:ilvl w:val="0"/>
          <w:numId w:val="121"/>
        </w:numPr>
        <w:tabs>
          <w:tab w:pos="322" w:val="left" w:leader="none"/>
        </w:tabs>
        <w:spacing w:line="240" w:lineRule="auto" w:before="1" w:after="0"/>
        <w:ind w:left="180" w:right="400" w:firstLine="0"/>
        <w:jc w:val="both"/>
        <w:rPr>
          <w:sz w:val="22"/>
        </w:rPr>
      </w:pPr>
      <w:r>
        <w:rPr>
          <w:sz w:val="22"/>
        </w:rPr>
        <w:t>La reforma agraria mexicana ha sido un proceso complejo y prolongado. La reforma tuvo </w:t>
      </w:r>
      <w:r>
        <w:rPr>
          <w:spacing w:val="4"/>
          <w:sz w:val="22"/>
        </w:rPr>
        <w:t>su </w:t>
      </w:r>
      <w:r>
        <w:rPr>
          <w:sz w:val="22"/>
        </w:rPr>
        <w:t>origen en una revolución popular de gran envergadura, y se desarrolló durante una guerra civil. El Plan de Ayala, propuesto por Emiliano Zapata y adoptado en 1911, exigía la devolución a los pueblos de las tierras que habían sido concentradas en las haciendas. En 1912 algunos jefes militares revolucionarios hicieron los primeros repartos de tierras. En 1915 las tres fuerzas revolucionarias más importantes, el constitucionalismo, el villismo y el zapatismo, promulgaron las leyes agrarias.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w:t>
      </w:r>
      <w:r>
        <w:rPr>
          <w:spacing w:val="2"/>
          <w:sz w:val="22"/>
        </w:rPr>
        <w:t>del </w:t>
      </w:r>
      <w:r>
        <w:rPr>
          <w:sz w:val="22"/>
        </w:rPr>
        <w:t>Río (1936-1940)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los bosques, etc.) que aún no se pueden resolver, teniendo esto un alto impacto en lo sociopolítico, económico y ambiental, pero la identidad de los actores históricos de la CHPH se ha visto reforzada por la creación del ejido como</w:t>
      </w:r>
      <w:r>
        <w:rPr>
          <w:spacing w:val="-6"/>
          <w:sz w:val="22"/>
        </w:rPr>
        <w:t> </w:t>
      </w:r>
      <w:r>
        <w:rPr>
          <w:sz w:val="22"/>
        </w:rPr>
        <w:t>institución.</w:t>
      </w:r>
    </w:p>
    <w:p>
      <w:pPr>
        <w:spacing w:after="0" w:line="240" w:lineRule="auto"/>
        <w:jc w:val="both"/>
        <w:rPr>
          <w:sz w:val="22"/>
        </w:rPr>
        <w:sectPr>
          <w:pgSz w:w="15840" w:h="12240" w:orient="landscape"/>
          <w:pgMar w:header="0" w:footer="943" w:top="1140" w:bottom="1200" w:left="1200" w:right="1300"/>
        </w:sectPr>
      </w:pPr>
    </w:p>
    <w:p>
      <w:pPr>
        <w:pStyle w:val="BodyText"/>
        <w:rPr>
          <w:sz w:val="20"/>
        </w:rPr>
      </w:pPr>
    </w:p>
    <w:p>
      <w:pPr>
        <w:pStyle w:val="BodyText"/>
        <w:spacing w:before="2"/>
        <w:rPr>
          <w:sz w:val="23"/>
        </w:rPr>
      </w:pPr>
    </w:p>
    <w:p>
      <w:pPr>
        <w:pStyle w:val="ListParagraph"/>
        <w:numPr>
          <w:ilvl w:val="0"/>
          <w:numId w:val="121"/>
        </w:numPr>
        <w:tabs>
          <w:tab w:pos="327" w:val="left" w:leader="none"/>
        </w:tabs>
        <w:spacing w:line="240" w:lineRule="auto" w:before="72" w:after="0"/>
        <w:ind w:left="180" w:right="399" w:firstLine="0"/>
        <w:jc w:val="both"/>
        <w:rPr>
          <w:sz w:val="22"/>
        </w:rPr>
      </w:pPr>
      <w:r>
        <w:rPr/>
        <w:pict>
          <v:group style="position:absolute;margin-left:65.269997pt;margin-top:2.987842pt;width:645.4pt;height:305.150pt;mso-position-horizontal-relative:page;mso-position-vertical-relative:paragraph;z-index:-3328960" coordorigin="1305,60" coordsize="12908,6103">
            <v:line style="position:absolute" from="1315,70" to="14203,70" stroked="true" strokeweight=".48pt" strokecolor="#000000"/>
            <v:line style="position:absolute" from="1310,65" to="1310,6157" stroked="true" strokeweight=".48pt" strokecolor="#000000"/>
            <v:line style="position:absolute" from="1315,6152" to="14203,6152" stroked="true" strokeweight=".48001pt" strokecolor="#000000"/>
            <v:line style="position:absolute" from="14208,65" to="14208,6157" stroked="true" strokeweight=".48004pt" strokecolor="#000000"/>
            <w10:wrap type="none"/>
          </v:group>
        </w:pict>
      </w:r>
      <w:r>
        <w:rPr>
          <w:sz w:val="22"/>
        </w:rPr>
        <w:t>En 1982, el primer presidente neoliberal, Miguel de la Madrid, comienza la internacionalización del libre mercado, con lo que se da pie al nuevo sistema económico y político social, que promueve la intervención mínima del Estado y el libre juego de la  apertura del mercado. Dicha corriente fomenta el consumo de los recursos naturales, así como las prácticas de producción altamente contaminantes, ya que las multinacionales extienden su poder económico hacia las regiones de los países menos desarrollados, generando crisis ambientales locales y regionales, que acrecientan la de carácter global. La CHPH no es la excepción, el consumo de los recursos naturales (agua) está siendo voraz; y el deterioro ambiental por la generación de servicios (construcción de autopista Arco Norte) obedece a intereses económicos ajenos a los actores históricos, y han dejado a la región en una práctica vulnerabilidad socio-ambiental, por lo que esta época tuvo un impacto negativo en lo sociopolítico, económico y ambiental, sin embargo la identidad local y regional ha permitido que los pobladores deseen articularse como organización formal para cuidar, defender y administrar sus recursos naturales mediante la autogestión y la acción colectiva</w:t>
      </w:r>
      <w:r>
        <w:rPr>
          <w:spacing w:val="-32"/>
          <w:sz w:val="22"/>
        </w:rPr>
        <w:t> </w:t>
      </w:r>
      <w:r>
        <w:rPr>
          <w:sz w:val="22"/>
        </w:rPr>
        <w:t>democrática.</w:t>
      </w:r>
    </w:p>
    <w:p>
      <w:pPr>
        <w:pStyle w:val="ListParagraph"/>
        <w:numPr>
          <w:ilvl w:val="0"/>
          <w:numId w:val="121"/>
        </w:numPr>
        <w:tabs>
          <w:tab w:pos="324" w:val="left" w:leader="none"/>
        </w:tabs>
        <w:spacing w:line="240" w:lineRule="auto" w:before="0" w:after="0"/>
        <w:ind w:left="180" w:right="397" w:firstLine="0"/>
        <w:jc w:val="both"/>
        <w:rPr>
          <w:sz w:val="22"/>
        </w:rPr>
      </w:pPr>
      <w:r>
        <w:rPr>
          <w:sz w:val="22"/>
        </w:rPr>
        <w:t>Actualmente, en el año 2016, la CHPH se encuentra en franco deterioro, debido a la suma de los costos ambientales y sociales de los anteriores acontecimientos, lo que ha dado pie a que la actual política neoliberal, refuerce el reparto inequitativo </w:t>
      </w:r>
      <w:r>
        <w:rPr>
          <w:spacing w:val="4"/>
          <w:sz w:val="22"/>
        </w:rPr>
        <w:t>de </w:t>
      </w:r>
      <w:r>
        <w:rPr>
          <w:sz w:val="22"/>
        </w:rPr>
        <w:t>los recursos para favorecer intereses políticos y económicos de los actores más poderosos de la región. La utilización para legalizar tales inequidades es a través de las instituciones gubernamentales, como la Conagua y la Semanat, con la aplicación de una serie de incongruencias en la región como el reparto inequitativo de los recursos (agua), y ha generado hoy como en el pasado, conflictos, que sólo pueden solucionarse a través de una visión GIRH, donde se tomen acuerdos sociopolíticos, económicos y ambientales en base a los actores históricos, ya que son éstos actores los que ostentan identidad y territorialidad, que ahora puede ser utilizada para revertir los daños a través de la GIRH, mediante la gobernanza y la gobernabilidad, generando acuerdos democráticos con impacto positivo en los ámbitos sociopolítico, económico y ambiental, con la propuesta de conformación de un Comité Intermunicipal con su reglamento para que los actores históricos de los municipios de la Cuenca atiendan su problemática común.</w:t>
      </w:r>
    </w:p>
    <w:p>
      <w:pPr>
        <w:pStyle w:val="BodyText"/>
        <w:ind w:left="180" w:right="402"/>
        <w:jc w:val="both"/>
      </w:pPr>
      <w:r>
        <w:rPr/>
        <w:t>Por lo que actualmente, la identidad sociopolítica de los actores de la CHPH se ve reflejada en las siguientes gráficas que manifiestan la identidad con la región a través del lugar de nacimiento y años de residencia en el lugar de los  actores entrevistados en trabajo decampo, lo cual permitió ver el conocimiento que se tiene de la problemática en la región:</w:t>
      </w:r>
    </w:p>
    <w:p>
      <w:pPr>
        <w:spacing w:after="0"/>
        <w:jc w:val="both"/>
        <w:sectPr>
          <w:pgSz w:w="15840" w:h="12240" w:orient="landscape"/>
          <w:pgMar w:header="0" w:footer="943" w:top="1140" w:bottom="1200" w:left="1200" w:right="1300"/>
        </w:sectPr>
      </w:pPr>
    </w:p>
    <w:p>
      <w:pPr>
        <w:pStyle w:val="BodyText"/>
        <w:rPr>
          <w:rFonts w:ascii="Times New Roman"/>
          <w:sz w:val="20"/>
        </w:rPr>
      </w:pPr>
    </w:p>
    <w:p>
      <w:pPr>
        <w:pStyle w:val="BodyText"/>
        <w:spacing w:before="9" w:after="1"/>
        <w:rPr>
          <w:rFonts w:ascii="Times New Roman"/>
          <w:sz w:val="28"/>
        </w:rPr>
      </w:pPr>
    </w:p>
    <w:p>
      <w:pPr>
        <w:pStyle w:val="BodyText"/>
        <w:ind w:left="105"/>
        <w:rPr>
          <w:rFonts w:ascii="Times New Roman"/>
          <w:sz w:val="20"/>
        </w:rPr>
      </w:pPr>
      <w:r>
        <w:rPr>
          <w:rFonts w:ascii="Times New Roman"/>
          <w:sz w:val="20"/>
        </w:rPr>
        <w:pict>
          <v:group style="width:645.4pt;height:406.55pt;mso-position-horizontal-relative:char;mso-position-vertical-relative:line" coordorigin="0,0" coordsize="12908,8131">
            <v:shape style="position:absolute;left:3357;top:9;width:6189;height:3720" type="#_x0000_t75" stroked="false">
              <v:imagedata r:id="rId481" o:title=""/>
            </v:shape>
            <v:shape style="position:absolute;left:5;top:5;width:12898;height:8121" type="#_x0000_t202" filled="false" stroked="true" strokeweight=".48004pt" strokecolor="#000000">
              <v:textbox inset="0,0,0,0">
                <w:txbxContent>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before="174" w:after="4"/>
                      <w:ind w:left="4143" w:right="0" w:firstLine="0"/>
                      <w:jc w:val="left"/>
                      <w:rPr>
                        <w:sz w:val="22"/>
                      </w:rPr>
                    </w:pPr>
                    <w:r>
                      <w:rPr>
                        <w:b/>
                        <w:sz w:val="22"/>
                      </w:rPr>
                      <w:t>Fuente: </w:t>
                    </w:r>
                    <w:r>
                      <w:rPr>
                        <w:sz w:val="22"/>
                      </w:rPr>
                      <w:t>trabajo de campo, García (2013-2015)</w:t>
                    </w:r>
                  </w:p>
                  <w:p>
                    <w:pPr>
                      <w:spacing w:line="240" w:lineRule="auto"/>
                      <w:ind w:left="64" w:right="0" w:firstLine="0"/>
                      <w:rPr>
                        <w:rFonts w:ascii="Times New Roman"/>
                        <w:sz w:val="20"/>
                      </w:rPr>
                    </w:pPr>
                    <w:r>
                      <w:rPr>
                        <w:rFonts w:ascii="Times New Roman"/>
                        <w:sz w:val="20"/>
                      </w:rPr>
                      <w:drawing>
                        <wp:inline distT="0" distB="0" distL="0" distR="0">
                          <wp:extent cx="8013698" cy="2281809"/>
                          <wp:effectExtent l="0" t="0" r="0" b="0"/>
                          <wp:docPr id="83" name="image348.png" descr=""/>
                          <wp:cNvGraphicFramePr>
                            <a:graphicFrameLocks noChangeAspect="1"/>
                          </wp:cNvGraphicFramePr>
                          <a:graphic>
                            <a:graphicData uri="http://schemas.openxmlformats.org/drawingml/2006/picture">
                              <pic:pic>
                                <pic:nvPicPr>
                                  <pic:cNvPr id="84" name="image348.png"/>
                                  <pic:cNvPicPr/>
                                </pic:nvPicPr>
                                <pic:blipFill>
                                  <a:blip r:embed="rId482" cstate="print"/>
                                  <a:stretch>
                                    <a:fillRect/>
                                  </a:stretch>
                                </pic:blipFill>
                                <pic:spPr>
                                  <a:xfrm>
                                    <a:off x="0" y="0"/>
                                    <a:ext cx="8013698" cy="2281809"/>
                                  </a:xfrm>
                                  <a:prstGeom prst="rect">
                                    <a:avLst/>
                                  </a:prstGeom>
                                </pic:spPr>
                              </pic:pic>
                            </a:graphicData>
                          </a:graphic>
                        </wp:inline>
                      </w:drawing>
                    </w:r>
                    <w:r>
                      <w:rPr>
                        <w:rFonts w:ascii="Times New Roman"/>
                        <w:sz w:val="20"/>
                      </w:rPr>
                    </w:r>
                  </w:p>
                  <w:p>
                    <w:pPr>
                      <w:spacing w:before="33"/>
                      <w:ind w:left="4143" w:right="0" w:firstLine="0"/>
                      <w:jc w:val="left"/>
                      <w:rPr>
                        <w:sz w:val="22"/>
                      </w:rPr>
                    </w:pPr>
                    <w:r>
                      <w:rPr>
                        <w:b/>
                        <w:sz w:val="22"/>
                      </w:rPr>
                      <w:t>Fuente: </w:t>
                    </w:r>
                    <w:r>
                      <w:rPr>
                        <w:sz w:val="22"/>
                      </w:rPr>
                      <w:t>trabajo de campo, García (2013-2015)</w:t>
                    </w:r>
                  </w:p>
                </w:txbxContent>
              </v:textbox>
              <w10:wrap type="none"/>
            </v:shape>
          </v:group>
        </w:pict>
      </w:r>
      <w:r>
        <w:rPr>
          <w:rFonts w:ascii="Times New Roman"/>
          <w:sz w:val="20"/>
        </w:rPr>
      </w:r>
    </w:p>
    <w:p>
      <w:pPr>
        <w:spacing w:after="0"/>
        <w:rPr>
          <w:rFonts w:ascii="Times New Roman"/>
          <w:sz w:val="20"/>
        </w:rPr>
        <w:sectPr>
          <w:pgSz w:w="15840" w:h="12240" w:orient="landscape"/>
          <w:pgMar w:header="0" w:footer="943" w:top="1140" w:bottom="120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4477" w:hRule="exact"/>
        </w:trPr>
        <w:tc>
          <w:tcPr>
            <w:tcW w:w="12897" w:type="dxa"/>
          </w:tcPr>
          <w:p>
            <w:pPr>
              <w:pStyle w:val="TableParagraph"/>
              <w:ind w:left="3141"/>
              <w:rPr>
                <w:rFonts w:ascii="Times New Roman"/>
                <w:sz w:val="20"/>
              </w:rPr>
            </w:pPr>
            <w:r>
              <w:rPr>
                <w:rFonts w:ascii="Times New Roman"/>
                <w:sz w:val="20"/>
              </w:rPr>
              <w:drawing>
                <wp:inline distT="0" distB="0" distL="0" distR="0">
                  <wp:extent cx="4154221" cy="2497074"/>
                  <wp:effectExtent l="0" t="0" r="0" b="0"/>
                  <wp:docPr id="85" name="image349.png" descr=""/>
                  <wp:cNvGraphicFramePr>
                    <a:graphicFrameLocks noChangeAspect="1"/>
                  </wp:cNvGraphicFramePr>
                  <a:graphic>
                    <a:graphicData uri="http://schemas.openxmlformats.org/drawingml/2006/picture">
                      <pic:pic>
                        <pic:nvPicPr>
                          <pic:cNvPr id="86" name="image349.png"/>
                          <pic:cNvPicPr/>
                        </pic:nvPicPr>
                        <pic:blipFill>
                          <a:blip r:embed="rId483" cstate="print"/>
                          <a:stretch>
                            <a:fillRect/>
                          </a:stretch>
                        </pic:blipFill>
                        <pic:spPr>
                          <a:xfrm>
                            <a:off x="0" y="0"/>
                            <a:ext cx="4154221" cy="2497074"/>
                          </a:xfrm>
                          <a:prstGeom prst="rect">
                            <a:avLst/>
                          </a:prstGeom>
                        </pic:spPr>
                      </pic:pic>
                    </a:graphicData>
                  </a:graphic>
                </wp:inline>
              </w:drawing>
            </w:r>
            <w:r>
              <w:rPr>
                <w:rFonts w:ascii="Times New Roman"/>
                <w:sz w:val="20"/>
              </w:rPr>
            </w:r>
          </w:p>
          <w:p>
            <w:pPr>
              <w:pStyle w:val="TableParagraph"/>
              <w:spacing w:before="23"/>
              <w:ind w:left="4143" w:right="163"/>
              <w:rPr>
                <w:sz w:val="22"/>
              </w:rPr>
            </w:pPr>
            <w:r>
              <w:rPr>
                <w:b/>
                <w:sz w:val="22"/>
              </w:rPr>
              <w:t>Fuente: </w:t>
            </w:r>
            <w:r>
              <w:rPr>
                <w:sz w:val="22"/>
              </w:rPr>
              <w:t>trabajo de campo, García (2013-2015)</w:t>
            </w:r>
          </w:p>
        </w:tc>
      </w:tr>
      <w:tr>
        <w:trPr>
          <w:trHeight w:val="339"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022" w:hRule="exact"/>
        </w:trPr>
        <w:tc>
          <w:tcPr>
            <w:tcW w:w="12897" w:type="dxa"/>
          </w:tcPr>
          <w:p>
            <w:pPr>
              <w:pStyle w:val="TableParagraph"/>
              <w:numPr>
                <w:ilvl w:val="0"/>
                <w:numId w:val="250"/>
              </w:numPr>
              <w:tabs>
                <w:tab w:pos="243" w:val="left" w:leader="none"/>
              </w:tabs>
              <w:spacing w:line="240" w:lineRule="auto" w:before="0" w:after="0"/>
              <w:ind w:left="103" w:right="105" w:firstLine="0"/>
              <w:jc w:val="left"/>
              <w:rPr>
                <w:sz w:val="22"/>
              </w:rPr>
            </w:pPr>
            <w:r>
              <w:rPr>
                <w:sz w:val="22"/>
              </w:rPr>
              <w:t>Permitió identificar el sentido de pertenencia histórica y comunitaria por parte de los actores históricos de la CHPH que favorece la coordinación social con otros actores para atender la problemática sociopolítica</w:t>
            </w:r>
            <w:r>
              <w:rPr>
                <w:spacing w:val="-27"/>
                <w:sz w:val="22"/>
              </w:rPr>
              <w:t> </w:t>
            </w:r>
            <w:r>
              <w:rPr>
                <w:sz w:val="22"/>
              </w:rPr>
              <w:t>compartida.</w:t>
            </w:r>
          </w:p>
          <w:p>
            <w:pPr>
              <w:pStyle w:val="TableParagraph"/>
              <w:numPr>
                <w:ilvl w:val="0"/>
                <w:numId w:val="250"/>
              </w:numPr>
              <w:tabs>
                <w:tab w:pos="243" w:val="left" w:leader="none"/>
              </w:tabs>
              <w:spacing w:line="240" w:lineRule="auto" w:before="0" w:after="0"/>
              <w:ind w:left="103" w:right="100" w:firstLine="0"/>
              <w:jc w:val="left"/>
              <w:rPr>
                <w:sz w:val="22"/>
              </w:rPr>
            </w:pPr>
            <w:r>
              <w:rPr>
                <w:sz w:val="22"/>
              </w:rPr>
              <w:t>Sirvió de guía de explicación para la elaboración de la propuesta de creación de un Comité Intermunicipal con su reglamento en la</w:t>
            </w:r>
            <w:r>
              <w:rPr>
                <w:spacing w:val="-3"/>
                <w:sz w:val="22"/>
              </w:rPr>
              <w:t> </w:t>
            </w:r>
            <w:r>
              <w:rPr>
                <w:sz w:val="22"/>
              </w:rPr>
              <w:t>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264" w:hRule="exact"/>
        </w:trPr>
        <w:tc>
          <w:tcPr>
            <w:tcW w:w="12897" w:type="dxa"/>
          </w:tcPr>
          <w:p>
            <w:pPr>
              <w:pStyle w:val="TableParagraph"/>
              <w:spacing w:line="251" w:lineRule="exact"/>
              <w:ind w:right="163"/>
              <w:rPr>
                <w:sz w:val="22"/>
              </w:rPr>
            </w:pPr>
            <w:r>
              <w:rPr>
                <w:sz w:val="22"/>
              </w:rPr>
              <w:t>- La identidad sociopolítica tiende a ser afectada por la transculturización de la globalización mundial.</w:t>
            </w:r>
          </w:p>
        </w:tc>
      </w:tr>
    </w:tbl>
    <w:p>
      <w:pPr>
        <w:spacing w:after="0" w:line="25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
        <w:rPr>
          <w:rFonts w:ascii="Times New Roman"/>
        </w:rPr>
      </w:pPr>
    </w:p>
    <w:p>
      <w:pPr>
        <w:pStyle w:val="Heading6"/>
        <w:spacing w:before="73"/>
        <w:ind w:left="4537" w:right="397"/>
      </w:pPr>
      <w:r>
        <w:rPr>
          <w:u w:val="thick"/>
        </w:rPr>
        <w:t>INDICADORES DE LA AEPA ECONÓMICA</w:t>
      </w:r>
    </w:p>
    <w:p>
      <w:pPr>
        <w:pStyle w:val="BodyText"/>
        <w:spacing w:before="11"/>
        <w:rPr>
          <w:b/>
          <w:sz w:val="2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4"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398"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b/>
                <w:sz w:val="22"/>
              </w:rPr>
            </w:pPr>
          </w:p>
          <w:p>
            <w:pPr>
              <w:pStyle w:val="TableParagraph"/>
              <w:ind w:left="0"/>
              <w:rPr>
                <w:b/>
                <w:sz w:val="22"/>
              </w:rPr>
            </w:pPr>
          </w:p>
          <w:p>
            <w:pPr>
              <w:pStyle w:val="TableParagraph"/>
              <w:spacing w:before="6"/>
              <w:ind w:left="0"/>
              <w:rPr>
                <w:b/>
                <w:sz w:val="21"/>
              </w:rPr>
            </w:pPr>
          </w:p>
          <w:p>
            <w:pPr>
              <w:pStyle w:val="TableParagraph"/>
              <w:ind w:left="616" w:right="105"/>
              <w:rPr>
                <w:b/>
                <w:sz w:val="22"/>
              </w:rPr>
            </w:pPr>
            <w:r>
              <w:rPr>
                <w:b/>
                <w:sz w:val="22"/>
              </w:rPr>
              <w:t>Historia económica</w:t>
            </w:r>
          </w:p>
        </w:tc>
        <w:tc>
          <w:tcPr>
            <w:tcW w:w="3277" w:type="dxa"/>
            <w:gridSpan w:val="3"/>
            <w:vMerge w:val="restart"/>
          </w:tcPr>
          <w:p>
            <w:pPr>
              <w:pStyle w:val="TableParagraph"/>
              <w:ind w:left="100" w:right="101"/>
              <w:jc w:val="both"/>
              <w:rPr>
                <w:b/>
                <w:sz w:val="22"/>
              </w:rPr>
            </w:pPr>
            <w:r>
              <w:rPr>
                <w:b/>
                <w:sz w:val="22"/>
              </w:rPr>
              <w:t>Identificar los principales procesos socioeconómicos internos y externos que han involucrado históricamente a los actores de la CHPH  en las relaciones de mercado</w:t>
            </w:r>
          </w:p>
        </w:tc>
      </w:tr>
      <w:tr>
        <w:trPr>
          <w:trHeight w:val="1529"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6" w:hRule="exact"/>
        </w:trPr>
        <w:tc>
          <w:tcPr>
            <w:tcW w:w="2093" w:type="dxa"/>
            <w:gridSpan w:val="2"/>
          </w:tcPr>
          <w:p>
            <w:pPr>
              <w:pStyle w:val="TableParagraph"/>
              <w:spacing w:line="248" w:lineRule="exact"/>
              <w:ind w:left="367"/>
              <w:rPr>
                <w:b/>
                <w:sz w:val="22"/>
              </w:rPr>
            </w:pPr>
            <w:r>
              <w:rPr>
                <w:b/>
                <w:sz w:val="22"/>
              </w:rPr>
              <w:t>0.062/ 18.055</w:t>
            </w:r>
          </w:p>
        </w:tc>
        <w:tc>
          <w:tcPr>
            <w:tcW w:w="1985" w:type="dxa"/>
            <w:gridSpan w:val="2"/>
          </w:tcPr>
          <w:p>
            <w:pPr>
              <w:pStyle w:val="TableParagraph"/>
              <w:spacing w:line="248" w:lineRule="exact"/>
              <w:ind w:left="1" w:right="2"/>
              <w:jc w:val="center"/>
              <w:rPr>
                <w:b/>
                <w:sz w:val="22"/>
              </w:rPr>
            </w:pPr>
            <w:r>
              <w:rPr>
                <w:b/>
                <w:sz w:val="22"/>
              </w:rPr>
              <w:t>0.34%</w:t>
            </w:r>
          </w:p>
        </w:tc>
        <w:tc>
          <w:tcPr>
            <w:tcW w:w="2268" w:type="dxa"/>
            <w:gridSpan w:val="2"/>
          </w:tcPr>
          <w:p>
            <w:pPr>
              <w:pStyle w:val="TableParagraph"/>
              <w:spacing w:line="248" w:lineRule="exact"/>
              <w:ind w:left="136" w:right="136"/>
              <w:jc w:val="center"/>
              <w:rPr>
                <w:b/>
                <w:sz w:val="22"/>
              </w:rPr>
            </w:pPr>
            <w:r>
              <w:rPr>
                <w:b/>
                <w:sz w:val="22"/>
              </w:rPr>
              <w:t>16.813</w:t>
            </w:r>
          </w:p>
        </w:tc>
        <w:tc>
          <w:tcPr>
            <w:tcW w:w="3274" w:type="dxa"/>
            <w:gridSpan w:val="5"/>
            <w:vMerge/>
          </w:tcPr>
          <w:p>
            <w:pPr/>
          </w:p>
        </w:tc>
        <w:tc>
          <w:tcPr>
            <w:tcW w:w="3277" w:type="dxa"/>
            <w:gridSpan w:val="3"/>
            <w:vMerge/>
          </w:tcPr>
          <w:p>
            <w:pPr/>
          </w:p>
        </w:tc>
      </w:tr>
      <w:tr>
        <w:trPr>
          <w:trHeight w:val="264" w:hRule="exact"/>
        </w:trPr>
        <w:tc>
          <w:tcPr>
            <w:tcW w:w="2093" w:type="dxa"/>
            <w:gridSpan w:val="2"/>
          </w:tcPr>
          <w:p>
            <w:pPr>
              <w:pStyle w:val="TableParagraph"/>
              <w:spacing w:line="248" w:lineRule="exact"/>
              <w:ind w:left="0" w:right="1"/>
              <w:jc w:val="center"/>
              <w:rPr>
                <w:b/>
                <w:sz w:val="22"/>
              </w:rPr>
            </w:pPr>
            <w:r>
              <w:rPr>
                <w:b/>
                <w:w w:val="100"/>
                <w:sz w:val="22"/>
              </w:rPr>
              <w:t>1</w:t>
            </w:r>
          </w:p>
        </w:tc>
        <w:tc>
          <w:tcPr>
            <w:tcW w:w="1985" w:type="dxa"/>
            <w:gridSpan w:val="2"/>
            <w:tcBorders>
              <w:right w:val="single" w:sz="45" w:space="0" w:color="F79546"/>
            </w:tcBorders>
          </w:tcPr>
          <w:p>
            <w:pPr>
              <w:pStyle w:val="TableParagraph"/>
              <w:spacing w:line="248" w:lineRule="exact"/>
              <w:ind w:left="51"/>
              <w:jc w:val="center"/>
              <w:rPr>
                <w:b/>
                <w:sz w:val="22"/>
              </w:rPr>
            </w:pPr>
            <w:r>
              <w:rPr>
                <w:b/>
                <w:w w:val="100"/>
                <w:sz w:val="22"/>
              </w:rPr>
              <w:t>2</w:t>
            </w:r>
          </w:p>
        </w:tc>
        <w:tc>
          <w:tcPr>
            <w:tcW w:w="2268" w:type="dxa"/>
            <w:gridSpan w:val="2"/>
            <w:shd w:val="clear" w:color="auto" w:fill="F79546"/>
          </w:tcPr>
          <w:p>
            <w:pPr>
              <w:pStyle w:val="TableParagraph"/>
              <w:spacing w:line="248" w:lineRule="exact"/>
              <w:ind w:left="0"/>
              <w:jc w:val="center"/>
              <w:rPr>
                <w:b/>
                <w:sz w:val="22"/>
              </w:rPr>
            </w:pPr>
            <w:r>
              <w:rPr>
                <w:b/>
                <w:w w:val="100"/>
                <w:sz w:val="22"/>
              </w:rPr>
              <w:t>3</w:t>
            </w:r>
          </w:p>
        </w:tc>
        <w:tc>
          <w:tcPr>
            <w:tcW w:w="1701" w:type="dxa"/>
            <w:gridSpan w:val="2"/>
            <w:shd w:val="clear" w:color="auto" w:fill="F79546"/>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F79546"/>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2"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4"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2" w:hRule="exact"/>
        </w:trPr>
        <w:tc>
          <w:tcPr>
            <w:tcW w:w="1952" w:type="dxa"/>
            <w:shd w:val="clear" w:color="auto" w:fill="92CDDC"/>
          </w:tcPr>
          <w:p>
            <w:pPr>
              <w:pStyle w:val="TableParagraph"/>
              <w:spacing w:line="248" w:lineRule="exact"/>
              <w:ind w:left="491" w:right="492"/>
              <w:jc w:val="center"/>
              <w:rPr>
                <w:b/>
                <w:sz w:val="22"/>
              </w:rPr>
            </w:pPr>
            <w:r>
              <w:rPr>
                <w:b/>
                <w:sz w:val="22"/>
              </w:rPr>
              <w:t>45</w:t>
            </w:r>
          </w:p>
        </w:tc>
        <w:tc>
          <w:tcPr>
            <w:tcW w:w="2127" w:type="dxa"/>
            <w:gridSpan w:val="3"/>
            <w:shd w:val="clear" w:color="auto" w:fill="92CDDC"/>
          </w:tcPr>
          <w:p>
            <w:pPr>
              <w:pStyle w:val="TableParagraph"/>
              <w:spacing w:line="248" w:lineRule="exact"/>
              <w:ind w:left="916" w:right="916"/>
              <w:jc w:val="center"/>
              <w:rPr>
                <w:b/>
                <w:sz w:val="22"/>
              </w:rPr>
            </w:pPr>
            <w:r>
              <w:rPr>
                <w:b/>
                <w:sz w:val="22"/>
              </w:rPr>
              <w:t>69</w:t>
            </w:r>
          </w:p>
        </w:tc>
        <w:tc>
          <w:tcPr>
            <w:tcW w:w="2410" w:type="dxa"/>
            <w:gridSpan w:val="3"/>
            <w:shd w:val="clear" w:color="auto" w:fill="92CDDC"/>
          </w:tcPr>
          <w:p>
            <w:pPr>
              <w:pStyle w:val="TableParagraph"/>
              <w:spacing w:line="248" w:lineRule="exact"/>
              <w:ind w:left="619"/>
              <w:rPr>
                <w:b/>
                <w:sz w:val="22"/>
              </w:rPr>
            </w:pPr>
            <w:r>
              <w:rPr>
                <w:b/>
                <w:sz w:val="22"/>
              </w:rPr>
              <w:t>0.00390625</w:t>
            </w:r>
          </w:p>
        </w:tc>
        <w:tc>
          <w:tcPr>
            <w:tcW w:w="1844" w:type="dxa"/>
            <w:gridSpan w:val="2"/>
            <w:shd w:val="clear" w:color="auto" w:fill="F9BE8F"/>
          </w:tcPr>
          <w:p>
            <w:pPr>
              <w:pStyle w:val="TableParagraph"/>
              <w:spacing w:line="248" w:lineRule="exact"/>
              <w:ind w:left="774" w:right="774"/>
              <w:jc w:val="center"/>
              <w:rPr>
                <w:b/>
                <w:sz w:val="22"/>
              </w:rPr>
            </w:pPr>
            <w:r>
              <w:rPr>
                <w:b/>
                <w:sz w:val="22"/>
              </w:rPr>
              <w:t>43</w:t>
            </w:r>
          </w:p>
        </w:tc>
        <w:tc>
          <w:tcPr>
            <w:tcW w:w="2126" w:type="dxa"/>
            <w:gridSpan w:val="3"/>
            <w:shd w:val="clear" w:color="auto" w:fill="F9BE8F"/>
          </w:tcPr>
          <w:p>
            <w:pPr>
              <w:pStyle w:val="TableParagraph"/>
              <w:spacing w:line="248" w:lineRule="exact"/>
              <w:ind w:left="0"/>
              <w:jc w:val="center"/>
              <w:rPr>
                <w:b/>
                <w:sz w:val="22"/>
              </w:rPr>
            </w:pPr>
            <w:r>
              <w:rPr>
                <w:b/>
                <w:w w:val="100"/>
                <w:sz w:val="22"/>
              </w:rPr>
              <w:t>1</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ind w:left="516" w:right="408" w:hanging="95"/>
              <w:rPr>
                <w:b/>
                <w:sz w:val="22"/>
              </w:rPr>
            </w:pPr>
            <w:r>
              <w:rPr>
                <w:b/>
                <w:sz w:val="22"/>
              </w:rPr>
              <w:t>Variables que intervienen:</w:t>
            </w:r>
          </w:p>
        </w:tc>
        <w:tc>
          <w:tcPr>
            <w:tcW w:w="10607" w:type="dxa"/>
            <w:gridSpan w:val="11"/>
          </w:tcPr>
          <w:p>
            <w:pPr>
              <w:pStyle w:val="TableParagraph"/>
              <w:ind w:right="103"/>
              <w:rPr>
                <w:sz w:val="22"/>
              </w:rPr>
            </w:pPr>
            <w:r>
              <w:rPr>
                <w:sz w:val="22"/>
              </w:rPr>
              <w:t>Procesos socioeconómicos internos y externos, historia, actores, CHPH, mercado.</w:t>
            </w:r>
          </w:p>
        </w:tc>
      </w:tr>
      <w:tr>
        <w:trPr>
          <w:trHeight w:val="516" w:hRule="exact"/>
        </w:trPr>
        <w:tc>
          <w:tcPr>
            <w:tcW w:w="2290" w:type="dxa"/>
            <w:gridSpan w:val="3"/>
          </w:tcPr>
          <w:p>
            <w:pPr>
              <w:pStyle w:val="TableParagraph"/>
              <w:spacing w:line="251" w:lineRule="exact"/>
              <w:ind w:left="453"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4" w:hRule="exact"/>
        </w:trPr>
        <w:tc>
          <w:tcPr>
            <w:tcW w:w="12897" w:type="dxa"/>
            <w:gridSpan w:val="14"/>
          </w:tcPr>
          <w:p>
            <w:pPr>
              <w:pStyle w:val="TableParagraph"/>
              <w:spacing w:line="251" w:lineRule="exact"/>
              <w:ind w:left="172" w:right="173"/>
              <w:jc w:val="center"/>
              <w:rPr>
                <w:b/>
                <w:sz w:val="22"/>
              </w:rPr>
            </w:pPr>
            <w:r>
              <w:rPr>
                <w:b/>
                <w:sz w:val="22"/>
              </w:rPr>
              <w:t>DEFINICIÓN</w:t>
            </w:r>
          </w:p>
        </w:tc>
      </w:tr>
      <w:tr>
        <w:trPr>
          <w:trHeight w:val="516" w:hRule="exact"/>
        </w:trPr>
        <w:tc>
          <w:tcPr>
            <w:tcW w:w="12897" w:type="dxa"/>
            <w:gridSpan w:val="14"/>
          </w:tcPr>
          <w:p>
            <w:pPr>
              <w:pStyle w:val="TableParagraph"/>
              <w:spacing w:line="242" w:lineRule="auto"/>
              <w:ind w:right="163"/>
              <w:rPr>
                <w:sz w:val="22"/>
              </w:rPr>
            </w:pPr>
            <w:r>
              <w:rPr>
                <w:sz w:val="22"/>
              </w:rPr>
              <w:t>Son los principales procesos socioeconómicos internos y externos que han involucrado históricamente a los actores de la CHPH en las relaciones de mercado (Cfr. Hecht, 1976; White, 2012 y García, TC: 2013-2015).</w:t>
            </w:r>
          </w:p>
        </w:tc>
      </w:tr>
      <w:tr>
        <w:trPr>
          <w:trHeight w:val="264"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9"/>
          </w:tcPr>
          <w:p>
            <w:pPr>
              <w:pStyle w:val="TableParagraph"/>
              <w:spacing w:line="248" w:lineRule="exact"/>
              <w:ind w:left="2419" w:right="108"/>
              <w:rPr>
                <w:b/>
                <w:sz w:val="22"/>
              </w:rPr>
            </w:pPr>
            <w:r>
              <w:rPr>
                <w:b/>
                <w:sz w:val="22"/>
              </w:rPr>
              <w:t>Definición de la unidad de medición</w:t>
            </w:r>
          </w:p>
        </w:tc>
      </w:tr>
      <w:tr>
        <w:trPr>
          <w:trHeight w:val="769" w:hRule="exact"/>
        </w:trPr>
        <w:tc>
          <w:tcPr>
            <w:tcW w:w="4295" w:type="dxa"/>
            <w:gridSpan w:val="5"/>
          </w:tcPr>
          <w:p>
            <w:pPr>
              <w:pStyle w:val="TableParagraph"/>
              <w:ind w:right="100"/>
              <w:jc w:val="both"/>
              <w:rPr>
                <w:sz w:val="22"/>
              </w:rPr>
            </w:pPr>
            <w:r>
              <w:rPr>
                <w:sz w:val="22"/>
              </w:rPr>
              <w:t>Procesos socioeconómicos históricos internos y externos de los actores de la CHPH (adimensional).</w:t>
            </w:r>
          </w:p>
        </w:tc>
        <w:tc>
          <w:tcPr>
            <w:tcW w:w="8603" w:type="dxa"/>
            <w:gridSpan w:val="9"/>
          </w:tcPr>
          <w:p>
            <w:pPr>
              <w:pStyle w:val="TableParagraph"/>
              <w:spacing w:line="252" w:lineRule="exact" w:before="2"/>
              <w:ind w:right="252"/>
              <w:rPr>
                <w:sz w:val="22"/>
              </w:rPr>
            </w:pPr>
            <w:r>
              <w:rPr>
                <w:sz w:val="22"/>
              </w:rPr>
              <w:t>Principales estructuras históricas internas y externas de los actores de la CHPH que han generado sus relaciones socioeconómicas.</w:t>
            </w:r>
          </w:p>
          <w:p>
            <w:pPr>
              <w:pStyle w:val="TableParagraph"/>
              <w:spacing w:line="251" w:lineRule="exact"/>
              <w:ind w:right="108"/>
              <w:rPr>
                <w:sz w:val="22"/>
              </w:rPr>
            </w:pPr>
            <w:r>
              <w:rPr>
                <w:sz w:val="22"/>
              </w:rPr>
              <w:t>(Ejemplo: La construcción de la presa Huapango y el Tratado de Libre Comercio)</w:t>
            </w:r>
          </w:p>
        </w:tc>
      </w:tr>
    </w:tbl>
    <w:p>
      <w:pPr>
        <w:spacing w:after="0" w:line="251" w:lineRule="exact"/>
        <w:rPr>
          <w:sz w:val="22"/>
        </w:rPr>
        <w:sectPr>
          <w:pgSz w:w="15840" w:h="12240" w:orient="landscape"/>
          <w:pgMar w:header="0" w:footer="943" w:top="1140" w:bottom="1140" w:left="1200" w:right="1300"/>
        </w:sectPr>
      </w:pPr>
    </w:p>
    <w:p>
      <w:pPr>
        <w:pStyle w:val="BodyText"/>
        <w:rPr>
          <w:b/>
          <w:sz w:val="20"/>
        </w:rPr>
      </w:pPr>
    </w:p>
    <w:p>
      <w:pPr>
        <w:pStyle w:val="BodyText"/>
        <w:spacing w:before="11"/>
        <w:rPr>
          <w:b/>
        </w:rPr>
      </w:pPr>
    </w:p>
    <w:p>
      <w:pPr>
        <w:pStyle w:val="Heading6"/>
        <w:spacing w:before="73"/>
        <w:ind w:left="5825" w:right="397" w:hanging="5079"/>
      </w:pPr>
      <w:r>
        <w:rPr/>
        <w:pict>
          <v:group style="position:absolute;margin-left:65.269997pt;margin-top:3.157898pt;width:650.9pt;height:410.5pt;mso-position-horizontal-relative:page;mso-position-vertical-relative:paragraph;z-index:-3328888" coordorigin="1305,63" coordsize="13018,8210">
            <v:line style="position:absolute" from="1315,73" to="14313,73" stroked="true" strokeweight=".48pt" strokecolor="#000000"/>
            <v:line style="position:absolute" from="1315,615" to="14313,615" stroked="true" strokeweight=".48pt" strokecolor="#000000"/>
            <v:line style="position:absolute" from="1310,68" to="1310,8268" stroked="true" strokeweight=".48pt" strokecolor="#000000"/>
            <v:line style="position:absolute" from="1315,8263" to="14313,8263" stroked="true" strokeweight=".48001pt" strokecolor="#000000"/>
            <v:line style="position:absolute" from="14318,68" to="14318,8268" stroked="true" strokeweight=".47998pt" strokecolor="#000000"/>
            <v:shape style="position:absolute;left:1822;top:872;width:11980;height:7384" type="#_x0000_t75" stroked="false">
              <v:imagedata r:id="rId485" o:title=""/>
            </v:shape>
            <w10:wrap type="none"/>
          </v:group>
        </w:pict>
      </w:r>
      <w:r>
        <w:rPr/>
        <w:t>ANÁLISIS-CAUSA EFECTO DEL INDICADOR BAJO UN SISTEMA PEIR PARA LA DEFINICIÓN DE LA ESCALA DE CALIFICACIÓN</w:t>
      </w:r>
    </w:p>
    <w:p>
      <w:pPr>
        <w:spacing w:after="0"/>
        <w:sectPr>
          <w:footerReference w:type="default" r:id="rId484"/>
          <w:pgSz w:w="15840" w:h="12240" w:orient="landscape"/>
          <w:pgMar w:footer="943" w:header="0" w:top="1140" w:bottom="1140" w:left="1200" w:right="1300"/>
          <w:pgNumType w:start="700"/>
        </w:sectPr>
      </w:pPr>
    </w:p>
    <w:p>
      <w:pPr>
        <w:pStyle w:val="BodyText"/>
        <w:rPr>
          <w:rFonts w:ascii="Times New Roman"/>
          <w:sz w:val="20"/>
        </w:rPr>
      </w:pPr>
      <w:r>
        <w:rPr/>
        <w:drawing>
          <wp:anchor distT="0" distB="0" distL="0" distR="0" allowOverlap="1" layoutInCell="1" locked="0" behindDoc="0" simplePos="0" relativeHeight="14560">
            <wp:simplePos x="0" y="0"/>
            <wp:positionH relativeFrom="page">
              <wp:posOffset>876300</wp:posOffset>
            </wp:positionH>
            <wp:positionV relativeFrom="page">
              <wp:posOffset>1735454</wp:posOffset>
            </wp:positionV>
            <wp:extent cx="5259040" cy="2087879"/>
            <wp:effectExtent l="0" t="0" r="0" b="0"/>
            <wp:wrapNone/>
            <wp:docPr id="87" name="image351.png" descr=""/>
            <wp:cNvGraphicFramePr>
              <a:graphicFrameLocks noChangeAspect="1"/>
            </wp:cNvGraphicFramePr>
            <a:graphic>
              <a:graphicData uri="http://schemas.openxmlformats.org/drawingml/2006/picture">
                <pic:pic>
                  <pic:nvPicPr>
                    <pic:cNvPr id="88" name="image351.png"/>
                    <pic:cNvPicPr/>
                  </pic:nvPicPr>
                  <pic:blipFill>
                    <a:blip r:embed="rId486" cstate="print"/>
                    <a:stretch>
                      <a:fillRect/>
                    </a:stretch>
                  </pic:blipFill>
                  <pic:spPr>
                    <a:xfrm>
                      <a:off x="0" y="0"/>
                      <a:ext cx="5259040" cy="2087879"/>
                    </a:xfrm>
                    <a:prstGeom prst="rect">
                      <a:avLst/>
                    </a:prstGeom>
                  </pic:spPr>
                </pic:pic>
              </a:graphicData>
            </a:graphic>
          </wp:anchor>
        </w:drawing>
      </w:r>
      <w:r>
        <w:rPr/>
        <w:pict>
          <v:shape style="position:absolute;margin-left:497.350006pt;margin-top:143.539993pt;width:163.75pt;height:145.25pt;mso-position-horizontal-relative:page;mso-position-vertical-relative:page;z-index:145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80"/>
                    <w:gridCol w:w="1580"/>
                  </w:tblGrid>
                  <w:tr>
                    <w:trPr>
                      <w:trHeight w:val="264" w:hRule="exact"/>
                    </w:trPr>
                    <w:tc>
                      <w:tcPr>
                        <w:tcW w:w="1680" w:type="dxa"/>
                      </w:tcPr>
                      <w:p>
                        <w:pPr>
                          <w:pStyle w:val="TableParagraph"/>
                          <w:spacing w:line="248" w:lineRule="exact"/>
                          <w:rPr>
                            <w:b/>
                            <w:sz w:val="22"/>
                          </w:rPr>
                        </w:pPr>
                        <w:r>
                          <w:rPr>
                            <w:b/>
                            <w:sz w:val="22"/>
                          </w:rPr>
                          <w:t>Período</w:t>
                        </w:r>
                      </w:p>
                    </w:tc>
                    <w:tc>
                      <w:tcPr>
                        <w:tcW w:w="1580" w:type="dxa"/>
                      </w:tcPr>
                      <w:p>
                        <w:pPr>
                          <w:pStyle w:val="TableParagraph"/>
                          <w:spacing w:line="248" w:lineRule="exact"/>
                          <w:rPr>
                            <w:b/>
                            <w:sz w:val="22"/>
                          </w:rPr>
                        </w:pPr>
                        <w:r>
                          <w:rPr>
                            <w:b/>
                            <w:sz w:val="22"/>
                          </w:rPr>
                          <w:t>Calificación</w:t>
                        </w:r>
                      </w:p>
                    </w:tc>
                  </w:tr>
                  <w:tr>
                    <w:trPr>
                      <w:trHeight w:val="262" w:hRule="exact"/>
                    </w:trPr>
                    <w:tc>
                      <w:tcPr>
                        <w:tcW w:w="1680" w:type="dxa"/>
                      </w:tcPr>
                      <w:p>
                        <w:pPr>
                          <w:pStyle w:val="TableParagraph"/>
                          <w:spacing w:line="251" w:lineRule="exact"/>
                          <w:rPr>
                            <w:sz w:val="22"/>
                          </w:rPr>
                        </w:pPr>
                        <w:r>
                          <w:rPr>
                            <w:sz w:val="22"/>
                          </w:rPr>
                          <w:t>1400</w:t>
                        </w:r>
                      </w:p>
                    </w:tc>
                    <w:tc>
                      <w:tcPr>
                        <w:tcW w:w="1580" w:type="dxa"/>
                      </w:tcPr>
                      <w:p>
                        <w:pPr>
                          <w:pStyle w:val="TableParagraph"/>
                          <w:spacing w:line="251" w:lineRule="exact"/>
                          <w:rPr>
                            <w:sz w:val="22"/>
                          </w:rPr>
                        </w:pPr>
                        <w:r>
                          <w:rPr>
                            <w:sz w:val="22"/>
                          </w:rPr>
                          <w:t>Excelente</w:t>
                        </w:r>
                      </w:p>
                    </w:tc>
                  </w:tr>
                  <w:tr>
                    <w:trPr>
                      <w:trHeight w:val="264" w:hRule="exact"/>
                    </w:trPr>
                    <w:tc>
                      <w:tcPr>
                        <w:tcW w:w="1680" w:type="dxa"/>
                      </w:tcPr>
                      <w:p>
                        <w:pPr>
                          <w:pStyle w:val="TableParagraph"/>
                          <w:rPr>
                            <w:sz w:val="22"/>
                          </w:rPr>
                        </w:pPr>
                        <w:r>
                          <w:rPr>
                            <w:sz w:val="22"/>
                          </w:rPr>
                          <w:t>1519</w:t>
                        </w:r>
                      </w:p>
                    </w:tc>
                    <w:tc>
                      <w:tcPr>
                        <w:tcW w:w="1580" w:type="dxa"/>
                      </w:tcPr>
                      <w:p>
                        <w:pPr>
                          <w:pStyle w:val="TableParagraph"/>
                          <w:rPr>
                            <w:sz w:val="22"/>
                          </w:rPr>
                        </w:pPr>
                        <w:r>
                          <w:rPr>
                            <w:sz w:val="22"/>
                          </w:rPr>
                          <w:t>Excelente</w:t>
                        </w:r>
                      </w:p>
                    </w:tc>
                  </w:tr>
                  <w:tr>
                    <w:trPr>
                      <w:trHeight w:val="265" w:hRule="exact"/>
                    </w:trPr>
                    <w:tc>
                      <w:tcPr>
                        <w:tcW w:w="1680" w:type="dxa"/>
                      </w:tcPr>
                      <w:p>
                        <w:pPr>
                          <w:pStyle w:val="TableParagraph"/>
                          <w:spacing w:line="251" w:lineRule="exact"/>
                          <w:rPr>
                            <w:sz w:val="22"/>
                          </w:rPr>
                        </w:pPr>
                        <w:r>
                          <w:rPr>
                            <w:sz w:val="22"/>
                          </w:rPr>
                          <w:t>1580</w:t>
                        </w:r>
                      </w:p>
                    </w:tc>
                    <w:tc>
                      <w:tcPr>
                        <w:tcW w:w="1580" w:type="dxa"/>
                      </w:tcPr>
                      <w:p>
                        <w:pPr>
                          <w:pStyle w:val="TableParagraph"/>
                          <w:spacing w:line="251" w:lineRule="exact"/>
                          <w:rPr>
                            <w:sz w:val="22"/>
                          </w:rPr>
                        </w:pPr>
                        <w:r>
                          <w:rPr>
                            <w:sz w:val="22"/>
                          </w:rPr>
                          <w:t>Excelente</w:t>
                        </w:r>
                      </w:p>
                    </w:tc>
                  </w:tr>
                  <w:tr>
                    <w:trPr>
                      <w:trHeight w:val="262" w:hRule="exact"/>
                    </w:trPr>
                    <w:tc>
                      <w:tcPr>
                        <w:tcW w:w="1680" w:type="dxa"/>
                      </w:tcPr>
                      <w:p>
                        <w:pPr>
                          <w:pStyle w:val="TableParagraph"/>
                          <w:spacing w:line="251" w:lineRule="exact"/>
                          <w:rPr>
                            <w:sz w:val="22"/>
                          </w:rPr>
                        </w:pPr>
                        <w:r>
                          <w:rPr>
                            <w:sz w:val="22"/>
                          </w:rPr>
                          <w:t>1785</w:t>
                        </w:r>
                      </w:p>
                    </w:tc>
                    <w:tc>
                      <w:tcPr>
                        <w:tcW w:w="1580" w:type="dxa"/>
                      </w:tcPr>
                      <w:p>
                        <w:pPr>
                          <w:pStyle w:val="TableParagraph"/>
                          <w:spacing w:line="251" w:lineRule="exact"/>
                          <w:rPr>
                            <w:sz w:val="22"/>
                          </w:rPr>
                        </w:pPr>
                        <w:r>
                          <w:rPr>
                            <w:sz w:val="22"/>
                          </w:rPr>
                          <w:t>Excelente</w:t>
                        </w:r>
                      </w:p>
                    </w:tc>
                  </w:tr>
                  <w:tr>
                    <w:trPr>
                      <w:trHeight w:val="264" w:hRule="exact"/>
                    </w:trPr>
                    <w:tc>
                      <w:tcPr>
                        <w:tcW w:w="1680" w:type="dxa"/>
                      </w:tcPr>
                      <w:p>
                        <w:pPr>
                          <w:pStyle w:val="TableParagraph"/>
                          <w:spacing w:line="251" w:lineRule="exact"/>
                          <w:rPr>
                            <w:sz w:val="22"/>
                          </w:rPr>
                        </w:pPr>
                        <w:r>
                          <w:rPr>
                            <w:sz w:val="22"/>
                          </w:rPr>
                          <w:t>1810</w:t>
                        </w:r>
                      </w:p>
                    </w:tc>
                    <w:tc>
                      <w:tcPr>
                        <w:tcW w:w="1580" w:type="dxa"/>
                      </w:tcPr>
                      <w:p>
                        <w:pPr>
                          <w:pStyle w:val="TableParagraph"/>
                          <w:spacing w:line="251" w:lineRule="exact"/>
                          <w:rPr>
                            <w:sz w:val="22"/>
                          </w:rPr>
                        </w:pPr>
                        <w:r>
                          <w:rPr>
                            <w:sz w:val="22"/>
                          </w:rPr>
                          <w:t>Excelente</w:t>
                        </w:r>
                      </w:p>
                    </w:tc>
                  </w:tr>
                  <w:tr>
                    <w:trPr>
                      <w:trHeight w:val="262" w:hRule="exact"/>
                    </w:trPr>
                    <w:tc>
                      <w:tcPr>
                        <w:tcW w:w="1680" w:type="dxa"/>
                      </w:tcPr>
                      <w:p>
                        <w:pPr>
                          <w:pStyle w:val="TableParagraph"/>
                          <w:spacing w:line="251" w:lineRule="exact"/>
                          <w:rPr>
                            <w:sz w:val="22"/>
                          </w:rPr>
                        </w:pPr>
                        <w:r>
                          <w:rPr>
                            <w:sz w:val="22"/>
                          </w:rPr>
                          <w:t>1861</w:t>
                        </w:r>
                      </w:p>
                    </w:tc>
                    <w:tc>
                      <w:tcPr>
                        <w:tcW w:w="1580" w:type="dxa"/>
                      </w:tcPr>
                      <w:p>
                        <w:pPr>
                          <w:pStyle w:val="TableParagraph"/>
                          <w:spacing w:line="251" w:lineRule="exact"/>
                          <w:rPr>
                            <w:sz w:val="22"/>
                          </w:rPr>
                        </w:pPr>
                        <w:r>
                          <w:rPr>
                            <w:sz w:val="22"/>
                          </w:rPr>
                          <w:t>Excelente</w:t>
                        </w:r>
                      </w:p>
                    </w:tc>
                  </w:tr>
                  <w:tr>
                    <w:trPr>
                      <w:trHeight w:val="264" w:hRule="exact"/>
                    </w:trPr>
                    <w:tc>
                      <w:tcPr>
                        <w:tcW w:w="1680" w:type="dxa"/>
                      </w:tcPr>
                      <w:p>
                        <w:pPr>
                          <w:pStyle w:val="TableParagraph"/>
                          <w:spacing w:line="251" w:lineRule="exact"/>
                          <w:rPr>
                            <w:sz w:val="22"/>
                          </w:rPr>
                        </w:pPr>
                        <w:r>
                          <w:rPr>
                            <w:sz w:val="22"/>
                          </w:rPr>
                          <w:t>1910</w:t>
                        </w:r>
                      </w:p>
                    </w:tc>
                    <w:tc>
                      <w:tcPr>
                        <w:tcW w:w="1580" w:type="dxa"/>
                      </w:tcPr>
                      <w:p>
                        <w:pPr>
                          <w:pStyle w:val="TableParagraph"/>
                          <w:spacing w:line="251" w:lineRule="exact"/>
                          <w:rPr>
                            <w:sz w:val="22"/>
                          </w:rPr>
                        </w:pPr>
                        <w:r>
                          <w:rPr>
                            <w:sz w:val="22"/>
                          </w:rPr>
                          <w:t>Excelente</w:t>
                        </w:r>
                      </w:p>
                    </w:tc>
                  </w:tr>
                  <w:tr>
                    <w:trPr>
                      <w:trHeight w:val="262" w:hRule="exact"/>
                    </w:trPr>
                    <w:tc>
                      <w:tcPr>
                        <w:tcW w:w="1680" w:type="dxa"/>
                      </w:tcPr>
                      <w:p>
                        <w:pPr>
                          <w:pStyle w:val="TableParagraph"/>
                          <w:spacing w:line="251" w:lineRule="exact"/>
                          <w:rPr>
                            <w:sz w:val="22"/>
                          </w:rPr>
                        </w:pPr>
                        <w:r>
                          <w:rPr>
                            <w:sz w:val="22"/>
                          </w:rPr>
                          <w:t>1940</w:t>
                        </w:r>
                      </w:p>
                    </w:tc>
                    <w:tc>
                      <w:tcPr>
                        <w:tcW w:w="1580" w:type="dxa"/>
                      </w:tcPr>
                      <w:p>
                        <w:pPr>
                          <w:pStyle w:val="TableParagraph"/>
                          <w:spacing w:line="251" w:lineRule="exact"/>
                          <w:rPr>
                            <w:sz w:val="22"/>
                          </w:rPr>
                        </w:pPr>
                        <w:r>
                          <w:rPr>
                            <w:sz w:val="22"/>
                          </w:rPr>
                          <w:t>Excelente</w:t>
                        </w:r>
                      </w:p>
                    </w:tc>
                  </w:tr>
                  <w:tr>
                    <w:trPr>
                      <w:trHeight w:val="264" w:hRule="exact"/>
                    </w:trPr>
                    <w:tc>
                      <w:tcPr>
                        <w:tcW w:w="1680" w:type="dxa"/>
                      </w:tcPr>
                      <w:p>
                        <w:pPr>
                          <w:pStyle w:val="TableParagraph"/>
                          <w:rPr>
                            <w:sz w:val="22"/>
                          </w:rPr>
                        </w:pPr>
                        <w:r>
                          <w:rPr>
                            <w:sz w:val="22"/>
                          </w:rPr>
                          <w:t>1982</w:t>
                        </w:r>
                      </w:p>
                    </w:tc>
                    <w:tc>
                      <w:tcPr>
                        <w:tcW w:w="1580" w:type="dxa"/>
                      </w:tcPr>
                      <w:p>
                        <w:pPr>
                          <w:pStyle w:val="TableParagraph"/>
                          <w:rPr>
                            <w:sz w:val="22"/>
                          </w:rPr>
                        </w:pPr>
                        <w:r>
                          <w:rPr>
                            <w:sz w:val="22"/>
                          </w:rPr>
                          <w:t>Deficiente</w:t>
                        </w:r>
                      </w:p>
                    </w:tc>
                  </w:tr>
                  <w:tr>
                    <w:trPr>
                      <w:trHeight w:val="264" w:hRule="exact"/>
                    </w:trPr>
                    <w:tc>
                      <w:tcPr>
                        <w:tcW w:w="1680" w:type="dxa"/>
                      </w:tcPr>
                      <w:p>
                        <w:pPr>
                          <w:pStyle w:val="TableParagraph"/>
                          <w:spacing w:line="251" w:lineRule="exact"/>
                          <w:rPr>
                            <w:sz w:val="22"/>
                          </w:rPr>
                        </w:pPr>
                        <w:r>
                          <w:rPr>
                            <w:sz w:val="22"/>
                          </w:rPr>
                          <w:t>2016</w:t>
                        </w:r>
                      </w:p>
                    </w:tc>
                    <w:tc>
                      <w:tcPr>
                        <w:tcW w:w="1580" w:type="dxa"/>
                      </w:tcPr>
                      <w:p>
                        <w:pPr>
                          <w:pStyle w:val="TableParagraph"/>
                          <w:spacing w:line="251" w:lineRule="exact"/>
                          <w:rPr>
                            <w:sz w:val="22"/>
                          </w:rPr>
                        </w:pPr>
                        <w:r>
                          <w:rPr>
                            <w:sz w:val="22"/>
                          </w:rPr>
                          <w:t>Deficiente</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798"/>
        <w:gridCol w:w="1352"/>
        <w:gridCol w:w="3343"/>
        <w:gridCol w:w="1464"/>
        <w:gridCol w:w="2324"/>
        <w:gridCol w:w="1586"/>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4859" w:hRule="exact"/>
        </w:trPr>
        <w:tc>
          <w:tcPr>
            <w:tcW w:w="12822" w:type="dxa"/>
            <w:gridSpan w:val="7"/>
          </w:tcPr>
          <w:p>
            <w:pPr>
              <w:pStyle w:val="TableParagraph"/>
              <w:spacing w:line="242" w:lineRule="auto"/>
              <w:ind w:left="27" w:right="57"/>
              <w:rPr>
                <w:sz w:val="22"/>
              </w:rPr>
            </w:pPr>
            <w:r>
              <w:rPr>
                <w:sz w:val="22"/>
              </w:rPr>
              <w:t>En la siguiente gráfica se puede identificar la transformación del indicador en el tiempo en la CHPH mediante categorías de calificación de acuerdo a su impacto en los ámbitos ambiental, sociopolítico y económico:</w:t>
            </w:r>
          </w:p>
          <w:p>
            <w:pPr>
              <w:pStyle w:val="TableParagraph"/>
              <w:spacing w:line="247" w:lineRule="exact"/>
              <w:ind w:left="3390" w:right="57"/>
              <w:rPr>
                <w:b/>
                <w:sz w:val="22"/>
              </w:rPr>
            </w:pPr>
            <w:r>
              <w:rPr>
                <w:b/>
                <w:sz w:val="22"/>
              </w:rPr>
              <w:t>Gráfica 7.17.</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3"/>
              <w:ind w:left="0"/>
              <w:rPr>
                <w:rFonts w:ascii="Times New Roman"/>
                <w:sz w:val="25"/>
              </w:rPr>
            </w:pPr>
          </w:p>
          <w:p>
            <w:pPr>
              <w:pStyle w:val="TableParagraph"/>
              <w:spacing w:line="51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798" w:type="dxa"/>
            <w:vMerge w:val="restart"/>
          </w:tcPr>
          <w:p>
            <w:pPr>
              <w:pStyle w:val="TableParagraph"/>
              <w:tabs>
                <w:tab w:pos="1463" w:val="left" w:leader="none"/>
              </w:tabs>
              <w:ind w:right="101"/>
              <w:jc w:val="both"/>
              <w:rPr>
                <w:sz w:val="20"/>
              </w:rPr>
            </w:pPr>
            <w:r>
              <w:rPr>
                <w:sz w:val="20"/>
              </w:rPr>
              <w:t>Clasificación por número</w:t>
              <w:tab/>
              <w:t>de</w:t>
            </w:r>
            <w:r>
              <w:rPr>
                <w:w w:val="99"/>
                <w:sz w:val="20"/>
              </w:rPr>
              <w:t> </w:t>
            </w:r>
            <w:r>
              <w:rPr>
                <w:sz w:val="20"/>
              </w:rPr>
              <w:t>eventos en el período</w:t>
            </w:r>
          </w:p>
        </w:tc>
        <w:tc>
          <w:tcPr>
            <w:tcW w:w="8483" w:type="dxa"/>
            <w:gridSpan w:val="4"/>
          </w:tcPr>
          <w:p>
            <w:pPr>
              <w:pStyle w:val="TableParagraph"/>
              <w:ind w:right="105"/>
              <w:rPr>
                <w:sz w:val="20"/>
              </w:rPr>
            </w:pPr>
            <w:r>
              <w:rPr>
                <w:sz w:val="20"/>
              </w:rPr>
              <w:t>Clasificación por </w:t>
            </w:r>
            <w:r>
              <w:rPr>
                <w:b/>
                <w:sz w:val="20"/>
              </w:rPr>
              <w:t>características de impacto positivo o negativo </w:t>
            </w:r>
            <w:r>
              <w:rPr>
                <w:sz w:val="20"/>
              </w:rPr>
              <w:t>en los ámbitos ambiental- sociopolítico-económico</w:t>
            </w:r>
          </w:p>
        </w:tc>
        <w:tc>
          <w:tcPr>
            <w:tcW w:w="1586" w:type="dxa"/>
            <w:vMerge w:val="restart"/>
            <w:tcBorders>
              <w:right w:val="double" w:sz="12" w:space="0" w:color="000000"/>
            </w:tcBorders>
          </w:tcPr>
          <w:p>
            <w:pPr>
              <w:pStyle w:val="TableParagraph"/>
              <w:spacing w:before="119"/>
              <w:ind w:left="216" w:right="215"/>
              <w:jc w:val="center"/>
              <w:rPr>
                <w:sz w:val="20"/>
              </w:rPr>
            </w:pPr>
            <w:r>
              <w:rPr>
                <w:w w:val="95"/>
                <w:sz w:val="20"/>
              </w:rPr>
              <w:t>Clasificación </w:t>
            </w:r>
            <w:r>
              <w:rPr>
                <w:sz w:val="20"/>
              </w:rPr>
              <w:t>de la calificación</w:t>
            </w:r>
          </w:p>
        </w:tc>
      </w:tr>
      <w:tr>
        <w:trPr>
          <w:trHeight w:val="470" w:hRule="exact"/>
        </w:trPr>
        <w:tc>
          <w:tcPr>
            <w:tcW w:w="954" w:type="dxa"/>
            <w:vMerge/>
            <w:tcBorders>
              <w:left w:val="double" w:sz="11" w:space="0" w:color="000000"/>
            </w:tcBorders>
          </w:tcPr>
          <w:p>
            <w:pPr/>
          </w:p>
        </w:tc>
        <w:tc>
          <w:tcPr>
            <w:tcW w:w="1798" w:type="dxa"/>
            <w:vMerge/>
          </w:tcPr>
          <w:p>
            <w:pPr/>
          </w:p>
        </w:tc>
        <w:tc>
          <w:tcPr>
            <w:tcW w:w="1352" w:type="dxa"/>
          </w:tcPr>
          <w:p>
            <w:pPr>
              <w:pStyle w:val="TableParagraph"/>
              <w:spacing w:line="227" w:lineRule="exact"/>
              <w:rPr>
                <w:sz w:val="20"/>
              </w:rPr>
            </w:pPr>
            <w:r>
              <w:rPr>
                <w:sz w:val="20"/>
              </w:rPr>
              <w:t>Subsistema</w:t>
            </w:r>
          </w:p>
        </w:tc>
        <w:tc>
          <w:tcPr>
            <w:tcW w:w="3343" w:type="dxa"/>
          </w:tcPr>
          <w:p>
            <w:pPr>
              <w:pStyle w:val="TableParagraph"/>
              <w:spacing w:line="227" w:lineRule="exact"/>
              <w:rPr>
                <w:sz w:val="20"/>
              </w:rPr>
            </w:pPr>
            <w:r>
              <w:rPr>
                <w:sz w:val="20"/>
              </w:rPr>
              <w:t>características</w:t>
            </w:r>
          </w:p>
        </w:tc>
        <w:tc>
          <w:tcPr>
            <w:tcW w:w="1464" w:type="dxa"/>
          </w:tcPr>
          <w:p>
            <w:pPr>
              <w:pStyle w:val="TableParagraph"/>
              <w:tabs>
                <w:tab w:pos="1130" w:val="left" w:leader="none"/>
              </w:tabs>
              <w:spacing w:line="227" w:lineRule="exact"/>
              <w:rPr>
                <w:sz w:val="20"/>
              </w:rPr>
            </w:pPr>
            <w:r>
              <w:rPr>
                <w:sz w:val="20"/>
              </w:rPr>
              <w:t>%</w:t>
              <w:tab/>
              <w:t>de</w:t>
            </w:r>
          </w:p>
          <w:p>
            <w:pPr>
              <w:pStyle w:val="TableParagraph"/>
              <w:rPr>
                <w:sz w:val="20"/>
              </w:rPr>
            </w:pPr>
            <w:r>
              <w:rPr>
                <w:sz w:val="20"/>
              </w:rPr>
              <w:t>cumplimiento</w:t>
            </w:r>
          </w:p>
        </w:tc>
        <w:tc>
          <w:tcPr>
            <w:tcW w:w="2324" w:type="dxa"/>
          </w:tcPr>
          <w:p>
            <w:pPr>
              <w:pStyle w:val="TableParagraph"/>
              <w:spacing w:line="227" w:lineRule="exact"/>
              <w:rPr>
                <w:sz w:val="20"/>
              </w:rPr>
            </w:pPr>
            <w:r>
              <w:rPr>
                <w:sz w:val="20"/>
              </w:rPr>
              <w:t>Observaciones</w:t>
            </w:r>
          </w:p>
        </w:tc>
        <w:tc>
          <w:tcPr>
            <w:tcW w:w="1586" w:type="dxa"/>
            <w:vMerge/>
            <w:tcBorders>
              <w:right w:val="double" w:sz="12" w:space="0" w:color="000000"/>
            </w:tcBorders>
          </w:tcPr>
          <w:p>
            <w:pPr/>
          </w:p>
        </w:tc>
      </w:tr>
      <w:tr>
        <w:trPr>
          <w:trHeight w:val="1164"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115"/>
              <w:ind w:left="209" w:right="212"/>
              <w:jc w:val="center"/>
              <w:rPr>
                <w:sz w:val="20"/>
              </w:rPr>
            </w:pPr>
            <w:r>
              <w:rPr>
                <w:sz w:val="20"/>
              </w:rPr>
              <w:t>1400</w:t>
            </w:r>
          </w:p>
        </w:tc>
        <w:tc>
          <w:tcPr>
            <w:tcW w:w="1798" w:type="dxa"/>
            <w:vMerge w:val="restart"/>
          </w:tcPr>
          <w:p>
            <w:pPr/>
          </w:p>
        </w:tc>
        <w:tc>
          <w:tcPr>
            <w:tcW w:w="1352" w:type="dxa"/>
            <w:vMerge w:val="restart"/>
          </w:tcPr>
          <w:p>
            <w:pPr>
              <w:pStyle w:val="TableParagraph"/>
              <w:spacing w:line="227" w:lineRule="exact"/>
              <w:rPr>
                <w:sz w:val="20"/>
              </w:rPr>
            </w:pPr>
            <w:r>
              <w:rPr>
                <w:sz w:val="20"/>
              </w:rPr>
              <w:t>Ambiental</w:t>
            </w:r>
          </w:p>
        </w:tc>
        <w:tc>
          <w:tcPr>
            <w:tcW w:w="3343" w:type="dxa"/>
            <w:vMerge w:val="restart"/>
          </w:tcPr>
          <w:p>
            <w:pPr>
              <w:pStyle w:val="TableParagraph"/>
              <w:numPr>
                <w:ilvl w:val="0"/>
                <w:numId w:val="251"/>
              </w:numPr>
              <w:tabs>
                <w:tab w:pos="812" w:val="left" w:leader="none"/>
              </w:tabs>
              <w:spacing w:line="240" w:lineRule="auto" w:before="0" w:after="0"/>
              <w:ind w:left="280" w:right="104" w:hanging="141"/>
              <w:jc w:val="both"/>
              <w:rPr>
                <w:sz w:val="20"/>
              </w:rPr>
            </w:pPr>
            <w:r>
              <w:rPr>
                <w:sz w:val="20"/>
              </w:rPr>
              <w:t>Existe relación entre agua- ambiente-sociedad</w:t>
            </w:r>
          </w:p>
          <w:p>
            <w:pPr>
              <w:pStyle w:val="TableParagraph"/>
              <w:numPr>
                <w:ilvl w:val="0"/>
                <w:numId w:val="251"/>
              </w:numPr>
              <w:tabs>
                <w:tab w:pos="812" w:val="left" w:leader="none"/>
              </w:tabs>
              <w:spacing w:line="240" w:lineRule="auto" w:before="0" w:after="0"/>
              <w:ind w:left="280" w:right="104" w:hanging="141"/>
              <w:jc w:val="both"/>
              <w:rPr>
                <w:sz w:val="20"/>
              </w:rPr>
            </w:pPr>
            <w:r>
              <w:rPr>
                <w:sz w:val="20"/>
              </w:rPr>
              <w:t>Existen instituciones para proteger el medio ambiente comprometidas con</w:t>
            </w:r>
            <w:r>
              <w:rPr>
                <w:spacing w:val="-8"/>
                <w:sz w:val="20"/>
              </w:rPr>
              <w:t> </w:t>
            </w:r>
            <w:r>
              <w:rPr>
                <w:sz w:val="20"/>
              </w:rPr>
              <w:t>éste</w:t>
            </w:r>
          </w:p>
          <w:p>
            <w:pPr>
              <w:pStyle w:val="TableParagraph"/>
              <w:numPr>
                <w:ilvl w:val="0"/>
                <w:numId w:val="251"/>
              </w:numPr>
              <w:tabs>
                <w:tab w:pos="812" w:val="left" w:leader="none"/>
              </w:tabs>
              <w:spacing w:line="240" w:lineRule="auto" w:before="0" w:after="0"/>
              <w:ind w:left="280" w:right="106" w:hanging="141"/>
              <w:jc w:val="both"/>
              <w:rPr>
                <w:sz w:val="20"/>
              </w:rPr>
            </w:pPr>
            <w:r>
              <w:rPr>
                <w:sz w:val="20"/>
              </w:rPr>
              <w:t>Existe conciencia o interés en los actores históricos para cuidar el medio</w:t>
            </w:r>
            <w:r>
              <w:rPr>
                <w:spacing w:val="-8"/>
                <w:sz w:val="20"/>
              </w:rPr>
              <w:t> </w:t>
            </w:r>
            <w:r>
              <w:rPr>
                <w:sz w:val="20"/>
              </w:rPr>
              <w:t>ambiente</w:t>
            </w:r>
          </w:p>
          <w:p>
            <w:pPr>
              <w:pStyle w:val="TableParagraph"/>
              <w:numPr>
                <w:ilvl w:val="0"/>
                <w:numId w:val="251"/>
              </w:numPr>
              <w:tabs>
                <w:tab w:pos="812" w:val="left" w:leader="none"/>
                <w:tab w:pos="2128" w:val="left" w:leader="none"/>
              </w:tabs>
              <w:spacing w:line="240" w:lineRule="auto" w:before="0" w:after="0"/>
              <w:ind w:left="280" w:right="105" w:hanging="141"/>
              <w:jc w:val="both"/>
              <w:rPr>
                <w:sz w:val="20"/>
              </w:rPr>
            </w:pPr>
            <w:r>
              <w:rPr>
                <w:sz w:val="20"/>
              </w:rPr>
              <w:t>Las</w:t>
              <w:tab/>
            </w:r>
            <w:r>
              <w:rPr>
                <w:w w:val="95"/>
                <w:sz w:val="20"/>
              </w:rPr>
              <w:t>instituciones </w:t>
            </w:r>
            <w:r>
              <w:rPr>
                <w:sz w:val="20"/>
              </w:rPr>
              <w:t>sociopolíticas como El Municipio y El Ejido  están  interesadas </w:t>
            </w:r>
            <w:r>
              <w:rPr>
                <w:spacing w:val="27"/>
                <w:sz w:val="20"/>
              </w:rPr>
              <w:t> </w:t>
            </w:r>
            <w:r>
              <w:rPr>
                <w:sz w:val="20"/>
              </w:rPr>
              <w:t>en</w:t>
            </w:r>
          </w:p>
        </w:tc>
        <w:tc>
          <w:tcPr>
            <w:tcW w:w="146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18"/>
              </w:rPr>
            </w:pPr>
          </w:p>
          <w:p>
            <w:pPr>
              <w:pStyle w:val="TableParagraph"/>
              <w:ind w:left="470"/>
              <w:rPr>
                <w:sz w:val="20"/>
              </w:rPr>
            </w:pPr>
            <w:r>
              <w:rPr>
                <w:sz w:val="20"/>
              </w:rPr>
              <w:t>100%</w:t>
            </w:r>
          </w:p>
        </w:tc>
        <w:tc>
          <w:tcPr>
            <w:tcW w:w="2324" w:type="dxa"/>
            <w:vMerge w:val="restart"/>
          </w:tcPr>
          <w:p>
            <w:pPr>
              <w:pStyle w:val="TableParagraph"/>
              <w:spacing w:line="242" w:lineRule="auto"/>
              <w:ind w:right="105"/>
              <w:jc w:val="both"/>
              <w:rPr>
                <w:sz w:val="20"/>
              </w:rPr>
            </w:pPr>
            <w:r>
              <w:rPr>
                <w:sz w:val="20"/>
              </w:rPr>
              <w:t>Debe reunir al </w:t>
            </w:r>
            <w:r>
              <w:rPr>
                <w:b/>
                <w:sz w:val="20"/>
              </w:rPr>
              <w:t>100%  las tres </w:t>
            </w:r>
            <w:r>
              <w:rPr>
                <w:sz w:val="20"/>
              </w:rPr>
              <w:t>características de impacto</w:t>
            </w:r>
            <w:r>
              <w:rPr>
                <w:spacing w:val="-8"/>
                <w:sz w:val="20"/>
              </w:rPr>
              <w:t> </w:t>
            </w:r>
            <w:r>
              <w:rPr>
                <w:sz w:val="20"/>
              </w:rPr>
              <w:t>positivo</w:t>
            </w:r>
          </w:p>
        </w:tc>
        <w:tc>
          <w:tcPr>
            <w:tcW w:w="1586"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7"/>
              </w:rPr>
            </w:pPr>
          </w:p>
          <w:p>
            <w:pPr>
              <w:pStyle w:val="TableParagraph"/>
              <w:ind w:left="302"/>
              <w:rPr>
                <w:b/>
                <w:sz w:val="20"/>
              </w:rPr>
            </w:pPr>
            <w:r>
              <w:rPr>
                <w:b/>
                <w:sz w:val="20"/>
              </w:rPr>
              <w:t>Excelente</w:t>
            </w:r>
          </w:p>
        </w:tc>
      </w:tr>
      <w:tr>
        <w:trPr>
          <w:trHeight w:val="1575" w:hRule="exact"/>
        </w:trPr>
        <w:tc>
          <w:tcPr>
            <w:tcW w:w="954" w:type="dxa"/>
            <w:tcBorders>
              <w:left w:val="double" w:sz="11" w:space="0" w:color="000000"/>
              <w:bottom w:val="double" w:sz="3"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17"/>
              </w:rPr>
            </w:pPr>
          </w:p>
          <w:p>
            <w:pPr>
              <w:pStyle w:val="TableParagraph"/>
              <w:ind w:left="209" w:right="212"/>
              <w:jc w:val="center"/>
              <w:rPr>
                <w:sz w:val="20"/>
              </w:rPr>
            </w:pPr>
            <w:r>
              <w:rPr>
                <w:sz w:val="20"/>
              </w:rPr>
              <w:t>1519</w:t>
            </w:r>
          </w:p>
        </w:tc>
        <w:tc>
          <w:tcPr>
            <w:tcW w:w="1798" w:type="dxa"/>
            <w:vMerge/>
            <w:tcBorders>
              <w:bottom w:val="double" w:sz="3" w:space="0" w:color="000000"/>
            </w:tcBorders>
          </w:tcPr>
          <w:p>
            <w:pPr/>
          </w:p>
        </w:tc>
        <w:tc>
          <w:tcPr>
            <w:tcW w:w="1352" w:type="dxa"/>
            <w:vMerge/>
            <w:tcBorders>
              <w:bottom w:val="double" w:sz="3" w:space="0" w:color="000000"/>
            </w:tcBorders>
          </w:tcPr>
          <w:p>
            <w:pPr/>
          </w:p>
        </w:tc>
        <w:tc>
          <w:tcPr>
            <w:tcW w:w="3343" w:type="dxa"/>
            <w:vMerge/>
            <w:tcBorders>
              <w:bottom w:val="double" w:sz="3" w:space="0" w:color="000000"/>
            </w:tcBorders>
          </w:tcPr>
          <w:p>
            <w:pPr/>
          </w:p>
        </w:tc>
        <w:tc>
          <w:tcPr>
            <w:tcW w:w="1464" w:type="dxa"/>
            <w:vMerge/>
            <w:tcBorders>
              <w:bottom w:val="double" w:sz="3" w:space="0" w:color="000000"/>
            </w:tcBorders>
          </w:tcPr>
          <w:p>
            <w:pPr/>
          </w:p>
        </w:tc>
        <w:tc>
          <w:tcPr>
            <w:tcW w:w="2324" w:type="dxa"/>
            <w:vMerge/>
            <w:tcBorders>
              <w:bottom w:val="double" w:sz="3" w:space="0" w:color="000000"/>
            </w:tcBorders>
          </w:tcPr>
          <w:p>
            <w:pPr/>
          </w:p>
        </w:tc>
        <w:tc>
          <w:tcPr>
            <w:tcW w:w="1586" w:type="dxa"/>
            <w:vMerge/>
            <w:tcBorders>
              <w:bottom w:val="double" w:sz="3" w:space="0" w:color="000000"/>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798"/>
        <w:gridCol w:w="1352"/>
        <w:gridCol w:w="3343"/>
        <w:gridCol w:w="1464"/>
        <w:gridCol w:w="2324"/>
        <w:gridCol w:w="1586"/>
      </w:tblGrid>
      <w:tr>
        <w:trPr>
          <w:trHeight w:val="938" w:hRule="exact"/>
        </w:trPr>
        <w:tc>
          <w:tcPr>
            <w:tcW w:w="954" w:type="dxa"/>
            <w:tcBorders>
              <w:left w:val="double" w:sz="11" w:space="0" w:color="000000"/>
              <w:bottom w:val="nil"/>
            </w:tcBorders>
          </w:tcPr>
          <w:p>
            <w:pPr/>
          </w:p>
        </w:tc>
        <w:tc>
          <w:tcPr>
            <w:tcW w:w="1798" w:type="dxa"/>
            <w:tcBorders>
              <w:bottom w:val="nil"/>
            </w:tcBorders>
          </w:tcPr>
          <w:p>
            <w:pPr>
              <w:pStyle w:val="TableParagraph"/>
              <w:spacing w:before="4"/>
              <w:ind w:left="0"/>
              <w:rPr>
                <w:rFonts w:ascii="Times New Roman"/>
                <w:sz w:val="20"/>
              </w:rPr>
            </w:pPr>
          </w:p>
          <w:p>
            <w:pPr>
              <w:pStyle w:val="TableParagraph"/>
              <w:spacing w:before="1"/>
              <w:ind w:left="0"/>
              <w:jc w:val="center"/>
              <w:rPr>
                <w:b/>
                <w:sz w:val="20"/>
              </w:rPr>
            </w:pPr>
            <w:r>
              <w:rPr>
                <w:b/>
                <w:w w:val="99"/>
                <w:sz w:val="20"/>
              </w:rPr>
              <w:t>1</w:t>
            </w:r>
          </w:p>
        </w:tc>
        <w:tc>
          <w:tcPr>
            <w:tcW w:w="1352" w:type="dxa"/>
          </w:tcPr>
          <w:p>
            <w:pPr/>
          </w:p>
        </w:tc>
        <w:tc>
          <w:tcPr>
            <w:tcW w:w="3343" w:type="dxa"/>
          </w:tcPr>
          <w:p>
            <w:pPr>
              <w:pStyle w:val="TableParagraph"/>
              <w:spacing w:before="7"/>
              <w:ind w:left="280"/>
              <w:rPr>
                <w:sz w:val="20"/>
              </w:rPr>
            </w:pPr>
            <w:r>
              <w:rPr>
                <w:sz w:val="20"/>
              </w:rPr>
              <w:t>proteger el medio ambiente</w:t>
            </w:r>
          </w:p>
          <w:p>
            <w:pPr>
              <w:pStyle w:val="TableParagraph"/>
              <w:numPr>
                <w:ilvl w:val="0"/>
                <w:numId w:val="252"/>
              </w:numPr>
              <w:tabs>
                <w:tab w:pos="812" w:val="left" w:leader="none"/>
                <w:tab w:pos="2260" w:val="left" w:leader="none"/>
              </w:tabs>
              <w:spacing w:line="240" w:lineRule="auto" w:before="0" w:after="0"/>
              <w:ind w:left="280" w:right="104" w:hanging="141"/>
              <w:jc w:val="both"/>
              <w:rPr>
                <w:sz w:val="20"/>
              </w:rPr>
            </w:pPr>
            <w:r>
              <w:rPr>
                <w:sz w:val="20"/>
              </w:rPr>
              <w:t>Existe</w:t>
              <w:tab/>
              <w:t>planeación ambiental con articulación entre actores</w:t>
            </w:r>
          </w:p>
        </w:tc>
        <w:tc>
          <w:tcPr>
            <w:tcW w:w="1464" w:type="dxa"/>
            <w:vMerge w:val="restart"/>
          </w:tcPr>
          <w:p>
            <w:pPr/>
          </w:p>
        </w:tc>
        <w:tc>
          <w:tcPr>
            <w:tcW w:w="2324" w:type="dxa"/>
            <w:vMerge w:val="restart"/>
          </w:tcPr>
          <w:p>
            <w:pPr/>
          </w:p>
        </w:tc>
        <w:tc>
          <w:tcPr>
            <w:tcW w:w="1586" w:type="dxa"/>
            <w:vMerge w:val="restart"/>
            <w:tcBorders>
              <w:right w:val="double" w:sz="12" w:space="0" w:color="000000"/>
            </w:tcBorders>
            <w:shd w:val="clear" w:color="auto" w:fill="00FF00"/>
          </w:tcPr>
          <w:p>
            <w:pPr/>
          </w:p>
        </w:tc>
      </w:tr>
      <w:tr>
        <w:trPr>
          <w:trHeight w:val="2430" w:hRule="exact"/>
        </w:trPr>
        <w:tc>
          <w:tcPr>
            <w:tcW w:w="954" w:type="dxa"/>
            <w:tcBorders>
              <w:top w:val="nil"/>
              <w:left w:val="double" w:sz="11" w:space="0" w:color="000000"/>
              <w:bottom w:val="nil"/>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3"/>
              <w:ind w:left="0"/>
              <w:rPr>
                <w:rFonts w:ascii="Times New Roman"/>
                <w:sz w:val="20"/>
              </w:rPr>
            </w:pPr>
          </w:p>
          <w:p>
            <w:pPr>
              <w:pStyle w:val="TableParagraph"/>
              <w:spacing w:before="1"/>
              <w:ind w:left="209" w:right="212"/>
              <w:jc w:val="center"/>
              <w:rPr>
                <w:sz w:val="20"/>
              </w:rPr>
            </w:pPr>
            <w:r>
              <w:rPr>
                <w:sz w:val="20"/>
              </w:rPr>
              <w:t>1580</w:t>
            </w:r>
          </w:p>
        </w:tc>
        <w:tc>
          <w:tcPr>
            <w:tcW w:w="1798" w:type="dxa"/>
            <w:tcBorders>
              <w:top w:val="nil"/>
              <w:bottom w:val="nil"/>
            </w:tcBorders>
          </w:tcPr>
          <w:p>
            <w:pPr/>
          </w:p>
        </w:tc>
        <w:tc>
          <w:tcPr>
            <w:tcW w:w="1352" w:type="dxa"/>
            <w:vMerge w:val="restart"/>
          </w:tcPr>
          <w:p>
            <w:pPr>
              <w:pStyle w:val="TableParagraph"/>
              <w:spacing w:line="230" w:lineRule="exact"/>
              <w:rPr>
                <w:sz w:val="20"/>
              </w:rPr>
            </w:pPr>
            <w:r>
              <w:rPr>
                <w:sz w:val="20"/>
              </w:rPr>
              <w:t>Económico</w:t>
            </w:r>
          </w:p>
        </w:tc>
        <w:tc>
          <w:tcPr>
            <w:tcW w:w="3343" w:type="dxa"/>
            <w:vMerge w:val="restart"/>
          </w:tcPr>
          <w:p>
            <w:pPr>
              <w:pStyle w:val="TableParagraph"/>
              <w:numPr>
                <w:ilvl w:val="0"/>
                <w:numId w:val="253"/>
              </w:numPr>
              <w:tabs>
                <w:tab w:pos="812" w:val="left" w:leader="none"/>
              </w:tabs>
              <w:spacing w:line="240" w:lineRule="auto" w:before="0" w:after="0"/>
              <w:ind w:left="280" w:right="104" w:hanging="141"/>
              <w:jc w:val="both"/>
              <w:rPr>
                <w:sz w:val="20"/>
              </w:rPr>
            </w:pPr>
            <w:r>
              <w:rPr>
                <w:sz w:val="20"/>
              </w:rPr>
              <w:t>Existe una dependencia económica de los recursos naturales por parte de  los actores de la</w:t>
            </w:r>
            <w:r>
              <w:rPr>
                <w:spacing w:val="-6"/>
                <w:sz w:val="20"/>
              </w:rPr>
              <w:t> </w:t>
            </w:r>
            <w:r>
              <w:rPr>
                <w:sz w:val="20"/>
              </w:rPr>
              <w:t>CHPH</w:t>
            </w:r>
          </w:p>
          <w:p>
            <w:pPr>
              <w:pStyle w:val="TableParagraph"/>
              <w:numPr>
                <w:ilvl w:val="0"/>
                <w:numId w:val="253"/>
              </w:numPr>
              <w:tabs>
                <w:tab w:pos="812" w:val="left" w:leader="none"/>
              </w:tabs>
              <w:spacing w:line="240" w:lineRule="auto" w:before="0" w:after="0"/>
              <w:ind w:left="280" w:right="104" w:hanging="141"/>
              <w:jc w:val="both"/>
              <w:rPr>
                <w:sz w:val="20"/>
              </w:rPr>
            </w:pPr>
            <w:r>
              <w:rPr>
                <w:sz w:val="20"/>
              </w:rPr>
              <w:t>La agricultura y la ganadería son la ventaja comparativa histórica de la  CHPH y benefician a la mayoría de actores históricos de la</w:t>
            </w:r>
            <w:r>
              <w:rPr>
                <w:spacing w:val="-9"/>
                <w:sz w:val="20"/>
              </w:rPr>
              <w:t> </w:t>
            </w:r>
            <w:r>
              <w:rPr>
                <w:sz w:val="20"/>
              </w:rPr>
              <w:t>CHPH</w:t>
            </w:r>
          </w:p>
          <w:p>
            <w:pPr>
              <w:pStyle w:val="TableParagraph"/>
              <w:numPr>
                <w:ilvl w:val="0"/>
                <w:numId w:val="253"/>
              </w:numPr>
              <w:tabs>
                <w:tab w:pos="812" w:val="left" w:leader="none"/>
              </w:tabs>
              <w:spacing w:line="240" w:lineRule="auto" w:before="0" w:after="0"/>
              <w:ind w:left="280" w:right="103" w:hanging="141"/>
              <w:jc w:val="both"/>
              <w:rPr>
                <w:sz w:val="20"/>
              </w:rPr>
            </w:pPr>
            <w:r>
              <w:rPr>
                <w:sz w:val="20"/>
              </w:rPr>
              <w:t>Las instituciones políticas que se han creado a través del tiempo como El Municipio y El Ejido favorecen el crecimiento económico en la</w:t>
            </w:r>
            <w:r>
              <w:rPr>
                <w:spacing w:val="-8"/>
                <w:sz w:val="20"/>
              </w:rPr>
              <w:t> </w:t>
            </w:r>
            <w:r>
              <w:rPr>
                <w:sz w:val="20"/>
              </w:rPr>
              <w:t>CHPH</w:t>
            </w:r>
          </w:p>
          <w:p>
            <w:pPr>
              <w:pStyle w:val="TableParagraph"/>
              <w:numPr>
                <w:ilvl w:val="0"/>
                <w:numId w:val="253"/>
              </w:numPr>
              <w:tabs>
                <w:tab w:pos="812" w:val="left" w:leader="none"/>
                <w:tab w:pos="2260" w:val="left" w:leader="none"/>
              </w:tabs>
              <w:spacing w:line="240" w:lineRule="auto" w:before="0" w:after="0"/>
              <w:ind w:left="280" w:right="104" w:hanging="141"/>
              <w:jc w:val="both"/>
              <w:rPr>
                <w:sz w:val="20"/>
              </w:rPr>
            </w:pPr>
            <w:r>
              <w:rPr>
                <w:sz w:val="20"/>
              </w:rPr>
              <w:t>Existe</w:t>
              <w:tab/>
              <w:t>planeación económica con articulación entre actores</w:t>
            </w:r>
          </w:p>
        </w:tc>
        <w:tc>
          <w:tcPr>
            <w:tcW w:w="1464" w:type="dxa"/>
            <w:vMerge/>
          </w:tcPr>
          <w:p>
            <w:pPr/>
          </w:p>
        </w:tc>
        <w:tc>
          <w:tcPr>
            <w:tcW w:w="2324" w:type="dxa"/>
            <w:vMerge/>
          </w:tcPr>
          <w:p>
            <w:pPr/>
          </w:p>
        </w:tc>
        <w:tc>
          <w:tcPr>
            <w:tcW w:w="1586" w:type="dxa"/>
            <w:vMerge/>
            <w:tcBorders>
              <w:right w:val="double" w:sz="12" w:space="0" w:color="000000"/>
            </w:tcBorders>
            <w:shd w:val="clear" w:color="auto" w:fill="00FF00"/>
          </w:tcPr>
          <w:p>
            <w:pPr/>
          </w:p>
        </w:tc>
      </w:tr>
      <w:tr>
        <w:trPr>
          <w:trHeight w:val="460" w:hRule="exact"/>
        </w:trPr>
        <w:tc>
          <w:tcPr>
            <w:tcW w:w="954" w:type="dxa"/>
            <w:tcBorders>
              <w:top w:val="nil"/>
              <w:left w:val="double" w:sz="11" w:space="0" w:color="000000"/>
              <w:bottom w:val="nil"/>
            </w:tcBorders>
          </w:tcPr>
          <w:p>
            <w:pPr>
              <w:pStyle w:val="TableParagraph"/>
              <w:spacing w:before="104"/>
              <w:ind w:left="209" w:right="212"/>
              <w:jc w:val="center"/>
              <w:rPr>
                <w:sz w:val="20"/>
              </w:rPr>
            </w:pPr>
            <w:r>
              <w:rPr>
                <w:sz w:val="20"/>
              </w:rPr>
              <w:t>1785</w:t>
            </w:r>
          </w:p>
        </w:tc>
        <w:tc>
          <w:tcPr>
            <w:tcW w:w="1798" w:type="dxa"/>
            <w:tcBorders>
              <w:top w:val="nil"/>
              <w:bottom w:val="nil"/>
            </w:tcBorders>
          </w:tcPr>
          <w:p>
            <w:pPr/>
          </w:p>
        </w:tc>
        <w:tc>
          <w:tcPr>
            <w:tcW w:w="1352" w:type="dxa"/>
            <w:vMerge/>
          </w:tcPr>
          <w:p>
            <w:pPr/>
          </w:p>
        </w:tc>
        <w:tc>
          <w:tcPr>
            <w:tcW w:w="3343" w:type="dxa"/>
            <w:vMerge/>
          </w:tcPr>
          <w:p>
            <w:pPr/>
          </w:p>
        </w:tc>
        <w:tc>
          <w:tcPr>
            <w:tcW w:w="1464" w:type="dxa"/>
            <w:vMerge/>
          </w:tcPr>
          <w:p>
            <w:pPr/>
          </w:p>
        </w:tc>
        <w:tc>
          <w:tcPr>
            <w:tcW w:w="2324" w:type="dxa"/>
            <w:vMerge/>
          </w:tcPr>
          <w:p>
            <w:pPr/>
          </w:p>
        </w:tc>
        <w:tc>
          <w:tcPr>
            <w:tcW w:w="1586" w:type="dxa"/>
            <w:vMerge/>
            <w:tcBorders>
              <w:right w:val="double" w:sz="12" w:space="0" w:color="000000"/>
            </w:tcBorders>
            <w:shd w:val="clear" w:color="auto" w:fill="00FF00"/>
          </w:tcPr>
          <w:p>
            <w:pPr/>
          </w:p>
        </w:tc>
      </w:tr>
      <w:tr>
        <w:trPr>
          <w:trHeight w:val="460" w:hRule="exact"/>
        </w:trPr>
        <w:tc>
          <w:tcPr>
            <w:tcW w:w="954" w:type="dxa"/>
            <w:tcBorders>
              <w:top w:val="nil"/>
              <w:left w:val="double" w:sz="11" w:space="0" w:color="000000"/>
              <w:bottom w:val="nil"/>
            </w:tcBorders>
          </w:tcPr>
          <w:p>
            <w:pPr>
              <w:pStyle w:val="TableParagraph"/>
              <w:spacing w:before="103"/>
              <w:ind w:left="209" w:right="212"/>
              <w:jc w:val="center"/>
              <w:rPr>
                <w:sz w:val="20"/>
              </w:rPr>
            </w:pPr>
            <w:r>
              <w:rPr>
                <w:sz w:val="20"/>
              </w:rPr>
              <w:t>1810</w:t>
            </w:r>
          </w:p>
        </w:tc>
        <w:tc>
          <w:tcPr>
            <w:tcW w:w="1798" w:type="dxa"/>
            <w:tcBorders>
              <w:top w:val="nil"/>
              <w:bottom w:val="nil"/>
            </w:tcBorders>
          </w:tcPr>
          <w:p>
            <w:pPr/>
          </w:p>
        </w:tc>
        <w:tc>
          <w:tcPr>
            <w:tcW w:w="1352" w:type="dxa"/>
            <w:vMerge/>
          </w:tcPr>
          <w:p>
            <w:pPr/>
          </w:p>
        </w:tc>
        <w:tc>
          <w:tcPr>
            <w:tcW w:w="3343" w:type="dxa"/>
            <w:vMerge/>
          </w:tcPr>
          <w:p>
            <w:pPr/>
          </w:p>
        </w:tc>
        <w:tc>
          <w:tcPr>
            <w:tcW w:w="1464" w:type="dxa"/>
            <w:vMerge/>
          </w:tcPr>
          <w:p>
            <w:pPr/>
          </w:p>
        </w:tc>
        <w:tc>
          <w:tcPr>
            <w:tcW w:w="2324" w:type="dxa"/>
            <w:vMerge/>
          </w:tcPr>
          <w:p>
            <w:pPr/>
          </w:p>
        </w:tc>
        <w:tc>
          <w:tcPr>
            <w:tcW w:w="1586" w:type="dxa"/>
            <w:vMerge/>
            <w:tcBorders>
              <w:right w:val="double" w:sz="12" w:space="0" w:color="000000"/>
            </w:tcBorders>
            <w:shd w:val="clear" w:color="auto" w:fill="00FF00"/>
          </w:tcPr>
          <w:p>
            <w:pPr/>
          </w:p>
        </w:tc>
      </w:tr>
      <w:tr>
        <w:trPr>
          <w:trHeight w:val="573" w:hRule="exact"/>
        </w:trPr>
        <w:tc>
          <w:tcPr>
            <w:tcW w:w="954" w:type="dxa"/>
            <w:tcBorders>
              <w:top w:val="nil"/>
              <w:left w:val="double" w:sz="11" w:space="0" w:color="000000"/>
              <w:bottom w:val="nil"/>
            </w:tcBorders>
          </w:tcPr>
          <w:p>
            <w:pPr>
              <w:pStyle w:val="TableParagraph"/>
              <w:spacing w:before="104"/>
              <w:ind w:left="209" w:right="212"/>
              <w:jc w:val="center"/>
              <w:rPr>
                <w:sz w:val="20"/>
              </w:rPr>
            </w:pPr>
            <w:r>
              <w:rPr>
                <w:sz w:val="20"/>
              </w:rPr>
              <w:t>1861</w:t>
            </w:r>
          </w:p>
        </w:tc>
        <w:tc>
          <w:tcPr>
            <w:tcW w:w="1798" w:type="dxa"/>
            <w:tcBorders>
              <w:top w:val="nil"/>
              <w:bottom w:val="nil"/>
            </w:tcBorders>
          </w:tcPr>
          <w:p>
            <w:pPr/>
          </w:p>
        </w:tc>
        <w:tc>
          <w:tcPr>
            <w:tcW w:w="1352" w:type="dxa"/>
            <w:vMerge/>
          </w:tcPr>
          <w:p>
            <w:pPr/>
          </w:p>
        </w:tc>
        <w:tc>
          <w:tcPr>
            <w:tcW w:w="3343" w:type="dxa"/>
            <w:vMerge/>
          </w:tcPr>
          <w:p>
            <w:pPr/>
          </w:p>
        </w:tc>
        <w:tc>
          <w:tcPr>
            <w:tcW w:w="1464" w:type="dxa"/>
            <w:vMerge/>
          </w:tcPr>
          <w:p>
            <w:pPr/>
          </w:p>
        </w:tc>
        <w:tc>
          <w:tcPr>
            <w:tcW w:w="2324" w:type="dxa"/>
            <w:vMerge/>
          </w:tcPr>
          <w:p>
            <w:pPr/>
          </w:p>
        </w:tc>
        <w:tc>
          <w:tcPr>
            <w:tcW w:w="1586" w:type="dxa"/>
            <w:vMerge/>
            <w:tcBorders>
              <w:right w:val="double" w:sz="12" w:space="0" w:color="000000"/>
            </w:tcBorders>
            <w:shd w:val="clear" w:color="auto" w:fill="00FF00"/>
          </w:tcPr>
          <w:p>
            <w:pPr/>
          </w:p>
        </w:tc>
      </w:tr>
      <w:tr>
        <w:trPr>
          <w:trHeight w:val="347" w:hRule="exact"/>
        </w:trPr>
        <w:tc>
          <w:tcPr>
            <w:tcW w:w="954" w:type="dxa"/>
            <w:tcBorders>
              <w:top w:val="nil"/>
              <w:left w:val="double" w:sz="11" w:space="0" w:color="000000"/>
              <w:bottom w:val="nil"/>
            </w:tcBorders>
          </w:tcPr>
          <w:p>
            <w:pPr>
              <w:pStyle w:val="TableParagraph"/>
              <w:spacing w:line="222" w:lineRule="exact"/>
              <w:ind w:left="209" w:right="212"/>
              <w:jc w:val="center"/>
              <w:rPr>
                <w:sz w:val="20"/>
              </w:rPr>
            </w:pPr>
            <w:r>
              <w:rPr>
                <w:sz w:val="20"/>
              </w:rPr>
              <w:t>1910</w:t>
            </w:r>
          </w:p>
        </w:tc>
        <w:tc>
          <w:tcPr>
            <w:tcW w:w="1798" w:type="dxa"/>
            <w:tcBorders>
              <w:top w:val="nil"/>
              <w:bottom w:val="nil"/>
            </w:tcBorders>
          </w:tcPr>
          <w:p>
            <w:pPr/>
          </w:p>
        </w:tc>
        <w:tc>
          <w:tcPr>
            <w:tcW w:w="1352" w:type="dxa"/>
            <w:vMerge w:val="restart"/>
          </w:tcPr>
          <w:p>
            <w:pPr>
              <w:pStyle w:val="TableParagraph"/>
              <w:spacing w:line="227" w:lineRule="exact"/>
              <w:rPr>
                <w:sz w:val="20"/>
              </w:rPr>
            </w:pPr>
            <w:r>
              <w:rPr>
                <w:sz w:val="20"/>
              </w:rPr>
              <w:t>Sociopolítico</w:t>
            </w:r>
          </w:p>
        </w:tc>
        <w:tc>
          <w:tcPr>
            <w:tcW w:w="3343" w:type="dxa"/>
            <w:vMerge w:val="restart"/>
          </w:tcPr>
          <w:p>
            <w:pPr>
              <w:pStyle w:val="TableParagraph"/>
              <w:numPr>
                <w:ilvl w:val="0"/>
                <w:numId w:val="254"/>
              </w:numPr>
              <w:tabs>
                <w:tab w:pos="812" w:val="left" w:leader="none"/>
                <w:tab w:pos="2617" w:val="left" w:leader="none"/>
              </w:tabs>
              <w:spacing w:line="240" w:lineRule="auto" w:before="0" w:after="0"/>
              <w:ind w:left="280" w:right="103" w:hanging="141"/>
              <w:jc w:val="both"/>
              <w:rPr>
                <w:sz w:val="20"/>
              </w:rPr>
            </w:pPr>
            <w:r>
              <w:rPr>
                <w:sz w:val="20"/>
              </w:rPr>
              <w:t>Existen</w:t>
              <w:tab/>
              <w:t>grupos económicos consolidados a través de la historia en la CHPH con interrelaciones</w:t>
            </w:r>
            <w:r>
              <w:rPr>
                <w:spacing w:val="-12"/>
                <w:sz w:val="20"/>
              </w:rPr>
              <w:t> </w:t>
            </w:r>
            <w:r>
              <w:rPr>
                <w:sz w:val="20"/>
              </w:rPr>
              <w:t>sociopolíticas</w:t>
            </w:r>
          </w:p>
          <w:p>
            <w:pPr>
              <w:pStyle w:val="TableParagraph"/>
              <w:numPr>
                <w:ilvl w:val="0"/>
                <w:numId w:val="254"/>
              </w:numPr>
              <w:tabs>
                <w:tab w:pos="812" w:val="left" w:leader="none"/>
              </w:tabs>
              <w:spacing w:line="240" w:lineRule="auto" w:before="0" w:after="0"/>
              <w:ind w:left="280" w:right="105" w:hanging="141"/>
              <w:jc w:val="both"/>
              <w:rPr>
                <w:sz w:val="20"/>
              </w:rPr>
            </w:pPr>
            <w:r>
              <w:rPr>
                <w:sz w:val="20"/>
              </w:rPr>
              <w:t>Las autoridades auxiliares son producto de las estructuras históricas</w:t>
            </w:r>
            <w:r>
              <w:rPr>
                <w:spacing w:val="-10"/>
                <w:sz w:val="20"/>
              </w:rPr>
              <w:t> </w:t>
            </w:r>
            <w:r>
              <w:rPr>
                <w:sz w:val="20"/>
              </w:rPr>
              <w:t>consolidadas</w:t>
            </w:r>
          </w:p>
          <w:p>
            <w:pPr>
              <w:pStyle w:val="TableParagraph"/>
              <w:numPr>
                <w:ilvl w:val="0"/>
                <w:numId w:val="254"/>
              </w:numPr>
              <w:tabs>
                <w:tab w:pos="812" w:val="left" w:leader="none"/>
              </w:tabs>
              <w:spacing w:line="240" w:lineRule="auto" w:before="0" w:after="0"/>
              <w:ind w:left="280" w:right="104" w:hanging="141"/>
              <w:jc w:val="both"/>
              <w:rPr>
                <w:sz w:val="20"/>
              </w:rPr>
            </w:pPr>
            <w:r>
              <w:rPr>
                <w:sz w:val="20"/>
              </w:rPr>
              <w:t>La CHPH es producto de  la articulación de eventos socioeconómicos e históricos en la</w:t>
            </w:r>
            <w:r>
              <w:rPr>
                <w:spacing w:val="-5"/>
                <w:sz w:val="20"/>
              </w:rPr>
              <w:t> </w:t>
            </w:r>
            <w:r>
              <w:rPr>
                <w:sz w:val="20"/>
              </w:rPr>
              <w:t>región</w:t>
            </w:r>
          </w:p>
          <w:p>
            <w:pPr>
              <w:pStyle w:val="TableParagraph"/>
              <w:numPr>
                <w:ilvl w:val="0"/>
                <w:numId w:val="254"/>
              </w:numPr>
              <w:tabs>
                <w:tab w:pos="463" w:val="left" w:leader="none"/>
                <w:tab w:pos="464" w:val="left" w:leader="none"/>
              </w:tabs>
              <w:spacing w:line="240" w:lineRule="auto"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254"/>
              </w:numPr>
              <w:tabs>
                <w:tab w:pos="463" w:val="left" w:leader="none"/>
                <w:tab w:pos="464" w:val="left" w:leader="none"/>
              </w:tabs>
              <w:spacing w:line="229" w:lineRule="exact"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254"/>
              </w:numPr>
              <w:tabs>
                <w:tab w:pos="463" w:val="left" w:leader="none"/>
                <w:tab w:pos="464" w:val="left" w:leader="none"/>
              </w:tabs>
              <w:spacing w:line="229" w:lineRule="exact" w:before="0" w:after="0"/>
              <w:ind w:left="463" w:right="0" w:hanging="360"/>
              <w:jc w:val="left"/>
              <w:rPr>
                <w:sz w:val="20"/>
              </w:rPr>
            </w:pPr>
            <w:r>
              <w:rPr>
                <w:sz w:val="20"/>
              </w:rPr>
              <w:t>Fortalece la</w:t>
            </w:r>
            <w:r>
              <w:rPr>
                <w:spacing w:val="-9"/>
                <w:sz w:val="20"/>
              </w:rPr>
              <w:t> </w:t>
            </w:r>
            <w:r>
              <w:rPr>
                <w:sz w:val="20"/>
              </w:rPr>
              <w:t>gobernabilidad</w:t>
            </w:r>
          </w:p>
          <w:p>
            <w:pPr>
              <w:pStyle w:val="TableParagraph"/>
              <w:numPr>
                <w:ilvl w:val="0"/>
                <w:numId w:val="254"/>
              </w:numPr>
              <w:tabs>
                <w:tab w:pos="463" w:val="left" w:leader="none"/>
                <w:tab w:pos="464" w:val="left" w:leader="none"/>
              </w:tabs>
              <w:spacing w:line="240" w:lineRule="auto" w:before="0" w:after="0"/>
              <w:ind w:left="463" w:right="105" w:hanging="360"/>
              <w:jc w:val="left"/>
              <w:rPr>
                <w:sz w:val="20"/>
              </w:rPr>
            </w:pPr>
            <w:r>
              <w:rPr>
                <w:sz w:val="20"/>
              </w:rPr>
              <w:t>Existe planeación sociopolítica con articulación entre</w:t>
            </w:r>
            <w:r>
              <w:rPr>
                <w:spacing w:val="-7"/>
                <w:sz w:val="20"/>
              </w:rPr>
              <w:t> </w:t>
            </w:r>
            <w:r>
              <w:rPr>
                <w:sz w:val="20"/>
              </w:rPr>
              <w:t>actores</w:t>
            </w:r>
          </w:p>
        </w:tc>
        <w:tc>
          <w:tcPr>
            <w:tcW w:w="1464" w:type="dxa"/>
            <w:vMerge/>
          </w:tcPr>
          <w:p>
            <w:pPr/>
          </w:p>
        </w:tc>
        <w:tc>
          <w:tcPr>
            <w:tcW w:w="2324" w:type="dxa"/>
            <w:vMerge/>
          </w:tcPr>
          <w:p>
            <w:pPr/>
          </w:p>
        </w:tc>
        <w:tc>
          <w:tcPr>
            <w:tcW w:w="1586" w:type="dxa"/>
            <w:vMerge/>
            <w:tcBorders>
              <w:right w:val="double" w:sz="12" w:space="0" w:color="000000"/>
            </w:tcBorders>
            <w:shd w:val="clear" w:color="auto" w:fill="00FF00"/>
          </w:tcPr>
          <w:p>
            <w:pPr/>
          </w:p>
        </w:tc>
      </w:tr>
      <w:tr>
        <w:trPr>
          <w:trHeight w:val="3342" w:hRule="exact"/>
        </w:trPr>
        <w:tc>
          <w:tcPr>
            <w:tcW w:w="954" w:type="dxa"/>
            <w:tcBorders>
              <w:top w:val="nil"/>
              <w:left w:val="double" w:sz="11" w:space="0" w:color="000000"/>
            </w:tcBorders>
          </w:tcPr>
          <w:p>
            <w:pPr>
              <w:pStyle w:val="TableParagraph"/>
              <w:spacing w:before="103"/>
              <w:ind w:left="209" w:right="212"/>
              <w:jc w:val="center"/>
              <w:rPr>
                <w:sz w:val="20"/>
              </w:rPr>
            </w:pPr>
            <w:r>
              <w:rPr>
                <w:sz w:val="20"/>
              </w:rPr>
              <w:t>1940</w:t>
            </w:r>
          </w:p>
        </w:tc>
        <w:tc>
          <w:tcPr>
            <w:tcW w:w="1798" w:type="dxa"/>
            <w:tcBorders>
              <w:top w:val="nil"/>
            </w:tcBorders>
          </w:tcPr>
          <w:p>
            <w:pPr/>
          </w:p>
        </w:tc>
        <w:tc>
          <w:tcPr>
            <w:tcW w:w="1352" w:type="dxa"/>
            <w:vMerge/>
          </w:tcPr>
          <w:p>
            <w:pPr/>
          </w:p>
        </w:tc>
        <w:tc>
          <w:tcPr>
            <w:tcW w:w="3343" w:type="dxa"/>
            <w:vMerge/>
          </w:tcPr>
          <w:p>
            <w:pPr/>
          </w:p>
        </w:tc>
        <w:tc>
          <w:tcPr>
            <w:tcW w:w="1464" w:type="dxa"/>
            <w:vMerge/>
          </w:tcPr>
          <w:p>
            <w:pPr/>
          </w:p>
        </w:tc>
        <w:tc>
          <w:tcPr>
            <w:tcW w:w="2324" w:type="dxa"/>
            <w:vMerge/>
          </w:tcPr>
          <w:p>
            <w:pPr/>
          </w:p>
        </w:tc>
        <w:tc>
          <w:tcPr>
            <w:tcW w:w="1586" w:type="dxa"/>
            <w:vMerge/>
            <w:tcBorders>
              <w:right w:val="double" w:sz="12" w:space="0" w:color="000000"/>
            </w:tcBorders>
            <w:shd w:val="clear" w:color="auto" w:fill="00FF00"/>
          </w:tcPr>
          <w:p>
            <w:pPr/>
          </w:p>
        </w:tc>
      </w:tr>
      <w:tr>
        <w:trPr>
          <w:trHeight w:val="240" w:hRule="exact"/>
        </w:trPr>
        <w:tc>
          <w:tcPr>
            <w:tcW w:w="954" w:type="dxa"/>
            <w:tcBorders>
              <w:left w:val="double" w:sz="11" w:space="0" w:color="000000"/>
              <w:bottom w:val="single" w:sz="8" w:space="0" w:color="000000"/>
            </w:tcBorders>
          </w:tcPr>
          <w:p>
            <w:pPr/>
          </w:p>
        </w:tc>
        <w:tc>
          <w:tcPr>
            <w:tcW w:w="1798" w:type="dxa"/>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Ambiental</w:t>
            </w:r>
          </w:p>
        </w:tc>
        <w:tc>
          <w:tcPr>
            <w:tcW w:w="3343" w:type="dxa"/>
            <w:tcBorders>
              <w:bottom w:val="single" w:sz="8" w:space="0" w:color="000000"/>
            </w:tcBorders>
          </w:tcPr>
          <w:p>
            <w:pPr>
              <w:pStyle w:val="TableParagraph"/>
              <w:numPr>
                <w:ilvl w:val="0"/>
                <w:numId w:val="255"/>
              </w:numPr>
              <w:tabs>
                <w:tab w:pos="811" w:val="left" w:leader="none"/>
                <w:tab w:pos="812" w:val="left" w:leader="none"/>
              </w:tabs>
              <w:spacing w:line="227" w:lineRule="exact" w:before="0" w:after="0"/>
              <w:ind w:left="811" w:right="0" w:hanging="672"/>
              <w:jc w:val="left"/>
              <w:rPr>
                <w:sz w:val="20"/>
              </w:rPr>
            </w:pPr>
            <w:r>
              <w:rPr>
                <w:sz w:val="20"/>
              </w:rPr>
              <w:t>Existe relación entre</w:t>
            </w:r>
            <w:r>
              <w:rPr>
                <w:spacing w:val="30"/>
                <w:sz w:val="20"/>
              </w:rPr>
              <w:t> </w:t>
            </w:r>
            <w:r>
              <w:rPr>
                <w:sz w:val="20"/>
              </w:rPr>
              <w:t>agua-</w:t>
            </w:r>
          </w:p>
        </w:tc>
        <w:tc>
          <w:tcPr>
            <w:tcW w:w="1464" w:type="dxa"/>
            <w:tcBorders>
              <w:bottom w:val="single" w:sz="8" w:space="0" w:color="000000"/>
            </w:tcBorders>
          </w:tcPr>
          <w:p>
            <w:pPr/>
          </w:p>
        </w:tc>
        <w:tc>
          <w:tcPr>
            <w:tcW w:w="2324" w:type="dxa"/>
            <w:tcBorders>
              <w:bottom w:val="single" w:sz="8" w:space="0" w:color="000000"/>
            </w:tcBorders>
          </w:tcPr>
          <w:p>
            <w:pPr>
              <w:pStyle w:val="TableParagraph"/>
              <w:spacing w:line="225" w:lineRule="exact"/>
              <w:rPr>
                <w:b/>
                <w:sz w:val="20"/>
              </w:rPr>
            </w:pPr>
            <w:r>
              <w:rPr>
                <w:sz w:val="20"/>
              </w:rPr>
              <w:t>Debe  reunir  </w:t>
            </w:r>
            <w:r>
              <w:rPr>
                <w:b/>
                <w:sz w:val="20"/>
              </w:rPr>
              <w:t>al menos</w:t>
            </w:r>
          </w:p>
        </w:tc>
        <w:tc>
          <w:tcPr>
            <w:tcW w:w="1586" w:type="dxa"/>
            <w:tcBorders>
              <w:bottom w:val="single" w:sz="8" w:space="0" w:color="000000"/>
              <w:right w:val="double" w:sz="12" w:space="0" w:color="000000"/>
            </w:tcBorders>
          </w:tcPr>
          <w:p>
            <w:pPr>
              <w:pStyle w:val="TableParagraph"/>
              <w:spacing w:line="230" w:lineRule="exact"/>
              <w:ind w:left="0" w:right="-50"/>
              <w:rPr>
                <w:rFonts w:ascii="Times New Roman"/>
                <w:sz w:val="20"/>
              </w:rPr>
            </w:pPr>
            <w:r>
              <w:rPr>
                <w:rFonts w:ascii="Times New Roman"/>
                <w:position w:val="-4"/>
                <w:sz w:val="20"/>
              </w:rPr>
              <w:pict>
                <v:group style="width:76.95pt;height:11.55pt;mso-position-horizontal-relative:char;mso-position-vertical-relative:line" coordorigin="0,0" coordsize="1539,231">
                  <v:shape style="position:absolute;left:0;top:0;width:1538;height:230" type="#_x0000_t75" stroked="false">
                    <v:imagedata r:id="rId487" o:title=""/>
                  </v:shape>
                  <v:shape style="position:absolute;left:103;top:0;width:1332;height:230" type="#_x0000_t75" stroked="false">
                    <v:imagedata r:id="rId488" o:title=""/>
                  </v:shape>
                </v:group>
              </w:pict>
            </w:r>
            <w:r>
              <w:rPr>
                <w:rFonts w:ascii="Times New Roman"/>
                <w:position w:val="-4"/>
                <w:sz w:val="20"/>
              </w:rPr>
            </w:r>
          </w:p>
        </w:tc>
      </w:tr>
    </w:tbl>
    <w:p>
      <w:pPr>
        <w:spacing w:after="0" w:line="230" w:lineRule="exact"/>
        <w:rPr>
          <w:rFonts w:ascii="Times New Roman"/>
          <w:sz w:val="20"/>
        </w:rPr>
        <w:sectPr>
          <w:pgSz w:w="15840" w:h="12240" w:orient="landscape"/>
          <w:pgMar w:header="0" w:footer="943" w:top="1140" w:bottom="1140" w:left="1200" w:right="1300"/>
        </w:sectPr>
      </w:pPr>
    </w:p>
    <w:p>
      <w:pPr>
        <w:pStyle w:val="BodyText"/>
        <w:rPr>
          <w:rFonts w:ascii="Times New Roman"/>
          <w:sz w:val="20"/>
        </w:rPr>
      </w:pPr>
      <w:r>
        <w:rPr/>
        <w:pict>
          <v:group style="position:absolute;margin-left:629.380005pt;margin-top:86.059998pt;width:76.95pt;height:438.1pt;mso-position-horizontal-relative:page;mso-position-vertical-relative:page;z-index:-3328792" coordorigin="12588,1721" coordsize="1539,8762">
            <v:shape style="position:absolute;left:12588;top:1721;width:1538;height:8761" type="#_x0000_t75" stroked="false">
              <v:imagedata r:id="rId489" o:title=""/>
            </v:shape>
            <v:shape style="position:absolute;left:12691;top:1721;width:1332;height:230" type="#_x0000_t75" stroked="false">
              <v:imagedata r:id="rId490" o:title=""/>
            </v:shape>
            <v:shape style="position:absolute;left:12691;top:1952;width:1332;height:230" type="#_x0000_t75" stroked="false">
              <v:imagedata r:id="rId491" o:title=""/>
            </v:shape>
            <v:shape style="position:absolute;left:12691;top:2182;width:1332;height:230" type="#_x0000_t75" stroked="false">
              <v:imagedata r:id="rId492" o:title=""/>
            </v:shape>
            <v:shape style="position:absolute;left:12691;top:2412;width:1332;height:228" type="#_x0000_t75" stroked="false">
              <v:imagedata r:id="rId493" o:title=""/>
            </v:shape>
            <v:shape style="position:absolute;left:12691;top:2640;width:1332;height:230" type="#_x0000_t75" stroked="false">
              <v:imagedata r:id="rId494"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798"/>
        <w:gridCol w:w="1352"/>
        <w:gridCol w:w="3343"/>
        <w:gridCol w:w="1464"/>
        <w:gridCol w:w="2324"/>
        <w:gridCol w:w="1586"/>
      </w:tblGrid>
      <w:tr>
        <w:trPr>
          <w:trHeight w:val="3241" w:hRule="exact"/>
        </w:trPr>
        <w:tc>
          <w:tcPr>
            <w:tcW w:w="954" w:type="dxa"/>
            <w:vMerge w:val="restart"/>
            <w:tcBorders>
              <w:left w:val="double" w:sz="11" w:space="0" w:color="000000"/>
            </w:tcBorders>
          </w:tcPr>
          <w:p>
            <w:pPr/>
          </w:p>
        </w:tc>
        <w:tc>
          <w:tcPr>
            <w:tcW w:w="1798" w:type="dxa"/>
            <w:vMerge w:val="restart"/>
          </w:tcPr>
          <w:p>
            <w:pPr>
              <w:pStyle w:val="TableParagraph"/>
              <w:spacing w:before="4"/>
              <w:ind w:left="0"/>
              <w:rPr>
                <w:rFonts w:ascii="Times New Roman"/>
                <w:sz w:val="20"/>
              </w:rPr>
            </w:pPr>
          </w:p>
          <w:p>
            <w:pPr>
              <w:pStyle w:val="TableParagraph"/>
              <w:spacing w:before="1"/>
              <w:ind w:left="0"/>
              <w:jc w:val="center"/>
              <w:rPr>
                <w:b/>
                <w:sz w:val="20"/>
              </w:rPr>
            </w:pPr>
            <w:r>
              <w:rPr>
                <w:b/>
                <w:w w:val="99"/>
                <w:sz w:val="20"/>
              </w:rPr>
              <w:t>1</w:t>
            </w:r>
          </w:p>
        </w:tc>
        <w:tc>
          <w:tcPr>
            <w:tcW w:w="1352" w:type="dxa"/>
          </w:tcPr>
          <w:p>
            <w:pPr/>
          </w:p>
        </w:tc>
        <w:tc>
          <w:tcPr>
            <w:tcW w:w="3343" w:type="dxa"/>
          </w:tcPr>
          <w:p>
            <w:pPr>
              <w:pStyle w:val="TableParagraph"/>
              <w:spacing w:before="7"/>
              <w:ind w:left="280"/>
              <w:rPr>
                <w:sz w:val="20"/>
              </w:rPr>
            </w:pPr>
            <w:r>
              <w:rPr>
                <w:sz w:val="20"/>
              </w:rPr>
              <w:t>ambiente-sociedad</w:t>
            </w:r>
          </w:p>
          <w:p>
            <w:pPr>
              <w:pStyle w:val="TableParagraph"/>
              <w:numPr>
                <w:ilvl w:val="0"/>
                <w:numId w:val="256"/>
              </w:numPr>
              <w:tabs>
                <w:tab w:pos="812" w:val="left" w:leader="none"/>
              </w:tabs>
              <w:spacing w:line="240" w:lineRule="auto" w:before="0" w:after="0"/>
              <w:ind w:left="280" w:right="104" w:hanging="141"/>
              <w:jc w:val="both"/>
              <w:rPr>
                <w:sz w:val="20"/>
              </w:rPr>
            </w:pPr>
            <w:r>
              <w:rPr>
                <w:sz w:val="20"/>
              </w:rPr>
              <w:t>Existen instituciones para proteger el medio ambiente comprometidas con</w:t>
            </w:r>
            <w:r>
              <w:rPr>
                <w:spacing w:val="-8"/>
                <w:sz w:val="20"/>
              </w:rPr>
              <w:t> </w:t>
            </w:r>
            <w:r>
              <w:rPr>
                <w:sz w:val="20"/>
              </w:rPr>
              <w:t>éste</w:t>
            </w:r>
          </w:p>
          <w:p>
            <w:pPr>
              <w:pStyle w:val="TableParagraph"/>
              <w:numPr>
                <w:ilvl w:val="0"/>
                <w:numId w:val="256"/>
              </w:numPr>
              <w:tabs>
                <w:tab w:pos="812" w:val="left" w:leader="none"/>
              </w:tabs>
              <w:spacing w:line="240" w:lineRule="auto" w:before="0" w:after="0"/>
              <w:ind w:left="280" w:right="105" w:hanging="141"/>
              <w:jc w:val="both"/>
              <w:rPr>
                <w:sz w:val="20"/>
              </w:rPr>
            </w:pPr>
            <w:r>
              <w:rPr>
                <w:sz w:val="20"/>
              </w:rPr>
              <w:t>Existe conciencia o interés en los actores históricos para cuidar el medio</w:t>
            </w:r>
            <w:r>
              <w:rPr>
                <w:spacing w:val="-8"/>
                <w:sz w:val="20"/>
              </w:rPr>
              <w:t> </w:t>
            </w:r>
            <w:r>
              <w:rPr>
                <w:sz w:val="20"/>
              </w:rPr>
              <w:t>ambiente</w:t>
            </w:r>
          </w:p>
          <w:p>
            <w:pPr>
              <w:pStyle w:val="TableParagraph"/>
              <w:numPr>
                <w:ilvl w:val="0"/>
                <w:numId w:val="256"/>
              </w:numPr>
              <w:tabs>
                <w:tab w:pos="812" w:val="left" w:leader="none"/>
                <w:tab w:pos="2128" w:val="left" w:leader="none"/>
              </w:tabs>
              <w:spacing w:line="240" w:lineRule="auto" w:before="0" w:after="0"/>
              <w:ind w:left="280" w:right="105" w:hanging="141"/>
              <w:jc w:val="both"/>
              <w:rPr>
                <w:sz w:val="20"/>
              </w:rPr>
            </w:pPr>
            <w:r>
              <w:rPr>
                <w:sz w:val="20"/>
              </w:rPr>
              <w:t>Las</w:t>
              <w:tab/>
            </w:r>
            <w:r>
              <w:rPr>
                <w:w w:val="95"/>
                <w:sz w:val="20"/>
              </w:rPr>
              <w:t>instituciones </w:t>
            </w:r>
            <w:r>
              <w:rPr>
                <w:sz w:val="20"/>
              </w:rPr>
              <w:t>sociopolíticas como El Municipio y El Ejido están interesadas en proteger el medio</w:t>
            </w:r>
            <w:r>
              <w:rPr>
                <w:spacing w:val="-6"/>
                <w:sz w:val="20"/>
              </w:rPr>
              <w:t> </w:t>
            </w:r>
            <w:r>
              <w:rPr>
                <w:sz w:val="20"/>
              </w:rPr>
              <w:t>ambiente</w:t>
            </w:r>
          </w:p>
          <w:p>
            <w:pPr>
              <w:pStyle w:val="TableParagraph"/>
              <w:numPr>
                <w:ilvl w:val="0"/>
                <w:numId w:val="256"/>
              </w:numPr>
              <w:tabs>
                <w:tab w:pos="812" w:val="left" w:leader="none"/>
                <w:tab w:pos="2260" w:val="left" w:leader="none"/>
              </w:tabs>
              <w:spacing w:line="240" w:lineRule="auto" w:before="0" w:after="0"/>
              <w:ind w:left="280" w:right="104" w:hanging="141"/>
              <w:jc w:val="both"/>
              <w:rPr>
                <w:sz w:val="20"/>
              </w:rPr>
            </w:pPr>
            <w:r>
              <w:rPr>
                <w:sz w:val="20"/>
              </w:rPr>
              <w:t>Existe</w:t>
              <w:tab/>
              <w:t>planeación ambiental con articulación entre actores</w:t>
            </w:r>
          </w:p>
        </w:tc>
        <w:tc>
          <w:tcPr>
            <w:tcW w:w="1464" w:type="dxa"/>
            <w:vMerge w:val="restart"/>
          </w:tcPr>
          <w:p>
            <w:pPr/>
          </w:p>
        </w:tc>
        <w:tc>
          <w:tcPr>
            <w:tcW w:w="2324" w:type="dxa"/>
            <w:vMerge w:val="restart"/>
          </w:tcPr>
          <w:p>
            <w:pPr>
              <w:pStyle w:val="TableParagraph"/>
              <w:tabs>
                <w:tab w:pos="1983" w:val="left" w:leader="none"/>
              </w:tabs>
              <w:spacing w:line="242" w:lineRule="auto" w:before="4"/>
              <w:ind w:right="105"/>
              <w:jc w:val="both"/>
              <w:rPr>
                <w:sz w:val="20"/>
              </w:rPr>
            </w:pPr>
            <w:r>
              <w:rPr>
                <w:b/>
                <w:sz w:val="20"/>
              </w:rPr>
              <w:t>el 75% </w:t>
            </w:r>
            <w:r>
              <w:rPr>
                <w:sz w:val="20"/>
              </w:rPr>
              <w:t>dos de tres características</w:t>
              <w:tab/>
              <w:t>de impacto</w:t>
            </w:r>
            <w:r>
              <w:rPr>
                <w:spacing w:val="-3"/>
                <w:sz w:val="20"/>
              </w:rPr>
              <w:t> </w:t>
            </w:r>
            <w:r>
              <w:rPr>
                <w:sz w:val="20"/>
              </w:rPr>
              <w:t>positivo</w:t>
            </w:r>
          </w:p>
        </w:tc>
        <w:tc>
          <w:tcPr>
            <w:tcW w:w="1586"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3"/>
              <w:ind w:left="0"/>
              <w:rPr>
                <w:rFonts w:ascii="Times New Roman"/>
                <w:sz w:val="20"/>
              </w:rPr>
            </w:pPr>
          </w:p>
          <w:p>
            <w:pPr>
              <w:pStyle w:val="TableParagraph"/>
              <w:ind w:left="458"/>
              <w:rPr>
                <w:b/>
                <w:sz w:val="20"/>
              </w:rPr>
            </w:pPr>
            <w:r>
              <w:rPr>
                <w:b/>
                <w:sz w:val="20"/>
              </w:rPr>
              <w:t>Bueno</w:t>
            </w:r>
          </w:p>
        </w:tc>
      </w:tr>
      <w:tr>
        <w:trPr>
          <w:trHeight w:val="3920" w:hRule="exact"/>
        </w:trPr>
        <w:tc>
          <w:tcPr>
            <w:tcW w:w="954" w:type="dxa"/>
            <w:vMerge/>
            <w:tcBorders>
              <w:left w:val="double" w:sz="11" w:space="0" w:color="000000"/>
            </w:tcBorders>
          </w:tcPr>
          <w:p>
            <w:pPr/>
          </w:p>
        </w:tc>
        <w:tc>
          <w:tcPr>
            <w:tcW w:w="1798" w:type="dxa"/>
            <w:vMerge/>
          </w:tcPr>
          <w:p>
            <w:pPr/>
          </w:p>
        </w:tc>
        <w:tc>
          <w:tcPr>
            <w:tcW w:w="1352" w:type="dxa"/>
          </w:tcPr>
          <w:p>
            <w:pPr>
              <w:pStyle w:val="TableParagraph"/>
              <w:spacing w:line="227" w:lineRule="exact"/>
              <w:rPr>
                <w:sz w:val="20"/>
              </w:rPr>
            </w:pPr>
            <w:r>
              <w:rPr>
                <w:sz w:val="20"/>
              </w:rPr>
              <w:t>Económico</w:t>
            </w:r>
          </w:p>
        </w:tc>
        <w:tc>
          <w:tcPr>
            <w:tcW w:w="3343" w:type="dxa"/>
          </w:tcPr>
          <w:p>
            <w:pPr>
              <w:pStyle w:val="TableParagraph"/>
              <w:numPr>
                <w:ilvl w:val="0"/>
                <w:numId w:val="257"/>
              </w:numPr>
              <w:tabs>
                <w:tab w:pos="812" w:val="left" w:leader="none"/>
              </w:tabs>
              <w:spacing w:line="240" w:lineRule="auto" w:before="0" w:after="0"/>
              <w:ind w:left="280" w:right="104" w:hanging="141"/>
              <w:jc w:val="both"/>
              <w:rPr>
                <w:sz w:val="20"/>
              </w:rPr>
            </w:pPr>
            <w:r>
              <w:rPr>
                <w:sz w:val="20"/>
              </w:rPr>
              <w:t>Existe una dependencia económica de los recursos naturales por parte de  los actores de la</w:t>
            </w:r>
            <w:r>
              <w:rPr>
                <w:spacing w:val="-6"/>
                <w:sz w:val="20"/>
              </w:rPr>
              <w:t> </w:t>
            </w:r>
            <w:r>
              <w:rPr>
                <w:sz w:val="20"/>
              </w:rPr>
              <w:t>CHPH</w:t>
            </w:r>
          </w:p>
          <w:p>
            <w:pPr>
              <w:pStyle w:val="TableParagraph"/>
              <w:numPr>
                <w:ilvl w:val="0"/>
                <w:numId w:val="257"/>
              </w:numPr>
              <w:tabs>
                <w:tab w:pos="812" w:val="left" w:leader="none"/>
              </w:tabs>
              <w:spacing w:line="240" w:lineRule="auto" w:before="0" w:after="0"/>
              <w:ind w:left="280" w:right="104" w:hanging="141"/>
              <w:jc w:val="both"/>
              <w:rPr>
                <w:sz w:val="20"/>
              </w:rPr>
            </w:pPr>
            <w:r>
              <w:rPr>
                <w:sz w:val="20"/>
              </w:rPr>
              <w:t>La agricultura y la ganadería son la ventaja comparativa histórica de la  CHPH y benefician a la mayoría de actores históricos de la</w:t>
            </w:r>
            <w:r>
              <w:rPr>
                <w:spacing w:val="-9"/>
                <w:sz w:val="20"/>
              </w:rPr>
              <w:t> </w:t>
            </w:r>
            <w:r>
              <w:rPr>
                <w:sz w:val="20"/>
              </w:rPr>
              <w:t>CHPH</w:t>
            </w:r>
          </w:p>
          <w:p>
            <w:pPr>
              <w:pStyle w:val="TableParagraph"/>
              <w:numPr>
                <w:ilvl w:val="0"/>
                <w:numId w:val="257"/>
              </w:numPr>
              <w:tabs>
                <w:tab w:pos="812" w:val="left" w:leader="none"/>
              </w:tabs>
              <w:spacing w:line="240" w:lineRule="auto" w:before="0" w:after="0"/>
              <w:ind w:left="280" w:right="103" w:hanging="141"/>
              <w:jc w:val="both"/>
              <w:rPr>
                <w:sz w:val="20"/>
              </w:rPr>
            </w:pPr>
            <w:r>
              <w:rPr>
                <w:sz w:val="20"/>
              </w:rPr>
              <w:t>Las instituciones políticas que se han creado a través del tiempo como El Municipio y El Ejido favorecen el crecimiento económico en la</w:t>
            </w:r>
            <w:r>
              <w:rPr>
                <w:spacing w:val="-8"/>
                <w:sz w:val="20"/>
              </w:rPr>
              <w:t> </w:t>
            </w:r>
            <w:r>
              <w:rPr>
                <w:sz w:val="20"/>
              </w:rPr>
              <w:t>CHPH</w:t>
            </w:r>
          </w:p>
          <w:p>
            <w:pPr>
              <w:pStyle w:val="TableParagraph"/>
              <w:numPr>
                <w:ilvl w:val="0"/>
                <w:numId w:val="257"/>
              </w:numPr>
              <w:tabs>
                <w:tab w:pos="812" w:val="left" w:leader="none"/>
                <w:tab w:pos="2260" w:val="left" w:leader="none"/>
              </w:tabs>
              <w:spacing w:line="240" w:lineRule="auto" w:before="0" w:after="0"/>
              <w:ind w:left="280" w:right="104" w:hanging="141"/>
              <w:jc w:val="both"/>
              <w:rPr>
                <w:sz w:val="20"/>
              </w:rPr>
            </w:pPr>
            <w:r>
              <w:rPr>
                <w:sz w:val="20"/>
              </w:rPr>
              <w:t>Existe</w:t>
              <w:tab/>
              <w:t>planeación económica con articulación entre actores</w:t>
            </w:r>
          </w:p>
        </w:tc>
        <w:tc>
          <w:tcPr>
            <w:tcW w:w="1464" w:type="dxa"/>
            <w:vMerge/>
          </w:tcPr>
          <w:p>
            <w:pPr/>
          </w:p>
        </w:tc>
        <w:tc>
          <w:tcPr>
            <w:tcW w:w="2324" w:type="dxa"/>
            <w:vMerge/>
          </w:tcPr>
          <w:p>
            <w:pPr/>
          </w:p>
        </w:tc>
        <w:tc>
          <w:tcPr>
            <w:tcW w:w="1586" w:type="dxa"/>
            <w:vMerge/>
            <w:tcBorders>
              <w:right w:val="double" w:sz="12" w:space="0" w:color="000000"/>
            </w:tcBorders>
          </w:tcPr>
          <w:p>
            <w:pPr/>
          </w:p>
        </w:tc>
      </w:tr>
      <w:tr>
        <w:trPr>
          <w:trHeight w:val="1621" w:hRule="exact"/>
        </w:trPr>
        <w:tc>
          <w:tcPr>
            <w:tcW w:w="954" w:type="dxa"/>
            <w:vMerge/>
            <w:tcBorders>
              <w:left w:val="double" w:sz="11" w:space="0" w:color="000000"/>
            </w:tcBorders>
          </w:tcPr>
          <w:p>
            <w:pPr/>
          </w:p>
        </w:tc>
        <w:tc>
          <w:tcPr>
            <w:tcW w:w="1798" w:type="dxa"/>
            <w:vMerge/>
          </w:tcPr>
          <w:p>
            <w:pPr/>
          </w:p>
        </w:tc>
        <w:tc>
          <w:tcPr>
            <w:tcW w:w="1352" w:type="dxa"/>
          </w:tcPr>
          <w:p>
            <w:pPr>
              <w:pStyle w:val="TableParagraph"/>
              <w:spacing w:line="228" w:lineRule="exact"/>
              <w:rPr>
                <w:sz w:val="20"/>
              </w:rPr>
            </w:pPr>
            <w:r>
              <w:rPr>
                <w:sz w:val="20"/>
              </w:rPr>
              <w:t>Sociopolítico</w:t>
            </w:r>
          </w:p>
        </w:tc>
        <w:tc>
          <w:tcPr>
            <w:tcW w:w="3343" w:type="dxa"/>
          </w:tcPr>
          <w:p>
            <w:pPr>
              <w:pStyle w:val="TableParagraph"/>
              <w:numPr>
                <w:ilvl w:val="0"/>
                <w:numId w:val="258"/>
              </w:numPr>
              <w:tabs>
                <w:tab w:pos="812" w:val="left" w:leader="none"/>
                <w:tab w:pos="2617" w:val="left" w:leader="none"/>
              </w:tabs>
              <w:spacing w:line="240" w:lineRule="auto" w:before="0" w:after="0"/>
              <w:ind w:left="280" w:right="103" w:hanging="141"/>
              <w:jc w:val="both"/>
              <w:rPr>
                <w:sz w:val="20"/>
              </w:rPr>
            </w:pPr>
            <w:r>
              <w:rPr>
                <w:sz w:val="20"/>
              </w:rPr>
              <w:t>Existen</w:t>
              <w:tab/>
              <w:t>grupos económicos consolidados a través de la historia en la CHPH con interrelaciones</w:t>
            </w:r>
            <w:r>
              <w:rPr>
                <w:spacing w:val="-13"/>
                <w:sz w:val="20"/>
              </w:rPr>
              <w:t> </w:t>
            </w:r>
            <w:r>
              <w:rPr>
                <w:sz w:val="20"/>
              </w:rPr>
              <w:t>sociopolíticas</w:t>
            </w:r>
          </w:p>
          <w:p>
            <w:pPr>
              <w:pStyle w:val="TableParagraph"/>
              <w:numPr>
                <w:ilvl w:val="0"/>
                <w:numId w:val="258"/>
              </w:numPr>
              <w:tabs>
                <w:tab w:pos="812" w:val="left" w:leader="none"/>
              </w:tabs>
              <w:spacing w:line="240" w:lineRule="auto" w:before="0" w:after="0"/>
              <w:ind w:left="280" w:right="105" w:hanging="141"/>
              <w:jc w:val="both"/>
              <w:rPr>
                <w:sz w:val="20"/>
              </w:rPr>
            </w:pPr>
            <w:r>
              <w:rPr>
                <w:sz w:val="20"/>
              </w:rPr>
              <w:t>Las autoridades auxiliares son producto de las estructuras históricas</w:t>
            </w:r>
            <w:r>
              <w:rPr>
                <w:spacing w:val="-10"/>
                <w:sz w:val="20"/>
              </w:rPr>
              <w:t> </w:t>
            </w:r>
            <w:r>
              <w:rPr>
                <w:sz w:val="20"/>
              </w:rPr>
              <w:t>consolidadas</w:t>
            </w:r>
          </w:p>
        </w:tc>
        <w:tc>
          <w:tcPr>
            <w:tcW w:w="1464" w:type="dxa"/>
            <w:vMerge/>
          </w:tcPr>
          <w:p>
            <w:pPr/>
          </w:p>
        </w:tc>
        <w:tc>
          <w:tcPr>
            <w:tcW w:w="2324" w:type="dxa"/>
            <w:vMerge/>
          </w:tcPr>
          <w:p>
            <w:pPr/>
          </w:p>
        </w:tc>
        <w:tc>
          <w:tcPr>
            <w:tcW w:w="1586"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798"/>
        <w:gridCol w:w="1352"/>
        <w:gridCol w:w="3343"/>
        <w:gridCol w:w="1464"/>
        <w:gridCol w:w="2324"/>
        <w:gridCol w:w="1586"/>
      </w:tblGrid>
      <w:tr>
        <w:trPr>
          <w:trHeight w:val="2090" w:hRule="exact"/>
        </w:trPr>
        <w:tc>
          <w:tcPr>
            <w:tcW w:w="954" w:type="dxa"/>
            <w:tcBorders>
              <w:left w:val="double" w:sz="11" w:space="0" w:color="000000"/>
            </w:tcBorders>
          </w:tcPr>
          <w:p>
            <w:pPr/>
          </w:p>
        </w:tc>
        <w:tc>
          <w:tcPr>
            <w:tcW w:w="1798" w:type="dxa"/>
          </w:tcPr>
          <w:p>
            <w:pPr/>
          </w:p>
        </w:tc>
        <w:tc>
          <w:tcPr>
            <w:tcW w:w="1352" w:type="dxa"/>
          </w:tcPr>
          <w:p>
            <w:pPr/>
          </w:p>
        </w:tc>
        <w:tc>
          <w:tcPr>
            <w:tcW w:w="3343" w:type="dxa"/>
          </w:tcPr>
          <w:p>
            <w:pPr>
              <w:pStyle w:val="TableParagraph"/>
              <w:numPr>
                <w:ilvl w:val="0"/>
                <w:numId w:val="259"/>
              </w:numPr>
              <w:tabs>
                <w:tab w:pos="812" w:val="left" w:leader="none"/>
              </w:tabs>
              <w:spacing w:line="240" w:lineRule="auto" w:before="7" w:after="0"/>
              <w:ind w:left="280" w:right="104" w:hanging="141"/>
              <w:jc w:val="both"/>
              <w:rPr>
                <w:sz w:val="20"/>
              </w:rPr>
            </w:pPr>
            <w:r>
              <w:rPr>
                <w:sz w:val="20"/>
              </w:rPr>
              <w:t>La CHPH es producto de  la articulación de eventos socioeconómicos e históricos en la</w:t>
            </w:r>
            <w:r>
              <w:rPr>
                <w:spacing w:val="-5"/>
                <w:sz w:val="20"/>
              </w:rPr>
              <w:t> </w:t>
            </w:r>
            <w:r>
              <w:rPr>
                <w:sz w:val="20"/>
              </w:rPr>
              <w:t>región</w:t>
            </w:r>
          </w:p>
          <w:p>
            <w:pPr>
              <w:pStyle w:val="TableParagraph"/>
              <w:numPr>
                <w:ilvl w:val="0"/>
                <w:numId w:val="259"/>
              </w:numPr>
              <w:tabs>
                <w:tab w:pos="463" w:val="left" w:leader="none"/>
                <w:tab w:pos="464" w:val="left" w:leader="none"/>
              </w:tabs>
              <w:spacing w:line="228" w:lineRule="exact"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259"/>
              </w:numPr>
              <w:tabs>
                <w:tab w:pos="463" w:val="left" w:leader="none"/>
                <w:tab w:pos="464" w:val="left" w:leader="none"/>
              </w:tabs>
              <w:spacing w:line="240" w:lineRule="auto"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259"/>
              </w:numPr>
              <w:tabs>
                <w:tab w:pos="463" w:val="left" w:leader="none"/>
                <w:tab w:pos="464" w:val="left" w:leader="none"/>
              </w:tabs>
              <w:spacing w:line="240" w:lineRule="auto"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259"/>
              </w:numPr>
              <w:tabs>
                <w:tab w:pos="463" w:val="left" w:leader="none"/>
                <w:tab w:pos="464" w:val="left" w:leader="none"/>
              </w:tabs>
              <w:spacing w:line="240" w:lineRule="auto" w:before="0" w:after="0"/>
              <w:ind w:left="463" w:right="105" w:hanging="360"/>
              <w:jc w:val="left"/>
              <w:rPr>
                <w:sz w:val="20"/>
              </w:rPr>
            </w:pPr>
            <w:r>
              <w:rPr>
                <w:sz w:val="20"/>
              </w:rPr>
              <w:t>Existe planeación sociopolítica con articulación entre</w:t>
            </w:r>
            <w:r>
              <w:rPr>
                <w:spacing w:val="-7"/>
                <w:sz w:val="20"/>
              </w:rPr>
              <w:t> </w:t>
            </w:r>
            <w:r>
              <w:rPr>
                <w:sz w:val="20"/>
              </w:rPr>
              <w:t>actores</w:t>
            </w:r>
          </w:p>
        </w:tc>
        <w:tc>
          <w:tcPr>
            <w:tcW w:w="1464" w:type="dxa"/>
          </w:tcPr>
          <w:p>
            <w:pPr/>
          </w:p>
        </w:tc>
        <w:tc>
          <w:tcPr>
            <w:tcW w:w="2324" w:type="dxa"/>
          </w:tcPr>
          <w:p>
            <w:pPr/>
          </w:p>
        </w:tc>
        <w:tc>
          <w:tcPr>
            <w:tcW w:w="1586" w:type="dxa"/>
            <w:tcBorders>
              <w:right w:val="double" w:sz="12" w:space="0" w:color="000000"/>
            </w:tcBorders>
          </w:tcPr>
          <w:p>
            <w:pPr>
              <w:pStyle w:val="TableParagraph"/>
              <w:ind w:left="0" w:right="-50"/>
              <w:rPr>
                <w:rFonts w:ascii="Times New Roman"/>
                <w:sz w:val="20"/>
              </w:rPr>
            </w:pPr>
            <w:r>
              <w:rPr>
                <w:rFonts w:ascii="Times New Roman"/>
                <w:sz w:val="20"/>
              </w:rPr>
              <w:pict>
                <v:group style="width:76.95pt;height:103.6pt;mso-position-horizontal-relative:char;mso-position-vertical-relative:line" coordorigin="0,0" coordsize="1539,2072">
                  <v:shape style="position:absolute;left:0;top:0;width:1538;height:2071" type="#_x0000_t75" stroked="false">
                    <v:imagedata r:id="rId495" o:title=""/>
                  </v:shape>
                </v:group>
              </w:pict>
            </w:r>
            <w:r>
              <w:rPr>
                <w:rFonts w:ascii="Times New Roman"/>
                <w:sz w:val="20"/>
              </w:rPr>
            </w:r>
          </w:p>
        </w:tc>
      </w:tr>
      <w:tr>
        <w:trPr>
          <w:trHeight w:val="3471" w:hRule="exact"/>
        </w:trPr>
        <w:tc>
          <w:tcPr>
            <w:tcW w:w="954" w:type="dxa"/>
            <w:tcBorders>
              <w:left w:val="double" w:sz="11" w:space="0" w:color="000000"/>
              <w:bottom w:val="double" w:sz="3" w:space="0" w:color="000000"/>
            </w:tcBorders>
          </w:tcPr>
          <w:p>
            <w:pPr/>
          </w:p>
        </w:tc>
        <w:tc>
          <w:tcPr>
            <w:tcW w:w="1798" w:type="dxa"/>
            <w:tcBorders>
              <w:bottom w:val="double" w:sz="3"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9"/>
              </w:rPr>
            </w:pPr>
          </w:p>
          <w:p>
            <w:pPr>
              <w:pStyle w:val="TableParagraph"/>
              <w:ind w:left="0"/>
              <w:jc w:val="center"/>
              <w:rPr>
                <w:b/>
                <w:sz w:val="20"/>
              </w:rPr>
            </w:pPr>
            <w:r>
              <w:rPr>
                <w:b/>
                <w:w w:val="99"/>
                <w:sz w:val="20"/>
              </w:rPr>
              <w:t>1</w:t>
            </w:r>
          </w:p>
        </w:tc>
        <w:tc>
          <w:tcPr>
            <w:tcW w:w="1352" w:type="dxa"/>
            <w:tcBorders>
              <w:bottom w:val="double" w:sz="3" w:space="0" w:color="000000"/>
            </w:tcBorders>
          </w:tcPr>
          <w:p>
            <w:pPr>
              <w:pStyle w:val="TableParagraph"/>
              <w:spacing w:line="228" w:lineRule="exact"/>
              <w:rPr>
                <w:sz w:val="20"/>
              </w:rPr>
            </w:pPr>
            <w:r>
              <w:rPr>
                <w:sz w:val="20"/>
              </w:rPr>
              <w:t>Ambiental</w:t>
            </w:r>
          </w:p>
        </w:tc>
        <w:tc>
          <w:tcPr>
            <w:tcW w:w="3343" w:type="dxa"/>
            <w:tcBorders>
              <w:bottom w:val="double" w:sz="3" w:space="0" w:color="000000"/>
            </w:tcBorders>
          </w:tcPr>
          <w:p>
            <w:pPr>
              <w:pStyle w:val="TableParagraph"/>
              <w:numPr>
                <w:ilvl w:val="0"/>
                <w:numId w:val="260"/>
              </w:numPr>
              <w:tabs>
                <w:tab w:pos="812" w:val="left" w:leader="none"/>
              </w:tabs>
              <w:spacing w:line="240" w:lineRule="auto" w:before="0" w:after="0"/>
              <w:ind w:left="280" w:right="104" w:hanging="141"/>
              <w:jc w:val="both"/>
              <w:rPr>
                <w:sz w:val="20"/>
              </w:rPr>
            </w:pPr>
            <w:r>
              <w:rPr>
                <w:sz w:val="20"/>
              </w:rPr>
              <w:t>Existe relación entre agua- ambiente-sociedad</w:t>
            </w:r>
          </w:p>
          <w:p>
            <w:pPr>
              <w:pStyle w:val="TableParagraph"/>
              <w:numPr>
                <w:ilvl w:val="0"/>
                <w:numId w:val="260"/>
              </w:numPr>
              <w:tabs>
                <w:tab w:pos="812" w:val="left" w:leader="none"/>
              </w:tabs>
              <w:spacing w:line="240" w:lineRule="auto" w:before="0" w:after="0"/>
              <w:ind w:left="280" w:right="104" w:hanging="141"/>
              <w:jc w:val="both"/>
              <w:rPr>
                <w:sz w:val="20"/>
              </w:rPr>
            </w:pPr>
            <w:r>
              <w:rPr>
                <w:sz w:val="20"/>
              </w:rPr>
              <w:t>Existen instituciones para proteger el medio ambiente comprometidas con</w:t>
            </w:r>
            <w:r>
              <w:rPr>
                <w:spacing w:val="-8"/>
                <w:sz w:val="20"/>
              </w:rPr>
              <w:t> </w:t>
            </w:r>
            <w:r>
              <w:rPr>
                <w:sz w:val="20"/>
              </w:rPr>
              <w:t>éste</w:t>
            </w:r>
          </w:p>
          <w:p>
            <w:pPr>
              <w:pStyle w:val="TableParagraph"/>
              <w:numPr>
                <w:ilvl w:val="0"/>
                <w:numId w:val="260"/>
              </w:numPr>
              <w:tabs>
                <w:tab w:pos="812" w:val="left" w:leader="none"/>
              </w:tabs>
              <w:spacing w:line="240" w:lineRule="auto" w:before="0" w:after="0"/>
              <w:ind w:left="280" w:right="106" w:hanging="141"/>
              <w:jc w:val="both"/>
              <w:rPr>
                <w:sz w:val="20"/>
              </w:rPr>
            </w:pPr>
            <w:r>
              <w:rPr>
                <w:sz w:val="20"/>
              </w:rPr>
              <w:t>Existe conciencia o interés en los actores históricos para cuidar el medio</w:t>
            </w:r>
            <w:r>
              <w:rPr>
                <w:spacing w:val="-8"/>
                <w:sz w:val="20"/>
              </w:rPr>
              <w:t> </w:t>
            </w:r>
            <w:r>
              <w:rPr>
                <w:sz w:val="20"/>
              </w:rPr>
              <w:t>ambiente</w:t>
            </w:r>
          </w:p>
          <w:p>
            <w:pPr>
              <w:pStyle w:val="TableParagraph"/>
              <w:numPr>
                <w:ilvl w:val="0"/>
                <w:numId w:val="260"/>
              </w:numPr>
              <w:tabs>
                <w:tab w:pos="812" w:val="left" w:leader="none"/>
                <w:tab w:pos="2128" w:val="left" w:leader="none"/>
              </w:tabs>
              <w:spacing w:line="240" w:lineRule="auto" w:before="0" w:after="0"/>
              <w:ind w:left="280" w:right="104" w:hanging="141"/>
              <w:jc w:val="both"/>
              <w:rPr>
                <w:sz w:val="20"/>
              </w:rPr>
            </w:pPr>
            <w:r>
              <w:rPr>
                <w:sz w:val="20"/>
              </w:rPr>
              <w:t>Las</w:t>
              <w:tab/>
            </w:r>
            <w:r>
              <w:rPr>
                <w:w w:val="95"/>
                <w:sz w:val="20"/>
              </w:rPr>
              <w:t>instituciones </w:t>
            </w:r>
            <w:r>
              <w:rPr>
                <w:sz w:val="20"/>
              </w:rPr>
              <w:t>sociopolíticas como El Municipio y El Ejido están interesadas en proteger el medio</w:t>
            </w:r>
            <w:r>
              <w:rPr>
                <w:spacing w:val="-6"/>
                <w:sz w:val="20"/>
              </w:rPr>
              <w:t> </w:t>
            </w:r>
            <w:r>
              <w:rPr>
                <w:sz w:val="20"/>
              </w:rPr>
              <w:t>ambiente</w:t>
            </w:r>
          </w:p>
          <w:p>
            <w:pPr>
              <w:pStyle w:val="TableParagraph"/>
              <w:numPr>
                <w:ilvl w:val="0"/>
                <w:numId w:val="260"/>
              </w:numPr>
              <w:tabs>
                <w:tab w:pos="812" w:val="left" w:leader="none"/>
                <w:tab w:pos="2260" w:val="left" w:leader="none"/>
              </w:tabs>
              <w:spacing w:line="240" w:lineRule="auto" w:before="0" w:after="0"/>
              <w:ind w:left="280" w:right="104" w:hanging="141"/>
              <w:jc w:val="both"/>
              <w:rPr>
                <w:sz w:val="20"/>
              </w:rPr>
            </w:pPr>
            <w:r>
              <w:rPr>
                <w:sz w:val="20"/>
              </w:rPr>
              <w:t>Existe</w:t>
              <w:tab/>
              <w:t>planeación ambiental con articulación entre actores</w:t>
            </w:r>
          </w:p>
        </w:tc>
        <w:tc>
          <w:tcPr>
            <w:tcW w:w="1464" w:type="dxa"/>
            <w:tcBorders>
              <w:bottom w:val="double" w:sz="3"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9"/>
              </w:rPr>
            </w:pPr>
          </w:p>
          <w:p>
            <w:pPr>
              <w:pStyle w:val="TableParagraph"/>
              <w:ind w:left="505" w:right="508"/>
              <w:jc w:val="center"/>
              <w:rPr>
                <w:sz w:val="20"/>
              </w:rPr>
            </w:pPr>
            <w:r>
              <w:rPr>
                <w:sz w:val="20"/>
              </w:rPr>
              <w:t>50%</w:t>
            </w:r>
          </w:p>
        </w:tc>
        <w:tc>
          <w:tcPr>
            <w:tcW w:w="2324" w:type="dxa"/>
            <w:tcBorders>
              <w:bottom w:val="double" w:sz="3" w:space="0" w:color="000000"/>
            </w:tcBorders>
          </w:tcPr>
          <w:p>
            <w:pPr>
              <w:pStyle w:val="TableParagraph"/>
              <w:tabs>
                <w:tab w:pos="1983" w:val="left" w:leader="none"/>
              </w:tabs>
              <w:ind w:right="104"/>
              <w:jc w:val="both"/>
              <w:rPr>
                <w:sz w:val="20"/>
              </w:rPr>
            </w:pPr>
            <w:r>
              <w:rPr>
                <w:sz w:val="20"/>
              </w:rPr>
              <w:t>Debe reunir </w:t>
            </w:r>
            <w:r>
              <w:rPr>
                <w:b/>
                <w:sz w:val="20"/>
              </w:rPr>
              <w:t>al menos el 50% una de tres </w:t>
            </w:r>
            <w:r>
              <w:rPr>
                <w:sz w:val="20"/>
              </w:rPr>
              <w:t>características</w:t>
              <w:tab/>
              <w:t>de impacto</w:t>
            </w:r>
            <w:r>
              <w:rPr>
                <w:spacing w:val="-3"/>
                <w:sz w:val="20"/>
              </w:rPr>
              <w:t> </w:t>
            </w:r>
            <w:r>
              <w:rPr>
                <w:sz w:val="20"/>
              </w:rPr>
              <w:t>positivo</w:t>
            </w:r>
          </w:p>
        </w:tc>
        <w:tc>
          <w:tcPr>
            <w:tcW w:w="1586" w:type="dxa"/>
            <w:tcBorders>
              <w:bottom w:val="double" w:sz="3" w:space="0" w:color="000000"/>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9"/>
              </w:rPr>
            </w:pPr>
          </w:p>
          <w:p>
            <w:pPr>
              <w:pStyle w:val="TableParagraph"/>
              <w:ind w:left="396"/>
              <w:rPr>
                <w:b/>
                <w:sz w:val="20"/>
              </w:rPr>
            </w:pPr>
            <w:r>
              <w:rPr>
                <w:b/>
                <w:sz w:val="20"/>
              </w:rPr>
              <w:t>Regular</w:t>
            </w:r>
          </w:p>
        </w:tc>
      </w:tr>
    </w:tbl>
    <w:p>
      <w:pPr>
        <w:spacing w:after="0"/>
        <w:rPr>
          <w:sz w:val="20"/>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798"/>
        <w:gridCol w:w="1352"/>
        <w:gridCol w:w="3343"/>
        <w:gridCol w:w="1464"/>
        <w:gridCol w:w="2324"/>
        <w:gridCol w:w="1586"/>
      </w:tblGrid>
      <w:tr>
        <w:trPr>
          <w:trHeight w:val="3929" w:hRule="exact"/>
        </w:trPr>
        <w:tc>
          <w:tcPr>
            <w:tcW w:w="954" w:type="dxa"/>
            <w:tcBorders>
              <w:left w:val="double" w:sz="11" w:space="0" w:color="000000"/>
            </w:tcBorders>
          </w:tcPr>
          <w:p>
            <w:pPr/>
          </w:p>
        </w:tc>
        <w:tc>
          <w:tcPr>
            <w:tcW w:w="1798" w:type="dxa"/>
            <w:vMerge w:val="restart"/>
          </w:tcPr>
          <w:p>
            <w:pPr/>
          </w:p>
        </w:tc>
        <w:tc>
          <w:tcPr>
            <w:tcW w:w="1352" w:type="dxa"/>
            <w:vMerge w:val="restart"/>
          </w:tcPr>
          <w:p>
            <w:pPr>
              <w:pStyle w:val="TableParagraph"/>
              <w:spacing w:before="7"/>
              <w:rPr>
                <w:sz w:val="20"/>
              </w:rPr>
            </w:pPr>
            <w:r>
              <w:rPr>
                <w:sz w:val="20"/>
              </w:rPr>
              <w:t>Económico</w:t>
            </w:r>
          </w:p>
        </w:tc>
        <w:tc>
          <w:tcPr>
            <w:tcW w:w="3343" w:type="dxa"/>
            <w:vMerge w:val="restart"/>
          </w:tcPr>
          <w:p>
            <w:pPr>
              <w:pStyle w:val="TableParagraph"/>
              <w:numPr>
                <w:ilvl w:val="0"/>
                <w:numId w:val="261"/>
              </w:numPr>
              <w:tabs>
                <w:tab w:pos="812" w:val="left" w:leader="none"/>
              </w:tabs>
              <w:spacing w:line="240" w:lineRule="auto" w:before="7" w:after="0"/>
              <w:ind w:left="280" w:right="103" w:hanging="141"/>
              <w:jc w:val="both"/>
              <w:rPr>
                <w:sz w:val="20"/>
              </w:rPr>
            </w:pPr>
            <w:r>
              <w:rPr>
                <w:sz w:val="20"/>
              </w:rPr>
              <w:t>Existe una dependencia económica de los recursos naturales por parte de  los actores de la</w:t>
            </w:r>
            <w:r>
              <w:rPr>
                <w:spacing w:val="-6"/>
                <w:sz w:val="20"/>
              </w:rPr>
              <w:t> </w:t>
            </w:r>
            <w:r>
              <w:rPr>
                <w:sz w:val="20"/>
              </w:rPr>
              <w:t>CHPH</w:t>
            </w:r>
          </w:p>
          <w:p>
            <w:pPr>
              <w:pStyle w:val="TableParagraph"/>
              <w:numPr>
                <w:ilvl w:val="0"/>
                <w:numId w:val="261"/>
              </w:numPr>
              <w:tabs>
                <w:tab w:pos="812" w:val="left" w:leader="none"/>
              </w:tabs>
              <w:spacing w:line="240" w:lineRule="auto" w:before="0" w:after="0"/>
              <w:ind w:left="280" w:right="104" w:hanging="141"/>
              <w:jc w:val="both"/>
              <w:rPr>
                <w:sz w:val="20"/>
              </w:rPr>
            </w:pPr>
            <w:r>
              <w:rPr>
                <w:sz w:val="20"/>
              </w:rPr>
              <w:t>La agricultura y la ganadería son la ventaja comparativa histórica de la  CHPH y benefician a la mayoría de actores históricos de la</w:t>
            </w:r>
            <w:r>
              <w:rPr>
                <w:spacing w:val="-9"/>
                <w:sz w:val="20"/>
              </w:rPr>
              <w:t> </w:t>
            </w:r>
            <w:r>
              <w:rPr>
                <w:sz w:val="20"/>
              </w:rPr>
              <w:t>CHPH</w:t>
            </w:r>
          </w:p>
          <w:p>
            <w:pPr>
              <w:pStyle w:val="TableParagraph"/>
              <w:numPr>
                <w:ilvl w:val="0"/>
                <w:numId w:val="261"/>
              </w:numPr>
              <w:tabs>
                <w:tab w:pos="812" w:val="left" w:leader="none"/>
              </w:tabs>
              <w:spacing w:line="240" w:lineRule="auto" w:before="1" w:after="0"/>
              <w:ind w:left="280" w:right="103" w:hanging="141"/>
              <w:jc w:val="both"/>
              <w:rPr>
                <w:sz w:val="20"/>
              </w:rPr>
            </w:pPr>
            <w:r>
              <w:rPr>
                <w:sz w:val="20"/>
              </w:rPr>
              <w:t>Las instituciones políticas que se han creado a través del tiempo como El Municipio y El Ejido favorecen el crecimiento económico en la</w:t>
            </w:r>
            <w:r>
              <w:rPr>
                <w:spacing w:val="-8"/>
                <w:sz w:val="20"/>
              </w:rPr>
              <w:t> </w:t>
            </w:r>
            <w:r>
              <w:rPr>
                <w:sz w:val="20"/>
              </w:rPr>
              <w:t>CHPH</w:t>
            </w:r>
          </w:p>
          <w:p>
            <w:pPr>
              <w:pStyle w:val="TableParagraph"/>
              <w:numPr>
                <w:ilvl w:val="0"/>
                <w:numId w:val="261"/>
              </w:numPr>
              <w:tabs>
                <w:tab w:pos="812" w:val="left" w:leader="none"/>
                <w:tab w:pos="2260" w:val="left" w:leader="none"/>
              </w:tabs>
              <w:spacing w:line="240" w:lineRule="auto" w:before="0" w:after="0"/>
              <w:ind w:left="280" w:right="104" w:hanging="141"/>
              <w:jc w:val="both"/>
              <w:rPr>
                <w:sz w:val="20"/>
              </w:rPr>
            </w:pPr>
            <w:r>
              <w:rPr>
                <w:sz w:val="20"/>
              </w:rPr>
              <w:t>Existe</w:t>
              <w:tab/>
              <w:t>planeación económica con articulación entre actores</w:t>
            </w:r>
          </w:p>
        </w:tc>
        <w:tc>
          <w:tcPr>
            <w:tcW w:w="1464" w:type="dxa"/>
            <w:vMerge w:val="restart"/>
          </w:tcPr>
          <w:p>
            <w:pPr/>
          </w:p>
        </w:tc>
        <w:tc>
          <w:tcPr>
            <w:tcW w:w="2324" w:type="dxa"/>
            <w:vMerge w:val="restart"/>
          </w:tcPr>
          <w:p>
            <w:pPr/>
          </w:p>
        </w:tc>
        <w:tc>
          <w:tcPr>
            <w:tcW w:w="1586" w:type="dxa"/>
            <w:vMerge w:val="restart"/>
            <w:tcBorders>
              <w:right w:val="double" w:sz="12" w:space="0" w:color="000000"/>
            </w:tcBorders>
            <w:shd w:val="clear" w:color="auto" w:fill="FFFF00"/>
          </w:tcPr>
          <w:p>
            <w:pPr/>
          </w:p>
        </w:tc>
      </w:tr>
      <w:tr>
        <w:trPr>
          <w:trHeight w:val="1150" w:hRule="exact"/>
        </w:trPr>
        <w:tc>
          <w:tcPr>
            <w:tcW w:w="954" w:type="dxa"/>
            <w:vMerge w:val="restart"/>
            <w:tcBorders>
              <w:left w:val="double" w:sz="11" w:space="0" w:color="000000"/>
            </w:tcBorders>
          </w:tcPr>
          <w:p>
            <w:pPr/>
          </w:p>
        </w:tc>
        <w:tc>
          <w:tcPr>
            <w:tcW w:w="1798" w:type="dxa"/>
            <w:vMerge/>
          </w:tcPr>
          <w:p>
            <w:pPr/>
          </w:p>
        </w:tc>
        <w:tc>
          <w:tcPr>
            <w:tcW w:w="1352" w:type="dxa"/>
            <w:vMerge/>
          </w:tcPr>
          <w:p>
            <w:pPr/>
          </w:p>
        </w:tc>
        <w:tc>
          <w:tcPr>
            <w:tcW w:w="3343" w:type="dxa"/>
            <w:vMerge/>
          </w:tcPr>
          <w:p>
            <w:pPr/>
          </w:p>
        </w:tc>
        <w:tc>
          <w:tcPr>
            <w:tcW w:w="1464" w:type="dxa"/>
            <w:vMerge/>
          </w:tcPr>
          <w:p>
            <w:pPr/>
          </w:p>
        </w:tc>
        <w:tc>
          <w:tcPr>
            <w:tcW w:w="2324" w:type="dxa"/>
            <w:vMerge/>
          </w:tcPr>
          <w:p>
            <w:pPr/>
          </w:p>
        </w:tc>
        <w:tc>
          <w:tcPr>
            <w:tcW w:w="1586" w:type="dxa"/>
            <w:vMerge/>
            <w:tcBorders>
              <w:right w:val="double" w:sz="12" w:space="0" w:color="000000"/>
            </w:tcBorders>
            <w:shd w:val="clear" w:color="auto" w:fill="FFFF00"/>
          </w:tcPr>
          <w:p>
            <w:pPr/>
          </w:p>
        </w:tc>
      </w:tr>
      <w:tr>
        <w:trPr>
          <w:trHeight w:val="3701" w:hRule="exact"/>
        </w:trPr>
        <w:tc>
          <w:tcPr>
            <w:tcW w:w="954" w:type="dxa"/>
            <w:vMerge/>
            <w:tcBorders>
              <w:left w:val="double" w:sz="11" w:space="0" w:color="000000"/>
            </w:tcBorders>
          </w:tcPr>
          <w:p>
            <w:pPr/>
          </w:p>
        </w:tc>
        <w:tc>
          <w:tcPr>
            <w:tcW w:w="1798" w:type="dxa"/>
            <w:vMerge/>
          </w:tcPr>
          <w:p>
            <w:pPr/>
          </w:p>
        </w:tc>
        <w:tc>
          <w:tcPr>
            <w:tcW w:w="1352" w:type="dxa"/>
          </w:tcPr>
          <w:p>
            <w:pPr>
              <w:pStyle w:val="TableParagraph"/>
              <w:spacing w:line="227" w:lineRule="exact"/>
              <w:rPr>
                <w:sz w:val="20"/>
              </w:rPr>
            </w:pPr>
            <w:r>
              <w:rPr>
                <w:sz w:val="20"/>
              </w:rPr>
              <w:t>Sociopolítico</w:t>
            </w:r>
          </w:p>
        </w:tc>
        <w:tc>
          <w:tcPr>
            <w:tcW w:w="3343" w:type="dxa"/>
          </w:tcPr>
          <w:p>
            <w:pPr>
              <w:pStyle w:val="TableParagraph"/>
              <w:numPr>
                <w:ilvl w:val="0"/>
                <w:numId w:val="262"/>
              </w:numPr>
              <w:tabs>
                <w:tab w:pos="812" w:val="left" w:leader="none"/>
                <w:tab w:pos="2617" w:val="left" w:leader="none"/>
              </w:tabs>
              <w:spacing w:line="240" w:lineRule="auto" w:before="0" w:after="0"/>
              <w:ind w:left="280" w:right="103" w:hanging="141"/>
              <w:jc w:val="both"/>
              <w:rPr>
                <w:sz w:val="20"/>
              </w:rPr>
            </w:pPr>
            <w:r>
              <w:rPr>
                <w:sz w:val="20"/>
              </w:rPr>
              <w:t>Existen</w:t>
              <w:tab/>
              <w:t>grupos económicos consolidados a través de la historia en la CHPH con interrelaciones</w:t>
            </w:r>
            <w:r>
              <w:rPr>
                <w:spacing w:val="-12"/>
                <w:sz w:val="20"/>
              </w:rPr>
              <w:t> </w:t>
            </w:r>
            <w:r>
              <w:rPr>
                <w:sz w:val="20"/>
              </w:rPr>
              <w:t>sociopolíticas</w:t>
            </w:r>
          </w:p>
          <w:p>
            <w:pPr>
              <w:pStyle w:val="TableParagraph"/>
              <w:numPr>
                <w:ilvl w:val="0"/>
                <w:numId w:val="262"/>
              </w:numPr>
              <w:tabs>
                <w:tab w:pos="812" w:val="left" w:leader="none"/>
              </w:tabs>
              <w:spacing w:line="240" w:lineRule="auto" w:before="0" w:after="0"/>
              <w:ind w:left="280" w:right="105" w:hanging="141"/>
              <w:jc w:val="both"/>
              <w:rPr>
                <w:sz w:val="20"/>
              </w:rPr>
            </w:pPr>
            <w:r>
              <w:rPr>
                <w:sz w:val="20"/>
              </w:rPr>
              <w:t>Las autoridades auxiliares son producto de las estructuras históricas</w:t>
            </w:r>
            <w:r>
              <w:rPr>
                <w:spacing w:val="-10"/>
                <w:sz w:val="20"/>
              </w:rPr>
              <w:t> </w:t>
            </w:r>
            <w:r>
              <w:rPr>
                <w:sz w:val="20"/>
              </w:rPr>
              <w:t>consolidadas</w:t>
            </w:r>
          </w:p>
          <w:p>
            <w:pPr>
              <w:pStyle w:val="TableParagraph"/>
              <w:numPr>
                <w:ilvl w:val="0"/>
                <w:numId w:val="262"/>
              </w:numPr>
              <w:tabs>
                <w:tab w:pos="812" w:val="left" w:leader="none"/>
              </w:tabs>
              <w:spacing w:line="240" w:lineRule="auto" w:before="0" w:after="0"/>
              <w:ind w:left="280" w:right="104" w:hanging="141"/>
              <w:jc w:val="both"/>
              <w:rPr>
                <w:sz w:val="20"/>
              </w:rPr>
            </w:pPr>
            <w:r>
              <w:rPr>
                <w:sz w:val="20"/>
              </w:rPr>
              <w:t>La CHPH es producto de  la articulación de eventos socioeconómicos e históricos en la</w:t>
            </w:r>
            <w:r>
              <w:rPr>
                <w:spacing w:val="-5"/>
                <w:sz w:val="20"/>
              </w:rPr>
              <w:t> </w:t>
            </w:r>
            <w:r>
              <w:rPr>
                <w:sz w:val="20"/>
              </w:rPr>
              <w:t>región</w:t>
            </w:r>
          </w:p>
          <w:p>
            <w:pPr>
              <w:pStyle w:val="TableParagraph"/>
              <w:numPr>
                <w:ilvl w:val="0"/>
                <w:numId w:val="262"/>
              </w:numPr>
              <w:tabs>
                <w:tab w:pos="463" w:val="left" w:leader="none"/>
                <w:tab w:pos="464" w:val="left" w:leader="none"/>
              </w:tabs>
              <w:spacing w:line="240" w:lineRule="auto"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262"/>
              </w:numPr>
              <w:tabs>
                <w:tab w:pos="463" w:val="left" w:leader="none"/>
                <w:tab w:pos="464" w:val="left" w:leader="none"/>
              </w:tabs>
              <w:spacing w:line="240" w:lineRule="auto"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262"/>
              </w:numPr>
              <w:tabs>
                <w:tab w:pos="463" w:val="left" w:leader="none"/>
                <w:tab w:pos="464" w:val="left" w:leader="none"/>
              </w:tabs>
              <w:spacing w:line="240" w:lineRule="auto" w:before="0" w:after="0"/>
              <w:ind w:left="463" w:right="0" w:hanging="360"/>
              <w:jc w:val="left"/>
              <w:rPr>
                <w:sz w:val="20"/>
              </w:rPr>
            </w:pPr>
            <w:r>
              <w:rPr>
                <w:sz w:val="20"/>
              </w:rPr>
              <w:t>Fortalece la</w:t>
            </w:r>
            <w:r>
              <w:rPr>
                <w:spacing w:val="-9"/>
                <w:sz w:val="20"/>
              </w:rPr>
              <w:t> </w:t>
            </w:r>
            <w:r>
              <w:rPr>
                <w:sz w:val="20"/>
              </w:rPr>
              <w:t>gobernabilidad</w:t>
            </w:r>
          </w:p>
          <w:p>
            <w:pPr>
              <w:pStyle w:val="TableParagraph"/>
              <w:numPr>
                <w:ilvl w:val="0"/>
                <w:numId w:val="262"/>
              </w:numPr>
              <w:tabs>
                <w:tab w:pos="463" w:val="left" w:leader="none"/>
                <w:tab w:pos="464" w:val="left" w:leader="none"/>
              </w:tabs>
              <w:spacing w:line="240" w:lineRule="auto" w:before="0" w:after="0"/>
              <w:ind w:left="463" w:right="105" w:hanging="360"/>
              <w:jc w:val="left"/>
              <w:rPr>
                <w:sz w:val="20"/>
              </w:rPr>
            </w:pPr>
            <w:r>
              <w:rPr>
                <w:sz w:val="20"/>
              </w:rPr>
              <w:t>Existe planeación sociopolítica con articulación entre</w:t>
            </w:r>
            <w:r>
              <w:rPr>
                <w:spacing w:val="-7"/>
                <w:sz w:val="20"/>
              </w:rPr>
              <w:t> </w:t>
            </w:r>
            <w:r>
              <w:rPr>
                <w:sz w:val="20"/>
              </w:rPr>
              <w:t>actores</w:t>
            </w:r>
          </w:p>
        </w:tc>
        <w:tc>
          <w:tcPr>
            <w:tcW w:w="1464" w:type="dxa"/>
            <w:vMerge/>
          </w:tcPr>
          <w:p>
            <w:pPr/>
          </w:p>
        </w:tc>
        <w:tc>
          <w:tcPr>
            <w:tcW w:w="2324" w:type="dxa"/>
            <w:vMerge/>
          </w:tcPr>
          <w:p>
            <w:pPr/>
          </w:p>
        </w:tc>
        <w:tc>
          <w:tcPr>
            <w:tcW w:w="1586" w:type="dxa"/>
            <w:vMerge/>
            <w:tcBorders>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798"/>
        <w:gridCol w:w="1352"/>
        <w:gridCol w:w="3343"/>
        <w:gridCol w:w="1464"/>
        <w:gridCol w:w="2324"/>
        <w:gridCol w:w="1586"/>
      </w:tblGrid>
      <w:tr>
        <w:trPr>
          <w:trHeight w:val="251" w:hRule="exact"/>
        </w:trPr>
        <w:tc>
          <w:tcPr>
            <w:tcW w:w="954" w:type="dxa"/>
            <w:tcBorders>
              <w:left w:val="double" w:sz="11" w:space="0" w:color="000000"/>
              <w:bottom w:val="nil"/>
            </w:tcBorders>
          </w:tcPr>
          <w:p>
            <w:pPr/>
          </w:p>
        </w:tc>
        <w:tc>
          <w:tcPr>
            <w:tcW w:w="1798" w:type="dxa"/>
            <w:tcBorders>
              <w:bottom w:val="nil"/>
            </w:tcBorders>
          </w:tcPr>
          <w:p>
            <w:pPr/>
          </w:p>
        </w:tc>
        <w:tc>
          <w:tcPr>
            <w:tcW w:w="1352" w:type="dxa"/>
            <w:tcBorders>
              <w:bottom w:val="nil"/>
            </w:tcBorders>
          </w:tcPr>
          <w:p>
            <w:pPr>
              <w:pStyle w:val="TableParagraph"/>
              <w:spacing w:before="7"/>
              <w:rPr>
                <w:sz w:val="20"/>
              </w:rPr>
            </w:pPr>
            <w:r>
              <w:rPr>
                <w:sz w:val="20"/>
              </w:rPr>
              <w:t>Ambiental</w:t>
            </w:r>
          </w:p>
        </w:tc>
        <w:tc>
          <w:tcPr>
            <w:tcW w:w="3343" w:type="dxa"/>
            <w:vMerge w:val="restart"/>
          </w:tcPr>
          <w:p>
            <w:pPr>
              <w:pStyle w:val="TableParagraph"/>
              <w:numPr>
                <w:ilvl w:val="0"/>
                <w:numId w:val="263"/>
              </w:numPr>
              <w:tabs>
                <w:tab w:pos="812" w:val="left" w:leader="none"/>
              </w:tabs>
              <w:spacing w:line="240" w:lineRule="auto" w:before="7" w:after="0"/>
              <w:ind w:left="280" w:right="104" w:hanging="141"/>
              <w:jc w:val="both"/>
              <w:rPr>
                <w:sz w:val="20"/>
              </w:rPr>
            </w:pPr>
            <w:r>
              <w:rPr>
                <w:sz w:val="20"/>
              </w:rPr>
              <w:t>Existe relación entre agua- ambiente-sociedad</w:t>
            </w:r>
          </w:p>
          <w:p>
            <w:pPr>
              <w:pStyle w:val="TableParagraph"/>
              <w:numPr>
                <w:ilvl w:val="0"/>
                <w:numId w:val="263"/>
              </w:numPr>
              <w:tabs>
                <w:tab w:pos="812" w:val="left" w:leader="none"/>
              </w:tabs>
              <w:spacing w:line="240" w:lineRule="auto" w:before="0" w:after="0"/>
              <w:ind w:left="280" w:right="104" w:hanging="141"/>
              <w:jc w:val="both"/>
              <w:rPr>
                <w:sz w:val="20"/>
              </w:rPr>
            </w:pPr>
            <w:r>
              <w:rPr>
                <w:sz w:val="20"/>
              </w:rPr>
              <w:t>Existen instituciones para proteger el medio ambiente comprometidas con</w:t>
            </w:r>
            <w:r>
              <w:rPr>
                <w:spacing w:val="-8"/>
                <w:sz w:val="20"/>
              </w:rPr>
              <w:t> </w:t>
            </w:r>
            <w:r>
              <w:rPr>
                <w:sz w:val="20"/>
              </w:rPr>
              <w:t>éste</w:t>
            </w:r>
          </w:p>
          <w:p>
            <w:pPr>
              <w:pStyle w:val="TableParagraph"/>
              <w:numPr>
                <w:ilvl w:val="0"/>
                <w:numId w:val="263"/>
              </w:numPr>
              <w:tabs>
                <w:tab w:pos="812" w:val="left" w:leader="none"/>
              </w:tabs>
              <w:spacing w:line="240" w:lineRule="auto" w:before="0" w:after="0"/>
              <w:ind w:left="280" w:right="106" w:hanging="141"/>
              <w:jc w:val="both"/>
              <w:rPr>
                <w:sz w:val="20"/>
              </w:rPr>
            </w:pPr>
            <w:r>
              <w:rPr>
                <w:sz w:val="20"/>
              </w:rPr>
              <w:t>Existe conciencia o interés en los actores históricos para cuidar el medio</w:t>
            </w:r>
            <w:r>
              <w:rPr>
                <w:spacing w:val="-8"/>
                <w:sz w:val="20"/>
              </w:rPr>
              <w:t> </w:t>
            </w:r>
            <w:r>
              <w:rPr>
                <w:sz w:val="20"/>
              </w:rPr>
              <w:t>ambiente</w:t>
            </w:r>
          </w:p>
          <w:p>
            <w:pPr>
              <w:pStyle w:val="TableParagraph"/>
              <w:numPr>
                <w:ilvl w:val="0"/>
                <w:numId w:val="263"/>
              </w:numPr>
              <w:tabs>
                <w:tab w:pos="812" w:val="left" w:leader="none"/>
                <w:tab w:pos="2128" w:val="left" w:leader="none"/>
              </w:tabs>
              <w:spacing w:line="240" w:lineRule="auto" w:before="0" w:after="0"/>
              <w:ind w:left="280" w:right="105" w:hanging="141"/>
              <w:jc w:val="both"/>
              <w:rPr>
                <w:sz w:val="20"/>
              </w:rPr>
            </w:pPr>
            <w:r>
              <w:rPr>
                <w:sz w:val="20"/>
              </w:rPr>
              <w:t>Las</w:t>
              <w:tab/>
            </w:r>
            <w:r>
              <w:rPr>
                <w:w w:val="95"/>
                <w:sz w:val="20"/>
              </w:rPr>
              <w:t>instituciones </w:t>
            </w:r>
            <w:r>
              <w:rPr>
                <w:sz w:val="20"/>
              </w:rPr>
              <w:t>sociopolíticas como El Municipio y El Ejido están interesadas en proteger el medio</w:t>
            </w:r>
            <w:r>
              <w:rPr>
                <w:spacing w:val="-6"/>
                <w:sz w:val="20"/>
              </w:rPr>
              <w:t> </w:t>
            </w:r>
            <w:r>
              <w:rPr>
                <w:sz w:val="20"/>
              </w:rPr>
              <w:t>ambiente</w:t>
            </w:r>
          </w:p>
          <w:p>
            <w:pPr>
              <w:pStyle w:val="TableParagraph"/>
              <w:numPr>
                <w:ilvl w:val="0"/>
                <w:numId w:val="263"/>
              </w:numPr>
              <w:tabs>
                <w:tab w:pos="812" w:val="left" w:leader="none"/>
                <w:tab w:pos="2260" w:val="left" w:leader="none"/>
              </w:tabs>
              <w:spacing w:line="240" w:lineRule="auto" w:before="0" w:after="0"/>
              <w:ind w:left="280" w:right="104" w:hanging="141"/>
              <w:jc w:val="both"/>
              <w:rPr>
                <w:sz w:val="20"/>
              </w:rPr>
            </w:pPr>
            <w:r>
              <w:rPr>
                <w:sz w:val="20"/>
              </w:rPr>
              <w:t>Existe</w:t>
              <w:tab/>
              <w:t>planeación ambiental con articulación entre actores</w:t>
            </w:r>
          </w:p>
        </w:tc>
        <w:tc>
          <w:tcPr>
            <w:tcW w:w="1464" w:type="dxa"/>
            <w:tcBorders>
              <w:bottom w:val="nil"/>
            </w:tcBorders>
          </w:tcPr>
          <w:p>
            <w:pPr/>
          </w:p>
        </w:tc>
        <w:tc>
          <w:tcPr>
            <w:tcW w:w="2324" w:type="dxa"/>
            <w:tcBorders>
              <w:bottom w:val="nil"/>
            </w:tcBorders>
          </w:tcPr>
          <w:p>
            <w:pPr>
              <w:pStyle w:val="TableParagraph"/>
              <w:spacing w:before="7"/>
              <w:rPr>
                <w:sz w:val="20"/>
              </w:rPr>
            </w:pPr>
            <w:r>
              <w:rPr>
                <w:sz w:val="20"/>
              </w:rPr>
              <w:t>No reúne ni el 50%   en</w:t>
            </w:r>
          </w:p>
        </w:tc>
        <w:tc>
          <w:tcPr>
            <w:tcW w:w="1586" w:type="dxa"/>
            <w:tcBorders>
              <w:bottom w:val="nil"/>
              <w:right w:val="double" w:sz="12" w:space="0" w:color="000000"/>
            </w:tcBorders>
            <w:shd w:val="clear" w:color="auto" w:fill="FF0000"/>
          </w:tcPr>
          <w:p>
            <w:pPr/>
          </w:p>
        </w:tc>
      </w:tr>
      <w:tr>
        <w:trPr>
          <w:trHeight w:val="230" w:hRule="exact"/>
        </w:trPr>
        <w:tc>
          <w:tcPr>
            <w:tcW w:w="954" w:type="dxa"/>
            <w:tcBorders>
              <w:top w:val="nil"/>
              <w:left w:val="double" w:sz="11" w:space="0" w:color="000000"/>
              <w:bottom w:val="nil"/>
            </w:tcBorders>
          </w:tcPr>
          <w:p>
            <w:pPr/>
          </w:p>
        </w:tc>
        <w:tc>
          <w:tcPr>
            <w:tcW w:w="1798" w:type="dxa"/>
            <w:tcBorders>
              <w:top w:val="nil"/>
              <w:bottom w:val="nil"/>
            </w:tcBorders>
          </w:tcPr>
          <w:p>
            <w:pPr/>
          </w:p>
        </w:tc>
        <w:tc>
          <w:tcPr>
            <w:tcW w:w="1352" w:type="dxa"/>
            <w:tcBorders>
              <w:top w:val="nil"/>
              <w:bottom w:val="nil"/>
            </w:tcBorders>
          </w:tcPr>
          <w:p>
            <w:pPr/>
          </w:p>
        </w:tc>
        <w:tc>
          <w:tcPr>
            <w:tcW w:w="3343" w:type="dxa"/>
            <w:vMerge/>
          </w:tcPr>
          <w:p>
            <w:pPr/>
          </w:p>
        </w:tc>
        <w:tc>
          <w:tcPr>
            <w:tcW w:w="1464" w:type="dxa"/>
            <w:tcBorders>
              <w:top w:val="nil"/>
              <w:bottom w:val="nil"/>
            </w:tcBorders>
          </w:tcPr>
          <w:p>
            <w:pPr/>
          </w:p>
        </w:tc>
        <w:tc>
          <w:tcPr>
            <w:tcW w:w="2324" w:type="dxa"/>
            <w:tcBorders>
              <w:top w:val="nil"/>
              <w:bottom w:val="nil"/>
            </w:tcBorders>
          </w:tcPr>
          <w:p>
            <w:pPr>
              <w:pStyle w:val="TableParagraph"/>
              <w:tabs>
                <w:tab w:pos="1089" w:val="left" w:leader="none"/>
                <w:tab w:pos="1521" w:val="left" w:leader="none"/>
                <w:tab w:pos="1983" w:val="left" w:leader="none"/>
              </w:tabs>
              <w:spacing w:line="218" w:lineRule="exact"/>
              <w:rPr>
                <w:sz w:val="20"/>
              </w:rPr>
            </w:pPr>
            <w:r>
              <w:rPr>
                <w:b/>
                <w:sz w:val="20"/>
              </w:rPr>
              <w:t>ninguna</w:t>
              <w:tab/>
            </w:r>
            <w:r>
              <w:rPr>
                <w:sz w:val="20"/>
              </w:rPr>
              <w:t>de</w:t>
              <w:tab/>
              <w:t>las</w:t>
              <w:tab/>
              <w:t>de</w:t>
            </w:r>
          </w:p>
        </w:tc>
        <w:tc>
          <w:tcPr>
            <w:tcW w:w="1586" w:type="dxa"/>
            <w:tcBorders>
              <w:top w:val="nil"/>
              <w:bottom w:val="nil"/>
              <w:right w:val="double" w:sz="12" w:space="0" w:color="000000"/>
            </w:tcBorders>
            <w:shd w:val="clear" w:color="auto" w:fill="FF0000"/>
          </w:tcPr>
          <w:p>
            <w:pPr/>
          </w:p>
        </w:tc>
      </w:tr>
      <w:tr>
        <w:trPr>
          <w:trHeight w:val="2987" w:hRule="exact"/>
        </w:trPr>
        <w:tc>
          <w:tcPr>
            <w:tcW w:w="954" w:type="dxa"/>
            <w:tcBorders>
              <w:top w:val="nil"/>
              <w:left w:val="double" w:sz="11" w:space="0" w:color="000000"/>
              <w:bottom w:val="nil"/>
            </w:tcBorders>
          </w:tcPr>
          <w:p>
            <w:pPr/>
          </w:p>
        </w:tc>
        <w:tc>
          <w:tcPr>
            <w:tcW w:w="1798" w:type="dxa"/>
            <w:tcBorders>
              <w:top w:val="nil"/>
              <w:bottom w:val="nil"/>
            </w:tcBorders>
          </w:tcPr>
          <w:p>
            <w:pPr/>
          </w:p>
        </w:tc>
        <w:tc>
          <w:tcPr>
            <w:tcW w:w="1352" w:type="dxa"/>
            <w:tcBorders>
              <w:top w:val="nil"/>
            </w:tcBorders>
          </w:tcPr>
          <w:p>
            <w:pPr/>
          </w:p>
        </w:tc>
        <w:tc>
          <w:tcPr>
            <w:tcW w:w="3343" w:type="dxa"/>
            <w:vMerge/>
          </w:tcPr>
          <w:p>
            <w:pPr/>
          </w:p>
        </w:tc>
        <w:tc>
          <w:tcPr>
            <w:tcW w:w="1464" w:type="dxa"/>
            <w:tcBorders>
              <w:top w:val="nil"/>
              <w:bottom w:val="nil"/>
            </w:tcBorders>
          </w:tcPr>
          <w:p>
            <w:pPr/>
          </w:p>
        </w:tc>
        <w:tc>
          <w:tcPr>
            <w:tcW w:w="2324" w:type="dxa"/>
            <w:tcBorders>
              <w:top w:val="nil"/>
              <w:bottom w:val="nil"/>
            </w:tcBorders>
          </w:tcPr>
          <w:p>
            <w:pPr>
              <w:pStyle w:val="TableParagraph"/>
              <w:spacing w:line="221" w:lineRule="exact"/>
              <w:rPr>
                <w:sz w:val="20"/>
              </w:rPr>
            </w:pPr>
            <w:r>
              <w:rPr>
                <w:sz w:val="20"/>
              </w:rPr>
              <w:t>impacto positivo</w:t>
            </w:r>
          </w:p>
        </w:tc>
        <w:tc>
          <w:tcPr>
            <w:tcW w:w="1586" w:type="dxa"/>
            <w:tcBorders>
              <w:top w:val="nil"/>
              <w:bottom w:val="nil"/>
              <w:right w:val="double" w:sz="12" w:space="0" w:color="000000"/>
            </w:tcBorders>
            <w:shd w:val="clear" w:color="auto" w:fill="FF0000"/>
          </w:tcPr>
          <w:p>
            <w:pPr/>
          </w:p>
        </w:tc>
      </w:tr>
      <w:tr>
        <w:trPr>
          <w:trHeight w:val="1508" w:hRule="exact"/>
        </w:trPr>
        <w:tc>
          <w:tcPr>
            <w:tcW w:w="954" w:type="dxa"/>
            <w:tcBorders>
              <w:top w:val="nil"/>
              <w:left w:val="double" w:sz="11" w:space="0" w:color="000000"/>
              <w:bottom w:val="nil"/>
            </w:tcBorders>
          </w:tcPr>
          <w:p>
            <w:pPr/>
          </w:p>
        </w:tc>
        <w:tc>
          <w:tcPr>
            <w:tcW w:w="1798" w:type="dxa"/>
            <w:tcBorders>
              <w:top w:val="nil"/>
              <w:bottom w:val="nil"/>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
              <w:ind w:left="0"/>
              <w:rPr>
                <w:rFonts w:ascii="Times New Roman"/>
                <w:sz w:val="20"/>
              </w:rPr>
            </w:pPr>
          </w:p>
          <w:p>
            <w:pPr>
              <w:pStyle w:val="TableParagraph"/>
              <w:ind w:left="0"/>
              <w:jc w:val="center"/>
              <w:rPr>
                <w:b/>
                <w:sz w:val="20"/>
              </w:rPr>
            </w:pPr>
            <w:r>
              <w:rPr>
                <w:b/>
                <w:w w:val="99"/>
                <w:sz w:val="20"/>
              </w:rPr>
              <w:t>1</w:t>
            </w:r>
          </w:p>
        </w:tc>
        <w:tc>
          <w:tcPr>
            <w:tcW w:w="1352" w:type="dxa"/>
            <w:vMerge w:val="restart"/>
          </w:tcPr>
          <w:p>
            <w:pPr>
              <w:pStyle w:val="TableParagraph"/>
              <w:spacing w:line="230" w:lineRule="exact"/>
              <w:rPr>
                <w:sz w:val="20"/>
              </w:rPr>
            </w:pPr>
            <w:r>
              <w:rPr>
                <w:sz w:val="20"/>
              </w:rPr>
              <w:t>Económico</w:t>
            </w:r>
          </w:p>
        </w:tc>
        <w:tc>
          <w:tcPr>
            <w:tcW w:w="3343" w:type="dxa"/>
            <w:vMerge w:val="restart"/>
          </w:tcPr>
          <w:p>
            <w:pPr>
              <w:pStyle w:val="TableParagraph"/>
              <w:numPr>
                <w:ilvl w:val="0"/>
                <w:numId w:val="264"/>
              </w:numPr>
              <w:tabs>
                <w:tab w:pos="812" w:val="left" w:leader="none"/>
              </w:tabs>
              <w:spacing w:line="240" w:lineRule="auto" w:before="0" w:after="0"/>
              <w:ind w:left="280" w:right="104" w:hanging="141"/>
              <w:jc w:val="both"/>
              <w:rPr>
                <w:sz w:val="20"/>
              </w:rPr>
            </w:pPr>
            <w:r>
              <w:rPr>
                <w:sz w:val="20"/>
              </w:rPr>
              <w:t>Existe una dependencia económica de los recursos naturales por parte de  los actores de la</w:t>
            </w:r>
            <w:r>
              <w:rPr>
                <w:spacing w:val="-6"/>
                <w:sz w:val="20"/>
              </w:rPr>
              <w:t> </w:t>
            </w:r>
            <w:r>
              <w:rPr>
                <w:sz w:val="20"/>
              </w:rPr>
              <w:t>CHPH</w:t>
            </w:r>
          </w:p>
          <w:p>
            <w:pPr>
              <w:pStyle w:val="TableParagraph"/>
              <w:numPr>
                <w:ilvl w:val="0"/>
                <w:numId w:val="264"/>
              </w:numPr>
              <w:tabs>
                <w:tab w:pos="812" w:val="left" w:leader="none"/>
              </w:tabs>
              <w:spacing w:line="240" w:lineRule="auto" w:before="0" w:after="0"/>
              <w:ind w:left="280" w:right="104" w:hanging="141"/>
              <w:jc w:val="both"/>
              <w:rPr>
                <w:sz w:val="20"/>
              </w:rPr>
            </w:pPr>
            <w:r>
              <w:rPr>
                <w:sz w:val="20"/>
              </w:rPr>
              <w:t>La agricultura y la ganadería son la ventaja comparativa histórica de la  CHPH y benefician a la mayoría de actores históricos de la</w:t>
            </w:r>
            <w:r>
              <w:rPr>
                <w:spacing w:val="-9"/>
                <w:sz w:val="20"/>
              </w:rPr>
              <w:t> </w:t>
            </w:r>
            <w:r>
              <w:rPr>
                <w:sz w:val="20"/>
              </w:rPr>
              <w:t>CHPH</w:t>
            </w:r>
          </w:p>
          <w:p>
            <w:pPr>
              <w:pStyle w:val="TableParagraph"/>
              <w:numPr>
                <w:ilvl w:val="0"/>
                <w:numId w:val="264"/>
              </w:numPr>
              <w:tabs>
                <w:tab w:pos="812" w:val="left" w:leader="none"/>
              </w:tabs>
              <w:spacing w:line="240" w:lineRule="auto" w:before="0" w:after="0"/>
              <w:ind w:left="280" w:right="103" w:hanging="141"/>
              <w:jc w:val="both"/>
              <w:rPr>
                <w:sz w:val="20"/>
              </w:rPr>
            </w:pPr>
            <w:r>
              <w:rPr>
                <w:sz w:val="20"/>
              </w:rPr>
              <w:t>Las instituciones políticas que se han creado a través del tiempo como El Municipio y El Ejido favorecen el crecimiento económico en la</w:t>
            </w:r>
            <w:r>
              <w:rPr>
                <w:spacing w:val="-8"/>
                <w:sz w:val="20"/>
              </w:rPr>
              <w:t> </w:t>
            </w:r>
            <w:r>
              <w:rPr>
                <w:sz w:val="20"/>
              </w:rPr>
              <w:t>CHPH</w:t>
            </w:r>
          </w:p>
          <w:p>
            <w:pPr>
              <w:pStyle w:val="TableParagraph"/>
              <w:numPr>
                <w:ilvl w:val="0"/>
                <w:numId w:val="264"/>
              </w:numPr>
              <w:tabs>
                <w:tab w:pos="812" w:val="left" w:leader="none"/>
                <w:tab w:pos="2260" w:val="left" w:leader="none"/>
              </w:tabs>
              <w:spacing w:line="240" w:lineRule="auto" w:before="0" w:after="0"/>
              <w:ind w:left="280" w:right="104" w:hanging="141"/>
              <w:jc w:val="both"/>
              <w:rPr>
                <w:sz w:val="20"/>
              </w:rPr>
            </w:pPr>
            <w:r>
              <w:rPr>
                <w:sz w:val="20"/>
              </w:rPr>
              <w:t>Existe</w:t>
              <w:tab/>
              <w:t>planeación económica con articulación entre actores</w:t>
            </w:r>
          </w:p>
        </w:tc>
        <w:tc>
          <w:tcPr>
            <w:tcW w:w="1464" w:type="dxa"/>
            <w:tcBorders>
              <w:top w:val="nil"/>
              <w:bottom w:val="nil"/>
            </w:tcBorders>
          </w:tcPr>
          <w:p>
            <w:pPr/>
          </w:p>
        </w:tc>
        <w:tc>
          <w:tcPr>
            <w:tcW w:w="2324" w:type="dxa"/>
            <w:tcBorders>
              <w:top w:val="nil"/>
              <w:bottom w:val="nil"/>
            </w:tcBorders>
          </w:tcPr>
          <w:p>
            <w:pPr/>
          </w:p>
        </w:tc>
        <w:tc>
          <w:tcPr>
            <w:tcW w:w="1586" w:type="dxa"/>
            <w:tcBorders>
              <w:top w:val="nil"/>
              <w:bottom w:val="nil"/>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17"/>
              <w:ind w:left="290"/>
              <w:rPr>
                <w:b/>
                <w:sz w:val="20"/>
              </w:rPr>
            </w:pPr>
            <w:r>
              <w:rPr>
                <w:b/>
                <w:sz w:val="20"/>
              </w:rPr>
              <w:t>Deficiente</w:t>
            </w:r>
          </w:p>
        </w:tc>
      </w:tr>
      <w:tr>
        <w:trPr>
          <w:trHeight w:val="461" w:hRule="exact"/>
        </w:trPr>
        <w:tc>
          <w:tcPr>
            <w:tcW w:w="954" w:type="dxa"/>
            <w:tcBorders>
              <w:top w:val="nil"/>
              <w:left w:val="double" w:sz="11" w:space="0" w:color="000000"/>
              <w:bottom w:val="nil"/>
            </w:tcBorders>
          </w:tcPr>
          <w:p>
            <w:pPr/>
          </w:p>
        </w:tc>
        <w:tc>
          <w:tcPr>
            <w:tcW w:w="1798" w:type="dxa"/>
            <w:tcBorders>
              <w:top w:val="nil"/>
              <w:bottom w:val="nil"/>
            </w:tcBorders>
          </w:tcPr>
          <w:p>
            <w:pPr/>
          </w:p>
        </w:tc>
        <w:tc>
          <w:tcPr>
            <w:tcW w:w="1352" w:type="dxa"/>
            <w:vMerge/>
          </w:tcPr>
          <w:p>
            <w:pPr/>
          </w:p>
        </w:tc>
        <w:tc>
          <w:tcPr>
            <w:tcW w:w="3343" w:type="dxa"/>
            <w:vMerge/>
          </w:tcPr>
          <w:p>
            <w:pPr/>
          </w:p>
        </w:tc>
        <w:tc>
          <w:tcPr>
            <w:tcW w:w="1464" w:type="dxa"/>
            <w:tcBorders>
              <w:top w:val="nil"/>
              <w:bottom w:val="nil"/>
            </w:tcBorders>
          </w:tcPr>
          <w:p>
            <w:pPr>
              <w:pStyle w:val="TableParagraph"/>
              <w:spacing w:before="1"/>
              <w:ind w:left="0"/>
              <w:rPr>
                <w:rFonts w:ascii="Times New Roman"/>
                <w:sz w:val="19"/>
              </w:rPr>
            </w:pPr>
          </w:p>
          <w:p>
            <w:pPr>
              <w:pStyle w:val="TableParagraph"/>
              <w:ind w:left="468"/>
              <w:rPr>
                <w:sz w:val="20"/>
              </w:rPr>
            </w:pPr>
            <w:r>
              <w:rPr>
                <w:sz w:val="20"/>
              </w:rPr>
              <w:t>&lt;50%</w:t>
            </w:r>
          </w:p>
        </w:tc>
        <w:tc>
          <w:tcPr>
            <w:tcW w:w="2324" w:type="dxa"/>
            <w:tcBorders>
              <w:top w:val="nil"/>
              <w:bottom w:val="nil"/>
            </w:tcBorders>
          </w:tcPr>
          <w:p>
            <w:pPr/>
          </w:p>
        </w:tc>
        <w:tc>
          <w:tcPr>
            <w:tcW w:w="1586" w:type="dxa"/>
            <w:tcBorders>
              <w:top w:val="nil"/>
              <w:bottom w:val="nil"/>
              <w:right w:val="double" w:sz="12" w:space="0" w:color="000000"/>
            </w:tcBorders>
            <w:shd w:val="clear" w:color="auto" w:fill="FF0000"/>
          </w:tcPr>
          <w:p>
            <w:pPr/>
          </w:p>
        </w:tc>
      </w:tr>
      <w:tr>
        <w:trPr>
          <w:trHeight w:val="575" w:hRule="exact"/>
        </w:trPr>
        <w:tc>
          <w:tcPr>
            <w:tcW w:w="954" w:type="dxa"/>
            <w:tcBorders>
              <w:top w:val="nil"/>
              <w:left w:val="double" w:sz="11" w:space="0" w:color="000000"/>
              <w:bottom w:val="nil"/>
            </w:tcBorders>
          </w:tcPr>
          <w:p>
            <w:pPr>
              <w:pStyle w:val="TableParagraph"/>
              <w:spacing w:line="219" w:lineRule="exact"/>
              <w:ind w:left="209" w:right="212"/>
              <w:jc w:val="center"/>
              <w:rPr>
                <w:sz w:val="20"/>
              </w:rPr>
            </w:pPr>
            <w:r>
              <w:rPr>
                <w:sz w:val="20"/>
              </w:rPr>
              <w:t>1982</w:t>
            </w:r>
          </w:p>
        </w:tc>
        <w:tc>
          <w:tcPr>
            <w:tcW w:w="1798" w:type="dxa"/>
            <w:tcBorders>
              <w:top w:val="nil"/>
              <w:bottom w:val="nil"/>
            </w:tcBorders>
          </w:tcPr>
          <w:p>
            <w:pPr/>
          </w:p>
        </w:tc>
        <w:tc>
          <w:tcPr>
            <w:tcW w:w="1352" w:type="dxa"/>
            <w:vMerge/>
          </w:tcPr>
          <w:p>
            <w:pPr/>
          </w:p>
        </w:tc>
        <w:tc>
          <w:tcPr>
            <w:tcW w:w="3343" w:type="dxa"/>
            <w:vMerge/>
          </w:tcPr>
          <w:p>
            <w:pPr/>
          </w:p>
        </w:tc>
        <w:tc>
          <w:tcPr>
            <w:tcW w:w="1464" w:type="dxa"/>
            <w:tcBorders>
              <w:top w:val="nil"/>
              <w:bottom w:val="nil"/>
            </w:tcBorders>
          </w:tcPr>
          <w:p>
            <w:pPr/>
          </w:p>
        </w:tc>
        <w:tc>
          <w:tcPr>
            <w:tcW w:w="2324" w:type="dxa"/>
            <w:tcBorders>
              <w:top w:val="nil"/>
              <w:bottom w:val="nil"/>
            </w:tcBorders>
          </w:tcPr>
          <w:p>
            <w:pPr/>
          </w:p>
        </w:tc>
        <w:tc>
          <w:tcPr>
            <w:tcW w:w="1586" w:type="dxa"/>
            <w:tcBorders>
              <w:top w:val="nil"/>
              <w:bottom w:val="nil"/>
              <w:right w:val="double" w:sz="12" w:space="0" w:color="000000"/>
            </w:tcBorders>
            <w:shd w:val="clear" w:color="auto" w:fill="FF0000"/>
          </w:tcPr>
          <w:p>
            <w:pPr/>
          </w:p>
        </w:tc>
      </w:tr>
      <w:tr>
        <w:trPr>
          <w:trHeight w:val="1379" w:hRule="exact"/>
        </w:trPr>
        <w:tc>
          <w:tcPr>
            <w:tcW w:w="954" w:type="dxa"/>
            <w:tcBorders>
              <w:top w:val="nil"/>
              <w:left w:val="double" w:sz="11" w:space="0" w:color="000000"/>
              <w:bottom w:val="nil"/>
            </w:tcBorders>
          </w:tcPr>
          <w:p>
            <w:pPr>
              <w:pStyle w:val="TableParagraph"/>
              <w:ind w:left="0"/>
              <w:rPr>
                <w:rFonts w:ascii="Times New Roman"/>
                <w:sz w:val="29"/>
              </w:rPr>
            </w:pPr>
          </w:p>
          <w:p>
            <w:pPr>
              <w:pStyle w:val="TableParagraph"/>
              <w:ind w:left="209" w:right="212"/>
              <w:jc w:val="center"/>
              <w:rPr>
                <w:sz w:val="20"/>
              </w:rPr>
            </w:pPr>
            <w:r>
              <w:rPr>
                <w:sz w:val="20"/>
              </w:rPr>
              <w:t>2016</w:t>
            </w:r>
          </w:p>
        </w:tc>
        <w:tc>
          <w:tcPr>
            <w:tcW w:w="1798" w:type="dxa"/>
            <w:tcBorders>
              <w:top w:val="nil"/>
              <w:bottom w:val="nil"/>
            </w:tcBorders>
          </w:tcPr>
          <w:p>
            <w:pPr/>
          </w:p>
        </w:tc>
        <w:tc>
          <w:tcPr>
            <w:tcW w:w="1352" w:type="dxa"/>
            <w:vMerge/>
          </w:tcPr>
          <w:p>
            <w:pPr/>
          </w:p>
        </w:tc>
        <w:tc>
          <w:tcPr>
            <w:tcW w:w="3343" w:type="dxa"/>
            <w:vMerge/>
          </w:tcPr>
          <w:p>
            <w:pPr/>
          </w:p>
        </w:tc>
        <w:tc>
          <w:tcPr>
            <w:tcW w:w="1464" w:type="dxa"/>
            <w:tcBorders>
              <w:top w:val="nil"/>
              <w:bottom w:val="nil"/>
            </w:tcBorders>
          </w:tcPr>
          <w:p>
            <w:pPr/>
          </w:p>
        </w:tc>
        <w:tc>
          <w:tcPr>
            <w:tcW w:w="2324" w:type="dxa"/>
            <w:tcBorders>
              <w:top w:val="nil"/>
              <w:bottom w:val="nil"/>
            </w:tcBorders>
          </w:tcPr>
          <w:p>
            <w:pPr/>
          </w:p>
        </w:tc>
        <w:tc>
          <w:tcPr>
            <w:tcW w:w="1586" w:type="dxa"/>
            <w:tcBorders>
              <w:top w:val="nil"/>
              <w:bottom w:val="nil"/>
              <w:right w:val="double" w:sz="12" w:space="0" w:color="000000"/>
            </w:tcBorders>
            <w:shd w:val="clear" w:color="auto" w:fill="FF0000"/>
          </w:tcPr>
          <w:p>
            <w:pPr/>
          </w:p>
        </w:tc>
      </w:tr>
      <w:tr>
        <w:trPr>
          <w:trHeight w:val="1390" w:hRule="exact"/>
        </w:trPr>
        <w:tc>
          <w:tcPr>
            <w:tcW w:w="954" w:type="dxa"/>
            <w:tcBorders>
              <w:top w:val="nil"/>
              <w:left w:val="double" w:sz="11" w:space="0" w:color="000000"/>
            </w:tcBorders>
          </w:tcPr>
          <w:p>
            <w:pPr/>
          </w:p>
        </w:tc>
        <w:tc>
          <w:tcPr>
            <w:tcW w:w="1798" w:type="dxa"/>
            <w:tcBorders>
              <w:top w:val="nil"/>
            </w:tcBorders>
          </w:tcPr>
          <w:p>
            <w:pPr/>
          </w:p>
        </w:tc>
        <w:tc>
          <w:tcPr>
            <w:tcW w:w="1352" w:type="dxa"/>
          </w:tcPr>
          <w:p>
            <w:pPr>
              <w:pStyle w:val="TableParagraph"/>
              <w:spacing w:line="227" w:lineRule="exact"/>
              <w:rPr>
                <w:sz w:val="20"/>
              </w:rPr>
            </w:pPr>
            <w:r>
              <w:rPr>
                <w:sz w:val="20"/>
              </w:rPr>
              <w:t>Sociopolítico</w:t>
            </w:r>
          </w:p>
        </w:tc>
        <w:tc>
          <w:tcPr>
            <w:tcW w:w="3343" w:type="dxa"/>
          </w:tcPr>
          <w:p>
            <w:pPr>
              <w:pStyle w:val="TableParagraph"/>
              <w:numPr>
                <w:ilvl w:val="0"/>
                <w:numId w:val="265"/>
              </w:numPr>
              <w:tabs>
                <w:tab w:pos="812" w:val="left" w:leader="none"/>
                <w:tab w:pos="2617" w:val="left" w:leader="none"/>
              </w:tabs>
              <w:spacing w:line="240" w:lineRule="auto" w:before="0" w:after="0"/>
              <w:ind w:left="280" w:right="103" w:hanging="141"/>
              <w:jc w:val="both"/>
              <w:rPr>
                <w:sz w:val="20"/>
              </w:rPr>
            </w:pPr>
            <w:r>
              <w:rPr>
                <w:sz w:val="20"/>
              </w:rPr>
              <w:t>Existen</w:t>
              <w:tab/>
              <w:t>grupos económicos consolidados a través de la historia en la CHPH con interrelaciones</w:t>
            </w:r>
            <w:r>
              <w:rPr>
                <w:spacing w:val="-13"/>
                <w:sz w:val="20"/>
              </w:rPr>
              <w:t> </w:t>
            </w:r>
            <w:r>
              <w:rPr>
                <w:sz w:val="20"/>
              </w:rPr>
              <w:t>sociopolíticas</w:t>
            </w:r>
          </w:p>
          <w:p>
            <w:pPr>
              <w:pStyle w:val="TableParagraph"/>
              <w:numPr>
                <w:ilvl w:val="0"/>
                <w:numId w:val="265"/>
              </w:numPr>
              <w:tabs>
                <w:tab w:pos="812" w:val="left" w:leader="none"/>
              </w:tabs>
              <w:spacing w:line="240" w:lineRule="auto" w:before="0" w:after="0"/>
              <w:ind w:left="280" w:right="105" w:hanging="141"/>
              <w:jc w:val="both"/>
              <w:rPr>
                <w:sz w:val="20"/>
              </w:rPr>
            </w:pPr>
            <w:r>
              <w:rPr>
                <w:sz w:val="20"/>
              </w:rPr>
              <w:t>Las autoridades auxiliares son  producto  de  las</w:t>
            </w:r>
            <w:r>
              <w:rPr>
                <w:spacing w:val="-17"/>
                <w:sz w:val="20"/>
              </w:rPr>
              <w:t> </w:t>
            </w:r>
            <w:r>
              <w:rPr>
                <w:sz w:val="20"/>
              </w:rPr>
              <w:t>estructuras</w:t>
            </w:r>
          </w:p>
        </w:tc>
        <w:tc>
          <w:tcPr>
            <w:tcW w:w="1464" w:type="dxa"/>
            <w:tcBorders>
              <w:top w:val="nil"/>
            </w:tcBorders>
          </w:tcPr>
          <w:p>
            <w:pPr/>
          </w:p>
        </w:tc>
        <w:tc>
          <w:tcPr>
            <w:tcW w:w="2324" w:type="dxa"/>
            <w:tcBorders>
              <w:top w:val="nil"/>
            </w:tcBorders>
          </w:tcPr>
          <w:p>
            <w:pPr/>
          </w:p>
        </w:tc>
        <w:tc>
          <w:tcPr>
            <w:tcW w:w="1586" w:type="dxa"/>
            <w:tcBorders>
              <w:top w:val="nil"/>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798"/>
        <w:gridCol w:w="1352"/>
        <w:gridCol w:w="3343"/>
        <w:gridCol w:w="1464"/>
        <w:gridCol w:w="2324"/>
        <w:gridCol w:w="1586"/>
      </w:tblGrid>
      <w:tr>
        <w:trPr>
          <w:trHeight w:val="2321" w:hRule="exact"/>
        </w:trPr>
        <w:tc>
          <w:tcPr>
            <w:tcW w:w="954" w:type="dxa"/>
            <w:tcBorders>
              <w:left w:val="double" w:sz="11" w:space="0" w:color="000000"/>
            </w:tcBorders>
          </w:tcPr>
          <w:p>
            <w:pPr/>
          </w:p>
        </w:tc>
        <w:tc>
          <w:tcPr>
            <w:tcW w:w="1798" w:type="dxa"/>
          </w:tcPr>
          <w:p>
            <w:pPr/>
          </w:p>
        </w:tc>
        <w:tc>
          <w:tcPr>
            <w:tcW w:w="1352" w:type="dxa"/>
          </w:tcPr>
          <w:p>
            <w:pPr/>
          </w:p>
        </w:tc>
        <w:tc>
          <w:tcPr>
            <w:tcW w:w="3343" w:type="dxa"/>
          </w:tcPr>
          <w:p>
            <w:pPr>
              <w:pStyle w:val="TableParagraph"/>
              <w:spacing w:before="7"/>
              <w:ind w:left="280"/>
              <w:rPr>
                <w:sz w:val="20"/>
              </w:rPr>
            </w:pPr>
            <w:r>
              <w:rPr>
                <w:sz w:val="20"/>
              </w:rPr>
              <w:t>históricas consolidadas</w:t>
            </w:r>
          </w:p>
          <w:p>
            <w:pPr>
              <w:pStyle w:val="TableParagraph"/>
              <w:numPr>
                <w:ilvl w:val="0"/>
                <w:numId w:val="266"/>
              </w:numPr>
              <w:tabs>
                <w:tab w:pos="812" w:val="left" w:leader="none"/>
              </w:tabs>
              <w:spacing w:line="240" w:lineRule="auto" w:before="0" w:after="0"/>
              <w:ind w:left="280" w:right="102" w:hanging="141"/>
              <w:jc w:val="both"/>
              <w:rPr>
                <w:sz w:val="20"/>
              </w:rPr>
            </w:pPr>
            <w:r>
              <w:rPr>
                <w:sz w:val="20"/>
              </w:rPr>
              <w:t>La CHPH es producto de  la articulación de eventos socioeconómicos e históricos en la</w:t>
            </w:r>
            <w:r>
              <w:rPr>
                <w:spacing w:val="-5"/>
                <w:sz w:val="20"/>
              </w:rPr>
              <w:t> </w:t>
            </w:r>
            <w:r>
              <w:rPr>
                <w:sz w:val="20"/>
              </w:rPr>
              <w:t>región</w:t>
            </w:r>
          </w:p>
          <w:p>
            <w:pPr>
              <w:pStyle w:val="TableParagraph"/>
              <w:numPr>
                <w:ilvl w:val="0"/>
                <w:numId w:val="266"/>
              </w:numPr>
              <w:tabs>
                <w:tab w:pos="463" w:val="left" w:leader="none"/>
                <w:tab w:pos="464" w:val="left" w:leader="none"/>
              </w:tabs>
              <w:spacing w:line="240" w:lineRule="auto"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266"/>
              </w:numPr>
              <w:tabs>
                <w:tab w:pos="463" w:val="left" w:leader="none"/>
                <w:tab w:pos="464" w:val="left" w:leader="none"/>
              </w:tabs>
              <w:spacing w:line="240" w:lineRule="auto"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266"/>
              </w:numPr>
              <w:tabs>
                <w:tab w:pos="463" w:val="left" w:leader="none"/>
                <w:tab w:pos="464" w:val="left" w:leader="none"/>
              </w:tabs>
              <w:spacing w:line="240" w:lineRule="auto"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266"/>
              </w:numPr>
              <w:tabs>
                <w:tab w:pos="463" w:val="left" w:leader="none"/>
                <w:tab w:pos="464" w:val="left" w:leader="none"/>
              </w:tabs>
              <w:spacing w:line="240" w:lineRule="auto" w:before="0" w:after="0"/>
              <w:ind w:left="463" w:right="105" w:hanging="360"/>
              <w:jc w:val="left"/>
              <w:rPr>
                <w:sz w:val="20"/>
              </w:rPr>
            </w:pPr>
            <w:r>
              <w:rPr>
                <w:sz w:val="20"/>
              </w:rPr>
              <w:t>Existe planeación sociopolítica con articulación entre</w:t>
            </w:r>
            <w:r>
              <w:rPr>
                <w:spacing w:val="-7"/>
                <w:sz w:val="20"/>
              </w:rPr>
              <w:t> </w:t>
            </w:r>
            <w:r>
              <w:rPr>
                <w:sz w:val="20"/>
              </w:rPr>
              <w:t>actores</w:t>
            </w:r>
          </w:p>
        </w:tc>
        <w:tc>
          <w:tcPr>
            <w:tcW w:w="1464" w:type="dxa"/>
          </w:tcPr>
          <w:p>
            <w:pPr/>
          </w:p>
        </w:tc>
        <w:tc>
          <w:tcPr>
            <w:tcW w:w="2324" w:type="dxa"/>
          </w:tcPr>
          <w:p>
            <w:pPr/>
          </w:p>
        </w:tc>
        <w:tc>
          <w:tcPr>
            <w:tcW w:w="1586" w:type="dxa"/>
            <w:tcBorders>
              <w:right w:val="double" w:sz="12" w:space="0" w:color="000000"/>
            </w:tcBorders>
            <w:shd w:val="clear" w:color="auto" w:fill="FF0000"/>
          </w:tcPr>
          <w:p>
            <w:pPr/>
          </w:p>
        </w:tc>
      </w:tr>
      <w:tr>
        <w:trPr>
          <w:trHeight w:val="6335"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p>
            <w:pPr>
              <w:pStyle w:val="TableParagraph"/>
              <w:spacing w:before="9"/>
              <w:ind w:left="0"/>
              <w:rPr>
                <w:rFonts w:ascii="Times New Roman"/>
                <w:sz w:val="21"/>
              </w:rPr>
            </w:pPr>
          </w:p>
          <w:p>
            <w:pPr>
              <w:pStyle w:val="TableParagraph"/>
              <w:ind w:left="27"/>
              <w:jc w:val="both"/>
              <w:rPr>
                <w:b/>
                <w:sz w:val="22"/>
              </w:rPr>
            </w:pPr>
            <w:r>
              <w:rPr>
                <w:b/>
                <w:sz w:val="22"/>
              </w:rPr>
              <w:t>Interpretación de la anterior gráfica y de la tarjeta de valoración:</w:t>
            </w:r>
          </w:p>
          <w:p>
            <w:pPr>
              <w:pStyle w:val="TableParagraph"/>
              <w:numPr>
                <w:ilvl w:val="0"/>
                <w:numId w:val="267"/>
              </w:numPr>
              <w:tabs>
                <w:tab w:pos="170" w:val="left" w:leader="none"/>
              </w:tabs>
              <w:spacing w:line="240" w:lineRule="auto" w:before="4" w:after="0"/>
              <w:ind w:left="27" w:right="23" w:firstLine="0"/>
              <w:jc w:val="both"/>
              <w:rPr>
                <w:sz w:val="22"/>
              </w:rPr>
            </w:pPr>
            <w:r>
              <w:rPr>
                <w:sz w:val="22"/>
              </w:rPr>
              <w:t>En 1400, época prehispánica, la Cuenca pertenecía a la provincia política del Señorío de Xilotepec. Estaba poblada por otomíes principalmente, divididos en clases sociales. Su base económica estaba apoyada principalmente en el uso intensivo de un cuerpo de agua utilizado para el riego (ese antiguo cuerpo de agua daría posteriormente lugar a la presa Huapango y a la presa Huaracha). Debido a esa intensidad del uso del agua, dicha provincia y Señorío de Xilotepec, adquirió una importancia política, religiosa y económica hasta convertirse en un importante Estado prehispánico con un centro ceremonial y religioso llamado Jilotepec.</w:t>
            </w:r>
          </w:p>
          <w:p>
            <w:pPr>
              <w:pStyle w:val="TableParagraph"/>
              <w:numPr>
                <w:ilvl w:val="0"/>
                <w:numId w:val="267"/>
              </w:numPr>
              <w:tabs>
                <w:tab w:pos="165" w:val="left" w:leader="none"/>
              </w:tabs>
              <w:spacing w:line="240" w:lineRule="auto" w:before="0" w:after="0"/>
              <w:ind w:left="27" w:right="21" w:firstLine="0"/>
              <w:jc w:val="both"/>
              <w:rPr>
                <w:sz w:val="22"/>
              </w:rPr>
            </w:pPr>
            <w:r>
              <w:rPr>
                <w:sz w:val="22"/>
              </w:rPr>
              <w:t>En 1519, dicha región fue visitada por primera vez por los españoles; pero fue a mediados de la década de 1520 que la provincia de Xilotepec fue dominada en la parte sur por los españoles, y en 1533 se le asignó el territorio como Encomienda,  al conquistador Juan Jaramillo de Salvatierra (esposo de la Malinche). En este período, la provincia de Xilotepec, se conectó económica y políticamente al sistema mundo, como parte del territorio español, por lo que está fecha todavía puede considerarse como excelente.</w:t>
            </w:r>
          </w:p>
          <w:p>
            <w:pPr>
              <w:pStyle w:val="TableParagraph"/>
              <w:numPr>
                <w:ilvl w:val="0"/>
                <w:numId w:val="267"/>
              </w:numPr>
              <w:tabs>
                <w:tab w:pos="294" w:val="left" w:leader="none"/>
              </w:tabs>
              <w:spacing w:line="240" w:lineRule="auto" w:before="0" w:after="0"/>
              <w:ind w:left="27" w:right="22" w:firstLine="63"/>
              <w:jc w:val="both"/>
              <w:rPr>
                <w:sz w:val="22"/>
              </w:rPr>
            </w:pPr>
            <w:r>
              <w:rPr>
                <w:sz w:val="22"/>
              </w:rPr>
              <w:t>Hacia el año 1580, con la dominación española, la encomienda de la provincia de Xilotepec se conformó política y económicamente en territorio de haciendas de ganado mayor y menor, en las que trabajaba un número creciente de españoles y mulatos. Así que para el año de 1794, ya existían 25 haciendas y 95 ranchos ganaderos y productores de leche. En este período hubo impacto económico y político, pero sobre todo, los derechos civiles de los trabajadores nativos eran precarios, pero las relaciones económicas y de mercado se han dado en todo momento, por lo que se considera</w:t>
            </w:r>
            <w:r>
              <w:rPr>
                <w:spacing w:val="-22"/>
                <w:sz w:val="22"/>
              </w:rPr>
              <w:t> </w:t>
            </w:r>
            <w:r>
              <w:rPr>
                <w:sz w:val="22"/>
              </w:rPr>
              <w:t>excelente.</w:t>
            </w:r>
          </w:p>
          <w:p>
            <w:pPr>
              <w:pStyle w:val="TableParagraph"/>
              <w:numPr>
                <w:ilvl w:val="0"/>
                <w:numId w:val="267"/>
              </w:numPr>
              <w:tabs>
                <w:tab w:pos="196" w:val="left" w:leader="none"/>
              </w:tabs>
              <w:spacing w:line="240" w:lineRule="auto" w:before="0" w:after="0"/>
              <w:ind w:left="27" w:right="31" w:firstLine="0"/>
              <w:jc w:val="both"/>
              <w:rPr>
                <w:sz w:val="22"/>
              </w:rPr>
            </w:pPr>
            <w:r>
              <w:rPr>
                <w:sz w:val="22"/>
              </w:rPr>
              <w:t>Hacia 1785-1788, los religiosos franciscanos que ya estaban en la región y que también eran dueños de ranchos y tierras, decidieron construir sobre el antiguo lago prehispánico, una presa de gran tamaño, capaz de regar tierras para el cultivo, y dar sostenimiento a miles de cabezas de ganado mayor. Dicho cuerpo de agua se conoció como presa o laguna de Huapango, uno  de los cuerpos de agua artificial más grandes del centro del país, y origen de la actual cuenca lechera más importante del Estado de México. En esta época subió el impacto económico, político y social de la región al aumentar el uso de los recursos de la CHPH, principalmente el agua, por lo que se considera como una época</w:t>
            </w:r>
            <w:r>
              <w:rPr>
                <w:spacing w:val="-22"/>
                <w:sz w:val="22"/>
              </w:rPr>
              <w:t> </w:t>
            </w:r>
            <w:r>
              <w:rPr>
                <w:sz w:val="22"/>
              </w:rPr>
              <w:t>excelente.</w:t>
            </w:r>
          </w:p>
        </w:tc>
      </w:tr>
    </w:tbl>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28744"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ListParagraph"/>
        <w:numPr>
          <w:ilvl w:val="0"/>
          <w:numId w:val="121"/>
        </w:numPr>
        <w:tabs>
          <w:tab w:pos="320" w:val="left" w:leader="none"/>
        </w:tabs>
        <w:spacing w:line="240" w:lineRule="auto" w:before="72" w:after="0"/>
        <w:ind w:left="180" w:right="402" w:firstLine="0"/>
        <w:jc w:val="both"/>
        <w:rPr>
          <w:sz w:val="22"/>
        </w:rPr>
      </w:pPr>
      <w:r>
        <w:rPr>
          <w:sz w:val="22"/>
        </w:rPr>
        <w:t>En 1810 inició la independencia de la antigua Nueva España, hoy México. Esta fecha tiene un gran impacto porque se considera el parteaguas de la lucha civil en la CHPH, para que se reconocieran mejores derechos sociopolíticos, económicos y ambientales de los ciudadanos de la antigua provincia de Xilotepec, por lo que esta fecha se considera como</w:t>
      </w:r>
      <w:r>
        <w:rPr>
          <w:spacing w:val="-27"/>
          <w:sz w:val="22"/>
        </w:rPr>
        <w:t> </w:t>
      </w:r>
      <w:r>
        <w:rPr>
          <w:sz w:val="22"/>
        </w:rPr>
        <w:t>excelente.</w:t>
      </w:r>
    </w:p>
    <w:p>
      <w:pPr>
        <w:pStyle w:val="ListParagraph"/>
        <w:numPr>
          <w:ilvl w:val="0"/>
          <w:numId w:val="121"/>
        </w:numPr>
        <w:tabs>
          <w:tab w:pos="336" w:val="left" w:leader="none"/>
        </w:tabs>
        <w:spacing w:line="240" w:lineRule="auto" w:before="0" w:after="0"/>
        <w:ind w:left="180" w:right="397" w:firstLine="0"/>
        <w:jc w:val="both"/>
        <w:rPr>
          <w:sz w:val="22"/>
        </w:rPr>
      </w:pPr>
      <w:r>
        <w:rPr>
          <w:sz w:val="22"/>
        </w:rPr>
        <w:t>Aunque el municipio en México tiene sus orígenes en la época prehispánica con los </w:t>
      </w:r>
      <w:r>
        <w:rPr>
          <w:i/>
          <w:sz w:val="22"/>
        </w:rPr>
        <w:t>Tlahtocayos</w:t>
      </w:r>
      <w:r>
        <w:rPr>
          <w:sz w:val="22"/>
        </w:rPr>
        <w:t>, fue hasta la Constitución de Cádiz de 1812, que se constituyó formalmente; este evento histórico socio político, permitió que se formaran e instituyeran </w:t>
      </w:r>
      <w:r>
        <w:rPr>
          <w:spacing w:val="3"/>
          <w:sz w:val="22"/>
        </w:rPr>
        <w:t>los </w:t>
      </w:r>
      <w:r>
        <w:rPr>
          <w:sz w:val="22"/>
        </w:rPr>
        <w:t>actuales municipios de la CHPH, siendo el primero en 1861 por decreto No. 27 la Villa de Jilotepec. Sin embargo dicha institución surge con una serie de limitaciones importantes que repercuten hasta la fecha, entre las principales deficiencias está la administración de solo algunos servicios públicos, donde no se cuenta ni estipula su competencia jurídica en torno a la protección del medio ambiente, y menos en conjunto con los municipios vecinos. Estas deficiencias siguen afectando las decisiones sociopolíticas y económicas de la Cuenca (a pesar de las reformas al artículo 115); el municipio sigue estando supeditado al sistema federal y estatal, lo cual no le permite tener la “autonomía y soberanía” que se estipula en la Constitución para su  territorio, población y gobierno, por lo que el municipio desde su origen, tiene problemas en sus facultades políticas-sociales, atribuciones limitadas que tienen un gran impacto sociopolítico, económico y ambiental como institución, que afectan directamente al agua y a sus habitantes de la Cuenca, pero las relaciones de mercado siempre han estado presentes, por lo que se considera excelente.</w:t>
      </w:r>
    </w:p>
    <w:p>
      <w:pPr>
        <w:pStyle w:val="ListParagraph"/>
        <w:numPr>
          <w:ilvl w:val="0"/>
          <w:numId w:val="121"/>
        </w:numPr>
        <w:tabs>
          <w:tab w:pos="332" w:val="left" w:leader="none"/>
        </w:tabs>
        <w:spacing w:line="240" w:lineRule="auto" w:before="0" w:after="0"/>
        <w:ind w:left="180" w:right="396" w:firstLine="0"/>
        <w:jc w:val="both"/>
        <w:rPr>
          <w:sz w:val="22"/>
        </w:rPr>
      </w:pPr>
      <w:r>
        <w:rPr>
          <w:sz w:val="22"/>
        </w:rPr>
        <w:t>En 1910, inicio la revolución mexicana que tuvo varias causas, entre ellas, la dictadura en la presidencia de la República, pero sobre todo, fueron los grandes latifundios que provocaron la decadencia de la agricultura, ya que el territorio nacional era propiedad de tan sólo 840 familias de hacendados, donde los abusos de esclavitud contra el campesinado y los obreros, limitaron el desarrollo agrícola y social de los actores. Dichas injusticias sociales provocaron la demanda de derechos civiles, por lo que dichas peticiones se plasmaron en la Constitución de 1917, como el derecho a la tierra y el acceso a los recursos naturales. Sin embargo, estos derechos fueron abusados por nuevos actores, lo que ocasionó la sobreexplotación de los recursos naturales, sobre todo bosques y aguas, provocando nuevas desigualdades sociopolíticas, pero las relaciones de mercado siguen</w:t>
      </w:r>
      <w:r>
        <w:rPr>
          <w:spacing w:val="-29"/>
          <w:sz w:val="22"/>
        </w:rPr>
        <w:t> </w:t>
      </w:r>
      <w:r>
        <w:rPr>
          <w:sz w:val="22"/>
        </w:rPr>
        <w:t>intactas.</w:t>
      </w:r>
    </w:p>
    <w:p>
      <w:pPr>
        <w:pStyle w:val="ListParagraph"/>
        <w:numPr>
          <w:ilvl w:val="0"/>
          <w:numId w:val="121"/>
        </w:numPr>
        <w:tabs>
          <w:tab w:pos="322" w:val="left" w:leader="none"/>
        </w:tabs>
        <w:spacing w:line="240" w:lineRule="auto" w:before="1" w:after="0"/>
        <w:ind w:left="180" w:right="398" w:firstLine="0"/>
        <w:jc w:val="both"/>
        <w:rPr>
          <w:sz w:val="22"/>
        </w:rPr>
      </w:pPr>
      <w:r>
        <w:rPr>
          <w:sz w:val="22"/>
        </w:rPr>
        <w:t>La reforma agraria mexicana ha sido un proceso complejo y prolongado. La reforma tuvo su origen en una revolución popular de gran envergadura, y se desarrolló durante una guerra civil. El Plan de Ayala, propuesto por Emiliano Zapata y adoptado en 1911, exigía la devolución a los pueblos de las tierras que habían sido concentradas en las haciendas. En 1912 algunos jefes militares revolucionarios hicieron los primeros repartos de tierras. En 1915 las tres fuerzas revolucionarias más importantes, el constitucionalismo, el villismo y el zapatismo, promulgaron las leyes agrarias.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w:t>
      </w:r>
      <w:r>
        <w:rPr>
          <w:spacing w:val="2"/>
          <w:sz w:val="22"/>
        </w:rPr>
        <w:t>del </w:t>
      </w:r>
      <w:r>
        <w:rPr>
          <w:sz w:val="22"/>
        </w:rPr>
        <w:t>Río (1936-1940)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w:t>
      </w:r>
      <w:r>
        <w:rPr>
          <w:spacing w:val="2"/>
          <w:sz w:val="22"/>
        </w:rPr>
        <w:t> </w:t>
      </w:r>
      <w:r>
        <w:rPr>
          <w:sz w:val="22"/>
        </w:rPr>
        <w:t>Huapango,</w:t>
      </w:r>
    </w:p>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5322" w:hRule="exact"/>
        </w:trPr>
        <w:tc>
          <w:tcPr>
            <w:tcW w:w="12897" w:type="dxa"/>
          </w:tcPr>
          <w:p>
            <w:pPr>
              <w:pStyle w:val="TableParagraph"/>
              <w:ind w:left="64" w:right="61"/>
              <w:jc w:val="both"/>
              <w:rPr>
                <w:sz w:val="22"/>
              </w:rPr>
            </w:pPr>
            <w:r>
              <w:rPr>
                <w:sz w:val="22"/>
              </w:rPr>
              <w:t>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los bosques, etc.) que aún no se pueden resolver, teniendo esto un alto impacto en lo sociopolítico, económico y ambiental, pero en términos económicos tiene un impacto excelente porque se reactivo la economía de la región.</w:t>
            </w:r>
          </w:p>
          <w:p>
            <w:pPr>
              <w:pStyle w:val="TableParagraph"/>
              <w:numPr>
                <w:ilvl w:val="0"/>
                <w:numId w:val="268"/>
              </w:numPr>
              <w:tabs>
                <w:tab w:pos="212" w:val="left" w:leader="none"/>
              </w:tabs>
              <w:spacing w:line="240" w:lineRule="auto" w:before="0" w:after="0"/>
              <w:ind w:left="64" w:right="62" w:firstLine="0"/>
              <w:jc w:val="both"/>
              <w:rPr>
                <w:sz w:val="22"/>
              </w:rPr>
            </w:pPr>
            <w:r>
              <w:rPr>
                <w:sz w:val="22"/>
              </w:rPr>
              <w:t>En 1982, el primer presidente neoliberal, Miguel de la Madrid, comienza la internacionalización del libre mercado, con lo que se da pie al nuevo sistema económico y político social, que promueve la intervención mínima del Estado y el libre juego de la  apertura del mercado. Dicha corriente fomenta el consumo de los recursos naturales, así como las prácticas de producción altamente contaminantes, ya que las multinacionales extienden su poder económico hacia las regiones de los países menos desarrollados, generando crisis ambientales locales y regionales, que acrecientan la de carácter global. La CHPH no es la excepción, el consumo de los recursos naturales (agua) está siendo voraz; y el deterioro ambiental por la generación de servicios (construcción de autopista Arco Norte) obedece a intereses económicos ajenos a los actores históricos, y han dejado a la región en una práctica vulnerabilidad socio-ambiental, por lo que esta época tuvo un impacto negativo en lo sociopolítico, económico y ambiental, por lo que está época en términos económicos se considera como</w:t>
            </w:r>
            <w:r>
              <w:rPr>
                <w:spacing w:val="-24"/>
                <w:sz w:val="22"/>
              </w:rPr>
              <w:t> </w:t>
            </w:r>
            <w:r>
              <w:rPr>
                <w:sz w:val="22"/>
              </w:rPr>
              <w:t>ineficiente.</w:t>
            </w:r>
          </w:p>
          <w:p>
            <w:pPr>
              <w:pStyle w:val="TableParagraph"/>
              <w:numPr>
                <w:ilvl w:val="0"/>
                <w:numId w:val="268"/>
              </w:numPr>
              <w:tabs>
                <w:tab w:pos="209" w:val="left" w:leader="none"/>
              </w:tabs>
              <w:spacing w:line="240" w:lineRule="auto" w:before="1" w:after="0"/>
              <w:ind w:left="64" w:right="61" w:firstLine="0"/>
              <w:jc w:val="both"/>
              <w:rPr>
                <w:sz w:val="22"/>
              </w:rPr>
            </w:pPr>
            <w:r>
              <w:rPr>
                <w:sz w:val="22"/>
              </w:rPr>
              <w:t>Actualmente, en el año 2016, la CHPH se encuentra en franco deterioro, debido a la suma de los costos ambientales y sociales de los anteriores acontecimientos, lo que ha dado pie a que la actual política neoliberal, refuerce el reparto inequitativo </w:t>
            </w:r>
            <w:r>
              <w:rPr>
                <w:spacing w:val="4"/>
                <w:sz w:val="22"/>
              </w:rPr>
              <w:t>de </w:t>
            </w:r>
            <w:r>
              <w:rPr>
                <w:sz w:val="22"/>
              </w:rPr>
              <w:t>los recursos para favorecer intereses políticos y económicos de los actores más poderosos de la región. La utilización para legalizar tales inequidades es a través de las instituciones gubernamentales, como la Conagua y la Semanat, con la aplicación de una serie de incongruencias en la región como el reparto inequitativo de los recursos (agua), y ha generado hoy como en el pasado, conflictos, que sólo pueden solucionarse a través de una visión GIRH, donde se tomen acuerdos sociopolíticos, económicos y ambientales en base a los actores históricos, por lo que se considera una época</w:t>
            </w:r>
            <w:r>
              <w:rPr>
                <w:spacing w:val="-22"/>
                <w:sz w:val="22"/>
              </w:rPr>
              <w:t> </w:t>
            </w:r>
            <w:r>
              <w:rPr>
                <w:sz w:val="22"/>
              </w:rPr>
              <w:t>deficiente.</w:t>
            </w:r>
          </w:p>
        </w:tc>
      </w:tr>
      <w:tr>
        <w:trPr>
          <w:trHeight w:val="341" w:hRule="exact"/>
        </w:trPr>
        <w:tc>
          <w:tcPr>
            <w:tcW w:w="12897" w:type="dxa"/>
          </w:tcPr>
          <w:p>
            <w:pPr>
              <w:pStyle w:val="TableParagraph"/>
              <w:spacing w:line="251" w:lineRule="exact"/>
              <w:ind w:left="170" w:right="175"/>
              <w:jc w:val="center"/>
              <w:rPr>
                <w:b/>
                <w:sz w:val="22"/>
              </w:rPr>
            </w:pPr>
            <w:r>
              <w:rPr>
                <w:b/>
                <w:sz w:val="22"/>
              </w:rPr>
              <w:t>VENTAJAS DEL INDICADOR</w:t>
            </w:r>
          </w:p>
        </w:tc>
      </w:tr>
      <w:tr>
        <w:trPr>
          <w:trHeight w:val="1022" w:hRule="exact"/>
        </w:trPr>
        <w:tc>
          <w:tcPr>
            <w:tcW w:w="12897" w:type="dxa"/>
          </w:tcPr>
          <w:p>
            <w:pPr>
              <w:pStyle w:val="TableParagraph"/>
              <w:numPr>
                <w:ilvl w:val="0"/>
                <w:numId w:val="269"/>
              </w:numPr>
              <w:tabs>
                <w:tab w:pos="281" w:val="left" w:leader="none"/>
              </w:tabs>
              <w:spacing w:line="242" w:lineRule="auto" w:before="0" w:after="0"/>
              <w:ind w:left="103" w:right="105" w:firstLine="0"/>
              <w:jc w:val="left"/>
              <w:rPr>
                <w:sz w:val="22"/>
              </w:rPr>
            </w:pPr>
            <w:r>
              <w:rPr>
                <w:sz w:val="22"/>
              </w:rPr>
              <w:t>Permitió identificar los principales procesos socioeconómicos internos y externos que han involucrado históricamente a los actores de la CHPH en las relaciones de</w:t>
            </w:r>
            <w:r>
              <w:rPr>
                <w:spacing w:val="-9"/>
                <w:sz w:val="22"/>
              </w:rPr>
              <w:t> </w:t>
            </w:r>
            <w:r>
              <w:rPr>
                <w:sz w:val="22"/>
              </w:rPr>
              <w:t>mercado</w:t>
            </w:r>
          </w:p>
          <w:p>
            <w:pPr>
              <w:pStyle w:val="TableParagraph"/>
              <w:numPr>
                <w:ilvl w:val="0"/>
                <w:numId w:val="269"/>
              </w:numPr>
              <w:tabs>
                <w:tab w:pos="243" w:val="left" w:leader="none"/>
              </w:tabs>
              <w:spacing w:line="242" w:lineRule="auto" w:before="0" w:after="0"/>
              <w:ind w:left="103" w:right="98" w:firstLine="0"/>
              <w:jc w:val="left"/>
              <w:rPr>
                <w:sz w:val="22"/>
              </w:rPr>
            </w:pPr>
            <w:r>
              <w:rPr>
                <w:sz w:val="22"/>
              </w:rPr>
              <w:t>Sirvió de guía de explicación para la elaboración de la propuesta de creación de un Comité Intermunicipal con su reglamento </w:t>
            </w:r>
            <w:r>
              <w:rPr>
                <w:spacing w:val="4"/>
                <w:sz w:val="22"/>
              </w:rPr>
              <w:t>en </w:t>
            </w:r>
            <w:r>
              <w:rPr>
                <w:sz w:val="22"/>
              </w:rPr>
              <w:t>la</w:t>
            </w:r>
            <w:r>
              <w:rPr>
                <w:spacing w:val="-4"/>
                <w:sz w:val="22"/>
              </w:rPr>
              <w:t> </w:t>
            </w:r>
            <w:r>
              <w:rPr>
                <w:sz w:val="22"/>
              </w:rPr>
              <w:t>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517" w:hRule="exact"/>
        </w:trPr>
        <w:tc>
          <w:tcPr>
            <w:tcW w:w="12897" w:type="dxa"/>
          </w:tcPr>
          <w:p>
            <w:pPr>
              <w:pStyle w:val="TableParagraph"/>
              <w:spacing w:line="252" w:lineRule="exact" w:before="2"/>
              <w:ind w:right="163"/>
              <w:rPr>
                <w:sz w:val="22"/>
              </w:rPr>
            </w:pPr>
            <w:r>
              <w:rPr>
                <w:sz w:val="22"/>
              </w:rPr>
              <w:t>- El análisis de la historia económica en la CHPH requiere un estudio multidisciplinario ya que obedece a cuestiones internacionales y nacionales también.</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4"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398"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1"/>
              </w:rPr>
            </w:pPr>
          </w:p>
          <w:p>
            <w:pPr>
              <w:pStyle w:val="TableParagraph"/>
              <w:ind w:left="640" w:right="105"/>
              <w:rPr>
                <w:b/>
                <w:sz w:val="22"/>
              </w:rPr>
            </w:pPr>
            <w:r>
              <w:rPr>
                <w:b/>
                <w:sz w:val="22"/>
              </w:rPr>
              <w:t>Cultura económica</w:t>
            </w:r>
          </w:p>
        </w:tc>
        <w:tc>
          <w:tcPr>
            <w:tcW w:w="3277" w:type="dxa"/>
            <w:gridSpan w:val="3"/>
            <w:vMerge w:val="restart"/>
          </w:tcPr>
          <w:p>
            <w:pPr>
              <w:pStyle w:val="TableParagraph"/>
              <w:ind w:left="100" w:right="99"/>
              <w:jc w:val="both"/>
              <w:rPr>
                <w:b/>
                <w:sz w:val="22"/>
              </w:rPr>
            </w:pPr>
            <w:r>
              <w:rPr>
                <w:b/>
                <w:sz w:val="22"/>
              </w:rPr>
              <w:t>Identificar como la dependencia económica de los recursos naturales de la CHPH por parte de los actores históricos de la región ha generado la sobreexplotación de éstos y puesto en riesgo la sostenibilidad de la Cuenca</w:t>
            </w:r>
          </w:p>
        </w:tc>
      </w:tr>
      <w:tr>
        <w:trPr>
          <w:trHeight w:val="1529"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6" w:hRule="exact"/>
        </w:trPr>
        <w:tc>
          <w:tcPr>
            <w:tcW w:w="2093" w:type="dxa"/>
            <w:gridSpan w:val="2"/>
          </w:tcPr>
          <w:p>
            <w:pPr>
              <w:pStyle w:val="TableParagraph"/>
              <w:spacing w:line="248" w:lineRule="exact"/>
              <w:ind w:left="367"/>
              <w:rPr>
                <w:b/>
                <w:sz w:val="22"/>
              </w:rPr>
            </w:pPr>
            <w:r>
              <w:rPr>
                <w:b/>
                <w:sz w:val="22"/>
              </w:rPr>
              <w:t>0.062/ 18.055</w:t>
            </w:r>
          </w:p>
        </w:tc>
        <w:tc>
          <w:tcPr>
            <w:tcW w:w="1985" w:type="dxa"/>
            <w:gridSpan w:val="2"/>
          </w:tcPr>
          <w:p>
            <w:pPr>
              <w:pStyle w:val="TableParagraph"/>
              <w:spacing w:line="248" w:lineRule="exact"/>
              <w:ind w:left="1" w:right="2"/>
              <w:jc w:val="center"/>
              <w:rPr>
                <w:b/>
                <w:sz w:val="22"/>
              </w:rPr>
            </w:pPr>
            <w:r>
              <w:rPr>
                <w:b/>
                <w:sz w:val="22"/>
              </w:rPr>
              <w:t>0.34%</w:t>
            </w:r>
          </w:p>
        </w:tc>
        <w:tc>
          <w:tcPr>
            <w:tcW w:w="2268" w:type="dxa"/>
            <w:gridSpan w:val="2"/>
          </w:tcPr>
          <w:p>
            <w:pPr>
              <w:pStyle w:val="TableParagraph"/>
              <w:spacing w:line="248" w:lineRule="exact"/>
              <w:ind w:left="136" w:right="136"/>
              <w:jc w:val="center"/>
              <w:rPr>
                <w:b/>
                <w:sz w:val="22"/>
              </w:rPr>
            </w:pPr>
            <w:r>
              <w:rPr>
                <w:b/>
                <w:sz w:val="22"/>
              </w:rPr>
              <w:t>16.813</w:t>
            </w:r>
          </w:p>
        </w:tc>
        <w:tc>
          <w:tcPr>
            <w:tcW w:w="3274" w:type="dxa"/>
            <w:gridSpan w:val="5"/>
            <w:vMerge/>
          </w:tcPr>
          <w:p>
            <w:pPr/>
          </w:p>
        </w:tc>
        <w:tc>
          <w:tcPr>
            <w:tcW w:w="3277" w:type="dxa"/>
            <w:gridSpan w:val="3"/>
            <w:vMerge/>
          </w:tcPr>
          <w:p>
            <w:pPr/>
          </w:p>
        </w:tc>
      </w:tr>
      <w:tr>
        <w:trPr>
          <w:trHeight w:val="264" w:hRule="exact"/>
        </w:trPr>
        <w:tc>
          <w:tcPr>
            <w:tcW w:w="2093" w:type="dxa"/>
            <w:gridSpan w:val="2"/>
          </w:tcPr>
          <w:p>
            <w:pPr>
              <w:pStyle w:val="TableParagraph"/>
              <w:spacing w:line="248" w:lineRule="exact"/>
              <w:ind w:left="0" w:right="1"/>
              <w:jc w:val="center"/>
              <w:rPr>
                <w:b/>
                <w:sz w:val="22"/>
              </w:rPr>
            </w:pPr>
            <w:r>
              <w:rPr>
                <w:b/>
                <w:w w:val="100"/>
                <w:sz w:val="22"/>
              </w:rPr>
              <w:t>1</w:t>
            </w:r>
          </w:p>
        </w:tc>
        <w:tc>
          <w:tcPr>
            <w:tcW w:w="1985" w:type="dxa"/>
            <w:gridSpan w:val="2"/>
            <w:tcBorders>
              <w:right w:val="single" w:sz="45" w:space="0" w:color="F79546"/>
            </w:tcBorders>
          </w:tcPr>
          <w:p>
            <w:pPr>
              <w:pStyle w:val="TableParagraph"/>
              <w:spacing w:line="248" w:lineRule="exact"/>
              <w:ind w:left="51"/>
              <w:jc w:val="center"/>
              <w:rPr>
                <w:b/>
                <w:sz w:val="22"/>
              </w:rPr>
            </w:pPr>
            <w:r>
              <w:rPr>
                <w:b/>
                <w:w w:val="100"/>
                <w:sz w:val="22"/>
              </w:rPr>
              <w:t>2</w:t>
            </w:r>
          </w:p>
        </w:tc>
        <w:tc>
          <w:tcPr>
            <w:tcW w:w="2268" w:type="dxa"/>
            <w:gridSpan w:val="2"/>
            <w:shd w:val="clear" w:color="auto" w:fill="F79546"/>
          </w:tcPr>
          <w:p>
            <w:pPr>
              <w:pStyle w:val="TableParagraph"/>
              <w:spacing w:line="248" w:lineRule="exact"/>
              <w:ind w:left="0"/>
              <w:jc w:val="center"/>
              <w:rPr>
                <w:b/>
                <w:sz w:val="22"/>
              </w:rPr>
            </w:pPr>
            <w:r>
              <w:rPr>
                <w:b/>
                <w:w w:val="100"/>
                <w:sz w:val="22"/>
              </w:rPr>
              <w:t>3</w:t>
            </w:r>
          </w:p>
        </w:tc>
        <w:tc>
          <w:tcPr>
            <w:tcW w:w="1701" w:type="dxa"/>
            <w:gridSpan w:val="2"/>
            <w:shd w:val="clear" w:color="auto" w:fill="F79546"/>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F79546"/>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2"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4"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2" w:hRule="exact"/>
        </w:trPr>
        <w:tc>
          <w:tcPr>
            <w:tcW w:w="1952" w:type="dxa"/>
            <w:shd w:val="clear" w:color="auto" w:fill="92CDDC"/>
          </w:tcPr>
          <w:p>
            <w:pPr>
              <w:pStyle w:val="TableParagraph"/>
              <w:spacing w:line="248" w:lineRule="exact"/>
              <w:ind w:left="491" w:right="492"/>
              <w:jc w:val="center"/>
              <w:rPr>
                <w:b/>
                <w:sz w:val="22"/>
              </w:rPr>
            </w:pPr>
            <w:r>
              <w:rPr>
                <w:b/>
                <w:sz w:val="22"/>
              </w:rPr>
              <w:t>47</w:t>
            </w:r>
          </w:p>
        </w:tc>
        <w:tc>
          <w:tcPr>
            <w:tcW w:w="2127" w:type="dxa"/>
            <w:gridSpan w:val="3"/>
            <w:shd w:val="clear" w:color="auto" w:fill="92CDDC"/>
          </w:tcPr>
          <w:p>
            <w:pPr>
              <w:pStyle w:val="TableParagraph"/>
              <w:spacing w:line="248" w:lineRule="exact"/>
              <w:ind w:left="916" w:right="916"/>
              <w:jc w:val="center"/>
              <w:rPr>
                <w:b/>
                <w:sz w:val="22"/>
              </w:rPr>
            </w:pPr>
            <w:r>
              <w:rPr>
                <w:b/>
                <w:sz w:val="22"/>
              </w:rPr>
              <w:t>67</w:t>
            </w:r>
          </w:p>
        </w:tc>
        <w:tc>
          <w:tcPr>
            <w:tcW w:w="2410" w:type="dxa"/>
            <w:gridSpan w:val="3"/>
            <w:shd w:val="clear" w:color="auto" w:fill="92CDDC"/>
          </w:tcPr>
          <w:p>
            <w:pPr>
              <w:pStyle w:val="TableParagraph"/>
              <w:spacing w:line="248" w:lineRule="exact"/>
              <w:ind w:left="619"/>
              <w:rPr>
                <w:b/>
                <w:sz w:val="22"/>
              </w:rPr>
            </w:pPr>
            <w:r>
              <w:rPr>
                <w:b/>
                <w:sz w:val="22"/>
              </w:rPr>
              <w:t>0.00390625</w:t>
            </w:r>
          </w:p>
        </w:tc>
        <w:tc>
          <w:tcPr>
            <w:tcW w:w="1844" w:type="dxa"/>
            <w:gridSpan w:val="2"/>
            <w:shd w:val="clear" w:color="auto" w:fill="F9BE8F"/>
          </w:tcPr>
          <w:p>
            <w:pPr>
              <w:pStyle w:val="TableParagraph"/>
              <w:spacing w:line="248" w:lineRule="exact"/>
              <w:ind w:left="774" w:right="774"/>
              <w:jc w:val="center"/>
              <w:rPr>
                <w:b/>
                <w:sz w:val="22"/>
              </w:rPr>
            </w:pPr>
            <w:r>
              <w:rPr>
                <w:b/>
                <w:sz w:val="22"/>
              </w:rPr>
              <w:t>42</w:t>
            </w:r>
          </w:p>
        </w:tc>
        <w:tc>
          <w:tcPr>
            <w:tcW w:w="2126" w:type="dxa"/>
            <w:gridSpan w:val="3"/>
            <w:shd w:val="clear" w:color="auto" w:fill="F9BE8F"/>
          </w:tcPr>
          <w:p>
            <w:pPr>
              <w:pStyle w:val="TableParagraph"/>
              <w:spacing w:line="248" w:lineRule="exact"/>
              <w:ind w:left="0"/>
              <w:jc w:val="center"/>
              <w:rPr>
                <w:b/>
                <w:sz w:val="22"/>
              </w:rPr>
            </w:pPr>
            <w:r>
              <w:rPr>
                <w:b/>
                <w:w w:val="100"/>
                <w:sz w:val="22"/>
              </w:rPr>
              <w:t>2</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ind w:left="516" w:right="408" w:hanging="95"/>
              <w:rPr>
                <w:b/>
                <w:sz w:val="22"/>
              </w:rPr>
            </w:pPr>
            <w:r>
              <w:rPr>
                <w:b/>
                <w:sz w:val="22"/>
              </w:rPr>
              <w:t>Variables que intervienen:</w:t>
            </w:r>
          </w:p>
        </w:tc>
        <w:tc>
          <w:tcPr>
            <w:tcW w:w="10607" w:type="dxa"/>
            <w:gridSpan w:val="11"/>
          </w:tcPr>
          <w:p>
            <w:pPr>
              <w:pStyle w:val="TableParagraph"/>
              <w:ind w:right="103"/>
              <w:rPr>
                <w:sz w:val="22"/>
              </w:rPr>
            </w:pPr>
            <w:r>
              <w:rPr>
                <w:sz w:val="22"/>
              </w:rPr>
              <w:t>Dependencia económica, recursos naturales, CHPH, actores, sobreexplotación, sostenibilidad.</w:t>
            </w:r>
          </w:p>
        </w:tc>
      </w:tr>
      <w:tr>
        <w:trPr>
          <w:trHeight w:val="516" w:hRule="exact"/>
        </w:trPr>
        <w:tc>
          <w:tcPr>
            <w:tcW w:w="2290" w:type="dxa"/>
            <w:gridSpan w:val="3"/>
          </w:tcPr>
          <w:p>
            <w:pPr>
              <w:pStyle w:val="TableParagraph"/>
              <w:spacing w:line="251" w:lineRule="exact"/>
              <w:ind w:left="453"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4" w:hRule="exact"/>
        </w:trPr>
        <w:tc>
          <w:tcPr>
            <w:tcW w:w="12897" w:type="dxa"/>
            <w:gridSpan w:val="14"/>
          </w:tcPr>
          <w:p>
            <w:pPr>
              <w:pStyle w:val="TableParagraph"/>
              <w:spacing w:line="251" w:lineRule="exact"/>
              <w:ind w:left="172" w:right="173"/>
              <w:jc w:val="center"/>
              <w:rPr>
                <w:b/>
                <w:sz w:val="22"/>
              </w:rPr>
            </w:pPr>
            <w:r>
              <w:rPr>
                <w:b/>
                <w:sz w:val="22"/>
              </w:rPr>
              <w:t>DEFINICIÓN</w:t>
            </w:r>
          </w:p>
        </w:tc>
      </w:tr>
      <w:tr>
        <w:trPr>
          <w:trHeight w:val="768" w:hRule="exact"/>
        </w:trPr>
        <w:tc>
          <w:tcPr>
            <w:tcW w:w="12897" w:type="dxa"/>
            <w:gridSpan w:val="14"/>
          </w:tcPr>
          <w:p>
            <w:pPr>
              <w:pStyle w:val="TableParagraph"/>
              <w:ind w:right="102"/>
              <w:jc w:val="both"/>
              <w:rPr>
                <w:sz w:val="22"/>
              </w:rPr>
            </w:pPr>
            <w:r>
              <w:rPr>
                <w:sz w:val="22"/>
              </w:rPr>
              <w:t>Es la dependencia económica de los recursos naturales que han tenido los actores de la CHPH a través del tiempo para su subsistencia y que ha generado la sobreexplotación de éstos y mermado la sostenibilidad de la Cuenca para generaciones presentes y futuras (Arjona, 1986 y García, TC: 2013-2015).</w:t>
            </w:r>
          </w:p>
        </w:tc>
      </w:tr>
      <w:tr>
        <w:trPr>
          <w:trHeight w:val="264" w:hRule="exact"/>
        </w:trPr>
        <w:tc>
          <w:tcPr>
            <w:tcW w:w="4295" w:type="dxa"/>
            <w:gridSpan w:val="5"/>
          </w:tcPr>
          <w:p>
            <w:pPr>
              <w:pStyle w:val="TableParagraph"/>
              <w:spacing w:line="251" w:lineRule="exact"/>
              <w:ind w:left="1097" w:right="213"/>
              <w:rPr>
                <w:b/>
                <w:sz w:val="22"/>
              </w:rPr>
            </w:pPr>
            <w:r>
              <w:rPr>
                <w:b/>
                <w:sz w:val="22"/>
              </w:rPr>
              <w:t>Unidad de medición</w:t>
            </w:r>
          </w:p>
        </w:tc>
        <w:tc>
          <w:tcPr>
            <w:tcW w:w="8603" w:type="dxa"/>
            <w:gridSpan w:val="9"/>
          </w:tcPr>
          <w:p>
            <w:pPr>
              <w:pStyle w:val="TableParagraph"/>
              <w:spacing w:line="251" w:lineRule="exact"/>
              <w:ind w:left="2419" w:right="108"/>
              <w:rPr>
                <w:b/>
                <w:sz w:val="22"/>
              </w:rPr>
            </w:pPr>
            <w:r>
              <w:rPr>
                <w:b/>
                <w:sz w:val="22"/>
              </w:rPr>
              <w:t>Definición de la unidad de medición</w:t>
            </w:r>
          </w:p>
        </w:tc>
      </w:tr>
      <w:tr>
        <w:trPr>
          <w:trHeight w:val="1023" w:hRule="exact"/>
        </w:trPr>
        <w:tc>
          <w:tcPr>
            <w:tcW w:w="4295" w:type="dxa"/>
            <w:gridSpan w:val="5"/>
          </w:tcPr>
          <w:p>
            <w:pPr>
              <w:pStyle w:val="TableParagraph"/>
              <w:ind w:right="99"/>
              <w:jc w:val="both"/>
              <w:rPr>
                <w:sz w:val="22"/>
              </w:rPr>
            </w:pPr>
            <w:r>
              <w:rPr>
                <w:sz w:val="22"/>
              </w:rPr>
              <w:t># de recursos naturales que son sobreexplotados por los actores de la CHPH para su subsistencia.</w:t>
            </w:r>
          </w:p>
        </w:tc>
        <w:tc>
          <w:tcPr>
            <w:tcW w:w="8603" w:type="dxa"/>
            <w:gridSpan w:val="9"/>
          </w:tcPr>
          <w:p>
            <w:pPr>
              <w:pStyle w:val="TableParagraph"/>
              <w:spacing w:line="242" w:lineRule="auto"/>
              <w:ind w:right="108"/>
              <w:rPr>
                <w:sz w:val="22"/>
              </w:rPr>
            </w:pPr>
            <w:r>
              <w:rPr>
                <w:sz w:val="22"/>
              </w:rPr>
              <w:t>Cantidad de recursos naturales que son sobreexplotados por los actores de la CHPH para su subsistencia (Ejemplo: agua para riego, agostaderos, comida lacustre).</w:t>
            </w:r>
          </w:p>
        </w:tc>
      </w:tr>
    </w:tbl>
    <w:p>
      <w:pPr>
        <w:spacing w:after="0" w:line="242" w:lineRule="auto"/>
        <w:rPr>
          <w:sz w:val="22"/>
        </w:rPr>
        <w:sectPr>
          <w:footerReference w:type="default" r:id="rId496"/>
          <w:pgSz w:w="15840" w:h="12240" w:orient="landscape"/>
          <w:pgMar w:footer="943" w:header="0" w:top="1140" w:bottom="1140" w:left="1200" w:right="1300"/>
          <w:pgNumType w:start="710"/>
        </w:sectPr>
      </w:pPr>
    </w:p>
    <w:p>
      <w:pPr>
        <w:pStyle w:val="BodyText"/>
        <w:rPr>
          <w:rFonts w:ascii="Times New Roman"/>
          <w:sz w:val="20"/>
        </w:rPr>
      </w:pPr>
    </w:p>
    <w:p>
      <w:pPr>
        <w:pStyle w:val="BodyText"/>
        <w:spacing w:before="11"/>
        <w:rPr>
          <w:rFonts w:ascii="Times New Roman"/>
        </w:rPr>
      </w:pPr>
    </w:p>
    <w:p>
      <w:pPr>
        <w:pStyle w:val="Heading6"/>
        <w:spacing w:before="73"/>
        <w:ind w:left="5825" w:right="397" w:hanging="5079"/>
      </w:pPr>
      <w:r>
        <w:rPr/>
        <w:pict>
          <v:group style="position:absolute;margin-left:65.269997pt;margin-top:3.157898pt;width:650.9pt;height:385.55pt;mso-position-horizontal-relative:page;mso-position-vertical-relative:paragraph;z-index:-3328720" coordorigin="1305,63" coordsize="13018,7711">
            <v:line style="position:absolute" from="1315,73" to="14313,73" stroked="true" strokeweight=".48pt" strokecolor="#000000"/>
            <v:line style="position:absolute" from="1315,615" to="14313,615" stroked="true" strokeweight=".48pt" strokecolor="#000000"/>
            <v:line style="position:absolute" from="1310,68" to="1310,7769" stroked="true" strokeweight=".48pt" strokecolor="#000000"/>
            <v:line style="position:absolute" from="1315,7764" to="14313,7764" stroked="true" strokeweight=".48001pt" strokecolor="#000000"/>
            <v:line style="position:absolute" from="14318,68" to="14318,7769" stroked="true" strokeweight=".47998pt" strokecolor="#000000"/>
            <v:shape style="position:absolute;left:1972;top:620;width:11680;height:7079" type="#_x0000_t75" stroked="false">
              <v:imagedata r:id="rId497" o:title=""/>
            </v:shape>
            <w10:wrap type="none"/>
          </v:group>
        </w:pict>
      </w: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4728">
            <wp:simplePos x="0" y="0"/>
            <wp:positionH relativeFrom="page">
              <wp:posOffset>876300</wp:posOffset>
            </wp:positionH>
            <wp:positionV relativeFrom="page">
              <wp:posOffset>1735454</wp:posOffset>
            </wp:positionV>
            <wp:extent cx="5093207" cy="2401062"/>
            <wp:effectExtent l="0" t="0" r="0" b="0"/>
            <wp:wrapNone/>
            <wp:docPr id="89" name="image362.png" descr=""/>
            <wp:cNvGraphicFramePr>
              <a:graphicFrameLocks noChangeAspect="1"/>
            </wp:cNvGraphicFramePr>
            <a:graphic>
              <a:graphicData uri="http://schemas.openxmlformats.org/drawingml/2006/picture">
                <pic:pic>
                  <pic:nvPicPr>
                    <pic:cNvPr id="90" name="image362.png"/>
                    <pic:cNvPicPr/>
                  </pic:nvPicPr>
                  <pic:blipFill>
                    <a:blip r:embed="rId498" cstate="print"/>
                    <a:stretch>
                      <a:fillRect/>
                    </a:stretch>
                  </pic:blipFill>
                  <pic:spPr>
                    <a:xfrm>
                      <a:off x="0" y="0"/>
                      <a:ext cx="5093207" cy="2401062"/>
                    </a:xfrm>
                    <a:prstGeom prst="rect">
                      <a:avLst/>
                    </a:prstGeom>
                  </pic:spPr>
                </pic:pic>
              </a:graphicData>
            </a:graphic>
          </wp:anchor>
        </w:drawing>
      </w:r>
      <w:r>
        <w:rPr/>
        <w:pict>
          <v:shape style="position:absolute;margin-left:520.630005pt;margin-top:166.580002pt;width:163.75pt;height:145.25pt;mso-position-horizontal-relative:page;mso-position-vertical-relative:page;z-index:1475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80"/>
                    <w:gridCol w:w="1580"/>
                  </w:tblGrid>
                  <w:tr>
                    <w:trPr>
                      <w:trHeight w:val="264" w:hRule="exact"/>
                    </w:trPr>
                    <w:tc>
                      <w:tcPr>
                        <w:tcW w:w="1680" w:type="dxa"/>
                      </w:tcPr>
                      <w:p>
                        <w:pPr>
                          <w:pStyle w:val="TableParagraph"/>
                          <w:spacing w:line="248" w:lineRule="exact"/>
                          <w:rPr>
                            <w:b/>
                            <w:sz w:val="22"/>
                          </w:rPr>
                        </w:pPr>
                        <w:r>
                          <w:rPr>
                            <w:b/>
                            <w:sz w:val="22"/>
                          </w:rPr>
                          <w:t>Período</w:t>
                        </w:r>
                      </w:p>
                    </w:tc>
                    <w:tc>
                      <w:tcPr>
                        <w:tcW w:w="1580" w:type="dxa"/>
                      </w:tcPr>
                      <w:p>
                        <w:pPr>
                          <w:pStyle w:val="TableParagraph"/>
                          <w:spacing w:line="248" w:lineRule="exact"/>
                          <w:rPr>
                            <w:b/>
                            <w:sz w:val="22"/>
                          </w:rPr>
                        </w:pPr>
                        <w:r>
                          <w:rPr>
                            <w:b/>
                            <w:sz w:val="22"/>
                          </w:rPr>
                          <w:t>Calificación</w:t>
                        </w:r>
                      </w:p>
                    </w:tc>
                  </w:tr>
                  <w:tr>
                    <w:trPr>
                      <w:trHeight w:val="262" w:hRule="exact"/>
                    </w:trPr>
                    <w:tc>
                      <w:tcPr>
                        <w:tcW w:w="1680" w:type="dxa"/>
                      </w:tcPr>
                      <w:p>
                        <w:pPr>
                          <w:pStyle w:val="TableParagraph"/>
                          <w:spacing w:line="251" w:lineRule="exact"/>
                          <w:rPr>
                            <w:sz w:val="22"/>
                          </w:rPr>
                        </w:pPr>
                        <w:r>
                          <w:rPr>
                            <w:sz w:val="22"/>
                          </w:rPr>
                          <w:t>1400</w:t>
                        </w:r>
                      </w:p>
                    </w:tc>
                    <w:tc>
                      <w:tcPr>
                        <w:tcW w:w="1580" w:type="dxa"/>
                      </w:tcPr>
                      <w:p>
                        <w:pPr>
                          <w:pStyle w:val="TableParagraph"/>
                          <w:spacing w:line="251" w:lineRule="exact"/>
                          <w:rPr>
                            <w:sz w:val="22"/>
                          </w:rPr>
                        </w:pPr>
                        <w:r>
                          <w:rPr>
                            <w:sz w:val="22"/>
                          </w:rPr>
                          <w:t>Excelente</w:t>
                        </w:r>
                      </w:p>
                    </w:tc>
                  </w:tr>
                  <w:tr>
                    <w:trPr>
                      <w:trHeight w:val="264" w:hRule="exact"/>
                    </w:trPr>
                    <w:tc>
                      <w:tcPr>
                        <w:tcW w:w="1680" w:type="dxa"/>
                      </w:tcPr>
                      <w:p>
                        <w:pPr>
                          <w:pStyle w:val="TableParagraph"/>
                          <w:rPr>
                            <w:sz w:val="22"/>
                          </w:rPr>
                        </w:pPr>
                        <w:r>
                          <w:rPr>
                            <w:sz w:val="22"/>
                          </w:rPr>
                          <w:t>1519</w:t>
                        </w:r>
                      </w:p>
                    </w:tc>
                    <w:tc>
                      <w:tcPr>
                        <w:tcW w:w="1580" w:type="dxa"/>
                      </w:tcPr>
                      <w:p>
                        <w:pPr>
                          <w:pStyle w:val="TableParagraph"/>
                          <w:rPr>
                            <w:sz w:val="22"/>
                          </w:rPr>
                        </w:pPr>
                        <w:r>
                          <w:rPr>
                            <w:sz w:val="22"/>
                          </w:rPr>
                          <w:t>Excelente</w:t>
                        </w:r>
                      </w:p>
                    </w:tc>
                  </w:tr>
                  <w:tr>
                    <w:trPr>
                      <w:trHeight w:val="264" w:hRule="exact"/>
                    </w:trPr>
                    <w:tc>
                      <w:tcPr>
                        <w:tcW w:w="1680" w:type="dxa"/>
                      </w:tcPr>
                      <w:p>
                        <w:pPr>
                          <w:pStyle w:val="TableParagraph"/>
                          <w:spacing w:line="251" w:lineRule="exact"/>
                          <w:rPr>
                            <w:sz w:val="22"/>
                          </w:rPr>
                        </w:pPr>
                        <w:r>
                          <w:rPr>
                            <w:sz w:val="22"/>
                          </w:rPr>
                          <w:t>1580</w:t>
                        </w:r>
                      </w:p>
                    </w:tc>
                    <w:tc>
                      <w:tcPr>
                        <w:tcW w:w="1580" w:type="dxa"/>
                      </w:tcPr>
                      <w:p>
                        <w:pPr>
                          <w:pStyle w:val="TableParagraph"/>
                          <w:spacing w:line="251" w:lineRule="exact"/>
                          <w:rPr>
                            <w:sz w:val="22"/>
                          </w:rPr>
                        </w:pPr>
                        <w:r>
                          <w:rPr>
                            <w:sz w:val="22"/>
                          </w:rPr>
                          <w:t>Bueno</w:t>
                        </w:r>
                      </w:p>
                    </w:tc>
                  </w:tr>
                  <w:tr>
                    <w:trPr>
                      <w:trHeight w:val="262" w:hRule="exact"/>
                    </w:trPr>
                    <w:tc>
                      <w:tcPr>
                        <w:tcW w:w="1680" w:type="dxa"/>
                      </w:tcPr>
                      <w:p>
                        <w:pPr>
                          <w:pStyle w:val="TableParagraph"/>
                          <w:spacing w:line="251" w:lineRule="exact"/>
                          <w:rPr>
                            <w:sz w:val="22"/>
                          </w:rPr>
                        </w:pPr>
                        <w:r>
                          <w:rPr>
                            <w:sz w:val="22"/>
                          </w:rPr>
                          <w:t>1785</w:t>
                        </w:r>
                      </w:p>
                    </w:tc>
                    <w:tc>
                      <w:tcPr>
                        <w:tcW w:w="1580" w:type="dxa"/>
                      </w:tcPr>
                      <w:p>
                        <w:pPr>
                          <w:pStyle w:val="TableParagraph"/>
                          <w:spacing w:line="251" w:lineRule="exact"/>
                          <w:rPr>
                            <w:sz w:val="22"/>
                          </w:rPr>
                        </w:pPr>
                        <w:r>
                          <w:rPr>
                            <w:sz w:val="22"/>
                          </w:rPr>
                          <w:t>Bueno</w:t>
                        </w:r>
                      </w:p>
                    </w:tc>
                  </w:tr>
                  <w:tr>
                    <w:trPr>
                      <w:trHeight w:val="264" w:hRule="exact"/>
                    </w:trPr>
                    <w:tc>
                      <w:tcPr>
                        <w:tcW w:w="1680" w:type="dxa"/>
                      </w:tcPr>
                      <w:p>
                        <w:pPr>
                          <w:pStyle w:val="TableParagraph"/>
                          <w:spacing w:line="251" w:lineRule="exact"/>
                          <w:rPr>
                            <w:sz w:val="22"/>
                          </w:rPr>
                        </w:pPr>
                        <w:r>
                          <w:rPr>
                            <w:sz w:val="22"/>
                          </w:rPr>
                          <w:t>1810</w:t>
                        </w:r>
                      </w:p>
                    </w:tc>
                    <w:tc>
                      <w:tcPr>
                        <w:tcW w:w="1580" w:type="dxa"/>
                      </w:tcPr>
                      <w:p>
                        <w:pPr>
                          <w:pStyle w:val="TableParagraph"/>
                          <w:spacing w:line="251" w:lineRule="exact"/>
                          <w:rPr>
                            <w:sz w:val="22"/>
                          </w:rPr>
                        </w:pPr>
                        <w:r>
                          <w:rPr>
                            <w:sz w:val="22"/>
                          </w:rPr>
                          <w:t>Bueno</w:t>
                        </w:r>
                      </w:p>
                    </w:tc>
                  </w:tr>
                  <w:tr>
                    <w:trPr>
                      <w:trHeight w:val="262" w:hRule="exact"/>
                    </w:trPr>
                    <w:tc>
                      <w:tcPr>
                        <w:tcW w:w="1680" w:type="dxa"/>
                      </w:tcPr>
                      <w:p>
                        <w:pPr>
                          <w:pStyle w:val="TableParagraph"/>
                          <w:spacing w:line="251" w:lineRule="exact"/>
                          <w:rPr>
                            <w:sz w:val="22"/>
                          </w:rPr>
                        </w:pPr>
                        <w:r>
                          <w:rPr>
                            <w:sz w:val="22"/>
                          </w:rPr>
                          <w:t>1861</w:t>
                        </w:r>
                      </w:p>
                    </w:tc>
                    <w:tc>
                      <w:tcPr>
                        <w:tcW w:w="1580" w:type="dxa"/>
                      </w:tcPr>
                      <w:p>
                        <w:pPr>
                          <w:pStyle w:val="TableParagraph"/>
                          <w:spacing w:line="251" w:lineRule="exact"/>
                          <w:rPr>
                            <w:sz w:val="22"/>
                          </w:rPr>
                        </w:pPr>
                        <w:r>
                          <w:rPr>
                            <w:sz w:val="22"/>
                          </w:rPr>
                          <w:t>Bueno</w:t>
                        </w:r>
                      </w:p>
                    </w:tc>
                  </w:tr>
                  <w:tr>
                    <w:trPr>
                      <w:trHeight w:val="264" w:hRule="exact"/>
                    </w:trPr>
                    <w:tc>
                      <w:tcPr>
                        <w:tcW w:w="1680" w:type="dxa"/>
                      </w:tcPr>
                      <w:p>
                        <w:pPr>
                          <w:pStyle w:val="TableParagraph"/>
                          <w:rPr>
                            <w:sz w:val="22"/>
                          </w:rPr>
                        </w:pPr>
                        <w:r>
                          <w:rPr>
                            <w:sz w:val="22"/>
                          </w:rPr>
                          <w:t>1910</w:t>
                        </w:r>
                      </w:p>
                    </w:tc>
                    <w:tc>
                      <w:tcPr>
                        <w:tcW w:w="1580" w:type="dxa"/>
                      </w:tcPr>
                      <w:p>
                        <w:pPr>
                          <w:pStyle w:val="TableParagraph"/>
                          <w:rPr>
                            <w:sz w:val="22"/>
                          </w:rPr>
                        </w:pPr>
                        <w:r>
                          <w:rPr>
                            <w:sz w:val="22"/>
                          </w:rPr>
                          <w:t>Bueno</w:t>
                        </w:r>
                      </w:p>
                    </w:tc>
                  </w:tr>
                  <w:tr>
                    <w:trPr>
                      <w:trHeight w:val="262" w:hRule="exact"/>
                    </w:trPr>
                    <w:tc>
                      <w:tcPr>
                        <w:tcW w:w="1680" w:type="dxa"/>
                      </w:tcPr>
                      <w:p>
                        <w:pPr>
                          <w:pStyle w:val="TableParagraph"/>
                          <w:spacing w:line="251" w:lineRule="exact"/>
                          <w:rPr>
                            <w:sz w:val="22"/>
                          </w:rPr>
                        </w:pPr>
                        <w:r>
                          <w:rPr>
                            <w:sz w:val="22"/>
                          </w:rPr>
                          <w:t>1940</w:t>
                        </w:r>
                      </w:p>
                    </w:tc>
                    <w:tc>
                      <w:tcPr>
                        <w:tcW w:w="1580" w:type="dxa"/>
                      </w:tcPr>
                      <w:p>
                        <w:pPr>
                          <w:pStyle w:val="TableParagraph"/>
                          <w:spacing w:line="251" w:lineRule="exact"/>
                          <w:rPr>
                            <w:sz w:val="22"/>
                          </w:rPr>
                        </w:pPr>
                        <w:r>
                          <w:rPr>
                            <w:sz w:val="22"/>
                          </w:rPr>
                          <w:t>Bueno</w:t>
                        </w:r>
                      </w:p>
                    </w:tc>
                  </w:tr>
                  <w:tr>
                    <w:trPr>
                      <w:trHeight w:val="264" w:hRule="exact"/>
                    </w:trPr>
                    <w:tc>
                      <w:tcPr>
                        <w:tcW w:w="1680" w:type="dxa"/>
                      </w:tcPr>
                      <w:p>
                        <w:pPr>
                          <w:pStyle w:val="TableParagraph"/>
                          <w:rPr>
                            <w:sz w:val="22"/>
                          </w:rPr>
                        </w:pPr>
                        <w:r>
                          <w:rPr>
                            <w:sz w:val="22"/>
                          </w:rPr>
                          <w:t>1982</w:t>
                        </w:r>
                      </w:p>
                    </w:tc>
                    <w:tc>
                      <w:tcPr>
                        <w:tcW w:w="1580" w:type="dxa"/>
                      </w:tcPr>
                      <w:p>
                        <w:pPr>
                          <w:pStyle w:val="TableParagraph"/>
                          <w:rPr>
                            <w:sz w:val="22"/>
                          </w:rPr>
                        </w:pPr>
                        <w:r>
                          <w:rPr>
                            <w:sz w:val="22"/>
                          </w:rPr>
                          <w:t>Bueno</w:t>
                        </w:r>
                      </w:p>
                    </w:tc>
                  </w:tr>
                  <w:tr>
                    <w:trPr>
                      <w:trHeight w:val="264" w:hRule="exact"/>
                    </w:trPr>
                    <w:tc>
                      <w:tcPr>
                        <w:tcW w:w="1680" w:type="dxa"/>
                      </w:tcPr>
                      <w:p>
                        <w:pPr>
                          <w:pStyle w:val="TableParagraph"/>
                          <w:spacing w:line="251" w:lineRule="exact"/>
                          <w:rPr>
                            <w:sz w:val="22"/>
                          </w:rPr>
                        </w:pPr>
                        <w:r>
                          <w:rPr>
                            <w:sz w:val="22"/>
                          </w:rPr>
                          <w:t>2016</w:t>
                        </w:r>
                      </w:p>
                    </w:tc>
                    <w:tc>
                      <w:tcPr>
                        <w:tcW w:w="1580" w:type="dxa"/>
                      </w:tcPr>
                      <w:p>
                        <w:pPr>
                          <w:pStyle w:val="TableParagraph"/>
                          <w:spacing w:line="251" w:lineRule="exact"/>
                          <w:rPr>
                            <w:sz w:val="22"/>
                          </w:rPr>
                        </w:pPr>
                        <w:r>
                          <w:rPr>
                            <w:sz w:val="22"/>
                          </w:rPr>
                          <w:t>Bueno</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6"/>
        <w:gridCol w:w="3841"/>
        <w:gridCol w:w="1447"/>
        <w:gridCol w:w="2108"/>
        <w:gridCol w:w="1529"/>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339" w:hRule="exact"/>
        </w:trPr>
        <w:tc>
          <w:tcPr>
            <w:tcW w:w="12822" w:type="dxa"/>
            <w:gridSpan w:val="7"/>
          </w:tcPr>
          <w:p>
            <w:pPr>
              <w:pStyle w:val="TableParagraph"/>
              <w:spacing w:line="242" w:lineRule="auto"/>
              <w:ind w:left="27" w:right="57"/>
              <w:rPr>
                <w:sz w:val="22"/>
              </w:rPr>
            </w:pPr>
            <w:r>
              <w:rPr>
                <w:sz w:val="22"/>
              </w:rPr>
              <w:t>En la siguiente gráfica se puede identificar la evolución del indicador en el tiempo en la CHPH mediante categorías de calificación de acuerdo a su impacto en los ámbitos ambiental, sociopolítico y económico:</w:t>
            </w:r>
          </w:p>
          <w:p>
            <w:pPr>
              <w:pStyle w:val="TableParagraph"/>
              <w:spacing w:line="247" w:lineRule="exact"/>
              <w:ind w:left="3207" w:right="57"/>
              <w:rPr>
                <w:b/>
                <w:sz w:val="22"/>
              </w:rPr>
            </w:pPr>
            <w:r>
              <w:rPr>
                <w:b/>
                <w:sz w:val="22"/>
              </w:rPr>
              <w:t>Gráfica 7.18.</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
              <w:ind w:left="0"/>
              <w:rPr>
                <w:rFonts w:ascii="Times New Roman"/>
                <w:sz w:val="23"/>
              </w:rPr>
            </w:pPr>
          </w:p>
          <w:p>
            <w:pPr>
              <w:pStyle w:val="TableParagraph"/>
              <w:spacing w:line="51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526" w:type="dxa"/>
            <w:vMerge w:val="restart"/>
          </w:tcPr>
          <w:p>
            <w:pPr>
              <w:pStyle w:val="TableParagraph"/>
              <w:ind w:right="93"/>
              <w:rPr>
                <w:sz w:val="20"/>
              </w:rPr>
            </w:pPr>
            <w:r>
              <w:rPr>
                <w:sz w:val="20"/>
              </w:rPr>
              <w:t>Clasificación por número de eventos en el período</w:t>
            </w:r>
          </w:p>
        </w:tc>
        <w:tc>
          <w:tcPr>
            <w:tcW w:w="8812" w:type="dxa"/>
            <w:gridSpan w:val="4"/>
          </w:tcPr>
          <w:p>
            <w:pPr>
              <w:pStyle w:val="TableParagraph"/>
              <w:ind w:right="105"/>
              <w:rPr>
                <w:sz w:val="20"/>
              </w:rPr>
            </w:pPr>
            <w:r>
              <w:rPr>
                <w:sz w:val="20"/>
              </w:rPr>
              <w:t>Clasificación por </w:t>
            </w:r>
            <w:r>
              <w:rPr>
                <w:b/>
                <w:sz w:val="20"/>
              </w:rPr>
              <w:t>características de impacto positivo o negativo </w:t>
            </w:r>
            <w:r>
              <w:rPr>
                <w:sz w:val="20"/>
              </w:rPr>
              <w:t>en los ámbitos ambiental- sociopolítico-económico</w:t>
            </w:r>
          </w:p>
        </w:tc>
        <w:tc>
          <w:tcPr>
            <w:tcW w:w="1529" w:type="dxa"/>
            <w:vMerge w:val="restart"/>
            <w:tcBorders>
              <w:right w:val="double" w:sz="12" w:space="0" w:color="000000"/>
            </w:tcBorders>
          </w:tcPr>
          <w:p>
            <w:pPr>
              <w:pStyle w:val="TableParagraph"/>
              <w:spacing w:before="119"/>
              <w:ind w:left="188" w:right="186"/>
              <w:jc w:val="center"/>
              <w:rPr>
                <w:sz w:val="20"/>
              </w:rPr>
            </w:pPr>
            <w:r>
              <w:rPr>
                <w:w w:val="95"/>
                <w:sz w:val="20"/>
              </w:rPr>
              <w:t>Clasificación </w:t>
            </w:r>
            <w:r>
              <w:rPr>
                <w:sz w:val="20"/>
              </w:rPr>
              <w:t>de la calificación</w:t>
            </w:r>
          </w:p>
        </w:tc>
      </w:tr>
      <w:tr>
        <w:trPr>
          <w:trHeight w:val="470"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27" w:lineRule="exact"/>
              <w:rPr>
                <w:sz w:val="20"/>
              </w:rPr>
            </w:pPr>
            <w:r>
              <w:rPr>
                <w:sz w:val="20"/>
              </w:rPr>
              <w:t>Subsistema</w:t>
            </w:r>
          </w:p>
        </w:tc>
        <w:tc>
          <w:tcPr>
            <w:tcW w:w="3841" w:type="dxa"/>
          </w:tcPr>
          <w:p>
            <w:pPr>
              <w:pStyle w:val="TableParagraph"/>
              <w:spacing w:line="227" w:lineRule="exact"/>
              <w:ind w:right="104"/>
              <w:rPr>
                <w:sz w:val="20"/>
              </w:rPr>
            </w:pPr>
            <w:r>
              <w:rPr>
                <w:sz w:val="20"/>
              </w:rPr>
              <w:t>características</w:t>
            </w:r>
          </w:p>
        </w:tc>
        <w:tc>
          <w:tcPr>
            <w:tcW w:w="1447" w:type="dxa"/>
          </w:tcPr>
          <w:p>
            <w:pPr>
              <w:pStyle w:val="TableParagraph"/>
              <w:tabs>
                <w:tab w:pos="1110" w:val="left" w:leader="none"/>
              </w:tabs>
              <w:spacing w:line="227" w:lineRule="exact"/>
              <w:rPr>
                <w:sz w:val="20"/>
              </w:rPr>
            </w:pPr>
            <w:r>
              <w:rPr>
                <w:sz w:val="20"/>
              </w:rPr>
              <w:t>%</w:t>
              <w:tab/>
              <w:t>de</w:t>
            </w:r>
          </w:p>
          <w:p>
            <w:pPr>
              <w:pStyle w:val="TableParagraph"/>
              <w:rPr>
                <w:sz w:val="20"/>
              </w:rPr>
            </w:pPr>
            <w:r>
              <w:rPr>
                <w:sz w:val="20"/>
              </w:rPr>
              <w:t>cumplimiento</w:t>
            </w:r>
          </w:p>
        </w:tc>
        <w:tc>
          <w:tcPr>
            <w:tcW w:w="2108" w:type="dxa"/>
          </w:tcPr>
          <w:p>
            <w:pPr>
              <w:pStyle w:val="TableParagraph"/>
              <w:spacing w:line="227" w:lineRule="exact"/>
              <w:ind w:left="100" w:right="105"/>
              <w:rPr>
                <w:sz w:val="20"/>
              </w:rPr>
            </w:pPr>
            <w:r>
              <w:rPr>
                <w:sz w:val="20"/>
              </w:rPr>
              <w:t>Observaciones</w:t>
            </w:r>
          </w:p>
        </w:tc>
        <w:tc>
          <w:tcPr>
            <w:tcW w:w="1529" w:type="dxa"/>
            <w:vMerge/>
            <w:tcBorders>
              <w:right w:val="double" w:sz="12" w:space="0" w:color="000000"/>
            </w:tcBorders>
          </w:tcPr>
          <w:p>
            <w:pPr/>
          </w:p>
        </w:tc>
      </w:tr>
      <w:tr>
        <w:trPr>
          <w:trHeight w:val="1433" w:hRule="exact"/>
        </w:trPr>
        <w:tc>
          <w:tcPr>
            <w:tcW w:w="954" w:type="dxa"/>
            <w:tcBorders>
              <w:left w:val="double" w:sz="11" w:space="0" w:color="000000"/>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1"/>
              </w:rPr>
            </w:pPr>
          </w:p>
          <w:p>
            <w:pPr>
              <w:pStyle w:val="TableParagraph"/>
              <w:ind w:left="230"/>
              <w:rPr>
                <w:sz w:val="20"/>
              </w:rPr>
            </w:pPr>
            <w:r>
              <w:rPr>
                <w:sz w:val="20"/>
              </w:rPr>
              <w:t>1400</w:t>
            </w:r>
          </w:p>
        </w:tc>
        <w:tc>
          <w:tcPr>
            <w:tcW w:w="1526" w:type="dxa"/>
            <w:tcBorders>
              <w:bottom w:val="single" w:sz="8" w:space="0" w:color="000000"/>
            </w:tcBorders>
          </w:tcPr>
          <w:p>
            <w:pPr/>
          </w:p>
        </w:tc>
        <w:tc>
          <w:tcPr>
            <w:tcW w:w="1416" w:type="dxa"/>
            <w:tcBorders>
              <w:bottom w:val="single" w:sz="8" w:space="0" w:color="000000"/>
            </w:tcBorders>
          </w:tcPr>
          <w:p>
            <w:pPr>
              <w:pStyle w:val="TableParagraph"/>
              <w:spacing w:line="227" w:lineRule="exact"/>
              <w:rPr>
                <w:sz w:val="20"/>
              </w:rPr>
            </w:pPr>
            <w:r>
              <w:rPr>
                <w:sz w:val="20"/>
              </w:rPr>
              <w:t>Ambiental</w:t>
            </w:r>
          </w:p>
        </w:tc>
        <w:tc>
          <w:tcPr>
            <w:tcW w:w="3841" w:type="dxa"/>
            <w:tcBorders>
              <w:bottom w:val="single" w:sz="8" w:space="0" w:color="000000"/>
            </w:tcBorders>
          </w:tcPr>
          <w:p>
            <w:pPr>
              <w:pStyle w:val="TableParagraph"/>
              <w:numPr>
                <w:ilvl w:val="0"/>
                <w:numId w:val="270"/>
              </w:numPr>
              <w:tabs>
                <w:tab w:pos="812" w:val="left" w:leader="none"/>
              </w:tabs>
              <w:spacing w:line="240" w:lineRule="auto" w:before="0" w:after="0"/>
              <w:ind w:left="281" w:right="104" w:hanging="142"/>
              <w:jc w:val="both"/>
              <w:rPr>
                <w:sz w:val="20"/>
              </w:rPr>
            </w:pPr>
            <w:r>
              <w:rPr>
                <w:sz w:val="20"/>
              </w:rPr>
              <w:t>Existe relación entre agua- ambiente-sociedad</w:t>
            </w:r>
          </w:p>
          <w:p>
            <w:pPr>
              <w:pStyle w:val="TableParagraph"/>
              <w:numPr>
                <w:ilvl w:val="0"/>
                <w:numId w:val="270"/>
              </w:numPr>
              <w:tabs>
                <w:tab w:pos="812" w:val="left" w:leader="none"/>
              </w:tabs>
              <w:spacing w:line="240" w:lineRule="auto" w:before="0" w:after="0"/>
              <w:ind w:left="281" w:right="106" w:hanging="142"/>
              <w:jc w:val="both"/>
              <w:rPr>
                <w:sz w:val="20"/>
              </w:rPr>
            </w:pPr>
            <w:r>
              <w:rPr>
                <w:sz w:val="20"/>
              </w:rPr>
              <w:t>Existe conciencia o interés en los actores históricos para cuidar el medio</w:t>
            </w:r>
            <w:r>
              <w:rPr>
                <w:spacing w:val="-5"/>
                <w:sz w:val="20"/>
              </w:rPr>
              <w:t> </w:t>
            </w:r>
            <w:r>
              <w:rPr>
                <w:sz w:val="20"/>
              </w:rPr>
              <w:t>ambiente</w:t>
            </w:r>
          </w:p>
          <w:p>
            <w:pPr>
              <w:pStyle w:val="TableParagraph"/>
              <w:numPr>
                <w:ilvl w:val="0"/>
                <w:numId w:val="270"/>
              </w:numPr>
              <w:tabs>
                <w:tab w:pos="811" w:val="left" w:leader="none"/>
                <w:tab w:pos="812" w:val="left" w:leader="none"/>
              </w:tabs>
              <w:spacing w:line="228" w:lineRule="exact" w:before="0" w:after="0"/>
              <w:ind w:left="811" w:right="0" w:hanging="672"/>
              <w:jc w:val="left"/>
              <w:rPr>
                <w:sz w:val="20"/>
              </w:rPr>
            </w:pPr>
            <w:r>
              <w:rPr>
                <w:sz w:val="20"/>
              </w:rPr>
              <w:t>Las   instituciones </w:t>
            </w:r>
            <w:r>
              <w:rPr>
                <w:spacing w:val="1"/>
                <w:sz w:val="20"/>
              </w:rPr>
              <w:t> </w:t>
            </w:r>
            <w:r>
              <w:rPr>
                <w:sz w:val="20"/>
              </w:rPr>
              <w:t>sociopolíticas</w:t>
            </w:r>
          </w:p>
        </w:tc>
        <w:tc>
          <w:tcPr>
            <w:tcW w:w="1447" w:type="dxa"/>
            <w:tcBorders>
              <w:bottom w:val="single" w:sz="8" w:space="0" w:color="000000"/>
            </w:tcBorders>
          </w:tcPr>
          <w:p>
            <w:pPr/>
          </w:p>
        </w:tc>
        <w:tc>
          <w:tcPr>
            <w:tcW w:w="2108" w:type="dxa"/>
            <w:tcBorders>
              <w:bottom w:val="single" w:sz="8" w:space="0" w:color="000000"/>
            </w:tcBorders>
          </w:tcPr>
          <w:p>
            <w:pPr>
              <w:pStyle w:val="TableParagraph"/>
              <w:tabs>
                <w:tab w:pos="1624" w:val="left" w:leader="none"/>
              </w:tabs>
              <w:ind w:left="100" w:right="105"/>
              <w:rPr>
                <w:b/>
                <w:sz w:val="20"/>
              </w:rPr>
            </w:pPr>
            <w:r>
              <w:rPr>
                <w:sz w:val="20"/>
              </w:rPr>
              <w:t>Debe reunir al </w:t>
            </w:r>
            <w:r>
              <w:rPr>
                <w:b/>
                <w:sz w:val="20"/>
              </w:rPr>
              <w:t>100% las</w:t>
              <w:tab/>
              <w:t>tres</w:t>
            </w:r>
          </w:p>
          <w:p>
            <w:pPr>
              <w:pStyle w:val="TableParagraph"/>
              <w:tabs>
                <w:tab w:pos="1767" w:val="left" w:leader="none"/>
              </w:tabs>
              <w:spacing w:before="3"/>
              <w:ind w:left="100" w:right="108"/>
              <w:rPr>
                <w:sz w:val="20"/>
              </w:rPr>
            </w:pPr>
            <w:r>
              <w:rPr>
                <w:sz w:val="20"/>
              </w:rPr>
              <w:t>características</w:t>
              <w:tab/>
              <w:t>de</w:t>
            </w:r>
            <w:r>
              <w:rPr>
                <w:w w:val="99"/>
                <w:sz w:val="20"/>
              </w:rPr>
              <w:t> </w:t>
            </w:r>
            <w:r>
              <w:rPr>
                <w:sz w:val="20"/>
              </w:rPr>
              <w:t>impacto</w:t>
            </w:r>
            <w:r>
              <w:rPr>
                <w:spacing w:val="-3"/>
                <w:sz w:val="20"/>
              </w:rPr>
              <w:t> </w:t>
            </w:r>
            <w:r>
              <w:rPr>
                <w:sz w:val="20"/>
              </w:rPr>
              <w:t>positivo</w:t>
            </w:r>
          </w:p>
        </w:tc>
        <w:tc>
          <w:tcPr>
            <w:tcW w:w="1529" w:type="dxa"/>
            <w:tcBorders>
              <w:bottom w:val="single" w:sz="8" w:space="0" w:color="000000"/>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6"/>
        <w:gridCol w:w="1477"/>
        <w:gridCol w:w="933"/>
        <w:gridCol w:w="691"/>
        <w:gridCol w:w="740"/>
        <w:gridCol w:w="1447"/>
        <w:gridCol w:w="766"/>
        <w:gridCol w:w="878"/>
        <w:gridCol w:w="464"/>
        <w:gridCol w:w="1529"/>
      </w:tblGrid>
      <w:tr>
        <w:trPr>
          <w:trHeight w:val="871" w:hRule="exact"/>
        </w:trPr>
        <w:tc>
          <w:tcPr>
            <w:tcW w:w="954" w:type="dxa"/>
            <w:tcBorders>
              <w:left w:val="double" w:sz="11" w:space="0" w:color="000000"/>
            </w:tcBorders>
          </w:tcPr>
          <w:p>
            <w:pPr>
              <w:pStyle w:val="TableParagraph"/>
              <w:spacing w:before="5"/>
              <w:ind w:left="0"/>
              <w:rPr>
                <w:rFonts w:ascii="Times New Roman"/>
                <w:sz w:val="27"/>
              </w:rPr>
            </w:pPr>
          </w:p>
          <w:p>
            <w:pPr>
              <w:pStyle w:val="TableParagraph"/>
              <w:spacing w:before="1"/>
              <w:ind w:left="209" w:right="212"/>
              <w:jc w:val="center"/>
              <w:rPr>
                <w:sz w:val="20"/>
              </w:rPr>
            </w:pPr>
            <w:r>
              <w:rPr>
                <w:sz w:val="20"/>
              </w:rPr>
              <w:t>1519</w:t>
            </w:r>
          </w:p>
        </w:tc>
        <w:tc>
          <w:tcPr>
            <w:tcW w:w="152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0" w:right="2"/>
              <w:jc w:val="center"/>
              <w:rPr>
                <w:b/>
                <w:sz w:val="20"/>
              </w:rPr>
            </w:pPr>
            <w:r>
              <w:rPr>
                <w:b/>
                <w:w w:val="99"/>
                <w:sz w:val="20"/>
              </w:rPr>
              <w:t>1</w:t>
            </w:r>
          </w:p>
        </w:tc>
        <w:tc>
          <w:tcPr>
            <w:tcW w:w="1416" w:type="dxa"/>
            <w:vMerge w:val="restart"/>
          </w:tcPr>
          <w:p>
            <w:pPr/>
          </w:p>
        </w:tc>
        <w:tc>
          <w:tcPr>
            <w:tcW w:w="3841" w:type="dxa"/>
            <w:gridSpan w:val="4"/>
            <w:vMerge w:val="restart"/>
          </w:tcPr>
          <w:p>
            <w:pPr>
              <w:pStyle w:val="TableParagraph"/>
              <w:spacing w:before="7"/>
              <w:ind w:left="281" w:right="106"/>
              <w:jc w:val="both"/>
              <w:rPr>
                <w:sz w:val="20"/>
              </w:rPr>
            </w:pPr>
            <w:r>
              <w:rPr>
                <w:sz w:val="20"/>
              </w:rPr>
              <w:t>como El Municipio y El Ejido están interesadas en proteger el medio ambiente</w:t>
            </w:r>
          </w:p>
          <w:p>
            <w:pPr>
              <w:pStyle w:val="TableParagraph"/>
              <w:numPr>
                <w:ilvl w:val="0"/>
                <w:numId w:val="271"/>
              </w:numPr>
              <w:tabs>
                <w:tab w:pos="811" w:val="left" w:leader="none"/>
                <w:tab w:pos="812" w:val="left" w:leader="none"/>
              </w:tabs>
              <w:spacing w:line="240" w:lineRule="auto" w:before="0" w:after="0"/>
              <w:ind w:left="281" w:right="103" w:hanging="142"/>
              <w:jc w:val="left"/>
              <w:rPr>
                <w:sz w:val="20"/>
              </w:rPr>
            </w:pPr>
            <w:r>
              <w:rPr>
                <w:sz w:val="20"/>
              </w:rPr>
              <w:t>Existe planeación ambiental con articulación entre</w:t>
            </w:r>
            <w:r>
              <w:rPr>
                <w:spacing w:val="-11"/>
                <w:sz w:val="20"/>
              </w:rPr>
              <w:t> </w:t>
            </w:r>
            <w:r>
              <w:rPr>
                <w:sz w:val="20"/>
              </w:rPr>
              <w:t>actores</w:t>
            </w:r>
          </w:p>
        </w:tc>
        <w:tc>
          <w:tcPr>
            <w:tcW w:w="1447"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20"/>
              </w:rPr>
            </w:pPr>
          </w:p>
          <w:p>
            <w:pPr>
              <w:pStyle w:val="TableParagraph"/>
              <w:spacing w:before="1"/>
              <w:ind w:left="463"/>
              <w:rPr>
                <w:sz w:val="20"/>
              </w:rPr>
            </w:pPr>
            <w:r>
              <w:rPr>
                <w:sz w:val="20"/>
              </w:rPr>
              <w:t>100%</w:t>
            </w:r>
          </w:p>
        </w:tc>
        <w:tc>
          <w:tcPr>
            <w:tcW w:w="2108" w:type="dxa"/>
            <w:gridSpan w:val="3"/>
            <w:vMerge w:val="restart"/>
          </w:tcPr>
          <w:p>
            <w:pPr/>
          </w:p>
        </w:tc>
        <w:tc>
          <w:tcPr>
            <w:tcW w:w="1529"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273"/>
              <w:rPr>
                <w:b/>
                <w:sz w:val="20"/>
              </w:rPr>
            </w:pPr>
            <w:r>
              <w:rPr>
                <w:b/>
                <w:sz w:val="20"/>
              </w:rPr>
              <w:t>Excelente</w:t>
            </w:r>
          </w:p>
        </w:tc>
      </w:tr>
      <w:tr>
        <w:trPr>
          <w:trHeight w:val="413" w:hRule="exact"/>
        </w:trPr>
        <w:tc>
          <w:tcPr>
            <w:tcW w:w="954" w:type="dxa"/>
            <w:vMerge w:val="restart"/>
            <w:tcBorders>
              <w:left w:val="double" w:sz="11" w:space="0" w:color="000000"/>
            </w:tcBorders>
          </w:tcPr>
          <w:p>
            <w:pPr/>
          </w:p>
        </w:tc>
        <w:tc>
          <w:tcPr>
            <w:tcW w:w="1526" w:type="dxa"/>
            <w:vMerge/>
          </w:tcPr>
          <w:p>
            <w:pPr/>
          </w:p>
        </w:tc>
        <w:tc>
          <w:tcPr>
            <w:tcW w:w="1416" w:type="dxa"/>
            <w:vMerge/>
          </w:tcPr>
          <w:p>
            <w:pPr/>
          </w:p>
        </w:tc>
        <w:tc>
          <w:tcPr>
            <w:tcW w:w="3841" w:type="dxa"/>
            <w:gridSpan w:val="4"/>
            <w:vMerge/>
          </w:tcPr>
          <w:p>
            <w:pPr/>
          </w:p>
        </w:tc>
        <w:tc>
          <w:tcPr>
            <w:tcW w:w="1447" w:type="dxa"/>
            <w:vMerge/>
          </w:tcPr>
          <w:p>
            <w:pPr/>
          </w:p>
        </w:tc>
        <w:tc>
          <w:tcPr>
            <w:tcW w:w="2108" w:type="dxa"/>
            <w:gridSpan w:val="3"/>
            <w:vMerge/>
          </w:tcPr>
          <w:p>
            <w:pPr/>
          </w:p>
        </w:tc>
        <w:tc>
          <w:tcPr>
            <w:tcW w:w="1529" w:type="dxa"/>
            <w:vMerge/>
            <w:tcBorders>
              <w:right w:val="double" w:sz="12" w:space="0" w:color="000000"/>
            </w:tcBorders>
            <w:shd w:val="clear" w:color="auto" w:fill="00FF00"/>
          </w:tcPr>
          <w:p>
            <w:pPr/>
          </w:p>
        </w:tc>
      </w:tr>
      <w:tr>
        <w:trPr>
          <w:trHeight w:val="3462"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27" w:lineRule="exact"/>
              <w:rPr>
                <w:sz w:val="20"/>
              </w:rPr>
            </w:pPr>
            <w:r>
              <w:rPr>
                <w:sz w:val="20"/>
              </w:rPr>
              <w:t>Económico</w:t>
            </w:r>
          </w:p>
        </w:tc>
        <w:tc>
          <w:tcPr>
            <w:tcW w:w="3841" w:type="dxa"/>
            <w:gridSpan w:val="4"/>
          </w:tcPr>
          <w:p>
            <w:pPr>
              <w:pStyle w:val="TableParagraph"/>
              <w:numPr>
                <w:ilvl w:val="0"/>
                <w:numId w:val="272"/>
              </w:numPr>
              <w:tabs>
                <w:tab w:pos="812" w:val="left" w:leader="none"/>
              </w:tabs>
              <w:spacing w:line="240" w:lineRule="auto" w:before="0" w:after="0"/>
              <w:ind w:left="281" w:right="105" w:hanging="142"/>
              <w:jc w:val="both"/>
              <w:rPr>
                <w:sz w:val="20"/>
              </w:rPr>
            </w:pPr>
            <w:r>
              <w:rPr>
                <w:sz w:val="20"/>
              </w:rPr>
              <w:t>Existe una dependencia económica de los recursos naturales por parte de los actores de la CHPH como la comida</w:t>
            </w:r>
            <w:r>
              <w:rPr>
                <w:spacing w:val="-8"/>
                <w:sz w:val="20"/>
              </w:rPr>
              <w:t> </w:t>
            </w:r>
            <w:r>
              <w:rPr>
                <w:sz w:val="20"/>
              </w:rPr>
              <w:t>lacustre</w:t>
            </w:r>
          </w:p>
          <w:p>
            <w:pPr>
              <w:pStyle w:val="TableParagraph"/>
              <w:numPr>
                <w:ilvl w:val="0"/>
                <w:numId w:val="272"/>
              </w:numPr>
              <w:tabs>
                <w:tab w:pos="812" w:val="left" w:leader="none"/>
              </w:tabs>
              <w:spacing w:line="240" w:lineRule="auto" w:before="0" w:after="0"/>
              <w:ind w:left="281" w:right="105" w:hanging="142"/>
              <w:jc w:val="both"/>
              <w:rPr>
                <w:sz w:val="20"/>
              </w:rPr>
            </w:pPr>
            <w:r>
              <w:rPr>
                <w:sz w:val="20"/>
              </w:rPr>
              <w:t>La agricultura y la ganadería son la ventaja comparativa histórica de la CHPH</w:t>
            </w:r>
          </w:p>
          <w:p>
            <w:pPr>
              <w:pStyle w:val="TableParagraph"/>
              <w:numPr>
                <w:ilvl w:val="0"/>
                <w:numId w:val="272"/>
              </w:numPr>
              <w:tabs>
                <w:tab w:pos="812" w:val="left" w:leader="none"/>
              </w:tabs>
              <w:spacing w:line="240" w:lineRule="auto" w:before="0" w:after="0"/>
              <w:ind w:left="281" w:right="105" w:hanging="142"/>
              <w:jc w:val="both"/>
              <w:rPr>
                <w:sz w:val="20"/>
              </w:rPr>
            </w:pPr>
            <w:r>
              <w:rPr>
                <w:sz w:val="20"/>
              </w:rPr>
              <w:t>Existe una vinculación económica de los actores de la CHPH con la presa</w:t>
            </w:r>
            <w:r>
              <w:rPr>
                <w:spacing w:val="-9"/>
                <w:sz w:val="20"/>
              </w:rPr>
              <w:t> </w:t>
            </w:r>
            <w:r>
              <w:rPr>
                <w:sz w:val="20"/>
              </w:rPr>
              <w:t>Huapango</w:t>
            </w:r>
          </w:p>
          <w:p>
            <w:pPr>
              <w:pStyle w:val="TableParagraph"/>
              <w:numPr>
                <w:ilvl w:val="0"/>
                <w:numId w:val="272"/>
              </w:numPr>
              <w:tabs>
                <w:tab w:pos="812" w:val="left" w:leader="none"/>
              </w:tabs>
              <w:spacing w:line="240" w:lineRule="auto" w:before="0" w:after="0"/>
              <w:ind w:left="281" w:right="102" w:hanging="142"/>
              <w:jc w:val="both"/>
              <w:rPr>
                <w:sz w:val="20"/>
              </w:rPr>
            </w:pPr>
            <w:r>
              <w:rPr>
                <w:sz w:val="20"/>
              </w:rPr>
              <w:t>Existen grupos económicos consolidados a través de la historia en la</w:t>
            </w:r>
            <w:r>
              <w:rPr>
                <w:spacing w:val="-5"/>
                <w:sz w:val="20"/>
              </w:rPr>
              <w:t> </w:t>
            </w:r>
            <w:r>
              <w:rPr>
                <w:sz w:val="20"/>
              </w:rPr>
              <w:t>CHPH</w:t>
            </w:r>
          </w:p>
          <w:p>
            <w:pPr>
              <w:pStyle w:val="TableParagraph"/>
              <w:numPr>
                <w:ilvl w:val="0"/>
                <w:numId w:val="272"/>
              </w:numPr>
              <w:tabs>
                <w:tab w:pos="812" w:val="left" w:leader="none"/>
              </w:tabs>
              <w:spacing w:line="240" w:lineRule="auto" w:before="0" w:after="0"/>
              <w:ind w:left="281" w:right="101" w:hanging="142"/>
              <w:jc w:val="both"/>
              <w:rPr>
                <w:sz w:val="20"/>
              </w:rPr>
            </w:pPr>
            <w:r>
              <w:rPr>
                <w:sz w:val="20"/>
              </w:rPr>
              <w:t>Existe planeación económica con articulación entre</w:t>
            </w:r>
            <w:r>
              <w:rPr>
                <w:spacing w:val="-7"/>
                <w:sz w:val="20"/>
              </w:rPr>
              <w:t> </w:t>
            </w:r>
            <w:r>
              <w:rPr>
                <w:sz w:val="20"/>
              </w:rPr>
              <w:t>actores</w:t>
            </w:r>
          </w:p>
        </w:tc>
        <w:tc>
          <w:tcPr>
            <w:tcW w:w="1447" w:type="dxa"/>
            <w:vMerge/>
          </w:tcPr>
          <w:p>
            <w:pPr/>
          </w:p>
        </w:tc>
        <w:tc>
          <w:tcPr>
            <w:tcW w:w="2108" w:type="dxa"/>
            <w:gridSpan w:val="3"/>
            <w:vMerge/>
          </w:tcPr>
          <w:p>
            <w:pPr/>
          </w:p>
        </w:tc>
        <w:tc>
          <w:tcPr>
            <w:tcW w:w="1529" w:type="dxa"/>
            <w:vMerge/>
            <w:tcBorders>
              <w:right w:val="double" w:sz="12" w:space="0" w:color="000000"/>
            </w:tcBorders>
            <w:shd w:val="clear" w:color="auto" w:fill="00FF00"/>
          </w:tcPr>
          <w:p>
            <w:pPr/>
          </w:p>
        </w:tc>
      </w:tr>
      <w:tr>
        <w:trPr>
          <w:trHeight w:val="3689"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27" w:lineRule="exact"/>
              <w:rPr>
                <w:sz w:val="20"/>
              </w:rPr>
            </w:pPr>
            <w:r>
              <w:rPr>
                <w:sz w:val="20"/>
              </w:rPr>
              <w:t>Sociopolítico</w:t>
            </w:r>
          </w:p>
        </w:tc>
        <w:tc>
          <w:tcPr>
            <w:tcW w:w="3841" w:type="dxa"/>
            <w:gridSpan w:val="4"/>
          </w:tcPr>
          <w:p>
            <w:pPr>
              <w:pStyle w:val="TableParagraph"/>
              <w:numPr>
                <w:ilvl w:val="0"/>
                <w:numId w:val="273"/>
              </w:numPr>
              <w:tabs>
                <w:tab w:pos="812" w:val="left" w:leader="none"/>
              </w:tabs>
              <w:spacing w:line="240" w:lineRule="auto" w:before="0" w:after="0"/>
              <w:ind w:left="281" w:right="105" w:hanging="142"/>
              <w:jc w:val="both"/>
              <w:rPr>
                <w:sz w:val="20"/>
              </w:rPr>
            </w:pPr>
            <w:r>
              <w:rPr>
                <w:sz w:val="20"/>
              </w:rPr>
              <w:t>Las instituciones políticas  que se han creado a través del tiempo como El Municipio y El Ejido  favorecen el desarrollo económico de los actores históricos de la</w:t>
            </w:r>
            <w:r>
              <w:rPr>
                <w:spacing w:val="-9"/>
                <w:sz w:val="20"/>
              </w:rPr>
              <w:t> </w:t>
            </w:r>
            <w:r>
              <w:rPr>
                <w:sz w:val="20"/>
              </w:rPr>
              <w:t>CHPH.</w:t>
            </w:r>
          </w:p>
          <w:p>
            <w:pPr>
              <w:pStyle w:val="TableParagraph"/>
              <w:numPr>
                <w:ilvl w:val="0"/>
                <w:numId w:val="273"/>
              </w:numPr>
              <w:tabs>
                <w:tab w:pos="812" w:val="left" w:leader="none"/>
              </w:tabs>
              <w:spacing w:line="240" w:lineRule="auto" w:before="0" w:after="0"/>
              <w:ind w:left="281" w:right="107" w:hanging="142"/>
              <w:jc w:val="both"/>
              <w:rPr>
                <w:sz w:val="20"/>
              </w:rPr>
            </w:pPr>
            <w:r>
              <w:rPr>
                <w:sz w:val="20"/>
              </w:rPr>
              <w:t>Los grupos de actores históricos son producto de las estructuras históricas</w:t>
            </w:r>
            <w:r>
              <w:rPr>
                <w:spacing w:val="-9"/>
                <w:sz w:val="20"/>
              </w:rPr>
              <w:t> </w:t>
            </w:r>
            <w:r>
              <w:rPr>
                <w:sz w:val="20"/>
              </w:rPr>
              <w:t>sociopolíticas</w:t>
            </w:r>
          </w:p>
          <w:p>
            <w:pPr>
              <w:pStyle w:val="TableParagraph"/>
              <w:numPr>
                <w:ilvl w:val="0"/>
                <w:numId w:val="273"/>
              </w:numPr>
              <w:tabs>
                <w:tab w:pos="812" w:val="left" w:leader="none"/>
              </w:tabs>
              <w:spacing w:line="240" w:lineRule="auto" w:before="0" w:after="0"/>
              <w:ind w:left="281" w:right="105" w:hanging="142"/>
              <w:jc w:val="both"/>
              <w:rPr>
                <w:sz w:val="20"/>
              </w:rPr>
            </w:pPr>
            <w:r>
              <w:rPr>
                <w:sz w:val="20"/>
              </w:rPr>
              <w:t>La CHPH es producto de la articulación de eventos históricos en la región</w:t>
            </w:r>
          </w:p>
          <w:p>
            <w:pPr>
              <w:pStyle w:val="TableParagraph"/>
              <w:numPr>
                <w:ilvl w:val="0"/>
                <w:numId w:val="273"/>
              </w:numPr>
              <w:tabs>
                <w:tab w:pos="463" w:val="left" w:leader="none"/>
                <w:tab w:pos="464" w:val="left" w:leader="none"/>
              </w:tabs>
              <w:spacing w:line="240" w:lineRule="auto" w:before="1" w:after="0"/>
              <w:ind w:left="463" w:right="0" w:hanging="360"/>
              <w:jc w:val="left"/>
              <w:rPr>
                <w:sz w:val="20"/>
              </w:rPr>
            </w:pPr>
            <w:r>
              <w:rPr>
                <w:sz w:val="20"/>
              </w:rPr>
              <w:t>Favorece la</w:t>
            </w:r>
            <w:r>
              <w:rPr>
                <w:spacing w:val="-8"/>
                <w:sz w:val="20"/>
              </w:rPr>
              <w:t> </w:t>
            </w:r>
            <w:r>
              <w:rPr>
                <w:sz w:val="20"/>
              </w:rPr>
              <w:t>GIRH</w:t>
            </w:r>
          </w:p>
          <w:p>
            <w:pPr>
              <w:pStyle w:val="TableParagraph"/>
              <w:numPr>
                <w:ilvl w:val="0"/>
                <w:numId w:val="273"/>
              </w:numPr>
              <w:tabs>
                <w:tab w:pos="463" w:val="left" w:leader="none"/>
                <w:tab w:pos="464" w:val="left" w:leader="none"/>
              </w:tabs>
              <w:spacing w:line="240" w:lineRule="auto"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273"/>
              </w:numPr>
              <w:tabs>
                <w:tab w:pos="463" w:val="left" w:leader="none"/>
                <w:tab w:pos="464" w:val="left" w:leader="none"/>
              </w:tabs>
              <w:spacing w:line="229" w:lineRule="exact"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273"/>
              </w:numPr>
              <w:tabs>
                <w:tab w:pos="463" w:val="left" w:leader="none"/>
                <w:tab w:pos="464" w:val="left" w:leader="none"/>
              </w:tabs>
              <w:spacing w:line="240" w:lineRule="auto" w:before="0" w:after="0"/>
              <w:ind w:left="463" w:right="107" w:hanging="360"/>
              <w:jc w:val="left"/>
              <w:rPr>
                <w:sz w:val="20"/>
              </w:rPr>
            </w:pPr>
            <w:r>
              <w:rPr>
                <w:sz w:val="20"/>
              </w:rPr>
              <w:t>Existe planeación sociopolítica con articulación entre</w:t>
            </w:r>
            <w:r>
              <w:rPr>
                <w:spacing w:val="-10"/>
                <w:sz w:val="20"/>
              </w:rPr>
              <w:t> </w:t>
            </w:r>
            <w:r>
              <w:rPr>
                <w:sz w:val="20"/>
              </w:rPr>
              <w:t>actores</w:t>
            </w:r>
          </w:p>
        </w:tc>
        <w:tc>
          <w:tcPr>
            <w:tcW w:w="1447" w:type="dxa"/>
            <w:vMerge/>
          </w:tcPr>
          <w:p>
            <w:pPr/>
          </w:p>
        </w:tc>
        <w:tc>
          <w:tcPr>
            <w:tcW w:w="2108" w:type="dxa"/>
            <w:gridSpan w:val="3"/>
            <w:vMerge/>
          </w:tcPr>
          <w:p>
            <w:pPr/>
          </w:p>
        </w:tc>
        <w:tc>
          <w:tcPr>
            <w:tcW w:w="1529" w:type="dxa"/>
            <w:vMerge/>
            <w:tcBorders>
              <w:right w:val="double" w:sz="12" w:space="0" w:color="000000"/>
            </w:tcBorders>
            <w:shd w:val="clear" w:color="auto" w:fill="00FF00"/>
          </w:tcPr>
          <w:p>
            <w:pPr/>
          </w:p>
        </w:tc>
      </w:tr>
      <w:tr>
        <w:trPr>
          <w:trHeight w:val="240" w:hRule="exact"/>
        </w:trPr>
        <w:tc>
          <w:tcPr>
            <w:tcW w:w="954" w:type="dxa"/>
            <w:tcBorders>
              <w:left w:val="double" w:sz="11" w:space="0" w:color="000000"/>
              <w:bottom w:val="single" w:sz="8" w:space="0" w:color="000000"/>
            </w:tcBorders>
          </w:tcPr>
          <w:p>
            <w:pPr>
              <w:pStyle w:val="TableParagraph"/>
              <w:spacing w:line="227" w:lineRule="exact"/>
              <w:ind w:left="209" w:right="212"/>
              <w:jc w:val="center"/>
              <w:rPr>
                <w:sz w:val="20"/>
              </w:rPr>
            </w:pPr>
            <w:r>
              <w:rPr>
                <w:sz w:val="20"/>
              </w:rPr>
              <w:t>1580</w:t>
            </w:r>
          </w:p>
        </w:tc>
        <w:tc>
          <w:tcPr>
            <w:tcW w:w="1526" w:type="dxa"/>
            <w:tcBorders>
              <w:bottom w:val="single" w:sz="8" w:space="0" w:color="000000"/>
            </w:tcBorders>
          </w:tcPr>
          <w:p>
            <w:pPr/>
          </w:p>
        </w:tc>
        <w:tc>
          <w:tcPr>
            <w:tcW w:w="1416" w:type="dxa"/>
            <w:tcBorders>
              <w:bottom w:val="single" w:sz="8" w:space="0" w:color="000000"/>
            </w:tcBorders>
          </w:tcPr>
          <w:p>
            <w:pPr>
              <w:pStyle w:val="TableParagraph"/>
              <w:spacing w:line="227" w:lineRule="exact"/>
              <w:rPr>
                <w:sz w:val="20"/>
              </w:rPr>
            </w:pPr>
            <w:r>
              <w:rPr>
                <w:sz w:val="20"/>
              </w:rPr>
              <w:t>Ambiental</w:t>
            </w:r>
          </w:p>
        </w:tc>
        <w:tc>
          <w:tcPr>
            <w:tcW w:w="1477" w:type="dxa"/>
            <w:tcBorders>
              <w:bottom w:val="single" w:sz="8" w:space="0" w:color="000000"/>
              <w:right w:val="nil"/>
            </w:tcBorders>
          </w:tcPr>
          <w:p>
            <w:pPr>
              <w:pStyle w:val="TableParagraph"/>
              <w:numPr>
                <w:ilvl w:val="0"/>
                <w:numId w:val="274"/>
              </w:numPr>
              <w:tabs>
                <w:tab w:pos="811" w:val="left" w:leader="none"/>
                <w:tab w:pos="812" w:val="left" w:leader="none"/>
              </w:tabs>
              <w:spacing w:line="227" w:lineRule="exact" w:before="0" w:after="0"/>
              <w:ind w:left="811" w:right="0" w:hanging="672"/>
              <w:jc w:val="left"/>
              <w:rPr>
                <w:sz w:val="20"/>
              </w:rPr>
            </w:pPr>
            <w:r>
              <w:rPr>
                <w:sz w:val="20"/>
              </w:rPr>
              <w:t>Existe</w:t>
            </w:r>
          </w:p>
        </w:tc>
        <w:tc>
          <w:tcPr>
            <w:tcW w:w="933" w:type="dxa"/>
            <w:tcBorders>
              <w:left w:val="nil"/>
              <w:bottom w:val="single" w:sz="8" w:space="0" w:color="000000"/>
              <w:right w:val="nil"/>
            </w:tcBorders>
          </w:tcPr>
          <w:p>
            <w:pPr>
              <w:pStyle w:val="TableParagraph"/>
              <w:spacing w:line="227" w:lineRule="exact"/>
              <w:ind w:left="117"/>
              <w:rPr>
                <w:sz w:val="20"/>
              </w:rPr>
            </w:pPr>
            <w:r>
              <w:rPr>
                <w:sz w:val="20"/>
              </w:rPr>
              <w:t>relación</w:t>
            </w:r>
          </w:p>
        </w:tc>
        <w:tc>
          <w:tcPr>
            <w:tcW w:w="691" w:type="dxa"/>
            <w:tcBorders>
              <w:left w:val="nil"/>
              <w:bottom w:val="single" w:sz="8" w:space="0" w:color="000000"/>
              <w:right w:val="nil"/>
            </w:tcBorders>
          </w:tcPr>
          <w:p>
            <w:pPr>
              <w:pStyle w:val="TableParagraph"/>
              <w:spacing w:line="227" w:lineRule="exact"/>
              <w:ind w:left="117"/>
              <w:rPr>
                <w:sz w:val="20"/>
              </w:rPr>
            </w:pPr>
            <w:r>
              <w:rPr>
                <w:sz w:val="20"/>
              </w:rPr>
              <w:t>entre</w:t>
            </w:r>
          </w:p>
        </w:tc>
        <w:tc>
          <w:tcPr>
            <w:tcW w:w="740" w:type="dxa"/>
            <w:tcBorders>
              <w:left w:val="nil"/>
              <w:bottom w:val="single" w:sz="8" w:space="0" w:color="000000"/>
            </w:tcBorders>
          </w:tcPr>
          <w:p>
            <w:pPr>
              <w:pStyle w:val="TableParagraph"/>
              <w:spacing w:line="227" w:lineRule="exact"/>
              <w:ind w:left="118"/>
              <w:rPr>
                <w:sz w:val="20"/>
              </w:rPr>
            </w:pPr>
            <w:r>
              <w:rPr>
                <w:sz w:val="20"/>
              </w:rPr>
              <w:t>agua-</w:t>
            </w:r>
          </w:p>
        </w:tc>
        <w:tc>
          <w:tcPr>
            <w:tcW w:w="1447" w:type="dxa"/>
            <w:tcBorders>
              <w:bottom w:val="single" w:sz="8" w:space="0" w:color="000000"/>
            </w:tcBorders>
          </w:tcPr>
          <w:p>
            <w:pPr/>
          </w:p>
        </w:tc>
        <w:tc>
          <w:tcPr>
            <w:tcW w:w="766" w:type="dxa"/>
            <w:tcBorders>
              <w:bottom w:val="single" w:sz="8" w:space="0" w:color="000000"/>
              <w:right w:val="nil"/>
            </w:tcBorders>
          </w:tcPr>
          <w:p>
            <w:pPr>
              <w:pStyle w:val="TableParagraph"/>
              <w:spacing w:line="225" w:lineRule="exact"/>
              <w:ind w:left="100"/>
              <w:rPr>
                <w:sz w:val="20"/>
              </w:rPr>
            </w:pPr>
            <w:r>
              <w:rPr>
                <w:sz w:val="20"/>
              </w:rPr>
              <w:t>Debe</w:t>
            </w:r>
          </w:p>
        </w:tc>
        <w:tc>
          <w:tcPr>
            <w:tcW w:w="878" w:type="dxa"/>
            <w:tcBorders>
              <w:left w:val="nil"/>
              <w:bottom w:val="single" w:sz="8" w:space="0" w:color="000000"/>
              <w:right w:val="nil"/>
            </w:tcBorders>
          </w:tcPr>
          <w:p>
            <w:pPr>
              <w:pStyle w:val="TableParagraph"/>
              <w:spacing w:line="225" w:lineRule="exact"/>
              <w:ind w:left="184"/>
              <w:rPr>
                <w:sz w:val="20"/>
              </w:rPr>
            </w:pPr>
            <w:r>
              <w:rPr>
                <w:sz w:val="20"/>
              </w:rPr>
              <w:t>reunir</w:t>
            </w:r>
          </w:p>
        </w:tc>
        <w:tc>
          <w:tcPr>
            <w:tcW w:w="464" w:type="dxa"/>
            <w:tcBorders>
              <w:left w:val="nil"/>
              <w:bottom w:val="single" w:sz="8" w:space="0" w:color="000000"/>
            </w:tcBorders>
          </w:tcPr>
          <w:p>
            <w:pPr>
              <w:pStyle w:val="TableParagraph"/>
              <w:spacing w:line="225" w:lineRule="exact"/>
              <w:ind w:left="184"/>
              <w:rPr>
                <w:b/>
                <w:sz w:val="20"/>
              </w:rPr>
            </w:pPr>
            <w:r>
              <w:rPr>
                <w:b/>
                <w:sz w:val="20"/>
              </w:rPr>
              <w:t>al</w:t>
            </w:r>
          </w:p>
        </w:tc>
        <w:tc>
          <w:tcPr>
            <w:tcW w:w="1529" w:type="dxa"/>
            <w:tcBorders>
              <w:bottom w:val="single" w:sz="8" w:space="0" w:color="000000"/>
              <w:right w:val="double" w:sz="12" w:space="0" w:color="000000"/>
            </w:tcBorders>
          </w:tcPr>
          <w:p>
            <w:pPr>
              <w:pStyle w:val="TableParagraph"/>
              <w:spacing w:line="230" w:lineRule="exact"/>
              <w:ind w:left="0" w:right="-50"/>
              <w:rPr>
                <w:rFonts w:ascii="Times New Roman"/>
                <w:sz w:val="20"/>
              </w:rPr>
            </w:pPr>
            <w:r>
              <w:rPr>
                <w:rFonts w:ascii="Times New Roman"/>
                <w:position w:val="-4"/>
                <w:sz w:val="20"/>
              </w:rPr>
              <w:pict>
                <v:group style="width:74.05pt;height:11.55pt;mso-position-horizontal-relative:char;mso-position-vertical-relative:line" coordorigin="0,0" coordsize="1481,231">
                  <v:shape style="position:absolute;left:0;top:0;width:1481;height:230" type="#_x0000_t75" stroked="false">
                    <v:imagedata r:id="rId499" o:title=""/>
                  </v:shape>
                  <v:shape style="position:absolute;left:103;top:0;width:1274;height:230" type="#_x0000_t75" stroked="false">
                    <v:imagedata r:id="rId500" o:title=""/>
                  </v:shape>
                </v:group>
              </w:pict>
            </w:r>
            <w:r>
              <w:rPr>
                <w:rFonts w:ascii="Times New Roman"/>
                <w:position w:val="-4"/>
                <w:sz w:val="20"/>
              </w:rPr>
            </w:r>
          </w:p>
        </w:tc>
      </w:tr>
    </w:tbl>
    <w:p>
      <w:pPr>
        <w:spacing w:after="0" w:line="230" w:lineRule="exact"/>
        <w:rPr>
          <w:rFonts w:ascii="Times New Roman"/>
          <w:sz w:val="20"/>
        </w:rPr>
        <w:sectPr>
          <w:pgSz w:w="15840" w:h="12240" w:orient="landscape"/>
          <w:pgMar w:header="0" w:footer="943" w:top="1140" w:bottom="1140" w:left="1200" w:right="1300"/>
        </w:sectPr>
      </w:pPr>
    </w:p>
    <w:p>
      <w:pPr>
        <w:pStyle w:val="BodyText"/>
        <w:rPr>
          <w:rFonts w:ascii="Times New Roman"/>
          <w:sz w:val="20"/>
        </w:rPr>
      </w:pPr>
      <w:r>
        <w:rPr/>
        <w:pict>
          <v:group style="position:absolute;margin-left:632.26001pt;margin-top:86.059998pt;width:74.05pt;height:438.1pt;mso-position-horizontal-relative:page;mso-position-vertical-relative:page;z-index:-3328624" coordorigin="12645,1721" coordsize="1481,8762">
            <v:shape style="position:absolute;left:12645;top:1721;width:1481;height:8761" type="#_x0000_t75" stroked="false">
              <v:imagedata r:id="rId501" o:title=""/>
            </v:shape>
            <v:shape style="position:absolute;left:12748;top:1721;width:1274;height:230" type="#_x0000_t75" stroked="false">
              <v:imagedata r:id="rId502" o:title=""/>
            </v:shape>
            <v:shape style="position:absolute;left:12748;top:1952;width:1274;height:230" type="#_x0000_t75" stroked="false">
              <v:imagedata r:id="rId503" o:title=""/>
            </v:shape>
            <v:shape style="position:absolute;left:12748;top:2182;width:1274;height:230" type="#_x0000_t75" stroked="false">
              <v:imagedata r:id="rId504" o:title=""/>
            </v:shape>
            <v:shape style="position:absolute;left:12748;top:2412;width:1274;height:228" type="#_x0000_t75" stroked="false">
              <v:imagedata r:id="rId505" o:title=""/>
            </v:shape>
            <v:shape style="position:absolute;left:12748;top:2640;width:1274;height:230" type="#_x0000_t75" stroked="false">
              <v:imagedata r:id="rId506" o:title=""/>
            </v:shape>
            <v:shape style="position:absolute;left:12748;top:2871;width:1274;height:230" type="#_x0000_t75" stroked="false">
              <v:imagedata r:id="rId507" o:title=""/>
            </v:shape>
            <v:shape style="position:absolute;left:12748;top:3101;width:1274;height:230" type="#_x0000_t75" stroked="false">
              <v:imagedata r:id="rId508" o:title=""/>
            </v:shape>
            <v:shape style="position:absolute;left:12748;top:3332;width:1274;height:230" type="#_x0000_t75" stroked="false">
              <v:imagedata r:id="rId509" o:title=""/>
            </v:shape>
            <v:shape style="position:absolute;left:12748;top:3562;width:1274;height:230" type="#_x0000_t75" stroked="false">
              <v:imagedata r:id="rId510" o:title=""/>
            </v:shape>
            <v:shape style="position:absolute;left:12748;top:3793;width:1274;height:228" type="#_x0000_t75" stroked="false">
              <v:imagedata r:id="rId511" o:title=""/>
            </v:shape>
            <v:shape style="position:absolute;left:12748;top:4021;width:1274;height:230" type="#_x0000_t75" stroked="false">
              <v:imagedata r:id="rId512"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6"/>
        <w:gridCol w:w="3841"/>
        <w:gridCol w:w="1447"/>
        <w:gridCol w:w="2108"/>
        <w:gridCol w:w="1529"/>
      </w:tblGrid>
      <w:tr>
        <w:trPr>
          <w:trHeight w:val="250" w:hRule="exact"/>
        </w:trPr>
        <w:tc>
          <w:tcPr>
            <w:tcW w:w="954" w:type="dxa"/>
            <w:tcBorders>
              <w:left w:val="double" w:sz="11" w:space="0" w:color="000000"/>
              <w:bottom w:val="nil"/>
            </w:tcBorders>
          </w:tcPr>
          <w:p>
            <w:pPr/>
          </w:p>
        </w:tc>
        <w:tc>
          <w:tcPr>
            <w:tcW w:w="1526" w:type="dxa"/>
            <w:tcBorders>
              <w:bottom w:val="nil"/>
            </w:tcBorders>
          </w:tcPr>
          <w:p>
            <w:pPr/>
          </w:p>
        </w:tc>
        <w:tc>
          <w:tcPr>
            <w:tcW w:w="1416" w:type="dxa"/>
            <w:vMerge w:val="restart"/>
          </w:tcPr>
          <w:p>
            <w:pPr/>
          </w:p>
        </w:tc>
        <w:tc>
          <w:tcPr>
            <w:tcW w:w="3841" w:type="dxa"/>
            <w:vMerge w:val="restart"/>
          </w:tcPr>
          <w:p>
            <w:pPr>
              <w:pStyle w:val="TableParagraph"/>
              <w:spacing w:before="7"/>
              <w:ind w:left="281" w:right="104"/>
              <w:rPr>
                <w:sz w:val="20"/>
              </w:rPr>
            </w:pPr>
            <w:r>
              <w:rPr>
                <w:sz w:val="20"/>
              </w:rPr>
              <w:t>ambiente-sociedad</w:t>
            </w:r>
          </w:p>
          <w:p>
            <w:pPr>
              <w:pStyle w:val="TableParagraph"/>
              <w:numPr>
                <w:ilvl w:val="0"/>
                <w:numId w:val="275"/>
              </w:numPr>
              <w:tabs>
                <w:tab w:pos="812" w:val="left" w:leader="none"/>
              </w:tabs>
              <w:spacing w:line="240" w:lineRule="auto" w:before="0" w:after="0"/>
              <w:ind w:left="281" w:right="106" w:hanging="142"/>
              <w:jc w:val="both"/>
              <w:rPr>
                <w:sz w:val="20"/>
              </w:rPr>
            </w:pPr>
            <w:r>
              <w:rPr>
                <w:sz w:val="20"/>
              </w:rPr>
              <w:t>Existe conciencia o interés en los actores históricos para cuidar el medio</w:t>
            </w:r>
            <w:r>
              <w:rPr>
                <w:spacing w:val="-5"/>
                <w:sz w:val="20"/>
              </w:rPr>
              <w:t> </w:t>
            </w:r>
            <w:r>
              <w:rPr>
                <w:sz w:val="20"/>
              </w:rPr>
              <w:t>ambiente</w:t>
            </w:r>
          </w:p>
          <w:p>
            <w:pPr>
              <w:pStyle w:val="TableParagraph"/>
              <w:numPr>
                <w:ilvl w:val="0"/>
                <w:numId w:val="275"/>
              </w:numPr>
              <w:tabs>
                <w:tab w:pos="812" w:val="left" w:leader="none"/>
              </w:tabs>
              <w:spacing w:line="240" w:lineRule="auto" w:before="0" w:after="0"/>
              <w:ind w:left="281" w:right="105" w:hanging="142"/>
              <w:jc w:val="both"/>
              <w:rPr>
                <w:sz w:val="20"/>
              </w:rPr>
            </w:pPr>
            <w:r>
              <w:rPr>
                <w:sz w:val="20"/>
              </w:rPr>
              <w:t>Las instituciones sociopolíticas como El Municipio y El Ejido están interesadas en proteger el medio ambiente</w:t>
            </w:r>
          </w:p>
          <w:p>
            <w:pPr>
              <w:pStyle w:val="TableParagraph"/>
              <w:tabs>
                <w:tab w:pos="1072" w:val="left" w:leader="none"/>
                <w:tab w:pos="2286" w:val="left" w:leader="none"/>
                <w:tab w:pos="3401" w:val="left" w:leader="none"/>
              </w:tabs>
              <w:ind w:left="281" w:right="104"/>
              <w:rPr>
                <w:sz w:val="20"/>
              </w:rPr>
            </w:pPr>
            <w:r>
              <w:rPr>
                <w:sz w:val="20"/>
              </w:rPr>
              <w:t>Existe</w:t>
              <w:tab/>
              <w:t>planeación</w:t>
              <w:tab/>
              <w:t>ambiental</w:t>
              <w:tab/>
              <w:t>con articulación entre</w:t>
            </w:r>
            <w:r>
              <w:rPr>
                <w:spacing w:val="-11"/>
                <w:sz w:val="20"/>
              </w:rPr>
              <w:t> </w:t>
            </w:r>
            <w:r>
              <w:rPr>
                <w:sz w:val="20"/>
              </w:rPr>
              <w:t>actores</w:t>
            </w:r>
          </w:p>
        </w:tc>
        <w:tc>
          <w:tcPr>
            <w:tcW w:w="1447" w:type="dxa"/>
            <w:tcBorders>
              <w:bottom w:val="nil"/>
            </w:tcBorders>
          </w:tcPr>
          <w:p>
            <w:pPr/>
          </w:p>
        </w:tc>
        <w:tc>
          <w:tcPr>
            <w:tcW w:w="2108" w:type="dxa"/>
            <w:tcBorders>
              <w:bottom w:val="nil"/>
            </w:tcBorders>
          </w:tcPr>
          <w:p>
            <w:pPr>
              <w:pStyle w:val="TableParagraph"/>
              <w:spacing w:before="4"/>
              <w:ind w:left="100"/>
              <w:rPr>
                <w:sz w:val="20"/>
              </w:rPr>
            </w:pPr>
            <w:r>
              <w:rPr>
                <w:b/>
                <w:sz w:val="20"/>
              </w:rPr>
              <w:t>menos  el   75% </w:t>
            </w:r>
            <w:r>
              <w:rPr>
                <w:sz w:val="20"/>
              </w:rPr>
              <w:t>dos</w:t>
            </w:r>
          </w:p>
        </w:tc>
        <w:tc>
          <w:tcPr>
            <w:tcW w:w="1529" w:type="dxa"/>
            <w:tcBorders>
              <w:bottom w:val="nil"/>
              <w:right w:val="double" w:sz="12" w:space="0" w:color="000000"/>
            </w:tcBorders>
          </w:tcPr>
          <w:p>
            <w:pPr/>
          </w:p>
        </w:tc>
      </w:tr>
      <w:tr>
        <w:trPr>
          <w:trHeight w:val="233" w:hRule="exact"/>
        </w:trPr>
        <w:tc>
          <w:tcPr>
            <w:tcW w:w="954" w:type="dxa"/>
            <w:tcBorders>
              <w:top w:val="nil"/>
              <w:left w:val="double" w:sz="11" w:space="0" w:color="000000"/>
              <w:bottom w:val="nil"/>
            </w:tcBorders>
          </w:tcPr>
          <w:p>
            <w:pPr/>
          </w:p>
        </w:tc>
        <w:tc>
          <w:tcPr>
            <w:tcW w:w="1526" w:type="dxa"/>
            <w:tcBorders>
              <w:top w:val="nil"/>
              <w:bottom w:val="nil"/>
            </w:tcBorders>
          </w:tcPr>
          <w:p>
            <w:pPr>
              <w:pStyle w:val="TableParagraph"/>
              <w:spacing w:line="219" w:lineRule="exact"/>
              <w:ind w:left="0" w:right="2"/>
              <w:jc w:val="center"/>
              <w:rPr>
                <w:b/>
                <w:sz w:val="20"/>
              </w:rPr>
            </w:pPr>
            <w:r>
              <w:rPr>
                <w:b/>
                <w:w w:val="99"/>
                <w:sz w:val="20"/>
              </w:rPr>
              <w:t>1</w:t>
            </w:r>
          </w:p>
        </w:tc>
        <w:tc>
          <w:tcPr>
            <w:tcW w:w="1416" w:type="dxa"/>
            <w:vMerge/>
          </w:tcPr>
          <w:p>
            <w:pPr/>
          </w:p>
        </w:tc>
        <w:tc>
          <w:tcPr>
            <w:tcW w:w="3841" w:type="dxa"/>
            <w:vMerge/>
          </w:tcPr>
          <w:p>
            <w:pPr/>
          </w:p>
        </w:tc>
        <w:tc>
          <w:tcPr>
            <w:tcW w:w="1447" w:type="dxa"/>
            <w:tcBorders>
              <w:top w:val="nil"/>
              <w:bottom w:val="nil"/>
            </w:tcBorders>
          </w:tcPr>
          <w:p>
            <w:pPr/>
          </w:p>
        </w:tc>
        <w:tc>
          <w:tcPr>
            <w:tcW w:w="2108" w:type="dxa"/>
            <w:tcBorders>
              <w:top w:val="nil"/>
              <w:bottom w:val="nil"/>
            </w:tcBorders>
          </w:tcPr>
          <w:p>
            <w:pPr>
              <w:pStyle w:val="TableParagraph"/>
              <w:tabs>
                <w:tab w:pos="1658" w:val="left" w:leader="none"/>
              </w:tabs>
              <w:spacing w:line="222" w:lineRule="exact"/>
              <w:ind w:left="100"/>
              <w:rPr>
                <w:sz w:val="20"/>
              </w:rPr>
            </w:pPr>
            <w:r>
              <w:rPr>
                <w:sz w:val="20"/>
              </w:rPr>
              <w:t>de</w:t>
              <w:tab/>
              <w:t>tres</w:t>
            </w:r>
          </w:p>
        </w:tc>
        <w:tc>
          <w:tcPr>
            <w:tcW w:w="1529" w:type="dxa"/>
            <w:tcBorders>
              <w:top w:val="nil"/>
              <w:bottom w:val="nil"/>
              <w:right w:val="double" w:sz="12" w:space="0" w:color="000000"/>
            </w:tcBorders>
          </w:tcPr>
          <w:p>
            <w:pPr/>
          </w:p>
        </w:tc>
      </w:tr>
      <w:tr>
        <w:trPr>
          <w:trHeight w:val="230" w:hRule="exact"/>
        </w:trPr>
        <w:tc>
          <w:tcPr>
            <w:tcW w:w="954" w:type="dxa"/>
            <w:tcBorders>
              <w:top w:val="nil"/>
              <w:left w:val="double" w:sz="11" w:space="0" w:color="000000"/>
              <w:bottom w:val="nil"/>
            </w:tcBorders>
          </w:tcPr>
          <w:p>
            <w:pPr>
              <w:pStyle w:val="TableParagraph"/>
              <w:spacing w:line="219" w:lineRule="exact"/>
              <w:ind w:left="209" w:right="212"/>
              <w:jc w:val="center"/>
              <w:rPr>
                <w:sz w:val="20"/>
              </w:rPr>
            </w:pPr>
            <w:r>
              <w:rPr>
                <w:sz w:val="20"/>
              </w:rPr>
              <w:t>1785</w:t>
            </w:r>
          </w:p>
        </w:tc>
        <w:tc>
          <w:tcPr>
            <w:tcW w:w="1526" w:type="dxa"/>
            <w:tcBorders>
              <w:top w:val="nil"/>
              <w:bottom w:val="nil"/>
            </w:tcBorders>
          </w:tcPr>
          <w:p>
            <w:pPr/>
          </w:p>
        </w:tc>
        <w:tc>
          <w:tcPr>
            <w:tcW w:w="1416" w:type="dxa"/>
            <w:vMerge/>
          </w:tcPr>
          <w:p>
            <w:pPr/>
          </w:p>
        </w:tc>
        <w:tc>
          <w:tcPr>
            <w:tcW w:w="3841" w:type="dxa"/>
            <w:vMerge/>
          </w:tcPr>
          <w:p>
            <w:pPr/>
          </w:p>
        </w:tc>
        <w:tc>
          <w:tcPr>
            <w:tcW w:w="1447" w:type="dxa"/>
            <w:tcBorders>
              <w:top w:val="nil"/>
              <w:bottom w:val="nil"/>
            </w:tcBorders>
          </w:tcPr>
          <w:p>
            <w:pPr/>
          </w:p>
        </w:tc>
        <w:tc>
          <w:tcPr>
            <w:tcW w:w="2108" w:type="dxa"/>
            <w:tcBorders>
              <w:top w:val="nil"/>
              <w:bottom w:val="nil"/>
            </w:tcBorders>
          </w:tcPr>
          <w:p>
            <w:pPr>
              <w:pStyle w:val="TableParagraph"/>
              <w:tabs>
                <w:tab w:pos="1767" w:val="left" w:leader="none"/>
              </w:tabs>
              <w:spacing w:line="219" w:lineRule="exact"/>
              <w:ind w:left="100"/>
              <w:rPr>
                <w:sz w:val="20"/>
              </w:rPr>
            </w:pPr>
            <w:r>
              <w:rPr>
                <w:sz w:val="20"/>
              </w:rPr>
              <w:t>características</w:t>
              <w:tab/>
              <w:t>de</w:t>
            </w:r>
          </w:p>
        </w:tc>
        <w:tc>
          <w:tcPr>
            <w:tcW w:w="1529" w:type="dxa"/>
            <w:tcBorders>
              <w:top w:val="nil"/>
              <w:bottom w:val="nil"/>
              <w:right w:val="double" w:sz="12" w:space="0" w:color="000000"/>
            </w:tcBorders>
          </w:tcPr>
          <w:p>
            <w:pPr/>
          </w:p>
        </w:tc>
      </w:tr>
      <w:tr>
        <w:trPr>
          <w:trHeight w:val="344" w:hRule="exact"/>
        </w:trPr>
        <w:tc>
          <w:tcPr>
            <w:tcW w:w="954" w:type="dxa"/>
            <w:tcBorders>
              <w:top w:val="nil"/>
              <w:left w:val="double" w:sz="11" w:space="0" w:color="000000"/>
              <w:bottom w:val="nil"/>
            </w:tcBorders>
          </w:tcPr>
          <w:p>
            <w:pPr/>
          </w:p>
        </w:tc>
        <w:tc>
          <w:tcPr>
            <w:tcW w:w="1526" w:type="dxa"/>
            <w:tcBorders>
              <w:top w:val="nil"/>
              <w:bottom w:val="nil"/>
            </w:tcBorders>
          </w:tcPr>
          <w:p>
            <w:pPr/>
          </w:p>
        </w:tc>
        <w:tc>
          <w:tcPr>
            <w:tcW w:w="1416" w:type="dxa"/>
            <w:vMerge/>
          </w:tcPr>
          <w:p>
            <w:pPr/>
          </w:p>
        </w:tc>
        <w:tc>
          <w:tcPr>
            <w:tcW w:w="3841" w:type="dxa"/>
            <w:vMerge/>
          </w:tcPr>
          <w:p>
            <w:pPr/>
          </w:p>
        </w:tc>
        <w:tc>
          <w:tcPr>
            <w:tcW w:w="1447" w:type="dxa"/>
            <w:tcBorders>
              <w:top w:val="nil"/>
              <w:bottom w:val="nil"/>
            </w:tcBorders>
          </w:tcPr>
          <w:p>
            <w:pPr/>
          </w:p>
        </w:tc>
        <w:tc>
          <w:tcPr>
            <w:tcW w:w="2108" w:type="dxa"/>
            <w:tcBorders>
              <w:top w:val="nil"/>
              <w:bottom w:val="nil"/>
            </w:tcBorders>
          </w:tcPr>
          <w:p>
            <w:pPr>
              <w:pStyle w:val="TableParagraph"/>
              <w:spacing w:line="219" w:lineRule="exact"/>
              <w:ind w:left="100" w:right="105"/>
              <w:rPr>
                <w:sz w:val="20"/>
              </w:rPr>
            </w:pPr>
            <w:r>
              <w:rPr>
                <w:sz w:val="20"/>
              </w:rPr>
              <w:t>impacto positivo</w:t>
            </w:r>
          </w:p>
        </w:tc>
        <w:tc>
          <w:tcPr>
            <w:tcW w:w="1529" w:type="dxa"/>
            <w:tcBorders>
              <w:top w:val="nil"/>
              <w:bottom w:val="nil"/>
              <w:right w:val="double" w:sz="12" w:space="0" w:color="000000"/>
            </w:tcBorders>
          </w:tcPr>
          <w:p>
            <w:pPr/>
          </w:p>
        </w:tc>
      </w:tr>
      <w:tr>
        <w:trPr>
          <w:trHeight w:val="575" w:hRule="exact"/>
        </w:trPr>
        <w:tc>
          <w:tcPr>
            <w:tcW w:w="954" w:type="dxa"/>
            <w:tcBorders>
              <w:top w:val="nil"/>
              <w:left w:val="double" w:sz="11" w:space="0" w:color="000000"/>
              <w:bottom w:val="nil"/>
            </w:tcBorders>
          </w:tcPr>
          <w:p>
            <w:pPr>
              <w:pStyle w:val="TableParagraph"/>
              <w:spacing w:before="103"/>
              <w:ind w:left="209" w:right="212"/>
              <w:jc w:val="center"/>
              <w:rPr>
                <w:sz w:val="20"/>
              </w:rPr>
            </w:pPr>
            <w:r>
              <w:rPr>
                <w:sz w:val="20"/>
              </w:rPr>
              <w:t>1810</w:t>
            </w:r>
          </w:p>
        </w:tc>
        <w:tc>
          <w:tcPr>
            <w:tcW w:w="1526" w:type="dxa"/>
            <w:tcBorders>
              <w:top w:val="nil"/>
              <w:bottom w:val="nil"/>
            </w:tcBorders>
          </w:tcPr>
          <w:p>
            <w:pPr/>
          </w:p>
        </w:tc>
        <w:tc>
          <w:tcPr>
            <w:tcW w:w="1416" w:type="dxa"/>
            <w:vMerge/>
          </w:tcPr>
          <w:p>
            <w:pPr/>
          </w:p>
        </w:tc>
        <w:tc>
          <w:tcPr>
            <w:tcW w:w="3841" w:type="dxa"/>
            <w:vMerge/>
          </w:tcPr>
          <w:p>
            <w:pPr/>
          </w:p>
        </w:tc>
        <w:tc>
          <w:tcPr>
            <w:tcW w:w="1447" w:type="dxa"/>
            <w:tcBorders>
              <w:top w:val="nil"/>
              <w:bottom w:val="nil"/>
            </w:tcBorders>
          </w:tcPr>
          <w:p>
            <w:pPr/>
          </w:p>
        </w:tc>
        <w:tc>
          <w:tcPr>
            <w:tcW w:w="2108" w:type="dxa"/>
            <w:tcBorders>
              <w:top w:val="nil"/>
              <w:bottom w:val="nil"/>
            </w:tcBorders>
          </w:tcPr>
          <w:p>
            <w:pPr/>
          </w:p>
        </w:tc>
        <w:tc>
          <w:tcPr>
            <w:tcW w:w="1529" w:type="dxa"/>
            <w:tcBorders>
              <w:top w:val="nil"/>
              <w:bottom w:val="nil"/>
              <w:right w:val="double" w:sz="12" w:space="0" w:color="000000"/>
            </w:tcBorders>
          </w:tcPr>
          <w:p>
            <w:pPr/>
          </w:p>
        </w:tc>
      </w:tr>
      <w:tr>
        <w:trPr>
          <w:trHeight w:val="686" w:hRule="exact"/>
        </w:trPr>
        <w:tc>
          <w:tcPr>
            <w:tcW w:w="954" w:type="dxa"/>
            <w:tcBorders>
              <w:top w:val="nil"/>
              <w:left w:val="double" w:sz="11" w:space="0" w:color="000000"/>
              <w:bottom w:val="nil"/>
            </w:tcBorders>
          </w:tcPr>
          <w:p>
            <w:pPr>
              <w:pStyle w:val="TableParagraph"/>
              <w:spacing w:before="1"/>
              <w:ind w:left="0"/>
              <w:rPr>
                <w:rFonts w:ascii="Times New Roman"/>
                <w:sz w:val="19"/>
              </w:rPr>
            </w:pPr>
          </w:p>
          <w:p>
            <w:pPr>
              <w:pStyle w:val="TableParagraph"/>
              <w:ind w:left="209" w:right="212"/>
              <w:jc w:val="center"/>
              <w:rPr>
                <w:sz w:val="20"/>
              </w:rPr>
            </w:pPr>
            <w:r>
              <w:rPr>
                <w:sz w:val="20"/>
              </w:rPr>
              <w:t>1861</w:t>
            </w:r>
          </w:p>
        </w:tc>
        <w:tc>
          <w:tcPr>
            <w:tcW w:w="1526" w:type="dxa"/>
            <w:tcBorders>
              <w:top w:val="nil"/>
              <w:bottom w:val="nil"/>
            </w:tcBorders>
          </w:tcPr>
          <w:p>
            <w:pPr/>
          </w:p>
        </w:tc>
        <w:tc>
          <w:tcPr>
            <w:tcW w:w="1416" w:type="dxa"/>
            <w:vMerge/>
          </w:tcPr>
          <w:p>
            <w:pPr/>
          </w:p>
        </w:tc>
        <w:tc>
          <w:tcPr>
            <w:tcW w:w="3841" w:type="dxa"/>
            <w:vMerge/>
          </w:tcPr>
          <w:p>
            <w:pPr/>
          </w:p>
        </w:tc>
        <w:tc>
          <w:tcPr>
            <w:tcW w:w="1447" w:type="dxa"/>
            <w:tcBorders>
              <w:top w:val="nil"/>
              <w:bottom w:val="nil"/>
            </w:tcBorders>
          </w:tcPr>
          <w:p>
            <w:pPr/>
          </w:p>
        </w:tc>
        <w:tc>
          <w:tcPr>
            <w:tcW w:w="2108" w:type="dxa"/>
            <w:tcBorders>
              <w:top w:val="nil"/>
              <w:bottom w:val="nil"/>
            </w:tcBorders>
          </w:tcPr>
          <w:p>
            <w:pPr/>
          </w:p>
        </w:tc>
        <w:tc>
          <w:tcPr>
            <w:tcW w:w="1529" w:type="dxa"/>
            <w:tcBorders>
              <w:top w:val="nil"/>
              <w:bottom w:val="nil"/>
              <w:right w:val="double" w:sz="12" w:space="0" w:color="000000"/>
            </w:tcBorders>
          </w:tcPr>
          <w:p>
            <w:pPr/>
          </w:p>
        </w:tc>
      </w:tr>
      <w:tr>
        <w:trPr>
          <w:trHeight w:val="232" w:hRule="exact"/>
        </w:trPr>
        <w:tc>
          <w:tcPr>
            <w:tcW w:w="954" w:type="dxa"/>
            <w:tcBorders>
              <w:top w:val="nil"/>
              <w:left w:val="double" w:sz="11" w:space="0" w:color="000000"/>
              <w:bottom w:val="nil"/>
            </w:tcBorders>
          </w:tcPr>
          <w:p>
            <w:pPr/>
          </w:p>
        </w:tc>
        <w:tc>
          <w:tcPr>
            <w:tcW w:w="1526" w:type="dxa"/>
            <w:tcBorders>
              <w:top w:val="nil"/>
              <w:bottom w:val="nil"/>
            </w:tcBorders>
          </w:tcPr>
          <w:p>
            <w:pPr/>
          </w:p>
        </w:tc>
        <w:tc>
          <w:tcPr>
            <w:tcW w:w="1416" w:type="dxa"/>
            <w:vMerge w:val="restart"/>
          </w:tcPr>
          <w:p>
            <w:pPr>
              <w:pStyle w:val="TableParagraph"/>
              <w:spacing w:line="230" w:lineRule="exact"/>
              <w:rPr>
                <w:sz w:val="20"/>
              </w:rPr>
            </w:pPr>
            <w:r>
              <w:rPr>
                <w:sz w:val="20"/>
              </w:rPr>
              <w:t>Económico</w:t>
            </w:r>
          </w:p>
        </w:tc>
        <w:tc>
          <w:tcPr>
            <w:tcW w:w="3841" w:type="dxa"/>
            <w:vMerge w:val="restart"/>
          </w:tcPr>
          <w:p>
            <w:pPr>
              <w:pStyle w:val="TableParagraph"/>
              <w:numPr>
                <w:ilvl w:val="0"/>
                <w:numId w:val="276"/>
              </w:numPr>
              <w:tabs>
                <w:tab w:pos="812" w:val="left" w:leader="none"/>
              </w:tabs>
              <w:spacing w:line="240" w:lineRule="auto" w:before="0" w:after="0"/>
              <w:ind w:left="281" w:right="105" w:hanging="142"/>
              <w:jc w:val="both"/>
              <w:rPr>
                <w:sz w:val="20"/>
              </w:rPr>
            </w:pPr>
            <w:r>
              <w:rPr>
                <w:sz w:val="20"/>
              </w:rPr>
              <w:t>Existe una dependencia económica de los recursos naturales por parte de los actores de la CHPH como la comida</w:t>
            </w:r>
            <w:r>
              <w:rPr>
                <w:spacing w:val="-8"/>
                <w:sz w:val="20"/>
              </w:rPr>
              <w:t> </w:t>
            </w:r>
            <w:r>
              <w:rPr>
                <w:sz w:val="20"/>
              </w:rPr>
              <w:t>lacustre</w:t>
            </w:r>
          </w:p>
          <w:p>
            <w:pPr>
              <w:pStyle w:val="TableParagraph"/>
              <w:numPr>
                <w:ilvl w:val="0"/>
                <w:numId w:val="276"/>
              </w:numPr>
              <w:tabs>
                <w:tab w:pos="812" w:val="left" w:leader="none"/>
              </w:tabs>
              <w:spacing w:line="240" w:lineRule="auto" w:before="0" w:after="0"/>
              <w:ind w:left="281" w:right="105" w:hanging="142"/>
              <w:jc w:val="both"/>
              <w:rPr>
                <w:sz w:val="20"/>
              </w:rPr>
            </w:pPr>
            <w:r>
              <w:rPr>
                <w:sz w:val="20"/>
              </w:rPr>
              <w:t>La agricultura y la ganadería son la ventaja comparativa histórica de la CHPH</w:t>
            </w:r>
          </w:p>
          <w:p>
            <w:pPr>
              <w:pStyle w:val="TableParagraph"/>
              <w:numPr>
                <w:ilvl w:val="0"/>
                <w:numId w:val="276"/>
              </w:numPr>
              <w:tabs>
                <w:tab w:pos="812" w:val="left" w:leader="none"/>
              </w:tabs>
              <w:spacing w:line="240" w:lineRule="auto" w:before="0" w:after="0"/>
              <w:ind w:left="281" w:right="105" w:hanging="142"/>
              <w:jc w:val="both"/>
              <w:rPr>
                <w:sz w:val="20"/>
              </w:rPr>
            </w:pPr>
            <w:r>
              <w:rPr>
                <w:sz w:val="20"/>
              </w:rPr>
              <w:t>Existe una vinculación económica de los actores de la CHPH con la presa</w:t>
            </w:r>
            <w:r>
              <w:rPr>
                <w:spacing w:val="-9"/>
                <w:sz w:val="20"/>
              </w:rPr>
              <w:t> </w:t>
            </w:r>
            <w:r>
              <w:rPr>
                <w:sz w:val="20"/>
              </w:rPr>
              <w:t>Huapango</w:t>
            </w:r>
          </w:p>
          <w:p>
            <w:pPr>
              <w:pStyle w:val="TableParagraph"/>
              <w:numPr>
                <w:ilvl w:val="0"/>
                <w:numId w:val="276"/>
              </w:numPr>
              <w:tabs>
                <w:tab w:pos="812" w:val="left" w:leader="none"/>
              </w:tabs>
              <w:spacing w:line="240" w:lineRule="auto" w:before="1" w:after="0"/>
              <w:ind w:left="281" w:right="102" w:hanging="142"/>
              <w:jc w:val="both"/>
              <w:rPr>
                <w:sz w:val="20"/>
              </w:rPr>
            </w:pPr>
            <w:r>
              <w:rPr>
                <w:sz w:val="20"/>
              </w:rPr>
              <w:t>Existen grupos económicos consolidados a través de la historia en la</w:t>
            </w:r>
            <w:r>
              <w:rPr>
                <w:spacing w:val="-5"/>
                <w:sz w:val="20"/>
              </w:rPr>
              <w:t> </w:t>
            </w:r>
            <w:r>
              <w:rPr>
                <w:sz w:val="20"/>
              </w:rPr>
              <w:t>CHPH</w:t>
            </w:r>
          </w:p>
          <w:p>
            <w:pPr>
              <w:pStyle w:val="TableParagraph"/>
              <w:numPr>
                <w:ilvl w:val="0"/>
                <w:numId w:val="276"/>
              </w:numPr>
              <w:tabs>
                <w:tab w:pos="812" w:val="left" w:leader="none"/>
              </w:tabs>
              <w:spacing w:line="240" w:lineRule="auto" w:before="0" w:after="0"/>
              <w:ind w:left="281" w:right="103" w:hanging="142"/>
              <w:jc w:val="both"/>
              <w:rPr>
                <w:sz w:val="20"/>
              </w:rPr>
            </w:pPr>
            <w:r>
              <w:rPr>
                <w:sz w:val="20"/>
              </w:rPr>
              <w:t>Existe planeación económica con articulación entre</w:t>
            </w:r>
            <w:r>
              <w:rPr>
                <w:spacing w:val="-7"/>
                <w:sz w:val="20"/>
              </w:rPr>
              <w:t> </w:t>
            </w:r>
            <w:r>
              <w:rPr>
                <w:sz w:val="20"/>
              </w:rPr>
              <w:t>actores</w:t>
            </w:r>
          </w:p>
        </w:tc>
        <w:tc>
          <w:tcPr>
            <w:tcW w:w="1447" w:type="dxa"/>
            <w:tcBorders>
              <w:top w:val="nil"/>
              <w:bottom w:val="nil"/>
            </w:tcBorders>
          </w:tcPr>
          <w:p>
            <w:pPr/>
          </w:p>
        </w:tc>
        <w:tc>
          <w:tcPr>
            <w:tcW w:w="2108" w:type="dxa"/>
            <w:tcBorders>
              <w:top w:val="nil"/>
              <w:bottom w:val="nil"/>
            </w:tcBorders>
          </w:tcPr>
          <w:p>
            <w:pPr/>
          </w:p>
        </w:tc>
        <w:tc>
          <w:tcPr>
            <w:tcW w:w="1529" w:type="dxa"/>
            <w:tcBorders>
              <w:top w:val="nil"/>
              <w:bottom w:val="nil"/>
              <w:right w:val="double" w:sz="12" w:space="0" w:color="000000"/>
            </w:tcBorders>
          </w:tcPr>
          <w:p>
            <w:pPr>
              <w:pStyle w:val="TableParagraph"/>
              <w:spacing w:line="220" w:lineRule="exact"/>
              <w:ind w:left="429"/>
              <w:rPr>
                <w:b/>
                <w:sz w:val="20"/>
              </w:rPr>
            </w:pPr>
            <w:r>
              <w:rPr>
                <w:b/>
                <w:sz w:val="20"/>
              </w:rPr>
              <w:t>Bueno</w:t>
            </w:r>
          </w:p>
        </w:tc>
      </w:tr>
      <w:tr>
        <w:trPr>
          <w:trHeight w:val="232" w:hRule="exact"/>
        </w:trPr>
        <w:tc>
          <w:tcPr>
            <w:tcW w:w="954" w:type="dxa"/>
            <w:tcBorders>
              <w:top w:val="nil"/>
              <w:left w:val="double" w:sz="11" w:space="0" w:color="000000"/>
              <w:bottom w:val="nil"/>
            </w:tcBorders>
          </w:tcPr>
          <w:p>
            <w:pPr>
              <w:pStyle w:val="TableParagraph"/>
              <w:spacing w:line="221" w:lineRule="exact"/>
              <w:ind w:left="209" w:right="212"/>
              <w:jc w:val="center"/>
              <w:rPr>
                <w:sz w:val="20"/>
              </w:rPr>
            </w:pPr>
            <w:r>
              <w:rPr>
                <w:sz w:val="20"/>
              </w:rPr>
              <w:t>1910</w:t>
            </w:r>
          </w:p>
        </w:tc>
        <w:tc>
          <w:tcPr>
            <w:tcW w:w="1526" w:type="dxa"/>
            <w:tcBorders>
              <w:top w:val="nil"/>
              <w:bottom w:val="nil"/>
            </w:tcBorders>
          </w:tcPr>
          <w:p>
            <w:pPr/>
          </w:p>
        </w:tc>
        <w:tc>
          <w:tcPr>
            <w:tcW w:w="1416" w:type="dxa"/>
            <w:vMerge/>
          </w:tcPr>
          <w:p>
            <w:pPr/>
          </w:p>
        </w:tc>
        <w:tc>
          <w:tcPr>
            <w:tcW w:w="3841" w:type="dxa"/>
            <w:vMerge/>
          </w:tcPr>
          <w:p>
            <w:pPr/>
          </w:p>
        </w:tc>
        <w:tc>
          <w:tcPr>
            <w:tcW w:w="1447" w:type="dxa"/>
            <w:tcBorders>
              <w:top w:val="nil"/>
              <w:bottom w:val="nil"/>
            </w:tcBorders>
          </w:tcPr>
          <w:p>
            <w:pPr/>
          </w:p>
        </w:tc>
        <w:tc>
          <w:tcPr>
            <w:tcW w:w="2108" w:type="dxa"/>
            <w:tcBorders>
              <w:top w:val="nil"/>
              <w:bottom w:val="nil"/>
            </w:tcBorders>
          </w:tcPr>
          <w:p>
            <w:pPr/>
          </w:p>
        </w:tc>
        <w:tc>
          <w:tcPr>
            <w:tcW w:w="1529" w:type="dxa"/>
            <w:tcBorders>
              <w:top w:val="nil"/>
              <w:bottom w:val="nil"/>
              <w:right w:val="double" w:sz="12" w:space="0" w:color="000000"/>
            </w:tcBorders>
          </w:tcPr>
          <w:p>
            <w:pPr/>
          </w:p>
        </w:tc>
      </w:tr>
      <w:tr>
        <w:trPr>
          <w:trHeight w:val="346" w:hRule="exact"/>
        </w:trPr>
        <w:tc>
          <w:tcPr>
            <w:tcW w:w="954" w:type="dxa"/>
            <w:tcBorders>
              <w:top w:val="nil"/>
              <w:left w:val="double" w:sz="11" w:space="0" w:color="000000"/>
              <w:bottom w:val="nil"/>
            </w:tcBorders>
          </w:tcPr>
          <w:p>
            <w:pPr/>
          </w:p>
        </w:tc>
        <w:tc>
          <w:tcPr>
            <w:tcW w:w="1526" w:type="dxa"/>
            <w:tcBorders>
              <w:top w:val="nil"/>
              <w:bottom w:val="nil"/>
            </w:tcBorders>
          </w:tcPr>
          <w:p>
            <w:pPr/>
          </w:p>
        </w:tc>
        <w:tc>
          <w:tcPr>
            <w:tcW w:w="1416" w:type="dxa"/>
            <w:vMerge/>
          </w:tcPr>
          <w:p>
            <w:pPr/>
          </w:p>
        </w:tc>
        <w:tc>
          <w:tcPr>
            <w:tcW w:w="3841" w:type="dxa"/>
            <w:vMerge/>
          </w:tcPr>
          <w:p>
            <w:pPr/>
          </w:p>
        </w:tc>
        <w:tc>
          <w:tcPr>
            <w:tcW w:w="1447" w:type="dxa"/>
            <w:tcBorders>
              <w:top w:val="nil"/>
              <w:bottom w:val="nil"/>
            </w:tcBorders>
          </w:tcPr>
          <w:p>
            <w:pPr>
              <w:pStyle w:val="TableParagraph"/>
              <w:spacing w:line="219" w:lineRule="exact"/>
              <w:ind w:left="498" w:right="499"/>
              <w:jc w:val="center"/>
              <w:rPr>
                <w:sz w:val="20"/>
              </w:rPr>
            </w:pPr>
            <w:r>
              <w:rPr>
                <w:sz w:val="20"/>
              </w:rPr>
              <w:t>75%</w:t>
            </w:r>
          </w:p>
        </w:tc>
        <w:tc>
          <w:tcPr>
            <w:tcW w:w="2108" w:type="dxa"/>
            <w:tcBorders>
              <w:top w:val="nil"/>
              <w:bottom w:val="nil"/>
            </w:tcBorders>
          </w:tcPr>
          <w:p>
            <w:pPr/>
          </w:p>
        </w:tc>
        <w:tc>
          <w:tcPr>
            <w:tcW w:w="1529" w:type="dxa"/>
            <w:tcBorders>
              <w:top w:val="nil"/>
              <w:bottom w:val="nil"/>
              <w:right w:val="double" w:sz="12" w:space="0" w:color="000000"/>
            </w:tcBorders>
          </w:tcPr>
          <w:p>
            <w:pPr/>
          </w:p>
        </w:tc>
      </w:tr>
      <w:tr>
        <w:trPr>
          <w:trHeight w:val="575" w:hRule="exact"/>
        </w:trPr>
        <w:tc>
          <w:tcPr>
            <w:tcW w:w="954" w:type="dxa"/>
            <w:tcBorders>
              <w:top w:val="nil"/>
              <w:left w:val="double" w:sz="11" w:space="0" w:color="000000"/>
              <w:bottom w:val="nil"/>
            </w:tcBorders>
          </w:tcPr>
          <w:p>
            <w:pPr>
              <w:pStyle w:val="TableParagraph"/>
              <w:spacing w:before="104"/>
              <w:ind w:left="209" w:right="212"/>
              <w:jc w:val="center"/>
              <w:rPr>
                <w:sz w:val="20"/>
              </w:rPr>
            </w:pPr>
            <w:r>
              <w:rPr>
                <w:sz w:val="20"/>
              </w:rPr>
              <w:t>1940</w:t>
            </w:r>
          </w:p>
        </w:tc>
        <w:tc>
          <w:tcPr>
            <w:tcW w:w="1526" w:type="dxa"/>
            <w:tcBorders>
              <w:top w:val="nil"/>
              <w:bottom w:val="nil"/>
            </w:tcBorders>
          </w:tcPr>
          <w:p>
            <w:pPr/>
          </w:p>
        </w:tc>
        <w:tc>
          <w:tcPr>
            <w:tcW w:w="1416" w:type="dxa"/>
            <w:vMerge/>
          </w:tcPr>
          <w:p>
            <w:pPr/>
          </w:p>
        </w:tc>
        <w:tc>
          <w:tcPr>
            <w:tcW w:w="3841" w:type="dxa"/>
            <w:vMerge/>
          </w:tcPr>
          <w:p>
            <w:pPr/>
          </w:p>
        </w:tc>
        <w:tc>
          <w:tcPr>
            <w:tcW w:w="1447" w:type="dxa"/>
            <w:tcBorders>
              <w:top w:val="nil"/>
              <w:bottom w:val="nil"/>
            </w:tcBorders>
          </w:tcPr>
          <w:p>
            <w:pPr/>
          </w:p>
        </w:tc>
        <w:tc>
          <w:tcPr>
            <w:tcW w:w="2108" w:type="dxa"/>
            <w:tcBorders>
              <w:top w:val="nil"/>
              <w:bottom w:val="nil"/>
            </w:tcBorders>
          </w:tcPr>
          <w:p>
            <w:pPr/>
          </w:p>
        </w:tc>
        <w:tc>
          <w:tcPr>
            <w:tcW w:w="1529" w:type="dxa"/>
            <w:tcBorders>
              <w:top w:val="nil"/>
              <w:bottom w:val="nil"/>
              <w:right w:val="double" w:sz="12" w:space="0" w:color="000000"/>
            </w:tcBorders>
          </w:tcPr>
          <w:p>
            <w:pPr/>
          </w:p>
        </w:tc>
      </w:tr>
      <w:tr>
        <w:trPr>
          <w:trHeight w:val="690" w:hRule="exact"/>
        </w:trPr>
        <w:tc>
          <w:tcPr>
            <w:tcW w:w="954" w:type="dxa"/>
            <w:tcBorders>
              <w:top w:val="nil"/>
              <w:left w:val="double" w:sz="11" w:space="0" w:color="000000"/>
              <w:bottom w:val="nil"/>
            </w:tcBorders>
          </w:tcPr>
          <w:p>
            <w:pPr>
              <w:pStyle w:val="TableParagraph"/>
              <w:ind w:left="0"/>
              <w:rPr>
                <w:rFonts w:ascii="Times New Roman"/>
                <w:sz w:val="19"/>
              </w:rPr>
            </w:pPr>
          </w:p>
          <w:p>
            <w:pPr>
              <w:pStyle w:val="TableParagraph"/>
              <w:ind w:left="209" w:right="212"/>
              <w:jc w:val="center"/>
              <w:rPr>
                <w:sz w:val="20"/>
              </w:rPr>
            </w:pPr>
            <w:r>
              <w:rPr>
                <w:sz w:val="20"/>
              </w:rPr>
              <w:t>1982</w:t>
            </w:r>
          </w:p>
        </w:tc>
        <w:tc>
          <w:tcPr>
            <w:tcW w:w="1526" w:type="dxa"/>
            <w:tcBorders>
              <w:top w:val="nil"/>
              <w:bottom w:val="nil"/>
            </w:tcBorders>
          </w:tcPr>
          <w:p>
            <w:pPr/>
          </w:p>
        </w:tc>
        <w:tc>
          <w:tcPr>
            <w:tcW w:w="1416" w:type="dxa"/>
            <w:vMerge/>
          </w:tcPr>
          <w:p>
            <w:pPr/>
          </w:p>
        </w:tc>
        <w:tc>
          <w:tcPr>
            <w:tcW w:w="3841" w:type="dxa"/>
            <w:vMerge/>
          </w:tcPr>
          <w:p>
            <w:pPr/>
          </w:p>
        </w:tc>
        <w:tc>
          <w:tcPr>
            <w:tcW w:w="1447" w:type="dxa"/>
            <w:tcBorders>
              <w:top w:val="nil"/>
              <w:bottom w:val="nil"/>
            </w:tcBorders>
          </w:tcPr>
          <w:p>
            <w:pPr/>
          </w:p>
        </w:tc>
        <w:tc>
          <w:tcPr>
            <w:tcW w:w="2108" w:type="dxa"/>
            <w:tcBorders>
              <w:top w:val="nil"/>
              <w:bottom w:val="nil"/>
            </w:tcBorders>
          </w:tcPr>
          <w:p>
            <w:pPr/>
          </w:p>
        </w:tc>
        <w:tc>
          <w:tcPr>
            <w:tcW w:w="1529" w:type="dxa"/>
            <w:tcBorders>
              <w:top w:val="nil"/>
              <w:bottom w:val="nil"/>
              <w:right w:val="double" w:sz="12" w:space="0" w:color="000000"/>
            </w:tcBorders>
          </w:tcPr>
          <w:p>
            <w:pPr/>
          </w:p>
        </w:tc>
      </w:tr>
      <w:tr>
        <w:trPr>
          <w:trHeight w:val="1387" w:hRule="exact"/>
        </w:trPr>
        <w:tc>
          <w:tcPr>
            <w:tcW w:w="954" w:type="dxa"/>
            <w:tcBorders>
              <w:top w:val="nil"/>
              <w:left w:val="double" w:sz="11" w:space="0" w:color="000000"/>
              <w:bottom w:val="nil"/>
            </w:tcBorders>
          </w:tcPr>
          <w:p>
            <w:pPr>
              <w:pStyle w:val="TableParagraph"/>
              <w:spacing w:before="1"/>
              <w:ind w:left="0"/>
              <w:rPr>
                <w:rFonts w:ascii="Times New Roman"/>
                <w:sz w:val="19"/>
              </w:rPr>
            </w:pPr>
          </w:p>
          <w:p>
            <w:pPr>
              <w:pStyle w:val="TableParagraph"/>
              <w:ind w:left="209" w:right="212"/>
              <w:jc w:val="center"/>
              <w:rPr>
                <w:sz w:val="20"/>
              </w:rPr>
            </w:pPr>
            <w:r>
              <w:rPr>
                <w:sz w:val="20"/>
              </w:rPr>
              <w:t>2016</w:t>
            </w:r>
          </w:p>
        </w:tc>
        <w:tc>
          <w:tcPr>
            <w:tcW w:w="1526" w:type="dxa"/>
            <w:tcBorders>
              <w:top w:val="nil"/>
              <w:bottom w:val="nil"/>
            </w:tcBorders>
          </w:tcPr>
          <w:p>
            <w:pPr/>
          </w:p>
        </w:tc>
        <w:tc>
          <w:tcPr>
            <w:tcW w:w="1416" w:type="dxa"/>
            <w:vMerge/>
          </w:tcPr>
          <w:p>
            <w:pPr/>
          </w:p>
        </w:tc>
        <w:tc>
          <w:tcPr>
            <w:tcW w:w="3841" w:type="dxa"/>
            <w:vMerge/>
          </w:tcPr>
          <w:p>
            <w:pPr/>
          </w:p>
        </w:tc>
        <w:tc>
          <w:tcPr>
            <w:tcW w:w="1447" w:type="dxa"/>
            <w:tcBorders>
              <w:top w:val="nil"/>
              <w:bottom w:val="nil"/>
            </w:tcBorders>
          </w:tcPr>
          <w:p>
            <w:pPr/>
          </w:p>
        </w:tc>
        <w:tc>
          <w:tcPr>
            <w:tcW w:w="2108" w:type="dxa"/>
            <w:tcBorders>
              <w:top w:val="nil"/>
              <w:bottom w:val="nil"/>
            </w:tcBorders>
          </w:tcPr>
          <w:p>
            <w:pPr/>
          </w:p>
        </w:tc>
        <w:tc>
          <w:tcPr>
            <w:tcW w:w="1529" w:type="dxa"/>
            <w:tcBorders>
              <w:top w:val="nil"/>
              <w:bottom w:val="nil"/>
              <w:right w:val="double" w:sz="12" w:space="0" w:color="000000"/>
            </w:tcBorders>
          </w:tcPr>
          <w:p>
            <w:pPr/>
          </w:p>
        </w:tc>
      </w:tr>
      <w:tr>
        <w:trPr>
          <w:trHeight w:val="3001" w:hRule="exact"/>
        </w:trPr>
        <w:tc>
          <w:tcPr>
            <w:tcW w:w="954" w:type="dxa"/>
            <w:tcBorders>
              <w:top w:val="nil"/>
              <w:left w:val="double" w:sz="11" w:space="0" w:color="000000"/>
            </w:tcBorders>
          </w:tcPr>
          <w:p>
            <w:pPr/>
          </w:p>
        </w:tc>
        <w:tc>
          <w:tcPr>
            <w:tcW w:w="1526" w:type="dxa"/>
            <w:tcBorders>
              <w:top w:val="nil"/>
            </w:tcBorders>
          </w:tcPr>
          <w:p>
            <w:pPr/>
          </w:p>
        </w:tc>
        <w:tc>
          <w:tcPr>
            <w:tcW w:w="1416" w:type="dxa"/>
          </w:tcPr>
          <w:p>
            <w:pPr>
              <w:pStyle w:val="TableParagraph"/>
              <w:spacing w:line="227" w:lineRule="exact"/>
              <w:rPr>
                <w:sz w:val="20"/>
              </w:rPr>
            </w:pPr>
            <w:r>
              <w:rPr>
                <w:sz w:val="20"/>
              </w:rPr>
              <w:t>Sociopolítico</w:t>
            </w:r>
          </w:p>
        </w:tc>
        <w:tc>
          <w:tcPr>
            <w:tcW w:w="3841" w:type="dxa"/>
          </w:tcPr>
          <w:p>
            <w:pPr>
              <w:pStyle w:val="TableParagraph"/>
              <w:numPr>
                <w:ilvl w:val="0"/>
                <w:numId w:val="277"/>
              </w:numPr>
              <w:tabs>
                <w:tab w:pos="812" w:val="left" w:leader="none"/>
              </w:tabs>
              <w:spacing w:line="240" w:lineRule="auto" w:before="0" w:after="0"/>
              <w:ind w:left="281" w:right="105" w:hanging="142"/>
              <w:jc w:val="both"/>
              <w:rPr>
                <w:sz w:val="20"/>
              </w:rPr>
            </w:pPr>
            <w:r>
              <w:rPr>
                <w:sz w:val="20"/>
              </w:rPr>
              <w:t>Las instituciones políticas  que se han creado a través del tiempo como El Municipio y El Ejido  favorecen el desarrollo económico de los actores históricos de la</w:t>
            </w:r>
            <w:r>
              <w:rPr>
                <w:spacing w:val="-9"/>
                <w:sz w:val="20"/>
              </w:rPr>
              <w:t> </w:t>
            </w:r>
            <w:r>
              <w:rPr>
                <w:sz w:val="20"/>
              </w:rPr>
              <w:t>CHPH.</w:t>
            </w:r>
          </w:p>
          <w:p>
            <w:pPr>
              <w:pStyle w:val="TableParagraph"/>
              <w:numPr>
                <w:ilvl w:val="0"/>
                <w:numId w:val="277"/>
              </w:numPr>
              <w:tabs>
                <w:tab w:pos="812" w:val="left" w:leader="none"/>
              </w:tabs>
              <w:spacing w:line="240" w:lineRule="auto" w:before="0" w:after="0"/>
              <w:ind w:left="281" w:right="107" w:hanging="142"/>
              <w:jc w:val="both"/>
              <w:rPr>
                <w:sz w:val="20"/>
              </w:rPr>
            </w:pPr>
            <w:r>
              <w:rPr>
                <w:sz w:val="20"/>
              </w:rPr>
              <w:t>Los grupos de actores históricos son producto de las estructuras históricas</w:t>
            </w:r>
            <w:r>
              <w:rPr>
                <w:spacing w:val="-9"/>
                <w:sz w:val="20"/>
              </w:rPr>
              <w:t> </w:t>
            </w:r>
            <w:r>
              <w:rPr>
                <w:sz w:val="20"/>
              </w:rPr>
              <w:t>sociopolíticas</w:t>
            </w:r>
          </w:p>
          <w:p>
            <w:pPr>
              <w:pStyle w:val="TableParagraph"/>
              <w:numPr>
                <w:ilvl w:val="0"/>
                <w:numId w:val="277"/>
              </w:numPr>
              <w:tabs>
                <w:tab w:pos="812" w:val="left" w:leader="none"/>
              </w:tabs>
              <w:spacing w:line="240" w:lineRule="auto" w:before="0" w:after="0"/>
              <w:ind w:left="281" w:right="105" w:hanging="142"/>
              <w:jc w:val="both"/>
              <w:rPr>
                <w:sz w:val="20"/>
              </w:rPr>
            </w:pPr>
            <w:r>
              <w:rPr>
                <w:sz w:val="20"/>
              </w:rPr>
              <w:t>La CHPH es producto de la articulación de eventos históricos en la región</w:t>
            </w:r>
          </w:p>
          <w:p>
            <w:pPr>
              <w:pStyle w:val="TableParagraph"/>
              <w:numPr>
                <w:ilvl w:val="0"/>
                <w:numId w:val="277"/>
              </w:numPr>
              <w:tabs>
                <w:tab w:pos="463" w:val="left" w:leader="none"/>
                <w:tab w:pos="464" w:val="left" w:leader="none"/>
              </w:tabs>
              <w:spacing w:line="240" w:lineRule="auto"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277"/>
              </w:numPr>
              <w:tabs>
                <w:tab w:pos="463" w:val="left" w:leader="none"/>
                <w:tab w:pos="464" w:val="left" w:leader="none"/>
              </w:tabs>
              <w:spacing w:line="240" w:lineRule="auto" w:before="0" w:after="0"/>
              <w:ind w:left="463" w:right="0" w:hanging="360"/>
              <w:jc w:val="left"/>
              <w:rPr>
                <w:sz w:val="20"/>
              </w:rPr>
            </w:pPr>
            <w:r>
              <w:rPr>
                <w:sz w:val="20"/>
              </w:rPr>
              <w:t>Favorece la</w:t>
            </w:r>
            <w:r>
              <w:rPr>
                <w:spacing w:val="-10"/>
                <w:sz w:val="20"/>
              </w:rPr>
              <w:t> </w:t>
            </w:r>
            <w:r>
              <w:rPr>
                <w:sz w:val="20"/>
              </w:rPr>
              <w:t>gobernanza</w:t>
            </w:r>
          </w:p>
        </w:tc>
        <w:tc>
          <w:tcPr>
            <w:tcW w:w="1447" w:type="dxa"/>
            <w:tcBorders>
              <w:top w:val="nil"/>
            </w:tcBorders>
          </w:tcPr>
          <w:p>
            <w:pPr/>
          </w:p>
        </w:tc>
        <w:tc>
          <w:tcPr>
            <w:tcW w:w="2108" w:type="dxa"/>
            <w:tcBorders>
              <w:top w:val="nil"/>
            </w:tcBorders>
          </w:tcPr>
          <w:p>
            <w:pPr/>
          </w:p>
        </w:tc>
        <w:tc>
          <w:tcPr>
            <w:tcW w:w="1529" w:type="dxa"/>
            <w:tcBorders>
              <w:top w:val="nil"/>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6"/>
        <w:gridCol w:w="3841"/>
        <w:gridCol w:w="1447"/>
        <w:gridCol w:w="2108"/>
        <w:gridCol w:w="1529"/>
      </w:tblGrid>
      <w:tr>
        <w:trPr>
          <w:trHeight w:val="710" w:hRule="exact"/>
        </w:trPr>
        <w:tc>
          <w:tcPr>
            <w:tcW w:w="954" w:type="dxa"/>
            <w:tcBorders>
              <w:left w:val="double" w:sz="11" w:space="0" w:color="000000"/>
            </w:tcBorders>
          </w:tcPr>
          <w:p>
            <w:pPr/>
          </w:p>
        </w:tc>
        <w:tc>
          <w:tcPr>
            <w:tcW w:w="1526" w:type="dxa"/>
          </w:tcPr>
          <w:p>
            <w:pPr/>
          </w:p>
        </w:tc>
        <w:tc>
          <w:tcPr>
            <w:tcW w:w="1416" w:type="dxa"/>
          </w:tcPr>
          <w:p>
            <w:pPr/>
          </w:p>
        </w:tc>
        <w:tc>
          <w:tcPr>
            <w:tcW w:w="3841" w:type="dxa"/>
          </w:tcPr>
          <w:p>
            <w:pPr>
              <w:pStyle w:val="TableParagraph"/>
              <w:numPr>
                <w:ilvl w:val="0"/>
                <w:numId w:val="278"/>
              </w:numPr>
              <w:tabs>
                <w:tab w:pos="463" w:val="left" w:leader="none"/>
                <w:tab w:pos="464" w:val="left" w:leader="none"/>
              </w:tabs>
              <w:spacing w:line="240" w:lineRule="auto" w:before="7"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278"/>
              </w:numPr>
              <w:tabs>
                <w:tab w:pos="463" w:val="left" w:leader="none"/>
                <w:tab w:pos="464" w:val="left" w:leader="none"/>
              </w:tabs>
              <w:spacing w:line="240" w:lineRule="auto" w:before="0" w:after="0"/>
              <w:ind w:left="463" w:right="107" w:hanging="360"/>
              <w:jc w:val="left"/>
              <w:rPr>
                <w:sz w:val="20"/>
              </w:rPr>
            </w:pPr>
            <w:r>
              <w:rPr>
                <w:sz w:val="20"/>
              </w:rPr>
              <w:t>Existe planeación sociopolítica con articulación entre</w:t>
            </w:r>
            <w:r>
              <w:rPr>
                <w:spacing w:val="-11"/>
                <w:sz w:val="20"/>
              </w:rPr>
              <w:t> </w:t>
            </w:r>
            <w:r>
              <w:rPr>
                <w:sz w:val="20"/>
              </w:rPr>
              <w:t>actores</w:t>
            </w:r>
          </w:p>
        </w:tc>
        <w:tc>
          <w:tcPr>
            <w:tcW w:w="1447" w:type="dxa"/>
          </w:tcPr>
          <w:p>
            <w:pPr/>
          </w:p>
        </w:tc>
        <w:tc>
          <w:tcPr>
            <w:tcW w:w="2108" w:type="dxa"/>
          </w:tcPr>
          <w:p>
            <w:pPr/>
          </w:p>
        </w:tc>
        <w:tc>
          <w:tcPr>
            <w:tcW w:w="1529" w:type="dxa"/>
            <w:tcBorders>
              <w:right w:val="double" w:sz="12" w:space="0" w:color="000000"/>
            </w:tcBorders>
          </w:tcPr>
          <w:p>
            <w:pPr>
              <w:pStyle w:val="TableParagraph"/>
              <w:ind w:left="0" w:right="-50"/>
              <w:rPr>
                <w:rFonts w:ascii="Times New Roman"/>
                <w:sz w:val="20"/>
              </w:rPr>
            </w:pPr>
            <w:r>
              <w:rPr>
                <w:rFonts w:ascii="Times New Roman"/>
                <w:sz w:val="20"/>
              </w:rPr>
              <w:pict>
                <v:group style="width:74.05pt;height:34.6pt;mso-position-horizontal-relative:char;mso-position-vertical-relative:line" coordorigin="0,0" coordsize="1481,692">
                  <v:shape style="position:absolute;left:0;top:0;width:1481;height:691" type="#_x0000_t75" stroked="false">
                    <v:imagedata r:id="rId513" o:title=""/>
                  </v:shape>
                </v:group>
              </w:pict>
            </w:r>
            <w:r>
              <w:rPr>
                <w:rFonts w:ascii="Times New Roman"/>
                <w:sz w:val="20"/>
              </w:rPr>
            </w:r>
          </w:p>
        </w:tc>
      </w:tr>
      <w:tr>
        <w:trPr>
          <w:trHeight w:val="2540" w:hRule="exact"/>
        </w:trPr>
        <w:tc>
          <w:tcPr>
            <w:tcW w:w="954" w:type="dxa"/>
            <w:vMerge w:val="restart"/>
            <w:tcBorders>
              <w:left w:val="double" w:sz="11" w:space="0" w:color="000000"/>
            </w:tcBorders>
          </w:tcPr>
          <w:p>
            <w:pPr/>
          </w:p>
        </w:tc>
        <w:tc>
          <w:tcPr>
            <w:tcW w:w="152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7"/>
              <w:ind w:left="0" w:right="2"/>
              <w:jc w:val="center"/>
              <w:rPr>
                <w:b/>
                <w:sz w:val="20"/>
              </w:rPr>
            </w:pPr>
            <w:r>
              <w:rPr>
                <w:b/>
                <w:w w:val="99"/>
                <w:sz w:val="20"/>
              </w:rPr>
              <w:t>1</w:t>
            </w:r>
          </w:p>
        </w:tc>
        <w:tc>
          <w:tcPr>
            <w:tcW w:w="1416" w:type="dxa"/>
          </w:tcPr>
          <w:p>
            <w:pPr>
              <w:pStyle w:val="TableParagraph"/>
              <w:spacing w:line="227" w:lineRule="exact"/>
              <w:rPr>
                <w:sz w:val="20"/>
              </w:rPr>
            </w:pPr>
            <w:r>
              <w:rPr>
                <w:sz w:val="20"/>
              </w:rPr>
              <w:t>Ambiental</w:t>
            </w:r>
          </w:p>
        </w:tc>
        <w:tc>
          <w:tcPr>
            <w:tcW w:w="3841" w:type="dxa"/>
          </w:tcPr>
          <w:p>
            <w:pPr>
              <w:pStyle w:val="TableParagraph"/>
              <w:numPr>
                <w:ilvl w:val="0"/>
                <w:numId w:val="279"/>
              </w:numPr>
              <w:tabs>
                <w:tab w:pos="812" w:val="left" w:leader="none"/>
              </w:tabs>
              <w:spacing w:line="240" w:lineRule="auto" w:before="0" w:after="0"/>
              <w:ind w:left="281" w:right="104" w:hanging="142"/>
              <w:jc w:val="both"/>
              <w:rPr>
                <w:sz w:val="20"/>
              </w:rPr>
            </w:pPr>
            <w:r>
              <w:rPr>
                <w:sz w:val="20"/>
              </w:rPr>
              <w:t>Existe relación entre agua- ambiente-sociedad</w:t>
            </w:r>
          </w:p>
          <w:p>
            <w:pPr>
              <w:pStyle w:val="TableParagraph"/>
              <w:numPr>
                <w:ilvl w:val="0"/>
                <w:numId w:val="279"/>
              </w:numPr>
              <w:tabs>
                <w:tab w:pos="812" w:val="left" w:leader="none"/>
              </w:tabs>
              <w:spacing w:line="240" w:lineRule="auto" w:before="0" w:after="0"/>
              <w:ind w:left="281" w:right="103" w:hanging="142"/>
              <w:jc w:val="both"/>
              <w:rPr>
                <w:sz w:val="20"/>
              </w:rPr>
            </w:pPr>
            <w:r>
              <w:rPr>
                <w:sz w:val="20"/>
              </w:rPr>
              <w:t>Existe conciencia o interés en los actores históricos para cuidar el medio</w:t>
            </w:r>
            <w:r>
              <w:rPr>
                <w:spacing w:val="-5"/>
                <w:sz w:val="20"/>
              </w:rPr>
              <w:t> </w:t>
            </w:r>
            <w:r>
              <w:rPr>
                <w:sz w:val="20"/>
              </w:rPr>
              <w:t>ambiente</w:t>
            </w:r>
          </w:p>
          <w:p>
            <w:pPr>
              <w:pStyle w:val="TableParagraph"/>
              <w:numPr>
                <w:ilvl w:val="0"/>
                <w:numId w:val="279"/>
              </w:numPr>
              <w:tabs>
                <w:tab w:pos="812" w:val="left" w:leader="none"/>
              </w:tabs>
              <w:spacing w:line="240" w:lineRule="auto" w:before="0" w:after="0"/>
              <w:ind w:left="281" w:right="106" w:hanging="142"/>
              <w:jc w:val="both"/>
              <w:rPr>
                <w:sz w:val="20"/>
              </w:rPr>
            </w:pPr>
            <w:r>
              <w:rPr>
                <w:sz w:val="20"/>
              </w:rPr>
              <w:t>Las instituciones sociopolíticas como El Municipio y El Ejido están interesadas en proteger el medio ambiente</w:t>
            </w:r>
          </w:p>
          <w:p>
            <w:pPr>
              <w:pStyle w:val="TableParagraph"/>
              <w:tabs>
                <w:tab w:pos="1072" w:val="left" w:leader="none"/>
                <w:tab w:pos="2286" w:val="left" w:leader="none"/>
                <w:tab w:pos="3401" w:val="left" w:leader="none"/>
              </w:tabs>
              <w:ind w:left="281" w:right="104"/>
              <w:rPr>
                <w:sz w:val="20"/>
              </w:rPr>
            </w:pPr>
            <w:r>
              <w:rPr>
                <w:sz w:val="20"/>
              </w:rPr>
              <w:t>Existe</w:t>
              <w:tab/>
              <w:t>planeación</w:t>
              <w:tab/>
              <w:t>ambiental</w:t>
              <w:tab/>
              <w:t>con articulación entre</w:t>
            </w:r>
            <w:r>
              <w:rPr>
                <w:spacing w:val="-11"/>
                <w:sz w:val="20"/>
              </w:rPr>
              <w:t> </w:t>
            </w:r>
            <w:r>
              <w:rPr>
                <w:sz w:val="20"/>
              </w:rPr>
              <w:t>actores</w:t>
            </w:r>
          </w:p>
        </w:tc>
        <w:tc>
          <w:tcPr>
            <w:tcW w:w="1447" w:type="dxa"/>
            <w:vMerge w:val="restart"/>
          </w:tcPr>
          <w:p>
            <w:pPr/>
          </w:p>
        </w:tc>
        <w:tc>
          <w:tcPr>
            <w:tcW w:w="2108" w:type="dxa"/>
            <w:vMerge w:val="restart"/>
          </w:tcPr>
          <w:p>
            <w:pPr>
              <w:pStyle w:val="TableParagraph"/>
              <w:tabs>
                <w:tab w:pos="1624" w:val="left" w:leader="none"/>
              </w:tabs>
              <w:ind w:left="100" w:right="106"/>
              <w:jc w:val="both"/>
              <w:rPr>
                <w:b/>
                <w:sz w:val="20"/>
              </w:rPr>
            </w:pPr>
            <w:r>
              <w:rPr>
                <w:sz w:val="20"/>
              </w:rPr>
              <w:t>Debe reunir </w:t>
            </w:r>
            <w:r>
              <w:rPr>
                <w:b/>
                <w:sz w:val="20"/>
              </w:rPr>
              <w:t>al menos el 50% una de</w:t>
              <w:tab/>
              <w:t>tres</w:t>
            </w:r>
          </w:p>
          <w:p>
            <w:pPr>
              <w:pStyle w:val="TableParagraph"/>
              <w:spacing w:before="3"/>
              <w:ind w:left="100" w:right="108"/>
              <w:jc w:val="both"/>
              <w:rPr>
                <w:sz w:val="20"/>
              </w:rPr>
            </w:pPr>
            <w:r>
              <w:rPr>
                <w:sz w:val="20"/>
              </w:rPr>
              <w:t>características de impacto positivo</w:t>
            </w:r>
          </w:p>
        </w:tc>
        <w:tc>
          <w:tcPr>
            <w:tcW w:w="1529"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1"/>
              </w:rPr>
            </w:pPr>
          </w:p>
          <w:p>
            <w:pPr>
              <w:pStyle w:val="TableParagraph"/>
              <w:spacing w:before="1"/>
              <w:ind w:left="367"/>
              <w:rPr>
                <w:b/>
                <w:sz w:val="20"/>
              </w:rPr>
            </w:pPr>
            <w:r>
              <w:rPr>
                <w:b/>
                <w:sz w:val="20"/>
              </w:rPr>
              <w:t>Regular</w:t>
            </w:r>
          </w:p>
        </w:tc>
      </w:tr>
      <w:tr>
        <w:trPr>
          <w:trHeight w:val="3461"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27" w:lineRule="exact"/>
              <w:rPr>
                <w:sz w:val="20"/>
              </w:rPr>
            </w:pPr>
            <w:r>
              <w:rPr>
                <w:sz w:val="20"/>
              </w:rPr>
              <w:t>Económico</w:t>
            </w:r>
          </w:p>
        </w:tc>
        <w:tc>
          <w:tcPr>
            <w:tcW w:w="3841" w:type="dxa"/>
          </w:tcPr>
          <w:p>
            <w:pPr>
              <w:pStyle w:val="TableParagraph"/>
              <w:numPr>
                <w:ilvl w:val="0"/>
                <w:numId w:val="280"/>
              </w:numPr>
              <w:tabs>
                <w:tab w:pos="812" w:val="left" w:leader="none"/>
              </w:tabs>
              <w:spacing w:line="240" w:lineRule="auto" w:before="0" w:after="0"/>
              <w:ind w:left="281" w:right="105" w:hanging="142"/>
              <w:jc w:val="both"/>
              <w:rPr>
                <w:sz w:val="20"/>
              </w:rPr>
            </w:pPr>
            <w:r>
              <w:rPr>
                <w:sz w:val="20"/>
              </w:rPr>
              <w:t>Existe una dependencia económica de los recursos naturales por parte de los actores de la CHPH como la comida</w:t>
            </w:r>
            <w:r>
              <w:rPr>
                <w:spacing w:val="-8"/>
                <w:sz w:val="20"/>
              </w:rPr>
              <w:t> </w:t>
            </w:r>
            <w:r>
              <w:rPr>
                <w:sz w:val="20"/>
              </w:rPr>
              <w:t>lacustre</w:t>
            </w:r>
          </w:p>
          <w:p>
            <w:pPr>
              <w:pStyle w:val="TableParagraph"/>
              <w:numPr>
                <w:ilvl w:val="0"/>
                <w:numId w:val="280"/>
              </w:numPr>
              <w:tabs>
                <w:tab w:pos="812" w:val="left" w:leader="none"/>
              </w:tabs>
              <w:spacing w:line="240" w:lineRule="auto" w:before="0" w:after="0"/>
              <w:ind w:left="281" w:right="105" w:hanging="142"/>
              <w:jc w:val="both"/>
              <w:rPr>
                <w:sz w:val="20"/>
              </w:rPr>
            </w:pPr>
            <w:r>
              <w:rPr>
                <w:sz w:val="20"/>
              </w:rPr>
              <w:t>La agricultura y la ganadería son la ventaja comparativa histórica de la CHPH</w:t>
            </w:r>
          </w:p>
          <w:p>
            <w:pPr>
              <w:pStyle w:val="TableParagraph"/>
              <w:numPr>
                <w:ilvl w:val="0"/>
                <w:numId w:val="280"/>
              </w:numPr>
              <w:tabs>
                <w:tab w:pos="812" w:val="left" w:leader="none"/>
              </w:tabs>
              <w:spacing w:line="240" w:lineRule="auto" w:before="0" w:after="0"/>
              <w:ind w:left="281" w:right="105" w:hanging="142"/>
              <w:jc w:val="both"/>
              <w:rPr>
                <w:sz w:val="20"/>
              </w:rPr>
            </w:pPr>
            <w:r>
              <w:rPr>
                <w:sz w:val="20"/>
              </w:rPr>
              <w:t>Existe una vinculación económica de los actores de la CHPH con la presa</w:t>
            </w:r>
            <w:r>
              <w:rPr>
                <w:spacing w:val="-9"/>
                <w:sz w:val="20"/>
              </w:rPr>
              <w:t> </w:t>
            </w:r>
            <w:r>
              <w:rPr>
                <w:sz w:val="20"/>
              </w:rPr>
              <w:t>Huapango</w:t>
            </w:r>
          </w:p>
          <w:p>
            <w:pPr>
              <w:pStyle w:val="TableParagraph"/>
              <w:numPr>
                <w:ilvl w:val="0"/>
                <w:numId w:val="280"/>
              </w:numPr>
              <w:tabs>
                <w:tab w:pos="812" w:val="left" w:leader="none"/>
              </w:tabs>
              <w:spacing w:line="240" w:lineRule="auto" w:before="0" w:after="0"/>
              <w:ind w:left="281" w:right="102" w:hanging="142"/>
              <w:jc w:val="both"/>
              <w:rPr>
                <w:sz w:val="20"/>
              </w:rPr>
            </w:pPr>
            <w:r>
              <w:rPr>
                <w:sz w:val="20"/>
              </w:rPr>
              <w:t>Existen grupos económicos consolidados a través de la historia en la</w:t>
            </w:r>
            <w:r>
              <w:rPr>
                <w:spacing w:val="-5"/>
                <w:sz w:val="20"/>
              </w:rPr>
              <w:t> </w:t>
            </w:r>
            <w:r>
              <w:rPr>
                <w:sz w:val="20"/>
              </w:rPr>
              <w:t>CHPH</w:t>
            </w:r>
          </w:p>
          <w:p>
            <w:pPr>
              <w:pStyle w:val="TableParagraph"/>
              <w:numPr>
                <w:ilvl w:val="0"/>
                <w:numId w:val="280"/>
              </w:numPr>
              <w:tabs>
                <w:tab w:pos="812" w:val="left" w:leader="none"/>
              </w:tabs>
              <w:spacing w:line="240" w:lineRule="auto" w:before="0" w:after="0"/>
              <w:ind w:left="281" w:right="103" w:hanging="142"/>
              <w:jc w:val="both"/>
              <w:rPr>
                <w:sz w:val="20"/>
              </w:rPr>
            </w:pPr>
            <w:r>
              <w:rPr>
                <w:sz w:val="20"/>
              </w:rPr>
              <w:t>Existe planeación económica con articulación entre</w:t>
            </w:r>
            <w:r>
              <w:rPr>
                <w:spacing w:val="-7"/>
                <w:sz w:val="20"/>
              </w:rPr>
              <w:t> </w:t>
            </w:r>
            <w:r>
              <w:rPr>
                <w:sz w:val="20"/>
              </w:rPr>
              <w:t>actores</w:t>
            </w:r>
          </w:p>
        </w:tc>
        <w:tc>
          <w:tcPr>
            <w:tcW w:w="1447" w:type="dxa"/>
            <w:vMerge/>
          </w:tcPr>
          <w:p>
            <w:pPr/>
          </w:p>
        </w:tc>
        <w:tc>
          <w:tcPr>
            <w:tcW w:w="2108" w:type="dxa"/>
            <w:vMerge/>
          </w:tcPr>
          <w:p>
            <w:pPr/>
          </w:p>
        </w:tc>
        <w:tc>
          <w:tcPr>
            <w:tcW w:w="1529" w:type="dxa"/>
            <w:vMerge/>
            <w:tcBorders>
              <w:right w:val="double" w:sz="12" w:space="0" w:color="000000"/>
            </w:tcBorders>
            <w:shd w:val="clear" w:color="auto" w:fill="FFFF00"/>
          </w:tcPr>
          <w:p>
            <w:pPr/>
          </w:p>
        </w:tc>
      </w:tr>
      <w:tr>
        <w:trPr>
          <w:trHeight w:val="1431"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27" w:lineRule="exact"/>
              <w:rPr>
                <w:sz w:val="20"/>
              </w:rPr>
            </w:pPr>
            <w:r>
              <w:rPr>
                <w:sz w:val="20"/>
              </w:rPr>
              <w:t>Sociopolítico</w:t>
            </w:r>
          </w:p>
        </w:tc>
        <w:tc>
          <w:tcPr>
            <w:tcW w:w="3841" w:type="dxa"/>
          </w:tcPr>
          <w:p>
            <w:pPr>
              <w:pStyle w:val="TableParagraph"/>
              <w:numPr>
                <w:ilvl w:val="0"/>
                <w:numId w:val="281"/>
              </w:numPr>
              <w:tabs>
                <w:tab w:pos="812" w:val="left" w:leader="none"/>
              </w:tabs>
              <w:spacing w:line="240" w:lineRule="auto" w:before="0" w:after="0"/>
              <w:ind w:left="281" w:right="104" w:hanging="142"/>
              <w:jc w:val="both"/>
              <w:rPr>
                <w:sz w:val="20"/>
              </w:rPr>
            </w:pPr>
            <w:r>
              <w:rPr>
                <w:sz w:val="20"/>
              </w:rPr>
              <w:t>Las instituciones políticas que  se han creado a través del tiempo como El Municipio y El Ejido  favorecen el desarrollo económico de los actores históricos de la</w:t>
            </w:r>
            <w:r>
              <w:rPr>
                <w:spacing w:val="-9"/>
                <w:sz w:val="20"/>
              </w:rPr>
              <w:t> </w:t>
            </w:r>
            <w:r>
              <w:rPr>
                <w:sz w:val="20"/>
              </w:rPr>
              <w:t>CHPH.</w:t>
            </w:r>
          </w:p>
          <w:p>
            <w:pPr>
              <w:pStyle w:val="TableParagraph"/>
              <w:numPr>
                <w:ilvl w:val="0"/>
                <w:numId w:val="281"/>
              </w:numPr>
              <w:tabs>
                <w:tab w:pos="811" w:val="left" w:leader="none"/>
                <w:tab w:pos="812" w:val="left" w:leader="none"/>
              </w:tabs>
              <w:spacing w:line="240" w:lineRule="auto" w:before="0" w:after="0"/>
              <w:ind w:left="811" w:right="0" w:hanging="672"/>
              <w:jc w:val="left"/>
              <w:rPr>
                <w:sz w:val="20"/>
              </w:rPr>
            </w:pPr>
            <w:r>
              <w:rPr>
                <w:sz w:val="20"/>
              </w:rPr>
              <w:t>Los grupos de actores</w:t>
            </w:r>
            <w:r>
              <w:rPr>
                <w:spacing w:val="24"/>
                <w:sz w:val="20"/>
              </w:rPr>
              <w:t> </w:t>
            </w:r>
            <w:r>
              <w:rPr>
                <w:sz w:val="20"/>
              </w:rPr>
              <w:t>históricos</w:t>
            </w:r>
          </w:p>
        </w:tc>
        <w:tc>
          <w:tcPr>
            <w:tcW w:w="1447" w:type="dxa"/>
            <w:vMerge/>
          </w:tcPr>
          <w:p>
            <w:pPr/>
          </w:p>
        </w:tc>
        <w:tc>
          <w:tcPr>
            <w:tcW w:w="2108" w:type="dxa"/>
            <w:vMerge/>
          </w:tcPr>
          <w:p>
            <w:pPr/>
          </w:p>
        </w:tc>
        <w:tc>
          <w:tcPr>
            <w:tcW w:w="1529" w:type="dxa"/>
            <w:vMerge/>
            <w:tcBorders>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6"/>
        <w:gridCol w:w="3841"/>
        <w:gridCol w:w="1447"/>
        <w:gridCol w:w="2108"/>
        <w:gridCol w:w="1529"/>
      </w:tblGrid>
      <w:tr>
        <w:trPr>
          <w:trHeight w:val="2319" w:hRule="exact"/>
        </w:trPr>
        <w:tc>
          <w:tcPr>
            <w:tcW w:w="954" w:type="dxa"/>
            <w:tcBorders>
              <w:left w:val="double" w:sz="11" w:space="0" w:color="000000"/>
            </w:tcBorders>
          </w:tcPr>
          <w:p>
            <w:pPr/>
          </w:p>
        </w:tc>
        <w:tc>
          <w:tcPr>
            <w:tcW w:w="1526" w:type="dxa"/>
          </w:tcPr>
          <w:p>
            <w:pPr/>
          </w:p>
        </w:tc>
        <w:tc>
          <w:tcPr>
            <w:tcW w:w="1416" w:type="dxa"/>
          </w:tcPr>
          <w:p>
            <w:pPr/>
          </w:p>
        </w:tc>
        <w:tc>
          <w:tcPr>
            <w:tcW w:w="3841" w:type="dxa"/>
          </w:tcPr>
          <w:p>
            <w:pPr>
              <w:pStyle w:val="TableParagraph"/>
              <w:tabs>
                <w:tab w:pos="820" w:val="left" w:leader="none"/>
                <w:tab w:pos="1818" w:val="left" w:leader="none"/>
                <w:tab w:pos="2259" w:val="left" w:leader="none"/>
                <w:tab w:pos="2734" w:val="left" w:leader="none"/>
              </w:tabs>
              <w:spacing w:before="7"/>
              <w:ind w:left="281" w:right="108"/>
              <w:rPr>
                <w:sz w:val="20"/>
              </w:rPr>
            </w:pPr>
            <w:r>
              <w:rPr>
                <w:sz w:val="20"/>
              </w:rPr>
              <w:t>son</w:t>
              <w:tab/>
              <w:t>producto</w:t>
              <w:tab/>
              <w:t>de</w:t>
              <w:tab/>
              <w:t>las</w:t>
              <w:tab/>
            </w:r>
            <w:r>
              <w:rPr>
                <w:w w:val="95"/>
                <w:sz w:val="20"/>
              </w:rPr>
              <w:t>estructuras </w:t>
            </w:r>
            <w:r>
              <w:rPr>
                <w:sz w:val="20"/>
              </w:rPr>
              <w:t>históricas</w:t>
            </w:r>
            <w:r>
              <w:rPr>
                <w:spacing w:val="-9"/>
                <w:sz w:val="20"/>
              </w:rPr>
              <w:t> </w:t>
            </w:r>
            <w:r>
              <w:rPr>
                <w:sz w:val="20"/>
              </w:rPr>
              <w:t>sociopolíticas</w:t>
            </w:r>
          </w:p>
          <w:p>
            <w:pPr>
              <w:pStyle w:val="TableParagraph"/>
              <w:numPr>
                <w:ilvl w:val="0"/>
                <w:numId w:val="282"/>
              </w:numPr>
              <w:tabs>
                <w:tab w:pos="812" w:val="left" w:leader="none"/>
              </w:tabs>
              <w:spacing w:line="240" w:lineRule="auto" w:before="0" w:after="0"/>
              <w:ind w:left="281" w:right="104" w:hanging="142"/>
              <w:jc w:val="both"/>
              <w:rPr>
                <w:sz w:val="20"/>
              </w:rPr>
            </w:pPr>
            <w:r>
              <w:rPr>
                <w:sz w:val="20"/>
              </w:rPr>
              <w:t>La CHPH es producto de la articulación de eventos históricos en la región</w:t>
            </w:r>
          </w:p>
          <w:p>
            <w:pPr>
              <w:pStyle w:val="TableParagraph"/>
              <w:numPr>
                <w:ilvl w:val="0"/>
                <w:numId w:val="282"/>
              </w:numPr>
              <w:tabs>
                <w:tab w:pos="463" w:val="left" w:leader="none"/>
                <w:tab w:pos="464" w:val="left" w:leader="none"/>
              </w:tabs>
              <w:spacing w:line="240" w:lineRule="auto"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282"/>
              </w:numPr>
              <w:tabs>
                <w:tab w:pos="463" w:val="left" w:leader="none"/>
                <w:tab w:pos="464" w:val="left" w:leader="none"/>
              </w:tabs>
              <w:spacing w:line="240" w:lineRule="auto"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282"/>
              </w:numPr>
              <w:tabs>
                <w:tab w:pos="463" w:val="left" w:leader="none"/>
                <w:tab w:pos="464" w:val="left" w:leader="none"/>
              </w:tabs>
              <w:spacing w:line="240" w:lineRule="auto"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282"/>
              </w:numPr>
              <w:tabs>
                <w:tab w:pos="463" w:val="left" w:leader="none"/>
                <w:tab w:pos="464" w:val="left" w:leader="none"/>
              </w:tabs>
              <w:spacing w:line="240" w:lineRule="auto" w:before="0" w:after="0"/>
              <w:ind w:left="463" w:right="107" w:hanging="360"/>
              <w:jc w:val="left"/>
              <w:rPr>
                <w:sz w:val="20"/>
              </w:rPr>
            </w:pPr>
            <w:r>
              <w:rPr>
                <w:sz w:val="20"/>
              </w:rPr>
              <w:t>Existe planeación sociopolítica con articulación entre</w:t>
            </w:r>
            <w:r>
              <w:rPr>
                <w:spacing w:val="-11"/>
                <w:sz w:val="20"/>
              </w:rPr>
              <w:t> </w:t>
            </w:r>
            <w:r>
              <w:rPr>
                <w:sz w:val="20"/>
              </w:rPr>
              <w:t>actores</w:t>
            </w:r>
          </w:p>
        </w:tc>
        <w:tc>
          <w:tcPr>
            <w:tcW w:w="1447" w:type="dxa"/>
          </w:tcPr>
          <w:p>
            <w:pPr/>
          </w:p>
        </w:tc>
        <w:tc>
          <w:tcPr>
            <w:tcW w:w="2108" w:type="dxa"/>
          </w:tcPr>
          <w:p>
            <w:pPr/>
          </w:p>
        </w:tc>
        <w:tc>
          <w:tcPr>
            <w:tcW w:w="1529" w:type="dxa"/>
            <w:tcBorders>
              <w:right w:val="double" w:sz="12" w:space="0" w:color="000000"/>
            </w:tcBorders>
            <w:shd w:val="clear" w:color="auto" w:fill="FFFF00"/>
          </w:tcPr>
          <w:p>
            <w:pPr/>
          </w:p>
        </w:tc>
      </w:tr>
      <w:tr>
        <w:trPr>
          <w:trHeight w:val="2729" w:hRule="exact"/>
        </w:trPr>
        <w:tc>
          <w:tcPr>
            <w:tcW w:w="954" w:type="dxa"/>
            <w:vMerge w:val="restart"/>
            <w:tcBorders>
              <w:left w:val="double" w:sz="11" w:space="0" w:color="000000"/>
            </w:tcBorders>
          </w:tcPr>
          <w:p>
            <w:pPr/>
          </w:p>
        </w:tc>
        <w:tc>
          <w:tcPr>
            <w:tcW w:w="152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18"/>
              </w:rPr>
            </w:pPr>
          </w:p>
          <w:p>
            <w:pPr>
              <w:pStyle w:val="TableParagraph"/>
              <w:spacing w:before="1"/>
              <w:ind w:left="0" w:right="2"/>
              <w:jc w:val="center"/>
              <w:rPr>
                <w:b/>
                <w:sz w:val="20"/>
              </w:rPr>
            </w:pPr>
            <w:r>
              <w:rPr>
                <w:b/>
                <w:w w:val="99"/>
                <w:sz w:val="20"/>
              </w:rPr>
              <w:t>1</w:t>
            </w:r>
          </w:p>
        </w:tc>
        <w:tc>
          <w:tcPr>
            <w:tcW w:w="1416" w:type="dxa"/>
          </w:tcPr>
          <w:p>
            <w:pPr>
              <w:pStyle w:val="TableParagraph"/>
              <w:spacing w:line="230" w:lineRule="exact"/>
              <w:rPr>
                <w:sz w:val="20"/>
              </w:rPr>
            </w:pPr>
            <w:r>
              <w:rPr>
                <w:sz w:val="20"/>
              </w:rPr>
              <w:t>Ambiental</w:t>
            </w:r>
          </w:p>
        </w:tc>
        <w:tc>
          <w:tcPr>
            <w:tcW w:w="3841" w:type="dxa"/>
          </w:tcPr>
          <w:p>
            <w:pPr>
              <w:pStyle w:val="TableParagraph"/>
              <w:numPr>
                <w:ilvl w:val="0"/>
                <w:numId w:val="283"/>
              </w:numPr>
              <w:tabs>
                <w:tab w:pos="812" w:val="left" w:leader="none"/>
              </w:tabs>
              <w:spacing w:line="240" w:lineRule="auto" w:before="0" w:after="0"/>
              <w:ind w:left="281" w:right="104" w:hanging="142"/>
              <w:jc w:val="both"/>
              <w:rPr>
                <w:sz w:val="20"/>
              </w:rPr>
            </w:pPr>
            <w:r>
              <w:rPr>
                <w:sz w:val="20"/>
              </w:rPr>
              <w:t>Existe relación entre agua- ambiente-sociedad</w:t>
            </w:r>
          </w:p>
          <w:p>
            <w:pPr>
              <w:pStyle w:val="TableParagraph"/>
              <w:numPr>
                <w:ilvl w:val="0"/>
                <w:numId w:val="283"/>
              </w:numPr>
              <w:tabs>
                <w:tab w:pos="812" w:val="left" w:leader="none"/>
              </w:tabs>
              <w:spacing w:line="240" w:lineRule="auto" w:before="0" w:after="0"/>
              <w:ind w:left="281" w:right="106" w:hanging="142"/>
              <w:jc w:val="both"/>
              <w:rPr>
                <w:sz w:val="20"/>
              </w:rPr>
            </w:pPr>
            <w:r>
              <w:rPr>
                <w:sz w:val="20"/>
              </w:rPr>
              <w:t>Existe conciencia o interés en los actores históricos para cuidar el medio</w:t>
            </w:r>
            <w:r>
              <w:rPr>
                <w:spacing w:val="-5"/>
                <w:sz w:val="20"/>
              </w:rPr>
              <w:t> </w:t>
            </w:r>
            <w:r>
              <w:rPr>
                <w:sz w:val="20"/>
              </w:rPr>
              <w:t>ambiente</w:t>
            </w:r>
          </w:p>
          <w:p>
            <w:pPr>
              <w:pStyle w:val="TableParagraph"/>
              <w:numPr>
                <w:ilvl w:val="0"/>
                <w:numId w:val="283"/>
              </w:numPr>
              <w:tabs>
                <w:tab w:pos="812" w:val="left" w:leader="none"/>
              </w:tabs>
              <w:spacing w:line="240" w:lineRule="auto" w:before="0" w:after="0"/>
              <w:ind w:left="281" w:right="106" w:hanging="142"/>
              <w:jc w:val="both"/>
              <w:rPr>
                <w:sz w:val="20"/>
              </w:rPr>
            </w:pPr>
            <w:r>
              <w:rPr>
                <w:sz w:val="20"/>
              </w:rPr>
              <w:t>Las instituciones sociopolíticas como El Municipio y El Ejido están interesadas en proteger el medio ambiente</w:t>
            </w:r>
          </w:p>
          <w:p>
            <w:pPr>
              <w:pStyle w:val="TableParagraph"/>
              <w:tabs>
                <w:tab w:pos="1072" w:val="left" w:leader="none"/>
                <w:tab w:pos="2286" w:val="left" w:leader="none"/>
                <w:tab w:pos="3401" w:val="left" w:leader="none"/>
              </w:tabs>
              <w:ind w:left="281" w:right="104"/>
              <w:rPr>
                <w:sz w:val="20"/>
              </w:rPr>
            </w:pPr>
            <w:r>
              <w:rPr>
                <w:sz w:val="20"/>
              </w:rPr>
              <w:t>Existe</w:t>
              <w:tab/>
              <w:t>planeación</w:t>
              <w:tab/>
              <w:t>ambiental</w:t>
              <w:tab/>
              <w:t>con articulación entre</w:t>
            </w:r>
            <w:r>
              <w:rPr>
                <w:spacing w:val="-10"/>
                <w:sz w:val="20"/>
              </w:rPr>
              <w:t> </w:t>
            </w:r>
            <w:r>
              <w:rPr>
                <w:sz w:val="20"/>
              </w:rPr>
              <w:t>actores</w:t>
            </w:r>
          </w:p>
        </w:tc>
        <w:tc>
          <w:tcPr>
            <w:tcW w:w="1447" w:type="dxa"/>
            <w:vMerge w:val="restart"/>
          </w:tcPr>
          <w:p>
            <w:pPr/>
          </w:p>
        </w:tc>
        <w:tc>
          <w:tcPr>
            <w:tcW w:w="2108" w:type="dxa"/>
            <w:vMerge w:val="restart"/>
          </w:tcPr>
          <w:p>
            <w:pPr>
              <w:pStyle w:val="TableParagraph"/>
              <w:ind w:left="100" w:right="105"/>
              <w:jc w:val="both"/>
              <w:rPr>
                <w:sz w:val="20"/>
              </w:rPr>
            </w:pPr>
            <w:r>
              <w:rPr>
                <w:sz w:val="20"/>
              </w:rPr>
              <w:t>No reúne ni el 50% en </w:t>
            </w:r>
            <w:r>
              <w:rPr>
                <w:b/>
                <w:sz w:val="20"/>
              </w:rPr>
              <w:t>ninguna </w:t>
            </w:r>
            <w:r>
              <w:rPr>
                <w:sz w:val="20"/>
              </w:rPr>
              <w:t>de las  de impacto</w:t>
            </w:r>
            <w:r>
              <w:rPr>
                <w:spacing w:val="-8"/>
                <w:sz w:val="20"/>
              </w:rPr>
              <w:t> </w:t>
            </w:r>
            <w:r>
              <w:rPr>
                <w:sz w:val="20"/>
              </w:rPr>
              <w:t>positivo</w:t>
            </w:r>
          </w:p>
        </w:tc>
        <w:tc>
          <w:tcPr>
            <w:tcW w:w="1529"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8"/>
              </w:rPr>
            </w:pPr>
          </w:p>
          <w:p>
            <w:pPr>
              <w:pStyle w:val="TableParagraph"/>
              <w:ind w:left="261"/>
              <w:rPr>
                <w:b/>
                <w:sz w:val="20"/>
              </w:rPr>
            </w:pPr>
            <w:r>
              <w:rPr>
                <w:b/>
                <w:sz w:val="20"/>
              </w:rPr>
              <w:t>Deficiente</w:t>
            </w:r>
          </w:p>
        </w:tc>
      </w:tr>
      <w:tr>
        <w:trPr>
          <w:trHeight w:val="3701" w:hRule="exact"/>
        </w:trPr>
        <w:tc>
          <w:tcPr>
            <w:tcW w:w="954" w:type="dxa"/>
            <w:vMerge/>
            <w:tcBorders>
              <w:left w:val="double" w:sz="11" w:space="0" w:color="000000"/>
            </w:tcBorders>
          </w:tcPr>
          <w:p>
            <w:pPr/>
          </w:p>
        </w:tc>
        <w:tc>
          <w:tcPr>
            <w:tcW w:w="1526" w:type="dxa"/>
            <w:vMerge/>
          </w:tcPr>
          <w:p>
            <w:pPr/>
          </w:p>
        </w:tc>
        <w:tc>
          <w:tcPr>
            <w:tcW w:w="1416" w:type="dxa"/>
          </w:tcPr>
          <w:p>
            <w:pPr>
              <w:pStyle w:val="TableParagraph"/>
              <w:spacing w:line="230" w:lineRule="exact"/>
              <w:rPr>
                <w:sz w:val="20"/>
              </w:rPr>
            </w:pPr>
            <w:r>
              <w:rPr>
                <w:sz w:val="20"/>
              </w:rPr>
              <w:t>Económico</w:t>
            </w:r>
          </w:p>
        </w:tc>
        <w:tc>
          <w:tcPr>
            <w:tcW w:w="3841" w:type="dxa"/>
          </w:tcPr>
          <w:p>
            <w:pPr>
              <w:pStyle w:val="TableParagraph"/>
              <w:numPr>
                <w:ilvl w:val="0"/>
                <w:numId w:val="284"/>
              </w:numPr>
              <w:tabs>
                <w:tab w:pos="812" w:val="left" w:leader="none"/>
              </w:tabs>
              <w:spacing w:line="240" w:lineRule="auto" w:before="0" w:after="0"/>
              <w:ind w:left="281" w:right="105" w:hanging="142"/>
              <w:jc w:val="both"/>
              <w:rPr>
                <w:sz w:val="20"/>
              </w:rPr>
            </w:pPr>
            <w:r>
              <w:rPr>
                <w:sz w:val="20"/>
              </w:rPr>
              <w:t>Existe una dependencia económica de los recursos naturales por parte de los actores de la CHPH como la comida</w:t>
            </w:r>
            <w:r>
              <w:rPr>
                <w:spacing w:val="-8"/>
                <w:sz w:val="20"/>
              </w:rPr>
              <w:t> </w:t>
            </w:r>
            <w:r>
              <w:rPr>
                <w:sz w:val="20"/>
              </w:rPr>
              <w:t>lacustre</w:t>
            </w:r>
          </w:p>
          <w:p>
            <w:pPr>
              <w:pStyle w:val="TableParagraph"/>
              <w:numPr>
                <w:ilvl w:val="0"/>
                <w:numId w:val="284"/>
              </w:numPr>
              <w:tabs>
                <w:tab w:pos="812" w:val="left" w:leader="none"/>
              </w:tabs>
              <w:spacing w:line="240" w:lineRule="auto" w:before="0" w:after="0"/>
              <w:ind w:left="281" w:right="104" w:hanging="142"/>
              <w:jc w:val="both"/>
              <w:rPr>
                <w:sz w:val="20"/>
              </w:rPr>
            </w:pPr>
            <w:r>
              <w:rPr>
                <w:sz w:val="20"/>
              </w:rPr>
              <w:t>La agricultura y la ganadería son la ventaja comparativa histórica de la CHPH</w:t>
            </w:r>
          </w:p>
          <w:p>
            <w:pPr>
              <w:pStyle w:val="TableParagraph"/>
              <w:numPr>
                <w:ilvl w:val="0"/>
                <w:numId w:val="284"/>
              </w:numPr>
              <w:tabs>
                <w:tab w:pos="812" w:val="left" w:leader="none"/>
              </w:tabs>
              <w:spacing w:line="240" w:lineRule="auto" w:before="0" w:after="0"/>
              <w:ind w:left="281" w:right="105" w:hanging="142"/>
              <w:jc w:val="both"/>
              <w:rPr>
                <w:sz w:val="20"/>
              </w:rPr>
            </w:pPr>
            <w:r>
              <w:rPr>
                <w:sz w:val="20"/>
              </w:rPr>
              <w:t>Existe una vinculación económica de los actores de la CHPH con la presa</w:t>
            </w:r>
            <w:r>
              <w:rPr>
                <w:spacing w:val="-9"/>
                <w:sz w:val="20"/>
              </w:rPr>
              <w:t> </w:t>
            </w:r>
            <w:r>
              <w:rPr>
                <w:sz w:val="20"/>
              </w:rPr>
              <w:t>Huapango</w:t>
            </w:r>
          </w:p>
          <w:p>
            <w:pPr>
              <w:pStyle w:val="TableParagraph"/>
              <w:numPr>
                <w:ilvl w:val="0"/>
                <w:numId w:val="284"/>
              </w:numPr>
              <w:tabs>
                <w:tab w:pos="812" w:val="left" w:leader="none"/>
              </w:tabs>
              <w:spacing w:line="240" w:lineRule="auto" w:before="0" w:after="0"/>
              <w:ind w:left="281" w:right="102" w:hanging="142"/>
              <w:jc w:val="both"/>
              <w:rPr>
                <w:sz w:val="20"/>
              </w:rPr>
            </w:pPr>
            <w:r>
              <w:rPr>
                <w:sz w:val="20"/>
              </w:rPr>
              <w:t>Existen grupos económicos consolidados a través de la historia en la</w:t>
            </w:r>
            <w:r>
              <w:rPr>
                <w:spacing w:val="-5"/>
                <w:sz w:val="20"/>
              </w:rPr>
              <w:t> </w:t>
            </w:r>
            <w:r>
              <w:rPr>
                <w:sz w:val="20"/>
              </w:rPr>
              <w:t>CHPH</w:t>
            </w:r>
          </w:p>
          <w:p>
            <w:pPr>
              <w:pStyle w:val="TableParagraph"/>
              <w:numPr>
                <w:ilvl w:val="0"/>
                <w:numId w:val="284"/>
              </w:numPr>
              <w:tabs>
                <w:tab w:pos="812" w:val="left" w:leader="none"/>
              </w:tabs>
              <w:spacing w:line="240" w:lineRule="auto" w:before="0" w:after="0"/>
              <w:ind w:left="281" w:right="103" w:hanging="142"/>
              <w:jc w:val="both"/>
              <w:rPr>
                <w:sz w:val="20"/>
              </w:rPr>
            </w:pPr>
            <w:r>
              <w:rPr>
                <w:sz w:val="20"/>
              </w:rPr>
              <w:t>Existe planeación económica con articulación entre</w:t>
            </w:r>
            <w:r>
              <w:rPr>
                <w:spacing w:val="-7"/>
                <w:sz w:val="20"/>
              </w:rPr>
              <w:t> </w:t>
            </w:r>
            <w:r>
              <w:rPr>
                <w:sz w:val="20"/>
              </w:rPr>
              <w:t>actores</w:t>
            </w:r>
          </w:p>
        </w:tc>
        <w:tc>
          <w:tcPr>
            <w:tcW w:w="1447" w:type="dxa"/>
            <w:vMerge/>
          </w:tcPr>
          <w:p>
            <w:pPr/>
          </w:p>
        </w:tc>
        <w:tc>
          <w:tcPr>
            <w:tcW w:w="2108" w:type="dxa"/>
            <w:vMerge/>
          </w:tcPr>
          <w:p>
            <w:pPr/>
          </w:p>
        </w:tc>
        <w:tc>
          <w:tcPr>
            <w:tcW w:w="1529" w:type="dxa"/>
            <w:vMerge/>
            <w:tcBorders>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526"/>
        <w:gridCol w:w="1416"/>
        <w:gridCol w:w="3841"/>
        <w:gridCol w:w="1447"/>
        <w:gridCol w:w="2108"/>
        <w:gridCol w:w="1529"/>
      </w:tblGrid>
      <w:tr>
        <w:trPr>
          <w:trHeight w:val="3699" w:hRule="exact"/>
        </w:trPr>
        <w:tc>
          <w:tcPr>
            <w:tcW w:w="954" w:type="dxa"/>
            <w:tcBorders>
              <w:left w:val="double" w:sz="11" w:space="0" w:color="000000"/>
            </w:tcBorders>
          </w:tcPr>
          <w:p>
            <w:pPr/>
          </w:p>
        </w:tc>
        <w:tc>
          <w:tcPr>
            <w:tcW w:w="1526" w:type="dxa"/>
          </w:tcPr>
          <w:p>
            <w:pPr/>
          </w:p>
        </w:tc>
        <w:tc>
          <w:tcPr>
            <w:tcW w:w="1416" w:type="dxa"/>
          </w:tcPr>
          <w:p>
            <w:pPr>
              <w:pStyle w:val="TableParagraph"/>
              <w:spacing w:before="7"/>
              <w:rPr>
                <w:sz w:val="20"/>
              </w:rPr>
            </w:pPr>
            <w:r>
              <w:rPr>
                <w:sz w:val="20"/>
              </w:rPr>
              <w:t>Sociopolítico</w:t>
            </w:r>
          </w:p>
        </w:tc>
        <w:tc>
          <w:tcPr>
            <w:tcW w:w="3841" w:type="dxa"/>
          </w:tcPr>
          <w:p>
            <w:pPr>
              <w:pStyle w:val="TableParagraph"/>
              <w:numPr>
                <w:ilvl w:val="0"/>
                <w:numId w:val="285"/>
              </w:numPr>
              <w:tabs>
                <w:tab w:pos="812" w:val="left" w:leader="none"/>
              </w:tabs>
              <w:spacing w:line="240" w:lineRule="auto" w:before="7" w:after="0"/>
              <w:ind w:left="281" w:right="105" w:hanging="142"/>
              <w:jc w:val="both"/>
              <w:rPr>
                <w:sz w:val="20"/>
              </w:rPr>
            </w:pPr>
            <w:r>
              <w:rPr>
                <w:sz w:val="20"/>
              </w:rPr>
              <w:t>Las instituciones políticas  que se han creado a través del tiempo como El Municipio y El Ejido  favorecen el desarrollo económico de los actores históricos de la</w:t>
            </w:r>
            <w:r>
              <w:rPr>
                <w:spacing w:val="-9"/>
                <w:sz w:val="20"/>
              </w:rPr>
              <w:t> </w:t>
            </w:r>
            <w:r>
              <w:rPr>
                <w:sz w:val="20"/>
              </w:rPr>
              <w:t>CHPH.</w:t>
            </w:r>
          </w:p>
          <w:p>
            <w:pPr>
              <w:pStyle w:val="TableParagraph"/>
              <w:numPr>
                <w:ilvl w:val="0"/>
                <w:numId w:val="285"/>
              </w:numPr>
              <w:tabs>
                <w:tab w:pos="812" w:val="left" w:leader="none"/>
              </w:tabs>
              <w:spacing w:line="240" w:lineRule="auto" w:before="0" w:after="0"/>
              <w:ind w:left="281" w:right="105" w:hanging="142"/>
              <w:jc w:val="both"/>
              <w:rPr>
                <w:sz w:val="20"/>
              </w:rPr>
            </w:pPr>
            <w:r>
              <w:rPr>
                <w:sz w:val="20"/>
              </w:rPr>
              <w:t>Los grupos de actores históricos son producto de las estructuras históricas</w:t>
            </w:r>
            <w:r>
              <w:rPr>
                <w:spacing w:val="-9"/>
                <w:sz w:val="20"/>
              </w:rPr>
              <w:t> </w:t>
            </w:r>
            <w:r>
              <w:rPr>
                <w:sz w:val="20"/>
              </w:rPr>
              <w:t>sociopolíticas</w:t>
            </w:r>
          </w:p>
          <w:p>
            <w:pPr>
              <w:pStyle w:val="TableParagraph"/>
              <w:numPr>
                <w:ilvl w:val="0"/>
                <w:numId w:val="285"/>
              </w:numPr>
              <w:tabs>
                <w:tab w:pos="812" w:val="left" w:leader="none"/>
              </w:tabs>
              <w:spacing w:line="240" w:lineRule="auto" w:before="0" w:after="0"/>
              <w:ind w:left="281" w:right="105" w:hanging="142"/>
              <w:jc w:val="both"/>
              <w:rPr>
                <w:sz w:val="20"/>
              </w:rPr>
            </w:pPr>
            <w:r>
              <w:rPr>
                <w:sz w:val="20"/>
              </w:rPr>
              <w:t>La CHPH es producto de la articulación de eventos históricos en la región</w:t>
            </w:r>
          </w:p>
          <w:p>
            <w:pPr>
              <w:pStyle w:val="TableParagraph"/>
              <w:numPr>
                <w:ilvl w:val="0"/>
                <w:numId w:val="285"/>
              </w:numPr>
              <w:tabs>
                <w:tab w:pos="463" w:val="left" w:leader="none"/>
                <w:tab w:pos="464" w:val="left" w:leader="none"/>
              </w:tabs>
              <w:spacing w:line="240" w:lineRule="auto" w:before="0" w:after="0"/>
              <w:ind w:left="463" w:right="0" w:hanging="360"/>
              <w:jc w:val="left"/>
              <w:rPr>
                <w:sz w:val="20"/>
              </w:rPr>
            </w:pPr>
            <w:r>
              <w:rPr>
                <w:sz w:val="20"/>
              </w:rPr>
              <w:t>Favorece la</w:t>
            </w:r>
            <w:r>
              <w:rPr>
                <w:spacing w:val="-8"/>
                <w:sz w:val="20"/>
              </w:rPr>
              <w:t> </w:t>
            </w:r>
            <w:r>
              <w:rPr>
                <w:sz w:val="20"/>
              </w:rPr>
              <w:t>GIRH</w:t>
            </w:r>
          </w:p>
          <w:p>
            <w:pPr>
              <w:pStyle w:val="TableParagraph"/>
              <w:numPr>
                <w:ilvl w:val="0"/>
                <w:numId w:val="285"/>
              </w:numPr>
              <w:tabs>
                <w:tab w:pos="463" w:val="left" w:leader="none"/>
                <w:tab w:pos="464" w:val="left" w:leader="none"/>
              </w:tabs>
              <w:spacing w:line="240" w:lineRule="auto" w:before="0" w:after="0"/>
              <w:ind w:left="463" w:right="0" w:hanging="360"/>
              <w:jc w:val="left"/>
              <w:rPr>
                <w:sz w:val="20"/>
              </w:rPr>
            </w:pPr>
            <w:r>
              <w:rPr>
                <w:sz w:val="20"/>
              </w:rPr>
              <w:t>Favorece la</w:t>
            </w:r>
            <w:r>
              <w:rPr>
                <w:spacing w:val="-10"/>
                <w:sz w:val="20"/>
              </w:rPr>
              <w:t> </w:t>
            </w:r>
            <w:r>
              <w:rPr>
                <w:sz w:val="20"/>
              </w:rPr>
              <w:t>gobernanza</w:t>
            </w:r>
          </w:p>
          <w:p>
            <w:pPr>
              <w:pStyle w:val="TableParagraph"/>
              <w:numPr>
                <w:ilvl w:val="0"/>
                <w:numId w:val="285"/>
              </w:numPr>
              <w:tabs>
                <w:tab w:pos="463" w:val="left" w:leader="none"/>
                <w:tab w:pos="464" w:val="left" w:leader="none"/>
              </w:tabs>
              <w:spacing w:line="240" w:lineRule="auto" w:before="0" w:after="0"/>
              <w:ind w:left="463" w:right="0" w:hanging="360"/>
              <w:jc w:val="left"/>
              <w:rPr>
                <w:sz w:val="20"/>
              </w:rPr>
            </w:pPr>
            <w:r>
              <w:rPr>
                <w:sz w:val="20"/>
              </w:rPr>
              <w:t>Fortalece la</w:t>
            </w:r>
            <w:r>
              <w:rPr>
                <w:spacing w:val="-11"/>
                <w:sz w:val="20"/>
              </w:rPr>
              <w:t> </w:t>
            </w:r>
            <w:r>
              <w:rPr>
                <w:sz w:val="20"/>
              </w:rPr>
              <w:t>gobernabilidad</w:t>
            </w:r>
          </w:p>
          <w:p>
            <w:pPr>
              <w:pStyle w:val="TableParagraph"/>
              <w:numPr>
                <w:ilvl w:val="0"/>
                <w:numId w:val="285"/>
              </w:numPr>
              <w:tabs>
                <w:tab w:pos="463" w:val="left" w:leader="none"/>
                <w:tab w:pos="464" w:val="left" w:leader="none"/>
              </w:tabs>
              <w:spacing w:line="240" w:lineRule="auto" w:before="0" w:after="0"/>
              <w:ind w:left="463" w:right="107" w:hanging="360"/>
              <w:jc w:val="left"/>
              <w:rPr>
                <w:sz w:val="20"/>
              </w:rPr>
            </w:pPr>
            <w:r>
              <w:rPr>
                <w:sz w:val="20"/>
              </w:rPr>
              <w:t>Existe planeación sociopolítica con articulación entre</w:t>
            </w:r>
            <w:r>
              <w:rPr>
                <w:spacing w:val="-11"/>
                <w:sz w:val="20"/>
              </w:rPr>
              <w:t> </w:t>
            </w:r>
            <w:r>
              <w:rPr>
                <w:sz w:val="20"/>
              </w:rPr>
              <w:t>actores</w:t>
            </w:r>
          </w:p>
        </w:tc>
        <w:tc>
          <w:tcPr>
            <w:tcW w:w="1447" w:type="dxa"/>
          </w:tcPr>
          <w:p>
            <w:pPr/>
          </w:p>
        </w:tc>
        <w:tc>
          <w:tcPr>
            <w:tcW w:w="2108" w:type="dxa"/>
          </w:tcPr>
          <w:p>
            <w:pPr/>
          </w:p>
        </w:tc>
        <w:tc>
          <w:tcPr>
            <w:tcW w:w="1529" w:type="dxa"/>
            <w:tcBorders>
              <w:right w:val="double" w:sz="12" w:space="0" w:color="000000"/>
            </w:tcBorders>
            <w:shd w:val="clear" w:color="auto" w:fill="FF0000"/>
          </w:tcPr>
          <w:p>
            <w:pPr/>
          </w:p>
        </w:tc>
      </w:tr>
      <w:tr>
        <w:trPr>
          <w:trHeight w:val="5072"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p>
            <w:pPr>
              <w:pStyle w:val="TableParagraph"/>
              <w:ind w:left="0"/>
              <w:rPr>
                <w:rFonts w:ascii="Times New Roman"/>
                <w:sz w:val="22"/>
              </w:rPr>
            </w:pPr>
          </w:p>
          <w:p>
            <w:pPr>
              <w:pStyle w:val="TableParagraph"/>
              <w:ind w:left="27"/>
              <w:jc w:val="both"/>
              <w:rPr>
                <w:b/>
                <w:sz w:val="22"/>
              </w:rPr>
            </w:pPr>
            <w:r>
              <w:rPr>
                <w:b/>
                <w:sz w:val="22"/>
              </w:rPr>
              <w:t>Interpretación de la anterior gráfica y la tarjeta de valoración:</w:t>
            </w:r>
          </w:p>
          <w:p>
            <w:pPr>
              <w:pStyle w:val="TableParagraph"/>
              <w:numPr>
                <w:ilvl w:val="0"/>
                <w:numId w:val="286"/>
              </w:numPr>
              <w:tabs>
                <w:tab w:pos="170" w:val="left" w:leader="none"/>
              </w:tabs>
              <w:spacing w:line="240" w:lineRule="auto" w:before="4" w:after="0"/>
              <w:ind w:left="27" w:right="22" w:firstLine="0"/>
              <w:jc w:val="both"/>
              <w:rPr>
                <w:sz w:val="22"/>
              </w:rPr>
            </w:pPr>
            <w:r>
              <w:rPr>
                <w:sz w:val="22"/>
              </w:rPr>
              <w:t>En 1400, época prehispánica, la Cuenca pertenecía a la provincia política del Señorío de Xilotepec. Estaba poblada por otomíes principalmente, divididos en clases sociales. Su base económica estaba apoyada principalmente en el uso intensivo de un cuerpo de agua utilizado para el riego (ese antiguo cuerpo de agua daría posteriormente lugar a la presa Huapango y a la presa Huaracha). Debido a esa intensidad del uso del agua, dicha provincia y Señorío de Xilotepec, adquirió una importancia política, religiosa y económica hasta convertirse en un importante Estado prehispánico con centro ceremonial y religioso llamado Jilotepec, por lo que su impacto en lo ambiental, sociopolítico y económico era</w:t>
            </w:r>
            <w:r>
              <w:rPr>
                <w:spacing w:val="-24"/>
                <w:sz w:val="22"/>
              </w:rPr>
              <w:t> </w:t>
            </w:r>
            <w:r>
              <w:rPr>
                <w:sz w:val="22"/>
              </w:rPr>
              <w:t>excelente.</w:t>
            </w:r>
          </w:p>
          <w:p>
            <w:pPr>
              <w:pStyle w:val="TableParagraph"/>
              <w:numPr>
                <w:ilvl w:val="0"/>
                <w:numId w:val="286"/>
              </w:numPr>
              <w:tabs>
                <w:tab w:pos="165" w:val="left" w:leader="none"/>
              </w:tabs>
              <w:spacing w:line="240" w:lineRule="auto" w:before="0" w:after="0"/>
              <w:ind w:left="27" w:right="28" w:firstLine="0"/>
              <w:jc w:val="both"/>
              <w:rPr>
                <w:sz w:val="22"/>
              </w:rPr>
            </w:pPr>
            <w:r>
              <w:rPr>
                <w:sz w:val="22"/>
              </w:rPr>
              <w:t>En 1519, dicha región fue visitada por primera vez por los españoles; pero fue a mediados de la década de 1520 que la provincia de Xilotepec fue dominada en la parte sur por los españoles, y en 1533 se le asignó el territorio como Encomienda,  al conquistador Juan Jaramillo de Salvatierra (esposo de la Malinche), por lo que apenas empezaba la conquista española del Señorío de Xilotepec, es por ello que está época todavía puede considerarse como</w:t>
            </w:r>
            <w:r>
              <w:rPr>
                <w:spacing w:val="-18"/>
                <w:sz w:val="22"/>
              </w:rPr>
              <w:t> </w:t>
            </w:r>
            <w:r>
              <w:rPr>
                <w:sz w:val="22"/>
              </w:rPr>
              <w:t>excelente.</w:t>
            </w:r>
          </w:p>
          <w:p>
            <w:pPr>
              <w:pStyle w:val="TableParagraph"/>
              <w:numPr>
                <w:ilvl w:val="0"/>
                <w:numId w:val="286"/>
              </w:numPr>
              <w:tabs>
                <w:tab w:pos="294" w:val="left" w:leader="none"/>
              </w:tabs>
              <w:spacing w:line="240" w:lineRule="auto" w:before="1" w:after="0"/>
              <w:ind w:left="27" w:right="22" w:firstLine="63"/>
              <w:jc w:val="both"/>
              <w:rPr>
                <w:sz w:val="22"/>
              </w:rPr>
            </w:pPr>
            <w:r>
              <w:rPr>
                <w:sz w:val="22"/>
              </w:rPr>
              <w:t>Hacia el año 1580, con la dominación española, la encomienda de la provincia de Xilotepec se conformó política y económicamente en territorio de haciendas de ganado mayor y menor, en las que trabajaba un número creciente de españoles y mulatos. Así que para el año de 1794, ya existían 25 haciendas y 95 ranchos ganaderos y productores de leche. En este período hubo impacto económico y político, pero sobre todo, los derechos civiles de los trabajadores nativos eran precarios, porque existía concentración de la tierra y sobreexplotación de su labor a través de las tiendas de raya, es por ello que la cultura económica de los pueblos nativos se vio limitada y la concentración de recursos naturales estaba en manos de los españoles, por ello este período se considera como buena en términos de cultura</w:t>
            </w:r>
            <w:r>
              <w:rPr>
                <w:spacing w:val="-15"/>
                <w:sz w:val="22"/>
              </w:rPr>
              <w:t> </w:t>
            </w:r>
            <w:r>
              <w:rPr>
                <w:sz w:val="22"/>
              </w:rPr>
              <w:t>económica.</w:t>
            </w:r>
          </w:p>
        </w:tc>
      </w:tr>
    </w:tbl>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28576"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ListParagraph"/>
        <w:numPr>
          <w:ilvl w:val="0"/>
          <w:numId w:val="121"/>
        </w:numPr>
        <w:tabs>
          <w:tab w:pos="348" w:val="left" w:leader="none"/>
        </w:tabs>
        <w:spacing w:line="240" w:lineRule="auto" w:before="72" w:after="0"/>
        <w:ind w:left="180" w:right="398" w:firstLine="0"/>
        <w:jc w:val="both"/>
        <w:rPr>
          <w:sz w:val="22"/>
        </w:rPr>
      </w:pPr>
      <w:r>
        <w:rPr>
          <w:sz w:val="22"/>
        </w:rPr>
        <w:t>Hacia 1785-1788, los religiosos franciscanos que ya estaban en la región y que también eran dueños de ranchos y tierras, decidieron construir sobre el antiguo lago prehispánico, una presa de gran tamaño, capaz de regar tierras para el cultivo, y dar sostenimiento a miles de cabezas de ganado mayor. Dicho cuerpo de agua se conoció como presa o laguna de Huapango, uno  de los cuerpos de agua artificial más grandes del centro del país, y origen de la actual cuenca lechera más importante del Estado de México. En esta época subió el impacto económico, político y social de la región al aumentar el uso de los recursos de la CHPH, principalmente el agua, sin embargo el manejo del recurso agua estaba en manos de los españoles, por lo que se considera un período de tiempo</w:t>
      </w:r>
      <w:r>
        <w:rPr>
          <w:spacing w:val="-9"/>
          <w:sz w:val="22"/>
        </w:rPr>
        <w:t> </w:t>
      </w:r>
      <w:r>
        <w:rPr>
          <w:sz w:val="22"/>
        </w:rPr>
        <w:t>bueno.</w:t>
      </w:r>
    </w:p>
    <w:p>
      <w:pPr>
        <w:pStyle w:val="ListParagraph"/>
        <w:numPr>
          <w:ilvl w:val="0"/>
          <w:numId w:val="121"/>
        </w:numPr>
        <w:tabs>
          <w:tab w:pos="320" w:val="left" w:leader="none"/>
        </w:tabs>
        <w:spacing w:line="240" w:lineRule="auto" w:before="1" w:after="0"/>
        <w:ind w:left="180" w:right="401" w:firstLine="0"/>
        <w:jc w:val="both"/>
        <w:rPr>
          <w:sz w:val="22"/>
        </w:rPr>
      </w:pPr>
      <w:r>
        <w:rPr>
          <w:sz w:val="22"/>
        </w:rPr>
        <w:t>En 1810 inició la independencia de la antigua Nueva España, hoy México. Esta fecha tiene un gran impacto porque se considera el parteaguas de la lucha civil en la CHPH, para que se reconocieran mejores derechos sociopolíticos, económicos y ambientales de los ciudadanos de la antigua provincia de Xilotepec, ya que la concentración de los recursos naturales seguía estando en  pocas manos, por lo que este período se considera</w:t>
      </w:r>
      <w:r>
        <w:rPr>
          <w:spacing w:val="-12"/>
          <w:sz w:val="22"/>
        </w:rPr>
        <w:t> </w:t>
      </w:r>
      <w:r>
        <w:rPr>
          <w:sz w:val="22"/>
        </w:rPr>
        <w:t>bueno.</w:t>
      </w:r>
    </w:p>
    <w:p>
      <w:pPr>
        <w:pStyle w:val="ListParagraph"/>
        <w:numPr>
          <w:ilvl w:val="0"/>
          <w:numId w:val="121"/>
        </w:numPr>
        <w:tabs>
          <w:tab w:pos="336" w:val="left" w:leader="none"/>
        </w:tabs>
        <w:spacing w:line="240" w:lineRule="auto" w:before="0" w:after="0"/>
        <w:ind w:left="180" w:right="397" w:firstLine="0"/>
        <w:jc w:val="both"/>
        <w:rPr>
          <w:sz w:val="22"/>
        </w:rPr>
      </w:pPr>
      <w:r>
        <w:rPr>
          <w:sz w:val="22"/>
        </w:rPr>
        <w:t>Aunque el municipio en México tiene sus orígenes en la época prehispánica con los </w:t>
      </w:r>
      <w:r>
        <w:rPr>
          <w:i/>
          <w:sz w:val="22"/>
        </w:rPr>
        <w:t>Tlahtocayos</w:t>
      </w:r>
      <w:r>
        <w:rPr>
          <w:sz w:val="22"/>
        </w:rPr>
        <w:t>, fue hasta la Constitución de Cádiz de 1812, que se constituyó formalmente; este evento histórico socio político, permitió que se formaran e instituyeran </w:t>
      </w:r>
      <w:r>
        <w:rPr>
          <w:spacing w:val="3"/>
          <w:sz w:val="22"/>
        </w:rPr>
        <w:t>los </w:t>
      </w:r>
      <w:r>
        <w:rPr>
          <w:sz w:val="22"/>
        </w:rPr>
        <w:t>actuales municipios de la CHPH, siendo el primero en 1861 por decreto No. 27 la Villa de Jilotepec. Sin embargo dicha institución surge con una serie de limitaciones importantes que repercuten hasta la fecha, entre las principales deficiencias está la administración de sólo algunos servicios públicos, donde no se cuenta ni estipula su competencia jurídica en torno a la protección del medio ambiente, y menos en conjunto con los municipios vecinos y aunque el artículo 115 de la Constitución Política de los Estados Unidos Méxicanos ha tenido una serie de reformas, aún no son suficientes para garantizar las interrelaciones socioeconómicas de los actores de los municipios que integran la CHPH, por lo que se considera esta época como</w:t>
      </w:r>
      <w:r>
        <w:rPr>
          <w:spacing w:val="-29"/>
          <w:sz w:val="22"/>
        </w:rPr>
        <w:t> </w:t>
      </w:r>
      <w:r>
        <w:rPr>
          <w:sz w:val="22"/>
        </w:rPr>
        <w:t>bueno.</w:t>
      </w:r>
    </w:p>
    <w:p>
      <w:pPr>
        <w:pStyle w:val="ListParagraph"/>
        <w:numPr>
          <w:ilvl w:val="0"/>
          <w:numId w:val="121"/>
        </w:numPr>
        <w:tabs>
          <w:tab w:pos="332" w:val="left" w:leader="none"/>
        </w:tabs>
        <w:spacing w:line="240" w:lineRule="auto" w:before="1" w:after="0"/>
        <w:ind w:left="180" w:right="399" w:firstLine="0"/>
        <w:jc w:val="both"/>
        <w:rPr>
          <w:sz w:val="22"/>
        </w:rPr>
      </w:pPr>
      <w:r>
        <w:rPr>
          <w:sz w:val="22"/>
        </w:rPr>
        <w:t>En 1910, inicio la revolución mexicana que tuvo varias causas, entre ellas, la dictadura en la presidencia de la República, pero sobre todo, fueron los grandes latifundios que provocaron la decadencia de la agricultura, ya que el territorio nacional era propiedad de tan sólo 840 familias de hacendados, donde los abusos de esclavitud contra el campesinado y los obreros, limitaron el desarrollo agrícola y social de los actores. Dichas injusticias sociales provocaron la demanda de derechos civiles, por lo que dichas peticiones se plasmaron en la Constitución de 1917, como el derecho a la tierra y el acceso a los recursos naturales. Sin embargo, estos derechos fueron abusados por nuevos actores, lo que ocasionó la sobreexplotación de los recursos naturales, sobre todo bosques y aguas, provocando nuevas desigualdades sociopolíticas, por lo que ésta época tiene impacto bueno en lo social, económico y ambiental de la</w:t>
      </w:r>
      <w:r>
        <w:rPr>
          <w:spacing w:val="-11"/>
          <w:sz w:val="22"/>
        </w:rPr>
        <w:t> </w:t>
      </w:r>
      <w:r>
        <w:rPr>
          <w:sz w:val="22"/>
        </w:rPr>
        <w:t>Cuenca.</w:t>
      </w:r>
    </w:p>
    <w:p>
      <w:pPr>
        <w:pStyle w:val="ListParagraph"/>
        <w:numPr>
          <w:ilvl w:val="0"/>
          <w:numId w:val="121"/>
        </w:numPr>
        <w:tabs>
          <w:tab w:pos="341" w:val="left" w:leader="none"/>
        </w:tabs>
        <w:spacing w:line="240" w:lineRule="auto" w:before="0" w:after="0"/>
        <w:ind w:left="180" w:right="399" w:firstLine="0"/>
        <w:jc w:val="both"/>
        <w:rPr>
          <w:sz w:val="22"/>
        </w:rPr>
      </w:pPr>
      <w:r>
        <w:rPr>
          <w:sz w:val="22"/>
        </w:rPr>
        <w:t>Desde la Revolución Mexicana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del </w:t>
      </w:r>
      <w:r>
        <w:rPr>
          <w:spacing w:val="-2"/>
          <w:sz w:val="22"/>
        </w:rPr>
        <w:t>Río </w:t>
      </w:r>
      <w:r>
        <w:rPr>
          <w:sz w:val="22"/>
        </w:rPr>
        <w:t>(1936-1940)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w:t>
      </w:r>
      <w:r>
        <w:rPr>
          <w:spacing w:val="15"/>
          <w:sz w:val="22"/>
        </w:rPr>
        <w:t> </w:t>
      </w:r>
      <w:r>
        <w:rPr>
          <w:sz w:val="22"/>
        </w:rPr>
        <w:t>ejidos</w:t>
      </w:r>
      <w:r>
        <w:rPr>
          <w:spacing w:val="13"/>
          <w:sz w:val="22"/>
        </w:rPr>
        <w:t> </w:t>
      </w:r>
      <w:r>
        <w:rPr>
          <w:sz w:val="22"/>
        </w:rPr>
        <w:t>donde</w:t>
      </w:r>
      <w:r>
        <w:rPr>
          <w:spacing w:val="16"/>
          <w:sz w:val="22"/>
        </w:rPr>
        <w:t> </w:t>
      </w:r>
      <w:r>
        <w:rPr>
          <w:sz w:val="22"/>
        </w:rPr>
        <w:t>la</w:t>
      </w:r>
      <w:r>
        <w:rPr>
          <w:spacing w:val="13"/>
          <w:sz w:val="22"/>
        </w:rPr>
        <w:t> </w:t>
      </w:r>
      <w:r>
        <w:rPr>
          <w:sz w:val="22"/>
        </w:rPr>
        <w:t>población</w:t>
      </w:r>
      <w:r>
        <w:rPr>
          <w:spacing w:val="15"/>
          <w:sz w:val="22"/>
        </w:rPr>
        <w:t> </w:t>
      </w:r>
      <w:r>
        <w:rPr>
          <w:sz w:val="22"/>
        </w:rPr>
        <w:t>rural</w:t>
      </w:r>
      <w:r>
        <w:rPr>
          <w:spacing w:val="15"/>
          <w:sz w:val="22"/>
        </w:rPr>
        <w:t> </w:t>
      </w:r>
      <w:r>
        <w:rPr>
          <w:sz w:val="22"/>
        </w:rPr>
        <w:t>ya</w:t>
      </w:r>
      <w:r>
        <w:rPr>
          <w:spacing w:val="16"/>
          <w:sz w:val="22"/>
        </w:rPr>
        <w:t> </w:t>
      </w:r>
      <w:r>
        <w:rPr>
          <w:sz w:val="22"/>
        </w:rPr>
        <w:t>poseía</w:t>
      </w:r>
      <w:r>
        <w:rPr>
          <w:spacing w:val="15"/>
          <w:sz w:val="22"/>
        </w:rPr>
        <w:t> </w:t>
      </w:r>
      <w:r>
        <w:rPr>
          <w:sz w:val="22"/>
        </w:rPr>
        <w:t>el</w:t>
      </w:r>
      <w:r>
        <w:rPr>
          <w:spacing w:val="14"/>
          <w:sz w:val="22"/>
        </w:rPr>
        <w:t> </w:t>
      </w:r>
      <w:r>
        <w:rPr>
          <w:sz w:val="22"/>
        </w:rPr>
        <w:t>territorio,</w:t>
      </w:r>
      <w:r>
        <w:rPr>
          <w:spacing w:val="16"/>
          <w:sz w:val="22"/>
        </w:rPr>
        <w:t> </w:t>
      </w:r>
      <w:r>
        <w:rPr>
          <w:sz w:val="22"/>
        </w:rPr>
        <w:t>sus</w:t>
      </w:r>
      <w:r>
        <w:rPr>
          <w:spacing w:val="15"/>
          <w:sz w:val="22"/>
        </w:rPr>
        <w:t> </w:t>
      </w:r>
      <w:r>
        <w:rPr>
          <w:sz w:val="22"/>
        </w:rPr>
        <w:t>bosques</w:t>
      </w:r>
      <w:r>
        <w:rPr>
          <w:spacing w:val="13"/>
          <w:sz w:val="22"/>
        </w:rPr>
        <w:t> </w:t>
      </w:r>
      <w:r>
        <w:rPr>
          <w:sz w:val="22"/>
        </w:rPr>
        <w:t>y</w:t>
      </w:r>
      <w:r>
        <w:rPr>
          <w:spacing w:val="13"/>
          <w:sz w:val="22"/>
        </w:rPr>
        <w:t> </w:t>
      </w:r>
      <w:r>
        <w:rPr>
          <w:sz w:val="22"/>
        </w:rPr>
        <w:t>aguas,</w:t>
      </w:r>
      <w:r>
        <w:rPr>
          <w:spacing w:val="14"/>
          <w:sz w:val="22"/>
        </w:rPr>
        <w:t> </w:t>
      </w:r>
      <w:r>
        <w:rPr>
          <w:sz w:val="22"/>
        </w:rPr>
        <w:t>a</w:t>
      </w:r>
      <w:r>
        <w:rPr>
          <w:spacing w:val="13"/>
          <w:sz w:val="22"/>
        </w:rPr>
        <w:t> </w:t>
      </w:r>
      <w:r>
        <w:rPr>
          <w:sz w:val="22"/>
        </w:rPr>
        <w:t>través</w:t>
      </w:r>
      <w:r>
        <w:rPr>
          <w:spacing w:val="15"/>
          <w:sz w:val="22"/>
        </w:rPr>
        <w:t> </w:t>
      </w:r>
      <w:r>
        <w:rPr>
          <w:sz w:val="22"/>
        </w:rPr>
        <w:t>de</w:t>
      </w:r>
      <w:r>
        <w:rPr>
          <w:spacing w:val="12"/>
          <w:sz w:val="22"/>
        </w:rPr>
        <w:t> </w:t>
      </w:r>
      <w:r>
        <w:rPr>
          <w:sz w:val="22"/>
        </w:rPr>
        <w:t>esta</w:t>
      </w:r>
      <w:r>
        <w:rPr>
          <w:spacing w:val="15"/>
          <w:sz w:val="22"/>
        </w:rPr>
        <w:t> </w:t>
      </w:r>
      <w:r>
        <w:rPr>
          <w:sz w:val="22"/>
        </w:rPr>
        <w:t>institución.</w:t>
      </w:r>
      <w:r>
        <w:rPr>
          <w:spacing w:val="14"/>
          <w:sz w:val="22"/>
        </w:rPr>
        <w:t> </w:t>
      </w:r>
      <w:r>
        <w:rPr>
          <w:sz w:val="22"/>
        </w:rPr>
        <w:t>Es</w:t>
      </w:r>
      <w:r>
        <w:rPr>
          <w:spacing w:val="15"/>
          <w:sz w:val="22"/>
        </w:rPr>
        <w:t> </w:t>
      </w:r>
      <w:r>
        <w:rPr>
          <w:sz w:val="22"/>
        </w:rPr>
        <w:t>en</w:t>
      </w:r>
      <w:r>
        <w:rPr>
          <w:spacing w:val="12"/>
          <w:sz w:val="22"/>
        </w:rPr>
        <w:t> </w:t>
      </w:r>
      <w:r>
        <w:rPr>
          <w:sz w:val="22"/>
        </w:rPr>
        <w:t>esta</w:t>
      </w:r>
      <w:r>
        <w:rPr>
          <w:spacing w:val="13"/>
          <w:sz w:val="22"/>
        </w:rPr>
        <w:t> </w:t>
      </w:r>
      <w:r>
        <w:rPr>
          <w:sz w:val="22"/>
        </w:rPr>
        <w:t>época</w:t>
      </w:r>
    </w:p>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6083" w:hRule="exact"/>
        </w:trPr>
        <w:tc>
          <w:tcPr>
            <w:tcW w:w="12897" w:type="dxa"/>
          </w:tcPr>
          <w:p>
            <w:pPr>
              <w:pStyle w:val="TableParagraph"/>
              <w:ind w:left="64" w:right="61"/>
              <w:jc w:val="both"/>
              <w:rPr>
                <w:sz w:val="22"/>
              </w:rPr>
            </w:pPr>
            <w:r>
              <w:rPr>
                <w:sz w:val="22"/>
              </w:rPr>
              <w:t>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los bosques, etc.) que aún no se pueden resolver, teniendo esto un impacto bueno en lo sociopolítico, económico y</w:t>
            </w:r>
            <w:r>
              <w:rPr>
                <w:spacing w:val="-35"/>
                <w:sz w:val="22"/>
              </w:rPr>
              <w:t> </w:t>
            </w:r>
            <w:r>
              <w:rPr>
                <w:sz w:val="22"/>
              </w:rPr>
              <w:t>ambiental.</w:t>
            </w:r>
          </w:p>
          <w:p>
            <w:pPr>
              <w:pStyle w:val="TableParagraph"/>
              <w:numPr>
                <w:ilvl w:val="0"/>
                <w:numId w:val="287"/>
              </w:numPr>
              <w:tabs>
                <w:tab w:pos="212" w:val="left" w:leader="none"/>
              </w:tabs>
              <w:spacing w:line="240" w:lineRule="auto" w:before="1" w:after="0"/>
              <w:ind w:left="64" w:right="62" w:firstLine="0"/>
              <w:jc w:val="both"/>
              <w:rPr>
                <w:sz w:val="22"/>
              </w:rPr>
            </w:pPr>
            <w:r>
              <w:rPr>
                <w:sz w:val="22"/>
              </w:rPr>
              <w:t>En 1982, el primer presidente neoliberal, Miguel de la Madrid, comienza la internacionalización del libre mercado, con lo que se da pie al nuevo sistema económico y político social, que promueve la intervención mínima del Estado y el libre juego de la  apertura del mercado. Dicha corriente fomenta el consumo de los recursos naturales, así como las prácticas de producción altamente contaminantes, ya que las multinacionales extienden su poder económico hacia las regiones de los países menos desarrollados, generando crisis ambientales locales y regionales, que acrecientan la de carácter global. La CHPH no es la excepción, el consumo de los recursos naturales (agua) está siendo voraz; y el deterioro ambiental por la generación de servicios (construcción de autopista Arco Norte) obedece a intereses económicos ajenos a los actores históricos, y han dejado a la región en una práctica vulnerabilidad socio-ambiental, por lo que esta época tuvo un impacto bueno en lo sociopolítico, económico y ambiental.</w:t>
            </w:r>
          </w:p>
          <w:p>
            <w:pPr>
              <w:pStyle w:val="TableParagraph"/>
              <w:numPr>
                <w:ilvl w:val="0"/>
                <w:numId w:val="287"/>
              </w:numPr>
              <w:tabs>
                <w:tab w:pos="209" w:val="left" w:leader="none"/>
              </w:tabs>
              <w:spacing w:line="240" w:lineRule="auto" w:before="0" w:after="0"/>
              <w:ind w:left="64" w:right="60" w:firstLine="0"/>
              <w:jc w:val="both"/>
              <w:rPr>
                <w:sz w:val="22"/>
              </w:rPr>
            </w:pPr>
            <w:r>
              <w:rPr>
                <w:sz w:val="22"/>
              </w:rPr>
              <w:t>Actualmente, en el año 2016, la CHPH se encuentra en franco deterioro, debido a la suma de los costos ambientales y sociales de los anteriores acontecimientos, lo que ha dado pie a que la actual política neoliberal, refuerce el reparto inequitativo </w:t>
            </w:r>
            <w:r>
              <w:rPr>
                <w:spacing w:val="4"/>
                <w:sz w:val="22"/>
              </w:rPr>
              <w:t>de </w:t>
            </w:r>
            <w:r>
              <w:rPr>
                <w:sz w:val="22"/>
              </w:rPr>
              <w:t>los recursos para favorecer intereses políticos y económicos de los actores más poderosos de la región. La utilización para legalizar tales inequidades es a través de las instituciones gubernamentales, como la Conagua y la Semanat, con la aplicación de una serie de incongruencias en la región como el reparto inequitativo de los recursos (agua), y ha generado hoy como en el pasado, conflictos, que sólo pueden solucionarse a través de una visión GIRH, donde se tomen acuerdos sociopolíticos, económicos y ambientales en base a los actores históricos, ya que son éstos actores los que ostentan identidad y territorialidad, que ahora puede ser utilizada para revertir los daños a través de la GIRH, mediante la gobernanza y la gobernabilidad, generando acuerdos democráticos con impacto positivo en los ámbitos sociopolítico, económico y ambiental, con la propuesta de conformación de un Comité Intermunicipal con su reglamento para que los actores históricos de los municipios de la Cuenca atiendan su problemática común, por lo que esta época puede considerarse como</w:t>
            </w:r>
            <w:r>
              <w:rPr>
                <w:spacing w:val="-11"/>
                <w:sz w:val="22"/>
              </w:rPr>
              <w:t> </w:t>
            </w:r>
            <w:r>
              <w:rPr>
                <w:sz w:val="22"/>
              </w:rPr>
              <w:t>bueno.</w:t>
            </w:r>
          </w:p>
        </w:tc>
      </w:tr>
      <w:tr>
        <w:trPr>
          <w:trHeight w:val="338"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023" w:hRule="exact"/>
        </w:trPr>
        <w:tc>
          <w:tcPr>
            <w:tcW w:w="12897" w:type="dxa"/>
          </w:tcPr>
          <w:p>
            <w:pPr>
              <w:pStyle w:val="TableParagraph"/>
              <w:numPr>
                <w:ilvl w:val="0"/>
                <w:numId w:val="288"/>
              </w:numPr>
              <w:tabs>
                <w:tab w:pos="243" w:val="left" w:leader="none"/>
              </w:tabs>
              <w:spacing w:line="240" w:lineRule="auto" w:before="0" w:after="0"/>
              <w:ind w:left="103" w:right="108" w:firstLine="0"/>
              <w:jc w:val="left"/>
              <w:rPr>
                <w:sz w:val="22"/>
              </w:rPr>
            </w:pPr>
            <w:r>
              <w:rPr>
                <w:sz w:val="22"/>
              </w:rPr>
              <w:t>Permitió identificar como la dependencia económica de los recursos naturales de la CHPH por parte de los actores históricos de la región ha generado la sobreexplotación de éstos y puesto en riesgo la sostenibilidad de la</w:t>
            </w:r>
            <w:r>
              <w:rPr>
                <w:spacing w:val="-27"/>
                <w:sz w:val="22"/>
              </w:rPr>
              <w:t> </w:t>
            </w:r>
            <w:r>
              <w:rPr>
                <w:sz w:val="22"/>
              </w:rPr>
              <w:t>Cuenca.</w:t>
            </w:r>
          </w:p>
          <w:p>
            <w:pPr>
              <w:pStyle w:val="TableParagraph"/>
              <w:numPr>
                <w:ilvl w:val="0"/>
                <w:numId w:val="288"/>
              </w:numPr>
              <w:tabs>
                <w:tab w:pos="243" w:val="left" w:leader="none"/>
              </w:tabs>
              <w:spacing w:line="242" w:lineRule="auto" w:before="0" w:after="0"/>
              <w:ind w:left="103" w:right="107" w:firstLine="0"/>
              <w:jc w:val="left"/>
              <w:rPr>
                <w:sz w:val="22"/>
              </w:rPr>
            </w:pPr>
            <w:r>
              <w:rPr>
                <w:sz w:val="22"/>
              </w:rPr>
              <w:t>Sirvió de guía de explicación para la elaboración de la propuesta de creación de un Comité Intermunicipal con su reglamento en la</w:t>
            </w:r>
            <w:r>
              <w:rPr>
                <w:spacing w:val="-4"/>
                <w:sz w:val="22"/>
              </w:rPr>
              <w:t> </w:t>
            </w:r>
            <w:r>
              <w:rPr>
                <w:sz w:val="22"/>
              </w:rPr>
              <w:t>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516" w:hRule="exact"/>
        </w:trPr>
        <w:tc>
          <w:tcPr>
            <w:tcW w:w="12897" w:type="dxa"/>
          </w:tcPr>
          <w:p>
            <w:pPr>
              <w:pStyle w:val="TableParagraph"/>
              <w:spacing w:line="252" w:lineRule="exact" w:before="2"/>
              <w:ind w:right="163"/>
              <w:rPr>
                <w:sz w:val="22"/>
              </w:rPr>
            </w:pPr>
            <w:r>
              <w:rPr>
                <w:sz w:val="22"/>
              </w:rPr>
              <w:t>- Para analizar la cultura económica de la CHPH se deben entender los procesos económicos internacionales y nacionales que han trastocado la cultura económica prehispánica de la región,</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163" w:right="105"/>
              <w:rPr>
                <w:b/>
                <w:sz w:val="22"/>
              </w:rPr>
            </w:pPr>
            <w:r>
              <w:rPr>
                <w:b/>
                <w:sz w:val="22"/>
              </w:rPr>
              <w:t>Democracia y voluntariedad</w:t>
            </w:r>
          </w:p>
        </w:tc>
        <w:tc>
          <w:tcPr>
            <w:tcW w:w="3277" w:type="dxa"/>
            <w:gridSpan w:val="3"/>
            <w:vMerge w:val="restart"/>
          </w:tcPr>
          <w:p>
            <w:pPr>
              <w:pStyle w:val="TableParagraph"/>
              <w:ind w:left="100" w:right="102"/>
              <w:jc w:val="both"/>
              <w:rPr>
                <w:b/>
                <w:sz w:val="22"/>
              </w:rPr>
            </w:pPr>
            <w:r>
              <w:rPr>
                <w:b/>
                <w:sz w:val="22"/>
              </w:rPr>
              <w:t>Analizar la petición pública de los actores históricos de la CHPH para acceder a una participación equitativa en el disfrute de los recursos socioeconómicos que se producen en la Cuenca</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67"/>
              <w:rPr>
                <w:b/>
                <w:sz w:val="22"/>
              </w:rPr>
            </w:pPr>
            <w:r>
              <w:rPr>
                <w:b/>
                <w:sz w:val="22"/>
              </w:rPr>
              <w:t>0.062/ 18.055</w:t>
            </w:r>
          </w:p>
        </w:tc>
        <w:tc>
          <w:tcPr>
            <w:tcW w:w="1985" w:type="dxa"/>
            <w:gridSpan w:val="2"/>
          </w:tcPr>
          <w:p>
            <w:pPr>
              <w:pStyle w:val="TableParagraph"/>
              <w:spacing w:line="248" w:lineRule="exact"/>
              <w:ind w:left="1" w:right="2"/>
              <w:jc w:val="center"/>
              <w:rPr>
                <w:b/>
                <w:sz w:val="22"/>
              </w:rPr>
            </w:pPr>
            <w:r>
              <w:rPr>
                <w:b/>
                <w:sz w:val="22"/>
              </w:rPr>
              <w:t>0.34%</w:t>
            </w:r>
          </w:p>
        </w:tc>
        <w:tc>
          <w:tcPr>
            <w:tcW w:w="2268" w:type="dxa"/>
            <w:gridSpan w:val="2"/>
          </w:tcPr>
          <w:p>
            <w:pPr>
              <w:pStyle w:val="TableParagraph"/>
              <w:spacing w:line="248" w:lineRule="exact"/>
              <w:ind w:left="136" w:right="136"/>
              <w:jc w:val="center"/>
              <w:rPr>
                <w:b/>
                <w:sz w:val="22"/>
              </w:rPr>
            </w:pPr>
            <w:r>
              <w:rPr>
                <w:b/>
                <w:sz w:val="22"/>
              </w:rPr>
              <w:t>16.813</w:t>
            </w:r>
          </w:p>
        </w:tc>
        <w:tc>
          <w:tcPr>
            <w:tcW w:w="3274" w:type="dxa"/>
            <w:gridSpan w:val="5"/>
            <w:vMerge/>
          </w:tcPr>
          <w:p>
            <w:pPr/>
          </w:p>
        </w:tc>
        <w:tc>
          <w:tcPr>
            <w:tcW w:w="3277" w:type="dxa"/>
            <w:gridSpan w:val="3"/>
            <w:vMerge/>
          </w:tcPr>
          <w:p>
            <w:pPr/>
          </w:p>
        </w:tc>
      </w:tr>
      <w:tr>
        <w:trPr>
          <w:trHeight w:val="262" w:hRule="exact"/>
        </w:trPr>
        <w:tc>
          <w:tcPr>
            <w:tcW w:w="2093" w:type="dxa"/>
            <w:gridSpan w:val="2"/>
          </w:tcPr>
          <w:p>
            <w:pPr>
              <w:pStyle w:val="TableParagraph"/>
              <w:spacing w:line="248" w:lineRule="exact"/>
              <w:ind w:left="0" w:right="1"/>
              <w:jc w:val="center"/>
              <w:rPr>
                <w:b/>
                <w:sz w:val="22"/>
              </w:rPr>
            </w:pPr>
            <w:r>
              <w:rPr>
                <w:b/>
                <w:w w:val="100"/>
                <w:sz w:val="22"/>
              </w:rPr>
              <w:t>1</w:t>
            </w:r>
          </w:p>
        </w:tc>
        <w:tc>
          <w:tcPr>
            <w:tcW w:w="1985" w:type="dxa"/>
            <w:gridSpan w:val="2"/>
            <w:tcBorders>
              <w:right w:val="single" w:sz="45" w:space="0" w:color="F79546"/>
            </w:tcBorders>
          </w:tcPr>
          <w:p>
            <w:pPr>
              <w:pStyle w:val="TableParagraph"/>
              <w:spacing w:line="248" w:lineRule="exact"/>
              <w:ind w:left="51"/>
              <w:jc w:val="center"/>
              <w:rPr>
                <w:b/>
                <w:sz w:val="22"/>
              </w:rPr>
            </w:pPr>
            <w:r>
              <w:rPr>
                <w:b/>
                <w:w w:val="100"/>
                <w:sz w:val="22"/>
              </w:rPr>
              <w:t>2</w:t>
            </w:r>
          </w:p>
        </w:tc>
        <w:tc>
          <w:tcPr>
            <w:tcW w:w="2268" w:type="dxa"/>
            <w:gridSpan w:val="2"/>
            <w:shd w:val="clear" w:color="auto" w:fill="F79546"/>
          </w:tcPr>
          <w:p>
            <w:pPr>
              <w:pStyle w:val="TableParagraph"/>
              <w:spacing w:line="248" w:lineRule="exact"/>
              <w:ind w:left="0"/>
              <w:jc w:val="center"/>
              <w:rPr>
                <w:b/>
                <w:sz w:val="22"/>
              </w:rPr>
            </w:pPr>
            <w:r>
              <w:rPr>
                <w:b/>
                <w:w w:val="100"/>
                <w:sz w:val="22"/>
              </w:rPr>
              <w:t>3</w:t>
            </w:r>
          </w:p>
        </w:tc>
        <w:tc>
          <w:tcPr>
            <w:tcW w:w="1701" w:type="dxa"/>
            <w:gridSpan w:val="2"/>
            <w:shd w:val="clear" w:color="auto" w:fill="F79546"/>
          </w:tcPr>
          <w:p>
            <w:pPr>
              <w:pStyle w:val="TableParagraph"/>
              <w:spacing w:line="248" w:lineRule="exact"/>
              <w:ind w:left="1"/>
              <w:jc w:val="center"/>
              <w:rPr>
                <w:b/>
                <w:sz w:val="22"/>
              </w:rPr>
            </w:pPr>
            <w:r>
              <w:rPr>
                <w:b/>
                <w:w w:val="100"/>
                <w:sz w:val="22"/>
              </w:rPr>
              <w:t>P</w:t>
            </w:r>
          </w:p>
        </w:tc>
        <w:tc>
          <w:tcPr>
            <w:tcW w:w="1417" w:type="dxa"/>
            <w:gridSpan w:val="2"/>
            <w:tcBorders>
              <w:left w:val="thickThinMediumGap" w:sz="23" w:space="0" w:color="F79546"/>
            </w:tcBorders>
          </w:tcPr>
          <w:p>
            <w:pPr>
              <w:pStyle w:val="TableParagraph"/>
              <w:spacing w:line="248" w:lineRule="exact"/>
              <w:ind w:left="0" w:right="51"/>
              <w:jc w:val="center"/>
              <w:rPr>
                <w:b/>
                <w:sz w:val="22"/>
              </w:rPr>
            </w:pPr>
            <w:r>
              <w:rPr>
                <w:b/>
                <w:w w:val="100"/>
                <w:sz w:val="22"/>
              </w:rPr>
              <w:t>E</w:t>
            </w:r>
          </w:p>
        </w:tc>
        <w:tc>
          <w:tcPr>
            <w:tcW w:w="1702" w:type="dxa"/>
            <w:gridSpan w:val="3"/>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1" w:right="492"/>
              <w:jc w:val="center"/>
              <w:rPr>
                <w:b/>
                <w:sz w:val="22"/>
              </w:rPr>
            </w:pPr>
            <w:r>
              <w:rPr>
                <w:b/>
                <w:sz w:val="22"/>
              </w:rPr>
              <w:t>44</w:t>
            </w:r>
          </w:p>
        </w:tc>
        <w:tc>
          <w:tcPr>
            <w:tcW w:w="2127" w:type="dxa"/>
            <w:gridSpan w:val="3"/>
            <w:shd w:val="clear" w:color="auto" w:fill="92CDDC"/>
          </w:tcPr>
          <w:p>
            <w:pPr>
              <w:pStyle w:val="TableParagraph"/>
              <w:spacing w:line="248" w:lineRule="exact"/>
              <w:ind w:left="916" w:right="916"/>
              <w:jc w:val="center"/>
              <w:rPr>
                <w:b/>
                <w:sz w:val="22"/>
              </w:rPr>
            </w:pPr>
            <w:r>
              <w:rPr>
                <w:b/>
                <w:sz w:val="22"/>
              </w:rPr>
              <w:t>70</w:t>
            </w:r>
          </w:p>
        </w:tc>
        <w:tc>
          <w:tcPr>
            <w:tcW w:w="2410" w:type="dxa"/>
            <w:gridSpan w:val="3"/>
            <w:shd w:val="clear" w:color="auto" w:fill="92CDDC"/>
          </w:tcPr>
          <w:p>
            <w:pPr>
              <w:pStyle w:val="TableParagraph"/>
              <w:spacing w:line="248" w:lineRule="exact"/>
              <w:ind w:left="619"/>
              <w:rPr>
                <w:b/>
                <w:sz w:val="22"/>
              </w:rPr>
            </w:pPr>
            <w:r>
              <w:rPr>
                <w:b/>
                <w:sz w:val="22"/>
              </w:rPr>
              <w:t>0.00390625</w:t>
            </w:r>
          </w:p>
        </w:tc>
        <w:tc>
          <w:tcPr>
            <w:tcW w:w="1844" w:type="dxa"/>
            <w:gridSpan w:val="2"/>
            <w:shd w:val="clear" w:color="auto" w:fill="F9BE8F"/>
          </w:tcPr>
          <w:p>
            <w:pPr>
              <w:pStyle w:val="TableParagraph"/>
              <w:spacing w:line="248" w:lineRule="exact"/>
              <w:ind w:left="774" w:right="774"/>
              <w:jc w:val="center"/>
              <w:rPr>
                <w:b/>
                <w:sz w:val="22"/>
              </w:rPr>
            </w:pPr>
            <w:r>
              <w:rPr>
                <w:b/>
                <w:sz w:val="22"/>
              </w:rPr>
              <w:t>41</w:t>
            </w:r>
          </w:p>
        </w:tc>
        <w:tc>
          <w:tcPr>
            <w:tcW w:w="2126" w:type="dxa"/>
            <w:gridSpan w:val="3"/>
            <w:shd w:val="clear" w:color="auto" w:fill="F9BE8F"/>
          </w:tcPr>
          <w:p>
            <w:pPr>
              <w:pStyle w:val="TableParagraph"/>
              <w:spacing w:line="248" w:lineRule="exact"/>
              <w:ind w:left="0"/>
              <w:jc w:val="center"/>
              <w:rPr>
                <w:b/>
                <w:sz w:val="22"/>
              </w:rPr>
            </w:pPr>
            <w:r>
              <w:rPr>
                <w:b/>
                <w:w w:val="100"/>
                <w:sz w:val="22"/>
              </w:rPr>
              <w:t>3</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1" w:lineRule="exact"/>
              <w:ind w:right="103"/>
              <w:rPr>
                <w:sz w:val="22"/>
              </w:rPr>
            </w:pPr>
            <w:r>
              <w:rPr>
                <w:sz w:val="22"/>
              </w:rPr>
              <w:t>Petición pública, actores históricos, CHPH, participación equitativa, recursos socioeconómicos.</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770" w:hRule="exact"/>
        </w:trPr>
        <w:tc>
          <w:tcPr>
            <w:tcW w:w="12897" w:type="dxa"/>
            <w:gridSpan w:val="14"/>
          </w:tcPr>
          <w:p>
            <w:pPr>
              <w:pStyle w:val="TableParagraph"/>
              <w:ind w:right="104"/>
              <w:jc w:val="both"/>
              <w:rPr>
                <w:sz w:val="22"/>
              </w:rPr>
            </w:pPr>
            <w:r>
              <w:rPr>
                <w:sz w:val="22"/>
              </w:rPr>
              <w:t>Es la petición pública de los actores históricos de la CHPH para acceder a una participación equitativa en el disfrute de los recursos socioeconómicos que se producen en la Cuenca (Romero, et al., 2012; Palerm, 1993; Bobbio, 1999; Bovero, 2002; Sartori, 1993 y García, TC: 2013-2015).</w:t>
            </w:r>
          </w:p>
        </w:tc>
      </w:tr>
      <w:tr>
        <w:trPr>
          <w:trHeight w:val="262"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9"/>
          </w:tcPr>
          <w:p>
            <w:pPr>
              <w:pStyle w:val="TableParagraph"/>
              <w:spacing w:line="248" w:lineRule="exact"/>
              <w:ind w:left="2419" w:right="108"/>
              <w:rPr>
                <w:b/>
                <w:sz w:val="22"/>
              </w:rPr>
            </w:pPr>
            <w:r>
              <w:rPr>
                <w:b/>
                <w:sz w:val="22"/>
              </w:rPr>
              <w:t>Definición de la unidad de medición</w:t>
            </w:r>
          </w:p>
        </w:tc>
      </w:tr>
      <w:tr>
        <w:trPr>
          <w:trHeight w:val="1023" w:hRule="exact"/>
        </w:trPr>
        <w:tc>
          <w:tcPr>
            <w:tcW w:w="4295" w:type="dxa"/>
            <w:gridSpan w:val="5"/>
          </w:tcPr>
          <w:p>
            <w:pPr>
              <w:pStyle w:val="TableParagraph"/>
              <w:ind w:right="102"/>
              <w:jc w:val="both"/>
              <w:rPr>
                <w:sz w:val="22"/>
              </w:rPr>
            </w:pPr>
            <w:r>
              <w:rPr>
                <w:sz w:val="22"/>
              </w:rPr>
              <w:t>Acceso equitativo en el disfrute de los recursos de la cuenca por parte de todos los actores históricos de la CHPH (adimensional)</w:t>
            </w:r>
          </w:p>
        </w:tc>
        <w:tc>
          <w:tcPr>
            <w:tcW w:w="8603" w:type="dxa"/>
            <w:gridSpan w:val="9"/>
          </w:tcPr>
          <w:p>
            <w:pPr>
              <w:pStyle w:val="TableParagraph"/>
              <w:ind w:right="101"/>
              <w:jc w:val="both"/>
              <w:rPr>
                <w:sz w:val="21"/>
              </w:rPr>
            </w:pPr>
            <w:r>
              <w:rPr>
                <w:sz w:val="21"/>
              </w:rPr>
              <w:t>Participación equitativa en el uso de los recursos de la CHPH por parte de todos los actores históricos de los municipios que integran la Cuenca (Ejemplo: Derecho igualitario de los actores de los cinco municipios que integran la CHPH al acceso del agua para riego de la presa</w:t>
            </w:r>
            <w:r>
              <w:rPr>
                <w:spacing w:val="-4"/>
                <w:sz w:val="21"/>
              </w:rPr>
              <w:t> </w:t>
            </w:r>
            <w:r>
              <w:rPr>
                <w:sz w:val="21"/>
              </w:rPr>
              <w:t>Huapango).</w:t>
            </w:r>
          </w:p>
        </w:tc>
      </w:tr>
    </w:tbl>
    <w:p>
      <w:pPr>
        <w:spacing w:after="0"/>
        <w:jc w:val="both"/>
        <w:rPr>
          <w:sz w:val="21"/>
        </w:rPr>
        <w:sectPr>
          <w:footerReference w:type="default" r:id="rId514"/>
          <w:pgSz w:w="15840" w:h="12240" w:orient="landscape"/>
          <w:pgMar w:footer="943" w:header="0" w:top="1140" w:bottom="1140" w:left="1200" w:right="1300"/>
          <w:pgNumType w:start="720"/>
        </w:sectPr>
      </w:pPr>
    </w:p>
    <w:p>
      <w:pPr>
        <w:pStyle w:val="BodyText"/>
        <w:rPr>
          <w:rFonts w:ascii="Times New Roman"/>
          <w:sz w:val="20"/>
        </w:rPr>
      </w:pPr>
      <w:r>
        <w:rPr/>
        <w:pict>
          <v:group style="position:absolute;margin-left:65.269997pt;margin-top:84.849998pt;width:646.7pt;height:437.9pt;mso-position-horizontal-relative:page;mso-position-vertical-relative:page;z-index:-3328552" coordorigin="1305,1697" coordsize="12934,8758">
            <v:line style="position:absolute" from="1315,1707" to="14229,1707" stroked="true" strokeweight=".48pt" strokecolor="#000000"/>
            <v:line style="position:absolute" from="1315,2331" to="14229,2331" stroked="true" strokeweight=".48pt" strokecolor="#000000"/>
            <v:line style="position:absolute" from="1310,1702" to="1310,10449" stroked="true" strokeweight=".48pt" strokecolor="#000000"/>
            <v:line style="position:absolute" from="1315,10444" to="14229,10444" stroked="true" strokeweight=".47998pt" strokecolor="#000000"/>
            <v:line style="position:absolute" from="14234,1702" to="14234,10449" stroked="true" strokeweight=".48004pt" strokecolor="#000000"/>
            <v:shape style="position:absolute;left:1648;top:2336;width:12245;height:8097" type="#_x0000_t75" stroked="false">
              <v:imagedata r:id="rId515" o:title=""/>
            </v:shape>
            <w10:wrap type="none"/>
          </v:group>
        </w:pict>
      </w:r>
    </w:p>
    <w:p>
      <w:pPr>
        <w:pStyle w:val="BodyText"/>
        <w:spacing w:before="11"/>
        <w:rPr>
          <w:rFonts w:ascii="Times New Roman"/>
        </w:rPr>
      </w:pPr>
    </w:p>
    <w:p>
      <w:pPr>
        <w:pStyle w:val="Heading6"/>
        <w:spacing w:before="73"/>
        <w:ind w:left="5782" w:right="397"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4896">
            <wp:simplePos x="0" y="0"/>
            <wp:positionH relativeFrom="page">
              <wp:posOffset>876300</wp:posOffset>
            </wp:positionH>
            <wp:positionV relativeFrom="page">
              <wp:posOffset>2047113</wp:posOffset>
            </wp:positionV>
            <wp:extent cx="5550480" cy="2505456"/>
            <wp:effectExtent l="0" t="0" r="0" b="0"/>
            <wp:wrapNone/>
            <wp:docPr id="91" name="image379.png" descr=""/>
            <wp:cNvGraphicFramePr>
              <a:graphicFrameLocks noChangeAspect="1"/>
            </wp:cNvGraphicFramePr>
            <a:graphic>
              <a:graphicData uri="http://schemas.openxmlformats.org/drawingml/2006/picture">
                <pic:pic>
                  <pic:nvPicPr>
                    <pic:cNvPr id="92" name="image379.png"/>
                    <pic:cNvPicPr/>
                  </pic:nvPicPr>
                  <pic:blipFill>
                    <a:blip r:embed="rId516" cstate="print"/>
                    <a:stretch>
                      <a:fillRect/>
                    </a:stretch>
                  </pic:blipFill>
                  <pic:spPr>
                    <a:xfrm>
                      <a:off x="0" y="0"/>
                      <a:ext cx="5550480" cy="2505456"/>
                    </a:xfrm>
                    <a:prstGeom prst="rect">
                      <a:avLst/>
                    </a:prstGeom>
                  </pic:spPr>
                </pic:pic>
              </a:graphicData>
            </a:graphic>
          </wp:anchor>
        </w:drawing>
      </w:r>
      <w:r>
        <w:rPr/>
        <w:pict>
          <v:shape style="position:absolute;margin-left:524.830017pt;margin-top:173.059998pt;width:127.5pt;height:145.15pt;mso-position-horizontal-relative:page;mso-position-vertical-relative:page;z-index:1492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2" w:hRule="exact"/>
                    </w:trPr>
                    <w:tc>
                      <w:tcPr>
                        <w:tcW w:w="1034" w:type="dxa"/>
                      </w:tcPr>
                      <w:p>
                        <w:pPr>
                          <w:pStyle w:val="TableParagraph"/>
                          <w:spacing w:line="248" w:lineRule="exact"/>
                          <w:rPr>
                            <w:b/>
                            <w:sz w:val="22"/>
                          </w:rPr>
                        </w:pPr>
                        <w:r>
                          <w:rPr>
                            <w:b/>
                            <w:sz w:val="22"/>
                          </w:rPr>
                          <w:t>Período</w:t>
                        </w:r>
                      </w:p>
                    </w:tc>
                    <w:tc>
                      <w:tcPr>
                        <w:tcW w:w="1501" w:type="dxa"/>
                      </w:tcPr>
                      <w:p>
                        <w:pPr>
                          <w:pStyle w:val="TableParagraph"/>
                          <w:spacing w:line="248" w:lineRule="exact"/>
                          <w:rPr>
                            <w:b/>
                            <w:sz w:val="22"/>
                          </w:rPr>
                        </w:pPr>
                        <w:r>
                          <w:rPr>
                            <w:b/>
                            <w:sz w:val="22"/>
                          </w:rPr>
                          <w:t>Calificación</w:t>
                        </w:r>
                      </w:p>
                    </w:tc>
                  </w:tr>
                  <w:tr>
                    <w:trPr>
                      <w:trHeight w:val="265"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Excelente</w:t>
                        </w:r>
                      </w:p>
                    </w:tc>
                  </w:tr>
                  <w:tr>
                    <w:trPr>
                      <w:trHeight w:val="262"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Bueno</w:t>
                        </w:r>
                      </w:p>
                    </w:tc>
                  </w:tr>
                  <w:tr>
                    <w:trPr>
                      <w:trHeight w:val="264" w:hRule="exact"/>
                    </w:trPr>
                    <w:tc>
                      <w:tcPr>
                        <w:tcW w:w="1034" w:type="dxa"/>
                      </w:tcPr>
                      <w:p>
                        <w:pPr>
                          <w:pStyle w:val="TableParagraph"/>
                          <w:rPr>
                            <w:sz w:val="22"/>
                          </w:rPr>
                        </w:pPr>
                        <w:r>
                          <w:rPr>
                            <w:sz w:val="22"/>
                          </w:rPr>
                          <w:t>1580</w:t>
                        </w:r>
                      </w:p>
                    </w:tc>
                    <w:tc>
                      <w:tcPr>
                        <w:tcW w:w="1501" w:type="dxa"/>
                      </w:tcPr>
                      <w:p>
                        <w:pPr>
                          <w:pStyle w:val="TableParagraph"/>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1785</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rPr>
                            <w:sz w:val="22"/>
                          </w:rPr>
                        </w:pPr>
                        <w:r>
                          <w:rPr>
                            <w:sz w:val="22"/>
                          </w:rPr>
                          <w:t>1810</w:t>
                        </w:r>
                      </w:p>
                    </w:tc>
                    <w:tc>
                      <w:tcPr>
                        <w:tcW w:w="1501" w:type="dxa"/>
                      </w:tcPr>
                      <w:p>
                        <w:pPr>
                          <w:pStyle w:val="TableParagraph"/>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1861</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rPr>
                            <w:sz w:val="22"/>
                          </w:rPr>
                        </w:pPr>
                        <w:r>
                          <w:rPr>
                            <w:sz w:val="22"/>
                          </w:rPr>
                          <w:t>2016</w:t>
                        </w:r>
                      </w:p>
                    </w:tc>
                    <w:tc>
                      <w:tcPr>
                        <w:tcW w:w="1501" w:type="dxa"/>
                      </w:tcPr>
                      <w:p>
                        <w:pPr>
                          <w:pStyle w:val="TableParagraph"/>
                          <w:rPr>
                            <w:sz w:val="22"/>
                          </w:rPr>
                        </w:pPr>
                        <w:r>
                          <w:rPr>
                            <w:sz w:val="22"/>
                          </w:rPr>
                          <w:t>Regular</w:t>
                        </w: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44"/>
        <w:gridCol w:w="1349"/>
        <w:gridCol w:w="2856"/>
        <w:gridCol w:w="1488"/>
        <w:gridCol w:w="2821"/>
        <w:gridCol w:w="1409"/>
      </w:tblGrid>
      <w:tr>
        <w:trPr>
          <w:trHeight w:val="264"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487" w:hRule="exact"/>
        </w:trPr>
        <w:tc>
          <w:tcPr>
            <w:tcW w:w="12822" w:type="dxa"/>
            <w:gridSpan w:val="7"/>
          </w:tcPr>
          <w:p>
            <w:pPr>
              <w:pStyle w:val="TableParagraph"/>
              <w:spacing w:line="252" w:lineRule="exact" w:before="2"/>
              <w:ind w:left="27" w:right="57"/>
              <w:rPr>
                <w:sz w:val="22"/>
              </w:rPr>
            </w:pPr>
            <w:r>
              <w:rPr>
                <w:sz w:val="22"/>
              </w:rPr>
              <w:t>En la siguiente gráfica se puede identificar la evolución del indicador en el tiempo en la CHPH mediante categorías de calificación de acuerdo a su impacto en los ámbitos ambiental, sociopolítico y económico:</w:t>
            </w:r>
          </w:p>
          <w:p>
            <w:pPr>
              <w:pStyle w:val="TableParagraph"/>
              <w:spacing w:line="248" w:lineRule="exact"/>
              <w:ind w:left="3697" w:right="57"/>
              <w:rPr>
                <w:b/>
                <w:sz w:val="22"/>
              </w:rPr>
            </w:pPr>
            <w:r>
              <w:rPr>
                <w:b/>
                <w:sz w:val="22"/>
              </w:rPr>
              <w:t>Gráfica 7.19.</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510" w:lineRule="atLeast" w:before="161"/>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944" w:type="dxa"/>
            <w:vMerge w:val="restart"/>
          </w:tcPr>
          <w:p>
            <w:pPr>
              <w:pStyle w:val="TableParagraph"/>
              <w:ind w:right="104"/>
              <w:jc w:val="both"/>
              <w:rPr>
                <w:sz w:val="20"/>
              </w:rPr>
            </w:pPr>
            <w:r>
              <w:rPr>
                <w:sz w:val="20"/>
              </w:rPr>
              <w:t>Clasificación por número de eventos en el período</w:t>
            </w:r>
          </w:p>
        </w:tc>
        <w:tc>
          <w:tcPr>
            <w:tcW w:w="8514" w:type="dxa"/>
            <w:gridSpan w:val="4"/>
          </w:tcPr>
          <w:p>
            <w:pPr>
              <w:pStyle w:val="TableParagraph"/>
              <w:ind w:right="102"/>
              <w:rPr>
                <w:sz w:val="20"/>
              </w:rPr>
            </w:pPr>
            <w:r>
              <w:rPr>
                <w:sz w:val="20"/>
              </w:rPr>
              <w:t>Clasificación por </w:t>
            </w:r>
            <w:r>
              <w:rPr>
                <w:b/>
                <w:sz w:val="20"/>
              </w:rPr>
              <w:t>características de impacto positivo o negativo </w:t>
            </w:r>
            <w:r>
              <w:rPr>
                <w:sz w:val="20"/>
              </w:rPr>
              <w:t>en los ámbitos ambiental- sociopolítico-económico</w:t>
            </w:r>
          </w:p>
        </w:tc>
        <w:tc>
          <w:tcPr>
            <w:tcW w:w="1409" w:type="dxa"/>
            <w:vMerge w:val="restart"/>
            <w:tcBorders>
              <w:right w:val="double" w:sz="12" w:space="0" w:color="000000"/>
            </w:tcBorders>
          </w:tcPr>
          <w:p>
            <w:pPr>
              <w:pStyle w:val="TableParagraph"/>
              <w:spacing w:before="119"/>
              <w:ind w:left="128" w:right="126"/>
              <w:jc w:val="center"/>
              <w:rPr>
                <w:sz w:val="20"/>
              </w:rPr>
            </w:pPr>
            <w:r>
              <w:rPr>
                <w:w w:val="95"/>
                <w:sz w:val="20"/>
              </w:rPr>
              <w:t>Clasificación </w:t>
            </w:r>
            <w:r>
              <w:rPr>
                <w:sz w:val="20"/>
              </w:rPr>
              <w:t>de la calificación</w:t>
            </w:r>
          </w:p>
        </w:tc>
      </w:tr>
      <w:tr>
        <w:trPr>
          <w:trHeight w:val="480" w:hRule="exact"/>
        </w:trPr>
        <w:tc>
          <w:tcPr>
            <w:tcW w:w="954" w:type="dxa"/>
            <w:vMerge/>
            <w:tcBorders>
              <w:left w:val="double" w:sz="11" w:space="0" w:color="000000"/>
            </w:tcBorders>
          </w:tcPr>
          <w:p>
            <w:pPr/>
          </w:p>
        </w:tc>
        <w:tc>
          <w:tcPr>
            <w:tcW w:w="1944" w:type="dxa"/>
            <w:vMerge/>
          </w:tcPr>
          <w:p>
            <w:pPr/>
          </w:p>
        </w:tc>
        <w:tc>
          <w:tcPr>
            <w:tcW w:w="1349" w:type="dxa"/>
          </w:tcPr>
          <w:p>
            <w:pPr>
              <w:pStyle w:val="TableParagraph"/>
              <w:spacing w:line="227" w:lineRule="exact"/>
              <w:rPr>
                <w:sz w:val="20"/>
              </w:rPr>
            </w:pPr>
            <w:r>
              <w:rPr>
                <w:sz w:val="20"/>
              </w:rPr>
              <w:t>Subsistema</w:t>
            </w:r>
          </w:p>
        </w:tc>
        <w:tc>
          <w:tcPr>
            <w:tcW w:w="2856" w:type="dxa"/>
          </w:tcPr>
          <w:p>
            <w:pPr>
              <w:pStyle w:val="TableParagraph"/>
              <w:spacing w:line="227" w:lineRule="exact"/>
              <w:rPr>
                <w:sz w:val="20"/>
              </w:rPr>
            </w:pPr>
            <w:r>
              <w:rPr>
                <w:sz w:val="20"/>
              </w:rPr>
              <w:t>Características</w:t>
            </w:r>
          </w:p>
        </w:tc>
        <w:tc>
          <w:tcPr>
            <w:tcW w:w="1488" w:type="dxa"/>
          </w:tcPr>
          <w:p>
            <w:pPr>
              <w:pStyle w:val="TableParagraph"/>
              <w:tabs>
                <w:tab w:pos="1151" w:val="left" w:leader="none"/>
              </w:tabs>
              <w:spacing w:line="227" w:lineRule="exact"/>
              <w:rPr>
                <w:sz w:val="20"/>
              </w:rPr>
            </w:pPr>
            <w:r>
              <w:rPr>
                <w:sz w:val="20"/>
              </w:rPr>
              <w:t>%</w:t>
              <w:tab/>
              <w:t>de</w:t>
            </w:r>
          </w:p>
          <w:p>
            <w:pPr>
              <w:pStyle w:val="TableParagraph"/>
              <w:rPr>
                <w:sz w:val="20"/>
              </w:rPr>
            </w:pPr>
            <w:r>
              <w:rPr>
                <w:sz w:val="20"/>
              </w:rPr>
              <w:t>cumplimiento</w:t>
            </w:r>
          </w:p>
        </w:tc>
        <w:tc>
          <w:tcPr>
            <w:tcW w:w="2821" w:type="dxa"/>
          </w:tcPr>
          <w:p>
            <w:pPr>
              <w:pStyle w:val="TableParagraph"/>
              <w:spacing w:line="227" w:lineRule="exact"/>
              <w:rPr>
                <w:sz w:val="20"/>
              </w:rPr>
            </w:pPr>
            <w:r>
              <w:rPr>
                <w:sz w:val="20"/>
              </w:rPr>
              <w:t>Observaciones</w:t>
            </w:r>
          </w:p>
        </w:tc>
        <w:tc>
          <w:tcPr>
            <w:tcW w:w="1409"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44"/>
        <w:gridCol w:w="1349"/>
        <w:gridCol w:w="2856"/>
        <w:gridCol w:w="1488"/>
        <w:gridCol w:w="2821"/>
        <w:gridCol w:w="1409"/>
      </w:tblGrid>
      <w:tr>
        <w:trPr>
          <w:trHeight w:val="3241"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230"/>
              <w:rPr>
                <w:sz w:val="20"/>
              </w:rPr>
            </w:pPr>
            <w:r>
              <w:rPr>
                <w:sz w:val="20"/>
              </w:rPr>
              <w:t>1400</w:t>
            </w:r>
          </w:p>
        </w:tc>
        <w:tc>
          <w:tcPr>
            <w:tcW w:w="194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49" w:type="dxa"/>
          </w:tcPr>
          <w:p>
            <w:pPr>
              <w:pStyle w:val="TableParagraph"/>
              <w:spacing w:before="7"/>
              <w:rPr>
                <w:sz w:val="20"/>
              </w:rPr>
            </w:pPr>
            <w:r>
              <w:rPr>
                <w:sz w:val="20"/>
              </w:rPr>
              <w:t>Ambiental</w:t>
            </w:r>
          </w:p>
        </w:tc>
        <w:tc>
          <w:tcPr>
            <w:tcW w:w="2856" w:type="dxa"/>
          </w:tcPr>
          <w:p>
            <w:pPr>
              <w:pStyle w:val="TableParagraph"/>
              <w:numPr>
                <w:ilvl w:val="0"/>
                <w:numId w:val="289"/>
              </w:numPr>
              <w:tabs>
                <w:tab w:pos="812" w:val="left" w:leader="none"/>
              </w:tabs>
              <w:spacing w:line="240" w:lineRule="auto" w:before="7" w:after="0"/>
              <w:ind w:left="280" w:right="103" w:hanging="141"/>
              <w:jc w:val="both"/>
              <w:rPr>
                <w:sz w:val="20"/>
              </w:rPr>
            </w:pPr>
            <w:r>
              <w:rPr>
                <w:sz w:val="20"/>
              </w:rPr>
              <w:t>Existe voluntad de  los actores de la CHPH para cuidar el medio ambiente</w:t>
            </w:r>
          </w:p>
          <w:p>
            <w:pPr>
              <w:pStyle w:val="TableParagraph"/>
              <w:numPr>
                <w:ilvl w:val="0"/>
                <w:numId w:val="289"/>
              </w:numPr>
              <w:tabs>
                <w:tab w:pos="812" w:val="left" w:leader="none"/>
                <w:tab w:pos="2085" w:val="left" w:leader="none"/>
              </w:tabs>
              <w:spacing w:line="240" w:lineRule="auto" w:before="0" w:after="0"/>
              <w:ind w:left="280" w:right="103" w:hanging="141"/>
              <w:jc w:val="both"/>
              <w:rPr>
                <w:sz w:val="20"/>
              </w:rPr>
            </w:pPr>
            <w:r>
              <w:rPr>
                <w:sz w:val="20"/>
              </w:rPr>
              <w:t>Los</w:t>
              <w:tab/>
              <w:t>actores históricos autogestionan sus propios recursos naturales</w:t>
            </w:r>
          </w:p>
          <w:p>
            <w:pPr>
              <w:pStyle w:val="TableParagraph"/>
              <w:numPr>
                <w:ilvl w:val="0"/>
                <w:numId w:val="289"/>
              </w:numPr>
              <w:tabs>
                <w:tab w:pos="812" w:val="left" w:leader="none"/>
              </w:tabs>
              <w:spacing w:line="240" w:lineRule="auto" w:before="0" w:after="0"/>
              <w:ind w:left="280" w:right="101" w:hanging="141"/>
              <w:jc w:val="both"/>
              <w:rPr>
                <w:sz w:val="20"/>
              </w:rPr>
            </w:pPr>
            <w:r>
              <w:rPr>
                <w:sz w:val="20"/>
              </w:rPr>
              <w:t>Los actores de la CHPH procuran la sostenibilidad de la</w:t>
            </w:r>
            <w:r>
              <w:rPr>
                <w:spacing w:val="-9"/>
                <w:sz w:val="20"/>
              </w:rPr>
              <w:t> </w:t>
            </w:r>
            <w:r>
              <w:rPr>
                <w:sz w:val="20"/>
              </w:rPr>
              <w:t>CHPH</w:t>
            </w:r>
          </w:p>
          <w:p>
            <w:pPr>
              <w:pStyle w:val="TableParagraph"/>
              <w:numPr>
                <w:ilvl w:val="0"/>
                <w:numId w:val="289"/>
              </w:numPr>
              <w:tabs>
                <w:tab w:pos="812" w:val="left" w:leader="none"/>
              </w:tabs>
              <w:spacing w:line="240" w:lineRule="auto" w:before="0" w:after="0"/>
              <w:ind w:left="280" w:right="101" w:hanging="141"/>
              <w:jc w:val="both"/>
              <w:rPr>
                <w:sz w:val="20"/>
              </w:rPr>
            </w:pPr>
            <w:r>
              <w:rPr>
                <w:sz w:val="20"/>
              </w:rPr>
              <w:t>Existe planeación ambiental con articulación entre</w:t>
            </w:r>
            <w:r>
              <w:rPr>
                <w:spacing w:val="-5"/>
                <w:sz w:val="20"/>
              </w:rPr>
              <w:t> </w:t>
            </w:r>
            <w:r>
              <w:rPr>
                <w:sz w:val="20"/>
              </w:rPr>
              <w:t>actores</w:t>
            </w:r>
          </w:p>
        </w:tc>
        <w:tc>
          <w:tcPr>
            <w:tcW w:w="1488"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482"/>
              <w:rPr>
                <w:sz w:val="20"/>
              </w:rPr>
            </w:pPr>
            <w:r>
              <w:rPr>
                <w:sz w:val="20"/>
              </w:rPr>
              <w:t>100%</w:t>
            </w:r>
          </w:p>
        </w:tc>
        <w:tc>
          <w:tcPr>
            <w:tcW w:w="2821" w:type="dxa"/>
            <w:vMerge w:val="restart"/>
          </w:tcPr>
          <w:p>
            <w:pPr>
              <w:pStyle w:val="TableParagraph"/>
              <w:spacing w:line="242" w:lineRule="auto" w:before="4"/>
              <w:ind w:right="104"/>
              <w:jc w:val="both"/>
              <w:rPr>
                <w:sz w:val="20"/>
              </w:rPr>
            </w:pPr>
            <w:r>
              <w:rPr>
                <w:sz w:val="20"/>
              </w:rPr>
              <w:t>Debe reunir al </w:t>
            </w:r>
            <w:r>
              <w:rPr>
                <w:b/>
                <w:sz w:val="20"/>
              </w:rPr>
              <w:t>100% las tres </w:t>
            </w:r>
            <w:r>
              <w:rPr>
                <w:sz w:val="20"/>
              </w:rPr>
              <w:t>características de impacto positivo</w:t>
            </w:r>
          </w:p>
        </w:tc>
        <w:tc>
          <w:tcPr>
            <w:tcW w:w="1409"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213"/>
              <w:rPr>
                <w:b/>
                <w:sz w:val="20"/>
              </w:rPr>
            </w:pPr>
            <w:r>
              <w:rPr>
                <w:b/>
                <w:sz w:val="20"/>
              </w:rPr>
              <w:t>Excelente</w:t>
            </w:r>
          </w:p>
        </w:tc>
      </w:tr>
      <w:tr>
        <w:trPr>
          <w:trHeight w:val="2540" w:hRule="exact"/>
        </w:trPr>
        <w:tc>
          <w:tcPr>
            <w:tcW w:w="954" w:type="dxa"/>
            <w:vMerge/>
            <w:tcBorders>
              <w:left w:val="double" w:sz="11" w:space="0" w:color="000000"/>
            </w:tcBorders>
          </w:tcPr>
          <w:p>
            <w:pPr/>
          </w:p>
        </w:tc>
        <w:tc>
          <w:tcPr>
            <w:tcW w:w="1944" w:type="dxa"/>
            <w:vMerge/>
          </w:tcPr>
          <w:p>
            <w:pPr/>
          </w:p>
        </w:tc>
        <w:tc>
          <w:tcPr>
            <w:tcW w:w="1349" w:type="dxa"/>
          </w:tcPr>
          <w:p>
            <w:pPr>
              <w:pStyle w:val="TableParagraph"/>
              <w:spacing w:line="227" w:lineRule="exact"/>
              <w:rPr>
                <w:sz w:val="20"/>
              </w:rPr>
            </w:pPr>
            <w:r>
              <w:rPr>
                <w:sz w:val="20"/>
              </w:rPr>
              <w:t>Económico</w:t>
            </w:r>
          </w:p>
        </w:tc>
        <w:tc>
          <w:tcPr>
            <w:tcW w:w="2856" w:type="dxa"/>
          </w:tcPr>
          <w:p>
            <w:pPr>
              <w:pStyle w:val="TableParagraph"/>
              <w:numPr>
                <w:ilvl w:val="0"/>
                <w:numId w:val="290"/>
              </w:numPr>
              <w:tabs>
                <w:tab w:pos="812" w:val="left" w:leader="none"/>
              </w:tabs>
              <w:spacing w:line="240" w:lineRule="auto" w:before="0" w:after="0"/>
              <w:ind w:left="280" w:right="104"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290"/>
              </w:numPr>
              <w:tabs>
                <w:tab w:pos="812" w:val="left" w:leader="none"/>
              </w:tabs>
              <w:spacing w:line="240" w:lineRule="auto" w:before="0" w:after="0"/>
              <w:ind w:left="280" w:right="102" w:hanging="141"/>
              <w:jc w:val="both"/>
              <w:rPr>
                <w:sz w:val="20"/>
              </w:rPr>
            </w:pPr>
            <w:r>
              <w:rPr>
                <w:sz w:val="20"/>
              </w:rPr>
              <w:t>Existe crecimiento económico igualitario  en los municipios que integran la</w:t>
            </w:r>
            <w:r>
              <w:rPr>
                <w:spacing w:val="-5"/>
                <w:sz w:val="20"/>
              </w:rPr>
              <w:t> </w:t>
            </w:r>
            <w:r>
              <w:rPr>
                <w:sz w:val="20"/>
              </w:rPr>
              <w:t>CHPH</w:t>
            </w:r>
          </w:p>
          <w:p>
            <w:pPr>
              <w:pStyle w:val="TableParagraph"/>
              <w:numPr>
                <w:ilvl w:val="0"/>
                <w:numId w:val="290"/>
              </w:numPr>
              <w:tabs>
                <w:tab w:pos="812" w:val="left" w:leader="none"/>
              </w:tabs>
              <w:spacing w:line="240" w:lineRule="auto" w:before="0" w:after="0"/>
              <w:ind w:left="280" w:right="102" w:hanging="141"/>
              <w:jc w:val="both"/>
              <w:rPr>
                <w:sz w:val="20"/>
              </w:rPr>
            </w:pPr>
            <w:r>
              <w:rPr>
                <w:sz w:val="20"/>
              </w:rPr>
              <w:t>Existe planeación económica con articulación entre</w:t>
            </w:r>
            <w:r>
              <w:rPr>
                <w:spacing w:val="-5"/>
                <w:sz w:val="20"/>
              </w:rPr>
              <w:t> </w:t>
            </w:r>
            <w:r>
              <w:rPr>
                <w:sz w:val="20"/>
              </w:rPr>
              <w:t>actores</w:t>
            </w:r>
          </w:p>
        </w:tc>
        <w:tc>
          <w:tcPr>
            <w:tcW w:w="1488" w:type="dxa"/>
            <w:vMerge/>
          </w:tcPr>
          <w:p>
            <w:pPr/>
          </w:p>
        </w:tc>
        <w:tc>
          <w:tcPr>
            <w:tcW w:w="2821" w:type="dxa"/>
            <w:vMerge/>
          </w:tcPr>
          <w:p>
            <w:pPr/>
          </w:p>
        </w:tc>
        <w:tc>
          <w:tcPr>
            <w:tcW w:w="1409" w:type="dxa"/>
            <w:vMerge/>
            <w:tcBorders>
              <w:right w:val="double" w:sz="12" w:space="0" w:color="000000"/>
            </w:tcBorders>
            <w:shd w:val="clear" w:color="auto" w:fill="00FF00"/>
          </w:tcPr>
          <w:p>
            <w:pPr/>
          </w:p>
        </w:tc>
      </w:tr>
      <w:tr>
        <w:trPr>
          <w:trHeight w:val="3001" w:hRule="exact"/>
        </w:trPr>
        <w:tc>
          <w:tcPr>
            <w:tcW w:w="954" w:type="dxa"/>
            <w:vMerge/>
            <w:tcBorders>
              <w:left w:val="double" w:sz="11" w:space="0" w:color="000000"/>
            </w:tcBorders>
          </w:tcPr>
          <w:p>
            <w:pPr/>
          </w:p>
        </w:tc>
        <w:tc>
          <w:tcPr>
            <w:tcW w:w="1944" w:type="dxa"/>
            <w:vMerge/>
          </w:tcPr>
          <w:p>
            <w:pPr/>
          </w:p>
        </w:tc>
        <w:tc>
          <w:tcPr>
            <w:tcW w:w="1349" w:type="dxa"/>
          </w:tcPr>
          <w:p>
            <w:pPr>
              <w:pStyle w:val="TableParagraph"/>
              <w:spacing w:line="227" w:lineRule="exact"/>
              <w:rPr>
                <w:sz w:val="20"/>
              </w:rPr>
            </w:pPr>
            <w:r>
              <w:rPr>
                <w:sz w:val="20"/>
              </w:rPr>
              <w:t>Sociopolítico</w:t>
            </w:r>
          </w:p>
        </w:tc>
        <w:tc>
          <w:tcPr>
            <w:tcW w:w="2856" w:type="dxa"/>
          </w:tcPr>
          <w:p>
            <w:pPr>
              <w:pStyle w:val="TableParagraph"/>
              <w:ind w:left="280" w:right="102" w:hanging="178"/>
              <w:jc w:val="both"/>
              <w:rPr>
                <w:sz w:val="20"/>
              </w:rPr>
            </w:pPr>
            <w:r>
              <w:rPr>
                <w:rFonts w:ascii="Wingdings" w:hAnsi="Wingdings"/>
                <w:spacing w:val="2"/>
                <w:sz w:val="20"/>
              </w:rPr>
              <w:t></w:t>
            </w:r>
            <w:r>
              <w:rPr>
                <w:spacing w:val="2"/>
                <w:sz w:val="20"/>
              </w:rPr>
              <w:t>Favorece</w:t>
            </w:r>
            <w:r>
              <w:rPr>
                <w:spacing w:val="59"/>
                <w:sz w:val="20"/>
              </w:rPr>
              <w:t> </w:t>
            </w:r>
            <w:r>
              <w:rPr>
                <w:sz w:val="20"/>
              </w:rPr>
              <w:t>la acción colectiva de los actores de la CHPH para resolver sus problemas comunes</w:t>
            </w:r>
          </w:p>
          <w:p>
            <w:pPr>
              <w:pStyle w:val="TableParagraph"/>
              <w:ind w:left="280" w:right="103" w:hanging="178"/>
              <w:jc w:val="both"/>
              <w:rPr>
                <w:sz w:val="20"/>
              </w:rPr>
            </w:pPr>
            <w:r>
              <w:rPr>
                <w:rFonts w:ascii="Wingdings" w:hAnsi="Wingdings"/>
                <w:sz w:val="20"/>
              </w:rPr>
              <w:t></w:t>
            </w:r>
            <w:r>
              <w:rPr>
                <w:sz w:val="20"/>
              </w:rPr>
              <w:t>Favorece la organización sociopolítica de los actores de la CHPH por la vía democrática</w:t>
            </w:r>
          </w:p>
          <w:p>
            <w:pPr>
              <w:pStyle w:val="TableParagraph"/>
              <w:spacing w:line="229" w:lineRule="exact"/>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772" w:val="left" w:leader="none"/>
                <w:tab w:pos="2419" w:val="left" w:leader="none"/>
              </w:tabs>
              <w:ind w:left="280" w:right="101" w:hanging="178"/>
              <w:jc w:val="both"/>
              <w:rPr>
                <w:sz w:val="20"/>
              </w:rPr>
            </w:pPr>
            <w:r>
              <w:rPr>
                <w:rFonts w:ascii="Wingdings" w:hAnsi="Wingdings"/>
                <w:spacing w:val="3"/>
                <w:sz w:val="20"/>
              </w:rPr>
              <w:t></w:t>
            </w:r>
            <w:r>
              <w:rPr>
                <w:spacing w:val="3"/>
                <w:sz w:val="20"/>
              </w:rPr>
              <w:t>Existe</w:t>
              <w:tab/>
            </w:r>
            <w:r>
              <w:rPr>
                <w:sz w:val="20"/>
              </w:rPr>
              <w:t>planeación sociopolítica</w:t>
              <w:tab/>
              <w:tab/>
              <w:t>con</w:t>
            </w:r>
          </w:p>
        </w:tc>
        <w:tc>
          <w:tcPr>
            <w:tcW w:w="1488" w:type="dxa"/>
            <w:vMerge/>
          </w:tcPr>
          <w:p>
            <w:pPr/>
          </w:p>
        </w:tc>
        <w:tc>
          <w:tcPr>
            <w:tcW w:w="2821" w:type="dxa"/>
            <w:vMerge/>
          </w:tcPr>
          <w:p>
            <w:pPr/>
          </w:p>
        </w:tc>
        <w:tc>
          <w:tcPr>
            <w:tcW w:w="1409"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38.26001pt;margin-top:98.059998pt;width:68.05pt;height:288.05pt;mso-position-horizontal-relative:page;mso-position-vertical-relative:page;z-index:-3328480" coordorigin="12765,1961" coordsize="1361,5761">
            <v:shape style="position:absolute;left:12765;top:1961;width:1361;height:5761" type="#_x0000_t75" stroked="false">
              <v:imagedata r:id="rId517" o:title=""/>
            </v:shape>
            <v:shape style="position:absolute;left:12868;top:1961;width:1154;height:230" type="#_x0000_t75" stroked="false">
              <v:imagedata r:id="rId518" o:title=""/>
            </v:shape>
            <v:shape style="position:absolute;left:12868;top:2192;width:1154;height:230" type="#_x0000_t75" stroked="false">
              <v:imagedata r:id="rId519" o:title=""/>
            </v:shape>
            <v:shape style="position:absolute;left:12868;top:2422;width:1154;height:230" type="#_x0000_t75" stroked="false">
              <v:imagedata r:id="rId520" o:title=""/>
            </v:shape>
            <v:shape style="position:absolute;left:12868;top:2652;width:1154;height:228" type="#_x0000_t75" stroked="false">
              <v:imagedata r:id="rId403" o:title=""/>
            </v:shape>
            <v:shape style="position:absolute;left:12868;top:2880;width:1154;height:230" type="#_x0000_t75" stroked="false">
              <v:imagedata r:id="rId404" o:title=""/>
            </v:shape>
            <v:shape style="position:absolute;left:12868;top:3111;width:1154;height:230" type="#_x0000_t75" stroked="false">
              <v:imagedata r:id="rId521" o:title=""/>
            </v:shape>
            <v:shape style="position:absolute;left:12868;top:3341;width:1154;height:230" type="#_x0000_t75" stroked="false">
              <v:imagedata r:id="rId522" o:title=""/>
            </v:shape>
            <v:shape style="position:absolute;left:12868;top:3572;width:1154;height:230" type="#_x0000_t75" stroked="false">
              <v:imagedata r:id="rId407" o:title=""/>
            </v:shape>
            <v:shape style="position:absolute;left:12868;top:3802;width:1154;height:231" type="#_x0000_t75" stroked="false">
              <v:imagedata r:id="rId523" o:title=""/>
            </v:shape>
            <v:shape style="position:absolute;left:12868;top:4033;width:1154;height:228" type="#_x0000_t75" stroked="false">
              <v:imagedata r:id="rId524" o:title=""/>
            </v:shape>
            <v:shape style="position:absolute;left:12868;top:4261;width:1154;height:230" type="#_x0000_t75" stroked="false">
              <v:imagedata r:id="rId410" o:title=""/>
            </v:shape>
            <v:shape style="position:absolute;left:12868;top:4491;width:1154;height:230" type="#_x0000_t75" stroked="false">
              <v:imagedata r:id="rId525" o:title=""/>
            </v:shape>
            <v:shape style="position:absolute;left:12868;top:4722;width:1154;height:230" type="#_x0000_t75" stroked="false">
              <v:imagedata r:id="rId526" o:title=""/>
            </v:shape>
            <v:shape style="position:absolute;left:12868;top:4952;width:1154;height:230" type="#_x0000_t75" stroked="false">
              <v:imagedata r:id="rId527"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44"/>
        <w:gridCol w:w="1349"/>
        <w:gridCol w:w="2856"/>
        <w:gridCol w:w="1488"/>
        <w:gridCol w:w="2821"/>
        <w:gridCol w:w="1409"/>
      </w:tblGrid>
      <w:tr>
        <w:trPr>
          <w:trHeight w:val="250" w:hRule="exact"/>
        </w:trPr>
        <w:tc>
          <w:tcPr>
            <w:tcW w:w="954" w:type="dxa"/>
            <w:tcBorders>
              <w:left w:val="double" w:sz="11" w:space="0" w:color="000000"/>
            </w:tcBorders>
          </w:tcPr>
          <w:p>
            <w:pPr/>
          </w:p>
        </w:tc>
        <w:tc>
          <w:tcPr>
            <w:tcW w:w="1944" w:type="dxa"/>
          </w:tcPr>
          <w:p>
            <w:pPr/>
          </w:p>
        </w:tc>
        <w:tc>
          <w:tcPr>
            <w:tcW w:w="1349" w:type="dxa"/>
          </w:tcPr>
          <w:p>
            <w:pPr/>
          </w:p>
        </w:tc>
        <w:tc>
          <w:tcPr>
            <w:tcW w:w="2856" w:type="dxa"/>
          </w:tcPr>
          <w:p>
            <w:pPr>
              <w:pStyle w:val="TableParagraph"/>
              <w:spacing w:before="7"/>
              <w:ind w:left="280"/>
              <w:rPr>
                <w:sz w:val="20"/>
              </w:rPr>
            </w:pPr>
            <w:r>
              <w:rPr>
                <w:sz w:val="20"/>
              </w:rPr>
              <w:t>articulación entre actores</w:t>
            </w:r>
          </w:p>
        </w:tc>
        <w:tc>
          <w:tcPr>
            <w:tcW w:w="1488" w:type="dxa"/>
          </w:tcPr>
          <w:p>
            <w:pPr/>
          </w:p>
        </w:tc>
        <w:tc>
          <w:tcPr>
            <w:tcW w:w="2821" w:type="dxa"/>
          </w:tcPr>
          <w:p>
            <w:pPr/>
          </w:p>
        </w:tc>
        <w:tc>
          <w:tcPr>
            <w:tcW w:w="1409" w:type="dxa"/>
            <w:tcBorders>
              <w:right w:val="double" w:sz="12" w:space="0" w:color="000000"/>
            </w:tcBorders>
            <w:shd w:val="clear" w:color="auto" w:fill="00FF00"/>
          </w:tcPr>
          <w:p>
            <w:pPr/>
          </w:p>
        </w:tc>
      </w:tr>
      <w:tr>
        <w:trPr>
          <w:trHeight w:val="3231"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19"/>
              <w:ind w:left="230"/>
              <w:rPr>
                <w:sz w:val="20"/>
              </w:rPr>
            </w:pPr>
            <w:r>
              <w:rPr>
                <w:sz w:val="20"/>
              </w:rPr>
              <w:t>1519</w:t>
            </w:r>
          </w:p>
        </w:tc>
        <w:tc>
          <w:tcPr>
            <w:tcW w:w="194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jc w:val="center"/>
              <w:rPr>
                <w:b/>
                <w:sz w:val="20"/>
              </w:rPr>
            </w:pPr>
            <w:r>
              <w:rPr>
                <w:b/>
                <w:w w:val="99"/>
                <w:sz w:val="20"/>
              </w:rPr>
              <w:t>1</w:t>
            </w:r>
          </w:p>
        </w:tc>
        <w:tc>
          <w:tcPr>
            <w:tcW w:w="1349" w:type="dxa"/>
          </w:tcPr>
          <w:p>
            <w:pPr>
              <w:pStyle w:val="TableParagraph"/>
              <w:spacing w:line="227" w:lineRule="exact"/>
              <w:rPr>
                <w:sz w:val="20"/>
              </w:rPr>
            </w:pPr>
            <w:r>
              <w:rPr>
                <w:sz w:val="20"/>
              </w:rPr>
              <w:t>Ambiental</w:t>
            </w:r>
          </w:p>
        </w:tc>
        <w:tc>
          <w:tcPr>
            <w:tcW w:w="2856" w:type="dxa"/>
          </w:tcPr>
          <w:p>
            <w:pPr>
              <w:pStyle w:val="TableParagraph"/>
              <w:numPr>
                <w:ilvl w:val="0"/>
                <w:numId w:val="291"/>
              </w:numPr>
              <w:tabs>
                <w:tab w:pos="812" w:val="left" w:leader="none"/>
              </w:tabs>
              <w:spacing w:line="240" w:lineRule="auto" w:before="0" w:after="0"/>
              <w:ind w:left="280" w:right="103" w:hanging="141"/>
              <w:jc w:val="both"/>
              <w:rPr>
                <w:sz w:val="20"/>
              </w:rPr>
            </w:pPr>
            <w:r>
              <w:rPr>
                <w:sz w:val="20"/>
              </w:rPr>
              <w:t>Existe voluntad de  los actores de la CHPH para cuidar el medio ambiente</w:t>
            </w:r>
          </w:p>
          <w:p>
            <w:pPr>
              <w:pStyle w:val="TableParagraph"/>
              <w:numPr>
                <w:ilvl w:val="0"/>
                <w:numId w:val="291"/>
              </w:numPr>
              <w:tabs>
                <w:tab w:pos="812" w:val="left" w:leader="none"/>
                <w:tab w:pos="2085" w:val="left" w:leader="none"/>
              </w:tabs>
              <w:spacing w:line="240" w:lineRule="auto" w:before="0" w:after="0"/>
              <w:ind w:left="280" w:right="103" w:hanging="141"/>
              <w:jc w:val="both"/>
              <w:rPr>
                <w:sz w:val="20"/>
              </w:rPr>
            </w:pPr>
            <w:r>
              <w:rPr>
                <w:sz w:val="20"/>
              </w:rPr>
              <w:t>Los</w:t>
              <w:tab/>
              <w:t>actores históricos autogestionan sus propios recursos naturales</w:t>
            </w:r>
          </w:p>
          <w:p>
            <w:pPr>
              <w:pStyle w:val="TableParagraph"/>
              <w:numPr>
                <w:ilvl w:val="0"/>
                <w:numId w:val="291"/>
              </w:numPr>
              <w:tabs>
                <w:tab w:pos="812" w:val="left" w:leader="none"/>
              </w:tabs>
              <w:spacing w:line="240" w:lineRule="auto" w:before="1" w:after="0"/>
              <w:ind w:left="280" w:right="101" w:hanging="141"/>
              <w:jc w:val="both"/>
              <w:rPr>
                <w:sz w:val="20"/>
              </w:rPr>
            </w:pPr>
            <w:r>
              <w:rPr>
                <w:sz w:val="20"/>
              </w:rPr>
              <w:t>Los actores de la CHPH procuran la sostenibilidad de la</w:t>
            </w:r>
            <w:r>
              <w:rPr>
                <w:spacing w:val="-9"/>
                <w:sz w:val="20"/>
              </w:rPr>
              <w:t> </w:t>
            </w:r>
            <w:r>
              <w:rPr>
                <w:sz w:val="20"/>
              </w:rPr>
              <w:t>CHPH</w:t>
            </w:r>
          </w:p>
          <w:p>
            <w:pPr>
              <w:pStyle w:val="TableParagraph"/>
              <w:numPr>
                <w:ilvl w:val="0"/>
                <w:numId w:val="291"/>
              </w:numPr>
              <w:tabs>
                <w:tab w:pos="812" w:val="left" w:leader="none"/>
              </w:tabs>
              <w:spacing w:line="240" w:lineRule="auto" w:before="0" w:after="0"/>
              <w:ind w:left="280" w:right="101" w:hanging="141"/>
              <w:jc w:val="both"/>
              <w:rPr>
                <w:sz w:val="20"/>
              </w:rPr>
            </w:pPr>
            <w:r>
              <w:rPr>
                <w:sz w:val="20"/>
              </w:rPr>
              <w:t>Existe planeación ambiental con articulación entre</w:t>
            </w:r>
            <w:r>
              <w:rPr>
                <w:spacing w:val="-5"/>
                <w:sz w:val="20"/>
              </w:rPr>
              <w:t> </w:t>
            </w:r>
            <w:r>
              <w:rPr>
                <w:sz w:val="20"/>
              </w:rPr>
              <w:t>actores</w:t>
            </w:r>
          </w:p>
        </w:tc>
        <w:tc>
          <w:tcPr>
            <w:tcW w:w="1488"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19"/>
              <w:ind w:left="517" w:right="520"/>
              <w:jc w:val="center"/>
              <w:rPr>
                <w:sz w:val="20"/>
              </w:rPr>
            </w:pPr>
            <w:r>
              <w:rPr>
                <w:sz w:val="20"/>
              </w:rPr>
              <w:t>75%</w:t>
            </w:r>
          </w:p>
        </w:tc>
        <w:tc>
          <w:tcPr>
            <w:tcW w:w="2821" w:type="dxa"/>
            <w:vMerge w:val="restart"/>
          </w:tcPr>
          <w:p>
            <w:pPr>
              <w:pStyle w:val="TableParagraph"/>
              <w:spacing w:line="242" w:lineRule="auto"/>
              <w:ind w:right="103"/>
              <w:jc w:val="both"/>
              <w:rPr>
                <w:sz w:val="20"/>
              </w:rPr>
            </w:pPr>
            <w:r>
              <w:rPr>
                <w:sz w:val="20"/>
              </w:rPr>
              <w:t>Debe reunir </w:t>
            </w:r>
            <w:r>
              <w:rPr>
                <w:b/>
                <w:sz w:val="20"/>
              </w:rPr>
              <w:t>al menos el 75% </w:t>
            </w:r>
            <w:r>
              <w:rPr>
                <w:sz w:val="20"/>
              </w:rPr>
              <w:t>dos de tres características de impacto positivo</w:t>
            </w:r>
          </w:p>
        </w:tc>
        <w:tc>
          <w:tcPr>
            <w:tcW w:w="1409"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369"/>
              <w:rPr>
                <w:b/>
                <w:sz w:val="20"/>
              </w:rPr>
            </w:pPr>
            <w:r>
              <w:rPr>
                <w:b/>
                <w:sz w:val="20"/>
              </w:rPr>
              <w:t>Bueno</w:t>
            </w:r>
          </w:p>
        </w:tc>
      </w:tr>
      <w:tr>
        <w:trPr>
          <w:trHeight w:val="2549" w:hRule="exact"/>
        </w:trPr>
        <w:tc>
          <w:tcPr>
            <w:tcW w:w="954" w:type="dxa"/>
            <w:vMerge/>
            <w:tcBorders>
              <w:left w:val="double" w:sz="11" w:space="0" w:color="000000"/>
              <w:bottom w:val="single" w:sz="8" w:space="0" w:color="000000"/>
            </w:tcBorders>
          </w:tcPr>
          <w:p>
            <w:pPr/>
          </w:p>
        </w:tc>
        <w:tc>
          <w:tcPr>
            <w:tcW w:w="1944" w:type="dxa"/>
            <w:vMerge/>
            <w:tcBorders>
              <w:bottom w:val="single" w:sz="8" w:space="0" w:color="000000"/>
            </w:tcBorders>
          </w:tcPr>
          <w:p>
            <w:pPr/>
          </w:p>
        </w:tc>
        <w:tc>
          <w:tcPr>
            <w:tcW w:w="1349" w:type="dxa"/>
            <w:tcBorders>
              <w:bottom w:val="single" w:sz="8" w:space="0" w:color="000000"/>
            </w:tcBorders>
          </w:tcPr>
          <w:p>
            <w:pPr>
              <w:pStyle w:val="TableParagraph"/>
              <w:spacing w:line="227" w:lineRule="exact"/>
              <w:rPr>
                <w:sz w:val="20"/>
              </w:rPr>
            </w:pPr>
            <w:r>
              <w:rPr>
                <w:sz w:val="20"/>
              </w:rPr>
              <w:t>Económico</w:t>
            </w:r>
          </w:p>
        </w:tc>
        <w:tc>
          <w:tcPr>
            <w:tcW w:w="2856" w:type="dxa"/>
            <w:tcBorders>
              <w:bottom w:val="single" w:sz="8" w:space="0" w:color="000000"/>
            </w:tcBorders>
          </w:tcPr>
          <w:p>
            <w:pPr>
              <w:pStyle w:val="TableParagraph"/>
              <w:numPr>
                <w:ilvl w:val="0"/>
                <w:numId w:val="292"/>
              </w:numPr>
              <w:tabs>
                <w:tab w:pos="812" w:val="left" w:leader="none"/>
              </w:tabs>
              <w:spacing w:line="240" w:lineRule="auto" w:before="0" w:after="0"/>
              <w:ind w:left="280" w:right="104"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292"/>
              </w:numPr>
              <w:tabs>
                <w:tab w:pos="812" w:val="left" w:leader="none"/>
              </w:tabs>
              <w:spacing w:line="240" w:lineRule="auto" w:before="0" w:after="0"/>
              <w:ind w:left="280" w:right="102" w:hanging="141"/>
              <w:jc w:val="both"/>
              <w:rPr>
                <w:sz w:val="20"/>
              </w:rPr>
            </w:pPr>
            <w:r>
              <w:rPr>
                <w:sz w:val="20"/>
              </w:rPr>
              <w:t>Existe crecimiento económico igualitario  en los municipios que integran la</w:t>
            </w:r>
            <w:r>
              <w:rPr>
                <w:spacing w:val="-5"/>
                <w:sz w:val="20"/>
              </w:rPr>
              <w:t> </w:t>
            </w:r>
            <w:r>
              <w:rPr>
                <w:sz w:val="20"/>
              </w:rPr>
              <w:t>CHPH</w:t>
            </w:r>
          </w:p>
          <w:p>
            <w:pPr>
              <w:pStyle w:val="TableParagraph"/>
              <w:numPr>
                <w:ilvl w:val="0"/>
                <w:numId w:val="292"/>
              </w:numPr>
              <w:tabs>
                <w:tab w:pos="812" w:val="left" w:leader="none"/>
              </w:tabs>
              <w:spacing w:line="240" w:lineRule="auto" w:before="0" w:after="0"/>
              <w:ind w:left="280" w:right="102" w:hanging="141"/>
              <w:jc w:val="both"/>
              <w:rPr>
                <w:sz w:val="20"/>
              </w:rPr>
            </w:pPr>
            <w:r>
              <w:rPr>
                <w:sz w:val="20"/>
              </w:rPr>
              <w:t>Existe planeación económica con articulación entre</w:t>
            </w:r>
            <w:r>
              <w:rPr>
                <w:spacing w:val="-5"/>
                <w:sz w:val="20"/>
              </w:rPr>
              <w:t> </w:t>
            </w:r>
            <w:r>
              <w:rPr>
                <w:sz w:val="20"/>
              </w:rPr>
              <w:t>actores</w:t>
            </w:r>
          </w:p>
        </w:tc>
        <w:tc>
          <w:tcPr>
            <w:tcW w:w="1488" w:type="dxa"/>
            <w:vMerge/>
            <w:tcBorders>
              <w:bottom w:val="single" w:sz="8" w:space="0" w:color="000000"/>
            </w:tcBorders>
          </w:tcPr>
          <w:p>
            <w:pPr/>
          </w:p>
        </w:tc>
        <w:tc>
          <w:tcPr>
            <w:tcW w:w="2821" w:type="dxa"/>
            <w:vMerge/>
            <w:tcBorders>
              <w:bottom w:val="single" w:sz="8" w:space="0" w:color="000000"/>
            </w:tcBorders>
          </w:tcPr>
          <w:p>
            <w:pPr/>
          </w:p>
        </w:tc>
        <w:tc>
          <w:tcPr>
            <w:tcW w:w="1409" w:type="dxa"/>
            <w:vMerge/>
            <w:tcBorders>
              <w:bottom w:val="single" w:sz="8"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44"/>
        <w:gridCol w:w="1349"/>
        <w:gridCol w:w="2856"/>
        <w:gridCol w:w="1488"/>
        <w:gridCol w:w="2821"/>
        <w:gridCol w:w="1409"/>
      </w:tblGrid>
      <w:tr>
        <w:trPr>
          <w:trHeight w:val="3241" w:hRule="exact"/>
        </w:trPr>
        <w:tc>
          <w:tcPr>
            <w:tcW w:w="954" w:type="dxa"/>
            <w:tcBorders>
              <w:left w:val="double" w:sz="11" w:space="0" w:color="000000"/>
            </w:tcBorders>
          </w:tcPr>
          <w:p>
            <w:pPr/>
          </w:p>
        </w:tc>
        <w:tc>
          <w:tcPr>
            <w:tcW w:w="1944" w:type="dxa"/>
          </w:tcPr>
          <w:p>
            <w:pPr/>
          </w:p>
        </w:tc>
        <w:tc>
          <w:tcPr>
            <w:tcW w:w="1349" w:type="dxa"/>
          </w:tcPr>
          <w:p>
            <w:pPr/>
          </w:p>
        </w:tc>
        <w:tc>
          <w:tcPr>
            <w:tcW w:w="2856" w:type="dxa"/>
          </w:tcPr>
          <w:p>
            <w:pPr>
              <w:pStyle w:val="TableParagraph"/>
              <w:spacing w:before="7"/>
              <w:ind w:left="280" w:right="102" w:hanging="178"/>
              <w:jc w:val="both"/>
              <w:rPr>
                <w:sz w:val="20"/>
              </w:rPr>
            </w:pPr>
            <w:r>
              <w:rPr>
                <w:rFonts w:ascii="Wingdings" w:hAnsi="Wingdings"/>
                <w:spacing w:val="2"/>
                <w:sz w:val="20"/>
              </w:rPr>
              <w:t></w:t>
            </w:r>
            <w:r>
              <w:rPr>
                <w:spacing w:val="2"/>
                <w:sz w:val="20"/>
              </w:rPr>
              <w:t>Favorece</w:t>
            </w:r>
            <w:r>
              <w:rPr>
                <w:spacing w:val="59"/>
                <w:sz w:val="20"/>
              </w:rPr>
              <w:t> </w:t>
            </w:r>
            <w:r>
              <w:rPr>
                <w:sz w:val="20"/>
              </w:rPr>
              <w:t>la acción colectiva de los actores de la CHPH para resolver sus problemas comunes</w:t>
            </w:r>
          </w:p>
          <w:p>
            <w:pPr>
              <w:pStyle w:val="TableParagraph"/>
              <w:ind w:left="280" w:right="103" w:hanging="178"/>
              <w:jc w:val="both"/>
              <w:rPr>
                <w:sz w:val="20"/>
              </w:rPr>
            </w:pPr>
            <w:r>
              <w:rPr>
                <w:rFonts w:ascii="Wingdings" w:hAnsi="Wingdings"/>
                <w:sz w:val="20"/>
              </w:rPr>
              <w:t></w:t>
            </w:r>
            <w:r>
              <w:rPr>
                <w:sz w:val="20"/>
              </w:rPr>
              <w:t>Favorece la organización sociopolítica de los actores de la CHPH por la vía democrática</w:t>
            </w:r>
          </w:p>
          <w:p>
            <w:pPr>
              <w:pStyle w:val="TableParagraph"/>
              <w:rPr>
                <w:sz w:val="20"/>
              </w:rPr>
            </w:pPr>
            <w:r>
              <w:rPr>
                <w:rFonts w:ascii="Wingdings" w:hAnsi="Wingdings"/>
                <w:sz w:val="20"/>
              </w:rPr>
              <w:t></w:t>
            </w:r>
            <w:r>
              <w:rPr>
                <w:sz w:val="20"/>
              </w:rPr>
              <w:t>Favorece la GIRH</w:t>
            </w:r>
          </w:p>
          <w:p>
            <w:pPr>
              <w:pStyle w:val="TableParagraph"/>
              <w:spacing w:line="229" w:lineRule="exact" w:before="1"/>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tabs>
                <w:tab w:pos="1772" w:val="left" w:leader="none"/>
                <w:tab w:pos="2419" w:val="left" w:leader="none"/>
              </w:tabs>
              <w:ind w:left="280" w:right="101"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88" w:type="dxa"/>
          </w:tcPr>
          <w:p>
            <w:pPr/>
          </w:p>
        </w:tc>
        <w:tc>
          <w:tcPr>
            <w:tcW w:w="2821" w:type="dxa"/>
          </w:tcPr>
          <w:p>
            <w:pPr/>
          </w:p>
        </w:tc>
        <w:tc>
          <w:tcPr>
            <w:tcW w:w="1409" w:type="dxa"/>
            <w:tcBorders>
              <w:right w:val="double" w:sz="12" w:space="0" w:color="000000"/>
            </w:tcBorders>
          </w:tcPr>
          <w:p>
            <w:pPr>
              <w:pStyle w:val="TableParagraph"/>
              <w:ind w:left="0" w:right="-50"/>
              <w:rPr>
                <w:rFonts w:ascii="Times New Roman"/>
                <w:sz w:val="20"/>
              </w:rPr>
            </w:pPr>
            <w:r>
              <w:rPr>
                <w:rFonts w:ascii="Times New Roman"/>
                <w:sz w:val="20"/>
              </w:rPr>
              <w:pict>
                <v:group style="width:68.05pt;height:161.1pt;mso-position-horizontal-relative:char;mso-position-vertical-relative:line" coordorigin="0,0" coordsize="1361,3222">
                  <v:shape style="position:absolute;left:0;top:0;width:1361;height:3221" type="#_x0000_t75" stroked="false">
                    <v:imagedata r:id="rId528" o:title=""/>
                  </v:shape>
                </v:group>
              </w:pict>
            </w:r>
            <w:r>
              <w:rPr>
                <w:rFonts w:ascii="Times New Roman"/>
                <w:sz w:val="20"/>
              </w:rPr>
            </w:r>
          </w:p>
        </w:tc>
      </w:tr>
      <w:tr>
        <w:trPr>
          <w:trHeight w:val="3228"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
              <w:ind w:left="0"/>
              <w:rPr>
                <w:rFonts w:ascii="Times New Roman"/>
                <w:sz w:val="20"/>
              </w:rPr>
            </w:pPr>
          </w:p>
          <w:p>
            <w:pPr>
              <w:pStyle w:val="TableParagraph"/>
              <w:ind w:left="230"/>
              <w:rPr>
                <w:sz w:val="20"/>
              </w:rPr>
            </w:pPr>
            <w:r>
              <w:rPr>
                <w:sz w:val="20"/>
              </w:rPr>
              <w:t>2016</w:t>
            </w:r>
          </w:p>
        </w:tc>
        <w:tc>
          <w:tcPr>
            <w:tcW w:w="194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349" w:type="dxa"/>
          </w:tcPr>
          <w:p>
            <w:pPr>
              <w:pStyle w:val="TableParagraph"/>
              <w:spacing w:line="227" w:lineRule="exact"/>
              <w:rPr>
                <w:sz w:val="20"/>
              </w:rPr>
            </w:pPr>
            <w:r>
              <w:rPr>
                <w:sz w:val="20"/>
              </w:rPr>
              <w:t>Ambiental</w:t>
            </w:r>
          </w:p>
        </w:tc>
        <w:tc>
          <w:tcPr>
            <w:tcW w:w="2856" w:type="dxa"/>
          </w:tcPr>
          <w:p>
            <w:pPr>
              <w:pStyle w:val="TableParagraph"/>
              <w:numPr>
                <w:ilvl w:val="0"/>
                <w:numId w:val="293"/>
              </w:numPr>
              <w:tabs>
                <w:tab w:pos="812" w:val="left" w:leader="none"/>
              </w:tabs>
              <w:spacing w:line="240" w:lineRule="auto" w:before="0" w:after="0"/>
              <w:ind w:left="280" w:right="103" w:hanging="141"/>
              <w:jc w:val="both"/>
              <w:rPr>
                <w:sz w:val="20"/>
              </w:rPr>
            </w:pPr>
            <w:r>
              <w:rPr>
                <w:sz w:val="20"/>
              </w:rPr>
              <w:t>Existe voluntad de  los actores de la CHPH para cuidar el medio ambiente</w:t>
            </w:r>
          </w:p>
          <w:p>
            <w:pPr>
              <w:pStyle w:val="TableParagraph"/>
              <w:numPr>
                <w:ilvl w:val="0"/>
                <w:numId w:val="293"/>
              </w:numPr>
              <w:tabs>
                <w:tab w:pos="812" w:val="left" w:leader="none"/>
                <w:tab w:pos="2085" w:val="left" w:leader="none"/>
              </w:tabs>
              <w:spacing w:line="240" w:lineRule="auto" w:before="0" w:after="0"/>
              <w:ind w:left="280" w:right="102" w:hanging="141"/>
              <w:jc w:val="both"/>
              <w:rPr>
                <w:sz w:val="20"/>
              </w:rPr>
            </w:pPr>
            <w:r>
              <w:rPr>
                <w:sz w:val="20"/>
              </w:rPr>
              <w:t>Los</w:t>
              <w:tab/>
              <w:t>actores históricos autogestionan sus propios recursos naturales</w:t>
            </w:r>
          </w:p>
          <w:p>
            <w:pPr>
              <w:pStyle w:val="TableParagraph"/>
              <w:numPr>
                <w:ilvl w:val="0"/>
                <w:numId w:val="293"/>
              </w:numPr>
              <w:tabs>
                <w:tab w:pos="812" w:val="left" w:leader="none"/>
              </w:tabs>
              <w:spacing w:line="240" w:lineRule="auto" w:before="0" w:after="0"/>
              <w:ind w:left="280" w:right="101" w:hanging="141"/>
              <w:jc w:val="both"/>
              <w:rPr>
                <w:sz w:val="20"/>
              </w:rPr>
            </w:pPr>
            <w:r>
              <w:rPr>
                <w:sz w:val="20"/>
              </w:rPr>
              <w:t>Los actores de la CHPH procuran la sostenibilidad de la</w:t>
            </w:r>
            <w:r>
              <w:rPr>
                <w:spacing w:val="-9"/>
                <w:sz w:val="20"/>
              </w:rPr>
              <w:t> </w:t>
            </w:r>
            <w:r>
              <w:rPr>
                <w:sz w:val="20"/>
              </w:rPr>
              <w:t>CHPH</w:t>
            </w:r>
          </w:p>
          <w:p>
            <w:pPr>
              <w:pStyle w:val="TableParagraph"/>
              <w:numPr>
                <w:ilvl w:val="0"/>
                <w:numId w:val="293"/>
              </w:numPr>
              <w:tabs>
                <w:tab w:pos="812" w:val="left" w:leader="none"/>
              </w:tabs>
              <w:spacing w:line="240" w:lineRule="auto" w:before="0" w:after="0"/>
              <w:ind w:left="280" w:right="101" w:hanging="141"/>
              <w:jc w:val="both"/>
              <w:rPr>
                <w:sz w:val="20"/>
              </w:rPr>
            </w:pPr>
            <w:r>
              <w:rPr>
                <w:sz w:val="20"/>
              </w:rPr>
              <w:t>Existe planeación ambiental con articulación entre</w:t>
            </w:r>
            <w:r>
              <w:rPr>
                <w:spacing w:val="-5"/>
                <w:sz w:val="20"/>
              </w:rPr>
              <w:t> </w:t>
            </w:r>
            <w:r>
              <w:rPr>
                <w:sz w:val="20"/>
              </w:rPr>
              <w:t>actores</w:t>
            </w:r>
          </w:p>
        </w:tc>
        <w:tc>
          <w:tcPr>
            <w:tcW w:w="1488"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
              <w:ind w:left="0"/>
              <w:rPr>
                <w:rFonts w:ascii="Times New Roman"/>
                <w:sz w:val="20"/>
              </w:rPr>
            </w:pPr>
          </w:p>
          <w:p>
            <w:pPr>
              <w:pStyle w:val="TableParagraph"/>
              <w:ind w:left="517" w:right="520"/>
              <w:jc w:val="center"/>
              <w:rPr>
                <w:sz w:val="20"/>
              </w:rPr>
            </w:pPr>
            <w:r>
              <w:rPr>
                <w:sz w:val="20"/>
              </w:rPr>
              <w:t>50%</w:t>
            </w:r>
          </w:p>
        </w:tc>
        <w:tc>
          <w:tcPr>
            <w:tcW w:w="2821" w:type="dxa"/>
            <w:vMerge w:val="restart"/>
          </w:tcPr>
          <w:p>
            <w:pPr>
              <w:pStyle w:val="TableParagraph"/>
              <w:ind w:right="104"/>
              <w:jc w:val="both"/>
              <w:rPr>
                <w:sz w:val="20"/>
              </w:rPr>
            </w:pPr>
            <w:r>
              <w:rPr>
                <w:sz w:val="20"/>
              </w:rPr>
              <w:t>Debe reunir </w:t>
            </w:r>
            <w:r>
              <w:rPr>
                <w:b/>
                <w:sz w:val="20"/>
              </w:rPr>
              <w:t>al menos el 50% una de tres </w:t>
            </w:r>
            <w:r>
              <w:rPr>
                <w:sz w:val="20"/>
              </w:rPr>
              <w:t>características de impacto positivo</w:t>
            </w:r>
          </w:p>
        </w:tc>
        <w:tc>
          <w:tcPr>
            <w:tcW w:w="1409"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19"/>
              </w:rPr>
            </w:pPr>
          </w:p>
          <w:p>
            <w:pPr>
              <w:pStyle w:val="TableParagraph"/>
              <w:ind w:left="307"/>
              <w:rPr>
                <w:b/>
                <w:sz w:val="20"/>
              </w:rPr>
            </w:pPr>
            <w:r>
              <w:rPr>
                <w:b/>
                <w:sz w:val="20"/>
              </w:rPr>
              <w:t>Regular</w:t>
            </w:r>
          </w:p>
        </w:tc>
      </w:tr>
      <w:tr>
        <w:trPr>
          <w:trHeight w:val="2312" w:hRule="exact"/>
        </w:trPr>
        <w:tc>
          <w:tcPr>
            <w:tcW w:w="954" w:type="dxa"/>
            <w:vMerge/>
            <w:tcBorders>
              <w:left w:val="double" w:sz="11" w:space="0" w:color="000000"/>
            </w:tcBorders>
          </w:tcPr>
          <w:p>
            <w:pPr/>
          </w:p>
        </w:tc>
        <w:tc>
          <w:tcPr>
            <w:tcW w:w="1944" w:type="dxa"/>
            <w:vMerge/>
          </w:tcPr>
          <w:p>
            <w:pPr/>
          </w:p>
        </w:tc>
        <w:tc>
          <w:tcPr>
            <w:tcW w:w="1349" w:type="dxa"/>
          </w:tcPr>
          <w:p>
            <w:pPr>
              <w:pStyle w:val="TableParagraph"/>
              <w:spacing w:line="230" w:lineRule="exact"/>
              <w:rPr>
                <w:sz w:val="20"/>
              </w:rPr>
            </w:pPr>
            <w:r>
              <w:rPr>
                <w:sz w:val="20"/>
              </w:rPr>
              <w:t>Económico</w:t>
            </w:r>
          </w:p>
        </w:tc>
        <w:tc>
          <w:tcPr>
            <w:tcW w:w="2856" w:type="dxa"/>
          </w:tcPr>
          <w:p>
            <w:pPr>
              <w:pStyle w:val="TableParagraph"/>
              <w:numPr>
                <w:ilvl w:val="0"/>
                <w:numId w:val="294"/>
              </w:numPr>
              <w:tabs>
                <w:tab w:pos="812" w:val="left" w:leader="none"/>
              </w:tabs>
              <w:spacing w:line="240" w:lineRule="auto" w:before="0" w:after="0"/>
              <w:ind w:left="280" w:right="104"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294"/>
              </w:numPr>
              <w:tabs>
                <w:tab w:pos="812" w:val="left" w:leader="none"/>
              </w:tabs>
              <w:spacing w:line="240" w:lineRule="auto" w:before="0" w:after="0"/>
              <w:ind w:left="280" w:right="102" w:hanging="141"/>
              <w:jc w:val="both"/>
              <w:rPr>
                <w:sz w:val="20"/>
              </w:rPr>
            </w:pPr>
            <w:r>
              <w:rPr>
                <w:sz w:val="20"/>
              </w:rPr>
              <w:t>Existe crecimiento económico igualitario  en los municipios que integran la</w:t>
            </w:r>
            <w:r>
              <w:rPr>
                <w:spacing w:val="-5"/>
                <w:sz w:val="20"/>
              </w:rPr>
              <w:t> </w:t>
            </w:r>
            <w:r>
              <w:rPr>
                <w:sz w:val="20"/>
              </w:rPr>
              <w:t>CHPH</w:t>
            </w:r>
          </w:p>
          <w:p>
            <w:pPr>
              <w:pStyle w:val="TableParagraph"/>
              <w:numPr>
                <w:ilvl w:val="0"/>
                <w:numId w:val="294"/>
              </w:numPr>
              <w:tabs>
                <w:tab w:pos="812" w:val="left" w:leader="none"/>
              </w:tabs>
              <w:spacing w:line="240" w:lineRule="auto" w:before="0" w:after="0"/>
              <w:ind w:left="280" w:right="102" w:hanging="141"/>
              <w:jc w:val="both"/>
              <w:rPr>
                <w:sz w:val="20"/>
              </w:rPr>
            </w:pPr>
            <w:r>
              <w:rPr>
                <w:sz w:val="20"/>
              </w:rPr>
              <w:t>Existe planeación económica con</w:t>
            </w:r>
            <w:r>
              <w:rPr>
                <w:spacing w:val="44"/>
                <w:sz w:val="20"/>
              </w:rPr>
              <w:t> </w:t>
            </w:r>
            <w:r>
              <w:rPr>
                <w:sz w:val="20"/>
              </w:rPr>
              <w:t>articulación</w:t>
            </w:r>
          </w:p>
        </w:tc>
        <w:tc>
          <w:tcPr>
            <w:tcW w:w="1488" w:type="dxa"/>
            <w:vMerge/>
          </w:tcPr>
          <w:p>
            <w:pPr/>
          </w:p>
        </w:tc>
        <w:tc>
          <w:tcPr>
            <w:tcW w:w="2821" w:type="dxa"/>
            <w:vMerge/>
          </w:tcPr>
          <w:p>
            <w:pPr/>
          </w:p>
        </w:tc>
        <w:tc>
          <w:tcPr>
            <w:tcW w:w="1409" w:type="dxa"/>
            <w:vMerge/>
            <w:tcBorders>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44"/>
        <w:gridCol w:w="1349"/>
        <w:gridCol w:w="2856"/>
        <w:gridCol w:w="1488"/>
        <w:gridCol w:w="2821"/>
        <w:gridCol w:w="1409"/>
      </w:tblGrid>
      <w:tr>
        <w:trPr>
          <w:trHeight w:val="250" w:hRule="exact"/>
        </w:trPr>
        <w:tc>
          <w:tcPr>
            <w:tcW w:w="954" w:type="dxa"/>
            <w:vMerge w:val="restart"/>
            <w:tcBorders>
              <w:left w:val="double" w:sz="11" w:space="0" w:color="000000"/>
            </w:tcBorders>
          </w:tcPr>
          <w:p>
            <w:pPr/>
          </w:p>
        </w:tc>
        <w:tc>
          <w:tcPr>
            <w:tcW w:w="1944" w:type="dxa"/>
            <w:vMerge w:val="restart"/>
          </w:tcPr>
          <w:p>
            <w:pPr/>
          </w:p>
        </w:tc>
        <w:tc>
          <w:tcPr>
            <w:tcW w:w="1349" w:type="dxa"/>
          </w:tcPr>
          <w:p>
            <w:pPr/>
          </w:p>
        </w:tc>
        <w:tc>
          <w:tcPr>
            <w:tcW w:w="2856" w:type="dxa"/>
          </w:tcPr>
          <w:p>
            <w:pPr>
              <w:pStyle w:val="TableParagraph"/>
              <w:spacing w:before="7"/>
              <w:ind w:left="280"/>
              <w:rPr>
                <w:sz w:val="20"/>
              </w:rPr>
            </w:pPr>
            <w:r>
              <w:rPr>
                <w:sz w:val="20"/>
              </w:rPr>
              <w:t>entre actores</w:t>
            </w:r>
          </w:p>
        </w:tc>
        <w:tc>
          <w:tcPr>
            <w:tcW w:w="1488" w:type="dxa"/>
          </w:tcPr>
          <w:p>
            <w:pPr/>
          </w:p>
        </w:tc>
        <w:tc>
          <w:tcPr>
            <w:tcW w:w="2821" w:type="dxa"/>
            <w:vMerge w:val="restart"/>
          </w:tcPr>
          <w:p>
            <w:pPr/>
          </w:p>
        </w:tc>
        <w:tc>
          <w:tcPr>
            <w:tcW w:w="1409" w:type="dxa"/>
            <w:vMerge w:val="restart"/>
            <w:tcBorders>
              <w:right w:val="double" w:sz="12" w:space="0" w:color="000000"/>
            </w:tcBorders>
            <w:shd w:val="clear" w:color="auto" w:fill="FFFF00"/>
          </w:tcPr>
          <w:p>
            <w:pPr/>
          </w:p>
        </w:tc>
      </w:tr>
      <w:tr>
        <w:trPr>
          <w:trHeight w:val="3281" w:hRule="exact"/>
        </w:trPr>
        <w:tc>
          <w:tcPr>
            <w:tcW w:w="954" w:type="dxa"/>
            <w:vMerge/>
            <w:tcBorders>
              <w:left w:val="double" w:sz="11" w:space="0" w:color="000000"/>
            </w:tcBorders>
          </w:tcPr>
          <w:p>
            <w:pPr/>
          </w:p>
        </w:tc>
        <w:tc>
          <w:tcPr>
            <w:tcW w:w="1944" w:type="dxa"/>
            <w:vMerge/>
          </w:tcPr>
          <w:p>
            <w:pPr/>
          </w:p>
        </w:tc>
        <w:tc>
          <w:tcPr>
            <w:tcW w:w="1349" w:type="dxa"/>
          </w:tcPr>
          <w:p>
            <w:pPr>
              <w:pStyle w:val="TableParagraph"/>
              <w:spacing w:line="227" w:lineRule="exact"/>
              <w:ind w:left="80" w:right="81"/>
              <w:jc w:val="center"/>
              <w:rPr>
                <w:sz w:val="20"/>
              </w:rPr>
            </w:pPr>
            <w:r>
              <w:rPr>
                <w:sz w:val="20"/>
              </w:rPr>
              <w:t>Sociopolítico</w:t>
            </w:r>
          </w:p>
        </w:tc>
        <w:tc>
          <w:tcPr>
            <w:tcW w:w="2856" w:type="dxa"/>
          </w:tcPr>
          <w:p>
            <w:pPr>
              <w:pStyle w:val="TableParagraph"/>
              <w:ind w:left="280" w:right="102" w:hanging="178"/>
              <w:jc w:val="both"/>
              <w:rPr>
                <w:sz w:val="20"/>
              </w:rPr>
            </w:pPr>
            <w:r>
              <w:rPr>
                <w:rFonts w:ascii="Wingdings" w:hAnsi="Wingdings"/>
                <w:spacing w:val="2"/>
                <w:sz w:val="20"/>
              </w:rPr>
              <w:t></w:t>
            </w:r>
            <w:r>
              <w:rPr>
                <w:spacing w:val="2"/>
                <w:sz w:val="20"/>
              </w:rPr>
              <w:t>Favorece</w:t>
            </w:r>
            <w:r>
              <w:rPr>
                <w:spacing w:val="59"/>
                <w:sz w:val="20"/>
              </w:rPr>
              <w:t> </w:t>
            </w:r>
            <w:r>
              <w:rPr>
                <w:sz w:val="20"/>
              </w:rPr>
              <w:t>la acción colectiva de los actores de la CHPH para resolver sus problemas comunes</w:t>
            </w:r>
          </w:p>
          <w:p>
            <w:pPr>
              <w:pStyle w:val="TableParagraph"/>
              <w:ind w:left="280" w:right="103" w:hanging="178"/>
              <w:jc w:val="both"/>
              <w:rPr>
                <w:sz w:val="20"/>
              </w:rPr>
            </w:pPr>
            <w:r>
              <w:rPr>
                <w:rFonts w:ascii="Wingdings" w:hAnsi="Wingdings"/>
                <w:sz w:val="20"/>
              </w:rPr>
              <w:t></w:t>
            </w:r>
            <w:r>
              <w:rPr>
                <w:sz w:val="20"/>
              </w:rPr>
              <w:t>Favorece la organización sociopolítica de los actores de la CHPH por la vía democrática</w:t>
            </w:r>
          </w:p>
          <w:p>
            <w:pPr>
              <w:pStyle w:val="TableParagraph"/>
              <w:spacing w:before="1"/>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tabs>
                <w:tab w:pos="1772" w:val="left" w:leader="none"/>
                <w:tab w:pos="2419" w:val="left" w:leader="none"/>
              </w:tabs>
              <w:ind w:left="280" w:right="101"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88" w:type="dxa"/>
          </w:tcPr>
          <w:p>
            <w:pPr/>
          </w:p>
        </w:tc>
        <w:tc>
          <w:tcPr>
            <w:tcW w:w="2821" w:type="dxa"/>
            <w:vMerge/>
          </w:tcPr>
          <w:p>
            <w:pPr/>
          </w:p>
        </w:tc>
        <w:tc>
          <w:tcPr>
            <w:tcW w:w="1409" w:type="dxa"/>
            <w:vMerge/>
            <w:tcBorders>
              <w:right w:val="double" w:sz="12" w:space="0" w:color="000000"/>
            </w:tcBorders>
            <w:shd w:val="clear" w:color="auto" w:fill="FFFF00"/>
          </w:tcPr>
          <w:p>
            <w:pPr/>
          </w:p>
        </w:tc>
      </w:tr>
      <w:tr>
        <w:trPr>
          <w:trHeight w:val="1160"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right="233"/>
              <w:jc w:val="right"/>
              <w:rPr>
                <w:sz w:val="20"/>
              </w:rPr>
            </w:pPr>
            <w:r>
              <w:rPr>
                <w:sz w:val="20"/>
              </w:rPr>
              <w:t>1580</w:t>
            </w:r>
          </w:p>
        </w:tc>
        <w:tc>
          <w:tcPr>
            <w:tcW w:w="194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29"/>
              </w:rPr>
            </w:pPr>
          </w:p>
          <w:p>
            <w:pPr>
              <w:pStyle w:val="TableParagraph"/>
              <w:spacing w:before="1"/>
              <w:ind w:left="0"/>
              <w:jc w:val="center"/>
              <w:rPr>
                <w:b/>
                <w:sz w:val="20"/>
              </w:rPr>
            </w:pPr>
            <w:r>
              <w:rPr>
                <w:b/>
                <w:w w:val="99"/>
                <w:sz w:val="20"/>
              </w:rPr>
              <w:t>1</w:t>
            </w:r>
          </w:p>
        </w:tc>
        <w:tc>
          <w:tcPr>
            <w:tcW w:w="1349" w:type="dxa"/>
            <w:vMerge w:val="restart"/>
          </w:tcPr>
          <w:p>
            <w:pPr>
              <w:pStyle w:val="TableParagraph"/>
              <w:spacing w:line="227" w:lineRule="exact"/>
              <w:rPr>
                <w:sz w:val="20"/>
              </w:rPr>
            </w:pPr>
            <w:r>
              <w:rPr>
                <w:sz w:val="20"/>
              </w:rPr>
              <w:t>Ambiental</w:t>
            </w:r>
          </w:p>
        </w:tc>
        <w:tc>
          <w:tcPr>
            <w:tcW w:w="2856" w:type="dxa"/>
            <w:vMerge w:val="restart"/>
          </w:tcPr>
          <w:p>
            <w:pPr>
              <w:pStyle w:val="TableParagraph"/>
              <w:numPr>
                <w:ilvl w:val="0"/>
                <w:numId w:val="295"/>
              </w:numPr>
              <w:tabs>
                <w:tab w:pos="812" w:val="left" w:leader="none"/>
              </w:tabs>
              <w:spacing w:line="240" w:lineRule="auto" w:before="0" w:after="0"/>
              <w:ind w:left="280" w:right="103" w:hanging="141"/>
              <w:jc w:val="both"/>
              <w:rPr>
                <w:sz w:val="20"/>
              </w:rPr>
            </w:pPr>
            <w:r>
              <w:rPr>
                <w:sz w:val="20"/>
              </w:rPr>
              <w:t>Existe voluntad de  los actores de la CHPH para cuidar el medio ambiente</w:t>
            </w:r>
          </w:p>
          <w:p>
            <w:pPr>
              <w:pStyle w:val="TableParagraph"/>
              <w:numPr>
                <w:ilvl w:val="0"/>
                <w:numId w:val="295"/>
              </w:numPr>
              <w:tabs>
                <w:tab w:pos="812" w:val="left" w:leader="none"/>
                <w:tab w:pos="2085" w:val="left" w:leader="none"/>
              </w:tabs>
              <w:spacing w:line="240" w:lineRule="auto" w:before="0" w:after="0"/>
              <w:ind w:left="280" w:right="103" w:hanging="141"/>
              <w:jc w:val="both"/>
              <w:rPr>
                <w:sz w:val="20"/>
              </w:rPr>
            </w:pPr>
            <w:r>
              <w:rPr>
                <w:sz w:val="20"/>
              </w:rPr>
              <w:t>Los</w:t>
              <w:tab/>
              <w:t>actores históricos autogestionan sus propios recursos naturales</w:t>
            </w:r>
          </w:p>
          <w:p>
            <w:pPr>
              <w:pStyle w:val="TableParagraph"/>
              <w:numPr>
                <w:ilvl w:val="0"/>
                <w:numId w:val="295"/>
              </w:numPr>
              <w:tabs>
                <w:tab w:pos="812" w:val="left" w:leader="none"/>
              </w:tabs>
              <w:spacing w:line="240" w:lineRule="auto" w:before="0" w:after="0"/>
              <w:ind w:left="280" w:right="101" w:hanging="141"/>
              <w:jc w:val="both"/>
              <w:rPr>
                <w:sz w:val="20"/>
              </w:rPr>
            </w:pPr>
            <w:r>
              <w:rPr>
                <w:sz w:val="20"/>
              </w:rPr>
              <w:t>Los actores de la CHPH procuran la sostenibilidad de la</w:t>
            </w:r>
            <w:r>
              <w:rPr>
                <w:spacing w:val="-9"/>
                <w:sz w:val="20"/>
              </w:rPr>
              <w:t> </w:t>
            </w:r>
            <w:r>
              <w:rPr>
                <w:sz w:val="20"/>
              </w:rPr>
              <w:t>CHPH</w:t>
            </w:r>
          </w:p>
          <w:p>
            <w:pPr>
              <w:pStyle w:val="TableParagraph"/>
              <w:numPr>
                <w:ilvl w:val="0"/>
                <w:numId w:val="295"/>
              </w:numPr>
              <w:tabs>
                <w:tab w:pos="812" w:val="left" w:leader="none"/>
              </w:tabs>
              <w:spacing w:line="240" w:lineRule="auto" w:before="0" w:after="0"/>
              <w:ind w:left="280" w:right="101" w:hanging="141"/>
              <w:jc w:val="both"/>
              <w:rPr>
                <w:sz w:val="20"/>
              </w:rPr>
            </w:pPr>
            <w:r>
              <w:rPr>
                <w:sz w:val="20"/>
              </w:rPr>
              <w:t>Existe planeación ambiental con articulación entre</w:t>
            </w:r>
            <w:r>
              <w:rPr>
                <w:spacing w:val="-5"/>
                <w:sz w:val="20"/>
              </w:rPr>
              <w:t> </w:t>
            </w:r>
            <w:r>
              <w:rPr>
                <w:sz w:val="20"/>
              </w:rPr>
              <w:t>actores</w:t>
            </w:r>
          </w:p>
        </w:tc>
        <w:tc>
          <w:tcPr>
            <w:tcW w:w="1488"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480"/>
              <w:rPr>
                <w:sz w:val="20"/>
              </w:rPr>
            </w:pPr>
            <w:r>
              <w:rPr>
                <w:sz w:val="20"/>
              </w:rPr>
              <w:t>&lt;50%</w:t>
            </w:r>
          </w:p>
        </w:tc>
        <w:tc>
          <w:tcPr>
            <w:tcW w:w="2821" w:type="dxa"/>
            <w:vMerge w:val="restart"/>
          </w:tcPr>
          <w:p>
            <w:pPr>
              <w:pStyle w:val="TableParagraph"/>
              <w:ind w:right="105"/>
              <w:jc w:val="both"/>
              <w:rPr>
                <w:sz w:val="20"/>
              </w:rPr>
            </w:pPr>
            <w:r>
              <w:rPr>
                <w:sz w:val="20"/>
              </w:rPr>
              <w:t>No reúne ni el 50% en </w:t>
            </w:r>
            <w:r>
              <w:rPr>
                <w:b/>
                <w:sz w:val="20"/>
              </w:rPr>
              <w:t>ninguna </w:t>
            </w:r>
            <w:r>
              <w:rPr>
                <w:sz w:val="20"/>
              </w:rPr>
              <w:t>de las de impacto positivo</w:t>
            </w:r>
          </w:p>
        </w:tc>
        <w:tc>
          <w:tcPr>
            <w:tcW w:w="1409"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201"/>
              <w:rPr>
                <w:b/>
                <w:sz w:val="20"/>
              </w:rPr>
            </w:pPr>
            <w:r>
              <w:rPr>
                <w:b/>
                <w:sz w:val="20"/>
              </w:rPr>
              <w:t>Deficiente</w:t>
            </w:r>
          </w:p>
        </w:tc>
      </w:tr>
      <w:tr>
        <w:trPr>
          <w:trHeight w:val="766" w:hRule="exact"/>
        </w:trPr>
        <w:tc>
          <w:tcPr>
            <w:tcW w:w="954" w:type="dxa"/>
            <w:tcBorders>
              <w:left w:val="double" w:sz="11" w:space="0" w:color="000000"/>
            </w:tcBorders>
          </w:tcPr>
          <w:p>
            <w:pPr>
              <w:pStyle w:val="TableParagraph"/>
              <w:spacing w:before="5"/>
              <w:ind w:left="0"/>
              <w:rPr>
                <w:rFonts w:ascii="Times New Roman"/>
                <w:sz w:val="22"/>
              </w:rPr>
            </w:pPr>
          </w:p>
          <w:p>
            <w:pPr>
              <w:pStyle w:val="TableParagraph"/>
              <w:spacing w:before="1"/>
              <w:ind w:left="0" w:right="233"/>
              <w:jc w:val="right"/>
              <w:rPr>
                <w:sz w:val="20"/>
              </w:rPr>
            </w:pPr>
            <w:r>
              <w:rPr>
                <w:sz w:val="20"/>
              </w:rPr>
              <w:t>1785</w:t>
            </w:r>
          </w:p>
        </w:tc>
        <w:tc>
          <w:tcPr>
            <w:tcW w:w="1944" w:type="dxa"/>
            <w:vMerge/>
          </w:tcPr>
          <w:p>
            <w:pPr/>
          </w:p>
        </w:tc>
        <w:tc>
          <w:tcPr>
            <w:tcW w:w="1349" w:type="dxa"/>
            <w:vMerge/>
          </w:tcPr>
          <w:p>
            <w:pPr/>
          </w:p>
        </w:tc>
        <w:tc>
          <w:tcPr>
            <w:tcW w:w="2856" w:type="dxa"/>
            <w:vMerge/>
          </w:tcPr>
          <w:p>
            <w:pPr/>
          </w:p>
        </w:tc>
        <w:tc>
          <w:tcPr>
            <w:tcW w:w="1488" w:type="dxa"/>
            <w:vMerge/>
          </w:tcPr>
          <w:p>
            <w:pPr/>
          </w:p>
        </w:tc>
        <w:tc>
          <w:tcPr>
            <w:tcW w:w="2821" w:type="dxa"/>
            <w:vMerge/>
          </w:tcPr>
          <w:p>
            <w:pPr/>
          </w:p>
        </w:tc>
        <w:tc>
          <w:tcPr>
            <w:tcW w:w="1409" w:type="dxa"/>
            <w:vMerge/>
            <w:tcBorders>
              <w:right w:val="double" w:sz="12" w:space="0" w:color="000000"/>
            </w:tcBorders>
            <w:shd w:val="clear" w:color="auto" w:fill="FF0000"/>
          </w:tcPr>
          <w:p>
            <w:pPr/>
          </w:p>
        </w:tc>
      </w:tr>
      <w:tr>
        <w:trPr>
          <w:trHeight w:val="1303" w:hRule="exact"/>
        </w:trPr>
        <w:tc>
          <w:tcPr>
            <w:tcW w:w="954" w:type="dxa"/>
            <w:tcBorders>
              <w:left w:val="double" w:sz="11" w:space="0" w:color="000000"/>
            </w:tcBorders>
          </w:tcPr>
          <w:p>
            <w:pPr>
              <w:pStyle w:val="TableParagraph"/>
              <w:ind w:left="0"/>
              <w:rPr>
                <w:rFonts w:ascii="Times New Roman"/>
                <w:sz w:val="20"/>
              </w:rPr>
            </w:pPr>
          </w:p>
          <w:p>
            <w:pPr>
              <w:pStyle w:val="TableParagraph"/>
              <w:spacing w:before="1"/>
              <w:ind w:left="0"/>
              <w:rPr>
                <w:rFonts w:ascii="Times New Roman"/>
                <w:sz w:val="26"/>
              </w:rPr>
            </w:pPr>
          </w:p>
          <w:p>
            <w:pPr>
              <w:pStyle w:val="TableParagraph"/>
              <w:ind w:left="0" w:right="233"/>
              <w:jc w:val="right"/>
              <w:rPr>
                <w:sz w:val="20"/>
              </w:rPr>
            </w:pPr>
            <w:r>
              <w:rPr>
                <w:sz w:val="20"/>
              </w:rPr>
              <w:t>1810</w:t>
            </w:r>
          </w:p>
        </w:tc>
        <w:tc>
          <w:tcPr>
            <w:tcW w:w="1944" w:type="dxa"/>
            <w:vMerge/>
          </w:tcPr>
          <w:p>
            <w:pPr/>
          </w:p>
        </w:tc>
        <w:tc>
          <w:tcPr>
            <w:tcW w:w="1349" w:type="dxa"/>
            <w:vMerge/>
          </w:tcPr>
          <w:p>
            <w:pPr/>
          </w:p>
        </w:tc>
        <w:tc>
          <w:tcPr>
            <w:tcW w:w="2856" w:type="dxa"/>
            <w:vMerge/>
          </w:tcPr>
          <w:p>
            <w:pPr/>
          </w:p>
        </w:tc>
        <w:tc>
          <w:tcPr>
            <w:tcW w:w="1488" w:type="dxa"/>
            <w:vMerge/>
          </w:tcPr>
          <w:p>
            <w:pPr/>
          </w:p>
        </w:tc>
        <w:tc>
          <w:tcPr>
            <w:tcW w:w="2821" w:type="dxa"/>
            <w:vMerge/>
          </w:tcPr>
          <w:p>
            <w:pPr/>
          </w:p>
        </w:tc>
        <w:tc>
          <w:tcPr>
            <w:tcW w:w="1409" w:type="dxa"/>
            <w:vMerge/>
            <w:tcBorders>
              <w:right w:val="double" w:sz="12" w:space="0" w:color="000000"/>
            </w:tcBorders>
            <w:shd w:val="clear" w:color="auto" w:fill="FF0000"/>
          </w:tcPr>
          <w:p>
            <w:pPr/>
          </w:p>
        </w:tc>
      </w:tr>
      <w:tr>
        <w:trPr>
          <w:trHeight w:val="1851" w:hRule="exact"/>
        </w:trPr>
        <w:tc>
          <w:tcPr>
            <w:tcW w:w="954" w:type="dxa"/>
            <w:tcBorders>
              <w:left w:val="double" w:sz="11" w:space="0" w:color="000000"/>
              <w:bottom w:val="single" w:sz="8"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29"/>
              </w:rPr>
            </w:pPr>
          </w:p>
          <w:p>
            <w:pPr>
              <w:pStyle w:val="TableParagraph"/>
              <w:rPr>
                <w:sz w:val="20"/>
              </w:rPr>
            </w:pPr>
            <w:r>
              <w:rPr>
                <w:sz w:val="20"/>
              </w:rPr>
              <w:t>1861</w:t>
            </w:r>
          </w:p>
        </w:tc>
        <w:tc>
          <w:tcPr>
            <w:tcW w:w="1944" w:type="dxa"/>
            <w:vMerge/>
            <w:tcBorders>
              <w:bottom w:val="single" w:sz="8" w:space="0" w:color="000000"/>
            </w:tcBorders>
          </w:tcPr>
          <w:p>
            <w:pPr/>
          </w:p>
        </w:tc>
        <w:tc>
          <w:tcPr>
            <w:tcW w:w="1349" w:type="dxa"/>
            <w:tcBorders>
              <w:bottom w:val="single" w:sz="8" w:space="0" w:color="000000"/>
            </w:tcBorders>
          </w:tcPr>
          <w:p>
            <w:pPr>
              <w:pStyle w:val="TableParagraph"/>
              <w:spacing w:line="227" w:lineRule="exact"/>
              <w:ind w:left="80" w:right="222"/>
              <w:jc w:val="center"/>
              <w:rPr>
                <w:sz w:val="20"/>
              </w:rPr>
            </w:pPr>
            <w:r>
              <w:rPr>
                <w:sz w:val="20"/>
              </w:rPr>
              <w:t>Económico</w:t>
            </w:r>
          </w:p>
        </w:tc>
        <w:tc>
          <w:tcPr>
            <w:tcW w:w="2856" w:type="dxa"/>
            <w:tcBorders>
              <w:bottom w:val="single" w:sz="8" w:space="0" w:color="000000"/>
            </w:tcBorders>
          </w:tcPr>
          <w:p>
            <w:pPr>
              <w:pStyle w:val="TableParagraph"/>
              <w:numPr>
                <w:ilvl w:val="0"/>
                <w:numId w:val="296"/>
              </w:numPr>
              <w:tabs>
                <w:tab w:pos="812" w:val="left" w:leader="none"/>
              </w:tabs>
              <w:spacing w:line="240" w:lineRule="auto" w:before="0" w:after="0"/>
              <w:ind w:left="280" w:right="104" w:hanging="141"/>
              <w:jc w:val="both"/>
              <w:rPr>
                <w:sz w:val="20"/>
              </w:rPr>
            </w:pPr>
            <w:r>
              <w:rPr>
                <w:sz w:val="20"/>
              </w:rPr>
              <w:t>Existe distribución equitativa de los recursos naturales entre los actores de la</w:t>
            </w:r>
            <w:r>
              <w:rPr>
                <w:spacing w:val="-4"/>
                <w:sz w:val="20"/>
              </w:rPr>
              <w:t> </w:t>
            </w:r>
            <w:r>
              <w:rPr>
                <w:sz w:val="20"/>
              </w:rPr>
              <w:t>CHPH</w:t>
            </w:r>
          </w:p>
          <w:p>
            <w:pPr>
              <w:pStyle w:val="TableParagraph"/>
              <w:numPr>
                <w:ilvl w:val="0"/>
                <w:numId w:val="296"/>
              </w:numPr>
              <w:tabs>
                <w:tab w:pos="812" w:val="left" w:leader="none"/>
              </w:tabs>
              <w:spacing w:line="240" w:lineRule="auto" w:before="0" w:after="0"/>
              <w:ind w:left="280" w:right="102" w:hanging="141"/>
              <w:jc w:val="both"/>
              <w:rPr>
                <w:sz w:val="20"/>
              </w:rPr>
            </w:pPr>
            <w:r>
              <w:rPr>
                <w:sz w:val="20"/>
              </w:rPr>
              <w:t>Existe crecimiento económico igualitario  en los municipios que integran la</w:t>
            </w:r>
            <w:r>
              <w:rPr>
                <w:spacing w:val="-5"/>
                <w:sz w:val="20"/>
              </w:rPr>
              <w:t> </w:t>
            </w:r>
            <w:r>
              <w:rPr>
                <w:sz w:val="20"/>
              </w:rPr>
              <w:t>CHPH</w:t>
            </w:r>
          </w:p>
        </w:tc>
        <w:tc>
          <w:tcPr>
            <w:tcW w:w="1488" w:type="dxa"/>
            <w:vMerge/>
            <w:tcBorders>
              <w:bottom w:val="single" w:sz="8" w:space="0" w:color="000000"/>
            </w:tcBorders>
          </w:tcPr>
          <w:p>
            <w:pPr/>
          </w:p>
        </w:tc>
        <w:tc>
          <w:tcPr>
            <w:tcW w:w="2821" w:type="dxa"/>
            <w:vMerge/>
            <w:tcBorders>
              <w:bottom w:val="single" w:sz="8" w:space="0" w:color="000000"/>
            </w:tcBorders>
          </w:tcPr>
          <w:p>
            <w:pPr/>
          </w:p>
        </w:tc>
        <w:tc>
          <w:tcPr>
            <w:tcW w:w="1409" w:type="dxa"/>
            <w:vMerge/>
            <w:tcBorders>
              <w:bottom w:val="single" w:sz="8" w:space="0" w:color="000000"/>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944"/>
        <w:gridCol w:w="1349"/>
        <w:gridCol w:w="2856"/>
        <w:gridCol w:w="1488"/>
        <w:gridCol w:w="2821"/>
        <w:gridCol w:w="1409"/>
      </w:tblGrid>
      <w:tr>
        <w:trPr>
          <w:trHeight w:val="852" w:hRule="exact"/>
        </w:trPr>
        <w:tc>
          <w:tcPr>
            <w:tcW w:w="954" w:type="dxa"/>
            <w:tcBorders>
              <w:left w:val="double" w:sz="11" w:space="0" w:color="000000"/>
            </w:tcBorders>
          </w:tcPr>
          <w:p>
            <w:pPr/>
          </w:p>
        </w:tc>
        <w:tc>
          <w:tcPr>
            <w:tcW w:w="1944" w:type="dxa"/>
            <w:vMerge w:val="restart"/>
          </w:tcPr>
          <w:p>
            <w:pPr/>
          </w:p>
        </w:tc>
        <w:tc>
          <w:tcPr>
            <w:tcW w:w="1349" w:type="dxa"/>
          </w:tcPr>
          <w:p>
            <w:pPr/>
          </w:p>
        </w:tc>
        <w:tc>
          <w:tcPr>
            <w:tcW w:w="2856" w:type="dxa"/>
          </w:tcPr>
          <w:p>
            <w:pPr>
              <w:pStyle w:val="TableParagraph"/>
              <w:numPr>
                <w:ilvl w:val="0"/>
                <w:numId w:val="297"/>
              </w:numPr>
              <w:tabs>
                <w:tab w:pos="812" w:val="left" w:leader="none"/>
              </w:tabs>
              <w:spacing w:line="240" w:lineRule="auto" w:before="7" w:after="0"/>
              <w:ind w:left="280" w:right="102" w:hanging="141"/>
              <w:jc w:val="both"/>
              <w:rPr>
                <w:sz w:val="20"/>
              </w:rPr>
            </w:pPr>
            <w:r>
              <w:rPr>
                <w:sz w:val="20"/>
              </w:rPr>
              <w:t>Existe planeación económica con articulación entre</w:t>
            </w:r>
            <w:r>
              <w:rPr>
                <w:spacing w:val="-5"/>
                <w:sz w:val="20"/>
              </w:rPr>
              <w:t> </w:t>
            </w:r>
            <w:r>
              <w:rPr>
                <w:sz w:val="20"/>
              </w:rPr>
              <w:t>actores</w:t>
            </w:r>
          </w:p>
        </w:tc>
        <w:tc>
          <w:tcPr>
            <w:tcW w:w="1488" w:type="dxa"/>
            <w:vMerge w:val="restart"/>
          </w:tcPr>
          <w:p>
            <w:pPr/>
          </w:p>
        </w:tc>
        <w:tc>
          <w:tcPr>
            <w:tcW w:w="2821" w:type="dxa"/>
            <w:vMerge w:val="restart"/>
          </w:tcPr>
          <w:p>
            <w:pPr/>
          </w:p>
        </w:tc>
        <w:tc>
          <w:tcPr>
            <w:tcW w:w="1409" w:type="dxa"/>
            <w:vMerge w:val="restart"/>
            <w:tcBorders>
              <w:right w:val="double" w:sz="12" w:space="0" w:color="000000"/>
            </w:tcBorders>
            <w:shd w:val="clear" w:color="auto" w:fill="FF0000"/>
          </w:tcPr>
          <w:p>
            <w:pPr/>
          </w:p>
        </w:tc>
      </w:tr>
      <w:tr>
        <w:trPr>
          <w:trHeight w:val="838" w:hRule="exact"/>
        </w:trPr>
        <w:tc>
          <w:tcPr>
            <w:tcW w:w="954" w:type="dxa"/>
            <w:tcBorders>
              <w:left w:val="double" w:sz="11" w:space="0" w:color="000000"/>
            </w:tcBorders>
          </w:tcPr>
          <w:p>
            <w:pPr>
              <w:pStyle w:val="TableParagraph"/>
              <w:spacing w:before="7"/>
              <w:ind w:left="0"/>
              <w:rPr>
                <w:rFonts w:ascii="Times New Roman"/>
                <w:sz w:val="25"/>
              </w:rPr>
            </w:pPr>
          </w:p>
          <w:p>
            <w:pPr>
              <w:pStyle w:val="TableParagraph"/>
              <w:ind w:left="209" w:right="212"/>
              <w:jc w:val="center"/>
              <w:rPr>
                <w:sz w:val="20"/>
              </w:rPr>
            </w:pPr>
            <w:r>
              <w:rPr>
                <w:sz w:val="20"/>
              </w:rPr>
              <w:t>1910</w:t>
            </w:r>
          </w:p>
        </w:tc>
        <w:tc>
          <w:tcPr>
            <w:tcW w:w="1944" w:type="dxa"/>
            <w:vMerge/>
          </w:tcPr>
          <w:p>
            <w:pPr/>
          </w:p>
        </w:tc>
        <w:tc>
          <w:tcPr>
            <w:tcW w:w="1349" w:type="dxa"/>
            <w:vMerge w:val="restart"/>
          </w:tcPr>
          <w:p>
            <w:pPr>
              <w:pStyle w:val="TableParagraph"/>
              <w:spacing w:line="227" w:lineRule="exact"/>
              <w:rPr>
                <w:sz w:val="20"/>
              </w:rPr>
            </w:pPr>
            <w:r>
              <w:rPr>
                <w:sz w:val="20"/>
              </w:rPr>
              <w:t>Sociopolítico</w:t>
            </w:r>
          </w:p>
        </w:tc>
        <w:tc>
          <w:tcPr>
            <w:tcW w:w="2856" w:type="dxa"/>
            <w:vMerge w:val="restart"/>
          </w:tcPr>
          <w:p>
            <w:pPr>
              <w:pStyle w:val="TableParagraph"/>
              <w:ind w:left="280" w:right="102" w:hanging="178"/>
              <w:jc w:val="both"/>
              <w:rPr>
                <w:sz w:val="20"/>
              </w:rPr>
            </w:pPr>
            <w:r>
              <w:rPr>
                <w:rFonts w:ascii="Wingdings" w:hAnsi="Wingdings"/>
                <w:spacing w:val="2"/>
                <w:sz w:val="20"/>
              </w:rPr>
              <w:t></w:t>
            </w:r>
            <w:r>
              <w:rPr>
                <w:spacing w:val="2"/>
                <w:sz w:val="20"/>
              </w:rPr>
              <w:t>Favorece</w:t>
            </w:r>
            <w:r>
              <w:rPr>
                <w:spacing w:val="59"/>
                <w:sz w:val="20"/>
              </w:rPr>
              <w:t> </w:t>
            </w:r>
            <w:r>
              <w:rPr>
                <w:sz w:val="20"/>
              </w:rPr>
              <w:t>la acción colectiva de los actores de la CHPH para resolver sus problemas comunes</w:t>
            </w:r>
          </w:p>
          <w:p>
            <w:pPr>
              <w:pStyle w:val="TableParagraph"/>
              <w:ind w:left="280" w:right="103" w:hanging="178"/>
              <w:jc w:val="both"/>
              <w:rPr>
                <w:sz w:val="20"/>
              </w:rPr>
            </w:pPr>
            <w:r>
              <w:rPr>
                <w:rFonts w:ascii="Wingdings" w:hAnsi="Wingdings"/>
                <w:sz w:val="20"/>
              </w:rPr>
              <w:t></w:t>
            </w:r>
            <w:r>
              <w:rPr>
                <w:sz w:val="20"/>
              </w:rPr>
              <w:t>Favorece la organización sociopolítica de los actores de la CHPH por la vía democrática</w:t>
            </w:r>
          </w:p>
          <w:p>
            <w:pPr>
              <w:pStyle w:val="TableParagraph"/>
              <w:spacing w:line="229" w:lineRule="exact"/>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tabs>
                <w:tab w:pos="1772" w:val="left" w:leader="none"/>
                <w:tab w:pos="2419" w:val="left" w:leader="none"/>
              </w:tabs>
              <w:ind w:left="280" w:right="101" w:hanging="178"/>
              <w:jc w:val="both"/>
              <w:rPr>
                <w:sz w:val="20"/>
              </w:rPr>
            </w:pPr>
            <w:r>
              <w:rPr>
                <w:rFonts w:ascii="Wingdings" w:hAnsi="Wingdings"/>
                <w:spacing w:val="3"/>
                <w:sz w:val="20"/>
              </w:rPr>
              <w:t></w:t>
            </w:r>
            <w:r>
              <w:rPr>
                <w:spacing w:val="3"/>
                <w:sz w:val="20"/>
              </w:rPr>
              <w:t>Existe</w:t>
              <w:tab/>
            </w:r>
            <w:r>
              <w:rPr>
                <w:sz w:val="20"/>
              </w:rPr>
              <w:t>planeación sociopolítica</w:t>
              <w:tab/>
              <w:tab/>
              <w:t>con articulación entre</w:t>
            </w:r>
            <w:r>
              <w:rPr>
                <w:spacing w:val="-11"/>
                <w:sz w:val="20"/>
              </w:rPr>
              <w:t> </w:t>
            </w:r>
            <w:r>
              <w:rPr>
                <w:sz w:val="20"/>
              </w:rPr>
              <w:t>actores</w:t>
            </w:r>
          </w:p>
        </w:tc>
        <w:tc>
          <w:tcPr>
            <w:tcW w:w="1488" w:type="dxa"/>
            <w:vMerge/>
          </w:tcPr>
          <w:p>
            <w:pPr/>
          </w:p>
        </w:tc>
        <w:tc>
          <w:tcPr>
            <w:tcW w:w="2821" w:type="dxa"/>
            <w:vMerge/>
          </w:tcPr>
          <w:p>
            <w:pPr/>
          </w:p>
        </w:tc>
        <w:tc>
          <w:tcPr>
            <w:tcW w:w="1409" w:type="dxa"/>
            <w:vMerge/>
            <w:tcBorders>
              <w:right w:val="double" w:sz="12" w:space="0" w:color="000000"/>
            </w:tcBorders>
            <w:shd w:val="clear" w:color="auto" w:fill="FF0000"/>
          </w:tcPr>
          <w:p>
            <w:pPr/>
          </w:p>
        </w:tc>
      </w:tr>
      <w:tr>
        <w:trPr>
          <w:trHeight w:val="833" w:hRule="exact"/>
        </w:trPr>
        <w:tc>
          <w:tcPr>
            <w:tcW w:w="954" w:type="dxa"/>
            <w:tcBorders>
              <w:left w:val="double" w:sz="11" w:space="0" w:color="000000"/>
            </w:tcBorders>
          </w:tcPr>
          <w:p>
            <w:pPr>
              <w:pStyle w:val="TableParagraph"/>
              <w:spacing w:before="7"/>
              <w:ind w:left="0"/>
              <w:rPr>
                <w:rFonts w:ascii="Times New Roman"/>
                <w:sz w:val="25"/>
              </w:rPr>
            </w:pPr>
          </w:p>
          <w:p>
            <w:pPr>
              <w:pStyle w:val="TableParagraph"/>
              <w:spacing w:before="1"/>
              <w:ind w:left="209" w:right="212"/>
              <w:jc w:val="center"/>
              <w:rPr>
                <w:sz w:val="20"/>
              </w:rPr>
            </w:pPr>
            <w:r>
              <w:rPr>
                <w:sz w:val="20"/>
              </w:rPr>
              <w:t>1940</w:t>
            </w:r>
          </w:p>
        </w:tc>
        <w:tc>
          <w:tcPr>
            <w:tcW w:w="1944" w:type="dxa"/>
            <w:vMerge/>
          </w:tcPr>
          <w:p>
            <w:pPr/>
          </w:p>
        </w:tc>
        <w:tc>
          <w:tcPr>
            <w:tcW w:w="1349" w:type="dxa"/>
            <w:vMerge/>
          </w:tcPr>
          <w:p>
            <w:pPr/>
          </w:p>
        </w:tc>
        <w:tc>
          <w:tcPr>
            <w:tcW w:w="2856" w:type="dxa"/>
            <w:vMerge/>
          </w:tcPr>
          <w:p>
            <w:pPr/>
          </w:p>
        </w:tc>
        <w:tc>
          <w:tcPr>
            <w:tcW w:w="1488" w:type="dxa"/>
            <w:vMerge/>
          </w:tcPr>
          <w:p>
            <w:pPr/>
          </w:p>
        </w:tc>
        <w:tc>
          <w:tcPr>
            <w:tcW w:w="2821" w:type="dxa"/>
            <w:vMerge/>
          </w:tcPr>
          <w:p>
            <w:pPr/>
          </w:p>
        </w:tc>
        <w:tc>
          <w:tcPr>
            <w:tcW w:w="1409" w:type="dxa"/>
            <w:vMerge/>
            <w:tcBorders>
              <w:right w:val="double" w:sz="12" w:space="0" w:color="000000"/>
            </w:tcBorders>
            <w:shd w:val="clear" w:color="auto" w:fill="FF0000"/>
          </w:tcPr>
          <w:p>
            <w:pPr/>
          </w:p>
        </w:tc>
      </w:tr>
      <w:tr>
        <w:trPr>
          <w:trHeight w:val="1560" w:hRule="exact"/>
        </w:trPr>
        <w:tc>
          <w:tcPr>
            <w:tcW w:w="954" w:type="dxa"/>
            <w:tcBorders>
              <w:left w:val="double" w:sz="11" w:space="0" w:color="000000"/>
            </w:tcBorders>
          </w:tcPr>
          <w:p>
            <w:pPr>
              <w:pStyle w:val="TableParagraph"/>
              <w:ind w:left="0"/>
              <w:rPr>
                <w:rFonts w:ascii="Times New Roman"/>
                <w:sz w:val="20"/>
              </w:rPr>
            </w:pPr>
          </w:p>
          <w:p>
            <w:pPr>
              <w:pStyle w:val="TableParagraph"/>
              <w:spacing w:before="1"/>
              <w:ind w:left="0"/>
              <w:rPr>
                <w:rFonts w:ascii="Times New Roman"/>
                <w:sz w:val="27"/>
              </w:rPr>
            </w:pPr>
          </w:p>
          <w:p>
            <w:pPr>
              <w:pStyle w:val="TableParagraph"/>
              <w:ind w:left="209" w:right="212"/>
              <w:jc w:val="center"/>
              <w:rPr>
                <w:sz w:val="20"/>
              </w:rPr>
            </w:pPr>
            <w:r>
              <w:rPr>
                <w:sz w:val="20"/>
              </w:rPr>
              <w:t>1982</w:t>
            </w:r>
          </w:p>
        </w:tc>
        <w:tc>
          <w:tcPr>
            <w:tcW w:w="1944" w:type="dxa"/>
            <w:vMerge/>
          </w:tcPr>
          <w:p>
            <w:pPr/>
          </w:p>
        </w:tc>
        <w:tc>
          <w:tcPr>
            <w:tcW w:w="1349" w:type="dxa"/>
            <w:vMerge/>
          </w:tcPr>
          <w:p>
            <w:pPr/>
          </w:p>
        </w:tc>
        <w:tc>
          <w:tcPr>
            <w:tcW w:w="2856" w:type="dxa"/>
            <w:vMerge/>
          </w:tcPr>
          <w:p>
            <w:pPr/>
          </w:p>
        </w:tc>
        <w:tc>
          <w:tcPr>
            <w:tcW w:w="1488" w:type="dxa"/>
            <w:vMerge/>
          </w:tcPr>
          <w:p>
            <w:pPr/>
          </w:p>
        </w:tc>
        <w:tc>
          <w:tcPr>
            <w:tcW w:w="2821" w:type="dxa"/>
            <w:vMerge/>
          </w:tcPr>
          <w:p>
            <w:pPr/>
          </w:p>
        </w:tc>
        <w:tc>
          <w:tcPr>
            <w:tcW w:w="1409" w:type="dxa"/>
            <w:vMerge/>
            <w:tcBorders>
              <w:right w:val="double" w:sz="12" w:space="0" w:color="000000"/>
            </w:tcBorders>
            <w:shd w:val="clear" w:color="auto" w:fill="FF0000"/>
          </w:tcPr>
          <w:p>
            <w:pPr/>
          </w:p>
        </w:tc>
      </w:tr>
      <w:tr>
        <w:trPr>
          <w:trHeight w:val="4563"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p>
            <w:pPr>
              <w:pStyle w:val="TableParagraph"/>
              <w:spacing w:before="9"/>
              <w:ind w:left="0"/>
              <w:rPr>
                <w:rFonts w:ascii="Times New Roman"/>
                <w:sz w:val="21"/>
              </w:rPr>
            </w:pPr>
          </w:p>
          <w:p>
            <w:pPr>
              <w:pStyle w:val="TableParagraph"/>
              <w:spacing w:before="1"/>
              <w:ind w:left="27"/>
              <w:jc w:val="both"/>
              <w:rPr>
                <w:b/>
                <w:sz w:val="22"/>
              </w:rPr>
            </w:pPr>
            <w:r>
              <w:rPr>
                <w:b/>
                <w:sz w:val="22"/>
              </w:rPr>
              <w:t>Interpretación de la anterior gráfica y la tarjeta de valoración:</w:t>
            </w:r>
          </w:p>
          <w:p>
            <w:pPr>
              <w:pStyle w:val="TableParagraph"/>
              <w:numPr>
                <w:ilvl w:val="0"/>
                <w:numId w:val="298"/>
              </w:numPr>
              <w:tabs>
                <w:tab w:pos="170" w:val="left" w:leader="none"/>
              </w:tabs>
              <w:spacing w:line="240" w:lineRule="auto" w:before="4" w:after="0"/>
              <w:ind w:left="27" w:right="25" w:firstLine="0"/>
              <w:jc w:val="both"/>
              <w:rPr>
                <w:sz w:val="22"/>
              </w:rPr>
            </w:pPr>
            <w:r>
              <w:rPr>
                <w:sz w:val="22"/>
              </w:rPr>
              <w:t>En 1400, época prehispánica, la Cuenca pertenecía a la provincia política del Señorío de Xilotepec. Estaba poblada por otomíes principalmente, divididos en clases sociales. Su base económica estaba apoyada principalmente en el uso intensivo de un cuerpo de agua utilizado para el riego (ese antiguo cuerpo de agua daría posteriormente lugar a la presa Huapango y a la presa Huaracha). Debido a esa intensidad del uso del agua, dicha provincia y Señorío de Xilotepec, adquirió una importancia política, religiosa y económica hasta convertirse en un importante Estado prehispánico con centro ceremonial y religioso llamado Jilotepec, en donde el acceso a los recursos naturales era equitativo porque no existía mucha</w:t>
            </w:r>
            <w:r>
              <w:rPr>
                <w:spacing w:val="-26"/>
                <w:sz w:val="22"/>
              </w:rPr>
              <w:t> </w:t>
            </w:r>
            <w:r>
              <w:rPr>
                <w:sz w:val="22"/>
              </w:rPr>
              <w:t>población.</w:t>
            </w:r>
          </w:p>
          <w:p>
            <w:pPr>
              <w:pStyle w:val="TableParagraph"/>
              <w:numPr>
                <w:ilvl w:val="0"/>
                <w:numId w:val="298"/>
              </w:numPr>
              <w:tabs>
                <w:tab w:pos="165" w:val="left" w:leader="none"/>
              </w:tabs>
              <w:spacing w:line="240" w:lineRule="auto" w:before="0" w:after="0"/>
              <w:ind w:left="27" w:right="29" w:firstLine="0"/>
              <w:jc w:val="both"/>
              <w:rPr>
                <w:sz w:val="22"/>
              </w:rPr>
            </w:pPr>
            <w:r>
              <w:rPr>
                <w:sz w:val="22"/>
              </w:rPr>
              <w:t>En 1519, dicha región fue visitada por primera vez por los españoles; pero fue a mediados de la década de 1520 que la provincia de Xilotepec fue dominada en la parte sur por los españoles, y en 1533 se le asignó el territorio como Encomienda,  al conquistador Juan Jaramillo de Salvatierra (esposo de la Malinche), a pesar de esto, el acceso a los recursos naturales por los actores nativos era</w:t>
            </w:r>
            <w:r>
              <w:rPr>
                <w:spacing w:val="-7"/>
                <w:sz w:val="22"/>
              </w:rPr>
              <w:t> </w:t>
            </w:r>
            <w:r>
              <w:rPr>
                <w:sz w:val="22"/>
              </w:rPr>
              <w:t>bueno.</w:t>
            </w:r>
          </w:p>
          <w:p>
            <w:pPr>
              <w:pStyle w:val="TableParagraph"/>
              <w:numPr>
                <w:ilvl w:val="0"/>
                <w:numId w:val="298"/>
              </w:numPr>
              <w:tabs>
                <w:tab w:pos="294" w:val="left" w:leader="none"/>
              </w:tabs>
              <w:spacing w:line="240" w:lineRule="auto" w:before="0" w:after="0"/>
              <w:ind w:left="27" w:right="22" w:firstLine="63"/>
              <w:jc w:val="both"/>
              <w:rPr>
                <w:sz w:val="22"/>
              </w:rPr>
            </w:pPr>
            <w:r>
              <w:rPr>
                <w:sz w:val="22"/>
              </w:rPr>
              <w:t>Hacia el año 1580, con la dominación española, la encomienda de la provincia de Xilotepec se conformó política y económicamente en territorio de haciendas de ganado mayor y menor, en las que trabajaba un número creciente de españoles y mulatos. Así que para el año de 1794, ya existían 25 haciendas y 95 ranchos ganaderos y productores de leche. En este período hubo impacto económico y político, pero sobre todo, los derechos civiles de los trabajadores nativos eran precarios, porque existía concentración</w:t>
            </w:r>
            <w:r>
              <w:rPr>
                <w:spacing w:val="28"/>
                <w:sz w:val="22"/>
              </w:rPr>
              <w:t> </w:t>
            </w:r>
            <w:r>
              <w:rPr>
                <w:sz w:val="22"/>
              </w:rPr>
              <w:t>de</w:t>
            </w:r>
            <w:r>
              <w:rPr>
                <w:spacing w:val="28"/>
                <w:sz w:val="22"/>
              </w:rPr>
              <w:t> </w:t>
            </w:r>
            <w:r>
              <w:rPr>
                <w:sz w:val="22"/>
              </w:rPr>
              <w:t>la</w:t>
            </w:r>
            <w:r>
              <w:rPr>
                <w:spacing w:val="28"/>
                <w:sz w:val="22"/>
              </w:rPr>
              <w:t> </w:t>
            </w:r>
            <w:r>
              <w:rPr>
                <w:sz w:val="22"/>
              </w:rPr>
              <w:t>tierra</w:t>
            </w:r>
            <w:r>
              <w:rPr>
                <w:spacing w:val="28"/>
                <w:sz w:val="22"/>
              </w:rPr>
              <w:t> </w:t>
            </w:r>
            <w:r>
              <w:rPr>
                <w:sz w:val="22"/>
              </w:rPr>
              <w:t>y</w:t>
            </w:r>
            <w:r>
              <w:rPr>
                <w:spacing w:val="26"/>
                <w:sz w:val="22"/>
              </w:rPr>
              <w:t> </w:t>
            </w:r>
            <w:r>
              <w:rPr>
                <w:sz w:val="22"/>
              </w:rPr>
              <w:t>sobreexplotación</w:t>
            </w:r>
            <w:r>
              <w:rPr>
                <w:spacing w:val="28"/>
                <w:sz w:val="22"/>
              </w:rPr>
              <w:t> </w:t>
            </w:r>
            <w:r>
              <w:rPr>
                <w:sz w:val="22"/>
              </w:rPr>
              <w:t>de</w:t>
            </w:r>
            <w:r>
              <w:rPr>
                <w:spacing w:val="30"/>
                <w:sz w:val="22"/>
              </w:rPr>
              <w:t> </w:t>
            </w:r>
            <w:r>
              <w:rPr>
                <w:sz w:val="22"/>
              </w:rPr>
              <w:t>su</w:t>
            </w:r>
            <w:r>
              <w:rPr>
                <w:spacing w:val="28"/>
                <w:sz w:val="22"/>
              </w:rPr>
              <w:t> </w:t>
            </w:r>
            <w:r>
              <w:rPr>
                <w:sz w:val="22"/>
              </w:rPr>
              <w:t>labor</w:t>
            </w:r>
            <w:r>
              <w:rPr>
                <w:spacing w:val="29"/>
                <w:sz w:val="22"/>
              </w:rPr>
              <w:t> </w:t>
            </w:r>
            <w:r>
              <w:rPr>
                <w:sz w:val="22"/>
              </w:rPr>
              <w:t>a</w:t>
            </w:r>
            <w:r>
              <w:rPr>
                <w:spacing w:val="28"/>
                <w:sz w:val="22"/>
              </w:rPr>
              <w:t> </w:t>
            </w:r>
            <w:r>
              <w:rPr>
                <w:sz w:val="22"/>
              </w:rPr>
              <w:t>través</w:t>
            </w:r>
            <w:r>
              <w:rPr>
                <w:spacing w:val="28"/>
                <w:sz w:val="22"/>
              </w:rPr>
              <w:t> </w:t>
            </w:r>
            <w:r>
              <w:rPr>
                <w:sz w:val="22"/>
              </w:rPr>
              <w:t>de</w:t>
            </w:r>
            <w:r>
              <w:rPr>
                <w:spacing w:val="28"/>
                <w:sz w:val="22"/>
              </w:rPr>
              <w:t> </w:t>
            </w:r>
            <w:r>
              <w:rPr>
                <w:sz w:val="22"/>
              </w:rPr>
              <w:t>las</w:t>
            </w:r>
            <w:r>
              <w:rPr>
                <w:spacing w:val="28"/>
                <w:sz w:val="22"/>
              </w:rPr>
              <w:t> </w:t>
            </w:r>
            <w:r>
              <w:rPr>
                <w:sz w:val="22"/>
              </w:rPr>
              <w:t>tiendas</w:t>
            </w:r>
            <w:r>
              <w:rPr>
                <w:spacing w:val="28"/>
                <w:sz w:val="22"/>
              </w:rPr>
              <w:t> </w:t>
            </w:r>
            <w:r>
              <w:rPr>
                <w:sz w:val="22"/>
              </w:rPr>
              <w:t>de</w:t>
            </w:r>
            <w:r>
              <w:rPr>
                <w:spacing w:val="28"/>
                <w:sz w:val="22"/>
              </w:rPr>
              <w:t> </w:t>
            </w:r>
            <w:r>
              <w:rPr>
                <w:sz w:val="22"/>
              </w:rPr>
              <w:t>raya,</w:t>
            </w:r>
            <w:r>
              <w:rPr>
                <w:spacing w:val="29"/>
                <w:sz w:val="22"/>
              </w:rPr>
              <w:t> </w:t>
            </w:r>
            <w:r>
              <w:rPr>
                <w:sz w:val="22"/>
              </w:rPr>
              <w:t>por</w:t>
            </w:r>
            <w:r>
              <w:rPr>
                <w:spacing w:val="27"/>
                <w:sz w:val="22"/>
              </w:rPr>
              <w:t> </w:t>
            </w:r>
            <w:r>
              <w:rPr>
                <w:sz w:val="22"/>
              </w:rPr>
              <w:t>lo</w:t>
            </w:r>
            <w:r>
              <w:rPr>
                <w:spacing w:val="28"/>
                <w:sz w:val="22"/>
              </w:rPr>
              <w:t> </w:t>
            </w:r>
            <w:r>
              <w:rPr>
                <w:sz w:val="22"/>
              </w:rPr>
              <w:t>que</w:t>
            </w:r>
            <w:r>
              <w:rPr>
                <w:spacing w:val="28"/>
                <w:sz w:val="22"/>
              </w:rPr>
              <w:t> </w:t>
            </w:r>
            <w:r>
              <w:rPr>
                <w:sz w:val="22"/>
              </w:rPr>
              <w:t>se</w:t>
            </w:r>
            <w:r>
              <w:rPr>
                <w:spacing w:val="26"/>
                <w:sz w:val="22"/>
              </w:rPr>
              <w:t> </w:t>
            </w:r>
            <w:r>
              <w:rPr>
                <w:sz w:val="22"/>
              </w:rPr>
              <w:t>considera</w:t>
            </w:r>
            <w:r>
              <w:rPr>
                <w:spacing w:val="28"/>
                <w:sz w:val="22"/>
              </w:rPr>
              <w:t> </w:t>
            </w:r>
            <w:r>
              <w:rPr>
                <w:sz w:val="22"/>
              </w:rPr>
              <w:t>un</w:t>
            </w:r>
            <w:r>
              <w:rPr>
                <w:spacing w:val="25"/>
                <w:sz w:val="22"/>
              </w:rPr>
              <w:t> </w:t>
            </w:r>
            <w:r>
              <w:rPr>
                <w:sz w:val="22"/>
              </w:rPr>
              <w:t>período</w:t>
            </w:r>
          </w:p>
        </w:tc>
      </w:tr>
    </w:tbl>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28432"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BodyText"/>
        <w:spacing w:line="252" w:lineRule="exact" w:before="72"/>
        <w:ind w:left="180"/>
        <w:jc w:val="both"/>
      </w:pPr>
      <w:r>
        <w:rPr/>
        <w:t>deficiente.</w:t>
      </w:r>
    </w:p>
    <w:p>
      <w:pPr>
        <w:pStyle w:val="ListParagraph"/>
        <w:numPr>
          <w:ilvl w:val="0"/>
          <w:numId w:val="121"/>
        </w:numPr>
        <w:tabs>
          <w:tab w:pos="348" w:val="left" w:leader="none"/>
        </w:tabs>
        <w:spacing w:line="240" w:lineRule="auto" w:before="0" w:after="0"/>
        <w:ind w:left="180" w:right="397" w:firstLine="0"/>
        <w:jc w:val="both"/>
        <w:rPr>
          <w:sz w:val="22"/>
        </w:rPr>
      </w:pPr>
      <w:r>
        <w:rPr>
          <w:sz w:val="22"/>
        </w:rPr>
        <w:t>Hacia 1785-1788, los religiosos franciscanos que ya estaban en la región y que también eran dueños de ranchos y tierras, decidieron construir sobre el antiguo lago prehispánico, una presa de gran tamaño, capaz de regar tierras para el cultivo, y dar sostenimiento a miles de cabezas de ganado mayor. Dicho cuerpo de agua se conoció como presa o laguna de Huapango, uno  de los cuerpos de agua artificial más grandes del centro del país, y origen de la actual cuenca lechera más importante del Estado de México. En esta época subió el impacto económico, político y social de la región al aumentar el uso de los recursos de la CHPH, principalmente el agua, sin embargo se hizo una repartición inequitativa del agua que beneficio sólo a </w:t>
      </w:r>
      <w:r>
        <w:rPr>
          <w:spacing w:val="2"/>
          <w:sz w:val="22"/>
        </w:rPr>
        <w:t>los </w:t>
      </w:r>
      <w:r>
        <w:rPr>
          <w:sz w:val="22"/>
        </w:rPr>
        <w:t>actores  históricos de aguas abajo, por lo que se considera un período</w:t>
      </w:r>
      <w:r>
        <w:rPr>
          <w:spacing w:val="-19"/>
          <w:sz w:val="22"/>
        </w:rPr>
        <w:t> </w:t>
      </w:r>
      <w:r>
        <w:rPr>
          <w:sz w:val="22"/>
        </w:rPr>
        <w:t>deficiente.</w:t>
      </w:r>
    </w:p>
    <w:p>
      <w:pPr>
        <w:pStyle w:val="ListParagraph"/>
        <w:numPr>
          <w:ilvl w:val="0"/>
          <w:numId w:val="121"/>
        </w:numPr>
        <w:tabs>
          <w:tab w:pos="320" w:val="left" w:leader="none"/>
        </w:tabs>
        <w:spacing w:line="240" w:lineRule="auto" w:before="0" w:after="0"/>
        <w:ind w:left="180" w:right="405" w:firstLine="0"/>
        <w:jc w:val="both"/>
        <w:rPr>
          <w:sz w:val="22"/>
        </w:rPr>
      </w:pPr>
      <w:r>
        <w:rPr>
          <w:sz w:val="22"/>
        </w:rPr>
        <w:t>En 1810 inició la independencia de la antigua Nueva España, hoy México. Esta fecha tiene un gran impacto porque se considera el parteaguas de la lucha civil en la CHPH, para que se reconocieran mejores derechos sociopolíticos, económicos y ambientales de los ciudadanos de la antigua provincia de Xilotepec, pero a pesar de que hubo avances, los derechos socioeconómicos y civiles siguieron estando limitados por actores dominantes como los terratenientes, por lo que este período se  considera deficiente.</w:t>
      </w:r>
    </w:p>
    <w:p>
      <w:pPr>
        <w:pStyle w:val="ListParagraph"/>
        <w:numPr>
          <w:ilvl w:val="0"/>
          <w:numId w:val="121"/>
        </w:numPr>
        <w:tabs>
          <w:tab w:pos="336" w:val="left" w:leader="none"/>
        </w:tabs>
        <w:spacing w:line="240" w:lineRule="auto" w:before="0" w:after="0"/>
        <w:ind w:left="180" w:right="399" w:firstLine="0"/>
        <w:jc w:val="both"/>
        <w:rPr>
          <w:sz w:val="22"/>
        </w:rPr>
      </w:pPr>
      <w:r>
        <w:rPr>
          <w:sz w:val="22"/>
        </w:rPr>
        <w:t>Aunque el municipio en México tiene sus orígenes en la época prehispánica con los </w:t>
      </w:r>
      <w:r>
        <w:rPr>
          <w:i/>
          <w:sz w:val="22"/>
        </w:rPr>
        <w:t>Tlahtocayos</w:t>
      </w:r>
      <w:r>
        <w:rPr>
          <w:sz w:val="22"/>
        </w:rPr>
        <w:t>, fue hasta la Constitución de Cádiz de 1812, que se constituyó formalmente; este evento histórico socio político, permitió que se formaran e instituyeran los actuales municipios de la CHPH, siendo el primero en 1861 por decreto No. 27 la Villa de Jilotepec. Sin embargo dicha institución surge con una serie de limitaciones importantes que repercuten hasta la fecha, entre las principales deficiencias está la administración de solo algunos servicios públicos, donde no se cuenta ni estipula su competencia jurídica en torno a la protección del medio ambiente, y menos en conjunto con los municipios vecinos. Estas deficiencias siguen afectando las decisiones sociopolíticas de la Cuenca (a pesar de las reformas al artículo 115); el municipio sigue estando supeditado al sistema federal y estatal, lo cual no le permite tener la “autonomía y soberanía” en el manejo de sus recursos socioeconómicos, por lo que este período se considera</w:t>
      </w:r>
      <w:r>
        <w:rPr>
          <w:spacing w:val="-9"/>
          <w:sz w:val="22"/>
        </w:rPr>
        <w:t> </w:t>
      </w:r>
      <w:r>
        <w:rPr>
          <w:sz w:val="22"/>
        </w:rPr>
        <w:t>deficiente.</w:t>
      </w:r>
    </w:p>
    <w:p>
      <w:pPr>
        <w:pStyle w:val="ListParagraph"/>
        <w:numPr>
          <w:ilvl w:val="0"/>
          <w:numId w:val="121"/>
        </w:numPr>
        <w:tabs>
          <w:tab w:pos="332" w:val="left" w:leader="none"/>
        </w:tabs>
        <w:spacing w:line="240" w:lineRule="auto" w:before="1" w:after="0"/>
        <w:ind w:left="180" w:right="396" w:firstLine="0"/>
        <w:jc w:val="both"/>
        <w:rPr>
          <w:sz w:val="22"/>
        </w:rPr>
      </w:pPr>
      <w:r>
        <w:rPr>
          <w:sz w:val="22"/>
        </w:rPr>
        <w:t>En 1910, inicio la revolución mexicana que tuvo varias causas, entre ellas, la dictadura en la presidencia de la República, pero sobre todo, fueron los grandes latifundios que provocaron la decadencia de la agricultura, ya que el territorio nacional era propiedad de tan sólo 840 familias de hacendados, donde los abusos de esclavitud contra el campesinado y los obreros, limitaron el desarrollo agrícola y social de los actores. Dichas injusticias sociales provocaron la demanda de derechos civiles, por lo que dichas peticiones se plasmaron en la Constitución de 1917, como el derecho a la tierra y el acceso a los recursos naturales. Sin embargo, estos derechos fueron abusados por nuevos actores, lo que ocasionó la sobreexplotación de los recursos naturales, sobre todo bosques y aguas, provocando nuevas desigualdades sociopolíticas, por lo que ésta época tiene un gran impacto en lo social en la Cuenca, pero con respecto a la democracia y voluntariedad económica fue</w:t>
      </w:r>
      <w:r>
        <w:rPr>
          <w:spacing w:val="-20"/>
          <w:sz w:val="22"/>
        </w:rPr>
        <w:t> </w:t>
      </w:r>
      <w:r>
        <w:rPr>
          <w:sz w:val="22"/>
        </w:rPr>
        <w:t>deficiente.</w:t>
      </w:r>
    </w:p>
    <w:p>
      <w:pPr>
        <w:pStyle w:val="ListParagraph"/>
        <w:numPr>
          <w:ilvl w:val="0"/>
          <w:numId w:val="121"/>
        </w:numPr>
        <w:tabs>
          <w:tab w:pos="341" w:val="left" w:leader="none"/>
        </w:tabs>
        <w:spacing w:line="240" w:lineRule="auto" w:before="0" w:after="0"/>
        <w:ind w:left="180" w:right="401" w:firstLine="0"/>
        <w:jc w:val="both"/>
        <w:rPr>
          <w:sz w:val="22"/>
        </w:rPr>
      </w:pPr>
      <w:r>
        <w:rPr>
          <w:sz w:val="22"/>
        </w:rPr>
        <w:t>Desde la Revolución Mexicana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w:t>
      </w:r>
      <w:r>
        <w:rPr>
          <w:spacing w:val="12"/>
          <w:sz w:val="22"/>
        </w:rPr>
        <w:t> </w:t>
      </w:r>
      <w:r>
        <w:rPr>
          <w:sz w:val="22"/>
        </w:rPr>
        <w:t>pero</w:t>
      </w:r>
      <w:r>
        <w:rPr>
          <w:spacing w:val="6"/>
          <w:sz w:val="22"/>
        </w:rPr>
        <w:t> </w:t>
      </w:r>
      <w:r>
        <w:rPr>
          <w:sz w:val="22"/>
        </w:rPr>
        <w:t>fue</w:t>
      </w:r>
      <w:r>
        <w:rPr>
          <w:spacing w:val="8"/>
          <w:sz w:val="22"/>
        </w:rPr>
        <w:t> </w:t>
      </w:r>
      <w:r>
        <w:rPr>
          <w:sz w:val="22"/>
        </w:rPr>
        <w:t>hasta</w:t>
      </w:r>
      <w:r>
        <w:rPr>
          <w:spacing w:val="11"/>
          <w:sz w:val="22"/>
        </w:rPr>
        <w:t> </w:t>
      </w:r>
      <w:r>
        <w:rPr>
          <w:sz w:val="22"/>
        </w:rPr>
        <w:t>el</w:t>
      </w:r>
      <w:r>
        <w:rPr>
          <w:spacing w:val="10"/>
          <w:sz w:val="22"/>
        </w:rPr>
        <w:t> </w:t>
      </w:r>
      <w:r>
        <w:rPr>
          <w:sz w:val="22"/>
        </w:rPr>
        <w:t>periodo</w:t>
      </w:r>
      <w:r>
        <w:rPr>
          <w:spacing w:val="11"/>
          <w:sz w:val="22"/>
        </w:rPr>
        <w:t> </w:t>
      </w:r>
      <w:r>
        <w:rPr>
          <w:sz w:val="22"/>
        </w:rPr>
        <w:t>de</w:t>
      </w:r>
      <w:r>
        <w:rPr>
          <w:spacing w:val="6"/>
          <w:sz w:val="22"/>
        </w:rPr>
        <w:t> </w:t>
      </w:r>
      <w:r>
        <w:rPr>
          <w:sz w:val="22"/>
        </w:rPr>
        <w:t>gobierno</w:t>
      </w:r>
      <w:r>
        <w:rPr>
          <w:spacing w:val="9"/>
          <w:sz w:val="22"/>
        </w:rPr>
        <w:t> </w:t>
      </w:r>
      <w:r>
        <w:rPr>
          <w:sz w:val="22"/>
        </w:rPr>
        <w:t>del</w:t>
      </w:r>
      <w:r>
        <w:rPr>
          <w:spacing w:val="10"/>
          <w:sz w:val="22"/>
        </w:rPr>
        <w:t> </w:t>
      </w:r>
      <w:r>
        <w:rPr>
          <w:sz w:val="22"/>
        </w:rPr>
        <w:t>presidente</w:t>
      </w:r>
      <w:r>
        <w:rPr>
          <w:spacing w:val="9"/>
          <w:sz w:val="22"/>
        </w:rPr>
        <w:t> </w:t>
      </w:r>
      <w:r>
        <w:rPr>
          <w:sz w:val="22"/>
        </w:rPr>
        <w:t>Lázaro</w:t>
      </w:r>
      <w:r>
        <w:rPr>
          <w:spacing w:val="12"/>
          <w:sz w:val="22"/>
        </w:rPr>
        <w:t> </w:t>
      </w:r>
      <w:r>
        <w:rPr>
          <w:sz w:val="22"/>
        </w:rPr>
        <w:t>Cárdenas</w:t>
      </w:r>
      <w:r>
        <w:rPr>
          <w:spacing w:val="12"/>
          <w:sz w:val="22"/>
        </w:rPr>
        <w:t> </w:t>
      </w:r>
      <w:r>
        <w:rPr>
          <w:sz w:val="22"/>
        </w:rPr>
        <w:t>del</w:t>
      </w:r>
      <w:r>
        <w:rPr>
          <w:spacing w:val="8"/>
          <w:sz w:val="22"/>
        </w:rPr>
        <w:t> </w:t>
      </w:r>
      <w:r>
        <w:rPr>
          <w:spacing w:val="-2"/>
          <w:sz w:val="22"/>
        </w:rPr>
        <w:t>Río</w:t>
      </w:r>
      <w:r>
        <w:rPr>
          <w:spacing w:val="11"/>
          <w:sz w:val="22"/>
        </w:rPr>
        <w:t> </w:t>
      </w:r>
      <w:r>
        <w:rPr>
          <w:sz w:val="22"/>
        </w:rPr>
        <w:t>(1936-1940)</w:t>
      </w:r>
      <w:r>
        <w:rPr>
          <w:spacing w:val="10"/>
          <w:sz w:val="22"/>
        </w:rPr>
        <w:t> </w:t>
      </w:r>
      <w:r>
        <w:rPr>
          <w:sz w:val="22"/>
        </w:rPr>
        <w:t>que</w:t>
      </w:r>
      <w:r>
        <w:rPr>
          <w:spacing w:val="8"/>
          <w:sz w:val="22"/>
        </w:rPr>
        <w:t> </w:t>
      </w:r>
      <w:r>
        <w:rPr>
          <w:sz w:val="22"/>
        </w:rPr>
        <w:t>se</w:t>
      </w:r>
      <w:r>
        <w:rPr>
          <w:spacing w:val="9"/>
          <w:sz w:val="22"/>
        </w:rPr>
        <w:t> </w:t>
      </w:r>
      <w:r>
        <w:rPr>
          <w:sz w:val="22"/>
        </w:rPr>
        <w:t>consolidó</w:t>
      </w:r>
      <w:r>
        <w:rPr>
          <w:spacing w:val="11"/>
          <w:sz w:val="22"/>
        </w:rPr>
        <w:t> </w:t>
      </w:r>
      <w:r>
        <w:rPr>
          <w:sz w:val="22"/>
        </w:rPr>
        <w:t>la</w:t>
      </w:r>
      <w:r>
        <w:rPr>
          <w:spacing w:val="9"/>
          <w:sz w:val="22"/>
        </w:rPr>
        <w:t> </w:t>
      </w:r>
      <w:r>
        <w:rPr>
          <w:sz w:val="22"/>
        </w:rPr>
        <w:t>nueva</w:t>
      </w:r>
    </w:p>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6589" w:hRule="exact"/>
        </w:trPr>
        <w:tc>
          <w:tcPr>
            <w:tcW w:w="12897" w:type="dxa"/>
          </w:tcPr>
          <w:p>
            <w:pPr>
              <w:pStyle w:val="TableParagraph"/>
              <w:ind w:left="64" w:right="60"/>
              <w:jc w:val="both"/>
              <w:rPr>
                <w:sz w:val="22"/>
              </w:rPr>
            </w:pPr>
            <w:r>
              <w:rPr>
                <w:sz w:val="22"/>
              </w:rPr>
              <w:t>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w:t>
            </w:r>
            <w:r>
              <w:rPr>
                <w:spacing w:val="2"/>
                <w:sz w:val="22"/>
              </w:rPr>
              <w:t>los </w:t>
            </w:r>
            <w:r>
              <w:rPr>
                <w:sz w:val="22"/>
              </w:rPr>
              <w:t>bosques, etc.) que aún no se pueden resolver, teniendo esto un impacto deficiente en el reparto equitativo de los recursos económicos de la</w:t>
            </w:r>
            <w:r>
              <w:rPr>
                <w:spacing w:val="-5"/>
                <w:sz w:val="22"/>
              </w:rPr>
              <w:t> </w:t>
            </w:r>
            <w:r>
              <w:rPr>
                <w:sz w:val="22"/>
              </w:rPr>
              <w:t>Cuenca.</w:t>
            </w:r>
          </w:p>
          <w:p>
            <w:pPr>
              <w:pStyle w:val="TableParagraph"/>
              <w:numPr>
                <w:ilvl w:val="0"/>
                <w:numId w:val="299"/>
              </w:numPr>
              <w:tabs>
                <w:tab w:pos="212" w:val="left" w:leader="none"/>
              </w:tabs>
              <w:spacing w:line="240" w:lineRule="auto" w:before="0" w:after="0"/>
              <w:ind w:left="64" w:right="62" w:firstLine="0"/>
              <w:jc w:val="both"/>
              <w:rPr>
                <w:sz w:val="22"/>
              </w:rPr>
            </w:pPr>
            <w:r>
              <w:rPr>
                <w:sz w:val="22"/>
              </w:rPr>
              <w:t>En 1982, el primer presidente neoliberal, Miguel de la Madrid, comienza la internacionalización del libre mercado, con lo que se da pie al nuevo sistema económico y político social, que promueve la intervención mínima del Estado y el libre juego de la  apertura del mercado. Dicha corriente fomenta el consumo de los recursos naturales, así como las prácticas de producción altamente contaminantes, ya que las multinacionales extienden su poder económico hacia las regiones de los países menos desarrollados, generando crisis ambientales locales y regionales, que acrecientan la de carácter global. La CHPH no es la excepción, el consumo de los recursos naturales (agua) está siendo voraz; y el deterioro ambiental por la generación de servicios (construcción de autopista Arco Norte) obedece a intereses económicos ajenos a los actores históricos, y han dejado a la región en una práctica vulnerabilidad socio-ambiental, por lo que esta época tuvo un impacto negativo en lo sociopolítico, económico y ambiental y la escases de los recursos naturales es cada día más</w:t>
            </w:r>
            <w:r>
              <w:rPr>
                <w:spacing w:val="-14"/>
                <w:sz w:val="22"/>
              </w:rPr>
              <w:t> </w:t>
            </w:r>
            <w:r>
              <w:rPr>
                <w:sz w:val="22"/>
              </w:rPr>
              <w:t>grande.</w:t>
            </w:r>
          </w:p>
          <w:p>
            <w:pPr>
              <w:pStyle w:val="TableParagraph"/>
              <w:numPr>
                <w:ilvl w:val="0"/>
                <w:numId w:val="299"/>
              </w:numPr>
              <w:tabs>
                <w:tab w:pos="209" w:val="left" w:leader="none"/>
              </w:tabs>
              <w:spacing w:line="240" w:lineRule="auto" w:before="1" w:after="0"/>
              <w:ind w:left="64" w:right="65" w:firstLine="0"/>
              <w:jc w:val="both"/>
              <w:rPr>
                <w:sz w:val="22"/>
              </w:rPr>
            </w:pPr>
            <w:r>
              <w:rPr>
                <w:sz w:val="22"/>
              </w:rPr>
              <w:t>Actualmente, en el año 2016, la CHPH se encuentra en franco deterioro, debido a la suma de los costos ambientales y sociales de los anteriores acontecimientos, lo que ha dado pie a que la actual política neoliberal, refuerce el reparto inequitativo de </w:t>
            </w:r>
            <w:r>
              <w:rPr>
                <w:spacing w:val="2"/>
                <w:sz w:val="22"/>
              </w:rPr>
              <w:t>los </w:t>
            </w:r>
            <w:r>
              <w:rPr>
                <w:sz w:val="22"/>
              </w:rPr>
              <w:t>recursos para favorecer intereses políticos y económicos de los actores más poderosos de la región. Esto ha generado hoy como en el pasado, conflictos, que sólo pueden solucionarse a través de una visión GIRH, donde se tomen acuerdos sociopolíticos, económicos y ambientales con base en los actores históricos, ya que son éstos actores los que ostentan identidad y territorialidad, que ahora puede ser utilizada para revertir los daños a través de la GIRH, mediante la gobernanza y la gobernabilidad, generando acuerdos democráticos con impacto positivo en los ámbitos sociopolítico, económico y ambiental, con la propuesta de conformación de un Comité Intermunicipal con su reglamento para que los actores históricos de los municipios de la Cuenca atiendan su problemática</w:t>
            </w:r>
            <w:r>
              <w:rPr>
                <w:spacing w:val="-8"/>
                <w:sz w:val="22"/>
              </w:rPr>
              <w:t> </w:t>
            </w:r>
            <w:r>
              <w:rPr>
                <w:sz w:val="22"/>
              </w:rPr>
              <w:t>común.</w:t>
            </w:r>
          </w:p>
        </w:tc>
      </w:tr>
      <w:tr>
        <w:trPr>
          <w:trHeight w:val="338"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023" w:hRule="exact"/>
        </w:trPr>
        <w:tc>
          <w:tcPr>
            <w:tcW w:w="12897" w:type="dxa"/>
          </w:tcPr>
          <w:p>
            <w:pPr>
              <w:pStyle w:val="TableParagraph"/>
              <w:numPr>
                <w:ilvl w:val="0"/>
                <w:numId w:val="300"/>
              </w:numPr>
              <w:tabs>
                <w:tab w:pos="274" w:val="left" w:leader="none"/>
              </w:tabs>
              <w:spacing w:line="242" w:lineRule="auto" w:before="0" w:after="0"/>
              <w:ind w:left="103" w:right="102" w:firstLine="0"/>
              <w:jc w:val="left"/>
              <w:rPr>
                <w:sz w:val="22"/>
              </w:rPr>
            </w:pPr>
            <w:r>
              <w:rPr>
                <w:sz w:val="22"/>
              </w:rPr>
              <w:t>Permitió analizar la petición pública de los actores históricos de la CHPH para acceder a una participación equitativa en el disfrute de los recursos socioeconómicos que se producen en la</w:t>
            </w:r>
            <w:r>
              <w:rPr>
                <w:spacing w:val="-12"/>
                <w:sz w:val="22"/>
              </w:rPr>
              <w:t> </w:t>
            </w:r>
            <w:r>
              <w:rPr>
                <w:sz w:val="22"/>
              </w:rPr>
              <w:t>Cuenca</w:t>
            </w:r>
          </w:p>
          <w:p>
            <w:pPr>
              <w:pStyle w:val="TableParagraph"/>
              <w:numPr>
                <w:ilvl w:val="0"/>
                <w:numId w:val="300"/>
              </w:numPr>
              <w:tabs>
                <w:tab w:pos="243" w:val="left" w:leader="none"/>
              </w:tabs>
              <w:spacing w:line="242" w:lineRule="auto" w:before="0" w:after="0"/>
              <w:ind w:left="103" w:right="100" w:firstLine="0"/>
              <w:jc w:val="left"/>
              <w:rPr>
                <w:sz w:val="22"/>
              </w:rPr>
            </w:pPr>
            <w:r>
              <w:rPr>
                <w:sz w:val="22"/>
              </w:rPr>
              <w:t>Sirvió de guía de explicación para la elaboración de la propuesta de creación de un Comité Intermunicipal con su reglamento en la</w:t>
            </w:r>
            <w:r>
              <w:rPr>
                <w:spacing w:val="-3"/>
                <w:sz w:val="22"/>
              </w:rPr>
              <w:t> </w:t>
            </w:r>
            <w:r>
              <w:rPr>
                <w:sz w:val="22"/>
              </w:rPr>
              <w:t>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516" w:hRule="exact"/>
        </w:trPr>
        <w:tc>
          <w:tcPr>
            <w:tcW w:w="12897" w:type="dxa"/>
          </w:tcPr>
          <w:p>
            <w:pPr>
              <w:pStyle w:val="TableParagraph"/>
              <w:spacing w:line="252" w:lineRule="exact" w:before="2"/>
              <w:ind w:right="163"/>
              <w:rPr>
                <w:sz w:val="22"/>
              </w:rPr>
            </w:pPr>
            <w:r>
              <w:rPr>
                <w:sz w:val="22"/>
              </w:rPr>
              <w:t>- La democracia y voluntariedad socioeconómica es un indicador que se confunde con la democracia y voluntariedad  sociopolítica y aunque se complementan no son lo</w:t>
            </w:r>
            <w:r>
              <w:rPr>
                <w:spacing w:val="-15"/>
                <w:sz w:val="22"/>
              </w:rPr>
              <w:t> </w:t>
            </w:r>
            <w:r>
              <w:rPr>
                <w:sz w:val="22"/>
              </w:rPr>
              <w:t>mismo.</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697"/>
        <w:gridCol w:w="942"/>
        <w:gridCol w:w="413"/>
        <w:gridCol w:w="142"/>
        <w:gridCol w:w="652"/>
        <w:gridCol w:w="907"/>
        <w:gridCol w:w="284"/>
        <w:gridCol w:w="776"/>
        <w:gridCol w:w="356"/>
        <w:gridCol w:w="156"/>
        <w:gridCol w:w="671"/>
        <w:gridCol w:w="167"/>
        <w:gridCol w:w="708"/>
        <w:gridCol w:w="396"/>
        <w:gridCol w:w="1335"/>
      </w:tblGrid>
      <w:tr>
        <w:trPr>
          <w:trHeight w:val="262" w:hRule="exact"/>
        </w:trPr>
        <w:tc>
          <w:tcPr>
            <w:tcW w:w="6347" w:type="dxa"/>
            <w:gridSpan w:val="8"/>
          </w:tcPr>
          <w:p>
            <w:pPr>
              <w:pStyle w:val="TableParagraph"/>
              <w:spacing w:line="248" w:lineRule="exact"/>
              <w:ind w:left="2616" w:right="2617"/>
              <w:jc w:val="center"/>
              <w:rPr>
                <w:b/>
                <w:sz w:val="22"/>
              </w:rPr>
            </w:pPr>
            <w:r>
              <w:rPr>
                <w:b/>
                <w:sz w:val="22"/>
              </w:rPr>
              <w:t>AEPA</w:t>
            </w:r>
          </w:p>
        </w:tc>
        <w:tc>
          <w:tcPr>
            <w:tcW w:w="3274" w:type="dxa"/>
            <w:gridSpan w:val="7"/>
          </w:tcPr>
          <w:p>
            <w:pPr>
              <w:pStyle w:val="TableParagraph"/>
              <w:spacing w:line="248" w:lineRule="exact"/>
              <w:ind w:left="237" w:right="105"/>
              <w:rPr>
                <w:b/>
                <w:sz w:val="22"/>
              </w:rPr>
            </w:pPr>
            <w:r>
              <w:rPr>
                <w:b/>
                <w:sz w:val="22"/>
              </w:rPr>
              <w:t>NOMBRE DEL INDICADOR</w:t>
            </w:r>
          </w:p>
        </w:tc>
        <w:tc>
          <w:tcPr>
            <w:tcW w:w="3277" w:type="dxa"/>
            <w:gridSpan w:val="5"/>
          </w:tcPr>
          <w:p>
            <w:pPr>
              <w:pStyle w:val="TableParagraph"/>
              <w:spacing w:line="248" w:lineRule="exact"/>
              <w:ind w:left="1072"/>
              <w:rPr>
                <w:b/>
                <w:sz w:val="22"/>
              </w:rPr>
            </w:pPr>
            <w:r>
              <w:rPr>
                <w:b/>
                <w:sz w:val="22"/>
              </w:rPr>
              <w:t>OBJETIVO</w:t>
            </w:r>
          </w:p>
        </w:tc>
      </w:tr>
      <w:tr>
        <w:trPr>
          <w:trHeight w:val="401" w:hRule="exact"/>
        </w:trPr>
        <w:tc>
          <w:tcPr>
            <w:tcW w:w="6347" w:type="dxa"/>
            <w:gridSpan w:val="8"/>
          </w:tcPr>
          <w:p>
            <w:pPr>
              <w:pStyle w:val="TableParagraph"/>
              <w:spacing w:line="248" w:lineRule="exact"/>
              <w:ind w:left="2616" w:right="2617"/>
              <w:jc w:val="center"/>
              <w:rPr>
                <w:b/>
                <w:sz w:val="22"/>
              </w:rPr>
            </w:pPr>
            <w:r>
              <w:rPr>
                <w:b/>
                <w:sz w:val="22"/>
              </w:rPr>
              <w:t>Ambiental</w:t>
            </w:r>
          </w:p>
        </w:tc>
        <w:tc>
          <w:tcPr>
            <w:tcW w:w="3274" w:type="dxa"/>
            <w:gridSpan w:val="7"/>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770" w:right="750" w:firstLine="170"/>
              <w:rPr>
                <w:b/>
                <w:sz w:val="22"/>
              </w:rPr>
            </w:pPr>
            <w:r>
              <w:rPr>
                <w:b/>
                <w:sz w:val="22"/>
              </w:rPr>
              <w:t>Participación socioeconómica</w:t>
            </w:r>
          </w:p>
        </w:tc>
        <w:tc>
          <w:tcPr>
            <w:tcW w:w="3277" w:type="dxa"/>
            <w:gridSpan w:val="5"/>
            <w:vMerge w:val="restart"/>
          </w:tcPr>
          <w:p>
            <w:pPr>
              <w:pStyle w:val="TableParagraph"/>
              <w:ind w:left="100" w:right="101"/>
              <w:jc w:val="both"/>
              <w:rPr>
                <w:b/>
                <w:sz w:val="22"/>
              </w:rPr>
            </w:pPr>
            <w:r>
              <w:rPr>
                <w:b/>
                <w:sz w:val="22"/>
              </w:rPr>
              <w:t>Analizar el deseo de una participación equitativa de los actores históricos de la CHPH en el uso y disfrute de los recursos naturales para que no exista una concentración de riqueza en pocas manos y la distribución socioeconómica sea más igualitaria</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4"/>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7"/>
            <w:vMerge/>
          </w:tcPr>
          <w:p>
            <w:pPr/>
          </w:p>
        </w:tc>
        <w:tc>
          <w:tcPr>
            <w:tcW w:w="3277" w:type="dxa"/>
            <w:gridSpan w:val="5"/>
            <w:vMerge/>
          </w:tcPr>
          <w:p>
            <w:pPr/>
          </w:p>
        </w:tc>
      </w:tr>
      <w:tr>
        <w:trPr>
          <w:trHeight w:val="614" w:hRule="exact"/>
        </w:trPr>
        <w:tc>
          <w:tcPr>
            <w:tcW w:w="2093" w:type="dxa"/>
            <w:gridSpan w:val="2"/>
          </w:tcPr>
          <w:p>
            <w:pPr>
              <w:pStyle w:val="TableParagraph"/>
              <w:spacing w:line="248" w:lineRule="exact"/>
              <w:ind w:left="367"/>
              <w:rPr>
                <w:b/>
                <w:sz w:val="22"/>
              </w:rPr>
            </w:pPr>
            <w:r>
              <w:rPr>
                <w:b/>
                <w:sz w:val="22"/>
              </w:rPr>
              <w:t>0.062/ 18.055</w:t>
            </w:r>
          </w:p>
        </w:tc>
        <w:tc>
          <w:tcPr>
            <w:tcW w:w="1985" w:type="dxa"/>
            <w:gridSpan w:val="2"/>
          </w:tcPr>
          <w:p>
            <w:pPr>
              <w:pStyle w:val="TableParagraph"/>
              <w:spacing w:line="248" w:lineRule="exact"/>
              <w:ind w:left="1" w:right="2"/>
              <w:jc w:val="center"/>
              <w:rPr>
                <w:b/>
                <w:sz w:val="22"/>
              </w:rPr>
            </w:pPr>
            <w:r>
              <w:rPr>
                <w:b/>
                <w:sz w:val="22"/>
              </w:rPr>
              <w:t>0.34%</w:t>
            </w:r>
          </w:p>
        </w:tc>
        <w:tc>
          <w:tcPr>
            <w:tcW w:w="2268" w:type="dxa"/>
            <w:gridSpan w:val="4"/>
          </w:tcPr>
          <w:p>
            <w:pPr>
              <w:pStyle w:val="TableParagraph"/>
              <w:spacing w:line="248" w:lineRule="exact"/>
              <w:ind w:left="136" w:right="136"/>
              <w:jc w:val="center"/>
              <w:rPr>
                <w:b/>
                <w:sz w:val="22"/>
              </w:rPr>
            </w:pPr>
            <w:r>
              <w:rPr>
                <w:b/>
                <w:sz w:val="22"/>
              </w:rPr>
              <w:t>16.813</w:t>
            </w:r>
          </w:p>
        </w:tc>
        <w:tc>
          <w:tcPr>
            <w:tcW w:w="3274" w:type="dxa"/>
            <w:gridSpan w:val="7"/>
            <w:vMerge/>
          </w:tcPr>
          <w:p>
            <w:pPr/>
          </w:p>
        </w:tc>
        <w:tc>
          <w:tcPr>
            <w:tcW w:w="3277" w:type="dxa"/>
            <w:gridSpan w:val="5"/>
            <w:vMerge/>
          </w:tcPr>
          <w:p>
            <w:pPr/>
          </w:p>
        </w:tc>
      </w:tr>
      <w:tr>
        <w:trPr>
          <w:trHeight w:val="262" w:hRule="exact"/>
        </w:trPr>
        <w:tc>
          <w:tcPr>
            <w:tcW w:w="2093" w:type="dxa"/>
            <w:gridSpan w:val="2"/>
          </w:tcPr>
          <w:p>
            <w:pPr>
              <w:pStyle w:val="TableParagraph"/>
              <w:spacing w:line="248" w:lineRule="exact"/>
              <w:ind w:left="0" w:right="1"/>
              <w:jc w:val="center"/>
              <w:rPr>
                <w:b/>
                <w:sz w:val="22"/>
              </w:rPr>
            </w:pPr>
            <w:r>
              <w:rPr>
                <w:b/>
                <w:w w:val="100"/>
                <w:sz w:val="22"/>
              </w:rPr>
              <w:t>1</w:t>
            </w:r>
          </w:p>
        </w:tc>
        <w:tc>
          <w:tcPr>
            <w:tcW w:w="1985" w:type="dxa"/>
            <w:gridSpan w:val="2"/>
            <w:tcBorders>
              <w:right w:val="single" w:sz="45" w:space="0" w:color="F79546"/>
            </w:tcBorders>
          </w:tcPr>
          <w:p>
            <w:pPr>
              <w:pStyle w:val="TableParagraph"/>
              <w:spacing w:line="248" w:lineRule="exact"/>
              <w:ind w:left="51"/>
              <w:jc w:val="center"/>
              <w:rPr>
                <w:b/>
                <w:sz w:val="22"/>
              </w:rPr>
            </w:pPr>
            <w:r>
              <w:rPr>
                <w:b/>
                <w:w w:val="100"/>
                <w:sz w:val="22"/>
              </w:rPr>
              <w:t>2</w:t>
            </w:r>
          </w:p>
        </w:tc>
        <w:tc>
          <w:tcPr>
            <w:tcW w:w="2268" w:type="dxa"/>
            <w:gridSpan w:val="4"/>
            <w:shd w:val="clear" w:color="auto" w:fill="F79546"/>
          </w:tcPr>
          <w:p>
            <w:pPr>
              <w:pStyle w:val="TableParagraph"/>
              <w:spacing w:line="248" w:lineRule="exact"/>
              <w:ind w:left="0"/>
              <w:jc w:val="center"/>
              <w:rPr>
                <w:b/>
                <w:sz w:val="22"/>
              </w:rPr>
            </w:pPr>
            <w:r>
              <w:rPr>
                <w:b/>
                <w:w w:val="100"/>
                <w:sz w:val="22"/>
              </w:rPr>
              <w:t>3</w:t>
            </w:r>
          </w:p>
        </w:tc>
        <w:tc>
          <w:tcPr>
            <w:tcW w:w="1701" w:type="dxa"/>
            <w:gridSpan w:val="3"/>
            <w:shd w:val="clear" w:color="auto" w:fill="F79546"/>
          </w:tcPr>
          <w:p>
            <w:pPr>
              <w:pStyle w:val="TableParagraph"/>
              <w:spacing w:line="248" w:lineRule="exact"/>
              <w:ind w:left="1"/>
              <w:jc w:val="center"/>
              <w:rPr>
                <w:b/>
                <w:sz w:val="22"/>
              </w:rPr>
            </w:pPr>
            <w:r>
              <w:rPr>
                <w:b/>
                <w:w w:val="100"/>
                <w:sz w:val="22"/>
              </w:rPr>
              <w:t>P</w:t>
            </w:r>
          </w:p>
        </w:tc>
        <w:tc>
          <w:tcPr>
            <w:tcW w:w="1417" w:type="dxa"/>
            <w:gridSpan w:val="3"/>
            <w:tcBorders>
              <w:left w:val="thickThinMediumGap" w:sz="23" w:space="0" w:color="F79546"/>
            </w:tcBorders>
          </w:tcPr>
          <w:p>
            <w:pPr>
              <w:pStyle w:val="TableParagraph"/>
              <w:spacing w:line="248" w:lineRule="exact"/>
              <w:ind w:left="0" w:right="51"/>
              <w:jc w:val="center"/>
              <w:rPr>
                <w:b/>
                <w:sz w:val="22"/>
              </w:rPr>
            </w:pPr>
            <w:r>
              <w:rPr>
                <w:b/>
                <w:w w:val="100"/>
                <w:sz w:val="22"/>
              </w:rPr>
              <w:t>E</w:t>
            </w:r>
          </w:p>
        </w:tc>
        <w:tc>
          <w:tcPr>
            <w:tcW w:w="1702" w:type="dxa"/>
            <w:gridSpan w:val="4"/>
          </w:tcPr>
          <w:p>
            <w:pPr>
              <w:pStyle w:val="TableParagraph"/>
              <w:spacing w:line="248" w:lineRule="exact"/>
              <w:ind w:left="1"/>
              <w:jc w:val="center"/>
              <w:rPr>
                <w:b/>
                <w:sz w:val="22"/>
              </w:rPr>
            </w:pPr>
            <w:r>
              <w:rPr>
                <w:b/>
                <w:w w:val="100"/>
                <w:sz w:val="22"/>
              </w:rPr>
              <w:t>I</w:t>
            </w:r>
          </w:p>
        </w:tc>
        <w:tc>
          <w:tcPr>
            <w:tcW w:w="1731" w:type="dxa"/>
            <w:gridSpan w:val="2"/>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20"/>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9"/>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11"/>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5"/>
            <w:shd w:val="clear" w:color="auto" w:fill="92CDDC"/>
          </w:tcPr>
          <w:p>
            <w:pPr>
              <w:pStyle w:val="TableParagraph"/>
              <w:spacing w:line="248" w:lineRule="exact"/>
              <w:ind w:left="367"/>
              <w:rPr>
                <w:b/>
                <w:sz w:val="22"/>
              </w:rPr>
            </w:pPr>
            <w:r>
              <w:rPr>
                <w:b/>
                <w:sz w:val="22"/>
              </w:rPr>
              <w:t>Peso específico</w:t>
            </w:r>
          </w:p>
        </w:tc>
        <w:tc>
          <w:tcPr>
            <w:tcW w:w="1844" w:type="dxa"/>
            <w:gridSpan w:val="3"/>
            <w:shd w:val="clear" w:color="auto" w:fill="F9BE8F"/>
          </w:tcPr>
          <w:p>
            <w:pPr>
              <w:pStyle w:val="TableParagraph"/>
              <w:spacing w:line="248" w:lineRule="exact"/>
              <w:ind w:left="458"/>
              <w:rPr>
                <w:b/>
                <w:sz w:val="22"/>
              </w:rPr>
            </w:pPr>
            <w:r>
              <w:rPr>
                <w:b/>
                <w:sz w:val="22"/>
              </w:rPr>
              <w:t>Vínculos</w:t>
            </w:r>
          </w:p>
        </w:tc>
        <w:tc>
          <w:tcPr>
            <w:tcW w:w="2126" w:type="dxa"/>
            <w:gridSpan w:val="5"/>
            <w:shd w:val="clear" w:color="auto" w:fill="F9BE8F"/>
          </w:tcPr>
          <w:p>
            <w:pPr>
              <w:pStyle w:val="TableParagraph"/>
              <w:spacing w:line="248" w:lineRule="exact"/>
              <w:ind w:left="561" w:right="511"/>
              <w:rPr>
                <w:b/>
                <w:sz w:val="22"/>
              </w:rPr>
            </w:pPr>
            <w:r>
              <w:rPr>
                <w:b/>
                <w:sz w:val="22"/>
              </w:rPr>
              <w:t>Jerarquía</w:t>
            </w:r>
          </w:p>
        </w:tc>
        <w:tc>
          <w:tcPr>
            <w:tcW w:w="2439" w:type="dxa"/>
            <w:gridSpan w:val="3"/>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1" w:right="492"/>
              <w:jc w:val="center"/>
              <w:rPr>
                <w:b/>
                <w:sz w:val="22"/>
              </w:rPr>
            </w:pPr>
            <w:r>
              <w:rPr>
                <w:b/>
                <w:sz w:val="22"/>
              </w:rPr>
              <w:t>43</w:t>
            </w:r>
          </w:p>
        </w:tc>
        <w:tc>
          <w:tcPr>
            <w:tcW w:w="2127" w:type="dxa"/>
            <w:gridSpan w:val="3"/>
            <w:shd w:val="clear" w:color="auto" w:fill="92CDDC"/>
          </w:tcPr>
          <w:p>
            <w:pPr>
              <w:pStyle w:val="TableParagraph"/>
              <w:spacing w:line="248" w:lineRule="exact"/>
              <w:ind w:left="916" w:right="916"/>
              <w:jc w:val="center"/>
              <w:rPr>
                <w:b/>
                <w:sz w:val="22"/>
              </w:rPr>
            </w:pPr>
            <w:r>
              <w:rPr>
                <w:b/>
                <w:sz w:val="22"/>
              </w:rPr>
              <w:t>71</w:t>
            </w:r>
          </w:p>
        </w:tc>
        <w:tc>
          <w:tcPr>
            <w:tcW w:w="2410" w:type="dxa"/>
            <w:gridSpan w:val="5"/>
            <w:shd w:val="clear" w:color="auto" w:fill="92CDDC"/>
          </w:tcPr>
          <w:p>
            <w:pPr>
              <w:pStyle w:val="TableParagraph"/>
              <w:spacing w:line="248" w:lineRule="exact"/>
              <w:ind w:left="619"/>
              <w:rPr>
                <w:b/>
                <w:sz w:val="22"/>
              </w:rPr>
            </w:pPr>
            <w:r>
              <w:rPr>
                <w:b/>
                <w:sz w:val="22"/>
              </w:rPr>
              <w:t>0.00390625</w:t>
            </w:r>
          </w:p>
        </w:tc>
        <w:tc>
          <w:tcPr>
            <w:tcW w:w="1844" w:type="dxa"/>
            <w:gridSpan w:val="3"/>
            <w:shd w:val="clear" w:color="auto" w:fill="F9BE8F"/>
          </w:tcPr>
          <w:p>
            <w:pPr>
              <w:pStyle w:val="TableParagraph"/>
              <w:spacing w:line="248" w:lineRule="exact"/>
              <w:ind w:left="774" w:right="774"/>
              <w:jc w:val="center"/>
              <w:rPr>
                <w:b/>
                <w:sz w:val="22"/>
              </w:rPr>
            </w:pPr>
            <w:r>
              <w:rPr>
                <w:b/>
                <w:sz w:val="22"/>
              </w:rPr>
              <w:t>40</w:t>
            </w:r>
          </w:p>
        </w:tc>
        <w:tc>
          <w:tcPr>
            <w:tcW w:w="2126" w:type="dxa"/>
            <w:gridSpan w:val="5"/>
            <w:shd w:val="clear" w:color="auto" w:fill="F9BE8F"/>
          </w:tcPr>
          <w:p>
            <w:pPr>
              <w:pStyle w:val="TableParagraph"/>
              <w:spacing w:line="248" w:lineRule="exact"/>
              <w:ind w:left="0"/>
              <w:jc w:val="center"/>
              <w:rPr>
                <w:b/>
                <w:sz w:val="22"/>
              </w:rPr>
            </w:pPr>
            <w:r>
              <w:rPr>
                <w:b/>
                <w:w w:val="100"/>
                <w:sz w:val="22"/>
              </w:rPr>
              <w:t>4</w:t>
            </w:r>
          </w:p>
        </w:tc>
        <w:tc>
          <w:tcPr>
            <w:tcW w:w="2439" w:type="dxa"/>
            <w:gridSpan w:val="3"/>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ind w:left="516" w:right="408" w:hanging="95"/>
              <w:rPr>
                <w:b/>
                <w:sz w:val="22"/>
              </w:rPr>
            </w:pPr>
            <w:r>
              <w:rPr>
                <w:b/>
                <w:sz w:val="22"/>
              </w:rPr>
              <w:t>Variables que intervienen:</w:t>
            </w:r>
          </w:p>
        </w:tc>
        <w:tc>
          <w:tcPr>
            <w:tcW w:w="2701" w:type="dxa"/>
            <w:gridSpan w:val="3"/>
            <w:tcBorders>
              <w:right w:val="nil"/>
            </w:tcBorders>
          </w:tcPr>
          <w:p>
            <w:pPr>
              <w:pStyle w:val="TableParagraph"/>
              <w:tabs>
                <w:tab w:pos="1583" w:val="left" w:leader="none"/>
              </w:tabs>
              <w:spacing w:line="252" w:lineRule="exact" w:before="2"/>
              <w:ind w:right="108"/>
              <w:rPr>
                <w:sz w:val="22"/>
              </w:rPr>
            </w:pPr>
            <w:r>
              <w:rPr>
                <w:sz w:val="22"/>
              </w:rPr>
              <w:t>Participación</w:t>
              <w:tab/>
            </w:r>
            <w:r>
              <w:rPr>
                <w:spacing w:val="-1"/>
                <w:sz w:val="22"/>
              </w:rPr>
              <w:t>equitativa, </w:t>
            </w:r>
            <w:r>
              <w:rPr>
                <w:sz w:val="22"/>
              </w:rPr>
              <w:t>socioeconómica.</w:t>
            </w:r>
          </w:p>
        </w:tc>
        <w:tc>
          <w:tcPr>
            <w:tcW w:w="942" w:type="dxa"/>
            <w:tcBorders>
              <w:left w:val="nil"/>
              <w:right w:val="nil"/>
            </w:tcBorders>
          </w:tcPr>
          <w:p>
            <w:pPr>
              <w:pStyle w:val="TableParagraph"/>
              <w:spacing w:line="251" w:lineRule="exact"/>
              <w:ind w:left="110"/>
              <w:rPr>
                <w:sz w:val="22"/>
              </w:rPr>
            </w:pPr>
            <w:r>
              <w:rPr>
                <w:sz w:val="22"/>
              </w:rPr>
              <w:t>actores</w:t>
            </w:r>
          </w:p>
        </w:tc>
        <w:tc>
          <w:tcPr>
            <w:tcW w:w="1207" w:type="dxa"/>
            <w:gridSpan w:val="3"/>
            <w:tcBorders>
              <w:left w:val="nil"/>
              <w:right w:val="nil"/>
            </w:tcBorders>
          </w:tcPr>
          <w:p>
            <w:pPr>
              <w:pStyle w:val="TableParagraph"/>
              <w:spacing w:line="251" w:lineRule="exact"/>
              <w:ind w:left="109"/>
              <w:rPr>
                <w:sz w:val="22"/>
              </w:rPr>
            </w:pPr>
            <w:r>
              <w:rPr>
                <w:sz w:val="22"/>
              </w:rPr>
              <w:t>históricos,</w:t>
            </w:r>
          </w:p>
        </w:tc>
        <w:tc>
          <w:tcPr>
            <w:tcW w:w="907" w:type="dxa"/>
            <w:tcBorders>
              <w:left w:val="nil"/>
              <w:right w:val="nil"/>
            </w:tcBorders>
          </w:tcPr>
          <w:p>
            <w:pPr>
              <w:pStyle w:val="TableParagraph"/>
              <w:spacing w:line="251" w:lineRule="exact"/>
              <w:ind w:left="108"/>
              <w:rPr>
                <w:sz w:val="22"/>
              </w:rPr>
            </w:pPr>
            <w:r>
              <w:rPr>
                <w:sz w:val="22"/>
              </w:rPr>
              <w:t>CHPH,</w:t>
            </w:r>
          </w:p>
        </w:tc>
        <w:tc>
          <w:tcPr>
            <w:tcW w:w="1061" w:type="dxa"/>
            <w:gridSpan w:val="2"/>
            <w:tcBorders>
              <w:left w:val="nil"/>
              <w:right w:val="nil"/>
            </w:tcBorders>
          </w:tcPr>
          <w:p>
            <w:pPr>
              <w:pStyle w:val="TableParagraph"/>
              <w:spacing w:line="251" w:lineRule="exact"/>
              <w:ind w:left="105"/>
              <w:rPr>
                <w:sz w:val="22"/>
              </w:rPr>
            </w:pPr>
            <w:r>
              <w:rPr>
                <w:sz w:val="22"/>
              </w:rPr>
              <w:t>recursos</w:t>
            </w:r>
          </w:p>
        </w:tc>
        <w:tc>
          <w:tcPr>
            <w:tcW w:w="1183" w:type="dxa"/>
            <w:gridSpan w:val="3"/>
            <w:tcBorders>
              <w:left w:val="nil"/>
              <w:right w:val="nil"/>
            </w:tcBorders>
          </w:tcPr>
          <w:p>
            <w:pPr>
              <w:pStyle w:val="TableParagraph"/>
              <w:spacing w:line="251" w:lineRule="exact"/>
              <w:ind w:left="110"/>
              <w:rPr>
                <w:sz w:val="22"/>
              </w:rPr>
            </w:pPr>
            <w:r>
              <w:rPr>
                <w:sz w:val="22"/>
              </w:rPr>
              <w:t>naturales,</w:t>
            </w:r>
          </w:p>
        </w:tc>
        <w:tc>
          <w:tcPr>
            <w:tcW w:w="875" w:type="dxa"/>
            <w:gridSpan w:val="2"/>
            <w:tcBorders>
              <w:left w:val="nil"/>
              <w:right w:val="nil"/>
            </w:tcBorders>
          </w:tcPr>
          <w:p>
            <w:pPr>
              <w:pStyle w:val="TableParagraph"/>
              <w:spacing w:line="251" w:lineRule="exact"/>
              <w:ind w:left="109"/>
              <w:rPr>
                <w:sz w:val="22"/>
              </w:rPr>
            </w:pPr>
            <w:r>
              <w:rPr>
                <w:sz w:val="22"/>
              </w:rPr>
              <w:t>riqueza</w:t>
            </w:r>
          </w:p>
        </w:tc>
        <w:tc>
          <w:tcPr>
            <w:tcW w:w="396" w:type="dxa"/>
            <w:tcBorders>
              <w:left w:val="nil"/>
              <w:right w:val="nil"/>
            </w:tcBorders>
          </w:tcPr>
          <w:p>
            <w:pPr>
              <w:pStyle w:val="TableParagraph"/>
              <w:spacing w:line="251" w:lineRule="exact"/>
              <w:ind w:left="176"/>
              <w:rPr>
                <w:sz w:val="22"/>
              </w:rPr>
            </w:pPr>
            <w:r>
              <w:rPr>
                <w:w w:val="100"/>
                <w:sz w:val="22"/>
              </w:rPr>
              <w:t>y</w:t>
            </w:r>
          </w:p>
        </w:tc>
        <w:tc>
          <w:tcPr>
            <w:tcW w:w="1335" w:type="dxa"/>
            <w:tcBorders>
              <w:left w:val="nil"/>
            </w:tcBorders>
          </w:tcPr>
          <w:p>
            <w:pPr>
              <w:pStyle w:val="TableParagraph"/>
              <w:spacing w:line="251" w:lineRule="exact"/>
              <w:ind w:left="109"/>
              <w:rPr>
                <w:sz w:val="22"/>
              </w:rPr>
            </w:pPr>
            <w:r>
              <w:rPr>
                <w:sz w:val="22"/>
              </w:rPr>
              <w:t>distribución</w:t>
            </w:r>
          </w:p>
        </w:tc>
      </w:tr>
      <w:tr>
        <w:trPr>
          <w:trHeight w:val="516" w:hRule="exact"/>
        </w:trPr>
        <w:tc>
          <w:tcPr>
            <w:tcW w:w="2290" w:type="dxa"/>
            <w:gridSpan w:val="3"/>
          </w:tcPr>
          <w:p>
            <w:pPr>
              <w:pStyle w:val="TableParagraph"/>
              <w:spacing w:line="248" w:lineRule="exact"/>
              <w:ind w:left="455" w:right="408"/>
              <w:rPr>
                <w:b/>
                <w:sz w:val="22"/>
              </w:rPr>
            </w:pPr>
            <w:r>
              <w:rPr>
                <w:b/>
                <w:sz w:val="22"/>
              </w:rPr>
              <w:t>Metodología:</w:t>
            </w:r>
          </w:p>
        </w:tc>
        <w:tc>
          <w:tcPr>
            <w:tcW w:w="10607" w:type="dxa"/>
            <w:gridSpan w:val="17"/>
          </w:tcPr>
          <w:p>
            <w:pPr>
              <w:pStyle w:val="TableParagraph"/>
              <w:spacing w:line="252" w:lineRule="exact" w:before="2"/>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20"/>
          </w:tcPr>
          <w:p>
            <w:pPr>
              <w:pStyle w:val="TableParagraph"/>
              <w:spacing w:line="248" w:lineRule="exact"/>
              <w:ind w:left="172" w:right="173"/>
              <w:jc w:val="center"/>
              <w:rPr>
                <w:b/>
                <w:sz w:val="22"/>
              </w:rPr>
            </w:pPr>
            <w:r>
              <w:rPr>
                <w:b/>
                <w:sz w:val="22"/>
              </w:rPr>
              <w:t>DEFINICIÓN</w:t>
            </w:r>
          </w:p>
        </w:tc>
      </w:tr>
      <w:tr>
        <w:trPr>
          <w:trHeight w:val="770" w:hRule="exact"/>
        </w:trPr>
        <w:tc>
          <w:tcPr>
            <w:tcW w:w="12897" w:type="dxa"/>
            <w:gridSpan w:val="20"/>
          </w:tcPr>
          <w:p>
            <w:pPr>
              <w:pStyle w:val="TableParagraph"/>
              <w:ind w:right="98"/>
              <w:jc w:val="both"/>
              <w:rPr>
                <w:sz w:val="22"/>
              </w:rPr>
            </w:pPr>
            <w:r>
              <w:rPr>
                <w:sz w:val="22"/>
              </w:rPr>
              <w:t>EL deseo de participación equitativa de los actores históricos de la CHPH en el uso y disfrute de los recursos naturales para que no exista una concentración de riqueza en pocas manos y la distribución socioeconómica sea más igualitaria (Cfr. INAFED, 2014 y García, TC: 2013-2015).</w:t>
            </w:r>
          </w:p>
        </w:tc>
      </w:tr>
      <w:tr>
        <w:trPr>
          <w:trHeight w:val="262"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15"/>
          </w:tcPr>
          <w:p>
            <w:pPr>
              <w:pStyle w:val="TableParagraph"/>
              <w:spacing w:line="248" w:lineRule="exact"/>
              <w:ind w:left="2419" w:right="108"/>
              <w:rPr>
                <w:b/>
                <w:sz w:val="22"/>
              </w:rPr>
            </w:pPr>
            <w:r>
              <w:rPr>
                <w:b/>
                <w:sz w:val="22"/>
              </w:rPr>
              <w:t>Definición de la unidad de medición</w:t>
            </w:r>
          </w:p>
        </w:tc>
      </w:tr>
      <w:tr>
        <w:trPr>
          <w:trHeight w:val="771" w:hRule="exact"/>
        </w:trPr>
        <w:tc>
          <w:tcPr>
            <w:tcW w:w="4295" w:type="dxa"/>
            <w:gridSpan w:val="5"/>
          </w:tcPr>
          <w:p>
            <w:pPr>
              <w:pStyle w:val="TableParagraph"/>
              <w:ind w:right="101"/>
              <w:jc w:val="both"/>
              <w:rPr>
                <w:sz w:val="22"/>
              </w:rPr>
            </w:pPr>
            <w:r>
              <w:rPr>
                <w:sz w:val="22"/>
              </w:rPr>
              <w:t>Participación equitativa de los actores históricos en el uso y disfrute de los recursos de la CHPH (adimensional)</w:t>
            </w:r>
          </w:p>
        </w:tc>
        <w:tc>
          <w:tcPr>
            <w:tcW w:w="8603" w:type="dxa"/>
            <w:gridSpan w:val="15"/>
          </w:tcPr>
          <w:p>
            <w:pPr>
              <w:pStyle w:val="TableParagraph"/>
              <w:ind w:right="104"/>
              <w:jc w:val="both"/>
              <w:rPr>
                <w:sz w:val="22"/>
              </w:rPr>
            </w:pPr>
            <w:r>
              <w:rPr>
                <w:sz w:val="22"/>
              </w:rPr>
              <w:t>Participación equitativa de los actores históricos de la CHPH en el uso y disfrute de los recursos socioeconómicos de ésta (Ejemplo: acceso igualitario en el uso de agua para riego).</w:t>
            </w:r>
          </w:p>
        </w:tc>
      </w:tr>
    </w:tbl>
    <w:p>
      <w:pPr>
        <w:spacing w:after="0"/>
        <w:jc w:val="both"/>
        <w:rPr>
          <w:sz w:val="22"/>
        </w:rPr>
        <w:sectPr>
          <w:footerReference w:type="default" r:id="rId529"/>
          <w:pgSz w:w="15840" w:h="12240" w:orient="landscape"/>
          <w:pgMar w:footer="943" w:header="0" w:top="1140" w:bottom="1140" w:left="1200" w:right="1300"/>
          <w:pgNumType w:start="730"/>
        </w:sectPr>
      </w:pPr>
    </w:p>
    <w:p>
      <w:pPr>
        <w:pStyle w:val="BodyText"/>
        <w:rPr>
          <w:rFonts w:ascii="Times New Roman"/>
          <w:sz w:val="20"/>
        </w:rPr>
      </w:pPr>
      <w:r>
        <w:rPr/>
        <w:pict>
          <v:group style="position:absolute;margin-left:65.269997pt;margin-top:84.849998pt;width:646.7pt;height:427.7pt;mso-position-horizontal-relative:page;mso-position-vertical-relative:page;z-index:-3328408"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531;top:2336;width:12467;height:7427" type="#_x0000_t75" stroked="false">
              <v:imagedata r:id="rId530" o:title=""/>
            </v:shape>
            <w10:wrap type="none"/>
          </v:group>
        </w:pict>
      </w:r>
    </w:p>
    <w:p>
      <w:pPr>
        <w:pStyle w:val="BodyText"/>
        <w:spacing w:before="11"/>
        <w:rPr>
          <w:rFonts w:ascii="Times New Roman"/>
        </w:rPr>
      </w:pPr>
    </w:p>
    <w:p>
      <w:pPr>
        <w:pStyle w:val="Heading6"/>
        <w:spacing w:before="73"/>
        <w:ind w:left="5782" w:right="883"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5040">
            <wp:simplePos x="0" y="0"/>
            <wp:positionH relativeFrom="page">
              <wp:posOffset>876300</wp:posOffset>
            </wp:positionH>
            <wp:positionV relativeFrom="page">
              <wp:posOffset>1886457</wp:posOffset>
            </wp:positionV>
            <wp:extent cx="5666163" cy="2557653"/>
            <wp:effectExtent l="0" t="0" r="0" b="0"/>
            <wp:wrapNone/>
            <wp:docPr id="93" name="image393.png" descr=""/>
            <wp:cNvGraphicFramePr>
              <a:graphicFrameLocks noChangeAspect="1"/>
            </wp:cNvGraphicFramePr>
            <a:graphic>
              <a:graphicData uri="http://schemas.openxmlformats.org/drawingml/2006/picture">
                <pic:pic>
                  <pic:nvPicPr>
                    <pic:cNvPr id="94" name="image393.png"/>
                    <pic:cNvPicPr/>
                  </pic:nvPicPr>
                  <pic:blipFill>
                    <a:blip r:embed="rId531" cstate="print"/>
                    <a:stretch>
                      <a:fillRect/>
                    </a:stretch>
                  </pic:blipFill>
                  <pic:spPr>
                    <a:xfrm>
                      <a:off x="0" y="0"/>
                      <a:ext cx="5666163" cy="2557653"/>
                    </a:xfrm>
                    <a:prstGeom prst="rect">
                      <a:avLst/>
                    </a:prstGeom>
                  </pic:spPr>
                </pic:pic>
              </a:graphicData>
            </a:graphic>
          </wp:anchor>
        </w:drawing>
      </w:r>
      <w:r>
        <w:rPr/>
        <w:pict>
          <v:shape style="position:absolute;margin-left:557.349976pt;margin-top:161.059998pt;width:127.5pt;height:145.25pt;mso-position-horizontal-relative:page;mso-position-vertical-relative:page;z-index:1506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4" w:hRule="exact"/>
                    </w:trPr>
                    <w:tc>
                      <w:tcPr>
                        <w:tcW w:w="1034" w:type="dxa"/>
                      </w:tcPr>
                      <w:p>
                        <w:pPr>
                          <w:pStyle w:val="TableParagraph"/>
                          <w:spacing w:line="248" w:lineRule="exact"/>
                          <w:rPr>
                            <w:b/>
                            <w:sz w:val="22"/>
                          </w:rPr>
                        </w:pPr>
                        <w:r>
                          <w:rPr>
                            <w:b/>
                            <w:sz w:val="22"/>
                          </w:rPr>
                          <w:t>Período</w:t>
                        </w:r>
                      </w:p>
                    </w:tc>
                    <w:tc>
                      <w:tcPr>
                        <w:tcW w:w="1501" w:type="dxa"/>
                      </w:tcPr>
                      <w:p>
                        <w:pPr>
                          <w:pStyle w:val="TableParagraph"/>
                          <w:spacing w:line="248" w:lineRule="exact"/>
                          <w:rPr>
                            <w:b/>
                            <w:sz w:val="22"/>
                          </w:rPr>
                        </w:pPr>
                        <w:r>
                          <w:rPr>
                            <w:b/>
                            <w:sz w:val="22"/>
                          </w:rPr>
                          <w:t>Calificación</w:t>
                        </w:r>
                      </w:p>
                    </w:tc>
                  </w:tr>
                  <w:tr>
                    <w:trPr>
                      <w:trHeight w:val="262"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Excelente</w:t>
                        </w:r>
                      </w:p>
                    </w:tc>
                  </w:tr>
                  <w:tr>
                    <w:trPr>
                      <w:trHeight w:val="265"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rPr>
                            <w:sz w:val="22"/>
                          </w:rPr>
                        </w:pPr>
                        <w:r>
                          <w:rPr>
                            <w:sz w:val="22"/>
                          </w:rPr>
                          <w:t>Regular</w:t>
                        </w:r>
                      </w:p>
                    </w:tc>
                  </w:tr>
                  <w:tr>
                    <w:trPr>
                      <w:trHeight w:val="264" w:hRule="exact"/>
                    </w:trPr>
                    <w:tc>
                      <w:tcPr>
                        <w:tcW w:w="1034" w:type="dxa"/>
                      </w:tcPr>
                      <w:p>
                        <w:pPr>
                          <w:pStyle w:val="TableParagraph"/>
                          <w:rPr>
                            <w:sz w:val="22"/>
                          </w:rPr>
                        </w:pPr>
                        <w:r>
                          <w:rPr>
                            <w:sz w:val="22"/>
                          </w:rPr>
                          <w:t>1785</w:t>
                        </w:r>
                      </w:p>
                    </w:tc>
                    <w:tc>
                      <w:tcPr>
                        <w:tcW w:w="1501" w:type="dxa"/>
                      </w:tcPr>
                      <w:p>
                        <w:pPr>
                          <w:pStyle w:val="TableParagraph"/>
                          <w:rPr>
                            <w:sz w:val="22"/>
                          </w:rPr>
                        </w:pPr>
                        <w:r>
                          <w:rPr>
                            <w:sz w:val="22"/>
                          </w:rPr>
                          <w:t>Regular</w:t>
                        </w:r>
                      </w:p>
                    </w:tc>
                  </w:tr>
                  <w:tr>
                    <w:trPr>
                      <w:trHeight w:val="262" w:hRule="exact"/>
                    </w:trPr>
                    <w:tc>
                      <w:tcPr>
                        <w:tcW w:w="1034" w:type="dxa"/>
                      </w:tcPr>
                      <w:p>
                        <w:pPr>
                          <w:pStyle w:val="TableParagraph"/>
                          <w:spacing w:line="251" w:lineRule="exact"/>
                          <w:rPr>
                            <w:sz w:val="22"/>
                          </w:rPr>
                        </w:pPr>
                        <w:r>
                          <w:rPr>
                            <w:sz w:val="22"/>
                          </w:rPr>
                          <w:t>1810</w:t>
                        </w:r>
                      </w:p>
                    </w:tc>
                    <w:tc>
                      <w:tcPr>
                        <w:tcW w:w="1501" w:type="dxa"/>
                      </w:tcPr>
                      <w:p>
                        <w:pPr>
                          <w:pStyle w:val="TableParagraph"/>
                          <w:spacing w:line="251" w:lineRule="exact"/>
                          <w:rPr>
                            <w:sz w:val="22"/>
                          </w:rPr>
                        </w:pPr>
                        <w:r>
                          <w:rPr>
                            <w:sz w:val="22"/>
                          </w:rPr>
                          <w:t>Regular</w:t>
                        </w:r>
                      </w:p>
                    </w:tc>
                  </w:tr>
                  <w:tr>
                    <w:trPr>
                      <w:trHeight w:val="264" w:hRule="exact"/>
                    </w:trPr>
                    <w:tc>
                      <w:tcPr>
                        <w:tcW w:w="1034" w:type="dxa"/>
                      </w:tcPr>
                      <w:p>
                        <w:pPr>
                          <w:pStyle w:val="TableParagraph"/>
                          <w:rPr>
                            <w:sz w:val="22"/>
                          </w:rPr>
                        </w:pPr>
                        <w:r>
                          <w:rPr>
                            <w:sz w:val="22"/>
                          </w:rPr>
                          <w:t>1861</w:t>
                        </w:r>
                      </w:p>
                    </w:tc>
                    <w:tc>
                      <w:tcPr>
                        <w:tcW w:w="1501" w:type="dxa"/>
                      </w:tcPr>
                      <w:p>
                        <w:pPr>
                          <w:pStyle w:val="TableParagraph"/>
                          <w:rPr>
                            <w:sz w:val="22"/>
                          </w:rPr>
                        </w:pPr>
                        <w:r>
                          <w:rPr>
                            <w:sz w:val="22"/>
                          </w:rPr>
                          <w:t>Regular</w:t>
                        </w:r>
                      </w:p>
                    </w:tc>
                  </w:tr>
                  <w:tr>
                    <w:trPr>
                      <w:trHeight w:val="264"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Regular</w:t>
                        </w:r>
                      </w:p>
                    </w:tc>
                  </w:tr>
                  <w:tr>
                    <w:trPr>
                      <w:trHeight w:val="262"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Regular</w:t>
                        </w:r>
                      </w:p>
                    </w:tc>
                  </w:tr>
                  <w:tr>
                    <w:trPr>
                      <w:trHeight w:val="264"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Regular</w:t>
                        </w:r>
                      </w:p>
                    </w:tc>
                  </w:tr>
                  <w:tr>
                    <w:trPr>
                      <w:trHeight w:val="264"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rPr>
                            <w:sz w:val="22"/>
                          </w:rPr>
                        </w:pPr>
                        <w:r>
                          <w:rPr>
                            <w:sz w:val="22"/>
                          </w:rPr>
                          <w:t>Regular</w:t>
                        </w: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1"/>
        <w:gridCol w:w="1481"/>
        <w:gridCol w:w="2482"/>
        <w:gridCol w:w="1630"/>
      </w:tblGrid>
      <w:tr>
        <w:trPr>
          <w:trHeight w:val="264"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295" w:hRule="exact"/>
        </w:trPr>
        <w:tc>
          <w:tcPr>
            <w:tcW w:w="12822" w:type="dxa"/>
            <w:gridSpan w:val="7"/>
          </w:tcPr>
          <w:p>
            <w:pPr>
              <w:pStyle w:val="TableParagraph"/>
              <w:spacing w:line="249" w:lineRule="exact"/>
              <w:ind w:left="27" w:right="57"/>
              <w:rPr>
                <w:sz w:val="22"/>
              </w:rPr>
            </w:pPr>
            <w:r>
              <w:rPr>
                <w:sz w:val="22"/>
              </w:rPr>
              <w:t>Para identificar el grado de participación socioeconómica en la CHPH a través del tiempo se elaboró la siguiente gráfica:</w:t>
            </w:r>
          </w:p>
          <w:p>
            <w:pPr>
              <w:pStyle w:val="TableParagraph"/>
              <w:spacing w:line="251" w:lineRule="exact"/>
              <w:ind w:left="4125" w:right="57"/>
              <w:rPr>
                <w:b/>
                <w:sz w:val="22"/>
              </w:rPr>
            </w:pPr>
            <w:r>
              <w:rPr>
                <w:b/>
                <w:sz w:val="22"/>
              </w:rPr>
              <w:t>Gráfica 7.20</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5"/>
              <w:ind w:left="0"/>
              <w:rPr>
                <w:rFonts w:ascii="Times New Roman"/>
                <w:sz w:val="19"/>
              </w:rPr>
            </w:pPr>
          </w:p>
          <w:p>
            <w:pPr>
              <w:pStyle w:val="TableParagraph"/>
              <w:spacing w:line="51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894" w:type="dxa"/>
            <w:vMerge w:val="restart"/>
          </w:tcPr>
          <w:p>
            <w:pPr>
              <w:pStyle w:val="TableParagraph"/>
              <w:tabs>
                <w:tab w:pos="1556" w:val="left" w:leader="none"/>
              </w:tabs>
              <w:ind w:right="103"/>
              <w:jc w:val="both"/>
              <w:rPr>
                <w:sz w:val="20"/>
              </w:rPr>
            </w:pPr>
            <w:r>
              <w:rPr>
                <w:sz w:val="20"/>
              </w:rPr>
              <w:t>Clasificación por número</w:t>
              <w:tab/>
              <w:t>de eventos en el período</w:t>
            </w:r>
          </w:p>
        </w:tc>
        <w:tc>
          <w:tcPr>
            <w:tcW w:w="8344" w:type="dxa"/>
            <w:gridSpan w:val="4"/>
          </w:tcPr>
          <w:p>
            <w:pPr>
              <w:pStyle w:val="TableParagraph"/>
              <w:spacing w:line="242" w:lineRule="auto"/>
              <w:ind w:right="102"/>
              <w:rPr>
                <w:sz w:val="20"/>
              </w:rPr>
            </w:pPr>
            <w:r>
              <w:rPr>
                <w:sz w:val="20"/>
              </w:rPr>
              <w:t>Clasificación por </w:t>
            </w:r>
            <w:r>
              <w:rPr>
                <w:b/>
                <w:sz w:val="20"/>
              </w:rPr>
              <w:t>características de impacto positivo o negativo </w:t>
            </w:r>
            <w:r>
              <w:rPr>
                <w:sz w:val="20"/>
              </w:rPr>
              <w:t>en los ámbitos ambiental-sociopolítico-económico</w:t>
            </w:r>
          </w:p>
        </w:tc>
        <w:tc>
          <w:tcPr>
            <w:tcW w:w="1630" w:type="dxa"/>
            <w:vMerge w:val="restart"/>
            <w:tcBorders>
              <w:right w:val="double" w:sz="12" w:space="0" w:color="000000"/>
            </w:tcBorders>
          </w:tcPr>
          <w:p>
            <w:pPr>
              <w:pStyle w:val="TableParagraph"/>
              <w:spacing w:before="117"/>
              <w:ind w:left="238" w:right="237"/>
              <w:jc w:val="center"/>
              <w:rPr>
                <w:sz w:val="20"/>
              </w:rPr>
            </w:pPr>
            <w:r>
              <w:rPr>
                <w:w w:val="95"/>
                <w:sz w:val="20"/>
              </w:rPr>
              <w:t>Clasificación </w:t>
            </w:r>
            <w:r>
              <w:rPr>
                <w:sz w:val="20"/>
              </w:rPr>
              <w:t>de la calificación</w:t>
            </w:r>
          </w:p>
        </w:tc>
      </w:tr>
      <w:tr>
        <w:trPr>
          <w:trHeight w:val="480"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27" w:lineRule="exact"/>
              <w:rPr>
                <w:sz w:val="20"/>
              </w:rPr>
            </w:pPr>
            <w:r>
              <w:rPr>
                <w:sz w:val="20"/>
              </w:rPr>
              <w:t>Subsistema</w:t>
            </w:r>
          </w:p>
        </w:tc>
        <w:tc>
          <w:tcPr>
            <w:tcW w:w="3031" w:type="dxa"/>
          </w:tcPr>
          <w:p>
            <w:pPr>
              <w:pStyle w:val="TableParagraph"/>
              <w:spacing w:line="227" w:lineRule="exact"/>
              <w:rPr>
                <w:sz w:val="20"/>
              </w:rPr>
            </w:pPr>
            <w:r>
              <w:rPr>
                <w:sz w:val="20"/>
              </w:rPr>
              <w:t>características</w:t>
            </w:r>
          </w:p>
        </w:tc>
        <w:tc>
          <w:tcPr>
            <w:tcW w:w="1481" w:type="dxa"/>
          </w:tcPr>
          <w:p>
            <w:pPr>
              <w:pStyle w:val="TableParagraph"/>
              <w:tabs>
                <w:tab w:pos="1144" w:val="left" w:leader="none"/>
              </w:tabs>
              <w:spacing w:line="227" w:lineRule="exact"/>
              <w:rPr>
                <w:sz w:val="20"/>
              </w:rPr>
            </w:pPr>
            <w:r>
              <w:rPr>
                <w:sz w:val="20"/>
              </w:rPr>
              <w:t>%</w:t>
              <w:tab/>
              <w:t>de</w:t>
            </w:r>
          </w:p>
          <w:p>
            <w:pPr>
              <w:pStyle w:val="TableParagraph"/>
              <w:rPr>
                <w:sz w:val="20"/>
              </w:rPr>
            </w:pPr>
            <w:r>
              <w:rPr>
                <w:sz w:val="20"/>
              </w:rPr>
              <w:t>cumplimiento</w:t>
            </w:r>
          </w:p>
        </w:tc>
        <w:tc>
          <w:tcPr>
            <w:tcW w:w="2482" w:type="dxa"/>
          </w:tcPr>
          <w:p>
            <w:pPr>
              <w:pStyle w:val="TableParagraph"/>
              <w:spacing w:line="227" w:lineRule="exact"/>
              <w:rPr>
                <w:sz w:val="20"/>
              </w:rPr>
            </w:pPr>
            <w:r>
              <w:rPr>
                <w:sz w:val="20"/>
              </w:rPr>
              <w:t>Observaciones</w:t>
            </w:r>
          </w:p>
        </w:tc>
        <w:tc>
          <w:tcPr>
            <w:tcW w:w="1630"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1"/>
        <w:gridCol w:w="1481"/>
        <w:gridCol w:w="2482"/>
        <w:gridCol w:w="1630"/>
      </w:tblGrid>
      <w:tr>
        <w:trPr>
          <w:trHeight w:val="3929"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230"/>
              <w:rPr>
                <w:sz w:val="20"/>
              </w:rPr>
            </w:pPr>
            <w:r>
              <w:rPr>
                <w:sz w:val="20"/>
              </w:rPr>
              <w:t>1400</w:t>
            </w:r>
          </w:p>
        </w:tc>
        <w:tc>
          <w:tcPr>
            <w:tcW w:w="189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49" w:type="dxa"/>
          </w:tcPr>
          <w:p>
            <w:pPr>
              <w:pStyle w:val="TableParagraph"/>
              <w:spacing w:before="7"/>
              <w:rPr>
                <w:sz w:val="20"/>
              </w:rPr>
            </w:pPr>
            <w:r>
              <w:rPr>
                <w:sz w:val="20"/>
              </w:rPr>
              <w:t>Ambiental</w:t>
            </w:r>
          </w:p>
        </w:tc>
        <w:tc>
          <w:tcPr>
            <w:tcW w:w="3031" w:type="dxa"/>
          </w:tcPr>
          <w:p>
            <w:pPr>
              <w:pStyle w:val="TableParagraph"/>
              <w:numPr>
                <w:ilvl w:val="0"/>
                <w:numId w:val="301"/>
              </w:numPr>
              <w:tabs>
                <w:tab w:pos="812" w:val="left" w:leader="none"/>
              </w:tabs>
              <w:spacing w:line="240" w:lineRule="auto" w:before="7" w:after="0"/>
              <w:ind w:left="280" w:right="105" w:hanging="141"/>
              <w:jc w:val="both"/>
              <w:rPr>
                <w:sz w:val="20"/>
              </w:rPr>
            </w:pPr>
            <w:r>
              <w:rPr>
                <w:sz w:val="20"/>
              </w:rPr>
              <w:t>Existe deseo de participación socioeconómica de los actores de la CHPH para cuidar el medio ambiente</w:t>
            </w:r>
          </w:p>
          <w:p>
            <w:pPr>
              <w:pStyle w:val="TableParagraph"/>
              <w:numPr>
                <w:ilvl w:val="0"/>
                <w:numId w:val="301"/>
              </w:numPr>
              <w:tabs>
                <w:tab w:pos="812" w:val="left" w:leader="none"/>
              </w:tabs>
              <w:spacing w:line="240" w:lineRule="auto" w:before="0" w:after="0"/>
              <w:ind w:left="280" w:right="104" w:hanging="141"/>
              <w:jc w:val="both"/>
              <w:rPr>
                <w:sz w:val="20"/>
              </w:rPr>
            </w:pPr>
            <w:r>
              <w:rPr>
                <w:sz w:val="20"/>
              </w:rPr>
              <w:t>Existe la probabilidad de acción colectiva de los actores para cuidar el medio ambiente</w:t>
            </w:r>
          </w:p>
          <w:p>
            <w:pPr>
              <w:pStyle w:val="TableParagraph"/>
              <w:numPr>
                <w:ilvl w:val="0"/>
                <w:numId w:val="301"/>
              </w:numPr>
              <w:tabs>
                <w:tab w:pos="812" w:val="left" w:leader="none"/>
              </w:tabs>
              <w:spacing w:line="240" w:lineRule="auto" w:before="1" w:after="0"/>
              <w:ind w:left="280" w:right="104" w:hanging="141"/>
              <w:jc w:val="both"/>
              <w:rPr>
                <w:sz w:val="20"/>
              </w:rPr>
            </w:pPr>
            <w:r>
              <w:rPr>
                <w:sz w:val="20"/>
              </w:rPr>
              <w:t>Existen la  posibilidad de acuerdos democráticos entre actores de la CHPH para cuidar el medio ambiente</w:t>
            </w:r>
          </w:p>
          <w:p>
            <w:pPr>
              <w:pStyle w:val="TableParagraph"/>
              <w:numPr>
                <w:ilvl w:val="0"/>
                <w:numId w:val="301"/>
              </w:numPr>
              <w:tabs>
                <w:tab w:pos="812" w:val="left" w:leader="none"/>
              </w:tabs>
              <w:spacing w:line="240" w:lineRule="auto" w:before="0" w:after="0"/>
              <w:ind w:left="280" w:right="103" w:hanging="141"/>
              <w:jc w:val="both"/>
              <w:rPr>
                <w:sz w:val="20"/>
              </w:rPr>
            </w:pPr>
            <w:r>
              <w:rPr>
                <w:sz w:val="20"/>
              </w:rPr>
              <w:t>Existe la posibilidad de planeación ambiental con articulación entre</w:t>
            </w:r>
            <w:r>
              <w:rPr>
                <w:spacing w:val="-11"/>
                <w:sz w:val="20"/>
              </w:rPr>
              <w:t> </w:t>
            </w:r>
            <w:r>
              <w:rPr>
                <w:sz w:val="20"/>
              </w:rPr>
              <w:t>actores</w:t>
            </w:r>
          </w:p>
        </w:tc>
        <w:tc>
          <w:tcPr>
            <w:tcW w:w="1481"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480"/>
              <w:rPr>
                <w:sz w:val="20"/>
              </w:rPr>
            </w:pPr>
            <w:r>
              <w:rPr>
                <w:sz w:val="20"/>
              </w:rPr>
              <w:t>100%</w:t>
            </w:r>
          </w:p>
        </w:tc>
        <w:tc>
          <w:tcPr>
            <w:tcW w:w="2482" w:type="dxa"/>
            <w:vMerge w:val="restart"/>
          </w:tcPr>
          <w:p>
            <w:pPr>
              <w:pStyle w:val="TableParagraph"/>
              <w:spacing w:line="242" w:lineRule="auto" w:before="4"/>
              <w:ind w:right="104"/>
              <w:jc w:val="both"/>
              <w:rPr>
                <w:sz w:val="20"/>
              </w:rPr>
            </w:pPr>
            <w:r>
              <w:rPr>
                <w:sz w:val="20"/>
              </w:rPr>
              <w:t>Debe reunir al </w:t>
            </w:r>
            <w:r>
              <w:rPr>
                <w:b/>
                <w:sz w:val="20"/>
              </w:rPr>
              <w:t>100% las tres </w:t>
            </w:r>
            <w:r>
              <w:rPr>
                <w:sz w:val="20"/>
              </w:rPr>
              <w:t>características de impacto positivo</w:t>
            </w:r>
          </w:p>
        </w:tc>
        <w:tc>
          <w:tcPr>
            <w:tcW w:w="1630"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24"/>
              <w:rPr>
                <w:b/>
                <w:sz w:val="20"/>
              </w:rPr>
            </w:pPr>
            <w:r>
              <w:rPr>
                <w:b/>
                <w:sz w:val="20"/>
              </w:rPr>
              <w:t>Excelente</w:t>
            </w:r>
          </w:p>
        </w:tc>
      </w:tr>
      <w:tr>
        <w:trPr>
          <w:trHeight w:val="2312"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27" w:lineRule="exact"/>
              <w:rPr>
                <w:sz w:val="20"/>
              </w:rPr>
            </w:pPr>
            <w:r>
              <w:rPr>
                <w:sz w:val="20"/>
              </w:rPr>
              <w:t>Económico</w:t>
            </w:r>
          </w:p>
        </w:tc>
        <w:tc>
          <w:tcPr>
            <w:tcW w:w="3031" w:type="dxa"/>
          </w:tcPr>
          <w:p>
            <w:pPr>
              <w:pStyle w:val="TableParagraph"/>
              <w:numPr>
                <w:ilvl w:val="0"/>
                <w:numId w:val="302"/>
              </w:numPr>
              <w:tabs>
                <w:tab w:pos="812" w:val="left" w:leader="none"/>
              </w:tabs>
              <w:spacing w:line="240" w:lineRule="auto" w:before="0" w:after="0"/>
              <w:ind w:left="280" w:right="104" w:hanging="141"/>
              <w:jc w:val="both"/>
              <w:rPr>
                <w:sz w:val="20"/>
              </w:rPr>
            </w:pPr>
            <w:r>
              <w:rPr>
                <w:sz w:val="20"/>
              </w:rPr>
              <w:t>Existe la posibilidad de una redistribución equitativa de los recursos naturales de la</w:t>
            </w:r>
            <w:r>
              <w:rPr>
                <w:spacing w:val="-5"/>
                <w:sz w:val="20"/>
              </w:rPr>
              <w:t> </w:t>
            </w:r>
            <w:r>
              <w:rPr>
                <w:sz w:val="20"/>
              </w:rPr>
              <w:t>CHPH</w:t>
            </w:r>
          </w:p>
          <w:p>
            <w:pPr>
              <w:pStyle w:val="TableParagraph"/>
              <w:numPr>
                <w:ilvl w:val="0"/>
                <w:numId w:val="302"/>
              </w:numPr>
              <w:tabs>
                <w:tab w:pos="812" w:val="left" w:leader="none"/>
                <w:tab w:pos="1947" w:val="left" w:leader="none"/>
              </w:tabs>
              <w:spacing w:line="240" w:lineRule="auto" w:before="0" w:after="0"/>
              <w:ind w:left="280" w:right="103" w:hanging="141"/>
              <w:jc w:val="both"/>
              <w:rPr>
                <w:sz w:val="20"/>
              </w:rPr>
            </w:pPr>
            <w:r>
              <w:rPr>
                <w:sz w:val="20"/>
              </w:rPr>
              <w:t>Existe posibilidad de un crecimiento</w:t>
              <w:tab/>
              <w:t>económico equilibrado en la</w:t>
            </w:r>
            <w:r>
              <w:rPr>
                <w:spacing w:val="-9"/>
                <w:sz w:val="20"/>
              </w:rPr>
              <w:t> </w:t>
            </w:r>
            <w:r>
              <w:rPr>
                <w:sz w:val="20"/>
              </w:rPr>
              <w:t>CHPH.</w:t>
            </w:r>
          </w:p>
          <w:p>
            <w:pPr>
              <w:pStyle w:val="TableParagraph"/>
              <w:numPr>
                <w:ilvl w:val="0"/>
                <w:numId w:val="302"/>
              </w:numPr>
              <w:tabs>
                <w:tab w:pos="812" w:val="left" w:leader="none"/>
              </w:tabs>
              <w:spacing w:line="240" w:lineRule="auto" w:before="0" w:after="0"/>
              <w:ind w:left="280" w:right="104" w:hanging="141"/>
              <w:jc w:val="both"/>
              <w:rPr>
                <w:sz w:val="20"/>
              </w:rPr>
            </w:pPr>
            <w:r>
              <w:rPr>
                <w:sz w:val="20"/>
              </w:rPr>
              <w:t>Existe posibilidad de planeación económica con articulación entre</w:t>
            </w:r>
            <w:r>
              <w:rPr>
                <w:spacing w:val="-11"/>
                <w:sz w:val="20"/>
              </w:rPr>
              <w:t> </w:t>
            </w:r>
            <w:r>
              <w:rPr>
                <w:sz w:val="20"/>
              </w:rPr>
              <w:t>actores</w:t>
            </w:r>
          </w:p>
        </w:tc>
        <w:tc>
          <w:tcPr>
            <w:tcW w:w="1481" w:type="dxa"/>
            <w:vMerge/>
          </w:tcPr>
          <w:p>
            <w:pPr/>
          </w:p>
        </w:tc>
        <w:tc>
          <w:tcPr>
            <w:tcW w:w="2482" w:type="dxa"/>
            <w:vMerge/>
          </w:tcPr>
          <w:p>
            <w:pPr/>
          </w:p>
        </w:tc>
        <w:tc>
          <w:tcPr>
            <w:tcW w:w="1630" w:type="dxa"/>
            <w:vMerge/>
            <w:tcBorders>
              <w:right w:val="double" w:sz="12" w:space="0" w:color="000000"/>
            </w:tcBorders>
            <w:shd w:val="clear" w:color="auto" w:fill="00FF00"/>
          </w:tcPr>
          <w:p>
            <w:pPr/>
          </w:p>
        </w:tc>
      </w:tr>
      <w:tr>
        <w:trPr>
          <w:trHeight w:val="2540"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27" w:lineRule="exact"/>
              <w:rPr>
                <w:sz w:val="20"/>
              </w:rPr>
            </w:pPr>
            <w:r>
              <w:rPr>
                <w:sz w:val="20"/>
              </w:rPr>
              <w:t>Sociopolítico</w:t>
            </w:r>
          </w:p>
        </w:tc>
        <w:tc>
          <w:tcPr>
            <w:tcW w:w="3031" w:type="dxa"/>
          </w:tcPr>
          <w:p>
            <w:pPr>
              <w:pStyle w:val="TableParagraph"/>
              <w:ind w:left="280" w:right="104" w:hanging="178"/>
              <w:jc w:val="both"/>
              <w:rPr>
                <w:sz w:val="20"/>
              </w:rPr>
            </w:pPr>
            <w:r>
              <w:rPr>
                <w:rFonts w:ascii="Wingdings" w:hAnsi="Wingdings"/>
                <w:spacing w:val="2"/>
                <w:sz w:val="20"/>
              </w:rPr>
              <w:t></w:t>
            </w:r>
            <w:r>
              <w:rPr>
                <w:spacing w:val="2"/>
                <w:sz w:val="20"/>
              </w:rPr>
              <w:t>Favorece </w:t>
            </w:r>
            <w:r>
              <w:rPr>
                <w:sz w:val="20"/>
              </w:rPr>
              <w:t>la organización sociopolítica de los actores  de la CHPH mediante la participación</w:t>
            </w:r>
            <w:r>
              <w:rPr>
                <w:spacing w:val="-7"/>
                <w:sz w:val="20"/>
              </w:rPr>
              <w:t> </w:t>
            </w:r>
            <w:r>
              <w:rPr>
                <w:sz w:val="20"/>
              </w:rPr>
              <w:t>social</w:t>
            </w:r>
          </w:p>
          <w:p>
            <w:pPr>
              <w:pStyle w:val="TableParagraph"/>
              <w:spacing w:before="1"/>
              <w:ind w:left="280" w:right="103" w:hanging="178"/>
              <w:jc w:val="both"/>
              <w:rPr>
                <w:sz w:val="20"/>
              </w:rPr>
            </w:pPr>
            <w:r>
              <w:rPr>
                <w:rFonts w:ascii="Wingdings" w:hAnsi="Wingdings"/>
                <w:sz w:val="20"/>
              </w:rPr>
              <w:t></w:t>
            </w:r>
            <w:r>
              <w:rPr>
                <w:sz w:val="20"/>
              </w:rPr>
              <w:t>Favorece la articulación entre actores para atender problemas comunes de la CHPH</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tc>
        <w:tc>
          <w:tcPr>
            <w:tcW w:w="1481" w:type="dxa"/>
            <w:vMerge/>
          </w:tcPr>
          <w:p>
            <w:pPr/>
          </w:p>
        </w:tc>
        <w:tc>
          <w:tcPr>
            <w:tcW w:w="2482" w:type="dxa"/>
            <w:vMerge/>
          </w:tcPr>
          <w:p>
            <w:pPr/>
          </w:p>
        </w:tc>
        <w:tc>
          <w:tcPr>
            <w:tcW w:w="1630"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27.219971pt;margin-top:121.106003pt;width:79.1pt;height:396.35pt;mso-position-horizontal-relative:page;mso-position-vertical-relative:page;z-index:-3328336" coordorigin="12544,2422" coordsize="1582,7927">
            <v:shape style="position:absolute;left:12544;top:2422;width:1582;height:7926" type="#_x0000_t75" stroked="false">
              <v:imagedata r:id="rId532" o:title=""/>
            </v:shape>
            <v:shape style="position:absolute;left:12648;top:5351;width:1375;height:230" type="#_x0000_t75" stroked="false">
              <v:imagedata r:id="rId533" o:title=""/>
            </v:shape>
            <v:shape style="position:absolute;left:12648;top:5581;width:1375;height:228" type="#_x0000_t75" stroked="false">
              <v:imagedata r:id="rId534" o:title=""/>
            </v:shape>
            <v:shape style="position:absolute;left:12648;top:5809;width:1375;height:230" type="#_x0000_t75" stroked="false">
              <v:imagedata r:id="rId535" o:title=""/>
            </v:shape>
            <v:shape style="position:absolute;left:12648;top:6039;width:1375;height:230" type="#_x0000_t75" stroked="false">
              <v:imagedata r:id="rId536" o:title=""/>
            </v:shape>
            <v:shape style="position:absolute;left:12648;top:6270;width:1375;height:231" type="#_x0000_t75" stroked="false">
              <v:imagedata r:id="rId537" o:title=""/>
            </v:shape>
            <v:shape style="position:absolute;left:12648;top:6501;width:1375;height:230" type="#_x0000_t75" stroked="false">
              <v:imagedata r:id="rId538" o:title=""/>
            </v:shape>
            <v:shape style="position:absolute;left:12648;top:6731;width:1375;height:230" type="#_x0000_t75" stroked="false">
              <v:imagedata r:id="rId539" o:title=""/>
            </v:shape>
            <v:shape style="position:absolute;left:12648;top:6961;width:1375;height:228" type="#_x0000_t75" stroked="false">
              <v:imagedata r:id="rId540" o:title=""/>
            </v:shape>
            <v:shape style="position:absolute;left:12648;top:7189;width:1375;height:230" type="#_x0000_t75" stroked="false">
              <v:imagedata r:id="rId541"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1"/>
        <w:gridCol w:w="1481"/>
        <w:gridCol w:w="2482"/>
        <w:gridCol w:w="1630"/>
      </w:tblGrid>
      <w:tr>
        <w:trPr>
          <w:trHeight w:val="710" w:hRule="exact"/>
        </w:trPr>
        <w:tc>
          <w:tcPr>
            <w:tcW w:w="954" w:type="dxa"/>
            <w:tcBorders>
              <w:left w:val="double" w:sz="11" w:space="0" w:color="000000"/>
            </w:tcBorders>
          </w:tcPr>
          <w:p>
            <w:pPr/>
          </w:p>
        </w:tc>
        <w:tc>
          <w:tcPr>
            <w:tcW w:w="1894" w:type="dxa"/>
          </w:tcPr>
          <w:p>
            <w:pPr/>
          </w:p>
        </w:tc>
        <w:tc>
          <w:tcPr>
            <w:tcW w:w="1349" w:type="dxa"/>
          </w:tcPr>
          <w:p>
            <w:pPr/>
          </w:p>
        </w:tc>
        <w:tc>
          <w:tcPr>
            <w:tcW w:w="3031" w:type="dxa"/>
          </w:tcPr>
          <w:p>
            <w:pPr>
              <w:pStyle w:val="TableParagraph"/>
              <w:spacing w:before="7"/>
              <w:ind w:left="280" w:right="103" w:hanging="178"/>
              <w:jc w:val="both"/>
              <w:rPr>
                <w:sz w:val="20"/>
              </w:rPr>
            </w:pPr>
            <w:r>
              <w:rPr>
                <w:rFonts w:ascii="Wingdings" w:hAnsi="Wingdings"/>
                <w:sz w:val="20"/>
              </w:rPr>
              <w:t></w:t>
            </w:r>
            <w:r>
              <w:rPr>
                <w:sz w:val="20"/>
              </w:rPr>
              <w:t>Favorece la planeación sociopolítica con articulación entre actores</w:t>
            </w:r>
          </w:p>
        </w:tc>
        <w:tc>
          <w:tcPr>
            <w:tcW w:w="1481" w:type="dxa"/>
          </w:tcPr>
          <w:p>
            <w:pPr/>
          </w:p>
        </w:tc>
        <w:tc>
          <w:tcPr>
            <w:tcW w:w="2482" w:type="dxa"/>
          </w:tcPr>
          <w:p>
            <w:pPr/>
          </w:p>
        </w:tc>
        <w:tc>
          <w:tcPr>
            <w:tcW w:w="1630" w:type="dxa"/>
            <w:tcBorders>
              <w:right w:val="double" w:sz="12" w:space="0" w:color="000000"/>
            </w:tcBorders>
            <w:shd w:val="clear" w:color="auto" w:fill="00FF00"/>
          </w:tcPr>
          <w:p>
            <w:pPr/>
          </w:p>
        </w:tc>
      </w:tr>
      <w:tr>
        <w:trPr>
          <w:trHeight w:val="3920"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4"/>
              </w:rPr>
            </w:pPr>
          </w:p>
          <w:p>
            <w:pPr>
              <w:pStyle w:val="TableParagraph"/>
              <w:ind w:left="230"/>
              <w:rPr>
                <w:sz w:val="20"/>
              </w:rPr>
            </w:pPr>
            <w:r>
              <w:rPr>
                <w:sz w:val="20"/>
              </w:rPr>
              <w:t>1519</w:t>
            </w:r>
          </w:p>
        </w:tc>
        <w:tc>
          <w:tcPr>
            <w:tcW w:w="189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349" w:type="dxa"/>
          </w:tcPr>
          <w:p>
            <w:pPr>
              <w:pStyle w:val="TableParagraph"/>
              <w:spacing w:line="227" w:lineRule="exact"/>
              <w:rPr>
                <w:sz w:val="20"/>
              </w:rPr>
            </w:pPr>
            <w:r>
              <w:rPr>
                <w:sz w:val="20"/>
              </w:rPr>
              <w:t>Ambiental</w:t>
            </w:r>
          </w:p>
        </w:tc>
        <w:tc>
          <w:tcPr>
            <w:tcW w:w="3031" w:type="dxa"/>
          </w:tcPr>
          <w:p>
            <w:pPr>
              <w:pStyle w:val="TableParagraph"/>
              <w:numPr>
                <w:ilvl w:val="0"/>
                <w:numId w:val="303"/>
              </w:numPr>
              <w:tabs>
                <w:tab w:pos="812" w:val="left" w:leader="none"/>
              </w:tabs>
              <w:spacing w:line="240" w:lineRule="auto" w:before="0" w:after="0"/>
              <w:ind w:left="280" w:right="105" w:hanging="141"/>
              <w:jc w:val="both"/>
              <w:rPr>
                <w:sz w:val="20"/>
              </w:rPr>
            </w:pPr>
            <w:r>
              <w:rPr>
                <w:sz w:val="20"/>
              </w:rPr>
              <w:t>Existe deseo de participación socioeconómica de los actores de la CHPH para cuidar el medio ambiente</w:t>
            </w:r>
          </w:p>
          <w:p>
            <w:pPr>
              <w:pStyle w:val="TableParagraph"/>
              <w:numPr>
                <w:ilvl w:val="0"/>
                <w:numId w:val="303"/>
              </w:numPr>
              <w:tabs>
                <w:tab w:pos="812" w:val="left" w:leader="none"/>
              </w:tabs>
              <w:spacing w:line="240" w:lineRule="auto" w:before="0" w:after="0"/>
              <w:ind w:left="280" w:right="104" w:hanging="141"/>
              <w:jc w:val="both"/>
              <w:rPr>
                <w:sz w:val="20"/>
              </w:rPr>
            </w:pPr>
            <w:r>
              <w:rPr>
                <w:sz w:val="20"/>
              </w:rPr>
              <w:t>Existe la probabilidad de acción colectiva de los actores para cuidar el medio ambiente</w:t>
            </w:r>
          </w:p>
          <w:p>
            <w:pPr>
              <w:pStyle w:val="TableParagraph"/>
              <w:numPr>
                <w:ilvl w:val="0"/>
                <w:numId w:val="303"/>
              </w:numPr>
              <w:tabs>
                <w:tab w:pos="812" w:val="left" w:leader="none"/>
              </w:tabs>
              <w:spacing w:line="240" w:lineRule="auto" w:before="0" w:after="0"/>
              <w:ind w:left="280" w:right="103" w:hanging="141"/>
              <w:jc w:val="both"/>
              <w:rPr>
                <w:sz w:val="20"/>
              </w:rPr>
            </w:pPr>
            <w:r>
              <w:rPr>
                <w:sz w:val="20"/>
              </w:rPr>
              <w:t>Existen la  posibilidad de acuerdos democráticos entre actores de la CHPH para cuidar el medio ambiente</w:t>
            </w:r>
          </w:p>
          <w:p>
            <w:pPr>
              <w:pStyle w:val="TableParagraph"/>
              <w:numPr>
                <w:ilvl w:val="0"/>
                <w:numId w:val="303"/>
              </w:numPr>
              <w:tabs>
                <w:tab w:pos="812" w:val="left" w:leader="none"/>
              </w:tabs>
              <w:spacing w:line="240" w:lineRule="auto" w:before="0" w:after="0"/>
              <w:ind w:left="280" w:right="104" w:hanging="141"/>
              <w:jc w:val="both"/>
              <w:rPr>
                <w:sz w:val="20"/>
              </w:rPr>
            </w:pPr>
            <w:r>
              <w:rPr>
                <w:sz w:val="20"/>
              </w:rPr>
              <w:t>Existe la posibilidad de planeación ambiental con articulación entre</w:t>
            </w:r>
            <w:r>
              <w:rPr>
                <w:spacing w:val="-11"/>
                <w:sz w:val="20"/>
              </w:rPr>
              <w:t> </w:t>
            </w:r>
            <w:r>
              <w:rPr>
                <w:sz w:val="20"/>
              </w:rPr>
              <w:t>actores</w:t>
            </w:r>
          </w:p>
        </w:tc>
        <w:tc>
          <w:tcPr>
            <w:tcW w:w="1481"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65"/>
              <w:ind w:left="515" w:right="515"/>
              <w:jc w:val="center"/>
              <w:rPr>
                <w:sz w:val="20"/>
              </w:rPr>
            </w:pPr>
            <w:r>
              <w:rPr>
                <w:sz w:val="20"/>
              </w:rPr>
              <w:t>75%</w:t>
            </w:r>
          </w:p>
        </w:tc>
        <w:tc>
          <w:tcPr>
            <w:tcW w:w="2482" w:type="dxa"/>
            <w:vMerge w:val="restart"/>
          </w:tcPr>
          <w:p>
            <w:pPr>
              <w:pStyle w:val="TableParagraph"/>
              <w:tabs>
                <w:tab w:pos="2144" w:val="left" w:leader="none"/>
              </w:tabs>
              <w:ind w:right="104"/>
              <w:jc w:val="both"/>
              <w:rPr>
                <w:sz w:val="20"/>
              </w:rPr>
            </w:pPr>
            <w:r>
              <w:rPr>
                <w:sz w:val="20"/>
              </w:rPr>
              <w:t>Debe reunir </w:t>
            </w:r>
            <w:r>
              <w:rPr>
                <w:b/>
                <w:sz w:val="20"/>
              </w:rPr>
              <w:t>al menos el 75% </w:t>
            </w:r>
            <w:r>
              <w:rPr>
                <w:sz w:val="20"/>
              </w:rPr>
              <w:t>dos de tres características</w:t>
              <w:tab/>
              <w:t>de impacto</w:t>
            </w:r>
            <w:r>
              <w:rPr>
                <w:spacing w:val="-3"/>
                <w:sz w:val="20"/>
              </w:rPr>
              <w:t> </w:t>
            </w:r>
            <w:r>
              <w:rPr>
                <w:sz w:val="20"/>
              </w:rPr>
              <w:t>positivo</w:t>
            </w:r>
          </w:p>
        </w:tc>
        <w:tc>
          <w:tcPr>
            <w:tcW w:w="1630"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62"/>
              <w:ind w:left="480"/>
              <w:rPr>
                <w:b/>
                <w:sz w:val="20"/>
              </w:rPr>
            </w:pPr>
            <w:r>
              <w:rPr>
                <w:b/>
                <w:sz w:val="20"/>
              </w:rPr>
              <w:t>Bueno</w:t>
            </w:r>
          </w:p>
        </w:tc>
      </w:tr>
      <w:tr>
        <w:trPr>
          <w:trHeight w:val="2396"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28" w:lineRule="exact"/>
              <w:rPr>
                <w:sz w:val="20"/>
              </w:rPr>
            </w:pPr>
            <w:r>
              <w:rPr>
                <w:sz w:val="20"/>
              </w:rPr>
              <w:t>Económico</w:t>
            </w:r>
          </w:p>
        </w:tc>
        <w:tc>
          <w:tcPr>
            <w:tcW w:w="3031" w:type="dxa"/>
          </w:tcPr>
          <w:p>
            <w:pPr>
              <w:pStyle w:val="TableParagraph"/>
              <w:numPr>
                <w:ilvl w:val="0"/>
                <w:numId w:val="304"/>
              </w:numPr>
              <w:tabs>
                <w:tab w:pos="812" w:val="left" w:leader="none"/>
              </w:tabs>
              <w:spacing w:line="240" w:lineRule="auto" w:before="0" w:after="0"/>
              <w:ind w:left="280" w:right="104" w:hanging="141"/>
              <w:jc w:val="both"/>
              <w:rPr>
                <w:sz w:val="20"/>
              </w:rPr>
            </w:pPr>
            <w:r>
              <w:rPr>
                <w:sz w:val="20"/>
              </w:rPr>
              <w:t>Existe la posibilidad de una redistribución equitativa de los recursos naturales de la</w:t>
            </w:r>
            <w:r>
              <w:rPr>
                <w:spacing w:val="-5"/>
                <w:sz w:val="20"/>
              </w:rPr>
              <w:t> </w:t>
            </w:r>
            <w:r>
              <w:rPr>
                <w:sz w:val="20"/>
              </w:rPr>
              <w:t>CHPH</w:t>
            </w:r>
          </w:p>
          <w:p>
            <w:pPr>
              <w:pStyle w:val="TableParagraph"/>
              <w:numPr>
                <w:ilvl w:val="0"/>
                <w:numId w:val="304"/>
              </w:numPr>
              <w:tabs>
                <w:tab w:pos="812" w:val="left" w:leader="none"/>
                <w:tab w:pos="1947" w:val="left" w:leader="none"/>
              </w:tabs>
              <w:spacing w:line="240" w:lineRule="auto" w:before="0" w:after="0"/>
              <w:ind w:left="280" w:right="103" w:hanging="141"/>
              <w:jc w:val="both"/>
              <w:rPr>
                <w:sz w:val="20"/>
              </w:rPr>
            </w:pPr>
            <w:r>
              <w:rPr>
                <w:sz w:val="20"/>
              </w:rPr>
              <w:t>Existe posibilidad de un crecimiento</w:t>
              <w:tab/>
              <w:t>económico equilibrado en la</w:t>
            </w:r>
            <w:r>
              <w:rPr>
                <w:spacing w:val="-9"/>
                <w:sz w:val="20"/>
              </w:rPr>
              <w:t> </w:t>
            </w:r>
            <w:r>
              <w:rPr>
                <w:sz w:val="20"/>
              </w:rPr>
              <w:t>CHPH.</w:t>
            </w:r>
          </w:p>
          <w:p>
            <w:pPr>
              <w:pStyle w:val="TableParagraph"/>
              <w:numPr>
                <w:ilvl w:val="0"/>
                <w:numId w:val="304"/>
              </w:numPr>
              <w:tabs>
                <w:tab w:pos="812" w:val="left" w:leader="none"/>
              </w:tabs>
              <w:spacing w:line="240" w:lineRule="auto" w:before="0" w:after="0"/>
              <w:ind w:left="280" w:right="104" w:hanging="141"/>
              <w:jc w:val="both"/>
              <w:rPr>
                <w:sz w:val="20"/>
              </w:rPr>
            </w:pPr>
            <w:r>
              <w:rPr>
                <w:sz w:val="20"/>
              </w:rPr>
              <w:t>Existe posibilidad de planeación económica con articulación entre</w:t>
            </w:r>
            <w:r>
              <w:rPr>
                <w:spacing w:val="-11"/>
                <w:sz w:val="20"/>
              </w:rPr>
              <w:t> </w:t>
            </w:r>
            <w:r>
              <w:rPr>
                <w:sz w:val="20"/>
              </w:rPr>
              <w:t>actores</w:t>
            </w:r>
          </w:p>
        </w:tc>
        <w:tc>
          <w:tcPr>
            <w:tcW w:w="1481" w:type="dxa"/>
            <w:vMerge/>
          </w:tcPr>
          <w:p>
            <w:pPr/>
          </w:p>
        </w:tc>
        <w:tc>
          <w:tcPr>
            <w:tcW w:w="2482" w:type="dxa"/>
            <w:vMerge/>
          </w:tcPr>
          <w:p>
            <w:pPr/>
          </w:p>
        </w:tc>
        <w:tc>
          <w:tcPr>
            <w:tcW w:w="1630" w:type="dxa"/>
            <w:vMerge/>
            <w:tcBorders>
              <w:right w:val="double" w:sz="12" w:space="0" w:color="000000"/>
            </w:tcBorders>
          </w:tcPr>
          <w:p>
            <w:pPr/>
          </w:p>
        </w:tc>
      </w:tr>
      <w:tr>
        <w:trPr>
          <w:trHeight w:val="1621" w:hRule="exact"/>
        </w:trPr>
        <w:tc>
          <w:tcPr>
            <w:tcW w:w="954" w:type="dxa"/>
            <w:vMerge/>
            <w:tcBorders>
              <w:left w:val="double" w:sz="11" w:space="0" w:color="000000"/>
              <w:bottom w:val="single" w:sz="8" w:space="0" w:color="000000"/>
            </w:tcBorders>
          </w:tcPr>
          <w:p>
            <w:pPr/>
          </w:p>
        </w:tc>
        <w:tc>
          <w:tcPr>
            <w:tcW w:w="1894" w:type="dxa"/>
            <w:vMerge/>
            <w:tcBorders>
              <w:bottom w:val="single" w:sz="8" w:space="0" w:color="000000"/>
            </w:tcBorders>
          </w:tcPr>
          <w:p>
            <w:pPr/>
          </w:p>
        </w:tc>
        <w:tc>
          <w:tcPr>
            <w:tcW w:w="1349" w:type="dxa"/>
            <w:tcBorders>
              <w:bottom w:val="single" w:sz="8" w:space="0" w:color="000000"/>
            </w:tcBorders>
          </w:tcPr>
          <w:p>
            <w:pPr>
              <w:pStyle w:val="TableParagraph"/>
              <w:spacing w:line="227" w:lineRule="exact"/>
              <w:rPr>
                <w:sz w:val="20"/>
              </w:rPr>
            </w:pPr>
            <w:r>
              <w:rPr>
                <w:sz w:val="20"/>
              </w:rPr>
              <w:t>Sociopolítico</w:t>
            </w:r>
          </w:p>
        </w:tc>
        <w:tc>
          <w:tcPr>
            <w:tcW w:w="3031" w:type="dxa"/>
            <w:tcBorders>
              <w:bottom w:val="single" w:sz="8" w:space="0" w:color="000000"/>
            </w:tcBorders>
          </w:tcPr>
          <w:p>
            <w:pPr>
              <w:pStyle w:val="TableParagraph"/>
              <w:ind w:left="280" w:right="104" w:hanging="178"/>
              <w:jc w:val="both"/>
              <w:rPr>
                <w:sz w:val="20"/>
              </w:rPr>
            </w:pPr>
            <w:r>
              <w:rPr>
                <w:rFonts w:ascii="Wingdings" w:hAnsi="Wingdings"/>
                <w:spacing w:val="2"/>
                <w:sz w:val="20"/>
              </w:rPr>
              <w:t></w:t>
            </w:r>
            <w:r>
              <w:rPr>
                <w:spacing w:val="2"/>
                <w:sz w:val="20"/>
              </w:rPr>
              <w:t>Favorece </w:t>
            </w:r>
            <w:r>
              <w:rPr>
                <w:sz w:val="20"/>
              </w:rPr>
              <w:t>la organización sociopolítica de los actores  de la CHPH mediante la participación</w:t>
            </w:r>
            <w:r>
              <w:rPr>
                <w:spacing w:val="-7"/>
                <w:sz w:val="20"/>
              </w:rPr>
              <w:t> </w:t>
            </w:r>
            <w:r>
              <w:rPr>
                <w:sz w:val="20"/>
              </w:rPr>
              <w:t>social</w:t>
            </w:r>
          </w:p>
          <w:p>
            <w:pPr>
              <w:pStyle w:val="TableParagraph"/>
              <w:ind w:left="280" w:right="103" w:hanging="178"/>
              <w:jc w:val="both"/>
              <w:rPr>
                <w:sz w:val="20"/>
              </w:rPr>
            </w:pPr>
            <w:r>
              <w:rPr>
                <w:rFonts w:ascii="Wingdings" w:hAnsi="Wingdings"/>
                <w:sz w:val="20"/>
              </w:rPr>
              <w:t></w:t>
            </w:r>
            <w:r>
              <w:rPr>
                <w:sz w:val="20"/>
              </w:rPr>
              <w:t>Favorece la articulación entre actores para atender problemas   comunes   de   la</w:t>
            </w:r>
          </w:p>
        </w:tc>
        <w:tc>
          <w:tcPr>
            <w:tcW w:w="1481" w:type="dxa"/>
            <w:vMerge/>
            <w:tcBorders>
              <w:bottom w:val="single" w:sz="8" w:space="0" w:color="000000"/>
            </w:tcBorders>
          </w:tcPr>
          <w:p>
            <w:pPr/>
          </w:p>
        </w:tc>
        <w:tc>
          <w:tcPr>
            <w:tcW w:w="2482" w:type="dxa"/>
            <w:vMerge/>
            <w:tcBorders>
              <w:bottom w:val="single" w:sz="8" w:space="0" w:color="000000"/>
            </w:tcBorders>
          </w:tcPr>
          <w:p>
            <w:pPr/>
          </w:p>
        </w:tc>
        <w:tc>
          <w:tcPr>
            <w:tcW w:w="1630" w:type="dxa"/>
            <w:vMerge/>
            <w:tcBorders>
              <w:bottom w:val="single" w:sz="8"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1"/>
        <w:gridCol w:w="1481"/>
        <w:gridCol w:w="2482"/>
        <w:gridCol w:w="1630"/>
      </w:tblGrid>
      <w:tr>
        <w:trPr>
          <w:trHeight w:val="1630" w:hRule="exact"/>
        </w:trPr>
        <w:tc>
          <w:tcPr>
            <w:tcW w:w="954" w:type="dxa"/>
            <w:tcBorders>
              <w:left w:val="double" w:sz="11" w:space="0" w:color="000000"/>
            </w:tcBorders>
          </w:tcPr>
          <w:p>
            <w:pPr/>
          </w:p>
        </w:tc>
        <w:tc>
          <w:tcPr>
            <w:tcW w:w="1894" w:type="dxa"/>
          </w:tcPr>
          <w:p>
            <w:pPr/>
          </w:p>
        </w:tc>
        <w:tc>
          <w:tcPr>
            <w:tcW w:w="1349" w:type="dxa"/>
          </w:tcPr>
          <w:p>
            <w:pPr/>
          </w:p>
        </w:tc>
        <w:tc>
          <w:tcPr>
            <w:tcW w:w="3031" w:type="dxa"/>
          </w:tcPr>
          <w:p>
            <w:pPr>
              <w:pStyle w:val="TableParagraph"/>
              <w:spacing w:before="7"/>
              <w:ind w:left="280"/>
              <w:rPr>
                <w:sz w:val="20"/>
              </w:rPr>
            </w:pPr>
            <w:r>
              <w:rPr>
                <w:sz w:val="20"/>
              </w:rPr>
              <w:t>CHPH</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ind w:left="280" w:right="104" w:hanging="178"/>
              <w:jc w:val="both"/>
              <w:rPr>
                <w:sz w:val="20"/>
              </w:rPr>
            </w:pPr>
            <w:r>
              <w:rPr>
                <w:rFonts w:ascii="Wingdings" w:hAnsi="Wingdings"/>
                <w:sz w:val="20"/>
              </w:rPr>
              <w:t></w:t>
            </w:r>
            <w:r>
              <w:rPr>
                <w:sz w:val="20"/>
              </w:rPr>
              <w:t>Favorece la planeación sociopolítica con articulación entre actores</w:t>
            </w:r>
          </w:p>
        </w:tc>
        <w:tc>
          <w:tcPr>
            <w:tcW w:w="1481" w:type="dxa"/>
          </w:tcPr>
          <w:p>
            <w:pPr/>
          </w:p>
        </w:tc>
        <w:tc>
          <w:tcPr>
            <w:tcW w:w="2482" w:type="dxa"/>
          </w:tcPr>
          <w:p>
            <w:pPr/>
          </w:p>
        </w:tc>
        <w:tc>
          <w:tcPr>
            <w:tcW w:w="1630" w:type="dxa"/>
            <w:tcBorders>
              <w:right w:val="double" w:sz="12" w:space="0" w:color="000000"/>
            </w:tcBorders>
          </w:tcPr>
          <w:p>
            <w:pPr>
              <w:pStyle w:val="TableParagraph"/>
              <w:ind w:left="0" w:right="-50"/>
              <w:rPr>
                <w:rFonts w:ascii="Times New Roman"/>
                <w:sz w:val="20"/>
              </w:rPr>
            </w:pPr>
            <w:r>
              <w:rPr>
                <w:rFonts w:ascii="Times New Roman"/>
                <w:sz w:val="20"/>
              </w:rPr>
              <w:pict>
                <v:group style="width:79.1pt;height:80.55pt;mso-position-horizontal-relative:char;mso-position-vertical-relative:line" coordorigin="0,0" coordsize="1582,1611">
                  <v:shape style="position:absolute;left:0;top:0;width:1582;height:1610" type="#_x0000_t75" stroked="false">
                    <v:imagedata r:id="rId542" o:title=""/>
                  </v:shape>
                </v:group>
              </w:pict>
            </w:r>
            <w:r>
              <w:rPr>
                <w:rFonts w:ascii="Times New Roman"/>
                <w:sz w:val="20"/>
              </w:rPr>
            </w:r>
          </w:p>
        </w:tc>
      </w:tr>
      <w:tr>
        <w:trPr>
          <w:trHeight w:val="1013" w:hRule="exact"/>
        </w:trPr>
        <w:tc>
          <w:tcPr>
            <w:tcW w:w="954" w:type="dxa"/>
            <w:tcBorders>
              <w:left w:val="double" w:sz="11" w:space="0" w:color="000000"/>
            </w:tcBorders>
          </w:tcPr>
          <w:p>
            <w:pPr>
              <w:pStyle w:val="TableParagraph"/>
              <w:ind w:left="0"/>
              <w:rPr>
                <w:rFonts w:ascii="Times New Roman"/>
                <w:sz w:val="20"/>
              </w:rPr>
            </w:pPr>
          </w:p>
          <w:p>
            <w:pPr>
              <w:pStyle w:val="TableParagraph"/>
              <w:spacing w:before="154"/>
              <w:ind w:left="209" w:right="212"/>
              <w:jc w:val="center"/>
              <w:rPr>
                <w:sz w:val="20"/>
              </w:rPr>
            </w:pPr>
            <w:r>
              <w:rPr>
                <w:sz w:val="20"/>
              </w:rPr>
              <w:t>1580</w:t>
            </w:r>
          </w:p>
        </w:tc>
        <w:tc>
          <w:tcPr>
            <w:tcW w:w="189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spacing w:before="1"/>
              <w:ind w:left="0"/>
              <w:jc w:val="center"/>
              <w:rPr>
                <w:b/>
                <w:sz w:val="20"/>
              </w:rPr>
            </w:pPr>
            <w:r>
              <w:rPr>
                <w:b/>
                <w:w w:val="99"/>
                <w:sz w:val="20"/>
              </w:rPr>
              <w:t>1</w:t>
            </w:r>
          </w:p>
        </w:tc>
        <w:tc>
          <w:tcPr>
            <w:tcW w:w="1349" w:type="dxa"/>
            <w:vMerge w:val="restart"/>
          </w:tcPr>
          <w:p>
            <w:pPr>
              <w:pStyle w:val="TableParagraph"/>
              <w:spacing w:line="227" w:lineRule="exact"/>
              <w:rPr>
                <w:sz w:val="20"/>
              </w:rPr>
            </w:pPr>
            <w:r>
              <w:rPr>
                <w:sz w:val="20"/>
              </w:rPr>
              <w:t>Ambiental</w:t>
            </w:r>
          </w:p>
        </w:tc>
        <w:tc>
          <w:tcPr>
            <w:tcW w:w="3031" w:type="dxa"/>
            <w:vMerge w:val="restart"/>
          </w:tcPr>
          <w:p>
            <w:pPr>
              <w:pStyle w:val="TableParagraph"/>
              <w:numPr>
                <w:ilvl w:val="0"/>
                <w:numId w:val="305"/>
              </w:numPr>
              <w:tabs>
                <w:tab w:pos="812" w:val="left" w:leader="none"/>
              </w:tabs>
              <w:spacing w:line="240" w:lineRule="auto" w:before="0" w:after="0"/>
              <w:ind w:left="280" w:right="105" w:hanging="141"/>
              <w:jc w:val="both"/>
              <w:rPr>
                <w:sz w:val="20"/>
              </w:rPr>
            </w:pPr>
            <w:r>
              <w:rPr>
                <w:sz w:val="20"/>
              </w:rPr>
              <w:t>Existe deseo de participación socioeconómica de los actores de la CHPH para cuidar el medio ambiente</w:t>
            </w:r>
          </w:p>
          <w:p>
            <w:pPr>
              <w:pStyle w:val="TableParagraph"/>
              <w:numPr>
                <w:ilvl w:val="0"/>
                <w:numId w:val="305"/>
              </w:numPr>
              <w:tabs>
                <w:tab w:pos="812" w:val="left" w:leader="none"/>
              </w:tabs>
              <w:spacing w:line="240" w:lineRule="auto" w:before="0" w:after="0"/>
              <w:ind w:left="280" w:right="104" w:hanging="141"/>
              <w:jc w:val="both"/>
              <w:rPr>
                <w:sz w:val="20"/>
              </w:rPr>
            </w:pPr>
            <w:r>
              <w:rPr>
                <w:sz w:val="20"/>
              </w:rPr>
              <w:t>Existe la probabilidad de acción colectiva de los actores para cuidar el medio ambiente</w:t>
            </w:r>
          </w:p>
          <w:p>
            <w:pPr>
              <w:pStyle w:val="TableParagraph"/>
              <w:numPr>
                <w:ilvl w:val="0"/>
                <w:numId w:val="305"/>
              </w:numPr>
              <w:tabs>
                <w:tab w:pos="812" w:val="left" w:leader="none"/>
              </w:tabs>
              <w:spacing w:line="240" w:lineRule="auto" w:before="0" w:after="0"/>
              <w:ind w:left="280" w:right="104" w:hanging="141"/>
              <w:jc w:val="both"/>
              <w:rPr>
                <w:sz w:val="20"/>
              </w:rPr>
            </w:pPr>
            <w:r>
              <w:rPr>
                <w:sz w:val="20"/>
              </w:rPr>
              <w:t>Existen la  posibilidad de acuerdos democráticos entre actores de la CHPH para cuidar el medio ambiente</w:t>
            </w:r>
          </w:p>
          <w:p>
            <w:pPr>
              <w:pStyle w:val="TableParagraph"/>
              <w:numPr>
                <w:ilvl w:val="0"/>
                <w:numId w:val="305"/>
              </w:numPr>
              <w:tabs>
                <w:tab w:pos="812" w:val="left" w:leader="none"/>
              </w:tabs>
              <w:spacing w:line="240" w:lineRule="auto" w:before="0" w:after="0"/>
              <w:ind w:left="280" w:right="104" w:hanging="141"/>
              <w:jc w:val="both"/>
              <w:rPr>
                <w:sz w:val="20"/>
              </w:rPr>
            </w:pPr>
            <w:r>
              <w:rPr>
                <w:sz w:val="20"/>
              </w:rPr>
              <w:t>Existe la posibilidad de planeación ambiental con articulación entre</w:t>
            </w:r>
            <w:r>
              <w:rPr>
                <w:spacing w:val="-11"/>
                <w:sz w:val="20"/>
              </w:rPr>
              <w:t> </w:t>
            </w:r>
            <w:r>
              <w:rPr>
                <w:sz w:val="20"/>
              </w:rPr>
              <w:t>actores</w:t>
            </w:r>
          </w:p>
        </w:tc>
        <w:tc>
          <w:tcPr>
            <w:tcW w:w="1481" w:type="dxa"/>
            <w:vMerge w:val="restart"/>
          </w:tcPr>
          <w:p>
            <w:pPr/>
          </w:p>
        </w:tc>
        <w:tc>
          <w:tcPr>
            <w:tcW w:w="2482" w:type="dxa"/>
            <w:vMerge w:val="restart"/>
          </w:tcPr>
          <w:p>
            <w:pPr>
              <w:pStyle w:val="TableParagraph"/>
              <w:tabs>
                <w:tab w:pos="2144" w:val="left" w:leader="none"/>
              </w:tabs>
              <w:spacing w:line="242" w:lineRule="auto"/>
              <w:ind w:right="103"/>
              <w:jc w:val="both"/>
              <w:rPr>
                <w:sz w:val="20"/>
              </w:rPr>
            </w:pPr>
            <w:r>
              <w:rPr>
                <w:sz w:val="20"/>
              </w:rPr>
              <w:t>Debe reunir </w:t>
            </w:r>
            <w:r>
              <w:rPr>
                <w:b/>
                <w:sz w:val="20"/>
              </w:rPr>
              <w:t>al menos el 50% una de tres </w:t>
            </w:r>
            <w:r>
              <w:rPr>
                <w:sz w:val="20"/>
              </w:rPr>
              <w:t>características</w:t>
              <w:tab/>
              <w:t>de impacto</w:t>
            </w:r>
            <w:r>
              <w:rPr>
                <w:spacing w:val="-3"/>
                <w:sz w:val="20"/>
              </w:rPr>
              <w:t> </w:t>
            </w:r>
            <w:r>
              <w:rPr>
                <w:sz w:val="20"/>
              </w:rPr>
              <w:t>positivo</w:t>
            </w:r>
          </w:p>
        </w:tc>
        <w:tc>
          <w:tcPr>
            <w:tcW w:w="1630"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417"/>
              <w:rPr>
                <w:b/>
                <w:sz w:val="20"/>
              </w:rPr>
            </w:pPr>
            <w:r>
              <w:rPr>
                <w:b/>
                <w:sz w:val="20"/>
              </w:rPr>
              <w:t>Regular</w:t>
            </w:r>
          </w:p>
        </w:tc>
      </w:tr>
      <w:tr>
        <w:trPr>
          <w:trHeight w:val="1013" w:hRule="exact"/>
        </w:trPr>
        <w:tc>
          <w:tcPr>
            <w:tcW w:w="954" w:type="dxa"/>
            <w:tcBorders>
              <w:left w:val="double" w:sz="11" w:space="0" w:color="000000"/>
            </w:tcBorders>
          </w:tcPr>
          <w:p>
            <w:pPr>
              <w:pStyle w:val="TableParagraph"/>
              <w:ind w:left="0"/>
              <w:rPr>
                <w:rFonts w:ascii="Times New Roman"/>
                <w:sz w:val="20"/>
              </w:rPr>
            </w:pPr>
          </w:p>
          <w:p>
            <w:pPr>
              <w:pStyle w:val="TableParagraph"/>
              <w:spacing w:before="153"/>
              <w:ind w:left="209" w:right="212"/>
              <w:jc w:val="center"/>
              <w:rPr>
                <w:sz w:val="20"/>
              </w:rPr>
            </w:pPr>
            <w:r>
              <w:rPr>
                <w:sz w:val="20"/>
              </w:rPr>
              <w:t>1785</w:t>
            </w:r>
          </w:p>
        </w:tc>
        <w:tc>
          <w:tcPr>
            <w:tcW w:w="1894" w:type="dxa"/>
            <w:vMerge/>
          </w:tcPr>
          <w:p>
            <w:pPr/>
          </w:p>
        </w:tc>
        <w:tc>
          <w:tcPr>
            <w:tcW w:w="1349" w:type="dxa"/>
            <w:vMerge/>
          </w:tcPr>
          <w:p>
            <w:pPr/>
          </w:p>
        </w:tc>
        <w:tc>
          <w:tcPr>
            <w:tcW w:w="3031" w:type="dxa"/>
            <w:vMerge/>
          </w:tcPr>
          <w:p>
            <w:pPr/>
          </w:p>
        </w:tc>
        <w:tc>
          <w:tcPr>
            <w:tcW w:w="1481" w:type="dxa"/>
            <w:vMerge/>
          </w:tcPr>
          <w:p>
            <w:pPr/>
          </w:p>
        </w:tc>
        <w:tc>
          <w:tcPr>
            <w:tcW w:w="2482" w:type="dxa"/>
            <w:vMerge/>
          </w:tcPr>
          <w:p>
            <w:pPr/>
          </w:p>
        </w:tc>
        <w:tc>
          <w:tcPr>
            <w:tcW w:w="1630" w:type="dxa"/>
            <w:vMerge/>
            <w:tcBorders>
              <w:right w:val="double" w:sz="12" w:space="0" w:color="000000"/>
            </w:tcBorders>
            <w:shd w:val="clear" w:color="auto" w:fill="FFFF00"/>
          </w:tcPr>
          <w:p>
            <w:pPr/>
          </w:p>
        </w:tc>
      </w:tr>
      <w:tr>
        <w:trPr>
          <w:trHeight w:val="1894"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5"/>
              <w:ind w:left="209" w:right="212"/>
              <w:jc w:val="center"/>
              <w:rPr>
                <w:sz w:val="20"/>
              </w:rPr>
            </w:pPr>
            <w:r>
              <w:rPr>
                <w:sz w:val="20"/>
              </w:rPr>
              <w:t>1810</w:t>
            </w:r>
          </w:p>
        </w:tc>
        <w:tc>
          <w:tcPr>
            <w:tcW w:w="1894" w:type="dxa"/>
            <w:vMerge/>
          </w:tcPr>
          <w:p>
            <w:pPr/>
          </w:p>
        </w:tc>
        <w:tc>
          <w:tcPr>
            <w:tcW w:w="1349" w:type="dxa"/>
            <w:vMerge/>
          </w:tcPr>
          <w:p>
            <w:pPr/>
          </w:p>
        </w:tc>
        <w:tc>
          <w:tcPr>
            <w:tcW w:w="3031" w:type="dxa"/>
            <w:vMerge/>
          </w:tcPr>
          <w:p>
            <w:pPr/>
          </w:p>
        </w:tc>
        <w:tc>
          <w:tcPr>
            <w:tcW w:w="1481" w:type="dxa"/>
            <w:vMerge/>
          </w:tcPr>
          <w:p>
            <w:pPr/>
          </w:p>
        </w:tc>
        <w:tc>
          <w:tcPr>
            <w:tcW w:w="2482" w:type="dxa"/>
            <w:vMerge/>
          </w:tcPr>
          <w:p>
            <w:pPr/>
          </w:p>
        </w:tc>
        <w:tc>
          <w:tcPr>
            <w:tcW w:w="1630" w:type="dxa"/>
            <w:vMerge/>
            <w:tcBorders>
              <w:right w:val="double" w:sz="12" w:space="0" w:color="000000"/>
            </w:tcBorders>
            <w:shd w:val="clear" w:color="auto" w:fill="FFFF00"/>
          </w:tcPr>
          <w:p>
            <w:pPr/>
          </w:p>
        </w:tc>
      </w:tr>
      <w:tr>
        <w:trPr>
          <w:trHeight w:val="619" w:hRule="exact"/>
        </w:trPr>
        <w:tc>
          <w:tcPr>
            <w:tcW w:w="954" w:type="dxa"/>
            <w:tcBorders>
              <w:left w:val="double" w:sz="11" w:space="0" w:color="000000"/>
            </w:tcBorders>
          </w:tcPr>
          <w:p>
            <w:pPr>
              <w:pStyle w:val="TableParagraph"/>
              <w:spacing w:before="2"/>
              <w:ind w:left="0"/>
              <w:rPr>
                <w:rFonts w:ascii="Times New Roman"/>
                <w:sz w:val="16"/>
              </w:rPr>
            </w:pPr>
          </w:p>
          <w:p>
            <w:pPr>
              <w:pStyle w:val="TableParagraph"/>
              <w:spacing w:before="1"/>
              <w:ind w:left="209" w:right="212"/>
              <w:jc w:val="center"/>
              <w:rPr>
                <w:sz w:val="20"/>
              </w:rPr>
            </w:pPr>
            <w:r>
              <w:rPr>
                <w:sz w:val="20"/>
              </w:rPr>
              <w:t>1861</w:t>
            </w:r>
          </w:p>
        </w:tc>
        <w:tc>
          <w:tcPr>
            <w:tcW w:w="1894" w:type="dxa"/>
            <w:vMerge/>
          </w:tcPr>
          <w:p>
            <w:pPr/>
          </w:p>
        </w:tc>
        <w:tc>
          <w:tcPr>
            <w:tcW w:w="1349" w:type="dxa"/>
            <w:vMerge w:val="restart"/>
          </w:tcPr>
          <w:p>
            <w:pPr>
              <w:pStyle w:val="TableParagraph"/>
              <w:spacing w:line="227" w:lineRule="exact"/>
              <w:rPr>
                <w:sz w:val="20"/>
              </w:rPr>
            </w:pPr>
            <w:r>
              <w:rPr>
                <w:sz w:val="20"/>
              </w:rPr>
              <w:t>Económico</w:t>
            </w:r>
          </w:p>
        </w:tc>
        <w:tc>
          <w:tcPr>
            <w:tcW w:w="3031" w:type="dxa"/>
            <w:vMerge w:val="restart"/>
          </w:tcPr>
          <w:p>
            <w:pPr>
              <w:pStyle w:val="TableParagraph"/>
              <w:numPr>
                <w:ilvl w:val="0"/>
                <w:numId w:val="306"/>
              </w:numPr>
              <w:tabs>
                <w:tab w:pos="812" w:val="left" w:leader="none"/>
              </w:tabs>
              <w:spacing w:line="240" w:lineRule="auto" w:before="0" w:after="0"/>
              <w:ind w:left="280" w:right="104" w:hanging="141"/>
              <w:jc w:val="both"/>
              <w:rPr>
                <w:sz w:val="20"/>
              </w:rPr>
            </w:pPr>
            <w:r>
              <w:rPr>
                <w:sz w:val="20"/>
              </w:rPr>
              <w:t>Existe la posibilidad de una redistribución equitativa de los recursos naturales de la</w:t>
            </w:r>
            <w:r>
              <w:rPr>
                <w:spacing w:val="-5"/>
                <w:sz w:val="20"/>
              </w:rPr>
              <w:t> </w:t>
            </w:r>
            <w:r>
              <w:rPr>
                <w:sz w:val="20"/>
              </w:rPr>
              <w:t>CHPH</w:t>
            </w:r>
          </w:p>
          <w:p>
            <w:pPr>
              <w:pStyle w:val="TableParagraph"/>
              <w:numPr>
                <w:ilvl w:val="0"/>
                <w:numId w:val="306"/>
              </w:numPr>
              <w:tabs>
                <w:tab w:pos="812" w:val="left" w:leader="none"/>
                <w:tab w:pos="1947" w:val="left" w:leader="none"/>
              </w:tabs>
              <w:spacing w:line="240" w:lineRule="auto" w:before="0" w:after="0"/>
              <w:ind w:left="280" w:right="103" w:hanging="141"/>
              <w:jc w:val="both"/>
              <w:rPr>
                <w:sz w:val="20"/>
              </w:rPr>
            </w:pPr>
            <w:r>
              <w:rPr>
                <w:sz w:val="20"/>
              </w:rPr>
              <w:t>Existe posibilidad de un crecimiento</w:t>
              <w:tab/>
              <w:t>económico equilibrado en la</w:t>
            </w:r>
            <w:r>
              <w:rPr>
                <w:spacing w:val="-9"/>
                <w:sz w:val="20"/>
              </w:rPr>
              <w:t> </w:t>
            </w:r>
            <w:r>
              <w:rPr>
                <w:sz w:val="20"/>
              </w:rPr>
              <w:t>CHPH.</w:t>
            </w:r>
          </w:p>
          <w:p>
            <w:pPr>
              <w:pStyle w:val="TableParagraph"/>
              <w:numPr>
                <w:ilvl w:val="0"/>
                <w:numId w:val="306"/>
              </w:numPr>
              <w:tabs>
                <w:tab w:pos="812" w:val="left" w:leader="none"/>
              </w:tabs>
              <w:spacing w:line="240" w:lineRule="auto" w:before="1" w:after="0"/>
              <w:ind w:left="280" w:right="104" w:hanging="141"/>
              <w:jc w:val="both"/>
              <w:rPr>
                <w:sz w:val="20"/>
              </w:rPr>
            </w:pPr>
            <w:r>
              <w:rPr>
                <w:sz w:val="20"/>
              </w:rPr>
              <w:t>Existe posibilidad de planeación económica con articulación entre</w:t>
            </w:r>
            <w:r>
              <w:rPr>
                <w:spacing w:val="-11"/>
                <w:sz w:val="20"/>
              </w:rPr>
              <w:t> </w:t>
            </w:r>
            <w:r>
              <w:rPr>
                <w:sz w:val="20"/>
              </w:rPr>
              <w:t>actores</w:t>
            </w:r>
          </w:p>
        </w:tc>
        <w:tc>
          <w:tcPr>
            <w:tcW w:w="1481" w:type="dxa"/>
            <w:vMerge/>
          </w:tcPr>
          <w:p>
            <w:pPr/>
          </w:p>
        </w:tc>
        <w:tc>
          <w:tcPr>
            <w:tcW w:w="2482" w:type="dxa"/>
            <w:vMerge/>
          </w:tcPr>
          <w:p>
            <w:pPr/>
          </w:p>
        </w:tc>
        <w:tc>
          <w:tcPr>
            <w:tcW w:w="1630" w:type="dxa"/>
            <w:vMerge/>
            <w:tcBorders>
              <w:right w:val="double" w:sz="12" w:space="0" w:color="000000"/>
            </w:tcBorders>
            <w:shd w:val="clear" w:color="auto" w:fill="FFFF00"/>
          </w:tcPr>
          <w:p>
            <w:pPr/>
          </w:p>
        </w:tc>
      </w:tr>
      <w:tr>
        <w:trPr>
          <w:trHeight w:val="614" w:hRule="exact"/>
        </w:trPr>
        <w:tc>
          <w:tcPr>
            <w:tcW w:w="954" w:type="dxa"/>
            <w:tcBorders>
              <w:left w:val="double" w:sz="11" w:space="0" w:color="000000"/>
            </w:tcBorders>
          </w:tcPr>
          <w:p>
            <w:pPr>
              <w:pStyle w:val="TableParagraph"/>
              <w:ind w:left="0"/>
              <w:rPr>
                <w:rFonts w:ascii="Times New Roman"/>
                <w:sz w:val="16"/>
              </w:rPr>
            </w:pPr>
          </w:p>
          <w:p>
            <w:pPr>
              <w:pStyle w:val="TableParagraph"/>
              <w:ind w:left="209" w:right="212"/>
              <w:jc w:val="center"/>
              <w:rPr>
                <w:sz w:val="20"/>
              </w:rPr>
            </w:pPr>
            <w:r>
              <w:rPr>
                <w:sz w:val="20"/>
              </w:rPr>
              <w:t>1910</w:t>
            </w:r>
          </w:p>
        </w:tc>
        <w:tc>
          <w:tcPr>
            <w:tcW w:w="1894" w:type="dxa"/>
            <w:vMerge/>
          </w:tcPr>
          <w:p>
            <w:pPr/>
          </w:p>
        </w:tc>
        <w:tc>
          <w:tcPr>
            <w:tcW w:w="1349" w:type="dxa"/>
            <w:vMerge/>
          </w:tcPr>
          <w:p>
            <w:pPr/>
          </w:p>
        </w:tc>
        <w:tc>
          <w:tcPr>
            <w:tcW w:w="3031" w:type="dxa"/>
            <w:vMerge/>
          </w:tcPr>
          <w:p>
            <w:pPr/>
          </w:p>
        </w:tc>
        <w:tc>
          <w:tcPr>
            <w:tcW w:w="1481" w:type="dxa"/>
            <w:vMerge/>
          </w:tcPr>
          <w:p>
            <w:pPr/>
          </w:p>
        </w:tc>
        <w:tc>
          <w:tcPr>
            <w:tcW w:w="2482" w:type="dxa"/>
            <w:vMerge/>
          </w:tcPr>
          <w:p>
            <w:pPr/>
          </w:p>
        </w:tc>
        <w:tc>
          <w:tcPr>
            <w:tcW w:w="1630" w:type="dxa"/>
            <w:vMerge/>
            <w:tcBorders>
              <w:right w:val="double" w:sz="12" w:space="0" w:color="000000"/>
            </w:tcBorders>
            <w:shd w:val="clear" w:color="auto" w:fill="FFFF00"/>
          </w:tcPr>
          <w:p>
            <w:pPr/>
          </w:p>
        </w:tc>
      </w:tr>
      <w:tr>
        <w:trPr>
          <w:trHeight w:val="1088" w:hRule="exact"/>
        </w:trPr>
        <w:tc>
          <w:tcPr>
            <w:tcW w:w="954" w:type="dxa"/>
            <w:tcBorders>
              <w:left w:val="double" w:sz="11" w:space="0" w:color="000000"/>
            </w:tcBorders>
          </w:tcPr>
          <w:p>
            <w:pPr>
              <w:pStyle w:val="TableParagraph"/>
              <w:ind w:left="0"/>
              <w:rPr>
                <w:rFonts w:ascii="Times New Roman"/>
                <w:sz w:val="20"/>
              </w:rPr>
            </w:pPr>
          </w:p>
          <w:p>
            <w:pPr>
              <w:pStyle w:val="TableParagraph"/>
              <w:spacing w:before="3"/>
              <w:ind w:left="0"/>
              <w:rPr>
                <w:rFonts w:ascii="Times New Roman"/>
                <w:sz w:val="16"/>
              </w:rPr>
            </w:pPr>
          </w:p>
          <w:p>
            <w:pPr>
              <w:pStyle w:val="TableParagraph"/>
              <w:spacing w:before="1"/>
              <w:ind w:left="209" w:right="212"/>
              <w:jc w:val="center"/>
              <w:rPr>
                <w:sz w:val="20"/>
              </w:rPr>
            </w:pPr>
            <w:r>
              <w:rPr>
                <w:sz w:val="20"/>
              </w:rPr>
              <w:t>1940</w:t>
            </w:r>
          </w:p>
        </w:tc>
        <w:tc>
          <w:tcPr>
            <w:tcW w:w="1894" w:type="dxa"/>
            <w:vMerge/>
          </w:tcPr>
          <w:p>
            <w:pPr/>
          </w:p>
        </w:tc>
        <w:tc>
          <w:tcPr>
            <w:tcW w:w="1349" w:type="dxa"/>
            <w:vMerge/>
          </w:tcPr>
          <w:p>
            <w:pPr/>
          </w:p>
        </w:tc>
        <w:tc>
          <w:tcPr>
            <w:tcW w:w="3031" w:type="dxa"/>
            <w:vMerge/>
          </w:tcPr>
          <w:p>
            <w:pPr/>
          </w:p>
        </w:tc>
        <w:tc>
          <w:tcPr>
            <w:tcW w:w="1481" w:type="dxa"/>
            <w:vMerge/>
          </w:tcPr>
          <w:p>
            <w:pPr/>
          </w:p>
        </w:tc>
        <w:tc>
          <w:tcPr>
            <w:tcW w:w="2482" w:type="dxa"/>
            <w:vMerge/>
          </w:tcPr>
          <w:p>
            <w:pPr/>
          </w:p>
        </w:tc>
        <w:tc>
          <w:tcPr>
            <w:tcW w:w="1630" w:type="dxa"/>
            <w:vMerge/>
            <w:tcBorders>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1"/>
        <w:gridCol w:w="1481"/>
        <w:gridCol w:w="2482"/>
        <w:gridCol w:w="1630"/>
      </w:tblGrid>
      <w:tr>
        <w:trPr>
          <w:trHeight w:val="1258" w:hRule="exact"/>
        </w:trPr>
        <w:tc>
          <w:tcPr>
            <w:tcW w:w="954" w:type="dxa"/>
            <w:tcBorders>
              <w:left w:val="double" w:sz="11" w:space="0" w:color="000000"/>
            </w:tcBorders>
          </w:tcPr>
          <w:p>
            <w:pPr>
              <w:pStyle w:val="TableParagraph"/>
              <w:ind w:left="0"/>
              <w:rPr>
                <w:rFonts w:ascii="Times New Roman"/>
                <w:sz w:val="20"/>
              </w:rPr>
            </w:pPr>
          </w:p>
          <w:p>
            <w:pPr>
              <w:pStyle w:val="TableParagraph"/>
              <w:spacing w:before="4"/>
              <w:ind w:left="0"/>
              <w:rPr>
                <w:rFonts w:ascii="Times New Roman"/>
                <w:sz w:val="24"/>
              </w:rPr>
            </w:pPr>
          </w:p>
          <w:p>
            <w:pPr>
              <w:pStyle w:val="TableParagraph"/>
              <w:spacing w:before="1"/>
              <w:ind w:left="209" w:right="212"/>
              <w:jc w:val="center"/>
              <w:rPr>
                <w:sz w:val="20"/>
              </w:rPr>
            </w:pPr>
            <w:r>
              <w:rPr>
                <w:sz w:val="20"/>
              </w:rPr>
              <w:t>1982</w:t>
            </w:r>
          </w:p>
        </w:tc>
        <w:tc>
          <w:tcPr>
            <w:tcW w:w="1894" w:type="dxa"/>
            <w:vMerge w:val="restart"/>
          </w:tcPr>
          <w:p>
            <w:pPr/>
          </w:p>
        </w:tc>
        <w:tc>
          <w:tcPr>
            <w:tcW w:w="1349" w:type="dxa"/>
            <w:vMerge w:val="restart"/>
          </w:tcPr>
          <w:p>
            <w:pPr>
              <w:pStyle w:val="TableParagraph"/>
              <w:spacing w:before="7"/>
              <w:rPr>
                <w:sz w:val="20"/>
              </w:rPr>
            </w:pPr>
            <w:r>
              <w:rPr>
                <w:sz w:val="20"/>
              </w:rPr>
              <w:t>Sociopolítico</w:t>
            </w:r>
          </w:p>
        </w:tc>
        <w:tc>
          <w:tcPr>
            <w:tcW w:w="3031" w:type="dxa"/>
            <w:vMerge w:val="restart"/>
          </w:tcPr>
          <w:p>
            <w:pPr>
              <w:pStyle w:val="TableParagraph"/>
              <w:spacing w:before="7"/>
              <w:ind w:left="280" w:right="104" w:hanging="178"/>
              <w:jc w:val="both"/>
              <w:rPr>
                <w:sz w:val="20"/>
              </w:rPr>
            </w:pPr>
            <w:r>
              <w:rPr>
                <w:rFonts w:ascii="Wingdings" w:hAnsi="Wingdings"/>
                <w:spacing w:val="2"/>
                <w:sz w:val="20"/>
              </w:rPr>
              <w:t></w:t>
            </w:r>
            <w:r>
              <w:rPr>
                <w:spacing w:val="2"/>
                <w:sz w:val="20"/>
              </w:rPr>
              <w:t>Favorece </w:t>
            </w:r>
            <w:r>
              <w:rPr>
                <w:sz w:val="20"/>
              </w:rPr>
              <w:t>la organización sociopolítica de los actores  de la CHPH mediante la participación</w:t>
            </w:r>
            <w:r>
              <w:rPr>
                <w:spacing w:val="-7"/>
                <w:sz w:val="20"/>
              </w:rPr>
              <w:t> </w:t>
            </w:r>
            <w:r>
              <w:rPr>
                <w:sz w:val="20"/>
              </w:rPr>
              <w:t>social</w:t>
            </w:r>
          </w:p>
          <w:p>
            <w:pPr>
              <w:pStyle w:val="TableParagraph"/>
              <w:ind w:left="280" w:right="102" w:hanging="178"/>
              <w:jc w:val="both"/>
              <w:rPr>
                <w:sz w:val="20"/>
              </w:rPr>
            </w:pPr>
            <w:r>
              <w:rPr>
                <w:rFonts w:ascii="Wingdings" w:hAnsi="Wingdings"/>
                <w:sz w:val="20"/>
              </w:rPr>
              <w:t></w:t>
            </w:r>
            <w:r>
              <w:rPr>
                <w:sz w:val="20"/>
              </w:rPr>
              <w:t>Favorece la articulación entre actores para atender problemas comunes de la CHPH</w:t>
            </w:r>
          </w:p>
          <w:p>
            <w:pPr>
              <w:pStyle w:val="TableParagraph"/>
              <w:rPr>
                <w:sz w:val="20"/>
              </w:rPr>
            </w:pPr>
            <w:r>
              <w:rPr>
                <w:rFonts w:ascii="Wingdings" w:hAnsi="Wingdings"/>
                <w:sz w:val="20"/>
              </w:rPr>
              <w:t></w:t>
            </w:r>
            <w:r>
              <w:rPr>
                <w:sz w:val="20"/>
              </w:rPr>
              <w:t>Favorece la GIRH</w:t>
            </w:r>
          </w:p>
          <w:p>
            <w:pPr>
              <w:pStyle w:val="TableParagraph"/>
              <w:spacing w:line="229" w:lineRule="exact" w:before="1"/>
              <w:rPr>
                <w:sz w:val="20"/>
              </w:rPr>
            </w:pPr>
            <w:r>
              <w:rPr>
                <w:rFonts w:ascii="Wingdings" w:hAnsi="Wingdings"/>
                <w:sz w:val="20"/>
              </w:rPr>
              <w:t></w:t>
            </w:r>
            <w:r>
              <w:rPr>
                <w:sz w:val="20"/>
              </w:rPr>
              <w:t>Favorece la gobernanza</w:t>
            </w:r>
          </w:p>
          <w:p>
            <w:pPr>
              <w:pStyle w:val="TableParagraph"/>
              <w:spacing w:line="229" w:lineRule="exact"/>
              <w:rPr>
                <w:sz w:val="20"/>
              </w:rPr>
            </w:pPr>
            <w:r>
              <w:rPr>
                <w:rFonts w:ascii="Wingdings" w:hAnsi="Wingdings"/>
                <w:sz w:val="20"/>
              </w:rPr>
              <w:t></w:t>
            </w:r>
            <w:r>
              <w:rPr>
                <w:sz w:val="20"/>
              </w:rPr>
              <w:t>Fortalece la gobernabilidad</w:t>
            </w:r>
          </w:p>
          <w:p>
            <w:pPr>
              <w:pStyle w:val="TableParagraph"/>
              <w:ind w:left="280" w:right="104" w:hanging="178"/>
              <w:jc w:val="both"/>
              <w:rPr>
                <w:sz w:val="20"/>
              </w:rPr>
            </w:pPr>
            <w:r>
              <w:rPr>
                <w:rFonts w:ascii="Wingdings" w:hAnsi="Wingdings"/>
                <w:sz w:val="20"/>
              </w:rPr>
              <w:t></w:t>
            </w:r>
            <w:r>
              <w:rPr>
                <w:sz w:val="20"/>
              </w:rPr>
              <w:t>Favorece la planeación sociopolítica con articulación entre actores</w:t>
            </w:r>
          </w:p>
        </w:tc>
        <w:tc>
          <w:tcPr>
            <w:tcW w:w="1481" w:type="dxa"/>
            <w:vMerge w:val="restart"/>
          </w:tcPr>
          <w:p>
            <w:pPr/>
          </w:p>
        </w:tc>
        <w:tc>
          <w:tcPr>
            <w:tcW w:w="2482" w:type="dxa"/>
            <w:vMerge w:val="restart"/>
          </w:tcPr>
          <w:p>
            <w:pPr/>
          </w:p>
        </w:tc>
        <w:tc>
          <w:tcPr>
            <w:tcW w:w="1630" w:type="dxa"/>
            <w:vMerge w:val="restart"/>
            <w:tcBorders>
              <w:right w:val="double" w:sz="12" w:space="0" w:color="000000"/>
            </w:tcBorders>
            <w:shd w:val="clear" w:color="auto" w:fill="FFFF00"/>
          </w:tcPr>
          <w:p>
            <w:pPr/>
          </w:p>
        </w:tc>
      </w:tr>
      <w:tr>
        <w:trPr>
          <w:trHeight w:val="1983"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79"/>
              <w:ind w:left="209" w:right="212"/>
              <w:jc w:val="center"/>
              <w:rPr>
                <w:sz w:val="20"/>
              </w:rPr>
            </w:pPr>
            <w:r>
              <w:rPr>
                <w:sz w:val="20"/>
              </w:rPr>
              <w:t>2016</w:t>
            </w:r>
          </w:p>
        </w:tc>
        <w:tc>
          <w:tcPr>
            <w:tcW w:w="1894" w:type="dxa"/>
            <w:vMerge/>
          </w:tcPr>
          <w:p>
            <w:pPr/>
          </w:p>
        </w:tc>
        <w:tc>
          <w:tcPr>
            <w:tcW w:w="1349" w:type="dxa"/>
            <w:vMerge/>
          </w:tcPr>
          <w:p>
            <w:pPr/>
          </w:p>
        </w:tc>
        <w:tc>
          <w:tcPr>
            <w:tcW w:w="3031" w:type="dxa"/>
            <w:vMerge/>
          </w:tcPr>
          <w:p>
            <w:pPr/>
          </w:p>
        </w:tc>
        <w:tc>
          <w:tcPr>
            <w:tcW w:w="1481" w:type="dxa"/>
            <w:vMerge/>
          </w:tcPr>
          <w:p>
            <w:pPr/>
          </w:p>
        </w:tc>
        <w:tc>
          <w:tcPr>
            <w:tcW w:w="2482" w:type="dxa"/>
            <w:vMerge/>
          </w:tcPr>
          <w:p>
            <w:pPr/>
          </w:p>
        </w:tc>
        <w:tc>
          <w:tcPr>
            <w:tcW w:w="1630" w:type="dxa"/>
            <w:vMerge/>
            <w:tcBorders>
              <w:right w:val="double" w:sz="12" w:space="0" w:color="000000"/>
            </w:tcBorders>
            <w:shd w:val="clear" w:color="auto" w:fill="FFFF00"/>
          </w:tcPr>
          <w:p>
            <w:pPr/>
          </w:p>
        </w:tc>
      </w:tr>
      <w:tr>
        <w:trPr>
          <w:trHeight w:val="3920" w:hRule="exact"/>
        </w:trPr>
        <w:tc>
          <w:tcPr>
            <w:tcW w:w="954" w:type="dxa"/>
            <w:vMerge w:val="restart"/>
            <w:tcBorders>
              <w:left w:val="double" w:sz="11" w:space="0" w:color="000000"/>
            </w:tcBorders>
          </w:tcPr>
          <w:p>
            <w:pPr/>
          </w:p>
        </w:tc>
        <w:tc>
          <w:tcPr>
            <w:tcW w:w="1894"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29"/>
              </w:rPr>
            </w:pPr>
          </w:p>
          <w:p>
            <w:pPr>
              <w:pStyle w:val="TableParagraph"/>
              <w:ind w:left="0"/>
              <w:jc w:val="center"/>
              <w:rPr>
                <w:b/>
                <w:sz w:val="20"/>
              </w:rPr>
            </w:pPr>
            <w:r>
              <w:rPr>
                <w:b/>
                <w:w w:val="99"/>
                <w:sz w:val="20"/>
              </w:rPr>
              <w:t>1</w:t>
            </w:r>
          </w:p>
        </w:tc>
        <w:tc>
          <w:tcPr>
            <w:tcW w:w="1349" w:type="dxa"/>
          </w:tcPr>
          <w:p>
            <w:pPr>
              <w:pStyle w:val="TableParagraph"/>
              <w:spacing w:line="227" w:lineRule="exact"/>
              <w:rPr>
                <w:sz w:val="20"/>
              </w:rPr>
            </w:pPr>
            <w:r>
              <w:rPr>
                <w:sz w:val="20"/>
              </w:rPr>
              <w:t>Ambiental</w:t>
            </w:r>
          </w:p>
        </w:tc>
        <w:tc>
          <w:tcPr>
            <w:tcW w:w="3031" w:type="dxa"/>
          </w:tcPr>
          <w:p>
            <w:pPr>
              <w:pStyle w:val="TableParagraph"/>
              <w:numPr>
                <w:ilvl w:val="0"/>
                <w:numId w:val="307"/>
              </w:numPr>
              <w:tabs>
                <w:tab w:pos="812" w:val="left" w:leader="none"/>
              </w:tabs>
              <w:spacing w:line="240" w:lineRule="auto" w:before="0" w:after="0"/>
              <w:ind w:left="280" w:right="105" w:hanging="141"/>
              <w:jc w:val="both"/>
              <w:rPr>
                <w:sz w:val="20"/>
              </w:rPr>
            </w:pPr>
            <w:r>
              <w:rPr>
                <w:sz w:val="20"/>
              </w:rPr>
              <w:t>Existe deseo de participación socioeconómica de los actores de la CHPH para cuidar el medio ambiente</w:t>
            </w:r>
          </w:p>
          <w:p>
            <w:pPr>
              <w:pStyle w:val="TableParagraph"/>
              <w:numPr>
                <w:ilvl w:val="0"/>
                <w:numId w:val="307"/>
              </w:numPr>
              <w:tabs>
                <w:tab w:pos="812" w:val="left" w:leader="none"/>
              </w:tabs>
              <w:spacing w:line="240" w:lineRule="auto" w:before="0" w:after="0"/>
              <w:ind w:left="280" w:right="104" w:hanging="141"/>
              <w:jc w:val="both"/>
              <w:rPr>
                <w:sz w:val="20"/>
              </w:rPr>
            </w:pPr>
            <w:r>
              <w:rPr>
                <w:sz w:val="20"/>
              </w:rPr>
              <w:t>Existe la probabilidad de acción colectiva de los actores para cuidar el medio ambiente</w:t>
            </w:r>
          </w:p>
          <w:p>
            <w:pPr>
              <w:pStyle w:val="TableParagraph"/>
              <w:numPr>
                <w:ilvl w:val="0"/>
                <w:numId w:val="307"/>
              </w:numPr>
              <w:tabs>
                <w:tab w:pos="812" w:val="left" w:leader="none"/>
              </w:tabs>
              <w:spacing w:line="240" w:lineRule="auto" w:before="0" w:after="0"/>
              <w:ind w:left="280" w:right="104" w:hanging="141"/>
              <w:jc w:val="both"/>
              <w:rPr>
                <w:sz w:val="20"/>
              </w:rPr>
            </w:pPr>
            <w:r>
              <w:rPr>
                <w:sz w:val="20"/>
              </w:rPr>
              <w:t>Existen la  posibilidad de acuerdos democráticos entre actores de la CHPH para cuidar el medio ambiente</w:t>
            </w:r>
          </w:p>
          <w:p>
            <w:pPr>
              <w:pStyle w:val="TableParagraph"/>
              <w:numPr>
                <w:ilvl w:val="0"/>
                <w:numId w:val="307"/>
              </w:numPr>
              <w:tabs>
                <w:tab w:pos="812" w:val="left" w:leader="none"/>
              </w:tabs>
              <w:spacing w:line="240" w:lineRule="auto" w:before="0" w:after="0"/>
              <w:ind w:left="280" w:right="104" w:hanging="141"/>
              <w:jc w:val="both"/>
              <w:rPr>
                <w:sz w:val="20"/>
              </w:rPr>
            </w:pPr>
            <w:r>
              <w:rPr>
                <w:sz w:val="20"/>
              </w:rPr>
              <w:t>Existe la posibilidad de planeación ambiental con articulación entre</w:t>
            </w:r>
            <w:r>
              <w:rPr>
                <w:spacing w:val="-11"/>
                <w:sz w:val="20"/>
              </w:rPr>
              <w:t> </w:t>
            </w:r>
            <w:r>
              <w:rPr>
                <w:sz w:val="20"/>
              </w:rPr>
              <w:t>actores</w:t>
            </w:r>
          </w:p>
        </w:tc>
        <w:tc>
          <w:tcPr>
            <w:tcW w:w="1481" w:type="dxa"/>
            <w:vMerge w:val="restart"/>
          </w:tcPr>
          <w:p>
            <w:pPr/>
          </w:p>
        </w:tc>
        <w:tc>
          <w:tcPr>
            <w:tcW w:w="2482" w:type="dxa"/>
            <w:vMerge w:val="restart"/>
          </w:tcPr>
          <w:p>
            <w:pPr>
              <w:pStyle w:val="TableParagraph"/>
              <w:ind w:right="104"/>
              <w:jc w:val="both"/>
              <w:rPr>
                <w:sz w:val="20"/>
              </w:rPr>
            </w:pPr>
            <w:r>
              <w:rPr>
                <w:sz w:val="20"/>
              </w:rPr>
              <w:t>No reúne ni el 50% en </w:t>
            </w:r>
            <w:r>
              <w:rPr>
                <w:b/>
                <w:sz w:val="20"/>
              </w:rPr>
              <w:t>ninguna </w:t>
            </w:r>
            <w:r>
              <w:rPr>
                <w:sz w:val="20"/>
              </w:rPr>
              <w:t>de las de impacto positivo</w:t>
            </w:r>
          </w:p>
        </w:tc>
        <w:tc>
          <w:tcPr>
            <w:tcW w:w="1630"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312"/>
              <w:rPr>
                <w:b/>
                <w:sz w:val="20"/>
              </w:rPr>
            </w:pPr>
            <w:r>
              <w:rPr>
                <w:b/>
                <w:sz w:val="20"/>
              </w:rPr>
              <w:t>Deficiente</w:t>
            </w:r>
          </w:p>
        </w:tc>
      </w:tr>
      <w:tr>
        <w:trPr>
          <w:trHeight w:val="1621"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28" w:lineRule="exact"/>
              <w:rPr>
                <w:sz w:val="20"/>
              </w:rPr>
            </w:pPr>
            <w:r>
              <w:rPr>
                <w:sz w:val="20"/>
              </w:rPr>
              <w:t>Económico</w:t>
            </w:r>
          </w:p>
        </w:tc>
        <w:tc>
          <w:tcPr>
            <w:tcW w:w="3031" w:type="dxa"/>
          </w:tcPr>
          <w:p>
            <w:pPr>
              <w:pStyle w:val="TableParagraph"/>
              <w:numPr>
                <w:ilvl w:val="0"/>
                <w:numId w:val="308"/>
              </w:numPr>
              <w:tabs>
                <w:tab w:pos="812" w:val="left" w:leader="none"/>
              </w:tabs>
              <w:spacing w:line="240" w:lineRule="auto" w:before="0" w:after="0"/>
              <w:ind w:left="280" w:right="104" w:hanging="141"/>
              <w:jc w:val="both"/>
              <w:rPr>
                <w:sz w:val="20"/>
              </w:rPr>
            </w:pPr>
            <w:r>
              <w:rPr>
                <w:sz w:val="20"/>
              </w:rPr>
              <w:t>Existe la posibilidad de una redistribución equitativa de los recursos naturales de la</w:t>
            </w:r>
            <w:r>
              <w:rPr>
                <w:spacing w:val="-5"/>
                <w:sz w:val="20"/>
              </w:rPr>
              <w:t> </w:t>
            </w:r>
            <w:r>
              <w:rPr>
                <w:sz w:val="20"/>
              </w:rPr>
              <w:t>CHPH</w:t>
            </w:r>
          </w:p>
          <w:p>
            <w:pPr>
              <w:pStyle w:val="TableParagraph"/>
              <w:numPr>
                <w:ilvl w:val="0"/>
                <w:numId w:val="308"/>
              </w:numPr>
              <w:tabs>
                <w:tab w:pos="812" w:val="left" w:leader="none"/>
                <w:tab w:pos="1947" w:val="left" w:leader="none"/>
              </w:tabs>
              <w:spacing w:line="240" w:lineRule="auto" w:before="0" w:after="0"/>
              <w:ind w:left="280" w:right="103" w:hanging="141"/>
              <w:jc w:val="both"/>
              <w:rPr>
                <w:sz w:val="20"/>
              </w:rPr>
            </w:pPr>
            <w:r>
              <w:rPr>
                <w:sz w:val="20"/>
              </w:rPr>
              <w:t>Existe posibilidad de un crecimiento</w:t>
              <w:tab/>
              <w:t>económico equilibrado en la</w:t>
            </w:r>
            <w:r>
              <w:rPr>
                <w:spacing w:val="-9"/>
                <w:sz w:val="20"/>
              </w:rPr>
              <w:t> </w:t>
            </w:r>
            <w:r>
              <w:rPr>
                <w:sz w:val="20"/>
              </w:rPr>
              <w:t>CHPH.</w:t>
            </w:r>
          </w:p>
        </w:tc>
        <w:tc>
          <w:tcPr>
            <w:tcW w:w="1481" w:type="dxa"/>
            <w:vMerge/>
          </w:tcPr>
          <w:p>
            <w:pPr/>
          </w:p>
        </w:tc>
        <w:tc>
          <w:tcPr>
            <w:tcW w:w="2482" w:type="dxa"/>
            <w:vMerge/>
          </w:tcPr>
          <w:p>
            <w:pPr/>
          </w:p>
        </w:tc>
        <w:tc>
          <w:tcPr>
            <w:tcW w:w="1630" w:type="dxa"/>
            <w:vMerge/>
            <w:tcBorders>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94"/>
        <w:gridCol w:w="1349"/>
        <w:gridCol w:w="3031"/>
        <w:gridCol w:w="1481"/>
        <w:gridCol w:w="2482"/>
        <w:gridCol w:w="1630"/>
      </w:tblGrid>
      <w:tr>
        <w:trPr>
          <w:trHeight w:val="710" w:hRule="exact"/>
        </w:trPr>
        <w:tc>
          <w:tcPr>
            <w:tcW w:w="954" w:type="dxa"/>
            <w:vMerge w:val="restart"/>
            <w:tcBorders>
              <w:left w:val="double" w:sz="11" w:space="0" w:color="000000"/>
            </w:tcBorders>
          </w:tcPr>
          <w:p>
            <w:pPr/>
          </w:p>
        </w:tc>
        <w:tc>
          <w:tcPr>
            <w:tcW w:w="1894" w:type="dxa"/>
            <w:vMerge w:val="restart"/>
          </w:tcPr>
          <w:p>
            <w:pPr/>
          </w:p>
        </w:tc>
        <w:tc>
          <w:tcPr>
            <w:tcW w:w="1349" w:type="dxa"/>
          </w:tcPr>
          <w:p>
            <w:pPr/>
          </w:p>
        </w:tc>
        <w:tc>
          <w:tcPr>
            <w:tcW w:w="3031" w:type="dxa"/>
          </w:tcPr>
          <w:p>
            <w:pPr>
              <w:pStyle w:val="TableParagraph"/>
              <w:numPr>
                <w:ilvl w:val="0"/>
                <w:numId w:val="309"/>
              </w:numPr>
              <w:tabs>
                <w:tab w:pos="812" w:val="left" w:leader="none"/>
              </w:tabs>
              <w:spacing w:line="240" w:lineRule="auto" w:before="7" w:after="0"/>
              <w:ind w:left="280" w:right="104" w:hanging="141"/>
              <w:jc w:val="both"/>
              <w:rPr>
                <w:sz w:val="20"/>
              </w:rPr>
            </w:pPr>
            <w:r>
              <w:rPr>
                <w:sz w:val="20"/>
              </w:rPr>
              <w:t>Existe posibilidad de planeación económica con articulación entre</w:t>
            </w:r>
            <w:r>
              <w:rPr>
                <w:spacing w:val="-11"/>
                <w:sz w:val="20"/>
              </w:rPr>
              <w:t> </w:t>
            </w:r>
            <w:r>
              <w:rPr>
                <w:sz w:val="20"/>
              </w:rPr>
              <w:t>actores</w:t>
            </w:r>
          </w:p>
        </w:tc>
        <w:tc>
          <w:tcPr>
            <w:tcW w:w="1481" w:type="dxa"/>
            <w:vMerge w:val="restart"/>
          </w:tcPr>
          <w:p>
            <w:pPr/>
          </w:p>
        </w:tc>
        <w:tc>
          <w:tcPr>
            <w:tcW w:w="2482" w:type="dxa"/>
            <w:vMerge w:val="restart"/>
          </w:tcPr>
          <w:p>
            <w:pPr/>
          </w:p>
        </w:tc>
        <w:tc>
          <w:tcPr>
            <w:tcW w:w="1630" w:type="dxa"/>
            <w:vMerge w:val="restart"/>
            <w:tcBorders>
              <w:right w:val="double" w:sz="12" w:space="0" w:color="000000"/>
            </w:tcBorders>
            <w:shd w:val="clear" w:color="auto" w:fill="FF0000"/>
          </w:tcPr>
          <w:p>
            <w:pPr/>
          </w:p>
        </w:tc>
      </w:tr>
      <w:tr>
        <w:trPr>
          <w:trHeight w:val="3229" w:hRule="exact"/>
        </w:trPr>
        <w:tc>
          <w:tcPr>
            <w:tcW w:w="954" w:type="dxa"/>
            <w:vMerge/>
            <w:tcBorders>
              <w:left w:val="double" w:sz="11" w:space="0" w:color="000000"/>
            </w:tcBorders>
          </w:tcPr>
          <w:p>
            <w:pPr/>
          </w:p>
        </w:tc>
        <w:tc>
          <w:tcPr>
            <w:tcW w:w="1894" w:type="dxa"/>
            <w:vMerge/>
          </w:tcPr>
          <w:p>
            <w:pPr/>
          </w:p>
        </w:tc>
        <w:tc>
          <w:tcPr>
            <w:tcW w:w="1349" w:type="dxa"/>
          </w:tcPr>
          <w:p>
            <w:pPr>
              <w:pStyle w:val="TableParagraph"/>
              <w:spacing w:line="227" w:lineRule="exact"/>
              <w:rPr>
                <w:sz w:val="20"/>
              </w:rPr>
            </w:pPr>
            <w:r>
              <w:rPr>
                <w:sz w:val="20"/>
              </w:rPr>
              <w:t>Sociopolítico</w:t>
            </w:r>
          </w:p>
        </w:tc>
        <w:tc>
          <w:tcPr>
            <w:tcW w:w="3031" w:type="dxa"/>
          </w:tcPr>
          <w:p>
            <w:pPr>
              <w:pStyle w:val="TableParagraph"/>
              <w:ind w:left="280" w:right="102" w:hanging="178"/>
              <w:jc w:val="both"/>
              <w:rPr>
                <w:sz w:val="20"/>
              </w:rPr>
            </w:pPr>
            <w:r>
              <w:rPr>
                <w:rFonts w:ascii="Wingdings" w:hAnsi="Wingdings"/>
                <w:spacing w:val="2"/>
                <w:sz w:val="20"/>
              </w:rPr>
              <w:t></w:t>
            </w:r>
            <w:r>
              <w:rPr>
                <w:spacing w:val="2"/>
                <w:sz w:val="20"/>
              </w:rPr>
              <w:t>Favorece </w:t>
            </w:r>
            <w:r>
              <w:rPr>
                <w:sz w:val="20"/>
              </w:rPr>
              <w:t>la organización sociopolítica de los actores  de la CHPH mediante la participación</w:t>
            </w:r>
            <w:r>
              <w:rPr>
                <w:spacing w:val="-7"/>
                <w:sz w:val="20"/>
              </w:rPr>
              <w:t> </w:t>
            </w:r>
            <w:r>
              <w:rPr>
                <w:sz w:val="20"/>
              </w:rPr>
              <w:t>social</w:t>
            </w:r>
          </w:p>
          <w:p>
            <w:pPr>
              <w:pStyle w:val="TableParagraph"/>
              <w:ind w:left="280" w:right="103" w:hanging="178"/>
              <w:jc w:val="both"/>
              <w:rPr>
                <w:sz w:val="20"/>
              </w:rPr>
            </w:pPr>
            <w:r>
              <w:rPr>
                <w:rFonts w:ascii="Wingdings" w:hAnsi="Wingdings"/>
                <w:sz w:val="20"/>
              </w:rPr>
              <w:t></w:t>
            </w:r>
            <w:r>
              <w:rPr>
                <w:sz w:val="20"/>
              </w:rPr>
              <w:t>Favorece la articulación entre actores para atender problemas comunes de la CHPH</w:t>
            </w:r>
          </w:p>
          <w:p>
            <w:pPr>
              <w:pStyle w:val="TableParagraph"/>
              <w:spacing w:line="228" w:lineRule="exact"/>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ind w:left="280" w:right="103" w:hanging="178"/>
              <w:jc w:val="both"/>
              <w:rPr>
                <w:sz w:val="20"/>
              </w:rPr>
            </w:pPr>
            <w:r>
              <w:rPr>
                <w:rFonts w:ascii="Wingdings" w:hAnsi="Wingdings"/>
                <w:sz w:val="20"/>
              </w:rPr>
              <w:t></w:t>
            </w:r>
            <w:r>
              <w:rPr>
                <w:sz w:val="20"/>
              </w:rPr>
              <w:t>Favorece la planeación sociopolítica con articulación entre actores</w:t>
            </w:r>
          </w:p>
        </w:tc>
        <w:tc>
          <w:tcPr>
            <w:tcW w:w="1481" w:type="dxa"/>
            <w:vMerge/>
          </w:tcPr>
          <w:p>
            <w:pPr/>
          </w:p>
        </w:tc>
        <w:tc>
          <w:tcPr>
            <w:tcW w:w="2482" w:type="dxa"/>
            <w:vMerge/>
          </w:tcPr>
          <w:p>
            <w:pPr/>
          </w:p>
        </w:tc>
        <w:tc>
          <w:tcPr>
            <w:tcW w:w="1630" w:type="dxa"/>
            <w:vMerge/>
            <w:tcBorders>
              <w:right w:val="double" w:sz="12" w:space="0" w:color="000000"/>
            </w:tcBorders>
            <w:shd w:val="clear" w:color="auto" w:fill="FF0000"/>
          </w:tcPr>
          <w:p>
            <w:pPr/>
          </w:p>
        </w:tc>
      </w:tr>
      <w:tr>
        <w:trPr>
          <w:trHeight w:val="4818" w:hRule="exact"/>
        </w:trPr>
        <w:tc>
          <w:tcPr>
            <w:tcW w:w="12822" w:type="dxa"/>
            <w:gridSpan w:val="7"/>
          </w:tcPr>
          <w:p>
            <w:pPr>
              <w:pStyle w:val="TableParagraph"/>
              <w:spacing w:line="248" w:lineRule="exact"/>
              <w:ind w:left="2043" w:right="57"/>
              <w:rPr>
                <w:sz w:val="22"/>
              </w:rPr>
            </w:pPr>
            <w:r>
              <w:rPr>
                <w:b/>
                <w:sz w:val="22"/>
              </w:rPr>
              <w:t>Fuente: </w:t>
            </w:r>
            <w:r>
              <w:rPr>
                <w:sz w:val="22"/>
              </w:rPr>
              <w:t>elaboración propia con base en trabajo de campo y gabinete García, 2013-2015.</w:t>
            </w:r>
          </w:p>
          <w:p>
            <w:pPr>
              <w:pStyle w:val="TableParagraph"/>
              <w:ind w:left="0"/>
              <w:rPr>
                <w:rFonts w:ascii="Times New Roman"/>
                <w:sz w:val="22"/>
              </w:rPr>
            </w:pPr>
          </w:p>
          <w:p>
            <w:pPr>
              <w:pStyle w:val="TableParagraph"/>
              <w:ind w:left="27"/>
              <w:jc w:val="both"/>
              <w:rPr>
                <w:b/>
                <w:sz w:val="22"/>
              </w:rPr>
            </w:pPr>
            <w:r>
              <w:rPr>
                <w:b/>
                <w:sz w:val="22"/>
              </w:rPr>
              <w:t>Interpretación de la anterior gráfica y la tarjeta de valoración:</w:t>
            </w:r>
          </w:p>
          <w:p>
            <w:pPr>
              <w:pStyle w:val="TableParagraph"/>
              <w:numPr>
                <w:ilvl w:val="0"/>
                <w:numId w:val="310"/>
              </w:numPr>
              <w:tabs>
                <w:tab w:pos="170" w:val="left" w:leader="none"/>
              </w:tabs>
              <w:spacing w:line="240" w:lineRule="auto" w:before="4" w:after="0"/>
              <w:ind w:left="27" w:right="24" w:firstLine="0"/>
              <w:jc w:val="both"/>
              <w:rPr>
                <w:sz w:val="22"/>
              </w:rPr>
            </w:pPr>
            <w:r>
              <w:rPr>
                <w:sz w:val="22"/>
              </w:rPr>
              <w:t>En 1400, época prehispánica, la Cuenca pertenecía a la provincia política del Señorío de Xilotepec. Estaba poblada por otomíes principalmente, divididos en clases sociales. Su base económica estaba apoyada principalmente en el uso intensivo de un cuerpo de agua utilizado para el riego (ese antiguo cuerpo de agua daría posteriormente lugar a la presa Huapango y a la presa Huaracha). Debido a esa intensidad del uso del agua, dicha provincia y Señorío de Xilotepec, adquirió una importancia política, religiosa y económica hasta convertirse en un importante Estado prehispánico con centro ceremonial y religioso llamado Jilotepec, con un gran impacto en lo ambiental, sociopolítico y</w:t>
            </w:r>
            <w:r>
              <w:rPr>
                <w:spacing w:val="-15"/>
                <w:sz w:val="22"/>
              </w:rPr>
              <w:t> </w:t>
            </w:r>
            <w:r>
              <w:rPr>
                <w:sz w:val="22"/>
              </w:rPr>
              <w:t>económico.</w:t>
            </w:r>
          </w:p>
          <w:p>
            <w:pPr>
              <w:pStyle w:val="TableParagraph"/>
              <w:numPr>
                <w:ilvl w:val="0"/>
                <w:numId w:val="310"/>
              </w:numPr>
              <w:tabs>
                <w:tab w:pos="165" w:val="left" w:leader="none"/>
              </w:tabs>
              <w:spacing w:line="240" w:lineRule="auto" w:before="0" w:after="0"/>
              <w:ind w:left="27" w:right="25" w:firstLine="0"/>
              <w:jc w:val="both"/>
              <w:rPr>
                <w:sz w:val="22"/>
              </w:rPr>
            </w:pPr>
            <w:r>
              <w:rPr>
                <w:sz w:val="22"/>
              </w:rPr>
              <w:t>En 1519, dicha región fue visitada por primera vez por los españoles; pero fue a mediados de la década de 1520 que la provincia de Xilotepec fue dominada en la parte sur por los españoles, y en 1533 se le asignó el territorio como  Encomienda,  al conquistador Juan Jaramillo de Salvatierra (esposo de la Malinche). En este período, el dominio de los españoles era parcial, por lo que se puede considerar una época buena</w:t>
            </w:r>
            <w:r>
              <w:rPr>
                <w:spacing w:val="-13"/>
                <w:sz w:val="22"/>
              </w:rPr>
              <w:t> </w:t>
            </w:r>
            <w:r>
              <w:rPr>
                <w:sz w:val="22"/>
              </w:rPr>
              <w:t>todavía.</w:t>
            </w:r>
          </w:p>
          <w:p>
            <w:pPr>
              <w:pStyle w:val="TableParagraph"/>
              <w:numPr>
                <w:ilvl w:val="0"/>
                <w:numId w:val="310"/>
              </w:numPr>
              <w:tabs>
                <w:tab w:pos="294" w:val="left" w:leader="none"/>
              </w:tabs>
              <w:spacing w:line="240" w:lineRule="auto" w:before="2" w:after="0"/>
              <w:ind w:left="27" w:right="22" w:firstLine="63"/>
              <w:jc w:val="both"/>
              <w:rPr>
                <w:sz w:val="22"/>
              </w:rPr>
            </w:pPr>
            <w:r>
              <w:rPr>
                <w:sz w:val="22"/>
              </w:rPr>
              <w:t>Hacia el año 1580, con la dominación española, la encomienda de la provincia de Xilotepec se conformó política y económicamente en territorio de haciendas de ganado mayor y menor, en las que trabajaba un número creciente de españoles y mulatos. Así que para el año de 1794, ya existían 25 haciendas y 95 ranchos ganaderos y productores de leche. En este período hubo impacto económico y político, pero sobre todo, los derechos civiles de los trabajadores nativos eran precarios, porque existía concentración de la tierra y sobreexplotación de su labor a través de las tiendas de raya, por lo que se considera un período regular.</w:t>
            </w:r>
          </w:p>
        </w:tc>
      </w:tr>
    </w:tbl>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28288"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ListParagraph"/>
        <w:numPr>
          <w:ilvl w:val="0"/>
          <w:numId w:val="121"/>
        </w:numPr>
        <w:tabs>
          <w:tab w:pos="348" w:val="left" w:leader="none"/>
        </w:tabs>
        <w:spacing w:line="240" w:lineRule="auto" w:before="72" w:after="0"/>
        <w:ind w:left="180" w:right="398" w:firstLine="0"/>
        <w:jc w:val="both"/>
        <w:rPr>
          <w:sz w:val="22"/>
        </w:rPr>
      </w:pPr>
      <w:r>
        <w:rPr>
          <w:sz w:val="22"/>
        </w:rPr>
        <w:t>Hacia 1785-1788, los religiosos franciscanos que ya estaban en la región y que también eran dueños de ranchos y tierras, decidieron construir sobre el antiguo lago prehispánico, una presa de gran tamaño, capaz de regar tierras para el cultivo, y dar sostenimiento a miles de cabezas de ganado mayor. Dicho cuerpo de agua se conoció como presa o laguna de Huapango, uno  de los cuerpos de agua artificial más grandes del centro del país, y origen de la actual cuenca lechera más importante del Estado de México. En esta época subió el impacto económico, político y social de la región al aumentar el uso de los recursos de la CHPH, principalmente el agua, por lo que se considera un período</w:t>
      </w:r>
      <w:r>
        <w:rPr>
          <w:spacing w:val="-22"/>
          <w:sz w:val="22"/>
        </w:rPr>
        <w:t> </w:t>
      </w:r>
      <w:r>
        <w:rPr>
          <w:sz w:val="22"/>
        </w:rPr>
        <w:t>regular.</w:t>
      </w:r>
    </w:p>
    <w:p>
      <w:pPr>
        <w:pStyle w:val="ListParagraph"/>
        <w:numPr>
          <w:ilvl w:val="0"/>
          <w:numId w:val="121"/>
        </w:numPr>
        <w:tabs>
          <w:tab w:pos="320" w:val="left" w:leader="none"/>
        </w:tabs>
        <w:spacing w:line="240" w:lineRule="auto" w:before="0" w:after="0"/>
        <w:ind w:left="180" w:right="408" w:firstLine="0"/>
        <w:jc w:val="both"/>
        <w:rPr>
          <w:sz w:val="22"/>
        </w:rPr>
      </w:pPr>
      <w:r>
        <w:rPr>
          <w:sz w:val="22"/>
        </w:rPr>
        <w:t>En 1810 inició la independencia de la antigua Nueva España, hoy México. Esta fecha tiene un gran impacto porque se considera el parteaguas de la lucha civil en la CHPH, para que se reconocieran mejores derechos sociopolíticos, económicos y ambientales de los ciudadanos de la antigua provincia de Xilotepec, por lo que se considera una época</w:t>
      </w:r>
      <w:r>
        <w:rPr>
          <w:spacing w:val="-24"/>
          <w:sz w:val="22"/>
        </w:rPr>
        <w:t> </w:t>
      </w:r>
      <w:r>
        <w:rPr>
          <w:sz w:val="22"/>
        </w:rPr>
        <w:t>regular.</w:t>
      </w:r>
    </w:p>
    <w:p>
      <w:pPr>
        <w:pStyle w:val="ListParagraph"/>
        <w:numPr>
          <w:ilvl w:val="0"/>
          <w:numId w:val="121"/>
        </w:numPr>
        <w:tabs>
          <w:tab w:pos="336" w:val="left" w:leader="none"/>
        </w:tabs>
        <w:spacing w:line="240" w:lineRule="auto" w:before="1" w:after="0"/>
        <w:ind w:left="180" w:right="397" w:firstLine="0"/>
        <w:jc w:val="both"/>
        <w:rPr>
          <w:sz w:val="22"/>
        </w:rPr>
      </w:pPr>
      <w:r>
        <w:rPr>
          <w:sz w:val="22"/>
        </w:rPr>
        <w:t>Aunque el municipio en México tiene sus orígenes en la época prehispánica con los </w:t>
      </w:r>
      <w:r>
        <w:rPr>
          <w:i/>
          <w:sz w:val="22"/>
        </w:rPr>
        <w:t>Tlahtocayos</w:t>
      </w:r>
      <w:r>
        <w:rPr>
          <w:sz w:val="22"/>
        </w:rPr>
        <w:t>, fue hasta la Constitución de Cádiz de 1812, que se constituyó formalmente; este evento histórico socio político, permitió que se formaran e instituyeran </w:t>
      </w:r>
      <w:r>
        <w:rPr>
          <w:spacing w:val="3"/>
          <w:sz w:val="22"/>
        </w:rPr>
        <w:t>los </w:t>
      </w:r>
      <w:r>
        <w:rPr>
          <w:sz w:val="22"/>
        </w:rPr>
        <w:t>actuales municipios de la CHPH, siendo el primero en 1861 por decreto No. 27 la Villa de Jilotepec. Sin embargo dicha institución surge con una serie de limitaciones importantes que repercuten hasta la fecha, entre las principales deficiencias está la administración de solo algunos servicios públicos, donde no se cuenta ni estipula su competencia jurídica en torno a la protección del medio ambiente, y menos en conjunto con los municipios vecinos. Estas deficiencias siguen afectando las decisiones sociopolíticas de la Cuenca (a pesar de las reformas al artículo 115); el municipio sigue estando supeditado al sistema federal y estatal, lo cual no le permite tener la “autonomía y soberanía” que se estipula en la Constitución para su territorio, población y gobierno, por lo que el municipio desde su origen, tiene problemas en sus facultades políticas-sociales, atribuciones limitadas que tienen un gran impacto sociopolítico, económico y ambiental como institución, que afectan directamente al agua y a sus habitantes de la  Cuenca, por lo que se considera un período</w:t>
      </w:r>
      <w:r>
        <w:rPr>
          <w:spacing w:val="-17"/>
          <w:sz w:val="22"/>
        </w:rPr>
        <w:t> </w:t>
      </w:r>
      <w:r>
        <w:rPr>
          <w:sz w:val="22"/>
        </w:rPr>
        <w:t>regular.</w:t>
      </w:r>
    </w:p>
    <w:p>
      <w:pPr>
        <w:pStyle w:val="ListParagraph"/>
        <w:numPr>
          <w:ilvl w:val="0"/>
          <w:numId w:val="121"/>
        </w:numPr>
        <w:tabs>
          <w:tab w:pos="332" w:val="left" w:leader="none"/>
        </w:tabs>
        <w:spacing w:line="240" w:lineRule="auto" w:before="0" w:after="0"/>
        <w:ind w:left="180" w:right="396" w:firstLine="0"/>
        <w:jc w:val="both"/>
        <w:rPr>
          <w:sz w:val="22"/>
        </w:rPr>
      </w:pPr>
      <w:r>
        <w:rPr>
          <w:sz w:val="22"/>
        </w:rPr>
        <w:t>En 1910, inicio la revolución mexicana que tuvo varias causas, entre ellas, la dictadura en la presidencia de la República, pero sobre todo, fueron los grandes latifundios que provocaron la decadencia de la agricultura, ya </w:t>
      </w:r>
      <w:r>
        <w:rPr>
          <w:spacing w:val="2"/>
          <w:sz w:val="22"/>
        </w:rPr>
        <w:t>que </w:t>
      </w:r>
      <w:r>
        <w:rPr>
          <w:sz w:val="22"/>
        </w:rPr>
        <w:t>el territorio nacional era propiedad de tan sólo 840 familias de hacendados, donde los abusos de esclavitud contra el campesinado y los obreros, limitaron el desarrollo agrícola y social de los actores. Dichas injusticias sociales provocaron la demanda </w:t>
      </w:r>
      <w:r>
        <w:rPr>
          <w:spacing w:val="3"/>
          <w:sz w:val="22"/>
        </w:rPr>
        <w:t>de </w:t>
      </w:r>
      <w:r>
        <w:rPr>
          <w:sz w:val="22"/>
        </w:rPr>
        <w:t>derechos civiles, por lo que dichas peticiones se plasmaron en la Constitución de 1917, como el derecho a la tierra y el acceso a los recursos naturales. Sin embargo, estos derechos fueron abusados por nuevos actores, lo que ocasionó la sobreexplotación de los recursos naturales, sobre todo bosques y aguas, provocando nuevas desigualdades sociopolíticas, por lo que ésta época tiene un gran impacto en lo social, económico y ambiental de la Cuenca, por lo que se considera una época</w:t>
      </w:r>
      <w:r>
        <w:rPr>
          <w:spacing w:val="-22"/>
          <w:sz w:val="22"/>
        </w:rPr>
        <w:t> </w:t>
      </w:r>
      <w:r>
        <w:rPr>
          <w:sz w:val="22"/>
        </w:rPr>
        <w:t>regular.</w:t>
      </w:r>
    </w:p>
    <w:p>
      <w:pPr>
        <w:pStyle w:val="ListParagraph"/>
        <w:numPr>
          <w:ilvl w:val="0"/>
          <w:numId w:val="121"/>
        </w:numPr>
        <w:tabs>
          <w:tab w:pos="341" w:val="left" w:leader="none"/>
        </w:tabs>
        <w:spacing w:line="240" w:lineRule="auto" w:before="0" w:after="0"/>
        <w:ind w:left="180" w:right="399" w:firstLine="0"/>
        <w:jc w:val="both"/>
        <w:rPr>
          <w:sz w:val="22"/>
        </w:rPr>
      </w:pPr>
      <w:r>
        <w:rPr>
          <w:sz w:val="22"/>
        </w:rPr>
        <w:t>Desde la Revolución Mexicana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del </w:t>
      </w:r>
      <w:r>
        <w:rPr>
          <w:spacing w:val="-2"/>
          <w:sz w:val="22"/>
        </w:rPr>
        <w:t>Río </w:t>
      </w:r>
      <w:r>
        <w:rPr>
          <w:sz w:val="22"/>
        </w:rPr>
        <w:t>(1936-1940)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w:t>
      </w:r>
      <w:r>
        <w:rPr>
          <w:spacing w:val="-26"/>
          <w:sz w:val="22"/>
        </w:rPr>
        <w:t> </w:t>
      </w:r>
      <w:r>
        <w:rPr>
          <w:sz w:val="22"/>
        </w:rPr>
        <w:t>casi</w:t>
      </w:r>
    </w:p>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6335" w:hRule="exact"/>
        </w:trPr>
        <w:tc>
          <w:tcPr>
            <w:tcW w:w="12897" w:type="dxa"/>
          </w:tcPr>
          <w:p>
            <w:pPr>
              <w:pStyle w:val="TableParagraph"/>
              <w:ind w:left="64" w:right="60"/>
              <w:jc w:val="both"/>
              <w:rPr>
                <w:sz w:val="22"/>
              </w:rPr>
            </w:pPr>
            <w:r>
              <w:rPr>
                <w:sz w:val="22"/>
              </w:rPr>
              <w:t>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w:t>
            </w:r>
            <w:r>
              <w:rPr>
                <w:spacing w:val="2"/>
                <w:sz w:val="22"/>
              </w:rPr>
              <w:t>los </w:t>
            </w:r>
            <w:r>
              <w:rPr>
                <w:sz w:val="22"/>
              </w:rPr>
              <w:t>bosques, etc.) que aún no se pueden resolver, teniendo esto un impacto regular en lo sociopolítico, económico y</w:t>
            </w:r>
            <w:r>
              <w:rPr>
                <w:spacing w:val="-33"/>
                <w:sz w:val="22"/>
              </w:rPr>
              <w:t> </w:t>
            </w:r>
            <w:r>
              <w:rPr>
                <w:sz w:val="22"/>
              </w:rPr>
              <w:t>ambiental.</w:t>
            </w:r>
          </w:p>
          <w:p>
            <w:pPr>
              <w:pStyle w:val="TableParagraph"/>
              <w:numPr>
                <w:ilvl w:val="0"/>
                <w:numId w:val="311"/>
              </w:numPr>
              <w:tabs>
                <w:tab w:pos="212" w:val="left" w:leader="none"/>
              </w:tabs>
              <w:spacing w:line="240" w:lineRule="auto" w:before="0" w:after="0"/>
              <w:ind w:left="64" w:right="62" w:firstLine="0"/>
              <w:jc w:val="both"/>
              <w:rPr>
                <w:sz w:val="22"/>
              </w:rPr>
            </w:pPr>
            <w:r>
              <w:rPr>
                <w:sz w:val="22"/>
              </w:rPr>
              <w:t>En 1982, el primer presidente neoliberal, Miguel de la Madrid, comienza la internacionalización del libre mercado, con lo que se da pie al nuevo sistema económico y político social, que promueve la intervención mínima del Estado y el libre juego de la  apertura del mercado. Dicha corriente fomenta el consumo de los recursos naturales, así como las prácticas de producción altamente contaminantes, ya que las multinacionales extienden su poder económico hacia las regiones de los países menos desarrollados, generando crisis ambientales locales y regionales, que acrecientan la de carácter global. La CHPH no es la excepción, el consumo de los recursos naturales (agua) está siendo voraz; y el deterioro ambiental por la generación de servicios (construcción de autopista Arco Norte) obedece a intereses económicos ajenos a los actores históricos, y han dejado a la región en una práctica vulnerabilidad socio-ambiental, por lo que esta época tuvo un impacto regular en lo sociopolítico, económico y ambiental.</w:t>
            </w:r>
          </w:p>
          <w:p>
            <w:pPr>
              <w:pStyle w:val="TableParagraph"/>
              <w:numPr>
                <w:ilvl w:val="0"/>
                <w:numId w:val="311"/>
              </w:numPr>
              <w:tabs>
                <w:tab w:pos="209" w:val="left" w:leader="none"/>
              </w:tabs>
              <w:spacing w:line="240" w:lineRule="auto" w:before="1" w:after="0"/>
              <w:ind w:left="64" w:right="62" w:firstLine="0"/>
              <w:jc w:val="both"/>
              <w:rPr>
                <w:sz w:val="22"/>
              </w:rPr>
            </w:pPr>
            <w:r>
              <w:rPr>
                <w:sz w:val="22"/>
              </w:rPr>
              <w:t>Actualmente, en el año 2016, la CHPH se encuentra en franco deterioro, debido a la suma de los costos ambientales y sociales de los anteriores acontecimientos, lo que ha dado pie a que la actual política neoliberal, refuerce el reparto inequitativo de los recursos para favorecer intereses políticos y económicos de los actores más poderosos de la región. La utilización para legalizar tales inequidades es a través de las instituciones gubernamentales, como la Conagua y la Semanat, con la aplicación de una serie de incongruencias en la región como el reparto inequitativo de los recursos (agua), y ha generado hoy como en el pasado, conflictos, que sólo pueden solucionarse a través de una visión GIRH, donde se tomen acuerdos sociopolíticos, económicos y ambientales en base a los actores históricos, ya que son éstos actores los que ostentan identidad y territorialidad, que ahora puede ser utilizada para revertir los daños a través de la GIRH, mediante la gobernanza y la gobernabilidad, generando acuerdos democráticos con impacto positivo en los ámbitos sociopolítico, económico y ambiental, con la propuesta de conformación de un Comité Intermunicipal con su reglamento para que los actores históricos de los municipios de la Cuenca atiendan su problemática común, por lo que se considera un período</w:t>
            </w:r>
            <w:r>
              <w:rPr>
                <w:spacing w:val="-13"/>
                <w:sz w:val="22"/>
              </w:rPr>
              <w:t> </w:t>
            </w:r>
            <w:r>
              <w:rPr>
                <w:sz w:val="22"/>
              </w:rPr>
              <w:t>regular.</w:t>
            </w:r>
          </w:p>
        </w:tc>
      </w:tr>
      <w:tr>
        <w:trPr>
          <w:trHeight w:val="341"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275" w:hRule="exact"/>
        </w:trPr>
        <w:tc>
          <w:tcPr>
            <w:tcW w:w="12897" w:type="dxa"/>
          </w:tcPr>
          <w:p>
            <w:pPr>
              <w:pStyle w:val="TableParagraph"/>
              <w:numPr>
                <w:ilvl w:val="0"/>
                <w:numId w:val="312"/>
              </w:numPr>
              <w:tabs>
                <w:tab w:pos="276" w:val="left" w:leader="none"/>
              </w:tabs>
              <w:spacing w:line="240" w:lineRule="auto" w:before="0" w:after="0"/>
              <w:ind w:left="103" w:right="104" w:firstLine="0"/>
              <w:jc w:val="both"/>
              <w:rPr>
                <w:sz w:val="22"/>
              </w:rPr>
            </w:pPr>
            <w:r>
              <w:rPr>
                <w:sz w:val="22"/>
              </w:rPr>
              <w:t>Permitió analizar el deseo de una participación equitativa de los actores históricos de la CHPH en el uso y disfrute de los recursos naturales para que no exista una concentración de riqueza en pocas manos y la distribución socioeconómica sea más igualitaria</w:t>
            </w:r>
          </w:p>
          <w:p>
            <w:pPr>
              <w:pStyle w:val="TableParagraph"/>
              <w:numPr>
                <w:ilvl w:val="0"/>
                <w:numId w:val="312"/>
              </w:numPr>
              <w:tabs>
                <w:tab w:pos="243" w:val="left" w:leader="none"/>
              </w:tabs>
              <w:spacing w:line="240" w:lineRule="auto" w:before="0" w:after="0"/>
              <w:ind w:left="103" w:right="100" w:firstLine="0"/>
              <w:jc w:val="both"/>
              <w:rPr>
                <w:sz w:val="22"/>
              </w:rPr>
            </w:pPr>
            <w:r>
              <w:rPr>
                <w:sz w:val="22"/>
              </w:rPr>
              <w:t>Sirvió de guía de explicación para la elaboración de la propuesta de creación de un Comité Intermunicipal con su reglamento en la</w:t>
            </w:r>
            <w:r>
              <w:rPr>
                <w:spacing w:val="-3"/>
                <w:sz w:val="22"/>
              </w:rPr>
              <w:t> </w:t>
            </w:r>
            <w:r>
              <w:rPr>
                <w:sz w:val="22"/>
              </w:rPr>
              <w:t>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338" w:hRule="exact"/>
        </w:trPr>
        <w:tc>
          <w:tcPr>
            <w:tcW w:w="12897" w:type="dxa"/>
          </w:tcPr>
          <w:p>
            <w:pPr>
              <w:pStyle w:val="TableParagraph"/>
              <w:spacing w:line="251" w:lineRule="exact"/>
              <w:ind w:right="163"/>
              <w:rPr>
                <w:sz w:val="22"/>
              </w:rPr>
            </w:pPr>
            <w:r>
              <w:rPr>
                <w:sz w:val="22"/>
              </w:rPr>
              <w:t>- La participación socioeconómica es un indicador afectado por la distribución inequitativa de la riqueza.</w:t>
            </w:r>
          </w:p>
        </w:tc>
      </w:tr>
    </w:tbl>
    <w:p>
      <w:pPr>
        <w:spacing w:after="0" w:line="251"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59"/>
        <w:gridCol w:w="284"/>
        <w:gridCol w:w="283"/>
        <w:gridCol w:w="850"/>
        <w:gridCol w:w="994"/>
        <w:gridCol w:w="708"/>
        <w:gridCol w:w="1731"/>
      </w:tblGrid>
      <w:tr>
        <w:trPr>
          <w:trHeight w:val="516" w:hRule="exact"/>
        </w:trPr>
        <w:tc>
          <w:tcPr>
            <w:tcW w:w="6347" w:type="dxa"/>
            <w:gridSpan w:val="6"/>
          </w:tcPr>
          <w:p>
            <w:pPr>
              <w:pStyle w:val="TableParagraph"/>
              <w:spacing w:line="248" w:lineRule="exact"/>
              <w:ind w:left="2616" w:right="2617"/>
              <w:jc w:val="center"/>
              <w:rPr>
                <w:b/>
                <w:sz w:val="22"/>
              </w:rPr>
            </w:pPr>
            <w:r>
              <w:rPr>
                <w:b/>
                <w:sz w:val="22"/>
              </w:rPr>
              <w:t>AEPA</w:t>
            </w:r>
          </w:p>
        </w:tc>
        <w:tc>
          <w:tcPr>
            <w:tcW w:w="2268" w:type="dxa"/>
            <w:gridSpan w:val="4"/>
          </w:tcPr>
          <w:p>
            <w:pPr>
              <w:pStyle w:val="TableParagraph"/>
              <w:spacing w:line="252" w:lineRule="exact"/>
              <w:ind w:left="506" w:right="371" w:hanging="118"/>
              <w:rPr>
                <w:b/>
                <w:sz w:val="22"/>
              </w:rPr>
            </w:pPr>
            <w:r>
              <w:rPr>
                <w:b/>
                <w:sz w:val="22"/>
              </w:rPr>
              <w:t>NOMBRE DEL INDICADOR</w:t>
            </w:r>
          </w:p>
        </w:tc>
        <w:tc>
          <w:tcPr>
            <w:tcW w:w="4282" w:type="dxa"/>
            <w:gridSpan w:val="4"/>
          </w:tcPr>
          <w:p>
            <w:pPr>
              <w:pStyle w:val="TableParagraph"/>
              <w:spacing w:line="248" w:lineRule="exact"/>
              <w:ind w:left="1560" w:right="1560"/>
              <w:jc w:val="center"/>
              <w:rPr>
                <w:b/>
                <w:sz w:val="22"/>
              </w:rPr>
            </w:pPr>
            <w:r>
              <w:rPr>
                <w:b/>
                <w:sz w:val="22"/>
              </w:rPr>
              <w:t>OBJETIVO</w:t>
            </w:r>
          </w:p>
        </w:tc>
      </w:tr>
      <w:tr>
        <w:trPr>
          <w:trHeight w:val="398" w:hRule="exact"/>
        </w:trPr>
        <w:tc>
          <w:tcPr>
            <w:tcW w:w="6347" w:type="dxa"/>
            <w:gridSpan w:val="6"/>
          </w:tcPr>
          <w:p>
            <w:pPr>
              <w:pStyle w:val="TableParagraph"/>
              <w:spacing w:line="248" w:lineRule="exact"/>
              <w:ind w:left="2616" w:right="2617"/>
              <w:jc w:val="center"/>
              <w:rPr>
                <w:b/>
                <w:sz w:val="22"/>
              </w:rPr>
            </w:pPr>
            <w:r>
              <w:rPr>
                <w:b/>
                <w:sz w:val="22"/>
              </w:rPr>
              <w:t>Ambiental</w:t>
            </w:r>
          </w:p>
        </w:tc>
        <w:tc>
          <w:tcPr>
            <w:tcW w:w="2268" w:type="dxa"/>
            <w:gridSpan w:val="4"/>
            <w:vMerge w:val="restart"/>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21"/>
              </w:rPr>
            </w:pPr>
          </w:p>
          <w:p>
            <w:pPr>
              <w:pStyle w:val="TableParagraph"/>
              <w:ind w:left="254" w:right="236" w:firstLine="292"/>
              <w:rPr>
                <w:b/>
                <w:sz w:val="22"/>
              </w:rPr>
            </w:pPr>
            <w:r>
              <w:rPr>
                <w:b/>
                <w:sz w:val="22"/>
              </w:rPr>
              <w:t>Relaciones intermunicipales</w:t>
            </w:r>
          </w:p>
        </w:tc>
        <w:tc>
          <w:tcPr>
            <w:tcW w:w="4282" w:type="dxa"/>
            <w:gridSpan w:val="4"/>
            <w:vMerge w:val="restart"/>
          </w:tcPr>
          <w:p>
            <w:pPr>
              <w:pStyle w:val="TableParagraph"/>
              <w:ind w:right="98"/>
              <w:jc w:val="both"/>
              <w:rPr>
                <w:b/>
                <w:sz w:val="22"/>
              </w:rPr>
            </w:pPr>
            <w:r>
              <w:rPr>
                <w:b/>
                <w:sz w:val="22"/>
              </w:rPr>
              <w:t>Señalar que los actores históricos de los municipios que integran la CHPH no tienen un mecanismo formal de interrelación, pero sí un informal para hacer frente a sus problemas socioeconómicos comunes mediante la compra-venta de materias primas y con los mercados y  tianguis regionales</w:t>
            </w:r>
          </w:p>
        </w:tc>
      </w:tr>
      <w:tr>
        <w:trPr>
          <w:trHeight w:val="1529"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2268" w:type="dxa"/>
            <w:gridSpan w:val="4"/>
            <w:vMerge/>
          </w:tcPr>
          <w:p>
            <w:pPr/>
          </w:p>
        </w:tc>
        <w:tc>
          <w:tcPr>
            <w:tcW w:w="4282" w:type="dxa"/>
            <w:gridSpan w:val="4"/>
            <w:vMerge/>
          </w:tcPr>
          <w:p>
            <w:pPr/>
          </w:p>
        </w:tc>
      </w:tr>
      <w:tr>
        <w:trPr>
          <w:trHeight w:val="396" w:hRule="exact"/>
        </w:trPr>
        <w:tc>
          <w:tcPr>
            <w:tcW w:w="2093" w:type="dxa"/>
            <w:gridSpan w:val="2"/>
          </w:tcPr>
          <w:p>
            <w:pPr>
              <w:pStyle w:val="TableParagraph"/>
              <w:spacing w:line="248" w:lineRule="exact"/>
              <w:ind w:left="367"/>
              <w:rPr>
                <w:b/>
                <w:sz w:val="22"/>
              </w:rPr>
            </w:pPr>
            <w:r>
              <w:rPr>
                <w:b/>
                <w:sz w:val="22"/>
              </w:rPr>
              <w:t>0.062/ 18.055</w:t>
            </w:r>
          </w:p>
        </w:tc>
        <w:tc>
          <w:tcPr>
            <w:tcW w:w="1985" w:type="dxa"/>
            <w:gridSpan w:val="2"/>
          </w:tcPr>
          <w:p>
            <w:pPr>
              <w:pStyle w:val="TableParagraph"/>
              <w:spacing w:line="248" w:lineRule="exact"/>
              <w:ind w:left="1" w:right="2"/>
              <w:jc w:val="center"/>
              <w:rPr>
                <w:b/>
                <w:sz w:val="22"/>
              </w:rPr>
            </w:pPr>
            <w:r>
              <w:rPr>
                <w:b/>
                <w:sz w:val="22"/>
              </w:rPr>
              <w:t>0.34%</w:t>
            </w:r>
          </w:p>
        </w:tc>
        <w:tc>
          <w:tcPr>
            <w:tcW w:w="2268" w:type="dxa"/>
            <w:gridSpan w:val="2"/>
          </w:tcPr>
          <w:p>
            <w:pPr>
              <w:pStyle w:val="TableParagraph"/>
              <w:spacing w:line="248" w:lineRule="exact"/>
              <w:ind w:left="136" w:right="136"/>
              <w:jc w:val="center"/>
              <w:rPr>
                <w:b/>
                <w:sz w:val="22"/>
              </w:rPr>
            </w:pPr>
            <w:r>
              <w:rPr>
                <w:b/>
                <w:sz w:val="22"/>
              </w:rPr>
              <w:t>16.813</w:t>
            </w:r>
          </w:p>
        </w:tc>
        <w:tc>
          <w:tcPr>
            <w:tcW w:w="2268" w:type="dxa"/>
            <w:gridSpan w:val="4"/>
            <w:vMerge/>
          </w:tcPr>
          <w:p>
            <w:pPr/>
          </w:p>
        </w:tc>
        <w:tc>
          <w:tcPr>
            <w:tcW w:w="4282" w:type="dxa"/>
            <w:gridSpan w:val="4"/>
            <w:vMerge/>
          </w:tcPr>
          <w:p>
            <w:pPr/>
          </w:p>
        </w:tc>
      </w:tr>
      <w:tr>
        <w:trPr>
          <w:trHeight w:val="264" w:hRule="exact"/>
        </w:trPr>
        <w:tc>
          <w:tcPr>
            <w:tcW w:w="2093" w:type="dxa"/>
            <w:gridSpan w:val="2"/>
          </w:tcPr>
          <w:p>
            <w:pPr>
              <w:pStyle w:val="TableParagraph"/>
              <w:spacing w:line="248" w:lineRule="exact"/>
              <w:ind w:left="0" w:right="1"/>
              <w:jc w:val="center"/>
              <w:rPr>
                <w:b/>
                <w:sz w:val="22"/>
              </w:rPr>
            </w:pPr>
            <w:r>
              <w:rPr>
                <w:b/>
                <w:w w:val="100"/>
                <w:sz w:val="22"/>
              </w:rPr>
              <w:t>1</w:t>
            </w:r>
          </w:p>
        </w:tc>
        <w:tc>
          <w:tcPr>
            <w:tcW w:w="1985" w:type="dxa"/>
            <w:gridSpan w:val="2"/>
            <w:tcBorders>
              <w:right w:val="single" w:sz="45" w:space="0" w:color="F79546"/>
            </w:tcBorders>
          </w:tcPr>
          <w:p>
            <w:pPr>
              <w:pStyle w:val="TableParagraph"/>
              <w:spacing w:line="248" w:lineRule="exact"/>
              <w:ind w:left="51"/>
              <w:jc w:val="center"/>
              <w:rPr>
                <w:b/>
                <w:sz w:val="22"/>
              </w:rPr>
            </w:pPr>
            <w:r>
              <w:rPr>
                <w:b/>
                <w:w w:val="100"/>
                <w:sz w:val="22"/>
              </w:rPr>
              <w:t>2</w:t>
            </w:r>
          </w:p>
        </w:tc>
        <w:tc>
          <w:tcPr>
            <w:tcW w:w="2268" w:type="dxa"/>
            <w:gridSpan w:val="2"/>
            <w:shd w:val="clear" w:color="auto" w:fill="F79546"/>
          </w:tcPr>
          <w:p>
            <w:pPr>
              <w:pStyle w:val="TableParagraph"/>
              <w:spacing w:line="248" w:lineRule="exact"/>
              <w:ind w:left="0"/>
              <w:jc w:val="center"/>
              <w:rPr>
                <w:b/>
                <w:sz w:val="22"/>
              </w:rPr>
            </w:pPr>
            <w:r>
              <w:rPr>
                <w:b/>
                <w:w w:val="100"/>
                <w:sz w:val="22"/>
              </w:rPr>
              <w:t>3</w:t>
            </w:r>
          </w:p>
        </w:tc>
        <w:tc>
          <w:tcPr>
            <w:tcW w:w="1701" w:type="dxa"/>
            <w:gridSpan w:val="2"/>
            <w:shd w:val="clear" w:color="auto" w:fill="F79546"/>
          </w:tcPr>
          <w:p>
            <w:pPr>
              <w:pStyle w:val="TableParagraph"/>
              <w:spacing w:line="248" w:lineRule="exact"/>
              <w:ind w:left="1"/>
              <w:jc w:val="center"/>
              <w:rPr>
                <w:b/>
                <w:sz w:val="22"/>
              </w:rPr>
            </w:pPr>
            <w:r>
              <w:rPr>
                <w:b/>
                <w:w w:val="100"/>
                <w:sz w:val="22"/>
              </w:rPr>
              <w:t>P</w:t>
            </w:r>
          </w:p>
        </w:tc>
        <w:tc>
          <w:tcPr>
            <w:tcW w:w="1417" w:type="dxa"/>
            <w:gridSpan w:val="3"/>
            <w:tcBorders>
              <w:left w:val="thickThinMediumGap" w:sz="23" w:space="0" w:color="F79546"/>
            </w:tcBorders>
          </w:tcPr>
          <w:p>
            <w:pPr>
              <w:pStyle w:val="TableParagraph"/>
              <w:spacing w:line="248" w:lineRule="exact"/>
              <w:ind w:left="0" w:right="51"/>
              <w:jc w:val="center"/>
              <w:rPr>
                <w:b/>
                <w:sz w:val="22"/>
              </w:rPr>
            </w:pPr>
            <w:r>
              <w:rPr>
                <w:b/>
                <w:w w:val="100"/>
                <w:sz w:val="22"/>
              </w:rPr>
              <w:t>E</w:t>
            </w:r>
          </w:p>
        </w:tc>
        <w:tc>
          <w:tcPr>
            <w:tcW w:w="1702" w:type="dxa"/>
            <w:gridSpan w:val="2"/>
          </w:tcPr>
          <w:p>
            <w:pPr>
              <w:pStyle w:val="TableParagraph"/>
              <w:spacing w:line="248" w:lineRule="exact"/>
              <w:ind w:left="1"/>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2"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4"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2" w:hRule="exact"/>
        </w:trPr>
        <w:tc>
          <w:tcPr>
            <w:tcW w:w="1952" w:type="dxa"/>
            <w:shd w:val="clear" w:color="auto" w:fill="92CDDC"/>
          </w:tcPr>
          <w:p>
            <w:pPr>
              <w:pStyle w:val="TableParagraph"/>
              <w:spacing w:line="248" w:lineRule="exact"/>
              <w:ind w:left="491" w:right="492"/>
              <w:jc w:val="center"/>
              <w:rPr>
                <w:b/>
                <w:sz w:val="22"/>
              </w:rPr>
            </w:pPr>
            <w:r>
              <w:rPr>
                <w:b/>
                <w:sz w:val="22"/>
              </w:rPr>
              <w:t>42</w:t>
            </w:r>
          </w:p>
        </w:tc>
        <w:tc>
          <w:tcPr>
            <w:tcW w:w="2127" w:type="dxa"/>
            <w:gridSpan w:val="3"/>
            <w:shd w:val="clear" w:color="auto" w:fill="92CDDC"/>
          </w:tcPr>
          <w:p>
            <w:pPr>
              <w:pStyle w:val="TableParagraph"/>
              <w:spacing w:line="248" w:lineRule="exact"/>
              <w:ind w:left="916" w:right="916"/>
              <w:jc w:val="center"/>
              <w:rPr>
                <w:b/>
                <w:sz w:val="22"/>
              </w:rPr>
            </w:pPr>
            <w:r>
              <w:rPr>
                <w:b/>
                <w:sz w:val="22"/>
              </w:rPr>
              <w:t>72</w:t>
            </w:r>
          </w:p>
        </w:tc>
        <w:tc>
          <w:tcPr>
            <w:tcW w:w="2410" w:type="dxa"/>
            <w:gridSpan w:val="3"/>
            <w:shd w:val="clear" w:color="auto" w:fill="92CDDC"/>
          </w:tcPr>
          <w:p>
            <w:pPr>
              <w:pStyle w:val="TableParagraph"/>
              <w:spacing w:line="248" w:lineRule="exact"/>
              <w:ind w:left="619"/>
              <w:rPr>
                <w:b/>
                <w:sz w:val="22"/>
              </w:rPr>
            </w:pPr>
            <w:r>
              <w:rPr>
                <w:b/>
                <w:sz w:val="22"/>
              </w:rPr>
              <w:t>0.00390625</w:t>
            </w:r>
          </w:p>
        </w:tc>
        <w:tc>
          <w:tcPr>
            <w:tcW w:w="1844" w:type="dxa"/>
            <w:gridSpan w:val="2"/>
            <w:shd w:val="clear" w:color="auto" w:fill="F9BE8F"/>
          </w:tcPr>
          <w:p>
            <w:pPr>
              <w:pStyle w:val="TableParagraph"/>
              <w:spacing w:line="248" w:lineRule="exact"/>
              <w:ind w:left="774" w:right="774"/>
              <w:jc w:val="center"/>
              <w:rPr>
                <w:b/>
                <w:sz w:val="22"/>
              </w:rPr>
            </w:pPr>
            <w:r>
              <w:rPr>
                <w:b/>
                <w:sz w:val="22"/>
              </w:rPr>
              <w:t>39</w:t>
            </w:r>
          </w:p>
        </w:tc>
        <w:tc>
          <w:tcPr>
            <w:tcW w:w="2126" w:type="dxa"/>
            <w:gridSpan w:val="3"/>
            <w:shd w:val="clear" w:color="auto" w:fill="F9BE8F"/>
          </w:tcPr>
          <w:p>
            <w:pPr>
              <w:pStyle w:val="TableParagraph"/>
              <w:spacing w:line="248" w:lineRule="exact"/>
              <w:ind w:left="0"/>
              <w:jc w:val="center"/>
              <w:rPr>
                <w:b/>
                <w:sz w:val="22"/>
              </w:rPr>
            </w:pPr>
            <w:r>
              <w:rPr>
                <w:b/>
                <w:w w:val="100"/>
                <w:sz w:val="22"/>
              </w:rPr>
              <w:t>5</w:t>
            </w:r>
          </w:p>
        </w:tc>
        <w:tc>
          <w:tcPr>
            <w:tcW w:w="2439" w:type="dxa"/>
            <w:gridSpan w:val="2"/>
            <w:shd w:val="clear" w:color="auto" w:fill="F9BE8F"/>
          </w:tcPr>
          <w:p>
            <w:pPr>
              <w:pStyle w:val="TableParagraph"/>
              <w:spacing w:line="248" w:lineRule="exact"/>
              <w:ind w:left="918" w:right="919"/>
              <w:jc w:val="center"/>
              <w:rPr>
                <w:b/>
                <w:sz w:val="22"/>
              </w:rPr>
            </w:pPr>
            <w:r>
              <w:rPr>
                <w:b/>
                <w:sz w:val="22"/>
              </w:rPr>
              <w:t>1.00</w:t>
            </w:r>
          </w:p>
        </w:tc>
      </w:tr>
      <w:tr>
        <w:trPr>
          <w:trHeight w:val="516" w:hRule="exact"/>
        </w:trPr>
        <w:tc>
          <w:tcPr>
            <w:tcW w:w="2290" w:type="dxa"/>
            <w:gridSpan w:val="3"/>
          </w:tcPr>
          <w:p>
            <w:pPr>
              <w:pStyle w:val="TableParagraph"/>
              <w:spacing w:line="242" w:lineRule="auto"/>
              <w:ind w:left="516" w:right="408" w:hanging="95"/>
              <w:rPr>
                <w:b/>
                <w:sz w:val="22"/>
              </w:rPr>
            </w:pPr>
            <w:r>
              <w:rPr>
                <w:b/>
                <w:sz w:val="22"/>
              </w:rPr>
              <w:t>Variables que intervienen:</w:t>
            </w:r>
          </w:p>
        </w:tc>
        <w:tc>
          <w:tcPr>
            <w:tcW w:w="10607" w:type="dxa"/>
            <w:gridSpan w:val="11"/>
          </w:tcPr>
          <w:p>
            <w:pPr>
              <w:pStyle w:val="TableParagraph"/>
              <w:spacing w:line="242" w:lineRule="auto"/>
              <w:ind w:right="103"/>
              <w:rPr>
                <w:sz w:val="22"/>
              </w:rPr>
            </w:pPr>
            <w:r>
              <w:rPr>
                <w:sz w:val="22"/>
              </w:rPr>
              <w:t>Actores históricos, municipios, CHPH, mecanismo, interrelación municipal formal e informal, problemas socioeconómicos, compra-venta, materias primas, mercados, tianguis.</w:t>
            </w:r>
          </w:p>
        </w:tc>
      </w:tr>
      <w:tr>
        <w:trPr>
          <w:trHeight w:val="516" w:hRule="exact"/>
        </w:trPr>
        <w:tc>
          <w:tcPr>
            <w:tcW w:w="2290" w:type="dxa"/>
            <w:gridSpan w:val="3"/>
          </w:tcPr>
          <w:p>
            <w:pPr>
              <w:pStyle w:val="TableParagraph"/>
              <w:spacing w:line="248" w:lineRule="exact"/>
              <w:ind w:left="455" w:right="408"/>
              <w:rPr>
                <w:b/>
                <w:sz w:val="22"/>
              </w:rPr>
            </w:pPr>
            <w:r>
              <w:rPr>
                <w:b/>
                <w:sz w:val="22"/>
              </w:rPr>
              <w:t>Metodología:</w:t>
            </w:r>
          </w:p>
        </w:tc>
        <w:tc>
          <w:tcPr>
            <w:tcW w:w="10607" w:type="dxa"/>
            <w:gridSpan w:val="11"/>
          </w:tcPr>
          <w:p>
            <w:pPr>
              <w:pStyle w:val="TableParagraph"/>
              <w:spacing w:line="242" w:lineRule="auto"/>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4"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1022" w:hRule="exact"/>
        </w:trPr>
        <w:tc>
          <w:tcPr>
            <w:tcW w:w="12897" w:type="dxa"/>
            <w:gridSpan w:val="14"/>
          </w:tcPr>
          <w:p>
            <w:pPr>
              <w:pStyle w:val="TableParagraph"/>
              <w:ind w:right="98"/>
              <w:jc w:val="both"/>
              <w:rPr>
                <w:sz w:val="22"/>
              </w:rPr>
            </w:pPr>
            <w:r>
              <w:rPr>
                <w:sz w:val="22"/>
              </w:rPr>
              <w:t>Los actores históricos de los municipios que integran la CHPH no tienen un mecanismo formal de interrelación para hacer frente  a sus problemas socioeconómicos comunes, pero si existe una interrelación municipal informal en términos socioeconómicos a través de la compra-venta de materias primas y con los mercados y tianguis regionales (García, TC:</w:t>
            </w:r>
            <w:r>
              <w:rPr>
                <w:spacing w:val="-32"/>
                <w:sz w:val="22"/>
              </w:rPr>
              <w:t> </w:t>
            </w:r>
            <w:r>
              <w:rPr>
                <w:sz w:val="22"/>
              </w:rPr>
              <w:t>2013-2015).</w:t>
            </w:r>
          </w:p>
        </w:tc>
      </w:tr>
      <w:tr>
        <w:trPr>
          <w:trHeight w:val="262" w:hRule="exact"/>
        </w:trPr>
        <w:tc>
          <w:tcPr>
            <w:tcW w:w="4295" w:type="dxa"/>
            <w:gridSpan w:val="5"/>
          </w:tcPr>
          <w:p>
            <w:pPr>
              <w:pStyle w:val="TableParagraph"/>
              <w:spacing w:line="248" w:lineRule="exact"/>
              <w:ind w:left="1097" w:right="213"/>
              <w:rPr>
                <w:b/>
                <w:sz w:val="22"/>
              </w:rPr>
            </w:pPr>
            <w:r>
              <w:rPr>
                <w:b/>
                <w:sz w:val="22"/>
              </w:rPr>
              <w:t>Unidad de medición</w:t>
            </w:r>
          </w:p>
        </w:tc>
        <w:tc>
          <w:tcPr>
            <w:tcW w:w="8603" w:type="dxa"/>
            <w:gridSpan w:val="9"/>
          </w:tcPr>
          <w:p>
            <w:pPr>
              <w:pStyle w:val="TableParagraph"/>
              <w:spacing w:line="248" w:lineRule="exact"/>
              <w:ind w:left="2419" w:right="108"/>
              <w:rPr>
                <w:b/>
                <w:sz w:val="22"/>
              </w:rPr>
            </w:pPr>
            <w:r>
              <w:rPr>
                <w:b/>
                <w:sz w:val="22"/>
              </w:rPr>
              <w:t>Definición de la unidad de medición</w:t>
            </w:r>
          </w:p>
        </w:tc>
      </w:tr>
      <w:tr>
        <w:trPr>
          <w:trHeight w:val="1277" w:hRule="exact"/>
        </w:trPr>
        <w:tc>
          <w:tcPr>
            <w:tcW w:w="4295" w:type="dxa"/>
            <w:gridSpan w:val="5"/>
          </w:tcPr>
          <w:p>
            <w:pPr>
              <w:pStyle w:val="TableParagraph"/>
              <w:ind w:right="102"/>
              <w:jc w:val="both"/>
              <w:rPr>
                <w:sz w:val="22"/>
              </w:rPr>
            </w:pPr>
            <w:r>
              <w:rPr>
                <w:sz w:val="22"/>
              </w:rPr>
              <w:t># de acuerdos formales e informales entre los actores de los municipios de la CHPH.</w:t>
            </w:r>
          </w:p>
        </w:tc>
        <w:tc>
          <w:tcPr>
            <w:tcW w:w="8603" w:type="dxa"/>
            <w:gridSpan w:val="9"/>
          </w:tcPr>
          <w:p>
            <w:pPr>
              <w:pStyle w:val="TableParagraph"/>
              <w:ind w:right="106"/>
              <w:jc w:val="both"/>
              <w:rPr>
                <w:sz w:val="22"/>
              </w:rPr>
            </w:pPr>
            <w:r>
              <w:rPr>
                <w:sz w:val="22"/>
              </w:rPr>
              <w:t>Cantidad de acuerdos formales e informales entre los actores de los municipios para atender los problemas socioeconómicos de la CHPH para el desarrollo equitativo de la región (Ejemplo: aún no existen acuerdos formales de interrelación municipal para atender los problemas socioeconómicos de la CHPH, pero existen informales como los mercados y tianguis regionales).</w:t>
            </w:r>
          </w:p>
        </w:tc>
      </w:tr>
    </w:tbl>
    <w:p>
      <w:pPr>
        <w:spacing w:after="0"/>
        <w:jc w:val="both"/>
        <w:rPr>
          <w:sz w:val="22"/>
        </w:rPr>
        <w:sectPr>
          <w:footerReference w:type="default" r:id="rId543"/>
          <w:pgSz w:w="15840" w:h="12240" w:orient="landscape"/>
          <w:pgMar w:footer="943" w:header="0" w:top="1140" w:bottom="1140" w:left="1200" w:right="1300"/>
          <w:pgNumType w:start="740"/>
        </w:sectPr>
      </w:pPr>
    </w:p>
    <w:p>
      <w:pPr>
        <w:pStyle w:val="BodyText"/>
        <w:rPr>
          <w:rFonts w:ascii="Times New Roman"/>
          <w:sz w:val="20"/>
        </w:rPr>
      </w:pPr>
      <w:r>
        <w:rPr/>
        <w:pict>
          <v:group style="position:absolute;margin-left:65.269997pt;margin-top:84.849998pt;width:646.7pt;height:427.9pt;mso-position-horizontal-relative:page;mso-position-vertical-relative:page;z-index:-3328264" coordorigin="1305,1697" coordsize="12934,8558">
            <v:line style="position:absolute" from="1315,1707" to="14229,1707" stroked="true" strokeweight=".48pt" strokecolor="#000000"/>
            <v:line style="position:absolute" from="1315,2331" to="14229,2331" stroked="true" strokeweight=".48pt" strokecolor="#000000"/>
            <v:line style="position:absolute" from="1310,1702" to="1310,10250" stroked="true" strokeweight=".48pt" strokecolor="#000000"/>
            <v:line style="position:absolute" from="1315,10245" to="14229,10245" stroked="true" strokeweight=".48004pt" strokecolor="#000000"/>
            <v:line style="position:absolute" from="14234,1702" to="14234,10250" stroked="true" strokeweight=".48004pt" strokecolor="#000000"/>
            <v:shape style="position:absolute;left:1696;top:2336;width:12141;height:7900" type="#_x0000_t75" stroked="false">
              <v:imagedata r:id="rId544" o:title=""/>
            </v:shape>
            <w10:wrap type="none"/>
          </v:group>
        </w:pict>
      </w:r>
    </w:p>
    <w:p>
      <w:pPr>
        <w:pStyle w:val="BodyText"/>
        <w:spacing w:before="11"/>
        <w:rPr>
          <w:rFonts w:ascii="Times New Roman"/>
        </w:rPr>
      </w:pPr>
    </w:p>
    <w:p>
      <w:pPr>
        <w:pStyle w:val="Heading6"/>
        <w:spacing w:before="73"/>
        <w:ind w:left="5782" w:right="397"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pict>
          <v:shape style="position:absolute;margin-left:535.270020pt;margin-top:168.979996pt;width:127.5pt;height:145.15pt;mso-position-horizontal-relative:page;mso-position-vertical-relative:page;z-index:151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2" w:hRule="exact"/>
                    </w:trPr>
                    <w:tc>
                      <w:tcPr>
                        <w:tcW w:w="1034" w:type="dxa"/>
                      </w:tcPr>
                      <w:p>
                        <w:pPr>
                          <w:pStyle w:val="TableParagraph"/>
                          <w:spacing w:line="248" w:lineRule="exact"/>
                          <w:rPr>
                            <w:b/>
                            <w:sz w:val="22"/>
                          </w:rPr>
                        </w:pPr>
                        <w:r>
                          <w:rPr>
                            <w:b/>
                            <w:sz w:val="22"/>
                          </w:rPr>
                          <w:t>Período</w:t>
                        </w:r>
                      </w:p>
                    </w:tc>
                    <w:tc>
                      <w:tcPr>
                        <w:tcW w:w="1501" w:type="dxa"/>
                      </w:tcPr>
                      <w:p>
                        <w:pPr>
                          <w:pStyle w:val="TableParagraph"/>
                          <w:spacing w:line="248" w:lineRule="exact"/>
                          <w:rPr>
                            <w:b/>
                            <w:sz w:val="22"/>
                          </w:rPr>
                        </w:pPr>
                        <w:r>
                          <w:rPr>
                            <w:b/>
                            <w:sz w:val="22"/>
                          </w:rPr>
                          <w:t>Calificación</w:t>
                        </w:r>
                      </w:p>
                    </w:tc>
                  </w:tr>
                  <w:tr>
                    <w:trPr>
                      <w:trHeight w:val="265" w:hRule="exact"/>
                    </w:trPr>
                    <w:tc>
                      <w:tcPr>
                        <w:tcW w:w="1034" w:type="dxa"/>
                      </w:tcPr>
                      <w:p>
                        <w:pPr>
                          <w:pStyle w:val="TableParagraph"/>
                          <w:rPr>
                            <w:sz w:val="22"/>
                          </w:rPr>
                        </w:pPr>
                        <w:r>
                          <w:rPr>
                            <w:sz w:val="22"/>
                          </w:rPr>
                          <w:t>1400</w:t>
                        </w:r>
                      </w:p>
                    </w:tc>
                    <w:tc>
                      <w:tcPr>
                        <w:tcW w:w="1501" w:type="dxa"/>
                      </w:tcPr>
                      <w:p>
                        <w:pPr>
                          <w:pStyle w:val="TableParagraph"/>
                          <w:rPr>
                            <w:sz w:val="22"/>
                          </w:rPr>
                        </w:pPr>
                        <w:r>
                          <w:rPr>
                            <w:sz w:val="22"/>
                          </w:rPr>
                          <w:t>Excelente</w:t>
                        </w:r>
                      </w:p>
                    </w:tc>
                  </w:tr>
                  <w:tr>
                    <w:trPr>
                      <w:trHeight w:val="264"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rPr>
                            <w:sz w:val="22"/>
                          </w:rPr>
                        </w:pPr>
                        <w:r>
                          <w:rPr>
                            <w:sz w:val="22"/>
                          </w:rPr>
                          <w:t>Regular</w:t>
                        </w:r>
                      </w:p>
                    </w:tc>
                  </w:tr>
                  <w:tr>
                    <w:trPr>
                      <w:trHeight w:val="264" w:hRule="exact"/>
                    </w:trPr>
                    <w:tc>
                      <w:tcPr>
                        <w:tcW w:w="1034" w:type="dxa"/>
                      </w:tcPr>
                      <w:p>
                        <w:pPr>
                          <w:pStyle w:val="TableParagraph"/>
                          <w:spacing w:line="251" w:lineRule="exact"/>
                          <w:rPr>
                            <w:sz w:val="22"/>
                          </w:rPr>
                        </w:pPr>
                        <w:r>
                          <w:rPr>
                            <w:sz w:val="22"/>
                          </w:rPr>
                          <w:t>1785</w:t>
                        </w:r>
                      </w:p>
                    </w:tc>
                    <w:tc>
                      <w:tcPr>
                        <w:tcW w:w="1501" w:type="dxa"/>
                      </w:tcPr>
                      <w:p>
                        <w:pPr>
                          <w:pStyle w:val="TableParagraph"/>
                          <w:spacing w:line="251" w:lineRule="exact"/>
                          <w:rPr>
                            <w:sz w:val="22"/>
                          </w:rPr>
                        </w:pPr>
                        <w:r>
                          <w:rPr>
                            <w:sz w:val="22"/>
                          </w:rPr>
                          <w:t>Regular</w:t>
                        </w:r>
                      </w:p>
                    </w:tc>
                  </w:tr>
                  <w:tr>
                    <w:trPr>
                      <w:trHeight w:val="262" w:hRule="exact"/>
                    </w:trPr>
                    <w:tc>
                      <w:tcPr>
                        <w:tcW w:w="1034" w:type="dxa"/>
                      </w:tcPr>
                      <w:p>
                        <w:pPr>
                          <w:pStyle w:val="TableParagraph"/>
                          <w:spacing w:line="251" w:lineRule="exact"/>
                          <w:rPr>
                            <w:sz w:val="22"/>
                          </w:rPr>
                        </w:pPr>
                        <w:r>
                          <w:rPr>
                            <w:sz w:val="22"/>
                          </w:rPr>
                          <w:t>1810</w:t>
                        </w:r>
                      </w:p>
                    </w:tc>
                    <w:tc>
                      <w:tcPr>
                        <w:tcW w:w="1501" w:type="dxa"/>
                      </w:tcPr>
                      <w:p>
                        <w:pPr>
                          <w:pStyle w:val="TableParagraph"/>
                          <w:spacing w:line="251" w:lineRule="exact"/>
                          <w:rPr>
                            <w:sz w:val="22"/>
                          </w:rPr>
                        </w:pPr>
                        <w:r>
                          <w:rPr>
                            <w:sz w:val="22"/>
                          </w:rPr>
                          <w:t>Regular</w:t>
                        </w:r>
                      </w:p>
                    </w:tc>
                  </w:tr>
                  <w:tr>
                    <w:trPr>
                      <w:trHeight w:val="264" w:hRule="exact"/>
                    </w:trPr>
                    <w:tc>
                      <w:tcPr>
                        <w:tcW w:w="1034" w:type="dxa"/>
                      </w:tcPr>
                      <w:p>
                        <w:pPr>
                          <w:pStyle w:val="TableParagraph"/>
                          <w:rPr>
                            <w:sz w:val="22"/>
                          </w:rPr>
                        </w:pPr>
                        <w:r>
                          <w:rPr>
                            <w:sz w:val="22"/>
                          </w:rPr>
                          <w:t>1861</w:t>
                        </w:r>
                      </w:p>
                    </w:tc>
                    <w:tc>
                      <w:tcPr>
                        <w:tcW w:w="1501" w:type="dxa"/>
                      </w:tcPr>
                      <w:p>
                        <w:pPr>
                          <w:pStyle w:val="TableParagraph"/>
                          <w:rPr>
                            <w:sz w:val="22"/>
                          </w:rPr>
                        </w:pPr>
                        <w:r>
                          <w:rPr>
                            <w:sz w:val="22"/>
                          </w:rPr>
                          <w:t>Regular</w:t>
                        </w:r>
                      </w:p>
                    </w:tc>
                  </w:tr>
                  <w:tr>
                    <w:trPr>
                      <w:trHeight w:val="264"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Regular</w:t>
                        </w:r>
                      </w:p>
                    </w:tc>
                  </w:tr>
                  <w:tr>
                    <w:trPr>
                      <w:trHeight w:val="262"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Regular</w:t>
                        </w:r>
                      </w:p>
                    </w:tc>
                  </w:tr>
                  <w:tr>
                    <w:trPr>
                      <w:trHeight w:val="264"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Regular</w:t>
                        </w:r>
                      </w:p>
                    </w:tc>
                  </w:tr>
                  <w:tr>
                    <w:trPr>
                      <w:trHeight w:val="262"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rPr>
                            <w:sz w:val="22"/>
                          </w:rPr>
                        </w:pPr>
                        <w:r>
                          <w:rPr>
                            <w:sz w:val="22"/>
                          </w:rPr>
                          <w:t>Regular</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22"/>
        <w:gridCol w:w="1349"/>
        <w:gridCol w:w="3271"/>
        <w:gridCol w:w="1469"/>
        <w:gridCol w:w="2360"/>
        <w:gridCol w:w="1596"/>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593" w:hRule="exact"/>
        </w:trPr>
        <w:tc>
          <w:tcPr>
            <w:tcW w:w="12822" w:type="dxa"/>
            <w:gridSpan w:val="7"/>
          </w:tcPr>
          <w:p>
            <w:pPr>
              <w:pStyle w:val="TableParagraph"/>
              <w:spacing w:line="242" w:lineRule="auto"/>
              <w:ind w:left="27" w:right="254"/>
              <w:rPr>
                <w:sz w:val="22"/>
              </w:rPr>
            </w:pPr>
            <w:r>
              <w:rPr>
                <w:sz w:val="22"/>
              </w:rPr>
              <w:t>Para ilustrar la necesidad de acuerdos sociopolíticos intermunicipales entre los actores de los municipios de la CHPH para  atender la problemática común de la región se elaboró la siguiente</w:t>
            </w:r>
            <w:r>
              <w:rPr>
                <w:spacing w:val="-18"/>
                <w:sz w:val="22"/>
              </w:rPr>
              <w:t> </w:t>
            </w:r>
            <w:r>
              <w:rPr>
                <w:sz w:val="22"/>
              </w:rPr>
              <w:t>gráfica:</w:t>
            </w:r>
          </w:p>
          <w:p>
            <w:pPr>
              <w:pStyle w:val="TableParagraph"/>
              <w:spacing w:line="247" w:lineRule="exact" w:after="5"/>
              <w:ind w:left="3635" w:right="57"/>
              <w:rPr>
                <w:b/>
                <w:sz w:val="22"/>
              </w:rPr>
            </w:pPr>
            <w:r>
              <w:rPr>
                <w:b/>
                <w:sz w:val="22"/>
              </w:rPr>
              <w:t>Gráfica 7.21.</w:t>
            </w:r>
          </w:p>
          <w:p>
            <w:pPr>
              <w:pStyle w:val="TableParagraph"/>
              <w:ind w:left="27"/>
              <w:rPr>
                <w:rFonts w:ascii="Times New Roman"/>
                <w:sz w:val="20"/>
              </w:rPr>
            </w:pPr>
            <w:r>
              <w:rPr>
                <w:rFonts w:ascii="Times New Roman"/>
                <w:sz w:val="20"/>
              </w:rPr>
              <w:drawing>
                <wp:inline distT="0" distB="0" distL="0" distR="0">
                  <wp:extent cx="5443157" cy="2401062"/>
                  <wp:effectExtent l="0" t="0" r="0" b="0"/>
                  <wp:docPr id="95" name="image406.png" descr=""/>
                  <wp:cNvGraphicFramePr>
                    <a:graphicFrameLocks noChangeAspect="1"/>
                  </wp:cNvGraphicFramePr>
                  <a:graphic>
                    <a:graphicData uri="http://schemas.openxmlformats.org/drawingml/2006/picture">
                      <pic:pic>
                        <pic:nvPicPr>
                          <pic:cNvPr id="96" name="image406.png"/>
                          <pic:cNvPicPr/>
                        </pic:nvPicPr>
                        <pic:blipFill>
                          <a:blip r:embed="rId545" cstate="print"/>
                          <a:stretch>
                            <a:fillRect/>
                          </a:stretch>
                        </pic:blipFill>
                        <pic:spPr>
                          <a:xfrm>
                            <a:off x="0" y="0"/>
                            <a:ext cx="5443157" cy="2401062"/>
                          </a:xfrm>
                          <a:prstGeom prst="rect">
                            <a:avLst/>
                          </a:prstGeom>
                        </pic:spPr>
                      </pic:pic>
                    </a:graphicData>
                  </a:graphic>
                </wp:inline>
              </w:drawing>
            </w:r>
            <w:r>
              <w:rPr>
                <w:rFonts w:ascii="Times New Roman"/>
                <w:sz w:val="20"/>
              </w:rPr>
            </w:r>
          </w:p>
          <w:p>
            <w:pPr>
              <w:pStyle w:val="TableParagraph"/>
              <w:spacing w:line="482" w:lineRule="auto" w:before="24"/>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822" w:type="dxa"/>
            <w:vMerge w:val="restart"/>
          </w:tcPr>
          <w:p>
            <w:pPr>
              <w:pStyle w:val="TableParagraph"/>
              <w:tabs>
                <w:tab w:pos="1484" w:val="left" w:leader="none"/>
              </w:tabs>
              <w:ind w:right="103"/>
              <w:jc w:val="both"/>
              <w:rPr>
                <w:sz w:val="20"/>
              </w:rPr>
            </w:pPr>
            <w:r>
              <w:rPr>
                <w:sz w:val="20"/>
              </w:rPr>
              <w:t>Clasificación por número</w:t>
              <w:tab/>
              <w:t>de eventos en el período</w:t>
            </w:r>
          </w:p>
        </w:tc>
        <w:tc>
          <w:tcPr>
            <w:tcW w:w="8450" w:type="dxa"/>
            <w:gridSpan w:val="4"/>
          </w:tcPr>
          <w:p>
            <w:pPr>
              <w:pStyle w:val="TableParagraph"/>
              <w:spacing w:line="242" w:lineRule="auto"/>
              <w:ind w:right="102"/>
              <w:rPr>
                <w:sz w:val="20"/>
              </w:rPr>
            </w:pPr>
            <w:r>
              <w:rPr>
                <w:sz w:val="20"/>
              </w:rPr>
              <w:t>Clasificación por </w:t>
            </w:r>
            <w:r>
              <w:rPr>
                <w:b/>
                <w:sz w:val="20"/>
              </w:rPr>
              <w:t>características de impacto positivo o negativo </w:t>
            </w:r>
            <w:r>
              <w:rPr>
                <w:sz w:val="20"/>
              </w:rPr>
              <w:t>en los ámbitos ambiental-sociopolítico-económico</w:t>
            </w:r>
          </w:p>
        </w:tc>
        <w:tc>
          <w:tcPr>
            <w:tcW w:w="1596" w:type="dxa"/>
            <w:vMerge w:val="restart"/>
            <w:tcBorders>
              <w:right w:val="double" w:sz="12" w:space="0" w:color="000000"/>
            </w:tcBorders>
          </w:tcPr>
          <w:p>
            <w:pPr>
              <w:pStyle w:val="TableParagraph"/>
              <w:spacing w:before="117"/>
              <w:ind w:left="219" w:right="222"/>
              <w:jc w:val="center"/>
              <w:rPr>
                <w:sz w:val="20"/>
              </w:rPr>
            </w:pPr>
            <w:r>
              <w:rPr>
                <w:w w:val="95"/>
                <w:sz w:val="20"/>
              </w:rPr>
              <w:t>Clasificación </w:t>
            </w:r>
            <w:r>
              <w:rPr>
                <w:sz w:val="20"/>
              </w:rPr>
              <w:t>de la calificación</w:t>
            </w:r>
          </w:p>
        </w:tc>
      </w:tr>
      <w:tr>
        <w:trPr>
          <w:trHeight w:val="480" w:hRule="exact"/>
        </w:trPr>
        <w:tc>
          <w:tcPr>
            <w:tcW w:w="954" w:type="dxa"/>
            <w:vMerge/>
            <w:tcBorders>
              <w:left w:val="double" w:sz="11" w:space="0" w:color="000000"/>
            </w:tcBorders>
          </w:tcPr>
          <w:p>
            <w:pPr/>
          </w:p>
        </w:tc>
        <w:tc>
          <w:tcPr>
            <w:tcW w:w="1822" w:type="dxa"/>
            <w:vMerge/>
          </w:tcPr>
          <w:p>
            <w:pPr/>
          </w:p>
        </w:tc>
        <w:tc>
          <w:tcPr>
            <w:tcW w:w="1349" w:type="dxa"/>
          </w:tcPr>
          <w:p>
            <w:pPr>
              <w:pStyle w:val="TableParagraph"/>
              <w:spacing w:line="227" w:lineRule="exact"/>
              <w:rPr>
                <w:sz w:val="20"/>
              </w:rPr>
            </w:pPr>
            <w:r>
              <w:rPr>
                <w:sz w:val="20"/>
              </w:rPr>
              <w:t>Subsistema</w:t>
            </w:r>
          </w:p>
        </w:tc>
        <w:tc>
          <w:tcPr>
            <w:tcW w:w="3271" w:type="dxa"/>
          </w:tcPr>
          <w:p>
            <w:pPr>
              <w:pStyle w:val="TableParagraph"/>
              <w:spacing w:line="227" w:lineRule="exact"/>
              <w:rPr>
                <w:sz w:val="20"/>
              </w:rPr>
            </w:pPr>
            <w:r>
              <w:rPr>
                <w:sz w:val="20"/>
              </w:rPr>
              <w:t>Características</w:t>
            </w:r>
          </w:p>
        </w:tc>
        <w:tc>
          <w:tcPr>
            <w:tcW w:w="1469" w:type="dxa"/>
          </w:tcPr>
          <w:p>
            <w:pPr>
              <w:pStyle w:val="TableParagraph"/>
              <w:tabs>
                <w:tab w:pos="1132" w:val="left" w:leader="none"/>
              </w:tabs>
              <w:spacing w:line="227" w:lineRule="exact"/>
              <w:rPr>
                <w:sz w:val="20"/>
              </w:rPr>
            </w:pPr>
            <w:r>
              <w:rPr>
                <w:sz w:val="20"/>
              </w:rPr>
              <w:t>%</w:t>
              <w:tab/>
              <w:t>de</w:t>
            </w:r>
          </w:p>
          <w:p>
            <w:pPr>
              <w:pStyle w:val="TableParagraph"/>
              <w:rPr>
                <w:sz w:val="20"/>
              </w:rPr>
            </w:pPr>
            <w:r>
              <w:rPr>
                <w:sz w:val="20"/>
              </w:rPr>
              <w:t>cumplimiento</w:t>
            </w:r>
          </w:p>
        </w:tc>
        <w:tc>
          <w:tcPr>
            <w:tcW w:w="2360" w:type="dxa"/>
          </w:tcPr>
          <w:p>
            <w:pPr>
              <w:pStyle w:val="TableParagraph"/>
              <w:spacing w:line="227" w:lineRule="exact"/>
              <w:rPr>
                <w:sz w:val="20"/>
              </w:rPr>
            </w:pPr>
            <w:r>
              <w:rPr>
                <w:sz w:val="20"/>
              </w:rPr>
              <w:t>Observaciones</w:t>
            </w:r>
          </w:p>
        </w:tc>
        <w:tc>
          <w:tcPr>
            <w:tcW w:w="1596" w:type="dxa"/>
            <w:vMerge/>
            <w:tcBorders>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22"/>
        <w:gridCol w:w="1349"/>
        <w:gridCol w:w="3271"/>
        <w:gridCol w:w="1469"/>
        <w:gridCol w:w="2360"/>
        <w:gridCol w:w="1596"/>
      </w:tblGrid>
      <w:tr>
        <w:trPr>
          <w:trHeight w:val="3469"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230"/>
              <w:rPr>
                <w:sz w:val="20"/>
              </w:rPr>
            </w:pPr>
            <w:r>
              <w:rPr>
                <w:sz w:val="20"/>
              </w:rPr>
              <w:t>1400</w:t>
            </w:r>
          </w:p>
        </w:tc>
        <w:tc>
          <w:tcPr>
            <w:tcW w:w="182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0"/>
              <w:jc w:val="center"/>
              <w:rPr>
                <w:b/>
                <w:sz w:val="20"/>
              </w:rPr>
            </w:pPr>
            <w:r>
              <w:rPr>
                <w:b/>
                <w:w w:val="99"/>
                <w:sz w:val="20"/>
              </w:rPr>
              <w:t>1</w:t>
            </w:r>
          </w:p>
        </w:tc>
        <w:tc>
          <w:tcPr>
            <w:tcW w:w="1349" w:type="dxa"/>
          </w:tcPr>
          <w:p>
            <w:pPr>
              <w:pStyle w:val="TableParagraph"/>
              <w:spacing w:before="7"/>
              <w:rPr>
                <w:sz w:val="20"/>
              </w:rPr>
            </w:pPr>
            <w:r>
              <w:rPr>
                <w:sz w:val="20"/>
              </w:rPr>
              <w:t>Ambiental</w:t>
            </w:r>
          </w:p>
        </w:tc>
        <w:tc>
          <w:tcPr>
            <w:tcW w:w="3271" w:type="dxa"/>
          </w:tcPr>
          <w:p>
            <w:pPr>
              <w:pStyle w:val="TableParagraph"/>
              <w:numPr>
                <w:ilvl w:val="0"/>
                <w:numId w:val="313"/>
              </w:numPr>
              <w:tabs>
                <w:tab w:pos="812" w:val="left" w:leader="none"/>
                <w:tab w:pos="2241" w:val="left" w:leader="none"/>
              </w:tabs>
              <w:spacing w:line="240" w:lineRule="auto" w:before="7" w:after="0"/>
              <w:ind w:left="280" w:right="104" w:hanging="141"/>
              <w:jc w:val="both"/>
              <w:rPr>
                <w:sz w:val="20"/>
              </w:rPr>
            </w:pPr>
            <w:r>
              <w:rPr>
                <w:sz w:val="20"/>
              </w:rPr>
              <w:t>Existen</w:t>
              <w:tab/>
              <w:t>relaciones intermunicipales para atender el medio ambiente de la</w:t>
            </w:r>
            <w:r>
              <w:rPr>
                <w:spacing w:val="-7"/>
                <w:sz w:val="20"/>
              </w:rPr>
              <w:t> </w:t>
            </w:r>
            <w:r>
              <w:rPr>
                <w:sz w:val="20"/>
              </w:rPr>
              <w:t>CHPH</w:t>
            </w:r>
          </w:p>
          <w:p>
            <w:pPr>
              <w:pStyle w:val="TableParagraph"/>
              <w:numPr>
                <w:ilvl w:val="0"/>
                <w:numId w:val="313"/>
              </w:numPr>
              <w:tabs>
                <w:tab w:pos="812" w:val="left" w:leader="none"/>
              </w:tabs>
              <w:spacing w:line="240" w:lineRule="auto" w:before="0" w:after="0"/>
              <w:ind w:left="280" w:right="107" w:hanging="141"/>
              <w:jc w:val="both"/>
              <w:rPr>
                <w:sz w:val="20"/>
              </w:rPr>
            </w:pPr>
            <w:r>
              <w:rPr>
                <w:sz w:val="20"/>
              </w:rPr>
              <w:t>Los municipios tienen facultades para atender problemas del deterioro ambiental</w:t>
            </w:r>
          </w:p>
          <w:p>
            <w:pPr>
              <w:pStyle w:val="TableParagraph"/>
              <w:numPr>
                <w:ilvl w:val="0"/>
                <w:numId w:val="313"/>
              </w:numPr>
              <w:tabs>
                <w:tab w:pos="812" w:val="left" w:leader="none"/>
              </w:tabs>
              <w:spacing w:line="240" w:lineRule="auto" w:before="0" w:after="0"/>
              <w:ind w:left="280" w:right="107"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313"/>
              </w:numPr>
              <w:tabs>
                <w:tab w:pos="812" w:val="left" w:leader="none"/>
              </w:tabs>
              <w:spacing w:line="240" w:lineRule="auto" w:before="0" w:after="0"/>
              <w:ind w:left="280" w:right="106" w:hanging="141"/>
              <w:jc w:val="both"/>
              <w:rPr>
                <w:sz w:val="20"/>
              </w:rPr>
            </w:pPr>
            <w:r>
              <w:rPr>
                <w:sz w:val="20"/>
              </w:rPr>
              <w:t>Existe coordinación del cabildo con los actores históricos para cuidar el medio ambiente</w:t>
            </w:r>
          </w:p>
        </w:tc>
        <w:tc>
          <w:tcPr>
            <w:tcW w:w="1469"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2"/>
              <w:ind w:left="473"/>
              <w:rPr>
                <w:sz w:val="20"/>
              </w:rPr>
            </w:pPr>
            <w:r>
              <w:rPr>
                <w:sz w:val="20"/>
              </w:rPr>
              <w:t>100%</w:t>
            </w:r>
          </w:p>
        </w:tc>
        <w:tc>
          <w:tcPr>
            <w:tcW w:w="2360" w:type="dxa"/>
            <w:vMerge w:val="restart"/>
          </w:tcPr>
          <w:p>
            <w:pPr>
              <w:pStyle w:val="TableParagraph"/>
              <w:spacing w:line="242" w:lineRule="auto" w:before="4"/>
              <w:ind w:right="102"/>
              <w:jc w:val="both"/>
              <w:rPr>
                <w:sz w:val="20"/>
              </w:rPr>
            </w:pPr>
            <w:r>
              <w:rPr>
                <w:sz w:val="20"/>
              </w:rPr>
              <w:t>Debe reunir al </w:t>
            </w:r>
            <w:r>
              <w:rPr>
                <w:b/>
                <w:sz w:val="20"/>
              </w:rPr>
              <w:t>100%  las tres </w:t>
            </w:r>
            <w:r>
              <w:rPr>
                <w:sz w:val="20"/>
              </w:rPr>
              <w:t>características de impacto</w:t>
            </w:r>
            <w:r>
              <w:rPr>
                <w:spacing w:val="-8"/>
                <w:sz w:val="20"/>
              </w:rPr>
              <w:t> </w:t>
            </w:r>
            <w:r>
              <w:rPr>
                <w:sz w:val="20"/>
              </w:rPr>
              <w:t>positivo</w:t>
            </w:r>
          </w:p>
        </w:tc>
        <w:tc>
          <w:tcPr>
            <w:tcW w:w="1596"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31"/>
              <w:ind w:left="304"/>
              <w:rPr>
                <w:b/>
                <w:sz w:val="20"/>
              </w:rPr>
            </w:pPr>
            <w:r>
              <w:rPr>
                <w:b/>
                <w:sz w:val="20"/>
              </w:rPr>
              <w:t>Excelente</w:t>
            </w:r>
          </w:p>
        </w:tc>
      </w:tr>
      <w:tr>
        <w:trPr>
          <w:trHeight w:val="2542" w:hRule="exact"/>
        </w:trPr>
        <w:tc>
          <w:tcPr>
            <w:tcW w:w="954" w:type="dxa"/>
            <w:vMerge/>
            <w:tcBorders>
              <w:left w:val="double" w:sz="11" w:space="0" w:color="000000"/>
            </w:tcBorders>
          </w:tcPr>
          <w:p>
            <w:pPr/>
          </w:p>
        </w:tc>
        <w:tc>
          <w:tcPr>
            <w:tcW w:w="1822" w:type="dxa"/>
            <w:vMerge/>
          </w:tcPr>
          <w:p>
            <w:pPr/>
          </w:p>
        </w:tc>
        <w:tc>
          <w:tcPr>
            <w:tcW w:w="1349" w:type="dxa"/>
          </w:tcPr>
          <w:p>
            <w:pPr>
              <w:pStyle w:val="TableParagraph"/>
              <w:spacing w:line="230" w:lineRule="exact"/>
              <w:rPr>
                <w:sz w:val="20"/>
              </w:rPr>
            </w:pPr>
            <w:r>
              <w:rPr>
                <w:sz w:val="20"/>
              </w:rPr>
              <w:t>Económico</w:t>
            </w:r>
          </w:p>
        </w:tc>
        <w:tc>
          <w:tcPr>
            <w:tcW w:w="3271" w:type="dxa"/>
          </w:tcPr>
          <w:p>
            <w:pPr>
              <w:pStyle w:val="TableParagraph"/>
              <w:numPr>
                <w:ilvl w:val="0"/>
                <w:numId w:val="314"/>
              </w:numPr>
              <w:tabs>
                <w:tab w:pos="812" w:val="left" w:leader="none"/>
                <w:tab w:pos="2332" w:val="left" w:leader="none"/>
              </w:tabs>
              <w:spacing w:line="240" w:lineRule="auto" w:before="0" w:after="0"/>
              <w:ind w:left="280" w:right="106" w:hanging="141"/>
              <w:jc w:val="both"/>
              <w:rPr>
                <w:sz w:val="20"/>
              </w:rPr>
            </w:pPr>
            <w:r>
              <w:rPr>
                <w:sz w:val="20"/>
              </w:rPr>
              <w:t>Existen</w:t>
              <w:tab/>
            </w:r>
            <w:r>
              <w:rPr>
                <w:w w:val="95"/>
                <w:sz w:val="20"/>
              </w:rPr>
              <w:t>acuerdos </w:t>
            </w:r>
            <w:r>
              <w:rPr>
                <w:sz w:val="20"/>
              </w:rPr>
              <w:t>intermunicipales para distribuir equitativamente los recursos naturales</w:t>
            </w:r>
          </w:p>
          <w:p>
            <w:pPr>
              <w:pStyle w:val="TableParagraph"/>
              <w:numPr>
                <w:ilvl w:val="0"/>
                <w:numId w:val="314"/>
              </w:numPr>
              <w:tabs>
                <w:tab w:pos="812" w:val="left" w:leader="none"/>
                <w:tab w:pos="2332" w:val="left" w:leader="none"/>
              </w:tabs>
              <w:spacing w:line="240" w:lineRule="auto" w:before="0" w:after="0"/>
              <w:ind w:left="280" w:right="107" w:hanging="141"/>
              <w:jc w:val="both"/>
              <w:rPr>
                <w:sz w:val="20"/>
              </w:rPr>
            </w:pPr>
            <w:r>
              <w:rPr>
                <w:sz w:val="20"/>
              </w:rPr>
              <w:t>Existe</w:t>
              <w:tab/>
            </w:r>
            <w:r>
              <w:rPr>
                <w:w w:val="95"/>
                <w:sz w:val="20"/>
              </w:rPr>
              <w:t>acuerdos </w:t>
            </w:r>
            <w:r>
              <w:rPr>
                <w:sz w:val="20"/>
              </w:rPr>
              <w:t>intermunicipales para cuidar los recursos</w:t>
            </w:r>
            <w:r>
              <w:rPr>
                <w:spacing w:val="-6"/>
                <w:sz w:val="20"/>
              </w:rPr>
              <w:t> </w:t>
            </w:r>
            <w:r>
              <w:rPr>
                <w:sz w:val="20"/>
              </w:rPr>
              <w:t>naturales</w:t>
            </w:r>
          </w:p>
          <w:p>
            <w:pPr>
              <w:pStyle w:val="TableParagraph"/>
              <w:numPr>
                <w:ilvl w:val="0"/>
                <w:numId w:val="314"/>
              </w:numPr>
              <w:tabs>
                <w:tab w:pos="812" w:val="left" w:leader="none"/>
                <w:tab w:pos="2020" w:val="left" w:leader="none"/>
              </w:tabs>
              <w:spacing w:line="240" w:lineRule="auto" w:before="0" w:after="0"/>
              <w:ind w:left="280" w:right="106" w:hanging="141"/>
              <w:jc w:val="both"/>
              <w:rPr>
                <w:sz w:val="20"/>
              </w:rPr>
            </w:pPr>
            <w:r>
              <w:rPr>
                <w:sz w:val="20"/>
              </w:rPr>
              <w:t>Existe</w:t>
              <w:tab/>
            </w:r>
            <w:r>
              <w:rPr>
                <w:w w:val="95"/>
                <w:sz w:val="20"/>
              </w:rPr>
              <w:t>coordinación </w:t>
            </w:r>
            <w:r>
              <w:rPr>
                <w:sz w:val="20"/>
              </w:rPr>
              <w:t>económica entre actores de la CHPH para un crecimiento equilibrado</w:t>
            </w:r>
          </w:p>
        </w:tc>
        <w:tc>
          <w:tcPr>
            <w:tcW w:w="1469" w:type="dxa"/>
            <w:vMerge/>
          </w:tcPr>
          <w:p>
            <w:pPr/>
          </w:p>
        </w:tc>
        <w:tc>
          <w:tcPr>
            <w:tcW w:w="2360" w:type="dxa"/>
            <w:vMerge/>
          </w:tcPr>
          <w:p>
            <w:pPr/>
          </w:p>
        </w:tc>
        <w:tc>
          <w:tcPr>
            <w:tcW w:w="1596" w:type="dxa"/>
            <w:vMerge/>
            <w:tcBorders>
              <w:right w:val="double" w:sz="12" w:space="0" w:color="000000"/>
            </w:tcBorders>
            <w:shd w:val="clear" w:color="auto" w:fill="00FF00"/>
          </w:tcPr>
          <w:p>
            <w:pPr/>
          </w:p>
        </w:tc>
      </w:tr>
      <w:tr>
        <w:trPr>
          <w:trHeight w:val="2770" w:hRule="exact"/>
        </w:trPr>
        <w:tc>
          <w:tcPr>
            <w:tcW w:w="954" w:type="dxa"/>
            <w:vMerge/>
            <w:tcBorders>
              <w:left w:val="double" w:sz="11" w:space="0" w:color="000000"/>
            </w:tcBorders>
          </w:tcPr>
          <w:p>
            <w:pPr/>
          </w:p>
        </w:tc>
        <w:tc>
          <w:tcPr>
            <w:tcW w:w="1822" w:type="dxa"/>
            <w:vMerge/>
          </w:tcPr>
          <w:p>
            <w:pPr/>
          </w:p>
        </w:tc>
        <w:tc>
          <w:tcPr>
            <w:tcW w:w="1349" w:type="dxa"/>
          </w:tcPr>
          <w:p>
            <w:pPr>
              <w:pStyle w:val="TableParagraph"/>
              <w:spacing w:line="227" w:lineRule="exact"/>
              <w:rPr>
                <w:sz w:val="20"/>
              </w:rPr>
            </w:pPr>
            <w:r>
              <w:rPr>
                <w:sz w:val="20"/>
              </w:rPr>
              <w:t>Sociopolítico</w:t>
            </w:r>
          </w:p>
        </w:tc>
        <w:tc>
          <w:tcPr>
            <w:tcW w:w="3271" w:type="dxa"/>
          </w:tcPr>
          <w:p>
            <w:pPr>
              <w:pStyle w:val="TableParagraph"/>
              <w:ind w:left="280" w:right="107" w:hanging="178"/>
              <w:jc w:val="both"/>
              <w:rPr>
                <w:sz w:val="20"/>
              </w:rPr>
            </w:pPr>
            <w:r>
              <w:rPr>
                <w:rFonts w:ascii="Wingdings" w:hAnsi="Wingdings"/>
                <w:sz w:val="20"/>
              </w:rPr>
              <w:t></w:t>
            </w:r>
            <w:r>
              <w:rPr>
                <w:sz w:val="20"/>
              </w:rPr>
              <w:t>Favorece la voluntariedad  de los cabildos y de los actores históricos para la interrelación sociopolítica en la región</w:t>
            </w:r>
          </w:p>
          <w:p>
            <w:pPr>
              <w:pStyle w:val="TableParagraph"/>
              <w:ind w:left="280" w:right="107" w:hanging="178"/>
              <w:jc w:val="both"/>
              <w:rPr>
                <w:sz w:val="20"/>
              </w:rPr>
            </w:pPr>
            <w:r>
              <w:rPr>
                <w:rFonts w:ascii="Wingdings" w:hAnsi="Wingdings"/>
                <w:spacing w:val="2"/>
                <w:sz w:val="20"/>
              </w:rPr>
              <w:t></w:t>
            </w:r>
            <w:r>
              <w:rPr>
                <w:spacing w:val="2"/>
                <w:sz w:val="20"/>
              </w:rPr>
              <w:t>Favorece </w:t>
            </w:r>
            <w:r>
              <w:rPr>
                <w:sz w:val="20"/>
              </w:rPr>
              <w:t>la organización sociopolítica de los actores de  la CHPH para atender problemas comunes a  través del derecho</w:t>
            </w:r>
            <w:r>
              <w:rPr>
                <w:spacing w:val="-10"/>
                <w:sz w:val="20"/>
              </w:rPr>
              <w:t> </w:t>
            </w:r>
            <w:r>
              <w:rPr>
                <w:sz w:val="20"/>
              </w:rPr>
              <w:t>consuetudinario</w:t>
            </w:r>
          </w:p>
          <w:p>
            <w:pPr>
              <w:pStyle w:val="TableParagraph"/>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tc>
        <w:tc>
          <w:tcPr>
            <w:tcW w:w="1469" w:type="dxa"/>
            <w:vMerge/>
          </w:tcPr>
          <w:p>
            <w:pPr/>
          </w:p>
        </w:tc>
        <w:tc>
          <w:tcPr>
            <w:tcW w:w="2360" w:type="dxa"/>
            <w:vMerge/>
          </w:tcPr>
          <w:p>
            <w:pPr/>
          </w:p>
        </w:tc>
        <w:tc>
          <w:tcPr>
            <w:tcW w:w="1596" w:type="dxa"/>
            <w:vMerge/>
            <w:tcBorders>
              <w:right w:val="double" w:sz="12" w:space="0" w:color="000000"/>
            </w:tcBorders>
            <w:shd w:val="clear" w:color="auto" w:fill="00FF00"/>
          </w:tcPr>
          <w:p>
            <w:pPr/>
          </w:p>
        </w:tc>
      </w:tr>
    </w:tbl>
    <w:p>
      <w:pPr>
        <w:spacing w:after="0"/>
        <w:sectPr>
          <w:pgSz w:w="15840" w:h="12240" w:orient="landscape"/>
          <w:pgMar w:header="0" w:footer="943" w:top="1140" w:bottom="1140" w:left="1200" w:right="1300"/>
        </w:sectPr>
      </w:pPr>
    </w:p>
    <w:p>
      <w:pPr>
        <w:pStyle w:val="BodyText"/>
        <w:rPr>
          <w:rFonts w:ascii="Times New Roman"/>
          <w:sz w:val="20"/>
        </w:rPr>
      </w:pPr>
      <w:r>
        <w:rPr/>
        <w:pict>
          <v:group style="position:absolute;margin-left:628.900024pt;margin-top:121.106003pt;width:77.4pt;height:403.55pt;mso-position-horizontal-relative:page;mso-position-vertical-relative:page;z-index:-3328216" coordorigin="12578,2422" coordsize="1548,8071">
            <v:shape style="position:absolute;left:12578;top:2422;width:1548;height:8070" type="#_x0000_t75" stroked="false">
              <v:imagedata r:id="rId546" o:title=""/>
            </v:shape>
            <v:shape style="position:absolute;left:12679;top:6227;width:1344;height:231" type="#_x0000_t75" stroked="false">
              <v:imagedata r:id="rId547" o:title=""/>
            </v:shape>
            <v:shape style="position:absolute;left:12679;top:6457;width:1344;height:230" type="#_x0000_t75" stroked="false">
              <v:imagedata r:id="rId548"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22"/>
        <w:gridCol w:w="1349"/>
        <w:gridCol w:w="3271"/>
        <w:gridCol w:w="1469"/>
        <w:gridCol w:w="2360"/>
        <w:gridCol w:w="1596"/>
      </w:tblGrid>
      <w:tr>
        <w:trPr>
          <w:trHeight w:val="710" w:hRule="exact"/>
        </w:trPr>
        <w:tc>
          <w:tcPr>
            <w:tcW w:w="954" w:type="dxa"/>
            <w:tcBorders>
              <w:left w:val="double" w:sz="11" w:space="0" w:color="000000"/>
            </w:tcBorders>
          </w:tcPr>
          <w:p>
            <w:pPr/>
          </w:p>
        </w:tc>
        <w:tc>
          <w:tcPr>
            <w:tcW w:w="1822" w:type="dxa"/>
          </w:tcPr>
          <w:p>
            <w:pPr/>
          </w:p>
        </w:tc>
        <w:tc>
          <w:tcPr>
            <w:tcW w:w="1349" w:type="dxa"/>
          </w:tcPr>
          <w:p>
            <w:pPr/>
          </w:p>
        </w:tc>
        <w:tc>
          <w:tcPr>
            <w:tcW w:w="3271" w:type="dxa"/>
          </w:tcPr>
          <w:p>
            <w:pPr>
              <w:pStyle w:val="TableParagraph"/>
              <w:numPr>
                <w:ilvl w:val="0"/>
                <w:numId w:val="315"/>
              </w:numPr>
              <w:tabs>
                <w:tab w:pos="336" w:val="left" w:leader="none"/>
              </w:tabs>
              <w:spacing w:line="240" w:lineRule="auto" w:before="7" w:after="0"/>
              <w:ind w:left="280" w:right="106" w:hanging="177"/>
              <w:jc w:val="both"/>
              <w:rPr>
                <w:sz w:val="20"/>
              </w:rPr>
            </w:pPr>
            <w:r>
              <w:rPr>
                <w:sz w:val="20"/>
              </w:rPr>
              <w:t>Favorece la planeación sociopolítica con articulación entre</w:t>
            </w:r>
            <w:r>
              <w:rPr>
                <w:spacing w:val="-5"/>
                <w:sz w:val="20"/>
              </w:rPr>
              <w:t> </w:t>
            </w:r>
            <w:r>
              <w:rPr>
                <w:sz w:val="20"/>
              </w:rPr>
              <w:t>actores</w:t>
            </w:r>
          </w:p>
        </w:tc>
        <w:tc>
          <w:tcPr>
            <w:tcW w:w="1469" w:type="dxa"/>
          </w:tcPr>
          <w:p>
            <w:pPr/>
          </w:p>
        </w:tc>
        <w:tc>
          <w:tcPr>
            <w:tcW w:w="2360" w:type="dxa"/>
          </w:tcPr>
          <w:p>
            <w:pPr/>
          </w:p>
        </w:tc>
        <w:tc>
          <w:tcPr>
            <w:tcW w:w="1596" w:type="dxa"/>
            <w:tcBorders>
              <w:right w:val="double" w:sz="12" w:space="0" w:color="000000"/>
            </w:tcBorders>
            <w:shd w:val="clear" w:color="auto" w:fill="00FF00"/>
          </w:tcPr>
          <w:p>
            <w:pPr/>
          </w:p>
        </w:tc>
      </w:tr>
      <w:tr>
        <w:trPr>
          <w:trHeight w:val="3459"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20"/>
              </w:rPr>
            </w:pPr>
          </w:p>
          <w:p>
            <w:pPr>
              <w:pStyle w:val="TableParagraph"/>
              <w:ind w:left="230"/>
              <w:rPr>
                <w:sz w:val="20"/>
              </w:rPr>
            </w:pPr>
            <w:r>
              <w:rPr>
                <w:sz w:val="20"/>
              </w:rPr>
              <w:t>1519</w:t>
            </w:r>
          </w:p>
        </w:tc>
        <w:tc>
          <w:tcPr>
            <w:tcW w:w="182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19"/>
              </w:rPr>
            </w:pPr>
          </w:p>
          <w:p>
            <w:pPr>
              <w:pStyle w:val="TableParagraph"/>
              <w:ind w:left="0"/>
              <w:jc w:val="center"/>
              <w:rPr>
                <w:b/>
                <w:sz w:val="20"/>
              </w:rPr>
            </w:pPr>
            <w:r>
              <w:rPr>
                <w:b/>
                <w:w w:val="99"/>
                <w:sz w:val="20"/>
              </w:rPr>
              <w:t>1</w:t>
            </w:r>
          </w:p>
        </w:tc>
        <w:tc>
          <w:tcPr>
            <w:tcW w:w="1349" w:type="dxa"/>
          </w:tcPr>
          <w:p>
            <w:pPr>
              <w:pStyle w:val="TableParagraph"/>
              <w:spacing w:line="227" w:lineRule="exact"/>
              <w:rPr>
                <w:sz w:val="20"/>
              </w:rPr>
            </w:pPr>
            <w:r>
              <w:rPr>
                <w:sz w:val="20"/>
              </w:rPr>
              <w:t>Ambiental</w:t>
            </w:r>
          </w:p>
        </w:tc>
        <w:tc>
          <w:tcPr>
            <w:tcW w:w="3271" w:type="dxa"/>
          </w:tcPr>
          <w:p>
            <w:pPr>
              <w:pStyle w:val="TableParagraph"/>
              <w:numPr>
                <w:ilvl w:val="0"/>
                <w:numId w:val="316"/>
              </w:numPr>
              <w:tabs>
                <w:tab w:pos="812" w:val="left" w:leader="none"/>
                <w:tab w:pos="2241" w:val="left" w:leader="none"/>
              </w:tabs>
              <w:spacing w:line="240" w:lineRule="auto" w:before="0" w:after="0"/>
              <w:ind w:left="280" w:right="107" w:hanging="141"/>
              <w:jc w:val="both"/>
              <w:rPr>
                <w:sz w:val="20"/>
              </w:rPr>
            </w:pPr>
            <w:r>
              <w:rPr>
                <w:sz w:val="20"/>
              </w:rPr>
              <w:t>Existen</w:t>
              <w:tab/>
              <w:t>relaciones</w:t>
            </w:r>
            <w:r>
              <w:rPr>
                <w:w w:val="99"/>
                <w:sz w:val="20"/>
              </w:rPr>
              <w:t> </w:t>
            </w:r>
            <w:r>
              <w:rPr>
                <w:sz w:val="20"/>
              </w:rPr>
              <w:t>intermunicipales para atender el medio ambiente de la</w:t>
            </w:r>
            <w:r>
              <w:rPr>
                <w:spacing w:val="-7"/>
                <w:sz w:val="20"/>
              </w:rPr>
              <w:t> </w:t>
            </w:r>
            <w:r>
              <w:rPr>
                <w:sz w:val="20"/>
              </w:rPr>
              <w:t>CHPH</w:t>
            </w:r>
          </w:p>
          <w:p>
            <w:pPr>
              <w:pStyle w:val="TableParagraph"/>
              <w:numPr>
                <w:ilvl w:val="0"/>
                <w:numId w:val="316"/>
              </w:numPr>
              <w:tabs>
                <w:tab w:pos="812" w:val="left" w:leader="none"/>
              </w:tabs>
              <w:spacing w:line="240" w:lineRule="auto" w:before="0" w:after="0"/>
              <w:ind w:left="280" w:right="107" w:hanging="141"/>
              <w:jc w:val="both"/>
              <w:rPr>
                <w:sz w:val="20"/>
              </w:rPr>
            </w:pPr>
            <w:r>
              <w:rPr>
                <w:sz w:val="20"/>
              </w:rPr>
              <w:t>Los municipios tienen facultades para atender problemas del deterioro ambiental</w:t>
            </w:r>
          </w:p>
          <w:p>
            <w:pPr>
              <w:pStyle w:val="TableParagraph"/>
              <w:numPr>
                <w:ilvl w:val="0"/>
                <w:numId w:val="316"/>
              </w:numPr>
              <w:tabs>
                <w:tab w:pos="812" w:val="left" w:leader="none"/>
              </w:tabs>
              <w:spacing w:line="240" w:lineRule="auto" w:before="0" w:after="0"/>
              <w:ind w:left="280" w:right="105"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316"/>
              </w:numPr>
              <w:tabs>
                <w:tab w:pos="812" w:val="left" w:leader="none"/>
              </w:tabs>
              <w:spacing w:line="240" w:lineRule="auto" w:before="0" w:after="0"/>
              <w:ind w:left="280" w:right="106" w:hanging="141"/>
              <w:jc w:val="both"/>
              <w:rPr>
                <w:sz w:val="20"/>
              </w:rPr>
            </w:pPr>
            <w:r>
              <w:rPr>
                <w:sz w:val="20"/>
              </w:rPr>
              <w:t>Existe coordinación del cabildo con los actores históricos para cuidar el medio ambiente</w:t>
            </w:r>
          </w:p>
        </w:tc>
        <w:tc>
          <w:tcPr>
            <w:tcW w:w="1469"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23"/>
              <w:ind w:left="508" w:right="511"/>
              <w:jc w:val="center"/>
              <w:rPr>
                <w:sz w:val="20"/>
              </w:rPr>
            </w:pPr>
            <w:r>
              <w:rPr>
                <w:sz w:val="20"/>
              </w:rPr>
              <w:t>75%</w:t>
            </w:r>
          </w:p>
        </w:tc>
        <w:tc>
          <w:tcPr>
            <w:tcW w:w="2360" w:type="dxa"/>
            <w:vMerge w:val="restart"/>
          </w:tcPr>
          <w:p>
            <w:pPr>
              <w:pStyle w:val="TableParagraph"/>
              <w:tabs>
                <w:tab w:pos="2022" w:val="left" w:leader="none"/>
              </w:tabs>
              <w:ind w:right="104"/>
              <w:jc w:val="both"/>
              <w:rPr>
                <w:sz w:val="20"/>
              </w:rPr>
            </w:pPr>
            <w:r>
              <w:rPr>
                <w:sz w:val="20"/>
              </w:rPr>
              <w:t>Debe reunir </w:t>
            </w:r>
            <w:r>
              <w:rPr>
                <w:b/>
                <w:sz w:val="20"/>
              </w:rPr>
              <w:t>al  menos el 75% </w:t>
            </w:r>
            <w:r>
              <w:rPr>
                <w:sz w:val="20"/>
              </w:rPr>
              <w:t>dos de tres características</w:t>
              <w:tab/>
              <w:t>de</w:t>
            </w:r>
            <w:r>
              <w:rPr>
                <w:w w:val="99"/>
                <w:sz w:val="20"/>
              </w:rPr>
              <w:t> </w:t>
            </w:r>
            <w:r>
              <w:rPr>
                <w:sz w:val="20"/>
              </w:rPr>
              <w:t>impacto</w:t>
            </w:r>
            <w:r>
              <w:rPr>
                <w:spacing w:val="-3"/>
                <w:sz w:val="20"/>
              </w:rPr>
              <w:t> </w:t>
            </w:r>
            <w:r>
              <w:rPr>
                <w:sz w:val="20"/>
              </w:rPr>
              <w:t>positivo</w:t>
            </w:r>
          </w:p>
        </w:tc>
        <w:tc>
          <w:tcPr>
            <w:tcW w:w="1596"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20"/>
              <w:ind w:left="460"/>
              <w:rPr>
                <w:b/>
                <w:sz w:val="20"/>
              </w:rPr>
            </w:pPr>
            <w:r>
              <w:rPr>
                <w:b/>
                <w:sz w:val="20"/>
              </w:rPr>
              <w:t>Bueno</w:t>
            </w:r>
          </w:p>
        </w:tc>
      </w:tr>
      <w:tr>
        <w:trPr>
          <w:trHeight w:val="2540" w:hRule="exact"/>
        </w:trPr>
        <w:tc>
          <w:tcPr>
            <w:tcW w:w="954" w:type="dxa"/>
            <w:vMerge/>
            <w:tcBorders>
              <w:left w:val="double" w:sz="11" w:space="0" w:color="000000"/>
            </w:tcBorders>
          </w:tcPr>
          <w:p>
            <w:pPr/>
          </w:p>
        </w:tc>
        <w:tc>
          <w:tcPr>
            <w:tcW w:w="1822" w:type="dxa"/>
            <w:vMerge/>
          </w:tcPr>
          <w:p>
            <w:pPr/>
          </w:p>
        </w:tc>
        <w:tc>
          <w:tcPr>
            <w:tcW w:w="1349" w:type="dxa"/>
          </w:tcPr>
          <w:p>
            <w:pPr>
              <w:pStyle w:val="TableParagraph"/>
              <w:spacing w:line="227" w:lineRule="exact"/>
              <w:rPr>
                <w:sz w:val="20"/>
              </w:rPr>
            </w:pPr>
            <w:r>
              <w:rPr>
                <w:sz w:val="20"/>
              </w:rPr>
              <w:t>Económico</w:t>
            </w:r>
          </w:p>
        </w:tc>
        <w:tc>
          <w:tcPr>
            <w:tcW w:w="3271" w:type="dxa"/>
          </w:tcPr>
          <w:p>
            <w:pPr>
              <w:pStyle w:val="TableParagraph"/>
              <w:numPr>
                <w:ilvl w:val="0"/>
                <w:numId w:val="317"/>
              </w:numPr>
              <w:tabs>
                <w:tab w:pos="812" w:val="left" w:leader="none"/>
                <w:tab w:pos="2332" w:val="left" w:leader="none"/>
              </w:tabs>
              <w:spacing w:line="240" w:lineRule="auto" w:before="0" w:after="0"/>
              <w:ind w:left="280" w:right="106" w:hanging="141"/>
              <w:jc w:val="both"/>
              <w:rPr>
                <w:sz w:val="20"/>
              </w:rPr>
            </w:pPr>
            <w:r>
              <w:rPr>
                <w:sz w:val="20"/>
              </w:rPr>
              <w:t>Existen</w:t>
              <w:tab/>
            </w:r>
            <w:r>
              <w:rPr>
                <w:w w:val="95"/>
                <w:sz w:val="20"/>
              </w:rPr>
              <w:t>acuerdos </w:t>
            </w:r>
            <w:r>
              <w:rPr>
                <w:sz w:val="20"/>
              </w:rPr>
              <w:t>intermunicipales para distribuir equitativamente los recursos naturales</w:t>
            </w:r>
          </w:p>
          <w:p>
            <w:pPr>
              <w:pStyle w:val="TableParagraph"/>
              <w:numPr>
                <w:ilvl w:val="0"/>
                <w:numId w:val="317"/>
              </w:numPr>
              <w:tabs>
                <w:tab w:pos="812" w:val="left" w:leader="none"/>
                <w:tab w:pos="2332" w:val="left" w:leader="none"/>
              </w:tabs>
              <w:spacing w:line="240" w:lineRule="auto" w:before="0" w:after="0"/>
              <w:ind w:left="280" w:right="107" w:hanging="141"/>
              <w:jc w:val="both"/>
              <w:rPr>
                <w:sz w:val="20"/>
              </w:rPr>
            </w:pPr>
            <w:r>
              <w:rPr>
                <w:sz w:val="20"/>
              </w:rPr>
              <w:t>Existe</w:t>
              <w:tab/>
            </w:r>
            <w:r>
              <w:rPr>
                <w:w w:val="95"/>
                <w:sz w:val="20"/>
              </w:rPr>
              <w:t>acuerdos </w:t>
            </w:r>
            <w:r>
              <w:rPr>
                <w:sz w:val="20"/>
              </w:rPr>
              <w:t>intermunicipales para cuidar los recursos</w:t>
            </w:r>
            <w:r>
              <w:rPr>
                <w:spacing w:val="-6"/>
                <w:sz w:val="20"/>
              </w:rPr>
              <w:t> </w:t>
            </w:r>
            <w:r>
              <w:rPr>
                <w:sz w:val="20"/>
              </w:rPr>
              <w:t>naturales</w:t>
            </w:r>
          </w:p>
          <w:p>
            <w:pPr>
              <w:pStyle w:val="TableParagraph"/>
              <w:numPr>
                <w:ilvl w:val="0"/>
                <w:numId w:val="317"/>
              </w:numPr>
              <w:tabs>
                <w:tab w:pos="812" w:val="left" w:leader="none"/>
                <w:tab w:pos="2019" w:val="left" w:leader="none"/>
              </w:tabs>
              <w:spacing w:line="240" w:lineRule="auto" w:before="0" w:after="0"/>
              <w:ind w:left="280" w:right="107" w:hanging="141"/>
              <w:jc w:val="both"/>
              <w:rPr>
                <w:sz w:val="20"/>
              </w:rPr>
            </w:pPr>
            <w:r>
              <w:rPr>
                <w:sz w:val="20"/>
              </w:rPr>
              <w:t>Existe</w:t>
              <w:tab/>
            </w:r>
            <w:r>
              <w:rPr>
                <w:w w:val="95"/>
                <w:sz w:val="20"/>
              </w:rPr>
              <w:t>coordinación </w:t>
            </w:r>
            <w:r>
              <w:rPr>
                <w:sz w:val="20"/>
              </w:rPr>
              <w:t>económica entre actores de la CHPH para un crecimiento equilibrado</w:t>
            </w:r>
          </w:p>
        </w:tc>
        <w:tc>
          <w:tcPr>
            <w:tcW w:w="1469" w:type="dxa"/>
            <w:vMerge/>
          </w:tcPr>
          <w:p>
            <w:pPr/>
          </w:p>
        </w:tc>
        <w:tc>
          <w:tcPr>
            <w:tcW w:w="2360" w:type="dxa"/>
            <w:vMerge/>
          </w:tcPr>
          <w:p>
            <w:pPr/>
          </w:p>
        </w:tc>
        <w:tc>
          <w:tcPr>
            <w:tcW w:w="1596" w:type="dxa"/>
            <w:vMerge/>
            <w:tcBorders>
              <w:right w:val="double" w:sz="12" w:space="0" w:color="000000"/>
            </w:tcBorders>
          </w:tcPr>
          <w:p>
            <w:pPr/>
          </w:p>
        </w:tc>
      </w:tr>
      <w:tr>
        <w:trPr>
          <w:trHeight w:val="2081" w:hRule="exact"/>
        </w:trPr>
        <w:tc>
          <w:tcPr>
            <w:tcW w:w="954" w:type="dxa"/>
            <w:vMerge/>
            <w:tcBorders>
              <w:left w:val="double" w:sz="11" w:space="0" w:color="000000"/>
              <w:bottom w:val="single" w:sz="8" w:space="0" w:color="000000"/>
            </w:tcBorders>
          </w:tcPr>
          <w:p>
            <w:pPr/>
          </w:p>
        </w:tc>
        <w:tc>
          <w:tcPr>
            <w:tcW w:w="1822" w:type="dxa"/>
            <w:vMerge/>
            <w:tcBorders>
              <w:bottom w:val="single" w:sz="8" w:space="0" w:color="000000"/>
            </w:tcBorders>
          </w:tcPr>
          <w:p>
            <w:pPr/>
          </w:p>
        </w:tc>
        <w:tc>
          <w:tcPr>
            <w:tcW w:w="1349" w:type="dxa"/>
            <w:tcBorders>
              <w:bottom w:val="single" w:sz="8" w:space="0" w:color="000000"/>
            </w:tcBorders>
          </w:tcPr>
          <w:p>
            <w:pPr>
              <w:pStyle w:val="TableParagraph"/>
              <w:spacing w:line="230" w:lineRule="exact"/>
              <w:rPr>
                <w:sz w:val="20"/>
              </w:rPr>
            </w:pPr>
            <w:r>
              <w:rPr>
                <w:sz w:val="20"/>
              </w:rPr>
              <w:t>Sociopolítico</w:t>
            </w:r>
          </w:p>
        </w:tc>
        <w:tc>
          <w:tcPr>
            <w:tcW w:w="3271" w:type="dxa"/>
            <w:tcBorders>
              <w:bottom w:val="single" w:sz="8" w:space="0" w:color="000000"/>
            </w:tcBorders>
          </w:tcPr>
          <w:p>
            <w:pPr>
              <w:pStyle w:val="TableParagraph"/>
              <w:ind w:left="280" w:right="107" w:hanging="178"/>
              <w:jc w:val="both"/>
              <w:rPr>
                <w:sz w:val="20"/>
              </w:rPr>
            </w:pPr>
            <w:r>
              <w:rPr>
                <w:rFonts w:ascii="Wingdings" w:hAnsi="Wingdings"/>
                <w:sz w:val="20"/>
              </w:rPr>
              <w:t></w:t>
            </w:r>
            <w:r>
              <w:rPr>
                <w:sz w:val="20"/>
              </w:rPr>
              <w:t>Favorece la voluntariedad  de los cabildos y de los actores históricos para la interrelación sociopolítica en la región</w:t>
            </w:r>
          </w:p>
          <w:p>
            <w:pPr>
              <w:pStyle w:val="TableParagraph"/>
              <w:ind w:left="280" w:right="107" w:hanging="178"/>
              <w:jc w:val="both"/>
              <w:rPr>
                <w:sz w:val="20"/>
              </w:rPr>
            </w:pPr>
            <w:r>
              <w:rPr>
                <w:rFonts w:ascii="Wingdings" w:hAnsi="Wingdings"/>
                <w:spacing w:val="2"/>
                <w:sz w:val="20"/>
              </w:rPr>
              <w:t></w:t>
            </w:r>
            <w:r>
              <w:rPr>
                <w:spacing w:val="2"/>
                <w:sz w:val="20"/>
              </w:rPr>
              <w:t>Favorece </w:t>
            </w:r>
            <w:r>
              <w:rPr>
                <w:sz w:val="20"/>
              </w:rPr>
              <w:t>la organización sociopolítica de los actores de  la CHPH para atender problemas comunes a  través del derecho</w:t>
            </w:r>
            <w:r>
              <w:rPr>
                <w:spacing w:val="-10"/>
                <w:sz w:val="20"/>
              </w:rPr>
              <w:t> </w:t>
            </w:r>
            <w:r>
              <w:rPr>
                <w:sz w:val="20"/>
              </w:rPr>
              <w:t>consuetudinario</w:t>
            </w:r>
          </w:p>
        </w:tc>
        <w:tc>
          <w:tcPr>
            <w:tcW w:w="1469" w:type="dxa"/>
            <w:vMerge/>
            <w:tcBorders>
              <w:bottom w:val="single" w:sz="8" w:space="0" w:color="000000"/>
            </w:tcBorders>
          </w:tcPr>
          <w:p>
            <w:pPr/>
          </w:p>
        </w:tc>
        <w:tc>
          <w:tcPr>
            <w:tcW w:w="2360" w:type="dxa"/>
            <w:vMerge/>
            <w:tcBorders>
              <w:bottom w:val="single" w:sz="8" w:space="0" w:color="000000"/>
            </w:tcBorders>
          </w:tcPr>
          <w:p>
            <w:pPr/>
          </w:p>
        </w:tc>
        <w:tc>
          <w:tcPr>
            <w:tcW w:w="1596" w:type="dxa"/>
            <w:vMerge/>
            <w:tcBorders>
              <w:bottom w:val="single" w:sz="8"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22"/>
        <w:gridCol w:w="1349"/>
        <w:gridCol w:w="3271"/>
        <w:gridCol w:w="1469"/>
        <w:gridCol w:w="2360"/>
        <w:gridCol w:w="1596"/>
      </w:tblGrid>
      <w:tr>
        <w:trPr>
          <w:trHeight w:val="1399" w:hRule="exact"/>
        </w:trPr>
        <w:tc>
          <w:tcPr>
            <w:tcW w:w="954" w:type="dxa"/>
            <w:tcBorders>
              <w:left w:val="double" w:sz="11" w:space="0" w:color="000000"/>
            </w:tcBorders>
          </w:tcPr>
          <w:p>
            <w:pPr/>
          </w:p>
        </w:tc>
        <w:tc>
          <w:tcPr>
            <w:tcW w:w="1822" w:type="dxa"/>
          </w:tcPr>
          <w:p>
            <w:pPr/>
          </w:p>
        </w:tc>
        <w:tc>
          <w:tcPr>
            <w:tcW w:w="1349" w:type="dxa"/>
          </w:tcPr>
          <w:p>
            <w:pPr/>
          </w:p>
        </w:tc>
        <w:tc>
          <w:tcPr>
            <w:tcW w:w="3271" w:type="dxa"/>
          </w:tcPr>
          <w:p>
            <w:pPr>
              <w:pStyle w:val="TableParagraph"/>
              <w:spacing w:before="7"/>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numPr>
                <w:ilvl w:val="0"/>
                <w:numId w:val="318"/>
              </w:numPr>
              <w:tabs>
                <w:tab w:pos="336" w:val="left" w:leader="none"/>
              </w:tabs>
              <w:spacing w:line="240" w:lineRule="auto" w:before="0" w:after="0"/>
              <w:ind w:left="280" w:right="107" w:hanging="177"/>
              <w:jc w:val="both"/>
              <w:rPr>
                <w:sz w:val="20"/>
              </w:rPr>
            </w:pPr>
            <w:r>
              <w:rPr>
                <w:sz w:val="20"/>
              </w:rPr>
              <w:t>Favorece la planeación sociopolítica con articulación entre</w:t>
            </w:r>
            <w:r>
              <w:rPr>
                <w:spacing w:val="-5"/>
                <w:sz w:val="20"/>
              </w:rPr>
              <w:t> </w:t>
            </w:r>
            <w:r>
              <w:rPr>
                <w:sz w:val="20"/>
              </w:rPr>
              <w:t>actores</w:t>
            </w:r>
          </w:p>
        </w:tc>
        <w:tc>
          <w:tcPr>
            <w:tcW w:w="1469" w:type="dxa"/>
          </w:tcPr>
          <w:p>
            <w:pPr/>
          </w:p>
        </w:tc>
        <w:tc>
          <w:tcPr>
            <w:tcW w:w="2360" w:type="dxa"/>
          </w:tcPr>
          <w:p>
            <w:pPr/>
          </w:p>
        </w:tc>
        <w:tc>
          <w:tcPr>
            <w:tcW w:w="1596" w:type="dxa"/>
            <w:tcBorders>
              <w:right w:val="double" w:sz="12" w:space="0" w:color="000000"/>
            </w:tcBorders>
          </w:tcPr>
          <w:p>
            <w:pPr>
              <w:pStyle w:val="TableParagraph"/>
              <w:ind w:left="0" w:right="-50"/>
              <w:rPr>
                <w:rFonts w:ascii="Times New Roman"/>
                <w:sz w:val="20"/>
              </w:rPr>
            </w:pPr>
            <w:r>
              <w:rPr>
                <w:rFonts w:ascii="Times New Roman"/>
                <w:sz w:val="20"/>
              </w:rPr>
              <w:pict>
                <v:group style="width:77.4pt;height:69pt;mso-position-horizontal-relative:char;mso-position-vertical-relative:line" coordorigin="0,0" coordsize="1548,1380">
                  <v:shape style="position:absolute;left:0;top:0;width:1548;height:1380" type="#_x0000_t75" stroked="false">
                    <v:imagedata r:id="rId549" o:title=""/>
                  </v:shape>
                </v:group>
              </w:pict>
            </w:r>
            <w:r>
              <w:rPr>
                <w:rFonts w:ascii="Times New Roman"/>
                <w:sz w:val="20"/>
              </w:rPr>
            </w:r>
          </w:p>
        </w:tc>
      </w:tr>
      <w:tr>
        <w:trPr>
          <w:trHeight w:val="953" w:hRule="exact"/>
        </w:trPr>
        <w:tc>
          <w:tcPr>
            <w:tcW w:w="954" w:type="dxa"/>
            <w:tcBorders>
              <w:left w:val="double" w:sz="11" w:space="0" w:color="000000"/>
            </w:tcBorders>
          </w:tcPr>
          <w:p>
            <w:pPr>
              <w:pStyle w:val="TableParagraph"/>
              <w:ind w:left="0"/>
              <w:rPr>
                <w:rFonts w:ascii="Times New Roman"/>
                <w:sz w:val="20"/>
              </w:rPr>
            </w:pPr>
          </w:p>
          <w:p>
            <w:pPr>
              <w:pStyle w:val="TableParagraph"/>
              <w:spacing w:before="125"/>
              <w:ind w:left="209" w:right="212"/>
              <w:jc w:val="center"/>
              <w:rPr>
                <w:sz w:val="20"/>
              </w:rPr>
            </w:pPr>
            <w:r>
              <w:rPr>
                <w:sz w:val="20"/>
              </w:rPr>
              <w:t>1580</w:t>
            </w:r>
          </w:p>
        </w:tc>
        <w:tc>
          <w:tcPr>
            <w:tcW w:w="182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7"/>
              <w:ind w:left="0"/>
              <w:rPr>
                <w:rFonts w:ascii="Times New Roman"/>
                <w:sz w:val="19"/>
              </w:rPr>
            </w:pPr>
          </w:p>
          <w:p>
            <w:pPr>
              <w:pStyle w:val="TableParagraph"/>
              <w:ind w:left="0"/>
              <w:jc w:val="center"/>
              <w:rPr>
                <w:b/>
                <w:sz w:val="20"/>
              </w:rPr>
            </w:pPr>
            <w:r>
              <w:rPr>
                <w:b/>
                <w:w w:val="99"/>
                <w:sz w:val="20"/>
              </w:rPr>
              <w:t>1</w:t>
            </w:r>
          </w:p>
        </w:tc>
        <w:tc>
          <w:tcPr>
            <w:tcW w:w="1349" w:type="dxa"/>
            <w:vMerge w:val="restart"/>
          </w:tcPr>
          <w:p>
            <w:pPr>
              <w:pStyle w:val="TableParagraph"/>
              <w:spacing w:line="227" w:lineRule="exact"/>
              <w:rPr>
                <w:sz w:val="20"/>
              </w:rPr>
            </w:pPr>
            <w:r>
              <w:rPr>
                <w:sz w:val="20"/>
              </w:rPr>
              <w:t>Ambiental</w:t>
            </w:r>
          </w:p>
        </w:tc>
        <w:tc>
          <w:tcPr>
            <w:tcW w:w="3271" w:type="dxa"/>
            <w:vMerge w:val="restart"/>
          </w:tcPr>
          <w:p>
            <w:pPr>
              <w:pStyle w:val="TableParagraph"/>
              <w:numPr>
                <w:ilvl w:val="0"/>
                <w:numId w:val="319"/>
              </w:numPr>
              <w:tabs>
                <w:tab w:pos="812" w:val="left" w:leader="none"/>
                <w:tab w:pos="2241" w:val="left" w:leader="none"/>
              </w:tabs>
              <w:spacing w:line="240" w:lineRule="auto" w:before="0" w:after="0"/>
              <w:ind w:left="280" w:right="107" w:hanging="141"/>
              <w:jc w:val="both"/>
              <w:rPr>
                <w:sz w:val="20"/>
              </w:rPr>
            </w:pPr>
            <w:r>
              <w:rPr>
                <w:sz w:val="20"/>
              </w:rPr>
              <w:t>Existen</w:t>
              <w:tab/>
              <w:t>relaciones</w:t>
            </w:r>
            <w:r>
              <w:rPr>
                <w:w w:val="99"/>
                <w:sz w:val="20"/>
              </w:rPr>
              <w:t> </w:t>
            </w:r>
            <w:r>
              <w:rPr>
                <w:sz w:val="20"/>
              </w:rPr>
              <w:t>intermunicipales para atender el medio ambiente de la</w:t>
            </w:r>
            <w:r>
              <w:rPr>
                <w:spacing w:val="-7"/>
                <w:sz w:val="20"/>
              </w:rPr>
              <w:t> </w:t>
            </w:r>
            <w:r>
              <w:rPr>
                <w:sz w:val="20"/>
              </w:rPr>
              <w:t>CHPH</w:t>
            </w:r>
          </w:p>
          <w:p>
            <w:pPr>
              <w:pStyle w:val="TableParagraph"/>
              <w:numPr>
                <w:ilvl w:val="0"/>
                <w:numId w:val="319"/>
              </w:numPr>
              <w:tabs>
                <w:tab w:pos="812" w:val="left" w:leader="none"/>
              </w:tabs>
              <w:spacing w:line="240" w:lineRule="auto" w:before="1" w:after="0"/>
              <w:ind w:left="280" w:right="107" w:hanging="141"/>
              <w:jc w:val="both"/>
              <w:rPr>
                <w:sz w:val="20"/>
              </w:rPr>
            </w:pPr>
            <w:r>
              <w:rPr>
                <w:sz w:val="20"/>
              </w:rPr>
              <w:t>Los municipios tienen facultades para atender problemas del deterioro ambiental</w:t>
            </w:r>
          </w:p>
          <w:p>
            <w:pPr>
              <w:pStyle w:val="TableParagraph"/>
              <w:numPr>
                <w:ilvl w:val="0"/>
                <w:numId w:val="319"/>
              </w:numPr>
              <w:tabs>
                <w:tab w:pos="812" w:val="left" w:leader="none"/>
              </w:tabs>
              <w:spacing w:line="240" w:lineRule="auto" w:before="0" w:after="0"/>
              <w:ind w:left="280" w:right="107"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319"/>
              </w:numPr>
              <w:tabs>
                <w:tab w:pos="812" w:val="left" w:leader="none"/>
              </w:tabs>
              <w:spacing w:line="240" w:lineRule="auto" w:before="0" w:after="0"/>
              <w:ind w:left="280" w:right="106" w:hanging="141"/>
              <w:jc w:val="both"/>
              <w:rPr>
                <w:sz w:val="20"/>
              </w:rPr>
            </w:pPr>
            <w:r>
              <w:rPr>
                <w:sz w:val="20"/>
              </w:rPr>
              <w:t>Existe coordinación del cabildo con los actores históricos para cuidar el medio ambiente</w:t>
            </w:r>
          </w:p>
        </w:tc>
        <w:tc>
          <w:tcPr>
            <w:tcW w:w="1469"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1"/>
              <w:ind w:left="0"/>
              <w:rPr>
                <w:rFonts w:ascii="Times New Roman"/>
                <w:sz w:val="19"/>
              </w:rPr>
            </w:pPr>
          </w:p>
          <w:p>
            <w:pPr>
              <w:pStyle w:val="TableParagraph"/>
              <w:ind w:left="508" w:right="511"/>
              <w:jc w:val="center"/>
              <w:rPr>
                <w:sz w:val="20"/>
              </w:rPr>
            </w:pPr>
            <w:r>
              <w:rPr>
                <w:sz w:val="20"/>
              </w:rPr>
              <w:t>50%</w:t>
            </w:r>
          </w:p>
        </w:tc>
        <w:tc>
          <w:tcPr>
            <w:tcW w:w="2360" w:type="dxa"/>
            <w:vMerge w:val="restart"/>
          </w:tcPr>
          <w:p>
            <w:pPr>
              <w:pStyle w:val="TableParagraph"/>
              <w:tabs>
                <w:tab w:pos="2022" w:val="left" w:leader="none"/>
              </w:tabs>
              <w:spacing w:line="242" w:lineRule="auto"/>
              <w:ind w:right="104"/>
              <w:jc w:val="both"/>
              <w:rPr>
                <w:sz w:val="20"/>
              </w:rPr>
            </w:pPr>
            <w:r>
              <w:rPr>
                <w:sz w:val="20"/>
              </w:rPr>
              <w:t>Debe reunir </w:t>
            </w:r>
            <w:r>
              <w:rPr>
                <w:b/>
                <w:sz w:val="20"/>
              </w:rPr>
              <w:t>al  menos el 50% una de tres </w:t>
            </w:r>
            <w:r>
              <w:rPr>
                <w:sz w:val="20"/>
              </w:rPr>
              <w:t>características</w:t>
              <w:tab/>
              <w:t>de</w:t>
            </w:r>
            <w:r>
              <w:rPr>
                <w:w w:val="99"/>
                <w:sz w:val="20"/>
              </w:rPr>
              <w:t> </w:t>
            </w:r>
            <w:r>
              <w:rPr>
                <w:sz w:val="20"/>
              </w:rPr>
              <w:t>impacto</w:t>
            </w:r>
            <w:r>
              <w:rPr>
                <w:spacing w:val="-3"/>
                <w:sz w:val="20"/>
              </w:rPr>
              <w:t> </w:t>
            </w:r>
            <w:r>
              <w:rPr>
                <w:sz w:val="20"/>
              </w:rPr>
              <w:t>positivo</w:t>
            </w:r>
          </w:p>
        </w:tc>
        <w:tc>
          <w:tcPr>
            <w:tcW w:w="1596"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9"/>
              </w:rPr>
            </w:pPr>
          </w:p>
          <w:p>
            <w:pPr>
              <w:pStyle w:val="TableParagraph"/>
              <w:ind w:left="400"/>
              <w:rPr>
                <w:b/>
                <w:sz w:val="20"/>
              </w:rPr>
            </w:pPr>
            <w:r>
              <w:rPr>
                <w:b/>
                <w:sz w:val="20"/>
              </w:rPr>
              <w:t>Regular</w:t>
            </w:r>
          </w:p>
        </w:tc>
      </w:tr>
      <w:tr>
        <w:trPr>
          <w:trHeight w:val="950" w:hRule="exact"/>
        </w:trPr>
        <w:tc>
          <w:tcPr>
            <w:tcW w:w="954" w:type="dxa"/>
            <w:tcBorders>
              <w:left w:val="double" w:sz="11" w:space="0" w:color="000000"/>
            </w:tcBorders>
          </w:tcPr>
          <w:p>
            <w:pPr>
              <w:pStyle w:val="TableParagraph"/>
              <w:ind w:left="0"/>
              <w:rPr>
                <w:rFonts w:ascii="Times New Roman"/>
                <w:sz w:val="20"/>
              </w:rPr>
            </w:pPr>
          </w:p>
          <w:p>
            <w:pPr>
              <w:pStyle w:val="TableParagraph"/>
              <w:spacing w:before="122"/>
              <w:ind w:left="209" w:right="212"/>
              <w:jc w:val="center"/>
              <w:rPr>
                <w:sz w:val="20"/>
              </w:rPr>
            </w:pPr>
            <w:r>
              <w:rPr>
                <w:sz w:val="20"/>
              </w:rPr>
              <w:t>1785</w:t>
            </w:r>
          </w:p>
        </w:tc>
        <w:tc>
          <w:tcPr>
            <w:tcW w:w="1822" w:type="dxa"/>
            <w:vMerge/>
          </w:tcPr>
          <w:p>
            <w:pPr/>
          </w:p>
        </w:tc>
        <w:tc>
          <w:tcPr>
            <w:tcW w:w="1349" w:type="dxa"/>
            <w:vMerge/>
          </w:tcPr>
          <w:p>
            <w:pPr/>
          </w:p>
        </w:tc>
        <w:tc>
          <w:tcPr>
            <w:tcW w:w="3271" w:type="dxa"/>
            <w:vMerge/>
          </w:tcPr>
          <w:p>
            <w:pPr/>
          </w:p>
        </w:tc>
        <w:tc>
          <w:tcPr>
            <w:tcW w:w="1469" w:type="dxa"/>
            <w:vMerge/>
          </w:tcPr>
          <w:p>
            <w:pPr/>
          </w:p>
        </w:tc>
        <w:tc>
          <w:tcPr>
            <w:tcW w:w="2360" w:type="dxa"/>
            <w:vMerge/>
          </w:tcPr>
          <w:p>
            <w:pPr/>
          </w:p>
        </w:tc>
        <w:tc>
          <w:tcPr>
            <w:tcW w:w="1596" w:type="dxa"/>
            <w:vMerge/>
            <w:tcBorders>
              <w:right w:val="double" w:sz="12" w:space="0" w:color="000000"/>
            </w:tcBorders>
            <w:shd w:val="clear" w:color="auto" w:fill="FFFF00"/>
          </w:tcPr>
          <w:p>
            <w:pPr/>
          </w:p>
        </w:tc>
      </w:tr>
      <w:tr>
        <w:trPr>
          <w:trHeight w:val="1558" w:hRule="exact"/>
        </w:trPr>
        <w:tc>
          <w:tcPr>
            <w:tcW w:w="954" w:type="dxa"/>
            <w:tcBorders>
              <w:left w:val="double" w:sz="11" w:space="0" w:color="000000"/>
            </w:tcBorders>
          </w:tcPr>
          <w:p>
            <w:pPr>
              <w:pStyle w:val="TableParagraph"/>
              <w:ind w:left="0"/>
              <w:rPr>
                <w:rFonts w:ascii="Times New Roman"/>
                <w:sz w:val="20"/>
              </w:rPr>
            </w:pPr>
          </w:p>
          <w:p>
            <w:pPr>
              <w:pStyle w:val="TableParagraph"/>
              <w:spacing w:before="10"/>
              <w:ind w:left="0"/>
              <w:rPr>
                <w:rFonts w:ascii="Times New Roman"/>
                <w:sz w:val="16"/>
              </w:rPr>
            </w:pPr>
          </w:p>
          <w:p>
            <w:pPr>
              <w:pStyle w:val="TableParagraph"/>
              <w:ind w:left="209" w:right="212"/>
              <w:jc w:val="center"/>
              <w:rPr>
                <w:sz w:val="20"/>
              </w:rPr>
            </w:pPr>
            <w:r>
              <w:rPr>
                <w:sz w:val="20"/>
              </w:rPr>
              <w:t>1810</w:t>
            </w:r>
          </w:p>
        </w:tc>
        <w:tc>
          <w:tcPr>
            <w:tcW w:w="1822" w:type="dxa"/>
            <w:vMerge/>
          </w:tcPr>
          <w:p>
            <w:pPr/>
          </w:p>
        </w:tc>
        <w:tc>
          <w:tcPr>
            <w:tcW w:w="1349" w:type="dxa"/>
            <w:vMerge/>
          </w:tcPr>
          <w:p>
            <w:pPr/>
          </w:p>
        </w:tc>
        <w:tc>
          <w:tcPr>
            <w:tcW w:w="3271" w:type="dxa"/>
            <w:vMerge/>
          </w:tcPr>
          <w:p>
            <w:pPr/>
          </w:p>
        </w:tc>
        <w:tc>
          <w:tcPr>
            <w:tcW w:w="1469" w:type="dxa"/>
            <w:vMerge/>
          </w:tcPr>
          <w:p>
            <w:pPr/>
          </w:p>
        </w:tc>
        <w:tc>
          <w:tcPr>
            <w:tcW w:w="2360" w:type="dxa"/>
            <w:vMerge/>
          </w:tcPr>
          <w:p>
            <w:pPr/>
          </w:p>
        </w:tc>
        <w:tc>
          <w:tcPr>
            <w:tcW w:w="1596" w:type="dxa"/>
            <w:vMerge/>
            <w:tcBorders>
              <w:right w:val="double" w:sz="12" w:space="0" w:color="000000"/>
            </w:tcBorders>
            <w:shd w:val="clear" w:color="auto" w:fill="FFFF00"/>
          </w:tcPr>
          <w:p>
            <w:pPr/>
          </w:p>
        </w:tc>
      </w:tr>
      <w:tr>
        <w:trPr>
          <w:trHeight w:val="658" w:hRule="exact"/>
        </w:trPr>
        <w:tc>
          <w:tcPr>
            <w:tcW w:w="954" w:type="dxa"/>
            <w:tcBorders>
              <w:left w:val="double" w:sz="11" w:space="0" w:color="000000"/>
            </w:tcBorders>
          </w:tcPr>
          <w:p>
            <w:pPr>
              <w:pStyle w:val="TableParagraph"/>
              <w:spacing w:before="10"/>
              <w:ind w:left="0"/>
              <w:rPr>
                <w:rFonts w:ascii="Times New Roman"/>
                <w:sz w:val="17"/>
              </w:rPr>
            </w:pPr>
          </w:p>
          <w:p>
            <w:pPr>
              <w:pStyle w:val="TableParagraph"/>
              <w:ind w:left="209" w:right="212"/>
              <w:jc w:val="center"/>
              <w:rPr>
                <w:sz w:val="20"/>
              </w:rPr>
            </w:pPr>
            <w:r>
              <w:rPr>
                <w:sz w:val="20"/>
              </w:rPr>
              <w:t>1861</w:t>
            </w:r>
          </w:p>
        </w:tc>
        <w:tc>
          <w:tcPr>
            <w:tcW w:w="1822" w:type="dxa"/>
            <w:vMerge/>
          </w:tcPr>
          <w:p>
            <w:pPr/>
          </w:p>
        </w:tc>
        <w:tc>
          <w:tcPr>
            <w:tcW w:w="1349" w:type="dxa"/>
            <w:vMerge w:val="restart"/>
          </w:tcPr>
          <w:p>
            <w:pPr>
              <w:pStyle w:val="TableParagraph"/>
              <w:spacing w:line="227" w:lineRule="exact"/>
              <w:rPr>
                <w:sz w:val="20"/>
              </w:rPr>
            </w:pPr>
            <w:r>
              <w:rPr>
                <w:sz w:val="20"/>
              </w:rPr>
              <w:t>Económico</w:t>
            </w:r>
          </w:p>
        </w:tc>
        <w:tc>
          <w:tcPr>
            <w:tcW w:w="3271" w:type="dxa"/>
            <w:vMerge w:val="restart"/>
          </w:tcPr>
          <w:p>
            <w:pPr>
              <w:pStyle w:val="TableParagraph"/>
              <w:numPr>
                <w:ilvl w:val="0"/>
                <w:numId w:val="320"/>
              </w:numPr>
              <w:tabs>
                <w:tab w:pos="812" w:val="left" w:leader="none"/>
                <w:tab w:pos="2332" w:val="left" w:leader="none"/>
              </w:tabs>
              <w:spacing w:line="240" w:lineRule="auto" w:before="0" w:after="0"/>
              <w:ind w:left="280" w:right="106" w:hanging="141"/>
              <w:jc w:val="both"/>
              <w:rPr>
                <w:sz w:val="20"/>
              </w:rPr>
            </w:pPr>
            <w:r>
              <w:rPr>
                <w:sz w:val="20"/>
              </w:rPr>
              <w:t>Existen</w:t>
              <w:tab/>
            </w:r>
            <w:r>
              <w:rPr>
                <w:w w:val="95"/>
                <w:sz w:val="20"/>
              </w:rPr>
              <w:t>acuerdos </w:t>
            </w:r>
            <w:r>
              <w:rPr>
                <w:sz w:val="20"/>
              </w:rPr>
              <w:t>intermunicipales para distribuir equitativamente los recursos naturales</w:t>
            </w:r>
          </w:p>
          <w:p>
            <w:pPr>
              <w:pStyle w:val="TableParagraph"/>
              <w:numPr>
                <w:ilvl w:val="0"/>
                <w:numId w:val="320"/>
              </w:numPr>
              <w:tabs>
                <w:tab w:pos="812" w:val="left" w:leader="none"/>
                <w:tab w:pos="2332" w:val="left" w:leader="none"/>
              </w:tabs>
              <w:spacing w:line="240" w:lineRule="auto" w:before="0" w:after="0"/>
              <w:ind w:left="280" w:right="107" w:hanging="141"/>
              <w:jc w:val="both"/>
              <w:rPr>
                <w:sz w:val="20"/>
              </w:rPr>
            </w:pPr>
            <w:r>
              <w:rPr>
                <w:sz w:val="20"/>
              </w:rPr>
              <w:t>Existe</w:t>
              <w:tab/>
            </w:r>
            <w:r>
              <w:rPr>
                <w:w w:val="95"/>
                <w:sz w:val="20"/>
              </w:rPr>
              <w:t>acuerdos </w:t>
            </w:r>
            <w:r>
              <w:rPr>
                <w:sz w:val="20"/>
              </w:rPr>
              <w:t>intermunicipales para cuidar los recursos</w:t>
            </w:r>
            <w:r>
              <w:rPr>
                <w:spacing w:val="-6"/>
                <w:sz w:val="20"/>
              </w:rPr>
              <w:t> </w:t>
            </w:r>
            <w:r>
              <w:rPr>
                <w:sz w:val="20"/>
              </w:rPr>
              <w:t>naturales</w:t>
            </w:r>
          </w:p>
          <w:p>
            <w:pPr>
              <w:pStyle w:val="TableParagraph"/>
              <w:numPr>
                <w:ilvl w:val="0"/>
                <w:numId w:val="320"/>
              </w:numPr>
              <w:tabs>
                <w:tab w:pos="812" w:val="left" w:leader="none"/>
                <w:tab w:pos="2019" w:val="left" w:leader="none"/>
              </w:tabs>
              <w:spacing w:line="240" w:lineRule="auto" w:before="0" w:after="0"/>
              <w:ind w:left="280" w:right="107" w:hanging="141"/>
              <w:jc w:val="both"/>
              <w:rPr>
                <w:sz w:val="20"/>
              </w:rPr>
            </w:pPr>
            <w:r>
              <w:rPr>
                <w:sz w:val="20"/>
              </w:rPr>
              <w:t>Existe</w:t>
              <w:tab/>
            </w:r>
            <w:r>
              <w:rPr>
                <w:w w:val="95"/>
                <w:sz w:val="20"/>
              </w:rPr>
              <w:t>coordinación </w:t>
            </w:r>
            <w:r>
              <w:rPr>
                <w:sz w:val="20"/>
              </w:rPr>
              <w:t>económica entre actores de la CHPH para un crecimiento equilibrado</w:t>
            </w:r>
          </w:p>
        </w:tc>
        <w:tc>
          <w:tcPr>
            <w:tcW w:w="1469" w:type="dxa"/>
            <w:vMerge/>
          </w:tcPr>
          <w:p>
            <w:pPr/>
          </w:p>
        </w:tc>
        <w:tc>
          <w:tcPr>
            <w:tcW w:w="2360" w:type="dxa"/>
            <w:vMerge/>
          </w:tcPr>
          <w:p>
            <w:pPr/>
          </w:p>
        </w:tc>
        <w:tc>
          <w:tcPr>
            <w:tcW w:w="1596" w:type="dxa"/>
            <w:vMerge/>
            <w:tcBorders>
              <w:right w:val="double" w:sz="12" w:space="0" w:color="000000"/>
            </w:tcBorders>
            <w:shd w:val="clear" w:color="auto" w:fill="FFFF00"/>
          </w:tcPr>
          <w:p>
            <w:pPr/>
          </w:p>
        </w:tc>
      </w:tr>
      <w:tr>
        <w:trPr>
          <w:trHeight w:val="660" w:hRule="exact"/>
        </w:trPr>
        <w:tc>
          <w:tcPr>
            <w:tcW w:w="954" w:type="dxa"/>
            <w:tcBorders>
              <w:left w:val="double" w:sz="11" w:space="0" w:color="000000"/>
            </w:tcBorders>
          </w:tcPr>
          <w:p>
            <w:pPr>
              <w:pStyle w:val="TableParagraph"/>
              <w:spacing w:before="1"/>
              <w:ind w:left="0"/>
              <w:rPr>
                <w:rFonts w:ascii="Times New Roman"/>
                <w:sz w:val="18"/>
              </w:rPr>
            </w:pPr>
          </w:p>
          <w:p>
            <w:pPr>
              <w:pStyle w:val="TableParagraph"/>
              <w:ind w:left="209" w:right="212"/>
              <w:jc w:val="center"/>
              <w:rPr>
                <w:sz w:val="20"/>
              </w:rPr>
            </w:pPr>
            <w:r>
              <w:rPr>
                <w:sz w:val="20"/>
              </w:rPr>
              <w:t>1910</w:t>
            </w:r>
          </w:p>
        </w:tc>
        <w:tc>
          <w:tcPr>
            <w:tcW w:w="1822" w:type="dxa"/>
            <w:vMerge/>
          </w:tcPr>
          <w:p>
            <w:pPr/>
          </w:p>
        </w:tc>
        <w:tc>
          <w:tcPr>
            <w:tcW w:w="1349" w:type="dxa"/>
            <w:vMerge/>
          </w:tcPr>
          <w:p>
            <w:pPr/>
          </w:p>
        </w:tc>
        <w:tc>
          <w:tcPr>
            <w:tcW w:w="3271" w:type="dxa"/>
            <w:vMerge/>
          </w:tcPr>
          <w:p>
            <w:pPr/>
          </w:p>
        </w:tc>
        <w:tc>
          <w:tcPr>
            <w:tcW w:w="1469" w:type="dxa"/>
            <w:vMerge/>
          </w:tcPr>
          <w:p>
            <w:pPr/>
          </w:p>
        </w:tc>
        <w:tc>
          <w:tcPr>
            <w:tcW w:w="2360" w:type="dxa"/>
            <w:vMerge/>
          </w:tcPr>
          <w:p>
            <w:pPr/>
          </w:p>
        </w:tc>
        <w:tc>
          <w:tcPr>
            <w:tcW w:w="1596" w:type="dxa"/>
            <w:vMerge/>
            <w:tcBorders>
              <w:right w:val="double" w:sz="12" w:space="0" w:color="000000"/>
            </w:tcBorders>
            <w:shd w:val="clear" w:color="auto" w:fill="FFFF00"/>
          </w:tcPr>
          <w:p>
            <w:pPr/>
          </w:p>
        </w:tc>
      </w:tr>
      <w:tr>
        <w:trPr>
          <w:trHeight w:val="1222" w:hRule="exact"/>
        </w:trPr>
        <w:tc>
          <w:tcPr>
            <w:tcW w:w="954" w:type="dxa"/>
            <w:tcBorders>
              <w:left w:val="double" w:sz="11" w:space="0" w:color="000000"/>
            </w:tcBorders>
          </w:tcPr>
          <w:p>
            <w:pPr>
              <w:pStyle w:val="TableParagraph"/>
              <w:ind w:left="0"/>
              <w:rPr>
                <w:rFonts w:ascii="Times New Roman"/>
                <w:sz w:val="20"/>
              </w:rPr>
            </w:pPr>
          </w:p>
          <w:p>
            <w:pPr>
              <w:pStyle w:val="TableParagraph"/>
              <w:spacing w:before="3"/>
              <w:ind w:left="0"/>
              <w:rPr>
                <w:rFonts w:ascii="Times New Roman"/>
                <w:sz w:val="22"/>
              </w:rPr>
            </w:pPr>
          </w:p>
          <w:p>
            <w:pPr>
              <w:pStyle w:val="TableParagraph"/>
              <w:spacing w:before="1"/>
              <w:ind w:left="209" w:right="212"/>
              <w:jc w:val="center"/>
              <w:rPr>
                <w:sz w:val="20"/>
              </w:rPr>
            </w:pPr>
            <w:r>
              <w:rPr>
                <w:sz w:val="20"/>
              </w:rPr>
              <w:t>1940</w:t>
            </w:r>
          </w:p>
        </w:tc>
        <w:tc>
          <w:tcPr>
            <w:tcW w:w="1822" w:type="dxa"/>
            <w:vMerge/>
          </w:tcPr>
          <w:p>
            <w:pPr/>
          </w:p>
        </w:tc>
        <w:tc>
          <w:tcPr>
            <w:tcW w:w="1349" w:type="dxa"/>
            <w:vMerge/>
          </w:tcPr>
          <w:p>
            <w:pPr/>
          </w:p>
        </w:tc>
        <w:tc>
          <w:tcPr>
            <w:tcW w:w="3271" w:type="dxa"/>
            <w:vMerge/>
          </w:tcPr>
          <w:p>
            <w:pPr/>
          </w:p>
        </w:tc>
        <w:tc>
          <w:tcPr>
            <w:tcW w:w="1469" w:type="dxa"/>
            <w:vMerge/>
          </w:tcPr>
          <w:p>
            <w:pPr/>
          </w:p>
        </w:tc>
        <w:tc>
          <w:tcPr>
            <w:tcW w:w="2360" w:type="dxa"/>
            <w:vMerge/>
          </w:tcPr>
          <w:p>
            <w:pPr/>
          </w:p>
        </w:tc>
        <w:tc>
          <w:tcPr>
            <w:tcW w:w="1596" w:type="dxa"/>
            <w:vMerge/>
            <w:tcBorders>
              <w:right w:val="double" w:sz="12" w:space="0" w:color="000000"/>
            </w:tcBorders>
            <w:shd w:val="clear" w:color="auto" w:fill="FFFF00"/>
          </w:tcPr>
          <w:p>
            <w:pPr/>
          </w:p>
        </w:tc>
      </w:tr>
      <w:tr>
        <w:trPr>
          <w:trHeight w:val="1260" w:hRule="exact"/>
        </w:trPr>
        <w:tc>
          <w:tcPr>
            <w:tcW w:w="954" w:type="dxa"/>
            <w:tcBorders>
              <w:left w:val="double" w:sz="11" w:space="0" w:color="000000"/>
              <w:bottom w:val="double" w:sz="3" w:space="0" w:color="000000"/>
            </w:tcBorders>
          </w:tcPr>
          <w:p>
            <w:pPr>
              <w:pStyle w:val="TableParagraph"/>
              <w:ind w:left="0"/>
              <w:rPr>
                <w:rFonts w:ascii="Times New Roman"/>
                <w:sz w:val="20"/>
              </w:rPr>
            </w:pPr>
          </w:p>
          <w:p>
            <w:pPr>
              <w:pStyle w:val="TableParagraph"/>
              <w:spacing w:before="6"/>
              <w:ind w:left="0"/>
              <w:rPr>
                <w:rFonts w:ascii="Times New Roman"/>
                <w:sz w:val="23"/>
              </w:rPr>
            </w:pPr>
          </w:p>
          <w:p>
            <w:pPr>
              <w:pStyle w:val="TableParagraph"/>
              <w:ind w:left="209" w:right="212"/>
              <w:jc w:val="center"/>
              <w:rPr>
                <w:sz w:val="20"/>
              </w:rPr>
            </w:pPr>
            <w:r>
              <w:rPr>
                <w:sz w:val="20"/>
              </w:rPr>
              <w:t>1982</w:t>
            </w:r>
          </w:p>
        </w:tc>
        <w:tc>
          <w:tcPr>
            <w:tcW w:w="1822" w:type="dxa"/>
            <w:vMerge/>
            <w:tcBorders>
              <w:bottom w:val="double" w:sz="3" w:space="0" w:color="000000"/>
            </w:tcBorders>
          </w:tcPr>
          <w:p>
            <w:pPr/>
          </w:p>
        </w:tc>
        <w:tc>
          <w:tcPr>
            <w:tcW w:w="1349" w:type="dxa"/>
            <w:tcBorders>
              <w:bottom w:val="double" w:sz="3" w:space="0" w:color="000000"/>
            </w:tcBorders>
          </w:tcPr>
          <w:p>
            <w:pPr>
              <w:pStyle w:val="TableParagraph"/>
              <w:spacing w:line="227" w:lineRule="exact"/>
              <w:rPr>
                <w:sz w:val="20"/>
              </w:rPr>
            </w:pPr>
            <w:r>
              <w:rPr>
                <w:sz w:val="20"/>
              </w:rPr>
              <w:t>Sociopolítico</w:t>
            </w:r>
          </w:p>
        </w:tc>
        <w:tc>
          <w:tcPr>
            <w:tcW w:w="3271" w:type="dxa"/>
            <w:tcBorders>
              <w:bottom w:val="double" w:sz="3" w:space="0" w:color="000000"/>
            </w:tcBorders>
          </w:tcPr>
          <w:p>
            <w:pPr>
              <w:pStyle w:val="TableParagraph"/>
              <w:ind w:left="280" w:right="107" w:hanging="178"/>
              <w:jc w:val="both"/>
              <w:rPr>
                <w:sz w:val="20"/>
              </w:rPr>
            </w:pPr>
            <w:r>
              <w:rPr>
                <w:rFonts w:ascii="Wingdings" w:hAnsi="Wingdings"/>
                <w:sz w:val="20"/>
              </w:rPr>
              <w:t></w:t>
            </w:r>
            <w:r>
              <w:rPr>
                <w:sz w:val="20"/>
              </w:rPr>
              <w:t>Favorece la voluntariedad  de los cabildos y de los actores históricos para la interrelación sociopolítica en la región</w:t>
            </w:r>
          </w:p>
          <w:p>
            <w:pPr>
              <w:pStyle w:val="TableParagraph"/>
              <w:tabs>
                <w:tab w:pos="1489" w:val="left" w:leader="none"/>
                <w:tab w:pos="2019" w:val="left" w:leader="none"/>
              </w:tabs>
              <w:rPr>
                <w:sz w:val="20"/>
              </w:rPr>
            </w:pPr>
            <w:r>
              <w:rPr>
                <w:rFonts w:ascii="Wingdings" w:hAnsi="Wingdings"/>
                <w:spacing w:val="2"/>
                <w:sz w:val="20"/>
              </w:rPr>
              <w:t></w:t>
            </w:r>
            <w:r>
              <w:rPr>
                <w:spacing w:val="2"/>
                <w:sz w:val="20"/>
              </w:rPr>
              <w:t>Favorece</w:t>
              <w:tab/>
            </w:r>
            <w:r>
              <w:rPr>
                <w:sz w:val="20"/>
              </w:rPr>
              <w:t>la</w:t>
              <w:tab/>
              <w:t>organización</w:t>
            </w:r>
          </w:p>
        </w:tc>
        <w:tc>
          <w:tcPr>
            <w:tcW w:w="1469" w:type="dxa"/>
            <w:vMerge/>
            <w:tcBorders>
              <w:bottom w:val="double" w:sz="3" w:space="0" w:color="000000"/>
            </w:tcBorders>
          </w:tcPr>
          <w:p>
            <w:pPr/>
          </w:p>
        </w:tc>
        <w:tc>
          <w:tcPr>
            <w:tcW w:w="2360" w:type="dxa"/>
            <w:vMerge/>
            <w:tcBorders>
              <w:bottom w:val="double" w:sz="3" w:space="0" w:color="000000"/>
            </w:tcBorders>
          </w:tcPr>
          <w:p>
            <w:pPr/>
          </w:p>
        </w:tc>
        <w:tc>
          <w:tcPr>
            <w:tcW w:w="1596" w:type="dxa"/>
            <w:vMerge/>
            <w:tcBorders>
              <w:bottom w:val="double" w:sz="3"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22"/>
        <w:gridCol w:w="1349"/>
        <w:gridCol w:w="3271"/>
        <w:gridCol w:w="1469"/>
        <w:gridCol w:w="2360"/>
        <w:gridCol w:w="1596"/>
      </w:tblGrid>
      <w:tr>
        <w:trPr>
          <w:trHeight w:val="2319"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21"/>
              <w:ind w:left="230"/>
              <w:rPr>
                <w:sz w:val="20"/>
              </w:rPr>
            </w:pPr>
            <w:r>
              <w:rPr>
                <w:sz w:val="20"/>
              </w:rPr>
              <w:t>2016</w:t>
            </w:r>
          </w:p>
        </w:tc>
        <w:tc>
          <w:tcPr>
            <w:tcW w:w="1822" w:type="dxa"/>
          </w:tcPr>
          <w:p>
            <w:pPr/>
          </w:p>
        </w:tc>
        <w:tc>
          <w:tcPr>
            <w:tcW w:w="1349" w:type="dxa"/>
          </w:tcPr>
          <w:p>
            <w:pPr/>
          </w:p>
        </w:tc>
        <w:tc>
          <w:tcPr>
            <w:tcW w:w="3271" w:type="dxa"/>
          </w:tcPr>
          <w:p>
            <w:pPr>
              <w:pStyle w:val="TableParagraph"/>
              <w:spacing w:before="7"/>
              <w:ind w:left="280" w:right="108"/>
              <w:jc w:val="both"/>
              <w:rPr>
                <w:sz w:val="20"/>
              </w:rPr>
            </w:pPr>
            <w:r>
              <w:rPr>
                <w:sz w:val="20"/>
              </w:rPr>
              <w:t>sociopolítica de los actores de  la CHPH para atender problemas comunes a  través del derecho</w:t>
            </w:r>
            <w:r>
              <w:rPr>
                <w:spacing w:val="-9"/>
                <w:sz w:val="20"/>
              </w:rPr>
              <w:t> </w:t>
            </w:r>
            <w:r>
              <w:rPr>
                <w:sz w:val="20"/>
              </w:rPr>
              <w:t>consuetudinario</w:t>
            </w:r>
          </w:p>
          <w:p>
            <w:pPr>
              <w:pStyle w:val="TableParagraph"/>
              <w:spacing w:line="228" w:lineRule="exact"/>
              <w:rPr>
                <w:sz w:val="20"/>
              </w:rPr>
            </w:pPr>
            <w:r>
              <w:rPr>
                <w:rFonts w:ascii="Wingdings" w:hAnsi="Wingdings"/>
                <w:sz w:val="20"/>
              </w:rPr>
              <w:t></w:t>
            </w:r>
            <w:r>
              <w:rPr>
                <w:sz w:val="20"/>
              </w:rPr>
              <w:t>Favorece la GIRH</w:t>
            </w:r>
          </w:p>
          <w:p>
            <w:pPr>
              <w:pStyle w:val="TableParagraph"/>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numPr>
                <w:ilvl w:val="0"/>
                <w:numId w:val="321"/>
              </w:numPr>
              <w:tabs>
                <w:tab w:pos="336" w:val="left" w:leader="none"/>
              </w:tabs>
              <w:spacing w:line="240" w:lineRule="auto" w:before="0" w:after="0"/>
              <w:ind w:left="280" w:right="107" w:hanging="177"/>
              <w:jc w:val="both"/>
              <w:rPr>
                <w:sz w:val="20"/>
              </w:rPr>
            </w:pPr>
            <w:r>
              <w:rPr>
                <w:sz w:val="20"/>
              </w:rPr>
              <w:t>Favorece la planeación sociopolítica con articulación entre</w:t>
            </w:r>
            <w:r>
              <w:rPr>
                <w:spacing w:val="-5"/>
                <w:sz w:val="20"/>
              </w:rPr>
              <w:t> </w:t>
            </w:r>
            <w:r>
              <w:rPr>
                <w:sz w:val="20"/>
              </w:rPr>
              <w:t>actores</w:t>
            </w:r>
          </w:p>
        </w:tc>
        <w:tc>
          <w:tcPr>
            <w:tcW w:w="1469" w:type="dxa"/>
          </w:tcPr>
          <w:p>
            <w:pPr/>
          </w:p>
        </w:tc>
        <w:tc>
          <w:tcPr>
            <w:tcW w:w="2360" w:type="dxa"/>
          </w:tcPr>
          <w:p>
            <w:pPr/>
          </w:p>
        </w:tc>
        <w:tc>
          <w:tcPr>
            <w:tcW w:w="1596" w:type="dxa"/>
            <w:tcBorders>
              <w:right w:val="double" w:sz="12" w:space="0" w:color="000000"/>
            </w:tcBorders>
            <w:shd w:val="clear" w:color="auto" w:fill="FFFF00"/>
          </w:tcPr>
          <w:p>
            <w:pPr/>
          </w:p>
        </w:tc>
      </w:tr>
      <w:tr>
        <w:trPr>
          <w:trHeight w:val="3461" w:hRule="exact"/>
        </w:trPr>
        <w:tc>
          <w:tcPr>
            <w:tcW w:w="954" w:type="dxa"/>
            <w:vMerge w:val="restart"/>
            <w:tcBorders>
              <w:left w:val="double" w:sz="11" w:space="0" w:color="000000"/>
            </w:tcBorders>
          </w:tcPr>
          <w:p>
            <w:pPr/>
          </w:p>
        </w:tc>
        <w:tc>
          <w:tcPr>
            <w:tcW w:w="182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9"/>
              </w:rPr>
            </w:pPr>
          </w:p>
          <w:p>
            <w:pPr>
              <w:pStyle w:val="TableParagraph"/>
              <w:ind w:left="0"/>
              <w:jc w:val="center"/>
              <w:rPr>
                <w:b/>
                <w:sz w:val="20"/>
              </w:rPr>
            </w:pPr>
            <w:r>
              <w:rPr>
                <w:b/>
                <w:w w:val="99"/>
                <w:sz w:val="20"/>
              </w:rPr>
              <w:t>1</w:t>
            </w:r>
          </w:p>
        </w:tc>
        <w:tc>
          <w:tcPr>
            <w:tcW w:w="1349" w:type="dxa"/>
          </w:tcPr>
          <w:p>
            <w:pPr>
              <w:pStyle w:val="TableParagraph"/>
              <w:spacing w:line="230" w:lineRule="exact"/>
              <w:rPr>
                <w:sz w:val="20"/>
              </w:rPr>
            </w:pPr>
            <w:r>
              <w:rPr>
                <w:sz w:val="20"/>
              </w:rPr>
              <w:t>Ambiental</w:t>
            </w:r>
          </w:p>
        </w:tc>
        <w:tc>
          <w:tcPr>
            <w:tcW w:w="3271" w:type="dxa"/>
          </w:tcPr>
          <w:p>
            <w:pPr>
              <w:pStyle w:val="TableParagraph"/>
              <w:numPr>
                <w:ilvl w:val="0"/>
                <w:numId w:val="322"/>
              </w:numPr>
              <w:tabs>
                <w:tab w:pos="812" w:val="left" w:leader="none"/>
                <w:tab w:pos="2241" w:val="left" w:leader="none"/>
              </w:tabs>
              <w:spacing w:line="240" w:lineRule="auto" w:before="0" w:after="0"/>
              <w:ind w:left="280" w:right="107" w:hanging="141"/>
              <w:jc w:val="both"/>
              <w:rPr>
                <w:sz w:val="20"/>
              </w:rPr>
            </w:pPr>
            <w:r>
              <w:rPr>
                <w:sz w:val="20"/>
              </w:rPr>
              <w:t>Existen</w:t>
              <w:tab/>
              <w:t>relaciones</w:t>
            </w:r>
            <w:r>
              <w:rPr>
                <w:w w:val="99"/>
                <w:sz w:val="20"/>
              </w:rPr>
              <w:t> </w:t>
            </w:r>
            <w:r>
              <w:rPr>
                <w:sz w:val="20"/>
              </w:rPr>
              <w:t>intermunicipales para atender el medio ambiente de la</w:t>
            </w:r>
            <w:r>
              <w:rPr>
                <w:spacing w:val="-7"/>
                <w:sz w:val="20"/>
              </w:rPr>
              <w:t> </w:t>
            </w:r>
            <w:r>
              <w:rPr>
                <w:sz w:val="20"/>
              </w:rPr>
              <w:t>CHPH</w:t>
            </w:r>
          </w:p>
          <w:p>
            <w:pPr>
              <w:pStyle w:val="TableParagraph"/>
              <w:numPr>
                <w:ilvl w:val="0"/>
                <w:numId w:val="322"/>
              </w:numPr>
              <w:tabs>
                <w:tab w:pos="812" w:val="left" w:leader="none"/>
              </w:tabs>
              <w:spacing w:line="240" w:lineRule="auto" w:before="0" w:after="0"/>
              <w:ind w:left="280" w:right="107" w:hanging="141"/>
              <w:jc w:val="both"/>
              <w:rPr>
                <w:sz w:val="20"/>
              </w:rPr>
            </w:pPr>
            <w:r>
              <w:rPr>
                <w:sz w:val="20"/>
              </w:rPr>
              <w:t>Los municipios tienen facultades para atender problemas del deterioro ambiental</w:t>
            </w:r>
          </w:p>
          <w:p>
            <w:pPr>
              <w:pStyle w:val="TableParagraph"/>
              <w:numPr>
                <w:ilvl w:val="0"/>
                <w:numId w:val="322"/>
              </w:numPr>
              <w:tabs>
                <w:tab w:pos="812" w:val="left" w:leader="none"/>
              </w:tabs>
              <w:spacing w:line="240" w:lineRule="auto" w:before="0" w:after="0"/>
              <w:ind w:left="280" w:right="107" w:hanging="141"/>
              <w:jc w:val="both"/>
              <w:rPr>
                <w:sz w:val="20"/>
              </w:rPr>
            </w:pPr>
            <w:r>
              <w:rPr>
                <w:sz w:val="20"/>
              </w:rPr>
              <w:t>Los municipios pueden sancionar las faltas de los actores de la CHPH en contra del medio</w:t>
            </w:r>
            <w:r>
              <w:rPr>
                <w:spacing w:val="-7"/>
                <w:sz w:val="20"/>
              </w:rPr>
              <w:t> </w:t>
            </w:r>
            <w:r>
              <w:rPr>
                <w:sz w:val="20"/>
              </w:rPr>
              <w:t>ambiente</w:t>
            </w:r>
          </w:p>
          <w:p>
            <w:pPr>
              <w:pStyle w:val="TableParagraph"/>
              <w:numPr>
                <w:ilvl w:val="0"/>
                <w:numId w:val="322"/>
              </w:numPr>
              <w:tabs>
                <w:tab w:pos="812" w:val="left" w:leader="none"/>
              </w:tabs>
              <w:spacing w:line="240" w:lineRule="auto" w:before="0" w:after="0"/>
              <w:ind w:left="280" w:right="105" w:hanging="141"/>
              <w:jc w:val="both"/>
              <w:rPr>
                <w:sz w:val="20"/>
              </w:rPr>
            </w:pPr>
            <w:r>
              <w:rPr>
                <w:sz w:val="20"/>
              </w:rPr>
              <w:t>Existe coordinación del cabildo con los actores históricos para cuidar el medio ambiente</w:t>
            </w:r>
          </w:p>
        </w:tc>
        <w:tc>
          <w:tcPr>
            <w:tcW w:w="1469" w:type="dxa"/>
            <w:vMerge w:val="restart"/>
          </w:tcPr>
          <w:p>
            <w:pPr/>
          </w:p>
        </w:tc>
        <w:tc>
          <w:tcPr>
            <w:tcW w:w="2360" w:type="dxa"/>
            <w:vMerge w:val="restart"/>
          </w:tcPr>
          <w:p>
            <w:pPr>
              <w:pStyle w:val="TableParagraph"/>
              <w:ind w:right="104"/>
              <w:jc w:val="both"/>
              <w:rPr>
                <w:sz w:val="20"/>
              </w:rPr>
            </w:pPr>
            <w:r>
              <w:rPr>
                <w:sz w:val="20"/>
              </w:rPr>
              <w:t>No reúne ni el 50% en </w:t>
            </w:r>
            <w:r>
              <w:rPr>
                <w:b/>
                <w:sz w:val="20"/>
              </w:rPr>
              <w:t>ninguna </w:t>
            </w:r>
            <w:r>
              <w:rPr>
                <w:sz w:val="20"/>
              </w:rPr>
              <w:t>de las de impacto positivo</w:t>
            </w:r>
          </w:p>
        </w:tc>
        <w:tc>
          <w:tcPr>
            <w:tcW w:w="1596"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19"/>
              </w:rPr>
            </w:pPr>
          </w:p>
          <w:p>
            <w:pPr>
              <w:pStyle w:val="TableParagraph"/>
              <w:spacing w:before="1"/>
              <w:ind w:left="295"/>
              <w:rPr>
                <w:b/>
                <w:sz w:val="20"/>
              </w:rPr>
            </w:pPr>
            <w:r>
              <w:rPr>
                <w:b/>
                <w:sz w:val="20"/>
              </w:rPr>
              <w:t>Deficiente</w:t>
            </w:r>
          </w:p>
        </w:tc>
      </w:tr>
      <w:tr>
        <w:trPr>
          <w:trHeight w:val="2549" w:hRule="exact"/>
        </w:trPr>
        <w:tc>
          <w:tcPr>
            <w:tcW w:w="954" w:type="dxa"/>
            <w:vMerge/>
            <w:tcBorders>
              <w:left w:val="double" w:sz="11" w:space="0" w:color="000000"/>
              <w:bottom w:val="single" w:sz="8" w:space="0" w:color="000000"/>
            </w:tcBorders>
          </w:tcPr>
          <w:p>
            <w:pPr/>
          </w:p>
        </w:tc>
        <w:tc>
          <w:tcPr>
            <w:tcW w:w="1822" w:type="dxa"/>
            <w:vMerge/>
            <w:tcBorders>
              <w:bottom w:val="single" w:sz="8" w:space="0" w:color="000000"/>
            </w:tcBorders>
          </w:tcPr>
          <w:p>
            <w:pPr/>
          </w:p>
        </w:tc>
        <w:tc>
          <w:tcPr>
            <w:tcW w:w="1349" w:type="dxa"/>
            <w:tcBorders>
              <w:bottom w:val="single" w:sz="8" w:space="0" w:color="000000"/>
            </w:tcBorders>
          </w:tcPr>
          <w:p>
            <w:pPr>
              <w:pStyle w:val="TableParagraph"/>
              <w:spacing w:line="227" w:lineRule="exact"/>
              <w:rPr>
                <w:sz w:val="20"/>
              </w:rPr>
            </w:pPr>
            <w:r>
              <w:rPr>
                <w:sz w:val="20"/>
              </w:rPr>
              <w:t>Económico</w:t>
            </w:r>
          </w:p>
        </w:tc>
        <w:tc>
          <w:tcPr>
            <w:tcW w:w="3271" w:type="dxa"/>
            <w:tcBorders>
              <w:bottom w:val="single" w:sz="8" w:space="0" w:color="000000"/>
            </w:tcBorders>
          </w:tcPr>
          <w:p>
            <w:pPr>
              <w:pStyle w:val="TableParagraph"/>
              <w:numPr>
                <w:ilvl w:val="0"/>
                <w:numId w:val="323"/>
              </w:numPr>
              <w:tabs>
                <w:tab w:pos="812" w:val="left" w:leader="none"/>
                <w:tab w:pos="2332" w:val="left" w:leader="none"/>
              </w:tabs>
              <w:spacing w:line="240" w:lineRule="auto" w:before="0" w:after="0"/>
              <w:ind w:left="280" w:right="106" w:hanging="141"/>
              <w:jc w:val="both"/>
              <w:rPr>
                <w:sz w:val="20"/>
              </w:rPr>
            </w:pPr>
            <w:r>
              <w:rPr>
                <w:sz w:val="20"/>
              </w:rPr>
              <w:t>Existen</w:t>
              <w:tab/>
            </w:r>
            <w:r>
              <w:rPr>
                <w:w w:val="95"/>
                <w:sz w:val="20"/>
              </w:rPr>
              <w:t>acuerdos </w:t>
            </w:r>
            <w:r>
              <w:rPr>
                <w:sz w:val="20"/>
              </w:rPr>
              <w:t>intermunicipales para distribuir equitativamente los recursos naturales</w:t>
            </w:r>
          </w:p>
          <w:p>
            <w:pPr>
              <w:pStyle w:val="TableParagraph"/>
              <w:numPr>
                <w:ilvl w:val="0"/>
                <w:numId w:val="323"/>
              </w:numPr>
              <w:tabs>
                <w:tab w:pos="812" w:val="left" w:leader="none"/>
                <w:tab w:pos="2332" w:val="left" w:leader="none"/>
              </w:tabs>
              <w:spacing w:line="240" w:lineRule="auto" w:before="0" w:after="0"/>
              <w:ind w:left="280" w:right="107" w:hanging="141"/>
              <w:jc w:val="both"/>
              <w:rPr>
                <w:sz w:val="20"/>
              </w:rPr>
            </w:pPr>
            <w:r>
              <w:rPr>
                <w:sz w:val="20"/>
              </w:rPr>
              <w:t>Existe</w:t>
              <w:tab/>
            </w:r>
            <w:r>
              <w:rPr>
                <w:w w:val="95"/>
                <w:sz w:val="20"/>
              </w:rPr>
              <w:t>acuerdos </w:t>
            </w:r>
            <w:r>
              <w:rPr>
                <w:sz w:val="20"/>
              </w:rPr>
              <w:t>intermunicipales para cuidar los recursos</w:t>
            </w:r>
            <w:r>
              <w:rPr>
                <w:spacing w:val="-6"/>
                <w:sz w:val="20"/>
              </w:rPr>
              <w:t> </w:t>
            </w:r>
            <w:r>
              <w:rPr>
                <w:sz w:val="20"/>
              </w:rPr>
              <w:t>naturales</w:t>
            </w:r>
          </w:p>
          <w:p>
            <w:pPr>
              <w:pStyle w:val="TableParagraph"/>
              <w:numPr>
                <w:ilvl w:val="0"/>
                <w:numId w:val="323"/>
              </w:numPr>
              <w:tabs>
                <w:tab w:pos="812" w:val="left" w:leader="none"/>
                <w:tab w:pos="2019" w:val="left" w:leader="none"/>
              </w:tabs>
              <w:spacing w:line="240" w:lineRule="auto" w:before="0" w:after="0"/>
              <w:ind w:left="280" w:right="107" w:hanging="141"/>
              <w:jc w:val="both"/>
              <w:rPr>
                <w:sz w:val="20"/>
              </w:rPr>
            </w:pPr>
            <w:r>
              <w:rPr>
                <w:sz w:val="20"/>
              </w:rPr>
              <w:t>Existe</w:t>
              <w:tab/>
            </w:r>
            <w:r>
              <w:rPr>
                <w:w w:val="95"/>
                <w:sz w:val="20"/>
              </w:rPr>
              <w:t>coordinación </w:t>
            </w:r>
            <w:r>
              <w:rPr>
                <w:sz w:val="20"/>
              </w:rPr>
              <w:t>económica entre actores de la CHPH para un crecimiento equilibrado</w:t>
            </w:r>
          </w:p>
        </w:tc>
        <w:tc>
          <w:tcPr>
            <w:tcW w:w="1469" w:type="dxa"/>
            <w:vMerge/>
            <w:tcBorders>
              <w:bottom w:val="single" w:sz="8" w:space="0" w:color="000000"/>
            </w:tcBorders>
          </w:tcPr>
          <w:p>
            <w:pPr/>
          </w:p>
        </w:tc>
        <w:tc>
          <w:tcPr>
            <w:tcW w:w="2360" w:type="dxa"/>
            <w:vMerge/>
            <w:tcBorders>
              <w:bottom w:val="single" w:sz="8" w:space="0" w:color="000000"/>
            </w:tcBorders>
          </w:tcPr>
          <w:p>
            <w:pPr/>
          </w:p>
        </w:tc>
        <w:tc>
          <w:tcPr>
            <w:tcW w:w="1596" w:type="dxa"/>
            <w:vMerge/>
            <w:tcBorders>
              <w:bottom w:val="single" w:sz="8" w:space="0" w:color="000000"/>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22"/>
        <w:gridCol w:w="1349"/>
        <w:gridCol w:w="3271"/>
        <w:gridCol w:w="1469"/>
        <w:gridCol w:w="2360"/>
        <w:gridCol w:w="1596"/>
      </w:tblGrid>
      <w:tr>
        <w:trPr>
          <w:trHeight w:val="3471" w:hRule="exact"/>
        </w:trPr>
        <w:tc>
          <w:tcPr>
            <w:tcW w:w="954" w:type="dxa"/>
            <w:tcBorders>
              <w:left w:val="double" w:sz="11" w:space="0" w:color="000000"/>
            </w:tcBorders>
          </w:tcPr>
          <w:p>
            <w:pPr/>
          </w:p>
        </w:tc>
        <w:tc>
          <w:tcPr>
            <w:tcW w:w="1822" w:type="dxa"/>
          </w:tcPr>
          <w:p>
            <w:pPr/>
          </w:p>
        </w:tc>
        <w:tc>
          <w:tcPr>
            <w:tcW w:w="1349" w:type="dxa"/>
          </w:tcPr>
          <w:p>
            <w:pPr>
              <w:pStyle w:val="TableParagraph"/>
              <w:spacing w:before="7"/>
              <w:rPr>
                <w:sz w:val="20"/>
              </w:rPr>
            </w:pPr>
            <w:r>
              <w:rPr>
                <w:sz w:val="20"/>
              </w:rPr>
              <w:t>Sociopolítico</w:t>
            </w:r>
          </w:p>
        </w:tc>
        <w:tc>
          <w:tcPr>
            <w:tcW w:w="3271" w:type="dxa"/>
          </w:tcPr>
          <w:p>
            <w:pPr>
              <w:pStyle w:val="TableParagraph"/>
              <w:spacing w:before="7"/>
              <w:ind w:left="280" w:right="107" w:hanging="178"/>
              <w:jc w:val="both"/>
              <w:rPr>
                <w:sz w:val="20"/>
              </w:rPr>
            </w:pPr>
            <w:r>
              <w:rPr>
                <w:rFonts w:ascii="Wingdings" w:hAnsi="Wingdings"/>
                <w:sz w:val="20"/>
              </w:rPr>
              <w:t></w:t>
            </w:r>
            <w:r>
              <w:rPr>
                <w:sz w:val="20"/>
              </w:rPr>
              <w:t>Favorece la voluntariedad  de los cabildos y de los actores históricos para la interrelación sociopolítica en la región</w:t>
            </w:r>
          </w:p>
          <w:p>
            <w:pPr>
              <w:pStyle w:val="TableParagraph"/>
              <w:ind w:left="280" w:right="107" w:hanging="178"/>
              <w:jc w:val="both"/>
              <w:rPr>
                <w:sz w:val="20"/>
              </w:rPr>
            </w:pPr>
            <w:r>
              <w:rPr>
                <w:rFonts w:ascii="Wingdings" w:hAnsi="Wingdings"/>
                <w:spacing w:val="2"/>
                <w:sz w:val="20"/>
              </w:rPr>
              <w:t></w:t>
            </w:r>
            <w:r>
              <w:rPr>
                <w:spacing w:val="2"/>
                <w:sz w:val="20"/>
              </w:rPr>
              <w:t>Favorece </w:t>
            </w:r>
            <w:r>
              <w:rPr>
                <w:sz w:val="20"/>
              </w:rPr>
              <w:t>la organización sociopolítica de los actores de  la CHPH para atender problemas comunes a  través del derecho</w:t>
            </w:r>
            <w:r>
              <w:rPr>
                <w:spacing w:val="-10"/>
                <w:sz w:val="20"/>
              </w:rPr>
              <w:t> </w:t>
            </w:r>
            <w:r>
              <w:rPr>
                <w:sz w:val="20"/>
              </w:rPr>
              <w:t>consuetudinario</w:t>
            </w:r>
          </w:p>
          <w:p>
            <w:pPr>
              <w:pStyle w:val="TableParagraph"/>
              <w:spacing w:line="229" w:lineRule="exact" w:before="1"/>
              <w:rPr>
                <w:sz w:val="20"/>
              </w:rPr>
            </w:pPr>
            <w:r>
              <w:rPr>
                <w:rFonts w:ascii="Wingdings" w:hAnsi="Wingdings"/>
                <w:sz w:val="20"/>
              </w:rPr>
              <w:t></w:t>
            </w:r>
            <w:r>
              <w:rPr>
                <w:sz w:val="20"/>
              </w:rPr>
              <w:t>Favorece la GIRH</w:t>
            </w:r>
          </w:p>
          <w:p>
            <w:pPr>
              <w:pStyle w:val="TableParagraph"/>
              <w:spacing w:line="229" w:lineRule="exact"/>
              <w:rPr>
                <w:sz w:val="20"/>
              </w:rPr>
            </w:pPr>
            <w:r>
              <w:rPr>
                <w:rFonts w:ascii="Wingdings" w:hAnsi="Wingdings"/>
                <w:sz w:val="20"/>
              </w:rPr>
              <w:t></w:t>
            </w:r>
            <w:r>
              <w:rPr>
                <w:sz w:val="20"/>
              </w:rPr>
              <w:t>Favorece la gobernanza</w:t>
            </w:r>
          </w:p>
          <w:p>
            <w:pPr>
              <w:pStyle w:val="TableParagraph"/>
              <w:rPr>
                <w:sz w:val="20"/>
              </w:rPr>
            </w:pPr>
            <w:r>
              <w:rPr>
                <w:rFonts w:ascii="Wingdings" w:hAnsi="Wingdings"/>
                <w:sz w:val="20"/>
              </w:rPr>
              <w:t></w:t>
            </w:r>
            <w:r>
              <w:rPr>
                <w:sz w:val="20"/>
              </w:rPr>
              <w:t>Fortalece la gobernabilidad</w:t>
            </w:r>
          </w:p>
          <w:p>
            <w:pPr>
              <w:pStyle w:val="TableParagraph"/>
              <w:ind w:left="280" w:right="107" w:hanging="178"/>
              <w:jc w:val="both"/>
              <w:rPr>
                <w:sz w:val="20"/>
              </w:rPr>
            </w:pPr>
            <w:r>
              <w:rPr>
                <w:rFonts w:ascii="Wingdings" w:hAnsi="Wingdings"/>
                <w:sz w:val="20"/>
              </w:rPr>
              <w:t></w:t>
            </w:r>
            <w:r>
              <w:rPr>
                <w:sz w:val="20"/>
              </w:rPr>
              <w:t>Favorece la planeación sociopolítica con articulación entre actores</w:t>
            </w:r>
          </w:p>
        </w:tc>
        <w:tc>
          <w:tcPr>
            <w:tcW w:w="1469" w:type="dxa"/>
          </w:tcPr>
          <w:p>
            <w:pPr/>
          </w:p>
        </w:tc>
        <w:tc>
          <w:tcPr>
            <w:tcW w:w="2360" w:type="dxa"/>
          </w:tcPr>
          <w:p>
            <w:pPr/>
          </w:p>
        </w:tc>
        <w:tc>
          <w:tcPr>
            <w:tcW w:w="1596" w:type="dxa"/>
            <w:tcBorders>
              <w:right w:val="double" w:sz="12" w:space="0" w:color="000000"/>
            </w:tcBorders>
            <w:shd w:val="clear" w:color="auto" w:fill="FF0000"/>
          </w:tcPr>
          <w:p>
            <w:pPr/>
          </w:p>
        </w:tc>
      </w:tr>
      <w:tr>
        <w:trPr>
          <w:trHeight w:val="5322" w:hRule="exact"/>
        </w:trPr>
        <w:tc>
          <w:tcPr>
            <w:tcW w:w="12822" w:type="dxa"/>
            <w:gridSpan w:val="7"/>
          </w:tcPr>
          <w:p>
            <w:pPr>
              <w:pStyle w:val="TableParagraph"/>
              <w:spacing w:line="248" w:lineRule="exact"/>
              <w:ind w:left="2026" w:right="2026"/>
              <w:jc w:val="center"/>
              <w:rPr>
                <w:sz w:val="22"/>
              </w:rPr>
            </w:pPr>
            <w:r>
              <w:rPr>
                <w:b/>
                <w:sz w:val="22"/>
              </w:rPr>
              <w:t>Fuente: </w:t>
            </w:r>
            <w:r>
              <w:rPr>
                <w:sz w:val="22"/>
              </w:rPr>
              <w:t>elaboración propia con base en trabajo de campo y gabinete García, 2013-2015.</w:t>
            </w:r>
          </w:p>
          <w:p>
            <w:pPr>
              <w:pStyle w:val="TableParagraph"/>
              <w:ind w:left="0"/>
              <w:rPr>
                <w:rFonts w:ascii="Times New Roman"/>
                <w:sz w:val="22"/>
              </w:rPr>
            </w:pPr>
          </w:p>
          <w:p>
            <w:pPr>
              <w:pStyle w:val="TableParagraph"/>
              <w:ind w:left="27"/>
              <w:jc w:val="both"/>
              <w:rPr>
                <w:b/>
                <w:sz w:val="22"/>
              </w:rPr>
            </w:pPr>
            <w:r>
              <w:rPr>
                <w:b/>
                <w:sz w:val="22"/>
              </w:rPr>
              <w:t>Interpretación de la anterior gráfica y la tarjeta de valoración:</w:t>
            </w:r>
          </w:p>
          <w:p>
            <w:pPr>
              <w:pStyle w:val="TableParagraph"/>
              <w:numPr>
                <w:ilvl w:val="0"/>
                <w:numId w:val="324"/>
              </w:numPr>
              <w:tabs>
                <w:tab w:pos="170" w:val="left" w:leader="none"/>
              </w:tabs>
              <w:spacing w:line="240" w:lineRule="auto" w:before="1" w:after="0"/>
              <w:ind w:left="27" w:right="24" w:firstLine="0"/>
              <w:jc w:val="both"/>
              <w:rPr>
                <w:sz w:val="22"/>
              </w:rPr>
            </w:pPr>
            <w:r>
              <w:rPr>
                <w:sz w:val="22"/>
              </w:rPr>
              <w:t>En 1400, época prehispánica, la Cuenca pertenecía a la provincia política del Señorío de Xilotepec. Estaba poblada por otomíes principalmente, divididos en clases sociales. Su base económica estaba apoyada principalmente en el uso intensivo de un cuerpo de agua utilizado para el riego (ese antiguo cuerpo de agua daría posteriormente lugar a la presa Huapango y a la presa Huaracha). Debido a esa intensidad del uso del agua, dicha provincia y Señorío de Xilotepec, adquirió una importancia política, religiosa y económica hasta convertirse en un importante Estado prehispánico con centro ceremonial y religioso llamado Jilotepec. Es en esta época, es cuando inician las interrelaciones económicas de la CHPH, aunque no existía el municipio</w:t>
            </w:r>
            <w:r>
              <w:rPr>
                <w:spacing w:val="-34"/>
                <w:sz w:val="22"/>
              </w:rPr>
              <w:t> </w:t>
            </w:r>
            <w:r>
              <w:rPr>
                <w:sz w:val="22"/>
              </w:rPr>
              <w:t>formalmente.</w:t>
            </w:r>
          </w:p>
          <w:p>
            <w:pPr>
              <w:pStyle w:val="TableParagraph"/>
              <w:numPr>
                <w:ilvl w:val="0"/>
                <w:numId w:val="324"/>
              </w:numPr>
              <w:tabs>
                <w:tab w:pos="165" w:val="left" w:leader="none"/>
              </w:tabs>
              <w:spacing w:line="240" w:lineRule="auto" w:before="0" w:after="0"/>
              <w:ind w:left="27" w:right="26" w:firstLine="0"/>
              <w:jc w:val="both"/>
              <w:rPr>
                <w:sz w:val="22"/>
              </w:rPr>
            </w:pPr>
            <w:r>
              <w:rPr>
                <w:sz w:val="22"/>
              </w:rPr>
              <w:t>En 1519, dicha región fue visitada por primera vez por los españoles; pero fue a mediados de la década de 1520 que la provincia de Xilotepec fue dominada en la parte sur por los españoles, y en 1533 se le asignó el territorio como  Encomienda,  al conquistador Juan Jaramillo de Salvatierra (esposo de la Malinche). En este período, las relaciones económicas prevalecientes eran todavía las del Señorío de</w:t>
            </w:r>
            <w:r>
              <w:rPr>
                <w:spacing w:val="-9"/>
                <w:sz w:val="22"/>
              </w:rPr>
              <w:t> </w:t>
            </w:r>
            <w:r>
              <w:rPr>
                <w:sz w:val="22"/>
              </w:rPr>
              <w:t>Xilotepec.</w:t>
            </w:r>
          </w:p>
          <w:p>
            <w:pPr>
              <w:pStyle w:val="TableParagraph"/>
              <w:numPr>
                <w:ilvl w:val="0"/>
                <w:numId w:val="324"/>
              </w:numPr>
              <w:tabs>
                <w:tab w:pos="294" w:val="left" w:leader="none"/>
              </w:tabs>
              <w:spacing w:line="240" w:lineRule="auto" w:before="0" w:after="0"/>
              <w:ind w:left="27" w:right="26" w:firstLine="63"/>
              <w:jc w:val="both"/>
              <w:rPr>
                <w:sz w:val="22"/>
              </w:rPr>
            </w:pPr>
            <w:r>
              <w:rPr>
                <w:sz w:val="22"/>
              </w:rPr>
              <w:t>Hacia el año 1580, con la dominación española, la encomienda de la provincia de Xilotepec se conformó política y económicamente en territorio de haciendas de ganado mayor y menor, en las que trabajaba un número creciente de españoles y mulatos. Así que para el año de 1794, ya existían 25 haciendas y 95 ranchos ganaderos y productores de leche. En este período hubo impacto económico y político, pero sobre todo, los derechos civiles de los trabajadores nativos eran precarios, porque existía concentración de la tierra y sobreexplotación de su labor a través de las tiendas de raya, es por ello que en este período empieza la concentración de recursos económicos en pocas manos (los hacendados) con lo cual se generaron una serie de injusticias socioeconómicas en contra de los actores</w:t>
            </w:r>
            <w:r>
              <w:rPr>
                <w:spacing w:val="-13"/>
                <w:sz w:val="22"/>
              </w:rPr>
              <w:t> </w:t>
            </w:r>
            <w:r>
              <w:rPr>
                <w:sz w:val="22"/>
              </w:rPr>
              <w:t>nativos.</w:t>
            </w:r>
          </w:p>
          <w:p>
            <w:pPr>
              <w:pStyle w:val="TableParagraph"/>
              <w:numPr>
                <w:ilvl w:val="0"/>
                <w:numId w:val="324"/>
              </w:numPr>
              <w:tabs>
                <w:tab w:pos="196" w:val="left" w:leader="none"/>
              </w:tabs>
              <w:spacing w:line="240" w:lineRule="auto" w:before="1" w:after="0"/>
              <w:ind w:left="195" w:right="0" w:hanging="168"/>
              <w:jc w:val="both"/>
              <w:rPr>
                <w:sz w:val="22"/>
              </w:rPr>
            </w:pPr>
            <w:r>
              <w:rPr>
                <w:sz w:val="22"/>
              </w:rPr>
              <w:t>Hacia</w:t>
            </w:r>
            <w:r>
              <w:rPr>
                <w:spacing w:val="29"/>
                <w:sz w:val="22"/>
              </w:rPr>
              <w:t> </w:t>
            </w:r>
            <w:r>
              <w:rPr>
                <w:sz w:val="22"/>
              </w:rPr>
              <w:t>1785-1788, </w:t>
            </w:r>
            <w:r>
              <w:rPr>
                <w:spacing w:val="59"/>
                <w:sz w:val="22"/>
              </w:rPr>
              <w:t> </w:t>
            </w:r>
            <w:r>
              <w:rPr>
                <w:sz w:val="22"/>
              </w:rPr>
              <w:t>los</w:t>
            </w:r>
            <w:r>
              <w:rPr>
                <w:spacing w:val="28"/>
                <w:sz w:val="22"/>
              </w:rPr>
              <w:t> </w:t>
            </w:r>
            <w:r>
              <w:rPr>
                <w:sz w:val="22"/>
              </w:rPr>
              <w:t>religiosos</w:t>
            </w:r>
            <w:r>
              <w:rPr>
                <w:spacing w:val="26"/>
                <w:sz w:val="22"/>
              </w:rPr>
              <w:t> </w:t>
            </w:r>
            <w:r>
              <w:rPr>
                <w:sz w:val="22"/>
              </w:rPr>
              <w:t>franciscanos</w:t>
            </w:r>
            <w:r>
              <w:rPr>
                <w:spacing w:val="25"/>
                <w:sz w:val="22"/>
              </w:rPr>
              <w:t> </w:t>
            </w:r>
            <w:r>
              <w:rPr>
                <w:sz w:val="22"/>
              </w:rPr>
              <w:t>que</w:t>
            </w:r>
            <w:r>
              <w:rPr>
                <w:spacing w:val="28"/>
                <w:sz w:val="22"/>
              </w:rPr>
              <w:t> </w:t>
            </w:r>
            <w:r>
              <w:rPr>
                <w:sz w:val="22"/>
              </w:rPr>
              <w:t>ya</w:t>
            </w:r>
            <w:r>
              <w:rPr>
                <w:spacing w:val="30"/>
                <w:sz w:val="22"/>
              </w:rPr>
              <w:t> </w:t>
            </w:r>
            <w:r>
              <w:rPr>
                <w:sz w:val="22"/>
              </w:rPr>
              <w:t>estaban</w:t>
            </w:r>
            <w:r>
              <w:rPr>
                <w:spacing w:val="28"/>
                <w:sz w:val="22"/>
              </w:rPr>
              <w:t> </w:t>
            </w:r>
            <w:r>
              <w:rPr>
                <w:sz w:val="22"/>
              </w:rPr>
              <w:t>en</w:t>
            </w:r>
            <w:r>
              <w:rPr>
                <w:spacing w:val="28"/>
                <w:sz w:val="22"/>
              </w:rPr>
              <w:t> </w:t>
            </w:r>
            <w:r>
              <w:rPr>
                <w:sz w:val="22"/>
              </w:rPr>
              <w:t>la</w:t>
            </w:r>
            <w:r>
              <w:rPr>
                <w:spacing w:val="28"/>
                <w:sz w:val="22"/>
              </w:rPr>
              <w:t> </w:t>
            </w:r>
            <w:r>
              <w:rPr>
                <w:sz w:val="22"/>
              </w:rPr>
              <w:t>región</w:t>
            </w:r>
            <w:r>
              <w:rPr>
                <w:spacing w:val="28"/>
                <w:sz w:val="22"/>
              </w:rPr>
              <w:t> </w:t>
            </w:r>
            <w:r>
              <w:rPr>
                <w:sz w:val="22"/>
              </w:rPr>
              <w:t>y</w:t>
            </w:r>
            <w:r>
              <w:rPr>
                <w:spacing w:val="26"/>
                <w:sz w:val="22"/>
              </w:rPr>
              <w:t> </w:t>
            </w:r>
            <w:r>
              <w:rPr>
                <w:sz w:val="22"/>
              </w:rPr>
              <w:t>que</w:t>
            </w:r>
            <w:r>
              <w:rPr>
                <w:spacing w:val="28"/>
                <w:sz w:val="22"/>
              </w:rPr>
              <w:t> </w:t>
            </w:r>
            <w:r>
              <w:rPr>
                <w:sz w:val="22"/>
              </w:rPr>
              <w:t>también</w:t>
            </w:r>
            <w:r>
              <w:rPr>
                <w:spacing w:val="28"/>
                <w:sz w:val="22"/>
              </w:rPr>
              <w:t> </w:t>
            </w:r>
            <w:r>
              <w:rPr>
                <w:sz w:val="22"/>
              </w:rPr>
              <w:t>eran</w:t>
            </w:r>
            <w:r>
              <w:rPr>
                <w:spacing w:val="30"/>
                <w:sz w:val="22"/>
              </w:rPr>
              <w:t> </w:t>
            </w:r>
            <w:r>
              <w:rPr>
                <w:sz w:val="22"/>
              </w:rPr>
              <w:t>dueños</w:t>
            </w:r>
            <w:r>
              <w:rPr>
                <w:spacing w:val="28"/>
                <w:sz w:val="22"/>
              </w:rPr>
              <w:t> </w:t>
            </w:r>
            <w:r>
              <w:rPr>
                <w:sz w:val="22"/>
              </w:rPr>
              <w:t>de</w:t>
            </w:r>
            <w:r>
              <w:rPr>
                <w:spacing w:val="25"/>
                <w:sz w:val="22"/>
              </w:rPr>
              <w:t> </w:t>
            </w:r>
            <w:r>
              <w:rPr>
                <w:sz w:val="22"/>
              </w:rPr>
              <w:t>ranchos</w:t>
            </w:r>
            <w:r>
              <w:rPr>
                <w:spacing w:val="28"/>
                <w:sz w:val="22"/>
              </w:rPr>
              <w:t> </w:t>
            </w:r>
            <w:r>
              <w:rPr>
                <w:sz w:val="22"/>
              </w:rPr>
              <w:t>y</w:t>
            </w:r>
            <w:r>
              <w:rPr>
                <w:spacing w:val="26"/>
                <w:sz w:val="22"/>
              </w:rPr>
              <w:t> </w:t>
            </w:r>
            <w:r>
              <w:rPr>
                <w:sz w:val="22"/>
              </w:rPr>
              <w:t>tierras,</w:t>
            </w:r>
          </w:p>
        </w:tc>
      </w:tr>
    </w:tbl>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28168"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BodyText"/>
        <w:spacing w:before="72"/>
        <w:ind w:left="180" w:right="407"/>
        <w:jc w:val="both"/>
      </w:pPr>
      <w:r>
        <w:rPr/>
        <w:t>decidieron construir sobre el antiguo lago prehispánico, una presa de gran tamaño, capaz de regar tierras para el cultivo, y dar sostenimiento a miles de cabezas de ganado mayor. Dicho cuerpo de agua se conoció como presa o laguna de Huapango, uno  de los cuerpos de agua artificial más grandes del centro del país, y origen de la actual cuenca lechera más importante del Estado de México. En esta época subió el impacto económico, político y social de la región al aumentar el uso de los recursos de la CHPH, principalmente el agua, sin embargo el agua sólo podían usarla los hacendados y posteriormente se concesionó a los actores históricos de aguas abajo, generando una repartición inequitativa de los recursos naturales en la</w:t>
      </w:r>
      <w:r>
        <w:rPr>
          <w:spacing w:val="-36"/>
        </w:rPr>
        <w:t> </w:t>
      </w:r>
      <w:r>
        <w:rPr/>
        <w:t>CHPH.</w:t>
      </w:r>
    </w:p>
    <w:p>
      <w:pPr>
        <w:pStyle w:val="ListParagraph"/>
        <w:numPr>
          <w:ilvl w:val="0"/>
          <w:numId w:val="121"/>
        </w:numPr>
        <w:tabs>
          <w:tab w:pos="320" w:val="left" w:leader="none"/>
        </w:tabs>
        <w:spacing w:line="240" w:lineRule="auto" w:before="0" w:after="0"/>
        <w:ind w:left="180" w:right="401" w:firstLine="0"/>
        <w:jc w:val="both"/>
        <w:rPr>
          <w:sz w:val="22"/>
        </w:rPr>
      </w:pPr>
      <w:r>
        <w:rPr>
          <w:sz w:val="22"/>
        </w:rPr>
        <w:t>En 1810 inició la independencia de la antigua Nueva España, hoy México. Esta fecha tiene un gran impacto porque se considera el parteaguas de la lucha civil en la CHPH, para que se reconocieran mejores derechos sociopolíticos, económicos y ambientales de los ciudadanos de la antigua provincia de Xilotepec y es cuando se inicia la lucha por una mejor distribución de los recursos entre los actores históricos de la actual</w:t>
      </w:r>
      <w:r>
        <w:rPr>
          <w:spacing w:val="-16"/>
          <w:sz w:val="22"/>
        </w:rPr>
        <w:t> </w:t>
      </w:r>
      <w:r>
        <w:rPr>
          <w:sz w:val="22"/>
        </w:rPr>
        <w:t>CHPH.</w:t>
      </w:r>
    </w:p>
    <w:p>
      <w:pPr>
        <w:pStyle w:val="ListParagraph"/>
        <w:numPr>
          <w:ilvl w:val="0"/>
          <w:numId w:val="121"/>
        </w:numPr>
        <w:tabs>
          <w:tab w:pos="336" w:val="left" w:leader="none"/>
        </w:tabs>
        <w:spacing w:line="240" w:lineRule="auto" w:before="0" w:after="0"/>
        <w:ind w:left="180" w:right="397" w:firstLine="0"/>
        <w:jc w:val="both"/>
        <w:rPr>
          <w:sz w:val="22"/>
        </w:rPr>
      </w:pPr>
      <w:r>
        <w:rPr>
          <w:sz w:val="22"/>
        </w:rPr>
        <w:t>Aunque el municipio en México tiene sus orígenes en la época prehispánica con los </w:t>
      </w:r>
      <w:r>
        <w:rPr>
          <w:i/>
          <w:sz w:val="22"/>
        </w:rPr>
        <w:t>Tlahtocayos</w:t>
      </w:r>
      <w:r>
        <w:rPr>
          <w:sz w:val="22"/>
        </w:rPr>
        <w:t>, fue hasta la Constitución de Cádiz de 1812, que se constituyó formalmente; este evento histórico socio político, permitió que se formaran e instituyeran </w:t>
      </w:r>
      <w:r>
        <w:rPr>
          <w:spacing w:val="3"/>
          <w:sz w:val="22"/>
        </w:rPr>
        <w:t>los </w:t>
      </w:r>
      <w:r>
        <w:rPr>
          <w:sz w:val="22"/>
        </w:rPr>
        <w:t>actuales municipios de la CHPH, siendo el primero en 1861 por decreto No. 27 la Villa de Jilotepec. Sin embargo dicha institución surge con una serie de limitaciones importantes que repercuten hasta la fecha, entre las principales deficiencias está la administración de solo algunos servicios públicos, donde no se cuenta ni estipula su competencia jurídica en torno a la protección del medio ambiente, y menos en conjunto con los municipios vecinos. Estas deficiencias siguen afectando las decisiones sociopolíticas de la Cuenca (a pesar de las reformas al artículo 115); el municipio sigue estando supeditado al sistema federal y estatal, lo cual no le permite tener la “autonomía y soberanía” que se estipula en la Constitución para su territorio, población y gobierno, por lo que el municipio desde su origen, tiene problemas en sus facultades políticas-sociales, atribuciones limitadas que tienen un gran impacto sociopolítico, económico y ambiental como institución, que afectan directamente al agua y a sus habitantes de la Cuenca, pero en términos económicos, los </w:t>
      </w:r>
      <w:r>
        <w:rPr>
          <w:i/>
          <w:sz w:val="22"/>
        </w:rPr>
        <w:t>Tlahtocayos, </w:t>
      </w:r>
      <w:r>
        <w:rPr>
          <w:sz w:val="22"/>
        </w:rPr>
        <w:t>actualmente los municipios, siempre han estado interrelacionados por el mercado y los tianguis de la</w:t>
      </w:r>
      <w:r>
        <w:rPr>
          <w:spacing w:val="-13"/>
          <w:sz w:val="22"/>
        </w:rPr>
        <w:t> </w:t>
      </w:r>
      <w:r>
        <w:rPr>
          <w:sz w:val="22"/>
        </w:rPr>
        <w:t>región.</w:t>
      </w:r>
    </w:p>
    <w:p>
      <w:pPr>
        <w:pStyle w:val="ListParagraph"/>
        <w:numPr>
          <w:ilvl w:val="0"/>
          <w:numId w:val="121"/>
        </w:numPr>
        <w:tabs>
          <w:tab w:pos="332" w:val="left" w:leader="none"/>
        </w:tabs>
        <w:spacing w:line="240" w:lineRule="auto" w:before="1" w:after="0"/>
        <w:ind w:left="180" w:right="396" w:firstLine="0"/>
        <w:jc w:val="both"/>
        <w:rPr>
          <w:sz w:val="22"/>
        </w:rPr>
      </w:pPr>
      <w:r>
        <w:rPr>
          <w:sz w:val="22"/>
        </w:rPr>
        <w:t>En 1910, inicio la revolución mexicana que tuvo varias causas, entre ellas, la dictadura en la presidencia de la República, pero sobre todo, fueron los grandes latifundios que provocaron la decadencia de la agricultura, ya que el territorio nacional era propiedad de tan sólo 840 familias de hacendados, donde los abusos de esclavitud contra el campesinado y los obreros, limitaron el desarrollo agrícola y social de los actores. Dichas injusticias sociales provocaron la demanda de derechos civiles, por lo que dichas peticiones se plasmaron en la Constitución de 1917, como el derecho a la tierra y el acceso a los recursos naturales. Sin embargo, estos derechos fueron abusados por nuevos actores, lo que ocasionó la sobreexplotación de los recursos naturales, sobre todo bosques y aguas, provocando nuevas desigualdades sociopolíticas, por lo que ésta época tiene un gran impacto en lo social, económico y ambiental de la CHPH, ya que es cuando empieza la verdadera lucha por mejores derechos socioeconómicos de los actores históricos de la</w:t>
      </w:r>
      <w:r>
        <w:rPr>
          <w:spacing w:val="-9"/>
          <w:sz w:val="22"/>
        </w:rPr>
        <w:t> </w:t>
      </w:r>
      <w:r>
        <w:rPr>
          <w:sz w:val="22"/>
        </w:rPr>
        <w:t>Cuenca.</w:t>
      </w:r>
    </w:p>
    <w:p>
      <w:pPr>
        <w:pStyle w:val="ListParagraph"/>
        <w:numPr>
          <w:ilvl w:val="0"/>
          <w:numId w:val="121"/>
        </w:numPr>
        <w:tabs>
          <w:tab w:pos="341" w:val="left" w:leader="none"/>
        </w:tabs>
        <w:spacing w:line="240" w:lineRule="auto" w:before="1" w:after="0"/>
        <w:ind w:left="180" w:right="399" w:firstLine="0"/>
        <w:jc w:val="both"/>
        <w:rPr>
          <w:sz w:val="22"/>
        </w:rPr>
      </w:pPr>
      <w:r>
        <w:rPr>
          <w:sz w:val="22"/>
        </w:rPr>
        <w:t>Desde la Revolución Mexicana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w:t>
      </w:r>
      <w:r>
        <w:rPr>
          <w:spacing w:val="36"/>
          <w:sz w:val="22"/>
        </w:rPr>
        <w:t> </w:t>
      </w:r>
      <w:r>
        <w:rPr>
          <w:sz w:val="22"/>
        </w:rPr>
        <w:t>Estado</w:t>
      </w:r>
    </w:p>
    <w:p>
      <w:pPr>
        <w:spacing w:after="0" w:line="240" w:lineRule="auto"/>
        <w:jc w:val="both"/>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6335" w:hRule="exact"/>
        </w:trPr>
        <w:tc>
          <w:tcPr>
            <w:tcW w:w="12897" w:type="dxa"/>
          </w:tcPr>
          <w:p>
            <w:pPr>
              <w:pStyle w:val="TableParagraph"/>
              <w:ind w:left="64" w:right="61"/>
              <w:jc w:val="both"/>
              <w:rPr>
                <w:sz w:val="22"/>
              </w:rPr>
            </w:pPr>
            <w:r>
              <w:rPr>
                <w:sz w:val="22"/>
              </w:rPr>
              <w:t>mexicano, pero fue hasta el periodo de gobierno del presidente Lázaro Cárdenas del </w:t>
            </w:r>
            <w:r>
              <w:rPr>
                <w:spacing w:val="-2"/>
                <w:sz w:val="22"/>
              </w:rPr>
              <w:t>Río </w:t>
            </w:r>
            <w:r>
              <w:rPr>
                <w:sz w:val="22"/>
              </w:rPr>
              <w:t>(1936-1940)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los bosques, etc.) que aún no se pueden resolver, teniendo esto un impacto regular en lo sociopolítico, económico y</w:t>
            </w:r>
            <w:r>
              <w:rPr>
                <w:spacing w:val="-34"/>
                <w:sz w:val="22"/>
              </w:rPr>
              <w:t> </w:t>
            </w:r>
            <w:r>
              <w:rPr>
                <w:sz w:val="22"/>
              </w:rPr>
              <w:t>ambiental.</w:t>
            </w:r>
          </w:p>
          <w:p>
            <w:pPr>
              <w:pStyle w:val="TableParagraph"/>
              <w:numPr>
                <w:ilvl w:val="0"/>
                <w:numId w:val="325"/>
              </w:numPr>
              <w:tabs>
                <w:tab w:pos="212" w:val="left" w:leader="none"/>
              </w:tabs>
              <w:spacing w:line="240" w:lineRule="auto" w:before="0" w:after="0"/>
              <w:ind w:left="64" w:right="64" w:firstLine="0"/>
              <w:jc w:val="both"/>
              <w:rPr>
                <w:sz w:val="22"/>
              </w:rPr>
            </w:pPr>
            <w:r>
              <w:rPr>
                <w:sz w:val="22"/>
              </w:rPr>
              <w:t>En 1982, el primer presidente neoliberal, Miguel de la Madrid, comienza la internacionalización del libre mercado, con lo que se da pie al nuevo sistema económico y político social, que promueve la intervención mínima del Estado y el libre juego de la  apertura del mercado. Dicha corriente fomenta el consumo de los recursos naturales, así como las prácticas de producción altamente contaminantes, ya que las multinacionales extienden su poder económico hacia las regiones de los países menos desarrollados, generando crisis ambientales locales y regionales, que acrecientan la de carácter global. La CHPH no es la excepción, el consumo de los recursos naturales (agua) está siendo voraz; y el deterioro ambiental por la generación de servicios (construcción de autopista Arco Norte) obedece a intereses económicos ajenos a los actores históricos, lo que está limitando el desarrollo local y regional de la</w:t>
            </w:r>
            <w:r>
              <w:rPr>
                <w:spacing w:val="-8"/>
                <w:sz w:val="22"/>
              </w:rPr>
              <w:t> </w:t>
            </w:r>
            <w:r>
              <w:rPr>
                <w:sz w:val="22"/>
              </w:rPr>
              <w:t>Cuenca.</w:t>
            </w:r>
          </w:p>
          <w:p>
            <w:pPr>
              <w:pStyle w:val="TableParagraph"/>
              <w:numPr>
                <w:ilvl w:val="0"/>
                <w:numId w:val="325"/>
              </w:numPr>
              <w:tabs>
                <w:tab w:pos="209" w:val="left" w:leader="none"/>
              </w:tabs>
              <w:spacing w:line="240" w:lineRule="auto" w:before="0" w:after="0"/>
              <w:ind w:left="64" w:right="63" w:firstLine="0"/>
              <w:jc w:val="both"/>
              <w:rPr>
                <w:sz w:val="22"/>
              </w:rPr>
            </w:pPr>
            <w:r>
              <w:rPr>
                <w:sz w:val="22"/>
              </w:rPr>
              <w:t>Actualmente, en el año 2016, la CHPH se encuentra en franco deterioro, debido a la suma de los costos ambientales y sociales de los anteriores acontecimientos, lo que ha dado pie a que la actual política neoliberal, refuerce el reparto inequitativo de los recursos para favorecer intereses políticos y económicos de los actores más poderosos de la región como el reparto inequitativo de los recursos (agua), y ha generado hoy como en el pasado, conflictos, que sólo pueden solucionarse a través de una visión GIRH, donde se tomen acuerdos sociopolíticos, económicos y ambientales con base a los actores históricos, ya que son éstos actores los que ostentan identidad y territorialidad, que ahora puede ser utilizada para revertir los daños a través de la GIRH, mediante la gobernanza y la gobernabilidad, generando acuerdos democráticos con impacto positivo en los ámbitos sociopolítico, económico y ambiental, con la propuesta de conformación de un Comité Intermunicipal con su reglamento para que los actores históricos de los municipios de la Cuenca atiendan su problemática</w:t>
            </w:r>
            <w:r>
              <w:rPr>
                <w:spacing w:val="-21"/>
                <w:sz w:val="22"/>
              </w:rPr>
              <w:t> </w:t>
            </w:r>
            <w:r>
              <w:rPr>
                <w:sz w:val="22"/>
              </w:rPr>
              <w:t>común.</w:t>
            </w:r>
          </w:p>
        </w:tc>
      </w:tr>
      <w:tr>
        <w:trPr>
          <w:trHeight w:val="341"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275" w:hRule="exact"/>
        </w:trPr>
        <w:tc>
          <w:tcPr>
            <w:tcW w:w="12897" w:type="dxa"/>
          </w:tcPr>
          <w:p>
            <w:pPr>
              <w:pStyle w:val="TableParagraph"/>
              <w:ind w:right="100"/>
              <w:jc w:val="both"/>
              <w:rPr>
                <w:sz w:val="22"/>
              </w:rPr>
            </w:pPr>
            <w:r>
              <w:rPr>
                <w:sz w:val="22"/>
              </w:rPr>
              <w:t>Permitió detectar que los actores históricos de los municipios que integran la CHPH no tienen un mecanismo formal de interrelación para hacer frente a sus problemas socioeconómicos comunes, pero si existe una interrelación municipal informal en términos socioeconómicos a través de la compra-venta de materias primas y con los mercados y tianguis regionales</w:t>
            </w:r>
          </w:p>
          <w:p>
            <w:pPr>
              <w:pStyle w:val="TableParagraph"/>
              <w:ind w:right="100"/>
              <w:jc w:val="both"/>
              <w:rPr>
                <w:sz w:val="22"/>
              </w:rPr>
            </w:pPr>
            <w:r>
              <w:rPr>
                <w:sz w:val="22"/>
              </w:rPr>
              <w:t>- Sirvió de guía de explicación para la elaboración de la propuesta de creación de un Comité Intermunicipal con su reglamento en la 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516" w:hRule="exact"/>
        </w:trPr>
        <w:tc>
          <w:tcPr>
            <w:tcW w:w="12897" w:type="dxa"/>
          </w:tcPr>
          <w:p>
            <w:pPr>
              <w:pStyle w:val="TableParagraph"/>
              <w:spacing w:line="252" w:lineRule="exact" w:before="2"/>
              <w:ind w:right="163"/>
              <w:rPr>
                <w:sz w:val="22"/>
              </w:rPr>
            </w:pPr>
            <w:r>
              <w:rPr>
                <w:sz w:val="22"/>
              </w:rPr>
              <w:t>- Es un indicador que debiera fomentarse, ya que ha prevalecido a través del tiempo y podría reactivar la economía a gran  escala.</w:t>
            </w:r>
          </w:p>
        </w:tc>
      </w:tr>
    </w:tbl>
    <w:p>
      <w:pPr>
        <w:spacing w:after="0" w:line="252" w:lineRule="exact"/>
        <w:rPr>
          <w:sz w:val="22"/>
        </w:rPr>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2"/>
        <w:gridCol w:w="197"/>
        <w:gridCol w:w="1789"/>
        <w:gridCol w:w="216"/>
        <w:gridCol w:w="2052"/>
        <w:gridCol w:w="142"/>
        <w:gridCol w:w="1560"/>
        <w:gridCol w:w="283"/>
        <w:gridCol w:w="1133"/>
        <w:gridCol w:w="156"/>
        <w:gridCol w:w="838"/>
        <w:gridCol w:w="708"/>
        <w:gridCol w:w="1731"/>
      </w:tblGrid>
      <w:tr>
        <w:trPr>
          <w:trHeight w:val="262" w:hRule="exact"/>
        </w:trPr>
        <w:tc>
          <w:tcPr>
            <w:tcW w:w="6347" w:type="dxa"/>
            <w:gridSpan w:val="6"/>
          </w:tcPr>
          <w:p>
            <w:pPr>
              <w:pStyle w:val="TableParagraph"/>
              <w:spacing w:line="248" w:lineRule="exact"/>
              <w:ind w:left="2616" w:right="2617"/>
              <w:jc w:val="center"/>
              <w:rPr>
                <w:b/>
                <w:sz w:val="22"/>
              </w:rPr>
            </w:pPr>
            <w:r>
              <w:rPr>
                <w:b/>
                <w:sz w:val="22"/>
              </w:rPr>
              <w:t>AEPA</w:t>
            </w:r>
          </w:p>
        </w:tc>
        <w:tc>
          <w:tcPr>
            <w:tcW w:w="3274" w:type="dxa"/>
            <w:gridSpan w:val="5"/>
          </w:tcPr>
          <w:p>
            <w:pPr>
              <w:pStyle w:val="TableParagraph"/>
              <w:spacing w:line="248" w:lineRule="exact"/>
              <w:ind w:left="237" w:right="105"/>
              <w:rPr>
                <w:b/>
                <w:sz w:val="22"/>
              </w:rPr>
            </w:pPr>
            <w:r>
              <w:rPr>
                <w:b/>
                <w:sz w:val="22"/>
              </w:rPr>
              <w:t>NOMBRE DEL INDICADOR</w:t>
            </w:r>
          </w:p>
        </w:tc>
        <w:tc>
          <w:tcPr>
            <w:tcW w:w="3277" w:type="dxa"/>
            <w:gridSpan w:val="3"/>
          </w:tcPr>
          <w:p>
            <w:pPr>
              <w:pStyle w:val="TableParagraph"/>
              <w:spacing w:line="248" w:lineRule="exact"/>
              <w:ind w:left="1072"/>
              <w:rPr>
                <w:b/>
                <w:sz w:val="22"/>
              </w:rPr>
            </w:pPr>
            <w:r>
              <w:rPr>
                <w:b/>
                <w:sz w:val="22"/>
              </w:rPr>
              <w:t>OBJETIVO</w:t>
            </w:r>
          </w:p>
        </w:tc>
      </w:tr>
      <w:tr>
        <w:trPr>
          <w:trHeight w:val="401" w:hRule="exact"/>
        </w:trPr>
        <w:tc>
          <w:tcPr>
            <w:tcW w:w="6347" w:type="dxa"/>
            <w:gridSpan w:val="6"/>
          </w:tcPr>
          <w:p>
            <w:pPr>
              <w:pStyle w:val="TableParagraph"/>
              <w:spacing w:line="248" w:lineRule="exact"/>
              <w:ind w:left="2616" w:right="2617"/>
              <w:jc w:val="center"/>
              <w:rPr>
                <w:b/>
                <w:sz w:val="22"/>
              </w:rPr>
            </w:pPr>
            <w:r>
              <w:rPr>
                <w:b/>
                <w:sz w:val="22"/>
              </w:rPr>
              <w:t>Ambiental</w:t>
            </w:r>
          </w:p>
        </w:tc>
        <w:tc>
          <w:tcPr>
            <w:tcW w:w="3274" w:type="dxa"/>
            <w:gridSpan w:val="5"/>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1"/>
              </w:rPr>
            </w:pPr>
          </w:p>
          <w:p>
            <w:pPr>
              <w:pStyle w:val="TableParagraph"/>
              <w:ind w:left="897" w:right="105"/>
              <w:rPr>
                <w:b/>
                <w:sz w:val="22"/>
              </w:rPr>
            </w:pPr>
            <w:r>
              <w:rPr>
                <w:b/>
                <w:sz w:val="22"/>
              </w:rPr>
              <w:t>Uso irracional</w:t>
            </w:r>
          </w:p>
        </w:tc>
        <w:tc>
          <w:tcPr>
            <w:tcW w:w="3277" w:type="dxa"/>
            <w:gridSpan w:val="3"/>
            <w:vMerge w:val="restart"/>
          </w:tcPr>
          <w:p>
            <w:pPr>
              <w:pStyle w:val="TableParagraph"/>
              <w:tabs>
                <w:tab w:pos="1233" w:val="left" w:leader="none"/>
                <w:tab w:pos="1533" w:val="left" w:leader="none"/>
                <w:tab w:pos="1835" w:val="left" w:leader="none"/>
                <w:tab w:pos="2176" w:val="left" w:leader="none"/>
                <w:tab w:pos="2230" w:val="left" w:leader="none"/>
                <w:tab w:pos="2367" w:val="left" w:leader="none"/>
                <w:tab w:pos="2843" w:val="left" w:leader="none"/>
              </w:tabs>
              <w:ind w:left="100" w:right="101"/>
              <w:rPr>
                <w:b/>
                <w:sz w:val="22"/>
              </w:rPr>
            </w:pPr>
            <w:r>
              <w:rPr>
                <w:b/>
                <w:sz w:val="22"/>
              </w:rPr>
              <w:t>Identificar</w:t>
              <w:tab/>
              <w:tab/>
              <w:t>los</w:t>
              <w:tab/>
              <w:tab/>
              <w:t>recursos socioeconómicos renovables y no renovables de la CHPH que han sido sobreexplotados</w:t>
              <w:tab/>
              <w:t>por</w:t>
              <w:tab/>
              <w:t>los actores</w:t>
              <w:tab/>
              <w:t>de</w:t>
              <w:tab/>
              <w:tab/>
              <w:t>la</w:t>
              <w:tab/>
              <w:tab/>
              <w:tab/>
            </w:r>
            <w:r>
              <w:rPr>
                <w:b/>
                <w:spacing w:val="-1"/>
                <w:sz w:val="22"/>
              </w:rPr>
              <w:t>Cuenca </w:t>
            </w:r>
            <w:r>
              <w:rPr>
                <w:b/>
                <w:sz w:val="22"/>
              </w:rPr>
              <w:t>generando un problema de sostenibilidad</w:t>
            </w:r>
          </w:p>
        </w:tc>
      </w:tr>
      <w:tr>
        <w:trPr>
          <w:trHeight w:val="1527" w:hRule="exact"/>
        </w:trPr>
        <w:tc>
          <w:tcPr>
            <w:tcW w:w="2093" w:type="dxa"/>
            <w:gridSpan w:val="2"/>
          </w:tcPr>
          <w:p>
            <w:pPr>
              <w:pStyle w:val="TableParagraph"/>
              <w:ind w:left="172" w:right="172" w:firstLine="2"/>
              <w:jc w:val="center"/>
              <w:rPr>
                <w:b/>
                <w:sz w:val="22"/>
              </w:rPr>
            </w:pPr>
            <w:r>
              <w:rPr>
                <w:b/>
                <w:sz w:val="22"/>
              </w:rPr>
              <w:t>Peso específico de la AEPA en el sistema PEIR</w:t>
            </w:r>
          </w:p>
        </w:tc>
        <w:tc>
          <w:tcPr>
            <w:tcW w:w="1985" w:type="dxa"/>
            <w:gridSpan w:val="2"/>
          </w:tcPr>
          <w:p>
            <w:pPr>
              <w:pStyle w:val="TableParagraph"/>
              <w:ind w:left="115" w:right="108" w:hanging="5"/>
              <w:jc w:val="center"/>
              <w:rPr>
                <w:b/>
                <w:sz w:val="22"/>
              </w:rPr>
            </w:pPr>
            <w:r>
              <w:rPr>
                <w:b/>
                <w:sz w:val="22"/>
              </w:rPr>
              <w:t>Proporción del peso de la AEPA en el sistema</w:t>
            </w:r>
          </w:p>
        </w:tc>
        <w:tc>
          <w:tcPr>
            <w:tcW w:w="2268" w:type="dxa"/>
            <w:gridSpan w:val="2"/>
          </w:tcPr>
          <w:p>
            <w:pPr>
              <w:pStyle w:val="TableParagraph"/>
              <w:ind w:left="136" w:right="136"/>
              <w:jc w:val="center"/>
              <w:rPr>
                <w:b/>
                <w:sz w:val="22"/>
              </w:rPr>
            </w:pPr>
            <w:r>
              <w:rPr>
                <w:b/>
                <w:sz w:val="22"/>
              </w:rPr>
              <w:t>Peso específico de la AEPA con base únicamente en los indicadores tácticos seleccionados</w:t>
            </w:r>
          </w:p>
        </w:tc>
        <w:tc>
          <w:tcPr>
            <w:tcW w:w="3274" w:type="dxa"/>
            <w:gridSpan w:val="5"/>
            <w:vMerge/>
          </w:tcPr>
          <w:p>
            <w:pPr/>
          </w:p>
        </w:tc>
        <w:tc>
          <w:tcPr>
            <w:tcW w:w="3277" w:type="dxa"/>
            <w:gridSpan w:val="3"/>
            <w:vMerge/>
          </w:tcPr>
          <w:p>
            <w:pPr/>
          </w:p>
        </w:tc>
      </w:tr>
      <w:tr>
        <w:trPr>
          <w:trHeight w:val="398" w:hRule="exact"/>
        </w:trPr>
        <w:tc>
          <w:tcPr>
            <w:tcW w:w="2093" w:type="dxa"/>
            <w:gridSpan w:val="2"/>
          </w:tcPr>
          <w:p>
            <w:pPr>
              <w:pStyle w:val="TableParagraph"/>
              <w:spacing w:line="248" w:lineRule="exact"/>
              <w:ind w:left="367"/>
              <w:rPr>
                <w:b/>
                <w:sz w:val="22"/>
              </w:rPr>
            </w:pPr>
            <w:r>
              <w:rPr>
                <w:b/>
                <w:sz w:val="22"/>
              </w:rPr>
              <w:t>0.062/ 18.055</w:t>
            </w:r>
          </w:p>
        </w:tc>
        <w:tc>
          <w:tcPr>
            <w:tcW w:w="1985" w:type="dxa"/>
            <w:gridSpan w:val="2"/>
          </w:tcPr>
          <w:p>
            <w:pPr>
              <w:pStyle w:val="TableParagraph"/>
              <w:spacing w:line="248" w:lineRule="exact"/>
              <w:ind w:left="1" w:right="2"/>
              <w:jc w:val="center"/>
              <w:rPr>
                <w:b/>
                <w:sz w:val="22"/>
              </w:rPr>
            </w:pPr>
            <w:r>
              <w:rPr>
                <w:b/>
                <w:sz w:val="22"/>
              </w:rPr>
              <w:t>0.34%</w:t>
            </w:r>
          </w:p>
        </w:tc>
        <w:tc>
          <w:tcPr>
            <w:tcW w:w="2268" w:type="dxa"/>
            <w:gridSpan w:val="2"/>
          </w:tcPr>
          <w:p>
            <w:pPr>
              <w:pStyle w:val="TableParagraph"/>
              <w:spacing w:line="248" w:lineRule="exact"/>
              <w:ind w:left="136" w:right="136"/>
              <w:jc w:val="center"/>
              <w:rPr>
                <w:b/>
                <w:sz w:val="22"/>
              </w:rPr>
            </w:pPr>
            <w:r>
              <w:rPr>
                <w:b/>
                <w:sz w:val="22"/>
              </w:rPr>
              <w:t>16.813</w:t>
            </w:r>
          </w:p>
        </w:tc>
        <w:tc>
          <w:tcPr>
            <w:tcW w:w="3274" w:type="dxa"/>
            <w:gridSpan w:val="5"/>
            <w:vMerge/>
          </w:tcPr>
          <w:p>
            <w:pPr/>
          </w:p>
        </w:tc>
        <w:tc>
          <w:tcPr>
            <w:tcW w:w="3277" w:type="dxa"/>
            <w:gridSpan w:val="3"/>
            <w:vMerge/>
          </w:tcPr>
          <w:p>
            <w:pPr/>
          </w:p>
        </w:tc>
      </w:tr>
      <w:tr>
        <w:trPr>
          <w:trHeight w:val="262" w:hRule="exact"/>
        </w:trPr>
        <w:tc>
          <w:tcPr>
            <w:tcW w:w="2093" w:type="dxa"/>
            <w:gridSpan w:val="2"/>
          </w:tcPr>
          <w:p>
            <w:pPr>
              <w:pStyle w:val="TableParagraph"/>
              <w:spacing w:line="248" w:lineRule="exact"/>
              <w:ind w:left="0" w:right="1"/>
              <w:jc w:val="center"/>
              <w:rPr>
                <w:b/>
                <w:sz w:val="22"/>
              </w:rPr>
            </w:pPr>
            <w:r>
              <w:rPr>
                <w:b/>
                <w:w w:val="100"/>
                <w:sz w:val="22"/>
              </w:rPr>
              <w:t>1</w:t>
            </w:r>
          </w:p>
        </w:tc>
        <w:tc>
          <w:tcPr>
            <w:tcW w:w="1985" w:type="dxa"/>
            <w:gridSpan w:val="2"/>
            <w:tcBorders>
              <w:right w:val="single" w:sz="45" w:space="0" w:color="F79546"/>
            </w:tcBorders>
          </w:tcPr>
          <w:p>
            <w:pPr>
              <w:pStyle w:val="TableParagraph"/>
              <w:spacing w:line="248" w:lineRule="exact"/>
              <w:ind w:left="51"/>
              <w:jc w:val="center"/>
              <w:rPr>
                <w:b/>
                <w:sz w:val="22"/>
              </w:rPr>
            </w:pPr>
            <w:r>
              <w:rPr>
                <w:b/>
                <w:w w:val="100"/>
                <w:sz w:val="22"/>
              </w:rPr>
              <w:t>2</w:t>
            </w:r>
          </w:p>
        </w:tc>
        <w:tc>
          <w:tcPr>
            <w:tcW w:w="2268" w:type="dxa"/>
            <w:gridSpan w:val="2"/>
            <w:shd w:val="clear" w:color="auto" w:fill="F79546"/>
          </w:tcPr>
          <w:p>
            <w:pPr>
              <w:pStyle w:val="TableParagraph"/>
              <w:spacing w:line="248" w:lineRule="exact"/>
              <w:ind w:left="0"/>
              <w:jc w:val="center"/>
              <w:rPr>
                <w:b/>
                <w:sz w:val="22"/>
              </w:rPr>
            </w:pPr>
            <w:r>
              <w:rPr>
                <w:b/>
                <w:w w:val="100"/>
                <w:sz w:val="22"/>
              </w:rPr>
              <w:t>3</w:t>
            </w:r>
          </w:p>
        </w:tc>
        <w:tc>
          <w:tcPr>
            <w:tcW w:w="1702" w:type="dxa"/>
            <w:gridSpan w:val="2"/>
            <w:tcBorders>
              <w:left w:val="thickThinMediumGap" w:sz="23" w:space="0" w:color="F79546"/>
              <w:right w:val="single" w:sz="41" w:space="0" w:color="F79546"/>
            </w:tcBorders>
          </w:tcPr>
          <w:p>
            <w:pPr>
              <w:pStyle w:val="TableParagraph"/>
              <w:spacing w:line="248" w:lineRule="exact"/>
              <w:ind w:left="0" w:right="2"/>
              <w:jc w:val="center"/>
              <w:rPr>
                <w:b/>
                <w:sz w:val="22"/>
              </w:rPr>
            </w:pPr>
            <w:r>
              <w:rPr>
                <w:b/>
                <w:w w:val="100"/>
                <w:sz w:val="22"/>
              </w:rPr>
              <w:t>P</w:t>
            </w:r>
          </w:p>
        </w:tc>
        <w:tc>
          <w:tcPr>
            <w:tcW w:w="1416" w:type="dxa"/>
            <w:gridSpan w:val="2"/>
            <w:shd w:val="clear" w:color="auto" w:fill="F79546"/>
          </w:tcPr>
          <w:p>
            <w:pPr>
              <w:pStyle w:val="TableParagraph"/>
              <w:spacing w:line="248" w:lineRule="exact"/>
              <w:ind w:left="0" w:right="1"/>
              <w:jc w:val="center"/>
              <w:rPr>
                <w:b/>
                <w:sz w:val="22"/>
              </w:rPr>
            </w:pPr>
            <w:r>
              <w:rPr>
                <w:b/>
                <w:w w:val="100"/>
                <w:sz w:val="22"/>
              </w:rPr>
              <w:t>E</w:t>
            </w:r>
          </w:p>
        </w:tc>
        <w:tc>
          <w:tcPr>
            <w:tcW w:w="1702" w:type="dxa"/>
            <w:gridSpan w:val="3"/>
            <w:tcBorders>
              <w:left w:val="single" w:sz="45" w:space="0" w:color="F79546"/>
            </w:tcBorders>
          </w:tcPr>
          <w:p>
            <w:pPr>
              <w:pStyle w:val="TableParagraph"/>
              <w:spacing w:line="248" w:lineRule="exact"/>
              <w:ind w:left="0" w:right="48"/>
              <w:jc w:val="center"/>
              <w:rPr>
                <w:b/>
                <w:sz w:val="22"/>
              </w:rPr>
            </w:pPr>
            <w:r>
              <w:rPr>
                <w:b/>
                <w:w w:val="100"/>
                <w:sz w:val="22"/>
              </w:rPr>
              <w:t>I</w:t>
            </w:r>
          </w:p>
        </w:tc>
        <w:tc>
          <w:tcPr>
            <w:tcW w:w="1731" w:type="dxa"/>
          </w:tcPr>
          <w:p>
            <w:pPr>
              <w:pStyle w:val="TableParagraph"/>
              <w:spacing w:line="248" w:lineRule="exact"/>
              <w:ind w:left="0"/>
              <w:jc w:val="center"/>
              <w:rPr>
                <w:b/>
                <w:sz w:val="22"/>
              </w:rPr>
            </w:pPr>
            <w:r>
              <w:rPr>
                <w:b/>
                <w:w w:val="100"/>
                <w:sz w:val="22"/>
              </w:rPr>
              <w:t>R</w:t>
            </w:r>
          </w:p>
        </w:tc>
      </w:tr>
      <w:tr>
        <w:trPr>
          <w:trHeight w:val="264" w:hRule="exact"/>
        </w:trPr>
        <w:tc>
          <w:tcPr>
            <w:tcW w:w="12897" w:type="dxa"/>
            <w:gridSpan w:val="14"/>
          </w:tcPr>
          <w:p>
            <w:pPr>
              <w:pStyle w:val="TableParagraph"/>
              <w:spacing w:line="248" w:lineRule="exact"/>
              <w:ind w:left="3463" w:right="163"/>
              <w:rPr>
                <w:b/>
                <w:sz w:val="22"/>
              </w:rPr>
            </w:pPr>
            <w:r>
              <w:rPr>
                <w:b/>
                <w:sz w:val="22"/>
              </w:rPr>
              <w:t>RESULTADOS DEL INDICADOR BAJO EL SISTEMA PEIR</w:t>
            </w:r>
          </w:p>
        </w:tc>
      </w:tr>
      <w:tr>
        <w:trPr>
          <w:trHeight w:val="262" w:hRule="exact"/>
        </w:trPr>
        <w:tc>
          <w:tcPr>
            <w:tcW w:w="6488" w:type="dxa"/>
            <w:gridSpan w:val="7"/>
            <w:shd w:val="clear" w:color="auto" w:fill="92CDDC"/>
          </w:tcPr>
          <w:p>
            <w:pPr>
              <w:pStyle w:val="TableParagraph"/>
              <w:spacing w:line="248" w:lineRule="exact"/>
              <w:ind w:left="701" w:right="280"/>
              <w:rPr>
                <w:b/>
                <w:sz w:val="22"/>
              </w:rPr>
            </w:pPr>
            <w:r>
              <w:rPr>
                <w:b/>
                <w:sz w:val="22"/>
              </w:rPr>
              <w:t>RESULTADOS DEL INDICADOR EN EL SISTEMA</w:t>
            </w:r>
          </w:p>
        </w:tc>
        <w:tc>
          <w:tcPr>
            <w:tcW w:w="6409" w:type="dxa"/>
            <w:gridSpan w:val="7"/>
            <w:shd w:val="clear" w:color="auto" w:fill="F9BE8F"/>
          </w:tcPr>
          <w:p>
            <w:pPr>
              <w:pStyle w:val="TableParagraph"/>
              <w:spacing w:line="248" w:lineRule="exact"/>
              <w:ind w:left="839" w:right="382"/>
              <w:rPr>
                <w:b/>
                <w:sz w:val="22"/>
              </w:rPr>
            </w:pPr>
            <w:r>
              <w:rPr>
                <w:b/>
                <w:sz w:val="22"/>
              </w:rPr>
              <w:t>RESULTADOS DEL INDICADOR EN LA AEPA</w:t>
            </w:r>
          </w:p>
        </w:tc>
      </w:tr>
      <w:tr>
        <w:trPr>
          <w:trHeight w:val="516" w:hRule="exact"/>
        </w:trPr>
        <w:tc>
          <w:tcPr>
            <w:tcW w:w="1952" w:type="dxa"/>
            <w:shd w:val="clear" w:color="auto" w:fill="92CDDC"/>
          </w:tcPr>
          <w:p>
            <w:pPr>
              <w:pStyle w:val="TableParagraph"/>
              <w:spacing w:line="248" w:lineRule="exact"/>
              <w:ind w:left="492" w:right="492"/>
              <w:jc w:val="center"/>
              <w:rPr>
                <w:b/>
                <w:sz w:val="22"/>
              </w:rPr>
            </w:pPr>
            <w:r>
              <w:rPr>
                <w:b/>
                <w:sz w:val="22"/>
              </w:rPr>
              <w:t>Vínculos</w:t>
            </w:r>
          </w:p>
        </w:tc>
        <w:tc>
          <w:tcPr>
            <w:tcW w:w="2127" w:type="dxa"/>
            <w:gridSpan w:val="3"/>
            <w:shd w:val="clear" w:color="auto" w:fill="92CDDC"/>
          </w:tcPr>
          <w:p>
            <w:pPr>
              <w:pStyle w:val="TableParagraph"/>
              <w:spacing w:line="248" w:lineRule="exact"/>
              <w:ind w:left="561"/>
              <w:rPr>
                <w:b/>
                <w:sz w:val="22"/>
              </w:rPr>
            </w:pPr>
            <w:r>
              <w:rPr>
                <w:b/>
                <w:sz w:val="22"/>
              </w:rPr>
              <w:t>Jerarquía</w:t>
            </w:r>
          </w:p>
        </w:tc>
        <w:tc>
          <w:tcPr>
            <w:tcW w:w="2410" w:type="dxa"/>
            <w:gridSpan w:val="3"/>
            <w:shd w:val="clear" w:color="auto" w:fill="92CDDC"/>
          </w:tcPr>
          <w:p>
            <w:pPr>
              <w:pStyle w:val="TableParagraph"/>
              <w:spacing w:line="248" w:lineRule="exact"/>
              <w:ind w:left="367"/>
              <w:rPr>
                <w:b/>
                <w:sz w:val="22"/>
              </w:rPr>
            </w:pPr>
            <w:r>
              <w:rPr>
                <w:b/>
                <w:sz w:val="22"/>
              </w:rPr>
              <w:t>Peso específico</w:t>
            </w:r>
          </w:p>
        </w:tc>
        <w:tc>
          <w:tcPr>
            <w:tcW w:w="1844" w:type="dxa"/>
            <w:gridSpan w:val="2"/>
            <w:shd w:val="clear" w:color="auto" w:fill="F9BE8F"/>
          </w:tcPr>
          <w:p>
            <w:pPr>
              <w:pStyle w:val="TableParagraph"/>
              <w:spacing w:line="248" w:lineRule="exact"/>
              <w:ind w:left="458"/>
              <w:rPr>
                <w:b/>
                <w:sz w:val="22"/>
              </w:rPr>
            </w:pPr>
            <w:r>
              <w:rPr>
                <w:b/>
                <w:sz w:val="22"/>
              </w:rPr>
              <w:t>Vínculos</w:t>
            </w:r>
          </w:p>
        </w:tc>
        <w:tc>
          <w:tcPr>
            <w:tcW w:w="2126" w:type="dxa"/>
            <w:gridSpan w:val="3"/>
            <w:shd w:val="clear" w:color="auto" w:fill="F9BE8F"/>
          </w:tcPr>
          <w:p>
            <w:pPr>
              <w:pStyle w:val="TableParagraph"/>
              <w:spacing w:line="248" w:lineRule="exact"/>
              <w:ind w:left="561" w:right="511"/>
              <w:rPr>
                <w:b/>
                <w:sz w:val="22"/>
              </w:rPr>
            </w:pPr>
            <w:r>
              <w:rPr>
                <w:b/>
                <w:sz w:val="22"/>
              </w:rPr>
              <w:t>Jerarquía</w:t>
            </w:r>
          </w:p>
        </w:tc>
        <w:tc>
          <w:tcPr>
            <w:tcW w:w="2439" w:type="dxa"/>
            <w:gridSpan w:val="2"/>
            <w:shd w:val="clear" w:color="auto" w:fill="F9BE8F"/>
          </w:tcPr>
          <w:p>
            <w:pPr>
              <w:pStyle w:val="TableParagraph"/>
              <w:spacing w:line="248" w:lineRule="exact"/>
              <w:ind w:left="379"/>
              <w:rPr>
                <w:b/>
                <w:sz w:val="22"/>
              </w:rPr>
            </w:pPr>
            <w:r>
              <w:rPr>
                <w:b/>
                <w:sz w:val="22"/>
              </w:rPr>
              <w:t>Peso específico</w:t>
            </w:r>
          </w:p>
        </w:tc>
      </w:tr>
      <w:tr>
        <w:trPr>
          <w:trHeight w:val="264" w:hRule="exact"/>
        </w:trPr>
        <w:tc>
          <w:tcPr>
            <w:tcW w:w="1952" w:type="dxa"/>
            <w:shd w:val="clear" w:color="auto" w:fill="92CDDC"/>
          </w:tcPr>
          <w:p>
            <w:pPr>
              <w:pStyle w:val="TableParagraph"/>
              <w:spacing w:line="248" w:lineRule="exact"/>
              <w:ind w:left="491" w:right="492"/>
              <w:jc w:val="center"/>
              <w:rPr>
                <w:b/>
                <w:sz w:val="22"/>
              </w:rPr>
            </w:pPr>
            <w:r>
              <w:rPr>
                <w:b/>
                <w:sz w:val="22"/>
              </w:rPr>
              <w:t>45</w:t>
            </w:r>
          </w:p>
        </w:tc>
        <w:tc>
          <w:tcPr>
            <w:tcW w:w="2127" w:type="dxa"/>
            <w:gridSpan w:val="3"/>
            <w:shd w:val="clear" w:color="auto" w:fill="92CDDC"/>
          </w:tcPr>
          <w:p>
            <w:pPr>
              <w:pStyle w:val="TableParagraph"/>
              <w:spacing w:line="248" w:lineRule="exact"/>
              <w:ind w:left="916" w:right="916"/>
              <w:jc w:val="center"/>
              <w:rPr>
                <w:b/>
                <w:sz w:val="22"/>
              </w:rPr>
            </w:pPr>
            <w:r>
              <w:rPr>
                <w:b/>
                <w:sz w:val="22"/>
              </w:rPr>
              <w:t>69</w:t>
            </w:r>
          </w:p>
        </w:tc>
        <w:tc>
          <w:tcPr>
            <w:tcW w:w="2410" w:type="dxa"/>
            <w:gridSpan w:val="3"/>
            <w:shd w:val="clear" w:color="auto" w:fill="92CDDC"/>
          </w:tcPr>
          <w:p>
            <w:pPr>
              <w:pStyle w:val="TableParagraph"/>
              <w:spacing w:line="248" w:lineRule="exact"/>
              <w:ind w:left="619"/>
              <w:rPr>
                <w:b/>
                <w:sz w:val="22"/>
              </w:rPr>
            </w:pPr>
            <w:r>
              <w:rPr>
                <w:b/>
                <w:sz w:val="22"/>
              </w:rPr>
              <w:t>0.00390625</w:t>
            </w:r>
          </w:p>
        </w:tc>
        <w:tc>
          <w:tcPr>
            <w:tcW w:w="1844" w:type="dxa"/>
            <w:gridSpan w:val="2"/>
            <w:shd w:val="clear" w:color="auto" w:fill="F9BE8F"/>
          </w:tcPr>
          <w:p>
            <w:pPr>
              <w:pStyle w:val="TableParagraph"/>
              <w:spacing w:line="248" w:lineRule="exact"/>
              <w:ind w:left="774" w:right="774"/>
              <w:jc w:val="center"/>
              <w:rPr>
                <w:b/>
                <w:sz w:val="22"/>
              </w:rPr>
            </w:pPr>
            <w:r>
              <w:rPr>
                <w:b/>
                <w:sz w:val="22"/>
              </w:rPr>
              <w:t>29</w:t>
            </w:r>
          </w:p>
        </w:tc>
        <w:tc>
          <w:tcPr>
            <w:tcW w:w="2126" w:type="dxa"/>
            <w:gridSpan w:val="3"/>
            <w:shd w:val="clear" w:color="auto" w:fill="F9BE8F"/>
          </w:tcPr>
          <w:p>
            <w:pPr>
              <w:pStyle w:val="TableParagraph"/>
              <w:spacing w:line="248" w:lineRule="exact"/>
              <w:ind w:left="119" w:right="119"/>
              <w:jc w:val="center"/>
              <w:rPr>
                <w:b/>
                <w:sz w:val="22"/>
              </w:rPr>
            </w:pPr>
            <w:r>
              <w:rPr>
                <w:b/>
                <w:sz w:val="22"/>
              </w:rPr>
              <w:t>13</w:t>
            </w:r>
          </w:p>
        </w:tc>
        <w:tc>
          <w:tcPr>
            <w:tcW w:w="2439" w:type="dxa"/>
            <w:gridSpan w:val="2"/>
            <w:shd w:val="clear" w:color="auto" w:fill="F9BE8F"/>
          </w:tcPr>
          <w:p>
            <w:pPr>
              <w:pStyle w:val="TableParagraph"/>
              <w:spacing w:line="248" w:lineRule="exact"/>
              <w:ind w:left="918" w:right="919"/>
              <w:jc w:val="center"/>
              <w:rPr>
                <w:b/>
                <w:sz w:val="22"/>
              </w:rPr>
            </w:pPr>
            <w:r>
              <w:rPr>
                <w:b/>
                <w:sz w:val="22"/>
              </w:rPr>
              <w:t>0.500</w:t>
            </w:r>
          </w:p>
        </w:tc>
      </w:tr>
      <w:tr>
        <w:trPr>
          <w:trHeight w:val="516" w:hRule="exact"/>
        </w:trPr>
        <w:tc>
          <w:tcPr>
            <w:tcW w:w="2290" w:type="dxa"/>
            <w:gridSpan w:val="3"/>
          </w:tcPr>
          <w:p>
            <w:pPr>
              <w:pStyle w:val="TableParagraph"/>
              <w:spacing w:line="252" w:lineRule="exact"/>
              <w:ind w:left="516" w:right="408" w:hanging="95"/>
              <w:rPr>
                <w:b/>
                <w:sz w:val="22"/>
              </w:rPr>
            </w:pPr>
            <w:r>
              <w:rPr>
                <w:b/>
                <w:sz w:val="22"/>
              </w:rPr>
              <w:t>Variables que intervienen:</w:t>
            </w:r>
          </w:p>
        </w:tc>
        <w:tc>
          <w:tcPr>
            <w:tcW w:w="10607" w:type="dxa"/>
            <w:gridSpan w:val="11"/>
          </w:tcPr>
          <w:p>
            <w:pPr>
              <w:pStyle w:val="TableParagraph"/>
              <w:spacing w:line="252" w:lineRule="exact" w:before="2"/>
              <w:ind w:right="103"/>
              <w:rPr>
                <w:sz w:val="22"/>
              </w:rPr>
            </w:pPr>
            <w:r>
              <w:rPr>
                <w:sz w:val="22"/>
              </w:rPr>
              <w:t>Recursos socioeconómicos renovables y no renovables, CHPH, sobreexplotados, actores, problema, sostenibilidad</w:t>
            </w:r>
          </w:p>
        </w:tc>
      </w:tr>
      <w:tr>
        <w:trPr>
          <w:trHeight w:val="516" w:hRule="exact"/>
        </w:trPr>
        <w:tc>
          <w:tcPr>
            <w:tcW w:w="2290" w:type="dxa"/>
            <w:gridSpan w:val="3"/>
          </w:tcPr>
          <w:p>
            <w:pPr>
              <w:pStyle w:val="TableParagraph"/>
              <w:spacing w:line="249" w:lineRule="exact"/>
              <w:ind w:left="455" w:right="408"/>
              <w:rPr>
                <w:b/>
                <w:sz w:val="22"/>
              </w:rPr>
            </w:pPr>
            <w:r>
              <w:rPr>
                <w:b/>
                <w:sz w:val="22"/>
              </w:rPr>
              <w:t>Metodología:</w:t>
            </w:r>
          </w:p>
        </w:tc>
        <w:tc>
          <w:tcPr>
            <w:tcW w:w="10607" w:type="dxa"/>
            <w:gridSpan w:val="11"/>
          </w:tcPr>
          <w:p>
            <w:pPr>
              <w:pStyle w:val="TableParagraph"/>
              <w:ind w:right="103"/>
              <w:rPr>
                <w:sz w:val="22"/>
              </w:rPr>
            </w:pPr>
            <w:r>
              <w:rPr>
                <w:sz w:val="22"/>
              </w:rPr>
              <w:t>Identificación de información en bibliografía especializada, archivos históricos y entrevistas a grupos ya establecidos de la CHPH bajo el análisis GIRH a través de la gobernanza y la gobernabilidad.</w:t>
            </w:r>
          </w:p>
        </w:tc>
      </w:tr>
      <w:tr>
        <w:trPr>
          <w:trHeight w:val="262" w:hRule="exact"/>
        </w:trPr>
        <w:tc>
          <w:tcPr>
            <w:tcW w:w="12897" w:type="dxa"/>
            <w:gridSpan w:val="14"/>
          </w:tcPr>
          <w:p>
            <w:pPr>
              <w:pStyle w:val="TableParagraph"/>
              <w:spacing w:line="248" w:lineRule="exact"/>
              <w:ind w:left="172" w:right="173"/>
              <w:jc w:val="center"/>
              <w:rPr>
                <w:b/>
                <w:sz w:val="22"/>
              </w:rPr>
            </w:pPr>
            <w:r>
              <w:rPr>
                <w:b/>
                <w:sz w:val="22"/>
              </w:rPr>
              <w:t>DEFINICIÓN</w:t>
            </w:r>
          </w:p>
        </w:tc>
      </w:tr>
      <w:tr>
        <w:trPr>
          <w:trHeight w:val="516" w:hRule="exact"/>
        </w:trPr>
        <w:tc>
          <w:tcPr>
            <w:tcW w:w="12897" w:type="dxa"/>
            <w:gridSpan w:val="14"/>
          </w:tcPr>
          <w:p>
            <w:pPr>
              <w:pStyle w:val="TableParagraph"/>
              <w:ind w:right="200"/>
              <w:rPr>
                <w:sz w:val="22"/>
              </w:rPr>
            </w:pPr>
            <w:r>
              <w:rPr>
                <w:sz w:val="22"/>
              </w:rPr>
              <w:t>Los actores de la CHPH sobreexplotan y/o abusan de los recursos socioeconómicos renovables y no renovables de la Cuenca,  lo que ha generado un problema de sostenibilidad (García, TC:</w:t>
            </w:r>
            <w:r>
              <w:rPr>
                <w:spacing w:val="-17"/>
                <w:sz w:val="22"/>
              </w:rPr>
              <w:t> </w:t>
            </w:r>
            <w:r>
              <w:rPr>
                <w:sz w:val="22"/>
              </w:rPr>
              <w:t>2013-2015).</w:t>
            </w:r>
          </w:p>
        </w:tc>
      </w:tr>
      <w:tr>
        <w:trPr>
          <w:trHeight w:val="264" w:hRule="exact"/>
        </w:trPr>
        <w:tc>
          <w:tcPr>
            <w:tcW w:w="4295" w:type="dxa"/>
            <w:gridSpan w:val="5"/>
          </w:tcPr>
          <w:p>
            <w:pPr>
              <w:pStyle w:val="TableParagraph"/>
              <w:spacing w:line="251" w:lineRule="exact"/>
              <w:ind w:left="1097" w:right="213"/>
              <w:rPr>
                <w:b/>
                <w:sz w:val="22"/>
              </w:rPr>
            </w:pPr>
            <w:r>
              <w:rPr>
                <w:b/>
                <w:sz w:val="22"/>
              </w:rPr>
              <w:t>Unidad de medición</w:t>
            </w:r>
          </w:p>
        </w:tc>
        <w:tc>
          <w:tcPr>
            <w:tcW w:w="8603" w:type="dxa"/>
            <w:gridSpan w:val="9"/>
          </w:tcPr>
          <w:p>
            <w:pPr>
              <w:pStyle w:val="TableParagraph"/>
              <w:spacing w:line="251" w:lineRule="exact"/>
              <w:ind w:left="2419" w:right="108"/>
              <w:rPr>
                <w:b/>
                <w:sz w:val="22"/>
              </w:rPr>
            </w:pPr>
            <w:r>
              <w:rPr>
                <w:b/>
                <w:sz w:val="22"/>
              </w:rPr>
              <w:t>Definición de la unidad de medición</w:t>
            </w:r>
          </w:p>
        </w:tc>
      </w:tr>
      <w:tr>
        <w:trPr>
          <w:trHeight w:val="770" w:hRule="exact"/>
        </w:trPr>
        <w:tc>
          <w:tcPr>
            <w:tcW w:w="4295" w:type="dxa"/>
            <w:gridSpan w:val="5"/>
          </w:tcPr>
          <w:p>
            <w:pPr>
              <w:pStyle w:val="TableParagraph"/>
              <w:ind w:right="100"/>
              <w:jc w:val="both"/>
              <w:rPr>
                <w:sz w:val="22"/>
              </w:rPr>
            </w:pPr>
            <w:r>
              <w:rPr>
                <w:sz w:val="22"/>
              </w:rPr>
              <w:t># de recursos socioeconómicos sobreexplotados por los actores de la CHPH</w:t>
            </w:r>
          </w:p>
        </w:tc>
        <w:tc>
          <w:tcPr>
            <w:tcW w:w="8603" w:type="dxa"/>
            <w:gridSpan w:val="9"/>
          </w:tcPr>
          <w:p>
            <w:pPr>
              <w:pStyle w:val="TableParagraph"/>
              <w:spacing w:line="242" w:lineRule="auto"/>
              <w:ind w:right="108"/>
              <w:rPr>
                <w:sz w:val="22"/>
              </w:rPr>
            </w:pPr>
            <w:r>
              <w:rPr>
                <w:sz w:val="22"/>
              </w:rPr>
              <w:t>Cantidad de recursos socioeconómicos de la CHPH que se encuentran en situación de riesgo y que se han ido extinguiendo a través del tiempo.</w:t>
            </w:r>
          </w:p>
          <w:p>
            <w:pPr>
              <w:pStyle w:val="TableParagraph"/>
              <w:spacing w:line="250" w:lineRule="exact"/>
              <w:ind w:right="108"/>
              <w:rPr>
                <w:sz w:val="22"/>
              </w:rPr>
            </w:pPr>
            <w:r>
              <w:rPr>
                <w:sz w:val="22"/>
              </w:rPr>
              <w:t>(Ejemplo: pastos, anfibios como las ranas y los ajolotes).</w:t>
            </w:r>
          </w:p>
        </w:tc>
      </w:tr>
    </w:tbl>
    <w:p>
      <w:pPr>
        <w:spacing w:after="0" w:line="250" w:lineRule="exact"/>
        <w:rPr>
          <w:sz w:val="22"/>
        </w:rPr>
        <w:sectPr>
          <w:footerReference w:type="default" r:id="rId550"/>
          <w:pgSz w:w="15840" w:h="12240" w:orient="landscape"/>
          <w:pgMar w:footer="943" w:header="0" w:top="1140" w:bottom="1140" w:left="1200" w:right="1300"/>
          <w:pgNumType w:start="750"/>
        </w:sectPr>
      </w:pPr>
    </w:p>
    <w:p>
      <w:pPr>
        <w:pStyle w:val="BodyText"/>
        <w:rPr>
          <w:rFonts w:ascii="Times New Roman"/>
          <w:sz w:val="20"/>
        </w:rPr>
      </w:pPr>
      <w:r>
        <w:rPr/>
        <w:pict>
          <v:group style="position:absolute;margin-left:65.269997pt;margin-top:84.849998pt;width:646.7pt;height:427.7pt;mso-position-horizontal-relative:page;mso-position-vertical-relative:page;z-index:-3328144" coordorigin="1305,1697" coordsize="12934,8554">
            <v:line style="position:absolute" from="1315,1707" to="14229,1707" stroked="true" strokeweight=".48pt" strokecolor="#000000"/>
            <v:line style="position:absolute" from="1315,2331" to="14229,2331" stroked="true" strokeweight=".48pt" strokecolor="#000000"/>
            <v:line style="position:absolute" from="1310,1702" to="1310,10245" stroked="true" strokeweight=".48pt" strokecolor="#000000"/>
            <v:line style="position:absolute" from="1315,10240" to="14229,10240" stroked="true" strokeweight=".47998pt" strokecolor="#000000"/>
            <v:line style="position:absolute" from="14234,1702" to="14234,10245" stroked="true" strokeweight=".48004pt" strokecolor="#000000"/>
            <v:shape style="position:absolute;left:1752;top:2336;width:12037;height:6731" type="#_x0000_t75" stroked="false">
              <v:imagedata r:id="rId551" o:title=""/>
            </v:shape>
            <w10:wrap type="none"/>
          </v:group>
        </w:pict>
      </w:r>
    </w:p>
    <w:p>
      <w:pPr>
        <w:pStyle w:val="BodyText"/>
        <w:spacing w:before="11"/>
        <w:rPr>
          <w:rFonts w:ascii="Times New Roman"/>
        </w:rPr>
      </w:pPr>
    </w:p>
    <w:p>
      <w:pPr>
        <w:pStyle w:val="Heading6"/>
        <w:spacing w:before="73"/>
        <w:ind w:left="5782" w:right="883" w:hanging="5079"/>
      </w:pPr>
      <w:r>
        <w:rPr/>
        <w:t>ANÁLISIS-CAUSA EFECTO DEL INDICADOR BAJO UN SISTEMA PEIR PARA LA DEFINICIÓN DE LA ESCALA DE CALIFICACIÓN</w:t>
      </w:r>
    </w:p>
    <w:p>
      <w:pPr>
        <w:spacing w:after="0"/>
        <w:sectPr>
          <w:pgSz w:w="15840" w:h="12240" w:orient="landscape"/>
          <w:pgMar w:header="0" w:footer="943" w:top="1140" w:bottom="1140" w:left="1200" w:right="1300"/>
        </w:sectPr>
      </w:pPr>
    </w:p>
    <w:p>
      <w:pPr>
        <w:pStyle w:val="BodyText"/>
        <w:rPr>
          <w:rFonts w:ascii="Times New Roman"/>
          <w:sz w:val="20"/>
        </w:rPr>
      </w:pPr>
      <w:r>
        <w:rPr/>
        <w:drawing>
          <wp:anchor distT="0" distB="0" distL="0" distR="0" allowOverlap="1" layoutInCell="1" locked="0" behindDoc="0" simplePos="0" relativeHeight="15304">
            <wp:simplePos x="0" y="0"/>
            <wp:positionH relativeFrom="page">
              <wp:posOffset>876300</wp:posOffset>
            </wp:positionH>
            <wp:positionV relativeFrom="page">
              <wp:posOffset>1574800</wp:posOffset>
            </wp:positionV>
            <wp:extent cx="5319207" cy="2401062"/>
            <wp:effectExtent l="0" t="0" r="0" b="0"/>
            <wp:wrapNone/>
            <wp:docPr id="97" name="image412.png" descr=""/>
            <wp:cNvGraphicFramePr>
              <a:graphicFrameLocks noChangeAspect="1"/>
            </wp:cNvGraphicFramePr>
            <a:graphic>
              <a:graphicData uri="http://schemas.openxmlformats.org/drawingml/2006/picture">
                <pic:pic>
                  <pic:nvPicPr>
                    <pic:cNvPr id="98" name="image412.png"/>
                    <pic:cNvPicPr/>
                  </pic:nvPicPr>
                  <pic:blipFill>
                    <a:blip r:embed="rId552" cstate="print"/>
                    <a:stretch>
                      <a:fillRect/>
                    </a:stretch>
                  </pic:blipFill>
                  <pic:spPr>
                    <a:xfrm>
                      <a:off x="0" y="0"/>
                      <a:ext cx="5319207" cy="2401062"/>
                    </a:xfrm>
                    <a:prstGeom prst="rect">
                      <a:avLst/>
                    </a:prstGeom>
                  </pic:spPr>
                </pic:pic>
              </a:graphicData>
            </a:graphic>
          </wp:anchor>
        </w:drawing>
      </w:r>
      <w:r>
        <w:rPr/>
        <w:pict>
          <v:shape style="position:absolute;margin-left:522.070007pt;margin-top:130.460007pt;width:127.5pt;height:145.25pt;mso-position-horizontal-relative:page;mso-position-vertical-relative:page;z-index:1532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1501"/>
                  </w:tblGrid>
                  <w:tr>
                    <w:trPr>
                      <w:trHeight w:val="264" w:hRule="exact"/>
                    </w:trPr>
                    <w:tc>
                      <w:tcPr>
                        <w:tcW w:w="1034" w:type="dxa"/>
                      </w:tcPr>
                      <w:p>
                        <w:pPr>
                          <w:pStyle w:val="TableParagraph"/>
                          <w:spacing w:line="248" w:lineRule="exact"/>
                          <w:rPr>
                            <w:b/>
                            <w:sz w:val="22"/>
                          </w:rPr>
                        </w:pPr>
                        <w:r>
                          <w:rPr>
                            <w:b/>
                            <w:sz w:val="22"/>
                          </w:rPr>
                          <w:t>Período</w:t>
                        </w:r>
                      </w:p>
                    </w:tc>
                    <w:tc>
                      <w:tcPr>
                        <w:tcW w:w="1501" w:type="dxa"/>
                      </w:tcPr>
                      <w:p>
                        <w:pPr>
                          <w:pStyle w:val="TableParagraph"/>
                          <w:spacing w:line="248" w:lineRule="exact"/>
                          <w:rPr>
                            <w:b/>
                            <w:sz w:val="22"/>
                          </w:rPr>
                        </w:pPr>
                        <w:r>
                          <w:rPr>
                            <w:b/>
                            <w:sz w:val="22"/>
                          </w:rPr>
                          <w:t>Calificación</w:t>
                        </w:r>
                      </w:p>
                    </w:tc>
                  </w:tr>
                  <w:tr>
                    <w:trPr>
                      <w:trHeight w:val="262" w:hRule="exact"/>
                    </w:trPr>
                    <w:tc>
                      <w:tcPr>
                        <w:tcW w:w="1034" w:type="dxa"/>
                      </w:tcPr>
                      <w:p>
                        <w:pPr>
                          <w:pStyle w:val="TableParagraph"/>
                          <w:spacing w:line="251" w:lineRule="exact"/>
                          <w:rPr>
                            <w:sz w:val="22"/>
                          </w:rPr>
                        </w:pPr>
                        <w:r>
                          <w:rPr>
                            <w:sz w:val="22"/>
                          </w:rPr>
                          <w:t>1400</w:t>
                        </w:r>
                      </w:p>
                    </w:tc>
                    <w:tc>
                      <w:tcPr>
                        <w:tcW w:w="1501" w:type="dxa"/>
                      </w:tcPr>
                      <w:p>
                        <w:pPr>
                          <w:pStyle w:val="TableParagraph"/>
                          <w:spacing w:line="251" w:lineRule="exact"/>
                          <w:rPr>
                            <w:sz w:val="22"/>
                          </w:rPr>
                        </w:pPr>
                        <w:r>
                          <w:rPr>
                            <w:sz w:val="22"/>
                          </w:rPr>
                          <w:t>Excelente</w:t>
                        </w:r>
                      </w:p>
                    </w:tc>
                  </w:tr>
                  <w:tr>
                    <w:trPr>
                      <w:trHeight w:val="264" w:hRule="exact"/>
                    </w:trPr>
                    <w:tc>
                      <w:tcPr>
                        <w:tcW w:w="1034" w:type="dxa"/>
                      </w:tcPr>
                      <w:p>
                        <w:pPr>
                          <w:pStyle w:val="TableParagraph"/>
                          <w:spacing w:line="251" w:lineRule="exact"/>
                          <w:rPr>
                            <w:sz w:val="22"/>
                          </w:rPr>
                        </w:pPr>
                        <w:r>
                          <w:rPr>
                            <w:sz w:val="22"/>
                          </w:rPr>
                          <w:t>1519</w:t>
                        </w:r>
                      </w:p>
                    </w:tc>
                    <w:tc>
                      <w:tcPr>
                        <w:tcW w:w="1501" w:type="dxa"/>
                      </w:tcPr>
                      <w:p>
                        <w:pPr>
                          <w:pStyle w:val="TableParagraph"/>
                          <w:spacing w:line="251" w:lineRule="exact"/>
                          <w:rPr>
                            <w:sz w:val="22"/>
                          </w:rPr>
                        </w:pPr>
                        <w:r>
                          <w:rPr>
                            <w:sz w:val="22"/>
                          </w:rPr>
                          <w:t>Bueno</w:t>
                        </w:r>
                      </w:p>
                    </w:tc>
                  </w:tr>
                  <w:tr>
                    <w:trPr>
                      <w:trHeight w:val="262" w:hRule="exact"/>
                    </w:trPr>
                    <w:tc>
                      <w:tcPr>
                        <w:tcW w:w="1034" w:type="dxa"/>
                      </w:tcPr>
                      <w:p>
                        <w:pPr>
                          <w:pStyle w:val="TableParagraph"/>
                          <w:spacing w:line="251" w:lineRule="exact"/>
                          <w:rPr>
                            <w:sz w:val="22"/>
                          </w:rPr>
                        </w:pPr>
                        <w:r>
                          <w:rPr>
                            <w:sz w:val="22"/>
                          </w:rPr>
                          <w:t>1580</w:t>
                        </w:r>
                      </w:p>
                    </w:tc>
                    <w:tc>
                      <w:tcPr>
                        <w:tcW w:w="1501" w:type="dxa"/>
                      </w:tcPr>
                      <w:p>
                        <w:pPr>
                          <w:pStyle w:val="TableParagraph"/>
                          <w:spacing w:line="251" w:lineRule="exact"/>
                          <w:rPr>
                            <w:sz w:val="22"/>
                          </w:rPr>
                        </w:pPr>
                        <w:r>
                          <w:rPr>
                            <w:sz w:val="22"/>
                          </w:rPr>
                          <w:t>Deficiente</w:t>
                        </w:r>
                      </w:p>
                    </w:tc>
                  </w:tr>
                  <w:tr>
                    <w:trPr>
                      <w:trHeight w:val="265" w:hRule="exact"/>
                    </w:trPr>
                    <w:tc>
                      <w:tcPr>
                        <w:tcW w:w="1034" w:type="dxa"/>
                      </w:tcPr>
                      <w:p>
                        <w:pPr>
                          <w:pStyle w:val="TableParagraph"/>
                          <w:rPr>
                            <w:sz w:val="22"/>
                          </w:rPr>
                        </w:pPr>
                        <w:r>
                          <w:rPr>
                            <w:sz w:val="22"/>
                          </w:rPr>
                          <w:t>1785</w:t>
                        </w:r>
                      </w:p>
                    </w:tc>
                    <w:tc>
                      <w:tcPr>
                        <w:tcW w:w="1501" w:type="dxa"/>
                      </w:tcPr>
                      <w:p>
                        <w:pPr>
                          <w:pStyle w:val="TableParagraph"/>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1810</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1861</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1910</w:t>
                        </w:r>
                      </w:p>
                    </w:tc>
                    <w:tc>
                      <w:tcPr>
                        <w:tcW w:w="1501" w:type="dxa"/>
                      </w:tcPr>
                      <w:p>
                        <w:pPr>
                          <w:pStyle w:val="TableParagraph"/>
                          <w:spacing w:line="251" w:lineRule="exact"/>
                          <w:rPr>
                            <w:sz w:val="22"/>
                          </w:rPr>
                        </w:pPr>
                        <w:r>
                          <w:rPr>
                            <w:sz w:val="22"/>
                          </w:rPr>
                          <w:t>Deficiente</w:t>
                        </w:r>
                      </w:p>
                    </w:tc>
                  </w:tr>
                  <w:tr>
                    <w:trPr>
                      <w:trHeight w:val="262" w:hRule="exact"/>
                    </w:trPr>
                    <w:tc>
                      <w:tcPr>
                        <w:tcW w:w="1034" w:type="dxa"/>
                      </w:tcPr>
                      <w:p>
                        <w:pPr>
                          <w:pStyle w:val="TableParagraph"/>
                          <w:spacing w:line="251" w:lineRule="exact"/>
                          <w:rPr>
                            <w:sz w:val="22"/>
                          </w:rPr>
                        </w:pPr>
                        <w:r>
                          <w:rPr>
                            <w:sz w:val="22"/>
                          </w:rPr>
                          <w:t>1940</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1982</w:t>
                        </w:r>
                      </w:p>
                    </w:tc>
                    <w:tc>
                      <w:tcPr>
                        <w:tcW w:w="1501" w:type="dxa"/>
                      </w:tcPr>
                      <w:p>
                        <w:pPr>
                          <w:pStyle w:val="TableParagraph"/>
                          <w:spacing w:line="251" w:lineRule="exact"/>
                          <w:rPr>
                            <w:sz w:val="22"/>
                          </w:rPr>
                        </w:pPr>
                        <w:r>
                          <w:rPr>
                            <w:sz w:val="22"/>
                          </w:rPr>
                          <w:t>Deficiente</w:t>
                        </w:r>
                      </w:p>
                    </w:tc>
                  </w:tr>
                  <w:tr>
                    <w:trPr>
                      <w:trHeight w:val="264" w:hRule="exact"/>
                    </w:trPr>
                    <w:tc>
                      <w:tcPr>
                        <w:tcW w:w="1034" w:type="dxa"/>
                      </w:tcPr>
                      <w:p>
                        <w:pPr>
                          <w:pStyle w:val="TableParagraph"/>
                          <w:spacing w:line="251" w:lineRule="exact"/>
                          <w:rPr>
                            <w:sz w:val="22"/>
                          </w:rPr>
                        </w:pPr>
                        <w:r>
                          <w:rPr>
                            <w:sz w:val="22"/>
                          </w:rPr>
                          <w:t>2016</w:t>
                        </w:r>
                      </w:p>
                    </w:tc>
                    <w:tc>
                      <w:tcPr>
                        <w:tcW w:w="1501" w:type="dxa"/>
                      </w:tcPr>
                      <w:p>
                        <w:pPr>
                          <w:pStyle w:val="TableParagraph"/>
                          <w:spacing w:line="251" w:lineRule="exact"/>
                          <w:rPr>
                            <w:sz w:val="22"/>
                          </w:rPr>
                        </w:pPr>
                        <w:r>
                          <w:rPr>
                            <w:sz w:val="22"/>
                          </w:rPr>
                          <w:t>Deficiente</w:t>
                        </w:r>
                      </w:p>
                    </w:tc>
                  </w:tr>
                </w:tbl>
                <w:p>
                  <w:pPr>
                    <w:pStyle w:val="BodyText"/>
                  </w:pPr>
                </w:p>
              </w:txbxContent>
            </v:textbox>
            <w10:wrap type="none"/>
          </v:shape>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62"/>
        <w:gridCol w:w="1352"/>
        <w:gridCol w:w="3132"/>
        <w:gridCol w:w="1476"/>
        <w:gridCol w:w="2429"/>
        <w:gridCol w:w="1615"/>
      </w:tblGrid>
      <w:tr>
        <w:trPr>
          <w:trHeight w:val="262" w:hRule="exact"/>
        </w:trPr>
        <w:tc>
          <w:tcPr>
            <w:tcW w:w="12822" w:type="dxa"/>
            <w:gridSpan w:val="7"/>
          </w:tcPr>
          <w:p>
            <w:pPr>
              <w:pStyle w:val="TableParagraph"/>
              <w:spacing w:line="248" w:lineRule="exact"/>
              <w:ind w:left="2023" w:right="2026"/>
              <w:jc w:val="center"/>
              <w:rPr>
                <w:b/>
                <w:sz w:val="22"/>
              </w:rPr>
            </w:pPr>
            <w:r>
              <w:rPr>
                <w:b/>
                <w:sz w:val="22"/>
              </w:rPr>
              <w:t>Valoración del</w:t>
            </w:r>
            <w:r>
              <w:rPr>
                <w:b/>
                <w:spacing w:val="-5"/>
                <w:sz w:val="22"/>
              </w:rPr>
              <w:t> </w:t>
            </w:r>
            <w:r>
              <w:rPr>
                <w:b/>
                <w:sz w:val="22"/>
              </w:rPr>
              <w:t>indicador</w:t>
            </w:r>
          </w:p>
        </w:tc>
      </w:tr>
      <w:tr>
        <w:trPr>
          <w:trHeight w:val="5087" w:hRule="exact"/>
        </w:trPr>
        <w:tc>
          <w:tcPr>
            <w:tcW w:w="12822" w:type="dxa"/>
            <w:gridSpan w:val="7"/>
          </w:tcPr>
          <w:p>
            <w:pPr>
              <w:pStyle w:val="TableParagraph"/>
              <w:spacing w:line="250" w:lineRule="exact"/>
              <w:ind w:left="27" w:right="57"/>
              <w:rPr>
                <w:sz w:val="22"/>
              </w:rPr>
            </w:pPr>
            <w:r>
              <w:rPr>
                <w:sz w:val="22"/>
              </w:rPr>
              <w:t>Para identificar el uso irracional de los recursos naturales por parte de los actores de la CHPH se elaboró la siguiente gráfica:</w:t>
            </w:r>
          </w:p>
          <w:p>
            <w:pPr>
              <w:pStyle w:val="TableParagraph"/>
              <w:spacing w:line="252" w:lineRule="exact"/>
              <w:ind w:left="3635" w:right="57"/>
              <w:rPr>
                <w:b/>
                <w:sz w:val="22"/>
              </w:rPr>
            </w:pPr>
            <w:r>
              <w:rPr>
                <w:b/>
                <w:sz w:val="22"/>
              </w:rPr>
              <w:t>Gráfica 7.22.</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
              <w:ind w:left="0"/>
              <w:rPr>
                <w:rFonts w:ascii="Times New Roman"/>
                <w:sz w:val="23"/>
              </w:rPr>
            </w:pPr>
          </w:p>
          <w:p>
            <w:pPr>
              <w:pStyle w:val="TableParagraph"/>
              <w:spacing w:line="510" w:lineRule="atLeast"/>
              <w:ind w:left="27" w:right="3812"/>
              <w:rPr>
                <w:sz w:val="22"/>
              </w:rPr>
            </w:pPr>
            <w:r>
              <w:rPr>
                <w:b/>
                <w:sz w:val="22"/>
              </w:rPr>
              <w:t>Fuente: </w:t>
            </w:r>
            <w:r>
              <w:rPr>
                <w:sz w:val="22"/>
              </w:rPr>
              <w:t>elaboración propia con base en el trabajo de campo y gabinete García, 2013-2015. Para evaluar el indicador se generó la siguiente tarjeta de valoración:</w:t>
            </w:r>
          </w:p>
        </w:tc>
      </w:tr>
      <w:tr>
        <w:trPr>
          <w:trHeight w:val="470" w:hRule="exact"/>
        </w:trPr>
        <w:tc>
          <w:tcPr>
            <w:tcW w:w="954" w:type="dxa"/>
            <w:vMerge w:val="restart"/>
            <w:tcBorders>
              <w:left w:val="double" w:sz="11" w:space="0" w:color="000000"/>
            </w:tcBorders>
          </w:tcPr>
          <w:p>
            <w:pPr>
              <w:pStyle w:val="TableParagraph"/>
              <w:spacing w:before="9"/>
              <w:ind w:left="0"/>
              <w:rPr>
                <w:rFonts w:ascii="Times New Roman"/>
                <w:sz w:val="19"/>
              </w:rPr>
            </w:pPr>
          </w:p>
          <w:p>
            <w:pPr>
              <w:pStyle w:val="TableParagraph"/>
              <w:rPr>
                <w:sz w:val="20"/>
              </w:rPr>
            </w:pPr>
            <w:r>
              <w:rPr>
                <w:sz w:val="20"/>
              </w:rPr>
              <w:t>Período</w:t>
            </w:r>
          </w:p>
        </w:tc>
        <w:tc>
          <w:tcPr>
            <w:tcW w:w="1862" w:type="dxa"/>
            <w:vMerge w:val="restart"/>
          </w:tcPr>
          <w:p>
            <w:pPr>
              <w:pStyle w:val="TableParagraph"/>
              <w:tabs>
                <w:tab w:pos="1525" w:val="left" w:leader="none"/>
              </w:tabs>
              <w:ind w:right="103"/>
              <w:jc w:val="both"/>
              <w:rPr>
                <w:sz w:val="20"/>
              </w:rPr>
            </w:pPr>
            <w:r>
              <w:rPr>
                <w:sz w:val="20"/>
              </w:rPr>
              <w:t>Clasificación por número</w:t>
              <w:tab/>
              <w:t>de eventos en el período</w:t>
            </w:r>
          </w:p>
        </w:tc>
        <w:tc>
          <w:tcPr>
            <w:tcW w:w="8390" w:type="dxa"/>
            <w:gridSpan w:val="4"/>
          </w:tcPr>
          <w:p>
            <w:pPr>
              <w:pStyle w:val="TableParagraph"/>
              <w:spacing w:line="242" w:lineRule="auto"/>
              <w:ind w:right="100"/>
              <w:rPr>
                <w:sz w:val="20"/>
              </w:rPr>
            </w:pPr>
            <w:r>
              <w:rPr>
                <w:sz w:val="20"/>
              </w:rPr>
              <w:t>Clasificación por </w:t>
            </w:r>
            <w:r>
              <w:rPr>
                <w:b/>
                <w:sz w:val="20"/>
              </w:rPr>
              <w:t>características de impacto positivo o negativo </w:t>
            </w:r>
            <w:r>
              <w:rPr>
                <w:sz w:val="20"/>
              </w:rPr>
              <w:t>en los ámbitos ambiental-sociopolítico-económico</w:t>
            </w:r>
          </w:p>
        </w:tc>
        <w:tc>
          <w:tcPr>
            <w:tcW w:w="1615" w:type="dxa"/>
            <w:vMerge w:val="restart"/>
            <w:tcBorders>
              <w:right w:val="double" w:sz="12" w:space="0" w:color="000000"/>
            </w:tcBorders>
          </w:tcPr>
          <w:p>
            <w:pPr>
              <w:pStyle w:val="TableParagraph"/>
              <w:spacing w:before="117"/>
              <w:ind w:left="231" w:right="229"/>
              <w:jc w:val="center"/>
              <w:rPr>
                <w:sz w:val="20"/>
              </w:rPr>
            </w:pPr>
            <w:r>
              <w:rPr>
                <w:w w:val="95"/>
                <w:sz w:val="20"/>
              </w:rPr>
              <w:t>Clasificación </w:t>
            </w:r>
            <w:r>
              <w:rPr>
                <w:sz w:val="20"/>
              </w:rPr>
              <w:t>de la calificación</w:t>
            </w:r>
          </w:p>
        </w:tc>
      </w:tr>
      <w:tr>
        <w:trPr>
          <w:trHeight w:val="480" w:hRule="exact"/>
        </w:trPr>
        <w:tc>
          <w:tcPr>
            <w:tcW w:w="954" w:type="dxa"/>
            <w:vMerge/>
            <w:tcBorders>
              <w:left w:val="double" w:sz="11" w:space="0" w:color="000000"/>
              <w:bottom w:val="single" w:sz="8" w:space="0" w:color="000000"/>
            </w:tcBorders>
          </w:tcPr>
          <w:p>
            <w:pPr/>
          </w:p>
        </w:tc>
        <w:tc>
          <w:tcPr>
            <w:tcW w:w="1862" w:type="dxa"/>
            <w:vMerge/>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Subsistema</w:t>
            </w:r>
          </w:p>
        </w:tc>
        <w:tc>
          <w:tcPr>
            <w:tcW w:w="3132" w:type="dxa"/>
            <w:tcBorders>
              <w:bottom w:val="single" w:sz="8" w:space="0" w:color="000000"/>
            </w:tcBorders>
          </w:tcPr>
          <w:p>
            <w:pPr>
              <w:pStyle w:val="TableParagraph"/>
              <w:spacing w:line="227" w:lineRule="exact"/>
              <w:ind w:left="100" w:right="98"/>
              <w:rPr>
                <w:sz w:val="20"/>
              </w:rPr>
            </w:pPr>
            <w:r>
              <w:rPr>
                <w:sz w:val="20"/>
              </w:rPr>
              <w:t>características</w:t>
            </w:r>
          </w:p>
        </w:tc>
        <w:tc>
          <w:tcPr>
            <w:tcW w:w="1476" w:type="dxa"/>
            <w:tcBorders>
              <w:bottom w:val="single" w:sz="8" w:space="0" w:color="000000"/>
            </w:tcBorders>
          </w:tcPr>
          <w:p>
            <w:pPr>
              <w:pStyle w:val="TableParagraph"/>
              <w:tabs>
                <w:tab w:pos="1139" w:val="left" w:leader="none"/>
              </w:tabs>
              <w:spacing w:line="227" w:lineRule="exact"/>
              <w:rPr>
                <w:sz w:val="20"/>
              </w:rPr>
            </w:pPr>
            <w:r>
              <w:rPr>
                <w:sz w:val="20"/>
              </w:rPr>
              <w:t>%</w:t>
              <w:tab/>
              <w:t>de</w:t>
            </w:r>
          </w:p>
          <w:p>
            <w:pPr>
              <w:pStyle w:val="TableParagraph"/>
              <w:rPr>
                <w:sz w:val="20"/>
              </w:rPr>
            </w:pPr>
            <w:r>
              <w:rPr>
                <w:sz w:val="20"/>
              </w:rPr>
              <w:t>cumplimiento</w:t>
            </w:r>
          </w:p>
        </w:tc>
        <w:tc>
          <w:tcPr>
            <w:tcW w:w="2429" w:type="dxa"/>
            <w:tcBorders>
              <w:bottom w:val="single" w:sz="8" w:space="0" w:color="000000"/>
            </w:tcBorders>
          </w:tcPr>
          <w:p>
            <w:pPr>
              <w:pStyle w:val="TableParagraph"/>
              <w:spacing w:line="227" w:lineRule="exact"/>
              <w:rPr>
                <w:sz w:val="20"/>
              </w:rPr>
            </w:pPr>
            <w:r>
              <w:rPr>
                <w:sz w:val="20"/>
              </w:rPr>
              <w:t>Observaciones</w:t>
            </w:r>
          </w:p>
        </w:tc>
        <w:tc>
          <w:tcPr>
            <w:tcW w:w="1615" w:type="dxa"/>
            <w:vMerge/>
            <w:tcBorders>
              <w:bottom w:val="single" w:sz="8" w:space="0" w:color="000000"/>
              <w:right w:val="double" w:sz="12" w:space="0" w:color="000000"/>
            </w:tcBorders>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62"/>
        <w:gridCol w:w="1352"/>
        <w:gridCol w:w="3132"/>
        <w:gridCol w:w="1476"/>
        <w:gridCol w:w="2429"/>
        <w:gridCol w:w="1615"/>
      </w:tblGrid>
      <w:tr>
        <w:trPr>
          <w:trHeight w:val="3130" w:hRule="exact"/>
        </w:trPr>
        <w:tc>
          <w:tcPr>
            <w:tcW w:w="954" w:type="dxa"/>
            <w:vMerge w:val="restart"/>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6"/>
              </w:rPr>
            </w:pPr>
          </w:p>
          <w:p>
            <w:pPr>
              <w:pStyle w:val="TableParagraph"/>
              <w:ind w:left="230"/>
              <w:rPr>
                <w:sz w:val="20"/>
              </w:rPr>
            </w:pPr>
            <w:r>
              <w:rPr>
                <w:sz w:val="20"/>
              </w:rPr>
              <w:t>1400</w:t>
            </w:r>
          </w:p>
        </w:tc>
        <w:tc>
          <w:tcPr>
            <w:tcW w:w="186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0"/>
              </w:rPr>
            </w:pPr>
          </w:p>
          <w:p>
            <w:pPr>
              <w:pStyle w:val="TableParagraph"/>
              <w:ind w:left="0"/>
              <w:jc w:val="center"/>
              <w:rPr>
                <w:b/>
                <w:sz w:val="20"/>
              </w:rPr>
            </w:pPr>
            <w:r>
              <w:rPr>
                <w:b/>
                <w:w w:val="99"/>
                <w:sz w:val="20"/>
              </w:rPr>
              <w:t>1</w:t>
            </w:r>
          </w:p>
        </w:tc>
        <w:tc>
          <w:tcPr>
            <w:tcW w:w="1352" w:type="dxa"/>
          </w:tcPr>
          <w:p>
            <w:pPr>
              <w:pStyle w:val="TableParagraph"/>
              <w:spacing w:before="7"/>
              <w:rPr>
                <w:sz w:val="20"/>
              </w:rPr>
            </w:pPr>
            <w:r>
              <w:rPr>
                <w:sz w:val="20"/>
              </w:rPr>
              <w:t>Ambiental</w:t>
            </w:r>
          </w:p>
        </w:tc>
        <w:tc>
          <w:tcPr>
            <w:tcW w:w="3132" w:type="dxa"/>
          </w:tcPr>
          <w:p>
            <w:pPr>
              <w:pStyle w:val="TableParagraph"/>
              <w:numPr>
                <w:ilvl w:val="0"/>
                <w:numId w:val="326"/>
              </w:numPr>
              <w:tabs>
                <w:tab w:pos="809" w:val="left" w:leader="none"/>
              </w:tabs>
              <w:spacing w:line="240" w:lineRule="auto" w:before="7" w:after="0"/>
              <w:ind w:left="278" w:right="104" w:hanging="142"/>
              <w:jc w:val="both"/>
              <w:rPr>
                <w:sz w:val="20"/>
              </w:rPr>
            </w:pPr>
            <w:r>
              <w:rPr>
                <w:sz w:val="20"/>
              </w:rPr>
              <w:t>Existe uso racional de los recursos naturales de la CHPH</w:t>
            </w:r>
          </w:p>
          <w:p>
            <w:pPr>
              <w:pStyle w:val="TableParagraph"/>
              <w:numPr>
                <w:ilvl w:val="0"/>
                <w:numId w:val="326"/>
              </w:numPr>
              <w:tabs>
                <w:tab w:pos="809" w:val="left" w:leader="none"/>
              </w:tabs>
              <w:spacing w:line="240" w:lineRule="auto" w:before="0" w:after="0"/>
              <w:ind w:left="278" w:right="104" w:hanging="142"/>
              <w:jc w:val="both"/>
              <w:rPr>
                <w:sz w:val="20"/>
              </w:rPr>
            </w:pPr>
            <w:r>
              <w:rPr>
                <w:sz w:val="20"/>
              </w:rPr>
              <w:t>Existe voluntariedad de los actores de la CHPH para cuidar el medio</w:t>
            </w:r>
            <w:r>
              <w:rPr>
                <w:spacing w:val="-8"/>
                <w:sz w:val="20"/>
              </w:rPr>
              <w:t> </w:t>
            </w:r>
            <w:r>
              <w:rPr>
                <w:sz w:val="20"/>
              </w:rPr>
              <w:t>ambiente</w:t>
            </w:r>
          </w:p>
          <w:p>
            <w:pPr>
              <w:pStyle w:val="TableParagraph"/>
              <w:numPr>
                <w:ilvl w:val="0"/>
                <w:numId w:val="326"/>
              </w:numPr>
              <w:tabs>
                <w:tab w:pos="809" w:val="left" w:leader="none"/>
              </w:tabs>
              <w:spacing w:line="240" w:lineRule="auto" w:before="0" w:after="0"/>
              <w:ind w:left="278" w:right="103" w:hanging="142"/>
              <w:jc w:val="both"/>
              <w:rPr>
                <w:sz w:val="20"/>
              </w:rPr>
            </w:pPr>
            <w:r>
              <w:rPr>
                <w:sz w:val="20"/>
              </w:rPr>
              <w:t>Los acuerdos para cuidar el medio ambiente se hacen por la vía democrática en la</w:t>
            </w:r>
            <w:r>
              <w:rPr>
                <w:spacing w:val="-4"/>
                <w:sz w:val="20"/>
              </w:rPr>
              <w:t> </w:t>
            </w:r>
            <w:r>
              <w:rPr>
                <w:sz w:val="20"/>
              </w:rPr>
              <w:t>CHPH</w:t>
            </w:r>
          </w:p>
          <w:p>
            <w:pPr>
              <w:pStyle w:val="TableParagraph"/>
              <w:numPr>
                <w:ilvl w:val="0"/>
                <w:numId w:val="326"/>
              </w:numPr>
              <w:tabs>
                <w:tab w:pos="809" w:val="left" w:leader="none"/>
                <w:tab w:pos="2048" w:val="left" w:leader="none"/>
              </w:tabs>
              <w:spacing w:line="240" w:lineRule="auto" w:before="0" w:after="0"/>
              <w:ind w:left="278" w:right="102" w:hanging="142"/>
              <w:jc w:val="both"/>
              <w:rPr>
                <w:sz w:val="20"/>
              </w:rPr>
            </w:pPr>
            <w:r>
              <w:rPr>
                <w:sz w:val="20"/>
              </w:rPr>
              <w:t>Existe</w:t>
              <w:tab/>
              <w:t>planeación ambiental con articulación entre</w:t>
            </w:r>
            <w:r>
              <w:rPr>
                <w:spacing w:val="-5"/>
                <w:sz w:val="20"/>
              </w:rPr>
              <w:t> </w:t>
            </w:r>
            <w:r>
              <w:rPr>
                <w:sz w:val="20"/>
              </w:rPr>
              <w:t>actores</w:t>
            </w:r>
          </w:p>
        </w:tc>
        <w:tc>
          <w:tcPr>
            <w:tcW w:w="147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6"/>
              </w:rPr>
            </w:pPr>
          </w:p>
          <w:p>
            <w:pPr>
              <w:pStyle w:val="TableParagraph"/>
              <w:ind w:left="477"/>
              <w:rPr>
                <w:sz w:val="20"/>
              </w:rPr>
            </w:pPr>
            <w:r>
              <w:rPr>
                <w:sz w:val="20"/>
              </w:rPr>
              <w:t>100%</w:t>
            </w:r>
          </w:p>
        </w:tc>
        <w:tc>
          <w:tcPr>
            <w:tcW w:w="2429" w:type="dxa"/>
            <w:vMerge w:val="restart"/>
          </w:tcPr>
          <w:p>
            <w:pPr>
              <w:pStyle w:val="TableParagraph"/>
              <w:spacing w:line="242" w:lineRule="auto" w:before="4"/>
              <w:ind w:right="104"/>
              <w:jc w:val="both"/>
              <w:rPr>
                <w:sz w:val="20"/>
              </w:rPr>
            </w:pPr>
            <w:r>
              <w:rPr>
                <w:sz w:val="20"/>
              </w:rPr>
              <w:t>Debe reunir al </w:t>
            </w:r>
            <w:r>
              <w:rPr>
                <w:b/>
                <w:sz w:val="20"/>
              </w:rPr>
              <w:t>100% las tres </w:t>
            </w:r>
            <w:r>
              <w:rPr>
                <w:sz w:val="20"/>
              </w:rPr>
              <w:t>características de impacto positivo</w:t>
            </w:r>
          </w:p>
        </w:tc>
        <w:tc>
          <w:tcPr>
            <w:tcW w:w="1615" w:type="dxa"/>
            <w:vMerge w:val="restart"/>
            <w:tcBorders>
              <w:right w:val="double" w:sz="12" w:space="0" w:color="000000"/>
            </w:tcBorders>
            <w:shd w:val="clear" w:color="auto" w:fill="00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316"/>
              <w:rPr>
                <w:b/>
                <w:sz w:val="20"/>
              </w:rPr>
            </w:pPr>
            <w:r>
              <w:rPr>
                <w:b/>
                <w:sz w:val="20"/>
              </w:rPr>
              <w:t>Excelente</w:t>
            </w:r>
          </w:p>
        </w:tc>
      </w:tr>
      <w:tr>
        <w:trPr>
          <w:trHeight w:val="2309" w:hRule="exact"/>
        </w:trPr>
        <w:tc>
          <w:tcPr>
            <w:tcW w:w="954" w:type="dxa"/>
            <w:vMerge/>
            <w:tcBorders>
              <w:left w:val="double" w:sz="11" w:space="0" w:color="000000"/>
            </w:tcBorders>
          </w:tcPr>
          <w:p>
            <w:pPr/>
          </w:p>
        </w:tc>
        <w:tc>
          <w:tcPr>
            <w:tcW w:w="1862" w:type="dxa"/>
            <w:vMerge/>
          </w:tcPr>
          <w:p>
            <w:pPr/>
          </w:p>
        </w:tc>
        <w:tc>
          <w:tcPr>
            <w:tcW w:w="1352" w:type="dxa"/>
          </w:tcPr>
          <w:p>
            <w:pPr>
              <w:pStyle w:val="TableParagraph"/>
              <w:spacing w:line="227" w:lineRule="exact"/>
              <w:rPr>
                <w:sz w:val="20"/>
              </w:rPr>
            </w:pPr>
            <w:r>
              <w:rPr>
                <w:sz w:val="20"/>
              </w:rPr>
              <w:t>Económico</w:t>
            </w:r>
          </w:p>
        </w:tc>
        <w:tc>
          <w:tcPr>
            <w:tcW w:w="3132" w:type="dxa"/>
          </w:tcPr>
          <w:p>
            <w:pPr>
              <w:pStyle w:val="TableParagraph"/>
              <w:numPr>
                <w:ilvl w:val="0"/>
                <w:numId w:val="327"/>
              </w:numPr>
              <w:tabs>
                <w:tab w:pos="809" w:val="left" w:leader="none"/>
                <w:tab w:pos="2005" w:val="left" w:leader="none"/>
              </w:tabs>
              <w:spacing w:line="240" w:lineRule="auto" w:before="0" w:after="0"/>
              <w:ind w:left="278" w:right="104" w:hanging="142"/>
              <w:jc w:val="both"/>
              <w:rPr>
                <w:sz w:val="20"/>
              </w:rPr>
            </w:pPr>
            <w:r>
              <w:rPr>
                <w:sz w:val="20"/>
              </w:rPr>
              <w:t>Existe</w:t>
              <w:tab/>
              <w:t>distribución</w:t>
            </w:r>
            <w:r>
              <w:rPr>
                <w:w w:val="99"/>
                <w:sz w:val="20"/>
              </w:rPr>
              <w:t> </w:t>
            </w:r>
            <w:r>
              <w:rPr>
                <w:sz w:val="20"/>
              </w:rPr>
              <w:t>equitativa de los recursos naturales entre los actores de la</w:t>
            </w:r>
            <w:r>
              <w:rPr>
                <w:spacing w:val="-5"/>
                <w:sz w:val="20"/>
              </w:rPr>
              <w:t> </w:t>
            </w:r>
            <w:r>
              <w:rPr>
                <w:sz w:val="20"/>
              </w:rPr>
              <w:t>CHPH</w:t>
            </w:r>
          </w:p>
          <w:p>
            <w:pPr>
              <w:pStyle w:val="TableParagraph"/>
              <w:numPr>
                <w:ilvl w:val="0"/>
                <w:numId w:val="327"/>
              </w:numPr>
              <w:tabs>
                <w:tab w:pos="809" w:val="left" w:leader="none"/>
              </w:tabs>
              <w:spacing w:line="240" w:lineRule="auto" w:before="0" w:after="0"/>
              <w:ind w:left="278" w:right="102" w:hanging="142"/>
              <w:jc w:val="both"/>
              <w:rPr>
                <w:sz w:val="20"/>
              </w:rPr>
            </w:pPr>
            <w:r>
              <w:rPr>
                <w:sz w:val="20"/>
              </w:rPr>
              <w:t>Existe equilibrio entre la explotación y regeneración de los recursos</w:t>
            </w:r>
            <w:r>
              <w:rPr>
                <w:spacing w:val="-6"/>
                <w:sz w:val="20"/>
              </w:rPr>
              <w:t> </w:t>
            </w:r>
            <w:r>
              <w:rPr>
                <w:sz w:val="20"/>
              </w:rPr>
              <w:t>naturales</w:t>
            </w:r>
          </w:p>
          <w:p>
            <w:pPr>
              <w:pStyle w:val="TableParagraph"/>
              <w:numPr>
                <w:ilvl w:val="0"/>
                <w:numId w:val="327"/>
              </w:numPr>
              <w:tabs>
                <w:tab w:pos="809" w:val="left" w:leader="none"/>
                <w:tab w:pos="2048" w:val="left" w:leader="none"/>
              </w:tabs>
              <w:spacing w:line="240" w:lineRule="auto" w:before="0" w:after="0"/>
              <w:ind w:left="278" w:right="104" w:hanging="142"/>
              <w:jc w:val="both"/>
              <w:rPr>
                <w:sz w:val="20"/>
              </w:rPr>
            </w:pPr>
            <w:r>
              <w:rPr>
                <w:sz w:val="20"/>
              </w:rPr>
              <w:t>Existe</w:t>
              <w:tab/>
              <w:t>planeación económica con articulación entre</w:t>
            </w:r>
            <w:r>
              <w:rPr>
                <w:spacing w:val="-5"/>
                <w:sz w:val="20"/>
              </w:rPr>
              <w:t> </w:t>
            </w:r>
            <w:r>
              <w:rPr>
                <w:sz w:val="20"/>
              </w:rPr>
              <w:t>actores</w:t>
            </w:r>
          </w:p>
        </w:tc>
        <w:tc>
          <w:tcPr>
            <w:tcW w:w="1476" w:type="dxa"/>
            <w:vMerge/>
          </w:tcPr>
          <w:p>
            <w:pPr/>
          </w:p>
        </w:tc>
        <w:tc>
          <w:tcPr>
            <w:tcW w:w="2429" w:type="dxa"/>
            <w:vMerge/>
          </w:tcPr>
          <w:p>
            <w:pPr/>
          </w:p>
        </w:tc>
        <w:tc>
          <w:tcPr>
            <w:tcW w:w="1615" w:type="dxa"/>
            <w:vMerge/>
            <w:tcBorders>
              <w:right w:val="double" w:sz="12" w:space="0" w:color="000000"/>
            </w:tcBorders>
            <w:shd w:val="clear" w:color="auto" w:fill="00FF00"/>
          </w:tcPr>
          <w:p>
            <w:pPr/>
          </w:p>
        </w:tc>
      </w:tr>
      <w:tr>
        <w:trPr>
          <w:trHeight w:val="3001" w:hRule="exact"/>
        </w:trPr>
        <w:tc>
          <w:tcPr>
            <w:tcW w:w="954" w:type="dxa"/>
            <w:vMerge/>
            <w:tcBorders>
              <w:left w:val="double" w:sz="11" w:space="0" w:color="000000"/>
            </w:tcBorders>
          </w:tcPr>
          <w:p>
            <w:pPr/>
          </w:p>
        </w:tc>
        <w:tc>
          <w:tcPr>
            <w:tcW w:w="1862" w:type="dxa"/>
            <w:vMerge/>
          </w:tcPr>
          <w:p>
            <w:pPr/>
          </w:p>
        </w:tc>
        <w:tc>
          <w:tcPr>
            <w:tcW w:w="1352" w:type="dxa"/>
          </w:tcPr>
          <w:p>
            <w:pPr>
              <w:pStyle w:val="TableParagraph"/>
              <w:spacing w:line="227" w:lineRule="exact"/>
              <w:rPr>
                <w:sz w:val="20"/>
              </w:rPr>
            </w:pPr>
            <w:r>
              <w:rPr>
                <w:sz w:val="20"/>
              </w:rPr>
              <w:t>Sociopolítico</w:t>
            </w:r>
          </w:p>
        </w:tc>
        <w:tc>
          <w:tcPr>
            <w:tcW w:w="3132" w:type="dxa"/>
          </w:tcPr>
          <w:p>
            <w:pPr>
              <w:pStyle w:val="TableParagraph"/>
              <w:ind w:left="278" w:right="104" w:hanging="178"/>
              <w:jc w:val="both"/>
              <w:rPr>
                <w:sz w:val="20"/>
              </w:rPr>
            </w:pPr>
            <w:r>
              <w:rPr>
                <w:rFonts w:ascii="Wingdings" w:hAnsi="Wingdings"/>
                <w:sz w:val="20"/>
              </w:rPr>
              <w:t></w:t>
            </w:r>
            <w:r>
              <w:rPr>
                <w:sz w:val="20"/>
              </w:rPr>
              <w:t>Favorece la organización sociopolítica de los actores de la CHPH por la vía democrática para racionalizar los recursos naturales</w:t>
            </w:r>
          </w:p>
          <w:p>
            <w:pPr>
              <w:pStyle w:val="TableParagraph"/>
              <w:ind w:left="278" w:right="105" w:hanging="178"/>
              <w:jc w:val="both"/>
              <w:rPr>
                <w:sz w:val="20"/>
              </w:rPr>
            </w:pPr>
            <w:r>
              <w:rPr>
                <w:rFonts w:ascii="Wingdings" w:hAnsi="Wingdings"/>
                <w:sz w:val="20"/>
              </w:rPr>
              <w:t></w:t>
            </w:r>
            <w:r>
              <w:rPr>
                <w:sz w:val="20"/>
              </w:rPr>
              <w:t>Favorece la articulación entre actores para cuidar el medio ambiente</w:t>
            </w:r>
          </w:p>
          <w:p>
            <w:pPr>
              <w:pStyle w:val="TableParagraph"/>
              <w:ind w:left="100" w:right="98"/>
              <w:rPr>
                <w:sz w:val="20"/>
              </w:rPr>
            </w:pPr>
            <w:r>
              <w:rPr>
                <w:rFonts w:ascii="Wingdings" w:hAnsi="Wingdings"/>
                <w:sz w:val="20"/>
              </w:rPr>
              <w:t></w:t>
            </w:r>
            <w:r>
              <w:rPr>
                <w:sz w:val="20"/>
              </w:rPr>
              <w:t>Favorece la GIRH</w:t>
            </w:r>
          </w:p>
          <w:p>
            <w:pPr>
              <w:pStyle w:val="TableParagraph"/>
              <w:spacing w:line="229" w:lineRule="exact"/>
              <w:ind w:left="100" w:right="98"/>
              <w:rPr>
                <w:sz w:val="20"/>
              </w:rPr>
            </w:pPr>
            <w:r>
              <w:rPr>
                <w:rFonts w:ascii="Wingdings" w:hAnsi="Wingdings"/>
                <w:sz w:val="20"/>
              </w:rPr>
              <w:t></w:t>
            </w:r>
            <w:r>
              <w:rPr>
                <w:sz w:val="20"/>
              </w:rPr>
              <w:t>Favorece la gobernanza</w:t>
            </w:r>
          </w:p>
          <w:p>
            <w:pPr>
              <w:pStyle w:val="TableParagraph"/>
              <w:spacing w:line="229" w:lineRule="exact"/>
              <w:ind w:left="100" w:right="98"/>
              <w:rPr>
                <w:sz w:val="20"/>
              </w:rPr>
            </w:pPr>
            <w:r>
              <w:rPr>
                <w:rFonts w:ascii="Wingdings" w:hAnsi="Wingdings"/>
                <w:sz w:val="20"/>
              </w:rPr>
              <w:t></w:t>
            </w:r>
            <w:r>
              <w:rPr>
                <w:sz w:val="20"/>
              </w:rPr>
              <w:t>Fortalece la gobernabilidad</w:t>
            </w:r>
          </w:p>
          <w:p>
            <w:pPr>
              <w:pStyle w:val="TableParagraph"/>
              <w:ind w:left="278" w:right="104" w:hanging="178"/>
              <w:jc w:val="both"/>
              <w:rPr>
                <w:sz w:val="20"/>
              </w:rPr>
            </w:pPr>
            <w:r>
              <w:rPr>
                <w:rFonts w:ascii="Wingdings" w:hAnsi="Wingdings"/>
                <w:sz w:val="20"/>
              </w:rPr>
              <w:t></w:t>
            </w:r>
            <w:r>
              <w:rPr>
                <w:sz w:val="20"/>
              </w:rPr>
              <w:t>Existe planeación sociopolítica con articulación entre actores</w:t>
            </w:r>
          </w:p>
        </w:tc>
        <w:tc>
          <w:tcPr>
            <w:tcW w:w="1476" w:type="dxa"/>
            <w:vMerge/>
          </w:tcPr>
          <w:p>
            <w:pPr/>
          </w:p>
        </w:tc>
        <w:tc>
          <w:tcPr>
            <w:tcW w:w="2429" w:type="dxa"/>
            <w:vMerge/>
          </w:tcPr>
          <w:p>
            <w:pPr/>
          </w:p>
        </w:tc>
        <w:tc>
          <w:tcPr>
            <w:tcW w:w="1615" w:type="dxa"/>
            <w:vMerge/>
            <w:tcBorders>
              <w:right w:val="double" w:sz="12" w:space="0" w:color="000000"/>
            </w:tcBorders>
            <w:shd w:val="clear" w:color="auto" w:fill="00FF00"/>
          </w:tcPr>
          <w:p>
            <w:pPr/>
          </w:p>
        </w:tc>
      </w:tr>
      <w:tr>
        <w:trPr>
          <w:trHeight w:val="240" w:hRule="exact"/>
        </w:trPr>
        <w:tc>
          <w:tcPr>
            <w:tcW w:w="954" w:type="dxa"/>
            <w:tcBorders>
              <w:left w:val="double" w:sz="11" w:space="0" w:color="000000"/>
              <w:bottom w:val="single" w:sz="8" w:space="0" w:color="000000"/>
            </w:tcBorders>
          </w:tcPr>
          <w:p>
            <w:pPr>
              <w:pStyle w:val="TableParagraph"/>
              <w:spacing w:line="227" w:lineRule="exact"/>
              <w:ind w:left="230"/>
              <w:rPr>
                <w:sz w:val="20"/>
              </w:rPr>
            </w:pPr>
            <w:r>
              <w:rPr>
                <w:sz w:val="20"/>
              </w:rPr>
              <w:t>1519</w:t>
            </w:r>
          </w:p>
        </w:tc>
        <w:tc>
          <w:tcPr>
            <w:tcW w:w="1862" w:type="dxa"/>
            <w:tcBorders>
              <w:bottom w:val="single" w:sz="8" w:space="0" w:color="000000"/>
            </w:tcBorders>
          </w:tcPr>
          <w:p>
            <w:pPr>
              <w:pStyle w:val="TableParagraph"/>
              <w:spacing w:line="225" w:lineRule="exact"/>
              <w:ind w:left="0"/>
              <w:jc w:val="center"/>
              <w:rPr>
                <w:b/>
                <w:sz w:val="20"/>
              </w:rPr>
            </w:pPr>
            <w:r>
              <w:rPr>
                <w:b/>
                <w:w w:val="99"/>
                <w:sz w:val="20"/>
              </w:rPr>
              <w:t>1</w:t>
            </w:r>
          </w:p>
        </w:tc>
        <w:tc>
          <w:tcPr>
            <w:tcW w:w="1352" w:type="dxa"/>
            <w:tcBorders>
              <w:bottom w:val="single" w:sz="8" w:space="0" w:color="000000"/>
            </w:tcBorders>
          </w:tcPr>
          <w:p>
            <w:pPr>
              <w:pStyle w:val="TableParagraph"/>
              <w:spacing w:line="227" w:lineRule="exact"/>
              <w:rPr>
                <w:sz w:val="20"/>
              </w:rPr>
            </w:pPr>
            <w:r>
              <w:rPr>
                <w:sz w:val="20"/>
              </w:rPr>
              <w:t>Ambiental</w:t>
            </w:r>
          </w:p>
        </w:tc>
        <w:tc>
          <w:tcPr>
            <w:tcW w:w="3132" w:type="dxa"/>
            <w:tcBorders>
              <w:bottom w:val="single" w:sz="8" w:space="0" w:color="000000"/>
            </w:tcBorders>
          </w:tcPr>
          <w:p>
            <w:pPr>
              <w:pStyle w:val="TableParagraph"/>
              <w:numPr>
                <w:ilvl w:val="0"/>
                <w:numId w:val="328"/>
              </w:numPr>
              <w:tabs>
                <w:tab w:pos="808" w:val="left" w:leader="none"/>
                <w:tab w:pos="809" w:val="left" w:leader="none"/>
              </w:tabs>
              <w:spacing w:line="227" w:lineRule="exact" w:before="0" w:after="0"/>
              <w:ind w:left="808" w:right="0" w:hanging="672"/>
              <w:jc w:val="left"/>
              <w:rPr>
                <w:sz w:val="20"/>
              </w:rPr>
            </w:pPr>
            <w:r>
              <w:rPr>
                <w:sz w:val="20"/>
              </w:rPr>
              <w:t>Existe  uso  racional  </w:t>
            </w:r>
            <w:r>
              <w:rPr>
                <w:spacing w:val="23"/>
                <w:sz w:val="20"/>
              </w:rPr>
              <w:t> </w:t>
            </w:r>
            <w:r>
              <w:rPr>
                <w:sz w:val="20"/>
              </w:rPr>
              <w:t>de</w:t>
            </w:r>
          </w:p>
        </w:tc>
        <w:tc>
          <w:tcPr>
            <w:tcW w:w="1476" w:type="dxa"/>
            <w:tcBorders>
              <w:bottom w:val="single" w:sz="8" w:space="0" w:color="000000"/>
            </w:tcBorders>
          </w:tcPr>
          <w:p>
            <w:pPr>
              <w:pStyle w:val="TableParagraph"/>
              <w:spacing w:line="227" w:lineRule="exact"/>
              <w:ind w:left="513" w:right="513"/>
              <w:jc w:val="center"/>
              <w:rPr>
                <w:sz w:val="20"/>
              </w:rPr>
            </w:pPr>
            <w:r>
              <w:rPr>
                <w:sz w:val="20"/>
              </w:rPr>
              <w:t>75%</w:t>
            </w:r>
          </w:p>
        </w:tc>
        <w:tc>
          <w:tcPr>
            <w:tcW w:w="2429" w:type="dxa"/>
            <w:tcBorders>
              <w:bottom w:val="single" w:sz="8" w:space="0" w:color="000000"/>
            </w:tcBorders>
          </w:tcPr>
          <w:p>
            <w:pPr>
              <w:pStyle w:val="TableParagraph"/>
              <w:spacing w:line="225" w:lineRule="exact"/>
              <w:rPr>
                <w:b/>
                <w:sz w:val="20"/>
              </w:rPr>
            </w:pPr>
            <w:r>
              <w:rPr>
                <w:sz w:val="20"/>
              </w:rPr>
              <w:t>Debe reunir </w:t>
            </w:r>
            <w:r>
              <w:rPr>
                <w:b/>
                <w:sz w:val="20"/>
              </w:rPr>
              <w:t>al menos el</w:t>
            </w:r>
          </w:p>
        </w:tc>
        <w:tc>
          <w:tcPr>
            <w:tcW w:w="1615" w:type="dxa"/>
            <w:tcBorders>
              <w:bottom w:val="single" w:sz="8" w:space="0" w:color="000000"/>
              <w:right w:val="double" w:sz="12" w:space="0" w:color="000000"/>
            </w:tcBorders>
          </w:tcPr>
          <w:p>
            <w:pPr>
              <w:pStyle w:val="TableParagraph"/>
              <w:spacing w:line="230" w:lineRule="exact"/>
              <w:ind w:left="0" w:right="-50"/>
              <w:rPr>
                <w:rFonts w:ascii="Times New Roman"/>
                <w:sz w:val="20"/>
              </w:rPr>
            </w:pPr>
            <w:r>
              <w:rPr>
                <w:rFonts w:ascii="Times New Roman"/>
                <w:position w:val="-4"/>
                <w:sz w:val="20"/>
              </w:rPr>
              <w:pict>
                <v:group style="width:78.4pt;height:11.55pt;mso-position-horizontal-relative:char;mso-position-vertical-relative:line" coordorigin="0,0" coordsize="1568,231">
                  <v:shape style="position:absolute;left:0;top:0;width:1567;height:230" type="#_x0000_t75" stroked="false">
                    <v:imagedata r:id="rId553" o:title=""/>
                  </v:shape>
                  <v:shape style="position:absolute;left:103;top:0;width:1361;height:230" type="#_x0000_t75" stroked="false">
                    <v:imagedata r:id="rId554" o:title=""/>
                  </v:shape>
                </v:group>
              </w:pict>
            </w:r>
            <w:r>
              <w:rPr>
                <w:rFonts w:ascii="Times New Roman"/>
                <w:position w:val="-4"/>
                <w:sz w:val="20"/>
              </w:rPr>
            </w:r>
          </w:p>
        </w:tc>
      </w:tr>
    </w:tbl>
    <w:p>
      <w:pPr>
        <w:spacing w:after="0" w:line="230" w:lineRule="exact"/>
        <w:rPr>
          <w:rFonts w:ascii="Times New Roman"/>
          <w:sz w:val="20"/>
        </w:rPr>
        <w:sectPr>
          <w:pgSz w:w="15840" w:h="12240" w:orient="landscape"/>
          <w:pgMar w:header="0" w:footer="943" w:top="1140" w:bottom="1140" w:left="1200" w:right="1300"/>
        </w:sectPr>
      </w:pPr>
    </w:p>
    <w:p>
      <w:pPr>
        <w:pStyle w:val="BodyText"/>
        <w:rPr>
          <w:rFonts w:ascii="Times New Roman"/>
          <w:sz w:val="20"/>
        </w:rPr>
      </w:pPr>
      <w:r>
        <w:rPr/>
        <w:pict>
          <v:group style="position:absolute;margin-left:627.940002pt;margin-top:86.059998pt;width:78.4pt;height:403.55pt;mso-position-horizontal-relative:page;mso-position-vertical-relative:page;z-index:-3328048" coordorigin="12559,1721" coordsize="1568,8071">
            <v:shape style="position:absolute;left:12559;top:1721;width:1567;height:8070" type="#_x0000_t75" stroked="false">
              <v:imagedata r:id="rId555" o:title=""/>
            </v:shape>
            <v:shape style="position:absolute;left:12662;top:1721;width:1361;height:230" type="#_x0000_t75" stroked="false">
              <v:imagedata r:id="rId290" o:title=""/>
            </v:shape>
            <v:shape style="position:absolute;left:12662;top:1952;width:1361;height:230" type="#_x0000_t75" stroked="false">
              <v:imagedata r:id="rId291" o:title=""/>
            </v:shape>
            <v:shape style="position:absolute;left:12662;top:2182;width:1361;height:230" type="#_x0000_t75" stroked="false">
              <v:imagedata r:id="rId292" o:title=""/>
            </v:shape>
            <v:shape style="position:absolute;left:12662;top:2412;width:1361;height:228" type="#_x0000_t75" stroked="false">
              <v:imagedata r:id="rId556" o:title=""/>
            </v:shape>
            <v:shape style="position:absolute;left:12662;top:2640;width:1361;height:230" type="#_x0000_t75" stroked="false">
              <v:imagedata r:id="rId557" o:title=""/>
            </v:shape>
            <v:shape style="position:absolute;left:12662;top:2871;width:1361;height:230" type="#_x0000_t75" stroked="false">
              <v:imagedata r:id="rId558" o:title=""/>
            </v:shape>
            <v:shape style="position:absolute;left:12662;top:3101;width:1361;height:230" type="#_x0000_t75" stroked="false">
              <v:imagedata r:id="rId559" o:title=""/>
            </v:shape>
            <v:shape style="position:absolute;left:12662;top:3332;width:1361;height:230" type="#_x0000_t75" stroked="false">
              <v:imagedata r:id="rId560"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62"/>
        <w:gridCol w:w="1352"/>
        <w:gridCol w:w="3132"/>
        <w:gridCol w:w="1476"/>
        <w:gridCol w:w="2429"/>
        <w:gridCol w:w="1615"/>
      </w:tblGrid>
      <w:tr>
        <w:trPr>
          <w:trHeight w:val="2780" w:hRule="exact"/>
        </w:trPr>
        <w:tc>
          <w:tcPr>
            <w:tcW w:w="954" w:type="dxa"/>
            <w:vMerge w:val="restart"/>
            <w:tcBorders>
              <w:left w:val="double" w:sz="11" w:space="0" w:color="000000"/>
            </w:tcBorders>
          </w:tcPr>
          <w:p>
            <w:pPr/>
          </w:p>
        </w:tc>
        <w:tc>
          <w:tcPr>
            <w:tcW w:w="1862" w:type="dxa"/>
            <w:vMerge w:val="restart"/>
          </w:tcPr>
          <w:p>
            <w:pPr/>
          </w:p>
        </w:tc>
        <w:tc>
          <w:tcPr>
            <w:tcW w:w="1352" w:type="dxa"/>
          </w:tcPr>
          <w:p>
            <w:pPr/>
          </w:p>
        </w:tc>
        <w:tc>
          <w:tcPr>
            <w:tcW w:w="3132" w:type="dxa"/>
          </w:tcPr>
          <w:p>
            <w:pPr>
              <w:pStyle w:val="TableParagraph"/>
              <w:spacing w:before="7"/>
              <w:ind w:left="278" w:right="98"/>
              <w:rPr>
                <w:sz w:val="20"/>
              </w:rPr>
            </w:pPr>
            <w:r>
              <w:rPr>
                <w:sz w:val="20"/>
              </w:rPr>
              <w:t>los recursos naturales de la CHPH</w:t>
            </w:r>
          </w:p>
          <w:p>
            <w:pPr>
              <w:pStyle w:val="TableParagraph"/>
              <w:numPr>
                <w:ilvl w:val="0"/>
                <w:numId w:val="329"/>
              </w:numPr>
              <w:tabs>
                <w:tab w:pos="809" w:val="left" w:leader="none"/>
              </w:tabs>
              <w:spacing w:line="240" w:lineRule="auto" w:before="0" w:after="0"/>
              <w:ind w:left="278" w:right="104" w:hanging="142"/>
              <w:jc w:val="both"/>
              <w:rPr>
                <w:sz w:val="20"/>
              </w:rPr>
            </w:pPr>
            <w:r>
              <w:rPr>
                <w:sz w:val="20"/>
              </w:rPr>
              <w:t>Existe voluntariedad de los actores de la CHPH para cuidar el medio</w:t>
            </w:r>
            <w:r>
              <w:rPr>
                <w:spacing w:val="-8"/>
                <w:sz w:val="20"/>
              </w:rPr>
              <w:t> </w:t>
            </w:r>
            <w:r>
              <w:rPr>
                <w:sz w:val="20"/>
              </w:rPr>
              <w:t>ambiente</w:t>
            </w:r>
          </w:p>
          <w:p>
            <w:pPr>
              <w:pStyle w:val="TableParagraph"/>
              <w:numPr>
                <w:ilvl w:val="0"/>
                <w:numId w:val="329"/>
              </w:numPr>
              <w:tabs>
                <w:tab w:pos="809" w:val="left" w:leader="none"/>
              </w:tabs>
              <w:spacing w:line="240" w:lineRule="auto" w:before="0" w:after="0"/>
              <w:ind w:left="278" w:right="103" w:hanging="142"/>
              <w:jc w:val="both"/>
              <w:rPr>
                <w:sz w:val="20"/>
              </w:rPr>
            </w:pPr>
            <w:r>
              <w:rPr>
                <w:sz w:val="20"/>
              </w:rPr>
              <w:t>Los acuerdos para cuidar el medio ambiente se hacen por la vía democrática en la</w:t>
            </w:r>
            <w:r>
              <w:rPr>
                <w:spacing w:val="-4"/>
                <w:sz w:val="20"/>
              </w:rPr>
              <w:t> </w:t>
            </w:r>
            <w:r>
              <w:rPr>
                <w:sz w:val="20"/>
              </w:rPr>
              <w:t>CHPH</w:t>
            </w:r>
          </w:p>
          <w:p>
            <w:pPr>
              <w:pStyle w:val="TableParagraph"/>
              <w:numPr>
                <w:ilvl w:val="0"/>
                <w:numId w:val="329"/>
              </w:numPr>
              <w:tabs>
                <w:tab w:pos="809" w:val="left" w:leader="none"/>
                <w:tab w:pos="2048" w:val="left" w:leader="none"/>
              </w:tabs>
              <w:spacing w:line="240" w:lineRule="auto" w:before="1" w:after="0"/>
              <w:ind w:left="278" w:right="104" w:hanging="142"/>
              <w:jc w:val="both"/>
              <w:rPr>
                <w:sz w:val="20"/>
              </w:rPr>
            </w:pPr>
            <w:r>
              <w:rPr>
                <w:sz w:val="20"/>
              </w:rPr>
              <w:t>Existe</w:t>
              <w:tab/>
              <w:t>planeación ambiental con articulación entre</w:t>
            </w:r>
            <w:r>
              <w:rPr>
                <w:spacing w:val="-5"/>
                <w:sz w:val="20"/>
              </w:rPr>
              <w:t> </w:t>
            </w:r>
            <w:r>
              <w:rPr>
                <w:sz w:val="20"/>
              </w:rPr>
              <w:t>actores</w:t>
            </w:r>
          </w:p>
        </w:tc>
        <w:tc>
          <w:tcPr>
            <w:tcW w:w="1476" w:type="dxa"/>
            <w:vMerge w:val="restart"/>
          </w:tcPr>
          <w:p>
            <w:pPr/>
          </w:p>
        </w:tc>
        <w:tc>
          <w:tcPr>
            <w:tcW w:w="2429" w:type="dxa"/>
            <w:vMerge w:val="restart"/>
          </w:tcPr>
          <w:p>
            <w:pPr>
              <w:pStyle w:val="TableParagraph"/>
              <w:tabs>
                <w:tab w:pos="2091" w:val="left" w:leader="none"/>
              </w:tabs>
              <w:spacing w:line="242" w:lineRule="auto" w:before="4"/>
              <w:ind w:right="104"/>
              <w:jc w:val="both"/>
              <w:rPr>
                <w:sz w:val="20"/>
              </w:rPr>
            </w:pPr>
            <w:r>
              <w:rPr>
                <w:b/>
                <w:sz w:val="20"/>
              </w:rPr>
              <w:t>75% </w:t>
            </w:r>
            <w:r>
              <w:rPr>
                <w:sz w:val="20"/>
              </w:rPr>
              <w:t>dos de tres características</w:t>
              <w:tab/>
              <w:t>de impacto</w:t>
            </w:r>
            <w:r>
              <w:rPr>
                <w:spacing w:val="-3"/>
                <w:sz w:val="20"/>
              </w:rPr>
              <w:t> </w:t>
            </w:r>
            <w:r>
              <w:rPr>
                <w:sz w:val="20"/>
              </w:rPr>
              <w:t>positivo</w:t>
            </w:r>
          </w:p>
        </w:tc>
        <w:tc>
          <w:tcPr>
            <w:tcW w:w="1615" w:type="dxa"/>
            <w:vMerge w:val="restart"/>
            <w:tcBorders>
              <w:right w:val="double" w:sz="12"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spacing w:before="1"/>
              <w:ind w:left="472"/>
              <w:rPr>
                <w:b/>
                <w:sz w:val="20"/>
              </w:rPr>
            </w:pPr>
            <w:r>
              <w:rPr>
                <w:b/>
                <w:sz w:val="20"/>
              </w:rPr>
              <w:t>Bueno</w:t>
            </w:r>
          </w:p>
        </w:tc>
      </w:tr>
      <w:tr>
        <w:trPr>
          <w:trHeight w:val="2309" w:hRule="exact"/>
        </w:trPr>
        <w:tc>
          <w:tcPr>
            <w:tcW w:w="954" w:type="dxa"/>
            <w:vMerge/>
            <w:tcBorders>
              <w:left w:val="double" w:sz="11" w:space="0" w:color="000000"/>
            </w:tcBorders>
          </w:tcPr>
          <w:p>
            <w:pPr/>
          </w:p>
        </w:tc>
        <w:tc>
          <w:tcPr>
            <w:tcW w:w="1862" w:type="dxa"/>
            <w:vMerge/>
          </w:tcPr>
          <w:p>
            <w:pPr/>
          </w:p>
        </w:tc>
        <w:tc>
          <w:tcPr>
            <w:tcW w:w="1352" w:type="dxa"/>
          </w:tcPr>
          <w:p>
            <w:pPr>
              <w:pStyle w:val="TableParagraph"/>
              <w:spacing w:line="227" w:lineRule="exact"/>
              <w:rPr>
                <w:sz w:val="20"/>
              </w:rPr>
            </w:pPr>
            <w:r>
              <w:rPr>
                <w:sz w:val="20"/>
              </w:rPr>
              <w:t>Económico</w:t>
            </w:r>
          </w:p>
        </w:tc>
        <w:tc>
          <w:tcPr>
            <w:tcW w:w="3132" w:type="dxa"/>
          </w:tcPr>
          <w:p>
            <w:pPr>
              <w:pStyle w:val="TableParagraph"/>
              <w:numPr>
                <w:ilvl w:val="0"/>
                <w:numId w:val="330"/>
              </w:numPr>
              <w:tabs>
                <w:tab w:pos="809" w:val="left" w:leader="none"/>
                <w:tab w:pos="2005" w:val="left" w:leader="none"/>
              </w:tabs>
              <w:spacing w:line="240" w:lineRule="auto" w:before="0" w:after="0"/>
              <w:ind w:left="278" w:right="104" w:hanging="142"/>
              <w:jc w:val="both"/>
              <w:rPr>
                <w:sz w:val="20"/>
              </w:rPr>
            </w:pPr>
            <w:r>
              <w:rPr>
                <w:sz w:val="20"/>
              </w:rPr>
              <w:t>Existe</w:t>
              <w:tab/>
              <w:t>distribución</w:t>
            </w:r>
            <w:r>
              <w:rPr>
                <w:w w:val="99"/>
                <w:sz w:val="20"/>
              </w:rPr>
              <w:t> </w:t>
            </w:r>
            <w:r>
              <w:rPr>
                <w:sz w:val="20"/>
              </w:rPr>
              <w:t>equitativa de los recursos naturales entre los actores de la</w:t>
            </w:r>
            <w:r>
              <w:rPr>
                <w:spacing w:val="-5"/>
                <w:sz w:val="20"/>
              </w:rPr>
              <w:t> </w:t>
            </w:r>
            <w:r>
              <w:rPr>
                <w:sz w:val="20"/>
              </w:rPr>
              <w:t>CHPH</w:t>
            </w:r>
          </w:p>
          <w:p>
            <w:pPr>
              <w:pStyle w:val="TableParagraph"/>
              <w:numPr>
                <w:ilvl w:val="0"/>
                <w:numId w:val="330"/>
              </w:numPr>
              <w:tabs>
                <w:tab w:pos="809" w:val="left" w:leader="none"/>
              </w:tabs>
              <w:spacing w:line="240" w:lineRule="auto" w:before="0" w:after="0"/>
              <w:ind w:left="278" w:right="105" w:hanging="142"/>
              <w:jc w:val="both"/>
              <w:rPr>
                <w:sz w:val="20"/>
              </w:rPr>
            </w:pPr>
            <w:r>
              <w:rPr>
                <w:sz w:val="20"/>
              </w:rPr>
              <w:t>Existe equilibrio entre la explotación y regeneración de los recursos</w:t>
            </w:r>
            <w:r>
              <w:rPr>
                <w:spacing w:val="-6"/>
                <w:sz w:val="20"/>
              </w:rPr>
              <w:t> </w:t>
            </w:r>
            <w:r>
              <w:rPr>
                <w:sz w:val="20"/>
              </w:rPr>
              <w:t>naturales</w:t>
            </w:r>
          </w:p>
          <w:p>
            <w:pPr>
              <w:pStyle w:val="TableParagraph"/>
              <w:numPr>
                <w:ilvl w:val="0"/>
                <w:numId w:val="330"/>
              </w:numPr>
              <w:tabs>
                <w:tab w:pos="809" w:val="left" w:leader="none"/>
                <w:tab w:pos="2048" w:val="left" w:leader="none"/>
              </w:tabs>
              <w:spacing w:line="240" w:lineRule="auto" w:before="0" w:after="0"/>
              <w:ind w:left="278" w:right="104" w:hanging="142"/>
              <w:jc w:val="both"/>
              <w:rPr>
                <w:sz w:val="20"/>
              </w:rPr>
            </w:pPr>
            <w:r>
              <w:rPr>
                <w:sz w:val="20"/>
              </w:rPr>
              <w:t>Existe</w:t>
              <w:tab/>
              <w:t>planeación económica con articulación entre</w:t>
            </w:r>
            <w:r>
              <w:rPr>
                <w:spacing w:val="-5"/>
                <w:sz w:val="20"/>
              </w:rPr>
              <w:t> </w:t>
            </w:r>
            <w:r>
              <w:rPr>
                <w:sz w:val="20"/>
              </w:rPr>
              <w:t>actores</w:t>
            </w:r>
          </w:p>
        </w:tc>
        <w:tc>
          <w:tcPr>
            <w:tcW w:w="1476" w:type="dxa"/>
            <w:vMerge/>
          </w:tcPr>
          <w:p>
            <w:pPr/>
          </w:p>
        </w:tc>
        <w:tc>
          <w:tcPr>
            <w:tcW w:w="2429" w:type="dxa"/>
            <w:vMerge/>
          </w:tcPr>
          <w:p>
            <w:pPr/>
          </w:p>
        </w:tc>
        <w:tc>
          <w:tcPr>
            <w:tcW w:w="1615" w:type="dxa"/>
            <w:vMerge/>
            <w:tcBorders>
              <w:right w:val="double" w:sz="12" w:space="0" w:color="000000"/>
            </w:tcBorders>
          </w:tcPr>
          <w:p>
            <w:pPr/>
          </w:p>
        </w:tc>
      </w:tr>
      <w:tr>
        <w:trPr>
          <w:trHeight w:val="3001" w:hRule="exact"/>
        </w:trPr>
        <w:tc>
          <w:tcPr>
            <w:tcW w:w="954" w:type="dxa"/>
            <w:vMerge/>
            <w:tcBorders>
              <w:left w:val="double" w:sz="11" w:space="0" w:color="000000"/>
            </w:tcBorders>
          </w:tcPr>
          <w:p>
            <w:pPr/>
          </w:p>
        </w:tc>
        <w:tc>
          <w:tcPr>
            <w:tcW w:w="1862" w:type="dxa"/>
            <w:vMerge/>
          </w:tcPr>
          <w:p>
            <w:pPr/>
          </w:p>
        </w:tc>
        <w:tc>
          <w:tcPr>
            <w:tcW w:w="1352" w:type="dxa"/>
          </w:tcPr>
          <w:p>
            <w:pPr>
              <w:pStyle w:val="TableParagraph"/>
              <w:spacing w:line="230" w:lineRule="exact"/>
              <w:rPr>
                <w:sz w:val="20"/>
              </w:rPr>
            </w:pPr>
            <w:r>
              <w:rPr>
                <w:sz w:val="20"/>
              </w:rPr>
              <w:t>Sociopolítico</w:t>
            </w:r>
          </w:p>
        </w:tc>
        <w:tc>
          <w:tcPr>
            <w:tcW w:w="3132" w:type="dxa"/>
          </w:tcPr>
          <w:p>
            <w:pPr>
              <w:pStyle w:val="TableParagraph"/>
              <w:ind w:left="278" w:right="104" w:hanging="178"/>
              <w:jc w:val="both"/>
              <w:rPr>
                <w:sz w:val="20"/>
              </w:rPr>
            </w:pPr>
            <w:r>
              <w:rPr>
                <w:rFonts w:ascii="Wingdings" w:hAnsi="Wingdings"/>
                <w:sz w:val="20"/>
              </w:rPr>
              <w:t></w:t>
            </w:r>
            <w:r>
              <w:rPr>
                <w:sz w:val="20"/>
              </w:rPr>
              <w:t>Favorece la organización sociopolítica de los actores de la CHPH por la vía democrática para racionalizar los recursos naturales</w:t>
            </w:r>
          </w:p>
          <w:p>
            <w:pPr>
              <w:pStyle w:val="TableParagraph"/>
              <w:ind w:left="278" w:right="105" w:hanging="178"/>
              <w:jc w:val="both"/>
              <w:rPr>
                <w:sz w:val="20"/>
              </w:rPr>
            </w:pPr>
            <w:r>
              <w:rPr>
                <w:rFonts w:ascii="Wingdings" w:hAnsi="Wingdings"/>
                <w:sz w:val="20"/>
              </w:rPr>
              <w:t></w:t>
            </w:r>
            <w:r>
              <w:rPr>
                <w:sz w:val="20"/>
              </w:rPr>
              <w:t>Favorece la articulación entre actores para cuidar el medio ambiente</w:t>
            </w:r>
          </w:p>
          <w:p>
            <w:pPr>
              <w:pStyle w:val="TableParagraph"/>
              <w:ind w:left="100" w:right="98"/>
              <w:rPr>
                <w:sz w:val="20"/>
              </w:rPr>
            </w:pPr>
            <w:r>
              <w:rPr>
                <w:rFonts w:ascii="Wingdings" w:hAnsi="Wingdings"/>
                <w:sz w:val="20"/>
              </w:rPr>
              <w:t></w:t>
            </w:r>
            <w:r>
              <w:rPr>
                <w:sz w:val="20"/>
              </w:rPr>
              <w:t>Favorece la GIRH</w:t>
            </w:r>
          </w:p>
          <w:p>
            <w:pPr>
              <w:pStyle w:val="TableParagraph"/>
              <w:spacing w:before="1"/>
              <w:ind w:left="100" w:right="98"/>
              <w:rPr>
                <w:sz w:val="20"/>
              </w:rPr>
            </w:pPr>
            <w:r>
              <w:rPr>
                <w:rFonts w:ascii="Wingdings" w:hAnsi="Wingdings"/>
                <w:sz w:val="20"/>
              </w:rPr>
              <w:t></w:t>
            </w:r>
            <w:r>
              <w:rPr>
                <w:sz w:val="20"/>
              </w:rPr>
              <w:t>Favorece la gobernanza</w:t>
            </w:r>
          </w:p>
          <w:p>
            <w:pPr>
              <w:pStyle w:val="TableParagraph"/>
              <w:ind w:left="278" w:right="100" w:hanging="178"/>
              <w:rPr>
                <w:sz w:val="20"/>
              </w:rPr>
            </w:pPr>
            <w:r>
              <w:rPr>
                <w:rFonts w:ascii="Wingdings" w:hAnsi="Wingdings"/>
                <w:sz w:val="20"/>
              </w:rPr>
              <w:t></w:t>
            </w:r>
            <w:r>
              <w:rPr>
                <w:sz w:val="20"/>
              </w:rPr>
              <w:t>Fortalece la gobernabilidad Existe planeación sociopolítica con articulación entre actores</w:t>
            </w:r>
          </w:p>
        </w:tc>
        <w:tc>
          <w:tcPr>
            <w:tcW w:w="1476" w:type="dxa"/>
            <w:vMerge/>
          </w:tcPr>
          <w:p>
            <w:pPr/>
          </w:p>
        </w:tc>
        <w:tc>
          <w:tcPr>
            <w:tcW w:w="2429" w:type="dxa"/>
            <w:vMerge/>
          </w:tcPr>
          <w:p>
            <w:pPr/>
          </w:p>
        </w:tc>
        <w:tc>
          <w:tcPr>
            <w:tcW w:w="1615" w:type="dxa"/>
            <w:vMerge/>
            <w:tcBorders>
              <w:right w:val="double" w:sz="12" w:space="0" w:color="000000"/>
            </w:tcBorders>
          </w:tcPr>
          <w:p>
            <w:pPr/>
          </w:p>
        </w:tc>
      </w:tr>
      <w:tr>
        <w:trPr>
          <w:trHeight w:val="701" w:hRule="exact"/>
        </w:trPr>
        <w:tc>
          <w:tcPr>
            <w:tcW w:w="954" w:type="dxa"/>
            <w:tcBorders>
              <w:left w:val="double" w:sz="11" w:space="0" w:color="000000"/>
              <w:bottom w:val="single" w:sz="8" w:space="0" w:color="000000"/>
            </w:tcBorders>
          </w:tcPr>
          <w:p>
            <w:pPr/>
          </w:p>
        </w:tc>
        <w:tc>
          <w:tcPr>
            <w:tcW w:w="1862" w:type="dxa"/>
            <w:tcBorders>
              <w:bottom w:val="single" w:sz="8" w:space="0" w:color="000000"/>
            </w:tcBorders>
          </w:tcPr>
          <w:p>
            <w:pPr/>
          </w:p>
        </w:tc>
        <w:tc>
          <w:tcPr>
            <w:tcW w:w="1352" w:type="dxa"/>
            <w:tcBorders>
              <w:bottom w:val="single" w:sz="8" w:space="0" w:color="000000"/>
            </w:tcBorders>
          </w:tcPr>
          <w:p>
            <w:pPr>
              <w:pStyle w:val="TableParagraph"/>
              <w:spacing w:line="227" w:lineRule="exact"/>
              <w:rPr>
                <w:sz w:val="20"/>
              </w:rPr>
            </w:pPr>
            <w:r>
              <w:rPr>
                <w:sz w:val="20"/>
              </w:rPr>
              <w:t>Ambiental</w:t>
            </w:r>
          </w:p>
        </w:tc>
        <w:tc>
          <w:tcPr>
            <w:tcW w:w="3132" w:type="dxa"/>
            <w:tcBorders>
              <w:bottom w:val="single" w:sz="8" w:space="0" w:color="000000"/>
            </w:tcBorders>
          </w:tcPr>
          <w:p>
            <w:pPr>
              <w:pStyle w:val="TableParagraph"/>
              <w:numPr>
                <w:ilvl w:val="0"/>
                <w:numId w:val="331"/>
              </w:numPr>
              <w:tabs>
                <w:tab w:pos="809" w:val="left" w:leader="none"/>
              </w:tabs>
              <w:spacing w:line="240" w:lineRule="auto" w:before="0" w:after="0"/>
              <w:ind w:left="278" w:right="104" w:hanging="142"/>
              <w:jc w:val="both"/>
              <w:rPr>
                <w:sz w:val="20"/>
              </w:rPr>
            </w:pPr>
            <w:r>
              <w:rPr>
                <w:sz w:val="20"/>
              </w:rPr>
              <w:t>Existe uso racional de los recursos naturales de la CHPH</w:t>
            </w:r>
          </w:p>
        </w:tc>
        <w:tc>
          <w:tcPr>
            <w:tcW w:w="1476" w:type="dxa"/>
            <w:tcBorders>
              <w:bottom w:val="single" w:sz="8" w:space="0" w:color="000000"/>
            </w:tcBorders>
          </w:tcPr>
          <w:p>
            <w:pPr/>
          </w:p>
        </w:tc>
        <w:tc>
          <w:tcPr>
            <w:tcW w:w="2429" w:type="dxa"/>
            <w:tcBorders>
              <w:bottom w:val="single" w:sz="8" w:space="0" w:color="000000"/>
            </w:tcBorders>
          </w:tcPr>
          <w:p>
            <w:pPr>
              <w:pStyle w:val="TableParagraph"/>
              <w:tabs>
                <w:tab w:pos="2091" w:val="left" w:leader="none"/>
              </w:tabs>
              <w:spacing w:line="242" w:lineRule="auto"/>
              <w:ind w:right="104"/>
              <w:jc w:val="both"/>
              <w:rPr>
                <w:sz w:val="20"/>
              </w:rPr>
            </w:pPr>
            <w:r>
              <w:rPr>
                <w:sz w:val="20"/>
              </w:rPr>
              <w:t>Debe reunir </w:t>
            </w:r>
            <w:r>
              <w:rPr>
                <w:b/>
                <w:sz w:val="20"/>
              </w:rPr>
              <w:t>al menos el 50% una de tres </w:t>
            </w:r>
            <w:r>
              <w:rPr>
                <w:sz w:val="20"/>
              </w:rPr>
              <w:t>características</w:t>
              <w:tab/>
              <w:t>de</w:t>
            </w:r>
          </w:p>
        </w:tc>
        <w:tc>
          <w:tcPr>
            <w:tcW w:w="1615" w:type="dxa"/>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62"/>
        <w:gridCol w:w="1352"/>
        <w:gridCol w:w="3132"/>
        <w:gridCol w:w="1476"/>
        <w:gridCol w:w="2429"/>
        <w:gridCol w:w="1615"/>
      </w:tblGrid>
      <w:tr>
        <w:trPr>
          <w:trHeight w:val="2319" w:hRule="exact"/>
        </w:trPr>
        <w:tc>
          <w:tcPr>
            <w:tcW w:w="954" w:type="dxa"/>
            <w:vMerge w:val="restart"/>
            <w:tcBorders>
              <w:left w:val="double" w:sz="11" w:space="0" w:color="000000"/>
            </w:tcBorders>
          </w:tcPr>
          <w:p>
            <w:pPr/>
          </w:p>
        </w:tc>
        <w:tc>
          <w:tcPr>
            <w:tcW w:w="186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0"/>
              <w:jc w:val="center"/>
              <w:rPr>
                <w:b/>
                <w:sz w:val="20"/>
              </w:rPr>
            </w:pPr>
            <w:r>
              <w:rPr>
                <w:b/>
                <w:w w:val="99"/>
                <w:sz w:val="20"/>
              </w:rPr>
              <w:t>1</w:t>
            </w:r>
          </w:p>
        </w:tc>
        <w:tc>
          <w:tcPr>
            <w:tcW w:w="1352" w:type="dxa"/>
          </w:tcPr>
          <w:p>
            <w:pPr/>
          </w:p>
        </w:tc>
        <w:tc>
          <w:tcPr>
            <w:tcW w:w="3132" w:type="dxa"/>
          </w:tcPr>
          <w:p>
            <w:pPr>
              <w:pStyle w:val="TableParagraph"/>
              <w:numPr>
                <w:ilvl w:val="0"/>
                <w:numId w:val="332"/>
              </w:numPr>
              <w:tabs>
                <w:tab w:pos="809" w:val="left" w:leader="none"/>
              </w:tabs>
              <w:spacing w:line="240" w:lineRule="auto" w:before="7" w:after="0"/>
              <w:ind w:left="278" w:right="104" w:hanging="142"/>
              <w:jc w:val="both"/>
              <w:rPr>
                <w:sz w:val="20"/>
              </w:rPr>
            </w:pPr>
            <w:r>
              <w:rPr>
                <w:sz w:val="20"/>
              </w:rPr>
              <w:t>Existe voluntariedad de los actores de la CHPH para cuidar el medio</w:t>
            </w:r>
            <w:r>
              <w:rPr>
                <w:spacing w:val="-8"/>
                <w:sz w:val="20"/>
              </w:rPr>
              <w:t> </w:t>
            </w:r>
            <w:r>
              <w:rPr>
                <w:sz w:val="20"/>
              </w:rPr>
              <w:t>ambiente</w:t>
            </w:r>
          </w:p>
          <w:p>
            <w:pPr>
              <w:pStyle w:val="TableParagraph"/>
              <w:numPr>
                <w:ilvl w:val="0"/>
                <w:numId w:val="332"/>
              </w:numPr>
              <w:tabs>
                <w:tab w:pos="809" w:val="left" w:leader="none"/>
              </w:tabs>
              <w:spacing w:line="240" w:lineRule="auto" w:before="0" w:after="0"/>
              <w:ind w:left="278" w:right="103" w:hanging="142"/>
              <w:jc w:val="both"/>
              <w:rPr>
                <w:sz w:val="20"/>
              </w:rPr>
            </w:pPr>
            <w:r>
              <w:rPr>
                <w:sz w:val="20"/>
              </w:rPr>
              <w:t>Los acuerdos para cuidar el medio ambiente se hacen por la vía democrática en la</w:t>
            </w:r>
            <w:r>
              <w:rPr>
                <w:spacing w:val="-4"/>
                <w:sz w:val="20"/>
              </w:rPr>
              <w:t> </w:t>
            </w:r>
            <w:r>
              <w:rPr>
                <w:sz w:val="20"/>
              </w:rPr>
              <w:t>CHPH</w:t>
            </w:r>
          </w:p>
          <w:p>
            <w:pPr>
              <w:pStyle w:val="TableParagraph"/>
              <w:numPr>
                <w:ilvl w:val="0"/>
                <w:numId w:val="332"/>
              </w:numPr>
              <w:tabs>
                <w:tab w:pos="809" w:val="left" w:leader="none"/>
                <w:tab w:pos="2048" w:val="left" w:leader="none"/>
              </w:tabs>
              <w:spacing w:line="240" w:lineRule="auto" w:before="0" w:after="0"/>
              <w:ind w:left="278" w:right="102" w:hanging="142"/>
              <w:jc w:val="both"/>
              <w:rPr>
                <w:sz w:val="20"/>
              </w:rPr>
            </w:pPr>
            <w:r>
              <w:rPr>
                <w:sz w:val="20"/>
              </w:rPr>
              <w:t>Existe</w:t>
              <w:tab/>
              <w:t>planeación ambiental con articulación entre</w:t>
            </w:r>
            <w:r>
              <w:rPr>
                <w:spacing w:val="-5"/>
                <w:sz w:val="20"/>
              </w:rPr>
              <w:t> </w:t>
            </w:r>
            <w:r>
              <w:rPr>
                <w:sz w:val="20"/>
              </w:rPr>
              <w:t>actores</w:t>
            </w:r>
          </w:p>
        </w:tc>
        <w:tc>
          <w:tcPr>
            <w:tcW w:w="1476" w:type="dxa"/>
            <w:vMerge w:val="restart"/>
          </w:tcPr>
          <w:p>
            <w:pPr/>
          </w:p>
        </w:tc>
        <w:tc>
          <w:tcPr>
            <w:tcW w:w="2429" w:type="dxa"/>
            <w:vMerge w:val="restart"/>
          </w:tcPr>
          <w:p>
            <w:pPr>
              <w:pStyle w:val="TableParagraph"/>
              <w:spacing w:before="7"/>
              <w:rPr>
                <w:sz w:val="20"/>
              </w:rPr>
            </w:pPr>
            <w:r>
              <w:rPr>
                <w:sz w:val="20"/>
              </w:rPr>
              <w:t>impacto positivo</w:t>
            </w:r>
          </w:p>
        </w:tc>
        <w:tc>
          <w:tcPr>
            <w:tcW w:w="1615" w:type="dxa"/>
            <w:vMerge w:val="restart"/>
            <w:tcBorders>
              <w:right w:val="double" w:sz="12" w:space="0" w:color="000000"/>
            </w:tcBorders>
            <w:shd w:val="clear" w:color="auto" w:fill="FFFF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4"/>
              <w:ind w:left="0"/>
              <w:rPr>
                <w:rFonts w:ascii="Times New Roman"/>
                <w:sz w:val="20"/>
              </w:rPr>
            </w:pPr>
          </w:p>
          <w:p>
            <w:pPr>
              <w:pStyle w:val="TableParagraph"/>
              <w:ind w:left="412"/>
              <w:rPr>
                <w:b/>
                <w:sz w:val="20"/>
              </w:rPr>
            </w:pPr>
            <w:r>
              <w:rPr>
                <w:b/>
                <w:sz w:val="20"/>
              </w:rPr>
              <w:t>Regular</w:t>
            </w:r>
          </w:p>
        </w:tc>
      </w:tr>
      <w:tr>
        <w:trPr>
          <w:trHeight w:val="2311" w:hRule="exact"/>
        </w:trPr>
        <w:tc>
          <w:tcPr>
            <w:tcW w:w="954" w:type="dxa"/>
            <w:vMerge/>
            <w:tcBorders>
              <w:left w:val="double" w:sz="11" w:space="0" w:color="000000"/>
            </w:tcBorders>
          </w:tcPr>
          <w:p>
            <w:pPr/>
          </w:p>
        </w:tc>
        <w:tc>
          <w:tcPr>
            <w:tcW w:w="1862" w:type="dxa"/>
            <w:vMerge/>
          </w:tcPr>
          <w:p>
            <w:pPr/>
          </w:p>
        </w:tc>
        <w:tc>
          <w:tcPr>
            <w:tcW w:w="1352" w:type="dxa"/>
          </w:tcPr>
          <w:p>
            <w:pPr>
              <w:pStyle w:val="TableParagraph"/>
              <w:spacing w:line="230" w:lineRule="exact"/>
              <w:ind w:left="83" w:right="228"/>
              <w:jc w:val="center"/>
              <w:rPr>
                <w:sz w:val="20"/>
              </w:rPr>
            </w:pPr>
            <w:r>
              <w:rPr>
                <w:sz w:val="20"/>
              </w:rPr>
              <w:t>Económico</w:t>
            </w:r>
          </w:p>
        </w:tc>
        <w:tc>
          <w:tcPr>
            <w:tcW w:w="3132" w:type="dxa"/>
          </w:tcPr>
          <w:p>
            <w:pPr>
              <w:pStyle w:val="TableParagraph"/>
              <w:numPr>
                <w:ilvl w:val="0"/>
                <w:numId w:val="333"/>
              </w:numPr>
              <w:tabs>
                <w:tab w:pos="809" w:val="left" w:leader="none"/>
                <w:tab w:pos="2005" w:val="left" w:leader="none"/>
              </w:tabs>
              <w:spacing w:line="240" w:lineRule="auto" w:before="0" w:after="0"/>
              <w:ind w:left="278" w:right="104" w:hanging="142"/>
              <w:jc w:val="both"/>
              <w:rPr>
                <w:sz w:val="20"/>
              </w:rPr>
            </w:pPr>
            <w:r>
              <w:rPr>
                <w:sz w:val="20"/>
              </w:rPr>
              <w:t>Existe</w:t>
              <w:tab/>
              <w:t>distribución</w:t>
            </w:r>
            <w:r>
              <w:rPr>
                <w:w w:val="99"/>
                <w:sz w:val="20"/>
              </w:rPr>
              <w:t> </w:t>
            </w:r>
            <w:r>
              <w:rPr>
                <w:sz w:val="20"/>
              </w:rPr>
              <w:t>equitativa de los recursos naturales entre los actores de la</w:t>
            </w:r>
            <w:r>
              <w:rPr>
                <w:spacing w:val="-5"/>
                <w:sz w:val="20"/>
              </w:rPr>
              <w:t> </w:t>
            </w:r>
            <w:r>
              <w:rPr>
                <w:sz w:val="20"/>
              </w:rPr>
              <w:t>CHPH</w:t>
            </w:r>
          </w:p>
          <w:p>
            <w:pPr>
              <w:pStyle w:val="TableParagraph"/>
              <w:numPr>
                <w:ilvl w:val="0"/>
                <w:numId w:val="333"/>
              </w:numPr>
              <w:tabs>
                <w:tab w:pos="809" w:val="left" w:leader="none"/>
              </w:tabs>
              <w:spacing w:line="240" w:lineRule="auto" w:before="0" w:after="0"/>
              <w:ind w:left="278" w:right="105" w:hanging="142"/>
              <w:jc w:val="both"/>
              <w:rPr>
                <w:sz w:val="20"/>
              </w:rPr>
            </w:pPr>
            <w:r>
              <w:rPr>
                <w:sz w:val="20"/>
              </w:rPr>
              <w:t>Existe equilibrio entre la explotación y regeneración de los recursos</w:t>
            </w:r>
            <w:r>
              <w:rPr>
                <w:spacing w:val="-6"/>
                <w:sz w:val="20"/>
              </w:rPr>
              <w:t> </w:t>
            </w:r>
            <w:r>
              <w:rPr>
                <w:sz w:val="20"/>
              </w:rPr>
              <w:t>naturales</w:t>
            </w:r>
          </w:p>
          <w:p>
            <w:pPr>
              <w:pStyle w:val="TableParagraph"/>
              <w:numPr>
                <w:ilvl w:val="0"/>
                <w:numId w:val="333"/>
              </w:numPr>
              <w:tabs>
                <w:tab w:pos="809" w:val="left" w:leader="none"/>
                <w:tab w:pos="2048" w:val="left" w:leader="none"/>
              </w:tabs>
              <w:spacing w:line="240" w:lineRule="auto" w:before="0" w:after="0"/>
              <w:ind w:left="278" w:right="104" w:hanging="142"/>
              <w:jc w:val="both"/>
              <w:rPr>
                <w:sz w:val="20"/>
              </w:rPr>
            </w:pPr>
            <w:r>
              <w:rPr>
                <w:sz w:val="20"/>
              </w:rPr>
              <w:t>Existe</w:t>
              <w:tab/>
              <w:t>planeación económica con articulación entre</w:t>
            </w:r>
            <w:r>
              <w:rPr>
                <w:spacing w:val="-5"/>
                <w:sz w:val="20"/>
              </w:rPr>
              <w:t> </w:t>
            </w:r>
            <w:r>
              <w:rPr>
                <w:sz w:val="20"/>
              </w:rPr>
              <w:t>actores</w:t>
            </w:r>
          </w:p>
        </w:tc>
        <w:tc>
          <w:tcPr>
            <w:tcW w:w="1476" w:type="dxa"/>
            <w:vMerge/>
          </w:tcPr>
          <w:p>
            <w:pPr/>
          </w:p>
        </w:tc>
        <w:tc>
          <w:tcPr>
            <w:tcW w:w="2429" w:type="dxa"/>
            <w:vMerge/>
          </w:tcPr>
          <w:p>
            <w:pPr/>
          </w:p>
        </w:tc>
        <w:tc>
          <w:tcPr>
            <w:tcW w:w="1615" w:type="dxa"/>
            <w:vMerge/>
            <w:tcBorders>
              <w:right w:val="double" w:sz="12" w:space="0" w:color="000000"/>
            </w:tcBorders>
            <w:shd w:val="clear" w:color="auto" w:fill="FFFF00"/>
          </w:tcPr>
          <w:p>
            <w:pPr/>
          </w:p>
        </w:tc>
      </w:tr>
      <w:tr>
        <w:trPr>
          <w:trHeight w:val="3044" w:hRule="exact"/>
        </w:trPr>
        <w:tc>
          <w:tcPr>
            <w:tcW w:w="954" w:type="dxa"/>
            <w:vMerge/>
            <w:tcBorders>
              <w:left w:val="double" w:sz="11" w:space="0" w:color="000000"/>
              <w:bottom w:val="single" w:sz="8" w:space="0" w:color="000000"/>
            </w:tcBorders>
          </w:tcPr>
          <w:p>
            <w:pPr/>
          </w:p>
        </w:tc>
        <w:tc>
          <w:tcPr>
            <w:tcW w:w="1862" w:type="dxa"/>
            <w:vMerge/>
            <w:tcBorders>
              <w:bottom w:val="single" w:sz="8" w:space="0" w:color="000000"/>
            </w:tcBorders>
          </w:tcPr>
          <w:p>
            <w:pPr/>
          </w:p>
        </w:tc>
        <w:tc>
          <w:tcPr>
            <w:tcW w:w="1352" w:type="dxa"/>
            <w:tcBorders>
              <w:bottom w:val="single" w:sz="8" w:space="0" w:color="000000"/>
            </w:tcBorders>
          </w:tcPr>
          <w:p>
            <w:pPr>
              <w:pStyle w:val="TableParagraph"/>
              <w:spacing w:line="228" w:lineRule="exact"/>
              <w:ind w:left="83" w:right="84"/>
              <w:jc w:val="center"/>
              <w:rPr>
                <w:sz w:val="20"/>
              </w:rPr>
            </w:pPr>
            <w:r>
              <w:rPr>
                <w:sz w:val="20"/>
              </w:rPr>
              <w:t>Sociopolítico</w:t>
            </w:r>
          </w:p>
        </w:tc>
        <w:tc>
          <w:tcPr>
            <w:tcW w:w="3132" w:type="dxa"/>
            <w:tcBorders>
              <w:bottom w:val="single" w:sz="8" w:space="0" w:color="000000"/>
            </w:tcBorders>
          </w:tcPr>
          <w:p>
            <w:pPr>
              <w:pStyle w:val="TableParagraph"/>
              <w:ind w:left="278" w:right="104" w:hanging="178"/>
              <w:jc w:val="both"/>
              <w:rPr>
                <w:sz w:val="20"/>
              </w:rPr>
            </w:pPr>
            <w:r>
              <w:rPr>
                <w:rFonts w:ascii="Wingdings" w:hAnsi="Wingdings"/>
                <w:sz w:val="20"/>
              </w:rPr>
              <w:t></w:t>
            </w:r>
            <w:r>
              <w:rPr>
                <w:sz w:val="20"/>
              </w:rPr>
              <w:t>Favorece la organización sociopolítica de los actores de la CHPH por la vía democrática para racionalizar los recursos naturales</w:t>
            </w:r>
          </w:p>
          <w:p>
            <w:pPr>
              <w:pStyle w:val="TableParagraph"/>
              <w:ind w:left="278" w:right="105" w:hanging="178"/>
              <w:jc w:val="both"/>
              <w:rPr>
                <w:sz w:val="20"/>
              </w:rPr>
            </w:pPr>
            <w:r>
              <w:rPr>
                <w:rFonts w:ascii="Wingdings" w:hAnsi="Wingdings"/>
                <w:sz w:val="20"/>
              </w:rPr>
              <w:t></w:t>
            </w:r>
            <w:r>
              <w:rPr>
                <w:sz w:val="20"/>
              </w:rPr>
              <w:t>Favorece la articulación entre actores para cuidar el medio ambiente</w:t>
            </w:r>
          </w:p>
          <w:p>
            <w:pPr>
              <w:pStyle w:val="TableParagraph"/>
              <w:spacing w:line="229" w:lineRule="exact"/>
              <w:ind w:left="100" w:right="98"/>
              <w:rPr>
                <w:sz w:val="20"/>
              </w:rPr>
            </w:pPr>
            <w:r>
              <w:rPr>
                <w:rFonts w:ascii="Wingdings" w:hAnsi="Wingdings"/>
                <w:sz w:val="20"/>
              </w:rPr>
              <w:t></w:t>
            </w:r>
            <w:r>
              <w:rPr>
                <w:sz w:val="20"/>
              </w:rPr>
              <w:t>Favorece la GIRH</w:t>
            </w:r>
          </w:p>
          <w:p>
            <w:pPr>
              <w:pStyle w:val="TableParagraph"/>
              <w:spacing w:line="229" w:lineRule="exact"/>
              <w:ind w:left="100" w:right="98"/>
              <w:rPr>
                <w:sz w:val="20"/>
              </w:rPr>
            </w:pPr>
            <w:r>
              <w:rPr>
                <w:rFonts w:ascii="Wingdings" w:hAnsi="Wingdings"/>
                <w:sz w:val="20"/>
              </w:rPr>
              <w:t></w:t>
            </w:r>
            <w:r>
              <w:rPr>
                <w:sz w:val="20"/>
              </w:rPr>
              <w:t>Favorece la gobernanza</w:t>
            </w:r>
          </w:p>
          <w:p>
            <w:pPr>
              <w:pStyle w:val="TableParagraph"/>
              <w:ind w:left="278" w:right="100" w:hanging="178"/>
              <w:rPr>
                <w:sz w:val="20"/>
              </w:rPr>
            </w:pPr>
            <w:r>
              <w:rPr>
                <w:rFonts w:ascii="Wingdings" w:hAnsi="Wingdings"/>
                <w:sz w:val="20"/>
              </w:rPr>
              <w:t></w:t>
            </w:r>
            <w:r>
              <w:rPr>
                <w:sz w:val="20"/>
              </w:rPr>
              <w:t>Fortalece la gobernabilidad Existe planeación sociopolítica con articulación entre actores</w:t>
            </w:r>
          </w:p>
        </w:tc>
        <w:tc>
          <w:tcPr>
            <w:tcW w:w="1476" w:type="dxa"/>
            <w:tcBorders>
              <w:bottom w:val="single" w:sz="8" w:space="0" w:color="000000"/>
            </w:tcBorders>
          </w:tcPr>
          <w:p>
            <w:pPr/>
          </w:p>
        </w:tc>
        <w:tc>
          <w:tcPr>
            <w:tcW w:w="2429" w:type="dxa"/>
            <w:vMerge/>
            <w:tcBorders>
              <w:bottom w:val="single" w:sz="8" w:space="0" w:color="000000"/>
            </w:tcBorders>
          </w:tcPr>
          <w:p>
            <w:pPr/>
          </w:p>
        </w:tc>
        <w:tc>
          <w:tcPr>
            <w:tcW w:w="1615" w:type="dxa"/>
            <w:vMerge/>
            <w:tcBorders>
              <w:bottom w:val="single" w:sz="8" w:space="0" w:color="000000"/>
              <w:right w:val="double" w:sz="12" w:space="0" w:color="000000"/>
            </w:tcBorders>
            <w:shd w:val="clear" w:color="auto" w:fill="FFFF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62"/>
        <w:gridCol w:w="1352"/>
        <w:gridCol w:w="3132"/>
        <w:gridCol w:w="1476"/>
        <w:gridCol w:w="2429"/>
        <w:gridCol w:w="1615"/>
      </w:tblGrid>
      <w:tr>
        <w:trPr>
          <w:trHeight w:val="1630" w:hRule="exact"/>
        </w:trPr>
        <w:tc>
          <w:tcPr>
            <w:tcW w:w="954" w:type="dxa"/>
            <w:tcBorders>
              <w:left w:val="double" w:sz="11" w:space="0" w:color="000000"/>
            </w:tcBorders>
          </w:tcPr>
          <w:p>
            <w:pPr>
              <w:pStyle w:val="TableParagraph"/>
              <w:spacing w:before="7"/>
              <w:ind w:left="209" w:right="212"/>
              <w:jc w:val="center"/>
              <w:rPr>
                <w:sz w:val="20"/>
              </w:rPr>
            </w:pPr>
            <w:r>
              <w:rPr>
                <w:sz w:val="20"/>
              </w:rPr>
              <w:t>1580</w:t>
            </w:r>
          </w:p>
        </w:tc>
        <w:tc>
          <w:tcPr>
            <w:tcW w:w="1862"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29"/>
              <w:ind w:left="0"/>
              <w:jc w:val="center"/>
              <w:rPr>
                <w:b/>
                <w:sz w:val="20"/>
              </w:rPr>
            </w:pPr>
            <w:r>
              <w:rPr>
                <w:b/>
                <w:w w:val="99"/>
                <w:sz w:val="20"/>
              </w:rPr>
              <w:t>1</w:t>
            </w:r>
          </w:p>
        </w:tc>
        <w:tc>
          <w:tcPr>
            <w:tcW w:w="1352" w:type="dxa"/>
            <w:vMerge w:val="restart"/>
          </w:tcPr>
          <w:p>
            <w:pPr>
              <w:pStyle w:val="TableParagraph"/>
              <w:spacing w:before="7"/>
              <w:rPr>
                <w:sz w:val="20"/>
              </w:rPr>
            </w:pPr>
            <w:r>
              <w:rPr>
                <w:sz w:val="20"/>
              </w:rPr>
              <w:t>Ambiental</w:t>
            </w:r>
          </w:p>
        </w:tc>
        <w:tc>
          <w:tcPr>
            <w:tcW w:w="3132" w:type="dxa"/>
            <w:vMerge w:val="restart"/>
          </w:tcPr>
          <w:p>
            <w:pPr>
              <w:pStyle w:val="TableParagraph"/>
              <w:numPr>
                <w:ilvl w:val="0"/>
                <w:numId w:val="334"/>
              </w:numPr>
              <w:tabs>
                <w:tab w:pos="809" w:val="left" w:leader="none"/>
              </w:tabs>
              <w:spacing w:line="240" w:lineRule="auto" w:before="7" w:after="0"/>
              <w:ind w:left="278" w:right="104" w:hanging="142"/>
              <w:jc w:val="both"/>
              <w:rPr>
                <w:sz w:val="20"/>
              </w:rPr>
            </w:pPr>
            <w:r>
              <w:rPr>
                <w:sz w:val="20"/>
              </w:rPr>
              <w:t>Existe uso racional de los recursos naturales de la CHPH</w:t>
            </w:r>
          </w:p>
          <w:p>
            <w:pPr>
              <w:pStyle w:val="TableParagraph"/>
              <w:numPr>
                <w:ilvl w:val="0"/>
                <w:numId w:val="334"/>
              </w:numPr>
              <w:tabs>
                <w:tab w:pos="809" w:val="left" w:leader="none"/>
              </w:tabs>
              <w:spacing w:line="240" w:lineRule="auto" w:before="0" w:after="0"/>
              <w:ind w:left="278" w:right="104" w:hanging="142"/>
              <w:jc w:val="both"/>
              <w:rPr>
                <w:sz w:val="20"/>
              </w:rPr>
            </w:pPr>
            <w:r>
              <w:rPr>
                <w:sz w:val="20"/>
              </w:rPr>
              <w:t>Existe voluntariedad de los actores de la CHPH para cuidar el medio</w:t>
            </w:r>
            <w:r>
              <w:rPr>
                <w:spacing w:val="-8"/>
                <w:sz w:val="20"/>
              </w:rPr>
              <w:t> </w:t>
            </w:r>
            <w:r>
              <w:rPr>
                <w:sz w:val="20"/>
              </w:rPr>
              <w:t>ambiente</w:t>
            </w:r>
          </w:p>
          <w:p>
            <w:pPr>
              <w:pStyle w:val="TableParagraph"/>
              <w:numPr>
                <w:ilvl w:val="0"/>
                <w:numId w:val="334"/>
              </w:numPr>
              <w:tabs>
                <w:tab w:pos="809" w:val="left" w:leader="none"/>
              </w:tabs>
              <w:spacing w:line="240" w:lineRule="auto" w:before="0" w:after="0"/>
              <w:ind w:left="278" w:right="103" w:hanging="142"/>
              <w:jc w:val="both"/>
              <w:rPr>
                <w:sz w:val="20"/>
              </w:rPr>
            </w:pPr>
            <w:r>
              <w:rPr>
                <w:sz w:val="20"/>
              </w:rPr>
              <w:t>Los acuerdos para cuidar el medio ambiente se hacen por la vía democrática en la</w:t>
            </w:r>
            <w:r>
              <w:rPr>
                <w:spacing w:val="-4"/>
                <w:sz w:val="20"/>
              </w:rPr>
              <w:t> </w:t>
            </w:r>
            <w:r>
              <w:rPr>
                <w:sz w:val="20"/>
              </w:rPr>
              <w:t>CHPH</w:t>
            </w:r>
          </w:p>
          <w:p>
            <w:pPr>
              <w:pStyle w:val="TableParagraph"/>
              <w:numPr>
                <w:ilvl w:val="0"/>
                <w:numId w:val="334"/>
              </w:numPr>
              <w:tabs>
                <w:tab w:pos="809" w:val="left" w:leader="none"/>
                <w:tab w:pos="2048" w:val="left" w:leader="none"/>
              </w:tabs>
              <w:spacing w:line="240" w:lineRule="auto" w:before="0" w:after="0"/>
              <w:ind w:left="278" w:right="102" w:hanging="142"/>
              <w:jc w:val="both"/>
              <w:rPr>
                <w:sz w:val="20"/>
              </w:rPr>
            </w:pPr>
            <w:r>
              <w:rPr>
                <w:sz w:val="20"/>
              </w:rPr>
              <w:t>Existe</w:t>
              <w:tab/>
              <w:t>planeación ambiental con articulación entre</w:t>
            </w:r>
            <w:r>
              <w:rPr>
                <w:spacing w:val="-5"/>
                <w:sz w:val="20"/>
              </w:rPr>
              <w:t> </w:t>
            </w:r>
            <w:r>
              <w:rPr>
                <w:sz w:val="20"/>
              </w:rPr>
              <w:t>actores</w:t>
            </w:r>
          </w:p>
        </w:tc>
        <w:tc>
          <w:tcPr>
            <w:tcW w:w="1476" w:type="dxa"/>
            <w:vMerge w:val="restart"/>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20"/>
              </w:rPr>
            </w:pPr>
          </w:p>
          <w:p>
            <w:pPr>
              <w:pStyle w:val="TableParagraph"/>
              <w:ind w:left="475"/>
              <w:rPr>
                <w:sz w:val="20"/>
              </w:rPr>
            </w:pPr>
            <w:r>
              <w:rPr>
                <w:sz w:val="20"/>
              </w:rPr>
              <w:t>&lt;50%</w:t>
            </w:r>
          </w:p>
        </w:tc>
        <w:tc>
          <w:tcPr>
            <w:tcW w:w="2429" w:type="dxa"/>
            <w:vMerge w:val="restart"/>
          </w:tcPr>
          <w:p>
            <w:pPr>
              <w:pStyle w:val="TableParagraph"/>
              <w:spacing w:before="7"/>
              <w:ind w:right="104"/>
              <w:jc w:val="both"/>
              <w:rPr>
                <w:sz w:val="20"/>
              </w:rPr>
            </w:pPr>
            <w:r>
              <w:rPr>
                <w:sz w:val="20"/>
              </w:rPr>
              <w:t>No reúne ni el 50% en </w:t>
            </w:r>
            <w:r>
              <w:rPr>
                <w:b/>
                <w:sz w:val="20"/>
              </w:rPr>
              <w:t>ninguna </w:t>
            </w:r>
            <w:r>
              <w:rPr>
                <w:sz w:val="20"/>
              </w:rPr>
              <w:t>de las de impacto positivo</w:t>
            </w:r>
          </w:p>
        </w:tc>
        <w:tc>
          <w:tcPr>
            <w:tcW w:w="1615" w:type="dxa"/>
            <w:vMerge w:val="restart"/>
            <w:tcBorders>
              <w:right w:val="double" w:sz="12" w:space="0" w:color="000000"/>
            </w:tcBorders>
            <w:shd w:val="clear" w:color="auto" w:fill="FF0000"/>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20"/>
              </w:rPr>
            </w:pPr>
          </w:p>
          <w:p>
            <w:pPr>
              <w:pStyle w:val="TableParagraph"/>
              <w:ind w:left="307"/>
              <w:rPr>
                <w:b/>
                <w:sz w:val="20"/>
              </w:rPr>
            </w:pPr>
            <w:r>
              <w:rPr>
                <w:b/>
                <w:sz w:val="20"/>
              </w:rPr>
              <w:t>Deficiente</w:t>
            </w:r>
          </w:p>
        </w:tc>
      </w:tr>
      <w:tr>
        <w:trPr>
          <w:trHeight w:val="1498"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166"/>
              <w:ind w:left="209" w:right="212"/>
              <w:jc w:val="center"/>
              <w:rPr>
                <w:sz w:val="20"/>
              </w:rPr>
            </w:pPr>
            <w:r>
              <w:rPr>
                <w:sz w:val="20"/>
              </w:rPr>
              <w:t>1785</w:t>
            </w:r>
          </w:p>
        </w:tc>
        <w:tc>
          <w:tcPr>
            <w:tcW w:w="1862" w:type="dxa"/>
            <w:vMerge/>
          </w:tcPr>
          <w:p>
            <w:pPr/>
          </w:p>
        </w:tc>
        <w:tc>
          <w:tcPr>
            <w:tcW w:w="1352" w:type="dxa"/>
            <w:vMerge/>
          </w:tcPr>
          <w:p>
            <w:pPr/>
          </w:p>
        </w:tc>
        <w:tc>
          <w:tcPr>
            <w:tcW w:w="3132" w:type="dxa"/>
            <w:vMerge/>
          </w:tcPr>
          <w:p>
            <w:pP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1620" w:hRule="exact"/>
        </w:trPr>
        <w:tc>
          <w:tcPr>
            <w:tcW w:w="954" w:type="dxa"/>
            <w:tcBorders>
              <w:left w:val="double" w:sz="11"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19"/>
              </w:rPr>
            </w:pPr>
          </w:p>
          <w:p>
            <w:pPr>
              <w:pStyle w:val="TableParagraph"/>
              <w:spacing w:before="1"/>
              <w:ind w:left="209" w:right="212"/>
              <w:jc w:val="center"/>
              <w:rPr>
                <w:sz w:val="20"/>
              </w:rPr>
            </w:pPr>
            <w:r>
              <w:rPr>
                <w:sz w:val="20"/>
              </w:rPr>
              <w:t>1810</w:t>
            </w:r>
          </w:p>
        </w:tc>
        <w:tc>
          <w:tcPr>
            <w:tcW w:w="1862" w:type="dxa"/>
            <w:vMerge/>
          </w:tcPr>
          <w:p>
            <w:pPr/>
          </w:p>
        </w:tc>
        <w:tc>
          <w:tcPr>
            <w:tcW w:w="1352" w:type="dxa"/>
            <w:vMerge w:val="restart"/>
          </w:tcPr>
          <w:p>
            <w:pPr>
              <w:pStyle w:val="TableParagraph"/>
              <w:spacing w:line="227" w:lineRule="exact"/>
              <w:rPr>
                <w:sz w:val="20"/>
              </w:rPr>
            </w:pPr>
            <w:r>
              <w:rPr>
                <w:sz w:val="20"/>
              </w:rPr>
              <w:t>Económico</w:t>
            </w:r>
          </w:p>
        </w:tc>
        <w:tc>
          <w:tcPr>
            <w:tcW w:w="3132" w:type="dxa"/>
            <w:vMerge w:val="restart"/>
          </w:tcPr>
          <w:p>
            <w:pPr>
              <w:pStyle w:val="TableParagraph"/>
              <w:numPr>
                <w:ilvl w:val="0"/>
                <w:numId w:val="335"/>
              </w:numPr>
              <w:tabs>
                <w:tab w:pos="809" w:val="left" w:leader="none"/>
                <w:tab w:pos="2005" w:val="left" w:leader="none"/>
              </w:tabs>
              <w:spacing w:line="240" w:lineRule="auto" w:before="0" w:after="0"/>
              <w:ind w:left="278" w:right="104" w:hanging="142"/>
              <w:jc w:val="both"/>
              <w:rPr>
                <w:sz w:val="20"/>
              </w:rPr>
            </w:pPr>
            <w:r>
              <w:rPr>
                <w:sz w:val="20"/>
              </w:rPr>
              <w:t>Existe</w:t>
              <w:tab/>
              <w:t>distribución</w:t>
            </w:r>
            <w:r>
              <w:rPr>
                <w:w w:val="99"/>
                <w:sz w:val="20"/>
              </w:rPr>
              <w:t> </w:t>
            </w:r>
            <w:r>
              <w:rPr>
                <w:sz w:val="20"/>
              </w:rPr>
              <w:t>equitativa de los recursos naturales entre los actores de la</w:t>
            </w:r>
            <w:r>
              <w:rPr>
                <w:spacing w:val="-5"/>
                <w:sz w:val="20"/>
              </w:rPr>
              <w:t> </w:t>
            </w:r>
            <w:r>
              <w:rPr>
                <w:sz w:val="20"/>
              </w:rPr>
              <w:t>CHPH</w:t>
            </w:r>
          </w:p>
          <w:p>
            <w:pPr>
              <w:pStyle w:val="TableParagraph"/>
              <w:numPr>
                <w:ilvl w:val="0"/>
                <w:numId w:val="335"/>
              </w:numPr>
              <w:tabs>
                <w:tab w:pos="809" w:val="left" w:leader="none"/>
              </w:tabs>
              <w:spacing w:line="240" w:lineRule="auto" w:before="0" w:after="0"/>
              <w:ind w:left="278" w:right="103" w:hanging="142"/>
              <w:jc w:val="both"/>
              <w:rPr>
                <w:sz w:val="20"/>
              </w:rPr>
            </w:pPr>
            <w:r>
              <w:rPr>
                <w:sz w:val="20"/>
              </w:rPr>
              <w:t>Existe equilibrio entre la explotación y regeneración de los recursos</w:t>
            </w:r>
            <w:r>
              <w:rPr>
                <w:spacing w:val="-6"/>
                <w:sz w:val="20"/>
              </w:rPr>
              <w:t> </w:t>
            </w:r>
            <w:r>
              <w:rPr>
                <w:sz w:val="20"/>
              </w:rPr>
              <w:t>naturales</w:t>
            </w:r>
          </w:p>
          <w:p>
            <w:pPr>
              <w:pStyle w:val="TableParagraph"/>
              <w:numPr>
                <w:ilvl w:val="0"/>
                <w:numId w:val="335"/>
              </w:numPr>
              <w:tabs>
                <w:tab w:pos="809" w:val="left" w:leader="none"/>
                <w:tab w:pos="2048" w:val="left" w:leader="none"/>
              </w:tabs>
              <w:spacing w:line="240" w:lineRule="auto" w:before="0" w:after="0"/>
              <w:ind w:left="278" w:right="104" w:hanging="142"/>
              <w:jc w:val="both"/>
              <w:rPr>
                <w:sz w:val="20"/>
              </w:rPr>
            </w:pPr>
            <w:r>
              <w:rPr>
                <w:sz w:val="20"/>
              </w:rPr>
              <w:t>Existe</w:t>
              <w:tab/>
              <w:t>planeación económica con articulación entre</w:t>
            </w:r>
            <w:r>
              <w:rPr>
                <w:spacing w:val="-5"/>
                <w:sz w:val="20"/>
              </w:rPr>
              <w:t> </w:t>
            </w:r>
            <w:r>
              <w:rPr>
                <w:sz w:val="20"/>
              </w:rPr>
              <w:t>actores</w:t>
            </w: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689" w:hRule="exact"/>
        </w:trPr>
        <w:tc>
          <w:tcPr>
            <w:tcW w:w="954" w:type="dxa"/>
            <w:tcBorders>
              <w:left w:val="double" w:sz="11" w:space="0" w:color="000000"/>
            </w:tcBorders>
          </w:tcPr>
          <w:p>
            <w:pPr>
              <w:pStyle w:val="TableParagraph"/>
              <w:spacing w:before="4"/>
              <w:ind w:left="0"/>
              <w:rPr>
                <w:rFonts w:ascii="Times New Roman"/>
                <w:sz w:val="19"/>
              </w:rPr>
            </w:pPr>
          </w:p>
          <w:p>
            <w:pPr>
              <w:pStyle w:val="TableParagraph"/>
              <w:ind w:left="209" w:right="212"/>
              <w:jc w:val="center"/>
              <w:rPr>
                <w:sz w:val="20"/>
              </w:rPr>
            </w:pPr>
            <w:r>
              <w:rPr>
                <w:sz w:val="20"/>
              </w:rPr>
              <w:t>1861</w:t>
            </w:r>
          </w:p>
        </w:tc>
        <w:tc>
          <w:tcPr>
            <w:tcW w:w="1862" w:type="dxa"/>
            <w:vMerge/>
          </w:tcPr>
          <w:p>
            <w:pPr/>
          </w:p>
        </w:tc>
        <w:tc>
          <w:tcPr>
            <w:tcW w:w="1352" w:type="dxa"/>
            <w:vMerge/>
          </w:tcPr>
          <w:p>
            <w:pPr/>
          </w:p>
        </w:tc>
        <w:tc>
          <w:tcPr>
            <w:tcW w:w="3132" w:type="dxa"/>
            <w:vMerge/>
          </w:tcPr>
          <w:p>
            <w:pP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1392" w:hRule="exact"/>
        </w:trPr>
        <w:tc>
          <w:tcPr>
            <w:tcW w:w="954" w:type="dxa"/>
            <w:tcBorders>
              <w:left w:val="double" w:sz="11" w:space="0" w:color="000000"/>
            </w:tcBorders>
          </w:tcPr>
          <w:p>
            <w:pPr>
              <w:pStyle w:val="TableParagraph"/>
              <w:ind w:left="0"/>
              <w:rPr>
                <w:rFonts w:ascii="Times New Roman"/>
                <w:sz w:val="20"/>
              </w:rPr>
            </w:pPr>
          </w:p>
          <w:p>
            <w:pPr>
              <w:pStyle w:val="TableParagraph"/>
              <w:spacing w:before="9"/>
              <w:ind w:left="0"/>
              <w:rPr>
                <w:rFonts w:ascii="Times New Roman"/>
                <w:sz w:val="19"/>
              </w:rPr>
            </w:pPr>
          </w:p>
          <w:p>
            <w:pPr>
              <w:pStyle w:val="TableParagraph"/>
              <w:ind w:left="209" w:right="212"/>
              <w:jc w:val="center"/>
              <w:rPr>
                <w:sz w:val="20"/>
              </w:rPr>
            </w:pPr>
            <w:r>
              <w:rPr>
                <w:sz w:val="20"/>
              </w:rPr>
              <w:t>1910</w:t>
            </w:r>
          </w:p>
        </w:tc>
        <w:tc>
          <w:tcPr>
            <w:tcW w:w="1862" w:type="dxa"/>
            <w:vMerge/>
          </w:tcPr>
          <w:p>
            <w:pPr/>
          </w:p>
        </w:tc>
        <w:tc>
          <w:tcPr>
            <w:tcW w:w="1352" w:type="dxa"/>
            <w:vMerge w:val="restart"/>
          </w:tcPr>
          <w:p>
            <w:pPr>
              <w:pStyle w:val="TableParagraph"/>
              <w:spacing w:line="230" w:lineRule="exact"/>
              <w:rPr>
                <w:sz w:val="20"/>
              </w:rPr>
            </w:pPr>
            <w:r>
              <w:rPr>
                <w:sz w:val="20"/>
              </w:rPr>
              <w:t>Sociopolítico</w:t>
            </w:r>
          </w:p>
        </w:tc>
        <w:tc>
          <w:tcPr>
            <w:tcW w:w="3132" w:type="dxa"/>
            <w:vMerge w:val="restart"/>
          </w:tcPr>
          <w:p>
            <w:pPr>
              <w:pStyle w:val="TableParagraph"/>
              <w:ind w:left="278" w:right="104" w:hanging="178"/>
              <w:jc w:val="both"/>
              <w:rPr>
                <w:sz w:val="20"/>
              </w:rPr>
            </w:pPr>
            <w:r>
              <w:rPr>
                <w:rFonts w:ascii="Wingdings" w:hAnsi="Wingdings"/>
                <w:sz w:val="20"/>
              </w:rPr>
              <w:t></w:t>
            </w:r>
            <w:r>
              <w:rPr>
                <w:sz w:val="20"/>
              </w:rPr>
              <w:t>Favorece la organización sociopolítica de los actores de la CHPH por la vía democrática para racionalizar los recursos naturales</w:t>
            </w:r>
          </w:p>
          <w:p>
            <w:pPr>
              <w:pStyle w:val="TableParagraph"/>
              <w:ind w:left="278" w:right="105" w:hanging="178"/>
              <w:jc w:val="both"/>
              <w:rPr>
                <w:sz w:val="20"/>
              </w:rPr>
            </w:pPr>
            <w:r>
              <w:rPr>
                <w:rFonts w:ascii="Wingdings" w:hAnsi="Wingdings"/>
                <w:sz w:val="20"/>
              </w:rPr>
              <w:t></w:t>
            </w:r>
            <w:r>
              <w:rPr>
                <w:sz w:val="20"/>
              </w:rPr>
              <w:t>Favorece la articulación entre actores para cuidar el medio ambiente</w:t>
            </w:r>
          </w:p>
          <w:p>
            <w:pPr>
              <w:pStyle w:val="TableParagraph"/>
              <w:spacing w:before="1"/>
              <w:ind w:left="100" w:right="98"/>
              <w:rPr>
                <w:sz w:val="20"/>
              </w:rPr>
            </w:pPr>
            <w:r>
              <w:rPr>
                <w:rFonts w:ascii="Wingdings" w:hAnsi="Wingdings"/>
                <w:sz w:val="20"/>
              </w:rPr>
              <w:t></w:t>
            </w:r>
            <w:r>
              <w:rPr>
                <w:sz w:val="20"/>
              </w:rPr>
              <w:t>Favorece la GIRH</w:t>
            </w:r>
          </w:p>
          <w:p>
            <w:pPr>
              <w:pStyle w:val="TableParagraph"/>
              <w:ind w:left="100" w:right="98"/>
              <w:rPr>
                <w:sz w:val="20"/>
              </w:rPr>
            </w:pPr>
            <w:r>
              <w:rPr>
                <w:rFonts w:ascii="Wingdings" w:hAnsi="Wingdings"/>
                <w:sz w:val="20"/>
              </w:rPr>
              <w:t></w:t>
            </w:r>
            <w:r>
              <w:rPr>
                <w:sz w:val="20"/>
              </w:rPr>
              <w:t>Favorece la gobernanza</w:t>
            </w:r>
          </w:p>
          <w:p>
            <w:pPr>
              <w:pStyle w:val="TableParagraph"/>
              <w:ind w:left="100" w:right="98"/>
              <w:rPr>
                <w:sz w:val="20"/>
              </w:rPr>
            </w:pPr>
            <w:r>
              <w:rPr>
                <w:rFonts w:ascii="Wingdings" w:hAnsi="Wingdings"/>
                <w:sz w:val="20"/>
              </w:rPr>
              <w:t></w:t>
            </w:r>
            <w:r>
              <w:rPr>
                <w:sz w:val="20"/>
              </w:rPr>
              <w:t>Fortalece la gobernabilidad</w:t>
            </w:r>
          </w:p>
          <w:p>
            <w:pPr>
              <w:pStyle w:val="TableParagraph"/>
              <w:ind w:left="100" w:right="98"/>
              <w:rPr>
                <w:sz w:val="20"/>
              </w:rPr>
            </w:pPr>
            <w:r>
              <w:rPr>
                <w:rFonts w:ascii="Wingdings" w:hAnsi="Wingdings"/>
                <w:sz w:val="20"/>
              </w:rPr>
              <w:t></w:t>
            </w:r>
            <w:r>
              <w:rPr>
                <w:sz w:val="20"/>
              </w:rPr>
              <w:t>Existe planeación sociopolítica</w:t>
            </w: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699" w:hRule="exact"/>
        </w:trPr>
        <w:tc>
          <w:tcPr>
            <w:tcW w:w="954" w:type="dxa"/>
            <w:tcBorders>
              <w:left w:val="double" w:sz="11" w:space="0" w:color="000000"/>
            </w:tcBorders>
          </w:tcPr>
          <w:p>
            <w:pPr>
              <w:pStyle w:val="TableParagraph"/>
              <w:spacing w:line="227" w:lineRule="exact"/>
              <w:ind w:left="209" w:right="212"/>
              <w:jc w:val="center"/>
              <w:rPr>
                <w:sz w:val="20"/>
              </w:rPr>
            </w:pPr>
            <w:r>
              <w:rPr>
                <w:sz w:val="20"/>
              </w:rPr>
              <w:t>1940</w:t>
            </w:r>
          </w:p>
        </w:tc>
        <w:tc>
          <w:tcPr>
            <w:tcW w:w="1862" w:type="dxa"/>
            <w:vMerge/>
          </w:tcPr>
          <w:p>
            <w:pPr/>
          </w:p>
        </w:tc>
        <w:tc>
          <w:tcPr>
            <w:tcW w:w="1352" w:type="dxa"/>
            <w:vMerge/>
          </w:tcPr>
          <w:p>
            <w:pPr/>
          </w:p>
        </w:tc>
        <w:tc>
          <w:tcPr>
            <w:tcW w:w="3132" w:type="dxa"/>
            <w:vMerge/>
          </w:tcPr>
          <w:p>
            <w:pP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r>
        <w:trPr>
          <w:trHeight w:val="799" w:hRule="exact"/>
        </w:trPr>
        <w:tc>
          <w:tcPr>
            <w:tcW w:w="954" w:type="dxa"/>
            <w:tcBorders>
              <w:left w:val="double" w:sz="11" w:space="0" w:color="000000"/>
            </w:tcBorders>
          </w:tcPr>
          <w:p>
            <w:pPr>
              <w:pStyle w:val="TableParagraph"/>
              <w:ind w:left="0"/>
              <w:rPr>
                <w:rFonts w:ascii="Times New Roman"/>
                <w:sz w:val="20"/>
              </w:rPr>
            </w:pPr>
          </w:p>
          <w:p>
            <w:pPr>
              <w:pStyle w:val="TableParagraph"/>
              <w:spacing w:before="156"/>
              <w:ind w:left="209" w:right="212"/>
              <w:jc w:val="center"/>
              <w:rPr>
                <w:sz w:val="20"/>
              </w:rPr>
            </w:pPr>
            <w:r>
              <w:rPr>
                <w:sz w:val="20"/>
              </w:rPr>
              <w:t>1982</w:t>
            </w:r>
          </w:p>
        </w:tc>
        <w:tc>
          <w:tcPr>
            <w:tcW w:w="1862" w:type="dxa"/>
            <w:vMerge/>
          </w:tcPr>
          <w:p>
            <w:pPr/>
          </w:p>
        </w:tc>
        <w:tc>
          <w:tcPr>
            <w:tcW w:w="1352" w:type="dxa"/>
            <w:vMerge/>
          </w:tcPr>
          <w:p>
            <w:pPr/>
          </w:p>
        </w:tc>
        <w:tc>
          <w:tcPr>
            <w:tcW w:w="3132" w:type="dxa"/>
            <w:vMerge/>
          </w:tcPr>
          <w:p>
            <w:pPr/>
          </w:p>
        </w:tc>
        <w:tc>
          <w:tcPr>
            <w:tcW w:w="1476" w:type="dxa"/>
            <w:vMerge/>
          </w:tcPr>
          <w:p>
            <w:pPr/>
          </w:p>
        </w:tc>
        <w:tc>
          <w:tcPr>
            <w:tcW w:w="2429" w:type="dxa"/>
            <w:vMerge/>
          </w:tcPr>
          <w:p>
            <w:pPr/>
          </w:p>
        </w:tc>
        <w:tc>
          <w:tcPr>
            <w:tcW w:w="1615" w:type="dxa"/>
            <w:vMerge/>
            <w:tcBorders>
              <w:right w:val="double" w:sz="12" w:space="0" w:color="000000"/>
            </w:tcBorders>
            <w:shd w:val="clear" w:color="auto" w:fill="FF0000"/>
          </w:tcPr>
          <w:p>
            <w:pPr/>
          </w:p>
        </w:tc>
      </w:tr>
    </w:tbl>
    <w:p>
      <w:pPr>
        <w:spacing w:after="0"/>
        <w:sectPr>
          <w:pgSz w:w="15840" w:h="12240" w:orient="landscape"/>
          <w:pgMar w:header="0" w:footer="943" w:top="1140" w:bottom="1140" w:left="1200" w:right="13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4"/>
        <w:gridCol w:w="1862"/>
        <w:gridCol w:w="1352"/>
        <w:gridCol w:w="3132"/>
        <w:gridCol w:w="1476"/>
        <w:gridCol w:w="2429"/>
        <w:gridCol w:w="1615"/>
      </w:tblGrid>
      <w:tr>
        <w:trPr>
          <w:trHeight w:val="797" w:hRule="exact"/>
        </w:trPr>
        <w:tc>
          <w:tcPr>
            <w:tcW w:w="954" w:type="dxa"/>
            <w:tcBorders>
              <w:left w:val="double" w:sz="11" w:space="0" w:color="000000"/>
            </w:tcBorders>
          </w:tcPr>
          <w:p>
            <w:pPr>
              <w:pStyle w:val="TableParagraph"/>
              <w:spacing w:before="4"/>
              <w:ind w:left="0"/>
              <w:rPr>
                <w:rFonts w:ascii="Times New Roman"/>
                <w:sz w:val="24"/>
              </w:rPr>
            </w:pPr>
          </w:p>
          <w:p>
            <w:pPr>
              <w:pStyle w:val="TableParagraph"/>
              <w:ind w:left="230"/>
              <w:rPr>
                <w:sz w:val="20"/>
              </w:rPr>
            </w:pPr>
            <w:r>
              <w:rPr>
                <w:sz w:val="20"/>
              </w:rPr>
              <w:t>2016</w:t>
            </w:r>
          </w:p>
        </w:tc>
        <w:tc>
          <w:tcPr>
            <w:tcW w:w="1862" w:type="dxa"/>
          </w:tcPr>
          <w:p>
            <w:pPr/>
          </w:p>
        </w:tc>
        <w:tc>
          <w:tcPr>
            <w:tcW w:w="1352" w:type="dxa"/>
          </w:tcPr>
          <w:p>
            <w:pPr/>
          </w:p>
        </w:tc>
        <w:tc>
          <w:tcPr>
            <w:tcW w:w="3132" w:type="dxa"/>
          </w:tcPr>
          <w:p>
            <w:pPr>
              <w:pStyle w:val="TableParagraph"/>
              <w:spacing w:before="7"/>
              <w:ind w:left="278" w:right="98"/>
              <w:rPr>
                <w:sz w:val="20"/>
              </w:rPr>
            </w:pPr>
            <w:r>
              <w:rPr>
                <w:sz w:val="20"/>
              </w:rPr>
              <w:t>con articulación entre actores</w:t>
            </w:r>
          </w:p>
        </w:tc>
        <w:tc>
          <w:tcPr>
            <w:tcW w:w="1476" w:type="dxa"/>
          </w:tcPr>
          <w:p>
            <w:pPr/>
          </w:p>
        </w:tc>
        <w:tc>
          <w:tcPr>
            <w:tcW w:w="2429" w:type="dxa"/>
          </w:tcPr>
          <w:p>
            <w:pPr/>
          </w:p>
        </w:tc>
        <w:tc>
          <w:tcPr>
            <w:tcW w:w="1615" w:type="dxa"/>
            <w:tcBorders>
              <w:right w:val="double" w:sz="12" w:space="0" w:color="000000"/>
            </w:tcBorders>
            <w:shd w:val="clear" w:color="auto" w:fill="FF0000"/>
          </w:tcPr>
          <w:p>
            <w:pPr/>
          </w:p>
        </w:tc>
      </w:tr>
      <w:tr>
        <w:trPr>
          <w:trHeight w:val="7854" w:hRule="exact"/>
        </w:trPr>
        <w:tc>
          <w:tcPr>
            <w:tcW w:w="12822" w:type="dxa"/>
            <w:gridSpan w:val="7"/>
          </w:tcPr>
          <w:p>
            <w:pPr>
              <w:pStyle w:val="TableParagraph"/>
              <w:spacing w:line="248" w:lineRule="exact"/>
              <w:ind w:left="2026" w:right="2026"/>
              <w:jc w:val="center"/>
              <w:rPr>
                <w:sz w:val="22"/>
              </w:rPr>
            </w:pPr>
            <w:r>
              <w:rPr>
                <w:b/>
                <w:sz w:val="22"/>
              </w:rPr>
              <w:t>Fuente: </w:t>
            </w:r>
            <w:r>
              <w:rPr>
                <w:sz w:val="22"/>
              </w:rPr>
              <w:t>elaboración propia con base en trabajo de campo y gabinete García, 2013-2015.</w:t>
            </w:r>
          </w:p>
          <w:p>
            <w:pPr>
              <w:pStyle w:val="TableParagraph"/>
              <w:ind w:left="0"/>
              <w:rPr>
                <w:rFonts w:ascii="Times New Roman"/>
                <w:sz w:val="22"/>
              </w:rPr>
            </w:pPr>
          </w:p>
          <w:p>
            <w:pPr>
              <w:pStyle w:val="TableParagraph"/>
              <w:ind w:left="27"/>
              <w:jc w:val="both"/>
              <w:rPr>
                <w:b/>
                <w:sz w:val="22"/>
              </w:rPr>
            </w:pPr>
            <w:r>
              <w:rPr>
                <w:b/>
                <w:sz w:val="22"/>
              </w:rPr>
              <w:t>Interpretación de la anterior gráfica y la tarjeta de valoración:</w:t>
            </w:r>
          </w:p>
          <w:p>
            <w:pPr>
              <w:pStyle w:val="TableParagraph"/>
              <w:numPr>
                <w:ilvl w:val="0"/>
                <w:numId w:val="336"/>
              </w:numPr>
              <w:tabs>
                <w:tab w:pos="170" w:val="left" w:leader="none"/>
              </w:tabs>
              <w:spacing w:line="240" w:lineRule="auto" w:before="1" w:after="0"/>
              <w:ind w:left="27" w:right="24" w:firstLine="0"/>
              <w:jc w:val="both"/>
              <w:rPr>
                <w:sz w:val="22"/>
              </w:rPr>
            </w:pPr>
            <w:r>
              <w:rPr>
                <w:sz w:val="22"/>
              </w:rPr>
              <w:t>En 1400, época prehispánica, la Cuenca pertenecía a la provincia política del Señorío de Xilotepec. Estaba poblada por otomíes principalmente, divididos en clases sociales. Su base económica estaba apoyada principalmente en el uso intensivo de un cuerpo de agua utilizado para el riego (ese antiguo cuerpo de agua daría posteriormente lugar a la presa Huapango y a la presa Huaracha). Debido a esa intensidad del uso del agua, dicha provincia y Señorío de Xilotepec, adquirió una importancia política, religiosa y económica hasta convertirse en un importante Estado prehispánico con centro ceremonial y religioso llamado Jilotepec. En este período los recursos naturales de la CHPH eran usados racionalmente porque no existía mucha</w:t>
            </w:r>
            <w:r>
              <w:rPr>
                <w:spacing w:val="-25"/>
                <w:sz w:val="22"/>
              </w:rPr>
              <w:t> </w:t>
            </w:r>
            <w:r>
              <w:rPr>
                <w:sz w:val="22"/>
              </w:rPr>
              <w:t>población.</w:t>
            </w:r>
          </w:p>
          <w:p>
            <w:pPr>
              <w:pStyle w:val="TableParagraph"/>
              <w:numPr>
                <w:ilvl w:val="0"/>
                <w:numId w:val="336"/>
              </w:numPr>
              <w:tabs>
                <w:tab w:pos="165" w:val="left" w:leader="none"/>
              </w:tabs>
              <w:spacing w:line="240" w:lineRule="auto" w:before="1" w:after="0"/>
              <w:ind w:left="27" w:right="26" w:firstLine="0"/>
              <w:jc w:val="both"/>
              <w:rPr>
                <w:sz w:val="22"/>
              </w:rPr>
            </w:pPr>
            <w:r>
              <w:rPr>
                <w:sz w:val="22"/>
              </w:rPr>
              <w:t>En 1519, dicha región fue visitada por primera vez por los españoles; pero fue a mediados de la década de 1520 que la provincia de Xilotepec fue dominada en la parte sur por los españoles, y en 1533 se le asignó el territorio como  Encomienda,  al conquistador Juan Jaramillo de Salvatierra (esposo de la Malinche). En este período, todavía la provincia de Xilotepec aún no era conquistada en su totalidad por los españoles por lo que todavía su uso de los recursos naturales era racionalmente</w:t>
            </w:r>
            <w:r>
              <w:rPr>
                <w:spacing w:val="-33"/>
                <w:sz w:val="22"/>
              </w:rPr>
              <w:t> </w:t>
            </w:r>
            <w:r>
              <w:rPr>
                <w:sz w:val="22"/>
              </w:rPr>
              <w:t>bueno.</w:t>
            </w:r>
          </w:p>
          <w:p>
            <w:pPr>
              <w:pStyle w:val="TableParagraph"/>
              <w:numPr>
                <w:ilvl w:val="0"/>
                <w:numId w:val="336"/>
              </w:numPr>
              <w:tabs>
                <w:tab w:pos="294" w:val="left" w:leader="none"/>
              </w:tabs>
              <w:spacing w:line="240" w:lineRule="auto" w:before="0" w:after="0"/>
              <w:ind w:left="27" w:right="22" w:firstLine="63"/>
              <w:jc w:val="both"/>
              <w:rPr>
                <w:sz w:val="22"/>
              </w:rPr>
            </w:pPr>
            <w:r>
              <w:rPr>
                <w:sz w:val="22"/>
              </w:rPr>
              <w:t>Hacia el año 1580, con la dominación española, la encomienda de la provincia de Xilotepec se conformó política y económicamente en territorio de haciendas de ganado mayor y menor, en las que trabajaba un número creciente de españoles y mulatos. Así que para el año de 1794, ya existían 25 haciendas y 95 ranchos ganaderos y productores de leche. En este período hubo impacto económico y político, pero sobre todo, los derechos civiles de los trabajadores nativos eran precarios, porque existía concentración de la tierra y sobreexplotación de su labor a través de las tiendas de raya, por lo que el deterioro ambiental inicio en esta época por la sobreexplotación de los recursos naturales por los</w:t>
            </w:r>
            <w:r>
              <w:rPr>
                <w:spacing w:val="-23"/>
                <w:sz w:val="22"/>
              </w:rPr>
              <w:t> </w:t>
            </w:r>
            <w:r>
              <w:rPr>
                <w:sz w:val="22"/>
              </w:rPr>
              <w:t>españoles.</w:t>
            </w:r>
          </w:p>
          <w:p>
            <w:pPr>
              <w:pStyle w:val="TableParagraph"/>
              <w:numPr>
                <w:ilvl w:val="0"/>
                <w:numId w:val="336"/>
              </w:numPr>
              <w:tabs>
                <w:tab w:pos="196" w:val="left" w:leader="none"/>
              </w:tabs>
              <w:spacing w:line="240" w:lineRule="auto" w:before="1" w:after="0"/>
              <w:ind w:left="27" w:right="22" w:firstLine="0"/>
              <w:jc w:val="both"/>
              <w:rPr>
                <w:sz w:val="22"/>
              </w:rPr>
            </w:pPr>
            <w:r>
              <w:rPr>
                <w:sz w:val="22"/>
              </w:rPr>
              <w:t>Hacia 1785-1788, los religiosos franciscanos que ya estaban en la región y que también eran dueños de ranchos y tierras, decidieron construir sobre el antiguo lago prehispánico, una presa de gran tamaño, capaz de regar tierras para el cultivo, y dar sostenimiento a miles de cabezas de ganado mayor. Dicho cuerpo de agua se conoció como presa o laguna de Huapango, uno  de los cuerpos de agua artificial más grandes del centro del país, y origen de la actual cuenca lechera más importante del Estado de México. En esta época subió el impacto económico, político y social de la región al aumentar el uso de los recursos de la CHPH, principalmente el agua, pero con la construcción de este cuerpo de agua se incrementó la variedad de recursos naturales que fueron sobreexplotados de</w:t>
            </w:r>
            <w:r>
              <w:rPr>
                <w:spacing w:val="-9"/>
                <w:sz w:val="22"/>
              </w:rPr>
              <w:t> </w:t>
            </w:r>
            <w:r>
              <w:rPr>
                <w:sz w:val="22"/>
              </w:rPr>
              <w:t>inmedianto.</w:t>
            </w:r>
          </w:p>
          <w:p>
            <w:pPr>
              <w:pStyle w:val="TableParagraph"/>
              <w:numPr>
                <w:ilvl w:val="0"/>
                <w:numId w:val="336"/>
              </w:numPr>
              <w:tabs>
                <w:tab w:pos="167" w:val="left" w:leader="none"/>
              </w:tabs>
              <w:spacing w:line="240" w:lineRule="auto" w:before="1" w:after="0"/>
              <w:ind w:left="27" w:right="24" w:firstLine="0"/>
              <w:jc w:val="both"/>
              <w:rPr>
                <w:sz w:val="22"/>
              </w:rPr>
            </w:pPr>
            <w:r>
              <w:rPr>
                <w:sz w:val="22"/>
              </w:rPr>
              <w:t>En 1810 inició la independencia de la antigua Nueva España, hoy México. Esta fecha tiene un gran impacto porque se considera el parteaguas de la lucha civil en la CHPH, para que se reconocieran mejores derechos sociopolíticos, económicos y ambientales de los ciudadanos de la antigua provincia de Xilotepec, ya que los recursos naturales eran sobreexplotados de una forma desmedida en la</w:t>
            </w:r>
            <w:r>
              <w:rPr>
                <w:spacing w:val="-6"/>
                <w:sz w:val="22"/>
              </w:rPr>
              <w:t> </w:t>
            </w:r>
            <w:r>
              <w:rPr>
                <w:sz w:val="22"/>
              </w:rPr>
              <w:t>CHPH.</w:t>
            </w:r>
          </w:p>
          <w:p>
            <w:pPr>
              <w:pStyle w:val="TableParagraph"/>
              <w:numPr>
                <w:ilvl w:val="0"/>
                <w:numId w:val="336"/>
              </w:numPr>
              <w:tabs>
                <w:tab w:pos="184" w:val="left" w:leader="none"/>
              </w:tabs>
              <w:spacing w:line="252" w:lineRule="exact" w:before="0" w:after="0"/>
              <w:ind w:left="183" w:right="0" w:hanging="156"/>
              <w:jc w:val="both"/>
              <w:rPr>
                <w:sz w:val="22"/>
              </w:rPr>
            </w:pPr>
            <w:r>
              <w:rPr>
                <w:sz w:val="22"/>
              </w:rPr>
              <w:t>Aunque</w:t>
            </w:r>
            <w:r>
              <w:rPr>
                <w:spacing w:val="15"/>
                <w:sz w:val="22"/>
              </w:rPr>
              <w:t> </w:t>
            </w:r>
            <w:r>
              <w:rPr>
                <w:sz w:val="22"/>
              </w:rPr>
              <w:t>el</w:t>
            </w:r>
            <w:r>
              <w:rPr>
                <w:spacing w:val="14"/>
                <w:sz w:val="22"/>
              </w:rPr>
              <w:t> </w:t>
            </w:r>
            <w:r>
              <w:rPr>
                <w:sz w:val="22"/>
              </w:rPr>
              <w:t>municipio</w:t>
            </w:r>
            <w:r>
              <w:rPr>
                <w:spacing w:val="17"/>
                <w:sz w:val="22"/>
              </w:rPr>
              <w:t> </w:t>
            </w:r>
            <w:r>
              <w:rPr>
                <w:sz w:val="22"/>
              </w:rPr>
              <w:t>en</w:t>
            </w:r>
            <w:r>
              <w:rPr>
                <w:spacing w:val="17"/>
                <w:sz w:val="22"/>
              </w:rPr>
              <w:t> </w:t>
            </w:r>
            <w:r>
              <w:rPr>
                <w:sz w:val="22"/>
              </w:rPr>
              <w:t>México</w:t>
            </w:r>
            <w:r>
              <w:rPr>
                <w:spacing w:val="17"/>
                <w:sz w:val="22"/>
              </w:rPr>
              <w:t> </w:t>
            </w:r>
            <w:r>
              <w:rPr>
                <w:sz w:val="22"/>
              </w:rPr>
              <w:t>tiene</w:t>
            </w:r>
            <w:r>
              <w:rPr>
                <w:spacing w:val="15"/>
                <w:sz w:val="22"/>
              </w:rPr>
              <w:t> </w:t>
            </w:r>
            <w:r>
              <w:rPr>
                <w:sz w:val="22"/>
              </w:rPr>
              <w:t>sus</w:t>
            </w:r>
            <w:r>
              <w:rPr>
                <w:spacing w:val="15"/>
                <w:sz w:val="22"/>
              </w:rPr>
              <w:t> </w:t>
            </w:r>
            <w:r>
              <w:rPr>
                <w:sz w:val="22"/>
              </w:rPr>
              <w:t>orígenes</w:t>
            </w:r>
            <w:r>
              <w:rPr>
                <w:spacing w:val="18"/>
                <w:sz w:val="22"/>
              </w:rPr>
              <w:t> </w:t>
            </w:r>
            <w:r>
              <w:rPr>
                <w:sz w:val="22"/>
              </w:rPr>
              <w:t>en</w:t>
            </w:r>
            <w:r>
              <w:rPr>
                <w:spacing w:val="15"/>
                <w:sz w:val="22"/>
              </w:rPr>
              <w:t> </w:t>
            </w:r>
            <w:r>
              <w:rPr>
                <w:sz w:val="22"/>
              </w:rPr>
              <w:t>la</w:t>
            </w:r>
            <w:r>
              <w:rPr>
                <w:spacing w:val="15"/>
                <w:sz w:val="22"/>
              </w:rPr>
              <w:t> </w:t>
            </w:r>
            <w:r>
              <w:rPr>
                <w:sz w:val="22"/>
              </w:rPr>
              <w:t>época</w:t>
            </w:r>
            <w:r>
              <w:rPr>
                <w:spacing w:val="15"/>
                <w:sz w:val="22"/>
              </w:rPr>
              <w:t> </w:t>
            </w:r>
            <w:r>
              <w:rPr>
                <w:sz w:val="22"/>
              </w:rPr>
              <w:t>prehispánica</w:t>
            </w:r>
            <w:r>
              <w:rPr>
                <w:spacing w:val="17"/>
                <w:sz w:val="22"/>
              </w:rPr>
              <w:t> </w:t>
            </w:r>
            <w:r>
              <w:rPr>
                <w:sz w:val="22"/>
              </w:rPr>
              <w:t>con</w:t>
            </w:r>
            <w:r>
              <w:rPr>
                <w:spacing w:val="15"/>
                <w:sz w:val="22"/>
              </w:rPr>
              <w:t> </w:t>
            </w:r>
            <w:r>
              <w:rPr>
                <w:sz w:val="22"/>
              </w:rPr>
              <w:t>los</w:t>
            </w:r>
            <w:r>
              <w:rPr>
                <w:spacing w:val="19"/>
                <w:sz w:val="22"/>
              </w:rPr>
              <w:t> </w:t>
            </w:r>
            <w:r>
              <w:rPr>
                <w:i/>
                <w:sz w:val="22"/>
              </w:rPr>
              <w:t>Tlahtocayos</w:t>
            </w:r>
            <w:r>
              <w:rPr>
                <w:sz w:val="22"/>
              </w:rPr>
              <w:t>,</w:t>
            </w:r>
            <w:r>
              <w:rPr>
                <w:spacing w:val="14"/>
                <w:sz w:val="22"/>
              </w:rPr>
              <w:t> </w:t>
            </w:r>
            <w:r>
              <w:rPr>
                <w:sz w:val="22"/>
              </w:rPr>
              <w:t>fue</w:t>
            </w:r>
            <w:r>
              <w:rPr>
                <w:spacing w:val="15"/>
                <w:sz w:val="22"/>
              </w:rPr>
              <w:t> </w:t>
            </w:r>
            <w:r>
              <w:rPr>
                <w:sz w:val="22"/>
              </w:rPr>
              <w:t>hasta</w:t>
            </w:r>
            <w:r>
              <w:rPr>
                <w:spacing w:val="16"/>
                <w:sz w:val="22"/>
              </w:rPr>
              <w:t> </w:t>
            </w:r>
            <w:r>
              <w:rPr>
                <w:sz w:val="22"/>
              </w:rPr>
              <w:t>la</w:t>
            </w:r>
            <w:r>
              <w:rPr>
                <w:spacing w:val="17"/>
                <w:sz w:val="22"/>
              </w:rPr>
              <w:t> </w:t>
            </w:r>
            <w:r>
              <w:rPr>
                <w:sz w:val="22"/>
              </w:rPr>
              <w:t>Constitución</w:t>
            </w:r>
            <w:r>
              <w:rPr>
                <w:spacing w:val="17"/>
                <w:sz w:val="22"/>
              </w:rPr>
              <w:t> </w:t>
            </w:r>
            <w:r>
              <w:rPr>
                <w:sz w:val="22"/>
              </w:rPr>
              <w:t>de</w:t>
            </w:r>
          </w:p>
        </w:tc>
      </w:tr>
    </w:tbl>
    <w:p>
      <w:pPr>
        <w:spacing w:after="0" w:line="252" w:lineRule="exact"/>
        <w:jc w:val="both"/>
        <w:rPr>
          <w:sz w:val="22"/>
        </w:rPr>
        <w:sectPr>
          <w:pgSz w:w="15840" w:h="12240" w:orient="landscape"/>
          <w:pgMar w:header="0" w:footer="943" w:top="1140" w:bottom="1140" w:left="1200" w:right="1300"/>
        </w:sectPr>
      </w:pPr>
    </w:p>
    <w:p>
      <w:pPr>
        <w:pStyle w:val="BodyText"/>
        <w:rPr>
          <w:rFonts w:ascii="Times New Roman"/>
          <w:sz w:val="20"/>
        </w:rPr>
      </w:pPr>
      <w:r>
        <w:rPr/>
        <w:pict>
          <v:group style="position:absolute;margin-left:65.269997pt;margin-top:84.849998pt;width:645.4pt;height:431.65pt;mso-position-horizontal-relative:page;mso-position-vertical-relative:page;z-index:-3328024" coordorigin="1305,1697" coordsize="12908,8633">
            <v:line style="position:absolute" from="1315,1707" to="14203,1707" stroked="true" strokeweight=".48pt" strokecolor="#000000"/>
            <v:line style="position:absolute" from="1310,1702" to="1310,10324" stroked="true" strokeweight=".48pt" strokecolor="#000000"/>
            <v:line style="position:absolute" from="1315,10320" to="14203,10320" stroked="true" strokeweight=".47998pt" strokecolor="#000000"/>
            <v:line style="position:absolute" from="14208,1702" to="14208,10324" stroked="true" strokeweight=".48004pt" strokecolor="#000000"/>
            <w10:wrap type="none"/>
          </v:group>
        </w:pict>
      </w:r>
    </w:p>
    <w:p>
      <w:pPr>
        <w:pStyle w:val="BodyText"/>
        <w:spacing w:before="2"/>
        <w:rPr>
          <w:rFonts w:ascii="Times New Roman"/>
          <w:sz w:val="23"/>
        </w:rPr>
      </w:pPr>
    </w:p>
    <w:p>
      <w:pPr>
        <w:pStyle w:val="BodyText"/>
        <w:spacing w:before="72"/>
        <w:ind w:left="180" w:right="397"/>
        <w:jc w:val="both"/>
      </w:pPr>
      <w:r>
        <w:rPr/>
        <w:t>Cádiz de 1812, que se constituyó formalmente; este evento histórico socio político, permitió que se formaran e instituyeran los actuales municipios de la CHPH, siendo el primero en 1861 por decreto No. 27 la Villa de Jilotepec. Sin embargo dicha institución surge con una serie de limitaciones importantes que repercuten hasta la fecha, entre las principales deficiencias está la administración de solo algunos servicios públicos, donde no se cuenta ni estipula su competencia jurídica en torno a la protección del medio ambiente, y menos en conjunto con los municipios vecinos. Estas deficiencias siguen afectando las decisiones sociopolíticas de la Cuenca (a pesar de las reformas al artículo 115); el municipio sigue estando supeditado al sistema federal y estatal, lo cual no le permite tener la “autonomía y soberanía” que se estipula en la Constitución para su territorio, población y gobierno, por lo que el municipio desde su origen, tiene problemas en sus facultades políticas-sociales, atribuciones limitadas que tienen un gran impacto sociopolítico, económico y ambiental como institución, que afectan directamente al agua y a sus habitantes de la  Cuenca, ya que no tiene facultades expresas en la ley para cuidar el medio ambiente.</w:t>
      </w:r>
    </w:p>
    <w:p>
      <w:pPr>
        <w:pStyle w:val="ListParagraph"/>
        <w:numPr>
          <w:ilvl w:val="0"/>
          <w:numId w:val="121"/>
        </w:numPr>
        <w:tabs>
          <w:tab w:pos="332" w:val="left" w:leader="none"/>
        </w:tabs>
        <w:spacing w:line="240" w:lineRule="auto" w:before="0" w:after="0"/>
        <w:ind w:left="180" w:right="399" w:firstLine="0"/>
        <w:jc w:val="both"/>
        <w:rPr>
          <w:sz w:val="22"/>
        </w:rPr>
      </w:pPr>
      <w:r>
        <w:rPr>
          <w:sz w:val="22"/>
        </w:rPr>
        <w:t>En 1910, inicio la revolución mexicana que tuvo varias causas, entre ellas, la dictadura en la presidencia de la República, pero sobre todo, fueron los grandes latifundios que provocaron la decadencia de la agricultura, ya que el territorio nacional era propiedad de tan sólo 840 familias de hacendados, donde los abusos de esclavitud contra el campesinado y los obreros, limitaron el desarrollo agrícola y social de los actores. Dichas injusticias sociales provocaron la demanda de derechos civiles, por lo que dichas peticiones se plasmaron en la Constitución de 1917, como el derecho a la tierra y el acceso a los recursos naturales. Sin embargo, estos derechos fueron abusados por nuevos actores, lo que ocasionó la sobreexplotación de los recursos naturales, sobre todo bosques y aguas, provocando nuevas desigualdades sociopolíticas, por lo que ésta época tiene un gran impacto en lo social, económico y ambiental de la</w:t>
      </w:r>
      <w:r>
        <w:rPr>
          <w:spacing w:val="-11"/>
          <w:sz w:val="22"/>
        </w:rPr>
        <w:t> </w:t>
      </w:r>
      <w:r>
        <w:rPr>
          <w:sz w:val="22"/>
        </w:rPr>
        <w:t>Cuenca.</w:t>
      </w:r>
    </w:p>
    <w:p>
      <w:pPr>
        <w:pStyle w:val="ListParagraph"/>
        <w:numPr>
          <w:ilvl w:val="0"/>
          <w:numId w:val="121"/>
        </w:numPr>
        <w:tabs>
          <w:tab w:pos="341" w:val="left" w:leader="none"/>
        </w:tabs>
        <w:spacing w:line="240" w:lineRule="auto" w:before="0" w:after="0"/>
        <w:ind w:left="180" w:right="397" w:firstLine="0"/>
        <w:jc w:val="both"/>
        <w:rPr>
          <w:sz w:val="22"/>
        </w:rPr>
      </w:pPr>
      <w:r>
        <w:rPr>
          <w:sz w:val="22"/>
        </w:rPr>
        <w:t>Desde la Revolución Mexicana la atención al pedido generalizado de tierras se convirtió en condición de la pacificación y del restablecimiento de un gobierno nacional hegemónico: la constitución de 1917 incluyó el reparto de tierras en su artículo 27. Desde entonces, y con sucesivas adecuaciones hasta 1992, el reparto de tierras fue mandato constitucional y político del Estado mexicano, pero fue hasta el periodo de gobierno del presidente Lázaro Cárdenas del </w:t>
      </w:r>
      <w:r>
        <w:rPr>
          <w:spacing w:val="-2"/>
          <w:sz w:val="22"/>
        </w:rPr>
        <w:t>Río </w:t>
      </w:r>
      <w:r>
        <w:rPr>
          <w:sz w:val="22"/>
        </w:rPr>
        <w:t>(1936-1940) que se consolidó la nueva repartición territorial en ejidos que propuso Emiliano Zapata durante la lucha por tierra y libertad a través del Plan Ayala, mediante el principio “La tierra es para quien la trabaja”, así que para 1940, en el Estado de México, se deshacen las haciendas y había casi 1000 ejidos donde la población rural ya poseía el territorio, sus bosques y aguas, a través de esta institución. Es en esta época que se constituyen los ejidos de la CHPH (San Juanico, Madó, Huapango, Canalejas, Arrollo Zarco, etc.), sin embargo, esta institución se crea bajo la dominación de la federación, y con restricciones de copropiedad con el Estado, es decir bajo su tutela,  lo que generó una serie de problemas entre los actores campesinos de la Cuenca (acceso inequitativo al agua, a la tierra, a </w:t>
      </w:r>
      <w:r>
        <w:rPr>
          <w:spacing w:val="2"/>
          <w:sz w:val="22"/>
        </w:rPr>
        <w:t>los </w:t>
      </w:r>
      <w:r>
        <w:rPr>
          <w:sz w:val="22"/>
        </w:rPr>
        <w:t>bosques, etc.) que aún no se pueden resolver, teniendo esto un impacto en lo sociopolítico, económico y ambiental, pero sobretodo un abuso en el uso de los recursos naturales no sólo por los actores históricos de la Cuenca, sino por parte de los actores del</w:t>
      </w:r>
      <w:r>
        <w:rPr>
          <w:spacing w:val="-2"/>
          <w:sz w:val="22"/>
        </w:rPr>
        <w:t> </w:t>
      </w:r>
      <w:r>
        <w:rPr>
          <w:sz w:val="22"/>
        </w:rPr>
        <w:t>Estado.</w:t>
      </w:r>
    </w:p>
    <w:p>
      <w:pPr>
        <w:pStyle w:val="ListParagraph"/>
        <w:numPr>
          <w:ilvl w:val="0"/>
          <w:numId w:val="121"/>
        </w:numPr>
        <w:tabs>
          <w:tab w:pos="327" w:val="left" w:leader="none"/>
        </w:tabs>
        <w:spacing w:line="240" w:lineRule="auto" w:before="1" w:after="0"/>
        <w:ind w:left="180" w:right="401" w:firstLine="0"/>
        <w:jc w:val="both"/>
        <w:rPr>
          <w:sz w:val="22"/>
        </w:rPr>
      </w:pPr>
      <w:r>
        <w:rPr>
          <w:sz w:val="22"/>
        </w:rPr>
        <w:t>En 1982, el primer presidente neoliberal, Miguel de la Madrid, comienza la internacionalización del libre mercado, con lo que se da pie al nuevo sistema económico y político social, que promueve la intervención mínima del Estado y el libre juego de la  apertura</w:t>
      </w:r>
      <w:r>
        <w:rPr>
          <w:spacing w:val="42"/>
          <w:sz w:val="22"/>
        </w:rPr>
        <w:t> </w:t>
      </w:r>
      <w:r>
        <w:rPr>
          <w:sz w:val="22"/>
        </w:rPr>
        <w:t>del</w:t>
      </w:r>
      <w:r>
        <w:rPr>
          <w:spacing w:val="41"/>
          <w:sz w:val="22"/>
        </w:rPr>
        <w:t> </w:t>
      </w:r>
      <w:r>
        <w:rPr>
          <w:sz w:val="22"/>
        </w:rPr>
        <w:t>mercado.</w:t>
      </w:r>
      <w:r>
        <w:rPr>
          <w:spacing w:val="41"/>
          <w:sz w:val="22"/>
        </w:rPr>
        <w:t> </w:t>
      </w:r>
      <w:r>
        <w:rPr>
          <w:sz w:val="22"/>
        </w:rPr>
        <w:t>Dicha</w:t>
      </w:r>
      <w:r>
        <w:rPr>
          <w:spacing w:val="44"/>
          <w:sz w:val="22"/>
        </w:rPr>
        <w:t> </w:t>
      </w:r>
      <w:r>
        <w:rPr>
          <w:sz w:val="22"/>
        </w:rPr>
        <w:t>corriente</w:t>
      </w:r>
      <w:r>
        <w:rPr>
          <w:spacing w:val="40"/>
          <w:sz w:val="22"/>
        </w:rPr>
        <w:t> </w:t>
      </w:r>
      <w:r>
        <w:rPr>
          <w:sz w:val="22"/>
        </w:rPr>
        <w:t>fomenta</w:t>
      </w:r>
      <w:r>
        <w:rPr>
          <w:spacing w:val="47"/>
          <w:sz w:val="22"/>
        </w:rPr>
        <w:t> </w:t>
      </w:r>
      <w:r>
        <w:rPr>
          <w:sz w:val="22"/>
        </w:rPr>
        <w:t>el</w:t>
      </w:r>
      <w:r>
        <w:rPr>
          <w:spacing w:val="41"/>
          <w:sz w:val="22"/>
        </w:rPr>
        <w:t> </w:t>
      </w:r>
      <w:r>
        <w:rPr>
          <w:sz w:val="22"/>
        </w:rPr>
        <w:t>consumo</w:t>
      </w:r>
      <w:r>
        <w:rPr>
          <w:spacing w:val="42"/>
          <w:sz w:val="22"/>
        </w:rPr>
        <w:t> </w:t>
      </w:r>
      <w:r>
        <w:rPr>
          <w:sz w:val="22"/>
        </w:rPr>
        <w:t>de</w:t>
      </w:r>
      <w:r>
        <w:rPr>
          <w:spacing w:val="42"/>
          <w:sz w:val="22"/>
        </w:rPr>
        <w:t> </w:t>
      </w:r>
      <w:r>
        <w:rPr>
          <w:sz w:val="22"/>
        </w:rPr>
        <w:t>los</w:t>
      </w:r>
      <w:r>
        <w:rPr>
          <w:spacing w:val="42"/>
          <w:sz w:val="22"/>
        </w:rPr>
        <w:t> </w:t>
      </w:r>
      <w:r>
        <w:rPr>
          <w:sz w:val="22"/>
        </w:rPr>
        <w:t>recursos</w:t>
      </w:r>
      <w:r>
        <w:rPr>
          <w:spacing w:val="43"/>
          <w:sz w:val="22"/>
        </w:rPr>
        <w:t> </w:t>
      </w:r>
      <w:r>
        <w:rPr>
          <w:sz w:val="22"/>
        </w:rPr>
        <w:t>naturales,</w:t>
      </w:r>
      <w:r>
        <w:rPr>
          <w:spacing w:val="44"/>
          <w:sz w:val="22"/>
        </w:rPr>
        <w:t> </w:t>
      </w:r>
      <w:r>
        <w:rPr>
          <w:sz w:val="22"/>
        </w:rPr>
        <w:t>así</w:t>
      </w:r>
      <w:r>
        <w:rPr>
          <w:spacing w:val="41"/>
          <w:sz w:val="22"/>
        </w:rPr>
        <w:t> </w:t>
      </w:r>
      <w:r>
        <w:rPr>
          <w:sz w:val="22"/>
        </w:rPr>
        <w:t>como</w:t>
      </w:r>
      <w:r>
        <w:rPr>
          <w:spacing w:val="42"/>
          <w:sz w:val="22"/>
        </w:rPr>
        <w:t> </w:t>
      </w:r>
      <w:r>
        <w:rPr>
          <w:sz w:val="22"/>
        </w:rPr>
        <w:t>las</w:t>
      </w:r>
      <w:r>
        <w:rPr>
          <w:spacing w:val="46"/>
          <w:sz w:val="22"/>
        </w:rPr>
        <w:t> </w:t>
      </w:r>
      <w:r>
        <w:rPr>
          <w:sz w:val="22"/>
        </w:rPr>
        <w:t>prácticas</w:t>
      </w:r>
      <w:r>
        <w:rPr>
          <w:spacing w:val="42"/>
          <w:sz w:val="22"/>
        </w:rPr>
        <w:t> </w:t>
      </w:r>
      <w:r>
        <w:rPr>
          <w:sz w:val="22"/>
        </w:rPr>
        <w:t>de</w:t>
      </w:r>
      <w:r>
        <w:rPr>
          <w:spacing w:val="44"/>
          <w:sz w:val="22"/>
        </w:rPr>
        <w:t> </w:t>
      </w:r>
      <w:r>
        <w:rPr>
          <w:sz w:val="22"/>
        </w:rPr>
        <w:t>producción</w:t>
      </w:r>
    </w:p>
    <w:p>
      <w:pPr>
        <w:spacing w:after="0" w:line="240" w:lineRule="auto"/>
        <w:jc w:val="both"/>
        <w:rPr>
          <w:sz w:val="22"/>
        </w:rPr>
        <w:sectPr>
          <w:pgSz w:w="15840" w:h="12240" w:orient="landscape"/>
          <w:pgMar w:header="0" w:footer="943" w:top="1140" w:bottom="1140" w:left="1200" w:right="1300"/>
        </w:sectPr>
      </w:pPr>
    </w:p>
    <w:p>
      <w:pPr>
        <w:pStyle w:val="BodyText"/>
        <w:rPr>
          <w:sz w:val="20"/>
        </w:rPr>
      </w:pPr>
    </w:p>
    <w:p>
      <w:pPr>
        <w:pStyle w:val="BodyText"/>
        <w:spacing w:before="10"/>
        <w:rPr>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7"/>
      </w:tblGrid>
      <w:tr>
        <w:trPr>
          <w:trHeight w:val="4311" w:hRule="exact"/>
        </w:trPr>
        <w:tc>
          <w:tcPr>
            <w:tcW w:w="12897" w:type="dxa"/>
          </w:tcPr>
          <w:p>
            <w:pPr>
              <w:pStyle w:val="TableParagraph"/>
              <w:ind w:left="64" w:right="62"/>
              <w:jc w:val="both"/>
              <w:rPr>
                <w:sz w:val="22"/>
              </w:rPr>
            </w:pPr>
            <w:r>
              <w:rPr>
                <w:sz w:val="22"/>
              </w:rPr>
              <w:t>altamente contaminantes, ya que las multinacionales extienden su poder económico hacia las regiones de los países menos desarrollados, generando crisis ambientales locales y regionales, que acrecientan la de carácter global. La CHPH no es la excepción, el consumo de los recursos naturales (agua) está siendo voraz; y el deterioro ambiental por la generación de servicios (construcción de autopista Arco Norte) obedece a intereses económicos ajenos a los actores históricos, y han dejado a la región en una práctica vulnerabilidad socio-ambiental, por lo que esta época tuvo un impacto negativo en lo sociopolítico, económico y ambiental.</w:t>
            </w:r>
          </w:p>
          <w:p>
            <w:pPr>
              <w:pStyle w:val="TableParagraph"/>
              <w:ind w:left="64" w:right="60"/>
              <w:jc w:val="both"/>
              <w:rPr>
                <w:sz w:val="22"/>
              </w:rPr>
            </w:pPr>
            <w:r>
              <w:rPr>
                <w:sz w:val="22"/>
              </w:rPr>
              <w:t>- Actualmente, en el año 2016, la CHPH se encuentra en franco deterioro, debido a la suma de los costos ambientales y sociales de los anteriores acontecimientos, lo que ha dado pie a que la actual política neoliberal, refuerce el reparto inequitativo de los recursos para favorecer intereses políticos y económicos de los actores más poderosos de la región. La utilización para legalizar tales inequidades es a través de las instituciones gubernamentales, como la Conagua y la Semanat, con la aplicación de una serie de incongruencias en la región como el reparto inequitativo de los recursos (agua), y ha generado hoy como en el pasado, conflictos, que sólo pueden solucionarse a través de una visión GIRH, donde se tomen acuerdos sociopolíticos, económicos y ambientales con base a los actores históricos, ya que son éstos actores los que ostentan identidad y territorialidad, que ahora puede ser utilizada para revertir los daños a través de la GIRH, mediante la gobernanza y la gobernabilidad, generando acuerdos democráticos con impacto positivo en los ámbitos sociopolítico, económico y ambiental, con la propuesta de conformación de un Comité Intermunicipal con su reglamento para que los actores históricos de los municipios de la Cuenca atiendan su problemática común.</w:t>
            </w:r>
          </w:p>
        </w:tc>
      </w:tr>
      <w:tr>
        <w:trPr>
          <w:trHeight w:val="341" w:hRule="exact"/>
        </w:trPr>
        <w:tc>
          <w:tcPr>
            <w:tcW w:w="12897" w:type="dxa"/>
          </w:tcPr>
          <w:p>
            <w:pPr>
              <w:pStyle w:val="TableParagraph"/>
              <w:spacing w:line="248" w:lineRule="exact"/>
              <w:ind w:left="170" w:right="175"/>
              <w:jc w:val="center"/>
              <w:rPr>
                <w:b/>
                <w:sz w:val="22"/>
              </w:rPr>
            </w:pPr>
            <w:r>
              <w:rPr>
                <w:b/>
                <w:sz w:val="22"/>
              </w:rPr>
              <w:t>VENTAJAS DEL INDICADOR</w:t>
            </w:r>
          </w:p>
        </w:tc>
      </w:tr>
      <w:tr>
        <w:trPr>
          <w:trHeight w:val="1020" w:hRule="exact"/>
        </w:trPr>
        <w:tc>
          <w:tcPr>
            <w:tcW w:w="12897" w:type="dxa"/>
          </w:tcPr>
          <w:p>
            <w:pPr>
              <w:pStyle w:val="TableParagraph"/>
              <w:numPr>
                <w:ilvl w:val="0"/>
                <w:numId w:val="337"/>
              </w:numPr>
              <w:tabs>
                <w:tab w:pos="243" w:val="left" w:leader="none"/>
              </w:tabs>
              <w:spacing w:line="240" w:lineRule="auto" w:before="0" w:after="0"/>
              <w:ind w:left="103" w:right="106" w:firstLine="0"/>
              <w:jc w:val="left"/>
              <w:rPr>
                <w:sz w:val="22"/>
              </w:rPr>
            </w:pPr>
            <w:r>
              <w:rPr>
                <w:sz w:val="22"/>
              </w:rPr>
              <w:t>Permitió identificar los recursos socioeconómicos renovables y no renovables de la CHPH que han sido sobreexplotados por los actores de la Cuenca generando un problema de</w:t>
            </w:r>
            <w:r>
              <w:rPr>
                <w:spacing w:val="-11"/>
                <w:sz w:val="22"/>
              </w:rPr>
              <w:t> </w:t>
            </w:r>
            <w:r>
              <w:rPr>
                <w:sz w:val="22"/>
              </w:rPr>
              <w:t>sostenibilidad.</w:t>
            </w:r>
          </w:p>
          <w:p>
            <w:pPr>
              <w:pStyle w:val="TableParagraph"/>
              <w:numPr>
                <w:ilvl w:val="0"/>
                <w:numId w:val="337"/>
              </w:numPr>
              <w:tabs>
                <w:tab w:pos="243" w:val="left" w:leader="none"/>
              </w:tabs>
              <w:spacing w:line="240" w:lineRule="auto" w:before="0" w:after="0"/>
              <w:ind w:left="103" w:right="100" w:firstLine="0"/>
              <w:jc w:val="left"/>
              <w:rPr>
                <w:sz w:val="22"/>
              </w:rPr>
            </w:pPr>
            <w:r>
              <w:rPr>
                <w:sz w:val="22"/>
              </w:rPr>
              <w:t>Sirvió de guía de explicación para la elaboración de la propuesta de creación de un Comité Intermunicipal con su reglamento en la</w:t>
            </w:r>
            <w:r>
              <w:rPr>
                <w:spacing w:val="-3"/>
                <w:sz w:val="22"/>
              </w:rPr>
              <w:t> </w:t>
            </w:r>
            <w:r>
              <w:rPr>
                <w:sz w:val="22"/>
              </w:rPr>
              <w:t>CHPH.</w:t>
            </w:r>
          </w:p>
        </w:tc>
      </w:tr>
      <w:tr>
        <w:trPr>
          <w:trHeight w:val="341" w:hRule="exact"/>
        </w:trPr>
        <w:tc>
          <w:tcPr>
            <w:tcW w:w="12897" w:type="dxa"/>
          </w:tcPr>
          <w:p>
            <w:pPr>
              <w:pStyle w:val="TableParagraph"/>
              <w:spacing w:line="248" w:lineRule="exact"/>
              <w:ind w:left="170" w:right="175"/>
              <w:jc w:val="center"/>
              <w:rPr>
                <w:b/>
                <w:sz w:val="22"/>
              </w:rPr>
            </w:pPr>
            <w:r>
              <w:rPr>
                <w:b/>
                <w:sz w:val="22"/>
              </w:rPr>
              <w:t>DESVENTAJAS DEL INDICADOR</w:t>
            </w:r>
          </w:p>
        </w:tc>
      </w:tr>
      <w:tr>
        <w:trPr>
          <w:trHeight w:val="770" w:hRule="exact"/>
        </w:trPr>
        <w:tc>
          <w:tcPr>
            <w:tcW w:w="12897" w:type="dxa"/>
          </w:tcPr>
          <w:p>
            <w:pPr>
              <w:pStyle w:val="TableParagraph"/>
              <w:ind w:right="101"/>
              <w:jc w:val="both"/>
              <w:rPr>
                <w:sz w:val="22"/>
              </w:rPr>
            </w:pPr>
            <w:r>
              <w:rPr>
                <w:sz w:val="22"/>
              </w:rPr>
              <w:t>- El uso irracional de los recursos es un indicador que engloba toda la problemática de la CHPH, por lo que hace un llamado a los actores históricos de la CHPH para que la cuiden y a los actores gubernamentales para que asuman sus responsabilidades para el cuidado del medio ambiente en la región.</w:t>
            </w:r>
          </w:p>
        </w:tc>
      </w:tr>
    </w:tbl>
    <w:p>
      <w:pPr>
        <w:pStyle w:val="BodyText"/>
        <w:spacing w:line="360" w:lineRule="auto"/>
        <w:ind w:left="218" w:right="201"/>
      </w:pPr>
      <w:r>
        <w:rPr/>
        <w:t>Con estas tarjetas de valoración se pudo hacer un resumen donde se visualiza la situación de la CHPH a través del tiempo, lo que explica la realidad como causa-erfecto.</w:t>
      </w:r>
    </w:p>
    <w:p>
      <w:pPr>
        <w:pStyle w:val="BodyText"/>
      </w:pPr>
    </w:p>
    <w:p>
      <w:pPr>
        <w:pStyle w:val="Heading6"/>
        <w:spacing w:line="360" w:lineRule="auto" w:before="127"/>
        <w:ind w:left="6409" w:right="201" w:hanging="6088"/>
      </w:pPr>
      <w:r>
        <w:rPr/>
        <w:t>TABLA RESUMEN DE EVOLUCIÓN DE INDICADORES DE LOS FACTORES CRÍTICOS DE ÉXITO DEL SISTEMA PEIR DE LA CHPH</w:t>
      </w:r>
    </w:p>
    <w:p>
      <w:pPr>
        <w:spacing w:after="0" w:line="360" w:lineRule="auto"/>
        <w:sectPr>
          <w:pgSz w:w="15840" w:h="12240" w:orient="landscape"/>
          <w:pgMar w:header="0" w:footer="943" w:top="1140" w:bottom="1200" w:left="1200" w:right="1300"/>
        </w:sectPr>
      </w:pPr>
    </w:p>
    <w:p>
      <w:pPr>
        <w:pStyle w:val="BodyText"/>
        <w:rPr>
          <w:rFonts w:ascii="Times New Roman"/>
          <w:sz w:val="20"/>
        </w:rPr>
      </w:pPr>
      <w:r>
        <w:rPr/>
        <w:pict>
          <v:group style="position:absolute;margin-left:371.690002pt;margin-top:121.099998pt;width:117.75pt;height:92.2pt;mso-position-horizontal-relative:page;mso-position-vertical-relative:page;z-index:-3328000" coordorigin="7434,2422" coordsize="2355,1844">
            <v:shape style="position:absolute;left:7434;top:2422;width:778;height:343" type="#_x0000_t75" stroked="false">
              <v:imagedata r:id="rId562" o:title=""/>
            </v:shape>
            <v:shape style="position:absolute;left:7537;top:2422;width:571;height:343" type="#_x0000_t75" stroked="false">
              <v:imagedata r:id="rId563" o:title=""/>
            </v:shape>
            <v:shape style="position:absolute;left:8221;top:2422;width:780;height:343" type="#_x0000_t75" stroked="false">
              <v:imagedata r:id="rId564" o:title=""/>
            </v:shape>
            <v:shape style="position:absolute;left:8324;top:2422;width:574;height:230" type="#_x0000_t75" stroked="false">
              <v:imagedata r:id="rId565" o:title=""/>
            </v:shape>
            <v:shape style="position:absolute;left:7434;top:2796;width:778;height:346" type="#_x0000_t75" stroked="false">
              <v:imagedata r:id="rId566" o:title=""/>
            </v:shape>
            <v:shape style="position:absolute;left:7537;top:2796;width:571;height:346" type="#_x0000_t75" stroked="false">
              <v:imagedata r:id="rId567" o:title=""/>
            </v:shape>
            <v:shape style="position:absolute;left:7434;top:3171;width:778;height:346" type="#_x0000_t75" stroked="false">
              <v:imagedata r:id="rId568" o:title=""/>
            </v:shape>
            <v:shape style="position:absolute;left:7537;top:3171;width:571;height:346" type="#_x0000_t75" stroked="false">
              <v:imagedata r:id="rId569" o:title=""/>
            </v:shape>
            <v:shape style="position:absolute;left:8221;top:3171;width:780;height:346" type="#_x0000_t75" stroked="false">
              <v:imagedata r:id="rId570" o:title=""/>
            </v:shape>
            <v:shape style="position:absolute;left:8324;top:3171;width:574;height:346" type="#_x0000_t75" stroked="false">
              <v:imagedata r:id="rId571" o:title=""/>
            </v:shape>
            <v:shape style="position:absolute;left:9011;top:3171;width:778;height:346" type="#_x0000_t75" stroked="false">
              <v:imagedata r:id="rId572" o:title=""/>
            </v:shape>
            <v:shape style="position:absolute;left:9114;top:3171;width:571;height:346" type="#_x0000_t75" stroked="false">
              <v:imagedata r:id="rId573" o:title=""/>
            </v:shape>
            <v:shape style="position:absolute;left:7434;top:3545;width:778;height:346" type="#_x0000_t75" stroked="false">
              <v:imagedata r:id="rId574" o:title=""/>
            </v:shape>
            <v:shape style="position:absolute;left:7537;top:3545;width:571;height:346" type="#_x0000_t75" stroked="false">
              <v:imagedata r:id="rId575" o:title=""/>
            </v:shape>
            <v:shape style="position:absolute;left:7434;top:3923;width:778;height:343" type="#_x0000_t75" stroked="false">
              <v:imagedata r:id="rId576" o:title=""/>
            </v:shape>
            <v:shape style="position:absolute;left:7537;top:3923;width:571;height:343" type="#_x0000_t75" stroked="false">
              <v:imagedata r:id="rId577" o:title=""/>
            </v:shape>
            <w10:wrap type="none"/>
          </v:group>
        </w:pict>
      </w:r>
      <w:r>
        <w:rPr/>
        <w:pict>
          <v:group style="position:absolute;margin-left:371.690002pt;margin-top:233.570007pt;width:354.65pt;height:36pt;mso-position-horizontal-relative:page;mso-position-vertical-relative:page;z-index:-3327976" coordorigin="7434,4671" coordsize="7093,720">
            <v:shape style="position:absolute;left:7434;top:4671;width:778;height:346" type="#_x0000_t75" stroked="false">
              <v:imagedata r:id="rId578" o:title=""/>
            </v:shape>
            <v:shape style="position:absolute;left:7537;top:4671;width:571;height:346" type="#_x0000_t75" stroked="false">
              <v:imagedata r:id="rId579" o:title=""/>
            </v:shape>
            <v:shape style="position:absolute;left:7434;top:5046;width:778;height:346" type="#_x0000_t75" stroked="false">
              <v:imagedata r:id="rId580" o:title=""/>
            </v:shape>
            <v:shape style="position:absolute;left:7537;top:5046;width:571;height:346" type="#_x0000_t75" stroked="false">
              <v:imagedata r:id="rId581" o:title=""/>
            </v:shape>
            <v:shape style="position:absolute;left:8221;top:5046;width:780;height:346" type="#_x0000_t75" stroked="false">
              <v:imagedata r:id="rId582" o:title=""/>
            </v:shape>
            <v:shape style="position:absolute;left:8324;top:5046;width:574;height:346" type="#_x0000_t75" stroked="false">
              <v:imagedata r:id="rId583" o:title=""/>
            </v:shape>
            <v:shape style="position:absolute;left:9011;top:5046;width:778;height:346" type="#_x0000_t75" stroked="false">
              <v:imagedata r:id="rId584" o:title=""/>
            </v:shape>
            <v:shape style="position:absolute;left:9114;top:5046;width:571;height:346" type="#_x0000_t75" stroked="false">
              <v:imagedata r:id="rId585" o:title=""/>
            </v:shape>
            <v:shape style="position:absolute;left:9798;top:5046;width:778;height:346" type="#_x0000_t75" stroked="false">
              <v:imagedata r:id="rId586" o:title=""/>
            </v:shape>
            <v:shape style="position:absolute;left:9901;top:5046;width:571;height:346" type="#_x0000_t75" stroked="false">
              <v:imagedata r:id="rId587" o:title=""/>
            </v:shape>
            <v:shape style="position:absolute;left:10585;top:5046;width:780;height:346" type="#_x0000_t75" stroked="false">
              <v:imagedata r:id="rId588" o:title=""/>
            </v:shape>
            <v:shape style="position:absolute;left:10689;top:5046;width:574;height:346" type="#_x0000_t75" stroked="false">
              <v:imagedata r:id="rId589" o:title=""/>
            </v:shape>
            <v:shape style="position:absolute;left:11375;top:5046;width:778;height:346" type="#_x0000_t75" stroked="false">
              <v:imagedata r:id="rId590" o:title=""/>
            </v:shape>
            <v:shape style="position:absolute;left:11478;top:5046;width:571;height:346" type="#_x0000_t75" stroked="false">
              <v:imagedata r:id="rId591" o:title=""/>
            </v:shape>
            <v:shape style="position:absolute;left:12162;top:5046;width:778;height:346" type="#_x0000_t75" stroked="false">
              <v:imagedata r:id="rId592" o:title=""/>
            </v:shape>
            <v:shape style="position:absolute;left:12265;top:5046;width:572;height:346" type="#_x0000_t75" stroked="false">
              <v:imagedata r:id="rId593" o:title=""/>
            </v:shape>
            <v:shape style="position:absolute;left:12950;top:5046;width:780;height:346" type="#_x0000_t75" stroked="false">
              <v:imagedata r:id="rId594" o:title=""/>
            </v:shape>
            <v:shape style="position:absolute;left:13053;top:5046;width:574;height:346" type="#_x0000_t75" stroked="false">
              <v:imagedata r:id="rId595" o:title=""/>
            </v:shape>
            <v:shape style="position:absolute;left:13740;top:5046;width:787;height:346" type="#_x0000_t75" stroked="false">
              <v:imagedata r:id="rId596" o:title=""/>
            </v:shape>
            <v:shape style="position:absolute;left:13843;top:5046;width:581;height:346" type="#_x0000_t75" stroked="false">
              <v:imagedata r:id="rId597" o:title=""/>
            </v:shape>
            <w10:wrap type="none"/>
          </v:group>
        </w:pict>
      </w:r>
      <w:r>
        <w:rPr/>
        <w:pict>
          <v:group style="position:absolute;margin-left:371.690002pt;margin-top:288.890015pt;width:354.65pt;height:70.5pt;mso-position-horizontal-relative:page;mso-position-vertical-relative:page;z-index:-3327952" coordorigin="7434,5778" coordsize="7093,1410">
            <v:shape style="position:absolute;left:7434;top:5778;width:778;height:343" type="#_x0000_t75" stroked="false">
              <v:imagedata r:id="rId598" o:title=""/>
            </v:shape>
            <v:shape style="position:absolute;left:7537;top:5778;width:571;height:343" type="#_x0000_t75" stroked="false">
              <v:imagedata r:id="rId599" o:title=""/>
            </v:shape>
            <v:shape style="position:absolute;left:7434;top:6131;width:778;height:346" type="#_x0000_t75" stroked="false">
              <v:imagedata r:id="rId600" o:title=""/>
            </v:shape>
            <v:shape style="position:absolute;left:7537;top:6131;width:571;height:346" type="#_x0000_t75" stroked="false">
              <v:imagedata r:id="rId601" o:title=""/>
            </v:shape>
            <v:shape style="position:absolute;left:8221;top:6131;width:780;height:346" type="#_x0000_t75" stroked="false">
              <v:imagedata r:id="rId602" o:title=""/>
            </v:shape>
            <v:shape style="position:absolute;left:8324;top:6131;width:574;height:346" type="#_x0000_t75" stroked="false">
              <v:imagedata r:id="rId603" o:title=""/>
            </v:shape>
            <v:shape style="position:absolute;left:9011;top:6131;width:778;height:346" type="#_x0000_t75" stroked="false">
              <v:imagedata r:id="rId604" o:title=""/>
            </v:shape>
            <v:shape style="position:absolute;left:9114;top:6131;width:571;height:346" type="#_x0000_t75" stroked="false">
              <v:imagedata r:id="rId605" o:title=""/>
            </v:shape>
            <v:shape style="position:absolute;left:9798;top:6131;width:778;height:346" type="#_x0000_t75" stroked="false">
              <v:imagedata r:id="rId606" o:title=""/>
            </v:shape>
            <v:shape style="position:absolute;left:9901;top:6131;width:571;height:346" type="#_x0000_t75" stroked="false">
              <v:imagedata r:id="rId607" o:title=""/>
            </v:shape>
            <v:shape style="position:absolute;left:10585;top:6131;width:780;height:346" type="#_x0000_t75" stroked="false">
              <v:imagedata r:id="rId608" o:title=""/>
            </v:shape>
            <v:shape style="position:absolute;left:10689;top:6131;width:574;height:346" type="#_x0000_t75" stroked="false">
              <v:imagedata r:id="rId609" o:title=""/>
            </v:shape>
            <v:shape style="position:absolute;left:11375;top:6131;width:778;height:346" type="#_x0000_t75" stroked="false">
              <v:imagedata r:id="rId610" o:title=""/>
            </v:shape>
            <v:shape style="position:absolute;left:11478;top:6131;width:571;height:346" type="#_x0000_t75" stroked="false">
              <v:imagedata r:id="rId611" o:title=""/>
            </v:shape>
            <v:shape style="position:absolute;left:12162;top:6131;width:778;height:346" type="#_x0000_t75" stroked="false">
              <v:imagedata r:id="rId612" o:title=""/>
            </v:shape>
            <v:shape style="position:absolute;left:12265;top:6131;width:572;height:346" type="#_x0000_t75" stroked="false">
              <v:imagedata r:id="rId613" o:title=""/>
            </v:shape>
            <v:shape style="position:absolute;left:12950;top:6131;width:780;height:346" type="#_x0000_t75" stroked="false">
              <v:imagedata r:id="rId614" o:title=""/>
            </v:shape>
            <v:shape style="position:absolute;left:13053;top:6131;width:574;height:346" type="#_x0000_t75" stroked="false">
              <v:imagedata r:id="rId615" o:title=""/>
            </v:shape>
            <v:shape style="position:absolute;left:13740;top:6131;width:787;height:346" type="#_x0000_t75" stroked="false">
              <v:imagedata r:id="rId616" o:title=""/>
            </v:shape>
            <v:shape style="position:absolute;left:13843;top:6131;width:581;height:346" type="#_x0000_t75" stroked="false">
              <v:imagedata r:id="rId617" o:title=""/>
            </v:shape>
            <v:shape style="position:absolute;left:7434;top:6486;width:778;height:346" type="#_x0000_t75" stroked="false">
              <v:imagedata r:id="rId618" o:title=""/>
            </v:shape>
            <v:shape style="position:absolute;left:7537;top:6486;width:571;height:346" type="#_x0000_t75" stroked="false">
              <v:imagedata r:id="rId619" o:title=""/>
            </v:shape>
            <v:shape style="position:absolute;left:9798;top:6486;width:778;height:346" type="#_x0000_t75" stroked="false">
              <v:imagedata r:id="rId620" o:title=""/>
            </v:shape>
            <v:shape style="position:absolute;left:9901;top:6486;width:571;height:346" type="#_x0000_t75" stroked="false">
              <v:imagedata r:id="rId621" o:title=""/>
            </v:shape>
            <v:shape style="position:absolute;left:10585;top:6486;width:780;height:346" type="#_x0000_t75" stroked="false">
              <v:imagedata r:id="rId622" o:title=""/>
            </v:shape>
            <v:shape style="position:absolute;left:10689;top:6486;width:574;height:346" type="#_x0000_t75" stroked="false">
              <v:imagedata r:id="rId623" o:title=""/>
            </v:shape>
            <v:shape style="position:absolute;left:11375;top:6486;width:778;height:346" type="#_x0000_t75" stroked="false">
              <v:imagedata r:id="rId624" o:title=""/>
            </v:shape>
            <v:shape style="position:absolute;left:11478;top:6486;width:571;height:346" type="#_x0000_t75" stroked="false">
              <v:imagedata r:id="rId625" o:title=""/>
            </v:shape>
            <v:shape style="position:absolute;left:12162;top:6486;width:778;height:346" type="#_x0000_t75" stroked="false">
              <v:imagedata r:id="rId626" o:title=""/>
            </v:shape>
            <v:shape style="position:absolute;left:12265;top:6486;width:572;height:346" type="#_x0000_t75" stroked="false">
              <v:imagedata r:id="rId627" o:title=""/>
            </v:shape>
            <v:shape style="position:absolute;left:12950;top:6486;width:780;height:346" type="#_x0000_t75" stroked="false">
              <v:imagedata r:id="rId628" o:title=""/>
            </v:shape>
            <v:shape style="position:absolute;left:13053;top:6486;width:574;height:346" type="#_x0000_t75" stroked="false">
              <v:imagedata r:id="rId629" o:title=""/>
            </v:shape>
            <v:shape style="position:absolute;left:13740;top:6486;width:787;height:346" type="#_x0000_t75" stroked="false">
              <v:imagedata r:id="rId630" o:title=""/>
            </v:shape>
            <v:shape style="position:absolute;left:13843;top:6486;width:581;height:346" type="#_x0000_t75" stroked="false">
              <v:imagedata r:id="rId631" o:title=""/>
            </v:shape>
            <v:shape style="position:absolute;left:7434;top:6841;width:778;height:346" type="#_x0000_t75" stroked="false">
              <v:imagedata r:id="rId632" o:title=""/>
            </v:shape>
            <v:shape style="position:absolute;left:7537;top:6841;width:571;height:346" type="#_x0000_t75" stroked="false">
              <v:imagedata r:id="rId633" o:title=""/>
            </v:shape>
            <v:shape style="position:absolute;left:9798;top:6841;width:778;height:346" type="#_x0000_t75" stroked="false">
              <v:imagedata r:id="rId634" o:title=""/>
            </v:shape>
            <v:shape style="position:absolute;left:9901;top:6841;width:571;height:346" type="#_x0000_t75" stroked="false">
              <v:imagedata r:id="rId635" o:title=""/>
            </v:shape>
            <v:shape style="position:absolute;left:10585;top:6841;width:780;height:346" type="#_x0000_t75" stroked="false">
              <v:imagedata r:id="rId636" o:title=""/>
            </v:shape>
            <v:shape style="position:absolute;left:10689;top:6841;width:574;height:346" type="#_x0000_t75" stroked="false">
              <v:imagedata r:id="rId637" o:title=""/>
            </v:shape>
            <v:shape style="position:absolute;left:11375;top:6841;width:778;height:346" type="#_x0000_t75" stroked="false">
              <v:imagedata r:id="rId638" o:title=""/>
            </v:shape>
            <v:shape style="position:absolute;left:11478;top:6841;width:571;height:346" type="#_x0000_t75" stroked="false">
              <v:imagedata r:id="rId639" o:title=""/>
            </v:shape>
            <v:shape style="position:absolute;left:12162;top:6841;width:778;height:346" type="#_x0000_t75" stroked="false">
              <v:imagedata r:id="rId640" o:title=""/>
            </v:shape>
            <v:shape style="position:absolute;left:12265;top:6841;width:572;height:346" type="#_x0000_t75" stroked="false">
              <v:imagedata r:id="rId641" o:title=""/>
            </v:shape>
            <v:shape style="position:absolute;left:12950;top:6841;width:780;height:346" type="#_x0000_t75" stroked="false">
              <v:imagedata r:id="rId642" o:title=""/>
            </v:shape>
            <v:shape style="position:absolute;left:13053;top:6841;width:574;height:346" type="#_x0000_t75" stroked="false">
              <v:imagedata r:id="rId643" o:title=""/>
            </v:shape>
            <v:shape style="position:absolute;left:13740;top:6841;width:787;height:346" type="#_x0000_t75" stroked="false">
              <v:imagedata r:id="rId644" o:title=""/>
            </v:shape>
            <v:shape style="position:absolute;left:13843;top:6841;width:581;height:346" type="#_x0000_t75" stroked="false">
              <v:imagedata r:id="rId645" o:title=""/>
            </v:shape>
            <w10:wrap type="none"/>
          </v:group>
        </w:pict>
      </w:r>
      <w:r>
        <w:rPr/>
        <w:pict>
          <v:group style="position:absolute;margin-left:411.049988pt;margin-top:377.589996pt;width:315.3pt;height:17.3pt;mso-position-horizontal-relative:page;mso-position-vertical-relative:page;z-index:-3327928" coordorigin="8221,7552" coordsize="6306,346">
            <v:shape style="position:absolute;left:8221;top:7552;width:780;height:346" type="#_x0000_t75" stroked="false">
              <v:imagedata r:id="rId646" o:title=""/>
            </v:shape>
            <v:shape style="position:absolute;left:8324;top:7552;width:574;height:346" type="#_x0000_t75" stroked="false">
              <v:imagedata r:id="rId647" o:title=""/>
            </v:shape>
            <v:shape style="position:absolute;left:9011;top:7552;width:778;height:346" type="#_x0000_t75" stroked="false">
              <v:imagedata r:id="rId648" o:title=""/>
            </v:shape>
            <v:shape style="position:absolute;left:9114;top:7552;width:571;height:346" type="#_x0000_t75" stroked="false">
              <v:imagedata r:id="rId649" o:title=""/>
            </v:shape>
            <v:shape style="position:absolute;left:9798;top:7552;width:778;height:346" type="#_x0000_t75" stroked="false">
              <v:imagedata r:id="rId650" o:title=""/>
            </v:shape>
            <v:shape style="position:absolute;left:9901;top:7552;width:571;height:346" type="#_x0000_t75" stroked="false">
              <v:imagedata r:id="rId651" o:title=""/>
            </v:shape>
            <v:shape style="position:absolute;left:10585;top:7552;width:780;height:346" type="#_x0000_t75" stroked="false">
              <v:imagedata r:id="rId652" o:title=""/>
            </v:shape>
            <v:shape style="position:absolute;left:10689;top:7552;width:574;height:346" type="#_x0000_t75" stroked="false">
              <v:imagedata r:id="rId653" o:title=""/>
            </v:shape>
            <v:shape style="position:absolute;left:11375;top:7552;width:778;height:346" type="#_x0000_t75" stroked="false">
              <v:imagedata r:id="rId654" o:title=""/>
            </v:shape>
            <v:shape style="position:absolute;left:11478;top:7552;width:571;height:346" type="#_x0000_t75" stroked="false">
              <v:imagedata r:id="rId655" o:title=""/>
            </v:shape>
            <v:shape style="position:absolute;left:12162;top:7552;width:778;height:346" type="#_x0000_t75" stroked="false">
              <v:imagedata r:id="rId656" o:title=""/>
            </v:shape>
            <v:shape style="position:absolute;left:12265;top:7552;width:572;height:346" type="#_x0000_t75" stroked="false">
              <v:imagedata r:id="rId657" o:title=""/>
            </v:shape>
            <v:shape style="position:absolute;left:12950;top:7552;width:780;height:346" type="#_x0000_t75" stroked="false">
              <v:imagedata r:id="rId658" o:title=""/>
            </v:shape>
            <v:shape style="position:absolute;left:13053;top:7552;width:574;height:346" type="#_x0000_t75" stroked="false">
              <v:imagedata r:id="rId659" o:title=""/>
            </v:shape>
            <v:shape style="position:absolute;left:13740;top:7552;width:787;height:346" type="#_x0000_t75" stroked="false">
              <v:imagedata r:id="rId660" o:title=""/>
            </v:shape>
            <v:shape style="position:absolute;left:13843;top:7552;width:581;height:346" type="#_x0000_t75" stroked="false">
              <v:imagedata r:id="rId661" o:title=""/>
            </v:shape>
            <w10:wrap type="none"/>
          </v:group>
        </w:pict>
      </w:r>
      <w:r>
        <w:rPr/>
        <w:pict>
          <v:group style="position:absolute;margin-left:371.690002pt;margin-top:431.835999pt;width:354.65pt;height:88.25pt;mso-position-horizontal-relative:page;mso-position-vertical-relative:page;z-index:-3327904" coordorigin="7434,8637" coordsize="7093,1765">
            <v:shape style="position:absolute;left:8221;top:8637;width:780;height:346" type="#_x0000_t75" stroked="false">
              <v:imagedata r:id="rId662" o:title=""/>
            </v:shape>
            <v:shape style="position:absolute;left:8324;top:8637;width:574;height:346" type="#_x0000_t75" stroked="false">
              <v:imagedata r:id="rId663" o:title=""/>
            </v:shape>
            <v:shape style="position:absolute;left:9011;top:8637;width:778;height:346" type="#_x0000_t75" stroked="false">
              <v:imagedata r:id="rId664" o:title=""/>
            </v:shape>
            <v:shape style="position:absolute;left:9114;top:8637;width:571;height:346" type="#_x0000_t75" stroked="false">
              <v:imagedata r:id="rId665" o:title=""/>
            </v:shape>
            <v:shape style="position:absolute;left:9798;top:8637;width:778;height:346" type="#_x0000_t75" stroked="false">
              <v:imagedata r:id="rId666" o:title=""/>
            </v:shape>
            <v:shape style="position:absolute;left:9901;top:8637;width:571;height:346" type="#_x0000_t75" stroked="false">
              <v:imagedata r:id="rId667" o:title=""/>
            </v:shape>
            <v:shape style="position:absolute;left:10585;top:8637;width:780;height:346" type="#_x0000_t75" stroked="false">
              <v:imagedata r:id="rId668" o:title=""/>
            </v:shape>
            <v:shape style="position:absolute;left:10689;top:8637;width:574;height:346" type="#_x0000_t75" stroked="false">
              <v:imagedata r:id="rId669" o:title=""/>
            </v:shape>
            <v:shape style="position:absolute;left:11375;top:8637;width:778;height:346" type="#_x0000_t75" stroked="false">
              <v:imagedata r:id="rId670" o:title=""/>
            </v:shape>
            <v:shape style="position:absolute;left:11478;top:8637;width:571;height:346" type="#_x0000_t75" stroked="false">
              <v:imagedata r:id="rId671" o:title=""/>
            </v:shape>
            <v:shape style="position:absolute;left:12162;top:8637;width:778;height:346" type="#_x0000_t75" stroked="false">
              <v:imagedata r:id="rId672" o:title=""/>
            </v:shape>
            <v:shape style="position:absolute;left:12265;top:8637;width:572;height:346" type="#_x0000_t75" stroked="false">
              <v:imagedata r:id="rId673" o:title=""/>
            </v:shape>
            <v:shape style="position:absolute;left:12950;top:8637;width:780;height:346" type="#_x0000_t75" stroked="false">
              <v:imagedata r:id="rId674" o:title=""/>
            </v:shape>
            <v:shape style="position:absolute;left:13053;top:8637;width:574;height:346" type="#_x0000_t75" stroked="false">
              <v:imagedata r:id="rId675" o:title=""/>
            </v:shape>
            <v:shape style="position:absolute;left:13740;top:8637;width:787;height:346" type="#_x0000_t75" stroked="false">
              <v:imagedata r:id="rId676" o:title=""/>
            </v:shape>
            <v:shape style="position:absolute;left:13843;top:8637;width:581;height:346" type="#_x0000_t75" stroked="false">
              <v:imagedata r:id="rId677" o:title=""/>
            </v:shape>
            <v:shape style="position:absolute;left:7434;top:8992;width:778;height:346" type="#_x0000_t75" stroked="false">
              <v:imagedata r:id="rId678" o:title=""/>
            </v:shape>
            <v:shape style="position:absolute;left:7537;top:8992;width:571;height:346" type="#_x0000_t75" stroked="false">
              <v:imagedata r:id="rId679" o:title=""/>
            </v:shape>
            <v:shape style="position:absolute;left:7434;top:9348;width:778;height:346" type="#_x0000_t75" stroked="false">
              <v:imagedata r:id="rId680" o:title=""/>
            </v:shape>
            <v:shape style="position:absolute;left:7537;top:9348;width:571;height:346" type="#_x0000_t75" stroked="false">
              <v:imagedata r:id="rId681" o:title=""/>
            </v:shape>
            <v:shape style="position:absolute;left:7434;top:9703;width:778;height:346" type="#_x0000_t75" stroked="false">
              <v:imagedata r:id="rId682" o:title=""/>
            </v:shape>
            <v:shape style="position:absolute;left:7537;top:9703;width:571;height:346" type="#_x0000_t75" stroked="false">
              <v:imagedata r:id="rId683" o:title=""/>
            </v:shape>
            <v:shape style="position:absolute;left:7434;top:10058;width:778;height:343" type="#_x0000_t75" stroked="false">
              <v:imagedata r:id="rId684" o:title=""/>
            </v:shape>
            <v:shape style="position:absolute;left:7537;top:10058;width:571;height:343" type="#_x0000_t75" stroked="false">
              <v:imagedata r:id="rId685" o:title=""/>
            </v:shape>
            <w10:wrap type="none"/>
          </v:group>
        </w:pict>
      </w: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14"/>
        <w:gridCol w:w="814"/>
        <w:gridCol w:w="3404"/>
        <w:gridCol w:w="787"/>
        <w:gridCol w:w="790"/>
        <w:gridCol w:w="788"/>
        <w:gridCol w:w="787"/>
        <w:gridCol w:w="790"/>
        <w:gridCol w:w="787"/>
        <w:gridCol w:w="787"/>
        <w:gridCol w:w="790"/>
        <w:gridCol w:w="787"/>
        <w:gridCol w:w="797"/>
      </w:tblGrid>
      <w:tr>
        <w:trPr>
          <w:trHeight w:val="355" w:hRule="exact"/>
        </w:trPr>
        <w:tc>
          <w:tcPr>
            <w:tcW w:w="5331" w:type="dxa"/>
            <w:gridSpan w:val="3"/>
            <w:shd w:val="clear" w:color="auto" w:fill="938953"/>
          </w:tcPr>
          <w:p>
            <w:pPr>
              <w:pStyle w:val="TableParagraph"/>
              <w:spacing w:line="225" w:lineRule="exact"/>
              <w:ind w:left="1293"/>
              <w:rPr>
                <w:b/>
                <w:sz w:val="20"/>
              </w:rPr>
            </w:pPr>
            <w:r>
              <w:rPr>
                <w:b/>
                <w:sz w:val="20"/>
              </w:rPr>
              <w:t>Características del indicador</w:t>
            </w:r>
          </w:p>
        </w:tc>
        <w:tc>
          <w:tcPr>
            <w:tcW w:w="7890" w:type="dxa"/>
            <w:gridSpan w:val="10"/>
            <w:shd w:val="clear" w:color="auto" w:fill="938953"/>
          </w:tcPr>
          <w:p>
            <w:pPr>
              <w:pStyle w:val="TableParagraph"/>
              <w:spacing w:line="225" w:lineRule="exact"/>
              <w:ind w:left="1804"/>
              <w:rPr>
                <w:b/>
                <w:sz w:val="20"/>
              </w:rPr>
            </w:pPr>
            <w:r>
              <w:rPr>
                <w:b/>
                <w:sz w:val="20"/>
              </w:rPr>
              <w:t>Período histórico y evolución de indicadores</w:t>
            </w:r>
          </w:p>
        </w:tc>
      </w:tr>
      <w:tr>
        <w:trPr>
          <w:trHeight w:val="350" w:hRule="exact"/>
        </w:trPr>
        <w:tc>
          <w:tcPr>
            <w:tcW w:w="1114" w:type="dxa"/>
            <w:shd w:val="clear" w:color="auto" w:fill="938953"/>
          </w:tcPr>
          <w:p>
            <w:pPr>
              <w:pStyle w:val="TableParagraph"/>
              <w:spacing w:line="225" w:lineRule="exact"/>
              <w:ind w:left="273"/>
              <w:rPr>
                <w:b/>
                <w:sz w:val="20"/>
              </w:rPr>
            </w:pPr>
            <w:r>
              <w:rPr>
                <w:b/>
                <w:sz w:val="20"/>
              </w:rPr>
              <w:t>AEPA</w:t>
            </w:r>
          </w:p>
        </w:tc>
        <w:tc>
          <w:tcPr>
            <w:tcW w:w="814" w:type="dxa"/>
            <w:shd w:val="clear" w:color="auto" w:fill="938953"/>
          </w:tcPr>
          <w:p>
            <w:pPr>
              <w:pStyle w:val="TableParagraph"/>
              <w:spacing w:line="225" w:lineRule="exact"/>
              <w:ind w:left="148" w:right="148"/>
              <w:jc w:val="center"/>
              <w:rPr>
                <w:b/>
                <w:sz w:val="20"/>
              </w:rPr>
            </w:pPr>
            <w:r>
              <w:rPr>
                <w:b/>
                <w:sz w:val="20"/>
              </w:rPr>
              <w:t>PEIR</w:t>
            </w:r>
          </w:p>
        </w:tc>
        <w:tc>
          <w:tcPr>
            <w:tcW w:w="3404" w:type="dxa"/>
            <w:shd w:val="clear" w:color="auto" w:fill="938953"/>
          </w:tcPr>
          <w:p>
            <w:pPr>
              <w:pStyle w:val="TableParagraph"/>
              <w:spacing w:line="225" w:lineRule="exact"/>
              <w:ind w:left="435" w:right="438"/>
              <w:jc w:val="center"/>
              <w:rPr>
                <w:b/>
                <w:sz w:val="20"/>
              </w:rPr>
            </w:pPr>
            <w:r>
              <w:rPr>
                <w:b/>
                <w:sz w:val="20"/>
              </w:rPr>
              <w:t>Indicador</w:t>
            </w:r>
          </w:p>
        </w:tc>
        <w:tc>
          <w:tcPr>
            <w:tcW w:w="787" w:type="dxa"/>
            <w:shd w:val="clear" w:color="auto" w:fill="938953"/>
          </w:tcPr>
          <w:p>
            <w:pPr>
              <w:pStyle w:val="TableParagraph"/>
              <w:spacing w:line="225" w:lineRule="exact"/>
              <w:ind w:left="142" w:right="144"/>
              <w:jc w:val="center"/>
              <w:rPr>
                <w:b/>
                <w:sz w:val="20"/>
              </w:rPr>
            </w:pPr>
            <w:r>
              <w:rPr>
                <w:b/>
                <w:sz w:val="20"/>
              </w:rPr>
              <w:t>1400</w:t>
            </w:r>
          </w:p>
        </w:tc>
        <w:tc>
          <w:tcPr>
            <w:tcW w:w="790" w:type="dxa"/>
            <w:shd w:val="clear" w:color="auto" w:fill="938953"/>
          </w:tcPr>
          <w:p>
            <w:pPr>
              <w:pStyle w:val="TableParagraph"/>
              <w:spacing w:line="225" w:lineRule="exact"/>
              <w:ind w:left="145" w:right="150"/>
              <w:jc w:val="center"/>
              <w:rPr>
                <w:b/>
                <w:sz w:val="20"/>
              </w:rPr>
            </w:pPr>
            <w:r>
              <w:rPr>
                <w:b/>
                <w:sz w:val="20"/>
              </w:rPr>
              <w:t>1519</w:t>
            </w:r>
          </w:p>
        </w:tc>
        <w:tc>
          <w:tcPr>
            <w:tcW w:w="788" w:type="dxa"/>
            <w:shd w:val="clear" w:color="auto" w:fill="938953"/>
          </w:tcPr>
          <w:p>
            <w:pPr>
              <w:pStyle w:val="TableParagraph"/>
              <w:spacing w:line="225" w:lineRule="exact"/>
              <w:ind w:left="142" w:right="150"/>
              <w:jc w:val="center"/>
              <w:rPr>
                <w:b/>
                <w:sz w:val="20"/>
              </w:rPr>
            </w:pPr>
            <w:r>
              <w:rPr>
                <w:b/>
                <w:sz w:val="20"/>
              </w:rPr>
              <w:t>1580</w:t>
            </w:r>
          </w:p>
        </w:tc>
        <w:tc>
          <w:tcPr>
            <w:tcW w:w="787" w:type="dxa"/>
            <w:shd w:val="clear" w:color="auto" w:fill="938953"/>
          </w:tcPr>
          <w:p>
            <w:pPr>
              <w:pStyle w:val="TableParagraph"/>
              <w:spacing w:line="225" w:lineRule="exact"/>
              <w:ind w:left="142" w:right="144"/>
              <w:jc w:val="center"/>
              <w:rPr>
                <w:b/>
                <w:sz w:val="20"/>
              </w:rPr>
            </w:pPr>
            <w:r>
              <w:rPr>
                <w:b/>
                <w:sz w:val="20"/>
              </w:rPr>
              <w:t>1785</w:t>
            </w:r>
          </w:p>
        </w:tc>
        <w:tc>
          <w:tcPr>
            <w:tcW w:w="790" w:type="dxa"/>
            <w:shd w:val="clear" w:color="auto" w:fill="938953"/>
          </w:tcPr>
          <w:p>
            <w:pPr>
              <w:pStyle w:val="TableParagraph"/>
              <w:spacing w:line="225" w:lineRule="exact"/>
              <w:ind w:left="145" w:right="150"/>
              <w:jc w:val="center"/>
              <w:rPr>
                <w:b/>
                <w:sz w:val="20"/>
              </w:rPr>
            </w:pPr>
            <w:r>
              <w:rPr>
                <w:b/>
                <w:sz w:val="20"/>
              </w:rPr>
              <w:t>1810</w:t>
            </w:r>
          </w:p>
        </w:tc>
        <w:tc>
          <w:tcPr>
            <w:tcW w:w="787" w:type="dxa"/>
            <w:shd w:val="clear" w:color="auto" w:fill="938953"/>
          </w:tcPr>
          <w:p>
            <w:pPr>
              <w:pStyle w:val="TableParagraph"/>
              <w:spacing w:line="225" w:lineRule="exact"/>
              <w:ind w:left="140" w:right="147"/>
              <w:jc w:val="center"/>
              <w:rPr>
                <w:b/>
                <w:sz w:val="20"/>
              </w:rPr>
            </w:pPr>
            <w:r>
              <w:rPr>
                <w:b/>
                <w:sz w:val="20"/>
              </w:rPr>
              <w:t>1861</w:t>
            </w:r>
          </w:p>
        </w:tc>
        <w:tc>
          <w:tcPr>
            <w:tcW w:w="787" w:type="dxa"/>
            <w:shd w:val="clear" w:color="auto" w:fill="938953"/>
          </w:tcPr>
          <w:p>
            <w:pPr>
              <w:pStyle w:val="TableParagraph"/>
              <w:spacing w:line="225" w:lineRule="exact"/>
              <w:ind w:left="142" w:right="144"/>
              <w:jc w:val="center"/>
              <w:rPr>
                <w:b/>
                <w:sz w:val="20"/>
              </w:rPr>
            </w:pPr>
            <w:r>
              <w:rPr>
                <w:b/>
                <w:sz w:val="20"/>
              </w:rPr>
              <w:t>1910</w:t>
            </w:r>
          </w:p>
        </w:tc>
        <w:tc>
          <w:tcPr>
            <w:tcW w:w="790" w:type="dxa"/>
            <w:shd w:val="clear" w:color="auto" w:fill="938953"/>
          </w:tcPr>
          <w:p>
            <w:pPr>
              <w:pStyle w:val="TableParagraph"/>
              <w:spacing w:line="225" w:lineRule="exact"/>
              <w:ind w:left="145" w:right="150"/>
              <w:jc w:val="center"/>
              <w:rPr>
                <w:b/>
                <w:sz w:val="20"/>
              </w:rPr>
            </w:pPr>
            <w:r>
              <w:rPr>
                <w:b/>
                <w:sz w:val="20"/>
              </w:rPr>
              <w:t>1940</w:t>
            </w:r>
          </w:p>
        </w:tc>
        <w:tc>
          <w:tcPr>
            <w:tcW w:w="787" w:type="dxa"/>
            <w:shd w:val="clear" w:color="auto" w:fill="938953"/>
          </w:tcPr>
          <w:p>
            <w:pPr>
              <w:pStyle w:val="TableParagraph"/>
              <w:spacing w:line="225" w:lineRule="exact"/>
              <w:ind w:left="140" w:right="147"/>
              <w:jc w:val="center"/>
              <w:rPr>
                <w:b/>
                <w:sz w:val="20"/>
              </w:rPr>
            </w:pPr>
            <w:r>
              <w:rPr>
                <w:b/>
                <w:sz w:val="20"/>
              </w:rPr>
              <w:t>1982</w:t>
            </w:r>
          </w:p>
        </w:tc>
        <w:tc>
          <w:tcPr>
            <w:tcW w:w="797" w:type="dxa"/>
            <w:shd w:val="clear" w:color="auto" w:fill="938953"/>
          </w:tcPr>
          <w:p>
            <w:pPr>
              <w:pStyle w:val="TableParagraph"/>
              <w:spacing w:line="225" w:lineRule="exact"/>
              <w:ind w:left="151" w:right="151"/>
              <w:jc w:val="center"/>
              <w:rPr>
                <w:b/>
                <w:sz w:val="20"/>
              </w:rPr>
            </w:pPr>
            <w:r>
              <w:rPr>
                <w:b/>
                <w:sz w:val="20"/>
              </w:rPr>
              <w:t>2016</w:t>
            </w:r>
          </w:p>
        </w:tc>
      </w:tr>
      <w:tr>
        <w:trPr>
          <w:trHeight w:val="358" w:hRule="exact"/>
        </w:trPr>
        <w:tc>
          <w:tcPr>
            <w:tcW w:w="1114" w:type="dxa"/>
            <w:vMerge w:val="restart"/>
            <w:shd w:val="clear" w:color="auto" w:fill="76923B"/>
            <w:textDirection w:val="btLr"/>
          </w:tcPr>
          <w:p>
            <w:pPr>
              <w:pStyle w:val="TableParagraph"/>
              <w:ind w:left="0"/>
              <w:rPr>
                <w:rFonts w:ascii="Times New Roman"/>
                <w:sz w:val="20"/>
              </w:rPr>
            </w:pPr>
          </w:p>
          <w:p>
            <w:pPr>
              <w:pStyle w:val="TableParagraph"/>
              <w:spacing w:before="1"/>
              <w:ind w:left="0"/>
              <w:rPr>
                <w:rFonts w:ascii="Times New Roman"/>
                <w:sz w:val="17"/>
              </w:rPr>
            </w:pPr>
          </w:p>
          <w:p>
            <w:pPr>
              <w:pStyle w:val="TableParagraph"/>
              <w:spacing w:before="1"/>
              <w:ind w:left="896"/>
              <w:rPr>
                <w:b/>
                <w:sz w:val="20"/>
              </w:rPr>
            </w:pPr>
            <w:r>
              <w:rPr>
                <w:b/>
                <w:w w:val="99"/>
                <w:sz w:val="20"/>
              </w:rPr>
              <w:t>AMB</w:t>
            </w:r>
            <w:r>
              <w:rPr>
                <w:b/>
                <w:spacing w:val="2"/>
                <w:w w:val="99"/>
                <w:sz w:val="20"/>
              </w:rPr>
              <w:t>I</w:t>
            </w:r>
            <w:r>
              <w:rPr>
                <w:b/>
                <w:spacing w:val="-1"/>
                <w:w w:val="99"/>
                <w:sz w:val="20"/>
              </w:rPr>
              <w:t>E</w:t>
            </w:r>
            <w:r>
              <w:rPr>
                <w:b/>
                <w:w w:val="99"/>
                <w:sz w:val="20"/>
              </w:rPr>
              <w:t>NTAL</w:t>
            </w:r>
          </w:p>
        </w:tc>
        <w:tc>
          <w:tcPr>
            <w:tcW w:w="814" w:type="dxa"/>
            <w:shd w:val="clear" w:color="auto" w:fill="76923B"/>
          </w:tcPr>
          <w:p>
            <w:pPr>
              <w:pStyle w:val="TableParagraph"/>
              <w:spacing w:before="2"/>
              <w:ind w:left="0" w:right="1"/>
              <w:jc w:val="center"/>
              <w:rPr>
                <w:sz w:val="20"/>
              </w:rPr>
            </w:pPr>
            <w:r>
              <w:rPr>
                <w:w w:val="99"/>
                <w:sz w:val="20"/>
              </w:rPr>
              <w:t>P</w:t>
            </w:r>
          </w:p>
        </w:tc>
        <w:tc>
          <w:tcPr>
            <w:tcW w:w="3404" w:type="dxa"/>
          </w:tcPr>
          <w:p>
            <w:pPr>
              <w:pStyle w:val="TableParagraph"/>
              <w:spacing w:before="2"/>
              <w:ind w:left="435" w:right="438"/>
              <w:jc w:val="center"/>
              <w:rPr>
                <w:sz w:val="20"/>
              </w:rPr>
            </w:pPr>
            <w:r>
              <w:rPr>
                <w:sz w:val="20"/>
              </w:rPr>
              <w:t>Historia ambiental</w:t>
            </w:r>
          </w:p>
        </w:tc>
        <w:tc>
          <w:tcPr>
            <w:tcW w:w="787" w:type="dxa"/>
            <w:shd w:val="clear" w:color="auto" w:fill="00FF00"/>
          </w:tcPr>
          <w:p>
            <w:pPr>
              <w:pStyle w:val="TableParagraph"/>
              <w:spacing w:before="2"/>
              <w:ind w:left="0" w:right="1"/>
              <w:jc w:val="center"/>
              <w:rPr>
                <w:sz w:val="20"/>
              </w:rPr>
            </w:pPr>
            <w:r>
              <w:rPr>
                <w:w w:val="99"/>
                <w:sz w:val="20"/>
              </w:rPr>
              <w:t>E</w:t>
            </w:r>
          </w:p>
        </w:tc>
        <w:tc>
          <w:tcPr>
            <w:tcW w:w="790" w:type="dxa"/>
            <w:tcBorders>
              <w:bottom w:val="single" w:sz="12" w:space="0" w:color="000000"/>
            </w:tcBorders>
          </w:tcPr>
          <w:p>
            <w:pPr>
              <w:pStyle w:val="TableParagraph"/>
              <w:spacing w:before="2"/>
              <w:ind w:left="0" w:right="1"/>
              <w:jc w:val="center"/>
              <w:rPr>
                <w:sz w:val="20"/>
              </w:rPr>
            </w:pPr>
            <w:r>
              <w:rPr>
                <w:w w:val="99"/>
                <w:sz w:val="20"/>
              </w:rPr>
              <w:t>B</w:t>
            </w:r>
          </w:p>
        </w:tc>
        <w:tc>
          <w:tcPr>
            <w:tcW w:w="788" w:type="dxa"/>
            <w:tcBorders>
              <w:bottom w:val="single" w:sz="12" w:space="0" w:color="FF0000"/>
              <w:right w:val="single" w:sz="41" w:space="0" w:color="00FF00"/>
            </w:tcBorders>
          </w:tcPr>
          <w:p>
            <w:pPr>
              <w:pStyle w:val="TableParagraph"/>
              <w:spacing w:before="2"/>
              <w:ind w:left="40"/>
              <w:jc w:val="center"/>
              <w:rPr>
                <w:sz w:val="20"/>
              </w:rPr>
            </w:pPr>
            <w:r>
              <w:rPr>
                <w:w w:val="99"/>
                <w:sz w:val="20"/>
              </w:rPr>
              <w:t>B</w:t>
            </w:r>
          </w:p>
        </w:tc>
        <w:tc>
          <w:tcPr>
            <w:tcW w:w="787" w:type="dxa"/>
            <w:tcBorders>
              <w:bottom w:val="single" w:sz="12" w:space="0" w:color="FF0000"/>
            </w:tcBorders>
            <w:shd w:val="clear" w:color="auto" w:fill="00FF00"/>
          </w:tcPr>
          <w:p>
            <w:pPr>
              <w:pStyle w:val="TableParagraph"/>
              <w:spacing w:before="2"/>
              <w:ind w:left="0" w:right="1"/>
              <w:jc w:val="center"/>
              <w:rPr>
                <w:sz w:val="20"/>
              </w:rPr>
            </w:pPr>
            <w:r>
              <w:rPr>
                <w:w w:val="99"/>
                <w:sz w:val="20"/>
              </w:rPr>
              <w:t>E</w:t>
            </w:r>
          </w:p>
        </w:tc>
        <w:tc>
          <w:tcPr>
            <w:tcW w:w="790" w:type="dxa"/>
            <w:tcBorders>
              <w:bottom w:val="single" w:sz="12" w:space="0" w:color="FF0000"/>
            </w:tcBorders>
            <w:shd w:val="clear" w:color="auto" w:fill="00FF00"/>
          </w:tcPr>
          <w:p>
            <w:pPr>
              <w:pStyle w:val="TableParagraph"/>
              <w:spacing w:before="2"/>
              <w:ind w:left="0" w:right="1"/>
              <w:jc w:val="center"/>
              <w:rPr>
                <w:sz w:val="20"/>
              </w:rPr>
            </w:pPr>
            <w:r>
              <w:rPr>
                <w:w w:val="99"/>
                <w:sz w:val="20"/>
              </w:rPr>
              <w:t>E</w:t>
            </w:r>
          </w:p>
        </w:tc>
        <w:tc>
          <w:tcPr>
            <w:tcW w:w="787" w:type="dxa"/>
            <w:tcBorders>
              <w:bottom w:val="single" w:sz="12" w:space="0" w:color="FF0000"/>
            </w:tcBorders>
            <w:shd w:val="clear" w:color="auto" w:fill="00FF00"/>
          </w:tcPr>
          <w:p>
            <w:pPr>
              <w:pStyle w:val="TableParagraph"/>
              <w:spacing w:before="2"/>
              <w:ind w:left="0" w:right="4"/>
              <w:jc w:val="center"/>
              <w:rPr>
                <w:sz w:val="20"/>
              </w:rPr>
            </w:pPr>
            <w:r>
              <w:rPr>
                <w:w w:val="99"/>
                <w:sz w:val="20"/>
              </w:rPr>
              <w:t>E</w:t>
            </w:r>
          </w:p>
        </w:tc>
        <w:tc>
          <w:tcPr>
            <w:tcW w:w="787" w:type="dxa"/>
            <w:tcBorders>
              <w:bottom w:val="single" w:sz="12" w:space="0" w:color="FF0000"/>
            </w:tcBorders>
            <w:shd w:val="clear" w:color="auto" w:fill="00FF00"/>
          </w:tcPr>
          <w:p>
            <w:pPr>
              <w:pStyle w:val="TableParagraph"/>
              <w:spacing w:before="2"/>
              <w:ind w:left="0" w:right="1"/>
              <w:jc w:val="center"/>
              <w:rPr>
                <w:sz w:val="20"/>
              </w:rPr>
            </w:pPr>
            <w:r>
              <w:rPr>
                <w:w w:val="99"/>
                <w:sz w:val="20"/>
              </w:rPr>
              <w:t>E</w:t>
            </w:r>
          </w:p>
        </w:tc>
        <w:tc>
          <w:tcPr>
            <w:tcW w:w="790" w:type="dxa"/>
            <w:tcBorders>
              <w:bottom w:val="single" w:sz="12" w:space="0" w:color="FFFF00"/>
              <w:right w:val="single" w:sz="41" w:space="0" w:color="FF0000"/>
            </w:tcBorders>
            <w:shd w:val="clear" w:color="auto" w:fill="00FF00"/>
          </w:tcPr>
          <w:p>
            <w:pPr>
              <w:pStyle w:val="TableParagraph"/>
              <w:spacing w:before="2"/>
              <w:ind w:left="43"/>
              <w:jc w:val="center"/>
              <w:rPr>
                <w:sz w:val="20"/>
              </w:rPr>
            </w:pPr>
            <w:r>
              <w:rPr>
                <w:w w:val="99"/>
                <w:sz w:val="20"/>
              </w:rPr>
              <w:t>E</w:t>
            </w:r>
          </w:p>
        </w:tc>
        <w:tc>
          <w:tcPr>
            <w:tcW w:w="787" w:type="dxa"/>
            <w:tcBorders>
              <w:left w:val="thickThinMediumGap" w:sz="23" w:space="0" w:color="00FF00"/>
            </w:tcBorders>
            <w:shd w:val="clear" w:color="auto" w:fill="FF0000"/>
          </w:tcPr>
          <w:p>
            <w:pPr>
              <w:pStyle w:val="TableParagraph"/>
              <w:spacing w:before="2"/>
              <w:ind w:left="0" w:right="55"/>
              <w:jc w:val="center"/>
              <w:rPr>
                <w:sz w:val="20"/>
              </w:rPr>
            </w:pPr>
            <w:r>
              <w:rPr>
                <w:w w:val="99"/>
                <w:sz w:val="20"/>
              </w:rPr>
              <w:t>D</w:t>
            </w:r>
          </w:p>
        </w:tc>
        <w:tc>
          <w:tcPr>
            <w:tcW w:w="797" w:type="dxa"/>
            <w:shd w:val="clear" w:color="auto" w:fill="FF0000"/>
          </w:tcPr>
          <w:p>
            <w:pPr>
              <w:pStyle w:val="TableParagraph"/>
              <w:spacing w:before="2"/>
              <w:ind w:left="0"/>
              <w:jc w:val="center"/>
              <w:rPr>
                <w:sz w:val="20"/>
              </w:rPr>
            </w:pPr>
            <w:r>
              <w:rPr>
                <w:w w:val="99"/>
                <w:sz w:val="20"/>
              </w:rPr>
              <w:t>D</w:t>
            </w:r>
          </w:p>
        </w:tc>
      </w:tr>
      <w:tr>
        <w:trPr>
          <w:trHeight w:val="377" w:hRule="exact"/>
        </w:trPr>
        <w:tc>
          <w:tcPr>
            <w:tcW w:w="1114" w:type="dxa"/>
            <w:vMerge/>
            <w:shd w:val="clear" w:color="auto" w:fill="76923B"/>
            <w:textDirection w:val="btLr"/>
          </w:tcPr>
          <w:p>
            <w:pPr/>
          </w:p>
        </w:tc>
        <w:tc>
          <w:tcPr>
            <w:tcW w:w="814" w:type="dxa"/>
            <w:shd w:val="clear" w:color="auto" w:fill="76923B"/>
          </w:tcPr>
          <w:p>
            <w:pPr>
              <w:pStyle w:val="TableParagraph"/>
              <w:spacing w:before="19"/>
              <w:ind w:left="0" w:right="1"/>
              <w:jc w:val="center"/>
              <w:rPr>
                <w:sz w:val="20"/>
              </w:rPr>
            </w:pPr>
            <w:r>
              <w:rPr>
                <w:w w:val="99"/>
                <w:sz w:val="20"/>
              </w:rPr>
              <w:t>P</w:t>
            </w:r>
          </w:p>
        </w:tc>
        <w:tc>
          <w:tcPr>
            <w:tcW w:w="3404" w:type="dxa"/>
          </w:tcPr>
          <w:p>
            <w:pPr>
              <w:pStyle w:val="TableParagraph"/>
              <w:spacing w:before="19"/>
              <w:ind w:left="435" w:right="438"/>
              <w:jc w:val="center"/>
              <w:rPr>
                <w:sz w:val="20"/>
              </w:rPr>
            </w:pPr>
            <w:r>
              <w:rPr>
                <w:sz w:val="20"/>
              </w:rPr>
              <w:t>Poder ambiental</w:t>
            </w:r>
          </w:p>
        </w:tc>
        <w:tc>
          <w:tcPr>
            <w:tcW w:w="787" w:type="dxa"/>
            <w:shd w:val="clear" w:color="auto" w:fill="00FF00"/>
          </w:tcPr>
          <w:p>
            <w:pPr>
              <w:pStyle w:val="TableParagraph"/>
              <w:spacing w:before="19"/>
              <w:ind w:left="0" w:right="1"/>
              <w:jc w:val="center"/>
              <w:rPr>
                <w:sz w:val="20"/>
              </w:rPr>
            </w:pPr>
            <w:r>
              <w:rPr>
                <w:w w:val="99"/>
                <w:sz w:val="20"/>
              </w:rPr>
              <w:t>E</w:t>
            </w:r>
          </w:p>
        </w:tc>
        <w:tc>
          <w:tcPr>
            <w:tcW w:w="790" w:type="dxa"/>
            <w:tcBorders>
              <w:top w:val="single" w:sz="12" w:space="0" w:color="000000"/>
              <w:bottom w:val="single" w:sz="12" w:space="0" w:color="000000"/>
              <w:right w:val="single" w:sz="41" w:space="0" w:color="FF0000"/>
            </w:tcBorders>
          </w:tcPr>
          <w:p>
            <w:pPr>
              <w:pStyle w:val="TableParagraph"/>
              <w:spacing w:before="8"/>
              <w:ind w:left="42"/>
              <w:jc w:val="center"/>
              <w:rPr>
                <w:sz w:val="20"/>
              </w:rPr>
            </w:pPr>
            <w:r>
              <w:rPr>
                <w:w w:val="99"/>
                <w:sz w:val="20"/>
              </w:rPr>
              <w:t>B</w:t>
            </w:r>
          </w:p>
        </w:tc>
        <w:tc>
          <w:tcPr>
            <w:tcW w:w="788" w:type="dxa"/>
            <w:tcBorders>
              <w:bottom w:val="single" w:sz="12" w:space="0" w:color="000000"/>
            </w:tcBorders>
            <w:shd w:val="clear" w:color="auto" w:fill="FF0000"/>
          </w:tcPr>
          <w:p>
            <w:pPr>
              <w:pStyle w:val="TableParagraph"/>
              <w:spacing w:before="19"/>
              <w:ind w:left="0" w:right="3"/>
              <w:jc w:val="center"/>
              <w:rPr>
                <w:sz w:val="20"/>
              </w:rPr>
            </w:pPr>
            <w:r>
              <w:rPr>
                <w:w w:val="99"/>
                <w:sz w:val="20"/>
              </w:rPr>
              <w:t>D</w:t>
            </w:r>
          </w:p>
        </w:tc>
        <w:tc>
          <w:tcPr>
            <w:tcW w:w="787" w:type="dxa"/>
            <w:tcBorders>
              <w:bottom w:val="single" w:sz="12" w:space="0" w:color="000000"/>
            </w:tcBorders>
            <w:shd w:val="clear" w:color="auto" w:fill="FF0000"/>
          </w:tcPr>
          <w:p>
            <w:pPr>
              <w:pStyle w:val="TableParagraph"/>
              <w:spacing w:before="19"/>
              <w:ind w:left="0"/>
              <w:jc w:val="center"/>
              <w:rPr>
                <w:sz w:val="20"/>
              </w:rPr>
            </w:pPr>
            <w:r>
              <w:rPr>
                <w:w w:val="99"/>
                <w:sz w:val="20"/>
              </w:rPr>
              <w:t>D</w:t>
            </w:r>
          </w:p>
        </w:tc>
        <w:tc>
          <w:tcPr>
            <w:tcW w:w="790" w:type="dxa"/>
            <w:tcBorders>
              <w:bottom w:val="single" w:sz="12" w:space="0" w:color="FFFF00"/>
            </w:tcBorders>
            <w:shd w:val="clear" w:color="auto" w:fill="FF0000"/>
          </w:tcPr>
          <w:p>
            <w:pPr>
              <w:pStyle w:val="TableParagraph"/>
              <w:spacing w:before="19"/>
              <w:ind w:left="0"/>
              <w:jc w:val="center"/>
              <w:rPr>
                <w:sz w:val="20"/>
              </w:rPr>
            </w:pPr>
            <w:r>
              <w:rPr>
                <w:w w:val="99"/>
                <w:sz w:val="20"/>
              </w:rPr>
              <w:t>D</w:t>
            </w:r>
          </w:p>
        </w:tc>
        <w:tc>
          <w:tcPr>
            <w:tcW w:w="787" w:type="dxa"/>
            <w:tcBorders>
              <w:bottom w:val="single" w:sz="12" w:space="0" w:color="FFFF00"/>
            </w:tcBorders>
            <w:shd w:val="clear" w:color="auto" w:fill="FF0000"/>
          </w:tcPr>
          <w:p>
            <w:pPr>
              <w:pStyle w:val="TableParagraph"/>
              <w:spacing w:before="19"/>
              <w:ind w:left="0" w:right="2"/>
              <w:jc w:val="center"/>
              <w:rPr>
                <w:sz w:val="20"/>
              </w:rPr>
            </w:pPr>
            <w:r>
              <w:rPr>
                <w:w w:val="99"/>
                <w:sz w:val="20"/>
              </w:rPr>
              <w:t>D</w:t>
            </w:r>
          </w:p>
        </w:tc>
        <w:tc>
          <w:tcPr>
            <w:tcW w:w="787" w:type="dxa"/>
            <w:tcBorders>
              <w:bottom w:val="single" w:sz="12" w:space="0" w:color="FFFF00"/>
              <w:right w:val="single" w:sz="45" w:space="0" w:color="FFFF00"/>
            </w:tcBorders>
            <w:shd w:val="clear" w:color="auto" w:fill="FF0000"/>
          </w:tcPr>
          <w:p>
            <w:pPr>
              <w:pStyle w:val="TableParagraph"/>
              <w:spacing w:before="19"/>
              <w:ind w:left="51"/>
              <w:jc w:val="center"/>
              <w:rPr>
                <w:sz w:val="20"/>
              </w:rPr>
            </w:pPr>
            <w:r>
              <w:rPr>
                <w:w w:val="99"/>
                <w:sz w:val="20"/>
              </w:rPr>
              <w:t>D</w:t>
            </w:r>
          </w:p>
        </w:tc>
        <w:tc>
          <w:tcPr>
            <w:tcW w:w="790" w:type="dxa"/>
            <w:tcBorders>
              <w:left w:val="single" w:sz="41" w:space="0" w:color="FF0000"/>
              <w:right w:val="single" w:sz="41" w:space="0" w:color="FF0000"/>
            </w:tcBorders>
            <w:shd w:val="clear" w:color="auto" w:fill="FFFF00"/>
          </w:tcPr>
          <w:p>
            <w:pPr>
              <w:pStyle w:val="TableParagraph"/>
              <w:spacing w:before="19"/>
              <w:ind w:left="0" w:right="1"/>
              <w:jc w:val="center"/>
              <w:rPr>
                <w:sz w:val="20"/>
              </w:rPr>
            </w:pPr>
            <w:r>
              <w:rPr>
                <w:w w:val="99"/>
                <w:sz w:val="20"/>
              </w:rPr>
              <w:t>R</w:t>
            </w:r>
          </w:p>
        </w:tc>
        <w:tc>
          <w:tcPr>
            <w:tcW w:w="787" w:type="dxa"/>
            <w:tcBorders>
              <w:left w:val="thickThinMediumGap" w:sz="23" w:space="0" w:color="FFFF00"/>
            </w:tcBorders>
            <w:shd w:val="clear" w:color="auto" w:fill="FF0000"/>
          </w:tcPr>
          <w:p>
            <w:pPr>
              <w:pStyle w:val="TableParagraph"/>
              <w:spacing w:before="19"/>
              <w:ind w:left="0" w:right="55"/>
              <w:jc w:val="center"/>
              <w:rPr>
                <w:sz w:val="20"/>
              </w:rPr>
            </w:pPr>
            <w:r>
              <w:rPr>
                <w:w w:val="99"/>
                <w:sz w:val="20"/>
              </w:rPr>
              <w:t>D</w:t>
            </w:r>
          </w:p>
        </w:tc>
        <w:tc>
          <w:tcPr>
            <w:tcW w:w="797" w:type="dxa"/>
            <w:shd w:val="clear" w:color="auto" w:fill="FF0000"/>
          </w:tcPr>
          <w:p>
            <w:pPr>
              <w:pStyle w:val="TableParagraph"/>
              <w:spacing w:before="19"/>
              <w:ind w:left="0"/>
              <w:jc w:val="center"/>
              <w:rPr>
                <w:sz w:val="20"/>
              </w:rPr>
            </w:pPr>
            <w:r>
              <w:rPr>
                <w:w w:val="99"/>
                <w:sz w:val="20"/>
              </w:rPr>
              <w:t>D</w:t>
            </w:r>
          </w:p>
        </w:tc>
      </w:tr>
      <w:tr>
        <w:trPr>
          <w:trHeight w:val="384" w:hRule="exact"/>
        </w:trPr>
        <w:tc>
          <w:tcPr>
            <w:tcW w:w="1114" w:type="dxa"/>
            <w:vMerge/>
            <w:shd w:val="clear" w:color="auto" w:fill="76923B"/>
            <w:textDirection w:val="btLr"/>
          </w:tcPr>
          <w:p>
            <w:pPr/>
          </w:p>
        </w:tc>
        <w:tc>
          <w:tcPr>
            <w:tcW w:w="814" w:type="dxa"/>
            <w:shd w:val="clear" w:color="auto" w:fill="76923B"/>
          </w:tcPr>
          <w:p>
            <w:pPr>
              <w:pStyle w:val="TableParagraph"/>
              <w:spacing w:before="16"/>
              <w:ind w:left="0" w:right="1"/>
              <w:jc w:val="center"/>
              <w:rPr>
                <w:sz w:val="20"/>
              </w:rPr>
            </w:pPr>
            <w:r>
              <w:rPr>
                <w:w w:val="99"/>
                <w:sz w:val="20"/>
              </w:rPr>
              <w:t>P</w:t>
            </w:r>
          </w:p>
        </w:tc>
        <w:tc>
          <w:tcPr>
            <w:tcW w:w="3404" w:type="dxa"/>
          </w:tcPr>
          <w:p>
            <w:pPr>
              <w:pStyle w:val="TableParagraph"/>
              <w:spacing w:before="16"/>
              <w:ind w:left="436" w:right="438"/>
              <w:jc w:val="center"/>
              <w:rPr>
                <w:sz w:val="20"/>
              </w:rPr>
            </w:pPr>
            <w:r>
              <w:rPr>
                <w:sz w:val="20"/>
              </w:rPr>
              <w:t>Cultura ambiental</w:t>
            </w:r>
          </w:p>
        </w:tc>
        <w:tc>
          <w:tcPr>
            <w:tcW w:w="787" w:type="dxa"/>
            <w:shd w:val="clear" w:color="auto" w:fill="00FF00"/>
          </w:tcPr>
          <w:p>
            <w:pPr>
              <w:pStyle w:val="TableParagraph"/>
              <w:spacing w:before="16"/>
              <w:ind w:left="0" w:right="1"/>
              <w:jc w:val="center"/>
              <w:rPr>
                <w:sz w:val="20"/>
              </w:rPr>
            </w:pPr>
            <w:r>
              <w:rPr>
                <w:w w:val="99"/>
                <w:sz w:val="20"/>
              </w:rPr>
              <w:t>E</w:t>
            </w:r>
          </w:p>
        </w:tc>
        <w:tc>
          <w:tcPr>
            <w:tcW w:w="790" w:type="dxa"/>
            <w:tcBorders>
              <w:top w:val="single" w:sz="12" w:space="0" w:color="000000"/>
              <w:bottom w:val="single" w:sz="12" w:space="0" w:color="000000"/>
            </w:tcBorders>
          </w:tcPr>
          <w:p>
            <w:pPr>
              <w:pStyle w:val="TableParagraph"/>
              <w:spacing w:before="5"/>
              <w:ind w:left="0" w:right="1"/>
              <w:jc w:val="center"/>
              <w:rPr>
                <w:sz w:val="20"/>
              </w:rPr>
            </w:pPr>
            <w:r>
              <w:rPr>
                <w:w w:val="99"/>
                <w:sz w:val="20"/>
              </w:rPr>
              <w:t>B</w:t>
            </w:r>
          </w:p>
        </w:tc>
        <w:tc>
          <w:tcPr>
            <w:tcW w:w="788" w:type="dxa"/>
            <w:tcBorders>
              <w:top w:val="single" w:sz="12" w:space="0" w:color="000000"/>
              <w:bottom w:val="single" w:sz="12" w:space="0" w:color="FF0000"/>
            </w:tcBorders>
          </w:tcPr>
          <w:p>
            <w:pPr>
              <w:pStyle w:val="TableParagraph"/>
              <w:spacing w:before="5"/>
              <w:ind w:left="0" w:right="4"/>
              <w:jc w:val="center"/>
              <w:rPr>
                <w:sz w:val="20"/>
              </w:rPr>
            </w:pPr>
            <w:r>
              <w:rPr>
                <w:w w:val="99"/>
                <w:sz w:val="20"/>
              </w:rPr>
              <w:t>B</w:t>
            </w:r>
          </w:p>
        </w:tc>
        <w:tc>
          <w:tcPr>
            <w:tcW w:w="787" w:type="dxa"/>
            <w:tcBorders>
              <w:top w:val="single" w:sz="12" w:space="0" w:color="000000"/>
              <w:bottom w:val="single" w:sz="12" w:space="0" w:color="FF0000"/>
              <w:right w:val="single" w:sz="41" w:space="0" w:color="FFFF00"/>
            </w:tcBorders>
          </w:tcPr>
          <w:p>
            <w:pPr>
              <w:pStyle w:val="TableParagraph"/>
              <w:spacing w:before="5"/>
              <w:ind w:left="45"/>
              <w:jc w:val="center"/>
              <w:rPr>
                <w:sz w:val="20"/>
              </w:rPr>
            </w:pPr>
            <w:r>
              <w:rPr>
                <w:w w:val="99"/>
                <w:sz w:val="20"/>
              </w:rPr>
              <w:t>B</w:t>
            </w:r>
          </w:p>
        </w:tc>
        <w:tc>
          <w:tcPr>
            <w:tcW w:w="790" w:type="dxa"/>
            <w:tcBorders>
              <w:bottom w:val="single" w:sz="12" w:space="0" w:color="FF0000"/>
            </w:tcBorders>
            <w:shd w:val="clear" w:color="auto" w:fill="FFFF00"/>
          </w:tcPr>
          <w:p>
            <w:pPr>
              <w:pStyle w:val="TableParagraph"/>
              <w:spacing w:before="16"/>
              <w:ind w:left="0"/>
              <w:jc w:val="center"/>
              <w:rPr>
                <w:sz w:val="20"/>
              </w:rPr>
            </w:pPr>
            <w:r>
              <w:rPr>
                <w:w w:val="99"/>
                <w:sz w:val="20"/>
              </w:rPr>
              <w:t>R</w:t>
            </w:r>
          </w:p>
        </w:tc>
        <w:tc>
          <w:tcPr>
            <w:tcW w:w="787" w:type="dxa"/>
            <w:tcBorders>
              <w:bottom w:val="single" w:sz="12" w:space="0" w:color="FF0000"/>
            </w:tcBorders>
            <w:shd w:val="clear" w:color="auto" w:fill="FFFF00"/>
          </w:tcPr>
          <w:p>
            <w:pPr>
              <w:pStyle w:val="TableParagraph"/>
              <w:spacing w:before="16"/>
              <w:ind w:left="0" w:right="2"/>
              <w:jc w:val="center"/>
              <w:rPr>
                <w:sz w:val="20"/>
              </w:rPr>
            </w:pPr>
            <w:r>
              <w:rPr>
                <w:w w:val="99"/>
                <w:sz w:val="20"/>
              </w:rPr>
              <w:t>R</w:t>
            </w:r>
          </w:p>
        </w:tc>
        <w:tc>
          <w:tcPr>
            <w:tcW w:w="787" w:type="dxa"/>
            <w:tcBorders>
              <w:bottom w:val="single" w:sz="12" w:space="0" w:color="FF0000"/>
            </w:tcBorders>
            <w:shd w:val="clear" w:color="auto" w:fill="FFFF00"/>
          </w:tcPr>
          <w:p>
            <w:pPr>
              <w:pStyle w:val="TableParagraph"/>
              <w:spacing w:before="16"/>
              <w:ind w:left="0"/>
              <w:jc w:val="center"/>
              <w:rPr>
                <w:sz w:val="20"/>
              </w:rPr>
            </w:pPr>
            <w:r>
              <w:rPr>
                <w:w w:val="99"/>
                <w:sz w:val="20"/>
              </w:rPr>
              <w:t>R</w:t>
            </w:r>
          </w:p>
        </w:tc>
        <w:tc>
          <w:tcPr>
            <w:tcW w:w="790" w:type="dxa"/>
            <w:tcBorders>
              <w:bottom w:val="single" w:sz="12" w:space="0" w:color="FF0000"/>
              <w:right w:val="single" w:sz="41" w:space="0" w:color="FF0000"/>
            </w:tcBorders>
            <w:shd w:val="clear" w:color="auto" w:fill="FFFF00"/>
          </w:tcPr>
          <w:p>
            <w:pPr>
              <w:pStyle w:val="TableParagraph"/>
              <w:spacing w:before="16"/>
              <w:ind w:left="43"/>
              <w:jc w:val="center"/>
              <w:rPr>
                <w:sz w:val="20"/>
              </w:rPr>
            </w:pPr>
            <w:r>
              <w:rPr>
                <w:w w:val="99"/>
                <w:sz w:val="20"/>
              </w:rPr>
              <w:t>R</w:t>
            </w:r>
          </w:p>
        </w:tc>
        <w:tc>
          <w:tcPr>
            <w:tcW w:w="787" w:type="dxa"/>
            <w:tcBorders>
              <w:left w:val="thickThinMediumGap" w:sz="23" w:space="0" w:color="FFFF00"/>
            </w:tcBorders>
            <w:shd w:val="clear" w:color="auto" w:fill="FF0000"/>
          </w:tcPr>
          <w:p>
            <w:pPr>
              <w:pStyle w:val="TableParagraph"/>
              <w:spacing w:before="16"/>
              <w:ind w:left="0" w:right="55"/>
              <w:jc w:val="center"/>
              <w:rPr>
                <w:sz w:val="20"/>
              </w:rPr>
            </w:pPr>
            <w:r>
              <w:rPr>
                <w:w w:val="99"/>
                <w:sz w:val="20"/>
              </w:rPr>
              <w:t>D</w:t>
            </w:r>
          </w:p>
        </w:tc>
        <w:tc>
          <w:tcPr>
            <w:tcW w:w="797" w:type="dxa"/>
            <w:shd w:val="clear" w:color="auto" w:fill="FF0000"/>
          </w:tcPr>
          <w:p>
            <w:pPr>
              <w:pStyle w:val="TableParagraph"/>
              <w:spacing w:before="16"/>
              <w:ind w:left="0"/>
              <w:jc w:val="center"/>
              <w:rPr>
                <w:sz w:val="20"/>
              </w:rPr>
            </w:pPr>
            <w:r>
              <w:rPr>
                <w:w w:val="99"/>
                <w:sz w:val="20"/>
              </w:rPr>
              <w:t>D</w:t>
            </w:r>
          </w:p>
        </w:tc>
      </w:tr>
      <w:tr>
        <w:trPr>
          <w:trHeight w:val="365" w:hRule="exact"/>
        </w:trPr>
        <w:tc>
          <w:tcPr>
            <w:tcW w:w="1114" w:type="dxa"/>
            <w:vMerge/>
            <w:shd w:val="clear" w:color="auto" w:fill="76923B"/>
            <w:textDirection w:val="btLr"/>
          </w:tcPr>
          <w:p>
            <w:pPr/>
          </w:p>
        </w:tc>
        <w:tc>
          <w:tcPr>
            <w:tcW w:w="814" w:type="dxa"/>
            <w:shd w:val="clear" w:color="auto" w:fill="76923B"/>
          </w:tcPr>
          <w:p>
            <w:pPr>
              <w:pStyle w:val="TableParagraph"/>
              <w:spacing w:before="6"/>
              <w:ind w:left="0" w:right="1"/>
              <w:jc w:val="center"/>
              <w:rPr>
                <w:sz w:val="20"/>
              </w:rPr>
            </w:pPr>
            <w:r>
              <w:rPr>
                <w:w w:val="99"/>
                <w:sz w:val="20"/>
              </w:rPr>
              <w:t>P</w:t>
            </w:r>
          </w:p>
        </w:tc>
        <w:tc>
          <w:tcPr>
            <w:tcW w:w="3404" w:type="dxa"/>
          </w:tcPr>
          <w:p>
            <w:pPr>
              <w:pStyle w:val="TableParagraph"/>
              <w:spacing w:before="6"/>
              <w:ind w:left="436" w:right="438"/>
              <w:jc w:val="center"/>
              <w:rPr>
                <w:sz w:val="20"/>
              </w:rPr>
            </w:pPr>
            <w:r>
              <w:rPr>
                <w:sz w:val="20"/>
              </w:rPr>
              <w:t>Democracia y voluntariedad</w:t>
            </w:r>
          </w:p>
        </w:tc>
        <w:tc>
          <w:tcPr>
            <w:tcW w:w="787" w:type="dxa"/>
            <w:shd w:val="clear" w:color="auto" w:fill="00FF00"/>
          </w:tcPr>
          <w:p>
            <w:pPr>
              <w:pStyle w:val="TableParagraph"/>
              <w:spacing w:before="6"/>
              <w:ind w:left="0" w:right="1"/>
              <w:jc w:val="center"/>
              <w:rPr>
                <w:sz w:val="20"/>
              </w:rPr>
            </w:pPr>
            <w:r>
              <w:rPr>
                <w:w w:val="99"/>
                <w:sz w:val="20"/>
              </w:rPr>
              <w:t>E</w:t>
            </w:r>
          </w:p>
        </w:tc>
        <w:tc>
          <w:tcPr>
            <w:tcW w:w="790" w:type="dxa"/>
            <w:tcBorders>
              <w:top w:val="single" w:sz="12" w:space="0" w:color="000000"/>
              <w:bottom w:val="single" w:sz="12" w:space="0" w:color="000000"/>
              <w:right w:val="single" w:sz="41" w:space="0" w:color="FF0000"/>
            </w:tcBorders>
          </w:tcPr>
          <w:p>
            <w:pPr>
              <w:pStyle w:val="TableParagraph"/>
              <w:spacing w:line="226" w:lineRule="exact"/>
              <w:ind w:left="42"/>
              <w:jc w:val="center"/>
              <w:rPr>
                <w:sz w:val="20"/>
              </w:rPr>
            </w:pPr>
            <w:r>
              <w:rPr>
                <w:w w:val="99"/>
                <w:sz w:val="20"/>
              </w:rPr>
              <w:t>B</w:t>
            </w:r>
          </w:p>
        </w:tc>
        <w:tc>
          <w:tcPr>
            <w:tcW w:w="788" w:type="dxa"/>
            <w:shd w:val="clear" w:color="auto" w:fill="FF0000"/>
          </w:tcPr>
          <w:p>
            <w:pPr>
              <w:pStyle w:val="TableParagraph"/>
              <w:spacing w:before="6"/>
              <w:ind w:left="0" w:right="3"/>
              <w:jc w:val="center"/>
              <w:rPr>
                <w:sz w:val="20"/>
              </w:rPr>
            </w:pPr>
            <w:r>
              <w:rPr>
                <w:w w:val="99"/>
                <w:sz w:val="20"/>
              </w:rPr>
              <w:t>D</w:t>
            </w:r>
          </w:p>
        </w:tc>
        <w:tc>
          <w:tcPr>
            <w:tcW w:w="787" w:type="dxa"/>
            <w:shd w:val="clear" w:color="auto" w:fill="FF0000"/>
          </w:tcPr>
          <w:p>
            <w:pPr>
              <w:pStyle w:val="TableParagraph"/>
              <w:spacing w:before="6"/>
              <w:ind w:left="0"/>
              <w:jc w:val="center"/>
              <w:rPr>
                <w:sz w:val="20"/>
              </w:rPr>
            </w:pPr>
            <w:r>
              <w:rPr>
                <w:w w:val="99"/>
                <w:sz w:val="20"/>
              </w:rPr>
              <w:t>D</w:t>
            </w:r>
          </w:p>
        </w:tc>
        <w:tc>
          <w:tcPr>
            <w:tcW w:w="790" w:type="dxa"/>
            <w:shd w:val="clear" w:color="auto" w:fill="FF0000"/>
          </w:tcPr>
          <w:p>
            <w:pPr>
              <w:pStyle w:val="TableParagraph"/>
              <w:spacing w:before="6"/>
              <w:ind w:left="0"/>
              <w:jc w:val="center"/>
              <w:rPr>
                <w:sz w:val="20"/>
              </w:rPr>
            </w:pPr>
            <w:r>
              <w:rPr>
                <w:w w:val="99"/>
                <w:sz w:val="20"/>
              </w:rPr>
              <w:t>D</w:t>
            </w:r>
          </w:p>
        </w:tc>
        <w:tc>
          <w:tcPr>
            <w:tcW w:w="787" w:type="dxa"/>
            <w:shd w:val="clear" w:color="auto" w:fill="FF0000"/>
          </w:tcPr>
          <w:p>
            <w:pPr>
              <w:pStyle w:val="TableParagraph"/>
              <w:spacing w:before="6"/>
              <w:ind w:left="0" w:right="2"/>
              <w:jc w:val="center"/>
              <w:rPr>
                <w:sz w:val="20"/>
              </w:rPr>
            </w:pPr>
            <w:r>
              <w:rPr>
                <w:w w:val="99"/>
                <w:sz w:val="20"/>
              </w:rPr>
              <w:t>D</w:t>
            </w:r>
          </w:p>
        </w:tc>
        <w:tc>
          <w:tcPr>
            <w:tcW w:w="787" w:type="dxa"/>
            <w:shd w:val="clear" w:color="auto" w:fill="FF0000"/>
          </w:tcPr>
          <w:p>
            <w:pPr>
              <w:pStyle w:val="TableParagraph"/>
              <w:spacing w:before="6"/>
              <w:ind w:left="0"/>
              <w:jc w:val="center"/>
              <w:rPr>
                <w:sz w:val="20"/>
              </w:rPr>
            </w:pPr>
            <w:r>
              <w:rPr>
                <w:w w:val="99"/>
                <w:sz w:val="20"/>
              </w:rPr>
              <w:t>D</w:t>
            </w:r>
          </w:p>
        </w:tc>
        <w:tc>
          <w:tcPr>
            <w:tcW w:w="790" w:type="dxa"/>
            <w:shd w:val="clear" w:color="auto" w:fill="FF0000"/>
          </w:tcPr>
          <w:p>
            <w:pPr>
              <w:pStyle w:val="TableParagraph"/>
              <w:spacing w:before="6"/>
              <w:ind w:left="0" w:right="1"/>
              <w:jc w:val="center"/>
              <w:rPr>
                <w:sz w:val="20"/>
              </w:rPr>
            </w:pPr>
            <w:r>
              <w:rPr>
                <w:w w:val="99"/>
                <w:sz w:val="20"/>
              </w:rPr>
              <w:t>D</w:t>
            </w:r>
          </w:p>
        </w:tc>
        <w:tc>
          <w:tcPr>
            <w:tcW w:w="787" w:type="dxa"/>
            <w:shd w:val="clear" w:color="auto" w:fill="FF0000"/>
          </w:tcPr>
          <w:p>
            <w:pPr>
              <w:pStyle w:val="TableParagraph"/>
              <w:spacing w:before="6"/>
              <w:ind w:left="0" w:right="2"/>
              <w:jc w:val="center"/>
              <w:rPr>
                <w:sz w:val="20"/>
              </w:rPr>
            </w:pPr>
            <w:r>
              <w:rPr>
                <w:w w:val="99"/>
                <w:sz w:val="20"/>
              </w:rPr>
              <w:t>D</w:t>
            </w:r>
          </w:p>
        </w:tc>
        <w:tc>
          <w:tcPr>
            <w:tcW w:w="797" w:type="dxa"/>
            <w:tcBorders>
              <w:left w:val="single" w:sz="45" w:space="0" w:color="FF0000"/>
            </w:tcBorders>
            <w:shd w:val="clear" w:color="auto" w:fill="FFFF00"/>
          </w:tcPr>
          <w:p>
            <w:pPr>
              <w:pStyle w:val="TableParagraph"/>
              <w:spacing w:before="6"/>
              <w:ind w:left="0" w:right="49"/>
              <w:jc w:val="center"/>
              <w:rPr>
                <w:sz w:val="20"/>
              </w:rPr>
            </w:pPr>
            <w:r>
              <w:rPr>
                <w:w w:val="99"/>
                <w:sz w:val="20"/>
              </w:rPr>
              <w:t>R</w:t>
            </w:r>
          </w:p>
        </w:tc>
      </w:tr>
      <w:tr>
        <w:trPr>
          <w:trHeight w:val="385" w:hRule="exact"/>
        </w:trPr>
        <w:tc>
          <w:tcPr>
            <w:tcW w:w="1114" w:type="dxa"/>
            <w:vMerge/>
            <w:shd w:val="clear" w:color="auto" w:fill="76923B"/>
            <w:textDirection w:val="btLr"/>
          </w:tcPr>
          <w:p>
            <w:pPr/>
          </w:p>
        </w:tc>
        <w:tc>
          <w:tcPr>
            <w:tcW w:w="814" w:type="dxa"/>
            <w:shd w:val="clear" w:color="auto" w:fill="76923B"/>
          </w:tcPr>
          <w:p>
            <w:pPr>
              <w:pStyle w:val="TableParagraph"/>
              <w:spacing w:before="19"/>
              <w:ind w:left="0" w:right="1"/>
              <w:jc w:val="center"/>
              <w:rPr>
                <w:sz w:val="20"/>
              </w:rPr>
            </w:pPr>
            <w:r>
              <w:rPr>
                <w:w w:val="99"/>
                <w:sz w:val="20"/>
              </w:rPr>
              <w:t>P</w:t>
            </w:r>
          </w:p>
        </w:tc>
        <w:tc>
          <w:tcPr>
            <w:tcW w:w="3404" w:type="dxa"/>
          </w:tcPr>
          <w:p>
            <w:pPr>
              <w:pStyle w:val="TableParagraph"/>
              <w:spacing w:before="19"/>
              <w:ind w:left="435" w:right="438"/>
              <w:jc w:val="center"/>
              <w:rPr>
                <w:sz w:val="20"/>
              </w:rPr>
            </w:pPr>
            <w:r>
              <w:rPr>
                <w:sz w:val="20"/>
              </w:rPr>
              <w:t>Participación social</w:t>
            </w:r>
          </w:p>
        </w:tc>
        <w:tc>
          <w:tcPr>
            <w:tcW w:w="787" w:type="dxa"/>
            <w:tcBorders>
              <w:bottom w:val="single" w:sz="12" w:space="0" w:color="FF0000"/>
            </w:tcBorders>
            <w:shd w:val="clear" w:color="auto" w:fill="00FF00"/>
          </w:tcPr>
          <w:p>
            <w:pPr>
              <w:pStyle w:val="TableParagraph"/>
              <w:spacing w:before="19"/>
              <w:ind w:left="0" w:right="1"/>
              <w:jc w:val="center"/>
              <w:rPr>
                <w:sz w:val="20"/>
              </w:rPr>
            </w:pPr>
            <w:r>
              <w:rPr>
                <w:w w:val="99"/>
                <w:sz w:val="20"/>
              </w:rPr>
              <w:t>E</w:t>
            </w:r>
          </w:p>
        </w:tc>
        <w:tc>
          <w:tcPr>
            <w:tcW w:w="790" w:type="dxa"/>
            <w:tcBorders>
              <w:top w:val="single" w:sz="12" w:space="0" w:color="000000"/>
              <w:bottom w:val="single" w:sz="12" w:space="0" w:color="FF0000"/>
            </w:tcBorders>
          </w:tcPr>
          <w:p>
            <w:pPr>
              <w:pStyle w:val="TableParagraph"/>
              <w:spacing w:before="8"/>
              <w:ind w:left="0" w:right="1"/>
              <w:jc w:val="center"/>
              <w:rPr>
                <w:sz w:val="20"/>
              </w:rPr>
            </w:pPr>
            <w:r>
              <w:rPr>
                <w:w w:val="99"/>
                <w:sz w:val="20"/>
              </w:rPr>
              <w:t>B</w:t>
            </w:r>
          </w:p>
        </w:tc>
        <w:tc>
          <w:tcPr>
            <w:tcW w:w="788" w:type="dxa"/>
            <w:tcBorders>
              <w:bottom w:val="single" w:sz="12" w:space="0" w:color="FF0000"/>
            </w:tcBorders>
            <w:shd w:val="clear" w:color="auto" w:fill="FFFF00"/>
          </w:tcPr>
          <w:p>
            <w:pPr>
              <w:pStyle w:val="TableParagraph"/>
              <w:spacing w:before="19"/>
              <w:ind w:left="0" w:right="3"/>
              <w:jc w:val="center"/>
              <w:rPr>
                <w:sz w:val="20"/>
              </w:rPr>
            </w:pPr>
            <w:r>
              <w:rPr>
                <w:w w:val="99"/>
                <w:sz w:val="20"/>
              </w:rPr>
              <w:t>R</w:t>
            </w:r>
          </w:p>
        </w:tc>
        <w:tc>
          <w:tcPr>
            <w:tcW w:w="787" w:type="dxa"/>
            <w:tcBorders>
              <w:bottom w:val="single" w:sz="12" w:space="0" w:color="FF0000"/>
            </w:tcBorders>
            <w:shd w:val="clear" w:color="auto" w:fill="FFFF00"/>
          </w:tcPr>
          <w:p>
            <w:pPr>
              <w:pStyle w:val="TableParagraph"/>
              <w:spacing w:before="19"/>
              <w:ind w:left="0"/>
              <w:jc w:val="center"/>
              <w:rPr>
                <w:sz w:val="20"/>
              </w:rPr>
            </w:pPr>
            <w:r>
              <w:rPr>
                <w:w w:val="99"/>
                <w:sz w:val="20"/>
              </w:rPr>
              <w:t>R</w:t>
            </w:r>
          </w:p>
        </w:tc>
        <w:tc>
          <w:tcPr>
            <w:tcW w:w="790" w:type="dxa"/>
            <w:tcBorders>
              <w:bottom w:val="single" w:sz="12" w:space="0" w:color="FF0000"/>
            </w:tcBorders>
            <w:shd w:val="clear" w:color="auto" w:fill="FFFF00"/>
          </w:tcPr>
          <w:p>
            <w:pPr>
              <w:pStyle w:val="TableParagraph"/>
              <w:spacing w:before="19"/>
              <w:ind w:left="0"/>
              <w:jc w:val="center"/>
              <w:rPr>
                <w:sz w:val="20"/>
              </w:rPr>
            </w:pPr>
            <w:r>
              <w:rPr>
                <w:w w:val="99"/>
                <w:sz w:val="20"/>
              </w:rPr>
              <w:t>R</w:t>
            </w:r>
          </w:p>
        </w:tc>
        <w:tc>
          <w:tcPr>
            <w:tcW w:w="787" w:type="dxa"/>
            <w:tcBorders>
              <w:bottom w:val="single" w:sz="12" w:space="0" w:color="FF0000"/>
            </w:tcBorders>
            <w:shd w:val="clear" w:color="auto" w:fill="FFFF00"/>
          </w:tcPr>
          <w:p>
            <w:pPr>
              <w:pStyle w:val="TableParagraph"/>
              <w:spacing w:before="19"/>
              <w:ind w:left="0" w:right="2"/>
              <w:jc w:val="center"/>
              <w:rPr>
                <w:sz w:val="20"/>
              </w:rPr>
            </w:pPr>
            <w:r>
              <w:rPr>
                <w:w w:val="99"/>
                <w:sz w:val="20"/>
              </w:rPr>
              <w:t>R</w:t>
            </w:r>
          </w:p>
        </w:tc>
        <w:tc>
          <w:tcPr>
            <w:tcW w:w="787" w:type="dxa"/>
            <w:tcBorders>
              <w:bottom w:val="single" w:sz="12" w:space="0" w:color="FF0000"/>
            </w:tcBorders>
            <w:shd w:val="clear" w:color="auto" w:fill="FFFF00"/>
          </w:tcPr>
          <w:p>
            <w:pPr>
              <w:pStyle w:val="TableParagraph"/>
              <w:spacing w:before="19"/>
              <w:ind w:left="0"/>
              <w:jc w:val="center"/>
              <w:rPr>
                <w:sz w:val="20"/>
              </w:rPr>
            </w:pPr>
            <w:r>
              <w:rPr>
                <w:w w:val="99"/>
                <w:sz w:val="20"/>
              </w:rPr>
              <w:t>R</w:t>
            </w:r>
          </w:p>
        </w:tc>
        <w:tc>
          <w:tcPr>
            <w:tcW w:w="790" w:type="dxa"/>
            <w:tcBorders>
              <w:bottom w:val="single" w:sz="12" w:space="0" w:color="FF0000"/>
              <w:right w:val="single" w:sz="41" w:space="0" w:color="FF0000"/>
            </w:tcBorders>
            <w:shd w:val="clear" w:color="auto" w:fill="FFFF00"/>
          </w:tcPr>
          <w:p>
            <w:pPr>
              <w:pStyle w:val="TableParagraph"/>
              <w:spacing w:before="19"/>
              <w:ind w:left="43"/>
              <w:jc w:val="center"/>
              <w:rPr>
                <w:sz w:val="20"/>
              </w:rPr>
            </w:pPr>
            <w:r>
              <w:rPr>
                <w:w w:val="99"/>
                <w:sz w:val="20"/>
              </w:rPr>
              <w:t>R</w:t>
            </w:r>
          </w:p>
        </w:tc>
        <w:tc>
          <w:tcPr>
            <w:tcW w:w="787" w:type="dxa"/>
            <w:shd w:val="clear" w:color="auto" w:fill="FF0000"/>
          </w:tcPr>
          <w:p>
            <w:pPr>
              <w:pStyle w:val="TableParagraph"/>
              <w:spacing w:before="19"/>
              <w:ind w:left="0" w:right="2"/>
              <w:jc w:val="center"/>
              <w:rPr>
                <w:sz w:val="20"/>
              </w:rPr>
            </w:pPr>
            <w:r>
              <w:rPr>
                <w:w w:val="99"/>
                <w:sz w:val="20"/>
              </w:rPr>
              <w:t>D</w:t>
            </w:r>
          </w:p>
        </w:tc>
        <w:tc>
          <w:tcPr>
            <w:tcW w:w="797" w:type="dxa"/>
            <w:tcBorders>
              <w:left w:val="single" w:sz="45" w:space="0" w:color="FF0000"/>
              <w:bottom w:val="single" w:sz="12" w:space="0" w:color="FF0000"/>
            </w:tcBorders>
            <w:shd w:val="clear" w:color="auto" w:fill="FFFF00"/>
          </w:tcPr>
          <w:p>
            <w:pPr>
              <w:pStyle w:val="TableParagraph"/>
              <w:spacing w:before="19"/>
              <w:ind w:left="0" w:right="49"/>
              <w:jc w:val="center"/>
              <w:rPr>
                <w:sz w:val="20"/>
              </w:rPr>
            </w:pPr>
            <w:r>
              <w:rPr>
                <w:w w:val="99"/>
                <w:sz w:val="20"/>
              </w:rPr>
              <w:t>R</w:t>
            </w:r>
          </w:p>
        </w:tc>
      </w:tr>
      <w:tr>
        <w:trPr>
          <w:trHeight w:val="366" w:hRule="exact"/>
        </w:trPr>
        <w:tc>
          <w:tcPr>
            <w:tcW w:w="1114" w:type="dxa"/>
            <w:vMerge/>
            <w:shd w:val="clear" w:color="auto" w:fill="76923B"/>
            <w:textDirection w:val="btLr"/>
          </w:tcPr>
          <w:p>
            <w:pPr/>
          </w:p>
        </w:tc>
        <w:tc>
          <w:tcPr>
            <w:tcW w:w="814" w:type="dxa"/>
            <w:shd w:val="clear" w:color="auto" w:fill="76923B"/>
          </w:tcPr>
          <w:p>
            <w:pPr>
              <w:pStyle w:val="TableParagraph"/>
              <w:spacing w:before="8"/>
              <w:ind w:left="0" w:right="1"/>
              <w:jc w:val="center"/>
              <w:rPr>
                <w:sz w:val="20"/>
              </w:rPr>
            </w:pPr>
            <w:r>
              <w:rPr>
                <w:w w:val="99"/>
                <w:sz w:val="20"/>
              </w:rPr>
              <w:t>P</w:t>
            </w:r>
          </w:p>
        </w:tc>
        <w:tc>
          <w:tcPr>
            <w:tcW w:w="3404" w:type="dxa"/>
            <w:tcBorders>
              <w:right w:val="single" w:sz="41" w:space="0" w:color="FF0000"/>
            </w:tcBorders>
          </w:tcPr>
          <w:p>
            <w:pPr>
              <w:pStyle w:val="TableParagraph"/>
              <w:spacing w:before="8"/>
              <w:ind w:left="357" w:right="314"/>
              <w:jc w:val="center"/>
              <w:rPr>
                <w:sz w:val="20"/>
              </w:rPr>
            </w:pPr>
            <w:r>
              <w:rPr>
                <w:sz w:val="20"/>
              </w:rPr>
              <w:t>Relaciones intermunicipales</w:t>
            </w:r>
          </w:p>
        </w:tc>
        <w:tc>
          <w:tcPr>
            <w:tcW w:w="787" w:type="dxa"/>
            <w:tcBorders>
              <w:bottom w:val="single" w:sz="12" w:space="0" w:color="00FF00"/>
            </w:tcBorders>
            <w:shd w:val="clear" w:color="auto" w:fill="FF0000"/>
          </w:tcPr>
          <w:p>
            <w:pPr>
              <w:pStyle w:val="TableParagraph"/>
              <w:spacing w:before="8"/>
              <w:ind w:left="0"/>
              <w:jc w:val="center"/>
              <w:rPr>
                <w:sz w:val="20"/>
              </w:rPr>
            </w:pPr>
            <w:r>
              <w:rPr>
                <w:w w:val="99"/>
                <w:sz w:val="20"/>
              </w:rPr>
              <w:t>D</w:t>
            </w:r>
          </w:p>
        </w:tc>
        <w:tc>
          <w:tcPr>
            <w:tcW w:w="790" w:type="dxa"/>
            <w:tcBorders>
              <w:bottom w:val="single" w:sz="12" w:space="0" w:color="000000"/>
            </w:tcBorders>
            <w:shd w:val="clear" w:color="auto" w:fill="FF0000"/>
          </w:tcPr>
          <w:p>
            <w:pPr>
              <w:pStyle w:val="TableParagraph"/>
              <w:spacing w:before="8"/>
              <w:ind w:left="0"/>
              <w:jc w:val="center"/>
              <w:rPr>
                <w:sz w:val="20"/>
              </w:rPr>
            </w:pPr>
            <w:r>
              <w:rPr>
                <w:w w:val="99"/>
                <w:sz w:val="20"/>
              </w:rPr>
              <w:t>D</w:t>
            </w:r>
          </w:p>
        </w:tc>
        <w:tc>
          <w:tcPr>
            <w:tcW w:w="788" w:type="dxa"/>
            <w:shd w:val="clear" w:color="auto" w:fill="FF0000"/>
          </w:tcPr>
          <w:p>
            <w:pPr>
              <w:pStyle w:val="TableParagraph"/>
              <w:spacing w:before="8"/>
              <w:ind w:left="0" w:right="3"/>
              <w:jc w:val="center"/>
              <w:rPr>
                <w:sz w:val="20"/>
              </w:rPr>
            </w:pPr>
            <w:r>
              <w:rPr>
                <w:w w:val="99"/>
                <w:sz w:val="20"/>
              </w:rPr>
              <w:t>D</w:t>
            </w:r>
          </w:p>
        </w:tc>
        <w:tc>
          <w:tcPr>
            <w:tcW w:w="787" w:type="dxa"/>
            <w:shd w:val="clear" w:color="auto" w:fill="FF0000"/>
          </w:tcPr>
          <w:p>
            <w:pPr>
              <w:pStyle w:val="TableParagraph"/>
              <w:spacing w:before="8"/>
              <w:ind w:left="0"/>
              <w:jc w:val="center"/>
              <w:rPr>
                <w:sz w:val="20"/>
              </w:rPr>
            </w:pPr>
            <w:r>
              <w:rPr>
                <w:w w:val="99"/>
                <w:sz w:val="20"/>
              </w:rPr>
              <w:t>D</w:t>
            </w:r>
          </w:p>
        </w:tc>
        <w:tc>
          <w:tcPr>
            <w:tcW w:w="790" w:type="dxa"/>
            <w:shd w:val="clear" w:color="auto" w:fill="FF0000"/>
          </w:tcPr>
          <w:p>
            <w:pPr>
              <w:pStyle w:val="TableParagraph"/>
              <w:spacing w:before="8"/>
              <w:ind w:left="0"/>
              <w:jc w:val="center"/>
              <w:rPr>
                <w:sz w:val="20"/>
              </w:rPr>
            </w:pPr>
            <w:r>
              <w:rPr>
                <w:w w:val="99"/>
                <w:sz w:val="20"/>
              </w:rPr>
              <w:t>D</w:t>
            </w:r>
          </w:p>
        </w:tc>
        <w:tc>
          <w:tcPr>
            <w:tcW w:w="787" w:type="dxa"/>
            <w:shd w:val="clear" w:color="auto" w:fill="FF0000"/>
          </w:tcPr>
          <w:p>
            <w:pPr>
              <w:pStyle w:val="TableParagraph"/>
              <w:spacing w:before="8"/>
              <w:ind w:left="0" w:right="2"/>
              <w:jc w:val="center"/>
              <w:rPr>
                <w:sz w:val="20"/>
              </w:rPr>
            </w:pPr>
            <w:r>
              <w:rPr>
                <w:w w:val="99"/>
                <w:sz w:val="20"/>
              </w:rPr>
              <w:t>D</w:t>
            </w:r>
          </w:p>
        </w:tc>
        <w:tc>
          <w:tcPr>
            <w:tcW w:w="787" w:type="dxa"/>
            <w:shd w:val="clear" w:color="auto" w:fill="FF0000"/>
          </w:tcPr>
          <w:p>
            <w:pPr>
              <w:pStyle w:val="TableParagraph"/>
              <w:spacing w:before="8"/>
              <w:ind w:left="0"/>
              <w:jc w:val="center"/>
              <w:rPr>
                <w:sz w:val="20"/>
              </w:rPr>
            </w:pPr>
            <w:r>
              <w:rPr>
                <w:w w:val="99"/>
                <w:sz w:val="20"/>
              </w:rPr>
              <w:t>D</w:t>
            </w:r>
          </w:p>
        </w:tc>
        <w:tc>
          <w:tcPr>
            <w:tcW w:w="790" w:type="dxa"/>
            <w:shd w:val="clear" w:color="auto" w:fill="FF0000"/>
          </w:tcPr>
          <w:p>
            <w:pPr>
              <w:pStyle w:val="TableParagraph"/>
              <w:spacing w:before="8"/>
              <w:ind w:left="0" w:right="1"/>
              <w:jc w:val="center"/>
              <w:rPr>
                <w:sz w:val="20"/>
              </w:rPr>
            </w:pPr>
            <w:r>
              <w:rPr>
                <w:w w:val="99"/>
                <w:sz w:val="20"/>
              </w:rPr>
              <w:t>D</w:t>
            </w:r>
          </w:p>
        </w:tc>
        <w:tc>
          <w:tcPr>
            <w:tcW w:w="787" w:type="dxa"/>
            <w:shd w:val="clear" w:color="auto" w:fill="FF0000"/>
          </w:tcPr>
          <w:p>
            <w:pPr>
              <w:pStyle w:val="TableParagraph"/>
              <w:spacing w:before="8"/>
              <w:ind w:left="0" w:right="2"/>
              <w:jc w:val="center"/>
              <w:rPr>
                <w:sz w:val="20"/>
              </w:rPr>
            </w:pPr>
            <w:r>
              <w:rPr>
                <w:w w:val="99"/>
                <w:sz w:val="20"/>
              </w:rPr>
              <w:t>D</w:t>
            </w:r>
          </w:p>
        </w:tc>
        <w:tc>
          <w:tcPr>
            <w:tcW w:w="797" w:type="dxa"/>
            <w:shd w:val="clear" w:color="auto" w:fill="FF0000"/>
          </w:tcPr>
          <w:p>
            <w:pPr>
              <w:pStyle w:val="TableParagraph"/>
              <w:spacing w:before="8"/>
              <w:ind w:left="0"/>
              <w:jc w:val="center"/>
              <w:rPr>
                <w:sz w:val="20"/>
              </w:rPr>
            </w:pPr>
            <w:r>
              <w:rPr>
                <w:w w:val="99"/>
                <w:sz w:val="20"/>
              </w:rPr>
              <w:t>D</w:t>
            </w:r>
          </w:p>
        </w:tc>
      </w:tr>
      <w:tr>
        <w:trPr>
          <w:trHeight w:val="385" w:hRule="exact"/>
        </w:trPr>
        <w:tc>
          <w:tcPr>
            <w:tcW w:w="1114" w:type="dxa"/>
            <w:vMerge/>
            <w:shd w:val="clear" w:color="auto" w:fill="76923B"/>
            <w:textDirection w:val="btLr"/>
          </w:tcPr>
          <w:p>
            <w:pPr/>
          </w:p>
        </w:tc>
        <w:tc>
          <w:tcPr>
            <w:tcW w:w="814" w:type="dxa"/>
            <w:shd w:val="clear" w:color="auto" w:fill="76923B"/>
          </w:tcPr>
          <w:p>
            <w:pPr>
              <w:pStyle w:val="TableParagraph"/>
              <w:spacing w:before="16"/>
              <w:ind w:left="0" w:right="1"/>
              <w:jc w:val="center"/>
              <w:rPr>
                <w:sz w:val="20"/>
              </w:rPr>
            </w:pPr>
            <w:r>
              <w:rPr>
                <w:w w:val="99"/>
                <w:sz w:val="20"/>
              </w:rPr>
              <w:t>P</w:t>
            </w:r>
          </w:p>
        </w:tc>
        <w:tc>
          <w:tcPr>
            <w:tcW w:w="3404" w:type="dxa"/>
            <w:tcBorders>
              <w:right w:val="single" w:sz="41" w:space="0" w:color="00FF00"/>
            </w:tcBorders>
          </w:tcPr>
          <w:p>
            <w:pPr>
              <w:pStyle w:val="TableParagraph"/>
              <w:spacing w:before="16"/>
              <w:ind w:left="356" w:right="314"/>
              <w:jc w:val="center"/>
              <w:rPr>
                <w:sz w:val="20"/>
              </w:rPr>
            </w:pPr>
            <w:r>
              <w:rPr>
                <w:sz w:val="20"/>
              </w:rPr>
              <w:t>Cooperación ambiental_1</w:t>
            </w:r>
          </w:p>
        </w:tc>
        <w:tc>
          <w:tcPr>
            <w:tcW w:w="787" w:type="dxa"/>
            <w:shd w:val="clear" w:color="auto" w:fill="00FF00"/>
          </w:tcPr>
          <w:p>
            <w:pPr>
              <w:pStyle w:val="TableParagraph"/>
              <w:spacing w:before="16"/>
              <w:ind w:left="0" w:right="1"/>
              <w:jc w:val="center"/>
              <w:rPr>
                <w:sz w:val="20"/>
              </w:rPr>
            </w:pPr>
            <w:r>
              <w:rPr>
                <w:w w:val="99"/>
                <w:sz w:val="20"/>
              </w:rPr>
              <w:t>E</w:t>
            </w:r>
          </w:p>
        </w:tc>
        <w:tc>
          <w:tcPr>
            <w:tcW w:w="790" w:type="dxa"/>
            <w:tcBorders>
              <w:top w:val="single" w:sz="12" w:space="0" w:color="000000"/>
              <w:left w:val="single" w:sz="41" w:space="0" w:color="00FF00"/>
              <w:bottom w:val="single" w:sz="12" w:space="0" w:color="000000"/>
              <w:right w:val="single" w:sz="41" w:space="0" w:color="FF0000"/>
            </w:tcBorders>
          </w:tcPr>
          <w:p>
            <w:pPr>
              <w:pStyle w:val="TableParagraph"/>
              <w:spacing w:before="5"/>
              <w:ind w:left="0" w:right="1"/>
              <w:jc w:val="center"/>
              <w:rPr>
                <w:sz w:val="20"/>
              </w:rPr>
            </w:pPr>
            <w:r>
              <w:rPr>
                <w:w w:val="99"/>
                <w:sz w:val="20"/>
              </w:rPr>
              <w:t>B</w:t>
            </w:r>
          </w:p>
        </w:tc>
        <w:tc>
          <w:tcPr>
            <w:tcW w:w="788" w:type="dxa"/>
            <w:tcBorders>
              <w:bottom w:val="single" w:sz="12" w:space="0" w:color="000000"/>
            </w:tcBorders>
            <w:shd w:val="clear" w:color="auto" w:fill="FF0000"/>
          </w:tcPr>
          <w:p>
            <w:pPr>
              <w:pStyle w:val="TableParagraph"/>
              <w:spacing w:before="16"/>
              <w:ind w:left="0" w:right="3"/>
              <w:jc w:val="center"/>
              <w:rPr>
                <w:sz w:val="20"/>
              </w:rPr>
            </w:pPr>
            <w:r>
              <w:rPr>
                <w:w w:val="99"/>
                <w:sz w:val="20"/>
              </w:rPr>
              <w:t>D</w:t>
            </w:r>
          </w:p>
        </w:tc>
        <w:tc>
          <w:tcPr>
            <w:tcW w:w="787" w:type="dxa"/>
            <w:tcBorders>
              <w:bottom w:val="single" w:sz="12" w:space="0" w:color="000000"/>
            </w:tcBorders>
            <w:shd w:val="clear" w:color="auto" w:fill="FF0000"/>
          </w:tcPr>
          <w:p>
            <w:pPr>
              <w:pStyle w:val="TableParagraph"/>
              <w:spacing w:before="16"/>
              <w:ind w:left="0"/>
              <w:jc w:val="center"/>
              <w:rPr>
                <w:sz w:val="20"/>
              </w:rPr>
            </w:pPr>
            <w:r>
              <w:rPr>
                <w:w w:val="99"/>
                <w:sz w:val="20"/>
              </w:rPr>
              <w:t>D</w:t>
            </w:r>
          </w:p>
        </w:tc>
        <w:tc>
          <w:tcPr>
            <w:tcW w:w="790" w:type="dxa"/>
            <w:tcBorders>
              <w:bottom w:val="single" w:sz="12" w:space="0" w:color="000000"/>
            </w:tcBorders>
            <w:shd w:val="clear" w:color="auto" w:fill="FF0000"/>
          </w:tcPr>
          <w:p>
            <w:pPr>
              <w:pStyle w:val="TableParagraph"/>
              <w:spacing w:before="16"/>
              <w:ind w:left="0"/>
              <w:jc w:val="center"/>
              <w:rPr>
                <w:sz w:val="20"/>
              </w:rPr>
            </w:pPr>
            <w:r>
              <w:rPr>
                <w:w w:val="99"/>
                <w:sz w:val="20"/>
              </w:rPr>
              <w:t>D</w:t>
            </w:r>
          </w:p>
        </w:tc>
        <w:tc>
          <w:tcPr>
            <w:tcW w:w="787" w:type="dxa"/>
            <w:tcBorders>
              <w:bottom w:val="single" w:sz="12" w:space="0" w:color="000000"/>
            </w:tcBorders>
            <w:shd w:val="clear" w:color="auto" w:fill="FF0000"/>
          </w:tcPr>
          <w:p>
            <w:pPr>
              <w:pStyle w:val="TableParagraph"/>
              <w:spacing w:before="16"/>
              <w:ind w:left="0" w:right="2"/>
              <w:jc w:val="center"/>
              <w:rPr>
                <w:sz w:val="20"/>
              </w:rPr>
            </w:pPr>
            <w:r>
              <w:rPr>
                <w:w w:val="99"/>
                <w:sz w:val="20"/>
              </w:rPr>
              <w:t>D</w:t>
            </w:r>
          </w:p>
        </w:tc>
        <w:tc>
          <w:tcPr>
            <w:tcW w:w="787" w:type="dxa"/>
            <w:tcBorders>
              <w:bottom w:val="single" w:sz="12" w:space="0" w:color="000000"/>
            </w:tcBorders>
            <w:shd w:val="clear" w:color="auto" w:fill="FF0000"/>
          </w:tcPr>
          <w:p>
            <w:pPr>
              <w:pStyle w:val="TableParagraph"/>
              <w:spacing w:before="16"/>
              <w:ind w:left="0"/>
              <w:jc w:val="center"/>
              <w:rPr>
                <w:sz w:val="20"/>
              </w:rPr>
            </w:pPr>
            <w:r>
              <w:rPr>
                <w:w w:val="99"/>
                <w:sz w:val="20"/>
              </w:rPr>
              <w:t>D</w:t>
            </w:r>
          </w:p>
        </w:tc>
        <w:tc>
          <w:tcPr>
            <w:tcW w:w="790" w:type="dxa"/>
            <w:tcBorders>
              <w:bottom w:val="single" w:sz="12" w:space="0" w:color="000000"/>
            </w:tcBorders>
            <w:shd w:val="clear" w:color="auto" w:fill="FF0000"/>
          </w:tcPr>
          <w:p>
            <w:pPr>
              <w:pStyle w:val="TableParagraph"/>
              <w:spacing w:before="16"/>
              <w:ind w:left="0" w:right="1"/>
              <w:jc w:val="center"/>
              <w:rPr>
                <w:sz w:val="20"/>
              </w:rPr>
            </w:pPr>
            <w:r>
              <w:rPr>
                <w:w w:val="99"/>
                <w:sz w:val="20"/>
              </w:rPr>
              <w:t>D</w:t>
            </w:r>
          </w:p>
        </w:tc>
        <w:tc>
          <w:tcPr>
            <w:tcW w:w="787" w:type="dxa"/>
            <w:tcBorders>
              <w:bottom w:val="single" w:sz="12" w:space="0" w:color="000000"/>
            </w:tcBorders>
            <w:shd w:val="clear" w:color="auto" w:fill="FF0000"/>
          </w:tcPr>
          <w:p>
            <w:pPr>
              <w:pStyle w:val="TableParagraph"/>
              <w:spacing w:before="16"/>
              <w:ind w:left="0" w:right="2"/>
              <w:jc w:val="center"/>
              <w:rPr>
                <w:sz w:val="20"/>
              </w:rPr>
            </w:pPr>
            <w:r>
              <w:rPr>
                <w:w w:val="99"/>
                <w:sz w:val="20"/>
              </w:rPr>
              <w:t>D</w:t>
            </w:r>
          </w:p>
        </w:tc>
        <w:tc>
          <w:tcPr>
            <w:tcW w:w="797" w:type="dxa"/>
            <w:tcBorders>
              <w:left w:val="single" w:sz="45" w:space="0" w:color="FF0000"/>
              <w:bottom w:val="single" w:sz="12" w:space="0" w:color="000000"/>
            </w:tcBorders>
            <w:shd w:val="clear" w:color="auto" w:fill="FFFF00"/>
          </w:tcPr>
          <w:p>
            <w:pPr>
              <w:pStyle w:val="TableParagraph"/>
              <w:spacing w:before="16"/>
              <w:ind w:left="0" w:right="49"/>
              <w:jc w:val="center"/>
              <w:rPr>
                <w:sz w:val="20"/>
              </w:rPr>
            </w:pPr>
            <w:r>
              <w:rPr>
                <w:w w:val="99"/>
                <w:sz w:val="20"/>
              </w:rPr>
              <w:t>R</w:t>
            </w:r>
          </w:p>
        </w:tc>
      </w:tr>
      <w:tr>
        <w:trPr>
          <w:trHeight w:val="374" w:hRule="exact"/>
        </w:trPr>
        <w:tc>
          <w:tcPr>
            <w:tcW w:w="1114" w:type="dxa"/>
            <w:vMerge/>
            <w:tcBorders>
              <w:bottom w:val="single" w:sz="12" w:space="0" w:color="000000"/>
            </w:tcBorders>
            <w:shd w:val="clear" w:color="auto" w:fill="76923B"/>
            <w:textDirection w:val="btLr"/>
          </w:tcPr>
          <w:p>
            <w:pPr/>
          </w:p>
        </w:tc>
        <w:tc>
          <w:tcPr>
            <w:tcW w:w="814" w:type="dxa"/>
            <w:tcBorders>
              <w:bottom w:val="single" w:sz="12" w:space="0" w:color="000000"/>
            </w:tcBorders>
            <w:shd w:val="clear" w:color="auto" w:fill="76923B"/>
          </w:tcPr>
          <w:p>
            <w:pPr>
              <w:pStyle w:val="TableParagraph"/>
              <w:spacing w:before="5"/>
              <w:ind w:left="0" w:right="1"/>
              <w:jc w:val="center"/>
              <w:rPr>
                <w:sz w:val="20"/>
              </w:rPr>
            </w:pPr>
            <w:r>
              <w:rPr>
                <w:w w:val="99"/>
                <w:sz w:val="20"/>
              </w:rPr>
              <w:t>P</w:t>
            </w:r>
          </w:p>
        </w:tc>
        <w:tc>
          <w:tcPr>
            <w:tcW w:w="3404" w:type="dxa"/>
            <w:tcBorders>
              <w:bottom w:val="single" w:sz="12" w:space="0" w:color="000000"/>
              <w:right w:val="single" w:sz="41" w:space="0" w:color="00FF00"/>
            </w:tcBorders>
          </w:tcPr>
          <w:p>
            <w:pPr>
              <w:pStyle w:val="TableParagraph"/>
              <w:spacing w:before="5"/>
              <w:ind w:left="355" w:right="314"/>
              <w:jc w:val="center"/>
              <w:rPr>
                <w:sz w:val="20"/>
              </w:rPr>
            </w:pPr>
            <w:r>
              <w:rPr>
                <w:sz w:val="20"/>
              </w:rPr>
              <w:t>Identidad ambiental</w:t>
            </w:r>
          </w:p>
        </w:tc>
        <w:tc>
          <w:tcPr>
            <w:tcW w:w="787" w:type="dxa"/>
            <w:tcBorders>
              <w:bottom w:val="single" w:sz="12" w:space="0" w:color="000000"/>
            </w:tcBorders>
            <w:shd w:val="clear" w:color="auto" w:fill="00FF00"/>
          </w:tcPr>
          <w:p>
            <w:pPr>
              <w:pStyle w:val="TableParagraph"/>
              <w:spacing w:before="5"/>
              <w:ind w:left="0" w:right="1"/>
              <w:jc w:val="center"/>
              <w:rPr>
                <w:sz w:val="20"/>
              </w:rPr>
            </w:pPr>
            <w:r>
              <w:rPr>
                <w:w w:val="99"/>
                <w:sz w:val="20"/>
              </w:rPr>
              <w:t>E</w:t>
            </w:r>
          </w:p>
        </w:tc>
        <w:tc>
          <w:tcPr>
            <w:tcW w:w="790" w:type="dxa"/>
            <w:tcBorders>
              <w:top w:val="single" w:sz="12" w:space="0" w:color="000000"/>
              <w:left w:val="single" w:sz="41" w:space="0" w:color="00FF00"/>
              <w:bottom w:val="single" w:sz="12" w:space="0" w:color="000000"/>
            </w:tcBorders>
          </w:tcPr>
          <w:p>
            <w:pPr>
              <w:pStyle w:val="TableParagraph"/>
              <w:spacing w:line="225" w:lineRule="exact"/>
              <w:ind w:left="0" w:right="48"/>
              <w:jc w:val="center"/>
              <w:rPr>
                <w:sz w:val="20"/>
              </w:rPr>
            </w:pPr>
            <w:r>
              <w:rPr>
                <w:w w:val="99"/>
                <w:sz w:val="20"/>
              </w:rPr>
              <w:t>B</w:t>
            </w:r>
          </w:p>
        </w:tc>
        <w:tc>
          <w:tcPr>
            <w:tcW w:w="788" w:type="dxa"/>
            <w:tcBorders>
              <w:top w:val="single" w:sz="12" w:space="0" w:color="000000"/>
              <w:bottom w:val="single" w:sz="12" w:space="0" w:color="000000"/>
            </w:tcBorders>
          </w:tcPr>
          <w:p>
            <w:pPr>
              <w:pStyle w:val="TableParagraph"/>
              <w:spacing w:line="225" w:lineRule="exact"/>
              <w:ind w:left="0" w:right="4"/>
              <w:jc w:val="center"/>
              <w:rPr>
                <w:sz w:val="20"/>
              </w:rPr>
            </w:pPr>
            <w:r>
              <w:rPr>
                <w:w w:val="99"/>
                <w:sz w:val="20"/>
              </w:rPr>
              <w:t>B</w:t>
            </w:r>
          </w:p>
        </w:tc>
        <w:tc>
          <w:tcPr>
            <w:tcW w:w="787" w:type="dxa"/>
            <w:tcBorders>
              <w:top w:val="single" w:sz="12" w:space="0" w:color="000000"/>
              <w:bottom w:val="single" w:sz="12" w:space="0" w:color="000000"/>
            </w:tcBorders>
          </w:tcPr>
          <w:p>
            <w:pPr>
              <w:pStyle w:val="TableParagraph"/>
              <w:spacing w:line="225" w:lineRule="exact"/>
              <w:ind w:left="0" w:right="1"/>
              <w:jc w:val="center"/>
              <w:rPr>
                <w:sz w:val="20"/>
              </w:rPr>
            </w:pPr>
            <w:r>
              <w:rPr>
                <w:w w:val="99"/>
                <w:sz w:val="20"/>
              </w:rPr>
              <w:t>B</w:t>
            </w:r>
          </w:p>
        </w:tc>
        <w:tc>
          <w:tcPr>
            <w:tcW w:w="790" w:type="dxa"/>
            <w:tcBorders>
              <w:top w:val="single" w:sz="12" w:space="0" w:color="000000"/>
              <w:bottom w:val="single" w:sz="12" w:space="0" w:color="000000"/>
            </w:tcBorders>
          </w:tcPr>
          <w:p>
            <w:pPr>
              <w:pStyle w:val="TableParagraph"/>
              <w:spacing w:line="225" w:lineRule="exact"/>
              <w:ind w:left="0" w:right="1"/>
              <w:jc w:val="center"/>
              <w:rPr>
                <w:sz w:val="20"/>
              </w:rPr>
            </w:pPr>
            <w:r>
              <w:rPr>
                <w:w w:val="99"/>
                <w:sz w:val="20"/>
              </w:rPr>
              <w:t>B</w:t>
            </w:r>
          </w:p>
        </w:tc>
        <w:tc>
          <w:tcPr>
            <w:tcW w:w="787" w:type="dxa"/>
            <w:tcBorders>
              <w:top w:val="single" w:sz="12" w:space="0" w:color="000000"/>
              <w:bottom w:val="single" w:sz="12" w:space="0" w:color="000000"/>
            </w:tcBorders>
          </w:tcPr>
          <w:p>
            <w:pPr>
              <w:pStyle w:val="TableParagraph"/>
              <w:spacing w:line="225" w:lineRule="exact"/>
              <w:ind w:left="0" w:right="4"/>
              <w:jc w:val="center"/>
              <w:rPr>
                <w:sz w:val="20"/>
              </w:rPr>
            </w:pPr>
            <w:r>
              <w:rPr>
                <w:w w:val="99"/>
                <w:sz w:val="20"/>
              </w:rPr>
              <w:t>B</w:t>
            </w:r>
          </w:p>
        </w:tc>
        <w:tc>
          <w:tcPr>
            <w:tcW w:w="787" w:type="dxa"/>
            <w:tcBorders>
              <w:top w:val="single" w:sz="12" w:space="0" w:color="000000"/>
              <w:bottom w:val="single" w:sz="12" w:space="0" w:color="000000"/>
            </w:tcBorders>
          </w:tcPr>
          <w:p>
            <w:pPr>
              <w:pStyle w:val="TableParagraph"/>
              <w:spacing w:line="225" w:lineRule="exact"/>
              <w:ind w:left="0" w:right="1"/>
              <w:jc w:val="center"/>
              <w:rPr>
                <w:sz w:val="20"/>
              </w:rPr>
            </w:pPr>
            <w:r>
              <w:rPr>
                <w:w w:val="99"/>
                <w:sz w:val="20"/>
              </w:rPr>
              <w:t>B</w:t>
            </w:r>
          </w:p>
        </w:tc>
        <w:tc>
          <w:tcPr>
            <w:tcW w:w="790" w:type="dxa"/>
            <w:tcBorders>
              <w:top w:val="single" w:sz="12" w:space="0" w:color="000000"/>
              <w:bottom w:val="single" w:sz="12" w:space="0" w:color="000000"/>
            </w:tcBorders>
          </w:tcPr>
          <w:p>
            <w:pPr>
              <w:pStyle w:val="TableParagraph"/>
              <w:spacing w:line="225" w:lineRule="exact"/>
              <w:ind w:left="0" w:right="1"/>
              <w:jc w:val="center"/>
              <w:rPr>
                <w:sz w:val="20"/>
              </w:rPr>
            </w:pPr>
            <w:r>
              <w:rPr>
                <w:w w:val="99"/>
                <w:sz w:val="20"/>
              </w:rPr>
              <w:t>B</w:t>
            </w:r>
          </w:p>
        </w:tc>
        <w:tc>
          <w:tcPr>
            <w:tcW w:w="787" w:type="dxa"/>
            <w:tcBorders>
              <w:top w:val="single" w:sz="12" w:space="0" w:color="000000"/>
              <w:bottom w:val="single" w:sz="12" w:space="0" w:color="000000"/>
            </w:tcBorders>
          </w:tcPr>
          <w:p>
            <w:pPr>
              <w:pStyle w:val="TableParagraph"/>
              <w:spacing w:line="225" w:lineRule="exact"/>
              <w:ind w:left="0" w:right="4"/>
              <w:jc w:val="center"/>
              <w:rPr>
                <w:sz w:val="20"/>
              </w:rPr>
            </w:pPr>
            <w:r>
              <w:rPr>
                <w:w w:val="99"/>
                <w:sz w:val="20"/>
              </w:rPr>
              <w:t>B</w:t>
            </w:r>
          </w:p>
        </w:tc>
        <w:tc>
          <w:tcPr>
            <w:tcW w:w="797" w:type="dxa"/>
            <w:tcBorders>
              <w:top w:val="single" w:sz="12" w:space="0" w:color="000000"/>
              <w:bottom w:val="single" w:sz="12" w:space="0" w:color="000000"/>
            </w:tcBorders>
          </w:tcPr>
          <w:p>
            <w:pPr>
              <w:pStyle w:val="TableParagraph"/>
              <w:spacing w:line="225" w:lineRule="exact"/>
              <w:ind w:left="0" w:right="1"/>
              <w:jc w:val="center"/>
              <w:rPr>
                <w:sz w:val="20"/>
              </w:rPr>
            </w:pPr>
            <w:r>
              <w:rPr>
                <w:w w:val="99"/>
                <w:sz w:val="20"/>
              </w:rPr>
              <w:t>B</w:t>
            </w:r>
          </w:p>
        </w:tc>
      </w:tr>
      <w:tr>
        <w:trPr>
          <w:trHeight w:val="364" w:hRule="exact"/>
        </w:trPr>
        <w:tc>
          <w:tcPr>
            <w:tcW w:w="1114" w:type="dxa"/>
            <w:vMerge w:val="restart"/>
            <w:tcBorders>
              <w:top w:val="single" w:sz="12" w:space="0" w:color="000000"/>
            </w:tcBorders>
            <w:shd w:val="clear" w:color="auto" w:fill="D99493"/>
            <w:textDirection w:val="btLr"/>
          </w:tcPr>
          <w:p>
            <w:pPr>
              <w:pStyle w:val="TableParagraph"/>
              <w:ind w:left="0"/>
              <w:rPr>
                <w:rFonts w:ascii="Times New Roman"/>
                <w:sz w:val="20"/>
              </w:rPr>
            </w:pPr>
          </w:p>
          <w:p>
            <w:pPr>
              <w:pStyle w:val="TableParagraph"/>
              <w:spacing w:before="1"/>
              <w:ind w:left="0"/>
              <w:rPr>
                <w:rFonts w:ascii="Times New Roman"/>
                <w:sz w:val="17"/>
              </w:rPr>
            </w:pPr>
          </w:p>
          <w:p>
            <w:pPr>
              <w:pStyle w:val="TableParagraph"/>
              <w:spacing w:before="1"/>
              <w:ind w:left="626"/>
              <w:rPr>
                <w:b/>
                <w:sz w:val="20"/>
              </w:rPr>
            </w:pPr>
            <w:r>
              <w:rPr>
                <w:b/>
                <w:spacing w:val="-1"/>
                <w:w w:val="99"/>
                <w:sz w:val="20"/>
              </w:rPr>
              <w:t>S</w:t>
            </w:r>
            <w:r>
              <w:rPr>
                <w:b/>
                <w:w w:val="99"/>
                <w:sz w:val="20"/>
              </w:rPr>
              <w:t>O</w:t>
            </w:r>
            <w:r>
              <w:rPr>
                <w:b/>
                <w:w w:val="99"/>
                <w:sz w:val="20"/>
              </w:rPr>
              <w:t>CIO</w:t>
            </w:r>
            <w:r>
              <w:rPr>
                <w:b/>
                <w:spacing w:val="-1"/>
                <w:w w:val="99"/>
                <w:sz w:val="20"/>
              </w:rPr>
              <w:t>P</w:t>
            </w:r>
            <w:r>
              <w:rPr>
                <w:b/>
                <w:w w:val="99"/>
                <w:sz w:val="20"/>
              </w:rPr>
              <w:t>OL</w:t>
            </w:r>
            <w:r>
              <w:rPr>
                <w:b/>
                <w:w w:val="99"/>
                <w:sz w:val="20"/>
              </w:rPr>
              <w:t>ÍTICA</w:t>
            </w:r>
          </w:p>
        </w:tc>
        <w:tc>
          <w:tcPr>
            <w:tcW w:w="814" w:type="dxa"/>
            <w:tcBorders>
              <w:top w:val="single" w:sz="12" w:space="0" w:color="000000"/>
            </w:tcBorders>
            <w:shd w:val="clear" w:color="auto" w:fill="D99493"/>
          </w:tcPr>
          <w:p>
            <w:pPr>
              <w:pStyle w:val="TableParagraph"/>
              <w:spacing w:line="228" w:lineRule="exact"/>
              <w:ind w:left="0" w:right="1"/>
              <w:jc w:val="center"/>
              <w:rPr>
                <w:sz w:val="20"/>
              </w:rPr>
            </w:pPr>
            <w:r>
              <w:rPr>
                <w:w w:val="99"/>
                <w:sz w:val="20"/>
              </w:rPr>
              <w:t>P</w:t>
            </w:r>
          </w:p>
        </w:tc>
        <w:tc>
          <w:tcPr>
            <w:tcW w:w="3404" w:type="dxa"/>
            <w:tcBorders>
              <w:top w:val="single" w:sz="12" w:space="0" w:color="000000"/>
              <w:right w:val="single" w:sz="41" w:space="0" w:color="00FF00"/>
            </w:tcBorders>
          </w:tcPr>
          <w:p>
            <w:pPr>
              <w:pStyle w:val="TableParagraph"/>
              <w:spacing w:line="228" w:lineRule="exact"/>
              <w:ind w:left="356" w:right="314"/>
              <w:jc w:val="center"/>
              <w:rPr>
                <w:sz w:val="20"/>
              </w:rPr>
            </w:pPr>
            <w:r>
              <w:rPr>
                <w:sz w:val="20"/>
              </w:rPr>
              <w:t>Historia sociopolítica</w:t>
            </w:r>
          </w:p>
        </w:tc>
        <w:tc>
          <w:tcPr>
            <w:tcW w:w="787"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90"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88" w:type="dxa"/>
            <w:tcBorders>
              <w:top w:val="single" w:sz="12" w:space="0" w:color="000000"/>
            </w:tcBorders>
            <w:shd w:val="clear" w:color="auto" w:fill="00FF00"/>
          </w:tcPr>
          <w:p>
            <w:pPr>
              <w:pStyle w:val="TableParagraph"/>
              <w:spacing w:line="228" w:lineRule="exact"/>
              <w:ind w:left="0" w:right="4"/>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90"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8" w:lineRule="exact"/>
              <w:ind w:left="0" w:right="4"/>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90"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8" w:lineRule="exact"/>
              <w:ind w:left="0" w:right="4"/>
              <w:jc w:val="center"/>
              <w:rPr>
                <w:sz w:val="20"/>
              </w:rPr>
            </w:pPr>
            <w:r>
              <w:rPr>
                <w:w w:val="99"/>
                <w:sz w:val="20"/>
              </w:rPr>
              <w:t>E</w:t>
            </w:r>
          </w:p>
        </w:tc>
        <w:tc>
          <w:tcPr>
            <w:tcW w:w="797"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r>
      <w:tr>
        <w:trPr>
          <w:trHeight w:val="355" w:hRule="exact"/>
        </w:trPr>
        <w:tc>
          <w:tcPr>
            <w:tcW w:w="1114" w:type="dxa"/>
            <w:vMerge/>
            <w:shd w:val="clear" w:color="auto" w:fill="D99493"/>
            <w:textDirection w:val="btLr"/>
          </w:tcPr>
          <w:p>
            <w:pPr/>
          </w:p>
        </w:tc>
        <w:tc>
          <w:tcPr>
            <w:tcW w:w="814" w:type="dxa"/>
            <w:shd w:val="clear" w:color="auto" w:fill="D99493"/>
          </w:tcPr>
          <w:p>
            <w:pPr>
              <w:pStyle w:val="TableParagraph"/>
              <w:spacing w:line="230"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30" w:lineRule="exact"/>
              <w:ind w:left="356" w:right="314"/>
              <w:jc w:val="center"/>
              <w:rPr>
                <w:sz w:val="20"/>
              </w:rPr>
            </w:pPr>
            <w:r>
              <w:rPr>
                <w:sz w:val="20"/>
              </w:rPr>
              <w:t>Poder sociopolítico</w:t>
            </w:r>
          </w:p>
        </w:tc>
        <w:tc>
          <w:tcPr>
            <w:tcW w:w="787" w:type="dxa"/>
            <w:shd w:val="clear" w:color="auto" w:fill="00FF00"/>
          </w:tcPr>
          <w:p>
            <w:pPr>
              <w:pStyle w:val="TableParagraph"/>
              <w:spacing w:line="230" w:lineRule="exact"/>
              <w:ind w:left="0" w:right="1"/>
              <w:jc w:val="center"/>
              <w:rPr>
                <w:sz w:val="20"/>
              </w:rPr>
            </w:pPr>
            <w:r>
              <w:rPr>
                <w:w w:val="99"/>
                <w:sz w:val="20"/>
              </w:rPr>
              <w:t>E</w:t>
            </w:r>
          </w:p>
        </w:tc>
        <w:tc>
          <w:tcPr>
            <w:tcW w:w="790" w:type="dxa"/>
            <w:tcBorders>
              <w:left w:val="single" w:sz="41" w:space="0" w:color="00FF00"/>
              <w:right w:val="single" w:sz="41" w:space="0" w:color="FF0000"/>
            </w:tcBorders>
          </w:tcPr>
          <w:p>
            <w:pPr>
              <w:pStyle w:val="TableParagraph"/>
              <w:spacing w:line="230" w:lineRule="exact"/>
              <w:ind w:left="0" w:right="1"/>
              <w:jc w:val="center"/>
              <w:rPr>
                <w:sz w:val="20"/>
              </w:rPr>
            </w:pPr>
            <w:r>
              <w:rPr>
                <w:w w:val="99"/>
                <w:sz w:val="20"/>
              </w:rPr>
              <w:t>B</w:t>
            </w:r>
          </w:p>
        </w:tc>
        <w:tc>
          <w:tcPr>
            <w:tcW w:w="788" w:type="dxa"/>
            <w:shd w:val="clear" w:color="auto" w:fill="FF0000"/>
          </w:tcPr>
          <w:p>
            <w:pPr>
              <w:pStyle w:val="TableParagraph"/>
              <w:spacing w:line="230" w:lineRule="exact"/>
              <w:ind w:left="0" w:right="3"/>
              <w:jc w:val="center"/>
              <w:rPr>
                <w:sz w:val="20"/>
              </w:rPr>
            </w:pPr>
            <w:r>
              <w:rPr>
                <w:w w:val="99"/>
                <w:sz w:val="20"/>
              </w:rPr>
              <w:t>D</w:t>
            </w:r>
          </w:p>
        </w:tc>
        <w:tc>
          <w:tcPr>
            <w:tcW w:w="787" w:type="dxa"/>
            <w:tcBorders>
              <w:right w:val="single" w:sz="41" w:space="0" w:color="FFFF00"/>
            </w:tcBorders>
            <w:shd w:val="clear" w:color="auto" w:fill="FF0000"/>
          </w:tcPr>
          <w:p>
            <w:pPr>
              <w:pStyle w:val="TableParagraph"/>
              <w:spacing w:line="230" w:lineRule="exact"/>
              <w:ind w:left="46"/>
              <w:jc w:val="center"/>
              <w:rPr>
                <w:sz w:val="20"/>
              </w:rPr>
            </w:pPr>
            <w:r>
              <w:rPr>
                <w:w w:val="99"/>
                <w:sz w:val="20"/>
              </w:rPr>
              <w:t>D</w:t>
            </w:r>
          </w:p>
        </w:tc>
        <w:tc>
          <w:tcPr>
            <w:tcW w:w="790" w:type="dxa"/>
            <w:tcBorders>
              <w:left w:val="single" w:sz="45" w:space="0" w:color="FF0000"/>
            </w:tcBorders>
            <w:shd w:val="clear" w:color="auto" w:fill="FFFF00"/>
          </w:tcPr>
          <w:p>
            <w:pPr>
              <w:pStyle w:val="TableParagraph"/>
              <w:spacing w:line="230" w:lineRule="exact"/>
              <w:ind w:left="0" w:right="52"/>
              <w:jc w:val="center"/>
              <w:rPr>
                <w:sz w:val="20"/>
              </w:rPr>
            </w:pPr>
            <w:r>
              <w:rPr>
                <w:w w:val="99"/>
                <w:sz w:val="20"/>
              </w:rPr>
              <w:t>R</w:t>
            </w:r>
          </w:p>
        </w:tc>
        <w:tc>
          <w:tcPr>
            <w:tcW w:w="787" w:type="dxa"/>
            <w:shd w:val="clear" w:color="auto" w:fill="FFFF00"/>
          </w:tcPr>
          <w:p>
            <w:pPr>
              <w:pStyle w:val="TableParagraph"/>
              <w:spacing w:line="230" w:lineRule="exact"/>
              <w:ind w:left="0" w:right="2"/>
              <w:jc w:val="center"/>
              <w:rPr>
                <w:sz w:val="20"/>
              </w:rPr>
            </w:pPr>
            <w:r>
              <w:rPr>
                <w:w w:val="99"/>
                <w:sz w:val="20"/>
              </w:rPr>
              <w:t>R</w:t>
            </w:r>
          </w:p>
        </w:tc>
        <w:tc>
          <w:tcPr>
            <w:tcW w:w="787" w:type="dxa"/>
            <w:shd w:val="clear" w:color="auto" w:fill="FFFF00"/>
          </w:tcPr>
          <w:p>
            <w:pPr>
              <w:pStyle w:val="TableParagraph"/>
              <w:spacing w:line="230" w:lineRule="exact"/>
              <w:ind w:left="0"/>
              <w:jc w:val="center"/>
              <w:rPr>
                <w:sz w:val="20"/>
              </w:rPr>
            </w:pPr>
            <w:r>
              <w:rPr>
                <w:w w:val="99"/>
                <w:sz w:val="20"/>
              </w:rPr>
              <w:t>R</w:t>
            </w:r>
          </w:p>
        </w:tc>
        <w:tc>
          <w:tcPr>
            <w:tcW w:w="790" w:type="dxa"/>
            <w:shd w:val="clear" w:color="auto" w:fill="FFFF00"/>
          </w:tcPr>
          <w:p>
            <w:pPr>
              <w:pStyle w:val="TableParagraph"/>
              <w:spacing w:line="230" w:lineRule="exact"/>
              <w:ind w:left="0" w:right="1"/>
              <w:jc w:val="center"/>
              <w:rPr>
                <w:sz w:val="20"/>
              </w:rPr>
            </w:pPr>
            <w:r>
              <w:rPr>
                <w:w w:val="99"/>
                <w:sz w:val="20"/>
              </w:rPr>
              <w:t>R</w:t>
            </w:r>
          </w:p>
        </w:tc>
        <w:tc>
          <w:tcPr>
            <w:tcW w:w="787" w:type="dxa"/>
            <w:shd w:val="clear" w:color="auto" w:fill="FFFF00"/>
          </w:tcPr>
          <w:p>
            <w:pPr>
              <w:pStyle w:val="TableParagraph"/>
              <w:spacing w:line="230" w:lineRule="exact"/>
              <w:ind w:left="0" w:right="2"/>
              <w:jc w:val="center"/>
              <w:rPr>
                <w:sz w:val="20"/>
              </w:rPr>
            </w:pPr>
            <w:r>
              <w:rPr>
                <w:w w:val="99"/>
                <w:sz w:val="20"/>
              </w:rPr>
              <w:t>R</w:t>
            </w:r>
          </w:p>
        </w:tc>
        <w:tc>
          <w:tcPr>
            <w:tcW w:w="797" w:type="dxa"/>
            <w:shd w:val="clear" w:color="auto" w:fill="FFFF00"/>
          </w:tcPr>
          <w:p>
            <w:pPr>
              <w:pStyle w:val="TableParagraph"/>
              <w:spacing w:line="230" w:lineRule="exact"/>
              <w:ind w:left="0"/>
              <w:jc w:val="center"/>
              <w:rPr>
                <w:sz w:val="20"/>
              </w:rPr>
            </w:pPr>
            <w:r>
              <w:rPr>
                <w:w w:val="99"/>
                <w:sz w:val="20"/>
              </w:rPr>
              <w:t>R</w:t>
            </w:r>
          </w:p>
        </w:tc>
      </w:tr>
      <w:tr>
        <w:trPr>
          <w:trHeight w:val="356" w:hRule="exact"/>
        </w:trPr>
        <w:tc>
          <w:tcPr>
            <w:tcW w:w="1114" w:type="dxa"/>
            <w:vMerge/>
            <w:shd w:val="clear" w:color="auto" w:fill="D99493"/>
            <w:textDirection w:val="btLr"/>
          </w:tcPr>
          <w:p>
            <w:pPr/>
          </w:p>
        </w:tc>
        <w:tc>
          <w:tcPr>
            <w:tcW w:w="814" w:type="dxa"/>
            <w:shd w:val="clear" w:color="auto" w:fill="D99493"/>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6" w:right="314"/>
              <w:jc w:val="center"/>
              <w:rPr>
                <w:sz w:val="20"/>
              </w:rPr>
            </w:pPr>
            <w:r>
              <w:rPr>
                <w:sz w:val="20"/>
              </w:rPr>
              <w:t>Cultura sociopolítica</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tcBorders>
          </w:tcPr>
          <w:p>
            <w:pPr>
              <w:pStyle w:val="TableParagraph"/>
              <w:spacing w:line="227" w:lineRule="exact"/>
              <w:ind w:left="0" w:right="48"/>
              <w:jc w:val="center"/>
              <w:rPr>
                <w:sz w:val="20"/>
              </w:rPr>
            </w:pPr>
            <w:r>
              <w:rPr>
                <w:w w:val="99"/>
                <w:sz w:val="20"/>
              </w:rPr>
              <w:t>B</w:t>
            </w:r>
          </w:p>
        </w:tc>
        <w:tc>
          <w:tcPr>
            <w:tcW w:w="788"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97" w:type="dxa"/>
          </w:tcPr>
          <w:p>
            <w:pPr>
              <w:pStyle w:val="TableParagraph"/>
              <w:spacing w:line="227" w:lineRule="exact"/>
              <w:ind w:left="0" w:right="1"/>
              <w:jc w:val="center"/>
              <w:rPr>
                <w:sz w:val="20"/>
              </w:rPr>
            </w:pPr>
            <w:r>
              <w:rPr>
                <w:w w:val="99"/>
                <w:sz w:val="20"/>
              </w:rPr>
              <w:t>B</w:t>
            </w:r>
          </w:p>
        </w:tc>
      </w:tr>
      <w:tr>
        <w:trPr>
          <w:trHeight w:val="355" w:hRule="exact"/>
        </w:trPr>
        <w:tc>
          <w:tcPr>
            <w:tcW w:w="1114" w:type="dxa"/>
            <w:vMerge/>
            <w:shd w:val="clear" w:color="auto" w:fill="D99493"/>
            <w:textDirection w:val="btLr"/>
          </w:tcPr>
          <w:p>
            <w:pPr/>
          </w:p>
        </w:tc>
        <w:tc>
          <w:tcPr>
            <w:tcW w:w="814" w:type="dxa"/>
            <w:shd w:val="clear" w:color="auto" w:fill="D99493"/>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5" w:right="314"/>
              <w:jc w:val="center"/>
              <w:rPr>
                <w:sz w:val="20"/>
              </w:rPr>
            </w:pPr>
            <w:r>
              <w:rPr>
                <w:sz w:val="20"/>
              </w:rPr>
              <w:t>Democracia y voluntariedad</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right w:val="single" w:sz="41" w:space="0" w:color="FF0000"/>
            </w:tcBorders>
          </w:tcPr>
          <w:p>
            <w:pPr>
              <w:pStyle w:val="TableParagraph"/>
              <w:spacing w:line="227" w:lineRule="exact"/>
              <w:ind w:left="0" w:right="1"/>
              <w:jc w:val="center"/>
              <w:rPr>
                <w:sz w:val="20"/>
              </w:rPr>
            </w:pPr>
            <w:r>
              <w:rPr>
                <w:w w:val="99"/>
                <w:sz w:val="20"/>
              </w:rPr>
              <w:t>B</w:t>
            </w:r>
          </w:p>
        </w:tc>
        <w:tc>
          <w:tcPr>
            <w:tcW w:w="788" w:type="dxa"/>
            <w:shd w:val="clear" w:color="auto" w:fill="FF0000"/>
          </w:tcPr>
          <w:p>
            <w:pPr>
              <w:pStyle w:val="TableParagraph"/>
              <w:spacing w:line="227" w:lineRule="exact"/>
              <w:ind w:left="0" w:right="3"/>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tcBorders>
              <w:left w:val="single" w:sz="45" w:space="0" w:color="FF0000"/>
            </w:tcBorders>
          </w:tcPr>
          <w:p>
            <w:pPr>
              <w:pStyle w:val="TableParagraph"/>
              <w:spacing w:line="227" w:lineRule="exact"/>
              <w:ind w:left="0" w:right="53"/>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97" w:type="dxa"/>
          </w:tcPr>
          <w:p>
            <w:pPr>
              <w:pStyle w:val="TableParagraph"/>
              <w:spacing w:line="227" w:lineRule="exact"/>
              <w:ind w:left="0" w:right="1"/>
              <w:jc w:val="center"/>
              <w:rPr>
                <w:sz w:val="20"/>
              </w:rPr>
            </w:pPr>
            <w:r>
              <w:rPr>
                <w:w w:val="99"/>
                <w:sz w:val="20"/>
              </w:rPr>
              <w:t>B</w:t>
            </w:r>
          </w:p>
        </w:tc>
      </w:tr>
      <w:tr>
        <w:trPr>
          <w:trHeight w:val="355" w:hRule="exact"/>
        </w:trPr>
        <w:tc>
          <w:tcPr>
            <w:tcW w:w="1114" w:type="dxa"/>
            <w:vMerge/>
            <w:shd w:val="clear" w:color="auto" w:fill="D99493"/>
            <w:textDirection w:val="btLr"/>
          </w:tcPr>
          <w:p>
            <w:pPr/>
          </w:p>
        </w:tc>
        <w:tc>
          <w:tcPr>
            <w:tcW w:w="814" w:type="dxa"/>
            <w:shd w:val="clear" w:color="auto" w:fill="D99493"/>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5" w:right="314"/>
              <w:jc w:val="center"/>
              <w:rPr>
                <w:sz w:val="20"/>
              </w:rPr>
            </w:pPr>
            <w:r>
              <w:rPr>
                <w:sz w:val="20"/>
              </w:rPr>
              <w:t>Participación sociopolítica_1</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right w:val="single" w:sz="41" w:space="0" w:color="FF0000"/>
            </w:tcBorders>
          </w:tcPr>
          <w:p>
            <w:pPr>
              <w:pStyle w:val="TableParagraph"/>
              <w:spacing w:line="227" w:lineRule="exact"/>
              <w:ind w:left="0" w:right="1"/>
              <w:jc w:val="center"/>
              <w:rPr>
                <w:sz w:val="20"/>
              </w:rPr>
            </w:pPr>
            <w:r>
              <w:rPr>
                <w:w w:val="99"/>
                <w:sz w:val="20"/>
              </w:rPr>
              <w:t>B</w:t>
            </w:r>
          </w:p>
        </w:tc>
        <w:tc>
          <w:tcPr>
            <w:tcW w:w="788" w:type="dxa"/>
            <w:shd w:val="clear" w:color="auto" w:fill="FF0000"/>
          </w:tcPr>
          <w:p>
            <w:pPr>
              <w:pStyle w:val="TableParagraph"/>
              <w:spacing w:line="227" w:lineRule="exact"/>
              <w:ind w:left="0" w:right="3"/>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tcBorders>
              <w:left w:val="single" w:sz="45" w:space="0" w:color="FF0000"/>
            </w:tcBorders>
          </w:tcPr>
          <w:p>
            <w:pPr>
              <w:pStyle w:val="TableParagraph"/>
              <w:spacing w:line="227" w:lineRule="exact"/>
              <w:ind w:left="0" w:right="53"/>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97" w:type="dxa"/>
          </w:tcPr>
          <w:p>
            <w:pPr>
              <w:pStyle w:val="TableParagraph"/>
              <w:spacing w:line="227" w:lineRule="exact"/>
              <w:ind w:left="0" w:right="1"/>
              <w:jc w:val="center"/>
              <w:rPr>
                <w:sz w:val="20"/>
              </w:rPr>
            </w:pPr>
            <w:r>
              <w:rPr>
                <w:w w:val="99"/>
                <w:sz w:val="20"/>
              </w:rPr>
              <w:t>B</w:t>
            </w:r>
          </w:p>
        </w:tc>
      </w:tr>
      <w:tr>
        <w:trPr>
          <w:trHeight w:val="355" w:hRule="exact"/>
        </w:trPr>
        <w:tc>
          <w:tcPr>
            <w:tcW w:w="1114" w:type="dxa"/>
            <w:vMerge/>
            <w:shd w:val="clear" w:color="auto" w:fill="D99493"/>
            <w:textDirection w:val="btLr"/>
          </w:tcPr>
          <w:p>
            <w:pPr/>
          </w:p>
        </w:tc>
        <w:tc>
          <w:tcPr>
            <w:tcW w:w="814" w:type="dxa"/>
            <w:shd w:val="clear" w:color="auto" w:fill="D99493"/>
          </w:tcPr>
          <w:p>
            <w:pPr>
              <w:pStyle w:val="TableParagraph"/>
              <w:spacing w:line="227" w:lineRule="exact"/>
              <w:ind w:left="0" w:right="1"/>
              <w:jc w:val="center"/>
              <w:rPr>
                <w:sz w:val="20"/>
              </w:rPr>
            </w:pPr>
            <w:r>
              <w:rPr>
                <w:w w:val="99"/>
                <w:sz w:val="20"/>
              </w:rPr>
              <w:t>P</w:t>
            </w:r>
          </w:p>
        </w:tc>
        <w:tc>
          <w:tcPr>
            <w:tcW w:w="3404" w:type="dxa"/>
            <w:tcBorders>
              <w:right w:val="single" w:sz="41" w:space="0" w:color="FF0000"/>
            </w:tcBorders>
          </w:tcPr>
          <w:p>
            <w:pPr>
              <w:pStyle w:val="TableParagraph"/>
              <w:spacing w:line="227" w:lineRule="exact"/>
              <w:ind w:left="357" w:right="314"/>
              <w:jc w:val="center"/>
              <w:rPr>
                <w:sz w:val="20"/>
              </w:rPr>
            </w:pPr>
            <w:r>
              <w:rPr>
                <w:sz w:val="20"/>
              </w:rPr>
              <w:t>Relaciones intermunicipales</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shd w:val="clear" w:color="auto" w:fill="FF0000"/>
          </w:tcPr>
          <w:p>
            <w:pPr>
              <w:pStyle w:val="TableParagraph"/>
              <w:spacing w:line="227" w:lineRule="exact"/>
              <w:ind w:left="0"/>
              <w:jc w:val="center"/>
              <w:rPr>
                <w:sz w:val="20"/>
              </w:rPr>
            </w:pPr>
            <w:r>
              <w:rPr>
                <w:w w:val="99"/>
                <w:sz w:val="20"/>
              </w:rPr>
              <w:t>D</w:t>
            </w:r>
          </w:p>
        </w:tc>
        <w:tc>
          <w:tcPr>
            <w:tcW w:w="788" w:type="dxa"/>
            <w:shd w:val="clear" w:color="auto" w:fill="FF0000"/>
          </w:tcPr>
          <w:p>
            <w:pPr>
              <w:pStyle w:val="TableParagraph"/>
              <w:spacing w:line="227" w:lineRule="exact"/>
              <w:ind w:left="0" w:right="3"/>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shd w:val="clear" w:color="auto" w:fill="FF0000"/>
          </w:tcPr>
          <w:p>
            <w:pPr>
              <w:pStyle w:val="TableParagraph"/>
              <w:spacing w:line="227" w:lineRule="exact"/>
              <w:ind w:left="0"/>
              <w:jc w:val="center"/>
              <w:rPr>
                <w:sz w:val="20"/>
              </w:rPr>
            </w:pPr>
            <w:r>
              <w:rPr>
                <w:w w:val="99"/>
                <w:sz w:val="20"/>
              </w:rPr>
              <w:t>D</w:t>
            </w:r>
          </w:p>
        </w:tc>
        <w:tc>
          <w:tcPr>
            <w:tcW w:w="787" w:type="dxa"/>
            <w:shd w:val="clear" w:color="auto" w:fill="FF0000"/>
          </w:tcPr>
          <w:p>
            <w:pPr>
              <w:pStyle w:val="TableParagraph"/>
              <w:spacing w:line="227" w:lineRule="exact"/>
              <w:ind w:left="0" w:right="2"/>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shd w:val="clear" w:color="auto" w:fill="FF0000"/>
          </w:tcPr>
          <w:p>
            <w:pPr>
              <w:pStyle w:val="TableParagraph"/>
              <w:spacing w:line="227" w:lineRule="exact"/>
              <w:ind w:left="0" w:right="1"/>
              <w:jc w:val="center"/>
              <w:rPr>
                <w:sz w:val="20"/>
              </w:rPr>
            </w:pPr>
            <w:r>
              <w:rPr>
                <w:w w:val="99"/>
                <w:sz w:val="20"/>
              </w:rPr>
              <w:t>D</w:t>
            </w:r>
          </w:p>
        </w:tc>
        <w:tc>
          <w:tcPr>
            <w:tcW w:w="787" w:type="dxa"/>
            <w:shd w:val="clear" w:color="auto" w:fill="FF0000"/>
          </w:tcPr>
          <w:p>
            <w:pPr>
              <w:pStyle w:val="TableParagraph"/>
              <w:spacing w:line="227" w:lineRule="exact"/>
              <w:ind w:left="0" w:right="2"/>
              <w:jc w:val="center"/>
              <w:rPr>
                <w:sz w:val="20"/>
              </w:rPr>
            </w:pPr>
            <w:r>
              <w:rPr>
                <w:w w:val="99"/>
                <w:sz w:val="20"/>
              </w:rPr>
              <w:t>D</w:t>
            </w:r>
          </w:p>
        </w:tc>
        <w:tc>
          <w:tcPr>
            <w:tcW w:w="797" w:type="dxa"/>
            <w:shd w:val="clear" w:color="auto" w:fill="FF0000"/>
          </w:tcPr>
          <w:p>
            <w:pPr>
              <w:pStyle w:val="TableParagraph"/>
              <w:spacing w:line="227" w:lineRule="exact"/>
              <w:ind w:left="0"/>
              <w:jc w:val="center"/>
              <w:rPr>
                <w:sz w:val="20"/>
              </w:rPr>
            </w:pPr>
            <w:r>
              <w:rPr>
                <w:w w:val="99"/>
                <w:sz w:val="20"/>
              </w:rPr>
              <w:t>D</w:t>
            </w:r>
          </w:p>
        </w:tc>
      </w:tr>
      <w:tr>
        <w:trPr>
          <w:trHeight w:val="355" w:hRule="exact"/>
        </w:trPr>
        <w:tc>
          <w:tcPr>
            <w:tcW w:w="1114" w:type="dxa"/>
            <w:vMerge/>
            <w:shd w:val="clear" w:color="auto" w:fill="D99493"/>
            <w:textDirection w:val="btLr"/>
          </w:tcPr>
          <w:p>
            <w:pPr/>
          </w:p>
        </w:tc>
        <w:tc>
          <w:tcPr>
            <w:tcW w:w="814" w:type="dxa"/>
            <w:shd w:val="clear" w:color="auto" w:fill="D99493"/>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6" w:right="314"/>
              <w:jc w:val="center"/>
              <w:rPr>
                <w:sz w:val="20"/>
              </w:rPr>
            </w:pPr>
            <w:r>
              <w:rPr>
                <w:sz w:val="20"/>
              </w:rPr>
              <w:t>Cooperación sociopolítica</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shd w:val="clear" w:color="auto" w:fill="00FF00"/>
          </w:tcPr>
          <w:p>
            <w:pPr>
              <w:pStyle w:val="TableParagraph"/>
              <w:spacing w:line="227" w:lineRule="exact"/>
              <w:ind w:left="0" w:right="1"/>
              <w:jc w:val="center"/>
              <w:rPr>
                <w:sz w:val="20"/>
              </w:rPr>
            </w:pPr>
            <w:r>
              <w:rPr>
                <w:w w:val="99"/>
                <w:sz w:val="20"/>
              </w:rPr>
              <w:t>E</w:t>
            </w:r>
          </w:p>
        </w:tc>
        <w:tc>
          <w:tcPr>
            <w:tcW w:w="788" w:type="dxa"/>
            <w:tcBorders>
              <w:left w:val="thickThinMediumGap" w:sz="23" w:space="0" w:color="00FF00"/>
            </w:tcBorders>
          </w:tcPr>
          <w:p>
            <w:pPr>
              <w:pStyle w:val="TableParagraph"/>
              <w:spacing w:line="227" w:lineRule="exact"/>
              <w:ind w:left="0" w:right="57"/>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97" w:type="dxa"/>
          </w:tcPr>
          <w:p>
            <w:pPr>
              <w:pStyle w:val="TableParagraph"/>
              <w:spacing w:line="227" w:lineRule="exact"/>
              <w:ind w:left="0" w:right="1"/>
              <w:jc w:val="center"/>
              <w:rPr>
                <w:sz w:val="20"/>
              </w:rPr>
            </w:pPr>
            <w:r>
              <w:rPr>
                <w:w w:val="99"/>
                <w:sz w:val="20"/>
              </w:rPr>
              <w:t>B</w:t>
            </w:r>
          </w:p>
        </w:tc>
      </w:tr>
      <w:tr>
        <w:trPr>
          <w:trHeight w:val="365" w:hRule="exact"/>
        </w:trPr>
        <w:tc>
          <w:tcPr>
            <w:tcW w:w="1114" w:type="dxa"/>
            <w:vMerge/>
            <w:tcBorders>
              <w:bottom w:val="single" w:sz="12" w:space="0" w:color="000000"/>
            </w:tcBorders>
            <w:shd w:val="clear" w:color="auto" w:fill="D99493"/>
            <w:textDirection w:val="btLr"/>
          </w:tcPr>
          <w:p>
            <w:pPr/>
          </w:p>
        </w:tc>
        <w:tc>
          <w:tcPr>
            <w:tcW w:w="814" w:type="dxa"/>
            <w:tcBorders>
              <w:bottom w:val="single" w:sz="12" w:space="0" w:color="000000"/>
            </w:tcBorders>
            <w:shd w:val="clear" w:color="auto" w:fill="D99493"/>
          </w:tcPr>
          <w:p>
            <w:pPr>
              <w:pStyle w:val="TableParagraph"/>
              <w:spacing w:line="227" w:lineRule="exact"/>
              <w:ind w:left="0" w:right="1"/>
              <w:jc w:val="center"/>
              <w:rPr>
                <w:sz w:val="20"/>
              </w:rPr>
            </w:pPr>
            <w:r>
              <w:rPr>
                <w:w w:val="99"/>
                <w:sz w:val="20"/>
              </w:rPr>
              <w:t>P</w:t>
            </w:r>
          </w:p>
        </w:tc>
        <w:tc>
          <w:tcPr>
            <w:tcW w:w="3404" w:type="dxa"/>
            <w:tcBorders>
              <w:bottom w:val="single" w:sz="12" w:space="0" w:color="000000"/>
              <w:right w:val="single" w:sz="41" w:space="0" w:color="00FF00"/>
            </w:tcBorders>
          </w:tcPr>
          <w:p>
            <w:pPr>
              <w:pStyle w:val="TableParagraph"/>
              <w:spacing w:line="227" w:lineRule="exact"/>
              <w:ind w:left="353" w:right="314"/>
              <w:jc w:val="center"/>
              <w:rPr>
                <w:sz w:val="20"/>
              </w:rPr>
            </w:pPr>
            <w:r>
              <w:rPr>
                <w:sz w:val="20"/>
              </w:rPr>
              <w:t>Identidad sociopolítica</w:t>
            </w:r>
          </w:p>
        </w:tc>
        <w:tc>
          <w:tcPr>
            <w:tcW w:w="787"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88" w:type="dxa"/>
            <w:tcBorders>
              <w:bottom w:val="single" w:sz="12" w:space="0" w:color="000000"/>
            </w:tcBorders>
            <w:shd w:val="clear" w:color="auto" w:fill="00FF00"/>
          </w:tcPr>
          <w:p>
            <w:pPr>
              <w:pStyle w:val="TableParagraph"/>
              <w:spacing w:line="227" w:lineRule="exact"/>
              <w:ind w:left="0" w:right="4"/>
              <w:jc w:val="center"/>
              <w:rPr>
                <w:sz w:val="20"/>
              </w:rPr>
            </w:pPr>
            <w:r>
              <w:rPr>
                <w:w w:val="99"/>
                <w:sz w:val="20"/>
              </w:rPr>
              <w:t>E</w:t>
            </w:r>
          </w:p>
        </w:tc>
        <w:tc>
          <w:tcPr>
            <w:tcW w:w="787"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87" w:type="dxa"/>
            <w:tcBorders>
              <w:bottom w:val="single" w:sz="12" w:space="0" w:color="000000"/>
            </w:tcBorders>
            <w:shd w:val="clear" w:color="auto" w:fill="00FF00"/>
          </w:tcPr>
          <w:p>
            <w:pPr>
              <w:pStyle w:val="TableParagraph"/>
              <w:spacing w:line="227" w:lineRule="exact"/>
              <w:ind w:left="0" w:right="4"/>
              <w:jc w:val="center"/>
              <w:rPr>
                <w:sz w:val="20"/>
              </w:rPr>
            </w:pPr>
            <w:r>
              <w:rPr>
                <w:w w:val="99"/>
                <w:sz w:val="20"/>
              </w:rPr>
              <w:t>E</w:t>
            </w:r>
          </w:p>
        </w:tc>
        <w:tc>
          <w:tcPr>
            <w:tcW w:w="787"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87" w:type="dxa"/>
            <w:tcBorders>
              <w:bottom w:val="single" w:sz="12" w:space="0" w:color="000000"/>
            </w:tcBorders>
            <w:shd w:val="clear" w:color="auto" w:fill="00FF00"/>
          </w:tcPr>
          <w:p>
            <w:pPr>
              <w:pStyle w:val="TableParagraph"/>
              <w:spacing w:line="227" w:lineRule="exact"/>
              <w:ind w:left="0" w:right="4"/>
              <w:jc w:val="center"/>
              <w:rPr>
                <w:sz w:val="20"/>
              </w:rPr>
            </w:pPr>
            <w:r>
              <w:rPr>
                <w:w w:val="99"/>
                <w:sz w:val="20"/>
              </w:rPr>
              <w:t>E</w:t>
            </w:r>
          </w:p>
        </w:tc>
        <w:tc>
          <w:tcPr>
            <w:tcW w:w="797"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r>
      <w:tr>
        <w:trPr>
          <w:trHeight w:val="365" w:hRule="exact"/>
        </w:trPr>
        <w:tc>
          <w:tcPr>
            <w:tcW w:w="1114" w:type="dxa"/>
            <w:vMerge w:val="restart"/>
            <w:tcBorders>
              <w:top w:val="single" w:sz="12" w:space="0" w:color="000000"/>
            </w:tcBorders>
            <w:shd w:val="clear" w:color="auto" w:fill="F79546"/>
            <w:textDirection w:val="btLr"/>
          </w:tcPr>
          <w:p>
            <w:pPr>
              <w:pStyle w:val="TableParagraph"/>
              <w:spacing w:before="105"/>
              <w:ind w:left="436"/>
              <w:rPr>
                <w:b/>
                <w:sz w:val="20"/>
              </w:rPr>
            </w:pPr>
            <w:r>
              <w:rPr>
                <w:b/>
                <w:spacing w:val="-1"/>
                <w:w w:val="99"/>
                <w:sz w:val="20"/>
              </w:rPr>
              <w:t>E</w:t>
            </w:r>
            <w:r>
              <w:rPr>
                <w:b/>
                <w:w w:val="99"/>
                <w:sz w:val="20"/>
              </w:rPr>
              <w:t>C</w:t>
            </w:r>
            <w:r>
              <w:rPr>
                <w:b/>
                <w:spacing w:val="1"/>
                <w:w w:val="99"/>
                <w:sz w:val="20"/>
              </w:rPr>
              <w:t>O</w:t>
            </w:r>
            <w:r>
              <w:rPr>
                <w:b/>
                <w:w w:val="99"/>
                <w:sz w:val="20"/>
              </w:rPr>
              <w:t>N</w:t>
            </w:r>
            <w:r>
              <w:rPr>
                <w:b/>
                <w:spacing w:val="1"/>
                <w:w w:val="99"/>
                <w:sz w:val="20"/>
              </w:rPr>
              <w:t>Ó</w:t>
            </w:r>
            <w:r>
              <w:rPr>
                <w:b/>
                <w:w w:val="99"/>
                <w:sz w:val="20"/>
              </w:rPr>
              <w:t>MI</w:t>
            </w:r>
            <w:r>
              <w:rPr>
                <w:b/>
                <w:spacing w:val="1"/>
                <w:w w:val="99"/>
                <w:sz w:val="20"/>
              </w:rPr>
              <w:t>C</w:t>
            </w:r>
            <w:r>
              <w:rPr>
                <w:b/>
                <w:w w:val="99"/>
                <w:sz w:val="20"/>
              </w:rPr>
              <w:t>A</w:t>
            </w:r>
          </w:p>
        </w:tc>
        <w:tc>
          <w:tcPr>
            <w:tcW w:w="814" w:type="dxa"/>
            <w:tcBorders>
              <w:top w:val="single" w:sz="12" w:space="0" w:color="000000"/>
            </w:tcBorders>
            <w:shd w:val="clear" w:color="auto" w:fill="F79546"/>
          </w:tcPr>
          <w:p>
            <w:pPr>
              <w:pStyle w:val="TableParagraph"/>
              <w:spacing w:line="227" w:lineRule="exact"/>
              <w:ind w:left="0" w:right="1"/>
              <w:jc w:val="center"/>
              <w:rPr>
                <w:sz w:val="20"/>
              </w:rPr>
            </w:pPr>
            <w:r>
              <w:rPr>
                <w:w w:val="99"/>
                <w:sz w:val="20"/>
              </w:rPr>
              <w:t>P</w:t>
            </w:r>
          </w:p>
        </w:tc>
        <w:tc>
          <w:tcPr>
            <w:tcW w:w="3404" w:type="dxa"/>
            <w:tcBorders>
              <w:top w:val="single" w:sz="12" w:space="0" w:color="000000"/>
              <w:right w:val="single" w:sz="41" w:space="0" w:color="00FF00"/>
            </w:tcBorders>
          </w:tcPr>
          <w:p>
            <w:pPr>
              <w:pStyle w:val="TableParagraph"/>
              <w:spacing w:line="227" w:lineRule="exact"/>
              <w:ind w:left="356" w:right="314"/>
              <w:jc w:val="center"/>
              <w:rPr>
                <w:sz w:val="20"/>
              </w:rPr>
            </w:pPr>
            <w:r>
              <w:rPr>
                <w:sz w:val="20"/>
              </w:rPr>
              <w:t>Historia económica</w:t>
            </w:r>
          </w:p>
        </w:tc>
        <w:tc>
          <w:tcPr>
            <w:tcW w:w="787" w:type="dxa"/>
            <w:tcBorders>
              <w:top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top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88" w:type="dxa"/>
            <w:tcBorders>
              <w:top w:val="single" w:sz="12" w:space="0" w:color="000000"/>
            </w:tcBorders>
            <w:shd w:val="clear" w:color="auto" w:fill="00FF00"/>
          </w:tcPr>
          <w:p>
            <w:pPr>
              <w:pStyle w:val="TableParagraph"/>
              <w:spacing w:line="227" w:lineRule="exact"/>
              <w:ind w:left="0" w:right="4"/>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top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7" w:lineRule="exact"/>
              <w:ind w:left="0" w:right="4"/>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top w:val="single" w:sz="12" w:space="0" w:color="000000"/>
              <w:right w:val="single" w:sz="41" w:space="0" w:color="FF0000"/>
            </w:tcBorders>
            <w:shd w:val="clear" w:color="auto" w:fill="00FF00"/>
          </w:tcPr>
          <w:p>
            <w:pPr>
              <w:pStyle w:val="TableParagraph"/>
              <w:spacing w:line="227" w:lineRule="exact"/>
              <w:ind w:left="43"/>
              <w:jc w:val="center"/>
              <w:rPr>
                <w:sz w:val="20"/>
              </w:rPr>
            </w:pPr>
            <w:r>
              <w:rPr>
                <w:w w:val="99"/>
                <w:sz w:val="20"/>
              </w:rPr>
              <w:t>E</w:t>
            </w:r>
          </w:p>
        </w:tc>
        <w:tc>
          <w:tcPr>
            <w:tcW w:w="787" w:type="dxa"/>
            <w:tcBorders>
              <w:top w:val="single" w:sz="12" w:space="0" w:color="000000"/>
              <w:left w:val="thickThinMediumGap" w:sz="23" w:space="0" w:color="00FF00"/>
            </w:tcBorders>
            <w:shd w:val="clear" w:color="auto" w:fill="FF0000"/>
          </w:tcPr>
          <w:p>
            <w:pPr>
              <w:pStyle w:val="TableParagraph"/>
              <w:spacing w:line="227" w:lineRule="exact"/>
              <w:ind w:left="0" w:right="55"/>
              <w:jc w:val="center"/>
              <w:rPr>
                <w:sz w:val="20"/>
              </w:rPr>
            </w:pPr>
            <w:r>
              <w:rPr>
                <w:w w:val="99"/>
                <w:sz w:val="20"/>
              </w:rPr>
              <w:t>D</w:t>
            </w:r>
          </w:p>
        </w:tc>
        <w:tc>
          <w:tcPr>
            <w:tcW w:w="797" w:type="dxa"/>
            <w:tcBorders>
              <w:top w:val="single" w:sz="12" w:space="0" w:color="000000"/>
            </w:tcBorders>
            <w:shd w:val="clear" w:color="auto" w:fill="FF0000"/>
          </w:tcPr>
          <w:p>
            <w:pPr>
              <w:pStyle w:val="TableParagraph"/>
              <w:spacing w:line="227" w:lineRule="exact"/>
              <w:ind w:left="0"/>
              <w:jc w:val="center"/>
              <w:rPr>
                <w:sz w:val="20"/>
              </w:rPr>
            </w:pPr>
            <w:r>
              <w:rPr>
                <w:w w:val="99"/>
                <w:sz w:val="20"/>
              </w:rPr>
              <w:t>D</w:t>
            </w:r>
          </w:p>
        </w:tc>
      </w:tr>
      <w:tr>
        <w:trPr>
          <w:trHeight w:val="356" w:hRule="exact"/>
        </w:trPr>
        <w:tc>
          <w:tcPr>
            <w:tcW w:w="1114" w:type="dxa"/>
            <w:vMerge/>
            <w:shd w:val="clear" w:color="auto" w:fill="F79546"/>
            <w:textDirection w:val="btLr"/>
          </w:tcPr>
          <w:p>
            <w:pPr/>
          </w:p>
        </w:tc>
        <w:tc>
          <w:tcPr>
            <w:tcW w:w="814" w:type="dxa"/>
            <w:shd w:val="clear" w:color="auto" w:fill="F79546"/>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6" w:right="314"/>
              <w:jc w:val="center"/>
              <w:rPr>
                <w:sz w:val="20"/>
              </w:rPr>
            </w:pPr>
            <w:r>
              <w:rPr>
                <w:sz w:val="20"/>
              </w:rPr>
              <w:t>Cultura económica</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shd w:val="clear" w:color="auto" w:fill="00FF00"/>
          </w:tcPr>
          <w:p>
            <w:pPr>
              <w:pStyle w:val="TableParagraph"/>
              <w:spacing w:line="227" w:lineRule="exact"/>
              <w:ind w:left="0" w:right="1"/>
              <w:jc w:val="center"/>
              <w:rPr>
                <w:sz w:val="20"/>
              </w:rPr>
            </w:pPr>
            <w:r>
              <w:rPr>
                <w:w w:val="99"/>
                <w:sz w:val="20"/>
              </w:rPr>
              <w:t>E</w:t>
            </w:r>
          </w:p>
        </w:tc>
        <w:tc>
          <w:tcPr>
            <w:tcW w:w="788" w:type="dxa"/>
            <w:tcBorders>
              <w:left w:val="thickThinMediumGap" w:sz="23" w:space="0" w:color="00FF00"/>
            </w:tcBorders>
          </w:tcPr>
          <w:p>
            <w:pPr>
              <w:pStyle w:val="TableParagraph"/>
              <w:spacing w:line="227" w:lineRule="exact"/>
              <w:ind w:left="0" w:right="57"/>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97" w:type="dxa"/>
          </w:tcPr>
          <w:p>
            <w:pPr>
              <w:pStyle w:val="TableParagraph"/>
              <w:spacing w:line="227" w:lineRule="exact"/>
              <w:ind w:left="0" w:right="1"/>
              <w:jc w:val="center"/>
              <w:rPr>
                <w:sz w:val="20"/>
              </w:rPr>
            </w:pPr>
            <w:r>
              <w:rPr>
                <w:w w:val="99"/>
                <w:sz w:val="20"/>
              </w:rPr>
              <w:t>B</w:t>
            </w:r>
          </w:p>
        </w:tc>
      </w:tr>
      <w:tr>
        <w:trPr>
          <w:trHeight w:val="355" w:hRule="exact"/>
        </w:trPr>
        <w:tc>
          <w:tcPr>
            <w:tcW w:w="1114" w:type="dxa"/>
            <w:vMerge/>
            <w:shd w:val="clear" w:color="auto" w:fill="F79546"/>
            <w:textDirection w:val="btLr"/>
          </w:tcPr>
          <w:p>
            <w:pPr/>
          </w:p>
        </w:tc>
        <w:tc>
          <w:tcPr>
            <w:tcW w:w="814" w:type="dxa"/>
            <w:shd w:val="clear" w:color="auto" w:fill="F79546"/>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5" w:right="314"/>
              <w:jc w:val="center"/>
              <w:rPr>
                <w:sz w:val="20"/>
              </w:rPr>
            </w:pPr>
            <w:r>
              <w:rPr>
                <w:sz w:val="20"/>
              </w:rPr>
              <w:t>Democracia y voluntariedad</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right w:val="single" w:sz="41" w:space="0" w:color="FF0000"/>
            </w:tcBorders>
          </w:tcPr>
          <w:p>
            <w:pPr>
              <w:pStyle w:val="TableParagraph"/>
              <w:spacing w:line="227" w:lineRule="exact"/>
              <w:ind w:left="0" w:right="1"/>
              <w:jc w:val="center"/>
              <w:rPr>
                <w:sz w:val="20"/>
              </w:rPr>
            </w:pPr>
            <w:r>
              <w:rPr>
                <w:w w:val="99"/>
                <w:sz w:val="20"/>
              </w:rPr>
              <w:t>B</w:t>
            </w:r>
          </w:p>
        </w:tc>
        <w:tc>
          <w:tcPr>
            <w:tcW w:w="788" w:type="dxa"/>
            <w:shd w:val="clear" w:color="auto" w:fill="FF0000"/>
          </w:tcPr>
          <w:p>
            <w:pPr>
              <w:pStyle w:val="TableParagraph"/>
              <w:spacing w:line="227" w:lineRule="exact"/>
              <w:ind w:left="0" w:right="3"/>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shd w:val="clear" w:color="auto" w:fill="FF0000"/>
          </w:tcPr>
          <w:p>
            <w:pPr>
              <w:pStyle w:val="TableParagraph"/>
              <w:spacing w:line="227" w:lineRule="exact"/>
              <w:ind w:left="0"/>
              <w:jc w:val="center"/>
              <w:rPr>
                <w:sz w:val="20"/>
              </w:rPr>
            </w:pPr>
            <w:r>
              <w:rPr>
                <w:w w:val="99"/>
                <w:sz w:val="20"/>
              </w:rPr>
              <w:t>D</w:t>
            </w:r>
          </w:p>
        </w:tc>
        <w:tc>
          <w:tcPr>
            <w:tcW w:w="787" w:type="dxa"/>
            <w:shd w:val="clear" w:color="auto" w:fill="FF0000"/>
          </w:tcPr>
          <w:p>
            <w:pPr>
              <w:pStyle w:val="TableParagraph"/>
              <w:spacing w:line="227" w:lineRule="exact"/>
              <w:ind w:left="0" w:right="2"/>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shd w:val="clear" w:color="auto" w:fill="FF0000"/>
          </w:tcPr>
          <w:p>
            <w:pPr>
              <w:pStyle w:val="TableParagraph"/>
              <w:spacing w:line="227" w:lineRule="exact"/>
              <w:ind w:left="0" w:right="1"/>
              <w:jc w:val="center"/>
              <w:rPr>
                <w:sz w:val="20"/>
              </w:rPr>
            </w:pPr>
            <w:r>
              <w:rPr>
                <w:w w:val="99"/>
                <w:sz w:val="20"/>
              </w:rPr>
              <w:t>D</w:t>
            </w:r>
          </w:p>
        </w:tc>
        <w:tc>
          <w:tcPr>
            <w:tcW w:w="787" w:type="dxa"/>
            <w:tcBorders>
              <w:right w:val="single" w:sz="45" w:space="0" w:color="FFFF00"/>
            </w:tcBorders>
            <w:shd w:val="clear" w:color="auto" w:fill="FF0000"/>
          </w:tcPr>
          <w:p>
            <w:pPr>
              <w:pStyle w:val="TableParagraph"/>
              <w:spacing w:line="227" w:lineRule="exact"/>
              <w:ind w:left="46"/>
              <w:jc w:val="center"/>
              <w:rPr>
                <w:sz w:val="20"/>
              </w:rPr>
            </w:pPr>
            <w:r>
              <w:rPr>
                <w:w w:val="99"/>
                <w:sz w:val="20"/>
              </w:rPr>
              <w:t>D</w:t>
            </w:r>
          </w:p>
        </w:tc>
        <w:tc>
          <w:tcPr>
            <w:tcW w:w="797" w:type="dxa"/>
            <w:tcBorders>
              <w:left w:val="single" w:sz="45" w:space="0" w:color="FF0000"/>
            </w:tcBorders>
            <w:shd w:val="clear" w:color="auto" w:fill="FFFF00"/>
          </w:tcPr>
          <w:p>
            <w:pPr>
              <w:pStyle w:val="TableParagraph"/>
              <w:spacing w:line="227" w:lineRule="exact"/>
              <w:ind w:left="0" w:right="49"/>
              <w:jc w:val="center"/>
              <w:rPr>
                <w:sz w:val="20"/>
              </w:rPr>
            </w:pPr>
            <w:r>
              <w:rPr>
                <w:w w:val="99"/>
                <w:sz w:val="20"/>
              </w:rPr>
              <w:t>R</w:t>
            </w:r>
          </w:p>
        </w:tc>
      </w:tr>
      <w:tr>
        <w:trPr>
          <w:trHeight w:val="355" w:hRule="exact"/>
        </w:trPr>
        <w:tc>
          <w:tcPr>
            <w:tcW w:w="1114" w:type="dxa"/>
            <w:vMerge/>
            <w:shd w:val="clear" w:color="auto" w:fill="F79546"/>
            <w:textDirection w:val="btLr"/>
          </w:tcPr>
          <w:p>
            <w:pPr/>
          </w:p>
        </w:tc>
        <w:tc>
          <w:tcPr>
            <w:tcW w:w="814" w:type="dxa"/>
            <w:shd w:val="clear" w:color="auto" w:fill="F79546"/>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8" w:right="314"/>
              <w:jc w:val="center"/>
              <w:rPr>
                <w:sz w:val="20"/>
              </w:rPr>
            </w:pPr>
            <w:r>
              <w:rPr>
                <w:sz w:val="20"/>
              </w:rPr>
              <w:t>Participación socioeconómica</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right w:val="single" w:sz="41" w:space="0" w:color="FFFF00"/>
            </w:tcBorders>
          </w:tcPr>
          <w:p>
            <w:pPr>
              <w:pStyle w:val="TableParagraph"/>
              <w:spacing w:line="227" w:lineRule="exact"/>
              <w:ind w:left="0" w:right="1"/>
              <w:jc w:val="center"/>
              <w:rPr>
                <w:sz w:val="20"/>
              </w:rPr>
            </w:pPr>
            <w:r>
              <w:rPr>
                <w:w w:val="99"/>
                <w:sz w:val="20"/>
              </w:rPr>
              <w:t>B</w:t>
            </w:r>
          </w:p>
        </w:tc>
        <w:tc>
          <w:tcPr>
            <w:tcW w:w="788" w:type="dxa"/>
            <w:shd w:val="clear" w:color="auto" w:fill="FFFF00"/>
          </w:tcPr>
          <w:p>
            <w:pPr>
              <w:pStyle w:val="TableParagraph"/>
              <w:spacing w:line="227" w:lineRule="exact"/>
              <w:ind w:left="0" w:right="3"/>
              <w:jc w:val="center"/>
              <w:rPr>
                <w:sz w:val="20"/>
              </w:rPr>
            </w:pPr>
            <w:r>
              <w:rPr>
                <w:w w:val="99"/>
                <w:sz w:val="20"/>
              </w:rPr>
              <w:t>R</w:t>
            </w:r>
          </w:p>
        </w:tc>
        <w:tc>
          <w:tcPr>
            <w:tcW w:w="787" w:type="dxa"/>
            <w:shd w:val="clear" w:color="auto" w:fill="FFFF00"/>
          </w:tcPr>
          <w:p>
            <w:pPr>
              <w:pStyle w:val="TableParagraph"/>
              <w:spacing w:line="227" w:lineRule="exact"/>
              <w:ind w:left="0"/>
              <w:jc w:val="center"/>
              <w:rPr>
                <w:sz w:val="20"/>
              </w:rPr>
            </w:pPr>
            <w:r>
              <w:rPr>
                <w:w w:val="99"/>
                <w:sz w:val="20"/>
              </w:rPr>
              <w:t>R</w:t>
            </w:r>
          </w:p>
        </w:tc>
        <w:tc>
          <w:tcPr>
            <w:tcW w:w="790" w:type="dxa"/>
            <w:shd w:val="clear" w:color="auto" w:fill="FFFF00"/>
          </w:tcPr>
          <w:p>
            <w:pPr>
              <w:pStyle w:val="TableParagraph"/>
              <w:spacing w:line="227" w:lineRule="exact"/>
              <w:ind w:left="0"/>
              <w:jc w:val="center"/>
              <w:rPr>
                <w:sz w:val="20"/>
              </w:rPr>
            </w:pPr>
            <w:r>
              <w:rPr>
                <w:w w:val="99"/>
                <w:sz w:val="20"/>
              </w:rPr>
              <w:t>R</w:t>
            </w:r>
          </w:p>
        </w:tc>
        <w:tc>
          <w:tcPr>
            <w:tcW w:w="787" w:type="dxa"/>
            <w:shd w:val="clear" w:color="auto" w:fill="FFFF00"/>
          </w:tcPr>
          <w:p>
            <w:pPr>
              <w:pStyle w:val="TableParagraph"/>
              <w:spacing w:line="227" w:lineRule="exact"/>
              <w:ind w:left="0" w:right="2"/>
              <w:jc w:val="center"/>
              <w:rPr>
                <w:sz w:val="20"/>
              </w:rPr>
            </w:pPr>
            <w:r>
              <w:rPr>
                <w:w w:val="99"/>
                <w:sz w:val="20"/>
              </w:rPr>
              <w:t>R</w:t>
            </w:r>
          </w:p>
        </w:tc>
        <w:tc>
          <w:tcPr>
            <w:tcW w:w="787" w:type="dxa"/>
            <w:shd w:val="clear" w:color="auto" w:fill="FFFF00"/>
          </w:tcPr>
          <w:p>
            <w:pPr>
              <w:pStyle w:val="TableParagraph"/>
              <w:spacing w:line="227" w:lineRule="exact"/>
              <w:ind w:left="0"/>
              <w:jc w:val="center"/>
              <w:rPr>
                <w:sz w:val="20"/>
              </w:rPr>
            </w:pPr>
            <w:r>
              <w:rPr>
                <w:w w:val="99"/>
                <w:sz w:val="20"/>
              </w:rPr>
              <w:t>R</w:t>
            </w:r>
          </w:p>
        </w:tc>
        <w:tc>
          <w:tcPr>
            <w:tcW w:w="790" w:type="dxa"/>
            <w:shd w:val="clear" w:color="auto" w:fill="FFFF00"/>
          </w:tcPr>
          <w:p>
            <w:pPr>
              <w:pStyle w:val="TableParagraph"/>
              <w:spacing w:line="227" w:lineRule="exact"/>
              <w:ind w:left="0" w:right="1"/>
              <w:jc w:val="center"/>
              <w:rPr>
                <w:sz w:val="20"/>
              </w:rPr>
            </w:pPr>
            <w:r>
              <w:rPr>
                <w:w w:val="99"/>
                <w:sz w:val="20"/>
              </w:rPr>
              <w:t>R</w:t>
            </w:r>
          </w:p>
        </w:tc>
        <w:tc>
          <w:tcPr>
            <w:tcW w:w="787" w:type="dxa"/>
            <w:shd w:val="clear" w:color="auto" w:fill="FFFF00"/>
          </w:tcPr>
          <w:p>
            <w:pPr>
              <w:pStyle w:val="TableParagraph"/>
              <w:spacing w:line="227" w:lineRule="exact"/>
              <w:ind w:left="0" w:right="2"/>
              <w:jc w:val="center"/>
              <w:rPr>
                <w:sz w:val="20"/>
              </w:rPr>
            </w:pPr>
            <w:r>
              <w:rPr>
                <w:w w:val="99"/>
                <w:sz w:val="20"/>
              </w:rPr>
              <w:t>R</w:t>
            </w:r>
          </w:p>
        </w:tc>
        <w:tc>
          <w:tcPr>
            <w:tcW w:w="797" w:type="dxa"/>
            <w:shd w:val="clear" w:color="auto" w:fill="FFFF00"/>
          </w:tcPr>
          <w:p>
            <w:pPr>
              <w:pStyle w:val="TableParagraph"/>
              <w:spacing w:line="227" w:lineRule="exact"/>
              <w:ind w:left="0"/>
              <w:jc w:val="center"/>
              <w:rPr>
                <w:sz w:val="20"/>
              </w:rPr>
            </w:pPr>
            <w:r>
              <w:rPr>
                <w:w w:val="99"/>
                <w:sz w:val="20"/>
              </w:rPr>
              <w:t>R</w:t>
            </w:r>
          </w:p>
        </w:tc>
      </w:tr>
      <w:tr>
        <w:trPr>
          <w:trHeight w:val="355" w:hRule="exact"/>
        </w:trPr>
        <w:tc>
          <w:tcPr>
            <w:tcW w:w="1114" w:type="dxa"/>
            <w:vMerge/>
            <w:shd w:val="clear" w:color="auto" w:fill="F79546"/>
            <w:textDirection w:val="btLr"/>
          </w:tcPr>
          <w:p>
            <w:pPr/>
          </w:p>
        </w:tc>
        <w:tc>
          <w:tcPr>
            <w:tcW w:w="814" w:type="dxa"/>
            <w:shd w:val="clear" w:color="auto" w:fill="F79546"/>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7" w:right="314"/>
              <w:jc w:val="center"/>
              <w:rPr>
                <w:sz w:val="20"/>
              </w:rPr>
            </w:pPr>
            <w:r>
              <w:rPr>
                <w:sz w:val="20"/>
              </w:rPr>
              <w:t>Relaciones intermunicipales</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right w:val="single" w:sz="41" w:space="0" w:color="FFFF00"/>
            </w:tcBorders>
          </w:tcPr>
          <w:p>
            <w:pPr>
              <w:pStyle w:val="TableParagraph"/>
              <w:spacing w:line="227" w:lineRule="exact"/>
              <w:ind w:left="0" w:right="1"/>
              <w:jc w:val="center"/>
              <w:rPr>
                <w:sz w:val="20"/>
              </w:rPr>
            </w:pPr>
            <w:r>
              <w:rPr>
                <w:w w:val="99"/>
                <w:sz w:val="20"/>
              </w:rPr>
              <w:t>B</w:t>
            </w:r>
          </w:p>
        </w:tc>
        <w:tc>
          <w:tcPr>
            <w:tcW w:w="788" w:type="dxa"/>
            <w:shd w:val="clear" w:color="auto" w:fill="FFFF00"/>
          </w:tcPr>
          <w:p>
            <w:pPr>
              <w:pStyle w:val="TableParagraph"/>
              <w:spacing w:line="227" w:lineRule="exact"/>
              <w:ind w:left="0" w:right="3"/>
              <w:jc w:val="center"/>
              <w:rPr>
                <w:sz w:val="20"/>
              </w:rPr>
            </w:pPr>
            <w:r>
              <w:rPr>
                <w:w w:val="99"/>
                <w:sz w:val="20"/>
              </w:rPr>
              <w:t>R</w:t>
            </w:r>
          </w:p>
        </w:tc>
        <w:tc>
          <w:tcPr>
            <w:tcW w:w="787" w:type="dxa"/>
            <w:shd w:val="clear" w:color="auto" w:fill="FFFF00"/>
          </w:tcPr>
          <w:p>
            <w:pPr>
              <w:pStyle w:val="TableParagraph"/>
              <w:spacing w:line="227" w:lineRule="exact"/>
              <w:ind w:left="0"/>
              <w:jc w:val="center"/>
              <w:rPr>
                <w:sz w:val="20"/>
              </w:rPr>
            </w:pPr>
            <w:r>
              <w:rPr>
                <w:w w:val="99"/>
                <w:sz w:val="20"/>
              </w:rPr>
              <w:t>R</w:t>
            </w:r>
          </w:p>
        </w:tc>
        <w:tc>
          <w:tcPr>
            <w:tcW w:w="790" w:type="dxa"/>
            <w:shd w:val="clear" w:color="auto" w:fill="FFFF00"/>
          </w:tcPr>
          <w:p>
            <w:pPr>
              <w:pStyle w:val="TableParagraph"/>
              <w:spacing w:line="227" w:lineRule="exact"/>
              <w:ind w:left="0"/>
              <w:jc w:val="center"/>
              <w:rPr>
                <w:sz w:val="20"/>
              </w:rPr>
            </w:pPr>
            <w:r>
              <w:rPr>
                <w:w w:val="99"/>
                <w:sz w:val="20"/>
              </w:rPr>
              <w:t>R</w:t>
            </w:r>
          </w:p>
        </w:tc>
        <w:tc>
          <w:tcPr>
            <w:tcW w:w="787" w:type="dxa"/>
            <w:shd w:val="clear" w:color="auto" w:fill="FFFF00"/>
          </w:tcPr>
          <w:p>
            <w:pPr>
              <w:pStyle w:val="TableParagraph"/>
              <w:spacing w:line="227" w:lineRule="exact"/>
              <w:ind w:left="0" w:right="2"/>
              <w:jc w:val="center"/>
              <w:rPr>
                <w:sz w:val="20"/>
              </w:rPr>
            </w:pPr>
            <w:r>
              <w:rPr>
                <w:w w:val="99"/>
                <w:sz w:val="20"/>
              </w:rPr>
              <w:t>R</w:t>
            </w:r>
          </w:p>
        </w:tc>
        <w:tc>
          <w:tcPr>
            <w:tcW w:w="787" w:type="dxa"/>
            <w:shd w:val="clear" w:color="auto" w:fill="FFFF00"/>
          </w:tcPr>
          <w:p>
            <w:pPr>
              <w:pStyle w:val="TableParagraph"/>
              <w:spacing w:line="227" w:lineRule="exact"/>
              <w:ind w:left="0"/>
              <w:jc w:val="center"/>
              <w:rPr>
                <w:sz w:val="20"/>
              </w:rPr>
            </w:pPr>
            <w:r>
              <w:rPr>
                <w:w w:val="99"/>
                <w:sz w:val="20"/>
              </w:rPr>
              <w:t>R</w:t>
            </w:r>
          </w:p>
        </w:tc>
        <w:tc>
          <w:tcPr>
            <w:tcW w:w="790" w:type="dxa"/>
            <w:shd w:val="clear" w:color="auto" w:fill="FFFF00"/>
          </w:tcPr>
          <w:p>
            <w:pPr>
              <w:pStyle w:val="TableParagraph"/>
              <w:spacing w:line="227" w:lineRule="exact"/>
              <w:ind w:left="0" w:right="1"/>
              <w:jc w:val="center"/>
              <w:rPr>
                <w:sz w:val="20"/>
              </w:rPr>
            </w:pPr>
            <w:r>
              <w:rPr>
                <w:w w:val="99"/>
                <w:sz w:val="20"/>
              </w:rPr>
              <w:t>R</w:t>
            </w:r>
          </w:p>
        </w:tc>
        <w:tc>
          <w:tcPr>
            <w:tcW w:w="787" w:type="dxa"/>
            <w:shd w:val="clear" w:color="auto" w:fill="FFFF00"/>
          </w:tcPr>
          <w:p>
            <w:pPr>
              <w:pStyle w:val="TableParagraph"/>
              <w:spacing w:line="227" w:lineRule="exact"/>
              <w:ind w:left="0" w:right="2"/>
              <w:jc w:val="center"/>
              <w:rPr>
                <w:sz w:val="20"/>
              </w:rPr>
            </w:pPr>
            <w:r>
              <w:rPr>
                <w:w w:val="99"/>
                <w:sz w:val="20"/>
              </w:rPr>
              <w:t>R</w:t>
            </w:r>
          </w:p>
        </w:tc>
        <w:tc>
          <w:tcPr>
            <w:tcW w:w="797" w:type="dxa"/>
            <w:shd w:val="clear" w:color="auto" w:fill="FFFF00"/>
          </w:tcPr>
          <w:p>
            <w:pPr>
              <w:pStyle w:val="TableParagraph"/>
              <w:spacing w:line="227" w:lineRule="exact"/>
              <w:ind w:left="0"/>
              <w:jc w:val="center"/>
              <w:rPr>
                <w:sz w:val="20"/>
              </w:rPr>
            </w:pPr>
            <w:r>
              <w:rPr>
                <w:w w:val="99"/>
                <w:sz w:val="20"/>
              </w:rPr>
              <w:t>R</w:t>
            </w:r>
          </w:p>
        </w:tc>
      </w:tr>
      <w:tr>
        <w:trPr>
          <w:trHeight w:val="362" w:hRule="exact"/>
        </w:trPr>
        <w:tc>
          <w:tcPr>
            <w:tcW w:w="1114" w:type="dxa"/>
            <w:vMerge/>
            <w:tcBorders>
              <w:bottom w:val="single" w:sz="12" w:space="0" w:color="000000"/>
            </w:tcBorders>
            <w:shd w:val="clear" w:color="auto" w:fill="F79546"/>
            <w:textDirection w:val="btLr"/>
          </w:tcPr>
          <w:p>
            <w:pPr/>
          </w:p>
        </w:tc>
        <w:tc>
          <w:tcPr>
            <w:tcW w:w="814" w:type="dxa"/>
            <w:tcBorders>
              <w:bottom w:val="single" w:sz="12" w:space="0" w:color="000000"/>
            </w:tcBorders>
            <w:shd w:val="clear" w:color="auto" w:fill="F79546"/>
          </w:tcPr>
          <w:p>
            <w:pPr>
              <w:pStyle w:val="TableParagraph"/>
              <w:spacing w:line="227" w:lineRule="exact"/>
              <w:ind w:left="0" w:right="1"/>
              <w:jc w:val="center"/>
              <w:rPr>
                <w:sz w:val="20"/>
              </w:rPr>
            </w:pPr>
            <w:r>
              <w:rPr>
                <w:w w:val="99"/>
                <w:sz w:val="20"/>
              </w:rPr>
              <w:t>E</w:t>
            </w:r>
          </w:p>
        </w:tc>
        <w:tc>
          <w:tcPr>
            <w:tcW w:w="3404" w:type="dxa"/>
            <w:tcBorders>
              <w:bottom w:val="single" w:sz="12" w:space="0" w:color="000000"/>
              <w:right w:val="single" w:sz="41" w:space="0" w:color="00FF00"/>
            </w:tcBorders>
          </w:tcPr>
          <w:p>
            <w:pPr>
              <w:pStyle w:val="TableParagraph"/>
              <w:spacing w:line="227" w:lineRule="exact"/>
              <w:ind w:left="355" w:right="314"/>
              <w:jc w:val="center"/>
              <w:rPr>
                <w:sz w:val="20"/>
              </w:rPr>
            </w:pPr>
            <w:r>
              <w:rPr>
                <w:sz w:val="20"/>
              </w:rPr>
              <w:t>Uso irracional</w:t>
            </w:r>
          </w:p>
        </w:tc>
        <w:tc>
          <w:tcPr>
            <w:tcW w:w="787"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bottom w:val="single" w:sz="12" w:space="0" w:color="000000"/>
              <w:right w:val="single" w:sz="41" w:space="0" w:color="FF0000"/>
            </w:tcBorders>
          </w:tcPr>
          <w:p>
            <w:pPr>
              <w:pStyle w:val="TableParagraph"/>
              <w:spacing w:line="227" w:lineRule="exact"/>
              <w:ind w:left="0" w:right="1"/>
              <w:jc w:val="center"/>
              <w:rPr>
                <w:sz w:val="20"/>
              </w:rPr>
            </w:pPr>
            <w:r>
              <w:rPr>
                <w:w w:val="99"/>
                <w:sz w:val="20"/>
              </w:rPr>
              <w:t>B</w:t>
            </w:r>
          </w:p>
        </w:tc>
        <w:tc>
          <w:tcPr>
            <w:tcW w:w="788" w:type="dxa"/>
            <w:tcBorders>
              <w:bottom w:val="single" w:sz="12" w:space="0" w:color="000000"/>
            </w:tcBorders>
            <w:shd w:val="clear" w:color="auto" w:fill="FF0000"/>
          </w:tcPr>
          <w:p>
            <w:pPr>
              <w:pStyle w:val="TableParagraph"/>
              <w:spacing w:line="227" w:lineRule="exact"/>
              <w:ind w:left="0" w:right="3"/>
              <w:jc w:val="center"/>
              <w:rPr>
                <w:sz w:val="20"/>
              </w:rPr>
            </w:pPr>
            <w:r>
              <w:rPr>
                <w:w w:val="99"/>
                <w:sz w:val="20"/>
              </w:rPr>
              <w:t>D</w:t>
            </w:r>
          </w:p>
        </w:tc>
        <w:tc>
          <w:tcPr>
            <w:tcW w:w="787" w:type="dxa"/>
            <w:tcBorders>
              <w:bottom w:val="single" w:sz="12" w:space="0" w:color="000000"/>
            </w:tcBorders>
            <w:shd w:val="clear" w:color="auto" w:fill="FF0000"/>
          </w:tcPr>
          <w:p>
            <w:pPr>
              <w:pStyle w:val="TableParagraph"/>
              <w:spacing w:line="227" w:lineRule="exact"/>
              <w:ind w:left="0"/>
              <w:jc w:val="center"/>
              <w:rPr>
                <w:sz w:val="20"/>
              </w:rPr>
            </w:pPr>
            <w:r>
              <w:rPr>
                <w:w w:val="99"/>
                <w:sz w:val="20"/>
              </w:rPr>
              <w:t>D</w:t>
            </w:r>
          </w:p>
        </w:tc>
        <w:tc>
          <w:tcPr>
            <w:tcW w:w="790" w:type="dxa"/>
            <w:tcBorders>
              <w:bottom w:val="single" w:sz="12" w:space="0" w:color="000000"/>
            </w:tcBorders>
            <w:shd w:val="clear" w:color="auto" w:fill="FF0000"/>
          </w:tcPr>
          <w:p>
            <w:pPr>
              <w:pStyle w:val="TableParagraph"/>
              <w:spacing w:line="227" w:lineRule="exact"/>
              <w:ind w:left="0"/>
              <w:jc w:val="center"/>
              <w:rPr>
                <w:sz w:val="20"/>
              </w:rPr>
            </w:pPr>
            <w:r>
              <w:rPr>
                <w:w w:val="99"/>
                <w:sz w:val="20"/>
              </w:rPr>
              <w:t>D</w:t>
            </w:r>
          </w:p>
        </w:tc>
        <w:tc>
          <w:tcPr>
            <w:tcW w:w="787" w:type="dxa"/>
            <w:tcBorders>
              <w:bottom w:val="single" w:sz="12" w:space="0" w:color="000000"/>
            </w:tcBorders>
            <w:shd w:val="clear" w:color="auto" w:fill="FF0000"/>
          </w:tcPr>
          <w:p>
            <w:pPr>
              <w:pStyle w:val="TableParagraph"/>
              <w:spacing w:line="227" w:lineRule="exact"/>
              <w:ind w:left="0" w:right="2"/>
              <w:jc w:val="center"/>
              <w:rPr>
                <w:sz w:val="20"/>
              </w:rPr>
            </w:pPr>
            <w:r>
              <w:rPr>
                <w:w w:val="99"/>
                <w:sz w:val="20"/>
              </w:rPr>
              <w:t>D</w:t>
            </w:r>
          </w:p>
        </w:tc>
        <w:tc>
          <w:tcPr>
            <w:tcW w:w="787" w:type="dxa"/>
            <w:tcBorders>
              <w:bottom w:val="single" w:sz="12" w:space="0" w:color="000000"/>
            </w:tcBorders>
            <w:shd w:val="clear" w:color="auto" w:fill="FF0000"/>
          </w:tcPr>
          <w:p>
            <w:pPr>
              <w:pStyle w:val="TableParagraph"/>
              <w:spacing w:line="227" w:lineRule="exact"/>
              <w:ind w:left="0"/>
              <w:jc w:val="center"/>
              <w:rPr>
                <w:sz w:val="20"/>
              </w:rPr>
            </w:pPr>
            <w:r>
              <w:rPr>
                <w:w w:val="99"/>
                <w:sz w:val="20"/>
              </w:rPr>
              <w:t>D</w:t>
            </w:r>
          </w:p>
        </w:tc>
        <w:tc>
          <w:tcPr>
            <w:tcW w:w="790" w:type="dxa"/>
            <w:tcBorders>
              <w:bottom w:val="single" w:sz="12" w:space="0" w:color="000000"/>
            </w:tcBorders>
            <w:shd w:val="clear" w:color="auto" w:fill="FF0000"/>
          </w:tcPr>
          <w:p>
            <w:pPr>
              <w:pStyle w:val="TableParagraph"/>
              <w:spacing w:line="227" w:lineRule="exact"/>
              <w:ind w:left="0" w:right="1"/>
              <w:jc w:val="center"/>
              <w:rPr>
                <w:sz w:val="20"/>
              </w:rPr>
            </w:pPr>
            <w:r>
              <w:rPr>
                <w:w w:val="99"/>
                <w:sz w:val="20"/>
              </w:rPr>
              <w:t>D</w:t>
            </w:r>
          </w:p>
        </w:tc>
        <w:tc>
          <w:tcPr>
            <w:tcW w:w="787" w:type="dxa"/>
            <w:tcBorders>
              <w:bottom w:val="single" w:sz="12" w:space="0" w:color="000000"/>
            </w:tcBorders>
            <w:shd w:val="clear" w:color="auto" w:fill="FF0000"/>
          </w:tcPr>
          <w:p>
            <w:pPr>
              <w:pStyle w:val="TableParagraph"/>
              <w:spacing w:line="227" w:lineRule="exact"/>
              <w:ind w:left="0" w:right="2"/>
              <w:jc w:val="center"/>
              <w:rPr>
                <w:sz w:val="20"/>
              </w:rPr>
            </w:pPr>
            <w:r>
              <w:rPr>
                <w:w w:val="99"/>
                <w:sz w:val="20"/>
              </w:rPr>
              <w:t>D</w:t>
            </w:r>
          </w:p>
        </w:tc>
        <w:tc>
          <w:tcPr>
            <w:tcW w:w="797" w:type="dxa"/>
            <w:tcBorders>
              <w:bottom w:val="single" w:sz="12" w:space="0" w:color="000000"/>
            </w:tcBorders>
            <w:shd w:val="clear" w:color="auto" w:fill="FF0000"/>
          </w:tcPr>
          <w:p>
            <w:pPr>
              <w:pStyle w:val="TableParagraph"/>
              <w:spacing w:line="227" w:lineRule="exact"/>
              <w:ind w:left="0"/>
              <w:jc w:val="center"/>
              <w:rPr>
                <w:sz w:val="20"/>
              </w:rPr>
            </w:pPr>
            <w:r>
              <w:rPr>
                <w:w w:val="99"/>
                <w:sz w:val="20"/>
              </w:rPr>
              <w:t>D</w:t>
            </w:r>
          </w:p>
        </w:tc>
      </w:tr>
    </w:tbl>
    <w:p>
      <w:pPr>
        <w:spacing w:after="0" w:line="227" w:lineRule="exact"/>
        <w:jc w:val="center"/>
        <w:rPr>
          <w:sz w:val="20"/>
        </w:rPr>
        <w:sectPr>
          <w:footerReference w:type="default" r:id="rId561"/>
          <w:pgSz w:w="15840" w:h="12240" w:orient="landscape"/>
          <w:pgMar w:footer="943" w:header="0" w:top="1140" w:bottom="1140" w:left="1200" w:right="1180"/>
          <w:pgNumType w:start="760"/>
        </w:sectPr>
      </w:pPr>
    </w:p>
    <w:p>
      <w:pPr>
        <w:pStyle w:val="BodyText"/>
        <w:rPr>
          <w:rFonts w:ascii="Times New Roman"/>
          <w:sz w:val="20"/>
        </w:rPr>
      </w:pPr>
    </w:p>
    <w:p>
      <w:pPr>
        <w:pStyle w:val="BodyText"/>
        <w:spacing w:before="1"/>
        <w:rPr>
          <w:rFonts w:ascii="Times New Roman"/>
        </w:rPr>
      </w:pPr>
    </w:p>
    <w:p>
      <w:pPr>
        <w:pStyle w:val="Heading6"/>
        <w:spacing w:before="73"/>
        <w:ind w:left="118"/>
      </w:pPr>
      <w:r>
        <w:rPr/>
        <w:t>Leyenda:</w:t>
      </w:r>
    </w:p>
    <w:p>
      <w:pPr>
        <w:pStyle w:val="BodyText"/>
        <w:spacing w:before="5"/>
        <w:rPr>
          <w:b/>
          <w:sz w:val="14"/>
        </w:rPr>
      </w:pPr>
    </w:p>
    <w:p>
      <w:pPr>
        <w:pStyle w:val="BodyText"/>
        <w:spacing w:line="369" w:lineRule="auto" w:before="73"/>
        <w:ind w:left="1225" w:right="7506"/>
      </w:pPr>
      <w:r>
        <w:rPr/>
        <w:pict>
          <v:shape style="position:absolute;margin-left:76.320pt;margin-top:3.767872pt;width:37.550pt;height:200.35pt;mso-position-horizontal-relative:page;mso-position-vertical-relative:paragraph;z-index:1556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6"/>
                  </w:tblGrid>
                  <w:tr>
                    <w:trPr>
                      <w:trHeight w:val="360" w:hRule="exact"/>
                    </w:trPr>
                    <w:tc>
                      <w:tcPr>
                        <w:tcW w:w="736" w:type="dxa"/>
                        <w:tcBorders>
                          <w:bottom w:val="single" w:sz="8" w:space="0" w:color="000000"/>
                        </w:tcBorders>
                        <w:shd w:val="clear" w:color="auto" w:fill="938953"/>
                      </w:tcPr>
                      <w:p>
                        <w:pPr>
                          <w:pStyle w:val="TableParagraph"/>
                          <w:spacing w:line="225" w:lineRule="exact"/>
                          <w:ind w:left="83" w:right="47"/>
                          <w:jc w:val="center"/>
                          <w:rPr>
                            <w:b/>
                            <w:sz w:val="20"/>
                          </w:rPr>
                        </w:pPr>
                        <w:r>
                          <w:rPr>
                            <w:b/>
                            <w:sz w:val="20"/>
                          </w:rPr>
                          <w:t>AEPA</w:t>
                        </w:r>
                      </w:p>
                    </w:tc>
                  </w:tr>
                  <w:tr>
                    <w:trPr>
                      <w:trHeight w:val="402" w:hRule="exact"/>
                    </w:trPr>
                    <w:tc>
                      <w:tcPr>
                        <w:tcW w:w="736" w:type="dxa"/>
                        <w:tcBorders>
                          <w:top w:val="single" w:sz="8" w:space="0" w:color="000000"/>
                        </w:tcBorders>
                        <w:shd w:val="clear" w:color="auto" w:fill="938953"/>
                      </w:tcPr>
                      <w:p>
                        <w:pPr>
                          <w:pStyle w:val="TableParagraph"/>
                          <w:spacing w:line="227" w:lineRule="exact"/>
                          <w:ind w:left="83" w:right="135"/>
                          <w:jc w:val="center"/>
                          <w:rPr>
                            <w:b/>
                            <w:sz w:val="20"/>
                          </w:rPr>
                        </w:pPr>
                        <w:r>
                          <w:rPr>
                            <w:b/>
                            <w:sz w:val="20"/>
                          </w:rPr>
                          <w:t>PEIR</w:t>
                        </w:r>
                      </w:p>
                    </w:tc>
                  </w:tr>
                  <w:tr>
                    <w:trPr>
                      <w:trHeight w:val="400" w:hRule="exact"/>
                    </w:trPr>
                    <w:tc>
                      <w:tcPr>
                        <w:tcW w:w="736" w:type="dxa"/>
                        <w:tcBorders>
                          <w:bottom w:val="single" w:sz="8" w:space="0" w:color="000000"/>
                        </w:tcBorders>
                        <w:shd w:val="clear" w:color="auto" w:fill="76923B"/>
                      </w:tcPr>
                      <w:p>
                        <w:pPr>
                          <w:pStyle w:val="TableParagraph"/>
                          <w:spacing w:before="3"/>
                          <w:ind w:left="7"/>
                          <w:jc w:val="center"/>
                          <w:rPr>
                            <w:sz w:val="20"/>
                          </w:rPr>
                        </w:pPr>
                        <w:r>
                          <w:rPr>
                            <w:w w:val="99"/>
                            <w:sz w:val="20"/>
                          </w:rPr>
                          <w:t>P</w:t>
                        </w:r>
                      </w:p>
                    </w:tc>
                  </w:tr>
                  <w:tr>
                    <w:trPr>
                      <w:trHeight w:val="407" w:hRule="exact"/>
                    </w:trPr>
                    <w:tc>
                      <w:tcPr>
                        <w:tcW w:w="736" w:type="dxa"/>
                        <w:tcBorders>
                          <w:top w:val="single" w:sz="8" w:space="0" w:color="000000"/>
                          <w:bottom w:val="double" w:sz="4" w:space="0" w:color="000000"/>
                        </w:tcBorders>
                        <w:shd w:val="clear" w:color="auto" w:fill="D99493"/>
                      </w:tcPr>
                      <w:p>
                        <w:pPr>
                          <w:pStyle w:val="TableParagraph"/>
                          <w:spacing w:line="227" w:lineRule="exact"/>
                          <w:ind w:left="12"/>
                          <w:jc w:val="center"/>
                          <w:rPr>
                            <w:sz w:val="20"/>
                          </w:rPr>
                        </w:pPr>
                        <w:r>
                          <w:rPr>
                            <w:w w:val="99"/>
                            <w:sz w:val="20"/>
                          </w:rPr>
                          <w:t>P</w:t>
                        </w:r>
                      </w:p>
                    </w:tc>
                  </w:tr>
                  <w:tr>
                    <w:trPr>
                      <w:trHeight w:val="411" w:hRule="exact"/>
                    </w:trPr>
                    <w:tc>
                      <w:tcPr>
                        <w:tcW w:w="736" w:type="dxa"/>
                        <w:tcBorders>
                          <w:top w:val="double" w:sz="4" w:space="0" w:color="000000"/>
                          <w:bottom w:val="double" w:sz="4" w:space="0" w:color="000000"/>
                        </w:tcBorders>
                        <w:shd w:val="clear" w:color="auto" w:fill="F79546"/>
                      </w:tcPr>
                      <w:p>
                        <w:pPr>
                          <w:pStyle w:val="TableParagraph"/>
                          <w:spacing w:line="229" w:lineRule="exact"/>
                          <w:ind w:left="0" w:right="9"/>
                          <w:jc w:val="center"/>
                          <w:rPr>
                            <w:sz w:val="20"/>
                          </w:rPr>
                        </w:pPr>
                        <w:r>
                          <w:rPr>
                            <w:w w:val="99"/>
                            <w:sz w:val="20"/>
                          </w:rPr>
                          <w:t>P</w:t>
                        </w:r>
                      </w:p>
                    </w:tc>
                  </w:tr>
                  <w:tr>
                    <w:trPr>
                      <w:trHeight w:val="415" w:hRule="exact"/>
                    </w:trPr>
                    <w:tc>
                      <w:tcPr>
                        <w:tcW w:w="736" w:type="dxa"/>
                        <w:tcBorders>
                          <w:top w:val="double" w:sz="4" w:space="0" w:color="000000"/>
                          <w:bottom w:val="double" w:sz="5" w:space="0" w:color="000000"/>
                        </w:tcBorders>
                        <w:shd w:val="clear" w:color="auto" w:fill="F79546"/>
                      </w:tcPr>
                      <w:p>
                        <w:pPr>
                          <w:pStyle w:val="TableParagraph"/>
                          <w:spacing w:line="227" w:lineRule="exact"/>
                          <w:ind w:left="0" w:right="9"/>
                          <w:jc w:val="center"/>
                          <w:rPr>
                            <w:sz w:val="20"/>
                          </w:rPr>
                        </w:pPr>
                        <w:r>
                          <w:rPr>
                            <w:w w:val="99"/>
                            <w:sz w:val="20"/>
                          </w:rPr>
                          <w:t>E</w:t>
                        </w:r>
                      </w:p>
                    </w:tc>
                  </w:tr>
                  <w:tr>
                    <w:trPr>
                      <w:trHeight w:val="415" w:hRule="exact"/>
                    </w:trPr>
                    <w:tc>
                      <w:tcPr>
                        <w:tcW w:w="736" w:type="dxa"/>
                        <w:tcBorders>
                          <w:top w:val="double" w:sz="5" w:space="0" w:color="000000"/>
                          <w:bottom w:val="double" w:sz="6" w:space="0" w:color="000000"/>
                        </w:tcBorders>
                        <w:shd w:val="clear" w:color="auto" w:fill="00FF00"/>
                      </w:tcPr>
                      <w:p>
                        <w:pPr>
                          <w:pStyle w:val="TableParagraph"/>
                          <w:spacing w:line="227" w:lineRule="exact"/>
                          <w:ind w:left="0" w:right="28"/>
                          <w:jc w:val="center"/>
                          <w:rPr>
                            <w:sz w:val="20"/>
                          </w:rPr>
                        </w:pPr>
                        <w:r>
                          <w:rPr>
                            <w:w w:val="99"/>
                            <w:sz w:val="20"/>
                          </w:rPr>
                          <w:t>E</w:t>
                        </w:r>
                      </w:p>
                    </w:tc>
                  </w:tr>
                  <w:tr>
                    <w:trPr>
                      <w:trHeight w:val="388" w:hRule="exact"/>
                    </w:trPr>
                    <w:tc>
                      <w:tcPr>
                        <w:tcW w:w="736" w:type="dxa"/>
                        <w:tcBorders>
                          <w:top w:val="double" w:sz="6" w:space="0" w:color="000000"/>
                          <w:bottom w:val="double" w:sz="4" w:space="0" w:color="000000"/>
                        </w:tcBorders>
                      </w:tcPr>
                      <w:p>
                        <w:pPr>
                          <w:pStyle w:val="TableParagraph"/>
                          <w:spacing w:before="1"/>
                          <w:ind w:left="0" w:right="28"/>
                          <w:jc w:val="center"/>
                          <w:rPr>
                            <w:sz w:val="20"/>
                          </w:rPr>
                        </w:pPr>
                        <w:r>
                          <w:rPr>
                            <w:w w:val="99"/>
                            <w:sz w:val="20"/>
                          </w:rPr>
                          <w:t>B</w:t>
                        </w:r>
                      </w:p>
                    </w:tc>
                  </w:tr>
                  <w:tr>
                    <w:trPr>
                      <w:trHeight w:val="419" w:hRule="exact"/>
                    </w:trPr>
                    <w:tc>
                      <w:tcPr>
                        <w:tcW w:w="736" w:type="dxa"/>
                        <w:tcBorders>
                          <w:top w:val="double" w:sz="4" w:space="0" w:color="000000"/>
                          <w:bottom w:val="double" w:sz="8" w:space="0" w:color="000000"/>
                        </w:tcBorders>
                        <w:shd w:val="clear" w:color="auto" w:fill="FFFF00"/>
                      </w:tcPr>
                      <w:p>
                        <w:pPr>
                          <w:pStyle w:val="TableParagraph"/>
                          <w:spacing w:line="227" w:lineRule="exact"/>
                          <w:ind w:left="0" w:right="37"/>
                          <w:jc w:val="center"/>
                          <w:rPr>
                            <w:sz w:val="20"/>
                          </w:rPr>
                        </w:pPr>
                        <w:r>
                          <w:rPr>
                            <w:w w:val="99"/>
                            <w:sz w:val="20"/>
                          </w:rPr>
                          <w:t>R</w:t>
                        </w:r>
                      </w:p>
                    </w:tc>
                  </w:tr>
                  <w:tr>
                    <w:trPr>
                      <w:trHeight w:val="380" w:hRule="exact"/>
                    </w:trPr>
                    <w:tc>
                      <w:tcPr>
                        <w:tcW w:w="736" w:type="dxa"/>
                        <w:tcBorders>
                          <w:top w:val="double" w:sz="8" w:space="0" w:color="000000"/>
                        </w:tcBorders>
                        <w:shd w:val="clear" w:color="auto" w:fill="FF0000"/>
                      </w:tcPr>
                      <w:p>
                        <w:pPr>
                          <w:pStyle w:val="TableParagraph"/>
                          <w:spacing w:line="227" w:lineRule="exact"/>
                          <w:ind w:left="0" w:right="46"/>
                          <w:jc w:val="center"/>
                          <w:rPr>
                            <w:sz w:val="20"/>
                          </w:rPr>
                        </w:pPr>
                        <w:r>
                          <w:rPr>
                            <w:w w:val="99"/>
                            <w:sz w:val="20"/>
                          </w:rPr>
                          <w:t>D</w:t>
                        </w:r>
                      </w:p>
                    </w:tc>
                  </w:tr>
                </w:tbl>
                <w:p>
                  <w:pPr>
                    <w:pStyle w:val="BodyText"/>
                  </w:pPr>
                </w:p>
              </w:txbxContent>
            </v:textbox>
            <w10:wrap type="none"/>
          </v:shape>
        </w:pict>
      </w:r>
      <w:r>
        <w:rPr/>
        <w:t>Área Estratégica de Planeación y Articulación Presión, Estado, Impacto y Respuesta Indicador de presión de la AEPA Ambiental Indicador de presión de la AEPA Sociopolítica</w:t>
      </w:r>
    </w:p>
    <w:p>
      <w:pPr>
        <w:pStyle w:val="BodyText"/>
        <w:spacing w:line="388" w:lineRule="auto" w:before="15"/>
        <w:ind w:left="1225" w:right="7680"/>
        <w:jc w:val="both"/>
      </w:pPr>
      <w:r>
        <w:rPr/>
        <w:t>Indicador de presión de la AEPA Económica Indicador de estado de la AEPA Económica Calificación de Excelente</w:t>
      </w:r>
    </w:p>
    <w:p>
      <w:pPr>
        <w:pStyle w:val="BodyText"/>
        <w:spacing w:line="379" w:lineRule="auto" w:before="7"/>
        <w:ind w:left="1225" w:right="9524"/>
      </w:pPr>
      <w:r>
        <w:rPr/>
        <w:pict>
          <v:group style="position:absolute;margin-left:76.800003pt;margin-top:2.507865pt;width:34.950pt;height:17.2pt;mso-position-horizontal-relative:page;mso-position-vertical-relative:paragraph;z-index:15544" coordorigin="1536,50" coordsize="699,344">
            <v:shape style="position:absolute;left:1536;top:50;width:699;height:343" type="#_x0000_t75" stroked="false">
              <v:imagedata r:id="rId686" o:title=""/>
            </v:shape>
            <v:shape style="position:absolute;left:1639;top:50;width:492;height:343" type="#_x0000_t75" stroked="false">
              <v:imagedata r:id="rId687" o:title=""/>
            </v:shape>
            <w10:wrap type="none"/>
          </v:group>
        </w:pict>
      </w:r>
      <w:r>
        <w:rPr/>
        <w:t>Calificación de Bueno Calificación de Regular Calificación de Deficiente</w:t>
      </w:r>
    </w:p>
    <w:p>
      <w:pPr>
        <w:pStyle w:val="BodyText"/>
      </w:pPr>
    </w:p>
    <w:p>
      <w:pPr>
        <w:pStyle w:val="BodyText"/>
        <w:spacing w:before="5"/>
        <w:rPr>
          <w:sz w:val="21"/>
        </w:rPr>
      </w:pPr>
    </w:p>
    <w:p>
      <w:pPr>
        <w:pStyle w:val="BodyText"/>
        <w:ind w:left="243"/>
      </w:pPr>
      <w:r>
        <w:rPr>
          <w:b/>
        </w:rPr>
        <w:t>Fuente: </w:t>
      </w:r>
      <w:r>
        <w:rPr/>
        <w:t>Elaboración propia con las 22 tarjetas de valoración (scorecards).</w:t>
      </w:r>
    </w:p>
    <w:p>
      <w:pPr>
        <w:spacing w:after="0"/>
        <w:sectPr>
          <w:pgSz w:w="15840" w:h="12240" w:orient="landscape"/>
          <w:pgMar w:header="0" w:footer="943" w:top="1140" w:bottom="1140" w:left="1300" w:right="1300"/>
        </w:sectPr>
      </w:pPr>
    </w:p>
    <w:p>
      <w:pPr>
        <w:pStyle w:val="Heading6"/>
        <w:numPr>
          <w:ilvl w:val="2"/>
          <w:numId w:val="58"/>
        </w:numPr>
        <w:tabs>
          <w:tab w:pos="724" w:val="left" w:leader="none"/>
        </w:tabs>
        <w:spacing w:line="276" w:lineRule="auto" w:before="53" w:after="0"/>
        <w:ind w:left="102" w:right="113" w:firstLine="0"/>
        <w:jc w:val="both"/>
      </w:pPr>
      <w:r>
        <w:rPr/>
        <w:t>Resultado del sistema PEIR-CHPH con tres </w:t>
      </w:r>
      <w:r>
        <w:rPr>
          <w:spacing w:val="-3"/>
        </w:rPr>
        <w:t>AEPA: </w:t>
      </w:r>
      <w:r>
        <w:rPr/>
        <w:t>Interpretación del resumen de las tarjetas de valoración</w:t>
      </w:r>
      <w:r>
        <w:rPr>
          <w:spacing w:val="-7"/>
        </w:rPr>
        <w:t> </w:t>
      </w:r>
      <w:r>
        <w:rPr/>
        <w:t>(scorecards)</w:t>
      </w:r>
    </w:p>
    <w:p>
      <w:pPr>
        <w:pStyle w:val="BodyText"/>
        <w:spacing w:before="9"/>
        <w:rPr>
          <w:b/>
          <w:sz w:val="17"/>
        </w:rPr>
      </w:pPr>
    </w:p>
    <w:p>
      <w:pPr>
        <w:pStyle w:val="BodyText"/>
        <w:spacing w:line="360" w:lineRule="auto"/>
        <w:ind w:left="102" w:right="114"/>
        <w:jc w:val="both"/>
      </w:pPr>
      <w:r>
        <w:rPr/>
        <w:t>Con el resultado de esta evolución de indicadores por períodos de tiempo, pudo elaborarse con precisión la propuesta de Comité Intermunicipal para Cuidar, Defender y Administrar los recursos de la CHPH con su Reglamento, y pudo identificarse que en la AEPA ambiental es donde prevalece la calificación de “deficiente”, como resultado del trabajo de campo y gabinete, ya que los actores de la CHPH señalaron como principales problemas los de carácter ambiental en la presa Huapango (la contaminación por aguas residuales de tipo doméstico, la caza masiva de aves migratorias, el  ruido  y contaminación de la Autopista Arco Norte, la contaminación por desechos de agroquímicos, la sobreexplotación de los recursos naturales y los sueros que se generan por la producción de</w:t>
      </w:r>
      <w:r>
        <w:rPr>
          <w:spacing w:val="-7"/>
        </w:rPr>
        <w:t> </w:t>
      </w:r>
      <w:r>
        <w:rPr/>
        <w:t>lácteos.</w:t>
      </w:r>
    </w:p>
    <w:p>
      <w:pPr>
        <w:pStyle w:val="BodyText"/>
        <w:spacing w:before="7"/>
        <w:rPr>
          <w:sz w:val="17"/>
        </w:rPr>
      </w:pPr>
    </w:p>
    <w:p>
      <w:pPr>
        <w:pStyle w:val="BodyText"/>
        <w:spacing w:line="360" w:lineRule="auto"/>
        <w:ind w:left="102" w:right="113"/>
        <w:jc w:val="both"/>
      </w:pPr>
      <w:r>
        <w:rPr/>
        <w:t>La AEPA sociopolítica es la mejor calificada, que coincide con lo que se detectó en el trabajo de campo, en que los actores históricos de la CHPH tienen una identidad local y regional muy consolidada que les permite tener una sólida cultura sociopolítica basada en la voluntariedad y democracia de la población nativa de la región, reflejada en una buena gobernanza y gobernabilidad, la cual se ve afectada por el reparto inequitativo de los recursos naturales de la Cuenca por parte de los actores gubernamentales,  principalmente por la Conagua que beneficia sólo a los actores de los municipios de  aguas abajo (Aculco y Polotitlán) con las concesión para riego, derecho que no tienen los actores de los municipios de aguas arriba (Acambay, Jilotepec,</w:t>
      </w:r>
      <w:r>
        <w:rPr>
          <w:spacing w:val="-21"/>
        </w:rPr>
        <w:t> </w:t>
      </w:r>
      <w:r>
        <w:rPr/>
        <w:t>Timilpan).</w:t>
      </w:r>
    </w:p>
    <w:p>
      <w:pPr>
        <w:pStyle w:val="BodyText"/>
        <w:spacing w:before="7"/>
        <w:rPr>
          <w:sz w:val="17"/>
        </w:rPr>
      </w:pPr>
    </w:p>
    <w:p>
      <w:pPr>
        <w:pStyle w:val="BodyText"/>
        <w:spacing w:line="360" w:lineRule="auto"/>
        <w:ind w:left="102" w:right="114"/>
        <w:jc w:val="both"/>
      </w:pPr>
      <w:r>
        <w:rPr/>
        <w:t>Por otro lado, para la AEPA económica, en el trabajo de campo se identificó que las relaciones socioeconómicas en la CHPH están dadas con base en las interrelaciones municipales de mercado y tianguis regionales, es decir, los actores históricos se vinculan entre municipios para la compra y venta de sus productos lácteos y de comida lacustre principalmente, sin embargo existe un gran descontento social por el reparto inequitativo y la sobreexplotación de los recursos naturales extraídos por parte de los actores más poderosos económica y políticamente.</w:t>
      </w:r>
    </w:p>
    <w:p>
      <w:pPr>
        <w:pStyle w:val="BodyText"/>
        <w:spacing w:before="9"/>
        <w:rPr>
          <w:sz w:val="17"/>
        </w:rPr>
      </w:pPr>
    </w:p>
    <w:p>
      <w:pPr>
        <w:pStyle w:val="BodyText"/>
        <w:spacing w:line="360" w:lineRule="auto"/>
        <w:ind w:left="102" w:right="117"/>
        <w:jc w:val="both"/>
      </w:pPr>
      <w:r>
        <w:rPr/>
        <w:t>Consecuentemente, se concluye que la AEPA sociopolítica es el vínculo regional de más peso y poderoso, para articular a los actores históricos para la toma de acuerdos intermunicipales para atender problemas de tipo ambiental, sociopolítico y económico, ya que si bien el deterioro ambiental de la CHPH es grave y el reparto de los recursos</w:t>
      </w:r>
    </w:p>
    <w:p>
      <w:pPr>
        <w:spacing w:after="0" w:line="360" w:lineRule="auto"/>
        <w:jc w:val="both"/>
        <w:sectPr>
          <w:footerReference w:type="default" r:id="rId688"/>
          <w:pgSz w:w="12240" w:h="15840"/>
          <w:pgMar w:footer="1003" w:header="0" w:top="1360" w:bottom="1200" w:left="1600" w:right="1580"/>
          <w:pgNumType w:start="762"/>
        </w:sectPr>
      </w:pPr>
    </w:p>
    <w:p>
      <w:pPr>
        <w:pStyle w:val="BodyText"/>
        <w:spacing w:line="360" w:lineRule="auto" w:before="56"/>
        <w:ind w:left="102" w:right="113"/>
        <w:jc w:val="both"/>
      </w:pPr>
      <w:r>
        <w:rPr/>
        <w:t>naturales es inequitativo porque el sistema federal y los mismos procesos históricos así lo han determinado, esto obedece a la falta de articulación entre los actores históricos de los municipios que integran la Cuenca, ya que durante años han estado gestionando con las instancias gubernamentales federales (la Sagarpa, la Semarnat y la Conagua), estatales (la Sedagro, la CAEM) y municipales (Cabildos) para revertir los daños de la CHPH, pero de forma aislada, es decir por localidad o municipio, sin recibir respuesta adecuada, ya que la evasión de funciones y responsabilidades de éstas sólo ha empeorado la situación de la CHPH. Por lo que, la idea propuesta por los entrevistados (actores históricos y autoridades municipales) en trabajo de campo, de que se integre un Comité Intermunicipal con su Reglamento a nivel intermunicipal, donde puedan participar todos los actores y generar su reglamento, resulta ser una solución viable y realizable, al surgir  de  los mismos actores la idea, y basarse en el derecho consuetudinario (usos y costumbres)  para resolver la problemática que viven en la</w:t>
      </w:r>
      <w:r>
        <w:rPr>
          <w:spacing w:val="-20"/>
        </w:rPr>
        <w:t> </w:t>
      </w:r>
      <w:r>
        <w:rPr/>
        <w:t>región.</w:t>
      </w:r>
    </w:p>
    <w:p>
      <w:pPr>
        <w:pStyle w:val="BodyText"/>
        <w:spacing w:before="7"/>
        <w:rPr>
          <w:sz w:val="17"/>
        </w:rPr>
      </w:pPr>
    </w:p>
    <w:p>
      <w:pPr>
        <w:pStyle w:val="Heading6"/>
        <w:numPr>
          <w:ilvl w:val="2"/>
          <w:numId w:val="58"/>
        </w:numPr>
        <w:tabs>
          <w:tab w:pos="716" w:val="left" w:leader="none"/>
        </w:tabs>
        <w:spacing w:line="240" w:lineRule="auto" w:before="0" w:after="0"/>
        <w:ind w:left="715" w:right="0" w:hanging="613"/>
        <w:jc w:val="both"/>
      </w:pPr>
      <w:r>
        <w:rPr/>
        <w:t>Resultado del sistema PEIR-CHPH con tres </w:t>
      </w:r>
      <w:r>
        <w:rPr>
          <w:spacing w:val="-3"/>
        </w:rPr>
        <w:t>AEPA: </w:t>
      </w:r>
      <w:r>
        <w:rPr/>
        <w:t>Tres Mapas</w:t>
      </w:r>
      <w:r>
        <w:rPr>
          <w:spacing w:val="-1"/>
        </w:rPr>
        <w:t> </w:t>
      </w:r>
      <w:r>
        <w:rPr/>
        <w:t>Conceptuales</w:t>
      </w:r>
    </w:p>
    <w:p>
      <w:pPr>
        <w:pStyle w:val="BodyText"/>
        <w:spacing w:before="5"/>
        <w:rPr>
          <w:b/>
          <w:sz w:val="28"/>
        </w:rPr>
      </w:pPr>
    </w:p>
    <w:p>
      <w:pPr>
        <w:pStyle w:val="BodyText"/>
        <w:spacing w:line="360" w:lineRule="auto" w:before="1"/>
        <w:ind w:left="102" w:right="114"/>
        <w:jc w:val="both"/>
      </w:pPr>
      <w:r>
        <w:rPr/>
        <w:t>Con los resultados del sistema PEIR-CHPH de las tres AEPA, ambiental, sociopolítica y ambiental, se pudieron realizar tres mapas conceptuales (uno por AEPA: ambiental, sociopolítica y económica) (ver anexo 6a, 6b y 6c), en donde se pudieron representar los vínculos que existen entre los indicadores de cada AEPA en el sistema PEIR y del sistema en general, donde se menciona el número de vínculos, la jerarquía y el peso específico del indicador por sistema y por AEPA, ya que mediante este procedimiento se pudo confirmar la máxima de la Teoría de Sistemas “el todo es más que la suma de sus partes”, ya que los resultados de los indicadores por AEPA, no resultan ser tan ilustrativos como para el caso del sistema, además se pudieron identificar a los Factores Críticos de Éxito como los indicadores que ejercen mayor presión en el sistema PEIR, lo que  confirma que debe prestárseles mayor atención por el impacto causa-efecto que tienen en el</w:t>
      </w:r>
      <w:r>
        <w:rPr>
          <w:spacing w:val="-3"/>
        </w:rPr>
        <w:t> </w:t>
      </w:r>
      <w:r>
        <w:rPr/>
        <w:t>sistema.</w:t>
      </w:r>
    </w:p>
    <w:p>
      <w:pPr>
        <w:pStyle w:val="BodyText"/>
        <w:spacing w:before="10"/>
        <w:rPr>
          <w:sz w:val="17"/>
        </w:rPr>
      </w:pPr>
    </w:p>
    <w:p>
      <w:pPr>
        <w:pStyle w:val="BodyText"/>
        <w:spacing w:line="360" w:lineRule="auto"/>
        <w:ind w:left="102" w:right="115"/>
        <w:jc w:val="both"/>
      </w:pPr>
      <w:r>
        <w:rPr/>
        <w:t>Finalmente, en forma de conclusión, cabe señalar que los indicadores sintetizan los principios de gobernanza que son representados en el sistema PEIR de la CHPH basado en la sinergia y la holística para obtener una propuesta de creación de un Comité intermunicipal para cuidar, defender y administrar los recursos de la CHPH con su Reglamento, como se aprecia en el siguiente esquema.</w:t>
      </w:r>
    </w:p>
    <w:p>
      <w:pPr>
        <w:spacing w:after="0" w:line="360" w:lineRule="auto"/>
        <w:jc w:val="both"/>
        <w:sectPr>
          <w:pgSz w:w="12240" w:h="15840"/>
          <w:pgMar w:header="0" w:footer="1003" w:top="1360" w:bottom="1200" w:left="1600" w:right="1580"/>
        </w:sectPr>
      </w:pPr>
    </w:p>
    <w:p>
      <w:pPr>
        <w:pStyle w:val="BodyText"/>
        <w:rPr>
          <w:sz w:val="20"/>
        </w:rPr>
      </w:pPr>
      <w:r>
        <w:rPr/>
        <w:pict>
          <v:shape style="position:absolute;margin-left:312.75pt;margin-top:265.739990pt;width:183.85pt;height:72.2pt;mso-position-horizontal-relative:page;mso-position-vertical-relative:page;z-index:-3327832" type="#_x0000_t202" filled="false" stroked="false">
            <v:textbox inset="0,0,0,0">
              <w:txbxContent>
                <w:p>
                  <w:pPr>
                    <w:pStyle w:val="BodyText"/>
                    <w:rPr>
                      <w:rFonts w:ascii="Calibri"/>
                    </w:rPr>
                  </w:pPr>
                </w:p>
                <w:p>
                  <w:pPr>
                    <w:pStyle w:val="BodyText"/>
                    <w:rPr>
                      <w:rFonts w:ascii="Calibri"/>
                    </w:rPr>
                  </w:pPr>
                </w:p>
                <w:p>
                  <w:pPr>
                    <w:pStyle w:val="BodyText"/>
                    <w:spacing w:before="6"/>
                    <w:rPr>
                      <w:rFonts w:ascii="Calibri"/>
                      <w:sz w:val="24"/>
                    </w:rPr>
                  </w:pPr>
                </w:p>
                <w:p>
                  <w:pPr>
                    <w:pStyle w:val="BodyText"/>
                    <w:ind w:left="1604" w:right="1769"/>
                    <w:jc w:val="center"/>
                    <w:rPr>
                      <w:rFonts w:ascii="Calibri"/>
                    </w:rPr>
                  </w:pPr>
                  <w:r>
                    <w:rPr>
                      <w:rFonts w:ascii="Calibri"/>
                    </w:rPr>
                    <w:t>Y a</w:t>
                  </w:r>
                </w:p>
              </w:txbxContent>
            </v:textbox>
            <w10:wrap type="none"/>
          </v:shape>
        </w:pict>
      </w:r>
    </w:p>
    <w:p>
      <w:pPr>
        <w:pStyle w:val="BodyText"/>
        <w:rPr>
          <w:sz w:val="20"/>
        </w:rPr>
      </w:pPr>
    </w:p>
    <w:p>
      <w:pPr>
        <w:pStyle w:val="BodyText"/>
        <w:rPr>
          <w:sz w:val="20"/>
        </w:rPr>
      </w:pPr>
    </w:p>
    <w:p>
      <w:pPr>
        <w:pStyle w:val="BodyText"/>
        <w:spacing w:before="8"/>
        <w:rPr>
          <w:sz w:val="24"/>
        </w:rPr>
      </w:pPr>
    </w:p>
    <w:p>
      <w:pPr>
        <w:pStyle w:val="Heading6"/>
        <w:spacing w:before="73"/>
        <w:ind w:left="2993"/>
      </w:pPr>
      <w:r>
        <w:rPr/>
        <w:t>Esquema 7.2. Sistema PEIR de la CHPH basado en la sinergia y la holística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8"/>
        </w:rPr>
      </w:pPr>
    </w:p>
    <w:tbl>
      <w:tblPr>
        <w:tblW w:w="0" w:type="auto"/>
        <w:jc w:val="left"/>
        <w:tblInd w:w="5215" w:type="dxa"/>
        <w:tblBorders>
          <w:top w:val="single" w:sz="16" w:space="0" w:color="000000"/>
          <w:left w:val="single" w:sz="16" w:space="0" w:color="000000"/>
          <w:bottom w:val="single" w:sz="16" w:space="0" w:color="000000"/>
          <w:right w:val="single" w:sz="16" w:space="0" w:color="000000"/>
          <w:insideH w:val="single" w:sz="16" w:space="0" w:color="000000"/>
          <w:insideV w:val="single" w:sz="16" w:space="0" w:color="000000"/>
        </w:tblBorders>
        <w:tblLayout w:type="fixed"/>
        <w:tblCellMar>
          <w:top w:w="0" w:type="dxa"/>
          <w:left w:w="0" w:type="dxa"/>
          <w:bottom w:w="0" w:type="dxa"/>
          <w:right w:w="0" w:type="dxa"/>
        </w:tblCellMar>
        <w:tblLook w:val="01E0"/>
      </w:tblPr>
      <w:tblGrid>
        <w:gridCol w:w="3677"/>
        <w:gridCol w:w="899"/>
        <w:gridCol w:w="193"/>
        <w:gridCol w:w="2355"/>
      </w:tblGrid>
      <w:tr>
        <w:trPr>
          <w:trHeight w:val="299" w:hRule="exact"/>
        </w:trPr>
        <w:tc>
          <w:tcPr>
            <w:tcW w:w="3677" w:type="dxa"/>
            <w:vMerge w:val="restart"/>
            <w:shd w:val="clear" w:color="auto" w:fill="FFFFFF"/>
          </w:tcPr>
          <w:p>
            <w:pPr>
              <w:pStyle w:val="TableParagraph"/>
              <w:spacing w:before="68"/>
              <w:ind w:left="257" w:right="256"/>
              <w:jc w:val="center"/>
              <w:rPr>
                <w:b/>
                <w:sz w:val="22"/>
              </w:rPr>
            </w:pPr>
            <w:r>
              <w:rPr>
                <w:b/>
                <w:sz w:val="22"/>
              </w:rPr>
              <w:t>PROCESO</w:t>
            </w:r>
          </w:p>
          <w:p>
            <w:pPr>
              <w:pStyle w:val="TableParagraph"/>
              <w:spacing w:before="5"/>
              <w:ind w:left="0"/>
              <w:rPr>
                <w:b/>
                <w:sz w:val="17"/>
              </w:rPr>
            </w:pPr>
          </w:p>
          <w:p>
            <w:pPr>
              <w:pStyle w:val="TableParagraph"/>
              <w:ind w:left="258" w:right="256"/>
              <w:jc w:val="center"/>
              <w:rPr>
                <w:b/>
                <w:sz w:val="22"/>
              </w:rPr>
            </w:pPr>
            <w:r>
              <w:rPr>
                <w:b/>
                <w:sz w:val="22"/>
              </w:rPr>
              <w:t>Acuerdos de los actores de la CHPH basados en la gobernanza y gobernabilidad</w:t>
            </w:r>
          </w:p>
        </w:tc>
        <w:tc>
          <w:tcPr>
            <w:tcW w:w="1092" w:type="dxa"/>
            <w:gridSpan w:val="2"/>
            <w:tcBorders>
              <w:top w:val="nil"/>
              <w:bottom w:val="nil"/>
              <w:right w:val="nil"/>
            </w:tcBorders>
            <w:shd w:val="clear" w:color="auto" w:fill="FFFFFF"/>
          </w:tcPr>
          <w:p>
            <w:pPr>
              <w:pStyle w:val="TableParagraph"/>
              <w:spacing w:before="55"/>
              <w:ind w:left="196"/>
              <w:rPr>
                <w:b/>
                <w:sz w:val="22"/>
              </w:rPr>
            </w:pPr>
            <w:r>
              <w:rPr>
                <w:b/>
                <w:sz w:val="22"/>
              </w:rPr>
              <w:t>Salida</w:t>
            </w:r>
          </w:p>
        </w:tc>
        <w:tc>
          <w:tcPr>
            <w:tcW w:w="2355" w:type="dxa"/>
            <w:tcBorders>
              <w:top w:val="nil"/>
              <w:left w:val="nil"/>
              <w:bottom w:val="dashed" w:sz="12" w:space="0" w:color="000000"/>
              <w:right w:val="nil"/>
            </w:tcBorders>
            <w:shd w:val="clear" w:color="auto" w:fill="F1F1F1"/>
          </w:tcPr>
          <w:p>
            <w:pPr/>
          </w:p>
        </w:tc>
      </w:tr>
      <w:tr>
        <w:trPr>
          <w:trHeight w:val="103" w:hRule="exact"/>
        </w:trPr>
        <w:tc>
          <w:tcPr>
            <w:tcW w:w="3677" w:type="dxa"/>
            <w:vMerge/>
            <w:shd w:val="clear" w:color="auto" w:fill="FFFFFF"/>
          </w:tcPr>
          <w:p>
            <w:pPr/>
          </w:p>
        </w:tc>
        <w:tc>
          <w:tcPr>
            <w:tcW w:w="899" w:type="dxa"/>
            <w:tcBorders>
              <w:top w:val="nil"/>
              <w:bottom w:val="nil"/>
              <w:right w:val="dashed" w:sz="12" w:space="0" w:color="000000"/>
            </w:tcBorders>
            <w:shd w:val="clear" w:color="auto" w:fill="FFFFFF"/>
          </w:tcPr>
          <w:p>
            <w:pPr/>
          </w:p>
        </w:tc>
        <w:tc>
          <w:tcPr>
            <w:tcW w:w="193" w:type="dxa"/>
            <w:tcBorders>
              <w:top w:val="dashed" w:sz="12" w:space="0" w:color="000000"/>
              <w:left w:val="dashed" w:sz="12" w:space="0" w:color="000000"/>
              <w:bottom w:val="nil"/>
              <w:right w:val="nil"/>
            </w:tcBorders>
            <w:shd w:val="clear" w:color="auto" w:fill="FFFFFF"/>
          </w:tcPr>
          <w:p>
            <w:pPr/>
          </w:p>
        </w:tc>
        <w:tc>
          <w:tcPr>
            <w:tcW w:w="2355" w:type="dxa"/>
            <w:tcBorders>
              <w:top w:val="dashed" w:sz="12" w:space="0" w:color="000000"/>
              <w:left w:val="nil"/>
              <w:bottom w:val="nil"/>
              <w:right w:val="dashed" w:sz="12" w:space="0" w:color="000000"/>
            </w:tcBorders>
            <w:shd w:val="clear" w:color="auto" w:fill="FFFFFF"/>
          </w:tcPr>
          <w:p>
            <w:pPr/>
          </w:p>
        </w:tc>
      </w:tr>
      <w:tr>
        <w:trPr>
          <w:trHeight w:val="1067" w:hRule="exact"/>
        </w:trPr>
        <w:tc>
          <w:tcPr>
            <w:tcW w:w="3677" w:type="dxa"/>
            <w:vMerge/>
            <w:shd w:val="clear" w:color="auto" w:fill="FFFFFF"/>
          </w:tcPr>
          <w:p>
            <w:pPr/>
          </w:p>
        </w:tc>
        <w:tc>
          <w:tcPr>
            <w:tcW w:w="899" w:type="dxa"/>
            <w:tcBorders>
              <w:top w:val="nil"/>
              <w:bottom w:val="nil"/>
              <w:right w:val="dashed" w:sz="12" w:space="0" w:color="000000"/>
            </w:tcBorders>
          </w:tcPr>
          <w:p>
            <w:pPr/>
          </w:p>
        </w:tc>
        <w:tc>
          <w:tcPr>
            <w:tcW w:w="2548" w:type="dxa"/>
            <w:gridSpan w:val="2"/>
            <w:vMerge w:val="restart"/>
            <w:tcBorders>
              <w:top w:val="nil"/>
              <w:left w:val="dashed" w:sz="12" w:space="0" w:color="000000"/>
              <w:right w:val="dashed" w:sz="12" w:space="0" w:color="000000"/>
            </w:tcBorders>
            <w:shd w:val="clear" w:color="auto" w:fill="FFFFFF"/>
          </w:tcPr>
          <w:p>
            <w:pPr>
              <w:pStyle w:val="TableParagraph"/>
              <w:spacing w:line="235" w:lineRule="exact"/>
              <w:ind w:left="145"/>
              <w:jc w:val="both"/>
              <w:rPr>
                <w:sz w:val="22"/>
              </w:rPr>
            </w:pPr>
            <w:r>
              <w:rPr>
                <w:sz w:val="22"/>
              </w:rPr>
              <w:t>Comité  intermunicipal</w:t>
            </w:r>
          </w:p>
          <w:p>
            <w:pPr>
              <w:pStyle w:val="TableParagraph"/>
              <w:spacing w:line="276" w:lineRule="auto" w:before="40"/>
              <w:ind w:left="145" w:right="139"/>
              <w:jc w:val="both"/>
              <w:rPr>
                <w:sz w:val="22"/>
              </w:rPr>
            </w:pPr>
            <w:r>
              <w:rPr>
                <w:sz w:val="22"/>
              </w:rPr>
              <w:t>para cuidar,  defender y administrar los recursos de la CHPH con su Reglamento</w:t>
            </w:r>
          </w:p>
        </w:tc>
      </w:tr>
      <w:tr>
        <w:trPr>
          <w:trHeight w:val="408" w:hRule="exact"/>
        </w:trPr>
        <w:tc>
          <w:tcPr>
            <w:tcW w:w="4576" w:type="dxa"/>
            <w:gridSpan w:val="2"/>
            <w:tcBorders>
              <w:top w:val="nil"/>
              <w:left w:val="nil"/>
              <w:bottom w:val="nil"/>
              <w:right w:val="dashed" w:sz="12" w:space="0" w:color="000000"/>
            </w:tcBorders>
            <w:shd w:val="clear" w:color="auto" w:fill="F1F1F1"/>
          </w:tcPr>
          <w:p>
            <w:pPr>
              <w:pStyle w:val="TableParagraph"/>
              <w:tabs>
                <w:tab w:pos="890" w:val="left" w:leader="none"/>
                <w:tab w:pos="3097" w:val="left" w:leader="none"/>
              </w:tabs>
              <w:spacing w:before="120"/>
              <w:ind w:left="605"/>
              <w:rPr>
                <w:b/>
                <w:i/>
                <w:sz w:val="22"/>
              </w:rPr>
            </w:pPr>
            <w:r>
              <w:rPr>
                <w:b/>
                <w:i/>
                <w:w w:val="100"/>
                <w:sz w:val="22"/>
                <w:shd w:fill="FFFFFF" w:color="auto" w:val="clear"/>
              </w:rPr>
              <w:t> </w:t>
            </w:r>
            <w:r>
              <w:rPr>
                <w:b/>
                <w:i/>
                <w:sz w:val="22"/>
                <w:shd w:fill="FFFFFF" w:color="auto" w:val="clear"/>
              </w:rPr>
              <w:tab/>
              <w:t>Retroalimentación</w:t>
              <w:tab/>
            </w:r>
          </w:p>
        </w:tc>
        <w:tc>
          <w:tcPr>
            <w:tcW w:w="2548" w:type="dxa"/>
            <w:gridSpan w:val="2"/>
            <w:vMerge/>
            <w:tcBorders>
              <w:left w:val="dashed" w:sz="12" w:space="0" w:color="000000"/>
              <w:bottom w:val="dashed" w:sz="12" w:space="0" w:color="000000"/>
              <w:right w:val="dashed" w:sz="12" w:space="0" w:color="000000"/>
            </w:tcBorders>
            <w:shd w:val="clear" w:color="auto" w:fill="FFFFFF"/>
          </w:tcPr>
          <w:p>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8"/>
        </w:rPr>
      </w:pPr>
    </w:p>
    <w:p>
      <w:pPr>
        <w:spacing w:line="278" w:lineRule="auto" w:before="74"/>
        <w:ind w:left="3293" w:right="3310" w:firstLine="0"/>
        <w:jc w:val="left"/>
        <w:rPr>
          <w:sz w:val="20"/>
        </w:rPr>
      </w:pPr>
      <w:r>
        <w:rPr/>
        <w:pict>
          <v:group style="position:absolute;margin-left:56.463001pt;margin-top:-351.720123pt;width:664.15pt;height:349pt;mso-position-horizontal-relative:page;mso-position-vertical-relative:paragraph;z-index:-3327520" coordorigin="1129,-7034" coordsize="13283,6980">
            <v:shape style="position:absolute;left:1775;top:-6980;width:12466;height:6880" coordorigin="1775,-6980" coordsize="12466,6880" path="m8768,-120l7248,-120,7341,-100,8675,-100,8768,-120xm9047,-140l6969,-140,7062,-120,8954,-120,9047,-140xm9230,-160l6786,-160,6877,-140,9139,-140,9230,-160xm9411,-180l6605,-180,6695,-160,9321,-160,9411,-180xm9680,-220l6336,-220,6515,-180,9501,-180,9680,-220xm10116,-300l5900,-300,6248,-220,9768,-220,10116,-300xm10116,-6780l5900,-6780,5152,-6600,5072,-6560,4759,-6480,4683,-6440,4607,-6420,4532,-6380,4385,-6340,4312,-6300,4241,-6280,4170,-6240,4100,-6220,4030,-6180,3962,-6160,3827,-6080,3762,-6060,3696,-6020,3569,-5940,3507,-5920,3385,-5840,3325,-5800,3267,-5760,3209,-5720,3152,-5700,3097,-5660,3042,-5620,2988,-5580,2936,-5540,2884,-5500,2833,-5460,2784,-5400,2735,-5360,2688,-5320,2641,-5280,2596,-5240,2552,-5200,2509,-5160,2467,-5100,2426,-5060,2386,-5020,2347,-4980,2310,-4920,2274,-4880,2239,-4840,2205,-4800,2172,-4740,2141,-4700,2110,-4640,2081,-4600,2054,-4560,2027,-4500,2002,-4460,1978,-4400,1955,-4360,1934,-4300,1914,-4260,1895,-4200,1877,-4160,1861,-4100,1846,-4060,1833,-4000,1821,-3960,1810,-3900,1801,-3840,1793,-3800,1787,-3740,1782,-3700,1778,-3640,1776,-3580,1775,-3540,1776,-3480,1778,-3420,1782,-3380,1787,-3320,1793,-3260,1801,-3220,1810,-3160,1821,-3120,1833,-3060,1846,-3000,1861,-2960,1877,-2900,1895,-2860,1914,-2800,1934,-2760,1955,-2700,1978,-2660,2002,-2600,2027,-2560,2054,-2520,2081,-2460,2110,-2420,2141,-2360,2172,-2320,2205,-2280,2239,-2220,2274,-2180,2310,-2140,2347,-2080,2386,-2040,2426,-2000,2467,-1960,2509,-1920,2552,-1860,2596,-1820,2641,-1780,2688,-1740,2735,-1700,2784,-1660,2833,-1620,2884,-1580,2936,-1540,2988,-1500,3042,-1460,3097,-1420,3152,-1380,3209,-1340,3267,-1300,3325,-1260,3385,-1220,3445,-1180,3507,-1160,3569,-1120,3696,-1040,3762,-1020,3894,-940,3962,-920,4030,-880,4100,-860,4241,-780,4385,-740,4458,-700,4532,-680,4607,-640,4759,-600,4836,-560,5152,-480,5232,-440,5814,-300,10202,-300,10784,-440,10864,-480,11180,-560,11257,-600,11409,-640,11484,-680,11558,-700,11631,-740,11775,-780,11916,-860,11986,-880,12054,-920,12122,-940,12254,-1020,12320,-1040,12447,-1120,12509,-1160,12571,-1180,12631,-1220,12691,-1260,12749,-1300,12807,-1340,12864,-1380,12919,-1420,12974,-1460,13028,-1500,13080,-1540,13132,-1580,13183,-1620,13232,-1660,13281,-1700,13328,-1740,13375,-1780,13420,-1820,13464,-1860,13507,-1920,13549,-1960,13590,-2000,13630,-2040,13669,-2080,13706,-2140,13742,-2180,13777,-2220,13811,-2280,13844,-2320,13875,-2360,13906,-2420,13935,-2460,13962,-2520,13989,-2560,14014,-2600,14038,-2660,14061,-2700,14082,-2760,14102,-2800,14121,-2860,14139,-2900,14155,-2960,14170,-3000,14183,-3060,14195,-3120,14206,-3160,14215,-3220,14223,-3260,14229,-3320,14234,-3380,14238,-3420,14240,-3480,14241,-3540,14240,-3580,14238,-3640,14234,-3700,14229,-3740,14223,-3800,14215,-3840,14206,-3900,14195,-3960,14183,-4000,14170,-4060,14155,-4100,14139,-4160,14121,-4200,14102,-4260,14082,-4300,14061,-4360,14038,-4400,14014,-4460,13989,-4500,13962,-4560,13935,-4600,13906,-4640,13875,-4700,13844,-4740,13811,-4800,13777,-4840,13742,-4880,13706,-4920,13669,-4980,13630,-5020,13590,-5060,13549,-5100,13507,-5160,13464,-5200,13420,-5240,13375,-5280,13328,-5320,13281,-5360,13232,-5400,13183,-5460,13132,-5500,13080,-5540,13028,-5580,12974,-5620,12919,-5660,12864,-5700,12807,-5720,12749,-5760,12691,-5800,12631,-5840,12509,-5920,12447,-5940,12320,-6020,12254,-6060,12189,-6080,12054,-6160,11986,-6180,11916,-6220,11846,-6240,11775,-6280,11704,-6300,11631,-6340,11484,-6380,11409,-6420,11333,-6440,11257,-6480,10944,-6560,10864,-6600,10116,-6780xm9768,-6840l6248,-6840,5986,-6780,10030,-6780,9768,-6840xm9501,-6880l6515,-6880,6336,-6840,9680,-6840,9501,-6880xm9321,-6900l6695,-6900,6605,-6880,9411,-6880,9321,-6900xm9139,-6920l6877,-6920,6786,-6900,9230,-6900,9139,-6920xm8954,-6940l7062,-6940,6969,-6920,9047,-6920,8954,-6940xm8675,-6960l7341,-6960,7248,-6940,8768,-6940,8675,-6960xm8296,-6980l7720,-6980,7625,-6960,8391,-6960,8296,-6980xe" filled="true" fillcolor="#f1f1f1" stroked="false">
              <v:path arrowok="t"/>
              <v:fill type="solid"/>
            </v:shape>
            <v:shape style="position:absolute;left:1775;top:-6984;width:12466;height:6884" coordorigin="1775,-6984" coordsize="12466,6884" path="m1775,-3542l1778,-3649,1787,-3754,1801,-3859,1821,-3962,1846,-4065,1877,-4167,1914,-4267,1955,-4367,2002,-4466,2054,-4563,2110,-4659,2172,-4754,2239,-4847,2310,-4940,2386,-5030,2467,-5120,2509,-5164,2552,-5208,2596,-5251,2641,-5294,2688,-5336,2735,-5379,2784,-5420,2833,-5462,2884,-5503,2936,-5543,2988,-5583,3042,-5623,3097,-5662,3152,-5701,3209,-5739,3267,-5777,3325,-5814,3385,-5851,3445,-5887,3507,-5923,3569,-5959,3632,-5994,3696,-6028,3762,-6062,3827,-6095,3894,-6128,3962,-6161,4030,-6193,4100,-6224,4170,-6255,4241,-6285,4312,-6314,4385,-6344,4458,-6372,4532,-6400,4607,-6427,4683,-6454,4759,-6480,4836,-6506,4914,-6531,4993,-6556,5072,-6579,5152,-6603,5232,-6625,5313,-6647,5395,-6668,5478,-6689,5561,-6709,5645,-6728,5729,-6747,5814,-6765,5900,-6783,5986,-6799,6073,-6815,6160,-6831,6248,-6845,6336,-6859,6425,-6872,6515,-6885,6605,-6897,6695,-6908,6786,-6918,6877,-6928,6969,-6937,7062,-6945,7154,-6952,7248,-6959,7341,-6965,7435,-6970,7530,-6974,7625,-6978,7720,-6981,7816,-6983,7912,-6984,8008,-6984,8104,-6984,8200,-6983,8296,-6981,8391,-6978,8486,-6974,8581,-6970,8675,-6965,8768,-6959,8862,-6952,8954,-6945,9047,-6937,9139,-6928,9230,-6918,9321,-6908,9411,-6897,9501,-6885,9591,-6872,9680,-6859,9768,-6845,9856,-6831,9943,-6815,10030,-6799,10116,-6783,10202,-6765,10287,-6747,10371,-6728,10455,-6709,10538,-6689,10621,-6668,10703,-6647,10784,-6625,10864,-6603,10944,-6579,11023,-6556,11102,-6531,11180,-6506,11257,-6480,11333,-6454,11409,-6427,11484,-6400,11558,-6372,11631,-6344,11704,-6314,11775,-6285,11846,-6255,11916,-6224,11986,-6193,12054,-6161,12122,-6128,12189,-6095,12254,-6062,12320,-6028,12384,-5994,12447,-5959,12509,-5923,12571,-5887,12631,-5851,12691,-5814,12749,-5777,12807,-5739,12864,-5701,12919,-5662,12974,-5623,13028,-5583,13080,-5543,13132,-5503,13183,-5462,13232,-5420,13281,-5379,13328,-5336,13375,-5294,13420,-5251,13464,-5208,13507,-5164,13549,-5120,13590,-5075,13669,-4985,13742,-4894,13811,-4801,13875,-4707,13935,-4611,13989,-4514,14038,-4416,14082,-4317,14121,-4217,14155,-4116,14183,-4014,14206,-3911,14223,-3806,14234,-3701,14240,-3596,14241,-3542,14240,-3489,14234,-3383,14223,-3278,14206,-3174,14183,-3071,14155,-2969,14121,-2868,14082,-2767,14038,-2668,13989,-2570,13935,-2474,13875,-2378,13811,-2284,13742,-2191,13669,-2100,13590,-2010,13549,-1965,13507,-1921,13464,-1877,13420,-1834,13375,-1791,13328,-1748,13281,-1706,13232,-1664,13183,-1623,13132,-1582,13080,-1542,13028,-1502,12974,-1462,12919,-1423,12864,-1384,12807,-1346,12749,-1308,12691,-1271,12631,-1234,12571,-1197,12509,-1161,12447,-1126,12384,-1091,12320,-1057,12254,-1023,12189,-989,12122,-956,12054,-924,11986,-892,11916,-861,11846,-830,11775,-800,11704,-770,11631,-741,11558,-713,11484,-685,11409,-657,11333,-631,11257,-604,11180,-579,11102,-554,11023,-529,10944,-505,10864,-482,10784,-460,10703,-438,10621,-416,10538,-396,10455,-376,10371,-356,10287,-338,10202,-320,10116,-302,10030,-286,9943,-270,9856,-254,9768,-240,9680,-226,9591,-212,9501,-200,9411,-188,9321,-177,9230,-167,9139,-157,9047,-148,8954,-140,8862,-132,8768,-126,8675,-120,8581,-115,8486,-110,8391,-107,8296,-104,8200,-102,8104,-101,8008,-100,7912,-101,7816,-102,7720,-104,7625,-107,7530,-110,7435,-115,7341,-120,7248,-126,7154,-132,7062,-140,6969,-148,6877,-157,6786,-167,6695,-177,6605,-188,6515,-200,6425,-212,6336,-226,6248,-240,6160,-254,6073,-270,5986,-286,5900,-302,5814,-320,5729,-338,5645,-356,5561,-376,5478,-396,5395,-416,5313,-438,5232,-460,5152,-482,5072,-505,4993,-529,4914,-554,4836,-579,4759,-604,4683,-631,4607,-657,4532,-685,4458,-713,4385,-741,4312,-770,4241,-800,4170,-830,4100,-861,4030,-892,3962,-924,3894,-956,3827,-989,3762,-1023,3696,-1057,3632,-1091,3569,-1126,3507,-1161,3445,-1197,3385,-1234,3325,-1271,3267,-1308,3209,-1346,3152,-1384,3097,-1423,3042,-1462,2988,-1502,2936,-1542,2884,-1582,2833,-1623,2784,-1664,2735,-1706,2688,-1748,2641,-1791,2596,-1834,2552,-1877,2509,-1921,2467,-1965,2426,-2010,2347,-2100,2274,-2191,2205,-2284,2141,-2378,2081,-2474,2027,-2570,1978,-2668,1934,-2767,1895,-2868,1861,-2969,1833,-3071,1810,-3174,1793,-3278,1782,-3383,1776,-3489,1775,-3542xe" filled="false" stroked="true" strokeweight="2pt" strokecolor="#000000">
              <v:path arrowok="t"/>
            </v:shape>
            <v:shape style="position:absolute;left:5489;top:-4220;width:768;height:848" coordorigin="5489,-4220" coordsize="768,848" path="m5873,-4220l5873,-4008,5489,-4008,5489,-3584,5873,-3584,5873,-3372,6257,-3796,5873,-4220xe" filled="true" fillcolor="#4f81bc" stroked="false">
              <v:path arrowok="t"/>
              <v:fill type="solid"/>
            </v:shape>
            <v:shape style="position:absolute;left:5489;top:-4220;width:768;height:848" coordorigin="5489,-4220" coordsize="768,848" path="m5489,-4008l5873,-4008,5873,-4220,6257,-3796,5873,-3372,5873,-3584,5489,-3584,5489,-4008xe" filled="false" stroked="true" strokeweight="2pt" strokecolor="#000000">
              <v:path arrowok="t"/>
            </v:shape>
            <v:shape style="position:absolute;left:9935;top:-4147;width:611;height:848" coordorigin="9935,-4147" coordsize="611,848" path="m10241,-4147l10241,-3935,9935,-3935,9935,-3511,10241,-3511,10241,-3299,10546,-3723,10241,-4147xe" filled="true" fillcolor="#4f81bc" stroked="false">
              <v:path arrowok="t"/>
              <v:fill type="solid"/>
            </v:shape>
            <v:shape style="position:absolute;left:9935;top:-4147;width:611;height:848" coordorigin="9935,-4147" coordsize="611,848" path="m9935,-3935l10241,-3935,10241,-4147,10546,-3723,10241,-3299,10241,-3511,9935,-3511,9935,-3935xe" filled="false" stroked="true" strokeweight="2pt" strokecolor="#000000">
              <v:path arrowok="t"/>
            </v:shape>
            <v:shape style="position:absolute;left:2256;top:-7034;width:3923;height:2705" coordorigin="2256,-7034" coordsize="3923,2705" path="m4456,-7034l2256,-7034,2256,-6503,4456,-6503,4456,-7034m6179,-4750l4961,-4750,4961,-4329,6179,-4329,6179,-4750e" filled="true" fillcolor="#ffffff" stroked="false">
              <v:path arrowok="t"/>
              <v:fill type="solid"/>
            </v:shape>
            <v:shape style="position:absolute;left:10488;top:-3732;width:158;height:1118" coordorigin="10488,-3732" coordsize="158,1118" path="m10497,-2758l10493,-2756,10490,-2754,10488,-2749,10491,-2745,10567,-2614,10576,-2629,10559,-2629,10559,-2657,10503,-2753,10501,-2757,10497,-2758xm10559,-2657l10559,-2629,10574,-2629,10574,-2633,10561,-2633,10567,-2644,10559,-2657xm10637,-2758l10633,-2757,10631,-2753,10575,-2657,10574,-2629,10576,-2629,10643,-2745,10646,-2749,10644,-2754,10641,-2756,10637,-2758xm10567,-2644l10561,-2633,10573,-2633,10567,-2644xm10574,-2657l10567,-2644,10573,-2633,10574,-2633,10574,-2657xm10574,-3732l10559,-3732,10560,-2657,10567,-2644,10574,-2657,10574,-3732xe" filled="true" fillcolor="#000000" stroked="false">
              <v:path arrowok="t"/>
              <v:fill type="solid"/>
            </v:shape>
            <v:line style="position:absolute" from="10565,-2614" to="5484,-2614" stroked="true" strokeweight=".75pt" strokecolor="#000000"/>
            <v:shape style="position:absolute;left:5405;top:-3603;width:158;height:989" coordorigin="5405,-3603" coordsize="158,989" path="m5484,-3574l5477,-3561,5476,-2614,5491,-2614,5491,-3561,5484,-3574xm5484,-3603l5408,-3472,5405,-3469,5407,-3464,5410,-3462,5414,-3460,5418,-3461,5420,-3465,5476,-3561,5476,-3589,5493,-3589,5484,-3603xm5493,-3589l5491,-3589,5492,-3561,5548,-3465,5550,-3461,5554,-3460,5558,-3462,5561,-3464,5563,-3469,5560,-3472,5493,-3589xm5491,-3589l5476,-3589,5476,-3561,5484,-3574,5478,-3585,5491,-3585,5491,-3589xm5491,-3585l5490,-3585,5484,-3574,5491,-3561,5491,-3585xm5490,-3585l5478,-3585,5484,-3574,5490,-3585xe" filled="true" fillcolor="#000000" stroked="false">
              <v:path arrowok="t"/>
              <v:fill type="solid"/>
            </v:shape>
            <v:shape style="position:absolute;left:2604;top:-5603;width:2577;height:3548" coordorigin="2604,-5603" coordsize="2577,3548" path="m3892,-5603l3828,-5601,3765,-5595,3702,-5584,3640,-5569,3580,-5551,3520,-5528,3462,-5502,3405,-5472,3349,-5439,3295,-5402,3242,-5361,3191,-5318,3141,-5271,3093,-5221,3047,-5168,3003,-5113,2960,-5054,2920,-4993,2882,-4930,2846,-4864,2812,-4795,2780,-4725,2751,-4652,2724,-4577,2699,-4501,2678,-4422,2659,-4342,2642,-4260,2629,-4176,2618,-4092,2610,-4005,2606,-3918,2604,-3829,2606,-3741,2610,-3653,2618,-3567,2629,-3482,2642,-3399,2659,-3317,2678,-3237,2699,-3158,2724,-3082,2751,-3007,2780,-2934,2812,-2863,2846,-2795,2882,-2729,2920,-2666,2960,-2604,3003,-2546,3047,-2491,3093,-2438,3141,-2388,3191,-2341,3242,-2298,3295,-2257,3349,-2220,3405,-2187,3462,-2157,3520,-2131,3580,-2108,3640,-2089,3702,-2075,3765,-2064,3828,-2058,3892,-2055,3957,-2058,4020,-2064,4083,-2075,4144,-2089,4205,-2108,4265,-2131,4323,-2157,4380,-2187,4436,-2220,4490,-2257,4543,-2298,4594,-2341,4644,-2388,4692,-2438,4738,-2491,4782,-2546,4825,-2604,4865,-2666,4903,-2729,4939,-2795,4973,-2863,5005,-2934,5034,-3007,5061,-3082,5086,-3158,5107,-3237,5126,-3317,5143,-3399,5156,-3482,5167,-3567,5175,-3653,5179,-3741,5181,-3829,5179,-3918,5175,-4005,5167,-4092,5156,-4176,5143,-4260,5126,-4342,5107,-4422,5086,-4501,5061,-4577,5034,-4652,5005,-4725,4973,-4795,4939,-4864,4903,-4930,4865,-4993,4825,-5054,4782,-5113,4738,-5168,4692,-5221,4644,-5271,4594,-5318,4543,-5361,4490,-5402,4436,-5439,4380,-5472,4323,-5502,4265,-5528,4205,-5551,4144,-5569,4083,-5584,4020,-5595,3957,-5601,3892,-5603xe" filled="true" fillcolor="#ffffff" stroked="false">
              <v:path arrowok="t"/>
              <v:fill type="solid"/>
            </v:shape>
            <v:shape style="position:absolute;left:2604;top:-5603;width:2577;height:3548" coordorigin="2604,-5603" coordsize="2577,3548" path="m2604,-3829l2606,-3918,2610,-4005,2618,-4092,2629,-4176,2642,-4260,2659,-4342,2678,-4422,2699,-4501,2724,-4577,2751,-4652,2780,-4725,2812,-4795,2846,-4864,2882,-4930,2920,-4993,2960,-5054,3003,-5113,3047,-5168,3093,-5221,3141,-5271,3191,-5318,3242,-5361,3295,-5402,3349,-5439,3405,-5472,3462,-5502,3520,-5528,3580,-5551,3640,-5569,3702,-5584,3765,-5595,3828,-5601,3892,-5603,3957,-5601,4020,-5595,4083,-5584,4144,-5569,4205,-5551,4265,-5528,4323,-5502,4380,-5472,4436,-5439,4490,-5402,4543,-5361,4594,-5318,4644,-5271,4692,-5221,4738,-5168,4782,-5113,4825,-5054,4865,-4993,4903,-4930,4939,-4864,4973,-4795,5005,-4725,5034,-4652,5061,-4577,5086,-4501,5107,-4422,5126,-4342,5143,-4260,5156,-4176,5167,-4092,5175,-4005,5179,-3918,5181,-3829,5179,-3741,5175,-3653,5167,-3567,5156,-3482,5143,-3399,5126,-3317,5107,-3237,5086,-3158,5061,-3082,5034,-3007,5005,-2934,4973,-2863,4939,-2795,4903,-2729,4865,-2666,4825,-2604,4782,-2546,4738,-2491,4692,-2438,4644,-2388,4594,-2341,4543,-2298,4490,-2257,4436,-2220,4380,-2187,4323,-2157,4265,-2131,4205,-2108,4144,-2089,4083,-2075,4020,-2064,3957,-2058,3892,-2055,3828,-2058,3765,-2064,3702,-2075,3640,-2089,3580,-2108,3520,-2131,3462,-2157,3405,-2187,3349,-2220,3295,-2257,3242,-2298,3191,-2341,3141,-2388,3093,-2438,3047,-2491,3003,-2546,2960,-2604,2920,-2666,2882,-2729,2846,-2795,2812,-2863,2780,-2934,2751,-3007,2724,-3082,2699,-3158,2678,-3237,2659,-3317,2642,-3399,2629,-3482,2618,-3567,2610,-3653,2606,-3741,2604,-3829xe" filled="false" stroked="true" strokeweight="2pt" strokecolor="#000000">
              <v:path arrowok="t"/>
            </v:shape>
            <v:shape style="position:absolute;left:1129;top:-6499;width:2145;height:3331" coordorigin="1129,-6499" coordsize="2145,3331" path="m2965,-5999l2442,-6499,1129,-5128,1652,-4628,2965,-5999m3274,-4176l1944,-4176,1944,-3168,3274,-3168,3274,-4176e" filled="true" fillcolor="#ffffff" stroked="false">
              <v:path arrowok="t"/>
              <v:fill type="solid"/>
            </v:shape>
            <v:shape style="position:absolute;left:1188;top:-6442;width:1717;height:1758" type="#_x0000_t75" stroked="false">
              <v:imagedata r:id="rId690" o:title=""/>
            </v:shape>
            <v:shape style="position:absolute;left:1600;top:-6020;width:1092;height:1130" type="#_x0000_t75" stroked="false">
              <v:imagedata r:id="rId691" o:title=""/>
            </v:shape>
            <v:shape style="position:absolute;left:12348;top:-6918;width:1747;height:1314" type="#_x0000_t75" stroked="false">
              <v:imagedata r:id="rId692" o:title=""/>
            </v:shape>
            <v:shape style="position:absolute;left:12663;top:-6637;width:1021;height:768" type="#_x0000_t75" stroked="false">
              <v:imagedata r:id="rId693" o:title=""/>
            </v:shape>
            <v:shape style="position:absolute;left:12790;top:-1704;width:1623;height:1650" coordorigin="12790,-1704" coordsize="1623,1650" path="m13889,-1704l12790,-556,13313,-55,14412,-1203,13889,-1704xe" filled="true" fillcolor="#ffffff" stroked="false">
              <v:path arrowok="t"/>
              <v:fill type="solid"/>
            </v:shape>
            <v:shape style="position:absolute;left:12848;top:-1647;width:1503;height:1534" type="#_x0000_t75" stroked="false">
              <v:imagedata r:id="rId694" o:title=""/>
            </v:shape>
            <v:shape style="position:absolute;left:13160;top:-1312;width:923;height:940" type="#_x0000_t75" stroked="false">
              <v:imagedata r:id="rId695" o:title=""/>
            </v:shape>
            <v:shape style="position:absolute;left:1859;top:-1257;width:1718;height:1089" type="#_x0000_t75" stroked="false">
              <v:imagedata r:id="rId696" o:title=""/>
            </v:shape>
            <v:shape style="position:absolute;left:2330;top:-1039;width:846;height:606" type="#_x0000_t75" stroked="false">
              <v:imagedata r:id="rId697" o:title=""/>
            </v:shape>
            <v:shape style="position:absolute;left:3035;top:-5223;width:366;height:2962" coordorigin="3035,-5223" coordsize="366,2962" path="m3401,-2261l3330,-2264,3272,-2270,3232,-2280,3218,-2292,3218,-3712,3204,-3724,3164,-3734,3106,-3740,3035,-3742,3106,-3745,3164,-3751,3204,-3761,3218,-3773,3218,-5193,3232,-5205,3272,-5215,3330,-5221,3401,-5223e" filled="false" stroked="true" strokeweight=".75pt" strokecolor="#000000">
              <v:path arrowok="t"/>
            </v:shape>
            <v:shape style="position:absolute;left:3274;top:-5855;width:3326;height:3365" coordorigin="3274,-5855" coordsize="3326,3365" path="m6600,-5855l3510,-5855,3510,-4993,3274,-4993,3274,-2490,4961,-2490,4961,-4929,6600,-4929,6600,-5855e" filled="true" fillcolor="#ffffff" stroked="false">
              <v:path arrowok="t"/>
              <v:fill type="solid"/>
            </v:shape>
            <v:shape style="position:absolute;left:2525;top:-6927;width:1664;height:235" type="#_x0000_t202" filled="false" stroked="false">
              <v:textbox inset="0,0,0,0">
                <w:txbxContent>
                  <w:p>
                    <w:pPr>
                      <w:spacing w:line="234" w:lineRule="exact" w:before="0"/>
                      <w:ind w:left="0" w:right="-17" w:firstLine="0"/>
                      <w:jc w:val="left"/>
                      <w:rPr>
                        <w:sz w:val="22"/>
                      </w:rPr>
                    </w:pPr>
                    <w:r>
                      <w:rPr>
                        <w:rFonts w:ascii="Calibri"/>
                        <w:sz w:val="22"/>
                      </w:rPr>
                      <w:t>Ambiente </w:t>
                    </w:r>
                    <w:r>
                      <w:rPr>
                        <w:sz w:val="22"/>
                      </w:rPr>
                      <w:t>externo</w:t>
                    </w:r>
                  </w:p>
                </w:txbxContent>
              </v:textbox>
              <w10:wrap type="none"/>
            </v:shape>
            <v:shape style="position:absolute;left:3423;top:-4899;width:1392;height:1424" type="#_x0000_t202" filled="false" stroked="false">
              <v:textbox inset="0,0,0,0">
                <w:txbxContent>
                  <w:p>
                    <w:pPr>
                      <w:spacing w:line="184" w:lineRule="exact" w:before="0"/>
                      <w:ind w:left="0" w:right="0" w:firstLine="0"/>
                      <w:jc w:val="left"/>
                      <w:rPr>
                        <w:b/>
                        <w:sz w:val="18"/>
                      </w:rPr>
                    </w:pPr>
                    <w:r>
                      <w:rPr>
                        <w:b/>
                        <w:sz w:val="18"/>
                      </w:rPr>
                      <w:t>Historia,  poder,</w:t>
                    </w:r>
                  </w:p>
                  <w:p>
                    <w:pPr>
                      <w:spacing w:before="2"/>
                      <w:ind w:left="0" w:right="141" w:firstLine="0"/>
                      <w:jc w:val="left"/>
                      <w:rPr>
                        <w:b/>
                        <w:sz w:val="18"/>
                      </w:rPr>
                    </w:pPr>
                    <w:r>
                      <w:rPr>
                        <w:b/>
                        <w:sz w:val="18"/>
                      </w:rPr>
                      <w:t>cultura, democracia voluntariedad, participación social, relaciones</w:t>
                    </w:r>
                  </w:p>
                </w:txbxContent>
              </v:textbox>
              <w10:wrap type="none"/>
            </v:shape>
            <v:shape style="position:absolute;left:4715;top:-4484;width:101;height:180" type="#_x0000_t202" filled="false" stroked="false">
              <v:textbox inset="0,0,0,0">
                <w:txbxContent>
                  <w:p>
                    <w:pPr>
                      <w:spacing w:line="180" w:lineRule="exact" w:before="0"/>
                      <w:ind w:left="0" w:right="0" w:firstLine="0"/>
                      <w:jc w:val="left"/>
                      <w:rPr>
                        <w:b/>
                        <w:sz w:val="18"/>
                      </w:rPr>
                    </w:pPr>
                    <w:r>
                      <w:rPr>
                        <w:b/>
                        <w:w w:val="99"/>
                        <w:sz w:val="18"/>
                      </w:rPr>
                      <w:t>y</w:t>
                    </w:r>
                  </w:p>
                </w:txbxContent>
              </v:textbox>
              <w10:wrap type="none"/>
            </v:shape>
            <v:shape style="position:absolute;left:5213;top:-4649;width:821;height:221" type="#_x0000_t202" filled="false" stroked="false">
              <v:textbox inset="0,0,0,0">
                <w:txbxContent>
                  <w:p>
                    <w:pPr>
                      <w:spacing w:line="221" w:lineRule="exact" w:before="0"/>
                      <w:ind w:left="0" w:right="-19" w:firstLine="0"/>
                      <w:jc w:val="left"/>
                      <w:rPr>
                        <w:b/>
                        <w:sz w:val="22"/>
                      </w:rPr>
                    </w:pPr>
                    <w:r>
                      <w:rPr>
                        <w:b/>
                        <w:sz w:val="22"/>
                      </w:rPr>
                      <w:t>Entrada</w:t>
                    </w:r>
                  </w:p>
                </w:txbxContent>
              </v:textbox>
              <w10:wrap type="none"/>
            </v:shape>
            <v:shape style="position:absolute;left:3423;top:-3449;width:1394;height:802" type="#_x0000_t202" filled="false" stroked="false">
              <v:textbox inset="0,0,0,0">
                <w:txbxContent>
                  <w:p>
                    <w:pPr>
                      <w:spacing w:line="184" w:lineRule="exact" w:before="0"/>
                      <w:ind w:left="0" w:right="0" w:firstLine="0"/>
                      <w:jc w:val="both"/>
                      <w:rPr>
                        <w:b/>
                        <w:sz w:val="18"/>
                      </w:rPr>
                    </w:pPr>
                    <w:r>
                      <w:rPr>
                        <w:b/>
                        <w:sz w:val="18"/>
                      </w:rPr>
                      <w:t>intermunicipale</w:t>
                    </w:r>
                  </w:p>
                  <w:p>
                    <w:pPr>
                      <w:spacing w:before="0"/>
                      <w:ind w:left="0" w:right="0" w:firstLine="0"/>
                      <w:jc w:val="both"/>
                      <w:rPr>
                        <w:b/>
                        <w:sz w:val="18"/>
                      </w:rPr>
                    </w:pPr>
                    <w:r>
                      <w:rPr>
                        <w:b/>
                        <w:sz w:val="18"/>
                      </w:rPr>
                      <w:t>s, cooperación, identidad y autogestión</w:t>
                    </w:r>
                  </w:p>
                </w:txbxContent>
              </v:textbox>
              <w10:wrap type="none"/>
            </v:shape>
            <v:shape style="position:absolute;left:6420;top:-6488;width:3017;height:467" type="#_x0000_t202" filled="true" fillcolor="#ffffff" stroked="false">
              <v:textbox inset="0,0,0,0">
                <w:txbxContent>
                  <w:p>
                    <w:pPr>
                      <w:spacing w:before="74"/>
                      <w:ind w:left="274" w:right="0" w:firstLine="0"/>
                      <w:jc w:val="left"/>
                      <w:rPr>
                        <w:i/>
                        <w:sz w:val="22"/>
                      </w:rPr>
                    </w:pPr>
                    <w:r>
                      <w:rPr>
                        <w:i/>
                        <w:sz w:val="22"/>
                      </w:rPr>
                      <w:t>Consideraciones teóricas</w:t>
                    </w:r>
                  </w:p>
                </w:txbxContent>
              </v:textbox>
              <v:fill type="solid"/>
              <w10:wrap type="none"/>
            </v:shape>
            <v:shape style="position:absolute;left:6906;top:-5778;width:2091;height:467" type="#_x0000_t202" filled="true" fillcolor="#ffffff" stroked="false">
              <v:textbox inset="0,0,0,0">
                <w:txbxContent>
                  <w:p>
                    <w:pPr>
                      <w:spacing w:before="75"/>
                      <w:ind w:left="160" w:right="0" w:firstLine="0"/>
                      <w:jc w:val="left"/>
                      <w:rPr>
                        <w:i/>
                        <w:sz w:val="22"/>
                      </w:rPr>
                    </w:pPr>
                    <w:r>
                      <w:rPr>
                        <w:i/>
                        <w:sz w:val="22"/>
                      </w:rPr>
                      <w:t>Trabajo de campo</w:t>
                    </w:r>
                  </w:p>
                </w:txbxContent>
              </v:textbox>
              <v:fill type="solid"/>
              <w10:wrap type="none"/>
            </v:shape>
            <v:shape style="position:absolute;left:9997;top:-2053;width:2091;height:724" type="#_x0000_t202" filled="true" fillcolor="#ffffff" stroked="false">
              <v:textbox inset="0,0,0,0">
                <w:txbxContent>
                  <w:p>
                    <w:pPr>
                      <w:spacing w:line="278" w:lineRule="auto" w:before="75"/>
                      <w:ind w:left="245" w:right="223" w:firstLine="386"/>
                      <w:jc w:val="left"/>
                      <w:rPr>
                        <w:i/>
                        <w:sz w:val="22"/>
                      </w:rPr>
                    </w:pPr>
                    <w:r>
                      <w:rPr>
                        <w:i/>
                        <w:sz w:val="22"/>
                      </w:rPr>
                      <w:t>Derecho </w:t>
                    </w:r>
                    <w:r>
                      <w:rPr>
                        <w:i/>
                        <w:sz w:val="22"/>
                      </w:rPr>
                      <w:t>Consuetudinario</w:t>
                    </w:r>
                  </w:p>
                </w:txbxContent>
              </v:textbox>
              <v:fill type="solid"/>
              <w10:wrap type="none"/>
            </v:shape>
            <v:shape style="position:absolute;left:4282;top:-1978;width:1898;height:724" type="#_x0000_t202" filled="true" fillcolor="#ffffff" stroked="false">
              <v:textbox inset="0,0,0,0">
                <w:txbxContent>
                  <w:p>
                    <w:pPr>
                      <w:spacing w:before="79"/>
                      <w:ind w:left="362" w:right="0" w:firstLine="0"/>
                      <w:jc w:val="left"/>
                      <w:rPr>
                        <w:i/>
                        <w:sz w:val="22"/>
                      </w:rPr>
                    </w:pPr>
                    <w:r>
                      <w:rPr>
                        <w:i/>
                        <w:sz w:val="22"/>
                      </w:rPr>
                      <w:t>Democracia</w:t>
                    </w:r>
                  </w:p>
                </w:txbxContent>
              </v:textbox>
              <v:fill type="solid"/>
              <w10:wrap type="none"/>
            </v:shape>
            <v:shape style="position:absolute;left:7108;top:-1265;width:2476;height:486" type="#_x0000_t202" filled="true" fillcolor="#ffffff" stroked="false">
              <v:textbox inset="0,0,0,0">
                <w:txbxContent>
                  <w:p>
                    <w:pPr>
                      <w:spacing w:before="77"/>
                      <w:ind w:left="407" w:right="0" w:firstLine="0"/>
                      <w:jc w:val="left"/>
                      <w:rPr>
                        <w:sz w:val="22"/>
                      </w:rPr>
                    </w:pPr>
                    <w:r>
                      <w:rPr>
                        <w:sz w:val="22"/>
                      </w:rPr>
                      <w:t>Ambiente interno</w:t>
                    </w:r>
                  </w:p>
                </w:txbxContent>
              </v:textbox>
              <v:fill type="solid"/>
              <w10:wrap type="none"/>
            </v:shape>
            <v:shape style="position:absolute;left:3510;top:-5855;width:3090;height:926" type="#_x0000_t202" filled="false" stroked="false">
              <v:textbox inset="0,0,0,0">
                <w:txbxContent>
                  <w:p>
                    <w:pPr>
                      <w:spacing w:line="276" w:lineRule="auto" w:before="75"/>
                      <w:ind w:left="150" w:right="149" w:firstLine="0"/>
                      <w:jc w:val="both"/>
                      <w:rPr>
                        <w:b/>
                        <w:sz w:val="20"/>
                      </w:rPr>
                    </w:pPr>
                    <w:r>
                      <w:rPr>
                        <w:b/>
                        <w:sz w:val="20"/>
                      </w:rPr>
                      <w:t>Factores críticos de éxito de las AEPA ambiental, social, económica y política:</w:t>
                    </w:r>
                  </w:p>
                </w:txbxContent>
              </v:textbox>
              <w10:wrap type="none"/>
            </v:shape>
            <v:shape style="position:absolute;left:1944;top:-4176;width:1330;height:1008" type="#_x0000_t202" filled="false" stroked="false">
              <v:textbox inset="0,0,0,0">
                <w:txbxContent>
                  <w:p>
                    <w:pPr>
                      <w:spacing w:line="276" w:lineRule="auto" w:before="76"/>
                      <w:ind w:left="149" w:right="58" w:firstLine="3"/>
                      <w:jc w:val="center"/>
                      <w:rPr>
                        <w:b/>
                        <w:sz w:val="20"/>
                      </w:rPr>
                    </w:pPr>
                    <w:r>
                      <w:rPr>
                        <w:b/>
                        <w:sz w:val="20"/>
                      </w:rPr>
                      <w:t>Principios de    </w:t>
                    </w:r>
                    <w:r>
                      <w:rPr>
                        <w:b/>
                        <w:w w:val="95"/>
                        <w:sz w:val="20"/>
                      </w:rPr>
                      <w:t>gobernanza</w:t>
                    </w:r>
                  </w:p>
                </w:txbxContent>
              </v:textbox>
              <w10:wrap type="none"/>
            </v:shape>
            <w10:wrap type="none"/>
          </v:group>
        </w:pict>
      </w:r>
      <w:r>
        <w:rPr>
          <w:b/>
          <w:sz w:val="20"/>
        </w:rPr>
        <w:t>Fuente: </w:t>
      </w:r>
      <w:r>
        <w:rPr>
          <w:sz w:val="20"/>
        </w:rPr>
        <w:t>elaboración propia con base en la teoría general de sistemas, sistema PEIR, consideraciones teóricas y trabajo de campo.</w:t>
      </w:r>
    </w:p>
    <w:p>
      <w:pPr>
        <w:pStyle w:val="BodyText"/>
        <w:rPr>
          <w:sz w:val="20"/>
        </w:rPr>
      </w:pPr>
    </w:p>
    <w:p>
      <w:pPr>
        <w:pStyle w:val="BodyText"/>
        <w:spacing w:before="5"/>
        <w:rPr>
          <w:sz w:val="18"/>
        </w:rPr>
      </w:pPr>
    </w:p>
    <w:p>
      <w:pPr>
        <w:pStyle w:val="BodyText"/>
        <w:ind w:right="113"/>
        <w:jc w:val="right"/>
        <w:rPr>
          <w:rFonts w:ascii="Calibri"/>
        </w:rPr>
      </w:pPr>
      <w:r>
        <w:rPr>
          <w:rFonts w:ascii="Calibri"/>
        </w:rPr>
        <w:t>764</w:t>
      </w:r>
    </w:p>
    <w:p>
      <w:pPr>
        <w:spacing w:after="0"/>
        <w:jc w:val="right"/>
        <w:rPr>
          <w:rFonts w:ascii="Calibri"/>
        </w:rPr>
        <w:sectPr>
          <w:footerReference w:type="default" r:id="rId689"/>
          <w:pgSz w:w="15840" w:h="12240" w:orient="landscape"/>
          <w:pgMar w:footer="0" w:header="0" w:top="1140" w:bottom="280" w:left="1020" w:right="1300"/>
        </w:sectPr>
      </w:pPr>
    </w:p>
    <w:p>
      <w:pPr>
        <w:pStyle w:val="BodyText"/>
        <w:spacing w:line="360" w:lineRule="auto" w:before="53"/>
        <w:ind w:left="102" w:right="114"/>
        <w:jc w:val="both"/>
      </w:pPr>
      <w:r>
        <w:rPr/>
        <w:t>En el anterior esquema del sistema PEIR de la CHPH, se identifica que los principios de gobernanza, de donde emanan los factores críticos de éxito, entran en un proceso de acuerdos mediante los actores de la CHPH, basados en la gobernanza y la gobernabilidad, para generar como salida una propuesta de </w:t>
      </w:r>
      <w:r>
        <w:rPr>
          <w:i/>
        </w:rPr>
        <w:t>creación de un Comité </w:t>
      </w:r>
      <w:r>
        <w:rPr>
          <w:i/>
        </w:rPr>
        <w:t>intermunicipal </w:t>
      </w:r>
      <w:r>
        <w:rPr/>
        <w:t>para cuidar, defender y administrar los recursos de la CHPH con su reglamento, además se da un proceso interno de retroalimentación basado en la democracia y el derecho consuetudinario, el cual es la única alternativa de asociación civil ante un estado de derecho que limita las acciones en pro del cuidado del medio ambiente, por lo que la legislación vigente en la CHPH es analizada en el siguiente aparatado para justificar jurídica y políticamente la conformación de la propuesta del Comité  Intermunicipal con su Reglamento para la</w:t>
      </w:r>
      <w:r>
        <w:rPr>
          <w:spacing w:val="-16"/>
        </w:rPr>
        <w:t> </w:t>
      </w:r>
      <w:r>
        <w:rPr/>
        <w:t>CHPH.</w:t>
      </w:r>
    </w:p>
    <w:p>
      <w:pPr>
        <w:spacing w:after="0" w:line="360" w:lineRule="auto"/>
        <w:jc w:val="both"/>
        <w:sectPr>
          <w:footerReference w:type="default" r:id="rId698"/>
          <w:pgSz w:w="12240" w:h="15840"/>
          <w:pgMar w:footer="1003" w:header="0" w:top="1360" w:bottom="1200" w:left="1600" w:right="1580"/>
          <w:pgNumType w:start="765"/>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60" w:lineRule="auto" w:before="202"/>
        <w:ind w:right="323"/>
        <w:jc w:val="center"/>
      </w:pPr>
      <w:r>
        <w:rPr/>
        <w:t>ANÁLISIS DEL MARCO JURÍDICO PARA LA PROPUESTA DEL COMITÉ INTERMUNICIPAL PARA CUIDAR, DEFENDER Y ADMINISTRAR LOS RECURSOS DE LA CHPH Y SU REGLAMENTO</w:t>
      </w:r>
    </w:p>
    <w:p>
      <w:pPr>
        <w:spacing w:after="0" w:line="360" w:lineRule="auto"/>
        <w:jc w:val="center"/>
        <w:sectPr>
          <w:pgSz w:w="12240" w:h="15840"/>
          <w:pgMar w:header="0" w:footer="1003" w:top="1500" w:bottom="1200" w:left="1720" w:right="1580"/>
        </w:sectPr>
      </w:pPr>
    </w:p>
    <w:p>
      <w:pPr>
        <w:pStyle w:val="Heading6"/>
        <w:numPr>
          <w:ilvl w:val="0"/>
          <w:numId w:val="17"/>
        </w:numPr>
        <w:tabs>
          <w:tab w:pos="686" w:val="left" w:leader="none"/>
        </w:tabs>
        <w:spacing w:line="276" w:lineRule="auto" w:before="51" w:after="0"/>
        <w:ind w:left="122" w:right="119" w:firstLine="0"/>
        <w:jc w:val="both"/>
      </w:pPr>
      <w:r>
        <w:rPr/>
        <w:t>ANÁLISIS DEL MARCO JURÍDICO PARA LA PROPUESTA DEL COMITÉ INTERMUNICIPAL PARA CUIDAR, DEFENDER Y ADMINISTRAR LOS RECURSOS DE LA CHPH Y SU</w:t>
      </w:r>
      <w:r>
        <w:rPr>
          <w:spacing w:val="-12"/>
        </w:rPr>
        <w:t> </w:t>
      </w:r>
      <w:r>
        <w:rPr/>
        <w:t>REGLAMENTO</w:t>
      </w:r>
    </w:p>
    <w:p>
      <w:pPr>
        <w:pStyle w:val="BodyText"/>
        <w:spacing w:line="360" w:lineRule="auto" w:before="187"/>
        <w:ind w:left="122" w:right="114"/>
        <w:jc w:val="both"/>
      </w:pPr>
      <w:r>
        <w:rPr/>
        <w:t>En este apartado se analiza el </w:t>
      </w:r>
      <w:r>
        <w:rPr>
          <w:i/>
        </w:rPr>
        <w:t>marco jurídico formal</w:t>
      </w:r>
      <w:r>
        <w:rPr>
          <w:i/>
          <w:position w:val="9"/>
          <w:sz w:val="14"/>
        </w:rPr>
        <w:t>12 </w:t>
      </w:r>
      <w:r>
        <w:rPr/>
        <w:t>que regula principalmente las acciones en materia ambiental y del agua de los actores de la CHPH a nivel internacional, nacional, estatal y local, ya que México desde la época colonial es un país de derecho escrito. Durante el virreinato la principal fuente de derecho fueron las recopilaciones de  las Leyes de Indias promulgadas en diversas fechas por sucesivos monarcas españoles. Después de la Independencia, esta tendencia se refuerza provocando que la mayoría de las normas jurídicas mexicanas sean producto de la legislación que está basada en normas de carácter general que se formulan en un texto y son dictadas por los poderes públicos, sin embargo el derecho formal se opone al concepto de usos y costumbres que son principio general del derecho y que dan origen al derecho consuetudinario en el cual se sustenta jurídica y políticamente la propuesta de creación de un Comité intermunicipal para cuidar, defender y administrar los recursos de la CHPH con su reglamento, objetivo de esta</w:t>
      </w:r>
      <w:r>
        <w:rPr>
          <w:spacing w:val="-3"/>
        </w:rPr>
        <w:t> </w:t>
      </w:r>
      <w:r>
        <w:rPr/>
        <w:t>investigación.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15928;mso-wrap-distance-left:0;mso-wrap-distance-right:0" from="85.103996pt,10.593918pt" to="229.123996pt,10.593918pt" stroked="true" strokeweight=".72003pt" strokecolor="#000000">
            <w10:wrap type="topAndBottom"/>
          </v:line>
        </w:pict>
      </w:r>
    </w:p>
    <w:p>
      <w:pPr>
        <w:spacing w:line="242" w:lineRule="auto" w:before="69"/>
        <w:ind w:left="122" w:right="120" w:firstLine="0"/>
        <w:jc w:val="both"/>
        <w:rPr>
          <w:sz w:val="20"/>
        </w:rPr>
      </w:pPr>
      <w:r>
        <w:rPr>
          <w:rFonts w:ascii="Calibri" w:hAnsi="Calibri"/>
          <w:position w:val="7"/>
          <w:sz w:val="13"/>
        </w:rPr>
        <w:t>12 </w:t>
      </w:r>
      <w:r>
        <w:rPr>
          <w:sz w:val="20"/>
        </w:rPr>
        <w:t>El derecho escrito que se funda en la ley. En su sentido más amplio, ley es toda regla jurídica formulada por escrito para regir en el futuro y que es elaborada o sancionada por los órganos del Estado. En este sentido el término ley incluye conceptos como los de constitución, decreto o reglamento. En los sistemas de derecho escrito existe un orden jerárquico entre las normas que lo componen. En ellos existe una Constitución que determina los procesos de creación de todas las demás normas del orden jurídico. Generalmente se otorga a un órgano especial ''el poder legislativo'' la facultad de dictar las normas generales. Estas normas son las leyes en sentido formal. El proceso legislativo está sujeto a ciertas etapas: iniciativa, discusión, aprobación, promulgación (Cabanellas, 1990).</w:t>
      </w:r>
    </w:p>
    <w:p>
      <w:pPr>
        <w:spacing w:after="0" w:line="242" w:lineRule="auto"/>
        <w:jc w:val="both"/>
        <w:rPr>
          <w:sz w:val="20"/>
        </w:rPr>
        <w:sectPr>
          <w:pgSz w:w="12240" w:h="15840"/>
          <w:pgMar w:header="0" w:footer="1003" w:top="1360" w:bottom="1200" w:left="1580" w:right="1580"/>
        </w:sectPr>
      </w:pPr>
    </w:p>
    <w:p>
      <w:pPr>
        <w:pStyle w:val="Heading6"/>
        <w:numPr>
          <w:ilvl w:val="1"/>
          <w:numId w:val="338"/>
        </w:numPr>
        <w:tabs>
          <w:tab w:pos="532" w:val="left" w:leader="none"/>
        </w:tabs>
        <w:spacing w:line="240" w:lineRule="auto" w:before="51" w:after="0"/>
        <w:ind w:left="531" w:right="0" w:hanging="429"/>
        <w:jc w:val="both"/>
      </w:pPr>
      <w:bookmarkStart w:name="_TOC_250009" w:id="64"/>
      <w:r>
        <w:rPr/>
        <w:t>MARCO JURÍDICO</w:t>
      </w:r>
      <w:r>
        <w:rPr>
          <w:spacing w:val="-20"/>
        </w:rPr>
        <w:t> </w:t>
      </w:r>
      <w:bookmarkEnd w:id="64"/>
      <w:r>
        <w:rPr/>
        <w:t>INTERNACIONAL</w:t>
      </w:r>
    </w:p>
    <w:p>
      <w:pPr>
        <w:pStyle w:val="BodyText"/>
        <w:rPr>
          <w:b/>
          <w:sz w:val="21"/>
        </w:rPr>
      </w:pPr>
    </w:p>
    <w:p>
      <w:pPr>
        <w:pStyle w:val="BodyText"/>
        <w:spacing w:line="360" w:lineRule="auto"/>
        <w:ind w:left="102" w:right="114"/>
        <w:jc w:val="both"/>
      </w:pPr>
      <w:r>
        <w:rPr/>
        <w:t>De acuerdo con Arturo Aldama (1987), la formación de tratados internacionales para controlar o regular aspectos referentes a la ecología y el entorno ambiental, comenzó con mayor fuerza en el transcurso de la Segunda Guerra Mundial, cuando se vislumbró la magnitud de las afectaciones que podría causar el ser humano, no solamente a una  región del planeta en particular, sino a la totalidad de éste. Desde entonces, se han establecido múltiples y diversos acuerdos y tratados para proteger al ambiente natural; pero se han considerado más como convenios de fondo y</w:t>
      </w:r>
      <w:r>
        <w:rPr>
          <w:spacing w:val="-13"/>
        </w:rPr>
        <w:t> </w:t>
      </w:r>
      <w:r>
        <w:rPr/>
        <w:t>acción.</w:t>
      </w:r>
    </w:p>
    <w:p>
      <w:pPr>
        <w:pStyle w:val="BodyText"/>
        <w:spacing w:before="7"/>
        <w:rPr>
          <w:sz w:val="17"/>
        </w:rPr>
      </w:pPr>
    </w:p>
    <w:p>
      <w:pPr>
        <w:pStyle w:val="BodyText"/>
        <w:spacing w:line="360" w:lineRule="auto"/>
        <w:ind w:left="102" w:right="116"/>
        <w:jc w:val="both"/>
      </w:pPr>
      <w:r>
        <w:rPr/>
        <w:t>Fue hasta el año de 1987, cuando el presidente del Banco Mundial, Sr. Barber B. Conable, exhortó de forma general a todas las naciones a hacer un esfuerzo real para cooperar en la conservación del entorno natural mundial. En su discurso llevado a cabo</w:t>
      </w:r>
      <w:r>
        <w:rPr>
          <w:spacing w:val="-22"/>
        </w:rPr>
        <w:t> </w:t>
      </w:r>
      <w:r>
        <w:rPr/>
        <w:t>en Washington D. C., expresó</w:t>
      </w:r>
      <w:r>
        <w:rPr>
          <w:spacing w:val="-7"/>
        </w:rPr>
        <w:t> </w:t>
      </w:r>
      <w:r>
        <w:rPr/>
        <w:t>que:</w:t>
      </w:r>
    </w:p>
    <w:p>
      <w:pPr>
        <w:pStyle w:val="BodyText"/>
        <w:spacing w:before="9"/>
        <w:rPr>
          <w:sz w:val="17"/>
        </w:rPr>
      </w:pPr>
    </w:p>
    <w:p>
      <w:pPr>
        <w:pStyle w:val="BodyText"/>
        <w:spacing w:line="360" w:lineRule="auto"/>
        <w:ind w:left="1095" w:right="114"/>
        <w:jc w:val="both"/>
      </w:pPr>
      <w:r>
        <w:rPr/>
        <w:t>Tenemos conocimiento de que los recursos básicos de la Tierra, el aire y el agua, sobre los que se sustenta la supervivencia del planeta, están amenazados. Pero el esfuerzo común para resolver los problemas comunes del mundo requiere de cierto grado de coordinación institucional y una dosis de voluntad política, que el hombre invierte más frecuentemente en destruir que en preservar.</w:t>
      </w:r>
    </w:p>
    <w:p>
      <w:pPr>
        <w:pStyle w:val="BodyText"/>
        <w:spacing w:before="9"/>
        <w:rPr>
          <w:sz w:val="17"/>
        </w:rPr>
      </w:pPr>
    </w:p>
    <w:p>
      <w:pPr>
        <w:pStyle w:val="BodyText"/>
        <w:spacing w:line="360" w:lineRule="auto"/>
        <w:ind w:left="102" w:right="112"/>
        <w:jc w:val="both"/>
      </w:pPr>
      <w:r>
        <w:rPr/>
        <w:t>En este sentido, de acuerdo con el Centro de Información y Comunicación Ambiental de Norte América (2015), existen diversas causas para que tratados internacionales relacionados con ecología se puedan crear. Estas causas varían de acuerdo con el momento histórico presente o pasado, el tipo de individuos o grupos de éstos, y los países existentes. Cualesquiera que éstas sean, se encuentran descritas por la llamada Ecología Política. Ésta disciplina encuentra explicación a los motivos de los individuos y los grupos para llevar a cabo luchas para defender su entorno ambiental. Una primera causa es la especie, que se explica por la necesidad de los seres humanos de proteger el lugar donde han vivido siempre. Consiste en incentivar a los individuos, más allá de sus creencias religiosas, de su cultura, de sus intereses y de su clase, a defender a la especie y su hábitat de cualquier amenaza, que es el fin último de acción y de lucha política. A continuación sólo se desarrollan los que están en letra cursiva porque los demás quedan fuera del análisis porque no se relacionan directamente con nuestro caso de estudio y son muy amplios.</w:t>
      </w:r>
    </w:p>
    <w:p>
      <w:pPr>
        <w:spacing w:after="0" w:line="360" w:lineRule="auto"/>
        <w:jc w:val="both"/>
        <w:sectPr>
          <w:pgSz w:w="12240" w:h="15840"/>
          <w:pgMar w:header="0" w:footer="1003" w:top="1360" w:bottom="1200" w:left="1600" w:right="1580"/>
        </w:sectPr>
      </w:pPr>
    </w:p>
    <w:p>
      <w:pPr>
        <w:pStyle w:val="Heading7"/>
        <w:spacing w:before="53"/>
        <w:jc w:val="left"/>
        <w:rPr>
          <w:i/>
        </w:rPr>
      </w:pPr>
      <w:r>
        <w:rPr>
          <w:i/>
        </w:rPr>
        <w:t>Principales Tratados Multilaterales</w:t>
      </w:r>
    </w:p>
    <w:p>
      <w:pPr>
        <w:pStyle w:val="BodyText"/>
        <w:spacing w:before="6"/>
        <w:rPr>
          <w:b/>
          <w:i/>
          <w:sz w:val="28"/>
        </w:rPr>
      </w:pPr>
    </w:p>
    <w:p>
      <w:pPr>
        <w:pStyle w:val="ListParagraph"/>
        <w:numPr>
          <w:ilvl w:val="0"/>
          <w:numId w:val="339"/>
        </w:numPr>
        <w:tabs>
          <w:tab w:pos="362" w:val="left" w:leader="none"/>
        </w:tabs>
        <w:spacing w:line="240" w:lineRule="auto" w:before="0" w:after="0"/>
        <w:ind w:left="102" w:right="0" w:firstLine="0"/>
        <w:jc w:val="left"/>
        <w:rPr>
          <w:i/>
          <w:sz w:val="22"/>
        </w:rPr>
      </w:pPr>
      <w:r>
        <w:rPr>
          <w:i/>
          <w:sz w:val="22"/>
        </w:rPr>
        <w:t>Conferencia de Estocolmo sobre el Medio</w:t>
      </w:r>
      <w:r>
        <w:rPr>
          <w:i/>
          <w:spacing w:val="-16"/>
          <w:sz w:val="22"/>
        </w:rPr>
        <w:t> </w:t>
      </w:r>
      <w:r>
        <w:rPr>
          <w:i/>
          <w:sz w:val="22"/>
        </w:rPr>
        <w:t>Humano</w:t>
      </w:r>
    </w:p>
    <w:p>
      <w:pPr>
        <w:pStyle w:val="BodyText"/>
        <w:spacing w:before="3"/>
        <w:rPr>
          <w:i/>
          <w:sz w:val="28"/>
        </w:rPr>
      </w:pPr>
    </w:p>
    <w:p>
      <w:pPr>
        <w:pStyle w:val="ListParagraph"/>
        <w:numPr>
          <w:ilvl w:val="0"/>
          <w:numId w:val="339"/>
        </w:numPr>
        <w:tabs>
          <w:tab w:pos="362" w:val="left" w:leader="none"/>
        </w:tabs>
        <w:spacing w:line="240" w:lineRule="auto" w:before="0" w:after="0"/>
        <w:ind w:left="361" w:right="0" w:hanging="259"/>
        <w:jc w:val="left"/>
        <w:rPr>
          <w:sz w:val="22"/>
        </w:rPr>
      </w:pPr>
      <w:r>
        <w:rPr>
          <w:sz w:val="22"/>
        </w:rPr>
        <w:t>Convención de las Naciones Unidas sobre el Derecho del Mar</w:t>
      </w:r>
      <w:r>
        <w:rPr>
          <w:spacing w:val="-20"/>
          <w:sz w:val="22"/>
        </w:rPr>
        <w:t> </w:t>
      </w:r>
      <w:r>
        <w:rPr>
          <w:sz w:val="22"/>
        </w:rPr>
        <w:t>(UNCLOS)</w:t>
      </w:r>
    </w:p>
    <w:p>
      <w:pPr>
        <w:pStyle w:val="BodyText"/>
        <w:spacing w:before="5"/>
        <w:rPr>
          <w:sz w:val="28"/>
        </w:rPr>
      </w:pPr>
    </w:p>
    <w:p>
      <w:pPr>
        <w:pStyle w:val="ListParagraph"/>
        <w:numPr>
          <w:ilvl w:val="0"/>
          <w:numId w:val="339"/>
        </w:numPr>
        <w:tabs>
          <w:tab w:pos="359" w:val="left" w:leader="none"/>
        </w:tabs>
        <w:spacing w:line="240" w:lineRule="auto" w:before="1" w:after="0"/>
        <w:ind w:left="358" w:right="0" w:hanging="256"/>
        <w:jc w:val="left"/>
        <w:rPr>
          <w:i/>
          <w:sz w:val="22"/>
        </w:rPr>
      </w:pPr>
      <w:r>
        <w:rPr>
          <w:i/>
          <w:sz w:val="22"/>
        </w:rPr>
        <w:t>Conferencia de las Naciones Unidas sobre el Medio Ambiente y Desarrollo </w:t>
      </w:r>
      <w:r>
        <w:rPr>
          <w:i/>
          <w:spacing w:val="26"/>
          <w:sz w:val="22"/>
        </w:rPr>
        <w:t> </w:t>
      </w:r>
      <w:r>
        <w:rPr>
          <w:i/>
          <w:sz w:val="22"/>
        </w:rPr>
        <w:t>(CNUMAD)</w:t>
      </w:r>
    </w:p>
    <w:p>
      <w:pPr>
        <w:pStyle w:val="ListParagraph"/>
        <w:numPr>
          <w:ilvl w:val="0"/>
          <w:numId w:val="340"/>
        </w:numPr>
        <w:tabs>
          <w:tab w:pos="239" w:val="left" w:leader="none"/>
        </w:tabs>
        <w:spacing w:line="240" w:lineRule="auto" w:before="126" w:after="0"/>
        <w:ind w:left="238" w:right="0" w:hanging="136"/>
        <w:jc w:val="left"/>
        <w:rPr>
          <w:i/>
          <w:sz w:val="22"/>
        </w:rPr>
      </w:pPr>
      <w:r>
        <w:rPr>
          <w:i/>
          <w:sz w:val="22"/>
        </w:rPr>
        <w:t>Rio</w:t>
      </w:r>
      <w:r>
        <w:rPr>
          <w:i/>
          <w:spacing w:val="-5"/>
          <w:sz w:val="22"/>
        </w:rPr>
        <w:t> </w:t>
      </w:r>
      <w:r>
        <w:rPr>
          <w:i/>
          <w:sz w:val="22"/>
        </w:rPr>
        <w:t>‘92</w:t>
      </w:r>
    </w:p>
    <w:p>
      <w:pPr>
        <w:pStyle w:val="BodyText"/>
        <w:spacing w:before="3"/>
        <w:rPr>
          <w:i/>
          <w:sz w:val="28"/>
        </w:rPr>
      </w:pPr>
    </w:p>
    <w:p>
      <w:pPr>
        <w:pStyle w:val="ListParagraph"/>
        <w:numPr>
          <w:ilvl w:val="0"/>
          <w:numId w:val="340"/>
        </w:numPr>
        <w:tabs>
          <w:tab w:pos="239" w:val="left" w:leader="none"/>
        </w:tabs>
        <w:spacing w:line="240" w:lineRule="auto" w:before="0" w:after="0"/>
        <w:ind w:left="238" w:right="0" w:hanging="136"/>
        <w:jc w:val="left"/>
        <w:rPr>
          <w:i/>
          <w:sz w:val="22"/>
        </w:rPr>
      </w:pPr>
      <w:r>
        <w:rPr>
          <w:i/>
          <w:sz w:val="22"/>
        </w:rPr>
        <w:t>Agenda</w:t>
      </w:r>
      <w:r>
        <w:rPr>
          <w:i/>
          <w:spacing w:val="-3"/>
          <w:sz w:val="22"/>
        </w:rPr>
        <w:t> </w:t>
      </w:r>
      <w:r>
        <w:rPr>
          <w:i/>
          <w:sz w:val="22"/>
        </w:rPr>
        <w:t>XXI;</w:t>
      </w:r>
    </w:p>
    <w:p>
      <w:pPr>
        <w:pStyle w:val="BodyText"/>
        <w:spacing w:before="5"/>
        <w:rPr>
          <w:i/>
          <w:sz w:val="28"/>
        </w:rPr>
      </w:pPr>
    </w:p>
    <w:p>
      <w:pPr>
        <w:pStyle w:val="ListParagraph"/>
        <w:numPr>
          <w:ilvl w:val="0"/>
          <w:numId w:val="340"/>
        </w:numPr>
        <w:tabs>
          <w:tab w:pos="239" w:val="left" w:leader="none"/>
        </w:tabs>
        <w:spacing w:line="240" w:lineRule="auto" w:before="1" w:after="0"/>
        <w:ind w:left="238" w:right="0" w:hanging="136"/>
        <w:jc w:val="left"/>
        <w:rPr>
          <w:i/>
          <w:sz w:val="22"/>
        </w:rPr>
      </w:pPr>
      <w:r>
        <w:rPr>
          <w:i/>
          <w:sz w:val="22"/>
        </w:rPr>
        <w:t>Declaración de Rio sobre Medio Ambiente y</w:t>
      </w:r>
      <w:r>
        <w:rPr>
          <w:i/>
          <w:spacing w:val="-15"/>
          <w:sz w:val="22"/>
        </w:rPr>
        <w:t> </w:t>
      </w:r>
      <w:r>
        <w:rPr>
          <w:i/>
          <w:sz w:val="22"/>
        </w:rPr>
        <w:t>Desarrollo;</w:t>
      </w:r>
    </w:p>
    <w:p>
      <w:pPr>
        <w:pStyle w:val="BodyText"/>
        <w:spacing w:before="4"/>
        <w:rPr>
          <w:i/>
          <w:sz w:val="28"/>
        </w:rPr>
      </w:pPr>
    </w:p>
    <w:p>
      <w:pPr>
        <w:pStyle w:val="ListParagraph"/>
        <w:numPr>
          <w:ilvl w:val="0"/>
          <w:numId w:val="340"/>
        </w:numPr>
        <w:tabs>
          <w:tab w:pos="239" w:val="left" w:leader="none"/>
        </w:tabs>
        <w:spacing w:line="240" w:lineRule="auto" w:before="0" w:after="0"/>
        <w:ind w:left="238" w:right="0" w:hanging="136"/>
        <w:jc w:val="left"/>
        <w:rPr>
          <w:i/>
          <w:sz w:val="22"/>
        </w:rPr>
      </w:pPr>
      <w:r>
        <w:rPr>
          <w:i/>
          <w:sz w:val="22"/>
        </w:rPr>
        <w:t>Principios</w:t>
      </w:r>
      <w:r>
        <w:rPr>
          <w:i/>
          <w:spacing w:val="-8"/>
          <w:sz w:val="22"/>
        </w:rPr>
        <w:t> </w:t>
      </w:r>
      <w:r>
        <w:rPr>
          <w:i/>
          <w:sz w:val="22"/>
        </w:rPr>
        <w:t>forestales.</w:t>
      </w:r>
    </w:p>
    <w:p>
      <w:pPr>
        <w:pStyle w:val="BodyText"/>
        <w:spacing w:before="5"/>
        <w:rPr>
          <w:i/>
          <w:sz w:val="28"/>
        </w:rPr>
      </w:pPr>
    </w:p>
    <w:p>
      <w:pPr>
        <w:pStyle w:val="ListParagraph"/>
        <w:numPr>
          <w:ilvl w:val="0"/>
          <w:numId w:val="339"/>
        </w:numPr>
        <w:tabs>
          <w:tab w:pos="362" w:val="left" w:leader="none"/>
        </w:tabs>
        <w:spacing w:line="240" w:lineRule="auto" w:before="1" w:after="0"/>
        <w:ind w:left="361" w:right="0" w:hanging="259"/>
        <w:jc w:val="left"/>
        <w:rPr>
          <w:i/>
          <w:sz w:val="22"/>
        </w:rPr>
      </w:pPr>
      <w:r>
        <w:rPr>
          <w:i/>
          <w:sz w:val="22"/>
        </w:rPr>
        <w:t>Convenio sobre la Diversidad</w:t>
      </w:r>
      <w:r>
        <w:rPr>
          <w:i/>
          <w:spacing w:val="-12"/>
          <w:sz w:val="22"/>
        </w:rPr>
        <w:t> </w:t>
      </w:r>
      <w:r>
        <w:rPr>
          <w:i/>
          <w:sz w:val="22"/>
        </w:rPr>
        <w:t>Biológica</w:t>
      </w:r>
    </w:p>
    <w:p>
      <w:pPr>
        <w:pStyle w:val="BodyText"/>
        <w:spacing w:before="3"/>
        <w:rPr>
          <w:i/>
          <w:sz w:val="28"/>
        </w:rPr>
      </w:pPr>
    </w:p>
    <w:p>
      <w:pPr>
        <w:pStyle w:val="ListParagraph"/>
        <w:numPr>
          <w:ilvl w:val="0"/>
          <w:numId w:val="339"/>
        </w:numPr>
        <w:tabs>
          <w:tab w:pos="362" w:val="left" w:leader="none"/>
        </w:tabs>
        <w:spacing w:line="240" w:lineRule="auto" w:before="0" w:after="0"/>
        <w:ind w:left="361" w:right="0" w:hanging="259"/>
        <w:jc w:val="left"/>
        <w:rPr>
          <w:sz w:val="22"/>
        </w:rPr>
      </w:pPr>
      <w:r>
        <w:rPr>
          <w:sz w:val="22"/>
        </w:rPr>
        <w:t>Convención sobre Cambio Climático y Protocolo de</w:t>
      </w:r>
      <w:r>
        <w:rPr>
          <w:spacing w:val="-17"/>
          <w:sz w:val="22"/>
        </w:rPr>
        <w:t> </w:t>
      </w:r>
      <w:r>
        <w:rPr>
          <w:sz w:val="22"/>
        </w:rPr>
        <w:t>Kioto</w:t>
      </w:r>
    </w:p>
    <w:p>
      <w:pPr>
        <w:pStyle w:val="BodyText"/>
        <w:spacing w:before="5"/>
        <w:rPr>
          <w:sz w:val="28"/>
        </w:rPr>
      </w:pPr>
    </w:p>
    <w:p>
      <w:pPr>
        <w:pStyle w:val="ListParagraph"/>
        <w:numPr>
          <w:ilvl w:val="0"/>
          <w:numId w:val="339"/>
        </w:numPr>
        <w:tabs>
          <w:tab w:pos="299" w:val="left" w:leader="none"/>
        </w:tabs>
        <w:spacing w:line="240" w:lineRule="auto" w:before="1" w:after="0"/>
        <w:ind w:left="298" w:right="0" w:hanging="196"/>
        <w:jc w:val="left"/>
        <w:rPr>
          <w:i/>
          <w:sz w:val="22"/>
        </w:rPr>
      </w:pPr>
      <w:r>
        <w:rPr>
          <w:i/>
          <w:sz w:val="22"/>
        </w:rPr>
        <w:t>Cumbre Mundial sobre el Desarrollo Sostenible – Johannesburgo</w:t>
      </w:r>
      <w:r>
        <w:rPr>
          <w:i/>
          <w:spacing w:val="-12"/>
          <w:sz w:val="22"/>
        </w:rPr>
        <w:t> </w:t>
      </w:r>
      <w:r>
        <w:rPr>
          <w:i/>
          <w:sz w:val="22"/>
        </w:rPr>
        <w:t>2002</w:t>
      </w:r>
    </w:p>
    <w:p>
      <w:pPr>
        <w:pStyle w:val="BodyText"/>
        <w:spacing w:before="3"/>
        <w:rPr>
          <w:i/>
          <w:sz w:val="28"/>
        </w:rPr>
      </w:pPr>
    </w:p>
    <w:p>
      <w:pPr>
        <w:pStyle w:val="ListParagraph"/>
        <w:numPr>
          <w:ilvl w:val="0"/>
          <w:numId w:val="339"/>
        </w:numPr>
        <w:tabs>
          <w:tab w:pos="414" w:val="left" w:leader="none"/>
        </w:tabs>
        <w:spacing w:line="360" w:lineRule="auto" w:before="0" w:after="0"/>
        <w:ind w:left="102" w:right="118" w:firstLine="0"/>
        <w:jc w:val="left"/>
        <w:rPr>
          <w:sz w:val="22"/>
        </w:rPr>
      </w:pPr>
      <w:r>
        <w:rPr>
          <w:sz w:val="22"/>
        </w:rPr>
        <w:t>Convenio de Basilea sobre el Control de Movimiento Transfronterizo de Desechos Peligrosos y su</w:t>
      </w:r>
      <w:r>
        <w:rPr>
          <w:spacing w:val="-10"/>
          <w:sz w:val="22"/>
        </w:rPr>
        <w:t> </w:t>
      </w:r>
      <w:r>
        <w:rPr>
          <w:sz w:val="22"/>
        </w:rPr>
        <w:t>Eliminación</w:t>
      </w:r>
    </w:p>
    <w:p>
      <w:pPr>
        <w:pStyle w:val="BodyText"/>
        <w:spacing w:before="9"/>
        <w:rPr>
          <w:sz w:val="17"/>
        </w:rPr>
      </w:pPr>
    </w:p>
    <w:p>
      <w:pPr>
        <w:pStyle w:val="ListParagraph"/>
        <w:numPr>
          <w:ilvl w:val="0"/>
          <w:numId w:val="339"/>
        </w:numPr>
        <w:tabs>
          <w:tab w:pos="378" w:val="left" w:leader="none"/>
        </w:tabs>
        <w:spacing w:line="360" w:lineRule="auto" w:before="1" w:after="0"/>
        <w:ind w:left="102" w:right="118" w:firstLine="0"/>
        <w:jc w:val="left"/>
        <w:rPr>
          <w:sz w:val="22"/>
        </w:rPr>
      </w:pPr>
      <w:r>
        <w:rPr>
          <w:sz w:val="22"/>
        </w:rPr>
        <w:t>Convención de Viena para la protección de la capa de ozono y Protocolo de Montreal sobre substancias que agotan la capa de</w:t>
      </w:r>
      <w:r>
        <w:rPr>
          <w:spacing w:val="-12"/>
          <w:sz w:val="22"/>
        </w:rPr>
        <w:t> </w:t>
      </w:r>
      <w:r>
        <w:rPr>
          <w:sz w:val="22"/>
        </w:rPr>
        <w:t>ozono</w:t>
      </w:r>
    </w:p>
    <w:p>
      <w:pPr>
        <w:pStyle w:val="BodyText"/>
        <w:spacing w:before="7"/>
        <w:rPr>
          <w:sz w:val="17"/>
        </w:rPr>
      </w:pPr>
    </w:p>
    <w:p>
      <w:pPr>
        <w:pStyle w:val="ListParagraph"/>
        <w:numPr>
          <w:ilvl w:val="0"/>
          <w:numId w:val="339"/>
        </w:numPr>
        <w:tabs>
          <w:tab w:pos="335" w:val="left" w:leader="none"/>
        </w:tabs>
        <w:spacing w:line="360" w:lineRule="auto" w:before="0" w:after="0"/>
        <w:ind w:left="102" w:right="121" w:firstLine="0"/>
        <w:jc w:val="left"/>
        <w:rPr>
          <w:sz w:val="22"/>
        </w:rPr>
      </w:pPr>
      <w:r>
        <w:rPr>
          <w:sz w:val="22"/>
        </w:rPr>
        <w:t>Convenio para regular el Comercio Internacional de Especies de Flora y Fauna en Peligro de Extinción</w:t>
      </w:r>
      <w:r>
        <w:rPr>
          <w:spacing w:val="-12"/>
          <w:sz w:val="22"/>
        </w:rPr>
        <w:t> </w:t>
      </w:r>
      <w:r>
        <w:rPr>
          <w:sz w:val="22"/>
        </w:rPr>
        <w:t>(CITES)</w:t>
      </w:r>
    </w:p>
    <w:p>
      <w:pPr>
        <w:pStyle w:val="BodyText"/>
        <w:spacing w:before="9"/>
        <w:rPr>
          <w:sz w:val="17"/>
        </w:rPr>
      </w:pPr>
    </w:p>
    <w:p>
      <w:pPr>
        <w:pStyle w:val="Heading7"/>
        <w:jc w:val="left"/>
        <w:rPr>
          <w:i/>
        </w:rPr>
      </w:pPr>
      <w:r>
        <w:rPr>
          <w:i/>
        </w:rPr>
        <w:t>Principales Tratados Bilaterales</w:t>
      </w:r>
    </w:p>
    <w:p>
      <w:pPr>
        <w:pStyle w:val="BodyText"/>
        <w:spacing w:before="3"/>
        <w:rPr>
          <w:b/>
          <w:i/>
          <w:sz w:val="28"/>
        </w:rPr>
      </w:pPr>
    </w:p>
    <w:p>
      <w:pPr>
        <w:pStyle w:val="ListParagraph"/>
        <w:numPr>
          <w:ilvl w:val="0"/>
          <w:numId w:val="341"/>
        </w:numPr>
        <w:tabs>
          <w:tab w:pos="371" w:val="left" w:leader="none"/>
        </w:tabs>
        <w:spacing w:line="360" w:lineRule="auto" w:before="0" w:after="0"/>
        <w:ind w:left="102" w:right="118" w:firstLine="0"/>
        <w:jc w:val="left"/>
        <w:rPr>
          <w:sz w:val="22"/>
        </w:rPr>
      </w:pPr>
      <w:r>
        <w:rPr>
          <w:sz w:val="22"/>
        </w:rPr>
        <w:t>Convenio entre los Estados Unidos Mexicanos y los Estados Unidos de América sobre cooperación para la protección y mejoramiento del medio ambiente en la zona</w:t>
      </w:r>
      <w:r>
        <w:rPr>
          <w:spacing w:val="-29"/>
          <w:sz w:val="22"/>
        </w:rPr>
        <w:t> </w:t>
      </w:r>
      <w:r>
        <w:rPr>
          <w:sz w:val="22"/>
        </w:rPr>
        <w:t>fronteriza</w:t>
      </w:r>
    </w:p>
    <w:p>
      <w:pPr>
        <w:pStyle w:val="BodyText"/>
        <w:spacing w:before="10"/>
        <w:rPr>
          <w:sz w:val="17"/>
        </w:rPr>
      </w:pPr>
    </w:p>
    <w:p>
      <w:pPr>
        <w:pStyle w:val="ListParagraph"/>
        <w:numPr>
          <w:ilvl w:val="0"/>
          <w:numId w:val="341"/>
        </w:numPr>
        <w:tabs>
          <w:tab w:pos="359" w:val="left" w:leader="none"/>
        </w:tabs>
        <w:spacing w:line="240" w:lineRule="auto" w:before="0" w:after="0"/>
        <w:ind w:left="358" w:right="0" w:hanging="256"/>
        <w:jc w:val="left"/>
        <w:rPr>
          <w:sz w:val="22"/>
        </w:rPr>
      </w:pPr>
      <w:r>
        <w:rPr>
          <w:sz w:val="22"/>
        </w:rPr>
        <w:t>Tratado de Libre Comercio</w:t>
      </w:r>
      <w:r>
        <w:rPr>
          <w:spacing w:val="-6"/>
          <w:sz w:val="22"/>
        </w:rPr>
        <w:t> </w:t>
      </w:r>
      <w:r>
        <w:rPr>
          <w:sz w:val="22"/>
        </w:rPr>
        <w:t>(TLC)</w:t>
      </w:r>
    </w:p>
    <w:p>
      <w:pPr>
        <w:pStyle w:val="BodyText"/>
        <w:spacing w:before="3"/>
        <w:rPr>
          <w:sz w:val="28"/>
        </w:rPr>
      </w:pPr>
    </w:p>
    <w:p>
      <w:pPr>
        <w:pStyle w:val="ListParagraph"/>
        <w:numPr>
          <w:ilvl w:val="0"/>
          <w:numId w:val="341"/>
        </w:numPr>
        <w:tabs>
          <w:tab w:pos="349" w:val="left" w:leader="none"/>
        </w:tabs>
        <w:spacing w:line="240" w:lineRule="auto" w:before="0" w:after="0"/>
        <w:ind w:left="348" w:right="0" w:hanging="246"/>
        <w:jc w:val="left"/>
        <w:rPr>
          <w:i/>
          <w:sz w:val="22"/>
        </w:rPr>
      </w:pPr>
      <w:r>
        <w:rPr>
          <w:i/>
          <w:sz w:val="22"/>
        </w:rPr>
        <w:t>Acuerdo de Cooperación Ambiental de América del Norte</w:t>
      </w:r>
      <w:r>
        <w:rPr>
          <w:i/>
          <w:spacing w:val="-18"/>
          <w:sz w:val="22"/>
        </w:rPr>
        <w:t> </w:t>
      </w:r>
      <w:r>
        <w:rPr>
          <w:i/>
          <w:sz w:val="22"/>
        </w:rPr>
        <w:t>(ACAAN)</w:t>
      </w:r>
    </w:p>
    <w:p>
      <w:pPr>
        <w:pStyle w:val="BodyText"/>
        <w:spacing w:before="5"/>
        <w:rPr>
          <w:i/>
          <w:sz w:val="28"/>
        </w:rPr>
      </w:pPr>
    </w:p>
    <w:p>
      <w:pPr>
        <w:pStyle w:val="ListParagraph"/>
        <w:numPr>
          <w:ilvl w:val="0"/>
          <w:numId w:val="341"/>
        </w:numPr>
        <w:tabs>
          <w:tab w:pos="362" w:val="left" w:leader="none"/>
        </w:tabs>
        <w:spacing w:line="240" w:lineRule="auto" w:before="1" w:after="0"/>
        <w:ind w:left="361" w:right="0" w:hanging="259"/>
        <w:jc w:val="left"/>
        <w:rPr>
          <w:sz w:val="22"/>
        </w:rPr>
      </w:pPr>
      <w:r>
        <w:rPr>
          <w:sz w:val="22"/>
        </w:rPr>
        <w:t>Programa Ambiental México - Estados Unidos FRONTERA</w:t>
      </w:r>
      <w:r>
        <w:rPr>
          <w:spacing w:val="-16"/>
          <w:sz w:val="22"/>
        </w:rPr>
        <w:t> </w:t>
      </w:r>
      <w:r>
        <w:rPr>
          <w:sz w:val="22"/>
        </w:rPr>
        <w:t>2012</w:t>
      </w:r>
    </w:p>
    <w:p>
      <w:pPr>
        <w:pStyle w:val="BodyText"/>
        <w:spacing w:before="3"/>
        <w:rPr>
          <w:sz w:val="28"/>
        </w:rPr>
      </w:pPr>
    </w:p>
    <w:p>
      <w:pPr>
        <w:pStyle w:val="ListParagraph"/>
        <w:numPr>
          <w:ilvl w:val="0"/>
          <w:numId w:val="341"/>
        </w:numPr>
        <w:tabs>
          <w:tab w:pos="362" w:val="left" w:leader="none"/>
        </w:tabs>
        <w:spacing w:line="240" w:lineRule="auto" w:before="0" w:after="0"/>
        <w:ind w:left="361" w:right="0" w:hanging="259"/>
        <w:jc w:val="left"/>
        <w:rPr>
          <w:sz w:val="22"/>
        </w:rPr>
      </w:pPr>
      <w:r>
        <w:rPr>
          <w:sz w:val="22"/>
        </w:rPr>
        <w:t>Acuerdo de la</w:t>
      </w:r>
      <w:r>
        <w:rPr>
          <w:spacing w:val="-4"/>
          <w:sz w:val="22"/>
        </w:rPr>
        <w:t> </w:t>
      </w:r>
      <w:r>
        <w:rPr>
          <w:sz w:val="22"/>
        </w:rPr>
        <w:t>paz</w:t>
      </w:r>
    </w:p>
    <w:p>
      <w:pPr>
        <w:spacing w:after="0" w:line="240" w:lineRule="auto"/>
        <w:jc w:val="left"/>
        <w:rPr>
          <w:sz w:val="22"/>
        </w:rPr>
        <w:sectPr>
          <w:pgSz w:w="12240" w:h="15840"/>
          <w:pgMar w:header="0" w:footer="1003" w:top="1360" w:bottom="1200" w:left="1600" w:right="1580"/>
        </w:sectPr>
      </w:pPr>
    </w:p>
    <w:p>
      <w:pPr>
        <w:pStyle w:val="Heading6"/>
        <w:spacing w:before="51"/>
        <w:jc w:val="both"/>
      </w:pPr>
      <w:r>
        <w:rPr/>
        <w:t>Otros mecanismos internacionales</w:t>
      </w:r>
    </w:p>
    <w:p>
      <w:pPr>
        <w:pStyle w:val="BodyText"/>
        <w:spacing w:before="8"/>
        <w:rPr>
          <w:b/>
          <w:sz w:val="28"/>
        </w:rPr>
      </w:pPr>
    </w:p>
    <w:p>
      <w:pPr>
        <w:pStyle w:val="ListParagraph"/>
        <w:numPr>
          <w:ilvl w:val="0"/>
          <w:numId w:val="342"/>
        </w:numPr>
        <w:tabs>
          <w:tab w:pos="359" w:val="left" w:leader="none"/>
        </w:tabs>
        <w:spacing w:line="240" w:lineRule="auto" w:before="0" w:after="0"/>
        <w:ind w:left="358" w:right="0" w:hanging="256"/>
        <w:jc w:val="both"/>
        <w:rPr>
          <w:sz w:val="22"/>
        </w:rPr>
      </w:pPr>
      <w:r>
        <w:rPr>
          <w:sz w:val="22"/>
        </w:rPr>
        <w:t>Organización de Cooperación y Desarrollo Económicos</w:t>
      </w:r>
      <w:r>
        <w:rPr>
          <w:spacing w:val="-16"/>
          <w:sz w:val="22"/>
        </w:rPr>
        <w:t> </w:t>
      </w:r>
      <w:r>
        <w:rPr>
          <w:sz w:val="22"/>
        </w:rPr>
        <w:t>(OCDE)</w:t>
      </w:r>
    </w:p>
    <w:p>
      <w:pPr>
        <w:pStyle w:val="BodyText"/>
        <w:spacing w:before="3"/>
        <w:rPr>
          <w:sz w:val="28"/>
        </w:rPr>
      </w:pPr>
    </w:p>
    <w:p>
      <w:pPr>
        <w:pStyle w:val="ListParagraph"/>
        <w:numPr>
          <w:ilvl w:val="0"/>
          <w:numId w:val="342"/>
        </w:numPr>
        <w:tabs>
          <w:tab w:pos="359" w:val="left" w:leader="none"/>
        </w:tabs>
        <w:spacing w:line="240" w:lineRule="auto" w:before="0" w:after="0"/>
        <w:ind w:left="358" w:right="0" w:hanging="256"/>
        <w:jc w:val="both"/>
        <w:rPr>
          <w:sz w:val="22"/>
        </w:rPr>
      </w:pPr>
      <w:r>
        <w:rPr>
          <w:sz w:val="22"/>
        </w:rPr>
        <w:t>Global Environmental Facility</w:t>
      </w:r>
      <w:r>
        <w:rPr>
          <w:spacing w:val="-14"/>
          <w:sz w:val="22"/>
        </w:rPr>
        <w:t> </w:t>
      </w:r>
      <w:r>
        <w:rPr>
          <w:sz w:val="22"/>
        </w:rPr>
        <w:t>(GEF)</w:t>
      </w:r>
    </w:p>
    <w:p>
      <w:pPr>
        <w:pStyle w:val="BodyText"/>
        <w:spacing w:before="5"/>
        <w:rPr>
          <w:sz w:val="28"/>
        </w:rPr>
      </w:pPr>
    </w:p>
    <w:p>
      <w:pPr>
        <w:pStyle w:val="ListParagraph"/>
        <w:numPr>
          <w:ilvl w:val="0"/>
          <w:numId w:val="342"/>
        </w:numPr>
        <w:tabs>
          <w:tab w:pos="347" w:val="left" w:leader="none"/>
        </w:tabs>
        <w:spacing w:line="240" w:lineRule="auto" w:before="1" w:after="0"/>
        <w:ind w:left="346" w:right="0" w:hanging="244"/>
        <w:jc w:val="both"/>
        <w:rPr>
          <w:sz w:val="22"/>
        </w:rPr>
      </w:pPr>
      <w:r>
        <w:rPr>
          <w:sz w:val="22"/>
        </w:rPr>
        <w:t>Tribunal Latinoamericano del</w:t>
      </w:r>
      <w:r>
        <w:rPr>
          <w:spacing w:val="-9"/>
          <w:sz w:val="22"/>
        </w:rPr>
        <w:t> </w:t>
      </w:r>
      <w:r>
        <w:rPr>
          <w:sz w:val="22"/>
        </w:rPr>
        <w:t>Agua</w:t>
      </w:r>
    </w:p>
    <w:p>
      <w:pPr>
        <w:pStyle w:val="BodyText"/>
        <w:spacing w:before="3"/>
        <w:rPr>
          <w:sz w:val="28"/>
        </w:rPr>
      </w:pPr>
    </w:p>
    <w:p>
      <w:pPr>
        <w:pStyle w:val="BodyText"/>
        <w:spacing w:line="360" w:lineRule="auto"/>
        <w:ind w:left="102" w:right="114"/>
        <w:jc w:val="both"/>
      </w:pPr>
      <w:r>
        <w:rPr/>
        <w:t>Como se identifica, existen diferentes tratados multilaterales y bilaterales para el cuidado del medio ambiente, en donde se incluye a México, pero cabe aclarar, que se desarrollan los principales:</w:t>
      </w:r>
    </w:p>
    <w:p>
      <w:pPr>
        <w:pStyle w:val="BodyText"/>
        <w:spacing w:before="7"/>
        <w:rPr>
          <w:sz w:val="17"/>
        </w:rPr>
      </w:pPr>
    </w:p>
    <w:p>
      <w:pPr>
        <w:pStyle w:val="Heading6"/>
        <w:spacing w:line="360" w:lineRule="auto"/>
        <w:ind w:right="116"/>
        <w:jc w:val="both"/>
      </w:pPr>
      <w:r>
        <w:rPr/>
        <w:t>DECLARACIÓN DE LA CONFERENCIA DE LAS NACIONES UNIDAS SOBRE EL MEDIO HUMANO</w:t>
      </w:r>
    </w:p>
    <w:p>
      <w:pPr>
        <w:pStyle w:val="BodyText"/>
        <w:spacing w:before="9"/>
        <w:rPr>
          <w:b/>
          <w:sz w:val="17"/>
        </w:rPr>
      </w:pPr>
    </w:p>
    <w:p>
      <w:pPr>
        <w:pStyle w:val="BodyText"/>
        <w:spacing w:line="360" w:lineRule="auto"/>
        <w:ind w:left="102" w:right="118"/>
        <w:jc w:val="both"/>
      </w:pPr>
      <w:r>
        <w:rPr/>
        <w:t>La Conferencia de las Naciones Unidas sobre el Medio Humano, reunida en Estocolmo  del 5 al 16 de junio de 1972, y atenta a la necesidad de un criterio y unos principios comunes que ofrezcan a los pueblos del mundo inspiración y guía para preservar y mejorar el medio</w:t>
      </w:r>
      <w:r>
        <w:rPr>
          <w:spacing w:val="-8"/>
        </w:rPr>
        <w:t> </w:t>
      </w:r>
      <w:r>
        <w:rPr/>
        <w:t>humano,</w:t>
      </w:r>
    </w:p>
    <w:p>
      <w:pPr>
        <w:pStyle w:val="BodyText"/>
        <w:spacing w:before="4"/>
        <w:rPr>
          <w:sz w:val="17"/>
        </w:rPr>
      </w:pPr>
    </w:p>
    <w:p>
      <w:pPr>
        <w:pStyle w:val="Heading6"/>
        <w:numPr>
          <w:ilvl w:val="0"/>
          <w:numId w:val="343"/>
        </w:numPr>
        <w:tabs>
          <w:tab w:pos="227" w:val="left" w:leader="none"/>
        </w:tabs>
        <w:spacing w:line="240" w:lineRule="auto" w:before="0" w:after="0"/>
        <w:ind w:left="226" w:right="0" w:hanging="124"/>
        <w:jc w:val="both"/>
      </w:pPr>
      <w:r>
        <w:rPr/>
        <w:t>Proclama</w:t>
      </w:r>
      <w:r>
        <w:rPr>
          <w:spacing w:val="-3"/>
        </w:rPr>
        <w:t> </w:t>
      </w:r>
      <w:r>
        <w:rPr/>
        <w:t>que:</w:t>
      </w:r>
    </w:p>
    <w:p>
      <w:pPr>
        <w:pStyle w:val="BodyText"/>
        <w:spacing w:before="8"/>
        <w:rPr>
          <w:b/>
          <w:sz w:val="28"/>
        </w:rPr>
      </w:pPr>
    </w:p>
    <w:p>
      <w:pPr>
        <w:pStyle w:val="ListParagraph"/>
        <w:numPr>
          <w:ilvl w:val="0"/>
          <w:numId w:val="344"/>
        </w:numPr>
        <w:tabs>
          <w:tab w:pos="381" w:val="left" w:leader="none"/>
        </w:tabs>
        <w:spacing w:line="360" w:lineRule="auto" w:before="0" w:after="0"/>
        <w:ind w:left="102" w:right="117" w:firstLine="0"/>
        <w:jc w:val="both"/>
        <w:rPr>
          <w:sz w:val="22"/>
        </w:rPr>
      </w:pPr>
      <w:r>
        <w:rPr>
          <w:sz w:val="22"/>
        </w:rPr>
        <w:t>El hombre es a la vez obra y artífice del medio que lo rodea, el cual le da sustento material y le brinda la oportunidad de desarrollarse intelectual, moral, social y espiritualmente. En la larga y tortuosa evolución de la raza humana en este planeta se ha llegado a una etapa en que, gracias a la rápida aceleración de la ciencia y la tecnología, el hombre ha adquirido el poder de transformar, de innumerables maneras y en una escala sin precedentes, cuanto lo rodea. Los dos aspectos del medio humano, el natural y el artificial, son esenciales para el bienestar del hombre y para el goce de los derechos humanos fundamentales, incluso el derecho a la vida</w:t>
      </w:r>
      <w:r>
        <w:rPr>
          <w:spacing w:val="-16"/>
          <w:sz w:val="22"/>
        </w:rPr>
        <w:t> </w:t>
      </w:r>
      <w:r>
        <w:rPr>
          <w:sz w:val="22"/>
        </w:rPr>
        <w:t>misma.</w:t>
      </w:r>
    </w:p>
    <w:p>
      <w:pPr>
        <w:pStyle w:val="BodyText"/>
        <w:spacing w:before="10"/>
        <w:rPr>
          <w:sz w:val="17"/>
        </w:rPr>
      </w:pPr>
    </w:p>
    <w:p>
      <w:pPr>
        <w:pStyle w:val="ListParagraph"/>
        <w:numPr>
          <w:ilvl w:val="0"/>
          <w:numId w:val="344"/>
        </w:numPr>
        <w:tabs>
          <w:tab w:pos="393" w:val="left" w:leader="none"/>
        </w:tabs>
        <w:spacing w:line="360" w:lineRule="auto" w:before="0" w:after="0"/>
        <w:ind w:left="102" w:right="118" w:firstLine="0"/>
        <w:jc w:val="both"/>
        <w:rPr>
          <w:sz w:val="22"/>
        </w:rPr>
      </w:pPr>
      <w:r>
        <w:rPr>
          <w:sz w:val="22"/>
        </w:rPr>
        <w:t>La protección y mejoramiento del medio humano es una cuestión fundamental que afecta al bienestar de los pueblos y al desarrollo económico del mundo entero, un deseo urgente de los pueblos de todo el mundo y un deber de todos los</w:t>
      </w:r>
      <w:r>
        <w:rPr>
          <w:spacing w:val="-20"/>
          <w:sz w:val="22"/>
        </w:rPr>
        <w:t> </w:t>
      </w:r>
      <w:r>
        <w:rPr>
          <w:sz w:val="22"/>
        </w:rPr>
        <w:t>gobiernos.</w:t>
      </w:r>
    </w:p>
    <w:p>
      <w:pPr>
        <w:pStyle w:val="BodyText"/>
        <w:spacing w:before="9"/>
        <w:rPr>
          <w:sz w:val="17"/>
        </w:rPr>
      </w:pPr>
    </w:p>
    <w:p>
      <w:pPr>
        <w:pStyle w:val="ListParagraph"/>
        <w:numPr>
          <w:ilvl w:val="0"/>
          <w:numId w:val="344"/>
        </w:numPr>
        <w:tabs>
          <w:tab w:pos="390" w:val="left" w:leader="none"/>
        </w:tabs>
        <w:spacing w:line="360" w:lineRule="auto" w:before="0" w:after="0"/>
        <w:ind w:left="102" w:right="114" w:firstLine="0"/>
        <w:jc w:val="both"/>
        <w:rPr>
          <w:sz w:val="22"/>
        </w:rPr>
      </w:pPr>
      <w:r>
        <w:rPr>
          <w:sz w:val="22"/>
        </w:rPr>
        <w:t>El hombre debe hacer constantemente recapitulación de su experiencia y continuar descubriendo, inventando, creando y progresando. Hoy en día, la capacidad del hombre de transformarlo que lo rodea, utilizada con discernimiento, puede llevar a todos los pueblos  los  beneficios  del  desarrollo  y  ofrecerles  la  oportunidad  de  ennoblecer    </w:t>
      </w:r>
      <w:r>
        <w:rPr>
          <w:spacing w:val="14"/>
          <w:sz w:val="22"/>
        </w:rPr>
        <w:t> </w:t>
      </w:r>
      <w:r>
        <w:rPr>
          <w:sz w:val="22"/>
        </w:rPr>
        <w:t>su</w:t>
      </w:r>
    </w:p>
    <w:p>
      <w:pPr>
        <w:spacing w:after="0" w:line="360" w:lineRule="auto"/>
        <w:jc w:val="both"/>
        <w:rPr>
          <w:sz w:val="22"/>
        </w:rPr>
        <w:sectPr>
          <w:footerReference w:type="default" r:id="rId699"/>
          <w:pgSz w:w="12240" w:h="15840"/>
          <w:pgMar w:footer="1003" w:header="0" w:top="1360" w:bottom="1200" w:left="1600" w:right="1580"/>
          <w:pgNumType w:start="770"/>
        </w:sectPr>
      </w:pPr>
    </w:p>
    <w:p>
      <w:pPr>
        <w:pStyle w:val="BodyText"/>
        <w:spacing w:line="360" w:lineRule="auto" w:before="53"/>
        <w:ind w:left="102" w:right="116"/>
        <w:jc w:val="both"/>
      </w:pPr>
      <w:r>
        <w:rPr/>
        <w:t>existencia. Aplicado errónea o imprudentemente, el mismo poder puede causar daños incalculables al ser humano y a su medio. A nuestro alrededor vemos multiplicarse las pruebas del daño causado por el hombre en muchas regiones de la Tierra: niveles peligrosos de contaminación del agua, el aire, la tierra y los seres vivos; grandes trastornos del equilibrio ecológico de la biosfera; destrucción y agotamiento de los recursos insustituibles y graves deficiencias, nocivas para la salud física, mental y social del hombre, en el medio por él creado, especialmente en aquel en que vive y</w:t>
      </w:r>
      <w:r>
        <w:rPr>
          <w:spacing w:val="-20"/>
        </w:rPr>
        <w:t> </w:t>
      </w:r>
      <w:r>
        <w:rPr/>
        <w:t>trabaja.</w:t>
      </w:r>
    </w:p>
    <w:p>
      <w:pPr>
        <w:pStyle w:val="BodyText"/>
        <w:spacing w:before="9"/>
        <w:rPr>
          <w:sz w:val="17"/>
        </w:rPr>
      </w:pPr>
    </w:p>
    <w:p>
      <w:pPr>
        <w:pStyle w:val="ListParagraph"/>
        <w:numPr>
          <w:ilvl w:val="0"/>
          <w:numId w:val="344"/>
        </w:numPr>
        <w:tabs>
          <w:tab w:pos="362" w:val="left" w:leader="none"/>
        </w:tabs>
        <w:spacing w:line="360" w:lineRule="auto" w:before="0" w:after="0"/>
        <w:ind w:left="102" w:right="115" w:firstLine="0"/>
        <w:jc w:val="both"/>
        <w:rPr>
          <w:sz w:val="22"/>
        </w:rPr>
      </w:pPr>
      <w:r>
        <w:rPr>
          <w:sz w:val="22"/>
        </w:rPr>
        <w:t>En los países en desarrollo, la mayoría de los problemas ambientales están motivados por el subdesarrollo. Millones de personas siguen viviendo muy por debajo de los niveles necesarios para una existencia humana decorosa, privadas de alimentación y vestido, de vivienda y educación, de sanidad e higiene adecuados. Por ello, los países en desarrollo deben dirigir sus esfuerzos hacia el desarrollo, teniendo presentes sus prioridades y la necesidad de salvaguardar y proteger el medio. Con el mismo fin, los países industrializados deben esforzarse por reducir la distancia que los separa de los países en desarrollo. En los países industrializados, los problemas ambientales están generalmente relacionados con la industrialización y el desarrollo</w:t>
      </w:r>
      <w:r>
        <w:rPr>
          <w:spacing w:val="-17"/>
          <w:sz w:val="22"/>
        </w:rPr>
        <w:t> </w:t>
      </w:r>
      <w:r>
        <w:rPr>
          <w:sz w:val="22"/>
        </w:rPr>
        <w:t>tecnológico.</w:t>
      </w:r>
    </w:p>
    <w:p>
      <w:pPr>
        <w:pStyle w:val="BodyText"/>
        <w:spacing w:before="9"/>
        <w:rPr>
          <w:sz w:val="17"/>
        </w:rPr>
      </w:pPr>
    </w:p>
    <w:p>
      <w:pPr>
        <w:pStyle w:val="ListParagraph"/>
        <w:numPr>
          <w:ilvl w:val="0"/>
          <w:numId w:val="344"/>
        </w:numPr>
        <w:tabs>
          <w:tab w:pos="371" w:val="left" w:leader="none"/>
        </w:tabs>
        <w:spacing w:line="360" w:lineRule="auto" w:before="0" w:after="0"/>
        <w:ind w:left="102" w:right="115" w:firstLine="0"/>
        <w:jc w:val="both"/>
        <w:rPr>
          <w:sz w:val="22"/>
        </w:rPr>
      </w:pPr>
      <w:r>
        <w:rPr>
          <w:sz w:val="22"/>
        </w:rPr>
        <w:t>El crecimiento natural de la población plantea continuamente problemas relativos a la preservación del medio, y se deben adoptar normas y medidas apropiadas, según proceda, para hacer frente a esos problemas. De cuanto existe en el mundo, los seres humanos son lo más valioso. Ellos son quienes promueven el progreso social, crean la riqueza social, desarrollan la ciencia y la tecnología, y, con su duro trabajo, transforman continuamente el medio humano. Con el progreso social y los adelantos de la producción, la ciencia y la tecnología, la capacidad del hombre para mejorar el medio se acrece con cada día que</w:t>
      </w:r>
      <w:r>
        <w:rPr>
          <w:spacing w:val="-2"/>
          <w:sz w:val="22"/>
        </w:rPr>
        <w:t> </w:t>
      </w:r>
      <w:r>
        <w:rPr>
          <w:sz w:val="22"/>
        </w:rPr>
        <w:t>pasa.</w:t>
      </w:r>
    </w:p>
    <w:p>
      <w:pPr>
        <w:pStyle w:val="BodyText"/>
        <w:spacing w:before="7"/>
        <w:rPr>
          <w:sz w:val="17"/>
        </w:rPr>
      </w:pPr>
    </w:p>
    <w:p>
      <w:pPr>
        <w:pStyle w:val="ListParagraph"/>
        <w:numPr>
          <w:ilvl w:val="0"/>
          <w:numId w:val="344"/>
        </w:numPr>
        <w:tabs>
          <w:tab w:pos="352" w:val="left" w:leader="none"/>
        </w:tabs>
        <w:spacing w:line="360" w:lineRule="auto" w:before="0" w:after="0"/>
        <w:ind w:left="102" w:right="117" w:firstLine="0"/>
        <w:jc w:val="both"/>
        <w:rPr>
          <w:sz w:val="22"/>
        </w:rPr>
      </w:pPr>
      <w:r>
        <w:rPr>
          <w:sz w:val="22"/>
        </w:rPr>
        <w:t>Hemos llegado a un momento en la historia en que debemos orientar nuestros actos en todo el mundo atendiendo con mayor cuidado a las consecuencias que puedan tener para el medio. Por ignorancia o indiferencia podemos causar daños inmensos e irreparables al medio terráqueo del que dependen nuestra vida y nuestro bienestar. Por el contrario, con un conocimiento más profundo y una acción más prudente, podemos conseguir para nosotros y para nuestra posteridad unas condiciones de vida mejores en un medio más en consonancia con las necesidades y aspiraciones del hombre. Las perspectivas de elevar la calidad del medio y de crear una vida satisfactoria son grandes. Lo que se necesita </w:t>
      </w:r>
      <w:r>
        <w:rPr>
          <w:spacing w:val="-3"/>
          <w:sz w:val="22"/>
        </w:rPr>
        <w:t>es </w:t>
      </w:r>
      <w:r>
        <w:rPr>
          <w:sz w:val="22"/>
        </w:rPr>
        <w:t>entusiasmo,</w:t>
      </w:r>
      <w:r>
        <w:rPr>
          <w:spacing w:val="21"/>
          <w:sz w:val="22"/>
        </w:rPr>
        <w:t> </w:t>
      </w:r>
      <w:r>
        <w:rPr>
          <w:sz w:val="22"/>
        </w:rPr>
        <w:t>pero,</w:t>
      </w:r>
      <w:r>
        <w:rPr>
          <w:spacing w:val="21"/>
          <w:sz w:val="22"/>
        </w:rPr>
        <w:t> </w:t>
      </w:r>
      <w:r>
        <w:rPr>
          <w:sz w:val="22"/>
        </w:rPr>
        <w:t>a</w:t>
      </w:r>
      <w:r>
        <w:rPr>
          <w:spacing w:val="17"/>
          <w:sz w:val="22"/>
        </w:rPr>
        <w:t> </w:t>
      </w:r>
      <w:r>
        <w:rPr>
          <w:sz w:val="22"/>
        </w:rPr>
        <w:t>la</w:t>
      </w:r>
      <w:r>
        <w:rPr>
          <w:spacing w:val="20"/>
          <w:sz w:val="22"/>
        </w:rPr>
        <w:t> </w:t>
      </w:r>
      <w:r>
        <w:rPr>
          <w:sz w:val="22"/>
        </w:rPr>
        <w:t>vez,</w:t>
      </w:r>
      <w:r>
        <w:rPr>
          <w:spacing w:val="21"/>
          <w:sz w:val="22"/>
        </w:rPr>
        <w:t> </w:t>
      </w:r>
      <w:r>
        <w:rPr>
          <w:sz w:val="22"/>
        </w:rPr>
        <w:t>serenidad</w:t>
      </w:r>
      <w:r>
        <w:rPr>
          <w:spacing w:val="20"/>
          <w:sz w:val="22"/>
        </w:rPr>
        <w:t> </w:t>
      </w:r>
      <w:r>
        <w:rPr>
          <w:sz w:val="22"/>
        </w:rPr>
        <w:t>de</w:t>
      </w:r>
      <w:r>
        <w:rPr>
          <w:spacing w:val="19"/>
          <w:sz w:val="22"/>
        </w:rPr>
        <w:t> </w:t>
      </w:r>
      <w:r>
        <w:rPr>
          <w:sz w:val="22"/>
        </w:rPr>
        <w:t>ánimo;</w:t>
      </w:r>
      <w:r>
        <w:rPr>
          <w:spacing w:val="19"/>
          <w:sz w:val="22"/>
        </w:rPr>
        <w:t> </w:t>
      </w:r>
      <w:r>
        <w:rPr>
          <w:sz w:val="22"/>
        </w:rPr>
        <w:t>trabajo</w:t>
      </w:r>
      <w:r>
        <w:rPr>
          <w:spacing w:val="20"/>
          <w:sz w:val="22"/>
        </w:rPr>
        <w:t> </w:t>
      </w:r>
      <w:r>
        <w:rPr>
          <w:sz w:val="22"/>
        </w:rPr>
        <w:t>afanoso,</w:t>
      </w:r>
      <w:r>
        <w:rPr>
          <w:spacing w:val="21"/>
          <w:sz w:val="22"/>
        </w:rPr>
        <w:t> </w:t>
      </w:r>
      <w:r>
        <w:rPr>
          <w:sz w:val="22"/>
        </w:rPr>
        <w:t>pero</w:t>
      </w:r>
      <w:r>
        <w:rPr>
          <w:spacing w:val="17"/>
          <w:sz w:val="22"/>
        </w:rPr>
        <w:t> </w:t>
      </w:r>
      <w:r>
        <w:rPr>
          <w:sz w:val="22"/>
        </w:rPr>
        <w:t>sistemático.</w:t>
      </w:r>
      <w:r>
        <w:rPr>
          <w:spacing w:val="18"/>
          <w:sz w:val="22"/>
        </w:rPr>
        <w:t> </w:t>
      </w:r>
      <w:r>
        <w:rPr>
          <w:sz w:val="22"/>
        </w:rPr>
        <w:t>Para</w:t>
      </w:r>
    </w:p>
    <w:p>
      <w:pPr>
        <w:spacing w:after="0" w:line="360" w:lineRule="auto"/>
        <w:jc w:val="both"/>
        <w:rPr>
          <w:sz w:val="22"/>
        </w:rPr>
        <w:sectPr>
          <w:pgSz w:w="12240" w:h="15840"/>
          <w:pgMar w:header="0" w:footer="1003" w:top="1360" w:bottom="1200" w:left="1600" w:right="1580"/>
        </w:sectPr>
      </w:pPr>
    </w:p>
    <w:p>
      <w:pPr>
        <w:pStyle w:val="BodyText"/>
        <w:spacing w:line="360" w:lineRule="auto" w:before="53"/>
        <w:ind w:left="102" w:right="117"/>
        <w:jc w:val="both"/>
      </w:pPr>
      <w:r>
        <w:rPr/>
        <w:t>llegar a la plenitud de su libertad entro de la naturaleza, el hombre debe aplicar sus conocimientos a forjar, en armonía con ella, un medio mejor. La defensa y  el mejoramiento del medio humano para las generaciones presentes y futuras se ha convertido en meta imperiosa de la humanidad, que ha de perseguirse al mismo tiempo que las metas fundamentales ya establecidas de la paz y el desarrollo económico y social en todo el mundo, y de conformidad con ellas.</w:t>
      </w:r>
    </w:p>
    <w:p>
      <w:pPr>
        <w:pStyle w:val="BodyText"/>
        <w:spacing w:before="7"/>
        <w:rPr>
          <w:sz w:val="17"/>
        </w:rPr>
      </w:pPr>
    </w:p>
    <w:p>
      <w:pPr>
        <w:pStyle w:val="ListParagraph"/>
        <w:numPr>
          <w:ilvl w:val="0"/>
          <w:numId w:val="344"/>
        </w:numPr>
        <w:tabs>
          <w:tab w:pos="386" w:val="left" w:leader="none"/>
        </w:tabs>
        <w:spacing w:line="360" w:lineRule="auto" w:before="0" w:after="0"/>
        <w:ind w:left="102" w:right="112" w:firstLine="0"/>
        <w:jc w:val="both"/>
        <w:rPr>
          <w:sz w:val="22"/>
        </w:rPr>
      </w:pPr>
      <w:r>
        <w:rPr>
          <w:sz w:val="22"/>
        </w:rPr>
        <w:t>Para llegar a esa meta será menester que ciudadanos y comunidades, empresas e instituciones, en todos los planos, acepten las responsabilidades que les incumben y que todos ellos participen equitativamente en la labor común. Hombres de toda condición y organizaciones de diferente índole plasmarán, con la aportación de sus propios valores y la suma de sus actividades, el medio ambiente del futuro. Corresponderá a las administraciones locales y nacionales, dentro de sus respectivas jurisdicciones locales y nacionales, dentro de sus respectivas jurisdicciones, la mayor parte de la carga en cuanto al establecimiento de normas y la aplicación de medidas en gran escala sobre el medio. También se requiere la cooperación internacional con objeto de allegar recursos que ayuden a los países en desarrollo a cumplir su cometido en esta esfera. Y hay un número cada vez mayor de problemas relativos al medio que, por ser de alcance regional o mundial, o por repercutir en el ámbito internacional común, requerirán una amplia colaboración entre las naciones y la adopción de medidas por las organizaciones internacionales en interés de todos. La Conferencia encarece a los gobiernos y a los pueblos que aúnen sus esfuerzos para preservar y mejorar el medio humano en beneficio del hombre y de su</w:t>
      </w:r>
      <w:r>
        <w:rPr>
          <w:spacing w:val="-7"/>
          <w:sz w:val="22"/>
        </w:rPr>
        <w:t> </w:t>
      </w:r>
      <w:r>
        <w:rPr>
          <w:sz w:val="22"/>
        </w:rPr>
        <w:t>posteridad.</w:t>
      </w:r>
    </w:p>
    <w:p>
      <w:pPr>
        <w:pStyle w:val="BodyText"/>
        <w:spacing w:before="7"/>
        <w:rPr>
          <w:sz w:val="17"/>
        </w:rPr>
      </w:pPr>
    </w:p>
    <w:p>
      <w:pPr>
        <w:pStyle w:val="Heading6"/>
        <w:numPr>
          <w:ilvl w:val="0"/>
          <w:numId w:val="343"/>
        </w:numPr>
        <w:tabs>
          <w:tab w:pos="287" w:val="left" w:leader="none"/>
        </w:tabs>
        <w:spacing w:line="240" w:lineRule="auto" w:before="0" w:after="0"/>
        <w:ind w:left="286" w:right="0" w:hanging="184"/>
        <w:jc w:val="both"/>
      </w:pPr>
      <w:r>
        <w:rPr/>
        <w:t>Principios</w:t>
      </w:r>
    </w:p>
    <w:p>
      <w:pPr>
        <w:pStyle w:val="BodyText"/>
        <w:spacing w:before="3"/>
        <w:rPr>
          <w:b/>
          <w:sz w:val="28"/>
        </w:rPr>
      </w:pPr>
    </w:p>
    <w:p>
      <w:pPr>
        <w:spacing w:line="549" w:lineRule="auto" w:before="0"/>
        <w:ind w:left="102" w:right="5001" w:firstLine="0"/>
        <w:jc w:val="left"/>
        <w:rPr>
          <w:b/>
          <w:sz w:val="22"/>
        </w:rPr>
      </w:pPr>
      <w:r>
        <w:rPr>
          <w:b/>
          <w:sz w:val="22"/>
        </w:rPr>
        <w:t>Expresa la convicción común de que: Principio 1</w:t>
      </w:r>
    </w:p>
    <w:p>
      <w:pPr>
        <w:pStyle w:val="BodyText"/>
        <w:spacing w:line="360" w:lineRule="auto" w:before="13"/>
        <w:ind w:left="102" w:right="118"/>
        <w:jc w:val="both"/>
      </w:pPr>
      <w:r>
        <w:rPr/>
        <w:t>El hombre tiene derecho fundamental a la libertad, la igualdad y el disfrute de condiciones de vidaadecuadas en un medio de calidad tal que le permita llevar una vida digna y gozar de bienestar, y tiene la solemne obligación de proteger y mejorar el medio para las generaciones presentes y futuras. A este respecto, las políticas que promueven o perpetúan el apartheid, la segregación racial, la discriminación, la opresión colonial y otras formas de opresión y de dominación extranjera quedan condenadas y deben eliminarse.</w:t>
      </w:r>
    </w:p>
    <w:p>
      <w:pPr>
        <w:spacing w:after="0" w:line="360" w:lineRule="auto"/>
        <w:jc w:val="both"/>
        <w:sectPr>
          <w:pgSz w:w="12240" w:h="15840"/>
          <w:pgMar w:header="0" w:footer="1003" w:top="1360" w:bottom="1200" w:left="1600" w:right="1580"/>
        </w:sectPr>
      </w:pPr>
    </w:p>
    <w:p>
      <w:pPr>
        <w:pStyle w:val="Heading6"/>
        <w:spacing w:before="51"/>
        <w:jc w:val="both"/>
      </w:pPr>
      <w:r>
        <w:rPr/>
        <w:t>Principio 2</w:t>
      </w:r>
    </w:p>
    <w:p>
      <w:pPr>
        <w:pStyle w:val="BodyText"/>
        <w:spacing w:before="8"/>
        <w:rPr>
          <w:b/>
          <w:sz w:val="28"/>
        </w:rPr>
      </w:pPr>
    </w:p>
    <w:p>
      <w:pPr>
        <w:pStyle w:val="BodyText"/>
        <w:spacing w:line="360" w:lineRule="auto"/>
        <w:ind w:left="102" w:right="118"/>
        <w:jc w:val="both"/>
      </w:pPr>
      <w:r>
        <w:rPr/>
        <w:t>Los recursos naturales de la Tierra, incluidos el aire, el agua, la tierra, la flora y la fauna, y especialmente muestras representativas de los ecosistemas naturales, deben preservarse en beneficio de las generaciones presentes y futuras mediante una  cuidadosa planificación u ordenación, según convenga.</w:t>
      </w:r>
    </w:p>
    <w:p>
      <w:pPr>
        <w:pStyle w:val="BodyText"/>
        <w:spacing w:before="7"/>
        <w:rPr>
          <w:sz w:val="17"/>
        </w:rPr>
      </w:pPr>
    </w:p>
    <w:p>
      <w:pPr>
        <w:pStyle w:val="Heading6"/>
        <w:jc w:val="both"/>
      </w:pPr>
      <w:r>
        <w:rPr/>
        <w:t>Principio 3</w:t>
      </w:r>
    </w:p>
    <w:p>
      <w:pPr>
        <w:pStyle w:val="BodyText"/>
        <w:spacing w:before="5"/>
        <w:rPr>
          <w:b/>
          <w:sz w:val="28"/>
        </w:rPr>
      </w:pPr>
    </w:p>
    <w:p>
      <w:pPr>
        <w:pStyle w:val="BodyText"/>
        <w:spacing w:line="360" w:lineRule="auto" w:before="1"/>
        <w:ind w:left="102" w:right="121"/>
        <w:jc w:val="both"/>
      </w:pPr>
      <w:r>
        <w:rPr/>
        <w:t>Debe mantenerse y, siempre que sea posible, restaurarse o mejorarse la capacidad de la Tierra para producir recursos vitales renovables.</w:t>
      </w:r>
    </w:p>
    <w:p>
      <w:pPr>
        <w:pStyle w:val="BodyText"/>
        <w:spacing w:before="7"/>
        <w:rPr>
          <w:sz w:val="17"/>
        </w:rPr>
      </w:pPr>
    </w:p>
    <w:p>
      <w:pPr>
        <w:pStyle w:val="Heading6"/>
        <w:jc w:val="both"/>
      </w:pPr>
      <w:r>
        <w:rPr/>
        <w:t>Principio 4</w:t>
      </w:r>
    </w:p>
    <w:p>
      <w:pPr>
        <w:pStyle w:val="BodyText"/>
        <w:spacing w:before="5"/>
        <w:rPr>
          <w:b/>
          <w:sz w:val="28"/>
        </w:rPr>
      </w:pPr>
    </w:p>
    <w:p>
      <w:pPr>
        <w:pStyle w:val="BodyText"/>
        <w:spacing w:line="360" w:lineRule="auto" w:before="1"/>
        <w:ind w:left="102" w:right="114"/>
        <w:jc w:val="both"/>
      </w:pPr>
      <w:r>
        <w:rPr/>
        <w:t>El hombre tiene la responsabilidad especial de preservar y administrar juiciosamente el patrimonio de la flora y fauna silvestres y su hábitat, que se encuentran actualmente en grave peligro por una combinación de factores adversos. En consecuencia, al planificar el desarrollo económico debe atribuirse importancia a la conservación de la naturaleza, incluidas la flora y fauna silvestres.</w:t>
      </w:r>
    </w:p>
    <w:p>
      <w:pPr>
        <w:pStyle w:val="BodyText"/>
        <w:spacing w:before="4"/>
        <w:rPr>
          <w:sz w:val="17"/>
        </w:rPr>
      </w:pPr>
    </w:p>
    <w:p>
      <w:pPr>
        <w:pStyle w:val="Heading6"/>
        <w:jc w:val="both"/>
      </w:pPr>
      <w:r>
        <w:rPr/>
        <w:t>Principio 5</w:t>
      </w:r>
    </w:p>
    <w:p>
      <w:pPr>
        <w:pStyle w:val="BodyText"/>
        <w:spacing w:before="6"/>
        <w:rPr>
          <w:b/>
          <w:sz w:val="28"/>
        </w:rPr>
      </w:pPr>
    </w:p>
    <w:p>
      <w:pPr>
        <w:pStyle w:val="BodyText"/>
        <w:spacing w:line="360" w:lineRule="auto"/>
        <w:ind w:left="102" w:right="120"/>
        <w:jc w:val="both"/>
      </w:pPr>
      <w:r>
        <w:rPr/>
        <w:t>Los recursos no renovables de la Tierra deben emplearse de forma que se evite el peligro de su futuro agotamiento y se asegure que toda la humanidad comparte los beneficios de tal empleo.</w:t>
      </w:r>
    </w:p>
    <w:p>
      <w:pPr>
        <w:pStyle w:val="BodyText"/>
        <w:spacing w:before="4"/>
        <w:rPr>
          <w:sz w:val="17"/>
        </w:rPr>
      </w:pPr>
    </w:p>
    <w:p>
      <w:pPr>
        <w:pStyle w:val="Heading6"/>
        <w:jc w:val="both"/>
      </w:pPr>
      <w:r>
        <w:rPr/>
        <w:t>Principio 6</w:t>
      </w:r>
    </w:p>
    <w:p>
      <w:pPr>
        <w:pStyle w:val="BodyText"/>
        <w:spacing w:before="8"/>
        <w:rPr>
          <w:b/>
          <w:sz w:val="28"/>
        </w:rPr>
      </w:pPr>
    </w:p>
    <w:p>
      <w:pPr>
        <w:pStyle w:val="BodyText"/>
        <w:spacing w:line="360" w:lineRule="auto"/>
        <w:ind w:left="102" w:right="113"/>
        <w:jc w:val="both"/>
      </w:pPr>
      <w:r>
        <w:rPr/>
        <w:t>Debe ponerse fin a la descarga de sustancias tóxicas o de otras materias y a la liberación de calor, cantidades o concentraciones tales que el medio no pueda neutralizarlas, para que no se causen daños graves o irreparables a los ecosistemas. Debe apoyarse la justa lucha de los pueblos de todos los países contra la contaminación</w:t>
      </w:r>
    </w:p>
    <w:p>
      <w:pPr>
        <w:pStyle w:val="BodyText"/>
        <w:spacing w:before="4"/>
        <w:rPr>
          <w:sz w:val="17"/>
        </w:rPr>
      </w:pPr>
    </w:p>
    <w:p>
      <w:pPr>
        <w:pStyle w:val="Heading6"/>
        <w:jc w:val="both"/>
      </w:pPr>
      <w:r>
        <w:rPr/>
        <w:t>Principio 7</w:t>
      </w:r>
    </w:p>
    <w:p>
      <w:pPr>
        <w:pStyle w:val="BodyText"/>
        <w:spacing w:before="8"/>
        <w:rPr>
          <w:b/>
          <w:sz w:val="28"/>
        </w:rPr>
      </w:pPr>
    </w:p>
    <w:p>
      <w:pPr>
        <w:pStyle w:val="BodyText"/>
        <w:spacing w:line="360" w:lineRule="auto"/>
        <w:ind w:left="102" w:right="115"/>
        <w:jc w:val="both"/>
      </w:pPr>
      <w:r>
        <w:rPr/>
        <w:t>Los Estados deberán tomar todas las medidas posibles para impedir la contaminación de los mares por sustancias que puedan poner en peligro la salud del hombre, dañar los recursos vivos y la vida marina, menoscabar las posibilidades de esparcimiento o entorpecer otras utilizaciones legítimas del mar.</w:t>
      </w:r>
    </w:p>
    <w:p>
      <w:pPr>
        <w:spacing w:after="0" w:line="360" w:lineRule="auto"/>
        <w:jc w:val="both"/>
        <w:sectPr>
          <w:pgSz w:w="12240" w:h="15840"/>
          <w:pgMar w:header="0" w:footer="1003" w:top="1360" w:bottom="1200" w:left="1600" w:right="1580"/>
        </w:sectPr>
      </w:pPr>
    </w:p>
    <w:p>
      <w:pPr>
        <w:pStyle w:val="Heading6"/>
        <w:spacing w:before="51"/>
        <w:jc w:val="both"/>
      </w:pPr>
      <w:r>
        <w:rPr/>
        <w:t>Principio 8</w:t>
      </w:r>
    </w:p>
    <w:p>
      <w:pPr>
        <w:pStyle w:val="BodyText"/>
        <w:spacing w:before="8"/>
        <w:rPr>
          <w:b/>
          <w:sz w:val="28"/>
        </w:rPr>
      </w:pPr>
    </w:p>
    <w:p>
      <w:pPr>
        <w:pStyle w:val="BodyText"/>
        <w:spacing w:line="360" w:lineRule="auto"/>
        <w:ind w:left="102" w:right="120"/>
        <w:jc w:val="both"/>
      </w:pPr>
      <w:r>
        <w:rPr/>
        <w:t>El desarrollo económico y social es indispensable para asegurar al hombre un ambiente de vida y trabajo favorable y crear en la Tierra las condiciones necesarias para mejorar la calidad de la</w:t>
      </w:r>
      <w:r>
        <w:rPr>
          <w:spacing w:val="-7"/>
        </w:rPr>
        <w:t> </w:t>
      </w:r>
      <w:r>
        <w:rPr/>
        <w:t>vida.</w:t>
      </w:r>
    </w:p>
    <w:p>
      <w:pPr>
        <w:pStyle w:val="BodyText"/>
        <w:spacing w:before="7"/>
        <w:rPr>
          <w:sz w:val="17"/>
        </w:rPr>
      </w:pPr>
    </w:p>
    <w:p>
      <w:pPr>
        <w:pStyle w:val="Heading6"/>
        <w:jc w:val="both"/>
      </w:pPr>
      <w:r>
        <w:rPr/>
        <w:t>Principio 9</w:t>
      </w:r>
    </w:p>
    <w:p>
      <w:pPr>
        <w:pStyle w:val="BodyText"/>
        <w:spacing w:before="5"/>
        <w:rPr>
          <w:b/>
          <w:sz w:val="28"/>
        </w:rPr>
      </w:pPr>
    </w:p>
    <w:p>
      <w:pPr>
        <w:pStyle w:val="BodyText"/>
        <w:spacing w:line="360" w:lineRule="auto" w:before="1"/>
        <w:ind w:left="102" w:right="113"/>
        <w:jc w:val="both"/>
      </w:pPr>
      <w:r>
        <w:rPr/>
        <w:t>Las deficiencias del medio originadas por las condiciones del subdesarrollo y los desastres naturales plantean graves problemas, y la mejor manera de subsanarlas es el desarrollo acelerado mediante la transferencia de cantidades considerables de asistencia financiera y tecnológica que complemente los esfuerzos internos de los países en desarrollo y la ayuda oportuna que pueda</w:t>
      </w:r>
      <w:r>
        <w:rPr>
          <w:spacing w:val="-15"/>
        </w:rPr>
        <w:t> </w:t>
      </w:r>
      <w:r>
        <w:rPr/>
        <w:t>requerirse.</w:t>
      </w:r>
    </w:p>
    <w:p>
      <w:pPr>
        <w:pStyle w:val="BodyText"/>
        <w:spacing w:before="7"/>
        <w:rPr>
          <w:sz w:val="17"/>
        </w:rPr>
      </w:pPr>
    </w:p>
    <w:p>
      <w:pPr>
        <w:pStyle w:val="Heading6"/>
        <w:jc w:val="both"/>
      </w:pPr>
      <w:r>
        <w:rPr/>
        <w:t>Principio 10</w:t>
      </w:r>
    </w:p>
    <w:p>
      <w:pPr>
        <w:pStyle w:val="BodyText"/>
        <w:spacing w:before="5"/>
        <w:rPr>
          <w:b/>
          <w:sz w:val="28"/>
        </w:rPr>
      </w:pPr>
    </w:p>
    <w:p>
      <w:pPr>
        <w:pStyle w:val="BodyText"/>
        <w:spacing w:line="360" w:lineRule="auto" w:before="1"/>
        <w:ind w:left="102" w:right="113"/>
        <w:jc w:val="both"/>
      </w:pPr>
      <w:r>
        <w:rPr/>
        <w:t>Para los países en desarrollo, la estabilidad de los precios y la obtención de ingresos adecuados de los productos básicos y las materias primas son elementos esenciales para la ordenación del medio, ya que han de tenerse en cuenta tanto los factores económicos como los procesos ecológicos.</w:t>
      </w:r>
    </w:p>
    <w:p>
      <w:pPr>
        <w:pStyle w:val="BodyText"/>
        <w:spacing w:before="5"/>
        <w:rPr>
          <w:sz w:val="17"/>
        </w:rPr>
      </w:pPr>
    </w:p>
    <w:p>
      <w:pPr>
        <w:pStyle w:val="Heading6"/>
        <w:jc w:val="both"/>
      </w:pPr>
      <w:r>
        <w:rPr/>
        <w:t>Principio 11</w:t>
      </w:r>
    </w:p>
    <w:p>
      <w:pPr>
        <w:pStyle w:val="BodyText"/>
        <w:spacing w:before="8"/>
        <w:rPr>
          <w:b/>
          <w:sz w:val="28"/>
        </w:rPr>
      </w:pPr>
    </w:p>
    <w:p>
      <w:pPr>
        <w:pStyle w:val="BodyText"/>
        <w:spacing w:line="360" w:lineRule="auto"/>
        <w:ind w:left="102" w:right="116"/>
        <w:jc w:val="both"/>
      </w:pPr>
      <w:r>
        <w:rPr/>
        <w:t>Las políticas ambientales de todos los Estados deberían estar encaminadas a aumentar el potencial de crecimiento actual o futuro de los países en desarrollo y no deberían menoscabar ese potencial ni obstaculizar el logro de mejores condiciones de vida para todos, y los Estados y las organizaciones internacionales deberían tomar las  disposiciones pertinentes con miras a llegar a un acuerdo para hacer frente a las consecuencias económicas que pudieran resultar, en los planos nacional e internacional, de la aplicación de medidas</w:t>
      </w:r>
      <w:r>
        <w:rPr>
          <w:spacing w:val="-8"/>
        </w:rPr>
        <w:t> </w:t>
      </w:r>
      <w:r>
        <w:rPr/>
        <w:t>ambientales.</w:t>
      </w:r>
    </w:p>
    <w:p>
      <w:pPr>
        <w:pStyle w:val="BodyText"/>
        <w:spacing w:before="7"/>
        <w:rPr>
          <w:sz w:val="17"/>
        </w:rPr>
      </w:pPr>
    </w:p>
    <w:p>
      <w:pPr>
        <w:pStyle w:val="Heading6"/>
        <w:jc w:val="both"/>
      </w:pPr>
      <w:r>
        <w:rPr/>
        <w:t>Principio 12</w:t>
      </w:r>
    </w:p>
    <w:p>
      <w:pPr>
        <w:pStyle w:val="BodyText"/>
        <w:spacing w:before="5"/>
        <w:rPr>
          <w:b/>
          <w:sz w:val="28"/>
        </w:rPr>
      </w:pPr>
    </w:p>
    <w:p>
      <w:pPr>
        <w:pStyle w:val="BodyText"/>
        <w:spacing w:line="360" w:lineRule="auto" w:before="1"/>
        <w:ind w:left="102" w:right="115"/>
        <w:jc w:val="both"/>
      </w:pPr>
      <w:r>
        <w:rPr/>
        <w:t>Deberían destinarse recursos a la conservación y mejoramiento del medio, teniendo en cuenta las circunstancias y las necesidades especiales de los países en desarrollo y cualesquiera gastos que pueda originar a estos países la inclusión de medidas de conservación del medio en sus planes de desarrollo, así como la necesidad de prestarles, cuando lo soliciten, más asistencia técnica y financiera internacional con ese fin.</w:t>
      </w:r>
    </w:p>
    <w:p>
      <w:pPr>
        <w:spacing w:after="0" w:line="360" w:lineRule="auto"/>
        <w:jc w:val="both"/>
        <w:sectPr>
          <w:pgSz w:w="12240" w:h="15840"/>
          <w:pgMar w:header="0" w:footer="1003" w:top="1360" w:bottom="1200" w:left="1600" w:right="1580"/>
        </w:sectPr>
      </w:pPr>
    </w:p>
    <w:p>
      <w:pPr>
        <w:pStyle w:val="Heading6"/>
        <w:spacing w:before="51"/>
        <w:jc w:val="both"/>
      </w:pPr>
      <w:r>
        <w:rPr/>
        <w:t>Principio 13</w:t>
      </w:r>
    </w:p>
    <w:p>
      <w:pPr>
        <w:pStyle w:val="BodyText"/>
        <w:spacing w:before="8"/>
        <w:rPr>
          <w:b/>
          <w:sz w:val="28"/>
        </w:rPr>
      </w:pPr>
    </w:p>
    <w:p>
      <w:pPr>
        <w:pStyle w:val="BodyText"/>
        <w:spacing w:line="360" w:lineRule="auto"/>
        <w:ind w:left="102" w:right="117"/>
        <w:jc w:val="both"/>
      </w:pPr>
      <w:r>
        <w:rPr/>
        <w:t>A fin de lograr una más racional ordenación de los recursos y mejorar así las condiciones ambientales, los Estados deberían adoptar un enfoque integrado y coordinado de la planificación de su desarrollo de modo que quede asegurada la compatibilidad del desarrollo con la necesidad de proteger y mejorar el medio humano en beneficio de su población.</w:t>
      </w:r>
    </w:p>
    <w:p>
      <w:pPr>
        <w:pStyle w:val="BodyText"/>
        <w:spacing w:before="7"/>
        <w:rPr>
          <w:sz w:val="17"/>
        </w:rPr>
      </w:pPr>
    </w:p>
    <w:p>
      <w:pPr>
        <w:pStyle w:val="Heading6"/>
        <w:jc w:val="both"/>
      </w:pPr>
      <w:r>
        <w:rPr/>
        <w:t>Principio 14</w:t>
      </w:r>
    </w:p>
    <w:p>
      <w:pPr>
        <w:pStyle w:val="BodyText"/>
        <w:spacing w:before="5"/>
        <w:rPr>
          <w:b/>
          <w:sz w:val="28"/>
        </w:rPr>
      </w:pPr>
    </w:p>
    <w:p>
      <w:pPr>
        <w:pStyle w:val="BodyText"/>
        <w:spacing w:line="360" w:lineRule="auto" w:before="1"/>
        <w:ind w:left="102" w:right="118"/>
        <w:jc w:val="both"/>
      </w:pPr>
      <w:r>
        <w:rPr/>
        <w:t>La planificación racional constituye un instrumento indispensable para conciliar las diferencias que puedan surgir entre las exigencias del desarrollo y la necesidad de proteger y mejorar el medio.</w:t>
      </w:r>
    </w:p>
    <w:p>
      <w:pPr>
        <w:pStyle w:val="BodyText"/>
        <w:spacing w:before="7"/>
        <w:rPr>
          <w:sz w:val="17"/>
        </w:rPr>
      </w:pPr>
    </w:p>
    <w:p>
      <w:pPr>
        <w:pStyle w:val="Heading6"/>
        <w:jc w:val="both"/>
      </w:pPr>
      <w:r>
        <w:rPr/>
        <w:t>Principio 15</w:t>
      </w:r>
    </w:p>
    <w:p>
      <w:pPr>
        <w:pStyle w:val="BodyText"/>
        <w:spacing w:before="5"/>
        <w:rPr>
          <w:b/>
          <w:sz w:val="28"/>
        </w:rPr>
      </w:pPr>
    </w:p>
    <w:p>
      <w:pPr>
        <w:pStyle w:val="BodyText"/>
        <w:spacing w:line="360" w:lineRule="auto" w:before="1"/>
        <w:ind w:left="102" w:right="117"/>
        <w:jc w:val="both"/>
      </w:pPr>
      <w:r>
        <w:rPr/>
        <w:t>Debe aplicarse la planificación a los asentamientos humanos y a la urbanización con miras a evitar repercusiones perjudiciales sobre el medio y a obtener los máximos beneficios sociales, económicos y ambientales para todos. A este respecto deben abandonarse los proyectos destinados a la dominación colonialista y</w:t>
      </w:r>
      <w:r>
        <w:rPr>
          <w:spacing w:val="-43"/>
        </w:rPr>
        <w:t> </w:t>
      </w:r>
      <w:r>
        <w:rPr/>
        <w:t>racista.</w:t>
      </w:r>
    </w:p>
    <w:p>
      <w:pPr>
        <w:pStyle w:val="BodyText"/>
        <w:spacing w:before="5"/>
        <w:rPr>
          <w:sz w:val="17"/>
        </w:rPr>
      </w:pPr>
    </w:p>
    <w:p>
      <w:pPr>
        <w:pStyle w:val="Heading6"/>
        <w:jc w:val="both"/>
      </w:pPr>
      <w:r>
        <w:rPr/>
        <w:t>Principio 16</w:t>
      </w:r>
    </w:p>
    <w:p>
      <w:pPr>
        <w:pStyle w:val="BodyText"/>
        <w:spacing w:before="8"/>
        <w:rPr>
          <w:b/>
          <w:sz w:val="28"/>
        </w:rPr>
      </w:pPr>
    </w:p>
    <w:p>
      <w:pPr>
        <w:pStyle w:val="BodyText"/>
        <w:spacing w:line="360" w:lineRule="auto"/>
        <w:ind w:left="102" w:right="117"/>
        <w:jc w:val="both"/>
      </w:pPr>
      <w:r>
        <w:rPr/>
        <w:t>En las regiones en que exista el riesgo de que la tasa de crecimiento demográfico o las concentraciones excesivas de población perjudiquen al medio o al desarrollo, o en que la baja densidad de población pueda impedir el mejoramiento del medio humano y obstaculizar el desarrollo, deberían aplicarse políticas demográficas que respetasen los derechos humanos fundamentales y contasen con la aprobación de los gobiernos interesados.</w:t>
      </w:r>
    </w:p>
    <w:p>
      <w:pPr>
        <w:pStyle w:val="BodyText"/>
        <w:spacing w:before="7"/>
        <w:rPr>
          <w:sz w:val="17"/>
        </w:rPr>
      </w:pPr>
    </w:p>
    <w:p>
      <w:pPr>
        <w:pStyle w:val="Heading6"/>
        <w:jc w:val="both"/>
      </w:pPr>
      <w:r>
        <w:rPr/>
        <w:t>Principio 17</w:t>
      </w:r>
    </w:p>
    <w:p>
      <w:pPr>
        <w:pStyle w:val="BodyText"/>
        <w:spacing w:before="6"/>
        <w:rPr>
          <w:b/>
          <w:sz w:val="28"/>
        </w:rPr>
      </w:pPr>
    </w:p>
    <w:p>
      <w:pPr>
        <w:pStyle w:val="BodyText"/>
        <w:spacing w:line="360" w:lineRule="auto"/>
        <w:ind w:left="102" w:right="114"/>
        <w:jc w:val="both"/>
      </w:pPr>
      <w:r>
        <w:rPr/>
        <w:t>Debe confiarse a las instituciones nacionales competentes la tarea de planificar, administrar o controlar la utilización de los recursos ambientales de los estados con miras a mejorar la calidad del medio.</w:t>
      </w:r>
    </w:p>
    <w:p>
      <w:pPr>
        <w:pStyle w:val="BodyText"/>
        <w:spacing w:before="7"/>
        <w:rPr>
          <w:sz w:val="17"/>
        </w:rPr>
      </w:pPr>
    </w:p>
    <w:p>
      <w:pPr>
        <w:pStyle w:val="Heading6"/>
        <w:jc w:val="both"/>
      </w:pPr>
      <w:r>
        <w:rPr/>
        <w:t>Principio 18</w:t>
      </w:r>
    </w:p>
    <w:p>
      <w:pPr>
        <w:spacing w:after="0"/>
        <w:jc w:val="both"/>
        <w:sectPr>
          <w:pgSz w:w="12240" w:h="15840"/>
          <w:pgMar w:header="0" w:footer="1003" w:top="1360" w:bottom="1200" w:left="1600" w:right="1580"/>
        </w:sectPr>
      </w:pPr>
    </w:p>
    <w:p>
      <w:pPr>
        <w:pStyle w:val="BodyText"/>
        <w:spacing w:line="360" w:lineRule="auto" w:before="53"/>
        <w:ind w:left="102" w:right="121"/>
        <w:jc w:val="both"/>
      </w:pPr>
      <w:r>
        <w:rPr/>
        <w:t>Como parte de su contribución al desarrollo económico y social, se debe utilizar la ciencia y la tecnología para descubrir, evitar y combatir los riesgos que amenazan al medio, para solucionar los problemas ambientales y para el bien común de la humanidad.</w:t>
      </w:r>
    </w:p>
    <w:p>
      <w:pPr>
        <w:pStyle w:val="BodyText"/>
        <w:spacing w:before="4"/>
        <w:rPr>
          <w:sz w:val="17"/>
        </w:rPr>
      </w:pPr>
    </w:p>
    <w:p>
      <w:pPr>
        <w:pStyle w:val="Heading6"/>
        <w:jc w:val="both"/>
      </w:pPr>
      <w:r>
        <w:rPr/>
        <w:t>Principio 19</w:t>
      </w:r>
    </w:p>
    <w:p>
      <w:pPr>
        <w:pStyle w:val="BodyText"/>
        <w:spacing w:before="8"/>
        <w:rPr>
          <w:b/>
          <w:sz w:val="28"/>
        </w:rPr>
      </w:pPr>
    </w:p>
    <w:p>
      <w:pPr>
        <w:pStyle w:val="BodyText"/>
        <w:spacing w:line="360" w:lineRule="auto"/>
        <w:ind w:left="102" w:right="118"/>
        <w:jc w:val="both"/>
      </w:pPr>
      <w:r>
        <w:rPr/>
        <w:t>Es indispensable una labor de educación en cuestiones ambientales, dirigida tanto a las generaciones jóvenes como a los adultos y que preste la debida atención al sector de la población menos privilegiado, para ensanchar las bases de una opinión pública bien informada y de una conducta de los individuos, de las empresas y de las colectividades inspirada en el sentido de su responsabilidad en cuanto a la protección y mejoramiento  del medio en toda su dimensión humana. Es también esencial que los medios de comunicación de masas eviten contribuir al deterioro del medio humano y difundan, por el contrario, información de carácter educativo sobre la necesidad de protegerlo y mejorarlo, a fin de que el hombre pueda desarrollarse en todos los</w:t>
      </w:r>
      <w:r>
        <w:rPr>
          <w:spacing w:val="-15"/>
        </w:rPr>
        <w:t> </w:t>
      </w:r>
      <w:r>
        <w:rPr/>
        <w:t>aspectos.</w:t>
      </w:r>
    </w:p>
    <w:p>
      <w:pPr>
        <w:pStyle w:val="BodyText"/>
        <w:spacing w:before="7"/>
        <w:rPr>
          <w:sz w:val="17"/>
        </w:rPr>
      </w:pPr>
    </w:p>
    <w:p>
      <w:pPr>
        <w:pStyle w:val="Heading6"/>
        <w:jc w:val="both"/>
      </w:pPr>
      <w:r>
        <w:rPr/>
        <w:t>Principio 20</w:t>
      </w:r>
    </w:p>
    <w:p>
      <w:pPr>
        <w:pStyle w:val="BodyText"/>
        <w:spacing w:before="5"/>
        <w:rPr>
          <w:b/>
          <w:sz w:val="28"/>
        </w:rPr>
      </w:pPr>
    </w:p>
    <w:p>
      <w:pPr>
        <w:pStyle w:val="BodyText"/>
        <w:spacing w:line="360" w:lineRule="auto" w:before="1"/>
        <w:ind w:left="102" w:right="117"/>
        <w:jc w:val="both"/>
      </w:pPr>
      <w:r>
        <w:rPr/>
        <w:t>Se deben fomentar en todos los países, especialmente en los países en desarrollo, la investigación y el desarrollo científicos referentes a los problemas ambientales, tanto nacionales como multinacionales. A este respecto, el libre intercambio de información científica actualizada y de experiencia sobre la transferencia debe ser objeto de apoyo y de asistencia, a fin de facilitar la solución de los problemas ambientales; las tecnologías ambientales deben ponerse a disposición de los países en desarrollo en unas condiciones que favorezcan su amplia difusión sin que constituyan una carga económica excesiva  para esos</w:t>
      </w:r>
      <w:r>
        <w:rPr>
          <w:spacing w:val="-3"/>
        </w:rPr>
        <w:t> </w:t>
      </w:r>
      <w:r>
        <w:rPr/>
        <w:t>países.</w:t>
      </w:r>
    </w:p>
    <w:p>
      <w:pPr>
        <w:pStyle w:val="BodyText"/>
        <w:spacing w:before="7"/>
        <w:rPr>
          <w:sz w:val="17"/>
        </w:rPr>
      </w:pPr>
    </w:p>
    <w:p>
      <w:pPr>
        <w:pStyle w:val="Heading6"/>
        <w:jc w:val="both"/>
      </w:pPr>
      <w:r>
        <w:rPr/>
        <w:t>Principio 21</w:t>
      </w:r>
    </w:p>
    <w:p>
      <w:pPr>
        <w:pStyle w:val="BodyText"/>
        <w:spacing w:before="5"/>
        <w:rPr>
          <w:b/>
          <w:sz w:val="28"/>
        </w:rPr>
      </w:pPr>
    </w:p>
    <w:p>
      <w:pPr>
        <w:pStyle w:val="BodyText"/>
        <w:spacing w:line="360" w:lineRule="auto" w:before="1"/>
        <w:ind w:left="102" w:right="120"/>
        <w:jc w:val="both"/>
      </w:pPr>
      <w:r>
        <w:rPr/>
        <w:t>De conformidad con la Carta de las Naciones Unidas y con los compromisos del derecho internacional, los Estados tienen el derecho soberano de explotar sus propios recursos en aplicación de su propia política ambiental y la obligación de asegurar que las actividades que se lleven a cabo dentro de su jurisdicción o bajo su control no perjudiquen al medio  de otros Estados o de zonas situadas fuera de toda jurisdicción</w:t>
      </w:r>
      <w:r>
        <w:rPr>
          <w:spacing w:val="-17"/>
        </w:rPr>
        <w:t> </w:t>
      </w:r>
      <w:r>
        <w:rPr/>
        <w:t>nacional.</w:t>
      </w:r>
    </w:p>
    <w:p>
      <w:pPr>
        <w:pStyle w:val="BodyText"/>
        <w:spacing w:before="7"/>
        <w:rPr>
          <w:sz w:val="17"/>
        </w:rPr>
      </w:pPr>
    </w:p>
    <w:p>
      <w:pPr>
        <w:pStyle w:val="Heading6"/>
        <w:jc w:val="both"/>
      </w:pPr>
      <w:r>
        <w:rPr/>
        <w:t>Principio 22</w:t>
      </w:r>
    </w:p>
    <w:p>
      <w:pPr>
        <w:spacing w:after="0"/>
        <w:jc w:val="both"/>
        <w:sectPr>
          <w:pgSz w:w="12240" w:h="15840"/>
          <w:pgMar w:header="0" w:footer="1003" w:top="1360" w:bottom="1200" w:left="1600" w:right="1580"/>
        </w:sectPr>
      </w:pPr>
    </w:p>
    <w:p>
      <w:pPr>
        <w:pStyle w:val="BodyText"/>
        <w:spacing w:line="360" w:lineRule="auto" w:before="53"/>
        <w:ind w:left="102" w:right="116"/>
        <w:jc w:val="both"/>
      </w:pPr>
      <w:r>
        <w:rPr/>
        <w:t>Los Estados deben cooperar para continuar desarrollando el derecho internacional en lo que se refiere a la responsabilidad y a la indemnización a las víctimas de la contaminación y otros daños ambientales que las actividades realizadas dentro de la jurisdicción o bajo el control de tales Estados causen a zonas situadas fuera de su jurisdicción.</w:t>
      </w:r>
    </w:p>
    <w:p>
      <w:pPr>
        <w:pStyle w:val="BodyText"/>
        <w:spacing w:before="4"/>
        <w:rPr>
          <w:sz w:val="17"/>
        </w:rPr>
      </w:pPr>
    </w:p>
    <w:p>
      <w:pPr>
        <w:pStyle w:val="Heading6"/>
        <w:jc w:val="both"/>
      </w:pPr>
      <w:r>
        <w:rPr/>
        <w:t>Principio 23</w:t>
      </w:r>
    </w:p>
    <w:p>
      <w:pPr>
        <w:pStyle w:val="BodyText"/>
        <w:spacing w:before="8"/>
        <w:rPr>
          <w:b/>
          <w:sz w:val="28"/>
        </w:rPr>
      </w:pPr>
    </w:p>
    <w:p>
      <w:pPr>
        <w:pStyle w:val="BodyText"/>
        <w:spacing w:line="360" w:lineRule="auto"/>
        <w:ind w:left="102" w:right="118"/>
        <w:jc w:val="both"/>
      </w:pPr>
      <w:r>
        <w:rPr/>
        <w:t>Sin perjuicio de los criterios que puedan acordarse por la comunidad internacional y de las normas que deberán ser definidas a nivel nacional, en todos los casos será indispensable considerar los sistemas de valores prevalecientes en cada país y la aplicabilidad de unas normas que si bien son válidas para los países más avanzados pueden ser inadecuadas y de alto costo social para los países en desarrollo.</w:t>
      </w:r>
    </w:p>
    <w:p>
      <w:pPr>
        <w:pStyle w:val="BodyText"/>
        <w:spacing w:before="7"/>
        <w:rPr>
          <w:sz w:val="17"/>
        </w:rPr>
      </w:pPr>
    </w:p>
    <w:p>
      <w:pPr>
        <w:pStyle w:val="Heading6"/>
        <w:jc w:val="both"/>
      </w:pPr>
      <w:r>
        <w:rPr/>
        <w:t>Principio 24</w:t>
      </w:r>
    </w:p>
    <w:p>
      <w:pPr>
        <w:pStyle w:val="BodyText"/>
        <w:spacing w:before="5"/>
        <w:rPr>
          <w:b/>
          <w:sz w:val="28"/>
        </w:rPr>
      </w:pPr>
    </w:p>
    <w:p>
      <w:pPr>
        <w:pStyle w:val="BodyText"/>
        <w:spacing w:line="360" w:lineRule="auto" w:before="1"/>
        <w:ind w:left="102" w:right="119"/>
        <w:jc w:val="both"/>
      </w:pPr>
      <w:r>
        <w:rPr/>
        <w:t>Todos los países, grandes o pequeños, deben ocuparse con espíritu de cooperación y en pie de igualdad de las cuestiones internacionales relativas a la protección y mejoramiento del medio. Es</w:t>
      </w:r>
    </w:p>
    <w:p>
      <w:pPr>
        <w:pStyle w:val="BodyText"/>
        <w:spacing w:before="9"/>
        <w:rPr>
          <w:sz w:val="17"/>
        </w:rPr>
      </w:pPr>
    </w:p>
    <w:p>
      <w:pPr>
        <w:pStyle w:val="BodyText"/>
        <w:spacing w:line="360" w:lineRule="auto"/>
        <w:ind w:left="102" w:right="115"/>
        <w:jc w:val="both"/>
      </w:pPr>
      <w:r>
        <w:rPr/>
        <w:t>indispensable cooperar, mediante acuerdos multilaterales o bilaterales o por otros medios apropiados para controlar, evitar, reducir y eliminar eficazmente los efectos perjudiciales que las actividades que se realicen en cualquier esfera puedan tener para el medio, teniendo en cuenta debidamente la soberanía y los intereses de todos los Estados.</w:t>
      </w:r>
    </w:p>
    <w:p>
      <w:pPr>
        <w:pStyle w:val="BodyText"/>
        <w:spacing w:before="4"/>
        <w:rPr>
          <w:sz w:val="17"/>
        </w:rPr>
      </w:pPr>
    </w:p>
    <w:p>
      <w:pPr>
        <w:pStyle w:val="Heading6"/>
        <w:jc w:val="both"/>
      </w:pPr>
      <w:r>
        <w:rPr/>
        <w:t>Principio 25</w:t>
      </w:r>
    </w:p>
    <w:p>
      <w:pPr>
        <w:pStyle w:val="BodyText"/>
        <w:spacing w:before="8"/>
        <w:rPr>
          <w:b/>
          <w:sz w:val="28"/>
        </w:rPr>
      </w:pPr>
    </w:p>
    <w:p>
      <w:pPr>
        <w:pStyle w:val="BodyText"/>
        <w:spacing w:line="360" w:lineRule="auto"/>
        <w:ind w:left="102" w:right="121"/>
        <w:jc w:val="both"/>
      </w:pPr>
      <w:r>
        <w:rPr/>
        <w:t>Los Estados se asegurarán de que las organizaciones internacionales realicen una labor coordinada, eficaz y dinámica en la conservación y mejoramiento del medio.</w:t>
      </w:r>
    </w:p>
    <w:p>
      <w:pPr>
        <w:pStyle w:val="BodyText"/>
        <w:spacing w:before="4"/>
        <w:rPr>
          <w:sz w:val="17"/>
        </w:rPr>
      </w:pPr>
    </w:p>
    <w:p>
      <w:pPr>
        <w:pStyle w:val="Heading6"/>
        <w:jc w:val="both"/>
      </w:pPr>
      <w:r>
        <w:rPr/>
        <w:t>Principio 26</w:t>
      </w:r>
    </w:p>
    <w:p>
      <w:pPr>
        <w:pStyle w:val="BodyText"/>
        <w:spacing w:before="8"/>
        <w:rPr>
          <w:b/>
          <w:sz w:val="28"/>
        </w:rPr>
      </w:pPr>
    </w:p>
    <w:p>
      <w:pPr>
        <w:pStyle w:val="BodyText"/>
        <w:spacing w:line="360" w:lineRule="auto" w:before="1"/>
        <w:ind w:left="102" w:right="115"/>
        <w:jc w:val="both"/>
      </w:pPr>
      <w:r>
        <w:rPr/>
        <w:t>Es preciso librar al hombre y a su medio de los efectos de las armas nucleares y de todos los demás medios de destrucción en masa. Los Estados deben esforzarse por llegar pronto a un acuerdo, en los órganos internacionales pertinentes, sobre la eliminación y la destrucción completa de tales armas.</w:t>
      </w:r>
    </w:p>
    <w:p>
      <w:pPr>
        <w:pStyle w:val="BodyText"/>
        <w:spacing w:before="7"/>
        <w:rPr>
          <w:sz w:val="17"/>
        </w:rPr>
      </w:pPr>
    </w:p>
    <w:p>
      <w:pPr>
        <w:pStyle w:val="Heading6"/>
        <w:spacing w:line="360" w:lineRule="auto"/>
        <w:ind w:right="601"/>
      </w:pPr>
      <w:r>
        <w:rPr/>
        <w:t>CONFERENCIA DE LAS NACIONES UNIDAS SOBRE EL MEDIO AMBIENTE Y EL DESARROLLO (CNUMAD)</w:t>
      </w:r>
    </w:p>
    <w:p>
      <w:pPr>
        <w:spacing w:after="0" w:line="360" w:lineRule="auto"/>
        <w:sectPr>
          <w:pgSz w:w="12240" w:h="15840"/>
          <w:pgMar w:header="0" w:footer="1003" w:top="1360" w:bottom="1200" w:left="1600" w:right="1580"/>
        </w:sectPr>
      </w:pPr>
    </w:p>
    <w:p>
      <w:pPr>
        <w:pStyle w:val="BodyText"/>
        <w:spacing w:line="360" w:lineRule="auto" w:before="53"/>
        <w:ind w:left="102" w:right="113"/>
        <w:jc w:val="both"/>
      </w:pPr>
      <w:r>
        <w:rPr/>
        <w:t>La Conferencia de las Naciones Unidas sobre el Medio Ambiente y el Desarrollo (CNUMAD), también conocida como la 'Cumbre para la Tierra', tuvo lugar en Río de Janeiro, Brasil, del 3 al 14 de junio de 1992. Esta conferencia global, celebrada durante el vigésimo aniversario de la primera Conferencia Internacional sobre el Medio Humano (Estocolmo, 1972), reunió a políticos, diplomáticos, científicos, periodistas  y representantes de organizaciones no gubernamentales (ONG) de 179 países, en un esfuerzo masivo por reconciliar el impacto de las actividades socio-económicas humanas en el medio ambiente y viceversa. Simultáneamente se celebró en Río de Janeiro el 'Foro Global de las ONG', al que asistieron un gran número de representantes de las ONG para explicar su propia visión del futuro estado medio ambiental y de desarrollo socio- económico del mundo.</w:t>
      </w:r>
    </w:p>
    <w:p>
      <w:pPr>
        <w:pStyle w:val="BodyText"/>
        <w:spacing w:before="7"/>
        <w:rPr>
          <w:sz w:val="17"/>
        </w:rPr>
      </w:pPr>
    </w:p>
    <w:p>
      <w:pPr>
        <w:pStyle w:val="BodyText"/>
        <w:spacing w:line="360" w:lineRule="auto"/>
        <w:ind w:left="102" w:right="117"/>
        <w:jc w:val="both"/>
      </w:pPr>
      <w:r>
        <w:rPr/>
        <w:t>La Conferencia de Estocolmo de 1972, como ya vimos anteriormente, centraba la atención internacional en temas medio ambientales, especialmente los relacionados con  la degradación ambiental y la 'contaminación transfronteriza'. Este último concepto era muy importante, ya que señalaba el hecho de que la contaminación no reconoce los límites políticos o geográficos y afecta a los países, regiones y pueblos más allá de su punto de origen. Durante las décadas que siguieron a la Conferencia de Estocolmo, este concepto se amplió para abarcar temas medio ambientales que son de verdadero alcance transnacional y que requieren una acción conjunta de todos los países y regiones del mundo para enfrentarse a ellos de un modo efectivo. Estos problemas medio ambientales mundiales tan importantes incluyen, por ejemplo, todo tipo de contaminación, el cambio climático, la reducción de la capa de ozono, el uso y administración de los océanos y los recursos de agua dulce, la deforestación excesiva, la desertificación y la degradación de  la tierra, los vertidos peligrosos y la disminución de la diversidad</w:t>
      </w:r>
      <w:r>
        <w:rPr>
          <w:spacing w:val="-27"/>
        </w:rPr>
        <w:t> </w:t>
      </w:r>
      <w:r>
        <w:rPr/>
        <w:t>biológica.</w:t>
      </w:r>
    </w:p>
    <w:p>
      <w:pPr>
        <w:pStyle w:val="BodyText"/>
        <w:spacing w:before="9"/>
        <w:rPr>
          <w:sz w:val="17"/>
        </w:rPr>
      </w:pPr>
    </w:p>
    <w:p>
      <w:pPr>
        <w:pStyle w:val="BodyText"/>
        <w:spacing w:line="360" w:lineRule="auto"/>
        <w:ind w:left="102" w:right="119"/>
        <w:jc w:val="both"/>
      </w:pPr>
      <w:r>
        <w:rPr/>
        <w:t>En los años que siguieron, también se reconoció que los problemas medio ambientales regionales o locales, como la urbanización extensa, la deforestación, la desertificación, y la escasez general de recursos naturales, se pueden extender hasta el punto de tener graves repercusiones para la seguridad internacional. Por ejemplo, socavan la base económica y la estructura social de los países débiles y pobres, generan o exacerban las tensiones y los conflictos sociales y estimulan un mayor movimiento de refugiados. De este modo, la degradación ambiental en diversas partes del mundo desarrollado y en desarrollo puede afectar a los intereses políticos, económicos y sociales del mundo en su conjunto.</w:t>
      </w:r>
    </w:p>
    <w:p>
      <w:pPr>
        <w:spacing w:after="0" w:line="360" w:lineRule="auto"/>
        <w:jc w:val="both"/>
        <w:sectPr>
          <w:pgSz w:w="12240" w:h="15840"/>
          <w:pgMar w:header="0" w:footer="1003" w:top="1360" w:bottom="1200" w:left="1600" w:right="1580"/>
        </w:sectPr>
      </w:pPr>
    </w:p>
    <w:p>
      <w:pPr>
        <w:pStyle w:val="BodyText"/>
        <w:spacing w:line="360" w:lineRule="auto" w:before="53"/>
        <w:ind w:left="102" w:right="114"/>
        <w:jc w:val="both"/>
      </w:pPr>
      <w:r>
        <w:rPr/>
        <w:t>En la Cumbre para la Tierra de 1992 se reconoció internacionalmente el hecho de que la protección del medio ambiente y la administración de los recursos naturales deben integrarse en las cuestiones socio-económicas de pobreza y subdesarrollo. Esta idea ha sido recogida en la definición del término 'desarrollo sostenible' hecha por la Comisión Mundial del Medio Ambiente y del Desarrollo (la Comisión Brundtland) en 1987 como 'el desarrollo que satisface las necesidades del presente sin comprometer la habilidad de las generaciones futuras para satisfacer sus propias necesidades'. Este concepto fue diseñado para satisfacer los requisitos de los partidarios del desarrollo económico así como los requisitos de los que están interesados principalmente en la conservación medio ambiental.</w:t>
      </w:r>
    </w:p>
    <w:p>
      <w:pPr>
        <w:pStyle w:val="BodyText"/>
        <w:spacing w:before="9"/>
        <w:rPr>
          <w:sz w:val="17"/>
        </w:rPr>
      </w:pPr>
    </w:p>
    <w:p>
      <w:pPr>
        <w:pStyle w:val="BodyText"/>
        <w:spacing w:line="360" w:lineRule="auto"/>
        <w:ind w:left="102" w:right="117"/>
        <w:jc w:val="both"/>
      </w:pPr>
      <w:r>
        <w:rPr/>
        <w:t>Por eso, la Cumbre para la Tierra marcó un hito al centrar la atención mundial en la idea, nueva en aquella época, de que los problemas medio ambientales del planeta estaban íntimamente relacionados con las condiciones económicas y los problemas de la justicia social. Demostró que las necesidades sociales, medio ambientales y económicas deben equilibrarse unas a otras para obtener resultados sostenibles a largo plazo. También demostró que si la gente es pobre, y las economías nacionales son débiles, el medio ambiente se resiente; si se abusa del medio ambiente y se consumen en exceso los recursos, la gente sufre y las economías se debilitan. La conferencia también señaló que las acciones o decisiones locales más insignificantes, buenas o malas, tienen repercusiones potenciales a escala mundial.</w:t>
      </w:r>
    </w:p>
    <w:p>
      <w:pPr>
        <w:pStyle w:val="BodyText"/>
        <w:spacing w:before="7"/>
        <w:rPr>
          <w:sz w:val="17"/>
        </w:rPr>
      </w:pPr>
    </w:p>
    <w:p>
      <w:pPr>
        <w:pStyle w:val="BodyText"/>
        <w:spacing w:line="360" w:lineRule="auto"/>
        <w:ind w:left="102" w:right="118"/>
        <w:jc w:val="both"/>
      </w:pPr>
      <w:r>
        <w:rPr/>
        <w:t>La reunión de Río de Janeiro señaló que los diferentes factores sociales, económicos y medio ambientales son interdependientes y cambian simultáneamente. También definió los elementos críticos de cambio y demostró que el éxito en una zona requiere acción en las demás zonas para que este éxito se prolongue en el tiempo. El objetivo principal de la Cumbre fue introducir un programa extenso y un plan nuevo para la acción internacional en temas de medio ambiente y de desarrollo que ayudarían a guiar la cooperación internacional y el desarrollo de programas en el próximo siglo.</w:t>
      </w:r>
    </w:p>
    <w:p>
      <w:pPr>
        <w:pStyle w:val="BodyText"/>
        <w:spacing w:before="7"/>
        <w:rPr>
          <w:sz w:val="17"/>
        </w:rPr>
      </w:pPr>
    </w:p>
    <w:p>
      <w:pPr>
        <w:pStyle w:val="BodyText"/>
        <w:spacing w:line="360" w:lineRule="auto"/>
        <w:ind w:left="102" w:right="117"/>
        <w:jc w:val="both"/>
      </w:pPr>
      <w:r>
        <w:rPr/>
        <w:t>CNUMAD definió el concepto de desarrollo sostenible como un objetivo factible en todo el mundo, ya fuese a escala local, nacional, regional o internacional. Reconocía que la integración y el equilibrio de los intereses económicos, sociales y medio ambientales a la hora de satisfacer nuestras necesidades es vital para preservar la vida en el planeta, y  que dicho enfoque integrado se puede alcanzar si unimos nuestra inteligencia y nuestro talento. También reconocía que para conseguir este tipo de integración y equilibrio   </w:t>
      </w:r>
      <w:r>
        <w:rPr>
          <w:spacing w:val="6"/>
        </w:rPr>
        <w:t> </w:t>
      </w:r>
      <w:r>
        <w:rPr/>
        <w:t>entre</w:t>
      </w:r>
    </w:p>
    <w:p>
      <w:pPr>
        <w:spacing w:after="0" w:line="360" w:lineRule="auto"/>
        <w:jc w:val="both"/>
        <w:sectPr>
          <w:pgSz w:w="12240" w:h="15840"/>
          <w:pgMar w:header="0" w:footer="1003" w:top="1360" w:bottom="1200" w:left="1600" w:right="1580"/>
        </w:sectPr>
      </w:pPr>
    </w:p>
    <w:p>
      <w:pPr>
        <w:pStyle w:val="BodyText"/>
        <w:spacing w:line="360" w:lineRule="auto" w:before="53"/>
        <w:ind w:left="102" w:right="119"/>
        <w:jc w:val="both"/>
      </w:pPr>
      <w:r>
        <w:rPr/>
        <w:t>las dimensiones económica, social y medio ambiental se necesitarían nuevas  perspectivas de cómo producimos, cómo consumimos, cómo vivimos, cómo trabajamos, cómo nos relacionamos y cómo tomamos decisiones. El concepto fue revolucionario y, como toda idea original, desencadenó un acalorado debate entre los gobiernos, y entre éstos y sus ciudadanos sobre cómo conseguir la</w:t>
      </w:r>
      <w:r>
        <w:rPr>
          <w:spacing w:val="-16"/>
        </w:rPr>
        <w:t> </w:t>
      </w:r>
      <w:r>
        <w:rPr/>
        <w:t>sostenibilidad.</w:t>
      </w:r>
    </w:p>
    <w:p>
      <w:pPr>
        <w:pStyle w:val="BodyText"/>
        <w:spacing w:before="7"/>
        <w:rPr>
          <w:sz w:val="17"/>
        </w:rPr>
      </w:pPr>
    </w:p>
    <w:p>
      <w:pPr>
        <w:pStyle w:val="BodyText"/>
        <w:spacing w:line="360" w:lineRule="auto"/>
        <w:ind w:left="102" w:right="115"/>
        <w:jc w:val="both"/>
      </w:pPr>
      <w:r>
        <w:rPr/>
        <w:t>Unos de los logros más importantes de CNUMAD fue el Programa 21 *, un programa de acciones minucioso y amplio que exigía nuevas formas de invertir en nuestro futuro para poder alcanzar el desarrollo sostenible en el siglo XXI. Sus recomendaciones iban desde nuevos métodos educativos, hasta nuevas formas de preservar los recursos naturales, pasando por nuevos caminos para participar en el diseño de una economía sostenible. La pretensión global del Programa 21 era impresionante, ya que su objetivo era nada menos que crear un mundo seguro y justo en la que toda existencia fuese digna y plena.</w:t>
      </w:r>
    </w:p>
    <w:p>
      <w:pPr>
        <w:pStyle w:val="BodyText"/>
        <w:spacing w:before="7"/>
        <w:rPr>
          <w:sz w:val="17"/>
        </w:rPr>
      </w:pPr>
    </w:p>
    <w:p>
      <w:pPr>
        <w:pStyle w:val="BodyText"/>
        <w:ind w:left="102"/>
        <w:jc w:val="both"/>
      </w:pPr>
      <w:r>
        <w:rPr/>
        <w:t>Otros resultados de CNUMAD:</w:t>
      </w:r>
    </w:p>
    <w:p>
      <w:pPr>
        <w:pStyle w:val="BodyText"/>
        <w:spacing w:before="5"/>
        <w:rPr>
          <w:sz w:val="28"/>
        </w:rPr>
      </w:pPr>
    </w:p>
    <w:p>
      <w:pPr>
        <w:pStyle w:val="ListParagraph"/>
        <w:numPr>
          <w:ilvl w:val="0"/>
          <w:numId w:val="345"/>
        </w:numPr>
        <w:tabs>
          <w:tab w:pos="251" w:val="left" w:leader="none"/>
        </w:tabs>
        <w:spacing w:line="360" w:lineRule="auto" w:before="1" w:after="0"/>
        <w:ind w:left="102" w:right="117" w:firstLine="0"/>
        <w:jc w:val="both"/>
        <w:rPr>
          <w:sz w:val="22"/>
        </w:rPr>
      </w:pPr>
      <w:r>
        <w:rPr>
          <w:sz w:val="22"/>
        </w:rPr>
        <w:t>La Declaración de Río: conjunto de 27 principios universalmente aplicables para ayudar a guiar la acción internacional basándose en la responsabilidad medio ambiental y económica.</w:t>
      </w:r>
    </w:p>
    <w:p>
      <w:pPr>
        <w:pStyle w:val="BodyText"/>
        <w:spacing w:before="9"/>
        <w:rPr>
          <w:sz w:val="17"/>
        </w:rPr>
      </w:pPr>
    </w:p>
    <w:p>
      <w:pPr>
        <w:pStyle w:val="ListParagraph"/>
        <w:numPr>
          <w:ilvl w:val="0"/>
          <w:numId w:val="345"/>
        </w:numPr>
        <w:tabs>
          <w:tab w:pos="316" w:val="left" w:leader="none"/>
        </w:tabs>
        <w:spacing w:line="360" w:lineRule="auto" w:before="1" w:after="0"/>
        <w:ind w:left="102" w:right="119" w:firstLine="0"/>
        <w:jc w:val="both"/>
        <w:rPr>
          <w:sz w:val="22"/>
        </w:rPr>
      </w:pPr>
      <w:r>
        <w:rPr>
          <w:sz w:val="22"/>
        </w:rPr>
        <w:t>La Convención Marco sobre el Cambio Climático: acuerdo legalmente vinculante, firmado por 154 gobiernos en la Cumbre en Río, cuyo objetivo principal es la  'estabilización de las concentraciones de gases invernadero en la atmósfera a un nivel  que prevendría la peligrosa interferencia antropogénica (causada por el hombre) con el sistema</w:t>
      </w:r>
      <w:r>
        <w:rPr>
          <w:spacing w:val="-3"/>
          <w:sz w:val="22"/>
        </w:rPr>
        <w:t> </w:t>
      </w:r>
      <w:r>
        <w:rPr>
          <w:sz w:val="22"/>
        </w:rPr>
        <w:t>climático</w:t>
      </w:r>
    </w:p>
    <w:p>
      <w:pPr>
        <w:pStyle w:val="BodyText"/>
        <w:spacing w:before="7"/>
        <w:rPr>
          <w:sz w:val="17"/>
        </w:rPr>
      </w:pPr>
    </w:p>
    <w:p>
      <w:pPr>
        <w:pStyle w:val="ListParagraph"/>
        <w:numPr>
          <w:ilvl w:val="0"/>
          <w:numId w:val="345"/>
        </w:numPr>
        <w:tabs>
          <w:tab w:pos="297" w:val="left" w:leader="none"/>
        </w:tabs>
        <w:spacing w:line="360" w:lineRule="auto" w:before="0" w:after="0"/>
        <w:ind w:left="102" w:right="117" w:firstLine="0"/>
        <w:jc w:val="both"/>
        <w:rPr>
          <w:sz w:val="22"/>
        </w:rPr>
      </w:pPr>
      <w:r>
        <w:rPr>
          <w:sz w:val="22"/>
        </w:rPr>
        <w:t>El Convenio sobre Diversidad Biológica (CDB): acuerdo legalmente vinculante, que hasta la fecha ha sido firmado por 168 países. Representa un paso importantísimo hacia la conservación de la diversidad biológica, del uso sostenible de sus componentes y del reparto justo y equitativo de los beneficios derivados del uso de recursos</w:t>
      </w:r>
      <w:r>
        <w:rPr>
          <w:spacing w:val="-22"/>
          <w:sz w:val="22"/>
        </w:rPr>
        <w:t> </w:t>
      </w:r>
      <w:r>
        <w:rPr>
          <w:sz w:val="22"/>
        </w:rPr>
        <w:t>genéticos.</w:t>
      </w:r>
    </w:p>
    <w:p>
      <w:pPr>
        <w:pStyle w:val="BodyText"/>
        <w:spacing w:before="7"/>
        <w:rPr>
          <w:sz w:val="17"/>
        </w:rPr>
      </w:pPr>
    </w:p>
    <w:p>
      <w:pPr>
        <w:pStyle w:val="ListParagraph"/>
        <w:numPr>
          <w:ilvl w:val="0"/>
          <w:numId w:val="345"/>
        </w:numPr>
        <w:tabs>
          <w:tab w:pos="266" w:val="left" w:leader="none"/>
        </w:tabs>
        <w:spacing w:line="360" w:lineRule="auto" w:before="0" w:after="0"/>
        <w:ind w:left="102" w:right="112" w:firstLine="0"/>
        <w:jc w:val="both"/>
        <w:rPr>
          <w:sz w:val="22"/>
        </w:rPr>
      </w:pPr>
      <w:r>
        <w:rPr>
          <w:sz w:val="22"/>
        </w:rPr>
        <w:t>La Declaración de Principios Forestales: conjunto de 15 principios no vinculantes, que rigen la política nacional e internacional para la protección, la administración y el uso más sostenibles de los recursos forestales mundiales. Estos principios son muy importantes ya que representan el primer y principal consenso internacional sobre un mejor uso y conservación de todo tipo de</w:t>
      </w:r>
      <w:r>
        <w:rPr>
          <w:spacing w:val="-7"/>
          <w:sz w:val="22"/>
        </w:rPr>
        <w:t> </w:t>
      </w:r>
      <w:r>
        <w:rPr>
          <w:sz w:val="22"/>
        </w:rPr>
        <w:t>bosques.</w:t>
      </w:r>
    </w:p>
    <w:p>
      <w:pPr>
        <w:spacing w:after="0" w:line="360" w:lineRule="auto"/>
        <w:jc w:val="both"/>
        <w:rPr>
          <w:sz w:val="22"/>
        </w:rPr>
        <w:sectPr>
          <w:footerReference w:type="default" r:id="rId700"/>
          <w:pgSz w:w="12240" w:h="15840"/>
          <w:pgMar w:footer="1003" w:header="0" w:top="1360" w:bottom="1200" w:left="1600" w:right="1580"/>
          <w:pgNumType w:start="780"/>
        </w:sectPr>
      </w:pPr>
    </w:p>
    <w:p>
      <w:pPr>
        <w:pStyle w:val="Heading6"/>
        <w:spacing w:before="51"/>
        <w:jc w:val="both"/>
      </w:pPr>
      <w:r>
        <w:rPr/>
        <w:t>CONVENIO SOBRE LA DIVERSIDAD BIOLÓGICA</w:t>
      </w:r>
    </w:p>
    <w:p>
      <w:pPr>
        <w:pStyle w:val="BodyText"/>
        <w:spacing w:before="8"/>
        <w:rPr>
          <w:b/>
          <w:sz w:val="28"/>
        </w:rPr>
      </w:pPr>
    </w:p>
    <w:p>
      <w:pPr>
        <w:pStyle w:val="BodyText"/>
        <w:spacing w:line="360" w:lineRule="auto"/>
        <w:ind w:left="102" w:right="116"/>
        <w:jc w:val="both"/>
      </w:pPr>
      <w:r>
        <w:rPr/>
        <w:t>El Convenio sobre la Diversidad Biológica (CDB) es un tratado internacional jurídicamente vinculante con tres objetivos principales: la conservación de la diversidad biológica, la utilización sostenible de sus componentes y la participación justa y equitativa en los beneficios que se deriven de la utilización de los recursos genéticos. Su objetivo general es promover medidas que conduzcan a un futuro sostenible.</w:t>
      </w:r>
    </w:p>
    <w:p>
      <w:pPr>
        <w:pStyle w:val="BodyText"/>
        <w:spacing w:before="9"/>
        <w:rPr>
          <w:sz w:val="17"/>
        </w:rPr>
      </w:pPr>
    </w:p>
    <w:p>
      <w:pPr>
        <w:pStyle w:val="BodyText"/>
        <w:spacing w:line="360" w:lineRule="auto"/>
        <w:ind w:left="102" w:right="113"/>
        <w:jc w:val="both"/>
      </w:pPr>
      <w:r>
        <w:rPr/>
        <w:t>La conservación de la diversidad biológica es interés común de toda la humanidad. El Convenio sobre la Diversidad Biológica cubre la diversidad biológica a todos los niveles: ecosistemas, especies y recursos genéticos. También cubre la biotecnología, entre otras cosas, a través del Protocolo de Cartagena sobre Seguridad de la Biotecnología. De hecho, cubre todos los posibles dominios que están directa o indirectamente relacionados con la diversidad biológica y su papel en el desarrollo, desde la ciencia, la política y la educación a la agricultura, los negocios, la cultura y mucho más.</w:t>
      </w:r>
    </w:p>
    <w:p>
      <w:pPr>
        <w:pStyle w:val="BodyText"/>
        <w:spacing w:before="9"/>
        <w:rPr>
          <w:sz w:val="17"/>
        </w:rPr>
      </w:pPr>
    </w:p>
    <w:p>
      <w:pPr>
        <w:pStyle w:val="BodyText"/>
        <w:spacing w:line="360" w:lineRule="auto"/>
        <w:ind w:left="102" w:right="112"/>
        <w:jc w:val="both"/>
      </w:pPr>
      <w:r>
        <w:rPr/>
        <w:t>El órgano rector del CDB es la Conferencia de las Partes (COP). Esta autoridad suprema de todos los Gobiernos (o Partes) que han ratificado el tratado se reúne cada dos años para examinar el progreso, fijar prioridades y adoptar planes de trabajo.</w:t>
      </w:r>
    </w:p>
    <w:p>
      <w:pPr>
        <w:pStyle w:val="BodyText"/>
        <w:spacing w:before="9"/>
        <w:rPr>
          <w:sz w:val="17"/>
        </w:rPr>
      </w:pPr>
    </w:p>
    <w:p>
      <w:pPr>
        <w:pStyle w:val="BodyText"/>
        <w:spacing w:line="360" w:lineRule="auto" w:before="1"/>
        <w:ind w:left="102" w:right="121"/>
        <w:jc w:val="both"/>
      </w:pPr>
      <w:r>
        <w:rPr/>
        <w:t>La Secretaría del Convenio sobre la Diversidad Biológica (SCDB) tiene su sede en Montreal, Canadá. Su principal función es ayudar a los Gobiernos a aplicar el CDB y sus programas de trabajo, organizar reuniones, redactar borradores de documentos, coordinar la labor del Convenio con la de otras organizaciones internacionales y recopilar así como difundir información. El Secretario Ejecutivo es el director de la Secretaría.</w:t>
      </w:r>
    </w:p>
    <w:p>
      <w:pPr>
        <w:pStyle w:val="BodyText"/>
        <w:spacing w:before="7"/>
        <w:rPr>
          <w:sz w:val="17"/>
        </w:rPr>
      </w:pPr>
    </w:p>
    <w:p>
      <w:pPr>
        <w:spacing w:before="0"/>
        <w:ind w:left="102" w:right="0" w:firstLine="0"/>
        <w:jc w:val="both"/>
        <w:rPr>
          <w:i/>
          <w:sz w:val="22"/>
        </w:rPr>
      </w:pPr>
      <w:r>
        <w:rPr>
          <w:i/>
          <w:sz w:val="22"/>
        </w:rPr>
        <w:t>Datos y Cifras</w:t>
      </w:r>
    </w:p>
    <w:p>
      <w:pPr>
        <w:pStyle w:val="BodyText"/>
        <w:spacing w:before="5"/>
        <w:rPr>
          <w:i/>
          <w:sz w:val="28"/>
        </w:rPr>
      </w:pPr>
    </w:p>
    <w:p>
      <w:pPr>
        <w:pStyle w:val="BodyText"/>
        <w:spacing w:line="360" w:lineRule="auto" w:before="1"/>
        <w:ind w:left="102" w:right="118"/>
        <w:jc w:val="both"/>
      </w:pPr>
      <w:r>
        <w:rPr/>
        <w:t>El Convenio sobre la Diversidad Biológica (CDB) quedó listo para la firma el 5 de junio de 1992 en la Cumbre de la Tierra celebrada en Río de Janeiro, y entró en vigor el 29 de diciembre de 1993.</w:t>
      </w:r>
    </w:p>
    <w:p>
      <w:pPr>
        <w:pStyle w:val="BodyText"/>
        <w:spacing w:before="9"/>
        <w:rPr>
          <w:sz w:val="17"/>
        </w:rPr>
      </w:pPr>
    </w:p>
    <w:p>
      <w:pPr>
        <w:pStyle w:val="BodyText"/>
        <w:ind w:left="102"/>
        <w:jc w:val="both"/>
      </w:pPr>
      <w:r>
        <w:rPr/>
        <w:t>Hasta la fecha hay 193 Partes.</w:t>
      </w:r>
    </w:p>
    <w:p>
      <w:pPr>
        <w:pStyle w:val="BodyText"/>
        <w:spacing w:before="3"/>
        <w:rPr>
          <w:sz w:val="28"/>
        </w:rPr>
      </w:pPr>
    </w:p>
    <w:p>
      <w:pPr>
        <w:pStyle w:val="BodyText"/>
        <w:spacing w:line="360" w:lineRule="auto"/>
        <w:ind w:left="102" w:right="119"/>
        <w:jc w:val="both"/>
      </w:pPr>
      <w:r>
        <w:rPr/>
        <w:t>Los componentes de la diversidad biológica son todas las formas de vida que hay en la Tierra, incluidos ecosistemas, animales, plantas, hongos, microorganismos y diversidad genética.</w:t>
      </w:r>
    </w:p>
    <w:p>
      <w:pPr>
        <w:spacing w:after="0" w:line="360" w:lineRule="auto"/>
        <w:jc w:val="both"/>
        <w:sectPr>
          <w:pgSz w:w="12240" w:h="15840"/>
          <w:pgMar w:header="0" w:footer="1003" w:top="1360" w:bottom="1200" w:left="1600" w:right="1580"/>
        </w:sectPr>
      </w:pPr>
    </w:p>
    <w:p>
      <w:pPr>
        <w:pStyle w:val="BodyText"/>
        <w:spacing w:line="362" w:lineRule="auto" w:before="53"/>
        <w:ind w:left="102" w:right="119"/>
        <w:jc w:val="both"/>
      </w:pPr>
      <w:r>
        <w:rPr/>
        <w:t>Con sus tres objetivos, el CDB es considerado a menudo como el principal instrumento internacional para el desarrollo sostenible.</w:t>
      </w:r>
    </w:p>
    <w:p>
      <w:pPr>
        <w:pStyle w:val="BodyText"/>
        <w:spacing w:before="4"/>
        <w:rPr>
          <w:sz w:val="17"/>
        </w:rPr>
      </w:pPr>
    </w:p>
    <w:p>
      <w:pPr>
        <w:pStyle w:val="BodyText"/>
        <w:spacing w:line="360" w:lineRule="auto"/>
        <w:ind w:left="102" w:right="119"/>
        <w:jc w:val="both"/>
      </w:pPr>
      <w:r>
        <w:rPr/>
        <w:t>Los ecosistemas, las especies y los recursos genéticos deberían ser utilizados en beneficio del ser humano, pero de manera que no lleve a la pérdida de diversidad biológica.</w:t>
      </w:r>
    </w:p>
    <w:p>
      <w:pPr>
        <w:pStyle w:val="BodyText"/>
        <w:spacing w:before="9"/>
        <w:rPr>
          <w:sz w:val="17"/>
        </w:rPr>
      </w:pPr>
    </w:p>
    <w:p>
      <w:pPr>
        <w:pStyle w:val="BodyText"/>
        <w:spacing w:line="360" w:lineRule="auto"/>
        <w:ind w:left="102" w:right="116"/>
        <w:jc w:val="both"/>
      </w:pPr>
      <w:r>
        <w:rPr/>
        <w:t>Para conservar la diversidad biológica hacen falta cuantiosas inversiones, pero se obtendrán considerables beneficios ambientales, económicos y sociales.</w:t>
      </w:r>
    </w:p>
    <w:p>
      <w:pPr>
        <w:pStyle w:val="BodyText"/>
        <w:spacing w:before="7"/>
        <w:rPr>
          <w:sz w:val="17"/>
        </w:rPr>
      </w:pPr>
    </w:p>
    <w:p>
      <w:pPr>
        <w:pStyle w:val="BodyText"/>
        <w:spacing w:line="360" w:lineRule="auto"/>
        <w:ind w:left="102" w:right="122"/>
        <w:jc w:val="both"/>
      </w:pPr>
      <w:r>
        <w:rPr/>
        <w:t>El enfoque por ecosistemas, una estrategia integrada para gestionar recursos, es el  marco de acción del</w:t>
      </w:r>
      <w:r>
        <w:rPr>
          <w:spacing w:val="-11"/>
        </w:rPr>
        <w:t> </w:t>
      </w:r>
      <w:r>
        <w:rPr/>
        <w:t>Convenio.</w:t>
      </w:r>
    </w:p>
    <w:p>
      <w:pPr>
        <w:pStyle w:val="BodyText"/>
        <w:spacing w:before="9"/>
        <w:rPr>
          <w:sz w:val="17"/>
        </w:rPr>
      </w:pPr>
    </w:p>
    <w:p>
      <w:pPr>
        <w:pStyle w:val="BodyText"/>
        <w:spacing w:line="360" w:lineRule="auto"/>
        <w:ind w:left="102" w:right="115"/>
        <w:jc w:val="both"/>
      </w:pPr>
      <w:r>
        <w:rPr/>
        <w:t>Según el principio de precaución, cuando haya peligro de considerable reducción o pérdida de diversidad biológica, la falta de certeza científica absoluta no deberá utilizarse como razón para postergar la adopción de medidas que impidan o minimicen dicho peligro.</w:t>
      </w:r>
    </w:p>
    <w:p>
      <w:pPr>
        <w:pStyle w:val="BodyText"/>
        <w:spacing w:before="7"/>
        <w:rPr>
          <w:sz w:val="17"/>
        </w:rPr>
      </w:pPr>
    </w:p>
    <w:p>
      <w:pPr>
        <w:pStyle w:val="Heading6"/>
        <w:spacing w:line="360" w:lineRule="auto"/>
        <w:ind w:right="357"/>
      </w:pPr>
      <w:r>
        <w:rPr/>
        <w:t>CUMBRE MUNDIAL SOBRE EL DESARROLLO SOSTENIBLE – JOHANNESBURGO 2002</w:t>
      </w:r>
    </w:p>
    <w:p>
      <w:pPr>
        <w:pStyle w:val="BodyText"/>
        <w:spacing w:before="9"/>
        <w:rPr>
          <w:b/>
          <w:sz w:val="17"/>
        </w:rPr>
      </w:pPr>
    </w:p>
    <w:p>
      <w:pPr>
        <w:pStyle w:val="BodyText"/>
        <w:spacing w:line="360" w:lineRule="auto" w:before="1"/>
        <w:ind w:left="102" w:right="116"/>
        <w:jc w:val="both"/>
      </w:pPr>
      <w:r>
        <w:rPr/>
        <w:t>La Cumbre Mundial sobre el Desarrollo Sostenible se celebró en Johannesburgo (SudÁfrica) del 26 de agosto al 4 de septiembre. En esa importante conferencia participaron 190 Jefes de Estado o de Gobierno, acompañados de sus delegaciones nacionales.</w:t>
      </w:r>
    </w:p>
    <w:p>
      <w:pPr>
        <w:pStyle w:val="BodyText"/>
        <w:spacing w:before="9"/>
        <w:rPr>
          <w:sz w:val="17"/>
        </w:rPr>
      </w:pPr>
    </w:p>
    <w:p>
      <w:pPr>
        <w:pStyle w:val="BodyText"/>
        <w:spacing w:line="360" w:lineRule="auto"/>
        <w:ind w:left="102" w:right="116"/>
        <w:jc w:val="both"/>
      </w:pPr>
      <w:r>
        <w:rPr/>
        <w:t>Además participaron las Secretarías de las Comisiones Económicas regionales, representantes de diversos órganos y programas de las Naciones Unidas, las secretarías de las diferentes convenciones internacionales relacionadas con temas ambientales, las organizaciones y agencias especializadas de las Naciones Unidas, organizaciones intergubernamentales y un número considerable de organizaciones no gubernamentales.</w:t>
      </w:r>
    </w:p>
    <w:p>
      <w:pPr>
        <w:pStyle w:val="BodyText"/>
        <w:spacing w:before="10"/>
        <w:rPr>
          <w:sz w:val="17"/>
        </w:rPr>
      </w:pPr>
    </w:p>
    <w:p>
      <w:pPr>
        <w:pStyle w:val="BodyText"/>
        <w:spacing w:line="360" w:lineRule="auto"/>
        <w:ind w:left="102" w:right="116"/>
        <w:jc w:val="both"/>
      </w:pPr>
      <w:r>
        <w:rPr/>
        <w:t>El Parlamento Latinoamericano estuvo oficialmente representado en la Cumbre por el autor de este Informe con el carácter de Observador.</w:t>
      </w:r>
    </w:p>
    <w:p>
      <w:pPr>
        <w:pStyle w:val="BodyText"/>
        <w:spacing w:before="7"/>
        <w:rPr>
          <w:sz w:val="17"/>
        </w:rPr>
      </w:pPr>
    </w:p>
    <w:p>
      <w:pPr>
        <w:pStyle w:val="BodyText"/>
        <w:spacing w:line="360" w:lineRule="auto"/>
        <w:ind w:left="102" w:right="117"/>
        <w:jc w:val="both"/>
      </w:pPr>
      <w:r>
        <w:rPr/>
        <w:t>Los resultados de la Cumbre quedaron recogidos en dos importantes documentos adoptados por consenso: la “Declaración de Johannesburgo sobre el Desarrollo Sostenible” suscrita por todos los Jefes de Estado y de Gobierno, y el “Plan de  Aplicación</w:t>
      </w:r>
    </w:p>
    <w:p>
      <w:pPr>
        <w:spacing w:after="0" w:line="360" w:lineRule="auto"/>
        <w:jc w:val="both"/>
        <w:sectPr>
          <w:pgSz w:w="12240" w:h="15840"/>
          <w:pgMar w:header="0" w:footer="1003" w:top="1360" w:bottom="1200" w:left="1600" w:right="1580"/>
        </w:sectPr>
      </w:pPr>
    </w:p>
    <w:p>
      <w:pPr>
        <w:pStyle w:val="BodyText"/>
        <w:spacing w:line="360" w:lineRule="auto" w:before="53"/>
        <w:ind w:left="102" w:right="117"/>
        <w:jc w:val="both"/>
      </w:pPr>
      <w:r>
        <w:rPr/>
        <w:t>de Johannesburgo”. Este último documento fue el producto de un largo y complejo proceso de negociación cumplido al nivel de técnicos, expertos y diplomáticos antes y durante la</w:t>
      </w:r>
      <w:r>
        <w:rPr>
          <w:spacing w:val="-4"/>
        </w:rPr>
        <w:t> </w:t>
      </w:r>
      <w:r>
        <w:rPr/>
        <w:t>Cumbre.</w:t>
      </w:r>
    </w:p>
    <w:p>
      <w:pPr>
        <w:pStyle w:val="BodyText"/>
        <w:spacing w:before="7"/>
        <w:rPr>
          <w:sz w:val="17"/>
        </w:rPr>
      </w:pPr>
    </w:p>
    <w:p>
      <w:pPr>
        <w:spacing w:line="360" w:lineRule="auto" w:before="0"/>
        <w:ind w:left="102" w:right="117" w:firstLine="0"/>
        <w:jc w:val="both"/>
        <w:rPr>
          <w:i/>
          <w:sz w:val="22"/>
        </w:rPr>
      </w:pPr>
      <w:r>
        <w:rPr>
          <w:sz w:val="22"/>
        </w:rPr>
        <w:t>En la Declaración de Johannesburgo los altos dignatarios presentes en la Cumbre se comprometen a edificar una sociedad humana global, equitativa y solícita, consciente de la necesidad de dignidad humana para todos. Además </w:t>
      </w:r>
      <w:r>
        <w:rPr>
          <w:i/>
          <w:sz w:val="22"/>
        </w:rPr>
        <w:t>asumen la responsabilidad </w:t>
      </w:r>
      <w:r>
        <w:rPr>
          <w:i/>
          <w:sz w:val="22"/>
        </w:rPr>
        <w:t>colectiva de impulsar y fortalecer en los ámbitos local, nacional, regional y global, los fundamentos del desarrollo sostenible: desarrollo económico, desarrollo social y protección</w:t>
      </w:r>
      <w:r>
        <w:rPr>
          <w:i/>
          <w:spacing w:val="-3"/>
          <w:sz w:val="22"/>
        </w:rPr>
        <w:t> </w:t>
      </w:r>
      <w:r>
        <w:rPr>
          <w:i/>
          <w:sz w:val="22"/>
        </w:rPr>
        <w:t>ambiental.</w:t>
      </w:r>
    </w:p>
    <w:p>
      <w:pPr>
        <w:pStyle w:val="BodyText"/>
        <w:spacing w:before="7"/>
        <w:rPr>
          <w:i/>
          <w:sz w:val="17"/>
        </w:rPr>
      </w:pPr>
    </w:p>
    <w:p>
      <w:pPr>
        <w:pStyle w:val="BodyText"/>
        <w:spacing w:line="360" w:lineRule="auto"/>
        <w:ind w:left="102" w:right="119"/>
        <w:jc w:val="both"/>
      </w:pPr>
      <w:r>
        <w:rPr/>
        <w:t>También asumen el compromiso de desplegar un esfuerzo definitivo para responder positivamente a la necesidad de producir un plan práctico y visible para erradicar la pobreza e impulsar el desarrollo humano. En este sentido reconocen que la erradicación de la pobreza, el cambio de los patrones de producción y consumo y la protección y manejo de los recursos naturales constituyen la base del desarrollo económico y social y son requisitos esenciales para el desarrollo sostenible.</w:t>
      </w:r>
    </w:p>
    <w:p>
      <w:pPr>
        <w:pStyle w:val="BodyText"/>
        <w:spacing w:before="7"/>
        <w:rPr>
          <w:sz w:val="17"/>
        </w:rPr>
      </w:pPr>
    </w:p>
    <w:p>
      <w:pPr>
        <w:pStyle w:val="BodyText"/>
        <w:spacing w:line="360" w:lineRule="auto"/>
        <w:ind w:left="102" w:right="118"/>
        <w:jc w:val="both"/>
      </w:pPr>
      <w:r>
        <w:rPr/>
        <w:t>Declaran su determinación de asegurar que la diversidad, que es la fortaleza colectiva, será empleada para desarrollar relaciones de asociación a favor del cambio y el logro de los objetivos comunes del desarrollo sostenible.</w:t>
      </w:r>
    </w:p>
    <w:p>
      <w:pPr>
        <w:pStyle w:val="BodyText"/>
        <w:spacing w:before="9"/>
        <w:rPr>
          <w:sz w:val="17"/>
        </w:rPr>
      </w:pPr>
    </w:p>
    <w:p>
      <w:pPr>
        <w:pStyle w:val="BodyText"/>
        <w:spacing w:line="360" w:lineRule="auto"/>
        <w:ind w:left="102" w:right="115"/>
        <w:jc w:val="both"/>
      </w:pPr>
      <w:r>
        <w:rPr/>
        <w:t>Los Jefes de Estado y de Gobierno reconocen que sociedad la global tiene los medios y es deudora de los recursos para atender los retos de la erradicación de la pobreza y el desarrollo sostenible que confronta la humanidad, para lo cual se comprometen a actuar conjuntamente a fin de asegurar que los recursos disponibles sean empleados en beneficio de la</w:t>
      </w:r>
      <w:r>
        <w:rPr>
          <w:spacing w:val="-10"/>
        </w:rPr>
        <w:t> </w:t>
      </w:r>
      <w:r>
        <w:rPr/>
        <w:t>humanidad.</w:t>
      </w:r>
    </w:p>
    <w:p>
      <w:pPr>
        <w:pStyle w:val="BodyText"/>
        <w:spacing w:before="9"/>
        <w:rPr>
          <w:sz w:val="17"/>
        </w:rPr>
      </w:pPr>
    </w:p>
    <w:p>
      <w:pPr>
        <w:pStyle w:val="BodyText"/>
        <w:spacing w:line="360" w:lineRule="auto"/>
        <w:ind w:left="102" w:right="118"/>
        <w:jc w:val="both"/>
      </w:pPr>
      <w:r>
        <w:rPr/>
        <w:t>La Declaración de Johannesburgo consagra además los compromisos de los Jefes de Estado y de Gobierno de ejercer periódicamente la vigilancia del logro de las metas y objetivos del desarrollo sostenible, de actuar conjuntamente, unidos en una determinación común, para salvar el planeta, promover el desarrollo humano y alcanzar la prosperidad universal y la paz.</w:t>
      </w:r>
    </w:p>
    <w:p>
      <w:pPr>
        <w:pStyle w:val="BodyText"/>
        <w:spacing w:before="9"/>
        <w:rPr>
          <w:sz w:val="17"/>
        </w:rPr>
      </w:pPr>
    </w:p>
    <w:p>
      <w:pPr>
        <w:pStyle w:val="BodyText"/>
        <w:spacing w:line="360" w:lineRule="auto"/>
        <w:ind w:left="102" w:right="120"/>
        <w:jc w:val="both"/>
      </w:pPr>
      <w:r>
        <w:rPr/>
        <w:t>También se comprometen a cumplir el Plan de Implementación del Johannesburgo y a propiciar el logro de las metas temporales, socioeconómicas y ambientales que contiene.</w:t>
      </w:r>
    </w:p>
    <w:p>
      <w:pPr>
        <w:spacing w:after="0" w:line="360" w:lineRule="auto"/>
        <w:jc w:val="both"/>
        <w:sectPr>
          <w:pgSz w:w="12240" w:h="15840"/>
          <w:pgMar w:header="0" w:footer="1003" w:top="1360" w:bottom="1200" w:left="1600" w:right="1580"/>
        </w:sectPr>
      </w:pPr>
    </w:p>
    <w:p>
      <w:pPr>
        <w:pStyle w:val="BodyText"/>
        <w:spacing w:line="360" w:lineRule="auto" w:before="53"/>
        <w:ind w:left="102" w:right="119"/>
        <w:jc w:val="both"/>
      </w:pPr>
      <w:r>
        <w:rPr/>
        <w:t>Finalmente “solemnemente” asumen, ante los pueblos del mundo y las generaciones que heredarán el planeta, el compromiso de asegurar que la esperanza colectiva del  desarrollo sostenible sea</w:t>
      </w:r>
      <w:r>
        <w:rPr>
          <w:spacing w:val="-14"/>
        </w:rPr>
        <w:t> </w:t>
      </w:r>
      <w:r>
        <w:rPr/>
        <w:t>materializada.</w:t>
      </w:r>
    </w:p>
    <w:p>
      <w:pPr>
        <w:pStyle w:val="BodyText"/>
        <w:spacing w:before="4"/>
        <w:rPr>
          <w:sz w:val="17"/>
        </w:rPr>
      </w:pPr>
    </w:p>
    <w:p>
      <w:pPr>
        <w:pStyle w:val="Heading6"/>
        <w:spacing w:line="360" w:lineRule="auto"/>
        <w:ind w:right="194"/>
      </w:pPr>
      <w:r>
        <w:rPr/>
        <w:t>ACUERDO DE COOPERACION AMBIENTAL ENTRE EL GOBIERNO DE LOS ESTADOS UNIDOS MEXICANOS Y EL GOBIERNO DE CANADA</w:t>
      </w:r>
    </w:p>
    <w:p>
      <w:pPr>
        <w:pStyle w:val="BodyText"/>
        <w:rPr>
          <w:b/>
          <w:sz w:val="18"/>
        </w:rPr>
      </w:pPr>
    </w:p>
    <w:p>
      <w:pPr>
        <w:pStyle w:val="BodyText"/>
        <w:spacing w:line="360" w:lineRule="auto"/>
        <w:ind w:left="102" w:right="119"/>
        <w:jc w:val="both"/>
      </w:pPr>
      <w:r>
        <w:rPr/>
        <w:t>El Gobierno de Canadá, el Gobierno de los Estados Unidos Mexicanos y el Gobierno de los Estados Unidos de América: convencidos de la importancia de conservar, proteger y mejorar el medio ambiente en sus territorios y de que la cooperación en estos terrenos es un elemento esencial para alcanzar el desarrollo sustentable, en beneficio de las generaciones presentes y futuras han acordado lo siguiente:</w:t>
      </w:r>
    </w:p>
    <w:p>
      <w:pPr>
        <w:pStyle w:val="BodyText"/>
        <w:spacing w:before="7"/>
        <w:rPr>
          <w:sz w:val="17"/>
        </w:rPr>
      </w:pPr>
    </w:p>
    <w:p>
      <w:pPr>
        <w:pStyle w:val="Heading6"/>
        <w:jc w:val="both"/>
      </w:pPr>
      <w:r>
        <w:rPr/>
        <w:t>Artículo 1: Objetivos</w:t>
      </w:r>
    </w:p>
    <w:p>
      <w:pPr>
        <w:pStyle w:val="BodyText"/>
        <w:spacing w:before="5"/>
        <w:rPr>
          <w:b/>
          <w:sz w:val="28"/>
        </w:rPr>
      </w:pPr>
    </w:p>
    <w:p>
      <w:pPr>
        <w:pStyle w:val="BodyText"/>
        <w:spacing w:before="1"/>
        <w:ind w:left="102"/>
        <w:jc w:val="both"/>
      </w:pPr>
      <w:r>
        <w:rPr/>
        <w:t>Los objetivos de este Acuerdo son:</w:t>
      </w:r>
    </w:p>
    <w:p>
      <w:pPr>
        <w:pStyle w:val="BodyText"/>
        <w:spacing w:before="3"/>
        <w:rPr>
          <w:sz w:val="28"/>
        </w:rPr>
      </w:pPr>
    </w:p>
    <w:p>
      <w:pPr>
        <w:pStyle w:val="ListParagraph"/>
        <w:numPr>
          <w:ilvl w:val="0"/>
          <w:numId w:val="346"/>
        </w:numPr>
        <w:tabs>
          <w:tab w:pos="448" w:val="left" w:leader="none"/>
        </w:tabs>
        <w:spacing w:line="362" w:lineRule="auto" w:before="0" w:after="0"/>
        <w:ind w:left="102" w:right="123" w:firstLine="0"/>
        <w:jc w:val="left"/>
        <w:rPr>
          <w:sz w:val="22"/>
        </w:rPr>
      </w:pPr>
      <w:r>
        <w:rPr>
          <w:sz w:val="22"/>
        </w:rPr>
        <w:t>alentar la protección y el mejoramiento del medio ambiente en territorio de las Partes, para el bienestar de las generaciones presentes y</w:t>
      </w:r>
      <w:r>
        <w:rPr>
          <w:spacing w:val="-15"/>
          <w:sz w:val="22"/>
        </w:rPr>
        <w:t> </w:t>
      </w:r>
      <w:r>
        <w:rPr>
          <w:sz w:val="22"/>
        </w:rPr>
        <w:t>futuras;</w:t>
      </w:r>
    </w:p>
    <w:p>
      <w:pPr>
        <w:pStyle w:val="BodyText"/>
        <w:spacing w:before="4"/>
        <w:rPr>
          <w:sz w:val="17"/>
        </w:rPr>
      </w:pPr>
    </w:p>
    <w:p>
      <w:pPr>
        <w:pStyle w:val="ListParagraph"/>
        <w:numPr>
          <w:ilvl w:val="0"/>
          <w:numId w:val="346"/>
        </w:numPr>
        <w:tabs>
          <w:tab w:pos="474" w:val="left" w:leader="none"/>
        </w:tabs>
        <w:spacing w:line="360" w:lineRule="auto" w:before="0" w:after="0"/>
        <w:ind w:left="102" w:right="117" w:firstLine="0"/>
        <w:jc w:val="left"/>
        <w:rPr>
          <w:sz w:val="22"/>
        </w:rPr>
      </w:pPr>
      <w:r>
        <w:rPr>
          <w:sz w:val="22"/>
        </w:rPr>
        <w:t>promover el desarrollo sustentable a partir de la cooperación y el apoyo mutuo en políticas ambientales y</w:t>
      </w:r>
      <w:r>
        <w:rPr>
          <w:spacing w:val="-5"/>
          <w:sz w:val="22"/>
        </w:rPr>
        <w:t> </w:t>
      </w:r>
      <w:r>
        <w:rPr>
          <w:sz w:val="22"/>
        </w:rPr>
        <w:t>económicas;</w:t>
      </w:r>
    </w:p>
    <w:p>
      <w:pPr>
        <w:pStyle w:val="BodyText"/>
        <w:spacing w:before="9"/>
        <w:rPr>
          <w:sz w:val="17"/>
        </w:rPr>
      </w:pPr>
    </w:p>
    <w:p>
      <w:pPr>
        <w:pStyle w:val="ListParagraph"/>
        <w:numPr>
          <w:ilvl w:val="0"/>
          <w:numId w:val="346"/>
        </w:numPr>
        <w:tabs>
          <w:tab w:pos="484" w:val="left" w:leader="none"/>
        </w:tabs>
        <w:spacing w:line="360" w:lineRule="auto" w:before="0" w:after="0"/>
        <w:ind w:left="102" w:right="120" w:firstLine="0"/>
        <w:jc w:val="left"/>
        <w:rPr>
          <w:sz w:val="22"/>
        </w:rPr>
      </w:pPr>
      <w:r>
        <w:rPr>
          <w:sz w:val="22"/>
        </w:rPr>
        <w:t>incrementar la cooperación entre las Partes encaminada a conservar, proteger y mejorar aún más el medio ambiente, incluidas la flora y la fauna</w:t>
      </w:r>
      <w:r>
        <w:rPr>
          <w:spacing w:val="-22"/>
          <w:sz w:val="22"/>
        </w:rPr>
        <w:t> </w:t>
      </w:r>
      <w:r>
        <w:rPr>
          <w:sz w:val="22"/>
        </w:rPr>
        <w:t>silvestres;</w:t>
      </w:r>
    </w:p>
    <w:p>
      <w:pPr>
        <w:pStyle w:val="BodyText"/>
        <w:spacing w:before="7"/>
        <w:rPr>
          <w:sz w:val="17"/>
        </w:rPr>
      </w:pPr>
    </w:p>
    <w:p>
      <w:pPr>
        <w:pStyle w:val="ListParagraph"/>
        <w:numPr>
          <w:ilvl w:val="0"/>
          <w:numId w:val="346"/>
        </w:numPr>
        <w:tabs>
          <w:tab w:pos="434" w:val="left" w:leader="none"/>
        </w:tabs>
        <w:spacing w:line="240" w:lineRule="auto" w:before="0" w:after="0"/>
        <w:ind w:left="433" w:right="0" w:hanging="331"/>
        <w:jc w:val="both"/>
        <w:rPr>
          <w:sz w:val="22"/>
        </w:rPr>
      </w:pPr>
      <w:r>
        <w:rPr>
          <w:sz w:val="22"/>
        </w:rPr>
        <w:t>apoyar las metas y los objetivos ambientales del</w:t>
      </w:r>
      <w:r>
        <w:rPr>
          <w:spacing w:val="-17"/>
          <w:sz w:val="22"/>
        </w:rPr>
        <w:t> </w:t>
      </w:r>
      <w:r>
        <w:rPr>
          <w:sz w:val="22"/>
        </w:rPr>
        <w:t>TLC;</w:t>
      </w:r>
    </w:p>
    <w:p>
      <w:pPr>
        <w:pStyle w:val="BodyText"/>
        <w:spacing w:before="5"/>
        <w:rPr>
          <w:sz w:val="28"/>
        </w:rPr>
      </w:pPr>
    </w:p>
    <w:p>
      <w:pPr>
        <w:pStyle w:val="ListParagraph"/>
        <w:numPr>
          <w:ilvl w:val="0"/>
          <w:numId w:val="346"/>
        </w:numPr>
        <w:tabs>
          <w:tab w:pos="434" w:val="left" w:leader="none"/>
        </w:tabs>
        <w:spacing w:line="240" w:lineRule="auto" w:before="1" w:after="0"/>
        <w:ind w:left="433" w:right="0" w:hanging="331"/>
        <w:jc w:val="both"/>
        <w:rPr>
          <w:sz w:val="22"/>
        </w:rPr>
      </w:pPr>
      <w:r>
        <w:rPr>
          <w:sz w:val="22"/>
        </w:rPr>
        <w:t>evitar la creación de distorsiones o de nuevas barreras en el</w:t>
      </w:r>
      <w:r>
        <w:rPr>
          <w:spacing w:val="-18"/>
          <w:sz w:val="22"/>
        </w:rPr>
        <w:t> </w:t>
      </w:r>
      <w:r>
        <w:rPr>
          <w:sz w:val="22"/>
        </w:rPr>
        <w:t>comercio;</w:t>
      </w:r>
    </w:p>
    <w:p>
      <w:pPr>
        <w:pStyle w:val="BodyText"/>
        <w:spacing w:before="3"/>
        <w:rPr>
          <w:sz w:val="28"/>
        </w:rPr>
      </w:pPr>
    </w:p>
    <w:p>
      <w:pPr>
        <w:pStyle w:val="ListParagraph"/>
        <w:numPr>
          <w:ilvl w:val="0"/>
          <w:numId w:val="346"/>
        </w:numPr>
        <w:tabs>
          <w:tab w:pos="521" w:val="left" w:leader="none"/>
          <w:tab w:pos="522" w:val="left" w:leader="none"/>
          <w:tab w:pos="1651" w:val="left" w:leader="none"/>
          <w:tab w:pos="2032" w:val="left" w:leader="none"/>
          <w:tab w:pos="3443" w:val="left" w:leader="none"/>
          <w:tab w:pos="4093" w:val="left" w:leader="none"/>
          <w:tab w:pos="5113" w:val="left" w:leader="none"/>
          <w:tab w:pos="5432" w:val="left" w:leader="none"/>
          <w:tab w:pos="6391" w:val="left" w:leader="none"/>
          <w:tab w:pos="6882" w:val="left" w:leader="none"/>
          <w:tab w:pos="7666" w:val="left" w:leader="none"/>
        </w:tabs>
        <w:spacing w:line="360" w:lineRule="auto" w:before="0" w:after="0"/>
        <w:ind w:left="102" w:right="123" w:firstLine="0"/>
        <w:jc w:val="left"/>
        <w:rPr>
          <w:sz w:val="22"/>
        </w:rPr>
      </w:pPr>
      <w:r>
        <w:rPr>
          <w:sz w:val="22"/>
        </w:rPr>
        <w:t>fortalecer</w:t>
        <w:tab/>
        <w:t>la</w:t>
        <w:tab/>
        <w:t>cooperación</w:t>
        <w:tab/>
        <w:t>para</w:t>
        <w:tab/>
        <w:t>elaborar</w:t>
        <w:tab/>
        <w:t>y</w:t>
        <w:tab/>
        <w:t>mejorar</w:t>
        <w:tab/>
        <w:t>las</w:t>
        <w:tab/>
        <w:t>leyes,</w:t>
        <w:tab/>
      </w:r>
      <w:r>
        <w:rPr>
          <w:spacing w:val="-1"/>
          <w:sz w:val="22"/>
        </w:rPr>
        <w:t>reglamentos, </w:t>
      </w:r>
      <w:r>
        <w:rPr>
          <w:sz w:val="22"/>
        </w:rPr>
        <w:t>procedimientos, políticas, y prácticas</w:t>
      </w:r>
      <w:r>
        <w:rPr>
          <w:spacing w:val="-16"/>
          <w:sz w:val="22"/>
        </w:rPr>
        <w:t> </w:t>
      </w:r>
      <w:r>
        <w:rPr>
          <w:sz w:val="22"/>
        </w:rPr>
        <w:t>ambientales;</w:t>
      </w:r>
    </w:p>
    <w:p>
      <w:pPr>
        <w:pStyle w:val="BodyText"/>
        <w:spacing w:before="10"/>
        <w:rPr>
          <w:sz w:val="17"/>
        </w:rPr>
      </w:pPr>
    </w:p>
    <w:p>
      <w:pPr>
        <w:pStyle w:val="ListParagraph"/>
        <w:numPr>
          <w:ilvl w:val="0"/>
          <w:numId w:val="346"/>
        </w:numPr>
        <w:tabs>
          <w:tab w:pos="434" w:val="left" w:leader="none"/>
        </w:tabs>
        <w:spacing w:line="240" w:lineRule="auto" w:before="0" w:after="0"/>
        <w:ind w:left="433" w:right="0" w:hanging="331"/>
        <w:jc w:val="both"/>
        <w:rPr>
          <w:sz w:val="22"/>
        </w:rPr>
      </w:pPr>
      <w:r>
        <w:rPr>
          <w:sz w:val="22"/>
        </w:rPr>
        <w:t>mejorar la observancia y la aplicación de las leyes y reglamentos</w:t>
      </w:r>
      <w:r>
        <w:rPr>
          <w:spacing w:val="-18"/>
          <w:sz w:val="22"/>
        </w:rPr>
        <w:t> </w:t>
      </w:r>
      <w:r>
        <w:rPr>
          <w:sz w:val="22"/>
        </w:rPr>
        <w:t>ambientales;</w:t>
      </w:r>
    </w:p>
    <w:p>
      <w:pPr>
        <w:pStyle w:val="BodyText"/>
        <w:spacing w:before="3"/>
        <w:rPr>
          <w:sz w:val="28"/>
        </w:rPr>
      </w:pPr>
    </w:p>
    <w:p>
      <w:pPr>
        <w:pStyle w:val="ListParagraph"/>
        <w:numPr>
          <w:ilvl w:val="0"/>
          <w:numId w:val="346"/>
        </w:numPr>
        <w:tabs>
          <w:tab w:pos="440" w:val="left" w:leader="none"/>
        </w:tabs>
        <w:spacing w:line="360" w:lineRule="auto" w:before="0" w:after="0"/>
        <w:ind w:left="102" w:right="121" w:firstLine="0"/>
        <w:jc w:val="left"/>
        <w:rPr>
          <w:sz w:val="22"/>
        </w:rPr>
      </w:pPr>
      <w:r>
        <w:rPr>
          <w:sz w:val="22"/>
        </w:rPr>
        <w:t>promover la transparencia y la participación de la sociedad en la elaboración de leyes, reglamentos y políticas</w:t>
      </w:r>
      <w:r>
        <w:rPr>
          <w:spacing w:val="-11"/>
          <w:sz w:val="22"/>
        </w:rPr>
        <w:t> </w:t>
      </w:r>
      <w:r>
        <w:rPr>
          <w:sz w:val="22"/>
        </w:rPr>
        <w:t>ambientales;</w:t>
      </w:r>
    </w:p>
    <w:p>
      <w:pPr>
        <w:pStyle w:val="BodyText"/>
        <w:spacing w:before="9"/>
        <w:rPr>
          <w:sz w:val="17"/>
        </w:rPr>
      </w:pPr>
    </w:p>
    <w:p>
      <w:pPr>
        <w:pStyle w:val="ListParagraph"/>
        <w:numPr>
          <w:ilvl w:val="0"/>
          <w:numId w:val="346"/>
        </w:numPr>
        <w:tabs>
          <w:tab w:pos="361" w:val="left" w:leader="none"/>
        </w:tabs>
        <w:spacing w:line="240" w:lineRule="auto" w:before="0" w:after="0"/>
        <w:ind w:left="360" w:right="0" w:hanging="258"/>
        <w:jc w:val="both"/>
        <w:rPr>
          <w:sz w:val="22"/>
        </w:rPr>
      </w:pPr>
      <w:r>
        <w:rPr>
          <w:sz w:val="22"/>
        </w:rPr>
        <w:t>promover medidas ambientales efectivas y económicamente</w:t>
      </w:r>
      <w:r>
        <w:rPr>
          <w:spacing w:val="-20"/>
          <w:sz w:val="22"/>
        </w:rPr>
        <w:t> </w:t>
      </w:r>
      <w:r>
        <w:rPr>
          <w:sz w:val="22"/>
        </w:rPr>
        <w:t>eficientes;</w:t>
      </w:r>
    </w:p>
    <w:p>
      <w:pPr>
        <w:pStyle w:val="BodyText"/>
        <w:spacing w:before="3"/>
        <w:rPr>
          <w:sz w:val="28"/>
        </w:rPr>
      </w:pPr>
    </w:p>
    <w:p>
      <w:pPr>
        <w:pStyle w:val="ListParagraph"/>
        <w:numPr>
          <w:ilvl w:val="0"/>
          <w:numId w:val="346"/>
        </w:numPr>
        <w:tabs>
          <w:tab w:pos="361" w:val="left" w:leader="none"/>
        </w:tabs>
        <w:spacing w:line="240" w:lineRule="auto" w:before="0" w:after="0"/>
        <w:ind w:left="360" w:right="0" w:hanging="258"/>
        <w:jc w:val="both"/>
        <w:rPr>
          <w:sz w:val="22"/>
        </w:rPr>
      </w:pPr>
      <w:r>
        <w:rPr>
          <w:sz w:val="22"/>
        </w:rPr>
        <w:t>promover políticas y prácticas para prevenir la</w:t>
      </w:r>
      <w:r>
        <w:rPr>
          <w:spacing w:val="-14"/>
          <w:sz w:val="22"/>
        </w:rPr>
        <w:t> </w:t>
      </w:r>
      <w:r>
        <w:rPr>
          <w:sz w:val="22"/>
        </w:rPr>
        <w:t>contaminación.</w:t>
      </w:r>
    </w:p>
    <w:p>
      <w:pPr>
        <w:spacing w:after="0" w:line="240" w:lineRule="auto"/>
        <w:jc w:val="both"/>
        <w:rPr>
          <w:sz w:val="22"/>
        </w:rPr>
        <w:sectPr>
          <w:pgSz w:w="12240" w:h="15840"/>
          <w:pgMar w:header="0" w:footer="1003" w:top="1360" w:bottom="1200" w:left="1600" w:right="1580"/>
        </w:sectPr>
      </w:pPr>
    </w:p>
    <w:p>
      <w:pPr>
        <w:pStyle w:val="Heading6"/>
        <w:spacing w:before="51"/>
        <w:jc w:val="both"/>
      </w:pPr>
      <w:r>
        <w:rPr/>
        <w:t>TRIBUNAL LATINOAMERICANO DEL AGUA</w:t>
      </w:r>
    </w:p>
    <w:p>
      <w:pPr>
        <w:pStyle w:val="BodyText"/>
        <w:spacing w:before="8"/>
        <w:rPr>
          <w:b/>
          <w:sz w:val="28"/>
        </w:rPr>
      </w:pPr>
    </w:p>
    <w:p>
      <w:pPr>
        <w:pStyle w:val="BodyText"/>
        <w:spacing w:line="360" w:lineRule="auto"/>
        <w:ind w:left="102" w:right="116"/>
        <w:jc w:val="both"/>
      </w:pPr>
      <w:r>
        <w:rPr/>
        <w:t>El Tribunal Latinoamericano del Agua es una instancia internacional, autónoma e independiente, de justicia ambiental, creada con el fin de contribuir a la solución de controversias relacionadas con los sistemas hídricos en América Latina. Fundamenta su actuación en principios de convivencia con la naturaleza, respeto a la dignidad humana y la solidaridad entre personas y organizaciones para la protección del agua. Es una plataforma de justicia alternativa que suma sus esfuerzos a los que realizan diferentes ciudadanos en otras instancias, administrativas o judiciales, para contribuir a la búsqueda de soluciones a las problemáticas hídricas que afectan a las y los latinoamericanos.</w:t>
      </w:r>
    </w:p>
    <w:p>
      <w:pPr>
        <w:pStyle w:val="BodyText"/>
        <w:spacing w:before="7"/>
        <w:rPr>
          <w:sz w:val="17"/>
        </w:rPr>
      </w:pPr>
    </w:p>
    <w:p>
      <w:pPr>
        <w:pStyle w:val="BodyText"/>
        <w:spacing w:line="360" w:lineRule="auto"/>
        <w:ind w:left="102" w:right="115"/>
        <w:jc w:val="both"/>
      </w:pPr>
      <w:r>
        <w:rPr/>
        <w:t>El Tribunal Latinoamericano del Agua es un organismo de naturaleza ética comprometido con la preservación del agua. Una de sus prioridades es garantizar el aprovechamiento  del agua como derecho humano para el disfrute de las generaciones actuales y futuras.  La legitimidad de este tribunal deriva tanto del carácter moral de sus resoluciones, así como del fundamento jurídico en que se basan. Los convenios, declaraciones y tratados internacionales sobre protección del ambiente son prioritarios en el accionar de esta instancia.</w:t>
      </w:r>
    </w:p>
    <w:p>
      <w:pPr>
        <w:pStyle w:val="BodyText"/>
        <w:spacing w:before="7"/>
        <w:rPr>
          <w:sz w:val="17"/>
        </w:rPr>
      </w:pPr>
    </w:p>
    <w:p>
      <w:pPr>
        <w:pStyle w:val="BodyText"/>
        <w:ind w:left="164"/>
        <w:jc w:val="both"/>
      </w:pPr>
      <w:r>
        <w:rPr/>
        <w:t>El Tribunal centra sus actividades en cuatro líneas de trabajo:</w:t>
      </w:r>
    </w:p>
    <w:p>
      <w:pPr>
        <w:pStyle w:val="BodyText"/>
        <w:spacing w:before="6"/>
        <w:rPr>
          <w:sz w:val="28"/>
        </w:rPr>
      </w:pPr>
    </w:p>
    <w:p>
      <w:pPr>
        <w:pStyle w:val="BodyText"/>
        <w:ind w:left="102"/>
        <w:jc w:val="both"/>
      </w:pPr>
      <w:r>
        <w:rPr/>
        <w:t>•Justicia   alternativa   ante   la   crisis   de   legalidad   imperante.   •Seguridad   ecológica.</w:t>
      </w:r>
    </w:p>
    <w:p>
      <w:pPr>
        <w:pStyle w:val="BodyText"/>
        <w:spacing w:line="360" w:lineRule="auto" w:before="126"/>
        <w:ind w:left="102" w:right="114"/>
        <w:jc w:val="both"/>
      </w:pPr>
      <w:r>
        <w:rPr/>
        <w:t>•Educación y sensibilización para la protección de los sistemas hídricos. •Seguridad hídrica y justo gobierno por el</w:t>
      </w:r>
      <w:r>
        <w:rPr>
          <w:spacing w:val="-10"/>
        </w:rPr>
        <w:t> </w:t>
      </w:r>
      <w:r>
        <w:rPr/>
        <w:t>agua.</w:t>
      </w:r>
    </w:p>
    <w:p>
      <w:pPr>
        <w:pStyle w:val="BodyText"/>
        <w:spacing w:before="7"/>
        <w:rPr>
          <w:sz w:val="17"/>
        </w:rPr>
      </w:pPr>
    </w:p>
    <w:p>
      <w:pPr>
        <w:pStyle w:val="BodyText"/>
        <w:spacing w:line="360" w:lineRule="auto"/>
        <w:ind w:left="102" w:right="113"/>
        <w:jc w:val="both"/>
      </w:pPr>
      <w:r>
        <w:rPr/>
        <w:t>Desde su fundación en 1998, el TLA ha celebrado siete audiencias de juzgamiento en el ámbito latinoamericano: dos de ellas en San José de Costa Rica (agosto-2000 y marzo- 2004), otra en México Distrito Federal (marzo-2006), una en Guadalajara (octubre-2007) y las últimas en Guatemala (septiembre-2008) y Argentina (2012). Así mismo, este tribunal realizó, con el apoyo de la Fundación Heinrich Böll, una audiencia en Estambul en marzo del 2009, la cual, se ocupó de atender situaciones de gran relevancia geopolítica,  tal como es el caso de los posibles represamientos en la cuenca de los ríos Tigris y Éufrates. Además, ha celebrado 2 audiencias locales: una en San Carlos, en la zona norte de Costa Rica (febrero-2004) y la otra en Managua, Nicaragua (junio-2004). A la fecha, el Tribunal Latinoamericano del Agua ha acogido 58 casos y ha atendido más de 250</w:t>
      </w:r>
      <w:r>
        <w:rPr>
          <w:spacing w:val="-19"/>
        </w:rPr>
        <w:t> </w:t>
      </w:r>
      <w:r>
        <w:rPr/>
        <w:t>consultas.</w:t>
      </w:r>
    </w:p>
    <w:p>
      <w:pPr>
        <w:spacing w:after="0" w:line="360" w:lineRule="auto"/>
        <w:jc w:val="both"/>
        <w:sectPr>
          <w:pgSz w:w="12240" w:h="15840"/>
          <w:pgMar w:header="0" w:footer="1003" w:top="1360" w:bottom="1200" w:left="1600" w:right="1580"/>
        </w:sectPr>
      </w:pPr>
    </w:p>
    <w:p>
      <w:pPr>
        <w:pStyle w:val="Heading6"/>
        <w:numPr>
          <w:ilvl w:val="1"/>
          <w:numId w:val="338"/>
        </w:numPr>
        <w:tabs>
          <w:tab w:pos="552" w:val="left" w:leader="none"/>
        </w:tabs>
        <w:spacing w:line="240" w:lineRule="auto" w:before="51" w:after="0"/>
        <w:ind w:left="551" w:right="0" w:hanging="429"/>
        <w:jc w:val="both"/>
      </w:pPr>
      <w:bookmarkStart w:name="_TOC_250008" w:id="65"/>
      <w:r>
        <w:rPr/>
        <w:t>MARCO JURÍDICO</w:t>
      </w:r>
      <w:r>
        <w:rPr>
          <w:spacing w:val="-17"/>
        </w:rPr>
        <w:t> </w:t>
      </w:r>
      <w:bookmarkEnd w:id="65"/>
      <w:r>
        <w:rPr/>
        <w:t>NACIONAL</w:t>
      </w:r>
    </w:p>
    <w:p>
      <w:pPr>
        <w:pStyle w:val="BodyText"/>
        <w:rPr>
          <w:b/>
          <w:sz w:val="21"/>
        </w:rPr>
      </w:pPr>
    </w:p>
    <w:p>
      <w:pPr>
        <w:pStyle w:val="BodyText"/>
        <w:spacing w:line="360" w:lineRule="auto"/>
        <w:ind w:left="122" w:right="115"/>
        <w:jc w:val="both"/>
      </w:pPr>
      <w:r>
        <w:rPr/>
        <w:t>En México existe una amplia legislación que compromete a la sociedad y al gobierno al cumplimiento y aplicación de la normatividad, enfocada al marco legal que  está compuesto por los instrumentos de derecho internacional ratificados por México, como por la legislación interna, está última está basada en una supremacía constitucional que fue dada por Kelsen bajo cuatro aspectos:</w:t>
      </w:r>
    </w:p>
    <w:p>
      <w:pPr>
        <w:pStyle w:val="BodyText"/>
        <w:spacing w:before="9"/>
        <w:rPr>
          <w:sz w:val="17"/>
        </w:rPr>
      </w:pPr>
    </w:p>
    <w:p>
      <w:pPr>
        <w:pStyle w:val="ListParagraph"/>
        <w:numPr>
          <w:ilvl w:val="0"/>
          <w:numId w:val="347"/>
        </w:numPr>
        <w:tabs>
          <w:tab w:pos="382" w:val="left" w:leader="none"/>
        </w:tabs>
        <w:spacing w:line="360" w:lineRule="auto" w:before="0" w:after="0"/>
        <w:ind w:left="122" w:right="115" w:firstLine="0"/>
        <w:jc w:val="both"/>
        <w:rPr>
          <w:sz w:val="22"/>
        </w:rPr>
      </w:pPr>
      <w:r>
        <w:rPr>
          <w:sz w:val="22"/>
        </w:rPr>
        <w:t>La relación existente entre la norma que regula la creación de otra y esta misma norma, puede presentarse como un vínculo de supra y subordinación, siendo estas figuras del lenguaje de índole</w:t>
      </w:r>
      <w:r>
        <w:rPr>
          <w:spacing w:val="-9"/>
          <w:sz w:val="22"/>
        </w:rPr>
        <w:t> </w:t>
      </w:r>
      <w:r>
        <w:rPr>
          <w:sz w:val="22"/>
        </w:rPr>
        <w:t>espacial.</w:t>
      </w:r>
    </w:p>
    <w:p>
      <w:pPr>
        <w:pStyle w:val="BodyText"/>
        <w:spacing w:before="10"/>
        <w:rPr>
          <w:sz w:val="17"/>
        </w:rPr>
      </w:pPr>
    </w:p>
    <w:p>
      <w:pPr>
        <w:pStyle w:val="ListParagraph"/>
        <w:numPr>
          <w:ilvl w:val="0"/>
          <w:numId w:val="347"/>
        </w:numPr>
        <w:tabs>
          <w:tab w:pos="399" w:val="left" w:leader="none"/>
        </w:tabs>
        <w:spacing w:line="360" w:lineRule="auto" w:before="0" w:after="0"/>
        <w:ind w:left="122" w:right="116" w:firstLine="0"/>
        <w:jc w:val="both"/>
        <w:rPr>
          <w:sz w:val="22"/>
        </w:rPr>
      </w:pPr>
      <w:r>
        <w:rPr>
          <w:sz w:val="22"/>
        </w:rPr>
        <w:t>La norma que determina la creación de otra, es superior a ésta; la creada de acuerdo con tal regulación, inferior a la</w:t>
      </w:r>
      <w:r>
        <w:rPr>
          <w:spacing w:val="-17"/>
          <w:sz w:val="22"/>
        </w:rPr>
        <w:t> </w:t>
      </w:r>
      <w:r>
        <w:rPr>
          <w:sz w:val="22"/>
        </w:rPr>
        <w:t>primera.</w:t>
      </w:r>
    </w:p>
    <w:p>
      <w:pPr>
        <w:pStyle w:val="BodyText"/>
        <w:spacing w:before="7"/>
        <w:rPr>
          <w:sz w:val="17"/>
        </w:rPr>
      </w:pPr>
    </w:p>
    <w:p>
      <w:pPr>
        <w:pStyle w:val="ListParagraph"/>
        <w:numPr>
          <w:ilvl w:val="0"/>
          <w:numId w:val="347"/>
        </w:numPr>
        <w:tabs>
          <w:tab w:pos="372" w:val="left" w:leader="none"/>
        </w:tabs>
        <w:spacing w:line="240" w:lineRule="auto" w:before="0" w:after="0"/>
        <w:ind w:left="371" w:right="0" w:hanging="249"/>
        <w:jc w:val="both"/>
        <w:rPr>
          <w:sz w:val="22"/>
        </w:rPr>
      </w:pPr>
      <w:r>
        <w:rPr>
          <w:sz w:val="22"/>
        </w:rPr>
        <w:t>La unidad de éstas háyase constituida, por el hecho de que la creación de una norma</w:t>
      </w:r>
      <w:r>
        <w:rPr>
          <w:spacing w:val="35"/>
          <w:sz w:val="22"/>
        </w:rPr>
        <w:t> </w:t>
      </w:r>
      <w:r>
        <w:rPr>
          <w:sz w:val="22"/>
        </w:rPr>
        <w:t>–</w:t>
      </w:r>
    </w:p>
    <w:p>
      <w:pPr>
        <w:pStyle w:val="BodyText"/>
        <w:spacing w:before="126"/>
        <w:ind w:left="122"/>
        <w:jc w:val="both"/>
      </w:pPr>
      <w:r>
        <w:rPr/>
        <w:t>la de grado más bajo- se encuentra determinada por otra -de grado superior-.</w:t>
      </w:r>
    </w:p>
    <w:p>
      <w:pPr>
        <w:pStyle w:val="BodyText"/>
        <w:spacing w:before="5"/>
        <w:rPr>
          <w:sz w:val="28"/>
        </w:rPr>
      </w:pPr>
    </w:p>
    <w:p>
      <w:pPr>
        <w:pStyle w:val="ListParagraph"/>
        <w:numPr>
          <w:ilvl w:val="0"/>
          <w:numId w:val="347"/>
        </w:numPr>
        <w:tabs>
          <w:tab w:pos="413" w:val="left" w:leader="none"/>
        </w:tabs>
        <w:spacing w:line="360" w:lineRule="auto" w:before="1" w:after="0"/>
        <w:ind w:left="122" w:right="115" w:firstLine="0"/>
        <w:jc w:val="both"/>
        <w:rPr>
          <w:sz w:val="22"/>
        </w:rPr>
      </w:pPr>
      <w:r>
        <w:rPr>
          <w:sz w:val="22"/>
        </w:rPr>
        <w:t>Lo que constituye la unidad del sistema es precisamente la circunstancia de que tal regreso termina en la norma de grado más alta, la norma básica, que representa la suprema razón de validez de todo el orden</w:t>
      </w:r>
      <w:r>
        <w:rPr>
          <w:spacing w:val="-12"/>
          <w:sz w:val="22"/>
        </w:rPr>
        <w:t> </w:t>
      </w:r>
      <w:r>
        <w:rPr>
          <w:sz w:val="22"/>
        </w:rPr>
        <w:t>jurídico.</w:t>
      </w:r>
    </w:p>
    <w:p>
      <w:pPr>
        <w:pStyle w:val="BodyText"/>
        <w:spacing w:before="7"/>
        <w:rPr>
          <w:sz w:val="17"/>
        </w:rPr>
      </w:pPr>
    </w:p>
    <w:p>
      <w:pPr>
        <w:pStyle w:val="BodyText"/>
        <w:spacing w:line="360" w:lineRule="auto"/>
        <w:ind w:left="122" w:right="112"/>
        <w:jc w:val="both"/>
      </w:pPr>
      <w:r>
        <w:rPr/>
        <w:t>En este sentido, Kelsen defendió una visión positivista que llamó teoría pura del derecho: un análisis del derecho como un fenómeno autónomo de consideraciones ideológicas o morales, del cual excluyó cualquier idea de derecho natural, por lo que trató al sistema de normas jerarquizadas como una pirámide de varios pisos que representa gráficamente la idea de sistema jurídico escalonado, donde la Constitución es la norma positiva de mayor jerarquía, la cual se encuentra en la cúspide de la pirámide jurídica y de la cual se deriva el fundamento de validez del resto de normas que se encuentran por debajo de ella, como se muestra en el siguiente</w:t>
      </w:r>
      <w:r>
        <w:rPr>
          <w:spacing w:val="-11"/>
        </w:rPr>
        <w:t> </w:t>
      </w:r>
      <w:r>
        <w:rPr/>
        <w:t>esquema:</w:t>
      </w:r>
    </w:p>
    <w:p>
      <w:pPr>
        <w:pStyle w:val="BodyText"/>
        <w:spacing w:before="2"/>
        <w:rPr>
          <w:sz w:val="17"/>
        </w:rPr>
      </w:pPr>
    </w:p>
    <w:p>
      <w:pPr>
        <w:pStyle w:val="Heading6"/>
        <w:ind w:left="122"/>
        <w:jc w:val="both"/>
        <w:rPr>
          <w:sz w:val="14"/>
        </w:rPr>
      </w:pPr>
      <w:r>
        <w:rPr/>
        <w:t>Constitución Política de los Estados Unidos Mexicanos</w:t>
      </w:r>
      <w:r>
        <w:rPr>
          <w:position w:val="8"/>
          <w:sz w:val="14"/>
        </w:rPr>
        <w:t>13</w:t>
      </w:r>
    </w:p>
    <w:p>
      <w:pPr>
        <w:pStyle w:val="BodyText"/>
        <w:rPr>
          <w:b/>
          <w:sz w:val="20"/>
        </w:rPr>
      </w:pPr>
    </w:p>
    <w:p>
      <w:pPr>
        <w:pStyle w:val="BodyText"/>
        <w:spacing w:before="2"/>
        <w:rPr>
          <w:b/>
          <w:sz w:val="23"/>
        </w:rPr>
      </w:pPr>
      <w:r>
        <w:rPr/>
        <w:pict>
          <v:line style="position:absolute;mso-position-horizontal-relative:page;mso-position-vertical-relative:paragraph;z-index:15952;mso-wrap-distance-left:0;mso-wrap-distance-right:0" from="85.103996pt,15.689933pt" to="229.123996pt,15.689933pt" stroked="true" strokeweight=".71997pt" strokecolor="#000000">
            <w10:wrap type="topAndBottom"/>
          </v:line>
        </w:pict>
      </w:r>
    </w:p>
    <w:p>
      <w:pPr>
        <w:pStyle w:val="BodyText"/>
        <w:spacing w:before="2"/>
        <w:rPr>
          <w:b/>
          <w:sz w:val="23"/>
        </w:rPr>
      </w:pPr>
    </w:p>
    <w:p>
      <w:pPr>
        <w:spacing w:line="240" w:lineRule="auto" w:before="81"/>
        <w:ind w:left="122" w:right="124" w:firstLine="0"/>
        <w:jc w:val="both"/>
        <w:rPr>
          <w:sz w:val="20"/>
        </w:rPr>
      </w:pPr>
      <w:r>
        <w:rPr>
          <w:position w:val="8"/>
          <w:sz w:val="14"/>
        </w:rPr>
        <w:t>13 </w:t>
      </w:r>
      <w:r>
        <w:rPr>
          <w:sz w:val="20"/>
        </w:rPr>
        <w:t>La Constitución puede ser entendida como un conjunto de normas a las que está sujeta la creación de normas por los órganos superiores del Estado. Lo cual hace necesario reconsiderar los criterios de validez de las normas, y en ese sentido podríamos establecer dos niveles de determinación de la validez: </w:t>
      </w:r>
      <w:r>
        <w:rPr>
          <w:i/>
          <w:sz w:val="20"/>
        </w:rPr>
        <w:t>1</w:t>
      </w:r>
      <w:r>
        <w:rPr>
          <w:sz w:val="20"/>
        </w:rPr>
        <w:t>. El nivel formal: donde la validez de la norma depende del seguimiento de los procesos de creación normativa establecidos en la norma superior, y de que dicha norma emane de la autoridad competente, y </w:t>
      </w:r>
      <w:r>
        <w:rPr>
          <w:i/>
          <w:sz w:val="20"/>
        </w:rPr>
        <w:t>2</w:t>
      </w:r>
      <w:r>
        <w:rPr>
          <w:sz w:val="20"/>
        </w:rPr>
        <w:t>. El nivel material: donde el contenido de la</w:t>
      </w:r>
    </w:p>
    <w:p>
      <w:pPr>
        <w:spacing w:after="0" w:line="240" w:lineRule="auto"/>
        <w:jc w:val="both"/>
        <w:rPr>
          <w:sz w:val="20"/>
        </w:rPr>
        <w:sectPr>
          <w:pgSz w:w="12240" w:h="15840"/>
          <w:pgMar w:header="0" w:footer="1003" w:top="1360" w:bottom="1200" w:left="1580" w:right="1580"/>
        </w:sectPr>
      </w:pPr>
    </w:p>
    <w:p>
      <w:pPr>
        <w:pStyle w:val="Heading6"/>
        <w:spacing w:before="51"/>
        <w:ind w:left="122"/>
        <w:jc w:val="both"/>
      </w:pPr>
      <w:r>
        <w:rPr/>
        <w:t>Artículo 1º</w:t>
      </w:r>
    </w:p>
    <w:p>
      <w:pPr>
        <w:pStyle w:val="BodyText"/>
        <w:spacing w:before="8"/>
        <w:rPr>
          <w:b/>
          <w:sz w:val="28"/>
        </w:rPr>
      </w:pPr>
    </w:p>
    <w:p>
      <w:pPr>
        <w:pStyle w:val="BodyText"/>
        <w:spacing w:line="276" w:lineRule="auto"/>
        <w:ind w:left="122" w:right="117"/>
        <w:jc w:val="both"/>
      </w:pPr>
      <w:r>
        <w:rPr/>
        <w:t>Francisco López (2015), menciona que hay una base constitucional para la gobernanza  en el art. 1 que dice que son derechos humanos los que tiene la constitución y los que tienen los tratados sobre derechos</w:t>
      </w:r>
      <w:r>
        <w:rPr>
          <w:spacing w:val="-11"/>
        </w:rPr>
        <w:t> </w:t>
      </w:r>
      <w:r>
        <w:rPr/>
        <w:t>humanos.</w:t>
      </w:r>
    </w:p>
    <w:p>
      <w:pPr>
        <w:pStyle w:val="BodyText"/>
        <w:spacing w:before="4"/>
        <w:rPr>
          <w:sz w:val="17"/>
        </w:rPr>
      </w:pPr>
    </w:p>
    <w:p>
      <w:pPr>
        <w:pStyle w:val="Heading6"/>
        <w:ind w:left="122"/>
        <w:jc w:val="both"/>
      </w:pPr>
      <w:r>
        <w:rPr/>
        <w:t>Artículo 2º</w:t>
      </w:r>
    </w:p>
    <w:p>
      <w:pPr>
        <w:pStyle w:val="BodyText"/>
        <w:spacing w:before="5"/>
        <w:rPr>
          <w:b/>
          <w:sz w:val="28"/>
        </w:rPr>
      </w:pPr>
    </w:p>
    <w:p>
      <w:pPr>
        <w:pStyle w:val="BodyText"/>
        <w:spacing w:line="360" w:lineRule="auto" w:before="1"/>
        <w:ind w:left="122" w:right="116"/>
        <w:jc w:val="both"/>
      </w:pPr>
      <w:r>
        <w:rPr/>
        <w:t>Por su parte Fernando Pérez (2013), menciona que en la Constitución Política de los Estados Unidos Mexicanos hay un reconocimiento de los derechos de los pueblos indígenas.</w:t>
      </w:r>
    </w:p>
    <w:p>
      <w:pPr>
        <w:pStyle w:val="BodyText"/>
        <w:spacing w:before="7"/>
        <w:rPr>
          <w:sz w:val="17"/>
        </w:rPr>
      </w:pPr>
    </w:p>
    <w:p>
      <w:pPr>
        <w:pStyle w:val="BodyText"/>
        <w:spacing w:line="360" w:lineRule="auto"/>
        <w:ind w:left="122" w:right="116"/>
        <w:jc w:val="both"/>
      </w:pPr>
      <w:r>
        <w:rPr/>
        <w:t>Entre las muy diversas disposiciones de sus dos apartados, sobresale el reconocimiento y la garantía a los pueblos y las comunidades indígenas a la libre determinación y, en consecuencia, a la autonomía:</w:t>
      </w:r>
    </w:p>
    <w:p>
      <w:pPr>
        <w:pStyle w:val="BodyText"/>
        <w:spacing w:before="9"/>
        <w:rPr>
          <w:sz w:val="17"/>
        </w:rPr>
      </w:pPr>
    </w:p>
    <w:p>
      <w:pPr>
        <w:pStyle w:val="BodyText"/>
        <w:ind w:left="122"/>
        <w:jc w:val="both"/>
      </w:pPr>
      <w:r>
        <w:rPr/>
        <w:t>“Conservar y mejorar el hábitat y preservar la integridad de sus tierras (…)”.</w:t>
      </w:r>
    </w:p>
    <w:p>
      <w:pPr>
        <w:pStyle w:val="BodyText"/>
        <w:spacing w:before="3"/>
        <w:rPr>
          <w:sz w:val="28"/>
        </w:rPr>
      </w:pPr>
    </w:p>
    <w:p>
      <w:pPr>
        <w:pStyle w:val="BodyText"/>
        <w:spacing w:line="360" w:lineRule="auto"/>
        <w:ind w:left="122" w:right="119"/>
        <w:jc w:val="both"/>
      </w:pPr>
      <w:r>
        <w:rPr/>
        <w:t>“Acceder (…) al uso y disfrute preferente de los recursos naturales de los lugares que habitan y ocupan las comunidades (…)”.</w:t>
      </w:r>
    </w:p>
    <w:p>
      <w:pPr>
        <w:pStyle w:val="BodyText"/>
        <w:spacing w:before="7"/>
        <w:rPr>
          <w:sz w:val="17"/>
        </w:rPr>
      </w:pPr>
    </w:p>
    <w:p>
      <w:pPr>
        <w:pStyle w:val="Heading6"/>
        <w:ind w:left="122"/>
        <w:jc w:val="both"/>
      </w:pPr>
      <w:r>
        <w:rPr/>
        <w:t>Artículo 4º (párrafo 6):</w:t>
      </w:r>
    </w:p>
    <w:p>
      <w:pPr>
        <w:pStyle w:val="BodyText"/>
        <w:spacing w:before="6"/>
        <w:rPr>
          <w:b/>
          <w:sz w:val="28"/>
        </w:rPr>
      </w:pPr>
    </w:p>
    <w:p>
      <w:pPr>
        <w:pStyle w:val="BodyText"/>
        <w:spacing w:line="360" w:lineRule="auto"/>
        <w:ind w:left="122" w:right="116"/>
        <w:jc w:val="both"/>
      </w:pPr>
      <w:r>
        <w:rPr/>
        <w:t>“Toda persona tiene derecho al acceso, disposición y saneamiento de agua para consumo personal y doméstico en forma suficiente, salubre, aceptable y asequible. El Estado garantizará este derecho y la ley definirá las bases, apoyos y modalidades para el acceso y uso equitativo y sustentable de los recursos hídricos, estableciendo la participación de la Federación, las entidades federativas y los municipios, así como la participación de la ciudadanía para la consecución de dichos fines.”</w:t>
      </w:r>
    </w:p>
    <w:p>
      <w:pPr>
        <w:pStyle w:val="BodyText"/>
        <w:spacing w:before="4"/>
        <w:rPr>
          <w:sz w:val="17"/>
        </w:rPr>
      </w:pPr>
    </w:p>
    <w:p>
      <w:pPr>
        <w:pStyle w:val="Heading6"/>
        <w:ind w:left="122"/>
        <w:jc w:val="both"/>
      </w:pPr>
      <w:r>
        <w:rPr/>
        <w:t>Artículos 25 y 26</w:t>
      </w:r>
    </w:p>
    <w:p>
      <w:pPr>
        <w:pStyle w:val="BodyText"/>
        <w:spacing w:before="8"/>
        <w:rPr>
          <w:b/>
          <w:sz w:val="28"/>
        </w:rPr>
      </w:pPr>
    </w:p>
    <w:p>
      <w:pPr>
        <w:pStyle w:val="BodyText"/>
        <w:spacing w:line="360" w:lineRule="auto"/>
        <w:ind w:left="122" w:right="118"/>
        <w:jc w:val="both"/>
      </w:pPr>
      <w:r>
        <w:rPr/>
        <w:t>Que garantiza que el desarrollo nacional debe ser integral y sustentable, y que se impulsara a los diversos sectores de la economía, sujetándolos al uso en  beneficio general de los recursos productivos cuidando su conservación y al medio ambiente.</w:t>
      </w: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15976;mso-wrap-distance-left:0;mso-wrap-distance-right:0" from="85.103996pt,9.926388pt" to="527.133996pt,9.926388pt" stroked="true" strokeweight=".71997pt" strokecolor="#000000">
            <w10:wrap type="topAndBottom"/>
          </v:line>
        </w:pict>
      </w:r>
    </w:p>
    <w:p>
      <w:pPr>
        <w:spacing w:before="68"/>
        <w:ind w:left="122" w:right="0" w:firstLine="0"/>
        <w:jc w:val="left"/>
        <w:rPr>
          <w:sz w:val="20"/>
        </w:rPr>
      </w:pPr>
      <w:r>
        <w:rPr>
          <w:sz w:val="20"/>
        </w:rPr>
        <w:t>norma inferior tiene que adecuarse al contenido de la norma a la que se encuentra jerárquicamente subordinada (</w:t>
      </w:r>
      <w:r>
        <w:rPr>
          <w:rFonts w:ascii="Calibri" w:hAnsi="Calibri"/>
          <w:sz w:val="22"/>
        </w:rPr>
        <w:t>IIJ-UNAM, 2011)</w:t>
      </w:r>
      <w:r>
        <w:rPr>
          <w:sz w:val="20"/>
        </w:rPr>
        <w:t>.</w:t>
      </w:r>
    </w:p>
    <w:p>
      <w:pPr>
        <w:spacing w:after="0"/>
        <w:jc w:val="left"/>
        <w:rPr>
          <w:sz w:val="20"/>
        </w:rPr>
        <w:sectPr>
          <w:pgSz w:w="12240" w:h="15840"/>
          <w:pgMar w:header="0" w:footer="1003" w:top="1360" w:bottom="1200" w:left="1580" w:right="1580"/>
        </w:sectPr>
      </w:pPr>
    </w:p>
    <w:p>
      <w:pPr>
        <w:pStyle w:val="BodyText"/>
        <w:spacing w:line="360" w:lineRule="auto" w:before="53"/>
        <w:ind w:left="102" w:right="116"/>
        <w:jc w:val="both"/>
      </w:pPr>
      <w:r>
        <w:rPr/>
        <w:t>Asignación al Estado de la rectoría del desarrollo nacional para garantizar que éste sea integral (adjetivo al que se le agregaría el de “sustentable”, en 1999), con la participación de los sectores privado y social con el sector público para impulsar el desarrollo económico nacional y “de acuerdo con la ley, para impulsar y organizar las áreas prioritarias del</w:t>
      </w:r>
      <w:r>
        <w:rPr>
          <w:spacing w:val="-6"/>
        </w:rPr>
        <w:t> </w:t>
      </w:r>
      <w:r>
        <w:rPr/>
        <w:t>desarrollo”.</w:t>
      </w:r>
    </w:p>
    <w:p>
      <w:pPr>
        <w:pStyle w:val="BodyText"/>
        <w:spacing w:before="4"/>
        <w:rPr>
          <w:sz w:val="17"/>
        </w:rPr>
      </w:pPr>
    </w:p>
    <w:p>
      <w:pPr>
        <w:pStyle w:val="Heading6"/>
        <w:jc w:val="both"/>
      </w:pPr>
      <w:r>
        <w:rPr/>
        <w:t>Artículo 27</w:t>
      </w:r>
    </w:p>
    <w:p>
      <w:pPr>
        <w:pStyle w:val="BodyText"/>
        <w:spacing w:before="8"/>
        <w:rPr>
          <w:b/>
          <w:sz w:val="28"/>
        </w:rPr>
      </w:pPr>
    </w:p>
    <w:p>
      <w:pPr>
        <w:pStyle w:val="BodyText"/>
        <w:spacing w:line="360" w:lineRule="auto"/>
        <w:ind w:left="102" w:right="119"/>
        <w:jc w:val="both"/>
      </w:pPr>
      <w:r>
        <w:rPr/>
        <w:t>Este artículo desde su texto original de 1917 se refiere a la regulación en beneficio social de los elementos naturales y cuidar de su conservación, además de otras menciones que se han adicionado y que se refieren al establecimiento de adecuadas provisiones, usos, reservas y destinos de tierras, aguas y bosques, así como a la preservación y  restauración del equilibrio ecológico para evitar la destrucción de los elementos</w:t>
      </w:r>
      <w:r>
        <w:rPr>
          <w:spacing w:val="-24"/>
        </w:rPr>
        <w:t> </w:t>
      </w:r>
      <w:r>
        <w:rPr/>
        <w:t>naturales.</w:t>
      </w:r>
    </w:p>
    <w:p>
      <w:pPr>
        <w:pStyle w:val="BodyText"/>
        <w:spacing w:before="9"/>
        <w:rPr>
          <w:sz w:val="17"/>
        </w:rPr>
      </w:pPr>
    </w:p>
    <w:p>
      <w:pPr>
        <w:pStyle w:val="BodyText"/>
        <w:spacing w:line="360" w:lineRule="auto"/>
        <w:ind w:left="102" w:right="120"/>
        <w:jc w:val="both"/>
      </w:pPr>
      <w:r>
        <w:rPr/>
        <w:t>Señala que “La propiedad de las tierras y aguas comprendidas dentro de los límites del territorio nacional, corresponde originariamente a la Nación, la cual ha tenido y tiene el derecho de transmitir el dominio de ellas a los particulares, constituyendo la propiedad privada.”</w:t>
      </w:r>
    </w:p>
    <w:p>
      <w:pPr>
        <w:pStyle w:val="BodyText"/>
        <w:spacing w:before="7"/>
        <w:rPr>
          <w:sz w:val="17"/>
        </w:rPr>
      </w:pPr>
    </w:p>
    <w:p>
      <w:pPr>
        <w:pStyle w:val="BodyText"/>
        <w:spacing w:line="360" w:lineRule="auto"/>
        <w:ind w:left="102" w:right="115"/>
        <w:jc w:val="both"/>
      </w:pPr>
      <w:r>
        <w:rPr/>
        <w:t>Al respecto, Francisco López (2015), menciona que para entender el contenido y el alcance del articulado de la Ley de Aguas Nacionales, es importante conocer que parte de las reformas estructurales que se han dado en el país después de la reforma al artículo 27 constitucional que se llevó acabo en 1992, donde se permitió la privatización de las tierras ejidales y comunales, pero en realidad se privatizaron muchas cosas como las minas, los minerales, los bosques, la biodiversidad, y ahora el agua.</w:t>
      </w:r>
    </w:p>
    <w:p>
      <w:pPr>
        <w:pStyle w:val="BodyText"/>
        <w:spacing w:before="4"/>
        <w:rPr>
          <w:sz w:val="17"/>
        </w:rPr>
      </w:pPr>
    </w:p>
    <w:p>
      <w:pPr>
        <w:pStyle w:val="Heading6"/>
        <w:jc w:val="both"/>
      </w:pPr>
      <w:r>
        <w:rPr/>
        <w:t>Artículo 42</w:t>
      </w:r>
    </w:p>
    <w:p>
      <w:pPr>
        <w:pStyle w:val="BodyText"/>
        <w:spacing w:before="8"/>
        <w:rPr>
          <w:b/>
          <w:sz w:val="28"/>
        </w:rPr>
      </w:pPr>
    </w:p>
    <w:p>
      <w:pPr>
        <w:pStyle w:val="BodyText"/>
        <w:spacing w:line="360" w:lineRule="auto"/>
        <w:ind w:left="102" w:right="124"/>
        <w:jc w:val="both"/>
      </w:pPr>
      <w:r>
        <w:rPr/>
        <w:t>Este artículo determina que el agua es considerada integrante del territorio nacional y por ende, su disponibilidad por parte del Estado debe encontrarse plenamente justificada.</w:t>
      </w:r>
    </w:p>
    <w:p>
      <w:pPr>
        <w:pStyle w:val="BodyText"/>
        <w:spacing w:before="5"/>
        <w:rPr>
          <w:sz w:val="17"/>
        </w:rPr>
      </w:pPr>
    </w:p>
    <w:p>
      <w:pPr>
        <w:pStyle w:val="Heading6"/>
        <w:jc w:val="both"/>
      </w:pPr>
      <w:r>
        <w:rPr/>
        <w:t>Artículo 48</w:t>
      </w:r>
    </w:p>
    <w:p>
      <w:pPr>
        <w:pStyle w:val="BodyText"/>
        <w:spacing w:before="8"/>
        <w:rPr>
          <w:b/>
          <w:sz w:val="28"/>
        </w:rPr>
      </w:pPr>
    </w:p>
    <w:p>
      <w:pPr>
        <w:pStyle w:val="BodyText"/>
        <w:spacing w:line="360" w:lineRule="auto"/>
        <w:ind w:left="102" w:right="112"/>
        <w:jc w:val="both"/>
      </w:pPr>
      <w:r>
        <w:rPr/>
        <w:t>En este artículo se menciona que existen aguas que dependen directamente del Gobierno de la Federación. Asimismo, reconoce que las entidades federativas tienen jurisdicción sobre sus islas. Esto resulta importante porque si la Constitución Política de los Estados Unidos Mexicanos determina en qué casos el Gobierno Federal ejerce jurisdicción  directa</w:t>
      </w:r>
    </w:p>
    <w:p>
      <w:pPr>
        <w:spacing w:after="0" w:line="360" w:lineRule="auto"/>
        <w:jc w:val="both"/>
        <w:sectPr>
          <w:pgSz w:w="12240" w:h="15840"/>
          <w:pgMar w:header="0" w:footer="1003" w:top="1360" w:bottom="1200" w:left="1600" w:right="1580"/>
        </w:sectPr>
      </w:pPr>
    </w:p>
    <w:p>
      <w:pPr>
        <w:pStyle w:val="BodyText"/>
        <w:spacing w:line="362" w:lineRule="auto" w:before="53"/>
        <w:ind w:left="102" w:right="119"/>
        <w:jc w:val="both"/>
      </w:pPr>
      <w:r>
        <w:rPr/>
        <w:t>sobre las aguas, ello implica que en otros, las entidades federativas pueden ejercer dicha facultad.</w:t>
      </w:r>
    </w:p>
    <w:p>
      <w:pPr>
        <w:pStyle w:val="Heading6"/>
        <w:spacing w:before="197"/>
        <w:jc w:val="both"/>
      </w:pPr>
      <w:r>
        <w:rPr/>
        <w:t>Artículo 73</w:t>
      </w:r>
    </w:p>
    <w:p>
      <w:pPr>
        <w:pStyle w:val="BodyText"/>
        <w:spacing w:before="5"/>
        <w:rPr>
          <w:b/>
          <w:sz w:val="28"/>
        </w:rPr>
      </w:pPr>
    </w:p>
    <w:p>
      <w:pPr>
        <w:pStyle w:val="BodyText"/>
        <w:spacing w:line="360" w:lineRule="auto" w:before="1"/>
        <w:ind w:left="102" w:right="116"/>
        <w:jc w:val="both"/>
      </w:pPr>
      <w:r>
        <w:rPr/>
        <w:t>Determina que el Consejo de Salubridad General puede establecer medidas para prevenir y combatir la contaminación, así como las facultades del Congreso para expedir leyes que establezcan la concurrencia del gobierno federal, de los de los estados y de los de los municipios en materia de protección al ambiente y preservación y restauración del equilibrio ecológico.</w:t>
      </w:r>
    </w:p>
    <w:p>
      <w:pPr>
        <w:pStyle w:val="BodyText"/>
        <w:spacing w:before="5"/>
        <w:rPr>
          <w:sz w:val="17"/>
        </w:rPr>
      </w:pPr>
    </w:p>
    <w:p>
      <w:pPr>
        <w:pStyle w:val="Heading6"/>
        <w:jc w:val="both"/>
      </w:pPr>
      <w:r>
        <w:rPr/>
        <w:t>Artículo 115</w:t>
      </w:r>
    </w:p>
    <w:p>
      <w:pPr>
        <w:pStyle w:val="BodyText"/>
        <w:spacing w:before="8"/>
        <w:rPr>
          <w:b/>
          <w:sz w:val="28"/>
        </w:rPr>
      </w:pPr>
    </w:p>
    <w:p>
      <w:pPr>
        <w:pStyle w:val="BodyText"/>
        <w:spacing w:line="360" w:lineRule="auto"/>
        <w:ind w:left="102" w:right="116"/>
        <w:jc w:val="both"/>
      </w:pPr>
      <w:r>
        <w:rPr/>
        <w:t>De acuerdo con Carlos Francisco Quintana (2013), este artículo desde 1917 hasta nuestros días ha tenido dos reformas la de febrero de 1983 y la de diciembre de 1999. En ambas reformas se otorgó a los municipios la capacidad legal de asociarse  entre ellos para el cumplimiento de sus funciones y para la prestación de los servicios públicos a su cargo.</w:t>
      </w:r>
    </w:p>
    <w:p>
      <w:pPr>
        <w:pStyle w:val="BodyText"/>
        <w:spacing w:before="9"/>
        <w:rPr>
          <w:sz w:val="17"/>
        </w:rPr>
      </w:pPr>
    </w:p>
    <w:p>
      <w:pPr>
        <w:pStyle w:val="BodyText"/>
        <w:spacing w:line="360" w:lineRule="auto"/>
        <w:ind w:left="102" w:right="115"/>
        <w:jc w:val="both"/>
      </w:pPr>
      <w:r>
        <w:rPr/>
        <w:t>En la fracción III de este artículo constitucional se admite la asociación entre municipios  de un mismo estado, e inclusive entre municipios de entidades diferentes. En el primer caso bastará con la autorización de los respectivos cabildos; en el segundo caso se hace necesaria la aprobación de los respectivos congresos</w:t>
      </w:r>
      <w:r>
        <w:rPr>
          <w:spacing w:val="-13"/>
        </w:rPr>
        <w:t> </w:t>
      </w:r>
      <w:r>
        <w:rPr/>
        <w:t>locales.</w:t>
      </w:r>
    </w:p>
    <w:p>
      <w:pPr>
        <w:pStyle w:val="BodyText"/>
        <w:spacing w:before="7"/>
        <w:rPr>
          <w:sz w:val="17"/>
        </w:rPr>
      </w:pPr>
    </w:p>
    <w:p>
      <w:pPr>
        <w:pStyle w:val="BodyText"/>
        <w:spacing w:line="360" w:lineRule="auto"/>
        <w:ind w:left="102" w:right="114"/>
        <w:jc w:val="both"/>
      </w:pPr>
      <w:r>
        <w:rPr/>
        <w:t>en su misma fracción III, señala que los municipios son responsables de: agua potable, drenaje, alcantarillado, tratamiento y disposición final de residuos; alumbrado público; limpia, recolección, traslado, tratamiento y disposición final de residuos; mercados y centrales de abastos; panteones; rastros; calles, parques y jardines y su equipamiento; seguridad pública, policía preventiva municipal y tránsito y que los municipios de un mismo estado, previo acuerdo entre sus ayuntamientos y con sujeción a la ley, podrán coordinarse y asociarse para la más eficaz prestación de los servicios públicos que les corresponda.</w:t>
      </w:r>
    </w:p>
    <w:p>
      <w:pPr>
        <w:pStyle w:val="BodyText"/>
        <w:spacing w:before="7"/>
        <w:rPr>
          <w:sz w:val="17"/>
        </w:rPr>
      </w:pPr>
    </w:p>
    <w:p>
      <w:pPr>
        <w:pStyle w:val="Heading6"/>
        <w:jc w:val="both"/>
      </w:pPr>
      <w:r>
        <w:rPr/>
        <w:t>Lineamientos secundarios del marco jurídico en materia de aguas</w:t>
      </w:r>
    </w:p>
    <w:p>
      <w:pPr>
        <w:pStyle w:val="BodyText"/>
        <w:spacing w:before="6"/>
        <w:rPr>
          <w:b/>
          <w:sz w:val="20"/>
        </w:rPr>
      </w:pPr>
    </w:p>
    <w:p>
      <w:pPr>
        <w:spacing w:before="0"/>
        <w:ind w:left="102" w:right="0" w:firstLine="0"/>
        <w:jc w:val="both"/>
        <w:rPr>
          <w:b/>
          <w:sz w:val="22"/>
        </w:rPr>
      </w:pPr>
      <w:r>
        <w:rPr>
          <w:b/>
          <w:sz w:val="22"/>
        </w:rPr>
        <w:t>Ley General de Equilibrio Ecológico y Protección al Ambiente (LGEEPA)</w:t>
      </w:r>
    </w:p>
    <w:p>
      <w:pPr>
        <w:spacing w:after="0"/>
        <w:jc w:val="both"/>
        <w:rPr>
          <w:sz w:val="22"/>
        </w:rPr>
        <w:sectPr>
          <w:pgSz w:w="12240" w:h="15840"/>
          <w:pgMar w:header="0" w:footer="1003" w:top="1360" w:bottom="1200" w:left="1600" w:right="1580"/>
        </w:sectPr>
      </w:pPr>
    </w:p>
    <w:p>
      <w:pPr>
        <w:pStyle w:val="BodyText"/>
        <w:spacing w:line="360" w:lineRule="auto" w:before="53"/>
        <w:ind w:left="102" w:right="117"/>
        <w:jc w:val="both"/>
      </w:pPr>
      <w:r>
        <w:rPr/>
        <w:t>Esta Ley data de 1988, pero ha tenido varias reformas destacando entre las más importantes, las publicadas en el Diario Oficial de la Federación el 13 de diciembre de 1996 y el 31 de diciembre del 2001 y el 5 de febrero de 2013.</w:t>
      </w:r>
    </w:p>
    <w:p>
      <w:pPr>
        <w:pStyle w:val="BodyText"/>
        <w:spacing w:before="7"/>
        <w:rPr>
          <w:sz w:val="17"/>
        </w:rPr>
      </w:pPr>
    </w:p>
    <w:p>
      <w:pPr>
        <w:pStyle w:val="BodyText"/>
        <w:spacing w:line="360" w:lineRule="auto"/>
        <w:ind w:left="102" w:right="118"/>
        <w:jc w:val="both"/>
      </w:pPr>
      <w:r>
        <w:rPr/>
        <w:t>En el Título I de la LGEEPA se establece como objeto de la misma, propiciar el desarrollo sustentable y establecer bases entre otros aspectos para:</w:t>
      </w:r>
    </w:p>
    <w:p>
      <w:pPr>
        <w:pStyle w:val="BodyText"/>
        <w:spacing w:before="9"/>
        <w:rPr>
          <w:sz w:val="17"/>
        </w:rPr>
      </w:pPr>
    </w:p>
    <w:p>
      <w:pPr>
        <w:pStyle w:val="ListParagraph"/>
        <w:numPr>
          <w:ilvl w:val="0"/>
          <w:numId w:val="348"/>
        </w:numPr>
        <w:tabs>
          <w:tab w:pos="299" w:val="left" w:leader="none"/>
        </w:tabs>
        <w:spacing w:line="360" w:lineRule="auto" w:before="0" w:after="0"/>
        <w:ind w:left="102" w:right="119" w:firstLine="0"/>
        <w:jc w:val="both"/>
        <w:rPr>
          <w:sz w:val="22"/>
        </w:rPr>
      </w:pPr>
      <w:r>
        <w:rPr>
          <w:sz w:val="22"/>
        </w:rPr>
        <w:t>Garantizar el derecho de toda persona a vivir en un medio ambiente adecuado para su desarrollo, salud y</w:t>
      </w:r>
      <w:r>
        <w:rPr>
          <w:spacing w:val="-5"/>
          <w:sz w:val="22"/>
        </w:rPr>
        <w:t> </w:t>
      </w:r>
      <w:r>
        <w:rPr>
          <w:sz w:val="22"/>
        </w:rPr>
        <w:t>bienestar;</w:t>
      </w:r>
    </w:p>
    <w:p>
      <w:pPr>
        <w:pStyle w:val="BodyText"/>
        <w:spacing w:before="7"/>
        <w:rPr>
          <w:sz w:val="17"/>
        </w:rPr>
      </w:pPr>
    </w:p>
    <w:p>
      <w:pPr>
        <w:pStyle w:val="ListParagraph"/>
        <w:numPr>
          <w:ilvl w:val="0"/>
          <w:numId w:val="348"/>
        </w:numPr>
        <w:tabs>
          <w:tab w:pos="349" w:val="left" w:leader="none"/>
        </w:tabs>
        <w:spacing w:line="240" w:lineRule="auto" w:before="0" w:after="0"/>
        <w:ind w:left="348" w:right="0" w:hanging="246"/>
        <w:jc w:val="both"/>
        <w:rPr>
          <w:sz w:val="22"/>
        </w:rPr>
      </w:pPr>
      <w:r>
        <w:rPr>
          <w:sz w:val="22"/>
        </w:rPr>
        <w:t>Definir los principios de la política ambiental y los instrumentos para su</w:t>
      </w:r>
      <w:r>
        <w:rPr>
          <w:spacing w:val="-30"/>
          <w:sz w:val="22"/>
        </w:rPr>
        <w:t> </w:t>
      </w:r>
      <w:r>
        <w:rPr>
          <w:sz w:val="22"/>
        </w:rPr>
        <w:t>aplicación;</w:t>
      </w:r>
    </w:p>
    <w:p>
      <w:pPr>
        <w:pStyle w:val="BodyText"/>
        <w:spacing w:before="6"/>
        <w:rPr>
          <w:sz w:val="28"/>
        </w:rPr>
      </w:pPr>
    </w:p>
    <w:p>
      <w:pPr>
        <w:pStyle w:val="ListParagraph"/>
        <w:numPr>
          <w:ilvl w:val="0"/>
          <w:numId w:val="348"/>
        </w:numPr>
        <w:tabs>
          <w:tab w:pos="409" w:val="left" w:leader="none"/>
        </w:tabs>
        <w:spacing w:line="240" w:lineRule="auto" w:before="0" w:after="0"/>
        <w:ind w:left="409" w:right="0" w:hanging="307"/>
        <w:jc w:val="both"/>
        <w:rPr>
          <w:sz w:val="22"/>
        </w:rPr>
      </w:pPr>
      <w:r>
        <w:rPr>
          <w:sz w:val="22"/>
        </w:rPr>
        <w:t>La preservación, la restauración y el mejoramiento del</w:t>
      </w:r>
      <w:r>
        <w:rPr>
          <w:spacing w:val="-20"/>
          <w:sz w:val="22"/>
        </w:rPr>
        <w:t> </w:t>
      </w:r>
      <w:r>
        <w:rPr>
          <w:sz w:val="22"/>
        </w:rPr>
        <w:t>ambiente;</w:t>
      </w:r>
    </w:p>
    <w:p>
      <w:pPr>
        <w:pStyle w:val="BodyText"/>
        <w:spacing w:before="3"/>
        <w:rPr>
          <w:sz w:val="28"/>
        </w:rPr>
      </w:pPr>
    </w:p>
    <w:p>
      <w:pPr>
        <w:pStyle w:val="ListParagraph"/>
        <w:numPr>
          <w:ilvl w:val="0"/>
          <w:numId w:val="348"/>
        </w:numPr>
        <w:tabs>
          <w:tab w:pos="500" w:val="left" w:leader="none"/>
        </w:tabs>
        <w:spacing w:line="360" w:lineRule="auto" w:before="0" w:after="0"/>
        <w:ind w:left="102" w:right="118" w:firstLine="0"/>
        <w:jc w:val="both"/>
        <w:rPr>
          <w:sz w:val="22"/>
        </w:rPr>
      </w:pPr>
      <w:r>
        <w:rPr>
          <w:sz w:val="22"/>
        </w:rPr>
        <w:t>La preservación y protección de la biodiversidad, así como el establecimiento y administración de las áreas naturales</w:t>
      </w:r>
      <w:r>
        <w:rPr>
          <w:spacing w:val="-14"/>
          <w:sz w:val="22"/>
        </w:rPr>
        <w:t> </w:t>
      </w:r>
      <w:r>
        <w:rPr>
          <w:sz w:val="22"/>
        </w:rPr>
        <w:t>protegidas.</w:t>
      </w:r>
    </w:p>
    <w:p>
      <w:pPr>
        <w:pStyle w:val="BodyText"/>
        <w:spacing w:before="9"/>
        <w:rPr>
          <w:sz w:val="17"/>
        </w:rPr>
      </w:pPr>
    </w:p>
    <w:p>
      <w:pPr>
        <w:pStyle w:val="ListParagraph"/>
        <w:numPr>
          <w:ilvl w:val="0"/>
          <w:numId w:val="348"/>
        </w:numPr>
        <w:tabs>
          <w:tab w:pos="419" w:val="left" w:leader="none"/>
        </w:tabs>
        <w:spacing w:line="360" w:lineRule="auto" w:before="0" w:after="0"/>
        <w:ind w:left="102" w:right="114" w:firstLine="0"/>
        <w:jc w:val="both"/>
        <w:rPr>
          <w:i/>
          <w:sz w:val="22"/>
        </w:rPr>
      </w:pPr>
      <w:r>
        <w:rPr>
          <w:i/>
          <w:sz w:val="22"/>
        </w:rPr>
        <w:t>El aprovechamiento sustentable, la preservación y, en su caso, la restauración del </w:t>
      </w:r>
      <w:r>
        <w:rPr>
          <w:i/>
          <w:sz w:val="22"/>
        </w:rPr>
        <w:t>suelo, el agua y los demás recursos naturales, de manera que sean compatibles la obtención de beneficios económicos y las actividades de la sociedad con la preservación de los</w:t>
      </w:r>
      <w:r>
        <w:rPr>
          <w:i/>
          <w:spacing w:val="-4"/>
          <w:sz w:val="22"/>
        </w:rPr>
        <w:t> </w:t>
      </w:r>
      <w:r>
        <w:rPr>
          <w:i/>
          <w:sz w:val="22"/>
        </w:rPr>
        <w:t>ecosistemas;</w:t>
      </w:r>
    </w:p>
    <w:p>
      <w:pPr>
        <w:pStyle w:val="BodyText"/>
        <w:spacing w:before="7"/>
        <w:rPr>
          <w:i/>
          <w:sz w:val="17"/>
        </w:rPr>
      </w:pPr>
    </w:p>
    <w:p>
      <w:pPr>
        <w:pStyle w:val="ListParagraph"/>
        <w:numPr>
          <w:ilvl w:val="0"/>
          <w:numId w:val="348"/>
        </w:numPr>
        <w:tabs>
          <w:tab w:pos="436" w:val="left" w:leader="none"/>
        </w:tabs>
        <w:spacing w:line="240" w:lineRule="auto" w:before="0" w:after="0"/>
        <w:ind w:left="435" w:right="0" w:hanging="333"/>
        <w:jc w:val="both"/>
        <w:rPr>
          <w:i/>
          <w:sz w:val="22"/>
        </w:rPr>
      </w:pPr>
      <w:r>
        <w:rPr>
          <w:i/>
          <w:sz w:val="22"/>
        </w:rPr>
        <w:t>La prevención y el control de la contaminación del aire, agua y</w:t>
      </w:r>
      <w:r>
        <w:rPr>
          <w:i/>
          <w:spacing w:val="-17"/>
          <w:sz w:val="22"/>
        </w:rPr>
        <w:t> </w:t>
      </w:r>
      <w:r>
        <w:rPr>
          <w:i/>
          <w:sz w:val="22"/>
        </w:rPr>
        <w:t>suelo;</w:t>
      </w:r>
    </w:p>
    <w:p>
      <w:pPr>
        <w:pStyle w:val="BodyText"/>
        <w:spacing w:before="5"/>
        <w:rPr>
          <w:i/>
          <w:sz w:val="28"/>
        </w:rPr>
      </w:pPr>
    </w:p>
    <w:p>
      <w:pPr>
        <w:pStyle w:val="ListParagraph"/>
        <w:numPr>
          <w:ilvl w:val="0"/>
          <w:numId w:val="348"/>
        </w:numPr>
        <w:tabs>
          <w:tab w:pos="546" w:val="left" w:leader="none"/>
        </w:tabs>
        <w:spacing w:line="360" w:lineRule="auto" w:before="1" w:after="0"/>
        <w:ind w:left="102" w:right="117" w:firstLine="0"/>
        <w:jc w:val="both"/>
        <w:rPr>
          <w:i/>
          <w:sz w:val="22"/>
        </w:rPr>
      </w:pPr>
      <w:r>
        <w:rPr>
          <w:i/>
          <w:sz w:val="22"/>
        </w:rPr>
        <w:t>Garantizar la participación corresponsable de las personas, en forma individual o </w:t>
      </w:r>
      <w:r>
        <w:rPr>
          <w:i/>
          <w:sz w:val="22"/>
        </w:rPr>
        <w:t>colectiva, en la preservación y restauración del equilibrio ecológico y la protección al ambiente;</w:t>
      </w:r>
    </w:p>
    <w:p>
      <w:pPr>
        <w:pStyle w:val="BodyText"/>
        <w:spacing w:before="9"/>
        <w:rPr>
          <w:i/>
          <w:sz w:val="17"/>
        </w:rPr>
      </w:pPr>
    </w:p>
    <w:p>
      <w:pPr>
        <w:pStyle w:val="ListParagraph"/>
        <w:numPr>
          <w:ilvl w:val="0"/>
          <w:numId w:val="348"/>
        </w:numPr>
        <w:tabs>
          <w:tab w:pos="638" w:val="left" w:leader="none"/>
        </w:tabs>
        <w:spacing w:line="360" w:lineRule="auto" w:before="0" w:after="0"/>
        <w:ind w:left="102" w:right="120" w:firstLine="0"/>
        <w:jc w:val="both"/>
        <w:rPr>
          <w:sz w:val="22"/>
        </w:rPr>
      </w:pPr>
      <w:r>
        <w:rPr>
          <w:sz w:val="22"/>
        </w:rPr>
        <w:t>- El ejercicio de las atribuciones que en materia ambiental corresponde a la Federación, los Estados, el Distrito Federal y los Municipios, bajo el principio de concurrencia previsto en el artículo 73 fracción XXIX - G de la</w:t>
      </w:r>
      <w:r>
        <w:rPr>
          <w:spacing w:val="-17"/>
          <w:sz w:val="22"/>
        </w:rPr>
        <w:t> </w:t>
      </w:r>
      <w:r>
        <w:rPr>
          <w:sz w:val="22"/>
        </w:rPr>
        <w:t>Constitución;</w:t>
      </w:r>
    </w:p>
    <w:p>
      <w:pPr>
        <w:pStyle w:val="BodyText"/>
        <w:spacing w:before="7"/>
        <w:rPr>
          <w:sz w:val="17"/>
        </w:rPr>
      </w:pPr>
    </w:p>
    <w:p>
      <w:pPr>
        <w:pStyle w:val="ListParagraph"/>
        <w:numPr>
          <w:ilvl w:val="0"/>
          <w:numId w:val="348"/>
        </w:numPr>
        <w:tabs>
          <w:tab w:pos="441" w:val="left" w:leader="none"/>
        </w:tabs>
        <w:spacing w:line="360" w:lineRule="auto" w:before="0" w:after="0"/>
        <w:ind w:left="102" w:right="118" w:firstLine="0"/>
        <w:jc w:val="both"/>
        <w:rPr>
          <w:sz w:val="22"/>
        </w:rPr>
      </w:pPr>
      <w:r>
        <w:rPr>
          <w:sz w:val="22"/>
        </w:rPr>
        <w:t>El establecimiento de los mecanismos de coordinación, inducción y concertación entre autoridades, entre éstas y los sectores social y privado, así como con personas y grupos sociales, en materia</w:t>
      </w:r>
      <w:r>
        <w:rPr>
          <w:spacing w:val="-10"/>
          <w:sz w:val="22"/>
        </w:rPr>
        <w:t> </w:t>
      </w:r>
      <w:r>
        <w:rPr>
          <w:sz w:val="22"/>
        </w:rPr>
        <w:t>ambiental.</w:t>
      </w:r>
    </w:p>
    <w:p>
      <w:pPr>
        <w:pStyle w:val="BodyText"/>
        <w:spacing w:before="7"/>
        <w:rPr>
          <w:sz w:val="17"/>
        </w:rPr>
      </w:pPr>
    </w:p>
    <w:p>
      <w:pPr>
        <w:pStyle w:val="Heading6"/>
        <w:jc w:val="both"/>
      </w:pPr>
      <w:r>
        <w:rPr/>
        <w:t>Ley General de Desarrollo Forestal Sustentable</w:t>
      </w:r>
    </w:p>
    <w:p>
      <w:pPr>
        <w:pStyle w:val="BodyText"/>
        <w:spacing w:before="5"/>
        <w:rPr>
          <w:b/>
          <w:sz w:val="28"/>
        </w:rPr>
      </w:pPr>
    </w:p>
    <w:p>
      <w:pPr>
        <w:pStyle w:val="BodyText"/>
        <w:spacing w:line="360" w:lineRule="auto"/>
        <w:ind w:left="102" w:right="120"/>
        <w:jc w:val="both"/>
      </w:pPr>
      <w:r>
        <w:rPr/>
        <w:t>La última reforma de esta Ley fue publicada en el Diario Oficial de la Federación el 25 de febrero de 2003 y es una Ley reglamentaria del Artículo 27 de la Constitución Política  </w:t>
      </w:r>
      <w:r>
        <w:rPr>
          <w:spacing w:val="51"/>
        </w:rPr>
        <w:t> </w:t>
      </w:r>
      <w:r>
        <w:rPr/>
        <w:t>de</w:t>
      </w:r>
    </w:p>
    <w:p>
      <w:pPr>
        <w:spacing w:after="0" w:line="360" w:lineRule="auto"/>
        <w:jc w:val="both"/>
        <w:sectPr>
          <w:footerReference w:type="default" r:id="rId701"/>
          <w:pgSz w:w="12240" w:h="15840"/>
          <w:pgMar w:footer="1003" w:header="0" w:top="1360" w:bottom="1200" w:left="1600" w:right="1580"/>
          <w:pgNumType w:start="790"/>
        </w:sectPr>
      </w:pPr>
    </w:p>
    <w:p>
      <w:pPr>
        <w:pStyle w:val="BodyText"/>
        <w:spacing w:line="360" w:lineRule="auto" w:before="53"/>
        <w:ind w:left="102" w:right="117"/>
        <w:jc w:val="both"/>
      </w:pPr>
      <w:r>
        <w:rPr/>
        <w:t>los Estados Unidos Mexicanos, sus disposiciones son de orden e interés público y de observancia general en todo el territorio nacional, y tiene por objeto regular y fomentar la conservación, protección, restauración, producción, ordenación, el cultivo, manejo y aprovechamiento de los ecosistemas forestales del país y sus recursos, así como  distribuir las competencias que en materia forestal correspondan a la Federación, los Estados, el Distrito Federal y los Municipios, bajo el principio de concurrencia previsto en el artículo 73 fracción XXIX inciso G de la Constitución Política de los Estados Unidos Mexicanos, con el fin de propiciar el desarrollo forestal sustentable. Cuando se trate de recursos forestales cuya propiedad corresponda a los pueblos y comunidades indígenas se observará lo dispuesto por el artículo 2 de la Constitución Política de los Estados Unidos</w:t>
      </w:r>
      <w:r>
        <w:rPr>
          <w:spacing w:val="-7"/>
        </w:rPr>
        <w:t> </w:t>
      </w:r>
      <w:r>
        <w:rPr/>
        <w:t>Mexicanos.</w:t>
      </w:r>
    </w:p>
    <w:p>
      <w:pPr>
        <w:pStyle w:val="BodyText"/>
        <w:spacing w:before="4"/>
        <w:rPr>
          <w:sz w:val="17"/>
        </w:rPr>
      </w:pPr>
    </w:p>
    <w:p>
      <w:pPr>
        <w:pStyle w:val="Heading6"/>
        <w:jc w:val="both"/>
      </w:pPr>
      <w:r>
        <w:rPr/>
        <w:t>Ley General de Vida Silvestre</w:t>
      </w:r>
    </w:p>
    <w:p>
      <w:pPr>
        <w:pStyle w:val="BodyText"/>
        <w:spacing w:before="5"/>
        <w:rPr>
          <w:b/>
          <w:sz w:val="28"/>
        </w:rPr>
      </w:pPr>
    </w:p>
    <w:p>
      <w:pPr>
        <w:pStyle w:val="BodyText"/>
        <w:spacing w:line="362" w:lineRule="auto" w:before="1"/>
        <w:ind w:left="102" w:right="118"/>
        <w:jc w:val="both"/>
      </w:pPr>
      <w:r>
        <w:rPr/>
        <w:t>Esta Ley fue publicada en el Diario Oficial de la Federación el 3 de julio de 2000 y reformada el 10 de enero de 2002 y el 26 de enero de 2015.</w:t>
      </w:r>
    </w:p>
    <w:p>
      <w:pPr>
        <w:pStyle w:val="BodyText"/>
        <w:spacing w:before="4"/>
        <w:rPr>
          <w:sz w:val="17"/>
        </w:rPr>
      </w:pPr>
    </w:p>
    <w:p>
      <w:pPr>
        <w:pStyle w:val="BodyText"/>
        <w:spacing w:line="360" w:lineRule="auto"/>
        <w:ind w:left="102" w:right="120"/>
        <w:jc w:val="both"/>
      </w:pPr>
      <w:r>
        <w:rPr/>
        <w:t>En su artículo 1, esta Ley señala que es de orden público y de interés social, reglamentaria del párrafo tercero del artículo 27 y de la fracción XXIX, inciso G del artículo 73 constitucionales. Su objeto es establecer la concurrencia del Gobierno Federal, de los gobiernos de los Estados y de los Municipios, en el ámbito de sus respectivas competencias, relativa a la conservación y aprovechamiento sustentable de la vida silvestre y su hábitat en el territorio de la República Mexicana y en las zonas en donde la Nación ejerce su</w:t>
      </w:r>
      <w:r>
        <w:rPr>
          <w:spacing w:val="-8"/>
        </w:rPr>
        <w:t> </w:t>
      </w:r>
      <w:r>
        <w:rPr/>
        <w:t>jurisdicción.</w:t>
      </w:r>
    </w:p>
    <w:p>
      <w:pPr>
        <w:pStyle w:val="BodyText"/>
        <w:spacing w:before="7"/>
        <w:rPr>
          <w:sz w:val="17"/>
        </w:rPr>
      </w:pPr>
    </w:p>
    <w:p>
      <w:pPr>
        <w:pStyle w:val="BodyText"/>
        <w:spacing w:line="360" w:lineRule="auto"/>
        <w:ind w:left="102" w:right="121"/>
        <w:jc w:val="both"/>
      </w:pPr>
      <w:r>
        <w:rPr/>
        <w:t>El aprovechamiento sustentable de los recursos forestales maderables y no maderables y de las especies cuyo medio de vida total sea el agua, será regulado por las leyes forestal y de pesca, respectivamente, salvo que se trate de especies o poblaciones en</w:t>
      </w:r>
      <w:r>
        <w:rPr>
          <w:spacing w:val="-19"/>
        </w:rPr>
        <w:t> </w:t>
      </w:r>
      <w:r>
        <w:rPr/>
        <w:t>riesgo.</w:t>
      </w:r>
    </w:p>
    <w:p>
      <w:pPr>
        <w:pStyle w:val="BodyText"/>
        <w:spacing w:before="7"/>
        <w:rPr>
          <w:sz w:val="17"/>
        </w:rPr>
      </w:pPr>
    </w:p>
    <w:p>
      <w:pPr>
        <w:pStyle w:val="Heading6"/>
        <w:jc w:val="both"/>
      </w:pPr>
      <w:r>
        <w:rPr/>
        <w:t>Ley General para la Prevención y Gestión Integral de los Residuos</w:t>
      </w:r>
    </w:p>
    <w:p>
      <w:pPr>
        <w:pStyle w:val="BodyText"/>
        <w:spacing w:before="6"/>
        <w:rPr>
          <w:b/>
          <w:sz w:val="28"/>
        </w:rPr>
      </w:pPr>
    </w:p>
    <w:p>
      <w:pPr>
        <w:pStyle w:val="BodyText"/>
        <w:spacing w:line="360" w:lineRule="auto"/>
        <w:ind w:left="102" w:right="113"/>
        <w:jc w:val="both"/>
      </w:pPr>
      <w:r>
        <w:rPr/>
        <w:t>Esta Ley fue publicada en el Diario Oficial de la Federación el 8 de octubre de 2003 y ha sido reformada el 22 de mayo de 2006, el 21de mayo de 2013 y el 19 de marzo de 2014 y el 5de diciembre de 2014.</w:t>
      </w:r>
    </w:p>
    <w:p>
      <w:pPr>
        <w:pStyle w:val="BodyText"/>
        <w:spacing w:before="9"/>
        <w:rPr>
          <w:sz w:val="17"/>
        </w:rPr>
      </w:pPr>
    </w:p>
    <w:p>
      <w:pPr>
        <w:pStyle w:val="BodyText"/>
        <w:spacing w:line="360" w:lineRule="auto"/>
        <w:ind w:left="102" w:right="119"/>
        <w:jc w:val="both"/>
      </w:pPr>
      <w:r>
        <w:rPr/>
        <w:t>Esta Ley en su artículo 1, señala que es reglamentaria de las disposiciones de la Constitución Política de los Estados Unidos Mexicanos que se refieren a la protección al</w:t>
      </w:r>
    </w:p>
    <w:p>
      <w:pPr>
        <w:spacing w:after="0" w:line="360" w:lineRule="auto"/>
        <w:jc w:val="both"/>
        <w:sectPr>
          <w:pgSz w:w="12240" w:h="15840"/>
          <w:pgMar w:header="0" w:footer="1003" w:top="1360" w:bottom="1200" w:left="1600" w:right="1580"/>
        </w:sectPr>
      </w:pPr>
    </w:p>
    <w:p>
      <w:pPr>
        <w:pStyle w:val="BodyText"/>
        <w:spacing w:line="360" w:lineRule="auto" w:before="53"/>
        <w:ind w:left="102" w:right="117"/>
        <w:jc w:val="both"/>
      </w:pPr>
      <w:r>
        <w:rPr/>
        <w:t>ambiente en materia de prevención y gestión integral de residuos, en el territorio nacional. Sus disposiciones son de orden público e interés social y tienen por objeto garantizar el derecho de toda persona al medio ambiente sano y propiciar el desarrollo sustentable a través de la prevención de la generación, la valorización y la gestión integral de los residuos peligrosos, de los residuos sólidos urbanos y de manejo especial; prevenir la contaminación de sitios con estos residuos y llevar a cabo su remediación, así como establecer las bases para:</w:t>
      </w:r>
    </w:p>
    <w:p>
      <w:pPr>
        <w:pStyle w:val="ListParagraph"/>
        <w:numPr>
          <w:ilvl w:val="0"/>
          <w:numId w:val="349"/>
        </w:numPr>
        <w:tabs>
          <w:tab w:pos="357" w:val="left" w:leader="none"/>
        </w:tabs>
        <w:spacing w:line="360" w:lineRule="auto" w:before="3" w:after="0"/>
        <w:ind w:left="102" w:right="117" w:firstLine="50"/>
        <w:jc w:val="both"/>
        <w:rPr>
          <w:sz w:val="22"/>
        </w:rPr>
      </w:pPr>
      <w:r>
        <w:rPr>
          <w:sz w:val="22"/>
        </w:rPr>
        <w:t>Aplicar los principios de valorización, responsabilidad compartida y manejo integral de residuos, bajo criterios de eficiencia ambiental, tecnológica, económica y social, los cuales deben de considerarse en el diseño de instrumentos, programas y planes de política ambiental para la gestión de</w:t>
      </w:r>
      <w:r>
        <w:rPr>
          <w:spacing w:val="-10"/>
          <w:sz w:val="22"/>
        </w:rPr>
        <w:t> </w:t>
      </w:r>
      <w:r>
        <w:rPr>
          <w:sz w:val="22"/>
        </w:rPr>
        <w:t>residuos;</w:t>
      </w:r>
    </w:p>
    <w:p>
      <w:pPr>
        <w:pStyle w:val="BodyText"/>
        <w:spacing w:before="7"/>
        <w:rPr>
          <w:sz w:val="17"/>
        </w:rPr>
      </w:pPr>
    </w:p>
    <w:p>
      <w:pPr>
        <w:pStyle w:val="ListParagraph"/>
        <w:numPr>
          <w:ilvl w:val="0"/>
          <w:numId w:val="349"/>
        </w:numPr>
        <w:tabs>
          <w:tab w:pos="378" w:val="left" w:leader="none"/>
        </w:tabs>
        <w:spacing w:line="360" w:lineRule="auto" w:before="0" w:after="0"/>
        <w:ind w:left="102" w:right="120" w:firstLine="0"/>
        <w:jc w:val="both"/>
        <w:rPr>
          <w:sz w:val="22"/>
        </w:rPr>
      </w:pPr>
      <w:r>
        <w:rPr>
          <w:sz w:val="22"/>
        </w:rPr>
        <w:t>Determinar los criterios que deberán de ser considerados en la generación y gestión integral de los residuos, para prevenir y controlar la contaminación del medio ambiente y la protección de la salud</w:t>
      </w:r>
      <w:r>
        <w:rPr>
          <w:spacing w:val="-9"/>
          <w:sz w:val="22"/>
        </w:rPr>
        <w:t> </w:t>
      </w:r>
      <w:r>
        <w:rPr>
          <w:sz w:val="22"/>
        </w:rPr>
        <w:t>humana;</w:t>
      </w:r>
    </w:p>
    <w:p>
      <w:pPr>
        <w:pStyle w:val="BodyText"/>
        <w:spacing w:before="9"/>
        <w:rPr>
          <w:sz w:val="17"/>
        </w:rPr>
      </w:pPr>
    </w:p>
    <w:p>
      <w:pPr>
        <w:pStyle w:val="ListParagraph"/>
        <w:numPr>
          <w:ilvl w:val="0"/>
          <w:numId w:val="349"/>
        </w:numPr>
        <w:tabs>
          <w:tab w:pos="467" w:val="left" w:leader="none"/>
        </w:tabs>
        <w:spacing w:line="360" w:lineRule="auto" w:before="0" w:after="0"/>
        <w:ind w:left="102" w:right="114" w:firstLine="0"/>
        <w:jc w:val="both"/>
        <w:rPr>
          <w:sz w:val="22"/>
        </w:rPr>
      </w:pPr>
      <w:r>
        <w:rPr>
          <w:sz w:val="22"/>
        </w:rPr>
        <w:t>Establecer los mecanismos de coordinación que, en materia de prevención de la generación, la valorización y la gestión integral de residuos, corresponden a la  Federación, las entidades federativas y los municipios, bajo el principio de concurrencia previsto en el artículo 73 fracción XXIX-G de la Constitución Política de los Estados  Unidos Mexicanos; como orientar y fomentar la prevención de su generación, la valorización y el desarrollo de sistemas de gestión integral de los</w:t>
      </w:r>
      <w:r>
        <w:rPr>
          <w:spacing w:val="-25"/>
          <w:sz w:val="22"/>
        </w:rPr>
        <w:t> </w:t>
      </w:r>
      <w:r>
        <w:rPr>
          <w:sz w:val="22"/>
        </w:rPr>
        <w:t>mismos;</w:t>
      </w:r>
    </w:p>
    <w:p>
      <w:pPr>
        <w:pStyle w:val="BodyText"/>
        <w:spacing w:before="9"/>
        <w:rPr>
          <w:sz w:val="17"/>
        </w:rPr>
      </w:pPr>
    </w:p>
    <w:p>
      <w:pPr>
        <w:pStyle w:val="ListParagraph"/>
        <w:numPr>
          <w:ilvl w:val="0"/>
          <w:numId w:val="350"/>
        </w:numPr>
        <w:tabs>
          <w:tab w:pos="400" w:val="left" w:leader="none"/>
        </w:tabs>
        <w:spacing w:line="360" w:lineRule="auto" w:before="0" w:after="0"/>
        <w:ind w:left="102" w:right="118" w:firstLine="0"/>
        <w:jc w:val="both"/>
        <w:rPr>
          <w:sz w:val="22"/>
        </w:rPr>
      </w:pPr>
      <w:r>
        <w:rPr>
          <w:sz w:val="22"/>
        </w:rPr>
        <w:t>Regular la generación y manejo integral de residuos peligrosos, así como establecer las disposiciones que serán consideradas por los gobiernos locales en la regulación de </w:t>
      </w:r>
      <w:r>
        <w:rPr>
          <w:spacing w:val="-3"/>
          <w:sz w:val="22"/>
        </w:rPr>
        <w:t>los </w:t>
      </w:r>
      <w:r>
        <w:rPr>
          <w:sz w:val="22"/>
        </w:rPr>
        <w:t>residuos que conforme a esta Ley sean de su</w:t>
      </w:r>
      <w:r>
        <w:rPr>
          <w:spacing w:val="-16"/>
          <w:sz w:val="22"/>
        </w:rPr>
        <w:t> </w:t>
      </w:r>
      <w:r>
        <w:rPr>
          <w:sz w:val="22"/>
        </w:rPr>
        <w:t>competencia;</w:t>
      </w:r>
    </w:p>
    <w:p>
      <w:pPr>
        <w:pStyle w:val="BodyText"/>
        <w:spacing w:before="7"/>
        <w:rPr>
          <w:sz w:val="17"/>
        </w:rPr>
      </w:pPr>
    </w:p>
    <w:p>
      <w:pPr>
        <w:pStyle w:val="ListParagraph"/>
        <w:numPr>
          <w:ilvl w:val="0"/>
          <w:numId w:val="350"/>
        </w:numPr>
        <w:tabs>
          <w:tab w:pos="553" w:val="left" w:leader="none"/>
        </w:tabs>
        <w:spacing w:line="360" w:lineRule="auto" w:before="0" w:after="0"/>
        <w:ind w:left="102" w:right="119" w:firstLine="0"/>
        <w:jc w:val="both"/>
        <w:rPr>
          <w:sz w:val="22"/>
        </w:rPr>
      </w:pPr>
      <w:r>
        <w:rPr>
          <w:sz w:val="22"/>
        </w:rPr>
        <w:t>Definir las responsabilidades de los productores, importadores, exportadores, comerciantes, consumidores y autoridades de los diferentes niveles de gobierno,  así como de los prestadores de servicios en el manejo integral de los</w:t>
      </w:r>
      <w:r>
        <w:rPr>
          <w:spacing w:val="-22"/>
          <w:sz w:val="22"/>
        </w:rPr>
        <w:t> </w:t>
      </w:r>
      <w:r>
        <w:rPr>
          <w:sz w:val="22"/>
        </w:rPr>
        <w:t>residuos;</w:t>
      </w:r>
    </w:p>
    <w:p>
      <w:pPr>
        <w:pStyle w:val="BodyText"/>
        <w:spacing w:before="7"/>
        <w:rPr>
          <w:sz w:val="17"/>
        </w:rPr>
      </w:pPr>
    </w:p>
    <w:p>
      <w:pPr>
        <w:pStyle w:val="ListParagraph"/>
        <w:numPr>
          <w:ilvl w:val="0"/>
          <w:numId w:val="350"/>
        </w:numPr>
        <w:tabs>
          <w:tab w:pos="575" w:val="left" w:leader="none"/>
        </w:tabs>
        <w:spacing w:line="360" w:lineRule="auto" w:before="0" w:after="0"/>
        <w:ind w:left="102" w:right="114" w:firstLine="0"/>
        <w:jc w:val="both"/>
        <w:rPr>
          <w:sz w:val="22"/>
        </w:rPr>
      </w:pPr>
      <w:r>
        <w:rPr>
          <w:sz w:val="22"/>
        </w:rPr>
        <w:t>Fomentar la valorización de residuos, así como el desarrollo de mercados de subproductos, bajo criterios de eficiencia ambiental, tecnológica y económica, y esquemas de financiamiento</w:t>
      </w:r>
      <w:r>
        <w:rPr>
          <w:spacing w:val="-4"/>
          <w:sz w:val="22"/>
        </w:rPr>
        <w:t> </w:t>
      </w:r>
      <w:r>
        <w:rPr>
          <w:sz w:val="22"/>
        </w:rPr>
        <w:t>adecuados;</w:t>
      </w:r>
    </w:p>
    <w:p>
      <w:pPr>
        <w:pStyle w:val="BodyText"/>
        <w:spacing w:before="9"/>
        <w:rPr>
          <w:sz w:val="17"/>
        </w:rPr>
      </w:pPr>
    </w:p>
    <w:p>
      <w:pPr>
        <w:pStyle w:val="ListParagraph"/>
        <w:numPr>
          <w:ilvl w:val="0"/>
          <w:numId w:val="350"/>
        </w:numPr>
        <w:tabs>
          <w:tab w:pos="613" w:val="left" w:leader="none"/>
        </w:tabs>
        <w:spacing w:line="360" w:lineRule="auto" w:before="0" w:after="0"/>
        <w:ind w:left="102" w:right="118" w:firstLine="0"/>
        <w:jc w:val="both"/>
        <w:rPr>
          <w:sz w:val="22"/>
        </w:rPr>
      </w:pPr>
      <w:r>
        <w:rPr>
          <w:sz w:val="22"/>
        </w:rPr>
        <w:t>Promover la participación corresponsable de todos los sectores sociales, en las acciones tendientes a prevenir la generación, valorización y lograr una gestión integral </w:t>
      </w:r>
      <w:r>
        <w:rPr>
          <w:spacing w:val="21"/>
          <w:sz w:val="22"/>
        </w:rPr>
        <w:t> </w:t>
      </w:r>
      <w:r>
        <w:rPr>
          <w:sz w:val="22"/>
        </w:rPr>
        <w:t>de</w:t>
      </w:r>
    </w:p>
    <w:p>
      <w:pPr>
        <w:spacing w:after="0" w:line="360" w:lineRule="auto"/>
        <w:jc w:val="both"/>
        <w:rPr>
          <w:sz w:val="22"/>
        </w:rPr>
        <w:sectPr>
          <w:pgSz w:w="12240" w:h="15840"/>
          <w:pgMar w:header="0" w:footer="1003" w:top="1360" w:bottom="1200" w:left="1600" w:right="1580"/>
        </w:sectPr>
      </w:pPr>
    </w:p>
    <w:p>
      <w:pPr>
        <w:pStyle w:val="BodyText"/>
        <w:spacing w:line="362" w:lineRule="auto" w:before="53"/>
        <w:ind w:left="102" w:right="119"/>
        <w:jc w:val="both"/>
      </w:pPr>
      <w:r>
        <w:rPr/>
        <w:t>los residuos ambientalmente adecuada, así como tecnológica, económica y socialmente viable, de conformidad con las disposiciones de esta Ley;</w:t>
      </w:r>
    </w:p>
    <w:p>
      <w:pPr>
        <w:pStyle w:val="BodyText"/>
        <w:spacing w:before="4"/>
        <w:rPr>
          <w:sz w:val="17"/>
        </w:rPr>
      </w:pPr>
    </w:p>
    <w:p>
      <w:pPr>
        <w:pStyle w:val="ListParagraph"/>
        <w:numPr>
          <w:ilvl w:val="0"/>
          <w:numId w:val="350"/>
        </w:numPr>
        <w:tabs>
          <w:tab w:pos="479" w:val="left" w:leader="none"/>
        </w:tabs>
        <w:spacing w:line="360" w:lineRule="auto" w:before="0" w:after="0"/>
        <w:ind w:left="102" w:right="118" w:firstLine="0"/>
        <w:jc w:val="both"/>
        <w:rPr>
          <w:sz w:val="22"/>
        </w:rPr>
      </w:pPr>
      <w:r>
        <w:rPr>
          <w:sz w:val="22"/>
        </w:rPr>
        <w:t>Crear un sistema de información relativa a la generación y gestión integral de los residuos peligrosos, sólidos urbanos y de manejo especial, así como de sitios contaminados y</w:t>
      </w:r>
      <w:r>
        <w:rPr>
          <w:spacing w:val="-5"/>
          <w:sz w:val="22"/>
        </w:rPr>
        <w:t> </w:t>
      </w:r>
      <w:r>
        <w:rPr>
          <w:sz w:val="22"/>
        </w:rPr>
        <w:t>remediados;</w:t>
      </w:r>
    </w:p>
    <w:p>
      <w:pPr>
        <w:pStyle w:val="BodyText"/>
        <w:spacing w:before="9"/>
        <w:rPr>
          <w:sz w:val="17"/>
        </w:rPr>
      </w:pPr>
    </w:p>
    <w:p>
      <w:pPr>
        <w:pStyle w:val="ListParagraph"/>
        <w:numPr>
          <w:ilvl w:val="0"/>
          <w:numId w:val="350"/>
        </w:numPr>
        <w:tabs>
          <w:tab w:pos="395" w:val="left" w:leader="none"/>
        </w:tabs>
        <w:spacing w:line="360" w:lineRule="auto" w:before="0" w:after="0"/>
        <w:ind w:left="102" w:right="122" w:firstLine="0"/>
        <w:jc w:val="both"/>
        <w:rPr>
          <w:sz w:val="22"/>
        </w:rPr>
      </w:pPr>
      <w:r>
        <w:rPr>
          <w:sz w:val="22"/>
        </w:rPr>
        <w:t>Prevenir la contaminación de sitios por el manejo de materiales y residuos, así como definir los criterios a los que se sujetará su</w:t>
      </w:r>
      <w:r>
        <w:rPr>
          <w:spacing w:val="-23"/>
          <w:sz w:val="22"/>
        </w:rPr>
        <w:t> </w:t>
      </w:r>
      <w:r>
        <w:rPr>
          <w:sz w:val="22"/>
        </w:rPr>
        <w:t>remediación;</w:t>
      </w:r>
    </w:p>
    <w:p>
      <w:pPr>
        <w:pStyle w:val="BodyText"/>
        <w:spacing w:before="7"/>
        <w:rPr>
          <w:sz w:val="17"/>
        </w:rPr>
      </w:pPr>
    </w:p>
    <w:p>
      <w:pPr>
        <w:pStyle w:val="ListParagraph"/>
        <w:numPr>
          <w:ilvl w:val="0"/>
          <w:numId w:val="350"/>
        </w:numPr>
        <w:tabs>
          <w:tab w:pos="436" w:val="left" w:leader="none"/>
        </w:tabs>
        <w:spacing w:line="240" w:lineRule="auto" w:before="0" w:after="0"/>
        <w:ind w:left="435" w:right="0" w:hanging="333"/>
        <w:jc w:val="both"/>
        <w:rPr>
          <w:sz w:val="22"/>
        </w:rPr>
      </w:pPr>
      <w:r>
        <w:rPr>
          <w:sz w:val="22"/>
        </w:rPr>
        <w:t>Regular la importación y exportación de</w:t>
      </w:r>
      <w:r>
        <w:rPr>
          <w:spacing w:val="-18"/>
          <w:sz w:val="22"/>
        </w:rPr>
        <w:t> </w:t>
      </w:r>
      <w:r>
        <w:rPr>
          <w:sz w:val="22"/>
        </w:rPr>
        <w:t>residuos;</w:t>
      </w:r>
    </w:p>
    <w:p>
      <w:pPr>
        <w:pStyle w:val="BodyText"/>
        <w:spacing w:before="6"/>
        <w:rPr>
          <w:sz w:val="28"/>
        </w:rPr>
      </w:pPr>
    </w:p>
    <w:p>
      <w:pPr>
        <w:pStyle w:val="ListParagraph"/>
        <w:numPr>
          <w:ilvl w:val="0"/>
          <w:numId w:val="350"/>
        </w:numPr>
        <w:tabs>
          <w:tab w:pos="510" w:val="left" w:leader="none"/>
        </w:tabs>
        <w:spacing w:line="360" w:lineRule="auto" w:before="0" w:after="0"/>
        <w:ind w:left="102" w:right="118" w:firstLine="0"/>
        <w:jc w:val="both"/>
        <w:rPr>
          <w:sz w:val="22"/>
        </w:rPr>
      </w:pPr>
      <w:r>
        <w:rPr>
          <w:sz w:val="22"/>
        </w:rPr>
        <w:t>Fortalecer la investigación y desarrollo científico, así como la innovación tecnológica, para reducir la generación de residuos y diseñar alternativas para su tratamiento, orientadas a procesos productivos, más limpios,</w:t>
      </w:r>
      <w:r>
        <w:rPr>
          <w:spacing w:val="-8"/>
          <w:sz w:val="22"/>
        </w:rPr>
        <w:t> </w:t>
      </w:r>
      <w:r>
        <w:rPr>
          <w:sz w:val="22"/>
        </w:rPr>
        <w:t>y</w:t>
      </w:r>
    </w:p>
    <w:p>
      <w:pPr>
        <w:pStyle w:val="BodyText"/>
        <w:spacing w:before="7"/>
        <w:rPr>
          <w:sz w:val="17"/>
        </w:rPr>
      </w:pPr>
    </w:p>
    <w:p>
      <w:pPr>
        <w:pStyle w:val="ListParagraph"/>
        <w:numPr>
          <w:ilvl w:val="0"/>
          <w:numId w:val="350"/>
        </w:numPr>
        <w:tabs>
          <w:tab w:pos="563" w:val="left" w:leader="none"/>
        </w:tabs>
        <w:spacing w:line="360" w:lineRule="auto" w:before="0" w:after="0"/>
        <w:ind w:left="102" w:right="119" w:firstLine="0"/>
        <w:jc w:val="both"/>
        <w:rPr>
          <w:sz w:val="22"/>
        </w:rPr>
      </w:pPr>
      <w:r>
        <w:rPr>
          <w:sz w:val="22"/>
        </w:rPr>
        <w:t>Establecer medidas de control, medidas correctivas y de seguridad para garantizar el cumplimiento y la aplicación de esta Ley y las disposiciones que de ella se deriven, así como para la imposición de las sanciones que</w:t>
      </w:r>
      <w:r>
        <w:rPr>
          <w:spacing w:val="-11"/>
          <w:sz w:val="22"/>
        </w:rPr>
        <w:t> </w:t>
      </w:r>
      <w:r>
        <w:rPr>
          <w:sz w:val="22"/>
        </w:rPr>
        <w:t>corresponda.</w:t>
      </w:r>
    </w:p>
    <w:p>
      <w:pPr>
        <w:pStyle w:val="BodyText"/>
        <w:spacing w:before="4"/>
        <w:rPr>
          <w:sz w:val="17"/>
        </w:rPr>
      </w:pPr>
    </w:p>
    <w:p>
      <w:pPr>
        <w:pStyle w:val="Heading6"/>
        <w:jc w:val="both"/>
      </w:pPr>
      <w:r>
        <w:rPr/>
        <w:t>Ley de Aguas Nacionales</w:t>
      </w:r>
    </w:p>
    <w:p>
      <w:pPr>
        <w:pStyle w:val="BodyText"/>
        <w:spacing w:before="6"/>
        <w:rPr>
          <w:b/>
          <w:sz w:val="28"/>
        </w:rPr>
      </w:pPr>
    </w:p>
    <w:p>
      <w:pPr>
        <w:pStyle w:val="BodyText"/>
        <w:spacing w:line="360" w:lineRule="auto"/>
        <w:ind w:left="102" w:right="114"/>
        <w:jc w:val="both"/>
      </w:pPr>
      <w:r>
        <w:rPr/>
        <w:t>Esta Ley fue Ley publicada en el Diario Oficial de la Federación el 1º de diciembre de  1992 y ha tenido reformas el 29 de abril de 2004, el 20 de junio de 2011, el 8 de junio de 2012 y la última reforma fue el 11 de agosto de 2014. En su artículo 1, se señala que esta Ley es reglamentaria del Artículo 27 de la Constitución Política de los Estados Unidos Mexicanos en materia de aguas nacionales; es de observancia general en todo el territorio nacional, sus disposiciones son de orden público e interés social y tiene por objeto regular laexplotación, uso o aprovechamiento de dichas aguas, su distribución y control, así como la preservación de su cantidad y calidad para lograr su desarrollo integral</w:t>
      </w:r>
      <w:r>
        <w:rPr>
          <w:spacing w:val="-17"/>
        </w:rPr>
        <w:t> </w:t>
      </w:r>
      <w:r>
        <w:rPr/>
        <w:t>sustentable.</w:t>
      </w:r>
    </w:p>
    <w:p>
      <w:pPr>
        <w:pStyle w:val="BodyText"/>
        <w:spacing w:before="10"/>
        <w:rPr>
          <w:sz w:val="17"/>
        </w:rPr>
      </w:pPr>
    </w:p>
    <w:p>
      <w:pPr>
        <w:pStyle w:val="BodyText"/>
        <w:spacing w:line="360" w:lineRule="auto"/>
        <w:ind w:left="102" w:right="119"/>
        <w:jc w:val="both"/>
      </w:pPr>
      <w:r>
        <w:rPr/>
        <w:t>En el artículo 2, se menciona que las disposiciones de esta Ley son aplicables a todas las aguas nacionales, sean superficiales o del subsuelo. Estas disposiciones también son aplicables a los bienes nacionales que la presente Ley señala.</w:t>
      </w:r>
    </w:p>
    <w:p>
      <w:pPr>
        <w:pStyle w:val="BodyText"/>
        <w:spacing w:before="7"/>
        <w:rPr>
          <w:sz w:val="17"/>
        </w:rPr>
      </w:pPr>
    </w:p>
    <w:p>
      <w:pPr>
        <w:pStyle w:val="BodyText"/>
        <w:ind w:left="102"/>
        <w:jc w:val="both"/>
      </w:pPr>
      <w:r>
        <w:rPr/>
        <w:t>En el artículo 3, se señala que para los efectos de esta Ley se entenderá por:</w:t>
      </w:r>
    </w:p>
    <w:p>
      <w:pPr>
        <w:pStyle w:val="BodyText"/>
        <w:spacing w:before="5"/>
        <w:rPr>
          <w:sz w:val="28"/>
        </w:rPr>
      </w:pPr>
    </w:p>
    <w:p>
      <w:pPr>
        <w:pStyle w:val="BodyText"/>
        <w:spacing w:line="360" w:lineRule="auto"/>
        <w:ind w:left="102" w:right="114"/>
        <w:jc w:val="both"/>
      </w:pPr>
      <w:r>
        <w:rPr/>
        <w:t>XIII. "Concesión": Título que otorga el Ejecutivo Federal, a través de "la Comisión" o del Organismo de Cuenca que corresponda, conforme a sus respectivas competencias,   para</w:t>
      </w:r>
    </w:p>
    <w:p>
      <w:pPr>
        <w:spacing w:after="0" w:line="360" w:lineRule="auto"/>
        <w:jc w:val="both"/>
        <w:sectPr>
          <w:pgSz w:w="12240" w:h="15840"/>
          <w:pgMar w:header="0" w:footer="1003" w:top="1360" w:bottom="1200" w:left="1600" w:right="1580"/>
        </w:sectPr>
      </w:pPr>
    </w:p>
    <w:p>
      <w:pPr>
        <w:pStyle w:val="BodyText"/>
        <w:spacing w:line="360" w:lineRule="auto" w:before="53"/>
        <w:ind w:left="102" w:right="120"/>
        <w:jc w:val="both"/>
      </w:pPr>
      <w:r>
        <w:rPr/>
        <w:t>la explotación, uso o aprovechamiento de las aguas nacionales, y de sus bienes públicos inherentes, a las personas físicas o morales de carácter público y privado, excepto los títulos de asignación;</w:t>
      </w:r>
    </w:p>
    <w:p>
      <w:pPr>
        <w:pStyle w:val="BodyText"/>
        <w:spacing w:before="7"/>
        <w:rPr>
          <w:sz w:val="17"/>
        </w:rPr>
      </w:pPr>
    </w:p>
    <w:p>
      <w:pPr>
        <w:pStyle w:val="ListParagraph"/>
        <w:numPr>
          <w:ilvl w:val="0"/>
          <w:numId w:val="351"/>
        </w:numPr>
        <w:tabs>
          <w:tab w:pos="892" w:val="left" w:leader="none"/>
        </w:tabs>
        <w:spacing w:line="360" w:lineRule="auto" w:before="0" w:after="0"/>
        <w:ind w:left="102" w:right="116" w:firstLine="0"/>
        <w:jc w:val="both"/>
        <w:rPr>
          <w:sz w:val="22"/>
        </w:rPr>
      </w:pPr>
      <w:r>
        <w:rPr>
          <w:sz w:val="22"/>
        </w:rPr>
        <w:t>"Gestión del Agua": Proceso sustentado en el conjunto de principios, políticas, actos, recursos,instrumentos, normas formales y no formales, bienes, recursos, derechos, atribuciones yresponsabilidades, mediante el cual coordinadamente el Estado, los usuarios del agua y lasorganizaciones de la sociedad, promueven e instrumentan para lograr el desarrollo sustentable enbeneficio de los seres humanos y su medio social, económico y ambiental, (1) el control y manejo delagua y las cuencas hidrológicas, incluyendo los acuíferos, por ende su distribución y administración, (2) laregulación de la explotación, uso o aprovechamiento del agua, y (3) la preservación y sustentabilidad delos recursos hídricos en cantidad y calidad, considerando los riesgos ante la ocurrencia de fenómenos hidrometeorológicos extraordinarios y daños a ecosistemas vitales y al medio ambiente. La gestión del agua comprende en su totalidad a la administración gubernamental del</w:t>
      </w:r>
      <w:r>
        <w:rPr>
          <w:spacing w:val="-9"/>
          <w:sz w:val="22"/>
        </w:rPr>
        <w:t> </w:t>
      </w:r>
      <w:r>
        <w:rPr>
          <w:sz w:val="22"/>
        </w:rPr>
        <w:t>agua;</w:t>
      </w:r>
    </w:p>
    <w:p>
      <w:pPr>
        <w:pStyle w:val="BodyText"/>
        <w:spacing w:before="9"/>
        <w:rPr>
          <w:sz w:val="17"/>
        </w:rPr>
      </w:pPr>
    </w:p>
    <w:p>
      <w:pPr>
        <w:pStyle w:val="ListParagraph"/>
        <w:numPr>
          <w:ilvl w:val="0"/>
          <w:numId w:val="351"/>
        </w:numPr>
        <w:tabs>
          <w:tab w:pos="745" w:val="left" w:leader="none"/>
        </w:tabs>
        <w:spacing w:line="360" w:lineRule="auto" w:before="0" w:after="0"/>
        <w:ind w:left="102" w:right="117" w:firstLine="0"/>
        <w:jc w:val="both"/>
        <w:rPr>
          <w:sz w:val="22"/>
        </w:rPr>
      </w:pPr>
      <w:r>
        <w:rPr>
          <w:sz w:val="22"/>
        </w:rPr>
        <w:t>"Gestión Integrada de los Recursos Hídricos": Proceso que promueve la gestión y desarrollo coordinado del agua, la tierra, los recursos relacionados con éstos y el ambiente, con el fin de maximizar el bienestar social y económico equitativamente sin comprometer la sustentabilidad de los ecosistemas vitales. Dicha gestión está íntimamente vinculada con el desarrollo sustentable. Para la aplicación de esta Ley en relación con este concepto se consideran primordialmente agua y</w:t>
      </w:r>
      <w:r>
        <w:rPr>
          <w:spacing w:val="-20"/>
          <w:sz w:val="22"/>
        </w:rPr>
        <w:t> </w:t>
      </w:r>
      <w:r>
        <w:rPr>
          <w:sz w:val="22"/>
        </w:rPr>
        <w:t>bosque;</w:t>
      </w:r>
    </w:p>
    <w:p>
      <w:pPr>
        <w:pStyle w:val="BodyText"/>
        <w:spacing w:before="9"/>
        <w:rPr>
          <w:sz w:val="17"/>
        </w:rPr>
      </w:pPr>
    </w:p>
    <w:p>
      <w:pPr>
        <w:pStyle w:val="BodyText"/>
        <w:spacing w:line="360" w:lineRule="auto"/>
        <w:ind w:left="102" w:right="120"/>
        <w:jc w:val="both"/>
      </w:pPr>
      <w:r>
        <w:rPr/>
        <w:t>Cabe mencionar que actualmente esta Ley se encuentra en discusión debido a una nueva reforma que se discute en las consideraciones de este apartado.</w:t>
      </w:r>
    </w:p>
    <w:p>
      <w:pPr>
        <w:pStyle w:val="BodyText"/>
        <w:spacing w:before="4"/>
        <w:rPr>
          <w:sz w:val="17"/>
        </w:rPr>
      </w:pPr>
    </w:p>
    <w:p>
      <w:pPr>
        <w:pStyle w:val="Heading6"/>
        <w:numPr>
          <w:ilvl w:val="1"/>
          <w:numId w:val="338"/>
        </w:numPr>
        <w:tabs>
          <w:tab w:pos="532" w:val="left" w:leader="none"/>
        </w:tabs>
        <w:spacing w:line="240" w:lineRule="auto" w:before="0" w:after="0"/>
        <w:ind w:left="531" w:right="0" w:hanging="429"/>
        <w:jc w:val="both"/>
      </w:pPr>
      <w:bookmarkStart w:name="_TOC_250007" w:id="66"/>
      <w:r>
        <w:rPr/>
        <w:t>MARCO JURÍDICO</w:t>
      </w:r>
      <w:r>
        <w:rPr>
          <w:spacing w:val="-17"/>
        </w:rPr>
        <w:t> </w:t>
      </w:r>
      <w:bookmarkEnd w:id="66"/>
      <w:r>
        <w:rPr/>
        <w:t>ESTATAL</w:t>
      </w:r>
    </w:p>
    <w:p>
      <w:pPr>
        <w:pStyle w:val="BodyText"/>
        <w:spacing w:before="9"/>
        <w:rPr>
          <w:b/>
          <w:sz w:val="20"/>
        </w:rPr>
      </w:pPr>
    </w:p>
    <w:p>
      <w:pPr>
        <w:spacing w:before="0"/>
        <w:ind w:left="222" w:right="239" w:firstLine="0"/>
        <w:jc w:val="center"/>
        <w:rPr>
          <w:b/>
          <w:sz w:val="22"/>
        </w:rPr>
      </w:pPr>
      <w:r>
        <w:rPr>
          <w:b/>
          <w:sz w:val="22"/>
        </w:rPr>
        <w:t>(Estado de México)</w:t>
      </w:r>
    </w:p>
    <w:p>
      <w:pPr>
        <w:pStyle w:val="BodyText"/>
        <w:spacing w:before="9"/>
        <w:rPr>
          <w:b/>
          <w:sz w:val="20"/>
        </w:rPr>
      </w:pPr>
    </w:p>
    <w:p>
      <w:pPr>
        <w:pStyle w:val="BodyText"/>
        <w:ind w:left="102"/>
        <w:jc w:val="both"/>
      </w:pPr>
      <w:r>
        <w:rPr/>
        <w:t>Para el caso del Estado de México, existen las siguientes leyes y reglamentos:</w:t>
      </w:r>
    </w:p>
    <w:p>
      <w:pPr>
        <w:pStyle w:val="BodyText"/>
        <w:spacing w:before="6"/>
        <w:rPr>
          <w:sz w:val="20"/>
        </w:rPr>
      </w:pPr>
    </w:p>
    <w:p>
      <w:pPr>
        <w:pStyle w:val="Heading6"/>
        <w:jc w:val="both"/>
      </w:pPr>
      <w:r>
        <w:rPr/>
        <w:t>Ley del Agua para El Estado de México y Municipios</w:t>
      </w:r>
    </w:p>
    <w:p>
      <w:pPr>
        <w:pStyle w:val="BodyText"/>
        <w:spacing w:before="11"/>
        <w:rPr>
          <w:b/>
          <w:sz w:val="20"/>
        </w:rPr>
      </w:pPr>
    </w:p>
    <w:p>
      <w:pPr>
        <w:pStyle w:val="BodyText"/>
        <w:spacing w:line="360" w:lineRule="auto"/>
        <w:ind w:left="102" w:right="114"/>
        <w:jc w:val="both"/>
      </w:pPr>
      <w:r>
        <w:rPr/>
        <w:t>En su artículo 1, esta Ley señala que es de orden público e interés social, de aplicación y observancia general en el Estado de México, y tiene por objeto normar la explotación,  uso, aprovechamiento, administración, control y suministro de las aguas de jurisdicción estatal</w:t>
      </w:r>
      <w:r>
        <w:rPr>
          <w:spacing w:val="21"/>
        </w:rPr>
        <w:t> </w:t>
      </w:r>
      <w:r>
        <w:rPr/>
        <w:t>y</w:t>
      </w:r>
      <w:r>
        <w:rPr>
          <w:spacing w:val="23"/>
        </w:rPr>
        <w:t> </w:t>
      </w:r>
      <w:r>
        <w:rPr/>
        <w:t>municipal</w:t>
      </w:r>
      <w:r>
        <w:rPr>
          <w:spacing w:val="24"/>
        </w:rPr>
        <w:t> </w:t>
      </w:r>
      <w:r>
        <w:rPr/>
        <w:t>y</w:t>
      </w:r>
      <w:r>
        <w:rPr>
          <w:spacing w:val="23"/>
        </w:rPr>
        <w:t> </w:t>
      </w:r>
      <w:r>
        <w:rPr/>
        <w:t>sus</w:t>
      </w:r>
      <w:r>
        <w:rPr>
          <w:spacing w:val="25"/>
        </w:rPr>
        <w:t> </w:t>
      </w:r>
      <w:r>
        <w:rPr/>
        <w:t>bienes</w:t>
      </w:r>
      <w:r>
        <w:rPr>
          <w:spacing w:val="25"/>
        </w:rPr>
        <w:t> </w:t>
      </w:r>
      <w:r>
        <w:rPr/>
        <w:t>inherentes,</w:t>
      </w:r>
      <w:r>
        <w:rPr>
          <w:spacing w:val="24"/>
        </w:rPr>
        <w:t> </w:t>
      </w:r>
      <w:r>
        <w:rPr/>
        <w:t>para</w:t>
      </w:r>
      <w:r>
        <w:rPr>
          <w:spacing w:val="25"/>
        </w:rPr>
        <w:t> </w:t>
      </w:r>
      <w:r>
        <w:rPr/>
        <w:t>la</w:t>
      </w:r>
      <w:r>
        <w:rPr>
          <w:spacing w:val="25"/>
        </w:rPr>
        <w:t> </w:t>
      </w:r>
      <w:r>
        <w:rPr/>
        <w:t>prestación</w:t>
      </w:r>
      <w:r>
        <w:rPr>
          <w:spacing w:val="22"/>
        </w:rPr>
        <w:t> </w:t>
      </w:r>
      <w:r>
        <w:rPr/>
        <w:t>de</w:t>
      </w:r>
      <w:r>
        <w:rPr>
          <w:spacing w:val="22"/>
        </w:rPr>
        <w:t> </w:t>
      </w:r>
      <w:r>
        <w:rPr/>
        <w:t>los</w:t>
      </w:r>
      <w:r>
        <w:rPr>
          <w:spacing w:val="25"/>
        </w:rPr>
        <w:t> </w:t>
      </w:r>
      <w:r>
        <w:rPr/>
        <w:t>servicios</w:t>
      </w:r>
      <w:r>
        <w:rPr>
          <w:spacing w:val="25"/>
        </w:rPr>
        <w:t> </w:t>
      </w:r>
      <w:r>
        <w:rPr/>
        <w:t>de</w:t>
      </w:r>
      <w:r>
        <w:rPr>
          <w:spacing w:val="24"/>
        </w:rPr>
        <w:t> </w:t>
      </w:r>
      <w:r>
        <w:rPr/>
        <w:t>agua</w:t>
      </w:r>
    </w:p>
    <w:p>
      <w:pPr>
        <w:spacing w:after="0" w:line="360" w:lineRule="auto"/>
        <w:jc w:val="both"/>
        <w:sectPr>
          <w:pgSz w:w="12240" w:h="15840"/>
          <w:pgMar w:header="0" w:footer="1003" w:top="1360" w:bottom="1200" w:left="1600" w:right="1580"/>
        </w:sectPr>
      </w:pPr>
    </w:p>
    <w:p>
      <w:pPr>
        <w:pStyle w:val="BodyText"/>
        <w:spacing w:line="362" w:lineRule="auto" w:before="53"/>
        <w:ind w:left="102" w:right="194"/>
      </w:pPr>
      <w:r>
        <w:rPr/>
        <w:t>potable, drenaje y alcantarillado, saneamiento, y tratamiento de aguas residuales, su reuso y la disposición final de sus productos</w:t>
      </w:r>
      <w:r>
        <w:rPr>
          <w:spacing w:val="-15"/>
        </w:rPr>
        <w:t> </w:t>
      </w:r>
      <w:r>
        <w:rPr/>
        <w:t>resultantes.</w:t>
      </w:r>
    </w:p>
    <w:p>
      <w:pPr>
        <w:pStyle w:val="BodyText"/>
        <w:spacing w:before="4"/>
        <w:rPr>
          <w:sz w:val="17"/>
        </w:rPr>
      </w:pPr>
    </w:p>
    <w:p>
      <w:pPr>
        <w:pStyle w:val="BodyText"/>
        <w:ind w:left="102"/>
        <w:jc w:val="both"/>
      </w:pPr>
      <w:r>
        <w:rPr/>
        <w:t>En el artículo 2, la Ley persigue los siguientes objetivos:</w:t>
      </w:r>
    </w:p>
    <w:p>
      <w:pPr>
        <w:pStyle w:val="BodyText"/>
        <w:spacing w:before="3"/>
        <w:rPr>
          <w:sz w:val="28"/>
        </w:rPr>
      </w:pPr>
    </w:p>
    <w:p>
      <w:pPr>
        <w:pStyle w:val="ListParagraph"/>
        <w:numPr>
          <w:ilvl w:val="0"/>
          <w:numId w:val="352"/>
        </w:numPr>
        <w:tabs>
          <w:tab w:pos="292" w:val="left" w:leader="none"/>
        </w:tabs>
        <w:spacing w:line="276" w:lineRule="auto" w:before="0" w:after="0"/>
        <w:ind w:left="102" w:right="121" w:firstLine="0"/>
        <w:jc w:val="both"/>
        <w:rPr>
          <w:sz w:val="22"/>
        </w:rPr>
      </w:pPr>
      <w:r>
        <w:rPr>
          <w:sz w:val="22"/>
        </w:rPr>
        <w:t>La regulación de la prestación de los servicios de agua potable, drenaje y alcantarillado, saneamiento, tratamiento de aguas residuales, su reuso y la disposición final de sus productos</w:t>
      </w:r>
      <w:r>
        <w:rPr>
          <w:spacing w:val="-4"/>
          <w:sz w:val="22"/>
        </w:rPr>
        <w:t> </w:t>
      </w:r>
      <w:r>
        <w:rPr>
          <w:sz w:val="22"/>
        </w:rPr>
        <w:t>resultantes;</w:t>
      </w:r>
    </w:p>
    <w:p>
      <w:pPr>
        <w:pStyle w:val="BodyText"/>
        <w:spacing w:before="4"/>
        <w:rPr>
          <w:sz w:val="17"/>
        </w:rPr>
      </w:pPr>
    </w:p>
    <w:p>
      <w:pPr>
        <w:pStyle w:val="ListParagraph"/>
        <w:numPr>
          <w:ilvl w:val="0"/>
          <w:numId w:val="352"/>
        </w:numPr>
        <w:tabs>
          <w:tab w:pos="386" w:val="left" w:leader="none"/>
        </w:tabs>
        <w:spacing w:line="278" w:lineRule="auto" w:before="0" w:after="0"/>
        <w:ind w:left="102" w:right="117" w:firstLine="0"/>
        <w:jc w:val="left"/>
        <w:rPr>
          <w:sz w:val="22"/>
        </w:rPr>
      </w:pPr>
      <w:r>
        <w:rPr>
          <w:sz w:val="22"/>
        </w:rPr>
        <w:t>El mejoramiento continuo de la gestión integral del agua con la participación de los sujetos a quienes rige esta</w:t>
      </w:r>
      <w:r>
        <w:rPr>
          <w:spacing w:val="-9"/>
          <w:sz w:val="22"/>
        </w:rPr>
        <w:t> </w:t>
      </w:r>
      <w:r>
        <w:rPr>
          <w:sz w:val="22"/>
        </w:rPr>
        <w:t>Ley;</w:t>
      </w:r>
    </w:p>
    <w:p>
      <w:pPr>
        <w:pStyle w:val="ListParagraph"/>
        <w:numPr>
          <w:ilvl w:val="0"/>
          <w:numId w:val="352"/>
        </w:numPr>
        <w:tabs>
          <w:tab w:pos="433" w:val="left" w:leader="none"/>
        </w:tabs>
        <w:spacing w:line="276" w:lineRule="auto" w:before="197" w:after="0"/>
        <w:ind w:left="102" w:right="121" w:firstLine="0"/>
        <w:jc w:val="left"/>
        <w:rPr>
          <w:sz w:val="22"/>
        </w:rPr>
      </w:pPr>
      <w:r>
        <w:rPr>
          <w:sz w:val="22"/>
        </w:rPr>
        <w:t>La realización y actualización permanente de inventarios de usos y usuarios, y de la infraestructura hidráulica para la gestión integral del</w:t>
      </w:r>
      <w:r>
        <w:rPr>
          <w:spacing w:val="-16"/>
          <w:sz w:val="22"/>
        </w:rPr>
        <w:t> </w:t>
      </w:r>
      <w:r>
        <w:rPr>
          <w:sz w:val="22"/>
        </w:rPr>
        <w:t>agua;</w:t>
      </w:r>
    </w:p>
    <w:p>
      <w:pPr>
        <w:pStyle w:val="BodyText"/>
        <w:spacing w:before="6"/>
        <w:rPr>
          <w:sz w:val="17"/>
        </w:rPr>
      </w:pPr>
    </w:p>
    <w:p>
      <w:pPr>
        <w:pStyle w:val="ListParagraph"/>
        <w:numPr>
          <w:ilvl w:val="0"/>
          <w:numId w:val="352"/>
        </w:numPr>
        <w:tabs>
          <w:tab w:pos="489" w:val="left" w:leader="none"/>
        </w:tabs>
        <w:spacing w:line="276" w:lineRule="auto" w:before="0" w:after="0"/>
        <w:ind w:left="102" w:right="119" w:firstLine="0"/>
        <w:jc w:val="left"/>
        <w:rPr>
          <w:sz w:val="22"/>
        </w:rPr>
      </w:pPr>
      <w:r>
        <w:rPr>
          <w:sz w:val="22"/>
        </w:rPr>
        <w:t>El control de la explotación, uso o aprovechamiento de las aguas de jurisdicción estatal y</w:t>
      </w:r>
      <w:r>
        <w:rPr>
          <w:spacing w:val="-6"/>
          <w:sz w:val="22"/>
        </w:rPr>
        <w:t> </w:t>
      </w:r>
      <w:r>
        <w:rPr>
          <w:sz w:val="22"/>
        </w:rPr>
        <w:t>municipal;</w:t>
      </w:r>
    </w:p>
    <w:p>
      <w:pPr>
        <w:pStyle w:val="BodyText"/>
        <w:spacing w:before="6"/>
        <w:rPr>
          <w:sz w:val="17"/>
        </w:rPr>
      </w:pPr>
    </w:p>
    <w:p>
      <w:pPr>
        <w:pStyle w:val="ListParagraph"/>
        <w:numPr>
          <w:ilvl w:val="0"/>
          <w:numId w:val="352"/>
        </w:numPr>
        <w:tabs>
          <w:tab w:pos="414" w:val="left" w:leader="none"/>
        </w:tabs>
        <w:spacing w:line="276" w:lineRule="auto" w:before="0" w:after="0"/>
        <w:ind w:left="102" w:right="122" w:firstLine="0"/>
        <w:jc w:val="left"/>
        <w:rPr>
          <w:sz w:val="22"/>
        </w:rPr>
      </w:pPr>
      <w:r>
        <w:rPr>
          <w:sz w:val="22"/>
        </w:rPr>
        <w:t>La organización de las autoridades del agua, los usuarios y los prestadores de los servicios para su participación en el Sistema Estatal del Agua como</w:t>
      </w:r>
      <w:r>
        <w:rPr>
          <w:spacing w:val="-21"/>
          <w:sz w:val="22"/>
        </w:rPr>
        <w:t> </w:t>
      </w:r>
      <w:r>
        <w:rPr>
          <w:sz w:val="22"/>
        </w:rPr>
        <w:t>corresponda;</w:t>
      </w:r>
    </w:p>
    <w:p>
      <w:pPr>
        <w:pStyle w:val="BodyText"/>
        <w:spacing w:before="6"/>
        <w:rPr>
          <w:sz w:val="17"/>
        </w:rPr>
      </w:pPr>
    </w:p>
    <w:p>
      <w:pPr>
        <w:pStyle w:val="ListParagraph"/>
        <w:numPr>
          <w:ilvl w:val="0"/>
          <w:numId w:val="352"/>
        </w:numPr>
        <w:tabs>
          <w:tab w:pos="489" w:val="left" w:leader="none"/>
        </w:tabs>
        <w:spacing w:line="276" w:lineRule="auto" w:before="0" w:after="0"/>
        <w:ind w:left="102" w:right="120" w:firstLine="0"/>
        <w:jc w:val="left"/>
        <w:rPr>
          <w:sz w:val="22"/>
        </w:rPr>
      </w:pPr>
      <w:r>
        <w:rPr>
          <w:sz w:val="22"/>
        </w:rPr>
        <w:t>La atención prioritaria de la problemática que presenten los recursos hídricos del Estado, su calidad y</w:t>
      </w:r>
      <w:r>
        <w:rPr>
          <w:spacing w:val="-8"/>
          <w:sz w:val="22"/>
        </w:rPr>
        <w:t> </w:t>
      </w:r>
      <w:r>
        <w:rPr>
          <w:sz w:val="22"/>
        </w:rPr>
        <w:t>cantidad;</w:t>
      </w:r>
    </w:p>
    <w:p>
      <w:pPr>
        <w:pStyle w:val="BodyText"/>
        <w:spacing w:before="4"/>
        <w:rPr>
          <w:sz w:val="17"/>
        </w:rPr>
      </w:pPr>
    </w:p>
    <w:p>
      <w:pPr>
        <w:pStyle w:val="ListParagraph"/>
        <w:numPr>
          <w:ilvl w:val="0"/>
          <w:numId w:val="352"/>
        </w:numPr>
        <w:tabs>
          <w:tab w:pos="541" w:val="left" w:leader="none"/>
        </w:tabs>
        <w:spacing w:line="276" w:lineRule="auto" w:before="0" w:after="0"/>
        <w:ind w:left="102" w:right="121" w:firstLine="0"/>
        <w:jc w:val="left"/>
        <w:rPr>
          <w:sz w:val="22"/>
        </w:rPr>
      </w:pPr>
      <w:r>
        <w:rPr>
          <w:sz w:val="22"/>
        </w:rPr>
        <w:t>La atención prioritaria de la infraestructura hidráulica y los costos del servicio del agua;</w:t>
      </w:r>
    </w:p>
    <w:p>
      <w:pPr>
        <w:pStyle w:val="BodyText"/>
        <w:spacing w:before="6"/>
        <w:rPr>
          <w:sz w:val="17"/>
        </w:rPr>
      </w:pPr>
    </w:p>
    <w:p>
      <w:pPr>
        <w:pStyle w:val="ListParagraph"/>
        <w:numPr>
          <w:ilvl w:val="0"/>
          <w:numId w:val="352"/>
        </w:numPr>
        <w:tabs>
          <w:tab w:pos="582" w:val="left" w:leader="none"/>
        </w:tabs>
        <w:spacing w:line="276" w:lineRule="auto" w:before="0" w:after="0"/>
        <w:ind w:left="102" w:right="121" w:firstLine="0"/>
        <w:jc w:val="left"/>
        <w:rPr>
          <w:sz w:val="22"/>
        </w:rPr>
      </w:pPr>
      <w:r>
        <w:rPr>
          <w:sz w:val="22"/>
        </w:rPr>
        <w:t>La definición del marco general para la formulación y aplicación de normas para la gestión integral del</w:t>
      </w:r>
      <w:r>
        <w:rPr>
          <w:spacing w:val="-9"/>
          <w:sz w:val="22"/>
        </w:rPr>
        <w:t> </w:t>
      </w:r>
      <w:r>
        <w:rPr>
          <w:sz w:val="22"/>
        </w:rPr>
        <w:t>agua;</w:t>
      </w:r>
    </w:p>
    <w:p>
      <w:pPr>
        <w:pStyle w:val="BodyText"/>
        <w:spacing w:before="6"/>
        <w:rPr>
          <w:sz w:val="17"/>
        </w:rPr>
      </w:pPr>
    </w:p>
    <w:p>
      <w:pPr>
        <w:pStyle w:val="ListParagraph"/>
        <w:numPr>
          <w:ilvl w:val="0"/>
          <w:numId w:val="352"/>
        </w:numPr>
        <w:tabs>
          <w:tab w:pos="438" w:val="left" w:leader="none"/>
        </w:tabs>
        <w:spacing w:line="276" w:lineRule="auto" w:before="0" w:after="0"/>
        <w:ind w:left="102" w:right="121" w:firstLine="0"/>
        <w:jc w:val="left"/>
        <w:rPr>
          <w:sz w:val="22"/>
        </w:rPr>
      </w:pPr>
      <w:r>
        <w:rPr>
          <w:sz w:val="22"/>
        </w:rPr>
        <w:t>La implementación de acciones que propicien la recarga de acuíferos en el Estado y el manejo sustentable de sus recursos</w:t>
      </w:r>
      <w:r>
        <w:rPr>
          <w:spacing w:val="-12"/>
          <w:sz w:val="22"/>
        </w:rPr>
        <w:t> </w:t>
      </w:r>
      <w:r>
        <w:rPr>
          <w:sz w:val="22"/>
        </w:rPr>
        <w:t>hídricos;</w:t>
      </w:r>
    </w:p>
    <w:p>
      <w:pPr>
        <w:pStyle w:val="BodyText"/>
        <w:spacing w:before="6"/>
        <w:rPr>
          <w:sz w:val="17"/>
        </w:rPr>
      </w:pPr>
    </w:p>
    <w:p>
      <w:pPr>
        <w:pStyle w:val="ListParagraph"/>
        <w:numPr>
          <w:ilvl w:val="0"/>
          <w:numId w:val="352"/>
        </w:numPr>
        <w:tabs>
          <w:tab w:pos="373" w:val="left" w:leader="none"/>
        </w:tabs>
        <w:spacing w:line="240" w:lineRule="auto" w:before="0" w:after="0"/>
        <w:ind w:left="373" w:right="0" w:hanging="271"/>
        <w:jc w:val="both"/>
        <w:rPr>
          <w:sz w:val="22"/>
        </w:rPr>
      </w:pPr>
      <w:r>
        <w:rPr>
          <w:sz w:val="22"/>
        </w:rPr>
        <w:t>La promoción y ejecución de medidas y acciones que fomenten la cultura del agua;</w:t>
      </w:r>
      <w:r>
        <w:rPr>
          <w:spacing w:val="-23"/>
          <w:sz w:val="22"/>
        </w:rPr>
        <w:t> </w:t>
      </w:r>
      <w:r>
        <w:rPr>
          <w:sz w:val="22"/>
        </w:rPr>
        <w:t>y</w:t>
      </w:r>
    </w:p>
    <w:p>
      <w:pPr>
        <w:pStyle w:val="BodyText"/>
        <w:spacing w:before="6"/>
        <w:rPr>
          <w:sz w:val="20"/>
        </w:rPr>
      </w:pPr>
    </w:p>
    <w:p>
      <w:pPr>
        <w:pStyle w:val="ListParagraph"/>
        <w:numPr>
          <w:ilvl w:val="0"/>
          <w:numId w:val="352"/>
        </w:numPr>
        <w:tabs>
          <w:tab w:pos="448" w:val="left" w:leader="none"/>
        </w:tabs>
        <w:spacing w:line="276" w:lineRule="auto" w:before="0" w:after="0"/>
        <w:ind w:left="102" w:right="121" w:firstLine="0"/>
        <w:jc w:val="left"/>
        <w:rPr>
          <w:sz w:val="22"/>
        </w:rPr>
      </w:pPr>
      <w:r>
        <w:rPr>
          <w:sz w:val="22"/>
        </w:rPr>
        <w:t>El establecimiento de un régimen sancionatorio que castigue la contaminación, el mal uso y el despilfarro de los recursos</w:t>
      </w:r>
      <w:r>
        <w:rPr>
          <w:spacing w:val="-11"/>
          <w:sz w:val="22"/>
        </w:rPr>
        <w:t> </w:t>
      </w:r>
      <w:r>
        <w:rPr>
          <w:sz w:val="22"/>
        </w:rPr>
        <w:t>hídricos.</w:t>
      </w:r>
    </w:p>
    <w:p>
      <w:pPr>
        <w:pStyle w:val="BodyText"/>
        <w:spacing w:before="7"/>
        <w:rPr>
          <w:sz w:val="17"/>
        </w:rPr>
      </w:pPr>
    </w:p>
    <w:p>
      <w:pPr>
        <w:pStyle w:val="BodyText"/>
        <w:spacing w:line="276" w:lineRule="auto"/>
        <w:ind w:left="102"/>
      </w:pPr>
      <w:r>
        <w:rPr/>
        <w:t>En el artículo 3, se menciona que la aplicación de esta Ley corresponde, en el ámbito competencial respectivo, a las siguientes autoridades:</w:t>
      </w:r>
    </w:p>
    <w:p>
      <w:pPr>
        <w:pStyle w:val="BodyText"/>
        <w:spacing w:before="6"/>
        <w:rPr>
          <w:sz w:val="17"/>
        </w:rPr>
      </w:pPr>
    </w:p>
    <w:p>
      <w:pPr>
        <w:pStyle w:val="ListParagraph"/>
        <w:numPr>
          <w:ilvl w:val="0"/>
          <w:numId w:val="353"/>
        </w:numPr>
        <w:tabs>
          <w:tab w:pos="287" w:val="left" w:leader="none"/>
        </w:tabs>
        <w:spacing w:line="240" w:lineRule="auto" w:before="0" w:after="0"/>
        <w:ind w:left="286" w:right="0" w:hanging="184"/>
        <w:jc w:val="both"/>
        <w:rPr>
          <w:sz w:val="22"/>
        </w:rPr>
      </w:pPr>
      <w:r>
        <w:rPr>
          <w:sz w:val="22"/>
        </w:rPr>
        <w:t>El Gobernador del</w:t>
      </w:r>
      <w:r>
        <w:rPr>
          <w:spacing w:val="-8"/>
          <w:sz w:val="22"/>
        </w:rPr>
        <w:t> </w:t>
      </w:r>
      <w:r>
        <w:rPr>
          <w:sz w:val="22"/>
        </w:rPr>
        <w:t>Estado;</w:t>
      </w:r>
    </w:p>
    <w:p>
      <w:pPr>
        <w:pStyle w:val="BodyText"/>
        <w:spacing w:before="6"/>
        <w:rPr>
          <w:sz w:val="20"/>
        </w:rPr>
      </w:pPr>
    </w:p>
    <w:p>
      <w:pPr>
        <w:pStyle w:val="ListParagraph"/>
        <w:numPr>
          <w:ilvl w:val="0"/>
          <w:numId w:val="353"/>
        </w:numPr>
        <w:tabs>
          <w:tab w:pos="349" w:val="left" w:leader="none"/>
        </w:tabs>
        <w:spacing w:line="240" w:lineRule="auto" w:before="0" w:after="0"/>
        <w:ind w:left="348" w:right="0" w:hanging="246"/>
        <w:jc w:val="both"/>
        <w:rPr>
          <w:sz w:val="22"/>
        </w:rPr>
      </w:pPr>
      <w:r>
        <w:rPr>
          <w:sz w:val="22"/>
        </w:rPr>
        <w:t>El Secretario del Agua y Obra</w:t>
      </w:r>
      <w:r>
        <w:rPr>
          <w:spacing w:val="-14"/>
          <w:sz w:val="22"/>
        </w:rPr>
        <w:t> </w:t>
      </w:r>
      <w:r>
        <w:rPr>
          <w:sz w:val="22"/>
        </w:rPr>
        <w:t>Pública;</w:t>
      </w:r>
    </w:p>
    <w:p>
      <w:pPr>
        <w:pStyle w:val="BodyText"/>
        <w:spacing w:before="9"/>
        <w:rPr>
          <w:sz w:val="20"/>
        </w:rPr>
      </w:pPr>
    </w:p>
    <w:p>
      <w:pPr>
        <w:pStyle w:val="ListParagraph"/>
        <w:numPr>
          <w:ilvl w:val="0"/>
          <w:numId w:val="353"/>
        </w:numPr>
        <w:tabs>
          <w:tab w:pos="409" w:val="left" w:leader="none"/>
        </w:tabs>
        <w:spacing w:line="240" w:lineRule="auto" w:before="0" w:after="0"/>
        <w:ind w:left="409" w:right="0" w:hanging="307"/>
        <w:jc w:val="both"/>
        <w:rPr>
          <w:sz w:val="22"/>
        </w:rPr>
      </w:pPr>
      <w:r>
        <w:rPr>
          <w:sz w:val="22"/>
        </w:rPr>
        <w:t>El Vocal Ejecutivo de la</w:t>
      </w:r>
      <w:r>
        <w:rPr>
          <w:spacing w:val="-9"/>
          <w:sz w:val="22"/>
        </w:rPr>
        <w:t> </w:t>
      </w:r>
      <w:r>
        <w:rPr>
          <w:sz w:val="22"/>
        </w:rPr>
        <w:t>Comisión;</w:t>
      </w:r>
    </w:p>
    <w:p>
      <w:pPr>
        <w:pStyle w:val="BodyText"/>
        <w:spacing w:before="6"/>
        <w:rPr>
          <w:sz w:val="20"/>
        </w:rPr>
      </w:pPr>
    </w:p>
    <w:p>
      <w:pPr>
        <w:pStyle w:val="ListParagraph"/>
        <w:numPr>
          <w:ilvl w:val="0"/>
          <w:numId w:val="353"/>
        </w:numPr>
        <w:tabs>
          <w:tab w:pos="436" w:val="left" w:leader="none"/>
        </w:tabs>
        <w:spacing w:line="240" w:lineRule="auto" w:before="0" w:after="0"/>
        <w:ind w:left="435" w:right="0" w:hanging="333"/>
        <w:jc w:val="both"/>
        <w:rPr>
          <w:sz w:val="22"/>
        </w:rPr>
      </w:pPr>
      <w:r>
        <w:rPr>
          <w:sz w:val="22"/>
        </w:rPr>
        <w:t>El Comisionado Presidente de la Comisión</w:t>
      </w:r>
      <w:r>
        <w:rPr>
          <w:spacing w:val="-12"/>
          <w:sz w:val="22"/>
        </w:rPr>
        <w:t> </w:t>
      </w:r>
      <w:r>
        <w:rPr>
          <w:sz w:val="22"/>
        </w:rPr>
        <w:t>Técnica;</w:t>
      </w:r>
    </w:p>
    <w:p>
      <w:pPr>
        <w:spacing w:after="0" w:line="240" w:lineRule="auto"/>
        <w:jc w:val="both"/>
        <w:rPr>
          <w:sz w:val="22"/>
        </w:rPr>
        <w:sectPr>
          <w:pgSz w:w="12240" w:h="15840"/>
          <w:pgMar w:header="0" w:footer="1003" w:top="1360" w:bottom="1200" w:left="1600" w:right="1580"/>
        </w:sectPr>
      </w:pPr>
    </w:p>
    <w:p>
      <w:pPr>
        <w:pStyle w:val="ListParagraph"/>
        <w:numPr>
          <w:ilvl w:val="0"/>
          <w:numId w:val="353"/>
        </w:numPr>
        <w:tabs>
          <w:tab w:pos="373" w:val="left" w:leader="none"/>
        </w:tabs>
        <w:spacing w:line="240" w:lineRule="auto" w:before="53" w:after="0"/>
        <w:ind w:left="373" w:right="0" w:hanging="271"/>
        <w:jc w:val="both"/>
        <w:rPr>
          <w:sz w:val="22"/>
        </w:rPr>
      </w:pPr>
      <w:r>
        <w:rPr>
          <w:sz w:val="22"/>
        </w:rPr>
        <w:t>Los Presidentes Municipales;</w:t>
      </w:r>
      <w:r>
        <w:rPr>
          <w:spacing w:val="-8"/>
          <w:sz w:val="22"/>
        </w:rPr>
        <w:t> </w:t>
      </w:r>
      <w:r>
        <w:rPr>
          <w:sz w:val="22"/>
        </w:rPr>
        <w:t>y</w:t>
      </w:r>
    </w:p>
    <w:p>
      <w:pPr>
        <w:pStyle w:val="BodyText"/>
        <w:spacing w:before="6"/>
        <w:rPr>
          <w:sz w:val="28"/>
        </w:rPr>
      </w:pPr>
    </w:p>
    <w:p>
      <w:pPr>
        <w:pStyle w:val="BodyText"/>
        <w:ind w:left="102"/>
        <w:jc w:val="both"/>
      </w:pPr>
      <w:r>
        <w:rPr/>
        <w:t>V. Los organismos operadores.</w:t>
      </w:r>
    </w:p>
    <w:p>
      <w:pPr>
        <w:pStyle w:val="BodyText"/>
        <w:spacing w:before="1"/>
        <w:rPr>
          <w:sz w:val="28"/>
        </w:rPr>
      </w:pPr>
    </w:p>
    <w:p>
      <w:pPr>
        <w:pStyle w:val="Heading6"/>
        <w:jc w:val="both"/>
      </w:pPr>
      <w:r>
        <w:rPr/>
        <w:t>Reglamento de la Ley del Agua para el Estado de México y Municipios</w:t>
      </w:r>
    </w:p>
    <w:p>
      <w:pPr>
        <w:pStyle w:val="BodyText"/>
        <w:spacing w:before="8"/>
        <w:rPr>
          <w:b/>
          <w:sz w:val="28"/>
        </w:rPr>
      </w:pPr>
    </w:p>
    <w:p>
      <w:pPr>
        <w:pStyle w:val="BodyText"/>
        <w:spacing w:line="360" w:lineRule="auto"/>
        <w:ind w:left="102" w:right="115"/>
        <w:jc w:val="both"/>
      </w:pPr>
      <w:r>
        <w:rPr/>
        <w:t>Que la Ley del Agua para el Estado de México y Municipios introdujo diversas disposiciones cuyo objeto es establecer la forma en que el Estado será garante de la observancia del derecho humano al agua, así como la corresponsabilidad de los gobernados en el cuidado de este recurso y su uso racional y eficiente, mediante el impulso a la formación de una cultura del agua y su manejo sustentable, lo que hace necesaria la definición de los mecanismos de vinculación necesarios entre las autoridades del agua y los sujetos a quienes la Ley aplica, a fin de asegurar su adecuado cumplimiento. Que a fin de hacer efectivo el cumplimiento de lo preceptuado en la Ley del Agua para el Estado de México y Municipios es necesario definir los mecanismos y procedimientos pertinentes, mediante los instrumentos normativos adecuados para tal fin, se expidió  este Reglamento.</w:t>
      </w:r>
    </w:p>
    <w:p>
      <w:pPr>
        <w:pStyle w:val="BodyText"/>
        <w:spacing w:before="7"/>
        <w:rPr>
          <w:sz w:val="17"/>
        </w:rPr>
      </w:pPr>
    </w:p>
    <w:p>
      <w:pPr>
        <w:pStyle w:val="BodyText"/>
        <w:spacing w:line="360" w:lineRule="auto"/>
        <w:ind w:left="102" w:right="117"/>
        <w:jc w:val="both"/>
      </w:pPr>
      <w:r>
        <w:rPr/>
        <w:t>Destaca que este Reglamento en su artículo 4 señala las autoridades del agua  constituirán el Consejo Estatal del Agua, como el órgano interinstitucional de consulta y opinión entre las autoridades del agua del Estado de México, cuyas sesiones se efectuarán con la periodicidad establecida en la Ley. Por lo que, con el objeto de dar cumplimiento a lo dispuesto por el artículo 14 de dicha, las autoridades del agua constituirán el Consejo Estatal del Agua, que sesionará de manera ordinaria dos veces al año con el objetivo de revisar el  Programa Hídrico</w:t>
      </w:r>
      <w:r>
        <w:rPr>
          <w:spacing w:val="-15"/>
        </w:rPr>
        <w:t> </w:t>
      </w:r>
      <w:r>
        <w:rPr/>
        <w:t>estatal.</w:t>
      </w:r>
    </w:p>
    <w:p>
      <w:pPr>
        <w:pStyle w:val="BodyText"/>
        <w:spacing w:before="4"/>
        <w:rPr>
          <w:sz w:val="17"/>
        </w:rPr>
      </w:pPr>
    </w:p>
    <w:p>
      <w:pPr>
        <w:pStyle w:val="Heading6"/>
        <w:numPr>
          <w:ilvl w:val="1"/>
          <w:numId w:val="338"/>
        </w:numPr>
        <w:tabs>
          <w:tab w:pos="532" w:val="left" w:leader="none"/>
        </w:tabs>
        <w:spacing w:line="240" w:lineRule="auto" w:before="0" w:after="0"/>
        <w:ind w:left="531" w:right="0" w:hanging="429"/>
        <w:jc w:val="both"/>
      </w:pPr>
      <w:bookmarkStart w:name="_TOC_250006" w:id="67"/>
      <w:r>
        <w:rPr/>
        <w:t>MARCO JURÍDICO</w:t>
      </w:r>
      <w:r>
        <w:rPr>
          <w:spacing w:val="-20"/>
        </w:rPr>
        <w:t> </w:t>
      </w:r>
      <w:bookmarkEnd w:id="67"/>
      <w:r>
        <w:rPr/>
        <w:t>MUNICIPAL</w:t>
      </w:r>
    </w:p>
    <w:p>
      <w:pPr>
        <w:pStyle w:val="BodyText"/>
        <w:spacing w:before="11"/>
        <w:rPr>
          <w:b/>
          <w:sz w:val="20"/>
        </w:rPr>
      </w:pPr>
    </w:p>
    <w:p>
      <w:pPr>
        <w:pStyle w:val="BodyText"/>
        <w:ind w:left="102"/>
        <w:jc w:val="both"/>
      </w:pPr>
      <w:r>
        <w:rPr/>
        <w:t>El marco jurídico municipal está compuesto por la siguiente normatividad:</w:t>
      </w:r>
    </w:p>
    <w:p>
      <w:pPr>
        <w:pStyle w:val="BodyText"/>
        <w:spacing w:before="6"/>
        <w:rPr>
          <w:sz w:val="20"/>
        </w:rPr>
      </w:pPr>
    </w:p>
    <w:p>
      <w:pPr>
        <w:pStyle w:val="Heading6"/>
        <w:jc w:val="both"/>
      </w:pPr>
      <w:r>
        <w:rPr/>
        <w:t>Artículo 115 de la Constitución Política de los Estados Unidos Mexicanos</w:t>
      </w:r>
    </w:p>
    <w:p>
      <w:pPr>
        <w:pStyle w:val="BodyText"/>
        <w:spacing w:before="9"/>
        <w:rPr>
          <w:b/>
          <w:sz w:val="20"/>
        </w:rPr>
      </w:pPr>
    </w:p>
    <w:p>
      <w:pPr>
        <w:pStyle w:val="BodyText"/>
        <w:spacing w:line="360" w:lineRule="auto"/>
        <w:ind w:left="102" w:right="116"/>
        <w:jc w:val="both"/>
      </w:pPr>
      <w:r>
        <w:rPr/>
        <w:t>El artículo 115 constitucional, en su fracción III, señala que los municipios son responsables de: agua potable, drenaje, alcantarillado, tratamiento y disposición final de residuos; alumbrado público; limpia, recolección, traslado, tratamiento y disposición final de residuos; mercados y centrales de abastos; panteones; rastros; calles, parques y jardines y su equipamiento; seguridad pública, policía preventiva municipal y tránsito y  que</w:t>
      </w:r>
      <w:r>
        <w:rPr>
          <w:spacing w:val="25"/>
        </w:rPr>
        <w:t> </w:t>
      </w:r>
      <w:r>
        <w:rPr/>
        <w:t>los</w:t>
      </w:r>
      <w:r>
        <w:rPr>
          <w:spacing w:val="25"/>
        </w:rPr>
        <w:t> </w:t>
      </w:r>
      <w:r>
        <w:rPr/>
        <w:t>municipios</w:t>
      </w:r>
      <w:r>
        <w:rPr>
          <w:spacing w:val="28"/>
        </w:rPr>
        <w:t> </w:t>
      </w:r>
      <w:r>
        <w:rPr/>
        <w:t>de</w:t>
      </w:r>
      <w:r>
        <w:rPr>
          <w:spacing w:val="25"/>
        </w:rPr>
        <w:t> </w:t>
      </w:r>
      <w:r>
        <w:rPr/>
        <w:t>un</w:t>
      </w:r>
      <w:r>
        <w:rPr>
          <w:spacing w:val="26"/>
        </w:rPr>
        <w:t> </w:t>
      </w:r>
      <w:r>
        <w:rPr/>
        <w:t>mismo</w:t>
      </w:r>
      <w:r>
        <w:rPr>
          <w:spacing w:val="25"/>
        </w:rPr>
        <w:t> </w:t>
      </w:r>
      <w:r>
        <w:rPr/>
        <w:t>estado,</w:t>
      </w:r>
      <w:r>
        <w:rPr>
          <w:spacing w:val="27"/>
        </w:rPr>
        <w:t> </w:t>
      </w:r>
      <w:r>
        <w:rPr/>
        <w:t>previo</w:t>
      </w:r>
      <w:r>
        <w:rPr>
          <w:spacing w:val="28"/>
        </w:rPr>
        <w:t> </w:t>
      </w:r>
      <w:r>
        <w:rPr/>
        <w:t>acuerdo</w:t>
      </w:r>
      <w:r>
        <w:rPr>
          <w:spacing w:val="26"/>
        </w:rPr>
        <w:t> </w:t>
      </w:r>
      <w:r>
        <w:rPr/>
        <w:t>entre</w:t>
      </w:r>
      <w:r>
        <w:rPr>
          <w:spacing w:val="25"/>
        </w:rPr>
        <w:t> </w:t>
      </w:r>
      <w:r>
        <w:rPr/>
        <w:t>sus</w:t>
      </w:r>
      <w:r>
        <w:rPr>
          <w:spacing w:val="25"/>
        </w:rPr>
        <w:t> </w:t>
      </w:r>
      <w:r>
        <w:rPr/>
        <w:t>ayuntamientos</w:t>
      </w:r>
      <w:r>
        <w:rPr>
          <w:spacing w:val="26"/>
        </w:rPr>
        <w:t> </w:t>
      </w:r>
      <w:r>
        <w:rPr/>
        <w:t>y</w:t>
      </w:r>
      <w:r>
        <w:rPr>
          <w:spacing w:val="26"/>
        </w:rPr>
        <w:t> </w:t>
      </w:r>
      <w:r>
        <w:rPr/>
        <w:t>con</w:t>
      </w:r>
    </w:p>
    <w:p>
      <w:pPr>
        <w:spacing w:after="0" w:line="360" w:lineRule="auto"/>
        <w:jc w:val="both"/>
        <w:sectPr>
          <w:pgSz w:w="12240" w:h="15840"/>
          <w:pgMar w:header="0" w:footer="1003" w:top="1360" w:bottom="1200" w:left="1600" w:right="1580"/>
        </w:sectPr>
      </w:pPr>
    </w:p>
    <w:p>
      <w:pPr>
        <w:pStyle w:val="BodyText"/>
        <w:spacing w:line="362" w:lineRule="auto" w:before="53"/>
        <w:ind w:left="102" w:right="119"/>
        <w:jc w:val="both"/>
      </w:pPr>
      <w:r>
        <w:rPr/>
        <w:t>sujeción a la ley, podrán coordinarse y asociarse para la más eficaz prestación de los servicios públicos que les corresponda.</w:t>
      </w:r>
    </w:p>
    <w:p>
      <w:pPr>
        <w:pStyle w:val="BodyText"/>
        <w:spacing w:before="4"/>
        <w:rPr>
          <w:sz w:val="17"/>
        </w:rPr>
      </w:pPr>
    </w:p>
    <w:p>
      <w:pPr>
        <w:pStyle w:val="BodyText"/>
        <w:spacing w:line="360" w:lineRule="auto"/>
        <w:ind w:left="102" w:right="115"/>
        <w:jc w:val="both"/>
      </w:pPr>
      <w:r>
        <w:rPr/>
        <w:t>En la misma fracción III de este artículo constitucional se admite la asociación entre municipios de un mismo estado, e inclusive entre municipios de entidades diferentes. En el primer caso bastará con la autorización de los respectivos cabildos; en el segundo caso se hace necesaria la aprobación de los respectivos congresos</w:t>
      </w:r>
      <w:r>
        <w:rPr>
          <w:spacing w:val="-11"/>
        </w:rPr>
        <w:t> </w:t>
      </w:r>
      <w:r>
        <w:rPr/>
        <w:t>locales.</w:t>
      </w:r>
    </w:p>
    <w:p>
      <w:pPr>
        <w:pStyle w:val="BodyText"/>
        <w:spacing w:before="7"/>
        <w:rPr>
          <w:sz w:val="17"/>
        </w:rPr>
      </w:pPr>
    </w:p>
    <w:p>
      <w:pPr>
        <w:pStyle w:val="Heading6"/>
        <w:ind w:left="221" w:right="239"/>
        <w:jc w:val="center"/>
      </w:pPr>
      <w:r>
        <w:rPr/>
        <w:t>Ley Orgánica Municipal del Estado de México</w:t>
      </w:r>
    </w:p>
    <w:p>
      <w:pPr>
        <w:pStyle w:val="BodyText"/>
        <w:spacing w:before="5"/>
        <w:rPr>
          <w:b/>
          <w:sz w:val="28"/>
        </w:rPr>
      </w:pPr>
    </w:p>
    <w:p>
      <w:pPr>
        <w:pStyle w:val="BodyText"/>
        <w:spacing w:before="1"/>
        <w:ind w:left="102"/>
        <w:jc w:val="both"/>
      </w:pPr>
      <w:r>
        <w:rPr/>
        <w:t>Artículo 31.- Son atribuciones de los ayuntamientos:</w:t>
      </w:r>
    </w:p>
    <w:p>
      <w:pPr>
        <w:pStyle w:val="BodyText"/>
        <w:spacing w:before="6"/>
        <w:rPr>
          <w:sz w:val="28"/>
        </w:rPr>
      </w:pPr>
    </w:p>
    <w:p>
      <w:pPr>
        <w:pStyle w:val="ListParagraph"/>
        <w:numPr>
          <w:ilvl w:val="0"/>
          <w:numId w:val="354"/>
        </w:numPr>
        <w:tabs>
          <w:tab w:pos="714" w:val="left" w:leader="none"/>
        </w:tabs>
        <w:spacing w:line="360" w:lineRule="auto" w:before="0" w:after="0"/>
        <w:ind w:left="102" w:right="116" w:firstLine="0"/>
        <w:jc w:val="both"/>
        <w:rPr>
          <w:sz w:val="22"/>
        </w:rPr>
      </w:pPr>
      <w:r>
        <w:rPr>
          <w:sz w:val="22"/>
        </w:rPr>
        <w:t>Preservar, conservar y restaurar el medio ambiente; así como generar las acciones necesarias a fin de crear áreas verdes que permitan mejorar la calidad de vida y convivencia social de los habitantes del municipio, establecidos como espacios públicos de conservación</w:t>
      </w:r>
      <w:r>
        <w:rPr>
          <w:spacing w:val="-7"/>
          <w:sz w:val="22"/>
        </w:rPr>
        <w:t> </w:t>
      </w:r>
      <w:r>
        <w:rPr>
          <w:sz w:val="22"/>
        </w:rPr>
        <w:t>ambiental;</w:t>
      </w:r>
    </w:p>
    <w:p>
      <w:pPr>
        <w:pStyle w:val="BodyText"/>
        <w:spacing w:before="7"/>
        <w:rPr>
          <w:sz w:val="17"/>
        </w:rPr>
      </w:pPr>
    </w:p>
    <w:p>
      <w:pPr>
        <w:pStyle w:val="ListParagraph"/>
        <w:numPr>
          <w:ilvl w:val="0"/>
          <w:numId w:val="354"/>
        </w:numPr>
        <w:tabs>
          <w:tab w:pos="738" w:val="left" w:leader="none"/>
        </w:tabs>
        <w:spacing w:line="360" w:lineRule="auto" w:before="0" w:after="0"/>
        <w:ind w:left="102" w:right="118" w:firstLine="0"/>
        <w:jc w:val="both"/>
        <w:rPr>
          <w:sz w:val="22"/>
        </w:rPr>
      </w:pPr>
      <w:r>
        <w:rPr>
          <w:sz w:val="22"/>
        </w:rPr>
        <w:t>Participar en la creación y administración de sus reservas territoriales y ecológicas; convenir con otras autoridades el control y la vigilancia sobre la utilización del suelo en  sus jurisdicciones territoriales; intervenir en la regularización de la tenencia de la tierra urbana; planificar y regular de manera conjunta y coordinada el desarrollo de las localidades</w:t>
      </w:r>
      <w:r>
        <w:rPr>
          <w:spacing w:val="-3"/>
          <w:sz w:val="22"/>
        </w:rPr>
        <w:t> </w:t>
      </w:r>
      <w:r>
        <w:rPr>
          <w:sz w:val="22"/>
        </w:rPr>
        <w:t>conurbadas;</w:t>
      </w:r>
    </w:p>
    <w:p>
      <w:pPr>
        <w:pStyle w:val="BodyText"/>
        <w:spacing w:before="7"/>
        <w:rPr>
          <w:sz w:val="17"/>
        </w:rPr>
      </w:pPr>
    </w:p>
    <w:p>
      <w:pPr>
        <w:pStyle w:val="ListParagraph"/>
        <w:numPr>
          <w:ilvl w:val="0"/>
          <w:numId w:val="354"/>
        </w:numPr>
        <w:tabs>
          <w:tab w:pos="714" w:val="left" w:leader="none"/>
        </w:tabs>
        <w:spacing w:line="360" w:lineRule="auto" w:before="0" w:after="0"/>
        <w:ind w:left="102" w:right="123" w:firstLine="0"/>
        <w:jc w:val="both"/>
        <w:rPr>
          <w:sz w:val="22"/>
        </w:rPr>
      </w:pPr>
      <w:r>
        <w:rPr>
          <w:sz w:val="22"/>
        </w:rPr>
        <w:t>Coadyuvar con la Secretaría del Medio Ambiente a la creación y desarrollo del mercado de derechos de uso del medio</w:t>
      </w:r>
      <w:r>
        <w:rPr>
          <w:spacing w:val="-12"/>
          <w:sz w:val="22"/>
        </w:rPr>
        <w:t> </w:t>
      </w:r>
      <w:r>
        <w:rPr>
          <w:sz w:val="22"/>
        </w:rPr>
        <w:t>ambiente.</w:t>
      </w:r>
    </w:p>
    <w:p>
      <w:pPr>
        <w:pStyle w:val="BodyText"/>
        <w:spacing w:before="9"/>
        <w:rPr>
          <w:sz w:val="17"/>
        </w:rPr>
      </w:pPr>
    </w:p>
    <w:p>
      <w:pPr>
        <w:pStyle w:val="BodyText"/>
        <w:spacing w:line="360" w:lineRule="auto"/>
        <w:ind w:left="102" w:right="119"/>
        <w:jc w:val="both"/>
      </w:pPr>
      <w:r>
        <w:rPr/>
        <w:t>Artículo 57.- Las autoridades auxiliares municipales ejercerán, en sus respectivas jurisdicciones, las atribuciones que les delegue el ayuntamiento, para mantener el orden, la tranquilidad, la paz social, la seguridad y la protección de los vecinos, conforme a lo establecido en esta Ley, el Bando Municipal y los reglamentos respectivos.</w:t>
      </w:r>
    </w:p>
    <w:p>
      <w:pPr>
        <w:pStyle w:val="BodyText"/>
        <w:spacing w:before="10"/>
        <w:rPr>
          <w:sz w:val="17"/>
        </w:rPr>
      </w:pPr>
    </w:p>
    <w:p>
      <w:pPr>
        <w:pStyle w:val="BodyText"/>
        <w:spacing w:line="360" w:lineRule="auto"/>
        <w:ind w:left="102" w:right="116"/>
        <w:jc w:val="both"/>
      </w:pPr>
      <w:r>
        <w:rPr/>
        <w:t>Artículo 69.- Las comisiones las determinará el ayuntamiento de acuerdo a las necesidades del municipio y podrán ser permanentes o transitorias. Entre las Comisiones que señala este artículo, destaca: m). De preservación y restauración del medio ambiente.</w:t>
      </w:r>
    </w:p>
    <w:p>
      <w:pPr>
        <w:pStyle w:val="BodyText"/>
        <w:spacing w:before="4"/>
        <w:rPr>
          <w:sz w:val="17"/>
        </w:rPr>
      </w:pPr>
    </w:p>
    <w:p>
      <w:pPr>
        <w:pStyle w:val="Heading6"/>
        <w:ind w:left="221" w:right="239"/>
        <w:jc w:val="center"/>
      </w:pPr>
      <w:r>
        <w:rPr/>
        <w:t>BANDOS MUNICIPALES</w:t>
      </w:r>
    </w:p>
    <w:p>
      <w:pPr>
        <w:pStyle w:val="BodyText"/>
        <w:spacing w:before="11"/>
        <w:rPr>
          <w:b/>
          <w:sz w:val="20"/>
        </w:rPr>
      </w:pPr>
    </w:p>
    <w:p>
      <w:pPr>
        <w:pStyle w:val="BodyText"/>
        <w:spacing w:line="360" w:lineRule="auto"/>
        <w:ind w:left="102" w:right="115"/>
        <w:jc w:val="both"/>
      </w:pPr>
      <w:r>
        <w:rPr/>
        <w:t>La Ley Orgánica Municipal del Estado de México, señala en su Artículo 162.- El Bando Municipal regulará al menos lo siguiente:</w:t>
      </w:r>
    </w:p>
    <w:p>
      <w:pPr>
        <w:spacing w:after="0" w:line="360" w:lineRule="auto"/>
        <w:jc w:val="both"/>
        <w:sectPr>
          <w:pgSz w:w="12240" w:h="15840"/>
          <w:pgMar w:header="0" w:footer="1003" w:top="1360" w:bottom="1200" w:left="1600" w:right="1580"/>
        </w:sectPr>
      </w:pPr>
    </w:p>
    <w:p>
      <w:pPr>
        <w:pStyle w:val="BodyText"/>
        <w:spacing w:before="53"/>
        <w:ind w:left="102"/>
        <w:jc w:val="both"/>
      </w:pPr>
      <w:r>
        <w:rPr/>
        <w:t>VIII. Protección ecológica y mejoramiento del medio ambiente;</w:t>
      </w:r>
    </w:p>
    <w:p>
      <w:pPr>
        <w:pStyle w:val="BodyText"/>
        <w:spacing w:before="3"/>
        <w:rPr>
          <w:sz w:val="28"/>
        </w:rPr>
      </w:pPr>
    </w:p>
    <w:p>
      <w:pPr>
        <w:pStyle w:val="Heading6"/>
        <w:spacing w:line="276" w:lineRule="auto" w:before="1"/>
        <w:ind w:right="628"/>
        <w:jc w:val="both"/>
      </w:pPr>
      <w:r>
        <w:rPr/>
        <w:t>BANDO DE GOBIERNO MUNICIPAL DE ACAMBAY 2013. TÍTULO PRIMERO DEL MUNICIPIO DE ACAMBAY DE RUIZ CASTAÑEDA, CAPÍTULO I, DISPOSICIONES GENERALES</w:t>
      </w:r>
    </w:p>
    <w:p>
      <w:pPr>
        <w:pStyle w:val="BodyText"/>
        <w:rPr>
          <w:b/>
        </w:rPr>
      </w:pPr>
    </w:p>
    <w:p>
      <w:pPr>
        <w:pStyle w:val="BodyText"/>
        <w:spacing w:before="8"/>
        <w:rPr>
          <w:b/>
          <w:sz w:val="17"/>
        </w:rPr>
      </w:pPr>
    </w:p>
    <w:p>
      <w:pPr>
        <w:pStyle w:val="BodyText"/>
        <w:spacing w:line="360" w:lineRule="auto"/>
        <w:ind w:left="102" w:right="117"/>
        <w:jc w:val="both"/>
      </w:pPr>
      <w:r>
        <w:rPr/>
        <w:t>En el Artículo 1. Se estipula que el Bando es de interés público y tiene por objeto establecer las normas generales, tendientes a la organización social, territorial y administrativa del Municipio de Acambay de Ruiz Castañeda, así como los derechos y obligaciones de sus habitantes, fijando como fines esenciales del H. Ayuntamiento los siguientes:</w:t>
      </w:r>
    </w:p>
    <w:p>
      <w:pPr>
        <w:pStyle w:val="BodyText"/>
      </w:pPr>
    </w:p>
    <w:p>
      <w:pPr>
        <w:pStyle w:val="ListParagraph"/>
        <w:numPr>
          <w:ilvl w:val="0"/>
          <w:numId w:val="355"/>
        </w:numPr>
        <w:tabs>
          <w:tab w:pos="500" w:val="left" w:leader="none"/>
        </w:tabs>
        <w:spacing w:line="360" w:lineRule="auto" w:before="129" w:after="0"/>
        <w:ind w:left="102" w:right="118" w:firstLine="0"/>
        <w:jc w:val="both"/>
        <w:rPr>
          <w:sz w:val="22"/>
        </w:rPr>
      </w:pPr>
      <w:r>
        <w:rPr>
          <w:sz w:val="22"/>
        </w:rPr>
        <w:t>Garantizar a todos los habitantes el derecho a un medio ambiente sano, equilibrado y adecuado para su desarrollo, salud y bienestar; así como el derecho a la protección, preservación, uso y aprovechamiento sostenible de los recursos naturales, a la salvaguarda y uso de la biodiversidad en su</w:t>
      </w:r>
      <w:r>
        <w:rPr>
          <w:spacing w:val="-9"/>
          <w:sz w:val="22"/>
        </w:rPr>
        <w:t> </w:t>
      </w:r>
      <w:r>
        <w:rPr>
          <w:sz w:val="22"/>
        </w:rPr>
        <w:t>conjunto;</w:t>
      </w:r>
    </w:p>
    <w:p>
      <w:pPr>
        <w:pStyle w:val="BodyText"/>
      </w:pPr>
    </w:p>
    <w:p>
      <w:pPr>
        <w:pStyle w:val="Heading6"/>
        <w:spacing w:before="127"/>
        <w:jc w:val="both"/>
      </w:pPr>
      <w:r>
        <w:rPr/>
        <w:t>CAPÍTULO III, DE LOS FINES DEL GOBIERNO MUNICIPAL</w:t>
      </w:r>
    </w:p>
    <w:p>
      <w:pPr>
        <w:pStyle w:val="BodyText"/>
        <w:rPr>
          <w:b/>
        </w:rPr>
      </w:pPr>
    </w:p>
    <w:p>
      <w:pPr>
        <w:pStyle w:val="BodyText"/>
        <w:spacing w:before="4"/>
        <w:rPr>
          <w:b/>
        </w:rPr>
      </w:pPr>
    </w:p>
    <w:p>
      <w:pPr>
        <w:pStyle w:val="BodyText"/>
        <w:ind w:left="102"/>
        <w:jc w:val="both"/>
      </w:pPr>
      <w:r>
        <w:rPr/>
        <w:t>ARTÍCULO 7. Son fines del Gobierno Municipal:</w:t>
      </w:r>
    </w:p>
    <w:p>
      <w:pPr>
        <w:pStyle w:val="ListParagraph"/>
        <w:numPr>
          <w:ilvl w:val="0"/>
          <w:numId w:val="355"/>
        </w:numPr>
        <w:tabs>
          <w:tab w:pos="659" w:val="left" w:leader="none"/>
        </w:tabs>
        <w:spacing w:line="360" w:lineRule="auto" w:before="126" w:after="0"/>
        <w:ind w:left="102" w:right="117" w:firstLine="0"/>
        <w:jc w:val="left"/>
        <w:rPr>
          <w:sz w:val="22"/>
        </w:rPr>
      </w:pPr>
      <w:r>
        <w:rPr>
          <w:sz w:val="22"/>
        </w:rPr>
        <w:t>Preservar, restaurar y conservar el medio ambiente en coordinación con la ciudadanía y autoridades</w:t>
      </w:r>
      <w:r>
        <w:rPr>
          <w:spacing w:val="-7"/>
          <w:sz w:val="22"/>
        </w:rPr>
        <w:t> </w:t>
      </w:r>
      <w:r>
        <w:rPr>
          <w:sz w:val="22"/>
        </w:rPr>
        <w:t>correspondientes;</w:t>
      </w:r>
    </w:p>
    <w:p>
      <w:pPr>
        <w:pStyle w:val="BodyText"/>
      </w:pPr>
    </w:p>
    <w:p>
      <w:pPr>
        <w:pStyle w:val="Heading6"/>
        <w:spacing w:before="127"/>
        <w:jc w:val="both"/>
      </w:pPr>
      <w:r>
        <w:rPr/>
        <w:t>CAPÍTULO II DE LOS DERECHOS Y OBLIGACIONES DE LOS CIUDADANOS</w:t>
      </w:r>
    </w:p>
    <w:p>
      <w:pPr>
        <w:pStyle w:val="BodyText"/>
        <w:rPr>
          <w:b/>
        </w:rPr>
      </w:pPr>
    </w:p>
    <w:p>
      <w:pPr>
        <w:pStyle w:val="BodyText"/>
        <w:spacing w:before="1"/>
        <w:rPr>
          <w:b/>
        </w:rPr>
      </w:pPr>
    </w:p>
    <w:p>
      <w:pPr>
        <w:pStyle w:val="BodyText"/>
        <w:spacing w:line="360" w:lineRule="auto" w:before="1"/>
        <w:ind w:left="102" w:right="769"/>
      </w:pPr>
      <w:r>
        <w:rPr/>
        <w:t>ARTÍCULO 22. Son derechos de los ciudadanos del Municipio de Acambay de Ruiz Castañeda, los siguientes:</w:t>
      </w:r>
    </w:p>
    <w:p>
      <w:pPr>
        <w:pStyle w:val="BodyText"/>
        <w:spacing w:line="360" w:lineRule="auto" w:before="5"/>
        <w:ind w:left="102" w:right="255"/>
      </w:pPr>
      <w:r>
        <w:rPr/>
        <w:t>XI. Gozar de un medio ambiente sano que garantice el desarrollo, salud y bienestar de la población;</w:t>
      </w:r>
    </w:p>
    <w:p>
      <w:pPr>
        <w:pStyle w:val="BodyText"/>
        <w:spacing w:before="3"/>
        <w:ind w:left="102"/>
        <w:jc w:val="both"/>
      </w:pPr>
      <w:r>
        <w:rPr/>
        <w:t>ARTÍCULO 23. Los ciudadanos tendrán las siguientes obligaciones:</w:t>
      </w:r>
    </w:p>
    <w:p>
      <w:pPr>
        <w:pStyle w:val="BodyText"/>
        <w:spacing w:line="360" w:lineRule="auto" w:before="126"/>
        <w:ind w:left="102" w:right="194"/>
      </w:pPr>
      <w:r>
        <w:rPr/>
        <w:t>XX. Participar con las autoridades municipales en la preservación y restauración del  medio</w:t>
      </w:r>
      <w:r>
        <w:rPr>
          <w:spacing w:val="-3"/>
        </w:rPr>
        <w:t> </w:t>
      </w:r>
      <w:r>
        <w:rPr/>
        <w:t>ambiente;</w:t>
      </w:r>
    </w:p>
    <w:p>
      <w:pPr>
        <w:pStyle w:val="BodyText"/>
        <w:spacing w:line="360" w:lineRule="auto" w:before="3"/>
        <w:ind w:left="102" w:right="377"/>
      </w:pPr>
      <w:r>
        <w:rPr/>
        <w:t>XXXVI. Denunciar ante las autoridades correspondientes los hechos, actos u omisiones que constituyan infracciones al medio ambiente;</w:t>
      </w:r>
    </w:p>
    <w:p>
      <w:pPr>
        <w:spacing w:after="0" w:line="360" w:lineRule="auto"/>
        <w:sectPr>
          <w:pgSz w:w="12240" w:h="15840"/>
          <w:pgMar w:header="0" w:footer="1003" w:top="1360" w:bottom="1200" w:left="1600" w:right="1580"/>
        </w:sectPr>
      </w:pPr>
    </w:p>
    <w:p>
      <w:pPr>
        <w:pStyle w:val="Heading6"/>
        <w:spacing w:before="51"/>
        <w:jc w:val="both"/>
      </w:pPr>
      <w:r>
        <w:rPr/>
        <w:t>TÍTULO QUINTO DEL GOBIERNO MUNICIPAL, CAPÍTULO I, DEL H. AYUNTAMIENTO</w:t>
      </w:r>
    </w:p>
    <w:p>
      <w:pPr>
        <w:pStyle w:val="BodyText"/>
        <w:rPr>
          <w:b/>
        </w:rPr>
      </w:pPr>
    </w:p>
    <w:p>
      <w:pPr>
        <w:pStyle w:val="BodyText"/>
        <w:spacing w:before="4"/>
        <w:rPr>
          <w:b/>
        </w:rPr>
      </w:pPr>
    </w:p>
    <w:p>
      <w:pPr>
        <w:pStyle w:val="BodyText"/>
        <w:spacing w:line="360" w:lineRule="auto"/>
        <w:ind w:left="102" w:right="117"/>
        <w:jc w:val="both"/>
      </w:pPr>
      <w:r>
        <w:rPr/>
        <w:t>ARTÍCULO 26. El Gobierno del Municipio de Acambay, está depositado en un cuerpo colegiado deliberativo y de elección popular que se denomina H. Ayuntamiento, al cual se someten los asuntos de la Administración Pública Municipal, cuyos integrantes son: un Presidente, un Síndico y diez Regidores electos, según los principios de mayoría relativa y de representación proporcional.</w:t>
      </w:r>
    </w:p>
    <w:p>
      <w:pPr>
        <w:pStyle w:val="BodyText"/>
        <w:spacing w:line="360" w:lineRule="auto" w:before="3"/>
        <w:ind w:left="102" w:right="194"/>
      </w:pPr>
      <w:r>
        <w:rPr/>
        <w:t>Las Comisiones del H. Ayuntamiento durante la Administración 2013-2015, serán presididas como sigue:</w:t>
      </w:r>
    </w:p>
    <w:p>
      <w:pPr>
        <w:pStyle w:val="BodyText"/>
        <w:spacing w:before="4"/>
        <w:ind w:left="102"/>
        <w:jc w:val="both"/>
      </w:pPr>
      <w:r>
        <w:rPr/>
        <w:t>Décimo Regidor: Alumbrado Público, Preservación y Restauración del Medio Ambiente.</w:t>
      </w:r>
    </w:p>
    <w:p>
      <w:pPr>
        <w:pStyle w:val="BodyText"/>
        <w:spacing w:before="10"/>
        <w:rPr>
          <w:sz w:val="32"/>
        </w:rPr>
      </w:pPr>
    </w:p>
    <w:p>
      <w:pPr>
        <w:pStyle w:val="Heading6"/>
        <w:jc w:val="both"/>
      </w:pPr>
      <w:r>
        <w:rPr/>
        <w:t>CAPÍTULO II DE LAS DEPENDENCIAS ADMINISTRATIVAS</w:t>
      </w:r>
    </w:p>
    <w:p>
      <w:pPr>
        <w:pStyle w:val="BodyText"/>
        <w:rPr>
          <w:b/>
        </w:rPr>
      </w:pPr>
    </w:p>
    <w:p>
      <w:pPr>
        <w:pStyle w:val="BodyText"/>
        <w:spacing w:before="1"/>
        <w:rPr>
          <w:b/>
        </w:rPr>
      </w:pPr>
    </w:p>
    <w:p>
      <w:pPr>
        <w:pStyle w:val="BodyText"/>
        <w:spacing w:before="1"/>
        <w:ind w:left="102"/>
        <w:jc w:val="both"/>
      </w:pPr>
      <w:r>
        <w:rPr/>
        <w:t>XVIII. Dirección de Medio Ambiente</w:t>
      </w:r>
    </w:p>
    <w:p>
      <w:pPr>
        <w:pStyle w:val="ListParagraph"/>
        <w:numPr>
          <w:ilvl w:val="0"/>
          <w:numId w:val="356"/>
        </w:numPr>
        <w:tabs>
          <w:tab w:pos="350" w:val="left" w:leader="none"/>
        </w:tabs>
        <w:spacing w:line="240" w:lineRule="auto" w:before="126" w:after="0"/>
        <w:ind w:left="349" w:right="0" w:hanging="247"/>
        <w:jc w:val="both"/>
        <w:rPr>
          <w:sz w:val="22"/>
        </w:rPr>
      </w:pPr>
      <w:r>
        <w:rPr>
          <w:sz w:val="22"/>
        </w:rPr>
        <w:t>Coordinación de</w:t>
      </w:r>
      <w:r>
        <w:rPr>
          <w:spacing w:val="-9"/>
          <w:sz w:val="22"/>
        </w:rPr>
        <w:t> </w:t>
      </w:r>
      <w:r>
        <w:rPr>
          <w:sz w:val="22"/>
        </w:rPr>
        <w:t>Limpia</w:t>
      </w:r>
    </w:p>
    <w:p>
      <w:pPr>
        <w:pStyle w:val="BodyText"/>
      </w:pPr>
    </w:p>
    <w:p>
      <w:pPr>
        <w:pStyle w:val="BodyText"/>
        <w:spacing w:before="8"/>
        <w:rPr>
          <w:sz w:val="21"/>
        </w:rPr>
      </w:pPr>
    </w:p>
    <w:p>
      <w:pPr>
        <w:pStyle w:val="Heading6"/>
        <w:jc w:val="both"/>
      </w:pPr>
      <w:r>
        <w:rPr/>
        <w:t>CAPÍTULO III DE LAS AUTORIDADES AUXILIARES</w:t>
      </w:r>
    </w:p>
    <w:p>
      <w:pPr>
        <w:pStyle w:val="BodyText"/>
        <w:rPr>
          <w:b/>
        </w:rPr>
      </w:pPr>
    </w:p>
    <w:p>
      <w:pPr>
        <w:pStyle w:val="BodyText"/>
        <w:spacing w:before="4"/>
        <w:rPr>
          <w:b/>
        </w:rPr>
      </w:pPr>
    </w:p>
    <w:p>
      <w:pPr>
        <w:pStyle w:val="BodyText"/>
        <w:ind w:left="102"/>
        <w:jc w:val="both"/>
      </w:pPr>
      <w:r>
        <w:rPr/>
        <w:t>ARTÍCULO 32. Son Autoridades Auxiliares Municipales:</w:t>
      </w:r>
    </w:p>
    <w:p>
      <w:pPr>
        <w:pStyle w:val="ListParagraph"/>
        <w:numPr>
          <w:ilvl w:val="1"/>
          <w:numId w:val="356"/>
        </w:numPr>
        <w:tabs>
          <w:tab w:pos="287" w:val="left" w:leader="none"/>
        </w:tabs>
        <w:spacing w:line="240" w:lineRule="auto" w:before="126" w:after="0"/>
        <w:ind w:left="286" w:right="0" w:hanging="184"/>
        <w:jc w:val="both"/>
        <w:rPr>
          <w:sz w:val="22"/>
        </w:rPr>
      </w:pPr>
      <w:r>
        <w:rPr>
          <w:sz w:val="22"/>
        </w:rPr>
        <w:t>Los Delegados</w:t>
      </w:r>
      <w:r>
        <w:rPr>
          <w:spacing w:val="-9"/>
          <w:sz w:val="22"/>
        </w:rPr>
        <w:t> </w:t>
      </w:r>
      <w:r>
        <w:rPr>
          <w:sz w:val="22"/>
        </w:rPr>
        <w:t>Municipales;</w:t>
      </w:r>
    </w:p>
    <w:p>
      <w:pPr>
        <w:pStyle w:val="ListParagraph"/>
        <w:numPr>
          <w:ilvl w:val="1"/>
          <w:numId w:val="356"/>
        </w:numPr>
        <w:tabs>
          <w:tab w:pos="349" w:val="left" w:leader="none"/>
        </w:tabs>
        <w:spacing w:line="240" w:lineRule="auto" w:before="126" w:after="0"/>
        <w:ind w:left="348" w:right="0" w:hanging="246"/>
        <w:jc w:val="both"/>
        <w:rPr>
          <w:sz w:val="22"/>
        </w:rPr>
      </w:pPr>
      <w:r>
        <w:rPr>
          <w:sz w:val="22"/>
        </w:rPr>
        <w:t>Los Subdelegados</w:t>
      </w:r>
      <w:r>
        <w:rPr>
          <w:spacing w:val="-11"/>
          <w:sz w:val="22"/>
        </w:rPr>
        <w:t> </w:t>
      </w:r>
      <w:r>
        <w:rPr>
          <w:sz w:val="22"/>
        </w:rPr>
        <w:t>Municipales;</w:t>
      </w:r>
    </w:p>
    <w:p>
      <w:pPr>
        <w:pStyle w:val="ListParagraph"/>
        <w:numPr>
          <w:ilvl w:val="1"/>
          <w:numId w:val="356"/>
        </w:numPr>
        <w:tabs>
          <w:tab w:pos="409" w:val="left" w:leader="none"/>
        </w:tabs>
        <w:spacing w:line="240" w:lineRule="auto" w:before="126" w:after="0"/>
        <w:ind w:left="409" w:right="0" w:hanging="307"/>
        <w:jc w:val="both"/>
        <w:rPr>
          <w:sz w:val="22"/>
        </w:rPr>
      </w:pPr>
      <w:r>
        <w:rPr>
          <w:sz w:val="22"/>
        </w:rPr>
        <w:t>Los Presidentes de</w:t>
      </w:r>
      <w:r>
        <w:rPr>
          <w:spacing w:val="-10"/>
          <w:sz w:val="22"/>
        </w:rPr>
        <w:t> </w:t>
      </w:r>
      <w:r>
        <w:rPr>
          <w:sz w:val="22"/>
        </w:rPr>
        <w:t>Colonia</w:t>
      </w:r>
    </w:p>
    <w:p>
      <w:pPr>
        <w:pStyle w:val="BodyText"/>
        <w:spacing w:before="126"/>
        <w:ind w:left="102"/>
        <w:jc w:val="both"/>
      </w:pPr>
      <w:r>
        <w:rPr/>
        <w:t>ARTÍCULO 36. Corresponde a las autoridades auxiliares:</w:t>
      </w:r>
    </w:p>
    <w:p>
      <w:pPr>
        <w:pStyle w:val="BodyText"/>
        <w:spacing w:line="360" w:lineRule="auto" w:before="126"/>
        <w:ind w:left="102"/>
      </w:pPr>
      <w:r>
        <w:rPr/>
        <w:t>VIII. Participar en la preservación y restauración del medio ambiente, así como en la protección civil de los vecinos;</w:t>
      </w:r>
    </w:p>
    <w:p>
      <w:pPr>
        <w:pStyle w:val="BodyText"/>
      </w:pPr>
    </w:p>
    <w:p>
      <w:pPr>
        <w:pStyle w:val="Heading6"/>
        <w:spacing w:line="360" w:lineRule="auto" w:before="129"/>
      </w:pPr>
      <w:r>
        <w:rPr/>
        <w:t>CAPÍTULO IV DE LAS COMISIONES, COMITÉS DE PLANEACIÓN PARA EL DESARROLLO MUNICIPAL Y ORGANIZACIONES SOCIALES</w:t>
      </w:r>
    </w:p>
    <w:p>
      <w:pPr>
        <w:pStyle w:val="BodyText"/>
        <w:rPr>
          <w:b/>
        </w:rPr>
      </w:pPr>
    </w:p>
    <w:p>
      <w:pPr>
        <w:pStyle w:val="BodyText"/>
        <w:spacing w:before="132"/>
        <w:ind w:left="221" w:right="239"/>
        <w:jc w:val="center"/>
      </w:pPr>
      <w:r>
        <w:rPr/>
        <w:t>ARTÍCULO 42. Serán Consejos de Participación Ciudadana, entre otros, los siguientes:</w:t>
      </w:r>
    </w:p>
    <w:p>
      <w:pPr>
        <w:pStyle w:val="BodyText"/>
        <w:spacing w:before="126"/>
        <w:ind w:left="102"/>
        <w:jc w:val="both"/>
      </w:pPr>
      <w:r>
        <w:rPr/>
        <w:t>IV. De Protección al Medio Ambiente;</w:t>
      </w:r>
    </w:p>
    <w:p>
      <w:pPr>
        <w:pStyle w:val="BodyText"/>
      </w:pPr>
    </w:p>
    <w:p>
      <w:pPr>
        <w:pStyle w:val="BodyText"/>
        <w:spacing w:before="8"/>
        <w:rPr>
          <w:sz w:val="21"/>
        </w:rPr>
      </w:pPr>
    </w:p>
    <w:p>
      <w:pPr>
        <w:pStyle w:val="Heading6"/>
        <w:tabs>
          <w:tab w:pos="1152" w:val="left" w:leader="none"/>
          <w:tab w:pos="2288" w:val="left" w:leader="none"/>
          <w:tab w:pos="2847" w:val="left" w:leader="none"/>
          <w:tab w:pos="3543" w:val="left" w:leader="none"/>
          <w:tab w:pos="5288" w:val="left" w:leader="none"/>
          <w:tab w:pos="7226" w:val="left" w:leader="none"/>
        </w:tabs>
        <w:spacing w:line="360" w:lineRule="auto"/>
        <w:ind w:right="119"/>
      </w:pPr>
      <w:r>
        <w:rPr/>
        <w:t>TÍTULO</w:t>
        <w:tab/>
        <w:t>DÉCIMO</w:t>
        <w:tab/>
        <w:t>DE</w:t>
        <w:tab/>
        <w:t>LAS</w:t>
        <w:tab/>
        <w:t>ACTIVIDADES</w:t>
        <w:tab/>
        <w:t>COMERCIALES,</w:t>
        <w:tab/>
      </w:r>
      <w:r>
        <w:rPr>
          <w:spacing w:val="-1"/>
        </w:rPr>
        <w:t>ARTESANALES, </w:t>
      </w:r>
      <w:r>
        <w:rPr/>
        <w:t>INDUSTRIALES, DE SERVICIOS, DE ESPECTÁCULOS Y DIVERSIONES, CAPÍTULO</w:t>
      </w:r>
      <w:r>
        <w:rPr>
          <w:spacing w:val="-29"/>
        </w:rPr>
        <w:t> </w:t>
      </w:r>
      <w:r>
        <w:rPr/>
        <w:t>I</w:t>
      </w:r>
    </w:p>
    <w:p>
      <w:pPr>
        <w:spacing w:after="0" w:line="360" w:lineRule="auto"/>
        <w:sectPr>
          <w:pgSz w:w="12240" w:h="15840"/>
          <w:pgMar w:header="0" w:footer="1003" w:top="1360" w:bottom="1200" w:left="1600" w:right="1580"/>
        </w:sectPr>
      </w:pPr>
    </w:p>
    <w:p>
      <w:pPr>
        <w:pStyle w:val="Heading6"/>
        <w:spacing w:before="51"/>
        <w:jc w:val="both"/>
      </w:pPr>
      <w:r>
        <w:rPr/>
        <w:t>DE LAS AUTORIZACIONES, LICENCIAS Y PERMISOS</w:t>
      </w:r>
    </w:p>
    <w:p>
      <w:pPr>
        <w:pStyle w:val="BodyText"/>
        <w:rPr>
          <w:b/>
        </w:rPr>
      </w:pPr>
    </w:p>
    <w:p>
      <w:pPr>
        <w:pStyle w:val="BodyText"/>
        <w:spacing w:before="4"/>
        <w:rPr>
          <w:b/>
        </w:rPr>
      </w:pPr>
    </w:p>
    <w:p>
      <w:pPr>
        <w:pStyle w:val="BodyText"/>
        <w:spacing w:line="360" w:lineRule="auto"/>
        <w:ind w:left="102" w:right="121"/>
        <w:jc w:val="both"/>
      </w:pPr>
      <w:r>
        <w:rPr/>
        <w:t>III. Evitar la afectación a la ecología y el medio ambiente, salvaguardando la integridad de la flora y la fauna;</w:t>
      </w:r>
    </w:p>
    <w:p>
      <w:pPr>
        <w:pStyle w:val="Heading6"/>
        <w:spacing w:line="360" w:lineRule="auto" w:before="1"/>
        <w:ind w:right="118"/>
        <w:jc w:val="both"/>
      </w:pPr>
      <w:r>
        <w:rPr/>
        <w:t>TÍTULO DÉCIMO SEGUNDO CAPÍTULO ÚNICO DE LA PRESERVACIÓN, CONSERVACIÓN Y RESTAURACIÓN DEL MEDIO AMBIENTE</w:t>
      </w:r>
    </w:p>
    <w:p>
      <w:pPr>
        <w:pStyle w:val="BodyText"/>
        <w:rPr>
          <w:b/>
        </w:rPr>
      </w:pPr>
    </w:p>
    <w:p>
      <w:pPr>
        <w:pStyle w:val="BodyText"/>
        <w:spacing w:line="360" w:lineRule="auto" w:before="132"/>
        <w:ind w:left="102" w:right="115"/>
        <w:jc w:val="both"/>
      </w:pPr>
      <w:r>
        <w:rPr/>
        <w:t>ARTÍCULO 118. Es atribución del H. Ayuntamiento, en el ámbito de su competencia, preservar, conservar y restaurar el medio ambiente. El H. Ayuntamiento a través de los Regidores Tercero (Comisión: Desarrollo Agropecuario, Forestal y Turismo), Octavo (Comisión: Parques y Jardines) y Décimo (Comisión: Alumbrado Público, Preservación y Restauración del Medio Ambiente), así como el Director de Medio Ambiente, velará por el estricto cumplimiento de las disposiciones legales a que se refiere este artículo.</w:t>
      </w:r>
    </w:p>
    <w:p>
      <w:pPr>
        <w:pStyle w:val="BodyText"/>
        <w:spacing w:before="7"/>
        <w:rPr>
          <w:sz w:val="17"/>
        </w:rPr>
      </w:pPr>
    </w:p>
    <w:p>
      <w:pPr>
        <w:pStyle w:val="BodyText"/>
        <w:spacing w:line="360" w:lineRule="auto"/>
        <w:ind w:left="102" w:right="121"/>
        <w:jc w:val="both"/>
      </w:pPr>
      <w:r>
        <w:rPr/>
        <w:t>ARTÍCULO 119. El H. Ayuntamiento formulará e impulsará programas y acciones en materia ambiental, que serán desarrollados conjuntamente con las autoridades Federales, Estatales y otros Municipios, así como con el sector privado y social, de conformidad con lo establecido en el artículo anterior.</w:t>
      </w:r>
    </w:p>
    <w:p>
      <w:pPr>
        <w:pStyle w:val="BodyText"/>
        <w:spacing w:before="7"/>
        <w:rPr>
          <w:sz w:val="17"/>
        </w:rPr>
      </w:pPr>
    </w:p>
    <w:p>
      <w:pPr>
        <w:pStyle w:val="BodyText"/>
        <w:spacing w:line="360" w:lineRule="auto"/>
        <w:ind w:left="102" w:right="114"/>
        <w:jc w:val="both"/>
      </w:pPr>
      <w:r>
        <w:rPr/>
        <w:t>Para llevar a cabo dichos programas y acciones, el H. Ayuntamiento promoverá la participación de la ciudadanía, incluyendo la colaboración voluntaria de niños, adultos mayores, personas con discapacidad y demás habitantes del Municipio, quienes fungirán como inspectores y actuarán conforme a la reglamentación municipal respectiva.</w:t>
      </w:r>
    </w:p>
    <w:p>
      <w:pPr>
        <w:pStyle w:val="BodyText"/>
        <w:spacing w:before="9"/>
        <w:rPr>
          <w:sz w:val="17"/>
        </w:rPr>
      </w:pPr>
    </w:p>
    <w:p>
      <w:pPr>
        <w:pStyle w:val="BodyText"/>
        <w:spacing w:line="360" w:lineRule="auto"/>
        <w:ind w:left="102" w:right="117"/>
        <w:jc w:val="both"/>
      </w:pPr>
      <w:r>
        <w:rPr/>
        <w:t>ARTÍCULO 120. El H. Ayuntamiento fomentará la educación en materia de ecología, a fin de que los habitantes del Municipio, incorporen como valores cívicos en sus ámbitos familiares, laborales y escolares, la importancia y necesidad de preservar, conservar y restaurar el medio ambiente, procurando, entre otras actividades:</w:t>
      </w:r>
    </w:p>
    <w:p>
      <w:pPr>
        <w:pStyle w:val="BodyText"/>
        <w:spacing w:before="10"/>
        <w:rPr>
          <w:sz w:val="17"/>
        </w:rPr>
      </w:pPr>
    </w:p>
    <w:p>
      <w:pPr>
        <w:pStyle w:val="ListParagraph"/>
        <w:numPr>
          <w:ilvl w:val="0"/>
          <w:numId w:val="357"/>
        </w:numPr>
        <w:tabs>
          <w:tab w:pos="287" w:val="left" w:leader="none"/>
        </w:tabs>
        <w:spacing w:line="240" w:lineRule="auto" w:before="0" w:after="0"/>
        <w:ind w:left="102" w:right="0" w:firstLine="0"/>
        <w:jc w:val="both"/>
        <w:rPr>
          <w:sz w:val="22"/>
        </w:rPr>
      </w:pPr>
      <w:r>
        <w:rPr>
          <w:sz w:val="22"/>
        </w:rPr>
        <w:t>Implementar acciones que fomenten, el ahorro de agua, papel y energía</w:t>
      </w:r>
      <w:r>
        <w:rPr>
          <w:spacing w:val="-19"/>
          <w:sz w:val="22"/>
        </w:rPr>
        <w:t> </w:t>
      </w:r>
      <w:r>
        <w:rPr>
          <w:sz w:val="22"/>
        </w:rPr>
        <w:t>eléctrica</w:t>
      </w:r>
    </w:p>
    <w:p>
      <w:pPr>
        <w:pStyle w:val="BodyText"/>
        <w:spacing w:before="3"/>
        <w:rPr>
          <w:sz w:val="28"/>
        </w:rPr>
      </w:pPr>
    </w:p>
    <w:p>
      <w:pPr>
        <w:pStyle w:val="ListParagraph"/>
        <w:numPr>
          <w:ilvl w:val="0"/>
          <w:numId w:val="357"/>
        </w:numPr>
        <w:tabs>
          <w:tab w:pos="359" w:val="left" w:leader="none"/>
        </w:tabs>
        <w:spacing w:line="360" w:lineRule="auto" w:before="0" w:after="0"/>
        <w:ind w:left="102" w:right="116" w:firstLine="0"/>
        <w:jc w:val="both"/>
        <w:rPr>
          <w:sz w:val="22"/>
        </w:rPr>
      </w:pPr>
      <w:r>
        <w:rPr>
          <w:sz w:val="22"/>
        </w:rPr>
        <w:t>Solicitar asistencia técnica en la emisión de dictámenes de opinión para otorgar, negar o revocar las licencias municipales para la realización de obras, actividades y servicios públicos o privados que puedan ocasionar contaminación del aire, agua o suelo, que afecten la flora, fauna, recursos naturales o afecten la salud</w:t>
      </w:r>
      <w:r>
        <w:rPr>
          <w:spacing w:val="-19"/>
          <w:sz w:val="22"/>
        </w:rPr>
        <w:t> </w:t>
      </w:r>
      <w:r>
        <w:rPr>
          <w:sz w:val="22"/>
        </w:rPr>
        <w:t>pública.</w:t>
      </w:r>
    </w:p>
    <w:p>
      <w:pPr>
        <w:spacing w:after="0" w:line="360" w:lineRule="auto"/>
        <w:jc w:val="both"/>
        <w:rPr>
          <w:sz w:val="22"/>
        </w:rPr>
        <w:sectPr>
          <w:footerReference w:type="default" r:id="rId702"/>
          <w:pgSz w:w="12240" w:h="15840"/>
          <w:pgMar w:footer="1003" w:header="0" w:top="1360" w:bottom="1200" w:left="1600" w:right="1580"/>
          <w:pgNumType w:start="800"/>
        </w:sectPr>
      </w:pPr>
    </w:p>
    <w:p>
      <w:pPr>
        <w:pStyle w:val="BodyText"/>
        <w:spacing w:line="360" w:lineRule="auto" w:before="53"/>
        <w:ind w:left="102" w:right="119"/>
        <w:jc w:val="both"/>
      </w:pPr>
      <w:r>
        <w:rPr/>
        <w:t>ARTÍCULO 121. Es facultad del H. Ayuntamiento, a través del Director de Medio Ambiente, y con conocimiento de los Regidores comisionados en la materia, autorizar el derribo, la poda y cualquier labor de mantenimiento a la vegetación arbórea, dentro de las zonas urbanizadas identificadas en el Plan de Desarrollo Urbano del Municipio, requiriéndose en su caso de la autorización de la delegación de la SEMARNAT, cuando el producto resultante de un derribo tenga como destino la comercialización o vaya a ser transportado.</w:t>
      </w:r>
    </w:p>
    <w:p>
      <w:pPr>
        <w:pStyle w:val="BodyText"/>
        <w:spacing w:before="7"/>
        <w:rPr>
          <w:sz w:val="17"/>
        </w:rPr>
      </w:pPr>
    </w:p>
    <w:p>
      <w:pPr>
        <w:pStyle w:val="Heading6"/>
        <w:jc w:val="both"/>
      </w:pPr>
      <w:r>
        <w:rPr/>
        <w:t>BANDO MUNICIPAL DE ACULCO 2013</w:t>
      </w:r>
    </w:p>
    <w:p>
      <w:pPr>
        <w:pStyle w:val="BodyText"/>
        <w:spacing w:before="6"/>
        <w:rPr>
          <w:b/>
          <w:sz w:val="28"/>
        </w:rPr>
      </w:pPr>
    </w:p>
    <w:p>
      <w:pPr>
        <w:pStyle w:val="BodyText"/>
        <w:spacing w:line="360" w:lineRule="auto"/>
        <w:ind w:left="102" w:right="115"/>
        <w:jc w:val="both"/>
      </w:pPr>
      <w:r>
        <w:rPr/>
        <w:t>Le corresponde al Tercer Regidor la Comisión de Asuntos Indígenas, Preservación y Restauración del Medio Ambiente.´</w:t>
      </w:r>
    </w:p>
    <w:p>
      <w:pPr>
        <w:pStyle w:val="BodyText"/>
        <w:spacing w:before="7"/>
        <w:rPr>
          <w:sz w:val="17"/>
        </w:rPr>
      </w:pPr>
    </w:p>
    <w:p>
      <w:pPr>
        <w:pStyle w:val="Heading6"/>
        <w:spacing w:line="360" w:lineRule="auto"/>
        <w:ind w:right="119"/>
        <w:jc w:val="both"/>
      </w:pPr>
      <w:r>
        <w:rPr/>
        <w:t>TÍTULO CUARTO GOBIERNO MUNICIPAL, AUTORIDADES Y ORGANISMOS AUXILIARES DEL AYUNTAMIENTO, CAPÍTULO III. DE LAS AUTORIDADES AUXILIARES</w:t>
      </w:r>
    </w:p>
    <w:p>
      <w:pPr>
        <w:pStyle w:val="BodyText"/>
        <w:spacing w:before="9"/>
        <w:rPr>
          <w:b/>
          <w:sz w:val="17"/>
        </w:rPr>
      </w:pPr>
    </w:p>
    <w:p>
      <w:pPr>
        <w:pStyle w:val="BodyText"/>
        <w:spacing w:line="360" w:lineRule="auto"/>
        <w:ind w:left="102" w:right="117"/>
        <w:jc w:val="both"/>
      </w:pPr>
      <w:r>
        <w:rPr/>
        <w:t>ARTÍCULO 39.- Las autoridades auxiliares, en sus respectivas jurisdicciones y conforme a las facultades que expresamente les determine la Ley Orgánica Municipal, auxiliarán en las siguientes acciones:</w:t>
      </w:r>
    </w:p>
    <w:p>
      <w:pPr>
        <w:pStyle w:val="BodyText"/>
        <w:spacing w:before="9"/>
        <w:rPr>
          <w:sz w:val="17"/>
        </w:rPr>
      </w:pPr>
    </w:p>
    <w:p>
      <w:pPr>
        <w:pStyle w:val="BodyText"/>
        <w:spacing w:line="360" w:lineRule="auto" w:before="1"/>
        <w:ind w:left="102" w:right="121"/>
        <w:jc w:val="both"/>
      </w:pPr>
      <w:r>
        <w:rPr/>
        <w:t>VI. Participar en la preservación y restauración del medio ambiente, de manera activa en los comités ambientalistas.</w:t>
      </w:r>
    </w:p>
    <w:p>
      <w:pPr>
        <w:pStyle w:val="BodyText"/>
        <w:spacing w:before="4"/>
        <w:rPr>
          <w:sz w:val="17"/>
        </w:rPr>
      </w:pPr>
    </w:p>
    <w:p>
      <w:pPr>
        <w:pStyle w:val="Heading6"/>
        <w:spacing w:line="362" w:lineRule="auto"/>
        <w:ind w:right="259"/>
      </w:pPr>
      <w:r>
        <w:rPr/>
        <w:t>TÍTULO SEXTO LOS SERVICIOS PÚBLICOS MUNICIPALES, CAPÍTULO V. LIMPIA Y DISPOSICIÓN DE RESIDUOS SÓLIDOS</w:t>
      </w:r>
    </w:p>
    <w:p>
      <w:pPr>
        <w:pStyle w:val="BodyText"/>
        <w:spacing w:before="7"/>
        <w:rPr>
          <w:b/>
          <w:sz w:val="17"/>
        </w:rPr>
      </w:pPr>
    </w:p>
    <w:p>
      <w:pPr>
        <w:pStyle w:val="BodyText"/>
        <w:spacing w:line="360" w:lineRule="auto"/>
        <w:ind w:left="102" w:right="115"/>
        <w:jc w:val="both"/>
      </w:pPr>
      <w:r>
        <w:rPr/>
        <w:t>ARTÍCULO 73.- Las industrias, clínicas, hospitales y consultorios comprendidos dentro de la jurisdicción municipal, serán responsables del almacenamiento, manejo, transporte y destino final de los residuos sólidos, orgánicos e inorgánicos que produzcan, así como los daños que ocasionan a la salud, el ambiente o al paisaje. Y sólo podrán confinar sus residuos sólidos en el relleno sanitario municipal, a través del convenio con el Ayuntamiento siempre y cuando no sean desechos químicos, bacteriológicos, tóxicos, corrosivos, reactivos, explosivos, o de alta peligrosidad a la salud humana, equilibrio ecológico o al medio ambiente.</w:t>
      </w:r>
    </w:p>
    <w:p>
      <w:pPr>
        <w:spacing w:after="0" w:line="360" w:lineRule="auto"/>
        <w:jc w:val="both"/>
        <w:sectPr>
          <w:pgSz w:w="12240" w:h="15840"/>
          <w:pgMar w:header="0" w:footer="1003" w:top="1360" w:bottom="1200" w:left="1600" w:right="1580"/>
        </w:sectPr>
      </w:pPr>
    </w:p>
    <w:p>
      <w:pPr>
        <w:pStyle w:val="Heading6"/>
        <w:spacing w:line="360" w:lineRule="auto" w:before="51"/>
        <w:ind w:right="118"/>
        <w:jc w:val="both"/>
      </w:pPr>
      <w:r>
        <w:rPr/>
        <w:t>TÍTULO OCTAVO CAPÍTULO ÚNICO. DE LAS FACULTADES DEL AYUNTAMIENTO EN LA MATERIA DE LA PRESERVACIÓN DEL MEDIO AMBIENTE Y EQUILIBRIO ECOLÓGICO</w:t>
      </w:r>
    </w:p>
    <w:p>
      <w:pPr>
        <w:pStyle w:val="BodyText"/>
        <w:spacing w:before="9"/>
        <w:rPr>
          <w:b/>
          <w:sz w:val="17"/>
        </w:rPr>
      </w:pPr>
    </w:p>
    <w:p>
      <w:pPr>
        <w:pStyle w:val="BodyText"/>
        <w:spacing w:line="360" w:lineRule="auto"/>
        <w:ind w:left="102" w:right="114"/>
        <w:jc w:val="both"/>
      </w:pPr>
      <w:r>
        <w:rPr/>
        <w:t>ARTÍCULO 153.- La preservación y restauración del medio ambiente y equilibrio  ecológico, se considera de máxima prioridad en la ejecución de planes, programas acciones y metas a cargo del</w:t>
      </w:r>
      <w:r>
        <w:rPr>
          <w:spacing w:val="-10"/>
        </w:rPr>
        <w:t> </w:t>
      </w:r>
      <w:r>
        <w:rPr/>
        <w:t>Ayuntamiento.</w:t>
      </w:r>
    </w:p>
    <w:p>
      <w:pPr>
        <w:pStyle w:val="BodyText"/>
        <w:spacing w:before="9"/>
        <w:rPr>
          <w:sz w:val="17"/>
        </w:rPr>
      </w:pPr>
    </w:p>
    <w:p>
      <w:pPr>
        <w:pStyle w:val="BodyText"/>
        <w:spacing w:line="360" w:lineRule="auto"/>
        <w:ind w:left="102" w:right="120"/>
        <w:jc w:val="both"/>
      </w:pPr>
      <w:r>
        <w:rPr/>
        <w:t>ARTÍCULO 154.- El Ayuntamiento promoverá la integración de programas específicos en materia ambiental y de ordenamiento ecológico, en concurrencia con las dependencias federales y estatales competentes, pero en todo caso atendrá las siguientes acciones:</w:t>
      </w:r>
    </w:p>
    <w:p>
      <w:pPr>
        <w:pStyle w:val="BodyText"/>
        <w:spacing w:before="7"/>
        <w:rPr>
          <w:sz w:val="17"/>
        </w:rPr>
      </w:pPr>
    </w:p>
    <w:p>
      <w:pPr>
        <w:pStyle w:val="ListParagraph"/>
        <w:numPr>
          <w:ilvl w:val="0"/>
          <w:numId w:val="358"/>
        </w:numPr>
        <w:tabs>
          <w:tab w:pos="287" w:val="left" w:leader="none"/>
        </w:tabs>
        <w:spacing w:line="240" w:lineRule="auto" w:before="0" w:after="0"/>
        <w:ind w:left="102" w:right="0" w:firstLine="0"/>
        <w:jc w:val="both"/>
        <w:rPr>
          <w:sz w:val="22"/>
        </w:rPr>
      </w:pPr>
      <w:r>
        <w:rPr>
          <w:sz w:val="22"/>
        </w:rPr>
        <w:t>Promoción de programas de educación ambiental con la participación social y</w:t>
      </w:r>
      <w:r>
        <w:rPr>
          <w:spacing w:val="-28"/>
          <w:sz w:val="22"/>
        </w:rPr>
        <w:t> </w:t>
      </w:r>
      <w:r>
        <w:rPr>
          <w:sz w:val="22"/>
        </w:rPr>
        <w:t>privada.</w:t>
      </w:r>
    </w:p>
    <w:p>
      <w:pPr>
        <w:pStyle w:val="BodyText"/>
        <w:spacing w:before="5"/>
        <w:rPr>
          <w:sz w:val="28"/>
        </w:rPr>
      </w:pPr>
    </w:p>
    <w:p>
      <w:pPr>
        <w:pStyle w:val="ListParagraph"/>
        <w:numPr>
          <w:ilvl w:val="0"/>
          <w:numId w:val="358"/>
        </w:numPr>
        <w:tabs>
          <w:tab w:pos="349" w:val="left" w:leader="none"/>
        </w:tabs>
        <w:spacing w:line="240" w:lineRule="auto" w:before="1" w:after="0"/>
        <w:ind w:left="348" w:right="0" w:hanging="246"/>
        <w:jc w:val="both"/>
        <w:rPr>
          <w:sz w:val="22"/>
        </w:rPr>
      </w:pPr>
      <w:r>
        <w:rPr>
          <w:sz w:val="22"/>
        </w:rPr>
        <w:t>Crear, fomentar y desarrollar la cultura del medio</w:t>
      </w:r>
      <w:r>
        <w:rPr>
          <w:spacing w:val="-27"/>
          <w:sz w:val="22"/>
        </w:rPr>
        <w:t> </w:t>
      </w:r>
      <w:r>
        <w:rPr>
          <w:sz w:val="22"/>
        </w:rPr>
        <w:t>ambiente.</w:t>
      </w:r>
    </w:p>
    <w:p>
      <w:pPr>
        <w:pStyle w:val="BodyText"/>
        <w:spacing w:before="3"/>
        <w:rPr>
          <w:sz w:val="28"/>
        </w:rPr>
      </w:pPr>
    </w:p>
    <w:p>
      <w:pPr>
        <w:pStyle w:val="ListParagraph"/>
        <w:numPr>
          <w:ilvl w:val="0"/>
          <w:numId w:val="358"/>
        </w:numPr>
        <w:tabs>
          <w:tab w:pos="527" w:val="left" w:leader="none"/>
        </w:tabs>
        <w:spacing w:line="360" w:lineRule="auto" w:before="0" w:after="0"/>
        <w:ind w:left="102" w:right="116" w:firstLine="0"/>
        <w:jc w:val="both"/>
        <w:rPr>
          <w:sz w:val="22"/>
        </w:rPr>
      </w:pPr>
      <w:r>
        <w:rPr>
          <w:sz w:val="22"/>
        </w:rPr>
        <w:t>Organizar a la ciudadanía en la participación en campañas de forestación, reforestación, jornadas de limpieza, campañas de concientización inherente a las</w:t>
      </w:r>
      <w:r>
        <w:rPr>
          <w:spacing w:val="-20"/>
          <w:sz w:val="22"/>
        </w:rPr>
        <w:t> </w:t>
      </w:r>
      <w:r>
        <w:rPr>
          <w:sz w:val="22"/>
        </w:rPr>
        <w:t>mismas.</w:t>
      </w:r>
    </w:p>
    <w:p>
      <w:pPr>
        <w:pStyle w:val="BodyText"/>
        <w:spacing w:before="9"/>
        <w:rPr>
          <w:sz w:val="17"/>
        </w:rPr>
      </w:pPr>
    </w:p>
    <w:p>
      <w:pPr>
        <w:pStyle w:val="ListParagraph"/>
        <w:numPr>
          <w:ilvl w:val="0"/>
          <w:numId w:val="358"/>
        </w:numPr>
        <w:tabs>
          <w:tab w:pos="501" w:val="left" w:leader="none"/>
        </w:tabs>
        <w:spacing w:line="360" w:lineRule="auto" w:before="0" w:after="0"/>
        <w:ind w:left="102" w:right="116" w:firstLine="0"/>
        <w:jc w:val="both"/>
        <w:rPr>
          <w:i/>
          <w:sz w:val="22"/>
        </w:rPr>
      </w:pPr>
      <w:r>
        <w:rPr>
          <w:i/>
          <w:sz w:val="22"/>
        </w:rPr>
        <w:t>Participar activamente con dependencias federales y estatales en la vigilancia y </w:t>
      </w:r>
      <w:r>
        <w:rPr>
          <w:i/>
          <w:sz w:val="22"/>
        </w:rPr>
        <w:t>recursos naturales para que su explotación sea sustentable, particularmente en aguas superficiales, lagunas, ríos y</w:t>
      </w:r>
      <w:r>
        <w:rPr>
          <w:i/>
          <w:spacing w:val="-6"/>
          <w:sz w:val="22"/>
        </w:rPr>
        <w:t> </w:t>
      </w:r>
      <w:r>
        <w:rPr>
          <w:i/>
          <w:sz w:val="22"/>
        </w:rPr>
        <w:t>bosques.</w:t>
      </w:r>
    </w:p>
    <w:p>
      <w:pPr>
        <w:pStyle w:val="BodyText"/>
        <w:spacing w:before="9"/>
        <w:rPr>
          <w:i/>
          <w:sz w:val="17"/>
        </w:rPr>
      </w:pPr>
    </w:p>
    <w:p>
      <w:pPr>
        <w:pStyle w:val="ListParagraph"/>
        <w:numPr>
          <w:ilvl w:val="0"/>
          <w:numId w:val="358"/>
        </w:numPr>
        <w:tabs>
          <w:tab w:pos="405" w:val="left" w:leader="none"/>
        </w:tabs>
        <w:spacing w:line="360" w:lineRule="auto" w:before="0" w:after="0"/>
        <w:ind w:left="102" w:right="121" w:firstLine="0"/>
        <w:jc w:val="both"/>
        <w:rPr>
          <w:i/>
          <w:sz w:val="22"/>
        </w:rPr>
      </w:pPr>
      <w:r>
        <w:rPr>
          <w:i/>
          <w:sz w:val="22"/>
        </w:rPr>
        <w:t>Vigilar que en el municipio se cumplan y se hagan cumplir las disposiciones legales </w:t>
      </w:r>
      <w:r>
        <w:rPr>
          <w:i/>
          <w:sz w:val="22"/>
        </w:rPr>
        <w:t>para prevenir y evitar la contaminación de aguas suelo, aire y zonas</w:t>
      </w:r>
      <w:r>
        <w:rPr>
          <w:i/>
          <w:spacing w:val="-23"/>
          <w:sz w:val="22"/>
        </w:rPr>
        <w:t> </w:t>
      </w:r>
      <w:r>
        <w:rPr>
          <w:i/>
          <w:sz w:val="22"/>
        </w:rPr>
        <w:t>forestales.</w:t>
      </w:r>
    </w:p>
    <w:p>
      <w:pPr>
        <w:pStyle w:val="BodyText"/>
        <w:spacing w:before="7"/>
        <w:rPr>
          <w:i/>
          <w:sz w:val="17"/>
        </w:rPr>
      </w:pPr>
    </w:p>
    <w:p>
      <w:pPr>
        <w:spacing w:line="360" w:lineRule="auto" w:before="0"/>
        <w:ind w:left="102" w:right="121" w:firstLine="0"/>
        <w:jc w:val="both"/>
        <w:rPr>
          <w:i/>
          <w:sz w:val="22"/>
        </w:rPr>
      </w:pPr>
      <w:r>
        <w:rPr>
          <w:i/>
          <w:sz w:val="22"/>
        </w:rPr>
        <w:t>XI. Denunciar a la autoridad competente la tala clandestina, así como la cacería de </w:t>
      </w:r>
      <w:r>
        <w:rPr>
          <w:i/>
          <w:sz w:val="22"/>
        </w:rPr>
        <w:t>especies silvestres de la región.</w:t>
      </w:r>
    </w:p>
    <w:p>
      <w:pPr>
        <w:pStyle w:val="BodyText"/>
        <w:spacing w:before="9"/>
        <w:rPr>
          <w:i/>
          <w:sz w:val="17"/>
        </w:rPr>
      </w:pPr>
    </w:p>
    <w:p>
      <w:pPr>
        <w:pStyle w:val="BodyText"/>
        <w:spacing w:line="360" w:lineRule="auto"/>
        <w:ind w:left="102" w:right="120"/>
        <w:jc w:val="both"/>
      </w:pPr>
      <w:r>
        <w:rPr/>
        <w:t>XIII. Instituir un sistema de estímulos a los vecinos y grupos vecinales que desarrollen actividades de protección del medio ambiente.</w:t>
      </w:r>
    </w:p>
    <w:p>
      <w:pPr>
        <w:pStyle w:val="BodyText"/>
        <w:spacing w:before="7"/>
        <w:rPr>
          <w:sz w:val="17"/>
        </w:rPr>
      </w:pPr>
    </w:p>
    <w:p>
      <w:pPr>
        <w:pStyle w:val="BodyText"/>
        <w:spacing w:line="360" w:lineRule="auto"/>
        <w:ind w:left="102" w:right="119"/>
        <w:jc w:val="both"/>
      </w:pPr>
      <w:r>
        <w:rPr/>
        <w:t>ARTÍCULO 155.- Son infracciones a las disposiciones sobre la protección al medio ambiente:</w:t>
      </w:r>
    </w:p>
    <w:p>
      <w:pPr>
        <w:pStyle w:val="BodyText"/>
        <w:spacing w:before="9"/>
        <w:rPr>
          <w:sz w:val="17"/>
        </w:rPr>
      </w:pPr>
    </w:p>
    <w:p>
      <w:pPr>
        <w:pStyle w:val="BodyText"/>
        <w:spacing w:line="360" w:lineRule="auto"/>
        <w:ind w:left="102" w:right="114"/>
        <w:jc w:val="both"/>
      </w:pPr>
      <w:r>
        <w:rPr/>
        <w:t>IV. Tirar o depositar desechos sólidos en la vía pública, coladeras o alcantarillas, parques, jardines, barrancas, bienes del dominio público o de uso común, predios baldíos, o en lugares no autorizados; abandonar o tirar desechos sólidos en dichos lugares, con motivo del   ejercicio   de   la   actividad   comercial   en   mercados,   tianguis,    establecimientos</w:t>
      </w:r>
    </w:p>
    <w:p>
      <w:pPr>
        <w:spacing w:after="0" w:line="360" w:lineRule="auto"/>
        <w:jc w:val="both"/>
        <w:sectPr>
          <w:pgSz w:w="12240" w:h="15840"/>
          <w:pgMar w:header="0" w:footer="1003" w:top="1360" w:bottom="1200" w:left="1600" w:right="1580"/>
        </w:sectPr>
      </w:pPr>
    </w:p>
    <w:p>
      <w:pPr>
        <w:pStyle w:val="BodyText"/>
        <w:spacing w:line="362" w:lineRule="auto" w:before="53"/>
        <w:ind w:left="102" w:right="115"/>
        <w:jc w:val="both"/>
      </w:pPr>
      <w:r>
        <w:rPr/>
        <w:t>comerciales u otros lugares autorizados; así como depositar o abandonar desechos sólidos en la vía pública, los días en que no esté programado el servicio de recolección;</w:t>
      </w:r>
    </w:p>
    <w:p>
      <w:pPr>
        <w:pStyle w:val="BodyText"/>
        <w:spacing w:before="4"/>
        <w:rPr>
          <w:sz w:val="17"/>
        </w:rPr>
      </w:pPr>
    </w:p>
    <w:p>
      <w:pPr>
        <w:pStyle w:val="BodyText"/>
        <w:spacing w:line="360" w:lineRule="auto"/>
        <w:ind w:left="102" w:right="116"/>
        <w:jc w:val="both"/>
      </w:pPr>
      <w:r>
        <w:rPr/>
        <w:t>VII. Derramar o tirar desechos líquidos, tales como gasolina, gas licuado de petróleo, petróleo, aceites, grasas, residuos lácteos (suero) y sustancias tóxicas o explosivas, a las alcantarillas, pozos de visita, cajas de válvula, parques y jardines, en la vía pública y en instalaciones de agua potable y drenaje; en caso de no tener sanitarios, cuando se realicen en áreas públicas actividades comerciales en tianguis, exposiciones,  espectáculos públicos y otros eventos</w:t>
      </w:r>
      <w:r>
        <w:rPr>
          <w:spacing w:val="-8"/>
        </w:rPr>
        <w:t> </w:t>
      </w:r>
      <w:r>
        <w:rPr/>
        <w:t>similares;</w:t>
      </w:r>
    </w:p>
    <w:p>
      <w:pPr>
        <w:pStyle w:val="BodyText"/>
        <w:spacing w:before="7"/>
        <w:rPr>
          <w:sz w:val="17"/>
        </w:rPr>
      </w:pPr>
    </w:p>
    <w:p>
      <w:pPr>
        <w:pStyle w:val="BodyText"/>
        <w:spacing w:line="360" w:lineRule="auto"/>
        <w:ind w:left="102" w:right="121"/>
        <w:jc w:val="both"/>
      </w:pPr>
      <w:r>
        <w:rPr/>
        <w:t>XXI. Incumplir cualquier otra obligación o prohibición sobre la protección al medio ambiente que señale este</w:t>
      </w:r>
    </w:p>
    <w:p>
      <w:pPr>
        <w:pStyle w:val="BodyText"/>
        <w:spacing w:before="7"/>
        <w:rPr>
          <w:sz w:val="17"/>
        </w:rPr>
      </w:pPr>
    </w:p>
    <w:p>
      <w:pPr>
        <w:pStyle w:val="Heading6"/>
        <w:spacing w:line="360" w:lineRule="auto"/>
        <w:ind w:right="118"/>
        <w:jc w:val="both"/>
      </w:pPr>
      <w:r>
        <w:rPr/>
        <w:t>TÍTULO DÉCIMO TERCERO LAS INFRACCIONES, SANCIONES Y RECURSOS CAPÍTULO I. FALTAS E INFRACCIONES AL BANDO MUNICIPAL Y SUS REGLAMENTOS</w:t>
      </w:r>
    </w:p>
    <w:p>
      <w:pPr>
        <w:pStyle w:val="BodyText"/>
        <w:spacing w:before="9"/>
        <w:rPr>
          <w:b/>
          <w:sz w:val="17"/>
        </w:rPr>
      </w:pPr>
    </w:p>
    <w:p>
      <w:pPr>
        <w:pStyle w:val="BodyText"/>
        <w:spacing w:line="360" w:lineRule="auto"/>
        <w:ind w:left="102" w:right="117"/>
        <w:jc w:val="both"/>
      </w:pPr>
      <w:r>
        <w:rPr/>
        <w:t>ARTÍCULO 195.- Se determinan como faltas administrativas o infracciones, las acciones y omisiones de los vecinos, habitantes, visitantes y transeúntes, desde los trece años de edad en adelante que contravengan las disposiciones en el presente Bando Municipal, los reglamentos y disposiciones de observancia general que apruebe el Ayuntamiento entre las que se encuentran las siguientes:</w:t>
      </w:r>
    </w:p>
    <w:p>
      <w:pPr>
        <w:pStyle w:val="BodyText"/>
        <w:spacing w:before="7"/>
        <w:rPr>
          <w:sz w:val="17"/>
        </w:rPr>
      </w:pPr>
    </w:p>
    <w:p>
      <w:pPr>
        <w:pStyle w:val="BodyText"/>
        <w:spacing w:line="360" w:lineRule="auto"/>
        <w:ind w:left="102" w:right="115"/>
        <w:jc w:val="both"/>
      </w:pPr>
      <w:r>
        <w:rPr/>
        <w:t>V. Alterar el medio ambiente del municipio en cualquier forma, ya sea produciendo ruidos que provoquen molestias o alteren la tranquilidad de las personas, así como  arrojar basura en la </w:t>
      </w:r>
      <w:r>
        <w:rPr>
          <w:spacing w:val="-3"/>
        </w:rPr>
        <w:t>vía </w:t>
      </w:r>
      <w:r>
        <w:rPr/>
        <w:t>pública, quemar material al aire libre, desechar basura o  aguas  residuales a ríos, arroyos, canales o presas sin prejuicios de remitirlos a la autoridad correspondiente.</w:t>
      </w:r>
    </w:p>
    <w:p>
      <w:pPr>
        <w:pStyle w:val="BodyText"/>
        <w:spacing w:before="4"/>
        <w:rPr>
          <w:sz w:val="17"/>
        </w:rPr>
      </w:pPr>
    </w:p>
    <w:p>
      <w:pPr>
        <w:pStyle w:val="Heading6"/>
        <w:spacing w:line="360" w:lineRule="auto"/>
        <w:ind w:right="116"/>
        <w:jc w:val="both"/>
      </w:pPr>
      <w:r>
        <w:rPr/>
        <w:t>BANDO MUNICIPAL DE JILOTEPEC 2013-2015, TITULO PRIMERO DEL MUNICIPIO, CAPÍTULO TERCERO DEL TERRITORIO Y SU ORGANIZACIÓN ADMINISTRATIVA</w:t>
      </w:r>
    </w:p>
    <w:p>
      <w:pPr>
        <w:pStyle w:val="BodyText"/>
        <w:rPr>
          <w:b/>
          <w:sz w:val="18"/>
        </w:rPr>
      </w:pPr>
    </w:p>
    <w:p>
      <w:pPr>
        <w:pStyle w:val="BodyText"/>
        <w:ind w:left="102"/>
        <w:jc w:val="both"/>
      </w:pPr>
      <w:r>
        <w:rPr/>
        <w:t>Artículo 28. El Ayuntamiento tiene como fines:</w:t>
      </w:r>
    </w:p>
    <w:p>
      <w:pPr>
        <w:pStyle w:val="BodyText"/>
        <w:spacing w:before="3"/>
        <w:rPr>
          <w:sz w:val="28"/>
        </w:rPr>
      </w:pPr>
    </w:p>
    <w:p>
      <w:pPr>
        <w:pStyle w:val="ListParagraph"/>
        <w:numPr>
          <w:ilvl w:val="0"/>
          <w:numId w:val="359"/>
        </w:numPr>
        <w:tabs>
          <w:tab w:pos="287" w:val="left" w:leader="none"/>
        </w:tabs>
        <w:spacing w:line="240" w:lineRule="auto" w:before="0" w:after="0"/>
        <w:ind w:left="102" w:right="0" w:firstLine="0"/>
        <w:jc w:val="both"/>
        <w:rPr>
          <w:sz w:val="22"/>
        </w:rPr>
      </w:pPr>
      <w:r>
        <w:rPr>
          <w:sz w:val="22"/>
        </w:rPr>
        <w:t>Fomentar el bienestar social y calidad de</w:t>
      </w:r>
      <w:r>
        <w:rPr>
          <w:spacing w:val="-14"/>
          <w:sz w:val="22"/>
        </w:rPr>
        <w:t> </w:t>
      </w:r>
      <w:r>
        <w:rPr>
          <w:sz w:val="22"/>
        </w:rPr>
        <w:t>vida;</w:t>
      </w:r>
    </w:p>
    <w:p>
      <w:pPr>
        <w:spacing w:after="0" w:line="240" w:lineRule="auto"/>
        <w:jc w:val="both"/>
        <w:rPr>
          <w:sz w:val="22"/>
        </w:rPr>
        <w:sectPr>
          <w:pgSz w:w="12240" w:h="15840"/>
          <w:pgMar w:header="0" w:footer="1003" w:top="1360" w:bottom="1200" w:left="1600" w:right="1580"/>
        </w:sectPr>
      </w:pPr>
    </w:p>
    <w:p>
      <w:pPr>
        <w:pStyle w:val="ListParagraph"/>
        <w:numPr>
          <w:ilvl w:val="0"/>
          <w:numId w:val="359"/>
        </w:numPr>
        <w:tabs>
          <w:tab w:pos="424" w:val="left" w:leader="none"/>
        </w:tabs>
        <w:spacing w:line="360" w:lineRule="auto" w:before="53" w:after="0"/>
        <w:ind w:left="102" w:right="118" w:firstLine="0"/>
        <w:jc w:val="both"/>
        <w:rPr>
          <w:sz w:val="22"/>
        </w:rPr>
      </w:pPr>
      <w:r>
        <w:rPr>
          <w:sz w:val="22"/>
        </w:rPr>
        <w:t>Propiciar la satisfacción de las necesidades económicas, sociales, de diversidad cultural y de un medio ambiente sano de la actual generación, sin poner en riesgo la satisfacción de las mismas a las generaciones</w:t>
      </w:r>
      <w:r>
        <w:rPr>
          <w:spacing w:val="-11"/>
          <w:sz w:val="22"/>
        </w:rPr>
        <w:t> </w:t>
      </w:r>
      <w:r>
        <w:rPr>
          <w:sz w:val="22"/>
        </w:rPr>
        <w:t>futuras;</w:t>
      </w:r>
    </w:p>
    <w:p>
      <w:pPr>
        <w:pStyle w:val="BodyText"/>
        <w:spacing w:before="7"/>
        <w:rPr>
          <w:sz w:val="17"/>
        </w:rPr>
      </w:pPr>
    </w:p>
    <w:p>
      <w:pPr>
        <w:pStyle w:val="BodyText"/>
        <w:spacing w:line="360" w:lineRule="auto"/>
        <w:ind w:left="102" w:right="117"/>
        <w:jc w:val="both"/>
      </w:pPr>
      <w:r>
        <w:rPr/>
        <w:t>X. Coadyuvar a la preservación, protección y mejoramiento del medio ambiente del Municipio, a través de acciones sostenibles;</w:t>
      </w:r>
    </w:p>
    <w:p>
      <w:pPr>
        <w:pStyle w:val="BodyText"/>
        <w:spacing w:before="7"/>
        <w:rPr>
          <w:sz w:val="17"/>
        </w:rPr>
      </w:pPr>
    </w:p>
    <w:p>
      <w:pPr>
        <w:pStyle w:val="Heading6"/>
        <w:spacing w:line="360" w:lineRule="auto"/>
        <w:ind w:right="116"/>
        <w:jc w:val="both"/>
      </w:pPr>
      <w:r>
        <w:rPr/>
        <w:t>TÍTULO SEGUNDO DE LA ORGANIZACIÓN ADMINISTRATIVA DEL MUNICIPIO, CAPÍTULO SEGUNDO DE LOS ÓRGANOS, LAS AUTORIDADES AUXILIARES Y LA PARTICIPACIÓN CIUDADANA</w:t>
      </w:r>
    </w:p>
    <w:p>
      <w:pPr>
        <w:pStyle w:val="BodyText"/>
        <w:rPr>
          <w:b/>
        </w:rPr>
      </w:pPr>
    </w:p>
    <w:p>
      <w:pPr>
        <w:pStyle w:val="BodyText"/>
        <w:spacing w:line="360" w:lineRule="auto" w:before="132"/>
        <w:ind w:left="102" w:right="116"/>
        <w:jc w:val="both"/>
      </w:pPr>
      <w:r>
        <w:rPr/>
        <w:t>Artículo 47.- El Gobierno Municipal propiciará los mecanismos que incentiven, promuevan, garanticen y fortalezcan el bienestar social, a través de la participación ciudadana de manera organizada, con los cuales los habitantes del Municipio podrán participar  individual o colectivamente, mediante las siguientes</w:t>
      </w:r>
      <w:r>
        <w:rPr>
          <w:spacing w:val="-13"/>
        </w:rPr>
        <w:t> </w:t>
      </w:r>
      <w:r>
        <w:rPr/>
        <w:t>acciones:</w:t>
      </w:r>
    </w:p>
    <w:p>
      <w:pPr>
        <w:pStyle w:val="BodyText"/>
        <w:spacing w:before="9"/>
        <w:rPr>
          <w:sz w:val="17"/>
        </w:rPr>
      </w:pPr>
    </w:p>
    <w:p>
      <w:pPr>
        <w:pStyle w:val="BodyText"/>
        <w:spacing w:line="360" w:lineRule="auto"/>
        <w:ind w:left="102" w:right="118"/>
        <w:jc w:val="both"/>
      </w:pPr>
      <w:r>
        <w:rPr/>
        <w:t>II. Ejercer el derecho de petición para señalar actos que pongan en peligro la seguridad, el orden, la salud y el medio ambiente o denunciar hechos considerados en detrimento de la hacienda y el patrimonio municipal, sin más formalidades que hacerlo por escrito, en  forma pacífica y respetuosa, de las cuales la autoridad tendrá la obligación de responderle al particular de conformidad a lo establecido en el Código de Procedimientos Administrativos vigente en la Entidad, sin estar obligado necesariamente a otorgar una respuesta positiva al</w:t>
      </w:r>
      <w:r>
        <w:rPr>
          <w:spacing w:val="-12"/>
        </w:rPr>
        <w:t> </w:t>
      </w:r>
      <w:r>
        <w:rPr/>
        <w:t>particular.</w:t>
      </w:r>
    </w:p>
    <w:p>
      <w:pPr>
        <w:pStyle w:val="BodyText"/>
        <w:spacing w:before="4"/>
        <w:rPr>
          <w:sz w:val="17"/>
        </w:rPr>
      </w:pPr>
    </w:p>
    <w:p>
      <w:pPr>
        <w:pStyle w:val="Heading6"/>
        <w:spacing w:line="360" w:lineRule="auto"/>
        <w:ind w:right="114"/>
        <w:jc w:val="both"/>
      </w:pPr>
      <w:r>
        <w:rPr/>
        <w:t>TÍTULO QUINTO DEL DESARROLLO MUNICIPAL, CAPÍTULO SEGUNDO DEL DESARROLLO SUSTENTABLE</w:t>
      </w:r>
    </w:p>
    <w:p>
      <w:pPr>
        <w:pStyle w:val="BodyText"/>
        <w:spacing w:line="360" w:lineRule="auto" w:before="5"/>
        <w:ind w:left="102" w:right="118"/>
        <w:jc w:val="both"/>
      </w:pPr>
      <w:r>
        <w:rPr/>
        <w:t>Artículo 111.- Se entenderá para efectos del presente Bando Municipal al desarrollo sustentable como el proceso mediante el cual se preserva, conserva, protege los recursos naturales, así como mejora el medio ambiente.</w:t>
      </w:r>
    </w:p>
    <w:p>
      <w:pPr>
        <w:pStyle w:val="BodyText"/>
        <w:spacing w:before="10"/>
        <w:rPr>
          <w:sz w:val="17"/>
        </w:rPr>
      </w:pPr>
    </w:p>
    <w:p>
      <w:pPr>
        <w:pStyle w:val="BodyText"/>
        <w:spacing w:line="360" w:lineRule="auto"/>
        <w:ind w:left="102" w:right="119"/>
        <w:jc w:val="both"/>
      </w:pPr>
      <w:r>
        <w:rPr/>
        <w:t>Artículo 113.- El Ayuntamiento en materia de conservación ecológica y protección al  medio ambiente realizará las siguientes</w:t>
      </w:r>
      <w:r>
        <w:rPr>
          <w:spacing w:val="-17"/>
        </w:rPr>
        <w:t> </w:t>
      </w:r>
      <w:r>
        <w:rPr/>
        <w:t>acciones:</w:t>
      </w:r>
    </w:p>
    <w:p>
      <w:pPr>
        <w:pStyle w:val="BodyText"/>
        <w:spacing w:before="7"/>
        <w:rPr>
          <w:sz w:val="17"/>
        </w:rPr>
      </w:pPr>
    </w:p>
    <w:p>
      <w:pPr>
        <w:pStyle w:val="ListParagraph"/>
        <w:numPr>
          <w:ilvl w:val="0"/>
          <w:numId w:val="360"/>
        </w:numPr>
        <w:tabs>
          <w:tab w:pos="354" w:val="left" w:leader="none"/>
        </w:tabs>
        <w:spacing w:line="362" w:lineRule="auto" w:before="0" w:after="0"/>
        <w:ind w:left="102" w:right="119" w:firstLine="0"/>
        <w:jc w:val="both"/>
        <w:rPr>
          <w:sz w:val="22"/>
        </w:rPr>
      </w:pPr>
      <w:r>
        <w:rPr>
          <w:sz w:val="22"/>
        </w:rPr>
        <w:t>Promover la participación solidaria y subsidiaria de la sociedad en la planeación, determinación, ejecución, operación y evaluación de la política</w:t>
      </w:r>
      <w:r>
        <w:rPr>
          <w:spacing w:val="-22"/>
          <w:sz w:val="22"/>
        </w:rPr>
        <w:t> </w:t>
      </w:r>
      <w:r>
        <w:rPr>
          <w:sz w:val="22"/>
        </w:rPr>
        <w:t>ambiental;</w:t>
      </w:r>
    </w:p>
    <w:p>
      <w:pPr>
        <w:spacing w:after="0" w:line="362" w:lineRule="auto"/>
        <w:jc w:val="both"/>
        <w:rPr>
          <w:sz w:val="22"/>
        </w:rPr>
        <w:sectPr>
          <w:pgSz w:w="12240" w:h="15840"/>
          <w:pgMar w:header="0" w:footer="1003" w:top="1360" w:bottom="1200" w:left="1600" w:right="1580"/>
        </w:sectPr>
      </w:pPr>
    </w:p>
    <w:p>
      <w:pPr>
        <w:pStyle w:val="ListParagraph"/>
        <w:numPr>
          <w:ilvl w:val="0"/>
          <w:numId w:val="360"/>
        </w:numPr>
        <w:tabs>
          <w:tab w:pos="424" w:val="left" w:leader="none"/>
        </w:tabs>
        <w:spacing w:line="360" w:lineRule="auto" w:before="53" w:after="0"/>
        <w:ind w:left="102" w:right="115" w:firstLine="0"/>
        <w:jc w:val="both"/>
        <w:rPr>
          <w:sz w:val="22"/>
        </w:rPr>
      </w:pPr>
      <w:r>
        <w:rPr>
          <w:sz w:val="22"/>
        </w:rPr>
        <w:t>Fomentar y difundir ante la ciudadanía, una conciencia de cultura ambiental en coordinación con las autoridades educativas; así como en la protección, preservación y restauración del equilibrio ecológico y la conservación de los recursos naturales;</w:t>
      </w:r>
      <w:r>
        <w:rPr>
          <w:spacing w:val="-18"/>
          <w:sz w:val="22"/>
        </w:rPr>
        <w:t> </w:t>
      </w:r>
      <w:r>
        <w:rPr>
          <w:sz w:val="22"/>
        </w:rPr>
        <w:t>y</w:t>
      </w:r>
    </w:p>
    <w:p>
      <w:pPr>
        <w:pStyle w:val="BodyText"/>
        <w:spacing w:before="7"/>
        <w:rPr>
          <w:sz w:val="17"/>
        </w:rPr>
      </w:pPr>
    </w:p>
    <w:p>
      <w:pPr>
        <w:pStyle w:val="ListParagraph"/>
        <w:numPr>
          <w:ilvl w:val="0"/>
          <w:numId w:val="360"/>
        </w:numPr>
        <w:tabs>
          <w:tab w:pos="419" w:val="left" w:leader="none"/>
        </w:tabs>
        <w:spacing w:line="360" w:lineRule="auto" w:before="0" w:after="0"/>
        <w:ind w:left="102" w:right="114" w:firstLine="0"/>
        <w:jc w:val="both"/>
        <w:rPr>
          <w:sz w:val="22"/>
        </w:rPr>
      </w:pPr>
      <w:r>
        <w:rPr>
          <w:sz w:val="22"/>
        </w:rPr>
        <w:t>Propiciar el mejoramiento de los ecosistemas, mediante la concertación de acciones e inversiones con los sectores público, social y privado, con las instituciones académicas, grupos y organizaciones sociales y personas</w:t>
      </w:r>
      <w:r>
        <w:rPr>
          <w:spacing w:val="-12"/>
          <w:sz w:val="22"/>
        </w:rPr>
        <w:t> </w:t>
      </w:r>
      <w:r>
        <w:rPr>
          <w:sz w:val="22"/>
        </w:rPr>
        <w:t>interesadas.</w:t>
      </w:r>
    </w:p>
    <w:p>
      <w:pPr>
        <w:pStyle w:val="BodyText"/>
        <w:spacing w:before="9"/>
        <w:rPr>
          <w:sz w:val="17"/>
        </w:rPr>
      </w:pPr>
    </w:p>
    <w:p>
      <w:pPr>
        <w:pStyle w:val="BodyText"/>
        <w:spacing w:line="360" w:lineRule="auto"/>
        <w:ind w:left="102" w:right="112"/>
        <w:jc w:val="both"/>
      </w:pPr>
      <w:r>
        <w:rPr/>
        <w:t>Artículo 116. En materia de conservación ecológica y protección al ambiente, son obligaciones de la población del Municipio:</w:t>
      </w:r>
    </w:p>
    <w:p>
      <w:pPr>
        <w:pStyle w:val="BodyText"/>
        <w:spacing w:before="7"/>
        <w:rPr>
          <w:sz w:val="17"/>
        </w:rPr>
      </w:pPr>
    </w:p>
    <w:p>
      <w:pPr>
        <w:pStyle w:val="BodyText"/>
        <w:spacing w:line="360" w:lineRule="auto"/>
        <w:ind w:left="102" w:right="121"/>
        <w:jc w:val="both"/>
      </w:pPr>
      <w:r>
        <w:rPr/>
        <w:t>III. Participar en las campañas de preservación y restauración del medio ambiente, incluyendo las de forestación y reforestación;</w:t>
      </w:r>
    </w:p>
    <w:p>
      <w:pPr>
        <w:pStyle w:val="BodyText"/>
        <w:spacing w:before="9"/>
        <w:rPr>
          <w:sz w:val="17"/>
        </w:rPr>
      </w:pPr>
    </w:p>
    <w:p>
      <w:pPr>
        <w:pStyle w:val="BodyText"/>
        <w:spacing w:line="360" w:lineRule="auto"/>
        <w:ind w:left="102" w:right="112"/>
        <w:jc w:val="both"/>
      </w:pPr>
      <w:r>
        <w:rPr/>
        <w:t>VI. Cumplir con las acciones tendientes a prevenir, minimizar o reparar los daños que llegara a causar, retirar o reubicar objetos o animales que generen perjuicios para la salud pública y al medio ambiente, así como asumir los costos de dicha afectación;</w:t>
      </w:r>
    </w:p>
    <w:p>
      <w:pPr>
        <w:pStyle w:val="BodyText"/>
        <w:spacing w:before="9"/>
        <w:rPr>
          <w:sz w:val="17"/>
        </w:rPr>
      </w:pPr>
    </w:p>
    <w:p>
      <w:pPr>
        <w:pStyle w:val="BodyText"/>
        <w:ind w:left="102"/>
        <w:jc w:val="both"/>
      </w:pPr>
      <w:r>
        <w:rPr/>
        <w:t>Artículo 117.- Queda estrictamente prohibido a la población:</w:t>
      </w:r>
    </w:p>
    <w:p>
      <w:pPr>
        <w:pStyle w:val="BodyText"/>
        <w:spacing w:before="3"/>
        <w:rPr>
          <w:sz w:val="28"/>
        </w:rPr>
      </w:pPr>
    </w:p>
    <w:p>
      <w:pPr>
        <w:pStyle w:val="BodyText"/>
        <w:spacing w:line="360" w:lineRule="auto"/>
        <w:ind w:left="102" w:right="118"/>
        <w:jc w:val="both"/>
      </w:pPr>
      <w:r>
        <w:rPr/>
        <w:t>IV. Quemar basura, hojas de árboles, llantas o cualquier otro tipo de residuos y objetos a cielo abierto que puedan afectar al medio ambiente;</w:t>
      </w:r>
    </w:p>
    <w:p>
      <w:pPr>
        <w:pStyle w:val="BodyText"/>
        <w:spacing w:before="7"/>
        <w:rPr>
          <w:sz w:val="17"/>
        </w:rPr>
      </w:pPr>
    </w:p>
    <w:p>
      <w:pPr>
        <w:pStyle w:val="Heading6"/>
        <w:ind w:right="117"/>
        <w:jc w:val="both"/>
      </w:pPr>
      <w:r>
        <w:rPr/>
        <w:t>TÍTULO SEXTO DE LA JUSTICIA MUNICIPAL, CAPÍTULO TERCERO DE LAS INFRACCIONES Y SUS SANCIONES</w:t>
      </w:r>
    </w:p>
    <w:p>
      <w:pPr>
        <w:pStyle w:val="BodyText"/>
        <w:spacing w:before="2"/>
        <w:rPr>
          <w:b/>
        </w:rPr>
      </w:pPr>
    </w:p>
    <w:p>
      <w:pPr>
        <w:pStyle w:val="BodyText"/>
        <w:spacing w:line="360" w:lineRule="auto" w:before="1"/>
        <w:ind w:left="102" w:right="116"/>
        <w:jc w:val="both"/>
      </w:pPr>
      <w:r>
        <w:rPr/>
        <w:t>Artículo 164.- Las infracciones al presente Bando, disposiciones  reglamentarias, acuerdos, circulares y disposiciones administrativas, serán sancionadas con:</w:t>
      </w:r>
    </w:p>
    <w:p>
      <w:pPr>
        <w:pStyle w:val="BodyText"/>
        <w:spacing w:before="7"/>
        <w:rPr>
          <w:sz w:val="17"/>
        </w:rPr>
      </w:pPr>
    </w:p>
    <w:p>
      <w:pPr>
        <w:pStyle w:val="BodyText"/>
        <w:spacing w:line="360" w:lineRule="auto"/>
        <w:ind w:left="102" w:right="116"/>
        <w:jc w:val="both"/>
      </w:pPr>
      <w:r>
        <w:rPr/>
        <w:t>i. Clausura definitiva cuando dentro del ejercicio de la actividad comercial, industrial, turística, o de servicios se realicen actos que atenten contra el medio ambiente, la salud y la seguridad pública y/o que en su momento pudieran constituir una conducta tipificada como delito en la legislación penal, estatal o federal vigentes. Esta sanción se impondrá independientemente de las previstas en otros ordenamientos.</w:t>
      </w:r>
    </w:p>
    <w:p>
      <w:pPr>
        <w:pStyle w:val="BodyText"/>
        <w:spacing w:before="7"/>
        <w:rPr>
          <w:sz w:val="17"/>
        </w:rPr>
      </w:pPr>
    </w:p>
    <w:p>
      <w:pPr>
        <w:pStyle w:val="BodyText"/>
        <w:spacing w:line="360" w:lineRule="auto"/>
        <w:ind w:left="102" w:right="116"/>
        <w:jc w:val="both"/>
      </w:pPr>
      <w:r>
        <w:rPr/>
        <w:t>Artículo 167.- Son infracciones a las disposiciones en materia de protección al medio ambiente que podrán ser calificadas con una multa de hasta cincuenta días de salario mínimo, a quien:</w:t>
      </w:r>
    </w:p>
    <w:p>
      <w:pPr>
        <w:spacing w:after="0" w:line="360" w:lineRule="auto"/>
        <w:jc w:val="both"/>
        <w:sectPr>
          <w:pgSz w:w="12240" w:h="15840"/>
          <w:pgMar w:header="0" w:footer="1003" w:top="1360" w:bottom="1200" w:left="1600" w:right="1580"/>
        </w:sectPr>
      </w:pPr>
    </w:p>
    <w:p>
      <w:pPr>
        <w:pStyle w:val="BodyText"/>
        <w:spacing w:line="362" w:lineRule="auto" w:before="53"/>
        <w:ind w:left="102" w:right="117"/>
        <w:jc w:val="both"/>
      </w:pPr>
      <w:r>
        <w:rPr/>
        <w:t>II. No participe con las autoridades municipales en la prevención y mejoramiento del ambiente;</w:t>
      </w:r>
    </w:p>
    <w:p>
      <w:pPr>
        <w:pStyle w:val="BodyText"/>
        <w:spacing w:before="4"/>
        <w:rPr>
          <w:sz w:val="17"/>
        </w:rPr>
      </w:pPr>
    </w:p>
    <w:p>
      <w:pPr>
        <w:pStyle w:val="BodyText"/>
        <w:spacing w:line="360" w:lineRule="auto"/>
        <w:ind w:left="102" w:right="121"/>
        <w:jc w:val="both"/>
      </w:pPr>
      <w:r>
        <w:rPr/>
        <w:t>VI. Emita o descargue contaminantes que alteren la calidad del aire, agua y suelo o encienda fuego en la vía pública, lugares de uso común o en predios particulares;</w:t>
      </w:r>
    </w:p>
    <w:p>
      <w:pPr>
        <w:pStyle w:val="BodyText"/>
        <w:spacing w:before="7"/>
        <w:rPr>
          <w:sz w:val="17"/>
        </w:rPr>
      </w:pPr>
    </w:p>
    <w:p>
      <w:pPr>
        <w:pStyle w:val="Heading6"/>
        <w:spacing w:line="360" w:lineRule="auto"/>
        <w:ind w:right="137"/>
      </w:pPr>
      <w:r>
        <w:rPr/>
        <w:t>BANDO MUNICIPAL DE POLOTITLÁN 2015, TÍTULO TERCERO DE LA POBLACIÓN MUNICIPAL, CAPÍTULO II DE LOS DERECHOS Y OBLIGACIONES DE LOS VECINOS, HABITANTES Y VISITANTES</w:t>
      </w:r>
    </w:p>
    <w:p>
      <w:pPr>
        <w:pStyle w:val="BodyText"/>
        <w:spacing w:before="9"/>
        <w:rPr>
          <w:b/>
          <w:sz w:val="17"/>
        </w:rPr>
      </w:pPr>
    </w:p>
    <w:p>
      <w:pPr>
        <w:pStyle w:val="BodyText"/>
        <w:spacing w:line="360" w:lineRule="auto"/>
        <w:ind w:left="102" w:right="120"/>
        <w:jc w:val="both"/>
      </w:pPr>
      <w:r>
        <w:rPr/>
        <w:t>ARTÍCULO 28. Los habitantes del Municipio de Polotitlán tendrán además de lo dispuesto en el artículo anterior, los siguientes derechos y obligaciones:</w:t>
      </w:r>
    </w:p>
    <w:p>
      <w:pPr>
        <w:pStyle w:val="BodyText"/>
        <w:spacing w:line="362" w:lineRule="auto" w:before="3"/>
        <w:ind w:left="102" w:right="120"/>
        <w:jc w:val="both"/>
      </w:pPr>
      <w:r>
        <w:rPr/>
        <w:t>11. Participar con las autoridades municipales en la conservación y mejoramiento del medio ambiente,</w:t>
      </w:r>
    </w:p>
    <w:p>
      <w:pPr>
        <w:pStyle w:val="BodyText"/>
        <w:spacing w:before="9"/>
        <w:rPr>
          <w:sz w:val="21"/>
        </w:rPr>
      </w:pPr>
    </w:p>
    <w:p>
      <w:pPr>
        <w:pStyle w:val="Heading6"/>
        <w:jc w:val="both"/>
      </w:pPr>
      <w:r>
        <w:rPr/>
        <w:t>TÍTULO QUINTO DEL GOBIERNO MUNICIPAL, CAPÍTULO III DE LOS CONSEJOS</w:t>
      </w:r>
    </w:p>
    <w:p>
      <w:pPr>
        <w:pStyle w:val="BodyText"/>
        <w:spacing w:before="2"/>
        <w:rPr>
          <w:b/>
        </w:rPr>
      </w:pPr>
    </w:p>
    <w:p>
      <w:pPr>
        <w:pStyle w:val="BodyText"/>
        <w:spacing w:line="360" w:lineRule="auto" w:before="1"/>
        <w:ind w:left="102" w:right="114"/>
        <w:jc w:val="both"/>
      </w:pPr>
      <w:r>
        <w:rPr/>
        <w:t>ARTÍCULO 57. Los consejos se conducirán por los ordenamientos establecidos en el presente Bando Municipal, Reglamentos y las demás disposiciones legales y administrativas aplicables. Para el eficaz desempeño de las funciones Públicas Municipales el Ayuntamiento se auxiliará por los siguientes consejos:</w:t>
      </w:r>
    </w:p>
    <w:p>
      <w:pPr>
        <w:spacing w:before="0"/>
        <w:ind w:left="102" w:right="0" w:firstLine="0"/>
        <w:jc w:val="both"/>
        <w:rPr>
          <w:rFonts w:ascii="Times New Roman" w:hAnsi="Times New Roman"/>
          <w:sz w:val="24"/>
        </w:rPr>
      </w:pPr>
      <w:r>
        <w:rPr>
          <w:rFonts w:ascii="Times New Roman" w:hAnsi="Times New Roman"/>
          <w:b/>
          <w:sz w:val="24"/>
        </w:rPr>
        <w:t>III</w:t>
      </w:r>
      <w:r>
        <w:rPr>
          <w:rFonts w:ascii="Times New Roman" w:hAnsi="Times New Roman"/>
          <w:sz w:val="24"/>
        </w:rPr>
        <w:t>. Consejo Municipal de Protección al Medio Ambiente</w:t>
      </w:r>
    </w:p>
    <w:p>
      <w:pPr>
        <w:pStyle w:val="Heading6"/>
        <w:spacing w:line="360" w:lineRule="auto" w:before="140"/>
        <w:ind w:right="120"/>
        <w:jc w:val="both"/>
      </w:pPr>
      <w:r>
        <w:rPr/>
        <w:t>TÍTULO SEXTO DEL PATRIMONIO MUNICIPAL, DE LA PLANEACIÓN PARA EL DESARROLLO MUNICIPAL, DE LOS SERVICIOS PÚBLICOS MUNICIPALES Y DE LA PROTECCIÓN AL AMBIENTE, CAPÍTULO IV. DE LA PROTECCIÓN AL MEDIO AMBIENTE.</w:t>
      </w:r>
    </w:p>
    <w:p>
      <w:pPr>
        <w:pStyle w:val="BodyText"/>
        <w:rPr>
          <w:b/>
          <w:sz w:val="18"/>
        </w:rPr>
      </w:pPr>
    </w:p>
    <w:p>
      <w:pPr>
        <w:pStyle w:val="BodyText"/>
        <w:spacing w:line="360" w:lineRule="auto"/>
        <w:ind w:left="102" w:right="118"/>
        <w:jc w:val="both"/>
      </w:pPr>
      <w:r>
        <w:rPr/>
        <w:t>ARTÍCULO 167. En el ámbito de su competencia, el Ayuntamiento promoverá entre los vecinos del Municipio la protección al medio ambiente y el equilibrio ecológico. Para lo cual coordinará entre otras acciones las</w:t>
      </w:r>
      <w:r>
        <w:rPr>
          <w:spacing w:val="-13"/>
        </w:rPr>
        <w:t> </w:t>
      </w:r>
      <w:r>
        <w:rPr/>
        <w:t>siguientes:</w:t>
      </w:r>
    </w:p>
    <w:p>
      <w:pPr>
        <w:pStyle w:val="BodyText"/>
        <w:spacing w:before="7"/>
        <w:rPr>
          <w:sz w:val="17"/>
        </w:rPr>
      </w:pPr>
    </w:p>
    <w:p>
      <w:pPr>
        <w:pStyle w:val="BodyText"/>
        <w:ind w:left="102"/>
        <w:jc w:val="both"/>
      </w:pPr>
      <w:r>
        <w:rPr/>
        <w:t>I. El cuidado, conservación y aprovechamiento racional de los recursos naturales,</w:t>
      </w:r>
    </w:p>
    <w:p>
      <w:pPr>
        <w:pStyle w:val="BodyText"/>
        <w:spacing w:before="5"/>
        <w:rPr>
          <w:sz w:val="28"/>
        </w:rPr>
      </w:pPr>
    </w:p>
    <w:p>
      <w:pPr>
        <w:pStyle w:val="BodyText"/>
        <w:spacing w:before="1"/>
        <w:ind w:left="102"/>
        <w:jc w:val="both"/>
      </w:pPr>
      <w:r>
        <w:rPr/>
        <w:t>III. El cuidado de arroyos, cuerpos de agua y recursos acuíferos del Municipio,</w:t>
      </w:r>
    </w:p>
    <w:p>
      <w:pPr>
        <w:pStyle w:val="BodyText"/>
        <w:spacing w:before="3"/>
        <w:rPr>
          <w:sz w:val="28"/>
        </w:rPr>
      </w:pPr>
    </w:p>
    <w:p>
      <w:pPr>
        <w:pStyle w:val="ListParagraph"/>
        <w:numPr>
          <w:ilvl w:val="0"/>
          <w:numId w:val="361"/>
        </w:numPr>
        <w:tabs>
          <w:tab w:pos="373" w:val="left" w:leader="none"/>
        </w:tabs>
        <w:spacing w:line="240" w:lineRule="auto" w:before="0" w:after="0"/>
        <w:ind w:left="102" w:right="0" w:firstLine="0"/>
        <w:jc w:val="both"/>
        <w:rPr>
          <w:sz w:val="22"/>
        </w:rPr>
      </w:pPr>
      <w:r>
        <w:rPr>
          <w:sz w:val="22"/>
        </w:rPr>
        <w:t>Campañas permanentes de forestación y reforestación, evitando la tala clandestina;</w:t>
      </w:r>
      <w:r>
        <w:rPr>
          <w:spacing w:val="-27"/>
          <w:sz w:val="22"/>
        </w:rPr>
        <w:t> </w:t>
      </w:r>
      <w:r>
        <w:rPr>
          <w:sz w:val="22"/>
        </w:rPr>
        <w:t>y</w:t>
      </w:r>
    </w:p>
    <w:p>
      <w:pPr>
        <w:pStyle w:val="BodyText"/>
        <w:spacing w:before="5"/>
        <w:rPr>
          <w:sz w:val="28"/>
        </w:rPr>
      </w:pPr>
    </w:p>
    <w:p>
      <w:pPr>
        <w:pStyle w:val="ListParagraph"/>
        <w:numPr>
          <w:ilvl w:val="0"/>
          <w:numId w:val="361"/>
        </w:numPr>
        <w:tabs>
          <w:tab w:pos="477" w:val="left" w:leader="none"/>
        </w:tabs>
        <w:spacing w:line="360" w:lineRule="auto" w:before="0" w:after="0"/>
        <w:ind w:left="102" w:right="118" w:firstLine="0"/>
        <w:jc w:val="both"/>
        <w:rPr>
          <w:sz w:val="22"/>
        </w:rPr>
      </w:pPr>
      <w:r>
        <w:rPr>
          <w:sz w:val="22"/>
        </w:rPr>
        <w:t>El establecimiento de medidas de control que eviten la contaminación, ya sea por ruido, vibraciones, energía térmica, sustancias químicas, humo y olores</w:t>
      </w:r>
      <w:r>
        <w:rPr>
          <w:spacing w:val="-21"/>
          <w:sz w:val="22"/>
        </w:rPr>
        <w:t> </w:t>
      </w:r>
      <w:r>
        <w:rPr>
          <w:sz w:val="22"/>
        </w:rPr>
        <w:t>perjudiciales.</w:t>
      </w:r>
    </w:p>
    <w:p>
      <w:pPr>
        <w:spacing w:after="0" w:line="360" w:lineRule="auto"/>
        <w:jc w:val="both"/>
        <w:rPr>
          <w:sz w:val="22"/>
        </w:rPr>
        <w:sectPr>
          <w:pgSz w:w="12240" w:h="15840"/>
          <w:pgMar w:header="0" w:footer="1003" w:top="1360" w:bottom="1200" w:left="1600" w:right="1580"/>
        </w:sectPr>
      </w:pPr>
    </w:p>
    <w:p>
      <w:pPr>
        <w:pStyle w:val="BodyText"/>
        <w:spacing w:line="360" w:lineRule="auto" w:before="53"/>
        <w:ind w:left="102" w:right="115"/>
        <w:jc w:val="both"/>
      </w:pPr>
      <w:r>
        <w:rPr/>
        <w:t>ARTÍCULO 168. A efecto de garantizar la participación ciudadana en las acciones de preservación y restauración del medio ambiente, el Ayuntamiento se apoyará en el Consejo Municipal de Protección al Ambiente, como órgano de consulta y opinión en el proceso de planeación, ejecución y evaluación de la política ambiental y de recursos naturales.</w:t>
      </w:r>
    </w:p>
    <w:p>
      <w:pPr>
        <w:pStyle w:val="BodyText"/>
        <w:spacing w:before="7"/>
        <w:rPr>
          <w:sz w:val="17"/>
        </w:rPr>
      </w:pPr>
    </w:p>
    <w:p>
      <w:pPr>
        <w:pStyle w:val="BodyText"/>
        <w:spacing w:line="360" w:lineRule="auto"/>
        <w:ind w:left="102" w:right="115"/>
        <w:jc w:val="both"/>
      </w:pPr>
      <w:r>
        <w:rPr/>
        <w:t>ARTÍCULO 169. El Ayuntamiento por conducto de la autoridad ambiental, dará trámite a  la solicitud que cualquier persona física o moral, que actúen en defensa del ambiente, así como de la preservación de los ecosistemas; asimismo, difundirá y promoverá la utilización de la denuncia ciudadana conforme a lo establecido por las leyes  y reglamentos en materia</w:t>
      </w:r>
      <w:r>
        <w:rPr>
          <w:spacing w:val="-6"/>
        </w:rPr>
        <w:t> </w:t>
      </w:r>
      <w:r>
        <w:rPr/>
        <w:t>ambiental.</w:t>
      </w:r>
    </w:p>
    <w:p>
      <w:pPr>
        <w:pStyle w:val="BodyText"/>
        <w:spacing w:before="4"/>
        <w:rPr>
          <w:sz w:val="17"/>
        </w:rPr>
      </w:pPr>
    </w:p>
    <w:p>
      <w:pPr>
        <w:pStyle w:val="Heading6"/>
        <w:spacing w:line="360" w:lineRule="auto"/>
        <w:ind w:right="577"/>
      </w:pPr>
      <w:r>
        <w:rPr/>
        <w:t>BANDO MUNICIPAL DE TIMILPAN 2013, TITULO SEGUNDO DE LA POBLACION, CAPITULO I DE LOS HABITANTES DEL MUNICIPIO</w:t>
      </w:r>
    </w:p>
    <w:p>
      <w:pPr>
        <w:pStyle w:val="BodyText"/>
        <w:rPr>
          <w:b/>
          <w:sz w:val="18"/>
        </w:rPr>
      </w:pPr>
    </w:p>
    <w:p>
      <w:pPr>
        <w:pStyle w:val="BodyText"/>
        <w:spacing w:line="360" w:lineRule="auto"/>
        <w:ind w:left="102" w:right="115"/>
        <w:jc w:val="both"/>
      </w:pPr>
      <w:r>
        <w:rPr/>
        <w:t>VII.-Informar sin demora y con veracidad, los requerimientos que soliciten las autoridades municipales. Así como hacer del conocimiento de las mismas, la existencia de actividades molestas, insalubres, peligrosas, nocivas, delictivas y todas aquellas que alteren el medio ambiente, el orden y la tranquilidad de los vecinos del municipio;</w:t>
      </w:r>
    </w:p>
    <w:p>
      <w:pPr>
        <w:pStyle w:val="BodyText"/>
        <w:spacing w:before="7"/>
        <w:rPr>
          <w:sz w:val="17"/>
        </w:rPr>
      </w:pPr>
    </w:p>
    <w:p>
      <w:pPr>
        <w:pStyle w:val="Heading6"/>
        <w:jc w:val="both"/>
      </w:pPr>
      <w:r>
        <w:rPr/>
        <w:t>CAPÍTULO V DE LAS COMISIONES Y ORGANIZACIONES SOCIALES</w:t>
      </w:r>
    </w:p>
    <w:p>
      <w:pPr>
        <w:pStyle w:val="BodyText"/>
        <w:spacing w:line="360" w:lineRule="auto" w:before="128"/>
        <w:ind w:left="102" w:right="117"/>
        <w:jc w:val="both"/>
      </w:pPr>
      <w:r>
        <w:rPr/>
        <w:t>Artículo 72.- El ayuntamiento constituirá las comisiones o consejos previstos en las leyes federales, estatales, este bando y sus reglamentos, para coordinar las acciones en  materia</w:t>
      </w:r>
      <w:r>
        <w:rPr>
          <w:spacing w:val="-2"/>
        </w:rPr>
        <w:t> </w:t>
      </w:r>
      <w:r>
        <w:rPr/>
        <w:t>de:</w:t>
      </w:r>
    </w:p>
    <w:p>
      <w:pPr>
        <w:pStyle w:val="BodyText"/>
        <w:spacing w:before="7"/>
        <w:rPr>
          <w:sz w:val="17"/>
        </w:rPr>
      </w:pPr>
    </w:p>
    <w:p>
      <w:pPr>
        <w:pStyle w:val="BodyText"/>
        <w:ind w:left="102"/>
        <w:jc w:val="both"/>
      </w:pPr>
      <w:r>
        <w:rPr/>
        <w:t>V.-Salud Pública Preservación y Restauración del Medio Ambiente.</w:t>
      </w:r>
    </w:p>
    <w:p>
      <w:pPr>
        <w:pStyle w:val="BodyText"/>
        <w:spacing w:before="3"/>
        <w:rPr>
          <w:sz w:val="28"/>
        </w:rPr>
      </w:pPr>
    </w:p>
    <w:p>
      <w:pPr>
        <w:spacing w:line="360" w:lineRule="auto" w:before="0"/>
        <w:ind w:left="102" w:right="113" w:firstLine="0"/>
        <w:jc w:val="both"/>
        <w:rPr>
          <w:b/>
          <w:sz w:val="20"/>
        </w:rPr>
      </w:pPr>
      <w:r>
        <w:rPr>
          <w:b/>
          <w:sz w:val="20"/>
        </w:rPr>
        <w:t>TITULO QUINTO DE LOS SERVICIOS PÚBLICOS MUNICIPALES, CAPÍTULO I DE LA INTEGRACIÓN, CREACIÓN, ORGANIZACIÓN Y FUNCIONAMIENTO DE LOS SERVICIOS PÚBLICOS MUNICIPALES</w:t>
      </w:r>
    </w:p>
    <w:p>
      <w:pPr>
        <w:pStyle w:val="BodyText"/>
        <w:rPr>
          <w:b/>
          <w:sz w:val="20"/>
        </w:rPr>
      </w:pPr>
    </w:p>
    <w:p>
      <w:pPr>
        <w:pStyle w:val="BodyText"/>
        <w:spacing w:line="360" w:lineRule="auto" w:before="123"/>
        <w:ind w:left="102" w:right="118"/>
        <w:jc w:val="both"/>
      </w:pPr>
      <w:r>
        <w:rPr/>
        <w:t>Artículo 91.- El Ayuntamiento organizará, administrará, prestará y proveerá la conservación y funcionamiento de los servicios públicos municipales, los cuales serán manera enunciativa y no limitativa los siguientes:</w:t>
      </w:r>
    </w:p>
    <w:p>
      <w:pPr>
        <w:pStyle w:val="BodyText"/>
        <w:spacing w:before="7"/>
        <w:rPr>
          <w:sz w:val="17"/>
        </w:rPr>
      </w:pPr>
    </w:p>
    <w:p>
      <w:pPr>
        <w:pStyle w:val="BodyText"/>
        <w:ind w:left="102"/>
        <w:jc w:val="both"/>
      </w:pPr>
      <w:r>
        <w:rPr/>
        <w:t>V. Control, protección, restauración y mejoramiento del medio ambiente;</w:t>
      </w:r>
    </w:p>
    <w:p>
      <w:pPr>
        <w:spacing w:after="0"/>
        <w:jc w:val="both"/>
        <w:sectPr>
          <w:pgSz w:w="12240" w:h="15840"/>
          <w:pgMar w:header="0" w:footer="1003" w:top="1360" w:bottom="1200" w:left="1600" w:right="1580"/>
        </w:sectPr>
      </w:pPr>
    </w:p>
    <w:p>
      <w:pPr>
        <w:pStyle w:val="Heading6"/>
        <w:spacing w:line="362" w:lineRule="auto" w:before="51"/>
        <w:ind w:right="121"/>
        <w:jc w:val="both"/>
      </w:pPr>
      <w:r>
        <w:rPr/>
        <w:t>TÍTULO DÉCIMO PRIMERO DE LOS DERECHOS DE LAS NIÑAS, NIÑOS Y ADOLESCENTES</w:t>
      </w:r>
    </w:p>
    <w:p>
      <w:pPr>
        <w:pStyle w:val="BodyText"/>
        <w:spacing w:before="7"/>
        <w:rPr>
          <w:b/>
          <w:sz w:val="17"/>
        </w:rPr>
      </w:pPr>
    </w:p>
    <w:p>
      <w:pPr>
        <w:pStyle w:val="BodyText"/>
        <w:spacing w:line="360" w:lineRule="auto"/>
        <w:ind w:left="102" w:right="116"/>
        <w:jc w:val="both"/>
      </w:pPr>
      <w:r>
        <w:rPr/>
        <w:t>Artículo 126.- Las niñas, niños y adolescentes son un grupo de interés fundamental para  la sociedad, que deben recibir protección, cuidados y asistencia especial, por lo que las autoridades municipales procuraran su bienestar a través de las siguientes</w:t>
      </w:r>
      <w:r>
        <w:rPr>
          <w:spacing w:val="-18"/>
        </w:rPr>
        <w:t> </w:t>
      </w:r>
      <w:r>
        <w:rPr/>
        <w:t>acciones:</w:t>
      </w:r>
    </w:p>
    <w:p>
      <w:pPr>
        <w:pStyle w:val="BodyText"/>
        <w:spacing w:before="9"/>
        <w:rPr>
          <w:sz w:val="17"/>
        </w:rPr>
      </w:pPr>
    </w:p>
    <w:p>
      <w:pPr>
        <w:pStyle w:val="BodyText"/>
        <w:spacing w:line="360" w:lineRule="auto"/>
        <w:ind w:left="102" w:right="123"/>
        <w:jc w:val="both"/>
      </w:pPr>
      <w:r>
        <w:rPr/>
        <w:t>IV. Proveer información suficiente y adecuada a su entendimiento sobre cultura, educación, medio ambiente y salud;</w:t>
      </w:r>
    </w:p>
    <w:p>
      <w:pPr>
        <w:pStyle w:val="BodyText"/>
        <w:spacing w:before="4"/>
        <w:rPr>
          <w:sz w:val="17"/>
        </w:rPr>
      </w:pPr>
    </w:p>
    <w:p>
      <w:pPr>
        <w:pStyle w:val="Heading6"/>
        <w:spacing w:line="360" w:lineRule="auto"/>
        <w:ind w:right="115"/>
        <w:jc w:val="both"/>
      </w:pPr>
      <w:r>
        <w:rPr/>
        <w:t>TITULO DÉCIMO CUARTO DE LA PREVENCIÓN Y CONTROL DE LA CONTAMINACIÓN DEL AMBIENTE, CAPITULO I DE LA PREVENCIÓN Y CONTROL DEL MEDIO AMBIENTE</w:t>
      </w:r>
    </w:p>
    <w:p>
      <w:pPr>
        <w:pStyle w:val="BodyText"/>
        <w:spacing w:line="360" w:lineRule="auto" w:before="8"/>
        <w:ind w:left="102" w:right="112"/>
        <w:jc w:val="both"/>
      </w:pPr>
      <w:r>
        <w:rPr/>
        <w:t>Articulo 130.- Es atribución del Gobierno Municipal, de acuerdo con su competencia, el establecimiento de las medidas necesarias para la preservación, restauración, y mejoramiento de la calidad ambiental; para la conservación de los recursos naturales y para la preservación y control del equilibrio ecológico en el municipio, de acuerdo con lo que dispone la Ley de Protección al Ambiente para el desarrollo sustentable del Estado de México. Para cumplir con este objetivo, el Ayuntamiento tendrá las siguientes facultades:</w:t>
      </w:r>
    </w:p>
    <w:p>
      <w:pPr>
        <w:pStyle w:val="BodyText"/>
        <w:spacing w:before="9"/>
        <w:rPr>
          <w:sz w:val="17"/>
        </w:rPr>
      </w:pPr>
    </w:p>
    <w:p>
      <w:pPr>
        <w:pStyle w:val="ListParagraph"/>
        <w:numPr>
          <w:ilvl w:val="0"/>
          <w:numId w:val="362"/>
        </w:numPr>
        <w:tabs>
          <w:tab w:pos="304" w:val="left" w:leader="none"/>
        </w:tabs>
        <w:spacing w:line="360" w:lineRule="auto" w:before="1" w:after="0"/>
        <w:ind w:left="102" w:right="121" w:firstLine="0"/>
        <w:jc w:val="both"/>
        <w:rPr>
          <w:sz w:val="22"/>
        </w:rPr>
      </w:pPr>
      <w:r>
        <w:rPr>
          <w:sz w:val="22"/>
        </w:rPr>
        <w:t>Combatir el deterioro ecológico y la contaminación ambiental de acuerdo con las leyes en la materia, y crear el Programa Municipal de Protección al</w:t>
      </w:r>
      <w:r>
        <w:rPr>
          <w:spacing w:val="-20"/>
          <w:sz w:val="22"/>
        </w:rPr>
        <w:t> </w:t>
      </w:r>
      <w:r>
        <w:rPr>
          <w:sz w:val="22"/>
        </w:rPr>
        <w:t>Ambiente;</w:t>
      </w:r>
    </w:p>
    <w:p>
      <w:pPr>
        <w:pStyle w:val="ListParagraph"/>
        <w:numPr>
          <w:ilvl w:val="0"/>
          <w:numId w:val="362"/>
        </w:numPr>
        <w:tabs>
          <w:tab w:pos="349" w:val="left" w:leader="none"/>
        </w:tabs>
        <w:spacing w:line="240" w:lineRule="auto" w:before="3" w:after="0"/>
        <w:ind w:left="349" w:right="0" w:hanging="247"/>
        <w:jc w:val="both"/>
        <w:rPr>
          <w:sz w:val="22"/>
        </w:rPr>
      </w:pPr>
      <w:r>
        <w:rPr>
          <w:sz w:val="22"/>
        </w:rPr>
        <w:t>Formar consejos de protección del ambiente, de acuerdo con las leyes</w:t>
      </w:r>
      <w:r>
        <w:rPr>
          <w:spacing w:val="-17"/>
          <w:sz w:val="22"/>
        </w:rPr>
        <w:t> </w:t>
      </w:r>
      <w:r>
        <w:rPr>
          <w:sz w:val="22"/>
        </w:rPr>
        <w:t>respectivas;</w:t>
      </w:r>
    </w:p>
    <w:p>
      <w:pPr>
        <w:pStyle w:val="ListParagraph"/>
        <w:numPr>
          <w:ilvl w:val="0"/>
          <w:numId w:val="362"/>
        </w:numPr>
        <w:tabs>
          <w:tab w:pos="525" w:val="left" w:leader="none"/>
        </w:tabs>
        <w:spacing w:line="360" w:lineRule="auto" w:before="126" w:after="0"/>
        <w:ind w:left="102" w:right="121" w:firstLine="0"/>
        <w:jc w:val="both"/>
        <w:rPr>
          <w:sz w:val="22"/>
        </w:rPr>
      </w:pPr>
      <w:r>
        <w:rPr>
          <w:sz w:val="22"/>
        </w:rPr>
        <w:t>Promover y fomentar la educación, conciencia e investigación ecológica, en coordinación con las autoridades educativas, la ciudadanía y los sectores representativos, de conformidad con las normas oficiales</w:t>
      </w:r>
      <w:r>
        <w:rPr>
          <w:spacing w:val="-19"/>
          <w:sz w:val="22"/>
        </w:rPr>
        <w:t> </w:t>
      </w:r>
      <w:r>
        <w:rPr>
          <w:sz w:val="22"/>
        </w:rPr>
        <w:t>vigentes;</w:t>
      </w:r>
    </w:p>
    <w:p>
      <w:pPr>
        <w:pStyle w:val="ListParagraph"/>
        <w:numPr>
          <w:ilvl w:val="0"/>
          <w:numId w:val="362"/>
        </w:numPr>
        <w:tabs>
          <w:tab w:pos="462" w:val="left" w:leader="none"/>
        </w:tabs>
        <w:spacing w:line="360" w:lineRule="auto" w:before="3" w:after="0"/>
        <w:ind w:left="102" w:right="120" w:firstLine="0"/>
        <w:jc w:val="both"/>
        <w:rPr>
          <w:sz w:val="22"/>
        </w:rPr>
      </w:pPr>
      <w:r>
        <w:rPr>
          <w:sz w:val="22"/>
        </w:rPr>
        <w:t>Establecer los mecanismos necesarios para la prevención y control de emergencias ecológicas y contingencias ambientales, en los términos que establece la Ley de Protección al Ambiente para el Desarrollo sustentable del Estado de</w:t>
      </w:r>
      <w:r>
        <w:rPr>
          <w:spacing w:val="-17"/>
          <w:sz w:val="22"/>
        </w:rPr>
        <w:t> </w:t>
      </w:r>
      <w:r>
        <w:rPr>
          <w:sz w:val="22"/>
        </w:rPr>
        <w:t>México;</w:t>
      </w:r>
    </w:p>
    <w:p>
      <w:pPr>
        <w:pStyle w:val="ListParagraph"/>
        <w:numPr>
          <w:ilvl w:val="0"/>
          <w:numId w:val="362"/>
        </w:numPr>
        <w:tabs>
          <w:tab w:pos="433" w:val="left" w:leader="none"/>
        </w:tabs>
        <w:spacing w:line="360" w:lineRule="auto" w:before="6" w:after="0"/>
        <w:ind w:left="102" w:right="116" w:firstLine="0"/>
        <w:jc w:val="both"/>
        <w:rPr>
          <w:sz w:val="22"/>
        </w:rPr>
      </w:pPr>
      <w:r>
        <w:rPr>
          <w:sz w:val="22"/>
        </w:rPr>
        <w:t>Dentro del ámbito de su competencia, hacer efectiva la prohibición de emisiones contaminantes que rebasen los niveles permisibles de ruido, vibraciones, energía luminosa, gases, humos, olores y otros elementos perjudiciales al equilibrio ecológico, y al ambiente, de conformidad con las normas oficiales</w:t>
      </w:r>
      <w:r>
        <w:rPr>
          <w:spacing w:val="-19"/>
          <w:sz w:val="22"/>
        </w:rPr>
        <w:t> </w:t>
      </w:r>
      <w:r>
        <w:rPr>
          <w:sz w:val="22"/>
        </w:rPr>
        <w:t>vigentes;</w:t>
      </w:r>
    </w:p>
    <w:p>
      <w:pPr>
        <w:pStyle w:val="ListParagraph"/>
        <w:numPr>
          <w:ilvl w:val="0"/>
          <w:numId w:val="362"/>
        </w:numPr>
        <w:tabs>
          <w:tab w:pos="515" w:val="left" w:leader="none"/>
        </w:tabs>
        <w:spacing w:line="360" w:lineRule="auto" w:before="3" w:after="0"/>
        <w:ind w:left="102" w:right="121" w:firstLine="0"/>
        <w:jc w:val="both"/>
        <w:rPr>
          <w:sz w:val="22"/>
        </w:rPr>
      </w:pPr>
      <w:r>
        <w:rPr>
          <w:sz w:val="22"/>
        </w:rPr>
        <w:t>Establecer los criterios y mecanismos de prevención y control ecológico en la prestación de los servicios</w:t>
      </w:r>
      <w:r>
        <w:rPr>
          <w:spacing w:val="-7"/>
          <w:sz w:val="22"/>
        </w:rPr>
        <w:t> </w:t>
      </w:r>
      <w:r>
        <w:rPr>
          <w:sz w:val="22"/>
        </w:rPr>
        <w:t>públicos;</w:t>
      </w:r>
    </w:p>
    <w:p>
      <w:pPr>
        <w:spacing w:after="0" w:line="360" w:lineRule="auto"/>
        <w:jc w:val="both"/>
        <w:rPr>
          <w:sz w:val="22"/>
        </w:rPr>
        <w:sectPr>
          <w:pgSz w:w="12240" w:h="15840"/>
          <w:pgMar w:header="0" w:footer="1003" w:top="1360" w:bottom="1200" w:left="1600" w:right="1580"/>
        </w:sectPr>
      </w:pPr>
    </w:p>
    <w:p>
      <w:pPr>
        <w:pStyle w:val="ListParagraph"/>
        <w:numPr>
          <w:ilvl w:val="0"/>
          <w:numId w:val="362"/>
        </w:numPr>
        <w:tabs>
          <w:tab w:pos="513" w:val="left" w:leader="none"/>
        </w:tabs>
        <w:spacing w:line="360" w:lineRule="auto" w:before="53" w:after="0"/>
        <w:ind w:left="102" w:right="116" w:firstLine="0"/>
        <w:jc w:val="both"/>
        <w:rPr>
          <w:i/>
          <w:sz w:val="22"/>
        </w:rPr>
      </w:pPr>
      <w:r>
        <w:rPr>
          <w:i/>
          <w:sz w:val="22"/>
        </w:rPr>
        <w:t>Sancionar a las personas físicas o morales que descarguen en las redes colectoras, </w:t>
      </w:r>
      <w:r>
        <w:rPr>
          <w:i/>
          <w:sz w:val="22"/>
        </w:rPr>
        <w:t>ríos, cuevas, vasos y demás depósitos o corrientes de agua o infiltren en terrenos, sin tratamiento previo, aguas residuales que contengan contaminantes, desechos de materiales considerados peligrosos o cualquier otra substancia o materia que dañe la salud de las personas, la flora, la fauna o los bienes</w:t>
      </w:r>
      <w:r>
        <w:rPr>
          <w:i/>
          <w:spacing w:val="-17"/>
          <w:sz w:val="22"/>
        </w:rPr>
        <w:t> </w:t>
      </w:r>
      <w:r>
        <w:rPr>
          <w:i/>
          <w:sz w:val="22"/>
        </w:rPr>
        <w:t>municipales;</w:t>
      </w:r>
    </w:p>
    <w:p>
      <w:pPr>
        <w:pStyle w:val="ListParagraph"/>
        <w:numPr>
          <w:ilvl w:val="0"/>
          <w:numId w:val="362"/>
        </w:numPr>
        <w:tabs>
          <w:tab w:pos="568" w:val="left" w:leader="none"/>
        </w:tabs>
        <w:spacing w:line="360" w:lineRule="auto" w:before="3" w:after="0"/>
        <w:ind w:left="102" w:right="119" w:firstLine="0"/>
        <w:jc w:val="both"/>
        <w:rPr>
          <w:sz w:val="22"/>
        </w:rPr>
      </w:pPr>
      <w:r>
        <w:rPr>
          <w:sz w:val="22"/>
        </w:rPr>
        <w:t>Prevenir y controlar la contaminación de la atmosfera generada por cualquier tipo de emisiones.</w:t>
      </w:r>
    </w:p>
    <w:p>
      <w:pPr>
        <w:pStyle w:val="ListParagraph"/>
        <w:numPr>
          <w:ilvl w:val="0"/>
          <w:numId w:val="362"/>
        </w:numPr>
        <w:tabs>
          <w:tab w:pos="448" w:val="left" w:leader="none"/>
        </w:tabs>
        <w:spacing w:line="360" w:lineRule="auto" w:before="3" w:after="0"/>
        <w:ind w:left="102" w:right="115" w:firstLine="0"/>
        <w:jc w:val="both"/>
        <w:rPr>
          <w:sz w:val="22"/>
        </w:rPr>
      </w:pPr>
      <w:r>
        <w:rPr>
          <w:sz w:val="22"/>
        </w:rPr>
        <w:t>Coadyuvar con las autoridades competentes en la prevención de la tala clandestina y deterioro de áreas verdes dentro del territorio del municipio, denunciando ante las autoridades competentes a la persona que incurran en los delitos contra el ambiente, previstos en los códigos penales del fuero común o</w:t>
      </w:r>
      <w:r>
        <w:rPr>
          <w:spacing w:val="-13"/>
          <w:sz w:val="22"/>
        </w:rPr>
        <w:t> </w:t>
      </w:r>
      <w:r>
        <w:rPr>
          <w:sz w:val="22"/>
        </w:rPr>
        <w:t>federal;</w:t>
      </w:r>
    </w:p>
    <w:p>
      <w:pPr>
        <w:pStyle w:val="ListParagraph"/>
        <w:numPr>
          <w:ilvl w:val="0"/>
          <w:numId w:val="363"/>
        </w:numPr>
        <w:tabs>
          <w:tab w:pos="486" w:val="left" w:leader="none"/>
        </w:tabs>
        <w:spacing w:line="360" w:lineRule="auto" w:before="3" w:after="0"/>
        <w:ind w:left="102" w:right="119" w:firstLine="0"/>
        <w:jc w:val="both"/>
        <w:rPr>
          <w:sz w:val="22"/>
        </w:rPr>
      </w:pPr>
      <w:r>
        <w:rPr>
          <w:sz w:val="22"/>
        </w:rPr>
        <w:t>Sancionar a con 30 días de salario mínimo a las personas que arrojen basura o materiales de desecho, en los lotes baldíos, ríos, drenajes e inmuebles abandonados o  sin uso, lugares prohibidos, </w:t>
      </w:r>
      <w:r>
        <w:rPr>
          <w:spacing w:val="-3"/>
          <w:sz w:val="22"/>
        </w:rPr>
        <w:t>vía </w:t>
      </w:r>
      <w:r>
        <w:rPr>
          <w:sz w:val="22"/>
        </w:rPr>
        <w:t>pública y áreas de uso</w:t>
      </w:r>
      <w:r>
        <w:rPr>
          <w:spacing w:val="-3"/>
          <w:sz w:val="22"/>
        </w:rPr>
        <w:t> </w:t>
      </w:r>
      <w:r>
        <w:rPr>
          <w:sz w:val="22"/>
        </w:rPr>
        <w:t>común;</w:t>
      </w:r>
    </w:p>
    <w:p>
      <w:pPr>
        <w:pStyle w:val="ListParagraph"/>
        <w:numPr>
          <w:ilvl w:val="0"/>
          <w:numId w:val="363"/>
        </w:numPr>
        <w:tabs>
          <w:tab w:pos="554" w:val="left" w:leader="none"/>
        </w:tabs>
        <w:spacing w:line="360" w:lineRule="auto" w:before="3" w:after="0"/>
        <w:ind w:left="102" w:right="119" w:firstLine="0"/>
        <w:jc w:val="both"/>
        <w:rPr>
          <w:sz w:val="22"/>
        </w:rPr>
      </w:pPr>
      <w:r>
        <w:rPr>
          <w:sz w:val="22"/>
        </w:rPr>
        <w:t>Prohibir la quema de basura, pastizales, cultivos o de cualquier desecho sólido, líquido o gaseoso a cielo</w:t>
      </w:r>
      <w:r>
        <w:rPr>
          <w:spacing w:val="-9"/>
          <w:sz w:val="22"/>
        </w:rPr>
        <w:t> </w:t>
      </w:r>
      <w:r>
        <w:rPr>
          <w:sz w:val="22"/>
        </w:rPr>
        <w:t>abierto.</w:t>
      </w:r>
    </w:p>
    <w:p>
      <w:pPr>
        <w:pStyle w:val="BodyText"/>
        <w:spacing w:line="360" w:lineRule="auto" w:before="3"/>
        <w:ind w:left="102" w:right="119"/>
        <w:jc w:val="both"/>
      </w:pPr>
      <w:r>
        <w:rPr/>
        <w:t>XIV. Expedir los reglamentos o disposiciones necesarias para fortalecer las acciones de preservación del ambiente;</w:t>
      </w:r>
    </w:p>
    <w:p>
      <w:pPr>
        <w:pStyle w:val="ListParagraph"/>
        <w:numPr>
          <w:ilvl w:val="0"/>
          <w:numId w:val="364"/>
        </w:numPr>
        <w:tabs>
          <w:tab w:pos="659" w:val="left" w:leader="none"/>
        </w:tabs>
        <w:spacing w:line="360" w:lineRule="auto" w:before="3" w:after="0"/>
        <w:ind w:left="102" w:right="120" w:firstLine="0"/>
        <w:jc w:val="both"/>
        <w:rPr>
          <w:i/>
          <w:sz w:val="22"/>
        </w:rPr>
      </w:pPr>
      <w:r>
        <w:rPr>
          <w:i/>
          <w:sz w:val="22"/>
        </w:rPr>
        <w:t>Vigilar el cumplimiento de la prohibición para la captura y caza, en todo el territorio </w:t>
      </w:r>
      <w:r>
        <w:rPr>
          <w:i/>
          <w:sz w:val="22"/>
        </w:rPr>
        <w:t>municipal, de aves silvestres emigrantes; así como la caza, captura y comercialización de especies en peligro de</w:t>
      </w:r>
      <w:r>
        <w:rPr>
          <w:i/>
          <w:spacing w:val="-8"/>
          <w:sz w:val="22"/>
        </w:rPr>
        <w:t> </w:t>
      </w:r>
      <w:r>
        <w:rPr>
          <w:i/>
          <w:sz w:val="22"/>
        </w:rPr>
        <w:t>extinción;</w:t>
      </w:r>
    </w:p>
    <w:p>
      <w:pPr>
        <w:pStyle w:val="ListParagraph"/>
        <w:numPr>
          <w:ilvl w:val="0"/>
          <w:numId w:val="364"/>
        </w:numPr>
        <w:tabs>
          <w:tab w:pos="738" w:val="left" w:leader="none"/>
        </w:tabs>
        <w:spacing w:line="360" w:lineRule="auto" w:before="3" w:after="0"/>
        <w:ind w:left="102" w:right="115" w:firstLine="0"/>
        <w:jc w:val="both"/>
        <w:rPr>
          <w:i/>
          <w:sz w:val="22"/>
        </w:rPr>
      </w:pPr>
      <w:r>
        <w:rPr>
          <w:i/>
          <w:sz w:val="22"/>
        </w:rPr>
        <w:t>Vigilar el cumplimento de la prohibición de la pesca en los cuerpos de agua del </w:t>
      </w:r>
      <w:r>
        <w:rPr>
          <w:i/>
          <w:sz w:val="22"/>
        </w:rPr>
        <w:t>Municipio, en el periodo de Abril a Septiembre, con excepción de la pesca y casa deportivas, debidamente autorizadas por la autoridad</w:t>
      </w:r>
      <w:r>
        <w:rPr>
          <w:i/>
          <w:spacing w:val="-19"/>
          <w:sz w:val="22"/>
        </w:rPr>
        <w:t> </w:t>
      </w:r>
      <w:r>
        <w:rPr>
          <w:i/>
          <w:sz w:val="22"/>
        </w:rPr>
        <w:t>competente.</w:t>
      </w:r>
    </w:p>
    <w:p>
      <w:pPr>
        <w:pStyle w:val="ListParagraph"/>
        <w:numPr>
          <w:ilvl w:val="0"/>
          <w:numId w:val="364"/>
        </w:numPr>
        <w:tabs>
          <w:tab w:pos="632" w:val="left" w:leader="none"/>
        </w:tabs>
        <w:spacing w:line="360" w:lineRule="auto" w:before="3" w:after="0"/>
        <w:ind w:left="102" w:right="121" w:firstLine="0"/>
        <w:jc w:val="both"/>
        <w:rPr>
          <w:sz w:val="22"/>
        </w:rPr>
      </w:pPr>
      <w:r>
        <w:rPr>
          <w:sz w:val="22"/>
        </w:rPr>
        <w:t>Celebrar convenios de coordinación con el Estado y la Federación para realizar acciones encaminadas a la protección y mejoramiento del</w:t>
      </w:r>
      <w:r>
        <w:rPr>
          <w:spacing w:val="-18"/>
          <w:sz w:val="22"/>
        </w:rPr>
        <w:t> </w:t>
      </w:r>
      <w:r>
        <w:rPr>
          <w:sz w:val="22"/>
        </w:rPr>
        <w:t>ambiente;</w:t>
      </w:r>
    </w:p>
    <w:p>
      <w:pPr>
        <w:pStyle w:val="ListParagraph"/>
        <w:numPr>
          <w:ilvl w:val="0"/>
          <w:numId w:val="364"/>
        </w:numPr>
        <w:tabs>
          <w:tab w:pos="584" w:val="left" w:leader="none"/>
        </w:tabs>
        <w:spacing w:line="360" w:lineRule="auto" w:before="3" w:after="0"/>
        <w:ind w:left="102" w:right="120" w:firstLine="0"/>
        <w:jc w:val="both"/>
        <w:rPr>
          <w:sz w:val="22"/>
        </w:rPr>
      </w:pPr>
      <w:r>
        <w:rPr>
          <w:sz w:val="22"/>
        </w:rPr>
        <w:t>Practicar visitas de verificación en establecimientos comerciales, industriales, de espectáculos públicos, diversiones y demás similares, para prevenir y controlar la contaminación de la atmosfera, del agua y del</w:t>
      </w:r>
      <w:r>
        <w:rPr>
          <w:spacing w:val="-9"/>
          <w:sz w:val="22"/>
        </w:rPr>
        <w:t> </w:t>
      </w:r>
      <w:r>
        <w:rPr>
          <w:sz w:val="22"/>
        </w:rPr>
        <w:t>suelo;</w:t>
      </w:r>
    </w:p>
    <w:p>
      <w:pPr>
        <w:pStyle w:val="ListParagraph"/>
        <w:numPr>
          <w:ilvl w:val="0"/>
          <w:numId w:val="364"/>
        </w:numPr>
        <w:tabs>
          <w:tab w:pos="582" w:val="left" w:leader="none"/>
        </w:tabs>
        <w:spacing w:line="360" w:lineRule="auto" w:before="3" w:after="0"/>
        <w:ind w:left="102" w:right="121" w:firstLine="0"/>
        <w:jc w:val="both"/>
        <w:rPr>
          <w:sz w:val="22"/>
        </w:rPr>
      </w:pPr>
      <w:r>
        <w:rPr>
          <w:sz w:val="22"/>
        </w:rPr>
        <w:t>Promover la participación de la sociedad en la planeación, ejecución y vigilancia de la política ambiental y de los recursos</w:t>
      </w:r>
      <w:r>
        <w:rPr>
          <w:spacing w:val="-14"/>
          <w:sz w:val="22"/>
        </w:rPr>
        <w:t> </w:t>
      </w:r>
      <w:r>
        <w:rPr>
          <w:sz w:val="22"/>
        </w:rPr>
        <w:t>naturales;</w:t>
      </w:r>
    </w:p>
    <w:p>
      <w:pPr>
        <w:pStyle w:val="ListParagraph"/>
        <w:numPr>
          <w:ilvl w:val="0"/>
          <w:numId w:val="364"/>
        </w:numPr>
        <w:tabs>
          <w:tab w:pos="700" w:val="left" w:leader="none"/>
        </w:tabs>
        <w:spacing w:line="360" w:lineRule="auto" w:before="3" w:after="0"/>
        <w:ind w:left="102" w:right="123" w:firstLine="0"/>
        <w:jc w:val="both"/>
        <w:rPr>
          <w:sz w:val="22"/>
        </w:rPr>
      </w:pPr>
      <w:r>
        <w:rPr>
          <w:sz w:val="22"/>
        </w:rPr>
        <w:t>Vigilar que las emisiones contaminantes al ambiente, deban ser conforme a la Normas Oficiales Mexicanas y apegadas a lo establecido en la ley de la</w:t>
      </w:r>
      <w:r>
        <w:rPr>
          <w:spacing w:val="-22"/>
          <w:sz w:val="22"/>
        </w:rPr>
        <w:t> </w:t>
      </w:r>
      <w:r>
        <w:rPr>
          <w:sz w:val="22"/>
        </w:rPr>
        <w:t>materia.</w:t>
      </w:r>
    </w:p>
    <w:p>
      <w:pPr>
        <w:spacing w:after="0" w:line="360" w:lineRule="auto"/>
        <w:jc w:val="both"/>
        <w:rPr>
          <w:sz w:val="22"/>
        </w:rPr>
        <w:sectPr>
          <w:pgSz w:w="12240" w:h="15840"/>
          <w:pgMar w:header="0" w:footer="1003" w:top="1360" w:bottom="1200" w:left="1600" w:right="1580"/>
        </w:sectPr>
      </w:pPr>
    </w:p>
    <w:p>
      <w:pPr>
        <w:pStyle w:val="BodyText"/>
        <w:spacing w:line="360" w:lineRule="auto" w:before="53"/>
        <w:ind w:left="102" w:right="119"/>
        <w:jc w:val="both"/>
      </w:pPr>
      <w:r>
        <w:rPr/>
        <w:t>XXV. Las demás que emanen del Código Administrativo del Estado de México, el  presente Bando, reglamentos respectivos y disposiciones legales aplicables en las legislaciones federal y estatal en materia de equilibrio</w:t>
      </w:r>
      <w:r>
        <w:rPr>
          <w:spacing w:val="-22"/>
        </w:rPr>
        <w:t> </w:t>
      </w:r>
      <w:r>
        <w:rPr/>
        <w:t>ecológico.</w:t>
      </w:r>
    </w:p>
    <w:p>
      <w:pPr>
        <w:pStyle w:val="Heading6"/>
        <w:spacing w:line="360" w:lineRule="auto" w:before="1"/>
        <w:ind w:right="119"/>
        <w:jc w:val="both"/>
      </w:pPr>
      <w:r>
        <w:rPr/>
        <w:t>TÍTULO DECIMO OCTAVO DE LAS MEDIDAS DE CONTROL, INFRACCIONES Y SANCIONES, CÁPITULO II DE LAS MEDIDAS DE SEGURIDAD</w:t>
      </w:r>
    </w:p>
    <w:p>
      <w:pPr>
        <w:spacing w:line="360" w:lineRule="auto" w:before="5"/>
        <w:ind w:left="102" w:right="121" w:firstLine="0"/>
        <w:jc w:val="both"/>
        <w:rPr>
          <w:i/>
          <w:sz w:val="22"/>
        </w:rPr>
      </w:pPr>
      <w:r>
        <w:rPr>
          <w:i/>
          <w:sz w:val="22"/>
        </w:rPr>
        <w:t>XIV. Quemar llantas, papel o cualquier otro objeto combustible en la vía pública, aun </w:t>
      </w:r>
      <w:r>
        <w:rPr>
          <w:i/>
          <w:sz w:val="22"/>
        </w:rPr>
        <w:t>dentro de los domicilios particulares, que produzcan contaminación del medio ambiente.</w:t>
      </w:r>
    </w:p>
    <w:p>
      <w:pPr>
        <w:pStyle w:val="Heading6"/>
        <w:numPr>
          <w:ilvl w:val="1"/>
          <w:numId w:val="338"/>
        </w:numPr>
        <w:tabs>
          <w:tab w:pos="532" w:val="left" w:leader="none"/>
        </w:tabs>
        <w:spacing w:line="240" w:lineRule="auto" w:before="1" w:after="0"/>
        <w:ind w:left="531" w:right="0" w:hanging="429"/>
        <w:jc w:val="both"/>
      </w:pPr>
      <w:bookmarkStart w:name="_TOC_250005" w:id="68"/>
      <w:r>
        <w:rPr/>
        <w:t>MARCO JURÍDICO</w:t>
      </w:r>
      <w:r>
        <w:rPr>
          <w:spacing w:val="-13"/>
        </w:rPr>
        <w:t> </w:t>
      </w:r>
      <w:bookmarkEnd w:id="68"/>
      <w:r>
        <w:rPr/>
        <w:t>LOCAL</w:t>
      </w:r>
    </w:p>
    <w:p>
      <w:pPr>
        <w:pStyle w:val="BodyText"/>
        <w:spacing w:before="8"/>
        <w:rPr>
          <w:b/>
          <w:sz w:val="28"/>
        </w:rPr>
      </w:pPr>
    </w:p>
    <w:p>
      <w:pPr>
        <w:pStyle w:val="Heading7"/>
        <w:rPr>
          <w:i/>
        </w:rPr>
      </w:pPr>
      <w:r>
        <w:rPr>
          <w:i/>
        </w:rPr>
        <w:t>El marco jurídico local está sustentado en la siguiente legislación:</w:t>
      </w:r>
    </w:p>
    <w:p>
      <w:pPr>
        <w:pStyle w:val="BodyText"/>
        <w:spacing w:before="4"/>
        <w:rPr>
          <w:b/>
          <w:i/>
          <w:sz w:val="28"/>
        </w:rPr>
      </w:pPr>
    </w:p>
    <w:p>
      <w:pPr>
        <w:pStyle w:val="BodyText"/>
        <w:spacing w:line="360" w:lineRule="auto"/>
        <w:ind w:left="102" w:right="112"/>
        <w:jc w:val="both"/>
      </w:pPr>
      <w:r>
        <w:rPr/>
        <w:t>La Ley Agraria, 2012 en su Artículo 10, señala que los ejidos operan de acuerdo con su reglamento interno, sin más limitaciones en sus actividades que las que dispone la ley. Su reglamento se inscribirá en el Registro Agrario Nacional, y deberá contener las bases generales para la organización económica y social del ejido que se adopten libremente, los requisitos para admitir nuevos ejidatarios, las reglas para el aprovechamiento de las tierras de uso común, así como las demás disposiciones que conforme a esta ley deban ser incluidas en el reglamento y las demás que cada ejido considere</w:t>
      </w:r>
      <w:r>
        <w:rPr>
          <w:spacing w:val="-20"/>
        </w:rPr>
        <w:t> </w:t>
      </w:r>
      <w:r>
        <w:rPr/>
        <w:t>pertinentes.</w:t>
      </w:r>
    </w:p>
    <w:p>
      <w:pPr>
        <w:pStyle w:val="BodyText"/>
        <w:spacing w:before="7"/>
        <w:rPr>
          <w:sz w:val="17"/>
        </w:rPr>
      </w:pPr>
    </w:p>
    <w:p>
      <w:pPr>
        <w:pStyle w:val="BodyText"/>
        <w:spacing w:line="360" w:lineRule="auto"/>
        <w:ind w:left="102" w:right="121"/>
        <w:jc w:val="both"/>
      </w:pPr>
      <w:r>
        <w:rPr/>
        <w:t>Los miembros del comisariado ejidal que se encuentren en funciones, estarán atendiendo a las características, usos y costumbres de cada región.</w:t>
      </w:r>
    </w:p>
    <w:p>
      <w:pPr>
        <w:pStyle w:val="BodyText"/>
        <w:spacing w:before="9"/>
        <w:rPr>
          <w:sz w:val="17"/>
        </w:rPr>
      </w:pPr>
    </w:p>
    <w:p>
      <w:pPr>
        <w:pStyle w:val="BodyText"/>
        <w:spacing w:line="360" w:lineRule="auto"/>
        <w:ind w:left="102" w:right="120"/>
        <w:jc w:val="both"/>
      </w:pPr>
      <w:r>
        <w:rPr/>
        <w:t>Entre las facultades y obligaciones del comisariado ejidal se encuentran: .... con base en la equidad y las características, usos y costumbres de cada</w:t>
      </w:r>
      <w:r>
        <w:rPr>
          <w:spacing w:val="-19"/>
        </w:rPr>
        <w:t> </w:t>
      </w:r>
      <w:r>
        <w:rPr/>
        <w:t>región.</w:t>
      </w:r>
    </w:p>
    <w:p>
      <w:pPr>
        <w:pStyle w:val="BodyText"/>
        <w:spacing w:before="4"/>
        <w:rPr>
          <w:sz w:val="17"/>
        </w:rPr>
      </w:pPr>
    </w:p>
    <w:p>
      <w:pPr>
        <w:pStyle w:val="Heading6"/>
        <w:jc w:val="both"/>
      </w:pPr>
      <w:r>
        <w:rPr/>
        <w:t>LEY ORGÁNICA MUNICIPAL DEL ESTADO DE MÉXICO</w:t>
      </w:r>
    </w:p>
    <w:p>
      <w:pPr>
        <w:pStyle w:val="BodyText"/>
        <w:spacing w:before="8"/>
        <w:rPr>
          <w:b/>
          <w:sz w:val="28"/>
        </w:rPr>
      </w:pPr>
    </w:p>
    <w:p>
      <w:pPr>
        <w:pStyle w:val="BodyText"/>
        <w:spacing w:line="360" w:lineRule="auto"/>
        <w:ind w:left="102" w:right="115"/>
        <w:jc w:val="both"/>
      </w:pPr>
      <w:r>
        <w:rPr/>
        <w:t>Artículo 57.- Las autoridades auxiliares municipales ejercerán, en sus respectivas jurisdicciones, las atribuciones que les delegue el ayuntamiento, para mantener el orden, la tranquilidad, la paz social, la seguridad y la protección de los vecinos, conforme a lo establecido en esta Ley, el Bando Municipal y los reglamentos</w:t>
      </w:r>
      <w:r>
        <w:rPr>
          <w:spacing w:val="-18"/>
        </w:rPr>
        <w:t> </w:t>
      </w:r>
      <w:r>
        <w:rPr/>
        <w:t>respectivos.</w:t>
      </w:r>
    </w:p>
    <w:p>
      <w:pPr>
        <w:pStyle w:val="BodyText"/>
        <w:spacing w:before="9"/>
        <w:rPr>
          <w:sz w:val="17"/>
        </w:rPr>
      </w:pPr>
    </w:p>
    <w:p>
      <w:pPr>
        <w:pStyle w:val="BodyText"/>
        <w:ind w:left="102"/>
        <w:jc w:val="both"/>
      </w:pPr>
      <w:r>
        <w:rPr/>
        <w:t>I. Corresponde a los delegados y subdelegados:</w:t>
      </w:r>
    </w:p>
    <w:p>
      <w:pPr>
        <w:pStyle w:val="BodyText"/>
        <w:spacing w:before="3"/>
        <w:rPr>
          <w:sz w:val="28"/>
        </w:rPr>
      </w:pPr>
    </w:p>
    <w:p>
      <w:pPr>
        <w:pStyle w:val="ListParagraph"/>
        <w:numPr>
          <w:ilvl w:val="0"/>
          <w:numId w:val="365"/>
        </w:numPr>
        <w:tabs>
          <w:tab w:pos="448" w:val="left" w:leader="none"/>
        </w:tabs>
        <w:spacing w:line="360" w:lineRule="auto" w:before="0" w:after="0"/>
        <w:ind w:left="102" w:right="119" w:firstLine="0"/>
        <w:jc w:val="both"/>
        <w:rPr>
          <w:sz w:val="22"/>
        </w:rPr>
      </w:pPr>
      <w:r>
        <w:rPr>
          <w:sz w:val="22"/>
        </w:rPr>
        <w:t>Vigilar el cumplimiento del bando municipal, de las disposiciones reglamentarias que expida el ayuntamiento y reportar a la dependencia administrativa correspondiente, las violaciones a las</w:t>
      </w:r>
      <w:r>
        <w:rPr>
          <w:spacing w:val="-9"/>
          <w:sz w:val="22"/>
        </w:rPr>
        <w:t> </w:t>
      </w:r>
      <w:r>
        <w:rPr>
          <w:sz w:val="22"/>
        </w:rPr>
        <w:t>mismas;</w:t>
      </w:r>
    </w:p>
    <w:p>
      <w:pPr>
        <w:spacing w:after="0" w:line="360" w:lineRule="auto"/>
        <w:jc w:val="both"/>
        <w:rPr>
          <w:sz w:val="22"/>
        </w:rPr>
        <w:sectPr>
          <w:footerReference w:type="default" r:id="rId703"/>
          <w:pgSz w:w="12240" w:h="15840"/>
          <w:pgMar w:footer="1003" w:header="0" w:top="1360" w:bottom="1200" w:left="1600" w:right="1580"/>
          <w:pgNumType w:start="810"/>
        </w:sectPr>
      </w:pPr>
    </w:p>
    <w:p>
      <w:pPr>
        <w:pStyle w:val="ListParagraph"/>
        <w:numPr>
          <w:ilvl w:val="0"/>
          <w:numId w:val="365"/>
        </w:numPr>
        <w:tabs>
          <w:tab w:pos="422" w:val="left" w:leader="none"/>
        </w:tabs>
        <w:spacing w:line="552" w:lineRule="auto" w:before="53" w:after="0"/>
        <w:ind w:left="102" w:right="418" w:firstLine="0"/>
        <w:jc w:val="left"/>
        <w:rPr>
          <w:sz w:val="22"/>
        </w:rPr>
      </w:pPr>
      <w:r>
        <w:rPr>
          <w:sz w:val="22"/>
        </w:rPr>
        <w:t>Coadyuvar con el ayuntamiento en la elaboración y ejecución del Plan de Desarrollo Municipal y de los programas que de él se</w:t>
      </w:r>
      <w:r>
        <w:rPr>
          <w:spacing w:val="-16"/>
          <w:sz w:val="22"/>
        </w:rPr>
        <w:t> </w:t>
      </w:r>
      <w:r>
        <w:rPr>
          <w:sz w:val="22"/>
        </w:rPr>
        <w:t>deriven;</w:t>
      </w:r>
    </w:p>
    <w:p>
      <w:pPr>
        <w:pStyle w:val="ListParagraph"/>
        <w:numPr>
          <w:ilvl w:val="0"/>
          <w:numId w:val="365"/>
        </w:numPr>
        <w:tabs>
          <w:tab w:pos="443" w:val="left" w:leader="none"/>
        </w:tabs>
        <w:spacing w:line="360" w:lineRule="auto" w:before="6" w:after="0"/>
        <w:ind w:left="102" w:right="123" w:firstLine="0"/>
        <w:jc w:val="both"/>
        <w:rPr>
          <w:sz w:val="22"/>
        </w:rPr>
      </w:pPr>
      <w:r>
        <w:rPr>
          <w:sz w:val="22"/>
        </w:rPr>
        <w:t>Auxiliar al secretario del ayuntamiento con la información que requiera para expedir certificaciones;</w:t>
      </w:r>
    </w:p>
    <w:p>
      <w:pPr>
        <w:pStyle w:val="BodyText"/>
        <w:spacing w:before="9"/>
        <w:rPr>
          <w:sz w:val="17"/>
        </w:rPr>
      </w:pPr>
    </w:p>
    <w:p>
      <w:pPr>
        <w:pStyle w:val="ListParagraph"/>
        <w:numPr>
          <w:ilvl w:val="0"/>
          <w:numId w:val="365"/>
        </w:numPr>
        <w:tabs>
          <w:tab w:pos="445" w:val="left" w:leader="none"/>
        </w:tabs>
        <w:spacing w:line="360" w:lineRule="auto" w:before="0" w:after="0"/>
        <w:ind w:left="102" w:right="114" w:firstLine="0"/>
        <w:jc w:val="both"/>
        <w:rPr>
          <w:sz w:val="22"/>
        </w:rPr>
      </w:pPr>
      <w:r>
        <w:rPr>
          <w:sz w:val="22"/>
        </w:rPr>
        <w:t>Informar anualmente a sus representados y al ayuntamiento, sobre la administración de los recursos que en su caso tenga encomendados, y del estado que guardan los asuntos a su</w:t>
      </w:r>
      <w:r>
        <w:rPr>
          <w:spacing w:val="-2"/>
          <w:sz w:val="22"/>
        </w:rPr>
        <w:t> </w:t>
      </w:r>
      <w:r>
        <w:rPr>
          <w:sz w:val="22"/>
        </w:rPr>
        <w:t>cargo;</w:t>
      </w:r>
    </w:p>
    <w:p>
      <w:pPr>
        <w:pStyle w:val="BodyText"/>
        <w:spacing w:before="10"/>
        <w:rPr>
          <w:sz w:val="17"/>
        </w:rPr>
      </w:pPr>
    </w:p>
    <w:p>
      <w:pPr>
        <w:pStyle w:val="ListParagraph"/>
        <w:numPr>
          <w:ilvl w:val="0"/>
          <w:numId w:val="365"/>
        </w:numPr>
        <w:tabs>
          <w:tab w:pos="455" w:val="left" w:leader="none"/>
        </w:tabs>
        <w:spacing w:line="360" w:lineRule="auto" w:before="0" w:after="0"/>
        <w:ind w:left="102" w:right="121" w:firstLine="0"/>
        <w:jc w:val="both"/>
        <w:rPr>
          <w:sz w:val="22"/>
        </w:rPr>
      </w:pPr>
      <w:r>
        <w:rPr>
          <w:sz w:val="22"/>
        </w:rPr>
        <w:t>Elaborar los programas de trabajo para las delegaciones y subdelegaciones, con la asesoría del</w:t>
      </w:r>
      <w:r>
        <w:rPr>
          <w:spacing w:val="-2"/>
          <w:sz w:val="22"/>
        </w:rPr>
        <w:t> </w:t>
      </w:r>
      <w:r>
        <w:rPr>
          <w:sz w:val="22"/>
        </w:rPr>
        <w:t>ayuntamiento.</w:t>
      </w:r>
    </w:p>
    <w:p>
      <w:pPr>
        <w:pStyle w:val="BodyText"/>
        <w:spacing w:before="7"/>
        <w:rPr>
          <w:sz w:val="17"/>
        </w:rPr>
      </w:pPr>
    </w:p>
    <w:p>
      <w:pPr>
        <w:pStyle w:val="ListParagraph"/>
        <w:numPr>
          <w:ilvl w:val="0"/>
          <w:numId w:val="366"/>
        </w:numPr>
        <w:tabs>
          <w:tab w:pos="323" w:val="left" w:leader="none"/>
        </w:tabs>
        <w:spacing w:line="360" w:lineRule="auto" w:before="0" w:after="0"/>
        <w:ind w:left="102" w:right="118" w:firstLine="0"/>
        <w:jc w:val="both"/>
        <w:rPr>
          <w:sz w:val="22"/>
        </w:rPr>
      </w:pPr>
      <w:r>
        <w:rPr>
          <w:sz w:val="22"/>
        </w:rPr>
        <w:t>vigilar el estado de los canales, vasos colectores, barrancas, canales alcantarillados y demás desagües e informar al ayuntamiento para la realización de acciones</w:t>
      </w:r>
      <w:r>
        <w:rPr>
          <w:spacing w:val="-25"/>
          <w:sz w:val="22"/>
        </w:rPr>
        <w:t> </w:t>
      </w:r>
      <w:r>
        <w:rPr>
          <w:sz w:val="22"/>
        </w:rPr>
        <w:t>correctivas.</w:t>
      </w:r>
    </w:p>
    <w:p>
      <w:pPr>
        <w:pStyle w:val="BodyText"/>
        <w:spacing w:before="9"/>
        <w:rPr>
          <w:sz w:val="17"/>
        </w:rPr>
      </w:pPr>
    </w:p>
    <w:p>
      <w:pPr>
        <w:pStyle w:val="ListParagraph"/>
        <w:numPr>
          <w:ilvl w:val="0"/>
          <w:numId w:val="366"/>
        </w:numPr>
        <w:tabs>
          <w:tab w:pos="390" w:val="left" w:leader="none"/>
        </w:tabs>
        <w:spacing w:line="360" w:lineRule="auto" w:before="0" w:after="0"/>
        <w:ind w:left="102" w:right="118" w:firstLine="0"/>
        <w:jc w:val="both"/>
        <w:rPr>
          <w:sz w:val="22"/>
        </w:rPr>
      </w:pPr>
      <w:r>
        <w:rPr>
          <w:sz w:val="22"/>
        </w:rPr>
        <w:t>Emitir opinión motivada no vinculante, respecto a la autorización de la instalación de nuevos</w:t>
      </w:r>
      <w:r>
        <w:rPr>
          <w:spacing w:val="-3"/>
          <w:sz w:val="22"/>
        </w:rPr>
        <w:t> </w:t>
      </w:r>
      <w:r>
        <w:rPr>
          <w:sz w:val="22"/>
        </w:rPr>
        <w:t>establecimientos</w:t>
      </w:r>
    </w:p>
    <w:p>
      <w:pPr>
        <w:pStyle w:val="BodyText"/>
        <w:spacing w:before="4"/>
        <w:rPr>
          <w:sz w:val="17"/>
        </w:rPr>
      </w:pPr>
    </w:p>
    <w:p>
      <w:pPr>
        <w:pStyle w:val="Heading6"/>
        <w:jc w:val="both"/>
      </w:pPr>
      <w:bookmarkStart w:name="_TOC_250004" w:id="69"/>
      <w:bookmarkEnd w:id="69"/>
      <w:r>
        <w:rPr/>
        <w:t>8.5.1. MARCO LOCAL DEL DERECHO CONSUETUDINARIO</w:t>
      </w:r>
    </w:p>
    <w:p>
      <w:pPr>
        <w:pStyle w:val="BodyText"/>
        <w:spacing w:before="8"/>
        <w:rPr>
          <w:b/>
          <w:sz w:val="28"/>
        </w:rPr>
      </w:pPr>
    </w:p>
    <w:p>
      <w:pPr>
        <w:pStyle w:val="BodyText"/>
        <w:spacing w:line="360" w:lineRule="auto"/>
        <w:ind w:left="102" w:right="115"/>
        <w:jc w:val="both"/>
      </w:pPr>
      <w:r>
        <w:rPr/>
        <w:t>La Constitución Política de los Estados Unidos Mexicanos define la democracia de la manera siguiente: "Será democrático, considerando a la democracia no solamente como una estructura jurídica y un régimen político, sino como un sistema de vida fundado en el constante mejoramiento económico, social y cultural del pueblo". La definición constitucional de democracia señala que es una forma de vida, en todo el territorio nacional, en las diversas actividades que realiza el ser humano debe imperar la democracia, teniendo como premisa el progreso del pueblo; para ello se requiere como requisito sine cuanón que cuenten con elementos suficientes que hagan posible su participación social en la toma de decisiones de los gobiernos; es decir, que existan sujetos sociales, población educada, que cuente con facultades mínimas económicas, jurídicas y políticas; gobiernos municipales con el perfil pertinente a su cargo y una actitud política democrática; la formulación e implementación de mecanismos suficientes y adecuados para una participación social activa, alejada de la subordinación de partidos políticos e intereses económicos individuales.</w:t>
      </w:r>
    </w:p>
    <w:p>
      <w:pPr>
        <w:spacing w:after="0" w:line="360" w:lineRule="auto"/>
        <w:jc w:val="both"/>
        <w:sectPr>
          <w:pgSz w:w="12240" w:h="15840"/>
          <w:pgMar w:header="0" w:footer="1003" w:top="1360" w:bottom="1200" w:left="1600" w:right="1580"/>
        </w:sectPr>
      </w:pPr>
    </w:p>
    <w:p>
      <w:pPr>
        <w:pStyle w:val="BodyText"/>
        <w:spacing w:line="362" w:lineRule="auto" w:before="53"/>
        <w:ind w:left="102" w:right="117"/>
        <w:jc w:val="both"/>
      </w:pPr>
      <w:r>
        <w:rPr/>
        <w:t>Estableciendo un común denominador de democracia, se identifican los elementos constitutivos siguientes:</w:t>
      </w:r>
    </w:p>
    <w:p>
      <w:pPr>
        <w:pStyle w:val="BodyText"/>
        <w:spacing w:before="4"/>
        <w:rPr>
          <w:sz w:val="17"/>
        </w:rPr>
      </w:pPr>
    </w:p>
    <w:p>
      <w:pPr>
        <w:pStyle w:val="BodyText"/>
        <w:ind w:left="102"/>
        <w:jc w:val="both"/>
      </w:pPr>
      <w:r>
        <w:rPr/>
        <w:t>Libertad de los gobernados;</w:t>
      </w:r>
    </w:p>
    <w:p>
      <w:pPr>
        <w:pStyle w:val="BodyText"/>
        <w:spacing w:before="3"/>
        <w:rPr>
          <w:sz w:val="28"/>
        </w:rPr>
      </w:pPr>
    </w:p>
    <w:p>
      <w:pPr>
        <w:pStyle w:val="BodyText"/>
        <w:spacing w:line="362" w:lineRule="auto"/>
        <w:ind w:left="102" w:right="117"/>
        <w:jc w:val="both"/>
      </w:pPr>
      <w:r>
        <w:rPr/>
        <w:t>Igualdad de derechos y obligaciones de las personas que se encuentran en las mismas circunstancias.</w:t>
      </w:r>
    </w:p>
    <w:p>
      <w:pPr>
        <w:pStyle w:val="BodyText"/>
        <w:spacing w:before="4"/>
        <w:rPr>
          <w:sz w:val="17"/>
        </w:rPr>
      </w:pPr>
    </w:p>
    <w:p>
      <w:pPr>
        <w:pStyle w:val="BodyText"/>
        <w:spacing w:line="360" w:lineRule="auto"/>
        <w:ind w:left="102" w:right="114"/>
        <w:jc w:val="both"/>
      </w:pPr>
      <w:r>
        <w:rPr/>
        <w:t>Por lo que, Domínguez (2012), señala que dentro de las reglas del juego se deben considerar, tanto las formales, es decir, las establecidas por ley, pero también las conocidas como reglas informales (North, 1998), que incluyen los procesos consuetudinarios y concepciones sociales en torno al agua, que en un continente como el Latinoamericano existen, son válidos y están vigentes para las comunidades y grupos indígenas. La gobernanza del agua en las Américas no puede ignorar estos procesos en torno al agua. El hacerlo conduce a una “coexistencia” de reglas sobre el uso, e incluso ideas diferentes sobre la propiedad del agua, que no encuentran reconocimiento y protección en las legislaciones nacionales.</w:t>
      </w:r>
    </w:p>
    <w:p>
      <w:pPr>
        <w:pStyle w:val="BodyText"/>
        <w:spacing w:before="7"/>
        <w:rPr>
          <w:sz w:val="17"/>
        </w:rPr>
      </w:pPr>
    </w:p>
    <w:p>
      <w:pPr>
        <w:pStyle w:val="BodyText"/>
        <w:spacing w:line="360" w:lineRule="auto"/>
        <w:ind w:left="102" w:right="112"/>
        <w:jc w:val="both"/>
      </w:pPr>
      <w:r>
        <w:rPr/>
        <w:t>El tercer pilar de la GIRH es la participación social, en la toma de decisiones, en la conformación de la política pública y en la asignación de los usos y derechos de agua.  Son numerosos los conflictos sociales en busca de espacios de deliberación sobre el agua. Las poblaciones muchas veces sufren las decisiones verticales que sobre el agua se adoptan, y en las cuales no se les ha tenido en cuenta. La concesión de uso del agua de manantiales a grandes embotelladoras está representando todo un problema en Latinoamérica, privando además a comunidades originarias que han vivido ancestralmente sobre estas fuentes de agua. Y el choque entre una gestión con “reglas informales” sobre el uso de esta agua y los actos administrativos derivados del agua han llevado a la discusión en foros alternativos que buscan aportar soluciones a estos conflictos, emitiendo recomendaciones, que por otro lado, no tienen vinculatoriedad, más que la moral, frente a las autoridades del agua (Tribunal latinoamericano del agua), pero  sí un fuerte respaldo</w:t>
      </w:r>
      <w:r>
        <w:rPr>
          <w:spacing w:val="-11"/>
        </w:rPr>
        <w:t> </w:t>
      </w:r>
      <w:r>
        <w:rPr/>
        <w:t>social.</w:t>
      </w:r>
    </w:p>
    <w:p>
      <w:pPr>
        <w:pStyle w:val="BodyText"/>
        <w:spacing w:before="7"/>
        <w:rPr>
          <w:sz w:val="17"/>
        </w:rPr>
      </w:pPr>
    </w:p>
    <w:p>
      <w:pPr>
        <w:pStyle w:val="BodyText"/>
        <w:spacing w:line="360" w:lineRule="auto"/>
        <w:ind w:left="102" w:right="116"/>
        <w:jc w:val="both"/>
      </w:pPr>
      <w:r>
        <w:rPr/>
        <w:t>Por lo que, es necesario reducir la brecha entre las formas alternativas de gestión comunitaria o social del agua, aceptarlas y reconocerlas en los sistemas de reglas formales; países como España lo han hecho (Tribunal de aguas de Valencia) y no ha entrado en contradicción ni oposición con las reglas del estado de derecho. Al contrario,</w:t>
      </w:r>
    </w:p>
    <w:p>
      <w:pPr>
        <w:spacing w:after="0" w:line="360" w:lineRule="auto"/>
        <w:jc w:val="both"/>
        <w:sectPr>
          <w:pgSz w:w="12240" w:h="15840"/>
          <w:pgMar w:header="0" w:footer="1003" w:top="1360" w:bottom="1200" w:left="1600" w:right="1580"/>
        </w:sectPr>
      </w:pPr>
    </w:p>
    <w:p>
      <w:pPr>
        <w:pStyle w:val="BodyText"/>
        <w:spacing w:line="360" w:lineRule="auto" w:before="53"/>
        <w:ind w:left="102" w:right="115"/>
        <w:jc w:val="both"/>
      </w:pPr>
      <w:r>
        <w:rPr/>
        <w:t>les ha dado eficacia jurídica a estas decisiones, colectivas, participativas, consensuadas, en los asuntos de los regantes. En nuestro contexto latinoamericano, países como Nicaragua reconocen formalmente las formas comunitarias de gestión y a partir de ahí se construye el sistema hacia arriba (Comités de Agua Potable (CAPS) para la zona rural.</w:t>
      </w:r>
    </w:p>
    <w:p>
      <w:pPr>
        <w:pStyle w:val="BodyText"/>
        <w:spacing w:before="4"/>
        <w:rPr>
          <w:sz w:val="17"/>
        </w:rPr>
      </w:pPr>
    </w:p>
    <w:p>
      <w:pPr>
        <w:pStyle w:val="Heading6"/>
        <w:spacing w:line="360" w:lineRule="auto"/>
        <w:ind w:right="115"/>
        <w:jc w:val="both"/>
        <w:rPr>
          <w:b w:val="0"/>
        </w:rPr>
      </w:pPr>
      <w:r>
        <w:rPr>
          <w:u w:val="thick"/>
        </w:rPr>
        <w:t>En el caso de México, existe una falla de la regulación formal en la CHPH, lo que conlleva a la utilización del derecho consuetudinario: propuesta de un Comité Intermunicipal con su Reglamento para la CHPH</w:t>
      </w:r>
      <w:r>
        <w:rPr>
          <w:b w:val="0"/>
        </w:rPr>
        <w:t>.</w:t>
      </w:r>
    </w:p>
    <w:p>
      <w:pPr>
        <w:pStyle w:val="BodyText"/>
        <w:spacing w:before="8"/>
        <w:rPr>
          <w:sz w:val="11"/>
        </w:rPr>
      </w:pPr>
    </w:p>
    <w:p>
      <w:pPr>
        <w:pStyle w:val="BodyText"/>
        <w:spacing w:line="360" w:lineRule="auto" w:before="73"/>
        <w:ind w:left="102" w:right="119"/>
        <w:jc w:val="both"/>
      </w:pPr>
      <w:r>
        <w:rPr/>
        <w:t>En México tenemos un Sistema de Gobierno Federal que supedita todas las acciones a  su poder central, lo que a lo largo de la historia ha generado una serie de problemas, </w:t>
      </w:r>
      <w:r>
        <w:rPr>
          <w:spacing w:val="-3"/>
        </w:rPr>
        <w:t>ya </w:t>
      </w:r>
      <w:r>
        <w:rPr/>
        <w:t>que las regiones del país son reguladas de forma homogénea por una Constitución General de la República y por leyes secundarias que la</w:t>
      </w:r>
      <w:r>
        <w:rPr>
          <w:spacing w:val="-13"/>
        </w:rPr>
        <w:t> </w:t>
      </w:r>
      <w:r>
        <w:rPr/>
        <w:t>respaldan.</w:t>
      </w:r>
    </w:p>
    <w:p>
      <w:pPr>
        <w:pStyle w:val="BodyText"/>
        <w:spacing w:before="9"/>
        <w:rPr>
          <w:sz w:val="17"/>
        </w:rPr>
      </w:pPr>
    </w:p>
    <w:p>
      <w:pPr>
        <w:pStyle w:val="BodyText"/>
        <w:spacing w:line="360" w:lineRule="auto"/>
        <w:ind w:left="102" w:right="116"/>
        <w:jc w:val="both"/>
      </w:pPr>
      <w:r>
        <w:rPr/>
        <w:t>Por lo que la expresión de la norma jurídica a través de la conducta de los hombres integrados en la comunidad; como expresión espontánea del Derecho, se contrapone al derecho legislado o derecho escrito, que es la expresión reflexiva de la norma. La norma consuetudinaria o costumbre es, pues, norma de conducta que, observándose con conciencia de que obliga como norma jurídica, es tan obligatoria como la contenida en un texto legal.</w:t>
      </w:r>
    </w:p>
    <w:p>
      <w:pPr>
        <w:pStyle w:val="BodyText"/>
        <w:spacing w:before="9"/>
        <w:rPr>
          <w:sz w:val="17"/>
        </w:rPr>
      </w:pPr>
    </w:p>
    <w:p>
      <w:pPr>
        <w:pStyle w:val="BodyText"/>
        <w:spacing w:line="360" w:lineRule="auto" w:before="1"/>
        <w:ind w:left="102" w:right="117"/>
        <w:jc w:val="both"/>
      </w:pPr>
      <w:r>
        <w:rPr/>
        <w:t>El origen de la norma consuetudinaria o costumbre jurídica se encuentra en los usos o prácticas sociales; cuando la comunidad considera que el incumplimiento de un uso hace peligrar el orden convivencial, se transforma el uso en norma consuetudinaria. Por esto se ha dicho que la costumbre jurídica es la norma creada e impuesta por el uso social. Para que la costumbre sea jurídica es preciso que sea un uso social continuado y uniforme,  que sea racional y que sea observado con la convicción de que se trata de una norma obligatoria.</w:t>
      </w:r>
    </w:p>
    <w:p>
      <w:pPr>
        <w:pStyle w:val="BodyText"/>
        <w:spacing w:before="9"/>
        <w:rPr>
          <w:sz w:val="17"/>
        </w:rPr>
      </w:pPr>
    </w:p>
    <w:p>
      <w:pPr>
        <w:pStyle w:val="BodyText"/>
        <w:spacing w:line="360" w:lineRule="auto"/>
        <w:ind w:left="102" w:right="114"/>
        <w:jc w:val="both"/>
      </w:pPr>
      <w:r>
        <w:rPr/>
        <w:t>Por lo que, la más antigua de las fuentes, la primera en el orden histórico, es sin duda la costumbre, o derecho no escrito, practicado por el consentimiento de un pueblo o de un grupo social en ausencia de leyes escritas. Se forma insensiblemente por el uso, la repetición de los mismos actos, que poco a poco van adquiriendo cierto carácter de obligatoriedad al convertirse en exigencias colectivas. Cuando una costumbre llega a imponerse en una sociedad y a ser considerada como una necesidad jurídica, se transforma en derecho consuetudinario.</w:t>
      </w:r>
    </w:p>
    <w:p>
      <w:pPr>
        <w:spacing w:after="0" w:line="360" w:lineRule="auto"/>
        <w:jc w:val="both"/>
        <w:sectPr>
          <w:pgSz w:w="12240" w:h="15840"/>
          <w:pgMar w:header="0" w:footer="1003" w:top="1360" w:bottom="1200" w:left="1600" w:right="1580"/>
        </w:sectPr>
      </w:pPr>
    </w:p>
    <w:p>
      <w:pPr>
        <w:pStyle w:val="BodyText"/>
        <w:spacing w:line="360" w:lineRule="auto" w:before="53"/>
        <w:ind w:left="102" w:right="116"/>
        <w:jc w:val="both"/>
      </w:pPr>
      <w:r>
        <w:rPr/>
        <w:t>Por lo que, el origen de la costumbre es análogo al de los usos y convencionalismos sociales; pero al agregársele una sanción jurídica, más efectiva que las sanciones sociales, aquella se convierte en una norma del derecho cuyo cumplimiento puede ser exigido por los demás.</w:t>
      </w:r>
    </w:p>
    <w:p>
      <w:pPr>
        <w:pStyle w:val="BodyText"/>
        <w:spacing w:before="7"/>
        <w:rPr>
          <w:sz w:val="17"/>
        </w:rPr>
      </w:pPr>
    </w:p>
    <w:p>
      <w:pPr>
        <w:pStyle w:val="BodyText"/>
        <w:spacing w:line="360" w:lineRule="auto"/>
        <w:ind w:left="102" w:right="123"/>
        <w:jc w:val="both"/>
      </w:pPr>
      <w:r>
        <w:rPr/>
        <w:t>Se distingue, por lo tanto, de aquellos usos en virtud de que acuerda a otras personas el derecho de reclamar coactivamente el respeto de la norma establecida.</w:t>
      </w:r>
    </w:p>
    <w:p>
      <w:pPr>
        <w:pStyle w:val="BodyText"/>
        <w:spacing w:before="9"/>
        <w:rPr>
          <w:sz w:val="17"/>
        </w:rPr>
      </w:pPr>
    </w:p>
    <w:p>
      <w:pPr>
        <w:pStyle w:val="BodyText"/>
        <w:spacing w:line="360" w:lineRule="auto"/>
        <w:ind w:left="102" w:right="119"/>
        <w:jc w:val="both"/>
      </w:pPr>
      <w:r>
        <w:rPr/>
        <w:t>Cierto es que las costumbres pueden llegar a redactarse por escrito y aun ser recopiladas y ordenadas, pero esta posibilidad no altera su naturaleza de derecho originariamente no escrito.</w:t>
      </w:r>
    </w:p>
    <w:p>
      <w:pPr>
        <w:pStyle w:val="BodyText"/>
        <w:spacing w:before="7"/>
        <w:rPr>
          <w:sz w:val="17"/>
        </w:rPr>
      </w:pPr>
    </w:p>
    <w:p>
      <w:pPr>
        <w:pStyle w:val="BodyText"/>
        <w:spacing w:line="360" w:lineRule="auto"/>
        <w:ind w:left="102" w:right="116"/>
        <w:jc w:val="both"/>
      </w:pPr>
      <w:r>
        <w:rPr/>
        <w:t>Por tal motivo, </w:t>
      </w:r>
      <w:r>
        <w:rPr>
          <w:i/>
        </w:rPr>
        <w:t>el derecho consuetudinario </w:t>
      </w:r>
      <w:r>
        <w:rPr/>
        <w:t>puede definirse como el conjunto de normas jurídicas que se practican constantemente en una sociedad sin haber sido sancionadas en forma expresa, y que se consideran jurídicamente obligatorias.</w:t>
      </w:r>
    </w:p>
    <w:p>
      <w:pPr>
        <w:pStyle w:val="BodyText"/>
        <w:spacing w:before="7"/>
        <w:rPr>
          <w:sz w:val="17"/>
        </w:rPr>
      </w:pPr>
    </w:p>
    <w:p>
      <w:pPr>
        <w:pStyle w:val="BodyText"/>
        <w:spacing w:line="360" w:lineRule="auto"/>
        <w:ind w:left="102" w:right="113"/>
        <w:jc w:val="both"/>
      </w:pPr>
      <w:r>
        <w:rPr/>
        <w:t>Por lo que, la costumbre supletoria (praeter legem) surge en ausencia de la ley completando los vacíos del derecho escrito. Se trata ya de la creación de nuevas normas jurídicas que no se oponen a las existentes, pues la legislación no ha regulado todavía la materia sobre la cual versa costumbre. Constituye el tipo ideal de formación jurídica consuetudinaria, pues esta complementa el derecho escrito sin contradecirlo: </w:t>
      </w:r>
      <w:r>
        <w:rPr>
          <w:i/>
        </w:rPr>
        <w:t>Comité </w:t>
      </w:r>
      <w:r>
        <w:rPr>
          <w:i/>
        </w:rPr>
        <w:t>Intermunicipal para cuidar la CHPH con su reglamento </w:t>
      </w:r>
      <w:r>
        <w:rPr/>
        <w:t>(Enciclopedia Jurídica, 2014), ya que Carlos Francisco Quintana (2013), especialista en Derecho Municipal, señala que “la Constitución Política de los Estados Unidos Mexicanos no deja del todo clara la cuestión de que si es admisible la asociación de municipios y sus autoridades para otros fines que no sean estrictamente la prestación de servicios públicos o el mejor ejercicio de las funciones que le corresponden.</w:t>
      </w:r>
    </w:p>
    <w:p>
      <w:pPr>
        <w:pStyle w:val="BodyText"/>
        <w:spacing w:before="9"/>
        <w:rPr>
          <w:sz w:val="17"/>
        </w:rPr>
      </w:pPr>
    </w:p>
    <w:p>
      <w:pPr>
        <w:pStyle w:val="BodyText"/>
        <w:spacing w:line="360" w:lineRule="auto"/>
        <w:ind w:left="102" w:right="115"/>
        <w:jc w:val="both"/>
      </w:pPr>
      <w:r>
        <w:rPr/>
        <w:t>Por su parte, Castelazo (2003), menciona que históricamente está comprobada la tensión permanente entre Estado y sociedad. El Estado en el esfuerzo de mantener su preeminencia, demanda control y la sociedad, con el fin de potencializar sus capacidades, exige libertades. Esta circunstancia nos remite al ejercicio de la política, es decir, el arte  de la negociación entre intereses</w:t>
      </w:r>
      <w:r>
        <w:rPr>
          <w:spacing w:val="-16"/>
        </w:rPr>
        <w:t> </w:t>
      </w:r>
      <w:r>
        <w:rPr/>
        <w:t>contrapuestos.</w:t>
      </w:r>
    </w:p>
    <w:p>
      <w:pPr>
        <w:pStyle w:val="BodyText"/>
        <w:spacing w:before="9"/>
        <w:rPr>
          <w:sz w:val="17"/>
        </w:rPr>
      </w:pPr>
    </w:p>
    <w:p>
      <w:pPr>
        <w:pStyle w:val="BodyText"/>
        <w:spacing w:line="360" w:lineRule="auto"/>
        <w:ind w:left="102" w:right="116"/>
        <w:jc w:val="both"/>
      </w:pPr>
      <w:r>
        <w:rPr/>
        <w:t>Se puede afirmar que la política pragmática consiste en desarrollar la capacidad de anticipar  conflictos  o  problemas,  encontrar  los  caminos  para  atraer  el  diálogo, lograr</w:t>
      </w:r>
    </w:p>
    <w:p>
      <w:pPr>
        <w:spacing w:after="0" w:line="360" w:lineRule="auto"/>
        <w:jc w:val="both"/>
        <w:sectPr>
          <w:pgSz w:w="12240" w:h="15840"/>
          <w:pgMar w:header="0" w:footer="1003" w:top="1360" w:bottom="1200" w:left="1600" w:right="1580"/>
        </w:sectPr>
      </w:pPr>
    </w:p>
    <w:p>
      <w:pPr>
        <w:pStyle w:val="BodyText"/>
        <w:spacing w:line="362" w:lineRule="auto" w:before="53"/>
        <w:ind w:left="102" w:right="120"/>
        <w:jc w:val="both"/>
      </w:pPr>
      <w:r>
        <w:rPr/>
        <w:t>acuerdos para establecer políticas públicas generales y/o específicas de alcance  nacional, regional y</w:t>
      </w:r>
      <w:r>
        <w:rPr>
          <w:spacing w:val="-10"/>
        </w:rPr>
        <w:t> </w:t>
      </w:r>
      <w:r>
        <w:rPr/>
        <w:t>local.</w:t>
      </w:r>
    </w:p>
    <w:p>
      <w:pPr>
        <w:pStyle w:val="BodyText"/>
        <w:spacing w:before="4"/>
        <w:rPr>
          <w:sz w:val="17"/>
        </w:rPr>
      </w:pPr>
    </w:p>
    <w:p>
      <w:pPr>
        <w:pStyle w:val="BodyText"/>
        <w:spacing w:line="360" w:lineRule="auto"/>
        <w:ind w:left="102" w:right="120"/>
        <w:jc w:val="both"/>
      </w:pPr>
      <w:r>
        <w:rPr/>
        <w:t>La otra corre por cuenta de la sociedad: mientras más conciencia y autocontrol ejerza en su participación en la vida pública, entonces realmente complementa y posibilita la gobernabilidad democrática.</w:t>
      </w:r>
    </w:p>
    <w:p>
      <w:pPr>
        <w:pStyle w:val="BodyText"/>
        <w:spacing w:before="7"/>
        <w:rPr>
          <w:sz w:val="17"/>
        </w:rPr>
      </w:pPr>
    </w:p>
    <w:p>
      <w:pPr>
        <w:pStyle w:val="Heading6"/>
        <w:jc w:val="both"/>
      </w:pPr>
      <w:bookmarkStart w:name="_TOC_250003" w:id="70"/>
      <w:bookmarkEnd w:id="70"/>
      <w:r>
        <w:rPr/>
        <w:t>8.6. Consideraciones legales para reflexionar en México…</w:t>
      </w:r>
    </w:p>
    <w:p>
      <w:pPr>
        <w:pStyle w:val="BodyText"/>
        <w:spacing w:before="5"/>
        <w:rPr>
          <w:b/>
          <w:sz w:val="28"/>
        </w:rPr>
      </w:pPr>
    </w:p>
    <w:p>
      <w:pPr>
        <w:pStyle w:val="BodyText"/>
        <w:spacing w:line="360" w:lineRule="auto" w:before="1"/>
        <w:ind w:left="102" w:right="116"/>
        <w:jc w:val="both"/>
      </w:pPr>
      <w:r>
        <w:rPr/>
        <w:t>Existen formas institucionalizadas de participación ciudadana reconocidas en la  legislación federal, estatal y municipal; sin embargo, su eficacia es limitada, y prevalecen prácticas burocráticas y autoritarias por parte de las</w:t>
      </w:r>
      <w:r>
        <w:rPr>
          <w:spacing w:val="-20"/>
        </w:rPr>
        <w:t> </w:t>
      </w:r>
      <w:r>
        <w:rPr/>
        <w:t>autoridades.</w:t>
      </w:r>
    </w:p>
    <w:p>
      <w:pPr>
        <w:pStyle w:val="BodyText"/>
        <w:spacing w:before="9"/>
        <w:rPr>
          <w:sz w:val="17"/>
        </w:rPr>
      </w:pPr>
    </w:p>
    <w:p>
      <w:pPr>
        <w:pStyle w:val="BodyText"/>
        <w:spacing w:line="360" w:lineRule="auto"/>
        <w:ind w:left="102" w:right="118"/>
        <w:jc w:val="both"/>
      </w:pPr>
      <w:r>
        <w:rPr/>
        <w:t>Esto ha ocasionado que los espacios institucionales de participación social, sean los mecanismos de rescate ecológico mediante la cooperación y la corresponsabilidad en la gestión del medio ambiente con sus propios recursos.</w:t>
      </w:r>
    </w:p>
    <w:p>
      <w:pPr>
        <w:pStyle w:val="BodyText"/>
        <w:spacing w:before="7"/>
        <w:rPr>
          <w:sz w:val="17"/>
        </w:rPr>
      </w:pPr>
    </w:p>
    <w:p>
      <w:pPr>
        <w:pStyle w:val="BodyText"/>
        <w:spacing w:line="360" w:lineRule="auto"/>
        <w:ind w:left="102" w:right="116"/>
        <w:jc w:val="both"/>
      </w:pPr>
      <w:r>
        <w:rPr/>
        <w:t>Elena Burns (2015), señala que la Ley de Aguas, propuesta presuntamente para garantizar el derecho humano al agua, en realidad atenta contra las comunidades y el manejo sustentable del agua, beneficia de forma desmedida a concesionarios, y se queda muy corta en crear límites a la contaminación del agua.</w:t>
      </w:r>
    </w:p>
    <w:p>
      <w:pPr>
        <w:pStyle w:val="BodyText"/>
        <w:spacing w:before="7"/>
        <w:rPr>
          <w:sz w:val="17"/>
        </w:rPr>
      </w:pPr>
    </w:p>
    <w:p>
      <w:pPr>
        <w:pStyle w:val="BodyText"/>
        <w:ind w:left="102"/>
        <w:jc w:val="both"/>
      </w:pPr>
      <w:r>
        <w:rPr/>
        <w:t>En horas diputados, “leyeron”, “discutieron”</w:t>
      </w:r>
      <w:r>
        <w:rPr>
          <w:spacing w:val="50"/>
        </w:rPr>
        <w:t> </w:t>
      </w:r>
      <w:r>
        <w:rPr/>
        <w:t>y aprobaron en Comisiones la nueva Ley</w:t>
      </w:r>
    </w:p>
    <w:p>
      <w:pPr>
        <w:pStyle w:val="BodyText"/>
        <w:spacing w:before="126"/>
        <w:ind w:left="102"/>
        <w:jc w:val="both"/>
      </w:pPr>
      <w:r>
        <w:rPr/>
        <w:t>General de Aguas.</w:t>
      </w:r>
    </w:p>
    <w:p>
      <w:pPr>
        <w:pStyle w:val="BodyText"/>
        <w:spacing w:before="5"/>
        <w:rPr>
          <w:sz w:val="28"/>
        </w:rPr>
      </w:pPr>
    </w:p>
    <w:p>
      <w:pPr>
        <w:pStyle w:val="BodyText"/>
        <w:spacing w:line="360" w:lineRule="auto" w:before="1"/>
        <w:ind w:left="102" w:right="114"/>
        <w:jc w:val="both"/>
      </w:pPr>
      <w:r>
        <w:rPr/>
        <w:t>Endulzada como ley para garantizar el derecho humano al agua, en realidad atenta contra comunidades, contra el manejo sustentable del agua, beneficia de forma desmedida a concesionarios y se queda muy corta en crear límites a la contaminación del agua.</w:t>
      </w:r>
    </w:p>
    <w:p>
      <w:pPr>
        <w:pStyle w:val="BodyText"/>
        <w:spacing w:before="7"/>
        <w:rPr>
          <w:sz w:val="17"/>
        </w:rPr>
      </w:pPr>
    </w:p>
    <w:p>
      <w:pPr>
        <w:pStyle w:val="BodyText"/>
        <w:spacing w:line="360" w:lineRule="auto"/>
        <w:ind w:left="102" w:right="115"/>
        <w:jc w:val="both"/>
      </w:pPr>
      <w:r>
        <w:rPr/>
        <w:t>La nueva Ley establece que es de utilidad pública usar agua para generar  energía eléctrica (Art. 8-XV). Si una comunidad se opone a una hidroeléctrica que inundará sus casas, no tiene protección jurídica posible: los van a desalojar y construirán la infraestructura necesaria ya que a pesar de las salvaguardas de la Ley de Amparo (Arts. 126, 127 y 129), la experiencia ha marcado que aun cuando hay sentencias por resolverse, una vez acreditada su “utilidad pública”, parar las obras es casi imposible. Más aún, si los afectados protestan, el nuevo artículo 263 de la Ley General de Aguas dice que se podrá usar la fuerza pública para hacer cumplir las decisiones de las autoridades.</w:t>
      </w:r>
    </w:p>
    <w:p>
      <w:pPr>
        <w:spacing w:after="0" w:line="360" w:lineRule="auto"/>
        <w:jc w:val="both"/>
        <w:sectPr>
          <w:pgSz w:w="12240" w:h="15840"/>
          <w:pgMar w:header="0" w:footer="1003" w:top="1360" w:bottom="1200" w:left="1600" w:right="1580"/>
        </w:sectPr>
      </w:pPr>
    </w:p>
    <w:p>
      <w:pPr>
        <w:pStyle w:val="BodyText"/>
        <w:spacing w:line="360" w:lineRule="auto" w:before="53"/>
        <w:ind w:left="102" w:right="115"/>
        <w:jc w:val="both"/>
      </w:pPr>
      <w:r>
        <w:rPr/>
        <w:t>La nueva norma atenta contra el manejo sustentable del agua porque permite a particulares hacer trasvases directos (Art. 116-I): es decir, pasar agua de una cuenca a otra.</w:t>
      </w:r>
    </w:p>
    <w:p>
      <w:pPr>
        <w:pStyle w:val="BodyText"/>
        <w:spacing w:before="7"/>
        <w:rPr>
          <w:sz w:val="17"/>
        </w:rPr>
      </w:pPr>
    </w:p>
    <w:p>
      <w:pPr>
        <w:pStyle w:val="BodyText"/>
        <w:spacing w:line="360" w:lineRule="auto"/>
        <w:ind w:left="102" w:right="114"/>
        <w:jc w:val="both"/>
      </w:pPr>
      <w:r>
        <w:rPr/>
        <w:t>Con la nueva ley, estos trasvases también son de “utilidad pública” (Art. 8-IV) y son “necesarios” porque uno de los pilares de la reforma energética es la extracción de gas y petróleo a través delfracking, mismo que requiere 29 millones de litros de agua por pozo para operar. Como en Nuevo León, Chihuahua, Coahuila no tienen tanta agua,  esta nueva ley les asegura la posibilidad de quitarle agua a otras cuencas para satisfacer su demanda ya que tienen reservas importantes de hidrocarburos para ser explotados vía fracking. En el resto del país, estos trasvases serán funcionales a las industrias y minas que lo</w:t>
      </w:r>
      <w:r>
        <w:rPr>
          <w:spacing w:val="-4"/>
        </w:rPr>
        <w:t> </w:t>
      </w:r>
      <w:r>
        <w:rPr/>
        <w:t>requieran.</w:t>
      </w:r>
    </w:p>
    <w:p>
      <w:pPr>
        <w:pStyle w:val="BodyText"/>
        <w:spacing w:before="7"/>
        <w:rPr>
          <w:sz w:val="17"/>
        </w:rPr>
      </w:pPr>
    </w:p>
    <w:p>
      <w:pPr>
        <w:pStyle w:val="BodyText"/>
        <w:spacing w:line="360" w:lineRule="auto"/>
        <w:ind w:left="102" w:right="117"/>
        <w:jc w:val="both"/>
      </w:pPr>
      <w:r>
        <w:rPr/>
        <w:t>Por su parte, la ley dice que debe “facilitarse” a concesionarios la planeación, ejecución, evaluación y vigilancia de la política del agua (Art. 54). De hecho, tienen voz y voto en los Consejos de Cuenca (Art. 56) con una representación de hasta el 60 por ciento del consejo. Por ello pueden participar en la vigilancia de la explotación, uso y aprovechamiento del agua y en la prevención, conciliación, arbitraje, mitigación y solución de conflictos en materia hídrica (Art, 59-XII). Además, los concesionarios a través de los Consejos de Cuenca coadyuvarán en la selección de proyectos y obras de infraestructura hidráulica (Art, 59-VIII).</w:t>
      </w:r>
    </w:p>
    <w:p>
      <w:pPr>
        <w:pStyle w:val="BodyText"/>
        <w:spacing w:before="9"/>
        <w:rPr>
          <w:sz w:val="17"/>
        </w:rPr>
      </w:pPr>
    </w:p>
    <w:p>
      <w:pPr>
        <w:pStyle w:val="BodyText"/>
        <w:spacing w:line="360" w:lineRule="auto"/>
        <w:ind w:left="102" w:right="114"/>
        <w:jc w:val="both"/>
      </w:pPr>
      <w:r>
        <w:rPr/>
        <w:t>Por si fuera poco, la nueva ley plantea que el Estado promoverá la participación voluntaria de los concesionarios en esquemas de auditoría y evaluación para cuantificar el cumplimiento de la normatividad, el uso eficiente del agua y la adecuada gestión (Art. 39).</w:t>
      </w:r>
    </w:p>
    <w:p>
      <w:pPr>
        <w:pStyle w:val="BodyText"/>
        <w:spacing w:before="7"/>
        <w:rPr>
          <w:sz w:val="17"/>
        </w:rPr>
      </w:pPr>
    </w:p>
    <w:p>
      <w:pPr>
        <w:pStyle w:val="BodyText"/>
        <w:spacing w:line="360" w:lineRule="auto"/>
        <w:ind w:left="102" w:right="115"/>
        <w:jc w:val="both"/>
      </w:pPr>
      <w:r>
        <w:rPr/>
        <w:t>En materia de contaminación del agua, existen elementos que pueden hacer inútiles todos los esfuerzos para limitarla. Por ejemplo, si concesionarios contaminan el agua, la peor multa es de 3.5 millones de pesos (Art. 264: 50,000 días de salario mínimo). Para poner en contexto, los daños al </w:t>
      </w:r>
      <w:r>
        <w:rPr>
          <w:spacing w:val="-2"/>
        </w:rPr>
        <w:t>Río </w:t>
      </w:r>
      <w:r>
        <w:rPr/>
        <w:t>Sonora a manos de Minera México se calcularon en 20 mil millones de</w:t>
      </w:r>
      <w:r>
        <w:rPr>
          <w:spacing w:val="-6"/>
        </w:rPr>
        <w:t> </w:t>
      </w:r>
      <w:r>
        <w:rPr/>
        <w:t>pesos.</w:t>
      </w:r>
    </w:p>
    <w:p>
      <w:pPr>
        <w:pStyle w:val="BodyText"/>
        <w:spacing w:before="7"/>
        <w:rPr>
          <w:sz w:val="17"/>
        </w:rPr>
      </w:pPr>
    </w:p>
    <w:p>
      <w:pPr>
        <w:pStyle w:val="BodyText"/>
        <w:spacing w:line="360" w:lineRule="auto"/>
        <w:ind w:left="102" w:right="115"/>
        <w:jc w:val="both"/>
      </w:pPr>
      <w:r>
        <w:rPr/>
        <w:t>A su vez se establece que pueden contaminarse los ríos con químicos siempre que “no rebasen la capacidad de asimilación” (Art. 142). Sin embargo, la literatura es clara en el sentido de que los contaminantes no se acumulan en el agua sino en los suelos, los ecosistemas  y  en  el  cuerpo  humano.  Además,  la  ley  señala  que  las       autoridades</w:t>
      </w:r>
    </w:p>
    <w:p>
      <w:pPr>
        <w:spacing w:after="0" w:line="360" w:lineRule="auto"/>
        <w:jc w:val="both"/>
        <w:sectPr>
          <w:pgSz w:w="12240" w:h="15840"/>
          <w:pgMar w:header="0" w:footer="1003" w:top="1360" w:bottom="1200" w:left="1600" w:right="1580"/>
        </w:sectPr>
      </w:pPr>
    </w:p>
    <w:p>
      <w:pPr>
        <w:pStyle w:val="BodyText"/>
        <w:spacing w:line="362" w:lineRule="auto" w:before="53"/>
        <w:ind w:left="102" w:right="121"/>
        <w:jc w:val="both"/>
      </w:pPr>
      <w:r>
        <w:rPr/>
        <w:t>municipales deben informar a la población sobre los peligros y daños que ocasiona descargar químicos en la red de drenaje municipal, pero no lo prohíbe (Art. 78).</w:t>
      </w:r>
    </w:p>
    <w:p>
      <w:pPr>
        <w:pStyle w:val="BodyText"/>
        <w:spacing w:before="4"/>
        <w:rPr>
          <w:sz w:val="17"/>
        </w:rPr>
      </w:pPr>
    </w:p>
    <w:p>
      <w:pPr>
        <w:pStyle w:val="BodyText"/>
        <w:spacing w:line="360" w:lineRule="auto"/>
        <w:ind w:left="102" w:right="114"/>
        <w:jc w:val="both"/>
      </w:pPr>
      <w:r>
        <w:rPr/>
        <w:t>Quizá uno de los elementos más notables es que la nueva ley da pasos para atrás en materia de accesibilidad en el derecho humano al agua. Por ejemplo, se establece una dotación mínima para garantizar el derecho humano al agua en 50 litros diarios por persona, pero la Suprema Corte en el Amparo en Revisión 2190/2014 ya había sentenciado que deberían ser 100 litros por persona.</w:t>
      </w:r>
    </w:p>
    <w:p>
      <w:pPr>
        <w:pStyle w:val="BodyText"/>
        <w:spacing w:before="9"/>
        <w:rPr>
          <w:sz w:val="17"/>
        </w:rPr>
      </w:pPr>
    </w:p>
    <w:p>
      <w:pPr>
        <w:pStyle w:val="BodyText"/>
        <w:spacing w:line="360" w:lineRule="auto"/>
        <w:ind w:left="102" w:right="117"/>
        <w:jc w:val="both"/>
      </w:pPr>
      <w:r>
        <w:rPr/>
        <w:t>La aprobación de esta ley en comisiones de la Cámara de Diputados se dio en completa opacidad, a puertas cerradas con guardias a la entrada que solo permitieron el acceso a un legislador y solo uno de sus asesores y no más.</w:t>
      </w:r>
    </w:p>
    <w:p>
      <w:pPr>
        <w:pStyle w:val="BodyText"/>
        <w:spacing w:before="9"/>
        <w:rPr>
          <w:sz w:val="17"/>
        </w:rPr>
      </w:pPr>
    </w:p>
    <w:p>
      <w:pPr>
        <w:pStyle w:val="BodyText"/>
        <w:spacing w:line="360" w:lineRule="auto"/>
        <w:ind w:left="102" w:right="115"/>
        <w:jc w:val="both"/>
      </w:pPr>
      <w:r>
        <w:rPr/>
        <w:t>Las repercusiones de esta ley no solo son extendidas sino intergeneracionales. Por su parte, como nunca las organizaciones dedicadas al tema del agua deberán activarse y ampliar su diálogo con la sociedad para explicar las consecuencias de esta ley, los aspectos que deben modificarse y sus propuestas como la iniciativa ciudadana en la que han trabajado desde hace dos años. Siempre, como lo recuerda el gran Óscar Olivera y la lucha en Cochabamba, Bolivia, deben buscar ser como el agua limpia: transparente y en constante movimiento (Burns, 2015).</w:t>
      </w:r>
    </w:p>
    <w:p>
      <w:pPr>
        <w:pStyle w:val="BodyText"/>
        <w:spacing w:before="9"/>
        <w:rPr>
          <w:sz w:val="17"/>
        </w:rPr>
      </w:pPr>
    </w:p>
    <w:p>
      <w:pPr>
        <w:pStyle w:val="BodyText"/>
        <w:spacing w:line="360" w:lineRule="auto" w:before="1"/>
        <w:ind w:left="102" w:right="118"/>
        <w:jc w:val="both"/>
      </w:pPr>
      <w:r>
        <w:rPr/>
        <w:t>Bajo estas premisas, se requiere que los actores sociales se organicen mediante el derecho consuetudinario para cuidar, defender y administrar sus recursos naturales (agua), por tal motivo, el Comité Intermunicipal para Cuidar, Defender y Administrar los Recursos Naturales de la Cuenca Hidrosocial Presa Huapango con su Reglamento, es una alternativa de organización civil para hacer frente a las injusticias entorno a el agua que existen en el país y en el mundo. Es por ello que el análisis y la discusión a través de la historia, se hacen necesarios previo al diseño, porque permiten entender el por qué se requieren dichos instrumentos de gobernanza y gobernabilidad en un entorno de GIRH… por ello, en el siguiente apartado, se analiza y discute al</w:t>
      </w:r>
      <w:r>
        <w:rPr>
          <w:spacing w:val="-18"/>
        </w:rPr>
        <w:t> </w:t>
      </w:r>
      <w:r>
        <w:rPr/>
        <w:t>respecto.</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p>
    <w:p>
      <w:pPr>
        <w:pStyle w:val="Heading1"/>
        <w:ind w:left="1880"/>
      </w:pPr>
      <w:r>
        <w:rPr/>
        <w:t>ANÁLISIS Y DISCUSIÓN</w:t>
      </w:r>
    </w:p>
    <w:p>
      <w:pPr>
        <w:spacing w:after="0"/>
        <w:sectPr>
          <w:pgSz w:w="12240" w:h="15840"/>
          <w:pgMar w:header="0" w:footer="1003" w:top="1500" w:bottom="1200" w:left="1720" w:right="1580"/>
        </w:sectPr>
      </w:pPr>
    </w:p>
    <w:p>
      <w:pPr>
        <w:pStyle w:val="Heading6"/>
        <w:numPr>
          <w:ilvl w:val="0"/>
          <w:numId w:val="367"/>
        </w:numPr>
        <w:tabs>
          <w:tab w:pos="438" w:val="left" w:leader="none"/>
        </w:tabs>
        <w:spacing w:line="240" w:lineRule="auto" w:before="51" w:after="0"/>
        <w:ind w:left="102" w:right="0" w:firstLine="0"/>
        <w:jc w:val="both"/>
      </w:pPr>
      <w:bookmarkStart w:name="_TOC_250002" w:id="71"/>
      <w:r>
        <w:rPr/>
        <w:t>ANÁLISIS Y</w:t>
      </w:r>
      <w:r>
        <w:rPr>
          <w:spacing w:val="-12"/>
        </w:rPr>
        <w:t> </w:t>
      </w:r>
      <w:bookmarkEnd w:id="71"/>
      <w:r>
        <w:rPr/>
        <w:t>DISCUSIÓN</w:t>
      </w:r>
    </w:p>
    <w:p>
      <w:pPr>
        <w:pStyle w:val="BodyText"/>
        <w:rPr>
          <w:b/>
          <w:sz w:val="21"/>
        </w:rPr>
      </w:pPr>
    </w:p>
    <w:p>
      <w:pPr>
        <w:pStyle w:val="BodyText"/>
        <w:spacing w:line="360" w:lineRule="auto"/>
        <w:ind w:left="102" w:right="113"/>
        <w:jc w:val="both"/>
      </w:pPr>
      <w:r>
        <w:rPr/>
        <w:t>Una vez analizados los resultados del presente trabajo</w:t>
      </w:r>
      <w:r>
        <w:rPr>
          <w:i/>
        </w:rPr>
        <w:t>, </w:t>
      </w:r>
      <w:r>
        <w:rPr/>
        <w:t>se identificó primero que existe en la Cuenca Hidrosocial de la Presa Huapango, una fuerte identidad social, asociada a una larga historia común de ocupación del espacio, debido a que fue un territorio ocupado desde la antigüedad prehispánica (por otomíes principalmente y nahuas), y que poseyó uno organización estatal dividida en clases sociales, con una economía basada en una agricultura intensiva con manejo de agua para riego, apoyada principalmente en el uso intensivo de un cuerpo natural de agua (el cual daría posteriormente lugar a la presa Huapango y a la presa Huaracha).</w:t>
      </w:r>
    </w:p>
    <w:p>
      <w:pPr>
        <w:pStyle w:val="BodyText"/>
        <w:spacing w:before="7"/>
        <w:rPr>
          <w:sz w:val="17"/>
        </w:rPr>
      </w:pPr>
    </w:p>
    <w:p>
      <w:pPr>
        <w:pStyle w:val="BodyText"/>
        <w:spacing w:line="360" w:lineRule="auto"/>
        <w:ind w:left="102" w:right="112"/>
        <w:jc w:val="both"/>
      </w:pPr>
      <w:r>
        <w:rPr/>
        <w:t>Esta población de origen mesoamericano, tenía su organización sociopolítica en señoríos familiares denominados </w:t>
      </w:r>
      <w:r>
        <w:rPr>
          <w:i/>
        </w:rPr>
        <w:t>Tlahtocayo</w:t>
      </w:r>
      <w:r>
        <w:rPr/>
        <w:t>, que eran unidades de parentesco, tanto de tipo consanguíneo como ritual, lo que permitía la identificación en grupos que podían solucionar sus conflictos a través de esta vía. Estos Tlahtocayos de la Cuenca, pertenecían a una provincia sociopolítica mayor denominada Señorío de Xilotepec, la cual conservó su importancia de producción intensiva agrícola, hasta la época de la conquista española de la provincia de Xilotepec.</w:t>
      </w:r>
    </w:p>
    <w:p>
      <w:pPr>
        <w:pStyle w:val="BodyText"/>
        <w:spacing w:before="7"/>
        <w:rPr>
          <w:sz w:val="17"/>
        </w:rPr>
      </w:pPr>
    </w:p>
    <w:p>
      <w:pPr>
        <w:pStyle w:val="BodyText"/>
        <w:spacing w:line="360" w:lineRule="auto"/>
        <w:ind w:left="102" w:right="113"/>
        <w:jc w:val="both"/>
      </w:pPr>
      <w:r>
        <w:rPr/>
        <w:t>Hacia 1519, se identifica el cambio sociopolítico de la provincia citada, debido al comienzo de la conquista hispana y su integración al sistema mundo. Dicha región fue recorrida por primera vez por los españoles desde 1519, pero fue a mediados de esa misma década (1525) que la provincia de Jilotepec fue dominada; y en 1533 se le asignó el territorio como Encomienda al conquistador Juan Jaramillo de Salvatierra (esposo de la Malinche). Este período conectó económica, social y políticamente a dicha provincia al sistema mundo, como parte del territorio español, sometiendo a la antigua población a las normas jurídicas hispanas, pero conservando también en parte, los sistemas antiguos de parentesco ritual y consanguíneo de los</w:t>
      </w:r>
      <w:r>
        <w:rPr>
          <w:spacing w:val="-17"/>
        </w:rPr>
        <w:t> </w:t>
      </w:r>
      <w:r>
        <w:rPr/>
        <w:t>Tlahtocayos.</w:t>
      </w:r>
    </w:p>
    <w:p>
      <w:pPr>
        <w:pStyle w:val="BodyText"/>
        <w:spacing w:before="10"/>
        <w:rPr>
          <w:sz w:val="17"/>
        </w:rPr>
      </w:pPr>
    </w:p>
    <w:p>
      <w:pPr>
        <w:pStyle w:val="BodyText"/>
        <w:spacing w:line="360" w:lineRule="auto"/>
        <w:ind w:left="102" w:right="112"/>
        <w:jc w:val="both"/>
      </w:pPr>
      <w:r>
        <w:rPr/>
        <w:t>Hacia el año 1580, con la llegada de la población española, la Encomienda de la provincia de Xilotepec, se conformó política y económicamente un territorio de haciendas de  ganado mayor y menor, en las que trabajaba un número creciente de hispanos, así como mulatos e indígenas, emparentándose entre sí y formando nuevas unidades de población, pero conservando y renovando el sistema social de parentesco ritual y consanguíneo.  Esto se reforzó con la aparición de nuevas actividades culturales como corridas de toros y caballos. Así, para el año de 1794, ya existían en la provincia de Xilotepec, 25  </w:t>
      </w:r>
      <w:r>
        <w:rPr>
          <w:spacing w:val="15"/>
        </w:rPr>
        <w:t> </w:t>
      </w:r>
      <w:r>
        <w:rPr/>
        <w:t>haciendas</w:t>
      </w:r>
    </w:p>
    <w:p>
      <w:pPr>
        <w:spacing w:after="0" w:line="360" w:lineRule="auto"/>
        <w:jc w:val="both"/>
        <w:sectPr>
          <w:pgSz w:w="12240" w:h="15840"/>
          <w:pgMar w:header="0" w:footer="1003" w:top="1360" w:bottom="1200" w:left="1600" w:right="1580"/>
        </w:sectPr>
      </w:pPr>
    </w:p>
    <w:p>
      <w:pPr>
        <w:pStyle w:val="BodyText"/>
        <w:spacing w:line="362" w:lineRule="auto" w:before="53"/>
        <w:ind w:left="102" w:right="117"/>
        <w:jc w:val="both"/>
      </w:pPr>
      <w:r>
        <w:rPr/>
        <w:t>y 95 ranchos ganaderos y productores de leche, los cuales acaparaban los recursos naturales, principalmente tierra y agua.</w:t>
      </w:r>
    </w:p>
    <w:p>
      <w:pPr>
        <w:pStyle w:val="BodyText"/>
        <w:spacing w:before="4"/>
        <w:rPr>
          <w:sz w:val="17"/>
        </w:rPr>
      </w:pPr>
    </w:p>
    <w:p>
      <w:pPr>
        <w:pStyle w:val="BodyText"/>
        <w:spacing w:line="360" w:lineRule="auto"/>
        <w:ind w:left="102" w:right="112"/>
        <w:jc w:val="both"/>
      </w:pPr>
      <w:r>
        <w:rPr/>
        <w:t>Hacia los años de 1785-1788, la provincia de Xilotepec y sus unidades productivas (haciendas y ranchos) se vieron sometidas a producir más cereales y ganado para abastecer a las crecientes ciudades y minas de Querétaro y México. En este sentido, las unidades de producción y gran parte del territorio de la Cuenca, eran propiedad de las órdenes religiosas (franciscanos y jesuitas principalmente), los cuales estaban en  la región desde antiguo. Esta presión económica hizo decidir construir sobre el antiguo lago prehispánico, una cortina para formar una presa de gran tamaño, capaz de contener más agua para aumentar las tierras de cultivo irrigables, y dar también agua y forraje a un número creciente de ganado mayor.</w:t>
      </w:r>
    </w:p>
    <w:p>
      <w:pPr>
        <w:pStyle w:val="BodyText"/>
        <w:spacing w:before="7"/>
        <w:rPr>
          <w:sz w:val="17"/>
        </w:rPr>
      </w:pPr>
    </w:p>
    <w:p>
      <w:pPr>
        <w:pStyle w:val="BodyText"/>
        <w:spacing w:line="360" w:lineRule="auto"/>
        <w:ind w:left="102" w:right="115"/>
        <w:jc w:val="both"/>
      </w:pPr>
      <w:r>
        <w:rPr/>
        <w:t>Se identificó así, que éste es el origen del cuerpo de agua que se conoce actualmente como presa o laguna de Huapango, y que es el cuerpo de agua más grande del estado de México y uno de los mayores del centro del país, el cual aporta el agua para una de las cuencas lecheras más importantes de México.</w:t>
      </w:r>
    </w:p>
    <w:p>
      <w:pPr>
        <w:pStyle w:val="BodyText"/>
        <w:spacing w:before="7"/>
        <w:rPr>
          <w:sz w:val="17"/>
        </w:rPr>
      </w:pPr>
    </w:p>
    <w:p>
      <w:pPr>
        <w:pStyle w:val="BodyText"/>
        <w:spacing w:line="360" w:lineRule="auto"/>
        <w:ind w:left="102" w:right="111"/>
        <w:jc w:val="both"/>
      </w:pPr>
      <w:r>
        <w:rPr/>
        <w:t>Es así como las haciendas y la construcción de la presa (1785-1788) trajeron consigo un cambio del paisaje (ecología cultural) acelerado, lo que posibilito y reforzó el surgimiento de nuevos actores y su relación respecto al uso y manejo del agua mediante su acceso al regadío, ganadería, pesca, gastronomía lacustre y lácteos; generando con esto una identidad afianzada en el agua y lo lacustre, no importando la raza, sino el nacimiento y la pertenencia al lugar, surgiendo así la importancia de los actores mestizos, donde lo  común es la agricultura, la ganadería y las fiestas alrededor de los caballos y el</w:t>
      </w:r>
      <w:r>
        <w:rPr>
          <w:spacing w:val="-20"/>
        </w:rPr>
        <w:t> </w:t>
      </w:r>
      <w:r>
        <w:rPr/>
        <w:t>ganado.</w:t>
      </w:r>
    </w:p>
    <w:p>
      <w:pPr>
        <w:pStyle w:val="BodyText"/>
        <w:spacing w:before="7"/>
        <w:rPr>
          <w:sz w:val="17"/>
        </w:rPr>
      </w:pPr>
    </w:p>
    <w:p>
      <w:pPr>
        <w:pStyle w:val="BodyText"/>
        <w:spacing w:line="360" w:lineRule="auto"/>
        <w:ind w:left="102" w:right="113"/>
        <w:jc w:val="both"/>
      </w:pPr>
      <w:r>
        <w:rPr/>
        <w:t>Sin embargo la concentración de tierras y aguas (en la Nueva España), trajo consigo una serie de inequidades sociopolíticas que derivaron en la lucha por la independencia (1810- 1821). Este hecho ya consumado, tiene un gran impacto en el territorio de Xilotepec, y se considera como un hecho histórico de gran peso, donde se empiezan a implementar nuevos derechos sociopolíticos, económicos y ambientales entre la población, y da paso a la llegada de un nuevo orden estatal con la aparición de nuevos actores: gubernamentales e institucionales, reconformando el territorio y sus relaciones sociopolíticas, generando así los actuales municipios que conforman la CHPH.</w:t>
      </w:r>
    </w:p>
    <w:p>
      <w:pPr>
        <w:spacing w:after="0" w:line="360" w:lineRule="auto"/>
        <w:jc w:val="both"/>
        <w:sectPr>
          <w:footerReference w:type="default" r:id="rId704"/>
          <w:pgSz w:w="12240" w:h="15840"/>
          <w:pgMar w:footer="1003" w:header="0" w:top="1360" w:bottom="1200" w:left="1600" w:right="1580"/>
          <w:pgNumType w:start="820"/>
        </w:sectPr>
      </w:pPr>
    </w:p>
    <w:p>
      <w:pPr>
        <w:pStyle w:val="BodyText"/>
        <w:spacing w:line="360" w:lineRule="auto" w:before="53"/>
        <w:ind w:left="102" w:right="112"/>
        <w:jc w:val="both"/>
      </w:pPr>
      <w:r>
        <w:rPr/>
        <w:t>Éste hecho permitió que se formaran e instituyeran los actuales municipios de la CHPH, siendo el primero la Villa de Jilotepec en 1861, por decreto No. 27. Sin embargo, dicha institución fue dotada desde su origen, con una serie de limitaciones sociopolíticas importantes, que obedecieron a un modelo centralizado de Estado Federal, y que han repercutido en la gobernanza de los actores de la Cuenca hasta la fecha. Entre las principales limitaciones y deficiencias del municipio, está su competencia jurídica en torno a la protección de su medio ambiente; y también carece de competencia jurídica en términos de relación con sus municipios vecinos para atender problemas de medio ambiente de origen común (lo que limita una GIRH actual).</w:t>
      </w:r>
    </w:p>
    <w:p>
      <w:pPr>
        <w:pStyle w:val="BodyText"/>
        <w:spacing w:before="10"/>
        <w:rPr>
          <w:sz w:val="17"/>
        </w:rPr>
      </w:pPr>
    </w:p>
    <w:p>
      <w:pPr>
        <w:pStyle w:val="BodyText"/>
        <w:spacing w:line="360" w:lineRule="auto"/>
        <w:ind w:left="102" w:right="113"/>
        <w:jc w:val="both"/>
      </w:pPr>
      <w:r>
        <w:rPr/>
        <w:t>Estas deficiencias y limitaciones municipales de la federación, fueron decisiones políticas antiguas que siguen afectando la gobernanza y gobernabilidad de la Cuenca; el municipio sigue estando supeditado al sistema federal y estatal (a pesar de las reformas al artículo 115), lo cual no le permite tener la “autonomía y soberanía” que se estipula en la Constitución para su territorio, población y gobierno, por lo que los municipios de la CHPH desde su origen, tienen problemas en sus facultades políticas-sociales, que se traducen en atribuciones limitadas que tienen un gran impacto sociopolítico, económico y ambiental como institución, y que afectan directamente a la solución de los problemas del agua y a sus habitantes de la</w:t>
      </w:r>
      <w:r>
        <w:rPr>
          <w:spacing w:val="55"/>
        </w:rPr>
        <w:t> </w:t>
      </w:r>
      <w:r>
        <w:rPr/>
        <w:t>Cuenca.</w:t>
      </w:r>
    </w:p>
    <w:p>
      <w:pPr>
        <w:pStyle w:val="BodyText"/>
        <w:spacing w:before="7"/>
        <w:rPr>
          <w:sz w:val="17"/>
        </w:rPr>
      </w:pPr>
    </w:p>
    <w:p>
      <w:pPr>
        <w:pStyle w:val="BodyText"/>
        <w:spacing w:line="360" w:lineRule="auto"/>
        <w:ind w:left="102" w:right="114"/>
        <w:jc w:val="both"/>
      </w:pPr>
      <w:r>
        <w:rPr/>
        <w:t>Otro periodo que se identificó como de marcada importancia para entender los problemas de la CHPH, fueron los hechos sociales, económicos y políticos que tuvo en el territorio la revolución de 1910, comenzando por la afectación de los grandes latifundios regionales y la otorgación de nuevos derechos sobre los recursos ambientales a los actores antiguos (plasmados en la Constitución de 1917 mediante la Reforma Agraria). Si bien, dicha Constitución incluyó el reparto de tierras en su artículo 27, fue hasta el año de 1940, en que se reparte el territorio de los latifundios dentro de la CHPH (haciendas), conformándose a partir de tal hecho, casi 1000 ejidos en el Estado de México, y los de  San Juanico y Canalejas entre los primeros de la Cuenca, dando así acceso a  los recursos de tierra y agua a los actores</w:t>
      </w:r>
      <w:r>
        <w:rPr>
          <w:spacing w:val="-9"/>
        </w:rPr>
        <w:t> </w:t>
      </w:r>
      <w:r>
        <w:rPr/>
        <w:t>históricos.</w:t>
      </w:r>
    </w:p>
    <w:p>
      <w:pPr>
        <w:pStyle w:val="BodyText"/>
        <w:spacing w:before="9"/>
        <w:rPr>
          <w:sz w:val="17"/>
        </w:rPr>
      </w:pPr>
    </w:p>
    <w:p>
      <w:pPr>
        <w:pStyle w:val="BodyText"/>
        <w:spacing w:line="360" w:lineRule="auto"/>
        <w:ind w:left="102" w:right="117"/>
        <w:jc w:val="both"/>
      </w:pPr>
      <w:r>
        <w:rPr/>
        <w:t>Se identifica que en ese sentido, la Reforma Agraria en México, fue un instrumento y a la vez un proceso complejo y prolongado con un impacto positivo y negativo en la CHPH:</w:t>
      </w:r>
    </w:p>
    <w:p>
      <w:pPr>
        <w:pStyle w:val="BodyText"/>
        <w:spacing w:before="5"/>
        <w:rPr>
          <w:sz w:val="24"/>
        </w:rPr>
      </w:pPr>
    </w:p>
    <w:p>
      <w:pPr>
        <w:pStyle w:val="BodyText"/>
        <w:spacing w:line="362" w:lineRule="auto"/>
        <w:ind w:left="102" w:right="116"/>
        <w:jc w:val="both"/>
      </w:pPr>
      <w:r>
        <w:rPr/>
        <w:t>1.- El impacto </w:t>
      </w:r>
      <w:r>
        <w:rPr>
          <w:i/>
        </w:rPr>
        <w:t>positivo </w:t>
      </w:r>
      <w:r>
        <w:rPr/>
        <w:t>de la Reforma Agraria en la CHPH, se dio porque con ese hecho  se</w:t>
      </w:r>
      <w:r>
        <w:rPr>
          <w:spacing w:val="30"/>
        </w:rPr>
        <w:t> </w:t>
      </w:r>
      <w:r>
        <w:rPr/>
        <w:t>constituyeron</w:t>
      </w:r>
      <w:r>
        <w:rPr>
          <w:spacing w:val="30"/>
        </w:rPr>
        <w:t> </w:t>
      </w:r>
      <w:r>
        <w:rPr/>
        <w:t>los</w:t>
      </w:r>
      <w:r>
        <w:rPr>
          <w:spacing w:val="28"/>
        </w:rPr>
        <w:t> </w:t>
      </w:r>
      <w:r>
        <w:rPr/>
        <w:t>ejidos</w:t>
      </w:r>
      <w:r>
        <w:rPr>
          <w:spacing w:val="30"/>
        </w:rPr>
        <w:t> </w:t>
      </w:r>
      <w:r>
        <w:rPr/>
        <w:t>de</w:t>
      </w:r>
      <w:r>
        <w:rPr>
          <w:spacing w:val="28"/>
        </w:rPr>
        <w:t> </w:t>
      </w:r>
      <w:r>
        <w:rPr/>
        <w:t>la</w:t>
      </w:r>
      <w:r>
        <w:rPr>
          <w:spacing w:val="30"/>
        </w:rPr>
        <w:t> </w:t>
      </w:r>
      <w:r>
        <w:rPr/>
        <w:t>Cuenca</w:t>
      </w:r>
      <w:r>
        <w:rPr>
          <w:spacing w:val="31"/>
        </w:rPr>
        <w:t> </w:t>
      </w:r>
      <w:r>
        <w:rPr/>
        <w:t>(entre</w:t>
      </w:r>
      <w:r>
        <w:rPr>
          <w:spacing w:val="25"/>
        </w:rPr>
        <w:t> </w:t>
      </w:r>
      <w:r>
        <w:rPr/>
        <w:t>los</w:t>
      </w:r>
      <w:r>
        <w:rPr>
          <w:spacing w:val="30"/>
        </w:rPr>
        <w:t> </w:t>
      </w:r>
      <w:r>
        <w:rPr/>
        <w:t>primeros</w:t>
      </w:r>
      <w:r>
        <w:rPr>
          <w:spacing w:val="28"/>
        </w:rPr>
        <w:t> </w:t>
      </w:r>
      <w:r>
        <w:rPr/>
        <w:t>están</w:t>
      </w:r>
      <w:r>
        <w:rPr>
          <w:spacing w:val="29"/>
        </w:rPr>
        <w:t> </w:t>
      </w:r>
      <w:r>
        <w:rPr/>
        <w:t>San</w:t>
      </w:r>
      <w:r>
        <w:rPr>
          <w:spacing w:val="25"/>
        </w:rPr>
        <w:t> </w:t>
      </w:r>
      <w:r>
        <w:rPr/>
        <w:t>Juanico,</w:t>
      </w:r>
      <w:r>
        <w:rPr>
          <w:spacing w:val="31"/>
        </w:rPr>
        <w:t> </w:t>
      </w:r>
      <w:r>
        <w:rPr/>
        <w:t>Madó,</w:t>
      </w:r>
    </w:p>
    <w:p>
      <w:pPr>
        <w:spacing w:after="0" w:line="362" w:lineRule="auto"/>
        <w:jc w:val="both"/>
        <w:sectPr>
          <w:pgSz w:w="12240" w:h="15840"/>
          <w:pgMar w:header="0" w:footer="1003" w:top="1360" w:bottom="1200" w:left="1600" w:right="1580"/>
        </w:sectPr>
      </w:pPr>
    </w:p>
    <w:p>
      <w:pPr>
        <w:pStyle w:val="BodyText"/>
        <w:spacing w:line="360" w:lineRule="auto" w:before="53"/>
        <w:ind w:left="102" w:right="112"/>
        <w:jc w:val="both"/>
      </w:pPr>
      <w:r>
        <w:rPr/>
        <w:t>Huapango, Canalejas y Arroyo Zarco). Fue a partir de la creación de los ejidos como institución sociopolítica, que los campesinos de la CHPH tuvieron acceso formal a los recursos naturales como agua, tierra y montes, lo cual dio ocupación permanente a la fuerza de trabajo, aumentando la producción y el dinamismo de la economía de la región, ya que la población de la CHPH, estaba basada en la producción agrícola y ganadera, la cual se mantuvo con el ejido, pero relacionada con esta estructura social, donde aparece el ejidatario con identidad y organización social histórica conformando una serie de grupos: Ejidatario agricultor; Ejidatario ganadero; Ejidatario pescador; Ejidatario comerciante; Ejidatarios con turismo; y Ejidatarios con Industria; actores con un nuevo patrón de propiedad (relacionados con el Estado) que los hizo ser multiactores históricos por realizar más de dos actividades a la vez que sumadas complementan su sustento familiar.</w:t>
      </w:r>
    </w:p>
    <w:p>
      <w:pPr>
        <w:pStyle w:val="BodyText"/>
        <w:spacing w:before="8"/>
        <w:rPr>
          <w:sz w:val="24"/>
        </w:rPr>
      </w:pPr>
    </w:p>
    <w:p>
      <w:pPr>
        <w:pStyle w:val="BodyText"/>
        <w:spacing w:line="360" w:lineRule="auto"/>
        <w:ind w:left="102" w:right="113"/>
        <w:jc w:val="both"/>
      </w:pPr>
      <w:r>
        <w:rPr/>
        <w:t>Por otro lado, también la Reforma Agraria dotó a la población mestiza y ranchera de origen español, de ejidos y tierras comunales, lo que fortaleció los lazos sociales entre los actores de distintos orígenes permitiendo el acceso común de los recursos naturales en la CHPH. Esto se vio reflejado en una cultura compartida, donde destaca una cocina  lacustre basada en la recolección, la herbolaria, la pesca, la caza de aves migratorias, vinculada a otras recetas tradicionales de ganado ovino y bovino principalmente (lácteos); dicha cultura e intercambio comercial común, fue apoyada por las relaciones de parentesco y de vecindad que tienen desde la antigüedad, y que mediante la vinculación del mercado regional, crearon una identidad lacustre y ganadera compartida por los actores de los municipios vecinos; dichas bases identitarias se identifican como uno de los pilares que permite la gobernanza y gobernabilidad entre la mayoría de los actores de la CHPH, ya que son los que utilizan los anteriores vínculos hacia los otros actores de la Cuenca.</w:t>
      </w:r>
    </w:p>
    <w:p>
      <w:pPr>
        <w:pStyle w:val="BodyText"/>
        <w:spacing w:before="7"/>
        <w:rPr>
          <w:sz w:val="17"/>
        </w:rPr>
      </w:pPr>
    </w:p>
    <w:p>
      <w:pPr>
        <w:pStyle w:val="BodyText"/>
        <w:spacing w:line="360" w:lineRule="auto"/>
        <w:ind w:left="102" w:right="115"/>
        <w:jc w:val="both"/>
      </w:pPr>
      <w:r>
        <w:rPr/>
        <w:t>2.- El impacto </w:t>
      </w:r>
      <w:r>
        <w:rPr>
          <w:i/>
        </w:rPr>
        <w:t>negativo </w:t>
      </w:r>
      <w:r>
        <w:rPr/>
        <w:t>de la Reforma Agraria en la CHPH, está en que a partir de la creación del ejido, se otorgan derechos a los actores históricos de la Cuenca para el uso de los recursos naturales sin una reglamentación de su uso, por lo que fueron abusados ocasionando la sobreexplotación de los recursos naturales, sobre todo bosques, aguas y tierras comunales, provocando deterioro ambiental y la creación de nuevos conflictos sociopolíticos.</w:t>
      </w:r>
    </w:p>
    <w:p>
      <w:pPr>
        <w:spacing w:after="0" w:line="360" w:lineRule="auto"/>
        <w:jc w:val="both"/>
        <w:sectPr>
          <w:pgSz w:w="12240" w:h="15840"/>
          <w:pgMar w:header="0" w:footer="1003" w:top="1360" w:bottom="1200" w:left="1600" w:right="1580"/>
        </w:sectPr>
      </w:pPr>
    </w:p>
    <w:p>
      <w:pPr>
        <w:pStyle w:val="BodyText"/>
        <w:spacing w:line="360" w:lineRule="auto" w:before="53"/>
        <w:ind w:left="102" w:right="113"/>
        <w:jc w:val="both"/>
      </w:pPr>
      <w:r>
        <w:rPr/>
        <w:t>La anterior vertiente negativa, fue creada por la relativa solución de fondo de dotar de agua y tierra a los ejidos y sus actores, en un apresurado reparto de los recursos por  parte del Estado, el cual no consideró las estructuras históricas preexistentes, sino que se apresuró en calmar el conflicto bélico a través de un reparto territorial y natural de la Cuenca, lo que resultó en una inequitativa distribución de los recursos naturales, al no entender el sistema socioambiental de la CHPH, beneficiando así el Estado y Gobierno Federal, a los municipios y sus actores ubicados aguas debajo de la Cuenca, afectando a los otros municipios y sus actores de aguas arriba de la Cuenca, lo cual dio origen a nuevos conflictos sociopolíticos, económicos y ambientales severos, los cuales se acentuaron por las deficiencias en las competencias municipales de origen, </w:t>
      </w:r>
      <w:r>
        <w:rPr>
          <w:i/>
        </w:rPr>
        <w:t>creando una </w:t>
      </w:r>
      <w:r>
        <w:rPr>
          <w:i/>
        </w:rPr>
        <w:t>débil gobernanza entre municipios, pero no entre grupos de actores históricos. </w:t>
      </w:r>
      <w:r>
        <w:rPr/>
        <w:t>En éstos últimos, ha recaído la mayor tarea de sostener la fragilidad sociopolítica y de gobernanza de la CHPH, ya que el Estado al crear una base jurídica tan dependiente del gobierno federal, impidió la colaboración entre actores del gobierno municipal, para la solución de los problemas ambientales y sociales comunes entre los municipios de la Cuenca, que la misma reforma agraria trajo consigo, pero que ni se detectaron en ese momento, es decir, fueron de largo plazo (abatimiento de bosques, agua y deterioro</w:t>
      </w:r>
      <w:r>
        <w:rPr>
          <w:spacing w:val="-25"/>
        </w:rPr>
        <w:t> </w:t>
      </w:r>
      <w:r>
        <w:rPr/>
        <w:t>ambiental).</w:t>
      </w:r>
    </w:p>
    <w:p>
      <w:pPr>
        <w:pStyle w:val="BodyText"/>
        <w:spacing w:before="9"/>
        <w:rPr>
          <w:sz w:val="17"/>
        </w:rPr>
      </w:pPr>
    </w:p>
    <w:p>
      <w:pPr>
        <w:pStyle w:val="BodyText"/>
        <w:spacing w:line="360" w:lineRule="auto"/>
        <w:ind w:left="102" w:right="115"/>
        <w:jc w:val="both"/>
      </w:pPr>
      <w:r>
        <w:rPr/>
        <w:t>Es decir, el sistema de gobierno federal, creó al ejido con restricciones de copropiedad con el Estado, es decir, bajo su tutela, lo cual generó los problemas de acceso inequitativo al agua, a la tierra, y a los bosques que aún no se pueden resolver. Esa atadura al  Estado, y el acceso sin reglamentación a los recursos naturales, generó un sistema de depredación ambiental, ya que los actores históricos al no considerarlos propios, sino del Estado, hicieron uso desmedido de los recursos, lo que generó su escases y el peligro de extinción de algunas especies, problemas que se ven agravados por la falta de acuerdos intermunicipales entre actores para resolver la problemática común que comparten en la CHPH; resalta en este conflicto, que aunque el Estado ha creado instituciones gubernamentales como la Sagarpa, la Semarnat y la Conagua para el cuidado federal de los recursos naturales, éstas no han cumplido con sus funciones y responsabilidades, porque los actores gubernamentales federales que en ellas trabajan, no tienen identidad con la CHPH, al ser oriundos o provenir de otros estados de la República, de esta manera obedecen a otros intereses de tipo político y/o económico ligados fuera del sistema de la CHPH.</w:t>
      </w:r>
    </w:p>
    <w:p>
      <w:pPr>
        <w:spacing w:after="0" w:line="360" w:lineRule="auto"/>
        <w:jc w:val="both"/>
        <w:sectPr>
          <w:pgSz w:w="12240" w:h="15840"/>
          <w:pgMar w:header="0" w:footer="1003" w:top="1360" w:bottom="1200" w:left="1600" w:right="1580"/>
        </w:sectPr>
      </w:pPr>
    </w:p>
    <w:p>
      <w:pPr>
        <w:pStyle w:val="BodyText"/>
        <w:spacing w:line="360" w:lineRule="auto" w:before="53"/>
        <w:ind w:left="102" w:right="113"/>
        <w:jc w:val="both"/>
      </w:pPr>
      <w:r>
        <w:rPr/>
        <w:t>En este sentido, se identificó que la Reforma Agraria desarrollo una inequidad en  el reparto municipal del agua de la presa Huapango, ya que benefició con derechos de agua para riego, a los municipios de Aculco y Polotitlán. Esta decisión se debió en parte a la lógica de su posición geográfica de aguas abajo, donde se encuentra ubicada la cortina  de la presa y los canales de irrigación más importantes desde antiguo, dando por resultado el incremento de una agricultura intensiva para ganado (forrajes), lo cual fortaleció a los actores ganaderos y su posterior organización e industrialización  de lácteos (asociaciones de queseros, lecheros etc.). Dejando a los otros tres municipios restantes de la CHPH (Acambay, Jilotepec y Timilpan), en desventaja hídrica por ubicarse aguas arriba de la laguna Huapango, ya que fueron limitados por la Reforma Agraria, </w:t>
      </w:r>
      <w:r>
        <w:rPr>
          <w:spacing w:val="-3"/>
        </w:rPr>
        <w:t>en  </w:t>
      </w:r>
      <w:r>
        <w:rPr/>
        <w:t>el acceso al uso del agua para irrigación. Es decir, los municipios de aguas arriba sólo tienen acceso al uso del agua de la Presa Huapango para pescar, recolectar, cazar aves migratorias y para la ganadería en pequeña escala, provocando esta situación general de la CHPH, una polarización económica y sociopolítica entre los municipios de aguas arriba y aguas abajo que integran la</w:t>
      </w:r>
      <w:r>
        <w:rPr>
          <w:spacing w:val="-9"/>
        </w:rPr>
        <w:t> </w:t>
      </w:r>
      <w:r>
        <w:rPr/>
        <w:t>cuenca.</w:t>
      </w:r>
    </w:p>
    <w:p>
      <w:pPr>
        <w:pStyle w:val="BodyText"/>
        <w:spacing w:before="5"/>
        <w:rPr>
          <w:sz w:val="24"/>
        </w:rPr>
      </w:pPr>
    </w:p>
    <w:p>
      <w:pPr>
        <w:pStyle w:val="BodyText"/>
        <w:spacing w:line="360" w:lineRule="auto"/>
        <w:ind w:left="102" w:right="115"/>
        <w:jc w:val="both"/>
      </w:pPr>
      <w:r>
        <w:rPr/>
        <w:t>Es así, como la Reforma Agraria dio origen y forma al Ejido en la CHPH, y a su vez redefinió a los actores históricos y a sus problemas estructurales. Estos errores fueron detectados tempranamente por los hermanos Fabila (1951), quienes identificaron una Reforma Agraria en la CHPH, hecha de manera apresurada y sin tener en cuenta la historia misma de la región, lo cual llevó a los agraristas a cometer errores importantes en el reparto del territorio y sus recursos naturales, como el no definir los límites interlagunares, enfocándose sólo en el reparto de la tierra entre los municipios que integran la CHPH, por lo que los derechos y usos comunes del agua de la presa Huapango quedó indefinido, siendo así el principio de uno de los principales problemas y conflictos interlagunares de su uso y manejo del agua que aquejan a los actores históricos y que ahora intentan</w:t>
      </w:r>
      <w:r>
        <w:rPr>
          <w:spacing w:val="-11"/>
        </w:rPr>
        <w:t> </w:t>
      </w:r>
      <w:r>
        <w:rPr/>
        <w:t>resolver.</w:t>
      </w:r>
    </w:p>
    <w:p>
      <w:pPr>
        <w:pStyle w:val="BodyText"/>
        <w:spacing w:before="11"/>
        <w:rPr>
          <w:sz w:val="24"/>
        </w:rPr>
      </w:pPr>
    </w:p>
    <w:p>
      <w:pPr>
        <w:pStyle w:val="BodyText"/>
        <w:spacing w:line="360" w:lineRule="auto"/>
        <w:ind w:left="102" w:right="112"/>
        <w:jc w:val="both"/>
      </w:pPr>
      <w:r>
        <w:rPr/>
        <w:t>De igual forma, los actores históricos de los municipios de la CHPH, cobran mayor importancia para atender dicha problemática desde un enfoque de GIRH, mediante las relaciones intermunicipales atendiendo a la gobernanza y la gobernabilidad para lograr una vinculación y gestión efectiva entre actores históricos para resolver la problemática común de la Cuenca, por medio de la cooperación, democracia y</w:t>
      </w:r>
      <w:r>
        <w:rPr>
          <w:spacing w:val="-19"/>
        </w:rPr>
        <w:t> </w:t>
      </w:r>
      <w:r>
        <w:rPr/>
        <w:t>voluntariedad.</w:t>
      </w:r>
    </w:p>
    <w:p>
      <w:pPr>
        <w:spacing w:after="0" w:line="360" w:lineRule="auto"/>
        <w:jc w:val="both"/>
        <w:sectPr>
          <w:pgSz w:w="12240" w:h="15840"/>
          <w:pgMar w:header="0" w:footer="1003" w:top="1360" w:bottom="1200" w:left="1600" w:right="1580"/>
        </w:sectPr>
      </w:pPr>
    </w:p>
    <w:p>
      <w:pPr>
        <w:pStyle w:val="BodyText"/>
        <w:spacing w:line="360" w:lineRule="auto" w:before="53"/>
        <w:ind w:left="102" w:right="113"/>
        <w:jc w:val="both"/>
      </w:pPr>
      <w:r>
        <w:rPr/>
        <w:t>En este sentido, se detectó que los actores históricos tienen una gran identidad y cultura sociopolítica que los fortalece como organización histórica comunitaria, regida por usos y costumbres con buenas prácticas de gobernanza. Lo anterior es una ventaja de organización sociopolítica comunitaria y regional, para revertir los daños ambientales y sociopolíticos, ocasionados por la contaminación, la sobreexplotación, la inequidad del reparto de los recursos naturales y de las políticas del moderno Estado neoliberal mexicano impuesto a partir de 1982, por el presidente Miguel de la Madrid, quien promueve la intervención mínima del Estado y el libre juego de la apertura económica el cual fomenta la explotación acelerada de los recursos naturales, así como sus prácticas asociadas con industrias contaminantes, hacia las regiones de los países menos desarrollados, tal y como sucede en la CPHP, generando crisis ambientales locales y regionales, que acrecientan la de carácter global.</w:t>
      </w:r>
    </w:p>
    <w:p>
      <w:pPr>
        <w:pStyle w:val="BodyText"/>
        <w:spacing w:before="8"/>
        <w:rPr>
          <w:sz w:val="24"/>
        </w:rPr>
      </w:pPr>
    </w:p>
    <w:p>
      <w:pPr>
        <w:pStyle w:val="BodyText"/>
        <w:spacing w:line="360" w:lineRule="auto"/>
        <w:ind w:left="102" w:right="114"/>
        <w:jc w:val="both"/>
      </w:pPr>
      <w:r>
        <w:rPr/>
        <w:t>En este contexto, en la CHPH el consumo de los recursos naturales (agua) está siendo acelerado por la agricultura intensiva para la industria láctea de Aculco y Polotitlán, y por el crecimiento demográfico general de toda la Cuenca; a esto se suma </w:t>
      </w:r>
      <w:r>
        <w:rPr>
          <w:spacing w:val="2"/>
        </w:rPr>
        <w:t>el </w:t>
      </w:r>
      <w:r>
        <w:rPr/>
        <w:t>deterioro ambiental causado por la construcción de la nueva autopista Arco Norte, que pasa literalmente sobre el cuerpo de agua de la presa Huapango, la cual está ligada a una integración económica ajena a los actores</w:t>
      </w:r>
      <w:r>
        <w:rPr>
          <w:spacing w:val="-13"/>
        </w:rPr>
        <w:t> </w:t>
      </w:r>
      <w:r>
        <w:rPr/>
        <w:t>históricos.</w:t>
      </w:r>
    </w:p>
    <w:p>
      <w:pPr>
        <w:pStyle w:val="BodyText"/>
        <w:spacing w:before="7"/>
        <w:rPr>
          <w:sz w:val="17"/>
        </w:rPr>
      </w:pPr>
    </w:p>
    <w:p>
      <w:pPr>
        <w:pStyle w:val="BodyText"/>
        <w:spacing w:line="360" w:lineRule="auto"/>
        <w:ind w:left="102" w:right="112"/>
        <w:jc w:val="both"/>
      </w:pPr>
      <w:r>
        <w:rPr/>
        <w:t>Los anteriores acontecimientos han integrado a la CHPH al sistema neoliberal con alta exposición y vulnerabilidad socio-ambiental, ya que actualmente en el año 2016, se encuentra en grave deterioro. Las inequidades han sido reconocidas y continuadas por las instituciones gubernamentales, como la Conagua y la Semanat, principalmente a través del reparto inequitativo de los recursos (agua), y ha generado hoy como en el pasado, conflictos entre los municipios, que pueden solucionarse a través de una visión GIRH, donde se tomen acuerdos sociopolíticos, económicos y ambientales con base en los actores históricos, ya que son éstos los que ostentan identidad y territorialidad, que ahora puede ser utilizada para disminuir los daños a través de la GIRH, mediante la gobernanza y la gobernabilidad, generando acuerdos democráticos con impacto positivo en los ámbitos sociopolítico, económico y ambiental, con la propuesta de conformación de un Comité Intermunicipal con su reglamento para que los actores históricos de los municipios de la Cuenca atiendan su problemática común. Así, mediante la triangulación de la información a través del trabajo teórico, de campo y con los indicadores del sistema </w:t>
      </w:r>
      <w:r>
        <w:rPr>
          <w:spacing w:val="8"/>
        </w:rPr>
        <w:t> </w:t>
      </w:r>
      <w:r>
        <w:rPr/>
        <w:t>PEIR</w:t>
      </w:r>
    </w:p>
    <w:p>
      <w:pPr>
        <w:spacing w:after="0" w:line="360" w:lineRule="auto"/>
        <w:jc w:val="both"/>
        <w:sectPr>
          <w:pgSz w:w="12240" w:h="15840"/>
          <w:pgMar w:header="0" w:footer="1003" w:top="1360" w:bottom="1200" w:left="1600" w:right="1580"/>
        </w:sectPr>
      </w:pPr>
    </w:p>
    <w:p>
      <w:pPr>
        <w:pStyle w:val="BodyText"/>
        <w:spacing w:line="362" w:lineRule="auto" w:before="53"/>
        <w:ind w:left="102" w:right="798"/>
        <w:jc w:val="both"/>
      </w:pPr>
      <w:r>
        <w:rPr/>
        <w:t>se pudo generar la propuesta de creación de un Comité Intermunicipal con su reglamento a través de la ingeniería social como herramienta para el análisis.</w:t>
      </w:r>
    </w:p>
    <w:p>
      <w:pPr>
        <w:spacing w:line="360" w:lineRule="auto" w:before="197"/>
        <w:ind w:left="246" w:right="898" w:hanging="32"/>
        <w:jc w:val="left"/>
        <w:rPr>
          <w:b/>
          <w:sz w:val="22"/>
        </w:rPr>
      </w:pPr>
      <w:r>
        <w:rPr/>
        <w:pict>
          <v:shape style="position:absolute;margin-left:200.25pt;margin-top:51.157848pt;width:188.25pt;height:48.75pt;mso-position-horizontal-relative:page;mso-position-vertical-relative:paragraph;z-index:16000;mso-wrap-distance-left:0;mso-wrap-distance-right:0" type="#_x0000_t202" filled="false" stroked="true" strokeweight=".5pt" strokecolor="#000000">
            <v:textbox inset="0,0,0,0">
              <w:txbxContent>
                <w:p>
                  <w:pPr>
                    <w:spacing w:before="69"/>
                    <w:ind w:left="144" w:right="142" w:firstLine="0"/>
                    <w:jc w:val="center"/>
                    <w:rPr>
                      <w:b/>
                      <w:sz w:val="22"/>
                    </w:rPr>
                  </w:pPr>
                  <w:r>
                    <w:rPr>
                      <w:b/>
                      <w:sz w:val="22"/>
                      <w:u w:val="thick"/>
                    </w:rPr>
                    <w:t>CONSIDERACIONES TEÓRICAS</w:t>
                  </w:r>
                </w:p>
                <w:p>
                  <w:pPr>
                    <w:pStyle w:val="BodyText"/>
                    <w:spacing w:before="6"/>
                    <w:rPr>
                      <w:b/>
                      <w:sz w:val="20"/>
                    </w:rPr>
                  </w:pPr>
                </w:p>
                <w:p>
                  <w:pPr>
                    <w:spacing w:before="0"/>
                    <w:ind w:left="144" w:right="143" w:firstLine="0"/>
                    <w:jc w:val="center"/>
                    <w:rPr>
                      <w:b/>
                      <w:sz w:val="22"/>
                    </w:rPr>
                  </w:pPr>
                  <w:r>
                    <w:rPr>
                      <w:b/>
                      <w:sz w:val="22"/>
                    </w:rPr>
                    <w:t>(Principios de gobernanza)</w:t>
                  </w:r>
                </w:p>
              </w:txbxContent>
            </v:textbox>
            <w10:wrap type="topAndBottom"/>
          </v:shape>
        </w:pict>
      </w:r>
      <w:r>
        <w:rPr>
          <w:b/>
          <w:sz w:val="22"/>
        </w:rPr>
        <w:t>Esquema 9.1.Triangulación de las consideraciones teóricas, el trabajo de campo y los indicadores para la formulación del Comité Intermunicipal con su Reglamento</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28"/>
        <w:ind w:left="2558" w:right="0" w:firstLine="0"/>
        <w:jc w:val="center"/>
        <w:rPr>
          <w:sz w:val="52"/>
        </w:rPr>
      </w:pPr>
      <w:r>
        <w:rPr/>
        <w:pict>
          <v:shape style="position:absolute;margin-left:233.149994pt;margin-top:-47.562302pt;width:110.1pt;height:128.5500pt;mso-position-horizontal-relative:page;mso-position-vertical-relative:paragraph;z-index:16072" coordorigin="4663,-951" coordsize="2202,2571" path="m4663,1620l5764,-951,6865,1620,4663,1620xe" filled="false" stroked="true" strokeweight="2pt" strokecolor="#000000">
            <v:path arrowok="t"/>
            <w10:wrap type="none"/>
          </v:shape>
        </w:pict>
      </w:r>
      <w:r>
        <w:rPr/>
        <w:pict>
          <v:group style="position:absolute;margin-left:410pt;margin-top:-47.6623pt;width:151.25pt;height:129.5pt;mso-position-horizontal-relative:page;mso-position-vertical-relative:paragraph;z-index:16216" coordorigin="8200,-953" coordsize="3025,2590">
            <v:rect style="position:absolute;left:8220;top:-933;width:2985;height:2550" filled="false" stroked="true" strokeweight="2pt" strokecolor="#000000">
              <v:stroke dashstyle="longDash"/>
            </v:rect>
            <v:shape style="position:absolute;left:8385;top:-819;width:1547;height:512" type="#_x0000_t202" filled="false" stroked="false">
              <v:textbox inset="0,0,0,0">
                <w:txbxContent>
                  <w:p>
                    <w:pPr>
                      <w:tabs>
                        <w:tab w:pos="1288" w:val="left" w:leader="none"/>
                      </w:tabs>
                      <w:spacing w:line="226" w:lineRule="exact" w:before="0"/>
                      <w:ind w:left="0" w:right="0" w:firstLine="0"/>
                      <w:jc w:val="left"/>
                      <w:rPr>
                        <w:b/>
                        <w:sz w:val="22"/>
                      </w:rPr>
                    </w:pPr>
                    <w:r>
                      <w:rPr>
                        <w:b/>
                        <w:sz w:val="22"/>
                      </w:rPr>
                      <w:t>Propuesta</w:t>
                      <w:tab/>
                      <w:t>de</w:t>
                    </w:r>
                  </w:p>
                  <w:p>
                    <w:pPr>
                      <w:spacing w:line="248" w:lineRule="exact" w:before="38"/>
                      <w:ind w:left="0" w:right="0" w:firstLine="0"/>
                      <w:jc w:val="left"/>
                      <w:rPr>
                        <w:b/>
                        <w:sz w:val="22"/>
                      </w:rPr>
                    </w:pPr>
                    <w:r>
                      <w:rPr>
                        <w:b/>
                        <w:sz w:val="22"/>
                      </w:rPr>
                      <w:t>de</w:t>
                    </w:r>
                  </w:p>
                </w:txbxContent>
              </v:textbox>
              <w10:wrap type="none"/>
            </v:shape>
            <v:shape style="position:absolute;left:9335;top:-528;width:270;height:221" type="#_x0000_t202" filled="false" stroked="false">
              <v:textbox inset="0,0,0,0">
                <w:txbxContent>
                  <w:p>
                    <w:pPr>
                      <w:spacing w:line="221" w:lineRule="exact" w:before="0"/>
                      <w:ind w:left="0" w:right="-19" w:firstLine="0"/>
                      <w:jc w:val="left"/>
                      <w:rPr>
                        <w:b/>
                        <w:sz w:val="22"/>
                      </w:rPr>
                    </w:pPr>
                    <w:r>
                      <w:rPr>
                        <w:b/>
                        <w:sz w:val="22"/>
                      </w:rPr>
                      <w:t>un</w:t>
                    </w:r>
                  </w:p>
                </w:txbxContent>
              </v:textbox>
              <w10:wrap type="none"/>
            </v:shape>
            <v:shape style="position:absolute;left:8385;top:-235;width:1506;height:221" type="#_x0000_t202" filled="false" stroked="false">
              <v:textbox inset="0,0,0,0">
                <w:txbxContent>
                  <w:p>
                    <w:pPr>
                      <w:spacing w:line="221" w:lineRule="exact" w:before="0"/>
                      <w:ind w:left="0" w:right="-18" w:firstLine="0"/>
                      <w:jc w:val="left"/>
                      <w:rPr>
                        <w:b/>
                        <w:sz w:val="22"/>
                      </w:rPr>
                    </w:pPr>
                    <w:r>
                      <w:rPr>
                        <w:b/>
                        <w:sz w:val="22"/>
                      </w:rPr>
                      <w:t>Intermunicipal</w:t>
                    </w:r>
                  </w:p>
                </w:txbxContent>
              </v:textbox>
              <w10:wrap type="none"/>
            </v:shape>
            <v:shape style="position:absolute;left:10138;top:-819;width:906;height:805" type="#_x0000_t202" filled="false" stroked="false">
              <v:textbox inset="0,0,0,0">
                <w:txbxContent>
                  <w:p>
                    <w:pPr>
                      <w:spacing w:line="226" w:lineRule="exact" w:before="0"/>
                      <w:ind w:left="158" w:right="-18" w:hanging="159"/>
                      <w:jc w:val="left"/>
                      <w:rPr>
                        <w:b/>
                        <w:sz w:val="22"/>
                      </w:rPr>
                    </w:pPr>
                    <w:r>
                      <w:rPr>
                        <w:b/>
                        <w:sz w:val="22"/>
                      </w:rPr>
                      <w:t>creación</w:t>
                    </w:r>
                  </w:p>
                  <w:p>
                    <w:pPr>
                      <w:spacing w:before="38"/>
                      <w:ind w:left="158" w:right="-18" w:firstLine="0"/>
                      <w:jc w:val="left"/>
                      <w:rPr>
                        <w:b/>
                        <w:sz w:val="22"/>
                      </w:rPr>
                    </w:pPr>
                    <w:r>
                      <w:rPr>
                        <w:b/>
                        <w:sz w:val="22"/>
                      </w:rPr>
                      <w:t>Comité</w:t>
                    </w:r>
                  </w:p>
                  <w:p>
                    <w:pPr>
                      <w:spacing w:line="248" w:lineRule="exact" w:before="40"/>
                      <w:ind w:left="442" w:right="-17" w:firstLine="0"/>
                      <w:jc w:val="left"/>
                      <w:rPr>
                        <w:b/>
                        <w:sz w:val="22"/>
                      </w:rPr>
                    </w:pPr>
                    <w:r>
                      <w:rPr>
                        <w:b/>
                        <w:spacing w:val="-1"/>
                        <w:sz w:val="22"/>
                      </w:rPr>
                      <w:t>para</w:t>
                    </w:r>
                  </w:p>
                </w:txbxContent>
              </v:textbox>
              <w10:wrap type="none"/>
            </v:shape>
            <v:shape style="position:absolute;left:8385;top:55;width:2659;height:1102" type="#_x0000_t202" filled="false" stroked="false">
              <v:textbox inset="0,0,0,0">
                <w:txbxContent>
                  <w:p>
                    <w:pPr>
                      <w:tabs>
                        <w:tab w:pos="1165" w:val="left" w:leader="none"/>
                        <w:tab w:pos="2535" w:val="left" w:leader="none"/>
                      </w:tabs>
                      <w:spacing w:line="226" w:lineRule="exact" w:before="0"/>
                      <w:ind w:left="0" w:right="0" w:firstLine="0"/>
                      <w:jc w:val="left"/>
                      <w:rPr>
                        <w:b/>
                        <w:sz w:val="22"/>
                      </w:rPr>
                    </w:pPr>
                    <w:r>
                      <w:rPr>
                        <w:b/>
                        <w:sz w:val="22"/>
                      </w:rPr>
                      <w:t>cuidar,</w:t>
                      <w:tab/>
                      <w:t>defender</w:t>
                      <w:tab/>
                      <w:t>y</w:t>
                    </w:r>
                  </w:p>
                  <w:p>
                    <w:pPr>
                      <w:tabs>
                        <w:tab w:pos="1185" w:val="left" w:leader="none"/>
                        <w:tab w:pos="1645" w:val="left" w:leader="none"/>
                        <w:tab w:pos="2034" w:val="left" w:leader="none"/>
                      </w:tabs>
                      <w:spacing w:line="276" w:lineRule="auto" w:before="37"/>
                      <w:ind w:left="0" w:right="1" w:firstLine="0"/>
                      <w:jc w:val="left"/>
                      <w:rPr>
                        <w:b/>
                        <w:sz w:val="22"/>
                      </w:rPr>
                    </w:pPr>
                    <w:r>
                      <w:rPr>
                        <w:b/>
                        <w:sz w:val="22"/>
                      </w:rPr>
                      <w:t>administrar los recursos naturales</w:t>
                      <w:tab/>
                      <w:t>de</w:t>
                      <w:tab/>
                      <w:t>la</w:t>
                      <w:tab/>
                    </w:r>
                    <w:r>
                      <w:rPr>
                        <w:b/>
                        <w:spacing w:val="-1"/>
                        <w:sz w:val="22"/>
                      </w:rPr>
                      <w:t>CHPH</w:t>
                    </w:r>
                  </w:p>
                  <w:p>
                    <w:pPr>
                      <w:spacing w:line="248" w:lineRule="exact" w:before="10"/>
                      <w:ind w:left="0" w:right="0" w:firstLine="0"/>
                      <w:jc w:val="left"/>
                      <w:rPr>
                        <w:b/>
                        <w:sz w:val="22"/>
                      </w:rPr>
                    </w:pPr>
                    <w:r>
                      <w:rPr>
                        <w:b/>
                        <w:sz w:val="22"/>
                      </w:rPr>
                      <w:t>con su reglamento.</w:t>
                    </w:r>
                  </w:p>
                </w:txbxContent>
              </v:textbox>
              <w10:wrap type="none"/>
            </v:shape>
            <w10:wrap type="none"/>
          </v:group>
        </w:pict>
      </w:r>
      <w:r>
        <w:rPr>
          <w:w w:val="100"/>
          <w:sz w:val="52"/>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2"/>
        </w:rPr>
      </w:pPr>
      <w:r>
        <w:rPr/>
        <w:pict>
          <v:shape style="position:absolute;margin-left:94.25pt;margin-top:9.394146pt;width:157.5pt;height:59.25pt;mso-position-horizontal-relative:page;mso-position-vertical-relative:paragraph;z-index:16024;mso-wrap-distance-left:0;mso-wrap-distance-right:0" type="#_x0000_t202" filled="false" stroked="true" strokeweight=".5pt" strokecolor="#000000">
            <v:textbox inset="0,0,0,0">
              <w:txbxContent>
                <w:p>
                  <w:pPr>
                    <w:spacing w:before="68"/>
                    <w:ind w:left="191" w:right="198" w:firstLine="0"/>
                    <w:jc w:val="center"/>
                    <w:rPr>
                      <w:b/>
                      <w:sz w:val="22"/>
                    </w:rPr>
                  </w:pPr>
                  <w:r>
                    <w:rPr>
                      <w:b/>
                      <w:sz w:val="22"/>
                      <w:u w:val="thick"/>
                    </w:rPr>
                    <w:t>TRABAJO DE CAMPO</w:t>
                  </w:r>
                </w:p>
                <w:p>
                  <w:pPr>
                    <w:pStyle w:val="BodyText"/>
                    <w:spacing w:before="6"/>
                    <w:rPr>
                      <w:sz w:val="20"/>
                    </w:rPr>
                  </w:pPr>
                </w:p>
                <w:p>
                  <w:pPr>
                    <w:spacing w:line="278" w:lineRule="auto" w:before="0"/>
                    <w:ind w:left="198" w:right="198" w:firstLine="0"/>
                    <w:jc w:val="center"/>
                    <w:rPr>
                      <w:b/>
                      <w:sz w:val="22"/>
                    </w:rPr>
                  </w:pPr>
                  <w:r>
                    <w:rPr>
                      <w:b/>
                      <w:sz w:val="22"/>
                    </w:rPr>
                    <w:t>(Entrevistas e historias de vida a grupos de actores)</w:t>
                  </w:r>
                </w:p>
              </w:txbxContent>
            </v:textbox>
            <w10:wrap type="topAndBottom"/>
          </v:shape>
        </w:pict>
      </w:r>
      <w:r>
        <w:rPr/>
        <w:pict>
          <v:shape style="position:absolute;margin-left:303.799988pt;margin-top:9.194145pt;width:222pt;height:73.5pt;mso-position-horizontal-relative:page;mso-position-vertical-relative:paragraph;z-index:16048;mso-wrap-distance-left:0;mso-wrap-distance-right:0" type="#_x0000_t202" filled="false" stroked="true" strokeweight=".5pt" strokecolor="#000000">
            <v:textbox inset="0,0,0,0">
              <w:txbxContent>
                <w:p>
                  <w:pPr>
                    <w:spacing w:before="67"/>
                    <w:ind w:left="316" w:right="315" w:firstLine="0"/>
                    <w:jc w:val="center"/>
                    <w:rPr>
                      <w:b/>
                      <w:sz w:val="22"/>
                    </w:rPr>
                  </w:pPr>
                  <w:r>
                    <w:rPr>
                      <w:b/>
                      <w:sz w:val="22"/>
                      <w:u w:val="thick"/>
                    </w:rPr>
                    <w:t>INDICADORES</w:t>
                  </w:r>
                </w:p>
                <w:p>
                  <w:pPr>
                    <w:pStyle w:val="BodyText"/>
                    <w:spacing w:before="9"/>
                    <w:rPr>
                      <w:sz w:val="20"/>
                    </w:rPr>
                  </w:pPr>
                </w:p>
                <w:p>
                  <w:pPr>
                    <w:spacing w:line="288" w:lineRule="auto" w:before="0"/>
                    <w:ind w:left="321" w:right="315" w:firstLine="0"/>
                    <w:jc w:val="center"/>
                    <w:rPr>
                      <w:b/>
                      <w:sz w:val="22"/>
                    </w:rPr>
                  </w:pPr>
                  <w:r>
                    <w:rPr>
                      <w:b/>
                      <w:sz w:val="22"/>
                    </w:rPr>
                    <w:t>(Indicadores mediante sistema PEIR para generar los FCE por AEPA)</w:t>
                  </w:r>
                </w:p>
              </w:txbxContent>
            </v:textbox>
            <w10:wrap type="topAndBottom"/>
          </v:shape>
        </w:pict>
      </w:r>
    </w:p>
    <w:p>
      <w:pPr>
        <w:pStyle w:val="BodyText"/>
        <w:spacing w:line="362" w:lineRule="auto" w:before="35"/>
        <w:ind w:left="102" w:right="793"/>
        <w:jc w:val="both"/>
      </w:pPr>
      <w:r>
        <w:rPr>
          <w:b/>
        </w:rPr>
        <w:t>Fuente: </w:t>
      </w:r>
      <w:r>
        <w:rPr/>
        <w:t>elaboración propia con base en el trabajo de campo y gabinete García, 2013- 2015.</w:t>
      </w:r>
    </w:p>
    <w:p>
      <w:pPr>
        <w:pStyle w:val="BodyText"/>
        <w:spacing w:before="4"/>
        <w:rPr>
          <w:sz w:val="17"/>
        </w:rPr>
      </w:pPr>
    </w:p>
    <w:p>
      <w:pPr>
        <w:spacing w:line="360" w:lineRule="auto" w:before="0"/>
        <w:ind w:left="102" w:right="792" w:firstLine="0"/>
        <w:jc w:val="both"/>
        <w:rPr>
          <w:sz w:val="22"/>
        </w:rPr>
      </w:pPr>
      <w:r>
        <w:rPr>
          <w:sz w:val="22"/>
        </w:rPr>
        <w:t>Dicha triangulación (consideraciones teóricas, el trabajo de campo y la generación de indicadores) permitieron generar la propuesta de creación de un Comité Intermunicipal para cuidar, defender y administrar los recursos naturales de la CHPH con su reglamento como respuesta al objetivo general de la presente investigación, que fue </w:t>
      </w:r>
      <w:r>
        <w:rPr>
          <w:i/>
          <w:sz w:val="22"/>
        </w:rPr>
        <w:t>identificar los </w:t>
      </w:r>
      <w:r>
        <w:rPr>
          <w:i/>
          <w:sz w:val="22"/>
        </w:rPr>
        <w:t>problemas de la cuenca hidrosocial de la presa Huapango a través de la GIRH, la gobernanza y la gobernabilidad para la elaboración de una propuesta de un Comité Intermunicipal con su Reglamento mediante la participación de los actores políticos, sociales y económicos. </w:t>
      </w:r>
      <w:r>
        <w:rPr>
          <w:sz w:val="22"/>
        </w:rPr>
        <w:t>Dicha propuesta de creación del Comité Intermunicipal con su Reglamento, son instrumentos de política pública que permitirán iniciar la planeación estratégica en la CHPH mediante acciones, programas y proyectos.</w:t>
      </w:r>
    </w:p>
    <w:p>
      <w:pPr>
        <w:spacing w:after="0" w:line="360" w:lineRule="auto"/>
        <w:jc w:val="both"/>
        <w:rPr>
          <w:sz w:val="22"/>
        </w:rPr>
        <w:sectPr>
          <w:pgSz w:w="12240" w:h="15840"/>
          <w:pgMar w:header="0" w:footer="1003" w:top="1360" w:bottom="1200" w:left="160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pStyle w:val="Heading1"/>
        <w:spacing w:line="360" w:lineRule="auto"/>
        <w:ind w:left="84" w:right="206"/>
        <w:jc w:val="center"/>
      </w:pPr>
      <w:r>
        <w:rPr/>
        <w:t>PROPUESTA PARA LA CONFORMACIÓN DE UN COMITÉ INTERMUNICIPAL PARA CUIDAR, DEFENDER Y ADMINISTRAR LOS RECURSOS NATURALES DE LA CHPH Y SU REGLAMENTO</w:t>
      </w:r>
    </w:p>
    <w:p>
      <w:pPr>
        <w:spacing w:after="0" w:line="360" w:lineRule="auto"/>
        <w:jc w:val="center"/>
        <w:sectPr>
          <w:pgSz w:w="12240" w:h="15840"/>
          <w:pgMar w:header="0" w:footer="1003" w:top="1500" w:bottom="1200" w:left="1700" w:right="1580"/>
        </w:sectPr>
      </w:pPr>
    </w:p>
    <w:p>
      <w:pPr>
        <w:pStyle w:val="Heading6"/>
        <w:numPr>
          <w:ilvl w:val="0"/>
          <w:numId w:val="367"/>
        </w:numPr>
        <w:tabs>
          <w:tab w:pos="455" w:val="left" w:leader="none"/>
        </w:tabs>
        <w:spacing w:line="360" w:lineRule="auto" w:before="51" w:after="0"/>
        <w:ind w:left="102" w:right="117" w:firstLine="0"/>
        <w:jc w:val="both"/>
      </w:pPr>
      <w:bookmarkStart w:name="_TOC_250001" w:id="72"/>
      <w:r>
        <w:rPr/>
        <w:t>PROPUESTA PARA LA CONFORMACIÓN DE UN COMITÉ INTERMUNICIPAL PARA CUIDAR, DEFENDER Y ADMINISTRAR LOS RECURSOS NATURALES DE LA CHPH Y SU</w:t>
      </w:r>
      <w:r>
        <w:rPr>
          <w:spacing w:val="-12"/>
        </w:rPr>
        <w:t> </w:t>
      </w:r>
      <w:bookmarkEnd w:id="72"/>
      <w:r>
        <w:rPr/>
        <w:t>REGLAMENTO</w:t>
      </w:r>
    </w:p>
    <w:p>
      <w:pPr>
        <w:pStyle w:val="BodyText"/>
        <w:spacing w:before="8"/>
        <w:rPr>
          <w:b/>
          <w:sz w:val="24"/>
        </w:rPr>
      </w:pPr>
    </w:p>
    <w:p>
      <w:pPr>
        <w:pStyle w:val="Heading6"/>
        <w:numPr>
          <w:ilvl w:val="1"/>
          <w:numId w:val="368"/>
        </w:numPr>
        <w:tabs>
          <w:tab w:pos="657" w:val="left" w:leader="none"/>
        </w:tabs>
        <w:spacing w:line="360" w:lineRule="auto" w:before="0" w:after="0"/>
        <w:ind w:left="102" w:right="122" w:firstLine="0"/>
        <w:jc w:val="both"/>
      </w:pPr>
      <w:bookmarkStart w:name="_TOC_250000" w:id="73"/>
      <w:r>
        <w:rPr/>
        <w:t>EL COMITÉ INTERMUNICIPAL Y SU REGLAMENTO COMO INSTRUMENTOS DE GESTIÓN, GOBERNANZA Y</w:t>
      </w:r>
      <w:r>
        <w:rPr>
          <w:spacing w:val="-21"/>
        </w:rPr>
        <w:t> </w:t>
      </w:r>
      <w:bookmarkEnd w:id="73"/>
      <w:r>
        <w:rPr/>
        <w:t>GOBERNABILIDAD</w:t>
      </w:r>
    </w:p>
    <w:p>
      <w:pPr>
        <w:pStyle w:val="BodyText"/>
        <w:spacing w:before="10"/>
        <w:rPr>
          <w:b/>
          <w:sz w:val="24"/>
        </w:rPr>
      </w:pPr>
    </w:p>
    <w:p>
      <w:pPr>
        <w:pStyle w:val="BodyText"/>
        <w:spacing w:line="360" w:lineRule="auto"/>
        <w:ind w:left="102" w:right="116"/>
        <w:jc w:val="both"/>
      </w:pPr>
      <w:r>
        <w:rPr/>
        <w:t>En este apartado se diseña la propuesta del Comité Intermunicipal para cuidar, defender y administrar los recursos naturales de la Cuenca Hidrosocial Presa Huapango y su reglamento. Cabe aclarar que la conformación de dicho Comité, es una propuesta basada en concordancia con las respuestas y entrevistas que se hicieron a los actores históricos de la CHPH cuando se les visitó en trabajo de campo (García. 2013-2015), y está basado en las estructuras de usos y costumbres de los actores de la Cuenca, así como en la estructura sociopolítica de las autoridades auxiliares de la región.</w:t>
      </w:r>
    </w:p>
    <w:p>
      <w:pPr>
        <w:pStyle w:val="BodyText"/>
        <w:spacing w:before="7"/>
        <w:rPr>
          <w:sz w:val="17"/>
        </w:rPr>
      </w:pPr>
    </w:p>
    <w:p>
      <w:pPr>
        <w:pStyle w:val="BodyText"/>
        <w:spacing w:line="360" w:lineRule="auto"/>
        <w:ind w:left="102" w:right="115"/>
        <w:jc w:val="both"/>
      </w:pPr>
      <w:r>
        <w:rPr/>
        <w:t>El reglamento es el resultado del análisis metodológico de la triangulación de las consideraciones teóricas, el trabajo de campo y el sistema de indicadores PEIR. Dicho análisis consistió en sintetizar la información mediante los </w:t>
      </w:r>
      <w:r>
        <w:rPr>
          <w:i/>
        </w:rPr>
        <w:t>principios de gobernanza</w:t>
      </w:r>
      <w:r>
        <w:rPr/>
        <w:t>, las AEPA y los Factores Críticos que resultaron del cruce de indicadores en la matriz PEIR; por tal motivo, el reglamento se ordenó de acuerdo a dichas características, ya que no existe una estructura única para hacerlo.</w:t>
      </w:r>
    </w:p>
    <w:p>
      <w:pPr>
        <w:pStyle w:val="BodyText"/>
        <w:spacing w:before="7"/>
        <w:rPr>
          <w:sz w:val="17"/>
        </w:rPr>
      </w:pPr>
    </w:p>
    <w:p>
      <w:pPr>
        <w:pStyle w:val="BodyText"/>
        <w:spacing w:line="360" w:lineRule="auto"/>
        <w:ind w:left="102" w:right="114"/>
        <w:jc w:val="both"/>
      </w:pPr>
      <w:r>
        <w:rPr/>
        <w:t>En este sentido, el Instituto Mexicano para la Competitividad (2014), señala que aunque la cooperación intermunicipal no es una novedad, en realidad existe desde el siglo XIX en Europa, donde se creó con el fin de proveer mejores servicios públicos. Con el tiempo dichas alianzas se han vuelto más populares y han aumentado su alcance, persiguiendo cada vez más fines. Su popularidad también ha aumentado por la simple razón de permitir ahorros importantes y mejoras sustanciales en la capacidad de comunicación de las autoridades municipales, así como en su poder de negociación con otros organismos.</w:t>
      </w:r>
    </w:p>
    <w:p>
      <w:pPr>
        <w:pStyle w:val="BodyText"/>
        <w:spacing w:before="10"/>
        <w:rPr>
          <w:sz w:val="17"/>
        </w:rPr>
      </w:pPr>
    </w:p>
    <w:p>
      <w:pPr>
        <w:pStyle w:val="BodyText"/>
        <w:spacing w:line="360" w:lineRule="auto"/>
        <w:ind w:left="102" w:right="116"/>
        <w:jc w:val="both"/>
      </w:pPr>
      <w:r>
        <w:rPr/>
        <w:t>Gerardo Florentino (2004), menciona que los municipios han creado convenios intermunicipales, como es el caso de Alemania Federal, que tiene tres diferentes formas de asociación y de los 24,511 municipios existentes, solo 140 no pertenecen a ninguna asociación; En Francia, de sus 37,708 municipios, existen agrupados para la prestación  de un servicio único alrededor de 8,300 en asociaciones llamadas, sindicatos intermunicipales de vocación única o el sindicato intermunicipal de vocación múltiple, </w:t>
      </w:r>
      <w:r>
        <w:rPr>
          <w:spacing w:val="25"/>
        </w:rPr>
        <w:t> </w:t>
      </w:r>
      <w:r>
        <w:rPr/>
        <w:t>que</w:t>
      </w:r>
    </w:p>
    <w:p>
      <w:pPr>
        <w:spacing w:after="0" w:line="360" w:lineRule="auto"/>
        <w:jc w:val="both"/>
        <w:sectPr>
          <w:pgSz w:w="12240" w:h="15840"/>
          <w:pgMar w:header="0" w:footer="1003" w:top="1360" w:bottom="1200" w:left="1600" w:right="1580"/>
        </w:sectPr>
      </w:pPr>
    </w:p>
    <w:p>
      <w:pPr>
        <w:pStyle w:val="BodyText"/>
        <w:spacing w:line="360" w:lineRule="auto" w:before="53"/>
        <w:ind w:left="102" w:right="117"/>
        <w:jc w:val="both"/>
      </w:pPr>
      <w:r>
        <w:rPr/>
        <w:t>son esfuerzos que han logrado afrontar con mucho más eficacia la prestación de los servicios públicos, por lo cual han sido modelos adoptados por Canadá y Estados Unidos de Norteamérica.</w:t>
      </w:r>
    </w:p>
    <w:p>
      <w:pPr>
        <w:pStyle w:val="BodyText"/>
        <w:spacing w:before="7"/>
        <w:rPr>
          <w:sz w:val="17"/>
        </w:rPr>
      </w:pPr>
    </w:p>
    <w:p>
      <w:pPr>
        <w:pStyle w:val="BodyText"/>
        <w:spacing w:line="360" w:lineRule="auto"/>
        <w:ind w:left="102" w:right="116"/>
        <w:jc w:val="both"/>
      </w:pPr>
      <w:r>
        <w:rPr/>
        <w:t>En España, las alianzas intermunicipales conocidas como mancomunidades, son muy populares (existen más de 930), debido a la facilidad con la que los municipios pueden sumarse o retirarse de éstas. Inclusive, los municipios pueden agruparse sin siquiera ser contiguos, pueden incorporar y transformar objetivos de forma simple e incluso convertir su mancomunidad en una comarca (Instituto Mexicano para la Competitividad,</w:t>
      </w:r>
      <w:r>
        <w:rPr>
          <w:spacing w:val="-22"/>
        </w:rPr>
        <w:t> </w:t>
      </w:r>
      <w:r>
        <w:rPr/>
        <w:t>2014).</w:t>
      </w:r>
    </w:p>
    <w:p>
      <w:pPr>
        <w:pStyle w:val="BodyText"/>
        <w:spacing w:before="7"/>
        <w:rPr>
          <w:sz w:val="17"/>
        </w:rPr>
      </w:pPr>
    </w:p>
    <w:p>
      <w:pPr>
        <w:pStyle w:val="BodyText"/>
        <w:spacing w:line="360" w:lineRule="auto"/>
        <w:ind w:left="102" w:right="118"/>
        <w:jc w:val="both"/>
      </w:pPr>
      <w:r>
        <w:rPr/>
        <w:t>Mientras que para el caso de nuestro país, Gerardo Florentino (2004), menciona que existen cerca de 2 398 municipios, con 145 712 localidades, donde se realizan elecciones y toma de cargos con cerca de 50 000 funcionarios municipales de elección popular; es por ello que la Constitución contempla la posibilidad de asociaciones entre municipios.</w:t>
      </w:r>
    </w:p>
    <w:p>
      <w:pPr>
        <w:pStyle w:val="BodyText"/>
        <w:spacing w:before="9"/>
        <w:rPr>
          <w:sz w:val="17"/>
        </w:rPr>
      </w:pPr>
    </w:p>
    <w:p>
      <w:pPr>
        <w:pStyle w:val="BodyText"/>
        <w:spacing w:line="360" w:lineRule="auto"/>
        <w:ind w:left="102" w:right="118"/>
        <w:jc w:val="both"/>
      </w:pPr>
      <w:r>
        <w:rPr/>
        <w:t>Sin embargo, el Instituto Mexicano para la Competitividad (2014), señala que en México sólo el 20% de los Municipios cuenta con un acuerdo de asociación y, de estos, sólo el 12% son municipios rurales. Lo anterior identifica que a diferencia de otros países, en el nuestro apenas se están asociando los municipios para ofrecer mejores servicios públicos y resolver problemas comunes.</w:t>
      </w:r>
    </w:p>
    <w:p>
      <w:pPr>
        <w:pStyle w:val="BodyText"/>
        <w:spacing w:before="9"/>
        <w:rPr>
          <w:sz w:val="17"/>
        </w:rPr>
      </w:pPr>
    </w:p>
    <w:p>
      <w:pPr>
        <w:pStyle w:val="BodyText"/>
        <w:spacing w:line="360" w:lineRule="auto" w:before="1"/>
        <w:ind w:left="102" w:right="115"/>
        <w:jc w:val="both"/>
      </w:pPr>
      <w:r>
        <w:rPr/>
        <w:t>Específicamente el artículo 115 constitucional, en su fracción III, señala que los  municipios son responsables del agua potable, drenaje, alcantarillado, tratamiento y disposición final de residuos; alumbrado público, limpia, recolección, traslado, tratamiento y disposición final de residuos; mercados y centrales de abastos, panteones, rastros, calles, parques y jardines y su equipamiento; seguridad pública, policía preventiva municipal y tránsito, que los municipios de un mismo estado, previo acuerdo entre sus ayuntamientos y con sujeción a la ley, podrán coordinarse y asociarse para la más eficaz prestación de los servicios públicos que les corresponda. Es por ello, que un elemento indispensable para la realización de una asociación entre municipios es que las relaciones municipales se realicen con sujeción a la ley</w:t>
      </w:r>
      <w:r>
        <w:rPr>
          <w:spacing w:val="-15"/>
        </w:rPr>
        <w:t> </w:t>
      </w:r>
      <w:r>
        <w:rPr/>
        <w:t>relativa.</w:t>
      </w:r>
    </w:p>
    <w:p>
      <w:pPr>
        <w:pStyle w:val="BodyText"/>
        <w:spacing w:before="7"/>
        <w:rPr>
          <w:sz w:val="17"/>
        </w:rPr>
      </w:pPr>
    </w:p>
    <w:p>
      <w:pPr>
        <w:pStyle w:val="BodyText"/>
        <w:spacing w:line="360" w:lineRule="auto"/>
        <w:ind w:left="102" w:right="112"/>
        <w:jc w:val="both"/>
      </w:pPr>
      <w:r>
        <w:rPr/>
        <w:t>Como se observa, las </w:t>
      </w:r>
      <w:r>
        <w:rPr>
          <w:i/>
        </w:rPr>
        <w:t>relaciones intermunicipales en México en materia ambiental </w:t>
      </w:r>
      <w:r>
        <w:rPr/>
        <w:t>son incipientes. Existen solo algunos casos exitosos como la creación del Comité Ejecutivo Intermunicipal (CEIM) para hacer un reglamento en el lago de Pátzcuaro, Michoacán; así como  el  de </w:t>
      </w:r>
      <w:r>
        <w:rPr>
          <w:rFonts w:ascii="Calibri" w:hAnsi="Calibri"/>
        </w:rPr>
        <w:t>l</w:t>
      </w:r>
      <w:r>
        <w:rPr/>
        <w:t>a alianza  de  la  Cuenca del río  Ayuquila,  en Jalisco,  donde  se creó   para</w:t>
      </w:r>
    </w:p>
    <w:p>
      <w:pPr>
        <w:spacing w:after="0" w:line="360" w:lineRule="auto"/>
        <w:jc w:val="both"/>
        <w:sectPr>
          <w:pgSz w:w="12240" w:h="15840"/>
          <w:pgMar w:header="0" w:footer="1003" w:top="1360" w:bottom="1200" w:left="1600" w:right="1580"/>
        </w:sectPr>
      </w:pPr>
    </w:p>
    <w:p>
      <w:pPr>
        <w:pStyle w:val="BodyText"/>
        <w:spacing w:line="362" w:lineRule="auto" w:before="53"/>
        <w:ind w:left="102" w:right="123"/>
        <w:jc w:val="both"/>
      </w:pPr>
      <w:r>
        <w:rPr/>
        <w:t>salvaguardar el río. Dicha alianza ha sido exitosa al integrar a la sociedad civil en esta tarea.</w:t>
      </w:r>
    </w:p>
    <w:p>
      <w:pPr>
        <w:pStyle w:val="BodyText"/>
        <w:spacing w:before="4"/>
        <w:rPr>
          <w:sz w:val="17"/>
        </w:rPr>
      </w:pPr>
    </w:p>
    <w:p>
      <w:pPr>
        <w:pStyle w:val="BodyText"/>
        <w:spacing w:line="360" w:lineRule="auto"/>
        <w:ind w:left="102" w:right="120"/>
        <w:jc w:val="both"/>
      </w:pPr>
      <w:r>
        <w:rPr/>
        <w:t>Los convenios intermunicipales en México, pueden versar sobre cualquier acto de los siguientes límites:</w:t>
      </w:r>
    </w:p>
    <w:p>
      <w:pPr>
        <w:pStyle w:val="BodyText"/>
        <w:spacing w:before="9"/>
        <w:rPr>
          <w:sz w:val="17"/>
        </w:rPr>
      </w:pPr>
    </w:p>
    <w:p>
      <w:pPr>
        <w:pStyle w:val="ListParagraph"/>
        <w:numPr>
          <w:ilvl w:val="0"/>
          <w:numId w:val="369"/>
        </w:numPr>
        <w:tabs>
          <w:tab w:pos="359" w:val="left" w:leader="none"/>
        </w:tabs>
        <w:spacing w:line="240" w:lineRule="auto" w:before="0" w:after="0"/>
        <w:ind w:left="102" w:right="0" w:firstLine="0"/>
        <w:jc w:val="both"/>
        <w:rPr>
          <w:sz w:val="22"/>
        </w:rPr>
      </w:pPr>
      <w:r>
        <w:rPr>
          <w:sz w:val="22"/>
        </w:rPr>
        <w:t>Que sea una actividad que esté dentro del ámbito de la competencia de los</w:t>
      </w:r>
      <w:r>
        <w:rPr>
          <w:spacing w:val="-22"/>
          <w:sz w:val="22"/>
        </w:rPr>
        <w:t> </w:t>
      </w:r>
      <w:r>
        <w:rPr>
          <w:sz w:val="22"/>
        </w:rPr>
        <w:t>municipios.</w:t>
      </w:r>
    </w:p>
    <w:p>
      <w:pPr>
        <w:pStyle w:val="BodyText"/>
        <w:spacing w:before="3"/>
        <w:rPr>
          <w:sz w:val="28"/>
        </w:rPr>
      </w:pPr>
    </w:p>
    <w:p>
      <w:pPr>
        <w:pStyle w:val="ListParagraph"/>
        <w:numPr>
          <w:ilvl w:val="0"/>
          <w:numId w:val="369"/>
        </w:numPr>
        <w:tabs>
          <w:tab w:pos="359" w:val="left" w:leader="none"/>
        </w:tabs>
        <w:spacing w:line="240" w:lineRule="auto" w:before="0" w:after="0"/>
        <w:ind w:left="358" w:right="0" w:hanging="256"/>
        <w:jc w:val="both"/>
        <w:rPr>
          <w:sz w:val="22"/>
        </w:rPr>
      </w:pPr>
      <w:r>
        <w:rPr>
          <w:sz w:val="22"/>
        </w:rPr>
        <w:t>Que esté facultado por norma jurídica</w:t>
      </w:r>
      <w:r>
        <w:rPr>
          <w:spacing w:val="-16"/>
          <w:sz w:val="22"/>
        </w:rPr>
        <w:t> </w:t>
      </w:r>
      <w:r>
        <w:rPr>
          <w:sz w:val="22"/>
        </w:rPr>
        <w:t>expresa.</w:t>
      </w:r>
    </w:p>
    <w:p>
      <w:pPr>
        <w:pStyle w:val="BodyText"/>
        <w:spacing w:before="3"/>
        <w:rPr>
          <w:sz w:val="28"/>
        </w:rPr>
      </w:pPr>
    </w:p>
    <w:p>
      <w:pPr>
        <w:pStyle w:val="ListParagraph"/>
        <w:numPr>
          <w:ilvl w:val="0"/>
          <w:numId w:val="369"/>
        </w:numPr>
        <w:tabs>
          <w:tab w:pos="359" w:val="left" w:leader="none"/>
        </w:tabs>
        <w:spacing w:line="360" w:lineRule="auto" w:before="0" w:after="0"/>
        <w:ind w:left="102" w:right="115" w:firstLine="0"/>
        <w:jc w:val="both"/>
        <w:rPr>
          <w:sz w:val="22"/>
        </w:rPr>
      </w:pPr>
      <w:r>
        <w:rPr>
          <w:sz w:val="22"/>
        </w:rPr>
        <w:t>Que se base sobre aspectos que tengan un margen de discrecionalidad, no puede ser objeto de convenio las atribuciones que ejercita por disposición expresa (por ejemplo, la expedición de reglamentos de policía y buen</w:t>
      </w:r>
      <w:r>
        <w:rPr>
          <w:spacing w:val="-15"/>
          <w:sz w:val="22"/>
        </w:rPr>
        <w:t> </w:t>
      </w:r>
      <w:r>
        <w:rPr>
          <w:sz w:val="22"/>
        </w:rPr>
        <w:t>gobierno).</w:t>
      </w:r>
    </w:p>
    <w:p>
      <w:pPr>
        <w:pStyle w:val="BodyText"/>
        <w:spacing w:before="7"/>
        <w:rPr>
          <w:sz w:val="17"/>
        </w:rPr>
      </w:pPr>
    </w:p>
    <w:p>
      <w:pPr>
        <w:pStyle w:val="BodyText"/>
        <w:spacing w:line="360" w:lineRule="auto"/>
        <w:ind w:left="102" w:right="121"/>
        <w:jc w:val="both"/>
      </w:pPr>
      <w:r>
        <w:rPr/>
        <w:t>Tal y como se demuestra en varias partes del mundo, son muchas las ventajas aún no aprovechadas en los convenios que pueden surgir de las relaciones intermunicipales, entre ellas están:</w:t>
      </w:r>
    </w:p>
    <w:p>
      <w:pPr>
        <w:pStyle w:val="BodyText"/>
        <w:spacing w:before="9"/>
        <w:rPr>
          <w:sz w:val="17"/>
        </w:rPr>
      </w:pPr>
    </w:p>
    <w:p>
      <w:pPr>
        <w:pStyle w:val="ListParagraph"/>
        <w:numPr>
          <w:ilvl w:val="0"/>
          <w:numId w:val="370"/>
        </w:numPr>
        <w:tabs>
          <w:tab w:pos="350" w:val="left" w:leader="none"/>
        </w:tabs>
        <w:spacing w:line="240" w:lineRule="auto" w:before="0" w:after="0"/>
        <w:ind w:left="102" w:right="0" w:firstLine="0"/>
        <w:jc w:val="both"/>
        <w:rPr>
          <w:sz w:val="22"/>
        </w:rPr>
      </w:pPr>
      <w:r>
        <w:rPr>
          <w:sz w:val="22"/>
        </w:rPr>
        <w:t>El respeto a la existencia y autonomía de los</w:t>
      </w:r>
      <w:r>
        <w:rPr>
          <w:spacing w:val="-20"/>
          <w:sz w:val="22"/>
        </w:rPr>
        <w:t> </w:t>
      </w:r>
      <w:r>
        <w:rPr>
          <w:sz w:val="22"/>
        </w:rPr>
        <w:t>municipios</w:t>
      </w:r>
    </w:p>
    <w:p>
      <w:pPr>
        <w:pStyle w:val="BodyText"/>
        <w:spacing w:before="3"/>
        <w:rPr>
          <w:sz w:val="28"/>
        </w:rPr>
      </w:pPr>
    </w:p>
    <w:p>
      <w:pPr>
        <w:pStyle w:val="ListParagraph"/>
        <w:numPr>
          <w:ilvl w:val="0"/>
          <w:numId w:val="370"/>
        </w:numPr>
        <w:tabs>
          <w:tab w:pos="426" w:val="left" w:leader="none"/>
        </w:tabs>
        <w:spacing w:line="360" w:lineRule="auto" w:before="0" w:after="0"/>
        <w:ind w:left="102" w:right="119" w:firstLine="0"/>
        <w:jc w:val="both"/>
        <w:rPr>
          <w:sz w:val="22"/>
        </w:rPr>
      </w:pPr>
      <w:r>
        <w:rPr>
          <w:sz w:val="22"/>
        </w:rPr>
        <w:t>Remediar en gran parte, las debilidades administrativas, técnicas, económicas y financieras.</w:t>
      </w:r>
    </w:p>
    <w:p>
      <w:pPr>
        <w:pStyle w:val="BodyText"/>
        <w:spacing w:before="9"/>
        <w:rPr>
          <w:sz w:val="17"/>
        </w:rPr>
      </w:pPr>
    </w:p>
    <w:p>
      <w:pPr>
        <w:pStyle w:val="ListParagraph"/>
        <w:numPr>
          <w:ilvl w:val="0"/>
          <w:numId w:val="370"/>
        </w:numPr>
        <w:tabs>
          <w:tab w:pos="350" w:val="left" w:leader="none"/>
        </w:tabs>
        <w:spacing w:line="240" w:lineRule="auto" w:before="1" w:after="0"/>
        <w:ind w:left="349" w:right="0" w:hanging="247"/>
        <w:jc w:val="both"/>
        <w:rPr>
          <w:sz w:val="22"/>
        </w:rPr>
      </w:pPr>
      <w:r>
        <w:rPr>
          <w:sz w:val="22"/>
        </w:rPr>
        <w:t>Reforzar poderes y mantener las libertades</w:t>
      </w:r>
      <w:r>
        <w:rPr>
          <w:spacing w:val="-17"/>
          <w:sz w:val="22"/>
        </w:rPr>
        <w:t> </w:t>
      </w:r>
      <w:r>
        <w:rPr>
          <w:sz w:val="22"/>
        </w:rPr>
        <w:t>comunales.</w:t>
      </w:r>
    </w:p>
    <w:p>
      <w:pPr>
        <w:pStyle w:val="BodyText"/>
        <w:spacing w:before="3"/>
        <w:rPr>
          <w:sz w:val="28"/>
        </w:rPr>
      </w:pPr>
    </w:p>
    <w:p>
      <w:pPr>
        <w:pStyle w:val="ListParagraph"/>
        <w:numPr>
          <w:ilvl w:val="0"/>
          <w:numId w:val="370"/>
        </w:numPr>
        <w:tabs>
          <w:tab w:pos="350" w:val="left" w:leader="none"/>
        </w:tabs>
        <w:spacing w:line="240" w:lineRule="auto" w:before="0" w:after="0"/>
        <w:ind w:left="349" w:right="0" w:hanging="247"/>
        <w:jc w:val="both"/>
        <w:rPr>
          <w:sz w:val="22"/>
        </w:rPr>
      </w:pPr>
      <w:r>
        <w:rPr>
          <w:sz w:val="22"/>
        </w:rPr>
        <w:t>Evitar la anexión o fusión de municipios por</w:t>
      </w:r>
      <w:r>
        <w:rPr>
          <w:spacing w:val="-18"/>
          <w:sz w:val="22"/>
        </w:rPr>
        <w:t> </w:t>
      </w:r>
      <w:r>
        <w:rPr>
          <w:sz w:val="22"/>
        </w:rPr>
        <w:t>incapacidad.</w:t>
      </w:r>
    </w:p>
    <w:p>
      <w:pPr>
        <w:pStyle w:val="BodyText"/>
        <w:spacing w:before="5"/>
        <w:rPr>
          <w:sz w:val="28"/>
        </w:rPr>
      </w:pPr>
    </w:p>
    <w:p>
      <w:pPr>
        <w:pStyle w:val="ListParagraph"/>
        <w:numPr>
          <w:ilvl w:val="0"/>
          <w:numId w:val="370"/>
        </w:numPr>
        <w:tabs>
          <w:tab w:pos="386" w:val="left" w:leader="none"/>
        </w:tabs>
        <w:spacing w:line="360" w:lineRule="auto" w:before="1" w:after="0"/>
        <w:ind w:left="102" w:right="122" w:firstLine="0"/>
        <w:jc w:val="both"/>
        <w:rPr>
          <w:sz w:val="22"/>
        </w:rPr>
      </w:pPr>
      <w:r>
        <w:rPr>
          <w:sz w:val="22"/>
        </w:rPr>
        <w:t>Inscribir mejores técnicas o tecnologías en los servicios públicos; y realizar mejoras administrativas.</w:t>
      </w:r>
    </w:p>
    <w:p>
      <w:pPr>
        <w:pStyle w:val="BodyText"/>
        <w:spacing w:before="7"/>
        <w:rPr>
          <w:sz w:val="17"/>
        </w:rPr>
      </w:pPr>
    </w:p>
    <w:p>
      <w:pPr>
        <w:pStyle w:val="ListParagraph"/>
        <w:numPr>
          <w:ilvl w:val="0"/>
          <w:numId w:val="370"/>
        </w:numPr>
        <w:tabs>
          <w:tab w:pos="417" w:val="left" w:leader="none"/>
        </w:tabs>
        <w:spacing w:line="360" w:lineRule="auto" w:before="0" w:after="0"/>
        <w:ind w:left="102" w:right="118" w:firstLine="0"/>
        <w:jc w:val="both"/>
        <w:rPr>
          <w:sz w:val="22"/>
        </w:rPr>
      </w:pPr>
      <w:r>
        <w:rPr>
          <w:sz w:val="22"/>
        </w:rPr>
        <w:t>Reducir costos y gastos de realización de las obras e instalación, explotación y prestación de servicios</w:t>
      </w:r>
      <w:r>
        <w:rPr>
          <w:spacing w:val="-8"/>
          <w:sz w:val="22"/>
        </w:rPr>
        <w:t> </w:t>
      </w:r>
      <w:r>
        <w:rPr>
          <w:sz w:val="22"/>
        </w:rPr>
        <w:t>públicos.</w:t>
      </w:r>
    </w:p>
    <w:p>
      <w:pPr>
        <w:pStyle w:val="BodyText"/>
        <w:spacing w:before="10"/>
        <w:rPr>
          <w:sz w:val="17"/>
        </w:rPr>
      </w:pPr>
    </w:p>
    <w:p>
      <w:pPr>
        <w:pStyle w:val="ListParagraph"/>
        <w:numPr>
          <w:ilvl w:val="0"/>
          <w:numId w:val="370"/>
        </w:numPr>
        <w:tabs>
          <w:tab w:pos="383" w:val="left" w:leader="none"/>
        </w:tabs>
        <w:spacing w:line="360" w:lineRule="auto" w:before="0" w:after="0"/>
        <w:ind w:left="102" w:right="119" w:firstLine="0"/>
        <w:jc w:val="both"/>
        <w:rPr>
          <w:sz w:val="22"/>
        </w:rPr>
      </w:pPr>
      <w:r>
        <w:rPr>
          <w:sz w:val="22"/>
        </w:rPr>
        <w:t>Racionalizar y agilizar una gran parte de las tareas de la administración municipal y llegar a normas</w:t>
      </w:r>
      <w:r>
        <w:rPr>
          <w:spacing w:val="-8"/>
          <w:sz w:val="22"/>
        </w:rPr>
        <w:t> </w:t>
      </w:r>
      <w:r>
        <w:rPr>
          <w:sz w:val="22"/>
        </w:rPr>
        <w:t>uniformes.</w:t>
      </w:r>
    </w:p>
    <w:p>
      <w:pPr>
        <w:pStyle w:val="BodyText"/>
        <w:spacing w:before="7"/>
        <w:rPr>
          <w:sz w:val="17"/>
        </w:rPr>
      </w:pPr>
    </w:p>
    <w:p>
      <w:pPr>
        <w:pStyle w:val="ListParagraph"/>
        <w:numPr>
          <w:ilvl w:val="0"/>
          <w:numId w:val="370"/>
        </w:numPr>
        <w:tabs>
          <w:tab w:pos="371" w:val="left" w:leader="none"/>
        </w:tabs>
        <w:spacing w:line="360" w:lineRule="auto" w:before="0" w:after="0"/>
        <w:ind w:left="102" w:right="120" w:firstLine="0"/>
        <w:jc w:val="both"/>
        <w:rPr>
          <w:sz w:val="22"/>
        </w:rPr>
      </w:pPr>
      <w:r>
        <w:rPr>
          <w:sz w:val="22"/>
        </w:rPr>
        <w:t>Habituar a los presidentes de las municipalidades a una acción común, cooperativa y contribuir a la desaparición de los prejuicios particulares de la política</w:t>
      </w:r>
      <w:r>
        <w:rPr>
          <w:spacing w:val="-21"/>
          <w:sz w:val="22"/>
        </w:rPr>
        <w:t> </w:t>
      </w:r>
      <w:r>
        <w:rPr>
          <w:sz w:val="22"/>
        </w:rPr>
        <w:t>local.</w:t>
      </w:r>
    </w:p>
    <w:p>
      <w:pPr>
        <w:spacing w:after="0" w:line="360" w:lineRule="auto"/>
        <w:jc w:val="both"/>
        <w:rPr>
          <w:sz w:val="22"/>
        </w:rPr>
        <w:sectPr>
          <w:footerReference w:type="default" r:id="rId705"/>
          <w:pgSz w:w="12240" w:h="15840"/>
          <w:pgMar w:footer="1003" w:header="0" w:top="1360" w:bottom="1200" w:left="1600" w:right="1580"/>
          <w:pgNumType w:start="830"/>
        </w:sectPr>
      </w:pPr>
    </w:p>
    <w:p>
      <w:pPr>
        <w:pStyle w:val="BodyText"/>
        <w:spacing w:line="360" w:lineRule="auto" w:before="53"/>
        <w:ind w:left="102" w:right="121"/>
        <w:jc w:val="both"/>
      </w:pPr>
      <w:r>
        <w:rPr/>
        <w:t>Por su parte La ley orgánica municipal del Estado de México, en su título I, artículo 5º, referente a regular las bases para la integración y organización del territorio, la población, el gobierno y la administración pública municipales señala que:</w:t>
      </w:r>
    </w:p>
    <w:p>
      <w:pPr>
        <w:pStyle w:val="BodyText"/>
        <w:spacing w:before="7"/>
        <w:rPr>
          <w:sz w:val="17"/>
        </w:rPr>
      </w:pPr>
    </w:p>
    <w:p>
      <w:pPr>
        <w:pStyle w:val="BodyText"/>
        <w:spacing w:line="360" w:lineRule="auto"/>
        <w:ind w:left="954" w:right="118"/>
        <w:jc w:val="both"/>
      </w:pPr>
      <w:r>
        <w:rPr/>
        <w:t>Para el eficaz cumplimiento de sus funciones, los ayuntamientos podrán coordinarse entre sí y con las autoridades estatales; y en su caso, con las autoridades federales, en los términos que señala la Constitución Política de los Estados Unidos Mexicanos.</w:t>
      </w:r>
    </w:p>
    <w:p>
      <w:pPr>
        <w:pStyle w:val="BodyText"/>
        <w:spacing w:before="9"/>
        <w:rPr>
          <w:sz w:val="17"/>
        </w:rPr>
      </w:pPr>
    </w:p>
    <w:p>
      <w:pPr>
        <w:pStyle w:val="BodyText"/>
        <w:spacing w:line="360" w:lineRule="auto"/>
        <w:ind w:left="102" w:right="117"/>
        <w:jc w:val="both"/>
      </w:pPr>
      <w:r>
        <w:rPr/>
        <w:t>Tomando lo anterior para crear los acuerdos intermunicipales, y asegurarse del sustento que pueden tener las nuevas relaciones, se identifican las maneras que puede dar origen a los convenios intermunicipales a través de:</w:t>
      </w:r>
    </w:p>
    <w:p>
      <w:pPr>
        <w:pStyle w:val="BodyText"/>
        <w:spacing w:before="9"/>
        <w:rPr>
          <w:sz w:val="17"/>
        </w:rPr>
      </w:pPr>
    </w:p>
    <w:p>
      <w:pPr>
        <w:pStyle w:val="ListParagraph"/>
        <w:numPr>
          <w:ilvl w:val="0"/>
          <w:numId w:val="371"/>
        </w:numPr>
        <w:tabs>
          <w:tab w:pos="388" w:val="left" w:leader="none"/>
        </w:tabs>
        <w:spacing w:line="360" w:lineRule="auto" w:before="0" w:after="0"/>
        <w:ind w:left="102" w:right="116" w:firstLine="0"/>
        <w:jc w:val="both"/>
        <w:rPr>
          <w:sz w:val="22"/>
        </w:rPr>
      </w:pPr>
      <w:r>
        <w:rPr>
          <w:sz w:val="22"/>
        </w:rPr>
        <w:t>Cooperación voluntaria y espontánea, libremente decidida por las municipalidades o impuesto por los niveles</w:t>
      </w:r>
      <w:r>
        <w:rPr>
          <w:spacing w:val="-8"/>
          <w:sz w:val="22"/>
        </w:rPr>
        <w:t> </w:t>
      </w:r>
      <w:r>
        <w:rPr>
          <w:sz w:val="22"/>
        </w:rPr>
        <w:t>superiores.</w:t>
      </w:r>
    </w:p>
    <w:p>
      <w:pPr>
        <w:pStyle w:val="BodyText"/>
        <w:spacing w:before="7"/>
        <w:rPr>
          <w:sz w:val="17"/>
        </w:rPr>
      </w:pPr>
    </w:p>
    <w:p>
      <w:pPr>
        <w:pStyle w:val="ListParagraph"/>
        <w:numPr>
          <w:ilvl w:val="0"/>
          <w:numId w:val="371"/>
        </w:numPr>
        <w:tabs>
          <w:tab w:pos="359" w:val="left" w:leader="none"/>
        </w:tabs>
        <w:spacing w:line="360" w:lineRule="auto" w:before="0" w:after="0"/>
        <w:ind w:left="102" w:right="119" w:firstLine="0"/>
        <w:jc w:val="both"/>
        <w:rPr>
          <w:sz w:val="22"/>
        </w:rPr>
      </w:pPr>
      <w:r>
        <w:rPr>
          <w:sz w:val="22"/>
        </w:rPr>
        <w:t>Cooperación para un fin especial, unión o bien, o cooperación para objetivos múltiples, general o casi</w:t>
      </w:r>
      <w:r>
        <w:rPr>
          <w:spacing w:val="-4"/>
          <w:sz w:val="22"/>
        </w:rPr>
        <w:t> </w:t>
      </w:r>
      <w:r>
        <w:rPr>
          <w:sz w:val="22"/>
        </w:rPr>
        <w:t>general.</w:t>
      </w:r>
    </w:p>
    <w:p>
      <w:pPr>
        <w:pStyle w:val="BodyText"/>
        <w:spacing w:before="9"/>
        <w:rPr>
          <w:sz w:val="17"/>
        </w:rPr>
      </w:pPr>
    </w:p>
    <w:p>
      <w:pPr>
        <w:pStyle w:val="ListParagraph"/>
        <w:numPr>
          <w:ilvl w:val="0"/>
          <w:numId w:val="371"/>
        </w:numPr>
        <w:tabs>
          <w:tab w:pos="350" w:val="left" w:leader="none"/>
        </w:tabs>
        <w:spacing w:line="240" w:lineRule="auto" w:before="0" w:after="0"/>
        <w:ind w:left="349" w:right="0" w:hanging="247"/>
        <w:jc w:val="both"/>
        <w:rPr>
          <w:sz w:val="22"/>
        </w:rPr>
      </w:pPr>
      <w:r>
        <w:rPr>
          <w:sz w:val="22"/>
        </w:rPr>
        <w:t>Cooperación para la realización de una obra en</w:t>
      </w:r>
      <w:r>
        <w:rPr>
          <w:spacing w:val="-14"/>
          <w:sz w:val="22"/>
        </w:rPr>
        <w:t> </w:t>
      </w:r>
      <w:r>
        <w:rPr>
          <w:sz w:val="22"/>
        </w:rPr>
        <w:t>común.</w:t>
      </w:r>
    </w:p>
    <w:p>
      <w:pPr>
        <w:pStyle w:val="BodyText"/>
        <w:spacing w:before="3"/>
        <w:rPr>
          <w:sz w:val="28"/>
        </w:rPr>
      </w:pPr>
    </w:p>
    <w:p>
      <w:pPr>
        <w:pStyle w:val="ListParagraph"/>
        <w:numPr>
          <w:ilvl w:val="0"/>
          <w:numId w:val="371"/>
        </w:numPr>
        <w:tabs>
          <w:tab w:pos="352" w:val="left" w:leader="none"/>
        </w:tabs>
        <w:spacing w:line="360" w:lineRule="auto" w:before="1" w:after="0"/>
        <w:ind w:left="102" w:right="120" w:firstLine="0"/>
        <w:jc w:val="both"/>
        <w:rPr>
          <w:sz w:val="22"/>
        </w:rPr>
      </w:pPr>
      <w:r>
        <w:rPr>
          <w:sz w:val="22"/>
        </w:rPr>
        <w:t>Cooperación permanente cristalizada en una organización común; cooperación a través de reuniones especiales, esporádicas y/o hasta</w:t>
      </w:r>
      <w:r>
        <w:rPr>
          <w:spacing w:val="-14"/>
          <w:sz w:val="22"/>
        </w:rPr>
        <w:t> </w:t>
      </w:r>
      <w:r>
        <w:rPr>
          <w:sz w:val="22"/>
        </w:rPr>
        <w:t>informales.</w:t>
      </w:r>
    </w:p>
    <w:p>
      <w:pPr>
        <w:pStyle w:val="BodyText"/>
        <w:spacing w:before="9"/>
        <w:rPr>
          <w:sz w:val="17"/>
        </w:rPr>
      </w:pPr>
    </w:p>
    <w:p>
      <w:pPr>
        <w:pStyle w:val="ListParagraph"/>
        <w:numPr>
          <w:ilvl w:val="0"/>
          <w:numId w:val="371"/>
        </w:numPr>
        <w:tabs>
          <w:tab w:pos="398" w:val="left" w:leader="none"/>
        </w:tabs>
        <w:spacing w:line="360" w:lineRule="auto" w:before="0" w:after="0"/>
        <w:ind w:left="102" w:right="118" w:firstLine="0"/>
        <w:jc w:val="both"/>
        <w:rPr>
          <w:sz w:val="22"/>
        </w:rPr>
      </w:pPr>
      <w:r>
        <w:rPr>
          <w:sz w:val="22"/>
        </w:rPr>
        <w:t>Cooperación a través de la creación de un ente de derecho público, en el local o nacional; mancomunidades, asociación, unión, regida por una comisión, o bien cooperación mediante la contratación de una empresa de derecho privado, sociedad anónima, sociedad de responsabilidad limitado o acuerdos por</w:t>
      </w:r>
      <w:r>
        <w:rPr>
          <w:spacing w:val="-18"/>
          <w:sz w:val="22"/>
        </w:rPr>
        <w:t> </w:t>
      </w:r>
      <w:r>
        <w:rPr>
          <w:sz w:val="22"/>
        </w:rPr>
        <w:t>contrato.</w:t>
      </w:r>
    </w:p>
    <w:p>
      <w:pPr>
        <w:pStyle w:val="BodyText"/>
        <w:spacing w:before="7"/>
        <w:rPr>
          <w:sz w:val="17"/>
        </w:rPr>
      </w:pPr>
    </w:p>
    <w:p>
      <w:pPr>
        <w:pStyle w:val="BodyText"/>
        <w:spacing w:line="360" w:lineRule="auto"/>
        <w:ind w:left="102" w:right="115"/>
        <w:jc w:val="both"/>
      </w:pPr>
      <w:r>
        <w:rPr/>
        <w:t>Como se puede observar, la norma constitucional mexicana </w:t>
      </w:r>
      <w:r>
        <w:rPr>
          <w:i/>
        </w:rPr>
        <w:t>si habilita </w:t>
      </w:r>
      <w:r>
        <w:rPr/>
        <w:t>a  los  ayuntamientos para coordinarse y </w:t>
      </w:r>
      <w:r>
        <w:rPr>
          <w:i/>
        </w:rPr>
        <w:t>asociarse en la prestación de servicios públicos, pero </w:t>
      </w:r>
      <w:r>
        <w:rPr/>
        <w:t>puntualiza que sólo podrán asociarse al interior de un mismo Estado. Si una asociación persigue otros fines a la prestación de servicios públicos, sería</w:t>
      </w:r>
      <w:r>
        <w:rPr>
          <w:spacing w:val="-20"/>
        </w:rPr>
        <w:t> </w:t>
      </w:r>
      <w:r>
        <w:rPr/>
        <w:t>inconstitucional.</w:t>
      </w:r>
    </w:p>
    <w:p>
      <w:pPr>
        <w:pStyle w:val="BodyText"/>
        <w:spacing w:before="7"/>
        <w:rPr>
          <w:sz w:val="17"/>
        </w:rPr>
      </w:pPr>
    </w:p>
    <w:p>
      <w:pPr>
        <w:pStyle w:val="BodyText"/>
        <w:spacing w:line="360" w:lineRule="auto"/>
        <w:ind w:left="102" w:right="117"/>
        <w:jc w:val="both"/>
      </w:pPr>
      <w:r>
        <w:rPr/>
        <w:t>Sin embargo, a diferencia de lo que establece la Constitución, en materia de asociación entre cabildos de los municipios para la prestación de servicios públicos, en este trabajo se identifica la posibilidad de asociación de los actores históricos para el cuidado del medio ambiente, mediante un Comité Intermunicipal para cuidar, defender y administrar</w:t>
      </w:r>
      <w:r>
        <w:rPr>
          <w:spacing w:val="6"/>
        </w:rPr>
        <w:t> </w:t>
      </w:r>
      <w:r>
        <w:rPr/>
        <w:t>la</w:t>
      </w:r>
    </w:p>
    <w:p>
      <w:pPr>
        <w:spacing w:after="0" w:line="360" w:lineRule="auto"/>
        <w:jc w:val="both"/>
        <w:sectPr>
          <w:pgSz w:w="12240" w:h="15840"/>
          <w:pgMar w:header="0" w:footer="1003" w:top="1360" w:bottom="1200" w:left="1600" w:right="1580"/>
        </w:sectPr>
      </w:pPr>
    </w:p>
    <w:p>
      <w:pPr>
        <w:pStyle w:val="BodyText"/>
        <w:spacing w:line="360" w:lineRule="auto" w:before="53"/>
        <w:ind w:left="102" w:right="117"/>
        <w:jc w:val="both"/>
      </w:pPr>
      <w:r>
        <w:rPr/>
        <w:t>Cuenca Hidrosocial presa Huapango, para generar un reglamento basado en el derecho consuetudinario que regule los derechos y obligaciones para la sostenibilidad de la Cuenca a través de la GIRH, la gobernanza y la gobernabilidad.</w:t>
      </w:r>
    </w:p>
    <w:p>
      <w:pPr>
        <w:pStyle w:val="BodyText"/>
        <w:spacing w:before="7"/>
        <w:rPr>
          <w:sz w:val="17"/>
        </w:rPr>
      </w:pPr>
    </w:p>
    <w:p>
      <w:pPr>
        <w:pStyle w:val="BodyText"/>
        <w:spacing w:line="360" w:lineRule="auto"/>
        <w:ind w:left="102" w:right="117"/>
        <w:jc w:val="both"/>
      </w:pPr>
      <w:r>
        <w:rPr/>
        <w:t>En este sentido, la propuesta y conformación de un Comité intermunicipal en la cuenca hidrosocial de la presa Huapango, permitirá que todos los actores históricos participen, </w:t>
      </w:r>
      <w:r>
        <w:rPr>
          <w:spacing w:val="-3"/>
        </w:rPr>
        <w:t>ya </w:t>
      </w:r>
      <w:r>
        <w:rPr/>
        <w:t>que un comité comunitario es una estructura organizada local (colonia, barrio, ejido, etc.) que está constituida por los residentes de un lugar. En términos generales, la estructura de un Comité (de acuerdo con Hernández (2014): debe ser de la siguiente</w:t>
      </w:r>
      <w:r>
        <w:rPr>
          <w:spacing w:val="-22"/>
        </w:rPr>
        <w:t> </w:t>
      </w:r>
      <w:r>
        <w:rPr/>
        <w:t>forma:</w:t>
      </w:r>
    </w:p>
    <w:p>
      <w:pPr>
        <w:pStyle w:val="BodyText"/>
        <w:spacing w:before="5"/>
        <w:rPr>
          <w:sz w:val="17"/>
        </w:rPr>
      </w:pPr>
    </w:p>
    <w:p>
      <w:pPr>
        <w:pStyle w:val="Heading6"/>
        <w:jc w:val="both"/>
      </w:pPr>
      <w:r>
        <w:rPr/>
        <w:t>Presidente</w:t>
      </w:r>
    </w:p>
    <w:p>
      <w:pPr>
        <w:pStyle w:val="BodyText"/>
        <w:spacing w:before="5"/>
        <w:rPr>
          <w:b/>
          <w:sz w:val="28"/>
        </w:rPr>
      </w:pPr>
    </w:p>
    <w:p>
      <w:pPr>
        <w:pStyle w:val="ListParagraph"/>
        <w:numPr>
          <w:ilvl w:val="0"/>
          <w:numId w:val="372"/>
        </w:numPr>
        <w:tabs>
          <w:tab w:pos="810" w:val="left" w:leader="none"/>
        </w:tabs>
        <w:spacing w:line="362" w:lineRule="auto" w:before="1" w:after="0"/>
        <w:ind w:left="102" w:right="117" w:firstLine="0"/>
        <w:jc w:val="both"/>
        <w:rPr>
          <w:sz w:val="22"/>
        </w:rPr>
      </w:pPr>
      <w:r>
        <w:rPr>
          <w:sz w:val="22"/>
        </w:rPr>
        <w:t>Sus funciones son las de convocar y presidir reuniones cada vez que sea necesario.</w:t>
      </w:r>
    </w:p>
    <w:p>
      <w:pPr>
        <w:pStyle w:val="BodyText"/>
        <w:spacing w:before="4"/>
        <w:rPr>
          <w:sz w:val="17"/>
        </w:rPr>
      </w:pPr>
    </w:p>
    <w:p>
      <w:pPr>
        <w:pStyle w:val="ListParagraph"/>
        <w:numPr>
          <w:ilvl w:val="0"/>
          <w:numId w:val="372"/>
        </w:numPr>
        <w:tabs>
          <w:tab w:pos="810" w:val="left" w:leader="none"/>
        </w:tabs>
        <w:spacing w:line="240" w:lineRule="auto" w:before="0" w:after="0"/>
        <w:ind w:left="810" w:right="0" w:hanging="708"/>
        <w:jc w:val="both"/>
        <w:rPr>
          <w:sz w:val="22"/>
        </w:rPr>
      </w:pPr>
      <w:r>
        <w:rPr>
          <w:sz w:val="22"/>
        </w:rPr>
        <w:t>Vigilar que se cumplan los acuerdos celebrados por el comité en</w:t>
      </w:r>
      <w:r>
        <w:rPr>
          <w:spacing w:val="-21"/>
          <w:sz w:val="22"/>
        </w:rPr>
        <w:t> </w:t>
      </w:r>
      <w:r>
        <w:rPr>
          <w:sz w:val="22"/>
        </w:rPr>
        <w:t>pleno.</w:t>
      </w:r>
    </w:p>
    <w:p>
      <w:pPr>
        <w:pStyle w:val="BodyText"/>
        <w:spacing w:before="3"/>
        <w:rPr>
          <w:sz w:val="28"/>
        </w:rPr>
      </w:pPr>
    </w:p>
    <w:p>
      <w:pPr>
        <w:pStyle w:val="ListParagraph"/>
        <w:numPr>
          <w:ilvl w:val="0"/>
          <w:numId w:val="372"/>
        </w:numPr>
        <w:tabs>
          <w:tab w:pos="810" w:val="left" w:leader="none"/>
        </w:tabs>
        <w:spacing w:line="240" w:lineRule="auto" w:before="0" w:after="0"/>
        <w:ind w:left="810" w:right="0" w:hanging="708"/>
        <w:jc w:val="both"/>
        <w:rPr>
          <w:sz w:val="22"/>
        </w:rPr>
      </w:pPr>
      <w:r>
        <w:rPr>
          <w:sz w:val="22"/>
        </w:rPr>
        <w:t>Representar a la comunidad ante las autoridades</w:t>
      </w:r>
      <w:r>
        <w:rPr>
          <w:spacing w:val="-12"/>
          <w:sz w:val="22"/>
        </w:rPr>
        <w:t> </w:t>
      </w:r>
      <w:r>
        <w:rPr>
          <w:sz w:val="22"/>
        </w:rPr>
        <w:t>competentes.</w:t>
      </w:r>
    </w:p>
    <w:p>
      <w:pPr>
        <w:pStyle w:val="BodyText"/>
        <w:spacing w:before="5"/>
        <w:rPr>
          <w:sz w:val="28"/>
        </w:rPr>
      </w:pPr>
    </w:p>
    <w:p>
      <w:pPr>
        <w:pStyle w:val="ListParagraph"/>
        <w:numPr>
          <w:ilvl w:val="0"/>
          <w:numId w:val="372"/>
        </w:numPr>
        <w:tabs>
          <w:tab w:pos="810" w:val="left" w:leader="none"/>
        </w:tabs>
        <w:spacing w:line="360" w:lineRule="auto" w:before="1" w:after="0"/>
        <w:ind w:left="102" w:right="119" w:firstLine="0"/>
        <w:jc w:val="both"/>
        <w:rPr>
          <w:sz w:val="22"/>
        </w:rPr>
      </w:pPr>
      <w:r>
        <w:rPr>
          <w:sz w:val="22"/>
        </w:rPr>
        <w:t>Solicitar ante las autoridades municipales copia del expediente técnico respecto a la obra o acciones a</w:t>
      </w:r>
      <w:r>
        <w:rPr>
          <w:spacing w:val="-11"/>
          <w:sz w:val="22"/>
        </w:rPr>
        <w:t> </w:t>
      </w:r>
      <w:r>
        <w:rPr>
          <w:sz w:val="22"/>
        </w:rPr>
        <w:t>realizar.</w:t>
      </w:r>
    </w:p>
    <w:p>
      <w:pPr>
        <w:pStyle w:val="BodyText"/>
        <w:spacing w:before="5"/>
        <w:rPr>
          <w:sz w:val="17"/>
        </w:rPr>
      </w:pPr>
    </w:p>
    <w:p>
      <w:pPr>
        <w:pStyle w:val="Heading6"/>
        <w:jc w:val="both"/>
      </w:pPr>
      <w:r>
        <w:rPr/>
        <w:t>Secretario</w:t>
      </w:r>
    </w:p>
    <w:p>
      <w:pPr>
        <w:pStyle w:val="BodyText"/>
        <w:spacing w:before="8"/>
        <w:rPr>
          <w:b/>
          <w:sz w:val="28"/>
        </w:rPr>
      </w:pPr>
    </w:p>
    <w:p>
      <w:pPr>
        <w:pStyle w:val="ListParagraph"/>
        <w:numPr>
          <w:ilvl w:val="0"/>
          <w:numId w:val="372"/>
        </w:numPr>
        <w:tabs>
          <w:tab w:pos="810" w:val="left" w:leader="none"/>
        </w:tabs>
        <w:spacing w:line="360" w:lineRule="auto" w:before="0" w:after="0"/>
        <w:ind w:left="102" w:right="115" w:firstLine="0"/>
        <w:jc w:val="both"/>
        <w:rPr>
          <w:sz w:val="22"/>
        </w:rPr>
      </w:pPr>
      <w:r>
        <w:rPr>
          <w:sz w:val="22"/>
        </w:rPr>
        <w:t>Es el encargado de llevar el orden de la asamblea celebrada, dar lectura a la acta anterior y levantar el acta, minuta o reporte correspondiente a la junta</w:t>
      </w:r>
      <w:r>
        <w:rPr>
          <w:spacing w:val="-30"/>
          <w:sz w:val="22"/>
        </w:rPr>
        <w:t> </w:t>
      </w:r>
      <w:r>
        <w:rPr>
          <w:sz w:val="22"/>
        </w:rPr>
        <w:t>efectuada.</w:t>
      </w:r>
    </w:p>
    <w:p>
      <w:pPr>
        <w:pStyle w:val="BodyText"/>
        <w:spacing w:before="7"/>
        <w:rPr>
          <w:sz w:val="17"/>
        </w:rPr>
      </w:pPr>
    </w:p>
    <w:p>
      <w:pPr>
        <w:pStyle w:val="ListParagraph"/>
        <w:numPr>
          <w:ilvl w:val="0"/>
          <w:numId w:val="372"/>
        </w:numPr>
        <w:tabs>
          <w:tab w:pos="810" w:val="left" w:leader="none"/>
        </w:tabs>
        <w:spacing w:line="362" w:lineRule="auto" w:before="0" w:after="0"/>
        <w:ind w:left="102" w:right="118" w:firstLine="0"/>
        <w:jc w:val="both"/>
        <w:rPr>
          <w:sz w:val="22"/>
        </w:rPr>
      </w:pPr>
      <w:r>
        <w:rPr>
          <w:sz w:val="22"/>
        </w:rPr>
        <w:t>Elaborar un programa de trabajo en el que se anotan metas, calendario de actividades y</w:t>
      </w:r>
      <w:r>
        <w:rPr>
          <w:spacing w:val="-4"/>
          <w:sz w:val="22"/>
        </w:rPr>
        <w:t> </w:t>
      </w:r>
      <w:r>
        <w:rPr>
          <w:sz w:val="22"/>
        </w:rPr>
        <w:t>responsables.</w:t>
      </w:r>
    </w:p>
    <w:p>
      <w:pPr>
        <w:pStyle w:val="BodyText"/>
        <w:spacing w:before="4"/>
        <w:rPr>
          <w:sz w:val="17"/>
        </w:rPr>
      </w:pPr>
    </w:p>
    <w:p>
      <w:pPr>
        <w:pStyle w:val="ListParagraph"/>
        <w:numPr>
          <w:ilvl w:val="0"/>
          <w:numId w:val="372"/>
        </w:numPr>
        <w:tabs>
          <w:tab w:pos="810" w:val="left" w:leader="none"/>
        </w:tabs>
        <w:spacing w:line="360" w:lineRule="auto" w:before="0" w:after="0"/>
        <w:ind w:left="102" w:right="116" w:firstLine="0"/>
        <w:jc w:val="both"/>
        <w:rPr>
          <w:sz w:val="22"/>
        </w:rPr>
      </w:pPr>
      <w:r>
        <w:rPr>
          <w:sz w:val="22"/>
        </w:rPr>
        <w:t>Informar al presidente del comité así como a todos los integrantes de los asuntos pendientes por</w:t>
      </w:r>
      <w:r>
        <w:rPr>
          <w:spacing w:val="-7"/>
          <w:sz w:val="22"/>
        </w:rPr>
        <w:t> </w:t>
      </w:r>
      <w:r>
        <w:rPr>
          <w:sz w:val="22"/>
        </w:rPr>
        <w:t>resolver.</w:t>
      </w:r>
    </w:p>
    <w:p>
      <w:pPr>
        <w:pStyle w:val="BodyText"/>
        <w:spacing w:before="7"/>
        <w:rPr>
          <w:sz w:val="17"/>
        </w:rPr>
      </w:pPr>
    </w:p>
    <w:p>
      <w:pPr>
        <w:pStyle w:val="Heading6"/>
        <w:jc w:val="both"/>
      </w:pPr>
      <w:r>
        <w:rPr/>
        <w:t>Tesorero</w:t>
      </w:r>
    </w:p>
    <w:p>
      <w:pPr>
        <w:pStyle w:val="BodyText"/>
        <w:spacing w:before="5"/>
        <w:rPr>
          <w:b/>
          <w:sz w:val="28"/>
        </w:rPr>
      </w:pPr>
    </w:p>
    <w:p>
      <w:pPr>
        <w:pStyle w:val="ListParagraph"/>
        <w:numPr>
          <w:ilvl w:val="0"/>
          <w:numId w:val="372"/>
        </w:numPr>
        <w:tabs>
          <w:tab w:pos="810" w:val="left" w:leader="none"/>
        </w:tabs>
        <w:spacing w:line="360" w:lineRule="auto" w:before="1" w:after="0"/>
        <w:ind w:left="102" w:right="121" w:firstLine="0"/>
        <w:jc w:val="both"/>
        <w:rPr>
          <w:sz w:val="22"/>
        </w:rPr>
      </w:pPr>
      <w:r>
        <w:rPr>
          <w:sz w:val="22"/>
        </w:rPr>
        <w:t>Informa en cada reunión respecto a los recursos recibidos (en caso de que los halla).</w:t>
      </w:r>
    </w:p>
    <w:p>
      <w:pPr>
        <w:pStyle w:val="BodyText"/>
        <w:spacing w:before="9"/>
        <w:rPr>
          <w:sz w:val="17"/>
        </w:rPr>
      </w:pPr>
    </w:p>
    <w:p>
      <w:pPr>
        <w:pStyle w:val="ListParagraph"/>
        <w:numPr>
          <w:ilvl w:val="0"/>
          <w:numId w:val="372"/>
        </w:numPr>
        <w:tabs>
          <w:tab w:pos="810" w:val="left" w:leader="none"/>
        </w:tabs>
        <w:spacing w:line="360" w:lineRule="auto" w:before="0" w:after="0"/>
        <w:ind w:left="102" w:right="121" w:firstLine="0"/>
        <w:jc w:val="both"/>
        <w:rPr>
          <w:sz w:val="22"/>
        </w:rPr>
      </w:pPr>
      <w:r>
        <w:rPr>
          <w:sz w:val="22"/>
        </w:rPr>
        <w:t>Acordar con autoridades municipales la forma de recaudar las aportaciones de los beneficiarios (recibos, registro de entradas y salidas,</w:t>
      </w:r>
      <w:r>
        <w:rPr>
          <w:spacing w:val="-16"/>
          <w:sz w:val="22"/>
        </w:rPr>
        <w:t> </w:t>
      </w:r>
      <w:r>
        <w:rPr>
          <w:sz w:val="22"/>
        </w:rPr>
        <w:t>etc.).</w:t>
      </w:r>
    </w:p>
    <w:p>
      <w:pPr>
        <w:spacing w:after="0" w:line="360" w:lineRule="auto"/>
        <w:jc w:val="both"/>
        <w:rPr>
          <w:sz w:val="22"/>
        </w:rPr>
        <w:sectPr>
          <w:pgSz w:w="12240" w:h="15840"/>
          <w:pgMar w:header="0" w:footer="1003" w:top="1360" w:bottom="1200" w:left="1600" w:right="1580"/>
        </w:sectPr>
      </w:pPr>
    </w:p>
    <w:p>
      <w:pPr>
        <w:pStyle w:val="ListParagraph"/>
        <w:numPr>
          <w:ilvl w:val="0"/>
          <w:numId w:val="372"/>
        </w:numPr>
        <w:tabs>
          <w:tab w:pos="809" w:val="left" w:leader="none"/>
          <w:tab w:pos="810" w:val="left" w:leader="none"/>
        </w:tabs>
        <w:spacing w:line="362" w:lineRule="auto" w:before="53" w:after="0"/>
        <w:ind w:left="102" w:right="120" w:firstLine="0"/>
        <w:jc w:val="left"/>
        <w:rPr>
          <w:sz w:val="22"/>
        </w:rPr>
      </w:pPr>
      <w:r>
        <w:rPr>
          <w:sz w:val="22"/>
        </w:rPr>
        <w:t>Resguardar bajo su responsabilidad los recursos recibidos, así como conservar un archivo con la documentación que ampara los</w:t>
      </w:r>
      <w:r>
        <w:rPr>
          <w:spacing w:val="-13"/>
          <w:sz w:val="22"/>
        </w:rPr>
        <w:t> </w:t>
      </w:r>
      <w:r>
        <w:rPr>
          <w:sz w:val="22"/>
        </w:rPr>
        <w:t>mismos.</w:t>
      </w:r>
    </w:p>
    <w:p>
      <w:pPr>
        <w:pStyle w:val="Heading6"/>
        <w:spacing w:before="197"/>
      </w:pPr>
      <w:r>
        <w:rPr/>
        <w:t>Contralor Social</w:t>
      </w:r>
    </w:p>
    <w:p>
      <w:pPr>
        <w:pStyle w:val="BodyText"/>
        <w:spacing w:before="5"/>
        <w:rPr>
          <w:b/>
          <w:sz w:val="28"/>
        </w:rPr>
      </w:pPr>
    </w:p>
    <w:p>
      <w:pPr>
        <w:pStyle w:val="ListParagraph"/>
        <w:numPr>
          <w:ilvl w:val="0"/>
          <w:numId w:val="372"/>
        </w:numPr>
        <w:tabs>
          <w:tab w:pos="809" w:val="left" w:leader="none"/>
          <w:tab w:pos="810" w:val="left" w:leader="none"/>
        </w:tabs>
        <w:spacing w:line="362" w:lineRule="auto" w:before="1" w:after="0"/>
        <w:ind w:left="102" w:right="115" w:firstLine="0"/>
        <w:jc w:val="left"/>
        <w:rPr>
          <w:sz w:val="22"/>
        </w:rPr>
      </w:pPr>
      <w:r>
        <w:rPr>
          <w:sz w:val="22"/>
        </w:rPr>
        <w:t>Sus principales funciones son verificar el cumplimiento de normas y acuerdos establecidos.</w:t>
      </w:r>
    </w:p>
    <w:p>
      <w:pPr>
        <w:pStyle w:val="BodyText"/>
        <w:spacing w:before="4"/>
        <w:rPr>
          <w:sz w:val="17"/>
        </w:rPr>
      </w:pPr>
    </w:p>
    <w:p>
      <w:pPr>
        <w:pStyle w:val="ListParagraph"/>
        <w:numPr>
          <w:ilvl w:val="0"/>
          <w:numId w:val="372"/>
        </w:numPr>
        <w:tabs>
          <w:tab w:pos="809" w:val="left" w:leader="none"/>
          <w:tab w:pos="810" w:val="left" w:leader="none"/>
        </w:tabs>
        <w:spacing w:line="240" w:lineRule="auto" w:before="0" w:after="0"/>
        <w:ind w:left="810" w:right="0" w:hanging="708"/>
        <w:jc w:val="left"/>
        <w:rPr>
          <w:sz w:val="22"/>
        </w:rPr>
      </w:pPr>
      <w:r>
        <w:rPr>
          <w:sz w:val="22"/>
        </w:rPr>
        <w:t>Informar a la comunidad sobre el manejo de los</w:t>
      </w:r>
      <w:r>
        <w:rPr>
          <w:spacing w:val="-19"/>
          <w:sz w:val="22"/>
        </w:rPr>
        <w:t> </w:t>
      </w:r>
      <w:r>
        <w:rPr>
          <w:sz w:val="22"/>
        </w:rPr>
        <w:t>recursos.</w:t>
      </w:r>
    </w:p>
    <w:p>
      <w:pPr>
        <w:pStyle w:val="BodyText"/>
        <w:spacing w:before="3"/>
        <w:rPr>
          <w:sz w:val="28"/>
        </w:rPr>
      </w:pPr>
    </w:p>
    <w:p>
      <w:pPr>
        <w:pStyle w:val="ListParagraph"/>
        <w:numPr>
          <w:ilvl w:val="0"/>
          <w:numId w:val="372"/>
        </w:numPr>
        <w:tabs>
          <w:tab w:pos="809" w:val="left" w:leader="none"/>
          <w:tab w:pos="810" w:val="left" w:leader="none"/>
        </w:tabs>
        <w:spacing w:line="240" w:lineRule="auto" w:before="0" w:after="0"/>
        <w:ind w:left="810" w:right="0" w:hanging="708"/>
        <w:jc w:val="left"/>
        <w:rPr>
          <w:sz w:val="22"/>
        </w:rPr>
      </w:pPr>
      <w:r>
        <w:rPr>
          <w:sz w:val="22"/>
        </w:rPr>
        <w:t>Promover la utilización de elementos básicos de</w:t>
      </w:r>
      <w:r>
        <w:rPr>
          <w:spacing w:val="-14"/>
          <w:sz w:val="22"/>
        </w:rPr>
        <w:t> </w:t>
      </w:r>
      <w:r>
        <w:rPr>
          <w:sz w:val="22"/>
        </w:rPr>
        <w:t>control.</w:t>
      </w:r>
    </w:p>
    <w:p>
      <w:pPr>
        <w:pStyle w:val="BodyText"/>
        <w:spacing w:before="6"/>
        <w:rPr>
          <w:sz w:val="28"/>
        </w:rPr>
      </w:pPr>
    </w:p>
    <w:p>
      <w:pPr>
        <w:pStyle w:val="ListParagraph"/>
        <w:numPr>
          <w:ilvl w:val="0"/>
          <w:numId w:val="372"/>
        </w:numPr>
        <w:tabs>
          <w:tab w:pos="809" w:val="left" w:leader="none"/>
          <w:tab w:pos="810" w:val="left" w:leader="none"/>
        </w:tabs>
        <w:spacing w:line="360" w:lineRule="auto" w:before="0" w:after="0"/>
        <w:ind w:left="102" w:right="120" w:firstLine="0"/>
        <w:jc w:val="left"/>
        <w:rPr>
          <w:sz w:val="22"/>
        </w:rPr>
      </w:pPr>
      <w:r>
        <w:rPr>
          <w:sz w:val="22"/>
        </w:rPr>
        <w:t>Supervisar la ejecución de las obras y acciones y la cantidad y calidad de los materiales</w:t>
      </w:r>
      <w:r>
        <w:rPr>
          <w:spacing w:val="-9"/>
          <w:sz w:val="22"/>
        </w:rPr>
        <w:t> </w:t>
      </w:r>
      <w:r>
        <w:rPr>
          <w:sz w:val="22"/>
        </w:rPr>
        <w:t>utilizados.</w:t>
      </w:r>
    </w:p>
    <w:p>
      <w:pPr>
        <w:pStyle w:val="BodyText"/>
        <w:spacing w:before="7"/>
        <w:rPr>
          <w:sz w:val="17"/>
        </w:rPr>
      </w:pPr>
    </w:p>
    <w:p>
      <w:pPr>
        <w:pStyle w:val="ListParagraph"/>
        <w:numPr>
          <w:ilvl w:val="0"/>
          <w:numId w:val="372"/>
        </w:numPr>
        <w:tabs>
          <w:tab w:pos="809" w:val="left" w:leader="none"/>
          <w:tab w:pos="810" w:val="left" w:leader="none"/>
        </w:tabs>
        <w:spacing w:line="240" w:lineRule="auto" w:before="0" w:after="0"/>
        <w:ind w:left="810" w:right="0" w:hanging="708"/>
        <w:jc w:val="left"/>
        <w:rPr>
          <w:sz w:val="22"/>
        </w:rPr>
      </w:pPr>
      <w:r>
        <w:rPr>
          <w:sz w:val="22"/>
        </w:rPr>
        <w:t>Coordinar y promover que la comunidad realice acciones de control y</w:t>
      </w:r>
      <w:r>
        <w:rPr>
          <w:spacing w:val="-25"/>
          <w:sz w:val="22"/>
        </w:rPr>
        <w:t> </w:t>
      </w:r>
      <w:r>
        <w:rPr>
          <w:sz w:val="22"/>
        </w:rPr>
        <w:t>vigilancia.</w:t>
      </w:r>
    </w:p>
    <w:p>
      <w:pPr>
        <w:pStyle w:val="BodyText"/>
        <w:spacing w:before="5"/>
        <w:rPr>
          <w:sz w:val="28"/>
        </w:rPr>
      </w:pPr>
    </w:p>
    <w:p>
      <w:pPr>
        <w:pStyle w:val="ListParagraph"/>
        <w:numPr>
          <w:ilvl w:val="0"/>
          <w:numId w:val="372"/>
        </w:numPr>
        <w:tabs>
          <w:tab w:pos="809" w:val="left" w:leader="none"/>
          <w:tab w:pos="810" w:val="left" w:leader="none"/>
        </w:tabs>
        <w:spacing w:line="360" w:lineRule="auto" w:before="1" w:after="0"/>
        <w:ind w:left="102" w:right="115" w:firstLine="0"/>
        <w:jc w:val="left"/>
        <w:rPr>
          <w:sz w:val="22"/>
        </w:rPr>
      </w:pPr>
      <w:r>
        <w:rPr>
          <w:sz w:val="22"/>
        </w:rPr>
        <w:t>Atender las consultas, quejas y denuncias de la población, o en su caso turnarlas a la dependencia correspondiente para su</w:t>
      </w:r>
      <w:r>
        <w:rPr>
          <w:spacing w:val="-13"/>
          <w:sz w:val="22"/>
        </w:rPr>
        <w:t> </w:t>
      </w:r>
      <w:r>
        <w:rPr>
          <w:sz w:val="22"/>
        </w:rPr>
        <w:t>resolución.</w:t>
      </w:r>
    </w:p>
    <w:p>
      <w:pPr>
        <w:pStyle w:val="BodyText"/>
        <w:spacing w:before="4"/>
        <w:rPr>
          <w:sz w:val="17"/>
        </w:rPr>
      </w:pPr>
    </w:p>
    <w:p>
      <w:pPr>
        <w:pStyle w:val="Heading6"/>
      </w:pPr>
      <w:r>
        <w:rPr/>
        <w:t>Vocales Auxiliares (Comité de Vigilancia)</w:t>
      </w:r>
    </w:p>
    <w:p>
      <w:pPr>
        <w:pStyle w:val="BodyText"/>
        <w:spacing w:before="8"/>
        <w:rPr>
          <w:b/>
          <w:sz w:val="28"/>
        </w:rPr>
      </w:pPr>
    </w:p>
    <w:p>
      <w:pPr>
        <w:pStyle w:val="ListParagraph"/>
        <w:numPr>
          <w:ilvl w:val="0"/>
          <w:numId w:val="372"/>
        </w:numPr>
        <w:tabs>
          <w:tab w:pos="809" w:val="left" w:leader="none"/>
          <w:tab w:pos="810" w:val="left" w:leader="none"/>
        </w:tabs>
        <w:spacing w:line="240" w:lineRule="auto" w:before="0" w:after="0"/>
        <w:ind w:left="810" w:right="0" w:hanging="708"/>
        <w:jc w:val="left"/>
        <w:rPr>
          <w:sz w:val="22"/>
        </w:rPr>
      </w:pPr>
      <w:r>
        <w:rPr>
          <w:sz w:val="22"/>
        </w:rPr>
        <w:t>Supervisar la ejecución de las obras y</w:t>
      </w:r>
      <w:r>
        <w:rPr>
          <w:spacing w:val="-13"/>
          <w:sz w:val="22"/>
        </w:rPr>
        <w:t> </w:t>
      </w:r>
      <w:r>
        <w:rPr>
          <w:sz w:val="22"/>
        </w:rPr>
        <w:t>acciones.</w:t>
      </w:r>
    </w:p>
    <w:p>
      <w:pPr>
        <w:pStyle w:val="BodyText"/>
        <w:spacing w:before="3"/>
        <w:rPr>
          <w:sz w:val="28"/>
        </w:rPr>
      </w:pPr>
    </w:p>
    <w:p>
      <w:pPr>
        <w:pStyle w:val="ListParagraph"/>
        <w:numPr>
          <w:ilvl w:val="0"/>
          <w:numId w:val="372"/>
        </w:numPr>
        <w:tabs>
          <w:tab w:pos="809" w:val="left" w:leader="none"/>
          <w:tab w:pos="810" w:val="left" w:leader="none"/>
        </w:tabs>
        <w:spacing w:line="240" w:lineRule="auto" w:before="1" w:after="0"/>
        <w:ind w:left="810" w:right="0" w:hanging="708"/>
        <w:jc w:val="left"/>
        <w:rPr>
          <w:sz w:val="22"/>
        </w:rPr>
      </w:pPr>
      <w:r>
        <w:rPr>
          <w:sz w:val="22"/>
        </w:rPr>
        <w:t>Observar que las mismas sean realizadas de acuerdo a lo</w:t>
      </w:r>
      <w:r>
        <w:rPr>
          <w:spacing w:val="-24"/>
          <w:sz w:val="22"/>
        </w:rPr>
        <w:t> </w:t>
      </w:r>
      <w:r>
        <w:rPr>
          <w:sz w:val="22"/>
        </w:rPr>
        <w:t>convenido.</w:t>
      </w:r>
    </w:p>
    <w:p>
      <w:pPr>
        <w:pStyle w:val="BodyText"/>
        <w:spacing w:before="5"/>
        <w:rPr>
          <w:sz w:val="28"/>
        </w:rPr>
      </w:pPr>
    </w:p>
    <w:p>
      <w:pPr>
        <w:pStyle w:val="ListParagraph"/>
        <w:numPr>
          <w:ilvl w:val="0"/>
          <w:numId w:val="372"/>
        </w:numPr>
        <w:tabs>
          <w:tab w:pos="809" w:val="left" w:leader="none"/>
          <w:tab w:pos="810" w:val="left" w:leader="none"/>
        </w:tabs>
        <w:spacing w:line="240" w:lineRule="auto" w:before="1" w:after="0"/>
        <w:ind w:left="810" w:right="0" w:hanging="708"/>
        <w:jc w:val="left"/>
        <w:rPr>
          <w:sz w:val="22"/>
        </w:rPr>
      </w:pPr>
      <w:r>
        <w:rPr>
          <w:sz w:val="22"/>
        </w:rPr>
        <w:t>Denunciar ante el comité o autoridades posibles</w:t>
      </w:r>
      <w:r>
        <w:rPr>
          <w:spacing w:val="-16"/>
          <w:sz w:val="22"/>
        </w:rPr>
        <w:t> </w:t>
      </w:r>
      <w:r>
        <w:rPr>
          <w:sz w:val="22"/>
        </w:rPr>
        <w:t>irregularidades.</w:t>
      </w:r>
    </w:p>
    <w:p>
      <w:pPr>
        <w:pStyle w:val="BodyText"/>
        <w:spacing w:before="3"/>
        <w:rPr>
          <w:sz w:val="28"/>
        </w:rPr>
      </w:pPr>
    </w:p>
    <w:p>
      <w:pPr>
        <w:pStyle w:val="ListParagraph"/>
        <w:numPr>
          <w:ilvl w:val="0"/>
          <w:numId w:val="372"/>
        </w:numPr>
        <w:tabs>
          <w:tab w:pos="809" w:val="left" w:leader="none"/>
          <w:tab w:pos="810" w:val="left" w:leader="none"/>
        </w:tabs>
        <w:spacing w:line="240" w:lineRule="auto" w:before="0" w:after="0"/>
        <w:ind w:left="810" w:right="0" w:hanging="708"/>
        <w:jc w:val="left"/>
        <w:rPr>
          <w:sz w:val="22"/>
        </w:rPr>
      </w:pPr>
      <w:r>
        <w:rPr>
          <w:sz w:val="22"/>
        </w:rPr>
        <w:t>Apoyar al resto del comité en labores propias del</w:t>
      </w:r>
      <w:r>
        <w:rPr>
          <w:spacing w:val="-16"/>
          <w:sz w:val="22"/>
        </w:rPr>
        <w:t> </w:t>
      </w:r>
      <w:r>
        <w:rPr>
          <w:sz w:val="22"/>
        </w:rPr>
        <w:t>mismo.</w:t>
      </w:r>
    </w:p>
    <w:p>
      <w:pPr>
        <w:pStyle w:val="BodyText"/>
        <w:spacing w:before="5"/>
        <w:rPr>
          <w:sz w:val="28"/>
        </w:rPr>
      </w:pPr>
    </w:p>
    <w:p>
      <w:pPr>
        <w:pStyle w:val="BodyText"/>
        <w:spacing w:line="360" w:lineRule="auto" w:before="1"/>
        <w:ind w:left="102"/>
      </w:pPr>
      <w:r>
        <w:rPr/>
        <w:t>Además, un comité debe tener su reglamento para su sana convivencia. Un reglamento (ceajalisco.gob.mx) es :</w:t>
      </w:r>
    </w:p>
    <w:p>
      <w:pPr>
        <w:pStyle w:val="BodyText"/>
        <w:spacing w:before="7"/>
        <w:rPr>
          <w:sz w:val="17"/>
        </w:rPr>
      </w:pPr>
    </w:p>
    <w:p>
      <w:pPr>
        <w:pStyle w:val="BodyText"/>
        <w:spacing w:line="360" w:lineRule="auto"/>
        <w:ind w:left="102"/>
      </w:pPr>
      <w:r>
        <w:rPr/>
        <w:t>1. Un documento que sirve para organizar y regular el funcionamiento de cualquier grupo. 2.- Con un conjunto de órdenes, reglas, normas e instrucciones para la obtención de objetivos específicos.</w:t>
      </w:r>
    </w:p>
    <w:p>
      <w:pPr>
        <w:pStyle w:val="BodyText"/>
        <w:spacing w:line="360" w:lineRule="auto" w:before="5"/>
        <w:ind w:left="102"/>
      </w:pPr>
      <w:r>
        <w:rPr/>
        <w:t>3.- Que proporciona reglas de carácter obligatorio y que ha sido adoptado por una autoridad.</w:t>
      </w:r>
    </w:p>
    <w:p>
      <w:pPr>
        <w:pStyle w:val="BodyText"/>
        <w:spacing w:line="360" w:lineRule="auto" w:before="3"/>
        <w:ind w:left="102" w:right="117"/>
        <w:jc w:val="both"/>
      </w:pPr>
      <w:r>
        <w:rPr/>
        <w:t>4.- Es una colección ordenada de reglas o preceptos que, por autoridad competente, se dan para la ejecución de una ley o para el régimen de una corporación, una escuela, una dependencia o un servicio.</w:t>
      </w:r>
    </w:p>
    <w:p>
      <w:pPr>
        <w:spacing w:after="0" w:line="360" w:lineRule="auto"/>
        <w:jc w:val="both"/>
        <w:sectPr>
          <w:pgSz w:w="12240" w:h="15840"/>
          <w:pgMar w:header="0" w:footer="1003" w:top="1360" w:bottom="1200" w:left="1600" w:right="1580"/>
        </w:sectPr>
      </w:pPr>
    </w:p>
    <w:p>
      <w:pPr>
        <w:spacing w:line="360" w:lineRule="auto" w:before="53"/>
        <w:ind w:left="102" w:right="119" w:firstLine="0"/>
        <w:jc w:val="both"/>
        <w:rPr>
          <w:sz w:val="22"/>
        </w:rPr>
      </w:pPr>
      <w:r>
        <w:rPr>
          <w:sz w:val="22"/>
        </w:rPr>
        <w:t>5.- </w:t>
      </w:r>
      <w:r>
        <w:rPr>
          <w:i/>
          <w:sz w:val="22"/>
        </w:rPr>
        <w:t>El reglamento y sus reglas nacerán de la discusión en común entre quienes tengan la </w:t>
      </w:r>
      <w:r>
        <w:rPr>
          <w:i/>
          <w:sz w:val="22"/>
        </w:rPr>
        <w:t>potestad de discutir el contenido del reglamento y serán el resultado de un acuerdo, que una vez que esté vigente, sí o sí, deberá ser respetado</w:t>
      </w:r>
      <w:r>
        <w:rPr>
          <w:sz w:val="22"/>
        </w:rPr>
        <w:t>.</w:t>
      </w:r>
    </w:p>
    <w:p>
      <w:pPr>
        <w:pStyle w:val="BodyText"/>
        <w:spacing w:line="360" w:lineRule="auto" w:before="3"/>
        <w:ind w:left="102" w:right="120"/>
        <w:jc w:val="both"/>
      </w:pPr>
      <w:r>
        <w:rPr/>
        <w:t>6.- Aquella persona que no respete un reglamento deberá atenerse a las consecuencias que generalmente tiene su inobservancia y que habitualmente implica la imposición de una pena o de un</w:t>
      </w:r>
      <w:r>
        <w:rPr>
          <w:spacing w:val="-4"/>
        </w:rPr>
        <w:t> </w:t>
      </w:r>
      <w:r>
        <w:rPr/>
        <w:t>castigo.</w:t>
      </w:r>
    </w:p>
    <w:p>
      <w:pPr>
        <w:pStyle w:val="BodyText"/>
        <w:spacing w:line="360" w:lineRule="auto" w:before="3"/>
        <w:ind w:left="102" w:right="117"/>
        <w:jc w:val="both"/>
      </w:pPr>
      <w:r>
        <w:rPr/>
        <w:t>7.- Al reglamento se lo considera a nivel nación como una norma jurídica, subordinada a  la ley, de alcance general, y que es dictado a través de la administración pública para regular su actividad y cualquier otra cuestión inherente a la misma (</w:t>
      </w:r>
      <w:hyperlink r:id="rId706">
        <w:r>
          <w:rPr>
            <w:color w:val="0000FF"/>
            <w:u w:val="single" w:color="0000FF"/>
          </w:rPr>
          <w:t>http://www.importancia.org/reglamento.php#ixzz3HjxiLCEg</w:t>
        </w:r>
      </w:hyperlink>
      <w:r>
        <w:rPr/>
        <w:t>).</w:t>
      </w:r>
    </w:p>
    <w:p>
      <w:pPr>
        <w:pStyle w:val="BodyText"/>
        <w:spacing w:before="11"/>
        <w:rPr>
          <w:sz w:val="26"/>
        </w:rPr>
      </w:pPr>
    </w:p>
    <w:p>
      <w:pPr>
        <w:pStyle w:val="Heading6"/>
        <w:spacing w:before="72"/>
        <w:jc w:val="both"/>
      </w:pPr>
      <w:r>
        <w:rPr/>
        <w:t>Las características principales que debe de tener un reglamento son:</w:t>
      </w:r>
    </w:p>
    <w:p>
      <w:pPr>
        <w:pStyle w:val="ListParagraph"/>
        <w:numPr>
          <w:ilvl w:val="0"/>
          <w:numId w:val="373"/>
        </w:numPr>
        <w:tabs>
          <w:tab w:pos="237" w:val="left" w:leader="none"/>
        </w:tabs>
        <w:spacing w:line="240" w:lineRule="auto" w:before="128" w:after="0"/>
        <w:ind w:left="236" w:right="0" w:hanging="134"/>
        <w:jc w:val="both"/>
        <w:rPr>
          <w:sz w:val="22"/>
        </w:rPr>
      </w:pPr>
      <w:r>
        <w:rPr>
          <w:sz w:val="22"/>
        </w:rPr>
        <w:t>Generalidad (aplica a</w:t>
      </w:r>
      <w:r>
        <w:rPr>
          <w:spacing w:val="-8"/>
          <w:sz w:val="22"/>
        </w:rPr>
        <w:t> </w:t>
      </w:r>
      <w:r>
        <w:rPr>
          <w:sz w:val="22"/>
        </w:rPr>
        <w:t>todos)</w:t>
      </w:r>
    </w:p>
    <w:p>
      <w:pPr>
        <w:pStyle w:val="ListParagraph"/>
        <w:numPr>
          <w:ilvl w:val="0"/>
          <w:numId w:val="373"/>
        </w:numPr>
        <w:tabs>
          <w:tab w:pos="239" w:val="left" w:leader="none"/>
        </w:tabs>
        <w:spacing w:line="240" w:lineRule="auto" w:before="126" w:after="0"/>
        <w:ind w:left="238" w:right="0" w:hanging="136"/>
        <w:jc w:val="both"/>
        <w:rPr>
          <w:sz w:val="22"/>
        </w:rPr>
      </w:pPr>
      <w:r>
        <w:rPr>
          <w:sz w:val="22"/>
        </w:rPr>
        <w:t>Acotamiento (es mesurable, tiene sus límites</w:t>
      </w:r>
      <w:r>
        <w:rPr>
          <w:spacing w:val="-18"/>
          <w:sz w:val="22"/>
        </w:rPr>
        <w:t> </w:t>
      </w:r>
      <w:r>
        <w:rPr>
          <w:sz w:val="22"/>
        </w:rPr>
        <w:t>específicos)</w:t>
      </w:r>
    </w:p>
    <w:p>
      <w:pPr>
        <w:pStyle w:val="ListParagraph"/>
        <w:numPr>
          <w:ilvl w:val="0"/>
          <w:numId w:val="373"/>
        </w:numPr>
        <w:tabs>
          <w:tab w:pos="239" w:val="left" w:leader="none"/>
        </w:tabs>
        <w:spacing w:line="240" w:lineRule="auto" w:before="126" w:after="0"/>
        <w:ind w:left="238" w:right="0" w:hanging="136"/>
        <w:jc w:val="both"/>
        <w:rPr>
          <w:sz w:val="22"/>
        </w:rPr>
      </w:pPr>
      <w:r>
        <w:rPr>
          <w:sz w:val="22"/>
        </w:rPr>
        <w:t>Especificialidad (es objetiva en sus conceptos, persigue un fin</w:t>
      </w:r>
      <w:r>
        <w:rPr>
          <w:spacing w:val="-21"/>
          <w:sz w:val="22"/>
        </w:rPr>
        <w:t> </w:t>
      </w:r>
      <w:r>
        <w:rPr>
          <w:sz w:val="22"/>
        </w:rPr>
        <w:t>común)</w:t>
      </w:r>
    </w:p>
    <w:p>
      <w:pPr>
        <w:pStyle w:val="ListParagraph"/>
        <w:numPr>
          <w:ilvl w:val="0"/>
          <w:numId w:val="373"/>
        </w:numPr>
        <w:tabs>
          <w:tab w:pos="239" w:val="left" w:leader="none"/>
        </w:tabs>
        <w:spacing w:line="240" w:lineRule="auto" w:before="126" w:after="0"/>
        <w:ind w:left="238" w:right="0" w:hanging="136"/>
        <w:jc w:val="both"/>
        <w:rPr>
          <w:sz w:val="22"/>
        </w:rPr>
      </w:pPr>
      <w:r>
        <w:rPr>
          <w:sz w:val="22"/>
        </w:rPr>
        <w:t>Claridad (no dejará margen de</w:t>
      </w:r>
      <w:r>
        <w:rPr>
          <w:spacing w:val="-11"/>
          <w:sz w:val="22"/>
        </w:rPr>
        <w:t> </w:t>
      </w:r>
      <w:r>
        <w:rPr>
          <w:sz w:val="22"/>
        </w:rPr>
        <w:t>duda)</w:t>
      </w:r>
    </w:p>
    <w:p>
      <w:pPr>
        <w:pStyle w:val="ListParagraph"/>
        <w:numPr>
          <w:ilvl w:val="0"/>
          <w:numId w:val="373"/>
        </w:numPr>
        <w:tabs>
          <w:tab w:pos="237" w:val="left" w:leader="none"/>
        </w:tabs>
        <w:spacing w:line="240" w:lineRule="auto" w:before="126" w:after="0"/>
        <w:ind w:left="236" w:right="0" w:hanging="134"/>
        <w:jc w:val="both"/>
        <w:rPr>
          <w:sz w:val="22"/>
        </w:rPr>
      </w:pPr>
      <w:r>
        <w:rPr>
          <w:sz w:val="22"/>
        </w:rPr>
        <w:t>Imparcialidad (no dará preferencia a parte alguna sobre</w:t>
      </w:r>
      <w:r>
        <w:rPr>
          <w:spacing w:val="-17"/>
          <w:sz w:val="22"/>
        </w:rPr>
        <w:t> </w:t>
      </w:r>
      <w:r>
        <w:rPr>
          <w:sz w:val="22"/>
        </w:rPr>
        <w:t>otra)</w:t>
      </w:r>
    </w:p>
    <w:p>
      <w:pPr>
        <w:pStyle w:val="Heading6"/>
        <w:spacing w:before="124"/>
        <w:jc w:val="both"/>
      </w:pPr>
      <w:r>
        <w:rPr/>
        <w:t>Aunque no existe una estructura única de reglamento, la más básica es:</w:t>
      </w:r>
    </w:p>
    <w:p>
      <w:pPr>
        <w:pStyle w:val="BodyText"/>
        <w:rPr>
          <w:b/>
          <w:sz w:val="21"/>
        </w:rPr>
      </w:pPr>
    </w:p>
    <w:p>
      <w:pPr>
        <w:pStyle w:val="BodyText"/>
        <w:spacing w:line="276" w:lineRule="auto"/>
        <w:ind w:left="102" w:right="6369"/>
      </w:pPr>
      <w:r>
        <w:rPr/>
        <w:t>I Disposiciones generales. II Procedimientos</w:t>
      </w:r>
    </w:p>
    <w:p>
      <w:pPr>
        <w:pStyle w:val="ListParagraph"/>
        <w:numPr>
          <w:ilvl w:val="0"/>
          <w:numId w:val="374"/>
        </w:numPr>
        <w:tabs>
          <w:tab w:pos="349" w:val="left" w:leader="none"/>
        </w:tabs>
        <w:spacing w:line="240" w:lineRule="auto" w:before="0" w:after="0"/>
        <w:ind w:left="102" w:right="0" w:firstLine="0"/>
        <w:jc w:val="both"/>
        <w:rPr>
          <w:sz w:val="22"/>
        </w:rPr>
      </w:pPr>
      <w:r>
        <w:rPr>
          <w:sz w:val="22"/>
        </w:rPr>
        <w:t>De la</w:t>
      </w:r>
      <w:r>
        <w:rPr>
          <w:spacing w:val="-4"/>
          <w:sz w:val="22"/>
        </w:rPr>
        <w:t> </w:t>
      </w:r>
      <w:r>
        <w:rPr>
          <w:sz w:val="22"/>
        </w:rPr>
        <w:t>estructura</w:t>
      </w:r>
    </w:p>
    <w:p>
      <w:pPr>
        <w:pStyle w:val="ListParagraph"/>
        <w:numPr>
          <w:ilvl w:val="0"/>
          <w:numId w:val="374"/>
        </w:numPr>
        <w:tabs>
          <w:tab w:pos="373" w:val="left" w:leader="none"/>
        </w:tabs>
        <w:spacing w:line="276" w:lineRule="auto" w:before="40" w:after="0"/>
        <w:ind w:left="102" w:right="6153" w:firstLine="0"/>
        <w:jc w:val="left"/>
        <w:rPr>
          <w:sz w:val="22"/>
        </w:rPr>
      </w:pPr>
      <w:r>
        <w:rPr>
          <w:sz w:val="22"/>
        </w:rPr>
        <w:t>Funciones y obligaciones. V Penas</w:t>
      </w:r>
    </w:p>
    <w:p>
      <w:pPr>
        <w:pStyle w:val="BodyText"/>
        <w:spacing w:line="276" w:lineRule="auto"/>
        <w:ind w:left="102" w:right="7458"/>
      </w:pPr>
      <w:r>
        <w:rPr/>
        <w:t>VI Recursos. VII Transitorios</w:t>
      </w:r>
    </w:p>
    <w:p>
      <w:pPr>
        <w:pStyle w:val="BodyText"/>
        <w:spacing w:before="6"/>
        <w:rPr>
          <w:sz w:val="17"/>
        </w:rPr>
      </w:pPr>
    </w:p>
    <w:p>
      <w:pPr>
        <w:spacing w:line="360" w:lineRule="auto" w:before="0"/>
        <w:ind w:left="102" w:right="116" w:firstLine="0"/>
        <w:jc w:val="both"/>
        <w:rPr>
          <w:sz w:val="22"/>
        </w:rPr>
      </w:pPr>
      <w:r>
        <w:rPr>
          <w:sz w:val="22"/>
        </w:rPr>
        <w:t>Finalmente, cabe aclarar que </w:t>
      </w:r>
      <w:r>
        <w:rPr>
          <w:i/>
          <w:sz w:val="22"/>
        </w:rPr>
        <w:t>un reglamento es un acuerdo de voluntades individuales </w:t>
      </w:r>
      <w:r>
        <w:rPr>
          <w:i/>
          <w:sz w:val="22"/>
        </w:rPr>
        <w:t>para atender problemas sociales que se comparten en una región o institución, por lo que de acuerdo con Oreggia y Tuirán (2006), el primer paso para el establecimiento de un acuerdo de cooperación entre municipios es la voluntad, ya que deben enfrentarse a diferentes posiciones políticas al compartir límites con otros gobiernos locales, es por ello que la gestión intermunicipal por medio de la gobernanza y la gobernabilidad es el medio idóneo para lograr la cooperación y las redes entre actores históricos de una región</w:t>
      </w:r>
      <w:r>
        <w:rPr>
          <w:sz w:val="22"/>
        </w:rPr>
        <w:t>.</w:t>
      </w:r>
    </w:p>
    <w:p>
      <w:pPr>
        <w:spacing w:after="0" w:line="360" w:lineRule="auto"/>
        <w:jc w:val="both"/>
        <w:rPr>
          <w:sz w:val="22"/>
        </w:rPr>
        <w:sectPr>
          <w:pgSz w:w="12240" w:h="15840"/>
          <w:pgMar w:header="0" w:footer="1003" w:top="1360" w:bottom="1200" w:left="1600" w:right="1580"/>
        </w:sectPr>
      </w:pPr>
    </w:p>
    <w:p>
      <w:pPr>
        <w:pStyle w:val="Heading6"/>
        <w:numPr>
          <w:ilvl w:val="1"/>
          <w:numId w:val="368"/>
        </w:numPr>
        <w:tabs>
          <w:tab w:pos="654" w:val="left" w:leader="none"/>
        </w:tabs>
        <w:spacing w:line="360" w:lineRule="auto" w:before="51" w:after="0"/>
        <w:ind w:left="102" w:right="475" w:firstLine="0"/>
        <w:jc w:val="left"/>
      </w:pPr>
      <w:r>
        <w:rPr/>
        <w:t>PROPUESTA DE CONFORMACIÓN DE UN COMITÉ INTERMUNICIPAL</w:t>
      </w:r>
      <w:r>
        <w:rPr>
          <w:spacing w:val="-30"/>
        </w:rPr>
        <w:t> </w:t>
      </w:r>
      <w:r>
        <w:rPr/>
        <w:t>PARA CUIDAR, DEFENDER Y ADMINISTRAR LOS RECURSOS NATURALES DE LA CUENCA HIDROSOCIAL PRESA</w:t>
      </w:r>
      <w:r>
        <w:rPr>
          <w:spacing w:val="-22"/>
        </w:rPr>
        <w:t> </w:t>
      </w:r>
      <w:r>
        <w:rPr/>
        <w:t>HUAPANGO</w:t>
      </w:r>
    </w:p>
    <w:p>
      <w:pPr>
        <w:pStyle w:val="BodyText"/>
        <w:spacing w:before="9"/>
        <w:rPr>
          <w:b/>
          <w:sz w:val="17"/>
        </w:rPr>
      </w:pPr>
    </w:p>
    <w:p>
      <w:pPr>
        <w:pStyle w:val="BodyText"/>
        <w:spacing w:line="360" w:lineRule="auto"/>
        <w:ind w:left="102" w:right="114"/>
        <w:jc w:val="both"/>
      </w:pPr>
      <w:r>
        <w:rPr/>
        <w:t>El Comité Intermunicipal para cuidar, defender y administrar los recursos naturales de la Cuenca Hidrosocial Presa Huapango, es una propuesta intermunicipal para </w:t>
      </w:r>
      <w:r>
        <w:rPr>
          <w:i/>
        </w:rPr>
        <w:t>la gestión </w:t>
      </w:r>
      <w:r>
        <w:rPr>
          <w:i/>
        </w:rPr>
        <w:t>integrada, gobernanza y gobernabilidad de la Cuenca Hidrosocial Presa Huapango, </w:t>
      </w:r>
      <w:r>
        <w:rPr/>
        <w:t>dicha proposición se obtuvo en concordancia con las respuestas y entrevistas que se hicieron a los actores históricos de la CHPH y a los actores del gobierno municipal, en trabajo de campo, y está basado en las estructuras de usos y costumbres de los actores de la Cuenca, así como en la estructura sociopolítica de las autoridades auxiliares de la región.</w:t>
      </w:r>
    </w:p>
    <w:p>
      <w:pPr>
        <w:pStyle w:val="BodyText"/>
        <w:spacing w:before="7"/>
        <w:rPr>
          <w:sz w:val="17"/>
        </w:rPr>
      </w:pPr>
    </w:p>
    <w:p>
      <w:pPr>
        <w:pStyle w:val="BodyText"/>
        <w:spacing w:line="360" w:lineRule="auto"/>
        <w:ind w:left="102" w:right="115"/>
        <w:jc w:val="both"/>
      </w:pPr>
      <w:r>
        <w:rPr/>
        <w:t>El reglamento es el resultado del análisis metodológico de la triangulación de las consideraciones teóricas, el trabajo de campo y el sistema de indicadores PEIR. Dicho análisis consistió en sintetizar la información mediante los </w:t>
      </w:r>
      <w:r>
        <w:rPr>
          <w:i/>
        </w:rPr>
        <w:t>principios de gobernanza</w:t>
      </w:r>
      <w:r>
        <w:rPr/>
        <w:t>, las AEPA y los Factores Críticos que resultaron del cruce de indicadores en la matriz PEIR; por tal motivo, el reglamento se ordenó de acuerdo a dichas características, ya que no existe una estructura única para hacerlo.</w:t>
      </w:r>
    </w:p>
    <w:p>
      <w:pPr>
        <w:pStyle w:val="BodyText"/>
        <w:spacing w:before="7"/>
        <w:rPr>
          <w:sz w:val="17"/>
        </w:rPr>
      </w:pPr>
    </w:p>
    <w:p>
      <w:pPr>
        <w:pStyle w:val="BodyText"/>
        <w:spacing w:line="360" w:lineRule="auto"/>
        <w:ind w:left="102" w:right="112"/>
        <w:jc w:val="both"/>
      </w:pPr>
      <w:r>
        <w:rPr/>
        <w:t>Dicho Comité Intermunicipal será un organismo público, cuyo propósito es lograr el manejo integrado de dicha cuenca por medio de la GIRH, a través de la gobernanza y gobernabilidad, para establecer condiciones sociopolíticas que mejoren y sostengan </w:t>
      </w:r>
      <w:r>
        <w:rPr>
          <w:spacing w:val="2"/>
        </w:rPr>
        <w:t>la </w:t>
      </w:r>
      <w:r>
        <w:rPr/>
        <w:t>calidad de vida de sus habitantes, así como la recuperación y sostenibilidad de la CHPH. El Comité intermunicipal no trasgrede a la ley formal, ya que está basado en el derecho consuetudinario de los ejidatarios que se reconoce en el artículo 10 de la Ley Agraria, donde se señala que los miembros del comisariado ejidal que se encuentren en  funciones, estarán atendiendo a las características, usos y costumbres de cada</w:t>
      </w:r>
      <w:r>
        <w:rPr>
          <w:spacing w:val="-22"/>
        </w:rPr>
        <w:t> </w:t>
      </w:r>
      <w:r>
        <w:rPr/>
        <w:t>región.</w:t>
      </w:r>
    </w:p>
    <w:p>
      <w:pPr>
        <w:pStyle w:val="BodyText"/>
        <w:spacing w:before="7"/>
        <w:rPr>
          <w:sz w:val="17"/>
        </w:rPr>
      </w:pPr>
    </w:p>
    <w:p>
      <w:pPr>
        <w:pStyle w:val="BodyText"/>
        <w:spacing w:line="360" w:lineRule="auto"/>
        <w:ind w:left="102" w:right="112"/>
        <w:jc w:val="both"/>
      </w:pPr>
      <w:r>
        <w:rPr/>
        <w:t>El Comité estará integrado </w:t>
      </w:r>
      <w:r>
        <w:rPr>
          <w:i/>
        </w:rPr>
        <w:t>sólo por actores históricos </w:t>
      </w:r>
      <w:r>
        <w:rPr/>
        <w:t>(pescadores,  ganaderos, industriales y comerciantes, turismo, autoridades auxiliares de los municipios que integran la CHPH), dado que en el transcurso de la investigación, se concluyó que son los actores que tienen mayor identidad, capacidad y responsabilidad, para manejar, cuidar y administrar los recursos naturales de la CHPH y evitar conflictos al respetar los usos y costumbres (derecho consuetudinario) que han adquirido a través de la historia y tratar de ajustarlo al derecho formal mediante arreglos institucionales, lo que puede traducirse en acuerdos formales y de larga duración, para atender problemas comunes de la CHPH,  ya</w:t>
      </w:r>
    </w:p>
    <w:p>
      <w:pPr>
        <w:spacing w:after="0" w:line="360" w:lineRule="auto"/>
        <w:jc w:val="both"/>
        <w:sectPr>
          <w:pgSz w:w="12240" w:h="15840"/>
          <w:pgMar w:header="0" w:footer="1003" w:top="1360" w:bottom="1200" w:left="1600" w:right="1580"/>
        </w:sectPr>
      </w:pPr>
    </w:p>
    <w:p>
      <w:pPr>
        <w:pStyle w:val="BodyText"/>
        <w:spacing w:line="360" w:lineRule="auto" w:before="53"/>
        <w:ind w:left="102" w:right="118"/>
        <w:jc w:val="both"/>
      </w:pPr>
      <w:r>
        <w:rPr/>
        <w:t>que el resto de los actores de la Cuenca, obedecen y ejercen acuerdos y mandatos sólo en su periodo de gobierno, ya que tienen establecidos sus funciones y responsabilidades para con la Cuenca mediante la ley formal, por lo que estos últimos sólo fungirán en el Comité, como actores de apoyo con voz, pero sin voto en las asambleas; estos actores son:</w:t>
      </w:r>
    </w:p>
    <w:p>
      <w:pPr>
        <w:pStyle w:val="BodyText"/>
        <w:spacing w:before="7"/>
        <w:rPr>
          <w:sz w:val="17"/>
        </w:rPr>
      </w:pPr>
    </w:p>
    <w:p>
      <w:pPr>
        <w:pStyle w:val="BodyText"/>
        <w:spacing w:line="360" w:lineRule="auto"/>
        <w:ind w:left="102" w:right="115"/>
        <w:jc w:val="both"/>
      </w:pPr>
      <w:r>
        <w:rPr/>
        <w:t>1.- Las autoridades municipales (a través de los presidentes municipales, regidores, presidentes de comisiones del medio ambiente, agricultura, ganadería y los directores de medio ambiente);</w:t>
      </w:r>
    </w:p>
    <w:p>
      <w:pPr>
        <w:pStyle w:val="BodyText"/>
        <w:spacing w:before="7"/>
        <w:rPr>
          <w:sz w:val="17"/>
        </w:rPr>
      </w:pPr>
    </w:p>
    <w:p>
      <w:pPr>
        <w:pStyle w:val="BodyText"/>
        <w:ind w:left="102"/>
        <w:jc w:val="both"/>
      </w:pPr>
      <w:r>
        <w:rPr/>
        <w:t>2.- Actores Estatales la SEDAGRO y la CAEM</w:t>
      </w:r>
    </w:p>
    <w:p>
      <w:pPr>
        <w:pStyle w:val="BodyText"/>
        <w:spacing w:before="3"/>
        <w:rPr>
          <w:sz w:val="28"/>
        </w:rPr>
      </w:pPr>
    </w:p>
    <w:p>
      <w:pPr>
        <w:pStyle w:val="BodyText"/>
        <w:spacing w:line="362" w:lineRule="auto"/>
        <w:ind w:left="102" w:right="117"/>
        <w:jc w:val="both"/>
      </w:pPr>
      <w:r>
        <w:rPr/>
        <w:t>3.- Actores Federales (SEMARNAT-CONAGUA-Distrito de Riego Atlacomulco; SAGARPA en Jilotepec y Aculco).</w:t>
      </w:r>
    </w:p>
    <w:p>
      <w:pPr>
        <w:pStyle w:val="BodyText"/>
        <w:spacing w:before="4"/>
        <w:rPr>
          <w:sz w:val="17"/>
        </w:rPr>
      </w:pPr>
    </w:p>
    <w:p>
      <w:pPr>
        <w:pStyle w:val="BodyText"/>
        <w:spacing w:line="360" w:lineRule="auto"/>
        <w:ind w:left="102" w:right="123"/>
        <w:jc w:val="both"/>
      </w:pPr>
      <w:r>
        <w:rPr/>
        <w:t>4.- Los actores académicos, fungirán como asesores o facilitadores en la realización de proyectos del Comité con voz, pero sin voto.</w:t>
      </w:r>
    </w:p>
    <w:p>
      <w:pPr>
        <w:pStyle w:val="BodyText"/>
        <w:spacing w:before="9"/>
        <w:rPr>
          <w:sz w:val="17"/>
        </w:rPr>
      </w:pPr>
    </w:p>
    <w:p>
      <w:pPr>
        <w:pStyle w:val="BodyText"/>
        <w:spacing w:line="276" w:lineRule="auto"/>
        <w:ind w:left="102" w:right="115"/>
        <w:jc w:val="both"/>
      </w:pPr>
      <w:r>
        <w:rPr/>
        <w:t>5.- Las Organizaciones No Gubernamentales (ONGs), podrán fungir como invitados para compartir experiencias y para apoyar la realización de proyectos del Comité.</w:t>
      </w:r>
    </w:p>
    <w:p>
      <w:pPr>
        <w:pStyle w:val="BodyText"/>
        <w:spacing w:before="4"/>
        <w:rPr>
          <w:sz w:val="17"/>
        </w:rPr>
      </w:pPr>
    </w:p>
    <w:p>
      <w:pPr>
        <w:pStyle w:val="BodyText"/>
        <w:spacing w:line="360" w:lineRule="auto"/>
        <w:ind w:left="102" w:right="118"/>
        <w:jc w:val="both"/>
      </w:pPr>
      <w:r>
        <w:rPr/>
        <w:t>Inspirados en otras experiencias exitosas, se propone que la estructura de las autoridades auxiliares y los cargos comunitarios dentro del Comité, dure cinco años y esté integrado por un Presidente, un Secretario y un Tesorero, propietarios y sus respectivos suplentes que serán electos mediante Asamblea General. El Consejo de Vigilancia estará formado por un Presidente, un Secretario y un Vocal, propietarios y sus respectivos suplentes, electos también en Asamblea General; en este último Consejo, deberán ser electas al menos dos mujeres (equidad), ya que son actores que se caracterizan por tener valores de integridad comprobados a través del éxito en otros Comités; y porque son ellas las principales responsables de la educación de integridad en los niños (que son el futuro de la CHPH) y que además, heredan las prácticas comunitarias y culturales de la Cuenca. Los cargos serán electos mediante Asamblea General Comunitaria (que será la máxima autoridad en el Comité) a través del voto directo (usos y costumbres). Dichos cargos  serán rotativos por municipio en cada período de mandato, es decir no podrán participar los actores históricos de los municipios que ya hayan presidido o ocupado algún otro  cargo del Comité hasta la quinta elección para que exista diversidad de representantes y no se concentre el</w:t>
      </w:r>
      <w:r>
        <w:rPr>
          <w:spacing w:val="-6"/>
        </w:rPr>
        <w:t> </w:t>
      </w:r>
      <w:r>
        <w:rPr/>
        <w:t>poder.</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4"/>
      </w:pPr>
    </w:p>
    <w:p>
      <w:pPr>
        <w:pStyle w:val="BodyText"/>
        <w:spacing w:before="72"/>
        <w:ind w:left="1238"/>
      </w:pPr>
      <w:r>
        <w:rPr/>
        <w:pict>
          <v:group style="position:absolute;margin-left:14.9pt;margin-top:18.567883pt;width:755.65pt;height:433.15pt;mso-position-horizontal-relative:page;mso-position-vertical-relative:paragraph;z-index:-3327184" coordorigin="298,371" coordsize="15113,8663">
            <v:rect style="position:absolute;left:2338;top:999;width:8283;height:1186" filled="false" stroked="true" strokeweight=".5pt" strokecolor="#000000"/>
            <v:shape style="position:absolute;left:3436;top:2185;width:5658;height:356" coordorigin="3436,2185" coordsize="5658,356" path="m6451,2185l6451,2533m3436,2541l9094,2541e" filled="false" stroked="true" strokeweight=".75pt" strokecolor="#000000">
              <v:path arrowok="t"/>
            </v:shape>
            <v:rect style="position:absolute;left:2008;top:3056;width:3121;height:774" filled="false" stroked="true" strokeweight=".5pt" strokecolor="#000000"/>
            <v:shape style="position:absolute;left:3429;top:2547;width:5666;height:514" coordorigin="3429,2547" coordsize="5666,514" path="m3429,2549l3429,3061m9095,2547l9095,3059e" filled="false" stroked="true" strokeweight=".75pt" strokecolor="#000000">
              <v:path arrowok="t"/>
            </v:shape>
            <v:rect style="position:absolute;left:6752;top:3056;width:3993;height:907" filled="false" stroked="true" strokeweight=".5pt" strokecolor="#000000"/>
            <v:shape style="position:absolute;left:3436;top:3548;width:7682;height:667" coordorigin="3436,3548" coordsize="7682,667" path="m10741,3548l11118,3548m3436,3831l3436,4215e" filled="false" stroked="true" strokeweight=".75pt" strokecolor="#000000">
              <v:path arrowok="t"/>
            </v:shape>
            <v:rect style="position:absolute;left:2202;top:4205;width:2613;height:483" filled="false" stroked="true" strokeweight=".5pt" strokecolor="#000000"/>
            <v:shape style="position:absolute;left:3501;top:3958;width:5588;height:1972" coordorigin="3501,3958" coordsize="5588,1972" path="m3502,4691l3502,5075m9004,3958l9004,4342m9089,4827l9089,5211m3501,5546l3501,5930e" filled="false" stroked="true" strokeweight=".75pt" strokecolor="#000000">
              <v:path arrowok="t"/>
            </v:shape>
            <v:shape style="position:absolute;left:2008;top:5063;width:2952;height:1684" coordorigin="2008,5063" coordsize="2952,1684" path="m2202,5546l4814,5546,4814,5063,2202,5063,2202,5546xm2008,6747l4960,6747,4960,5922,2008,5922,2008,6747xe" filled="false" stroked="true" strokeweight=".5pt" strokecolor="#000000">
              <v:path arrowok="t"/>
            </v:shape>
            <v:line style="position:absolute" from="9086,5661" to="9086,6045" stroked="true" strokeweight=".75pt" strokecolor="#000000"/>
            <v:shape style="position:absolute;left:7494;top:4354;width:3188;height:2171" coordorigin="7494,4354" coordsize="3188,2171" path="m7560,6524l10681,6524,10681,6041,7560,6041,7560,6524xm7561,5658l10682,5658,10682,5204,7561,5204,7561,5658xm7494,4837l10615,4837,10615,4354,7494,4354,7494,4837xe" filled="false" stroked="true" strokeweight=".5pt" strokecolor="#000000">
              <v:path arrowok="t"/>
            </v:shape>
            <v:shape style="position:absolute;left:999;top:1370;width:1340;height:915" coordorigin="999,1370" coordsize="1340,915" path="m999,1370l2339,1370m1002,1374l1002,2285e" filled="false" stroked="true" strokeweight=".75pt" strokecolor="#000000">
              <v:path arrowok="t"/>
            </v:shape>
            <v:shape style="position:absolute;left:388;top:2297;width:14278;height:2259" coordorigin="388,2297" coordsize="14278,2259" path="m388,2764l2469,2764,2469,2297,388,2297,388,2764xm11121,4556l14666,4556,14666,3238,11121,3238,11121,4556xe" filled="false" stroked="true" strokeweight=".5pt" strokecolor="#000000">
              <v:path arrowok="t"/>
            </v:shape>
            <v:line style="position:absolute" from="3558,6743" to="3558,7048" stroked="true" strokeweight=".75pt" strokecolor="#000000"/>
            <v:rect style="position:absolute;left:2008;top:7048;width:2952;height:483" filled="false" stroked="true" strokeweight=".5pt" strokecolor="#000000"/>
            <v:line style="position:absolute" from="3556,7526" to="3556,7910" stroked="true" strokeweight=".75pt" strokecolor="#000000"/>
            <v:rect style="position:absolute;left:2008;top:7907;width:2952;height:701" filled="false" stroked="true" strokeweight=".5pt" strokecolor="#000000"/>
            <v:line style="position:absolute" from="6135,2546" to="6135,6841" stroked="true" strokeweight=".75pt" strokecolor="#000000"/>
            <v:rect style="position:absolute;left:5892;top:6831;width:3727;height:726" filled="false" stroked="true" strokeweight=".5pt" strokecolor="#000000"/>
            <v:line style="position:absolute" from="9621,7166" to="9998,7166" stroked="true" strokeweight=".75pt" strokecolor="#000000"/>
            <v:rect style="position:absolute;left:9995;top:6746;width:3848;height:992" filled="false" stroked="true" strokeweight=".5pt" strokecolor="#000000"/>
            <v:shape style="position:absolute;left:10618;top:1275;width:1319;height:911" coordorigin="10618,1275" coordsize="1319,911" path="m10618,1275l11937,1275m11927,1275l11927,2186e" filled="false" stroked="true" strokeweight=".75pt" strokecolor="#000000">
              <v:path arrowok="t"/>
              <v:stroke dashstyle="dash"/>
            </v:shape>
            <v:rect style="position:absolute;left:11096;top:2184;width:2105;height:762" filled="false" stroked="true" strokeweight=".5pt" strokecolor="#000000"/>
            <v:line style="position:absolute" from="5626,2534" to="5626,7903" stroked="true" strokeweight=".75pt" strokecolor="#000000"/>
            <v:rect style="position:absolute;left:5481;top:7907;width:5614;height:919" filled="false" stroked="true" strokeweight=".5pt" strokecolor="#000000"/>
            <v:line style="position:absolute" from="11093,8361" to="11470,8361" stroked="true" strokeweight=".75pt" strokecolor="#000000"/>
            <v:rect style="position:absolute;left:11473;top:7891;width:3932;height:1137" filled="false" stroked="true" strokeweight=".5pt" strokecolor="#000000"/>
            <v:line style="position:absolute" from="13207,2541" to="13584,2541" stroked="true" strokeweight=".75pt" strokecolor="#000000"/>
            <v:rect style="position:absolute;left:13578;top:1833;width:1828;height:1318" filled="false" stroked="true" strokeweight=".5pt" strokecolor="#000000"/>
            <v:line style="position:absolute" from="1231,2763" to="1231,3147" stroked="true" strokeweight=".75pt" strokecolor="#000000"/>
            <v:rect style="position:absolute;left:303;top:3140;width:1596;height:1318" filled="false" stroked="true" strokeweight=".5pt" strokecolor="#000000"/>
            <v:line style="position:absolute" from="6301,799" to="6301,998" stroked="true" strokeweight=".75pt" strokecolor="#000000"/>
            <v:rect style="position:absolute;left:3790;top:376;width:4988;height:409" filled="false" stroked="true" strokeweight=".5pt" strokecolor="#000000"/>
            <w10:wrap type="none"/>
          </v:group>
        </w:pict>
      </w:r>
      <w:r>
        <w:rPr/>
        <w:t>El Comité será integrado de la siguiente forma (Figura 10.1):</w:t>
      </w:r>
    </w:p>
    <w:p>
      <w:pPr>
        <w:pStyle w:val="Heading6"/>
        <w:spacing w:before="124"/>
        <w:ind w:left="3938"/>
      </w:pPr>
      <w:r>
        <w:rPr/>
        <w:t>ASAMBLEA GENERAL INTERMUNICIPAL</w:t>
      </w:r>
    </w:p>
    <w:p>
      <w:pPr>
        <w:pStyle w:val="BodyText"/>
        <w:spacing w:before="8"/>
        <w:rPr>
          <w:b/>
          <w:sz w:val="25"/>
        </w:rPr>
      </w:pPr>
    </w:p>
    <w:p>
      <w:pPr>
        <w:spacing w:after="0"/>
        <w:rPr>
          <w:sz w:val="25"/>
        </w:rPr>
        <w:sectPr>
          <w:footerReference w:type="default" r:id="rId707"/>
          <w:pgSz w:w="15840" w:h="12240" w:orient="landscape"/>
          <w:pgMar w:footer="0" w:header="0" w:top="1140" w:bottom="280" w:left="180" w:right="320"/>
        </w:sectPr>
      </w:pPr>
    </w:p>
    <w:p>
      <w:pPr>
        <w:pStyle w:val="BodyText"/>
        <w:rPr>
          <w:b/>
        </w:rPr>
      </w:pPr>
    </w:p>
    <w:p>
      <w:pPr>
        <w:pStyle w:val="BodyText"/>
        <w:rPr>
          <w:b/>
        </w:rPr>
      </w:pPr>
    </w:p>
    <w:p>
      <w:pPr>
        <w:pStyle w:val="BodyText"/>
        <w:rPr>
          <w:b/>
        </w:rPr>
      </w:pPr>
    </w:p>
    <w:p>
      <w:pPr>
        <w:pStyle w:val="BodyText"/>
        <w:rPr>
          <w:b/>
        </w:rPr>
      </w:pPr>
    </w:p>
    <w:p>
      <w:pPr>
        <w:pStyle w:val="BodyText"/>
        <w:spacing w:before="3"/>
        <w:rPr>
          <w:b/>
          <w:sz w:val="31"/>
        </w:rPr>
      </w:pPr>
    </w:p>
    <w:p>
      <w:pPr>
        <w:spacing w:before="0"/>
        <w:ind w:left="465" w:right="-11" w:firstLine="0"/>
        <w:jc w:val="left"/>
        <w:rPr>
          <w:b/>
          <w:sz w:val="22"/>
        </w:rPr>
      </w:pPr>
      <w:r>
        <w:rPr>
          <w:b/>
          <w:spacing w:val="-1"/>
          <w:sz w:val="22"/>
        </w:rPr>
        <w:t>REGLAMENTO</w:t>
      </w:r>
    </w:p>
    <w:p>
      <w:pPr>
        <w:spacing w:line="360" w:lineRule="auto" w:before="73"/>
        <w:ind w:left="461" w:right="0" w:firstLine="0"/>
        <w:jc w:val="center"/>
        <w:rPr>
          <w:b/>
          <w:sz w:val="22"/>
        </w:rPr>
      </w:pPr>
      <w:r>
        <w:rPr/>
        <w:br w:type="column"/>
      </w:r>
      <w:r>
        <w:rPr>
          <w:b/>
          <w:sz w:val="22"/>
        </w:rPr>
        <w:t>COMITÉ INTERMUNICIPAL PARA CUIDAR, DEFENDER Y</w:t>
      </w:r>
      <w:r>
        <w:rPr>
          <w:b/>
          <w:spacing w:val="-33"/>
          <w:sz w:val="22"/>
        </w:rPr>
        <w:t> </w:t>
      </w:r>
      <w:r>
        <w:rPr>
          <w:b/>
          <w:sz w:val="22"/>
        </w:rPr>
        <w:t>ADMINISTRAR LOS RECURSOS NATURALES DE LA CUENCA HIDROSOCIAL PRESA HUAPANGO</w:t>
      </w:r>
    </w:p>
    <w:p>
      <w:pPr>
        <w:pStyle w:val="BodyText"/>
        <w:rPr>
          <w:b/>
        </w:rPr>
      </w:pPr>
      <w:r>
        <w:rPr/>
        <w:br w:type="column"/>
      </w:r>
      <w:r>
        <w:rPr>
          <w:b/>
        </w:rPr>
      </w:r>
    </w:p>
    <w:p>
      <w:pPr>
        <w:pStyle w:val="BodyText"/>
        <w:rPr>
          <w:b/>
        </w:rPr>
      </w:pPr>
    </w:p>
    <w:p>
      <w:pPr>
        <w:pStyle w:val="BodyText"/>
        <w:rPr>
          <w:b/>
        </w:rPr>
      </w:pPr>
    </w:p>
    <w:p>
      <w:pPr>
        <w:pStyle w:val="BodyText"/>
        <w:rPr>
          <w:b/>
        </w:rPr>
      </w:pPr>
    </w:p>
    <w:p>
      <w:pPr>
        <w:pStyle w:val="BodyText"/>
        <w:spacing w:before="5"/>
        <w:rPr>
          <w:b/>
          <w:sz w:val="21"/>
        </w:rPr>
      </w:pPr>
    </w:p>
    <w:p>
      <w:pPr>
        <w:spacing w:line="276" w:lineRule="auto" w:before="1"/>
        <w:ind w:left="465" w:right="-16" w:firstLine="26"/>
        <w:jc w:val="left"/>
        <w:rPr>
          <w:b/>
          <w:sz w:val="22"/>
        </w:rPr>
      </w:pPr>
      <w:r>
        <w:rPr>
          <w:b/>
          <w:sz w:val="22"/>
        </w:rPr>
        <w:t>COMITÉ DE VIGILANCIA</w:t>
      </w:r>
    </w:p>
    <w:p>
      <w:pPr>
        <w:pStyle w:val="BodyText"/>
        <w:rPr>
          <w:b/>
        </w:rPr>
      </w:pPr>
      <w:r>
        <w:rPr/>
        <w:br w:type="column"/>
      </w:r>
      <w:r>
        <w:rPr>
          <w:b/>
        </w:rPr>
      </w:r>
    </w:p>
    <w:p>
      <w:pPr>
        <w:pStyle w:val="BodyText"/>
        <w:rPr>
          <w:b/>
        </w:rPr>
      </w:pPr>
    </w:p>
    <w:p>
      <w:pPr>
        <w:pStyle w:val="BodyText"/>
        <w:rPr>
          <w:b/>
        </w:rPr>
      </w:pPr>
    </w:p>
    <w:p>
      <w:pPr>
        <w:pStyle w:val="BodyText"/>
        <w:spacing w:line="276" w:lineRule="auto" w:before="152"/>
        <w:ind w:left="465" w:right="255"/>
        <w:jc w:val="both"/>
      </w:pPr>
      <w:r>
        <w:rPr/>
        <w:t>Vigilar la falta de  integridad de las acciones del Comité</w:t>
      </w:r>
    </w:p>
    <w:p>
      <w:pPr>
        <w:spacing w:after="0" w:line="276" w:lineRule="auto"/>
        <w:jc w:val="both"/>
        <w:sectPr>
          <w:type w:val="continuous"/>
          <w:pgSz w:w="15840" w:h="12240" w:orient="landscape"/>
          <w:pgMar w:top="1360" w:bottom="1200" w:left="180" w:right="320"/>
          <w:cols w:num="4" w:equalWidth="0">
            <w:col w:w="2029" w:space="40"/>
            <w:col w:w="7997" w:space="801"/>
            <w:col w:w="1741" w:space="477"/>
            <w:col w:w="2255"/>
          </w:cols>
        </w:sectPr>
      </w:pPr>
    </w:p>
    <w:p>
      <w:pPr>
        <w:pStyle w:val="BodyText"/>
        <w:tabs>
          <w:tab w:pos="1461" w:val="left" w:leader="none"/>
        </w:tabs>
        <w:spacing w:line="276" w:lineRule="auto" w:before="144"/>
        <w:ind w:left="271"/>
      </w:pPr>
      <w:r>
        <w:rPr/>
        <w:t>Estipula derechos</w:t>
        <w:tab/>
        <w:t>y</w:t>
      </w:r>
      <w:r>
        <w:rPr>
          <w:w w:val="100"/>
        </w:rPr>
        <w:t> </w:t>
      </w:r>
      <w:r>
        <w:rPr/>
        <w:t>obligaciones del Comité</w:t>
      </w:r>
    </w:p>
    <w:p>
      <w:pPr>
        <w:pStyle w:val="Heading7"/>
        <w:spacing w:before="60"/>
        <w:ind w:left="271"/>
        <w:jc w:val="center"/>
        <w:rPr>
          <w:i/>
        </w:rPr>
      </w:pPr>
      <w:r>
        <w:rPr>
          <w:b w:val="0"/>
          <w:i w:val="0"/>
        </w:rPr>
        <w:br w:type="column"/>
      </w:r>
      <w:r>
        <w:rPr>
          <w:i/>
        </w:rPr>
        <w:t>ACTORES HISTÓRICOS</w:t>
      </w:r>
    </w:p>
    <w:p>
      <w:pPr>
        <w:spacing w:before="49"/>
        <w:ind w:left="268" w:right="0" w:firstLine="0"/>
        <w:jc w:val="center"/>
        <w:rPr>
          <w:b/>
          <w:sz w:val="22"/>
        </w:rPr>
      </w:pPr>
      <w:r>
        <w:rPr>
          <w:b/>
          <w:sz w:val="22"/>
        </w:rPr>
        <w:t>(CON VOZ Y VOTO)</w:t>
      </w:r>
    </w:p>
    <w:p>
      <w:pPr>
        <w:pStyle w:val="BodyText"/>
        <w:rPr>
          <w:b/>
        </w:rPr>
      </w:pPr>
    </w:p>
    <w:p>
      <w:pPr>
        <w:pStyle w:val="BodyText"/>
        <w:spacing w:before="5"/>
        <w:rPr>
          <w:b/>
          <w:sz w:val="29"/>
        </w:rPr>
      </w:pPr>
    </w:p>
    <w:p>
      <w:pPr>
        <w:spacing w:before="0"/>
        <w:ind w:left="148" w:right="0" w:firstLine="0"/>
        <w:jc w:val="center"/>
        <w:rPr>
          <w:b/>
          <w:sz w:val="22"/>
        </w:rPr>
      </w:pPr>
      <w:r>
        <w:rPr>
          <w:b/>
          <w:sz w:val="22"/>
        </w:rPr>
        <w:t>PESCADORES</w:t>
      </w:r>
    </w:p>
    <w:p>
      <w:pPr>
        <w:spacing w:before="60"/>
        <w:ind w:left="271" w:right="0" w:firstLine="0"/>
        <w:jc w:val="center"/>
        <w:rPr>
          <w:b/>
          <w:i/>
          <w:sz w:val="22"/>
        </w:rPr>
      </w:pPr>
      <w:r>
        <w:rPr/>
        <w:br w:type="column"/>
      </w:r>
      <w:r>
        <w:rPr>
          <w:b/>
          <w:i/>
          <w:sz w:val="22"/>
        </w:rPr>
        <w:t>ACTORES GUBERNAMENTALES</w:t>
      </w:r>
    </w:p>
    <w:p>
      <w:pPr>
        <w:spacing w:before="49"/>
        <w:ind w:left="271" w:right="0" w:firstLine="0"/>
        <w:jc w:val="center"/>
        <w:rPr>
          <w:b/>
          <w:sz w:val="22"/>
        </w:rPr>
      </w:pPr>
      <w:r>
        <w:rPr>
          <w:b/>
          <w:sz w:val="22"/>
        </w:rPr>
        <w:t>(CON VOZ, PERO SIN VOTO)</w:t>
      </w:r>
    </w:p>
    <w:p>
      <w:pPr>
        <w:pStyle w:val="BodyText"/>
        <w:rPr>
          <w:b/>
        </w:rPr>
      </w:pPr>
    </w:p>
    <w:p>
      <w:pPr>
        <w:pStyle w:val="BodyText"/>
        <w:rPr>
          <w:b/>
        </w:rPr>
      </w:pPr>
    </w:p>
    <w:p>
      <w:pPr>
        <w:pStyle w:val="BodyText"/>
        <w:spacing w:before="4"/>
        <w:rPr>
          <w:b/>
          <w:sz w:val="20"/>
        </w:rPr>
      </w:pPr>
    </w:p>
    <w:p>
      <w:pPr>
        <w:spacing w:before="0"/>
        <w:ind w:left="1550" w:right="0" w:firstLine="0"/>
        <w:jc w:val="left"/>
        <w:rPr>
          <w:b/>
          <w:sz w:val="22"/>
        </w:rPr>
      </w:pPr>
      <w:r>
        <w:rPr>
          <w:b/>
          <w:sz w:val="22"/>
        </w:rPr>
        <w:t>MUNICIPALES</w:t>
      </w:r>
    </w:p>
    <w:p>
      <w:pPr>
        <w:pStyle w:val="BodyText"/>
        <w:spacing w:before="1"/>
        <w:rPr>
          <w:b/>
          <w:sz w:val="21"/>
        </w:rPr>
      </w:pPr>
      <w:r>
        <w:rPr/>
        <w:br w:type="column"/>
      </w:r>
      <w:r>
        <w:rPr>
          <w:b/>
          <w:sz w:val="21"/>
        </w:rPr>
      </w:r>
    </w:p>
    <w:p>
      <w:pPr>
        <w:pStyle w:val="BodyText"/>
        <w:spacing w:line="276" w:lineRule="auto"/>
        <w:ind w:left="271" w:right="995"/>
        <w:jc w:val="both"/>
      </w:pPr>
      <w:r>
        <w:rPr/>
        <w:t>Invitados para apoyar al Comité en la realización de proyectos mediante sus funciones y responsabilidades.</w:t>
      </w:r>
    </w:p>
    <w:p>
      <w:pPr>
        <w:spacing w:after="0" w:line="276" w:lineRule="auto"/>
        <w:jc w:val="both"/>
        <w:sectPr>
          <w:type w:val="continuous"/>
          <w:pgSz w:w="15840" w:h="12240" w:orient="landscape"/>
          <w:pgMar w:top="1360" w:bottom="1200" w:left="180" w:right="320"/>
          <w:cols w:num="4" w:equalWidth="0">
            <w:col w:w="1572" w:space="293"/>
            <w:col w:w="2778" w:space="1925"/>
            <w:col w:w="3730" w:space="523"/>
            <w:col w:w="4519"/>
          </w:cols>
        </w:sectPr>
      </w:pPr>
    </w:p>
    <w:p>
      <w:pPr>
        <w:pStyle w:val="BodyText"/>
        <w:rPr>
          <w:sz w:val="20"/>
        </w:rPr>
      </w:pPr>
    </w:p>
    <w:p>
      <w:pPr>
        <w:spacing w:after="0"/>
        <w:rPr>
          <w:sz w:val="20"/>
        </w:rPr>
        <w:sectPr>
          <w:type w:val="continuous"/>
          <w:pgSz w:w="15840" w:h="12240" w:orient="landscape"/>
          <w:pgMar w:top="1360" w:bottom="1200" w:left="180" w:right="320"/>
        </w:sectPr>
      </w:pPr>
    </w:p>
    <w:p>
      <w:pPr>
        <w:pStyle w:val="BodyText"/>
        <w:spacing w:before="9"/>
        <w:rPr>
          <w:sz w:val="19"/>
        </w:rPr>
      </w:pPr>
    </w:p>
    <w:p>
      <w:pPr>
        <w:pStyle w:val="Heading6"/>
        <w:ind w:left="2614" w:right="-13"/>
      </w:pPr>
      <w:r>
        <w:rPr>
          <w:spacing w:val="-1"/>
        </w:rPr>
        <w:t>GANADEROS</w:t>
      </w:r>
    </w:p>
    <w:p>
      <w:pPr>
        <w:pStyle w:val="BodyText"/>
        <w:spacing w:before="1"/>
        <w:rPr>
          <w:b/>
          <w:sz w:val="32"/>
        </w:rPr>
      </w:pPr>
      <w:r>
        <w:rPr/>
        <w:br w:type="column"/>
      </w:r>
      <w:r>
        <w:rPr>
          <w:b/>
          <w:sz w:val="32"/>
        </w:rPr>
      </w:r>
    </w:p>
    <w:p>
      <w:pPr>
        <w:spacing w:before="0"/>
        <w:ind w:left="2614" w:right="0" w:firstLine="0"/>
        <w:jc w:val="left"/>
        <w:rPr>
          <w:b/>
          <w:sz w:val="22"/>
        </w:rPr>
      </w:pPr>
      <w:r>
        <w:rPr>
          <w:b/>
          <w:sz w:val="22"/>
        </w:rPr>
        <w:t>ESTATALES</w:t>
      </w:r>
    </w:p>
    <w:p>
      <w:pPr>
        <w:spacing w:after="0"/>
        <w:jc w:val="left"/>
        <w:rPr>
          <w:sz w:val="22"/>
        </w:rPr>
        <w:sectPr>
          <w:type w:val="continuous"/>
          <w:pgSz w:w="15840" w:h="12240" w:orient="landscape"/>
          <w:pgMar w:top="1360" w:bottom="1200" w:left="180" w:right="320"/>
          <w:cols w:num="2" w:equalWidth="0">
            <w:col w:w="4043" w:space="1632"/>
            <w:col w:w="9665"/>
          </w:cols>
        </w:sectPr>
      </w:pPr>
    </w:p>
    <w:p>
      <w:pPr>
        <w:pStyle w:val="BodyText"/>
        <w:rPr>
          <w:b/>
          <w:sz w:val="20"/>
        </w:rPr>
      </w:pPr>
    </w:p>
    <w:p>
      <w:pPr>
        <w:spacing w:after="0"/>
        <w:rPr>
          <w:sz w:val="20"/>
        </w:rPr>
        <w:sectPr>
          <w:type w:val="continuous"/>
          <w:pgSz w:w="15840" w:h="12240" w:orient="landscape"/>
          <w:pgMar w:top="1360" w:bottom="1200" w:left="180" w:right="320"/>
        </w:sectPr>
      </w:pPr>
    </w:p>
    <w:p>
      <w:pPr>
        <w:pStyle w:val="BodyText"/>
        <w:spacing w:before="4"/>
        <w:rPr>
          <w:b/>
          <w:sz w:val="20"/>
        </w:rPr>
      </w:pPr>
    </w:p>
    <w:p>
      <w:pPr>
        <w:spacing w:line="276" w:lineRule="auto" w:before="0"/>
        <w:ind w:left="2412" w:right="-14" w:hanging="24"/>
        <w:jc w:val="left"/>
        <w:rPr>
          <w:b/>
          <w:sz w:val="22"/>
        </w:rPr>
      </w:pPr>
      <w:r>
        <w:rPr>
          <w:b/>
          <w:sz w:val="22"/>
        </w:rPr>
        <w:t>INDUSTRIALES</w:t>
      </w:r>
      <w:r>
        <w:rPr>
          <w:b/>
          <w:spacing w:val="-8"/>
          <w:sz w:val="22"/>
        </w:rPr>
        <w:t> </w:t>
      </w:r>
      <w:r>
        <w:rPr>
          <w:b/>
          <w:sz w:val="22"/>
        </w:rPr>
        <w:t>Y COMERCIANTES</w:t>
      </w:r>
    </w:p>
    <w:p>
      <w:pPr>
        <w:pStyle w:val="BodyText"/>
        <w:spacing w:before="9"/>
        <w:rPr>
          <w:b/>
          <w:sz w:val="30"/>
        </w:rPr>
      </w:pPr>
      <w:r>
        <w:rPr/>
        <w:br w:type="column"/>
      </w:r>
      <w:r>
        <w:rPr>
          <w:b/>
          <w:sz w:val="30"/>
        </w:rPr>
      </w:r>
    </w:p>
    <w:p>
      <w:pPr>
        <w:spacing w:before="0"/>
        <w:ind w:left="2388" w:right="0" w:firstLine="0"/>
        <w:jc w:val="left"/>
        <w:rPr>
          <w:b/>
          <w:sz w:val="22"/>
        </w:rPr>
      </w:pPr>
      <w:r>
        <w:rPr>
          <w:b/>
          <w:sz w:val="22"/>
        </w:rPr>
        <w:t>FEDERALES</w:t>
      </w:r>
    </w:p>
    <w:p>
      <w:pPr>
        <w:spacing w:after="0"/>
        <w:jc w:val="left"/>
        <w:rPr>
          <w:sz w:val="22"/>
        </w:rPr>
        <w:sectPr>
          <w:type w:val="continuous"/>
          <w:pgSz w:w="15840" w:h="12240" w:orient="landscape"/>
          <w:pgMar w:top="1360" w:bottom="1200" w:left="180" w:right="320"/>
          <w:cols w:num="2" w:equalWidth="0">
            <w:col w:w="4220" w:space="1665"/>
            <w:col w:w="9455"/>
          </w:cols>
        </w:sectPr>
      </w:pPr>
    </w:p>
    <w:p>
      <w:pPr>
        <w:pStyle w:val="BodyText"/>
        <w:rPr>
          <w:b/>
          <w:sz w:val="15"/>
        </w:rPr>
      </w:pPr>
    </w:p>
    <w:p>
      <w:pPr>
        <w:spacing w:after="0"/>
        <w:rPr>
          <w:sz w:val="15"/>
        </w:rPr>
        <w:sectPr>
          <w:type w:val="continuous"/>
          <w:pgSz w:w="15840" w:h="12240" w:orient="landscape"/>
          <w:pgMar w:top="1360" w:bottom="1200" w:left="180" w:right="320"/>
        </w:sectPr>
      </w:pPr>
    </w:p>
    <w:p>
      <w:pPr>
        <w:pStyle w:val="BodyText"/>
        <w:spacing w:before="5"/>
        <w:rPr>
          <w:b/>
          <w:sz w:val="32"/>
        </w:rPr>
      </w:pPr>
    </w:p>
    <w:p>
      <w:pPr>
        <w:spacing w:before="0"/>
        <w:ind w:left="0" w:right="0" w:firstLine="0"/>
        <w:jc w:val="right"/>
        <w:rPr>
          <w:b/>
          <w:sz w:val="22"/>
        </w:rPr>
      </w:pPr>
      <w:r>
        <w:rPr>
          <w:b/>
          <w:sz w:val="22"/>
        </w:rPr>
        <w:t>TURISMO</w:t>
      </w:r>
    </w:p>
    <w:p>
      <w:pPr>
        <w:pStyle w:val="Heading7"/>
        <w:spacing w:before="157"/>
        <w:ind w:left="2195"/>
        <w:jc w:val="center"/>
        <w:rPr>
          <w:i/>
        </w:rPr>
      </w:pPr>
      <w:r>
        <w:rPr>
          <w:b w:val="0"/>
          <w:i w:val="0"/>
        </w:rPr>
        <w:br w:type="column"/>
      </w:r>
      <w:r>
        <w:rPr>
          <w:i/>
        </w:rPr>
        <w:t>ACTORES ACADÉMICOS</w:t>
      </w:r>
    </w:p>
    <w:p>
      <w:pPr>
        <w:spacing w:before="35"/>
        <w:ind w:left="2249" w:right="0" w:firstLine="0"/>
        <w:jc w:val="center"/>
        <w:rPr>
          <w:b/>
          <w:sz w:val="22"/>
        </w:rPr>
      </w:pPr>
      <w:r>
        <w:rPr>
          <w:b/>
          <w:sz w:val="22"/>
        </w:rPr>
        <w:t>(CON VOZ, PERO SIN VOTO)</w:t>
      </w:r>
    </w:p>
    <w:p>
      <w:pPr>
        <w:pStyle w:val="BodyText"/>
        <w:spacing w:line="276" w:lineRule="auto" w:before="73"/>
        <w:ind w:left="818" w:right="1820"/>
        <w:jc w:val="both"/>
      </w:pPr>
      <w:r>
        <w:rPr/>
        <w:br w:type="column"/>
      </w:r>
      <w:r>
        <w:rPr/>
        <w:t>Invitados como asesores o facilitadores de proyectos del Comité</w:t>
      </w:r>
    </w:p>
    <w:p>
      <w:pPr>
        <w:spacing w:after="0" w:line="276" w:lineRule="auto"/>
        <w:jc w:val="both"/>
        <w:sectPr>
          <w:type w:val="continuous"/>
          <w:pgSz w:w="15840" w:h="12240" w:orient="landscape"/>
          <w:pgMar w:top="1360" w:bottom="1200" w:left="180" w:right="320"/>
          <w:cols w:num="3" w:equalWidth="0">
            <w:col w:w="3811" w:space="40"/>
            <w:col w:w="5258" w:space="40"/>
            <w:col w:w="6191"/>
          </w:cols>
        </w:sectPr>
      </w:pPr>
    </w:p>
    <w:p>
      <w:pPr>
        <w:pStyle w:val="BodyText"/>
        <w:spacing w:before="6"/>
        <w:rPr>
          <w:sz w:val="17"/>
        </w:rPr>
      </w:pPr>
    </w:p>
    <w:p>
      <w:pPr>
        <w:spacing w:after="0"/>
        <w:rPr>
          <w:sz w:val="17"/>
        </w:rPr>
        <w:sectPr>
          <w:type w:val="continuous"/>
          <w:pgSz w:w="15840" w:h="12240" w:orient="landscape"/>
          <w:pgMar w:top="1360" w:bottom="1200" w:left="180" w:right="320"/>
        </w:sectPr>
      </w:pPr>
    </w:p>
    <w:p>
      <w:pPr>
        <w:pStyle w:val="Heading6"/>
        <w:spacing w:line="276" w:lineRule="auto" w:before="87"/>
        <w:ind w:left="2638" w:right="-11" w:hanging="140"/>
      </w:pPr>
      <w:r>
        <w:rPr>
          <w:spacing w:val="-1"/>
        </w:rPr>
        <w:t>AUTORIDADES </w:t>
      </w:r>
      <w:r>
        <w:rPr/>
        <w:t>AUXILIARES</w:t>
      </w:r>
    </w:p>
    <w:p>
      <w:pPr>
        <w:pStyle w:val="Heading7"/>
        <w:spacing w:line="276" w:lineRule="auto" w:before="89"/>
        <w:ind w:left="1460"/>
        <w:jc w:val="center"/>
      </w:pPr>
      <w:r>
        <w:rPr>
          <w:b w:val="0"/>
          <w:i w:val="0"/>
        </w:rPr>
        <w:br w:type="column"/>
      </w:r>
      <w:r>
        <w:rPr>
          <w:i/>
        </w:rPr>
        <w:t>ORGANIZACIONES NO GUBERNAMENTALES</w:t>
      </w:r>
      <w:r>
        <w:rPr>
          <w:i/>
          <w:spacing w:val="-20"/>
        </w:rPr>
        <w:t> </w:t>
      </w:r>
      <w:r>
        <w:rPr>
          <w:i/>
        </w:rPr>
        <w:t>Y </w:t>
      </w:r>
      <w:r>
        <w:rPr/>
        <w:t>ORGANISMOS</w:t>
      </w:r>
      <w:r>
        <w:rPr>
          <w:spacing w:val="-20"/>
        </w:rPr>
        <w:t> </w:t>
      </w:r>
      <w:r>
        <w:rPr/>
        <w:t>INTERNACIONALES</w:t>
      </w:r>
    </w:p>
    <w:p>
      <w:pPr>
        <w:spacing w:line="251" w:lineRule="exact" w:before="0"/>
        <w:ind w:left="1461" w:right="0" w:firstLine="0"/>
        <w:jc w:val="center"/>
        <w:rPr>
          <w:b/>
          <w:sz w:val="22"/>
        </w:rPr>
      </w:pPr>
      <w:r>
        <w:rPr>
          <w:b/>
          <w:sz w:val="22"/>
        </w:rPr>
        <w:t>(CON VOZ, PERO SIN VOTO)</w:t>
      </w:r>
    </w:p>
    <w:p>
      <w:pPr>
        <w:pStyle w:val="BodyText"/>
        <w:tabs>
          <w:tab w:pos="2375" w:val="left" w:leader="none"/>
          <w:tab w:pos="3512" w:val="left" w:leader="none"/>
        </w:tabs>
        <w:spacing w:line="276" w:lineRule="auto" w:before="72"/>
        <w:ind w:left="796" w:right="259"/>
        <w:jc w:val="both"/>
      </w:pPr>
      <w:r>
        <w:rPr/>
        <w:br w:type="column"/>
      </w:r>
      <w:r>
        <w:rPr/>
        <w:t>Invitados</w:t>
        <w:tab/>
        <w:t>para</w:t>
        <w:tab/>
      </w:r>
      <w:r>
        <w:rPr>
          <w:spacing w:val="-1"/>
        </w:rPr>
        <w:t>compartir </w:t>
      </w:r>
      <w:r>
        <w:rPr/>
        <w:t>experiencias y para apoyar la realización de proyectos del</w:t>
      </w:r>
      <w:r>
        <w:rPr>
          <w:spacing w:val="-6"/>
        </w:rPr>
        <w:t> </w:t>
      </w:r>
      <w:r>
        <w:rPr/>
        <w:t>Comité.</w:t>
      </w:r>
    </w:p>
    <w:p>
      <w:pPr>
        <w:spacing w:after="0" w:line="276" w:lineRule="auto"/>
        <w:jc w:val="both"/>
        <w:sectPr>
          <w:type w:val="continuous"/>
          <w:pgSz w:w="15840" w:h="12240" w:orient="landscape"/>
          <w:pgMar w:top="1360" w:bottom="1200" w:left="180" w:right="320"/>
          <w:cols w:num="3" w:equalWidth="0">
            <w:col w:w="4110" w:space="40"/>
            <w:col w:w="6459" w:space="40"/>
            <w:col w:w="4691"/>
          </w:cols>
        </w:sectPr>
      </w:pPr>
    </w:p>
    <w:p>
      <w:pPr>
        <w:spacing w:before="173"/>
        <w:ind w:left="1990" w:right="-6" w:firstLine="0"/>
        <w:jc w:val="left"/>
        <w:rPr>
          <w:sz w:val="20"/>
        </w:rPr>
      </w:pPr>
      <w:r>
        <w:rPr>
          <w:b/>
          <w:sz w:val="20"/>
        </w:rPr>
        <w:t>Fuente: </w:t>
      </w:r>
      <w:r>
        <w:rPr>
          <w:sz w:val="20"/>
        </w:rPr>
        <w:t>Elaboración propia con base en el trabajo de campo y gabinete García,</w:t>
      </w:r>
      <w:r>
        <w:rPr>
          <w:spacing w:val="-16"/>
          <w:sz w:val="20"/>
        </w:rPr>
        <w:t> </w:t>
      </w:r>
      <w:r>
        <w:rPr>
          <w:sz w:val="20"/>
        </w:rPr>
        <w:t>2013-2015.</w:t>
      </w:r>
    </w:p>
    <w:p>
      <w:pPr>
        <w:pStyle w:val="BodyText"/>
      </w:pPr>
      <w:r>
        <w:rPr/>
        <w:br w:type="column"/>
      </w:r>
      <w:r>
        <w:rPr/>
      </w:r>
    </w:p>
    <w:p>
      <w:pPr>
        <w:pStyle w:val="BodyText"/>
        <w:spacing w:before="8"/>
        <w:rPr>
          <w:sz w:val="23"/>
        </w:rPr>
      </w:pPr>
    </w:p>
    <w:p>
      <w:pPr>
        <w:pStyle w:val="BodyText"/>
        <w:ind w:left="1990"/>
        <w:rPr>
          <w:rFonts w:ascii="Calibri"/>
        </w:rPr>
      </w:pPr>
      <w:r>
        <w:rPr>
          <w:rFonts w:ascii="Calibri"/>
        </w:rPr>
        <w:t>837</w:t>
      </w:r>
    </w:p>
    <w:p>
      <w:pPr>
        <w:spacing w:after="0"/>
        <w:rPr>
          <w:rFonts w:ascii="Calibri"/>
        </w:rPr>
        <w:sectPr>
          <w:type w:val="continuous"/>
          <w:pgSz w:w="15840" w:h="12240" w:orient="landscape"/>
          <w:pgMar w:top="1360" w:bottom="1200" w:left="180" w:right="320"/>
          <w:cols w:num="2" w:equalWidth="0">
            <w:col w:w="10149" w:space="1771"/>
            <w:col w:w="3420"/>
          </w:cols>
        </w:sectPr>
      </w:pPr>
    </w:p>
    <w:p>
      <w:pPr>
        <w:pStyle w:val="Heading6"/>
        <w:spacing w:line="360" w:lineRule="auto" w:before="51"/>
        <w:ind w:left="215" w:right="239"/>
        <w:jc w:val="center"/>
      </w:pPr>
      <w:r>
        <w:rPr/>
        <w:t>ESTRUCTURA DEL COMITÉ INTERMUNICIPAL PARA CUIDAR, DEFENDER Y ADMINISTRAR LOS RECURSOS NATURALES DE LA CUENCA HIDROSOCIAL PRESA HUAPANGO</w:t>
      </w:r>
    </w:p>
    <w:p>
      <w:pPr>
        <w:pStyle w:val="BodyText"/>
        <w:spacing w:before="7"/>
        <w:rPr>
          <w:b/>
          <w:sz w:val="17"/>
        </w:rPr>
      </w:pPr>
    </w:p>
    <w:p>
      <w:pPr>
        <w:spacing w:before="0"/>
        <w:ind w:left="219" w:right="239" w:firstLine="0"/>
        <w:jc w:val="center"/>
        <w:rPr>
          <w:b/>
          <w:sz w:val="22"/>
        </w:rPr>
      </w:pPr>
      <w:r>
        <w:rPr>
          <w:b/>
          <w:sz w:val="22"/>
        </w:rPr>
        <w:t>Esquema 10.2. Representantes del Comité Intermunicipal</w:t>
      </w:r>
    </w:p>
    <w:p>
      <w:pPr>
        <w:pStyle w:val="BodyText"/>
        <w:rPr>
          <w:b/>
          <w:sz w:val="20"/>
        </w:rPr>
      </w:pPr>
    </w:p>
    <w:p>
      <w:pPr>
        <w:pStyle w:val="BodyText"/>
        <w:rPr>
          <w:b/>
          <w:sz w:val="21"/>
        </w:rPr>
      </w:pPr>
      <w:r>
        <w:rPr/>
        <w:pict>
          <v:group style="position:absolute;margin-left:161.25pt;margin-top:14.049936pt;width:280pt;height:123.3pt;mso-position-horizontal-relative:page;mso-position-vertical-relative:paragraph;z-index:16336;mso-wrap-distance-left:0;mso-wrap-distance-right:0" coordorigin="3225,281" coordsize="5600,2466">
            <v:line style="position:absolute" from="6050,1024" to="4925,1919" stroked="true" strokeweight="1.25pt" strokecolor="#000000"/>
            <v:line style="position:absolute" from="6050,1024" to="7030,1919" stroked="true" strokeweight="1.25pt" strokecolor="#000000"/>
            <v:shape style="position:absolute;left:4683;top:286;width:2746;height:738" type="#_x0000_t202" filled="false" stroked="true" strokeweight=".5pt" strokecolor="#000000">
              <v:textbox inset="0,0,0,0">
                <w:txbxContent>
                  <w:p>
                    <w:pPr>
                      <w:spacing w:line="276" w:lineRule="auto" w:before="68"/>
                      <w:ind w:left="506" w:right="496" w:firstLine="158"/>
                      <w:jc w:val="left"/>
                      <w:rPr>
                        <w:b/>
                        <w:sz w:val="22"/>
                      </w:rPr>
                    </w:pPr>
                    <w:r>
                      <w:rPr>
                        <w:b/>
                        <w:sz w:val="22"/>
                      </w:rPr>
                      <w:t>PRESIDENTE CON SUPLENTE</w:t>
                    </w:r>
                  </w:p>
                </w:txbxContent>
              </v:textbox>
              <w10:wrap type="none"/>
            </v:shape>
            <v:shape style="position:absolute;left:3230;top:1919;width:2515;height:822" type="#_x0000_t202" filled="false" stroked="true" strokeweight=".5pt" strokecolor="#000000">
              <v:textbox inset="0,0,0,0">
                <w:txbxContent>
                  <w:p>
                    <w:pPr>
                      <w:spacing w:line="285" w:lineRule="auto" w:before="67"/>
                      <w:ind w:left="391" w:right="380" w:firstLine="139"/>
                      <w:jc w:val="left"/>
                      <w:rPr>
                        <w:b/>
                        <w:sz w:val="22"/>
                      </w:rPr>
                    </w:pPr>
                    <w:r>
                      <w:rPr>
                        <w:b/>
                        <w:sz w:val="22"/>
                      </w:rPr>
                      <w:t>SECRETARIO CON SUPLENTE</w:t>
                    </w:r>
                  </w:p>
                </w:txbxContent>
              </v:textbox>
              <w10:wrap type="none"/>
            </v:shape>
            <v:shape style="position:absolute;left:6195;top:1919;width:2625;height:822" type="#_x0000_t202" filled="false" stroked="true" strokeweight=".5pt" strokecolor="#000000">
              <v:textbox inset="0,0,0,0">
                <w:txbxContent>
                  <w:p>
                    <w:pPr>
                      <w:spacing w:line="285" w:lineRule="auto" w:before="67"/>
                      <w:ind w:left="447" w:right="434" w:firstLine="244"/>
                      <w:jc w:val="left"/>
                      <w:rPr>
                        <w:b/>
                        <w:sz w:val="22"/>
                      </w:rPr>
                    </w:pPr>
                    <w:r>
                      <w:rPr>
                        <w:b/>
                        <w:sz w:val="22"/>
                      </w:rPr>
                      <w:t>TESORERO CON SUPLENTE</w:t>
                    </w:r>
                  </w:p>
                </w:txbxContent>
              </v:textbox>
              <w10:wrap type="none"/>
            </v:shape>
            <w10:wrap type="topAndBottom"/>
          </v:group>
        </w:pict>
      </w:r>
    </w:p>
    <w:p>
      <w:pPr>
        <w:pStyle w:val="BodyText"/>
        <w:spacing w:before="1"/>
        <w:rPr>
          <w:b/>
          <w:sz w:val="19"/>
        </w:rPr>
      </w:pPr>
    </w:p>
    <w:p>
      <w:pPr>
        <w:spacing w:line="360" w:lineRule="auto" w:before="0"/>
        <w:ind w:left="102" w:right="122" w:firstLine="0"/>
        <w:jc w:val="both"/>
        <w:rPr>
          <w:b/>
          <w:sz w:val="22"/>
        </w:rPr>
      </w:pPr>
      <w:r>
        <w:rPr>
          <w:b/>
          <w:sz w:val="22"/>
        </w:rPr>
        <w:t>Fuente: Elaboración propia con base en el trabajo de campo y gabinete García, 2013-2015</w:t>
      </w:r>
    </w:p>
    <w:p>
      <w:pPr>
        <w:pStyle w:val="BodyText"/>
        <w:spacing w:before="9"/>
        <w:rPr>
          <w:b/>
          <w:sz w:val="17"/>
        </w:rPr>
      </w:pPr>
    </w:p>
    <w:p>
      <w:pPr>
        <w:pStyle w:val="BodyText"/>
        <w:spacing w:line="360" w:lineRule="auto"/>
        <w:ind w:left="102" w:right="118"/>
        <w:jc w:val="both"/>
      </w:pPr>
      <w:r>
        <w:rPr/>
        <w:t>El Comité Intermunicipal para cuidar, defender y administrar los recursos naturales de la Cuenca Hidrosocial Presa Huapango contará con un Comité de Vigilancia que tendrá la siguiente estructura:</w:t>
      </w:r>
    </w:p>
    <w:p>
      <w:pPr>
        <w:pStyle w:val="BodyText"/>
        <w:spacing w:before="5"/>
        <w:rPr>
          <w:sz w:val="17"/>
        </w:rPr>
      </w:pPr>
    </w:p>
    <w:p>
      <w:pPr>
        <w:pStyle w:val="Heading6"/>
        <w:ind w:left="222" w:right="239"/>
        <w:jc w:val="center"/>
      </w:pPr>
      <w:r>
        <w:rPr/>
        <w:t>Esquema 10.3. Comité de Vigilancia</w:t>
      </w:r>
    </w:p>
    <w:p>
      <w:pPr>
        <w:pStyle w:val="BodyText"/>
        <w:rPr>
          <w:b/>
          <w:sz w:val="20"/>
        </w:rPr>
      </w:pPr>
    </w:p>
    <w:p>
      <w:pPr>
        <w:pStyle w:val="BodyText"/>
        <w:spacing w:before="3"/>
        <w:rPr>
          <w:b/>
          <w:sz w:val="20"/>
        </w:rPr>
      </w:pPr>
      <w:r>
        <w:rPr/>
        <w:pict>
          <v:group style="position:absolute;margin-left:155.850006pt;margin-top:13.639917pt;width:281.75pt;height:123.8pt;mso-position-horizontal-relative:page;mso-position-vertical-relative:paragraph;z-index:16432;mso-wrap-distance-left:0;mso-wrap-distance-right:0" coordorigin="3117,273" coordsize="5635,2476">
            <v:line style="position:absolute" from="6050,1022" to="4925,1917" stroked="true" strokeweight="1.25pt" strokecolor="#000000"/>
            <v:line style="position:absolute" from="6050,1022" to="7030,1917" stroked="true" strokeweight="1.25pt" strokecolor="#000000"/>
            <v:shape style="position:absolute;left:4746;top:278;width:2688;height:737" type="#_x0000_t202" filled="false" stroked="true" strokeweight=".5pt" strokecolor="#000000">
              <v:textbox inset="0,0,0,0">
                <w:txbxContent>
                  <w:p>
                    <w:pPr>
                      <w:spacing w:line="276" w:lineRule="auto" w:before="69"/>
                      <w:ind w:left="479" w:right="465" w:firstLine="158"/>
                      <w:jc w:val="left"/>
                      <w:rPr>
                        <w:b/>
                        <w:sz w:val="22"/>
                      </w:rPr>
                    </w:pPr>
                    <w:r>
                      <w:rPr>
                        <w:b/>
                        <w:sz w:val="22"/>
                      </w:rPr>
                      <w:t>PRESIDENTE CON SUPLENTE</w:t>
                    </w:r>
                  </w:p>
                </w:txbxContent>
              </v:textbox>
              <w10:wrap type="none"/>
            </v:shape>
            <v:shape style="position:absolute;left:3122;top:1921;width:2624;height:822" type="#_x0000_t202" filled="false" stroked="true" strokeweight=".5pt" strokecolor="#000000">
              <v:textbox inset="0,0,0,0">
                <w:txbxContent>
                  <w:p>
                    <w:pPr>
                      <w:spacing w:line="285" w:lineRule="auto" w:before="67"/>
                      <w:ind w:left="444" w:right="436" w:firstLine="141"/>
                      <w:jc w:val="left"/>
                      <w:rPr>
                        <w:b/>
                        <w:sz w:val="22"/>
                      </w:rPr>
                    </w:pPr>
                    <w:r>
                      <w:rPr>
                        <w:b/>
                        <w:sz w:val="22"/>
                      </w:rPr>
                      <w:t>SECRETARIO CON SUPLENTE</w:t>
                    </w:r>
                  </w:p>
                </w:txbxContent>
              </v:textbox>
              <w10:wrap type="none"/>
            </v:shape>
            <v:shape style="position:absolute;left:6352;top:1921;width:2395;height:822" type="#_x0000_t202" filled="false" stroked="true" strokeweight=".5pt" strokecolor="#000000">
              <v:textbox inset="0,0,0,0">
                <w:txbxContent>
                  <w:p>
                    <w:pPr>
                      <w:spacing w:line="285" w:lineRule="auto" w:before="67"/>
                      <w:ind w:left="333" w:right="326" w:firstLine="477"/>
                      <w:jc w:val="left"/>
                      <w:rPr>
                        <w:b/>
                        <w:sz w:val="22"/>
                      </w:rPr>
                    </w:pPr>
                    <w:r>
                      <w:rPr>
                        <w:b/>
                        <w:sz w:val="22"/>
                      </w:rPr>
                      <w:t>VOCAL CON SUPLENTE</w:t>
                    </w:r>
                  </w:p>
                </w:txbxContent>
              </v:textbox>
              <w10:wrap type="none"/>
            </v:shape>
            <w10:wrap type="topAndBottom"/>
          </v:group>
        </w:pict>
      </w:r>
    </w:p>
    <w:p>
      <w:pPr>
        <w:pStyle w:val="BodyText"/>
        <w:spacing w:before="1"/>
        <w:rPr>
          <w:b/>
          <w:sz w:val="19"/>
        </w:rPr>
      </w:pPr>
    </w:p>
    <w:p>
      <w:pPr>
        <w:spacing w:before="0"/>
        <w:ind w:left="102" w:right="0" w:firstLine="0"/>
        <w:jc w:val="both"/>
        <w:rPr>
          <w:sz w:val="20"/>
        </w:rPr>
      </w:pPr>
      <w:r>
        <w:rPr>
          <w:b/>
          <w:sz w:val="20"/>
        </w:rPr>
        <w:t>Fuente: </w:t>
      </w:r>
      <w:r>
        <w:rPr>
          <w:sz w:val="20"/>
        </w:rPr>
        <w:t>Elaboración propia con base en el trabajo de campo y gabinete García, 2013-2015</w:t>
      </w:r>
    </w:p>
    <w:p>
      <w:pPr>
        <w:pStyle w:val="BodyText"/>
        <w:spacing w:before="4"/>
        <w:rPr>
          <w:sz w:val="27"/>
        </w:rPr>
      </w:pPr>
    </w:p>
    <w:p>
      <w:pPr>
        <w:pStyle w:val="BodyText"/>
        <w:spacing w:line="360" w:lineRule="auto"/>
        <w:ind w:left="102" w:right="123"/>
        <w:jc w:val="both"/>
      </w:pPr>
      <w:r>
        <w:rPr/>
        <w:t>El Comité Intermunicipal para cuidar, defender y administrar los recursos naturales de la Cuenca Hidrosocial Presa Huapango, se regirá por la propuesta del siguiente reglamento:</w:t>
      </w:r>
    </w:p>
    <w:p>
      <w:pPr>
        <w:spacing w:after="0" w:line="360" w:lineRule="auto"/>
        <w:jc w:val="both"/>
        <w:sectPr>
          <w:footerReference w:type="default" r:id="rId708"/>
          <w:pgSz w:w="12240" w:h="15840"/>
          <w:pgMar w:footer="1003" w:header="0" w:top="1360" w:bottom="1200" w:left="1600" w:right="1580"/>
          <w:pgNumType w:start="838"/>
        </w:sectPr>
      </w:pPr>
    </w:p>
    <w:p>
      <w:pPr>
        <w:pStyle w:val="Heading6"/>
        <w:numPr>
          <w:ilvl w:val="1"/>
          <w:numId w:val="368"/>
        </w:numPr>
        <w:tabs>
          <w:tab w:pos="738" w:val="left" w:leader="none"/>
        </w:tabs>
        <w:spacing w:line="360" w:lineRule="auto" w:before="51" w:after="0"/>
        <w:ind w:left="102" w:right="119" w:firstLine="0"/>
        <w:jc w:val="both"/>
      </w:pPr>
      <w:r>
        <w:rPr/>
        <w:t>REGLAMENTO INTERIOR DEL COMITÉ INTERMUNICIPAL PARA CUIDAR, DEFENDER Y ADMINISTRAR LOS RECURSOS NATURALES DE LA CUENCA HIDROSOCIAL PRESA</w:t>
      </w:r>
      <w:r>
        <w:rPr>
          <w:spacing w:val="-16"/>
        </w:rPr>
        <w:t> </w:t>
      </w:r>
      <w:r>
        <w:rPr/>
        <w:t>HUAPANGO</w:t>
      </w:r>
    </w:p>
    <w:p>
      <w:pPr>
        <w:pStyle w:val="BodyText"/>
        <w:spacing w:before="7"/>
        <w:rPr>
          <w:b/>
          <w:sz w:val="17"/>
        </w:rPr>
      </w:pPr>
    </w:p>
    <w:p>
      <w:pPr>
        <w:spacing w:line="552" w:lineRule="auto" w:before="0"/>
        <w:ind w:left="3114" w:right="3128" w:hanging="4"/>
        <w:jc w:val="center"/>
        <w:rPr>
          <w:b/>
          <w:sz w:val="22"/>
        </w:rPr>
      </w:pPr>
      <w:r>
        <w:rPr>
          <w:b/>
          <w:sz w:val="22"/>
        </w:rPr>
        <w:t>(Propuesta junio 2016) EXPOSICIÓN DE MOTIVOS</w:t>
      </w:r>
    </w:p>
    <w:p>
      <w:pPr>
        <w:pStyle w:val="BodyText"/>
        <w:spacing w:line="360" w:lineRule="auto" w:before="8"/>
        <w:ind w:left="102" w:right="113"/>
        <w:jc w:val="both"/>
      </w:pPr>
      <w:r>
        <w:rPr/>
        <w:t>Que el presente reglamento interno del Comité Intermunicipal para cuidar, defender y administrar los recursos naturales de la Cuenca Hidrosocial Presa Huapango, tiene como propósito fundamental responder a una nueva institucionalidad formal para lograr el manejo integrado de dicha Cuenca por medio de la Gestión Integrada de los Recursos Hídricos, a través de la gobernanza y gobernabilidad, para establecer condiciones sociopolíticas y económicas que mejoren y sostengan (ambientalmente) la calidad de vida de sus habitantes, así como la recuperación y sostenibilidad de la Cuenca Hidrosocial Presa Huapango en los cinco municipios que la integran: Acambay, Aculco, Jilotepec, Polotitlán y Timilpan. Así mismo, responder a la necesidad de tener una reglamentación jurídica basada en el derecho consuetudinario sustentado en la historia, la identidad y la democracia como ejes principales de la Gestión Integrada de los Recursos Hídricos, la gobernanza y la gobernabilidad de la Cuenca Hidrosocial Presa Huapango, dichos ejes fueron identificados en el trabajo de campo como características primordiales a considerar en este Reglamento.</w:t>
      </w:r>
    </w:p>
    <w:p>
      <w:pPr>
        <w:pStyle w:val="BodyText"/>
        <w:spacing w:before="9"/>
        <w:rPr>
          <w:sz w:val="17"/>
        </w:rPr>
      </w:pPr>
    </w:p>
    <w:p>
      <w:pPr>
        <w:pStyle w:val="BodyText"/>
        <w:spacing w:line="360" w:lineRule="auto"/>
        <w:ind w:left="102" w:right="115"/>
        <w:jc w:val="both"/>
      </w:pPr>
      <w:r>
        <w:rPr/>
        <w:t>Con el presente instrumento legal, no se pretende una autonomía regional, sino una integración de actores con respecto a sus usos y costumbres para lograr una distribución equitativa y con mayor justicia de los recursos naturales entre los actores históricos con el apoyo de los actores gubernamentales de los tres ámbitos de gobierno, de las Organizaciones No Gubernamentales y los organismos internacionales, así como de los actores académicos para facilitar el desarrollo de proyectos, ya que el reglamento ubica a la región en el contexto de la Cuenca Hidrosocial Presa Huapango y en el contexto nacional e internacional que le toca jugar, donde su fortaleza histórica de desarrollo radica en la agricultura intensiva, ganadería, gastronomía lacustre, producción lechera y de derivados lácteos.</w:t>
      </w:r>
    </w:p>
    <w:p>
      <w:pPr>
        <w:pStyle w:val="BodyText"/>
        <w:spacing w:before="7"/>
        <w:rPr>
          <w:sz w:val="17"/>
        </w:rPr>
      </w:pPr>
    </w:p>
    <w:p>
      <w:pPr>
        <w:pStyle w:val="BodyText"/>
        <w:spacing w:line="360" w:lineRule="auto"/>
        <w:ind w:left="102" w:right="119"/>
        <w:jc w:val="both"/>
      </w:pPr>
      <w:r>
        <w:rPr/>
        <w:t>El reglamento ubica a la Cuenca Hidrosocial Presa Huapango en un contexto de planeación local, regional, nacional e internacional, basado en su ventaja ambiental,    </w:t>
      </w:r>
      <w:r>
        <w:rPr>
          <w:spacing w:val="54"/>
        </w:rPr>
        <w:t> </w:t>
      </w:r>
      <w:r>
        <w:rPr/>
        <w:t>de</w:t>
      </w:r>
    </w:p>
    <w:p>
      <w:pPr>
        <w:spacing w:after="0" w:line="360" w:lineRule="auto"/>
        <w:jc w:val="both"/>
        <w:sectPr>
          <w:pgSz w:w="12240" w:h="15840"/>
          <w:pgMar w:header="0" w:footer="1003" w:top="1360" w:bottom="1200" w:left="1600" w:right="1580"/>
        </w:sectPr>
      </w:pPr>
    </w:p>
    <w:p>
      <w:pPr>
        <w:pStyle w:val="BodyText"/>
        <w:spacing w:line="360" w:lineRule="auto" w:before="53"/>
        <w:ind w:left="102" w:right="118"/>
        <w:jc w:val="both"/>
      </w:pPr>
      <w:r>
        <w:rPr/>
        <w:t>producción y de organización solidaria a través de la historia. No busca desconocer la ley formal, sino más bien complementarla mediante arreglos institucionales basados en los usos y costumbres que permitan articular e incluir a los actores históricos de mejor manera, en el desarrollo regional más equitativo y justo a través de su participación en los ámbitos ambiental, sociopolítico y económico.</w:t>
      </w:r>
    </w:p>
    <w:p>
      <w:pPr>
        <w:pStyle w:val="BodyText"/>
        <w:spacing w:before="4"/>
        <w:rPr>
          <w:sz w:val="17"/>
        </w:rPr>
      </w:pPr>
    </w:p>
    <w:p>
      <w:pPr>
        <w:pStyle w:val="Heading6"/>
        <w:ind w:left="255"/>
      </w:pPr>
      <w:r>
        <w:rPr/>
        <w:t>TÍTULO PRIMERO. DISPOSICIONES GENERALES DEL COMITÉ INTERMUNICIPAL</w:t>
      </w:r>
    </w:p>
    <w:p>
      <w:pPr>
        <w:pStyle w:val="BodyText"/>
        <w:spacing w:before="5"/>
        <w:rPr>
          <w:b/>
          <w:sz w:val="28"/>
        </w:rPr>
      </w:pPr>
    </w:p>
    <w:p>
      <w:pPr>
        <w:spacing w:before="1"/>
        <w:ind w:left="644" w:right="0" w:firstLine="0"/>
        <w:jc w:val="left"/>
        <w:rPr>
          <w:b/>
          <w:sz w:val="22"/>
        </w:rPr>
      </w:pPr>
      <w:r>
        <w:rPr>
          <w:b/>
          <w:sz w:val="22"/>
        </w:rPr>
        <w:t>Capítulo Único. De las Disposiciones Generales del Comité Intermunicipal</w:t>
      </w:r>
    </w:p>
    <w:p>
      <w:pPr>
        <w:pStyle w:val="BodyText"/>
        <w:spacing w:before="3"/>
        <w:rPr>
          <w:b/>
          <w:sz w:val="28"/>
        </w:rPr>
      </w:pPr>
    </w:p>
    <w:p>
      <w:pPr>
        <w:pStyle w:val="BodyText"/>
        <w:spacing w:line="360" w:lineRule="auto"/>
        <w:ind w:left="102" w:right="119"/>
        <w:jc w:val="both"/>
      </w:pPr>
      <w:r>
        <w:rPr>
          <w:b/>
        </w:rPr>
        <w:t>Artículo 1.- </w:t>
      </w:r>
      <w:r>
        <w:rPr/>
        <w:t>El Comité Intermunicipal para cuidar, defender y administrar los recursos naturales de la Cuenca Hidrosocial Presa Huapango, es un organismo público intermunicipal desconcentrado creado para lograr el manejo integral del territorio de los municipios de Acambay, Aculco, Jilotepec, Polotitlán y Timilpan, con personalidad jurídica, presupuesto y patrimonio propios que no contraviene a la ley formal, ya que está basado en los usos y costumbres de la región (derecho consuetudinario) y se sustenta en la Ley Agraria, artículo 10, que reconoce el derecho de usos y costumbres de los ejidatarios de  la</w:t>
      </w:r>
      <w:r>
        <w:rPr>
          <w:spacing w:val="-4"/>
        </w:rPr>
        <w:t> </w:t>
      </w:r>
      <w:r>
        <w:rPr/>
        <w:t>región.</w:t>
      </w:r>
    </w:p>
    <w:p>
      <w:pPr>
        <w:pStyle w:val="BodyText"/>
        <w:spacing w:before="4"/>
        <w:rPr>
          <w:sz w:val="17"/>
        </w:rPr>
      </w:pPr>
    </w:p>
    <w:p>
      <w:pPr>
        <w:pStyle w:val="BodyText"/>
        <w:ind w:left="102"/>
        <w:jc w:val="both"/>
      </w:pPr>
      <w:r>
        <w:rPr>
          <w:b/>
        </w:rPr>
        <w:t>Artículo 2.- </w:t>
      </w:r>
      <w:r>
        <w:rPr/>
        <w:t>Para los efectos del presente reglamento se entenderá por:</w:t>
      </w:r>
    </w:p>
    <w:p>
      <w:pPr>
        <w:pStyle w:val="BodyText"/>
        <w:spacing w:before="8"/>
        <w:rPr>
          <w:sz w:val="28"/>
        </w:rPr>
      </w:pPr>
    </w:p>
    <w:p>
      <w:pPr>
        <w:pStyle w:val="ListParagraph"/>
        <w:numPr>
          <w:ilvl w:val="0"/>
          <w:numId w:val="375"/>
        </w:numPr>
        <w:tabs>
          <w:tab w:pos="357" w:val="left" w:leader="none"/>
        </w:tabs>
        <w:spacing w:line="360" w:lineRule="auto" w:before="0" w:after="0"/>
        <w:ind w:left="102" w:right="121" w:firstLine="0"/>
        <w:jc w:val="both"/>
        <w:rPr>
          <w:sz w:val="22"/>
        </w:rPr>
      </w:pPr>
      <w:r>
        <w:rPr>
          <w:sz w:val="22"/>
        </w:rPr>
        <w:t>Comité: el Comité Intermunicipal para cuidar, defender y administrar los recursos naturales de la Cuenca Hidrosocial Presa</w:t>
      </w:r>
      <w:r>
        <w:rPr>
          <w:spacing w:val="-14"/>
          <w:sz w:val="22"/>
        </w:rPr>
        <w:t> </w:t>
      </w:r>
      <w:r>
        <w:rPr>
          <w:sz w:val="22"/>
        </w:rPr>
        <w:t>Huapango.</w:t>
      </w:r>
    </w:p>
    <w:p>
      <w:pPr>
        <w:pStyle w:val="BodyText"/>
        <w:spacing w:before="7"/>
        <w:rPr>
          <w:sz w:val="17"/>
        </w:rPr>
      </w:pPr>
    </w:p>
    <w:p>
      <w:pPr>
        <w:pStyle w:val="ListParagraph"/>
        <w:numPr>
          <w:ilvl w:val="0"/>
          <w:numId w:val="375"/>
        </w:numPr>
        <w:tabs>
          <w:tab w:pos="349" w:val="left" w:leader="none"/>
        </w:tabs>
        <w:spacing w:line="240" w:lineRule="auto" w:before="0" w:after="0"/>
        <w:ind w:left="348" w:right="0" w:hanging="246"/>
        <w:jc w:val="both"/>
        <w:rPr>
          <w:sz w:val="22"/>
        </w:rPr>
      </w:pPr>
      <w:r>
        <w:rPr>
          <w:sz w:val="22"/>
        </w:rPr>
        <w:t>Municipios: los municipios de Acambay, Aculco, Jilotepec, Polotitlán y</w:t>
      </w:r>
      <w:r>
        <w:rPr>
          <w:spacing w:val="-27"/>
          <w:sz w:val="22"/>
        </w:rPr>
        <w:t> </w:t>
      </w:r>
      <w:r>
        <w:rPr>
          <w:sz w:val="22"/>
        </w:rPr>
        <w:t>Timilpan.</w:t>
      </w:r>
    </w:p>
    <w:p>
      <w:pPr>
        <w:pStyle w:val="BodyText"/>
        <w:spacing w:before="5"/>
        <w:rPr>
          <w:sz w:val="28"/>
        </w:rPr>
      </w:pPr>
    </w:p>
    <w:p>
      <w:pPr>
        <w:pStyle w:val="ListParagraph"/>
        <w:numPr>
          <w:ilvl w:val="0"/>
          <w:numId w:val="375"/>
        </w:numPr>
        <w:tabs>
          <w:tab w:pos="455" w:val="left" w:leader="none"/>
        </w:tabs>
        <w:spacing w:line="360" w:lineRule="auto" w:before="1" w:after="0"/>
        <w:ind w:left="102" w:right="117" w:firstLine="0"/>
        <w:jc w:val="both"/>
        <w:rPr>
          <w:sz w:val="22"/>
        </w:rPr>
      </w:pPr>
      <w:r>
        <w:rPr>
          <w:sz w:val="22"/>
        </w:rPr>
        <w:t>Actores: los actores históricos (pescadores, ganaderos, industriales y comerciantes lácteos, turismo, autoridades auxiliares de los municipios), del gobierno municipal, del gobierno estatal, del gobierno federal, de las Organizaciones No Gubernamentales, de los organismos internacionales y los actores</w:t>
      </w:r>
      <w:r>
        <w:rPr>
          <w:spacing w:val="-14"/>
          <w:sz w:val="22"/>
        </w:rPr>
        <w:t> </w:t>
      </w:r>
      <w:r>
        <w:rPr>
          <w:sz w:val="22"/>
        </w:rPr>
        <w:t>académicos.</w:t>
      </w:r>
    </w:p>
    <w:p>
      <w:pPr>
        <w:pStyle w:val="BodyText"/>
        <w:spacing w:before="10"/>
        <w:rPr>
          <w:sz w:val="17"/>
        </w:rPr>
      </w:pPr>
    </w:p>
    <w:p>
      <w:pPr>
        <w:pStyle w:val="ListParagraph"/>
        <w:numPr>
          <w:ilvl w:val="0"/>
          <w:numId w:val="375"/>
        </w:numPr>
        <w:tabs>
          <w:tab w:pos="553" w:val="left" w:leader="none"/>
        </w:tabs>
        <w:spacing w:line="360" w:lineRule="auto" w:before="0" w:after="0"/>
        <w:ind w:left="102" w:right="116" w:firstLine="0"/>
        <w:jc w:val="both"/>
        <w:rPr>
          <w:sz w:val="22"/>
        </w:rPr>
      </w:pPr>
      <w:r>
        <w:rPr>
          <w:sz w:val="22"/>
        </w:rPr>
        <w:t>Asamblea General: es la máxima autoridad del Comité, donde se reúnen todos los actores históricos con voz y voto con apoyo de los actores gubernamentales de los tres ámbitos de gobierno, de las Organizaciones No Gubernamentales y organismos internacionales, de los actores académicos con voz, pero sin voto, para decidir mediante acuerdos democráticos la estructura sociopolítica del Comité y las líneas de acción de éste.</w:t>
      </w:r>
    </w:p>
    <w:p>
      <w:pPr>
        <w:spacing w:after="0" w:line="360" w:lineRule="auto"/>
        <w:jc w:val="both"/>
        <w:rPr>
          <w:sz w:val="22"/>
        </w:rPr>
        <w:sectPr>
          <w:footerReference w:type="default" r:id="rId709"/>
          <w:pgSz w:w="12240" w:h="15840"/>
          <w:pgMar w:footer="1003" w:header="0" w:top="1360" w:bottom="1200" w:left="1600" w:right="1580"/>
          <w:pgNumType w:start="840"/>
        </w:sectPr>
      </w:pPr>
    </w:p>
    <w:p>
      <w:pPr>
        <w:pStyle w:val="ListParagraph"/>
        <w:numPr>
          <w:ilvl w:val="0"/>
          <w:numId w:val="375"/>
        </w:numPr>
        <w:tabs>
          <w:tab w:pos="373" w:val="left" w:leader="none"/>
        </w:tabs>
        <w:spacing w:line="240" w:lineRule="auto" w:before="53" w:after="0"/>
        <w:ind w:left="373" w:right="0" w:hanging="271"/>
        <w:jc w:val="both"/>
        <w:rPr>
          <w:sz w:val="22"/>
        </w:rPr>
      </w:pPr>
      <w:r>
        <w:rPr>
          <w:sz w:val="22"/>
        </w:rPr>
        <w:t>Recinto: es el lugar que se designe para llevar acabo las asambleas del</w:t>
      </w:r>
      <w:r>
        <w:rPr>
          <w:spacing w:val="-22"/>
          <w:sz w:val="22"/>
        </w:rPr>
        <w:t> </w:t>
      </w:r>
      <w:r>
        <w:rPr>
          <w:sz w:val="22"/>
        </w:rPr>
        <w:t>Comité.</w:t>
      </w:r>
    </w:p>
    <w:p>
      <w:pPr>
        <w:pStyle w:val="BodyText"/>
        <w:spacing w:before="6"/>
        <w:rPr>
          <w:sz w:val="28"/>
        </w:rPr>
      </w:pPr>
    </w:p>
    <w:p>
      <w:pPr>
        <w:pStyle w:val="ListParagraph"/>
        <w:numPr>
          <w:ilvl w:val="0"/>
          <w:numId w:val="375"/>
        </w:numPr>
        <w:tabs>
          <w:tab w:pos="479" w:val="left" w:leader="none"/>
        </w:tabs>
        <w:spacing w:line="360" w:lineRule="auto" w:before="0" w:after="0"/>
        <w:ind w:left="102" w:right="114" w:firstLine="0"/>
        <w:jc w:val="both"/>
        <w:rPr>
          <w:sz w:val="22"/>
        </w:rPr>
      </w:pPr>
      <w:r>
        <w:rPr>
          <w:sz w:val="22"/>
        </w:rPr>
        <w:t>Acta Constitutiva: es el documento que formalice la creación del Comité mediante acuerdo democrático de los actores históricos basado en los usos y costumbres de la región.</w:t>
      </w:r>
    </w:p>
    <w:p>
      <w:pPr>
        <w:pStyle w:val="BodyText"/>
        <w:spacing w:before="9"/>
        <w:rPr>
          <w:sz w:val="17"/>
        </w:rPr>
      </w:pPr>
    </w:p>
    <w:p>
      <w:pPr>
        <w:pStyle w:val="ListParagraph"/>
        <w:numPr>
          <w:ilvl w:val="0"/>
          <w:numId w:val="375"/>
        </w:numPr>
        <w:tabs>
          <w:tab w:pos="575" w:val="left" w:leader="none"/>
        </w:tabs>
        <w:spacing w:line="360" w:lineRule="auto" w:before="0" w:after="0"/>
        <w:ind w:left="102" w:right="115" w:firstLine="0"/>
        <w:jc w:val="both"/>
        <w:rPr>
          <w:sz w:val="22"/>
        </w:rPr>
      </w:pPr>
      <w:r>
        <w:rPr>
          <w:sz w:val="22"/>
        </w:rPr>
        <w:t>Estructura sociopolítica: es el órgano de gobierno decidido mediante acuerdos democráticos en asamblea general por los actores históricos de la Cuenca Hidrosocial Presa Huapango para su representación del Comité ante la población de la Cuenca y otras instancias</w:t>
      </w:r>
      <w:r>
        <w:rPr>
          <w:spacing w:val="-4"/>
          <w:sz w:val="22"/>
        </w:rPr>
        <w:t> </w:t>
      </w:r>
      <w:r>
        <w:rPr>
          <w:sz w:val="22"/>
        </w:rPr>
        <w:t>públicas.</w:t>
      </w:r>
    </w:p>
    <w:p>
      <w:pPr>
        <w:pStyle w:val="BodyText"/>
        <w:spacing w:before="7"/>
        <w:rPr>
          <w:sz w:val="17"/>
        </w:rPr>
      </w:pPr>
    </w:p>
    <w:p>
      <w:pPr>
        <w:pStyle w:val="ListParagraph"/>
        <w:numPr>
          <w:ilvl w:val="0"/>
          <w:numId w:val="375"/>
        </w:numPr>
        <w:tabs>
          <w:tab w:pos="565" w:val="left" w:leader="none"/>
        </w:tabs>
        <w:spacing w:line="360" w:lineRule="auto" w:before="0" w:after="0"/>
        <w:ind w:left="102" w:right="117" w:firstLine="0"/>
        <w:jc w:val="both"/>
        <w:rPr>
          <w:sz w:val="22"/>
        </w:rPr>
      </w:pPr>
      <w:r>
        <w:rPr>
          <w:sz w:val="22"/>
        </w:rPr>
        <w:t>Órgano de Gobierno: son las personas que fueron electas democráticamente por los actores históricos para su representación como Comité ante la población y otras  instancias</w:t>
      </w:r>
      <w:r>
        <w:rPr>
          <w:spacing w:val="-2"/>
          <w:sz w:val="22"/>
        </w:rPr>
        <w:t> </w:t>
      </w:r>
      <w:r>
        <w:rPr>
          <w:sz w:val="22"/>
        </w:rPr>
        <w:t>públicas.</w:t>
      </w:r>
    </w:p>
    <w:p>
      <w:pPr>
        <w:pStyle w:val="BodyText"/>
        <w:spacing w:before="7"/>
        <w:rPr>
          <w:sz w:val="17"/>
        </w:rPr>
      </w:pPr>
    </w:p>
    <w:p>
      <w:pPr>
        <w:pStyle w:val="ListParagraph"/>
        <w:numPr>
          <w:ilvl w:val="0"/>
          <w:numId w:val="375"/>
        </w:numPr>
        <w:tabs>
          <w:tab w:pos="436" w:val="left" w:leader="none"/>
        </w:tabs>
        <w:spacing w:line="240" w:lineRule="auto" w:before="0" w:after="0"/>
        <w:ind w:left="435" w:right="0" w:hanging="333"/>
        <w:jc w:val="both"/>
        <w:rPr>
          <w:sz w:val="22"/>
        </w:rPr>
      </w:pPr>
      <w:r>
        <w:rPr>
          <w:sz w:val="22"/>
        </w:rPr>
        <w:t>Actores</w:t>
      </w:r>
      <w:r>
        <w:rPr>
          <w:spacing w:val="-9"/>
          <w:sz w:val="22"/>
        </w:rPr>
        <w:t> </w:t>
      </w:r>
      <w:r>
        <w:rPr>
          <w:sz w:val="22"/>
        </w:rPr>
        <w:t>Históricos</w:t>
      </w:r>
    </w:p>
    <w:p>
      <w:pPr>
        <w:pStyle w:val="BodyText"/>
        <w:spacing w:before="3"/>
        <w:rPr>
          <w:sz w:val="28"/>
        </w:rPr>
      </w:pPr>
    </w:p>
    <w:p>
      <w:pPr>
        <w:pStyle w:val="ListParagraph"/>
        <w:numPr>
          <w:ilvl w:val="0"/>
          <w:numId w:val="375"/>
        </w:numPr>
        <w:tabs>
          <w:tab w:pos="373" w:val="left" w:leader="none"/>
        </w:tabs>
        <w:spacing w:line="240" w:lineRule="auto" w:before="0" w:after="0"/>
        <w:ind w:left="373" w:right="0" w:hanging="271"/>
        <w:jc w:val="both"/>
        <w:rPr>
          <w:sz w:val="22"/>
        </w:rPr>
      </w:pPr>
      <w:r>
        <w:rPr>
          <w:sz w:val="22"/>
        </w:rPr>
        <w:t>Actores</w:t>
      </w:r>
      <w:r>
        <w:rPr>
          <w:spacing w:val="-11"/>
          <w:sz w:val="22"/>
        </w:rPr>
        <w:t> </w:t>
      </w:r>
      <w:r>
        <w:rPr>
          <w:sz w:val="22"/>
        </w:rPr>
        <w:t>Gubernamentales</w:t>
      </w:r>
    </w:p>
    <w:p>
      <w:pPr>
        <w:pStyle w:val="BodyText"/>
        <w:spacing w:before="5"/>
        <w:rPr>
          <w:sz w:val="28"/>
        </w:rPr>
      </w:pPr>
    </w:p>
    <w:p>
      <w:pPr>
        <w:pStyle w:val="ListParagraph"/>
        <w:numPr>
          <w:ilvl w:val="0"/>
          <w:numId w:val="375"/>
        </w:numPr>
        <w:tabs>
          <w:tab w:pos="434" w:val="left" w:leader="none"/>
        </w:tabs>
        <w:spacing w:line="240" w:lineRule="auto" w:before="1" w:after="0"/>
        <w:ind w:left="433" w:right="0" w:hanging="331"/>
        <w:jc w:val="both"/>
        <w:rPr>
          <w:sz w:val="22"/>
        </w:rPr>
      </w:pPr>
      <w:r>
        <w:rPr>
          <w:sz w:val="22"/>
        </w:rPr>
        <w:t>Organizaciones No</w:t>
      </w:r>
      <w:r>
        <w:rPr>
          <w:spacing w:val="-8"/>
          <w:sz w:val="22"/>
        </w:rPr>
        <w:t> </w:t>
      </w:r>
      <w:r>
        <w:rPr>
          <w:sz w:val="22"/>
        </w:rPr>
        <w:t>Gubernamentales</w:t>
      </w:r>
    </w:p>
    <w:p>
      <w:pPr>
        <w:pStyle w:val="BodyText"/>
        <w:spacing w:before="3"/>
        <w:rPr>
          <w:sz w:val="28"/>
        </w:rPr>
      </w:pPr>
    </w:p>
    <w:p>
      <w:pPr>
        <w:pStyle w:val="ListParagraph"/>
        <w:numPr>
          <w:ilvl w:val="0"/>
          <w:numId w:val="375"/>
        </w:numPr>
        <w:tabs>
          <w:tab w:pos="496" w:val="left" w:leader="none"/>
        </w:tabs>
        <w:spacing w:line="240" w:lineRule="auto" w:before="0" w:after="0"/>
        <w:ind w:left="495" w:right="0" w:hanging="393"/>
        <w:jc w:val="both"/>
        <w:rPr>
          <w:sz w:val="22"/>
        </w:rPr>
      </w:pPr>
      <w:r>
        <w:rPr>
          <w:sz w:val="22"/>
        </w:rPr>
        <w:t>Actores</w:t>
      </w:r>
      <w:r>
        <w:rPr>
          <w:spacing w:val="-3"/>
          <w:sz w:val="22"/>
        </w:rPr>
        <w:t> </w:t>
      </w:r>
      <w:r>
        <w:rPr>
          <w:sz w:val="22"/>
        </w:rPr>
        <w:t>Académicos</w:t>
      </w:r>
    </w:p>
    <w:p>
      <w:pPr>
        <w:pStyle w:val="BodyText"/>
        <w:spacing w:before="3"/>
        <w:rPr>
          <w:sz w:val="28"/>
        </w:rPr>
      </w:pPr>
    </w:p>
    <w:p>
      <w:pPr>
        <w:pStyle w:val="BodyText"/>
        <w:spacing w:line="360" w:lineRule="auto" w:before="1"/>
        <w:ind w:left="102" w:right="115"/>
        <w:jc w:val="both"/>
      </w:pPr>
      <w:r>
        <w:rPr>
          <w:b/>
        </w:rPr>
        <w:t>Artículo 3.- </w:t>
      </w:r>
      <w:r>
        <w:rPr/>
        <w:t>El presente reglamento tiene el objetivo de normar las actividades, organización y funcionamiento interno del Comité Intermunicipal para cuidar, defender y administrar los recursos naturales de la Cuenca Hidrosocial Presa Huapango, para dar atención y continuidad a cada una de las acciones que se llevan a cabo en el ámbito de competencia de éste.</w:t>
      </w:r>
    </w:p>
    <w:p>
      <w:pPr>
        <w:pStyle w:val="BodyText"/>
        <w:spacing w:before="7"/>
        <w:rPr>
          <w:sz w:val="17"/>
        </w:rPr>
      </w:pPr>
    </w:p>
    <w:p>
      <w:pPr>
        <w:pStyle w:val="BodyText"/>
        <w:ind w:left="102"/>
        <w:jc w:val="both"/>
      </w:pPr>
      <w:r>
        <w:rPr>
          <w:b/>
        </w:rPr>
        <w:t>Artículo 4.- </w:t>
      </w:r>
      <w:r>
        <w:rPr/>
        <w:t>El Comité tendrá como objetivos los siguientes temas:</w:t>
      </w:r>
    </w:p>
    <w:p>
      <w:pPr>
        <w:pStyle w:val="BodyText"/>
        <w:spacing w:before="5"/>
        <w:rPr>
          <w:sz w:val="28"/>
        </w:rPr>
      </w:pPr>
    </w:p>
    <w:p>
      <w:pPr>
        <w:pStyle w:val="ListParagraph"/>
        <w:numPr>
          <w:ilvl w:val="0"/>
          <w:numId w:val="376"/>
        </w:numPr>
        <w:tabs>
          <w:tab w:pos="287" w:val="left" w:leader="none"/>
        </w:tabs>
        <w:spacing w:line="240" w:lineRule="auto" w:before="1" w:after="0"/>
        <w:ind w:left="102" w:right="0" w:firstLine="0"/>
        <w:jc w:val="both"/>
        <w:rPr>
          <w:sz w:val="22"/>
        </w:rPr>
      </w:pPr>
      <w:r>
        <w:rPr>
          <w:sz w:val="22"/>
        </w:rPr>
        <w:t>Cuidar, administrar y defender los recursos</w:t>
      </w:r>
      <w:r>
        <w:rPr>
          <w:spacing w:val="-17"/>
          <w:sz w:val="22"/>
        </w:rPr>
        <w:t> </w:t>
      </w:r>
      <w:r>
        <w:rPr>
          <w:sz w:val="22"/>
        </w:rPr>
        <w:t>naturales</w:t>
      </w:r>
    </w:p>
    <w:p>
      <w:pPr>
        <w:pStyle w:val="BodyText"/>
        <w:spacing w:before="6"/>
        <w:rPr>
          <w:sz w:val="28"/>
        </w:rPr>
      </w:pPr>
    </w:p>
    <w:p>
      <w:pPr>
        <w:pStyle w:val="ListParagraph"/>
        <w:numPr>
          <w:ilvl w:val="0"/>
          <w:numId w:val="376"/>
        </w:numPr>
        <w:tabs>
          <w:tab w:pos="349" w:val="left" w:leader="none"/>
        </w:tabs>
        <w:spacing w:line="240" w:lineRule="auto" w:before="0" w:after="0"/>
        <w:ind w:left="348" w:right="0" w:hanging="246"/>
        <w:jc w:val="both"/>
        <w:rPr>
          <w:sz w:val="22"/>
        </w:rPr>
      </w:pPr>
      <w:r>
        <w:rPr>
          <w:sz w:val="22"/>
        </w:rPr>
        <w:t>Velar por una distribución equitativa y más justa de los recursos</w:t>
      </w:r>
      <w:r>
        <w:rPr>
          <w:spacing w:val="-29"/>
          <w:sz w:val="22"/>
        </w:rPr>
        <w:t> </w:t>
      </w:r>
      <w:r>
        <w:rPr>
          <w:sz w:val="22"/>
        </w:rPr>
        <w:t>naturales.</w:t>
      </w:r>
    </w:p>
    <w:p>
      <w:pPr>
        <w:pStyle w:val="BodyText"/>
        <w:spacing w:before="3"/>
        <w:rPr>
          <w:sz w:val="28"/>
        </w:rPr>
      </w:pPr>
    </w:p>
    <w:p>
      <w:pPr>
        <w:pStyle w:val="ListParagraph"/>
        <w:numPr>
          <w:ilvl w:val="0"/>
          <w:numId w:val="376"/>
        </w:numPr>
        <w:tabs>
          <w:tab w:pos="409" w:val="left" w:leader="none"/>
        </w:tabs>
        <w:spacing w:line="240" w:lineRule="auto" w:before="0" w:after="0"/>
        <w:ind w:left="409" w:right="0" w:hanging="307"/>
        <w:jc w:val="both"/>
        <w:rPr>
          <w:sz w:val="22"/>
        </w:rPr>
      </w:pPr>
      <w:r>
        <w:rPr>
          <w:sz w:val="22"/>
        </w:rPr>
        <w:t>Rehabilitación/restauración ambiental y</w:t>
      </w:r>
      <w:r>
        <w:rPr>
          <w:spacing w:val="-15"/>
          <w:sz w:val="22"/>
        </w:rPr>
        <w:t> </w:t>
      </w:r>
      <w:r>
        <w:rPr>
          <w:sz w:val="22"/>
        </w:rPr>
        <w:t>ecológica</w:t>
      </w:r>
    </w:p>
    <w:p>
      <w:pPr>
        <w:pStyle w:val="BodyText"/>
        <w:spacing w:before="3"/>
        <w:rPr>
          <w:sz w:val="28"/>
        </w:rPr>
      </w:pPr>
    </w:p>
    <w:p>
      <w:pPr>
        <w:pStyle w:val="ListParagraph"/>
        <w:numPr>
          <w:ilvl w:val="0"/>
          <w:numId w:val="376"/>
        </w:numPr>
        <w:tabs>
          <w:tab w:pos="436" w:val="left" w:leader="none"/>
        </w:tabs>
        <w:spacing w:line="240" w:lineRule="auto" w:before="0" w:after="0"/>
        <w:ind w:left="435" w:right="0" w:hanging="333"/>
        <w:jc w:val="both"/>
        <w:rPr>
          <w:sz w:val="22"/>
        </w:rPr>
      </w:pPr>
      <w:r>
        <w:rPr>
          <w:sz w:val="22"/>
        </w:rPr>
        <w:t>Planeación</w:t>
      </w:r>
      <w:r>
        <w:rPr>
          <w:spacing w:val="-5"/>
          <w:sz w:val="22"/>
        </w:rPr>
        <w:t> </w:t>
      </w:r>
      <w:r>
        <w:rPr>
          <w:sz w:val="22"/>
        </w:rPr>
        <w:t>urbana</w:t>
      </w:r>
    </w:p>
    <w:p>
      <w:pPr>
        <w:pStyle w:val="BodyText"/>
        <w:spacing w:before="5"/>
        <w:rPr>
          <w:sz w:val="28"/>
        </w:rPr>
      </w:pPr>
    </w:p>
    <w:p>
      <w:pPr>
        <w:pStyle w:val="ListParagraph"/>
        <w:numPr>
          <w:ilvl w:val="0"/>
          <w:numId w:val="376"/>
        </w:numPr>
        <w:tabs>
          <w:tab w:pos="373" w:val="left" w:leader="none"/>
        </w:tabs>
        <w:spacing w:line="240" w:lineRule="auto" w:before="0" w:after="0"/>
        <w:ind w:left="373" w:right="0" w:hanging="271"/>
        <w:jc w:val="both"/>
        <w:rPr>
          <w:sz w:val="22"/>
        </w:rPr>
      </w:pPr>
      <w:r>
        <w:rPr>
          <w:sz w:val="22"/>
        </w:rPr>
        <w:t>Manejo y protección de</w:t>
      </w:r>
      <w:r>
        <w:rPr>
          <w:spacing w:val="-6"/>
          <w:sz w:val="22"/>
        </w:rPr>
        <w:t> </w:t>
      </w:r>
      <w:r>
        <w:rPr>
          <w:sz w:val="22"/>
        </w:rPr>
        <w:t>bosques</w:t>
      </w:r>
    </w:p>
    <w:p>
      <w:pPr>
        <w:spacing w:after="0" w:line="240" w:lineRule="auto"/>
        <w:jc w:val="both"/>
        <w:rPr>
          <w:sz w:val="22"/>
        </w:rPr>
        <w:sectPr>
          <w:pgSz w:w="12240" w:h="15840"/>
          <w:pgMar w:header="0" w:footer="1003" w:top="1360" w:bottom="1200" w:left="1600" w:right="1580"/>
        </w:sectPr>
      </w:pPr>
    </w:p>
    <w:p>
      <w:pPr>
        <w:pStyle w:val="ListParagraph"/>
        <w:numPr>
          <w:ilvl w:val="0"/>
          <w:numId w:val="376"/>
        </w:numPr>
        <w:tabs>
          <w:tab w:pos="455" w:val="left" w:leader="none"/>
        </w:tabs>
        <w:spacing w:line="362" w:lineRule="auto" w:before="53" w:after="0"/>
        <w:ind w:left="102" w:right="119" w:firstLine="0"/>
        <w:jc w:val="both"/>
        <w:rPr>
          <w:sz w:val="22"/>
        </w:rPr>
      </w:pPr>
      <w:r>
        <w:rPr>
          <w:sz w:val="22"/>
        </w:rPr>
        <w:t>Disminuir la contaminación causada por aguas residuales de desechos domésticos e industriales.</w:t>
      </w:r>
    </w:p>
    <w:p>
      <w:pPr>
        <w:pStyle w:val="BodyText"/>
        <w:spacing w:before="4"/>
        <w:rPr>
          <w:sz w:val="17"/>
        </w:rPr>
      </w:pPr>
    </w:p>
    <w:p>
      <w:pPr>
        <w:pStyle w:val="ListParagraph"/>
        <w:numPr>
          <w:ilvl w:val="0"/>
          <w:numId w:val="376"/>
        </w:numPr>
        <w:tabs>
          <w:tab w:pos="496" w:val="left" w:leader="none"/>
        </w:tabs>
        <w:spacing w:line="240" w:lineRule="auto" w:before="0" w:after="0"/>
        <w:ind w:left="495" w:right="0" w:hanging="393"/>
        <w:jc w:val="both"/>
        <w:rPr>
          <w:sz w:val="22"/>
        </w:rPr>
      </w:pPr>
      <w:r>
        <w:rPr>
          <w:sz w:val="22"/>
        </w:rPr>
        <w:t>Fomentar la educación y cultura ambiental, principalmente con los</w:t>
      </w:r>
      <w:r>
        <w:rPr>
          <w:spacing w:val="-18"/>
          <w:sz w:val="22"/>
        </w:rPr>
        <w:t> </w:t>
      </w:r>
      <w:r>
        <w:rPr>
          <w:sz w:val="22"/>
        </w:rPr>
        <w:t>niños.</w:t>
      </w:r>
    </w:p>
    <w:p>
      <w:pPr>
        <w:pStyle w:val="BodyText"/>
        <w:spacing w:before="3"/>
        <w:rPr>
          <w:sz w:val="28"/>
        </w:rPr>
      </w:pPr>
    </w:p>
    <w:p>
      <w:pPr>
        <w:pStyle w:val="ListParagraph"/>
        <w:numPr>
          <w:ilvl w:val="0"/>
          <w:numId w:val="376"/>
        </w:numPr>
        <w:tabs>
          <w:tab w:pos="762" w:val="left" w:leader="none"/>
        </w:tabs>
        <w:spacing w:line="360" w:lineRule="auto" w:before="0" w:after="0"/>
        <w:ind w:left="102" w:right="120" w:firstLine="0"/>
        <w:jc w:val="both"/>
        <w:rPr>
          <w:sz w:val="22"/>
        </w:rPr>
      </w:pPr>
      <w:r>
        <w:rPr>
          <w:sz w:val="22"/>
        </w:rPr>
        <w:t>Gestionar apoyos con instancias gubernamentales, Organizaciones No Gubernamentales y actores académicos para realizar proyectos en beneficio de la Cuenca Hidrosocial Presa</w:t>
      </w:r>
      <w:r>
        <w:rPr>
          <w:spacing w:val="-7"/>
          <w:sz w:val="22"/>
        </w:rPr>
        <w:t> </w:t>
      </w:r>
      <w:r>
        <w:rPr>
          <w:sz w:val="22"/>
        </w:rPr>
        <w:t>Huapango.</w:t>
      </w:r>
    </w:p>
    <w:p>
      <w:pPr>
        <w:pStyle w:val="BodyText"/>
        <w:spacing w:before="7"/>
        <w:rPr>
          <w:sz w:val="17"/>
        </w:rPr>
      </w:pPr>
    </w:p>
    <w:p>
      <w:pPr>
        <w:pStyle w:val="ListParagraph"/>
        <w:numPr>
          <w:ilvl w:val="0"/>
          <w:numId w:val="376"/>
        </w:numPr>
        <w:tabs>
          <w:tab w:pos="472" w:val="left" w:leader="none"/>
        </w:tabs>
        <w:spacing w:line="360" w:lineRule="auto" w:before="0" w:after="0"/>
        <w:ind w:left="102" w:right="117" w:firstLine="0"/>
        <w:jc w:val="both"/>
        <w:rPr>
          <w:sz w:val="22"/>
        </w:rPr>
      </w:pPr>
      <w:r>
        <w:rPr>
          <w:sz w:val="22"/>
        </w:rPr>
        <w:t>Coordinar las decisiones democráticas en torno al medio ambiente y el uso de los recursos naturales de la Cuenca Hidrosocial Presa</w:t>
      </w:r>
      <w:r>
        <w:rPr>
          <w:spacing w:val="-14"/>
          <w:sz w:val="22"/>
        </w:rPr>
        <w:t> </w:t>
      </w:r>
      <w:r>
        <w:rPr>
          <w:sz w:val="22"/>
        </w:rPr>
        <w:t>Huapango.</w:t>
      </w:r>
    </w:p>
    <w:p>
      <w:pPr>
        <w:pStyle w:val="BodyText"/>
        <w:spacing w:before="10"/>
        <w:rPr>
          <w:sz w:val="17"/>
        </w:rPr>
      </w:pPr>
    </w:p>
    <w:p>
      <w:pPr>
        <w:pStyle w:val="BodyText"/>
        <w:spacing w:line="360" w:lineRule="auto"/>
        <w:ind w:left="102" w:right="112"/>
        <w:jc w:val="both"/>
      </w:pPr>
      <w:r>
        <w:rPr/>
        <w:t>Todas las áreas relacionadas con el medio ambiente que sean de interés de los actores históricos de los municipios, tales como la concertación, cooperación, participación y acción colectiva de la ciudadanía en general.</w:t>
      </w:r>
    </w:p>
    <w:p>
      <w:pPr>
        <w:pStyle w:val="BodyText"/>
        <w:spacing w:before="4"/>
        <w:rPr>
          <w:sz w:val="17"/>
        </w:rPr>
      </w:pPr>
    </w:p>
    <w:p>
      <w:pPr>
        <w:pStyle w:val="BodyText"/>
        <w:spacing w:line="360" w:lineRule="auto"/>
        <w:ind w:left="102" w:right="117"/>
        <w:jc w:val="both"/>
      </w:pPr>
      <w:r>
        <w:rPr>
          <w:b/>
        </w:rPr>
        <w:t>Artículo 5.- </w:t>
      </w:r>
      <w:r>
        <w:rPr/>
        <w:t>El ámbito de competencia del Comité, será la circunscripción territorial de los municipios denominados como Cuenca Hidrosocial Presa Huapango (Acambay, Aculco, Jilotepec, Polotitlán y Timilpan). Para el cumplimiento de sus objetivos, facultades y obligaciones, tendrá una Estructura de Gobierno con un Comité de Vigilancia. Pudiendo ampliarse la estructura señalada, de manera justificada y aprobada en Asamblea General, por medio de acuerdos democráticos y asentada por escrito.</w:t>
      </w:r>
    </w:p>
    <w:p>
      <w:pPr>
        <w:pStyle w:val="BodyText"/>
        <w:spacing w:before="4"/>
        <w:rPr>
          <w:sz w:val="17"/>
        </w:rPr>
      </w:pPr>
    </w:p>
    <w:p>
      <w:pPr>
        <w:pStyle w:val="Heading6"/>
        <w:ind w:left="213" w:right="239"/>
        <w:jc w:val="center"/>
      </w:pPr>
      <w:r>
        <w:rPr/>
        <w:t>TÍTULO SEGUNDO. DE LA ESTRUCTURA DE GOBIERNO DEL COMITÉ</w:t>
      </w:r>
    </w:p>
    <w:p>
      <w:pPr>
        <w:pStyle w:val="BodyText"/>
        <w:spacing w:before="5"/>
        <w:rPr>
          <w:b/>
          <w:sz w:val="28"/>
        </w:rPr>
      </w:pPr>
    </w:p>
    <w:p>
      <w:pPr>
        <w:spacing w:line="360" w:lineRule="auto" w:before="1"/>
        <w:ind w:left="220" w:right="239" w:firstLine="0"/>
        <w:jc w:val="center"/>
        <w:rPr>
          <w:b/>
          <w:sz w:val="22"/>
        </w:rPr>
      </w:pPr>
      <w:r>
        <w:rPr>
          <w:b/>
          <w:sz w:val="22"/>
        </w:rPr>
        <w:t>Capítulo Único. De la integración y atribuciones de los miembros del órgano de gobierno</w:t>
      </w:r>
    </w:p>
    <w:p>
      <w:pPr>
        <w:pStyle w:val="BodyText"/>
        <w:spacing w:before="7"/>
        <w:rPr>
          <w:b/>
          <w:sz w:val="17"/>
        </w:rPr>
      </w:pPr>
    </w:p>
    <w:p>
      <w:pPr>
        <w:pStyle w:val="BodyText"/>
        <w:spacing w:line="362" w:lineRule="auto"/>
        <w:ind w:left="102" w:right="118"/>
        <w:jc w:val="both"/>
      </w:pPr>
      <w:r>
        <w:rPr>
          <w:b/>
        </w:rPr>
        <w:t>Artículo 6.- </w:t>
      </w:r>
      <w:r>
        <w:rPr/>
        <w:t>Existirá un Comité Intermunicipal para cuidar, defender y administrar los recursos naturales de la Cuenca Hidrosocial Presa Huapango que será representado por un Órgano de </w:t>
      </w:r>
      <w:r>
        <w:rPr>
          <w:sz w:val="20"/>
        </w:rPr>
        <w:t>G</w:t>
      </w:r>
      <w:r>
        <w:rPr/>
        <w:t>obierno integrado por un total de 6 personas y un Comité de Vigilancia integrado por un total de 6 personas también, a saber :</w:t>
      </w:r>
    </w:p>
    <w:p>
      <w:pPr>
        <w:pStyle w:val="BodyText"/>
        <w:spacing w:before="4"/>
        <w:rPr>
          <w:sz w:val="17"/>
        </w:rPr>
      </w:pPr>
    </w:p>
    <w:p>
      <w:pPr>
        <w:pStyle w:val="ListParagraph"/>
        <w:numPr>
          <w:ilvl w:val="0"/>
          <w:numId w:val="377"/>
        </w:numPr>
        <w:tabs>
          <w:tab w:pos="287" w:val="left" w:leader="none"/>
        </w:tabs>
        <w:spacing w:line="240" w:lineRule="auto" w:before="0" w:after="0"/>
        <w:ind w:left="286" w:right="0" w:hanging="184"/>
        <w:jc w:val="both"/>
        <w:rPr>
          <w:sz w:val="22"/>
        </w:rPr>
      </w:pPr>
      <w:r>
        <w:rPr>
          <w:sz w:val="22"/>
        </w:rPr>
        <w:t>El Presidente con su</w:t>
      </w:r>
      <w:r>
        <w:rPr>
          <w:spacing w:val="-6"/>
          <w:sz w:val="22"/>
        </w:rPr>
        <w:t> </w:t>
      </w:r>
      <w:r>
        <w:rPr>
          <w:sz w:val="22"/>
        </w:rPr>
        <w:t>suplente</w:t>
      </w:r>
    </w:p>
    <w:p>
      <w:pPr>
        <w:pStyle w:val="BodyText"/>
        <w:spacing w:before="5"/>
        <w:rPr>
          <w:sz w:val="28"/>
        </w:rPr>
      </w:pPr>
    </w:p>
    <w:p>
      <w:pPr>
        <w:pStyle w:val="ListParagraph"/>
        <w:numPr>
          <w:ilvl w:val="0"/>
          <w:numId w:val="377"/>
        </w:numPr>
        <w:tabs>
          <w:tab w:pos="349" w:val="left" w:leader="none"/>
        </w:tabs>
        <w:spacing w:line="240" w:lineRule="auto" w:before="1" w:after="0"/>
        <w:ind w:left="348" w:right="0" w:hanging="246"/>
        <w:jc w:val="both"/>
        <w:rPr>
          <w:sz w:val="22"/>
        </w:rPr>
      </w:pPr>
      <w:r>
        <w:rPr>
          <w:sz w:val="22"/>
        </w:rPr>
        <w:t>El Secretario con su</w:t>
      </w:r>
      <w:r>
        <w:rPr>
          <w:spacing w:val="-9"/>
          <w:sz w:val="22"/>
        </w:rPr>
        <w:t> </w:t>
      </w:r>
      <w:r>
        <w:rPr>
          <w:sz w:val="22"/>
        </w:rPr>
        <w:t>suplente</w:t>
      </w:r>
    </w:p>
    <w:p>
      <w:pPr>
        <w:pStyle w:val="BodyText"/>
        <w:spacing w:before="3"/>
        <w:rPr>
          <w:sz w:val="28"/>
        </w:rPr>
      </w:pPr>
    </w:p>
    <w:p>
      <w:pPr>
        <w:pStyle w:val="ListParagraph"/>
        <w:numPr>
          <w:ilvl w:val="0"/>
          <w:numId w:val="377"/>
        </w:numPr>
        <w:tabs>
          <w:tab w:pos="409" w:val="left" w:leader="none"/>
        </w:tabs>
        <w:spacing w:line="240" w:lineRule="auto" w:before="0" w:after="0"/>
        <w:ind w:left="409" w:right="0" w:hanging="307"/>
        <w:jc w:val="both"/>
        <w:rPr>
          <w:sz w:val="22"/>
        </w:rPr>
      </w:pPr>
      <w:r>
        <w:rPr>
          <w:sz w:val="22"/>
        </w:rPr>
        <w:t>El Tesorero con su</w:t>
      </w:r>
      <w:r>
        <w:rPr>
          <w:spacing w:val="-9"/>
          <w:sz w:val="22"/>
        </w:rPr>
        <w:t> </w:t>
      </w:r>
      <w:r>
        <w:rPr>
          <w:sz w:val="22"/>
        </w:rPr>
        <w:t>suplente</w:t>
      </w:r>
    </w:p>
    <w:p>
      <w:pPr>
        <w:pStyle w:val="BodyText"/>
        <w:rPr>
          <w:sz w:val="28"/>
        </w:rPr>
      </w:pPr>
    </w:p>
    <w:p>
      <w:pPr>
        <w:pStyle w:val="Heading6"/>
        <w:spacing w:before="1"/>
        <w:jc w:val="both"/>
      </w:pPr>
      <w:r>
        <w:rPr/>
        <w:t>El Consejo de Vigilancia se integra por 6 personas a saber:</w:t>
      </w:r>
    </w:p>
    <w:p>
      <w:pPr>
        <w:spacing w:after="0"/>
        <w:jc w:val="both"/>
        <w:sectPr>
          <w:pgSz w:w="12240" w:h="15840"/>
          <w:pgMar w:header="0" w:footer="1003" w:top="1360" w:bottom="1200" w:left="1600" w:right="1580"/>
        </w:sectPr>
      </w:pPr>
    </w:p>
    <w:p>
      <w:pPr>
        <w:pStyle w:val="ListParagraph"/>
        <w:numPr>
          <w:ilvl w:val="0"/>
          <w:numId w:val="378"/>
        </w:numPr>
        <w:tabs>
          <w:tab w:pos="287" w:val="left" w:leader="none"/>
        </w:tabs>
        <w:spacing w:line="240" w:lineRule="auto" w:before="53" w:after="0"/>
        <w:ind w:left="286" w:right="0" w:hanging="184"/>
        <w:jc w:val="both"/>
        <w:rPr>
          <w:sz w:val="22"/>
        </w:rPr>
      </w:pPr>
      <w:r>
        <w:rPr>
          <w:sz w:val="22"/>
        </w:rPr>
        <w:t>El Presidente con su</w:t>
      </w:r>
      <w:r>
        <w:rPr>
          <w:spacing w:val="-6"/>
          <w:sz w:val="22"/>
        </w:rPr>
        <w:t> </w:t>
      </w:r>
      <w:r>
        <w:rPr>
          <w:sz w:val="22"/>
        </w:rPr>
        <w:t>suplente</w:t>
      </w:r>
    </w:p>
    <w:p>
      <w:pPr>
        <w:pStyle w:val="BodyText"/>
        <w:spacing w:before="6"/>
        <w:rPr>
          <w:sz w:val="28"/>
        </w:rPr>
      </w:pPr>
    </w:p>
    <w:p>
      <w:pPr>
        <w:pStyle w:val="ListParagraph"/>
        <w:numPr>
          <w:ilvl w:val="0"/>
          <w:numId w:val="378"/>
        </w:numPr>
        <w:tabs>
          <w:tab w:pos="349" w:val="left" w:leader="none"/>
        </w:tabs>
        <w:spacing w:line="240" w:lineRule="auto" w:before="0" w:after="0"/>
        <w:ind w:left="348" w:right="0" w:hanging="246"/>
        <w:jc w:val="both"/>
        <w:rPr>
          <w:sz w:val="22"/>
        </w:rPr>
      </w:pPr>
      <w:r>
        <w:rPr>
          <w:sz w:val="22"/>
        </w:rPr>
        <w:t>El Secretario con su</w:t>
      </w:r>
      <w:r>
        <w:rPr>
          <w:spacing w:val="-8"/>
          <w:sz w:val="22"/>
        </w:rPr>
        <w:t> </w:t>
      </w:r>
      <w:r>
        <w:rPr>
          <w:sz w:val="22"/>
        </w:rPr>
        <w:t>suplente</w:t>
      </w:r>
    </w:p>
    <w:p>
      <w:pPr>
        <w:pStyle w:val="BodyText"/>
        <w:spacing w:before="3"/>
        <w:rPr>
          <w:sz w:val="28"/>
        </w:rPr>
      </w:pPr>
    </w:p>
    <w:p>
      <w:pPr>
        <w:pStyle w:val="ListParagraph"/>
        <w:numPr>
          <w:ilvl w:val="0"/>
          <w:numId w:val="378"/>
        </w:numPr>
        <w:tabs>
          <w:tab w:pos="409" w:val="left" w:leader="none"/>
        </w:tabs>
        <w:spacing w:line="240" w:lineRule="auto" w:before="0" w:after="0"/>
        <w:ind w:left="409" w:right="0" w:hanging="307"/>
        <w:jc w:val="both"/>
        <w:rPr>
          <w:sz w:val="22"/>
        </w:rPr>
      </w:pPr>
      <w:r>
        <w:rPr>
          <w:sz w:val="22"/>
        </w:rPr>
        <w:t>El Vocal con su</w:t>
      </w:r>
      <w:r>
        <w:rPr>
          <w:spacing w:val="-4"/>
          <w:sz w:val="22"/>
        </w:rPr>
        <w:t> </w:t>
      </w:r>
      <w:r>
        <w:rPr>
          <w:sz w:val="22"/>
        </w:rPr>
        <w:t>suplente</w:t>
      </w:r>
    </w:p>
    <w:p>
      <w:pPr>
        <w:pStyle w:val="BodyText"/>
        <w:spacing w:before="5"/>
        <w:rPr>
          <w:sz w:val="28"/>
        </w:rPr>
      </w:pPr>
    </w:p>
    <w:p>
      <w:pPr>
        <w:pStyle w:val="BodyText"/>
        <w:spacing w:line="360" w:lineRule="auto" w:before="1"/>
        <w:ind w:left="102" w:right="117"/>
        <w:jc w:val="both"/>
      </w:pPr>
      <w:r>
        <w:rPr/>
        <w:t>Los integrantes del órgano de gobierno y del Consejo de Vigilancia no percibirán salario alguno, por lo que serán cargos honoríficos y su elección será cada cinco años, además sus periodos de gobierno serán rotativos entre los municipios de la Cuenca Hidrosocial Presa Huapango para no concentrar el poder en uno solo, es decir los actores históricos de los municipios que hayan tenido el poder en la administración anterior, no podrán participar en la elección siguiente y las que determine la Asamblea General  Intermunicipal. El Órgano de Gobierno y el Comité de Vigilancia serán electos mediante la mayoría simple, pero una vez que los grupos de actores históricos hayan elegido a sus representantes por la misma vía de mayoría simple para proponerlos ante la Asamblea Intermunicipal para su elección, es decir habrá doble filtro en la elección, uno por grupos de actores y otro por la Asamblea General</w:t>
      </w:r>
      <w:r>
        <w:rPr>
          <w:spacing w:val="-17"/>
        </w:rPr>
        <w:t> </w:t>
      </w:r>
      <w:r>
        <w:rPr/>
        <w:t>Intermunicipal.</w:t>
      </w:r>
    </w:p>
    <w:p>
      <w:pPr>
        <w:pStyle w:val="BodyText"/>
        <w:spacing w:before="7"/>
        <w:rPr>
          <w:sz w:val="17"/>
        </w:rPr>
      </w:pPr>
    </w:p>
    <w:p>
      <w:pPr>
        <w:pStyle w:val="BodyText"/>
        <w:spacing w:line="360" w:lineRule="auto"/>
        <w:ind w:left="102" w:right="114"/>
        <w:jc w:val="both"/>
      </w:pPr>
      <w:r>
        <w:rPr/>
        <w:t>Las decisiones políticas en Asamblea serán tomadas por mayoría simple y en caso de empate se irán a la segunda ronda. Se entiende por mayoría simple de votos, la correspondiente a la mitad más uno de los actores de la Cuenca Hidrosocial Presa Huapango con derecho a voto que asistan a la Asamblea. Cada votación deberá determinarse con claridad con respecto a los votos a favor y en contra, así como las abstenciones.</w:t>
      </w:r>
    </w:p>
    <w:p>
      <w:pPr>
        <w:pStyle w:val="BodyText"/>
        <w:spacing w:before="4"/>
        <w:rPr>
          <w:sz w:val="17"/>
        </w:rPr>
      </w:pPr>
    </w:p>
    <w:p>
      <w:pPr>
        <w:pStyle w:val="BodyText"/>
        <w:ind w:left="102"/>
        <w:jc w:val="both"/>
      </w:pPr>
      <w:r>
        <w:rPr>
          <w:b/>
        </w:rPr>
        <w:t>Artículo 7. </w:t>
      </w:r>
      <w:r>
        <w:rPr/>
        <w:t>Son facultades del Presidente del Órgano de Gobierno del Comité:</w:t>
      </w:r>
    </w:p>
    <w:p>
      <w:pPr>
        <w:pStyle w:val="BodyText"/>
        <w:spacing w:before="8"/>
        <w:rPr>
          <w:sz w:val="28"/>
        </w:rPr>
      </w:pPr>
    </w:p>
    <w:p>
      <w:pPr>
        <w:pStyle w:val="ListParagraph"/>
        <w:numPr>
          <w:ilvl w:val="0"/>
          <w:numId w:val="379"/>
        </w:numPr>
        <w:tabs>
          <w:tab w:pos="349" w:val="left" w:leader="none"/>
        </w:tabs>
        <w:spacing w:line="360" w:lineRule="auto" w:before="0" w:after="0"/>
        <w:ind w:left="102" w:right="112" w:firstLine="0"/>
        <w:jc w:val="left"/>
        <w:rPr>
          <w:sz w:val="22"/>
        </w:rPr>
      </w:pPr>
      <w:r>
        <w:rPr>
          <w:sz w:val="22"/>
        </w:rPr>
        <w:t>Convocar las asambleas ordinarias y extraordinarias de los actores de </w:t>
      </w:r>
      <w:r>
        <w:rPr>
          <w:spacing w:val="2"/>
          <w:sz w:val="22"/>
        </w:rPr>
        <w:t>la </w:t>
      </w:r>
      <w:r>
        <w:rPr>
          <w:sz w:val="22"/>
        </w:rPr>
        <w:t>Cuenca Hidrosocial Presa</w:t>
      </w:r>
      <w:r>
        <w:rPr>
          <w:spacing w:val="-8"/>
          <w:sz w:val="22"/>
        </w:rPr>
        <w:t> </w:t>
      </w:r>
      <w:r>
        <w:rPr>
          <w:sz w:val="22"/>
        </w:rPr>
        <w:t>Huapango.</w:t>
      </w:r>
    </w:p>
    <w:p>
      <w:pPr>
        <w:pStyle w:val="BodyText"/>
        <w:spacing w:before="7"/>
        <w:rPr>
          <w:sz w:val="17"/>
        </w:rPr>
      </w:pPr>
    </w:p>
    <w:p>
      <w:pPr>
        <w:pStyle w:val="ListParagraph"/>
        <w:numPr>
          <w:ilvl w:val="0"/>
          <w:numId w:val="379"/>
        </w:numPr>
        <w:tabs>
          <w:tab w:pos="349" w:val="left" w:leader="none"/>
        </w:tabs>
        <w:spacing w:line="240" w:lineRule="auto" w:before="0" w:after="0"/>
        <w:ind w:left="348" w:right="0" w:hanging="246"/>
        <w:jc w:val="both"/>
        <w:rPr>
          <w:sz w:val="22"/>
        </w:rPr>
      </w:pPr>
      <w:r>
        <w:rPr>
          <w:sz w:val="22"/>
        </w:rPr>
        <w:t>Presidir las asambleas</w:t>
      </w:r>
      <w:r>
        <w:rPr>
          <w:spacing w:val="-14"/>
          <w:sz w:val="22"/>
        </w:rPr>
        <w:t> </w:t>
      </w:r>
      <w:r>
        <w:rPr>
          <w:sz w:val="22"/>
        </w:rPr>
        <w:t>generales.</w:t>
      </w:r>
    </w:p>
    <w:p>
      <w:pPr>
        <w:pStyle w:val="BodyText"/>
        <w:spacing w:before="6"/>
        <w:rPr>
          <w:sz w:val="28"/>
        </w:rPr>
      </w:pPr>
    </w:p>
    <w:p>
      <w:pPr>
        <w:pStyle w:val="ListParagraph"/>
        <w:numPr>
          <w:ilvl w:val="0"/>
          <w:numId w:val="379"/>
        </w:numPr>
        <w:tabs>
          <w:tab w:pos="409" w:val="left" w:leader="none"/>
        </w:tabs>
        <w:spacing w:line="240" w:lineRule="auto" w:before="0" w:after="0"/>
        <w:ind w:left="409" w:right="0" w:hanging="307"/>
        <w:jc w:val="both"/>
        <w:rPr>
          <w:sz w:val="22"/>
        </w:rPr>
      </w:pPr>
      <w:r>
        <w:rPr>
          <w:sz w:val="22"/>
        </w:rPr>
        <w:t>Firmar los acuerdos y actas de</w:t>
      </w:r>
      <w:r>
        <w:rPr>
          <w:spacing w:val="-11"/>
          <w:sz w:val="22"/>
        </w:rPr>
        <w:t> </w:t>
      </w:r>
      <w:r>
        <w:rPr>
          <w:sz w:val="22"/>
        </w:rPr>
        <w:t>asamblea.</w:t>
      </w:r>
    </w:p>
    <w:p>
      <w:pPr>
        <w:pStyle w:val="BodyText"/>
        <w:spacing w:before="3"/>
        <w:rPr>
          <w:sz w:val="28"/>
        </w:rPr>
      </w:pPr>
    </w:p>
    <w:p>
      <w:pPr>
        <w:pStyle w:val="ListParagraph"/>
        <w:numPr>
          <w:ilvl w:val="0"/>
          <w:numId w:val="379"/>
        </w:numPr>
        <w:tabs>
          <w:tab w:pos="436" w:val="left" w:leader="none"/>
        </w:tabs>
        <w:spacing w:line="240" w:lineRule="auto" w:before="0" w:after="0"/>
        <w:ind w:left="435" w:right="0" w:hanging="333"/>
        <w:jc w:val="both"/>
        <w:rPr>
          <w:sz w:val="22"/>
        </w:rPr>
      </w:pPr>
      <w:r>
        <w:rPr>
          <w:sz w:val="22"/>
        </w:rPr>
        <w:t>Representar a la comunidad ante las autoridades</w:t>
      </w:r>
      <w:r>
        <w:rPr>
          <w:spacing w:val="-18"/>
          <w:sz w:val="22"/>
        </w:rPr>
        <w:t> </w:t>
      </w:r>
      <w:r>
        <w:rPr>
          <w:sz w:val="22"/>
        </w:rPr>
        <w:t>competentes.</w:t>
      </w:r>
    </w:p>
    <w:p>
      <w:pPr>
        <w:pStyle w:val="BodyText"/>
        <w:spacing w:before="5"/>
        <w:rPr>
          <w:sz w:val="28"/>
        </w:rPr>
      </w:pPr>
    </w:p>
    <w:p>
      <w:pPr>
        <w:pStyle w:val="ListParagraph"/>
        <w:numPr>
          <w:ilvl w:val="0"/>
          <w:numId w:val="379"/>
        </w:numPr>
        <w:tabs>
          <w:tab w:pos="600" w:val="left" w:leader="none"/>
          <w:tab w:pos="601" w:val="left" w:leader="none"/>
          <w:tab w:pos="1673" w:val="left" w:leader="none"/>
          <w:tab w:pos="2561" w:val="left" w:leader="none"/>
          <w:tab w:pos="3206" w:val="left" w:leader="none"/>
          <w:tab w:pos="3777" w:val="left" w:leader="none"/>
          <w:tab w:pos="4787" w:val="left" w:leader="none"/>
          <w:tab w:pos="6838" w:val="left" w:leader="none"/>
          <w:tab w:pos="8656" w:val="left" w:leader="none"/>
        </w:tabs>
        <w:spacing w:line="360" w:lineRule="auto" w:before="1" w:after="0"/>
        <w:ind w:left="102" w:right="119" w:firstLine="0"/>
        <w:jc w:val="left"/>
        <w:rPr>
          <w:sz w:val="22"/>
        </w:rPr>
      </w:pPr>
      <w:r>
        <w:rPr>
          <w:sz w:val="22"/>
        </w:rPr>
        <w:t>Solicitar</w:t>
        <w:tab/>
        <w:t>apoyo</w:t>
        <w:tab/>
        <w:t>con</w:t>
        <w:tab/>
        <w:t>los</w:t>
        <w:tab/>
        <w:t>actores</w:t>
        <w:tab/>
        <w:t>gubernamentales,</w:t>
        <w:tab/>
        <w:t>Organizaciones</w:t>
        <w:tab/>
        <w:t>No Gubernamentales, organismos internacionales y</w:t>
      </w:r>
      <w:r>
        <w:rPr>
          <w:spacing w:val="-15"/>
          <w:sz w:val="22"/>
        </w:rPr>
        <w:t> </w:t>
      </w:r>
      <w:r>
        <w:rPr>
          <w:sz w:val="22"/>
        </w:rPr>
        <w:t>académicos.</w:t>
      </w:r>
    </w:p>
    <w:p>
      <w:pPr>
        <w:spacing w:after="0" w:line="360" w:lineRule="auto"/>
        <w:jc w:val="left"/>
        <w:rPr>
          <w:sz w:val="22"/>
        </w:rPr>
        <w:sectPr>
          <w:pgSz w:w="12240" w:h="15840"/>
          <w:pgMar w:header="0" w:footer="1003" w:top="1360" w:bottom="1200" w:left="1600" w:right="1580"/>
        </w:sectPr>
      </w:pPr>
    </w:p>
    <w:p>
      <w:pPr>
        <w:pStyle w:val="ListParagraph"/>
        <w:numPr>
          <w:ilvl w:val="0"/>
          <w:numId w:val="379"/>
        </w:numPr>
        <w:tabs>
          <w:tab w:pos="445" w:val="left" w:leader="none"/>
        </w:tabs>
        <w:spacing w:line="362" w:lineRule="auto" w:before="53" w:after="0"/>
        <w:ind w:left="102" w:right="123" w:firstLine="0"/>
        <w:jc w:val="left"/>
        <w:rPr>
          <w:sz w:val="22"/>
        </w:rPr>
      </w:pPr>
      <w:r>
        <w:rPr>
          <w:sz w:val="22"/>
        </w:rPr>
        <w:t>Coordinar a la población para la cooperación, participación social y la acción colectiva en favor de la Cuenca Hidrosocial Presa</w:t>
      </w:r>
      <w:r>
        <w:rPr>
          <w:spacing w:val="-12"/>
          <w:sz w:val="22"/>
        </w:rPr>
        <w:t> </w:t>
      </w:r>
      <w:r>
        <w:rPr>
          <w:sz w:val="22"/>
        </w:rPr>
        <w:t>Huapango.</w:t>
      </w:r>
    </w:p>
    <w:p>
      <w:pPr>
        <w:pStyle w:val="BodyText"/>
        <w:spacing w:before="197"/>
        <w:ind w:left="102"/>
        <w:jc w:val="both"/>
      </w:pPr>
      <w:r>
        <w:rPr>
          <w:b/>
        </w:rPr>
        <w:t>Artículo 8. </w:t>
      </w:r>
      <w:r>
        <w:rPr/>
        <w:t>Son facultades del Secretario del Órgano de Gobierno del Comité:</w:t>
      </w:r>
    </w:p>
    <w:p>
      <w:pPr>
        <w:pStyle w:val="BodyText"/>
        <w:spacing w:before="5"/>
        <w:rPr>
          <w:sz w:val="28"/>
        </w:rPr>
      </w:pPr>
    </w:p>
    <w:p>
      <w:pPr>
        <w:pStyle w:val="ListParagraph"/>
        <w:numPr>
          <w:ilvl w:val="0"/>
          <w:numId w:val="380"/>
        </w:numPr>
        <w:tabs>
          <w:tab w:pos="349" w:val="left" w:leader="none"/>
        </w:tabs>
        <w:spacing w:line="362" w:lineRule="auto" w:before="1" w:after="0"/>
        <w:ind w:left="102" w:right="118" w:firstLine="0"/>
        <w:jc w:val="left"/>
        <w:rPr>
          <w:sz w:val="22"/>
        </w:rPr>
      </w:pPr>
      <w:r>
        <w:rPr>
          <w:sz w:val="22"/>
        </w:rPr>
        <w:t>Convocar las asambleas ordinarias y extraordinarias de los actores de la Cuenca Hidrosocial Presa</w:t>
      </w:r>
      <w:r>
        <w:rPr>
          <w:spacing w:val="-8"/>
          <w:sz w:val="22"/>
        </w:rPr>
        <w:t> </w:t>
      </w:r>
      <w:r>
        <w:rPr>
          <w:sz w:val="22"/>
        </w:rPr>
        <w:t>Huapango.</w:t>
      </w:r>
    </w:p>
    <w:p>
      <w:pPr>
        <w:pStyle w:val="BodyText"/>
        <w:spacing w:before="4"/>
        <w:rPr>
          <w:sz w:val="17"/>
        </w:rPr>
      </w:pPr>
    </w:p>
    <w:p>
      <w:pPr>
        <w:pStyle w:val="ListParagraph"/>
        <w:numPr>
          <w:ilvl w:val="0"/>
          <w:numId w:val="380"/>
        </w:numPr>
        <w:tabs>
          <w:tab w:pos="349" w:val="left" w:leader="none"/>
        </w:tabs>
        <w:spacing w:line="240" w:lineRule="auto" w:before="0" w:after="0"/>
        <w:ind w:left="348" w:right="0" w:hanging="246"/>
        <w:jc w:val="both"/>
        <w:rPr>
          <w:sz w:val="22"/>
        </w:rPr>
      </w:pPr>
      <w:r>
        <w:rPr>
          <w:sz w:val="22"/>
        </w:rPr>
        <w:t>Elaborar los puntos a tratar en las asambleas del</w:t>
      </w:r>
      <w:r>
        <w:rPr>
          <w:spacing w:val="-18"/>
          <w:sz w:val="22"/>
        </w:rPr>
        <w:t> </w:t>
      </w:r>
      <w:r>
        <w:rPr>
          <w:sz w:val="22"/>
        </w:rPr>
        <w:t>Comité.</w:t>
      </w:r>
    </w:p>
    <w:p>
      <w:pPr>
        <w:pStyle w:val="BodyText"/>
        <w:spacing w:before="3"/>
        <w:rPr>
          <w:sz w:val="28"/>
        </w:rPr>
      </w:pPr>
    </w:p>
    <w:p>
      <w:pPr>
        <w:pStyle w:val="ListParagraph"/>
        <w:numPr>
          <w:ilvl w:val="0"/>
          <w:numId w:val="380"/>
        </w:numPr>
        <w:tabs>
          <w:tab w:pos="409" w:val="left" w:leader="none"/>
        </w:tabs>
        <w:spacing w:line="240" w:lineRule="auto" w:before="0" w:after="0"/>
        <w:ind w:left="409" w:right="0" w:hanging="307"/>
        <w:jc w:val="both"/>
        <w:rPr>
          <w:sz w:val="22"/>
        </w:rPr>
      </w:pPr>
      <w:r>
        <w:rPr>
          <w:sz w:val="22"/>
        </w:rPr>
        <w:t>Auxiliar al Presidente en sus</w:t>
      </w:r>
      <w:r>
        <w:rPr>
          <w:spacing w:val="-12"/>
          <w:sz w:val="22"/>
        </w:rPr>
        <w:t> </w:t>
      </w:r>
      <w:r>
        <w:rPr>
          <w:sz w:val="22"/>
        </w:rPr>
        <w:t>funciones.</w:t>
      </w:r>
    </w:p>
    <w:p>
      <w:pPr>
        <w:pStyle w:val="BodyText"/>
        <w:spacing w:before="6"/>
        <w:rPr>
          <w:sz w:val="28"/>
        </w:rPr>
      </w:pPr>
    </w:p>
    <w:p>
      <w:pPr>
        <w:pStyle w:val="ListParagraph"/>
        <w:numPr>
          <w:ilvl w:val="0"/>
          <w:numId w:val="380"/>
        </w:numPr>
        <w:tabs>
          <w:tab w:pos="436" w:val="left" w:leader="none"/>
        </w:tabs>
        <w:spacing w:line="240" w:lineRule="auto" w:before="0" w:after="0"/>
        <w:ind w:left="435" w:right="0" w:hanging="333"/>
        <w:jc w:val="both"/>
        <w:rPr>
          <w:sz w:val="22"/>
        </w:rPr>
      </w:pPr>
      <w:r>
        <w:rPr>
          <w:sz w:val="22"/>
        </w:rPr>
        <w:t>Firmar los acuerdos y actas de</w:t>
      </w:r>
      <w:r>
        <w:rPr>
          <w:spacing w:val="-12"/>
          <w:sz w:val="22"/>
        </w:rPr>
        <w:t> </w:t>
      </w:r>
      <w:r>
        <w:rPr>
          <w:sz w:val="22"/>
        </w:rPr>
        <w:t>asamblea.</w:t>
      </w:r>
    </w:p>
    <w:p>
      <w:pPr>
        <w:pStyle w:val="BodyText"/>
        <w:spacing w:before="3"/>
        <w:rPr>
          <w:sz w:val="28"/>
        </w:rPr>
      </w:pPr>
    </w:p>
    <w:p>
      <w:pPr>
        <w:pStyle w:val="ListParagraph"/>
        <w:numPr>
          <w:ilvl w:val="0"/>
          <w:numId w:val="380"/>
        </w:numPr>
        <w:tabs>
          <w:tab w:pos="373" w:val="left" w:leader="none"/>
        </w:tabs>
        <w:spacing w:line="240" w:lineRule="auto" w:before="0" w:after="0"/>
        <w:ind w:left="373" w:right="0" w:hanging="271"/>
        <w:jc w:val="both"/>
        <w:rPr>
          <w:sz w:val="22"/>
        </w:rPr>
      </w:pPr>
      <w:r>
        <w:rPr>
          <w:sz w:val="22"/>
        </w:rPr>
        <w:t>Representar a la comunidad ante las autoridades</w:t>
      </w:r>
      <w:r>
        <w:rPr>
          <w:spacing w:val="-19"/>
          <w:sz w:val="22"/>
        </w:rPr>
        <w:t> </w:t>
      </w:r>
      <w:r>
        <w:rPr>
          <w:sz w:val="22"/>
        </w:rPr>
        <w:t>competentes.</w:t>
      </w:r>
    </w:p>
    <w:p>
      <w:pPr>
        <w:pStyle w:val="BodyText"/>
        <w:spacing w:before="5"/>
        <w:rPr>
          <w:sz w:val="28"/>
        </w:rPr>
      </w:pPr>
    </w:p>
    <w:p>
      <w:pPr>
        <w:pStyle w:val="ListParagraph"/>
        <w:numPr>
          <w:ilvl w:val="0"/>
          <w:numId w:val="380"/>
        </w:numPr>
        <w:tabs>
          <w:tab w:pos="479" w:val="left" w:leader="none"/>
        </w:tabs>
        <w:spacing w:line="360" w:lineRule="auto" w:before="1" w:after="0"/>
        <w:ind w:left="102" w:right="119" w:firstLine="0"/>
        <w:jc w:val="left"/>
        <w:rPr>
          <w:sz w:val="22"/>
        </w:rPr>
      </w:pPr>
      <w:r>
        <w:rPr>
          <w:sz w:val="22"/>
        </w:rPr>
        <w:t>Solicitar apoyo en concordancia con el Presidente a los actores gubernamentales, Organismos No Gubernamentales, organismos internacionales y</w:t>
      </w:r>
      <w:r>
        <w:rPr>
          <w:spacing w:val="-22"/>
          <w:sz w:val="22"/>
        </w:rPr>
        <w:t> </w:t>
      </w:r>
      <w:r>
        <w:rPr>
          <w:sz w:val="22"/>
        </w:rPr>
        <w:t>académicos.</w:t>
      </w:r>
    </w:p>
    <w:p>
      <w:pPr>
        <w:pStyle w:val="BodyText"/>
        <w:spacing w:before="7"/>
        <w:rPr>
          <w:sz w:val="17"/>
        </w:rPr>
      </w:pPr>
    </w:p>
    <w:p>
      <w:pPr>
        <w:pStyle w:val="ListParagraph"/>
        <w:numPr>
          <w:ilvl w:val="0"/>
          <w:numId w:val="380"/>
        </w:numPr>
        <w:tabs>
          <w:tab w:pos="501" w:val="left" w:leader="none"/>
        </w:tabs>
        <w:spacing w:line="360" w:lineRule="auto" w:before="0" w:after="0"/>
        <w:ind w:left="102" w:right="120" w:firstLine="0"/>
        <w:jc w:val="left"/>
        <w:rPr>
          <w:sz w:val="22"/>
        </w:rPr>
      </w:pPr>
      <w:r>
        <w:rPr>
          <w:sz w:val="22"/>
        </w:rPr>
        <w:t>Coordinar a la población para la cooperación, participación social y la acción colectiva en favor de la Cuenca Hidrosocial Presa</w:t>
      </w:r>
      <w:r>
        <w:rPr>
          <w:spacing w:val="-12"/>
          <w:sz w:val="22"/>
        </w:rPr>
        <w:t> </w:t>
      </w:r>
      <w:r>
        <w:rPr>
          <w:sz w:val="22"/>
        </w:rPr>
        <w:t>Huapango.</w:t>
      </w:r>
    </w:p>
    <w:p>
      <w:pPr>
        <w:pStyle w:val="BodyText"/>
        <w:spacing w:before="7"/>
        <w:rPr>
          <w:sz w:val="17"/>
        </w:rPr>
      </w:pPr>
    </w:p>
    <w:p>
      <w:pPr>
        <w:pStyle w:val="BodyText"/>
        <w:ind w:left="102"/>
        <w:jc w:val="both"/>
      </w:pPr>
      <w:r>
        <w:rPr>
          <w:b/>
        </w:rPr>
        <w:t>Artículo 9.- </w:t>
      </w:r>
      <w:r>
        <w:rPr/>
        <w:t>Son facultades del Tesorero del Órgano de Gobierno del Comité:</w:t>
      </w:r>
    </w:p>
    <w:p>
      <w:pPr>
        <w:pStyle w:val="BodyText"/>
        <w:spacing w:before="6"/>
        <w:rPr>
          <w:sz w:val="28"/>
        </w:rPr>
      </w:pPr>
    </w:p>
    <w:p>
      <w:pPr>
        <w:pStyle w:val="ListParagraph"/>
        <w:numPr>
          <w:ilvl w:val="0"/>
          <w:numId w:val="381"/>
        </w:numPr>
        <w:tabs>
          <w:tab w:pos="287" w:val="left" w:leader="none"/>
        </w:tabs>
        <w:spacing w:line="240" w:lineRule="auto" w:before="0" w:after="0"/>
        <w:ind w:left="102" w:right="0" w:firstLine="0"/>
        <w:jc w:val="both"/>
        <w:rPr>
          <w:sz w:val="22"/>
        </w:rPr>
      </w:pPr>
      <w:r>
        <w:rPr>
          <w:sz w:val="22"/>
        </w:rPr>
        <w:t>Informar en cada asamblea respecto a los recursos recibidos (en caso de que los</w:t>
      </w:r>
      <w:r>
        <w:rPr>
          <w:spacing w:val="-19"/>
          <w:sz w:val="22"/>
        </w:rPr>
        <w:t> </w:t>
      </w:r>
      <w:r>
        <w:rPr>
          <w:sz w:val="22"/>
        </w:rPr>
        <w:t>halla).</w:t>
      </w:r>
    </w:p>
    <w:p>
      <w:pPr>
        <w:pStyle w:val="BodyText"/>
        <w:spacing w:before="5"/>
        <w:rPr>
          <w:sz w:val="28"/>
        </w:rPr>
      </w:pPr>
    </w:p>
    <w:p>
      <w:pPr>
        <w:pStyle w:val="ListParagraph"/>
        <w:numPr>
          <w:ilvl w:val="0"/>
          <w:numId w:val="381"/>
        </w:numPr>
        <w:tabs>
          <w:tab w:pos="402" w:val="left" w:leader="none"/>
        </w:tabs>
        <w:spacing w:line="360" w:lineRule="auto" w:before="1" w:after="0"/>
        <w:ind w:left="102" w:right="121" w:firstLine="0"/>
        <w:jc w:val="left"/>
        <w:rPr>
          <w:sz w:val="22"/>
        </w:rPr>
      </w:pPr>
      <w:r>
        <w:rPr>
          <w:sz w:val="22"/>
        </w:rPr>
        <w:t>Acordar con autoridades del Comité la forma de recaudar las aportaciones de los actores (recibos, registro de entradas y salidas,</w:t>
      </w:r>
      <w:r>
        <w:rPr>
          <w:spacing w:val="-20"/>
          <w:sz w:val="22"/>
        </w:rPr>
        <w:t> </w:t>
      </w:r>
      <w:r>
        <w:rPr>
          <w:sz w:val="22"/>
        </w:rPr>
        <w:t>etc.).</w:t>
      </w:r>
    </w:p>
    <w:p>
      <w:pPr>
        <w:pStyle w:val="BodyText"/>
        <w:spacing w:before="7"/>
        <w:rPr>
          <w:sz w:val="17"/>
        </w:rPr>
      </w:pPr>
    </w:p>
    <w:p>
      <w:pPr>
        <w:pStyle w:val="ListParagraph"/>
        <w:numPr>
          <w:ilvl w:val="0"/>
          <w:numId w:val="381"/>
        </w:numPr>
        <w:tabs>
          <w:tab w:pos="453" w:val="left" w:leader="none"/>
        </w:tabs>
        <w:spacing w:line="360" w:lineRule="auto" w:before="0" w:after="0"/>
        <w:ind w:left="102" w:right="113" w:firstLine="0"/>
        <w:jc w:val="left"/>
        <w:rPr>
          <w:sz w:val="22"/>
        </w:rPr>
      </w:pPr>
      <w:r>
        <w:rPr>
          <w:sz w:val="22"/>
        </w:rPr>
        <w:t>Resguardar bajo su responsabilidad los recursos recibidos, así como conservar un archivo con la documentación que ampara los</w:t>
      </w:r>
      <w:r>
        <w:rPr>
          <w:spacing w:val="-13"/>
          <w:sz w:val="22"/>
        </w:rPr>
        <w:t> </w:t>
      </w:r>
      <w:r>
        <w:rPr>
          <w:sz w:val="22"/>
        </w:rPr>
        <w:t>mismos.</w:t>
      </w:r>
    </w:p>
    <w:p>
      <w:pPr>
        <w:pStyle w:val="BodyText"/>
        <w:spacing w:before="9"/>
        <w:rPr>
          <w:sz w:val="17"/>
        </w:rPr>
      </w:pPr>
    </w:p>
    <w:p>
      <w:pPr>
        <w:pStyle w:val="ListParagraph"/>
        <w:numPr>
          <w:ilvl w:val="0"/>
          <w:numId w:val="381"/>
        </w:numPr>
        <w:tabs>
          <w:tab w:pos="436" w:val="left" w:leader="none"/>
        </w:tabs>
        <w:spacing w:line="240" w:lineRule="auto" w:before="0" w:after="0"/>
        <w:ind w:left="435" w:right="0" w:hanging="333"/>
        <w:jc w:val="both"/>
        <w:rPr>
          <w:sz w:val="22"/>
        </w:rPr>
      </w:pPr>
      <w:r>
        <w:rPr>
          <w:sz w:val="22"/>
        </w:rPr>
        <w:t>Representar a la comunidad ante las autoridades</w:t>
      </w:r>
      <w:r>
        <w:rPr>
          <w:spacing w:val="-18"/>
          <w:sz w:val="22"/>
        </w:rPr>
        <w:t> </w:t>
      </w:r>
      <w:r>
        <w:rPr>
          <w:sz w:val="22"/>
        </w:rPr>
        <w:t>competentes.</w:t>
      </w:r>
    </w:p>
    <w:p>
      <w:pPr>
        <w:pStyle w:val="BodyText"/>
        <w:spacing w:before="4"/>
        <w:rPr>
          <w:sz w:val="28"/>
        </w:rPr>
      </w:pPr>
    </w:p>
    <w:p>
      <w:pPr>
        <w:pStyle w:val="ListParagraph"/>
        <w:numPr>
          <w:ilvl w:val="0"/>
          <w:numId w:val="381"/>
        </w:numPr>
        <w:tabs>
          <w:tab w:pos="373" w:val="left" w:leader="none"/>
        </w:tabs>
        <w:spacing w:line="240" w:lineRule="auto" w:before="0" w:after="0"/>
        <w:ind w:left="373" w:right="0" w:hanging="271"/>
        <w:jc w:val="both"/>
        <w:rPr>
          <w:sz w:val="22"/>
        </w:rPr>
      </w:pPr>
      <w:r>
        <w:rPr>
          <w:sz w:val="22"/>
        </w:rPr>
        <w:t>Firmar los acuerdos y actas de</w:t>
      </w:r>
      <w:r>
        <w:rPr>
          <w:spacing w:val="-9"/>
          <w:sz w:val="22"/>
        </w:rPr>
        <w:t> </w:t>
      </w:r>
      <w:r>
        <w:rPr>
          <w:sz w:val="22"/>
        </w:rPr>
        <w:t>asamblea.</w:t>
      </w:r>
    </w:p>
    <w:p>
      <w:pPr>
        <w:pStyle w:val="BodyText"/>
        <w:spacing w:before="5"/>
        <w:rPr>
          <w:sz w:val="28"/>
        </w:rPr>
      </w:pPr>
    </w:p>
    <w:p>
      <w:pPr>
        <w:pStyle w:val="ListParagraph"/>
        <w:numPr>
          <w:ilvl w:val="0"/>
          <w:numId w:val="381"/>
        </w:numPr>
        <w:tabs>
          <w:tab w:pos="493" w:val="left" w:leader="none"/>
        </w:tabs>
        <w:spacing w:line="360" w:lineRule="auto" w:before="1" w:after="0"/>
        <w:ind w:left="102" w:right="113" w:firstLine="0"/>
        <w:jc w:val="both"/>
        <w:rPr>
          <w:sz w:val="22"/>
        </w:rPr>
      </w:pPr>
      <w:r>
        <w:rPr>
          <w:sz w:val="22"/>
        </w:rPr>
        <w:t>Solicitar apoyo en concordancia con el Presidente y Secretario del Comité a los actores gubernamentales, Organismos No Gubernamentales, organismos internacionales y</w:t>
      </w:r>
      <w:r>
        <w:rPr>
          <w:spacing w:val="-2"/>
          <w:sz w:val="22"/>
        </w:rPr>
        <w:t> </w:t>
      </w:r>
      <w:r>
        <w:rPr>
          <w:sz w:val="22"/>
        </w:rPr>
        <w:t>académicos.</w:t>
      </w:r>
    </w:p>
    <w:p>
      <w:pPr>
        <w:pStyle w:val="BodyText"/>
        <w:spacing w:before="6"/>
        <w:rPr>
          <w:sz w:val="17"/>
        </w:rPr>
      </w:pPr>
    </w:p>
    <w:p>
      <w:pPr>
        <w:pStyle w:val="ListParagraph"/>
        <w:numPr>
          <w:ilvl w:val="0"/>
          <w:numId w:val="381"/>
        </w:numPr>
        <w:tabs>
          <w:tab w:pos="500" w:val="left" w:leader="none"/>
        </w:tabs>
        <w:spacing w:line="362" w:lineRule="auto" w:before="1" w:after="0"/>
        <w:ind w:left="102" w:right="120" w:firstLine="0"/>
        <w:jc w:val="left"/>
        <w:rPr>
          <w:sz w:val="22"/>
        </w:rPr>
      </w:pPr>
      <w:r>
        <w:rPr>
          <w:sz w:val="22"/>
        </w:rPr>
        <w:t>Coordinar a la población para la cooperación, participación social y la acción colectiva en favor de la Cuenca Hidrosocial Presa</w:t>
      </w:r>
      <w:r>
        <w:rPr>
          <w:spacing w:val="-12"/>
          <w:sz w:val="22"/>
        </w:rPr>
        <w:t> </w:t>
      </w:r>
      <w:r>
        <w:rPr>
          <w:sz w:val="22"/>
        </w:rPr>
        <w:t>Huapango.</w:t>
      </w:r>
    </w:p>
    <w:p>
      <w:pPr>
        <w:spacing w:after="0" w:line="362" w:lineRule="auto"/>
        <w:jc w:val="left"/>
        <w:rPr>
          <w:sz w:val="22"/>
        </w:rPr>
        <w:sectPr>
          <w:pgSz w:w="12240" w:h="15840"/>
          <w:pgMar w:header="0" w:footer="1003" w:top="1360" w:bottom="1200" w:left="1600" w:right="1580"/>
        </w:sectPr>
      </w:pPr>
    </w:p>
    <w:p>
      <w:pPr>
        <w:pStyle w:val="BodyText"/>
        <w:spacing w:before="51"/>
        <w:ind w:left="102"/>
        <w:jc w:val="both"/>
      </w:pPr>
      <w:r>
        <w:rPr>
          <w:b/>
        </w:rPr>
        <w:t>Artículo 10</w:t>
      </w:r>
      <w:r>
        <w:rPr/>
        <w:t>.- Son facultades del Consejo de Vigilancia:</w:t>
      </w:r>
    </w:p>
    <w:p>
      <w:pPr>
        <w:pStyle w:val="BodyText"/>
        <w:spacing w:before="8"/>
        <w:rPr>
          <w:sz w:val="28"/>
        </w:rPr>
      </w:pPr>
    </w:p>
    <w:p>
      <w:pPr>
        <w:pStyle w:val="ListParagraph"/>
        <w:numPr>
          <w:ilvl w:val="0"/>
          <w:numId w:val="382"/>
        </w:numPr>
        <w:tabs>
          <w:tab w:pos="302" w:val="left" w:leader="none"/>
        </w:tabs>
        <w:spacing w:line="360" w:lineRule="auto" w:before="0" w:after="0"/>
        <w:ind w:left="102" w:right="119" w:firstLine="0"/>
        <w:jc w:val="both"/>
        <w:rPr>
          <w:sz w:val="22"/>
        </w:rPr>
      </w:pPr>
      <w:r>
        <w:rPr>
          <w:sz w:val="22"/>
        </w:rPr>
        <w:t>Vigilar que los actos del Órgano de Gobierno del Comité se ajusten a los preceptos de ley y a los dispuestos en este reglamento y en la</w:t>
      </w:r>
      <w:r>
        <w:rPr>
          <w:spacing w:val="-15"/>
          <w:sz w:val="22"/>
        </w:rPr>
        <w:t> </w:t>
      </w:r>
      <w:r>
        <w:rPr>
          <w:sz w:val="22"/>
        </w:rPr>
        <w:t>asamblea.</w:t>
      </w:r>
    </w:p>
    <w:p>
      <w:pPr>
        <w:pStyle w:val="BodyText"/>
        <w:spacing w:before="7"/>
        <w:rPr>
          <w:sz w:val="17"/>
        </w:rPr>
      </w:pPr>
    </w:p>
    <w:p>
      <w:pPr>
        <w:pStyle w:val="ListParagraph"/>
        <w:numPr>
          <w:ilvl w:val="0"/>
          <w:numId w:val="382"/>
        </w:numPr>
        <w:tabs>
          <w:tab w:pos="354" w:val="left" w:leader="none"/>
        </w:tabs>
        <w:spacing w:line="362" w:lineRule="auto" w:before="0" w:after="0"/>
        <w:ind w:left="102" w:right="117" w:firstLine="0"/>
        <w:jc w:val="both"/>
        <w:rPr>
          <w:sz w:val="22"/>
        </w:rPr>
      </w:pPr>
      <w:r>
        <w:rPr>
          <w:sz w:val="22"/>
        </w:rPr>
        <w:t>Revisar las cuentas y operaciones del Órgano de Gobierno del Comité a fin de darlas a conocer a la asamblea y denunciar ante ésta las irregularidades en que se haya</w:t>
      </w:r>
      <w:r>
        <w:rPr>
          <w:spacing w:val="-21"/>
          <w:sz w:val="22"/>
        </w:rPr>
        <w:t> </w:t>
      </w:r>
      <w:r>
        <w:rPr>
          <w:sz w:val="22"/>
        </w:rPr>
        <w:t>incurrido.</w:t>
      </w:r>
    </w:p>
    <w:p>
      <w:pPr>
        <w:pStyle w:val="BodyText"/>
        <w:spacing w:before="4"/>
        <w:rPr>
          <w:sz w:val="17"/>
        </w:rPr>
      </w:pPr>
    </w:p>
    <w:p>
      <w:pPr>
        <w:pStyle w:val="ListParagraph"/>
        <w:numPr>
          <w:ilvl w:val="0"/>
          <w:numId w:val="382"/>
        </w:numPr>
        <w:tabs>
          <w:tab w:pos="450" w:val="left" w:leader="none"/>
        </w:tabs>
        <w:spacing w:line="360" w:lineRule="auto" w:before="0" w:after="0"/>
        <w:ind w:left="102" w:right="121" w:firstLine="0"/>
        <w:jc w:val="both"/>
        <w:rPr>
          <w:sz w:val="22"/>
        </w:rPr>
      </w:pPr>
      <w:r>
        <w:rPr>
          <w:sz w:val="22"/>
        </w:rPr>
        <w:t>Vigilar que no exista falta de integridad por parte de los integrantes del órgano de gobierno del Comité y de la ciudadanía de la Cuenca Hidrosocial Presa</w:t>
      </w:r>
      <w:r>
        <w:rPr>
          <w:spacing w:val="-18"/>
          <w:sz w:val="22"/>
        </w:rPr>
        <w:t> </w:t>
      </w:r>
      <w:r>
        <w:rPr>
          <w:sz w:val="22"/>
        </w:rPr>
        <w:t>Huapango.</w:t>
      </w:r>
    </w:p>
    <w:p>
      <w:pPr>
        <w:pStyle w:val="BodyText"/>
        <w:spacing w:before="10"/>
        <w:rPr>
          <w:sz w:val="17"/>
        </w:rPr>
      </w:pPr>
    </w:p>
    <w:p>
      <w:pPr>
        <w:pStyle w:val="BodyText"/>
        <w:ind w:left="102"/>
        <w:jc w:val="both"/>
      </w:pPr>
      <w:r>
        <w:rPr/>
        <w:t>III. Las demás que señale la ley.</w:t>
      </w:r>
    </w:p>
    <w:p>
      <w:pPr>
        <w:pStyle w:val="BodyText"/>
        <w:spacing w:before="1"/>
        <w:rPr>
          <w:sz w:val="28"/>
        </w:rPr>
      </w:pPr>
    </w:p>
    <w:p>
      <w:pPr>
        <w:pStyle w:val="Heading6"/>
        <w:spacing w:line="360" w:lineRule="auto"/>
        <w:ind w:left="220" w:right="239"/>
        <w:jc w:val="center"/>
      </w:pPr>
      <w:r>
        <w:rPr/>
        <w:t>TITULO TERCERO. DE LOS DERECHOS Y OBLIGACIONES DE LOS ACTORES DE LA CHPH EN EL ÁMBITO AMBIENTAL, SOCIOPOLÍTICO Y ECONÓMICO.</w:t>
      </w:r>
    </w:p>
    <w:p>
      <w:pPr>
        <w:pStyle w:val="BodyText"/>
        <w:spacing w:before="9"/>
        <w:rPr>
          <w:b/>
          <w:sz w:val="17"/>
        </w:rPr>
      </w:pPr>
    </w:p>
    <w:p>
      <w:pPr>
        <w:spacing w:line="360" w:lineRule="auto" w:before="0"/>
        <w:ind w:left="222" w:right="239" w:firstLine="0"/>
        <w:jc w:val="center"/>
        <w:rPr>
          <w:b/>
          <w:sz w:val="22"/>
        </w:rPr>
      </w:pPr>
      <w:r>
        <w:rPr>
          <w:b/>
          <w:sz w:val="22"/>
        </w:rPr>
        <w:t>Capítulo I. Derechos y obligaciones de los actores de la Cuenca Hidrosocial Presa Huapango en el ámbito ambiental (Área Estratégica de Planeación y Articulación Ambiental)</w:t>
      </w:r>
    </w:p>
    <w:p>
      <w:pPr>
        <w:pStyle w:val="BodyText"/>
        <w:spacing w:before="7"/>
        <w:rPr>
          <w:b/>
          <w:sz w:val="17"/>
        </w:rPr>
      </w:pPr>
    </w:p>
    <w:p>
      <w:pPr>
        <w:spacing w:line="362" w:lineRule="auto" w:before="0"/>
        <w:ind w:left="102" w:right="117" w:firstLine="0"/>
        <w:jc w:val="both"/>
        <w:rPr>
          <w:sz w:val="22"/>
        </w:rPr>
      </w:pPr>
      <w:r>
        <w:rPr>
          <w:b/>
          <w:sz w:val="22"/>
        </w:rPr>
        <w:t>Artículo 11.- </w:t>
      </w:r>
      <w:r>
        <w:rPr>
          <w:sz w:val="22"/>
        </w:rPr>
        <w:t>Son derechos y responsabilidades </w:t>
      </w:r>
      <w:r>
        <w:rPr>
          <w:i/>
          <w:sz w:val="22"/>
        </w:rPr>
        <w:t>ambientales </w:t>
      </w:r>
      <w:r>
        <w:rPr>
          <w:sz w:val="22"/>
        </w:rPr>
        <w:t>de los actores históricos de la Cuenca Hidrosocial Presa Huapango:</w:t>
      </w:r>
    </w:p>
    <w:p>
      <w:pPr>
        <w:pStyle w:val="BodyText"/>
        <w:spacing w:before="7"/>
        <w:rPr>
          <w:sz w:val="17"/>
        </w:rPr>
      </w:pPr>
    </w:p>
    <w:p>
      <w:pPr>
        <w:pStyle w:val="Heading7"/>
        <w:numPr>
          <w:ilvl w:val="0"/>
          <w:numId w:val="383"/>
        </w:numPr>
        <w:tabs>
          <w:tab w:pos="402" w:val="left" w:leader="none"/>
        </w:tabs>
        <w:spacing w:line="360" w:lineRule="auto" w:before="0" w:after="0"/>
        <w:ind w:left="102" w:right="121" w:firstLine="0"/>
        <w:jc w:val="both"/>
      </w:pPr>
      <w:r>
        <w:rPr>
          <w:i/>
        </w:rPr>
        <w:t>Son derechos ambientales de los actores históricos de la Cuenca Hidrosocial </w:t>
      </w:r>
      <w:r>
        <w:rPr/>
        <w:t>Presa</w:t>
      </w:r>
      <w:r>
        <w:rPr>
          <w:spacing w:val="-1"/>
        </w:rPr>
        <w:t> </w:t>
      </w:r>
      <w:r>
        <w:rPr/>
        <w:t>Huapango:</w:t>
      </w:r>
    </w:p>
    <w:p>
      <w:pPr>
        <w:pStyle w:val="BodyText"/>
        <w:spacing w:before="7"/>
        <w:rPr>
          <w:b/>
          <w:i/>
          <w:sz w:val="17"/>
        </w:rPr>
      </w:pPr>
    </w:p>
    <w:p>
      <w:pPr>
        <w:pStyle w:val="BodyText"/>
        <w:spacing w:line="360" w:lineRule="auto"/>
        <w:ind w:left="102" w:right="114"/>
        <w:jc w:val="both"/>
      </w:pPr>
      <w:r>
        <w:rPr/>
        <w:t>I. Disfrutar de la vinculación con el agua, ambiente y sociedad en la Cuenca Hidrosocial Presa Huapango que obedece a las prácticas culturales de gran antigüedad asociadas a las características locales de la Cuenca (Valorar mediante el indicador de </w:t>
      </w:r>
      <w:r>
        <w:rPr>
          <w:i/>
        </w:rPr>
        <w:t>historia </w:t>
      </w:r>
      <w:r>
        <w:rPr>
          <w:i/>
        </w:rPr>
        <w:t>ambiental</w:t>
      </w:r>
      <w:r>
        <w:rPr/>
        <w:t>).</w:t>
      </w:r>
    </w:p>
    <w:p>
      <w:pPr>
        <w:pStyle w:val="BodyText"/>
        <w:spacing w:before="7"/>
        <w:rPr>
          <w:sz w:val="17"/>
        </w:rPr>
      </w:pPr>
    </w:p>
    <w:p>
      <w:pPr>
        <w:pStyle w:val="BodyText"/>
        <w:spacing w:line="360" w:lineRule="auto"/>
        <w:ind w:left="102" w:right="113"/>
        <w:jc w:val="both"/>
      </w:pPr>
      <w:r>
        <w:rPr/>
        <w:t>II.- Derecho al acceso equitativo de los recursos naturales entre los actores históricos de los municipios de la Cuenca Hidrosocial Presa Huapango (Valorar mediante el indicador de </w:t>
      </w:r>
      <w:r>
        <w:rPr>
          <w:i/>
        </w:rPr>
        <w:t>poder</w:t>
      </w:r>
      <w:r>
        <w:rPr>
          <w:i/>
          <w:spacing w:val="-4"/>
        </w:rPr>
        <w:t> </w:t>
      </w:r>
      <w:r>
        <w:rPr>
          <w:i/>
        </w:rPr>
        <w:t>ambiental</w:t>
      </w:r>
      <w:r>
        <w:rPr/>
        <w:t>).</w:t>
      </w:r>
    </w:p>
    <w:p>
      <w:pPr>
        <w:pStyle w:val="BodyText"/>
        <w:spacing w:before="9"/>
        <w:rPr>
          <w:sz w:val="17"/>
        </w:rPr>
      </w:pPr>
    </w:p>
    <w:p>
      <w:pPr>
        <w:pStyle w:val="BodyText"/>
        <w:spacing w:line="360" w:lineRule="auto"/>
        <w:ind w:left="102" w:right="121"/>
        <w:jc w:val="both"/>
      </w:pPr>
      <w:r>
        <w:rPr/>
        <w:t>III. Derecho a la recolección de vegetales y caza permitida de los animales en la Cuenca Hidrosocial Presa Huapango, así como al disfrute de la comida lacustre y del paisaje de la Cuenca (Valorar mediante el indicador de </w:t>
      </w:r>
      <w:r>
        <w:rPr>
          <w:i/>
        </w:rPr>
        <w:t>cultura ambiental</w:t>
      </w:r>
      <w:r>
        <w:rPr/>
        <w:t>).</w:t>
      </w:r>
    </w:p>
    <w:p>
      <w:pPr>
        <w:spacing w:after="0" w:line="360" w:lineRule="auto"/>
        <w:jc w:val="both"/>
        <w:sectPr>
          <w:pgSz w:w="12240" w:h="15840"/>
          <w:pgMar w:header="0" w:footer="1003" w:top="1360" w:bottom="1200" w:left="1600" w:right="1580"/>
        </w:sectPr>
      </w:pPr>
    </w:p>
    <w:p>
      <w:pPr>
        <w:pStyle w:val="BodyText"/>
        <w:spacing w:line="360" w:lineRule="auto" w:before="53"/>
        <w:ind w:left="102" w:right="115"/>
        <w:jc w:val="both"/>
      </w:pPr>
      <w:r>
        <w:rPr/>
        <w:t>IV.- Derecho a intervenir directamente en la solución de los problemas ambientales de la Cuenca Hidrosocial Presa Huapango (Valorar mediante el indicador de </w:t>
      </w:r>
      <w:r>
        <w:rPr>
          <w:i/>
        </w:rPr>
        <w:t>democracia y </w:t>
      </w:r>
      <w:r>
        <w:rPr>
          <w:i/>
        </w:rPr>
        <w:t>voluntariedad</w:t>
      </w:r>
      <w:r>
        <w:rPr/>
        <w:t>).</w:t>
      </w:r>
    </w:p>
    <w:p>
      <w:pPr>
        <w:pStyle w:val="BodyText"/>
        <w:spacing w:before="7"/>
        <w:rPr>
          <w:sz w:val="17"/>
        </w:rPr>
      </w:pPr>
    </w:p>
    <w:p>
      <w:pPr>
        <w:pStyle w:val="ListParagraph"/>
        <w:numPr>
          <w:ilvl w:val="0"/>
          <w:numId w:val="384"/>
        </w:numPr>
        <w:tabs>
          <w:tab w:pos="373" w:val="left" w:leader="none"/>
        </w:tabs>
        <w:spacing w:line="360" w:lineRule="auto" w:before="0" w:after="0"/>
        <w:ind w:left="102" w:right="114" w:firstLine="0"/>
        <w:jc w:val="both"/>
        <w:rPr>
          <w:sz w:val="22"/>
        </w:rPr>
      </w:pPr>
      <w:r>
        <w:rPr>
          <w:sz w:val="22"/>
        </w:rPr>
        <w:t>Derecho a contribuir en la disminución del deterioro ambiental de los recursos naturales (Valorar mediante el indicador de </w:t>
      </w:r>
      <w:r>
        <w:rPr>
          <w:i/>
          <w:sz w:val="22"/>
        </w:rPr>
        <w:t>participación</w:t>
      </w:r>
      <w:r>
        <w:rPr>
          <w:i/>
          <w:spacing w:val="-17"/>
          <w:sz w:val="22"/>
        </w:rPr>
        <w:t> </w:t>
      </w:r>
      <w:r>
        <w:rPr>
          <w:i/>
          <w:sz w:val="22"/>
        </w:rPr>
        <w:t>social</w:t>
      </w:r>
      <w:r>
        <w:rPr>
          <w:sz w:val="22"/>
        </w:rPr>
        <w:t>).</w:t>
      </w:r>
    </w:p>
    <w:p>
      <w:pPr>
        <w:pStyle w:val="BodyText"/>
        <w:spacing w:before="9"/>
        <w:rPr>
          <w:sz w:val="17"/>
        </w:rPr>
      </w:pPr>
    </w:p>
    <w:p>
      <w:pPr>
        <w:pStyle w:val="ListParagraph"/>
        <w:numPr>
          <w:ilvl w:val="0"/>
          <w:numId w:val="384"/>
        </w:numPr>
        <w:tabs>
          <w:tab w:pos="544" w:val="left" w:leader="none"/>
        </w:tabs>
        <w:spacing w:line="360" w:lineRule="auto" w:before="0" w:after="0"/>
        <w:ind w:left="102" w:right="116" w:firstLine="0"/>
        <w:jc w:val="both"/>
        <w:rPr>
          <w:sz w:val="22"/>
        </w:rPr>
      </w:pPr>
      <w:r>
        <w:rPr>
          <w:sz w:val="22"/>
        </w:rPr>
        <w:t>Derecho a interrelacionarse municipalmente con otros actores de la Cuenca Hidrosocial Presa Huapango para solucionar problemas ambientales comunes de la Cuenca (Valorar mediante el indicador de </w:t>
      </w:r>
      <w:r>
        <w:rPr>
          <w:i/>
          <w:sz w:val="22"/>
        </w:rPr>
        <w:t>relaciones</w:t>
      </w:r>
      <w:r>
        <w:rPr>
          <w:i/>
          <w:spacing w:val="-18"/>
          <w:sz w:val="22"/>
        </w:rPr>
        <w:t> </w:t>
      </w:r>
      <w:r>
        <w:rPr>
          <w:i/>
          <w:sz w:val="22"/>
        </w:rPr>
        <w:t>intermunicipales</w:t>
      </w:r>
      <w:r>
        <w:rPr>
          <w:sz w:val="22"/>
        </w:rPr>
        <w:t>).</w:t>
      </w:r>
    </w:p>
    <w:p>
      <w:pPr>
        <w:pStyle w:val="BodyText"/>
        <w:spacing w:before="7"/>
        <w:rPr>
          <w:sz w:val="17"/>
        </w:rPr>
      </w:pPr>
    </w:p>
    <w:p>
      <w:pPr>
        <w:pStyle w:val="ListParagraph"/>
        <w:numPr>
          <w:ilvl w:val="0"/>
          <w:numId w:val="384"/>
        </w:numPr>
        <w:tabs>
          <w:tab w:pos="508" w:val="left" w:leader="none"/>
        </w:tabs>
        <w:spacing w:line="360" w:lineRule="auto" w:before="0" w:after="0"/>
        <w:ind w:left="102" w:right="120" w:firstLine="0"/>
        <w:jc w:val="both"/>
        <w:rPr>
          <w:sz w:val="22"/>
        </w:rPr>
      </w:pPr>
      <w:r>
        <w:rPr>
          <w:sz w:val="22"/>
        </w:rPr>
        <w:t>Derecho a realizar trabajo común con otros actores de los municipios que integran la Cuenca Hidrosocial Presa Huapango en beneficio del cuidado del medio ambiente de la Cuenca (Valorar mediante el indicador de </w:t>
      </w:r>
      <w:r>
        <w:rPr>
          <w:i/>
          <w:sz w:val="22"/>
        </w:rPr>
        <w:t>cooperación</w:t>
      </w:r>
      <w:r>
        <w:rPr>
          <w:i/>
          <w:spacing w:val="-16"/>
          <w:sz w:val="22"/>
        </w:rPr>
        <w:t> </w:t>
      </w:r>
      <w:r>
        <w:rPr>
          <w:i/>
          <w:sz w:val="22"/>
        </w:rPr>
        <w:t>ambiental_1</w:t>
      </w:r>
      <w:r>
        <w:rPr>
          <w:sz w:val="22"/>
        </w:rPr>
        <w:t>).</w:t>
      </w:r>
    </w:p>
    <w:p>
      <w:pPr>
        <w:pStyle w:val="BodyText"/>
        <w:spacing w:before="7"/>
        <w:rPr>
          <w:sz w:val="17"/>
        </w:rPr>
      </w:pPr>
    </w:p>
    <w:p>
      <w:pPr>
        <w:pStyle w:val="ListParagraph"/>
        <w:numPr>
          <w:ilvl w:val="0"/>
          <w:numId w:val="384"/>
        </w:numPr>
        <w:tabs>
          <w:tab w:pos="608" w:val="left" w:leader="none"/>
        </w:tabs>
        <w:spacing w:line="360" w:lineRule="auto" w:before="0" w:after="0"/>
        <w:ind w:left="102" w:right="112" w:firstLine="0"/>
        <w:jc w:val="both"/>
        <w:rPr>
          <w:sz w:val="22"/>
        </w:rPr>
      </w:pPr>
      <w:r>
        <w:rPr>
          <w:sz w:val="22"/>
        </w:rPr>
        <w:t>Derecho a poseer un conjunto de valores colectivos como la paz, el respeto, la igualdad, la solidaridad y la responsabilidad para regular las acciones de los actores históricos en el ecosistema de la Cuenca Hidrosocial Presa Huapango para una convivencia armónica en la región (Valorar mediante el indicador de </w:t>
      </w:r>
      <w:r>
        <w:rPr>
          <w:i/>
          <w:sz w:val="22"/>
        </w:rPr>
        <w:t>identidad</w:t>
      </w:r>
      <w:r>
        <w:rPr>
          <w:i/>
          <w:spacing w:val="-22"/>
          <w:sz w:val="22"/>
        </w:rPr>
        <w:t> </w:t>
      </w:r>
      <w:r>
        <w:rPr>
          <w:i/>
          <w:sz w:val="22"/>
        </w:rPr>
        <w:t>ambiental</w:t>
      </w:r>
      <w:r>
        <w:rPr>
          <w:sz w:val="22"/>
        </w:rPr>
        <w:t>).</w:t>
      </w:r>
    </w:p>
    <w:p>
      <w:pPr>
        <w:pStyle w:val="BodyText"/>
        <w:spacing w:before="9"/>
        <w:rPr>
          <w:sz w:val="17"/>
        </w:rPr>
      </w:pPr>
    </w:p>
    <w:p>
      <w:pPr>
        <w:pStyle w:val="Heading7"/>
        <w:numPr>
          <w:ilvl w:val="0"/>
          <w:numId w:val="383"/>
        </w:numPr>
        <w:tabs>
          <w:tab w:pos="448" w:val="left" w:leader="none"/>
        </w:tabs>
        <w:spacing w:line="360" w:lineRule="auto" w:before="0" w:after="0"/>
        <w:ind w:left="102" w:right="120" w:firstLine="0"/>
        <w:jc w:val="both"/>
      </w:pPr>
      <w:r>
        <w:rPr>
          <w:i/>
        </w:rPr>
        <w:t>Son responsabilidades ambientales de los actores históricos de la Cuenca </w:t>
      </w:r>
      <w:r>
        <w:rPr/>
        <w:t>Hidrosocial Presa</w:t>
      </w:r>
      <w:r>
        <w:rPr>
          <w:spacing w:val="-8"/>
        </w:rPr>
        <w:t> </w:t>
      </w:r>
      <w:r>
        <w:rPr/>
        <w:t>Huapango:</w:t>
      </w:r>
    </w:p>
    <w:p>
      <w:pPr>
        <w:pStyle w:val="BodyText"/>
        <w:spacing w:before="7"/>
        <w:rPr>
          <w:b/>
          <w:i/>
          <w:sz w:val="17"/>
        </w:rPr>
      </w:pPr>
    </w:p>
    <w:p>
      <w:pPr>
        <w:pStyle w:val="BodyText"/>
        <w:spacing w:line="360" w:lineRule="auto"/>
        <w:ind w:left="102" w:right="117"/>
        <w:jc w:val="both"/>
      </w:pPr>
      <w:r>
        <w:rPr/>
        <w:t>I. Cuidar la relación del hombre con el medio ambiente a través del buen manejo de las prácticas culturales de gran antigüedad (sostenibles), asociadas a las características locales de la Cuenca (Valorar mediante el indicador de </w:t>
      </w:r>
      <w:r>
        <w:rPr>
          <w:i/>
        </w:rPr>
        <w:t>historia ambiental</w:t>
      </w:r>
      <w:r>
        <w:rPr/>
        <w:t>).</w:t>
      </w:r>
    </w:p>
    <w:p>
      <w:pPr>
        <w:pStyle w:val="BodyText"/>
        <w:spacing w:before="7"/>
        <w:rPr>
          <w:sz w:val="17"/>
        </w:rPr>
      </w:pPr>
    </w:p>
    <w:p>
      <w:pPr>
        <w:pStyle w:val="BodyText"/>
        <w:spacing w:line="360" w:lineRule="auto"/>
        <w:ind w:left="102" w:right="117"/>
        <w:jc w:val="both"/>
      </w:pPr>
      <w:r>
        <w:rPr/>
        <w:t>II.- Acceder racionalmente a los recursos naturales de la Cuenca Hidrosocial Presa Huapango para no sobreexplotarlos y garantizar la equidad de su distribución entre los actores de la Cuenca Hidrosocial Presa Huapango (Valorar mediante el indicador de  </w:t>
      </w:r>
      <w:r>
        <w:rPr>
          <w:i/>
        </w:rPr>
        <w:t>poder</w:t>
      </w:r>
      <w:r>
        <w:rPr>
          <w:i/>
          <w:spacing w:val="-9"/>
        </w:rPr>
        <w:t> </w:t>
      </w:r>
      <w:r>
        <w:rPr>
          <w:i/>
        </w:rPr>
        <w:t>ambiental</w:t>
      </w:r>
      <w:r>
        <w:rPr/>
        <w:t>).</w:t>
      </w:r>
    </w:p>
    <w:p>
      <w:pPr>
        <w:pStyle w:val="BodyText"/>
        <w:spacing w:before="10"/>
        <w:rPr>
          <w:sz w:val="17"/>
        </w:rPr>
      </w:pPr>
    </w:p>
    <w:p>
      <w:pPr>
        <w:pStyle w:val="BodyText"/>
        <w:spacing w:line="360" w:lineRule="auto"/>
        <w:ind w:left="102" w:right="122"/>
        <w:jc w:val="both"/>
      </w:pPr>
      <w:r>
        <w:rPr/>
        <w:t>III. Acceder a la una recolección racional de especies y a la caza permitida de animales (respeto de veda), para garantizar la sostenibilidad para la comida lacustre y las recetas tradicionales de la Cuenca (Valorar mediante el indicador de </w:t>
      </w:r>
      <w:r>
        <w:rPr>
          <w:i/>
        </w:rPr>
        <w:t>cultura ambiental</w:t>
      </w:r>
      <w:r>
        <w:rPr/>
        <w:t>).</w:t>
      </w:r>
    </w:p>
    <w:p>
      <w:pPr>
        <w:pStyle w:val="BodyText"/>
        <w:spacing w:before="7"/>
        <w:rPr>
          <w:sz w:val="17"/>
        </w:rPr>
      </w:pPr>
    </w:p>
    <w:p>
      <w:pPr>
        <w:spacing w:line="362" w:lineRule="auto" w:before="0"/>
        <w:ind w:left="102" w:right="119" w:firstLine="0"/>
        <w:jc w:val="both"/>
        <w:rPr>
          <w:sz w:val="22"/>
        </w:rPr>
      </w:pPr>
      <w:r>
        <w:rPr>
          <w:sz w:val="22"/>
        </w:rPr>
        <w:t>IV.- Participar en las decisiones colectivas mediante voz y voto (Valorar mediante el indicador de </w:t>
      </w:r>
      <w:r>
        <w:rPr>
          <w:i/>
          <w:sz w:val="22"/>
        </w:rPr>
        <w:t>democracia y voluntariedad</w:t>
      </w:r>
      <w:r>
        <w:rPr>
          <w:sz w:val="22"/>
        </w:rPr>
        <w:t>).</w:t>
      </w:r>
    </w:p>
    <w:p>
      <w:pPr>
        <w:spacing w:after="0" w:line="362" w:lineRule="auto"/>
        <w:jc w:val="both"/>
        <w:rPr>
          <w:sz w:val="22"/>
        </w:rPr>
        <w:sectPr>
          <w:pgSz w:w="12240" w:h="15840"/>
          <w:pgMar w:header="0" w:footer="1003" w:top="1360" w:bottom="1200" w:left="1600" w:right="1580"/>
        </w:sectPr>
      </w:pPr>
    </w:p>
    <w:p>
      <w:pPr>
        <w:pStyle w:val="ListParagraph"/>
        <w:numPr>
          <w:ilvl w:val="0"/>
          <w:numId w:val="385"/>
        </w:numPr>
        <w:tabs>
          <w:tab w:pos="385" w:val="left" w:leader="none"/>
        </w:tabs>
        <w:spacing w:line="362" w:lineRule="auto" w:before="53" w:after="0"/>
        <w:ind w:left="102" w:right="119" w:firstLine="0"/>
        <w:jc w:val="both"/>
        <w:rPr>
          <w:sz w:val="22"/>
        </w:rPr>
      </w:pPr>
      <w:r>
        <w:rPr>
          <w:sz w:val="22"/>
        </w:rPr>
        <w:t>Realizar acciones colectivas para garantizar la sostenibilidad de la Cuenca Hidrosocial Presa Huapango (Valorar mediante el indicador de </w:t>
      </w:r>
      <w:r>
        <w:rPr>
          <w:i/>
          <w:sz w:val="22"/>
        </w:rPr>
        <w:t>participación</w:t>
      </w:r>
      <w:r>
        <w:rPr>
          <w:i/>
          <w:spacing w:val="-20"/>
          <w:sz w:val="22"/>
        </w:rPr>
        <w:t> </w:t>
      </w:r>
      <w:r>
        <w:rPr>
          <w:i/>
          <w:sz w:val="22"/>
        </w:rPr>
        <w:t>social</w:t>
      </w:r>
      <w:r>
        <w:rPr>
          <w:sz w:val="22"/>
        </w:rPr>
        <w:t>).</w:t>
      </w:r>
    </w:p>
    <w:p>
      <w:pPr>
        <w:pStyle w:val="BodyText"/>
        <w:spacing w:before="4"/>
        <w:rPr>
          <w:sz w:val="17"/>
        </w:rPr>
      </w:pPr>
    </w:p>
    <w:p>
      <w:pPr>
        <w:pStyle w:val="ListParagraph"/>
        <w:numPr>
          <w:ilvl w:val="0"/>
          <w:numId w:val="385"/>
        </w:numPr>
        <w:tabs>
          <w:tab w:pos="465" w:val="left" w:leader="none"/>
        </w:tabs>
        <w:spacing w:line="360" w:lineRule="auto" w:before="0" w:after="0"/>
        <w:ind w:left="102" w:right="117" w:firstLine="0"/>
        <w:jc w:val="both"/>
        <w:rPr>
          <w:sz w:val="22"/>
        </w:rPr>
      </w:pPr>
      <w:r>
        <w:rPr>
          <w:sz w:val="22"/>
        </w:rPr>
        <w:t>Relacionarse intermunicipalmente con otros actores de la Cuenca Hidrosocial Presa Huapango para solucionar problemas ambientales comunes de la Cuenca (Valorar mediante el indicador de </w:t>
      </w:r>
      <w:r>
        <w:rPr>
          <w:i/>
          <w:sz w:val="22"/>
        </w:rPr>
        <w:t>relaciones</w:t>
      </w:r>
      <w:r>
        <w:rPr>
          <w:i/>
          <w:spacing w:val="-15"/>
          <w:sz w:val="22"/>
        </w:rPr>
        <w:t> </w:t>
      </w:r>
      <w:r>
        <w:rPr>
          <w:i/>
          <w:sz w:val="22"/>
        </w:rPr>
        <w:t>intermunicipales</w:t>
      </w:r>
      <w:r>
        <w:rPr>
          <w:sz w:val="22"/>
        </w:rPr>
        <w:t>).</w:t>
      </w:r>
    </w:p>
    <w:p>
      <w:pPr>
        <w:pStyle w:val="BodyText"/>
        <w:spacing w:before="9"/>
        <w:rPr>
          <w:sz w:val="17"/>
        </w:rPr>
      </w:pPr>
    </w:p>
    <w:p>
      <w:pPr>
        <w:pStyle w:val="ListParagraph"/>
        <w:numPr>
          <w:ilvl w:val="0"/>
          <w:numId w:val="385"/>
        </w:numPr>
        <w:tabs>
          <w:tab w:pos="532" w:val="left" w:leader="none"/>
        </w:tabs>
        <w:spacing w:line="360" w:lineRule="auto" w:before="0" w:after="0"/>
        <w:ind w:left="102" w:right="119" w:firstLine="0"/>
        <w:jc w:val="both"/>
        <w:rPr>
          <w:sz w:val="22"/>
        </w:rPr>
      </w:pPr>
      <w:r>
        <w:rPr>
          <w:sz w:val="22"/>
        </w:rPr>
        <w:t>Participar en el trabajo común con otros actores de los municipios que integran la Cuenca Hidrosocial Presa Huapango en beneficio del cuidado del medio ambiente de la Cuenca (Valorar mediante el indicador de </w:t>
      </w:r>
      <w:r>
        <w:rPr>
          <w:i/>
          <w:sz w:val="22"/>
        </w:rPr>
        <w:t>cooperación</w:t>
      </w:r>
      <w:r>
        <w:rPr>
          <w:i/>
          <w:spacing w:val="-15"/>
          <w:sz w:val="22"/>
        </w:rPr>
        <w:t> </w:t>
      </w:r>
      <w:r>
        <w:rPr>
          <w:i/>
          <w:sz w:val="22"/>
        </w:rPr>
        <w:t>ambiental_1</w:t>
      </w:r>
      <w:r>
        <w:rPr>
          <w:sz w:val="22"/>
        </w:rPr>
        <w:t>).</w:t>
      </w:r>
    </w:p>
    <w:p>
      <w:pPr>
        <w:pStyle w:val="BodyText"/>
        <w:spacing w:before="7"/>
        <w:rPr>
          <w:sz w:val="17"/>
        </w:rPr>
      </w:pPr>
    </w:p>
    <w:p>
      <w:pPr>
        <w:pStyle w:val="ListParagraph"/>
        <w:numPr>
          <w:ilvl w:val="0"/>
          <w:numId w:val="385"/>
        </w:numPr>
        <w:tabs>
          <w:tab w:pos="613" w:val="left" w:leader="none"/>
        </w:tabs>
        <w:spacing w:line="360" w:lineRule="auto" w:before="0" w:after="0"/>
        <w:ind w:left="102" w:right="112" w:firstLine="0"/>
        <w:jc w:val="both"/>
        <w:rPr>
          <w:sz w:val="22"/>
        </w:rPr>
      </w:pPr>
      <w:r>
        <w:rPr>
          <w:sz w:val="22"/>
        </w:rPr>
        <w:t>Adquirir y poseer un conjunto de valores colectivos como la paz, el respeto, la igualdad, la solidaridad y la responsabilidad para regular las acciones de los actores históricos en el ecosistema de la Cuenca Hidrosocial Presa Huapango para una convivencia armónica en la región (Valorar mediante el indicador de </w:t>
      </w:r>
      <w:r>
        <w:rPr>
          <w:i/>
          <w:sz w:val="22"/>
        </w:rPr>
        <w:t>identidad</w:t>
      </w:r>
      <w:r>
        <w:rPr>
          <w:i/>
          <w:spacing w:val="-23"/>
          <w:sz w:val="22"/>
        </w:rPr>
        <w:t> </w:t>
      </w:r>
      <w:r>
        <w:rPr>
          <w:i/>
          <w:sz w:val="22"/>
        </w:rPr>
        <w:t>ambiental</w:t>
      </w:r>
      <w:r>
        <w:rPr>
          <w:sz w:val="22"/>
        </w:rPr>
        <w:t>).</w:t>
      </w:r>
    </w:p>
    <w:p>
      <w:pPr>
        <w:pStyle w:val="BodyText"/>
        <w:spacing w:before="4"/>
        <w:rPr>
          <w:sz w:val="17"/>
        </w:rPr>
      </w:pPr>
    </w:p>
    <w:p>
      <w:pPr>
        <w:pStyle w:val="BodyText"/>
        <w:spacing w:line="362" w:lineRule="auto"/>
        <w:ind w:left="102" w:right="118"/>
        <w:jc w:val="both"/>
      </w:pPr>
      <w:r>
        <w:rPr>
          <w:b/>
        </w:rPr>
        <w:t>Artículo 12.- </w:t>
      </w:r>
      <w:r>
        <w:rPr/>
        <w:t>Son derechos y responsabilidades ambientales de los actores gubernamentales:</w:t>
      </w:r>
    </w:p>
    <w:p>
      <w:pPr>
        <w:pStyle w:val="BodyText"/>
        <w:spacing w:before="7"/>
        <w:rPr>
          <w:sz w:val="17"/>
        </w:rPr>
      </w:pPr>
    </w:p>
    <w:p>
      <w:pPr>
        <w:pStyle w:val="Heading7"/>
        <w:numPr>
          <w:ilvl w:val="0"/>
          <w:numId w:val="386"/>
        </w:numPr>
        <w:tabs>
          <w:tab w:pos="455" w:val="left" w:leader="none"/>
        </w:tabs>
        <w:spacing w:line="360" w:lineRule="auto" w:before="0" w:after="0"/>
        <w:ind w:left="102" w:right="118" w:firstLine="0"/>
        <w:jc w:val="both"/>
      </w:pPr>
      <w:r>
        <w:rPr>
          <w:i/>
        </w:rPr>
        <w:t>Son derechos ambientales de los actores gubernamentales en la Cuenca </w:t>
      </w:r>
      <w:r>
        <w:rPr/>
        <w:t>Hidrosocial Presa</w:t>
      </w:r>
      <w:r>
        <w:rPr>
          <w:spacing w:val="-8"/>
        </w:rPr>
        <w:t> </w:t>
      </w:r>
      <w:r>
        <w:rPr/>
        <w:t>Huapango:</w:t>
      </w:r>
    </w:p>
    <w:p>
      <w:pPr>
        <w:pStyle w:val="BodyText"/>
        <w:spacing w:before="7"/>
        <w:rPr>
          <w:b/>
          <w:i/>
          <w:sz w:val="17"/>
        </w:rPr>
      </w:pPr>
    </w:p>
    <w:p>
      <w:pPr>
        <w:pStyle w:val="BodyText"/>
        <w:spacing w:line="360" w:lineRule="auto"/>
        <w:ind w:left="102" w:right="115"/>
        <w:jc w:val="both"/>
      </w:pPr>
      <w:r>
        <w:rPr/>
        <w:t>I.- Sus acciones en pro del medio ambiente de la Cuenca Hidrosocial Presa Huapango que les estén permitidas por la ley, pero que no enfrenten y trasgredan los derechos innatos de los actores históricos de la Cuenca (Valorar a través de la gobernanza, la gobernabilidad y el Derecho</w:t>
      </w:r>
      <w:r>
        <w:rPr>
          <w:spacing w:val="-11"/>
        </w:rPr>
        <w:t> </w:t>
      </w:r>
      <w:r>
        <w:rPr/>
        <w:t>Consuetudinario).</w:t>
      </w:r>
    </w:p>
    <w:p>
      <w:pPr>
        <w:pStyle w:val="BodyText"/>
        <w:spacing w:before="7"/>
        <w:rPr>
          <w:sz w:val="17"/>
        </w:rPr>
      </w:pPr>
    </w:p>
    <w:p>
      <w:pPr>
        <w:pStyle w:val="BodyText"/>
        <w:spacing w:line="360" w:lineRule="auto"/>
        <w:ind w:left="102" w:right="121"/>
        <w:jc w:val="both"/>
      </w:pPr>
      <w:r>
        <w:rPr/>
        <w:t>II.- Disfrutar del paisaje de la Cuenca Hidrosocial Presa Huapango (Valorar mediante el indicador de cultura ambiental)</w:t>
      </w:r>
    </w:p>
    <w:p>
      <w:pPr>
        <w:pStyle w:val="BodyText"/>
        <w:spacing w:before="9"/>
        <w:rPr>
          <w:sz w:val="17"/>
        </w:rPr>
      </w:pPr>
    </w:p>
    <w:p>
      <w:pPr>
        <w:pStyle w:val="ListParagraph"/>
        <w:numPr>
          <w:ilvl w:val="0"/>
          <w:numId w:val="387"/>
        </w:numPr>
        <w:tabs>
          <w:tab w:pos="479" w:val="left" w:leader="none"/>
        </w:tabs>
        <w:spacing w:line="360" w:lineRule="auto" w:before="0" w:after="0"/>
        <w:ind w:left="102" w:right="115" w:firstLine="0"/>
        <w:jc w:val="both"/>
        <w:rPr>
          <w:sz w:val="22"/>
        </w:rPr>
      </w:pPr>
      <w:r>
        <w:rPr>
          <w:sz w:val="22"/>
        </w:rPr>
        <w:t>Apoyar a los actores históricos en proyectos relacionados al cuidado del medio ambiente de la Cuenca Hidrosocial Presa Huapango (Valorar mediante los indicadores de identidad, cultura, cooperación ambiental, participación social y relaciones intermunicipales).</w:t>
      </w:r>
    </w:p>
    <w:p>
      <w:pPr>
        <w:pStyle w:val="BodyText"/>
        <w:spacing w:before="7"/>
        <w:rPr>
          <w:sz w:val="17"/>
        </w:rPr>
      </w:pPr>
    </w:p>
    <w:p>
      <w:pPr>
        <w:pStyle w:val="ListParagraph"/>
        <w:numPr>
          <w:ilvl w:val="0"/>
          <w:numId w:val="387"/>
        </w:numPr>
        <w:tabs>
          <w:tab w:pos="508" w:val="left" w:leader="none"/>
        </w:tabs>
        <w:spacing w:line="360" w:lineRule="auto" w:before="0" w:after="0"/>
        <w:ind w:left="102" w:right="116" w:firstLine="0"/>
        <w:jc w:val="both"/>
        <w:rPr>
          <w:sz w:val="22"/>
        </w:rPr>
      </w:pPr>
      <w:r>
        <w:rPr>
          <w:sz w:val="22"/>
        </w:rPr>
        <w:t>Interrelacionarse y vincularse con los actores de otros ámbitos de gobierno, la sociedad  civil,  organismos  internacionales  y  académicos  para  realizar  proyectos </w:t>
      </w:r>
      <w:r>
        <w:rPr>
          <w:spacing w:val="18"/>
          <w:sz w:val="22"/>
        </w:rPr>
        <w:t> </w:t>
      </w:r>
      <w:r>
        <w:rPr>
          <w:sz w:val="22"/>
        </w:rPr>
        <w:t>que</w:t>
      </w:r>
    </w:p>
    <w:p>
      <w:pPr>
        <w:spacing w:after="0" w:line="360" w:lineRule="auto"/>
        <w:jc w:val="both"/>
        <w:rPr>
          <w:sz w:val="22"/>
        </w:rPr>
        <w:sectPr>
          <w:pgSz w:w="12240" w:h="15840"/>
          <w:pgMar w:header="0" w:footer="1003" w:top="1360" w:bottom="1200" w:left="1600" w:right="1580"/>
        </w:sectPr>
      </w:pPr>
    </w:p>
    <w:p>
      <w:pPr>
        <w:pStyle w:val="BodyText"/>
        <w:spacing w:line="362" w:lineRule="auto" w:before="53"/>
        <w:ind w:left="102" w:right="116"/>
        <w:jc w:val="both"/>
      </w:pPr>
      <w:r>
        <w:rPr/>
        <w:t>beneficien el cuidado del medio ambiente en la Cuenca Hidrosocial Presa Huapango (Valorar mediante el indicador de cooperación ambiental_1 y participación social).</w:t>
      </w:r>
    </w:p>
    <w:p>
      <w:pPr>
        <w:pStyle w:val="BodyText"/>
        <w:spacing w:before="4"/>
        <w:rPr>
          <w:sz w:val="17"/>
        </w:rPr>
      </w:pPr>
    </w:p>
    <w:p>
      <w:pPr>
        <w:pStyle w:val="ListParagraph"/>
        <w:numPr>
          <w:ilvl w:val="0"/>
          <w:numId w:val="387"/>
        </w:numPr>
        <w:tabs>
          <w:tab w:pos="376" w:val="left" w:leader="none"/>
        </w:tabs>
        <w:spacing w:line="360" w:lineRule="auto" w:before="0" w:after="0"/>
        <w:ind w:left="102" w:right="120" w:firstLine="0"/>
        <w:jc w:val="both"/>
        <w:rPr>
          <w:sz w:val="22"/>
        </w:rPr>
      </w:pPr>
      <w:r>
        <w:rPr>
          <w:sz w:val="22"/>
        </w:rPr>
        <w:t>Participar en la Asamblea General con voz, pero sin voto (Valorar mediante el indicador de poder, democracia y</w:t>
      </w:r>
      <w:r>
        <w:rPr>
          <w:spacing w:val="-10"/>
          <w:sz w:val="22"/>
        </w:rPr>
        <w:t> </w:t>
      </w:r>
      <w:r>
        <w:rPr>
          <w:sz w:val="22"/>
        </w:rPr>
        <w:t>voluntariedad).</w:t>
      </w:r>
    </w:p>
    <w:p>
      <w:pPr>
        <w:pStyle w:val="BodyText"/>
        <w:spacing w:before="9"/>
        <w:rPr>
          <w:sz w:val="17"/>
        </w:rPr>
      </w:pPr>
    </w:p>
    <w:p>
      <w:pPr>
        <w:pStyle w:val="Heading7"/>
        <w:numPr>
          <w:ilvl w:val="0"/>
          <w:numId w:val="386"/>
        </w:numPr>
        <w:tabs>
          <w:tab w:pos="465" w:val="left" w:leader="none"/>
        </w:tabs>
        <w:spacing w:line="360" w:lineRule="auto" w:before="0" w:after="0"/>
        <w:ind w:left="102" w:right="114" w:firstLine="0"/>
        <w:jc w:val="both"/>
      </w:pPr>
      <w:r>
        <w:rPr>
          <w:i/>
        </w:rPr>
        <w:t>Son responsabilidades ambientales de los actores gubernamentales en la </w:t>
      </w:r>
      <w:r>
        <w:rPr/>
        <w:t>Cuenca Hidrosocial Presa</w:t>
      </w:r>
      <w:r>
        <w:rPr>
          <w:spacing w:val="-5"/>
        </w:rPr>
        <w:t> </w:t>
      </w:r>
      <w:r>
        <w:rPr/>
        <w:t>Huapango:</w:t>
      </w:r>
    </w:p>
    <w:p>
      <w:pPr>
        <w:pStyle w:val="BodyText"/>
        <w:spacing w:before="7"/>
        <w:rPr>
          <w:b/>
          <w:i/>
          <w:sz w:val="17"/>
        </w:rPr>
      </w:pPr>
    </w:p>
    <w:p>
      <w:pPr>
        <w:pStyle w:val="BodyText"/>
        <w:spacing w:line="360" w:lineRule="auto"/>
        <w:ind w:left="102" w:right="117"/>
        <w:jc w:val="both"/>
      </w:pPr>
      <w:r>
        <w:rPr/>
        <w:t>I.- Realizar sus funciones y responsabilidades en pro del medio ambiente de la Cuenca Hidrosocial Presa Huapango que les estén delegadas por la ley, pero que no trasgredan los derechos innatos de los actores históricos de la Cuenca (Valorar a través de la gobernanza, la gobernabilidad y el Derecho Consuetudinario).</w:t>
      </w:r>
    </w:p>
    <w:p>
      <w:pPr>
        <w:pStyle w:val="BodyText"/>
        <w:spacing w:before="9"/>
        <w:rPr>
          <w:sz w:val="17"/>
        </w:rPr>
      </w:pPr>
    </w:p>
    <w:p>
      <w:pPr>
        <w:pStyle w:val="ListParagraph"/>
        <w:numPr>
          <w:ilvl w:val="0"/>
          <w:numId w:val="388"/>
        </w:numPr>
        <w:tabs>
          <w:tab w:pos="424" w:val="left" w:leader="none"/>
        </w:tabs>
        <w:spacing w:line="360" w:lineRule="auto" w:before="0" w:after="0"/>
        <w:ind w:left="102" w:right="117" w:firstLine="0"/>
        <w:jc w:val="both"/>
        <w:rPr>
          <w:sz w:val="22"/>
        </w:rPr>
      </w:pPr>
      <w:r>
        <w:rPr>
          <w:sz w:val="22"/>
        </w:rPr>
        <w:t>Apoyar a los actores históricos en proyectos relacionados al cuidado del medio ambiente de la Cuenca Hidrosocial Presa Huapango (Valorar mediante los indicadores de identidad, cultura, cooperación ambiental, participación social y relaciones intermunicipales).</w:t>
      </w:r>
    </w:p>
    <w:p>
      <w:pPr>
        <w:pStyle w:val="BodyText"/>
        <w:spacing w:before="9"/>
        <w:rPr>
          <w:sz w:val="17"/>
        </w:rPr>
      </w:pPr>
    </w:p>
    <w:p>
      <w:pPr>
        <w:pStyle w:val="ListParagraph"/>
        <w:numPr>
          <w:ilvl w:val="0"/>
          <w:numId w:val="388"/>
        </w:numPr>
        <w:tabs>
          <w:tab w:pos="508" w:val="left" w:leader="none"/>
        </w:tabs>
        <w:spacing w:line="360" w:lineRule="auto" w:before="0" w:after="0"/>
        <w:ind w:left="102" w:right="118" w:firstLine="0"/>
        <w:jc w:val="both"/>
        <w:rPr>
          <w:sz w:val="22"/>
        </w:rPr>
      </w:pPr>
      <w:r>
        <w:rPr>
          <w:sz w:val="22"/>
        </w:rPr>
        <w:t>Coordinarse con los actores de otros ámbitos de gobierno, la sociedad civil, organismos internacionales y académicos para realizar proyectos que beneficien el cuidado del medio ambiente en la Cuenca Hidrosocial Presa Huapango (Valorar mediante el indicador de cooperación ambiental_1 y participación</w:t>
      </w:r>
      <w:r>
        <w:rPr>
          <w:spacing w:val="-18"/>
          <w:sz w:val="22"/>
        </w:rPr>
        <w:t> </w:t>
      </w:r>
      <w:r>
        <w:rPr>
          <w:sz w:val="22"/>
        </w:rPr>
        <w:t>social).</w:t>
      </w:r>
    </w:p>
    <w:p>
      <w:pPr>
        <w:pStyle w:val="BodyText"/>
        <w:spacing w:before="7"/>
        <w:rPr>
          <w:sz w:val="17"/>
        </w:rPr>
      </w:pPr>
    </w:p>
    <w:p>
      <w:pPr>
        <w:pStyle w:val="ListParagraph"/>
        <w:numPr>
          <w:ilvl w:val="0"/>
          <w:numId w:val="388"/>
        </w:numPr>
        <w:tabs>
          <w:tab w:pos="505" w:val="left" w:leader="none"/>
        </w:tabs>
        <w:spacing w:line="362" w:lineRule="auto" w:before="0" w:after="0"/>
        <w:ind w:left="102" w:right="120" w:firstLine="0"/>
        <w:jc w:val="both"/>
        <w:rPr>
          <w:sz w:val="22"/>
        </w:rPr>
      </w:pPr>
      <w:r>
        <w:rPr>
          <w:sz w:val="22"/>
        </w:rPr>
        <w:t>Participar en la Asamblea General con voz, pero sin voto (Valorar mediante el indicador de poder, democracia y</w:t>
      </w:r>
      <w:r>
        <w:rPr>
          <w:spacing w:val="-9"/>
          <w:sz w:val="22"/>
        </w:rPr>
        <w:t> </w:t>
      </w:r>
      <w:r>
        <w:rPr>
          <w:sz w:val="22"/>
        </w:rPr>
        <w:t>voluntariedad).</w:t>
      </w:r>
    </w:p>
    <w:p>
      <w:pPr>
        <w:pStyle w:val="BodyText"/>
        <w:spacing w:line="360" w:lineRule="auto" w:before="197"/>
        <w:ind w:left="102" w:right="118"/>
        <w:jc w:val="both"/>
      </w:pPr>
      <w:r>
        <w:rPr>
          <w:b/>
        </w:rPr>
        <w:t>Artículo 13.- </w:t>
      </w:r>
      <w:r>
        <w:rPr/>
        <w:t>Son derechos y responsabilidades ambientales de los actores de las Organizaciones No gubernamentales y de los Organismos Internacionales en la Cuenca Hidrosocial Presa Huapango.</w:t>
      </w:r>
    </w:p>
    <w:p>
      <w:pPr>
        <w:pStyle w:val="BodyText"/>
        <w:spacing w:before="10"/>
        <w:rPr>
          <w:sz w:val="17"/>
        </w:rPr>
      </w:pPr>
    </w:p>
    <w:p>
      <w:pPr>
        <w:pStyle w:val="Heading7"/>
        <w:numPr>
          <w:ilvl w:val="0"/>
          <w:numId w:val="389"/>
        </w:numPr>
        <w:tabs>
          <w:tab w:pos="510" w:val="left" w:leader="none"/>
        </w:tabs>
        <w:spacing w:line="360" w:lineRule="auto" w:before="0" w:after="0"/>
        <w:ind w:left="102" w:right="114" w:firstLine="0"/>
        <w:jc w:val="both"/>
      </w:pPr>
      <w:r>
        <w:rPr>
          <w:i/>
        </w:rPr>
        <w:t>Son derechos ambientales de los actores de las Organizaciones No </w:t>
      </w:r>
      <w:r>
        <w:rPr/>
        <w:t>Gubernamentales y los Organismos Internacionales en la Cuenca Hidrosocial Presa Huapango:</w:t>
      </w:r>
    </w:p>
    <w:p>
      <w:pPr>
        <w:pStyle w:val="BodyText"/>
        <w:spacing w:before="7"/>
        <w:rPr>
          <w:b/>
          <w:i/>
          <w:sz w:val="17"/>
        </w:rPr>
      </w:pPr>
    </w:p>
    <w:p>
      <w:pPr>
        <w:pStyle w:val="ListParagraph"/>
        <w:numPr>
          <w:ilvl w:val="0"/>
          <w:numId w:val="390"/>
        </w:numPr>
        <w:tabs>
          <w:tab w:pos="304" w:val="left" w:leader="none"/>
        </w:tabs>
        <w:spacing w:line="360" w:lineRule="auto" w:before="0" w:after="0"/>
        <w:ind w:left="102" w:right="116" w:firstLine="0"/>
        <w:jc w:val="both"/>
        <w:rPr>
          <w:sz w:val="22"/>
        </w:rPr>
      </w:pPr>
      <w:r>
        <w:rPr>
          <w:sz w:val="22"/>
        </w:rPr>
        <w:t>Realización de proyectos en conjunto con los actores históricos y los gubernamentales para  cuidar  el  medio  ambiente  de  la  Cuenca  Hidrosocial  Presa  Huapango   </w:t>
      </w:r>
      <w:r>
        <w:rPr>
          <w:spacing w:val="4"/>
          <w:sz w:val="22"/>
        </w:rPr>
        <w:t> </w:t>
      </w:r>
      <w:r>
        <w:rPr>
          <w:sz w:val="22"/>
        </w:rPr>
        <w:t>(Valorar</w:t>
      </w:r>
    </w:p>
    <w:p>
      <w:pPr>
        <w:spacing w:after="0" w:line="360" w:lineRule="auto"/>
        <w:jc w:val="both"/>
        <w:rPr>
          <w:sz w:val="22"/>
        </w:rPr>
        <w:sectPr>
          <w:pgSz w:w="12240" w:h="15840"/>
          <w:pgMar w:header="0" w:footer="1003" w:top="1360" w:bottom="1200" w:left="1600" w:right="1580"/>
        </w:sectPr>
      </w:pPr>
    </w:p>
    <w:p>
      <w:pPr>
        <w:pStyle w:val="BodyText"/>
        <w:spacing w:line="362" w:lineRule="auto" w:before="53"/>
        <w:ind w:left="102" w:right="120"/>
        <w:jc w:val="both"/>
      </w:pPr>
      <w:r>
        <w:rPr/>
        <w:t>mediante los indicadores de cooperación ambiental_1, participación social y relaciones intermunicipales).</w:t>
      </w:r>
    </w:p>
    <w:p>
      <w:pPr>
        <w:pStyle w:val="BodyText"/>
        <w:spacing w:before="4"/>
        <w:rPr>
          <w:sz w:val="17"/>
        </w:rPr>
      </w:pPr>
    </w:p>
    <w:p>
      <w:pPr>
        <w:pStyle w:val="ListParagraph"/>
        <w:numPr>
          <w:ilvl w:val="0"/>
          <w:numId w:val="390"/>
        </w:numPr>
        <w:tabs>
          <w:tab w:pos="354" w:val="left" w:leader="none"/>
        </w:tabs>
        <w:spacing w:line="360" w:lineRule="auto" w:before="0" w:after="0"/>
        <w:ind w:left="102" w:right="115" w:firstLine="0"/>
        <w:jc w:val="both"/>
        <w:rPr>
          <w:sz w:val="22"/>
        </w:rPr>
      </w:pPr>
      <w:r>
        <w:rPr>
          <w:sz w:val="22"/>
        </w:rPr>
        <w:t>Apoyar el fomento de la cultura y la educación ambiental de los niños, principalmente a través de cursos y programas que garanticen la sostenibilidad de la Cuenca Hidrosocial Presa Huapango (Valorar mediante los indicadores de cultura e identidad</w:t>
      </w:r>
      <w:r>
        <w:rPr>
          <w:spacing w:val="-24"/>
          <w:sz w:val="22"/>
        </w:rPr>
        <w:t> </w:t>
      </w:r>
      <w:r>
        <w:rPr>
          <w:sz w:val="22"/>
        </w:rPr>
        <w:t>ambiental).</w:t>
      </w:r>
    </w:p>
    <w:p>
      <w:pPr>
        <w:pStyle w:val="BodyText"/>
        <w:spacing w:before="9"/>
        <w:rPr>
          <w:sz w:val="17"/>
        </w:rPr>
      </w:pPr>
    </w:p>
    <w:p>
      <w:pPr>
        <w:pStyle w:val="ListParagraph"/>
        <w:numPr>
          <w:ilvl w:val="0"/>
          <w:numId w:val="390"/>
        </w:numPr>
        <w:tabs>
          <w:tab w:pos="452" w:val="left" w:leader="none"/>
        </w:tabs>
        <w:spacing w:line="360" w:lineRule="auto" w:before="0" w:after="0"/>
        <w:ind w:left="102" w:right="120" w:firstLine="0"/>
        <w:jc w:val="both"/>
        <w:rPr>
          <w:sz w:val="22"/>
        </w:rPr>
      </w:pPr>
      <w:r>
        <w:rPr>
          <w:sz w:val="22"/>
        </w:rPr>
        <w:t>Realizar acciones ambientales locales con impactos globales (Valorar mediante los indicadores de poder y cooperación</w:t>
      </w:r>
      <w:r>
        <w:rPr>
          <w:spacing w:val="-12"/>
          <w:sz w:val="22"/>
        </w:rPr>
        <w:t> </w:t>
      </w:r>
      <w:r>
        <w:rPr>
          <w:sz w:val="22"/>
        </w:rPr>
        <w:t>ambiental).</w:t>
      </w:r>
    </w:p>
    <w:p>
      <w:pPr>
        <w:pStyle w:val="BodyText"/>
        <w:spacing w:before="7"/>
        <w:rPr>
          <w:sz w:val="17"/>
        </w:rPr>
      </w:pPr>
    </w:p>
    <w:p>
      <w:pPr>
        <w:pStyle w:val="ListParagraph"/>
        <w:numPr>
          <w:ilvl w:val="0"/>
          <w:numId w:val="390"/>
        </w:numPr>
        <w:tabs>
          <w:tab w:pos="506" w:val="left" w:leader="none"/>
        </w:tabs>
        <w:spacing w:line="360" w:lineRule="auto" w:before="0" w:after="0"/>
        <w:ind w:left="102" w:right="120" w:firstLine="0"/>
        <w:jc w:val="both"/>
        <w:rPr>
          <w:sz w:val="22"/>
        </w:rPr>
      </w:pPr>
      <w:r>
        <w:rPr>
          <w:sz w:val="22"/>
        </w:rPr>
        <w:t>Participar en la Asamblea General con voz, pero sin voto (Valorar mediante el indicador de poder, democracia y</w:t>
      </w:r>
      <w:r>
        <w:rPr>
          <w:spacing w:val="-9"/>
          <w:sz w:val="22"/>
        </w:rPr>
        <w:t> </w:t>
      </w:r>
      <w:r>
        <w:rPr>
          <w:sz w:val="22"/>
        </w:rPr>
        <w:t>voluntariedad).</w:t>
      </w:r>
    </w:p>
    <w:p>
      <w:pPr>
        <w:pStyle w:val="BodyText"/>
        <w:spacing w:before="9"/>
        <w:rPr>
          <w:sz w:val="17"/>
        </w:rPr>
      </w:pPr>
    </w:p>
    <w:p>
      <w:pPr>
        <w:pStyle w:val="Heading7"/>
        <w:numPr>
          <w:ilvl w:val="0"/>
          <w:numId w:val="389"/>
        </w:numPr>
        <w:tabs>
          <w:tab w:pos="426" w:val="left" w:leader="none"/>
        </w:tabs>
        <w:spacing w:line="360" w:lineRule="auto" w:before="0" w:after="0"/>
        <w:ind w:left="102" w:right="114" w:firstLine="0"/>
        <w:jc w:val="both"/>
      </w:pPr>
      <w:r>
        <w:rPr>
          <w:i/>
        </w:rPr>
        <w:t>Son responsabilidades ambientales de los actores de las Organizaciones No </w:t>
      </w:r>
      <w:r>
        <w:rPr/>
        <w:t>Gubernamentales y los Organismos Internacionales en la Cuenca Hidrosocial Presa Huapango:</w:t>
      </w:r>
    </w:p>
    <w:p>
      <w:pPr>
        <w:pStyle w:val="BodyText"/>
        <w:spacing w:before="7"/>
        <w:rPr>
          <w:b/>
          <w:i/>
          <w:sz w:val="17"/>
        </w:rPr>
      </w:pPr>
    </w:p>
    <w:p>
      <w:pPr>
        <w:pStyle w:val="ListParagraph"/>
        <w:numPr>
          <w:ilvl w:val="0"/>
          <w:numId w:val="391"/>
        </w:numPr>
        <w:tabs>
          <w:tab w:pos="335" w:val="left" w:leader="none"/>
        </w:tabs>
        <w:spacing w:line="360" w:lineRule="auto" w:before="0" w:after="0"/>
        <w:ind w:left="102" w:right="116" w:firstLine="0"/>
        <w:jc w:val="both"/>
        <w:rPr>
          <w:sz w:val="22"/>
        </w:rPr>
      </w:pPr>
      <w:r>
        <w:rPr>
          <w:sz w:val="22"/>
        </w:rPr>
        <w:t>Realizar proyectos conjuntos con los actores históricos y los gubernamentales para cuidar el medio ambiente de la Cuenca Hidrosocial Presa Huapango (Valorar mediante los indicadores de cooperación ambiental_1, participación social y relaciones intermunicipales).</w:t>
      </w:r>
    </w:p>
    <w:p>
      <w:pPr>
        <w:pStyle w:val="BodyText"/>
        <w:spacing w:before="7"/>
        <w:rPr>
          <w:sz w:val="17"/>
        </w:rPr>
      </w:pPr>
    </w:p>
    <w:p>
      <w:pPr>
        <w:pStyle w:val="ListParagraph"/>
        <w:numPr>
          <w:ilvl w:val="0"/>
          <w:numId w:val="391"/>
        </w:numPr>
        <w:tabs>
          <w:tab w:pos="352" w:val="left" w:leader="none"/>
        </w:tabs>
        <w:spacing w:line="360" w:lineRule="auto" w:before="0" w:after="0"/>
        <w:ind w:left="102" w:right="118" w:firstLine="0"/>
        <w:jc w:val="both"/>
        <w:rPr>
          <w:sz w:val="22"/>
        </w:rPr>
      </w:pPr>
      <w:r>
        <w:rPr>
          <w:sz w:val="22"/>
        </w:rPr>
        <w:t>Apoyar el fomento de la cultura y la educación ambiental de los niños, principalmente a través de cursos y programas que garanticen la sostenibilidad de la Cuenca Hidrosocial Presa Huapango (Valorar mediante los indicadores de cultura e identidad</w:t>
      </w:r>
      <w:r>
        <w:rPr>
          <w:spacing w:val="-22"/>
          <w:sz w:val="22"/>
        </w:rPr>
        <w:t> </w:t>
      </w:r>
      <w:r>
        <w:rPr>
          <w:sz w:val="22"/>
        </w:rPr>
        <w:t>ambiental).</w:t>
      </w:r>
    </w:p>
    <w:p>
      <w:pPr>
        <w:pStyle w:val="BodyText"/>
        <w:spacing w:before="9"/>
        <w:rPr>
          <w:sz w:val="17"/>
        </w:rPr>
      </w:pPr>
    </w:p>
    <w:p>
      <w:pPr>
        <w:pStyle w:val="ListParagraph"/>
        <w:numPr>
          <w:ilvl w:val="0"/>
          <w:numId w:val="391"/>
        </w:numPr>
        <w:tabs>
          <w:tab w:pos="452" w:val="left" w:leader="none"/>
        </w:tabs>
        <w:spacing w:line="360" w:lineRule="auto" w:before="0" w:after="0"/>
        <w:ind w:left="102" w:right="120" w:firstLine="0"/>
        <w:jc w:val="both"/>
        <w:rPr>
          <w:sz w:val="22"/>
        </w:rPr>
      </w:pPr>
      <w:r>
        <w:rPr>
          <w:sz w:val="22"/>
        </w:rPr>
        <w:t>Realizar acciones ambientales locales con impactos globales (Valorar mediante los indicadores de poder y cooperación</w:t>
      </w:r>
      <w:r>
        <w:rPr>
          <w:spacing w:val="-12"/>
          <w:sz w:val="22"/>
        </w:rPr>
        <w:t> </w:t>
      </w:r>
      <w:r>
        <w:rPr>
          <w:sz w:val="22"/>
        </w:rPr>
        <w:t>ambiental).</w:t>
      </w:r>
    </w:p>
    <w:p>
      <w:pPr>
        <w:pStyle w:val="BodyText"/>
        <w:spacing w:before="7"/>
        <w:rPr>
          <w:sz w:val="17"/>
        </w:rPr>
      </w:pPr>
    </w:p>
    <w:p>
      <w:pPr>
        <w:pStyle w:val="ListParagraph"/>
        <w:numPr>
          <w:ilvl w:val="0"/>
          <w:numId w:val="391"/>
        </w:numPr>
        <w:tabs>
          <w:tab w:pos="505" w:val="left" w:leader="none"/>
        </w:tabs>
        <w:spacing w:line="362" w:lineRule="auto" w:before="0" w:after="0"/>
        <w:ind w:left="102" w:right="117" w:firstLine="0"/>
        <w:jc w:val="both"/>
        <w:rPr>
          <w:sz w:val="22"/>
        </w:rPr>
      </w:pPr>
      <w:r>
        <w:rPr>
          <w:sz w:val="22"/>
        </w:rPr>
        <w:t>Participar en la Asamblea General con voz, pero sin voto (Valorar mediante el indicador de poder, democracia y</w:t>
      </w:r>
      <w:r>
        <w:rPr>
          <w:spacing w:val="-9"/>
          <w:sz w:val="22"/>
        </w:rPr>
        <w:t> </w:t>
      </w:r>
      <w:r>
        <w:rPr>
          <w:sz w:val="22"/>
        </w:rPr>
        <w:t>voluntariedad).</w:t>
      </w:r>
    </w:p>
    <w:p>
      <w:pPr>
        <w:pStyle w:val="BodyText"/>
        <w:spacing w:before="2"/>
        <w:rPr>
          <w:sz w:val="17"/>
        </w:rPr>
      </w:pPr>
    </w:p>
    <w:p>
      <w:pPr>
        <w:pStyle w:val="BodyText"/>
        <w:spacing w:line="362" w:lineRule="auto"/>
        <w:ind w:left="102" w:right="120"/>
        <w:jc w:val="both"/>
      </w:pPr>
      <w:r>
        <w:rPr>
          <w:b/>
        </w:rPr>
        <w:t>Artículo 14.- </w:t>
      </w:r>
      <w:r>
        <w:rPr/>
        <w:t>Son derechos y responsabilidades ambientales de los actores académicos en la CHPH:</w:t>
      </w:r>
    </w:p>
    <w:p>
      <w:pPr>
        <w:pStyle w:val="BodyText"/>
        <w:spacing w:before="7"/>
        <w:rPr>
          <w:sz w:val="17"/>
        </w:rPr>
      </w:pPr>
    </w:p>
    <w:p>
      <w:pPr>
        <w:pStyle w:val="Heading7"/>
        <w:numPr>
          <w:ilvl w:val="0"/>
          <w:numId w:val="392"/>
        </w:numPr>
        <w:tabs>
          <w:tab w:pos="383" w:val="left" w:leader="none"/>
        </w:tabs>
        <w:spacing w:line="360" w:lineRule="auto" w:before="0" w:after="0"/>
        <w:ind w:left="102" w:right="122" w:firstLine="0"/>
        <w:jc w:val="both"/>
      </w:pPr>
      <w:r>
        <w:rPr>
          <w:i/>
        </w:rPr>
        <w:t>Son derechos ambientales de los actores académicos en la Cuenca Hidrosocial </w:t>
      </w:r>
      <w:r>
        <w:rPr/>
        <w:t>Presa</w:t>
      </w:r>
      <w:r>
        <w:rPr>
          <w:spacing w:val="-3"/>
        </w:rPr>
        <w:t> </w:t>
      </w:r>
      <w:r>
        <w:rPr/>
        <w:t>Huapango:</w:t>
      </w:r>
    </w:p>
    <w:p>
      <w:pPr>
        <w:spacing w:after="0" w:line="360" w:lineRule="auto"/>
        <w:jc w:val="both"/>
        <w:sectPr>
          <w:pgSz w:w="12240" w:h="15840"/>
          <w:pgMar w:header="0" w:footer="1003" w:top="1360" w:bottom="1200" w:left="1600" w:right="1580"/>
        </w:sectPr>
      </w:pPr>
    </w:p>
    <w:p>
      <w:pPr>
        <w:pStyle w:val="ListParagraph"/>
        <w:numPr>
          <w:ilvl w:val="0"/>
          <w:numId w:val="393"/>
        </w:numPr>
        <w:tabs>
          <w:tab w:pos="304" w:val="left" w:leader="none"/>
        </w:tabs>
        <w:spacing w:line="360" w:lineRule="auto" w:before="53" w:after="0"/>
        <w:ind w:left="102" w:right="119" w:firstLine="0"/>
        <w:jc w:val="both"/>
        <w:rPr>
          <w:sz w:val="22"/>
        </w:rPr>
      </w:pPr>
      <w:r>
        <w:rPr>
          <w:sz w:val="22"/>
        </w:rPr>
        <w:t>Participar como facilitadores y asesores en la realización de proyectos ambientales del Comité (Valorar mediante los indicadores de poder, cooperación ambiental y relaciones intermunicipales).</w:t>
      </w:r>
    </w:p>
    <w:p>
      <w:pPr>
        <w:pStyle w:val="BodyText"/>
        <w:spacing w:before="7"/>
        <w:rPr>
          <w:sz w:val="17"/>
        </w:rPr>
      </w:pPr>
    </w:p>
    <w:p>
      <w:pPr>
        <w:pStyle w:val="ListParagraph"/>
        <w:numPr>
          <w:ilvl w:val="0"/>
          <w:numId w:val="393"/>
        </w:numPr>
        <w:tabs>
          <w:tab w:pos="433" w:val="left" w:leader="none"/>
        </w:tabs>
        <w:spacing w:line="360" w:lineRule="auto" w:before="0" w:after="0"/>
        <w:ind w:left="102" w:right="113" w:firstLine="0"/>
        <w:jc w:val="both"/>
        <w:rPr>
          <w:sz w:val="22"/>
        </w:rPr>
      </w:pPr>
      <w:r>
        <w:rPr>
          <w:sz w:val="22"/>
        </w:rPr>
        <w:t>Fomentar la cultura ambiental en la población de la Cuenca Hidrosocial Presa Huapango (Valorar mediante los indicadores de cultura e identidad</w:t>
      </w:r>
      <w:r>
        <w:rPr>
          <w:spacing w:val="-19"/>
          <w:sz w:val="22"/>
        </w:rPr>
        <w:t> </w:t>
      </w:r>
      <w:r>
        <w:rPr>
          <w:sz w:val="22"/>
        </w:rPr>
        <w:t>ambiental).</w:t>
      </w:r>
    </w:p>
    <w:p>
      <w:pPr>
        <w:pStyle w:val="BodyText"/>
        <w:spacing w:before="9"/>
        <w:rPr>
          <w:sz w:val="17"/>
        </w:rPr>
      </w:pPr>
    </w:p>
    <w:p>
      <w:pPr>
        <w:pStyle w:val="ListParagraph"/>
        <w:numPr>
          <w:ilvl w:val="0"/>
          <w:numId w:val="393"/>
        </w:numPr>
        <w:tabs>
          <w:tab w:pos="553" w:val="left" w:leader="none"/>
        </w:tabs>
        <w:spacing w:line="360" w:lineRule="auto" w:before="0" w:after="0"/>
        <w:ind w:left="102" w:right="115" w:firstLine="0"/>
        <w:jc w:val="both"/>
        <w:rPr>
          <w:sz w:val="22"/>
        </w:rPr>
      </w:pPr>
      <w:r>
        <w:rPr>
          <w:sz w:val="22"/>
        </w:rPr>
        <w:t>Facilitar la coordinación con los actores históricos, las organizaciones no gubernamentales y los actores gubernamentales para realizar proyectos de desarrollo que beneficien el medio ambiente de la Cuenca Hidrosocial Presa Huapango (Valorar mediante los indicadores de cooperación ambiental, participación social, relaciones intermunicipales, democracia y</w:t>
      </w:r>
      <w:r>
        <w:rPr>
          <w:spacing w:val="-13"/>
          <w:sz w:val="22"/>
        </w:rPr>
        <w:t> </w:t>
      </w:r>
      <w:r>
        <w:rPr>
          <w:sz w:val="22"/>
        </w:rPr>
        <w:t>voluntariedad).</w:t>
      </w:r>
    </w:p>
    <w:p>
      <w:pPr>
        <w:pStyle w:val="BodyText"/>
        <w:spacing w:before="9"/>
        <w:rPr>
          <w:sz w:val="17"/>
        </w:rPr>
      </w:pPr>
    </w:p>
    <w:p>
      <w:pPr>
        <w:pStyle w:val="ListParagraph"/>
        <w:numPr>
          <w:ilvl w:val="0"/>
          <w:numId w:val="393"/>
        </w:numPr>
        <w:tabs>
          <w:tab w:pos="505" w:val="left" w:leader="none"/>
        </w:tabs>
        <w:spacing w:line="360" w:lineRule="auto" w:before="0" w:after="0"/>
        <w:ind w:left="102" w:right="118" w:firstLine="0"/>
        <w:jc w:val="both"/>
        <w:rPr>
          <w:sz w:val="22"/>
        </w:rPr>
      </w:pPr>
      <w:r>
        <w:rPr>
          <w:sz w:val="22"/>
        </w:rPr>
        <w:t>Participar en la Asamblea General con voz, pero sin voto (Valorar mediante el indicador de poder, democracia y</w:t>
      </w:r>
      <w:r>
        <w:rPr>
          <w:spacing w:val="-9"/>
          <w:sz w:val="22"/>
        </w:rPr>
        <w:t> </w:t>
      </w:r>
      <w:r>
        <w:rPr>
          <w:sz w:val="22"/>
        </w:rPr>
        <w:t>voluntariedad).</w:t>
      </w:r>
    </w:p>
    <w:p>
      <w:pPr>
        <w:pStyle w:val="BodyText"/>
        <w:spacing w:before="7"/>
        <w:rPr>
          <w:sz w:val="17"/>
        </w:rPr>
      </w:pPr>
    </w:p>
    <w:p>
      <w:pPr>
        <w:pStyle w:val="Heading7"/>
        <w:numPr>
          <w:ilvl w:val="0"/>
          <w:numId w:val="392"/>
        </w:numPr>
        <w:tabs>
          <w:tab w:pos="426" w:val="left" w:leader="none"/>
        </w:tabs>
        <w:spacing w:line="360" w:lineRule="auto" w:before="0" w:after="0"/>
        <w:ind w:left="102" w:right="119" w:firstLine="0"/>
        <w:jc w:val="both"/>
      </w:pPr>
      <w:r>
        <w:rPr>
          <w:i/>
        </w:rPr>
        <w:t>Son responsabilidades ambientales de los actores académicos en la Cuenca </w:t>
      </w:r>
      <w:r>
        <w:rPr/>
        <w:t>Hidrosocial Presa</w:t>
      </w:r>
      <w:r>
        <w:rPr>
          <w:spacing w:val="-8"/>
        </w:rPr>
        <w:t> </w:t>
      </w:r>
      <w:r>
        <w:rPr/>
        <w:t>Huapango:</w:t>
      </w:r>
    </w:p>
    <w:p>
      <w:pPr>
        <w:pStyle w:val="BodyText"/>
        <w:spacing w:before="9"/>
        <w:rPr>
          <w:b/>
          <w:i/>
          <w:sz w:val="17"/>
        </w:rPr>
      </w:pPr>
    </w:p>
    <w:p>
      <w:pPr>
        <w:pStyle w:val="ListParagraph"/>
        <w:numPr>
          <w:ilvl w:val="0"/>
          <w:numId w:val="394"/>
        </w:numPr>
        <w:tabs>
          <w:tab w:pos="345" w:val="left" w:leader="none"/>
        </w:tabs>
        <w:spacing w:line="360" w:lineRule="auto" w:before="0" w:after="0"/>
        <w:ind w:left="102" w:right="117" w:firstLine="0"/>
        <w:jc w:val="both"/>
        <w:rPr>
          <w:sz w:val="22"/>
        </w:rPr>
      </w:pPr>
      <w:r>
        <w:rPr>
          <w:sz w:val="22"/>
        </w:rPr>
        <w:t>Participar como facilitadores y asesores en la realización de proyectos del Comité (Valorar mediante los indicadores de poder, cooperación ambiental y relaciones intermunicipales).</w:t>
      </w:r>
    </w:p>
    <w:p>
      <w:pPr>
        <w:pStyle w:val="BodyText"/>
        <w:spacing w:before="7"/>
        <w:rPr>
          <w:sz w:val="17"/>
        </w:rPr>
      </w:pPr>
    </w:p>
    <w:p>
      <w:pPr>
        <w:pStyle w:val="ListParagraph"/>
        <w:numPr>
          <w:ilvl w:val="0"/>
          <w:numId w:val="394"/>
        </w:numPr>
        <w:tabs>
          <w:tab w:pos="433" w:val="left" w:leader="none"/>
        </w:tabs>
        <w:spacing w:line="360" w:lineRule="auto" w:before="0" w:after="0"/>
        <w:ind w:left="102" w:right="117" w:firstLine="0"/>
        <w:jc w:val="both"/>
        <w:rPr>
          <w:sz w:val="22"/>
        </w:rPr>
      </w:pPr>
      <w:r>
        <w:rPr>
          <w:sz w:val="22"/>
        </w:rPr>
        <w:t>Fomentar la cultura ambiental en la población de la Cuenca Hidrosocial Presa Huapango (Valorar mediante los indicadores de cultura e identidad</w:t>
      </w:r>
      <w:r>
        <w:rPr>
          <w:spacing w:val="-18"/>
          <w:sz w:val="22"/>
        </w:rPr>
        <w:t> </w:t>
      </w:r>
      <w:r>
        <w:rPr>
          <w:sz w:val="22"/>
        </w:rPr>
        <w:t>ambiental).</w:t>
      </w:r>
    </w:p>
    <w:p>
      <w:pPr>
        <w:pStyle w:val="BodyText"/>
        <w:spacing w:before="9"/>
        <w:rPr>
          <w:sz w:val="17"/>
        </w:rPr>
      </w:pPr>
    </w:p>
    <w:p>
      <w:pPr>
        <w:pStyle w:val="ListParagraph"/>
        <w:numPr>
          <w:ilvl w:val="0"/>
          <w:numId w:val="394"/>
        </w:numPr>
        <w:tabs>
          <w:tab w:pos="546" w:val="left" w:leader="none"/>
        </w:tabs>
        <w:spacing w:line="360" w:lineRule="auto" w:before="0" w:after="0"/>
        <w:ind w:left="102" w:right="114" w:firstLine="0"/>
        <w:jc w:val="both"/>
        <w:rPr>
          <w:sz w:val="22"/>
        </w:rPr>
      </w:pPr>
      <w:r>
        <w:rPr>
          <w:sz w:val="22"/>
        </w:rPr>
        <w:t>Facilitar la coordinación con los actores históricos, las Organizaciones No Gubernamentales y los actores gubernamentales para realizar proyectos que beneficien el medio ambiente de la Cuenca Hidrosocial Presa Huapango (Valorar mediante los indicadores de cooperación ambiental, participación social, relaciones intermunicipales, democracia y</w:t>
      </w:r>
      <w:r>
        <w:rPr>
          <w:spacing w:val="-5"/>
          <w:sz w:val="22"/>
        </w:rPr>
        <w:t> </w:t>
      </w:r>
      <w:r>
        <w:rPr>
          <w:sz w:val="22"/>
        </w:rPr>
        <w:t>voluntariedad).</w:t>
      </w:r>
    </w:p>
    <w:p>
      <w:pPr>
        <w:pStyle w:val="BodyText"/>
        <w:spacing w:before="10"/>
        <w:rPr>
          <w:sz w:val="17"/>
        </w:rPr>
      </w:pPr>
    </w:p>
    <w:p>
      <w:pPr>
        <w:pStyle w:val="ListParagraph"/>
        <w:numPr>
          <w:ilvl w:val="0"/>
          <w:numId w:val="394"/>
        </w:numPr>
        <w:tabs>
          <w:tab w:pos="505" w:val="left" w:leader="none"/>
        </w:tabs>
        <w:spacing w:line="360" w:lineRule="auto" w:before="0" w:after="0"/>
        <w:ind w:left="102" w:right="120" w:firstLine="0"/>
        <w:jc w:val="both"/>
        <w:rPr>
          <w:sz w:val="22"/>
        </w:rPr>
      </w:pPr>
      <w:r>
        <w:rPr>
          <w:sz w:val="22"/>
        </w:rPr>
        <w:t>Participar en la Asamblea General con voz, pero sin voto (Valorar mediante el indicador de poder, democracia y</w:t>
      </w:r>
      <w:r>
        <w:rPr>
          <w:spacing w:val="-8"/>
          <w:sz w:val="22"/>
        </w:rPr>
        <w:t> </w:t>
      </w:r>
      <w:r>
        <w:rPr>
          <w:sz w:val="22"/>
        </w:rPr>
        <w:t>voluntariedad).</w:t>
      </w:r>
    </w:p>
    <w:p>
      <w:pPr>
        <w:pStyle w:val="BodyText"/>
        <w:spacing w:before="4"/>
        <w:rPr>
          <w:sz w:val="17"/>
        </w:rPr>
      </w:pPr>
    </w:p>
    <w:p>
      <w:pPr>
        <w:pStyle w:val="Heading6"/>
        <w:spacing w:line="360" w:lineRule="auto"/>
        <w:ind w:left="218" w:right="239"/>
        <w:jc w:val="center"/>
      </w:pPr>
      <w:r>
        <w:rPr/>
        <w:t>Capítulo II. Derechos y responsabilidades de los actores de la Cuenca Hidrosocial Presa Huapango en el ámbito sociopolítico (Área Estratégica de Planeación y Articulación</w:t>
      </w:r>
      <w:r>
        <w:rPr>
          <w:spacing w:val="50"/>
        </w:rPr>
        <w:t> </w:t>
      </w:r>
      <w:r>
        <w:rPr/>
        <w:t>Sociopolítica)</w:t>
      </w:r>
    </w:p>
    <w:p>
      <w:pPr>
        <w:spacing w:after="0" w:line="360" w:lineRule="auto"/>
        <w:jc w:val="center"/>
        <w:sectPr>
          <w:footerReference w:type="default" r:id="rId710"/>
          <w:pgSz w:w="12240" w:h="15840"/>
          <w:pgMar w:footer="1003" w:header="0" w:top="1360" w:bottom="1200" w:left="1600" w:right="1580"/>
          <w:pgNumType w:start="850"/>
        </w:sectPr>
      </w:pPr>
    </w:p>
    <w:p>
      <w:pPr>
        <w:spacing w:line="364" w:lineRule="auto" w:before="51"/>
        <w:ind w:left="102" w:right="115" w:firstLine="0"/>
        <w:jc w:val="both"/>
        <w:rPr>
          <w:sz w:val="22"/>
        </w:rPr>
      </w:pPr>
      <w:r>
        <w:rPr>
          <w:b/>
          <w:sz w:val="22"/>
        </w:rPr>
        <w:t>Artículo 15.- Artículo 11.- </w:t>
      </w:r>
      <w:r>
        <w:rPr>
          <w:sz w:val="22"/>
        </w:rPr>
        <w:t>Son derechos y responsabilidades </w:t>
      </w:r>
      <w:r>
        <w:rPr>
          <w:i/>
          <w:sz w:val="22"/>
        </w:rPr>
        <w:t>sociopolíticas </w:t>
      </w:r>
      <w:r>
        <w:rPr>
          <w:sz w:val="22"/>
        </w:rPr>
        <w:t>de los  actores históricos de la Cuenca Hidrosocial Presa</w:t>
      </w:r>
      <w:r>
        <w:rPr>
          <w:spacing w:val="-15"/>
          <w:sz w:val="22"/>
        </w:rPr>
        <w:t> </w:t>
      </w:r>
      <w:r>
        <w:rPr>
          <w:sz w:val="22"/>
        </w:rPr>
        <w:t>Huapango:</w:t>
      </w:r>
    </w:p>
    <w:p>
      <w:pPr>
        <w:pStyle w:val="Heading7"/>
        <w:numPr>
          <w:ilvl w:val="0"/>
          <w:numId w:val="395"/>
        </w:numPr>
        <w:tabs>
          <w:tab w:pos="383" w:val="left" w:leader="none"/>
        </w:tabs>
        <w:spacing w:line="360" w:lineRule="auto" w:before="197" w:after="0"/>
        <w:ind w:left="102" w:right="123" w:firstLine="0"/>
        <w:jc w:val="both"/>
      </w:pPr>
      <w:r>
        <w:rPr>
          <w:i/>
        </w:rPr>
        <w:t>Son derechos sociopolíticos de los actores históricos de la Cuenca Hidrosocial </w:t>
      </w:r>
      <w:r>
        <w:rPr/>
        <w:t>Presa</w:t>
      </w:r>
      <w:r>
        <w:rPr>
          <w:spacing w:val="-1"/>
        </w:rPr>
        <w:t> </w:t>
      </w:r>
      <w:r>
        <w:rPr/>
        <w:t>Huapango:</w:t>
      </w:r>
    </w:p>
    <w:p>
      <w:pPr>
        <w:pStyle w:val="BodyText"/>
        <w:spacing w:before="9"/>
        <w:rPr>
          <w:b/>
          <w:i/>
          <w:sz w:val="17"/>
        </w:rPr>
      </w:pPr>
    </w:p>
    <w:p>
      <w:pPr>
        <w:pStyle w:val="BodyText"/>
        <w:spacing w:line="360" w:lineRule="auto"/>
        <w:ind w:left="102" w:right="115"/>
        <w:jc w:val="both"/>
      </w:pPr>
      <w:r>
        <w:rPr/>
        <w:t>I. Derecho a formar parte y ser reconocido dentro de las estructuras sociopolíticas conformadas a través de la historia – Municipio, ejido y comunidad- (Valorar mediante el indicador de </w:t>
      </w:r>
      <w:r>
        <w:rPr>
          <w:i/>
        </w:rPr>
        <w:t>historia sociopolítica</w:t>
      </w:r>
      <w:r>
        <w:rPr/>
        <w:t>).</w:t>
      </w:r>
    </w:p>
    <w:p>
      <w:pPr>
        <w:pStyle w:val="BodyText"/>
        <w:spacing w:before="7"/>
        <w:rPr>
          <w:sz w:val="17"/>
        </w:rPr>
      </w:pPr>
    </w:p>
    <w:p>
      <w:pPr>
        <w:pStyle w:val="BodyText"/>
        <w:spacing w:line="360" w:lineRule="auto"/>
        <w:ind w:left="102" w:right="115"/>
        <w:jc w:val="both"/>
      </w:pPr>
      <w:r>
        <w:rPr/>
        <w:t>II.- Derecho a un acceso equitativo de los recursos naturales de la Cuenca Hidrosocial Presa Huapango para evitar la concentración de poder económico y político de los municipios – los de aguas abajo sobre los de aguas arriba- de la Cuenca (Valorar mediante el indicador de </w:t>
      </w:r>
      <w:r>
        <w:rPr>
          <w:i/>
        </w:rPr>
        <w:t>poder sociopolítico</w:t>
      </w:r>
      <w:r>
        <w:rPr/>
        <w:t>).</w:t>
      </w:r>
    </w:p>
    <w:p>
      <w:pPr>
        <w:pStyle w:val="BodyText"/>
        <w:spacing w:before="7"/>
        <w:rPr>
          <w:sz w:val="17"/>
        </w:rPr>
      </w:pPr>
    </w:p>
    <w:p>
      <w:pPr>
        <w:pStyle w:val="BodyText"/>
        <w:spacing w:line="360" w:lineRule="auto"/>
        <w:ind w:left="102" w:right="113"/>
        <w:jc w:val="both"/>
      </w:pPr>
      <w:r>
        <w:rPr/>
        <w:t>III. Derecho a fomentar y participar las prácticas socioculturales de la región que les dan identidad y sentido de pertenencia a la Cuenca Hidrosocial Presa Huapango, y que fomentan la gobernanza y la gobernabilidad (fiestas patronales, mercados, charreadas) (Valorar mediante el indicador de </w:t>
      </w:r>
      <w:r>
        <w:rPr>
          <w:i/>
        </w:rPr>
        <w:t>cultura sociopolítica</w:t>
      </w:r>
      <w:r>
        <w:rPr/>
        <w:t>).</w:t>
      </w:r>
    </w:p>
    <w:p>
      <w:pPr>
        <w:pStyle w:val="BodyText"/>
        <w:spacing w:before="9"/>
        <w:rPr>
          <w:sz w:val="17"/>
        </w:rPr>
      </w:pPr>
    </w:p>
    <w:p>
      <w:pPr>
        <w:pStyle w:val="BodyText"/>
        <w:spacing w:line="360" w:lineRule="auto"/>
        <w:ind w:left="102" w:right="120"/>
        <w:jc w:val="both"/>
      </w:pPr>
      <w:r>
        <w:rPr/>
        <w:t>IV.- Derecho a la expresión de los deseos sociopolíticos y la voluntad de los actores históricos de la Cuenca Hidrosocial Presa Huapango a través de la voz y voto para participar en la toma de decisiones colectivas de la región y como alternativa de solución local y regional (Valorar mediante el indicador de </w:t>
      </w:r>
      <w:r>
        <w:rPr>
          <w:i/>
        </w:rPr>
        <w:t>democracia y voluntariedad</w:t>
      </w:r>
      <w:r>
        <w:rPr/>
        <w:t>).</w:t>
      </w:r>
    </w:p>
    <w:p>
      <w:pPr>
        <w:pStyle w:val="BodyText"/>
        <w:spacing w:before="9"/>
        <w:rPr>
          <w:sz w:val="17"/>
        </w:rPr>
      </w:pPr>
    </w:p>
    <w:p>
      <w:pPr>
        <w:pStyle w:val="ListParagraph"/>
        <w:numPr>
          <w:ilvl w:val="0"/>
          <w:numId w:val="396"/>
        </w:numPr>
        <w:tabs>
          <w:tab w:pos="513" w:val="left" w:leader="none"/>
        </w:tabs>
        <w:spacing w:line="360" w:lineRule="auto" w:before="0" w:after="0"/>
        <w:ind w:left="102" w:right="115" w:firstLine="0"/>
        <w:jc w:val="both"/>
        <w:rPr>
          <w:sz w:val="22"/>
        </w:rPr>
      </w:pPr>
      <w:r>
        <w:rPr>
          <w:sz w:val="22"/>
        </w:rPr>
        <w:t>Derecho a realizar acciones organizadas, racionales y consientes para atender los problemas sociopolíticos de la Cuenca Hidrosocial Presa Huapango (Valorar mediante el indicador de </w:t>
      </w:r>
      <w:r>
        <w:rPr>
          <w:i/>
          <w:sz w:val="22"/>
        </w:rPr>
        <w:t>participación</w:t>
      </w:r>
      <w:r>
        <w:rPr>
          <w:i/>
          <w:spacing w:val="-13"/>
          <w:sz w:val="22"/>
        </w:rPr>
        <w:t> </w:t>
      </w:r>
      <w:r>
        <w:rPr>
          <w:i/>
          <w:sz w:val="22"/>
        </w:rPr>
        <w:t>sociopolítica_1</w:t>
      </w:r>
      <w:r>
        <w:rPr>
          <w:sz w:val="22"/>
        </w:rPr>
        <w:t>).</w:t>
      </w:r>
    </w:p>
    <w:p>
      <w:pPr>
        <w:pStyle w:val="BodyText"/>
        <w:spacing w:before="7"/>
        <w:rPr>
          <w:sz w:val="17"/>
        </w:rPr>
      </w:pPr>
    </w:p>
    <w:p>
      <w:pPr>
        <w:pStyle w:val="ListParagraph"/>
        <w:numPr>
          <w:ilvl w:val="0"/>
          <w:numId w:val="396"/>
        </w:numPr>
        <w:tabs>
          <w:tab w:pos="472" w:val="left" w:leader="none"/>
        </w:tabs>
        <w:spacing w:line="360" w:lineRule="auto" w:before="0" w:after="0"/>
        <w:ind w:left="102" w:right="114" w:firstLine="0"/>
        <w:jc w:val="both"/>
        <w:rPr>
          <w:sz w:val="22"/>
        </w:rPr>
      </w:pPr>
      <w:r>
        <w:rPr>
          <w:sz w:val="22"/>
        </w:rPr>
        <w:t>Derecho a formalizar acuerdos intermunicipales basados en los usos y costumbres (derecho consuetudinario) para atender la problemática sociopolítica común de la Cuenca Hidrosocial Presa Huapango (Valorar mediante el indicador de </w:t>
      </w:r>
      <w:r>
        <w:rPr>
          <w:i/>
          <w:sz w:val="22"/>
        </w:rPr>
        <w:t>relaciones </w:t>
      </w:r>
      <w:r>
        <w:rPr>
          <w:i/>
          <w:sz w:val="22"/>
        </w:rPr>
        <w:t>intermunicipales</w:t>
      </w:r>
      <w:r>
        <w:rPr>
          <w:sz w:val="22"/>
        </w:rPr>
        <w:t>).</w:t>
      </w:r>
    </w:p>
    <w:p>
      <w:pPr>
        <w:pStyle w:val="BodyText"/>
        <w:spacing w:before="7"/>
        <w:rPr>
          <w:sz w:val="17"/>
        </w:rPr>
      </w:pPr>
    </w:p>
    <w:p>
      <w:pPr>
        <w:pStyle w:val="ListParagraph"/>
        <w:numPr>
          <w:ilvl w:val="0"/>
          <w:numId w:val="396"/>
        </w:numPr>
        <w:tabs>
          <w:tab w:pos="522" w:val="left" w:leader="none"/>
        </w:tabs>
        <w:spacing w:line="360" w:lineRule="auto" w:before="0" w:after="0"/>
        <w:ind w:left="102" w:right="117" w:firstLine="0"/>
        <w:jc w:val="both"/>
        <w:rPr>
          <w:sz w:val="22"/>
        </w:rPr>
      </w:pPr>
      <w:r>
        <w:rPr>
          <w:sz w:val="22"/>
        </w:rPr>
        <w:t>Derecho a la colaboración de los actores históricos de los municipios de la Cuenca Hidrosocial Presa Huapango para trabajar conjuntamente en la solución de sus problemas sociopolíticos (Valorar mediante el indicador de </w:t>
      </w:r>
      <w:r>
        <w:rPr>
          <w:i/>
          <w:sz w:val="22"/>
        </w:rPr>
        <w:t>cooperación</w:t>
      </w:r>
      <w:r>
        <w:rPr>
          <w:i/>
          <w:spacing w:val="-21"/>
          <w:sz w:val="22"/>
        </w:rPr>
        <w:t> </w:t>
      </w:r>
      <w:r>
        <w:rPr>
          <w:i/>
          <w:sz w:val="22"/>
        </w:rPr>
        <w:t>sociopolítica</w:t>
      </w:r>
      <w:r>
        <w:rPr>
          <w:sz w:val="22"/>
        </w:rPr>
        <w:t>).</w:t>
      </w:r>
    </w:p>
    <w:p>
      <w:pPr>
        <w:spacing w:after="0" w:line="360" w:lineRule="auto"/>
        <w:jc w:val="both"/>
        <w:rPr>
          <w:sz w:val="22"/>
        </w:rPr>
        <w:sectPr>
          <w:pgSz w:w="12240" w:h="15840"/>
          <w:pgMar w:header="0" w:footer="1003" w:top="1360" w:bottom="1200" w:left="1600" w:right="1580"/>
        </w:sectPr>
      </w:pPr>
    </w:p>
    <w:p>
      <w:pPr>
        <w:pStyle w:val="ListParagraph"/>
        <w:numPr>
          <w:ilvl w:val="0"/>
          <w:numId w:val="396"/>
        </w:numPr>
        <w:tabs>
          <w:tab w:pos="623" w:val="left" w:leader="none"/>
        </w:tabs>
        <w:spacing w:line="360" w:lineRule="auto" w:before="53" w:after="0"/>
        <w:ind w:left="102" w:right="116" w:firstLine="0"/>
        <w:jc w:val="both"/>
        <w:rPr>
          <w:sz w:val="22"/>
        </w:rPr>
      </w:pPr>
      <w:r>
        <w:rPr>
          <w:sz w:val="22"/>
        </w:rPr>
        <w:t>Derecho innato al sentido de pertenencia histórica y comunitaria, adquirida por nacimiento y/o número de años de residencia en la Cuenca Hidrosocial Presa Huapango, demostrados mediante su acta de nacimiento y su credencial de elector, y su reconocimiento comunitario (Valorar mediante el indicador de </w:t>
      </w:r>
      <w:r>
        <w:rPr>
          <w:i/>
          <w:sz w:val="22"/>
        </w:rPr>
        <w:t>identidad</w:t>
      </w:r>
      <w:r>
        <w:rPr>
          <w:i/>
          <w:spacing w:val="-26"/>
          <w:sz w:val="22"/>
        </w:rPr>
        <w:t> </w:t>
      </w:r>
      <w:r>
        <w:rPr>
          <w:i/>
          <w:sz w:val="22"/>
        </w:rPr>
        <w:t>sociopolítica</w:t>
      </w:r>
      <w:r>
        <w:rPr>
          <w:sz w:val="22"/>
        </w:rPr>
        <w:t>).</w:t>
      </w:r>
    </w:p>
    <w:p>
      <w:pPr>
        <w:pStyle w:val="BodyText"/>
        <w:spacing w:before="7"/>
        <w:rPr>
          <w:sz w:val="17"/>
        </w:rPr>
      </w:pPr>
    </w:p>
    <w:p>
      <w:pPr>
        <w:pStyle w:val="Heading7"/>
        <w:numPr>
          <w:ilvl w:val="0"/>
          <w:numId w:val="395"/>
        </w:numPr>
        <w:tabs>
          <w:tab w:pos="441" w:val="left" w:leader="none"/>
        </w:tabs>
        <w:spacing w:line="360" w:lineRule="auto" w:before="0" w:after="0"/>
        <w:ind w:left="102" w:right="117" w:firstLine="0"/>
        <w:jc w:val="both"/>
      </w:pPr>
      <w:r>
        <w:rPr>
          <w:i/>
        </w:rPr>
        <w:t>Son resposabilidades sociopolíticas de los actores históricos en la Cuenca </w:t>
      </w:r>
      <w:r>
        <w:rPr/>
        <w:t>Hidrosocial Presa</w:t>
      </w:r>
      <w:r>
        <w:rPr>
          <w:spacing w:val="-8"/>
        </w:rPr>
        <w:t> </w:t>
      </w:r>
      <w:r>
        <w:rPr/>
        <w:t>Huapango:</w:t>
      </w:r>
    </w:p>
    <w:p>
      <w:pPr>
        <w:pStyle w:val="BodyText"/>
        <w:spacing w:before="9"/>
        <w:rPr>
          <w:b/>
          <w:i/>
          <w:sz w:val="17"/>
        </w:rPr>
      </w:pPr>
    </w:p>
    <w:p>
      <w:pPr>
        <w:pStyle w:val="BodyText"/>
        <w:spacing w:line="360" w:lineRule="auto"/>
        <w:ind w:left="102" w:right="112"/>
        <w:jc w:val="both"/>
      </w:pPr>
      <w:r>
        <w:rPr/>
        <w:t>I. Formar parte de las estructuras sociopolíticas conformadas a través de la historia – Municipio, ejido y comunidad- obedeciendo y acatando sus responsabilidades ciudadanas (Valorar mediante el indicador de </w:t>
      </w:r>
      <w:r>
        <w:rPr>
          <w:i/>
        </w:rPr>
        <w:t>historia sociopolítica</w:t>
      </w:r>
      <w:r>
        <w:rPr/>
        <w:t>).</w:t>
      </w:r>
    </w:p>
    <w:p>
      <w:pPr>
        <w:pStyle w:val="BodyText"/>
        <w:spacing w:before="7"/>
        <w:rPr>
          <w:sz w:val="17"/>
        </w:rPr>
      </w:pPr>
    </w:p>
    <w:p>
      <w:pPr>
        <w:pStyle w:val="BodyText"/>
        <w:spacing w:line="360" w:lineRule="auto"/>
        <w:ind w:left="102" w:right="117"/>
        <w:jc w:val="both"/>
      </w:pPr>
      <w:r>
        <w:rPr/>
        <w:t>II.- Procurar un reparto más equitativo de los recursos naturales de la Cuenca Hidrosocial Presa Huapango, para evitar la concentración de poder económico y político de los municipios de aguas abajo de la Cuenca en detrimento de los de aguas arriba (Valorar mediante el indicador de </w:t>
      </w:r>
      <w:r>
        <w:rPr>
          <w:i/>
        </w:rPr>
        <w:t>poder sociopolítico</w:t>
      </w:r>
      <w:r>
        <w:rPr/>
        <w:t>).</w:t>
      </w:r>
    </w:p>
    <w:p>
      <w:pPr>
        <w:pStyle w:val="BodyText"/>
        <w:spacing w:before="7"/>
        <w:rPr>
          <w:sz w:val="17"/>
        </w:rPr>
      </w:pPr>
    </w:p>
    <w:p>
      <w:pPr>
        <w:pStyle w:val="BodyText"/>
        <w:spacing w:line="360" w:lineRule="auto"/>
        <w:ind w:left="102" w:right="115"/>
        <w:jc w:val="both"/>
      </w:pPr>
      <w:r>
        <w:rPr/>
        <w:t>III. Pertenecer y realizar prácticas culturales de la región como fiestas patronales, mercados, charreadas, que les den el sentido de pertenencia a la Cuenca Hidrosocial Presa Huapango, y ser trasmitidas de generación en generación para una mejor gobernanza y gobernabilidad (Valorar mediante el indicador de </w:t>
      </w:r>
      <w:r>
        <w:rPr>
          <w:i/>
        </w:rPr>
        <w:t>cultura sociopolítica</w:t>
      </w:r>
      <w:r>
        <w:rPr/>
        <w:t>).</w:t>
      </w:r>
    </w:p>
    <w:p>
      <w:pPr>
        <w:pStyle w:val="BodyText"/>
        <w:spacing w:before="7"/>
        <w:rPr>
          <w:sz w:val="17"/>
        </w:rPr>
      </w:pPr>
    </w:p>
    <w:p>
      <w:pPr>
        <w:pStyle w:val="BodyText"/>
        <w:spacing w:line="360" w:lineRule="auto"/>
        <w:ind w:left="102" w:right="115"/>
        <w:jc w:val="both"/>
      </w:pPr>
      <w:r>
        <w:rPr/>
        <w:t>IV.- Expresar los deseos sociopolíticos y sus voluntades, mediante voz y voto para participar en la toma de decisiones colectivas de la región (Cuenca Hidrosocial Presa Huapango), como alternativa de solución local y regional (Valorar mediante el indicador de </w:t>
      </w:r>
      <w:r>
        <w:rPr>
          <w:i/>
        </w:rPr>
        <w:t>democracia y voluntariedad</w:t>
      </w:r>
      <w:r>
        <w:rPr/>
        <w:t>).</w:t>
      </w:r>
    </w:p>
    <w:p>
      <w:pPr>
        <w:pStyle w:val="BodyText"/>
        <w:spacing w:before="9"/>
        <w:rPr>
          <w:sz w:val="17"/>
        </w:rPr>
      </w:pPr>
    </w:p>
    <w:p>
      <w:pPr>
        <w:pStyle w:val="ListParagraph"/>
        <w:numPr>
          <w:ilvl w:val="0"/>
          <w:numId w:val="397"/>
        </w:numPr>
        <w:tabs>
          <w:tab w:pos="500" w:val="left" w:leader="none"/>
        </w:tabs>
        <w:spacing w:line="360" w:lineRule="auto" w:before="0" w:after="0"/>
        <w:ind w:left="102" w:right="115" w:firstLine="0"/>
        <w:jc w:val="both"/>
        <w:rPr>
          <w:sz w:val="22"/>
        </w:rPr>
      </w:pPr>
      <w:r>
        <w:rPr>
          <w:sz w:val="22"/>
        </w:rPr>
        <w:t>Realizar acciones organizadas, racionales y consientes para atender los problemas sociopolíticos de la Cuenca Hidrosocial Presa Huapango (Valorar mediante el indicador  de </w:t>
      </w:r>
      <w:r>
        <w:rPr>
          <w:i/>
          <w:sz w:val="22"/>
        </w:rPr>
        <w:t>participación</w:t>
      </w:r>
      <w:r>
        <w:rPr>
          <w:i/>
          <w:spacing w:val="-13"/>
          <w:sz w:val="22"/>
        </w:rPr>
        <w:t> </w:t>
      </w:r>
      <w:r>
        <w:rPr>
          <w:i/>
          <w:sz w:val="22"/>
        </w:rPr>
        <w:t>sociopolítica_1</w:t>
      </w:r>
      <w:r>
        <w:rPr>
          <w:sz w:val="22"/>
        </w:rPr>
        <w:t>).</w:t>
      </w:r>
    </w:p>
    <w:p>
      <w:pPr>
        <w:pStyle w:val="BodyText"/>
        <w:spacing w:before="7"/>
        <w:rPr>
          <w:sz w:val="17"/>
        </w:rPr>
      </w:pPr>
    </w:p>
    <w:p>
      <w:pPr>
        <w:pStyle w:val="ListParagraph"/>
        <w:numPr>
          <w:ilvl w:val="0"/>
          <w:numId w:val="397"/>
        </w:numPr>
        <w:tabs>
          <w:tab w:pos="484" w:val="left" w:leader="none"/>
        </w:tabs>
        <w:spacing w:line="360" w:lineRule="auto" w:before="0" w:after="0"/>
        <w:ind w:left="102" w:right="114" w:firstLine="0"/>
        <w:jc w:val="both"/>
        <w:rPr>
          <w:sz w:val="22"/>
        </w:rPr>
      </w:pPr>
      <w:r>
        <w:rPr>
          <w:sz w:val="22"/>
        </w:rPr>
        <w:t>Formalizar acuerdos intermunicipales basados en los usos y costumbres (derecho consuetudinario) para atender la problemática sociopolítica común de la Cuenca Hidrosocial Presa Huapango (Valorar mediante el indicador de </w:t>
      </w:r>
      <w:r>
        <w:rPr>
          <w:i/>
          <w:sz w:val="22"/>
        </w:rPr>
        <w:t>relaciones </w:t>
      </w:r>
      <w:r>
        <w:rPr>
          <w:i/>
          <w:sz w:val="22"/>
        </w:rPr>
        <w:t>intermunicipales</w:t>
      </w:r>
      <w:r>
        <w:rPr>
          <w:sz w:val="22"/>
        </w:rPr>
        <w:t>).</w:t>
      </w:r>
    </w:p>
    <w:p>
      <w:pPr>
        <w:spacing w:after="0" w:line="360" w:lineRule="auto"/>
        <w:jc w:val="both"/>
        <w:rPr>
          <w:sz w:val="22"/>
        </w:rPr>
        <w:sectPr>
          <w:pgSz w:w="12240" w:h="15840"/>
          <w:pgMar w:header="0" w:footer="1003" w:top="1360" w:bottom="1200" w:left="1600" w:right="1580"/>
        </w:sectPr>
      </w:pPr>
    </w:p>
    <w:p>
      <w:pPr>
        <w:pStyle w:val="ListParagraph"/>
        <w:numPr>
          <w:ilvl w:val="0"/>
          <w:numId w:val="397"/>
        </w:numPr>
        <w:tabs>
          <w:tab w:pos="536" w:val="left" w:leader="none"/>
        </w:tabs>
        <w:spacing w:line="360" w:lineRule="auto" w:before="53" w:after="0"/>
        <w:ind w:left="102" w:right="117" w:firstLine="0"/>
        <w:jc w:val="both"/>
        <w:rPr>
          <w:sz w:val="22"/>
        </w:rPr>
      </w:pPr>
      <w:r>
        <w:rPr>
          <w:sz w:val="22"/>
        </w:rPr>
        <w:t>Colaborar con otros actores históricos de los municipios de la Cuenca Hidrosocial Presa Huapango para trabajar conjuntamente en la solución de sus problemas sociopolíticos (Valorar mediante el indicador de </w:t>
      </w:r>
      <w:r>
        <w:rPr>
          <w:i/>
          <w:sz w:val="22"/>
        </w:rPr>
        <w:t>cooperación</w:t>
      </w:r>
      <w:r>
        <w:rPr>
          <w:i/>
          <w:spacing w:val="-21"/>
          <w:sz w:val="22"/>
        </w:rPr>
        <w:t> </w:t>
      </w:r>
      <w:r>
        <w:rPr>
          <w:i/>
          <w:sz w:val="22"/>
        </w:rPr>
        <w:t>sociopolítica</w:t>
      </w:r>
      <w:r>
        <w:rPr>
          <w:sz w:val="22"/>
        </w:rPr>
        <w:t>).</w:t>
      </w:r>
    </w:p>
    <w:p>
      <w:pPr>
        <w:pStyle w:val="BodyText"/>
        <w:spacing w:before="7"/>
        <w:rPr>
          <w:sz w:val="17"/>
        </w:rPr>
      </w:pPr>
    </w:p>
    <w:p>
      <w:pPr>
        <w:pStyle w:val="ListParagraph"/>
        <w:numPr>
          <w:ilvl w:val="0"/>
          <w:numId w:val="397"/>
        </w:numPr>
        <w:tabs>
          <w:tab w:pos="592" w:val="left" w:leader="none"/>
        </w:tabs>
        <w:spacing w:line="360" w:lineRule="auto" w:before="0" w:after="0"/>
        <w:ind w:left="102" w:right="114" w:firstLine="0"/>
        <w:jc w:val="both"/>
        <w:rPr>
          <w:sz w:val="22"/>
        </w:rPr>
      </w:pPr>
      <w:r>
        <w:rPr>
          <w:sz w:val="22"/>
        </w:rPr>
        <w:t>Demostrar el sentido de pertenencia histórica y comunitaria adquirida a través del lugar de nacimiento y el número de años de residencia en la Cuenca Hidrosocial Presa Huapango validado mediante el acta de nacimiento, credencial de elector y  reconocimiento comunitario (Valorar mediante el indicador de </w:t>
      </w:r>
      <w:r>
        <w:rPr>
          <w:i/>
          <w:sz w:val="22"/>
        </w:rPr>
        <w:t>identidad</w:t>
      </w:r>
      <w:r>
        <w:rPr>
          <w:i/>
          <w:spacing w:val="-26"/>
          <w:sz w:val="22"/>
        </w:rPr>
        <w:t> </w:t>
      </w:r>
      <w:r>
        <w:rPr>
          <w:i/>
          <w:sz w:val="22"/>
        </w:rPr>
        <w:t>sociopolítica</w:t>
      </w:r>
      <w:r>
        <w:rPr>
          <w:sz w:val="22"/>
        </w:rPr>
        <w:t>).</w:t>
      </w:r>
    </w:p>
    <w:p>
      <w:pPr>
        <w:pStyle w:val="BodyText"/>
        <w:spacing w:before="7"/>
        <w:rPr>
          <w:sz w:val="17"/>
        </w:rPr>
      </w:pPr>
    </w:p>
    <w:p>
      <w:pPr>
        <w:spacing w:line="362" w:lineRule="auto" w:before="0"/>
        <w:ind w:left="102" w:right="114" w:firstLine="0"/>
        <w:jc w:val="both"/>
        <w:rPr>
          <w:sz w:val="22"/>
        </w:rPr>
      </w:pPr>
      <w:r>
        <w:rPr>
          <w:b/>
          <w:sz w:val="22"/>
        </w:rPr>
        <w:t>Artículo 16.- </w:t>
      </w:r>
      <w:r>
        <w:rPr>
          <w:sz w:val="22"/>
        </w:rPr>
        <w:t>Son derechos y responsabilidades </w:t>
      </w:r>
      <w:r>
        <w:rPr>
          <w:i/>
          <w:sz w:val="22"/>
        </w:rPr>
        <w:t>sociopolíticas </w:t>
      </w:r>
      <w:r>
        <w:rPr>
          <w:sz w:val="22"/>
        </w:rPr>
        <w:t>de los actores gubernamentales:</w:t>
      </w:r>
    </w:p>
    <w:p>
      <w:pPr>
        <w:pStyle w:val="BodyText"/>
        <w:spacing w:before="4"/>
        <w:rPr>
          <w:sz w:val="17"/>
        </w:rPr>
      </w:pPr>
    </w:p>
    <w:p>
      <w:pPr>
        <w:pStyle w:val="Heading7"/>
        <w:numPr>
          <w:ilvl w:val="0"/>
          <w:numId w:val="398"/>
        </w:numPr>
        <w:tabs>
          <w:tab w:pos="434" w:val="left" w:leader="none"/>
        </w:tabs>
        <w:spacing w:line="362" w:lineRule="auto" w:before="0" w:after="0"/>
        <w:ind w:left="102" w:right="119" w:firstLine="0"/>
        <w:jc w:val="both"/>
      </w:pPr>
      <w:r>
        <w:rPr>
          <w:i/>
        </w:rPr>
        <w:t>Son derechos sociopolíticos de los actores gubernamentales en la Cuenca </w:t>
      </w:r>
      <w:r>
        <w:rPr/>
        <w:t>Hidrosocial Presa</w:t>
      </w:r>
      <w:r>
        <w:rPr>
          <w:spacing w:val="-8"/>
        </w:rPr>
        <w:t> </w:t>
      </w:r>
      <w:r>
        <w:rPr/>
        <w:t>Huapango:</w:t>
      </w:r>
    </w:p>
    <w:p>
      <w:pPr>
        <w:pStyle w:val="BodyText"/>
        <w:spacing w:before="4"/>
        <w:rPr>
          <w:b/>
          <w:i/>
          <w:sz w:val="17"/>
        </w:rPr>
      </w:pPr>
    </w:p>
    <w:p>
      <w:pPr>
        <w:pStyle w:val="ListParagraph"/>
        <w:numPr>
          <w:ilvl w:val="0"/>
          <w:numId w:val="399"/>
        </w:numPr>
        <w:tabs>
          <w:tab w:pos="321" w:val="left" w:leader="none"/>
        </w:tabs>
        <w:spacing w:line="360" w:lineRule="auto" w:before="0" w:after="0"/>
        <w:ind w:left="102" w:right="116" w:firstLine="0"/>
        <w:jc w:val="both"/>
        <w:rPr>
          <w:sz w:val="22"/>
        </w:rPr>
      </w:pPr>
      <w:r>
        <w:rPr>
          <w:sz w:val="22"/>
        </w:rPr>
        <w:t>Hacer valer sus funciones y responsabilidades que la ley les confiere para apoyar el desarrollo sociopolítico de la Cuenca Hidrosocial Presa Huapango reconociendo los usos y costumbres de la comunidad (Valorar mediante los indicadores de </w:t>
      </w:r>
      <w:r>
        <w:rPr>
          <w:i/>
          <w:sz w:val="22"/>
        </w:rPr>
        <w:t>identidad, cultura y </w:t>
      </w:r>
      <w:r>
        <w:rPr>
          <w:i/>
          <w:sz w:val="22"/>
        </w:rPr>
        <w:t>autogestión</w:t>
      </w:r>
      <w:r>
        <w:rPr>
          <w:i/>
          <w:spacing w:val="-7"/>
          <w:sz w:val="22"/>
        </w:rPr>
        <w:t> </w:t>
      </w:r>
      <w:r>
        <w:rPr>
          <w:i/>
          <w:sz w:val="22"/>
        </w:rPr>
        <w:t>sociopolítica</w:t>
      </w:r>
      <w:r>
        <w:rPr>
          <w:sz w:val="22"/>
        </w:rPr>
        <w:t>).</w:t>
      </w:r>
    </w:p>
    <w:p>
      <w:pPr>
        <w:pStyle w:val="BodyText"/>
        <w:spacing w:before="9"/>
        <w:rPr>
          <w:sz w:val="17"/>
        </w:rPr>
      </w:pPr>
    </w:p>
    <w:p>
      <w:pPr>
        <w:pStyle w:val="ListParagraph"/>
        <w:numPr>
          <w:ilvl w:val="0"/>
          <w:numId w:val="399"/>
        </w:numPr>
        <w:tabs>
          <w:tab w:pos="385" w:val="left" w:leader="none"/>
        </w:tabs>
        <w:spacing w:line="360" w:lineRule="auto" w:before="0" w:after="0"/>
        <w:ind w:left="102" w:right="120" w:firstLine="0"/>
        <w:jc w:val="both"/>
        <w:rPr>
          <w:sz w:val="22"/>
        </w:rPr>
      </w:pPr>
      <w:r>
        <w:rPr>
          <w:sz w:val="22"/>
        </w:rPr>
        <w:t>Apoyar a los actores históricos en la realización de los proyectos sociopolíticos que realicen en beneficio de la Cuenca Hidrosocial Presa Huapango (Valorar mediante el indicador de </w:t>
      </w:r>
      <w:r>
        <w:rPr>
          <w:i/>
          <w:sz w:val="22"/>
        </w:rPr>
        <w:t>participación</w:t>
      </w:r>
      <w:r>
        <w:rPr>
          <w:i/>
          <w:spacing w:val="-14"/>
          <w:sz w:val="22"/>
        </w:rPr>
        <w:t> </w:t>
      </w:r>
      <w:r>
        <w:rPr>
          <w:i/>
          <w:sz w:val="22"/>
        </w:rPr>
        <w:t>sociopolítica_1</w:t>
      </w:r>
      <w:r>
        <w:rPr>
          <w:sz w:val="22"/>
        </w:rPr>
        <w:t>).</w:t>
      </w:r>
    </w:p>
    <w:p>
      <w:pPr>
        <w:pStyle w:val="BodyText"/>
        <w:spacing w:before="7"/>
        <w:rPr>
          <w:sz w:val="17"/>
        </w:rPr>
      </w:pPr>
    </w:p>
    <w:p>
      <w:pPr>
        <w:pStyle w:val="ListParagraph"/>
        <w:numPr>
          <w:ilvl w:val="0"/>
          <w:numId w:val="399"/>
        </w:numPr>
        <w:tabs>
          <w:tab w:pos="419" w:val="left" w:leader="none"/>
        </w:tabs>
        <w:spacing w:line="360" w:lineRule="auto" w:before="0" w:after="0"/>
        <w:ind w:left="102" w:right="114" w:firstLine="0"/>
        <w:jc w:val="both"/>
        <w:rPr>
          <w:sz w:val="22"/>
        </w:rPr>
      </w:pPr>
      <w:r>
        <w:rPr>
          <w:sz w:val="22"/>
        </w:rPr>
        <w:t>Coordinarse con los demás actores de la Cuenca Hidrosocial Presa Huapango para la realización de proyectos sociopolíticos (Valorar mediante el indicador de </w:t>
      </w:r>
      <w:r>
        <w:rPr>
          <w:i/>
          <w:sz w:val="22"/>
        </w:rPr>
        <w:t>cooperación </w:t>
      </w:r>
      <w:r>
        <w:rPr>
          <w:i/>
          <w:sz w:val="22"/>
        </w:rPr>
        <w:t>sociopolítica</w:t>
      </w:r>
      <w:r>
        <w:rPr>
          <w:sz w:val="22"/>
        </w:rPr>
        <w:t>).</w:t>
      </w:r>
    </w:p>
    <w:p>
      <w:pPr>
        <w:pStyle w:val="BodyText"/>
        <w:spacing w:before="7"/>
        <w:rPr>
          <w:sz w:val="17"/>
        </w:rPr>
      </w:pPr>
    </w:p>
    <w:p>
      <w:pPr>
        <w:pStyle w:val="ListParagraph"/>
        <w:numPr>
          <w:ilvl w:val="0"/>
          <w:numId w:val="399"/>
        </w:numPr>
        <w:tabs>
          <w:tab w:pos="496" w:val="left" w:leader="none"/>
        </w:tabs>
        <w:spacing w:line="360" w:lineRule="auto" w:before="0" w:after="0"/>
        <w:ind w:left="102" w:right="115" w:firstLine="0"/>
        <w:jc w:val="both"/>
        <w:rPr>
          <w:sz w:val="22"/>
        </w:rPr>
      </w:pPr>
      <w:r>
        <w:rPr>
          <w:sz w:val="22"/>
        </w:rPr>
        <w:t>Participar en la Asamblea General con voz, pero sin voto (Valorar mediante los indicadores de </w:t>
      </w:r>
      <w:r>
        <w:rPr>
          <w:i/>
          <w:sz w:val="22"/>
        </w:rPr>
        <w:t>autogestión, democracia y</w:t>
      </w:r>
      <w:r>
        <w:rPr>
          <w:i/>
          <w:spacing w:val="-14"/>
          <w:sz w:val="22"/>
        </w:rPr>
        <w:t> </w:t>
      </w:r>
      <w:r>
        <w:rPr>
          <w:i/>
          <w:sz w:val="22"/>
        </w:rPr>
        <w:t>voluntariedad</w:t>
      </w:r>
      <w:r>
        <w:rPr>
          <w:sz w:val="22"/>
        </w:rPr>
        <w:t>).</w:t>
      </w:r>
    </w:p>
    <w:p>
      <w:pPr>
        <w:pStyle w:val="BodyText"/>
        <w:spacing w:before="10"/>
        <w:rPr>
          <w:sz w:val="17"/>
        </w:rPr>
      </w:pPr>
    </w:p>
    <w:p>
      <w:pPr>
        <w:pStyle w:val="Heading7"/>
        <w:numPr>
          <w:ilvl w:val="0"/>
          <w:numId w:val="398"/>
        </w:numPr>
        <w:tabs>
          <w:tab w:pos="443" w:val="left" w:leader="none"/>
        </w:tabs>
        <w:spacing w:line="360" w:lineRule="auto" w:before="0" w:after="0"/>
        <w:ind w:left="102" w:right="119" w:firstLine="0"/>
        <w:jc w:val="both"/>
      </w:pPr>
      <w:r>
        <w:rPr>
          <w:i/>
        </w:rPr>
        <w:t>Son responsabilidades sociopolíticas de los actores gubernamentales en la </w:t>
      </w:r>
      <w:r>
        <w:rPr/>
        <w:t>Cuenca Hidrosocial Presa</w:t>
      </w:r>
      <w:r>
        <w:rPr>
          <w:spacing w:val="-5"/>
        </w:rPr>
        <w:t> </w:t>
      </w:r>
      <w:r>
        <w:rPr/>
        <w:t>Huapango:</w:t>
      </w:r>
    </w:p>
    <w:p>
      <w:pPr>
        <w:pStyle w:val="BodyText"/>
        <w:spacing w:before="7"/>
        <w:rPr>
          <w:b/>
          <w:i/>
          <w:sz w:val="17"/>
        </w:rPr>
      </w:pPr>
    </w:p>
    <w:p>
      <w:pPr>
        <w:pStyle w:val="ListParagraph"/>
        <w:numPr>
          <w:ilvl w:val="0"/>
          <w:numId w:val="400"/>
        </w:numPr>
        <w:tabs>
          <w:tab w:pos="318" w:val="left" w:leader="none"/>
        </w:tabs>
        <w:spacing w:line="360" w:lineRule="auto" w:before="0" w:after="0"/>
        <w:ind w:left="102" w:right="116" w:firstLine="0"/>
        <w:jc w:val="both"/>
        <w:rPr>
          <w:sz w:val="22"/>
        </w:rPr>
      </w:pPr>
      <w:r>
        <w:rPr>
          <w:sz w:val="22"/>
        </w:rPr>
        <w:t>Cumplir con sus funciones y responsabilidades que la ley les confiere para apoyar el desarrollo sociopolítico de la Cuenca Hidrosocial Presa Huapango reconociendo los usos y costumbres de la comunidad (Valorar mediante los indicadores de </w:t>
      </w:r>
      <w:r>
        <w:rPr>
          <w:i/>
          <w:sz w:val="22"/>
        </w:rPr>
        <w:t>identidad, cultura y </w:t>
      </w:r>
      <w:r>
        <w:rPr>
          <w:i/>
          <w:sz w:val="22"/>
        </w:rPr>
        <w:t>autogestión</w:t>
      </w:r>
      <w:r>
        <w:rPr>
          <w:i/>
          <w:spacing w:val="-7"/>
          <w:sz w:val="22"/>
        </w:rPr>
        <w:t> </w:t>
      </w:r>
      <w:r>
        <w:rPr>
          <w:i/>
          <w:sz w:val="22"/>
        </w:rPr>
        <w:t>sociopolítica</w:t>
      </w:r>
      <w:r>
        <w:rPr>
          <w:sz w:val="22"/>
        </w:rPr>
        <w:t>).</w:t>
      </w:r>
    </w:p>
    <w:p>
      <w:pPr>
        <w:spacing w:after="0" w:line="360" w:lineRule="auto"/>
        <w:jc w:val="both"/>
        <w:rPr>
          <w:sz w:val="22"/>
        </w:rPr>
        <w:sectPr>
          <w:pgSz w:w="12240" w:h="15840"/>
          <w:pgMar w:header="0" w:footer="1003" w:top="1360" w:bottom="1200" w:left="1600" w:right="1580"/>
        </w:sectPr>
      </w:pPr>
    </w:p>
    <w:p>
      <w:pPr>
        <w:pStyle w:val="ListParagraph"/>
        <w:numPr>
          <w:ilvl w:val="0"/>
          <w:numId w:val="400"/>
        </w:numPr>
        <w:tabs>
          <w:tab w:pos="383" w:val="left" w:leader="none"/>
        </w:tabs>
        <w:spacing w:line="360" w:lineRule="auto" w:before="53" w:after="0"/>
        <w:ind w:left="102" w:right="118" w:firstLine="0"/>
        <w:jc w:val="both"/>
        <w:rPr>
          <w:sz w:val="22"/>
        </w:rPr>
      </w:pPr>
      <w:r>
        <w:rPr>
          <w:sz w:val="22"/>
        </w:rPr>
        <w:t>Auxiliar a los actores históricos en la realización de los proyectos sociopolíticos que realicen en beneficio de la Cuenca Hidrosocial Presa Huapango (Valorar mediante el indicador de </w:t>
      </w:r>
      <w:r>
        <w:rPr>
          <w:i/>
          <w:sz w:val="22"/>
        </w:rPr>
        <w:t>participación</w:t>
      </w:r>
      <w:r>
        <w:rPr>
          <w:i/>
          <w:spacing w:val="-13"/>
          <w:sz w:val="22"/>
        </w:rPr>
        <w:t> </w:t>
      </w:r>
      <w:r>
        <w:rPr>
          <w:i/>
          <w:sz w:val="22"/>
        </w:rPr>
        <w:t>sociopolítica_1</w:t>
      </w:r>
      <w:r>
        <w:rPr>
          <w:sz w:val="22"/>
        </w:rPr>
        <w:t>).</w:t>
      </w:r>
    </w:p>
    <w:p>
      <w:pPr>
        <w:pStyle w:val="BodyText"/>
        <w:spacing w:before="7"/>
        <w:rPr>
          <w:sz w:val="17"/>
        </w:rPr>
      </w:pPr>
    </w:p>
    <w:p>
      <w:pPr>
        <w:pStyle w:val="ListParagraph"/>
        <w:numPr>
          <w:ilvl w:val="0"/>
          <w:numId w:val="400"/>
        </w:numPr>
        <w:tabs>
          <w:tab w:pos="419" w:val="left" w:leader="none"/>
        </w:tabs>
        <w:spacing w:line="360" w:lineRule="auto" w:before="0" w:after="0"/>
        <w:ind w:left="102" w:right="114" w:firstLine="0"/>
        <w:jc w:val="both"/>
        <w:rPr>
          <w:sz w:val="22"/>
        </w:rPr>
      </w:pPr>
      <w:r>
        <w:rPr>
          <w:sz w:val="22"/>
        </w:rPr>
        <w:t>Coordinarse con los demás actores de la Cuenca Hidrosocial Presa Huapango para la realización de proyectos sociopolíticos (Valorar mediante el indicador de </w:t>
      </w:r>
      <w:r>
        <w:rPr>
          <w:i/>
          <w:sz w:val="22"/>
        </w:rPr>
        <w:t>cooperación </w:t>
      </w:r>
      <w:r>
        <w:rPr>
          <w:i/>
          <w:sz w:val="22"/>
        </w:rPr>
        <w:t>sociopolítica</w:t>
      </w:r>
      <w:r>
        <w:rPr>
          <w:sz w:val="22"/>
        </w:rPr>
        <w:t>).</w:t>
      </w:r>
    </w:p>
    <w:p>
      <w:pPr>
        <w:pStyle w:val="BodyText"/>
        <w:spacing w:before="9"/>
        <w:rPr>
          <w:sz w:val="17"/>
        </w:rPr>
      </w:pPr>
    </w:p>
    <w:p>
      <w:pPr>
        <w:pStyle w:val="ListParagraph"/>
        <w:numPr>
          <w:ilvl w:val="0"/>
          <w:numId w:val="400"/>
        </w:numPr>
        <w:tabs>
          <w:tab w:pos="496" w:val="left" w:leader="none"/>
        </w:tabs>
        <w:spacing w:line="360" w:lineRule="auto" w:before="0" w:after="0"/>
        <w:ind w:left="102" w:right="119" w:firstLine="0"/>
        <w:jc w:val="both"/>
        <w:rPr>
          <w:sz w:val="22"/>
        </w:rPr>
      </w:pPr>
      <w:r>
        <w:rPr>
          <w:sz w:val="22"/>
        </w:rPr>
        <w:t>Participar en la Asamblea General con voz, pero sin voto (Valorar mediante los indicadores de </w:t>
      </w:r>
      <w:r>
        <w:rPr>
          <w:i/>
          <w:sz w:val="22"/>
        </w:rPr>
        <w:t>autogestión, democracia y</w:t>
      </w:r>
      <w:r>
        <w:rPr>
          <w:i/>
          <w:spacing w:val="-14"/>
          <w:sz w:val="22"/>
        </w:rPr>
        <w:t> </w:t>
      </w:r>
      <w:r>
        <w:rPr>
          <w:i/>
          <w:sz w:val="22"/>
        </w:rPr>
        <w:t>voluntariedad</w:t>
      </w:r>
      <w:r>
        <w:rPr>
          <w:sz w:val="22"/>
        </w:rPr>
        <w:t>).</w:t>
      </w:r>
    </w:p>
    <w:p>
      <w:pPr>
        <w:pStyle w:val="BodyText"/>
        <w:spacing w:before="7"/>
        <w:rPr>
          <w:sz w:val="17"/>
        </w:rPr>
      </w:pPr>
    </w:p>
    <w:p>
      <w:pPr>
        <w:pStyle w:val="BodyText"/>
        <w:spacing w:line="360" w:lineRule="auto"/>
        <w:ind w:left="102" w:right="117"/>
        <w:jc w:val="both"/>
      </w:pPr>
      <w:r>
        <w:rPr>
          <w:b/>
          <w:i/>
        </w:rPr>
        <w:t>Artículo 17.- </w:t>
      </w:r>
      <w:r>
        <w:rPr/>
        <w:t>Son derechos y responsabilidades </w:t>
      </w:r>
      <w:r>
        <w:rPr>
          <w:i/>
        </w:rPr>
        <w:t>sociopolíticas </w:t>
      </w:r>
      <w:r>
        <w:rPr/>
        <w:t>de los actores de las Organizaciones No Gubernamentales y los organismos internacionales en la Cuenca Hidrosocial Presa Huapango.</w:t>
      </w:r>
    </w:p>
    <w:p>
      <w:pPr>
        <w:pStyle w:val="BodyText"/>
        <w:spacing w:before="7"/>
        <w:rPr>
          <w:sz w:val="17"/>
        </w:rPr>
      </w:pPr>
    </w:p>
    <w:p>
      <w:pPr>
        <w:pStyle w:val="ListParagraph"/>
        <w:numPr>
          <w:ilvl w:val="0"/>
          <w:numId w:val="401"/>
        </w:numPr>
        <w:tabs>
          <w:tab w:pos="489" w:val="left" w:leader="none"/>
        </w:tabs>
        <w:spacing w:line="360" w:lineRule="auto" w:before="0" w:after="0"/>
        <w:ind w:left="102" w:right="116" w:firstLine="0"/>
        <w:jc w:val="both"/>
        <w:rPr>
          <w:b/>
          <w:i/>
          <w:sz w:val="22"/>
        </w:rPr>
      </w:pPr>
      <w:r>
        <w:rPr>
          <w:b/>
          <w:i/>
          <w:sz w:val="22"/>
        </w:rPr>
        <w:t>Son derechos sociopolíticos de los actores de las Organizaciones No </w:t>
      </w:r>
      <w:r>
        <w:rPr>
          <w:b/>
          <w:i/>
          <w:sz w:val="22"/>
        </w:rPr>
        <w:t>Gubernamentales y los organismos internacionales en la </w:t>
      </w:r>
      <w:r>
        <w:rPr>
          <w:sz w:val="22"/>
        </w:rPr>
        <w:t>Cuenca Hidrosocial Presa Huapango</w:t>
      </w:r>
      <w:r>
        <w:rPr>
          <w:b/>
          <w:i/>
          <w:sz w:val="22"/>
        </w:rPr>
        <w:t>:</w:t>
      </w:r>
    </w:p>
    <w:p>
      <w:pPr>
        <w:pStyle w:val="BodyText"/>
        <w:spacing w:before="9"/>
        <w:rPr>
          <w:b/>
          <w:i/>
          <w:sz w:val="17"/>
        </w:rPr>
      </w:pPr>
    </w:p>
    <w:p>
      <w:pPr>
        <w:pStyle w:val="ListParagraph"/>
        <w:numPr>
          <w:ilvl w:val="0"/>
          <w:numId w:val="402"/>
        </w:numPr>
        <w:tabs>
          <w:tab w:pos="330" w:val="left" w:leader="none"/>
        </w:tabs>
        <w:spacing w:line="360" w:lineRule="auto" w:before="0" w:after="0"/>
        <w:ind w:left="102" w:right="119" w:firstLine="0"/>
        <w:jc w:val="both"/>
        <w:rPr>
          <w:sz w:val="22"/>
        </w:rPr>
      </w:pPr>
      <w:r>
        <w:rPr>
          <w:sz w:val="22"/>
        </w:rPr>
        <w:t>Apoyar a los actores históricos en la realización de los proyectos sociopolíticos que realicen en beneficio de la Cuenca Hidrosocial Presa Huapango (Valorar mediante el indicador de </w:t>
      </w:r>
      <w:r>
        <w:rPr>
          <w:i/>
          <w:sz w:val="22"/>
        </w:rPr>
        <w:t>participación</w:t>
      </w:r>
      <w:r>
        <w:rPr>
          <w:i/>
          <w:spacing w:val="-13"/>
          <w:sz w:val="22"/>
        </w:rPr>
        <w:t> </w:t>
      </w:r>
      <w:r>
        <w:rPr>
          <w:i/>
          <w:sz w:val="22"/>
        </w:rPr>
        <w:t>sociopolítica_1</w:t>
      </w:r>
      <w:r>
        <w:rPr>
          <w:sz w:val="22"/>
        </w:rPr>
        <w:t>).</w:t>
      </w:r>
    </w:p>
    <w:p>
      <w:pPr>
        <w:pStyle w:val="BodyText"/>
        <w:spacing w:before="7"/>
        <w:rPr>
          <w:sz w:val="17"/>
        </w:rPr>
      </w:pPr>
    </w:p>
    <w:p>
      <w:pPr>
        <w:pStyle w:val="ListParagraph"/>
        <w:numPr>
          <w:ilvl w:val="0"/>
          <w:numId w:val="402"/>
        </w:numPr>
        <w:tabs>
          <w:tab w:pos="385" w:val="left" w:leader="none"/>
        </w:tabs>
        <w:spacing w:line="360" w:lineRule="auto" w:before="0" w:after="0"/>
        <w:ind w:left="102" w:right="114" w:firstLine="0"/>
        <w:jc w:val="both"/>
        <w:rPr>
          <w:sz w:val="22"/>
        </w:rPr>
      </w:pPr>
      <w:r>
        <w:rPr>
          <w:sz w:val="22"/>
        </w:rPr>
        <w:t>Cooperar con los demás actores de la Cuenca Hidrosocial Presa Huapango para la realización de proyectos sociopolíticos (Valorar mediante el indicador de </w:t>
      </w:r>
      <w:r>
        <w:rPr>
          <w:i/>
          <w:sz w:val="22"/>
        </w:rPr>
        <w:t>cooperación </w:t>
      </w:r>
      <w:r>
        <w:rPr>
          <w:i/>
          <w:sz w:val="22"/>
        </w:rPr>
        <w:t>sociopolítica</w:t>
      </w:r>
      <w:r>
        <w:rPr>
          <w:sz w:val="22"/>
        </w:rPr>
        <w:t>).</w:t>
      </w:r>
    </w:p>
    <w:p>
      <w:pPr>
        <w:pStyle w:val="BodyText"/>
        <w:spacing w:before="7"/>
        <w:rPr>
          <w:sz w:val="17"/>
        </w:rPr>
      </w:pPr>
    </w:p>
    <w:p>
      <w:pPr>
        <w:pStyle w:val="ListParagraph"/>
        <w:numPr>
          <w:ilvl w:val="0"/>
          <w:numId w:val="402"/>
        </w:numPr>
        <w:tabs>
          <w:tab w:pos="474" w:val="left" w:leader="none"/>
        </w:tabs>
        <w:spacing w:line="360" w:lineRule="auto" w:before="0" w:after="0"/>
        <w:ind w:left="102" w:right="122" w:firstLine="0"/>
        <w:jc w:val="both"/>
        <w:rPr>
          <w:sz w:val="22"/>
        </w:rPr>
      </w:pPr>
      <w:r>
        <w:rPr>
          <w:sz w:val="22"/>
        </w:rPr>
        <w:t>Participar en la Asamblea General con voz, pero sin voto (Valorar mediante los indicadores de </w:t>
      </w:r>
      <w:r>
        <w:rPr>
          <w:i/>
          <w:sz w:val="22"/>
        </w:rPr>
        <w:t>autogestión, democracia y</w:t>
      </w:r>
      <w:r>
        <w:rPr>
          <w:i/>
          <w:spacing w:val="-14"/>
          <w:sz w:val="22"/>
        </w:rPr>
        <w:t> </w:t>
      </w:r>
      <w:r>
        <w:rPr>
          <w:i/>
          <w:sz w:val="22"/>
        </w:rPr>
        <w:t>voluntariedad</w:t>
      </w:r>
      <w:r>
        <w:rPr>
          <w:sz w:val="22"/>
        </w:rPr>
        <w:t>).</w:t>
      </w:r>
    </w:p>
    <w:p>
      <w:pPr>
        <w:pStyle w:val="BodyText"/>
        <w:spacing w:before="9"/>
        <w:rPr>
          <w:sz w:val="17"/>
        </w:rPr>
      </w:pPr>
    </w:p>
    <w:p>
      <w:pPr>
        <w:pStyle w:val="ListParagraph"/>
        <w:numPr>
          <w:ilvl w:val="0"/>
          <w:numId w:val="402"/>
        </w:numPr>
        <w:tabs>
          <w:tab w:pos="493" w:val="left" w:leader="none"/>
        </w:tabs>
        <w:spacing w:line="360" w:lineRule="auto" w:before="0" w:after="0"/>
        <w:ind w:left="102" w:right="114" w:firstLine="0"/>
        <w:jc w:val="both"/>
        <w:rPr>
          <w:sz w:val="22"/>
        </w:rPr>
      </w:pPr>
      <w:r>
        <w:rPr>
          <w:sz w:val="22"/>
        </w:rPr>
        <w:t>Fomentar la cultura ambiental mediante la participación social y la democracia y voluntariedad de los actores históricos de la Cuenca Hidrosocial Presa Huapango (Valorar mediante los indicadores de </w:t>
      </w:r>
      <w:r>
        <w:rPr>
          <w:i/>
          <w:sz w:val="22"/>
        </w:rPr>
        <w:t>cultura sociopolítica, participación sociopolítica, democracia y </w:t>
      </w:r>
      <w:r>
        <w:rPr>
          <w:i/>
          <w:sz w:val="22"/>
        </w:rPr>
        <w:t>voluntariedad</w:t>
      </w:r>
      <w:r>
        <w:rPr>
          <w:sz w:val="22"/>
        </w:rPr>
        <w:t>).</w:t>
      </w:r>
    </w:p>
    <w:p>
      <w:pPr>
        <w:pStyle w:val="BodyText"/>
        <w:spacing w:before="7"/>
        <w:rPr>
          <w:sz w:val="17"/>
        </w:rPr>
      </w:pPr>
    </w:p>
    <w:p>
      <w:pPr>
        <w:pStyle w:val="ListParagraph"/>
        <w:numPr>
          <w:ilvl w:val="0"/>
          <w:numId w:val="402"/>
        </w:numPr>
        <w:tabs>
          <w:tab w:pos="441" w:val="left" w:leader="none"/>
        </w:tabs>
        <w:spacing w:line="360" w:lineRule="auto" w:before="0" w:after="0"/>
        <w:ind w:left="102" w:right="119" w:firstLine="0"/>
        <w:jc w:val="both"/>
        <w:rPr>
          <w:sz w:val="22"/>
        </w:rPr>
      </w:pPr>
      <w:r>
        <w:rPr>
          <w:sz w:val="22"/>
        </w:rPr>
        <w:t>Participar en la Asamblea General con voz, pero sin voto (Valorar mediante los indicadores de </w:t>
      </w:r>
      <w:r>
        <w:rPr>
          <w:i/>
          <w:sz w:val="22"/>
        </w:rPr>
        <w:t>autogestión, democracia y</w:t>
      </w:r>
      <w:r>
        <w:rPr>
          <w:i/>
          <w:spacing w:val="-14"/>
          <w:sz w:val="22"/>
        </w:rPr>
        <w:t> </w:t>
      </w:r>
      <w:r>
        <w:rPr>
          <w:i/>
          <w:sz w:val="22"/>
        </w:rPr>
        <w:t>voluntariedad</w:t>
      </w:r>
      <w:r>
        <w:rPr>
          <w:sz w:val="22"/>
        </w:rPr>
        <w:t>).</w:t>
      </w:r>
    </w:p>
    <w:p>
      <w:pPr>
        <w:spacing w:after="0" w:line="360" w:lineRule="auto"/>
        <w:jc w:val="both"/>
        <w:rPr>
          <w:sz w:val="22"/>
        </w:rPr>
        <w:sectPr>
          <w:pgSz w:w="12240" w:h="15840"/>
          <w:pgMar w:header="0" w:footer="1003" w:top="1360" w:bottom="1200" w:left="1600" w:right="1580"/>
        </w:sectPr>
      </w:pPr>
    </w:p>
    <w:p>
      <w:pPr>
        <w:pStyle w:val="ListParagraph"/>
        <w:numPr>
          <w:ilvl w:val="0"/>
          <w:numId w:val="402"/>
        </w:numPr>
        <w:tabs>
          <w:tab w:pos="501" w:val="left" w:leader="none"/>
        </w:tabs>
        <w:spacing w:line="360" w:lineRule="auto" w:before="53" w:after="0"/>
        <w:ind w:left="102" w:right="118" w:firstLine="0"/>
        <w:jc w:val="both"/>
        <w:rPr>
          <w:sz w:val="22"/>
        </w:rPr>
      </w:pPr>
      <w:r>
        <w:rPr>
          <w:sz w:val="22"/>
        </w:rPr>
        <w:t>Realizar acciones locales y regionales con impacto global (Valorar mediante los indicadores de </w:t>
      </w:r>
      <w:r>
        <w:rPr>
          <w:i/>
          <w:sz w:val="22"/>
        </w:rPr>
        <w:t>la Gestión Integrada de los Recursos Hídricos, gobernanza y </w:t>
      </w:r>
      <w:r>
        <w:rPr>
          <w:i/>
          <w:sz w:val="22"/>
        </w:rPr>
        <w:t>gobernabilidad</w:t>
      </w:r>
      <w:r>
        <w:rPr>
          <w:sz w:val="22"/>
        </w:rPr>
        <w:t>).</w:t>
      </w:r>
    </w:p>
    <w:p>
      <w:pPr>
        <w:pStyle w:val="BodyText"/>
        <w:spacing w:before="7"/>
        <w:rPr>
          <w:sz w:val="17"/>
        </w:rPr>
      </w:pPr>
    </w:p>
    <w:p>
      <w:pPr>
        <w:pStyle w:val="Heading7"/>
        <w:numPr>
          <w:ilvl w:val="0"/>
          <w:numId w:val="401"/>
        </w:numPr>
        <w:tabs>
          <w:tab w:pos="465" w:val="left" w:leader="none"/>
        </w:tabs>
        <w:spacing w:line="360" w:lineRule="auto" w:before="0" w:after="0"/>
        <w:ind w:left="102" w:right="117" w:firstLine="0"/>
        <w:jc w:val="both"/>
      </w:pPr>
      <w:r>
        <w:rPr>
          <w:i/>
        </w:rPr>
        <w:t>Son obligaciones sociopolíticas de los actores de las Organizaciones No </w:t>
      </w:r>
      <w:r>
        <w:rPr/>
        <w:t>Gubernamentales y los Organismos Internacionales en la Cuenca Hidrosocial Presa Huapango:</w:t>
      </w:r>
    </w:p>
    <w:p>
      <w:pPr>
        <w:pStyle w:val="BodyText"/>
        <w:spacing w:before="9"/>
        <w:rPr>
          <w:b/>
          <w:i/>
          <w:sz w:val="17"/>
        </w:rPr>
      </w:pPr>
    </w:p>
    <w:p>
      <w:pPr>
        <w:pStyle w:val="ListParagraph"/>
        <w:numPr>
          <w:ilvl w:val="0"/>
          <w:numId w:val="403"/>
        </w:numPr>
        <w:tabs>
          <w:tab w:pos="328" w:val="left" w:leader="none"/>
        </w:tabs>
        <w:spacing w:line="360" w:lineRule="auto" w:before="0" w:after="0"/>
        <w:ind w:left="102" w:right="116" w:firstLine="0"/>
        <w:jc w:val="both"/>
        <w:rPr>
          <w:sz w:val="22"/>
        </w:rPr>
      </w:pPr>
      <w:r>
        <w:rPr>
          <w:sz w:val="22"/>
        </w:rPr>
        <w:t>Auxiliar a los actores históricos en la realización de los proyectos sociopolíticos que realicen en beneficio de la Cuenca Hidrosocial Presa Huapango (Valorar mediante el indicador de </w:t>
      </w:r>
      <w:r>
        <w:rPr>
          <w:i/>
          <w:sz w:val="22"/>
        </w:rPr>
        <w:t>participación</w:t>
      </w:r>
      <w:r>
        <w:rPr>
          <w:i/>
          <w:spacing w:val="-13"/>
          <w:sz w:val="22"/>
        </w:rPr>
        <w:t> </w:t>
      </w:r>
      <w:r>
        <w:rPr>
          <w:i/>
          <w:sz w:val="22"/>
        </w:rPr>
        <w:t>sociopolítica_1</w:t>
      </w:r>
      <w:r>
        <w:rPr>
          <w:sz w:val="22"/>
        </w:rPr>
        <w:t>).</w:t>
      </w:r>
    </w:p>
    <w:p>
      <w:pPr>
        <w:pStyle w:val="BodyText"/>
        <w:spacing w:before="7"/>
        <w:rPr>
          <w:sz w:val="17"/>
        </w:rPr>
      </w:pPr>
    </w:p>
    <w:p>
      <w:pPr>
        <w:pStyle w:val="ListParagraph"/>
        <w:numPr>
          <w:ilvl w:val="0"/>
          <w:numId w:val="403"/>
        </w:numPr>
        <w:tabs>
          <w:tab w:pos="364" w:val="left" w:leader="none"/>
        </w:tabs>
        <w:spacing w:line="360" w:lineRule="auto" w:before="0" w:after="0"/>
        <w:ind w:left="102" w:right="114" w:firstLine="0"/>
        <w:jc w:val="both"/>
        <w:rPr>
          <w:sz w:val="22"/>
        </w:rPr>
      </w:pPr>
      <w:r>
        <w:rPr>
          <w:sz w:val="22"/>
        </w:rPr>
        <w:t>Coordinarse con los demás actores de la Cuenca Hidrosocial Presa Huapango para la realización de proyectos sociopolíticos (Valorar mediante el indicador de </w:t>
      </w:r>
      <w:r>
        <w:rPr>
          <w:i/>
          <w:sz w:val="22"/>
        </w:rPr>
        <w:t>cooperación </w:t>
      </w:r>
      <w:r>
        <w:rPr>
          <w:i/>
          <w:sz w:val="22"/>
        </w:rPr>
        <w:t>sociopolítica</w:t>
      </w:r>
      <w:r>
        <w:rPr>
          <w:sz w:val="22"/>
        </w:rPr>
        <w:t>).</w:t>
      </w:r>
    </w:p>
    <w:p>
      <w:pPr>
        <w:pStyle w:val="BodyText"/>
        <w:spacing w:before="7"/>
        <w:rPr>
          <w:sz w:val="17"/>
        </w:rPr>
      </w:pPr>
    </w:p>
    <w:p>
      <w:pPr>
        <w:pStyle w:val="ListParagraph"/>
        <w:numPr>
          <w:ilvl w:val="0"/>
          <w:numId w:val="403"/>
        </w:numPr>
        <w:tabs>
          <w:tab w:pos="474" w:val="left" w:leader="none"/>
        </w:tabs>
        <w:spacing w:line="360" w:lineRule="auto" w:before="0" w:after="0"/>
        <w:ind w:left="102" w:right="122" w:firstLine="0"/>
        <w:jc w:val="both"/>
        <w:rPr>
          <w:sz w:val="22"/>
        </w:rPr>
      </w:pPr>
      <w:r>
        <w:rPr>
          <w:sz w:val="22"/>
        </w:rPr>
        <w:t>Participar en la Asamblea General con voz, pero sin voto (Valorar mediante los indicadores de </w:t>
      </w:r>
      <w:r>
        <w:rPr>
          <w:i/>
          <w:sz w:val="22"/>
        </w:rPr>
        <w:t>autogestión, democracia y</w:t>
      </w:r>
      <w:r>
        <w:rPr>
          <w:i/>
          <w:spacing w:val="-14"/>
          <w:sz w:val="22"/>
        </w:rPr>
        <w:t> </w:t>
      </w:r>
      <w:r>
        <w:rPr>
          <w:i/>
          <w:sz w:val="22"/>
        </w:rPr>
        <w:t>voluntariedad</w:t>
      </w:r>
      <w:r>
        <w:rPr>
          <w:sz w:val="22"/>
        </w:rPr>
        <w:t>).</w:t>
      </w:r>
    </w:p>
    <w:p>
      <w:pPr>
        <w:pStyle w:val="BodyText"/>
        <w:spacing w:before="9"/>
        <w:rPr>
          <w:sz w:val="17"/>
        </w:rPr>
      </w:pPr>
    </w:p>
    <w:p>
      <w:pPr>
        <w:pStyle w:val="ListParagraph"/>
        <w:numPr>
          <w:ilvl w:val="0"/>
          <w:numId w:val="403"/>
        </w:numPr>
        <w:tabs>
          <w:tab w:pos="493" w:val="left" w:leader="none"/>
        </w:tabs>
        <w:spacing w:line="360" w:lineRule="auto" w:before="0" w:after="0"/>
        <w:ind w:left="102" w:right="115" w:firstLine="0"/>
        <w:jc w:val="both"/>
        <w:rPr>
          <w:sz w:val="22"/>
        </w:rPr>
      </w:pPr>
      <w:r>
        <w:rPr>
          <w:sz w:val="22"/>
        </w:rPr>
        <w:t>Fomentar la cultura ambiental mediante la participación social y la democracia y voluntariedad de los actores históricos de la Cuenca Hidrosocial Presa Huapango (Valorar mediante los indicadores de </w:t>
      </w:r>
      <w:r>
        <w:rPr>
          <w:i/>
          <w:sz w:val="22"/>
        </w:rPr>
        <w:t>cultura sociopolítica, participación sociopolítica, democracia y </w:t>
      </w:r>
      <w:r>
        <w:rPr>
          <w:i/>
          <w:sz w:val="22"/>
        </w:rPr>
        <w:t>voluntariedad</w:t>
      </w:r>
      <w:r>
        <w:rPr>
          <w:sz w:val="22"/>
        </w:rPr>
        <w:t>).</w:t>
      </w:r>
    </w:p>
    <w:p>
      <w:pPr>
        <w:pStyle w:val="BodyText"/>
        <w:spacing w:before="7"/>
        <w:rPr>
          <w:sz w:val="17"/>
        </w:rPr>
      </w:pPr>
    </w:p>
    <w:p>
      <w:pPr>
        <w:pStyle w:val="ListParagraph"/>
        <w:numPr>
          <w:ilvl w:val="0"/>
          <w:numId w:val="403"/>
        </w:numPr>
        <w:tabs>
          <w:tab w:pos="445" w:val="left" w:leader="none"/>
        </w:tabs>
        <w:spacing w:line="360" w:lineRule="auto" w:before="0" w:after="0"/>
        <w:ind w:left="102" w:right="118" w:firstLine="0"/>
        <w:jc w:val="both"/>
        <w:rPr>
          <w:sz w:val="22"/>
        </w:rPr>
      </w:pPr>
      <w:r>
        <w:rPr>
          <w:sz w:val="22"/>
        </w:rPr>
        <w:t>Realizar acciones locales y regionales con impacto global (Valorar mediante los indicadores de </w:t>
      </w:r>
      <w:r>
        <w:rPr>
          <w:i/>
          <w:sz w:val="22"/>
        </w:rPr>
        <w:t>la Gestión Integrada de los Recursos Hídricos, gobernanza y </w:t>
      </w:r>
      <w:r>
        <w:rPr>
          <w:i/>
          <w:sz w:val="22"/>
        </w:rPr>
        <w:t>gobernabilidad</w:t>
      </w:r>
      <w:r>
        <w:rPr>
          <w:sz w:val="22"/>
        </w:rPr>
        <w:t>).</w:t>
      </w:r>
    </w:p>
    <w:p>
      <w:pPr>
        <w:pStyle w:val="BodyText"/>
        <w:spacing w:before="7"/>
        <w:rPr>
          <w:sz w:val="17"/>
        </w:rPr>
      </w:pPr>
    </w:p>
    <w:p>
      <w:pPr>
        <w:spacing w:line="360" w:lineRule="auto" w:before="0"/>
        <w:ind w:left="102" w:right="117" w:firstLine="0"/>
        <w:jc w:val="both"/>
        <w:rPr>
          <w:sz w:val="22"/>
        </w:rPr>
      </w:pPr>
      <w:r>
        <w:rPr>
          <w:b/>
          <w:i/>
          <w:sz w:val="22"/>
        </w:rPr>
        <w:t>Artículo 18.- </w:t>
      </w:r>
      <w:r>
        <w:rPr>
          <w:sz w:val="22"/>
        </w:rPr>
        <w:t>Son derechos y obligaciones </w:t>
      </w:r>
      <w:r>
        <w:rPr>
          <w:i/>
          <w:sz w:val="22"/>
        </w:rPr>
        <w:t>sociopolíticas </w:t>
      </w:r>
      <w:r>
        <w:rPr>
          <w:sz w:val="22"/>
        </w:rPr>
        <w:t>de los actores académicos en la CHPH:</w:t>
      </w:r>
    </w:p>
    <w:p>
      <w:pPr>
        <w:pStyle w:val="BodyText"/>
        <w:spacing w:before="10"/>
        <w:rPr>
          <w:sz w:val="17"/>
        </w:rPr>
      </w:pPr>
    </w:p>
    <w:p>
      <w:pPr>
        <w:pStyle w:val="Heading7"/>
        <w:numPr>
          <w:ilvl w:val="0"/>
          <w:numId w:val="404"/>
        </w:numPr>
        <w:tabs>
          <w:tab w:pos="364" w:val="left" w:leader="none"/>
        </w:tabs>
        <w:spacing w:line="360" w:lineRule="auto" w:before="0" w:after="0"/>
        <w:ind w:left="102" w:right="123" w:firstLine="0"/>
        <w:jc w:val="both"/>
      </w:pPr>
      <w:r>
        <w:rPr>
          <w:i/>
        </w:rPr>
        <w:t>Son derechos sociopolíticos de los actores académicos en la Cuenca Hidrosocial </w:t>
      </w:r>
      <w:r>
        <w:rPr/>
        <w:t>Presa</w:t>
      </w:r>
      <w:r>
        <w:rPr>
          <w:spacing w:val="-1"/>
        </w:rPr>
        <w:t> </w:t>
      </w:r>
      <w:r>
        <w:rPr/>
        <w:t>Huapango:</w:t>
      </w:r>
    </w:p>
    <w:p>
      <w:pPr>
        <w:pStyle w:val="BodyText"/>
        <w:spacing w:before="7"/>
        <w:rPr>
          <w:b/>
          <w:i/>
          <w:sz w:val="17"/>
        </w:rPr>
      </w:pPr>
    </w:p>
    <w:p>
      <w:pPr>
        <w:pStyle w:val="ListParagraph"/>
        <w:numPr>
          <w:ilvl w:val="0"/>
          <w:numId w:val="405"/>
        </w:numPr>
        <w:tabs>
          <w:tab w:pos="345" w:val="left" w:leader="none"/>
        </w:tabs>
        <w:spacing w:line="360" w:lineRule="auto" w:before="0" w:after="0"/>
        <w:ind w:left="102" w:right="119" w:firstLine="0"/>
        <w:jc w:val="both"/>
        <w:rPr>
          <w:sz w:val="22"/>
        </w:rPr>
      </w:pPr>
      <w:r>
        <w:rPr>
          <w:sz w:val="22"/>
        </w:rPr>
        <w:t>Participar como facilitadores y asesores en la realización de proyectos del Comité (Valorar mediante los indicadores de </w:t>
      </w:r>
      <w:r>
        <w:rPr>
          <w:i/>
          <w:sz w:val="22"/>
        </w:rPr>
        <w:t>la Gestión Integrada de los Recursos Hídricos, </w:t>
      </w:r>
      <w:r>
        <w:rPr>
          <w:i/>
          <w:sz w:val="22"/>
        </w:rPr>
        <w:t>gobernanza y</w:t>
      </w:r>
      <w:r>
        <w:rPr>
          <w:i/>
          <w:spacing w:val="-10"/>
          <w:sz w:val="22"/>
        </w:rPr>
        <w:t> </w:t>
      </w:r>
      <w:r>
        <w:rPr>
          <w:i/>
          <w:sz w:val="22"/>
        </w:rPr>
        <w:t>gobernabilidad</w:t>
      </w:r>
      <w:r>
        <w:rPr>
          <w:sz w:val="22"/>
        </w:rPr>
        <w:t>).</w:t>
      </w:r>
    </w:p>
    <w:p>
      <w:pPr>
        <w:spacing w:after="0" w:line="360" w:lineRule="auto"/>
        <w:jc w:val="both"/>
        <w:rPr>
          <w:sz w:val="22"/>
        </w:rPr>
        <w:sectPr>
          <w:pgSz w:w="12240" w:h="15840"/>
          <w:pgMar w:header="0" w:footer="1003" w:top="1360" w:bottom="1200" w:left="1600" w:right="1580"/>
        </w:sectPr>
      </w:pPr>
    </w:p>
    <w:p>
      <w:pPr>
        <w:pStyle w:val="ListParagraph"/>
        <w:numPr>
          <w:ilvl w:val="0"/>
          <w:numId w:val="405"/>
        </w:numPr>
        <w:tabs>
          <w:tab w:pos="433" w:val="left" w:leader="none"/>
        </w:tabs>
        <w:spacing w:line="362" w:lineRule="auto" w:before="53" w:after="0"/>
        <w:ind w:left="102" w:right="117" w:firstLine="0"/>
        <w:jc w:val="both"/>
        <w:rPr>
          <w:sz w:val="22"/>
        </w:rPr>
      </w:pPr>
      <w:r>
        <w:rPr>
          <w:sz w:val="22"/>
        </w:rPr>
        <w:t>Fomentar la cultura ambiental en la población de la Cuenca Hidrosocial Presa Huapango (Valorar mediante el indicador de cultura</w:t>
      </w:r>
      <w:r>
        <w:rPr>
          <w:spacing w:val="-19"/>
          <w:sz w:val="22"/>
        </w:rPr>
        <w:t> </w:t>
      </w:r>
      <w:r>
        <w:rPr>
          <w:sz w:val="22"/>
        </w:rPr>
        <w:t>sociopolítica).</w:t>
      </w:r>
    </w:p>
    <w:p>
      <w:pPr>
        <w:pStyle w:val="BodyText"/>
        <w:spacing w:before="4"/>
        <w:rPr>
          <w:sz w:val="17"/>
        </w:rPr>
      </w:pPr>
    </w:p>
    <w:p>
      <w:pPr>
        <w:pStyle w:val="ListParagraph"/>
        <w:numPr>
          <w:ilvl w:val="0"/>
          <w:numId w:val="405"/>
        </w:numPr>
        <w:tabs>
          <w:tab w:pos="546" w:val="left" w:leader="none"/>
        </w:tabs>
        <w:spacing w:line="360" w:lineRule="auto" w:before="0" w:after="0"/>
        <w:ind w:left="102" w:right="117" w:firstLine="0"/>
        <w:jc w:val="both"/>
        <w:rPr>
          <w:sz w:val="22"/>
        </w:rPr>
      </w:pPr>
      <w:r>
        <w:rPr>
          <w:sz w:val="22"/>
        </w:rPr>
        <w:t>Facilitar la coordinación con los actores históricos, las Organizaciones No Gubernamentales y los actores gubernamentales para realizar proyectos de desarrollo en la Cuenca Hidrosocial Presa Huapango (Valorar mediante el indicador de cooperación sociopolítica).</w:t>
      </w:r>
    </w:p>
    <w:p>
      <w:pPr>
        <w:pStyle w:val="BodyText"/>
        <w:spacing w:before="9"/>
        <w:rPr>
          <w:sz w:val="17"/>
        </w:rPr>
      </w:pPr>
    </w:p>
    <w:p>
      <w:pPr>
        <w:pStyle w:val="ListParagraph"/>
        <w:numPr>
          <w:ilvl w:val="0"/>
          <w:numId w:val="405"/>
        </w:numPr>
        <w:tabs>
          <w:tab w:pos="496" w:val="left" w:leader="none"/>
        </w:tabs>
        <w:spacing w:line="360" w:lineRule="auto" w:before="0" w:after="0"/>
        <w:ind w:left="102" w:right="118" w:firstLine="0"/>
        <w:jc w:val="both"/>
        <w:rPr>
          <w:sz w:val="22"/>
        </w:rPr>
      </w:pPr>
      <w:r>
        <w:rPr>
          <w:sz w:val="22"/>
        </w:rPr>
        <w:t>Participar en la Asamblea General con voz, pero sin voto (Valorar mediante los indicadores de </w:t>
      </w:r>
      <w:r>
        <w:rPr>
          <w:i/>
          <w:sz w:val="22"/>
        </w:rPr>
        <w:t>autogestión, democracia y</w:t>
      </w:r>
      <w:r>
        <w:rPr>
          <w:i/>
          <w:spacing w:val="-14"/>
          <w:sz w:val="22"/>
        </w:rPr>
        <w:t> </w:t>
      </w:r>
      <w:r>
        <w:rPr>
          <w:i/>
          <w:sz w:val="22"/>
        </w:rPr>
        <w:t>voluntariedad</w:t>
      </w:r>
      <w:r>
        <w:rPr>
          <w:sz w:val="22"/>
        </w:rPr>
        <w:t>).</w:t>
      </w:r>
    </w:p>
    <w:p>
      <w:pPr>
        <w:pStyle w:val="BodyText"/>
        <w:spacing w:before="7"/>
        <w:rPr>
          <w:sz w:val="17"/>
        </w:rPr>
      </w:pPr>
    </w:p>
    <w:p>
      <w:pPr>
        <w:pStyle w:val="Heading7"/>
        <w:numPr>
          <w:ilvl w:val="0"/>
          <w:numId w:val="404"/>
        </w:numPr>
        <w:tabs>
          <w:tab w:pos="465" w:val="left" w:leader="none"/>
        </w:tabs>
        <w:spacing w:line="360" w:lineRule="auto" w:before="0" w:after="0"/>
        <w:ind w:left="102" w:right="119" w:firstLine="0"/>
        <w:jc w:val="both"/>
      </w:pPr>
      <w:r>
        <w:rPr>
          <w:i/>
        </w:rPr>
        <w:t>Son obligaciones sociopolíticas de los actores académicos en la Cuenca </w:t>
      </w:r>
      <w:r>
        <w:rPr/>
        <w:t>Hidrosocial Presa</w:t>
      </w:r>
      <w:r>
        <w:rPr>
          <w:spacing w:val="-8"/>
        </w:rPr>
        <w:t> </w:t>
      </w:r>
      <w:r>
        <w:rPr/>
        <w:t>Huapango:</w:t>
      </w:r>
    </w:p>
    <w:p>
      <w:pPr>
        <w:pStyle w:val="BodyText"/>
        <w:spacing w:before="9"/>
        <w:rPr>
          <w:b/>
          <w:i/>
          <w:sz w:val="17"/>
        </w:rPr>
      </w:pPr>
    </w:p>
    <w:p>
      <w:pPr>
        <w:pStyle w:val="ListParagraph"/>
        <w:numPr>
          <w:ilvl w:val="0"/>
          <w:numId w:val="406"/>
        </w:numPr>
        <w:tabs>
          <w:tab w:pos="345" w:val="left" w:leader="none"/>
        </w:tabs>
        <w:spacing w:line="360" w:lineRule="auto" w:before="0" w:after="0"/>
        <w:ind w:left="102" w:right="119" w:firstLine="0"/>
        <w:jc w:val="both"/>
        <w:rPr>
          <w:sz w:val="22"/>
        </w:rPr>
      </w:pPr>
      <w:r>
        <w:rPr>
          <w:sz w:val="22"/>
        </w:rPr>
        <w:t>Participar como facilitadores y asesores en la realización de proyectos del Comité (Valorar mediante los indicadores de </w:t>
      </w:r>
      <w:r>
        <w:rPr>
          <w:i/>
          <w:sz w:val="22"/>
        </w:rPr>
        <w:t>la Gestión Integrada de los Recursos Hídricos, </w:t>
      </w:r>
      <w:r>
        <w:rPr>
          <w:i/>
          <w:sz w:val="22"/>
        </w:rPr>
        <w:t>gobernanza y</w:t>
      </w:r>
      <w:r>
        <w:rPr>
          <w:i/>
          <w:spacing w:val="-10"/>
          <w:sz w:val="22"/>
        </w:rPr>
        <w:t> </w:t>
      </w:r>
      <w:r>
        <w:rPr>
          <w:i/>
          <w:sz w:val="22"/>
        </w:rPr>
        <w:t>gobernabilidad</w:t>
      </w:r>
      <w:r>
        <w:rPr>
          <w:sz w:val="22"/>
        </w:rPr>
        <w:t>).</w:t>
      </w:r>
    </w:p>
    <w:p>
      <w:pPr>
        <w:pStyle w:val="BodyText"/>
        <w:spacing w:before="9"/>
        <w:rPr>
          <w:sz w:val="17"/>
        </w:rPr>
      </w:pPr>
    </w:p>
    <w:p>
      <w:pPr>
        <w:pStyle w:val="ListParagraph"/>
        <w:numPr>
          <w:ilvl w:val="0"/>
          <w:numId w:val="406"/>
        </w:numPr>
        <w:tabs>
          <w:tab w:pos="433" w:val="left" w:leader="none"/>
        </w:tabs>
        <w:spacing w:line="360" w:lineRule="auto" w:before="0" w:after="0"/>
        <w:ind w:left="102" w:right="117" w:firstLine="0"/>
        <w:jc w:val="both"/>
        <w:rPr>
          <w:sz w:val="22"/>
        </w:rPr>
      </w:pPr>
      <w:r>
        <w:rPr>
          <w:sz w:val="22"/>
        </w:rPr>
        <w:t>Fomentar la cultura ambiental en la población de la Cuenca Hidrosocial Presa Huapango (Valorar mediante el indicador de cultura</w:t>
      </w:r>
      <w:r>
        <w:rPr>
          <w:spacing w:val="-19"/>
          <w:sz w:val="22"/>
        </w:rPr>
        <w:t> </w:t>
      </w:r>
      <w:r>
        <w:rPr>
          <w:sz w:val="22"/>
        </w:rPr>
        <w:t>sociopolítica).</w:t>
      </w:r>
    </w:p>
    <w:p>
      <w:pPr>
        <w:pStyle w:val="BodyText"/>
        <w:spacing w:before="7"/>
        <w:rPr>
          <w:sz w:val="17"/>
        </w:rPr>
      </w:pPr>
    </w:p>
    <w:p>
      <w:pPr>
        <w:pStyle w:val="ListParagraph"/>
        <w:numPr>
          <w:ilvl w:val="0"/>
          <w:numId w:val="406"/>
        </w:numPr>
        <w:tabs>
          <w:tab w:pos="546" w:val="left" w:leader="none"/>
        </w:tabs>
        <w:spacing w:line="360" w:lineRule="auto" w:before="0" w:after="0"/>
        <w:ind w:left="102" w:right="118" w:firstLine="0"/>
        <w:jc w:val="both"/>
        <w:rPr>
          <w:sz w:val="22"/>
        </w:rPr>
      </w:pPr>
      <w:r>
        <w:rPr>
          <w:sz w:val="22"/>
        </w:rPr>
        <w:t>Facilitar la coordinación con los actores históricos, las Organizaciones No Gubernamentales y los actores gubernamentales para realizar proyectos de desarrollo en la Cuenca Hidrosocial Presa Huapango (Valorar mediante el indicador de cooperación sociopolítica).</w:t>
      </w:r>
    </w:p>
    <w:p>
      <w:pPr>
        <w:pStyle w:val="BodyText"/>
        <w:spacing w:before="9"/>
        <w:rPr>
          <w:sz w:val="17"/>
        </w:rPr>
      </w:pPr>
    </w:p>
    <w:p>
      <w:pPr>
        <w:pStyle w:val="ListParagraph"/>
        <w:numPr>
          <w:ilvl w:val="0"/>
          <w:numId w:val="406"/>
        </w:numPr>
        <w:tabs>
          <w:tab w:pos="496" w:val="left" w:leader="none"/>
        </w:tabs>
        <w:spacing w:line="360" w:lineRule="auto" w:before="0" w:after="0"/>
        <w:ind w:left="102" w:right="119" w:firstLine="0"/>
        <w:jc w:val="both"/>
        <w:rPr>
          <w:sz w:val="22"/>
        </w:rPr>
      </w:pPr>
      <w:r>
        <w:rPr>
          <w:sz w:val="22"/>
        </w:rPr>
        <w:t>Participar en la Asamblea General con voz, pero sin voto (Valorar mediante los indicadores de </w:t>
      </w:r>
      <w:r>
        <w:rPr>
          <w:i/>
          <w:sz w:val="22"/>
        </w:rPr>
        <w:t>autogestión, democracia y</w:t>
      </w:r>
      <w:r>
        <w:rPr>
          <w:i/>
          <w:spacing w:val="-14"/>
          <w:sz w:val="22"/>
        </w:rPr>
        <w:t> </w:t>
      </w:r>
      <w:r>
        <w:rPr>
          <w:i/>
          <w:sz w:val="22"/>
        </w:rPr>
        <w:t>voluntariedad</w:t>
      </w:r>
      <w:r>
        <w:rPr>
          <w:sz w:val="22"/>
        </w:rPr>
        <w:t>).</w:t>
      </w:r>
    </w:p>
    <w:p>
      <w:pPr>
        <w:pStyle w:val="BodyText"/>
        <w:spacing w:before="7"/>
        <w:rPr>
          <w:sz w:val="17"/>
        </w:rPr>
      </w:pPr>
    </w:p>
    <w:p>
      <w:pPr>
        <w:spacing w:line="362" w:lineRule="auto" w:before="0"/>
        <w:ind w:left="102" w:right="117" w:firstLine="0"/>
        <w:jc w:val="both"/>
        <w:rPr>
          <w:sz w:val="22"/>
        </w:rPr>
      </w:pPr>
      <w:r>
        <w:rPr>
          <w:b/>
          <w:i/>
          <w:sz w:val="22"/>
        </w:rPr>
        <w:t>Artículo 19.- </w:t>
      </w:r>
      <w:r>
        <w:rPr>
          <w:sz w:val="22"/>
        </w:rPr>
        <w:t>Son derechos y obligaciones </w:t>
      </w:r>
      <w:r>
        <w:rPr>
          <w:i/>
          <w:sz w:val="22"/>
        </w:rPr>
        <w:t>económicas </w:t>
      </w:r>
      <w:r>
        <w:rPr>
          <w:sz w:val="22"/>
        </w:rPr>
        <w:t>de los actores históricos de la Cuenca Hidrosocial Presa Huapango:</w:t>
      </w:r>
    </w:p>
    <w:p>
      <w:pPr>
        <w:pStyle w:val="BodyText"/>
        <w:spacing w:before="5"/>
        <w:rPr>
          <w:sz w:val="17"/>
        </w:rPr>
      </w:pPr>
    </w:p>
    <w:p>
      <w:pPr>
        <w:pStyle w:val="Heading7"/>
        <w:numPr>
          <w:ilvl w:val="0"/>
          <w:numId w:val="407"/>
        </w:numPr>
        <w:tabs>
          <w:tab w:pos="400" w:val="left" w:leader="none"/>
        </w:tabs>
        <w:spacing w:line="360" w:lineRule="auto" w:before="0" w:after="0"/>
        <w:ind w:left="102" w:right="118" w:firstLine="0"/>
        <w:jc w:val="both"/>
      </w:pPr>
      <w:r>
        <w:rPr>
          <w:i/>
        </w:rPr>
        <w:t>Son derechos económicos de los actores históricos de la Cuenca Hidrosocial </w:t>
      </w:r>
      <w:r>
        <w:rPr/>
        <w:t>Presa</w:t>
      </w:r>
      <w:r>
        <w:rPr>
          <w:spacing w:val="-1"/>
        </w:rPr>
        <w:t> </w:t>
      </w:r>
      <w:r>
        <w:rPr/>
        <w:t>Huapango:</w:t>
      </w:r>
    </w:p>
    <w:p>
      <w:pPr>
        <w:pStyle w:val="BodyText"/>
        <w:spacing w:before="9"/>
        <w:rPr>
          <w:b/>
          <w:i/>
          <w:sz w:val="17"/>
        </w:rPr>
      </w:pPr>
    </w:p>
    <w:p>
      <w:pPr>
        <w:pStyle w:val="ListParagraph"/>
        <w:numPr>
          <w:ilvl w:val="0"/>
          <w:numId w:val="408"/>
        </w:numPr>
        <w:tabs>
          <w:tab w:pos="301" w:val="left" w:leader="none"/>
        </w:tabs>
        <w:spacing w:line="360" w:lineRule="auto" w:before="0" w:after="0"/>
        <w:ind w:left="102" w:right="112" w:firstLine="0"/>
        <w:jc w:val="both"/>
        <w:rPr>
          <w:sz w:val="22"/>
        </w:rPr>
      </w:pPr>
      <w:r>
        <w:rPr>
          <w:sz w:val="22"/>
        </w:rPr>
        <w:t>Derecho a pertenecer a las principales estructuras económicas internas y externas que han involucrado históricamente a los actores de la Cuenca Hidrosocial Presa Huapango  en las relaciones de mercado (Valorar mediante el indicador de </w:t>
      </w:r>
      <w:r>
        <w:rPr>
          <w:i/>
          <w:sz w:val="22"/>
        </w:rPr>
        <w:t>historia</w:t>
      </w:r>
      <w:r>
        <w:rPr>
          <w:i/>
          <w:spacing w:val="-19"/>
          <w:sz w:val="22"/>
        </w:rPr>
        <w:t> </w:t>
      </w:r>
      <w:r>
        <w:rPr>
          <w:i/>
          <w:sz w:val="22"/>
        </w:rPr>
        <w:t>económica</w:t>
      </w:r>
      <w:r>
        <w:rPr>
          <w:sz w:val="22"/>
        </w:rPr>
        <w:t>).</w:t>
      </w:r>
    </w:p>
    <w:p>
      <w:pPr>
        <w:spacing w:after="0" w:line="360" w:lineRule="auto"/>
        <w:jc w:val="both"/>
        <w:rPr>
          <w:sz w:val="22"/>
        </w:rPr>
        <w:sectPr>
          <w:pgSz w:w="12240" w:h="15840"/>
          <w:pgMar w:header="0" w:footer="1003" w:top="1360" w:bottom="1200" w:left="1600" w:right="1580"/>
        </w:sectPr>
      </w:pPr>
    </w:p>
    <w:p>
      <w:pPr>
        <w:pStyle w:val="ListParagraph"/>
        <w:numPr>
          <w:ilvl w:val="0"/>
          <w:numId w:val="408"/>
        </w:numPr>
        <w:tabs>
          <w:tab w:pos="373" w:val="left" w:leader="none"/>
        </w:tabs>
        <w:spacing w:line="360" w:lineRule="auto" w:before="53" w:after="0"/>
        <w:ind w:left="102" w:right="117" w:firstLine="0"/>
        <w:jc w:val="both"/>
        <w:rPr>
          <w:sz w:val="22"/>
        </w:rPr>
      </w:pPr>
      <w:r>
        <w:rPr>
          <w:sz w:val="22"/>
        </w:rPr>
        <w:t>Derecho a los recursos naturales de la Cuenca Hidrosocial Presa Huapango a través del tiempo para su subsistencia, cuidando la no sobreexplotación de éstos para lograr la sostenibilidad de la Cuenca y garantizar el acceso y disponibilidad para las generaciones futuras (Valorar mediante el indicador de </w:t>
      </w:r>
      <w:r>
        <w:rPr>
          <w:i/>
          <w:sz w:val="22"/>
        </w:rPr>
        <w:t>cultura</w:t>
      </w:r>
      <w:r>
        <w:rPr>
          <w:i/>
          <w:spacing w:val="-20"/>
          <w:sz w:val="22"/>
        </w:rPr>
        <w:t> </w:t>
      </w:r>
      <w:r>
        <w:rPr>
          <w:i/>
          <w:sz w:val="22"/>
        </w:rPr>
        <w:t>económica</w:t>
      </w:r>
      <w:r>
        <w:rPr>
          <w:sz w:val="22"/>
        </w:rPr>
        <w:t>).</w:t>
      </w:r>
    </w:p>
    <w:p>
      <w:pPr>
        <w:pStyle w:val="BodyText"/>
        <w:spacing w:before="7"/>
        <w:rPr>
          <w:sz w:val="17"/>
        </w:rPr>
      </w:pPr>
    </w:p>
    <w:p>
      <w:pPr>
        <w:pStyle w:val="ListParagraph"/>
        <w:numPr>
          <w:ilvl w:val="0"/>
          <w:numId w:val="408"/>
        </w:numPr>
        <w:tabs>
          <w:tab w:pos="431" w:val="left" w:leader="none"/>
        </w:tabs>
        <w:spacing w:line="360" w:lineRule="auto" w:before="0" w:after="0"/>
        <w:ind w:left="102" w:right="115" w:firstLine="0"/>
        <w:jc w:val="both"/>
        <w:rPr>
          <w:sz w:val="22"/>
        </w:rPr>
      </w:pPr>
      <w:r>
        <w:rPr>
          <w:sz w:val="22"/>
        </w:rPr>
        <w:t>Derecho a un acceso equitativo en el disfrute de los recursos socioeconómicos de la Cuenca Hidrosocial Presa Huapango (Valorar mediante el indicador de </w:t>
      </w:r>
      <w:r>
        <w:rPr>
          <w:i/>
          <w:sz w:val="22"/>
        </w:rPr>
        <w:t>democracia y </w:t>
      </w:r>
      <w:r>
        <w:rPr>
          <w:i/>
          <w:sz w:val="22"/>
        </w:rPr>
        <w:t>voluntariedad</w:t>
      </w:r>
      <w:r>
        <w:rPr>
          <w:sz w:val="22"/>
        </w:rPr>
        <w:t>).</w:t>
      </w:r>
    </w:p>
    <w:p>
      <w:pPr>
        <w:pStyle w:val="BodyText"/>
        <w:spacing w:before="9"/>
        <w:rPr>
          <w:sz w:val="17"/>
        </w:rPr>
      </w:pPr>
    </w:p>
    <w:p>
      <w:pPr>
        <w:pStyle w:val="ListParagraph"/>
        <w:numPr>
          <w:ilvl w:val="0"/>
          <w:numId w:val="408"/>
        </w:numPr>
        <w:tabs>
          <w:tab w:pos="563" w:val="left" w:leader="none"/>
        </w:tabs>
        <w:spacing w:line="360" w:lineRule="auto" w:before="0" w:after="0"/>
        <w:ind w:left="102" w:right="115" w:firstLine="0"/>
        <w:jc w:val="both"/>
        <w:rPr>
          <w:sz w:val="22"/>
        </w:rPr>
      </w:pPr>
      <w:r>
        <w:rPr>
          <w:sz w:val="22"/>
        </w:rPr>
        <w:t>Derecho a participar en una distribución justa y racional de los recursos socioeconómicos de la Cuenca Hidrosocial Presa Huapango para que no exista una concentración de los recursos en pocas manos (Valorar mediante el indicador de </w:t>
      </w:r>
      <w:r>
        <w:rPr>
          <w:i/>
          <w:sz w:val="22"/>
        </w:rPr>
        <w:t>participación</w:t>
      </w:r>
      <w:r>
        <w:rPr>
          <w:i/>
          <w:spacing w:val="-7"/>
          <w:sz w:val="22"/>
        </w:rPr>
        <w:t> </w:t>
      </w:r>
      <w:r>
        <w:rPr>
          <w:i/>
          <w:sz w:val="22"/>
        </w:rPr>
        <w:t>socioeconómica</w:t>
      </w:r>
      <w:r>
        <w:rPr>
          <w:sz w:val="22"/>
        </w:rPr>
        <w:t>).</w:t>
      </w:r>
    </w:p>
    <w:p>
      <w:pPr>
        <w:pStyle w:val="BodyText"/>
        <w:spacing w:before="9"/>
        <w:rPr>
          <w:sz w:val="17"/>
        </w:rPr>
      </w:pPr>
    </w:p>
    <w:p>
      <w:pPr>
        <w:pStyle w:val="ListParagraph"/>
        <w:numPr>
          <w:ilvl w:val="0"/>
          <w:numId w:val="408"/>
        </w:numPr>
        <w:tabs>
          <w:tab w:pos="400" w:val="left" w:leader="none"/>
        </w:tabs>
        <w:spacing w:line="360" w:lineRule="auto" w:before="0" w:after="0"/>
        <w:ind w:left="102" w:right="112" w:firstLine="0"/>
        <w:jc w:val="both"/>
        <w:rPr>
          <w:sz w:val="22"/>
        </w:rPr>
      </w:pPr>
      <w:r>
        <w:rPr>
          <w:sz w:val="22"/>
        </w:rPr>
        <w:t>Derecho a fortalecer formalmente los mecanismos de interrelación municipal informal en términos socioeconómicos que se dan a través de la compra-venta de mercancías en los mercados y tianguis regionales (Valorar mediante el indicador de </w:t>
      </w:r>
      <w:r>
        <w:rPr>
          <w:i/>
          <w:sz w:val="22"/>
        </w:rPr>
        <w:t>relaciones </w:t>
      </w:r>
      <w:r>
        <w:rPr>
          <w:i/>
          <w:sz w:val="22"/>
        </w:rPr>
        <w:t>intermunicipales</w:t>
      </w:r>
      <w:r>
        <w:rPr>
          <w:sz w:val="22"/>
        </w:rPr>
        <w:t>).</w:t>
      </w:r>
    </w:p>
    <w:p>
      <w:pPr>
        <w:pStyle w:val="BodyText"/>
        <w:spacing w:before="7"/>
        <w:rPr>
          <w:sz w:val="17"/>
        </w:rPr>
      </w:pPr>
    </w:p>
    <w:p>
      <w:pPr>
        <w:pStyle w:val="ListParagraph"/>
        <w:numPr>
          <w:ilvl w:val="0"/>
          <w:numId w:val="408"/>
        </w:numPr>
        <w:tabs>
          <w:tab w:pos="494" w:val="left" w:leader="none"/>
        </w:tabs>
        <w:spacing w:line="360" w:lineRule="auto" w:before="0" w:after="0"/>
        <w:ind w:left="102" w:right="115" w:firstLine="0"/>
        <w:jc w:val="both"/>
        <w:rPr>
          <w:sz w:val="22"/>
        </w:rPr>
      </w:pPr>
      <w:r>
        <w:rPr>
          <w:sz w:val="22"/>
        </w:rPr>
        <w:t>Derecho a explotar racionalmente los recursos socioeconómicos renovables y no renovables de la Cuenca Hidrosocial Presa Huapango para garantizar la sostenibilidad de ésta (Valorar mediante el indicador de </w:t>
      </w:r>
      <w:r>
        <w:rPr>
          <w:i/>
          <w:sz w:val="22"/>
        </w:rPr>
        <w:t>uso</w:t>
      </w:r>
      <w:r>
        <w:rPr>
          <w:i/>
          <w:spacing w:val="-12"/>
          <w:sz w:val="22"/>
        </w:rPr>
        <w:t> </w:t>
      </w:r>
      <w:r>
        <w:rPr>
          <w:i/>
          <w:sz w:val="22"/>
        </w:rPr>
        <w:t>irracional</w:t>
      </w:r>
      <w:r>
        <w:rPr>
          <w:sz w:val="22"/>
        </w:rPr>
        <w:t>).</w:t>
      </w:r>
    </w:p>
    <w:p>
      <w:pPr>
        <w:pStyle w:val="BodyText"/>
        <w:spacing w:before="7"/>
        <w:rPr>
          <w:sz w:val="17"/>
        </w:rPr>
      </w:pPr>
    </w:p>
    <w:p>
      <w:pPr>
        <w:pStyle w:val="Heading7"/>
        <w:numPr>
          <w:ilvl w:val="0"/>
          <w:numId w:val="407"/>
        </w:numPr>
        <w:tabs>
          <w:tab w:pos="378" w:val="left" w:leader="none"/>
        </w:tabs>
        <w:spacing w:line="360" w:lineRule="auto" w:before="0" w:after="0"/>
        <w:ind w:left="102" w:right="113" w:firstLine="0"/>
        <w:jc w:val="both"/>
      </w:pPr>
      <w:r>
        <w:rPr>
          <w:i/>
        </w:rPr>
        <w:t>Son obligaciones económicas de los actores históricos en la Cuenca Hidrosocial </w:t>
      </w:r>
      <w:r>
        <w:rPr/>
        <w:t>Presa</w:t>
      </w:r>
      <w:r>
        <w:rPr>
          <w:spacing w:val="-1"/>
        </w:rPr>
        <w:t> </w:t>
      </w:r>
      <w:r>
        <w:rPr/>
        <w:t>Huapango:</w:t>
      </w:r>
    </w:p>
    <w:p>
      <w:pPr>
        <w:pStyle w:val="BodyText"/>
        <w:spacing w:before="9"/>
        <w:rPr>
          <w:b/>
          <w:i/>
          <w:sz w:val="17"/>
        </w:rPr>
      </w:pPr>
    </w:p>
    <w:p>
      <w:pPr>
        <w:pStyle w:val="ListParagraph"/>
        <w:numPr>
          <w:ilvl w:val="0"/>
          <w:numId w:val="409"/>
        </w:numPr>
        <w:tabs>
          <w:tab w:pos="359" w:val="left" w:leader="none"/>
        </w:tabs>
        <w:spacing w:line="360" w:lineRule="auto" w:before="0" w:after="0"/>
        <w:ind w:left="102" w:right="117" w:firstLine="0"/>
        <w:jc w:val="both"/>
        <w:rPr>
          <w:sz w:val="22"/>
        </w:rPr>
      </w:pPr>
      <w:r>
        <w:rPr>
          <w:sz w:val="22"/>
        </w:rPr>
        <w:t>Pertenecer a las principales estructuras económicas internas y externas que han involucrado históricamente a los actores de la Cuenca Hidrosocial Presa Huapango en las relaciones de mercado (Valorar mediante el indicador de </w:t>
      </w:r>
      <w:r>
        <w:rPr>
          <w:i/>
          <w:sz w:val="22"/>
        </w:rPr>
        <w:t>historia</w:t>
      </w:r>
      <w:r>
        <w:rPr>
          <w:i/>
          <w:spacing w:val="-15"/>
          <w:sz w:val="22"/>
        </w:rPr>
        <w:t> </w:t>
      </w:r>
      <w:r>
        <w:rPr>
          <w:i/>
          <w:sz w:val="22"/>
        </w:rPr>
        <w:t>económica</w:t>
      </w:r>
      <w:r>
        <w:rPr>
          <w:sz w:val="22"/>
        </w:rPr>
        <w:t>).</w:t>
      </w:r>
    </w:p>
    <w:p>
      <w:pPr>
        <w:pStyle w:val="BodyText"/>
        <w:spacing w:before="7"/>
        <w:rPr>
          <w:sz w:val="17"/>
        </w:rPr>
      </w:pPr>
    </w:p>
    <w:p>
      <w:pPr>
        <w:pStyle w:val="ListParagraph"/>
        <w:numPr>
          <w:ilvl w:val="0"/>
          <w:numId w:val="409"/>
        </w:numPr>
        <w:tabs>
          <w:tab w:pos="443" w:val="left" w:leader="none"/>
        </w:tabs>
        <w:spacing w:line="360" w:lineRule="auto" w:before="0" w:after="0"/>
        <w:ind w:left="102" w:right="114" w:firstLine="0"/>
        <w:jc w:val="both"/>
        <w:rPr>
          <w:sz w:val="22"/>
        </w:rPr>
      </w:pPr>
      <w:r>
        <w:rPr>
          <w:sz w:val="22"/>
        </w:rPr>
        <w:t>Cuidar la no sobreexplotación de los recursos socioeconómicos de la Cuenca Hidrosocial Presa Huapango para garantizar la sostenibilidad de la Cuenca para el acceso y disponibilidad para generaciones futuras, ya que la subsistencia de la región depende  en gran parte de dichos recursos (Valorar mediante el indicador de </w:t>
      </w:r>
      <w:r>
        <w:rPr>
          <w:i/>
          <w:sz w:val="22"/>
        </w:rPr>
        <w:t>cultura</w:t>
      </w:r>
      <w:r>
        <w:rPr>
          <w:i/>
          <w:spacing w:val="-20"/>
          <w:sz w:val="22"/>
        </w:rPr>
        <w:t> </w:t>
      </w:r>
      <w:r>
        <w:rPr>
          <w:i/>
          <w:sz w:val="22"/>
        </w:rPr>
        <w:t>económica</w:t>
      </w:r>
      <w:r>
        <w:rPr>
          <w:sz w:val="22"/>
        </w:rPr>
        <w:t>).</w:t>
      </w:r>
    </w:p>
    <w:p>
      <w:pPr>
        <w:pStyle w:val="BodyText"/>
        <w:spacing w:before="7"/>
        <w:rPr>
          <w:sz w:val="17"/>
        </w:rPr>
      </w:pPr>
    </w:p>
    <w:p>
      <w:pPr>
        <w:pStyle w:val="ListParagraph"/>
        <w:numPr>
          <w:ilvl w:val="0"/>
          <w:numId w:val="409"/>
        </w:numPr>
        <w:tabs>
          <w:tab w:pos="462" w:val="left" w:leader="none"/>
        </w:tabs>
        <w:spacing w:line="360" w:lineRule="auto" w:before="0" w:after="0"/>
        <w:ind w:left="102" w:right="115" w:firstLine="0"/>
        <w:jc w:val="both"/>
        <w:rPr>
          <w:sz w:val="22"/>
        </w:rPr>
      </w:pPr>
      <w:r>
        <w:rPr>
          <w:sz w:val="22"/>
        </w:rPr>
        <w:t>Lograr un acceso equitativo en el disfrute de los recursos socioeconómicos de la Cuenca  Hidrosocial  Presa  Huapango  mediante  acuerdos  democráticos  y  mediante</w:t>
      </w:r>
      <w:r>
        <w:rPr>
          <w:spacing w:val="39"/>
          <w:sz w:val="22"/>
        </w:rPr>
        <w:t> </w:t>
      </w:r>
      <w:r>
        <w:rPr>
          <w:sz w:val="22"/>
        </w:rPr>
        <w:t>la</w:t>
      </w:r>
    </w:p>
    <w:p>
      <w:pPr>
        <w:spacing w:after="0" w:line="360" w:lineRule="auto"/>
        <w:jc w:val="both"/>
        <w:rPr>
          <w:sz w:val="22"/>
        </w:rPr>
        <w:sectPr>
          <w:pgSz w:w="12240" w:h="15840"/>
          <w:pgMar w:header="0" w:footer="1003" w:top="1360" w:bottom="1200" w:left="1600" w:right="1580"/>
        </w:sectPr>
      </w:pPr>
    </w:p>
    <w:p>
      <w:pPr>
        <w:spacing w:line="362" w:lineRule="auto" w:before="53"/>
        <w:ind w:left="102" w:right="113" w:firstLine="0"/>
        <w:jc w:val="both"/>
        <w:rPr>
          <w:sz w:val="22"/>
        </w:rPr>
      </w:pPr>
      <w:r>
        <w:rPr>
          <w:sz w:val="22"/>
        </w:rPr>
        <w:t>voluntariedad de los actores históricos (Valorar mediante el indicador de </w:t>
      </w:r>
      <w:r>
        <w:rPr>
          <w:i/>
          <w:sz w:val="22"/>
        </w:rPr>
        <w:t>democracia y </w:t>
      </w:r>
      <w:r>
        <w:rPr>
          <w:i/>
          <w:sz w:val="22"/>
        </w:rPr>
        <w:t>voluntariedad</w:t>
      </w:r>
      <w:r>
        <w:rPr>
          <w:sz w:val="22"/>
        </w:rPr>
        <w:t>).</w:t>
      </w:r>
    </w:p>
    <w:p>
      <w:pPr>
        <w:pStyle w:val="BodyText"/>
        <w:spacing w:before="4"/>
        <w:rPr>
          <w:sz w:val="17"/>
        </w:rPr>
      </w:pPr>
    </w:p>
    <w:p>
      <w:pPr>
        <w:pStyle w:val="ListParagraph"/>
        <w:numPr>
          <w:ilvl w:val="0"/>
          <w:numId w:val="409"/>
        </w:numPr>
        <w:tabs>
          <w:tab w:pos="457" w:val="left" w:leader="none"/>
        </w:tabs>
        <w:spacing w:line="360" w:lineRule="auto" w:before="0" w:after="0"/>
        <w:ind w:left="102" w:right="113" w:firstLine="0"/>
        <w:jc w:val="both"/>
        <w:rPr>
          <w:sz w:val="22"/>
        </w:rPr>
      </w:pPr>
      <w:r>
        <w:rPr>
          <w:sz w:val="22"/>
        </w:rPr>
        <w:t>Participar en una distribución justa y racional de los recursos socioeconómicos de la Cuenca Hidrosocial Presa Huapango para que no exista una concentración de los recursos en pocas manos (Valorar mediante el indicador de </w:t>
      </w:r>
      <w:r>
        <w:rPr>
          <w:i/>
          <w:sz w:val="22"/>
        </w:rPr>
        <w:t>participación </w:t>
      </w:r>
      <w:r>
        <w:rPr>
          <w:i/>
          <w:sz w:val="22"/>
        </w:rPr>
        <w:t>socioeconómica</w:t>
      </w:r>
      <w:r>
        <w:rPr>
          <w:sz w:val="22"/>
        </w:rPr>
        <w:t>).</w:t>
      </w:r>
    </w:p>
    <w:p>
      <w:pPr>
        <w:pStyle w:val="BodyText"/>
        <w:spacing w:before="9"/>
        <w:rPr>
          <w:sz w:val="17"/>
        </w:rPr>
      </w:pPr>
    </w:p>
    <w:p>
      <w:pPr>
        <w:pStyle w:val="ListParagraph"/>
        <w:numPr>
          <w:ilvl w:val="0"/>
          <w:numId w:val="409"/>
        </w:numPr>
        <w:tabs>
          <w:tab w:pos="378" w:val="left" w:leader="none"/>
        </w:tabs>
        <w:spacing w:line="360" w:lineRule="auto" w:before="0" w:after="0"/>
        <w:ind w:left="102" w:right="114" w:firstLine="0"/>
        <w:jc w:val="both"/>
        <w:rPr>
          <w:sz w:val="22"/>
        </w:rPr>
      </w:pPr>
      <w:r>
        <w:rPr>
          <w:sz w:val="22"/>
        </w:rPr>
        <w:t>Fortalecer formalmente los mecanismos de interrelación municipal informal en términos socioeconómicos que se dan a través de la compra-venta de mercancías en los mercados y tianguis regionales (Valorar mediante el indicador de </w:t>
      </w:r>
      <w:r>
        <w:rPr>
          <w:i/>
          <w:sz w:val="22"/>
        </w:rPr>
        <w:t>relaciones</w:t>
      </w:r>
      <w:r>
        <w:rPr>
          <w:i/>
          <w:spacing w:val="-28"/>
          <w:sz w:val="22"/>
        </w:rPr>
        <w:t> </w:t>
      </w:r>
      <w:r>
        <w:rPr>
          <w:i/>
          <w:sz w:val="22"/>
        </w:rPr>
        <w:t>intermunicipales</w:t>
      </w:r>
      <w:r>
        <w:rPr>
          <w:sz w:val="22"/>
        </w:rPr>
        <w:t>).</w:t>
      </w:r>
    </w:p>
    <w:p>
      <w:pPr>
        <w:pStyle w:val="BodyText"/>
        <w:spacing w:before="7"/>
        <w:rPr>
          <w:sz w:val="17"/>
        </w:rPr>
      </w:pPr>
    </w:p>
    <w:p>
      <w:pPr>
        <w:pStyle w:val="ListParagraph"/>
        <w:numPr>
          <w:ilvl w:val="0"/>
          <w:numId w:val="409"/>
        </w:numPr>
        <w:tabs>
          <w:tab w:pos="455" w:val="left" w:leader="none"/>
        </w:tabs>
        <w:spacing w:line="360" w:lineRule="auto" w:before="0" w:after="0"/>
        <w:ind w:left="102" w:right="115" w:firstLine="0"/>
        <w:jc w:val="both"/>
        <w:rPr>
          <w:sz w:val="22"/>
        </w:rPr>
      </w:pPr>
      <w:r>
        <w:rPr>
          <w:sz w:val="22"/>
        </w:rPr>
        <w:t>Explotar racionalmente los recursos socioeconómicos renovables y no renovables de la Cuenca Hidrosocial Presa Huapango para garantizar la sostenibilidad de ésta (Valorar mediante el indicador de </w:t>
      </w:r>
      <w:r>
        <w:rPr>
          <w:i/>
          <w:sz w:val="22"/>
        </w:rPr>
        <w:t>uso</w:t>
      </w:r>
      <w:r>
        <w:rPr>
          <w:i/>
          <w:spacing w:val="-9"/>
          <w:sz w:val="22"/>
        </w:rPr>
        <w:t> </w:t>
      </w:r>
      <w:r>
        <w:rPr>
          <w:i/>
          <w:sz w:val="22"/>
        </w:rPr>
        <w:t>irracional</w:t>
      </w:r>
      <w:r>
        <w:rPr>
          <w:sz w:val="22"/>
        </w:rPr>
        <w:t>).</w:t>
      </w:r>
    </w:p>
    <w:p>
      <w:pPr>
        <w:pStyle w:val="BodyText"/>
        <w:spacing w:before="4"/>
        <w:rPr>
          <w:sz w:val="17"/>
        </w:rPr>
      </w:pPr>
    </w:p>
    <w:p>
      <w:pPr>
        <w:spacing w:before="0"/>
        <w:ind w:left="102" w:right="0" w:firstLine="0"/>
        <w:jc w:val="both"/>
        <w:rPr>
          <w:sz w:val="22"/>
        </w:rPr>
      </w:pPr>
      <w:r>
        <w:rPr>
          <w:b/>
          <w:sz w:val="22"/>
        </w:rPr>
        <w:t>Artículo 20.- </w:t>
      </w:r>
      <w:r>
        <w:rPr>
          <w:sz w:val="22"/>
        </w:rPr>
        <w:t>Son derechos y obligaciones </w:t>
      </w:r>
      <w:r>
        <w:rPr>
          <w:i/>
          <w:sz w:val="22"/>
        </w:rPr>
        <w:t>económicas </w:t>
      </w:r>
      <w:r>
        <w:rPr>
          <w:sz w:val="22"/>
        </w:rPr>
        <w:t>de los actores gubernamentales:</w:t>
      </w:r>
    </w:p>
    <w:p>
      <w:pPr>
        <w:pStyle w:val="BodyText"/>
        <w:spacing w:before="8"/>
        <w:rPr>
          <w:sz w:val="28"/>
        </w:rPr>
      </w:pPr>
    </w:p>
    <w:p>
      <w:pPr>
        <w:pStyle w:val="Heading7"/>
        <w:numPr>
          <w:ilvl w:val="0"/>
          <w:numId w:val="410"/>
        </w:numPr>
        <w:tabs>
          <w:tab w:pos="453" w:val="left" w:leader="none"/>
        </w:tabs>
        <w:spacing w:line="360" w:lineRule="auto" w:before="0" w:after="0"/>
        <w:ind w:left="102" w:right="118" w:firstLine="0"/>
        <w:jc w:val="both"/>
      </w:pPr>
      <w:r>
        <w:rPr>
          <w:i/>
        </w:rPr>
        <w:t>Son derechos económicos de los actores gubernamentales en la Cuenca </w:t>
      </w:r>
      <w:r>
        <w:rPr/>
        <w:t>Hidrosocial Presa</w:t>
      </w:r>
      <w:r>
        <w:rPr>
          <w:spacing w:val="-8"/>
        </w:rPr>
        <w:t> </w:t>
      </w:r>
      <w:r>
        <w:rPr/>
        <w:t>Huapango:</w:t>
      </w:r>
    </w:p>
    <w:p>
      <w:pPr>
        <w:pStyle w:val="BodyText"/>
        <w:spacing w:before="7"/>
        <w:rPr>
          <w:b/>
          <w:i/>
          <w:sz w:val="17"/>
        </w:rPr>
      </w:pPr>
    </w:p>
    <w:p>
      <w:pPr>
        <w:pStyle w:val="ListParagraph"/>
        <w:numPr>
          <w:ilvl w:val="0"/>
          <w:numId w:val="411"/>
        </w:numPr>
        <w:tabs>
          <w:tab w:pos="321" w:val="left" w:leader="none"/>
        </w:tabs>
        <w:spacing w:line="360" w:lineRule="auto" w:before="0" w:after="0"/>
        <w:ind w:left="102" w:right="116" w:firstLine="0"/>
        <w:jc w:val="both"/>
        <w:rPr>
          <w:sz w:val="22"/>
        </w:rPr>
      </w:pPr>
      <w:r>
        <w:rPr>
          <w:sz w:val="22"/>
        </w:rPr>
        <w:t>Hacer valer sus funciones y responsabilidades que la ley les confiere para apoyar el desarrollo socioeconómico de la Cuenca Hidrosocial Presa Huapango reconociendo los usos y costumbres de la comunidad para una distribución equitativa de los recursos naturales (Valorar mediante los indicadores de </w:t>
      </w:r>
      <w:r>
        <w:rPr>
          <w:i/>
          <w:sz w:val="22"/>
        </w:rPr>
        <w:t>identidad, cultura y autogestión </w:t>
      </w:r>
      <w:r>
        <w:rPr>
          <w:i/>
          <w:sz w:val="22"/>
        </w:rPr>
        <w:t>económica</w:t>
      </w:r>
      <w:r>
        <w:rPr>
          <w:sz w:val="22"/>
        </w:rPr>
        <w:t>).</w:t>
      </w:r>
    </w:p>
    <w:p>
      <w:pPr>
        <w:pStyle w:val="BodyText"/>
        <w:spacing w:before="7"/>
        <w:rPr>
          <w:sz w:val="17"/>
        </w:rPr>
      </w:pPr>
    </w:p>
    <w:p>
      <w:pPr>
        <w:pStyle w:val="ListParagraph"/>
        <w:numPr>
          <w:ilvl w:val="0"/>
          <w:numId w:val="411"/>
        </w:numPr>
        <w:tabs>
          <w:tab w:pos="356" w:val="left" w:leader="none"/>
        </w:tabs>
        <w:spacing w:line="360" w:lineRule="auto" w:before="0" w:after="0"/>
        <w:ind w:left="102" w:right="114" w:firstLine="0"/>
        <w:jc w:val="both"/>
        <w:rPr>
          <w:sz w:val="22"/>
        </w:rPr>
      </w:pPr>
      <w:r>
        <w:rPr>
          <w:sz w:val="22"/>
        </w:rPr>
        <w:t>Apoyar a los actores históricos en la realización de los proyectos socioeconómicos que realicen en beneficio de la Cuenca Hidrosocial Presa Huapango para que no se ponga en riesgo la sostenibilidad de la Cuenca (Valorar mediante el indicador de </w:t>
      </w:r>
      <w:r>
        <w:rPr>
          <w:i/>
          <w:sz w:val="22"/>
        </w:rPr>
        <w:t>participación </w:t>
      </w:r>
      <w:r>
        <w:rPr>
          <w:i/>
          <w:sz w:val="22"/>
        </w:rPr>
        <w:t>socioeconómica y uso</w:t>
      </w:r>
      <w:r>
        <w:rPr>
          <w:i/>
          <w:spacing w:val="-6"/>
          <w:sz w:val="22"/>
        </w:rPr>
        <w:t> </w:t>
      </w:r>
      <w:r>
        <w:rPr>
          <w:i/>
          <w:sz w:val="22"/>
        </w:rPr>
        <w:t>irracional</w:t>
      </w:r>
      <w:r>
        <w:rPr>
          <w:sz w:val="22"/>
        </w:rPr>
        <w:t>).</w:t>
      </w:r>
    </w:p>
    <w:p>
      <w:pPr>
        <w:pStyle w:val="BodyText"/>
        <w:spacing w:before="10"/>
        <w:rPr>
          <w:sz w:val="17"/>
        </w:rPr>
      </w:pPr>
    </w:p>
    <w:p>
      <w:pPr>
        <w:pStyle w:val="ListParagraph"/>
        <w:numPr>
          <w:ilvl w:val="0"/>
          <w:numId w:val="411"/>
        </w:numPr>
        <w:tabs>
          <w:tab w:pos="424" w:val="left" w:leader="none"/>
        </w:tabs>
        <w:spacing w:line="360" w:lineRule="auto" w:before="0" w:after="0"/>
        <w:ind w:left="102" w:right="120" w:firstLine="0"/>
        <w:jc w:val="both"/>
        <w:rPr>
          <w:sz w:val="22"/>
        </w:rPr>
      </w:pPr>
      <w:r>
        <w:rPr>
          <w:sz w:val="22"/>
        </w:rPr>
        <w:t>Coordinarse con los actores históricos, las Organizaciones No Gubernamentales y los académicos para la realización de proyectos socioeconómicos de la Cuenca Hidrosocial Presa Huapango (Valorar mediante el indicador de </w:t>
      </w:r>
      <w:r>
        <w:rPr>
          <w:i/>
          <w:sz w:val="22"/>
        </w:rPr>
        <w:t>cooperación</w:t>
      </w:r>
      <w:r>
        <w:rPr>
          <w:i/>
          <w:spacing w:val="-16"/>
          <w:sz w:val="22"/>
        </w:rPr>
        <w:t> </w:t>
      </w:r>
      <w:r>
        <w:rPr>
          <w:i/>
          <w:sz w:val="22"/>
        </w:rPr>
        <w:t>económica</w:t>
      </w:r>
      <w:r>
        <w:rPr>
          <w:sz w:val="22"/>
        </w:rPr>
        <w:t>).</w:t>
      </w:r>
    </w:p>
    <w:p>
      <w:pPr>
        <w:pStyle w:val="BodyText"/>
        <w:spacing w:before="7"/>
        <w:rPr>
          <w:sz w:val="17"/>
        </w:rPr>
      </w:pPr>
    </w:p>
    <w:p>
      <w:pPr>
        <w:pStyle w:val="ListParagraph"/>
        <w:numPr>
          <w:ilvl w:val="0"/>
          <w:numId w:val="411"/>
        </w:numPr>
        <w:tabs>
          <w:tab w:pos="479" w:val="left" w:leader="none"/>
        </w:tabs>
        <w:spacing w:line="362" w:lineRule="auto" w:before="0" w:after="0"/>
        <w:ind w:left="102" w:right="117" w:firstLine="0"/>
        <w:jc w:val="both"/>
        <w:rPr>
          <w:sz w:val="22"/>
        </w:rPr>
      </w:pPr>
      <w:r>
        <w:rPr>
          <w:sz w:val="22"/>
        </w:rPr>
        <w:t>Apoyar a los actores históricos de los municipios que integran la CHPH para que logren</w:t>
      </w:r>
      <w:r>
        <w:rPr>
          <w:spacing w:val="27"/>
          <w:sz w:val="22"/>
        </w:rPr>
        <w:t> </w:t>
      </w:r>
      <w:r>
        <w:rPr>
          <w:sz w:val="22"/>
        </w:rPr>
        <w:t>la</w:t>
      </w:r>
      <w:r>
        <w:rPr>
          <w:spacing w:val="27"/>
          <w:sz w:val="22"/>
        </w:rPr>
        <w:t> </w:t>
      </w:r>
      <w:r>
        <w:rPr>
          <w:sz w:val="22"/>
        </w:rPr>
        <w:t>optimización</w:t>
      </w:r>
      <w:r>
        <w:rPr>
          <w:spacing w:val="27"/>
          <w:sz w:val="22"/>
        </w:rPr>
        <w:t> </w:t>
      </w:r>
      <w:r>
        <w:rPr>
          <w:sz w:val="22"/>
        </w:rPr>
        <w:t>de</w:t>
      </w:r>
      <w:r>
        <w:rPr>
          <w:spacing w:val="27"/>
          <w:sz w:val="22"/>
        </w:rPr>
        <w:t> </w:t>
      </w:r>
      <w:r>
        <w:rPr>
          <w:sz w:val="22"/>
        </w:rPr>
        <w:t>sus</w:t>
      </w:r>
      <w:r>
        <w:rPr>
          <w:spacing w:val="27"/>
          <w:sz w:val="22"/>
        </w:rPr>
        <w:t> </w:t>
      </w:r>
      <w:r>
        <w:rPr>
          <w:sz w:val="22"/>
        </w:rPr>
        <w:t>recursos</w:t>
      </w:r>
      <w:r>
        <w:rPr>
          <w:spacing w:val="25"/>
          <w:sz w:val="22"/>
        </w:rPr>
        <w:t> </w:t>
      </w:r>
      <w:r>
        <w:rPr>
          <w:sz w:val="22"/>
        </w:rPr>
        <w:t>naturales</w:t>
      </w:r>
      <w:r>
        <w:rPr>
          <w:spacing w:val="27"/>
          <w:sz w:val="22"/>
        </w:rPr>
        <w:t> </w:t>
      </w:r>
      <w:r>
        <w:rPr>
          <w:sz w:val="22"/>
        </w:rPr>
        <w:t>y</w:t>
      </w:r>
      <w:r>
        <w:rPr>
          <w:spacing w:val="25"/>
          <w:sz w:val="22"/>
        </w:rPr>
        <w:t> </w:t>
      </w:r>
      <w:r>
        <w:rPr>
          <w:sz w:val="22"/>
        </w:rPr>
        <w:t>logren</w:t>
      </w:r>
      <w:r>
        <w:rPr>
          <w:spacing w:val="27"/>
          <w:sz w:val="22"/>
        </w:rPr>
        <w:t> </w:t>
      </w:r>
      <w:r>
        <w:rPr>
          <w:sz w:val="22"/>
        </w:rPr>
        <w:t>un</w:t>
      </w:r>
      <w:r>
        <w:rPr>
          <w:spacing w:val="27"/>
          <w:sz w:val="22"/>
        </w:rPr>
        <w:t> </w:t>
      </w:r>
      <w:r>
        <w:rPr>
          <w:sz w:val="22"/>
        </w:rPr>
        <w:t>desarrollo</w:t>
      </w:r>
      <w:r>
        <w:rPr>
          <w:spacing w:val="27"/>
          <w:sz w:val="22"/>
        </w:rPr>
        <w:t> </w:t>
      </w:r>
      <w:r>
        <w:rPr>
          <w:sz w:val="22"/>
        </w:rPr>
        <w:t>económico</w:t>
      </w:r>
      <w:r>
        <w:rPr>
          <w:spacing w:val="25"/>
          <w:sz w:val="22"/>
        </w:rPr>
        <w:t> </w:t>
      </w:r>
      <w:r>
        <w:rPr>
          <w:sz w:val="22"/>
        </w:rPr>
        <w:t>más</w:t>
      </w:r>
    </w:p>
    <w:p>
      <w:pPr>
        <w:spacing w:after="0" w:line="362" w:lineRule="auto"/>
        <w:jc w:val="both"/>
        <w:rPr>
          <w:sz w:val="22"/>
        </w:rPr>
        <w:sectPr>
          <w:pgSz w:w="12240" w:h="15840"/>
          <w:pgMar w:header="0" w:footer="1003" w:top="1360" w:bottom="1200" w:left="1600" w:right="1580"/>
        </w:sectPr>
      </w:pPr>
    </w:p>
    <w:p>
      <w:pPr>
        <w:spacing w:line="362" w:lineRule="auto" w:before="53"/>
        <w:ind w:left="102" w:right="114" w:firstLine="0"/>
        <w:jc w:val="both"/>
        <w:rPr>
          <w:sz w:val="22"/>
        </w:rPr>
      </w:pPr>
      <w:r>
        <w:rPr>
          <w:sz w:val="22"/>
        </w:rPr>
        <w:t>homogéneo en la región (Valorar mediante los indicadores de </w:t>
      </w:r>
      <w:r>
        <w:rPr>
          <w:i/>
          <w:sz w:val="22"/>
        </w:rPr>
        <w:t>participación </w:t>
      </w:r>
      <w:r>
        <w:rPr>
          <w:i/>
          <w:sz w:val="22"/>
        </w:rPr>
        <w:t>socioeconómica, relaciones intermunicipales</w:t>
      </w:r>
      <w:r>
        <w:rPr>
          <w:sz w:val="22"/>
        </w:rPr>
        <w:t>).</w:t>
      </w:r>
    </w:p>
    <w:p>
      <w:pPr>
        <w:pStyle w:val="BodyText"/>
        <w:spacing w:before="4"/>
        <w:rPr>
          <w:sz w:val="17"/>
        </w:rPr>
      </w:pPr>
    </w:p>
    <w:p>
      <w:pPr>
        <w:pStyle w:val="ListParagraph"/>
        <w:numPr>
          <w:ilvl w:val="0"/>
          <w:numId w:val="411"/>
        </w:numPr>
        <w:tabs>
          <w:tab w:pos="381" w:val="left" w:leader="none"/>
        </w:tabs>
        <w:spacing w:line="360" w:lineRule="auto" w:before="0" w:after="0"/>
        <w:ind w:left="102" w:right="122" w:firstLine="0"/>
        <w:jc w:val="both"/>
        <w:rPr>
          <w:sz w:val="22"/>
        </w:rPr>
      </w:pPr>
      <w:r>
        <w:rPr>
          <w:sz w:val="22"/>
        </w:rPr>
        <w:t>Participar en la Asamblea General con voz, pero sin voto para lograr una redistribución equitativa de los recursos naturales de la Cuenca Hidrosocial Presa Huapango (Valorar mediante los indicadores de </w:t>
      </w:r>
      <w:r>
        <w:rPr>
          <w:i/>
          <w:sz w:val="22"/>
        </w:rPr>
        <w:t>autogestión económica, democracia y</w:t>
      </w:r>
      <w:r>
        <w:rPr>
          <w:i/>
          <w:spacing w:val="-19"/>
          <w:sz w:val="22"/>
        </w:rPr>
        <w:t> </w:t>
      </w:r>
      <w:r>
        <w:rPr>
          <w:i/>
          <w:sz w:val="22"/>
        </w:rPr>
        <w:t>voluntariedad</w:t>
      </w:r>
      <w:r>
        <w:rPr>
          <w:sz w:val="22"/>
        </w:rPr>
        <w:t>).</w:t>
      </w:r>
    </w:p>
    <w:p>
      <w:pPr>
        <w:pStyle w:val="BodyText"/>
        <w:spacing w:before="9"/>
        <w:rPr>
          <w:sz w:val="17"/>
        </w:rPr>
      </w:pPr>
    </w:p>
    <w:p>
      <w:pPr>
        <w:pStyle w:val="Heading7"/>
        <w:numPr>
          <w:ilvl w:val="0"/>
          <w:numId w:val="410"/>
        </w:numPr>
        <w:tabs>
          <w:tab w:pos="429" w:val="left" w:leader="none"/>
        </w:tabs>
        <w:spacing w:line="360" w:lineRule="auto" w:before="0" w:after="0"/>
        <w:ind w:left="102" w:right="117" w:firstLine="0"/>
        <w:jc w:val="both"/>
      </w:pPr>
      <w:r>
        <w:rPr>
          <w:i/>
        </w:rPr>
        <w:t>Son obligaciones económicas de los actores gubernamentales en la Cuenca </w:t>
      </w:r>
      <w:r>
        <w:rPr/>
        <w:t>Hidrosocial Presa</w:t>
      </w:r>
      <w:r>
        <w:rPr>
          <w:spacing w:val="-8"/>
        </w:rPr>
        <w:t> </w:t>
      </w:r>
      <w:r>
        <w:rPr/>
        <w:t>Huapango:</w:t>
      </w:r>
    </w:p>
    <w:p>
      <w:pPr>
        <w:pStyle w:val="BodyText"/>
        <w:spacing w:before="7"/>
        <w:rPr>
          <w:b/>
          <w:i/>
          <w:sz w:val="17"/>
        </w:rPr>
      </w:pPr>
    </w:p>
    <w:p>
      <w:pPr>
        <w:pStyle w:val="ListParagraph"/>
        <w:numPr>
          <w:ilvl w:val="0"/>
          <w:numId w:val="412"/>
        </w:numPr>
        <w:tabs>
          <w:tab w:pos="318" w:val="left" w:leader="none"/>
        </w:tabs>
        <w:spacing w:line="360" w:lineRule="auto" w:before="0" w:after="0"/>
        <w:ind w:left="102" w:right="115" w:firstLine="0"/>
        <w:jc w:val="both"/>
        <w:rPr>
          <w:sz w:val="22"/>
        </w:rPr>
      </w:pPr>
      <w:r>
        <w:rPr>
          <w:sz w:val="22"/>
        </w:rPr>
        <w:t>Cumplir con sus funciones y responsabilidades que la ley les confiere para apoyar el desarrollo socioeconómico de la Cuenca Hidrosocial Presa Huapango reconociendo los usos y costumbres de la comunidad para una distribución equitativa de los recursos naturales (Valorar mediante los indicadores de </w:t>
      </w:r>
      <w:r>
        <w:rPr>
          <w:i/>
          <w:sz w:val="22"/>
        </w:rPr>
        <w:t>identidad, cultura y autogestión </w:t>
      </w:r>
      <w:r>
        <w:rPr>
          <w:i/>
          <w:sz w:val="22"/>
        </w:rPr>
        <w:t>económica</w:t>
      </w:r>
      <w:r>
        <w:rPr>
          <w:sz w:val="22"/>
        </w:rPr>
        <w:t>).</w:t>
      </w:r>
    </w:p>
    <w:p>
      <w:pPr>
        <w:pStyle w:val="BodyText"/>
        <w:spacing w:before="7"/>
        <w:rPr>
          <w:sz w:val="17"/>
        </w:rPr>
      </w:pPr>
    </w:p>
    <w:p>
      <w:pPr>
        <w:pStyle w:val="ListParagraph"/>
        <w:numPr>
          <w:ilvl w:val="0"/>
          <w:numId w:val="412"/>
        </w:numPr>
        <w:tabs>
          <w:tab w:pos="356" w:val="left" w:leader="none"/>
        </w:tabs>
        <w:spacing w:line="360" w:lineRule="auto" w:before="0" w:after="0"/>
        <w:ind w:left="102" w:right="114" w:firstLine="0"/>
        <w:jc w:val="both"/>
        <w:rPr>
          <w:sz w:val="22"/>
        </w:rPr>
      </w:pPr>
      <w:r>
        <w:rPr>
          <w:sz w:val="22"/>
        </w:rPr>
        <w:t>Auxiliar a los actores históricos en la realización de los proyectos socioeconómicos que realicen en beneficio de la Cuenca Hidrosocial Presa Huapango para que no se ponga en riesgo la sostenibilidad de la Cuenca (Valorar mediante el indicador de </w:t>
      </w:r>
      <w:r>
        <w:rPr>
          <w:i/>
          <w:sz w:val="22"/>
        </w:rPr>
        <w:t>participación </w:t>
      </w:r>
      <w:r>
        <w:rPr>
          <w:i/>
          <w:sz w:val="22"/>
        </w:rPr>
        <w:t>socioeconómica y uso</w:t>
      </w:r>
      <w:r>
        <w:rPr>
          <w:i/>
          <w:spacing w:val="-6"/>
          <w:sz w:val="22"/>
        </w:rPr>
        <w:t> </w:t>
      </w:r>
      <w:r>
        <w:rPr>
          <w:i/>
          <w:sz w:val="22"/>
        </w:rPr>
        <w:t>irracional</w:t>
      </w:r>
      <w:r>
        <w:rPr>
          <w:sz w:val="22"/>
        </w:rPr>
        <w:t>).</w:t>
      </w:r>
    </w:p>
    <w:p>
      <w:pPr>
        <w:pStyle w:val="BodyText"/>
        <w:spacing w:before="9"/>
        <w:rPr>
          <w:sz w:val="17"/>
        </w:rPr>
      </w:pPr>
    </w:p>
    <w:p>
      <w:pPr>
        <w:pStyle w:val="ListParagraph"/>
        <w:numPr>
          <w:ilvl w:val="0"/>
          <w:numId w:val="412"/>
        </w:numPr>
        <w:tabs>
          <w:tab w:pos="424" w:val="left" w:leader="none"/>
        </w:tabs>
        <w:spacing w:line="360" w:lineRule="auto" w:before="1" w:after="0"/>
        <w:ind w:left="102" w:right="119" w:firstLine="0"/>
        <w:jc w:val="both"/>
        <w:rPr>
          <w:sz w:val="22"/>
        </w:rPr>
      </w:pPr>
      <w:r>
        <w:rPr>
          <w:sz w:val="22"/>
        </w:rPr>
        <w:t>Coordinarse con los actores históricos, las Organizaciones No Gubernamentales y los académicos para la realización de proyectos socioeconómicos de la Cuenca Hidrosocial Presa Huapango (Valorar mediante el indicador de </w:t>
      </w:r>
      <w:r>
        <w:rPr>
          <w:i/>
          <w:sz w:val="22"/>
        </w:rPr>
        <w:t>cooperación</w:t>
      </w:r>
      <w:r>
        <w:rPr>
          <w:i/>
          <w:spacing w:val="-16"/>
          <w:sz w:val="22"/>
        </w:rPr>
        <w:t> </w:t>
      </w:r>
      <w:r>
        <w:rPr>
          <w:i/>
          <w:sz w:val="22"/>
        </w:rPr>
        <w:t>económica</w:t>
      </w:r>
      <w:r>
        <w:rPr>
          <w:sz w:val="22"/>
        </w:rPr>
        <w:t>).</w:t>
      </w:r>
    </w:p>
    <w:p>
      <w:pPr>
        <w:pStyle w:val="BodyText"/>
        <w:spacing w:before="9"/>
        <w:rPr>
          <w:sz w:val="17"/>
        </w:rPr>
      </w:pPr>
    </w:p>
    <w:p>
      <w:pPr>
        <w:pStyle w:val="ListParagraph"/>
        <w:numPr>
          <w:ilvl w:val="0"/>
          <w:numId w:val="412"/>
        </w:numPr>
        <w:tabs>
          <w:tab w:pos="455" w:val="left" w:leader="none"/>
        </w:tabs>
        <w:spacing w:line="360" w:lineRule="auto" w:before="0" w:after="0"/>
        <w:ind w:left="102" w:right="118" w:firstLine="0"/>
        <w:jc w:val="both"/>
        <w:rPr>
          <w:sz w:val="22"/>
        </w:rPr>
      </w:pPr>
      <w:r>
        <w:rPr>
          <w:sz w:val="22"/>
        </w:rPr>
        <w:t>Apoyar a los actores históricos de los municipios que integran la Cuenca Hidrosocial Presa Huapango para que logren la optimización de sus recursos naturales y logren un desarrollo económico más homogéneo en la región (Valorar mediante los indicadores de </w:t>
      </w:r>
      <w:r>
        <w:rPr>
          <w:i/>
          <w:sz w:val="22"/>
        </w:rPr>
        <w:t>participación socioeconómica, relaciones</w:t>
      </w:r>
      <w:r>
        <w:rPr>
          <w:i/>
          <w:spacing w:val="-16"/>
          <w:sz w:val="22"/>
        </w:rPr>
        <w:t> </w:t>
      </w:r>
      <w:r>
        <w:rPr>
          <w:i/>
          <w:sz w:val="22"/>
        </w:rPr>
        <w:t>intermunicipales</w:t>
      </w:r>
      <w:r>
        <w:rPr>
          <w:sz w:val="22"/>
        </w:rPr>
        <w:t>).</w:t>
      </w:r>
    </w:p>
    <w:p>
      <w:pPr>
        <w:pStyle w:val="BodyText"/>
        <w:spacing w:before="7"/>
        <w:rPr>
          <w:sz w:val="17"/>
        </w:rPr>
      </w:pPr>
    </w:p>
    <w:p>
      <w:pPr>
        <w:pStyle w:val="ListParagraph"/>
        <w:numPr>
          <w:ilvl w:val="0"/>
          <w:numId w:val="412"/>
        </w:numPr>
        <w:tabs>
          <w:tab w:pos="381" w:val="left" w:leader="none"/>
        </w:tabs>
        <w:spacing w:line="360" w:lineRule="auto" w:before="0" w:after="0"/>
        <w:ind w:left="102" w:right="116" w:firstLine="0"/>
        <w:jc w:val="both"/>
        <w:rPr>
          <w:sz w:val="22"/>
        </w:rPr>
      </w:pPr>
      <w:r>
        <w:rPr>
          <w:sz w:val="22"/>
        </w:rPr>
        <w:t>Participar en la Asamblea General con voz, pero sin voto para lograr una redistribución equitativa de los recursos naturales de la Cuenca Hidrosocial Presa Huapango (Valorar mediante los indicadores de </w:t>
      </w:r>
      <w:r>
        <w:rPr>
          <w:i/>
          <w:sz w:val="22"/>
        </w:rPr>
        <w:t>autogestión económica, democracia y</w:t>
      </w:r>
      <w:r>
        <w:rPr>
          <w:i/>
          <w:spacing w:val="-19"/>
          <w:sz w:val="22"/>
        </w:rPr>
        <w:t> </w:t>
      </w:r>
      <w:r>
        <w:rPr>
          <w:i/>
          <w:sz w:val="22"/>
        </w:rPr>
        <w:t>voluntariedad</w:t>
      </w:r>
      <w:r>
        <w:rPr>
          <w:sz w:val="22"/>
        </w:rPr>
        <w:t>).</w:t>
      </w:r>
    </w:p>
    <w:p>
      <w:pPr>
        <w:pStyle w:val="BodyText"/>
        <w:spacing w:before="7"/>
        <w:rPr>
          <w:sz w:val="17"/>
        </w:rPr>
      </w:pPr>
    </w:p>
    <w:p>
      <w:pPr>
        <w:pStyle w:val="BodyText"/>
        <w:spacing w:line="360" w:lineRule="auto"/>
        <w:ind w:left="102" w:right="116"/>
        <w:jc w:val="both"/>
      </w:pPr>
      <w:r>
        <w:rPr>
          <w:b/>
          <w:i/>
        </w:rPr>
        <w:t>Artículo 21.- </w:t>
      </w:r>
      <w:r>
        <w:rPr/>
        <w:t>Son derechos y obligaciones </w:t>
      </w:r>
      <w:r>
        <w:rPr>
          <w:i/>
        </w:rPr>
        <w:t>económicas </w:t>
      </w:r>
      <w:r>
        <w:rPr/>
        <w:t>de los actores de las Organizaciones No Gubernamentales y los Organismos Internacionales en la Cuenca Hidrosocial Presa Huapango.</w:t>
      </w:r>
    </w:p>
    <w:p>
      <w:pPr>
        <w:spacing w:after="0" w:line="360" w:lineRule="auto"/>
        <w:jc w:val="both"/>
        <w:sectPr>
          <w:pgSz w:w="12240" w:h="15840"/>
          <w:pgMar w:header="0" w:footer="1003" w:top="1360" w:bottom="1200" w:left="1600" w:right="1580"/>
        </w:sectPr>
      </w:pPr>
    </w:p>
    <w:p>
      <w:pPr>
        <w:pStyle w:val="Heading7"/>
        <w:numPr>
          <w:ilvl w:val="0"/>
          <w:numId w:val="413"/>
        </w:numPr>
        <w:tabs>
          <w:tab w:pos="510" w:val="left" w:leader="none"/>
        </w:tabs>
        <w:spacing w:line="360" w:lineRule="auto" w:before="53" w:after="0"/>
        <w:ind w:left="102" w:right="114" w:firstLine="0"/>
        <w:jc w:val="both"/>
      </w:pPr>
      <w:r>
        <w:rPr>
          <w:i/>
        </w:rPr>
        <w:t>Son derechos económicos de los actores de las Organizaciones No </w:t>
      </w:r>
      <w:r>
        <w:rPr/>
        <w:t>Gubernamentales y los Organismos Internacionales en la Cuenca Hidrosocial Presa Huapango:</w:t>
      </w:r>
    </w:p>
    <w:p>
      <w:pPr>
        <w:pStyle w:val="BodyText"/>
        <w:spacing w:before="7"/>
        <w:rPr>
          <w:b/>
          <w:i/>
          <w:sz w:val="17"/>
        </w:rPr>
      </w:pPr>
    </w:p>
    <w:p>
      <w:pPr>
        <w:pStyle w:val="ListParagraph"/>
        <w:numPr>
          <w:ilvl w:val="0"/>
          <w:numId w:val="414"/>
        </w:numPr>
        <w:tabs>
          <w:tab w:pos="301" w:val="left" w:leader="none"/>
        </w:tabs>
        <w:spacing w:line="360" w:lineRule="auto" w:before="0" w:after="0"/>
        <w:ind w:left="102" w:right="114" w:firstLine="0"/>
        <w:jc w:val="both"/>
        <w:rPr>
          <w:sz w:val="22"/>
        </w:rPr>
      </w:pPr>
      <w:r>
        <w:rPr>
          <w:sz w:val="22"/>
        </w:rPr>
        <w:t>Apoyar a los actores históricos en la realización de los proyectos socioeconómicos que realicen en beneficio de la Cuenca Hidrosocial Presa Huapango para optimizar sus recursos naturales (Valorar mediante el indicador de </w:t>
      </w:r>
      <w:r>
        <w:rPr>
          <w:i/>
          <w:sz w:val="22"/>
        </w:rPr>
        <w:t>participación socioeconómica y </w:t>
      </w:r>
      <w:r>
        <w:rPr>
          <w:i/>
          <w:sz w:val="22"/>
        </w:rPr>
        <w:t>relaciones</w:t>
      </w:r>
      <w:r>
        <w:rPr>
          <w:i/>
          <w:spacing w:val="-7"/>
          <w:sz w:val="22"/>
        </w:rPr>
        <w:t> </w:t>
      </w:r>
      <w:r>
        <w:rPr>
          <w:i/>
          <w:sz w:val="22"/>
        </w:rPr>
        <w:t>intermunicipales</w:t>
      </w:r>
      <w:r>
        <w:rPr>
          <w:sz w:val="22"/>
        </w:rPr>
        <w:t>).</w:t>
      </w:r>
    </w:p>
    <w:p>
      <w:pPr>
        <w:pStyle w:val="BodyText"/>
        <w:spacing w:before="9"/>
        <w:rPr>
          <w:sz w:val="17"/>
        </w:rPr>
      </w:pPr>
    </w:p>
    <w:p>
      <w:pPr>
        <w:pStyle w:val="ListParagraph"/>
        <w:numPr>
          <w:ilvl w:val="0"/>
          <w:numId w:val="414"/>
        </w:numPr>
        <w:tabs>
          <w:tab w:pos="400" w:val="left" w:leader="none"/>
        </w:tabs>
        <w:spacing w:line="360" w:lineRule="auto" w:before="0" w:after="0"/>
        <w:ind w:left="102" w:right="116" w:firstLine="0"/>
        <w:jc w:val="both"/>
        <w:rPr>
          <w:sz w:val="22"/>
        </w:rPr>
      </w:pPr>
      <w:r>
        <w:rPr>
          <w:sz w:val="22"/>
        </w:rPr>
        <w:t>Cooperar con los actores históricos, gubernamentales y académicos de la Cuenca Hidrosocial Presa Huapango para la realización de proyectos socioeconómicos  sostenibles (Valorar mediante el indicador de </w:t>
      </w:r>
      <w:r>
        <w:rPr>
          <w:i/>
          <w:sz w:val="22"/>
        </w:rPr>
        <w:t>cooperación socioeconómica, relaciones </w:t>
      </w:r>
      <w:r>
        <w:rPr>
          <w:i/>
          <w:sz w:val="22"/>
        </w:rPr>
        <w:t>intermunicipales</w:t>
      </w:r>
      <w:r>
        <w:rPr>
          <w:sz w:val="22"/>
        </w:rPr>
        <w:t>).</w:t>
      </w:r>
    </w:p>
    <w:p>
      <w:pPr>
        <w:pStyle w:val="BodyText"/>
        <w:spacing w:before="9"/>
        <w:rPr>
          <w:sz w:val="17"/>
        </w:rPr>
      </w:pPr>
    </w:p>
    <w:p>
      <w:pPr>
        <w:pStyle w:val="ListParagraph"/>
        <w:numPr>
          <w:ilvl w:val="0"/>
          <w:numId w:val="414"/>
        </w:numPr>
        <w:tabs>
          <w:tab w:pos="414" w:val="left" w:leader="none"/>
        </w:tabs>
        <w:spacing w:line="360" w:lineRule="auto" w:before="0" w:after="0"/>
        <w:ind w:left="102" w:right="113" w:firstLine="0"/>
        <w:jc w:val="both"/>
        <w:rPr>
          <w:sz w:val="22"/>
        </w:rPr>
      </w:pPr>
      <w:r>
        <w:rPr>
          <w:sz w:val="22"/>
        </w:rPr>
        <w:t>Participar en la Asamblea General con voz, pero sin voto para integrar a los actores de históricos de la Cuenca Hidrosocial Presa Huapango al mercado nacional e internacional de una forma más justa (Valorar mediante los indicadores de </w:t>
      </w:r>
      <w:r>
        <w:rPr>
          <w:i/>
          <w:sz w:val="22"/>
        </w:rPr>
        <w:t>autogestión, democracia y </w:t>
      </w:r>
      <w:r>
        <w:rPr>
          <w:i/>
          <w:sz w:val="22"/>
        </w:rPr>
        <w:t>voluntariedad</w:t>
      </w:r>
      <w:r>
        <w:rPr>
          <w:sz w:val="22"/>
        </w:rPr>
        <w:t>).</w:t>
      </w:r>
    </w:p>
    <w:p>
      <w:pPr>
        <w:pStyle w:val="BodyText"/>
        <w:spacing w:before="7"/>
        <w:rPr>
          <w:sz w:val="17"/>
        </w:rPr>
      </w:pPr>
    </w:p>
    <w:p>
      <w:pPr>
        <w:pStyle w:val="ListParagraph"/>
        <w:numPr>
          <w:ilvl w:val="0"/>
          <w:numId w:val="414"/>
        </w:numPr>
        <w:tabs>
          <w:tab w:pos="493" w:val="left" w:leader="none"/>
        </w:tabs>
        <w:spacing w:line="360" w:lineRule="auto" w:before="0" w:after="0"/>
        <w:ind w:left="102" w:right="113" w:firstLine="0"/>
        <w:jc w:val="both"/>
        <w:rPr>
          <w:sz w:val="22"/>
        </w:rPr>
      </w:pPr>
      <w:r>
        <w:rPr>
          <w:sz w:val="22"/>
        </w:rPr>
        <w:t>Fomentar la cultura ambiental mediante la participación social y la democracia y voluntariedad de los actores históricos de la Cuenca Hidrosocial Presa Huapango (Valorar mediante los indicadores de </w:t>
      </w:r>
      <w:r>
        <w:rPr>
          <w:i/>
          <w:sz w:val="22"/>
        </w:rPr>
        <w:t>cultura económica, participación socioeconómica,  </w:t>
      </w:r>
      <w:r>
        <w:rPr>
          <w:i/>
          <w:sz w:val="22"/>
        </w:rPr>
        <w:t>democracia y</w:t>
      </w:r>
      <w:r>
        <w:rPr>
          <w:i/>
          <w:spacing w:val="-4"/>
          <w:sz w:val="22"/>
        </w:rPr>
        <w:t> </w:t>
      </w:r>
      <w:r>
        <w:rPr>
          <w:i/>
          <w:sz w:val="22"/>
        </w:rPr>
        <w:t>voluntariedad</w:t>
      </w:r>
      <w:r>
        <w:rPr>
          <w:sz w:val="22"/>
        </w:rPr>
        <w:t>).</w:t>
      </w:r>
    </w:p>
    <w:p>
      <w:pPr>
        <w:pStyle w:val="BodyText"/>
        <w:spacing w:before="7"/>
        <w:rPr>
          <w:sz w:val="17"/>
        </w:rPr>
      </w:pPr>
    </w:p>
    <w:p>
      <w:pPr>
        <w:pStyle w:val="ListParagraph"/>
        <w:numPr>
          <w:ilvl w:val="0"/>
          <w:numId w:val="414"/>
        </w:numPr>
        <w:tabs>
          <w:tab w:pos="373" w:val="left" w:leader="none"/>
        </w:tabs>
        <w:spacing w:line="360" w:lineRule="auto" w:before="0" w:after="0"/>
        <w:ind w:left="102" w:right="116" w:firstLine="0"/>
        <w:jc w:val="both"/>
        <w:rPr>
          <w:sz w:val="22"/>
        </w:rPr>
      </w:pPr>
      <w:r>
        <w:rPr>
          <w:sz w:val="22"/>
        </w:rPr>
        <w:t>Realizar acciones locales y regionales con impacto económico global (Valorar mediante los indicadores de </w:t>
      </w:r>
      <w:r>
        <w:rPr>
          <w:i/>
          <w:sz w:val="22"/>
        </w:rPr>
        <w:t>la Gestión Integrada de los Recursos Hídricos, gobernanza y </w:t>
      </w:r>
      <w:r>
        <w:rPr>
          <w:i/>
          <w:sz w:val="22"/>
        </w:rPr>
        <w:t>gobernabilidad</w:t>
      </w:r>
      <w:r>
        <w:rPr>
          <w:sz w:val="22"/>
        </w:rPr>
        <w:t>).</w:t>
      </w:r>
    </w:p>
    <w:p>
      <w:pPr>
        <w:pStyle w:val="BodyText"/>
        <w:spacing w:before="9"/>
        <w:rPr>
          <w:sz w:val="17"/>
        </w:rPr>
      </w:pPr>
    </w:p>
    <w:p>
      <w:pPr>
        <w:pStyle w:val="Heading7"/>
        <w:numPr>
          <w:ilvl w:val="0"/>
          <w:numId w:val="413"/>
        </w:numPr>
        <w:tabs>
          <w:tab w:pos="484" w:val="left" w:leader="none"/>
        </w:tabs>
        <w:spacing w:line="360" w:lineRule="auto" w:before="0" w:after="0"/>
        <w:ind w:left="102" w:right="114" w:firstLine="0"/>
        <w:jc w:val="both"/>
      </w:pPr>
      <w:r>
        <w:rPr>
          <w:i/>
        </w:rPr>
        <w:t>Son obligaciones económicas de los actores de las Organizaciones No </w:t>
      </w:r>
      <w:r>
        <w:rPr/>
        <w:t>Gubernamentales y los Organismos Internacionales en la Cuenca Hidrosocial Presa Huapango:</w:t>
      </w:r>
    </w:p>
    <w:p>
      <w:pPr>
        <w:pStyle w:val="BodyText"/>
        <w:spacing w:before="9"/>
        <w:rPr>
          <w:b/>
          <w:i/>
          <w:sz w:val="17"/>
        </w:rPr>
      </w:pPr>
    </w:p>
    <w:p>
      <w:pPr>
        <w:pStyle w:val="ListParagraph"/>
        <w:numPr>
          <w:ilvl w:val="0"/>
          <w:numId w:val="415"/>
        </w:numPr>
        <w:tabs>
          <w:tab w:pos="301" w:val="left" w:leader="none"/>
        </w:tabs>
        <w:spacing w:line="360" w:lineRule="auto" w:before="0" w:after="0"/>
        <w:ind w:left="102" w:right="114" w:firstLine="0"/>
        <w:jc w:val="both"/>
        <w:rPr>
          <w:sz w:val="22"/>
        </w:rPr>
      </w:pPr>
      <w:r>
        <w:rPr>
          <w:sz w:val="22"/>
        </w:rPr>
        <w:t>Apoyar a los actores históricos en la realización de los proyectos socioeconómicos que realicen en beneficio de la Cuenca Hidrosocial Presa Huapango para optimizar sus recursos naturales (Valorar mediante el indicador de </w:t>
      </w:r>
      <w:r>
        <w:rPr>
          <w:i/>
          <w:sz w:val="22"/>
        </w:rPr>
        <w:t>participación socioeconómica y </w:t>
      </w:r>
      <w:r>
        <w:rPr>
          <w:i/>
          <w:sz w:val="22"/>
        </w:rPr>
        <w:t>relaciones</w:t>
      </w:r>
      <w:r>
        <w:rPr>
          <w:i/>
          <w:spacing w:val="-7"/>
          <w:sz w:val="22"/>
        </w:rPr>
        <w:t> </w:t>
      </w:r>
      <w:r>
        <w:rPr>
          <w:i/>
          <w:sz w:val="22"/>
        </w:rPr>
        <w:t>intermunicipales</w:t>
      </w:r>
      <w:r>
        <w:rPr>
          <w:sz w:val="22"/>
        </w:rPr>
        <w:t>).</w:t>
      </w:r>
    </w:p>
    <w:p>
      <w:pPr>
        <w:spacing w:after="0" w:line="360" w:lineRule="auto"/>
        <w:jc w:val="both"/>
        <w:rPr>
          <w:sz w:val="22"/>
        </w:rPr>
        <w:sectPr>
          <w:footerReference w:type="default" r:id="rId711"/>
          <w:pgSz w:w="12240" w:h="15840"/>
          <w:pgMar w:footer="943" w:header="0" w:top="1360" w:bottom="1140" w:left="1600" w:right="1580"/>
          <w:pgNumType w:start="860"/>
        </w:sectPr>
      </w:pPr>
    </w:p>
    <w:p>
      <w:pPr>
        <w:pStyle w:val="ListParagraph"/>
        <w:numPr>
          <w:ilvl w:val="0"/>
          <w:numId w:val="415"/>
        </w:numPr>
        <w:tabs>
          <w:tab w:pos="373" w:val="left" w:leader="none"/>
        </w:tabs>
        <w:spacing w:line="360" w:lineRule="auto" w:before="53" w:after="0"/>
        <w:ind w:left="102" w:right="113" w:firstLine="0"/>
        <w:jc w:val="both"/>
        <w:rPr>
          <w:sz w:val="22"/>
        </w:rPr>
      </w:pPr>
      <w:r>
        <w:rPr>
          <w:sz w:val="22"/>
        </w:rPr>
        <w:t>Coordinarse con los actores históricos, gubernamentales y académicos de la Cuenca Hidrosocial Presa Huapango para la realización de proyectos socioeconómicos  sostenibles (Valorar mediante el indicador de </w:t>
      </w:r>
      <w:r>
        <w:rPr>
          <w:i/>
          <w:sz w:val="22"/>
        </w:rPr>
        <w:t>participación socioeconómica, relaciones </w:t>
      </w:r>
      <w:r>
        <w:rPr>
          <w:i/>
          <w:sz w:val="22"/>
        </w:rPr>
        <w:t>intermunicipales</w:t>
      </w:r>
      <w:r>
        <w:rPr>
          <w:sz w:val="22"/>
        </w:rPr>
        <w:t>).</w:t>
      </w:r>
    </w:p>
    <w:p>
      <w:pPr>
        <w:pStyle w:val="BodyText"/>
        <w:spacing w:before="7"/>
        <w:rPr>
          <w:sz w:val="17"/>
        </w:rPr>
      </w:pPr>
    </w:p>
    <w:p>
      <w:pPr>
        <w:pStyle w:val="ListParagraph"/>
        <w:numPr>
          <w:ilvl w:val="0"/>
          <w:numId w:val="415"/>
        </w:numPr>
        <w:tabs>
          <w:tab w:pos="414" w:val="left" w:leader="none"/>
        </w:tabs>
        <w:spacing w:line="360" w:lineRule="auto" w:before="0" w:after="0"/>
        <w:ind w:left="102" w:right="113" w:firstLine="0"/>
        <w:jc w:val="both"/>
        <w:rPr>
          <w:sz w:val="22"/>
        </w:rPr>
      </w:pPr>
      <w:r>
        <w:rPr>
          <w:sz w:val="22"/>
        </w:rPr>
        <w:t>Participar en la Asamblea General con voz, pero sin voto para integrar a los actores de históricos de la Cuenca Hidrosocial Presa Huapango al mercado nacional e internacional de una forma más justa (Valorar mediante los indicadores de </w:t>
      </w:r>
      <w:r>
        <w:rPr>
          <w:i/>
          <w:sz w:val="22"/>
        </w:rPr>
        <w:t>autogestión, democracia y </w:t>
      </w:r>
      <w:r>
        <w:rPr>
          <w:i/>
          <w:sz w:val="22"/>
        </w:rPr>
        <w:t>voluntariedad</w:t>
      </w:r>
      <w:r>
        <w:rPr>
          <w:sz w:val="22"/>
        </w:rPr>
        <w:t>).</w:t>
      </w:r>
    </w:p>
    <w:p>
      <w:pPr>
        <w:pStyle w:val="BodyText"/>
        <w:spacing w:before="7"/>
        <w:rPr>
          <w:sz w:val="17"/>
        </w:rPr>
      </w:pPr>
    </w:p>
    <w:p>
      <w:pPr>
        <w:pStyle w:val="ListParagraph"/>
        <w:numPr>
          <w:ilvl w:val="0"/>
          <w:numId w:val="415"/>
        </w:numPr>
        <w:tabs>
          <w:tab w:pos="493" w:val="left" w:leader="none"/>
        </w:tabs>
        <w:spacing w:line="360" w:lineRule="auto" w:before="0" w:after="0"/>
        <w:ind w:left="102" w:right="115" w:firstLine="0"/>
        <w:jc w:val="both"/>
        <w:rPr>
          <w:sz w:val="22"/>
        </w:rPr>
      </w:pPr>
      <w:r>
        <w:rPr>
          <w:sz w:val="22"/>
        </w:rPr>
        <w:t>Fomentar la cultura ambiental mediante la participación social y la democracia y voluntariedad de los actores históricos de la Cuenca Hidrosocial Presa Huapango (Valorar mediante los indicadores de </w:t>
      </w:r>
      <w:r>
        <w:rPr>
          <w:i/>
          <w:sz w:val="22"/>
        </w:rPr>
        <w:t>cultura económica, participación socioeconómica,  </w:t>
      </w:r>
      <w:r>
        <w:rPr>
          <w:i/>
          <w:sz w:val="22"/>
        </w:rPr>
        <w:t>democracia y</w:t>
      </w:r>
      <w:r>
        <w:rPr>
          <w:i/>
          <w:spacing w:val="-4"/>
          <w:sz w:val="22"/>
        </w:rPr>
        <w:t> </w:t>
      </w:r>
      <w:r>
        <w:rPr>
          <w:i/>
          <w:sz w:val="22"/>
        </w:rPr>
        <w:t>voluntariedad</w:t>
      </w:r>
      <w:r>
        <w:rPr>
          <w:sz w:val="22"/>
        </w:rPr>
        <w:t>).</w:t>
      </w:r>
    </w:p>
    <w:p>
      <w:pPr>
        <w:pStyle w:val="BodyText"/>
        <w:spacing w:before="9"/>
        <w:rPr>
          <w:sz w:val="17"/>
        </w:rPr>
      </w:pPr>
    </w:p>
    <w:p>
      <w:pPr>
        <w:pStyle w:val="ListParagraph"/>
        <w:numPr>
          <w:ilvl w:val="0"/>
          <w:numId w:val="415"/>
        </w:numPr>
        <w:tabs>
          <w:tab w:pos="373" w:val="left" w:leader="none"/>
        </w:tabs>
        <w:spacing w:line="360" w:lineRule="auto" w:before="0" w:after="0"/>
        <w:ind w:left="102" w:right="119" w:firstLine="0"/>
        <w:jc w:val="both"/>
        <w:rPr>
          <w:sz w:val="22"/>
        </w:rPr>
      </w:pPr>
      <w:r>
        <w:rPr>
          <w:sz w:val="22"/>
        </w:rPr>
        <w:t>Realizar acciones locales y regionales con impacto económico global (Valorar mediante los indicadores de </w:t>
      </w:r>
      <w:r>
        <w:rPr>
          <w:i/>
          <w:sz w:val="22"/>
        </w:rPr>
        <w:t>la Gestión Integrada de los Recursos Hídricos gobernanza y </w:t>
      </w:r>
      <w:r>
        <w:rPr>
          <w:i/>
          <w:sz w:val="22"/>
        </w:rPr>
        <w:t>gobernabilidad</w:t>
      </w:r>
      <w:r>
        <w:rPr>
          <w:sz w:val="22"/>
        </w:rPr>
        <w:t>).</w:t>
      </w:r>
    </w:p>
    <w:p>
      <w:pPr>
        <w:pStyle w:val="BodyText"/>
        <w:spacing w:before="7"/>
        <w:rPr>
          <w:sz w:val="17"/>
        </w:rPr>
      </w:pPr>
    </w:p>
    <w:p>
      <w:pPr>
        <w:spacing w:line="362" w:lineRule="auto" w:before="0"/>
        <w:ind w:left="102" w:right="117" w:firstLine="0"/>
        <w:jc w:val="both"/>
        <w:rPr>
          <w:sz w:val="22"/>
        </w:rPr>
      </w:pPr>
      <w:r>
        <w:rPr>
          <w:b/>
          <w:i/>
          <w:sz w:val="22"/>
        </w:rPr>
        <w:t>Artículo 22.- </w:t>
      </w:r>
      <w:r>
        <w:rPr>
          <w:sz w:val="22"/>
        </w:rPr>
        <w:t>Son derechos y obligaciones </w:t>
      </w:r>
      <w:r>
        <w:rPr>
          <w:i/>
          <w:sz w:val="22"/>
        </w:rPr>
        <w:t>económicas </w:t>
      </w:r>
      <w:r>
        <w:rPr>
          <w:sz w:val="22"/>
        </w:rPr>
        <w:t>de los actores académicos en la Cuenca Hidrosocial Presa Huapango:</w:t>
      </w:r>
    </w:p>
    <w:p>
      <w:pPr>
        <w:pStyle w:val="BodyText"/>
        <w:spacing w:before="4"/>
        <w:rPr>
          <w:sz w:val="17"/>
        </w:rPr>
      </w:pPr>
    </w:p>
    <w:p>
      <w:pPr>
        <w:pStyle w:val="Heading7"/>
        <w:numPr>
          <w:ilvl w:val="0"/>
          <w:numId w:val="416"/>
        </w:numPr>
        <w:tabs>
          <w:tab w:pos="381" w:val="left" w:leader="none"/>
        </w:tabs>
        <w:spacing w:line="360" w:lineRule="auto" w:before="0" w:after="0"/>
        <w:ind w:left="102" w:right="113" w:firstLine="0"/>
        <w:jc w:val="both"/>
      </w:pPr>
      <w:r>
        <w:rPr>
          <w:i/>
        </w:rPr>
        <w:t>Son derechos económicos de los actores académicos en la Cuenca Hidrosocial </w:t>
      </w:r>
      <w:r>
        <w:rPr/>
        <w:t>Presa</w:t>
      </w:r>
      <w:r>
        <w:rPr>
          <w:spacing w:val="-1"/>
        </w:rPr>
        <w:t> </w:t>
      </w:r>
      <w:r>
        <w:rPr/>
        <w:t>Huapango:</w:t>
      </w:r>
    </w:p>
    <w:p>
      <w:pPr>
        <w:pStyle w:val="BodyText"/>
        <w:spacing w:before="9"/>
        <w:rPr>
          <w:b/>
          <w:i/>
          <w:sz w:val="17"/>
        </w:rPr>
      </w:pPr>
    </w:p>
    <w:p>
      <w:pPr>
        <w:pStyle w:val="ListParagraph"/>
        <w:numPr>
          <w:ilvl w:val="0"/>
          <w:numId w:val="417"/>
        </w:numPr>
        <w:tabs>
          <w:tab w:pos="306" w:val="left" w:leader="none"/>
        </w:tabs>
        <w:spacing w:line="360" w:lineRule="auto" w:before="0" w:after="0"/>
        <w:ind w:left="102" w:right="116" w:firstLine="0"/>
        <w:jc w:val="both"/>
        <w:rPr>
          <w:sz w:val="22"/>
        </w:rPr>
      </w:pPr>
      <w:r>
        <w:rPr>
          <w:sz w:val="22"/>
        </w:rPr>
        <w:t>Participar como facilitadores y asesores en la realización de proyectos económicos del Comité para el desarrollo de la Cuenca Hidrosocial Presa Huapango (Valorar mediante los indicadores de </w:t>
      </w:r>
      <w:r>
        <w:rPr>
          <w:i/>
          <w:sz w:val="22"/>
        </w:rPr>
        <w:t>la Gestión Integrada de los Recursos Hídricos, gobernanza y </w:t>
      </w:r>
      <w:r>
        <w:rPr>
          <w:i/>
          <w:sz w:val="22"/>
        </w:rPr>
        <w:t>gobernabilidad</w:t>
      </w:r>
      <w:r>
        <w:rPr>
          <w:sz w:val="22"/>
        </w:rPr>
        <w:t>).</w:t>
      </w:r>
    </w:p>
    <w:p>
      <w:pPr>
        <w:pStyle w:val="BodyText"/>
        <w:spacing w:before="7"/>
        <w:rPr>
          <w:sz w:val="17"/>
        </w:rPr>
      </w:pPr>
    </w:p>
    <w:p>
      <w:pPr>
        <w:pStyle w:val="ListParagraph"/>
        <w:numPr>
          <w:ilvl w:val="0"/>
          <w:numId w:val="417"/>
        </w:numPr>
        <w:tabs>
          <w:tab w:pos="433" w:val="left" w:leader="none"/>
        </w:tabs>
        <w:spacing w:line="360" w:lineRule="auto" w:before="0" w:after="0"/>
        <w:ind w:left="102" w:right="117" w:firstLine="0"/>
        <w:jc w:val="both"/>
        <w:rPr>
          <w:sz w:val="22"/>
        </w:rPr>
      </w:pPr>
      <w:r>
        <w:rPr>
          <w:sz w:val="22"/>
        </w:rPr>
        <w:t>Fomentar la cultura ambiental en la población de la Cuenca Hidrosocial Presa Huapango para el uso racional de los recursos naturales (Valorar mediante el indicador de cultura económica y uso</w:t>
      </w:r>
      <w:r>
        <w:rPr>
          <w:spacing w:val="-8"/>
          <w:sz w:val="22"/>
        </w:rPr>
        <w:t> </w:t>
      </w:r>
      <w:r>
        <w:rPr>
          <w:sz w:val="22"/>
        </w:rPr>
        <w:t>irracional).</w:t>
      </w:r>
    </w:p>
    <w:p>
      <w:pPr>
        <w:pStyle w:val="BodyText"/>
        <w:spacing w:before="7"/>
        <w:rPr>
          <w:sz w:val="17"/>
        </w:rPr>
      </w:pPr>
    </w:p>
    <w:p>
      <w:pPr>
        <w:pStyle w:val="ListParagraph"/>
        <w:numPr>
          <w:ilvl w:val="0"/>
          <w:numId w:val="417"/>
        </w:numPr>
        <w:tabs>
          <w:tab w:pos="546" w:val="left" w:leader="none"/>
        </w:tabs>
        <w:spacing w:line="360" w:lineRule="auto" w:before="0" w:after="0"/>
        <w:ind w:left="102" w:right="118" w:firstLine="0"/>
        <w:jc w:val="both"/>
        <w:rPr>
          <w:sz w:val="22"/>
        </w:rPr>
      </w:pPr>
      <w:r>
        <w:rPr>
          <w:sz w:val="22"/>
        </w:rPr>
        <w:t>Facilitar la coordinación con los actores históricos, las Organizaciones No Gubernamentales y los actores gubernamentales para realizar proyectos de desarrollo socioeconómico en la Cuenca Hidrosocial Presa Huapango (Valorar mediante el indicador de participación económica y relaciones</w:t>
      </w:r>
      <w:r>
        <w:rPr>
          <w:spacing w:val="-18"/>
          <w:sz w:val="22"/>
        </w:rPr>
        <w:t> </w:t>
      </w:r>
      <w:r>
        <w:rPr>
          <w:sz w:val="22"/>
        </w:rPr>
        <w:t>intermunicipales).</w:t>
      </w:r>
    </w:p>
    <w:p>
      <w:pPr>
        <w:spacing w:after="0" w:line="360" w:lineRule="auto"/>
        <w:jc w:val="both"/>
        <w:rPr>
          <w:sz w:val="22"/>
        </w:rPr>
        <w:sectPr>
          <w:pgSz w:w="12240" w:h="15840"/>
          <w:pgMar w:header="0" w:footer="943" w:top="1360" w:bottom="1200" w:left="1600" w:right="1580"/>
        </w:sectPr>
      </w:pPr>
    </w:p>
    <w:p>
      <w:pPr>
        <w:pStyle w:val="ListParagraph"/>
        <w:numPr>
          <w:ilvl w:val="0"/>
          <w:numId w:val="417"/>
        </w:numPr>
        <w:tabs>
          <w:tab w:pos="496" w:val="left" w:leader="none"/>
        </w:tabs>
        <w:spacing w:line="362" w:lineRule="auto" w:before="53" w:after="0"/>
        <w:ind w:left="102" w:right="119" w:firstLine="0"/>
        <w:jc w:val="both"/>
        <w:rPr>
          <w:sz w:val="22"/>
        </w:rPr>
      </w:pPr>
      <w:r>
        <w:rPr>
          <w:sz w:val="22"/>
        </w:rPr>
        <w:t>Participar en la Asamblea General con voz, pero sin voto (Valorar mediante los indicadores de </w:t>
      </w:r>
      <w:r>
        <w:rPr>
          <w:i/>
          <w:sz w:val="22"/>
        </w:rPr>
        <w:t>autogestión, democracia y</w:t>
      </w:r>
      <w:r>
        <w:rPr>
          <w:i/>
          <w:spacing w:val="-14"/>
          <w:sz w:val="22"/>
        </w:rPr>
        <w:t> </w:t>
      </w:r>
      <w:r>
        <w:rPr>
          <w:i/>
          <w:sz w:val="22"/>
        </w:rPr>
        <w:t>voluntariedad</w:t>
      </w:r>
      <w:r>
        <w:rPr>
          <w:sz w:val="22"/>
        </w:rPr>
        <w:t>).</w:t>
      </w:r>
    </w:p>
    <w:p>
      <w:pPr>
        <w:pStyle w:val="BodyText"/>
        <w:spacing w:before="4"/>
        <w:rPr>
          <w:sz w:val="17"/>
        </w:rPr>
      </w:pPr>
    </w:p>
    <w:p>
      <w:pPr>
        <w:pStyle w:val="Heading7"/>
        <w:numPr>
          <w:ilvl w:val="0"/>
          <w:numId w:val="416"/>
        </w:numPr>
        <w:tabs>
          <w:tab w:pos="484" w:val="left" w:leader="none"/>
        </w:tabs>
        <w:spacing w:line="360" w:lineRule="auto" w:before="0" w:after="0"/>
        <w:ind w:left="102" w:right="112" w:firstLine="0"/>
        <w:jc w:val="both"/>
      </w:pPr>
      <w:r>
        <w:rPr>
          <w:i/>
        </w:rPr>
        <w:t>Son obligaciones económicas de los actores académicos en la Cuenca </w:t>
      </w:r>
      <w:r>
        <w:rPr/>
        <w:t>Hidrosocial Presa</w:t>
      </w:r>
      <w:r>
        <w:rPr>
          <w:spacing w:val="-8"/>
        </w:rPr>
        <w:t> </w:t>
      </w:r>
      <w:r>
        <w:rPr/>
        <w:t>Huapango:</w:t>
      </w:r>
    </w:p>
    <w:p>
      <w:pPr>
        <w:pStyle w:val="BodyText"/>
        <w:spacing w:before="9"/>
        <w:rPr>
          <w:b/>
          <w:i/>
          <w:sz w:val="17"/>
        </w:rPr>
      </w:pPr>
    </w:p>
    <w:p>
      <w:pPr>
        <w:pStyle w:val="ListParagraph"/>
        <w:numPr>
          <w:ilvl w:val="0"/>
          <w:numId w:val="418"/>
        </w:numPr>
        <w:tabs>
          <w:tab w:pos="306" w:val="left" w:leader="none"/>
        </w:tabs>
        <w:spacing w:line="360" w:lineRule="auto" w:before="0" w:after="0"/>
        <w:ind w:left="102" w:right="116" w:firstLine="0"/>
        <w:jc w:val="both"/>
        <w:rPr>
          <w:sz w:val="22"/>
        </w:rPr>
      </w:pPr>
      <w:r>
        <w:rPr>
          <w:sz w:val="22"/>
        </w:rPr>
        <w:t>Participar como facilitadores y asesores en la realización de proyectos económicos del Comité para el desarrollo de la Cuenca Hidrosocial Presa Huapango (Valorar mediante los indicadores de </w:t>
      </w:r>
      <w:r>
        <w:rPr>
          <w:i/>
          <w:sz w:val="22"/>
        </w:rPr>
        <w:t>la Gestión Integrada de los Recursos Hídricos, gobernanza y </w:t>
      </w:r>
      <w:r>
        <w:rPr>
          <w:i/>
          <w:sz w:val="22"/>
        </w:rPr>
        <w:t>gobernabilidad</w:t>
      </w:r>
      <w:r>
        <w:rPr>
          <w:sz w:val="22"/>
        </w:rPr>
        <w:t>).</w:t>
      </w:r>
    </w:p>
    <w:p>
      <w:pPr>
        <w:pStyle w:val="BodyText"/>
        <w:spacing w:before="7"/>
        <w:rPr>
          <w:sz w:val="17"/>
        </w:rPr>
      </w:pPr>
    </w:p>
    <w:p>
      <w:pPr>
        <w:pStyle w:val="ListParagraph"/>
        <w:numPr>
          <w:ilvl w:val="0"/>
          <w:numId w:val="418"/>
        </w:numPr>
        <w:tabs>
          <w:tab w:pos="433" w:val="left" w:leader="none"/>
        </w:tabs>
        <w:spacing w:line="360" w:lineRule="auto" w:before="0" w:after="0"/>
        <w:ind w:left="102" w:right="117" w:firstLine="0"/>
        <w:jc w:val="both"/>
        <w:rPr>
          <w:sz w:val="22"/>
        </w:rPr>
      </w:pPr>
      <w:r>
        <w:rPr>
          <w:sz w:val="22"/>
        </w:rPr>
        <w:t>Fomentar la cultura ambiental en la población de la Cuenca Hidrosocial Presa Huapango para el uso racional de los recursos naturales (Valorar mediante el indicador de cultura económica y uso</w:t>
      </w:r>
      <w:r>
        <w:rPr>
          <w:spacing w:val="-8"/>
          <w:sz w:val="22"/>
        </w:rPr>
        <w:t> </w:t>
      </w:r>
      <w:r>
        <w:rPr>
          <w:sz w:val="22"/>
        </w:rPr>
        <w:t>irracional).</w:t>
      </w:r>
    </w:p>
    <w:p>
      <w:pPr>
        <w:pStyle w:val="BodyText"/>
        <w:spacing w:before="7"/>
        <w:rPr>
          <w:sz w:val="17"/>
        </w:rPr>
      </w:pPr>
    </w:p>
    <w:p>
      <w:pPr>
        <w:pStyle w:val="ListParagraph"/>
        <w:numPr>
          <w:ilvl w:val="0"/>
          <w:numId w:val="418"/>
        </w:numPr>
        <w:tabs>
          <w:tab w:pos="546" w:val="left" w:leader="none"/>
        </w:tabs>
        <w:spacing w:line="360" w:lineRule="auto" w:before="0" w:after="0"/>
        <w:ind w:left="102" w:right="118" w:firstLine="0"/>
        <w:jc w:val="both"/>
        <w:rPr>
          <w:sz w:val="22"/>
        </w:rPr>
      </w:pPr>
      <w:r>
        <w:rPr>
          <w:sz w:val="22"/>
        </w:rPr>
        <w:t>Facilitar la coordinación con los actores históricos, las Organizaciones No Gubernamentales y los actores gubernamentales para realizar proyectos de desarrollo socioeconómico en la Cuenca Hidrosocial Presa Huapango (Valorar mediante el indicador de participación económica y relaciones</w:t>
      </w:r>
      <w:r>
        <w:rPr>
          <w:spacing w:val="-18"/>
          <w:sz w:val="22"/>
        </w:rPr>
        <w:t> </w:t>
      </w:r>
      <w:r>
        <w:rPr>
          <w:sz w:val="22"/>
        </w:rPr>
        <w:t>intermunicipales).</w:t>
      </w:r>
    </w:p>
    <w:p>
      <w:pPr>
        <w:pStyle w:val="BodyText"/>
        <w:spacing w:before="9"/>
        <w:rPr>
          <w:sz w:val="17"/>
        </w:rPr>
      </w:pPr>
    </w:p>
    <w:p>
      <w:pPr>
        <w:pStyle w:val="ListParagraph"/>
        <w:numPr>
          <w:ilvl w:val="0"/>
          <w:numId w:val="418"/>
        </w:numPr>
        <w:tabs>
          <w:tab w:pos="496" w:val="left" w:leader="none"/>
        </w:tabs>
        <w:spacing w:line="360" w:lineRule="auto" w:before="0" w:after="0"/>
        <w:ind w:left="102" w:right="119" w:firstLine="0"/>
        <w:jc w:val="both"/>
        <w:rPr>
          <w:sz w:val="22"/>
        </w:rPr>
      </w:pPr>
      <w:r>
        <w:rPr>
          <w:sz w:val="22"/>
        </w:rPr>
        <w:t>Participar en la Asamblea General con voz, pero sin voto (Valorar mediante los indicadores de </w:t>
      </w:r>
      <w:r>
        <w:rPr>
          <w:i/>
          <w:sz w:val="22"/>
        </w:rPr>
        <w:t>autogestión, democracia y</w:t>
      </w:r>
      <w:r>
        <w:rPr>
          <w:i/>
          <w:spacing w:val="-14"/>
          <w:sz w:val="22"/>
        </w:rPr>
        <w:t> </w:t>
      </w:r>
      <w:r>
        <w:rPr>
          <w:i/>
          <w:sz w:val="22"/>
        </w:rPr>
        <w:t>voluntariedad</w:t>
      </w:r>
      <w:r>
        <w:rPr>
          <w:sz w:val="22"/>
        </w:rPr>
        <w:t>).</w:t>
      </w:r>
    </w:p>
    <w:p>
      <w:pPr>
        <w:pStyle w:val="BodyText"/>
        <w:spacing w:before="4"/>
        <w:rPr>
          <w:sz w:val="17"/>
        </w:rPr>
      </w:pPr>
    </w:p>
    <w:p>
      <w:pPr>
        <w:pStyle w:val="Heading6"/>
        <w:ind w:left="219" w:right="239"/>
        <w:jc w:val="center"/>
      </w:pPr>
      <w:r>
        <w:rPr/>
        <w:t>TITULO CUARTO. DEL PATRIMONIO DEL COMITÉ</w:t>
      </w:r>
    </w:p>
    <w:p>
      <w:pPr>
        <w:pStyle w:val="BodyText"/>
        <w:spacing w:before="5"/>
        <w:rPr>
          <w:b/>
          <w:sz w:val="28"/>
        </w:rPr>
      </w:pPr>
    </w:p>
    <w:p>
      <w:pPr>
        <w:spacing w:before="1"/>
        <w:ind w:left="222" w:right="237" w:firstLine="0"/>
        <w:jc w:val="center"/>
        <w:rPr>
          <w:b/>
          <w:sz w:val="22"/>
        </w:rPr>
      </w:pPr>
      <w:r>
        <w:rPr>
          <w:b/>
          <w:sz w:val="22"/>
        </w:rPr>
        <w:t>Capítulo único</w:t>
      </w:r>
    </w:p>
    <w:p>
      <w:pPr>
        <w:pStyle w:val="BodyText"/>
        <w:spacing w:before="3"/>
        <w:rPr>
          <w:b/>
          <w:sz w:val="28"/>
        </w:rPr>
      </w:pPr>
    </w:p>
    <w:p>
      <w:pPr>
        <w:spacing w:before="0"/>
        <w:ind w:left="102" w:right="0" w:firstLine="0"/>
        <w:jc w:val="both"/>
        <w:rPr>
          <w:b/>
          <w:sz w:val="22"/>
        </w:rPr>
      </w:pPr>
      <w:r>
        <w:rPr>
          <w:b/>
          <w:sz w:val="22"/>
        </w:rPr>
        <w:t>Art 23.- El patrimonio del Comité estará integrado por lo siguiente:</w:t>
      </w:r>
    </w:p>
    <w:p>
      <w:pPr>
        <w:pStyle w:val="BodyText"/>
        <w:spacing w:before="8"/>
        <w:rPr>
          <w:b/>
          <w:sz w:val="28"/>
        </w:rPr>
      </w:pPr>
    </w:p>
    <w:p>
      <w:pPr>
        <w:pStyle w:val="ListParagraph"/>
        <w:numPr>
          <w:ilvl w:val="0"/>
          <w:numId w:val="419"/>
        </w:numPr>
        <w:tabs>
          <w:tab w:pos="309" w:val="left" w:leader="none"/>
        </w:tabs>
        <w:spacing w:line="360" w:lineRule="auto" w:before="0" w:after="0"/>
        <w:ind w:left="102" w:right="121" w:firstLine="0"/>
        <w:jc w:val="both"/>
        <w:rPr>
          <w:sz w:val="22"/>
        </w:rPr>
      </w:pPr>
      <w:r>
        <w:rPr>
          <w:sz w:val="22"/>
        </w:rPr>
        <w:t>Los bienes muebles e inmuebles y derechos que sean adquiridos para cumplir con su objetivo.</w:t>
      </w:r>
    </w:p>
    <w:p>
      <w:pPr>
        <w:pStyle w:val="BodyText"/>
        <w:spacing w:before="7"/>
        <w:rPr>
          <w:sz w:val="17"/>
        </w:rPr>
      </w:pPr>
    </w:p>
    <w:p>
      <w:pPr>
        <w:pStyle w:val="ListParagraph"/>
        <w:numPr>
          <w:ilvl w:val="0"/>
          <w:numId w:val="419"/>
        </w:numPr>
        <w:tabs>
          <w:tab w:pos="381" w:val="left" w:leader="none"/>
        </w:tabs>
        <w:spacing w:line="360" w:lineRule="auto" w:before="0" w:after="0"/>
        <w:ind w:left="102" w:right="118" w:firstLine="0"/>
        <w:jc w:val="both"/>
        <w:rPr>
          <w:sz w:val="22"/>
        </w:rPr>
      </w:pPr>
      <w:r>
        <w:rPr>
          <w:sz w:val="22"/>
        </w:rPr>
        <w:t>Los subsidios y demás aportaciones que le otorguen los gobiernos federal, estatal y municipal.</w:t>
      </w:r>
    </w:p>
    <w:p>
      <w:pPr>
        <w:pStyle w:val="BodyText"/>
        <w:spacing w:before="9"/>
        <w:rPr>
          <w:sz w:val="17"/>
        </w:rPr>
      </w:pPr>
    </w:p>
    <w:p>
      <w:pPr>
        <w:pStyle w:val="ListParagraph"/>
        <w:numPr>
          <w:ilvl w:val="0"/>
          <w:numId w:val="419"/>
        </w:numPr>
        <w:tabs>
          <w:tab w:pos="467" w:val="left" w:leader="none"/>
        </w:tabs>
        <w:spacing w:line="360" w:lineRule="auto" w:before="0" w:after="0"/>
        <w:ind w:left="102" w:right="121" w:firstLine="0"/>
        <w:jc w:val="both"/>
        <w:rPr>
          <w:sz w:val="22"/>
        </w:rPr>
      </w:pPr>
      <w:r>
        <w:rPr>
          <w:sz w:val="22"/>
        </w:rPr>
        <w:t>Los ingresos que perciba derivados de la prestación de servicios de recolección, traslado, tratamiento y disposición final de residuos sólidos y sus actividades inherentes a éste, previa autorización</w:t>
      </w:r>
      <w:r>
        <w:rPr>
          <w:spacing w:val="-9"/>
          <w:sz w:val="22"/>
        </w:rPr>
        <w:t> </w:t>
      </w:r>
      <w:r>
        <w:rPr>
          <w:sz w:val="22"/>
        </w:rPr>
        <w:t>correspondiente.</w:t>
      </w:r>
    </w:p>
    <w:p>
      <w:pPr>
        <w:spacing w:after="0" w:line="360" w:lineRule="auto"/>
        <w:jc w:val="both"/>
        <w:rPr>
          <w:sz w:val="22"/>
        </w:rPr>
        <w:sectPr>
          <w:pgSz w:w="12240" w:h="15840"/>
          <w:pgMar w:header="0" w:footer="943" w:top="1360" w:bottom="1200" w:left="1600" w:right="1580"/>
        </w:sectPr>
      </w:pPr>
    </w:p>
    <w:p>
      <w:pPr>
        <w:pStyle w:val="ListParagraph"/>
        <w:numPr>
          <w:ilvl w:val="0"/>
          <w:numId w:val="419"/>
        </w:numPr>
        <w:tabs>
          <w:tab w:pos="445" w:val="left" w:leader="none"/>
        </w:tabs>
        <w:spacing w:line="362" w:lineRule="auto" w:before="53" w:after="0"/>
        <w:ind w:left="102" w:right="119" w:firstLine="0"/>
        <w:jc w:val="both"/>
        <w:rPr>
          <w:sz w:val="22"/>
        </w:rPr>
      </w:pPr>
      <w:r>
        <w:rPr>
          <w:sz w:val="22"/>
        </w:rPr>
        <w:t>Los créditos, donaciones, y demás y demás ingresos que se obtengan en dinero o en especie de instituciones públicas o/y privadas ya sea nacionales o</w:t>
      </w:r>
      <w:r>
        <w:rPr>
          <w:spacing w:val="-18"/>
          <w:sz w:val="22"/>
        </w:rPr>
        <w:t> </w:t>
      </w:r>
      <w:r>
        <w:rPr>
          <w:sz w:val="22"/>
        </w:rPr>
        <w:t>internacionales.</w:t>
      </w:r>
    </w:p>
    <w:p>
      <w:pPr>
        <w:pStyle w:val="BodyText"/>
        <w:spacing w:before="4"/>
        <w:rPr>
          <w:sz w:val="17"/>
        </w:rPr>
      </w:pPr>
    </w:p>
    <w:p>
      <w:pPr>
        <w:pStyle w:val="ListParagraph"/>
        <w:numPr>
          <w:ilvl w:val="0"/>
          <w:numId w:val="419"/>
        </w:numPr>
        <w:tabs>
          <w:tab w:pos="373" w:val="left" w:leader="none"/>
        </w:tabs>
        <w:spacing w:line="240" w:lineRule="auto" w:before="0" w:after="0"/>
        <w:ind w:left="373" w:right="0" w:hanging="271"/>
        <w:jc w:val="both"/>
        <w:rPr>
          <w:sz w:val="22"/>
        </w:rPr>
      </w:pPr>
      <w:r>
        <w:rPr>
          <w:sz w:val="22"/>
        </w:rPr>
        <w:t>Cualquier otro ingreso que se obtenga por las actividades</w:t>
      </w:r>
      <w:r>
        <w:rPr>
          <w:spacing w:val="-28"/>
          <w:sz w:val="22"/>
        </w:rPr>
        <w:t> </w:t>
      </w:r>
      <w:r>
        <w:rPr>
          <w:sz w:val="22"/>
        </w:rPr>
        <w:t>realizadas.</w:t>
      </w:r>
    </w:p>
    <w:p>
      <w:pPr>
        <w:pStyle w:val="BodyText"/>
        <w:spacing w:before="1"/>
        <w:rPr>
          <w:sz w:val="28"/>
        </w:rPr>
      </w:pPr>
    </w:p>
    <w:p>
      <w:pPr>
        <w:pStyle w:val="Heading6"/>
        <w:ind w:left="213" w:right="239"/>
        <w:jc w:val="center"/>
      </w:pPr>
      <w:r>
        <w:rPr/>
        <w:t>TITULO QUINTO. DE LA RENDICIÓN DE CUENTAS</w:t>
      </w:r>
    </w:p>
    <w:p>
      <w:pPr>
        <w:pStyle w:val="BodyText"/>
        <w:spacing w:before="5"/>
        <w:rPr>
          <w:b/>
          <w:sz w:val="28"/>
        </w:rPr>
      </w:pPr>
    </w:p>
    <w:p>
      <w:pPr>
        <w:spacing w:before="1"/>
        <w:ind w:left="222" w:right="237" w:firstLine="0"/>
        <w:jc w:val="center"/>
        <w:rPr>
          <w:b/>
          <w:sz w:val="22"/>
        </w:rPr>
      </w:pPr>
      <w:r>
        <w:rPr>
          <w:b/>
          <w:sz w:val="22"/>
        </w:rPr>
        <w:t>Capítulo I. De la rendición de cuentas</w:t>
      </w:r>
    </w:p>
    <w:p>
      <w:pPr>
        <w:pStyle w:val="BodyText"/>
        <w:spacing w:before="3"/>
        <w:rPr>
          <w:b/>
          <w:sz w:val="28"/>
        </w:rPr>
      </w:pPr>
    </w:p>
    <w:p>
      <w:pPr>
        <w:pStyle w:val="BodyText"/>
        <w:spacing w:line="360" w:lineRule="auto"/>
        <w:ind w:left="102" w:right="115"/>
        <w:jc w:val="both"/>
      </w:pPr>
      <w:r>
        <w:rPr>
          <w:b/>
        </w:rPr>
        <w:t>Art 24.- </w:t>
      </w:r>
      <w:r>
        <w:rPr/>
        <w:t>La Asamblea General Intermunicipal en conjunto con el Comité de Vigilancia, tendrán el derecho de solicitar rendición de cuentas a los integrantes del Órgano de Gobierno del Comité Intermunicipal para cuidar, defender y administrar los recursos naturales de la Cuenca Hidrososcial Presa Huapango de sus actos y acciones que consideren lícitos e ilícitos las veces que sea necesario.</w:t>
      </w:r>
    </w:p>
    <w:p>
      <w:pPr>
        <w:pStyle w:val="BodyText"/>
        <w:spacing w:before="4"/>
        <w:rPr>
          <w:sz w:val="17"/>
        </w:rPr>
      </w:pPr>
    </w:p>
    <w:p>
      <w:pPr>
        <w:pStyle w:val="BodyText"/>
        <w:spacing w:line="360" w:lineRule="auto"/>
        <w:ind w:left="102" w:right="115"/>
        <w:jc w:val="both"/>
      </w:pPr>
      <w:r>
        <w:rPr>
          <w:b/>
        </w:rPr>
        <w:t>Art. 25.- </w:t>
      </w:r>
      <w:r>
        <w:rPr/>
        <w:t>Los actores que incurran en faltas ilícitas no podrán participar en ningún puesto honorifico y auxiliar en la comunidad y la región, además de que serán sujetos a la aplicabilidad de la ley correspondiente tanto formal e informal.</w:t>
      </w:r>
    </w:p>
    <w:p>
      <w:pPr>
        <w:pStyle w:val="BodyText"/>
        <w:spacing w:before="7"/>
        <w:rPr>
          <w:sz w:val="17"/>
        </w:rPr>
      </w:pPr>
    </w:p>
    <w:p>
      <w:pPr>
        <w:pStyle w:val="Heading6"/>
        <w:ind w:left="222" w:right="239"/>
        <w:jc w:val="center"/>
      </w:pPr>
      <w:r>
        <w:rPr/>
        <w:t>Capítulo II. De la evaluación del Comité</w:t>
      </w:r>
    </w:p>
    <w:p>
      <w:pPr>
        <w:pStyle w:val="BodyText"/>
        <w:spacing w:before="5"/>
        <w:rPr>
          <w:b/>
          <w:sz w:val="28"/>
        </w:rPr>
      </w:pPr>
    </w:p>
    <w:p>
      <w:pPr>
        <w:pStyle w:val="BodyText"/>
        <w:spacing w:line="360" w:lineRule="auto" w:before="1"/>
        <w:ind w:left="102" w:right="117"/>
        <w:jc w:val="both"/>
      </w:pPr>
      <w:r>
        <w:rPr/>
        <w:t>Art. 26.- El Comité Intermunicipal será evaluado después del primer año de gestión y un año antes de que termine su período de administración por el Comité de Vigilancia y la Asamblea Intermunicipal de actores históricos de la Cuenca Hidrosocial Presa Huapango.</w:t>
      </w:r>
    </w:p>
    <w:p>
      <w:pPr>
        <w:pStyle w:val="BodyText"/>
        <w:spacing w:before="4"/>
        <w:rPr>
          <w:sz w:val="17"/>
        </w:rPr>
      </w:pPr>
    </w:p>
    <w:p>
      <w:pPr>
        <w:pStyle w:val="Heading6"/>
        <w:ind w:left="222" w:right="235"/>
        <w:jc w:val="center"/>
      </w:pPr>
      <w:r>
        <w:rPr/>
        <w:t>ARTÍCULOS TRANSITORIOS</w:t>
      </w:r>
    </w:p>
    <w:p>
      <w:pPr>
        <w:pStyle w:val="BodyText"/>
        <w:spacing w:before="3"/>
        <w:rPr>
          <w:b/>
          <w:sz w:val="28"/>
        </w:rPr>
      </w:pPr>
    </w:p>
    <w:p>
      <w:pPr>
        <w:pStyle w:val="BodyText"/>
        <w:spacing w:line="362" w:lineRule="auto"/>
        <w:ind w:left="102" w:right="117"/>
        <w:jc w:val="both"/>
      </w:pPr>
      <w:r>
        <w:rPr>
          <w:b/>
        </w:rPr>
        <w:t>PRIMERO. </w:t>
      </w:r>
      <w:r>
        <w:rPr/>
        <w:t>El presente Reglamento deberá ser aprobado en Asamblea General constando su aprobación en el acta correspondiente. Una vez aprobado, entrará en vigor al día</w:t>
      </w:r>
      <w:r>
        <w:rPr>
          <w:spacing w:val="-4"/>
        </w:rPr>
        <w:t> </w:t>
      </w:r>
      <w:r>
        <w:rPr/>
        <w:t>siguiente.</w:t>
      </w:r>
    </w:p>
    <w:p>
      <w:pPr>
        <w:pStyle w:val="BodyText"/>
        <w:spacing w:line="362" w:lineRule="auto" w:before="197"/>
        <w:ind w:left="102" w:right="122"/>
        <w:jc w:val="both"/>
      </w:pPr>
      <w:r>
        <w:rPr>
          <w:b/>
        </w:rPr>
        <w:t>SEGUNDO. </w:t>
      </w:r>
      <w:r>
        <w:rPr/>
        <w:t>Deberá ser publicado en la página web del Comité en lugares públicos de la Cuenca Hidrosocial Presa Huapango y/o en boletín del Comité para su conocimiento.</w:t>
      </w:r>
    </w:p>
    <w:p>
      <w:pPr>
        <w:pStyle w:val="BodyText"/>
        <w:spacing w:before="4"/>
        <w:rPr>
          <w:sz w:val="17"/>
        </w:rPr>
      </w:pPr>
    </w:p>
    <w:p>
      <w:pPr>
        <w:pStyle w:val="BodyText"/>
        <w:spacing w:line="360" w:lineRule="auto"/>
        <w:ind w:left="102" w:right="117"/>
        <w:jc w:val="both"/>
      </w:pPr>
      <w:r>
        <w:rPr>
          <w:b/>
        </w:rPr>
        <w:t>TERCERO. </w:t>
      </w:r>
      <w:r>
        <w:rPr/>
        <w:t>El presente Reglamento podrá ser modificado, adicionado, abrogado y derogado cuantas veces sea necesario, en Asamblea General y por acuerdo escrito del órgano de gobierno del Comité.</w:t>
      </w:r>
    </w:p>
    <w:p>
      <w:pPr>
        <w:spacing w:after="0" w:line="360" w:lineRule="auto"/>
        <w:jc w:val="both"/>
        <w:sectPr>
          <w:pgSz w:w="12240" w:h="15840"/>
          <w:pgMar w:header="0" w:footer="943" w:top="1360" w:bottom="1200" w:left="1600" w:right="1580"/>
        </w:sectPr>
      </w:pPr>
    </w:p>
    <w:p>
      <w:pPr>
        <w:pStyle w:val="BodyText"/>
        <w:tabs>
          <w:tab w:pos="1389" w:val="left" w:leader="none"/>
          <w:tab w:pos="3431" w:val="left" w:leader="none"/>
          <w:tab w:pos="4829" w:val="left" w:leader="none"/>
        </w:tabs>
        <w:spacing w:line="362" w:lineRule="auto" w:before="53"/>
        <w:ind w:left="255" w:right="217"/>
        <w:jc w:val="center"/>
      </w:pPr>
      <w:r>
        <w:rPr/>
        <w:t>Aprobado en el municipio de Acambay, Aculco, Jilotepec, Polotitlán o Timilpan, México</w:t>
      </w:r>
      <w:r>
        <w:rPr>
          <w:spacing w:val="-22"/>
        </w:rPr>
        <w:t> </w:t>
      </w:r>
      <w:r>
        <w:rPr/>
        <w:t>a los</w:t>
      </w:r>
      <w:r>
        <w:rPr>
          <w:u w:val="single"/>
        </w:rPr>
        <w:t> </w:t>
        <w:tab/>
      </w:r>
      <w:r>
        <w:rPr/>
        <w:t>días del</w:t>
      </w:r>
      <w:r>
        <w:rPr>
          <w:spacing w:val="-1"/>
        </w:rPr>
        <w:t> </w:t>
      </w:r>
      <w:r>
        <w:rPr/>
        <w:t>mes</w:t>
      </w:r>
      <w:r>
        <w:rPr>
          <w:spacing w:val="-5"/>
        </w:rPr>
        <w:t> </w:t>
      </w:r>
      <w:r>
        <w:rPr/>
        <w:t>de</w:t>
      </w:r>
      <w:r>
        <w:rPr>
          <w:u w:val="single"/>
        </w:rPr>
        <w:t> </w:t>
        <w:tab/>
      </w:r>
      <w:r>
        <w:rPr/>
        <w:t>del año</w:t>
      </w:r>
      <w:r>
        <w:rPr>
          <w:u w:val="single"/>
        </w:rPr>
        <w:t> </w:t>
        <w:tab/>
      </w:r>
      <w:r>
        <w:rPr/>
        <w:t>.</w:t>
      </w:r>
    </w:p>
    <w:p>
      <w:pPr>
        <w:pStyle w:val="BodyText"/>
      </w:pPr>
    </w:p>
    <w:p>
      <w:pPr>
        <w:pStyle w:val="BodyText"/>
      </w:pPr>
    </w:p>
    <w:p>
      <w:pPr>
        <w:pStyle w:val="BodyText"/>
        <w:spacing w:before="5"/>
        <w:rPr>
          <w:sz w:val="23"/>
        </w:rPr>
      </w:pPr>
    </w:p>
    <w:p>
      <w:pPr>
        <w:pStyle w:val="Heading6"/>
        <w:ind w:left="255" w:right="217"/>
        <w:jc w:val="center"/>
      </w:pPr>
      <w:r>
        <w:rPr/>
        <w:t>ÓRGANO DE GOBIERNO DEL COMITÉ</w:t>
      </w:r>
    </w:p>
    <w:p>
      <w:pPr>
        <w:pStyle w:val="BodyText"/>
        <w:rPr>
          <w:b/>
          <w:sz w:val="20"/>
        </w:rPr>
      </w:pPr>
    </w:p>
    <w:p>
      <w:pPr>
        <w:pStyle w:val="BodyText"/>
        <w:rPr>
          <w:b/>
          <w:sz w:val="20"/>
        </w:rPr>
      </w:pPr>
    </w:p>
    <w:p>
      <w:pPr>
        <w:spacing w:after="0"/>
        <w:rPr>
          <w:sz w:val="20"/>
        </w:rPr>
        <w:sectPr>
          <w:pgSz w:w="12240" w:h="15840"/>
          <w:pgMar w:header="0" w:footer="943" w:top="1360" w:bottom="1200" w:left="1540" w:right="1580"/>
        </w:sectPr>
      </w:pPr>
    </w:p>
    <w:p>
      <w:pPr>
        <w:pStyle w:val="BodyText"/>
        <w:spacing w:before="8"/>
        <w:rPr>
          <w:b/>
          <w:sz w:val="21"/>
        </w:rPr>
      </w:pPr>
    </w:p>
    <w:p>
      <w:pPr>
        <w:pStyle w:val="BodyText"/>
        <w:ind w:left="1212"/>
        <w:jc w:val="center"/>
      </w:pPr>
      <w:r>
        <w:rPr/>
        <w:t>C.</w:t>
      </w:r>
    </w:p>
    <w:p>
      <w:pPr>
        <w:pStyle w:val="BodyText"/>
        <w:spacing w:before="176"/>
        <w:ind w:left="1215"/>
        <w:jc w:val="center"/>
      </w:pPr>
      <w:r>
        <w:rPr/>
        <w:pict>
          <v:line style="position:absolute;mso-position-horizontal-relative:page;mso-position-vertical-relative:paragraph;z-index:16552" from="83.664001pt,8.197888pt" to="300.164001pt,8.197888pt" stroked="true" strokeweight="1.44pt" strokecolor="#000000">
            <w10:wrap type="none"/>
          </v:line>
        </w:pict>
      </w:r>
      <w:r>
        <w:rPr/>
        <w:t>Presidente del Comité</w:t>
      </w:r>
    </w:p>
    <w:p>
      <w:pPr>
        <w:pStyle w:val="BodyText"/>
        <w:spacing w:before="8"/>
        <w:rPr>
          <w:sz w:val="21"/>
        </w:rPr>
      </w:pPr>
      <w:r>
        <w:rPr/>
        <w:br w:type="column"/>
      </w:r>
      <w:r>
        <w:rPr>
          <w:sz w:val="21"/>
        </w:rPr>
      </w:r>
    </w:p>
    <w:p>
      <w:pPr>
        <w:pStyle w:val="BodyText"/>
        <w:ind w:left="1288" w:right="258"/>
        <w:jc w:val="center"/>
      </w:pPr>
      <w:r>
        <w:rPr/>
        <w:t>C.</w:t>
      </w:r>
    </w:p>
    <w:p>
      <w:pPr>
        <w:pStyle w:val="BodyText"/>
        <w:spacing w:before="7"/>
        <w:rPr>
          <w:sz w:val="9"/>
        </w:rPr>
      </w:pPr>
      <w:r>
        <w:rPr/>
        <w:pict>
          <v:line style="position:absolute;mso-position-horizontal-relative:page;mso-position-vertical-relative:paragraph;z-index:16456;mso-wrap-distance-left:0;mso-wrap-distance-right:0" from="308.089996pt,8.228943pt" to="524.619996pt,8.228943pt" stroked="true" strokeweight="1.44pt" strokecolor="#000000">
            <w10:wrap type="topAndBottom"/>
          </v:line>
        </w:pict>
      </w:r>
    </w:p>
    <w:p>
      <w:pPr>
        <w:pStyle w:val="BodyText"/>
        <w:ind w:left="2306"/>
      </w:pPr>
      <w:r>
        <w:rPr/>
        <w:t>Secretario del Comité</w:t>
      </w:r>
    </w:p>
    <w:p>
      <w:pPr>
        <w:pStyle w:val="BodyText"/>
      </w:pPr>
    </w:p>
    <w:p>
      <w:pPr>
        <w:pStyle w:val="BodyText"/>
      </w:pPr>
    </w:p>
    <w:p>
      <w:pPr>
        <w:pStyle w:val="BodyText"/>
        <w:spacing w:before="3"/>
        <w:rPr>
          <w:sz w:val="17"/>
        </w:rPr>
      </w:pPr>
    </w:p>
    <w:p>
      <w:pPr>
        <w:pStyle w:val="BodyText"/>
        <w:ind w:left="403" w:right="3263"/>
        <w:jc w:val="center"/>
      </w:pPr>
      <w:r>
        <w:rPr/>
        <w:t>C.</w:t>
      </w:r>
    </w:p>
    <w:p>
      <w:pPr>
        <w:pStyle w:val="BodyText"/>
        <w:spacing w:before="176"/>
        <w:ind w:left="401" w:right="3263"/>
        <w:jc w:val="center"/>
      </w:pPr>
      <w:r>
        <w:rPr/>
        <w:pict>
          <v:line style="position:absolute;mso-position-horizontal-relative:page;mso-position-vertical-relative:paragraph;z-index:16576" from="216.649994pt,8.197873pt" to="421.389994pt,8.197873pt" stroked="true" strokeweight="1.44pt" strokecolor="#000000">
            <w10:wrap type="none"/>
          </v:line>
        </w:pict>
      </w:r>
      <w:r>
        <w:rPr/>
        <w:t>Tesorero del Comité</w:t>
      </w:r>
    </w:p>
    <w:p>
      <w:pPr>
        <w:spacing w:after="0"/>
        <w:jc w:val="center"/>
        <w:sectPr>
          <w:type w:val="continuous"/>
          <w:pgSz w:w="12240" w:h="15840"/>
          <w:pgMar w:top="1360" w:bottom="1200" w:left="1540" w:right="1580"/>
          <w:cols w:num="2" w:equalWidth="0">
            <w:col w:w="3383" w:space="40"/>
            <w:col w:w="569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pStyle w:val="Heading6"/>
        <w:spacing w:before="72"/>
        <w:ind w:left="255" w:right="214"/>
        <w:jc w:val="center"/>
      </w:pPr>
      <w:r>
        <w:rPr/>
        <w:t>COMITÉ DE VIGILANCIA</w:t>
      </w:r>
    </w:p>
    <w:p>
      <w:pPr>
        <w:pStyle w:val="BodyText"/>
        <w:rPr>
          <w:b/>
          <w:sz w:val="20"/>
        </w:rPr>
      </w:pPr>
    </w:p>
    <w:p>
      <w:pPr>
        <w:pStyle w:val="BodyText"/>
        <w:rPr>
          <w:b/>
          <w:sz w:val="20"/>
        </w:rPr>
      </w:pPr>
    </w:p>
    <w:p>
      <w:pPr>
        <w:spacing w:after="0"/>
        <w:rPr>
          <w:sz w:val="20"/>
        </w:rPr>
        <w:sectPr>
          <w:type w:val="continuous"/>
          <w:pgSz w:w="12240" w:h="15840"/>
          <w:pgMar w:top="1360" w:bottom="1200" w:left="1540" w:right="1580"/>
        </w:sectPr>
      </w:pPr>
    </w:p>
    <w:p>
      <w:pPr>
        <w:pStyle w:val="BodyText"/>
        <w:spacing w:before="8"/>
        <w:rPr>
          <w:b/>
          <w:sz w:val="21"/>
        </w:rPr>
      </w:pPr>
    </w:p>
    <w:p>
      <w:pPr>
        <w:pStyle w:val="BodyText"/>
        <w:ind w:left="563"/>
        <w:jc w:val="center"/>
      </w:pPr>
      <w:r>
        <w:rPr/>
        <w:t>C.</w:t>
      </w:r>
    </w:p>
    <w:p>
      <w:pPr>
        <w:pStyle w:val="BodyText"/>
        <w:spacing w:before="176"/>
        <w:ind w:left="560"/>
        <w:jc w:val="center"/>
      </w:pPr>
      <w:r>
        <w:rPr/>
        <w:pict>
          <v:line style="position:absolute;mso-position-horizontal-relative:page;mso-position-vertical-relative:paragraph;z-index:16600" from="83.664001pt,8.19786pt" to="300.164001pt,8.19786pt" stroked="true" strokeweight="1.44pt" strokecolor="#000000">
            <w10:wrap type="none"/>
          </v:line>
        </w:pict>
      </w:r>
      <w:r>
        <w:rPr/>
        <w:t>Presidente del Comité de</w:t>
      </w:r>
      <w:r>
        <w:rPr>
          <w:spacing w:val="-13"/>
        </w:rPr>
        <w:t> </w:t>
      </w:r>
      <w:r>
        <w:rPr/>
        <w:t>Vigilancia</w:t>
      </w:r>
    </w:p>
    <w:p>
      <w:pPr>
        <w:pStyle w:val="BodyText"/>
        <w:spacing w:before="8"/>
        <w:rPr>
          <w:sz w:val="21"/>
        </w:rPr>
      </w:pPr>
      <w:r>
        <w:rPr/>
        <w:br w:type="column"/>
      </w:r>
      <w:r>
        <w:rPr>
          <w:sz w:val="21"/>
        </w:rPr>
      </w:r>
    </w:p>
    <w:p>
      <w:pPr>
        <w:pStyle w:val="BodyText"/>
        <w:ind w:left="541" w:right="599"/>
        <w:jc w:val="center"/>
      </w:pPr>
      <w:r>
        <w:rPr/>
        <w:t>C.</w:t>
      </w:r>
    </w:p>
    <w:p>
      <w:pPr>
        <w:pStyle w:val="BodyText"/>
        <w:spacing w:before="7"/>
        <w:rPr>
          <w:sz w:val="9"/>
        </w:rPr>
      </w:pPr>
      <w:r>
        <w:rPr/>
        <w:pict>
          <v:line style="position:absolute;mso-position-horizontal-relative:page;mso-position-vertical-relative:paragraph;z-index:16480;mso-wrap-distance-left:0;mso-wrap-distance-right:0" from="308.089996pt,8.228946pt" to="524.619996pt,8.228946pt" stroked="true" strokeweight="1.44pt" strokecolor="#000000">
            <w10:wrap type="topAndBottom"/>
          </v:line>
        </w:pict>
      </w:r>
    </w:p>
    <w:p>
      <w:pPr>
        <w:pStyle w:val="BodyText"/>
        <w:ind w:left="541" w:right="601"/>
        <w:jc w:val="center"/>
      </w:pPr>
      <w:r>
        <w:rPr/>
        <w:t>Secretario del Comité de Vigilancia</w:t>
      </w:r>
    </w:p>
    <w:p>
      <w:pPr>
        <w:spacing w:after="0"/>
        <w:jc w:val="center"/>
        <w:sectPr>
          <w:type w:val="continuous"/>
          <w:pgSz w:w="12240" w:h="15840"/>
          <w:pgMar w:top="1360" w:bottom="1200" w:left="1540" w:right="1580"/>
          <w:cols w:num="2" w:equalWidth="0">
            <w:col w:w="4032" w:space="481"/>
            <w:col w:w="4607"/>
          </w:cols>
        </w:sectPr>
      </w:pPr>
    </w:p>
    <w:p>
      <w:pPr>
        <w:pStyle w:val="BodyText"/>
        <w:rPr>
          <w:sz w:val="20"/>
        </w:rPr>
      </w:pPr>
    </w:p>
    <w:p>
      <w:pPr>
        <w:pStyle w:val="BodyText"/>
        <w:rPr>
          <w:sz w:val="20"/>
        </w:rPr>
      </w:pPr>
    </w:p>
    <w:p>
      <w:pPr>
        <w:pStyle w:val="BodyText"/>
        <w:rPr>
          <w:sz w:val="20"/>
        </w:rPr>
      </w:pPr>
    </w:p>
    <w:p>
      <w:pPr>
        <w:pStyle w:val="BodyText"/>
        <w:spacing w:before="194"/>
        <w:ind w:left="776" w:right="217"/>
        <w:jc w:val="center"/>
      </w:pPr>
      <w:r>
        <w:rPr/>
        <w:t>C.</w:t>
      </w:r>
    </w:p>
    <w:p>
      <w:pPr>
        <w:pStyle w:val="BodyText"/>
        <w:spacing w:before="7"/>
        <w:rPr>
          <w:sz w:val="9"/>
        </w:rPr>
      </w:pPr>
      <w:r>
        <w:rPr/>
        <w:pict>
          <v:line style="position:absolute;mso-position-horizontal-relative:page;mso-position-vertical-relative:paragraph;z-index:16504;mso-wrap-distance-left:0;mso-wrap-distance-right:0" from="216.649994pt,8.228960pt" to="421.389994pt,8.228960pt" stroked="true" strokeweight="1.44pt" strokecolor="#000000">
            <w10:wrap type="topAndBottom"/>
          </v:line>
        </w:pict>
      </w:r>
    </w:p>
    <w:p>
      <w:pPr>
        <w:pStyle w:val="BodyText"/>
        <w:ind w:left="776" w:right="217"/>
        <w:jc w:val="center"/>
      </w:pPr>
      <w:r>
        <w:rPr/>
        <w:t>Vocal del Comité de Vigilancia</w:t>
      </w:r>
    </w:p>
    <w:p>
      <w:pPr>
        <w:pStyle w:val="BodyText"/>
      </w:pPr>
    </w:p>
    <w:p>
      <w:pPr>
        <w:pStyle w:val="BodyText"/>
      </w:pPr>
    </w:p>
    <w:p>
      <w:pPr>
        <w:pStyle w:val="BodyText"/>
      </w:pPr>
    </w:p>
    <w:p>
      <w:pPr>
        <w:pStyle w:val="BodyText"/>
        <w:spacing w:before="128"/>
        <w:ind w:left="776" w:right="217"/>
        <w:jc w:val="center"/>
      </w:pPr>
      <w:r>
        <w:rPr/>
        <w:t>C.</w:t>
      </w:r>
    </w:p>
    <w:p>
      <w:pPr>
        <w:pStyle w:val="BodyText"/>
        <w:spacing w:before="5"/>
        <w:rPr>
          <w:sz w:val="9"/>
        </w:rPr>
      </w:pPr>
      <w:r>
        <w:rPr/>
        <w:pict>
          <v:line style="position:absolute;mso-position-horizontal-relative:page;mso-position-vertical-relative:paragraph;z-index:16528;mso-wrap-distance-left:0;mso-wrap-distance-right:0" from="216.649994pt,8.138949pt" to="421.389994pt,8.138949pt" stroked="true" strokeweight="1.44pt" strokecolor="#000000">
            <w10:wrap type="topAndBottom"/>
          </v:line>
        </w:pict>
      </w:r>
    </w:p>
    <w:p>
      <w:pPr>
        <w:pStyle w:val="BodyText"/>
        <w:ind w:left="3990"/>
      </w:pPr>
      <w:r>
        <w:rPr/>
        <w:t>C.C. De la CHPH</w:t>
      </w:r>
    </w:p>
    <w:p>
      <w:pPr>
        <w:spacing w:after="0"/>
        <w:sectPr>
          <w:type w:val="continuous"/>
          <w:pgSz w:w="12240" w:h="15840"/>
          <w:pgMar w:top="1360" w:bottom="1200" w:left="1540" w:right="1580"/>
        </w:sectPr>
      </w:pPr>
    </w:p>
    <w:p>
      <w:pPr>
        <w:pStyle w:val="Heading6"/>
        <w:numPr>
          <w:ilvl w:val="1"/>
          <w:numId w:val="368"/>
        </w:numPr>
        <w:tabs>
          <w:tab w:pos="923" w:val="left" w:leader="none"/>
        </w:tabs>
        <w:spacing w:line="360" w:lineRule="auto" w:before="51" w:after="0"/>
        <w:ind w:left="222" w:right="220" w:firstLine="0"/>
        <w:jc w:val="both"/>
      </w:pPr>
      <w:r>
        <w:rPr/>
        <w:t>INSTRUMENTO DE MONITOREO Y EVALUACIÓN DEL REGLAMENTO INTERIOR DEL COMITÉ INTERMUNICIPAL PARA CUIDAR, DEFENDER Y ADMINISTRAR LOS RECURSOS NATURALES DE LA CUENCA HIDROSOCIAL PRESA</w:t>
      </w:r>
      <w:r>
        <w:rPr>
          <w:spacing w:val="-9"/>
        </w:rPr>
        <w:t> </w:t>
      </w:r>
      <w:r>
        <w:rPr/>
        <w:t>HUAPANGO</w:t>
      </w:r>
    </w:p>
    <w:p>
      <w:pPr>
        <w:pStyle w:val="BodyText"/>
        <w:rPr>
          <w:b/>
          <w:sz w:val="1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25"/>
        <w:gridCol w:w="4523"/>
      </w:tblGrid>
      <w:tr>
        <w:trPr>
          <w:trHeight w:val="389" w:hRule="exact"/>
        </w:trPr>
        <w:tc>
          <w:tcPr>
            <w:tcW w:w="4525" w:type="dxa"/>
          </w:tcPr>
          <w:p>
            <w:pPr>
              <w:pStyle w:val="TableParagraph"/>
              <w:spacing w:line="248" w:lineRule="exact"/>
              <w:ind w:left="331" w:right="102"/>
              <w:rPr>
                <w:b/>
                <w:sz w:val="22"/>
              </w:rPr>
            </w:pPr>
            <w:r>
              <w:rPr>
                <w:b/>
                <w:sz w:val="22"/>
              </w:rPr>
              <w:t>Estructura del Comité Intermunicipal</w:t>
            </w:r>
          </w:p>
        </w:tc>
        <w:tc>
          <w:tcPr>
            <w:tcW w:w="4523" w:type="dxa"/>
          </w:tcPr>
          <w:p>
            <w:pPr>
              <w:pStyle w:val="TableParagraph"/>
              <w:spacing w:line="248" w:lineRule="exact"/>
              <w:ind w:left="1020" w:right="100"/>
              <w:rPr>
                <w:b/>
                <w:sz w:val="22"/>
              </w:rPr>
            </w:pPr>
            <w:r>
              <w:rPr>
                <w:b/>
                <w:sz w:val="22"/>
              </w:rPr>
              <w:t>Monitoreo y Evaluación</w:t>
            </w:r>
          </w:p>
        </w:tc>
      </w:tr>
      <w:tr>
        <w:trPr>
          <w:trHeight w:val="1150" w:hRule="exact"/>
        </w:trPr>
        <w:tc>
          <w:tcPr>
            <w:tcW w:w="4525" w:type="dxa"/>
          </w:tcPr>
          <w:p>
            <w:pPr>
              <w:pStyle w:val="TableParagraph"/>
              <w:spacing w:line="251" w:lineRule="exact"/>
              <w:ind w:right="102"/>
              <w:rPr>
                <w:b/>
                <w:sz w:val="22"/>
              </w:rPr>
            </w:pPr>
            <w:r>
              <w:rPr>
                <w:b/>
                <w:sz w:val="22"/>
              </w:rPr>
              <w:t>EXPOSICIÓN DE MOTIVOS</w:t>
            </w:r>
          </w:p>
        </w:tc>
        <w:tc>
          <w:tcPr>
            <w:tcW w:w="4523" w:type="dxa"/>
          </w:tcPr>
          <w:p>
            <w:pPr>
              <w:pStyle w:val="TableParagraph"/>
              <w:spacing w:line="360" w:lineRule="auto"/>
              <w:ind w:left="100" w:right="101"/>
              <w:jc w:val="both"/>
              <w:rPr>
                <w:sz w:val="22"/>
              </w:rPr>
            </w:pPr>
            <w:r>
              <w:rPr>
                <w:sz w:val="22"/>
              </w:rPr>
              <w:t>Gestión Integrada de los Recursos  Hídricos, gobernanza y gobernabilidad en trabajo de campo y</w:t>
            </w:r>
            <w:r>
              <w:rPr>
                <w:spacing w:val="-8"/>
                <w:sz w:val="22"/>
              </w:rPr>
              <w:t> </w:t>
            </w:r>
            <w:r>
              <w:rPr>
                <w:sz w:val="22"/>
              </w:rPr>
              <w:t>gabinete.</w:t>
            </w:r>
          </w:p>
        </w:tc>
      </w:tr>
      <w:tr>
        <w:trPr>
          <w:trHeight w:val="1909" w:hRule="exact"/>
        </w:trPr>
        <w:tc>
          <w:tcPr>
            <w:tcW w:w="4525" w:type="dxa"/>
          </w:tcPr>
          <w:p>
            <w:pPr>
              <w:pStyle w:val="TableParagraph"/>
              <w:tabs>
                <w:tab w:pos="2291" w:val="left" w:leader="none"/>
                <w:tab w:pos="3555" w:val="left" w:leader="none"/>
              </w:tabs>
              <w:spacing w:line="360" w:lineRule="auto"/>
              <w:ind w:right="102"/>
              <w:jc w:val="both"/>
              <w:rPr>
                <w:b/>
                <w:sz w:val="22"/>
              </w:rPr>
            </w:pPr>
            <w:r>
              <w:rPr>
                <w:b/>
                <w:sz w:val="22"/>
              </w:rPr>
              <w:t>TÍTULO PRIMERO. DISPOSICIONES GENERALES</w:t>
              <w:tab/>
              <w:t>DEL</w:t>
              <w:tab/>
            </w:r>
            <w:r>
              <w:rPr>
                <w:b/>
                <w:spacing w:val="-1"/>
                <w:sz w:val="22"/>
              </w:rPr>
              <w:t>COMITÉ </w:t>
            </w:r>
            <w:r>
              <w:rPr>
                <w:b/>
                <w:sz w:val="22"/>
              </w:rPr>
              <w:t>INTERMUNICIPAL</w:t>
            </w:r>
          </w:p>
          <w:p>
            <w:pPr>
              <w:pStyle w:val="TableParagraph"/>
              <w:spacing w:line="362" w:lineRule="auto" w:before="3"/>
              <w:ind w:right="100"/>
              <w:jc w:val="both"/>
              <w:rPr>
                <w:b/>
                <w:sz w:val="22"/>
              </w:rPr>
            </w:pPr>
            <w:r>
              <w:rPr>
                <w:b/>
                <w:sz w:val="22"/>
              </w:rPr>
              <w:t>Capítulo Único. De las Disposiciones Generales del Comité Intermunicipal</w:t>
            </w:r>
          </w:p>
        </w:tc>
        <w:tc>
          <w:tcPr>
            <w:tcW w:w="4523" w:type="dxa"/>
          </w:tcPr>
          <w:p>
            <w:pPr>
              <w:pStyle w:val="TableParagraph"/>
              <w:spacing w:line="360" w:lineRule="auto"/>
              <w:ind w:left="100" w:right="100"/>
              <w:jc w:val="both"/>
              <w:rPr>
                <w:sz w:val="22"/>
              </w:rPr>
            </w:pPr>
            <w:r>
              <w:rPr>
                <w:sz w:val="22"/>
              </w:rPr>
              <w:t>Gestión Integrada de los Recursos  Hídricos, gobernanza y gobernabilidad en trabajo de campo y</w:t>
            </w:r>
            <w:r>
              <w:rPr>
                <w:spacing w:val="-8"/>
                <w:sz w:val="22"/>
              </w:rPr>
              <w:t> </w:t>
            </w:r>
            <w:r>
              <w:rPr>
                <w:sz w:val="22"/>
              </w:rPr>
              <w:t>gabinete.</w:t>
            </w:r>
          </w:p>
        </w:tc>
      </w:tr>
      <w:tr>
        <w:trPr>
          <w:trHeight w:val="389" w:hRule="exact"/>
        </w:trPr>
        <w:tc>
          <w:tcPr>
            <w:tcW w:w="4525" w:type="dxa"/>
          </w:tcPr>
          <w:p>
            <w:pPr>
              <w:pStyle w:val="TableParagraph"/>
              <w:spacing w:line="248" w:lineRule="exact"/>
              <w:ind w:left="1228" w:right="102"/>
              <w:rPr>
                <w:b/>
                <w:sz w:val="22"/>
              </w:rPr>
            </w:pPr>
            <w:r>
              <w:rPr>
                <w:b/>
                <w:sz w:val="22"/>
              </w:rPr>
              <w:t>Artículos 1,2,3,4 y 5</w:t>
            </w:r>
          </w:p>
        </w:tc>
        <w:tc>
          <w:tcPr>
            <w:tcW w:w="4523" w:type="dxa"/>
          </w:tcPr>
          <w:p>
            <w:pPr>
              <w:pStyle w:val="TableParagraph"/>
              <w:spacing w:line="251" w:lineRule="exact"/>
              <w:ind w:left="100" w:right="100"/>
              <w:rPr>
                <w:sz w:val="22"/>
              </w:rPr>
            </w:pPr>
            <w:r>
              <w:rPr>
                <w:sz w:val="22"/>
              </w:rPr>
              <w:t>Trabajo de campo y gabinete</w:t>
            </w:r>
          </w:p>
        </w:tc>
      </w:tr>
      <w:tr>
        <w:trPr>
          <w:trHeight w:val="2288" w:hRule="exact"/>
        </w:trPr>
        <w:tc>
          <w:tcPr>
            <w:tcW w:w="4525" w:type="dxa"/>
          </w:tcPr>
          <w:p>
            <w:pPr>
              <w:pStyle w:val="TableParagraph"/>
              <w:spacing w:line="360" w:lineRule="auto"/>
              <w:ind w:right="97"/>
              <w:jc w:val="both"/>
              <w:rPr>
                <w:b/>
                <w:sz w:val="22"/>
              </w:rPr>
            </w:pPr>
            <w:r>
              <w:rPr>
                <w:b/>
                <w:sz w:val="22"/>
              </w:rPr>
              <w:t>TÍTULO SEGUNDO. DE LA  ESTRUCTURA DE GOBIERNO DEL COMITÉ</w:t>
            </w:r>
          </w:p>
          <w:p>
            <w:pPr>
              <w:pStyle w:val="TableParagraph"/>
              <w:spacing w:line="360" w:lineRule="auto" w:before="3"/>
              <w:ind w:right="99"/>
              <w:jc w:val="both"/>
              <w:rPr>
                <w:b/>
                <w:sz w:val="22"/>
              </w:rPr>
            </w:pPr>
            <w:r>
              <w:rPr>
                <w:b/>
                <w:sz w:val="22"/>
              </w:rPr>
              <w:t>Capítulo Único. De la integración y atribuciones de los miembros del órgano de gobierno</w:t>
            </w:r>
          </w:p>
        </w:tc>
        <w:tc>
          <w:tcPr>
            <w:tcW w:w="4523" w:type="dxa"/>
          </w:tcPr>
          <w:p>
            <w:pPr>
              <w:pStyle w:val="TableParagraph"/>
              <w:spacing w:line="360" w:lineRule="auto"/>
              <w:ind w:left="100" w:right="98"/>
              <w:jc w:val="both"/>
              <w:rPr>
                <w:sz w:val="22"/>
              </w:rPr>
            </w:pPr>
            <w:r>
              <w:rPr>
                <w:sz w:val="22"/>
              </w:rPr>
              <w:t>Gestión Integrada de los Recursos  Hídricos, gobernanza y gobernabilidad en trabajo de campo y</w:t>
            </w:r>
            <w:r>
              <w:rPr>
                <w:spacing w:val="-8"/>
                <w:sz w:val="22"/>
              </w:rPr>
              <w:t> </w:t>
            </w:r>
            <w:r>
              <w:rPr>
                <w:sz w:val="22"/>
              </w:rPr>
              <w:t>gabinete.</w:t>
            </w:r>
          </w:p>
        </w:tc>
      </w:tr>
      <w:tr>
        <w:trPr>
          <w:trHeight w:val="1526" w:hRule="exact"/>
        </w:trPr>
        <w:tc>
          <w:tcPr>
            <w:tcW w:w="4525" w:type="dxa"/>
          </w:tcPr>
          <w:p>
            <w:pPr>
              <w:pStyle w:val="TableParagraph"/>
              <w:spacing w:line="248" w:lineRule="exact"/>
              <w:ind w:left="1168" w:right="102"/>
              <w:rPr>
                <w:b/>
                <w:sz w:val="22"/>
              </w:rPr>
            </w:pPr>
            <w:r>
              <w:rPr>
                <w:b/>
                <w:sz w:val="22"/>
              </w:rPr>
              <w:t>Artículos 6,7,8,9 y 10</w:t>
            </w:r>
          </w:p>
        </w:tc>
        <w:tc>
          <w:tcPr>
            <w:tcW w:w="4523" w:type="dxa"/>
          </w:tcPr>
          <w:p>
            <w:pPr>
              <w:pStyle w:val="TableParagraph"/>
              <w:spacing w:line="360" w:lineRule="auto"/>
              <w:ind w:left="100" w:right="102"/>
              <w:jc w:val="both"/>
              <w:rPr>
                <w:sz w:val="22"/>
              </w:rPr>
            </w:pPr>
            <w:r>
              <w:rPr>
                <w:sz w:val="22"/>
              </w:rPr>
              <w:t>Gestión Integrada de los Recursos  Hídricos, gobernanza y gobernabilidad en trabajo de campo y gabinete, así como por el principio de democracia y</w:t>
            </w:r>
            <w:r>
              <w:rPr>
                <w:spacing w:val="-8"/>
                <w:sz w:val="22"/>
              </w:rPr>
              <w:t> </w:t>
            </w:r>
            <w:r>
              <w:rPr>
                <w:sz w:val="22"/>
              </w:rPr>
              <w:t>voluntariedad</w:t>
            </w:r>
          </w:p>
        </w:tc>
      </w:tr>
      <w:tr>
        <w:trPr>
          <w:trHeight w:val="1909" w:hRule="exact"/>
        </w:trPr>
        <w:tc>
          <w:tcPr>
            <w:tcW w:w="4525" w:type="dxa"/>
          </w:tcPr>
          <w:p>
            <w:pPr>
              <w:pStyle w:val="TableParagraph"/>
              <w:spacing w:line="360" w:lineRule="auto"/>
              <w:ind w:right="100"/>
              <w:jc w:val="both"/>
              <w:rPr>
                <w:b/>
                <w:sz w:val="22"/>
              </w:rPr>
            </w:pPr>
            <w:r>
              <w:rPr>
                <w:b/>
                <w:sz w:val="22"/>
              </w:rPr>
              <w:t>TITULO TERCERO. DE LOS DERECHOS Y RESPONSABILIDADES DE LOS ACTORES DE LA CHPH EN EL ÁMBITO AMBIENTAL, SOCIOPOLÍTICO Y ECONÓMICO.</w:t>
            </w:r>
          </w:p>
        </w:tc>
        <w:tc>
          <w:tcPr>
            <w:tcW w:w="4523" w:type="dxa"/>
          </w:tcPr>
          <w:p>
            <w:pPr>
              <w:pStyle w:val="TableParagraph"/>
              <w:spacing w:line="360" w:lineRule="auto"/>
              <w:ind w:left="100" w:right="102"/>
              <w:jc w:val="both"/>
              <w:rPr>
                <w:sz w:val="22"/>
              </w:rPr>
            </w:pPr>
            <w:r>
              <w:rPr>
                <w:sz w:val="22"/>
              </w:rPr>
              <w:t>Gestión Integrada de los Recursos  Hídricos, gobernanza y gobernabilidad en trabajo de campo y</w:t>
            </w:r>
            <w:r>
              <w:rPr>
                <w:spacing w:val="-8"/>
                <w:sz w:val="22"/>
              </w:rPr>
              <w:t> </w:t>
            </w:r>
            <w:r>
              <w:rPr>
                <w:sz w:val="22"/>
              </w:rPr>
              <w:t>gabinete.</w:t>
            </w:r>
          </w:p>
        </w:tc>
      </w:tr>
      <w:tr>
        <w:trPr>
          <w:trHeight w:val="1529" w:hRule="exact"/>
        </w:trPr>
        <w:tc>
          <w:tcPr>
            <w:tcW w:w="4525" w:type="dxa"/>
          </w:tcPr>
          <w:p>
            <w:pPr>
              <w:pStyle w:val="TableParagraph"/>
              <w:spacing w:line="360" w:lineRule="auto"/>
              <w:ind w:right="100"/>
              <w:jc w:val="both"/>
              <w:rPr>
                <w:b/>
                <w:sz w:val="22"/>
              </w:rPr>
            </w:pPr>
            <w:r>
              <w:rPr>
                <w:b/>
                <w:sz w:val="22"/>
              </w:rPr>
              <w:t>Capítulo I. Derechos y responsabilidades de los actores de la Cuenca Hidrosocial Presa Huapango en el ámbito ambiental (Área    Estratégica    de    Planeación    y</w:t>
            </w:r>
          </w:p>
        </w:tc>
        <w:tc>
          <w:tcPr>
            <w:tcW w:w="4523" w:type="dxa"/>
          </w:tcPr>
          <w:p>
            <w:pPr>
              <w:pStyle w:val="TableParagraph"/>
              <w:spacing w:line="360" w:lineRule="auto"/>
              <w:ind w:left="100" w:right="102"/>
              <w:jc w:val="both"/>
              <w:rPr>
                <w:sz w:val="22"/>
              </w:rPr>
            </w:pPr>
            <w:r>
              <w:rPr>
                <w:sz w:val="22"/>
              </w:rPr>
              <w:t>Gestión Integrada de los Recursos  Hídricos, gobernanza y gobernabilidad en trabajo de campo y</w:t>
            </w:r>
            <w:r>
              <w:rPr>
                <w:spacing w:val="-7"/>
                <w:sz w:val="22"/>
              </w:rPr>
              <w:t> </w:t>
            </w:r>
            <w:r>
              <w:rPr>
                <w:sz w:val="22"/>
              </w:rPr>
              <w:t>gabinete.</w:t>
            </w:r>
          </w:p>
        </w:tc>
      </w:tr>
    </w:tbl>
    <w:p>
      <w:pPr>
        <w:spacing w:after="0" w:line="360" w:lineRule="auto"/>
        <w:jc w:val="both"/>
        <w:rPr>
          <w:sz w:val="22"/>
        </w:rPr>
        <w:sectPr>
          <w:pgSz w:w="12240" w:h="15840"/>
          <w:pgMar w:header="0" w:footer="943" w:top="1360" w:bottom="1200" w:left="1480" w:right="14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25"/>
        <w:gridCol w:w="4523"/>
      </w:tblGrid>
      <w:tr>
        <w:trPr>
          <w:trHeight w:val="392" w:hRule="exact"/>
        </w:trPr>
        <w:tc>
          <w:tcPr>
            <w:tcW w:w="4525" w:type="dxa"/>
          </w:tcPr>
          <w:p>
            <w:pPr>
              <w:pStyle w:val="TableParagraph"/>
              <w:spacing w:line="247" w:lineRule="exact"/>
              <w:ind w:right="102"/>
              <w:rPr>
                <w:b/>
                <w:sz w:val="22"/>
              </w:rPr>
            </w:pPr>
            <w:r>
              <w:rPr>
                <w:b/>
                <w:sz w:val="22"/>
              </w:rPr>
              <w:t>Articulación Ambiental)</w:t>
            </w:r>
          </w:p>
        </w:tc>
        <w:tc>
          <w:tcPr>
            <w:tcW w:w="4523" w:type="dxa"/>
          </w:tcPr>
          <w:p>
            <w:pPr/>
          </w:p>
        </w:tc>
      </w:tr>
      <w:tr>
        <w:trPr>
          <w:trHeight w:val="1531" w:hRule="exact"/>
        </w:trPr>
        <w:tc>
          <w:tcPr>
            <w:tcW w:w="4525" w:type="dxa"/>
          </w:tcPr>
          <w:p>
            <w:pPr>
              <w:pStyle w:val="TableParagraph"/>
              <w:spacing w:line="360" w:lineRule="auto"/>
              <w:ind w:right="99"/>
              <w:jc w:val="both"/>
              <w:rPr>
                <w:sz w:val="22"/>
              </w:rPr>
            </w:pPr>
            <w:r>
              <w:rPr>
                <w:b/>
                <w:sz w:val="22"/>
              </w:rPr>
              <w:t>Artículo 11.- </w:t>
            </w:r>
            <w:r>
              <w:rPr>
                <w:sz w:val="22"/>
              </w:rPr>
              <w:t>Son derechos y responsabilidades </w:t>
            </w:r>
            <w:r>
              <w:rPr>
                <w:i/>
                <w:sz w:val="22"/>
              </w:rPr>
              <w:t>ambientales </w:t>
            </w:r>
            <w:r>
              <w:rPr>
                <w:sz w:val="22"/>
              </w:rPr>
              <w:t>de los actores históricos de la Cuenca Hidrosocial Presa Huapango</w:t>
            </w:r>
          </w:p>
        </w:tc>
        <w:tc>
          <w:tcPr>
            <w:tcW w:w="4523" w:type="dxa"/>
          </w:tcPr>
          <w:p>
            <w:pPr>
              <w:pStyle w:val="TableParagraph"/>
              <w:spacing w:line="247" w:lineRule="exact"/>
              <w:ind w:left="100" w:right="100"/>
              <w:rPr>
                <w:sz w:val="22"/>
              </w:rPr>
            </w:pPr>
            <w:r>
              <w:rPr>
                <w:sz w:val="22"/>
              </w:rPr>
              <w:t>Principios de gobernanza</w:t>
            </w:r>
          </w:p>
        </w:tc>
      </w:tr>
      <w:tr>
        <w:trPr>
          <w:trHeight w:val="1529" w:hRule="exact"/>
        </w:trPr>
        <w:tc>
          <w:tcPr>
            <w:tcW w:w="4525" w:type="dxa"/>
          </w:tcPr>
          <w:p>
            <w:pPr>
              <w:pStyle w:val="TableParagraph"/>
              <w:spacing w:line="360" w:lineRule="auto"/>
              <w:ind w:right="99"/>
              <w:jc w:val="both"/>
              <w:rPr>
                <w:b/>
                <w:i/>
                <w:sz w:val="22"/>
              </w:rPr>
            </w:pPr>
            <w:r>
              <w:rPr>
                <w:b/>
                <w:i/>
                <w:sz w:val="22"/>
              </w:rPr>
              <w:t>a) y b) Son derechos y  </w:t>
            </w:r>
            <w:r>
              <w:rPr>
                <w:b/>
                <w:i/>
                <w:sz w:val="22"/>
              </w:rPr>
              <w:t>responsabilidades ambientales de los actores históricos de la Cuenca Hidrosocial Presa</w:t>
            </w:r>
            <w:r>
              <w:rPr>
                <w:b/>
                <w:i/>
                <w:spacing w:val="-8"/>
                <w:sz w:val="22"/>
              </w:rPr>
              <w:t> </w:t>
            </w:r>
            <w:r>
              <w:rPr>
                <w:b/>
                <w:i/>
                <w:sz w:val="22"/>
              </w:rPr>
              <w:t>Huapango</w:t>
            </w:r>
          </w:p>
        </w:tc>
        <w:tc>
          <w:tcPr>
            <w:tcW w:w="4523" w:type="dxa"/>
          </w:tcPr>
          <w:p>
            <w:pPr>
              <w:pStyle w:val="TableParagraph"/>
              <w:spacing w:line="247" w:lineRule="exact"/>
              <w:ind w:left="100" w:right="100"/>
              <w:rPr>
                <w:sz w:val="22"/>
              </w:rPr>
            </w:pPr>
            <w:r>
              <w:rPr>
                <w:sz w:val="22"/>
              </w:rPr>
              <w:t>Principios de gobernanza</w:t>
            </w:r>
          </w:p>
        </w:tc>
      </w:tr>
      <w:tr>
        <w:trPr>
          <w:trHeight w:val="397" w:hRule="exact"/>
        </w:trPr>
        <w:tc>
          <w:tcPr>
            <w:tcW w:w="4525" w:type="dxa"/>
          </w:tcPr>
          <w:p>
            <w:pPr>
              <w:pStyle w:val="TableParagraph"/>
              <w:spacing w:line="245" w:lineRule="exact"/>
              <w:ind w:right="102"/>
              <w:rPr>
                <w:b/>
                <w:sz w:val="22"/>
              </w:rPr>
            </w:pPr>
            <w:r>
              <w:rPr>
                <w:b/>
                <w:sz w:val="22"/>
              </w:rPr>
              <w:t>Apartado I.</w:t>
            </w:r>
          </w:p>
        </w:tc>
        <w:tc>
          <w:tcPr>
            <w:tcW w:w="4523" w:type="dxa"/>
          </w:tcPr>
          <w:p>
            <w:pPr>
              <w:pStyle w:val="TableParagraph"/>
              <w:spacing w:line="247" w:lineRule="exact"/>
              <w:ind w:left="100" w:right="100"/>
              <w:rPr>
                <w:sz w:val="22"/>
              </w:rPr>
            </w:pPr>
            <w:r>
              <w:rPr>
                <w:sz w:val="22"/>
              </w:rPr>
              <w:t>Historia ambiental</w:t>
            </w:r>
          </w:p>
        </w:tc>
      </w:tr>
      <w:tr>
        <w:trPr>
          <w:trHeight w:val="389" w:hRule="exact"/>
        </w:trPr>
        <w:tc>
          <w:tcPr>
            <w:tcW w:w="4525" w:type="dxa"/>
          </w:tcPr>
          <w:p>
            <w:pPr>
              <w:pStyle w:val="TableParagraph"/>
              <w:spacing w:line="244" w:lineRule="exact"/>
              <w:ind w:right="102"/>
              <w:rPr>
                <w:b/>
                <w:sz w:val="22"/>
              </w:rPr>
            </w:pPr>
            <w:r>
              <w:rPr>
                <w:b/>
                <w:sz w:val="22"/>
              </w:rPr>
              <w:t>Apartado II.</w:t>
            </w:r>
          </w:p>
        </w:tc>
        <w:tc>
          <w:tcPr>
            <w:tcW w:w="4523" w:type="dxa"/>
          </w:tcPr>
          <w:p>
            <w:pPr>
              <w:pStyle w:val="TableParagraph"/>
              <w:spacing w:line="247" w:lineRule="exact"/>
              <w:ind w:left="100" w:right="100"/>
              <w:rPr>
                <w:sz w:val="22"/>
              </w:rPr>
            </w:pPr>
            <w:r>
              <w:rPr>
                <w:sz w:val="22"/>
              </w:rPr>
              <w:t>Poder ambiental</w:t>
            </w:r>
          </w:p>
        </w:tc>
      </w:tr>
      <w:tr>
        <w:trPr>
          <w:trHeight w:val="398" w:hRule="exact"/>
        </w:trPr>
        <w:tc>
          <w:tcPr>
            <w:tcW w:w="4525" w:type="dxa"/>
          </w:tcPr>
          <w:p>
            <w:pPr>
              <w:pStyle w:val="TableParagraph"/>
              <w:spacing w:line="247" w:lineRule="exact"/>
              <w:ind w:right="102"/>
              <w:rPr>
                <w:b/>
                <w:sz w:val="22"/>
              </w:rPr>
            </w:pPr>
            <w:r>
              <w:rPr>
                <w:b/>
                <w:sz w:val="22"/>
              </w:rPr>
              <w:t>Apartado III.</w:t>
            </w:r>
          </w:p>
        </w:tc>
        <w:tc>
          <w:tcPr>
            <w:tcW w:w="4523" w:type="dxa"/>
          </w:tcPr>
          <w:p>
            <w:pPr>
              <w:pStyle w:val="TableParagraph"/>
              <w:spacing w:line="249" w:lineRule="exact"/>
              <w:ind w:left="100" w:right="100"/>
              <w:rPr>
                <w:sz w:val="22"/>
              </w:rPr>
            </w:pPr>
            <w:r>
              <w:rPr>
                <w:sz w:val="22"/>
              </w:rPr>
              <w:t>Cultura ambiental</w:t>
            </w:r>
          </w:p>
        </w:tc>
      </w:tr>
      <w:tr>
        <w:trPr>
          <w:trHeight w:val="389" w:hRule="exact"/>
        </w:trPr>
        <w:tc>
          <w:tcPr>
            <w:tcW w:w="4525" w:type="dxa"/>
          </w:tcPr>
          <w:p>
            <w:pPr>
              <w:pStyle w:val="TableParagraph"/>
              <w:spacing w:line="244" w:lineRule="exact"/>
              <w:ind w:right="102"/>
              <w:rPr>
                <w:b/>
                <w:sz w:val="22"/>
              </w:rPr>
            </w:pPr>
            <w:r>
              <w:rPr>
                <w:b/>
                <w:sz w:val="22"/>
              </w:rPr>
              <w:t>Apartado IV.</w:t>
            </w:r>
          </w:p>
        </w:tc>
        <w:tc>
          <w:tcPr>
            <w:tcW w:w="4523" w:type="dxa"/>
          </w:tcPr>
          <w:p>
            <w:pPr>
              <w:pStyle w:val="TableParagraph"/>
              <w:spacing w:line="247" w:lineRule="exact"/>
              <w:ind w:left="100" w:right="100"/>
              <w:rPr>
                <w:sz w:val="22"/>
              </w:rPr>
            </w:pPr>
            <w:r>
              <w:rPr>
                <w:sz w:val="22"/>
              </w:rPr>
              <w:t>Democracia y voluntariedad</w:t>
            </w:r>
          </w:p>
        </w:tc>
      </w:tr>
      <w:tr>
        <w:trPr>
          <w:trHeight w:val="389" w:hRule="exact"/>
        </w:trPr>
        <w:tc>
          <w:tcPr>
            <w:tcW w:w="4525" w:type="dxa"/>
          </w:tcPr>
          <w:p>
            <w:pPr>
              <w:pStyle w:val="TableParagraph"/>
              <w:spacing w:line="244" w:lineRule="exact"/>
              <w:ind w:right="102"/>
              <w:rPr>
                <w:b/>
                <w:sz w:val="22"/>
              </w:rPr>
            </w:pPr>
            <w:r>
              <w:rPr>
                <w:b/>
                <w:sz w:val="22"/>
              </w:rPr>
              <w:t>Apartado V.</w:t>
            </w:r>
          </w:p>
        </w:tc>
        <w:tc>
          <w:tcPr>
            <w:tcW w:w="4523" w:type="dxa"/>
          </w:tcPr>
          <w:p>
            <w:pPr>
              <w:pStyle w:val="TableParagraph"/>
              <w:spacing w:line="247" w:lineRule="exact"/>
              <w:ind w:left="100" w:right="100"/>
              <w:rPr>
                <w:sz w:val="22"/>
              </w:rPr>
            </w:pPr>
            <w:r>
              <w:rPr>
                <w:sz w:val="22"/>
              </w:rPr>
              <w:t>Participación social</w:t>
            </w:r>
          </w:p>
        </w:tc>
      </w:tr>
      <w:tr>
        <w:trPr>
          <w:trHeight w:val="398" w:hRule="exact"/>
        </w:trPr>
        <w:tc>
          <w:tcPr>
            <w:tcW w:w="4525" w:type="dxa"/>
          </w:tcPr>
          <w:p>
            <w:pPr>
              <w:pStyle w:val="TableParagraph"/>
              <w:spacing w:line="244" w:lineRule="exact"/>
              <w:ind w:right="102"/>
              <w:rPr>
                <w:b/>
                <w:sz w:val="22"/>
              </w:rPr>
            </w:pPr>
            <w:r>
              <w:rPr>
                <w:b/>
                <w:sz w:val="22"/>
              </w:rPr>
              <w:t>Apartado VI</w:t>
            </w:r>
          </w:p>
        </w:tc>
        <w:tc>
          <w:tcPr>
            <w:tcW w:w="4523" w:type="dxa"/>
          </w:tcPr>
          <w:p>
            <w:pPr>
              <w:pStyle w:val="TableParagraph"/>
              <w:spacing w:line="247" w:lineRule="exact"/>
              <w:ind w:left="100" w:right="100"/>
              <w:rPr>
                <w:sz w:val="22"/>
              </w:rPr>
            </w:pPr>
            <w:r>
              <w:rPr>
                <w:sz w:val="22"/>
              </w:rPr>
              <w:t>Relaciones intermunicipales</w:t>
            </w:r>
          </w:p>
        </w:tc>
      </w:tr>
      <w:tr>
        <w:trPr>
          <w:trHeight w:val="389" w:hRule="exact"/>
        </w:trPr>
        <w:tc>
          <w:tcPr>
            <w:tcW w:w="4525" w:type="dxa"/>
          </w:tcPr>
          <w:p>
            <w:pPr>
              <w:pStyle w:val="TableParagraph"/>
              <w:spacing w:line="244" w:lineRule="exact"/>
              <w:ind w:right="102"/>
              <w:rPr>
                <w:b/>
                <w:sz w:val="22"/>
              </w:rPr>
            </w:pPr>
            <w:r>
              <w:rPr>
                <w:b/>
                <w:sz w:val="22"/>
              </w:rPr>
              <w:t>Apartado VII.</w:t>
            </w:r>
          </w:p>
        </w:tc>
        <w:tc>
          <w:tcPr>
            <w:tcW w:w="4523" w:type="dxa"/>
          </w:tcPr>
          <w:p>
            <w:pPr>
              <w:pStyle w:val="TableParagraph"/>
              <w:spacing w:line="247" w:lineRule="exact"/>
              <w:ind w:left="100" w:right="100"/>
              <w:rPr>
                <w:sz w:val="22"/>
              </w:rPr>
            </w:pPr>
            <w:r>
              <w:rPr>
                <w:sz w:val="22"/>
              </w:rPr>
              <w:t>Cooperación ambiental_1</w:t>
            </w:r>
          </w:p>
        </w:tc>
      </w:tr>
      <w:tr>
        <w:trPr>
          <w:trHeight w:val="389" w:hRule="exact"/>
        </w:trPr>
        <w:tc>
          <w:tcPr>
            <w:tcW w:w="4525" w:type="dxa"/>
          </w:tcPr>
          <w:p>
            <w:pPr>
              <w:pStyle w:val="TableParagraph"/>
              <w:spacing w:line="244" w:lineRule="exact"/>
              <w:ind w:right="102"/>
              <w:rPr>
                <w:b/>
                <w:sz w:val="22"/>
              </w:rPr>
            </w:pPr>
            <w:r>
              <w:rPr>
                <w:b/>
                <w:sz w:val="22"/>
              </w:rPr>
              <w:t>Apartado VIII.</w:t>
            </w:r>
          </w:p>
        </w:tc>
        <w:tc>
          <w:tcPr>
            <w:tcW w:w="4523" w:type="dxa"/>
          </w:tcPr>
          <w:p>
            <w:pPr>
              <w:pStyle w:val="TableParagraph"/>
              <w:spacing w:line="247" w:lineRule="exact"/>
              <w:ind w:left="100" w:right="100"/>
              <w:rPr>
                <w:sz w:val="22"/>
              </w:rPr>
            </w:pPr>
            <w:r>
              <w:rPr>
                <w:sz w:val="22"/>
              </w:rPr>
              <w:t>Identidad ambiental</w:t>
            </w:r>
          </w:p>
        </w:tc>
      </w:tr>
      <w:tr>
        <w:trPr>
          <w:trHeight w:val="1534" w:hRule="exact"/>
        </w:trPr>
        <w:tc>
          <w:tcPr>
            <w:tcW w:w="4525" w:type="dxa"/>
          </w:tcPr>
          <w:p>
            <w:pPr>
              <w:pStyle w:val="TableParagraph"/>
              <w:spacing w:line="362" w:lineRule="auto"/>
              <w:ind w:right="99"/>
              <w:jc w:val="both"/>
              <w:rPr>
                <w:sz w:val="22"/>
              </w:rPr>
            </w:pPr>
            <w:r>
              <w:rPr>
                <w:b/>
                <w:sz w:val="22"/>
              </w:rPr>
              <w:t>Artículo 13.- </w:t>
            </w:r>
            <w:r>
              <w:rPr>
                <w:sz w:val="22"/>
              </w:rPr>
              <w:t>Son derechos y responsabilidades </w:t>
            </w:r>
            <w:r>
              <w:rPr>
                <w:i/>
                <w:sz w:val="22"/>
              </w:rPr>
              <w:t>ambientales </w:t>
            </w:r>
            <w:r>
              <w:rPr>
                <w:sz w:val="22"/>
              </w:rPr>
              <w:t>de los actores gubernamentales de la Cuenca Hidrosocial Presa Huapango</w:t>
            </w:r>
          </w:p>
        </w:tc>
        <w:tc>
          <w:tcPr>
            <w:tcW w:w="4523" w:type="dxa"/>
          </w:tcPr>
          <w:p>
            <w:pPr>
              <w:pStyle w:val="TableParagraph"/>
              <w:spacing w:line="247" w:lineRule="exact"/>
              <w:ind w:left="100" w:right="100"/>
              <w:rPr>
                <w:sz w:val="22"/>
              </w:rPr>
            </w:pPr>
            <w:r>
              <w:rPr>
                <w:sz w:val="22"/>
              </w:rPr>
              <w:t>Principios de gobernanza</w:t>
            </w:r>
          </w:p>
        </w:tc>
      </w:tr>
      <w:tr>
        <w:trPr>
          <w:trHeight w:val="1531" w:hRule="exact"/>
        </w:trPr>
        <w:tc>
          <w:tcPr>
            <w:tcW w:w="4525" w:type="dxa"/>
          </w:tcPr>
          <w:p>
            <w:pPr>
              <w:pStyle w:val="TableParagraph"/>
              <w:spacing w:line="360" w:lineRule="auto"/>
              <w:ind w:right="99"/>
              <w:jc w:val="both"/>
              <w:rPr>
                <w:b/>
                <w:i/>
                <w:sz w:val="22"/>
              </w:rPr>
            </w:pPr>
            <w:r>
              <w:rPr>
                <w:b/>
                <w:i/>
                <w:sz w:val="22"/>
              </w:rPr>
              <w:t>a) y b) Son derechos y  </w:t>
            </w:r>
            <w:r>
              <w:rPr>
                <w:b/>
                <w:i/>
                <w:sz w:val="22"/>
              </w:rPr>
              <w:t>responsabilidades gubernamentales de los actores históricos de la Cuenca Hidrosocial Presa</w:t>
            </w:r>
            <w:r>
              <w:rPr>
                <w:b/>
                <w:i/>
                <w:spacing w:val="-8"/>
                <w:sz w:val="22"/>
              </w:rPr>
              <w:t> </w:t>
            </w:r>
            <w:r>
              <w:rPr>
                <w:b/>
                <w:i/>
                <w:sz w:val="22"/>
              </w:rPr>
              <w:t>Huapango</w:t>
            </w:r>
          </w:p>
        </w:tc>
        <w:tc>
          <w:tcPr>
            <w:tcW w:w="4523" w:type="dxa"/>
          </w:tcPr>
          <w:p>
            <w:pPr/>
          </w:p>
        </w:tc>
      </w:tr>
      <w:tr>
        <w:trPr>
          <w:trHeight w:val="389" w:hRule="exact"/>
        </w:trPr>
        <w:tc>
          <w:tcPr>
            <w:tcW w:w="4525" w:type="dxa"/>
          </w:tcPr>
          <w:p>
            <w:pPr/>
          </w:p>
        </w:tc>
        <w:tc>
          <w:tcPr>
            <w:tcW w:w="4523" w:type="dxa"/>
          </w:tcPr>
          <w:p>
            <w:pPr/>
          </w:p>
        </w:tc>
      </w:tr>
      <w:tr>
        <w:trPr>
          <w:trHeight w:val="1534" w:hRule="exact"/>
        </w:trPr>
        <w:tc>
          <w:tcPr>
            <w:tcW w:w="4525" w:type="dxa"/>
          </w:tcPr>
          <w:p>
            <w:pPr>
              <w:pStyle w:val="TableParagraph"/>
              <w:spacing w:line="360" w:lineRule="auto"/>
              <w:ind w:right="100"/>
              <w:jc w:val="both"/>
              <w:rPr>
                <w:b/>
                <w:i/>
                <w:sz w:val="22"/>
              </w:rPr>
            </w:pPr>
            <w:r>
              <w:rPr>
                <w:b/>
                <w:i/>
                <w:sz w:val="22"/>
              </w:rPr>
              <w:t>a) y b) Son derechos y  </w:t>
            </w:r>
            <w:r>
              <w:rPr>
                <w:b/>
                <w:i/>
                <w:sz w:val="22"/>
              </w:rPr>
              <w:t>responsabilidades sociopolíticos de los actores históricos de la Cuenca Hidrosocial Presa</w:t>
            </w:r>
            <w:r>
              <w:rPr>
                <w:b/>
                <w:i/>
                <w:spacing w:val="-8"/>
                <w:sz w:val="22"/>
              </w:rPr>
              <w:t> </w:t>
            </w:r>
            <w:r>
              <w:rPr>
                <w:b/>
                <w:i/>
                <w:sz w:val="22"/>
              </w:rPr>
              <w:t>Huapango</w:t>
            </w:r>
          </w:p>
        </w:tc>
        <w:tc>
          <w:tcPr>
            <w:tcW w:w="4523" w:type="dxa"/>
          </w:tcPr>
          <w:p>
            <w:pPr>
              <w:pStyle w:val="TableParagraph"/>
              <w:spacing w:line="247" w:lineRule="exact"/>
              <w:ind w:left="100" w:right="100"/>
              <w:rPr>
                <w:sz w:val="22"/>
              </w:rPr>
            </w:pPr>
            <w:r>
              <w:rPr>
                <w:sz w:val="22"/>
              </w:rPr>
              <w:t>Principios de gobernanza</w:t>
            </w:r>
          </w:p>
        </w:tc>
      </w:tr>
      <w:tr>
        <w:trPr>
          <w:trHeight w:val="389" w:hRule="exact"/>
        </w:trPr>
        <w:tc>
          <w:tcPr>
            <w:tcW w:w="4525" w:type="dxa"/>
          </w:tcPr>
          <w:p>
            <w:pPr>
              <w:pStyle w:val="TableParagraph"/>
              <w:spacing w:line="244" w:lineRule="exact"/>
              <w:ind w:right="102"/>
              <w:rPr>
                <w:b/>
                <w:sz w:val="22"/>
              </w:rPr>
            </w:pPr>
            <w:r>
              <w:rPr>
                <w:b/>
                <w:sz w:val="22"/>
              </w:rPr>
              <w:t>Apartado I.</w:t>
            </w:r>
          </w:p>
        </w:tc>
        <w:tc>
          <w:tcPr>
            <w:tcW w:w="4523" w:type="dxa"/>
          </w:tcPr>
          <w:p>
            <w:pPr>
              <w:pStyle w:val="TableParagraph"/>
              <w:spacing w:line="247" w:lineRule="exact"/>
              <w:ind w:left="100" w:right="100"/>
              <w:rPr>
                <w:sz w:val="22"/>
              </w:rPr>
            </w:pPr>
            <w:r>
              <w:rPr>
                <w:sz w:val="22"/>
              </w:rPr>
              <w:t>Historia ambiental</w:t>
            </w:r>
          </w:p>
        </w:tc>
      </w:tr>
      <w:tr>
        <w:trPr>
          <w:trHeight w:val="396" w:hRule="exact"/>
        </w:trPr>
        <w:tc>
          <w:tcPr>
            <w:tcW w:w="4525" w:type="dxa"/>
          </w:tcPr>
          <w:p>
            <w:pPr>
              <w:pStyle w:val="TableParagraph"/>
              <w:spacing w:line="244" w:lineRule="exact"/>
              <w:ind w:right="102"/>
              <w:rPr>
                <w:b/>
                <w:sz w:val="22"/>
              </w:rPr>
            </w:pPr>
            <w:r>
              <w:rPr>
                <w:b/>
                <w:sz w:val="22"/>
              </w:rPr>
              <w:t>Apartado II.</w:t>
            </w:r>
          </w:p>
        </w:tc>
        <w:tc>
          <w:tcPr>
            <w:tcW w:w="4523" w:type="dxa"/>
          </w:tcPr>
          <w:p>
            <w:pPr>
              <w:pStyle w:val="TableParagraph"/>
              <w:spacing w:line="247" w:lineRule="exact"/>
              <w:ind w:left="100" w:right="100"/>
              <w:rPr>
                <w:sz w:val="22"/>
              </w:rPr>
            </w:pPr>
            <w:r>
              <w:rPr>
                <w:sz w:val="22"/>
              </w:rPr>
              <w:t>Poder ambiental</w:t>
            </w:r>
          </w:p>
        </w:tc>
      </w:tr>
      <w:tr>
        <w:trPr>
          <w:trHeight w:val="391" w:hRule="exact"/>
        </w:trPr>
        <w:tc>
          <w:tcPr>
            <w:tcW w:w="4525" w:type="dxa"/>
          </w:tcPr>
          <w:p>
            <w:pPr>
              <w:pStyle w:val="TableParagraph"/>
              <w:spacing w:line="244" w:lineRule="exact"/>
              <w:ind w:right="102"/>
              <w:rPr>
                <w:b/>
                <w:sz w:val="22"/>
              </w:rPr>
            </w:pPr>
            <w:r>
              <w:rPr>
                <w:b/>
                <w:sz w:val="22"/>
              </w:rPr>
              <w:t>Apartado III.</w:t>
            </w:r>
          </w:p>
        </w:tc>
        <w:tc>
          <w:tcPr>
            <w:tcW w:w="4523" w:type="dxa"/>
          </w:tcPr>
          <w:p>
            <w:pPr>
              <w:pStyle w:val="TableParagraph"/>
              <w:spacing w:line="247" w:lineRule="exact"/>
              <w:ind w:left="100" w:right="100"/>
              <w:rPr>
                <w:sz w:val="22"/>
              </w:rPr>
            </w:pPr>
            <w:r>
              <w:rPr>
                <w:sz w:val="22"/>
              </w:rPr>
              <w:t>Cultura ambiental</w:t>
            </w:r>
          </w:p>
        </w:tc>
      </w:tr>
    </w:tbl>
    <w:p>
      <w:pPr>
        <w:spacing w:after="0" w:line="247" w:lineRule="exact"/>
        <w:rPr>
          <w:sz w:val="22"/>
        </w:rPr>
        <w:sectPr>
          <w:pgSz w:w="12240" w:h="15840"/>
          <w:pgMar w:header="0" w:footer="943" w:top="1420" w:bottom="1140" w:left="1480" w:right="14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25"/>
        <w:gridCol w:w="4523"/>
      </w:tblGrid>
      <w:tr>
        <w:trPr>
          <w:trHeight w:val="399" w:hRule="exact"/>
        </w:trPr>
        <w:tc>
          <w:tcPr>
            <w:tcW w:w="4525" w:type="dxa"/>
          </w:tcPr>
          <w:p>
            <w:pPr>
              <w:pStyle w:val="TableParagraph"/>
              <w:spacing w:line="247" w:lineRule="exact"/>
              <w:ind w:right="102"/>
              <w:rPr>
                <w:b/>
                <w:sz w:val="22"/>
              </w:rPr>
            </w:pPr>
            <w:r>
              <w:rPr>
                <w:b/>
                <w:sz w:val="22"/>
              </w:rPr>
              <w:t>Apartado IV.</w:t>
            </w:r>
          </w:p>
        </w:tc>
        <w:tc>
          <w:tcPr>
            <w:tcW w:w="4523" w:type="dxa"/>
          </w:tcPr>
          <w:p>
            <w:pPr>
              <w:pStyle w:val="TableParagraph"/>
              <w:spacing w:line="249" w:lineRule="exact"/>
              <w:ind w:left="100" w:right="100"/>
              <w:rPr>
                <w:sz w:val="22"/>
              </w:rPr>
            </w:pPr>
            <w:r>
              <w:rPr>
                <w:sz w:val="22"/>
              </w:rPr>
              <w:t>Democracia y voluntariedad</w:t>
            </w:r>
          </w:p>
        </w:tc>
      </w:tr>
      <w:tr>
        <w:trPr>
          <w:trHeight w:val="389" w:hRule="exact"/>
        </w:trPr>
        <w:tc>
          <w:tcPr>
            <w:tcW w:w="4525" w:type="dxa"/>
          </w:tcPr>
          <w:p>
            <w:pPr>
              <w:pStyle w:val="TableParagraph"/>
              <w:spacing w:line="244" w:lineRule="exact"/>
              <w:ind w:right="102"/>
              <w:rPr>
                <w:b/>
                <w:sz w:val="22"/>
              </w:rPr>
            </w:pPr>
            <w:r>
              <w:rPr>
                <w:b/>
                <w:sz w:val="22"/>
              </w:rPr>
              <w:t>Apartado V.</w:t>
            </w:r>
          </w:p>
        </w:tc>
        <w:tc>
          <w:tcPr>
            <w:tcW w:w="4523" w:type="dxa"/>
          </w:tcPr>
          <w:p>
            <w:pPr>
              <w:pStyle w:val="TableParagraph"/>
              <w:spacing w:line="247" w:lineRule="exact"/>
              <w:ind w:left="100" w:right="100"/>
              <w:rPr>
                <w:sz w:val="22"/>
              </w:rPr>
            </w:pPr>
            <w:r>
              <w:rPr>
                <w:sz w:val="22"/>
              </w:rPr>
              <w:t>Participación social</w:t>
            </w:r>
          </w:p>
        </w:tc>
      </w:tr>
      <w:tr>
        <w:trPr>
          <w:trHeight w:val="398" w:hRule="exact"/>
        </w:trPr>
        <w:tc>
          <w:tcPr>
            <w:tcW w:w="4525" w:type="dxa"/>
          </w:tcPr>
          <w:p>
            <w:pPr>
              <w:pStyle w:val="TableParagraph"/>
              <w:spacing w:line="244" w:lineRule="exact"/>
              <w:ind w:right="102"/>
              <w:rPr>
                <w:b/>
                <w:sz w:val="22"/>
              </w:rPr>
            </w:pPr>
            <w:r>
              <w:rPr>
                <w:b/>
                <w:sz w:val="22"/>
              </w:rPr>
              <w:t>Apartado VI</w:t>
            </w:r>
          </w:p>
        </w:tc>
        <w:tc>
          <w:tcPr>
            <w:tcW w:w="4523" w:type="dxa"/>
          </w:tcPr>
          <w:p>
            <w:pPr>
              <w:pStyle w:val="TableParagraph"/>
              <w:spacing w:line="247" w:lineRule="exact"/>
              <w:ind w:left="100" w:right="100"/>
              <w:rPr>
                <w:sz w:val="22"/>
              </w:rPr>
            </w:pPr>
            <w:r>
              <w:rPr>
                <w:sz w:val="22"/>
              </w:rPr>
              <w:t>Relaciones intermunicipales</w:t>
            </w:r>
          </w:p>
        </w:tc>
      </w:tr>
      <w:tr>
        <w:trPr>
          <w:trHeight w:val="389" w:hRule="exact"/>
        </w:trPr>
        <w:tc>
          <w:tcPr>
            <w:tcW w:w="4525" w:type="dxa"/>
          </w:tcPr>
          <w:p>
            <w:pPr>
              <w:pStyle w:val="TableParagraph"/>
              <w:spacing w:line="244" w:lineRule="exact"/>
              <w:ind w:right="102"/>
              <w:rPr>
                <w:b/>
                <w:sz w:val="22"/>
              </w:rPr>
            </w:pPr>
            <w:r>
              <w:rPr>
                <w:b/>
                <w:sz w:val="22"/>
              </w:rPr>
              <w:t>Apartado VII.</w:t>
            </w:r>
          </w:p>
        </w:tc>
        <w:tc>
          <w:tcPr>
            <w:tcW w:w="4523" w:type="dxa"/>
          </w:tcPr>
          <w:p>
            <w:pPr>
              <w:pStyle w:val="TableParagraph"/>
              <w:spacing w:line="247" w:lineRule="exact"/>
              <w:ind w:left="100" w:right="100"/>
              <w:rPr>
                <w:sz w:val="22"/>
              </w:rPr>
            </w:pPr>
            <w:r>
              <w:rPr>
                <w:sz w:val="22"/>
              </w:rPr>
              <w:t>Cooperación ambiental_1</w:t>
            </w:r>
          </w:p>
        </w:tc>
      </w:tr>
      <w:tr>
        <w:trPr>
          <w:trHeight w:val="396" w:hRule="exact"/>
        </w:trPr>
        <w:tc>
          <w:tcPr>
            <w:tcW w:w="4525" w:type="dxa"/>
          </w:tcPr>
          <w:p>
            <w:pPr>
              <w:pStyle w:val="TableParagraph"/>
              <w:spacing w:line="244" w:lineRule="exact"/>
              <w:ind w:right="102"/>
              <w:rPr>
                <w:b/>
                <w:sz w:val="22"/>
              </w:rPr>
            </w:pPr>
            <w:r>
              <w:rPr>
                <w:b/>
                <w:sz w:val="22"/>
              </w:rPr>
              <w:t>Apartado VIII.</w:t>
            </w:r>
          </w:p>
        </w:tc>
        <w:tc>
          <w:tcPr>
            <w:tcW w:w="4523" w:type="dxa"/>
          </w:tcPr>
          <w:p>
            <w:pPr>
              <w:pStyle w:val="TableParagraph"/>
              <w:spacing w:line="247" w:lineRule="exact"/>
              <w:ind w:left="100" w:right="100"/>
              <w:rPr>
                <w:sz w:val="22"/>
              </w:rPr>
            </w:pPr>
            <w:r>
              <w:rPr>
                <w:sz w:val="22"/>
              </w:rPr>
              <w:t>Identidad ambiental</w:t>
            </w:r>
          </w:p>
        </w:tc>
      </w:tr>
      <w:tr>
        <w:trPr>
          <w:trHeight w:val="1529" w:hRule="exact"/>
        </w:trPr>
        <w:tc>
          <w:tcPr>
            <w:tcW w:w="9047" w:type="dxa"/>
            <w:gridSpan w:val="2"/>
          </w:tcPr>
          <w:p>
            <w:pPr>
              <w:pStyle w:val="TableParagraph"/>
              <w:spacing w:line="360" w:lineRule="auto"/>
              <w:ind w:right="101"/>
              <w:jc w:val="both"/>
              <w:rPr>
                <w:sz w:val="22"/>
              </w:rPr>
            </w:pPr>
            <w:r>
              <w:rPr>
                <w:sz w:val="22"/>
              </w:rPr>
              <w:t>En el mismo sentido aplica para los apartados de los derechos y responsabilidades sociopolíticas y económicas de los actores históricos, gubernamentales, de las ONG, de organismos internacionales y de los académicos de la Cuenca Hidrosocial Presa Huapango</w:t>
            </w:r>
          </w:p>
        </w:tc>
      </w:tr>
      <w:tr>
        <w:trPr>
          <w:trHeight w:val="1527" w:hRule="exact"/>
        </w:trPr>
        <w:tc>
          <w:tcPr>
            <w:tcW w:w="4525" w:type="dxa"/>
          </w:tcPr>
          <w:p>
            <w:pPr>
              <w:pStyle w:val="TableParagraph"/>
              <w:spacing w:line="360" w:lineRule="auto"/>
              <w:ind w:right="98"/>
              <w:jc w:val="both"/>
              <w:rPr>
                <w:sz w:val="22"/>
              </w:rPr>
            </w:pPr>
            <w:r>
              <w:rPr>
                <w:b/>
                <w:sz w:val="22"/>
              </w:rPr>
              <w:t>Artículo .- </w:t>
            </w:r>
            <w:r>
              <w:rPr>
                <w:sz w:val="22"/>
              </w:rPr>
              <w:t>Son derechos y responsabilidades </w:t>
            </w:r>
            <w:r>
              <w:rPr>
                <w:i/>
                <w:sz w:val="22"/>
              </w:rPr>
              <w:t>económicas </w:t>
            </w:r>
            <w:r>
              <w:rPr>
                <w:sz w:val="22"/>
              </w:rPr>
              <w:t>de los actores gubernamentales de la Cuenca Hidrosocial Presa Huapango</w:t>
            </w:r>
          </w:p>
        </w:tc>
        <w:tc>
          <w:tcPr>
            <w:tcW w:w="4523" w:type="dxa"/>
          </w:tcPr>
          <w:p>
            <w:pPr/>
          </w:p>
        </w:tc>
      </w:tr>
      <w:tr>
        <w:trPr>
          <w:trHeight w:val="1159" w:hRule="exact"/>
        </w:trPr>
        <w:tc>
          <w:tcPr>
            <w:tcW w:w="4525" w:type="dxa"/>
          </w:tcPr>
          <w:p>
            <w:pPr>
              <w:pStyle w:val="TableParagraph"/>
              <w:tabs>
                <w:tab w:pos="1120" w:val="left" w:leader="none"/>
                <w:tab w:pos="2343" w:val="left" w:leader="none"/>
                <w:tab w:pos="3005" w:val="left" w:leader="none"/>
              </w:tabs>
              <w:spacing w:line="360" w:lineRule="auto"/>
              <w:ind w:right="102"/>
              <w:rPr>
                <w:b/>
                <w:sz w:val="22"/>
              </w:rPr>
            </w:pPr>
            <w:r>
              <w:rPr>
                <w:b/>
                <w:sz w:val="22"/>
              </w:rPr>
              <w:t>TITULO</w:t>
              <w:tab/>
              <w:t>CUARTO.</w:t>
              <w:tab/>
              <w:t>DEL</w:t>
              <w:tab/>
            </w:r>
            <w:r>
              <w:rPr>
                <w:b/>
                <w:spacing w:val="-1"/>
                <w:sz w:val="22"/>
              </w:rPr>
              <w:t>PATRIMONIO </w:t>
            </w:r>
            <w:r>
              <w:rPr>
                <w:b/>
                <w:sz w:val="22"/>
              </w:rPr>
              <w:t>DEL</w:t>
            </w:r>
            <w:r>
              <w:rPr>
                <w:b/>
                <w:spacing w:val="-4"/>
                <w:sz w:val="22"/>
              </w:rPr>
              <w:t> </w:t>
            </w:r>
            <w:r>
              <w:rPr>
                <w:b/>
                <w:sz w:val="22"/>
              </w:rPr>
              <w:t>COMITÉ</w:t>
            </w:r>
          </w:p>
          <w:p>
            <w:pPr>
              <w:pStyle w:val="TableParagraph"/>
              <w:spacing w:before="3"/>
              <w:ind w:right="102"/>
              <w:rPr>
                <w:b/>
                <w:sz w:val="22"/>
              </w:rPr>
            </w:pPr>
            <w:r>
              <w:rPr>
                <w:b/>
                <w:sz w:val="22"/>
              </w:rPr>
              <w:t>Capítulo único</w:t>
            </w:r>
          </w:p>
        </w:tc>
        <w:tc>
          <w:tcPr>
            <w:tcW w:w="4523" w:type="dxa"/>
          </w:tcPr>
          <w:p>
            <w:pPr>
              <w:pStyle w:val="TableParagraph"/>
              <w:spacing w:line="360" w:lineRule="auto"/>
              <w:ind w:left="100" w:right="100"/>
              <w:rPr>
                <w:sz w:val="22"/>
              </w:rPr>
            </w:pPr>
            <w:r>
              <w:rPr>
                <w:sz w:val="22"/>
              </w:rPr>
              <w:t>Comité de Vigilancia y la Asamblea General Intermunicipal de los actores históricos</w:t>
            </w:r>
          </w:p>
        </w:tc>
      </w:tr>
      <w:tr>
        <w:trPr>
          <w:trHeight w:val="836" w:hRule="exact"/>
        </w:trPr>
        <w:tc>
          <w:tcPr>
            <w:tcW w:w="4525" w:type="dxa"/>
          </w:tcPr>
          <w:p>
            <w:pPr>
              <w:pStyle w:val="TableParagraph"/>
              <w:spacing w:line="360" w:lineRule="auto"/>
              <w:ind w:right="102"/>
              <w:rPr>
                <w:b/>
                <w:sz w:val="22"/>
              </w:rPr>
            </w:pPr>
            <w:r>
              <w:rPr>
                <w:b/>
                <w:sz w:val="22"/>
              </w:rPr>
              <w:t>TITULO QUINTO. DE LA RENDICIÓN DE CUENTAS</w:t>
            </w:r>
          </w:p>
        </w:tc>
        <w:tc>
          <w:tcPr>
            <w:tcW w:w="4523" w:type="dxa"/>
          </w:tcPr>
          <w:p>
            <w:pPr>
              <w:pStyle w:val="TableParagraph"/>
              <w:spacing w:line="360" w:lineRule="auto"/>
              <w:ind w:left="100" w:right="100"/>
              <w:rPr>
                <w:sz w:val="22"/>
              </w:rPr>
            </w:pPr>
            <w:r>
              <w:rPr>
                <w:sz w:val="22"/>
              </w:rPr>
              <w:t>Comité de Vigilancia y la Asamblea General Intermunicipal de los actores históricos</w:t>
            </w:r>
          </w:p>
        </w:tc>
      </w:tr>
      <w:tr>
        <w:trPr>
          <w:trHeight w:val="1157" w:hRule="exact"/>
        </w:trPr>
        <w:tc>
          <w:tcPr>
            <w:tcW w:w="4525" w:type="dxa"/>
          </w:tcPr>
          <w:p>
            <w:pPr>
              <w:pStyle w:val="TableParagraph"/>
              <w:spacing w:line="244" w:lineRule="exact"/>
              <w:ind w:right="102"/>
              <w:rPr>
                <w:b/>
                <w:sz w:val="22"/>
              </w:rPr>
            </w:pPr>
            <w:r>
              <w:rPr>
                <w:b/>
                <w:sz w:val="22"/>
              </w:rPr>
              <w:t>Capítulo I. De la rendición de cuentas</w:t>
            </w:r>
          </w:p>
        </w:tc>
        <w:tc>
          <w:tcPr>
            <w:tcW w:w="4523" w:type="dxa"/>
          </w:tcPr>
          <w:p>
            <w:pPr>
              <w:pStyle w:val="TableParagraph"/>
              <w:spacing w:line="360" w:lineRule="auto"/>
              <w:ind w:left="100" w:right="100"/>
              <w:rPr>
                <w:sz w:val="22"/>
              </w:rPr>
            </w:pPr>
            <w:r>
              <w:rPr>
                <w:sz w:val="22"/>
              </w:rPr>
              <w:t>Comité de Vigilancia y la Asamblea General Intermunicipal de los actores históricos</w:t>
            </w:r>
          </w:p>
        </w:tc>
      </w:tr>
      <w:tr>
        <w:trPr>
          <w:trHeight w:val="1159" w:hRule="exact"/>
        </w:trPr>
        <w:tc>
          <w:tcPr>
            <w:tcW w:w="4525" w:type="dxa"/>
          </w:tcPr>
          <w:p>
            <w:pPr>
              <w:pStyle w:val="TableParagraph"/>
              <w:spacing w:line="247" w:lineRule="exact"/>
              <w:ind w:right="102"/>
              <w:rPr>
                <w:b/>
                <w:sz w:val="22"/>
              </w:rPr>
            </w:pPr>
            <w:r>
              <w:rPr>
                <w:b/>
                <w:sz w:val="22"/>
              </w:rPr>
              <w:t>Capítulo II. De la evaluación del Comité</w:t>
            </w:r>
          </w:p>
        </w:tc>
        <w:tc>
          <w:tcPr>
            <w:tcW w:w="4523" w:type="dxa"/>
          </w:tcPr>
          <w:p>
            <w:pPr>
              <w:pStyle w:val="TableParagraph"/>
              <w:spacing w:line="360" w:lineRule="auto"/>
              <w:ind w:left="100" w:right="100"/>
              <w:rPr>
                <w:sz w:val="22"/>
              </w:rPr>
            </w:pPr>
            <w:r>
              <w:rPr>
                <w:sz w:val="22"/>
              </w:rPr>
              <w:t>Comité de Vigilancia y la Asamblea General Intermunicipal de los actores históricos</w:t>
            </w:r>
          </w:p>
        </w:tc>
      </w:tr>
      <w:tr>
        <w:trPr>
          <w:trHeight w:val="1160" w:hRule="exact"/>
        </w:trPr>
        <w:tc>
          <w:tcPr>
            <w:tcW w:w="4525" w:type="dxa"/>
          </w:tcPr>
          <w:p>
            <w:pPr>
              <w:pStyle w:val="TableParagraph"/>
              <w:spacing w:line="244" w:lineRule="exact"/>
              <w:ind w:right="102"/>
              <w:rPr>
                <w:b/>
                <w:sz w:val="22"/>
              </w:rPr>
            </w:pPr>
            <w:r>
              <w:rPr>
                <w:b/>
                <w:sz w:val="22"/>
              </w:rPr>
              <w:t>ARTÍCULOS TRANSITORIOS</w:t>
            </w:r>
          </w:p>
        </w:tc>
        <w:tc>
          <w:tcPr>
            <w:tcW w:w="4523" w:type="dxa"/>
          </w:tcPr>
          <w:p>
            <w:pPr>
              <w:pStyle w:val="TableParagraph"/>
              <w:spacing w:line="247" w:lineRule="exact"/>
              <w:ind w:left="100" w:right="100"/>
              <w:rPr>
                <w:sz w:val="22"/>
              </w:rPr>
            </w:pPr>
            <w:r>
              <w:rPr>
                <w:sz w:val="22"/>
              </w:rPr>
              <w:t>Democracia y voluntariedad</w:t>
            </w:r>
          </w:p>
        </w:tc>
      </w:tr>
    </w:tbl>
    <w:p>
      <w:pPr>
        <w:spacing w:after="0" w:line="247" w:lineRule="exact"/>
        <w:rPr>
          <w:sz w:val="22"/>
        </w:rPr>
        <w:sectPr>
          <w:pgSz w:w="12240" w:h="15840"/>
          <w:pgMar w:header="0" w:footer="943" w:top="1420" w:bottom="1140" w:left="1480" w:right="14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206"/>
        <w:ind w:left="805" w:right="0" w:firstLine="0"/>
        <w:jc w:val="left"/>
        <w:rPr>
          <w:b/>
          <w:sz w:val="44"/>
        </w:rPr>
      </w:pPr>
      <w:r>
        <w:rPr>
          <w:b/>
          <w:sz w:val="44"/>
        </w:rPr>
        <w:t>CONSIDERACIONES GENERALES</w:t>
      </w:r>
    </w:p>
    <w:p>
      <w:pPr>
        <w:spacing w:after="0"/>
        <w:jc w:val="left"/>
        <w:rPr>
          <w:sz w:val="44"/>
        </w:rPr>
        <w:sectPr>
          <w:pgSz w:w="12240" w:h="15840"/>
          <w:pgMar w:header="0" w:footer="943" w:top="1500" w:bottom="1140" w:left="1720" w:right="1580"/>
        </w:sectPr>
      </w:pPr>
    </w:p>
    <w:p>
      <w:pPr>
        <w:spacing w:before="49"/>
        <w:ind w:left="102" w:right="0" w:firstLine="0"/>
        <w:jc w:val="both"/>
        <w:rPr>
          <w:b/>
          <w:sz w:val="22"/>
        </w:rPr>
      </w:pPr>
      <w:r>
        <w:rPr>
          <w:b/>
          <w:sz w:val="22"/>
        </w:rPr>
        <w:t>XI. CONSIDERACIONES GENERALES</w:t>
      </w:r>
    </w:p>
    <w:p>
      <w:pPr>
        <w:pStyle w:val="BodyText"/>
        <w:rPr>
          <w:b/>
        </w:rPr>
      </w:pPr>
    </w:p>
    <w:p>
      <w:pPr>
        <w:pStyle w:val="BodyText"/>
        <w:spacing w:line="360" w:lineRule="auto" w:before="159"/>
        <w:ind w:left="102" w:right="115"/>
        <w:jc w:val="both"/>
      </w:pPr>
      <w:r>
        <w:rPr/>
        <w:t>En la presente investigación se identificaron una serie de consideraciones generales. En principio, las definiciones teórico-social de la GIRH: gobernanza y gobernabilidad, las cuales permitieron operativizar y ordenar a lo largo del tiempo la estructura sociohistórica de la región presa Huapango; primero como unidad de análisis (Cuenca Hidrosocial) para la interpretación de los datos con información del trabajo de campo. Aquí destacan y se detectan los principios de gobernanza y gobernabilidad: democracia y voluntariedad de la sociedad, autogestión, identidad, cooperación, cultura, poder, participación social y relaciones intermunicipales.</w:t>
      </w:r>
    </w:p>
    <w:p>
      <w:pPr>
        <w:pStyle w:val="BodyText"/>
        <w:spacing w:before="6"/>
        <w:rPr>
          <w:sz w:val="24"/>
        </w:rPr>
      </w:pPr>
    </w:p>
    <w:p>
      <w:pPr>
        <w:pStyle w:val="BodyText"/>
        <w:spacing w:line="360" w:lineRule="auto"/>
        <w:ind w:left="102" w:right="112"/>
        <w:jc w:val="both"/>
      </w:pPr>
      <w:r>
        <w:rPr/>
        <w:t>En este sentido, la estructura sociohistórica de la presa Huapango permitió identificar el surgimiento de los actores históricos de la región y sus características sociopolíticas, así como sus redes y funciones hídricas, las cuales se constituyeron en torno de una serie de relaciones culturales y sociales de mercado, intercambio y comida lacustre, así como de cría de ganado y productos lácteos, productos agrícolas de cultivo intensivo, y fiestas patronales y de charrería. Estas relaciones de origen antiguo, terminaban en redes o estructuras de parentesco entre municipios y actores de la región, las cuales se construyeron a través de varias décadas y acontecimientos históricos comunes e importantes para la Cuenca, y que eran usadas para solucionar conflictos sociopolíticos entre actores.</w:t>
      </w:r>
    </w:p>
    <w:p>
      <w:pPr>
        <w:pStyle w:val="BodyText"/>
        <w:spacing w:before="10"/>
        <w:rPr>
          <w:sz w:val="24"/>
        </w:rPr>
      </w:pPr>
    </w:p>
    <w:p>
      <w:pPr>
        <w:pStyle w:val="BodyText"/>
        <w:spacing w:line="360" w:lineRule="auto"/>
        <w:ind w:left="102" w:right="121"/>
        <w:jc w:val="both"/>
      </w:pPr>
      <w:r>
        <w:rPr/>
        <w:t>Dichas redes de la CHPH, permitieron identificar las estructuras sociopolíticas históricas consolidadas que realizaban la gobernanza y la gobernabilidad en la cuenca, en los ámbitos local y regional, lo cual posibilitó realizar la propuesta de gestión intermunicipal a nivel regional con metodología GIRH.</w:t>
      </w:r>
    </w:p>
    <w:p>
      <w:pPr>
        <w:pStyle w:val="BodyText"/>
        <w:spacing w:before="10"/>
        <w:rPr>
          <w:sz w:val="24"/>
        </w:rPr>
      </w:pPr>
    </w:p>
    <w:p>
      <w:pPr>
        <w:pStyle w:val="BodyText"/>
        <w:spacing w:line="360" w:lineRule="auto"/>
        <w:ind w:left="102" w:right="115"/>
        <w:jc w:val="both"/>
      </w:pPr>
      <w:r>
        <w:rPr/>
        <w:t>Hay que señalar que también se identificaron el surgimiento de otros grupos de actores (gubernamentales), que llegaron a la región como parte de la expansión del estado moderno mexicano, desconociendo las anteriores relaciones de gobernanza y gobernabilidad, tratando de incorporar a la cuenca al desarrollo nacional privilegiando la economía de mercado fortaleciendo el poder sociopolítico de los actores de aguas abajo, dando así origen a los problemas de distribución inequitativa de los recursos naturales.</w:t>
      </w:r>
    </w:p>
    <w:p>
      <w:pPr>
        <w:spacing w:after="0" w:line="360" w:lineRule="auto"/>
        <w:jc w:val="both"/>
        <w:sectPr>
          <w:pgSz w:w="12240" w:h="15840"/>
          <w:pgMar w:header="0" w:footer="943" w:top="1360" w:bottom="1200" w:left="1600" w:right="1580"/>
        </w:sectPr>
      </w:pPr>
    </w:p>
    <w:p>
      <w:pPr>
        <w:pStyle w:val="BodyText"/>
        <w:spacing w:line="360" w:lineRule="auto" w:before="53"/>
        <w:ind w:left="102" w:right="112"/>
        <w:jc w:val="both"/>
      </w:pPr>
      <w:r>
        <w:rPr/>
        <w:t>Con lo anterior se detectó que la cuenca hidrosocial a diferencia de la cuenca  hidrográfica, es un concepto que espacialmente rebasa la cuenca hidrográfica (zona de producción de agua, zona de aprovechamiento, trasvase de aguas de cuencas aledañas), y rebasa jurisdicciones político administrativas (departamento, provincia, municipio). Es decir, la cuenca</w:t>
      </w:r>
      <w:r>
        <w:rPr>
          <w:spacing w:val="-10"/>
        </w:rPr>
        <w:t> </w:t>
      </w:r>
      <w:r>
        <w:rPr/>
        <w:t>hidrosocial:</w:t>
      </w:r>
    </w:p>
    <w:p>
      <w:pPr>
        <w:pStyle w:val="BodyText"/>
        <w:spacing w:before="7"/>
        <w:rPr>
          <w:sz w:val="17"/>
        </w:rPr>
      </w:pPr>
    </w:p>
    <w:p>
      <w:pPr>
        <w:spacing w:line="360" w:lineRule="auto" w:before="0"/>
        <w:ind w:left="1095" w:right="113" w:firstLine="0"/>
        <w:jc w:val="both"/>
        <w:rPr>
          <w:i/>
          <w:sz w:val="22"/>
        </w:rPr>
      </w:pPr>
      <w:r>
        <w:rPr>
          <w:i/>
          <w:sz w:val="22"/>
        </w:rPr>
        <w:t>Está más bien basada en las redes sociopolíticas que se crean en torno al agua </w:t>
      </w:r>
      <w:r>
        <w:rPr>
          <w:i/>
          <w:sz w:val="22"/>
        </w:rPr>
        <w:t>entre los actores de las zonas altas y zonas bajas (redes hídricas), mediante procesos de desarrollo hídrico (iniciativas locales, intervenciones) con historias comunes que configuran la cuenca Presa Huapango, buscando equilibrios </w:t>
      </w:r>
      <w:r>
        <w:rPr>
          <w:i/>
          <w:spacing w:val="-3"/>
          <w:sz w:val="22"/>
        </w:rPr>
        <w:t>de </w:t>
      </w:r>
      <w:r>
        <w:rPr>
          <w:i/>
          <w:sz w:val="22"/>
        </w:rPr>
        <w:t>gobernanza y gobernabilidad a su interior, pero sujetos a situaciones de  conflicto</w:t>
      </w:r>
      <w:r>
        <w:rPr>
          <w:i/>
          <w:spacing w:val="-5"/>
          <w:sz w:val="22"/>
        </w:rPr>
        <w:t> </w:t>
      </w:r>
      <w:r>
        <w:rPr>
          <w:i/>
          <w:sz w:val="22"/>
        </w:rPr>
        <w:t>continuos.</w:t>
      </w:r>
    </w:p>
    <w:p>
      <w:pPr>
        <w:pStyle w:val="BodyText"/>
        <w:spacing w:before="5"/>
        <w:rPr>
          <w:i/>
          <w:sz w:val="24"/>
        </w:rPr>
      </w:pPr>
    </w:p>
    <w:p>
      <w:pPr>
        <w:pStyle w:val="BodyText"/>
        <w:spacing w:line="360" w:lineRule="auto"/>
        <w:ind w:left="102" w:right="112"/>
        <w:jc w:val="both"/>
      </w:pPr>
      <w:r>
        <w:rPr/>
        <w:t>Es por ello, que a partir de la definición de éste ámbito geográfico en la CHPH y de la visualización de las relaciones de (inter) dependencia (hídricas y sociales), entre usuarios de aguas arriba y aguas abajo, permitió analizar las históricas relaciones hidrosociales,  así como las proyecciones futuras y sus implicaciones sobre la gestión del agua, su disponibilidad y sus usos potenciales en la</w:t>
      </w:r>
      <w:r>
        <w:rPr>
          <w:spacing w:val="-11"/>
        </w:rPr>
        <w:t> </w:t>
      </w:r>
      <w:r>
        <w:rPr/>
        <w:t>región.</w:t>
      </w:r>
    </w:p>
    <w:p>
      <w:pPr>
        <w:pStyle w:val="BodyText"/>
        <w:spacing w:before="10"/>
        <w:rPr>
          <w:sz w:val="24"/>
        </w:rPr>
      </w:pPr>
    </w:p>
    <w:p>
      <w:pPr>
        <w:pStyle w:val="BodyText"/>
        <w:spacing w:line="360" w:lineRule="auto" w:before="1"/>
        <w:ind w:left="102" w:right="114"/>
        <w:jc w:val="both"/>
      </w:pPr>
      <w:r>
        <w:rPr/>
        <w:t>Posteriormente, para identificar y analizar la formación y evolución histórica de los grupos de actores de la cuenca hidrosocial presa Huapango, y sus redes y funciones de cada grupo de actores, la consulta histórica de textos y de archivo fue básica.  Destacan Gerhard (1986); Monografía Municipales (2009), Bandos Municipales (2013); Planes de Desarrollo Municipales (2013-2015); Fabila y Fabila (1951), datos que se refrendaron en trabajo de campo.</w:t>
      </w:r>
    </w:p>
    <w:p>
      <w:pPr>
        <w:pStyle w:val="BodyText"/>
        <w:spacing w:before="9"/>
        <w:rPr>
          <w:sz w:val="17"/>
        </w:rPr>
      </w:pPr>
    </w:p>
    <w:p>
      <w:pPr>
        <w:pStyle w:val="BodyText"/>
        <w:spacing w:line="360" w:lineRule="auto"/>
        <w:ind w:left="102" w:right="116"/>
        <w:jc w:val="both"/>
      </w:pPr>
      <w:r>
        <w:rPr/>
        <w:t>En esta etapa de la investigación se optó por trabajar con la estrategia metodológica de </w:t>
      </w:r>
      <w:r>
        <w:rPr>
          <w:i/>
        </w:rPr>
        <w:t>grupos ya establecidos e identificados históricamente </w:t>
      </w:r>
      <w:r>
        <w:rPr/>
        <w:t>(Norman Uphoff, 1988,1995, 2000, Cernea, 1995 y Bonnal, 1996), ya que la otra opción metodológica era formar mesas de trabajo con todos los grupos de actores. Esta última significaba reunir a todos los actores para la toma de decisiones, pero no fue posible, ya que los actores más poderosos económica y políticamente mostraron poco interés, por lo que se descartó y se optó por trabajar con grupos de actores ya establecidos históricamente.</w:t>
      </w:r>
    </w:p>
    <w:p>
      <w:pPr>
        <w:spacing w:after="0" w:line="360" w:lineRule="auto"/>
        <w:jc w:val="both"/>
        <w:sectPr>
          <w:footerReference w:type="default" r:id="rId712"/>
          <w:pgSz w:w="12240" w:h="15840"/>
          <w:pgMar w:footer="1003" w:header="0" w:top="1360" w:bottom="1200" w:left="1600" w:right="1580"/>
          <w:pgNumType w:start="870"/>
        </w:sectPr>
      </w:pPr>
    </w:p>
    <w:p>
      <w:pPr>
        <w:pStyle w:val="BodyText"/>
        <w:spacing w:line="360" w:lineRule="auto" w:before="53"/>
        <w:ind w:left="102" w:right="118"/>
        <w:jc w:val="both"/>
      </w:pPr>
      <w:r>
        <w:rPr/>
        <w:t>La estrategia de trabajar con grupos de actores ya establecidos, permitió la entrevista y el trabajo participativo con mayor conocimiento, debido a su existencia previa y a su misma estructura histórica e incluyente (ejidos, cooperativas, asociaciones, etc).</w:t>
      </w:r>
    </w:p>
    <w:p>
      <w:pPr>
        <w:pStyle w:val="BodyText"/>
        <w:spacing w:before="7"/>
        <w:rPr>
          <w:sz w:val="17"/>
        </w:rPr>
      </w:pPr>
    </w:p>
    <w:p>
      <w:pPr>
        <w:pStyle w:val="BodyText"/>
        <w:spacing w:line="360" w:lineRule="auto"/>
        <w:ind w:left="102" w:right="113"/>
        <w:jc w:val="both"/>
      </w:pPr>
      <w:r>
        <w:rPr/>
        <w:t>Con esta metodología de grupos ya establecidos y con el trabajo de campo y de gabinete, se identificaron y elaboraron cuatro mapas de actores presentes en la cuenca hidrosocial presa Huapango: 1.- Actores históricos (pescadores, ganaderos, industriales y comerciantes, turismo), dentro de los cuales se encuentran las autoridades auxiliares (delegados municipales y comisariados ejidales); 2.- Actores municipales (presidentes municipales, regidores de las comisiones de medio ambiente y manejo de recursos naturales, así como los directores del medio ambiente); 3.- Actores estatales (Sedagro y CAEM) y 4. Actores federales (Semarnat-Conagua, Sagarpa-Conapesca), con sus redes y funciones, donde pudo detectarse que los actores históricos, principalmente  los ejidatarios, juegan un papel primordial en la interrelación entre todos los demás actores, ya que desde la construcción de la presa Huapango (1785-1788), la creación del  municipio en el siglo XIX, y del reparto agrario en el siglo XX, cuando se crea El Ejido como institución, éste adquirió y heredó las características identitarias con su territorio, que se ven reflejadas en la construcción de la estructura social que ha permitido que se generen principios de gobernanza y gobernabilidad, las cuales conllevan la generación de acuerdos entre actores para el uso, cuidado y defensa de sus recursos hídricos, a través del derecho consuetudinario, a pesar del poder que “en su contra” han desarrollado las instituciones federales, estatales y municipales, que en ocasiones dificultan la gestión entre actores en lugar de</w:t>
      </w:r>
      <w:r>
        <w:rPr>
          <w:spacing w:val="-10"/>
        </w:rPr>
        <w:t> </w:t>
      </w:r>
      <w:r>
        <w:rPr/>
        <w:t>facilitarlas.</w:t>
      </w:r>
    </w:p>
    <w:p>
      <w:pPr>
        <w:pStyle w:val="BodyText"/>
        <w:spacing w:before="8"/>
        <w:rPr>
          <w:sz w:val="24"/>
        </w:rPr>
      </w:pPr>
    </w:p>
    <w:p>
      <w:pPr>
        <w:pStyle w:val="BodyText"/>
        <w:spacing w:line="360" w:lineRule="auto"/>
        <w:ind w:left="102" w:right="114"/>
        <w:jc w:val="both"/>
      </w:pPr>
      <w:r>
        <w:rPr/>
        <w:t>En trabajo de campo se identificaron las relaciones y estructuras en los actores históricos asociadas a diferentes actividades. Esto se debe a que la conformación histórica fue especializando a cada uno de ellos en ejidatarios agricultores, pescadores, ganaderos, con turismo, con industria-comerciantes; dando por resultado una movilidad del ejidatario en varias redes y no sólo en una, sin embargo, no son iguales, sino que unas tienen  mayor peso económico y político que otras. Es decir, el ejidatario en unas redes es más igualitario (Ejidatarios, agricultores, pescadores, ganaderos) y en otras está subyugado  por sus relaciones con otros actores más poderosos (Estado, mercado), por lo que existen fuerzas centrípetas que unen y fuerzas centrifugas que dividen el poder en la cuenca hidrosocial de la presa Huapango, algunas facilitan y otras dificultan la gobernanza y la gobernabilidad.</w:t>
      </w:r>
    </w:p>
    <w:p>
      <w:pPr>
        <w:spacing w:after="0" w:line="360" w:lineRule="auto"/>
        <w:jc w:val="both"/>
        <w:sectPr>
          <w:pgSz w:w="12240" w:h="15840"/>
          <w:pgMar w:header="0" w:footer="1003" w:top="1360" w:bottom="1200" w:left="1600" w:right="1580"/>
        </w:sectPr>
      </w:pPr>
    </w:p>
    <w:p>
      <w:pPr>
        <w:pStyle w:val="BodyText"/>
        <w:spacing w:line="360" w:lineRule="auto" w:before="53"/>
        <w:ind w:left="102" w:right="114"/>
        <w:jc w:val="both"/>
      </w:pPr>
      <w:r>
        <w:rPr/>
        <w:t>De igual forma, en el trabajo de campo se detectó que el mapa de actores históricos (ejidatarios), tiene más vínculos con otros actores de la cuenca, porque son los habitantes más antiguos y tienen desarrollada una identidad regional que les permite tener mayor conocimiento de las problemáticas de la cuenca al contemplar a todos los actores que allí viven. Ellos cuentan con representantes elegidos de formas más democrática y legítima (autoridades auxiliares: Delegados Municipales y Comisariados Ejidales), que los vincula con los otros actores por medio de la gestión.</w:t>
      </w:r>
    </w:p>
    <w:p>
      <w:pPr>
        <w:pStyle w:val="BodyText"/>
        <w:spacing w:before="9"/>
        <w:rPr>
          <w:sz w:val="17"/>
        </w:rPr>
      </w:pPr>
    </w:p>
    <w:p>
      <w:pPr>
        <w:pStyle w:val="BodyText"/>
        <w:spacing w:line="360" w:lineRule="auto"/>
        <w:ind w:left="102" w:right="112"/>
        <w:jc w:val="both"/>
      </w:pPr>
      <w:r>
        <w:rPr/>
        <w:t>Contrario a lo anterior, los actores municipales y federales carecen de identidad, o no son oriundos de la región, o desconocen la problemática de la CHPH de la que se encuentran a cargo, ya que los cambios en la administración política, no les permiten tener el tirmpo suficiente para identificar y conocer la problemática a fondo que padece la cuenca hidrosocial de la presa Huapango. Por otro lado, los actores estatales tienen poca presencia en la CHPH.</w:t>
      </w:r>
    </w:p>
    <w:p>
      <w:pPr>
        <w:pStyle w:val="BodyText"/>
        <w:spacing w:before="9"/>
        <w:rPr>
          <w:sz w:val="17"/>
        </w:rPr>
      </w:pPr>
    </w:p>
    <w:p>
      <w:pPr>
        <w:pStyle w:val="BodyText"/>
        <w:spacing w:line="360" w:lineRule="auto"/>
        <w:ind w:left="102" w:right="114"/>
        <w:jc w:val="both"/>
      </w:pPr>
      <w:r>
        <w:rPr/>
        <w:t>Una vez identificados y elaborados los mapas de actores con sus redes y funciones, se procedió a continuar el trabajo de campo que permitiera identificar y caracterizar las opiniones de los grupos de actores sobre los problemas de la cuenca hidrosocial y el cuerpo de agua presa Huapango, dando voz y opinión a dichos actores y recabadas </w:t>
      </w:r>
      <w:r>
        <w:rPr>
          <w:i/>
        </w:rPr>
        <w:t>in </w:t>
      </w:r>
      <w:r>
        <w:rPr>
          <w:i/>
        </w:rPr>
        <w:t>situ</w:t>
      </w:r>
      <w:r>
        <w:rPr/>
        <w:t>.</w:t>
      </w:r>
    </w:p>
    <w:p>
      <w:pPr>
        <w:pStyle w:val="BodyText"/>
        <w:spacing w:before="7"/>
        <w:rPr>
          <w:sz w:val="17"/>
        </w:rPr>
      </w:pPr>
    </w:p>
    <w:p>
      <w:pPr>
        <w:pStyle w:val="BodyText"/>
        <w:spacing w:line="360" w:lineRule="auto"/>
        <w:ind w:left="102" w:right="116"/>
        <w:jc w:val="both"/>
      </w:pPr>
      <w:r>
        <w:rPr/>
        <w:t>Se realizaron 77 entrevistas e historias de vida a representantes de agrupaciones ya establecidas en la región sobre los cuatro temas de las AEPA (ambiental, social, política y económica); también se caracterizaron las instituciones sociales más importantes de carácter regional, para elaborar la estructura social, e identificar los problemas de la cuenca hidrosocial a través de los principios de gobernanza (fiestas patronales, fiestas culturales (cabalgatas), mercados y tianguis).</w:t>
      </w:r>
    </w:p>
    <w:p>
      <w:pPr>
        <w:pStyle w:val="BodyText"/>
        <w:spacing w:before="7"/>
        <w:rPr>
          <w:sz w:val="17"/>
        </w:rPr>
      </w:pPr>
    </w:p>
    <w:p>
      <w:pPr>
        <w:pStyle w:val="BodyText"/>
        <w:spacing w:line="362" w:lineRule="auto"/>
        <w:ind w:left="102" w:right="116"/>
        <w:jc w:val="both"/>
      </w:pPr>
      <w:r>
        <w:rPr/>
        <w:t>Los principios de gobernanza identificados en la CHPH mediante trabajo de campo y con la opinión de los actores históricos fueron:</w:t>
      </w:r>
    </w:p>
    <w:p>
      <w:pPr>
        <w:pStyle w:val="BodyText"/>
        <w:spacing w:before="4"/>
        <w:rPr>
          <w:sz w:val="17"/>
        </w:rPr>
      </w:pPr>
    </w:p>
    <w:p>
      <w:pPr>
        <w:pStyle w:val="BodyText"/>
        <w:spacing w:line="360" w:lineRule="auto"/>
        <w:ind w:left="102" w:right="112"/>
        <w:jc w:val="both"/>
      </w:pPr>
      <w:r>
        <w:rPr/>
        <w:t>1.- </w:t>
      </w:r>
      <w:r>
        <w:rPr>
          <w:i/>
        </w:rPr>
        <w:t>La identidad</w:t>
      </w:r>
      <w:r>
        <w:rPr/>
        <w:t>: como un principio de gobernanza que se adquiere a través del lugar de nacimiento, parentesco y de la cantidad de años de residencia en la CHPH, así como los períodos de gobierno, y el interés que se tenga por la región; ya que es evidente que los actores históricos en su mayoría, por haber nacido y vivido siempre en la región, tienen mayor  identificación  con  la  cuenca  hidrosocial  y  conocen más  su  problemática. Caso</w:t>
      </w:r>
    </w:p>
    <w:p>
      <w:pPr>
        <w:spacing w:after="0" w:line="360" w:lineRule="auto"/>
        <w:jc w:val="both"/>
        <w:sectPr>
          <w:pgSz w:w="12240" w:h="15840"/>
          <w:pgMar w:header="0" w:footer="1003" w:top="1360" w:bottom="1200" w:left="1600" w:right="1580"/>
        </w:sectPr>
      </w:pPr>
    </w:p>
    <w:p>
      <w:pPr>
        <w:pStyle w:val="BodyText"/>
        <w:spacing w:line="360" w:lineRule="auto" w:before="53"/>
        <w:ind w:left="102" w:right="116"/>
        <w:jc w:val="both"/>
      </w:pPr>
      <w:r>
        <w:rPr/>
        <w:t>contrario ocurre con los actores Municipales, que sí bien, también en su mayoría son ciudadanos nacidos en los municipios que representan, no conocen con precisión los problemas de la cuenca hidrosocial y sus funciones y responsabilidades con ésta, porque manifiestan limitaciones en sus atribuciones que les señala la ley y la falta de acuerdos dentro de sus Cabildos, lo cual hace que éstos tengan limitantes por ley y poco interés en la problemática de la región, lo que no les permite planear a mediano y largo plazo.</w:t>
      </w:r>
    </w:p>
    <w:p>
      <w:pPr>
        <w:pStyle w:val="BodyText"/>
        <w:spacing w:before="7"/>
        <w:rPr>
          <w:sz w:val="17"/>
        </w:rPr>
      </w:pPr>
    </w:p>
    <w:p>
      <w:pPr>
        <w:pStyle w:val="BodyText"/>
        <w:spacing w:line="360" w:lineRule="auto"/>
        <w:ind w:left="102" w:right="117"/>
        <w:jc w:val="both"/>
      </w:pPr>
      <w:r>
        <w:rPr/>
        <w:t>Para el caso de los actores federales, es más evidente la falta de identificación con la zona de la cuenca hidrosocial presa Huapango, ya que en su mayoría, son oriundos de otros estados de la República y ocupan cargos designados por la Conagua, que en cualquier momento pueden tener una movilidad que no les permite conocer la región y su problemática.</w:t>
      </w:r>
    </w:p>
    <w:p>
      <w:pPr>
        <w:pStyle w:val="BodyText"/>
        <w:spacing w:before="7"/>
        <w:rPr>
          <w:sz w:val="17"/>
        </w:rPr>
      </w:pPr>
    </w:p>
    <w:p>
      <w:pPr>
        <w:pStyle w:val="BodyText"/>
        <w:spacing w:line="360" w:lineRule="auto"/>
        <w:ind w:left="102" w:right="114"/>
        <w:jc w:val="both"/>
      </w:pPr>
      <w:r>
        <w:rPr/>
        <w:t>2.- La </w:t>
      </w:r>
      <w:r>
        <w:rPr>
          <w:i/>
        </w:rPr>
        <w:t>autogestión comunitaria</w:t>
      </w:r>
      <w:r>
        <w:rPr/>
        <w:t>: es un principio de gobernanza donde destaca la importancia de la autogestión que tiene la laguna de Huapango para los actores  históricos, ya que se ven beneficiados de la laguna para pescar, agostar y abrevar sus ganados, ejercer el turismo, obtener y recolectar comida lacustre, de lo cual obtienen un ingreso tanto económico como gastronómico extra. Por su parte, los actores municipales, se ven limitados por sus funciones que establece la ley, en la cual se les asigna la prestación de servicios públicos comunes, pero no se reconoce la facultad para cuidar y distribuir sus recursos naturales de uso común, que para este caso de estudio, son manejados por la federación y no se permite la intervención del municipio, ya que </w:t>
      </w:r>
      <w:r>
        <w:rPr>
          <w:spacing w:val="-3"/>
        </w:rPr>
        <w:t>los </w:t>
      </w:r>
      <w:r>
        <w:rPr/>
        <w:t>actores federales manejan la distribución del recurso agua, pero no consideran las otras actividades económicas de las cuales dependen los actores de los municipios de aguas arriba, con lo cual se detecta una gran limitación también por parte de la Federación, ya que al no considerar a los de aguas arriba la gestión integrada que se señala en la Ley de Aguas Nacionales por parte de la Conagua está lejos de</w:t>
      </w:r>
      <w:r>
        <w:rPr>
          <w:spacing w:val="-16"/>
        </w:rPr>
        <w:t> </w:t>
      </w:r>
      <w:r>
        <w:rPr/>
        <w:t>cumplirse.</w:t>
      </w:r>
    </w:p>
    <w:p>
      <w:pPr>
        <w:pStyle w:val="BodyText"/>
        <w:spacing w:before="7"/>
        <w:rPr>
          <w:sz w:val="17"/>
        </w:rPr>
      </w:pPr>
    </w:p>
    <w:p>
      <w:pPr>
        <w:pStyle w:val="BodyText"/>
        <w:spacing w:line="360" w:lineRule="auto"/>
        <w:ind w:left="102" w:right="115"/>
        <w:jc w:val="both"/>
      </w:pPr>
      <w:r>
        <w:rPr/>
        <w:t>Por tal motivo, corresponde a la comunidad de actores históricos de la cuenca hidrosocial de la presa Huapango, comenzar con una autogestión regional que cuide y defienda sus recursos naturales, y que integre a los actores municipales y federales en un marco de funciones y responsabilidades integrada.</w:t>
      </w:r>
    </w:p>
    <w:p>
      <w:pPr>
        <w:pStyle w:val="BodyText"/>
        <w:spacing w:before="7"/>
        <w:rPr>
          <w:sz w:val="17"/>
        </w:rPr>
      </w:pPr>
    </w:p>
    <w:p>
      <w:pPr>
        <w:pStyle w:val="BodyText"/>
        <w:spacing w:line="360" w:lineRule="auto"/>
        <w:ind w:left="102" w:right="115"/>
        <w:jc w:val="both"/>
      </w:pPr>
      <w:r>
        <w:rPr/>
        <w:t>3.- </w:t>
      </w:r>
      <w:r>
        <w:rPr>
          <w:i/>
        </w:rPr>
        <w:t>La cultura</w:t>
      </w:r>
      <w:r>
        <w:rPr/>
        <w:t>: para el caso de este principio de gobernanza los actores históricos identifican que la cultura es un elemento importante para la solución del deterioro de los recursos en la cuenca hidrosocial de la presa Huapango, ya que el manejo de éstos en</w:t>
      </w:r>
    </w:p>
    <w:p>
      <w:pPr>
        <w:spacing w:after="0" w:line="360" w:lineRule="auto"/>
        <w:jc w:val="both"/>
        <w:sectPr>
          <w:pgSz w:w="12240" w:h="15840"/>
          <w:pgMar w:header="0" w:footer="1003" w:top="1360" w:bottom="1200" w:left="1600" w:right="1580"/>
        </w:sectPr>
      </w:pPr>
    </w:p>
    <w:p>
      <w:pPr>
        <w:pStyle w:val="BodyText"/>
        <w:spacing w:line="360" w:lineRule="auto" w:before="53"/>
        <w:ind w:left="102" w:right="116"/>
        <w:jc w:val="both"/>
      </w:pPr>
      <w:r>
        <w:rPr/>
        <w:t>términos generales, ha estado dado de una forma autárquica o libre desde la construcción de la laguna de Huapango (1785-1788), que si bien fue efectiva durante muchos años, actualmente dichas prácticas no alcanzan a resolver los problemas, principalmente por la mayor intervención del Estado a favor de grupos actores, es decir, la Conagua limita y restringe atribuciones de acceso al agua tanto a los actores municipales como a los históricos, sin tener en cuenta las estructuras ya establecidas desde antiguo, lo que provoca falta de gobernanza y gobernabilidad en la solución de problemas hídricos.</w:t>
      </w:r>
    </w:p>
    <w:p>
      <w:pPr>
        <w:pStyle w:val="BodyText"/>
        <w:spacing w:before="9"/>
        <w:rPr>
          <w:sz w:val="17"/>
        </w:rPr>
      </w:pPr>
    </w:p>
    <w:p>
      <w:pPr>
        <w:pStyle w:val="BodyText"/>
        <w:spacing w:line="360" w:lineRule="auto"/>
        <w:ind w:left="102" w:right="115"/>
        <w:jc w:val="both"/>
      </w:pPr>
      <w:r>
        <w:rPr/>
        <w:t>4.- </w:t>
      </w:r>
      <w:r>
        <w:rPr>
          <w:i/>
        </w:rPr>
        <w:t>El poder</w:t>
      </w:r>
      <w:r>
        <w:rPr/>
        <w:t>: para este principio de gobernanza se identificó que si bien el principal problema de la presa Huapango es la contaminación, que pareciera ser de tipo ambiental, en el análisis GIRH se convierte netamente en un problema de tipo político, social y económico, ya que es el resultado de las prácticas de falta de integridad sociopolíticas, que se han generado en varios niveles de gobierno. Las vías tradicionales para solucionarlo son limitadas por las acciones del Estado y del mercado.</w:t>
      </w:r>
    </w:p>
    <w:p>
      <w:pPr>
        <w:pStyle w:val="BodyText"/>
        <w:spacing w:before="9"/>
        <w:rPr>
          <w:sz w:val="17"/>
        </w:rPr>
      </w:pPr>
    </w:p>
    <w:p>
      <w:pPr>
        <w:pStyle w:val="BodyText"/>
        <w:spacing w:line="360" w:lineRule="auto"/>
        <w:ind w:left="102" w:right="115"/>
        <w:jc w:val="both"/>
      </w:pPr>
      <w:r>
        <w:rPr/>
        <w:t>Unido a esto, el problema del poder se percibe principalmente en la distribución del agua para riego que es exclusiva para los actores de aguas abajo. Si bien es una asignación histórica, se percibe que esto debe cambiar para mejorar el estado. La imposición y falta de reconocimiento de este problema por parte de la CONAGUA, es una imposición del Estado que obedece a las exigencias del mercado capitalista.</w:t>
      </w:r>
    </w:p>
    <w:p>
      <w:pPr>
        <w:pStyle w:val="BodyText"/>
        <w:spacing w:before="7"/>
        <w:rPr>
          <w:sz w:val="17"/>
        </w:rPr>
      </w:pPr>
    </w:p>
    <w:p>
      <w:pPr>
        <w:pStyle w:val="BodyText"/>
        <w:spacing w:line="360" w:lineRule="auto"/>
        <w:ind w:left="102" w:right="112"/>
        <w:jc w:val="both"/>
      </w:pPr>
      <w:r>
        <w:rPr/>
        <w:t>Aunado a lo anterior, los actores municipales e históricos, señalaron como principales problemas de poder, a la contaminación como efecto de la falta de acuerdos entre los tres niveles de gobierno; el crecimiento demográfico en áreas en torno a la presa por falta de planeación (e integridad) por parte de las autoridades correspondientes.</w:t>
      </w:r>
    </w:p>
    <w:p>
      <w:pPr>
        <w:pStyle w:val="BodyText"/>
        <w:spacing w:before="7"/>
        <w:rPr>
          <w:sz w:val="17"/>
        </w:rPr>
      </w:pPr>
    </w:p>
    <w:p>
      <w:pPr>
        <w:pStyle w:val="BodyText"/>
        <w:spacing w:line="360" w:lineRule="auto"/>
        <w:ind w:left="102" w:right="112"/>
        <w:jc w:val="both"/>
      </w:pPr>
      <w:r>
        <w:rPr/>
        <w:t>Se identifica una inequitativa distribución del agua para riego, que obedece en parte a la historia política de la presa Huapango, y otra parte se relaciona con la ubicación geográfica del sistema de riego, ya que las concesiones otorgadas desde época de las haciendas a los actores de aguas abajo (Aculco y Polotitlán), fueron ratificadas por el Estado con el reparto agrario y la creación del Distrito de riego por parte de la CONGUA, favoreciendo así estos dos municipios y a sus actores, creando redes de poder que se detectan en la exclusividad del agua para riego procedente de la presa. Dichas acciones han generado un descontento sociopolítico en los actores de los municipios de aguas arriba (Acambay, Jilotepec y Timilpan), porque el Estado se niega a dejarlos regar sus tierras, a pesar de tener otra situación sociopolítica donde hay que reconsiderar la  </w:t>
      </w:r>
      <w:r>
        <w:rPr>
          <w:spacing w:val="56"/>
        </w:rPr>
        <w:t> </w:t>
      </w:r>
      <w:r>
        <w:rPr/>
        <w:t>forma</w:t>
      </w:r>
    </w:p>
    <w:p>
      <w:pPr>
        <w:spacing w:after="0" w:line="360" w:lineRule="auto"/>
        <w:jc w:val="both"/>
        <w:sectPr>
          <w:pgSz w:w="12240" w:h="15840"/>
          <w:pgMar w:header="0" w:footer="1003" w:top="1360" w:bottom="1200" w:left="1600" w:right="1580"/>
        </w:sectPr>
      </w:pPr>
    </w:p>
    <w:p>
      <w:pPr>
        <w:pStyle w:val="BodyText"/>
        <w:spacing w:line="360" w:lineRule="auto" w:before="53"/>
        <w:ind w:left="102" w:right="113"/>
        <w:jc w:val="both"/>
      </w:pPr>
      <w:r>
        <w:rPr/>
        <w:t>actual del reparto del agua entre los municipios que integran la cuenca. En este sentido, los actores afirman que la presa Huapango es de orden federal y tienen derecho a riego, sin embargo, la CONAGUA sólo les deja a los municipios de aguas arriba verse beneficiados con la pesca, recolección de comida lacustre, y con los pastos y agua para que tome su ganado, si bien reconocen que son actividades importantes para su economía de autoconsumo, no les permite generar un mejor desarrollo socioeconómico. Es por ello que exigen una nueva redistribución del recurso agua para riego, que tome en cuenta otras características sociopolíticas de los municipios colindantes del territorio que ocupa las presa Huapango, la cual está dentro de las tierras ejidales de Timilpan y Acambay principalmente, quienes tienen negada el agua de riego por ley procedente de la presa</w:t>
      </w:r>
      <w:r>
        <w:rPr>
          <w:spacing w:val="-4"/>
        </w:rPr>
        <w:t> </w:t>
      </w:r>
      <w:r>
        <w:rPr/>
        <w:t>Huapango.</w:t>
      </w:r>
    </w:p>
    <w:p>
      <w:pPr>
        <w:pStyle w:val="BodyText"/>
        <w:spacing w:before="7"/>
        <w:rPr>
          <w:sz w:val="17"/>
        </w:rPr>
      </w:pPr>
    </w:p>
    <w:p>
      <w:pPr>
        <w:pStyle w:val="BodyText"/>
        <w:spacing w:line="360" w:lineRule="auto"/>
        <w:ind w:left="102" w:right="113"/>
        <w:jc w:val="both"/>
      </w:pPr>
      <w:r>
        <w:rPr/>
        <w:t>Por su parte, los actores beneficiados de aguas abajo, señalan como principal problema (de poder) la falta de más agua para riego y ganadería, ya que la presa no les es suficiente como antaño a dichos actores por la expansión de tierras para riego y ganado; además señalan que la presa “ya no se llena por falta de lluvia y evaporación”. En este sentido, se identificó que no todos los actores de los municipios de aguas abajo se benefician del agua para riego, ya que en trabajo de campo, hubo actores que manifestaron su descontento porque indicaron que sólo se les da el agua para riego a los que tienen una concesión histórica, y que además, el agua se la llevan para otros estados de la república (Hidalgo y Querétaro), sin dejar que ellos la aprovechen primero. Por tal motivo, dichos actores presionan a la Conagua para que les dé una solución. Es así que los actores federales, han pensado en favorecer con una solución técnica la falta de agua para éstos actores, al planear llevar más agua a la presa con agua tratada de la ciudad de Toluca, esta solución es sin tomar en cuenta los efectos ambientales que por esta causa se generarían en la</w:t>
      </w:r>
      <w:r>
        <w:rPr>
          <w:spacing w:val="-9"/>
        </w:rPr>
        <w:t> </w:t>
      </w:r>
      <w:r>
        <w:rPr/>
        <w:t>región.</w:t>
      </w:r>
    </w:p>
    <w:p>
      <w:pPr>
        <w:pStyle w:val="BodyText"/>
        <w:spacing w:before="9"/>
        <w:rPr>
          <w:sz w:val="17"/>
        </w:rPr>
      </w:pPr>
    </w:p>
    <w:p>
      <w:pPr>
        <w:pStyle w:val="BodyText"/>
        <w:spacing w:line="360" w:lineRule="auto"/>
        <w:ind w:left="102" w:right="118"/>
        <w:jc w:val="both"/>
      </w:pPr>
      <w:r>
        <w:rPr/>
        <w:t>Destaca la percepción de la mayoría de los actores históricos, que proponen que sean ellos mismos como ciudadanos de mayor visión los que resuelvan sus problemas, ya que los actores (las autoridades federales y municipales), no han asumido (o no pueden) su responsabilidad para solucionarlos, por atender más al poder político que social. Por su parte, los actores municipales señalan (en su mayoría) que la solución debe darse en los tres niveles de gobierno junto con la población, ya que ellos como autoridades  municipales no pueden solos, porque tienen severas limitaciones dadas por la ley, la </w:t>
      </w:r>
      <w:r>
        <w:rPr>
          <w:spacing w:val="28"/>
        </w:rPr>
        <w:t> </w:t>
      </w:r>
      <w:r>
        <w:rPr/>
        <w:t>cual</w:t>
      </w:r>
    </w:p>
    <w:p>
      <w:pPr>
        <w:spacing w:after="0" w:line="360" w:lineRule="auto"/>
        <w:jc w:val="both"/>
        <w:sectPr>
          <w:pgSz w:w="12240" w:h="15840"/>
          <w:pgMar w:header="0" w:footer="1003" w:top="1360" w:bottom="1200" w:left="1600" w:right="1580"/>
        </w:sectPr>
      </w:pPr>
    </w:p>
    <w:p>
      <w:pPr>
        <w:pStyle w:val="BodyText"/>
        <w:spacing w:line="362" w:lineRule="auto" w:before="53"/>
        <w:ind w:left="102" w:right="120"/>
        <w:jc w:val="both"/>
      </w:pPr>
      <w:r>
        <w:rPr/>
        <w:t>que no les permite intervenir directamente en la laguna de Huapango a pesar de estar en su territorio por ser un cuerpo de agua que maneja la federación a través de la Conagua.</w:t>
      </w:r>
    </w:p>
    <w:p>
      <w:pPr>
        <w:pStyle w:val="BodyText"/>
        <w:spacing w:before="4"/>
        <w:rPr>
          <w:sz w:val="17"/>
        </w:rPr>
      </w:pPr>
    </w:p>
    <w:p>
      <w:pPr>
        <w:pStyle w:val="BodyText"/>
        <w:spacing w:line="360" w:lineRule="auto"/>
        <w:ind w:left="102" w:right="117"/>
        <w:jc w:val="both"/>
      </w:pPr>
      <w:r>
        <w:rPr/>
        <w:t>Finalmente con el principio de poder, se identificó la importancia que tiene la presa Huapango como eje articulador para el desarrollo de la región, al relacionarse los actores en torno a las ideas de solución y responsabilidad de sus problemas. Por lo que se detecta que se requiere una reestructuración política de la reasignación del agua de la presa Huapango, haciendo uso de las estructuras sociales de los actores que se han establecido a través de la historia para una planeación integrada. Así, se identifica la propuesta de los actores de la creación de un Comité Intermunicipal con su reglamento, para el uso, cuidado y defensa de la presa Huapango, en donde sean los actores históricos los principales responsables de su solución, a través de las relaciones intermunicipales y la gobernanza y gobernabilidad respetada por la federación, basadas en la democracia, participación social y cooperación para resolver los conflictos a través de acuerdos</w:t>
      </w:r>
      <w:r>
        <w:rPr>
          <w:spacing w:val="-2"/>
        </w:rPr>
        <w:t> </w:t>
      </w:r>
      <w:r>
        <w:rPr/>
        <w:t>formales.</w:t>
      </w:r>
    </w:p>
    <w:p>
      <w:pPr>
        <w:pStyle w:val="BodyText"/>
        <w:spacing w:before="9"/>
        <w:rPr>
          <w:sz w:val="17"/>
        </w:rPr>
      </w:pPr>
    </w:p>
    <w:p>
      <w:pPr>
        <w:pStyle w:val="BodyText"/>
        <w:spacing w:line="360" w:lineRule="auto"/>
        <w:ind w:left="102" w:right="114"/>
        <w:jc w:val="both"/>
      </w:pPr>
      <w:r>
        <w:rPr/>
        <w:t>5.- </w:t>
      </w:r>
      <w:r>
        <w:rPr>
          <w:i/>
        </w:rPr>
        <w:t>Relaciones intermunicipales</w:t>
      </w:r>
      <w:r>
        <w:rPr/>
        <w:t>: con este principio de gobernanza se detecta que son los actores históricos los que tienen mayor peso para poder llevar acabo la creación de un Comité Intermunicipal con su Reglamento para el uso, cuidado y defensa de la presa Huapango, ya que como ciudadanos, pueden constituirse en asociaciones civiles (Comité) que les dan la facultad de regirse mediante un acuerdo general de Asamblea (Reglamento); además de que el 87 % de estos actores están a favor de la creación de dicho Comité para hacer frente a la problemática que se vive en la cuenca hidrosocial presa Huapango y poder sostener así a la presa Huapango, un bien de uso común importante para la región. Se detecta que son los mejores actores para comenzar a  formar el Comité con su reglamento, porque son los que tienen más lazos y flexibilidad de relaciones con los otros actores de la</w:t>
      </w:r>
      <w:r>
        <w:rPr>
          <w:spacing w:val="-10"/>
        </w:rPr>
        <w:t> </w:t>
      </w:r>
      <w:r>
        <w:rPr/>
        <w:t>cuenca.</w:t>
      </w:r>
    </w:p>
    <w:p>
      <w:pPr>
        <w:pStyle w:val="BodyText"/>
        <w:spacing w:before="7"/>
        <w:rPr>
          <w:sz w:val="17"/>
        </w:rPr>
      </w:pPr>
    </w:p>
    <w:p>
      <w:pPr>
        <w:pStyle w:val="BodyText"/>
        <w:spacing w:line="360" w:lineRule="auto"/>
        <w:ind w:left="102" w:right="118"/>
        <w:jc w:val="both"/>
      </w:pPr>
      <w:r>
        <w:rPr/>
        <w:t>Por su parte los actores municipales, muestran gran interés por interrelacionarse con  otras autoridades municipales de los otros municipios que integran la cuenca hidrosocial presa Huapango, para hacer frente a la problemática común que se tiene en la presa Huapango, ya que el 75% dijo estar a favor de la creación de un Comité Intermunicipal con su Reglamento, pero desconocen las limitantes constitucionales que tienen como órganos municipales, ya que la Constitución señala en su artículo 115, que los municipios sólo podrán asociarse para prestar servicios públicos, pero no reconoce la Constitución</w:t>
      </w:r>
      <w:r>
        <w:rPr>
          <w:spacing w:val="60"/>
        </w:rPr>
        <w:t> </w:t>
      </w:r>
      <w:r>
        <w:rPr/>
        <w:t>la</w:t>
      </w:r>
    </w:p>
    <w:p>
      <w:pPr>
        <w:spacing w:after="0" w:line="360" w:lineRule="auto"/>
        <w:jc w:val="both"/>
        <w:sectPr>
          <w:pgSz w:w="12240" w:h="15840"/>
          <w:pgMar w:header="0" w:footer="1003" w:top="1360" w:bottom="1200" w:left="1600" w:right="1580"/>
        </w:sectPr>
      </w:pPr>
    </w:p>
    <w:p>
      <w:pPr>
        <w:pStyle w:val="BodyText"/>
        <w:spacing w:line="362" w:lineRule="auto" w:before="53"/>
        <w:ind w:left="102" w:right="118"/>
        <w:jc w:val="both"/>
      </w:pPr>
      <w:r>
        <w:rPr/>
        <w:t>asociación para proteger recursos naturales que están en constante deterioro, y que son de uso común para varios municipios, como es el caso de la presa Huapango.</w:t>
      </w:r>
    </w:p>
    <w:p>
      <w:pPr>
        <w:pStyle w:val="BodyText"/>
        <w:spacing w:before="4"/>
        <w:rPr>
          <w:sz w:val="17"/>
        </w:rPr>
      </w:pPr>
    </w:p>
    <w:p>
      <w:pPr>
        <w:pStyle w:val="BodyText"/>
        <w:spacing w:line="360" w:lineRule="auto"/>
        <w:ind w:left="102" w:right="115"/>
        <w:jc w:val="both"/>
      </w:pPr>
      <w:r>
        <w:rPr/>
        <w:t>Por su parte, los actores federales que sólo atienden a los municipios de aguas abajo (Aculco y Polotitlán), centran su atención en la regulación (que ya existe en la Asociación de Usuarios para riego) para la distribución del agua, no les interesa que se realicen acciones para proteger este recurso de forma sostenible, solo responder ante la demanda de agua de los actores de Polotitlán y Aculco.</w:t>
      </w:r>
    </w:p>
    <w:p>
      <w:pPr>
        <w:pStyle w:val="BodyText"/>
        <w:spacing w:before="9"/>
        <w:rPr>
          <w:sz w:val="17"/>
        </w:rPr>
      </w:pPr>
    </w:p>
    <w:p>
      <w:pPr>
        <w:pStyle w:val="BodyText"/>
        <w:spacing w:line="360" w:lineRule="auto"/>
        <w:ind w:left="102" w:right="117"/>
        <w:jc w:val="both"/>
      </w:pPr>
      <w:r>
        <w:rPr/>
        <w:t>Es por ello, que se detecta que es en los actores históricos, donde radica la oportunidad de empoderamiento para asociarse y crear una regulación con más gobernabilidad y gobernanza.</w:t>
      </w:r>
    </w:p>
    <w:p>
      <w:pPr>
        <w:pStyle w:val="BodyText"/>
        <w:spacing w:before="9"/>
        <w:rPr>
          <w:sz w:val="17"/>
        </w:rPr>
      </w:pPr>
    </w:p>
    <w:p>
      <w:pPr>
        <w:pStyle w:val="BodyText"/>
        <w:spacing w:line="360" w:lineRule="auto"/>
        <w:ind w:left="102" w:right="115"/>
        <w:jc w:val="both"/>
      </w:pPr>
      <w:r>
        <w:rPr/>
        <w:t>6.- </w:t>
      </w:r>
      <w:r>
        <w:rPr>
          <w:i/>
        </w:rPr>
        <w:t>Cooperación, participación social, democracia y voluntariedad de la sociedad</w:t>
      </w:r>
      <w:r>
        <w:rPr/>
        <w:t>: para el caso de estos principios de gobernanza se identificó el interés de los actores de la cuenca hidrosocial presa Huapango por participar en una reunión para tratar asuntos relacionados con dicha presa, ya que el 100% dijo que sí asistiría porque les interesa el rescate y sostenibilidad de la presa. Sin embargo, se pudo detectar una vez más a los actores históricos como eje articulador del desarrollo regional, ya que son ellos los más preocupados por resolver dicha problemática para lograr la sostenibilidad de la presa, además, son los actores históricos los que cuentan con estructuras socioculturales más consolidadas que les permite tener una mejor interrelación para poder solucionar dichos problemas, a través de acuerdos basados en el derecho consuetudinario, es decir, a través de sus usos y costumbres, lo cual demuestra una contribución considerable para una buena gobernanza y gobernabilidad de la</w:t>
      </w:r>
      <w:r>
        <w:rPr>
          <w:spacing w:val="-16"/>
        </w:rPr>
        <w:t> </w:t>
      </w:r>
      <w:r>
        <w:rPr/>
        <w:t>región.</w:t>
      </w:r>
    </w:p>
    <w:p>
      <w:pPr>
        <w:pStyle w:val="BodyText"/>
        <w:spacing w:before="7"/>
        <w:rPr>
          <w:sz w:val="17"/>
        </w:rPr>
      </w:pPr>
    </w:p>
    <w:p>
      <w:pPr>
        <w:pStyle w:val="BodyText"/>
        <w:spacing w:line="360" w:lineRule="auto"/>
        <w:ind w:left="102" w:right="117"/>
        <w:jc w:val="both"/>
      </w:pPr>
      <w:r>
        <w:rPr/>
        <w:t>Con la identificación de los principios de gobernanza antes citados en trabajo de campo y con la opinión de los actores, se pudo identificar y consolidar la propuesta de creación de un Comité Intermunicipal con su Reglamento para diseñar un sistema de planeación, mediante cuatro Áreas Estratégicas de Planeación y Articulación (AEPA) que retomaron las cuatro dimensiones que consideran la gobernanza y la gobernabilidad: social, política, económica y ambiental, por tal motivo las AEPA obedecen a dicha estructura.</w:t>
      </w:r>
    </w:p>
    <w:p>
      <w:pPr>
        <w:pStyle w:val="BodyText"/>
        <w:spacing w:before="7"/>
        <w:rPr>
          <w:sz w:val="17"/>
        </w:rPr>
      </w:pPr>
    </w:p>
    <w:p>
      <w:pPr>
        <w:pStyle w:val="BodyText"/>
        <w:spacing w:line="360" w:lineRule="auto"/>
        <w:ind w:left="102" w:right="118"/>
        <w:jc w:val="both"/>
      </w:pPr>
      <w:r>
        <w:rPr/>
        <w:t>Dichas AEPA se constituyeron en ambiental, social, económica y política para poder generar un sistema de indicadores PEIR donde los principios de gobernanza identificados mediante las consideraciones teóricas y el trabajo de campo se tradujeron a    indicadores</w:t>
      </w:r>
    </w:p>
    <w:p>
      <w:pPr>
        <w:spacing w:after="0" w:line="360" w:lineRule="auto"/>
        <w:jc w:val="both"/>
        <w:sectPr>
          <w:pgSz w:w="12240" w:h="15840"/>
          <w:pgMar w:header="0" w:footer="1003" w:top="1360" w:bottom="1200" w:left="1600" w:right="1580"/>
        </w:sectPr>
      </w:pPr>
    </w:p>
    <w:p>
      <w:pPr>
        <w:pStyle w:val="BodyText"/>
        <w:spacing w:line="360" w:lineRule="auto" w:before="53"/>
        <w:ind w:left="222" w:right="234"/>
        <w:jc w:val="both"/>
      </w:pPr>
      <w:r>
        <w:rPr/>
        <w:t>de presión ambientales, sociales, económicos y políticos, donde mediante una matriz numérica se cruzaron un total de 176 indicadores de las cuatro AEPA (44 indicadores por cada AEPA), y que posteriormente el sistema dio como resultado la conjugación de las AEPA social y política en sociopolítica, quedando sólo tres AEPA: ambiental, sociopolítica y económica, por lo que el cruce de los 176 indicadores en la matriz PEIR se redujo a 132 dando como resultado 22 Factores Críticos de Éxito (FCE), donde se identificaron los vínculos, la jerarquía y el peso específico por sistema y por AEPA; en este último caso,  fue con base únicamente en los indicadores tácticos seleccionados y con lo que se pudo identificar la máxima de la sinergia de la Teoría de Sistemas que dice “el todo es más que la suma de las partes”, dichos FCE sirvieron para crear los mapas conceptuales de interrelación PEIR y el diseño del articulado de la propuesta de Reglamento del Comité intermunicipal, los FCE con todos sus resultados en el sistema PEIR por sistema y por AEPA se enumeran en las siguientes</w:t>
      </w:r>
      <w:r>
        <w:rPr>
          <w:spacing w:val="-9"/>
        </w:rPr>
        <w:t> </w:t>
      </w:r>
      <w:r>
        <w:rPr/>
        <w:t>tablas:</w:t>
      </w:r>
    </w:p>
    <w:p>
      <w:pPr>
        <w:pStyle w:val="BodyText"/>
        <w:spacing w:before="4"/>
        <w:rPr>
          <w:sz w:val="17"/>
        </w:rPr>
      </w:pPr>
    </w:p>
    <w:p>
      <w:pPr>
        <w:pStyle w:val="Heading6"/>
        <w:ind w:left="1393" w:right="344"/>
      </w:pPr>
      <w:r>
        <w:rPr/>
        <w:t>Tabla. Factores Críticos de Éxito del sistema PEIR de la CHPH</w:t>
      </w:r>
    </w:p>
    <w:p>
      <w:pPr>
        <w:pStyle w:val="BodyText"/>
        <w:spacing w:before="10"/>
        <w:rPr>
          <w:b/>
          <w:sz w:val="2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3"/>
        <w:gridCol w:w="682"/>
        <w:gridCol w:w="2165"/>
        <w:gridCol w:w="1049"/>
        <w:gridCol w:w="1118"/>
        <w:gridCol w:w="1474"/>
        <w:gridCol w:w="1565"/>
      </w:tblGrid>
      <w:tr>
        <w:trPr>
          <w:trHeight w:val="389" w:hRule="exact"/>
        </w:trPr>
        <w:tc>
          <w:tcPr>
            <w:tcW w:w="9057" w:type="dxa"/>
            <w:gridSpan w:val="7"/>
          </w:tcPr>
          <w:p>
            <w:pPr>
              <w:pStyle w:val="TableParagraph"/>
              <w:spacing w:line="248" w:lineRule="exact"/>
              <w:ind w:left="4014" w:right="4014"/>
              <w:jc w:val="center"/>
              <w:rPr>
                <w:b/>
                <w:sz w:val="22"/>
              </w:rPr>
            </w:pPr>
            <w:r>
              <w:rPr>
                <w:b/>
                <w:sz w:val="22"/>
              </w:rPr>
              <w:t>SISTEMA</w:t>
            </w:r>
          </w:p>
        </w:tc>
      </w:tr>
      <w:tr>
        <w:trPr>
          <w:trHeight w:val="701" w:hRule="exact"/>
        </w:trPr>
        <w:tc>
          <w:tcPr>
            <w:tcW w:w="1003" w:type="dxa"/>
            <w:shd w:val="clear" w:color="auto" w:fill="938953"/>
          </w:tcPr>
          <w:p>
            <w:pPr>
              <w:pStyle w:val="TableParagraph"/>
              <w:spacing w:line="225" w:lineRule="exact"/>
              <w:ind w:left="218"/>
              <w:rPr>
                <w:b/>
                <w:sz w:val="20"/>
              </w:rPr>
            </w:pPr>
            <w:r>
              <w:rPr>
                <w:b/>
                <w:sz w:val="20"/>
              </w:rPr>
              <w:t>AEPA</w:t>
            </w:r>
          </w:p>
        </w:tc>
        <w:tc>
          <w:tcPr>
            <w:tcW w:w="682" w:type="dxa"/>
            <w:shd w:val="clear" w:color="auto" w:fill="938953"/>
          </w:tcPr>
          <w:p>
            <w:pPr>
              <w:pStyle w:val="TableParagraph"/>
              <w:spacing w:line="225" w:lineRule="exact"/>
              <w:ind w:left="81" w:right="84"/>
              <w:jc w:val="center"/>
              <w:rPr>
                <w:b/>
                <w:sz w:val="20"/>
              </w:rPr>
            </w:pPr>
            <w:r>
              <w:rPr>
                <w:b/>
                <w:sz w:val="20"/>
              </w:rPr>
              <w:t>PEIR</w:t>
            </w:r>
          </w:p>
        </w:tc>
        <w:tc>
          <w:tcPr>
            <w:tcW w:w="2165" w:type="dxa"/>
            <w:shd w:val="clear" w:color="auto" w:fill="938953"/>
          </w:tcPr>
          <w:p>
            <w:pPr>
              <w:pStyle w:val="TableParagraph"/>
              <w:spacing w:line="225" w:lineRule="exact"/>
              <w:ind w:left="94" w:right="96"/>
              <w:jc w:val="center"/>
              <w:rPr>
                <w:b/>
                <w:sz w:val="20"/>
              </w:rPr>
            </w:pPr>
            <w:r>
              <w:rPr>
                <w:b/>
                <w:sz w:val="20"/>
              </w:rPr>
              <w:t>Indicador</w:t>
            </w:r>
          </w:p>
        </w:tc>
        <w:tc>
          <w:tcPr>
            <w:tcW w:w="1049" w:type="dxa"/>
            <w:shd w:val="clear" w:color="auto" w:fill="938953"/>
          </w:tcPr>
          <w:p>
            <w:pPr>
              <w:pStyle w:val="TableParagraph"/>
              <w:spacing w:line="225" w:lineRule="exact"/>
              <w:ind w:left="82" w:right="83"/>
              <w:jc w:val="center"/>
              <w:rPr>
                <w:b/>
                <w:sz w:val="20"/>
              </w:rPr>
            </w:pPr>
            <w:r>
              <w:rPr>
                <w:b/>
                <w:sz w:val="20"/>
              </w:rPr>
              <w:t>Vínculos</w:t>
            </w:r>
          </w:p>
        </w:tc>
        <w:tc>
          <w:tcPr>
            <w:tcW w:w="1118" w:type="dxa"/>
            <w:shd w:val="clear" w:color="auto" w:fill="938953"/>
          </w:tcPr>
          <w:p>
            <w:pPr>
              <w:pStyle w:val="TableParagraph"/>
              <w:spacing w:line="225" w:lineRule="exact"/>
              <w:ind w:left="82" w:right="85"/>
              <w:jc w:val="center"/>
              <w:rPr>
                <w:b/>
                <w:sz w:val="20"/>
              </w:rPr>
            </w:pPr>
            <w:r>
              <w:rPr>
                <w:b/>
                <w:sz w:val="20"/>
              </w:rPr>
              <w:t>Jerarquía</w:t>
            </w:r>
          </w:p>
        </w:tc>
        <w:tc>
          <w:tcPr>
            <w:tcW w:w="1474" w:type="dxa"/>
            <w:shd w:val="clear" w:color="auto" w:fill="938953"/>
          </w:tcPr>
          <w:p>
            <w:pPr>
              <w:pStyle w:val="TableParagraph"/>
              <w:spacing w:line="360" w:lineRule="auto"/>
              <w:ind w:left="239" w:firstLine="252"/>
              <w:rPr>
                <w:b/>
                <w:sz w:val="20"/>
              </w:rPr>
            </w:pPr>
            <w:r>
              <w:rPr>
                <w:b/>
                <w:sz w:val="20"/>
              </w:rPr>
              <w:t>Peso </w:t>
            </w:r>
            <w:r>
              <w:rPr>
                <w:b/>
                <w:w w:val="95"/>
                <w:sz w:val="20"/>
              </w:rPr>
              <w:t>específico</w:t>
            </w:r>
          </w:p>
        </w:tc>
        <w:tc>
          <w:tcPr>
            <w:tcW w:w="1565" w:type="dxa"/>
            <w:shd w:val="clear" w:color="auto" w:fill="938953"/>
          </w:tcPr>
          <w:p>
            <w:pPr>
              <w:pStyle w:val="TableParagraph"/>
              <w:spacing w:line="360" w:lineRule="auto"/>
              <w:ind w:left="285" w:right="115" w:hanging="154"/>
              <w:rPr>
                <w:b/>
                <w:sz w:val="20"/>
              </w:rPr>
            </w:pPr>
            <w:r>
              <w:rPr>
                <w:b/>
                <w:sz w:val="20"/>
              </w:rPr>
              <w:t>Total de peso específico</w:t>
            </w:r>
          </w:p>
        </w:tc>
      </w:tr>
      <w:tr>
        <w:trPr>
          <w:trHeight w:val="389" w:hRule="exact"/>
        </w:trPr>
        <w:tc>
          <w:tcPr>
            <w:tcW w:w="1003" w:type="dxa"/>
            <w:vMerge w:val="restart"/>
            <w:shd w:val="clear" w:color="auto" w:fill="76923B"/>
            <w:textDirection w:val="btLr"/>
          </w:tcPr>
          <w:p>
            <w:pPr>
              <w:pStyle w:val="TableParagraph"/>
              <w:spacing w:before="105"/>
              <w:ind w:left="1530" w:right="1530"/>
              <w:jc w:val="center"/>
              <w:rPr>
                <w:b/>
                <w:sz w:val="22"/>
              </w:rPr>
            </w:pPr>
            <w:r>
              <w:rPr>
                <w:b/>
                <w:spacing w:val="-2"/>
                <w:w w:val="100"/>
                <w:sz w:val="22"/>
              </w:rPr>
              <w:t>A</w:t>
            </w:r>
            <w:r>
              <w:rPr>
                <w:b/>
                <w:w w:val="100"/>
                <w:sz w:val="22"/>
              </w:rPr>
              <w:t>M</w:t>
            </w:r>
            <w:r>
              <w:rPr>
                <w:b/>
                <w:spacing w:val="-2"/>
                <w:w w:val="100"/>
                <w:sz w:val="22"/>
              </w:rPr>
              <w:t>B</w:t>
            </w:r>
            <w:r>
              <w:rPr>
                <w:b/>
                <w:w w:val="100"/>
                <w:sz w:val="22"/>
              </w:rPr>
              <w:t>I</w:t>
            </w:r>
            <w:r>
              <w:rPr>
                <w:b/>
                <w:spacing w:val="-1"/>
                <w:w w:val="100"/>
                <w:sz w:val="22"/>
              </w:rPr>
              <w:t>E</w:t>
            </w:r>
            <w:r>
              <w:rPr>
                <w:b/>
                <w:spacing w:val="-2"/>
                <w:w w:val="100"/>
                <w:sz w:val="22"/>
              </w:rPr>
              <w:t>N</w:t>
            </w:r>
            <w:r>
              <w:rPr>
                <w:b/>
                <w:w w:val="100"/>
                <w:sz w:val="22"/>
              </w:rPr>
              <w:t>T</w:t>
            </w:r>
            <w:r>
              <w:rPr>
                <w:b/>
                <w:spacing w:val="-2"/>
                <w:w w:val="100"/>
                <w:sz w:val="22"/>
              </w:rPr>
              <w:t>A</w:t>
            </w:r>
            <w:r>
              <w:rPr>
                <w:b/>
                <w:w w:val="100"/>
                <w:sz w:val="22"/>
              </w:rPr>
              <w:t>L</w:t>
            </w:r>
          </w:p>
        </w:tc>
        <w:tc>
          <w:tcPr>
            <w:tcW w:w="682" w:type="dxa"/>
            <w:shd w:val="clear" w:color="auto" w:fill="76923B"/>
          </w:tcPr>
          <w:p>
            <w:pPr>
              <w:pStyle w:val="TableParagraph"/>
              <w:spacing w:line="251" w:lineRule="exact"/>
              <w:ind w:left="0" w:right="1"/>
              <w:jc w:val="center"/>
              <w:rPr>
                <w:sz w:val="22"/>
              </w:rPr>
            </w:pPr>
            <w:r>
              <w:rPr>
                <w:w w:val="100"/>
                <w:sz w:val="22"/>
              </w:rPr>
              <w:t>P</w:t>
            </w:r>
          </w:p>
        </w:tc>
        <w:tc>
          <w:tcPr>
            <w:tcW w:w="2165" w:type="dxa"/>
          </w:tcPr>
          <w:p>
            <w:pPr>
              <w:pStyle w:val="TableParagraph"/>
              <w:spacing w:line="251" w:lineRule="exact"/>
              <w:ind w:left="96" w:right="96"/>
              <w:jc w:val="center"/>
              <w:rPr>
                <w:sz w:val="22"/>
              </w:rPr>
            </w:pPr>
            <w:r>
              <w:rPr>
                <w:sz w:val="22"/>
              </w:rPr>
              <w:t>Historia ambiental</w:t>
            </w:r>
          </w:p>
        </w:tc>
        <w:tc>
          <w:tcPr>
            <w:tcW w:w="1049" w:type="dxa"/>
          </w:tcPr>
          <w:p>
            <w:pPr>
              <w:pStyle w:val="TableParagraph"/>
              <w:spacing w:line="251" w:lineRule="exact"/>
              <w:ind w:left="82" w:right="82"/>
              <w:jc w:val="center"/>
              <w:rPr>
                <w:sz w:val="22"/>
              </w:rPr>
            </w:pPr>
            <w:r>
              <w:rPr>
                <w:sz w:val="22"/>
              </w:rPr>
              <w:t>131</w:t>
            </w:r>
          </w:p>
        </w:tc>
        <w:tc>
          <w:tcPr>
            <w:tcW w:w="1118" w:type="dxa"/>
          </w:tcPr>
          <w:p>
            <w:pPr>
              <w:pStyle w:val="TableParagraph"/>
              <w:spacing w:line="251" w:lineRule="exact"/>
              <w:ind w:left="0"/>
              <w:jc w:val="center"/>
              <w:rPr>
                <w:sz w:val="22"/>
              </w:rPr>
            </w:pPr>
            <w:r>
              <w:rPr>
                <w:w w:val="100"/>
                <w:sz w:val="22"/>
              </w:rPr>
              <w:t>1</w:t>
            </w:r>
          </w:p>
        </w:tc>
        <w:tc>
          <w:tcPr>
            <w:tcW w:w="1474" w:type="dxa"/>
          </w:tcPr>
          <w:p>
            <w:pPr>
              <w:pStyle w:val="TableParagraph"/>
              <w:spacing w:line="251" w:lineRule="exact"/>
              <w:ind w:left="131" w:right="131"/>
              <w:jc w:val="center"/>
              <w:rPr>
                <w:sz w:val="22"/>
              </w:rPr>
            </w:pPr>
            <w:r>
              <w:rPr>
                <w:sz w:val="22"/>
              </w:rPr>
              <w:t>1.00</w:t>
            </w:r>
          </w:p>
        </w:tc>
        <w:tc>
          <w:tcPr>
            <w:tcW w:w="1565" w:type="dxa"/>
          </w:tcPr>
          <w:p>
            <w:pPr>
              <w:pStyle w:val="TableParagraph"/>
              <w:spacing w:line="251" w:lineRule="exact"/>
              <w:ind w:left="421" w:right="421"/>
              <w:jc w:val="center"/>
              <w:rPr>
                <w:sz w:val="22"/>
              </w:rPr>
            </w:pPr>
            <w:r>
              <w:rPr>
                <w:sz w:val="22"/>
              </w:rPr>
              <w:t>17.063</w:t>
            </w:r>
          </w:p>
        </w:tc>
      </w:tr>
      <w:tr>
        <w:trPr>
          <w:trHeight w:val="408" w:hRule="exact"/>
        </w:trPr>
        <w:tc>
          <w:tcPr>
            <w:tcW w:w="1003" w:type="dxa"/>
            <w:vMerge/>
            <w:shd w:val="clear" w:color="auto" w:fill="76923B"/>
            <w:textDirection w:val="btLr"/>
          </w:tcPr>
          <w:p>
            <w:pPr/>
          </w:p>
        </w:tc>
        <w:tc>
          <w:tcPr>
            <w:tcW w:w="682" w:type="dxa"/>
            <w:shd w:val="clear" w:color="auto" w:fill="76923B"/>
          </w:tcPr>
          <w:p>
            <w:pPr>
              <w:pStyle w:val="TableParagraph"/>
              <w:spacing w:before="17"/>
              <w:ind w:left="0" w:right="1"/>
              <w:jc w:val="center"/>
              <w:rPr>
                <w:sz w:val="22"/>
              </w:rPr>
            </w:pPr>
            <w:r>
              <w:rPr>
                <w:w w:val="100"/>
                <w:sz w:val="22"/>
              </w:rPr>
              <w:t>P</w:t>
            </w:r>
          </w:p>
        </w:tc>
        <w:tc>
          <w:tcPr>
            <w:tcW w:w="2165" w:type="dxa"/>
          </w:tcPr>
          <w:p>
            <w:pPr>
              <w:pStyle w:val="TableParagraph"/>
              <w:spacing w:before="17"/>
              <w:ind w:left="96" w:right="96"/>
              <w:jc w:val="center"/>
              <w:rPr>
                <w:sz w:val="22"/>
              </w:rPr>
            </w:pPr>
            <w:r>
              <w:rPr>
                <w:sz w:val="22"/>
              </w:rPr>
              <w:t>Poder ambiental</w:t>
            </w:r>
          </w:p>
        </w:tc>
        <w:tc>
          <w:tcPr>
            <w:tcW w:w="1049" w:type="dxa"/>
          </w:tcPr>
          <w:p>
            <w:pPr>
              <w:pStyle w:val="TableParagraph"/>
              <w:spacing w:before="17"/>
              <w:ind w:left="82" w:right="82"/>
              <w:jc w:val="center"/>
              <w:rPr>
                <w:sz w:val="22"/>
              </w:rPr>
            </w:pPr>
            <w:r>
              <w:rPr>
                <w:sz w:val="22"/>
              </w:rPr>
              <w:t>130</w:t>
            </w:r>
          </w:p>
        </w:tc>
        <w:tc>
          <w:tcPr>
            <w:tcW w:w="1118" w:type="dxa"/>
          </w:tcPr>
          <w:p>
            <w:pPr>
              <w:pStyle w:val="TableParagraph"/>
              <w:spacing w:before="17"/>
              <w:ind w:left="0"/>
              <w:jc w:val="center"/>
              <w:rPr>
                <w:sz w:val="22"/>
              </w:rPr>
            </w:pPr>
            <w:r>
              <w:rPr>
                <w:w w:val="100"/>
                <w:sz w:val="22"/>
              </w:rPr>
              <w:t>2</w:t>
            </w:r>
          </w:p>
        </w:tc>
        <w:tc>
          <w:tcPr>
            <w:tcW w:w="1474" w:type="dxa"/>
          </w:tcPr>
          <w:p>
            <w:pPr>
              <w:pStyle w:val="TableParagraph"/>
              <w:spacing w:before="17"/>
              <w:ind w:left="131" w:right="131"/>
              <w:jc w:val="center"/>
              <w:rPr>
                <w:sz w:val="22"/>
              </w:rPr>
            </w:pPr>
            <w:r>
              <w:rPr>
                <w:sz w:val="22"/>
              </w:rPr>
              <w:t>1.00</w:t>
            </w:r>
          </w:p>
        </w:tc>
        <w:tc>
          <w:tcPr>
            <w:tcW w:w="1565" w:type="dxa"/>
          </w:tcPr>
          <w:p>
            <w:pPr>
              <w:pStyle w:val="TableParagraph"/>
              <w:spacing w:before="17"/>
              <w:ind w:left="421" w:right="421"/>
              <w:jc w:val="center"/>
              <w:rPr>
                <w:sz w:val="22"/>
              </w:rPr>
            </w:pPr>
            <w:r>
              <w:rPr>
                <w:sz w:val="22"/>
              </w:rPr>
              <w:t>17.063</w:t>
            </w:r>
          </w:p>
        </w:tc>
      </w:tr>
      <w:tr>
        <w:trPr>
          <w:trHeight w:val="410" w:hRule="exact"/>
        </w:trPr>
        <w:tc>
          <w:tcPr>
            <w:tcW w:w="1003" w:type="dxa"/>
            <w:vMerge/>
            <w:shd w:val="clear" w:color="auto" w:fill="76923B"/>
            <w:textDirection w:val="btLr"/>
          </w:tcPr>
          <w:p>
            <w:pPr/>
          </w:p>
        </w:tc>
        <w:tc>
          <w:tcPr>
            <w:tcW w:w="682" w:type="dxa"/>
            <w:shd w:val="clear" w:color="auto" w:fill="76923B"/>
          </w:tcPr>
          <w:p>
            <w:pPr>
              <w:pStyle w:val="TableParagraph"/>
              <w:spacing w:before="19"/>
              <w:ind w:left="0" w:right="1"/>
              <w:jc w:val="center"/>
              <w:rPr>
                <w:sz w:val="22"/>
              </w:rPr>
            </w:pPr>
            <w:r>
              <w:rPr>
                <w:w w:val="100"/>
                <w:sz w:val="22"/>
              </w:rPr>
              <w:t>P</w:t>
            </w:r>
          </w:p>
        </w:tc>
        <w:tc>
          <w:tcPr>
            <w:tcW w:w="2165" w:type="dxa"/>
          </w:tcPr>
          <w:p>
            <w:pPr>
              <w:pStyle w:val="TableParagraph"/>
              <w:spacing w:before="19"/>
              <w:ind w:left="98" w:right="96"/>
              <w:jc w:val="center"/>
              <w:rPr>
                <w:sz w:val="22"/>
              </w:rPr>
            </w:pPr>
            <w:r>
              <w:rPr>
                <w:sz w:val="22"/>
              </w:rPr>
              <w:t>Cultura ambiental</w:t>
            </w:r>
          </w:p>
        </w:tc>
        <w:tc>
          <w:tcPr>
            <w:tcW w:w="1049" w:type="dxa"/>
          </w:tcPr>
          <w:p>
            <w:pPr>
              <w:pStyle w:val="TableParagraph"/>
              <w:spacing w:before="19"/>
              <w:ind w:left="82" w:right="82"/>
              <w:jc w:val="center"/>
              <w:rPr>
                <w:sz w:val="22"/>
              </w:rPr>
            </w:pPr>
            <w:r>
              <w:rPr>
                <w:sz w:val="22"/>
              </w:rPr>
              <w:t>129</w:t>
            </w:r>
          </w:p>
        </w:tc>
        <w:tc>
          <w:tcPr>
            <w:tcW w:w="1118" w:type="dxa"/>
          </w:tcPr>
          <w:p>
            <w:pPr>
              <w:pStyle w:val="TableParagraph"/>
              <w:spacing w:before="19"/>
              <w:ind w:left="0"/>
              <w:jc w:val="center"/>
              <w:rPr>
                <w:sz w:val="22"/>
              </w:rPr>
            </w:pPr>
            <w:r>
              <w:rPr>
                <w:w w:val="100"/>
                <w:sz w:val="22"/>
              </w:rPr>
              <w:t>3</w:t>
            </w:r>
          </w:p>
        </w:tc>
        <w:tc>
          <w:tcPr>
            <w:tcW w:w="1474" w:type="dxa"/>
          </w:tcPr>
          <w:p>
            <w:pPr>
              <w:pStyle w:val="TableParagraph"/>
              <w:spacing w:before="19"/>
              <w:ind w:left="131" w:right="131"/>
              <w:jc w:val="center"/>
              <w:rPr>
                <w:sz w:val="22"/>
              </w:rPr>
            </w:pPr>
            <w:r>
              <w:rPr>
                <w:sz w:val="22"/>
              </w:rPr>
              <w:t>1.00</w:t>
            </w:r>
          </w:p>
        </w:tc>
        <w:tc>
          <w:tcPr>
            <w:tcW w:w="1565" w:type="dxa"/>
          </w:tcPr>
          <w:p>
            <w:pPr>
              <w:pStyle w:val="TableParagraph"/>
              <w:spacing w:before="19"/>
              <w:ind w:left="421" w:right="421"/>
              <w:jc w:val="center"/>
              <w:rPr>
                <w:sz w:val="22"/>
              </w:rPr>
            </w:pPr>
            <w:r>
              <w:rPr>
                <w:sz w:val="22"/>
              </w:rPr>
              <w:t>17.063</w:t>
            </w:r>
          </w:p>
        </w:tc>
      </w:tr>
      <w:tr>
        <w:trPr>
          <w:trHeight w:val="790" w:hRule="exact"/>
        </w:trPr>
        <w:tc>
          <w:tcPr>
            <w:tcW w:w="1003" w:type="dxa"/>
            <w:vMerge/>
            <w:shd w:val="clear" w:color="auto" w:fill="76923B"/>
            <w:textDirection w:val="btLr"/>
          </w:tcPr>
          <w:p>
            <w:pPr/>
          </w:p>
        </w:tc>
        <w:tc>
          <w:tcPr>
            <w:tcW w:w="682" w:type="dxa"/>
            <w:shd w:val="clear" w:color="auto" w:fill="76923B"/>
          </w:tcPr>
          <w:p>
            <w:pPr>
              <w:pStyle w:val="TableParagraph"/>
              <w:spacing w:before="19"/>
              <w:ind w:left="0" w:right="1"/>
              <w:jc w:val="center"/>
              <w:rPr>
                <w:sz w:val="22"/>
              </w:rPr>
            </w:pPr>
            <w:r>
              <w:rPr>
                <w:w w:val="100"/>
                <w:sz w:val="22"/>
              </w:rPr>
              <w:t>P</w:t>
            </w:r>
          </w:p>
        </w:tc>
        <w:tc>
          <w:tcPr>
            <w:tcW w:w="2165" w:type="dxa"/>
          </w:tcPr>
          <w:p>
            <w:pPr>
              <w:pStyle w:val="TableParagraph"/>
              <w:spacing w:line="360" w:lineRule="auto" w:before="19"/>
              <w:ind w:left="417" w:right="389" w:hanging="15"/>
              <w:rPr>
                <w:sz w:val="22"/>
              </w:rPr>
            </w:pPr>
            <w:r>
              <w:rPr>
                <w:sz w:val="22"/>
              </w:rPr>
              <w:t>Democracia y voluntariedad</w:t>
            </w:r>
          </w:p>
        </w:tc>
        <w:tc>
          <w:tcPr>
            <w:tcW w:w="1049" w:type="dxa"/>
          </w:tcPr>
          <w:p>
            <w:pPr>
              <w:pStyle w:val="TableParagraph"/>
              <w:spacing w:before="19"/>
              <w:ind w:left="82" w:right="82"/>
              <w:jc w:val="center"/>
              <w:rPr>
                <w:sz w:val="22"/>
              </w:rPr>
            </w:pPr>
            <w:r>
              <w:rPr>
                <w:sz w:val="22"/>
              </w:rPr>
              <w:t>128</w:t>
            </w:r>
          </w:p>
        </w:tc>
        <w:tc>
          <w:tcPr>
            <w:tcW w:w="1118" w:type="dxa"/>
          </w:tcPr>
          <w:p>
            <w:pPr>
              <w:pStyle w:val="TableParagraph"/>
              <w:spacing w:before="19"/>
              <w:ind w:left="0"/>
              <w:jc w:val="center"/>
              <w:rPr>
                <w:sz w:val="22"/>
              </w:rPr>
            </w:pPr>
            <w:r>
              <w:rPr>
                <w:w w:val="100"/>
                <w:sz w:val="22"/>
              </w:rPr>
              <w:t>4</w:t>
            </w:r>
          </w:p>
        </w:tc>
        <w:tc>
          <w:tcPr>
            <w:tcW w:w="1474" w:type="dxa"/>
          </w:tcPr>
          <w:p>
            <w:pPr>
              <w:pStyle w:val="TableParagraph"/>
              <w:spacing w:before="19"/>
              <w:ind w:left="131" w:right="131"/>
              <w:jc w:val="center"/>
              <w:rPr>
                <w:sz w:val="22"/>
              </w:rPr>
            </w:pPr>
            <w:r>
              <w:rPr>
                <w:sz w:val="22"/>
              </w:rPr>
              <w:t>1.00</w:t>
            </w:r>
          </w:p>
        </w:tc>
        <w:tc>
          <w:tcPr>
            <w:tcW w:w="1565" w:type="dxa"/>
          </w:tcPr>
          <w:p>
            <w:pPr>
              <w:pStyle w:val="TableParagraph"/>
              <w:spacing w:before="19"/>
              <w:ind w:left="421" w:right="421"/>
              <w:jc w:val="center"/>
              <w:rPr>
                <w:sz w:val="22"/>
              </w:rPr>
            </w:pPr>
            <w:r>
              <w:rPr>
                <w:sz w:val="22"/>
              </w:rPr>
              <w:t>17.063</w:t>
            </w:r>
          </w:p>
        </w:tc>
      </w:tr>
      <w:tr>
        <w:trPr>
          <w:trHeight w:val="408" w:hRule="exact"/>
        </w:trPr>
        <w:tc>
          <w:tcPr>
            <w:tcW w:w="1003" w:type="dxa"/>
            <w:vMerge/>
            <w:shd w:val="clear" w:color="auto" w:fill="76923B"/>
            <w:textDirection w:val="btLr"/>
          </w:tcPr>
          <w:p>
            <w:pPr/>
          </w:p>
        </w:tc>
        <w:tc>
          <w:tcPr>
            <w:tcW w:w="682" w:type="dxa"/>
            <w:shd w:val="clear" w:color="auto" w:fill="76923B"/>
          </w:tcPr>
          <w:p>
            <w:pPr>
              <w:pStyle w:val="TableParagraph"/>
              <w:spacing w:before="17"/>
              <w:ind w:left="0" w:right="1"/>
              <w:jc w:val="center"/>
              <w:rPr>
                <w:sz w:val="22"/>
              </w:rPr>
            </w:pPr>
            <w:r>
              <w:rPr>
                <w:w w:val="100"/>
                <w:sz w:val="22"/>
              </w:rPr>
              <w:t>P</w:t>
            </w:r>
          </w:p>
        </w:tc>
        <w:tc>
          <w:tcPr>
            <w:tcW w:w="2165" w:type="dxa"/>
          </w:tcPr>
          <w:p>
            <w:pPr>
              <w:pStyle w:val="TableParagraph"/>
              <w:spacing w:before="17"/>
              <w:ind w:left="96" w:right="96"/>
              <w:jc w:val="center"/>
              <w:rPr>
                <w:sz w:val="22"/>
              </w:rPr>
            </w:pPr>
            <w:r>
              <w:rPr>
                <w:sz w:val="22"/>
              </w:rPr>
              <w:t>Participación social</w:t>
            </w:r>
          </w:p>
        </w:tc>
        <w:tc>
          <w:tcPr>
            <w:tcW w:w="1049" w:type="dxa"/>
          </w:tcPr>
          <w:p>
            <w:pPr>
              <w:pStyle w:val="TableParagraph"/>
              <w:spacing w:before="17"/>
              <w:ind w:left="82" w:right="82"/>
              <w:jc w:val="center"/>
              <w:rPr>
                <w:sz w:val="22"/>
              </w:rPr>
            </w:pPr>
            <w:r>
              <w:rPr>
                <w:sz w:val="22"/>
              </w:rPr>
              <w:t>127</w:t>
            </w:r>
          </w:p>
        </w:tc>
        <w:tc>
          <w:tcPr>
            <w:tcW w:w="1118" w:type="dxa"/>
          </w:tcPr>
          <w:p>
            <w:pPr>
              <w:pStyle w:val="TableParagraph"/>
              <w:spacing w:before="17"/>
              <w:ind w:left="0"/>
              <w:jc w:val="center"/>
              <w:rPr>
                <w:sz w:val="22"/>
              </w:rPr>
            </w:pPr>
            <w:r>
              <w:rPr>
                <w:w w:val="100"/>
                <w:sz w:val="22"/>
              </w:rPr>
              <w:t>5</w:t>
            </w:r>
          </w:p>
        </w:tc>
        <w:tc>
          <w:tcPr>
            <w:tcW w:w="1474" w:type="dxa"/>
          </w:tcPr>
          <w:p>
            <w:pPr>
              <w:pStyle w:val="TableParagraph"/>
              <w:spacing w:before="17"/>
              <w:ind w:left="131" w:right="131"/>
              <w:jc w:val="center"/>
              <w:rPr>
                <w:sz w:val="22"/>
              </w:rPr>
            </w:pPr>
            <w:r>
              <w:rPr>
                <w:sz w:val="22"/>
              </w:rPr>
              <w:t>1.00</w:t>
            </w:r>
          </w:p>
        </w:tc>
        <w:tc>
          <w:tcPr>
            <w:tcW w:w="1565" w:type="dxa"/>
          </w:tcPr>
          <w:p>
            <w:pPr>
              <w:pStyle w:val="TableParagraph"/>
              <w:spacing w:before="17"/>
              <w:ind w:left="421" w:right="421"/>
              <w:jc w:val="center"/>
              <w:rPr>
                <w:sz w:val="22"/>
              </w:rPr>
            </w:pPr>
            <w:r>
              <w:rPr>
                <w:sz w:val="22"/>
              </w:rPr>
              <w:t>17.063</w:t>
            </w:r>
          </w:p>
        </w:tc>
      </w:tr>
      <w:tr>
        <w:trPr>
          <w:trHeight w:val="790" w:hRule="exact"/>
        </w:trPr>
        <w:tc>
          <w:tcPr>
            <w:tcW w:w="1003" w:type="dxa"/>
            <w:vMerge/>
            <w:shd w:val="clear" w:color="auto" w:fill="76923B"/>
            <w:textDirection w:val="btLr"/>
          </w:tcPr>
          <w:p>
            <w:pPr/>
          </w:p>
        </w:tc>
        <w:tc>
          <w:tcPr>
            <w:tcW w:w="682" w:type="dxa"/>
            <w:shd w:val="clear" w:color="auto" w:fill="76923B"/>
          </w:tcPr>
          <w:p>
            <w:pPr>
              <w:pStyle w:val="TableParagraph"/>
              <w:spacing w:before="19"/>
              <w:ind w:left="0" w:right="1"/>
              <w:jc w:val="center"/>
              <w:rPr>
                <w:sz w:val="22"/>
              </w:rPr>
            </w:pPr>
            <w:r>
              <w:rPr>
                <w:w w:val="100"/>
                <w:sz w:val="22"/>
              </w:rPr>
              <w:t>P</w:t>
            </w:r>
          </w:p>
        </w:tc>
        <w:tc>
          <w:tcPr>
            <w:tcW w:w="2165" w:type="dxa"/>
          </w:tcPr>
          <w:p>
            <w:pPr>
              <w:pStyle w:val="TableParagraph"/>
              <w:spacing w:line="360" w:lineRule="auto" w:before="19"/>
              <w:ind w:left="283" w:right="263" w:firstLine="249"/>
              <w:rPr>
                <w:sz w:val="22"/>
              </w:rPr>
            </w:pPr>
            <w:r>
              <w:rPr>
                <w:sz w:val="22"/>
              </w:rPr>
              <w:t>Relaciones intermunicipales</w:t>
            </w:r>
          </w:p>
        </w:tc>
        <w:tc>
          <w:tcPr>
            <w:tcW w:w="1049" w:type="dxa"/>
          </w:tcPr>
          <w:p>
            <w:pPr>
              <w:pStyle w:val="TableParagraph"/>
              <w:spacing w:before="19"/>
              <w:ind w:left="82" w:right="82"/>
              <w:jc w:val="center"/>
              <w:rPr>
                <w:sz w:val="22"/>
              </w:rPr>
            </w:pPr>
            <w:r>
              <w:rPr>
                <w:sz w:val="22"/>
              </w:rPr>
              <w:t>126</w:t>
            </w:r>
          </w:p>
        </w:tc>
        <w:tc>
          <w:tcPr>
            <w:tcW w:w="1118" w:type="dxa"/>
          </w:tcPr>
          <w:p>
            <w:pPr>
              <w:pStyle w:val="TableParagraph"/>
              <w:spacing w:before="19"/>
              <w:ind w:left="0"/>
              <w:jc w:val="center"/>
              <w:rPr>
                <w:sz w:val="22"/>
              </w:rPr>
            </w:pPr>
            <w:r>
              <w:rPr>
                <w:w w:val="100"/>
                <w:sz w:val="22"/>
              </w:rPr>
              <w:t>6</w:t>
            </w:r>
          </w:p>
        </w:tc>
        <w:tc>
          <w:tcPr>
            <w:tcW w:w="1474" w:type="dxa"/>
          </w:tcPr>
          <w:p>
            <w:pPr>
              <w:pStyle w:val="TableParagraph"/>
              <w:spacing w:before="19"/>
              <w:ind w:left="131" w:right="131"/>
              <w:jc w:val="center"/>
              <w:rPr>
                <w:sz w:val="22"/>
              </w:rPr>
            </w:pPr>
            <w:r>
              <w:rPr>
                <w:sz w:val="22"/>
              </w:rPr>
              <w:t>1.00</w:t>
            </w:r>
          </w:p>
        </w:tc>
        <w:tc>
          <w:tcPr>
            <w:tcW w:w="1565" w:type="dxa"/>
          </w:tcPr>
          <w:p>
            <w:pPr>
              <w:pStyle w:val="TableParagraph"/>
              <w:spacing w:before="19"/>
              <w:ind w:left="421" w:right="421"/>
              <w:jc w:val="center"/>
              <w:rPr>
                <w:sz w:val="22"/>
              </w:rPr>
            </w:pPr>
            <w:r>
              <w:rPr>
                <w:sz w:val="22"/>
              </w:rPr>
              <w:t>17.063</w:t>
            </w:r>
          </w:p>
        </w:tc>
      </w:tr>
      <w:tr>
        <w:trPr>
          <w:trHeight w:val="790" w:hRule="exact"/>
        </w:trPr>
        <w:tc>
          <w:tcPr>
            <w:tcW w:w="1003" w:type="dxa"/>
            <w:vMerge/>
            <w:shd w:val="clear" w:color="auto" w:fill="76923B"/>
            <w:textDirection w:val="btLr"/>
          </w:tcPr>
          <w:p>
            <w:pPr/>
          </w:p>
        </w:tc>
        <w:tc>
          <w:tcPr>
            <w:tcW w:w="682" w:type="dxa"/>
            <w:shd w:val="clear" w:color="auto" w:fill="76923B"/>
          </w:tcPr>
          <w:p>
            <w:pPr>
              <w:pStyle w:val="TableParagraph"/>
              <w:spacing w:before="19"/>
              <w:ind w:left="0" w:right="1"/>
              <w:jc w:val="center"/>
              <w:rPr>
                <w:sz w:val="22"/>
              </w:rPr>
            </w:pPr>
            <w:r>
              <w:rPr>
                <w:w w:val="100"/>
                <w:sz w:val="22"/>
              </w:rPr>
              <w:t>P</w:t>
            </w:r>
          </w:p>
        </w:tc>
        <w:tc>
          <w:tcPr>
            <w:tcW w:w="2165" w:type="dxa"/>
          </w:tcPr>
          <w:p>
            <w:pPr>
              <w:pStyle w:val="TableParagraph"/>
              <w:spacing w:line="360" w:lineRule="auto" w:before="19"/>
              <w:ind w:left="477" w:right="435" w:hanging="24"/>
              <w:rPr>
                <w:sz w:val="22"/>
              </w:rPr>
            </w:pPr>
            <w:r>
              <w:rPr>
                <w:sz w:val="22"/>
              </w:rPr>
              <w:t>Cooperación ambiental_1</w:t>
            </w:r>
          </w:p>
        </w:tc>
        <w:tc>
          <w:tcPr>
            <w:tcW w:w="1049" w:type="dxa"/>
          </w:tcPr>
          <w:p>
            <w:pPr>
              <w:pStyle w:val="TableParagraph"/>
              <w:spacing w:before="19"/>
              <w:ind w:left="82" w:right="82"/>
              <w:jc w:val="center"/>
              <w:rPr>
                <w:sz w:val="22"/>
              </w:rPr>
            </w:pPr>
            <w:r>
              <w:rPr>
                <w:sz w:val="22"/>
              </w:rPr>
              <w:t>125</w:t>
            </w:r>
          </w:p>
        </w:tc>
        <w:tc>
          <w:tcPr>
            <w:tcW w:w="1118" w:type="dxa"/>
          </w:tcPr>
          <w:p>
            <w:pPr>
              <w:pStyle w:val="TableParagraph"/>
              <w:spacing w:before="19"/>
              <w:ind w:left="0"/>
              <w:jc w:val="center"/>
              <w:rPr>
                <w:sz w:val="22"/>
              </w:rPr>
            </w:pPr>
            <w:r>
              <w:rPr>
                <w:w w:val="100"/>
                <w:sz w:val="22"/>
              </w:rPr>
              <w:t>7</w:t>
            </w:r>
          </w:p>
        </w:tc>
        <w:tc>
          <w:tcPr>
            <w:tcW w:w="1474" w:type="dxa"/>
          </w:tcPr>
          <w:p>
            <w:pPr>
              <w:pStyle w:val="TableParagraph"/>
              <w:spacing w:before="19"/>
              <w:ind w:left="131" w:right="131"/>
              <w:jc w:val="center"/>
              <w:rPr>
                <w:sz w:val="22"/>
              </w:rPr>
            </w:pPr>
            <w:r>
              <w:rPr>
                <w:sz w:val="22"/>
              </w:rPr>
              <w:t>1.00</w:t>
            </w:r>
          </w:p>
        </w:tc>
        <w:tc>
          <w:tcPr>
            <w:tcW w:w="1565" w:type="dxa"/>
          </w:tcPr>
          <w:p>
            <w:pPr>
              <w:pStyle w:val="TableParagraph"/>
              <w:spacing w:before="19"/>
              <w:ind w:left="421" w:right="421"/>
              <w:jc w:val="center"/>
              <w:rPr>
                <w:sz w:val="22"/>
              </w:rPr>
            </w:pPr>
            <w:r>
              <w:rPr>
                <w:sz w:val="22"/>
              </w:rPr>
              <w:t>17.063</w:t>
            </w:r>
          </w:p>
        </w:tc>
      </w:tr>
      <w:tr>
        <w:trPr>
          <w:trHeight w:val="418" w:hRule="exact"/>
        </w:trPr>
        <w:tc>
          <w:tcPr>
            <w:tcW w:w="1003" w:type="dxa"/>
            <w:vMerge/>
            <w:tcBorders>
              <w:bottom w:val="single" w:sz="12" w:space="0" w:color="000000"/>
            </w:tcBorders>
            <w:shd w:val="clear" w:color="auto" w:fill="76923B"/>
            <w:textDirection w:val="btLr"/>
          </w:tcPr>
          <w:p>
            <w:pPr/>
          </w:p>
        </w:tc>
        <w:tc>
          <w:tcPr>
            <w:tcW w:w="682" w:type="dxa"/>
            <w:tcBorders>
              <w:bottom w:val="single" w:sz="12" w:space="0" w:color="000000"/>
            </w:tcBorders>
            <w:shd w:val="clear" w:color="auto" w:fill="76923B"/>
          </w:tcPr>
          <w:p>
            <w:pPr>
              <w:pStyle w:val="TableParagraph"/>
              <w:spacing w:before="17"/>
              <w:ind w:left="0" w:right="1"/>
              <w:jc w:val="center"/>
              <w:rPr>
                <w:sz w:val="22"/>
              </w:rPr>
            </w:pPr>
            <w:r>
              <w:rPr>
                <w:w w:val="100"/>
                <w:sz w:val="22"/>
              </w:rPr>
              <w:t>P</w:t>
            </w:r>
          </w:p>
        </w:tc>
        <w:tc>
          <w:tcPr>
            <w:tcW w:w="2165" w:type="dxa"/>
            <w:tcBorders>
              <w:bottom w:val="single" w:sz="12" w:space="0" w:color="000000"/>
            </w:tcBorders>
          </w:tcPr>
          <w:p>
            <w:pPr>
              <w:pStyle w:val="TableParagraph"/>
              <w:spacing w:before="17"/>
              <w:ind w:left="98" w:right="96"/>
              <w:jc w:val="center"/>
              <w:rPr>
                <w:sz w:val="22"/>
              </w:rPr>
            </w:pPr>
            <w:r>
              <w:rPr>
                <w:sz w:val="22"/>
              </w:rPr>
              <w:t>Identidad ambiental</w:t>
            </w:r>
          </w:p>
        </w:tc>
        <w:tc>
          <w:tcPr>
            <w:tcW w:w="1049" w:type="dxa"/>
            <w:tcBorders>
              <w:bottom w:val="single" w:sz="12" w:space="0" w:color="000000"/>
            </w:tcBorders>
          </w:tcPr>
          <w:p>
            <w:pPr>
              <w:pStyle w:val="TableParagraph"/>
              <w:spacing w:before="17"/>
              <w:ind w:left="82" w:right="82"/>
              <w:jc w:val="center"/>
              <w:rPr>
                <w:sz w:val="22"/>
              </w:rPr>
            </w:pPr>
            <w:r>
              <w:rPr>
                <w:sz w:val="22"/>
              </w:rPr>
              <w:t>124</w:t>
            </w:r>
          </w:p>
        </w:tc>
        <w:tc>
          <w:tcPr>
            <w:tcW w:w="1118" w:type="dxa"/>
            <w:tcBorders>
              <w:bottom w:val="single" w:sz="12" w:space="0" w:color="000000"/>
            </w:tcBorders>
          </w:tcPr>
          <w:p>
            <w:pPr>
              <w:pStyle w:val="TableParagraph"/>
              <w:spacing w:before="17"/>
              <w:ind w:left="0"/>
              <w:jc w:val="center"/>
              <w:rPr>
                <w:sz w:val="22"/>
              </w:rPr>
            </w:pPr>
            <w:r>
              <w:rPr>
                <w:w w:val="100"/>
                <w:sz w:val="22"/>
              </w:rPr>
              <w:t>8</w:t>
            </w:r>
          </w:p>
        </w:tc>
        <w:tc>
          <w:tcPr>
            <w:tcW w:w="1474" w:type="dxa"/>
            <w:tcBorders>
              <w:bottom w:val="single" w:sz="12" w:space="0" w:color="000000"/>
            </w:tcBorders>
          </w:tcPr>
          <w:p>
            <w:pPr>
              <w:pStyle w:val="TableParagraph"/>
              <w:spacing w:before="17"/>
              <w:ind w:left="131" w:right="131"/>
              <w:jc w:val="center"/>
              <w:rPr>
                <w:sz w:val="22"/>
              </w:rPr>
            </w:pPr>
            <w:r>
              <w:rPr>
                <w:sz w:val="22"/>
              </w:rPr>
              <w:t>1.00</w:t>
            </w:r>
          </w:p>
        </w:tc>
        <w:tc>
          <w:tcPr>
            <w:tcW w:w="1565" w:type="dxa"/>
            <w:tcBorders>
              <w:bottom w:val="single" w:sz="12" w:space="0" w:color="000000"/>
            </w:tcBorders>
          </w:tcPr>
          <w:p>
            <w:pPr>
              <w:pStyle w:val="TableParagraph"/>
              <w:spacing w:before="17"/>
              <w:ind w:left="421" w:right="421"/>
              <w:jc w:val="center"/>
              <w:rPr>
                <w:sz w:val="22"/>
              </w:rPr>
            </w:pPr>
            <w:r>
              <w:rPr>
                <w:sz w:val="22"/>
              </w:rPr>
              <w:t>17.063</w:t>
            </w:r>
          </w:p>
        </w:tc>
      </w:tr>
      <w:tr>
        <w:trPr>
          <w:trHeight w:val="780" w:hRule="exact"/>
        </w:trPr>
        <w:tc>
          <w:tcPr>
            <w:tcW w:w="1003" w:type="dxa"/>
            <w:vMerge w:val="restart"/>
            <w:tcBorders>
              <w:top w:val="single" w:sz="12" w:space="0" w:color="000000"/>
            </w:tcBorders>
            <w:shd w:val="clear" w:color="auto" w:fill="D99493"/>
            <w:textDirection w:val="btLr"/>
          </w:tcPr>
          <w:p>
            <w:pPr>
              <w:pStyle w:val="TableParagraph"/>
              <w:ind w:left="0"/>
              <w:rPr>
                <w:b/>
                <w:sz w:val="22"/>
              </w:rPr>
            </w:pPr>
          </w:p>
          <w:p>
            <w:pPr>
              <w:pStyle w:val="TableParagraph"/>
              <w:spacing w:before="11"/>
              <w:ind w:left="0"/>
              <w:rPr>
                <w:b/>
                <w:sz w:val="20"/>
              </w:rPr>
            </w:pPr>
          </w:p>
          <w:p>
            <w:pPr>
              <w:pStyle w:val="TableParagraph"/>
              <w:ind w:left="158"/>
              <w:rPr>
                <w:b/>
                <w:sz w:val="22"/>
              </w:rPr>
            </w:pPr>
            <w:r>
              <w:rPr>
                <w:b/>
                <w:spacing w:val="-1"/>
                <w:w w:val="100"/>
                <w:sz w:val="22"/>
              </w:rPr>
              <w:t>S</w:t>
            </w:r>
            <w:r>
              <w:rPr>
                <w:b/>
                <w:w w:val="100"/>
                <w:sz w:val="22"/>
              </w:rPr>
              <w:t>O</w:t>
            </w:r>
            <w:r>
              <w:rPr>
                <w:b/>
                <w:spacing w:val="-2"/>
                <w:w w:val="100"/>
                <w:sz w:val="22"/>
              </w:rPr>
              <w:t>C</w:t>
            </w:r>
            <w:r>
              <w:rPr>
                <w:b/>
                <w:spacing w:val="-2"/>
                <w:w w:val="100"/>
                <w:sz w:val="22"/>
              </w:rPr>
              <w:t>I</w:t>
            </w:r>
            <w:r>
              <w:rPr>
                <w:b/>
                <w:w w:val="100"/>
                <w:sz w:val="22"/>
              </w:rPr>
              <w:t>O</w:t>
            </w:r>
            <w:r>
              <w:rPr>
                <w:b/>
                <w:spacing w:val="-1"/>
                <w:w w:val="100"/>
                <w:sz w:val="22"/>
              </w:rPr>
              <w:t>P</w:t>
            </w:r>
            <w:r>
              <w:rPr>
                <w:b/>
                <w:w w:val="100"/>
                <w:sz w:val="22"/>
              </w:rPr>
              <w:t>O</w:t>
            </w:r>
            <w:r>
              <w:rPr>
                <w:b/>
                <w:spacing w:val="-3"/>
                <w:w w:val="100"/>
                <w:sz w:val="22"/>
              </w:rPr>
              <w:t>L</w:t>
            </w:r>
            <w:r>
              <w:rPr>
                <w:b/>
                <w:w w:val="100"/>
                <w:sz w:val="22"/>
              </w:rPr>
              <w:t>Í</w:t>
            </w:r>
          </w:p>
        </w:tc>
        <w:tc>
          <w:tcPr>
            <w:tcW w:w="682" w:type="dxa"/>
            <w:tcBorders>
              <w:top w:val="single" w:sz="12" w:space="0" w:color="000000"/>
            </w:tcBorders>
            <w:shd w:val="clear" w:color="auto" w:fill="D99493"/>
          </w:tcPr>
          <w:p>
            <w:pPr>
              <w:pStyle w:val="TableParagraph"/>
              <w:ind w:left="0" w:right="1"/>
              <w:jc w:val="center"/>
              <w:rPr>
                <w:sz w:val="22"/>
              </w:rPr>
            </w:pPr>
            <w:r>
              <w:rPr>
                <w:w w:val="100"/>
                <w:sz w:val="22"/>
              </w:rPr>
              <w:t>P</w:t>
            </w:r>
          </w:p>
        </w:tc>
        <w:tc>
          <w:tcPr>
            <w:tcW w:w="2165" w:type="dxa"/>
            <w:tcBorders>
              <w:top w:val="single" w:sz="12" w:space="0" w:color="000000"/>
            </w:tcBorders>
          </w:tcPr>
          <w:p>
            <w:pPr>
              <w:pStyle w:val="TableParagraph"/>
              <w:spacing w:line="360" w:lineRule="auto"/>
              <w:ind w:left="472" w:right="453" w:firstLine="231"/>
              <w:rPr>
                <w:sz w:val="22"/>
              </w:rPr>
            </w:pPr>
            <w:r>
              <w:rPr>
                <w:sz w:val="22"/>
              </w:rPr>
              <w:t>Historia sociopolítica</w:t>
            </w:r>
          </w:p>
        </w:tc>
        <w:tc>
          <w:tcPr>
            <w:tcW w:w="1049" w:type="dxa"/>
            <w:tcBorders>
              <w:top w:val="single" w:sz="12" w:space="0" w:color="000000"/>
            </w:tcBorders>
          </w:tcPr>
          <w:p>
            <w:pPr>
              <w:pStyle w:val="TableParagraph"/>
              <w:ind w:left="82" w:right="82"/>
              <w:jc w:val="center"/>
              <w:rPr>
                <w:sz w:val="22"/>
              </w:rPr>
            </w:pPr>
            <w:r>
              <w:rPr>
                <w:sz w:val="22"/>
              </w:rPr>
              <w:t>88</w:t>
            </w:r>
          </w:p>
        </w:tc>
        <w:tc>
          <w:tcPr>
            <w:tcW w:w="1118" w:type="dxa"/>
            <w:tcBorders>
              <w:top w:val="single" w:sz="12" w:space="0" w:color="000000"/>
            </w:tcBorders>
          </w:tcPr>
          <w:p>
            <w:pPr>
              <w:pStyle w:val="TableParagraph"/>
              <w:ind w:left="82" w:right="84"/>
              <w:jc w:val="center"/>
              <w:rPr>
                <w:sz w:val="22"/>
              </w:rPr>
            </w:pPr>
            <w:r>
              <w:rPr>
                <w:sz w:val="22"/>
              </w:rPr>
              <w:t>35</w:t>
            </w:r>
          </w:p>
        </w:tc>
        <w:tc>
          <w:tcPr>
            <w:tcW w:w="1474" w:type="dxa"/>
            <w:tcBorders>
              <w:top w:val="single" w:sz="12" w:space="0" w:color="000000"/>
            </w:tcBorders>
          </w:tcPr>
          <w:p>
            <w:pPr>
              <w:pStyle w:val="TableParagraph"/>
              <w:ind w:left="131" w:right="131"/>
              <w:jc w:val="center"/>
              <w:rPr>
                <w:sz w:val="22"/>
              </w:rPr>
            </w:pPr>
            <w:r>
              <w:rPr>
                <w:sz w:val="22"/>
              </w:rPr>
              <w:t>0.0625</w:t>
            </w:r>
          </w:p>
        </w:tc>
        <w:tc>
          <w:tcPr>
            <w:tcW w:w="1565" w:type="dxa"/>
            <w:tcBorders>
              <w:top w:val="single" w:sz="12" w:space="0" w:color="000000"/>
            </w:tcBorders>
          </w:tcPr>
          <w:p>
            <w:pPr>
              <w:pStyle w:val="TableParagraph"/>
              <w:ind w:left="421" w:right="421"/>
              <w:jc w:val="center"/>
              <w:rPr>
                <w:sz w:val="22"/>
              </w:rPr>
            </w:pPr>
            <w:r>
              <w:rPr>
                <w:sz w:val="22"/>
              </w:rPr>
              <w:t>0.930</w:t>
            </w:r>
          </w:p>
        </w:tc>
      </w:tr>
      <w:tr>
        <w:trPr>
          <w:trHeight w:val="389" w:hRule="exact"/>
        </w:trPr>
        <w:tc>
          <w:tcPr>
            <w:tcW w:w="1003" w:type="dxa"/>
            <w:vMerge/>
            <w:shd w:val="clear" w:color="auto" w:fill="D99493"/>
            <w:textDirection w:val="btLr"/>
          </w:tcPr>
          <w:p>
            <w:pPr/>
          </w:p>
        </w:tc>
        <w:tc>
          <w:tcPr>
            <w:tcW w:w="682" w:type="dxa"/>
            <w:shd w:val="clear" w:color="auto" w:fill="D99493"/>
          </w:tcPr>
          <w:p>
            <w:pPr>
              <w:pStyle w:val="TableParagraph"/>
              <w:spacing w:line="251" w:lineRule="exact"/>
              <w:ind w:left="0" w:right="1"/>
              <w:jc w:val="center"/>
              <w:rPr>
                <w:sz w:val="22"/>
              </w:rPr>
            </w:pPr>
            <w:r>
              <w:rPr>
                <w:w w:val="100"/>
                <w:sz w:val="22"/>
              </w:rPr>
              <w:t>P</w:t>
            </w:r>
          </w:p>
        </w:tc>
        <w:tc>
          <w:tcPr>
            <w:tcW w:w="2165" w:type="dxa"/>
          </w:tcPr>
          <w:p>
            <w:pPr>
              <w:pStyle w:val="TableParagraph"/>
              <w:spacing w:line="251" w:lineRule="exact"/>
              <w:ind w:left="93" w:right="96"/>
              <w:jc w:val="center"/>
              <w:rPr>
                <w:sz w:val="22"/>
              </w:rPr>
            </w:pPr>
            <w:r>
              <w:rPr>
                <w:sz w:val="22"/>
              </w:rPr>
              <w:t>Poder sociopolítico</w:t>
            </w:r>
          </w:p>
        </w:tc>
        <w:tc>
          <w:tcPr>
            <w:tcW w:w="1049" w:type="dxa"/>
          </w:tcPr>
          <w:p>
            <w:pPr>
              <w:pStyle w:val="TableParagraph"/>
              <w:spacing w:line="251" w:lineRule="exact"/>
              <w:ind w:left="82" w:right="82"/>
              <w:jc w:val="center"/>
              <w:rPr>
                <w:sz w:val="22"/>
              </w:rPr>
            </w:pPr>
            <w:r>
              <w:rPr>
                <w:sz w:val="22"/>
              </w:rPr>
              <w:t>87</w:t>
            </w:r>
          </w:p>
        </w:tc>
        <w:tc>
          <w:tcPr>
            <w:tcW w:w="1118" w:type="dxa"/>
          </w:tcPr>
          <w:p>
            <w:pPr>
              <w:pStyle w:val="TableParagraph"/>
              <w:spacing w:line="251" w:lineRule="exact"/>
              <w:ind w:left="82" w:right="84"/>
              <w:jc w:val="center"/>
              <w:rPr>
                <w:sz w:val="22"/>
              </w:rPr>
            </w:pPr>
            <w:r>
              <w:rPr>
                <w:sz w:val="22"/>
              </w:rPr>
              <w:t>36</w:t>
            </w:r>
          </w:p>
        </w:tc>
        <w:tc>
          <w:tcPr>
            <w:tcW w:w="1474" w:type="dxa"/>
          </w:tcPr>
          <w:p>
            <w:pPr>
              <w:pStyle w:val="TableParagraph"/>
              <w:spacing w:line="251" w:lineRule="exact"/>
              <w:ind w:left="131" w:right="131"/>
              <w:jc w:val="center"/>
              <w:rPr>
                <w:sz w:val="22"/>
              </w:rPr>
            </w:pPr>
            <w:r>
              <w:rPr>
                <w:sz w:val="22"/>
              </w:rPr>
              <w:t>0.0625</w:t>
            </w:r>
          </w:p>
        </w:tc>
        <w:tc>
          <w:tcPr>
            <w:tcW w:w="1565" w:type="dxa"/>
          </w:tcPr>
          <w:p>
            <w:pPr>
              <w:pStyle w:val="TableParagraph"/>
              <w:spacing w:line="251" w:lineRule="exact"/>
              <w:ind w:left="421" w:right="421"/>
              <w:jc w:val="center"/>
              <w:rPr>
                <w:sz w:val="22"/>
              </w:rPr>
            </w:pPr>
            <w:r>
              <w:rPr>
                <w:sz w:val="22"/>
              </w:rPr>
              <w:t>0.930</w:t>
            </w:r>
          </w:p>
        </w:tc>
      </w:tr>
      <w:tr>
        <w:trPr>
          <w:trHeight w:val="391" w:hRule="exact"/>
        </w:trPr>
        <w:tc>
          <w:tcPr>
            <w:tcW w:w="1003" w:type="dxa"/>
            <w:vMerge/>
            <w:shd w:val="clear" w:color="auto" w:fill="D99493"/>
            <w:textDirection w:val="btLr"/>
          </w:tcPr>
          <w:p>
            <w:pPr/>
          </w:p>
        </w:tc>
        <w:tc>
          <w:tcPr>
            <w:tcW w:w="682" w:type="dxa"/>
            <w:shd w:val="clear" w:color="auto" w:fill="D99493"/>
          </w:tcPr>
          <w:p>
            <w:pPr>
              <w:pStyle w:val="TableParagraph"/>
              <w:ind w:left="0" w:right="1"/>
              <w:jc w:val="center"/>
              <w:rPr>
                <w:sz w:val="22"/>
              </w:rPr>
            </w:pPr>
            <w:r>
              <w:rPr>
                <w:w w:val="100"/>
                <w:sz w:val="22"/>
              </w:rPr>
              <w:t>P</w:t>
            </w:r>
          </w:p>
        </w:tc>
        <w:tc>
          <w:tcPr>
            <w:tcW w:w="2165" w:type="dxa"/>
          </w:tcPr>
          <w:p>
            <w:pPr>
              <w:pStyle w:val="TableParagraph"/>
              <w:ind w:left="96" w:right="96"/>
              <w:jc w:val="center"/>
              <w:rPr>
                <w:sz w:val="22"/>
              </w:rPr>
            </w:pPr>
            <w:r>
              <w:rPr>
                <w:sz w:val="22"/>
              </w:rPr>
              <w:t>Cultura</w:t>
            </w:r>
          </w:p>
        </w:tc>
        <w:tc>
          <w:tcPr>
            <w:tcW w:w="1049" w:type="dxa"/>
          </w:tcPr>
          <w:p>
            <w:pPr>
              <w:pStyle w:val="TableParagraph"/>
              <w:ind w:left="82" w:right="82"/>
              <w:jc w:val="center"/>
              <w:rPr>
                <w:sz w:val="22"/>
              </w:rPr>
            </w:pPr>
            <w:r>
              <w:rPr>
                <w:sz w:val="22"/>
              </w:rPr>
              <w:t>86</w:t>
            </w:r>
          </w:p>
        </w:tc>
        <w:tc>
          <w:tcPr>
            <w:tcW w:w="1118" w:type="dxa"/>
          </w:tcPr>
          <w:p>
            <w:pPr>
              <w:pStyle w:val="TableParagraph"/>
              <w:ind w:left="82" w:right="84"/>
              <w:jc w:val="center"/>
              <w:rPr>
                <w:sz w:val="22"/>
              </w:rPr>
            </w:pPr>
            <w:r>
              <w:rPr>
                <w:sz w:val="22"/>
              </w:rPr>
              <w:t>37</w:t>
            </w:r>
          </w:p>
        </w:tc>
        <w:tc>
          <w:tcPr>
            <w:tcW w:w="1474" w:type="dxa"/>
          </w:tcPr>
          <w:p>
            <w:pPr>
              <w:pStyle w:val="TableParagraph"/>
              <w:ind w:left="131" w:right="131"/>
              <w:jc w:val="center"/>
              <w:rPr>
                <w:sz w:val="22"/>
              </w:rPr>
            </w:pPr>
            <w:r>
              <w:rPr>
                <w:sz w:val="22"/>
              </w:rPr>
              <w:t>0.0625</w:t>
            </w:r>
          </w:p>
        </w:tc>
        <w:tc>
          <w:tcPr>
            <w:tcW w:w="1565" w:type="dxa"/>
          </w:tcPr>
          <w:p>
            <w:pPr>
              <w:pStyle w:val="TableParagraph"/>
              <w:ind w:left="421" w:right="421"/>
              <w:jc w:val="center"/>
              <w:rPr>
                <w:sz w:val="22"/>
              </w:rPr>
            </w:pPr>
            <w:r>
              <w:rPr>
                <w:sz w:val="22"/>
              </w:rPr>
              <w:t>0.930</w:t>
            </w:r>
          </w:p>
        </w:tc>
      </w:tr>
    </w:tbl>
    <w:p>
      <w:pPr>
        <w:spacing w:after="0"/>
        <w:jc w:val="center"/>
        <w:rPr>
          <w:sz w:val="22"/>
        </w:rPr>
        <w:sectPr>
          <w:pgSz w:w="12240" w:h="15840"/>
          <w:pgMar w:header="0" w:footer="1003" w:top="1360" w:bottom="120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3"/>
        <w:gridCol w:w="682"/>
        <w:gridCol w:w="2165"/>
        <w:gridCol w:w="1049"/>
        <w:gridCol w:w="1118"/>
        <w:gridCol w:w="1474"/>
        <w:gridCol w:w="1565"/>
      </w:tblGrid>
      <w:tr>
        <w:trPr>
          <w:trHeight w:val="392" w:hRule="exact"/>
        </w:trPr>
        <w:tc>
          <w:tcPr>
            <w:tcW w:w="1003" w:type="dxa"/>
            <w:vMerge w:val="restart"/>
            <w:shd w:val="clear" w:color="auto" w:fill="D99493"/>
          </w:tcPr>
          <w:p>
            <w:pPr/>
          </w:p>
        </w:tc>
        <w:tc>
          <w:tcPr>
            <w:tcW w:w="682" w:type="dxa"/>
            <w:shd w:val="clear" w:color="auto" w:fill="D99493"/>
          </w:tcPr>
          <w:p>
            <w:pPr/>
          </w:p>
        </w:tc>
        <w:tc>
          <w:tcPr>
            <w:tcW w:w="2165" w:type="dxa"/>
          </w:tcPr>
          <w:p>
            <w:pPr>
              <w:pStyle w:val="TableParagraph"/>
              <w:spacing w:line="249" w:lineRule="exact"/>
              <w:ind w:left="96" w:right="96"/>
              <w:jc w:val="center"/>
              <w:rPr>
                <w:sz w:val="22"/>
              </w:rPr>
            </w:pPr>
            <w:r>
              <w:rPr>
                <w:sz w:val="22"/>
              </w:rPr>
              <w:t>sociopolítica</w:t>
            </w:r>
          </w:p>
        </w:tc>
        <w:tc>
          <w:tcPr>
            <w:tcW w:w="1049" w:type="dxa"/>
          </w:tcPr>
          <w:p>
            <w:pPr/>
          </w:p>
        </w:tc>
        <w:tc>
          <w:tcPr>
            <w:tcW w:w="1118" w:type="dxa"/>
          </w:tcPr>
          <w:p>
            <w:pPr/>
          </w:p>
        </w:tc>
        <w:tc>
          <w:tcPr>
            <w:tcW w:w="1474" w:type="dxa"/>
          </w:tcPr>
          <w:p>
            <w:pPr/>
          </w:p>
        </w:tc>
        <w:tc>
          <w:tcPr>
            <w:tcW w:w="1565" w:type="dxa"/>
          </w:tcPr>
          <w:p>
            <w:pPr/>
          </w:p>
        </w:tc>
      </w:tr>
      <w:tr>
        <w:trPr>
          <w:trHeight w:val="768" w:hRule="exact"/>
        </w:trPr>
        <w:tc>
          <w:tcPr>
            <w:tcW w:w="1003" w:type="dxa"/>
            <w:vMerge/>
            <w:shd w:val="clear" w:color="auto" w:fill="D99493"/>
          </w:tcPr>
          <w:p>
            <w:pPr/>
          </w:p>
        </w:tc>
        <w:tc>
          <w:tcPr>
            <w:tcW w:w="682" w:type="dxa"/>
            <w:shd w:val="clear" w:color="auto" w:fill="D99493"/>
          </w:tcPr>
          <w:p>
            <w:pPr>
              <w:pStyle w:val="TableParagraph"/>
              <w:spacing w:line="247" w:lineRule="exact"/>
              <w:ind w:left="0" w:right="261"/>
              <w:jc w:val="right"/>
              <w:rPr>
                <w:sz w:val="22"/>
              </w:rPr>
            </w:pPr>
            <w:r>
              <w:rPr>
                <w:w w:val="100"/>
                <w:sz w:val="22"/>
              </w:rPr>
              <w:t>P</w:t>
            </w:r>
          </w:p>
        </w:tc>
        <w:tc>
          <w:tcPr>
            <w:tcW w:w="2165" w:type="dxa"/>
          </w:tcPr>
          <w:p>
            <w:pPr>
              <w:pStyle w:val="TableParagraph"/>
              <w:spacing w:line="360" w:lineRule="auto"/>
              <w:ind w:left="417" w:right="389" w:hanging="15"/>
              <w:rPr>
                <w:sz w:val="22"/>
              </w:rPr>
            </w:pPr>
            <w:r>
              <w:rPr>
                <w:sz w:val="22"/>
              </w:rPr>
              <w:t>Democracia y voluntariedad</w:t>
            </w:r>
          </w:p>
        </w:tc>
        <w:tc>
          <w:tcPr>
            <w:tcW w:w="1049" w:type="dxa"/>
          </w:tcPr>
          <w:p>
            <w:pPr>
              <w:pStyle w:val="TableParagraph"/>
              <w:spacing w:line="247" w:lineRule="exact"/>
              <w:ind w:left="82" w:right="82"/>
              <w:jc w:val="center"/>
              <w:rPr>
                <w:sz w:val="22"/>
              </w:rPr>
            </w:pPr>
            <w:r>
              <w:rPr>
                <w:sz w:val="22"/>
              </w:rPr>
              <w:t>85</w:t>
            </w:r>
          </w:p>
        </w:tc>
        <w:tc>
          <w:tcPr>
            <w:tcW w:w="1118" w:type="dxa"/>
          </w:tcPr>
          <w:p>
            <w:pPr>
              <w:pStyle w:val="TableParagraph"/>
              <w:spacing w:line="247" w:lineRule="exact"/>
              <w:ind w:left="0" w:right="432"/>
              <w:jc w:val="right"/>
              <w:rPr>
                <w:sz w:val="22"/>
              </w:rPr>
            </w:pPr>
            <w:r>
              <w:rPr>
                <w:sz w:val="22"/>
              </w:rPr>
              <w:t>38</w:t>
            </w:r>
          </w:p>
        </w:tc>
        <w:tc>
          <w:tcPr>
            <w:tcW w:w="1474" w:type="dxa"/>
          </w:tcPr>
          <w:p>
            <w:pPr>
              <w:pStyle w:val="TableParagraph"/>
              <w:spacing w:line="247" w:lineRule="exact"/>
              <w:ind w:left="131" w:right="131"/>
              <w:jc w:val="center"/>
              <w:rPr>
                <w:sz w:val="22"/>
              </w:rPr>
            </w:pPr>
            <w:r>
              <w:rPr>
                <w:sz w:val="22"/>
              </w:rPr>
              <w:t>0.0625</w:t>
            </w:r>
          </w:p>
        </w:tc>
        <w:tc>
          <w:tcPr>
            <w:tcW w:w="1565" w:type="dxa"/>
          </w:tcPr>
          <w:p>
            <w:pPr>
              <w:pStyle w:val="TableParagraph"/>
              <w:spacing w:line="247" w:lineRule="exact"/>
              <w:ind w:left="421" w:right="421"/>
              <w:jc w:val="center"/>
              <w:rPr>
                <w:sz w:val="22"/>
              </w:rPr>
            </w:pPr>
            <w:r>
              <w:rPr>
                <w:sz w:val="22"/>
              </w:rPr>
              <w:t>0.930</w:t>
            </w:r>
          </w:p>
        </w:tc>
      </w:tr>
      <w:tr>
        <w:trPr>
          <w:trHeight w:val="768" w:hRule="exact"/>
        </w:trPr>
        <w:tc>
          <w:tcPr>
            <w:tcW w:w="1003" w:type="dxa"/>
            <w:vMerge/>
            <w:shd w:val="clear" w:color="auto" w:fill="D99493"/>
          </w:tcPr>
          <w:p>
            <w:pPr/>
          </w:p>
        </w:tc>
        <w:tc>
          <w:tcPr>
            <w:tcW w:w="682" w:type="dxa"/>
            <w:shd w:val="clear" w:color="auto" w:fill="D99493"/>
          </w:tcPr>
          <w:p>
            <w:pPr>
              <w:pStyle w:val="TableParagraph"/>
              <w:spacing w:line="247" w:lineRule="exact"/>
              <w:ind w:left="0" w:right="261"/>
              <w:jc w:val="right"/>
              <w:rPr>
                <w:sz w:val="22"/>
              </w:rPr>
            </w:pPr>
            <w:r>
              <w:rPr>
                <w:w w:val="100"/>
                <w:sz w:val="22"/>
              </w:rPr>
              <w:t>P</w:t>
            </w:r>
          </w:p>
        </w:tc>
        <w:tc>
          <w:tcPr>
            <w:tcW w:w="2165" w:type="dxa"/>
          </w:tcPr>
          <w:p>
            <w:pPr>
              <w:pStyle w:val="TableParagraph"/>
              <w:spacing w:line="360" w:lineRule="auto"/>
              <w:ind w:left="350" w:right="330" w:firstLine="96"/>
              <w:rPr>
                <w:sz w:val="22"/>
              </w:rPr>
            </w:pPr>
            <w:r>
              <w:rPr>
                <w:sz w:val="22"/>
              </w:rPr>
              <w:t>Participación sociopolítica_1</w:t>
            </w:r>
          </w:p>
        </w:tc>
        <w:tc>
          <w:tcPr>
            <w:tcW w:w="1049" w:type="dxa"/>
          </w:tcPr>
          <w:p>
            <w:pPr>
              <w:pStyle w:val="TableParagraph"/>
              <w:spacing w:line="247" w:lineRule="exact"/>
              <w:ind w:left="82" w:right="82"/>
              <w:jc w:val="center"/>
              <w:rPr>
                <w:sz w:val="22"/>
              </w:rPr>
            </w:pPr>
            <w:r>
              <w:rPr>
                <w:sz w:val="22"/>
              </w:rPr>
              <w:t>84</w:t>
            </w:r>
          </w:p>
        </w:tc>
        <w:tc>
          <w:tcPr>
            <w:tcW w:w="1118" w:type="dxa"/>
          </w:tcPr>
          <w:p>
            <w:pPr>
              <w:pStyle w:val="TableParagraph"/>
              <w:spacing w:line="247" w:lineRule="exact"/>
              <w:ind w:left="0" w:right="432"/>
              <w:jc w:val="right"/>
              <w:rPr>
                <w:sz w:val="22"/>
              </w:rPr>
            </w:pPr>
            <w:r>
              <w:rPr>
                <w:sz w:val="22"/>
              </w:rPr>
              <w:t>39</w:t>
            </w:r>
          </w:p>
        </w:tc>
        <w:tc>
          <w:tcPr>
            <w:tcW w:w="1474" w:type="dxa"/>
          </w:tcPr>
          <w:p>
            <w:pPr>
              <w:pStyle w:val="TableParagraph"/>
              <w:spacing w:line="247" w:lineRule="exact"/>
              <w:ind w:left="131" w:right="131"/>
              <w:jc w:val="center"/>
              <w:rPr>
                <w:sz w:val="22"/>
              </w:rPr>
            </w:pPr>
            <w:r>
              <w:rPr>
                <w:sz w:val="22"/>
              </w:rPr>
              <w:t>0.0625</w:t>
            </w:r>
          </w:p>
        </w:tc>
        <w:tc>
          <w:tcPr>
            <w:tcW w:w="1565" w:type="dxa"/>
          </w:tcPr>
          <w:p>
            <w:pPr>
              <w:pStyle w:val="TableParagraph"/>
              <w:spacing w:line="247" w:lineRule="exact"/>
              <w:ind w:left="421" w:right="421"/>
              <w:jc w:val="center"/>
              <w:rPr>
                <w:sz w:val="22"/>
              </w:rPr>
            </w:pPr>
            <w:r>
              <w:rPr>
                <w:sz w:val="22"/>
              </w:rPr>
              <w:t>0.930</w:t>
            </w:r>
          </w:p>
        </w:tc>
      </w:tr>
      <w:tr>
        <w:trPr>
          <w:trHeight w:val="770" w:hRule="exact"/>
        </w:trPr>
        <w:tc>
          <w:tcPr>
            <w:tcW w:w="1003" w:type="dxa"/>
            <w:vMerge/>
            <w:shd w:val="clear" w:color="auto" w:fill="D99493"/>
          </w:tcPr>
          <w:p>
            <w:pPr/>
          </w:p>
        </w:tc>
        <w:tc>
          <w:tcPr>
            <w:tcW w:w="682" w:type="dxa"/>
            <w:shd w:val="clear" w:color="auto" w:fill="D99493"/>
          </w:tcPr>
          <w:p>
            <w:pPr>
              <w:pStyle w:val="TableParagraph"/>
              <w:spacing w:line="249" w:lineRule="exact"/>
              <w:ind w:left="0" w:right="261"/>
              <w:jc w:val="right"/>
              <w:rPr>
                <w:sz w:val="22"/>
              </w:rPr>
            </w:pPr>
            <w:r>
              <w:rPr>
                <w:w w:val="100"/>
                <w:sz w:val="22"/>
              </w:rPr>
              <w:t>P</w:t>
            </w:r>
          </w:p>
        </w:tc>
        <w:tc>
          <w:tcPr>
            <w:tcW w:w="2165" w:type="dxa"/>
          </w:tcPr>
          <w:p>
            <w:pPr>
              <w:pStyle w:val="TableParagraph"/>
              <w:spacing w:line="360" w:lineRule="auto"/>
              <w:ind w:left="283" w:right="263" w:firstLine="249"/>
              <w:rPr>
                <w:sz w:val="22"/>
              </w:rPr>
            </w:pPr>
            <w:r>
              <w:rPr>
                <w:sz w:val="22"/>
              </w:rPr>
              <w:t>Relaciones intermunicipales</w:t>
            </w:r>
          </w:p>
        </w:tc>
        <w:tc>
          <w:tcPr>
            <w:tcW w:w="1049" w:type="dxa"/>
          </w:tcPr>
          <w:p>
            <w:pPr>
              <w:pStyle w:val="TableParagraph"/>
              <w:spacing w:line="249" w:lineRule="exact"/>
              <w:ind w:left="82" w:right="82"/>
              <w:jc w:val="center"/>
              <w:rPr>
                <w:sz w:val="22"/>
              </w:rPr>
            </w:pPr>
            <w:r>
              <w:rPr>
                <w:sz w:val="22"/>
              </w:rPr>
              <w:t>83</w:t>
            </w:r>
          </w:p>
        </w:tc>
        <w:tc>
          <w:tcPr>
            <w:tcW w:w="1118" w:type="dxa"/>
          </w:tcPr>
          <w:p>
            <w:pPr>
              <w:pStyle w:val="TableParagraph"/>
              <w:spacing w:line="249" w:lineRule="exact"/>
              <w:ind w:left="0" w:right="432"/>
              <w:jc w:val="right"/>
              <w:rPr>
                <w:sz w:val="22"/>
              </w:rPr>
            </w:pPr>
            <w:r>
              <w:rPr>
                <w:sz w:val="22"/>
              </w:rPr>
              <w:t>40</w:t>
            </w:r>
          </w:p>
        </w:tc>
        <w:tc>
          <w:tcPr>
            <w:tcW w:w="1474" w:type="dxa"/>
          </w:tcPr>
          <w:p>
            <w:pPr>
              <w:pStyle w:val="TableParagraph"/>
              <w:spacing w:line="249" w:lineRule="exact"/>
              <w:ind w:left="131" w:right="131"/>
              <w:jc w:val="center"/>
              <w:rPr>
                <w:sz w:val="22"/>
              </w:rPr>
            </w:pPr>
            <w:r>
              <w:rPr>
                <w:sz w:val="22"/>
              </w:rPr>
              <w:t>0.0625</w:t>
            </w:r>
          </w:p>
        </w:tc>
        <w:tc>
          <w:tcPr>
            <w:tcW w:w="1565" w:type="dxa"/>
          </w:tcPr>
          <w:p>
            <w:pPr>
              <w:pStyle w:val="TableParagraph"/>
              <w:spacing w:line="249" w:lineRule="exact"/>
              <w:ind w:left="421" w:right="421"/>
              <w:jc w:val="center"/>
              <w:rPr>
                <w:sz w:val="22"/>
              </w:rPr>
            </w:pPr>
            <w:r>
              <w:rPr>
                <w:sz w:val="22"/>
              </w:rPr>
              <w:t>0.930</w:t>
            </w:r>
          </w:p>
        </w:tc>
      </w:tr>
      <w:tr>
        <w:trPr>
          <w:trHeight w:val="768" w:hRule="exact"/>
        </w:trPr>
        <w:tc>
          <w:tcPr>
            <w:tcW w:w="1003" w:type="dxa"/>
            <w:vMerge/>
            <w:shd w:val="clear" w:color="auto" w:fill="D99493"/>
          </w:tcPr>
          <w:p>
            <w:pPr/>
          </w:p>
        </w:tc>
        <w:tc>
          <w:tcPr>
            <w:tcW w:w="682" w:type="dxa"/>
            <w:shd w:val="clear" w:color="auto" w:fill="D99493"/>
          </w:tcPr>
          <w:p>
            <w:pPr>
              <w:pStyle w:val="TableParagraph"/>
              <w:spacing w:line="247" w:lineRule="exact"/>
              <w:ind w:left="0" w:right="261"/>
              <w:jc w:val="right"/>
              <w:rPr>
                <w:sz w:val="22"/>
              </w:rPr>
            </w:pPr>
            <w:r>
              <w:rPr>
                <w:w w:val="100"/>
                <w:sz w:val="22"/>
              </w:rPr>
              <w:t>P</w:t>
            </w:r>
          </w:p>
        </w:tc>
        <w:tc>
          <w:tcPr>
            <w:tcW w:w="2165" w:type="dxa"/>
          </w:tcPr>
          <w:p>
            <w:pPr>
              <w:pStyle w:val="TableParagraph"/>
              <w:spacing w:line="360" w:lineRule="auto"/>
              <w:ind w:left="472" w:right="436" w:hanging="20"/>
              <w:rPr>
                <w:sz w:val="22"/>
              </w:rPr>
            </w:pPr>
            <w:r>
              <w:rPr>
                <w:sz w:val="22"/>
              </w:rPr>
              <w:t>Cooperación sociopolítica</w:t>
            </w:r>
          </w:p>
        </w:tc>
        <w:tc>
          <w:tcPr>
            <w:tcW w:w="1049" w:type="dxa"/>
          </w:tcPr>
          <w:p>
            <w:pPr>
              <w:pStyle w:val="TableParagraph"/>
              <w:spacing w:line="247" w:lineRule="exact"/>
              <w:ind w:left="82" w:right="82"/>
              <w:jc w:val="center"/>
              <w:rPr>
                <w:sz w:val="22"/>
              </w:rPr>
            </w:pPr>
            <w:r>
              <w:rPr>
                <w:sz w:val="22"/>
              </w:rPr>
              <w:t>82</w:t>
            </w:r>
          </w:p>
        </w:tc>
        <w:tc>
          <w:tcPr>
            <w:tcW w:w="1118" w:type="dxa"/>
          </w:tcPr>
          <w:p>
            <w:pPr>
              <w:pStyle w:val="TableParagraph"/>
              <w:spacing w:line="247" w:lineRule="exact"/>
              <w:ind w:left="0" w:right="432"/>
              <w:jc w:val="right"/>
              <w:rPr>
                <w:sz w:val="22"/>
              </w:rPr>
            </w:pPr>
            <w:r>
              <w:rPr>
                <w:sz w:val="22"/>
              </w:rPr>
              <w:t>41</w:t>
            </w:r>
          </w:p>
        </w:tc>
        <w:tc>
          <w:tcPr>
            <w:tcW w:w="1474" w:type="dxa"/>
          </w:tcPr>
          <w:p>
            <w:pPr>
              <w:pStyle w:val="TableParagraph"/>
              <w:spacing w:line="247" w:lineRule="exact"/>
              <w:ind w:left="131" w:right="131"/>
              <w:jc w:val="center"/>
              <w:rPr>
                <w:sz w:val="22"/>
              </w:rPr>
            </w:pPr>
            <w:r>
              <w:rPr>
                <w:sz w:val="22"/>
              </w:rPr>
              <w:t>0.03125</w:t>
            </w:r>
          </w:p>
        </w:tc>
        <w:tc>
          <w:tcPr>
            <w:tcW w:w="1565" w:type="dxa"/>
          </w:tcPr>
          <w:p>
            <w:pPr>
              <w:pStyle w:val="TableParagraph"/>
              <w:spacing w:line="247" w:lineRule="exact"/>
              <w:ind w:left="421" w:right="421"/>
              <w:jc w:val="center"/>
              <w:rPr>
                <w:sz w:val="22"/>
              </w:rPr>
            </w:pPr>
            <w:r>
              <w:rPr>
                <w:sz w:val="22"/>
              </w:rPr>
              <w:t>0.930</w:t>
            </w:r>
          </w:p>
        </w:tc>
      </w:tr>
      <w:tr>
        <w:trPr>
          <w:trHeight w:val="781" w:hRule="exact"/>
        </w:trPr>
        <w:tc>
          <w:tcPr>
            <w:tcW w:w="1003" w:type="dxa"/>
            <w:vMerge/>
            <w:tcBorders>
              <w:bottom w:val="single" w:sz="12" w:space="0" w:color="000000"/>
            </w:tcBorders>
            <w:shd w:val="clear" w:color="auto" w:fill="D99493"/>
          </w:tcPr>
          <w:p>
            <w:pPr/>
          </w:p>
        </w:tc>
        <w:tc>
          <w:tcPr>
            <w:tcW w:w="682" w:type="dxa"/>
            <w:tcBorders>
              <w:bottom w:val="single" w:sz="12" w:space="0" w:color="000000"/>
            </w:tcBorders>
            <w:shd w:val="clear" w:color="auto" w:fill="D99493"/>
          </w:tcPr>
          <w:p>
            <w:pPr>
              <w:pStyle w:val="TableParagraph"/>
              <w:spacing w:line="247" w:lineRule="exact"/>
              <w:ind w:left="0" w:right="261"/>
              <w:jc w:val="right"/>
              <w:rPr>
                <w:sz w:val="22"/>
              </w:rPr>
            </w:pPr>
            <w:r>
              <w:rPr>
                <w:w w:val="100"/>
                <w:sz w:val="22"/>
              </w:rPr>
              <w:t>P</w:t>
            </w:r>
          </w:p>
        </w:tc>
        <w:tc>
          <w:tcPr>
            <w:tcW w:w="2165" w:type="dxa"/>
            <w:tcBorders>
              <w:bottom w:val="single" w:sz="12" w:space="0" w:color="000000"/>
            </w:tcBorders>
          </w:tcPr>
          <w:p>
            <w:pPr>
              <w:pStyle w:val="TableParagraph"/>
              <w:spacing w:line="362" w:lineRule="auto"/>
              <w:ind w:left="472" w:right="453" w:firstLine="151"/>
              <w:rPr>
                <w:sz w:val="22"/>
              </w:rPr>
            </w:pPr>
            <w:r>
              <w:rPr>
                <w:sz w:val="22"/>
              </w:rPr>
              <w:t>Identidad sociopolítica</w:t>
            </w:r>
          </w:p>
        </w:tc>
        <w:tc>
          <w:tcPr>
            <w:tcW w:w="1049" w:type="dxa"/>
            <w:tcBorders>
              <w:bottom w:val="single" w:sz="12" w:space="0" w:color="000000"/>
            </w:tcBorders>
          </w:tcPr>
          <w:p>
            <w:pPr>
              <w:pStyle w:val="TableParagraph"/>
              <w:spacing w:line="247" w:lineRule="exact"/>
              <w:ind w:left="82" w:right="82"/>
              <w:jc w:val="center"/>
              <w:rPr>
                <w:sz w:val="22"/>
              </w:rPr>
            </w:pPr>
            <w:r>
              <w:rPr>
                <w:sz w:val="22"/>
              </w:rPr>
              <w:t>81</w:t>
            </w:r>
          </w:p>
        </w:tc>
        <w:tc>
          <w:tcPr>
            <w:tcW w:w="1118" w:type="dxa"/>
            <w:tcBorders>
              <w:bottom w:val="single" w:sz="12" w:space="0" w:color="000000"/>
            </w:tcBorders>
          </w:tcPr>
          <w:p>
            <w:pPr>
              <w:pStyle w:val="TableParagraph"/>
              <w:spacing w:line="247" w:lineRule="exact"/>
              <w:ind w:left="0" w:right="432"/>
              <w:jc w:val="right"/>
              <w:rPr>
                <w:sz w:val="22"/>
              </w:rPr>
            </w:pPr>
            <w:r>
              <w:rPr>
                <w:sz w:val="22"/>
              </w:rPr>
              <w:t>42</w:t>
            </w:r>
          </w:p>
        </w:tc>
        <w:tc>
          <w:tcPr>
            <w:tcW w:w="1474" w:type="dxa"/>
            <w:tcBorders>
              <w:bottom w:val="single" w:sz="12" w:space="0" w:color="000000"/>
            </w:tcBorders>
          </w:tcPr>
          <w:p>
            <w:pPr>
              <w:pStyle w:val="TableParagraph"/>
              <w:spacing w:line="247" w:lineRule="exact"/>
              <w:ind w:left="131" w:right="131"/>
              <w:jc w:val="center"/>
              <w:rPr>
                <w:sz w:val="22"/>
              </w:rPr>
            </w:pPr>
            <w:r>
              <w:rPr>
                <w:sz w:val="22"/>
              </w:rPr>
              <w:t>0.03125</w:t>
            </w:r>
          </w:p>
        </w:tc>
        <w:tc>
          <w:tcPr>
            <w:tcW w:w="1565" w:type="dxa"/>
            <w:tcBorders>
              <w:bottom w:val="single" w:sz="12" w:space="0" w:color="000000"/>
            </w:tcBorders>
          </w:tcPr>
          <w:p>
            <w:pPr>
              <w:pStyle w:val="TableParagraph"/>
              <w:spacing w:line="247" w:lineRule="exact"/>
              <w:ind w:left="421" w:right="421"/>
              <w:jc w:val="center"/>
              <w:rPr>
                <w:sz w:val="22"/>
              </w:rPr>
            </w:pPr>
            <w:r>
              <w:rPr>
                <w:sz w:val="22"/>
              </w:rPr>
              <w:t>0.930</w:t>
            </w:r>
          </w:p>
        </w:tc>
      </w:tr>
      <w:tr>
        <w:trPr>
          <w:trHeight w:val="398" w:hRule="exact"/>
        </w:trPr>
        <w:tc>
          <w:tcPr>
            <w:tcW w:w="1003" w:type="dxa"/>
            <w:vMerge w:val="restart"/>
            <w:tcBorders>
              <w:top w:val="single" w:sz="12" w:space="0" w:color="000000"/>
            </w:tcBorders>
            <w:shd w:val="clear" w:color="auto" w:fill="F79546"/>
            <w:textDirection w:val="btLr"/>
          </w:tcPr>
          <w:p>
            <w:pPr>
              <w:pStyle w:val="TableParagraph"/>
              <w:spacing w:before="105"/>
              <w:ind w:left="1050"/>
              <w:rPr>
                <w:b/>
                <w:sz w:val="22"/>
              </w:rPr>
            </w:pPr>
            <w:r>
              <w:rPr>
                <w:b/>
                <w:spacing w:val="-1"/>
                <w:w w:val="100"/>
                <w:sz w:val="22"/>
              </w:rPr>
              <w:t>E</w:t>
            </w:r>
            <w:r>
              <w:rPr>
                <w:b/>
                <w:spacing w:val="-2"/>
                <w:w w:val="100"/>
                <w:sz w:val="22"/>
              </w:rPr>
              <w:t>C</w:t>
            </w:r>
            <w:r>
              <w:rPr>
                <w:b/>
                <w:w w:val="100"/>
                <w:sz w:val="22"/>
              </w:rPr>
              <w:t>O</w:t>
            </w:r>
            <w:r>
              <w:rPr>
                <w:b/>
                <w:spacing w:val="-2"/>
                <w:w w:val="100"/>
                <w:sz w:val="22"/>
              </w:rPr>
              <w:t>N</w:t>
            </w:r>
            <w:r>
              <w:rPr>
                <w:b/>
                <w:w w:val="100"/>
                <w:sz w:val="22"/>
              </w:rPr>
              <w:t>Ó</w:t>
            </w:r>
            <w:r>
              <w:rPr>
                <w:b/>
                <w:spacing w:val="-2"/>
                <w:w w:val="100"/>
                <w:sz w:val="22"/>
              </w:rPr>
              <w:t>M</w:t>
            </w:r>
            <w:r>
              <w:rPr>
                <w:b/>
                <w:w w:val="100"/>
                <w:sz w:val="22"/>
              </w:rPr>
              <w:t>I</w:t>
            </w:r>
            <w:r>
              <w:rPr>
                <w:b/>
                <w:spacing w:val="-2"/>
                <w:w w:val="100"/>
                <w:sz w:val="22"/>
              </w:rPr>
              <w:t>C</w:t>
            </w:r>
            <w:r>
              <w:rPr>
                <w:b/>
                <w:w w:val="100"/>
                <w:sz w:val="22"/>
              </w:rPr>
              <w:t>A</w:t>
            </w:r>
          </w:p>
        </w:tc>
        <w:tc>
          <w:tcPr>
            <w:tcW w:w="682" w:type="dxa"/>
            <w:tcBorders>
              <w:top w:val="single" w:sz="12" w:space="0" w:color="000000"/>
            </w:tcBorders>
            <w:shd w:val="clear" w:color="auto" w:fill="F79546"/>
          </w:tcPr>
          <w:p>
            <w:pPr>
              <w:pStyle w:val="TableParagraph"/>
              <w:spacing w:line="247" w:lineRule="exact"/>
              <w:ind w:left="0" w:right="261"/>
              <w:jc w:val="right"/>
              <w:rPr>
                <w:sz w:val="22"/>
              </w:rPr>
            </w:pPr>
            <w:r>
              <w:rPr>
                <w:w w:val="100"/>
                <w:sz w:val="22"/>
              </w:rPr>
              <w:t>P</w:t>
            </w:r>
          </w:p>
        </w:tc>
        <w:tc>
          <w:tcPr>
            <w:tcW w:w="2165" w:type="dxa"/>
            <w:tcBorders>
              <w:top w:val="single" w:sz="12" w:space="0" w:color="000000"/>
            </w:tcBorders>
          </w:tcPr>
          <w:p>
            <w:pPr>
              <w:pStyle w:val="TableParagraph"/>
              <w:spacing w:line="247" w:lineRule="exact"/>
              <w:ind w:left="96" w:right="96"/>
              <w:jc w:val="center"/>
              <w:rPr>
                <w:sz w:val="22"/>
              </w:rPr>
            </w:pPr>
            <w:r>
              <w:rPr>
                <w:sz w:val="22"/>
              </w:rPr>
              <w:t>Historia económica</w:t>
            </w:r>
          </w:p>
        </w:tc>
        <w:tc>
          <w:tcPr>
            <w:tcW w:w="1049" w:type="dxa"/>
            <w:tcBorders>
              <w:top w:val="single" w:sz="12" w:space="0" w:color="000000"/>
            </w:tcBorders>
          </w:tcPr>
          <w:p>
            <w:pPr>
              <w:pStyle w:val="TableParagraph"/>
              <w:spacing w:line="247" w:lineRule="exact"/>
              <w:ind w:left="82" w:right="82"/>
              <w:jc w:val="center"/>
              <w:rPr>
                <w:sz w:val="22"/>
              </w:rPr>
            </w:pPr>
            <w:r>
              <w:rPr>
                <w:sz w:val="22"/>
              </w:rPr>
              <w:t>45</w:t>
            </w:r>
          </w:p>
        </w:tc>
        <w:tc>
          <w:tcPr>
            <w:tcW w:w="1118" w:type="dxa"/>
            <w:tcBorders>
              <w:top w:val="single" w:sz="12" w:space="0" w:color="000000"/>
            </w:tcBorders>
          </w:tcPr>
          <w:p>
            <w:pPr>
              <w:pStyle w:val="TableParagraph"/>
              <w:spacing w:line="247" w:lineRule="exact"/>
              <w:ind w:left="0" w:right="432"/>
              <w:jc w:val="right"/>
              <w:rPr>
                <w:sz w:val="22"/>
              </w:rPr>
            </w:pPr>
            <w:r>
              <w:rPr>
                <w:sz w:val="22"/>
              </w:rPr>
              <w:t>69</w:t>
            </w:r>
          </w:p>
        </w:tc>
        <w:tc>
          <w:tcPr>
            <w:tcW w:w="1474" w:type="dxa"/>
            <w:tcBorders>
              <w:top w:val="single" w:sz="12" w:space="0" w:color="000000"/>
            </w:tcBorders>
          </w:tcPr>
          <w:p>
            <w:pPr>
              <w:pStyle w:val="TableParagraph"/>
              <w:spacing w:line="247" w:lineRule="exact"/>
              <w:ind w:left="131" w:right="131"/>
              <w:jc w:val="center"/>
              <w:rPr>
                <w:sz w:val="22"/>
              </w:rPr>
            </w:pPr>
            <w:r>
              <w:rPr>
                <w:sz w:val="22"/>
              </w:rPr>
              <w:t>0.00390625</w:t>
            </w:r>
          </w:p>
        </w:tc>
        <w:tc>
          <w:tcPr>
            <w:tcW w:w="1565" w:type="dxa"/>
            <w:tcBorders>
              <w:top w:val="single" w:sz="12" w:space="0" w:color="000000"/>
            </w:tcBorders>
          </w:tcPr>
          <w:p>
            <w:pPr>
              <w:pStyle w:val="TableParagraph"/>
              <w:spacing w:line="247" w:lineRule="exact"/>
              <w:ind w:left="421" w:right="421"/>
              <w:jc w:val="center"/>
              <w:rPr>
                <w:sz w:val="22"/>
              </w:rPr>
            </w:pPr>
            <w:r>
              <w:rPr>
                <w:sz w:val="22"/>
              </w:rPr>
              <w:t>0.062</w:t>
            </w:r>
          </w:p>
        </w:tc>
      </w:tr>
      <w:tr>
        <w:trPr>
          <w:trHeight w:val="391" w:hRule="exact"/>
        </w:trPr>
        <w:tc>
          <w:tcPr>
            <w:tcW w:w="1003" w:type="dxa"/>
            <w:vMerge/>
            <w:shd w:val="clear" w:color="auto" w:fill="F79546"/>
            <w:textDirection w:val="btLr"/>
          </w:tcPr>
          <w:p>
            <w:pPr/>
          </w:p>
        </w:tc>
        <w:tc>
          <w:tcPr>
            <w:tcW w:w="682" w:type="dxa"/>
            <w:shd w:val="clear" w:color="auto" w:fill="F79546"/>
          </w:tcPr>
          <w:p>
            <w:pPr>
              <w:pStyle w:val="TableParagraph"/>
              <w:spacing w:line="247" w:lineRule="exact"/>
              <w:ind w:left="0" w:right="261"/>
              <w:jc w:val="right"/>
              <w:rPr>
                <w:sz w:val="22"/>
              </w:rPr>
            </w:pPr>
            <w:r>
              <w:rPr>
                <w:w w:val="100"/>
                <w:sz w:val="22"/>
              </w:rPr>
              <w:t>P</w:t>
            </w:r>
          </w:p>
        </w:tc>
        <w:tc>
          <w:tcPr>
            <w:tcW w:w="2165" w:type="dxa"/>
          </w:tcPr>
          <w:p>
            <w:pPr>
              <w:pStyle w:val="TableParagraph"/>
              <w:spacing w:line="247" w:lineRule="exact"/>
              <w:ind w:left="97" w:right="96"/>
              <w:jc w:val="center"/>
              <w:rPr>
                <w:sz w:val="22"/>
              </w:rPr>
            </w:pPr>
            <w:r>
              <w:rPr>
                <w:sz w:val="22"/>
              </w:rPr>
              <w:t>Cultura económica</w:t>
            </w:r>
          </w:p>
        </w:tc>
        <w:tc>
          <w:tcPr>
            <w:tcW w:w="1049" w:type="dxa"/>
          </w:tcPr>
          <w:p>
            <w:pPr>
              <w:pStyle w:val="TableParagraph"/>
              <w:spacing w:line="247" w:lineRule="exact"/>
              <w:ind w:left="82" w:right="82"/>
              <w:jc w:val="center"/>
              <w:rPr>
                <w:sz w:val="22"/>
              </w:rPr>
            </w:pPr>
            <w:r>
              <w:rPr>
                <w:sz w:val="22"/>
              </w:rPr>
              <w:t>47</w:t>
            </w:r>
          </w:p>
        </w:tc>
        <w:tc>
          <w:tcPr>
            <w:tcW w:w="1118" w:type="dxa"/>
          </w:tcPr>
          <w:p>
            <w:pPr>
              <w:pStyle w:val="TableParagraph"/>
              <w:spacing w:line="247" w:lineRule="exact"/>
              <w:ind w:left="0" w:right="432"/>
              <w:jc w:val="right"/>
              <w:rPr>
                <w:sz w:val="22"/>
              </w:rPr>
            </w:pPr>
            <w:r>
              <w:rPr>
                <w:sz w:val="22"/>
              </w:rPr>
              <w:t>67</w:t>
            </w:r>
          </w:p>
        </w:tc>
        <w:tc>
          <w:tcPr>
            <w:tcW w:w="1474" w:type="dxa"/>
          </w:tcPr>
          <w:p>
            <w:pPr>
              <w:pStyle w:val="TableParagraph"/>
              <w:spacing w:line="247" w:lineRule="exact"/>
              <w:ind w:left="131" w:right="131"/>
              <w:jc w:val="center"/>
              <w:rPr>
                <w:sz w:val="22"/>
              </w:rPr>
            </w:pPr>
            <w:r>
              <w:rPr>
                <w:sz w:val="22"/>
              </w:rPr>
              <w:t>0.00390625</w:t>
            </w:r>
          </w:p>
        </w:tc>
        <w:tc>
          <w:tcPr>
            <w:tcW w:w="1565" w:type="dxa"/>
          </w:tcPr>
          <w:p>
            <w:pPr>
              <w:pStyle w:val="TableParagraph"/>
              <w:spacing w:line="247" w:lineRule="exact"/>
              <w:ind w:left="421" w:right="421"/>
              <w:jc w:val="center"/>
              <w:rPr>
                <w:sz w:val="22"/>
              </w:rPr>
            </w:pPr>
            <w:r>
              <w:rPr>
                <w:sz w:val="22"/>
              </w:rPr>
              <w:t>0.062</w:t>
            </w:r>
          </w:p>
        </w:tc>
      </w:tr>
      <w:tr>
        <w:trPr>
          <w:trHeight w:val="768" w:hRule="exact"/>
        </w:trPr>
        <w:tc>
          <w:tcPr>
            <w:tcW w:w="1003" w:type="dxa"/>
            <w:vMerge/>
            <w:shd w:val="clear" w:color="auto" w:fill="F79546"/>
            <w:textDirection w:val="btLr"/>
          </w:tcPr>
          <w:p>
            <w:pPr/>
          </w:p>
        </w:tc>
        <w:tc>
          <w:tcPr>
            <w:tcW w:w="682" w:type="dxa"/>
            <w:shd w:val="clear" w:color="auto" w:fill="F79546"/>
          </w:tcPr>
          <w:p>
            <w:pPr>
              <w:pStyle w:val="TableParagraph"/>
              <w:spacing w:line="247" w:lineRule="exact"/>
              <w:ind w:left="0" w:right="261"/>
              <w:jc w:val="right"/>
              <w:rPr>
                <w:sz w:val="22"/>
              </w:rPr>
            </w:pPr>
            <w:r>
              <w:rPr>
                <w:w w:val="100"/>
                <w:sz w:val="22"/>
              </w:rPr>
              <w:t>P</w:t>
            </w:r>
          </w:p>
        </w:tc>
        <w:tc>
          <w:tcPr>
            <w:tcW w:w="2165" w:type="dxa"/>
          </w:tcPr>
          <w:p>
            <w:pPr>
              <w:pStyle w:val="TableParagraph"/>
              <w:spacing w:line="360" w:lineRule="auto"/>
              <w:ind w:left="417" w:right="389" w:hanging="15"/>
              <w:rPr>
                <w:sz w:val="22"/>
              </w:rPr>
            </w:pPr>
            <w:r>
              <w:rPr>
                <w:sz w:val="22"/>
              </w:rPr>
              <w:t>Democracia y voluntariedad</w:t>
            </w:r>
          </w:p>
        </w:tc>
        <w:tc>
          <w:tcPr>
            <w:tcW w:w="1049" w:type="dxa"/>
          </w:tcPr>
          <w:p>
            <w:pPr>
              <w:pStyle w:val="TableParagraph"/>
              <w:spacing w:line="247" w:lineRule="exact"/>
              <w:ind w:left="82" w:right="82"/>
              <w:jc w:val="center"/>
              <w:rPr>
                <w:sz w:val="22"/>
              </w:rPr>
            </w:pPr>
            <w:r>
              <w:rPr>
                <w:sz w:val="22"/>
              </w:rPr>
              <w:t>44</w:t>
            </w:r>
          </w:p>
        </w:tc>
        <w:tc>
          <w:tcPr>
            <w:tcW w:w="1118" w:type="dxa"/>
          </w:tcPr>
          <w:p>
            <w:pPr>
              <w:pStyle w:val="TableParagraph"/>
              <w:spacing w:line="247" w:lineRule="exact"/>
              <w:ind w:left="0" w:right="432"/>
              <w:jc w:val="right"/>
              <w:rPr>
                <w:sz w:val="22"/>
              </w:rPr>
            </w:pPr>
            <w:r>
              <w:rPr>
                <w:sz w:val="22"/>
              </w:rPr>
              <w:t>70</w:t>
            </w:r>
          </w:p>
        </w:tc>
        <w:tc>
          <w:tcPr>
            <w:tcW w:w="1474" w:type="dxa"/>
          </w:tcPr>
          <w:p>
            <w:pPr>
              <w:pStyle w:val="TableParagraph"/>
              <w:spacing w:line="247" w:lineRule="exact"/>
              <w:ind w:left="131" w:right="131"/>
              <w:jc w:val="center"/>
              <w:rPr>
                <w:sz w:val="22"/>
              </w:rPr>
            </w:pPr>
            <w:r>
              <w:rPr>
                <w:sz w:val="22"/>
              </w:rPr>
              <w:t>0.00390625</w:t>
            </w:r>
          </w:p>
        </w:tc>
        <w:tc>
          <w:tcPr>
            <w:tcW w:w="1565" w:type="dxa"/>
          </w:tcPr>
          <w:p>
            <w:pPr>
              <w:pStyle w:val="TableParagraph"/>
              <w:spacing w:line="247" w:lineRule="exact"/>
              <w:ind w:left="421" w:right="421"/>
              <w:jc w:val="center"/>
              <w:rPr>
                <w:sz w:val="22"/>
              </w:rPr>
            </w:pPr>
            <w:r>
              <w:rPr>
                <w:sz w:val="22"/>
              </w:rPr>
              <w:t>0.062</w:t>
            </w:r>
          </w:p>
        </w:tc>
      </w:tr>
      <w:tr>
        <w:trPr>
          <w:trHeight w:val="768" w:hRule="exact"/>
        </w:trPr>
        <w:tc>
          <w:tcPr>
            <w:tcW w:w="1003" w:type="dxa"/>
            <w:vMerge/>
            <w:shd w:val="clear" w:color="auto" w:fill="F79546"/>
            <w:textDirection w:val="btLr"/>
          </w:tcPr>
          <w:p>
            <w:pPr/>
          </w:p>
        </w:tc>
        <w:tc>
          <w:tcPr>
            <w:tcW w:w="682" w:type="dxa"/>
            <w:shd w:val="clear" w:color="auto" w:fill="F79546"/>
          </w:tcPr>
          <w:p>
            <w:pPr>
              <w:pStyle w:val="TableParagraph"/>
              <w:spacing w:line="247" w:lineRule="exact"/>
              <w:ind w:left="0" w:right="261"/>
              <w:jc w:val="right"/>
              <w:rPr>
                <w:sz w:val="22"/>
              </w:rPr>
            </w:pPr>
            <w:r>
              <w:rPr>
                <w:w w:val="100"/>
                <w:sz w:val="22"/>
              </w:rPr>
              <w:t>P</w:t>
            </w:r>
          </w:p>
        </w:tc>
        <w:tc>
          <w:tcPr>
            <w:tcW w:w="2165" w:type="dxa"/>
          </w:tcPr>
          <w:p>
            <w:pPr>
              <w:pStyle w:val="TableParagraph"/>
              <w:spacing w:line="360" w:lineRule="auto"/>
              <w:ind w:left="287" w:right="271" w:firstLine="158"/>
              <w:rPr>
                <w:sz w:val="22"/>
              </w:rPr>
            </w:pPr>
            <w:r>
              <w:rPr>
                <w:sz w:val="22"/>
              </w:rPr>
              <w:t>Participación socioeconómica</w:t>
            </w:r>
          </w:p>
        </w:tc>
        <w:tc>
          <w:tcPr>
            <w:tcW w:w="1049" w:type="dxa"/>
          </w:tcPr>
          <w:p>
            <w:pPr>
              <w:pStyle w:val="TableParagraph"/>
              <w:spacing w:line="247" w:lineRule="exact"/>
              <w:ind w:left="82" w:right="82"/>
              <w:jc w:val="center"/>
              <w:rPr>
                <w:sz w:val="22"/>
              </w:rPr>
            </w:pPr>
            <w:r>
              <w:rPr>
                <w:sz w:val="22"/>
              </w:rPr>
              <w:t>43</w:t>
            </w:r>
          </w:p>
        </w:tc>
        <w:tc>
          <w:tcPr>
            <w:tcW w:w="1118" w:type="dxa"/>
          </w:tcPr>
          <w:p>
            <w:pPr>
              <w:pStyle w:val="TableParagraph"/>
              <w:spacing w:line="247" w:lineRule="exact"/>
              <w:ind w:left="0" w:right="432"/>
              <w:jc w:val="right"/>
              <w:rPr>
                <w:sz w:val="22"/>
              </w:rPr>
            </w:pPr>
            <w:r>
              <w:rPr>
                <w:sz w:val="22"/>
              </w:rPr>
              <w:t>71</w:t>
            </w:r>
          </w:p>
        </w:tc>
        <w:tc>
          <w:tcPr>
            <w:tcW w:w="1474" w:type="dxa"/>
          </w:tcPr>
          <w:p>
            <w:pPr>
              <w:pStyle w:val="TableParagraph"/>
              <w:spacing w:line="247" w:lineRule="exact"/>
              <w:ind w:left="131" w:right="131"/>
              <w:jc w:val="center"/>
              <w:rPr>
                <w:sz w:val="22"/>
              </w:rPr>
            </w:pPr>
            <w:r>
              <w:rPr>
                <w:sz w:val="22"/>
              </w:rPr>
              <w:t>0.00390625</w:t>
            </w:r>
          </w:p>
        </w:tc>
        <w:tc>
          <w:tcPr>
            <w:tcW w:w="1565" w:type="dxa"/>
          </w:tcPr>
          <w:p>
            <w:pPr>
              <w:pStyle w:val="TableParagraph"/>
              <w:spacing w:line="247" w:lineRule="exact"/>
              <w:ind w:left="421" w:right="421"/>
              <w:jc w:val="center"/>
              <w:rPr>
                <w:sz w:val="22"/>
              </w:rPr>
            </w:pPr>
            <w:r>
              <w:rPr>
                <w:sz w:val="22"/>
              </w:rPr>
              <w:t>0.062</w:t>
            </w:r>
          </w:p>
        </w:tc>
      </w:tr>
      <w:tr>
        <w:trPr>
          <w:trHeight w:val="771" w:hRule="exact"/>
        </w:trPr>
        <w:tc>
          <w:tcPr>
            <w:tcW w:w="1003" w:type="dxa"/>
            <w:vMerge/>
            <w:shd w:val="clear" w:color="auto" w:fill="F79546"/>
            <w:textDirection w:val="btLr"/>
          </w:tcPr>
          <w:p>
            <w:pPr/>
          </w:p>
        </w:tc>
        <w:tc>
          <w:tcPr>
            <w:tcW w:w="682" w:type="dxa"/>
            <w:shd w:val="clear" w:color="auto" w:fill="F79546"/>
          </w:tcPr>
          <w:p>
            <w:pPr>
              <w:pStyle w:val="TableParagraph"/>
              <w:spacing w:line="247" w:lineRule="exact"/>
              <w:ind w:left="0" w:right="261"/>
              <w:jc w:val="right"/>
              <w:rPr>
                <w:sz w:val="22"/>
              </w:rPr>
            </w:pPr>
            <w:r>
              <w:rPr>
                <w:w w:val="100"/>
                <w:sz w:val="22"/>
              </w:rPr>
              <w:t>P</w:t>
            </w:r>
          </w:p>
        </w:tc>
        <w:tc>
          <w:tcPr>
            <w:tcW w:w="2165" w:type="dxa"/>
          </w:tcPr>
          <w:p>
            <w:pPr>
              <w:pStyle w:val="TableParagraph"/>
              <w:spacing w:line="362" w:lineRule="auto"/>
              <w:ind w:left="283" w:right="263" w:firstLine="249"/>
              <w:rPr>
                <w:sz w:val="22"/>
              </w:rPr>
            </w:pPr>
            <w:r>
              <w:rPr>
                <w:sz w:val="22"/>
              </w:rPr>
              <w:t>Relaciones intermunicipales</w:t>
            </w:r>
          </w:p>
        </w:tc>
        <w:tc>
          <w:tcPr>
            <w:tcW w:w="1049" w:type="dxa"/>
          </w:tcPr>
          <w:p>
            <w:pPr>
              <w:pStyle w:val="TableParagraph"/>
              <w:spacing w:line="247" w:lineRule="exact"/>
              <w:ind w:left="82" w:right="82"/>
              <w:jc w:val="center"/>
              <w:rPr>
                <w:sz w:val="22"/>
              </w:rPr>
            </w:pPr>
            <w:r>
              <w:rPr>
                <w:sz w:val="22"/>
              </w:rPr>
              <w:t>42</w:t>
            </w:r>
          </w:p>
        </w:tc>
        <w:tc>
          <w:tcPr>
            <w:tcW w:w="1118" w:type="dxa"/>
          </w:tcPr>
          <w:p>
            <w:pPr>
              <w:pStyle w:val="TableParagraph"/>
              <w:spacing w:line="247" w:lineRule="exact"/>
              <w:ind w:left="0" w:right="432"/>
              <w:jc w:val="right"/>
              <w:rPr>
                <w:sz w:val="22"/>
              </w:rPr>
            </w:pPr>
            <w:r>
              <w:rPr>
                <w:sz w:val="22"/>
              </w:rPr>
              <w:t>72</w:t>
            </w:r>
          </w:p>
        </w:tc>
        <w:tc>
          <w:tcPr>
            <w:tcW w:w="1474" w:type="dxa"/>
          </w:tcPr>
          <w:p>
            <w:pPr>
              <w:pStyle w:val="TableParagraph"/>
              <w:spacing w:line="247" w:lineRule="exact"/>
              <w:ind w:left="131" w:right="131"/>
              <w:jc w:val="center"/>
              <w:rPr>
                <w:sz w:val="22"/>
              </w:rPr>
            </w:pPr>
            <w:r>
              <w:rPr>
                <w:sz w:val="22"/>
              </w:rPr>
              <w:t>0.00390625</w:t>
            </w:r>
          </w:p>
        </w:tc>
        <w:tc>
          <w:tcPr>
            <w:tcW w:w="1565" w:type="dxa"/>
          </w:tcPr>
          <w:p>
            <w:pPr>
              <w:pStyle w:val="TableParagraph"/>
              <w:spacing w:line="247" w:lineRule="exact"/>
              <w:ind w:left="421" w:right="421"/>
              <w:jc w:val="center"/>
              <w:rPr>
                <w:sz w:val="22"/>
              </w:rPr>
            </w:pPr>
            <w:r>
              <w:rPr>
                <w:sz w:val="22"/>
              </w:rPr>
              <w:t>0.062</w:t>
            </w:r>
          </w:p>
        </w:tc>
      </w:tr>
      <w:tr>
        <w:trPr>
          <w:trHeight w:val="396" w:hRule="exact"/>
        </w:trPr>
        <w:tc>
          <w:tcPr>
            <w:tcW w:w="1003" w:type="dxa"/>
            <w:vMerge/>
            <w:tcBorders>
              <w:bottom w:val="single" w:sz="12" w:space="0" w:color="000000"/>
            </w:tcBorders>
            <w:shd w:val="clear" w:color="auto" w:fill="F79546"/>
            <w:textDirection w:val="btLr"/>
          </w:tcPr>
          <w:p>
            <w:pPr/>
          </w:p>
        </w:tc>
        <w:tc>
          <w:tcPr>
            <w:tcW w:w="682" w:type="dxa"/>
            <w:tcBorders>
              <w:bottom w:val="single" w:sz="12" w:space="0" w:color="000000"/>
            </w:tcBorders>
            <w:shd w:val="clear" w:color="auto" w:fill="F79546"/>
          </w:tcPr>
          <w:p>
            <w:pPr>
              <w:pStyle w:val="TableParagraph"/>
              <w:spacing w:line="247" w:lineRule="exact"/>
              <w:ind w:left="0" w:right="261"/>
              <w:jc w:val="right"/>
              <w:rPr>
                <w:sz w:val="22"/>
              </w:rPr>
            </w:pPr>
            <w:r>
              <w:rPr>
                <w:w w:val="100"/>
                <w:sz w:val="22"/>
              </w:rPr>
              <w:t>E</w:t>
            </w:r>
          </w:p>
        </w:tc>
        <w:tc>
          <w:tcPr>
            <w:tcW w:w="2165" w:type="dxa"/>
            <w:tcBorders>
              <w:bottom w:val="single" w:sz="12" w:space="0" w:color="000000"/>
            </w:tcBorders>
          </w:tcPr>
          <w:p>
            <w:pPr>
              <w:pStyle w:val="TableParagraph"/>
              <w:spacing w:line="247" w:lineRule="exact"/>
              <w:ind w:left="98" w:right="96"/>
              <w:jc w:val="center"/>
              <w:rPr>
                <w:sz w:val="22"/>
              </w:rPr>
            </w:pPr>
            <w:r>
              <w:rPr>
                <w:sz w:val="22"/>
              </w:rPr>
              <w:t>Uso irracional</w:t>
            </w:r>
          </w:p>
        </w:tc>
        <w:tc>
          <w:tcPr>
            <w:tcW w:w="1049" w:type="dxa"/>
            <w:tcBorders>
              <w:bottom w:val="single" w:sz="12" w:space="0" w:color="000000"/>
            </w:tcBorders>
          </w:tcPr>
          <w:p>
            <w:pPr>
              <w:pStyle w:val="TableParagraph"/>
              <w:spacing w:line="247" w:lineRule="exact"/>
              <w:ind w:left="82" w:right="82"/>
              <w:jc w:val="center"/>
              <w:rPr>
                <w:sz w:val="22"/>
              </w:rPr>
            </w:pPr>
            <w:r>
              <w:rPr>
                <w:sz w:val="22"/>
              </w:rPr>
              <w:t>45</w:t>
            </w:r>
          </w:p>
        </w:tc>
        <w:tc>
          <w:tcPr>
            <w:tcW w:w="1118" w:type="dxa"/>
            <w:tcBorders>
              <w:bottom w:val="single" w:sz="12" w:space="0" w:color="000000"/>
            </w:tcBorders>
          </w:tcPr>
          <w:p>
            <w:pPr>
              <w:pStyle w:val="TableParagraph"/>
              <w:spacing w:line="247" w:lineRule="exact"/>
              <w:ind w:left="0" w:right="432"/>
              <w:jc w:val="right"/>
              <w:rPr>
                <w:sz w:val="22"/>
              </w:rPr>
            </w:pPr>
            <w:r>
              <w:rPr>
                <w:sz w:val="22"/>
              </w:rPr>
              <w:t>69</w:t>
            </w:r>
          </w:p>
        </w:tc>
        <w:tc>
          <w:tcPr>
            <w:tcW w:w="1474" w:type="dxa"/>
            <w:tcBorders>
              <w:bottom w:val="single" w:sz="12" w:space="0" w:color="000000"/>
            </w:tcBorders>
          </w:tcPr>
          <w:p>
            <w:pPr>
              <w:pStyle w:val="TableParagraph"/>
              <w:spacing w:line="247" w:lineRule="exact"/>
              <w:ind w:left="131" w:right="131"/>
              <w:jc w:val="center"/>
              <w:rPr>
                <w:sz w:val="22"/>
              </w:rPr>
            </w:pPr>
            <w:r>
              <w:rPr>
                <w:sz w:val="22"/>
              </w:rPr>
              <w:t>0.00390625</w:t>
            </w:r>
          </w:p>
        </w:tc>
        <w:tc>
          <w:tcPr>
            <w:tcW w:w="1565" w:type="dxa"/>
            <w:tcBorders>
              <w:bottom w:val="single" w:sz="12" w:space="0" w:color="000000"/>
            </w:tcBorders>
          </w:tcPr>
          <w:p>
            <w:pPr>
              <w:pStyle w:val="TableParagraph"/>
              <w:spacing w:line="247" w:lineRule="exact"/>
              <w:ind w:left="421" w:right="421"/>
              <w:jc w:val="center"/>
              <w:rPr>
                <w:sz w:val="22"/>
              </w:rPr>
            </w:pPr>
            <w:r>
              <w:rPr>
                <w:sz w:val="22"/>
              </w:rPr>
              <w:t>0.062</w:t>
            </w:r>
          </w:p>
        </w:tc>
      </w:tr>
    </w:tbl>
    <w:p>
      <w:pPr>
        <w:pStyle w:val="BodyText"/>
        <w:rPr>
          <w:b/>
          <w:sz w:val="20"/>
        </w:rPr>
      </w:pPr>
    </w:p>
    <w:p>
      <w:pPr>
        <w:pStyle w:val="BodyText"/>
        <w:spacing w:before="7"/>
        <w:rPr>
          <w:b/>
          <w:sz w:val="23"/>
        </w:rPr>
      </w:pPr>
    </w:p>
    <w:p>
      <w:pPr>
        <w:spacing w:line="360" w:lineRule="auto" w:before="73"/>
        <w:ind w:left="3337" w:right="344" w:hanging="2996"/>
        <w:jc w:val="left"/>
        <w:rPr>
          <w:b/>
          <w:sz w:val="22"/>
        </w:rPr>
      </w:pPr>
      <w:r>
        <w:rPr>
          <w:b/>
          <w:sz w:val="22"/>
        </w:rPr>
        <w:t>Tabla. Factores Críticos de Éxito con base únicamente en los indicadores tácticos seleccionados por AEPA</w:t>
      </w:r>
    </w:p>
    <w:p>
      <w:pPr>
        <w:pStyle w:val="BodyText"/>
        <w:spacing w:before="1"/>
        <w:rPr>
          <w:b/>
          <w:sz w:val="18"/>
        </w:rPr>
      </w:pPr>
    </w:p>
    <w:tbl>
      <w:tblPr>
        <w:tblW w:w="0" w:type="auto"/>
        <w:jc w:val="left"/>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1"/>
        <w:gridCol w:w="684"/>
        <w:gridCol w:w="1049"/>
        <w:gridCol w:w="1118"/>
        <w:gridCol w:w="1728"/>
        <w:gridCol w:w="2540"/>
      </w:tblGrid>
      <w:tr>
        <w:trPr>
          <w:trHeight w:val="354" w:hRule="exact"/>
        </w:trPr>
        <w:tc>
          <w:tcPr>
            <w:tcW w:w="1001" w:type="dxa"/>
            <w:shd w:val="clear" w:color="auto" w:fill="938953"/>
          </w:tcPr>
          <w:p>
            <w:pPr>
              <w:pStyle w:val="TableParagraph"/>
              <w:spacing w:line="226" w:lineRule="exact"/>
              <w:ind w:left="215"/>
              <w:rPr>
                <w:b/>
                <w:sz w:val="20"/>
              </w:rPr>
            </w:pPr>
            <w:r>
              <w:rPr>
                <w:b/>
                <w:sz w:val="20"/>
              </w:rPr>
              <w:t>AEPA</w:t>
            </w:r>
          </w:p>
        </w:tc>
        <w:tc>
          <w:tcPr>
            <w:tcW w:w="684" w:type="dxa"/>
            <w:shd w:val="clear" w:color="auto" w:fill="938953"/>
          </w:tcPr>
          <w:p>
            <w:pPr>
              <w:pStyle w:val="TableParagraph"/>
              <w:spacing w:line="226" w:lineRule="exact"/>
              <w:ind w:left="83" w:right="83"/>
              <w:jc w:val="center"/>
              <w:rPr>
                <w:b/>
                <w:sz w:val="20"/>
              </w:rPr>
            </w:pPr>
            <w:r>
              <w:rPr>
                <w:b/>
                <w:sz w:val="20"/>
              </w:rPr>
              <w:t>PEIR</w:t>
            </w:r>
          </w:p>
        </w:tc>
        <w:tc>
          <w:tcPr>
            <w:tcW w:w="1049" w:type="dxa"/>
            <w:shd w:val="clear" w:color="auto" w:fill="938953"/>
          </w:tcPr>
          <w:p>
            <w:pPr>
              <w:pStyle w:val="TableParagraph"/>
              <w:spacing w:line="226" w:lineRule="exact"/>
              <w:ind w:left="81" w:right="85"/>
              <w:jc w:val="center"/>
              <w:rPr>
                <w:b/>
                <w:sz w:val="20"/>
              </w:rPr>
            </w:pPr>
            <w:r>
              <w:rPr>
                <w:b/>
                <w:sz w:val="20"/>
              </w:rPr>
              <w:t>Vínculos</w:t>
            </w:r>
          </w:p>
        </w:tc>
        <w:tc>
          <w:tcPr>
            <w:tcW w:w="1118" w:type="dxa"/>
            <w:shd w:val="clear" w:color="auto" w:fill="938953"/>
          </w:tcPr>
          <w:p>
            <w:pPr>
              <w:pStyle w:val="TableParagraph"/>
              <w:spacing w:line="226" w:lineRule="exact"/>
              <w:ind w:left="82" w:right="85"/>
              <w:jc w:val="center"/>
              <w:rPr>
                <w:b/>
                <w:sz w:val="20"/>
              </w:rPr>
            </w:pPr>
            <w:r>
              <w:rPr>
                <w:b/>
                <w:sz w:val="20"/>
              </w:rPr>
              <w:t>Jerarquía</w:t>
            </w:r>
          </w:p>
        </w:tc>
        <w:tc>
          <w:tcPr>
            <w:tcW w:w="1728" w:type="dxa"/>
            <w:shd w:val="clear" w:color="auto" w:fill="938953"/>
          </w:tcPr>
          <w:p>
            <w:pPr>
              <w:pStyle w:val="TableParagraph"/>
              <w:spacing w:line="226" w:lineRule="exact"/>
              <w:ind w:left="80" w:right="87"/>
              <w:jc w:val="center"/>
              <w:rPr>
                <w:b/>
                <w:sz w:val="20"/>
              </w:rPr>
            </w:pPr>
            <w:r>
              <w:rPr>
                <w:b/>
                <w:sz w:val="20"/>
              </w:rPr>
              <w:t>Peso específico</w:t>
            </w:r>
          </w:p>
        </w:tc>
        <w:tc>
          <w:tcPr>
            <w:tcW w:w="2540" w:type="dxa"/>
            <w:shd w:val="clear" w:color="auto" w:fill="938953"/>
          </w:tcPr>
          <w:p>
            <w:pPr>
              <w:pStyle w:val="TableParagraph"/>
              <w:spacing w:line="226" w:lineRule="exact"/>
              <w:ind w:left="80" w:right="87"/>
              <w:jc w:val="center"/>
              <w:rPr>
                <w:b/>
                <w:sz w:val="20"/>
              </w:rPr>
            </w:pPr>
            <w:r>
              <w:rPr>
                <w:b/>
                <w:sz w:val="20"/>
              </w:rPr>
              <w:t>Total de peso específico</w:t>
            </w:r>
          </w:p>
        </w:tc>
      </w:tr>
      <w:tr>
        <w:trPr>
          <w:trHeight w:val="391" w:hRule="exact"/>
        </w:trPr>
        <w:tc>
          <w:tcPr>
            <w:tcW w:w="1001" w:type="dxa"/>
            <w:vMerge w:val="restart"/>
            <w:shd w:val="clear" w:color="auto" w:fill="76923B"/>
            <w:textDirection w:val="btLr"/>
          </w:tcPr>
          <w:p>
            <w:pPr>
              <w:pStyle w:val="TableParagraph"/>
              <w:spacing w:before="103"/>
              <w:ind w:left="974"/>
              <w:rPr>
                <w:b/>
                <w:sz w:val="22"/>
              </w:rPr>
            </w:pPr>
            <w:r>
              <w:rPr>
                <w:b/>
                <w:spacing w:val="-2"/>
                <w:w w:val="100"/>
                <w:sz w:val="22"/>
              </w:rPr>
              <w:t>A</w:t>
            </w:r>
            <w:r>
              <w:rPr>
                <w:b/>
                <w:w w:val="100"/>
                <w:sz w:val="22"/>
              </w:rPr>
              <w:t>M</w:t>
            </w:r>
            <w:r>
              <w:rPr>
                <w:b/>
                <w:spacing w:val="-2"/>
                <w:w w:val="100"/>
                <w:sz w:val="22"/>
              </w:rPr>
              <w:t>B</w:t>
            </w:r>
            <w:r>
              <w:rPr>
                <w:b/>
                <w:w w:val="100"/>
                <w:sz w:val="22"/>
              </w:rPr>
              <w:t>I</w:t>
            </w:r>
            <w:r>
              <w:rPr>
                <w:b/>
                <w:spacing w:val="-1"/>
                <w:w w:val="100"/>
                <w:sz w:val="22"/>
              </w:rPr>
              <w:t>E</w:t>
            </w:r>
            <w:r>
              <w:rPr>
                <w:b/>
                <w:spacing w:val="-2"/>
                <w:w w:val="100"/>
                <w:sz w:val="22"/>
              </w:rPr>
              <w:t>N</w:t>
            </w:r>
            <w:r>
              <w:rPr>
                <w:b/>
                <w:w w:val="100"/>
                <w:sz w:val="22"/>
              </w:rPr>
              <w:t>T</w:t>
            </w:r>
            <w:r>
              <w:rPr>
                <w:b/>
                <w:spacing w:val="-2"/>
                <w:w w:val="100"/>
                <w:sz w:val="22"/>
              </w:rPr>
              <w:t>A</w:t>
            </w:r>
            <w:r>
              <w:rPr>
                <w:b/>
                <w:w w:val="100"/>
                <w:sz w:val="22"/>
              </w:rPr>
              <w:t>L</w:t>
            </w:r>
          </w:p>
        </w:tc>
        <w:tc>
          <w:tcPr>
            <w:tcW w:w="684" w:type="dxa"/>
            <w:shd w:val="clear" w:color="auto" w:fill="76923B"/>
          </w:tcPr>
          <w:p>
            <w:pPr>
              <w:pStyle w:val="TableParagraph"/>
              <w:ind w:left="0"/>
              <w:jc w:val="center"/>
              <w:rPr>
                <w:sz w:val="22"/>
              </w:rPr>
            </w:pPr>
            <w:r>
              <w:rPr>
                <w:w w:val="100"/>
                <w:sz w:val="22"/>
              </w:rPr>
              <w:t>P</w:t>
            </w:r>
          </w:p>
        </w:tc>
        <w:tc>
          <w:tcPr>
            <w:tcW w:w="1049" w:type="dxa"/>
          </w:tcPr>
          <w:p>
            <w:pPr>
              <w:pStyle w:val="TableParagraph"/>
              <w:ind w:left="81" w:right="85"/>
              <w:jc w:val="center"/>
              <w:rPr>
                <w:sz w:val="22"/>
              </w:rPr>
            </w:pPr>
            <w:r>
              <w:rPr>
                <w:sz w:val="22"/>
              </w:rPr>
              <w:t>43</w:t>
            </w:r>
          </w:p>
        </w:tc>
        <w:tc>
          <w:tcPr>
            <w:tcW w:w="1118" w:type="dxa"/>
          </w:tcPr>
          <w:p>
            <w:pPr>
              <w:pStyle w:val="TableParagraph"/>
              <w:ind w:left="0"/>
              <w:jc w:val="center"/>
              <w:rPr>
                <w:sz w:val="22"/>
              </w:rPr>
            </w:pPr>
            <w:r>
              <w:rPr>
                <w:w w:val="100"/>
                <w:sz w:val="22"/>
              </w:rPr>
              <w:t>1</w:t>
            </w:r>
          </w:p>
        </w:tc>
        <w:tc>
          <w:tcPr>
            <w:tcW w:w="1728" w:type="dxa"/>
          </w:tcPr>
          <w:p>
            <w:pPr>
              <w:pStyle w:val="TableParagraph"/>
              <w:ind w:left="80" w:right="81"/>
              <w:jc w:val="center"/>
              <w:rPr>
                <w:sz w:val="22"/>
              </w:rPr>
            </w:pPr>
            <w:r>
              <w:rPr>
                <w:sz w:val="22"/>
              </w:rPr>
              <w:t>1.00</w:t>
            </w:r>
          </w:p>
        </w:tc>
        <w:tc>
          <w:tcPr>
            <w:tcW w:w="2540" w:type="dxa"/>
          </w:tcPr>
          <w:p>
            <w:pPr>
              <w:pStyle w:val="TableParagraph"/>
              <w:ind w:left="80" w:right="80"/>
              <w:jc w:val="center"/>
              <w:rPr>
                <w:sz w:val="22"/>
              </w:rPr>
            </w:pPr>
            <w:r>
              <w:rPr>
                <w:sz w:val="22"/>
              </w:rPr>
              <w:t>16.125</w:t>
            </w:r>
          </w:p>
        </w:tc>
      </w:tr>
      <w:tr>
        <w:trPr>
          <w:trHeight w:val="409" w:hRule="exact"/>
        </w:trPr>
        <w:tc>
          <w:tcPr>
            <w:tcW w:w="1001" w:type="dxa"/>
            <w:vMerge/>
            <w:shd w:val="clear" w:color="auto" w:fill="76923B"/>
            <w:textDirection w:val="btLr"/>
          </w:tcPr>
          <w:p>
            <w:pPr/>
          </w:p>
        </w:tc>
        <w:tc>
          <w:tcPr>
            <w:tcW w:w="684" w:type="dxa"/>
            <w:shd w:val="clear" w:color="auto" w:fill="76923B"/>
          </w:tcPr>
          <w:p>
            <w:pPr>
              <w:pStyle w:val="TableParagraph"/>
              <w:spacing w:before="17"/>
              <w:ind w:left="0"/>
              <w:jc w:val="center"/>
              <w:rPr>
                <w:sz w:val="22"/>
              </w:rPr>
            </w:pPr>
            <w:r>
              <w:rPr>
                <w:w w:val="100"/>
                <w:sz w:val="22"/>
              </w:rPr>
              <w:t>P</w:t>
            </w:r>
          </w:p>
        </w:tc>
        <w:tc>
          <w:tcPr>
            <w:tcW w:w="1049" w:type="dxa"/>
          </w:tcPr>
          <w:p>
            <w:pPr>
              <w:pStyle w:val="TableParagraph"/>
              <w:spacing w:before="17"/>
              <w:ind w:left="81" w:right="85"/>
              <w:jc w:val="center"/>
              <w:rPr>
                <w:sz w:val="22"/>
              </w:rPr>
            </w:pPr>
            <w:r>
              <w:rPr>
                <w:sz w:val="22"/>
              </w:rPr>
              <w:t>42</w:t>
            </w:r>
          </w:p>
        </w:tc>
        <w:tc>
          <w:tcPr>
            <w:tcW w:w="1118" w:type="dxa"/>
          </w:tcPr>
          <w:p>
            <w:pPr>
              <w:pStyle w:val="TableParagraph"/>
              <w:spacing w:before="17"/>
              <w:ind w:left="0"/>
              <w:jc w:val="center"/>
              <w:rPr>
                <w:sz w:val="22"/>
              </w:rPr>
            </w:pPr>
            <w:r>
              <w:rPr>
                <w:w w:val="100"/>
                <w:sz w:val="22"/>
              </w:rPr>
              <w:t>2</w:t>
            </w:r>
          </w:p>
        </w:tc>
        <w:tc>
          <w:tcPr>
            <w:tcW w:w="1728" w:type="dxa"/>
          </w:tcPr>
          <w:p>
            <w:pPr>
              <w:pStyle w:val="TableParagraph"/>
              <w:spacing w:before="17"/>
              <w:ind w:left="80" w:right="81"/>
              <w:jc w:val="center"/>
              <w:rPr>
                <w:sz w:val="22"/>
              </w:rPr>
            </w:pPr>
            <w:r>
              <w:rPr>
                <w:sz w:val="22"/>
              </w:rPr>
              <w:t>1.00</w:t>
            </w:r>
          </w:p>
        </w:tc>
        <w:tc>
          <w:tcPr>
            <w:tcW w:w="2540" w:type="dxa"/>
          </w:tcPr>
          <w:p>
            <w:pPr>
              <w:pStyle w:val="TableParagraph"/>
              <w:spacing w:before="17"/>
              <w:ind w:left="80" w:right="80"/>
              <w:jc w:val="center"/>
              <w:rPr>
                <w:sz w:val="22"/>
              </w:rPr>
            </w:pPr>
            <w:r>
              <w:rPr>
                <w:sz w:val="22"/>
              </w:rPr>
              <w:t>16.125</w:t>
            </w:r>
          </w:p>
        </w:tc>
      </w:tr>
      <w:tr>
        <w:trPr>
          <w:trHeight w:val="410" w:hRule="exact"/>
        </w:trPr>
        <w:tc>
          <w:tcPr>
            <w:tcW w:w="1001" w:type="dxa"/>
            <w:vMerge/>
            <w:shd w:val="clear" w:color="auto" w:fill="76923B"/>
            <w:textDirection w:val="btLr"/>
          </w:tcPr>
          <w:p>
            <w:pPr/>
          </w:p>
        </w:tc>
        <w:tc>
          <w:tcPr>
            <w:tcW w:w="684" w:type="dxa"/>
            <w:shd w:val="clear" w:color="auto" w:fill="76923B"/>
          </w:tcPr>
          <w:p>
            <w:pPr>
              <w:pStyle w:val="TableParagraph"/>
              <w:spacing w:before="19"/>
              <w:ind w:left="0"/>
              <w:jc w:val="center"/>
              <w:rPr>
                <w:sz w:val="22"/>
              </w:rPr>
            </w:pPr>
            <w:r>
              <w:rPr>
                <w:w w:val="100"/>
                <w:sz w:val="22"/>
              </w:rPr>
              <w:t>P</w:t>
            </w:r>
          </w:p>
        </w:tc>
        <w:tc>
          <w:tcPr>
            <w:tcW w:w="1049" w:type="dxa"/>
          </w:tcPr>
          <w:p>
            <w:pPr>
              <w:pStyle w:val="TableParagraph"/>
              <w:spacing w:before="19"/>
              <w:ind w:left="81" w:right="85"/>
              <w:jc w:val="center"/>
              <w:rPr>
                <w:sz w:val="22"/>
              </w:rPr>
            </w:pPr>
            <w:r>
              <w:rPr>
                <w:sz w:val="22"/>
              </w:rPr>
              <w:t>41</w:t>
            </w:r>
          </w:p>
        </w:tc>
        <w:tc>
          <w:tcPr>
            <w:tcW w:w="1118" w:type="dxa"/>
          </w:tcPr>
          <w:p>
            <w:pPr>
              <w:pStyle w:val="TableParagraph"/>
              <w:spacing w:before="19"/>
              <w:ind w:left="0"/>
              <w:jc w:val="center"/>
              <w:rPr>
                <w:sz w:val="22"/>
              </w:rPr>
            </w:pPr>
            <w:r>
              <w:rPr>
                <w:w w:val="100"/>
                <w:sz w:val="22"/>
              </w:rPr>
              <w:t>3</w:t>
            </w:r>
          </w:p>
        </w:tc>
        <w:tc>
          <w:tcPr>
            <w:tcW w:w="1728" w:type="dxa"/>
          </w:tcPr>
          <w:p>
            <w:pPr>
              <w:pStyle w:val="TableParagraph"/>
              <w:spacing w:before="19"/>
              <w:ind w:left="80" w:right="81"/>
              <w:jc w:val="center"/>
              <w:rPr>
                <w:sz w:val="22"/>
              </w:rPr>
            </w:pPr>
            <w:r>
              <w:rPr>
                <w:sz w:val="22"/>
              </w:rPr>
              <w:t>1.00</w:t>
            </w:r>
          </w:p>
        </w:tc>
        <w:tc>
          <w:tcPr>
            <w:tcW w:w="2540" w:type="dxa"/>
          </w:tcPr>
          <w:p>
            <w:pPr>
              <w:pStyle w:val="TableParagraph"/>
              <w:spacing w:before="19"/>
              <w:ind w:left="80" w:right="80"/>
              <w:jc w:val="center"/>
              <w:rPr>
                <w:sz w:val="22"/>
              </w:rPr>
            </w:pPr>
            <w:r>
              <w:rPr>
                <w:sz w:val="22"/>
              </w:rPr>
              <w:t>16.125</w:t>
            </w:r>
          </w:p>
        </w:tc>
      </w:tr>
      <w:tr>
        <w:trPr>
          <w:trHeight w:val="410" w:hRule="exact"/>
        </w:trPr>
        <w:tc>
          <w:tcPr>
            <w:tcW w:w="1001" w:type="dxa"/>
            <w:vMerge/>
            <w:shd w:val="clear" w:color="auto" w:fill="76923B"/>
            <w:textDirection w:val="btLr"/>
          </w:tcPr>
          <w:p>
            <w:pPr/>
          </w:p>
        </w:tc>
        <w:tc>
          <w:tcPr>
            <w:tcW w:w="684" w:type="dxa"/>
            <w:shd w:val="clear" w:color="auto" w:fill="76923B"/>
          </w:tcPr>
          <w:p>
            <w:pPr>
              <w:pStyle w:val="TableParagraph"/>
              <w:spacing w:before="17"/>
              <w:ind w:left="0"/>
              <w:jc w:val="center"/>
              <w:rPr>
                <w:sz w:val="22"/>
              </w:rPr>
            </w:pPr>
            <w:r>
              <w:rPr>
                <w:w w:val="100"/>
                <w:sz w:val="22"/>
              </w:rPr>
              <w:t>P</w:t>
            </w:r>
          </w:p>
        </w:tc>
        <w:tc>
          <w:tcPr>
            <w:tcW w:w="1049" w:type="dxa"/>
          </w:tcPr>
          <w:p>
            <w:pPr>
              <w:pStyle w:val="TableParagraph"/>
              <w:spacing w:before="17"/>
              <w:ind w:left="81" w:right="85"/>
              <w:jc w:val="center"/>
              <w:rPr>
                <w:sz w:val="22"/>
              </w:rPr>
            </w:pPr>
            <w:r>
              <w:rPr>
                <w:sz w:val="22"/>
              </w:rPr>
              <w:t>40</w:t>
            </w:r>
          </w:p>
        </w:tc>
        <w:tc>
          <w:tcPr>
            <w:tcW w:w="1118" w:type="dxa"/>
          </w:tcPr>
          <w:p>
            <w:pPr>
              <w:pStyle w:val="TableParagraph"/>
              <w:spacing w:before="17"/>
              <w:ind w:left="0"/>
              <w:jc w:val="center"/>
              <w:rPr>
                <w:sz w:val="22"/>
              </w:rPr>
            </w:pPr>
            <w:r>
              <w:rPr>
                <w:w w:val="100"/>
                <w:sz w:val="22"/>
              </w:rPr>
              <w:t>4</w:t>
            </w:r>
          </w:p>
        </w:tc>
        <w:tc>
          <w:tcPr>
            <w:tcW w:w="1728" w:type="dxa"/>
          </w:tcPr>
          <w:p>
            <w:pPr>
              <w:pStyle w:val="TableParagraph"/>
              <w:spacing w:before="17"/>
              <w:ind w:left="80" w:right="81"/>
              <w:jc w:val="center"/>
              <w:rPr>
                <w:sz w:val="22"/>
              </w:rPr>
            </w:pPr>
            <w:r>
              <w:rPr>
                <w:sz w:val="22"/>
              </w:rPr>
              <w:t>1.00</w:t>
            </w:r>
          </w:p>
        </w:tc>
        <w:tc>
          <w:tcPr>
            <w:tcW w:w="2540" w:type="dxa"/>
          </w:tcPr>
          <w:p>
            <w:pPr>
              <w:pStyle w:val="TableParagraph"/>
              <w:spacing w:before="17"/>
              <w:ind w:left="80" w:right="80"/>
              <w:jc w:val="center"/>
              <w:rPr>
                <w:sz w:val="22"/>
              </w:rPr>
            </w:pPr>
            <w:r>
              <w:rPr>
                <w:sz w:val="22"/>
              </w:rPr>
              <w:t>16.125</w:t>
            </w:r>
          </w:p>
        </w:tc>
      </w:tr>
      <w:tr>
        <w:trPr>
          <w:trHeight w:val="408" w:hRule="exact"/>
        </w:trPr>
        <w:tc>
          <w:tcPr>
            <w:tcW w:w="1001" w:type="dxa"/>
            <w:vMerge/>
            <w:shd w:val="clear" w:color="auto" w:fill="76923B"/>
            <w:textDirection w:val="btLr"/>
          </w:tcPr>
          <w:p>
            <w:pPr/>
          </w:p>
        </w:tc>
        <w:tc>
          <w:tcPr>
            <w:tcW w:w="684" w:type="dxa"/>
            <w:shd w:val="clear" w:color="auto" w:fill="76923B"/>
          </w:tcPr>
          <w:p>
            <w:pPr>
              <w:pStyle w:val="TableParagraph"/>
              <w:spacing w:before="17"/>
              <w:ind w:left="0"/>
              <w:jc w:val="center"/>
              <w:rPr>
                <w:sz w:val="22"/>
              </w:rPr>
            </w:pPr>
            <w:r>
              <w:rPr>
                <w:w w:val="100"/>
                <w:sz w:val="22"/>
              </w:rPr>
              <w:t>P</w:t>
            </w:r>
          </w:p>
        </w:tc>
        <w:tc>
          <w:tcPr>
            <w:tcW w:w="1049" w:type="dxa"/>
          </w:tcPr>
          <w:p>
            <w:pPr>
              <w:pStyle w:val="TableParagraph"/>
              <w:spacing w:before="17"/>
              <w:ind w:left="81" w:right="85"/>
              <w:jc w:val="center"/>
              <w:rPr>
                <w:sz w:val="22"/>
              </w:rPr>
            </w:pPr>
            <w:r>
              <w:rPr>
                <w:sz w:val="22"/>
              </w:rPr>
              <w:t>39</w:t>
            </w:r>
          </w:p>
        </w:tc>
        <w:tc>
          <w:tcPr>
            <w:tcW w:w="1118" w:type="dxa"/>
          </w:tcPr>
          <w:p>
            <w:pPr>
              <w:pStyle w:val="TableParagraph"/>
              <w:spacing w:before="17"/>
              <w:ind w:left="0"/>
              <w:jc w:val="center"/>
              <w:rPr>
                <w:sz w:val="22"/>
              </w:rPr>
            </w:pPr>
            <w:r>
              <w:rPr>
                <w:w w:val="100"/>
                <w:sz w:val="22"/>
              </w:rPr>
              <w:t>5</w:t>
            </w:r>
          </w:p>
        </w:tc>
        <w:tc>
          <w:tcPr>
            <w:tcW w:w="1728" w:type="dxa"/>
          </w:tcPr>
          <w:p>
            <w:pPr>
              <w:pStyle w:val="TableParagraph"/>
              <w:spacing w:before="17"/>
              <w:ind w:left="80" w:right="81"/>
              <w:jc w:val="center"/>
              <w:rPr>
                <w:sz w:val="22"/>
              </w:rPr>
            </w:pPr>
            <w:r>
              <w:rPr>
                <w:sz w:val="22"/>
              </w:rPr>
              <w:t>1.00</w:t>
            </w:r>
          </w:p>
        </w:tc>
        <w:tc>
          <w:tcPr>
            <w:tcW w:w="2540" w:type="dxa"/>
          </w:tcPr>
          <w:p>
            <w:pPr>
              <w:pStyle w:val="TableParagraph"/>
              <w:spacing w:before="17"/>
              <w:ind w:left="80" w:right="80"/>
              <w:jc w:val="center"/>
              <w:rPr>
                <w:sz w:val="22"/>
              </w:rPr>
            </w:pPr>
            <w:r>
              <w:rPr>
                <w:sz w:val="22"/>
              </w:rPr>
              <w:t>16.125</w:t>
            </w:r>
          </w:p>
        </w:tc>
      </w:tr>
      <w:tr>
        <w:trPr>
          <w:trHeight w:val="410" w:hRule="exact"/>
        </w:trPr>
        <w:tc>
          <w:tcPr>
            <w:tcW w:w="1001" w:type="dxa"/>
            <w:vMerge/>
            <w:shd w:val="clear" w:color="auto" w:fill="76923B"/>
            <w:textDirection w:val="btLr"/>
          </w:tcPr>
          <w:p>
            <w:pPr/>
          </w:p>
        </w:tc>
        <w:tc>
          <w:tcPr>
            <w:tcW w:w="684" w:type="dxa"/>
            <w:shd w:val="clear" w:color="auto" w:fill="76923B"/>
          </w:tcPr>
          <w:p>
            <w:pPr>
              <w:pStyle w:val="TableParagraph"/>
              <w:spacing w:before="19"/>
              <w:ind w:left="0"/>
              <w:jc w:val="center"/>
              <w:rPr>
                <w:sz w:val="22"/>
              </w:rPr>
            </w:pPr>
            <w:r>
              <w:rPr>
                <w:w w:val="100"/>
                <w:sz w:val="22"/>
              </w:rPr>
              <w:t>P</w:t>
            </w:r>
          </w:p>
        </w:tc>
        <w:tc>
          <w:tcPr>
            <w:tcW w:w="1049" w:type="dxa"/>
          </w:tcPr>
          <w:p>
            <w:pPr>
              <w:pStyle w:val="TableParagraph"/>
              <w:spacing w:before="19"/>
              <w:ind w:left="81" w:right="85"/>
              <w:jc w:val="center"/>
              <w:rPr>
                <w:sz w:val="22"/>
              </w:rPr>
            </w:pPr>
            <w:r>
              <w:rPr>
                <w:sz w:val="22"/>
              </w:rPr>
              <w:t>38</w:t>
            </w:r>
          </w:p>
        </w:tc>
        <w:tc>
          <w:tcPr>
            <w:tcW w:w="1118" w:type="dxa"/>
          </w:tcPr>
          <w:p>
            <w:pPr>
              <w:pStyle w:val="TableParagraph"/>
              <w:spacing w:before="19"/>
              <w:ind w:left="0"/>
              <w:jc w:val="center"/>
              <w:rPr>
                <w:sz w:val="22"/>
              </w:rPr>
            </w:pPr>
            <w:r>
              <w:rPr>
                <w:w w:val="100"/>
                <w:sz w:val="22"/>
              </w:rPr>
              <w:t>6</w:t>
            </w:r>
          </w:p>
        </w:tc>
        <w:tc>
          <w:tcPr>
            <w:tcW w:w="1728" w:type="dxa"/>
          </w:tcPr>
          <w:p>
            <w:pPr>
              <w:pStyle w:val="TableParagraph"/>
              <w:spacing w:before="19"/>
              <w:ind w:left="80" w:right="81"/>
              <w:jc w:val="center"/>
              <w:rPr>
                <w:sz w:val="22"/>
              </w:rPr>
            </w:pPr>
            <w:r>
              <w:rPr>
                <w:sz w:val="22"/>
              </w:rPr>
              <w:t>1.00</w:t>
            </w:r>
          </w:p>
        </w:tc>
        <w:tc>
          <w:tcPr>
            <w:tcW w:w="2540" w:type="dxa"/>
          </w:tcPr>
          <w:p>
            <w:pPr>
              <w:pStyle w:val="TableParagraph"/>
              <w:spacing w:before="19"/>
              <w:ind w:left="80" w:right="80"/>
              <w:jc w:val="center"/>
              <w:rPr>
                <w:sz w:val="22"/>
              </w:rPr>
            </w:pPr>
            <w:r>
              <w:rPr>
                <w:sz w:val="22"/>
              </w:rPr>
              <w:t>16.125</w:t>
            </w:r>
          </w:p>
        </w:tc>
      </w:tr>
      <w:tr>
        <w:trPr>
          <w:trHeight w:val="408" w:hRule="exact"/>
        </w:trPr>
        <w:tc>
          <w:tcPr>
            <w:tcW w:w="1001" w:type="dxa"/>
            <w:vMerge/>
            <w:shd w:val="clear" w:color="auto" w:fill="76923B"/>
            <w:textDirection w:val="btLr"/>
          </w:tcPr>
          <w:p>
            <w:pPr/>
          </w:p>
        </w:tc>
        <w:tc>
          <w:tcPr>
            <w:tcW w:w="684" w:type="dxa"/>
            <w:shd w:val="clear" w:color="auto" w:fill="76923B"/>
          </w:tcPr>
          <w:p>
            <w:pPr>
              <w:pStyle w:val="TableParagraph"/>
              <w:spacing w:before="17"/>
              <w:ind w:left="0"/>
              <w:jc w:val="center"/>
              <w:rPr>
                <w:sz w:val="22"/>
              </w:rPr>
            </w:pPr>
            <w:r>
              <w:rPr>
                <w:w w:val="100"/>
                <w:sz w:val="22"/>
              </w:rPr>
              <w:t>P</w:t>
            </w:r>
          </w:p>
        </w:tc>
        <w:tc>
          <w:tcPr>
            <w:tcW w:w="1049" w:type="dxa"/>
          </w:tcPr>
          <w:p>
            <w:pPr>
              <w:pStyle w:val="TableParagraph"/>
              <w:spacing w:before="17"/>
              <w:ind w:left="81" w:right="85"/>
              <w:jc w:val="center"/>
              <w:rPr>
                <w:sz w:val="22"/>
              </w:rPr>
            </w:pPr>
            <w:r>
              <w:rPr>
                <w:sz w:val="22"/>
              </w:rPr>
              <w:t>37</w:t>
            </w:r>
          </w:p>
        </w:tc>
        <w:tc>
          <w:tcPr>
            <w:tcW w:w="1118" w:type="dxa"/>
          </w:tcPr>
          <w:p>
            <w:pPr>
              <w:pStyle w:val="TableParagraph"/>
              <w:spacing w:before="17"/>
              <w:ind w:left="0"/>
              <w:jc w:val="center"/>
              <w:rPr>
                <w:sz w:val="22"/>
              </w:rPr>
            </w:pPr>
            <w:r>
              <w:rPr>
                <w:w w:val="100"/>
                <w:sz w:val="22"/>
              </w:rPr>
              <w:t>7</w:t>
            </w:r>
          </w:p>
        </w:tc>
        <w:tc>
          <w:tcPr>
            <w:tcW w:w="1728" w:type="dxa"/>
          </w:tcPr>
          <w:p>
            <w:pPr>
              <w:pStyle w:val="TableParagraph"/>
              <w:spacing w:before="17"/>
              <w:ind w:left="80" w:right="81"/>
              <w:jc w:val="center"/>
              <w:rPr>
                <w:sz w:val="22"/>
              </w:rPr>
            </w:pPr>
            <w:r>
              <w:rPr>
                <w:sz w:val="22"/>
              </w:rPr>
              <w:t>1.00</w:t>
            </w:r>
          </w:p>
        </w:tc>
        <w:tc>
          <w:tcPr>
            <w:tcW w:w="2540" w:type="dxa"/>
          </w:tcPr>
          <w:p>
            <w:pPr>
              <w:pStyle w:val="TableParagraph"/>
              <w:spacing w:before="17"/>
              <w:ind w:left="80" w:right="80"/>
              <w:jc w:val="center"/>
              <w:rPr>
                <w:sz w:val="22"/>
              </w:rPr>
            </w:pPr>
            <w:r>
              <w:rPr>
                <w:sz w:val="22"/>
              </w:rPr>
              <w:t>16.125</w:t>
            </w:r>
          </w:p>
        </w:tc>
      </w:tr>
      <w:tr>
        <w:trPr>
          <w:trHeight w:val="420" w:hRule="exact"/>
        </w:trPr>
        <w:tc>
          <w:tcPr>
            <w:tcW w:w="1001" w:type="dxa"/>
            <w:vMerge/>
            <w:tcBorders>
              <w:bottom w:val="single" w:sz="12" w:space="0" w:color="000000"/>
            </w:tcBorders>
            <w:shd w:val="clear" w:color="auto" w:fill="76923B"/>
            <w:textDirection w:val="btLr"/>
          </w:tcPr>
          <w:p>
            <w:pPr/>
          </w:p>
        </w:tc>
        <w:tc>
          <w:tcPr>
            <w:tcW w:w="684" w:type="dxa"/>
            <w:tcBorders>
              <w:bottom w:val="single" w:sz="12" w:space="0" w:color="000000"/>
            </w:tcBorders>
            <w:shd w:val="clear" w:color="auto" w:fill="76923B"/>
          </w:tcPr>
          <w:p>
            <w:pPr>
              <w:pStyle w:val="TableParagraph"/>
              <w:spacing w:before="19"/>
              <w:ind w:left="0"/>
              <w:jc w:val="center"/>
              <w:rPr>
                <w:sz w:val="22"/>
              </w:rPr>
            </w:pPr>
            <w:r>
              <w:rPr>
                <w:w w:val="100"/>
                <w:sz w:val="22"/>
              </w:rPr>
              <w:t>P</w:t>
            </w:r>
          </w:p>
        </w:tc>
        <w:tc>
          <w:tcPr>
            <w:tcW w:w="1049" w:type="dxa"/>
            <w:tcBorders>
              <w:bottom w:val="single" w:sz="12" w:space="0" w:color="000000"/>
            </w:tcBorders>
          </w:tcPr>
          <w:p>
            <w:pPr>
              <w:pStyle w:val="TableParagraph"/>
              <w:spacing w:before="19"/>
              <w:ind w:left="81" w:right="85"/>
              <w:jc w:val="center"/>
              <w:rPr>
                <w:sz w:val="22"/>
              </w:rPr>
            </w:pPr>
            <w:r>
              <w:rPr>
                <w:sz w:val="22"/>
              </w:rPr>
              <w:t>36</w:t>
            </w:r>
          </w:p>
        </w:tc>
        <w:tc>
          <w:tcPr>
            <w:tcW w:w="1118" w:type="dxa"/>
            <w:tcBorders>
              <w:bottom w:val="single" w:sz="12" w:space="0" w:color="000000"/>
            </w:tcBorders>
          </w:tcPr>
          <w:p>
            <w:pPr>
              <w:pStyle w:val="TableParagraph"/>
              <w:spacing w:before="19"/>
              <w:ind w:left="0"/>
              <w:jc w:val="center"/>
              <w:rPr>
                <w:sz w:val="22"/>
              </w:rPr>
            </w:pPr>
            <w:r>
              <w:rPr>
                <w:w w:val="100"/>
                <w:sz w:val="22"/>
              </w:rPr>
              <w:t>8</w:t>
            </w:r>
          </w:p>
        </w:tc>
        <w:tc>
          <w:tcPr>
            <w:tcW w:w="1728" w:type="dxa"/>
            <w:tcBorders>
              <w:bottom w:val="single" w:sz="12" w:space="0" w:color="000000"/>
            </w:tcBorders>
          </w:tcPr>
          <w:p>
            <w:pPr>
              <w:pStyle w:val="TableParagraph"/>
              <w:spacing w:before="19"/>
              <w:ind w:left="80" w:right="81"/>
              <w:jc w:val="center"/>
              <w:rPr>
                <w:sz w:val="22"/>
              </w:rPr>
            </w:pPr>
            <w:r>
              <w:rPr>
                <w:sz w:val="22"/>
              </w:rPr>
              <w:t>1.00</w:t>
            </w:r>
          </w:p>
        </w:tc>
        <w:tc>
          <w:tcPr>
            <w:tcW w:w="2540" w:type="dxa"/>
            <w:tcBorders>
              <w:bottom w:val="single" w:sz="12" w:space="0" w:color="000000"/>
            </w:tcBorders>
          </w:tcPr>
          <w:p>
            <w:pPr>
              <w:pStyle w:val="TableParagraph"/>
              <w:spacing w:before="19"/>
              <w:ind w:left="80" w:right="80"/>
              <w:jc w:val="center"/>
              <w:rPr>
                <w:sz w:val="22"/>
              </w:rPr>
            </w:pPr>
            <w:r>
              <w:rPr>
                <w:sz w:val="22"/>
              </w:rPr>
              <w:t>16.125</w:t>
            </w:r>
          </w:p>
        </w:tc>
      </w:tr>
    </w:tbl>
    <w:p>
      <w:pPr>
        <w:spacing w:after="0"/>
        <w:jc w:val="center"/>
        <w:rPr>
          <w:sz w:val="22"/>
        </w:rPr>
        <w:sectPr>
          <w:pgSz w:w="12240" w:h="15840"/>
          <w:pgMar w:header="0" w:footer="1003" w:top="1420" w:bottom="1200" w:left="1480" w:right="1460"/>
        </w:sectPr>
      </w:pPr>
    </w:p>
    <w:tbl>
      <w:tblPr>
        <w:tblW w:w="0" w:type="auto"/>
        <w:jc w:val="left"/>
        <w:tblInd w:w="4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001"/>
        <w:gridCol w:w="684"/>
        <w:gridCol w:w="1049"/>
        <w:gridCol w:w="1118"/>
        <w:gridCol w:w="1728"/>
        <w:gridCol w:w="2540"/>
      </w:tblGrid>
      <w:tr>
        <w:trPr>
          <w:trHeight w:val="401" w:hRule="exact"/>
        </w:trPr>
        <w:tc>
          <w:tcPr>
            <w:tcW w:w="1001" w:type="dxa"/>
            <w:vMerge w:val="restart"/>
            <w:tcBorders>
              <w:left w:val="single" w:sz="4" w:space="0" w:color="000000"/>
              <w:right w:val="single" w:sz="4" w:space="0" w:color="000000"/>
            </w:tcBorders>
            <w:shd w:val="clear" w:color="auto" w:fill="D99493"/>
            <w:textDirection w:val="btLr"/>
          </w:tcPr>
          <w:p>
            <w:pPr>
              <w:pStyle w:val="TableParagraph"/>
              <w:ind w:left="0"/>
              <w:rPr>
                <w:b/>
                <w:sz w:val="22"/>
              </w:rPr>
            </w:pPr>
          </w:p>
          <w:p>
            <w:pPr>
              <w:pStyle w:val="TableParagraph"/>
              <w:spacing w:before="11"/>
              <w:ind w:left="0"/>
              <w:rPr>
                <w:b/>
                <w:sz w:val="20"/>
              </w:rPr>
            </w:pPr>
          </w:p>
          <w:p>
            <w:pPr>
              <w:pStyle w:val="TableParagraph"/>
              <w:ind w:left="1261"/>
              <w:rPr>
                <w:b/>
                <w:sz w:val="22"/>
              </w:rPr>
            </w:pPr>
            <w:r>
              <w:rPr>
                <w:b/>
                <w:spacing w:val="-1"/>
                <w:w w:val="100"/>
                <w:sz w:val="22"/>
              </w:rPr>
              <w:t>S</w:t>
            </w:r>
            <w:r>
              <w:rPr>
                <w:b/>
                <w:w w:val="100"/>
                <w:sz w:val="22"/>
              </w:rPr>
              <w:t>O</w:t>
            </w:r>
            <w:r>
              <w:rPr>
                <w:b/>
                <w:spacing w:val="-2"/>
                <w:w w:val="100"/>
                <w:sz w:val="22"/>
              </w:rPr>
              <w:t>C</w:t>
            </w:r>
            <w:r>
              <w:rPr>
                <w:b/>
                <w:spacing w:val="-2"/>
                <w:w w:val="100"/>
                <w:sz w:val="22"/>
              </w:rPr>
              <w:t>I</w:t>
            </w:r>
            <w:r>
              <w:rPr>
                <w:b/>
                <w:w w:val="100"/>
                <w:sz w:val="22"/>
              </w:rPr>
              <w:t>O</w:t>
            </w:r>
            <w:r>
              <w:rPr>
                <w:b/>
                <w:spacing w:val="-1"/>
                <w:w w:val="100"/>
                <w:sz w:val="22"/>
              </w:rPr>
              <w:t>P</w:t>
            </w:r>
            <w:r>
              <w:rPr>
                <w:b/>
                <w:w w:val="100"/>
                <w:sz w:val="22"/>
              </w:rPr>
              <w:t>O</w:t>
            </w:r>
            <w:r>
              <w:rPr>
                <w:b/>
                <w:spacing w:val="-3"/>
                <w:w w:val="100"/>
                <w:sz w:val="22"/>
              </w:rPr>
              <w:t>L</w:t>
            </w:r>
            <w:r>
              <w:rPr>
                <w:b/>
                <w:w w:val="100"/>
                <w:sz w:val="22"/>
              </w:rPr>
              <w:t>Í</w:t>
            </w:r>
            <w:r>
              <w:rPr>
                <w:b/>
                <w:w w:val="100"/>
                <w:sz w:val="22"/>
              </w:rPr>
              <w:t>TICA</w:t>
            </w:r>
          </w:p>
        </w:tc>
        <w:tc>
          <w:tcPr>
            <w:tcW w:w="684" w:type="dxa"/>
            <w:tcBorders>
              <w:left w:val="single" w:sz="4" w:space="0" w:color="000000"/>
              <w:bottom w:val="single" w:sz="4" w:space="0" w:color="000000"/>
              <w:right w:val="single" w:sz="4" w:space="0" w:color="000000"/>
            </w:tcBorders>
            <w:shd w:val="clear" w:color="auto" w:fill="D99493"/>
          </w:tcPr>
          <w:p>
            <w:pPr>
              <w:pStyle w:val="TableParagraph"/>
              <w:spacing w:line="249" w:lineRule="exact"/>
              <w:ind w:left="0"/>
              <w:jc w:val="center"/>
              <w:rPr>
                <w:sz w:val="22"/>
              </w:rPr>
            </w:pPr>
            <w:r>
              <w:rPr>
                <w:w w:val="100"/>
                <w:sz w:val="22"/>
              </w:rPr>
              <w:t>P</w:t>
            </w:r>
          </w:p>
        </w:tc>
        <w:tc>
          <w:tcPr>
            <w:tcW w:w="1049" w:type="dxa"/>
            <w:tcBorders>
              <w:left w:val="single" w:sz="4" w:space="0" w:color="000000"/>
              <w:bottom w:val="single" w:sz="4" w:space="0" w:color="000000"/>
              <w:right w:val="single" w:sz="4" w:space="0" w:color="000000"/>
            </w:tcBorders>
          </w:tcPr>
          <w:p>
            <w:pPr>
              <w:pStyle w:val="TableParagraph"/>
              <w:spacing w:line="249" w:lineRule="exact"/>
              <w:ind w:left="81" w:right="85"/>
              <w:jc w:val="center"/>
              <w:rPr>
                <w:sz w:val="22"/>
              </w:rPr>
            </w:pPr>
            <w:r>
              <w:rPr>
                <w:sz w:val="22"/>
              </w:rPr>
              <w:t>43</w:t>
            </w:r>
          </w:p>
        </w:tc>
        <w:tc>
          <w:tcPr>
            <w:tcW w:w="1118" w:type="dxa"/>
            <w:tcBorders>
              <w:left w:val="single" w:sz="4" w:space="0" w:color="000000"/>
              <w:bottom w:val="single" w:sz="4" w:space="0" w:color="000000"/>
              <w:right w:val="single" w:sz="4" w:space="0" w:color="000000"/>
            </w:tcBorders>
          </w:tcPr>
          <w:p>
            <w:pPr>
              <w:pStyle w:val="TableParagraph"/>
              <w:spacing w:line="249" w:lineRule="exact"/>
              <w:ind w:left="0" w:right="492"/>
              <w:jc w:val="right"/>
              <w:rPr>
                <w:sz w:val="22"/>
              </w:rPr>
            </w:pPr>
            <w:r>
              <w:rPr>
                <w:w w:val="100"/>
                <w:sz w:val="22"/>
              </w:rPr>
              <w:t>1</w:t>
            </w:r>
          </w:p>
        </w:tc>
        <w:tc>
          <w:tcPr>
            <w:tcW w:w="1728" w:type="dxa"/>
            <w:tcBorders>
              <w:left w:val="single" w:sz="4" w:space="0" w:color="000000"/>
              <w:bottom w:val="single" w:sz="4" w:space="0" w:color="000000"/>
              <w:right w:val="single" w:sz="4" w:space="0" w:color="000000"/>
            </w:tcBorders>
          </w:tcPr>
          <w:p>
            <w:pPr>
              <w:pStyle w:val="TableParagraph"/>
              <w:spacing w:line="249" w:lineRule="exact"/>
              <w:ind w:left="80" w:right="81"/>
              <w:jc w:val="center"/>
              <w:rPr>
                <w:sz w:val="22"/>
              </w:rPr>
            </w:pPr>
            <w:r>
              <w:rPr>
                <w:sz w:val="22"/>
              </w:rPr>
              <w:t>1.00</w:t>
            </w:r>
          </w:p>
        </w:tc>
        <w:tc>
          <w:tcPr>
            <w:tcW w:w="2540" w:type="dxa"/>
            <w:tcBorders>
              <w:left w:val="single" w:sz="4" w:space="0" w:color="000000"/>
              <w:bottom w:val="single" w:sz="4" w:space="0" w:color="000000"/>
              <w:right w:val="single" w:sz="4" w:space="0" w:color="000000"/>
            </w:tcBorders>
          </w:tcPr>
          <w:p>
            <w:pPr>
              <w:pStyle w:val="TableParagraph"/>
              <w:spacing w:line="249" w:lineRule="exact"/>
              <w:ind w:left="80" w:right="80"/>
              <w:jc w:val="center"/>
              <w:rPr>
                <w:sz w:val="22"/>
              </w:rPr>
            </w:pPr>
            <w:r>
              <w:rPr>
                <w:sz w:val="22"/>
              </w:rPr>
              <w:t>16.875</w:t>
            </w:r>
          </w:p>
        </w:tc>
      </w:tr>
      <w:tr>
        <w:trPr>
          <w:trHeight w:val="389" w:hRule="exact"/>
        </w:trPr>
        <w:tc>
          <w:tcPr>
            <w:tcW w:w="1001" w:type="dxa"/>
            <w:vMerge/>
            <w:tcBorders>
              <w:left w:val="single" w:sz="4" w:space="0" w:color="000000"/>
              <w:right w:val="single" w:sz="4" w:space="0" w:color="000000"/>
            </w:tcBorders>
            <w:shd w:val="clear" w:color="auto" w:fill="D99493"/>
            <w:textDirection w:val="btLr"/>
          </w:tcPr>
          <w:p>
            <w:pPr/>
          </w:p>
        </w:tc>
        <w:tc>
          <w:tcPr>
            <w:tcW w:w="684" w:type="dxa"/>
            <w:tcBorders>
              <w:top w:val="single" w:sz="4" w:space="0" w:color="000000"/>
              <w:left w:val="single" w:sz="4" w:space="0" w:color="000000"/>
              <w:bottom w:val="single" w:sz="4" w:space="0" w:color="000000"/>
              <w:right w:val="single" w:sz="4" w:space="0" w:color="000000"/>
            </w:tcBorders>
            <w:shd w:val="clear" w:color="auto" w:fill="D99493"/>
          </w:tcPr>
          <w:p>
            <w:pPr>
              <w:pStyle w:val="TableParagraph"/>
              <w:spacing w:line="247" w:lineRule="exact"/>
              <w:ind w:left="0"/>
              <w:jc w:val="center"/>
              <w:rPr>
                <w:sz w:val="22"/>
              </w:rPr>
            </w:pPr>
            <w:r>
              <w:rPr>
                <w:w w:val="100"/>
                <w:sz w:val="22"/>
              </w:rPr>
              <w:t>P</w:t>
            </w:r>
          </w:p>
        </w:tc>
        <w:tc>
          <w:tcPr>
            <w:tcW w:w="1049"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1" w:right="85"/>
              <w:jc w:val="center"/>
              <w:rPr>
                <w:sz w:val="22"/>
              </w:rPr>
            </w:pPr>
            <w:r>
              <w:rPr>
                <w:sz w:val="22"/>
              </w:rPr>
              <w:t>42</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0" w:right="492"/>
              <w:jc w:val="right"/>
              <w:rPr>
                <w:sz w:val="22"/>
              </w:rPr>
            </w:pPr>
            <w:r>
              <w:rPr>
                <w:w w:val="100"/>
                <w:sz w:val="22"/>
              </w:rPr>
              <w:t>2</w:t>
            </w:r>
          </w:p>
        </w:tc>
        <w:tc>
          <w:tcPr>
            <w:tcW w:w="172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1"/>
              <w:jc w:val="center"/>
              <w:rPr>
                <w:sz w:val="22"/>
              </w:rPr>
            </w:pPr>
            <w:r>
              <w:rPr>
                <w:sz w:val="22"/>
              </w:rPr>
              <w:t>1.00</w:t>
            </w:r>
          </w:p>
        </w:tc>
        <w:tc>
          <w:tcPr>
            <w:tcW w:w="2540"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0"/>
              <w:jc w:val="center"/>
              <w:rPr>
                <w:sz w:val="22"/>
              </w:rPr>
            </w:pPr>
            <w:r>
              <w:rPr>
                <w:sz w:val="22"/>
              </w:rPr>
              <w:t>16.875</w:t>
            </w:r>
          </w:p>
        </w:tc>
      </w:tr>
      <w:tr>
        <w:trPr>
          <w:trHeight w:val="391" w:hRule="exact"/>
        </w:trPr>
        <w:tc>
          <w:tcPr>
            <w:tcW w:w="1001" w:type="dxa"/>
            <w:vMerge/>
            <w:tcBorders>
              <w:left w:val="single" w:sz="4" w:space="0" w:color="000000"/>
              <w:right w:val="single" w:sz="4" w:space="0" w:color="000000"/>
            </w:tcBorders>
            <w:shd w:val="clear" w:color="auto" w:fill="D99493"/>
            <w:textDirection w:val="btLr"/>
          </w:tcPr>
          <w:p>
            <w:pPr/>
          </w:p>
        </w:tc>
        <w:tc>
          <w:tcPr>
            <w:tcW w:w="684" w:type="dxa"/>
            <w:tcBorders>
              <w:top w:val="single" w:sz="4" w:space="0" w:color="000000"/>
              <w:left w:val="single" w:sz="4" w:space="0" w:color="000000"/>
              <w:bottom w:val="single" w:sz="4" w:space="0" w:color="000000"/>
              <w:right w:val="single" w:sz="4" w:space="0" w:color="000000"/>
            </w:tcBorders>
            <w:shd w:val="clear" w:color="auto" w:fill="D99493"/>
          </w:tcPr>
          <w:p>
            <w:pPr>
              <w:pStyle w:val="TableParagraph"/>
              <w:spacing w:line="247" w:lineRule="exact"/>
              <w:ind w:left="0"/>
              <w:jc w:val="center"/>
              <w:rPr>
                <w:sz w:val="22"/>
              </w:rPr>
            </w:pPr>
            <w:r>
              <w:rPr>
                <w:w w:val="100"/>
                <w:sz w:val="22"/>
              </w:rPr>
              <w:t>P</w:t>
            </w:r>
          </w:p>
        </w:tc>
        <w:tc>
          <w:tcPr>
            <w:tcW w:w="1049"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1" w:right="85"/>
              <w:jc w:val="center"/>
              <w:rPr>
                <w:sz w:val="22"/>
              </w:rPr>
            </w:pPr>
            <w:r>
              <w:rPr>
                <w:sz w:val="22"/>
              </w:rPr>
              <w:t>41</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0" w:right="492"/>
              <w:jc w:val="right"/>
              <w:rPr>
                <w:sz w:val="22"/>
              </w:rPr>
            </w:pPr>
            <w:r>
              <w:rPr>
                <w:w w:val="100"/>
                <w:sz w:val="22"/>
              </w:rPr>
              <w:t>3</w:t>
            </w:r>
          </w:p>
        </w:tc>
        <w:tc>
          <w:tcPr>
            <w:tcW w:w="172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1"/>
              <w:jc w:val="center"/>
              <w:rPr>
                <w:sz w:val="22"/>
              </w:rPr>
            </w:pPr>
            <w:r>
              <w:rPr>
                <w:sz w:val="22"/>
              </w:rPr>
              <w:t>1.00</w:t>
            </w:r>
          </w:p>
        </w:tc>
        <w:tc>
          <w:tcPr>
            <w:tcW w:w="2540"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0"/>
              <w:jc w:val="center"/>
              <w:rPr>
                <w:sz w:val="22"/>
              </w:rPr>
            </w:pPr>
            <w:r>
              <w:rPr>
                <w:sz w:val="22"/>
              </w:rPr>
              <w:t>16.875</w:t>
            </w:r>
          </w:p>
        </w:tc>
      </w:tr>
      <w:tr>
        <w:trPr>
          <w:trHeight w:val="389" w:hRule="exact"/>
        </w:trPr>
        <w:tc>
          <w:tcPr>
            <w:tcW w:w="1001" w:type="dxa"/>
            <w:vMerge/>
            <w:tcBorders>
              <w:left w:val="single" w:sz="4" w:space="0" w:color="000000"/>
              <w:right w:val="single" w:sz="4" w:space="0" w:color="000000"/>
            </w:tcBorders>
            <w:shd w:val="clear" w:color="auto" w:fill="D99493"/>
            <w:textDirection w:val="btLr"/>
          </w:tcPr>
          <w:p>
            <w:pPr/>
          </w:p>
        </w:tc>
        <w:tc>
          <w:tcPr>
            <w:tcW w:w="684" w:type="dxa"/>
            <w:tcBorders>
              <w:top w:val="single" w:sz="4" w:space="0" w:color="000000"/>
              <w:left w:val="single" w:sz="4" w:space="0" w:color="000000"/>
              <w:bottom w:val="single" w:sz="4" w:space="0" w:color="000000"/>
              <w:right w:val="single" w:sz="4" w:space="0" w:color="000000"/>
            </w:tcBorders>
            <w:shd w:val="clear" w:color="auto" w:fill="D99493"/>
          </w:tcPr>
          <w:p>
            <w:pPr>
              <w:pStyle w:val="TableParagraph"/>
              <w:spacing w:line="247" w:lineRule="exact"/>
              <w:ind w:left="0"/>
              <w:jc w:val="center"/>
              <w:rPr>
                <w:sz w:val="22"/>
              </w:rPr>
            </w:pPr>
            <w:r>
              <w:rPr>
                <w:w w:val="100"/>
                <w:sz w:val="22"/>
              </w:rPr>
              <w:t>P</w:t>
            </w:r>
          </w:p>
        </w:tc>
        <w:tc>
          <w:tcPr>
            <w:tcW w:w="1049"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1" w:right="85"/>
              <w:jc w:val="center"/>
              <w:rPr>
                <w:sz w:val="22"/>
              </w:rPr>
            </w:pPr>
            <w:r>
              <w:rPr>
                <w:sz w:val="22"/>
              </w:rPr>
              <w:t>40</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0" w:right="492"/>
              <w:jc w:val="right"/>
              <w:rPr>
                <w:sz w:val="22"/>
              </w:rPr>
            </w:pPr>
            <w:r>
              <w:rPr>
                <w:w w:val="100"/>
                <w:sz w:val="22"/>
              </w:rPr>
              <w:t>4</w:t>
            </w:r>
          </w:p>
        </w:tc>
        <w:tc>
          <w:tcPr>
            <w:tcW w:w="172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1"/>
              <w:jc w:val="center"/>
              <w:rPr>
                <w:sz w:val="22"/>
              </w:rPr>
            </w:pPr>
            <w:r>
              <w:rPr>
                <w:sz w:val="22"/>
              </w:rPr>
              <w:t>1.00</w:t>
            </w:r>
          </w:p>
        </w:tc>
        <w:tc>
          <w:tcPr>
            <w:tcW w:w="2540"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0"/>
              <w:jc w:val="center"/>
              <w:rPr>
                <w:sz w:val="22"/>
              </w:rPr>
            </w:pPr>
            <w:r>
              <w:rPr>
                <w:sz w:val="22"/>
              </w:rPr>
              <w:t>16.875</w:t>
            </w:r>
          </w:p>
        </w:tc>
      </w:tr>
      <w:tr>
        <w:trPr>
          <w:trHeight w:val="389" w:hRule="exact"/>
        </w:trPr>
        <w:tc>
          <w:tcPr>
            <w:tcW w:w="1001" w:type="dxa"/>
            <w:vMerge/>
            <w:tcBorders>
              <w:left w:val="single" w:sz="4" w:space="0" w:color="000000"/>
              <w:right w:val="single" w:sz="4" w:space="0" w:color="000000"/>
            </w:tcBorders>
            <w:shd w:val="clear" w:color="auto" w:fill="D99493"/>
            <w:textDirection w:val="btLr"/>
          </w:tcPr>
          <w:p>
            <w:pPr/>
          </w:p>
        </w:tc>
        <w:tc>
          <w:tcPr>
            <w:tcW w:w="684" w:type="dxa"/>
            <w:tcBorders>
              <w:top w:val="single" w:sz="4" w:space="0" w:color="000000"/>
              <w:left w:val="single" w:sz="4" w:space="0" w:color="000000"/>
              <w:bottom w:val="single" w:sz="4" w:space="0" w:color="000000"/>
              <w:right w:val="single" w:sz="4" w:space="0" w:color="000000"/>
            </w:tcBorders>
            <w:shd w:val="clear" w:color="auto" w:fill="D99493"/>
          </w:tcPr>
          <w:p>
            <w:pPr>
              <w:pStyle w:val="TableParagraph"/>
              <w:spacing w:line="247" w:lineRule="exact"/>
              <w:ind w:left="0"/>
              <w:jc w:val="center"/>
              <w:rPr>
                <w:sz w:val="22"/>
              </w:rPr>
            </w:pPr>
            <w:r>
              <w:rPr>
                <w:w w:val="100"/>
                <w:sz w:val="22"/>
              </w:rPr>
              <w:t>P</w:t>
            </w:r>
          </w:p>
        </w:tc>
        <w:tc>
          <w:tcPr>
            <w:tcW w:w="1049"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1" w:right="85"/>
              <w:jc w:val="center"/>
              <w:rPr>
                <w:sz w:val="22"/>
              </w:rPr>
            </w:pPr>
            <w:r>
              <w:rPr>
                <w:sz w:val="22"/>
              </w:rPr>
              <w:t>39</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0" w:right="492"/>
              <w:jc w:val="right"/>
              <w:rPr>
                <w:sz w:val="22"/>
              </w:rPr>
            </w:pPr>
            <w:r>
              <w:rPr>
                <w:w w:val="100"/>
                <w:sz w:val="22"/>
              </w:rPr>
              <w:t>5</w:t>
            </w:r>
          </w:p>
        </w:tc>
        <w:tc>
          <w:tcPr>
            <w:tcW w:w="172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1"/>
              <w:jc w:val="center"/>
              <w:rPr>
                <w:sz w:val="22"/>
              </w:rPr>
            </w:pPr>
            <w:r>
              <w:rPr>
                <w:sz w:val="22"/>
              </w:rPr>
              <w:t>1.00</w:t>
            </w:r>
          </w:p>
        </w:tc>
        <w:tc>
          <w:tcPr>
            <w:tcW w:w="2540"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0"/>
              <w:jc w:val="center"/>
              <w:rPr>
                <w:sz w:val="22"/>
              </w:rPr>
            </w:pPr>
            <w:r>
              <w:rPr>
                <w:sz w:val="22"/>
              </w:rPr>
              <w:t>16.875</w:t>
            </w:r>
          </w:p>
        </w:tc>
      </w:tr>
      <w:tr>
        <w:trPr>
          <w:trHeight w:val="389" w:hRule="exact"/>
        </w:trPr>
        <w:tc>
          <w:tcPr>
            <w:tcW w:w="1001" w:type="dxa"/>
            <w:vMerge/>
            <w:tcBorders>
              <w:left w:val="single" w:sz="4" w:space="0" w:color="000000"/>
              <w:right w:val="single" w:sz="4" w:space="0" w:color="000000"/>
            </w:tcBorders>
            <w:shd w:val="clear" w:color="auto" w:fill="D99493"/>
            <w:textDirection w:val="btLr"/>
          </w:tcPr>
          <w:p>
            <w:pPr/>
          </w:p>
        </w:tc>
        <w:tc>
          <w:tcPr>
            <w:tcW w:w="684" w:type="dxa"/>
            <w:tcBorders>
              <w:top w:val="single" w:sz="4" w:space="0" w:color="000000"/>
              <w:left w:val="single" w:sz="4" w:space="0" w:color="000000"/>
              <w:bottom w:val="single" w:sz="4" w:space="0" w:color="000000"/>
              <w:right w:val="single" w:sz="4" w:space="0" w:color="000000"/>
            </w:tcBorders>
            <w:shd w:val="clear" w:color="auto" w:fill="D99493"/>
          </w:tcPr>
          <w:p>
            <w:pPr>
              <w:pStyle w:val="TableParagraph"/>
              <w:spacing w:line="247" w:lineRule="exact"/>
              <w:ind w:left="0"/>
              <w:jc w:val="center"/>
              <w:rPr>
                <w:sz w:val="22"/>
              </w:rPr>
            </w:pPr>
            <w:r>
              <w:rPr>
                <w:w w:val="100"/>
                <w:sz w:val="22"/>
              </w:rPr>
              <w:t>P</w:t>
            </w:r>
          </w:p>
        </w:tc>
        <w:tc>
          <w:tcPr>
            <w:tcW w:w="1049"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1" w:right="85"/>
              <w:jc w:val="center"/>
              <w:rPr>
                <w:sz w:val="22"/>
              </w:rPr>
            </w:pPr>
            <w:r>
              <w:rPr>
                <w:sz w:val="22"/>
              </w:rPr>
              <w:t>38</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0" w:right="492"/>
              <w:jc w:val="right"/>
              <w:rPr>
                <w:sz w:val="22"/>
              </w:rPr>
            </w:pPr>
            <w:r>
              <w:rPr>
                <w:w w:val="100"/>
                <w:sz w:val="22"/>
              </w:rPr>
              <w:t>6</w:t>
            </w:r>
          </w:p>
        </w:tc>
        <w:tc>
          <w:tcPr>
            <w:tcW w:w="172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1"/>
              <w:jc w:val="center"/>
              <w:rPr>
                <w:sz w:val="22"/>
              </w:rPr>
            </w:pPr>
            <w:r>
              <w:rPr>
                <w:sz w:val="22"/>
              </w:rPr>
              <w:t>1.00</w:t>
            </w:r>
          </w:p>
        </w:tc>
        <w:tc>
          <w:tcPr>
            <w:tcW w:w="2540"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0"/>
              <w:jc w:val="center"/>
              <w:rPr>
                <w:sz w:val="22"/>
              </w:rPr>
            </w:pPr>
            <w:r>
              <w:rPr>
                <w:sz w:val="22"/>
              </w:rPr>
              <w:t>16.875</w:t>
            </w:r>
          </w:p>
        </w:tc>
      </w:tr>
      <w:tr>
        <w:trPr>
          <w:trHeight w:val="391" w:hRule="exact"/>
        </w:trPr>
        <w:tc>
          <w:tcPr>
            <w:tcW w:w="1001" w:type="dxa"/>
            <w:vMerge/>
            <w:tcBorders>
              <w:left w:val="single" w:sz="4" w:space="0" w:color="000000"/>
              <w:right w:val="single" w:sz="4" w:space="0" w:color="000000"/>
            </w:tcBorders>
            <w:shd w:val="clear" w:color="auto" w:fill="D99493"/>
            <w:textDirection w:val="btLr"/>
          </w:tcPr>
          <w:p>
            <w:pPr/>
          </w:p>
        </w:tc>
        <w:tc>
          <w:tcPr>
            <w:tcW w:w="684" w:type="dxa"/>
            <w:tcBorders>
              <w:top w:val="single" w:sz="4" w:space="0" w:color="000000"/>
              <w:left w:val="single" w:sz="4" w:space="0" w:color="000000"/>
              <w:bottom w:val="single" w:sz="4" w:space="0" w:color="000000"/>
              <w:right w:val="single" w:sz="4" w:space="0" w:color="000000"/>
            </w:tcBorders>
            <w:shd w:val="clear" w:color="auto" w:fill="D99493"/>
          </w:tcPr>
          <w:p>
            <w:pPr>
              <w:pStyle w:val="TableParagraph"/>
              <w:spacing w:line="249" w:lineRule="exact"/>
              <w:ind w:left="0"/>
              <w:jc w:val="center"/>
              <w:rPr>
                <w:sz w:val="22"/>
              </w:rPr>
            </w:pPr>
            <w:r>
              <w:rPr>
                <w:w w:val="100"/>
                <w:sz w:val="22"/>
              </w:rPr>
              <w:t>P</w:t>
            </w:r>
          </w:p>
        </w:tc>
        <w:tc>
          <w:tcPr>
            <w:tcW w:w="1049"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81" w:right="85"/>
              <w:jc w:val="center"/>
              <w:rPr>
                <w:sz w:val="22"/>
              </w:rPr>
            </w:pPr>
            <w:r>
              <w:rPr>
                <w:sz w:val="22"/>
              </w:rPr>
              <w:t>37</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0" w:right="492"/>
              <w:jc w:val="right"/>
              <w:rPr>
                <w:sz w:val="22"/>
              </w:rPr>
            </w:pPr>
            <w:r>
              <w:rPr>
                <w:w w:val="100"/>
                <w:sz w:val="22"/>
              </w:rPr>
              <w:t>7</w:t>
            </w:r>
          </w:p>
        </w:tc>
        <w:tc>
          <w:tcPr>
            <w:tcW w:w="1728"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80" w:right="81"/>
              <w:jc w:val="center"/>
              <w:rPr>
                <w:sz w:val="22"/>
              </w:rPr>
            </w:pPr>
            <w:r>
              <w:rPr>
                <w:sz w:val="22"/>
              </w:rPr>
              <w:t>1.00</w:t>
            </w:r>
          </w:p>
        </w:tc>
        <w:tc>
          <w:tcPr>
            <w:tcW w:w="2540"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80" w:right="80"/>
              <w:jc w:val="center"/>
              <w:rPr>
                <w:sz w:val="22"/>
              </w:rPr>
            </w:pPr>
            <w:r>
              <w:rPr>
                <w:sz w:val="22"/>
              </w:rPr>
              <w:t>16.875</w:t>
            </w:r>
          </w:p>
        </w:tc>
      </w:tr>
      <w:tr>
        <w:trPr>
          <w:trHeight w:val="398" w:hRule="exact"/>
        </w:trPr>
        <w:tc>
          <w:tcPr>
            <w:tcW w:w="1001" w:type="dxa"/>
            <w:vMerge/>
            <w:tcBorders>
              <w:left w:val="single" w:sz="4" w:space="0" w:color="000000"/>
              <w:right w:val="single" w:sz="4" w:space="0" w:color="000000"/>
            </w:tcBorders>
            <w:shd w:val="clear" w:color="auto" w:fill="D99493"/>
            <w:textDirection w:val="btLr"/>
          </w:tcPr>
          <w:p>
            <w:pPr/>
          </w:p>
        </w:tc>
        <w:tc>
          <w:tcPr>
            <w:tcW w:w="684" w:type="dxa"/>
            <w:tcBorders>
              <w:top w:val="single" w:sz="4" w:space="0" w:color="000000"/>
              <w:left w:val="single" w:sz="4" w:space="0" w:color="000000"/>
              <w:right w:val="single" w:sz="4" w:space="0" w:color="000000"/>
            </w:tcBorders>
            <w:shd w:val="clear" w:color="auto" w:fill="D99493"/>
          </w:tcPr>
          <w:p>
            <w:pPr>
              <w:pStyle w:val="TableParagraph"/>
              <w:spacing w:line="247" w:lineRule="exact"/>
              <w:ind w:left="0"/>
              <w:jc w:val="center"/>
              <w:rPr>
                <w:sz w:val="22"/>
              </w:rPr>
            </w:pPr>
            <w:r>
              <w:rPr>
                <w:w w:val="100"/>
                <w:sz w:val="22"/>
              </w:rPr>
              <w:t>P</w:t>
            </w:r>
          </w:p>
        </w:tc>
        <w:tc>
          <w:tcPr>
            <w:tcW w:w="1049" w:type="dxa"/>
            <w:tcBorders>
              <w:top w:val="single" w:sz="4" w:space="0" w:color="000000"/>
              <w:left w:val="single" w:sz="4" w:space="0" w:color="000000"/>
              <w:right w:val="single" w:sz="4" w:space="0" w:color="000000"/>
            </w:tcBorders>
          </w:tcPr>
          <w:p>
            <w:pPr>
              <w:pStyle w:val="TableParagraph"/>
              <w:spacing w:line="247" w:lineRule="exact"/>
              <w:ind w:left="81" w:right="85"/>
              <w:jc w:val="center"/>
              <w:rPr>
                <w:sz w:val="22"/>
              </w:rPr>
            </w:pPr>
            <w:r>
              <w:rPr>
                <w:sz w:val="22"/>
              </w:rPr>
              <w:t>36</w:t>
            </w:r>
          </w:p>
        </w:tc>
        <w:tc>
          <w:tcPr>
            <w:tcW w:w="1118" w:type="dxa"/>
            <w:tcBorders>
              <w:top w:val="single" w:sz="4" w:space="0" w:color="000000"/>
              <w:left w:val="single" w:sz="4" w:space="0" w:color="000000"/>
              <w:right w:val="single" w:sz="4" w:space="0" w:color="000000"/>
            </w:tcBorders>
          </w:tcPr>
          <w:p>
            <w:pPr>
              <w:pStyle w:val="TableParagraph"/>
              <w:spacing w:line="247" w:lineRule="exact"/>
              <w:ind w:left="0" w:right="492"/>
              <w:jc w:val="right"/>
              <w:rPr>
                <w:sz w:val="22"/>
              </w:rPr>
            </w:pPr>
            <w:r>
              <w:rPr>
                <w:w w:val="100"/>
                <w:sz w:val="22"/>
              </w:rPr>
              <w:t>8</w:t>
            </w:r>
          </w:p>
        </w:tc>
        <w:tc>
          <w:tcPr>
            <w:tcW w:w="1728" w:type="dxa"/>
            <w:tcBorders>
              <w:top w:val="single" w:sz="4" w:space="0" w:color="000000"/>
              <w:left w:val="single" w:sz="4" w:space="0" w:color="000000"/>
              <w:right w:val="single" w:sz="4" w:space="0" w:color="000000"/>
            </w:tcBorders>
          </w:tcPr>
          <w:p>
            <w:pPr>
              <w:pStyle w:val="TableParagraph"/>
              <w:spacing w:line="247" w:lineRule="exact"/>
              <w:ind w:left="80" w:right="81"/>
              <w:jc w:val="center"/>
              <w:rPr>
                <w:sz w:val="22"/>
              </w:rPr>
            </w:pPr>
            <w:r>
              <w:rPr>
                <w:sz w:val="22"/>
              </w:rPr>
              <w:t>1.00</w:t>
            </w:r>
          </w:p>
        </w:tc>
        <w:tc>
          <w:tcPr>
            <w:tcW w:w="2540" w:type="dxa"/>
            <w:tcBorders>
              <w:top w:val="single" w:sz="4" w:space="0" w:color="000000"/>
              <w:left w:val="single" w:sz="4" w:space="0" w:color="000000"/>
              <w:right w:val="single" w:sz="4" w:space="0" w:color="000000"/>
            </w:tcBorders>
          </w:tcPr>
          <w:p>
            <w:pPr>
              <w:pStyle w:val="TableParagraph"/>
              <w:spacing w:line="247" w:lineRule="exact"/>
              <w:ind w:left="80" w:right="80"/>
              <w:jc w:val="center"/>
              <w:rPr>
                <w:sz w:val="22"/>
              </w:rPr>
            </w:pPr>
            <w:r>
              <w:rPr>
                <w:sz w:val="22"/>
              </w:rPr>
              <w:t>16.875</w:t>
            </w:r>
          </w:p>
        </w:tc>
      </w:tr>
      <w:tr>
        <w:trPr>
          <w:trHeight w:val="401" w:hRule="exact"/>
        </w:trPr>
        <w:tc>
          <w:tcPr>
            <w:tcW w:w="1001" w:type="dxa"/>
            <w:vMerge w:val="restart"/>
            <w:tcBorders>
              <w:left w:val="single" w:sz="4" w:space="0" w:color="000000"/>
              <w:right w:val="single" w:sz="4" w:space="0" w:color="000000"/>
            </w:tcBorders>
            <w:shd w:val="clear" w:color="auto" w:fill="F79546"/>
            <w:textDirection w:val="btLr"/>
          </w:tcPr>
          <w:p>
            <w:pPr>
              <w:pStyle w:val="TableParagraph"/>
              <w:spacing w:before="103"/>
              <w:ind w:left="848"/>
              <w:rPr>
                <w:b/>
                <w:sz w:val="22"/>
              </w:rPr>
            </w:pPr>
            <w:r>
              <w:rPr>
                <w:b/>
                <w:spacing w:val="-1"/>
                <w:w w:val="100"/>
                <w:sz w:val="22"/>
              </w:rPr>
              <w:t>E</w:t>
            </w:r>
            <w:r>
              <w:rPr>
                <w:b/>
                <w:spacing w:val="-2"/>
                <w:w w:val="100"/>
                <w:sz w:val="22"/>
              </w:rPr>
              <w:t>C</w:t>
            </w:r>
            <w:r>
              <w:rPr>
                <w:b/>
                <w:w w:val="100"/>
                <w:sz w:val="22"/>
              </w:rPr>
              <w:t>O</w:t>
            </w:r>
            <w:r>
              <w:rPr>
                <w:b/>
                <w:spacing w:val="-2"/>
                <w:w w:val="100"/>
                <w:sz w:val="22"/>
              </w:rPr>
              <w:t>N</w:t>
            </w:r>
            <w:r>
              <w:rPr>
                <w:b/>
                <w:w w:val="100"/>
                <w:sz w:val="22"/>
              </w:rPr>
              <w:t>Ó</w:t>
            </w:r>
            <w:r>
              <w:rPr>
                <w:b/>
                <w:spacing w:val="-2"/>
                <w:w w:val="100"/>
                <w:sz w:val="22"/>
              </w:rPr>
              <w:t>M</w:t>
            </w:r>
            <w:r>
              <w:rPr>
                <w:b/>
                <w:w w:val="100"/>
                <w:sz w:val="22"/>
              </w:rPr>
              <w:t>I</w:t>
            </w:r>
            <w:r>
              <w:rPr>
                <w:b/>
                <w:spacing w:val="-2"/>
                <w:w w:val="100"/>
                <w:sz w:val="22"/>
              </w:rPr>
              <w:t>C</w:t>
            </w:r>
            <w:r>
              <w:rPr>
                <w:b/>
                <w:w w:val="100"/>
                <w:sz w:val="22"/>
              </w:rPr>
              <w:t>A</w:t>
            </w:r>
          </w:p>
        </w:tc>
        <w:tc>
          <w:tcPr>
            <w:tcW w:w="684" w:type="dxa"/>
            <w:tcBorders>
              <w:left w:val="single" w:sz="4" w:space="0" w:color="000000"/>
              <w:bottom w:val="single" w:sz="4" w:space="0" w:color="000000"/>
              <w:right w:val="single" w:sz="4" w:space="0" w:color="000000"/>
            </w:tcBorders>
            <w:shd w:val="clear" w:color="auto" w:fill="F79546"/>
          </w:tcPr>
          <w:p>
            <w:pPr>
              <w:pStyle w:val="TableParagraph"/>
              <w:spacing w:line="247" w:lineRule="exact"/>
              <w:ind w:left="0"/>
              <w:jc w:val="center"/>
              <w:rPr>
                <w:sz w:val="22"/>
              </w:rPr>
            </w:pPr>
            <w:r>
              <w:rPr>
                <w:w w:val="100"/>
                <w:sz w:val="22"/>
              </w:rPr>
              <w:t>P</w:t>
            </w:r>
          </w:p>
        </w:tc>
        <w:tc>
          <w:tcPr>
            <w:tcW w:w="1049" w:type="dxa"/>
            <w:tcBorders>
              <w:left w:val="single" w:sz="4" w:space="0" w:color="000000"/>
              <w:bottom w:val="single" w:sz="4" w:space="0" w:color="000000"/>
              <w:right w:val="single" w:sz="4" w:space="0" w:color="000000"/>
            </w:tcBorders>
          </w:tcPr>
          <w:p>
            <w:pPr>
              <w:pStyle w:val="TableParagraph"/>
              <w:spacing w:line="247" w:lineRule="exact"/>
              <w:ind w:left="81" w:right="85"/>
              <w:jc w:val="center"/>
              <w:rPr>
                <w:sz w:val="22"/>
              </w:rPr>
            </w:pPr>
            <w:r>
              <w:rPr>
                <w:sz w:val="22"/>
              </w:rPr>
              <w:t>43</w:t>
            </w:r>
          </w:p>
        </w:tc>
        <w:tc>
          <w:tcPr>
            <w:tcW w:w="1118" w:type="dxa"/>
            <w:tcBorders>
              <w:left w:val="single" w:sz="4" w:space="0" w:color="000000"/>
              <w:bottom w:val="single" w:sz="4" w:space="0" w:color="000000"/>
              <w:right w:val="single" w:sz="4" w:space="0" w:color="000000"/>
            </w:tcBorders>
          </w:tcPr>
          <w:p>
            <w:pPr>
              <w:pStyle w:val="TableParagraph"/>
              <w:spacing w:line="247" w:lineRule="exact"/>
              <w:ind w:left="0" w:right="492"/>
              <w:jc w:val="right"/>
              <w:rPr>
                <w:sz w:val="22"/>
              </w:rPr>
            </w:pPr>
            <w:r>
              <w:rPr>
                <w:w w:val="100"/>
                <w:sz w:val="22"/>
              </w:rPr>
              <w:t>1</w:t>
            </w:r>
          </w:p>
        </w:tc>
        <w:tc>
          <w:tcPr>
            <w:tcW w:w="1728" w:type="dxa"/>
            <w:tcBorders>
              <w:left w:val="single" w:sz="4" w:space="0" w:color="000000"/>
              <w:bottom w:val="single" w:sz="4" w:space="0" w:color="000000"/>
              <w:right w:val="single" w:sz="4" w:space="0" w:color="000000"/>
            </w:tcBorders>
          </w:tcPr>
          <w:p>
            <w:pPr>
              <w:pStyle w:val="TableParagraph"/>
              <w:spacing w:line="247" w:lineRule="exact"/>
              <w:ind w:left="80" w:right="81"/>
              <w:jc w:val="center"/>
              <w:rPr>
                <w:sz w:val="22"/>
              </w:rPr>
            </w:pPr>
            <w:r>
              <w:rPr>
                <w:sz w:val="22"/>
              </w:rPr>
              <w:t>1.00</w:t>
            </w:r>
          </w:p>
        </w:tc>
        <w:tc>
          <w:tcPr>
            <w:tcW w:w="2540" w:type="dxa"/>
            <w:tcBorders>
              <w:left w:val="single" w:sz="4" w:space="0" w:color="000000"/>
              <w:bottom w:val="single" w:sz="4" w:space="0" w:color="000000"/>
              <w:right w:val="single" w:sz="4" w:space="0" w:color="000000"/>
            </w:tcBorders>
          </w:tcPr>
          <w:p>
            <w:pPr>
              <w:pStyle w:val="TableParagraph"/>
              <w:spacing w:line="247" w:lineRule="exact"/>
              <w:ind w:left="80" w:right="80"/>
              <w:jc w:val="center"/>
              <w:rPr>
                <w:sz w:val="22"/>
              </w:rPr>
            </w:pPr>
            <w:r>
              <w:rPr>
                <w:sz w:val="22"/>
              </w:rPr>
              <w:t>16.813</w:t>
            </w:r>
          </w:p>
        </w:tc>
      </w:tr>
      <w:tr>
        <w:trPr>
          <w:trHeight w:val="389" w:hRule="exact"/>
        </w:trPr>
        <w:tc>
          <w:tcPr>
            <w:tcW w:w="1001" w:type="dxa"/>
            <w:vMerge/>
            <w:tcBorders>
              <w:left w:val="single" w:sz="4" w:space="0" w:color="000000"/>
              <w:right w:val="single" w:sz="4" w:space="0" w:color="000000"/>
            </w:tcBorders>
            <w:shd w:val="clear" w:color="auto" w:fill="F79546"/>
            <w:textDirection w:val="btLr"/>
          </w:tcPr>
          <w:p>
            <w:pPr/>
          </w:p>
        </w:tc>
        <w:tc>
          <w:tcPr>
            <w:tcW w:w="684" w:type="dxa"/>
            <w:tcBorders>
              <w:top w:val="single" w:sz="4" w:space="0" w:color="000000"/>
              <w:left w:val="single" w:sz="4" w:space="0" w:color="000000"/>
              <w:bottom w:val="single" w:sz="4" w:space="0" w:color="000000"/>
              <w:right w:val="single" w:sz="4" w:space="0" w:color="000000"/>
            </w:tcBorders>
            <w:shd w:val="clear" w:color="auto" w:fill="F79546"/>
          </w:tcPr>
          <w:p>
            <w:pPr>
              <w:pStyle w:val="TableParagraph"/>
              <w:spacing w:line="247" w:lineRule="exact"/>
              <w:ind w:left="0"/>
              <w:jc w:val="center"/>
              <w:rPr>
                <w:sz w:val="22"/>
              </w:rPr>
            </w:pPr>
            <w:r>
              <w:rPr>
                <w:w w:val="100"/>
                <w:sz w:val="22"/>
              </w:rPr>
              <w:t>P</w:t>
            </w:r>
          </w:p>
        </w:tc>
        <w:tc>
          <w:tcPr>
            <w:tcW w:w="1049"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1" w:right="85"/>
              <w:jc w:val="center"/>
              <w:rPr>
                <w:sz w:val="22"/>
              </w:rPr>
            </w:pPr>
            <w:r>
              <w:rPr>
                <w:sz w:val="22"/>
              </w:rPr>
              <w:t>42</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0" w:right="492"/>
              <w:jc w:val="right"/>
              <w:rPr>
                <w:sz w:val="22"/>
              </w:rPr>
            </w:pPr>
            <w:r>
              <w:rPr>
                <w:w w:val="100"/>
                <w:sz w:val="22"/>
              </w:rPr>
              <w:t>2</w:t>
            </w:r>
          </w:p>
        </w:tc>
        <w:tc>
          <w:tcPr>
            <w:tcW w:w="172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1"/>
              <w:jc w:val="center"/>
              <w:rPr>
                <w:sz w:val="22"/>
              </w:rPr>
            </w:pPr>
            <w:r>
              <w:rPr>
                <w:sz w:val="22"/>
              </w:rPr>
              <w:t>1.00</w:t>
            </w:r>
          </w:p>
        </w:tc>
        <w:tc>
          <w:tcPr>
            <w:tcW w:w="2540"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0"/>
              <w:jc w:val="center"/>
              <w:rPr>
                <w:sz w:val="22"/>
              </w:rPr>
            </w:pPr>
            <w:r>
              <w:rPr>
                <w:sz w:val="22"/>
              </w:rPr>
              <w:t>16.813</w:t>
            </w:r>
          </w:p>
        </w:tc>
      </w:tr>
      <w:tr>
        <w:trPr>
          <w:trHeight w:val="389" w:hRule="exact"/>
        </w:trPr>
        <w:tc>
          <w:tcPr>
            <w:tcW w:w="1001" w:type="dxa"/>
            <w:vMerge/>
            <w:tcBorders>
              <w:left w:val="single" w:sz="4" w:space="0" w:color="000000"/>
              <w:right w:val="single" w:sz="4" w:space="0" w:color="000000"/>
            </w:tcBorders>
            <w:shd w:val="clear" w:color="auto" w:fill="F79546"/>
            <w:textDirection w:val="btLr"/>
          </w:tcPr>
          <w:p>
            <w:pPr/>
          </w:p>
        </w:tc>
        <w:tc>
          <w:tcPr>
            <w:tcW w:w="684" w:type="dxa"/>
            <w:tcBorders>
              <w:top w:val="single" w:sz="4" w:space="0" w:color="000000"/>
              <w:left w:val="single" w:sz="4" w:space="0" w:color="000000"/>
              <w:bottom w:val="single" w:sz="4" w:space="0" w:color="000000"/>
              <w:right w:val="single" w:sz="4" w:space="0" w:color="000000"/>
            </w:tcBorders>
            <w:shd w:val="clear" w:color="auto" w:fill="F79546"/>
          </w:tcPr>
          <w:p>
            <w:pPr>
              <w:pStyle w:val="TableParagraph"/>
              <w:spacing w:line="247" w:lineRule="exact"/>
              <w:ind w:left="0"/>
              <w:jc w:val="center"/>
              <w:rPr>
                <w:sz w:val="22"/>
              </w:rPr>
            </w:pPr>
            <w:r>
              <w:rPr>
                <w:w w:val="100"/>
                <w:sz w:val="22"/>
              </w:rPr>
              <w:t>P</w:t>
            </w:r>
          </w:p>
        </w:tc>
        <w:tc>
          <w:tcPr>
            <w:tcW w:w="1049"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1" w:right="85"/>
              <w:jc w:val="center"/>
              <w:rPr>
                <w:sz w:val="22"/>
              </w:rPr>
            </w:pPr>
            <w:r>
              <w:rPr>
                <w:sz w:val="22"/>
              </w:rPr>
              <w:t>41</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0" w:right="492"/>
              <w:jc w:val="right"/>
              <w:rPr>
                <w:sz w:val="22"/>
              </w:rPr>
            </w:pPr>
            <w:r>
              <w:rPr>
                <w:w w:val="100"/>
                <w:sz w:val="22"/>
              </w:rPr>
              <w:t>3</w:t>
            </w:r>
          </w:p>
        </w:tc>
        <w:tc>
          <w:tcPr>
            <w:tcW w:w="172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1"/>
              <w:jc w:val="center"/>
              <w:rPr>
                <w:sz w:val="22"/>
              </w:rPr>
            </w:pPr>
            <w:r>
              <w:rPr>
                <w:sz w:val="22"/>
              </w:rPr>
              <w:t>1.00</w:t>
            </w:r>
          </w:p>
        </w:tc>
        <w:tc>
          <w:tcPr>
            <w:tcW w:w="2540"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0"/>
              <w:jc w:val="center"/>
              <w:rPr>
                <w:sz w:val="22"/>
              </w:rPr>
            </w:pPr>
            <w:r>
              <w:rPr>
                <w:sz w:val="22"/>
              </w:rPr>
              <w:t>16.813</w:t>
            </w:r>
          </w:p>
        </w:tc>
      </w:tr>
      <w:tr>
        <w:trPr>
          <w:trHeight w:val="389" w:hRule="exact"/>
        </w:trPr>
        <w:tc>
          <w:tcPr>
            <w:tcW w:w="1001" w:type="dxa"/>
            <w:vMerge/>
            <w:tcBorders>
              <w:left w:val="single" w:sz="4" w:space="0" w:color="000000"/>
              <w:right w:val="single" w:sz="4" w:space="0" w:color="000000"/>
            </w:tcBorders>
            <w:shd w:val="clear" w:color="auto" w:fill="F79546"/>
            <w:textDirection w:val="btLr"/>
          </w:tcPr>
          <w:p>
            <w:pPr/>
          </w:p>
        </w:tc>
        <w:tc>
          <w:tcPr>
            <w:tcW w:w="684" w:type="dxa"/>
            <w:tcBorders>
              <w:top w:val="single" w:sz="4" w:space="0" w:color="000000"/>
              <w:left w:val="single" w:sz="4" w:space="0" w:color="000000"/>
              <w:bottom w:val="single" w:sz="4" w:space="0" w:color="000000"/>
              <w:right w:val="single" w:sz="4" w:space="0" w:color="000000"/>
            </w:tcBorders>
            <w:shd w:val="clear" w:color="auto" w:fill="F79546"/>
          </w:tcPr>
          <w:p>
            <w:pPr>
              <w:pStyle w:val="TableParagraph"/>
              <w:spacing w:line="247" w:lineRule="exact"/>
              <w:ind w:left="0"/>
              <w:jc w:val="center"/>
              <w:rPr>
                <w:sz w:val="22"/>
              </w:rPr>
            </w:pPr>
            <w:r>
              <w:rPr>
                <w:w w:val="100"/>
                <w:sz w:val="22"/>
              </w:rPr>
              <w:t>P</w:t>
            </w:r>
          </w:p>
        </w:tc>
        <w:tc>
          <w:tcPr>
            <w:tcW w:w="1049"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1" w:right="85"/>
              <w:jc w:val="center"/>
              <w:rPr>
                <w:sz w:val="22"/>
              </w:rPr>
            </w:pPr>
            <w:r>
              <w:rPr>
                <w:sz w:val="22"/>
              </w:rPr>
              <w:t>40</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0" w:right="492"/>
              <w:jc w:val="right"/>
              <w:rPr>
                <w:sz w:val="22"/>
              </w:rPr>
            </w:pPr>
            <w:r>
              <w:rPr>
                <w:w w:val="100"/>
                <w:sz w:val="22"/>
              </w:rPr>
              <w:t>4</w:t>
            </w:r>
          </w:p>
        </w:tc>
        <w:tc>
          <w:tcPr>
            <w:tcW w:w="172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1"/>
              <w:jc w:val="center"/>
              <w:rPr>
                <w:sz w:val="22"/>
              </w:rPr>
            </w:pPr>
            <w:r>
              <w:rPr>
                <w:sz w:val="22"/>
              </w:rPr>
              <w:t>1.00</w:t>
            </w:r>
          </w:p>
        </w:tc>
        <w:tc>
          <w:tcPr>
            <w:tcW w:w="2540"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80" w:right="80"/>
              <w:jc w:val="center"/>
              <w:rPr>
                <w:sz w:val="22"/>
              </w:rPr>
            </w:pPr>
            <w:r>
              <w:rPr>
                <w:sz w:val="22"/>
              </w:rPr>
              <w:t>16.813</w:t>
            </w:r>
          </w:p>
        </w:tc>
      </w:tr>
      <w:tr>
        <w:trPr>
          <w:trHeight w:val="391" w:hRule="exact"/>
        </w:trPr>
        <w:tc>
          <w:tcPr>
            <w:tcW w:w="1001" w:type="dxa"/>
            <w:vMerge/>
            <w:tcBorders>
              <w:left w:val="single" w:sz="4" w:space="0" w:color="000000"/>
              <w:right w:val="single" w:sz="4" w:space="0" w:color="000000"/>
            </w:tcBorders>
            <w:shd w:val="clear" w:color="auto" w:fill="F79546"/>
            <w:textDirection w:val="btLr"/>
          </w:tcPr>
          <w:p>
            <w:pPr/>
          </w:p>
        </w:tc>
        <w:tc>
          <w:tcPr>
            <w:tcW w:w="684" w:type="dxa"/>
            <w:tcBorders>
              <w:top w:val="single" w:sz="4" w:space="0" w:color="000000"/>
              <w:left w:val="single" w:sz="4" w:space="0" w:color="000000"/>
              <w:bottom w:val="single" w:sz="4" w:space="0" w:color="000000"/>
              <w:right w:val="single" w:sz="4" w:space="0" w:color="000000"/>
            </w:tcBorders>
            <w:shd w:val="clear" w:color="auto" w:fill="F79546"/>
          </w:tcPr>
          <w:p>
            <w:pPr>
              <w:pStyle w:val="TableParagraph"/>
              <w:spacing w:line="249" w:lineRule="exact"/>
              <w:ind w:left="0"/>
              <w:jc w:val="center"/>
              <w:rPr>
                <w:sz w:val="22"/>
              </w:rPr>
            </w:pPr>
            <w:r>
              <w:rPr>
                <w:w w:val="100"/>
                <w:sz w:val="22"/>
              </w:rPr>
              <w:t>P</w:t>
            </w:r>
          </w:p>
        </w:tc>
        <w:tc>
          <w:tcPr>
            <w:tcW w:w="1049"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81" w:right="85"/>
              <w:jc w:val="center"/>
              <w:rPr>
                <w:sz w:val="22"/>
              </w:rPr>
            </w:pPr>
            <w:r>
              <w:rPr>
                <w:sz w:val="22"/>
              </w:rPr>
              <w:t>39</w:t>
            </w:r>
          </w:p>
        </w:tc>
        <w:tc>
          <w:tcPr>
            <w:tcW w:w="1118"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0" w:right="492"/>
              <w:jc w:val="right"/>
              <w:rPr>
                <w:sz w:val="22"/>
              </w:rPr>
            </w:pPr>
            <w:r>
              <w:rPr>
                <w:w w:val="100"/>
                <w:sz w:val="22"/>
              </w:rPr>
              <w:t>5</w:t>
            </w:r>
          </w:p>
        </w:tc>
        <w:tc>
          <w:tcPr>
            <w:tcW w:w="1728"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80" w:right="81"/>
              <w:jc w:val="center"/>
              <w:rPr>
                <w:sz w:val="22"/>
              </w:rPr>
            </w:pPr>
            <w:r>
              <w:rPr>
                <w:sz w:val="22"/>
              </w:rPr>
              <w:t>1.00</w:t>
            </w:r>
          </w:p>
        </w:tc>
        <w:tc>
          <w:tcPr>
            <w:tcW w:w="2540"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80" w:right="80"/>
              <w:jc w:val="center"/>
              <w:rPr>
                <w:sz w:val="22"/>
              </w:rPr>
            </w:pPr>
            <w:r>
              <w:rPr>
                <w:sz w:val="22"/>
              </w:rPr>
              <w:t>16.813</w:t>
            </w:r>
          </w:p>
        </w:tc>
      </w:tr>
      <w:tr>
        <w:trPr>
          <w:trHeight w:val="396" w:hRule="exact"/>
        </w:trPr>
        <w:tc>
          <w:tcPr>
            <w:tcW w:w="1001" w:type="dxa"/>
            <w:vMerge/>
            <w:tcBorders>
              <w:left w:val="single" w:sz="4" w:space="0" w:color="000000"/>
              <w:right w:val="single" w:sz="4" w:space="0" w:color="000000"/>
            </w:tcBorders>
            <w:shd w:val="clear" w:color="auto" w:fill="F79546"/>
            <w:textDirection w:val="btLr"/>
          </w:tcPr>
          <w:p>
            <w:pPr/>
          </w:p>
        </w:tc>
        <w:tc>
          <w:tcPr>
            <w:tcW w:w="684" w:type="dxa"/>
            <w:tcBorders>
              <w:top w:val="single" w:sz="4" w:space="0" w:color="000000"/>
              <w:left w:val="single" w:sz="4" w:space="0" w:color="000000"/>
              <w:right w:val="single" w:sz="4" w:space="0" w:color="000000"/>
            </w:tcBorders>
            <w:shd w:val="clear" w:color="auto" w:fill="F79546"/>
          </w:tcPr>
          <w:p>
            <w:pPr>
              <w:pStyle w:val="TableParagraph"/>
              <w:spacing w:line="247" w:lineRule="exact"/>
              <w:ind w:left="0"/>
              <w:jc w:val="center"/>
              <w:rPr>
                <w:sz w:val="22"/>
              </w:rPr>
            </w:pPr>
            <w:r>
              <w:rPr>
                <w:w w:val="100"/>
                <w:sz w:val="22"/>
              </w:rPr>
              <w:t>E</w:t>
            </w:r>
          </w:p>
        </w:tc>
        <w:tc>
          <w:tcPr>
            <w:tcW w:w="1049" w:type="dxa"/>
            <w:tcBorders>
              <w:top w:val="single" w:sz="4" w:space="0" w:color="000000"/>
              <w:left w:val="single" w:sz="4" w:space="0" w:color="000000"/>
              <w:right w:val="single" w:sz="4" w:space="0" w:color="000000"/>
            </w:tcBorders>
          </w:tcPr>
          <w:p>
            <w:pPr>
              <w:pStyle w:val="TableParagraph"/>
              <w:spacing w:line="247" w:lineRule="exact"/>
              <w:ind w:left="81" w:right="85"/>
              <w:jc w:val="center"/>
              <w:rPr>
                <w:sz w:val="22"/>
              </w:rPr>
            </w:pPr>
            <w:r>
              <w:rPr>
                <w:sz w:val="22"/>
              </w:rPr>
              <w:t>29</w:t>
            </w:r>
          </w:p>
        </w:tc>
        <w:tc>
          <w:tcPr>
            <w:tcW w:w="1118" w:type="dxa"/>
            <w:tcBorders>
              <w:top w:val="single" w:sz="4" w:space="0" w:color="000000"/>
              <w:left w:val="single" w:sz="4" w:space="0" w:color="000000"/>
              <w:right w:val="single" w:sz="4" w:space="0" w:color="000000"/>
            </w:tcBorders>
          </w:tcPr>
          <w:p>
            <w:pPr>
              <w:pStyle w:val="TableParagraph"/>
              <w:spacing w:line="247" w:lineRule="exact"/>
              <w:ind w:left="0" w:right="432"/>
              <w:jc w:val="right"/>
              <w:rPr>
                <w:sz w:val="22"/>
              </w:rPr>
            </w:pPr>
            <w:r>
              <w:rPr>
                <w:sz w:val="22"/>
              </w:rPr>
              <w:t>13</w:t>
            </w:r>
          </w:p>
        </w:tc>
        <w:tc>
          <w:tcPr>
            <w:tcW w:w="1728" w:type="dxa"/>
            <w:tcBorders>
              <w:top w:val="single" w:sz="4" w:space="0" w:color="000000"/>
              <w:left w:val="single" w:sz="4" w:space="0" w:color="000000"/>
              <w:right w:val="single" w:sz="4" w:space="0" w:color="000000"/>
            </w:tcBorders>
          </w:tcPr>
          <w:p>
            <w:pPr>
              <w:pStyle w:val="TableParagraph"/>
              <w:spacing w:line="247" w:lineRule="exact"/>
              <w:ind w:left="80" w:right="81"/>
              <w:jc w:val="center"/>
              <w:rPr>
                <w:sz w:val="22"/>
              </w:rPr>
            </w:pPr>
            <w:r>
              <w:rPr>
                <w:sz w:val="22"/>
              </w:rPr>
              <w:t>0.500</w:t>
            </w:r>
          </w:p>
        </w:tc>
        <w:tc>
          <w:tcPr>
            <w:tcW w:w="2540" w:type="dxa"/>
            <w:tcBorders>
              <w:top w:val="single" w:sz="4" w:space="0" w:color="000000"/>
              <w:left w:val="single" w:sz="4" w:space="0" w:color="000000"/>
              <w:right w:val="single" w:sz="4" w:space="0" w:color="000000"/>
            </w:tcBorders>
          </w:tcPr>
          <w:p>
            <w:pPr>
              <w:pStyle w:val="TableParagraph"/>
              <w:spacing w:line="247" w:lineRule="exact"/>
              <w:ind w:left="80" w:right="80"/>
              <w:jc w:val="center"/>
              <w:rPr>
                <w:sz w:val="22"/>
              </w:rPr>
            </w:pPr>
            <w:r>
              <w:rPr>
                <w:sz w:val="22"/>
              </w:rPr>
              <w:t>16.813</w:t>
            </w:r>
          </w:p>
        </w:tc>
      </w:tr>
    </w:tbl>
    <w:p>
      <w:pPr>
        <w:pStyle w:val="BodyText"/>
        <w:rPr>
          <w:b/>
          <w:sz w:val="20"/>
        </w:rPr>
      </w:pPr>
    </w:p>
    <w:p>
      <w:pPr>
        <w:pStyle w:val="BodyText"/>
        <w:spacing w:before="9"/>
        <w:rPr>
          <w:b/>
          <w:sz w:val="23"/>
        </w:rPr>
      </w:pPr>
    </w:p>
    <w:p>
      <w:pPr>
        <w:pStyle w:val="BodyText"/>
        <w:spacing w:line="360" w:lineRule="auto" w:before="73"/>
        <w:ind w:left="102" w:right="114"/>
        <w:jc w:val="both"/>
      </w:pPr>
      <w:r>
        <w:rPr/>
        <w:t>Con la identificación de los 22 Factores Críticos de Éxito, se elaboraron las 22 tarjetas de valoración (Scorecards), donde se identificó la problemática de la CHPH por principio de gobernanza en los principales períodos históricos que caracterizan a la Cuenca. Dicho análisis, se hizo en función del otorgamiento de una calificación basada en cuatro categorías: Excelente, bueno, regular y deficiente que se ven reflejadas en la siguiente tabla del resumen de la evolución de indicadores de los FCE del sistema PEIR de la CHPH:</w:t>
      </w:r>
    </w:p>
    <w:p>
      <w:pPr>
        <w:pStyle w:val="BodyText"/>
      </w:pPr>
    </w:p>
    <w:p>
      <w:pPr>
        <w:pStyle w:val="BodyText"/>
      </w:pPr>
    </w:p>
    <w:p>
      <w:pPr>
        <w:pStyle w:val="BodyText"/>
        <w:spacing w:before="8"/>
        <w:rPr>
          <w:sz w:val="23"/>
        </w:rPr>
      </w:pPr>
    </w:p>
    <w:p>
      <w:pPr>
        <w:pStyle w:val="Heading6"/>
        <w:spacing w:line="278" w:lineRule="auto"/>
        <w:ind w:left="1690" w:right="640" w:hanging="1052"/>
      </w:pPr>
      <w:r>
        <w:rPr/>
        <w:t>TABLA RESUMEN DE EVOLUCIÓN DE INDICADORES DE LOS FACTORES CRÍTICOS DE ÉXITO DEL SISTEMA PEIR DE LA CHPH</w:t>
      </w:r>
    </w:p>
    <w:p>
      <w:pPr>
        <w:spacing w:after="0" w:line="278" w:lineRule="auto"/>
        <w:sectPr>
          <w:footerReference w:type="default" r:id="rId713"/>
          <w:pgSz w:w="12240" w:h="15840"/>
          <w:pgMar w:footer="1003" w:header="0" w:top="1420" w:bottom="1200" w:left="1600" w:right="1580"/>
          <w:pgNumType w:start="880"/>
        </w:sectPr>
      </w:pPr>
    </w:p>
    <w:p>
      <w:pPr>
        <w:pStyle w:val="BodyText"/>
        <w:rPr>
          <w:b/>
          <w:sz w:val="20"/>
        </w:rPr>
      </w:pPr>
      <w:r>
        <w:rPr/>
        <w:pict>
          <v:group style="position:absolute;margin-left:371.690002pt;margin-top:121.099998pt;width:117.75pt;height:92.2pt;mso-position-horizontal-relative:page;mso-position-vertical-relative:page;z-index:-3326800" coordorigin="7434,2422" coordsize="2355,1844">
            <v:shape style="position:absolute;left:7434;top:2422;width:778;height:343" type="#_x0000_t75" stroked="false">
              <v:imagedata r:id="rId715" o:title=""/>
            </v:shape>
            <v:shape style="position:absolute;left:7537;top:2422;width:571;height:343" type="#_x0000_t75" stroked="false">
              <v:imagedata r:id="rId716" o:title=""/>
            </v:shape>
            <v:shape style="position:absolute;left:8221;top:2422;width:780;height:343" type="#_x0000_t75" stroked="false">
              <v:imagedata r:id="rId717" o:title=""/>
            </v:shape>
            <v:shape style="position:absolute;left:8324;top:2422;width:574;height:230" type="#_x0000_t75" stroked="false">
              <v:imagedata r:id="rId718" o:title=""/>
            </v:shape>
            <v:shape style="position:absolute;left:7434;top:2796;width:778;height:346" type="#_x0000_t75" stroked="false">
              <v:imagedata r:id="rId719" o:title=""/>
            </v:shape>
            <v:shape style="position:absolute;left:7537;top:2796;width:571;height:346" type="#_x0000_t75" stroked="false">
              <v:imagedata r:id="rId567" o:title=""/>
            </v:shape>
            <v:shape style="position:absolute;left:7434;top:3171;width:778;height:346" type="#_x0000_t75" stroked="false">
              <v:imagedata r:id="rId720" o:title=""/>
            </v:shape>
            <v:shape style="position:absolute;left:7537;top:3171;width:571;height:346" type="#_x0000_t75" stroked="false">
              <v:imagedata r:id="rId721" o:title=""/>
            </v:shape>
            <v:shape style="position:absolute;left:8221;top:3171;width:780;height:346" type="#_x0000_t75" stroked="false">
              <v:imagedata r:id="rId570" o:title=""/>
            </v:shape>
            <v:shape style="position:absolute;left:8324;top:3171;width:574;height:346" type="#_x0000_t75" stroked="false">
              <v:imagedata r:id="rId722" o:title=""/>
            </v:shape>
            <v:shape style="position:absolute;left:9011;top:3171;width:778;height:346" type="#_x0000_t75" stroked="false">
              <v:imagedata r:id="rId572" o:title=""/>
            </v:shape>
            <v:shape style="position:absolute;left:9114;top:3171;width:571;height:346" type="#_x0000_t75" stroked="false">
              <v:imagedata r:id="rId573" o:title=""/>
            </v:shape>
            <v:shape style="position:absolute;left:7434;top:3545;width:778;height:346" type="#_x0000_t75" stroked="false">
              <v:imagedata r:id="rId723" o:title=""/>
            </v:shape>
            <v:shape style="position:absolute;left:7537;top:3545;width:571;height:346" type="#_x0000_t75" stroked="false">
              <v:imagedata r:id="rId575" o:title=""/>
            </v:shape>
            <v:shape style="position:absolute;left:7434;top:3923;width:778;height:343" type="#_x0000_t75" stroked="false">
              <v:imagedata r:id="rId724" o:title=""/>
            </v:shape>
            <v:shape style="position:absolute;left:7537;top:3923;width:571;height:343" type="#_x0000_t75" stroked="false">
              <v:imagedata r:id="rId725" o:title=""/>
            </v:shape>
            <w10:wrap type="none"/>
          </v:group>
        </w:pict>
      </w:r>
      <w:r>
        <w:rPr/>
        <w:pict>
          <v:group style="position:absolute;margin-left:371.690002pt;margin-top:233.570007pt;width:354.65pt;height:36pt;mso-position-horizontal-relative:page;mso-position-vertical-relative:page;z-index:-3326776" coordorigin="7434,4671" coordsize="7093,720">
            <v:shape style="position:absolute;left:7434;top:4671;width:778;height:346" type="#_x0000_t75" stroked="false">
              <v:imagedata r:id="rId726" o:title=""/>
            </v:shape>
            <v:shape style="position:absolute;left:7537;top:4671;width:571;height:346" type="#_x0000_t75" stroked="false">
              <v:imagedata r:id="rId727" o:title=""/>
            </v:shape>
            <v:shape style="position:absolute;left:7434;top:5046;width:778;height:346" type="#_x0000_t75" stroked="false">
              <v:imagedata r:id="rId728" o:title=""/>
            </v:shape>
            <v:shape style="position:absolute;left:7537;top:5046;width:571;height:346" type="#_x0000_t75" stroked="false">
              <v:imagedata r:id="rId729" o:title=""/>
            </v:shape>
            <v:shape style="position:absolute;left:8221;top:5046;width:780;height:346" type="#_x0000_t75" stroked="false">
              <v:imagedata r:id="rId730" o:title=""/>
            </v:shape>
            <v:shape style="position:absolute;left:8324;top:5046;width:574;height:346" type="#_x0000_t75" stroked="false">
              <v:imagedata r:id="rId583" o:title=""/>
            </v:shape>
            <v:shape style="position:absolute;left:9011;top:5046;width:778;height:346" type="#_x0000_t75" stroked="false">
              <v:imagedata r:id="rId731" o:title=""/>
            </v:shape>
            <v:shape style="position:absolute;left:9114;top:5046;width:571;height:346" type="#_x0000_t75" stroked="false">
              <v:imagedata r:id="rId585" o:title=""/>
            </v:shape>
            <v:shape style="position:absolute;left:9798;top:5046;width:778;height:346" type="#_x0000_t75" stroked="false">
              <v:imagedata r:id="rId732" o:title=""/>
            </v:shape>
            <v:shape style="position:absolute;left:9901;top:5046;width:571;height:346" type="#_x0000_t75" stroked="false">
              <v:imagedata r:id="rId733" o:title=""/>
            </v:shape>
            <v:shape style="position:absolute;left:10585;top:5046;width:780;height:346" type="#_x0000_t75" stroked="false">
              <v:imagedata r:id="rId734" o:title=""/>
            </v:shape>
            <v:shape style="position:absolute;left:10689;top:5046;width:574;height:346" type="#_x0000_t75" stroked="false">
              <v:imagedata r:id="rId735" o:title=""/>
            </v:shape>
            <v:shape style="position:absolute;left:11375;top:5046;width:778;height:346" type="#_x0000_t75" stroked="false">
              <v:imagedata r:id="rId736" o:title=""/>
            </v:shape>
            <v:shape style="position:absolute;left:11478;top:5046;width:571;height:346" type="#_x0000_t75" stroked="false">
              <v:imagedata r:id="rId737" o:title=""/>
            </v:shape>
            <v:shape style="position:absolute;left:12162;top:5046;width:778;height:346" type="#_x0000_t75" stroked="false">
              <v:imagedata r:id="rId738" o:title=""/>
            </v:shape>
            <v:shape style="position:absolute;left:12265;top:5046;width:572;height:346" type="#_x0000_t75" stroked="false">
              <v:imagedata r:id="rId739" o:title=""/>
            </v:shape>
            <v:shape style="position:absolute;left:12950;top:5046;width:780;height:346" type="#_x0000_t75" stroked="false">
              <v:imagedata r:id="rId740" o:title=""/>
            </v:shape>
            <v:shape style="position:absolute;left:13053;top:5046;width:574;height:346" type="#_x0000_t75" stroked="false">
              <v:imagedata r:id="rId741" o:title=""/>
            </v:shape>
            <v:shape style="position:absolute;left:13740;top:5046;width:787;height:346" type="#_x0000_t75" stroked="false">
              <v:imagedata r:id="rId742" o:title=""/>
            </v:shape>
            <v:shape style="position:absolute;left:13843;top:5046;width:581;height:346" type="#_x0000_t75" stroked="false">
              <v:imagedata r:id="rId743" o:title=""/>
            </v:shape>
            <w10:wrap type="none"/>
          </v:group>
        </w:pict>
      </w:r>
      <w:r>
        <w:rPr/>
        <w:pict>
          <v:group style="position:absolute;margin-left:371.690002pt;margin-top:288.890015pt;width:354.65pt;height:70.5pt;mso-position-horizontal-relative:page;mso-position-vertical-relative:page;z-index:-3326752" coordorigin="7434,5778" coordsize="7093,1410">
            <v:shape style="position:absolute;left:7434;top:5778;width:778;height:343" type="#_x0000_t75" stroked="false">
              <v:imagedata r:id="rId598" o:title=""/>
            </v:shape>
            <v:shape style="position:absolute;left:7537;top:5778;width:571;height:343" type="#_x0000_t75" stroked="false">
              <v:imagedata r:id="rId744" o:title=""/>
            </v:shape>
            <v:shape style="position:absolute;left:7434;top:6131;width:778;height:346" type="#_x0000_t75" stroked="false">
              <v:imagedata r:id="rId600" o:title=""/>
            </v:shape>
            <v:shape style="position:absolute;left:7537;top:6131;width:571;height:346" type="#_x0000_t75" stroked="false">
              <v:imagedata r:id="rId601" o:title=""/>
            </v:shape>
            <v:shape style="position:absolute;left:8221;top:6131;width:780;height:346" type="#_x0000_t75" stroked="false">
              <v:imagedata r:id="rId602" o:title=""/>
            </v:shape>
            <v:shape style="position:absolute;left:8324;top:6131;width:574;height:346" type="#_x0000_t75" stroked="false">
              <v:imagedata r:id="rId603" o:title=""/>
            </v:shape>
            <v:shape style="position:absolute;left:9011;top:6131;width:778;height:346" type="#_x0000_t75" stroked="false">
              <v:imagedata r:id="rId604" o:title=""/>
            </v:shape>
            <v:shape style="position:absolute;left:9114;top:6131;width:571;height:346" type="#_x0000_t75" stroked="false">
              <v:imagedata r:id="rId605" o:title=""/>
            </v:shape>
            <v:shape style="position:absolute;left:9798;top:6131;width:778;height:346" type="#_x0000_t75" stroked="false">
              <v:imagedata r:id="rId606" o:title=""/>
            </v:shape>
            <v:shape style="position:absolute;left:9901;top:6131;width:571;height:346" type="#_x0000_t75" stroked="false">
              <v:imagedata r:id="rId607" o:title=""/>
            </v:shape>
            <v:shape style="position:absolute;left:10585;top:6131;width:780;height:346" type="#_x0000_t75" stroked="false">
              <v:imagedata r:id="rId608" o:title=""/>
            </v:shape>
            <v:shape style="position:absolute;left:10689;top:6131;width:574;height:346" type="#_x0000_t75" stroked="false">
              <v:imagedata r:id="rId609" o:title=""/>
            </v:shape>
            <v:shape style="position:absolute;left:11375;top:6131;width:778;height:346" type="#_x0000_t75" stroked="false">
              <v:imagedata r:id="rId610" o:title=""/>
            </v:shape>
            <v:shape style="position:absolute;left:11478;top:6131;width:571;height:346" type="#_x0000_t75" stroked="false">
              <v:imagedata r:id="rId611" o:title=""/>
            </v:shape>
            <v:shape style="position:absolute;left:12162;top:6131;width:778;height:346" type="#_x0000_t75" stroked="false">
              <v:imagedata r:id="rId612" o:title=""/>
            </v:shape>
            <v:shape style="position:absolute;left:12265;top:6131;width:572;height:346" type="#_x0000_t75" stroked="false">
              <v:imagedata r:id="rId613" o:title=""/>
            </v:shape>
            <v:shape style="position:absolute;left:12950;top:6131;width:780;height:346" type="#_x0000_t75" stroked="false">
              <v:imagedata r:id="rId614" o:title=""/>
            </v:shape>
            <v:shape style="position:absolute;left:13053;top:6131;width:574;height:346" type="#_x0000_t75" stroked="false">
              <v:imagedata r:id="rId615" o:title=""/>
            </v:shape>
            <v:shape style="position:absolute;left:13740;top:6131;width:787;height:346" type="#_x0000_t75" stroked="false">
              <v:imagedata r:id="rId616" o:title=""/>
            </v:shape>
            <v:shape style="position:absolute;left:13843;top:6131;width:581;height:346" type="#_x0000_t75" stroked="false">
              <v:imagedata r:id="rId617" o:title=""/>
            </v:shape>
            <v:shape style="position:absolute;left:7434;top:6486;width:778;height:346" type="#_x0000_t75" stroked="false">
              <v:imagedata r:id="rId618" o:title=""/>
            </v:shape>
            <v:shape style="position:absolute;left:7537;top:6486;width:571;height:346" type="#_x0000_t75" stroked="false">
              <v:imagedata r:id="rId745" o:title=""/>
            </v:shape>
            <v:shape style="position:absolute;left:9798;top:6486;width:778;height:346" type="#_x0000_t75" stroked="false">
              <v:imagedata r:id="rId746" o:title=""/>
            </v:shape>
            <v:shape style="position:absolute;left:9901;top:6486;width:571;height:346" type="#_x0000_t75" stroked="false">
              <v:imagedata r:id="rId747" o:title=""/>
            </v:shape>
            <v:shape style="position:absolute;left:10585;top:6486;width:780;height:346" type="#_x0000_t75" stroked="false">
              <v:imagedata r:id="rId622" o:title=""/>
            </v:shape>
            <v:shape style="position:absolute;left:10689;top:6486;width:574;height:346" type="#_x0000_t75" stroked="false">
              <v:imagedata r:id="rId748" o:title=""/>
            </v:shape>
            <v:shape style="position:absolute;left:11375;top:6486;width:778;height:346" type="#_x0000_t75" stroked="false">
              <v:imagedata r:id="rId749" o:title=""/>
            </v:shape>
            <v:shape style="position:absolute;left:11478;top:6486;width:571;height:346" type="#_x0000_t75" stroked="false">
              <v:imagedata r:id="rId750" o:title=""/>
            </v:shape>
            <v:shape style="position:absolute;left:12162;top:6486;width:778;height:346" type="#_x0000_t75" stroked="false">
              <v:imagedata r:id="rId751" o:title=""/>
            </v:shape>
            <v:shape style="position:absolute;left:12265;top:6486;width:572;height:346" type="#_x0000_t75" stroked="false">
              <v:imagedata r:id="rId627" o:title=""/>
            </v:shape>
            <v:shape style="position:absolute;left:12950;top:6486;width:780;height:346" type="#_x0000_t75" stroked="false">
              <v:imagedata r:id="rId752" o:title=""/>
            </v:shape>
            <v:shape style="position:absolute;left:13053;top:6486;width:574;height:346" type="#_x0000_t75" stroked="false">
              <v:imagedata r:id="rId753" o:title=""/>
            </v:shape>
            <v:shape style="position:absolute;left:13740;top:6486;width:787;height:346" type="#_x0000_t75" stroked="false">
              <v:imagedata r:id="rId754" o:title=""/>
            </v:shape>
            <v:shape style="position:absolute;left:13843;top:6486;width:581;height:346" type="#_x0000_t75" stroked="false">
              <v:imagedata r:id="rId755" o:title=""/>
            </v:shape>
            <v:shape style="position:absolute;left:7434;top:6841;width:778;height:346" type="#_x0000_t75" stroked="false">
              <v:imagedata r:id="rId756" o:title=""/>
            </v:shape>
            <v:shape style="position:absolute;left:7537;top:6841;width:571;height:346" type="#_x0000_t75" stroked="false">
              <v:imagedata r:id="rId757" o:title=""/>
            </v:shape>
            <v:shape style="position:absolute;left:9798;top:6841;width:778;height:346" type="#_x0000_t75" stroked="false">
              <v:imagedata r:id="rId758" o:title=""/>
            </v:shape>
            <v:shape style="position:absolute;left:9901;top:6841;width:571;height:346" type="#_x0000_t75" stroked="false">
              <v:imagedata r:id="rId759" o:title=""/>
            </v:shape>
            <v:shape style="position:absolute;left:10585;top:6841;width:780;height:346" type="#_x0000_t75" stroked="false">
              <v:imagedata r:id="rId760" o:title=""/>
            </v:shape>
            <v:shape style="position:absolute;left:10689;top:6841;width:574;height:346" type="#_x0000_t75" stroked="false">
              <v:imagedata r:id="rId637" o:title=""/>
            </v:shape>
            <v:shape style="position:absolute;left:11375;top:6841;width:778;height:346" type="#_x0000_t75" stroked="false">
              <v:imagedata r:id="rId761" o:title=""/>
            </v:shape>
            <v:shape style="position:absolute;left:11478;top:6841;width:571;height:346" type="#_x0000_t75" stroked="false">
              <v:imagedata r:id="rId762" o:title=""/>
            </v:shape>
            <v:shape style="position:absolute;left:12162;top:6841;width:778;height:346" type="#_x0000_t75" stroked="false">
              <v:imagedata r:id="rId763" o:title=""/>
            </v:shape>
            <v:shape style="position:absolute;left:12265;top:6841;width:572;height:346" type="#_x0000_t75" stroked="false">
              <v:imagedata r:id="rId764" o:title=""/>
            </v:shape>
            <v:shape style="position:absolute;left:12950;top:6841;width:780;height:346" type="#_x0000_t75" stroked="false">
              <v:imagedata r:id="rId765" o:title=""/>
            </v:shape>
            <v:shape style="position:absolute;left:13053;top:6841;width:574;height:346" type="#_x0000_t75" stroked="false">
              <v:imagedata r:id="rId643" o:title=""/>
            </v:shape>
            <v:shape style="position:absolute;left:13740;top:6841;width:787;height:346" type="#_x0000_t75" stroked="false">
              <v:imagedata r:id="rId766" o:title=""/>
            </v:shape>
            <v:shape style="position:absolute;left:13843;top:6841;width:581;height:346" type="#_x0000_t75" stroked="false">
              <v:imagedata r:id="rId767" o:title=""/>
            </v:shape>
            <w10:wrap type="none"/>
          </v:group>
        </w:pict>
      </w:r>
      <w:r>
        <w:rPr/>
        <w:pict>
          <v:group style="position:absolute;margin-left:411.049988pt;margin-top:377.589996pt;width:315.3pt;height:17.3pt;mso-position-horizontal-relative:page;mso-position-vertical-relative:page;z-index:-3326728" coordorigin="8221,7552" coordsize="6306,346">
            <v:shape style="position:absolute;left:8221;top:7552;width:780;height:346" type="#_x0000_t75" stroked="false">
              <v:imagedata r:id="rId646" o:title=""/>
            </v:shape>
            <v:shape style="position:absolute;left:8324;top:7552;width:574;height:346" type="#_x0000_t75" stroked="false">
              <v:imagedata r:id="rId647" o:title=""/>
            </v:shape>
            <v:shape style="position:absolute;left:9011;top:7552;width:778;height:346" type="#_x0000_t75" stroked="false">
              <v:imagedata r:id="rId768" o:title=""/>
            </v:shape>
            <v:shape style="position:absolute;left:9114;top:7552;width:571;height:346" type="#_x0000_t75" stroked="false">
              <v:imagedata r:id="rId769" o:title=""/>
            </v:shape>
            <v:shape style="position:absolute;left:9798;top:7552;width:778;height:346" type="#_x0000_t75" stroked="false">
              <v:imagedata r:id="rId770" o:title=""/>
            </v:shape>
            <v:shape style="position:absolute;left:9901;top:7552;width:571;height:346" type="#_x0000_t75" stroked="false">
              <v:imagedata r:id="rId651" o:title=""/>
            </v:shape>
            <v:shape style="position:absolute;left:10585;top:7552;width:780;height:346" type="#_x0000_t75" stroked="false">
              <v:imagedata r:id="rId771" o:title=""/>
            </v:shape>
            <v:shape style="position:absolute;left:10689;top:7552;width:574;height:346" type="#_x0000_t75" stroked="false">
              <v:imagedata r:id="rId653" o:title=""/>
            </v:shape>
            <v:shape style="position:absolute;left:11375;top:7552;width:778;height:346" type="#_x0000_t75" stroked="false">
              <v:imagedata r:id="rId654" o:title=""/>
            </v:shape>
            <v:shape style="position:absolute;left:11478;top:7552;width:571;height:346" type="#_x0000_t75" stroked="false">
              <v:imagedata r:id="rId655" o:title=""/>
            </v:shape>
            <v:shape style="position:absolute;left:12162;top:7552;width:778;height:346" type="#_x0000_t75" stroked="false">
              <v:imagedata r:id="rId656" o:title=""/>
            </v:shape>
            <v:shape style="position:absolute;left:12265;top:7552;width:572;height:346" type="#_x0000_t75" stroked="false">
              <v:imagedata r:id="rId657" o:title=""/>
            </v:shape>
            <v:shape style="position:absolute;left:12950;top:7552;width:780;height:346" type="#_x0000_t75" stroked="false">
              <v:imagedata r:id="rId658" o:title=""/>
            </v:shape>
            <v:shape style="position:absolute;left:13053;top:7552;width:574;height:346" type="#_x0000_t75" stroked="false">
              <v:imagedata r:id="rId659" o:title=""/>
            </v:shape>
            <v:shape style="position:absolute;left:13740;top:7552;width:787;height:346" type="#_x0000_t75" stroked="false">
              <v:imagedata r:id="rId660" o:title=""/>
            </v:shape>
            <v:shape style="position:absolute;left:13843;top:7552;width:581;height:346" type="#_x0000_t75" stroked="false">
              <v:imagedata r:id="rId772" o:title=""/>
            </v:shape>
            <w10:wrap type="none"/>
          </v:group>
        </w:pict>
      </w:r>
    </w:p>
    <w:p>
      <w:pPr>
        <w:pStyle w:val="BodyText"/>
        <w:spacing w:before="10"/>
        <w:rPr>
          <w:b/>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14"/>
        <w:gridCol w:w="814"/>
        <w:gridCol w:w="3404"/>
        <w:gridCol w:w="787"/>
        <w:gridCol w:w="790"/>
        <w:gridCol w:w="788"/>
        <w:gridCol w:w="787"/>
        <w:gridCol w:w="790"/>
        <w:gridCol w:w="787"/>
        <w:gridCol w:w="787"/>
        <w:gridCol w:w="790"/>
        <w:gridCol w:w="787"/>
        <w:gridCol w:w="797"/>
      </w:tblGrid>
      <w:tr>
        <w:trPr>
          <w:trHeight w:val="355" w:hRule="exact"/>
        </w:trPr>
        <w:tc>
          <w:tcPr>
            <w:tcW w:w="5331" w:type="dxa"/>
            <w:gridSpan w:val="3"/>
            <w:shd w:val="clear" w:color="auto" w:fill="938953"/>
          </w:tcPr>
          <w:p>
            <w:pPr>
              <w:pStyle w:val="TableParagraph"/>
              <w:spacing w:line="225" w:lineRule="exact"/>
              <w:ind w:left="1293"/>
              <w:rPr>
                <w:b/>
                <w:sz w:val="20"/>
              </w:rPr>
            </w:pPr>
            <w:r>
              <w:rPr>
                <w:b/>
                <w:sz w:val="20"/>
              </w:rPr>
              <w:t>Características del indicador</w:t>
            </w:r>
          </w:p>
        </w:tc>
        <w:tc>
          <w:tcPr>
            <w:tcW w:w="7890" w:type="dxa"/>
            <w:gridSpan w:val="10"/>
            <w:shd w:val="clear" w:color="auto" w:fill="938953"/>
          </w:tcPr>
          <w:p>
            <w:pPr>
              <w:pStyle w:val="TableParagraph"/>
              <w:spacing w:line="225" w:lineRule="exact"/>
              <w:ind w:left="1804"/>
              <w:rPr>
                <w:b/>
                <w:sz w:val="20"/>
              </w:rPr>
            </w:pPr>
            <w:r>
              <w:rPr>
                <w:b/>
                <w:sz w:val="20"/>
              </w:rPr>
              <w:t>Período histórico y evolución de indicadores</w:t>
            </w:r>
          </w:p>
        </w:tc>
      </w:tr>
      <w:tr>
        <w:trPr>
          <w:trHeight w:val="350" w:hRule="exact"/>
        </w:trPr>
        <w:tc>
          <w:tcPr>
            <w:tcW w:w="1114" w:type="dxa"/>
            <w:shd w:val="clear" w:color="auto" w:fill="938953"/>
          </w:tcPr>
          <w:p>
            <w:pPr>
              <w:pStyle w:val="TableParagraph"/>
              <w:spacing w:line="225" w:lineRule="exact"/>
              <w:ind w:left="273"/>
              <w:rPr>
                <w:b/>
                <w:sz w:val="20"/>
              </w:rPr>
            </w:pPr>
            <w:r>
              <w:rPr>
                <w:b/>
                <w:sz w:val="20"/>
              </w:rPr>
              <w:t>AEPA</w:t>
            </w:r>
          </w:p>
        </w:tc>
        <w:tc>
          <w:tcPr>
            <w:tcW w:w="814" w:type="dxa"/>
            <w:shd w:val="clear" w:color="auto" w:fill="938953"/>
          </w:tcPr>
          <w:p>
            <w:pPr>
              <w:pStyle w:val="TableParagraph"/>
              <w:spacing w:line="225" w:lineRule="exact"/>
              <w:ind w:left="148" w:right="148"/>
              <w:jc w:val="center"/>
              <w:rPr>
                <w:b/>
                <w:sz w:val="20"/>
              </w:rPr>
            </w:pPr>
            <w:r>
              <w:rPr>
                <w:b/>
                <w:sz w:val="20"/>
              </w:rPr>
              <w:t>PEIR</w:t>
            </w:r>
          </w:p>
        </w:tc>
        <w:tc>
          <w:tcPr>
            <w:tcW w:w="3404" w:type="dxa"/>
            <w:shd w:val="clear" w:color="auto" w:fill="938953"/>
          </w:tcPr>
          <w:p>
            <w:pPr>
              <w:pStyle w:val="TableParagraph"/>
              <w:spacing w:line="225" w:lineRule="exact"/>
              <w:ind w:left="435" w:right="438"/>
              <w:jc w:val="center"/>
              <w:rPr>
                <w:b/>
                <w:sz w:val="20"/>
              </w:rPr>
            </w:pPr>
            <w:r>
              <w:rPr>
                <w:b/>
                <w:sz w:val="20"/>
              </w:rPr>
              <w:t>Indicador</w:t>
            </w:r>
          </w:p>
        </w:tc>
        <w:tc>
          <w:tcPr>
            <w:tcW w:w="787" w:type="dxa"/>
            <w:shd w:val="clear" w:color="auto" w:fill="938953"/>
          </w:tcPr>
          <w:p>
            <w:pPr>
              <w:pStyle w:val="TableParagraph"/>
              <w:spacing w:line="225" w:lineRule="exact"/>
              <w:ind w:left="142" w:right="144"/>
              <w:jc w:val="center"/>
              <w:rPr>
                <w:b/>
                <w:sz w:val="20"/>
              </w:rPr>
            </w:pPr>
            <w:r>
              <w:rPr>
                <w:b/>
                <w:sz w:val="20"/>
              </w:rPr>
              <w:t>1400</w:t>
            </w:r>
          </w:p>
        </w:tc>
        <w:tc>
          <w:tcPr>
            <w:tcW w:w="790" w:type="dxa"/>
            <w:shd w:val="clear" w:color="auto" w:fill="938953"/>
          </w:tcPr>
          <w:p>
            <w:pPr>
              <w:pStyle w:val="TableParagraph"/>
              <w:spacing w:line="225" w:lineRule="exact"/>
              <w:ind w:left="145" w:right="150"/>
              <w:jc w:val="center"/>
              <w:rPr>
                <w:b/>
                <w:sz w:val="20"/>
              </w:rPr>
            </w:pPr>
            <w:r>
              <w:rPr>
                <w:b/>
                <w:sz w:val="20"/>
              </w:rPr>
              <w:t>1519</w:t>
            </w:r>
          </w:p>
        </w:tc>
        <w:tc>
          <w:tcPr>
            <w:tcW w:w="788" w:type="dxa"/>
            <w:shd w:val="clear" w:color="auto" w:fill="938953"/>
          </w:tcPr>
          <w:p>
            <w:pPr>
              <w:pStyle w:val="TableParagraph"/>
              <w:spacing w:line="225" w:lineRule="exact"/>
              <w:ind w:left="142" w:right="150"/>
              <w:jc w:val="center"/>
              <w:rPr>
                <w:b/>
                <w:sz w:val="20"/>
              </w:rPr>
            </w:pPr>
            <w:r>
              <w:rPr>
                <w:b/>
                <w:sz w:val="20"/>
              </w:rPr>
              <w:t>1580</w:t>
            </w:r>
          </w:p>
        </w:tc>
        <w:tc>
          <w:tcPr>
            <w:tcW w:w="787" w:type="dxa"/>
            <w:shd w:val="clear" w:color="auto" w:fill="938953"/>
          </w:tcPr>
          <w:p>
            <w:pPr>
              <w:pStyle w:val="TableParagraph"/>
              <w:spacing w:line="225" w:lineRule="exact"/>
              <w:ind w:left="142" w:right="144"/>
              <w:jc w:val="center"/>
              <w:rPr>
                <w:b/>
                <w:sz w:val="20"/>
              </w:rPr>
            </w:pPr>
            <w:r>
              <w:rPr>
                <w:b/>
                <w:sz w:val="20"/>
              </w:rPr>
              <w:t>1785</w:t>
            </w:r>
          </w:p>
        </w:tc>
        <w:tc>
          <w:tcPr>
            <w:tcW w:w="790" w:type="dxa"/>
            <w:shd w:val="clear" w:color="auto" w:fill="938953"/>
          </w:tcPr>
          <w:p>
            <w:pPr>
              <w:pStyle w:val="TableParagraph"/>
              <w:spacing w:line="225" w:lineRule="exact"/>
              <w:ind w:left="145" w:right="150"/>
              <w:jc w:val="center"/>
              <w:rPr>
                <w:b/>
                <w:sz w:val="20"/>
              </w:rPr>
            </w:pPr>
            <w:r>
              <w:rPr>
                <w:b/>
                <w:sz w:val="20"/>
              </w:rPr>
              <w:t>1810</w:t>
            </w:r>
          </w:p>
        </w:tc>
        <w:tc>
          <w:tcPr>
            <w:tcW w:w="787" w:type="dxa"/>
            <w:shd w:val="clear" w:color="auto" w:fill="938953"/>
          </w:tcPr>
          <w:p>
            <w:pPr>
              <w:pStyle w:val="TableParagraph"/>
              <w:spacing w:line="225" w:lineRule="exact"/>
              <w:ind w:left="140" w:right="147"/>
              <w:jc w:val="center"/>
              <w:rPr>
                <w:b/>
                <w:sz w:val="20"/>
              </w:rPr>
            </w:pPr>
            <w:r>
              <w:rPr>
                <w:b/>
                <w:sz w:val="20"/>
              </w:rPr>
              <w:t>1861</w:t>
            </w:r>
          </w:p>
        </w:tc>
        <w:tc>
          <w:tcPr>
            <w:tcW w:w="787" w:type="dxa"/>
            <w:shd w:val="clear" w:color="auto" w:fill="938953"/>
          </w:tcPr>
          <w:p>
            <w:pPr>
              <w:pStyle w:val="TableParagraph"/>
              <w:spacing w:line="225" w:lineRule="exact"/>
              <w:ind w:left="142" w:right="144"/>
              <w:jc w:val="center"/>
              <w:rPr>
                <w:b/>
                <w:sz w:val="20"/>
              </w:rPr>
            </w:pPr>
            <w:r>
              <w:rPr>
                <w:b/>
                <w:sz w:val="20"/>
              </w:rPr>
              <w:t>1910</w:t>
            </w:r>
          </w:p>
        </w:tc>
        <w:tc>
          <w:tcPr>
            <w:tcW w:w="790" w:type="dxa"/>
            <w:shd w:val="clear" w:color="auto" w:fill="938953"/>
          </w:tcPr>
          <w:p>
            <w:pPr>
              <w:pStyle w:val="TableParagraph"/>
              <w:spacing w:line="225" w:lineRule="exact"/>
              <w:ind w:left="145" w:right="150"/>
              <w:jc w:val="center"/>
              <w:rPr>
                <w:b/>
                <w:sz w:val="20"/>
              </w:rPr>
            </w:pPr>
            <w:r>
              <w:rPr>
                <w:b/>
                <w:sz w:val="20"/>
              </w:rPr>
              <w:t>1940</w:t>
            </w:r>
          </w:p>
        </w:tc>
        <w:tc>
          <w:tcPr>
            <w:tcW w:w="787" w:type="dxa"/>
            <w:shd w:val="clear" w:color="auto" w:fill="938953"/>
          </w:tcPr>
          <w:p>
            <w:pPr>
              <w:pStyle w:val="TableParagraph"/>
              <w:spacing w:line="225" w:lineRule="exact"/>
              <w:ind w:left="140" w:right="147"/>
              <w:jc w:val="center"/>
              <w:rPr>
                <w:b/>
                <w:sz w:val="20"/>
              </w:rPr>
            </w:pPr>
            <w:r>
              <w:rPr>
                <w:b/>
                <w:sz w:val="20"/>
              </w:rPr>
              <w:t>1982</w:t>
            </w:r>
          </w:p>
        </w:tc>
        <w:tc>
          <w:tcPr>
            <w:tcW w:w="797" w:type="dxa"/>
            <w:shd w:val="clear" w:color="auto" w:fill="938953"/>
          </w:tcPr>
          <w:p>
            <w:pPr>
              <w:pStyle w:val="TableParagraph"/>
              <w:spacing w:line="225" w:lineRule="exact"/>
              <w:ind w:left="151" w:right="151"/>
              <w:jc w:val="center"/>
              <w:rPr>
                <w:b/>
                <w:sz w:val="20"/>
              </w:rPr>
            </w:pPr>
            <w:r>
              <w:rPr>
                <w:b/>
                <w:sz w:val="20"/>
              </w:rPr>
              <w:t>2016</w:t>
            </w:r>
          </w:p>
        </w:tc>
      </w:tr>
      <w:tr>
        <w:trPr>
          <w:trHeight w:val="358" w:hRule="exact"/>
        </w:trPr>
        <w:tc>
          <w:tcPr>
            <w:tcW w:w="1114" w:type="dxa"/>
            <w:vMerge w:val="restart"/>
            <w:shd w:val="clear" w:color="auto" w:fill="76923B"/>
            <w:textDirection w:val="btLr"/>
          </w:tcPr>
          <w:p>
            <w:pPr>
              <w:pStyle w:val="TableParagraph"/>
              <w:ind w:left="0"/>
              <w:rPr>
                <w:b/>
                <w:sz w:val="20"/>
              </w:rPr>
            </w:pPr>
          </w:p>
          <w:p>
            <w:pPr>
              <w:pStyle w:val="TableParagraph"/>
              <w:spacing w:before="1"/>
              <w:ind w:left="0"/>
              <w:rPr>
                <w:b/>
                <w:sz w:val="17"/>
              </w:rPr>
            </w:pPr>
          </w:p>
          <w:p>
            <w:pPr>
              <w:pStyle w:val="TableParagraph"/>
              <w:spacing w:before="1"/>
              <w:ind w:left="896"/>
              <w:rPr>
                <w:b/>
                <w:sz w:val="20"/>
              </w:rPr>
            </w:pPr>
            <w:r>
              <w:rPr>
                <w:b/>
                <w:w w:val="99"/>
                <w:sz w:val="20"/>
              </w:rPr>
              <w:t>AMB</w:t>
            </w:r>
            <w:r>
              <w:rPr>
                <w:b/>
                <w:spacing w:val="2"/>
                <w:w w:val="99"/>
                <w:sz w:val="20"/>
              </w:rPr>
              <w:t>I</w:t>
            </w:r>
            <w:r>
              <w:rPr>
                <w:b/>
                <w:spacing w:val="-1"/>
                <w:w w:val="99"/>
                <w:sz w:val="20"/>
              </w:rPr>
              <w:t>E</w:t>
            </w:r>
            <w:r>
              <w:rPr>
                <w:b/>
                <w:w w:val="99"/>
                <w:sz w:val="20"/>
              </w:rPr>
              <w:t>NTAL</w:t>
            </w:r>
          </w:p>
        </w:tc>
        <w:tc>
          <w:tcPr>
            <w:tcW w:w="814" w:type="dxa"/>
            <w:shd w:val="clear" w:color="auto" w:fill="76923B"/>
          </w:tcPr>
          <w:p>
            <w:pPr>
              <w:pStyle w:val="TableParagraph"/>
              <w:spacing w:before="2"/>
              <w:ind w:left="0" w:right="1"/>
              <w:jc w:val="center"/>
              <w:rPr>
                <w:sz w:val="20"/>
              </w:rPr>
            </w:pPr>
            <w:r>
              <w:rPr>
                <w:w w:val="99"/>
                <w:sz w:val="20"/>
              </w:rPr>
              <w:t>P</w:t>
            </w:r>
          </w:p>
        </w:tc>
        <w:tc>
          <w:tcPr>
            <w:tcW w:w="3404" w:type="dxa"/>
          </w:tcPr>
          <w:p>
            <w:pPr>
              <w:pStyle w:val="TableParagraph"/>
              <w:spacing w:before="2"/>
              <w:ind w:left="435" w:right="438"/>
              <w:jc w:val="center"/>
              <w:rPr>
                <w:sz w:val="20"/>
              </w:rPr>
            </w:pPr>
            <w:r>
              <w:rPr>
                <w:sz w:val="20"/>
              </w:rPr>
              <w:t>Historia ambiental</w:t>
            </w:r>
          </w:p>
        </w:tc>
        <w:tc>
          <w:tcPr>
            <w:tcW w:w="787" w:type="dxa"/>
            <w:shd w:val="clear" w:color="auto" w:fill="00FF00"/>
          </w:tcPr>
          <w:p>
            <w:pPr>
              <w:pStyle w:val="TableParagraph"/>
              <w:spacing w:before="2"/>
              <w:ind w:left="0" w:right="1"/>
              <w:jc w:val="center"/>
              <w:rPr>
                <w:sz w:val="20"/>
              </w:rPr>
            </w:pPr>
            <w:r>
              <w:rPr>
                <w:w w:val="99"/>
                <w:sz w:val="20"/>
              </w:rPr>
              <w:t>E</w:t>
            </w:r>
          </w:p>
        </w:tc>
        <w:tc>
          <w:tcPr>
            <w:tcW w:w="790" w:type="dxa"/>
            <w:tcBorders>
              <w:bottom w:val="single" w:sz="12" w:space="0" w:color="000000"/>
            </w:tcBorders>
          </w:tcPr>
          <w:p>
            <w:pPr>
              <w:pStyle w:val="TableParagraph"/>
              <w:spacing w:before="2"/>
              <w:ind w:left="0" w:right="1"/>
              <w:jc w:val="center"/>
              <w:rPr>
                <w:sz w:val="20"/>
              </w:rPr>
            </w:pPr>
            <w:r>
              <w:rPr>
                <w:w w:val="99"/>
                <w:sz w:val="20"/>
              </w:rPr>
              <w:t>B</w:t>
            </w:r>
          </w:p>
        </w:tc>
        <w:tc>
          <w:tcPr>
            <w:tcW w:w="788" w:type="dxa"/>
            <w:tcBorders>
              <w:bottom w:val="single" w:sz="12" w:space="0" w:color="FF0000"/>
              <w:right w:val="single" w:sz="41" w:space="0" w:color="00FF00"/>
            </w:tcBorders>
          </w:tcPr>
          <w:p>
            <w:pPr>
              <w:pStyle w:val="TableParagraph"/>
              <w:spacing w:before="2"/>
              <w:ind w:left="40"/>
              <w:jc w:val="center"/>
              <w:rPr>
                <w:sz w:val="20"/>
              </w:rPr>
            </w:pPr>
            <w:r>
              <w:rPr>
                <w:w w:val="99"/>
                <w:sz w:val="20"/>
              </w:rPr>
              <w:t>B</w:t>
            </w:r>
          </w:p>
        </w:tc>
        <w:tc>
          <w:tcPr>
            <w:tcW w:w="787" w:type="dxa"/>
            <w:tcBorders>
              <w:bottom w:val="single" w:sz="12" w:space="0" w:color="FF0000"/>
            </w:tcBorders>
            <w:shd w:val="clear" w:color="auto" w:fill="00FF00"/>
          </w:tcPr>
          <w:p>
            <w:pPr>
              <w:pStyle w:val="TableParagraph"/>
              <w:spacing w:before="2"/>
              <w:ind w:left="0" w:right="1"/>
              <w:jc w:val="center"/>
              <w:rPr>
                <w:sz w:val="20"/>
              </w:rPr>
            </w:pPr>
            <w:r>
              <w:rPr>
                <w:w w:val="99"/>
                <w:sz w:val="20"/>
              </w:rPr>
              <w:t>E</w:t>
            </w:r>
          </w:p>
        </w:tc>
        <w:tc>
          <w:tcPr>
            <w:tcW w:w="790" w:type="dxa"/>
            <w:tcBorders>
              <w:bottom w:val="single" w:sz="12" w:space="0" w:color="FF0000"/>
            </w:tcBorders>
            <w:shd w:val="clear" w:color="auto" w:fill="00FF00"/>
          </w:tcPr>
          <w:p>
            <w:pPr>
              <w:pStyle w:val="TableParagraph"/>
              <w:spacing w:before="2"/>
              <w:ind w:left="0" w:right="1"/>
              <w:jc w:val="center"/>
              <w:rPr>
                <w:sz w:val="20"/>
              </w:rPr>
            </w:pPr>
            <w:r>
              <w:rPr>
                <w:w w:val="99"/>
                <w:sz w:val="20"/>
              </w:rPr>
              <w:t>E</w:t>
            </w:r>
          </w:p>
        </w:tc>
        <w:tc>
          <w:tcPr>
            <w:tcW w:w="787" w:type="dxa"/>
            <w:tcBorders>
              <w:bottom w:val="single" w:sz="12" w:space="0" w:color="FF0000"/>
            </w:tcBorders>
            <w:shd w:val="clear" w:color="auto" w:fill="00FF00"/>
          </w:tcPr>
          <w:p>
            <w:pPr>
              <w:pStyle w:val="TableParagraph"/>
              <w:spacing w:before="2"/>
              <w:ind w:left="0" w:right="4"/>
              <w:jc w:val="center"/>
              <w:rPr>
                <w:sz w:val="20"/>
              </w:rPr>
            </w:pPr>
            <w:r>
              <w:rPr>
                <w:w w:val="99"/>
                <w:sz w:val="20"/>
              </w:rPr>
              <w:t>E</w:t>
            </w:r>
          </w:p>
        </w:tc>
        <w:tc>
          <w:tcPr>
            <w:tcW w:w="787" w:type="dxa"/>
            <w:tcBorders>
              <w:bottom w:val="single" w:sz="12" w:space="0" w:color="FF0000"/>
            </w:tcBorders>
            <w:shd w:val="clear" w:color="auto" w:fill="00FF00"/>
          </w:tcPr>
          <w:p>
            <w:pPr>
              <w:pStyle w:val="TableParagraph"/>
              <w:spacing w:before="2"/>
              <w:ind w:left="0" w:right="1"/>
              <w:jc w:val="center"/>
              <w:rPr>
                <w:sz w:val="20"/>
              </w:rPr>
            </w:pPr>
            <w:r>
              <w:rPr>
                <w:w w:val="99"/>
                <w:sz w:val="20"/>
              </w:rPr>
              <w:t>E</w:t>
            </w:r>
          </w:p>
        </w:tc>
        <w:tc>
          <w:tcPr>
            <w:tcW w:w="790" w:type="dxa"/>
            <w:tcBorders>
              <w:bottom w:val="single" w:sz="12" w:space="0" w:color="FFFF00"/>
              <w:right w:val="single" w:sz="41" w:space="0" w:color="FF0000"/>
            </w:tcBorders>
            <w:shd w:val="clear" w:color="auto" w:fill="00FF00"/>
          </w:tcPr>
          <w:p>
            <w:pPr>
              <w:pStyle w:val="TableParagraph"/>
              <w:spacing w:before="2"/>
              <w:ind w:left="43"/>
              <w:jc w:val="center"/>
              <w:rPr>
                <w:sz w:val="20"/>
              </w:rPr>
            </w:pPr>
            <w:r>
              <w:rPr>
                <w:w w:val="99"/>
                <w:sz w:val="20"/>
              </w:rPr>
              <w:t>E</w:t>
            </w:r>
          </w:p>
        </w:tc>
        <w:tc>
          <w:tcPr>
            <w:tcW w:w="787" w:type="dxa"/>
            <w:tcBorders>
              <w:left w:val="thickThinMediumGap" w:sz="23" w:space="0" w:color="00FF00"/>
            </w:tcBorders>
            <w:shd w:val="clear" w:color="auto" w:fill="FF0000"/>
          </w:tcPr>
          <w:p>
            <w:pPr>
              <w:pStyle w:val="TableParagraph"/>
              <w:spacing w:before="2"/>
              <w:ind w:left="0" w:right="55"/>
              <w:jc w:val="center"/>
              <w:rPr>
                <w:sz w:val="20"/>
              </w:rPr>
            </w:pPr>
            <w:r>
              <w:rPr>
                <w:w w:val="99"/>
                <w:sz w:val="20"/>
              </w:rPr>
              <w:t>D</w:t>
            </w:r>
          </w:p>
        </w:tc>
        <w:tc>
          <w:tcPr>
            <w:tcW w:w="797" w:type="dxa"/>
            <w:shd w:val="clear" w:color="auto" w:fill="FF0000"/>
          </w:tcPr>
          <w:p>
            <w:pPr>
              <w:pStyle w:val="TableParagraph"/>
              <w:spacing w:before="2"/>
              <w:ind w:left="0"/>
              <w:jc w:val="center"/>
              <w:rPr>
                <w:sz w:val="20"/>
              </w:rPr>
            </w:pPr>
            <w:r>
              <w:rPr>
                <w:w w:val="99"/>
                <w:sz w:val="20"/>
              </w:rPr>
              <w:t>D</w:t>
            </w:r>
          </w:p>
        </w:tc>
      </w:tr>
      <w:tr>
        <w:trPr>
          <w:trHeight w:val="377" w:hRule="exact"/>
        </w:trPr>
        <w:tc>
          <w:tcPr>
            <w:tcW w:w="1114" w:type="dxa"/>
            <w:vMerge/>
            <w:shd w:val="clear" w:color="auto" w:fill="76923B"/>
            <w:textDirection w:val="btLr"/>
          </w:tcPr>
          <w:p>
            <w:pPr/>
          </w:p>
        </w:tc>
        <w:tc>
          <w:tcPr>
            <w:tcW w:w="814" w:type="dxa"/>
            <w:shd w:val="clear" w:color="auto" w:fill="76923B"/>
          </w:tcPr>
          <w:p>
            <w:pPr>
              <w:pStyle w:val="TableParagraph"/>
              <w:spacing w:before="19"/>
              <w:ind w:left="0" w:right="1"/>
              <w:jc w:val="center"/>
              <w:rPr>
                <w:sz w:val="20"/>
              </w:rPr>
            </w:pPr>
            <w:r>
              <w:rPr>
                <w:w w:val="99"/>
                <w:sz w:val="20"/>
              </w:rPr>
              <w:t>P</w:t>
            </w:r>
          </w:p>
        </w:tc>
        <w:tc>
          <w:tcPr>
            <w:tcW w:w="3404" w:type="dxa"/>
          </w:tcPr>
          <w:p>
            <w:pPr>
              <w:pStyle w:val="TableParagraph"/>
              <w:spacing w:before="19"/>
              <w:ind w:left="435" w:right="438"/>
              <w:jc w:val="center"/>
              <w:rPr>
                <w:sz w:val="20"/>
              </w:rPr>
            </w:pPr>
            <w:r>
              <w:rPr>
                <w:sz w:val="20"/>
              </w:rPr>
              <w:t>Poder ambiental</w:t>
            </w:r>
          </w:p>
        </w:tc>
        <w:tc>
          <w:tcPr>
            <w:tcW w:w="787" w:type="dxa"/>
            <w:shd w:val="clear" w:color="auto" w:fill="00FF00"/>
          </w:tcPr>
          <w:p>
            <w:pPr>
              <w:pStyle w:val="TableParagraph"/>
              <w:spacing w:before="19"/>
              <w:ind w:left="0" w:right="1"/>
              <w:jc w:val="center"/>
              <w:rPr>
                <w:sz w:val="20"/>
              </w:rPr>
            </w:pPr>
            <w:r>
              <w:rPr>
                <w:w w:val="99"/>
                <w:sz w:val="20"/>
              </w:rPr>
              <w:t>E</w:t>
            </w:r>
          </w:p>
        </w:tc>
        <w:tc>
          <w:tcPr>
            <w:tcW w:w="790" w:type="dxa"/>
            <w:tcBorders>
              <w:top w:val="single" w:sz="12" w:space="0" w:color="000000"/>
              <w:bottom w:val="single" w:sz="12" w:space="0" w:color="000000"/>
              <w:right w:val="single" w:sz="41" w:space="0" w:color="FF0000"/>
            </w:tcBorders>
          </w:tcPr>
          <w:p>
            <w:pPr>
              <w:pStyle w:val="TableParagraph"/>
              <w:spacing w:before="8"/>
              <w:ind w:left="42"/>
              <w:jc w:val="center"/>
              <w:rPr>
                <w:sz w:val="20"/>
              </w:rPr>
            </w:pPr>
            <w:r>
              <w:rPr>
                <w:w w:val="99"/>
                <w:sz w:val="20"/>
              </w:rPr>
              <w:t>B</w:t>
            </w:r>
          </w:p>
        </w:tc>
        <w:tc>
          <w:tcPr>
            <w:tcW w:w="788" w:type="dxa"/>
            <w:tcBorders>
              <w:bottom w:val="single" w:sz="12" w:space="0" w:color="000000"/>
            </w:tcBorders>
            <w:shd w:val="clear" w:color="auto" w:fill="FF0000"/>
          </w:tcPr>
          <w:p>
            <w:pPr>
              <w:pStyle w:val="TableParagraph"/>
              <w:spacing w:before="19"/>
              <w:ind w:left="0" w:right="3"/>
              <w:jc w:val="center"/>
              <w:rPr>
                <w:sz w:val="20"/>
              </w:rPr>
            </w:pPr>
            <w:r>
              <w:rPr>
                <w:w w:val="99"/>
                <w:sz w:val="20"/>
              </w:rPr>
              <w:t>D</w:t>
            </w:r>
          </w:p>
        </w:tc>
        <w:tc>
          <w:tcPr>
            <w:tcW w:w="787" w:type="dxa"/>
            <w:tcBorders>
              <w:bottom w:val="single" w:sz="12" w:space="0" w:color="000000"/>
            </w:tcBorders>
            <w:shd w:val="clear" w:color="auto" w:fill="FF0000"/>
          </w:tcPr>
          <w:p>
            <w:pPr>
              <w:pStyle w:val="TableParagraph"/>
              <w:spacing w:before="19"/>
              <w:ind w:left="0"/>
              <w:jc w:val="center"/>
              <w:rPr>
                <w:sz w:val="20"/>
              </w:rPr>
            </w:pPr>
            <w:r>
              <w:rPr>
                <w:w w:val="99"/>
                <w:sz w:val="20"/>
              </w:rPr>
              <w:t>D</w:t>
            </w:r>
          </w:p>
        </w:tc>
        <w:tc>
          <w:tcPr>
            <w:tcW w:w="790" w:type="dxa"/>
            <w:tcBorders>
              <w:bottom w:val="single" w:sz="12" w:space="0" w:color="FFFF00"/>
            </w:tcBorders>
            <w:shd w:val="clear" w:color="auto" w:fill="FF0000"/>
          </w:tcPr>
          <w:p>
            <w:pPr>
              <w:pStyle w:val="TableParagraph"/>
              <w:spacing w:before="19"/>
              <w:ind w:left="0"/>
              <w:jc w:val="center"/>
              <w:rPr>
                <w:sz w:val="20"/>
              </w:rPr>
            </w:pPr>
            <w:r>
              <w:rPr>
                <w:w w:val="99"/>
                <w:sz w:val="20"/>
              </w:rPr>
              <w:t>D</w:t>
            </w:r>
          </w:p>
        </w:tc>
        <w:tc>
          <w:tcPr>
            <w:tcW w:w="787" w:type="dxa"/>
            <w:tcBorders>
              <w:bottom w:val="single" w:sz="12" w:space="0" w:color="FFFF00"/>
            </w:tcBorders>
            <w:shd w:val="clear" w:color="auto" w:fill="FF0000"/>
          </w:tcPr>
          <w:p>
            <w:pPr>
              <w:pStyle w:val="TableParagraph"/>
              <w:spacing w:before="19"/>
              <w:ind w:left="0" w:right="2"/>
              <w:jc w:val="center"/>
              <w:rPr>
                <w:sz w:val="20"/>
              </w:rPr>
            </w:pPr>
            <w:r>
              <w:rPr>
                <w:w w:val="99"/>
                <w:sz w:val="20"/>
              </w:rPr>
              <w:t>D</w:t>
            </w:r>
          </w:p>
        </w:tc>
        <w:tc>
          <w:tcPr>
            <w:tcW w:w="787" w:type="dxa"/>
            <w:tcBorders>
              <w:bottom w:val="single" w:sz="12" w:space="0" w:color="FFFF00"/>
              <w:right w:val="single" w:sz="45" w:space="0" w:color="FFFF00"/>
            </w:tcBorders>
            <w:shd w:val="clear" w:color="auto" w:fill="FF0000"/>
          </w:tcPr>
          <w:p>
            <w:pPr>
              <w:pStyle w:val="TableParagraph"/>
              <w:spacing w:before="19"/>
              <w:ind w:left="51"/>
              <w:jc w:val="center"/>
              <w:rPr>
                <w:sz w:val="20"/>
              </w:rPr>
            </w:pPr>
            <w:r>
              <w:rPr>
                <w:w w:val="99"/>
                <w:sz w:val="20"/>
              </w:rPr>
              <w:t>D</w:t>
            </w:r>
          </w:p>
        </w:tc>
        <w:tc>
          <w:tcPr>
            <w:tcW w:w="790" w:type="dxa"/>
            <w:tcBorders>
              <w:left w:val="single" w:sz="41" w:space="0" w:color="FF0000"/>
              <w:right w:val="single" w:sz="41" w:space="0" w:color="FF0000"/>
            </w:tcBorders>
            <w:shd w:val="clear" w:color="auto" w:fill="FFFF00"/>
          </w:tcPr>
          <w:p>
            <w:pPr>
              <w:pStyle w:val="TableParagraph"/>
              <w:spacing w:before="19"/>
              <w:ind w:left="0" w:right="1"/>
              <w:jc w:val="center"/>
              <w:rPr>
                <w:sz w:val="20"/>
              </w:rPr>
            </w:pPr>
            <w:r>
              <w:rPr>
                <w:w w:val="99"/>
                <w:sz w:val="20"/>
              </w:rPr>
              <w:t>R</w:t>
            </w:r>
          </w:p>
        </w:tc>
        <w:tc>
          <w:tcPr>
            <w:tcW w:w="787" w:type="dxa"/>
            <w:tcBorders>
              <w:left w:val="thickThinMediumGap" w:sz="23" w:space="0" w:color="FFFF00"/>
            </w:tcBorders>
            <w:shd w:val="clear" w:color="auto" w:fill="FF0000"/>
          </w:tcPr>
          <w:p>
            <w:pPr>
              <w:pStyle w:val="TableParagraph"/>
              <w:spacing w:before="19"/>
              <w:ind w:left="0" w:right="55"/>
              <w:jc w:val="center"/>
              <w:rPr>
                <w:sz w:val="20"/>
              </w:rPr>
            </w:pPr>
            <w:r>
              <w:rPr>
                <w:w w:val="99"/>
                <w:sz w:val="20"/>
              </w:rPr>
              <w:t>D</w:t>
            </w:r>
          </w:p>
        </w:tc>
        <w:tc>
          <w:tcPr>
            <w:tcW w:w="797" w:type="dxa"/>
            <w:shd w:val="clear" w:color="auto" w:fill="FF0000"/>
          </w:tcPr>
          <w:p>
            <w:pPr>
              <w:pStyle w:val="TableParagraph"/>
              <w:spacing w:before="19"/>
              <w:ind w:left="0"/>
              <w:jc w:val="center"/>
              <w:rPr>
                <w:sz w:val="20"/>
              </w:rPr>
            </w:pPr>
            <w:r>
              <w:rPr>
                <w:w w:val="99"/>
                <w:sz w:val="20"/>
              </w:rPr>
              <w:t>D</w:t>
            </w:r>
          </w:p>
        </w:tc>
      </w:tr>
      <w:tr>
        <w:trPr>
          <w:trHeight w:val="384" w:hRule="exact"/>
        </w:trPr>
        <w:tc>
          <w:tcPr>
            <w:tcW w:w="1114" w:type="dxa"/>
            <w:vMerge/>
            <w:shd w:val="clear" w:color="auto" w:fill="76923B"/>
            <w:textDirection w:val="btLr"/>
          </w:tcPr>
          <w:p>
            <w:pPr/>
          </w:p>
        </w:tc>
        <w:tc>
          <w:tcPr>
            <w:tcW w:w="814" w:type="dxa"/>
            <w:shd w:val="clear" w:color="auto" w:fill="76923B"/>
          </w:tcPr>
          <w:p>
            <w:pPr>
              <w:pStyle w:val="TableParagraph"/>
              <w:spacing w:before="16"/>
              <w:ind w:left="0" w:right="1"/>
              <w:jc w:val="center"/>
              <w:rPr>
                <w:sz w:val="20"/>
              </w:rPr>
            </w:pPr>
            <w:r>
              <w:rPr>
                <w:w w:val="99"/>
                <w:sz w:val="20"/>
              </w:rPr>
              <w:t>P</w:t>
            </w:r>
          </w:p>
        </w:tc>
        <w:tc>
          <w:tcPr>
            <w:tcW w:w="3404" w:type="dxa"/>
          </w:tcPr>
          <w:p>
            <w:pPr>
              <w:pStyle w:val="TableParagraph"/>
              <w:spacing w:before="16"/>
              <w:ind w:left="436" w:right="438"/>
              <w:jc w:val="center"/>
              <w:rPr>
                <w:sz w:val="20"/>
              </w:rPr>
            </w:pPr>
            <w:r>
              <w:rPr>
                <w:sz w:val="20"/>
              </w:rPr>
              <w:t>Cultura ambiental</w:t>
            </w:r>
          </w:p>
        </w:tc>
        <w:tc>
          <w:tcPr>
            <w:tcW w:w="787" w:type="dxa"/>
            <w:shd w:val="clear" w:color="auto" w:fill="00FF00"/>
          </w:tcPr>
          <w:p>
            <w:pPr>
              <w:pStyle w:val="TableParagraph"/>
              <w:spacing w:before="16"/>
              <w:ind w:left="0" w:right="1"/>
              <w:jc w:val="center"/>
              <w:rPr>
                <w:sz w:val="20"/>
              </w:rPr>
            </w:pPr>
            <w:r>
              <w:rPr>
                <w:w w:val="99"/>
                <w:sz w:val="20"/>
              </w:rPr>
              <w:t>E</w:t>
            </w:r>
          </w:p>
        </w:tc>
        <w:tc>
          <w:tcPr>
            <w:tcW w:w="790" w:type="dxa"/>
            <w:tcBorders>
              <w:top w:val="single" w:sz="12" w:space="0" w:color="000000"/>
              <w:bottom w:val="single" w:sz="12" w:space="0" w:color="000000"/>
            </w:tcBorders>
          </w:tcPr>
          <w:p>
            <w:pPr>
              <w:pStyle w:val="TableParagraph"/>
              <w:spacing w:before="5"/>
              <w:ind w:left="0" w:right="1"/>
              <w:jc w:val="center"/>
              <w:rPr>
                <w:sz w:val="20"/>
              </w:rPr>
            </w:pPr>
            <w:r>
              <w:rPr>
                <w:w w:val="99"/>
                <w:sz w:val="20"/>
              </w:rPr>
              <w:t>B</w:t>
            </w:r>
          </w:p>
        </w:tc>
        <w:tc>
          <w:tcPr>
            <w:tcW w:w="788" w:type="dxa"/>
            <w:tcBorders>
              <w:top w:val="single" w:sz="12" w:space="0" w:color="000000"/>
              <w:bottom w:val="single" w:sz="12" w:space="0" w:color="FF0000"/>
            </w:tcBorders>
          </w:tcPr>
          <w:p>
            <w:pPr>
              <w:pStyle w:val="TableParagraph"/>
              <w:spacing w:before="5"/>
              <w:ind w:left="0" w:right="4"/>
              <w:jc w:val="center"/>
              <w:rPr>
                <w:sz w:val="20"/>
              </w:rPr>
            </w:pPr>
            <w:r>
              <w:rPr>
                <w:w w:val="99"/>
                <w:sz w:val="20"/>
              </w:rPr>
              <w:t>B</w:t>
            </w:r>
          </w:p>
        </w:tc>
        <w:tc>
          <w:tcPr>
            <w:tcW w:w="787" w:type="dxa"/>
            <w:tcBorders>
              <w:top w:val="single" w:sz="12" w:space="0" w:color="000000"/>
              <w:bottom w:val="single" w:sz="12" w:space="0" w:color="FF0000"/>
              <w:right w:val="single" w:sz="41" w:space="0" w:color="FFFF00"/>
            </w:tcBorders>
          </w:tcPr>
          <w:p>
            <w:pPr>
              <w:pStyle w:val="TableParagraph"/>
              <w:spacing w:before="5"/>
              <w:ind w:left="45"/>
              <w:jc w:val="center"/>
              <w:rPr>
                <w:sz w:val="20"/>
              </w:rPr>
            </w:pPr>
            <w:r>
              <w:rPr>
                <w:w w:val="99"/>
                <w:sz w:val="20"/>
              </w:rPr>
              <w:t>B</w:t>
            </w:r>
          </w:p>
        </w:tc>
        <w:tc>
          <w:tcPr>
            <w:tcW w:w="790" w:type="dxa"/>
            <w:tcBorders>
              <w:bottom w:val="single" w:sz="12" w:space="0" w:color="FF0000"/>
            </w:tcBorders>
            <w:shd w:val="clear" w:color="auto" w:fill="FFFF00"/>
          </w:tcPr>
          <w:p>
            <w:pPr>
              <w:pStyle w:val="TableParagraph"/>
              <w:spacing w:before="16"/>
              <w:ind w:left="0"/>
              <w:jc w:val="center"/>
              <w:rPr>
                <w:sz w:val="20"/>
              </w:rPr>
            </w:pPr>
            <w:r>
              <w:rPr>
                <w:w w:val="99"/>
                <w:sz w:val="20"/>
              </w:rPr>
              <w:t>R</w:t>
            </w:r>
          </w:p>
        </w:tc>
        <w:tc>
          <w:tcPr>
            <w:tcW w:w="787" w:type="dxa"/>
            <w:tcBorders>
              <w:bottom w:val="single" w:sz="12" w:space="0" w:color="FF0000"/>
            </w:tcBorders>
            <w:shd w:val="clear" w:color="auto" w:fill="FFFF00"/>
          </w:tcPr>
          <w:p>
            <w:pPr>
              <w:pStyle w:val="TableParagraph"/>
              <w:spacing w:before="16"/>
              <w:ind w:left="0" w:right="2"/>
              <w:jc w:val="center"/>
              <w:rPr>
                <w:sz w:val="20"/>
              </w:rPr>
            </w:pPr>
            <w:r>
              <w:rPr>
                <w:w w:val="99"/>
                <w:sz w:val="20"/>
              </w:rPr>
              <w:t>R</w:t>
            </w:r>
          </w:p>
        </w:tc>
        <w:tc>
          <w:tcPr>
            <w:tcW w:w="787" w:type="dxa"/>
            <w:tcBorders>
              <w:bottom w:val="single" w:sz="12" w:space="0" w:color="FF0000"/>
            </w:tcBorders>
            <w:shd w:val="clear" w:color="auto" w:fill="FFFF00"/>
          </w:tcPr>
          <w:p>
            <w:pPr>
              <w:pStyle w:val="TableParagraph"/>
              <w:spacing w:before="16"/>
              <w:ind w:left="0"/>
              <w:jc w:val="center"/>
              <w:rPr>
                <w:sz w:val="20"/>
              </w:rPr>
            </w:pPr>
            <w:r>
              <w:rPr>
                <w:w w:val="99"/>
                <w:sz w:val="20"/>
              </w:rPr>
              <w:t>R</w:t>
            </w:r>
          </w:p>
        </w:tc>
        <w:tc>
          <w:tcPr>
            <w:tcW w:w="790" w:type="dxa"/>
            <w:tcBorders>
              <w:bottom w:val="single" w:sz="12" w:space="0" w:color="FF0000"/>
              <w:right w:val="single" w:sz="41" w:space="0" w:color="FF0000"/>
            </w:tcBorders>
            <w:shd w:val="clear" w:color="auto" w:fill="FFFF00"/>
          </w:tcPr>
          <w:p>
            <w:pPr>
              <w:pStyle w:val="TableParagraph"/>
              <w:spacing w:before="16"/>
              <w:ind w:left="43"/>
              <w:jc w:val="center"/>
              <w:rPr>
                <w:sz w:val="20"/>
              </w:rPr>
            </w:pPr>
            <w:r>
              <w:rPr>
                <w:w w:val="99"/>
                <w:sz w:val="20"/>
              </w:rPr>
              <w:t>R</w:t>
            </w:r>
          </w:p>
        </w:tc>
        <w:tc>
          <w:tcPr>
            <w:tcW w:w="787" w:type="dxa"/>
            <w:tcBorders>
              <w:left w:val="thickThinMediumGap" w:sz="23" w:space="0" w:color="FFFF00"/>
            </w:tcBorders>
            <w:shd w:val="clear" w:color="auto" w:fill="FF0000"/>
          </w:tcPr>
          <w:p>
            <w:pPr>
              <w:pStyle w:val="TableParagraph"/>
              <w:spacing w:before="16"/>
              <w:ind w:left="0" w:right="55"/>
              <w:jc w:val="center"/>
              <w:rPr>
                <w:sz w:val="20"/>
              </w:rPr>
            </w:pPr>
            <w:r>
              <w:rPr>
                <w:w w:val="99"/>
                <w:sz w:val="20"/>
              </w:rPr>
              <w:t>D</w:t>
            </w:r>
          </w:p>
        </w:tc>
        <w:tc>
          <w:tcPr>
            <w:tcW w:w="797" w:type="dxa"/>
            <w:shd w:val="clear" w:color="auto" w:fill="FF0000"/>
          </w:tcPr>
          <w:p>
            <w:pPr>
              <w:pStyle w:val="TableParagraph"/>
              <w:spacing w:before="16"/>
              <w:ind w:left="0"/>
              <w:jc w:val="center"/>
              <w:rPr>
                <w:sz w:val="20"/>
              </w:rPr>
            </w:pPr>
            <w:r>
              <w:rPr>
                <w:w w:val="99"/>
                <w:sz w:val="20"/>
              </w:rPr>
              <w:t>D</w:t>
            </w:r>
          </w:p>
        </w:tc>
      </w:tr>
      <w:tr>
        <w:trPr>
          <w:trHeight w:val="365" w:hRule="exact"/>
        </w:trPr>
        <w:tc>
          <w:tcPr>
            <w:tcW w:w="1114" w:type="dxa"/>
            <w:vMerge/>
            <w:shd w:val="clear" w:color="auto" w:fill="76923B"/>
            <w:textDirection w:val="btLr"/>
          </w:tcPr>
          <w:p>
            <w:pPr/>
          </w:p>
        </w:tc>
        <w:tc>
          <w:tcPr>
            <w:tcW w:w="814" w:type="dxa"/>
            <w:shd w:val="clear" w:color="auto" w:fill="76923B"/>
          </w:tcPr>
          <w:p>
            <w:pPr>
              <w:pStyle w:val="TableParagraph"/>
              <w:spacing w:before="6"/>
              <w:ind w:left="0" w:right="1"/>
              <w:jc w:val="center"/>
              <w:rPr>
                <w:sz w:val="20"/>
              </w:rPr>
            </w:pPr>
            <w:r>
              <w:rPr>
                <w:w w:val="99"/>
                <w:sz w:val="20"/>
              </w:rPr>
              <w:t>P</w:t>
            </w:r>
          </w:p>
        </w:tc>
        <w:tc>
          <w:tcPr>
            <w:tcW w:w="3404" w:type="dxa"/>
          </w:tcPr>
          <w:p>
            <w:pPr>
              <w:pStyle w:val="TableParagraph"/>
              <w:spacing w:before="6"/>
              <w:ind w:left="436" w:right="438"/>
              <w:jc w:val="center"/>
              <w:rPr>
                <w:sz w:val="20"/>
              </w:rPr>
            </w:pPr>
            <w:r>
              <w:rPr>
                <w:sz w:val="20"/>
              </w:rPr>
              <w:t>Democracia y voluntariedad</w:t>
            </w:r>
          </w:p>
        </w:tc>
        <w:tc>
          <w:tcPr>
            <w:tcW w:w="787" w:type="dxa"/>
            <w:shd w:val="clear" w:color="auto" w:fill="00FF00"/>
          </w:tcPr>
          <w:p>
            <w:pPr>
              <w:pStyle w:val="TableParagraph"/>
              <w:spacing w:before="6"/>
              <w:ind w:left="0" w:right="1"/>
              <w:jc w:val="center"/>
              <w:rPr>
                <w:sz w:val="20"/>
              </w:rPr>
            </w:pPr>
            <w:r>
              <w:rPr>
                <w:w w:val="99"/>
                <w:sz w:val="20"/>
              </w:rPr>
              <w:t>E</w:t>
            </w:r>
          </w:p>
        </w:tc>
        <w:tc>
          <w:tcPr>
            <w:tcW w:w="790" w:type="dxa"/>
            <w:tcBorders>
              <w:top w:val="single" w:sz="12" w:space="0" w:color="000000"/>
              <w:bottom w:val="single" w:sz="12" w:space="0" w:color="000000"/>
              <w:right w:val="single" w:sz="41" w:space="0" w:color="FF0000"/>
            </w:tcBorders>
          </w:tcPr>
          <w:p>
            <w:pPr>
              <w:pStyle w:val="TableParagraph"/>
              <w:spacing w:line="226" w:lineRule="exact"/>
              <w:ind w:left="42"/>
              <w:jc w:val="center"/>
              <w:rPr>
                <w:sz w:val="20"/>
              </w:rPr>
            </w:pPr>
            <w:r>
              <w:rPr>
                <w:w w:val="99"/>
                <w:sz w:val="20"/>
              </w:rPr>
              <w:t>B</w:t>
            </w:r>
          </w:p>
        </w:tc>
        <w:tc>
          <w:tcPr>
            <w:tcW w:w="788" w:type="dxa"/>
            <w:shd w:val="clear" w:color="auto" w:fill="FF0000"/>
          </w:tcPr>
          <w:p>
            <w:pPr>
              <w:pStyle w:val="TableParagraph"/>
              <w:spacing w:before="6"/>
              <w:ind w:left="0" w:right="3"/>
              <w:jc w:val="center"/>
              <w:rPr>
                <w:sz w:val="20"/>
              </w:rPr>
            </w:pPr>
            <w:r>
              <w:rPr>
                <w:w w:val="99"/>
                <w:sz w:val="20"/>
              </w:rPr>
              <w:t>D</w:t>
            </w:r>
          </w:p>
        </w:tc>
        <w:tc>
          <w:tcPr>
            <w:tcW w:w="787" w:type="dxa"/>
            <w:shd w:val="clear" w:color="auto" w:fill="FF0000"/>
          </w:tcPr>
          <w:p>
            <w:pPr>
              <w:pStyle w:val="TableParagraph"/>
              <w:spacing w:before="6"/>
              <w:ind w:left="0"/>
              <w:jc w:val="center"/>
              <w:rPr>
                <w:sz w:val="20"/>
              </w:rPr>
            </w:pPr>
            <w:r>
              <w:rPr>
                <w:w w:val="99"/>
                <w:sz w:val="20"/>
              </w:rPr>
              <w:t>D</w:t>
            </w:r>
          </w:p>
        </w:tc>
        <w:tc>
          <w:tcPr>
            <w:tcW w:w="790" w:type="dxa"/>
            <w:shd w:val="clear" w:color="auto" w:fill="FF0000"/>
          </w:tcPr>
          <w:p>
            <w:pPr>
              <w:pStyle w:val="TableParagraph"/>
              <w:spacing w:before="6"/>
              <w:ind w:left="0"/>
              <w:jc w:val="center"/>
              <w:rPr>
                <w:sz w:val="20"/>
              </w:rPr>
            </w:pPr>
            <w:r>
              <w:rPr>
                <w:w w:val="99"/>
                <w:sz w:val="20"/>
              </w:rPr>
              <w:t>D</w:t>
            </w:r>
          </w:p>
        </w:tc>
        <w:tc>
          <w:tcPr>
            <w:tcW w:w="787" w:type="dxa"/>
            <w:shd w:val="clear" w:color="auto" w:fill="FF0000"/>
          </w:tcPr>
          <w:p>
            <w:pPr>
              <w:pStyle w:val="TableParagraph"/>
              <w:spacing w:before="6"/>
              <w:ind w:left="0" w:right="2"/>
              <w:jc w:val="center"/>
              <w:rPr>
                <w:sz w:val="20"/>
              </w:rPr>
            </w:pPr>
            <w:r>
              <w:rPr>
                <w:w w:val="99"/>
                <w:sz w:val="20"/>
              </w:rPr>
              <w:t>D</w:t>
            </w:r>
          </w:p>
        </w:tc>
        <w:tc>
          <w:tcPr>
            <w:tcW w:w="787" w:type="dxa"/>
            <w:shd w:val="clear" w:color="auto" w:fill="FF0000"/>
          </w:tcPr>
          <w:p>
            <w:pPr>
              <w:pStyle w:val="TableParagraph"/>
              <w:spacing w:before="6"/>
              <w:ind w:left="0"/>
              <w:jc w:val="center"/>
              <w:rPr>
                <w:sz w:val="20"/>
              </w:rPr>
            </w:pPr>
            <w:r>
              <w:rPr>
                <w:w w:val="99"/>
                <w:sz w:val="20"/>
              </w:rPr>
              <w:t>D</w:t>
            </w:r>
          </w:p>
        </w:tc>
        <w:tc>
          <w:tcPr>
            <w:tcW w:w="790" w:type="dxa"/>
            <w:shd w:val="clear" w:color="auto" w:fill="FF0000"/>
          </w:tcPr>
          <w:p>
            <w:pPr>
              <w:pStyle w:val="TableParagraph"/>
              <w:spacing w:before="6"/>
              <w:ind w:left="0" w:right="1"/>
              <w:jc w:val="center"/>
              <w:rPr>
                <w:sz w:val="20"/>
              </w:rPr>
            </w:pPr>
            <w:r>
              <w:rPr>
                <w:w w:val="99"/>
                <w:sz w:val="20"/>
              </w:rPr>
              <w:t>D</w:t>
            </w:r>
          </w:p>
        </w:tc>
        <w:tc>
          <w:tcPr>
            <w:tcW w:w="787" w:type="dxa"/>
            <w:shd w:val="clear" w:color="auto" w:fill="FF0000"/>
          </w:tcPr>
          <w:p>
            <w:pPr>
              <w:pStyle w:val="TableParagraph"/>
              <w:spacing w:before="6"/>
              <w:ind w:left="0" w:right="2"/>
              <w:jc w:val="center"/>
              <w:rPr>
                <w:sz w:val="20"/>
              </w:rPr>
            </w:pPr>
            <w:r>
              <w:rPr>
                <w:w w:val="99"/>
                <w:sz w:val="20"/>
              </w:rPr>
              <w:t>D</w:t>
            </w:r>
          </w:p>
        </w:tc>
        <w:tc>
          <w:tcPr>
            <w:tcW w:w="797" w:type="dxa"/>
            <w:tcBorders>
              <w:left w:val="single" w:sz="45" w:space="0" w:color="FF0000"/>
            </w:tcBorders>
            <w:shd w:val="clear" w:color="auto" w:fill="FFFF00"/>
          </w:tcPr>
          <w:p>
            <w:pPr>
              <w:pStyle w:val="TableParagraph"/>
              <w:spacing w:before="6"/>
              <w:ind w:left="0" w:right="49"/>
              <w:jc w:val="center"/>
              <w:rPr>
                <w:sz w:val="20"/>
              </w:rPr>
            </w:pPr>
            <w:r>
              <w:rPr>
                <w:w w:val="99"/>
                <w:sz w:val="20"/>
              </w:rPr>
              <w:t>R</w:t>
            </w:r>
          </w:p>
        </w:tc>
      </w:tr>
      <w:tr>
        <w:trPr>
          <w:trHeight w:val="385" w:hRule="exact"/>
        </w:trPr>
        <w:tc>
          <w:tcPr>
            <w:tcW w:w="1114" w:type="dxa"/>
            <w:vMerge/>
            <w:shd w:val="clear" w:color="auto" w:fill="76923B"/>
            <w:textDirection w:val="btLr"/>
          </w:tcPr>
          <w:p>
            <w:pPr/>
          </w:p>
        </w:tc>
        <w:tc>
          <w:tcPr>
            <w:tcW w:w="814" w:type="dxa"/>
            <w:shd w:val="clear" w:color="auto" w:fill="76923B"/>
          </w:tcPr>
          <w:p>
            <w:pPr>
              <w:pStyle w:val="TableParagraph"/>
              <w:spacing w:before="19"/>
              <w:ind w:left="0" w:right="1"/>
              <w:jc w:val="center"/>
              <w:rPr>
                <w:sz w:val="20"/>
              </w:rPr>
            </w:pPr>
            <w:r>
              <w:rPr>
                <w:w w:val="99"/>
                <w:sz w:val="20"/>
              </w:rPr>
              <w:t>P</w:t>
            </w:r>
          </w:p>
        </w:tc>
        <w:tc>
          <w:tcPr>
            <w:tcW w:w="3404" w:type="dxa"/>
          </w:tcPr>
          <w:p>
            <w:pPr>
              <w:pStyle w:val="TableParagraph"/>
              <w:spacing w:before="19"/>
              <w:ind w:left="435" w:right="438"/>
              <w:jc w:val="center"/>
              <w:rPr>
                <w:sz w:val="20"/>
              </w:rPr>
            </w:pPr>
            <w:r>
              <w:rPr>
                <w:sz w:val="20"/>
              </w:rPr>
              <w:t>Participación social</w:t>
            </w:r>
          </w:p>
        </w:tc>
        <w:tc>
          <w:tcPr>
            <w:tcW w:w="787" w:type="dxa"/>
            <w:tcBorders>
              <w:bottom w:val="single" w:sz="12" w:space="0" w:color="FF0000"/>
            </w:tcBorders>
            <w:shd w:val="clear" w:color="auto" w:fill="00FF00"/>
          </w:tcPr>
          <w:p>
            <w:pPr>
              <w:pStyle w:val="TableParagraph"/>
              <w:spacing w:before="19"/>
              <w:ind w:left="0" w:right="1"/>
              <w:jc w:val="center"/>
              <w:rPr>
                <w:sz w:val="20"/>
              </w:rPr>
            </w:pPr>
            <w:r>
              <w:rPr>
                <w:w w:val="99"/>
                <w:sz w:val="20"/>
              </w:rPr>
              <w:t>E</w:t>
            </w:r>
          </w:p>
        </w:tc>
        <w:tc>
          <w:tcPr>
            <w:tcW w:w="790" w:type="dxa"/>
            <w:tcBorders>
              <w:top w:val="single" w:sz="12" w:space="0" w:color="000000"/>
              <w:bottom w:val="single" w:sz="12" w:space="0" w:color="FF0000"/>
            </w:tcBorders>
          </w:tcPr>
          <w:p>
            <w:pPr>
              <w:pStyle w:val="TableParagraph"/>
              <w:spacing w:before="8"/>
              <w:ind w:left="0" w:right="1"/>
              <w:jc w:val="center"/>
              <w:rPr>
                <w:sz w:val="20"/>
              </w:rPr>
            </w:pPr>
            <w:r>
              <w:rPr>
                <w:w w:val="99"/>
                <w:sz w:val="20"/>
              </w:rPr>
              <w:t>B</w:t>
            </w:r>
          </w:p>
        </w:tc>
        <w:tc>
          <w:tcPr>
            <w:tcW w:w="788" w:type="dxa"/>
            <w:tcBorders>
              <w:bottom w:val="single" w:sz="12" w:space="0" w:color="FF0000"/>
            </w:tcBorders>
            <w:shd w:val="clear" w:color="auto" w:fill="FFFF00"/>
          </w:tcPr>
          <w:p>
            <w:pPr>
              <w:pStyle w:val="TableParagraph"/>
              <w:spacing w:before="19"/>
              <w:ind w:left="0" w:right="3"/>
              <w:jc w:val="center"/>
              <w:rPr>
                <w:sz w:val="20"/>
              </w:rPr>
            </w:pPr>
            <w:r>
              <w:rPr>
                <w:w w:val="99"/>
                <w:sz w:val="20"/>
              </w:rPr>
              <w:t>R</w:t>
            </w:r>
          </w:p>
        </w:tc>
        <w:tc>
          <w:tcPr>
            <w:tcW w:w="787" w:type="dxa"/>
            <w:tcBorders>
              <w:bottom w:val="single" w:sz="12" w:space="0" w:color="FF0000"/>
            </w:tcBorders>
            <w:shd w:val="clear" w:color="auto" w:fill="FFFF00"/>
          </w:tcPr>
          <w:p>
            <w:pPr>
              <w:pStyle w:val="TableParagraph"/>
              <w:spacing w:before="19"/>
              <w:ind w:left="0"/>
              <w:jc w:val="center"/>
              <w:rPr>
                <w:sz w:val="20"/>
              </w:rPr>
            </w:pPr>
            <w:r>
              <w:rPr>
                <w:w w:val="99"/>
                <w:sz w:val="20"/>
              </w:rPr>
              <w:t>R</w:t>
            </w:r>
          </w:p>
        </w:tc>
        <w:tc>
          <w:tcPr>
            <w:tcW w:w="790" w:type="dxa"/>
            <w:tcBorders>
              <w:bottom w:val="single" w:sz="12" w:space="0" w:color="FF0000"/>
            </w:tcBorders>
            <w:shd w:val="clear" w:color="auto" w:fill="FFFF00"/>
          </w:tcPr>
          <w:p>
            <w:pPr>
              <w:pStyle w:val="TableParagraph"/>
              <w:spacing w:before="19"/>
              <w:ind w:left="0"/>
              <w:jc w:val="center"/>
              <w:rPr>
                <w:sz w:val="20"/>
              </w:rPr>
            </w:pPr>
            <w:r>
              <w:rPr>
                <w:w w:val="99"/>
                <w:sz w:val="20"/>
              </w:rPr>
              <w:t>R</w:t>
            </w:r>
          </w:p>
        </w:tc>
        <w:tc>
          <w:tcPr>
            <w:tcW w:w="787" w:type="dxa"/>
            <w:tcBorders>
              <w:bottom w:val="single" w:sz="12" w:space="0" w:color="FF0000"/>
            </w:tcBorders>
            <w:shd w:val="clear" w:color="auto" w:fill="FFFF00"/>
          </w:tcPr>
          <w:p>
            <w:pPr>
              <w:pStyle w:val="TableParagraph"/>
              <w:spacing w:before="19"/>
              <w:ind w:left="0" w:right="2"/>
              <w:jc w:val="center"/>
              <w:rPr>
                <w:sz w:val="20"/>
              </w:rPr>
            </w:pPr>
            <w:r>
              <w:rPr>
                <w:w w:val="99"/>
                <w:sz w:val="20"/>
              </w:rPr>
              <w:t>R</w:t>
            </w:r>
          </w:p>
        </w:tc>
        <w:tc>
          <w:tcPr>
            <w:tcW w:w="787" w:type="dxa"/>
            <w:tcBorders>
              <w:bottom w:val="single" w:sz="12" w:space="0" w:color="FF0000"/>
            </w:tcBorders>
            <w:shd w:val="clear" w:color="auto" w:fill="FFFF00"/>
          </w:tcPr>
          <w:p>
            <w:pPr>
              <w:pStyle w:val="TableParagraph"/>
              <w:spacing w:before="19"/>
              <w:ind w:left="0"/>
              <w:jc w:val="center"/>
              <w:rPr>
                <w:sz w:val="20"/>
              </w:rPr>
            </w:pPr>
            <w:r>
              <w:rPr>
                <w:w w:val="99"/>
                <w:sz w:val="20"/>
              </w:rPr>
              <w:t>R</w:t>
            </w:r>
          </w:p>
        </w:tc>
        <w:tc>
          <w:tcPr>
            <w:tcW w:w="790" w:type="dxa"/>
            <w:tcBorders>
              <w:bottom w:val="single" w:sz="12" w:space="0" w:color="FF0000"/>
              <w:right w:val="single" w:sz="41" w:space="0" w:color="FF0000"/>
            </w:tcBorders>
            <w:shd w:val="clear" w:color="auto" w:fill="FFFF00"/>
          </w:tcPr>
          <w:p>
            <w:pPr>
              <w:pStyle w:val="TableParagraph"/>
              <w:spacing w:before="19"/>
              <w:ind w:left="43"/>
              <w:jc w:val="center"/>
              <w:rPr>
                <w:sz w:val="20"/>
              </w:rPr>
            </w:pPr>
            <w:r>
              <w:rPr>
                <w:w w:val="99"/>
                <w:sz w:val="20"/>
              </w:rPr>
              <w:t>R</w:t>
            </w:r>
          </w:p>
        </w:tc>
        <w:tc>
          <w:tcPr>
            <w:tcW w:w="787" w:type="dxa"/>
            <w:shd w:val="clear" w:color="auto" w:fill="FF0000"/>
          </w:tcPr>
          <w:p>
            <w:pPr>
              <w:pStyle w:val="TableParagraph"/>
              <w:spacing w:before="19"/>
              <w:ind w:left="0" w:right="2"/>
              <w:jc w:val="center"/>
              <w:rPr>
                <w:sz w:val="20"/>
              </w:rPr>
            </w:pPr>
            <w:r>
              <w:rPr>
                <w:w w:val="99"/>
                <w:sz w:val="20"/>
              </w:rPr>
              <w:t>D</w:t>
            </w:r>
          </w:p>
        </w:tc>
        <w:tc>
          <w:tcPr>
            <w:tcW w:w="797" w:type="dxa"/>
            <w:tcBorders>
              <w:left w:val="single" w:sz="45" w:space="0" w:color="FF0000"/>
              <w:bottom w:val="single" w:sz="12" w:space="0" w:color="FF0000"/>
            </w:tcBorders>
            <w:shd w:val="clear" w:color="auto" w:fill="FFFF00"/>
          </w:tcPr>
          <w:p>
            <w:pPr>
              <w:pStyle w:val="TableParagraph"/>
              <w:spacing w:before="19"/>
              <w:ind w:left="0" w:right="49"/>
              <w:jc w:val="center"/>
              <w:rPr>
                <w:sz w:val="20"/>
              </w:rPr>
            </w:pPr>
            <w:r>
              <w:rPr>
                <w:w w:val="99"/>
                <w:sz w:val="20"/>
              </w:rPr>
              <w:t>R</w:t>
            </w:r>
          </w:p>
        </w:tc>
      </w:tr>
      <w:tr>
        <w:trPr>
          <w:trHeight w:val="366" w:hRule="exact"/>
        </w:trPr>
        <w:tc>
          <w:tcPr>
            <w:tcW w:w="1114" w:type="dxa"/>
            <w:vMerge/>
            <w:shd w:val="clear" w:color="auto" w:fill="76923B"/>
            <w:textDirection w:val="btLr"/>
          </w:tcPr>
          <w:p>
            <w:pPr/>
          </w:p>
        </w:tc>
        <w:tc>
          <w:tcPr>
            <w:tcW w:w="814" w:type="dxa"/>
            <w:shd w:val="clear" w:color="auto" w:fill="76923B"/>
          </w:tcPr>
          <w:p>
            <w:pPr>
              <w:pStyle w:val="TableParagraph"/>
              <w:spacing w:before="8"/>
              <w:ind w:left="0" w:right="1"/>
              <w:jc w:val="center"/>
              <w:rPr>
                <w:sz w:val="20"/>
              </w:rPr>
            </w:pPr>
            <w:r>
              <w:rPr>
                <w:w w:val="99"/>
                <w:sz w:val="20"/>
              </w:rPr>
              <w:t>P</w:t>
            </w:r>
          </w:p>
        </w:tc>
        <w:tc>
          <w:tcPr>
            <w:tcW w:w="3404" w:type="dxa"/>
            <w:tcBorders>
              <w:right w:val="single" w:sz="41" w:space="0" w:color="FF0000"/>
            </w:tcBorders>
          </w:tcPr>
          <w:p>
            <w:pPr>
              <w:pStyle w:val="TableParagraph"/>
              <w:spacing w:before="8"/>
              <w:ind w:left="357" w:right="314"/>
              <w:jc w:val="center"/>
              <w:rPr>
                <w:sz w:val="20"/>
              </w:rPr>
            </w:pPr>
            <w:r>
              <w:rPr>
                <w:sz w:val="20"/>
              </w:rPr>
              <w:t>Relaciones intermunicipales</w:t>
            </w:r>
          </w:p>
        </w:tc>
        <w:tc>
          <w:tcPr>
            <w:tcW w:w="787" w:type="dxa"/>
            <w:tcBorders>
              <w:bottom w:val="single" w:sz="12" w:space="0" w:color="00FF00"/>
            </w:tcBorders>
            <w:shd w:val="clear" w:color="auto" w:fill="FF0000"/>
          </w:tcPr>
          <w:p>
            <w:pPr>
              <w:pStyle w:val="TableParagraph"/>
              <w:spacing w:before="8"/>
              <w:ind w:left="0"/>
              <w:jc w:val="center"/>
              <w:rPr>
                <w:sz w:val="20"/>
              </w:rPr>
            </w:pPr>
            <w:r>
              <w:rPr>
                <w:w w:val="99"/>
                <w:sz w:val="20"/>
              </w:rPr>
              <w:t>D</w:t>
            </w:r>
          </w:p>
        </w:tc>
        <w:tc>
          <w:tcPr>
            <w:tcW w:w="790" w:type="dxa"/>
            <w:tcBorders>
              <w:bottom w:val="single" w:sz="12" w:space="0" w:color="000000"/>
            </w:tcBorders>
            <w:shd w:val="clear" w:color="auto" w:fill="FF0000"/>
          </w:tcPr>
          <w:p>
            <w:pPr>
              <w:pStyle w:val="TableParagraph"/>
              <w:spacing w:before="8"/>
              <w:ind w:left="0"/>
              <w:jc w:val="center"/>
              <w:rPr>
                <w:sz w:val="20"/>
              </w:rPr>
            </w:pPr>
            <w:r>
              <w:rPr>
                <w:w w:val="99"/>
                <w:sz w:val="20"/>
              </w:rPr>
              <w:t>D</w:t>
            </w:r>
          </w:p>
        </w:tc>
        <w:tc>
          <w:tcPr>
            <w:tcW w:w="788" w:type="dxa"/>
            <w:shd w:val="clear" w:color="auto" w:fill="FF0000"/>
          </w:tcPr>
          <w:p>
            <w:pPr>
              <w:pStyle w:val="TableParagraph"/>
              <w:spacing w:before="8"/>
              <w:ind w:left="0" w:right="3"/>
              <w:jc w:val="center"/>
              <w:rPr>
                <w:sz w:val="20"/>
              </w:rPr>
            </w:pPr>
            <w:r>
              <w:rPr>
                <w:w w:val="99"/>
                <w:sz w:val="20"/>
              </w:rPr>
              <w:t>D</w:t>
            </w:r>
          </w:p>
        </w:tc>
        <w:tc>
          <w:tcPr>
            <w:tcW w:w="787" w:type="dxa"/>
            <w:shd w:val="clear" w:color="auto" w:fill="FF0000"/>
          </w:tcPr>
          <w:p>
            <w:pPr>
              <w:pStyle w:val="TableParagraph"/>
              <w:spacing w:before="8"/>
              <w:ind w:left="0"/>
              <w:jc w:val="center"/>
              <w:rPr>
                <w:sz w:val="20"/>
              </w:rPr>
            </w:pPr>
            <w:r>
              <w:rPr>
                <w:w w:val="99"/>
                <w:sz w:val="20"/>
              </w:rPr>
              <w:t>D</w:t>
            </w:r>
          </w:p>
        </w:tc>
        <w:tc>
          <w:tcPr>
            <w:tcW w:w="790" w:type="dxa"/>
            <w:shd w:val="clear" w:color="auto" w:fill="FF0000"/>
          </w:tcPr>
          <w:p>
            <w:pPr>
              <w:pStyle w:val="TableParagraph"/>
              <w:spacing w:before="8"/>
              <w:ind w:left="0"/>
              <w:jc w:val="center"/>
              <w:rPr>
                <w:sz w:val="20"/>
              </w:rPr>
            </w:pPr>
            <w:r>
              <w:rPr>
                <w:w w:val="99"/>
                <w:sz w:val="20"/>
              </w:rPr>
              <w:t>D</w:t>
            </w:r>
          </w:p>
        </w:tc>
        <w:tc>
          <w:tcPr>
            <w:tcW w:w="787" w:type="dxa"/>
            <w:shd w:val="clear" w:color="auto" w:fill="FF0000"/>
          </w:tcPr>
          <w:p>
            <w:pPr>
              <w:pStyle w:val="TableParagraph"/>
              <w:spacing w:before="8"/>
              <w:ind w:left="0" w:right="2"/>
              <w:jc w:val="center"/>
              <w:rPr>
                <w:sz w:val="20"/>
              </w:rPr>
            </w:pPr>
            <w:r>
              <w:rPr>
                <w:w w:val="99"/>
                <w:sz w:val="20"/>
              </w:rPr>
              <w:t>D</w:t>
            </w:r>
          </w:p>
        </w:tc>
        <w:tc>
          <w:tcPr>
            <w:tcW w:w="787" w:type="dxa"/>
            <w:shd w:val="clear" w:color="auto" w:fill="FF0000"/>
          </w:tcPr>
          <w:p>
            <w:pPr>
              <w:pStyle w:val="TableParagraph"/>
              <w:spacing w:before="8"/>
              <w:ind w:left="0"/>
              <w:jc w:val="center"/>
              <w:rPr>
                <w:sz w:val="20"/>
              </w:rPr>
            </w:pPr>
            <w:r>
              <w:rPr>
                <w:w w:val="99"/>
                <w:sz w:val="20"/>
              </w:rPr>
              <w:t>D</w:t>
            </w:r>
          </w:p>
        </w:tc>
        <w:tc>
          <w:tcPr>
            <w:tcW w:w="790" w:type="dxa"/>
            <w:shd w:val="clear" w:color="auto" w:fill="FF0000"/>
          </w:tcPr>
          <w:p>
            <w:pPr>
              <w:pStyle w:val="TableParagraph"/>
              <w:spacing w:before="8"/>
              <w:ind w:left="0" w:right="1"/>
              <w:jc w:val="center"/>
              <w:rPr>
                <w:sz w:val="20"/>
              </w:rPr>
            </w:pPr>
            <w:r>
              <w:rPr>
                <w:w w:val="99"/>
                <w:sz w:val="20"/>
              </w:rPr>
              <w:t>D</w:t>
            </w:r>
          </w:p>
        </w:tc>
        <w:tc>
          <w:tcPr>
            <w:tcW w:w="787" w:type="dxa"/>
            <w:shd w:val="clear" w:color="auto" w:fill="FF0000"/>
          </w:tcPr>
          <w:p>
            <w:pPr>
              <w:pStyle w:val="TableParagraph"/>
              <w:spacing w:before="8"/>
              <w:ind w:left="0" w:right="2"/>
              <w:jc w:val="center"/>
              <w:rPr>
                <w:sz w:val="20"/>
              </w:rPr>
            </w:pPr>
            <w:r>
              <w:rPr>
                <w:w w:val="99"/>
                <w:sz w:val="20"/>
              </w:rPr>
              <w:t>D</w:t>
            </w:r>
          </w:p>
        </w:tc>
        <w:tc>
          <w:tcPr>
            <w:tcW w:w="797" w:type="dxa"/>
            <w:shd w:val="clear" w:color="auto" w:fill="FF0000"/>
          </w:tcPr>
          <w:p>
            <w:pPr>
              <w:pStyle w:val="TableParagraph"/>
              <w:spacing w:before="8"/>
              <w:ind w:left="0"/>
              <w:jc w:val="center"/>
              <w:rPr>
                <w:sz w:val="20"/>
              </w:rPr>
            </w:pPr>
            <w:r>
              <w:rPr>
                <w:w w:val="99"/>
                <w:sz w:val="20"/>
              </w:rPr>
              <w:t>D</w:t>
            </w:r>
          </w:p>
        </w:tc>
      </w:tr>
      <w:tr>
        <w:trPr>
          <w:trHeight w:val="385" w:hRule="exact"/>
        </w:trPr>
        <w:tc>
          <w:tcPr>
            <w:tcW w:w="1114" w:type="dxa"/>
            <w:vMerge/>
            <w:shd w:val="clear" w:color="auto" w:fill="76923B"/>
            <w:textDirection w:val="btLr"/>
          </w:tcPr>
          <w:p>
            <w:pPr/>
          </w:p>
        </w:tc>
        <w:tc>
          <w:tcPr>
            <w:tcW w:w="814" w:type="dxa"/>
            <w:shd w:val="clear" w:color="auto" w:fill="76923B"/>
          </w:tcPr>
          <w:p>
            <w:pPr>
              <w:pStyle w:val="TableParagraph"/>
              <w:spacing w:before="16"/>
              <w:ind w:left="0" w:right="1"/>
              <w:jc w:val="center"/>
              <w:rPr>
                <w:sz w:val="20"/>
              </w:rPr>
            </w:pPr>
            <w:r>
              <w:rPr>
                <w:w w:val="99"/>
                <w:sz w:val="20"/>
              </w:rPr>
              <w:t>P</w:t>
            </w:r>
          </w:p>
        </w:tc>
        <w:tc>
          <w:tcPr>
            <w:tcW w:w="3404" w:type="dxa"/>
            <w:tcBorders>
              <w:right w:val="single" w:sz="41" w:space="0" w:color="00FF00"/>
            </w:tcBorders>
          </w:tcPr>
          <w:p>
            <w:pPr>
              <w:pStyle w:val="TableParagraph"/>
              <w:spacing w:before="16"/>
              <w:ind w:left="356" w:right="314"/>
              <w:jc w:val="center"/>
              <w:rPr>
                <w:sz w:val="20"/>
              </w:rPr>
            </w:pPr>
            <w:r>
              <w:rPr>
                <w:sz w:val="20"/>
              </w:rPr>
              <w:t>Cooperación ambiental_1</w:t>
            </w:r>
          </w:p>
        </w:tc>
        <w:tc>
          <w:tcPr>
            <w:tcW w:w="787" w:type="dxa"/>
            <w:shd w:val="clear" w:color="auto" w:fill="00FF00"/>
          </w:tcPr>
          <w:p>
            <w:pPr>
              <w:pStyle w:val="TableParagraph"/>
              <w:spacing w:before="16"/>
              <w:ind w:left="0" w:right="1"/>
              <w:jc w:val="center"/>
              <w:rPr>
                <w:sz w:val="20"/>
              </w:rPr>
            </w:pPr>
            <w:r>
              <w:rPr>
                <w:w w:val="99"/>
                <w:sz w:val="20"/>
              </w:rPr>
              <w:t>E</w:t>
            </w:r>
          </w:p>
        </w:tc>
        <w:tc>
          <w:tcPr>
            <w:tcW w:w="790" w:type="dxa"/>
            <w:tcBorders>
              <w:top w:val="single" w:sz="12" w:space="0" w:color="000000"/>
              <w:left w:val="single" w:sz="41" w:space="0" w:color="00FF00"/>
              <w:bottom w:val="single" w:sz="12" w:space="0" w:color="000000"/>
              <w:right w:val="single" w:sz="41" w:space="0" w:color="FF0000"/>
            </w:tcBorders>
          </w:tcPr>
          <w:p>
            <w:pPr>
              <w:pStyle w:val="TableParagraph"/>
              <w:spacing w:before="5"/>
              <w:ind w:left="0" w:right="1"/>
              <w:jc w:val="center"/>
              <w:rPr>
                <w:sz w:val="20"/>
              </w:rPr>
            </w:pPr>
            <w:r>
              <w:rPr>
                <w:w w:val="99"/>
                <w:sz w:val="20"/>
              </w:rPr>
              <w:t>B</w:t>
            </w:r>
          </w:p>
        </w:tc>
        <w:tc>
          <w:tcPr>
            <w:tcW w:w="788" w:type="dxa"/>
            <w:tcBorders>
              <w:bottom w:val="single" w:sz="12" w:space="0" w:color="000000"/>
            </w:tcBorders>
            <w:shd w:val="clear" w:color="auto" w:fill="FF0000"/>
          </w:tcPr>
          <w:p>
            <w:pPr>
              <w:pStyle w:val="TableParagraph"/>
              <w:spacing w:before="16"/>
              <w:ind w:left="0" w:right="3"/>
              <w:jc w:val="center"/>
              <w:rPr>
                <w:sz w:val="20"/>
              </w:rPr>
            </w:pPr>
            <w:r>
              <w:rPr>
                <w:w w:val="99"/>
                <w:sz w:val="20"/>
              </w:rPr>
              <w:t>D</w:t>
            </w:r>
          </w:p>
        </w:tc>
        <w:tc>
          <w:tcPr>
            <w:tcW w:w="787" w:type="dxa"/>
            <w:tcBorders>
              <w:bottom w:val="single" w:sz="12" w:space="0" w:color="000000"/>
            </w:tcBorders>
            <w:shd w:val="clear" w:color="auto" w:fill="FF0000"/>
          </w:tcPr>
          <w:p>
            <w:pPr>
              <w:pStyle w:val="TableParagraph"/>
              <w:spacing w:before="16"/>
              <w:ind w:left="0"/>
              <w:jc w:val="center"/>
              <w:rPr>
                <w:sz w:val="20"/>
              </w:rPr>
            </w:pPr>
            <w:r>
              <w:rPr>
                <w:w w:val="99"/>
                <w:sz w:val="20"/>
              </w:rPr>
              <w:t>D</w:t>
            </w:r>
          </w:p>
        </w:tc>
        <w:tc>
          <w:tcPr>
            <w:tcW w:w="790" w:type="dxa"/>
            <w:tcBorders>
              <w:bottom w:val="single" w:sz="12" w:space="0" w:color="000000"/>
            </w:tcBorders>
            <w:shd w:val="clear" w:color="auto" w:fill="FF0000"/>
          </w:tcPr>
          <w:p>
            <w:pPr>
              <w:pStyle w:val="TableParagraph"/>
              <w:spacing w:before="16"/>
              <w:ind w:left="0"/>
              <w:jc w:val="center"/>
              <w:rPr>
                <w:sz w:val="20"/>
              </w:rPr>
            </w:pPr>
            <w:r>
              <w:rPr>
                <w:w w:val="99"/>
                <w:sz w:val="20"/>
              </w:rPr>
              <w:t>D</w:t>
            </w:r>
          </w:p>
        </w:tc>
        <w:tc>
          <w:tcPr>
            <w:tcW w:w="787" w:type="dxa"/>
            <w:tcBorders>
              <w:bottom w:val="single" w:sz="12" w:space="0" w:color="000000"/>
            </w:tcBorders>
            <w:shd w:val="clear" w:color="auto" w:fill="FF0000"/>
          </w:tcPr>
          <w:p>
            <w:pPr>
              <w:pStyle w:val="TableParagraph"/>
              <w:spacing w:before="16"/>
              <w:ind w:left="0" w:right="2"/>
              <w:jc w:val="center"/>
              <w:rPr>
                <w:sz w:val="20"/>
              </w:rPr>
            </w:pPr>
            <w:r>
              <w:rPr>
                <w:w w:val="99"/>
                <w:sz w:val="20"/>
              </w:rPr>
              <w:t>D</w:t>
            </w:r>
          </w:p>
        </w:tc>
        <w:tc>
          <w:tcPr>
            <w:tcW w:w="787" w:type="dxa"/>
            <w:tcBorders>
              <w:bottom w:val="single" w:sz="12" w:space="0" w:color="000000"/>
            </w:tcBorders>
            <w:shd w:val="clear" w:color="auto" w:fill="FF0000"/>
          </w:tcPr>
          <w:p>
            <w:pPr>
              <w:pStyle w:val="TableParagraph"/>
              <w:spacing w:before="16"/>
              <w:ind w:left="0"/>
              <w:jc w:val="center"/>
              <w:rPr>
                <w:sz w:val="20"/>
              </w:rPr>
            </w:pPr>
            <w:r>
              <w:rPr>
                <w:w w:val="99"/>
                <w:sz w:val="20"/>
              </w:rPr>
              <w:t>D</w:t>
            </w:r>
          </w:p>
        </w:tc>
        <w:tc>
          <w:tcPr>
            <w:tcW w:w="790" w:type="dxa"/>
            <w:tcBorders>
              <w:bottom w:val="single" w:sz="12" w:space="0" w:color="000000"/>
            </w:tcBorders>
            <w:shd w:val="clear" w:color="auto" w:fill="FF0000"/>
          </w:tcPr>
          <w:p>
            <w:pPr>
              <w:pStyle w:val="TableParagraph"/>
              <w:spacing w:before="16"/>
              <w:ind w:left="0" w:right="1"/>
              <w:jc w:val="center"/>
              <w:rPr>
                <w:sz w:val="20"/>
              </w:rPr>
            </w:pPr>
            <w:r>
              <w:rPr>
                <w:w w:val="99"/>
                <w:sz w:val="20"/>
              </w:rPr>
              <w:t>D</w:t>
            </w:r>
          </w:p>
        </w:tc>
        <w:tc>
          <w:tcPr>
            <w:tcW w:w="787" w:type="dxa"/>
            <w:tcBorders>
              <w:bottom w:val="single" w:sz="12" w:space="0" w:color="000000"/>
            </w:tcBorders>
            <w:shd w:val="clear" w:color="auto" w:fill="FF0000"/>
          </w:tcPr>
          <w:p>
            <w:pPr>
              <w:pStyle w:val="TableParagraph"/>
              <w:spacing w:before="16"/>
              <w:ind w:left="0" w:right="2"/>
              <w:jc w:val="center"/>
              <w:rPr>
                <w:sz w:val="20"/>
              </w:rPr>
            </w:pPr>
            <w:r>
              <w:rPr>
                <w:w w:val="99"/>
                <w:sz w:val="20"/>
              </w:rPr>
              <w:t>D</w:t>
            </w:r>
          </w:p>
        </w:tc>
        <w:tc>
          <w:tcPr>
            <w:tcW w:w="797" w:type="dxa"/>
            <w:tcBorders>
              <w:left w:val="single" w:sz="45" w:space="0" w:color="FF0000"/>
              <w:bottom w:val="single" w:sz="12" w:space="0" w:color="000000"/>
            </w:tcBorders>
            <w:shd w:val="clear" w:color="auto" w:fill="FFFF00"/>
          </w:tcPr>
          <w:p>
            <w:pPr>
              <w:pStyle w:val="TableParagraph"/>
              <w:spacing w:before="16"/>
              <w:ind w:left="0" w:right="49"/>
              <w:jc w:val="center"/>
              <w:rPr>
                <w:sz w:val="20"/>
              </w:rPr>
            </w:pPr>
            <w:r>
              <w:rPr>
                <w:w w:val="99"/>
                <w:sz w:val="20"/>
              </w:rPr>
              <w:t>R</w:t>
            </w:r>
          </w:p>
        </w:tc>
      </w:tr>
      <w:tr>
        <w:trPr>
          <w:trHeight w:val="374" w:hRule="exact"/>
        </w:trPr>
        <w:tc>
          <w:tcPr>
            <w:tcW w:w="1114" w:type="dxa"/>
            <w:vMerge/>
            <w:tcBorders>
              <w:bottom w:val="single" w:sz="12" w:space="0" w:color="000000"/>
            </w:tcBorders>
            <w:shd w:val="clear" w:color="auto" w:fill="76923B"/>
            <w:textDirection w:val="btLr"/>
          </w:tcPr>
          <w:p>
            <w:pPr/>
          </w:p>
        </w:tc>
        <w:tc>
          <w:tcPr>
            <w:tcW w:w="814" w:type="dxa"/>
            <w:tcBorders>
              <w:bottom w:val="single" w:sz="12" w:space="0" w:color="000000"/>
            </w:tcBorders>
            <w:shd w:val="clear" w:color="auto" w:fill="76923B"/>
          </w:tcPr>
          <w:p>
            <w:pPr>
              <w:pStyle w:val="TableParagraph"/>
              <w:spacing w:before="5"/>
              <w:ind w:left="0" w:right="1"/>
              <w:jc w:val="center"/>
              <w:rPr>
                <w:sz w:val="20"/>
              </w:rPr>
            </w:pPr>
            <w:r>
              <w:rPr>
                <w:w w:val="99"/>
                <w:sz w:val="20"/>
              </w:rPr>
              <w:t>P</w:t>
            </w:r>
          </w:p>
        </w:tc>
        <w:tc>
          <w:tcPr>
            <w:tcW w:w="3404" w:type="dxa"/>
            <w:tcBorders>
              <w:bottom w:val="single" w:sz="12" w:space="0" w:color="000000"/>
              <w:right w:val="single" w:sz="41" w:space="0" w:color="00FF00"/>
            </w:tcBorders>
          </w:tcPr>
          <w:p>
            <w:pPr>
              <w:pStyle w:val="TableParagraph"/>
              <w:spacing w:before="5"/>
              <w:ind w:left="355" w:right="314"/>
              <w:jc w:val="center"/>
              <w:rPr>
                <w:sz w:val="20"/>
              </w:rPr>
            </w:pPr>
            <w:r>
              <w:rPr>
                <w:sz w:val="20"/>
              </w:rPr>
              <w:t>Identidad ambiental</w:t>
            </w:r>
          </w:p>
        </w:tc>
        <w:tc>
          <w:tcPr>
            <w:tcW w:w="787" w:type="dxa"/>
            <w:tcBorders>
              <w:bottom w:val="single" w:sz="12" w:space="0" w:color="000000"/>
            </w:tcBorders>
            <w:shd w:val="clear" w:color="auto" w:fill="00FF00"/>
          </w:tcPr>
          <w:p>
            <w:pPr>
              <w:pStyle w:val="TableParagraph"/>
              <w:spacing w:before="5"/>
              <w:ind w:left="0" w:right="1"/>
              <w:jc w:val="center"/>
              <w:rPr>
                <w:sz w:val="20"/>
              </w:rPr>
            </w:pPr>
            <w:r>
              <w:rPr>
                <w:w w:val="99"/>
                <w:sz w:val="20"/>
              </w:rPr>
              <w:t>E</w:t>
            </w:r>
          </w:p>
        </w:tc>
        <w:tc>
          <w:tcPr>
            <w:tcW w:w="790" w:type="dxa"/>
            <w:tcBorders>
              <w:top w:val="single" w:sz="12" w:space="0" w:color="000000"/>
              <w:left w:val="single" w:sz="41" w:space="0" w:color="00FF00"/>
              <w:bottom w:val="single" w:sz="12" w:space="0" w:color="000000"/>
            </w:tcBorders>
          </w:tcPr>
          <w:p>
            <w:pPr>
              <w:pStyle w:val="TableParagraph"/>
              <w:spacing w:line="225" w:lineRule="exact"/>
              <w:ind w:left="0" w:right="48"/>
              <w:jc w:val="center"/>
              <w:rPr>
                <w:sz w:val="20"/>
              </w:rPr>
            </w:pPr>
            <w:r>
              <w:rPr>
                <w:w w:val="99"/>
                <w:sz w:val="20"/>
              </w:rPr>
              <w:t>B</w:t>
            </w:r>
          </w:p>
        </w:tc>
        <w:tc>
          <w:tcPr>
            <w:tcW w:w="788" w:type="dxa"/>
            <w:tcBorders>
              <w:top w:val="single" w:sz="12" w:space="0" w:color="000000"/>
              <w:bottom w:val="single" w:sz="12" w:space="0" w:color="000000"/>
            </w:tcBorders>
          </w:tcPr>
          <w:p>
            <w:pPr>
              <w:pStyle w:val="TableParagraph"/>
              <w:spacing w:line="225" w:lineRule="exact"/>
              <w:ind w:left="0" w:right="4"/>
              <w:jc w:val="center"/>
              <w:rPr>
                <w:sz w:val="20"/>
              </w:rPr>
            </w:pPr>
            <w:r>
              <w:rPr>
                <w:w w:val="99"/>
                <w:sz w:val="20"/>
              </w:rPr>
              <w:t>B</w:t>
            </w:r>
          </w:p>
        </w:tc>
        <w:tc>
          <w:tcPr>
            <w:tcW w:w="787" w:type="dxa"/>
            <w:tcBorders>
              <w:top w:val="single" w:sz="12" w:space="0" w:color="000000"/>
              <w:bottom w:val="single" w:sz="12" w:space="0" w:color="000000"/>
            </w:tcBorders>
          </w:tcPr>
          <w:p>
            <w:pPr>
              <w:pStyle w:val="TableParagraph"/>
              <w:spacing w:line="225" w:lineRule="exact"/>
              <w:ind w:left="0" w:right="1"/>
              <w:jc w:val="center"/>
              <w:rPr>
                <w:sz w:val="20"/>
              </w:rPr>
            </w:pPr>
            <w:r>
              <w:rPr>
                <w:w w:val="99"/>
                <w:sz w:val="20"/>
              </w:rPr>
              <w:t>B</w:t>
            </w:r>
          </w:p>
        </w:tc>
        <w:tc>
          <w:tcPr>
            <w:tcW w:w="790" w:type="dxa"/>
            <w:tcBorders>
              <w:top w:val="single" w:sz="12" w:space="0" w:color="000000"/>
              <w:bottom w:val="single" w:sz="12" w:space="0" w:color="000000"/>
            </w:tcBorders>
          </w:tcPr>
          <w:p>
            <w:pPr>
              <w:pStyle w:val="TableParagraph"/>
              <w:spacing w:line="225" w:lineRule="exact"/>
              <w:ind w:left="0" w:right="1"/>
              <w:jc w:val="center"/>
              <w:rPr>
                <w:sz w:val="20"/>
              </w:rPr>
            </w:pPr>
            <w:r>
              <w:rPr>
                <w:w w:val="99"/>
                <w:sz w:val="20"/>
              </w:rPr>
              <w:t>B</w:t>
            </w:r>
          </w:p>
        </w:tc>
        <w:tc>
          <w:tcPr>
            <w:tcW w:w="787" w:type="dxa"/>
            <w:tcBorders>
              <w:top w:val="single" w:sz="12" w:space="0" w:color="000000"/>
              <w:bottom w:val="single" w:sz="12" w:space="0" w:color="000000"/>
            </w:tcBorders>
          </w:tcPr>
          <w:p>
            <w:pPr>
              <w:pStyle w:val="TableParagraph"/>
              <w:spacing w:line="225" w:lineRule="exact"/>
              <w:ind w:left="0" w:right="4"/>
              <w:jc w:val="center"/>
              <w:rPr>
                <w:sz w:val="20"/>
              </w:rPr>
            </w:pPr>
            <w:r>
              <w:rPr>
                <w:w w:val="99"/>
                <w:sz w:val="20"/>
              </w:rPr>
              <w:t>B</w:t>
            </w:r>
          </w:p>
        </w:tc>
        <w:tc>
          <w:tcPr>
            <w:tcW w:w="787" w:type="dxa"/>
            <w:tcBorders>
              <w:top w:val="single" w:sz="12" w:space="0" w:color="000000"/>
              <w:bottom w:val="single" w:sz="12" w:space="0" w:color="000000"/>
            </w:tcBorders>
          </w:tcPr>
          <w:p>
            <w:pPr>
              <w:pStyle w:val="TableParagraph"/>
              <w:spacing w:line="225" w:lineRule="exact"/>
              <w:ind w:left="0" w:right="1"/>
              <w:jc w:val="center"/>
              <w:rPr>
                <w:sz w:val="20"/>
              </w:rPr>
            </w:pPr>
            <w:r>
              <w:rPr>
                <w:w w:val="99"/>
                <w:sz w:val="20"/>
              </w:rPr>
              <w:t>B</w:t>
            </w:r>
          </w:p>
        </w:tc>
        <w:tc>
          <w:tcPr>
            <w:tcW w:w="790" w:type="dxa"/>
            <w:tcBorders>
              <w:top w:val="single" w:sz="12" w:space="0" w:color="000000"/>
              <w:bottom w:val="single" w:sz="12" w:space="0" w:color="000000"/>
            </w:tcBorders>
          </w:tcPr>
          <w:p>
            <w:pPr>
              <w:pStyle w:val="TableParagraph"/>
              <w:spacing w:line="225" w:lineRule="exact"/>
              <w:ind w:left="0" w:right="1"/>
              <w:jc w:val="center"/>
              <w:rPr>
                <w:sz w:val="20"/>
              </w:rPr>
            </w:pPr>
            <w:r>
              <w:rPr>
                <w:w w:val="99"/>
                <w:sz w:val="20"/>
              </w:rPr>
              <w:t>B</w:t>
            </w:r>
          </w:p>
        </w:tc>
        <w:tc>
          <w:tcPr>
            <w:tcW w:w="787" w:type="dxa"/>
            <w:tcBorders>
              <w:top w:val="single" w:sz="12" w:space="0" w:color="000000"/>
              <w:bottom w:val="single" w:sz="12" w:space="0" w:color="000000"/>
            </w:tcBorders>
          </w:tcPr>
          <w:p>
            <w:pPr>
              <w:pStyle w:val="TableParagraph"/>
              <w:spacing w:line="225" w:lineRule="exact"/>
              <w:ind w:left="0" w:right="4"/>
              <w:jc w:val="center"/>
              <w:rPr>
                <w:sz w:val="20"/>
              </w:rPr>
            </w:pPr>
            <w:r>
              <w:rPr>
                <w:w w:val="99"/>
                <w:sz w:val="20"/>
              </w:rPr>
              <w:t>B</w:t>
            </w:r>
          </w:p>
        </w:tc>
        <w:tc>
          <w:tcPr>
            <w:tcW w:w="797" w:type="dxa"/>
            <w:tcBorders>
              <w:top w:val="single" w:sz="12" w:space="0" w:color="000000"/>
              <w:bottom w:val="single" w:sz="12" w:space="0" w:color="000000"/>
            </w:tcBorders>
          </w:tcPr>
          <w:p>
            <w:pPr>
              <w:pStyle w:val="TableParagraph"/>
              <w:spacing w:line="225" w:lineRule="exact"/>
              <w:ind w:left="0" w:right="1"/>
              <w:jc w:val="center"/>
              <w:rPr>
                <w:sz w:val="20"/>
              </w:rPr>
            </w:pPr>
            <w:r>
              <w:rPr>
                <w:w w:val="99"/>
                <w:sz w:val="20"/>
              </w:rPr>
              <w:t>B</w:t>
            </w:r>
          </w:p>
        </w:tc>
      </w:tr>
      <w:tr>
        <w:trPr>
          <w:trHeight w:val="364" w:hRule="exact"/>
        </w:trPr>
        <w:tc>
          <w:tcPr>
            <w:tcW w:w="1114" w:type="dxa"/>
            <w:vMerge w:val="restart"/>
            <w:tcBorders>
              <w:top w:val="single" w:sz="12" w:space="0" w:color="000000"/>
            </w:tcBorders>
            <w:shd w:val="clear" w:color="auto" w:fill="D99493"/>
            <w:textDirection w:val="btLr"/>
          </w:tcPr>
          <w:p>
            <w:pPr>
              <w:pStyle w:val="TableParagraph"/>
              <w:ind w:left="0"/>
              <w:rPr>
                <w:b/>
                <w:sz w:val="20"/>
              </w:rPr>
            </w:pPr>
          </w:p>
          <w:p>
            <w:pPr>
              <w:pStyle w:val="TableParagraph"/>
              <w:spacing w:before="1"/>
              <w:ind w:left="0"/>
              <w:rPr>
                <w:b/>
                <w:sz w:val="17"/>
              </w:rPr>
            </w:pPr>
          </w:p>
          <w:p>
            <w:pPr>
              <w:pStyle w:val="TableParagraph"/>
              <w:spacing w:before="1"/>
              <w:ind w:left="626"/>
              <w:rPr>
                <w:b/>
                <w:sz w:val="20"/>
              </w:rPr>
            </w:pPr>
            <w:r>
              <w:rPr>
                <w:b/>
                <w:spacing w:val="-1"/>
                <w:w w:val="99"/>
                <w:sz w:val="20"/>
              </w:rPr>
              <w:t>S</w:t>
            </w:r>
            <w:r>
              <w:rPr>
                <w:b/>
                <w:w w:val="99"/>
                <w:sz w:val="20"/>
              </w:rPr>
              <w:t>O</w:t>
            </w:r>
            <w:r>
              <w:rPr>
                <w:b/>
                <w:w w:val="99"/>
                <w:sz w:val="20"/>
              </w:rPr>
              <w:t>CIO</w:t>
            </w:r>
            <w:r>
              <w:rPr>
                <w:b/>
                <w:spacing w:val="-1"/>
                <w:w w:val="99"/>
                <w:sz w:val="20"/>
              </w:rPr>
              <w:t>P</w:t>
            </w:r>
            <w:r>
              <w:rPr>
                <w:b/>
                <w:w w:val="99"/>
                <w:sz w:val="20"/>
              </w:rPr>
              <w:t>OL</w:t>
            </w:r>
            <w:r>
              <w:rPr>
                <w:b/>
                <w:w w:val="99"/>
                <w:sz w:val="20"/>
              </w:rPr>
              <w:t>ÍTICA</w:t>
            </w:r>
          </w:p>
        </w:tc>
        <w:tc>
          <w:tcPr>
            <w:tcW w:w="814" w:type="dxa"/>
            <w:tcBorders>
              <w:top w:val="single" w:sz="12" w:space="0" w:color="000000"/>
            </w:tcBorders>
            <w:shd w:val="clear" w:color="auto" w:fill="D99493"/>
          </w:tcPr>
          <w:p>
            <w:pPr>
              <w:pStyle w:val="TableParagraph"/>
              <w:spacing w:line="228" w:lineRule="exact"/>
              <w:ind w:left="0" w:right="1"/>
              <w:jc w:val="center"/>
              <w:rPr>
                <w:sz w:val="20"/>
              </w:rPr>
            </w:pPr>
            <w:r>
              <w:rPr>
                <w:w w:val="99"/>
                <w:sz w:val="20"/>
              </w:rPr>
              <w:t>P</w:t>
            </w:r>
          </w:p>
        </w:tc>
        <w:tc>
          <w:tcPr>
            <w:tcW w:w="3404" w:type="dxa"/>
            <w:tcBorders>
              <w:top w:val="single" w:sz="12" w:space="0" w:color="000000"/>
              <w:right w:val="single" w:sz="41" w:space="0" w:color="00FF00"/>
            </w:tcBorders>
          </w:tcPr>
          <w:p>
            <w:pPr>
              <w:pStyle w:val="TableParagraph"/>
              <w:spacing w:line="228" w:lineRule="exact"/>
              <w:ind w:left="356" w:right="314"/>
              <w:jc w:val="center"/>
              <w:rPr>
                <w:sz w:val="20"/>
              </w:rPr>
            </w:pPr>
            <w:r>
              <w:rPr>
                <w:sz w:val="20"/>
              </w:rPr>
              <w:t>Historia sociopolítica</w:t>
            </w:r>
          </w:p>
        </w:tc>
        <w:tc>
          <w:tcPr>
            <w:tcW w:w="787"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90"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88" w:type="dxa"/>
            <w:tcBorders>
              <w:top w:val="single" w:sz="12" w:space="0" w:color="000000"/>
            </w:tcBorders>
            <w:shd w:val="clear" w:color="auto" w:fill="00FF00"/>
          </w:tcPr>
          <w:p>
            <w:pPr>
              <w:pStyle w:val="TableParagraph"/>
              <w:spacing w:line="228" w:lineRule="exact"/>
              <w:ind w:left="0" w:right="4"/>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90"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8" w:lineRule="exact"/>
              <w:ind w:left="0" w:right="4"/>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90"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8" w:lineRule="exact"/>
              <w:ind w:left="0" w:right="4"/>
              <w:jc w:val="center"/>
              <w:rPr>
                <w:sz w:val="20"/>
              </w:rPr>
            </w:pPr>
            <w:r>
              <w:rPr>
                <w:w w:val="99"/>
                <w:sz w:val="20"/>
              </w:rPr>
              <w:t>E</w:t>
            </w:r>
          </w:p>
        </w:tc>
        <w:tc>
          <w:tcPr>
            <w:tcW w:w="797" w:type="dxa"/>
            <w:tcBorders>
              <w:top w:val="single" w:sz="12" w:space="0" w:color="000000"/>
            </w:tcBorders>
            <w:shd w:val="clear" w:color="auto" w:fill="00FF00"/>
          </w:tcPr>
          <w:p>
            <w:pPr>
              <w:pStyle w:val="TableParagraph"/>
              <w:spacing w:line="228" w:lineRule="exact"/>
              <w:ind w:left="0" w:right="1"/>
              <w:jc w:val="center"/>
              <w:rPr>
                <w:sz w:val="20"/>
              </w:rPr>
            </w:pPr>
            <w:r>
              <w:rPr>
                <w:w w:val="99"/>
                <w:sz w:val="20"/>
              </w:rPr>
              <w:t>E</w:t>
            </w:r>
          </w:p>
        </w:tc>
      </w:tr>
      <w:tr>
        <w:trPr>
          <w:trHeight w:val="355" w:hRule="exact"/>
        </w:trPr>
        <w:tc>
          <w:tcPr>
            <w:tcW w:w="1114" w:type="dxa"/>
            <w:vMerge/>
            <w:shd w:val="clear" w:color="auto" w:fill="D99493"/>
            <w:textDirection w:val="btLr"/>
          </w:tcPr>
          <w:p>
            <w:pPr/>
          </w:p>
        </w:tc>
        <w:tc>
          <w:tcPr>
            <w:tcW w:w="814" w:type="dxa"/>
            <w:shd w:val="clear" w:color="auto" w:fill="D99493"/>
          </w:tcPr>
          <w:p>
            <w:pPr>
              <w:pStyle w:val="TableParagraph"/>
              <w:spacing w:line="230"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30" w:lineRule="exact"/>
              <w:ind w:left="356" w:right="314"/>
              <w:jc w:val="center"/>
              <w:rPr>
                <w:sz w:val="20"/>
              </w:rPr>
            </w:pPr>
            <w:r>
              <w:rPr>
                <w:sz w:val="20"/>
              </w:rPr>
              <w:t>Poder sociopolítico</w:t>
            </w:r>
          </w:p>
        </w:tc>
        <w:tc>
          <w:tcPr>
            <w:tcW w:w="787" w:type="dxa"/>
            <w:shd w:val="clear" w:color="auto" w:fill="00FF00"/>
          </w:tcPr>
          <w:p>
            <w:pPr>
              <w:pStyle w:val="TableParagraph"/>
              <w:spacing w:line="230" w:lineRule="exact"/>
              <w:ind w:left="0" w:right="1"/>
              <w:jc w:val="center"/>
              <w:rPr>
                <w:sz w:val="20"/>
              </w:rPr>
            </w:pPr>
            <w:r>
              <w:rPr>
                <w:w w:val="99"/>
                <w:sz w:val="20"/>
              </w:rPr>
              <w:t>E</w:t>
            </w:r>
          </w:p>
        </w:tc>
        <w:tc>
          <w:tcPr>
            <w:tcW w:w="790" w:type="dxa"/>
            <w:tcBorders>
              <w:left w:val="single" w:sz="41" w:space="0" w:color="00FF00"/>
              <w:right w:val="single" w:sz="41" w:space="0" w:color="FF0000"/>
            </w:tcBorders>
          </w:tcPr>
          <w:p>
            <w:pPr>
              <w:pStyle w:val="TableParagraph"/>
              <w:spacing w:line="230" w:lineRule="exact"/>
              <w:ind w:left="0" w:right="1"/>
              <w:jc w:val="center"/>
              <w:rPr>
                <w:sz w:val="20"/>
              </w:rPr>
            </w:pPr>
            <w:r>
              <w:rPr>
                <w:w w:val="99"/>
                <w:sz w:val="20"/>
              </w:rPr>
              <w:t>B</w:t>
            </w:r>
          </w:p>
        </w:tc>
        <w:tc>
          <w:tcPr>
            <w:tcW w:w="788" w:type="dxa"/>
            <w:shd w:val="clear" w:color="auto" w:fill="FF0000"/>
          </w:tcPr>
          <w:p>
            <w:pPr>
              <w:pStyle w:val="TableParagraph"/>
              <w:spacing w:line="230" w:lineRule="exact"/>
              <w:ind w:left="0" w:right="3"/>
              <w:jc w:val="center"/>
              <w:rPr>
                <w:sz w:val="20"/>
              </w:rPr>
            </w:pPr>
            <w:r>
              <w:rPr>
                <w:w w:val="99"/>
                <w:sz w:val="20"/>
              </w:rPr>
              <w:t>D</w:t>
            </w:r>
          </w:p>
        </w:tc>
        <w:tc>
          <w:tcPr>
            <w:tcW w:w="787" w:type="dxa"/>
            <w:tcBorders>
              <w:right w:val="single" w:sz="41" w:space="0" w:color="FFFF00"/>
            </w:tcBorders>
            <w:shd w:val="clear" w:color="auto" w:fill="FF0000"/>
          </w:tcPr>
          <w:p>
            <w:pPr>
              <w:pStyle w:val="TableParagraph"/>
              <w:spacing w:line="230" w:lineRule="exact"/>
              <w:ind w:left="46"/>
              <w:jc w:val="center"/>
              <w:rPr>
                <w:sz w:val="20"/>
              </w:rPr>
            </w:pPr>
            <w:r>
              <w:rPr>
                <w:w w:val="99"/>
                <w:sz w:val="20"/>
              </w:rPr>
              <w:t>D</w:t>
            </w:r>
          </w:p>
        </w:tc>
        <w:tc>
          <w:tcPr>
            <w:tcW w:w="790" w:type="dxa"/>
            <w:tcBorders>
              <w:left w:val="single" w:sz="45" w:space="0" w:color="FF0000"/>
            </w:tcBorders>
            <w:shd w:val="clear" w:color="auto" w:fill="FFFF00"/>
          </w:tcPr>
          <w:p>
            <w:pPr>
              <w:pStyle w:val="TableParagraph"/>
              <w:spacing w:line="230" w:lineRule="exact"/>
              <w:ind w:left="0" w:right="52"/>
              <w:jc w:val="center"/>
              <w:rPr>
                <w:sz w:val="20"/>
              </w:rPr>
            </w:pPr>
            <w:r>
              <w:rPr>
                <w:w w:val="99"/>
                <w:sz w:val="20"/>
              </w:rPr>
              <w:t>R</w:t>
            </w:r>
          </w:p>
        </w:tc>
        <w:tc>
          <w:tcPr>
            <w:tcW w:w="787" w:type="dxa"/>
            <w:shd w:val="clear" w:color="auto" w:fill="FFFF00"/>
          </w:tcPr>
          <w:p>
            <w:pPr>
              <w:pStyle w:val="TableParagraph"/>
              <w:spacing w:line="230" w:lineRule="exact"/>
              <w:ind w:left="0" w:right="2"/>
              <w:jc w:val="center"/>
              <w:rPr>
                <w:sz w:val="20"/>
              </w:rPr>
            </w:pPr>
            <w:r>
              <w:rPr>
                <w:w w:val="99"/>
                <w:sz w:val="20"/>
              </w:rPr>
              <w:t>R</w:t>
            </w:r>
          </w:p>
        </w:tc>
        <w:tc>
          <w:tcPr>
            <w:tcW w:w="787" w:type="dxa"/>
            <w:shd w:val="clear" w:color="auto" w:fill="FFFF00"/>
          </w:tcPr>
          <w:p>
            <w:pPr>
              <w:pStyle w:val="TableParagraph"/>
              <w:spacing w:line="230" w:lineRule="exact"/>
              <w:ind w:left="0"/>
              <w:jc w:val="center"/>
              <w:rPr>
                <w:sz w:val="20"/>
              </w:rPr>
            </w:pPr>
            <w:r>
              <w:rPr>
                <w:w w:val="99"/>
                <w:sz w:val="20"/>
              </w:rPr>
              <w:t>R</w:t>
            </w:r>
          </w:p>
        </w:tc>
        <w:tc>
          <w:tcPr>
            <w:tcW w:w="790" w:type="dxa"/>
            <w:shd w:val="clear" w:color="auto" w:fill="FFFF00"/>
          </w:tcPr>
          <w:p>
            <w:pPr>
              <w:pStyle w:val="TableParagraph"/>
              <w:spacing w:line="230" w:lineRule="exact"/>
              <w:ind w:left="0" w:right="1"/>
              <w:jc w:val="center"/>
              <w:rPr>
                <w:sz w:val="20"/>
              </w:rPr>
            </w:pPr>
            <w:r>
              <w:rPr>
                <w:w w:val="99"/>
                <w:sz w:val="20"/>
              </w:rPr>
              <w:t>R</w:t>
            </w:r>
          </w:p>
        </w:tc>
        <w:tc>
          <w:tcPr>
            <w:tcW w:w="787" w:type="dxa"/>
            <w:shd w:val="clear" w:color="auto" w:fill="FFFF00"/>
          </w:tcPr>
          <w:p>
            <w:pPr>
              <w:pStyle w:val="TableParagraph"/>
              <w:spacing w:line="230" w:lineRule="exact"/>
              <w:ind w:left="0" w:right="2"/>
              <w:jc w:val="center"/>
              <w:rPr>
                <w:sz w:val="20"/>
              </w:rPr>
            </w:pPr>
            <w:r>
              <w:rPr>
                <w:w w:val="99"/>
                <w:sz w:val="20"/>
              </w:rPr>
              <w:t>R</w:t>
            </w:r>
          </w:p>
        </w:tc>
        <w:tc>
          <w:tcPr>
            <w:tcW w:w="797" w:type="dxa"/>
            <w:shd w:val="clear" w:color="auto" w:fill="FFFF00"/>
          </w:tcPr>
          <w:p>
            <w:pPr>
              <w:pStyle w:val="TableParagraph"/>
              <w:spacing w:line="230" w:lineRule="exact"/>
              <w:ind w:left="0"/>
              <w:jc w:val="center"/>
              <w:rPr>
                <w:sz w:val="20"/>
              </w:rPr>
            </w:pPr>
            <w:r>
              <w:rPr>
                <w:w w:val="99"/>
                <w:sz w:val="20"/>
              </w:rPr>
              <w:t>R</w:t>
            </w:r>
          </w:p>
        </w:tc>
      </w:tr>
      <w:tr>
        <w:trPr>
          <w:trHeight w:val="356" w:hRule="exact"/>
        </w:trPr>
        <w:tc>
          <w:tcPr>
            <w:tcW w:w="1114" w:type="dxa"/>
            <w:vMerge/>
            <w:shd w:val="clear" w:color="auto" w:fill="D99493"/>
            <w:textDirection w:val="btLr"/>
          </w:tcPr>
          <w:p>
            <w:pPr/>
          </w:p>
        </w:tc>
        <w:tc>
          <w:tcPr>
            <w:tcW w:w="814" w:type="dxa"/>
            <w:shd w:val="clear" w:color="auto" w:fill="D99493"/>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6" w:right="314"/>
              <w:jc w:val="center"/>
              <w:rPr>
                <w:sz w:val="20"/>
              </w:rPr>
            </w:pPr>
            <w:r>
              <w:rPr>
                <w:sz w:val="20"/>
              </w:rPr>
              <w:t>Cultura sociopolítica</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tcBorders>
          </w:tcPr>
          <w:p>
            <w:pPr>
              <w:pStyle w:val="TableParagraph"/>
              <w:spacing w:line="227" w:lineRule="exact"/>
              <w:ind w:left="0" w:right="48"/>
              <w:jc w:val="center"/>
              <w:rPr>
                <w:sz w:val="20"/>
              </w:rPr>
            </w:pPr>
            <w:r>
              <w:rPr>
                <w:w w:val="99"/>
                <w:sz w:val="20"/>
              </w:rPr>
              <w:t>B</w:t>
            </w:r>
          </w:p>
        </w:tc>
        <w:tc>
          <w:tcPr>
            <w:tcW w:w="788"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97" w:type="dxa"/>
          </w:tcPr>
          <w:p>
            <w:pPr>
              <w:pStyle w:val="TableParagraph"/>
              <w:spacing w:line="227" w:lineRule="exact"/>
              <w:ind w:left="0" w:right="1"/>
              <w:jc w:val="center"/>
              <w:rPr>
                <w:sz w:val="20"/>
              </w:rPr>
            </w:pPr>
            <w:r>
              <w:rPr>
                <w:w w:val="99"/>
                <w:sz w:val="20"/>
              </w:rPr>
              <w:t>B</w:t>
            </w:r>
          </w:p>
        </w:tc>
      </w:tr>
      <w:tr>
        <w:trPr>
          <w:trHeight w:val="355" w:hRule="exact"/>
        </w:trPr>
        <w:tc>
          <w:tcPr>
            <w:tcW w:w="1114" w:type="dxa"/>
            <w:vMerge/>
            <w:shd w:val="clear" w:color="auto" w:fill="D99493"/>
            <w:textDirection w:val="btLr"/>
          </w:tcPr>
          <w:p>
            <w:pPr/>
          </w:p>
        </w:tc>
        <w:tc>
          <w:tcPr>
            <w:tcW w:w="814" w:type="dxa"/>
            <w:shd w:val="clear" w:color="auto" w:fill="D99493"/>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5" w:right="314"/>
              <w:jc w:val="center"/>
              <w:rPr>
                <w:sz w:val="20"/>
              </w:rPr>
            </w:pPr>
            <w:r>
              <w:rPr>
                <w:sz w:val="20"/>
              </w:rPr>
              <w:t>Democracia y voluntariedad</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right w:val="single" w:sz="41" w:space="0" w:color="FF0000"/>
            </w:tcBorders>
          </w:tcPr>
          <w:p>
            <w:pPr>
              <w:pStyle w:val="TableParagraph"/>
              <w:spacing w:line="227" w:lineRule="exact"/>
              <w:ind w:left="0" w:right="1"/>
              <w:jc w:val="center"/>
              <w:rPr>
                <w:sz w:val="20"/>
              </w:rPr>
            </w:pPr>
            <w:r>
              <w:rPr>
                <w:w w:val="99"/>
                <w:sz w:val="20"/>
              </w:rPr>
              <w:t>B</w:t>
            </w:r>
          </w:p>
        </w:tc>
        <w:tc>
          <w:tcPr>
            <w:tcW w:w="788" w:type="dxa"/>
            <w:shd w:val="clear" w:color="auto" w:fill="FF0000"/>
          </w:tcPr>
          <w:p>
            <w:pPr>
              <w:pStyle w:val="TableParagraph"/>
              <w:spacing w:line="227" w:lineRule="exact"/>
              <w:ind w:left="0" w:right="3"/>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tcBorders>
              <w:left w:val="single" w:sz="45" w:space="0" w:color="FF0000"/>
            </w:tcBorders>
          </w:tcPr>
          <w:p>
            <w:pPr>
              <w:pStyle w:val="TableParagraph"/>
              <w:spacing w:line="227" w:lineRule="exact"/>
              <w:ind w:left="0" w:right="53"/>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97" w:type="dxa"/>
          </w:tcPr>
          <w:p>
            <w:pPr>
              <w:pStyle w:val="TableParagraph"/>
              <w:spacing w:line="227" w:lineRule="exact"/>
              <w:ind w:left="0" w:right="1"/>
              <w:jc w:val="center"/>
              <w:rPr>
                <w:sz w:val="20"/>
              </w:rPr>
            </w:pPr>
            <w:r>
              <w:rPr>
                <w:w w:val="99"/>
                <w:sz w:val="20"/>
              </w:rPr>
              <w:t>B</w:t>
            </w:r>
          </w:p>
        </w:tc>
      </w:tr>
      <w:tr>
        <w:trPr>
          <w:trHeight w:val="355" w:hRule="exact"/>
        </w:trPr>
        <w:tc>
          <w:tcPr>
            <w:tcW w:w="1114" w:type="dxa"/>
            <w:vMerge/>
            <w:shd w:val="clear" w:color="auto" w:fill="D99493"/>
            <w:textDirection w:val="btLr"/>
          </w:tcPr>
          <w:p>
            <w:pPr/>
          </w:p>
        </w:tc>
        <w:tc>
          <w:tcPr>
            <w:tcW w:w="814" w:type="dxa"/>
            <w:shd w:val="clear" w:color="auto" w:fill="D99493"/>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5" w:right="314"/>
              <w:jc w:val="center"/>
              <w:rPr>
                <w:sz w:val="20"/>
              </w:rPr>
            </w:pPr>
            <w:r>
              <w:rPr>
                <w:sz w:val="20"/>
              </w:rPr>
              <w:t>Participación sociopolítica_1</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right w:val="single" w:sz="41" w:space="0" w:color="FF0000"/>
            </w:tcBorders>
          </w:tcPr>
          <w:p>
            <w:pPr>
              <w:pStyle w:val="TableParagraph"/>
              <w:spacing w:line="227" w:lineRule="exact"/>
              <w:ind w:left="0" w:right="1"/>
              <w:jc w:val="center"/>
              <w:rPr>
                <w:sz w:val="20"/>
              </w:rPr>
            </w:pPr>
            <w:r>
              <w:rPr>
                <w:w w:val="99"/>
                <w:sz w:val="20"/>
              </w:rPr>
              <w:t>B</w:t>
            </w:r>
          </w:p>
        </w:tc>
        <w:tc>
          <w:tcPr>
            <w:tcW w:w="788" w:type="dxa"/>
            <w:shd w:val="clear" w:color="auto" w:fill="FF0000"/>
          </w:tcPr>
          <w:p>
            <w:pPr>
              <w:pStyle w:val="TableParagraph"/>
              <w:spacing w:line="227" w:lineRule="exact"/>
              <w:ind w:left="0" w:right="3"/>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tcBorders>
              <w:left w:val="single" w:sz="45" w:space="0" w:color="FF0000"/>
            </w:tcBorders>
          </w:tcPr>
          <w:p>
            <w:pPr>
              <w:pStyle w:val="TableParagraph"/>
              <w:spacing w:line="227" w:lineRule="exact"/>
              <w:ind w:left="0" w:right="53"/>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97" w:type="dxa"/>
          </w:tcPr>
          <w:p>
            <w:pPr>
              <w:pStyle w:val="TableParagraph"/>
              <w:spacing w:line="227" w:lineRule="exact"/>
              <w:ind w:left="0" w:right="1"/>
              <w:jc w:val="center"/>
              <w:rPr>
                <w:sz w:val="20"/>
              </w:rPr>
            </w:pPr>
            <w:r>
              <w:rPr>
                <w:w w:val="99"/>
                <w:sz w:val="20"/>
              </w:rPr>
              <w:t>B</w:t>
            </w:r>
          </w:p>
        </w:tc>
      </w:tr>
      <w:tr>
        <w:trPr>
          <w:trHeight w:val="355" w:hRule="exact"/>
        </w:trPr>
        <w:tc>
          <w:tcPr>
            <w:tcW w:w="1114" w:type="dxa"/>
            <w:vMerge/>
            <w:shd w:val="clear" w:color="auto" w:fill="D99493"/>
            <w:textDirection w:val="btLr"/>
          </w:tcPr>
          <w:p>
            <w:pPr/>
          </w:p>
        </w:tc>
        <w:tc>
          <w:tcPr>
            <w:tcW w:w="814" w:type="dxa"/>
            <w:shd w:val="clear" w:color="auto" w:fill="D99493"/>
          </w:tcPr>
          <w:p>
            <w:pPr>
              <w:pStyle w:val="TableParagraph"/>
              <w:spacing w:line="227" w:lineRule="exact"/>
              <w:ind w:left="0" w:right="1"/>
              <w:jc w:val="center"/>
              <w:rPr>
                <w:sz w:val="20"/>
              </w:rPr>
            </w:pPr>
            <w:r>
              <w:rPr>
                <w:w w:val="99"/>
                <w:sz w:val="20"/>
              </w:rPr>
              <w:t>P</w:t>
            </w:r>
          </w:p>
        </w:tc>
        <w:tc>
          <w:tcPr>
            <w:tcW w:w="3404" w:type="dxa"/>
            <w:tcBorders>
              <w:right w:val="single" w:sz="41" w:space="0" w:color="FF0000"/>
            </w:tcBorders>
          </w:tcPr>
          <w:p>
            <w:pPr>
              <w:pStyle w:val="TableParagraph"/>
              <w:spacing w:line="227" w:lineRule="exact"/>
              <w:ind w:left="357" w:right="314"/>
              <w:jc w:val="center"/>
              <w:rPr>
                <w:sz w:val="20"/>
              </w:rPr>
            </w:pPr>
            <w:r>
              <w:rPr>
                <w:sz w:val="20"/>
              </w:rPr>
              <w:t>Relaciones intermunicipales</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shd w:val="clear" w:color="auto" w:fill="FF0000"/>
          </w:tcPr>
          <w:p>
            <w:pPr>
              <w:pStyle w:val="TableParagraph"/>
              <w:spacing w:line="227" w:lineRule="exact"/>
              <w:ind w:left="0"/>
              <w:jc w:val="center"/>
              <w:rPr>
                <w:sz w:val="20"/>
              </w:rPr>
            </w:pPr>
            <w:r>
              <w:rPr>
                <w:w w:val="99"/>
                <w:sz w:val="20"/>
              </w:rPr>
              <w:t>D</w:t>
            </w:r>
          </w:p>
        </w:tc>
        <w:tc>
          <w:tcPr>
            <w:tcW w:w="788" w:type="dxa"/>
            <w:shd w:val="clear" w:color="auto" w:fill="FF0000"/>
          </w:tcPr>
          <w:p>
            <w:pPr>
              <w:pStyle w:val="TableParagraph"/>
              <w:spacing w:line="227" w:lineRule="exact"/>
              <w:ind w:left="0" w:right="3"/>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shd w:val="clear" w:color="auto" w:fill="FF0000"/>
          </w:tcPr>
          <w:p>
            <w:pPr>
              <w:pStyle w:val="TableParagraph"/>
              <w:spacing w:line="227" w:lineRule="exact"/>
              <w:ind w:left="0"/>
              <w:jc w:val="center"/>
              <w:rPr>
                <w:sz w:val="20"/>
              </w:rPr>
            </w:pPr>
            <w:r>
              <w:rPr>
                <w:w w:val="99"/>
                <w:sz w:val="20"/>
              </w:rPr>
              <w:t>D</w:t>
            </w:r>
          </w:p>
        </w:tc>
        <w:tc>
          <w:tcPr>
            <w:tcW w:w="787" w:type="dxa"/>
            <w:shd w:val="clear" w:color="auto" w:fill="FF0000"/>
          </w:tcPr>
          <w:p>
            <w:pPr>
              <w:pStyle w:val="TableParagraph"/>
              <w:spacing w:line="227" w:lineRule="exact"/>
              <w:ind w:left="0" w:right="2"/>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shd w:val="clear" w:color="auto" w:fill="FF0000"/>
          </w:tcPr>
          <w:p>
            <w:pPr>
              <w:pStyle w:val="TableParagraph"/>
              <w:spacing w:line="227" w:lineRule="exact"/>
              <w:ind w:left="0" w:right="1"/>
              <w:jc w:val="center"/>
              <w:rPr>
                <w:sz w:val="20"/>
              </w:rPr>
            </w:pPr>
            <w:r>
              <w:rPr>
                <w:w w:val="99"/>
                <w:sz w:val="20"/>
              </w:rPr>
              <w:t>D</w:t>
            </w:r>
          </w:p>
        </w:tc>
        <w:tc>
          <w:tcPr>
            <w:tcW w:w="787" w:type="dxa"/>
            <w:shd w:val="clear" w:color="auto" w:fill="FF0000"/>
          </w:tcPr>
          <w:p>
            <w:pPr>
              <w:pStyle w:val="TableParagraph"/>
              <w:spacing w:line="227" w:lineRule="exact"/>
              <w:ind w:left="0" w:right="2"/>
              <w:jc w:val="center"/>
              <w:rPr>
                <w:sz w:val="20"/>
              </w:rPr>
            </w:pPr>
            <w:r>
              <w:rPr>
                <w:w w:val="99"/>
                <w:sz w:val="20"/>
              </w:rPr>
              <w:t>D</w:t>
            </w:r>
          </w:p>
        </w:tc>
        <w:tc>
          <w:tcPr>
            <w:tcW w:w="797" w:type="dxa"/>
            <w:shd w:val="clear" w:color="auto" w:fill="FF0000"/>
          </w:tcPr>
          <w:p>
            <w:pPr>
              <w:pStyle w:val="TableParagraph"/>
              <w:spacing w:line="227" w:lineRule="exact"/>
              <w:ind w:left="0"/>
              <w:jc w:val="center"/>
              <w:rPr>
                <w:sz w:val="20"/>
              </w:rPr>
            </w:pPr>
            <w:r>
              <w:rPr>
                <w:w w:val="99"/>
                <w:sz w:val="20"/>
              </w:rPr>
              <w:t>D</w:t>
            </w:r>
          </w:p>
        </w:tc>
      </w:tr>
      <w:tr>
        <w:trPr>
          <w:trHeight w:val="355" w:hRule="exact"/>
        </w:trPr>
        <w:tc>
          <w:tcPr>
            <w:tcW w:w="1114" w:type="dxa"/>
            <w:vMerge/>
            <w:shd w:val="clear" w:color="auto" w:fill="D99493"/>
            <w:textDirection w:val="btLr"/>
          </w:tcPr>
          <w:p>
            <w:pPr/>
          </w:p>
        </w:tc>
        <w:tc>
          <w:tcPr>
            <w:tcW w:w="814" w:type="dxa"/>
            <w:shd w:val="clear" w:color="auto" w:fill="D99493"/>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6" w:right="314"/>
              <w:jc w:val="center"/>
              <w:rPr>
                <w:sz w:val="20"/>
              </w:rPr>
            </w:pPr>
            <w:r>
              <w:rPr>
                <w:sz w:val="20"/>
              </w:rPr>
              <w:t>Cooperación sociopolítica</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shd w:val="clear" w:color="auto" w:fill="00FF00"/>
          </w:tcPr>
          <w:p>
            <w:pPr>
              <w:pStyle w:val="TableParagraph"/>
              <w:spacing w:line="227" w:lineRule="exact"/>
              <w:ind w:left="0" w:right="1"/>
              <w:jc w:val="center"/>
              <w:rPr>
                <w:sz w:val="20"/>
              </w:rPr>
            </w:pPr>
            <w:r>
              <w:rPr>
                <w:w w:val="99"/>
                <w:sz w:val="20"/>
              </w:rPr>
              <w:t>E</w:t>
            </w:r>
          </w:p>
        </w:tc>
        <w:tc>
          <w:tcPr>
            <w:tcW w:w="788" w:type="dxa"/>
            <w:tcBorders>
              <w:left w:val="thickThinMediumGap" w:sz="23" w:space="0" w:color="00FF00"/>
            </w:tcBorders>
          </w:tcPr>
          <w:p>
            <w:pPr>
              <w:pStyle w:val="TableParagraph"/>
              <w:spacing w:line="227" w:lineRule="exact"/>
              <w:ind w:left="0" w:right="57"/>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97" w:type="dxa"/>
          </w:tcPr>
          <w:p>
            <w:pPr>
              <w:pStyle w:val="TableParagraph"/>
              <w:spacing w:line="227" w:lineRule="exact"/>
              <w:ind w:left="0" w:right="1"/>
              <w:jc w:val="center"/>
              <w:rPr>
                <w:sz w:val="20"/>
              </w:rPr>
            </w:pPr>
            <w:r>
              <w:rPr>
                <w:w w:val="99"/>
                <w:sz w:val="20"/>
              </w:rPr>
              <w:t>B</w:t>
            </w:r>
          </w:p>
        </w:tc>
      </w:tr>
      <w:tr>
        <w:trPr>
          <w:trHeight w:val="365" w:hRule="exact"/>
        </w:trPr>
        <w:tc>
          <w:tcPr>
            <w:tcW w:w="1114" w:type="dxa"/>
            <w:vMerge/>
            <w:tcBorders>
              <w:bottom w:val="single" w:sz="12" w:space="0" w:color="000000"/>
            </w:tcBorders>
            <w:shd w:val="clear" w:color="auto" w:fill="D99493"/>
            <w:textDirection w:val="btLr"/>
          </w:tcPr>
          <w:p>
            <w:pPr/>
          </w:p>
        </w:tc>
        <w:tc>
          <w:tcPr>
            <w:tcW w:w="814" w:type="dxa"/>
            <w:tcBorders>
              <w:bottom w:val="single" w:sz="12" w:space="0" w:color="000000"/>
            </w:tcBorders>
            <w:shd w:val="clear" w:color="auto" w:fill="D99493"/>
          </w:tcPr>
          <w:p>
            <w:pPr>
              <w:pStyle w:val="TableParagraph"/>
              <w:spacing w:line="227" w:lineRule="exact"/>
              <w:ind w:left="0" w:right="1"/>
              <w:jc w:val="center"/>
              <w:rPr>
                <w:sz w:val="20"/>
              </w:rPr>
            </w:pPr>
            <w:r>
              <w:rPr>
                <w:w w:val="99"/>
                <w:sz w:val="20"/>
              </w:rPr>
              <w:t>P</w:t>
            </w:r>
          </w:p>
        </w:tc>
        <w:tc>
          <w:tcPr>
            <w:tcW w:w="3404" w:type="dxa"/>
            <w:tcBorders>
              <w:bottom w:val="single" w:sz="12" w:space="0" w:color="000000"/>
              <w:right w:val="single" w:sz="41" w:space="0" w:color="00FF00"/>
            </w:tcBorders>
          </w:tcPr>
          <w:p>
            <w:pPr>
              <w:pStyle w:val="TableParagraph"/>
              <w:spacing w:line="227" w:lineRule="exact"/>
              <w:ind w:left="354" w:right="314"/>
              <w:jc w:val="center"/>
              <w:rPr>
                <w:sz w:val="20"/>
              </w:rPr>
            </w:pPr>
            <w:r>
              <w:rPr>
                <w:sz w:val="20"/>
              </w:rPr>
              <w:t>Identidad sociopolítica</w:t>
            </w:r>
          </w:p>
        </w:tc>
        <w:tc>
          <w:tcPr>
            <w:tcW w:w="787"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88" w:type="dxa"/>
            <w:tcBorders>
              <w:bottom w:val="single" w:sz="12" w:space="0" w:color="000000"/>
            </w:tcBorders>
            <w:shd w:val="clear" w:color="auto" w:fill="00FF00"/>
          </w:tcPr>
          <w:p>
            <w:pPr>
              <w:pStyle w:val="TableParagraph"/>
              <w:spacing w:line="227" w:lineRule="exact"/>
              <w:ind w:left="0" w:right="4"/>
              <w:jc w:val="center"/>
              <w:rPr>
                <w:sz w:val="20"/>
              </w:rPr>
            </w:pPr>
            <w:r>
              <w:rPr>
                <w:w w:val="99"/>
                <w:sz w:val="20"/>
              </w:rPr>
              <w:t>E</w:t>
            </w:r>
          </w:p>
        </w:tc>
        <w:tc>
          <w:tcPr>
            <w:tcW w:w="787"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87" w:type="dxa"/>
            <w:tcBorders>
              <w:bottom w:val="single" w:sz="12" w:space="0" w:color="000000"/>
            </w:tcBorders>
            <w:shd w:val="clear" w:color="auto" w:fill="00FF00"/>
          </w:tcPr>
          <w:p>
            <w:pPr>
              <w:pStyle w:val="TableParagraph"/>
              <w:spacing w:line="227" w:lineRule="exact"/>
              <w:ind w:left="0" w:right="4"/>
              <w:jc w:val="center"/>
              <w:rPr>
                <w:sz w:val="20"/>
              </w:rPr>
            </w:pPr>
            <w:r>
              <w:rPr>
                <w:w w:val="99"/>
                <w:sz w:val="20"/>
              </w:rPr>
              <w:t>E</w:t>
            </w:r>
          </w:p>
        </w:tc>
        <w:tc>
          <w:tcPr>
            <w:tcW w:w="787"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87" w:type="dxa"/>
            <w:tcBorders>
              <w:bottom w:val="single" w:sz="12" w:space="0" w:color="000000"/>
            </w:tcBorders>
            <w:shd w:val="clear" w:color="auto" w:fill="00FF00"/>
          </w:tcPr>
          <w:p>
            <w:pPr>
              <w:pStyle w:val="TableParagraph"/>
              <w:spacing w:line="227" w:lineRule="exact"/>
              <w:ind w:left="0" w:right="4"/>
              <w:jc w:val="center"/>
              <w:rPr>
                <w:sz w:val="20"/>
              </w:rPr>
            </w:pPr>
            <w:r>
              <w:rPr>
                <w:w w:val="99"/>
                <w:sz w:val="20"/>
              </w:rPr>
              <w:t>E</w:t>
            </w:r>
          </w:p>
        </w:tc>
        <w:tc>
          <w:tcPr>
            <w:tcW w:w="797"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r>
      <w:tr>
        <w:trPr>
          <w:trHeight w:val="365" w:hRule="exact"/>
        </w:trPr>
        <w:tc>
          <w:tcPr>
            <w:tcW w:w="1114" w:type="dxa"/>
            <w:vMerge w:val="restart"/>
            <w:tcBorders>
              <w:top w:val="single" w:sz="12" w:space="0" w:color="000000"/>
            </w:tcBorders>
            <w:shd w:val="clear" w:color="auto" w:fill="F79546"/>
            <w:textDirection w:val="btLr"/>
          </w:tcPr>
          <w:p>
            <w:pPr>
              <w:pStyle w:val="TableParagraph"/>
              <w:spacing w:before="105"/>
              <w:ind w:left="436"/>
              <w:rPr>
                <w:b/>
                <w:sz w:val="20"/>
              </w:rPr>
            </w:pPr>
            <w:r>
              <w:rPr>
                <w:b/>
                <w:spacing w:val="-1"/>
                <w:w w:val="99"/>
                <w:sz w:val="20"/>
              </w:rPr>
              <w:t>E</w:t>
            </w:r>
            <w:r>
              <w:rPr>
                <w:b/>
                <w:w w:val="99"/>
                <w:sz w:val="20"/>
              </w:rPr>
              <w:t>C</w:t>
            </w:r>
            <w:r>
              <w:rPr>
                <w:b/>
                <w:spacing w:val="1"/>
                <w:w w:val="99"/>
                <w:sz w:val="20"/>
              </w:rPr>
              <w:t>O</w:t>
            </w:r>
            <w:r>
              <w:rPr>
                <w:b/>
                <w:w w:val="99"/>
                <w:sz w:val="20"/>
              </w:rPr>
              <w:t>N</w:t>
            </w:r>
            <w:r>
              <w:rPr>
                <w:b/>
                <w:spacing w:val="1"/>
                <w:w w:val="99"/>
                <w:sz w:val="20"/>
              </w:rPr>
              <w:t>Ó</w:t>
            </w:r>
            <w:r>
              <w:rPr>
                <w:b/>
                <w:w w:val="99"/>
                <w:sz w:val="20"/>
              </w:rPr>
              <w:t>MI</w:t>
            </w:r>
            <w:r>
              <w:rPr>
                <w:b/>
                <w:spacing w:val="1"/>
                <w:w w:val="99"/>
                <w:sz w:val="20"/>
              </w:rPr>
              <w:t>C</w:t>
            </w:r>
            <w:r>
              <w:rPr>
                <w:b/>
                <w:w w:val="99"/>
                <w:sz w:val="20"/>
              </w:rPr>
              <w:t>A</w:t>
            </w:r>
          </w:p>
        </w:tc>
        <w:tc>
          <w:tcPr>
            <w:tcW w:w="814" w:type="dxa"/>
            <w:tcBorders>
              <w:top w:val="single" w:sz="12" w:space="0" w:color="000000"/>
            </w:tcBorders>
            <w:shd w:val="clear" w:color="auto" w:fill="F79546"/>
          </w:tcPr>
          <w:p>
            <w:pPr>
              <w:pStyle w:val="TableParagraph"/>
              <w:spacing w:line="227" w:lineRule="exact"/>
              <w:ind w:left="0" w:right="1"/>
              <w:jc w:val="center"/>
              <w:rPr>
                <w:sz w:val="20"/>
              </w:rPr>
            </w:pPr>
            <w:r>
              <w:rPr>
                <w:w w:val="99"/>
                <w:sz w:val="20"/>
              </w:rPr>
              <w:t>P</w:t>
            </w:r>
          </w:p>
        </w:tc>
        <w:tc>
          <w:tcPr>
            <w:tcW w:w="3404" w:type="dxa"/>
            <w:tcBorders>
              <w:top w:val="single" w:sz="12" w:space="0" w:color="000000"/>
              <w:right w:val="single" w:sz="41" w:space="0" w:color="00FF00"/>
            </w:tcBorders>
          </w:tcPr>
          <w:p>
            <w:pPr>
              <w:pStyle w:val="TableParagraph"/>
              <w:spacing w:line="227" w:lineRule="exact"/>
              <w:ind w:left="356" w:right="314"/>
              <w:jc w:val="center"/>
              <w:rPr>
                <w:sz w:val="20"/>
              </w:rPr>
            </w:pPr>
            <w:r>
              <w:rPr>
                <w:sz w:val="20"/>
              </w:rPr>
              <w:t>Historia económica</w:t>
            </w:r>
          </w:p>
        </w:tc>
        <w:tc>
          <w:tcPr>
            <w:tcW w:w="787" w:type="dxa"/>
            <w:tcBorders>
              <w:top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top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88" w:type="dxa"/>
            <w:tcBorders>
              <w:top w:val="single" w:sz="12" w:space="0" w:color="000000"/>
            </w:tcBorders>
            <w:shd w:val="clear" w:color="auto" w:fill="00FF00"/>
          </w:tcPr>
          <w:p>
            <w:pPr>
              <w:pStyle w:val="TableParagraph"/>
              <w:spacing w:line="227" w:lineRule="exact"/>
              <w:ind w:left="0" w:right="4"/>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top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7" w:lineRule="exact"/>
              <w:ind w:left="0" w:right="4"/>
              <w:jc w:val="center"/>
              <w:rPr>
                <w:sz w:val="20"/>
              </w:rPr>
            </w:pPr>
            <w:r>
              <w:rPr>
                <w:w w:val="99"/>
                <w:sz w:val="20"/>
              </w:rPr>
              <w:t>E</w:t>
            </w:r>
          </w:p>
        </w:tc>
        <w:tc>
          <w:tcPr>
            <w:tcW w:w="787" w:type="dxa"/>
            <w:tcBorders>
              <w:top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top w:val="single" w:sz="12" w:space="0" w:color="000000"/>
              <w:right w:val="single" w:sz="41" w:space="0" w:color="FF0000"/>
            </w:tcBorders>
            <w:shd w:val="clear" w:color="auto" w:fill="00FF00"/>
          </w:tcPr>
          <w:p>
            <w:pPr>
              <w:pStyle w:val="TableParagraph"/>
              <w:spacing w:line="227" w:lineRule="exact"/>
              <w:ind w:left="43"/>
              <w:jc w:val="center"/>
              <w:rPr>
                <w:sz w:val="20"/>
              </w:rPr>
            </w:pPr>
            <w:r>
              <w:rPr>
                <w:w w:val="99"/>
                <w:sz w:val="20"/>
              </w:rPr>
              <w:t>E</w:t>
            </w:r>
          </w:p>
        </w:tc>
        <w:tc>
          <w:tcPr>
            <w:tcW w:w="787" w:type="dxa"/>
            <w:tcBorders>
              <w:top w:val="single" w:sz="12" w:space="0" w:color="000000"/>
              <w:left w:val="thickThinMediumGap" w:sz="23" w:space="0" w:color="00FF00"/>
            </w:tcBorders>
            <w:shd w:val="clear" w:color="auto" w:fill="FF0000"/>
          </w:tcPr>
          <w:p>
            <w:pPr>
              <w:pStyle w:val="TableParagraph"/>
              <w:spacing w:line="227" w:lineRule="exact"/>
              <w:ind w:left="0" w:right="55"/>
              <w:jc w:val="center"/>
              <w:rPr>
                <w:sz w:val="20"/>
              </w:rPr>
            </w:pPr>
            <w:r>
              <w:rPr>
                <w:w w:val="99"/>
                <w:sz w:val="20"/>
              </w:rPr>
              <w:t>D</w:t>
            </w:r>
          </w:p>
        </w:tc>
        <w:tc>
          <w:tcPr>
            <w:tcW w:w="797" w:type="dxa"/>
            <w:tcBorders>
              <w:top w:val="single" w:sz="12" w:space="0" w:color="000000"/>
            </w:tcBorders>
            <w:shd w:val="clear" w:color="auto" w:fill="FF0000"/>
          </w:tcPr>
          <w:p>
            <w:pPr>
              <w:pStyle w:val="TableParagraph"/>
              <w:spacing w:line="227" w:lineRule="exact"/>
              <w:ind w:left="0"/>
              <w:jc w:val="center"/>
              <w:rPr>
                <w:sz w:val="20"/>
              </w:rPr>
            </w:pPr>
            <w:r>
              <w:rPr>
                <w:w w:val="99"/>
                <w:sz w:val="20"/>
              </w:rPr>
              <w:t>D</w:t>
            </w:r>
          </w:p>
        </w:tc>
      </w:tr>
      <w:tr>
        <w:trPr>
          <w:trHeight w:val="356" w:hRule="exact"/>
        </w:trPr>
        <w:tc>
          <w:tcPr>
            <w:tcW w:w="1114" w:type="dxa"/>
            <w:vMerge/>
            <w:shd w:val="clear" w:color="auto" w:fill="F79546"/>
            <w:textDirection w:val="btLr"/>
          </w:tcPr>
          <w:p>
            <w:pPr/>
          </w:p>
        </w:tc>
        <w:tc>
          <w:tcPr>
            <w:tcW w:w="814" w:type="dxa"/>
            <w:shd w:val="clear" w:color="auto" w:fill="F79546"/>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6" w:right="314"/>
              <w:jc w:val="center"/>
              <w:rPr>
                <w:sz w:val="20"/>
              </w:rPr>
            </w:pPr>
            <w:r>
              <w:rPr>
                <w:sz w:val="20"/>
              </w:rPr>
              <w:t>Cultura económica</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shd w:val="clear" w:color="auto" w:fill="00FF00"/>
          </w:tcPr>
          <w:p>
            <w:pPr>
              <w:pStyle w:val="TableParagraph"/>
              <w:spacing w:line="227" w:lineRule="exact"/>
              <w:ind w:left="0" w:right="1"/>
              <w:jc w:val="center"/>
              <w:rPr>
                <w:sz w:val="20"/>
              </w:rPr>
            </w:pPr>
            <w:r>
              <w:rPr>
                <w:w w:val="99"/>
                <w:sz w:val="20"/>
              </w:rPr>
              <w:t>E</w:t>
            </w:r>
          </w:p>
        </w:tc>
        <w:tc>
          <w:tcPr>
            <w:tcW w:w="788" w:type="dxa"/>
            <w:tcBorders>
              <w:left w:val="thickThinMediumGap" w:sz="23" w:space="0" w:color="00FF00"/>
            </w:tcBorders>
          </w:tcPr>
          <w:p>
            <w:pPr>
              <w:pStyle w:val="TableParagraph"/>
              <w:spacing w:line="227" w:lineRule="exact"/>
              <w:ind w:left="0" w:right="57"/>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87" w:type="dxa"/>
          </w:tcPr>
          <w:p>
            <w:pPr>
              <w:pStyle w:val="TableParagraph"/>
              <w:spacing w:line="227" w:lineRule="exact"/>
              <w:ind w:left="0" w:right="1"/>
              <w:jc w:val="center"/>
              <w:rPr>
                <w:sz w:val="20"/>
              </w:rPr>
            </w:pPr>
            <w:r>
              <w:rPr>
                <w:w w:val="99"/>
                <w:sz w:val="20"/>
              </w:rPr>
              <w:t>B</w:t>
            </w:r>
          </w:p>
        </w:tc>
        <w:tc>
          <w:tcPr>
            <w:tcW w:w="790" w:type="dxa"/>
          </w:tcPr>
          <w:p>
            <w:pPr>
              <w:pStyle w:val="TableParagraph"/>
              <w:spacing w:line="227" w:lineRule="exact"/>
              <w:ind w:left="0" w:right="1"/>
              <w:jc w:val="center"/>
              <w:rPr>
                <w:sz w:val="20"/>
              </w:rPr>
            </w:pPr>
            <w:r>
              <w:rPr>
                <w:w w:val="99"/>
                <w:sz w:val="20"/>
              </w:rPr>
              <w:t>B</w:t>
            </w:r>
          </w:p>
        </w:tc>
        <w:tc>
          <w:tcPr>
            <w:tcW w:w="787" w:type="dxa"/>
          </w:tcPr>
          <w:p>
            <w:pPr>
              <w:pStyle w:val="TableParagraph"/>
              <w:spacing w:line="227" w:lineRule="exact"/>
              <w:ind w:left="0" w:right="4"/>
              <w:jc w:val="center"/>
              <w:rPr>
                <w:sz w:val="20"/>
              </w:rPr>
            </w:pPr>
            <w:r>
              <w:rPr>
                <w:w w:val="99"/>
                <w:sz w:val="20"/>
              </w:rPr>
              <w:t>B</w:t>
            </w:r>
          </w:p>
        </w:tc>
        <w:tc>
          <w:tcPr>
            <w:tcW w:w="797" w:type="dxa"/>
          </w:tcPr>
          <w:p>
            <w:pPr>
              <w:pStyle w:val="TableParagraph"/>
              <w:spacing w:line="227" w:lineRule="exact"/>
              <w:ind w:left="0" w:right="1"/>
              <w:jc w:val="center"/>
              <w:rPr>
                <w:sz w:val="20"/>
              </w:rPr>
            </w:pPr>
            <w:r>
              <w:rPr>
                <w:w w:val="99"/>
                <w:sz w:val="20"/>
              </w:rPr>
              <w:t>B</w:t>
            </w:r>
          </w:p>
        </w:tc>
      </w:tr>
      <w:tr>
        <w:trPr>
          <w:trHeight w:val="355" w:hRule="exact"/>
        </w:trPr>
        <w:tc>
          <w:tcPr>
            <w:tcW w:w="1114" w:type="dxa"/>
            <w:vMerge/>
            <w:shd w:val="clear" w:color="auto" w:fill="F79546"/>
            <w:textDirection w:val="btLr"/>
          </w:tcPr>
          <w:p>
            <w:pPr/>
          </w:p>
        </w:tc>
        <w:tc>
          <w:tcPr>
            <w:tcW w:w="814" w:type="dxa"/>
            <w:shd w:val="clear" w:color="auto" w:fill="F79546"/>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5" w:right="314"/>
              <w:jc w:val="center"/>
              <w:rPr>
                <w:sz w:val="20"/>
              </w:rPr>
            </w:pPr>
            <w:r>
              <w:rPr>
                <w:sz w:val="20"/>
              </w:rPr>
              <w:t>Democracia y voluntariedad</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right w:val="single" w:sz="41" w:space="0" w:color="FF0000"/>
            </w:tcBorders>
          </w:tcPr>
          <w:p>
            <w:pPr>
              <w:pStyle w:val="TableParagraph"/>
              <w:spacing w:line="227" w:lineRule="exact"/>
              <w:ind w:left="0" w:right="1"/>
              <w:jc w:val="center"/>
              <w:rPr>
                <w:sz w:val="20"/>
              </w:rPr>
            </w:pPr>
            <w:r>
              <w:rPr>
                <w:w w:val="99"/>
                <w:sz w:val="20"/>
              </w:rPr>
              <w:t>B</w:t>
            </w:r>
          </w:p>
        </w:tc>
        <w:tc>
          <w:tcPr>
            <w:tcW w:w="788" w:type="dxa"/>
            <w:shd w:val="clear" w:color="auto" w:fill="FF0000"/>
          </w:tcPr>
          <w:p>
            <w:pPr>
              <w:pStyle w:val="TableParagraph"/>
              <w:spacing w:line="227" w:lineRule="exact"/>
              <w:ind w:left="0" w:right="3"/>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shd w:val="clear" w:color="auto" w:fill="FF0000"/>
          </w:tcPr>
          <w:p>
            <w:pPr>
              <w:pStyle w:val="TableParagraph"/>
              <w:spacing w:line="227" w:lineRule="exact"/>
              <w:ind w:left="0"/>
              <w:jc w:val="center"/>
              <w:rPr>
                <w:sz w:val="20"/>
              </w:rPr>
            </w:pPr>
            <w:r>
              <w:rPr>
                <w:w w:val="99"/>
                <w:sz w:val="20"/>
              </w:rPr>
              <w:t>D</w:t>
            </w:r>
          </w:p>
        </w:tc>
        <w:tc>
          <w:tcPr>
            <w:tcW w:w="787" w:type="dxa"/>
            <w:shd w:val="clear" w:color="auto" w:fill="FF0000"/>
          </w:tcPr>
          <w:p>
            <w:pPr>
              <w:pStyle w:val="TableParagraph"/>
              <w:spacing w:line="227" w:lineRule="exact"/>
              <w:ind w:left="0" w:right="2"/>
              <w:jc w:val="center"/>
              <w:rPr>
                <w:sz w:val="20"/>
              </w:rPr>
            </w:pPr>
            <w:r>
              <w:rPr>
                <w:w w:val="99"/>
                <w:sz w:val="20"/>
              </w:rPr>
              <w:t>D</w:t>
            </w:r>
          </w:p>
        </w:tc>
        <w:tc>
          <w:tcPr>
            <w:tcW w:w="787" w:type="dxa"/>
            <w:shd w:val="clear" w:color="auto" w:fill="FF0000"/>
          </w:tcPr>
          <w:p>
            <w:pPr>
              <w:pStyle w:val="TableParagraph"/>
              <w:spacing w:line="227" w:lineRule="exact"/>
              <w:ind w:left="0"/>
              <w:jc w:val="center"/>
              <w:rPr>
                <w:sz w:val="20"/>
              </w:rPr>
            </w:pPr>
            <w:r>
              <w:rPr>
                <w:w w:val="99"/>
                <w:sz w:val="20"/>
              </w:rPr>
              <w:t>D</w:t>
            </w:r>
          </w:p>
        </w:tc>
        <w:tc>
          <w:tcPr>
            <w:tcW w:w="790" w:type="dxa"/>
            <w:shd w:val="clear" w:color="auto" w:fill="FF0000"/>
          </w:tcPr>
          <w:p>
            <w:pPr>
              <w:pStyle w:val="TableParagraph"/>
              <w:spacing w:line="227" w:lineRule="exact"/>
              <w:ind w:left="0" w:right="1"/>
              <w:jc w:val="center"/>
              <w:rPr>
                <w:sz w:val="20"/>
              </w:rPr>
            </w:pPr>
            <w:r>
              <w:rPr>
                <w:w w:val="99"/>
                <w:sz w:val="20"/>
              </w:rPr>
              <w:t>D</w:t>
            </w:r>
          </w:p>
        </w:tc>
        <w:tc>
          <w:tcPr>
            <w:tcW w:w="787" w:type="dxa"/>
            <w:tcBorders>
              <w:right w:val="single" w:sz="45" w:space="0" w:color="FFFF00"/>
            </w:tcBorders>
            <w:shd w:val="clear" w:color="auto" w:fill="FF0000"/>
          </w:tcPr>
          <w:p>
            <w:pPr>
              <w:pStyle w:val="TableParagraph"/>
              <w:spacing w:line="227" w:lineRule="exact"/>
              <w:ind w:left="46"/>
              <w:jc w:val="center"/>
              <w:rPr>
                <w:sz w:val="20"/>
              </w:rPr>
            </w:pPr>
            <w:r>
              <w:rPr>
                <w:w w:val="99"/>
                <w:sz w:val="20"/>
              </w:rPr>
              <w:t>D</w:t>
            </w:r>
          </w:p>
        </w:tc>
        <w:tc>
          <w:tcPr>
            <w:tcW w:w="797" w:type="dxa"/>
            <w:tcBorders>
              <w:left w:val="single" w:sz="45" w:space="0" w:color="FF0000"/>
            </w:tcBorders>
            <w:shd w:val="clear" w:color="auto" w:fill="FFFF00"/>
          </w:tcPr>
          <w:p>
            <w:pPr>
              <w:pStyle w:val="TableParagraph"/>
              <w:spacing w:line="227" w:lineRule="exact"/>
              <w:ind w:left="0" w:right="49"/>
              <w:jc w:val="center"/>
              <w:rPr>
                <w:sz w:val="20"/>
              </w:rPr>
            </w:pPr>
            <w:r>
              <w:rPr>
                <w:w w:val="99"/>
                <w:sz w:val="20"/>
              </w:rPr>
              <w:t>R</w:t>
            </w:r>
          </w:p>
        </w:tc>
      </w:tr>
      <w:tr>
        <w:trPr>
          <w:trHeight w:val="355" w:hRule="exact"/>
        </w:trPr>
        <w:tc>
          <w:tcPr>
            <w:tcW w:w="1114" w:type="dxa"/>
            <w:vMerge/>
            <w:shd w:val="clear" w:color="auto" w:fill="F79546"/>
            <w:textDirection w:val="btLr"/>
          </w:tcPr>
          <w:p>
            <w:pPr/>
          </w:p>
        </w:tc>
        <w:tc>
          <w:tcPr>
            <w:tcW w:w="814" w:type="dxa"/>
            <w:shd w:val="clear" w:color="auto" w:fill="F79546"/>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8" w:right="314"/>
              <w:jc w:val="center"/>
              <w:rPr>
                <w:sz w:val="20"/>
              </w:rPr>
            </w:pPr>
            <w:r>
              <w:rPr>
                <w:sz w:val="20"/>
              </w:rPr>
              <w:t>Participación socioeconómica</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right w:val="single" w:sz="41" w:space="0" w:color="FFFF00"/>
            </w:tcBorders>
          </w:tcPr>
          <w:p>
            <w:pPr>
              <w:pStyle w:val="TableParagraph"/>
              <w:spacing w:line="227" w:lineRule="exact"/>
              <w:ind w:left="0" w:right="1"/>
              <w:jc w:val="center"/>
              <w:rPr>
                <w:sz w:val="20"/>
              </w:rPr>
            </w:pPr>
            <w:r>
              <w:rPr>
                <w:w w:val="99"/>
                <w:sz w:val="20"/>
              </w:rPr>
              <w:t>B</w:t>
            </w:r>
          </w:p>
        </w:tc>
        <w:tc>
          <w:tcPr>
            <w:tcW w:w="788" w:type="dxa"/>
            <w:shd w:val="clear" w:color="auto" w:fill="FFFF00"/>
          </w:tcPr>
          <w:p>
            <w:pPr>
              <w:pStyle w:val="TableParagraph"/>
              <w:spacing w:line="227" w:lineRule="exact"/>
              <w:ind w:left="0" w:right="3"/>
              <w:jc w:val="center"/>
              <w:rPr>
                <w:sz w:val="20"/>
              </w:rPr>
            </w:pPr>
            <w:r>
              <w:rPr>
                <w:w w:val="99"/>
                <w:sz w:val="20"/>
              </w:rPr>
              <w:t>R</w:t>
            </w:r>
          </w:p>
        </w:tc>
        <w:tc>
          <w:tcPr>
            <w:tcW w:w="787" w:type="dxa"/>
            <w:shd w:val="clear" w:color="auto" w:fill="FFFF00"/>
          </w:tcPr>
          <w:p>
            <w:pPr>
              <w:pStyle w:val="TableParagraph"/>
              <w:spacing w:line="227" w:lineRule="exact"/>
              <w:ind w:left="0"/>
              <w:jc w:val="center"/>
              <w:rPr>
                <w:sz w:val="20"/>
              </w:rPr>
            </w:pPr>
            <w:r>
              <w:rPr>
                <w:w w:val="99"/>
                <w:sz w:val="20"/>
              </w:rPr>
              <w:t>R</w:t>
            </w:r>
          </w:p>
        </w:tc>
        <w:tc>
          <w:tcPr>
            <w:tcW w:w="790" w:type="dxa"/>
            <w:shd w:val="clear" w:color="auto" w:fill="FFFF00"/>
          </w:tcPr>
          <w:p>
            <w:pPr>
              <w:pStyle w:val="TableParagraph"/>
              <w:spacing w:line="227" w:lineRule="exact"/>
              <w:ind w:left="0"/>
              <w:jc w:val="center"/>
              <w:rPr>
                <w:sz w:val="20"/>
              </w:rPr>
            </w:pPr>
            <w:r>
              <w:rPr>
                <w:w w:val="99"/>
                <w:sz w:val="20"/>
              </w:rPr>
              <w:t>R</w:t>
            </w:r>
          </w:p>
        </w:tc>
        <w:tc>
          <w:tcPr>
            <w:tcW w:w="787" w:type="dxa"/>
            <w:shd w:val="clear" w:color="auto" w:fill="FFFF00"/>
          </w:tcPr>
          <w:p>
            <w:pPr>
              <w:pStyle w:val="TableParagraph"/>
              <w:spacing w:line="227" w:lineRule="exact"/>
              <w:ind w:left="0" w:right="2"/>
              <w:jc w:val="center"/>
              <w:rPr>
                <w:sz w:val="20"/>
              </w:rPr>
            </w:pPr>
            <w:r>
              <w:rPr>
                <w:w w:val="99"/>
                <w:sz w:val="20"/>
              </w:rPr>
              <w:t>R</w:t>
            </w:r>
          </w:p>
        </w:tc>
        <w:tc>
          <w:tcPr>
            <w:tcW w:w="787" w:type="dxa"/>
            <w:shd w:val="clear" w:color="auto" w:fill="FFFF00"/>
          </w:tcPr>
          <w:p>
            <w:pPr>
              <w:pStyle w:val="TableParagraph"/>
              <w:spacing w:line="227" w:lineRule="exact"/>
              <w:ind w:left="0"/>
              <w:jc w:val="center"/>
              <w:rPr>
                <w:sz w:val="20"/>
              </w:rPr>
            </w:pPr>
            <w:r>
              <w:rPr>
                <w:w w:val="99"/>
                <w:sz w:val="20"/>
              </w:rPr>
              <w:t>R</w:t>
            </w:r>
          </w:p>
        </w:tc>
        <w:tc>
          <w:tcPr>
            <w:tcW w:w="790" w:type="dxa"/>
            <w:shd w:val="clear" w:color="auto" w:fill="FFFF00"/>
          </w:tcPr>
          <w:p>
            <w:pPr>
              <w:pStyle w:val="TableParagraph"/>
              <w:spacing w:line="227" w:lineRule="exact"/>
              <w:ind w:left="0" w:right="1"/>
              <w:jc w:val="center"/>
              <w:rPr>
                <w:sz w:val="20"/>
              </w:rPr>
            </w:pPr>
            <w:r>
              <w:rPr>
                <w:w w:val="99"/>
                <w:sz w:val="20"/>
              </w:rPr>
              <w:t>R</w:t>
            </w:r>
          </w:p>
        </w:tc>
        <w:tc>
          <w:tcPr>
            <w:tcW w:w="787" w:type="dxa"/>
            <w:shd w:val="clear" w:color="auto" w:fill="FFFF00"/>
          </w:tcPr>
          <w:p>
            <w:pPr>
              <w:pStyle w:val="TableParagraph"/>
              <w:spacing w:line="227" w:lineRule="exact"/>
              <w:ind w:left="0" w:right="2"/>
              <w:jc w:val="center"/>
              <w:rPr>
                <w:sz w:val="20"/>
              </w:rPr>
            </w:pPr>
            <w:r>
              <w:rPr>
                <w:w w:val="99"/>
                <w:sz w:val="20"/>
              </w:rPr>
              <w:t>R</w:t>
            </w:r>
          </w:p>
        </w:tc>
        <w:tc>
          <w:tcPr>
            <w:tcW w:w="797" w:type="dxa"/>
            <w:shd w:val="clear" w:color="auto" w:fill="FFFF00"/>
          </w:tcPr>
          <w:p>
            <w:pPr>
              <w:pStyle w:val="TableParagraph"/>
              <w:spacing w:line="227" w:lineRule="exact"/>
              <w:ind w:left="0"/>
              <w:jc w:val="center"/>
              <w:rPr>
                <w:sz w:val="20"/>
              </w:rPr>
            </w:pPr>
            <w:r>
              <w:rPr>
                <w:w w:val="99"/>
                <w:sz w:val="20"/>
              </w:rPr>
              <w:t>R</w:t>
            </w:r>
          </w:p>
        </w:tc>
      </w:tr>
      <w:tr>
        <w:trPr>
          <w:trHeight w:val="355" w:hRule="exact"/>
        </w:trPr>
        <w:tc>
          <w:tcPr>
            <w:tcW w:w="1114" w:type="dxa"/>
            <w:vMerge/>
            <w:shd w:val="clear" w:color="auto" w:fill="F79546"/>
            <w:textDirection w:val="btLr"/>
          </w:tcPr>
          <w:p>
            <w:pPr/>
          </w:p>
        </w:tc>
        <w:tc>
          <w:tcPr>
            <w:tcW w:w="814" w:type="dxa"/>
            <w:shd w:val="clear" w:color="auto" w:fill="F79546"/>
          </w:tcPr>
          <w:p>
            <w:pPr>
              <w:pStyle w:val="TableParagraph"/>
              <w:spacing w:line="227" w:lineRule="exact"/>
              <w:ind w:left="0" w:right="1"/>
              <w:jc w:val="center"/>
              <w:rPr>
                <w:sz w:val="20"/>
              </w:rPr>
            </w:pPr>
            <w:r>
              <w:rPr>
                <w:w w:val="99"/>
                <w:sz w:val="20"/>
              </w:rPr>
              <w:t>P</w:t>
            </w:r>
          </w:p>
        </w:tc>
        <w:tc>
          <w:tcPr>
            <w:tcW w:w="3404" w:type="dxa"/>
            <w:tcBorders>
              <w:right w:val="single" w:sz="41" w:space="0" w:color="00FF00"/>
            </w:tcBorders>
          </w:tcPr>
          <w:p>
            <w:pPr>
              <w:pStyle w:val="TableParagraph"/>
              <w:spacing w:line="227" w:lineRule="exact"/>
              <w:ind w:left="357" w:right="314"/>
              <w:jc w:val="center"/>
              <w:rPr>
                <w:sz w:val="20"/>
              </w:rPr>
            </w:pPr>
            <w:r>
              <w:rPr>
                <w:sz w:val="20"/>
              </w:rPr>
              <w:t>Relaciones intermunicipales</w:t>
            </w:r>
          </w:p>
        </w:tc>
        <w:tc>
          <w:tcPr>
            <w:tcW w:w="787" w:type="dxa"/>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right w:val="single" w:sz="41" w:space="0" w:color="FFFF00"/>
            </w:tcBorders>
          </w:tcPr>
          <w:p>
            <w:pPr>
              <w:pStyle w:val="TableParagraph"/>
              <w:spacing w:line="227" w:lineRule="exact"/>
              <w:ind w:left="0" w:right="1"/>
              <w:jc w:val="center"/>
              <w:rPr>
                <w:sz w:val="20"/>
              </w:rPr>
            </w:pPr>
            <w:r>
              <w:rPr>
                <w:w w:val="99"/>
                <w:sz w:val="20"/>
              </w:rPr>
              <w:t>B</w:t>
            </w:r>
          </w:p>
        </w:tc>
        <w:tc>
          <w:tcPr>
            <w:tcW w:w="788" w:type="dxa"/>
            <w:shd w:val="clear" w:color="auto" w:fill="FFFF00"/>
          </w:tcPr>
          <w:p>
            <w:pPr>
              <w:pStyle w:val="TableParagraph"/>
              <w:spacing w:line="227" w:lineRule="exact"/>
              <w:ind w:left="0" w:right="3"/>
              <w:jc w:val="center"/>
              <w:rPr>
                <w:sz w:val="20"/>
              </w:rPr>
            </w:pPr>
            <w:r>
              <w:rPr>
                <w:w w:val="99"/>
                <w:sz w:val="20"/>
              </w:rPr>
              <w:t>R</w:t>
            </w:r>
          </w:p>
        </w:tc>
        <w:tc>
          <w:tcPr>
            <w:tcW w:w="787" w:type="dxa"/>
            <w:shd w:val="clear" w:color="auto" w:fill="FFFF00"/>
          </w:tcPr>
          <w:p>
            <w:pPr>
              <w:pStyle w:val="TableParagraph"/>
              <w:spacing w:line="227" w:lineRule="exact"/>
              <w:ind w:left="0"/>
              <w:jc w:val="center"/>
              <w:rPr>
                <w:sz w:val="20"/>
              </w:rPr>
            </w:pPr>
            <w:r>
              <w:rPr>
                <w:w w:val="99"/>
                <w:sz w:val="20"/>
              </w:rPr>
              <w:t>R</w:t>
            </w:r>
          </w:p>
        </w:tc>
        <w:tc>
          <w:tcPr>
            <w:tcW w:w="790" w:type="dxa"/>
            <w:shd w:val="clear" w:color="auto" w:fill="FFFF00"/>
          </w:tcPr>
          <w:p>
            <w:pPr>
              <w:pStyle w:val="TableParagraph"/>
              <w:spacing w:line="227" w:lineRule="exact"/>
              <w:ind w:left="0"/>
              <w:jc w:val="center"/>
              <w:rPr>
                <w:sz w:val="20"/>
              </w:rPr>
            </w:pPr>
            <w:r>
              <w:rPr>
                <w:w w:val="99"/>
                <w:sz w:val="20"/>
              </w:rPr>
              <w:t>R</w:t>
            </w:r>
          </w:p>
        </w:tc>
        <w:tc>
          <w:tcPr>
            <w:tcW w:w="787" w:type="dxa"/>
            <w:shd w:val="clear" w:color="auto" w:fill="FFFF00"/>
          </w:tcPr>
          <w:p>
            <w:pPr>
              <w:pStyle w:val="TableParagraph"/>
              <w:spacing w:line="227" w:lineRule="exact"/>
              <w:ind w:left="0" w:right="2"/>
              <w:jc w:val="center"/>
              <w:rPr>
                <w:sz w:val="20"/>
              </w:rPr>
            </w:pPr>
            <w:r>
              <w:rPr>
                <w:w w:val="99"/>
                <w:sz w:val="20"/>
              </w:rPr>
              <w:t>R</w:t>
            </w:r>
          </w:p>
        </w:tc>
        <w:tc>
          <w:tcPr>
            <w:tcW w:w="787" w:type="dxa"/>
            <w:shd w:val="clear" w:color="auto" w:fill="FFFF00"/>
          </w:tcPr>
          <w:p>
            <w:pPr>
              <w:pStyle w:val="TableParagraph"/>
              <w:spacing w:line="227" w:lineRule="exact"/>
              <w:ind w:left="0"/>
              <w:jc w:val="center"/>
              <w:rPr>
                <w:sz w:val="20"/>
              </w:rPr>
            </w:pPr>
            <w:r>
              <w:rPr>
                <w:w w:val="99"/>
                <w:sz w:val="20"/>
              </w:rPr>
              <w:t>R</w:t>
            </w:r>
          </w:p>
        </w:tc>
        <w:tc>
          <w:tcPr>
            <w:tcW w:w="790" w:type="dxa"/>
            <w:shd w:val="clear" w:color="auto" w:fill="FFFF00"/>
          </w:tcPr>
          <w:p>
            <w:pPr>
              <w:pStyle w:val="TableParagraph"/>
              <w:spacing w:line="227" w:lineRule="exact"/>
              <w:ind w:left="0" w:right="1"/>
              <w:jc w:val="center"/>
              <w:rPr>
                <w:sz w:val="20"/>
              </w:rPr>
            </w:pPr>
            <w:r>
              <w:rPr>
                <w:w w:val="99"/>
                <w:sz w:val="20"/>
              </w:rPr>
              <w:t>R</w:t>
            </w:r>
          </w:p>
        </w:tc>
        <w:tc>
          <w:tcPr>
            <w:tcW w:w="787" w:type="dxa"/>
            <w:shd w:val="clear" w:color="auto" w:fill="FFFF00"/>
          </w:tcPr>
          <w:p>
            <w:pPr>
              <w:pStyle w:val="TableParagraph"/>
              <w:spacing w:line="227" w:lineRule="exact"/>
              <w:ind w:left="0" w:right="2"/>
              <w:jc w:val="center"/>
              <w:rPr>
                <w:sz w:val="20"/>
              </w:rPr>
            </w:pPr>
            <w:r>
              <w:rPr>
                <w:w w:val="99"/>
                <w:sz w:val="20"/>
              </w:rPr>
              <w:t>R</w:t>
            </w:r>
          </w:p>
        </w:tc>
        <w:tc>
          <w:tcPr>
            <w:tcW w:w="797" w:type="dxa"/>
            <w:shd w:val="clear" w:color="auto" w:fill="FFFF00"/>
          </w:tcPr>
          <w:p>
            <w:pPr>
              <w:pStyle w:val="TableParagraph"/>
              <w:spacing w:line="227" w:lineRule="exact"/>
              <w:ind w:left="0"/>
              <w:jc w:val="center"/>
              <w:rPr>
                <w:sz w:val="20"/>
              </w:rPr>
            </w:pPr>
            <w:r>
              <w:rPr>
                <w:w w:val="99"/>
                <w:sz w:val="20"/>
              </w:rPr>
              <w:t>R</w:t>
            </w:r>
          </w:p>
        </w:tc>
      </w:tr>
      <w:tr>
        <w:trPr>
          <w:trHeight w:val="362" w:hRule="exact"/>
        </w:trPr>
        <w:tc>
          <w:tcPr>
            <w:tcW w:w="1114" w:type="dxa"/>
            <w:vMerge/>
            <w:tcBorders>
              <w:bottom w:val="single" w:sz="12" w:space="0" w:color="000000"/>
            </w:tcBorders>
            <w:shd w:val="clear" w:color="auto" w:fill="F79546"/>
            <w:textDirection w:val="btLr"/>
          </w:tcPr>
          <w:p>
            <w:pPr/>
          </w:p>
        </w:tc>
        <w:tc>
          <w:tcPr>
            <w:tcW w:w="814" w:type="dxa"/>
            <w:tcBorders>
              <w:bottom w:val="single" w:sz="12" w:space="0" w:color="000000"/>
            </w:tcBorders>
            <w:shd w:val="clear" w:color="auto" w:fill="F79546"/>
          </w:tcPr>
          <w:p>
            <w:pPr>
              <w:pStyle w:val="TableParagraph"/>
              <w:spacing w:line="227" w:lineRule="exact"/>
              <w:ind w:left="0" w:right="1"/>
              <w:jc w:val="center"/>
              <w:rPr>
                <w:sz w:val="20"/>
              </w:rPr>
            </w:pPr>
            <w:r>
              <w:rPr>
                <w:w w:val="99"/>
                <w:sz w:val="20"/>
              </w:rPr>
              <w:t>E</w:t>
            </w:r>
          </w:p>
        </w:tc>
        <w:tc>
          <w:tcPr>
            <w:tcW w:w="3404" w:type="dxa"/>
            <w:tcBorders>
              <w:bottom w:val="single" w:sz="12" w:space="0" w:color="000000"/>
              <w:right w:val="single" w:sz="41" w:space="0" w:color="00FF00"/>
            </w:tcBorders>
          </w:tcPr>
          <w:p>
            <w:pPr>
              <w:pStyle w:val="TableParagraph"/>
              <w:spacing w:line="227" w:lineRule="exact"/>
              <w:ind w:left="355" w:right="314"/>
              <w:jc w:val="center"/>
              <w:rPr>
                <w:sz w:val="20"/>
              </w:rPr>
            </w:pPr>
            <w:r>
              <w:rPr>
                <w:sz w:val="20"/>
              </w:rPr>
              <w:t>Uso irracional</w:t>
            </w:r>
          </w:p>
        </w:tc>
        <w:tc>
          <w:tcPr>
            <w:tcW w:w="787" w:type="dxa"/>
            <w:tcBorders>
              <w:bottom w:val="single" w:sz="12" w:space="0" w:color="000000"/>
            </w:tcBorders>
            <w:shd w:val="clear" w:color="auto" w:fill="00FF00"/>
          </w:tcPr>
          <w:p>
            <w:pPr>
              <w:pStyle w:val="TableParagraph"/>
              <w:spacing w:line="227" w:lineRule="exact"/>
              <w:ind w:left="0" w:right="1"/>
              <w:jc w:val="center"/>
              <w:rPr>
                <w:sz w:val="20"/>
              </w:rPr>
            </w:pPr>
            <w:r>
              <w:rPr>
                <w:w w:val="99"/>
                <w:sz w:val="20"/>
              </w:rPr>
              <w:t>E</w:t>
            </w:r>
          </w:p>
        </w:tc>
        <w:tc>
          <w:tcPr>
            <w:tcW w:w="790" w:type="dxa"/>
            <w:tcBorders>
              <w:left w:val="single" w:sz="41" w:space="0" w:color="00FF00"/>
              <w:bottom w:val="single" w:sz="12" w:space="0" w:color="000000"/>
              <w:right w:val="single" w:sz="41" w:space="0" w:color="FF0000"/>
            </w:tcBorders>
          </w:tcPr>
          <w:p>
            <w:pPr>
              <w:pStyle w:val="TableParagraph"/>
              <w:spacing w:line="227" w:lineRule="exact"/>
              <w:ind w:left="0" w:right="1"/>
              <w:jc w:val="center"/>
              <w:rPr>
                <w:sz w:val="20"/>
              </w:rPr>
            </w:pPr>
            <w:r>
              <w:rPr>
                <w:w w:val="99"/>
                <w:sz w:val="20"/>
              </w:rPr>
              <w:t>B</w:t>
            </w:r>
          </w:p>
        </w:tc>
        <w:tc>
          <w:tcPr>
            <w:tcW w:w="788" w:type="dxa"/>
            <w:tcBorders>
              <w:bottom w:val="single" w:sz="12" w:space="0" w:color="000000"/>
            </w:tcBorders>
            <w:shd w:val="clear" w:color="auto" w:fill="FF0000"/>
          </w:tcPr>
          <w:p>
            <w:pPr>
              <w:pStyle w:val="TableParagraph"/>
              <w:spacing w:line="227" w:lineRule="exact"/>
              <w:ind w:left="0" w:right="3"/>
              <w:jc w:val="center"/>
              <w:rPr>
                <w:sz w:val="20"/>
              </w:rPr>
            </w:pPr>
            <w:r>
              <w:rPr>
                <w:w w:val="99"/>
                <w:sz w:val="20"/>
              </w:rPr>
              <w:t>D</w:t>
            </w:r>
          </w:p>
        </w:tc>
        <w:tc>
          <w:tcPr>
            <w:tcW w:w="787" w:type="dxa"/>
            <w:tcBorders>
              <w:bottom w:val="single" w:sz="12" w:space="0" w:color="000000"/>
            </w:tcBorders>
            <w:shd w:val="clear" w:color="auto" w:fill="FF0000"/>
          </w:tcPr>
          <w:p>
            <w:pPr>
              <w:pStyle w:val="TableParagraph"/>
              <w:spacing w:line="227" w:lineRule="exact"/>
              <w:ind w:left="0"/>
              <w:jc w:val="center"/>
              <w:rPr>
                <w:sz w:val="20"/>
              </w:rPr>
            </w:pPr>
            <w:r>
              <w:rPr>
                <w:w w:val="99"/>
                <w:sz w:val="20"/>
              </w:rPr>
              <w:t>D</w:t>
            </w:r>
          </w:p>
        </w:tc>
        <w:tc>
          <w:tcPr>
            <w:tcW w:w="790" w:type="dxa"/>
            <w:tcBorders>
              <w:bottom w:val="single" w:sz="12" w:space="0" w:color="000000"/>
            </w:tcBorders>
            <w:shd w:val="clear" w:color="auto" w:fill="FF0000"/>
          </w:tcPr>
          <w:p>
            <w:pPr>
              <w:pStyle w:val="TableParagraph"/>
              <w:spacing w:line="227" w:lineRule="exact"/>
              <w:ind w:left="0"/>
              <w:jc w:val="center"/>
              <w:rPr>
                <w:sz w:val="20"/>
              </w:rPr>
            </w:pPr>
            <w:r>
              <w:rPr>
                <w:w w:val="99"/>
                <w:sz w:val="20"/>
              </w:rPr>
              <w:t>D</w:t>
            </w:r>
          </w:p>
        </w:tc>
        <w:tc>
          <w:tcPr>
            <w:tcW w:w="787" w:type="dxa"/>
            <w:tcBorders>
              <w:bottom w:val="single" w:sz="12" w:space="0" w:color="000000"/>
            </w:tcBorders>
            <w:shd w:val="clear" w:color="auto" w:fill="FF0000"/>
          </w:tcPr>
          <w:p>
            <w:pPr>
              <w:pStyle w:val="TableParagraph"/>
              <w:spacing w:line="227" w:lineRule="exact"/>
              <w:ind w:left="0" w:right="2"/>
              <w:jc w:val="center"/>
              <w:rPr>
                <w:sz w:val="20"/>
              </w:rPr>
            </w:pPr>
            <w:r>
              <w:rPr>
                <w:w w:val="99"/>
                <w:sz w:val="20"/>
              </w:rPr>
              <w:t>D</w:t>
            </w:r>
          </w:p>
        </w:tc>
        <w:tc>
          <w:tcPr>
            <w:tcW w:w="787" w:type="dxa"/>
            <w:tcBorders>
              <w:bottom w:val="single" w:sz="12" w:space="0" w:color="000000"/>
            </w:tcBorders>
            <w:shd w:val="clear" w:color="auto" w:fill="FF0000"/>
          </w:tcPr>
          <w:p>
            <w:pPr>
              <w:pStyle w:val="TableParagraph"/>
              <w:spacing w:line="227" w:lineRule="exact"/>
              <w:ind w:left="0"/>
              <w:jc w:val="center"/>
              <w:rPr>
                <w:sz w:val="20"/>
              </w:rPr>
            </w:pPr>
            <w:r>
              <w:rPr>
                <w:w w:val="99"/>
                <w:sz w:val="20"/>
              </w:rPr>
              <w:t>D</w:t>
            </w:r>
          </w:p>
        </w:tc>
        <w:tc>
          <w:tcPr>
            <w:tcW w:w="790" w:type="dxa"/>
            <w:tcBorders>
              <w:bottom w:val="single" w:sz="12" w:space="0" w:color="000000"/>
            </w:tcBorders>
            <w:shd w:val="clear" w:color="auto" w:fill="FF0000"/>
          </w:tcPr>
          <w:p>
            <w:pPr>
              <w:pStyle w:val="TableParagraph"/>
              <w:spacing w:line="227" w:lineRule="exact"/>
              <w:ind w:left="0" w:right="1"/>
              <w:jc w:val="center"/>
              <w:rPr>
                <w:sz w:val="20"/>
              </w:rPr>
            </w:pPr>
            <w:r>
              <w:rPr>
                <w:w w:val="99"/>
                <w:sz w:val="20"/>
              </w:rPr>
              <w:t>D</w:t>
            </w:r>
          </w:p>
        </w:tc>
        <w:tc>
          <w:tcPr>
            <w:tcW w:w="787" w:type="dxa"/>
            <w:tcBorders>
              <w:bottom w:val="single" w:sz="12" w:space="0" w:color="000000"/>
            </w:tcBorders>
            <w:shd w:val="clear" w:color="auto" w:fill="FF0000"/>
          </w:tcPr>
          <w:p>
            <w:pPr>
              <w:pStyle w:val="TableParagraph"/>
              <w:spacing w:line="227" w:lineRule="exact"/>
              <w:ind w:left="0" w:right="2"/>
              <w:jc w:val="center"/>
              <w:rPr>
                <w:sz w:val="20"/>
              </w:rPr>
            </w:pPr>
            <w:r>
              <w:rPr>
                <w:w w:val="99"/>
                <w:sz w:val="20"/>
              </w:rPr>
              <w:t>D</w:t>
            </w:r>
          </w:p>
        </w:tc>
        <w:tc>
          <w:tcPr>
            <w:tcW w:w="797" w:type="dxa"/>
            <w:tcBorders>
              <w:bottom w:val="single" w:sz="12" w:space="0" w:color="000000"/>
            </w:tcBorders>
            <w:shd w:val="clear" w:color="auto" w:fill="FF0000"/>
          </w:tcPr>
          <w:p>
            <w:pPr>
              <w:pStyle w:val="TableParagraph"/>
              <w:spacing w:line="227" w:lineRule="exact"/>
              <w:ind w:left="0"/>
              <w:jc w:val="center"/>
              <w:rPr>
                <w:sz w:val="20"/>
              </w:rPr>
            </w:pPr>
            <w:r>
              <w:rPr>
                <w:w w:val="99"/>
                <w:sz w:val="20"/>
              </w:rPr>
              <w:t>D</w:t>
            </w:r>
          </w:p>
        </w:tc>
      </w:tr>
    </w:tbl>
    <w:p>
      <w:pPr>
        <w:pStyle w:val="BodyText"/>
        <w:rPr>
          <w:b/>
          <w:sz w:val="20"/>
        </w:rPr>
      </w:pPr>
    </w:p>
    <w:p>
      <w:pPr>
        <w:pStyle w:val="BodyText"/>
        <w:spacing w:before="1"/>
        <w:rPr>
          <w:b/>
          <w:sz w:val="24"/>
        </w:rPr>
      </w:pPr>
    </w:p>
    <w:p>
      <w:pPr>
        <w:pStyle w:val="BodyText"/>
        <w:spacing w:before="56"/>
        <w:ind w:right="233"/>
        <w:jc w:val="right"/>
        <w:rPr>
          <w:rFonts w:ascii="Calibri"/>
        </w:rPr>
      </w:pPr>
      <w:r>
        <w:rPr/>
        <w:pict>
          <v:group style="position:absolute;margin-left:371.690002pt;margin-top:-115.026367pt;width:354.65pt;height:88.25pt;mso-position-horizontal-relative:page;mso-position-vertical-relative:paragraph;z-index:-3326704" coordorigin="7434,-2301" coordsize="7093,1765">
            <v:shape style="position:absolute;left:8221;top:-2301;width:780;height:346" type="#_x0000_t75" stroked="false">
              <v:imagedata r:id="rId773" o:title=""/>
            </v:shape>
            <v:shape style="position:absolute;left:8324;top:-2301;width:574;height:346" type="#_x0000_t75" stroked="false">
              <v:imagedata r:id="rId663" o:title=""/>
            </v:shape>
            <v:shape style="position:absolute;left:9011;top:-2301;width:778;height:346" type="#_x0000_t75" stroked="false">
              <v:imagedata r:id="rId664" o:title=""/>
            </v:shape>
            <v:shape style="position:absolute;left:9114;top:-2301;width:571;height:346" type="#_x0000_t75" stroked="false">
              <v:imagedata r:id="rId665" o:title=""/>
            </v:shape>
            <v:shape style="position:absolute;left:9798;top:-2301;width:778;height:346" type="#_x0000_t75" stroked="false">
              <v:imagedata r:id="rId774" o:title=""/>
            </v:shape>
            <v:shape style="position:absolute;left:9901;top:-2301;width:571;height:346" type="#_x0000_t75" stroked="false">
              <v:imagedata r:id="rId775" o:title=""/>
            </v:shape>
            <v:shape style="position:absolute;left:10585;top:-2301;width:780;height:346" type="#_x0000_t75" stroked="false">
              <v:imagedata r:id="rId668" o:title=""/>
            </v:shape>
            <v:shape style="position:absolute;left:10689;top:-2301;width:574;height:346" type="#_x0000_t75" stroked="false">
              <v:imagedata r:id="rId776" o:title=""/>
            </v:shape>
            <v:shape style="position:absolute;left:11375;top:-2301;width:778;height:346" type="#_x0000_t75" stroked="false">
              <v:imagedata r:id="rId777" o:title=""/>
            </v:shape>
            <v:shape style="position:absolute;left:11478;top:-2301;width:571;height:346" type="#_x0000_t75" stroked="false">
              <v:imagedata r:id="rId671" o:title=""/>
            </v:shape>
            <v:shape style="position:absolute;left:12162;top:-2301;width:778;height:346" type="#_x0000_t75" stroked="false">
              <v:imagedata r:id="rId672" o:title=""/>
            </v:shape>
            <v:shape style="position:absolute;left:12265;top:-2301;width:572;height:346" type="#_x0000_t75" stroked="false">
              <v:imagedata r:id="rId673" o:title=""/>
            </v:shape>
            <v:shape style="position:absolute;left:12950;top:-2301;width:780;height:346" type="#_x0000_t75" stroked="false">
              <v:imagedata r:id="rId674" o:title=""/>
            </v:shape>
            <v:shape style="position:absolute;left:13053;top:-2301;width:574;height:346" type="#_x0000_t75" stroked="false">
              <v:imagedata r:id="rId778" o:title=""/>
            </v:shape>
            <v:shape style="position:absolute;left:13740;top:-2301;width:787;height:346" type="#_x0000_t75" stroked="false">
              <v:imagedata r:id="rId779" o:title=""/>
            </v:shape>
            <v:shape style="position:absolute;left:13843;top:-2301;width:581;height:346" type="#_x0000_t75" stroked="false">
              <v:imagedata r:id="rId677" o:title=""/>
            </v:shape>
            <v:shape style="position:absolute;left:7434;top:-1945;width:778;height:346" type="#_x0000_t75" stroked="false">
              <v:imagedata r:id="rId780" o:title=""/>
            </v:shape>
            <v:shape style="position:absolute;left:7537;top:-1945;width:571;height:346" type="#_x0000_t75" stroked="false">
              <v:imagedata r:id="rId679" o:title=""/>
            </v:shape>
            <v:shape style="position:absolute;left:7434;top:-1590;width:778;height:346" type="#_x0000_t75" stroked="false">
              <v:imagedata r:id="rId680" o:title=""/>
            </v:shape>
            <v:shape style="position:absolute;left:7537;top:-1590;width:571;height:346" type="#_x0000_t75" stroked="false">
              <v:imagedata r:id="rId681" o:title=""/>
            </v:shape>
            <v:shape style="position:absolute;left:7434;top:-1234;width:778;height:346" type="#_x0000_t75" stroked="false">
              <v:imagedata r:id="rId781" o:title=""/>
            </v:shape>
            <v:shape style="position:absolute;left:7537;top:-1234;width:571;height:346" type="#_x0000_t75" stroked="false">
              <v:imagedata r:id="rId782" o:title=""/>
            </v:shape>
            <v:shape style="position:absolute;left:7434;top:-879;width:778;height:343" type="#_x0000_t75" stroked="false">
              <v:imagedata r:id="rId783" o:title=""/>
            </v:shape>
            <v:shape style="position:absolute;left:7537;top:-879;width:571;height:343" type="#_x0000_t75" stroked="false">
              <v:imagedata r:id="rId685" o:title=""/>
            </v:shape>
            <w10:wrap type="none"/>
          </v:group>
        </w:pict>
      </w:r>
      <w:r>
        <w:rPr>
          <w:rFonts w:ascii="Calibri"/>
        </w:rPr>
        <w:t>881</w:t>
      </w:r>
    </w:p>
    <w:p>
      <w:pPr>
        <w:spacing w:after="0"/>
        <w:jc w:val="right"/>
        <w:rPr>
          <w:rFonts w:ascii="Calibri"/>
        </w:rPr>
        <w:sectPr>
          <w:footerReference w:type="default" r:id="rId714"/>
          <w:pgSz w:w="15840" w:h="12240" w:orient="landscape"/>
          <w:pgMar w:footer="0" w:header="0" w:top="1140" w:bottom="280" w:left="1200" w:right="1180"/>
        </w:sectPr>
      </w:pPr>
    </w:p>
    <w:p>
      <w:pPr>
        <w:pStyle w:val="BodyText"/>
        <w:spacing w:line="360" w:lineRule="auto" w:before="53"/>
        <w:ind w:left="102" w:right="112"/>
        <w:jc w:val="both"/>
      </w:pPr>
      <w:r>
        <w:rPr/>
        <w:t>Con el resultado de esta evolución de indicadores por períodos de tiempo, pudo elaborarse con precisión la propuesta de Comité Intermunicipal para Cuidar, Defender y Administrar los recursos de la CHPH con su Reglamento, y pudo identificarse que en la AEPA ambiental es donde prevalece la calificación de “deficiente”, como resultado del trabajo de campo y gabinete, ya que los actores de la CHPH señalaron como principales problemas los de carácter ambiental en la presa Huapango (la contaminación por aguas residuales de tipo doméstico, la caza masiva de aves migratorias, el  ruido  y contaminación de la Autopista Arco Norte, la contaminación por desechos de agroquímicos, la sobreexplotación de los recursos naturales y los sueros que se generan por la producción de</w:t>
      </w:r>
      <w:r>
        <w:rPr>
          <w:spacing w:val="-7"/>
        </w:rPr>
        <w:t> </w:t>
      </w:r>
      <w:r>
        <w:rPr/>
        <w:t>lácteos.</w:t>
      </w:r>
    </w:p>
    <w:p>
      <w:pPr>
        <w:pStyle w:val="BodyText"/>
        <w:spacing w:before="9"/>
        <w:rPr>
          <w:sz w:val="17"/>
        </w:rPr>
      </w:pPr>
    </w:p>
    <w:p>
      <w:pPr>
        <w:pStyle w:val="BodyText"/>
        <w:spacing w:line="360" w:lineRule="auto"/>
        <w:ind w:left="102" w:right="114"/>
        <w:jc w:val="both"/>
      </w:pPr>
      <w:r>
        <w:rPr/>
        <w:t>La AEPA sociopolítica es la mejor calificada, que coincide con lo que se detectó en el trabajo de campo, en que los actores históricos de la CHPH tienen una identidad local y regional muy consolidada que les permite tener una sólida cultura sociopolítica basada en la voluntariedad y democracia de la población nativa de la región, reflejada en una buena gobernanza y gobernabilidad, la cual se ve afectada por el reparto inequitativo de los recursos naturales de la Cuenca por parte de los actores gubernamentales,  principalmente por la Conagua que beneficia sólo a los actores de los municipios de  aguas abajo (Aculco y Polotitlán) con las concesión para riego, derecho que no tienen los actores de los municipios de aguas arriba (Acambay, Jilotepec,</w:t>
      </w:r>
      <w:r>
        <w:rPr>
          <w:spacing w:val="-21"/>
        </w:rPr>
        <w:t> </w:t>
      </w:r>
      <w:r>
        <w:rPr/>
        <w:t>Timilpan).</w:t>
      </w:r>
    </w:p>
    <w:p>
      <w:pPr>
        <w:pStyle w:val="BodyText"/>
        <w:spacing w:before="7"/>
        <w:rPr>
          <w:sz w:val="17"/>
        </w:rPr>
      </w:pPr>
    </w:p>
    <w:p>
      <w:pPr>
        <w:pStyle w:val="BodyText"/>
        <w:spacing w:line="360" w:lineRule="auto"/>
        <w:ind w:left="102" w:right="115"/>
        <w:jc w:val="both"/>
      </w:pPr>
      <w:r>
        <w:rPr/>
        <w:t>Por otro lado, para la AEPA económica, en el trabajo de campo se identificó que las relaciones socioeconómicas en la CHPH están dadas con base en las interrelaciones municipales de mercado y tianguis regionales, es decir, los actores históricos se vinculan entre municipios para la compra y venta de sus productos lácteos y de comida lacustre principalmente, sin embargo existe un gran descontento social por el reparto inequitativo y la sobreexplotación de los recursos naturales extraídos por parte de los actores más poderosos económica y políticamente.</w:t>
      </w:r>
    </w:p>
    <w:p>
      <w:pPr>
        <w:pStyle w:val="BodyText"/>
        <w:spacing w:before="6"/>
        <w:rPr>
          <w:sz w:val="24"/>
        </w:rPr>
      </w:pPr>
    </w:p>
    <w:p>
      <w:pPr>
        <w:pStyle w:val="BodyText"/>
        <w:spacing w:line="360" w:lineRule="auto"/>
        <w:ind w:left="102" w:right="119"/>
        <w:jc w:val="both"/>
      </w:pPr>
      <w:r>
        <w:rPr/>
        <w:t>Consecuentemente, se concluye que la AEPA sociopolítica es el vínculo regional de más peso y poderoso, para articular a los actores históricos para la toma de acuerdos intermunicipales para atender problemas de tipo ambiental, sociopolítico y económico, ya que si bien el deterioro ambiental de la CHPH es grave y el reparto de los recursos naturales es inequitativo porque el sistema federal y los mismos procesos históricos así lo</w:t>
      </w:r>
    </w:p>
    <w:p>
      <w:pPr>
        <w:spacing w:after="0" w:line="360" w:lineRule="auto"/>
        <w:jc w:val="both"/>
        <w:sectPr>
          <w:footerReference w:type="default" r:id="rId784"/>
          <w:pgSz w:w="12240" w:h="15840"/>
          <w:pgMar w:footer="1512" w:header="0" w:top="1360" w:bottom="1700" w:left="1600" w:right="1580"/>
          <w:pgNumType w:start="882"/>
        </w:sectPr>
      </w:pPr>
    </w:p>
    <w:p>
      <w:pPr>
        <w:pStyle w:val="BodyText"/>
        <w:spacing w:line="360" w:lineRule="auto" w:before="53"/>
        <w:ind w:left="102" w:right="114"/>
        <w:jc w:val="both"/>
      </w:pPr>
      <w:r>
        <w:rPr/>
        <w:t>han determinado, esto obedece a la falta de articulación entre los actores históricos de los municipios que integran la Cuenca, ya que durante años han estado gestionando con las instancias gubernamentales federales (la Sagarpa, la Semarnat y la Conagua), estatales (la Sedagro, la CAEM) y municipales (Cabildos) para revertir los daños de la CHPH, pero de forma aislada, es decir por localidad o municipio, sin recibir respuesta adecuada, ya que la evasión de funciones y responsabilidades de éstas sólo ha empeorado la situación de la CHPH. Por lo que, la idea propuesta por los entrevistados (actores históricos y autoridades municipales) en trabajo de campo, de que se integre un Comité Intermunicipal con su Reglamento a nivel intermunicipal, donde puedan participar todos los actores y generar su reglamento, resulta ser una solución viable y realizable, al surgir  de  los mismos actores la idea, y basarse en el derecho consuetudinario (usos y costumbres)  para resolver la problemática que viven en la región. Es viable porque “la Constitución Política de los Estados Unidos Mexicanos no deja del todo clara la cuestión de que si es admisible la asociación de municipios y sus autoridades para otros fines que no sean estrictamente la prestación de servicios públicos o el mejor ejercicio de las funciones que le corresponden. En este sentido, Quintana (2013), señala que tenemos que cuestionarnos si los municipios están jurídicamente capacitados y facultados para integrar otras diversas formas de asociacionismo tendientes a mejorar la promoción y defensa de sus intereses, como es el caso de la CHPH, donde se requiere una asociación intermunicipal para atender la problemática del medio</w:t>
      </w:r>
      <w:r>
        <w:rPr>
          <w:spacing w:val="-19"/>
        </w:rPr>
        <w:t> </w:t>
      </w:r>
      <w:r>
        <w:rPr/>
        <w:t>ambiente.</w:t>
      </w:r>
    </w:p>
    <w:p>
      <w:pPr>
        <w:pStyle w:val="BodyText"/>
        <w:spacing w:before="8"/>
        <w:rPr>
          <w:sz w:val="24"/>
        </w:rPr>
      </w:pPr>
    </w:p>
    <w:p>
      <w:pPr>
        <w:pStyle w:val="BodyText"/>
        <w:spacing w:line="360" w:lineRule="auto"/>
        <w:ind w:left="102" w:right="113"/>
        <w:jc w:val="both"/>
      </w:pPr>
      <w:r>
        <w:rPr/>
        <w:t>En este sentido, los actores históricos son los más preocupados y facultados para articularse mediante el derecho consuetudinario a través de una institución y acuerdos formales que resuelvan sus propios problemas que les están afectando en la actualidad y que ponen en riesgo la sostenibilidad de la CHPH para las generaciones futuras, por lo que las características sociopolíticas de los actores históricos, como la identidad,  la cultura sociopolítica y la voluntariedad de la población para cooperar en la solución de sus problemas, manifiestan la oportunidad de construirse en un Comité Intermunicipal Para Cuidar, Defender y Administrar los Recursos Naturales de la CHPH con su Reglamento como instrumentos de política pública para iniciar la planeación estratégica que permitirá realizar acciones, programas y proyectos en beneficio del desarrollo de la CHPH.</w:t>
      </w:r>
    </w:p>
    <w:p>
      <w:pPr>
        <w:spacing w:after="0" w:line="360" w:lineRule="auto"/>
        <w:jc w:val="both"/>
        <w:sectPr>
          <w:pgSz w:w="12240" w:h="15840"/>
          <w:pgMar w:header="0" w:footer="1512" w:top="1360" w:bottom="17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1"/>
        </w:rPr>
      </w:pPr>
    </w:p>
    <w:p>
      <w:pPr>
        <w:pStyle w:val="Heading1"/>
        <w:ind w:left="757"/>
      </w:pPr>
      <w:r>
        <w:rPr/>
        <w:t>HALLAZGOS Y CONTRIBUCIONES</w:t>
      </w:r>
    </w:p>
    <w:p>
      <w:pPr>
        <w:spacing w:after="0"/>
        <w:sectPr>
          <w:pgSz w:w="12240" w:h="15840"/>
          <w:pgMar w:header="0" w:footer="1512" w:top="1500" w:bottom="1700" w:left="1720" w:right="1580"/>
        </w:sectPr>
      </w:pPr>
    </w:p>
    <w:p>
      <w:pPr>
        <w:pStyle w:val="Heading6"/>
        <w:numPr>
          <w:ilvl w:val="0"/>
          <w:numId w:val="420"/>
        </w:numPr>
        <w:tabs>
          <w:tab w:pos="496" w:val="left" w:leader="none"/>
        </w:tabs>
        <w:spacing w:line="240" w:lineRule="auto" w:before="51" w:after="0"/>
        <w:ind w:left="495" w:right="0" w:hanging="393"/>
        <w:jc w:val="both"/>
      </w:pPr>
      <w:r>
        <w:rPr/>
        <w:t>HALLAZGOS Y</w:t>
      </w:r>
      <w:r>
        <w:rPr>
          <w:spacing w:val="-18"/>
        </w:rPr>
        <w:t> </w:t>
      </w:r>
      <w:r>
        <w:rPr/>
        <w:t>CONTRIBUCIONES</w:t>
      </w:r>
    </w:p>
    <w:p>
      <w:pPr>
        <w:pStyle w:val="BodyText"/>
        <w:spacing w:before="8"/>
        <w:rPr>
          <w:b/>
          <w:sz w:val="28"/>
        </w:rPr>
      </w:pPr>
    </w:p>
    <w:p>
      <w:pPr>
        <w:spacing w:line="360" w:lineRule="auto" w:before="0"/>
        <w:ind w:left="102" w:right="115" w:firstLine="0"/>
        <w:jc w:val="both"/>
        <w:rPr>
          <w:sz w:val="22"/>
        </w:rPr>
      </w:pPr>
      <w:r>
        <w:rPr>
          <w:sz w:val="22"/>
        </w:rPr>
        <w:t>En este apartado se señalan </w:t>
      </w:r>
      <w:r>
        <w:rPr>
          <w:i/>
          <w:sz w:val="22"/>
        </w:rPr>
        <w:t>nueve hallazgos y contribuciones </w:t>
      </w:r>
      <w:r>
        <w:rPr>
          <w:sz w:val="22"/>
        </w:rPr>
        <w:t>que se identificaron en el transcurso de la elaboración de este trabajo:</w:t>
      </w:r>
    </w:p>
    <w:p>
      <w:pPr>
        <w:pStyle w:val="BodyText"/>
        <w:spacing w:before="7"/>
        <w:rPr>
          <w:sz w:val="17"/>
        </w:rPr>
      </w:pPr>
    </w:p>
    <w:p>
      <w:pPr>
        <w:pStyle w:val="ListParagraph"/>
        <w:numPr>
          <w:ilvl w:val="0"/>
          <w:numId w:val="421"/>
        </w:numPr>
        <w:tabs>
          <w:tab w:pos="362" w:val="left" w:leader="none"/>
        </w:tabs>
        <w:spacing w:line="360" w:lineRule="auto" w:before="0" w:after="0"/>
        <w:ind w:left="102" w:right="117" w:firstLine="0"/>
        <w:jc w:val="both"/>
        <w:rPr>
          <w:sz w:val="22"/>
        </w:rPr>
      </w:pPr>
      <w:r>
        <w:rPr>
          <w:sz w:val="22"/>
        </w:rPr>
        <w:t>Se identificó que un cuerpo de agua compartido debe ser analizado desde un enfoque de </w:t>
      </w:r>
      <w:r>
        <w:rPr>
          <w:i/>
          <w:sz w:val="22"/>
        </w:rPr>
        <w:t>cuenca hidrosocial</w:t>
      </w:r>
      <w:r>
        <w:rPr>
          <w:sz w:val="22"/>
        </w:rPr>
        <w:t>, ya que las estructuras sociopolíticas históricas que se tejen en torno al agua, generan redes de interrelación entre los actores de aguas abajo y aguas arriba, lo que permite la vinculación social para llegar a acuerdos democráticos que solucionen los problemas</w:t>
      </w:r>
      <w:r>
        <w:rPr>
          <w:spacing w:val="-5"/>
          <w:sz w:val="22"/>
        </w:rPr>
        <w:t> </w:t>
      </w:r>
      <w:r>
        <w:rPr>
          <w:sz w:val="22"/>
        </w:rPr>
        <w:t>comunes.</w:t>
      </w:r>
    </w:p>
    <w:p>
      <w:pPr>
        <w:pStyle w:val="BodyText"/>
        <w:spacing w:before="7"/>
        <w:rPr>
          <w:sz w:val="17"/>
        </w:rPr>
      </w:pPr>
    </w:p>
    <w:p>
      <w:pPr>
        <w:pStyle w:val="ListParagraph"/>
        <w:numPr>
          <w:ilvl w:val="0"/>
          <w:numId w:val="421"/>
        </w:numPr>
        <w:tabs>
          <w:tab w:pos="376" w:val="left" w:leader="none"/>
        </w:tabs>
        <w:spacing w:line="360" w:lineRule="auto" w:before="0" w:after="0"/>
        <w:ind w:left="102" w:right="116" w:firstLine="0"/>
        <w:jc w:val="both"/>
        <w:rPr>
          <w:sz w:val="22"/>
        </w:rPr>
      </w:pPr>
      <w:r>
        <w:rPr>
          <w:sz w:val="22"/>
        </w:rPr>
        <w:t>Se confirmó que el trabajo de campo juega un papel primordial para la obtención de datos de primera mano recogidos </w:t>
      </w:r>
      <w:r>
        <w:rPr>
          <w:i/>
          <w:sz w:val="22"/>
        </w:rPr>
        <w:t>in situ</w:t>
      </w:r>
      <w:r>
        <w:rPr>
          <w:sz w:val="22"/>
        </w:rPr>
        <w:t>, ya que permite tener un diagnóstico más real de la coyuntura sociopolítica, económica y ambiental para entender la problemática sociopolítica, económica y ambiental generadas a  través del tiempo en las</w:t>
      </w:r>
      <w:r>
        <w:rPr>
          <w:spacing w:val="-23"/>
          <w:sz w:val="22"/>
        </w:rPr>
        <w:t> </w:t>
      </w:r>
      <w:r>
        <w:rPr>
          <w:sz w:val="22"/>
        </w:rPr>
        <w:t>regiones.</w:t>
      </w:r>
    </w:p>
    <w:p>
      <w:pPr>
        <w:pStyle w:val="BodyText"/>
        <w:spacing w:before="7"/>
        <w:rPr>
          <w:sz w:val="17"/>
        </w:rPr>
      </w:pPr>
    </w:p>
    <w:p>
      <w:pPr>
        <w:pStyle w:val="ListParagraph"/>
        <w:numPr>
          <w:ilvl w:val="0"/>
          <w:numId w:val="421"/>
        </w:numPr>
        <w:tabs>
          <w:tab w:pos="366" w:val="left" w:leader="none"/>
        </w:tabs>
        <w:spacing w:line="360" w:lineRule="auto" w:before="0" w:after="0"/>
        <w:ind w:left="102" w:right="117" w:firstLine="0"/>
        <w:jc w:val="both"/>
        <w:rPr>
          <w:sz w:val="22"/>
        </w:rPr>
      </w:pPr>
      <w:r>
        <w:rPr>
          <w:sz w:val="22"/>
        </w:rPr>
        <w:t>Se detectó el estudio de la </w:t>
      </w:r>
      <w:r>
        <w:rPr>
          <w:i/>
          <w:sz w:val="22"/>
        </w:rPr>
        <w:t>historia </w:t>
      </w:r>
      <w:r>
        <w:rPr>
          <w:sz w:val="22"/>
        </w:rPr>
        <w:t>como metodología de explicación teórico social </w:t>
      </w:r>
      <w:r>
        <w:rPr>
          <w:spacing w:val="-3"/>
          <w:sz w:val="22"/>
        </w:rPr>
        <w:t>de </w:t>
      </w:r>
      <w:r>
        <w:rPr>
          <w:sz w:val="22"/>
        </w:rPr>
        <w:t>causa-efecto y no como cronología de los hechos históricos, lo cual permitió identificar las estructuras sociopolíticas y a los actores históricos consolidados a través de ésta para el diseño de una política pública de abajo hacia arriba; fundamentada en la GIRH, la gobernanza y la</w:t>
      </w:r>
      <w:r>
        <w:rPr>
          <w:spacing w:val="-13"/>
          <w:sz w:val="22"/>
        </w:rPr>
        <w:t> </w:t>
      </w:r>
      <w:r>
        <w:rPr>
          <w:sz w:val="22"/>
        </w:rPr>
        <w:t>gobernabilidad.</w:t>
      </w:r>
    </w:p>
    <w:p>
      <w:pPr>
        <w:pStyle w:val="BodyText"/>
        <w:spacing w:before="7"/>
        <w:rPr>
          <w:sz w:val="17"/>
        </w:rPr>
      </w:pPr>
    </w:p>
    <w:p>
      <w:pPr>
        <w:pStyle w:val="ListParagraph"/>
        <w:numPr>
          <w:ilvl w:val="0"/>
          <w:numId w:val="421"/>
        </w:numPr>
        <w:tabs>
          <w:tab w:pos="366" w:val="left" w:leader="none"/>
        </w:tabs>
        <w:spacing w:line="360" w:lineRule="auto" w:before="0" w:after="0"/>
        <w:ind w:left="102" w:right="115" w:firstLine="0"/>
        <w:jc w:val="both"/>
        <w:rPr>
          <w:sz w:val="22"/>
        </w:rPr>
      </w:pPr>
      <w:r>
        <w:rPr>
          <w:sz w:val="22"/>
        </w:rPr>
        <w:t>Se identificó que sí bien la </w:t>
      </w:r>
      <w:r>
        <w:rPr>
          <w:i/>
          <w:sz w:val="22"/>
        </w:rPr>
        <w:t>GIRH, la gobernanza y la gobernabilidad </w:t>
      </w:r>
      <w:r>
        <w:rPr>
          <w:sz w:val="22"/>
        </w:rPr>
        <w:t>no son lo mismo, éstas se encuentran unidas mediante la conjugación de las cuatro vertientes que atiende cada una de ellas: ambiental, social, económica y política, por lo que su complementariedad resulta evidente en el diseño de políticas públicas, ya que éstas  deben ser elaboradas en un contexto holístico de la realidad mediante una serie de principios coyunturales y</w:t>
      </w:r>
      <w:r>
        <w:rPr>
          <w:spacing w:val="-6"/>
          <w:sz w:val="22"/>
        </w:rPr>
        <w:t> </w:t>
      </w:r>
      <w:r>
        <w:rPr>
          <w:sz w:val="22"/>
        </w:rPr>
        <w:t>contextuales.</w:t>
      </w:r>
    </w:p>
    <w:p>
      <w:pPr>
        <w:pStyle w:val="BodyText"/>
        <w:spacing w:before="7"/>
        <w:rPr>
          <w:sz w:val="17"/>
        </w:rPr>
      </w:pPr>
    </w:p>
    <w:p>
      <w:pPr>
        <w:pStyle w:val="ListParagraph"/>
        <w:numPr>
          <w:ilvl w:val="0"/>
          <w:numId w:val="421"/>
        </w:numPr>
        <w:tabs>
          <w:tab w:pos="359" w:val="left" w:leader="none"/>
        </w:tabs>
        <w:spacing w:line="360" w:lineRule="auto" w:before="0" w:after="0"/>
        <w:ind w:left="102" w:right="116" w:firstLine="0"/>
        <w:jc w:val="both"/>
        <w:rPr>
          <w:sz w:val="22"/>
        </w:rPr>
      </w:pPr>
      <w:r>
        <w:rPr>
          <w:sz w:val="22"/>
        </w:rPr>
        <w:t>Se concluyó que los gobiernos municipales en México no tienen la facultad legalmente expresa en el artículo 115 de la Constitución Política de los Estados Unidos Mexicanos para </w:t>
      </w:r>
      <w:r>
        <w:rPr>
          <w:i/>
          <w:sz w:val="22"/>
        </w:rPr>
        <w:t>asociarse intermunicipalmente </w:t>
      </w:r>
      <w:r>
        <w:rPr>
          <w:sz w:val="22"/>
        </w:rPr>
        <w:t>en torno al cuidado de los recursos naturales y el medio ambiente, por lo que son los ciudadanos de los municipios los que pueden asociarse por medio del derecho consuetudinario (usos y costumbres) y mediante las facultades de libre asociación que les otorga la Ley Agraria a los Ejidatarios para hacer frente a su problemática intermunicipal común de forma democrática y</w:t>
      </w:r>
      <w:r>
        <w:rPr>
          <w:spacing w:val="-35"/>
          <w:sz w:val="22"/>
        </w:rPr>
        <w:t> </w:t>
      </w:r>
      <w:r>
        <w:rPr>
          <w:sz w:val="22"/>
        </w:rPr>
        <w:t>participativa.</w:t>
      </w:r>
    </w:p>
    <w:p>
      <w:pPr>
        <w:spacing w:after="0" w:line="360" w:lineRule="auto"/>
        <w:jc w:val="both"/>
        <w:rPr>
          <w:sz w:val="22"/>
        </w:rPr>
        <w:sectPr>
          <w:pgSz w:w="12240" w:h="15840"/>
          <w:pgMar w:header="0" w:footer="1512" w:top="1360" w:bottom="1700" w:left="1600" w:right="1580"/>
        </w:sectPr>
      </w:pPr>
    </w:p>
    <w:p>
      <w:pPr>
        <w:pStyle w:val="ListParagraph"/>
        <w:numPr>
          <w:ilvl w:val="0"/>
          <w:numId w:val="421"/>
        </w:numPr>
        <w:tabs>
          <w:tab w:pos="357" w:val="left" w:leader="none"/>
        </w:tabs>
        <w:spacing w:line="360" w:lineRule="auto" w:before="53" w:after="0"/>
        <w:ind w:left="102" w:right="116" w:firstLine="0"/>
        <w:jc w:val="both"/>
        <w:rPr>
          <w:sz w:val="22"/>
        </w:rPr>
      </w:pPr>
      <w:r>
        <w:rPr>
          <w:sz w:val="22"/>
        </w:rPr>
        <w:t>Se identificó que </w:t>
      </w:r>
      <w:r>
        <w:rPr>
          <w:i/>
          <w:sz w:val="22"/>
        </w:rPr>
        <w:t>no existe una solución homogénea </w:t>
      </w:r>
      <w:r>
        <w:rPr>
          <w:sz w:val="22"/>
        </w:rPr>
        <w:t>o universal para los problemas del agua en el país, sino más bien un conjunto de opciones regionales basadas en la diversidad de estructuras sociales conformadas a través de la historia para entender sus particularidades de cada una de</w:t>
      </w:r>
      <w:r>
        <w:rPr>
          <w:spacing w:val="-8"/>
          <w:sz w:val="22"/>
        </w:rPr>
        <w:t> </w:t>
      </w:r>
      <w:r>
        <w:rPr>
          <w:sz w:val="22"/>
        </w:rPr>
        <w:t>ellas.</w:t>
      </w:r>
    </w:p>
    <w:p>
      <w:pPr>
        <w:pStyle w:val="BodyText"/>
        <w:spacing w:before="7"/>
        <w:rPr>
          <w:sz w:val="17"/>
        </w:rPr>
      </w:pPr>
    </w:p>
    <w:p>
      <w:pPr>
        <w:pStyle w:val="ListParagraph"/>
        <w:numPr>
          <w:ilvl w:val="0"/>
          <w:numId w:val="421"/>
        </w:numPr>
        <w:tabs>
          <w:tab w:pos="405" w:val="left" w:leader="none"/>
        </w:tabs>
        <w:spacing w:line="360" w:lineRule="auto" w:before="0" w:after="0"/>
        <w:ind w:left="102" w:right="116" w:firstLine="0"/>
        <w:jc w:val="both"/>
        <w:rPr>
          <w:sz w:val="22"/>
        </w:rPr>
      </w:pPr>
      <w:r>
        <w:rPr>
          <w:sz w:val="22"/>
        </w:rPr>
        <w:t>En esta investigación se propuso la creación de un Comité Intermunicipal con su Reglamento para el cuidado de los recursos naturales de la CHPH, ya que el simple análisis de la problemática, no contribuye en la solución de los problemas sociopolíticos, ambientales y económicos de la región, como sí lo hace el diseño de instrumentos de política pública para contribuir en la realización de acciones, programas y proyectos para el desarrollo</w:t>
      </w:r>
      <w:r>
        <w:rPr>
          <w:spacing w:val="-8"/>
          <w:sz w:val="22"/>
        </w:rPr>
        <w:t> </w:t>
      </w:r>
      <w:r>
        <w:rPr>
          <w:sz w:val="22"/>
        </w:rPr>
        <w:t>regional.</w:t>
      </w:r>
    </w:p>
    <w:p>
      <w:pPr>
        <w:pStyle w:val="BodyText"/>
        <w:spacing w:before="7"/>
        <w:rPr>
          <w:sz w:val="17"/>
        </w:rPr>
      </w:pPr>
    </w:p>
    <w:p>
      <w:pPr>
        <w:pStyle w:val="ListParagraph"/>
        <w:numPr>
          <w:ilvl w:val="0"/>
          <w:numId w:val="421"/>
        </w:numPr>
        <w:tabs>
          <w:tab w:pos="354" w:val="left" w:leader="none"/>
        </w:tabs>
        <w:spacing w:line="360" w:lineRule="auto" w:before="0" w:after="0"/>
        <w:ind w:left="102" w:right="113" w:firstLine="0"/>
        <w:jc w:val="both"/>
        <w:rPr>
          <w:sz w:val="22"/>
        </w:rPr>
      </w:pPr>
      <w:r>
        <w:rPr>
          <w:sz w:val="22"/>
        </w:rPr>
        <w:t>Se concluyó que la vinculación de las ciencias sociales y las ciencias exactas mediante la Ingeniería Social permite la sistematización de los problemas ambientales, sociales, políticos y económicos a través de la simplificación de la realidad mediante modelos matemáticos que sustentados con el trabajo de campo y la historia pueden dar una explicación simplificada de la realidad para que a partir de aquí se diseñen políticas públicas, planes, programas y proyectos que incidan directamente en la solución de los problemas que aquejan a las regiones del país y del</w:t>
      </w:r>
      <w:r>
        <w:rPr>
          <w:spacing w:val="-11"/>
          <w:sz w:val="22"/>
        </w:rPr>
        <w:t> </w:t>
      </w:r>
      <w:r>
        <w:rPr>
          <w:sz w:val="22"/>
        </w:rPr>
        <w:t>mundo.</w:t>
      </w:r>
    </w:p>
    <w:p>
      <w:pPr>
        <w:pStyle w:val="BodyText"/>
        <w:spacing w:before="7"/>
        <w:rPr>
          <w:sz w:val="17"/>
        </w:rPr>
      </w:pPr>
    </w:p>
    <w:p>
      <w:pPr>
        <w:pStyle w:val="ListParagraph"/>
        <w:numPr>
          <w:ilvl w:val="0"/>
          <w:numId w:val="421"/>
        </w:numPr>
        <w:tabs>
          <w:tab w:pos="450" w:val="left" w:leader="none"/>
        </w:tabs>
        <w:spacing w:line="360" w:lineRule="auto" w:before="0" w:after="0"/>
        <w:ind w:left="102" w:right="121" w:firstLine="0"/>
        <w:jc w:val="both"/>
        <w:rPr>
          <w:sz w:val="22"/>
        </w:rPr>
      </w:pPr>
      <w:r>
        <w:rPr>
          <w:sz w:val="22"/>
        </w:rPr>
        <w:t>Finalmente, cabe destacar que el proceso metodológico que se usó en esta investigación, puede ser la referencia o el punto de partida para el diseño y la creación de políticas públicas de abajo hacia arriba en otros cuerpos de agua compartidos a nivel internacional, nacional, regional y</w:t>
      </w:r>
      <w:r>
        <w:rPr>
          <w:spacing w:val="-14"/>
          <w:sz w:val="22"/>
        </w:rPr>
        <w:t> </w:t>
      </w:r>
      <w:r>
        <w:rPr>
          <w:sz w:val="22"/>
        </w:rPr>
        <w:t>local.</w:t>
      </w:r>
    </w:p>
    <w:p>
      <w:pPr>
        <w:spacing w:after="0" w:line="360" w:lineRule="auto"/>
        <w:jc w:val="both"/>
        <w:rPr>
          <w:sz w:val="22"/>
        </w:rPr>
        <w:sectPr>
          <w:pgSz w:w="12240" w:h="15840"/>
          <w:pgMar w:header="0" w:footer="1512" w:top="1360" w:bottom="17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pStyle w:val="Heading1"/>
        <w:ind w:left="2812"/>
      </w:pPr>
      <w:r>
        <w:rPr/>
        <w:t>BIBLIOGRAFÍA</w:t>
      </w:r>
    </w:p>
    <w:p>
      <w:pPr>
        <w:spacing w:after="0"/>
        <w:sectPr>
          <w:pgSz w:w="12240" w:h="15840"/>
          <w:pgMar w:header="0" w:footer="1512" w:top="1500" w:bottom="1700" w:left="1720" w:right="1580"/>
        </w:sectPr>
      </w:pPr>
    </w:p>
    <w:p>
      <w:pPr>
        <w:pStyle w:val="Heading6"/>
        <w:numPr>
          <w:ilvl w:val="0"/>
          <w:numId w:val="420"/>
        </w:numPr>
        <w:tabs>
          <w:tab w:pos="556" w:val="left" w:leader="none"/>
        </w:tabs>
        <w:spacing w:line="240" w:lineRule="auto" w:before="49" w:after="0"/>
        <w:ind w:left="555" w:right="0" w:hanging="453"/>
        <w:jc w:val="both"/>
      </w:pPr>
      <w:r>
        <w:rPr/>
        <w:t>BIBLIOGRAFÍA</w:t>
      </w:r>
    </w:p>
    <w:p>
      <w:pPr>
        <w:pStyle w:val="BodyText"/>
        <w:rPr>
          <w:b/>
        </w:rPr>
      </w:pPr>
    </w:p>
    <w:p>
      <w:pPr>
        <w:spacing w:line="360" w:lineRule="auto" w:before="157"/>
        <w:ind w:left="102" w:right="116" w:firstLine="0"/>
        <w:jc w:val="both"/>
        <w:rPr>
          <w:sz w:val="22"/>
        </w:rPr>
      </w:pPr>
      <w:r>
        <w:rPr>
          <w:sz w:val="22"/>
        </w:rPr>
        <w:t>Aguilar, Luis Felipe (2006), </w:t>
      </w:r>
      <w:r>
        <w:rPr>
          <w:b/>
          <w:sz w:val="22"/>
        </w:rPr>
        <w:t>Gobernanza y la gestión pública</w:t>
      </w:r>
      <w:r>
        <w:rPr>
          <w:sz w:val="22"/>
        </w:rPr>
        <w:t>, Fondo de Cultura Económica, México.</w:t>
      </w:r>
    </w:p>
    <w:p>
      <w:pPr>
        <w:pStyle w:val="BodyText"/>
        <w:spacing w:before="8"/>
        <w:rPr>
          <w:sz w:val="24"/>
        </w:rPr>
      </w:pPr>
    </w:p>
    <w:p>
      <w:pPr>
        <w:spacing w:line="362" w:lineRule="auto" w:before="0"/>
        <w:ind w:left="102" w:right="117" w:firstLine="0"/>
        <w:jc w:val="both"/>
        <w:rPr>
          <w:sz w:val="22"/>
        </w:rPr>
      </w:pPr>
      <w:r>
        <w:rPr>
          <w:sz w:val="22"/>
        </w:rPr>
        <w:t>Aldama, Arturo (1987), </w:t>
      </w:r>
      <w:r>
        <w:rPr>
          <w:b/>
          <w:sz w:val="22"/>
        </w:rPr>
        <w:t>Nuevos Compromisos del Banco Mundial</w:t>
      </w:r>
      <w:r>
        <w:rPr>
          <w:sz w:val="22"/>
        </w:rPr>
        <w:t>, Ecología Política/Cultura, México.</w:t>
      </w:r>
    </w:p>
    <w:p>
      <w:pPr>
        <w:pStyle w:val="BodyText"/>
        <w:spacing w:before="7"/>
        <w:rPr>
          <w:sz w:val="17"/>
        </w:rPr>
      </w:pPr>
    </w:p>
    <w:p>
      <w:pPr>
        <w:spacing w:line="360" w:lineRule="auto" w:before="0"/>
        <w:ind w:left="102" w:right="114" w:firstLine="0"/>
        <w:jc w:val="both"/>
        <w:rPr>
          <w:sz w:val="22"/>
        </w:rPr>
      </w:pPr>
      <w:r>
        <w:rPr>
          <w:sz w:val="22"/>
        </w:rPr>
        <w:t>Álvarez, Adolfo (1999), </w:t>
      </w:r>
      <w:r>
        <w:rPr>
          <w:i/>
          <w:sz w:val="22"/>
        </w:rPr>
        <w:t>Tendencias de la reestructuración agroindustrial en la actividad </w:t>
      </w:r>
      <w:r>
        <w:rPr>
          <w:i/>
          <w:sz w:val="22"/>
        </w:rPr>
        <w:t>lechera mexicana</w:t>
      </w:r>
      <w:r>
        <w:rPr>
          <w:sz w:val="22"/>
        </w:rPr>
        <w:t>, en </w:t>
      </w:r>
      <w:r>
        <w:rPr>
          <w:b/>
          <w:i/>
          <w:sz w:val="22"/>
        </w:rPr>
        <w:t>Dinámica del sistema lechero mexicano en el marco regional y </w:t>
      </w:r>
      <w:r>
        <w:rPr>
          <w:b/>
          <w:i/>
          <w:sz w:val="22"/>
        </w:rPr>
        <w:t>global</w:t>
      </w:r>
      <w:r>
        <w:rPr>
          <w:sz w:val="22"/>
        </w:rPr>
        <w:t>, coordinado por Estela Martínez, Adolfo Álvarez, Luis García y Ma. del Carmen del Valle,  IISUNAM y Plaza y Valdés México.</w:t>
      </w:r>
    </w:p>
    <w:p>
      <w:pPr>
        <w:pStyle w:val="BodyText"/>
      </w:pPr>
    </w:p>
    <w:p>
      <w:pPr>
        <w:spacing w:line="362" w:lineRule="auto" w:before="127"/>
        <w:ind w:left="102" w:right="112" w:firstLine="0"/>
        <w:jc w:val="both"/>
        <w:rPr>
          <w:sz w:val="22"/>
        </w:rPr>
      </w:pPr>
      <w:r>
        <w:rPr>
          <w:sz w:val="22"/>
        </w:rPr>
        <w:t>Andreani, Edgard (1974), </w:t>
      </w:r>
      <w:r>
        <w:rPr>
          <w:b/>
          <w:sz w:val="22"/>
        </w:rPr>
        <w:t>Indicateurs sociaux pour la population ágée</w:t>
      </w:r>
      <w:r>
        <w:rPr>
          <w:sz w:val="22"/>
        </w:rPr>
        <w:t>, en Gérontologie, Números 27 y</w:t>
      </w:r>
      <w:r>
        <w:rPr>
          <w:spacing w:val="-9"/>
          <w:sz w:val="22"/>
        </w:rPr>
        <w:t> </w:t>
      </w:r>
      <w:r>
        <w:rPr>
          <w:sz w:val="22"/>
        </w:rPr>
        <w:t>28.</w:t>
      </w:r>
    </w:p>
    <w:p>
      <w:pPr>
        <w:pStyle w:val="BodyText"/>
        <w:spacing w:before="4"/>
        <w:rPr>
          <w:sz w:val="17"/>
        </w:rPr>
      </w:pPr>
    </w:p>
    <w:p>
      <w:pPr>
        <w:spacing w:before="0"/>
        <w:ind w:left="102" w:right="0" w:firstLine="0"/>
        <w:jc w:val="both"/>
        <w:rPr>
          <w:sz w:val="22"/>
        </w:rPr>
      </w:pPr>
      <w:r>
        <w:rPr>
          <w:sz w:val="22"/>
        </w:rPr>
        <w:t>Aristóteles (1991), </w:t>
      </w:r>
      <w:r>
        <w:rPr>
          <w:b/>
          <w:sz w:val="22"/>
        </w:rPr>
        <w:t>La Política</w:t>
      </w:r>
      <w:r>
        <w:rPr>
          <w:sz w:val="22"/>
        </w:rPr>
        <w:t>, Porrúa, México.</w:t>
      </w:r>
    </w:p>
    <w:p>
      <w:pPr>
        <w:pStyle w:val="BodyText"/>
        <w:spacing w:before="3"/>
        <w:rPr>
          <w:sz w:val="28"/>
        </w:rPr>
      </w:pPr>
    </w:p>
    <w:p>
      <w:pPr>
        <w:spacing w:line="362" w:lineRule="auto" w:before="0"/>
        <w:ind w:left="102" w:right="114" w:firstLine="0"/>
        <w:jc w:val="both"/>
        <w:rPr>
          <w:sz w:val="22"/>
        </w:rPr>
      </w:pPr>
      <w:r>
        <w:rPr>
          <w:sz w:val="22"/>
        </w:rPr>
        <w:t>Arjona, Martha (1986), </w:t>
      </w:r>
      <w:r>
        <w:rPr>
          <w:b/>
          <w:sz w:val="22"/>
        </w:rPr>
        <w:t>Patrimonio Cultural e identidad</w:t>
      </w:r>
      <w:r>
        <w:rPr>
          <w:sz w:val="22"/>
        </w:rPr>
        <w:t>, , Editorial Letras Cubanas, La Habana.</w:t>
      </w:r>
    </w:p>
    <w:p>
      <w:pPr>
        <w:pStyle w:val="BodyText"/>
        <w:spacing w:before="5"/>
        <w:rPr>
          <w:sz w:val="17"/>
        </w:rPr>
      </w:pPr>
    </w:p>
    <w:p>
      <w:pPr>
        <w:spacing w:line="362" w:lineRule="auto" w:before="0"/>
        <w:ind w:left="102" w:right="113" w:firstLine="0"/>
        <w:jc w:val="both"/>
        <w:rPr>
          <w:sz w:val="22"/>
        </w:rPr>
      </w:pPr>
      <w:r>
        <w:rPr>
          <w:sz w:val="22"/>
        </w:rPr>
        <w:t>Arn, D. y U. Friederich (1994), </w:t>
      </w:r>
      <w:r>
        <w:rPr>
          <w:b/>
          <w:sz w:val="22"/>
        </w:rPr>
        <w:t>Gemeindeverbindungen in der Agglomeration</w:t>
      </w:r>
      <w:r>
        <w:rPr>
          <w:sz w:val="22"/>
        </w:rPr>
        <w:t>, Nationales Forschungsprogramm Stadt und Verkehr.</w:t>
      </w:r>
    </w:p>
    <w:p>
      <w:pPr>
        <w:pStyle w:val="BodyText"/>
        <w:spacing w:before="4"/>
        <w:rPr>
          <w:sz w:val="17"/>
        </w:rPr>
      </w:pPr>
    </w:p>
    <w:p>
      <w:pPr>
        <w:spacing w:line="360" w:lineRule="auto" w:before="0"/>
        <w:ind w:left="102" w:right="118" w:firstLine="0"/>
        <w:jc w:val="both"/>
        <w:rPr>
          <w:sz w:val="22"/>
        </w:rPr>
      </w:pPr>
      <w:r>
        <w:rPr>
          <w:sz w:val="22"/>
        </w:rPr>
        <w:t>Arnold, Marcelo (1989), </w:t>
      </w:r>
      <w:r>
        <w:rPr>
          <w:i/>
          <w:sz w:val="22"/>
        </w:rPr>
        <w:t>Teoría de Sistemas, Nuevos Paradigmas: Enfoque de Niklas </w:t>
      </w:r>
      <w:r>
        <w:rPr>
          <w:i/>
          <w:sz w:val="22"/>
        </w:rPr>
        <w:t>Luhmann</w:t>
      </w:r>
      <w:r>
        <w:rPr>
          <w:sz w:val="22"/>
        </w:rPr>
        <w:t>, en Revista Paraguaya de Sociología. Año 26. Nº75. Mayo-Agosto.</w:t>
      </w:r>
    </w:p>
    <w:p>
      <w:pPr>
        <w:pStyle w:val="BodyText"/>
        <w:spacing w:before="7"/>
        <w:rPr>
          <w:sz w:val="17"/>
        </w:rPr>
      </w:pPr>
    </w:p>
    <w:p>
      <w:pPr>
        <w:spacing w:line="360" w:lineRule="auto" w:before="0"/>
        <w:ind w:left="102" w:right="117" w:firstLine="0"/>
        <w:jc w:val="both"/>
        <w:rPr>
          <w:sz w:val="22"/>
        </w:rPr>
      </w:pPr>
      <w:r>
        <w:rPr>
          <w:sz w:val="22"/>
        </w:rPr>
        <w:t>Asdi, giz (2013), </w:t>
      </w:r>
      <w:r>
        <w:rPr>
          <w:b/>
          <w:sz w:val="22"/>
        </w:rPr>
        <w:t>Primera Fiesta Nacional del Agua. Experiencia de un proceso de gestión social del agua en microcuencas, </w:t>
      </w:r>
      <w:r>
        <w:rPr>
          <w:sz w:val="22"/>
        </w:rPr>
        <w:t>editorial Estado Plurinacional de Bolivia, Bolivia.</w:t>
      </w:r>
    </w:p>
    <w:p>
      <w:pPr>
        <w:spacing w:line="552" w:lineRule="auto" w:before="1"/>
        <w:ind w:left="102" w:right="1932" w:firstLine="0"/>
        <w:jc w:val="left"/>
        <w:rPr>
          <w:sz w:val="22"/>
        </w:rPr>
      </w:pPr>
      <w:r>
        <w:rPr>
          <w:sz w:val="22"/>
        </w:rPr>
        <w:t>Atkinson, P. (2001), </w:t>
      </w:r>
      <w:r>
        <w:rPr>
          <w:b/>
          <w:sz w:val="22"/>
        </w:rPr>
        <w:t>Handbook of ethnography</w:t>
      </w:r>
      <w:r>
        <w:rPr>
          <w:sz w:val="22"/>
        </w:rPr>
        <w:t>. Thousands Oaks: CA. Atkinson, Robert (1998), </w:t>
      </w:r>
      <w:r>
        <w:rPr>
          <w:b/>
          <w:sz w:val="22"/>
        </w:rPr>
        <w:t>The life story interview</w:t>
      </w:r>
      <w:r>
        <w:rPr>
          <w:i/>
          <w:sz w:val="22"/>
        </w:rPr>
        <w:t>, </w:t>
      </w:r>
      <w:r>
        <w:rPr>
          <w:sz w:val="22"/>
        </w:rPr>
        <w:t>London: Sage.</w:t>
      </w:r>
    </w:p>
    <w:p>
      <w:pPr>
        <w:spacing w:line="360" w:lineRule="auto" w:before="6"/>
        <w:ind w:left="102" w:right="119" w:firstLine="0"/>
        <w:jc w:val="both"/>
        <w:rPr>
          <w:sz w:val="22"/>
        </w:rPr>
      </w:pPr>
      <w:r>
        <w:rPr>
          <w:sz w:val="22"/>
        </w:rPr>
        <w:t>Axelrod, Robert (1984), </w:t>
      </w:r>
      <w:r>
        <w:rPr>
          <w:b/>
          <w:sz w:val="22"/>
        </w:rPr>
        <w:t>La evolución de la cooperación: El dilema del prisionero y la teoría de juegos, </w:t>
      </w:r>
      <w:r>
        <w:rPr>
          <w:sz w:val="22"/>
        </w:rPr>
        <w:t>Alianza Editorial, S.A, Madrid.</w:t>
      </w:r>
    </w:p>
    <w:p>
      <w:pPr>
        <w:pStyle w:val="BodyText"/>
        <w:rPr>
          <w:sz w:val="18"/>
        </w:rPr>
      </w:pPr>
    </w:p>
    <w:p>
      <w:pPr>
        <w:pStyle w:val="BodyText"/>
        <w:ind w:left="102"/>
        <w:jc w:val="both"/>
      </w:pPr>
      <w:r>
        <w:rPr/>
        <w:t>Axelrod, Robert (1984), The Evolution of Cooperation, Basic Books.</w:t>
      </w:r>
    </w:p>
    <w:p>
      <w:pPr>
        <w:spacing w:after="0"/>
        <w:jc w:val="both"/>
        <w:sectPr>
          <w:pgSz w:w="12240" w:h="15840"/>
          <w:pgMar w:header="0" w:footer="1512" w:top="1360" w:bottom="1700" w:left="1600" w:right="1580"/>
        </w:sectPr>
      </w:pPr>
    </w:p>
    <w:p>
      <w:pPr>
        <w:spacing w:line="362" w:lineRule="auto" w:before="51"/>
        <w:ind w:left="102" w:right="114" w:firstLine="0"/>
        <w:jc w:val="both"/>
        <w:rPr>
          <w:sz w:val="22"/>
        </w:rPr>
      </w:pPr>
      <w:r>
        <w:rPr>
          <w:sz w:val="22"/>
        </w:rPr>
        <w:t>Axelrod, Robert (2004), </w:t>
      </w:r>
      <w:r>
        <w:rPr>
          <w:b/>
          <w:sz w:val="22"/>
        </w:rPr>
        <w:t>La Complejidad de la Cooperación. Modelos de cooperación  y colaboración basados en los agentes</w:t>
      </w:r>
      <w:r>
        <w:rPr>
          <w:sz w:val="22"/>
        </w:rPr>
        <w:t>, FCE,</w:t>
      </w:r>
      <w:r>
        <w:rPr>
          <w:spacing w:val="-11"/>
          <w:sz w:val="22"/>
        </w:rPr>
        <w:t> </w:t>
      </w:r>
      <w:r>
        <w:rPr>
          <w:sz w:val="22"/>
        </w:rPr>
        <w:t>México.</w:t>
      </w:r>
    </w:p>
    <w:p>
      <w:pPr>
        <w:pStyle w:val="BodyText"/>
        <w:spacing w:before="4"/>
        <w:rPr>
          <w:sz w:val="17"/>
        </w:rPr>
      </w:pPr>
    </w:p>
    <w:p>
      <w:pPr>
        <w:spacing w:line="360" w:lineRule="auto" w:before="0"/>
        <w:ind w:left="102" w:right="112" w:firstLine="0"/>
        <w:jc w:val="both"/>
        <w:rPr>
          <w:sz w:val="22"/>
        </w:rPr>
      </w:pPr>
      <w:r>
        <w:rPr>
          <w:sz w:val="22"/>
        </w:rPr>
        <w:t>Barkin, David (2007), </w:t>
      </w:r>
      <w:r>
        <w:rPr>
          <w:b/>
          <w:sz w:val="22"/>
        </w:rPr>
        <w:t>La gestión del agua urbana en México. Retos, debates y bienestar</w:t>
      </w:r>
      <w:r>
        <w:rPr>
          <w:sz w:val="22"/>
        </w:rPr>
        <w:t>, Universidad de Guadalajara, México.</w:t>
      </w:r>
    </w:p>
    <w:p>
      <w:pPr>
        <w:pStyle w:val="BodyText"/>
        <w:spacing w:before="9"/>
        <w:rPr>
          <w:sz w:val="17"/>
        </w:rPr>
      </w:pPr>
    </w:p>
    <w:p>
      <w:pPr>
        <w:spacing w:line="362" w:lineRule="auto" w:before="0"/>
        <w:ind w:left="102" w:right="116" w:firstLine="0"/>
        <w:jc w:val="both"/>
        <w:rPr>
          <w:sz w:val="22"/>
        </w:rPr>
      </w:pPr>
      <w:r>
        <w:rPr>
          <w:sz w:val="22"/>
        </w:rPr>
        <w:t>Barnard, Chester (1998), </w:t>
      </w:r>
      <w:r>
        <w:rPr>
          <w:b/>
          <w:sz w:val="22"/>
        </w:rPr>
        <w:t>The Functions of The Executive</w:t>
      </w:r>
      <w:r>
        <w:rPr>
          <w:sz w:val="22"/>
        </w:rPr>
        <w:t>, Harvard University Press, USA.</w:t>
      </w:r>
    </w:p>
    <w:p>
      <w:pPr>
        <w:spacing w:line="362" w:lineRule="auto" w:before="197"/>
        <w:ind w:left="102" w:right="113" w:firstLine="0"/>
        <w:jc w:val="both"/>
        <w:rPr>
          <w:sz w:val="22"/>
        </w:rPr>
      </w:pPr>
      <w:r>
        <w:rPr>
          <w:sz w:val="22"/>
        </w:rPr>
        <w:t>Bartra, Roger (1976), </w:t>
      </w:r>
      <w:r>
        <w:rPr>
          <w:b/>
          <w:sz w:val="22"/>
        </w:rPr>
        <w:t>Estructura agraria y clases sociales en México, </w:t>
      </w:r>
      <w:r>
        <w:rPr>
          <w:sz w:val="22"/>
        </w:rPr>
        <w:t>ERA/ Instituto de Investigaciones Sociales, UNAM, México.</w:t>
      </w:r>
    </w:p>
    <w:p>
      <w:pPr>
        <w:pStyle w:val="BodyText"/>
        <w:spacing w:before="5"/>
        <w:rPr>
          <w:sz w:val="17"/>
        </w:rPr>
      </w:pPr>
    </w:p>
    <w:p>
      <w:pPr>
        <w:spacing w:line="362" w:lineRule="auto" w:before="0"/>
        <w:ind w:left="102" w:right="116" w:firstLine="0"/>
        <w:jc w:val="both"/>
        <w:rPr>
          <w:sz w:val="22"/>
        </w:rPr>
      </w:pPr>
      <w:r>
        <w:rPr>
          <w:sz w:val="22"/>
        </w:rPr>
        <w:t>Bertalanffy Von, Ludwig (1976), </w:t>
      </w:r>
      <w:r>
        <w:rPr>
          <w:b/>
          <w:sz w:val="22"/>
        </w:rPr>
        <w:t>Teoría General de los Sistemas</w:t>
      </w:r>
      <w:r>
        <w:rPr>
          <w:sz w:val="22"/>
        </w:rPr>
        <w:t>, Fondo de Cultura Económica, México.</w:t>
      </w:r>
    </w:p>
    <w:p>
      <w:pPr>
        <w:spacing w:line="554" w:lineRule="auto" w:before="197"/>
        <w:ind w:left="102" w:right="318" w:firstLine="0"/>
        <w:jc w:val="left"/>
        <w:rPr>
          <w:sz w:val="22"/>
        </w:rPr>
      </w:pPr>
      <w:r>
        <w:rPr>
          <w:sz w:val="22"/>
        </w:rPr>
        <w:t>Bertoglio, Oscar (1989), </w:t>
      </w:r>
      <w:r>
        <w:rPr>
          <w:b/>
          <w:sz w:val="22"/>
        </w:rPr>
        <w:t>Introducción a la teoría general de sistemas</w:t>
      </w:r>
      <w:r>
        <w:rPr>
          <w:sz w:val="22"/>
        </w:rPr>
        <w:t>, limusa, México. Biderman, Albert D. (1966). Social Indicators and Goals. En Bauer, 1966 : 68-153.</w:t>
      </w:r>
    </w:p>
    <w:p>
      <w:pPr>
        <w:pStyle w:val="BodyText"/>
        <w:spacing w:before="183"/>
        <w:ind w:left="102"/>
        <w:jc w:val="both"/>
      </w:pPr>
      <w:r>
        <w:rPr/>
        <w:t>Bauer, Raymond A. Ed. (1966). Social Indicators. Cambridge, MIT.</w:t>
      </w:r>
    </w:p>
    <w:p>
      <w:pPr>
        <w:pStyle w:val="BodyText"/>
        <w:spacing w:before="1"/>
        <w:rPr>
          <w:sz w:val="28"/>
        </w:rPr>
      </w:pPr>
    </w:p>
    <w:p>
      <w:pPr>
        <w:spacing w:line="362" w:lineRule="auto" w:before="0"/>
        <w:ind w:left="102" w:right="116" w:firstLine="0"/>
        <w:jc w:val="both"/>
        <w:rPr>
          <w:sz w:val="22"/>
        </w:rPr>
      </w:pPr>
      <w:r>
        <w:rPr>
          <w:sz w:val="22"/>
        </w:rPr>
        <w:t>Blanco, I. y R. Gomà (2003), </w:t>
      </w:r>
      <w:r>
        <w:rPr>
          <w:b/>
          <w:sz w:val="22"/>
        </w:rPr>
        <w:t>La crisis del modelo de gobierno relacional: Reflexiones en torno a la governance participativa y de proximidad</w:t>
      </w:r>
      <w:r>
        <w:rPr>
          <w:sz w:val="22"/>
        </w:rPr>
        <w:t>, Gestión y Política Pública, XII (1), primer semestre, CIDE, México.</w:t>
      </w:r>
    </w:p>
    <w:p>
      <w:pPr>
        <w:pStyle w:val="BodyText"/>
        <w:spacing w:before="4"/>
        <w:rPr>
          <w:sz w:val="17"/>
        </w:rPr>
      </w:pPr>
    </w:p>
    <w:p>
      <w:pPr>
        <w:pStyle w:val="BodyText"/>
        <w:spacing w:line="360" w:lineRule="auto"/>
        <w:ind w:left="102" w:right="112"/>
        <w:jc w:val="both"/>
      </w:pPr>
      <w:r>
        <w:rPr/>
        <w:t>Boelens, Rutgerd (1999, 2000) </w:t>
      </w:r>
      <w:r>
        <w:rPr>
          <w:i/>
        </w:rPr>
        <w:t>Gestión colectiva y construcción social de sistemas de </w:t>
      </w:r>
      <w:r>
        <w:rPr>
          <w:i/>
        </w:rPr>
        <w:t>riego campesino. Una introducción conceptual, </w:t>
      </w:r>
      <w:r>
        <w:rPr/>
        <w:t>en: Revista de Ciencias Sociales y Humanidades Frontera Interior “Agua y sociedad rural”, año 2, número 3/4, Septiembre- Diciembre de 1999; Enero-Abril de 2000, pp. 11-26, Universidad Autónoma de Aguascalientes, Universidad de Guanajuato, Universidad Autónoma de Querétaro, el Colegio de San Luis y los Centros INAH ubicados en el Sistema Miguel Hidalgo del Conacyt, México.</w:t>
      </w:r>
    </w:p>
    <w:p>
      <w:pPr>
        <w:pStyle w:val="BodyText"/>
        <w:spacing w:before="4"/>
        <w:rPr>
          <w:sz w:val="17"/>
        </w:rPr>
      </w:pPr>
    </w:p>
    <w:p>
      <w:pPr>
        <w:spacing w:line="360" w:lineRule="auto" w:before="0"/>
        <w:ind w:left="102" w:right="115" w:firstLine="0"/>
        <w:jc w:val="both"/>
        <w:rPr>
          <w:sz w:val="22"/>
        </w:rPr>
      </w:pPr>
      <w:r>
        <w:rPr>
          <w:sz w:val="22"/>
        </w:rPr>
        <w:t>Bonnal, Jean (1996), </w:t>
      </w:r>
      <w:r>
        <w:rPr>
          <w:b/>
          <w:sz w:val="22"/>
        </w:rPr>
        <w:t>Les acteurs et leur estrategies vis-a-vis des ressources naturelles: reflexion metodologique. Land reform, 1996. </w:t>
      </w:r>
      <w:r>
        <w:rPr>
          <w:sz w:val="22"/>
        </w:rPr>
        <w:t>Informe preparado para el Servicio de instituciones rurales y de participación (SDAR) de la FAO.</w:t>
      </w:r>
    </w:p>
    <w:p>
      <w:pPr>
        <w:spacing w:after="0" w:line="360" w:lineRule="auto"/>
        <w:jc w:val="both"/>
        <w:rPr>
          <w:sz w:val="22"/>
        </w:rPr>
        <w:sectPr>
          <w:pgSz w:w="12240" w:h="15840"/>
          <w:pgMar w:header="0" w:footer="1512" w:top="1360" w:bottom="1700" w:left="1600" w:right="1580"/>
        </w:sectPr>
      </w:pPr>
    </w:p>
    <w:p>
      <w:pPr>
        <w:spacing w:line="364" w:lineRule="auto" w:before="51"/>
        <w:ind w:left="102" w:right="115" w:firstLine="0"/>
        <w:jc w:val="both"/>
        <w:rPr>
          <w:sz w:val="22"/>
        </w:rPr>
      </w:pPr>
      <w:r>
        <w:rPr>
          <w:sz w:val="22"/>
        </w:rPr>
        <w:t>Brown, Radcliffe (1972), </w:t>
      </w:r>
      <w:r>
        <w:rPr>
          <w:b/>
          <w:sz w:val="22"/>
        </w:rPr>
        <w:t>estructura y función en la sociedad primitiva</w:t>
      </w:r>
      <w:r>
        <w:rPr>
          <w:sz w:val="22"/>
        </w:rPr>
        <w:t>, Ediciones Península, Barcelona.</w:t>
      </w:r>
    </w:p>
    <w:p>
      <w:pPr>
        <w:spacing w:line="362" w:lineRule="auto" w:before="195"/>
        <w:ind w:left="102" w:right="116" w:firstLine="0"/>
        <w:jc w:val="both"/>
        <w:rPr>
          <w:sz w:val="22"/>
        </w:rPr>
      </w:pPr>
      <w:r>
        <w:rPr>
          <w:sz w:val="22"/>
        </w:rPr>
        <w:t>Bunge, Mario (1972), </w:t>
      </w:r>
      <w:r>
        <w:rPr>
          <w:b/>
          <w:sz w:val="22"/>
        </w:rPr>
        <w:t>Causalidad. El principio de causalidad en la ciencia moderna</w:t>
      </w:r>
      <w:r>
        <w:rPr>
          <w:sz w:val="22"/>
        </w:rPr>
        <w:t>, Eudeba, Buenos Aires.</w:t>
      </w:r>
    </w:p>
    <w:p>
      <w:pPr>
        <w:pStyle w:val="BodyText"/>
        <w:spacing w:before="7"/>
        <w:rPr>
          <w:sz w:val="17"/>
        </w:rPr>
      </w:pPr>
    </w:p>
    <w:p>
      <w:pPr>
        <w:pStyle w:val="BodyText"/>
        <w:spacing w:line="360" w:lineRule="auto"/>
        <w:ind w:left="102" w:right="122"/>
        <w:jc w:val="both"/>
      </w:pPr>
      <w:r>
        <w:rPr/>
        <w:t>Cabanellas, Guillermo (1990) Diccionario de Derecho Usual, Tomos I, II, III y IV,  Argentina.</w:t>
      </w:r>
    </w:p>
    <w:p>
      <w:pPr>
        <w:pStyle w:val="BodyText"/>
        <w:spacing w:before="4"/>
        <w:rPr>
          <w:sz w:val="17"/>
        </w:rPr>
      </w:pPr>
    </w:p>
    <w:p>
      <w:pPr>
        <w:spacing w:line="360" w:lineRule="auto" w:before="0"/>
        <w:ind w:left="102" w:right="114" w:firstLine="0"/>
        <w:jc w:val="both"/>
        <w:rPr>
          <w:sz w:val="22"/>
        </w:rPr>
      </w:pPr>
      <w:r>
        <w:rPr>
          <w:sz w:val="22"/>
        </w:rPr>
        <w:t>Camacho, Gloria (2007), </w:t>
      </w:r>
      <w:r>
        <w:rPr>
          <w:b/>
          <w:sz w:val="22"/>
        </w:rPr>
        <w:t>Agua y liberalismo. El proyecto estatal de desecación de las presas del alto Lerma 1850-1875</w:t>
      </w:r>
      <w:r>
        <w:rPr>
          <w:sz w:val="22"/>
        </w:rPr>
        <w:t>, CIESAS, Archivo Histórico del Agua, México.</w:t>
      </w:r>
    </w:p>
    <w:p>
      <w:pPr>
        <w:pStyle w:val="BodyText"/>
        <w:spacing w:before="10"/>
        <w:rPr>
          <w:sz w:val="17"/>
        </w:rPr>
      </w:pPr>
    </w:p>
    <w:p>
      <w:pPr>
        <w:spacing w:before="0"/>
        <w:ind w:left="102" w:right="0" w:firstLine="0"/>
        <w:jc w:val="both"/>
        <w:rPr>
          <w:b/>
          <w:sz w:val="22"/>
        </w:rPr>
      </w:pPr>
      <w:r>
        <w:rPr>
          <w:sz w:val="22"/>
        </w:rPr>
        <w:t>Canto, Rodolfo (2012), </w:t>
      </w:r>
      <w:r>
        <w:rPr>
          <w:b/>
          <w:sz w:val="22"/>
        </w:rPr>
        <w:t>Gobernanza y democracia de vuelta al río turbio de la política,</w:t>
      </w:r>
    </w:p>
    <w:p>
      <w:pPr>
        <w:pStyle w:val="BodyText"/>
        <w:spacing w:before="128"/>
        <w:ind w:left="102"/>
        <w:jc w:val="both"/>
      </w:pPr>
      <w:r>
        <w:rPr/>
        <w:t>en Gestión y Política Pública, Volumen XXI, Número 2, Segundo Semestre, México.</w:t>
      </w:r>
    </w:p>
    <w:p>
      <w:pPr>
        <w:pStyle w:val="BodyText"/>
        <w:spacing w:before="1"/>
        <w:rPr>
          <w:sz w:val="28"/>
        </w:rPr>
      </w:pPr>
    </w:p>
    <w:p>
      <w:pPr>
        <w:spacing w:line="362" w:lineRule="auto" w:before="0"/>
        <w:ind w:left="102" w:right="116" w:firstLine="0"/>
        <w:jc w:val="both"/>
        <w:rPr>
          <w:sz w:val="22"/>
        </w:rPr>
      </w:pPr>
      <w:r>
        <w:rPr>
          <w:sz w:val="22"/>
        </w:rPr>
        <w:t>Castelazo, José (2003), </w:t>
      </w:r>
      <w:r>
        <w:rPr>
          <w:b/>
          <w:sz w:val="22"/>
        </w:rPr>
        <w:t>Fortalecimiento de la gobernabilidad democrática, </w:t>
      </w:r>
      <w:r>
        <w:rPr>
          <w:sz w:val="22"/>
        </w:rPr>
        <w:t>INAP, México.</w:t>
      </w:r>
    </w:p>
    <w:p>
      <w:pPr>
        <w:pStyle w:val="BodyText"/>
        <w:spacing w:before="7"/>
        <w:rPr>
          <w:sz w:val="17"/>
        </w:rPr>
      </w:pPr>
    </w:p>
    <w:p>
      <w:pPr>
        <w:spacing w:line="360" w:lineRule="auto" w:before="0"/>
        <w:ind w:left="102" w:right="113" w:firstLine="0"/>
        <w:jc w:val="both"/>
        <w:rPr>
          <w:sz w:val="22"/>
        </w:rPr>
      </w:pPr>
      <w:r>
        <w:rPr>
          <w:sz w:val="22"/>
        </w:rPr>
        <w:t>Castro, José Esteban, Karina Kloster y María Luisa Torregrosa (2004), </w:t>
      </w:r>
      <w:r>
        <w:rPr>
          <w:i/>
          <w:sz w:val="22"/>
        </w:rPr>
        <w:t>Ciudadanía y </w:t>
      </w:r>
      <w:r>
        <w:rPr>
          <w:i/>
          <w:sz w:val="22"/>
        </w:rPr>
        <w:t>gobernabilidad en México: el caso de la conflictividad y la participación social en torno a la gestión del agua</w:t>
      </w:r>
      <w:r>
        <w:rPr>
          <w:b/>
          <w:sz w:val="22"/>
        </w:rPr>
        <w:t>, </w:t>
      </w:r>
      <w:r>
        <w:rPr>
          <w:sz w:val="22"/>
        </w:rPr>
        <w:t>en Blanca Jiménez y Javier Alcocer (coords.), </w:t>
      </w:r>
      <w:r>
        <w:rPr>
          <w:b/>
          <w:sz w:val="22"/>
        </w:rPr>
        <w:t>El agua en México visto desde la academia</w:t>
      </w:r>
      <w:r>
        <w:rPr>
          <w:sz w:val="22"/>
        </w:rPr>
        <w:t>, Academia Mexicana de Ciencias, México.</w:t>
      </w:r>
    </w:p>
    <w:p>
      <w:pPr>
        <w:pStyle w:val="BodyText"/>
        <w:rPr>
          <w:sz w:val="18"/>
        </w:rPr>
      </w:pPr>
    </w:p>
    <w:p>
      <w:pPr>
        <w:pStyle w:val="BodyText"/>
        <w:ind w:left="102"/>
        <w:jc w:val="both"/>
      </w:pPr>
      <w:r>
        <w:rPr/>
        <w:t>CAZES, Bernard: «Que peut-on attendre des indicatuers sociaux», en Chronique Sociale</w:t>
      </w:r>
    </w:p>
    <w:p>
      <w:pPr>
        <w:pStyle w:val="BodyText"/>
        <w:spacing w:before="1"/>
        <w:rPr>
          <w:sz w:val="28"/>
        </w:rPr>
      </w:pPr>
    </w:p>
    <w:p>
      <w:pPr>
        <w:spacing w:line="362" w:lineRule="auto" w:before="0"/>
        <w:ind w:left="102" w:right="118" w:firstLine="0"/>
        <w:jc w:val="both"/>
        <w:rPr>
          <w:sz w:val="22"/>
        </w:rPr>
      </w:pPr>
      <w:r>
        <w:rPr>
          <w:sz w:val="22"/>
        </w:rPr>
        <w:t>Ceballos, M. M. (2004), </w:t>
      </w:r>
      <w:r>
        <w:rPr>
          <w:b/>
          <w:sz w:val="22"/>
        </w:rPr>
        <w:t>Manual para el desarrollo del mapeo de actores claves –MAC</w:t>
      </w:r>
      <w:r>
        <w:rPr>
          <w:sz w:val="22"/>
        </w:rPr>
        <w:t>, elaborado en el marco de la consultoría técnica GITEC-SERCITEC.</w:t>
      </w:r>
    </w:p>
    <w:p>
      <w:pPr>
        <w:pStyle w:val="BodyText"/>
        <w:spacing w:before="9"/>
        <w:rPr>
          <w:sz w:val="32"/>
        </w:rPr>
      </w:pPr>
    </w:p>
    <w:p>
      <w:pPr>
        <w:spacing w:line="360" w:lineRule="auto" w:before="0"/>
        <w:ind w:left="102" w:right="117" w:firstLine="0"/>
        <w:jc w:val="both"/>
        <w:rPr>
          <w:sz w:val="22"/>
        </w:rPr>
      </w:pPr>
      <w:r>
        <w:rPr>
          <w:sz w:val="22"/>
        </w:rPr>
        <w:t>Cernea, Michael (1995), </w:t>
      </w:r>
      <w:r>
        <w:rPr>
          <w:b/>
          <w:sz w:val="22"/>
        </w:rPr>
        <w:t>Primero la gente. Variables sociológicas en el desarrollo rural</w:t>
      </w:r>
      <w:r>
        <w:rPr>
          <w:sz w:val="22"/>
        </w:rPr>
        <w:t>, Fondo de Cultura Económica, México.</w:t>
      </w:r>
    </w:p>
    <w:p>
      <w:pPr>
        <w:pStyle w:val="BodyText"/>
      </w:pPr>
    </w:p>
    <w:p>
      <w:pPr>
        <w:spacing w:line="362" w:lineRule="auto" w:before="132"/>
        <w:ind w:left="102" w:right="117" w:firstLine="0"/>
        <w:jc w:val="both"/>
        <w:rPr>
          <w:sz w:val="22"/>
        </w:rPr>
      </w:pPr>
      <w:r>
        <w:rPr>
          <w:sz w:val="22"/>
        </w:rPr>
        <w:t>Chávez, Julia del Carmen (2006), </w:t>
      </w:r>
      <w:r>
        <w:rPr>
          <w:b/>
          <w:sz w:val="22"/>
        </w:rPr>
        <w:t>Participación social: retos y perspectivas</w:t>
      </w:r>
      <w:r>
        <w:rPr>
          <w:sz w:val="22"/>
        </w:rPr>
        <w:t>, </w:t>
      </w:r>
      <w:hyperlink r:id="rId786">
        <w:r>
          <w:rPr>
            <w:sz w:val="22"/>
          </w:rPr>
          <w:t>UNAM</w:t>
        </w:r>
      </w:hyperlink>
      <w:r>
        <w:rPr>
          <w:sz w:val="22"/>
        </w:rPr>
        <w:t> y Plaza y Valdés, México.</w:t>
      </w:r>
    </w:p>
    <w:p>
      <w:pPr>
        <w:spacing w:line="362" w:lineRule="auto" w:before="197"/>
        <w:ind w:left="102" w:right="115" w:firstLine="0"/>
        <w:jc w:val="both"/>
        <w:rPr>
          <w:sz w:val="22"/>
        </w:rPr>
      </w:pPr>
      <w:r>
        <w:rPr>
          <w:sz w:val="22"/>
        </w:rPr>
        <w:t>Collins, Randall (1981), </w:t>
      </w:r>
      <w:r>
        <w:rPr>
          <w:b/>
          <w:sz w:val="22"/>
        </w:rPr>
        <w:t>The microfoundations of Macrosociology</w:t>
      </w:r>
      <w:r>
        <w:rPr>
          <w:sz w:val="22"/>
        </w:rPr>
        <w:t>. Sociology Since Midcentury. Essays in Theory Cumulation,  Academy Press, Nueva York.</w:t>
      </w:r>
    </w:p>
    <w:p>
      <w:pPr>
        <w:spacing w:after="0" w:line="362" w:lineRule="auto"/>
        <w:jc w:val="both"/>
        <w:rPr>
          <w:sz w:val="22"/>
        </w:rPr>
        <w:sectPr>
          <w:footerReference w:type="default" r:id="rId785"/>
          <w:pgSz w:w="12240" w:h="15840"/>
          <w:pgMar w:footer="1512" w:header="0" w:top="1360" w:bottom="1700" w:left="1600" w:right="1580"/>
          <w:pgNumType w:start="890"/>
        </w:sectPr>
      </w:pPr>
    </w:p>
    <w:p>
      <w:pPr>
        <w:spacing w:line="360" w:lineRule="auto" w:before="51"/>
        <w:ind w:left="102" w:right="115" w:firstLine="0"/>
        <w:jc w:val="both"/>
        <w:rPr>
          <w:sz w:val="22"/>
        </w:rPr>
      </w:pPr>
      <w:r>
        <w:rPr>
          <w:sz w:val="22"/>
        </w:rPr>
        <w:t>Conagua, CAEM, Comisión de Cuenca Valle de Bravo-Amanalco (2010), </w:t>
      </w:r>
      <w:r>
        <w:rPr>
          <w:b/>
          <w:sz w:val="22"/>
        </w:rPr>
        <w:t>Plan para la Gestión Integral de Agua y Recursos Asociados de la Cuenca Valle de Bravo- Amanalco</w:t>
      </w:r>
      <w:r>
        <w:rPr>
          <w:sz w:val="22"/>
        </w:rPr>
        <w:t>, Gobierno del Estado de México.</w:t>
      </w:r>
    </w:p>
    <w:p>
      <w:pPr>
        <w:pStyle w:val="BodyText"/>
        <w:spacing w:before="9"/>
        <w:rPr>
          <w:sz w:val="17"/>
        </w:rPr>
      </w:pPr>
    </w:p>
    <w:p>
      <w:pPr>
        <w:spacing w:line="360" w:lineRule="auto" w:before="0"/>
        <w:ind w:left="102" w:right="113" w:firstLine="0"/>
        <w:jc w:val="both"/>
        <w:rPr>
          <w:sz w:val="22"/>
        </w:rPr>
      </w:pPr>
      <w:r>
        <w:rPr>
          <w:sz w:val="22"/>
        </w:rPr>
        <w:t>Córdova Bojórquez (2006), Gustavo, María de Lourdes Romo Aguilar y Sergio Peña Medina </w:t>
      </w:r>
      <w:r>
        <w:rPr>
          <w:b/>
          <w:sz w:val="22"/>
        </w:rPr>
        <w:t>Participación ciudadana y gestión del agua en el valle de Juárez, Chihuahua</w:t>
      </w:r>
      <w:r>
        <w:rPr>
          <w:sz w:val="22"/>
        </w:rPr>
        <w:t>, Región y Sociedad, xviii (35), El Colegio de Sonora, México.</w:t>
      </w:r>
    </w:p>
    <w:p>
      <w:pPr>
        <w:pStyle w:val="BodyText"/>
        <w:spacing w:before="9"/>
        <w:rPr>
          <w:sz w:val="17"/>
        </w:rPr>
      </w:pPr>
    </w:p>
    <w:p>
      <w:pPr>
        <w:spacing w:line="360" w:lineRule="auto" w:before="0"/>
        <w:ind w:left="102" w:right="116" w:firstLine="0"/>
        <w:jc w:val="both"/>
        <w:rPr>
          <w:sz w:val="22"/>
        </w:rPr>
      </w:pPr>
      <w:r>
        <w:rPr>
          <w:sz w:val="22"/>
        </w:rPr>
        <w:t>Coreas, María Elena; Gutiérrez, Brenda Johanna y Carpio, Indira Vanessa (2010),  </w:t>
      </w:r>
      <w:r>
        <w:rPr>
          <w:b/>
          <w:sz w:val="22"/>
        </w:rPr>
        <w:t>Estudio de la Posición y Condición del Desarrollo Profesional de Mujeres y Hombres que laboran en la Alcaldía del Municipio de San Vicente: Una Propuesta de Intervención</w:t>
      </w:r>
      <w:r>
        <w:rPr>
          <w:sz w:val="22"/>
        </w:rPr>
        <w:t>, </w:t>
      </w:r>
      <w:r>
        <w:rPr>
          <w:b/>
          <w:sz w:val="22"/>
        </w:rPr>
        <w:t>Universidad de El Salvador, </w:t>
      </w:r>
      <w:r>
        <w:rPr>
          <w:sz w:val="22"/>
        </w:rPr>
        <w:t>El</w:t>
      </w:r>
      <w:r>
        <w:rPr>
          <w:spacing w:val="-13"/>
          <w:sz w:val="22"/>
        </w:rPr>
        <w:t> </w:t>
      </w:r>
      <w:r>
        <w:rPr>
          <w:sz w:val="22"/>
        </w:rPr>
        <w:t>Salvador.</w:t>
      </w:r>
    </w:p>
    <w:p>
      <w:pPr>
        <w:pStyle w:val="BodyText"/>
        <w:spacing w:before="8"/>
        <w:rPr>
          <w:sz w:val="24"/>
        </w:rPr>
      </w:pPr>
    </w:p>
    <w:p>
      <w:pPr>
        <w:spacing w:line="357" w:lineRule="auto" w:before="0"/>
        <w:ind w:left="102" w:right="116" w:firstLine="0"/>
        <w:jc w:val="both"/>
        <w:rPr>
          <w:sz w:val="22"/>
        </w:rPr>
      </w:pPr>
      <w:r>
        <w:rPr>
          <w:sz w:val="22"/>
        </w:rPr>
        <w:t>Cortés, Manuel E. e Iglesias, Miriam (2004), </w:t>
      </w:r>
      <w:r>
        <w:rPr>
          <w:b/>
          <w:sz w:val="22"/>
        </w:rPr>
        <w:t>Generalidades sobre Metodología de la Investigación, </w:t>
      </w:r>
      <w:r>
        <w:rPr>
          <w:sz w:val="22"/>
        </w:rPr>
        <w:t>Universidad Autónoma del Carmen, Campeche, México.</w:t>
      </w:r>
    </w:p>
    <w:p>
      <w:pPr>
        <w:pStyle w:val="BodyText"/>
        <w:spacing w:before="1"/>
        <w:rPr>
          <w:sz w:val="25"/>
        </w:rPr>
      </w:pPr>
    </w:p>
    <w:p>
      <w:pPr>
        <w:spacing w:line="360" w:lineRule="auto" w:before="0"/>
        <w:ind w:left="102" w:right="116" w:firstLine="0"/>
        <w:jc w:val="both"/>
        <w:rPr>
          <w:sz w:val="22"/>
        </w:rPr>
      </w:pPr>
      <w:r>
        <w:rPr>
          <w:sz w:val="22"/>
        </w:rPr>
        <w:t>Cotler, Helena (2004), </w:t>
      </w:r>
      <w:r>
        <w:rPr>
          <w:b/>
          <w:sz w:val="22"/>
        </w:rPr>
        <w:t>El manejo integral de cuencas en México, Estudios y reflexiones para orientar la política ambiental</w:t>
      </w:r>
      <w:r>
        <w:rPr>
          <w:sz w:val="22"/>
        </w:rPr>
        <w:t>, Secretaría de Medio Ambiente y Recursos Naturales, Instituto Nacional de Ecología, México.</w:t>
      </w:r>
    </w:p>
    <w:p>
      <w:pPr>
        <w:spacing w:line="360" w:lineRule="auto" w:before="1"/>
        <w:ind w:left="102" w:right="114" w:firstLine="0"/>
        <w:jc w:val="both"/>
        <w:rPr>
          <w:sz w:val="22"/>
        </w:rPr>
      </w:pPr>
      <w:r>
        <w:rPr>
          <w:sz w:val="22"/>
        </w:rPr>
        <w:t>Cotler, Helena y Caire, Georgina (2009), </w:t>
      </w:r>
      <w:r>
        <w:rPr>
          <w:b/>
          <w:sz w:val="22"/>
        </w:rPr>
        <w:t>Lecciones aprendidas del manejo de cuencas en México</w:t>
      </w:r>
      <w:r>
        <w:rPr>
          <w:sz w:val="22"/>
        </w:rPr>
        <w:t>, Secretaría de Medio Ambiente y Recursos Naturales, México.</w:t>
      </w:r>
    </w:p>
    <w:p>
      <w:pPr>
        <w:pStyle w:val="BodyText"/>
        <w:rPr>
          <w:sz w:val="18"/>
        </w:rPr>
      </w:pPr>
    </w:p>
    <w:p>
      <w:pPr>
        <w:spacing w:line="360" w:lineRule="auto" w:before="0"/>
        <w:ind w:left="102" w:right="118" w:firstLine="0"/>
        <w:jc w:val="both"/>
        <w:rPr>
          <w:sz w:val="22"/>
        </w:rPr>
      </w:pPr>
      <w:r>
        <w:rPr>
          <w:sz w:val="22"/>
        </w:rPr>
        <w:t>Dahl, Robert (1976), </w:t>
      </w:r>
      <w:r>
        <w:rPr>
          <w:i/>
          <w:sz w:val="22"/>
        </w:rPr>
        <w:t>poder, </w:t>
      </w:r>
      <w:r>
        <w:rPr>
          <w:sz w:val="22"/>
        </w:rPr>
        <w:t>en D. Sills, director, </w:t>
      </w:r>
      <w:r>
        <w:rPr>
          <w:i/>
          <w:sz w:val="22"/>
        </w:rPr>
        <w:t>Enciclopedia Internacional de las Ciencias </w:t>
      </w:r>
      <w:r>
        <w:rPr>
          <w:i/>
          <w:sz w:val="22"/>
        </w:rPr>
        <w:t>Sociales. </w:t>
      </w:r>
      <w:r>
        <w:rPr>
          <w:sz w:val="22"/>
        </w:rPr>
        <w:t>Vol. 8, Aguilar, Madrid.</w:t>
      </w:r>
    </w:p>
    <w:p>
      <w:pPr>
        <w:pStyle w:val="BodyText"/>
        <w:spacing w:before="4"/>
        <w:rPr>
          <w:sz w:val="17"/>
        </w:rPr>
      </w:pPr>
    </w:p>
    <w:p>
      <w:pPr>
        <w:spacing w:line="360" w:lineRule="auto" w:before="0"/>
        <w:ind w:left="102" w:right="116" w:firstLine="0"/>
        <w:jc w:val="both"/>
        <w:rPr>
          <w:sz w:val="22"/>
        </w:rPr>
      </w:pPr>
      <w:r>
        <w:rPr>
          <w:sz w:val="22"/>
        </w:rPr>
        <w:t>Dahl,    Robert    (1991), </w:t>
      </w:r>
      <w:r>
        <w:rPr>
          <w:b/>
          <w:sz w:val="22"/>
        </w:rPr>
        <w:t>Los     dilemas     del     pluralismo     democrático: Autonomía versus control</w:t>
      </w:r>
      <w:r>
        <w:rPr>
          <w:i/>
          <w:sz w:val="22"/>
        </w:rPr>
        <w:t>,  </w:t>
      </w:r>
      <w:r>
        <w:rPr>
          <w:sz w:val="22"/>
        </w:rPr>
        <w:t>Alianza Editorial,</w:t>
      </w:r>
      <w:r>
        <w:rPr>
          <w:spacing w:val="-15"/>
          <w:sz w:val="22"/>
        </w:rPr>
        <w:t> </w:t>
      </w:r>
      <w:r>
        <w:rPr>
          <w:sz w:val="22"/>
        </w:rPr>
        <w:t>México.</w:t>
      </w:r>
    </w:p>
    <w:p>
      <w:pPr>
        <w:pStyle w:val="BodyText"/>
        <w:spacing w:before="9"/>
        <w:rPr>
          <w:sz w:val="17"/>
        </w:rPr>
      </w:pPr>
    </w:p>
    <w:p>
      <w:pPr>
        <w:spacing w:line="362" w:lineRule="auto" w:before="0"/>
        <w:ind w:left="102" w:right="115" w:firstLine="0"/>
        <w:jc w:val="both"/>
        <w:rPr>
          <w:sz w:val="22"/>
        </w:rPr>
      </w:pPr>
      <w:r>
        <w:rPr>
          <w:sz w:val="22"/>
        </w:rPr>
        <w:t>De la Torre, Carolina (2001), </w:t>
      </w:r>
      <w:r>
        <w:rPr>
          <w:b/>
          <w:sz w:val="22"/>
        </w:rPr>
        <w:t>Las identidades, una mirada desde la psicología</w:t>
      </w:r>
      <w:r>
        <w:rPr>
          <w:sz w:val="22"/>
        </w:rPr>
        <w:t>, Centro de Investigación y Desarrollo de la cultura cubana Juan Marinello, La Habana.</w:t>
      </w:r>
    </w:p>
    <w:p>
      <w:pPr>
        <w:spacing w:line="360" w:lineRule="auto" w:before="0"/>
        <w:ind w:left="102" w:right="114" w:firstLine="0"/>
        <w:jc w:val="both"/>
        <w:rPr>
          <w:sz w:val="22"/>
        </w:rPr>
      </w:pPr>
      <w:r>
        <w:rPr>
          <w:sz w:val="22"/>
        </w:rPr>
        <w:t>Delgado, Luisa E., Pamela L. Bachmann y Bárbara Oñate (2007), </w:t>
      </w:r>
      <w:r>
        <w:rPr>
          <w:b/>
          <w:sz w:val="22"/>
        </w:rPr>
        <w:t>Gobernanza ambiental: una estrategia orientada al desarrollo sustentable local a través de la participación ciudadana</w:t>
      </w:r>
      <w:r>
        <w:rPr>
          <w:sz w:val="22"/>
        </w:rPr>
        <w:t>, Ambiente y Desarrollo,</w:t>
      </w:r>
      <w:r>
        <w:rPr>
          <w:spacing w:val="-19"/>
          <w:sz w:val="22"/>
        </w:rPr>
        <w:t> </w:t>
      </w:r>
      <w:r>
        <w:rPr>
          <w:sz w:val="22"/>
        </w:rPr>
        <w:t>México.</w:t>
      </w:r>
    </w:p>
    <w:p>
      <w:pPr>
        <w:pStyle w:val="BodyText"/>
        <w:spacing w:before="9"/>
        <w:rPr>
          <w:sz w:val="17"/>
        </w:rPr>
      </w:pPr>
    </w:p>
    <w:p>
      <w:pPr>
        <w:spacing w:line="360" w:lineRule="auto" w:before="0"/>
        <w:ind w:left="102" w:right="118" w:firstLine="0"/>
        <w:jc w:val="both"/>
        <w:rPr>
          <w:sz w:val="22"/>
        </w:rPr>
      </w:pPr>
      <w:r>
        <w:rPr>
          <w:sz w:val="22"/>
        </w:rPr>
        <w:t>Díaz (2015), </w:t>
      </w:r>
      <w:r>
        <w:rPr>
          <w:b/>
          <w:sz w:val="22"/>
        </w:rPr>
        <w:t>Curso-Taller de Integridad y transparencia en la gestión del agua en México</w:t>
      </w:r>
      <w:r>
        <w:rPr>
          <w:sz w:val="22"/>
        </w:rPr>
        <w:t>, Universidad Autónoma de Nuevo León, México.</w:t>
      </w:r>
    </w:p>
    <w:p>
      <w:pPr>
        <w:spacing w:after="0" w:line="360" w:lineRule="auto"/>
        <w:jc w:val="both"/>
        <w:rPr>
          <w:sz w:val="22"/>
        </w:rPr>
        <w:sectPr>
          <w:pgSz w:w="12240" w:h="15840"/>
          <w:pgMar w:header="0" w:footer="1512" w:top="1360" w:bottom="1700" w:left="1600" w:right="1580"/>
        </w:sectPr>
      </w:pPr>
    </w:p>
    <w:p>
      <w:pPr>
        <w:spacing w:line="362" w:lineRule="auto" w:before="51"/>
        <w:ind w:left="102" w:right="113" w:firstLine="0"/>
        <w:jc w:val="both"/>
        <w:rPr>
          <w:sz w:val="22"/>
        </w:rPr>
      </w:pPr>
      <w:r>
        <w:rPr>
          <w:sz w:val="22"/>
        </w:rPr>
        <w:t>Díaz, (2015) </w:t>
      </w:r>
      <w:r>
        <w:rPr>
          <w:b/>
          <w:sz w:val="22"/>
        </w:rPr>
        <w:t>Integridad y Transparencia de la Gestión del Agua en México, Módulo 1: Gobernabilidad del Agua e Instituciones</w:t>
      </w:r>
      <w:r>
        <w:rPr>
          <w:sz w:val="22"/>
        </w:rPr>
        <w:t>, Water Governance Facility, WIN, Cap-Net, y WATERnet, Monterrey, México.</w:t>
      </w:r>
    </w:p>
    <w:p>
      <w:pPr>
        <w:spacing w:line="360" w:lineRule="auto" w:before="0"/>
        <w:ind w:left="102" w:right="118" w:firstLine="0"/>
        <w:jc w:val="both"/>
        <w:rPr>
          <w:sz w:val="22"/>
        </w:rPr>
      </w:pPr>
      <w:r>
        <w:rPr>
          <w:sz w:val="22"/>
        </w:rPr>
        <w:t>Díaz, Carlos (2012), </w:t>
      </w:r>
      <w:r>
        <w:rPr>
          <w:b/>
          <w:sz w:val="22"/>
        </w:rPr>
        <w:t>Soporte para la toma de decisiones bajo un Proceso de Planeación Estratégica Participativa: </w:t>
      </w:r>
      <w:r>
        <w:rPr>
          <w:sz w:val="22"/>
        </w:rPr>
        <w:t>Metodología, CIRA-UAEMex, México.</w:t>
      </w:r>
    </w:p>
    <w:p>
      <w:pPr>
        <w:pStyle w:val="BodyText"/>
        <w:spacing w:before="7"/>
        <w:rPr>
          <w:sz w:val="17"/>
        </w:rPr>
      </w:pPr>
    </w:p>
    <w:p>
      <w:pPr>
        <w:spacing w:line="360" w:lineRule="auto" w:before="0"/>
        <w:ind w:left="102" w:right="113" w:firstLine="0"/>
        <w:jc w:val="both"/>
        <w:rPr>
          <w:sz w:val="22"/>
        </w:rPr>
      </w:pPr>
      <w:r>
        <w:rPr>
          <w:sz w:val="22"/>
        </w:rPr>
        <w:t>Díaz, Carlos y Romero, Alejandro Tonatiuh (2012) </w:t>
      </w:r>
      <w:r>
        <w:rPr>
          <w:b/>
          <w:sz w:val="22"/>
        </w:rPr>
        <w:t>Notas del Curso de Gestión  Integrada de los Recursos Hídricos, México</w:t>
      </w:r>
      <w:r>
        <w:rPr>
          <w:sz w:val="22"/>
        </w:rPr>
        <w:t>,</w:t>
      </w:r>
      <w:r>
        <w:rPr>
          <w:spacing w:val="-18"/>
          <w:sz w:val="22"/>
        </w:rPr>
        <w:t> </w:t>
      </w:r>
      <w:r>
        <w:rPr>
          <w:sz w:val="22"/>
        </w:rPr>
        <w:t>CIRA-UAEMex.</w:t>
      </w:r>
    </w:p>
    <w:p>
      <w:pPr>
        <w:pStyle w:val="BodyText"/>
        <w:rPr>
          <w:sz w:val="18"/>
        </w:rPr>
      </w:pPr>
    </w:p>
    <w:p>
      <w:pPr>
        <w:spacing w:line="360" w:lineRule="auto" w:before="0"/>
        <w:ind w:left="102" w:right="113" w:firstLine="0"/>
        <w:jc w:val="both"/>
        <w:rPr>
          <w:sz w:val="22"/>
        </w:rPr>
      </w:pPr>
      <w:r>
        <w:rPr>
          <w:sz w:val="22"/>
        </w:rPr>
        <w:t>Díaz, Carlos; Esteller, Ma. Vicenta; Velasco, Alejandro; Martínez, José; Arriaga, Carlos; Vilchis, Aleida; Manzano, Luis; Colín, Miriam; Miranda, Sarai; Uribe, Ma. Luisa y Peña, Alejandro (2009), </w:t>
      </w:r>
      <w:r>
        <w:rPr>
          <w:b/>
          <w:sz w:val="22"/>
        </w:rPr>
        <w:t>Guía de planeación estratégica participativa para la gestión integrada de los recursos hídricos de la cuenca Lerma-Chapala-Santiago</w:t>
      </w:r>
      <w:r>
        <w:rPr>
          <w:sz w:val="22"/>
        </w:rPr>
        <w:t>, Centro Interamericano de Recursos del Agua, Facultad de Ingeniería de la Universidad Autónoma del Estado de México y Red Interinstitucional e Interdisciplinaria de Investigación,  Consulta y Coordinación Científica para la Recuperación de la Cuenca Lerma-Chapala- Santiago (RED LERMA),</w:t>
      </w:r>
      <w:r>
        <w:rPr>
          <w:spacing w:val="-12"/>
          <w:sz w:val="22"/>
        </w:rPr>
        <w:t> </w:t>
      </w:r>
      <w:r>
        <w:rPr>
          <w:sz w:val="22"/>
        </w:rPr>
        <w:t>México.</w:t>
      </w:r>
    </w:p>
    <w:p>
      <w:pPr>
        <w:pStyle w:val="BodyText"/>
        <w:spacing w:before="4"/>
        <w:rPr>
          <w:sz w:val="17"/>
        </w:rPr>
      </w:pPr>
    </w:p>
    <w:p>
      <w:pPr>
        <w:spacing w:line="362" w:lineRule="auto" w:before="0"/>
        <w:ind w:left="102" w:right="117" w:firstLine="0"/>
        <w:jc w:val="both"/>
        <w:rPr>
          <w:sz w:val="22"/>
        </w:rPr>
      </w:pPr>
      <w:r>
        <w:rPr>
          <w:sz w:val="22"/>
        </w:rPr>
        <w:t>Dowbor, Ladislau (1992), </w:t>
      </w:r>
      <w:r>
        <w:rPr>
          <w:b/>
          <w:sz w:val="22"/>
        </w:rPr>
        <w:t>Autonomía local y relaciones intermunicipales</w:t>
      </w:r>
      <w:r>
        <w:rPr>
          <w:i/>
          <w:sz w:val="22"/>
        </w:rPr>
        <w:t>, </w:t>
      </w:r>
      <w:r>
        <w:rPr>
          <w:sz w:val="22"/>
        </w:rPr>
        <w:t>en Nueva Sociedad, No. 121, septiembre-Octubre, Universidad Católica de San Pablo, Brasil.</w:t>
      </w:r>
    </w:p>
    <w:p>
      <w:pPr>
        <w:pStyle w:val="BodyText"/>
        <w:spacing w:before="5"/>
        <w:rPr>
          <w:sz w:val="17"/>
        </w:rPr>
      </w:pPr>
    </w:p>
    <w:p>
      <w:pPr>
        <w:spacing w:before="0"/>
        <w:ind w:left="102" w:right="0" w:firstLine="0"/>
        <w:jc w:val="both"/>
        <w:rPr>
          <w:sz w:val="22"/>
        </w:rPr>
      </w:pPr>
      <w:r>
        <w:rPr>
          <w:sz w:val="22"/>
        </w:rPr>
        <w:t>Dryzek, J. (2003), </w:t>
      </w:r>
      <w:r>
        <w:rPr>
          <w:b/>
          <w:sz w:val="22"/>
        </w:rPr>
        <w:t>La lógica informal del diseño institucional</w:t>
      </w:r>
      <w:r>
        <w:rPr>
          <w:sz w:val="22"/>
        </w:rPr>
        <w:t>, en R. Goodin (comp.),</w:t>
      </w:r>
    </w:p>
    <w:p>
      <w:pPr>
        <w:spacing w:line="549" w:lineRule="auto" w:before="126"/>
        <w:ind w:left="102" w:right="2453" w:firstLine="0"/>
        <w:jc w:val="left"/>
        <w:rPr>
          <w:sz w:val="22"/>
        </w:rPr>
      </w:pPr>
      <w:r>
        <w:rPr>
          <w:b/>
          <w:sz w:val="22"/>
        </w:rPr>
        <w:t>Teoría del diseño institucional</w:t>
      </w:r>
      <w:r>
        <w:rPr>
          <w:sz w:val="22"/>
        </w:rPr>
        <w:t>, Editorial Gedisa, Barcelona. Easton, David (1968), </w:t>
      </w:r>
      <w:r>
        <w:rPr>
          <w:b/>
          <w:sz w:val="22"/>
        </w:rPr>
        <w:t>Política Moderna</w:t>
      </w:r>
      <w:r>
        <w:rPr>
          <w:sz w:val="22"/>
        </w:rPr>
        <w:t>, Ed. Letras, México. Elias, Norbert (1994), </w:t>
      </w:r>
      <w:r>
        <w:rPr>
          <w:b/>
          <w:sz w:val="22"/>
        </w:rPr>
        <w:t>Conocimiento y poder</w:t>
      </w:r>
      <w:r>
        <w:rPr>
          <w:sz w:val="22"/>
        </w:rPr>
        <w:t>, La Piqueta,</w:t>
      </w:r>
      <w:r>
        <w:rPr>
          <w:spacing w:val="-21"/>
          <w:sz w:val="22"/>
        </w:rPr>
        <w:t> </w:t>
      </w:r>
      <w:r>
        <w:rPr>
          <w:sz w:val="22"/>
        </w:rPr>
        <w:t>Madrid.</w:t>
      </w:r>
    </w:p>
    <w:p>
      <w:pPr>
        <w:spacing w:line="360" w:lineRule="auto" w:before="8"/>
        <w:ind w:left="102" w:right="117" w:firstLine="0"/>
        <w:jc w:val="both"/>
        <w:rPr>
          <w:sz w:val="22"/>
        </w:rPr>
      </w:pPr>
      <w:r>
        <w:rPr>
          <w:sz w:val="22"/>
        </w:rPr>
        <w:t>Escalada, Mercedes, </w:t>
      </w:r>
      <w:r>
        <w:rPr>
          <w:i/>
          <w:sz w:val="22"/>
        </w:rPr>
        <w:t>et al. </w:t>
      </w:r>
      <w:r>
        <w:rPr>
          <w:sz w:val="22"/>
        </w:rPr>
        <w:t>(2004), </w:t>
      </w:r>
      <w:r>
        <w:rPr>
          <w:b/>
          <w:sz w:val="22"/>
        </w:rPr>
        <w:t>El diagnóstico Social. Proceso de conocimiento e intervención profesional</w:t>
      </w:r>
      <w:r>
        <w:rPr>
          <w:sz w:val="22"/>
        </w:rPr>
        <w:t>, Espacio Editorial. Buenos Aires</w:t>
      </w:r>
    </w:p>
    <w:p>
      <w:pPr>
        <w:pStyle w:val="BodyText"/>
        <w:spacing w:before="10"/>
        <w:rPr>
          <w:sz w:val="17"/>
        </w:rPr>
      </w:pPr>
    </w:p>
    <w:p>
      <w:pPr>
        <w:pStyle w:val="BodyText"/>
        <w:spacing w:line="360" w:lineRule="auto"/>
        <w:ind w:left="102" w:right="112"/>
        <w:jc w:val="both"/>
      </w:pPr>
      <w:r>
        <w:rPr/>
        <w:t>Estrada, Iris Janeth, Oropeza, Mayeli Monserrat y García, Rodolfo (2011), </w:t>
      </w:r>
      <w:r>
        <w:rPr>
          <w:b/>
        </w:rPr>
        <w:t>Daños colaterales de las carreteras, </w:t>
      </w:r>
      <w:r>
        <w:rPr/>
        <w:t>en Valor Universitario, Universidad Autónoma del Estado de México, año 2, no. 17, marzo, Toluca, México.</w:t>
      </w:r>
    </w:p>
    <w:p>
      <w:pPr>
        <w:pStyle w:val="BodyText"/>
        <w:spacing w:before="4"/>
        <w:rPr>
          <w:sz w:val="17"/>
        </w:rPr>
      </w:pPr>
    </w:p>
    <w:p>
      <w:pPr>
        <w:spacing w:line="360" w:lineRule="auto" w:before="0"/>
        <w:ind w:left="102" w:right="120" w:firstLine="0"/>
        <w:jc w:val="both"/>
        <w:rPr>
          <w:sz w:val="22"/>
        </w:rPr>
      </w:pPr>
      <w:r>
        <w:rPr>
          <w:sz w:val="22"/>
        </w:rPr>
        <w:t>Estrada-Romero, (2004), </w:t>
      </w:r>
      <w:r>
        <w:rPr>
          <w:b/>
          <w:sz w:val="22"/>
        </w:rPr>
        <w:t>Entre la ley y la costumbre el uso y manejo del agua potable en el municipio de Temoaya, Estado de México</w:t>
      </w:r>
      <w:r>
        <w:rPr>
          <w:sz w:val="22"/>
        </w:rPr>
        <w:t>, UAEMex, Toluca, México.</w:t>
      </w:r>
    </w:p>
    <w:p>
      <w:pPr>
        <w:spacing w:after="0" w:line="360" w:lineRule="auto"/>
        <w:jc w:val="both"/>
        <w:rPr>
          <w:sz w:val="22"/>
        </w:rPr>
        <w:sectPr>
          <w:pgSz w:w="12240" w:h="15840"/>
          <w:pgMar w:header="0" w:footer="1512" w:top="1360" w:bottom="1700" w:left="1600" w:right="1580"/>
        </w:sectPr>
      </w:pPr>
    </w:p>
    <w:p>
      <w:pPr>
        <w:spacing w:line="362" w:lineRule="auto" w:before="51"/>
        <w:ind w:left="102" w:right="116" w:firstLine="0"/>
        <w:jc w:val="both"/>
        <w:rPr>
          <w:sz w:val="22"/>
        </w:rPr>
      </w:pPr>
      <w:r>
        <w:rPr>
          <w:sz w:val="22"/>
        </w:rPr>
        <w:t>Etzioni, A. (1993), </w:t>
      </w:r>
      <w:r>
        <w:rPr>
          <w:b/>
          <w:sz w:val="22"/>
        </w:rPr>
        <w:t>The Spirit of Community: Rights, Responsibilities and the Communitarian Agenda</w:t>
      </w:r>
      <w:r>
        <w:rPr>
          <w:sz w:val="22"/>
        </w:rPr>
        <w:t>, Crown Publishers, Nueva York.</w:t>
      </w:r>
    </w:p>
    <w:p>
      <w:pPr>
        <w:pStyle w:val="BodyText"/>
        <w:spacing w:before="4"/>
        <w:rPr>
          <w:sz w:val="17"/>
        </w:rPr>
      </w:pPr>
    </w:p>
    <w:p>
      <w:pPr>
        <w:spacing w:line="362" w:lineRule="auto" w:before="0"/>
        <w:ind w:left="102" w:right="114" w:firstLine="0"/>
        <w:jc w:val="both"/>
        <w:rPr>
          <w:sz w:val="22"/>
        </w:rPr>
      </w:pPr>
      <w:r>
        <w:rPr>
          <w:sz w:val="22"/>
        </w:rPr>
        <w:t>Fabila Gilberto y Fabila Manuel (1951), </w:t>
      </w:r>
      <w:r>
        <w:rPr>
          <w:b/>
          <w:sz w:val="22"/>
        </w:rPr>
        <w:t>Los Ejidos del Estado de México</w:t>
      </w:r>
      <w:r>
        <w:rPr>
          <w:sz w:val="22"/>
        </w:rPr>
        <w:t>, Gobierno del Estado de México, México.</w:t>
      </w:r>
    </w:p>
    <w:p>
      <w:pPr>
        <w:pStyle w:val="BodyText"/>
        <w:spacing w:before="9"/>
        <w:rPr>
          <w:sz w:val="32"/>
        </w:rPr>
      </w:pPr>
    </w:p>
    <w:p>
      <w:pPr>
        <w:spacing w:line="362" w:lineRule="auto" w:before="0"/>
        <w:ind w:left="102" w:right="116" w:firstLine="0"/>
        <w:jc w:val="both"/>
        <w:rPr>
          <w:sz w:val="22"/>
        </w:rPr>
      </w:pPr>
      <w:r>
        <w:rPr>
          <w:sz w:val="22"/>
        </w:rPr>
        <w:t>Fabila, Alfonso y Fabila Gilberto (1958), </w:t>
      </w:r>
      <w:r>
        <w:rPr>
          <w:b/>
          <w:sz w:val="22"/>
        </w:rPr>
        <w:t>México (Ensayo Socioeconómico del Estado)</w:t>
      </w:r>
      <w:r>
        <w:rPr>
          <w:sz w:val="22"/>
        </w:rPr>
        <w:t>, Gobierno del Estado de México, México.</w:t>
      </w:r>
    </w:p>
    <w:p>
      <w:pPr>
        <w:pStyle w:val="BodyText"/>
      </w:pPr>
    </w:p>
    <w:p>
      <w:pPr>
        <w:spacing w:line="360" w:lineRule="auto" w:before="127"/>
        <w:ind w:left="102" w:right="114" w:firstLine="0"/>
        <w:jc w:val="both"/>
        <w:rPr>
          <w:sz w:val="22"/>
        </w:rPr>
      </w:pPr>
      <w:r>
        <w:rPr>
          <w:sz w:val="22"/>
        </w:rPr>
        <w:t>Florentino, Gerardo (2004), </w:t>
      </w:r>
      <w:r>
        <w:rPr>
          <w:b/>
          <w:sz w:val="22"/>
        </w:rPr>
        <w:t>Relaciones Intermunicipales. Santiago Tianguistenco y Capulhuac. Una propuesta para la mejora en Seguridad Pública</w:t>
      </w:r>
      <w:r>
        <w:rPr>
          <w:sz w:val="22"/>
        </w:rPr>
        <w:t>, Universidad Autónoma Metropolitana, Unidad Iztapalapa, México.</w:t>
      </w:r>
    </w:p>
    <w:p>
      <w:pPr>
        <w:pStyle w:val="BodyText"/>
        <w:spacing w:before="4"/>
        <w:rPr>
          <w:sz w:val="17"/>
        </w:rPr>
      </w:pPr>
    </w:p>
    <w:p>
      <w:pPr>
        <w:spacing w:line="552" w:lineRule="auto" w:before="0"/>
        <w:ind w:left="102" w:right="0" w:firstLine="0"/>
        <w:jc w:val="left"/>
        <w:rPr>
          <w:i/>
          <w:sz w:val="22"/>
        </w:rPr>
      </w:pPr>
      <w:r>
        <w:rPr>
          <w:sz w:val="22"/>
        </w:rPr>
        <w:t>Foster, George (1974), </w:t>
      </w:r>
      <w:r>
        <w:rPr>
          <w:b/>
          <w:sz w:val="22"/>
        </w:rPr>
        <w:t>Antropología Aplicada</w:t>
      </w:r>
      <w:r>
        <w:rPr>
          <w:sz w:val="22"/>
        </w:rPr>
        <w:t>, Fondo de Cultura Económica, México. Friedrich, Cari (1968) </w:t>
      </w:r>
      <w:r>
        <w:rPr>
          <w:b/>
          <w:sz w:val="22"/>
        </w:rPr>
        <w:t>El hombre y el Gobierno</w:t>
      </w:r>
      <w:r>
        <w:rPr>
          <w:i/>
          <w:sz w:val="22"/>
        </w:rPr>
        <w:t>.</w:t>
      </w:r>
    </w:p>
    <w:p>
      <w:pPr>
        <w:spacing w:line="362" w:lineRule="auto" w:before="6"/>
        <w:ind w:left="102" w:right="115" w:firstLine="0"/>
        <w:jc w:val="both"/>
        <w:rPr>
          <w:sz w:val="22"/>
        </w:rPr>
      </w:pPr>
      <w:r>
        <w:rPr>
          <w:sz w:val="22"/>
        </w:rPr>
        <w:t>Gallego, Iván, García, David y Cervantes, Iván (2012), </w:t>
      </w:r>
      <w:r>
        <w:rPr>
          <w:b/>
          <w:sz w:val="22"/>
        </w:rPr>
        <w:t>Implementación de Acciones de Ordenamiento de la Pesca Ribereña en los Embalses de Taxhimay, Miguel Alemán Y Huapango del Estado de México</w:t>
      </w:r>
      <w:r>
        <w:rPr>
          <w:sz w:val="22"/>
        </w:rPr>
        <w:t>, Facultad de Ciencias, Centro de Investigación en Recursos Bióticos, UAEMex, México.</w:t>
      </w:r>
    </w:p>
    <w:p>
      <w:pPr>
        <w:spacing w:line="360" w:lineRule="auto" w:before="197"/>
        <w:ind w:left="102" w:right="116" w:firstLine="0"/>
        <w:jc w:val="both"/>
        <w:rPr>
          <w:sz w:val="22"/>
        </w:rPr>
      </w:pPr>
      <w:r>
        <w:rPr>
          <w:sz w:val="22"/>
        </w:rPr>
        <w:t>Galvin, Marc y Haller Tobias (2008), </w:t>
      </w:r>
      <w:r>
        <w:rPr>
          <w:b/>
          <w:sz w:val="22"/>
        </w:rPr>
        <w:t>People, Protected Areas and Global Change: Participatory Conservation in Latin America, Africa, Asia and Europe. Perspectives of the Swiss National Centre of Competence in Research (nccr) North-South</w:t>
      </w:r>
      <w:r>
        <w:rPr>
          <w:sz w:val="22"/>
        </w:rPr>
        <w:t>, Geographica Bernensia, 3, Universidad de Berna, Berna.</w:t>
      </w:r>
    </w:p>
    <w:p>
      <w:pPr>
        <w:pStyle w:val="BodyText"/>
        <w:spacing w:before="7"/>
        <w:rPr>
          <w:sz w:val="17"/>
        </w:rPr>
      </w:pPr>
    </w:p>
    <w:p>
      <w:pPr>
        <w:spacing w:line="360" w:lineRule="auto" w:before="0"/>
        <w:ind w:left="102" w:right="114" w:firstLine="0"/>
        <w:jc w:val="both"/>
        <w:rPr>
          <w:sz w:val="22"/>
        </w:rPr>
      </w:pPr>
      <w:r>
        <w:rPr>
          <w:sz w:val="22"/>
        </w:rPr>
        <w:t>Gamiño, Rocio (1997), </w:t>
      </w:r>
      <w:r>
        <w:rPr>
          <w:b/>
          <w:sz w:val="22"/>
        </w:rPr>
        <w:t>“La Presa de Huapango y la reglamentación de las aguas del río San Juan”</w:t>
      </w:r>
      <w:r>
        <w:rPr>
          <w:sz w:val="22"/>
        </w:rPr>
        <w:t>, en Boletín del Archivo Histórico del Agua, Año 4, no. 10, mayo-agosto, México</w:t>
      </w:r>
    </w:p>
    <w:p>
      <w:pPr>
        <w:pStyle w:val="BodyText"/>
        <w:spacing w:before="5"/>
        <w:rPr>
          <w:sz w:val="17"/>
        </w:rPr>
      </w:pPr>
    </w:p>
    <w:p>
      <w:pPr>
        <w:spacing w:before="0"/>
        <w:ind w:left="102" w:right="0" w:firstLine="0"/>
        <w:jc w:val="both"/>
        <w:rPr>
          <w:sz w:val="22"/>
        </w:rPr>
      </w:pPr>
      <w:r>
        <w:rPr>
          <w:sz w:val="22"/>
        </w:rPr>
        <w:t>García (2013), </w:t>
      </w:r>
      <w:r>
        <w:rPr>
          <w:b/>
          <w:sz w:val="22"/>
        </w:rPr>
        <w:t>Trabajo de campo (2013-2015)</w:t>
      </w:r>
      <w:r>
        <w:rPr>
          <w:sz w:val="22"/>
        </w:rPr>
        <w:t>, CIRA, México.</w:t>
      </w:r>
    </w:p>
    <w:p>
      <w:pPr>
        <w:pStyle w:val="BodyText"/>
        <w:spacing w:before="5"/>
        <w:rPr>
          <w:sz w:val="28"/>
        </w:rPr>
      </w:pPr>
    </w:p>
    <w:p>
      <w:pPr>
        <w:spacing w:line="360" w:lineRule="auto" w:before="1"/>
        <w:ind w:left="102" w:right="115" w:firstLine="0"/>
        <w:jc w:val="both"/>
        <w:rPr>
          <w:sz w:val="22"/>
        </w:rPr>
      </w:pPr>
      <w:r>
        <w:rPr>
          <w:sz w:val="22"/>
        </w:rPr>
        <w:t>García, Rodolfo y Martínez, Néstor Daniel (2011), </w:t>
      </w:r>
      <w:r>
        <w:rPr>
          <w:b/>
          <w:sz w:val="22"/>
        </w:rPr>
        <w:t>Autopista Arco Norte, progreso inaccesible, </w:t>
      </w:r>
      <w:r>
        <w:rPr>
          <w:sz w:val="22"/>
        </w:rPr>
        <w:t>en Valor Universitario, Universidad Autónoma del Estado de México, año 2, no. 17, marzo, Toluca, México.</w:t>
      </w:r>
    </w:p>
    <w:p>
      <w:pPr>
        <w:spacing w:after="0" w:line="360" w:lineRule="auto"/>
        <w:jc w:val="both"/>
        <w:rPr>
          <w:sz w:val="22"/>
        </w:rPr>
        <w:sectPr>
          <w:pgSz w:w="12240" w:h="15840"/>
          <w:pgMar w:header="0" w:footer="1512" w:top="1360" w:bottom="1700" w:left="1600" w:right="1580"/>
        </w:sectPr>
      </w:pPr>
    </w:p>
    <w:p>
      <w:pPr>
        <w:spacing w:line="364" w:lineRule="auto" w:before="51"/>
        <w:ind w:left="102" w:right="117" w:firstLine="0"/>
        <w:jc w:val="both"/>
        <w:rPr>
          <w:sz w:val="22"/>
        </w:rPr>
      </w:pPr>
      <w:r>
        <w:rPr>
          <w:sz w:val="22"/>
        </w:rPr>
        <w:t>Gerhard, Peter (1986), </w:t>
      </w:r>
      <w:r>
        <w:rPr>
          <w:b/>
          <w:sz w:val="22"/>
        </w:rPr>
        <w:t>Geografía Histórica de la Nueva España 1519-1821</w:t>
      </w:r>
      <w:r>
        <w:rPr>
          <w:sz w:val="22"/>
        </w:rPr>
        <w:t>, Universidad Nacional Autónoma de México, México.</w:t>
      </w:r>
    </w:p>
    <w:p>
      <w:pPr>
        <w:pStyle w:val="BodyText"/>
        <w:spacing w:before="7"/>
        <w:rPr>
          <w:sz w:val="32"/>
        </w:rPr>
      </w:pPr>
    </w:p>
    <w:p>
      <w:pPr>
        <w:spacing w:line="362" w:lineRule="auto" w:before="0"/>
        <w:ind w:left="102" w:right="115" w:firstLine="0"/>
        <w:jc w:val="both"/>
        <w:rPr>
          <w:sz w:val="22"/>
        </w:rPr>
      </w:pPr>
      <w:r>
        <w:rPr>
          <w:sz w:val="22"/>
        </w:rPr>
        <w:t>Gibson, Charles (2007), </w:t>
      </w:r>
      <w:r>
        <w:rPr>
          <w:b/>
          <w:sz w:val="22"/>
        </w:rPr>
        <w:t>Los aztecas bajo el dominio español 1519-1810</w:t>
      </w:r>
      <w:r>
        <w:rPr>
          <w:sz w:val="22"/>
        </w:rPr>
        <w:t>, Siglo Veintiuno, México.</w:t>
      </w:r>
    </w:p>
    <w:p>
      <w:pPr>
        <w:spacing w:line="360" w:lineRule="auto" w:before="197"/>
        <w:ind w:left="102" w:right="117" w:firstLine="0"/>
        <w:jc w:val="both"/>
        <w:rPr>
          <w:sz w:val="22"/>
        </w:rPr>
      </w:pPr>
      <w:r>
        <w:rPr>
          <w:sz w:val="22"/>
        </w:rPr>
        <w:t>Giddens, Anthony (2003), </w:t>
      </w:r>
      <w:r>
        <w:rPr>
          <w:b/>
          <w:sz w:val="22"/>
        </w:rPr>
        <w:t>La constitución de la sociedad: bases para la teoría de la estructuración</w:t>
      </w:r>
      <w:r>
        <w:rPr>
          <w:sz w:val="22"/>
        </w:rPr>
        <w:t>, Amorrortu, Buenos Aires.</w:t>
      </w:r>
    </w:p>
    <w:p>
      <w:pPr>
        <w:pStyle w:val="BodyText"/>
        <w:spacing w:before="9"/>
        <w:rPr>
          <w:sz w:val="17"/>
        </w:rPr>
      </w:pPr>
    </w:p>
    <w:p>
      <w:pPr>
        <w:spacing w:line="360" w:lineRule="auto" w:before="0"/>
        <w:ind w:left="102" w:right="116" w:firstLine="0"/>
        <w:jc w:val="both"/>
        <w:rPr>
          <w:sz w:val="22"/>
        </w:rPr>
      </w:pPr>
      <w:r>
        <w:rPr>
          <w:sz w:val="22"/>
        </w:rPr>
        <w:t>Global Water Parnertship (GWP) (2000), </w:t>
      </w:r>
      <w:r>
        <w:rPr>
          <w:b/>
          <w:sz w:val="22"/>
        </w:rPr>
        <w:t>Integrated Water Resources Management. TAC</w:t>
      </w:r>
      <w:r>
        <w:rPr>
          <w:sz w:val="22"/>
        </w:rPr>
        <w:t>, Documento de fondo. No. 4 GWP, Estocolmo, Suiza.</w:t>
      </w:r>
    </w:p>
    <w:p>
      <w:pPr>
        <w:pStyle w:val="BodyText"/>
        <w:spacing w:before="7"/>
        <w:rPr>
          <w:sz w:val="17"/>
        </w:rPr>
      </w:pPr>
    </w:p>
    <w:p>
      <w:pPr>
        <w:spacing w:line="362" w:lineRule="auto" w:before="0"/>
        <w:ind w:left="102" w:right="116" w:firstLine="0"/>
        <w:jc w:val="both"/>
        <w:rPr>
          <w:sz w:val="22"/>
        </w:rPr>
      </w:pPr>
      <w:r>
        <w:rPr>
          <w:i/>
          <w:sz w:val="22"/>
        </w:rPr>
        <w:t>Global Water Partnership </w:t>
      </w:r>
      <w:r>
        <w:rPr>
          <w:sz w:val="22"/>
        </w:rPr>
        <w:t>(GWP) (1996), </w:t>
      </w:r>
      <w:r>
        <w:rPr>
          <w:b/>
          <w:sz w:val="22"/>
        </w:rPr>
        <w:t>Manual para la Gestión Integrada de Recursos Hídricos en Cuencas, International Network of Basin</w:t>
      </w:r>
      <w:r>
        <w:rPr>
          <w:b/>
          <w:spacing w:val="-15"/>
          <w:sz w:val="22"/>
        </w:rPr>
        <w:t> </w:t>
      </w:r>
      <w:r>
        <w:rPr>
          <w:b/>
          <w:sz w:val="22"/>
        </w:rPr>
        <w:t>Organizations</w:t>
      </w:r>
      <w:r>
        <w:rPr>
          <w:sz w:val="22"/>
        </w:rPr>
        <w:t>.</w:t>
      </w:r>
    </w:p>
    <w:p>
      <w:pPr>
        <w:pStyle w:val="BodyText"/>
        <w:spacing w:before="4"/>
        <w:rPr>
          <w:sz w:val="17"/>
        </w:rPr>
      </w:pPr>
    </w:p>
    <w:p>
      <w:pPr>
        <w:spacing w:line="360" w:lineRule="auto" w:before="0"/>
        <w:ind w:left="102" w:right="114" w:firstLine="0"/>
        <w:jc w:val="both"/>
        <w:rPr>
          <w:sz w:val="22"/>
        </w:rPr>
      </w:pPr>
      <w:r>
        <w:rPr>
          <w:sz w:val="22"/>
        </w:rPr>
        <w:t>Global Water Partnership (GWP) (2006) </w:t>
      </w:r>
      <w:r>
        <w:rPr>
          <w:b/>
          <w:sz w:val="22"/>
        </w:rPr>
        <w:t>Implementación de la Gestión Integrada de los Recursos Hídricos</w:t>
      </w:r>
      <w:r>
        <w:rPr>
          <w:sz w:val="22"/>
        </w:rPr>
        <w:t>, Documento temático, eje 2. IV Foro Mundial del Agua, México.</w:t>
      </w:r>
    </w:p>
    <w:p>
      <w:pPr>
        <w:pStyle w:val="BodyText"/>
        <w:spacing w:before="9"/>
        <w:rPr>
          <w:sz w:val="17"/>
        </w:rPr>
      </w:pPr>
    </w:p>
    <w:p>
      <w:pPr>
        <w:spacing w:before="0"/>
        <w:ind w:left="102" w:right="0" w:firstLine="0"/>
        <w:jc w:val="both"/>
        <w:rPr>
          <w:sz w:val="22"/>
        </w:rPr>
      </w:pPr>
      <w:r>
        <w:rPr>
          <w:sz w:val="22"/>
        </w:rPr>
        <w:t>Gobierno de la República (1995) </w:t>
      </w:r>
      <w:r>
        <w:rPr>
          <w:b/>
          <w:sz w:val="22"/>
        </w:rPr>
        <w:t>Plan Nacional de Desarrollo 1995 – 2000, </w:t>
      </w:r>
      <w:r>
        <w:rPr>
          <w:sz w:val="22"/>
        </w:rPr>
        <w:t>México.</w:t>
      </w:r>
    </w:p>
    <w:p>
      <w:pPr>
        <w:pStyle w:val="BodyText"/>
        <w:spacing w:before="3"/>
        <w:rPr>
          <w:sz w:val="28"/>
        </w:rPr>
      </w:pPr>
    </w:p>
    <w:p>
      <w:pPr>
        <w:spacing w:before="0"/>
        <w:ind w:left="102" w:right="0" w:firstLine="0"/>
        <w:jc w:val="both"/>
        <w:rPr>
          <w:b/>
          <w:sz w:val="22"/>
        </w:rPr>
      </w:pPr>
      <w:r>
        <w:rPr>
          <w:sz w:val="22"/>
        </w:rPr>
        <w:t>Gobierno  de  la  República  (2013),  </w:t>
      </w:r>
      <w:r>
        <w:rPr>
          <w:b/>
          <w:sz w:val="22"/>
        </w:rPr>
        <w:t>Plan  Nacional  de  Desarrollo  2013-2018    (PND),</w:t>
      </w:r>
    </w:p>
    <w:p>
      <w:pPr>
        <w:pStyle w:val="BodyText"/>
        <w:spacing w:before="129"/>
        <w:ind w:left="102"/>
        <w:jc w:val="both"/>
      </w:pPr>
      <w:r>
        <w:rPr/>
        <w:t>Sistema Nacional de Planeación Democrática, México.</w:t>
      </w:r>
    </w:p>
    <w:p>
      <w:pPr>
        <w:pStyle w:val="BodyText"/>
        <w:spacing w:before="3"/>
        <w:rPr>
          <w:sz w:val="28"/>
        </w:rPr>
      </w:pPr>
    </w:p>
    <w:p>
      <w:pPr>
        <w:spacing w:line="360" w:lineRule="auto" w:before="0"/>
        <w:ind w:left="102" w:right="113" w:firstLine="0"/>
        <w:jc w:val="both"/>
        <w:rPr>
          <w:sz w:val="22"/>
        </w:rPr>
      </w:pPr>
      <w:r>
        <w:rPr>
          <w:sz w:val="22"/>
        </w:rPr>
        <w:t>Gobierno del Estado de México (2011) </w:t>
      </w:r>
      <w:r>
        <w:rPr>
          <w:b/>
          <w:sz w:val="22"/>
        </w:rPr>
        <w:t>Plan de Desarrollo del Estado de México 2011- 2017, </w:t>
      </w:r>
      <w:r>
        <w:rPr>
          <w:sz w:val="22"/>
        </w:rPr>
        <w:t>Gaceta del gobierno, 13 de marzo de 2012, México.</w:t>
      </w:r>
    </w:p>
    <w:p>
      <w:pPr>
        <w:pStyle w:val="BodyText"/>
        <w:spacing w:before="9"/>
        <w:rPr>
          <w:sz w:val="17"/>
        </w:rPr>
      </w:pPr>
    </w:p>
    <w:p>
      <w:pPr>
        <w:spacing w:line="357" w:lineRule="auto" w:before="0"/>
        <w:ind w:left="102" w:right="115" w:firstLine="0"/>
        <w:jc w:val="both"/>
        <w:rPr>
          <w:sz w:val="22"/>
        </w:rPr>
      </w:pPr>
      <w:r>
        <w:rPr>
          <w:sz w:val="22"/>
        </w:rPr>
        <w:t>González, Alba (1997), </w:t>
      </w:r>
      <w:r>
        <w:rPr>
          <w:i/>
          <w:sz w:val="22"/>
        </w:rPr>
        <w:t>La influencia de la Antropología Estadounidense en México: el </w:t>
      </w:r>
      <w:r>
        <w:rPr>
          <w:i/>
          <w:sz w:val="22"/>
        </w:rPr>
        <w:t>caso de la ecología cultural</w:t>
      </w:r>
      <w:r>
        <w:rPr>
          <w:b/>
          <w:sz w:val="22"/>
        </w:rPr>
        <w:t>, </w:t>
      </w:r>
      <w:r>
        <w:rPr>
          <w:sz w:val="22"/>
        </w:rPr>
        <w:t>en Rutsch, Mechthild y Serrano, Carlos, </w:t>
      </w:r>
      <w:r>
        <w:rPr>
          <w:b/>
          <w:sz w:val="22"/>
        </w:rPr>
        <w:t>Ciencia en los Márgenes</w:t>
      </w:r>
      <w:r>
        <w:rPr>
          <w:sz w:val="22"/>
        </w:rPr>
        <w:t>, UNAM, México.</w:t>
      </w:r>
    </w:p>
    <w:p>
      <w:pPr>
        <w:pStyle w:val="BodyText"/>
        <w:rPr>
          <w:sz w:val="18"/>
        </w:rPr>
      </w:pPr>
    </w:p>
    <w:p>
      <w:pPr>
        <w:spacing w:before="0"/>
        <w:ind w:left="102" w:right="0" w:firstLine="0"/>
        <w:jc w:val="both"/>
        <w:rPr>
          <w:b/>
          <w:sz w:val="22"/>
        </w:rPr>
      </w:pPr>
      <w:r>
        <w:rPr>
          <w:sz w:val="22"/>
        </w:rPr>
        <w:t>González,   Lydia   (2003),   </w:t>
      </w:r>
      <w:r>
        <w:rPr>
          <w:b/>
          <w:sz w:val="22"/>
        </w:rPr>
        <w:t>Cooperación   y   Empresas.   Retos,   Presente   y Futuro,</w:t>
      </w:r>
    </w:p>
    <w:p>
      <w:pPr>
        <w:pStyle w:val="BodyText"/>
        <w:spacing w:before="129"/>
        <w:ind w:left="102"/>
        <w:jc w:val="both"/>
      </w:pPr>
      <w:r>
        <w:rPr/>
        <w:t>THOMSON, Madrid.</w:t>
      </w:r>
    </w:p>
    <w:p>
      <w:pPr>
        <w:pStyle w:val="BodyText"/>
        <w:spacing w:before="1"/>
        <w:rPr>
          <w:sz w:val="28"/>
        </w:rPr>
      </w:pPr>
    </w:p>
    <w:p>
      <w:pPr>
        <w:pStyle w:val="BodyText"/>
        <w:spacing w:line="362" w:lineRule="auto"/>
        <w:ind w:left="102" w:right="113"/>
        <w:jc w:val="both"/>
      </w:pPr>
      <w:r>
        <w:rPr/>
        <w:t>González, Víctor y Mejía Mauricio (1999) </w:t>
      </w:r>
      <w:r>
        <w:rPr>
          <w:b/>
        </w:rPr>
        <w:t>Monografía Municipal de Timilpan, </w:t>
      </w:r>
      <w:r>
        <w:rPr/>
        <w:t>Instituto Mexiquense de Cultura, Asociación Mexiquense de Cronistas Municipales (AMECROM), México.</w:t>
      </w:r>
    </w:p>
    <w:p>
      <w:pPr>
        <w:spacing w:after="0" w:line="362" w:lineRule="auto"/>
        <w:jc w:val="both"/>
        <w:sectPr>
          <w:pgSz w:w="12240" w:h="15840"/>
          <w:pgMar w:header="0" w:footer="1512" w:top="1360" w:bottom="1700" w:left="1600" w:right="1580"/>
        </w:sectPr>
      </w:pPr>
    </w:p>
    <w:p>
      <w:pPr>
        <w:spacing w:line="364" w:lineRule="auto" w:before="51"/>
        <w:ind w:left="102" w:right="0" w:firstLine="0"/>
        <w:jc w:val="left"/>
        <w:rPr>
          <w:sz w:val="22"/>
        </w:rPr>
      </w:pPr>
      <w:r>
        <w:rPr>
          <w:sz w:val="22"/>
        </w:rPr>
        <w:t>GWP (2000)</w:t>
      </w:r>
      <w:r>
        <w:rPr>
          <w:b/>
          <w:sz w:val="22"/>
        </w:rPr>
        <w:t>, Integrated Water Resources Management. TAC</w:t>
      </w:r>
      <w:r>
        <w:rPr>
          <w:sz w:val="22"/>
        </w:rPr>
        <w:t>, No. 4 GWP, Estocolmo, Suiza.</w:t>
      </w:r>
    </w:p>
    <w:p>
      <w:pPr>
        <w:spacing w:line="357" w:lineRule="auto" w:before="195"/>
        <w:ind w:left="102" w:right="116" w:firstLine="0"/>
        <w:jc w:val="both"/>
        <w:rPr>
          <w:sz w:val="22"/>
        </w:rPr>
      </w:pPr>
      <w:r>
        <w:rPr>
          <w:sz w:val="18"/>
        </w:rPr>
        <w:t>GWP </w:t>
      </w:r>
      <w:r>
        <w:rPr>
          <w:sz w:val="22"/>
        </w:rPr>
        <w:t>(Global Water Partnership) (2003), </w:t>
      </w:r>
      <w:r>
        <w:rPr>
          <w:b/>
          <w:sz w:val="22"/>
        </w:rPr>
        <w:t>Dialogue on Effective Water Governance: Action through Partnership (in Central and Eastern Europe), </w:t>
      </w:r>
      <w:r>
        <w:rPr>
          <w:sz w:val="22"/>
        </w:rPr>
        <w:t>3</w:t>
      </w:r>
      <w:r>
        <w:rPr>
          <w:position w:val="8"/>
          <w:sz w:val="14"/>
        </w:rPr>
        <w:t>rd </w:t>
      </w:r>
      <w:r>
        <w:rPr>
          <w:sz w:val="22"/>
        </w:rPr>
        <w:t>World Water Forum, Kyoto, Japón.</w:t>
      </w:r>
    </w:p>
    <w:p>
      <w:pPr>
        <w:spacing w:before="3"/>
        <w:ind w:left="102" w:right="0" w:firstLine="0"/>
        <w:jc w:val="both"/>
        <w:rPr>
          <w:b/>
          <w:sz w:val="22"/>
        </w:rPr>
      </w:pPr>
      <w:r>
        <w:rPr>
          <w:sz w:val="22"/>
        </w:rPr>
        <w:t>H.  Ayuntamiento  de  Acambay  (2009),   </w:t>
      </w:r>
      <w:r>
        <w:rPr>
          <w:b/>
          <w:sz w:val="22"/>
        </w:rPr>
        <w:t>Plan  de  Desarrollo  Municipal     </w:t>
      </w:r>
      <w:r>
        <w:rPr>
          <w:b/>
          <w:spacing w:val="51"/>
          <w:sz w:val="22"/>
        </w:rPr>
        <w:t> </w:t>
      </w:r>
      <w:r>
        <w:rPr>
          <w:b/>
          <w:sz w:val="22"/>
        </w:rPr>
        <w:t>2009-2012,</w:t>
      </w:r>
    </w:p>
    <w:p>
      <w:pPr>
        <w:pStyle w:val="BodyText"/>
        <w:spacing w:before="128"/>
        <w:ind w:left="102"/>
        <w:jc w:val="both"/>
      </w:pPr>
      <w:r>
        <w:rPr/>
        <w:t>Dirección de Planeación, Evaluación y Seguimiento, Acambay, México.</w:t>
      </w:r>
    </w:p>
    <w:p>
      <w:pPr>
        <w:pStyle w:val="BodyText"/>
        <w:spacing w:before="3"/>
        <w:rPr>
          <w:sz w:val="28"/>
        </w:rPr>
      </w:pPr>
    </w:p>
    <w:p>
      <w:pPr>
        <w:spacing w:before="0"/>
        <w:ind w:left="102" w:right="0" w:firstLine="0"/>
        <w:jc w:val="both"/>
        <w:rPr>
          <w:sz w:val="22"/>
        </w:rPr>
      </w:pPr>
      <w:r>
        <w:rPr>
          <w:sz w:val="22"/>
        </w:rPr>
        <w:t>H. Ayuntamiento de Acambay (2013), </w:t>
      </w:r>
      <w:r>
        <w:rPr>
          <w:b/>
          <w:sz w:val="22"/>
        </w:rPr>
        <w:t>Bando Municipal, </w:t>
      </w:r>
      <w:r>
        <w:rPr>
          <w:sz w:val="22"/>
        </w:rPr>
        <w:t>México.</w:t>
      </w:r>
    </w:p>
    <w:p>
      <w:pPr>
        <w:pStyle w:val="BodyText"/>
        <w:spacing w:before="4"/>
        <w:rPr>
          <w:sz w:val="28"/>
        </w:rPr>
      </w:pPr>
    </w:p>
    <w:p>
      <w:pPr>
        <w:spacing w:before="0"/>
        <w:ind w:left="102" w:right="0" w:firstLine="0"/>
        <w:jc w:val="both"/>
        <w:rPr>
          <w:b/>
          <w:sz w:val="22"/>
        </w:rPr>
      </w:pPr>
      <w:r>
        <w:rPr>
          <w:sz w:val="22"/>
        </w:rPr>
        <w:t>H.  Ayuntamiento  de  Acambay  (2013),  </w:t>
      </w:r>
      <w:r>
        <w:rPr>
          <w:b/>
          <w:sz w:val="22"/>
        </w:rPr>
        <w:t>Plan  de  Desarrollo  Municipal      </w:t>
      </w:r>
      <w:r>
        <w:rPr>
          <w:b/>
          <w:spacing w:val="51"/>
          <w:sz w:val="22"/>
        </w:rPr>
        <w:t> </w:t>
      </w:r>
      <w:r>
        <w:rPr>
          <w:b/>
          <w:sz w:val="22"/>
        </w:rPr>
        <w:t>2013-2015,</w:t>
      </w:r>
    </w:p>
    <w:p>
      <w:pPr>
        <w:pStyle w:val="BodyText"/>
        <w:spacing w:before="128"/>
        <w:ind w:left="102"/>
        <w:jc w:val="both"/>
      </w:pPr>
      <w:r>
        <w:rPr/>
        <w:t>Dirección de Planeación, Evaluación y Seguimiento, Acambay, México.</w:t>
      </w:r>
    </w:p>
    <w:p>
      <w:pPr>
        <w:pStyle w:val="BodyText"/>
      </w:pPr>
    </w:p>
    <w:p>
      <w:pPr>
        <w:pStyle w:val="BodyText"/>
        <w:spacing w:before="10"/>
        <w:rPr>
          <w:sz w:val="21"/>
        </w:rPr>
      </w:pPr>
    </w:p>
    <w:p>
      <w:pPr>
        <w:spacing w:line="362" w:lineRule="auto" w:before="1"/>
        <w:ind w:left="102" w:right="194" w:firstLine="0"/>
        <w:jc w:val="left"/>
        <w:rPr>
          <w:sz w:val="22"/>
        </w:rPr>
      </w:pPr>
      <w:r>
        <w:rPr>
          <w:sz w:val="22"/>
        </w:rPr>
        <w:t>H. Ayuntamiento de Aculco (2009), </w:t>
      </w:r>
      <w:r>
        <w:rPr>
          <w:b/>
          <w:sz w:val="22"/>
        </w:rPr>
        <w:t>Plan de Desarrollo Municipal 2009-2012, </w:t>
      </w:r>
      <w:r>
        <w:rPr>
          <w:sz w:val="22"/>
        </w:rPr>
        <w:t>Dirección de Planeación, Evaluación y Seguimiento, Aculco, México.</w:t>
      </w:r>
    </w:p>
    <w:p>
      <w:pPr>
        <w:spacing w:before="197"/>
        <w:ind w:left="102" w:right="0" w:firstLine="0"/>
        <w:jc w:val="both"/>
        <w:rPr>
          <w:sz w:val="22"/>
        </w:rPr>
      </w:pPr>
      <w:r>
        <w:rPr>
          <w:sz w:val="22"/>
        </w:rPr>
        <w:t>H. Ayuntamiento de Aculco (2013), </w:t>
      </w:r>
      <w:r>
        <w:rPr>
          <w:b/>
          <w:sz w:val="22"/>
        </w:rPr>
        <w:t>Bando Municipal, </w:t>
      </w:r>
      <w:r>
        <w:rPr>
          <w:sz w:val="22"/>
        </w:rPr>
        <w:t>México.</w:t>
      </w:r>
    </w:p>
    <w:p>
      <w:pPr>
        <w:pStyle w:val="BodyText"/>
        <w:spacing w:before="5"/>
        <w:rPr>
          <w:sz w:val="28"/>
        </w:rPr>
      </w:pPr>
    </w:p>
    <w:p>
      <w:pPr>
        <w:spacing w:line="362" w:lineRule="auto" w:before="1"/>
        <w:ind w:left="102" w:right="194" w:firstLine="0"/>
        <w:jc w:val="left"/>
        <w:rPr>
          <w:sz w:val="22"/>
        </w:rPr>
      </w:pPr>
      <w:r>
        <w:rPr>
          <w:sz w:val="22"/>
        </w:rPr>
        <w:t>H. Ayuntamiento de Aculco (2013), </w:t>
      </w:r>
      <w:r>
        <w:rPr>
          <w:b/>
          <w:sz w:val="22"/>
        </w:rPr>
        <w:t>Plan de Desarrollo Municipal 2013-2015, </w:t>
      </w:r>
      <w:r>
        <w:rPr>
          <w:sz w:val="22"/>
        </w:rPr>
        <w:t>Dirección de Planeación, Evaluación y Seguimiento, Aculco, México.</w:t>
      </w:r>
    </w:p>
    <w:p>
      <w:pPr>
        <w:pStyle w:val="BodyText"/>
        <w:spacing w:before="10"/>
        <w:rPr>
          <w:sz w:val="32"/>
        </w:rPr>
      </w:pPr>
    </w:p>
    <w:p>
      <w:pPr>
        <w:spacing w:before="0"/>
        <w:ind w:left="102" w:right="0" w:firstLine="0"/>
        <w:jc w:val="both"/>
        <w:rPr>
          <w:b/>
          <w:sz w:val="22"/>
        </w:rPr>
      </w:pPr>
      <w:r>
        <w:rPr>
          <w:sz w:val="22"/>
        </w:rPr>
        <w:t>H.   Ayuntamiento   de   Jilotepec   (2009),   </w:t>
      </w:r>
      <w:r>
        <w:rPr>
          <w:b/>
          <w:sz w:val="22"/>
        </w:rPr>
        <w:t>Plan  de   Desarrollo   Municipal 2009-2012,</w:t>
      </w:r>
    </w:p>
    <w:p>
      <w:pPr>
        <w:pStyle w:val="BodyText"/>
        <w:spacing w:before="128"/>
        <w:ind w:left="102"/>
        <w:jc w:val="both"/>
      </w:pPr>
      <w:r>
        <w:rPr/>
        <w:t>Dirección de Planeación, Evaluación y Seguimiento, Jilotepec, México.</w:t>
      </w:r>
    </w:p>
    <w:p>
      <w:pPr>
        <w:pStyle w:val="BodyText"/>
        <w:spacing w:before="3"/>
        <w:rPr>
          <w:sz w:val="28"/>
        </w:rPr>
      </w:pPr>
    </w:p>
    <w:p>
      <w:pPr>
        <w:spacing w:before="0"/>
        <w:ind w:left="102" w:right="0" w:firstLine="0"/>
        <w:jc w:val="both"/>
        <w:rPr>
          <w:sz w:val="22"/>
        </w:rPr>
      </w:pPr>
      <w:r>
        <w:rPr>
          <w:sz w:val="22"/>
        </w:rPr>
        <w:t>H. Ayuntamiento de Jilotepec (2013), </w:t>
      </w:r>
      <w:r>
        <w:rPr>
          <w:b/>
          <w:sz w:val="22"/>
        </w:rPr>
        <w:t>Bando Municipal, </w:t>
      </w:r>
      <w:r>
        <w:rPr>
          <w:sz w:val="22"/>
        </w:rPr>
        <w:t>México.</w:t>
      </w:r>
    </w:p>
    <w:p>
      <w:pPr>
        <w:pStyle w:val="BodyText"/>
        <w:spacing w:before="3"/>
        <w:rPr>
          <w:sz w:val="28"/>
        </w:rPr>
      </w:pPr>
    </w:p>
    <w:p>
      <w:pPr>
        <w:spacing w:before="0"/>
        <w:ind w:left="102" w:right="0" w:firstLine="0"/>
        <w:jc w:val="both"/>
        <w:rPr>
          <w:b/>
          <w:sz w:val="22"/>
        </w:rPr>
      </w:pPr>
      <w:r>
        <w:rPr>
          <w:sz w:val="22"/>
        </w:rPr>
        <w:t>H.   Ayuntamiento   de   Jilotepec   (2013),   </w:t>
      </w:r>
      <w:r>
        <w:rPr>
          <w:b/>
          <w:sz w:val="22"/>
        </w:rPr>
        <w:t>Plan  de   Desarrollo   Municipal 2013-2015,</w:t>
      </w:r>
    </w:p>
    <w:p>
      <w:pPr>
        <w:pStyle w:val="BodyText"/>
        <w:spacing w:before="128"/>
        <w:ind w:left="102"/>
        <w:jc w:val="both"/>
      </w:pPr>
      <w:r>
        <w:rPr/>
        <w:t>Dirección de Planeación, Evaluación y Seguimiento, Jilotepec, México.</w:t>
      </w:r>
    </w:p>
    <w:p>
      <w:pPr>
        <w:pStyle w:val="BodyText"/>
      </w:pPr>
    </w:p>
    <w:p>
      <w:pPr>
        <w:pStyle w:val="BodyText"/>
        <w:spacing w:before="8"/>
        <w:rPr>
          <w:sz w:val="21"/>
        </w:rPr>
      </w:pPr>
    </w:p>
    <w:p>
      <w:pPr>
        <w:spacing w:before="0"/>
        <w:ind w:left="102" w:right="0" w:firstLine="0"/>
        <w:jc w:val="both"/>
        <w:rPr>
          <w:b/>
          <w:sz w:val="22"/>
        </w:rPr>
      </w:pPr>
      <w:r>
        <w:rPr>
          <w:sz w:val="22"/>
        </w:rPr>
        <w:t>H.  Ayuntamiento  de  Polotitlán  (2013),   </w:t>
      </w:r>
      <w:r>
        <w:rPr>
          <w:b/>
          <w:sz w:val="22"/>
        </w:rPr>
        <w:t>Plan  de  Desarrollo  Municipal       2013-2015,</w:t>
      </w:r>
    </w:p>
    <w:p>
      <w:pPr>
        <w:pStyle w:val="BodyText"/>
        <w:spacing w:before="129"/>
        <w:ind w:left="102"/>
        <w:jc w:val="both"/>
      </w:pPr>
      <w:r>
        <w:rPr/>
        <w:t>Dirección de Planeación, Evaluación y Seguimiento, Polotitlán, México.</w:t>
      </w:r>
    </w:p>
    <w:p>
      <w:pPr>
        <w:pStyle w:val="BodyText"/>
      </w:pPr>
    </w:p>
    <w:p>
      <w:pPr>
        <w:pStyle w:val="BodyText"/>
        <w:spacing w:before="10"/>
        <w:rPr>
          <w:sz w:val="21"/>
        </w:rPr>
      </w:pPr>
    </w:p>
    <w:p>
      <w:pPr>
        <w:spacing w:line="362" w:lineRule="auto" w:before="1"/>
        <w:ind w:left="102" w:right="0" w:firstLine="0"/>
        <w:jc w:val="left"/>
        <w:rPr>
          <w:sz w:val="22"/>
        </w:rPr>
      </w:pPr>
      <w:r>
        <w:rPr>
          <w:sz w:val="22"/>
        </w:rPr>
        <w:t>H. Ayuntamiento de Timilpan (2009), </w:t>
      </w:r>
      <w:r>
        <w:rPr>
          <w:b/>
          <w:sz w:val="22"/>
        </w:rPr>
        <w:t>Plan de Desarrollo Municipal 2009-2012, </w:t>
      </w:r>
      <w:r>
        <w:rPr>
          <w:sz w:val="22"/>
        </w:rPr>
        <w:t>Dirección de Planeación, Evaluación y Seguimiento, Timilpan, México.</w:t>
      </w:r>
    </w:p>
    <w:p>
      <w:pPr>
        <w:spacing w:before="197"/>
        <w:ind w:left="102" w:right="0" w:firstLine="0"/>
        <w:jc w:val="both"/>
        <w:rPr>
          <w:sz w:val="22"/>
        </w:rPr>
      </w:pPr>
      <w:r>
        <w:rPr>
          <w:sz w:val="22"/>
        </w:rPr>
        <w:t>H. Ayuntamiento de Timilpan (2013), </w:t>
      </w:r>
      <w:r>
        <w:rPr>
          <w:b/>
          <w:sz w:val="22"/>
        </w:rPr>
        <w:t>Bando Municipal, </w:t>
      </w:r>
      <w:r>
        <w:rPr>
          <w:sz w:val="22"/>
        </w:rPr>
        <w:t>México.</w:t>
      </w:r>
    </w:p>
    <w:p>
      <w:pPr>
        <w:spacing w:after="0"/>
        <w:jc w:val="both"/>
        <w:rPr>
          <w:sz w:val="22"/>
        </w:rPr>
        <w:sectPr>
          <w:pgSz w:w="12240" w:h="15840"/>
          <w:pgMar w:header="0" w:footer="1512" w:top="1360" w:bottom="1700" w:left="1600" w:right="1580"/>
        </w:sectPr>
      </w:pPr>
    </w:p>
    <w:p>
      <w:pPr>
        <w:spacing w:line="364" w:lineRule="auto" w:before="51"/>
        <w:ind w:left="102" w:right="112" w:firstLine="0"/>
        <w:jc w:val="both"/>
        <w:rPr>
          <w:sz w:val="22"/>
        </w:rPr>
      </w:pPr>
      <w:r>
        <w:rPr>
          <w:sz w:val="22"/>
        </w:rPr>
        <w:t>H. Ayuntamiento de Timilpan (2013), </w:t>
      </w:r>
      <w:r>
        <w:rPr>
          <w:b/>
          <w:sz w:val="22"/>
        </w:rPr>
        <w:t>Plan de Desarrollo Municipal 2013-2015, </w:t>
      </w:r>
      <w:r>
        <w:rPr>
          <w:sz w:val="22"/>
        </w:rPr>
        <w:t>Dirección de Planeación, Evaluación y Seguimiento, Timilpan, México.</w:t>
      </w:r>
    </w:p>
    <w:p>
      <w:pPr>
        <w:pStyle w:val="BodyText"/>
        <w:spacing w:before="7"/>
        <w:rPr>
          <w:sz w:val="32"/>
        </w:rPr>
      </w:pPr>
    </w:p>
    <w:p>
      <w:pPr>
        <w:spacing w:line="362" w:lineRule="auto" w:before="0"/>
        <w:ind w:left="102" w:right="117" w:firstLine="0"/>
        <w:jc w:val="both"/>
        <w:rPr>
          <w:sz w:val="22"/>
        </w:rPr>
      </w:pPr>
      <w:r>
        <w:rPr>
          <w:sz w:val="22"/>
        </w:rPr>
        <w:t>Habermas, J. (2000), </w:t>
      </w:r>
      <w:r>
        <w:rPr>
          <w:b/>
          <w:sz w:val="22"/>
        </w:rPr>
        <w:t>Más allá del Estado nacional</w:t>
      </w:r>
      <w:r>
        <w:rPr>
          <w:sz w:val="22"/>
        </w:rPr>
        <w:t>, Fondo de Cultura Económica, México.</w:t>
      </w:r>
    </w:p>
    <w:p>
      <w:pPr>
        <w:spacing w:line="362" w:lineRule="auto" w:before="197"/>
        <w:ind w:left="102" w:right="115" w:firstLine="0"/>
        <w:jc w:val="both"/>
        <w:rPr>
          <w:sz w:val="22"/>
        </w:rPr>
      </w:pPr>
      <w:r>
        <w:rPr>
          <w:sz w:val="22"/>
        </w:rPr>
        <w:t>Hardin, Garrett. (1968), </w:t>
      </w:r>
      <w:r>
        <w:rPr>
          <w:b/>
          <w:sz w:val="22"/>
        </w:rPr>
        <w:t>The Tragedy of the Commons</w:t>
      </w:r>
      <w:r>
        <w:rPr>
          <w:sz w:val="22"/>
        </w:rPr>
        <w:t>. Science En Garrett Hardin Exploring New Ethics for Survival (1973).</w:t>
      </w:r>
    </w:p>
    <w:p>
      <w:pPr>
        <w:pStyle w:val="BodyText"/>
        <w:spacing w:before="4"/>
        <w:rPr>
          <w:sz w:val="17"/>
        </w:rPr>
      </w:pPr>
    </w:p>
    <w:p>
      <w:pPr>
        <w:spacing w:line="360" w:lineRule="auto" w:before="0"/>
        <w:ind w:left="102" w:right="114" w:firstLine="0"/>
        <w:jc w:val="both"/>
        <w:rPr>
          <w:sz w:val="22"/>
        </w:rPr>
      </w:pPr>
      <w:r>
        <w:rPr>
          <w:sz w:val="22"/>
        </w:rPr>
        <w:t>Harris, J. (2001), </w:t>
      </w:r>
      <w:r>
        <w:rPr>
          <w:b/>
          <w:sz w:val="22"/>
        </w:rPr>
        <w:t>How Much Difference does Politics Make? Regime Differences Across Indian States Rural and Poverty Reduction</w:t>
      </w:r>
      <w:r>
        <w:rPr>
          <w:sz w:val="22"/>
        </w:rPr>
        <w:t>, Working Paper Series, No. 00-01, , lse Development Studies Institute, Londres.</w:t>
      </w:r>
    </w:p>
    <w:p>
      <w:pPr>
        <w:pStyle w:val="BodyText"/>
        <w:spacing w:before="9"/>
        <w:rPr>
          <w:sz w:val="17"/>
        </w:rPr>
      </w:pPr>
    </w:p>
    <w:p>
      <w:pPr>
        <w:spacing w:line="357" w:lineRule="auto" w:before="0"/>
        <w:ind w:left="102" w:right="114" w:firstLine="0"/>
        <w:jc w:val="both"/>
        <w:rPr>
          <w:sz w:val="22"/>
        </w:rPr>
      </w:pPr>
      <w:r>
        <w:rPr>
          <w:sz w:val="22"/>
        </w:rPr>
        <w:t>Harris, J. (2007), </w:t>
      </w:r>
      <w:r>
        <w:rPr>
          <w:i/>
          <w:sz w:val="22"/>
        </w:rPr>
        <w:t>La política es un río turbio: Pero, ¿existe una 'nueva política' de la </w:t>
      </w:r>
      <w:r>
        <w:rPr>
          <w:i/>
          <w:sz w:val="22"/>
        </w:rPr>
        <w:t>sociedad civil? Perspectivas desde las grandes ciudades de India y América Latina</w:t>
      </w:r>
      <w:r>
        <w:rPr>
          <w:sz w:val="22"/>
        </w:rPr>
        <w:t>, en J. Flores (comp.), </w:t>
      </w:r>
      <w:r>
        <w:rPr>
          <w:b/>
          <w:sz w:val="22"/>
        </w:rPr>
        <w:t>Estado, metrópoli y políticas sociales</w:t>
      </w:r>
      <w:r>
        <w:rPr>
          <w:i/>
          <w:sz w:val="22"/>
        </w:rPr>
        <w:t>,  </w:t>
      </w:r>
      <w:r>
        <w:rPr>
          <w:sz w:val="22"/>
        </w:rPr>
        <w:t>Plaza y Valdés, México.</w:t>
      </w:r>
    </w:p>
    <w:p>
      <w:pPr>
        <w:pStyle w:val="BodyText"/>
        <w:spacing w:before="9"/>
        <w:rPr>
          <w:sz w:val="17"/>
        </w:rPr>
      </w:pPr>
    </w:p>
    <w:p>
      <w:pPr>
        <w:spacing w:before="0"/>
        <w:ind w:left="102" w:right="0" w:firstLine="0"/>
        <w:jc w:val="both"/>
        <w:rPr>
          <w:sz w:val="22"/>
        </w:rPr>
      </w:pPr>
      <w:r>
        <w:rPr>
          <w:sz w:val="22"/>
        </w:rPr>
        <w:t>Hernández, Antonio (2003), </w:t>
      </w:r>
      <w:r>
        <w:rPr>
          <w:b/>
          <w:sz w:val="22"/>
        </w:rPr>
        <w:t>Derecho Municipal</w:t>
      </w:r>
      <w:r>
        <w:rPr>
          <w:sz w:val="22"/>
        </w:rPr>
        <w:t>, UNAM, México.</w:t>
      </w:r>
    </w:p>
    <w:p>
      <w:pPr>
        <w:pStyle w:val="BodyText"/>
        <w:spacing w:before="5"/>
        <w:rPr>
          <w:sz w:val="28"/>
        </w:rPr>
      </w:pPr>
    </w:p>
    <w:p>
      <w:pPr>
        <w:spacing w:line="362" w:lineRule="auto" w:before="1"/>
        <w:ind w:left="102" w:right="115" w:firstLine="0"/>
        <w:jc w:val="both"/>
        <w:rPr>
          <w:sz w:val="22"/>
        </w:rPr>
      </w:pPr>
      <w:r>
        <w:rPr>
          <w:sz w:val="22"/>
        </w:rPr>
        <w:t>Hernández, Julio (2014), </w:t>
      </w:r>
      <w:r>
        <w:rPr>
          <w:b/>
          <w:sz w:val="22"/>
        </w:rPr>
        <w:t>¿Qué es el Comité Comunitario? y su Estructura, </w:t>
      </w:r>
      <w:r>
        <w:rPr>
          <w:sz w:val="22"/>
        </w:rPr>
        <w:t>Gobierno  de Nuevo León,</w:t>
      </w:r>
      <w:r>
        <w:rPr>
          <w:spacing w:val="-7"/>
          <w:sz w:val="22"/>
        </w:rPr>
        <w:t> </w:t>
      </w:r>
      <w:r>
        <w:rPr>
          <w:sz w:val="22"/>
        </w:rPr>
        <w:t>México</w:t>
      </w:r>
    </w:p>
    <w:p>
      <w:pPr>
        <w:pStyle w:val="BodyText"/>
        <w:spacing w:before="2"/>
        <w:rPr>
          <w:sz w:val="17"/>
        </w:rPr>
      </w:pPr>
    </w:p>
    <w:p>
      <w:pPr>
        <w:spacing w:line="360" w:lineRule="auto" w:before="0"/>
        <w:ind w:left="102" w:right="117" w:firstLine="0"/>
        <w:jc w:val="both"/>
        <w:rPr>
          <w:sz w:val="22"/>
        </w:rPr>
      </w:pPr>
      <w:r>
        <w:rPr>
          <w:sz w:val="22"/>
        </w:rPr>
        <w:t>Hewitt, Cynthia (1988), </w:t>
      </w:r>
      <w:r>
        <w:rPr>
          <w:b/>
          <w:sz w:val="22"/>
        </w:rPr>
        <w:t>Imágenes del campo. La interpretación antropológica del México rural</w:t>
      </w:r>
      <w:r>
        <w:rPr>
          <w:sz w:val="22"/>
        </w:rPr>
        <w:t>, El Colegio de México, México.</w:t>
      </w:r>
    </w:p>
    <w:p>
      <w:pPr>
        <w:pStyle w:val="BodyText"/>
        <w:spacing w:before="9"/>
        <w:rPr>
          <w:sz w:val="17"/>
        </w:rPr>
      </w:pPr>
    </w:p>
    <w:p>
      <w:pPr>
        <w:spacing w:line="360" w:lineRule="auto" w:before="0"/>
        <w:ind w:left="102" w:right="114" w:firstLine="0"/>
        <w:jc w:val="both"/>
        <w:rPr>
          <w:sz w:val="22"/>
        </w:rPr>
      </w:pPr>
      <w:r>
        <w:rPr>
          <w:sz w:val="22"/>
        </w:rPr>
        <w:t>Hufty, Mark (2004), </w:t>
      </w:r>
      <w:r>
        <w:rPr>
          <w:b/>
          <w:sz w:val="22"/>
        </w:rPr>
        <w:t>Marco conceptual de la gobernanza. Una propuesta para concretizar el concepto de la gobernanza</w:t>
      </w:r>
      <w:r>
        <w:rPr>
          <w:sz w:val="22"/>
        </w:rPr>
        <w:t>, Instituto Universitario de Estudios del Desarrollo, Ginebra.</w:t>
      </w:r>
    </w:p>
    <w:p>
      <w:pPr>
        <w:pStyle w:val="BodyText"/>
        <w:spacing w:before="4"/>
        <w:rPr>
          <w:sz w:val="17"/>
        </w:rPr>
      </w:pPr>
    </w:p>
    <w:p>
      <w:pPr>
        <w:spacing w:line="362" w:lineRule="auto" w:before="0"/>
        <w:ind w:left="102" w:right="113" w:firstLine="0"/>
        <w:jc w:val="both"/>
        <w:rPr>
          <w:sz w:val="22"/>
        </w:rPr>
      </w:pPr>
      <w:r>
        <w:rPr>
          <w:sz w:val="22"/>
        </w:rPr>
        <w:t>Hufty, Mark, Eduardo Bascolo y Roberto Bazzani (2006), </w:t>
      </w:r>
      <w:r>
        <w:rPr>
          <w:b/>
          <w:sz w:val="22"/>
        </w:rPr>
        <w:t>Gobernanza en salud: un aporte conceptual y analítico para la investigación</w:t>
      </w:r>
      <w:r>
        <w:rPr>
          <w:sz w:val="22"/>
        </w:rPr>
        <w:t>, Cad. Saúde Pública, 22, Río de Janeiro.</w:t>
      </w:r>
    </w:p>
    <w:p>
      <w:pPr>
        <w:spacing w:line="360" w:lineRule="auto" w:before="197"/>
        <w:ind w:left="102" w:right="116" w:firstLine="0"/>
        <w:jc w:val="both"/>
        <w:rPr>
          <w:sz w:val="22"/>
        </w:rPr>
      </w:pPr>
      <w:r>
        <w:rPr>
          <w:sz w:val="22"/>
        </w:rPr>
        <w:t>IDRC (International Development Research Centre) (2003), </w:t>
      </w:r>
      <w:r>
        <w:rPr>
          <w:b/>
          <w:sz w:val="22"/>
        </w:rPr>
        <w:t>El agua y la gobernanza. Contribución de la investigación en los Andes</w:t>
      </w:r>
      <w:r>
        <w:rPr>
          <w:sz w:val="22"/>
        </w:rPr>
        <w:t>, Iniciativa del Programa Minga del Centro Internacional de Investigaciones para el Desarrollo, Otawa.</w:t>
      </w:r>
    </w:p>
    <w:p>
      <w:pPr>
        <w:spacing w:after="0" w:line="360" w:lineRule="auto"/>
        <w:jc w:val="both"/>
        <w:rPr>
          <w:sz w:val="22"/>
        </w:rPr>
        <w:sectPr>
          <w:pgSz w:w="12240" w:h="15840"/>
          <w:pgMar w:header="0" w:footer="1512" w:top="1360" w:bottom="1700" w:left="1600" w:right="1580"/>
        </w:sectPr>
      </w:pPr>
    </w:p>
    <w:p>
      <w:pPr>
        <w:spacing w:line="362" w:lineRule="auto" w:before="51"/>
        <w:ind w:left="102" w:right="114" w:firstLine="0"/>
        <w:jc w:val="both"/>
        <w:rPr>
          <w:sz w:val="22"/>
        </w:rPr>
      </w:pPr>
      <w:r>
        <w:rPr>
          <w:sz w:val="22"/>
        </w:rPr>
        <w:t>Instituto Nacional de Estadística e Informática (INEGI) (2010), </w:t>
      </w:r>
      <w:r>
        <w:rPr>
          <w:b/>
          <w:sz w:val="22"/>
        </w:rPr>
        <w:t>Censo de Población y Vivienda, </w:t>
      </w:r>
      <w:r>
        <w:rPr>
          <w:sz w:val="22"/>
        </w:rPr>
        <w:t>INEGI, México.</w:t>
      </w:r>
    </w:p>
    <w:p>
      <w:pPr>
        <w:pStyle w:val="BodyText"/>
        <w:spacing w:before="4"/>
        <w:rPr>
          <w:sz w:val="17"/>
        </w:rPr>
      </w:pPr>
    </w:p>
    <w:p>
      <w:pPr>
        <w:pStyle w:val="Heading6"/>
        <w:spacing w:line="360" w:lineRule="auto"/>
        <w:ind w:right="121"/>
        <w:jc w:val="both"/>
        <w:rPr>
          <w:b w:val="0"/>
        </w:rPr>
      </w:pPr>
      <w:r>
        <w:rPr>
          <w:b w:val="0"/>
        </w:rPr>
        <w:t>Iskandar, A. J.–3. (2009), </w:t>
      </w:r>
      <w:r>
        <w:rPr/>
        <w:t>Participatory water management at the main canal: A case from South Ferghana canal in Uzbekistan. Agricultural water management</w:t>
      </w:r>
      <w:r>
        <w:rPr>
          <w:b w:val="0"/>
        </w:rPr>
        <w:t>.</w:t>
      </w:r>
    </w:p>
    <w:p>
      <w:pPr>
        <w:pStyle w:val="BodyText"/>
        <w:spacing w:before="9"/>
        <w:rPr>
          <w:sz w:val="17"/>
        </w:rPr>
      </w:pPr>
    </w:p>
    <w:p>
      <w:pPr>
        <w:spacing w:line="360" w:lineRule="auto" w:before="0"/>
        <w:ind w:left="102" w:right="114" w:firstLine="0"/>
        <w:jc w:val="both"/>
        <w:rPr>
          <w:sz w:val="22"/>
        </w:rPr>
      </w:pPr>
      <w:r>
        <w:rPr>
          <w:sz w:val="22"/>
        </w:rPr>
        <w:t>Iza, Alejandro Omar y Grethel Aguilar (2006), </w:t>
      </w:r>
      <w:r>
        <w:rPr>
          <w:b/>
          <w:sz w:val="22"/>
        </w:rPr>
        <w:t>Gobernanza de aguas compartidas: aspectos jurídicos e institucionales</w:t>
      </w:r>
      <w:r>
        <w:rPr>
          <w:sz w:val="22"/>
        </w:rPr>
        <w:t>, Unión Internacional para la Conservación de la Naturaleza y los Recursos Naturales-Mesoamérica, San José, Costa Rica.</w:t>
      </w:r>
    </w:p>
    <w:p>
      <w:pPr>
        <w:pStyle w:val="BodyText"/>
        <w:spacing w:before="4"/>
        <w:rPr>
          <w:sz w:val="17"/>
        </w:rPr>
      </w:pPr>
    </w:p>
    <w:p>
      <w:pPr>
        <w:spacing w:line="362" w:lineRule="auto" w:before="0"/>
        <w:ind w:left="102" w:right="114" w:firstLine="0"/>
        <w:jc w:val="both"/>
        <w:rPr>
          <w:sz w:val="22"/>
        </w:rPr>
      </w:pPr>
      <w:r>
        <w:rPr>
          <w:sz w:val="22"/>
        </w:rPr>
        <w:t>Iza, Alejandro Omar y Marta Brunilda Rovere (2006), </w:t>
      </w:r>
      <w:r>
        <w:rPr>
          <w:b/>
          <w:sz w:val="22"/>
        </w:rPr>
        <w:t>Gobernanza del agua en América del Sur. Dimensión ambiental</w:t>
      </w:r>
      <w:r>
        <w:rPr>
          <w:sz w:val="22"/>
        </w:rPr>
        <w:t>, Centro de Derecho Ambiental de la Unión Internacional para la Conservación de la Naturaleza y los Recursos Naturales- Mesoamérica, Gland, Suiza-Cambridge, Reino Unido.</w:t>
      </w:r>
    </w:p>
    <w:p>
      <w:pPr>
        <w:spacing w:line="362" w:lineRule="auto" w:before="197"/>
        <w:ind w:left="102" w:right="115" w:firstLine="0"/>
        <w:jc w:val="both"/>
        <w:rPr>
          <w:sz w:val="22"/>
        </w:rPr>
      </w:pPr>
      <w:r>
        <w:rPr>
          <w:sz w:val="22"/>
        </w:rPr>
        <w:t>Jaramillo, César (1996), </w:t>
      </w:r>
      <w:r>
        <w:rPr>
          <w:b/>
          <w:sz w:val="22"/>
        </w:rPr>
        <w:t>La ingeniería social: un desafío investigativo </w:t>
      </w:r>
      <w:r>
        <w:rPr>
          <w:sz w:val="22"/>
        </w:rPr>
        <w:t>en Revista Universidad Eafit, Vo. 32, No. 104, Colombia.</w:t>
      </w:r>
    </w:p>
    <w:p>
      <w:pPr>
        <w:pStyle w:val="BodyText"/>
        <w:spacing w:before="4"/>
        <w:rPr>
          <w:sz w:val="17"/>
        </w:rPr>
      </w:pPr>
    </w:p>
    <w:p>
      <w:pPr>
        <w:spacing w:line="360" w:lineRule="auto" w:before="0"/>
        <w:ind w:left="102" w:right="115" w:firstLine="0"/>
        <w:jc w:val="both"/>
        <w:rPr>
          <w:sz w:val="22"/>
        </w:rPr>
      </w:pPr>
      <w:r>
        <w:rPr>
          <w:sz w:val="22"/>
        </w:rPr>
        <w:t>King, Keohane y Verba (2000), </w:t>
      </w:r>
      <w:r>
        <w:rPr>
          <w:b/>
          <w:sz w:val="22"/>
        </w:rPr>
        <w:t>Causalidad e inferencia causal, en el diseño de la investigación científica</w:t>
      </w:r>
      <w:r>
        <w:rPr>
          <w:sz w:val="22"/>
        </w:rPr>
        <w:t>, Alianza Editorial, Madrid.</w:t>
      </w:r>
    </w:p>
    <w:p>
      <w:pPr>
        <w:pStyle w:val="BodyText"/>
        <w:spacing w:before="7"/>
        <w:rPr>
          <w:sz w:val="17"/>
        </w:rPr>
      </w:pPr>
    </w:p>
    <w:p>
      <w:pPr>
        <w:spacing w:line="360" w:lineRule="auto" w:before="0"/>
        <w:ind w:left="102" w:right="116" w:firstLine="0"/>
        <w:jc w:val="both"/>
        <w:rPr>
          <w:sz w:val="22"/>
        </w:rPr>
      </w:pPr>
      <w:r>
        <w:rPr>
          <w:sz w:val="22"/>
        </w:rPr>
        <w:t>Kooiman, Jan (2003), </w:t>
      </w:r>
      <w:r>
        <w:rPr>
          <w:b/>
          <w:sz w:val="22"/>
        </w:rPr>
        <w:t>Governing as Governance. Governance, governing and interaction</w:t>
      </w:r>
      <w:r>
        <w:rPr>
          <w:sz w:val="22"/>
        </w:rPr>
        <w:t>, Sage, Londres, en Canto, Rodolfo (2012) </w:t>
      </w:r>
      <w:r>
        <w:rPr>
          <w:b/>
          <w:sz w:val="22"/>
        </w:rPr>
        <w:t>Gobernanza y democracia de vuelta al río turbio de la política, </w:t>
      </w:r>
      <w:r>
        <w:rPr>
          <w:sz w:val="22"/>
        </w:rPr>
        <w:t>en Gestión y Política Pública, Volumen XXI, Número 2, Segundo Semestre de 2012, México.</w:t>
      </w:r>
    </w:p>
    <w:p>
      <w:pPr>
        <w:pStyle w:val="BodyText"/>
        <w:spacing w:before="7"/>
        <w:rPr>
          <w:sz w:val="17"/>
        </w:rPr>
      </w:pPr>
    </w:p>
    <w:p>
      <w:pPr>
        <w:spacing w:line="362" w:lineRule="auto" w:before="0"/>
        <w:ind w:left="102" w:right="112" w:firstLine="0"/>
        <w:jc w:val="both"/>
        <w:rPr>
          <w:sz w:val="22"/>
        </w:rPr>
      </w:pPr>
      <w:r>
        <w:rPr>
          <w:sz w:val="22"/>
        </w:rPr>
        <w:t>Kuhn (1969), </w:t>
      </w:r>
      <w:r>
        <w:rPr>
          <w:b/>
          <w:sz w:val="22"/>
        </w:rPr>
        <w:t>La Estructura de las Revoluciones Científicas</w:t>
      </w:r>
      <w:r>
        <w:rPr>
          <w:sz w:val="22"/>
        </w:rPr>
        <w:t>, </w:t>
      </w:r>
      <w:r>
        <w:rPr>
          <w:b/>
          <w:sz w:val="22"/>
        </w:rPr>
        <w:t>Posdata</w:t>
      </w:r>
      <w:r>
        <w:rPr>
          <w:sz w:val="22"/>
        </w:rPr>
        <w:t>, Fondo de Cultura Económica,</w:t>
      </w:r>
      <w:r>
        <w:rPr>
          <w:spacing w:val="-7"/>
          <w:sz w:val="22"/>
        </w:rPr>
        <w:t> </w:t>
      </w:r>
      <w:r>
        <w:rPr>
          <w:sz w:val="22"/>
        </w:rPr>
        <w:t>México.</w:t>
      </w:r>
    </w:p>
    <w:p>
      <w:pPr>
        <w:spacing w:line="364" w:lineRule="auto" w:before="197"/>
        <w:ind w:left="102" w:right="114" w:firstLine="0"/>
        <w:jc w:val="both"/>
        <w:rPr>
          <w:sz w:val="22"/>
        </w:rPr>
      </w:pPr>
      <w:r>
        <w:rPr>
          <w:sz w:val="22"/>
        </w:rPr>
        <w:t>Kuhn (1972), </w:t>
      </w:r>
      <w:r>
        <w:rPr>
          <w:b/>
          <w:sz w:val="22"/>
        </w:rPr>
        <w:t>La estructura de las revoluciones científicas</w:t>
      </w:r>
      <w:r>
        <w:rPr>
          <w:sz w:val="22"/>
        </w:rPr>
        <w:t>, Fondo de Cultura Económica, México.</w:t>
      </w:r>
    </w:p>
    <w:p>
      <w:pPr>
        <w:spacing w:line="362" w:lineRule="auto" w:before="196"/>
        <w:ind w:left="102" w:right="116" w:firstLine="0"/>
        <w:jc w:val="both"/>
        <w:rPr>
          <w:sz w:val="22"/>
        </w:rPr>
      </w:pPr>
      <w:r>
        <w:rPr>
          <w:sz w:val="22"/>
        </w:rPr>
        <w:t>LAN (</w:t>
      </w:r>
      <w:r>
        <w:rPr>
          <w:b/>
          <w:sz w:val="22"/>
        </w:rPr>
        <w:t>Ley de Aguas Nacionales) </w:t>
      </w:r>
      <w:r>
        <w:rPr>
          <w:sz w:val="22"/>
        </w:rPr>
        <w:t>(2012)</w:t>
      </w:r>
      <w:r>
        <w:rPr>
          <w:b/>
          <w:sz w:val="22"/>
        </w:rPr>
        <w:t>, </w:t>
      </w:r>
      <w:r>
        <w:rPr>
          <w:sz w:val="22"/>
        </w:rPr>
        <w:t>Diario Oficial de la Federación 08-06-2012, México.</w:t>
      </w:r>
    </w:p>
    <w:p>
      <w:pPr>
        <w:pStyle w:val="BodyText"/>
        <w:spacing w:before="4"/>
        <w:rPr>
          <w:sz w:val="17"/>
        </w:rPr>
      </w:pPr>
    </w:p>
    <w:p>
      <w:pPr>
        <w:spacing w:line="549" w:lineRule="auto" w:before="0"/>
        <w:ind w:left="102" w:right="2253" w:firstLine="0"/>
        <w:jc w:val="left"/>
        <w:rPr>
          <w:sz w:val="22"/>
        </w:rPr>
      </w:pPr>
      <w:r>
        <w:rPr>
          <w:sz w:val="22"/>
        </w:rPr>
        <w:t>LAND (1975) </w:t>
      </w:r>
      <w:r>
        <w:rPr>
          <w:b/>
          <w:sz w:val="22"/>
        </w:rPr>
        <w:t>Social indicator models: an overview</w:t>
      </w:r>
      <w:r>
        <w:rPr>
          <w:sz w:val="22"/>
        </w:rPr>
        <w:t>, Sage.. Laswell y Kaplan (1950), </w:t>
      </w:r>
      <w:r>
        <w:rPr>
          <w:b/>
          <w:sz w:val="22"/>
        </w:rPr>
        <w:t>Power and Society</w:t>
      </w:r>
      <w:r>
        <w:rPr>
          <w:i/>
          <w:sz w:val="22"/>
        </w:rPr>
        <w:t>, </w:t>
      </w:r>
      <w:r>
        <w:rPr>
          <w:sz w:val="22"/>
        </w:rPr>
        <w:t>Yale University</w:t>
      </w:r>
      <w:r>
        <w:rPr>
          <w:spacing w:val="-12"/>
          <w:sz w:val="22"/>
        </w:rPr>
        <w:t> </w:t>
      </w:r>
      <w:r>
        <w:rPr>
          <w:sz w:val="22"/>
        </w:rPr>
        <w:t>Press.</w:t>
      </w:r>
    </w:p>
    <w:p>
      <w:pPr>
        <w:spacing w:after="0" w:line="549" w:lineRule="auto"/>
        <w:jc w:val="left"/>
        <w:rPr>
          <w:sz w:val="22"/>
        </w:rPr>
        <w:sectPr>
          <w:pgSz w:w="12240" w:h="15840"/>
          <w:pgMar w:header="0" w:footer="1512" w:top="1360" w:bottom="1700" w:left="1600" w:right="1580"/>
        </w:sectPr>
      </w:pPr>
    </w:p>
    <w:p>
      <w:pPr>
        <w:spacing w:line="360" w:lineRule="auto" w:before="53"/>
        <w:ind w:left="102" w:right="116" w:firstLine="0"/>
        <w:jc w:val="both"/>
        <w:rPr>
          <w:sz w:val="22"/>
        </w:rPr>
      </w:pPr>
      <w:r>
        <w:rPr>
          <w:sz w:val="22"/>
        </w:rPr>
        <w:t>Lazos, Rubén (2006), </w:t>
      </w:r>
      <w:r>
        <w:rPr>
          <w:i/>
          <w:sz w:val="22"/>
        </w:rPr>
        <w:t>Proyecto de gestión ambiental de la cuenca del lago de Pátzcuaro, </w:t>
      </w:r>
      <w:r>
        <w:rPr>
          <w:sz w:val="22"/>
        </w:rPr>
        <w:t>en Ávila, Patricia (Coordinadora), </w:t>
      </w:r>
      <w:r>
        <w:rPr>
          <w:b/>
          <w:sz w:val="22"/>
        </w:rPr>
        <w:t>Agua y lagos. Una mirada desde lo global hasta lo local</w:t>
      </w:r>
      <w:r>
        <w:rPr>
          <w:sz w:val="22"/>
        </w:rPr>
        <w:t>, Biblioteca Michoacana, México.</w:t>
      </w:r>
    </w:p>
    <w:p>
      <w:pPr>
        <w:pStyle w:val="BodyText"/>
        <w:spacing w:before="9"/>
        <w:rPr>
          <w:sz w:val="17"/>
        </w:rPr>
      </w:pPr>
    </w:p>
    <w:p>
      <w:pPr>
        <w:spacing w:line="360" w:lineRule="auto" w:before="0"/>
        <w:ind w:left="102" w:right="112" w:firstLine="0"/>
        <w:jc w:val="both"/>
        <w:rPr>
          <w:sz w:val="22"/>
        </w:rPr>
      </w:pPr>
      <w:r>
        <w:rPr>
          <w:sz w:val="22"/>
        </w:rPr>
        <w:t>Leal, Juan Felipe (1986), </w:t>
      </w:r>
      <w:r>
        <w:rPr>
          <w:i/>
          <w:sz w:val="22"/>
        </w:rPr>
        <w:t>Campesinado, haciendas y Estado en México: 1856-1914</w:t>
      </w:r>
      <w:r>
        <w:rPr>
          <w:sz w:val="22"/>
        </w:rPr>
        <w:t>, en Secuencia, Revista americana de ciencias sociales, Instituto de Investigaciones Dr. José María Luis Mora, mayo-agosto, México.</w:t>
      </w:r>
    </w:p>
    <w:p>
      <w:pPr>
        <w:pStyle w:val="BodyText"/>
        <w:spacing w:before="7"/>
        <w:rPr>
          <w:sz w:val="17"/>
        </w:rPr>
      </w:pPr>
    </w:p>
    <w:p>
      <w:pPr>
        <w:spacing w:line="360" w:lineRule="auto" w:before="0"/>
        <w:ind w:left="102" w:right="120" w:firstLine="0"/>
        <w:jc w:val="both"/>
        <w:rPr>
          <w:sz w:val="22"/>
        </w:rPr>
      </w:pPr>
      <w:r>
        <w:rPr>
          <w:sz w:val="22"/>
        </w:rPr>
        <w:t>Leandro Sequeiros (2012), </w:t>
      </w:r>
      <w:r>
        <w:rPr>
          <w:b/>
          <w:sz w:val="22"/>
        </w:rPr>
        <w:t>Las propuestas de Thomas S. Kuhn siguen vivas después de medio siglo, </w:t>
      </w:r>
      <w:r>
        <w:rPr>
          <w:sz w:val="22"/>
        </w:rPr>
        <w:t>Tendencias 21, Universidad Pontifica, Madrid, España</w:t>
      </w:r>
    </w:p>
    <w:p>
      <w:pPr>
        <w:pStyle w:val="BodyText"/>
        <w:spacing w:before="7"/>
        <w:rPr>
          <w:sz w:val="17"/>
        </w:rPr>
      </w:pPr>
    </w:p>
    <w:p>
      <w:pPr>
        <w:spacing w:line="362" w:lineRule="auto" w:before="0"/>
        <w:ind w:left="102" w:right="117" w:firstLine="0"/>
        <w:jc w:val="both"/>
        <w:rPr>
          <w:sz w:val="22"/>
        </w:rPr>
      </w:pPr>
      <w:r>
        <w:rPr>
          <w:sz w:val="22"/>
        </w:rPr>
        <w:t>Long, Norman (2003), </w:t>
      </w:r>
      <w:r>
        <w:rPr>
          <w:b/>
          <w:sz w:val="22"/>
        </w:rPr>
        <w:t>An Actor-Oriented Approach to Development Intervention. In Rural Life Improvement in Asia</w:t>
      </w:r>
      <w:r>
        <w:rPr>
          <w:sz w:val="22"/>
        </w:rPr>
        <w:t>, informe de the Asian Productivity Organization Seminar on Rural Life Improvement for Community Development, Tokio.</w:t>
      </w:r>
    </w:p>
    <w:p>
      <w:pPr>
        <w:spacing w:line="362" w:lineRule="auto" w:before="197"/>
        <w:ind w:left="102" w:right="114" w:firstLine="0"/>
        <w:jc w:val="both"/>
        <w:rPr>
          <w:sz w:val="22"/>
        </w:rPr>
      </w:pPr>
      <w:r>
        <w:rPr>
          <w:sz w:val="22"/>
        </w:rPr>
        <w:t>López Francisco (2015), </w:t>
      </w:r>
      <w:r>
        <w:rPr>
          <w:b/>
          <w:sz w:val="22"/>
        </w:rPr>
        <w:t>¿Agua para vender o agua para beber?</w:t>
      </w:r>
      <w:r>
        <w:rPr>
          <w:sz w:val="22"/>
        </w:rPr>
        <w:t>, La Jornada: Videochat,</w:t>
      </w:r>
      <w:r>
        <w:rPr>
          <w:spacing w:val="-6"/>
          <w:sz w:val="22"/>
        </w:rPr>
        <w:t> </w:t>
      </w:r>
      <w:r>
        <w:rPr>
          <w:sz w:val="22"/>
        </w:rPr>
        <w:t>México.</w:t>
      </w:r>
    </w:p>
    <w:p>
      <w:pPr>
        <w:pStyle w:val="BodyText"/>
        <w:spacing w:before="4"/>
        <w:rPr>
          <w:sz w:val="17"/>
        </w:rPr>
      </w:pPr>
    </w:p>
    <w:p>
      <w:pPr>
        <w:spacing w:line="362" w:lineRule="auto" w:before="0"/>
        <w:ind w:left="102" w:right="116" w:firstLine="0"/>
        <w:jc w:val="both"/>
        <w:rPr>
          <w:sz w:val="22"/>
        </w:rPr>
      </w:pPr>
      <w:r>
        <w:rPr>
          <w:sz w:val="22"/>
        </w:rPr>
        <w:t>Malinowsky, B., (1976), </w:t>
      </w:r>
      <w:r>
        <w:rPr>
          <w:b/>
          <w:sz w:val="22"/>
        </w:rPr>
        <w:t>El Método Etnográfico. Los Argonautas del Pacifico Sur</w:t>
      </w:r>
      <w:r>
        <w:rPr>
          <w:sz w:val="22"/>
        </w:rPr>
        <w:t>. Madrid, Editorial península, España.</w:t>
      </w:r>
    </w:p>
    <w:p>
      <w:pPr>
        <w:pStyle w:val="BodyText"/>
        <w:spacing w:before="5"/>
        <w:rPr>
          <w:sz w:val="17"/>
        </w:rPr>
      </w:pPr>
    </w:p>
    <w:p>
      <w:pPr>
        <w:spacing w:line="360" w:lineRule="auto" w:before="0"/>
        <w:ind w:left="102" w:right="116" w:firstLine="0"/>
        <w:jc w:val="both"/>
        <w:rPr>
          <w:sz w:val="22"/>
        </w:rPr>
      </w:pPr>
      <w:r>
        <w:rPr>
          <w:sz w:val="22"/>
        </w:rPr>
        <w:t>Martínez, Estela; Adolfo Álvarez; Luis. A. García; y Carmen del Valle, coords. (1999), </w:t>
      </w:r>
      <w:r>
        <w:rPr>
          <w:b/>
          <w:sz w:val="22"/>
        </w:rPr>
        <w:t>Dinámica del sistema lechero mexicano en el marco regional y global</w:t>
      </w:r>
      <w:r>
        <w:rPr>
          <w:sz w:val="22"/>
        </w:rPr>
        <w:t>, Ed. Plaza y Valdés, Universidad Nacional Autónoma de México y Universidad Autónoma Metropolitana, México.</w:t>
      </w:r>
    </w:p>
    <w:p>
      <w:pPr>
        <w:pStyle w:val="BodyText"/>
      </w:pPr>
    </w:p>
    <w:p>
      <w:pPr>
        <w:spacing w:line="360" w:lineRule="auto" w:before="132"/>
        <w:ind w:left="102" w:right="112" w:firstLine="0"/>
        <w:jc w:val="both"/>
        <w:rPr>
          <w:sz w:val="22"/>
        </w:rPr>
      </w:pPr>
      <w:r>
        <w:rPr>
          <w:sz w:val="22"/>
        </w:rPr>
        <w:t>Maya, Diana Lucia; Castillo, Daniel; Ramos, Pablo Andrés y Roldán, Ana María (2004), </w:t>
      </w:r>
      <w:r>
        <w:rPr>
          <w:b/>
          <w:sz w:val="22"/>
        </w:rPr>
        <w:t>Análisis de la acción colectiva para el Manejo de cuencas Estudio piloto-cuenca de la Presa de Fúquene, </w:t>
      </w:r>
      <w:r>
        <w:rPr>
          <w:sz w:val="22"/>
        </w:rPr>
        <w:t>Agencia de Cooperación Técnica Alemana –GTZ-, Consorcio para el Desarrollo Sostenible de la Ecorregión Andina CONDENSAN, Corporación Autónoma Regional para el desarrollo sostenible de Cundinamarca, Colombia.</w:t>
      </w:r>
    </w:p>
    <w:p>
      <w:pPr>
        <w:pStyle w:val="BodyText"/>
        <w:spacing w:before="7"/>
        <w:rPr>
          <w:sz w:val="17"/>
        </w:rPr>
      </w:pPr>
    </w:p>
    <w:p>
      <w:pPr>
        <w:spacing w:line="360" w:lineRule="auto" w:before="0"/>
        <w:ind w:left="102" w:right="113" w:firstLine="0"/>
        <w:jc w:val="both"/>
        <w:rPr>
          <w:sz w:val="22"/>
        </w:rPr>
      </w:pPr>
      <w:r>
        <w:rPr>
          <w:sz w:val="22"/>
        </w:rPr>
        <w:t>Méndez, Nelson y Vallota, Alfredo (2006), </w:t>
      </w:r>
      <w:r>
        <w:rPr>
          <w:b/>
          <w:sz w:val="22"/>
        </w:rPr>
        <w:t>Una perspectiva anarquista de la autogestión</w:t>
      </w:r>
      <w:r>
        <w:rPr>
          <w:sz w:val="22"/>
        </w:rPr>
        <w:t>, Revista Venezolana de Economia y Ciencias Sociales, vol. 12, nº 1 (ene.- abr.), Venezuela.</w:t>
      </w:r>
    </w:p>
    <w:p>
      <w:pPr>
        <w:spacing w:after="0" w:line="360" w:lineRule="auto"/>
        <w:jc w:val="both"/>
        <w:rPr>
          <w:sz w:val="22"/>
        </w:rPr>
        <w:sectPr>
          <w:pgSz w:w="12240" w:h="15840"/>
          <w:pgMar w:header="0" w:footer="1512" w:top="1360" w:bottom="1700" w:left="1600" w:right="1580"/>
        </w:sectPr>
      </w:pPr>
    </w:p>
    <w:p>
      <w:pPr>
        <w:spacing w:line="360" w:lineRule="auto" w:before="53"/>
        <w:ind w:left="102" w:right="117" w:firstLine="0"/>
        <w:jc w:val="both"/>
        <w:rPr>
          <w:sz w:val="22"/>
        </w:rPr>
      </w:pPr>
      <w:r>
        <w:rPr>
          <w:sz w:val="22"/>
        </w:rPr>
        <w:t>Mendoza, Roberto (2005), </w:t>
      </w:r>
      <w:r>
        <w:rPr>
          <w:i/>
          <w:sz w:val="22"/>
        </w:rPr>
        <w:t>Cultura, Auto–concepto e Intervención Psicosocial en la </w:t>
      </w:r>
      <w:r>
        <w:rPr>
          <w:i/>
          <w:sz w:val="22"/>
        </w:rPr>
        <w:t>Sociedad Brasileña</w:t>
      </w:r>
      <w:r>
        <w:rPr>
          <w:sz w:val="22"/>
        </w:rPr>
        <w:t>, en Revista Interamericana de Psicología/Interamerican Journal of Psychology, Vol. II, Universidad Federal de Campina Grande, Paraíba, Brasil.</w:t>
      </w:r>
    </w:p>
    <w:p>
      <w:pPr>
        <w:pStyle w:val="BodyText"/>
      </w:pPr>
    </w:p>
    <w:p>
      <w:pPr>
        <w:spacing w:line="360" w:lineRule="auto" w:before="127"/>
        <w:ind w:left="102" w:right="118" w:firstLine="0"/>
        <w:jc w:val="both"/>
        <w:rPr>
          <w:sz w:val="22"/>
        </w:rPr>
      </w:pPr>
      <w:r>
        <w:rPr>
          <w:sz w:val="22"/>
        </w:rPr>
        <w:t>Meyer, Lorenzo (2007), </w:t>
      </w:r>
      <w:r>
        <w:rPr>
          <w:b/>
          <w:sz w:val="22"/>
        </w:rPr>
        <w:t>El municipio mexicano al final del siglo XX, historia, obstáculos y posibilidades</w:t>
      </w:r>
      <w:r>
        <w:rPr>
          <w:sz w:val="22"/>
        </w:rPr>
        <w:t>, Fondo de Cultura Económica, México.</w:t>
      </w:r>
    </w:p>
    <w:p>
      <w:pPr>
        <w:pStyle w:val="BodyText"/>
      </w:pPr>
    </w:p>
    <w:p>
      <w:pPr>
        <w:spacing w:line="360" w:lineRule="auto" w:before="129"/>
        <w:ind w:left="102" w:right="116" w:firstLine="0"/>
        <w:jc w:val="both"/>
        <w:rPr>
          <w:sz w:val="22"/>
        </w:rPr>
      </w:pPr>
      <w:r>
        <w:rPr>
          <w:sz w:val="22"/>
        </w:rPr>
        <w:t>Morales, Daniel (1993), </w:t>
      </w:r>
      <w:r>
        <w:rPr>
          <w:b/>
          <w:sz w:val="22"/>
        </w:rPr>
        <w:t>El desafío social en el desarrollo: de la política económica a  la política social, </w:t>
      </w:r>
      <w:r>
        <w:rPr>
          <w:sz w:val="22"/>
        </w:rPr>
        <w:t>en investigación en política social: propuesta para una agenda futura, CIID,</w:t>
      </w:r>
      <w:r>
        <w:rPr>
          <w:spacing w:val="-7"/>
          <w:sz w:val="22"/>
        </w:rPr>
        <w:t> </w:t>
      </w:r>
      <w:r>
        <w:rPr>
          <w:sz w:val="22"/>
        </w:rPr>
        <w:t>Ottawa.</w:t>
      </w:r>
    </w:p>
    <w:p>
      <w:pPr>
        <w:pStyle w:val="BodyText"/>
        <w:spacing w:before="5"/>
        <w:rPr>
          <w:sz w:val="24"/>
        </w:rPr>
      </w:pPr>
    </w:p>
    <w:p>
      <w:pPr>
        <w:pStyle w:val="BodyText"/>
        <w:ind w:left="102"/>
        <w:jc w:val="both"/>
      </w:pPr>
      <w:r>
        <w:rPr/>
        <w:t>Moreau, P. (2003), </w:t>
      </w:r>
      <w:r>
        <w:rPr>
          <w:b/>
        </w:rPr>
        <w:t>La gouvernance</w:t>
      </w:r>
      <w:r>
        <w:rPr/>
        <w:t>, PUF, colección Que sais-je ?, no. 3676, Paris.</w:t>
      </w:r>
    </w:p>
    <w:p>
      <w:pPr>
        <w:pStyle w:val="BodyText"/>
      </w:pPr>
    </w:p>
    <w:p>
      <w:pPr>
        <w:spacing w:line="360" w:lineRule="auto" w:before="154"/>
        <w:ind w:left="102" w:right="116" w:firstLine="0"/>
        <w:jc w:val="both"/>
        <w:rPr>
          <w:sz w:val="22"/>
        </w:rPr>
      </w:pPr>
      <w:r>
        <w:rPr>
          <w:sz w:val="22"/>
        </w:rPr>
        <w:t>Morrisey G. J. (1996a), </w:t>
      </w:r>
      <w:r>
        <w:rPr>
          <w:b/>
          <w:sz w:val="22"/>
        </w:rPr>
        <w:t>Pensamiento estratégico. Construya los cimientos de su planeación, </w:t>
      </w:r>
      <w:r>
        <w:rPr>
          <w:sz w:val="22"/>
        </w:rPr>
        <w:t>Prentice-Hall Hispanoamericana, México.</w:t>
      </w:r>
    </w:p>
    <w:p>
      <w:pPr>
        <w:pStyle w:val="BodyText"/>
      </w:pPr>
    </w:p>
    <w:p>
      <w:pPr>
        <w:spacing w:before="129"/>
        <w:ind w:left="102" w:right="0" w:firstLine="0"/>
        <w:jc w:val="both"/>
        <w:rPr>
          <w:b/>
          <w:sz w:val="22"/>
        </w:rPr>
      </w:pPr>
      <w:r>
        <w:rPr>
          <w:sz w:val="22"/>
        </w:rPr>
        <w:t>Morrisey  G.  J.  (1996b),  </w:t>
      </w:r>
      <w:r>
        <w:rPr>
          <w:b/>
          <w:sz w:val="22"/>
        </w:rPr>
        <w:t>Planeación  a  largo  plazo.  Creando  su  propia  estrategia,</w:t>
      </w:r>
    </w:p>
    <w:p>
      <w:pPr>
        <w:pStyle w:val="BodyText"/>
        <w:spacing w:before="128"/>
        <w:ind w:left="102"/>
        <w:jc w:val="both"/>
      </w:pPr>
      <w:r>
        <w:rPr/>
        <w:t>Prentice-Hall Hispanoamericana, México.</w:t>
      </w:r>
    </w:p>
    <w:p>
      <w:pPr>
        <w:pStyle w:val="BodyText"/>
        <w:spacing w:before="3"/>
        <w:rPr>
          <w:sz w:val="28"/>
        </w:rPr>
      </w:pPr>
    </w:p>
    <w:p>
      <w:pPr>
        <w:spacing w:before="1"/>
        <w:ind w:left="102" w:right="0" w:firstLine="0"/>
        <w:jc w:val="both"/>
        <w:rPr>
          <w:b/>
          <w:sz w:val="22"/>
        </w:rPr>
      </w:pPr>
      <w:r>
        <w:rPr>
          <w:sz w:val="22"/>
        </w:rPr>
        <w:t>Morrisey G. J. (1996c), </w:t>
      </w:r>
      <w:r>
        <w:rPr>
          <w:b/>
          <w:sz w:val="22"/>
        </w:rPr>
        <w:t>Planeación táctica. Produciendo resultados en corto plazo,</w:t>
      </w:r>
    </w:p>
    <w:p>
      <w:pPr>
        <w:pStyle w:val="BodyText"/>
        <w:spacing w:before="5"/>
        <w:rPr>
          <w:b/>
          <w:sz w:val="28"/>
        </w:rPr>
      </w:pPr>
    </w:p>
    <w:p>
      <w:pPr>
        <w:spacing w:line="360" w:lineRule="auto" w:before="1"/>
        <w:ind w:left="102" w:right="116" w:firstLine="0"/>
        <w:jc w:val="both"/>
        <w:rPr>
          <w:sz w:val="22"/>
        </w:rPr>
      </w:pPr>
      <w:r>
        <w:rPr>
          <w:sz w:val="22"/>
        </w:rPr>
        <w:t>Mumme, Stephen P. (2006), </w:t>
      </w:r>
      <w:r>
        <w:rPr>
          <w:i/>
          <w:sz w:val="22"/>
        </w:rPr>
        <w:t>Resolviendo las disputas por el agua entre México y Estados </w:t>
      </w:r>
      <w:r>
        <w:rPr>
          <w:i/>
          <w:sz w:val="22"/>
        </w:rPr>
        <w:t>Unidos de América: el reto binacional, </w:t>
      </w:r>
      <w:r>
        <w:rPr>
          <w:sz w:val="22"/>
        </w:rPr>
        <w:t>en Ávila, Patricia (Coordinadora), </w:t>
      </w:r>
      <w:r>
        <w:rPr>
          <w:b/>
          <w:sz w:val="22"/>
        </w:rPr>
        <w:t>Agua y lagos. Una mirada desde lo global hasta lo local</w:t>
      </w:r>
      <w:r>
        <w:rPr>
          <w:sz w:val="22"/>
        </w:rPr>
        <w:t>, México, Biblioteca Michoacana.</w:t>
      </w:r>
    </w:p>
    <w:p>
      <w:pPr>
        <w:pStyle w:val="BodyText"/>
        <w:spacing w:before="7"/>
        <w:rPr>
          <w:sz w:val="17"/>
        </w:rPr>
      </w:pPr>
    </w:p>
    <w:p>
      <w:pPr>
        <w:spacing w:line="362" w:lineRule="auto" w:before="0"/>
        <w:ind w:left="102" w:right="118" w:firstLine="0"/>
        <w:jc w:val="both"/>
        <w:rPr>
          <w:sz w:val="22"/>
        </w:rPr>
      </w:pPr>
      <w:r>
        <w:rPr>
          <w:sz w:val="22"/>
        </w:rPr>
        <w:t>Naussbaum, M. y Sen, A (1993) (Eds.), </w:t>
      </w:r>
      <w:r>
        <w:rPr>
          <w:b/>
          <w:sz w:val="22"/>
        </w:rPr>
        <w:t>The Quality of Life</w:t>
      </w:r>
      <w:r>
        <w:rPr>
          <w:sz w:val="22"/>
        </w:rPr>
        <w:t>. Oxford University Press. Oxford.</w:t>
      </w:r>
    </w:p>
    <w:p>
      <w:pPr>
        <w:pStyle w:val="BodyText"/>
        <w:spacing w:before="4"/>
        <w:rPr>
          <w:sz w:val="17"/>
        </w:rPr>
      </w:pPr>
    </w:p>
    <w:p>
      <w:pPr>
        <w:spacing w:line="362" w:lineRule="auto" w:before="0"/>
        <w:ind w:left="102" w:right="114" w:firstLine="0"/>
        <w:jc w:val="both"/>
        <w:rPr>
          <w:sz w:val="22"/>
        </w:rPr>
      </w:pPr>
      <w:r>
        <w:rPr>
          <w:sz w:val="22"/>
        </w:rPr>
        <w:t>Newbold Adams, Richard (1978), </w:t>
      </w:r>
      <w:r>
        <w:rPr>
          <w:b/>
          <w:sz w:val="22"/>
        </w:rPr>
        <w:t>La red de la expansión humana, </w:t>
      </w:r>
      <w:r>
        <w:rPr>
          <w:sz w:val="22"/>
        </w:rPr>
        <w:t>ediciones de la casa chata, México.</w:t>
      </w:r>
    </w:p>
    <w:p>
      <w:pPr>
        <w:pStyle w:val="BodyText"/>
        <w:spacing w:before="10"/>
        <w:rPr>
          <w:sz w:val="32"/>
        </w:rPr>
      </w:pPr>
    </w:p>
    <w:p>
      <w:pPr>
        <w:spacing w:before="0"/>
        <w:ind w:left="102" w:right="0" w:firstLine="0"/>
        <w:jc w:val="both"/>
        <w:rPr>
          <w:sz w:val="22"/>
        </w:rPr>
      </w:pPr>
      <w:r>
        <w:rPr>
          <w:sz w:val="22"/>
        </w:rPr>
        <w:t>Núñez,  Maribel  (2008),  </w:t>
      </w:r>
      <w:r>
        <w:rPr>
          <w:b/>
          <w:sz w:val="22"/>
        </w:rPr>
        <w:t>La  tradición hermenéutica  en la Sociología contemporánea</w:t>
      </w:r>
      <w:r>
        <w:rPr>
          <w:sz w:val="22"/>
        </w:rPr>
        <w:t>,</w:t>
      </w:r>
    </w:p>
    <w:p>
      <w:pPr>
        <w:pStyle w:val="BodyText"/>
        <w:spacing w:before="128"/>
        <w:ind w:left="102"/>
        <w:jc w:val="both"/>
      </w:pPr>
      <w:r>
        <w:rPr/>
        <w:t>M.A. Porrúa-Tecnológico de Monterrey, México.</w:t>
      </w:r>
    </w:p>
    <w:p>
      <w:pPr>
        <w:spacing w:after="0"/>
        <w:jc w:val="both"/>
        <w:sectPr>
          <w:pgSz w:w="12240" w:h="15840"/>
          <w:pgMar w:header="0" w:footer="1512" w:top="1360" w:bottom="1700" w:left="1600" w:right="1580"/>
        </w:sectPr>
      </w:pPr>
    </w:p>
    <w:p>
      <w:pPr>
        <w:spacing w:line="360" w:lineRule="auto" w:before="51"/>
        <w:ind w:left="102" w:right="115" w:firstLine="0"/>
        <w:jc w:val="both"/>
        <w:rPr>
          <w:sz w:val="22"/>
        </w:rPr>
      </w:pPr>
      <w:r>
        <w:rPr>
          <w:sz w:val="22"/>
        </w:rPr>
        <w:t>Office of the New York State Comptroller, ONYSC (2003), </w:t>
      </w:r>
      <w:r>
        <w:rPr>
          <w:b/>
          <w:sz w:val="22"/>
        </w:rPr>
        <w:t>Intermunicipal Cooperation and Consolidations: Exploring Opportunities for Savings and Improved Services Delivery, </w:t>
      </w:r>
      <w:r>
        <w:rPr>
          <w:sz w:val="22"/>
        </w:rPr>
        <w:t>Albany, Office of the New York State Comptroller Report.</w:t>
      </w:r>
    </w:p>
    <w:p>
      <w:pPr>
        <w:pStyle w:val="BodyText"/>
        <w:spacing w:before="7"/>
        <w:rPr>
          <w:sz w:val="17"/>
        </w:rPr>
      </w:pPr>
    </w:p>
    <w:p>
      <w:pPr>
        <w:spacing w:line="360" w:lineRule="auto" w:before="0"/>
        <w:ind w:left="102" w:right="118" w:firstLine="0"/>
        <w:jc w:val="both"/>
        <w:rPr>
          <w:sz w:val="22"/>
        </w:rPr>
      </w:pPr>
      <w:r>
        <w:rPr>
          <w:sz w:val="22"/>
        </w:rPr>
        <w:t>Olivera, Mercedes (1978), </w:t>
      </w:r>
      <w:r>
        <w:rPr>
          <w:b/>
          <w:sz w:val="22"/>
        </w:rPr>
        <w:t>Pillis y macehuales. Las formaciones sociales y los modos de producción de Tecali del siglo XII al XVI</w:t>
      </w:r>
      <w:r>
        <w:rPr>
          <w:sz w:val="22"/>
        </w:rPr>
        <w:t>, Ediciones de la casa chata, México.</w:t>
      </w:r>
    </w:p>
    <w:p>
      <w:pPr>
        <w:pStyle w:val="BodyText"/>
        <w:spacing w:before="9"/>
        <w:rPr>
          <w:sz w:val="17"/>
        </w:rPr>
      </w:pPr>
    </w:p>
    <w:p>
      <w:pPr>
        <w:spacing w:line="360" w:lineRule="auto" w:before="0"/>
        <w:ind w:left="102" w:right="117" w:firstLine="0"/>
        <w:jc w:val="both"/>
        <w:rPr>
          <w:sz w:val="22"/>
        </w:rPr>
      </w:pPr>
      <w:r>
        <w:rPr>
          <w:sz w:val="22"/>
        </w:rPr>
        <w:t>Olson, Mancur (1965), </w:t>
      </w:r>
      <w:r>
        <w:rPr>
          <w:b/>
          <w:sz w:val="22"/>
        </w:rPr>
        <w:t>The Logic of Collective Action: Public Goods and the Theory  of Groups</w:t>
      </w:r>
      <w:r>
        <w:rPr>
          <w:sz w:val="22"/>
        </w:rPr>
        <w:t>, </w:t>
      </w:r>
      <w:r>
        <w:rPr>
          <w:color w:val="242424"/>
          <w:sz w:val="22"/>
        </w:rPr>
        <w:t>Harvard University</w:t>
      </w:r>
      <w:r>
        <w:rPr>
          <w:color w:val="242424"/>
          <w:spacing w:val="-7"/>
          <w:sz w:val="22"/>
        </w:rPr>
        <w:t> </w:t>
      </w:r>
      <w:r>
        <w:rPr>
          <w:color w:val="242424"/>
          <w:sz w:val="22"/>
        </w:rPr>
        <w:t>Press.</w:t>
      </w:r>
    </w:p>
    <w:p>
      <w:pPr>
        <w:pStyle w:val="BodyText"/>
        <w:spacing w:before="7"/>
        <w:rPr>
          <w:sz w:val="17"/>
        </w:rPr>
      </w:pPr>
    </w:p>
    <w:p>
      <w:pPr>
        <w:spacing w:line="360" w:lineRule="auto" w:before="0"/>
        <w:ind w:left="102" w:right="116" w:firstLine="0"/>
        <w:jc w:val="both"/>
        <w:rPr>
          <w:sz w:val="22"/>
        </w:rPr>
      </w:pPr>
      <w:r>
        <w:rPr>
          <w:sz w:val="22"/>
        </w:rPr>
        <w:t>Olson, Mancur (1975), </w:t>
      </w:r>
      <w:r>
        <w:rPr>
          <w:b/>
          <w:sz w:val="22"/>
        </w:rPr>
        <w:t>Measurement and Efficiency in Education, </w:t>
      </w:r>
      <w:r>
        <w:rPr>
          <w:sz w:val="22"/>
        </w:rPr>
        <w:t>en Educational Indicators: Monitoring the State of Education, Conference, Educational Testing Service, Princeton.</w:t>
      </w:r>
    </w:p>
    <w:p>
      <w:pPr>
        <w:pStyle w:val="BodyText"/>
        <w:spacing w:before="7"/>
        <w:rPr>
          <w:sz w:val="17"/>
        </w:rPr>
      </w:pPr>
    </w:p>
    <w:p>
      <w:pPr>
        <w:spacing w:line="360" w:lineRule="auto" w:before="0"/>
        <w:ind w:left="102" w:right="119" w:firstLine="0"/>
        <w:jc w:val="both"/>
        <w:rPr>
          <w:sz w:val="22"/>
        </w:rPr>
      </w:pPr>
      <w:r>
        <w:rPr>
          <w:sz w:val="22"/>
        </w:rPr>
        <w:t>ONU-Agua (2008), </w:t>
      </w:r>
      <w:r>
        <w:rPr>
          <w:b/>
          <w:sz w:val="22"/>
        </w:rPr>
        <w:t>Status Report on Integrated Water Resources Management and Water Efficiency Plans </w:t>
      </w:r>
      <w:r>
        <w:rPr>
          <w:sz w:val="22"/>
        </w:rPr>
        <w:t>,ONU.</w:t>
      </w:r>
    </w:p>
    <w:p>
      <w:pPr>
        <w:pStyle w:val="BodyText"/>
        <w:spacing w:before="7"/>
        <w:rPr>
          <w:sz w:val="17"/>
        </w:rPr>
      </w:pPr>
    </w:p>
    <w:p>
      <w:pPr>
        <w:spacing w:before="0"/>
        <w:ind w:left="102" w:right="0" w:firstLine="0"/>
        <w:jc w:val="both"/>
        <w:rPr>
          <w:sz w:val="22"/>
        </w:rPr>
      </w:pPr>
      <w:r>
        <w:rPr>
          <w:sz w:val="22"/>
        </w:rPr>
        <w:t>Oro Tapia, Luis (2003), </w:t>
      </w:r>
      <w:r>
        <w:rPr>
          <w:b/>
          <w:sz w:val="22"/>
        </w:rPr>
        <w:t>¿Qué es la Política?</w:t>
      </w:r>
      <w:r>
        <w:rPr>
          <w:sz w:val="22"/>
        </w:rPr>
        <w:t>, Ril Editores, Santiago de Chile.</w:t>
      </w:r>
    </w:p>
    <w:p>
      <w:pPr>
        <w:pStyle w:val="BodyText"/>
        <w:spacing w:before="5"/>
        <w:rPr>
          <w:sz w:val="28"/>
        </w:rPr>
      </w:pPr>
    </w:p>
    <w:p>
      <w:pPr>
        <w:spacing w:line="362" w:lineRule="auto" w:before="1"/>
        <w:ind w:left="102" w:right="117" w:firstLine="0"/>
        <w:jc w:val="both"/>
        <w:rPr>
          <w:sz w:val="22"/>
        </w:rPr>
      </w:pPr>
      <w:r>
        <w:rPr>
          <w:sz w:val="22"/>
        </w:rPr>
        <w:t>Ostrom, Elinor (1994), </w:t>
      </w:r>
      <w:r>
        <w:rPr>
          <w:b/>
          <w:sz w:val="22"/>
        </w:rPr>
        <w:t>Rules, Games &amp; Commons-Pool Resources</w:t>
      </w:r>
      <w:r>
        <w:rPr>
          <w:sz w:val="22"/>
        </w:rPr>
        <w:t>, The University of Michigan Press.</w:t>
      </w:r>
    </w:p>
    <w:p>
      <w:pPr>
        <w:pStyle w:val="BodyText"/>
        <w:spacing w:before="2"/>
        <w:rPr>
          <w:sz w:val="17"/>
        </w:rPr>
      </w:pPr>
    </w:p>
    <w:p>
      <w:pPr>
        <w:spacing w:line="364" w:lineRule="auto" w:before="0"/>
        <w:ind w:left="102" w:right="115" w:firstLine="0"/>
        <w:jc w:val="both"/>
        <w:rPr>
          <w:sz w:val="22"/>
        </w:rPr>
      </w:pPr>
      <w:r>
        <w:rPr>
          <w:sz w:val="22"/>
        </w:rPr>
        <w:t>Ostrom, Elinor (2000), </w:t>
      </w:r>
      <w:r>
        <w:rPr>
          <w:b/>
          <w:sz w:val="22"/>
        </w:rPr>
        <w:t>El Gobierno de los Bienes Comunes, </w:t>
      </w:r>
      <w:r>
        <w:rPr>
          <w:sz w:val="22"/>
        </w:rPr>
        <w:t>Fondo de Cultura Económica, México.</w:t>
      </w:r>
    </w:p>
    <w:p>
      <w:pPr>
        <w:spacing w:line="360" w:lineRule="auto" w:before="195"/>
        <w:ind w:left="102" w:right="118" w:firstLine="0"/>
        <w:jc w:val="both"/>
        <w:rPr>
          <w:sz w:val="22"/>
        </w:rPr>
      </w:pPr>
      <w:r>
        <w:rPr>
          <w:sz w:val="22"/>
        </w:rPr>
        <w:t>Ostrom, Elinor (2011), </w:t>
      </w:r>
      <w:r>
        <w:rPr>
          <w:b/>
          <w:sz w:val="22"/>
        </w:rPr>
        <w:t>El gobierno de los bienes comunes. La evolución de las instituciones de Acción Colectiva, </w:t>
      </w:r>
      <w:r>
        <w:rPr>
          <w:sz w:val="22"/>
        </w:rPr>
        <w:t>Fondo de Cultura Económica y UNAM, México.</w:t>
      </w:r>
    </w:p>
    <w:p>
      <w:pPr>
        <w:pStyle w:val="BodyText"/>
        <w:spacing w:before="9"/>
        <w:rPr>
          <w:sz w:val="17"/>
        </w:rPr>
      </w:pPr>
    </w:p>
    <w:p>
      <w:pPr>
        <w:spacing w:line="360" w:lineRule="auto" w:before="0"/>
        <w:ind w:left="102" w:right="114" w:firstLine="0"/>
        <w:jc w:val="both"/>
        <w:rPr>
          <w:sz w:val="22"/>
        </w:rPr>
      </w:pPr>
      <w:r>
        <w:rPr>
          <w:sz w:val="22"/>
        </w:rPr>
        <w:t>Palerm, Ángel (1969), </w:t>
      </w:r>
      <w:r>
        <w:rPr>
          <w:i/>
          <w:sz w:val="22"/>
        </w:rPr>
        <w:t>La investigación social: problemas y posibilidades</w:t>
      </w:r>
      <w:r>
        <w:rPr>
          <w:sz w:val="22"/>
        </w:rPr>
        <w:t>, en </w:t>
      </w:r>
      <w:r>
        <w:rPr>
          <w:b/>
          <w:sz w:val="22"/>
        </w:rPr>
        <w:t>Los  recursos humanos y el desarrollo agrícola</w:t>
      </w:r>
      <w:r>
        <w:rPr>
          <w:sz w:val="22"/>
        </w:rPr>
        <w:t>, Ediciones Productividad,</w:t>
      </w:r>
      <w:r>
        <w:rPr>
          <w:spacing w:val="-15"/>
          <w:sz w:val="22"/>
        </w:rPr>
        <w:t> </w:t>
      </w:r>
      <w:r>
        <w:rPr>
          <w:sz w:val="22"/>
        </w:rPr>
        <w:t>México.</w:t>
      </w:r>
    </w:p>
    <w:p>
      <w:pPr>
        <w:pStyle w:val="BodyText"/>
        <w:spacing w:before="9"/>
        <w:rPr>
          <w:sz w:val="17"/>
        </w:rPr>
      </w:pPr>
    </w:p>
    <w:p>
      <w:pPr>
        <w:spacing w:line="357" w:lineRule="auto" w:before="0"/>
        <w:ind w:left="102" w:right="115" w:firstLine="0"/>
        <w:jc w:val="both"/>
        <w:rPr>
          <w:sz w:val="22"/>
        </w:rPr>
      </w:pPr>
      <w:r>
        <w:rPr>
          <w:sz w:val="22"/>
        </w:rPr>
        <w:t>Palerm, Ángel (1972) </w:t>
      </w:r>
      <w:r>
        <w:rPr>
          <w:i/>
          <w:sz w:val="22"/>
        </w:rPr>
        <w:t>Ensayo de crítica al desarrollo regional en México, </w:t>
      </w:r>
      <w:r>
        <w:rPr>
          <w:sz w:val="22"/>
        </w:rPr>
        <w:t>en David Barkin (Compilador), </w:t>
      </w:r>
      <w:r>
        <w:rPr>
          <w:b/>
          <w:sz w:val="22"/>
        </w:rPr>
        <w:t>Los beneficiarios del desarrollo regional, </w:t>
      </w:r>
      <w:r>
        <w:rPr>
          <w:sz w:val="22"/>
        </w:rPr>
        <w:t>S.E.P./SETENTAS, México.</w:t>
      </w:r>
    </w:p>
    <w:p>
      <w:pPr>
        <w:pStyle w:val="BodyText"/>
        <w:rPr>
          <w:sz w:val="18"/>
        </w:rPr>
      </w:pPr>
    </w:p>
    <w:p>
      <w:pPr>
        <w:spacing w:before="0"/>
        <w:ind w:left="102" w:right="0" w:firstLine="0"/>
        <w:jc w:val="both"/>
        <w:rPr>
          <w:sz w:val="22"/>
        </w:rPr>
      </w:pPr>
      <w:r>
        <w:rPr>
          <w:sz w:val="22"/>
        </w:rPr>
        <w:t>Palerm, Ángel (1989) </w:t>
      </w:r>
      <w:r>
        <w:rPr>
          <w:b/>
          <w:sz w:val="22"/>
        </w:rPr>
        <w:t>Antropología y marxismo. Nueva Imagen</w:t>
      </w:r>
      <w:r>
        <w:rPr>
          <w:sz w:val="22"/>
        </w:rPr>
        <w:t>, México.</w:t>
      </w:r>
    </w:p>
    <w:p>
      <w:pPr>
        <w:pStyle w:val="BodyText"/>
        <w:spacing w:before="3"/>
        <w:rPr>
          <w:sz w:val="28"/>
        </w:rPr>
      </w:pPr>
    </w:p>
    <w:p>
      <w:pPr>
        <w:spacing w:line="360" w:lineRule="auto" w:before="0"/>
        <w:ind w:left="102" w:right="115" w:firstLine="0"/>
        <w:jc w:val="both"/>
        <w:rPr>
          <w:sz w:val="22"/>
        </w:rPr>
      </w:pPr>
      <w:r>
        <w:rPr>
          <w:sz w:val="22"/>
        </w:rPr>
        <w:t>Pérez,    Fernando    (2013),     </w:t>
      </w:r>
      <w:r>
        <w:rPr>
          <w:b/>
          <w:sz w:val="22"/>
        </w:rPr>
        <w:t>Bases     constitucionales     y     fuerzas     políticas   en la gestión social del agua, </w:t>
      </w:r>
      <w:r>
        <w:rPr>
          <w:sz w:val="22"/>
        </w:rPr>
        <w:t>Coloquio “Política, Economía y Gestión del Agua en México”, UNAM, México,</w:t>
      </w:r>
      <w:r>
        <w:rPr>
          <w:spacing w:val="-7"/>
          <w:sz w:val="22"/>
        </w:rPr>
        <w:t> </w:t>
      </w:r>
      <w:r>
        <w:rPr>
          <w:sz w:val="22"/>
        </w:rPr>
        <w:t>D.F.</w:t>
      </w:r>
    </w:p>
    <w:p>
      <w:pPr>
        <w:spacing w:after="0" w:line="360" w:lineRule="auto"/>
        <w:jc w:val="both"/>
        <w:rPr>
          <w:sz w:val="22"/>
        </w:rPr>
        <w:sectPr>
          <w:footerReference w:type="default" r:id="rId787"/>
          <w:pgSz w:w="12240" w:h="15840"/>
          <w:pgMar w:footer="1512" w:header="0" w:top="1360" w:bottom="1700" w:left="1600" w:right="1580"/>
          <w:pgNumType w:start="900"/>
        </w:sectPr>
      </w:pPr>
    </w:p>
    <w:p>
      <w:pPr>
        <w:spacing w:line="362" w:lineRule="auto" w:before="51"/>
        <w:ind w:left="102" w:right="116" w:firstLine="0"/>
        <w:jc w:val="both"/>
        <w:rPr>
          <w:sz w:val="22"/>
        </w:rPr>
      </w:pPr>
      <w:r>
        <w:rPr>
          <w:sz w:val="22"/>
        </w:rPr>
        <w:t>Pérez, Marisol (2014), </w:t>
      </w:r>
      <w:r>
        <w:rPr>
          <w:b/>
          <w:sz w:val="22"/>
        </w:rPr>
        <w:t>De Franz Boas a Ángel Palerm, </w:t>
      </w:r>
      <w:r>
        <w:rPr>
          <w:sz w:val="22"/>
        </w:rPr>
        <w:t>en Revista de Antropología Social: Desacatos, Núm. 45, CIESAS,</w:t>
      </w:r>
      <w:r>
        <w:rPr>
          <w:spacing w:val="-13"/>
          <w:sz w:val="22"/>
        </w:rPr>
        <w:t> </w:t>
      </w:r>
      <w:r>
        <w:rPr>
          <w:sz w:val="22"/>
        </w:rPr>
        <w:t>México.</w:t>
      </w:r>
    </w:p>
    <w:p>
      <w:pPr>
        <w:pStyle w:val="BodyText"/>
        <w:spacing w:before="3"/>
        <w:rPr>
          <w:sz w:val="24"/>
        </w:rPr>
      </w:pPr>
    </w:p>
    <w:p>
      <w:pPr>
        <w:spacing w:line="362" w:lineRule="auto" w:before="0"/>
        <w:ind w:left="102" w:right="116" w:firstLine="0"/>
        <w:jc w:val="both"/>
        <w:rPr>
          <w:sz w:val="22"/>
        </w:rPr>
      </w:pPr>
      <w:r>
        <w:rPr>
          <w:sz w:val="22"/>
        </w:rPr>
        <w:t>Piña, Román (1976), </w:t>
      </w:r>
      <w:r>
        <w:rPr>
          <w:b/>
          <w:sz w:val="22"/>
        </w:rPr>
        <w:t>Investigación sobre Huamango y Región Vecina, </w:t>
      </w:r>
      <w:r>
        <w:rPr>
          <w:sz w:val="22"/>
        </w:rPr>
        <w:t>Volumen I, Gobierno del Estado de México, México.</w:t>
      </w:r>
    </w:p>
    <w:p>
      <w:pPr>
        <w:pStyle w:val="BodyText"/>
        <w:spacing w:before="4"/>
        <w:rPr>
          <w:sz w:val="17"/>
        </w:rPr>
      </w:pPr>
    </w:p>
    <w:p>
      <w:pPr>
        <w:spacing w:line="360" w:lineRule="auto" w:before="0"/>
        <w:ind w:left="102" w:right="115" w:firstLine="0"/>
        <w:jc w:val="both"/>
        <w:rPr>
          <w:sz w:val="22"/>
        </w:rPr>
      </w:pPr>
      <w:r>
        <w:rPr>
          <w:sz w:val="22"/>
        </w:rPr>
        <w:t>Programa de las Naciones Unidas para el Desarrollo (PNUD) (2006), </w:t>
      </w:r>
      <w:r>
        <w:rPr>
          <w:b/>
          <w:sz w:val="22"/>
        </w:rPr>
        <w:t>Informe Sobre Desarrollo Humano, </w:t>
      </w:r>
      <w:r>
        <w:rPr>
          <w:sz w:val="22"/>
        </w:rPr>
        <w:t>Mundi-Prensa México s.a. de C.V., México.</w:t>
      </w:r>
    </w:p>
    <w:p>
      <w:pPr>
        <w:pStyle w:val="BodyText"/>
        <w:spacing w:before="9"/>
        <w:rPr>
          <w:sz w:val="17"/>
        </w:rPr>
      </w:pPr>
    </w:p>
    <w:p>
      <w:pPr>
        <w:spacing w:line="360" w:lineRule="auto" w:before="0"/>
        <w:ind w:left="102" w:right="116" w:firstLine="0"/>
        <w:jc w:val="both"/>
        <w:rPr>
          <w:sz w:val="22"/>
        </w:rPr>
      </w:pPr>
      <w:r>
        <w:rPr>
          <w:sz w:val="22"/>
        </w:rPr>
        <w:t>Programa Hidrológico Internacional para América Latina y el Caribe (PHI-LAC) (2012), </w:t>
      </w:r>
      <w:r>
        <w:rPr>
          <w:b/>
          <w:sz w:val="22"/>
        </w:rPr>
        <w:t>Prevención de Conflictos y Cooperación en la Gestión de los Recursos Hídricos en América Latina</w:t>
      </w:r>
      <w:r>
        <w:rPr>
          <w:sz w:val="22"/>
        </w:rPr>
        <w:t>, UNESCO, México.</w:t>
      </w:r>
    </w:p>
    <w:p>
      <w:pPr>
        <w:pStyle w:val="BodyText"/>
        <w:spacing w:before="7"/>
        <w:rPr>
          <w:sz w:val="17"/>
        </w:rPr>
      </w:pPr>
    </w:p>
    <w:p>
      <w:pPr>
        <w:spacing w:line="362" w:lineRule="auto" w:before="0"/>
        <w:ind w:left="102" w:right="116" w:firstLine="0"/>
        <w:jc w:val="both"/>
        <w:rPr>
          <w:sz w:val="22"/>
        </w:rPr>
      </w:pPr>
      <w:r>
        <w:rPr>
          <w:sz w:val="22"/>
        </w:rPr>
        <w:t>Quintana (2000), </w:t>
      </w:r>
      <w:r>
        <w:rPr>
          <w:b/>
          <w:sz w:val="22"/>
        </w:rPr>
        <w:t>La participación social en cuatro municipios del Estado de México</w:t>
      </w:r>
      <w:r>
        <w:rPr>
          <w:sz w:val="22"/>
        </w:rPr>
        <w:t>, UNAM, México.</w:t>
      </w:r>
    </w:p>
    <w:p>
      <w:pPr>
        <w:pStyle w:val="BodyText"/>
        <w:spacing w:before="4"/>
        <w:rPr>
          <w:sz w:val="17"/>
        </w:rPr>
      </w:pPr>
    </w:p>
    <w:p>
      <w:pPr>
        <w:spacing w:line="360" w:lineRule="auto" w:before="0"/>
        <w:ind w:left="102" w:right="115" w:firstLine="0"/>
        <w:jc w:val="both"/>
        <w:rPr>
          <w:sz w:val="22"/>
        </w:rPr>
      </w:pPr>
      <w:r>
        <w:rPr>
          <w:sz w:val="22"/>
        </w:rPr>
        <w:t>Quintana, Carlos Francisco (2013), </w:t>
      </w:r>
      <w:r>
        <w:rPr>
          <w:b/>
          <w:sz w:val="22"/>
        </w:rPr>
        <w:t>Nuevas Formas de Interrelación Política de los Ayuntamientos, </w:t>
      </w:r>
      <w:r>
        <w:rPr>
          <w:sz w:val="22"/>
        </w:rPr>
        <w:t>en Valencia, Salvador (Coordinador) </w:t>
      </w:r>
      <w:r>
        <w:rPr>
          <w:b/>
          <w:sz w:val="22"/>
        </w:rPr>
        <w:t>El Municipio en México y El mundo</w:t>
      </w:r>
      <w:r>
        <w:rPr>
          <w:sz w:val="22"/>
        </w:rPr>
        <w:t>, UNAM, México.</w:t>
      </w:r>
    </w:p>
    <w:p>
      <w:pPr>
        <w:pStyle w:val="BodyText"/>
        <w:spacing w:before="7"/>
        <w:rPr>
          <w:sz w:val="17"/>
        </w:rPr>
      </w:pPr>
    </w:p>
    <w:p>
      <w:pPr>
        <w:spacing w:line="362" w:lineRule="auto" w:before="0"/>
        <w:ind w:left="102" w:right="114" w:firstLine="0"/>
        <w:jc w:val="both"/>
        <w:rPr>
          <w:sz w:val="22"/>
        </w:rPr>
      </w:pPr>
      <w:r>
        <w:rPr>
          <w:sz w:val="22"/>
        </w:rPr>
        <w:t>Quiroz, Franz; Delgadillo, Oscar y Durán, Alfredo (2012), </w:t>
      </w:r>
      <w:r>
        <w:rPr>
          <w:b/>
          <w:sz w:val="22"/>
        </w:rPr>
        <w:t>Aguas arriba, aguas abajo. Luces y sombras de la Gestión Integral de los Recursos  Hídricos:  Reflexiones desde la investigación aplicada</w:t>
      </w:r>
      <w:r>
        <w:rPr>
          <w:sz w:val="22"/>
        </w:rPr>
        <w:t>, Facultad de Ciencias Agrícolas, Pecuarias Forestales y Veterinarias, Centro Agua, UMSS, Bolivia.</w:t>
      </w:r>
    </w:p>
    <w:p>
      <w:pPr>
        <w:pStyle w:val="BodyText"/>
        <w:spacing w:before="9"/>
        <w:rPr>
          <w:sz w:val="32"/>
        </w:rPr>
      </w:pPr>
    </w:p>
    <w:p>
      <w:pPr>
        <w:spacing w:line="360" w:lineRule="auto" w:before="0"/>
        <w:ind w:left="102" w:right="116" w:firstLine="0"/>
        <w:jc w:val="both"/>
        <w:rPr>
          <w:sz w:val="22"/>
        </w:rPr>
      </w:pPr>
      <w:r>
        <w:rPr>
          <w:sz w:val="22"/>
        </w:rPr>
        <w:t>Rance, S. y J. Tellerina (2003), </w:t>
      </w:r>
      <w:r>
        <w:rPr>
          <w:b/>
          <w:sz w:val="22"/>
        </w:rPr>
        <w:t>Saliendo del Anonimato. El mapeo de actores/as sociales como instrumento para el diseño de políticas</w:t>
      </w:r>
      <w:r>
        <w:rPr>
          <w:sz w:val="22"/>
        </w:rPr>
        <w:t>, presentado en la Reunión Regional “Sexualidades, Salud y Derechos Humanos en América Latina”, Lima, Perú.</w:t>
      </w:r>
    </w:p>
    <w:p>
      <w:pPr>
        <w:pStyle w:val="BodyText"/>
      </w:pPr>
    </w:p>
    <w:p>
      <w:pPr>
        <w:spacing w:line="362" w:lineRule="auto" w:before="127"/>
        <w:ind w:left="102" w:right="113" w:firstLine="0"/>
        <w:jc w:val="both"/>
        <w:rPr>
          <w:sz w:val="22"/>
        </w:rPr>
      </w:pPr>
      <w:r>
        <w:rPr>
          <w:sz w:val="22"/>
        </w:rPr>
        <w:t>Rhodes, Rod (1996), </w:t>
      </w:r>
      <w:r>
        <w:rPr>
          <w:b/>
          <w:sz w:val="22"/>
        </w:rPr>
        <w:t>The New Governance: Governing without Government</w:t>
      </w:r>
      <w:r>
        <w:rPr>
          <w:sz w:val="22"/>
        </w:rPr>
        <w:t>, Political Studies, xliv, Oxford, Cambridge, en Canto, Rodolfo (2012) </w:t>
      </w:r>
      <w:r>
        <w:rPr>
          <w:b/>
          <w:sz w:val="22"/>
        </w:rPr>
        <w:t>Gobernanza y democracia  de vuelta al río turbio de la política, </w:t>
      </w:r>
      <w:r>
        <w:rPr>
          <w:sz w:val="22"/>
        </w:rPr>
        <w:t>en Gestión y Política Pública, Volumen XXI,  Número 2, Segundo Semestre de 2012,</w:t>
      </w:r>
      <w:r>
        <w:rPr>
          <w:spacing w:val="-12"/>
          <w:sz w:val="22"/>
        </w:rPr>
        <w:t> </w:t>
      </w:r>
      <w:r>
        <w:rPr>
          <w:sz w:val="22"/>
        </w:rPr>
        <w:t>México.</w:t>
      </w:r>
    </w:p>
    <w:p>
      <w:pPr>
        <w:spacing w:line="360" w:lineRule="auto" w:before="197"/>
        <w:ind w:left="102" w:right="117" w:firstLine="0"/>
        <w:jc w:val="both"/>
        <w:rPr>
          <w:sz w:val="22"/>
        </w:rPr>
      </w:pPr>
      <w:r>
        <w:rPr>
          <w:sz w:val="22"/>
        </w:rPr>
        <w:t>Rhodes, Rod (1997), </w:t>
      </w:r>
      <w:r>
        <w:rPr>
          <w:b/>
          <w:sz w:val="22"/>
        </w:rPr>
        <w:t>Understanding Governance: Policy Networks, Governance, Reflexivity and Accountability</w:t>
      </w:r>
      <w:r>
        <w:rPr>
          <w:sz w:val="22"/>
        </w:rPr>
        <w:t>, Open University Press, Buckingham, Reino Unido.</w:t>
      </w:r>
    </w:p>
    <w:p>
      <w:pPr>
        <w:spacing w:after="0" w:line="360" w:lineRule="auto"/>
        <w:jc w:val="both"/>
        <w:rPr>
          <w:sz w:val="22"/>
        </w:rPr>
        <w:sectPr>
          <w:pgSz w:w="12240" w:h="15840"/>
          <w:pgMar w:header="0" w:footer="1512" w:top="1360" w:bottom="1700" w:left="1600" w:right="1580"/>
        </w:sectPr>
      </w:pPr>
    </w:p>
    <w:p>
      <w:pPr>
        <w:spacing w:line="360" w:lineRule="auto" w:before="53"/>
        <w:ind w:left="102" w:right="115" w:firstLine="0"/>
        <w:jc w:val="both"/>
        <w:rPr>
          <w:sz w:val="22"/>
        </w:rPr>
      </w:pPr>
      <w:r>
        <w:rPr>
          <w:sz w:val="22"/>
        </w:rPr>
        <w:t>Rodríguez-Oreggia E. y R. Tuirán (2006), </w:t>
      </w:r>
      <w:r>
        <w:rPr>
          <w:i/>
          <w:sz w:val="22"/>
        </w:rPr>
        <w:t>La cooperación intermunicipal en México. </w:t>
      </w:r>
      <w:r>
        <w:rPr>
          <w:i/>
          <w:sz w:val="22"/>
        </w:rPr>
        <w:t>Barreras e incentivos en la probabilidad de cooperar</w:t>
      </w:r>
      <w:r>
        <w:rPr>
          <w:sz w:val="22"/>
        </w:rPr>
        <w:t>, en : </w:t>
      </w:r>
      <w:r>
        <w:rPr>
          <w:i/>
          <w:sz w:val="22"/>
        </w:rPr>
        <w:t>Gestión y Política Pública</w:t>
      </w:r>
      <w:r>
        <w:rPr>
          <w:sz w:val="22"/>
        </w:rPr>
        <w:t>, vol. XV, No. 2, pp. 393-409, Centro de Investigación y Docencia Económicas, México.</w:t>
      </w:r>
    </w:p>
    <w:p>
      <w:pPr>
        <w:pStyle w:val="BodyText"/>
        <w:spacing w:before="4"/>
        <w:rPr>
          <w:sz w:val="17"/>
        </w:rPr>
      </w:pPr>
    </w:p>
    <w:p>
      <w:pPr>
        <w:pStyle w:val="BodyText"/>
        <w:spacing w:line="362" w:lineRule="auto"/>
        <w:ind w:left="102" w:right="117"/>
        <w:jc w:val="both"/>
      </w:pPr>
      <w:r>
        <w:rPr/>
        <w:t>Rogers, Peter and Hall, Alan (2003), </w:t>
      </w:r>
      <w:r>
        <w:rPr>
          <w:b/>
        </w:rPr>
        <w:t>Effective Water Governance</w:t>
      </w:r>
      <w:r>
        <w:rPr/>
        <w:t>, Water Partnership, Technical Committee (TEC), Global Water Partnership, Sweden.</w:t>
      </w:r>
    </w:p>
    <w:p>
      <w:pPr>
        <w:pStyle w:val="BodyText"/>
        <w:spacing w:before="7"/>
        <w:rPr>
          <w:sz w:val="17"/>
        </w:rPr>
      </w:pPr>
    </w:p>
    <w:p>
      <w:pPr>
        <w:spacing w:line="360" w:lineRule="auto" w:before="0"/>
        <w:ind w:left="102" w:right="118" w:firstLine="0"/>
        <w:jc w:val="both"/>
        <w:rPr>
          <w:sz w:val="22"/>
        </w:rPr>
      </w:pPr>
      <w:r>
        <w:rPr>
          <w:sz w:val="22"/>
        </w:rPr>
        <w:t>Romero, Alejandro; Díaz, Carlos; Martínez, Tomás; Gómez, Miguel ángel; Hernández Marivel; Alberich, Ma. Esteller; Mastachi, Carlos Alberto; Hinojosa, Alejandro y Becerril Rocio (2012), </w:t>
      </w:r>
      <w:r>
        <w:rPr>
          <w:b/>
          <w:sz w:val="22"/>
        </w:rPr>
        <w:t>La antropología en la planificación regional como elemento para la gestión integrada de los recursos hídricos</w:t>
      </w:r>
      <w:r>
        <w:rPr>
          <w:i/>
          <w:sz w:val="22"/>
        </w:rPr>
        <w:t>, </w:t>
      </w:r>
      <w:r>
        <w:rPr>
          <w:sz w:val="22"/>
        </w:rPr>
        <w:t>UAEM, México.</w:t>
      </w:r>
    </w:p>
    <w:p>
      <w:pPr>
        <w:pStyle w:val="BodyText"/>
        <w:spacing w:before="7"/>
        <w:rPr>
          <w:sz w:val="17"/>
        </w:rPr>
      </w:pPr>
    </w:p>
    <w:p>
      <w:pPr>
        <w:spacing w:line="362" w:lineRule="auto" w:before="0"/>
        <w:ind w:left="102" w:right="115" w:firstLine="0"/>
        <w:jc w:val="both"/>
        <w:rPr>
          <w:sz w:val="22"/>
        </w:rPr>
      </w:pPr>
      <w:r>
        <w:rPr>
          <w:sz w:val="22"/>
        </w:rPr>
        <w:t>Rose, Arnold (1970), </w:t>
      </w:r>
      <w:r>
        <w:rPr>
          <w:b/>
          <w:sz w:val="22"/>
        </w:rPr>
        <w:t>La estructura del poder. El proceso político en la sociedad norteamericana, </w:t>
      </w:r>
      <w:r>
        <w:rPr>
          <w:sz w:val="22"/>
        </w:rPr>
        <w:t>trad. de Luis Lecón, , Paidos, Buenos Aires.</w:t>
      </w:r>
    </w:p>
    <w:p>
      <w:pPr>
        <w:pStyle w:val="BodyText"/>
        <w:spacing w:before="4"/>
        <w:rPr>
          <w:sz w:val="17"/>
        </w:rPr>
      </w:pPr>
    </w:p>
    <w:p>
      <w:pPr>
        <w:spacing w:line="360" w:lineRule="auto" w:before="0"/>
        <w:ind w:left="102" w:right="120" w:firstLine="0"/>
        <w:jc w:val="both"/>
        <w:rPr>
          <w:sz w:val="22"/>
        </w:rPr>
      </w:pPr>
      <w:r>
        <w:rPr>
          <w:sz w:val="22"/>
        </w:rPr>
        <w:t>Sahuí, A. (2009), </w:t>
      </w:r>
      <w:r>
        <w:rPr>
          <w:b/>
          <w:sz w:val="22"/>
        </w:rPr>
        <w:t>Gobernanza, democracia y justicia, en A. Sahuí (coord.), Gobernanza y sociedad civil: Retos democráticos</w:t>
      </w:r>
      <w:r>
        <w:rPr>
          <w:sz w:val="22"/>
        </w:rPr>
        <w:t>, México, Ediciones Coyoacán.</w:t>
      </w:r>
    </w:p>
    <w:p>
      <w:pPr>
        <w:pStyle w:val="BodyText"/>
        <w:spacing w:before="9"/>
        <w:rPr>
          <w:sz w:val="17"/>
        </w:rPr>
      </w:pPr>
    </w:p>
    <w:p>
      <w:pPr>
        <w:spacing w:before="0"/>
        <w:ind w:left="102" w:right="0" w:firstLine="0"/>
        <w:jc w:val="both"/>
        <w:rPr>
          <w:sz w:val="22"/>
        </w:rPr>
      </w:pPr>
      <w:r>
        <w:rPr>
          <w:sz w:val="22"/>
        </w:rPr>
        <w:t>Salas, M (1997) </w:t>
      </w:r>
      <w:r>
        <w:rPr>
          <w:b/>
          <w:sz w:val="22"/>
        </w:rPr>
        <w:t>Enfoques participativos para el desarrollo rural</w:t>
      </w:r>
      <w:r>
        <w:rPr>
          <w:i/>
          <w:sz w:val="22"/>
        </w:rPr>
        <w:t>, </w:t>
      </w:r>
      <w:r>
        <w:rPr>
          <w:sz w:val="22"/>
        </w:rPr>
        <w:t>GTZ, Quito.</w:t>
      </w:r>
    </w:p>
    <w:p>
      <w:pPr>
        <w:pStyle w:val="BodyText"/>
        <w:spacing w:before="5"/>
        <w:rPr>
          <w:sz w:val="28"/>
        </w:rPr>
      </w:pPr>
    </w:p>
    <w:p>
      <w:pPr>
        <w:spacing w:line="360" w:lineRule="auto" w:before="1"/>
        <w:ind w:left="102" w:right="114" w:firstLine="0"/>
        <w:jc w:val="both"/>
        <w:rPr>
          <w:sz w:val="22"/>
        </w:rPr>
      </w:pPr>
      <w:r>
        <w:rPr>
          <w:sz w:val="22"/>
        </w:rPr>
        <w:t>Santín, L. (2002a), </w:t>
      </w:r>
      <w:r>
        <w:rPr>
          <w:i/>
          <w:sz w:val="22"/>
        </w:rPr>
        <w:t>Las intermunicipalidades: práctica de cooperación entre municipios </w:t>
      </w:r>
      <w:r>
        <w:rPr>
          <w:i/>
          <w:sz w:val="22"/>
        </w:rPr>
        <w:t>para el fortalecimiento institucional, el desarrollo social y un ordenamiento racional del territorio</w:t>
      </w:r>
      <w:r>
        <w:rPr>
          <w:sz w:val="22"/>
        </w:rPr>
        <w:t>, en Sedesol, </w:t>
      </w:r>
      <w:r>
        <w:rPr>
          <w:b/>
          <w:sz w:val="22"/>
        </w:rPr>
        <w:t>Perfil y perspectivas de los municipios mexicanos para la construcción de una política social de Estado</w:t>
      </w:r>
      <w:r>
        <w:rPr>
          <w:sz w:val="22"/>
        </w:rPr>
        <w:t>, México, Indesol-Sedesol.</w:t>
      </w:r>
    </w:p>
    <w:p>
      <w:pPr>
        <w:pStyle w:val="BodyText"/>
        <w:spacing w:before="9"/>
        <w:rPr>
          <w:sz w:val="17"/>
        </w:rPr>
      </w:pPr>
    </w:p>
    <w:p>
      <w:pPr>
        <w:spacing w:line="362" w:lineRule="auto" w:before="0"/>
        <w:ind w:left="102" w:right="113" w:firstLine="0"/>
        <w:jc w:val="both"/>
        <w:rPr>
          <w:sz w:val="22"/>
        </w:rPr>
      </w:pPr>
      <w:r>
        <w:rPr>
          <w:sz w:val="22"/>
        </w:rPr>
        <w:t>Santín, L. (2002b), </w:t>
      </w:r>
      <w:r>
        <w:rPr>
          <w:b/>
          <w:sz w:val="22"/>
        </w:rPr>
        <w:t>Estudio sobre asociacionismo intermunicipal</w:t>
      </w:r>
      <w:r>
        <w:rPr>
          <w:sz w:val="22"/>
        </w:rPr>
        <w:t>, Indesol/BancoMundial, México.</w:t>
      </w:r>
    </w:p>
    <w:p>
      <w:pPr>
        <w:pStyle w:val="BodyText"/>
        <w:spacing w:before="4"/>
        <w:rPr>
          <w:sz w:val="17"/>
        </w:rPr>
      </w:pPr>
    </w:p>
    <w:p>
      <w:pPr>
        <w:spacing w:line="360" w:lineRule="auto" w:before="0"/>
        <w:ind w:left="102" w:right="116" w:firstLine="0"/>
        <w:jc w:val="both"/>
        <w:rPr>
          <w:sz w:val="22"/>
        </w:rPr>
      </w:pPr>
      <w:r>
        <w:rPr>
          <w:sz w:val="22"/>
        </w:rPr>
        <w:t>Schwartz, Howard y Jacobs, Jerry (1996), </w:t>
      </w:r>
      <w:r>
        <w:rPr>
          <w:i/>
          <w:sz w:val="22"/>
        </w:rPr>
        <w:t>Métodos cualitativos y métodos cuantitativos, </w:t>
      </w:r>
      <w:r>
        <w:rPr>
          <w:i/>
          <w:sz w:val="22"/>
        </w:rPr>
        <w:t>dos enfoques a la sociología, </w:t>
      </w:r>
      <w:r>
        <w:rPr>
          <w:sz w:val="22"/>
        </w:rPr>
        <w:t>en </w:t>
      </w:r>
      <w:r>
        <w:rPr>
          <w:b/>
          <w:sz w:val="22"/>
        </w:rPr>
        <w:t>Sociología cualitativa. Métodos para la reconstrucción de la realidad</w:t>
      </w:r>
      <w:r>
        <w:rPr>
          <w:sz w:val="22"/>
        </w:rPr>
        <w:t>, Trillas, México.</w:t>
      </w:r>
    </w:p>
    <w:p>
      <w:pPr>
        <w:pStyle w:val="BodyText"/>
        <w:spacing w:before="7"/>
        <w:rPr>
          <w:sz w:val="17"/>
        </w:rPr>
      </w:pPr>
    </w:p>
    <w:p>
      <w:pPr>
        <w:spacing w:line="362" w:lineRule="auto" w:before="0"/>
        <w:ind w:left="102" w:right="117" w:firstLine="0"/>
        <w:jc w:val="both"/>
        <w:rPr>
          <w:sz w:val="22"/>
        </w:rPr>
      </w:pPr>
      <w:r>
        <w:rPr>
          <w:sz w:val="22"/>
        </w:rPr>
        <w:t>Sen, A. (1984), </w:t>
      </w:r>
      <w:r>
        <w:rPr>
          <w:b/>
          <w:sz w:val="22"/>
        </w:rPr>
        <w:t>Resources, Values and Development</w:t>
      </w:r>
      <w:r>
        <w:rPr>
          <w:sz w:val="22"/>
        </w:rPr>
        <w:t>. Cambridge (Mass), Harvard University Press.</w:t>
      </w:r>
    </w:p>
    <w:p>
      <w:pPr>
        <w:pStyle w:val="BodyText"/>
        <w:spacing w:before="4"/>
        <w:rPr>
          <w:sz w:val="17"/>
        </w:rPr>
      </w:pPr>
    </w:p>
    <w:p>
      <w:pPr>
        <w:spacing w:before="0"/>
        <w:ind w:left="102" w:right="0" w:firstLine="0"/>
        <w:jc w:val="both"/>
        <w:rPr>
          <w:sz w:val="22"/>
        </w:rPr>
      </w:pPr>
      <w:r>
        <w:rPr>
          <w:sz w:val="22"/>
        </w:rPr>
        <w:t>SMITH, Edmund-Arthur (1971), </w:t>
      </w:r>
      <w:r>
        <w:rPr>
          <w:b/>
          <w:sz w:val="22"/>
        </w:rPr>
        <w:t>Teoría del bienestar social</w:t>
      </w:r>
      <w:r>
        <w:rPr>
          <w:sz w:val="22"/>
        </w:rPr>
        <w:t>, Buenos Aires.</w:t>
      </w:r>
    </w:p>
    <w:p>
      <w:pPr>
        <w:spacing w:after="0"/>
        <w:jc w:val="both"/>
        <w:rPr>
          <w:sz w:val="22"/>
        </w:rPr>
        <w:sectPr>
          <w:pgSz w:w="12240" w:h="15840"/>
          <w:pgMar w:header="0" w:footer="1512" w:top="1360" w:bottom="1700" w:left="1600" w:right="1580"/>
        </w:sectPr>
      </w:pPr>
    </w:p>
    <w:p>
      <w:pPr>
        <w:spacing w:before="51"/>
        <w:ind w:left="102" w:right="0" w:firstLine="0"/>
        <w:jc w:val="both"/>
        <w:rPr>
          <w:b/>
          <w:sz w:val="22"/>
        </w:rPr>
      </w:pPr>
      <w:r>
        <w:rPr>
          <w:sz w:val="22"/>
        </w:rPr>
        <w:t>Steiner, R. (2001), </w:t>
      </w:r>
      <w:r>
        <w:rPr>
          <w:b/>
          <w:sz w:val="22"/>
        </w:rPr>
        <w:t>Intermunicipal Cooperation and Municipal Mergers in Switzerland,</w:t>
      </w:r>
    </w:p>
    <w:p>
      <w:pPr>
        <w:pStyle w:val="BodyText"/>
        <w:spacing w:before="131"/>
        <w:ind w:left="102"/>
        <w:jc w:val="both"/>
      </w:pPr>
      <w:r>
        <w:rPr/>
        <w:t>Institute for Organization and Human Resource Management, University of Berne, mimeo.</w:t>
      </w:r>
    </w:p>
    <w:p>
      <w:pPr>
        <w:pStyle w:val="BodyText"/>
        <w:spacing w:before="1"/>
        <w:rPr>
          <w:sz w:val="28"/>
        </w:rPr>
      </w:pPr>
    </w:p>
    <w:p>
      <w:pPr>
        <w:spacing w:line="360" w:lineRule="auto" w:before="0"/>
        <w:ind w:left="102" w:right="117" w:firstLine="0"/>
        <w:jc w:val="both"/>
        <w:rPr>
          <w:sz w:val="22"/>
        </w:rPr>
      </w:pPr>
      <w:r>
        <w:rPr>
          <w:sz w:val="22"/>
        </w:rPr>
        <w:t>Steward, Julia (1955), </w:t>
      </w:r>
      <w:r>
        <w:rPr>
          <w:b/>
          <w:sz w:val="22"/>
        </w:rPr>
        <w:t>Theory of culture change. The methodology of multilinear evolution, </w:t>
      </w:r>
      <w:r>
        <w:rPr>
          <w:sz w:val="22"/>
        </w:rPr>
        <w:t>Urbana University of Illinois Press.</w:t>
      </w:r>
    </w:p>
    <w:p>
      <w:pPr>
        <w:pStyle w:val="BodyText"/>
        <w:spacing w:before="9"/>
        <w:rPr>
          <w:sz w:val="17"/>
        </w:rPr>
      </w:pPr>
    </w:p>
    <w:p>
      <w:pPr>
        <w:spacing w:before="0"/>
        <w:ind w:left="102" w:right="0" w:firstLine="0"/>
        <w:jc w:val="both"/>
        <w:rPr>
          <w:sz w:val="22"/>
        </w:rPr>
      </w:pPr>
      <w:r>
        <w:rPr>
          <w:sz w:val="22"/>
        </w:rPr>
        <w:t>Tajfel, H. (1984), </w:t>
      </w:r>
      <w:r>
        <w:rPr>
          <w:b/>
          <w:sz w:val="22"/>
        </w:rPr>
        <w:t>Grupos humanos y categorías sociales</w:t>
      </w:r>
      <w:r>
        <w:rPr>
          <w:sz w:val="22"/>
        </w:rPr>
        <w:t>, Herder, Barcelona.</w:t>
      </w:r>
    </w:p>
    <w:p>
      <w:pPr>
        <w:pStyle w:val="BodyText"/>
        <w:spacing w:before="5"/>
        <w:rPr>
          <w:sz w:val="28"/>
        </w:rPr>
      </w:pPr>
    </w:p>
    <w:p>
      <w:pPr>
        <w:spacing w:before="1"/>
        <w:ind w:left="102" w:right="0" w:firstLine="0"/>
        <w:jc w:val="both"/>
        <w:rPr>
          <w:sz w:val="22"/>
        </w:rPr>
      </w:pPr>
      <w:r>
        <w:rPr>
          <w:sz w:val="22"/>
        </w:rPr>
        <w:t>Tannenbaum,   Frank   (1952),   </w:t>
      </w:r>
      <w:r>
        <w:rPr>
          <w:i/>
          <w:sz w:val="22"/>
        </w:rPr>
        <w:t>La   revolución   agraria   mexicana</w:t>
      </w:r>
      <w:r>
        <w:rPr>
          <w:sz w:val="22"/>
        </w:rPr>
        <w:t>,   en   Gómez,  Marte,</w:t>
      </w:r>
    </w:p>
    <w:p>
      <w:pPr>
        <w:spacing w:before="124"/>
        <w:ind w:left="102" w:right="0" w:firstLine="0"/>
        <w:jc w:val="both"/>
        <w:rPr>
          <w:sz w:val="22"/>
        </w:rPr>
      </w:pPr>
      <w:r>
        <w:rPr>
          <w:b/>
          <w:sz w:val="22"/>
        </w:rPr>
        <w:t>Problemas agrícolas e industriales de México, </w:t>
      </w:r>
      <w:r>
        <w:rPr>
          <w:sz w:val="22"/>
        </w:rPr>
        <w:t>abril-junio, México.</w:t>
      </w:r>
    </w:p>
    <w:p>
      <w:pPr>
        <w:pStyle w:val="BodyText"/>
        <w:spacing w:before="6"/>
        <w:rPr>
          <w:sz w:val="28"/>
        </w:rPr>
      </w:pPr>
    </w:p>
    <w:p>
      <w:pPr>
        <w:spacing w:line="360" w:lineRule="auto" w:before="0"/>
        <w:ind w:left="102" w:right="114" w:firstLine="0"/>
        <w:jc w:val="both"/>
        <w:rPr>
          <w:sz w:val="22"/>
        </w:rPr>
      </w:pPr>
      <w:r>
        <w:rPr>
          <w:sz w:val="22"/>
        </w:rPr>
        <w:t>Toledo, Víctor Manuel (1992), </w:t>
      </w:r>
      <w:r>
        <w:rPr>
          <w:b/>
          <w:sz w:val="22"/>
        </w:rPr>
        <w:t>Plan Pátzcuaro 2000. Investigación multidisciplinaria para el desarrollo sostenido</w:t>
      </w:r>
      <w:r>
        <w:rPr>
          <w:sz w:val="22"/>
        </w:rPr>
        <w:t>, Fundación Friedrich Eber, México.</w:t>
      </w:r>
    </w:p>
    <w:p>
      <w:pPr>
        <w:pStyle w:val="BodyText"/>
        <w:spacing w:before="7"/>
        <w:rPr>
          <w:sz w:val="17"/>
        </w:rPr>
      </w:pPr>
    </w:p>
    <w:p>
      <w:pPr>
        <w:spacing w:line="360" w:lineRule="auto" w:before="0"/>
        <w:ind w:left="102" w:right="113" w:firstLine="0"/>
        <w:jc w:val="both"/>
        <w:rPr>
          <w:sz w:val="22"/>
        </w:rPr>
      </w:pPr>
      <w:r>
        <w:rPr>
          <w:sz w:val="22"/>
        </w:rPr>
        <w:t>Torres, Mario (1993), </w:t>
      </w:r>
      <w:r>
        <w:rPr>
          <w:b/>
          <w:sz w:val="22"/>
        </w:rPr>
        <w:t>Políticas sociales: repensando el desarrollo esencial. Investigación en política social</w:t>
      </w:r>
      <w:r>
        <w:rPr>
          <w:sz w:val="22"/>
        </w:rPr>
        <w:t>, en propuestas para una agenda futura, Ottawa: CIID.</w:t>
      </w:r>
    </w:p>
    <w:p>
      <w:pPr>
        <w:pStyle w:val="BodyText"/>
        <w:spacing w:before="9"/>
        <w:rPr>
          <w:sz w:val="17"/>
        </w:rPr>
      </w:pPr>
    </w:p>
    <w:p>
      <w:pPr>
        <w:spacing w:line="360" w:lineRule="auto" w:before="0"/>
        <w:ind w:left="102" w:right="113" w:firstLine="0"/>
        <w:jc w:val="both"/>
        <w:rPr>
          <w:sz w:val="22"/>
        </w:rPr>
      </w:pPr>
      <w:r>
        <w:rPr>
          <w:sz w:val="22"/>
        </w:rPr>
        <w:t>Tortajada, Cecilia, Guerrero, Vicente y Sandoval Ricardo (2004), </w:t>
      </w:r>
      <w:r>
        <w:rPr>
          <w:b/>
          <w:sz w:val="22"/>
        </w:rPr>
        <w:t>Hacia una gestión integral del agua en México: retos y alternativas, </w:t>
      </w:r>
      <w:r>
        <w:rPr>
          <w:sz w:val="22"/>
        </w:rPr>
        <w:t>Miguel Ángel Porrúa, México.</w:t>
      </w:r>
    </w:p>
    <w:p>
      <w:pPr>
        <w:pStyle w:val="BodyText"/>
        <w:spacing w:before="9"/>
        <w:rPr>
          <w:sz w:val="17"/>
        </w:rPr>
      </w:pPr>
    </w:p>
    <w:p>
      <w:pPr>
        <w:spacing w:before="0"/>
        <w:ind w:left="102" w:right="0" w:firstLine="0"/>
        <w:jc w:val="both"/>
        <w:rPr>
          <w:i/>
          <w:sz w:val="22"/>
        </w:rPr>
      </w:pPr>
      <w:r>
        <w:rPr>
          <w:sz w:val="22"/>
        </w:rPr>
        <w:t>Uphoff,  Norman  (1988),  </w:t>
      </w:r>
      <w:r>
        <w:rPr>
          <w:i/>
          <w:sz w:val="22"/>
        </w:rPr>
        <w:t>Participatory  Evaluation  of  Farmer  Organizations’ Capacity for</w:t>
      </w:r>
    </w:p>
    <w:p>
      <w:pPr>
        <w:spacing w:before="126"/>
        <w:ind w:left="102" w:right="0" w:firstLine="0"/>
        <w:jc w:val="both"/>
        <w:rPr>
          <w:sz w:val="22"/>
        </w:rPr>
      </w:pPr>
      <w:r>
        <w:rPr>
          <w:i/>
          <w:sz w:val="22"/>
        </w:rPr>
        <w:t>Development Tasks</w:t>
      </w:r>
      <w:r>
        <w:rPr>
          <w:sz w:val="22"/>
        </w:rPr>
        <w:t>, Agricultural Administration and Extensión, vol. 30.</w:t>
      </w:r>
    </w:p>
    <w:p>
      <w:pPr>
        <w:pStyle w:val="BodyText"/>
        <w:spacing w:before="3"/>
        <w:rPr>
          <w:sz w:val="28"/>
        </w:rPr>
      </w:pPr>
    </w:p>
    <w:p>
      <w:pPr>
        <w:spacing w:line="360" w:lineRule="auto" w:before="1"/>
        <w:ind w:left="102" w:right="112" w:firstLine="0"/>
        <w:jc w:val="both"/>
        <w:rPr>
          <w:sz w:val="22"/>
        </w:rPr>
      </w:pPr>
      <w:r>
        <w:rPr>
          <w:sz w:val="22"/>
        </w:rPr>
        <w:t>Uphoff, Norman (1995), </w:t>
      </w:r>
      <w:r>
        <w:rPr>
          <w:i/>
          <w:sz w:val="22"/>
        </w:rPr>
        <w:t>Adaptar los proyectos a la gente</w:t>
      </w:r>
      <w:r>
        <w:rPr>
          <w:sz w:val="22"/>
        </w:rPr>
        <w:t>, en Cernea, Michael M. </w:t>
      </w:r>
      <w:r>
        <w:rPr>
          <w:b/>
          <w:sz w:val="22"/>
        </w:rPr>
        <w:t>Primero la gente. Variables sociológicas en el desarrollo rural</w:t>
      </w:r>
      <w:r>
        <w:rPr>
          <w:sz w:val="22"/>
        </w:rPr>
        <w:t>, Fondo de Cultura, México.</w:t>
      </w:r>
    </w:p>
    <w:p>
      <w:pPr>
        <w:pStyle w:val="BodyText"/>
        <w:spacing w:before="9"/>
        <w:rPr>
          <w:sz w:val="17"/>
        </w:rPr>
      </w:pPr>
    </w:p>
    <w:p>
      <w:pPr>
        <w:spacing w:line="360" w:lineRule="auto" w:before="0"/>
        <w:ind w:left="102" w:right="119" w:firstLine="0"/>
        <w:jc w:val="both"/>
        <w:rPr>
          <w:sz w:val="22"/>
        </w:rPr>
      </w:pPr>
      <w:r>
        <w:rPr>
          <w:sz w:val="22"/>
        </w:rPr>
        <w:t>Uphoff, Norman (2000), </w:t>
      </w:r>
      <w:r>
        <w:rPr>
          <w:i/>
          <w:sz w:val="22"/>
        </w:rPr>
        <w:t>Understanding Social Capital</w:t>
      </w:r>
      <w:r>
        <w:rPr>
          <w:sz w:val="22"/>
        </w:rPr>
        <w:t>, en Dasguspta, P., y Serageldin, I. (eds).</w:t>
      </w:r>
    </w:p>
    <w:p>
      <w:pPr>
        <w:pStyle w:val="BodyText"/>
        <w:spacing w:before="7"/>
        <w:rPr>
          <w:sz w:val="17"/>
        </w:rPr>
      </w:pPr>
    </w:p>
    <w:p>
      <w:pPr>
        <w:spacing w:line="360" w:lineRule="auto" w:before="0"/>
        <w:ind w:left="102" w:right="116" w:firstLine="0"/>
        <w:jc w:val="both"/>
        <w:rPr>
          <w:sz w:val="22"/>
        </w:rPr>
      </w:pPr>
      <w:r>
        <w:rPr>
          <w:sz w:val="22"/>
        </w:rPr>
        <w:t>Vacaflores, Carlos (2000), </w:t>
      </w:r>
      <w:r>
        <w:rPr>
          <w:b/>
          <w:sz w:val="22"/>
        </w:rPr>
        <w:t>La gestión del territorio: un enfoque a partir de la experiencia del río La Sal, Bolivia. Proyecto Plan Bolivia</w:t>
      </w:r>
      <w:r>
        <w:rPr>
          <w:sz w:val="22"/>
        </w:rPr>
        <w:t>, Comunidad de Estudios Jaina, Tarija-Bolivia, ponencia presentada en la conferencia de </w:t>
      </w:r>
      <w:r>
        <w:rPr>
          <w:sz w:val="18"/>
        </w:rPr>
        <w:t>GLCRSP</w:t>
      </w:r>
      <w:r>
        <w:rPr>
          <w:sz w:val="22"/>
        </w:rPr>
        <w:t>, México.</w:t>
      </w:r>
    </w:p>
    <w:p>
      <w:pPr>
        <w:pStyle w:val="BodyText"/>
      </w:pPr>
    </w:p>
    <w:p>
      <w:pPr>
        <w:spacing w:line="360" w:lineRule="auto" w:before="127"/>
        <w:ind w:left="102" w:right="115" w:firstLine="0"/>
        <w:jc w:val="both"/>
        <w:rPr>
          <w:sz w:val="22"/>
        </w:rPr>
      </w:pPr>
      <w:r>
        <w:rPr>
          <w:sz w:val="22"/>
        </w:rPr>
        <w:t>Vargas, José Guadalupe (2007), </w:t>
      </w:r>
      <w:r>
        <w:rPr>
          <w:b/>
          <w:sz w:val="22"/>
        </w:rPr>
        <w:t>Sustentabilidad Organizacional para el Desarrollo Ambiental y Económico en Microempresas en San Sebastián del Sur, </w:t>
      </w:r>
      <w:r>
        <w:rPr>
          <w:sz w:val="22"/>
        </w:rPr>
        <w:t>Jalisco,</w:t>
      </w:r>
    </w:p>
    <w:p>
      <w:pPr>
        <w:pStyle w:val="BodyText"/>
        <w:spacing w:before="9"/>
        <w:rPr>
          <w:sz w:val="17"/>
        </w:rPr>
      </w:pPr>
    </w:p>
    <w:p>
      <w:pPr>
        <w:spacing w:line="360" w:lineRule="auto" w:before="0"/>
        <w:ind w:left="102" w:right="115" w:firstLine="0"/>
        <w:jc w:val="both"/>
        <w:rPr>
          <w:sz w:val="22"/>
        </w:rPr>
      </w:pPr>
      <w:r>
        <w:rPr>
          <w:sz w:val="22"/>
        </w:rPr>
        <w:t>Velazco, Elizabeth y Pérez, Matilde (2013), </w:t>
      </w:r>
      <w:r>
        <w:rPr>
          <w:b/>
          <w:sz w:val="22"/>
        </w:rPr>
        <w:t>Hay que modificar programas para que se adapten a la mujer del sector rural</w:t>
      </w:r>
      <w:r>
        <w:rPr>
          <w:sz w:val="22"/>
        </w:rPr>
        <w:t>, en La Jornada, 15 de octubre, México.</w:t>
      </w:r>
    </w:p>
    <w:p>
      <w:pPr>
        <w:spacing w:after="0" w:line="360" w:lineRule="auto"/>
        <w:jc w:val="both"/>
        <w:rPr>
          <w:sz w:val="22"/>
        </w:rPr>
        <w:sectPr>
          <w:pgSz w:w="12240" w:h="15840"/>
          <w:pgMar w:header="0" w:footer="1512" w:top="1360" w:bottom="1700" w:left="1600" w:right="1580"/>
        </w:sectPr>
      </w:pPr>
    </w:p>
    <w:p>
      <w:pPr>
        <w:pStyle w:val="BodyText"/>
        <w:spacing w:before="2"/>
        <w:rPr>
          <w:sz w:val="19"/>
        </w:rPr>
      </w:pPr>
    </w:p>
    <w:p>
      <w:pPr>
        <w:spacing w:line="362" w:lineRule="auto" w:before="72"/>
        <w:ind w:left="102" w:right="0" w:firstLine="0"/>
        <w:jc w:val="left"/>
        <w:rPr>
          <w:sz w:val="22"/>
        </w:rPr>
      </w:pPr>
      <w:r>
        <w:rPr>
          <w:sz w:val="22"/>
        </w:rPr>
        <w:t>Viqueira, Carmen (1993), </w:t>
      </w:r>
      <w:r>
        <w:rPr>
          <w:b/>
          <w:sz w:val="22"/>
        </w:rPr>
        <w:t>Planificación regional y reforma agraria</w:t>
      </w:r>
      <w:r>
        <w:rPr>
          <w:sz w:val="22"/>
        </w:rPr>
        <w:t>, Universidad Iberoamericana. Editorial Gernika, México.</w:t>
      </w:r>
    </w:p>
    <w:p>
      <w:pPr>
        <w:spacing w:line="362" w:lineRule="auto" w:before="197"/>
        <w:ind w:left="102" w:right="194" w:firstLine="0"/>
        <w:jc w:val="left"/>
        <w:rPr>
          <w:sz w:val="22"/>
        </w:rPr>
      </w:pPr>
      <w:r>
        <w:rPr>
          <w:sz w:val="22"/>
        </w:rPr>
        <w:t>Warman (1995), </w:t>
      </w:r>
      <w:r>
        <w:rPr>
          <w:b/>
          <w:sz w:val="22"/>
        </w:rPr>
        <w:t>La reforma agraria mexicana: una visión de largo plazo</w:t>
      </w:r>
      <w:r>
        <w:rPr>
          <w:sz w:val="22"/>
        </w:rPr>
        <w:t>, FAO,  México.</w:t>
      </w:r>
    </w:p>
    <w:p>
      <w:pPr>
        <w:pStyle w:val="BodyText"/>
        <w:spacing w:before="4"/>
        <w:rPr>
          <w:sz w:val="17"/>
        </w:rPr>
      </w:pPr>
    </w:p>
    <w:p>
      <w:pPr>
        <w:spacing w:line="362" w:lineRule="auto" w:before="0"/>
        <w:ind w:left="102" w:right="0" w:firstLine="0"/>
        <w:jc w:val="left"/>
        <w:rPr>
          <w:sz w:val="22"/>
        </w:rPr>
      </w:pPr>
      <w:r>
        <w:rPr>
          <w:sz w:val="22"/>
        </w:rPr>
        <w:t>Warman, Arturo (1982), </w:t>
      </w:r>
      <w:r>
        <w:rPr>
          <w:i/>
          <w:sz w:val="22"/>
        </w:rPr>
        <w:t>Modernización ¿para qué?</w:t>
      </w:r>
      <w:r>
        <w:rPr>
          <w:sz w:val="22"/>
        </w:rPr>
        <w:t>, en Nexos, </w:t>
      </w:r>
      <w:r>
        <w:rPr>
          <w:b/>
          <w:sz w:val="22"/>
        </w:rPr>
        <w:t>El Desafío Mexicano</w:t>
      </w:r>
      <w:r>
        <w:rPr>
          <w:sz w:val="22"/>
        </w:rPr>
        <w:t>, Océano, México.</w:t>
      </w:r>
    </w:p>
    <w:p>
      <w:pPr>
        <w:pStyle w:val="BodyText"/>
        <w:rPr>
          <w:sz w:val="24"/>
        </w:rPr>
      </w:pPr>
    </w:p>
    <w:p>
      <w:pPr>
        <w:spacing w:line="362" w:lineRule="auto" w:before="1"/>
        <w:ind w:left="102" w:right="0" w:firstLine="0"/>
        <w:jc w:val="left"/>
        <w:rPr>
          <w:sz w:val="22"/>
        </w:rPr>
      </w:pPr>
      <w:r>
        <w:rPr>
          <w:sz w:val="22"/>
        </w:rPr>
        <w:t>Weber, Max (1993), </w:t>
      </w:r>
      <w:r>
        <w:rPr>
          <w:b/>
          <w:sz w:val="22"/>
        </w:rPr>
        <w:t>Ensayos sobre Metodología Sociológica</w:t>
      </w:r>
      <w:r>
        <w:rPr>
          <w:sz w:val="22"/>
        </w:rPr>
        <w:t>, Amorrortu Editores, Buenos Aires.</w:t>
      </w:r>
    </w:p>
    <w:p>
      <w:pPr>
        <w:pStyle w:val="BodyText"/>
        <w:spacing w:before="3"/>
        <w:rPr>
          <w:sz w:val="24"/>
        </w:rPr>
      </w:pPr>
    </w:p>
    <w:p>
      <w:pPr>
        <w:spacing w:before="0"/>
        <w:ind w:left="102" w:right="0" w:firstLine="0"/>
        <w:jc w:val="left"/>
        <w:rPr>
          <w:sz w:val="22"/>
        </w:rPr>
      </w:pPr>
      <w:r>
        <w:rPr>
          <w:sz w:val="22"/>
        </w:rPr>
        <w:t>Weber, Max (1998), </w:t>
      </w:r>
      <w:r>
        <w:rPr>
          <w:b/>
          <w:sz w:val="22"/>
        </w:rPr>
        <w:t>Economía y Sociedad</w:t>
      </w:r>
      <w:r>
        <w:rPr>
          <w:sz w:val="22"/>
        </w:rPr>
        <w:t>, México, Fondo de Cultura Económica.</w:t>
      </w:r>
    </w:p>
    <w:p>
      <w:pPr>
        <w:pStyle w:val="BodyText"/>
      </w:pPr>
    </w:p>
    <w:p>
      <w:pPr>
        <w:pStyle w:val="BodyText"/>
      </w:pPr>
    </w:p>
    <w:p>
      <w:pPr>
        <w:pStyle w:val="BodyText"/>
      </w:pPr>
    </w:p>
    <w:p>
      <w:pPr>
        <w:pStyle w:val="BodyText"/>
      </w:pPr>
    </w:p>
    <w:p>
      <w:pPr>
        <w:pStyle w:val="BodyText"/>
      </w:pPr>
    </w:p>
    <w:p>
      <w:pPr>
        <w:pStyle w:val="BodyText"/>
        <w:spacing w:before="3"/>
        <w:rPr>
          <w:sz w:val="19"/>
        </w:rPr>
      </w:pPr>
    </w:p>
    <w:p>
      <w:pPr>
        <w:pStyle w:val="Heading6"/>
      </w:pPr>
      <w:r>
        <w:rPr/>
        <w:t>DOCUMENTOS CONSULTADOS EN LA INTERNET</w:t>
      </w:r>
    </w:p>
    <w:p>
      <w:pPr>
        <w:pStyle w:val="BodyText"/>
        <w:spacing w:before="5"/>
        <w:rPr>
          <w:b/>
          <w:sz w:val="28"/>
        </w:rPr>
      </w:pPr>
    </w:p>
    <w:p>
      <w:pPr>
        <w:pStyle w:val="BodyText"/>
        <w:spacing w:line="360" w:lineRule="auto" w:before="1"/>
        <w:ind w:left="102"/>
      </w:pPr>
      <w:r>
        <w:rPr/>
        <w:t>Acuerdo de Cooperación Ambiental de América del Norte (ACAAN): consultada en </w:t>
      </w:r>
      <w:hyperlink r:id="rId788">
        <w:r>
          <w:rPr>
            <w:color w:val="0000FF"/>
            <w:u w:val="single" w:color="0000FF"/>
          </w:rPr>
          <w:t>http://www.cec.org/</w:t>
        </w:r>
      </w:hyperlink>
    </w:p>
    <w:p>
      <w:pPr>
        <w:pStyle w:val="BodyText"/>
        <w:spacing w:before="3"/>
        <w:rPr>
          <w:sz w:val="11"/>
        </w:rPr>
      </w:pPr>
    </w:p>
    <w:p>
      <w:pPr>
        <w:spacing w:line="360" w:lineRule="auto" w:before="73"/>
        <w:ind w:left="102" w:right="115" w:firstLine="0"/>
        <w:jc w:val="both"/>
        <w:rPr>
          <w:sz w:val="22"/>
        </w:rPr>
      </w:pPr>
      <w:r>
        <w:rPr>
          <w:sz w:val="22"/>
        </w:rPr>
        <w:t>Alvares, Pedro (2015) </w:t>
      </w:r>
      <w:r>
        <w:rPr>
          <w:b/>
          <w:sz w:val="22"/>
        </w:rPr>
        <w:t>Los recursos de uso común en México: un acercamiento conceptual, </w:t>
      </w:r>
      <w:r>
        <w:rPr>
          <w:sz w:val="22"/>
        </w:rPr>
        <w:t>en Gaceta 498, Semarnat, México. Consultado en: [</w:t>
      </w:r>
      <w:hyperlink r:id="rId789">
        <w:r>
          <w:rPr>
            <w:sz w:val="22"/>
          </w:rPr>
          <w:t>http://www2.inecc.gob.mx/publicaciones/gacetas/498/alvarez.html</w:t>
        </w:r>
      </w:hyperlink>
      <w:r>
        <w:rPr>
          <w:sz w:val="22"/>
        </w:rPr>
        <w:t>].</w:t>
      </w:r>
    </w:p>
    <w:p>
      <w:pPr>
        <w:pStyle w:val="BodyText"/>
        <w:spacing w:before="4"/>
        <w:rPr>
          <w:sz w:val="17"/>
        </w:rPr>
      </w:pPr>
    </w:p>
    <w:p>
      <w:pPr>
        <w:spacing w:before="0"/>
        <w:ind w:left="102" w:right="0" w:firstLine="0"/>
        <w:jc w:val="both"/>
        <w:rPr>
          <w:b/>
          <w:sz w:val="22"/>
        </w:rPr>
      </w:pPr>
      <w:r>
        <w:rPr>
          <w:sz w:val="22"/>
        </w:rPr>
        <w:t>Arnoletto, Eduardo Jorge (2010), </w:t>
      </w:r>
      <w:r>
        <w:rPr>
          <w:b/>
          <w:sz w:val="22"/>
        </w:rPr>
        <w:t>La gestión organizacional en los gobiernos   locales:</w:t>
      </w:r>
    </w:p>
    <w:p>
      <w:pPr>
        <w:pStyle w:val="BodyText"/>
        <w:spacing w:before="131"/>
        <w:ind w:left="102"/>
        <w:jc w:val="both"/>
      </w:pPr>
      <w:hyperlink r:id="rId790">
        <w:r>
          <w:rPr>
            <w:color w:val="0000FF"/>
            <w:u w:val="single" w:color="0000FF"/>
          </w:rPr>
          <w:t>www.eumed.net/libros/2010d/777/</w:t>
        </w:r>
      </w:hyperlink>
    </w:p>
    <w:p>
      <w:pPr>
        <w:pStyle w:val="BodyText"/>
        <w:spacing w:before="9"/>
        <w:rPr>
          <w:sz w:val="21"/>
        </w:rPr>
      </w:pPr>
    </w:p>
    <w:p>
      <w:pPr>
        <w:spacing w:before="72"/>
        <w:ind w:left="102" w:right="0" w:firstLine="0"/>
        <w:jc w:val="left"/>
        <w:rPr>
          <w:sz w:val="22"/>
        </w:rPr>
      </w:pPr>
      <w:r>
        <w:rPr>
          <w:sz w:val="22"/>
        </w:rPr>
        <w:t>Burns, Elena (2015), </w:t>
      </w:r>
      <w:r>
        <w:rPr>
          <w:b/>
          <w:sz w:val="22"/>
        </w:rPr>
        <w:t>Aguas con la Ley de Aguas</w:t>
      </w:r>
      <w:r>
        <w:rPr>
          <w:sz w:val="22"/>
        </w:rPr>
        <w:t>: ww.animalpolitico.com</w:t>
      </w:r>
    </w:p>
    <w:p>
      <w:pPr>
        <w:pStyle w:val="BodyText"/>
        <w:spacing w:before="9"/>
        <w:rPr>
          <w:sz w:val="20"/>
        </w:rPr>
      </w:pPr>
    </w:p>
    <w:p>
      <w:pPr>
        <w:tabs>
          <w:tab w:pos="1176" w:val="left" w:leader="none"/>
          <w:tab w:pos="2317" w:val="left" w:leader="none"/>
          <w:tab w:pos="3920" w:val="left" w:leader="none"/>
          <w:tab w:pos="5213" w:val="left" w:leader="none"/>
          <w:tab w:pos="5911" w:val="left" w:leader="none"/>
          <w:tab w:pos="6864" w:val="left" w:leader="none"/>
          <w:tab w:pos="7425" w:val="left" w:leader="none"/>
          <w:tab w:pos="8123" w:val="left" w:leader="none"/>
        </w:tabs>
        <w:spacing w:line="362" w:lineRule="auto" w:before="0"/>
        <w:ind w:left="102" w:right="113" w:firstLine="0"/>
        <w:jc w:val="left"/>
        <w:rPr>
          <w:sz w:val="22"/>
        </w:rPr>
      </w:pPr>
      <w:r>
        <w:rPr>
          <w:sz w:val="22"/>
        </w:rPr>
        <w:t>CAEM</w:t>
        <w:tab/>
        <w:t>(2002),</w:t>
        <w:tab/>
      </w:r>
      <w:r>
        <w:rPr>
          <w:b/>
          <w:sz w:val="22"/>
        </w:rPr>
        <w:t>principales</w:t>
        <w:tab/>
        <w:t>cuerpos</w:t>
        <w:tab/>
        <w:t>de</w:t>
        <w:tab/>
        <w:t>agua</w:t>
        <w:tab/>
        <w:t>y</w:t>
        <w:tab/>
        <w:t>su</w:t>
        <w:tab/>
      </w:r>
      <w:r>
        <w:rPr>
          <w:b/>
          <w:spacing w:val="-1"/>
          <w:sz w:val="22"/>
        </w:rPr>
        <w:t>calidad</w:t>
      </w:r>
      <w:r>
        <w:rPr>
          <w:spacing w:val="-1"/>
          <w:sz w:val="22"/>
        </w:rPr>
        <w:t>: </w:t>
      </w:r>
      <w:hyperlink r:id="rId791">
        <w:r>
          <w:rPr>
            <w:sz w:val="22"/>
          </w:rPr>
          <w:t>http://www.edomexico.gob.mx/</w:t>
        </w:r>
      </w:hyperlink>
    </w:p>
    <w:p>
      <w:pPr>
        <w:tabs>
          <w:tab w:pos="1174" w:val="left" w:leader="none"/>
          <w:tab w:pos="2315" w:val="left" w:leader="none"/>
          <w:tab w:pos="3913" w:val="left" w:leader="none"/>
          <w:tab w:pos="5206" w:val="left" w:leader="none"/>
          <w:tab w:pos="5901" w:val="left" w:leader="none"/>
          <w:tab w:pos="6854" w:val="left" w:leader="none"/>
          <w:tab w:pos="7413" w:val="left" w:leader="none"/>
          <w:tab w:pos="8109" w:val="left" w:leader="none"/>
        </w:tabs>
        <w:spacing w:before="197"/>
        <w:ind w:left="102" w:right="116" w:firstLine="0"/>
        <w:jc w:val="left"/>
        <w:rPr>
          <w:sz w:val="22"/>
        </w:rPr>
      </w:pPr>
      <w:r>
        <w:rPr>
          <w:sz w:val="22"/>
        </w:rPr>
        <w:t>CAEM</w:t>
        <w:tab/>
        <w:t>(2002),</w:t>
        <w:tab/>
      </w:r>
      <w:r>
        <w:rPr>
          <w:b/>
          <w:sz w:val="22"/>
        </w:rPr>
        <w:t>principales</w:t>
        <w:tab/>
        <w:t>cuerpos</w:t>
        <w:tab/>
        <w:t>de</w:t>
        <w:tab/>
        <w:t>agua</w:t>
        <w:tab/>
        <w:t>y</w:t>
        <w:tab/>
        <w:t>su</w:t>
        <w:tab/>
      </w:r>
      <w:r>
        <w:rPr>
          <w:b/>
          <w:spacing w:val="-1"/>
          <w:sz w:val="22"/>
        </w:rPr>
        <w:t>calidad: </w:t>
      </w:r>
      <w:hyperlink r:id="rId792">
        <w:r>
          <w:rPr>
            <w:sz w:val="22"/>
          </w:rPr>
          <w:t>http://www.edomexico.gob.mx/portalgem/medioambiente/mapa/dociemtacion/principalesc</w:t>
        </w:r>
      </w:hyperlink>
      <w:r>
        <w:rPr>
          <w:sz w:val="22"/>
        </w:rPr>
        <w:t> uerposdeagua</w:t>
      </w:r>
    </w:p>
    <w:p>
      <w:pPr>
        <w:pStyle w:val="BodyText"/>
        <w:spacing w:before="5"/>
        <w:rPr>
          <w:sz w:val="17"/>
        </w:rPr>
      </w:pPr>
    </w:p>
    <w:p>
      <w:pPr>
        <w:pStyle w:val="BodyText"/>
        <w:ind w:left="102"/>
      </w:pPr>
      <w:r>
        <w:rPr/>
        <w:t>Cámara de Diputados Federal: </w:t>
      </w:r>
      <w:hyperlink r:id="rId168">
        <w:r>
          <w:rPr/>
          <w:t>http://www.diputados.gob.mx</w:t>
        </w:r>
      </w:hyperlink>
    </w:p>
    <w:p>
      <w:pPr>
        <w:spacing w:after="0"/>
        <w:sectPr>
          <w:pgSz w:w="12240" w:h="15840"/>
          <w:pgMar w:header="0" w:footer="1512" w:top="1500" w:bottom="1700" w:left="1600" w:right="1580"/>
        </w:sectPr>
      </w:pPr>
    </w:p>
    <w:p>
      <w:pPr>
        <w:pStyle w:val="BodyText"/>
        <w:spacing w:before="51"/>
        <w:ind w:left="102"/>
      </w:pPr>
      <w:r>
        <w:rPr/>
        <w:t>CapNET (2000): </w:t>
      </w:r>
      <w:hyperlink r:id="rId793">
        <w:r>
          <w:rPr>
            <w:color w:val="0000FF"/>
            <w:u w:val="single" w:color="0000FF"/>
          </w:rPr>
          <w:t>www.</w:t>
        </w:r>
        <w:r>
          <w:rPr>
            <w:b/>
            <w:color w:val="0000FF"/>
            <w:u w:val="single" w:color="0000FF"/>
          </w:rPr>
          <w:t>cap-net</w:t>
        </w:r>
        <w:r>
          <w:rPr>
            <w:color w:val="0000FF"/>
            <w:u w:val="single" w:color="0000FF"/>
          </w:rPr>
          <w:t>-esp.org/</w:t>
        </w:r>
      </w:hyperlink>
    </w:p>
    <w:p>
      <w:pPr>
        <w:pStyle w:val="BodyText"/>
        <w:spacing w:before="5"/>
      </w:pPr>
    </w:p>
    <w:p>
      <w:pPr>
        <w:pStyle w:val="BodyText"/>
        <w:spacing w:before="72"/>
        <w:ind w:left="102"/>
      </w:pPr>
      <w:r>
        <w:rPr/>
        <w:t>Carpio, José y Elizalde, Antonio (2014): Lo local: ámbito de contención de la globalización</w:t>
      </w:r>
    </w:p>
    <w:p>
      <w:pPr>
        <w:pStyle w:val="BodyText"/>
        <w:spacing w:before="126"/>
        <w:ind w:left="102"/>
      </w:pPr>
      <w:r>
        <w:rPr/>
        <w:t>“perversa”: </w:t>
      </w:r>
      <w:hyperlink r:id="rId794">
        <w:r>
          <w:rPr>
            <w:color w:val="0000FF"/>
            <w:u w:val="single" w:color="0000FF"/>
          </w:rPr>
          <w:t>http://polis.revues.org/2660</w:t>
        </w:r>
      </w:hyperlink>
    </w:p>
    <w:p>
      <w:pPr>
        <w:pStyle w:val="BodyText"/>
        <w:spacing w:before="11"/>
        <w:rPr>
          <w:sz w:val="21"/>
        </w:rPr>
      </w:pPr>
    </w:p>
    <w:p>
      <w:pPr>
        <w:pStyle w:val="BodyText"/>
        <w:tabs>
          <w:tab w:pos="1284" w:val="left" w:leader="none"/>
          <w:tab w:pos="2406" w:val="left" w:leader="none"/>
          <w:tab w:pos="3738" w:val="left" w:leader="none"/>
          <w:tab w:pos="4374" w:val="left" w:leader="none"/>
          <w:tab w:pos="5595" w:val="left" w:leader="none"/>
          <w:tab w:pos="6963" w:val="left" w:leader="none"/>
          <w:tab w:pos="7560" w:val="left" w:leader="none"/>
          <w:tab w:pos="8242" w:val="left" w:leader="none"/>
        </w:tabs>
        <w:spacing w:line="362" w:lineRule="auto" w:before="73"/>
        <w:ind w:left="102" w:right="121"/>
      </w:pPr>
      <w:r>
        <w:rPr/>
        <w:t>CEMDA</w:t>
        <w:tab/>
        <w:t>(Centro</w:t>
        <w:tab/>
        <w:t>Mexicano</w:t>
        <w:tab/>
        <w:t>de</w:t>
        <w:tab/>
        <w:t>Derecho</w:t>
        <w:tab/>
        <w:t>Ambiental</w:t>
        <w:tab/>
        <w:t>A.</w:t>
        <w:tab/>
        <w:t>C.)</w:t>
        <w:tab/>
      </w:r>
      <w:r>
        <w:rPr>
          <w:spacing w:val="-1"/>
        </w:rPr>
        <w:t>(2011): </w:t>
      </w:r>
      <w:hyperlink r:id="rId795">
        <w:r>
          <w:rPr>
            <w:color w:val="0000FF"/>
            <w:u w:val="single" w:color="0000FF"/>
          </w:rPr>
          <w:t>http://www.cemda.org.mx/</w:t>
        </w:r>
      </w:hyperlink>
    </w:p>
    <w:p>
      <w:pPr>
        <w:pStyle w:val="BodyText"/>
        <w:spacing w:before="10"/>
        <w:rPr>
          <w:sz w:val="10"/>
        </w:rPr>
      </w:pPr>
    </w:p>
    <w:p>
      <w:pPr>
        <w:spacing w:line="362" w:lineRule="auto" w:before="72"/>
        <w:ind w:left="102" w:right="0" w:firstLine="0"/>
        <w:jc w:val="left"/>
        <w:rPr>
          <w:sz w:val="22"/>
        </w:rPr>
      </w:pPr>
      <w:r>
        <w:rPr>
          <w:sz w:val="22"/>
        </w:rPr>
        <w:t>Centelles, Josep (2006), </w:t>
      </w:r>
      <w:r>
        <w:rPr>
          <w:b/>
          <w:sz w:val="22"/>
        </w:rPr>
        <w:t>Gobernanza local y estrategias urbanas de sostenibilidad</w:t>
      </w:r>
      <w:r>
        <w:rPr>
          <w:sz w:val="22"/>
        </w:rPr>
        <w:t>: </w:t>
      </w:r>
      <w:hyperlink r:id="rId796">
        <w:r>
          <w:rPr>
            <w:color w:val="0000FF"/>
            <w:sz w:val="22"/>
            <w:u w:val="single" w:color="0000FF"/>
          </w:rPr>
          <w:t>https://dialnet.unirioja.es/</w:t>
        </w:r>
      </w:hyperlink>
    </w:p>
    <w:p>
      <w:pPr>
        <w:pStyle w:val="BodyText"/>
        <w:spacing w:before="1"/>
        <w:rPr>
          <w:sz w:val="11"/>
        </w:rPr>
      </w:pPr>
    </w:p>
    <w:p>
      <w:pPr>
        <w:pStyle w:val="Heading6"/>
        <w:spacing w:line="360" w:lineRule="auto" w:before="73"/>
        <w:ind w:right="116"/>
        <w:jc w:val="both"/>
      </w:pPr>
      <w:r>
        <w:rPr>
          <w:b w:val="0"/>
        </w:rPr>
        <w:t>Centro Agua (2012), </w:t>
      </w:r>
      <w:r>
        <w:rPr/>
        <w:t>Proyecto GIRH (2008-2010), orientado a sentar bases conceptuales, metodológicas y operativas y una estrategia para la Gestión Integral de Recursos Hídricos en cuencas de Bolivia, en interacción con organizaciones de usuarios y gobiernos municipales: </w:t>
      </w:r>
      <w:hyperlink r:id="rId797">
        <w:r>
          <w:rPr>
            <w:color w:val="0000FF"/>
            <w:u w:val="thick" w:color="0000FF"/>
          </w:rPr>
          <w:t>http://centro-agua.org/index.php</w:t>
        </w:r>
      </w:hyperlink>
    </w:p>
    <w:p>
      <w:pPr>
        <w:pStyle w:val="BodyText"/>
        <w:spacing w:before="5"/>
        <w:rPr>
          <w:b/>
          <w:sz w:val="11"/>
        </w:rPr>
      </w:pPr>
    </w:p>
    <w:p>
      <w:pPr>
        <w:pStyle w:val="BodyText"/>
        <w:spacing w:line="360" w:lineRule="auto" w:before="73"/>
        <w:ind w:left="102"/>
      </w:pPr>
      <w:r>
        <w:rPr/>
        <w:t>Centro de Información y Comunicación Ambiental de Norte América (CICEANA): </w:t>
      </w:r>
      <w:hyperlink r:id="rId798">
        <w:r>
          <w:rPr>
            <w:color w:val="0000FF"/>
            <w:u w:val="single" w:color="0000FF"/>
          </w:rPr>
          <w:t>http://www.ciceana.org.mx/recursos/Tratados</w:t>
        </w:r>
      </w:hyperlink>
    </w:p>
    <w:p>
      <w:pPr>
        <w:pStyle w:val="BodyText"/>
        <w:spacing w:before="9"/>
        <w:rPr>
          <w:sz w:val="14"/>
        </w:rPr>
      </w:pPr>
    </w:p>
    <w:p>
      <w:pPr>
        <w:pStyle w:val="BodyText"/>
        <w:tabs>
          <w:tab w:pos="1962" w:val="left" w:leader="none"/>
          <w:tab w:pos="4349" w:val="left" w:leader="none"/>
          <w:tab w:pos="6601" w:val="left" w:leader="none"/>
          <w:tab w:pos="8293" w:val="left" w:leader="none"/>
        </w:tabs>
        <w:spacing w:line="362" w:lineRule="auto" w:before="73"/>
        <w:ind w:left="102" w:right="115"/>
      </w:pPr>
      <w:r>
        <w:rPr/>
        <w:t>CNA</w:t>
        <w:tab/>
        <w:t>(Comisión</w:t>
        <w:tab/>
        <w:t>Nacional</w:t>
        <w:tab/>
        <w:t>del</w:t>
        <w:tab/>
      </w:r>
      <w:r>
        <w:rPr>
          <w:spacing w:val="-1"/>
        </w:rPr>
        <w:t>Agua): </w:t>
      </w:r>
      <w:hyperlink r:id="rId799">
        <w:r>
          <w:rPr/>
          <w:t>http://siga.cna.gob.mx/contenido/antecedentes/antecedentes.aspx.</w:t>
        </w:r>
      </w:hyperlink>
    </w:p>
    <w:p>
      <w:pPr>
        <w:pStyle w:val="BodyText"/>
        <w:spacing w:before="2"/>
        <w:rPr>
          <w:sz w:val="17"/>
        </w:rPr>
      </w:pPr>
    </w:p>
    <w:p>
      <w:pPr>
        <w:tabs>
          <w:tab w:pos="1234" w:val="left" w:leader="none"/>
          <w:tab w:pos="2459" w:val="left" w:leader="none"/>
          <w:tab w:pos="3551" w:val="left" w:leader="none"/>
          <w:tab w:pos="4081" w:val="left" w:leader="none"/>
          <w:tab w:pos="4906" w:val="left" w:leader="none"/>
          <w:tab w:pos="5846" w:val="left" w:leader="none"/>
          <w:tab w:pos="6656" w:val="left" w:leader="none"/>
          <w:tab w:pos="7739" w:val="left" w:leader="none"/>
          <w:tab w:pos="8233" w:val="left" w:leader="none"/>
        </w:tabs>
        <w:spacing w:line="276" w:lineRule="auto" w:before="0"/>
        <w:ind w:left="102" w:right="116" w:firstLine="0"/>
        <w:jc w:val="left"/>
        <w:rPr>
          <w:sz w:val="22"/>
        </w:rPr>
      </w:pPr>
      <w:r>
        <w:rPr>
          <w:sz w:val="22"/>
        </w:rPr>
        <w:t>Conagua</w:t>
        <w:tab/>
        <w:t>(Comisión</w:t>
        <w:tab/>
        <w:t>Nacional</w:t>
        <w:tab/>
        <w:t>del</w:t>
        <w:tab/>
        <w:t>Agua)</w:t>
        <w:tab/>
        <w:t>(2009),</w:t>
        <w:tab/>
      </w:r>
      <w:r>
        <w:rPr>
          <w:b/>
          <w:sz w:val="22"/>
        </w:rPr>
        <w:t>Tabla</w:t>
        <w:tab/>
        <w:t>maestra</w:t>
        <w:tab/>
        <w:t>de</w:t>
        <w:tab/>
      </w:r>
      <w:r>
        <w:rPr>
          <w:b/>
          <w:spacing w:val="-1"/>
          <w:sz w:val="22"/>
        </w:rPr>
        <w:t>presas </w:t>
      </w:r>
      <w:r>
        <w:rPr>
          <w:b/>
          <w:sz w:val="22"/>
        </w:rPr>
        <w:t>principales</w:t>
      </w:r>
      <w:r>
        <w:rPr>
          <w:sz w:val="22"/>
        </w:rPr>
        <w:t>:</w:t>
      </w:r>
      <w:hyperlink r:id="rId800">
        <w:r>
          <w:rPr>
            <w:color w:val="0000FF"/>
            <w:sz w:val="22"/>
            <w:u w:val="single" w:color="0000FF"/>
          </w:rPr>
          <w:t>http://conagua.org.mx/</w:t>
        </w:r>
      </w:hyperlink>
    </w:p>
    <w:p>
      <w:pPr>
        <w:pStyle w:val="BodyText"/>
        <w:spacing w:before="3"/>
        <w:rPr>
          <w:sz w:val="11"/>
        </w:rPr>
      </w:pPr>
    </w:p>
    <w:p>
      <w:pPr>
        <w:pStyle w:val="BodyText"/>
        <w:spacing w:before="72"/>
        <w:ind w:left="102"/>
      </w:pPr>
      <w:r>
        <w:rPr/>
        <w:t>Conagua (Comisión Nacional del Agua) (2010): </w:t>
      </w:r>
      <w:hyperlink r:id="rId801">
        <w:r>
          <w:rPr>
            <w:color w:val="0000FF"/>
            <w:u w:val="single" w:color="0000FF"/>
          </w:rPr>
          <w:t>www.</w:t>
        </w:r>
        <w:r>
          <w:rPr>
            <w:b/>
            <w:color w:val="0000FF"/>
            <w:u w:val="single" w:color="0000FF"/>
          </w:rPr>
          <w:t>conagua</w:t>
        </w:r>
        <w:r>
          <w:rPr>
            <w:color w:val="0000FF"/>
            <w:u w:val="single" w:color="0000FF"/>
          </w:rPr>
          <w:t>.gob.mx/</w:t>
        </w:r>
      </w:hyperlink>
    </w:p>
    <w:p>
      <w:pPr>
        <w:pStyle w:val="BodyText"/>
        <w:spacing w:before="2"/>
      </w:pPr>
    </w:p>
    <w:p>
      <w:pPr>
        <w:pStyle w:val="BodyText"/>
        <w:spacing w:before="73"/>
        <w:ind w:left="102"/>
      </w:pPr>
      <w:r>
        <w:rPr/>
        <w:t>Conapesca: </w:t>
      </w:r>
      <w:hyperlink r:id="rId162">
        <w:r>
          <w:rPr/>
          <w:t>http://www.conapesca.sagarpa.gob.mx/</w:t>
        </w:r>
      </w:hyperlink>
    </w:p>
    <w:p>
      <w:pPr>
        <w:pStyle w:val="BodyText"/>
        <w:spacing w:before="5"/>
        <w:rPr>
          <w:sz w:val="28"/>
        </w:rPr>
      </w:pPr>
    </w:p>
    <w:p>
      <w:pPr>
        <w:pStyle w:val="BodyText"/>
        <w:spacing w:line="360" w:lineRule="auto" w:before="1"/>
        <w:ind w:left="102"/>
      </w:pPr>
      <w:r>
        <w:rPr/>
        <w:t>Conferencia de las Naciones Unidas Sobre el Medio Ambiente y el Desarrollo (CNUMAD):</w:t>
      </w:r>
      <w:hyperlink r:id="rId802">
        <w:r>
          <w:rPr>
            <w:color w:val="0000FF"/>
            <w:u w:val="single" w:color="0000FF"/>
          </w:rPr>
          <w:t>http://www.un.org/spanish/conferences/</w:t>
        </w:r>
      </w:hyperlink>
    </w:p>
    <w:p>
      <w:pPr>
        <w:pStyle w:val="BodyText"/>
        <w:spacing w:before="3"/>
        <w:rPr>
          <w:sz w:val="11"/>
        </w:rPr>
      </w:pPr>
    </w:p>
    <w:p>
      <w:pPr>
        <w:pStyle w:val="BodyText"/>
        <w:spacing w:line="360" w:lineRule="auto" w:before="73"/>
        <w:ind w:left="102"/>
      </w:pPr>
      <w:r>
        <w:rPr/>
        <w:t>Constitución Política del Estado Libre y Soberano de México 2014, editorial SIST: </w:t>
      </w:r>
      <w:hyperlink r:id="rId803">
        <w:r>
          <w:rPr>
            <w:color w:val="0000FF"/>
            <w:u w:val="single" w:color="0000FF"/>
          </w:rPr>
          <w:t>www.sista.com.mx</w:t>
        </w:r>
      </w:hyperlink>
    </w:p>
    <w:p>
      <w:pPr>
        <w:pStyle w:val="BodyText"/>
        <w:spacing w:before="5"/>
        <w:rPr>
          <w:sz w:val="11"/>
        </w:rPr>
      </w:pPr>
    </w:p>
    <w:p>
      <w:pPr>
        <w:pStyle w:val="BodyText"/>
        <w:spacing w:before="73"/>
        <w:ind w:left="102"/>
      </w:pPr>
      <w:r>
        <w:rPr/>
        <w:t>Convenio sobre la Diversidad Biológica: </w:t>
      </w:r>
      <w:hyperlink r:id="rId804">
        <w:r>
          <w:rPr>
            <w:color w:val="0000FF"/>
            <w:u w:val="single" w:color="0000FF"/>
          </w:rPr>
          <w:t>http://www.un.org/es/</w:t>
        </w:r>
      </w:hyperlink>
    </w:p>
    <w:p>
      <w:pPr>
        <w:pStyle w:val="BodyText"/>
        <w:spacing w:before="11"/>
        <w:rPr>
          <w:sz w:val="21"/>
        </w:rPr>
      </w:pPr>
    </w:p>
    <w:p>
      <w:pPr>
        <w:pStyle w:val="BodyText"/>
        <w:spacing w:before="73"/>
        <w:ind w:left="102"/>
      </w:pPr>
      <w:r>
        <w:rPr/>
        <w:t>Cuenca Amanalco Valle de Bravo: </w:t>
      </w:r>
      <w:hyperlink r:id="rId805">
        <w:r>
          <w:rPr>
            <w:color w:val="0000FF"/>
            <w:u w:val="single" w:color="0000FF"/>
          </w:rPr>
          <w:t>http://www.cuencaamanalcovalle.org/</w:t>
        </w:r>
      </w:hyperlink>
    </w:p>
    <w:p>
      <w:pPr>
        <w:spacing w:after="0"/>
        <w:sectPr>
          <w:pgSz w:w="12240" w:h="15840"/>
          <w:pgMar w:header="0" w:footer="1512" w:top="1360" w:bottom="1700" w:left="1600" w:right="1580"/>
        </w:sectPr>
      </w:pPr>
    </w:p>
    <w:p>
      <w:pPr>
        <w:pStyle w:val="BodyText"/>
        <w:tabs>
          <w:tab w:pos="1179" w:val="left" w:leader="none"/>
          <w:tab w:pos="2239" w:val="left" w:leader="none"/>
          <w:tab w:pos="3086" w:val="left" w:leader="none"/>
          <w:tab w:pos="3549" w:val="left" w:leader="none"/>
          <w:tab w:pos="4842" w:val="left" w:leader="none"/>
          <w:tab w:pos="6167" w:val="left" w:leader="none"/>
          <w:tab w:pos="6582" w:val="left" w:leader="none"/>
          <w:tab w:pos="8392" w:val="left" w:leader="none"/>
        </w:tabs>
        <w:spacing w:line="362" w:lineRule="auto" w:before="53"/>
        <w:ind w:left="102" w:right="114"/>
      </w:pPr>
      <w:r>
        <w:rPr/>
        <w:t>Cumbre</w:t>
        <w:tab/>
        <w:t>Mundial</w:t>
        <w:tab/>
        <w:t>sobre</w:t>
        <w:tab/>
        <w:t>el</w:t>
        <w:tab/>
        <w:t>Desarrollo</w:t>
        <w:tab/>
        <w:t>Sostenible</w:t>
        <w:tab/>
        <w:t>–</w:t>
        <w:tab/>
        <w:t>Johannesburgo</w:t>
        <w:tab/>
        <w:t>2002: </w:t>
      </w:r>
      <w:hyperlink r:id="rId806">
        <w:r>
          <w:rPr>
            <w:color w:val="0000FF"/>
            <w:u w:val="single" w:color="0000FF"/>
          </w:rPr>
          <w:t>http://www.ambiente.gov.ar/</w:t>
        </w:r>
      </w:hyperlink>
    </w:p>
    <w:p>
      <w:pPr>
        <w:pStyle w:val="BodyText"/>
        <w:spacing w:before="1"/>
        <w:rPr>
          <w:sz w:val="11"/>
        </w:rPr>
      </w:pPr>
    </w:p>
    <w:p>
      <w:pPr>
        <w:pStyle w:val="BodyText"/>
        <w:spacing w:line="360" w:lineRule="auto" w:before="72"/>
        <w:ind w:left="102"/>
      </w:pPr>
      <w:r>
        <w:rPr/>
        <w:t>Declaración de la Conferencia de las Naciones Unidas Sobre el Medio Humano: </w:t>
      </w:r>
      <w:hyperlink r:id="rId806">
        <w:r>
          <w:rPr>
            <w:color w:val="0000FF"/>
            <w:u w:val="single" w:color="0000FF"/>
          </w:rPr>
          <w:t>http://www.ambiente.gov.ar/</w:t>
        </w:r>
      </w:hyperlink>
    </w:p>
    <w:p>
      <w:pPr>
        <w:pStyle w:val="BodyText"/>
        <w:spacing w:before="5"/>
        <w:rPr>
          <w:sz w:val="11"/>
        </w:rPr>
      </w:pPr>
    </w:p>
    <w:p>
      <w:pPr>
        <w:spacing w:line="360" w:lineRule="auto" w:before="73"/>
        <w:ind w:left="102" w:right="116" w:firstLine="0"/>
        <w:jc w:val="left"/>
        <w:rPr>
          <w:sz w:val="22"/>
        </w:rPr>
      </w:pPr>
      <w:r>
        <w:rPr>
          <w:sz w:val="22"/>
        </w:rPr>
        <w:t>Delgado, María Fernanda (2012), </w:t>
      </w:r>
      <w:r>
        <w:rPr>
          <w:i/>
          <w:sz w:val="22"/>
        </w:rPr>
        <w:t>¿Qué es el neoliberalismo? ¿Es bueno para México?</w:t>
      </w:r>
      <w:r>
        <w:rPr>
          <w:sz w:val="22"/>
        </w:rPr>
        <w:t>: </w:t>
      </w:r>
      <w:hyperlink r:id="rId807">
        <w:r>
          <w:rPr>
            <w:sz w:val="22"/>
          </w:rPr>
          <w:t>http://elgiromx.org/2012/06/14/que-es-el-neoliberalismo-es-bueno-para-mexico.</w:t>
        </w:r>
      </w:hyperlink>
    </w:p>
    <w:p>
      <w:pPr>
        <w:pStyle w:val="BodyText"/>
        <w:spacing w:before="7"/>
        <w:rPr>
          <w:sz w:val="17"/>
        </w:rPr>
      </w:pPr>
    </w:p>
    <w:p>
      <w:pPr>
        <w:pStyle w:val="BodyText"/>
        <w:spacing w:line="276" w:lineRule="auto"/>
        <w:ind w:left="102" w:right="281"/>
      </w:pPr>
      <w:r>
        <w:rPr/>
        <w:t>Embarcadero-de-el-azafran:elaculcoautentico.blogspot.com/2010/06/el-embarcadero-de- el-azafran.html.</w:t>
      </w:r>
    </w:p>
    <w:p>
      <w:pPr>
        <w:pStyle w:val="BodyText"/>
        <w:spacing w:before="7"/>
        <w:rPr>
          <w:sz w:val="17"/>
        </w:rPr>
      </w:pPr>
    </w:p>
    <w:p>
      <w:pPr>
        <w:pStyle w:val="BodyText"/>
        <w:tabs>
          <w:tab w:pos="1637" w:val="left" w:leader="none"/>
          <w:tab w:pos="2698" w:val="left" w:leader="none"/>
          <w:tab w:pos="3685" w:val="left" w:leader="none"/>
        </w:tabs>
        <w:spacing w:line="360" w:lineRule="auto"/>
        <w:ind w:left="102" w:right="116"/>
      </w:pPr>
      <w:r>
        <w:rPr/>
        <w:t>Enciclopedia</w:t>
        <w:tab/>
        <w:t>Jurídica</w:t>
        <w:tab/>
        <w:t>(2014):</w:t>
        <w:tab/>
      </w:r>
      <w:hyperlink r:id="rId808">
        <w:r>
          <w:rPr>
            <w:spacing w:val="-1"/>
          </w:rPr>
          <w:t>http://www.enciclopedia-juridica.biz14.com/d/derecho-</w:t>
        </w:r>
      </w:hyperlink>
      <w:r>
        <w:rPr>
          <w:spacing w:val="-1"/>
        </w:rPr>
        <w:t> </w:t>
      </w:r>
      <w:r>
        <w:rPr/>
        <w:t>consuetudinario/derecho-consuetudinario.htm</w:t>
      </w:r>
    </w:p>
    <w:p>
      <w:pPr>
        <w:pStyle w:val="BodyText"/>
        <w:spacing w:before="7"/>
        <w:rPr>
          <w:sz w:val="17"/>
        </w:rPr>
      </w:pPr>
    </w:p>
    <w:p>
      <w:pPr>
        <w:pStyle w:val="BodyText"/>
        <w:ind w:left="102"/>
      </w:pPr>
      <w:r>
        <w:rPr/>
        <w:t>FAO (</w:t>
      </w:r>
      <w:r>
        <w:rPr>
          <w:color w:val="242424"/>
        </w:rPr>
        <w:t>Organización de las Naciones Unidas para la Alimentación y la Agricultura</w:t>
      </w:r>
      <w:r>
        <w:rPr>
          <w:color w:val="242424"/>
          <w:sz w:val="21"/>
        </w:rPr>
        <w:t>)   </w:t>
      </w:r>
      <w:r>
        <w:rPr/>
        <w:t>(2004),</w:t>
      </w:r>
    </w:p>
    <w:p>
      <w:pPr>
        <w:spacing w:before="126"/>
        <w:ind w:left="102" w:right="0" w:firstLine="0"/>
        <w:jc w:val="left"/>
        <w:rPr>
          <w:sz w:val="22"/>
        </w:rPr>
      </w:pPr>
      <w:r>
        <w:rPr>
          <w:b/>
          <w:sz w:val="22"/>
        </w:rPr>
        <w:t>Departamento de Pesca y Acuicultura</w:t>
      </w:r>
      <w:r>
        <w:rPr>
          <w:sz w:val="22"/>
        </w:rPr>
        <w:t>: </w:t>
      </w:r>
      <w:hyperlink r:id="rId809">
        <w:r>
          <w:rPr>
            <w:color w:val="0000FF"/>
            <w:sz w:val="22"/>
            <w:u w:val="single" w:color="0000FF"/>
          </w:rPr>
          <w:t>http://www.fao.org/fishery/countrysector/</w:t>
        </w:r>
      </w:hyperlink>
    </w:p>
    <w:p>
      <w:pPr>
        <w:pStyle w:val="BodyText"/>
        <w:spacing w:before="2"/>
      </w:pPr>
    </w:p>
    <w:p>
      <w:pPr>
        <w:spacing w:line="360" w:lineRule="auto" w:before="73"/>
        <w:ind w:left="102" w:right="116" w:firstLine="0"/>
        <w:jc w:val="both"/>
        <w:rPr>
          <w:sz w:val="22"/>
        </w:rPr>
      </w:pPr>
      <w:r>
        <w:rPr>
          <w:sz w:val="22"/>
        </w:rPr>
        <w:t>FAO (</w:t>
      </w:r>
      <w:r>
        <w:rPr>
          <w:color w:val="242424"/>
          <w:sz w:val="22"/>
        </w:rPr>
        <w:t>Organización de las Naciones Unidas para la Alimentación y la Agricultura</w:t>
      </w:r>
      <w:r>
        <w:rPr>
          <w:color w:val="242424"/>
          <w:sz w:val="21"/>
        </w:rPr>
        <w:t>) </w:t>
      </w:r>
      <w:r>
        <w:rPr>
          <w:sz w:val="22"/>
        </w:rPr>
        <w:t>(2012), </w:t>
      </w:r>
      <w:r>
        <w:rPr>
          <w:b/>
          <w:sz w:val="22"/>
        </w:rPr>
        <w:t>Informe: El Estado Mundial de la Agricultura y la Alimentación (FAO)</w:t>
      </w:r>
      <w:r>
        <w:rPr>
          <w:sz w:val="22"/>
        </w:rPr>
        <w:t>: </w:t>
      </w:r>
      <w:hyperlink r:id="rId810">
        <w:r>
          <w:rPr>
            <w:color w:val="0000FF"/>
            <w:sz w:val="22"/>
            <w:u w:val="single" w:color="0000FF"/>
          </w:rPr>
          <w:t>http://www.fao.org/</w:t>
        </w:r>
      </w:hyperlink>
    </w:p>
    <w:p>
      <w:pPr>
        <w:pStyle w:val="BodyText"/>
        <w:spacing w:before="3"/>
        <w:rPr>
          <w:sz w:val="11"/>
        </w:rPr>
      </w:pPr>
    </w:p>
    <w:p>
      <w:pPr>
        <w:pStyle w:val="BodyText"/>
        <w:spacing w:before="73"/>
        <w:ind w:left="102"/>
      </w:pPr>
      <w:r>
        <w:rPr/>
        <w:t>Fundación AVINA (2011): </w:t>
      </w:r>
      <w:hyperlink r:id="rId811">
        <w:r>
          <w:rPr>
            <w:color w:val="0000FF"/>
            <w:u w:val="single" w:color="0000FF"/>
          </w:rPr>
          <w:t>www.</w:t>
        </w:r>
        <w:r>
          <w:rPr>
            <w:b/>
            <w:color w:val="0000FF"/>
            <w:u w:val="single" w:color="0000FF"/>
          </w:rPr>
          <w:t>avina</w:t>
        </w:r>
        <w:r>
          <w:rPr>
            <w:color w:val="0000FF"/>
            <w:u w:val="single" w:color="0000FF"/>
          </w:rPr>
          <w:t>.net/</w:t>
        </w:r>
      </w:hyperlink>
    </w:p>
    <w:p>
      <w:pPr>
        <w:pStyle w:val="BodyText"/>
        <w:spacing w:before="2"/>
      </w:pPr>
    </w:p>
    <w:p>
      <w:pPr>
        <w:pStyle w:val="BodyText"/>
        <w:spacing w:before="73"/>
        <w:ind w:left="102"/>
      </w:pPr>
      <w:r>
        <w:rPr/>
        <w:t>Global Water Partnership (2012): </w:t>
      </w:r>
      <w:hyperlink r:id="rId812">
        <w:r>
          <w:rPr>
            <w:color w:val="0000FF"/>
            <w:u w:val="single" w:color="0000FF"/>
          </w:rPr>
          <w:t>http://www.gwp.org/en/The-Challenge/</w:t>
        </w:r>
      </w:hyperlink>
    </w:p>
    <w:p>
      <w:pPr>
        <w:pStyle w:val="BodyText"/>
        <w:spacing w:before="11"/>
        <w:rPr>
          <w:sz w:val="21"/>
        </w:rPr>
      </w:pPr>
    </w:p>
    <w:p>
      <w:pPr>
        <w:spacing w:line="360" w:lineRule="auto" w:before="73"/>
        <w:ind w:left="102" w:right="116" w:firstLine="0"/>
        <w:jc w:val="both"/>
        <w:rPr>
          <w:sz w:val="22"/>
        </w:rPr>
      </w:pPr>
      <w:r>
        <w:rPr>
          <w:sz w:val="22"/>
        </w:rPr>
        <w:t>Gobierno del Estado de México (2014) </w:t>
      </w:r>
      <w:r>
        <w:rPr>
          <w:b/>
          <w:sz w:val="22"/>
        </w:rPr>
        <w:t>Ley Orgánica Municipal del Estado de México, d</w:t>
      </w:r>
      <w:r>
        <w:rPr>
          <w:sz w:val="22"/>
        </w:rPr>
        <w:t>ocumento en línea: </w:t>
      </w:r>
      <w:hyperlink r:id="rId813">
        <w:r>
          <w:rPr>
            <w:color w:val="0000FF"/>
            <w:sz w:val="22"/>
            <w:u w:val="single" w:color="0000FF"/>
          </w:rPr>
          <w:t>http://mexico.justia.com/estados/mex/leyes/ley-organica-municipal-</w:t>
        </w:r>
      </w:hyperlink>
      <w:r>
        <w:rPr>
          <w:color w:val="0000FF"/>
          <w:sz w:val="22"/>
          <w:u w:val="single" w:color="0000FF"/>
        </w:rPr>
        <w:t> </w:t>
      </w:r>
      <w:hyperlink r:id="rId813">
        <w:r>
          <w:rPr>
            <w:color w:val="0000FF"/>
            <w:sz w:val="22"/>
            <w:u w:val="single" w:color="0000FF"/>
          </w:rPr>
          <w:t>del-estado-de-mexico/</w:t>
        </w:r>
      </w:hyperlink>
    </w:p>
    <w:p>
      <w:pPr>
        <w:pStyle w:val="BodyText"/>
        <w:spacing w:before="1"/>
        <w:rPr>
          <w:sz w:val="11"/>
        </w:rPr>
      </w:pPr>
    </w:p>
    <w:p>
      <w:pPr>
        <w:spacing w:line="362" w:lineRule="auto" w:before="72"/>
        <w:ind w:left="102" w:right="0" w:firstLine="0"/>
        <w:jc w:val="left"/>
        <w:rPr>
          <w:sz w:val="22"/>
        </w:rPr>
      </w:pPr>
      <w:r>
        <w:rPr>
          <w:sz w:val="22"/>
        </w:rPr>
        <w:t>Gutiérrez, P. M. (2007), </w:t>
      </w:r>
      <w:r>
        <w:rPr>
          <w:b/>
          <w:sz w:val="22"/>
        </w:rPr>
        <w:t>Mapas sociales: método y ejemplos prácticos</w:t>
      </w:r>
      <w:r>
        <w:rPr>
          <w:sz w:val="22"/>
        </w:rPr>
        <w:t>, documento bajado del sitio: </w:t>
      </w:r>
      <w:hyperlink r:id="rId814">
        <w:r>
          <w:rPr>
            <w:color w:val="0000FF"/>
            <w:sz w:val="22"/>
            <w:u w:val="single" w:color="0000FF"/>
          </w:rPr>
          <w:t>www.preval.org</w:t>
        </w:r>
      </w:hyperlink>
      <w:r>
        <w:rPr>
          <w:sz w:val="22"/>
        </w:rPr>
        <w:t>.</w:t>
      </w:r>
    </w:p>
    <w:p>
      <w:pPr>
        <w:pStyle w:val="BodyText"/>
        <w:spacing w:before="9"/>
        <w:rPr>
          <w:sz w:val="26"/>
        </w:rPr>
      </w:pPr>
    </w:p>
    <w:p>
      <w:pPr>
        <w:spacing w:line="360" w:lineRule="auto" w:before="72"/>
        <w:ind w:left="102" w:right="115" w:firstLine="0"/>
        <w:jc w:val="both"/>
        <w:rPr>
          <w:sz w:val="22"/>
        </w:rPr>
      </w:pPr>
      <w:r>
        <w:rPr>
          <w:sz w:val="22"/>
        </w:rPr>
        <w:t>GWP (Global Water Partnership) (2009), </w:t>
      </w:r>
      <w:r>
        <w:rPr>
          <w:b/>
          <w:sz w:val="22"/>
        </w:rPr>
        <w:t>Integrated Water Resources Management in Practice: Better Water Management for Development, </w:t>
      </w:r>
      <w:r>
        <w:rPr>
          <w:sz w:val="22"/>
        </w:rPr>
        <w:t>por Roberto Lenton and Mike Muller of the Global Water Partnership Technical Committee: </w:t>
      </w:r>
      <w:hyperlink r:id="rId815">
        <w:r>
          <w:rPr>
            <w:sz w:val="22"/>
          </w:rPr>
          <w:t>http://www.gwpforum.org/</w:t>
        </w:r>
      </w:hyperlink>
    </w:p>
    <w:p>
      <w:pPr>
        <w:pStyle w:val="BodyText"/>
        <w:spacing w:before="7"/>
        <w:rPr>
          <w:sz w:val="17"/>
        </w:rPr>
      </w:pPr>
    </w:p>
    <w:p>
      <w:pPr>
        <w:pStyle w:val="BodyText"/>
        <w:ind w:left="102"/>
        <w:jc w:val="both"/>
      </w:pPr>
      <w:hyperlink r:id="rId816">
        <w:r>
          <w:rPr>
            <w:color w:val="0000FF"/>
            <w:u w:val="single" w:color="0000FF"/>
          </w:rPr>
          <w:t>http://biblio.juridicas.unam.mx/</w:t>
        </w:r>
      </w:hyperlink>
    </w:p>
    <w:p>
      <w:pPr>
        <w:pStyle w:val="BodyText"/>
        <w:spacing w:before="5"/>
        <w:rPr>
          <w:sz w:val="14"/>
        </w:rPr>
      </w:pPr>
    </w:p>
    <w:p>
      <w:pPr>
        <w:pStyle w:val="BodyText"/>
        <w:spacing w:before="73"/>
        <w:ind w:left="102"/>
      </w:pPr>
      <w:hyperlink r:id="rId817">
        <w:r>
          <w:rPr/>
          <w:t>http://portal2.edomex.gob.mx/ifrem/acercadelinstituto/funcion/index.htm</w:t>
        </w:r>
      </w:hyperlink>
    </w:p>
    <w:p>
      <w:pPr>
        <w:spacing w:after="0"/>
        <w:sectPr>
          <w:pgSz w:w="12240" w:h="15840"/>
          <w:pgMar w:header="0" w:footer="1512" w:top="1360" w:bottom="1700" w:left="1600" w:right="1580"/>
        </w:sectPr>
      </w:pPr>
    </w:p>
    <w:p>
      <w:pPr>
        <w:pStyle w:val="BodyText"/>
        <w:spacing w:line="360" w:lineRule="auto" w:before="53"/>
        <w:ind w:left="102"/>
      </w:pPr>
      <w:hyperlink r:id="rId818">
        <w:r>
          <w:rPr>
            <w:color w:val="0000FF"/>
            <w:u w:val="single" w:color="0000FF"/>
          </w:rPr>
          <w:t>http://portal2.edomex.gob.mx/ifrem/oficinasregistrales/index.htm</w:t>
        </w:r>
      </w:hyperlink>
      <w:r>
        <w:rPr>
          <w:color w:val="0000FF"/>
          <w:u w:val="single" w:color="0000FF"/>
        </w:rPr>
        <w:t> </w:t>
      </w:r>
      <w:hyperlink r:id="rId151">
        <w:r>
          <w:rPr/>
          <w:t>http://portal2.edomex.gob.mx/sedagro/acerca_secretaria/funciones./index.htm</w:t>
        </w:r>
      </w:hyperlink>
      <w:r>
        <w:rPr/>
        <w:t> </w:t>
      </w:r>
      <w:hyperlink r:id="rId150">
        <w:r>
          <w:rPr/>
          <w:t>http://portal2.edomex.gob.mx/sma/acerca_secretaria/funciones/index.htm</w:t>
        </w:r>
      </w:hyperlink>
      <w:r>
        <w:rPr/>
        <w:t> </w:t>
      </w:r>
      <w:hyperlink r:id="rId148">
        <w:r>
          <w:rPr/>
          <w:t>http://qacontent.edomex.gob.mx/caem/acercadelacaem/funciones/index.htm</w:t>
        </w:r>
      </w:hyperlink>
      <w:r>
        <w:rPr/>
        <w:t>, </w:t>
      </w:r>
      <w:hyperlink r:id="rId819">
        <w:r>
          <w:rPr>
            <w:color w:val="0000FF"/>
            <w:u w:val="single" w:color="0000FF"/>
          </w:rPr>
          <w:t>http://qacontent.edomex.gob.mx/saop/inicio/acerca_de_la_secretaria/mision_vision_y_obj</w:t>
        </w:r>
      </w:hyperlink>
      <w:r>
        <w:rPr>
          <w:color w:val="0000FF"/>
          <w:u w:val="single" w:color="0000FF"/>
        </w:rPr>
        <w:t> </w:t>
      </w:r>
      <w:hyperlink r:id="rId819">
        <w:r>
          <w:rPr>
            <w:color w:val="0000FF"/>
            <w:u w:val="single" w:color="0000FF"/>
          </w:rPr>
          <w:t>etivo/index.htm</w:t>
        </w:r>
      </w:hyperlink>
    </w:p>
    <w:p>
      <w:pPr>
        <w:pStyle w:val="BodyText"/>
        <w:spacing w:before="3"/>
        <w:rPr>
          <w:sz w:val="11"/>
        </w:rPr>
      </w:pPr>
    </w:p>
    <w:p>
      <w:pPr>
        <w:pStyle w:val="BodyText"/>
        <w:spacing w:before="73"/>
        <w:ind w:left="102"/>
      </w:pPr>
      <w:hyperlink r:id="rId152">
        <w:r>
          <w:rPr/>
          <w:t>http://sedagro.edomex.gob.mx/mision_vision_objetivo</w:t>
        </w:r>
      </w:hyperlink>
    </w:p>
    <w:p>
      <w:pPr>
        <w:pStyle w:val="BodyText"/>
        <w:spacing w:before="5"/>
        <w:rPr>
          <w:sz w:val="28"/>
        </w:rPr>
      </w:pPr>
    </w:p>
    <w:p>
      <w:pPr>
        <w:pStyle w:val="BodyText"/>
        <w:spacing w:line="360" w:lineRule="auto" w:before="1"/>
        <w:ind w:left="102" w:right="2630"/>
      </w:pPr>
      <w:hyperlink r:id="rId149">
        <w:r>
          <w:rPr/>
          <w:t>http://www.edomex.gob.mx/saop</w:t>
        </w:r>
      </w:hyperlink>
      <w:r>
        <w:rPr/>
        <w:t> </w:t>
      </w:r>
      <w:hyperlink r:id="rId820">
        <w:r>
          <w:rPr/>
          <w:t>http://www.ejournal.unam.mx/pde/pde142/PDE14201.pdf</w:t>
        </w:r>
      </w:hyperlink>
    </w:p>
    <w:p>
      <w:pPr>
        <w:pStyle w:val="BodyText"/>
        <w:spacing w:before="7"/>
        <w:rPr>
          <w:sz w:val="17"/>
        </w:rPr>
      </w:pPr>
    </w:p>
    <w:p>
      <w:pPr>
        <w:pStyle w:val="BodyText"/>
        <w:spacing w:line="362" w:lineRule="auto"/>
        <w:ind w:left="102" w:right="675"/>
      </w:pPr>
      <w:hyperlink r:id="rId821">
        <w:r>
          <w:rPr/>
          <w:t>http://www.monografias.com/trabajos73/democracia-participacion-social/democracia-</w:t>
        </w:r>
      </w:hyperlink>
      <w:r>
        <w:rPr/>
        <w:t> participacion-social</w:t>
      </w:r>
    </w:p>
    <w:p>
      <w:pPr>
        <w:pStyle w:val="BodyText"/>
        <w:spacing w:before="4"/>
        <w:rPr>
          <w:sz w:val="17"/>
        </w:rPr>
      </w:pPr>
    </w:p>
    <w:p>
      <w:pPr>
        <w:pStyle w:val="BodyText"/>
        <w:ind w:left="102"/>
      </w:pPr>
      <w:hyperlink r:id="rId161">
        <w:r>
          <w:rPr>
            <w:color w:val="0000FF"/>
            <w:u w:val="single" w:color="0000FF"/>
          </w:rPr>
          <w:t>http://www.semarnat.gob.mx/conocenos/mision-y-vision</w:t>
        </w:r>
      </w:hyperlink>
      <w:r>
        <w:rPr/>
        <w:t>,</w:t>
      </w:r>
    </w:p>
    <w:p>
      <w:pPr>
        <w:pStyle w:val="BodyText"/>
        <w:spacing w:before="11"/>
        <w:rPr>
          <w:sz w:val="21"/>
        </w:rPr>
      </w:pPr>
    </w:p>
    <w:p>
      <w:pPr>
        <w:pStyle w:val="BodyText"/>
        <w:spacing w:before="73"/>
        <w:ind w:left="102"/>
      </w:pPr>
      <w:r>
        <w:rPr/>
        <w:t>Importancia de un Reglamento:</w:t>
      </w:r>
      <w:hyperlink r:id="rId706">
        <w:r>
          <w:rPr>
            <w:color w:val="0000FF"/>
            <w:u w:val="single" w:color="0000FF"/>
          </w:rPr>
          <w:t>http://www.importancia.org/reglamento</w:t>
        </w:r>
      </w:hyperlink>
    </w:p>
    <w:p>
      <w:pPr>
        <w:pStyle w:val="BodyText"/>
        <w:spacing w:before="2"/>
      </w:pPr>
    </w:p>
    <w:p>
      <w:pPr>
        <w:pStyle w:val="BodyText"/>
        <w:spacing w:before="73"/>
        <w:ind w:left="102"/>
      </w:pPr>
      <w:r>
        <w:rPr/>
        <w:t>Insituto   Nacional   para   el   Federalismo   y   el   Desarrollo   Municipal   (Inafed) (2013),</w:t>
      </w:r>
    </w:p>
    <w:p>
      <w:pPr>
        <w:spacing w:before="124"/>
        <w:ind w:left="102" w:right="0" w:firstLine="0"/>
        <w:jc w:val="left"/>
        <w:rPr>
          <w:sz w:val="22"/>
        </w:rPr>
      </w:pPr>
      <w:r>
        <w:rPr>
          <w:b/>
          <w:sz w:val="22"/>
        </w:rPr>
        <w:t>Enciclopedia de los Municipios y delegaciones de México</w:t>
      </w:r>
      <w:r>
        <w:rPr>
          <w:sz w:val="22"/>
        </w:rPr>
        <w:t>: </w:t>
      </w:r>
      <w:hyperlink r:id="rId822">
        <w:r>
          <w:rPr>
            <w:color w:val="0000FF"/>
            <w:sz w:val="22"/>
            <w:u w:val="single" w:color="0000FF"/>
          </w:rPr>
          <w:t>http://www.inafed.gob.mx/</w:t>
        </w:r>
      </w:hyperlink>
    </w:p>
    <w:p>
      <w:pPr>
        <w:pStyle w:val="BodyText"/>
        <w:spacing w:before="2"/>
      </w:pPr>
    </w:p>
    <w:p>
      <w:pPr>
        <w:pStyle w:val="BodyText"/>
        <w:spacing w:before="73"/>
        <w:ind w:left="102"/>
      </w:pPr>
      <w:r>
        <w:rPr/>
        <w:t>Instituto Mexicano para la Competitividad, A.C.(2014): </w:t>
      </w:r>
      <w:hyperlink r:id="rId823">
        <w:r>
          <w:rPr>
            <w:color w:val="0000FF"/>
            <w:u w:val="single" w:color="0000FF"/>
          </w:rPr>
          <w:t>http://www.comparadondevives.org/</w:t>
        </w:r>
      </w:hyperlink>
    </w:p>
    <w:p>
      <w:pPr>
        <w:pStyle w:val="BodyText"/>
        <w:spacing w:before="2"/>
      </w:pPr>
    </w:p>
    <w:p>
      <w:pPr>
        <w:pStyle w:val="BodyText"/>
        <w:spacing w:line="360" w:lineRule="auto" w:before="73"/>
        <w:ind w:left="102" w:right="118"/>
        <w:jc w:val="both"/>
      </w:pPr>
      <w:r>
        <w:rPr/>
        <w:t>Instituto Nacional de Estadística y Geografía (INEGI) (2011): Catálogo Único de Claves de Áreas Geoestadísticas Estatales, Municipales y Localidades, México: </w:t>
      </w:r>
      <w:hyperlink r:id="rId824">
        <w:r>
          <w:rPr>
            <w:color w:val="0000FF"/>
            <w:u w:val="single" w:color="0000FF"/>
          </w:rPr>
          <w:t>http://www.inegi.org.mx/geo/contenidos/geoestadistica/catalogoclaves.aspx</w:t>
        </w:r>
      </w:hyperlink>
    </w:p>
    <w:p>
      <w:pPr>
        <w:pStyle w:val="BodyText"/>
        <w:spacing w:before="5"/>
        <w:rPr>
          <w:sz w:val="11"/>
        </w:rPr>
      </w:pPr>
    </w:p>
    <w:p>
      <w:pPr>
        <w:pStyle w:val="BodyText"/>
        <w:spacing w:line="360" w:lineRule="auto" w:before="73"/>
        <w:ind w:left="102" w:right="116"/>
        <w:jc w:val="both"/>
      </w:pPr>
      <w:r>
        <w:rPr/>
        <w:t>Instituto Nacional para el Federalismo y el Desarrollo Municipal (Inafed, 2014) La Participación Social: </w:t>
      </w:r>
      <w:hyperlink r:id="rId825">
        <w:r>
          <w:rPr/>
          <w:t>http://www.e-local.gob.</w:t>
        </w:r>
      </w:hyperlink>
    </w:p>
    <w:p>
      <w:pPr>
        <w:pStyle w:val="BodyText"/>
        <w:spacing w:before="7"/>
        <w:rPr>
          <w:sz w:val="17"/>
        </w:rPr>
      </w:pPr>
    </w:p>
    <w:p>
      <w:pPr>
        <w:pStyle w:val="BodyText"/>
        <w:tabs>
          <w:tab w:pos="8242" w:val="left" w:leader="none"/>
        </w:tabs>
        <w:spacing w:line="360" w:lineRule="auto"/>
        <w:ind w:left="102" w:right="116"/>
        <w:jc w:val="both"/>
      </w:pPr>
      <w:r>
        <w:rPr/>
        <w:t>Integrated Water Resources Management in Action. WWAP, DHI Water Policy, PNUMA- Centro        para        el        Agua        y        el        </w:t>
      </w:r>
      <w:r>
        <w:rPr>
          <w:spacing w:val="22"/>
        </w:rPr>
        <w:t> </w:t>
      </w:r>
      <w:r>
        <w:rPr/>
        <w:t>Medio       </w:t>
      </w:r>
      <w:r>
        <w:rPr>
          <w:spacing w:val="15"/>
        </w:rPr>
        <w:t> </w:t>
      </w:r>
      <w:r>
        <w:rPr/>
        <w:t>Ambiente</w:t>
        <w:tab/>
      </w:r>
      <w:r>
        <w:rPr>
          <w:spacing w:val="-1"/>
        </w:rPr>
        <w:t>(2014): </w:t>
      </w:r>
      <w:hyperlink r:id="rId826">
        <w:r>
          <w:rPr>
            <w:color w:val="0000FF"/>
            <w:u w:val="single" w:color="0000FF"/>
          </w:rPr>
          <w:t>http://www.un.org/spanish/waterforlifedecade/iwrm.shtml</w:t>
        </w:r>
      </w:hyperlink>
    </w:p>
    <w:p>
      <w:pPr>
        <w:pStyle w:val="BodyText"/>
        <w:spacing w:before="5"/>
        <w:rPr>
          <w:sz w:val="11"/>
        </w:rPr>
      </w:pPr>
    </w:p>
    <w:p>
      <w:pPr>
        <w:pStyle w:val="BodyText"/>
        <w:spacing w:before="73"/>
        <w:ind w:left="102"/>
      </w:pPr>
      <w:r>
        <w:rPr/>
        <w:t>Ley de Aguas Nacionales, consultada en </w:t>
      </w:r>
      <w:hyperlink r:id="rId827">
        <w:r>
          <w:rPr>
            <w:color w:val="0000FF"/>
            <w:u w:val="single" w:color="0000FF"/>
          </w:rPr>
          <w:t>http://www.diputados.gob.mx/LeyesBiblio/pdf/</w:t>
        </w:r>
      </w:hyperlink>
    </w:p>
    <w:p>
      <w:pPr>
        <w:pStyle w:val="BodyText"/>
        <w:spacing w:before="11"/>
        <w:rPr>
          <w:sz w:val="21"/>
        </w:rPr>
      </w:pPr>
    </w:p>
    <w:p>
      <w:pPr>
        <w:pStyle w:val="BodyText"/>
        <w:tabs>
          <w:tab w:pos="903" w:val="left" w:leader="none"/>
          <w:tab w:pos="2134" w:val="left" w:leader="none"/>
          <w:tab w:pos="2825" w:val="left" w:leader="none"/>
          <w:tab w:pos="4274" w:val="left" w:leader="none"/>
          <w:tab w:pos="5517" w:val="left" w:leader="none"/>
          <w:tab w:pos="7184" w:val="left" w:leader="none"/>
          <w:tab w:pos="8696" w:val="left" w:leader="none"/>
        </w:tabs>
        <w:spacing w:line="276" w:lineRule="auto" w:before="73"/>
        <w:ind w:left="102" w:right="115"/>
      </w:pPr>
      <w:r>
        <w:rPr/>
        <w:t>Ley</w:t>
        <w:tab/>
        <w:t>General</w:t>
        <w:tab/>
        <w:t>de</w:t>
        <w:tab/>
        <w:t>Desarrollo</w:t>
        <w:tab/>
        <w:t>Forestal</w:t>
        <w:tab/>
        <w:t>Sustentable,</w:t>
        <w:tab/>
        <w:t>consultada</w:t>
        <w:tab/>
        <w:t>en </w:t>
      </w:r>
      <w:hyperlink r:id="rId828">
        <w:r>
          <w:rPr>
            <w:color w:val="0000FF"/>
            <w:u w:val="single" w:color="0000FF"/>
          </w:rPr>
          <w:t>http://www.diputados.gob.mx/leyesbiblio/pdf/</w:t>
        </w:r>
      </w:hyperlink>
    </w:p>
    <w:p>
      <w:pPr>
        <w:spacing w:after="0" w:line="276" w:lineRule="auto"/>
        <w:sectPr>
          <w:pgSz w:w="12240" w:h="15840"/>
          <w:pgMar w:header="0" w:footer="1512" w:top="1360" w:bottom="1700" w:left="1600" w:right="1580"/>
        </w:sectPr>
      </w:pPr>
    </w:p>
    <w:p>
      <w:pPr>
        <w:pStyle w:val="BodyText"/>
        <w:spacing w:line="362" w:lineRule="auto" w:before="53"/>
        <w:ind w:left="102"/>
      </w:pPr>
      <w:r>
        <w:rPr/>
        <w:t>Ley General de Equilibrio Ecológico y Protección al Ambiente (LGEEPA), consultada en </w:t>
      </w:r>
      <w:hyperlink r:id="rId829">
        <w:r>
          <w:rPr>
            <w:color w:val="0000FF"/>
            <w:u w:val="single" w:color="0000FF"/>
          </w:rPr>
          <w:t>http://www.metro.df.gob.mx/transparencia/imagenes/fr1/normaplicable/</w:t>
        </w:r>
      </w:hyperlink>
    </w:p>
    <w:p>
      <w:pPr>
        <w:pStyle w:val="BodyText"/>
        <w:spacing w:before="1"/>
        <w:rPr>
          <w:sz w:val="11"/>
        </w:rPr>
      </w:pPr>
    </w:p>
    <w:p>
      <w:pPr>
        <w:pStyle w:val="BodyText"/>
        <w:spacing w:before="72"/>
        <w:ind w:left="102"/>
      </w:pPr>
      <w:r>
        <w:rPr/>
        <w:t>Ley General de Vida Silvestre, consultada en </w:t>
      </w:r>
      <w:hyperlink r:id="rId830">
        <w:r>
          <w:rPr>
            <w:color w:val="0000FF"/>
            <w:u w:val="single" w:color="0000FF"/>
          </w:rPr>
          <w:t>http://www.diputados.gob.mx/LeyesBiblio/</w:t>
        </w:r>
      </w:hyperlink>
    </w:p>
    <w:p>
      <w:pPr>
        <w:pStyle w:val="BodyText"/>
        <w:spacing w:before="11"/>
        <w:rPr>
          <w:sz w:val="21"/>
        </w:rPr>
      </w:pPr>
    </w:p>
    <w:p>
      <w:pPr>
        <w:pStyle w:val="BodyText"/>
        <w:spacing w:line="362" w:lineRule="auto" w:before="73"/>
        <w:ind w:left="102"/>
      </w:pPr>
      <w:r>
        <w:rPr/>
        <w:t>Ley General para la Prevención y Gestión Integral de los Residuos, consultada en </w:t>
      </w:r>
      <w:hyperlink r:id="rId831">
        <w:r>
          <w:rPr>
            <w:color w:val="0000FF"/>
            <w:u w:val="single" w:color="0000FF"/>
          </w:rPr>
          <w:t>http://www.diputados.gob.mx/LeyesBiblio/</w:t>
        </w:r>
      </w:hyperlink>
    </w:p>
    <w:p>
      <w:pPr>
        <w:pStyle w:val="BodyText"/>
        <w:spacing w:before="1"/>
        <w:rPr>
          <w:sz w:val="11"/>
        </w:rPr>
      </w:pPr>
    </w:p>
    <w:p>
      <w:pPr>
        <w:pStyle w:val="BodyText"/>
        <w:spacing w:before="72"/>
        <w:ind w:left="102"/>
        <w:jc w:val="both"/>
      </w:pPr>
      <w:r>
        <w:rPr/>
        <w:t>Martínez, Angélica (2015), Autogestión Comunitaria: </w:t>
      </w:r>
      <w:hyperlink r:id="rId832">
        <w:r>
          <w:rPr/>
          <w:t>http://academic.uprm.edu/amartinez</w:t>
        </w:r>
      </w:hyperlink>
    </w:p>
    <w:p>
      <w:pPr>
        <w:pStyle w:val="BodyText"/>
        <w:spacing w:before="3"/>
        <w:rPr>
          <w:sz w:val="28"/>
        </w:rPr>
      </w:pPr>
    </w:p>
    <w:p>
      <w:pPr>
        <w:pStyle w:val="BodyText"/>
        <w:spacing w:line="360" w:lineRule="auto"/>
        <w:ind w:left="102" w:right="119"/>
        <w:jc w:val="both"/>
      </w:pPr>
      <w:r>
        <w:rPr/>
        <w:t>Méndez, Nelson y Alfredo Vallota (2006), Una perspectiva anarquista de la autogestión, Revista Venezolana de Economía y Ciencias Sociales, vol. 12, núm. 1: file:///C:/ Users/hp/Downloads/una+perspectiva+anarquista+ de+la+autogesti_C3_B3n.pdf</w:t>
      </w:r>
    </w:p>
    <w:p>
      <w:pPr>
        <w:pStyle w:val="BodyText"/>
        <w:spacing w:before="7"/>
        <w:rPr>
          <w:sz w:val="17"/>
        </w:rPr>
      </w:pPr>
    </w:p>
    <w:p>
      <w:pPr>
        <w:pStyle w:val="BodyText"/>
        <w:spacing w:line="360" w:lineRule="auto"/>
        <w:ind w:left="102" w:right="116"/>
        <w:jc w:val="both"/>
      </w:pPr>
      <w:r>
        <w:rPr/>
        <w:t>México, Instituto Tecnológico de Cd. Guzmán: </w:t>
      </w:r>
      <w:hyperlink r:id="rId833">
        <w:r>
          <w:rPr>
            <w:color w:val="0000FF"/>
            <w:u w:val="single" w:color="0000FF"/>
          </w:rPr>
          <w:t>http://www.eumed.net/eve/resum/07-</w:t>
        </w:r>
      </w:hyperlink>
      <w:r>
        <w:rPr>
          <w:color w:val="0000FF"/>
          <w:u w:val="single" w:color="0000FF"/>
        </w:rPr>
        <w:t> </w:t>
      </w:r>
      <w:hyperlink r:id="rId833">
        <w:r>
          <w:rPr>
            <w:color w:val="0000FF"/>
            <w:u w:val="single" w:color="0000FF"/>
          </w:rPr>
          <w:t>junio/jgvh.htm</w:t>
        </w:r>
      </w:hyperlink>
    </w:p>
    <w:p>
      <w:pPr>
        <w:pStyle w:val="BodyText"/>
        <w:spacing w:before="3"/>
        <w:rPr>
          <w:sz w:val="11"/>
        </w:rPr>
      </w:pPr>
    </w:p>
    <w:p>
      <w:pPr>
        <w:spacing w:before="73"/>
        <w:ind w:left="102" w:right="0" w:firstLine="0"/>
        <w:jc w:val="left"/>
        <w:rPr>
          <w:sz w:val="22"/>
        </w:rPr>
      </w:pPr>
      <w:r>
        <w:rPr>
          <w:sz w:val="22"/>
        </w:rPr>
        <w:t>Montoya, Juliana (2007), </w:t>
      </w:r>
      <w:r>
        <w:rPr>
          <w:b/>
          <w:sz w:val="22"/>
        </w:rPr>
        <w:t>Cuerpos de Agua: </w:t>
      </w:r>
      <w:hyperlink r:id="rId834">
        <w:r>
          <w:rPr>
            <w:color w:val="0000FF"/>
            <w:sz w:val="22"/>
            <w:u w:val="single" w:color="0000FF"/>
          </w:rPr>
          <w:t>http://julianamontoya.blogspot.mx/</w:t>
        </w:r>
      </w:hyperlink>
    </w:p>
    <w:p>
      <w:pPr>
        <w:pStyle w:val="BodyText"/>
        <w:spacing w:before="11"/>
        <w:rPr>
          <w:sz w:val="21"/>
        </w:rPr>
      </w:pPr>
    </w:p>
    <w:p>
      <w:pPr>
        <w:spacing w:line="360" w:lineRule="auto" w:before="73"/>
        <w:ind w:left="102" w:right="113" w:firstLine="0"/>
        <w:jc w:val="both"/>
        <w:rPr>
          <w:sz w:val="22"/>
        </w:rPr>
      </w:pPr>
      <w:r>
        <w:rPr>
          <w:sz w:val="22"/>
        </w:rPr>
        <w:t>OCDE (2015), </w:t>
      </w:r>
      <w:r>
        <w:rPr>
          <w:b/>
          <w:sz w:val="22"/>
        </w:rPr>
        <w:t>Principios de Gobernanza del Agua de la OCDE, </w:t>
      </w:r>
      <w:r>
        <w:rPr>
          <w:sz w:val="22"/>
        </w:rPr>
        <w:t>Junta Directiva de Gobernanza Pública y Desarrollo Territorial, España: </w:t>
      </w:r>
      <w:hyperlink r:id="rId835">
        <w:r>
          <w:rPr>
            <w:color w:val="0000FF"/>
            <w:sz w:val="22"/>
            <w:u w:val="single" w:color="0000FF"/>
          </w:rPr>
          <w:t>https://www.oecd.org/gov/regional-</w:t>
        </w:r>
      </w:hyperlink>
      <w:r>
        <w:rPr>
          <w:color w:val="0000FF"/>
          <w:sz w:val="22"/>
          <w:u w:val="single" w:color="0000FF"/>
        </w:rPr>
        <w:t> </w:t>
      </w:r>
      <w:hyperlink r:id="rId835">
        <w:r>
          <w:rPr>
            <w:color w:val="0000FF"/>
            <w:sz w:val="22"/>
            <w:u w:val="single" w:color="0000FF"/>
          </w:rPr>
          <w:t>policy/OECD-Principles-Water-spanish</w:t>
        </w:r>
      </w:hyperlink>
    </w:p>
    <w:p>
      <w:pPr>
        <w:pStyle w:val="BodyText"/>
        <w:spacing w:before="2"/>
        <w:rPr>
          <w:sz w:val="18"/>
        </w:rPr>
      </w:pPr>
    </w:p>
    <w:p>
      <w:pPr>
        <w:spacing w:line="360" w:lineRule="auto" w:before="73"/>
        <w:ind w:left="102" w:right="0" w:firstLine="0"/>
        <w:jc w:val="left"/>
        <w:rPr>
          <w:sz w:val="22"/>
        </w:rPr>
      </w:pPr>
      <w:r>
        <w:rPr>
          <w:sz w:val="22"/>
        </w:rPr>
        <w:t>Oliveira, Manuel (2002), </w:t>
      </w:r>
      <w:r>
        <w:rPr>
          <w:b/>
          <w:sz w:val="22"/>
        </w:rPr>
        <w:t>Etymologie du terme “gouvernance”</w:t>
      </w:r>
      <w:r>
        <w:rPr>
          <w:sz w:val="22"/>
        </w:rPr>
        <w:t>, Comisión Europea: </w:t>
      </w:r>
      <w:hyperlink r:id="rId836">
        <w:r>
          <w:rPr>
            <w:sz w:val="22"/>
          </w:rPr>
          <w:t>http://europa.eu.int/comm/governance/docs/doc5_en.pdf.</w:t>
        </w:r>
      </w:hyperlink>
    </w:p>
    <w:p>
      <w:pPr>
        <w:pStyle w:val="BodyText"/>
        <w:spacing w:before="8"/>
        <w:rPr>
          <w:sz w:val="24"/>
        </w:rPr>
      </w:pPr>
    </w:p>
    <w:p>
      <w:pPr>
        <w:pStyle w:val="BodyText"/>
        <w:spacing w:line="278" w:lineRule="auto"/>
        <w:ind w:left="102" w:right="113"/>
      </w:pPr>
      <w:r>
        <w:rPr/>
        <w:t>Organismo Regulador de Seguridad de Presas (Orsep) (2013), </w:t>
      </w:r>
      <w:r>
        <w:rPr>
          <w:b/>
        </w:rPr>
        <w:t>¿Qué es una presa?</w:t>
      </w:r>
      <w:r>
        <w:rPr/>
        <w:t>: </w:t>
      </w:r>
      <w:hyperlink r:id="rId837">
        <w:r>
          <w:rPr>
            <w:color w:val="0000FF"/>
            <w:u w:val="single" w:color="0000FF"/>
          </w:rPr>
          <w:t>http://www.orsep.gob.ar/que-es-una-presa.php</w:t>
        </w:r>
      </w:hyperlink>
    </w:p>
    <w:p>
      <w:pPr>
        <w:pStyle w:val="BodyText"/>
        <w:spacing w:before="9"/>
        <w:rPr>
          <w:sz w:val="10"/>
        </w:rPr>
      </w:pPr>
    </w:p>
    <w:p>
      <w:pPr>
        <w:spacing w:line="362" w:lineRule="auto" w:before="73"/>
        <w:ind w:left="102" w:right="0" w:firstLine="0"/>
        <w:jc w:val="left"/>
        <w:rPr>
          <w:sz w:val="22"/>
        </w:rPr>
      </w:pPr>
      <w:r>
        <w:rPr>
          <w:sz w:val="22"/>
        </w:rPr>
        <w:t>Prats, Joan (2003), </w:t>
      </w:r>
      <w:r>
        <w:rPr>
          <w:b/>
          <w:sz w:val="22"/>
        </w:rPr>
        <w:t>El concepto y el análisis de la gobernabilidad</w:t>
      </w:r>
      <w:r>
        <w:rPr>
          <w:sz w:val="22"/>
        </w:rPr>
        <w:t>, Instituciones y Desarrollo, Barcelona: </w:t>
      </w:r>
      <w:hyperlink r:id="rId838">
        <w:r>
          <w:rPr>
            <w:sz w:val="22"/>
          </w:rPr>
          <w:t>http://www.iigov.org</w:t>
        </w:r>
      </w:hyperlink>
    </w:p>
    <w:p>
      <w:pPr>
        <w:pStyle w:val="BodyText"/>
        <w:spacing w:before="5"/>
        <w:rPr>
          <w:sz w:val="17"/>
        </w:rPr>
      </w:pPr>
    </w:p>
    <w:p>
      <w:pPr>
        <w:pStyle w:val="BodyText"/>
        <w:ind w:left="102"/>
      </w:pPr>
      <w:r>
        <w:rPr/>
        <w:t>Procuraduría Agraria (2014): </w:t>
      </w:r>
      <w:hyperlink r:id="rId839">
        <w:r>
          <w:rPr>
            <w:color w:val="0000FF"/>
            <w:u w:val="single" w:color="0000FF"/>
          </w:rPr>
          <w:t>http://www.pa.gob.mx</w:t>
        </w:r>
      </w:hyperlink>
    </w:p>
    <w:p>
      <w:pPr>
        <w:pStyle w:val="BodyText"/>
        <w:spacing w:before="2"/>
      </w:pPr>
    </w:p>
    <w:p>
      <w:pPr>
        <w:pStyle w:val="BodyText"/>
        <w:spacing w:line="549" w:lineRule="auto" w:before="73"/>
        <w:ind w:left="102" w:right="3423"/>
      </w:pPr>
      <w:r>
        <w:rPr/>
        <w:t>Procuraduría Agraria: </w:t>
      </w:r>
      <w:hyperlink r:id="rId166">
        <w:r>
          <w:rPr/>
          <w:t>http://www.pa.gob.mx/paweb/</w:t>
        </w:r>
      </w:hyperlink>
      <w:r>
        <w:rPr/>
        <w:t> Registro Agrario Nacional (2014): </w:t>
      </w:r>
      <w:hyperlink r:id="rId840">
        <w:r>
          <w:rPr>
            <w:color w:val="0000FF"/>
            <w:u w:val="single" w:color="0000FF"/>
          </w:rPr>
          <w:t>http://www.ran.gob.mx</w:t>
        </w:r>
      </w:hyperlink>
    </w:p>
    <w:p>
      <w:pPr>
        <w:pStyle w:val="BodyText"/>
        <w:tabs>
          <w:tab w:pos="1505" w:val="left" w:leader="none"/>
          <w:tab w:pos="1965" w:val="left" w:leader="none"/>
          <w:tab w:pos="2352" w:val="left" w:leader="none"/>
          <w:tab w:pos="2918" w:val="left" w:leader="none"/>
          <w:tab w:pos="3462" w:val="left" w:leader="none"/>
          <w:tab w:pos="4194" w:val="left" w:leader="none"/>
          <w:tab w:pos="4851" w:val="left" w:leader="none"/>
          <w:tab w:pos="5237" w:val="left" w:leader="none"/>
          <w:tab w:pos="6139" w:val="left" w:leader="none"/>
          <w:tab w:pos="6600" w:val="left" w:leader="none"/>
          <w:tab w:pos="7511" w:val="left" w:leader="none"/>
          <w:tab w:pos="7837" w:val="left" w:leader="none"/>
        </w:tabs>
        <w:spacing w:line="360" w:lineRule="auto" w:before="10"/>
        <w:ind w:left="102" w:right="122"/>
      </w:pPr>
      <w:r>
        <w:rPr/>
        <w:t>Reglamento</w:t>
        <w:tab/>
        <w:t>de</w:t>
        <w:tab/>
        <w:t>la</w:t>
        <w:tab/>
        <w:t>Ley</w:t>
        <w:tab/>
        <w:t>Del</w:t>
        <w:tab/>
        <w:t>Agua</w:t>
        <w:tab/>
        <w:t>para</w:t>
        <w:tab/>
        <w:t>el</w:t>
        <w:tab/>
        <w:t>Estado</w:t>
        <w:tab/>
        <w:t>de</w:t>
        <w:tab/>
        <w:t>México</w:t>
        <w:tab/>
        <w:t>y</w:t>
        <w:tab/>
      </w:r>
      <w:r>
        <w:rPr>
          <w:spacing w:val="-1"/>
        </w:rPr>
        <w:t>Municipios: </w:t>
      </w:r>
      <w:hyperlink r:id="rId841">
        <w:r>
          <w:rPr>
            <w:color w:val="0000FF"/>
            <w:u w:val="single" w:color="0000FF"/>
          </w:rPr>
          <w:t>http://www.edomex.gob.mx/legistelfon/doc/pdf/rgl/vig/rglvig048.pdf</w:t>
        </w:r>
      </w:hyperlink>
    </w:p>
    <w:p>
      <w:pPr>
        <w:spacing w:after="0" w:line="360" w:lineRule="auto"/>
        <w:sectPr>
          <w:pgSz w:w="12240" w:h="15840"/>
          <w:pgMar w:header="0" w:footer="1512" w:top="1360" w:bottom="1700" w:left="1600" w:right="1580"/>
        </w:sectPr>
      </w:pPr>
    </w:p>
    <w:p>
      <w:pPr>
        <w:pStyle w:val="BodyText"/>
        <w:spacing w:before="53"/>
        <w:ind w:left="102"/>
      </w:pPr>
      <w:r>
        <w:rPr/>
        <w:t>Sagarpa:</w:t>
      </w:r>
      <w:hyperlink r:id="rId842">
        <w:r>
          <w:rPr/>
          <w:t>http://www.sagarpa.gob.mx/</w:t>
        </w:r>
      </w:hyperlink>
    </w:p>
    <w:p>
      <w:pPr>
        <w:pStyle w:val="BodyText"/>
        <w:spacing w:before="3"/>
        <w:rPr>
          <w:sz w:val="28"/>
        </w:rPr>
      </w:pPr>
    </w:p>
    <w:p>
      <w:pPr>
        <w:pStyle w:val="BodyText"/>
        <w:spacing w:line="362" w:lineRule="auto" w:before="1"/>
        <w:ind w:left="102"/>
      </w:pPr>
      <w:r>
        <w:rPr/>
        <w:t>Secretaría de la Reforma Agraria y Registro Agrario Nacional (2003), </w:t>
      </w:r>
      <w:r>
        <w:rPr>
          <w:b/>
        </w:rPr>
        <w:t>Procede</w:t>
      </w:r>
      <w:r>
        <w:rPr/>
        <w:t>, Sector Agrario, México: </w:t>
      </w:r>
      <w:hyperlink r:id="rId843">
        <w:r>
          <w:rPr>
            <w:color w:val="0000FF"/>
            <w:u w:val="single" w:color="0000FF"/>
          </w:rPr>
          <w:t>http://www.sct.gob.mx/obrapublica/MarcoNormativo/3/3-3/3-3-5.pdf</w:t>
        </w:r>
      </w:hyperlink>
    </w:p>
    <w:p>
      <w:pPr>
        <w:pStyle w:val="BodyText"/>
        <w:spacing w:before="1"/>
        <w:rPr>
          <w:sz w:val="11"/>
        </w:rPr>
      </w:pPr>
    </w:p>
    <w:p>
      <w:pPr>
        <w:pStyle w:val="BodyText"/>
        <w:spacing w:line="549" w:lineRule="auto" w:before="72"/>
        <w:ind w:left="102" w:right="2092"/>
      </w:pPr>
      <w:r>
        <w:rPr/>
        <w:t>Secretaría de la Reforma Agraria: </w:t>
      </w:r>
      <w:hyperlink r:id="rId844">
        <w:r>
          <w:rPr/>
          <w:t>http://www.sra.gob.mx/sraweb/</w:t>
        </w:r>
      </w:hyperlink>
      <w:r>
        <w:rPr/>
        <w:t> Semarnat</w:t>
      </w:r>
      <w:hyperlink r:id="rId161">
        <w:r>
          <w:rPr/>
          <w:t>:http://www.semarnat.gob.mx/conocenos/mision-y-vision</w:t>
        </w:r>
      </w:hyperlink>
      <w:r>
        <w:rPr/>
        <w:t>, Sen, A. (1999) </w:t>
      </w:r>
      <w:r>
        <w:rPr>
          <w:b/>
        </w:rPr>
        <w:t>Democracy as a universal value</w:t>
      </w:r>
      <w:r>
        <w:rPr/>
        <w:t>: </w:t>
      </w:r>
      <w:hyperlink r:id="rId845">
        <w:r>
          <w:rPr/>
          <w:t>http://muse.jhu.edu/</w:t>
        </w:r>
      </w:hyperlink>
    </w:p>
    <w:p>
      <w:pPr>
        <w:spacing w:line="360" w:lineRule="auto" w:before="10"/>
        <w:ind w:left="102" w:right="0" w:firstLine="0"/>
        <w:jc w:val="left"/>
        <w:rPr>
          <w:sz w:val="22"/>
        </w:rPr>
      </w:pPr>
      <w:r>
        <w:rPr>
          <w:sz w:val="22"/>
        </w:rPr>
        <w:t>SIWI, WIN, Cap-Net, Waternet (2009).</w:t>
      </w:r>
      <w:r>
        <w:rPr>
          <w:b/>
          <w:sz w:val="22"/>
        </w:rPr>
        <w:t>Manual de capacitación sobre la integridad del </w:t>
      </w:r>
      <w:r>
        <w:rPr>
          <w:b/>
          <w:spacing w:val="-1"/>
          <w:sz w:val="22"/>
        </w:rPr>
        <w:t>agua:</w:t>
      </w:r>
      <w:r>
        <w:rPr>
          <w:b/>
          <w:spacing w:val="52"/>
          <w:sz w:val="22"/>
        </w:rPr>
        <w:t> </w:t>
      </w:r>
      <w:hyperlink r:id="rId846">
        <w:r>
          <w:rPr>
            <w:color w:val="0000FF"/>
            <w:spacing w:val="-1"/>
            <w:sz w:val="22"/>
            <w:u w:val="single" w:color="0000FF"/>
          </w:rPr>
          <w:t>http://190.104.117.163/2014/noviembre/inte_agua/contenido/ponencias/</w:t>
        </w:r>
      </w:hyperlink>
    </w:p>
    <w:p>
      <w:pPr>
        <w:pStyle w:val="BodyText"/>
        <w:spacing w:before="5"/>
        <w:ind w:left="102"/>
      </w:pPr>
      <w:r>
        <w:rPr/>
        <w:t>Tribunal Latinoamericano del Agua </w:t>
      </w:r>
      <w:hyperlink r:id="rId847">
        <w:r>
          <w:rPr>
            <w:color w:val="0000FF"/>
            <w:u w:val="single" w:color="0000FF"/>
          </w:rPr>
          <w:t>http://tragua.com/quienes-somos/</w:t>
        </w:r>
      </w:hyperlink>
    </w:p>
    <w:p>
      <w:pPr>
        <w:pStyle w:val="BodyText"/>
        <w:spacing w:before="11"/>
        <w:rPr>
          <w:sz w:val="21"/>
        </w:rPr>
      </w:pPr>
    </w:p>
    <w:p>
      <w:pPr>
        <w:pStyle w:val="BodyText"/>
        <w:spacing w:before="73"/>
        <w:ind w:left="102"/>
      </w:pPr>
      <w:r>
        <w:rPr/>
        <w:t>Tribunales Agrarios: </w:t>
      </w:r>
      <w:hyperlink r:id="rId167">
        <w:r>
          <w:rPr/>
          <w:t>http://www.tribunalesagrarios.gob.mx/</w:t>
        </w:r>
      </w:hyperlink>
    </w:p>
    <w:p>
      <w:pPr>
        <w:pStyle w:val="BodyText"/>
        <w:spacing w:before="3"/>
        <w:rPr>
          <w:sz w:val="28"/>
        </w:rPr>
      </w:pPr>
    </w:p>
    <w:p>
      <w:pPr>
        <w:tabs>
          <w:tab w:pos="1567" w:val="left" w:leader="none"/>
          <w:tab w:pos="2730" w:val="left" w:leader="none"/>
          <w:tab w:pos="4323" w:val="left" w:leader="none"/>
          <w:tab w:pos="5036" w:val="left" w:leader="none"/>
          <w:tab w:pos="6180" w:val="left" w:leader="none"/>
          <w:tab w:pos="7339" w:val="left" w:leader="none"/>
          <w:tab w:pos="8046" w:val="left" w:leader="none"/>
        </w:tabs>
        <w:spacing w:before="0"/>
        <w:ind w:left="102" w:right="0" w:firstLine="0"/>
        <w:jc w:val="left"/>
        <w:rPr>
          <w:b/>
          <w:sz w:val="22"/>
        </w:rPr>
      </w:pPr>
      <w:r>
        <w:rPr>
          <w:sz w:val="22"/>
        </w:rPr>
        <w:t>UNESCO</w:t>
        <w:tab/>
        <w:t>(2010)</w:t>
        <w:tab/>
      </w:r>
      <w:r>
        <w:rPr>
          <w:b/>
          <w:sz w:val="22"/>
        </w:rPr>
        <w:t>Ayudando</w:t>
        <w:tab/>
        <w:t>al</w:t>
        <w:tab/>
        <w:t>África</w:t>
        <w:tab/>
        <w:t>desde</w:t>
        <w:tab/>
        <w:t>el</w:t>
        <w:tab/>
        <w:t>espacio:</w:t>
      </w:r>
    </w:p>
    <w:p>
      <w:pPr>
        <w:pStyle w:val="BodyText"/>
        <w:spacing w:before="128"/>
        <w:ind w:left="102"/>
      </w:pPr>
      <w:hyperlink r:id="rId848">
        <w:r>
          <w:rPr>
            <w:u w:val="single"/>
          </w:rPr>
          <w:t>[http://www.unesco.org/water/news/newsletter/231_es.shtml ]</w:t>
        </w:r>
      </w:hyperlink>
    </w:p>
    <w:p>
      <w:pPr>
        <w:pStyle w:val="BodyText"/>
        <w:spacing w:before="9"/>
        <w:rPr>
          <w:sz w:val="21"/>
        </w:rPr>
      </w:pPr>
    </w:p>
    <w:p>
      <w:pPr>
        <w:tabs>
          <w:tab w:pos="915" w:val="left" w:leader="none"/>
          <w:tab w:pos="1988" w:val="left" w:leader="none"/>
          <w:tab w:pos="2927" w:val="left" w:leader="none"/>
          <w:tab w:pos="4167" w:val="left" w:leader="none"/>
          <w:tab w:pos="5002" w:val="left" w:leader="none"/>
          <w:tab w:pos="5428" w:val="left" w:leader="none"/>
          <w:tab w:pos="6791" w:val="left" w:leader="none"/>
          <w:tab w:pos="7345" w:val="left" w:leader="none"/>
          <w:tab w:pos="8004" w:val="left" w:leader="none"/>
        </w:tabs>
        <w:spacing w:line="364" w:lineRule="auto" w:before="72"/>
        <w:ind w:left="102" w:right="113" w:firstLine="0"/>
        <w:jc w:val="left"/>
        <w:rPr>
          <w:sz w:val="22"/>
        </w:rPr>
      </w:pPr>
      <w:r>
        <w:rPr>
          <w:sz w:val="22"/>
        </w:rPr>
        <w:t>Unión</w:t>
        <w:tab/>
        <w:t>Europea</w:t>
        <w:tab/>
        <w:t>(2006),</w:t>
        <w:tab/>
      </w:r>
      <w:r>
        <w:rPr>
          <w:b/>
          <w:sz w:val="22"/>
        </w:rPr>
        <w:t>Convenio</w:t>
        <w:tab/>
        <w:t>sobre</w:t>
        <w:tab/>
        <w:t>la</w:t>
        <w:tab/>
        <w:t>protección</w:t>
        <w:tab/>
        <w:t>del</w:t>
        <w:tab/>
        <w:t>Rin</w:t>
      </w:r>
      <w:r>
        <w:rPr>
          <w:sz w:val="22"/>
        </w:rPr>
        <w:t>:</w:t>
        <w:tab/>
      </w:r>
      <w:hyperlink r:id="rId849">
        <w:r>
          <w:rPr>
            <w:color w:val="0000FF"/>
            <w:spacing w:val="-1"/>
            <w:sz w:val="22"/>
            <w:u w:val="single" w:color="0000FF"/>
          </w:rPr>
          <w:t>http://eur-</w:t>
        </w:r>
      </w:hyperlink>
      <w:r>
        <w:rPr>
          <w:color w:val="0000FF"/>
          <w:spacing w:val="-1"/>
          <w:sz w:val="22"/>
          <w:u w:val="single" w:color="0000FF"/>
        </w:rPr>
        <w:t> </w:t>
      </w:r>
      <w:hyperlink r:id="rId849">
        <w:r>
          <w:rPr>
            <w:color w:val="0000FF"/>
            <w:sz w:val="22"/>
            <w:u w:val="single" w:color="0000FF"/>
          </w:rPr>
          <w:t>lex.europa.eu/legal-content/</w:t>
        </w:r>
      </w:hyperlink>
    </w:p>
    <w:p>
      <w:pPr>
        <w:pStyle w:val="BodyText"/>
        <w:spacing w:before="10"/>
        <w:rPr>
          <w:sz w:val="10"/>
        </w:rPr>
      </w:pPr>
    </w:p>
    <w:p>
      <w:pPr>
        <w:pStyle w:val="BodyText"/>
        <w:tabs>
          <w:tab w:pos="1745" w:val="left" w:leader="none"/>
          <w:tab w:pos="3086" w:val="left" w:leader="none"/>
          <w:tab w:pos="4574" w:val="left" w:leader="none"/>
          <w:tab w:pos="5301" w:val="left" w:leader="none"/>
          <w:tab w:pos="6964" w:val="left" w:leader="none"/>
          <w:tab w:pos="8242" w:val="left" w:leader="none"/>
        </w:tabs>
        <w:spacing w:line="360" w:lineRule="auto" w:before="73"/>
        <w:ind w:left="102" w:right="120"/>
      </w:pPr>
      <w:r>
        <w:rPr/>
        <w:t>Universidad</w:t>
        <w:tab/>
        <w:t>Nacional</w:t>
        <w:tab/>
        <w:t>Autónoma</w:t>
        <w:tab/>
        <w:t>de</w:t>
        <w:tab/>
        <w:t>México</w:t>
        <w:tab/>
        <w:t>(UNAM)</w:t>
        <w:tab/>
      </w:r>
      <w:r>
        <w:rPr>
          <w:spacing w:val="-1"/>
        </w:rPr>
        <w:t>(2014): </w:t>
      </w:r>
      <w:hyperlink r:id="rId850">
        <w:r>
          <w:rPr>
            <w:color w:val="0000FF"/>
            <w:u w:val="single" w:color="0000FF"/>
          </w:rPr>
          <w:t>http://biblio.juridicas.unam.mx/libros/</w:t>
        </w:r>
      </w:hyperlink>
    </w:p>
    <w:p>
      <w:pPr>
        <w:pStyle w:val="BodyText"/>
        <w:spacing w:before="3"/>
        <w:rPr>
          <w:sz w:val="11"/>
        </w:rPr>
      </w:pPr>
    </w:p>
    <w:p>
      <w:pPr>
        <w:spacing w:line="362" w:lineRule="auto" w:before="73"/>
        <w:ind w:left="102" w:right="194" w:firstLine="0"/>
        <w:jc w:val="left"/>
        <w:rPr>
          <w:sz w:val="22"/>
        </w:rPr>
      </w:pPr>
      <w:r>
        <w:rPr>
          <w:sz w:val="22"/>
        </w:rPr>
        <w:t>Vilca, Oscar (2009), </w:t>
      </w:r>
      <w:r>
        <w:rPr>
          <w:b/>
          <w:sz w:val="22"/>
        </w:rPr>
        <w:t>Alerta global. ríos, lagos y represas se están secando, </w:t>
      </w:r>
      <w:r>
        <w:rPr>
          <w:sz w:val="22"/>
        </w:rPr>
        <w:t>en diario Los Andes: </w:t>
      </w:r>
      <w:hyperlink r:id="rId851">
        <w:r>
          <w:rPr>
            <w:color w:val="0000FF"/>
            <w:sz w:val="22"/>
            <w:u w:val="single" w:color="0000FF"/>
          </w:rPr>
          <w:t>http://www.losandes.com.pe/Opinion/20091025/28919.html</w:t>
        </w:r>
      </w:hyperlink>
      <w:r>
        <w:rPr>
          <w:sz w:val="22"/>
        </w:rPr>
        <w:t>.</w:t>
      </w:r>
    </w:p>
    <w:p>
      <w:pPr>
        <w:pStyle w:val="BodyText"/>
        <w:spacing w:before="1"/>
        <w:rPr>
          <w:sz w:val="11"/>
        </w:rPr>
      </w:pPr>
    </w:p>
    <w:p>
      <w:pPr>
        <w:pStyle w:val="BodyText"/>
        <w:spacing w:before="72"/>
        <w:ind w:left="102"/>
      </w:pPr>
      <w:r>
        <w:rPr/>
        <w:t>WETNet (2012): la-wetnet.org/</w:t>
      </w:r>
    </w:p>
    <w:p>
      <w:pPr>
        <w:spacing w:after="0"/>
        <w:sectPr>
          <w:pgSz w:w="12240" w:h="15840"/>
          <w:pgMar w:header="0" w:footer="1512" w:top="1360" w:bottom="17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3"/>
        <w:ind w:right="320"/>
        <w:jc w:val="center"/>
      </w:pPr>
      <w:r>
        <w:rPr/>
        <w:t>ANEXOS</w:t>
      </w:r>
    </w:p>
    <w:p>
      <w:pPr>
        <w:spacing w:after="0"/>
        <w:jc w:val="center"/>
        <w:sectPr>
          <w:footerReference w:type="default" r:id="rId852"/>
          <w:pgSz w:w="12240" w:h="15840"/>
          <w:pgMar w:footer="1512" w:header="0" w:top="1500" w:bottom="1700" w:left="1720" w:right="1580"/>
          <w:pgNumType w:start="910"/>
        </w:sectPr>
      </w:pPr>
    </w:p>
    <w:p>
      <w:pPr>
        <w:pStyle w:val="Heading6"/>
        <w:spacing w:before="51"/>
      </w:pPr>
      <w:r>
        <w:rPr/>
        <w:t>VER ANEXOS EN EL DISCO ADJUNTO A ESTE TRABAJO:</w:t>
      </w:r>
    </w:p>
    <w:p>
      <w:pPr>
        <w:pStyle w:val="BodyText"/>
        <w:rPr>
          <w:b/>
        </w:rPr>
      </w:pPr>
    </w:p>
    <w:p>
      <w:pPr>
        <w:pStyle w:val="BodyText"/>
        <w:rPr>
          <w:b/>
        </w:rPr>
      </w:pPr>
    </w:p>
    <w:p>
      <w:pPr>
        <w:pStyle w:val="BodyText"/>
        <w:spacing w:before="9"/>
        <w:rPr>
          <w:b/>
          <w:sz w:val="19"/>
        </w:rPr>
      </w:pPr>
    </w:p>
    <w:p>
      <w:pPr>
        <w:pStyle w:val="ListParagraph"/>
        <w:numPr>
          <w:ilvl w:val="0"/>
          <w:numId w:val="422"/>
        </w:numPr>
        <w:tabs>
          <w:tab w:pos="350" w:val="left" w:leader="none"/>
        </w:tabs>
        <w:spacing w:line="240" w:lineRule="auto" w:before="0" w:after="0"/>
        <w:ind w:left="349" w:right="0" w:hanging="247"/>
        <w:jc w:val="left"/>
        <w:rPr>
          <w:sz w:val="22"/>
        </w:rPr>
      </w:pPr>
      <w:r>
        <w:rPr>
          <w:sz w:val="22"/>
        </w:rPr>
        <w:t>Encomienda de</w:t>
      </w:r>
      <w:r>
        <w:rPr>
          <w:spacing w:val="-9"/>
          <w:sz w:val="22"/>
        </w:rPr>
        <w:t> </w:t>
      </w:r>
      <w:r>
        <w:rPr>
          <w:sz w:val="22"/>
        </w:rPr>
        <w:t>Xilotepec.</w:t>
      </w:r>
    </w:p>
    <w:p>
      <w:pPr>
        <w:pStyle w:val="BodyText"/>
        <w:spacing w:before="3"/>
        <w:rPr>
          <w:sz w:val="28"/>
        </w:rPr>
      </w:pPr>
    </w:p>
    <w:p>
      <w:pPr>
        <w:pStyle w:val="ListParagraph"/>
        <w:numPr>
          <w:ilvl w:val="0"/>
          <w:numId w:val="422"/>
        </w:numPr>
        <w:tabs>
          <w:tab w:pos="410" w:val="left" w:leader="none"/>
        </w:tabs>
        <w:spacing w:line="240" w:lineRule="auto" w:before="0" w:after="0"/>
        <w:ind w:left="409" w:right="0" w:hanging="245"/>
        <w:jc w:val="left"/>
        <w:rPr>
          <w:sz w:val="22"/>
        </w:rPr>
      </w:pPr>
      <w:r>
        <w:rPr>
          <w:sz w:val="22"/>
        </w:rPr>
        <w:t>Entrevistas a actores de la</w:t>
      </w:r>
      <w:r>
        <w:rPr>
          <w:spacing w:val="-11"/>
          <w:sz w:val="22"/>
        </w:rPr>
        <w:t> </w:t>
      </w:r>
      <w:r>
        <w:rPr>
          <w:sz w:val="22"/>
        </w:rPr>
        <w:t>CHPH.</w:t>
      </w:r>
    </w:p>
    <w:p>
      <w:pPr>
        <w:pStyle w:val="BodyText"/>
        <w:spacing w:before="3"/>
        <w:rPr>
          <w:sz w:val="28"/>
        </w:rPr>
      </w:pPr>
    </w:p>
    <w:p>
      <w:pPr>
        <w:pStyle w:val="ListParagraph"/>
        <w:numPr>
          <w:ilvl w:val="0"/>
          <w:numId w:val="422"/>
        </w:numPr>
        <w:tabs>
          <w:tab w:pos="410" w:val="left" w:leader="none"/>
        </w:tabs>
        <w:spacing w:line="240" w:lineRule="auto" w:before="0" w:after="0"/>
        <w:ind w:left="409" w:right="0" w:hanging="245"/>
        <w:jc w:val="left"/>
        <w:rPr>
          <w:sz w:val="22"/>
        </w:rPr>
      </w:pPr>
      <w:r>
        <w:rPr>
          <w:sz w:val="22"/>
        </w:rPr>
        <w:t>Sistema PEIR de las AEPA: ambiental, social, económica y</w:t>
      </w:r>
      <w:r>
        <w:rPr>
          <w:spacing w:val="-19"/>
          <w:sz w:val="22"/>
        </w:rPr>
        <w:t> </w:t>
      </w:r>
      <w:r>
        <w:rPr>
          <w:sz w:val="22"/>
        </w:rPr>
        <w:t>política.</w:t>
      </w:r>
    </w:p>
    <w:p>
      <w:pPr>
        <w:pStyle w:val="BodyText"/>
        <w:spacing w:before="5"/>
        <w:rPr>
          <w:sz w:val="28"/>
        </w:rPr>
      </w:pPr>
    </w:p>
    <w:p>
      <w:pPr>
        <w:pStyle w:val="ListParagraph"/>
        <w:numPr>
          <w:ilvl w:val="0"/>
          <w:numId w:val="422"/>
        </w:numPr>
        <w:tabs>
          <w:tab w:pos="350" w:val="left" w:leader="none"/>
        </w:tabs>
        <w:spacing w:line="240" w:lineRule="auto" w:before="1" w:after="0"/>
        <w:ind w:left="349" w:right="0" w:hanging="247"/>
        <w:jc w:val="left"/>
        <w:rPr>
          <w:sz w:val="22"/>
        </w:rPr>
      </w:pPr>
      <w:r>
        <w:rPr>
          <w:sz w:val="22"/>
        </w:rPr>
        <w:t>Sistema PEIR para cohesionar las AEPA social y política en</w:t>
      </w:r>
      <w:r>
        <w:rPr>
          <w:spacing w:val="-23"/>
          <w:sz w:val="22"/>
        </w:rPr>
        <w:t> </w:t>
      </w:r>
      <w:r>
        <w:rPr>
          <w:sz w:val="22"/>
        </w:rPr>
        <w:t>sociopolítica.</w:t>
      </w:r>
    </w:p>
    <w:p>
      <w:pPr>
        <w:pStyle w:val="BodyText"/>
        <w:spacing w:before="3"/>
        <w:rPr>
          <w:sz w:val="28"/>
        </w:rPr>
      </w:pPr>
    </w:p>
    <w:p>
      <w:pPr>
        <w:pStyle w:val="ListParagraph"/>
        <w:numPr>
          <w:ilvl w:val="0"/>
          <w:numId w:val="422"/>
        </w:numPr>
        <w:tabs>
          <w:tab w:pos="410" w:val="left" w:leader="none"/>
        </w:tabs>
        <w:spacing w:line="240" w:lineRule="auto" w:before="0" w:after="0"/>
        <w:ind w:left="409" w:right="0" w:hanging="245"/>
        <w:jc w:val="left"/>
        <w:rPr>
          <w:sz w:val="22"/>
        </w:rPr>
      </w:pPr>
      <w:r>
        <w:rPr>
          <w:sz w:val="22"/>
        </w:rPr>
        <w:t>Sistema PEIR de las AEPA: ambiental, sociopolítica y</w:t>
      </w:r>
      <w:r>
        <w:rPr>
          <w:spacing w:val="-15"/>
          <w:sz w:val="22"/>
        </w:rPr>
        <w:t> </w:t>
      </w:r>
      <w:r>
        <w:rPr>
          <w:sz w:val="22"/>
        </w:rPr>
        <w:t>económica.</w:t>
      </w:r>
    </w:p>
    <w:p>
      <w:pPr>
        <w:pStyle w:val="BodyText"/>
        <w:spacing w:before="6"/>
        <w:rPr>
          <w:sz w:val="28"/>
        </w:rPr>
      </w:pPr>
    </w:p>
    <w:p>
      <w:pPr>
        <w:pStyle w:val="BodyText"/>
        <w:spacing w:line="549" w:lineRule="auto"/>
        <w:ind w:left="102" w:right="4290"/>
      </w:pPr>
      <w:r>
        <w:rPr/>
        <w:t>6a. Mapa Conceptual de la AEPA Ambiental. 6b. Mapa Conceptual de la AEPA Sociopolítica. 6c. Mapa Conceptual de la AEPA Económica.</w:t>
      </w:r>
    </w:p>
    <w:sectPr>
      <w:pgSz w:w="12240" w:h="15840"/>
      <w:pgMar w:header="0" w:footer="1512" w:top="1360" w:bottom="17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Microsoft Sans Serif">
    <w:altName w:val="Microsoft Sans Serif"/>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0.5pt;margin-top:730.856018pt;width:7.6pt;height:13.05pt;mso-position-horizontal-relative:page;mso-position-vertical-relative:page;z-index:-3342400" type="#_x0000_t202" filled="false" stroked="false">
          <v:textbox inset="0,0,0,0">
            <w:txbxContent>
              <w:p>
                <w:pPr>
                  <w:pStyle w:val="BodyText"/>
                  <w:spacing w:line="245" w:lineRule="exact"/>
                  <w:ind w:left="20"/>
                  <w:rPr>
                    <w:rFonts w:ascii="Calibri"/>
                  </w:rPr>
                </w:pPr>
                <w:r>
                  <w:rPr>
                    <w:rFonts w:ascii="Calibri"/>
                    <w:w w:val="100"/>
                  </w:rPr>
                  <w:t>1</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342160" type="#_x0000_t202" filled="false" stroked="false">
          <v:textbox inset="0,0,0,0">
            <w:txbxContent>
              <w:p>
                <w:pPr>
                  <w:pStyle w:val="BodyText"/>
                  <w:spacing w:line="245" w:lineRule="exact"/>
                  <w:ind w:left="20"/>
                  <w:rPr>
                    <w:rFonts w:ascii="Calibri"/>
                  </w:rPr>
                </w:pPr>
                <w:r>
                  <w:rPr>
                    <w:rFonts w:ascii="Calibri"/>
                  </w:rPr>
                  <w:t>50</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40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600</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38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610</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36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620</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33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630</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702.5pt;margin-top:550.856018pt;width:20.75pt;height:13.05pt;mso-position-horizontal-relative:page;mso-position-vertical-relative:page;z-index:-334031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641</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28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650</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2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660</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24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670</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21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680</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19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690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34213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51</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702.5pt;margin-top:550.856018pt;width:20.75pt;height:13.05pt;mso-position-horizontal-relative:page;mso-position-vertical-relative:page;z-index:-334016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701</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14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710</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12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720</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09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730</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07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740</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04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750</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0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760</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000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762</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97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765</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342112" type="#_x0000_t202" filled="false" stroked="false">
          <v:textbox inset="0,0,0,0">
            <w:txbxContent>
              <w:p>
                <w:pPr>
                  <w:pStyle w:val="BodyText"/>
                  <w:spacing w:line="245" w:lineRule="exact"/>
                  <w:ind w:left="20"/>
                  <w:rPr>
                    <w:rFonts w:ascii="Calibri"/>
                  </w:rPr>
                </w:pPr>
                <w:r>
                  <w:rPr>
                    <w:rFonts w:ascii="Calibri"/>
                  </w:rPr>
                  <w:t>60</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95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770</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9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780</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8pt;height:13.05pt;mso-position-horizontal-relative:page;mso-position-vertical-relative:page;z-index:-333990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798</w:t>
                </w:r>
                <w:r>
                  <w:rPr/>
                  <w:fldChar w:fldCharType="end"/>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88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800</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85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810</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8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820</w:t>
                </w:r>
                <w:r>
                  <w:rPr/>
                  <w:fldChar w:fldCharType="end"/>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80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830</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78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838</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76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840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34208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61</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73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850</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339996pt;margin-top:730.856018pt;width:20.75pt;height:13.05pt;mso-position-horizontal-relative:page;mso-position-vertical-relative:page;z-index:-333971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866</w:t>
                </w:r>
                <w:r>
                  <w:rPr/>
                  <w:fldChar w:fldCharType="end"/>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68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870</w:t>
                </w:r>
                <w:r>
                  <w:rPr/>
                  <w:fldChar w:fldCharType="end"/>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396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880</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5.416016pt;width:20.75pt;height:13.05pt;mso-position-horizontal-relative:page;mso-position-vertical-relative:page;z-index:-333964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882</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5.416016pt;width:20.75pt;height:13.05pt;mso-position-horizontal-relative:page;mso-position-vertical-relative:page;z-index:-333961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890</w:t>
                </w:r>
                <w:r>
                  <w:rPr/>
                  <w:fldChar w:fldCharType="end"/>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5.416016pt;width:20.75pt;height:13.05pt;mso-position-horizontal-relative:page;mso-position-vertical-relative:page;z-index:-333959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900</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5.416016pt;width:20.75pt;height:13.05pt;mso-position-horizontal-relative:page;mso-position-vertical-relative:page;z-index:-333956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910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342064" type="#_x0000_t202" filled="false" stroked="false">
          <v:textbox inset="0,0,0,0">
            <w:txbxContent>
              <w:p>
                <w:pPr>
                  <w:pStyle w:val="BodyText"/>
                  <w:spacing w:line="245" w:lineRule="exact"/>
                  <w:ind w:left="20"/>
                  <w:rPr>
                    <w:rFonts w:ascii="Calibri"/>
                  </w:rPr>
                </w:pPr>
                <w:r>
                  <w:rPr>
                    <w:rFonts w:ascii="Calibri"/>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34204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342016" type="#_x0000_t202" filled="false" stroked="false">
          <v:textbox inset="0,0,0,0">
            <w:txbxContent>
              <w:p>
                <w:pPr>
                  <w:pStyle w:val="BodyText"/>
                  <w:spacing w:line="245" w:lineRule="exact"/>
                  <w:ind w:left="20"/>
                  <w:rPr>
                    <w:rFonts w:ascii="Calibri"/>
                  </w:rPr>
                </w:pPr>
                <w:r>
                  <w:rPr>
                    <w:rFonts w:ascii="Calibri"/>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34199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341968" type="#_x0000_t202" filled="false" stroked="false">
          <v:textbox inset="0,0,0,0">
            <w:txbxContent>
              <w:p>
                <w:pPr>
                  <w:pStyle w:val="BodyText"/>
                  <w:spacing w:line="245" w:lineRule="exact"/>
                  <w:ind w:left="20"/>
                  <w:rPr>
                    <w:rFonts w:ascii="Calibri"/>
                  </w:rPr>
                </w:pPr>
                <w:r>
                  <w:rPr>
                    <w:rFonts w:ascii="Calibri"/>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34194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3342376"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w:instrText>
                </w:r>
                <w:r>
                  <w:rPr/>
                  <w:fldChar w:fldCharType="separate"/>
                </w:r>
                <w:r>
                  <w:rPr/>
                  <w:t>4</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34192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98</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89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100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87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103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3423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19.75pt;height:13.05pt;mso-position-horizontal-relative:page;mso-position-vertical-relative:page;z-index:-334184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w:t>
                </w:r>
                <w:r>
                  <w:rPr/>
                  <w:fldChar w:fldCharType="end"/>
                </w:r>
                <w:r>
                  <w:rPr>
                    <w:rFonts w:ascii="Calibri"/>
                  </w:rPr>
                  <w:t>9</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19.75pt;height:13.05pt;mso-position-horizontal-relative:page;mso-position-vertical-relative:page;z-index:-33418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12</w:t>
                </w:r>
                <w:r>
                  <w:rPr/>
                  <w:fldChar w:fldCharType="end"/>
                </w:r>
                <w:r>
                  <w:rPr>
                    <w:rFonts w:ascii="Calibri"/>
                  </w:rPr>
                  <w:t>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80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121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77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130</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342304" type="#_x0000_t202" filled="false" stroked="false">
          <v:textbox inset="0,0,0,0">
            <w:txbxContent>
              <w:p>
                <w:pPr>
                  <w:pStyle w:val="BodyText"/>
                  <w:spacing w:line="245" w:lineRule="exact"/>
                  <w:ind w:left="20"/>
                  <w:rPr>
                    <w:rFonts w:ascii="Calibri"/>
                  </w:rPr>
                </w:pPr>
                <w:r>
                  <w:rPr>
                    <w:rFonts w:ascii="Calibri"/>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75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140</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7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150</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70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160</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68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164</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339996pt;margin-top:730.856018pt;width:20.75pt;height:13.05pt;mso-position-horizontal-relative:page;mso-position-vertical-relative:page;z-index:-334165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172</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339996pt;margin-top:730.856018pt;width:20.75pt;height:13.05pt;mso-position-horizontal-relative:page;mso-position-vertical-relative:page;z-index:-33416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181</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60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186</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58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190</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56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191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34228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53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195</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51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200</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48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205</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4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210</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44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220</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41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230</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39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240</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36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250</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702.5pt;margin-top:550.856018pt;width:20.75pt;height:13.05pt;mso-position-horizontal-relative:page;mso-position-vertical-relative:page;z-index:-334134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261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342256" type="#_x0000_t202" filled="false" stroked="false">
          <v:textbox inset="0,0,0,0">
            <w:txbxContent>
              <w:p>
                <w:pPr>
                  <w:pStyle w:val="BodyText"/>
                  <w:spacing w:line="245" w:lineRule="exact"/>
                  <w:ind w:left="20"/>
                  <w:rPr>
                    <w:rFonts w:ascii="Calibri"/>
                  </w:rPr>
                </w:pPr>
                <w:r>
                  <w:rPr>
                    <w:rFonts w:ascii="Calibri"/>
                  </w:rPr>
                  <w:t>30</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32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270</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8pt;height:13.05pt;mso-position-horizontal-relative:page;mso-position-vertical-relative:page;z-index:-334129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286</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27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290</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24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300</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2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310</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20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320</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702.5pt;margin-top:550.856018pt;width:20.75pt;height:13.05pt;mso-position-horizontal-relative:page;mso-position-vertical-relative:page;z-index:-334117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332</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702.5pt;margin-top:550.856018pt;width:20.75pt;height:13.05pt;mso-position-horizontal-relative:page;mso-position-vertical-relative:page;z-index:-334115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343</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1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350</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10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360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3422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31</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108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370</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05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380</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0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390</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100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400</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098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410</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096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420</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093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430</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091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437</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088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440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342208" type="#_x0000_t202" filled="false" stroked="false">
          <v:textbox inset="0,0,0,0">
            <w:txbxContent>
              <w:p>
                <w:pPr>
                  <w:pStyle w:val="BodyText"/>
                  <w:spacing w:line="245" w:lineRule="exact"/>
                  <w:ind w:left="20"/>
                  <w:rPr>
                    <w:rFonts w:ascii="Calibri"/>
                  </w:rPr>
                </w:pPr>
                <w:r>
                  <w:rPr>
                    <w:rFonts w:ascii="Calibri"/>
                  </w:rPr>
                  <w:t>40</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08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450</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84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454</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81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460</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79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470</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76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480</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74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490</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72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500</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69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510</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67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513</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34218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41</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064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517</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3406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520</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60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521</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57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530</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702.5pt;margin-top:550.856018pt;width:20.8pt;height:13.05pt;mso-position-horizontal-relative:page;mso-position-vertical-relative:page;z-index:-334055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542</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5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550</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50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560</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48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570</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45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580</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3404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590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21">
    <w:multiLevelType w:val="hybridMultilevel"/>
    <w:lvl w:ilvl="0">
      <w:start w:val="1"/>
      <w:numFmt w:val="decimal"/>
      <w:lvlText w:val="%1."/>
      <w:lvlJc w:val="left"/>
      <w:pPr>
        <w:ind w:left="349" w:hanging="248"/>
        <w:jc w:val="right"/>
      </w:pPr>
      <w:rPr>
        <w:rFonts w:hint="default" w:ascii="Arial" w:hAnsi="Arial" w:eastAsia="Arial" w:cs="Arial"/>
        <w:w w:val="100"/>
        <w:sz w:val="22"/>
        <w:szCs w:val="22"/>
      </w:rPr>
    </w:lvl>
    <w:lvl w:ilvl="1">
      <w:start w:val="1"/>
      <w:numFmt w:val="bullet"/>
      <w:lvlText w:val="•"/>
      <w:lvlJc w:val="left"/>
      <w:pPr>
        <w:ind w:left="1212" w:hanging="248"/>
      </w:pPr>
      <w:rPr>
        <w:rFonts w:hint="default"/>
      </w:rPr>
    </w:lvl>
    <w:lvl w:ilvl="2">
      <w:start w:val="1"/>
      <w:numFmt w:val="bullet"/>
      <w:lvlText w:val="•"/>
      <w:lvlJc w:val="left"/>
      <w:pPr>
        <w:ind w:left="2084" w:hanging="248"/>
      </w:pPr>
      <w:rPr>
        <w:rFonts w:hint="default"/>
      </w:rPr>
    </w:lvl>
    <w:lvl w:ilvl="3">
      <w:start w:val="1"/>
      <w:numFmt w:val="bullet"/>
      <w:lvlText w:val="•"/>
      <w:lvlJc w:val="left"/>
      <w:pPr>
        <w:ind w:left="2956" w:hanging="248"/>
      </w:pPr>
      <w:rPr>
        <w:rFonts w:hint="default"/>
      </w:rPr>
    </w:lvl>
    <w:lvl w:ilvl="4">
      <w:start w:val="1"/>
      <w:numFmt w:val="bullet"/>
      <w:lvlText w:val="•"/>
      <w:lvlJc w:val="left"/>
      <w:pPr>
        <w:ind w:left="3828" w:hanging="248"/>
      </w:pPr>
      <w:rPr>
        <w:rFonts w:hint="default"/>
      </w:rPr>
    </w:lvl>
    <w:lvl w:ilvl="5">
      <w:start w:val="1"/>
      <w:numFmt w:val="bullet"/>
      <w:lvlText w:val="•"/>
      <w:lvlJc w:val="left"/>
      <w:pPr>
        <w:ind w:left="4700" w:hanging="248"/>
      </w:pPr>
      <w:rPr>
        <w:rFonts w:hint="default"/>
      </w:rPr>
    </w:lvl>
    <w:lvl w:ilvl="6">
      <w:start w:val="1"/>
      <w:numFmt w:val="bullet"/>
      <w:lvlText w:val="•"/>
      <w:lvlJc w:val="left"/>
      <w:pPr>
        <w:ind w:left="5572" w:hanging="248"/>
      </w:pPr>
      <w:rPr>
        <w:rFonts w:hint="default"/>
      </w:rPr>
    </w:lvl>
    <w:lvl w:ilvl="7">
      <w:start w:val="1"/>
      <w:numFmt w:val="bullet"/>
      <w:lvlText w:val="•"/>
      <w:lvlJc w:val="left"/>
      <w:pPr>
        <w:ind w:left="6444" w:hanging="248"/>
      </w:pPr>
      <w:rPr>
        <w:rFonts w:hint="default"/>
      </w:rPr>
    </w:lvl>
    <w:lvl w:ilvl="8">
      <w:start w:val="1"/>
      <w:numFmt w:val="bullet"/>
      <w:lvlText w:val="•"/>
      <w:lvlJc w:val="left"/>
      <w:pPr>
        <w:ind w:left="7316" w:hanging="248"/>
      </w:pPr>
      <w:rPr>
        <w:rFonts w:hint="default"/>
      </w:rPr>
    </w:lvl>
  </w:abstractNum>
  <w:abstractNum w:abstractNumId="420">
    <w:multiLevelType w:val="hybridMultilevel"/>
    <w:lvl w:ilvl="0">
      <w:start w:val="1"/>
      <w:numFmt w:val="decimal"/>
      <w:lvlText w:val="%1."/>
      <w:lvlJc w:val="left"/>
      <w:pPr>
        <w:ind w:left="102" w:hanging="259"/>
        <w:jc w:val="left"/>
      </w:pPr>
      <w:rPr>
        <w:rFonts w:hint="default" w:ascii="Arial" w:hAnsi="Arial" w:eastAsia="Arial" w:cs="Arial"/>
        <w:w w:val="100"/>
        <w:sz w:val="22"/>
        <w:szCs w:val="22"/>
      </w:rPr>
    </w:lvl>
    <w:lvl w:ilvl="1">
      <w:start w:val="1"/>
      <w:numFmt w:val="bullet"/>
      <w:lvlText w:val="•"/>
      <w:lvlJc w:val="left"/>
      <w:pPr>
        <w:ind w:left="996" w:hanging="259"/>
      </w:pPr>
      <w:rPr>
        <w:rFonts w:hint="default"/>
      </w:rPr>
    </w:lvl>
    <w:lvl w:ilvl="2">
      <w:start w:val="1"/>
      <w:numFmt w:val="bullet"/>
      <w:lvlText w:val="•"/>
      <w:lvlJc w:val="left"/>
      <w:pPr>
        <w:ind w:left="1892" w:hanging="259"/>
      </w:pPr>
      <w:rPr>
        <w:rFonts w:hint="default"/>
      </w:rPr>
    </w:lvl>
    <w:lvl w:ilvl="3">
      <w:start w:val="1"/>
      <w:numFmt w:val="bullet"/>
      <w:lvlText w:val="•"/>
      <w:lvlJc w:val="left"/>
      <w:pPr>
        <w:ind w:left="2788" w:hanging="259"/>
      </w:pPr>
      <w:rPr>
        <w:rFonts w:hint="default"/>
      </w:rPr>
    </w:lvl>
    <w:lvl w:ilvl="4">
      <w:start w:val="1"/>
      <w:numFmt w:val="bullet"/>
      <w:lvlText w:val="•"/>
      <w:lvlJc w:val="left"/>
      <w:pPr>
        <w:ind w:left="3684" w:hanging="259"/>
      </w:pPr>
      <w:rPr>
        <w:rFonts w:hint="default"/>
      </w:rPr>
    </w:lvl>
    <w:lvl w:ilvl="5">
      <w:start w:val="1"/>
      <w:numFmt w:val="bullet"/>
      <w:lvlText w:val="•"/>
      <w:lvlJc w:val="left"/>
      <w:pPr>
        <w:ind w:left="4580" w:hanging="259"/>
      </w:pPr>
      <w:rPr>
        <w:rFonts w:hint="default"/>
      </w:rPr>
    </w:lvl>
    <w:lvl w:ilvl="6">
      <w:start w:val="1"/>
      <w:numFmt w:val="bullet"/>
      <w:lvlText w:val="•"/>
      <w:lvlJc w:val="left"/>
      <w:pPr>
        <w:ind w:left="5476" w:hanging="259"/>
      </w:pPr>
      <w:rPr>
        <w:rFonts w:hint="default"/>
      </w:rPr>
    </w:lvl>
    <w:lvl w:ilvl="7">
      <w:start w:val="1"/>
      <w:numFmt w:val="bullet"/>
      <w:lvlText w:val="•"/>
      <w:lvlJc w:val="left"/>
      <w:pPr>
        <w:ind w:left="6372" w:hanging="259"/>
      </w:pPr>
      <w:rPr>
        <w:rFonts w:hint="default"/>
      </w:rPr>
    </w:lvl>
    <w:lvl w:ilvl="8">
      <w:start w:val="1"/>
      <w:numFmt w:val="bullet"/>
      <w:lvlText w:val="•"/>
      <w:lvlJc w:val="left"/>
      <w:pPr>
        <w:ind w:left="7268" w:hanging="259"/>
      </w:pPr>
      <w:rPr>
        <w:rFonts w:hint="default"/>
      </w:rPr>
    </w:lvl>
  </w:abstractNum>
  <w:abstractNum w:abstractNumId="419">
    <w:multiLevelType w:val="hybridMultilevel"/>
    <w:lvl w:ilvl="0">
      <w:start w:val="12"/>
      <w:numFmt w:val="upperRoman"/>
      <w:lvlText w:val="%1."/>
      <w:lvlJc w:val="left"/>
      <w:pPr>
        <w:ind w:left="495" w:hanging="394"/>
        <w:jc w:val="left"/>
      </w:pPr>
      <w:rPr>
        <w:rFonts w:hint="default" w:ascii="Arial" w:hAnsi="Arial" w:eastAsia="Arial" w:cs="Arial"/>
        <w:b/>
        <w:bCs/>
        <w:spacing w:val="-1"/>
        <w:w w:val="100"/>
        <w:sz w:val="22"/>
        <w:szCs w:val="22"/>
      </w:rPr>
    </w:lvl>
    <w:lvl w:ilvl="1">
      <w:start w:val="1"/>
      <w:numFmt w:val="bullet"/>
      <w:lvlText w:val="•"/>
      <w:lvlJc w:val="left"/>
      <w:pPr>
        <w:ind w:left="1356" w:hanging="394"/>
      </w:pPr>
      <w:rPr>
        <w:rFonts w:hint="default"/>
      </w:rPr>
    </w:lvl>
    <w:lvl w:ilvl="2">
      <w:start w:val="1"/>
      <w:numFmt w:val="bullet"/>
      <w:lvlText w:val="•"/>
      <w:lvlJc w:val="left"/>
      <w:pPr>
        <w:ind w:left="2212" w:hanging="394"/>
      </w:pPr>
      <w:rPr>
        <w:rFonts w:hint="default"/>
      </w:rPr>
    </w:lvl>
    <w:lvl w:ilvl="3">
      <w:start w:val="1"/>
      <w:numFmt w:val="bullet"/>
      <w:lvlText w:val="•"/>
      <w:lvlJc w:val="left"/>
      <w:pPr>
        <w:ind w:left="3068" w:hanging="394"/>
      </w:pPr>
      <w:rPr>
        <w:rFonts w:hint="default"/>
      </w:rPr>
    </w:lvl>
    <w:lvl w:ilvl="4">
      <w:start w:val="1"/>
      <w:numFmt w:val="bullet"/>
      <w:lvlText w:val="•"/>
      <w:lvlJc w:val="left"/>
      <w:pPr>
        <w:ind w:left="3924" w:hanging="394"/>
      </w:pPr>
      <w:rPr>
        <w:rFonts w:hint="default"/>
      </w:rPr>
    </w:lvl>
    <w:lvl w:ilvl="5">
      <w:start w:val="1"/>
      <w:numFmt w:val="bullet"/>
      <w:lvlText w:val="•"/>
      <w:lvlJc w:val="left"/>
      <w:pPr>
        <w:ind w:left="4780" w:hanging="394"/>
      </w:pPr>
      <w:rPr>
        <w:rFonts w:hint="default"/>
      </w:rPr>
    </w:lvl>
    <w:lvl w:ilvl="6">
      <w:start w:val="1"/>
      <w:numFmt w:val="bullet"/>
      <w:lvlText w:val="•"/>
      <w:lvlJc w:val="left"/>
      <w:pPr>
        <w:ind w:left="5636" w:hanging="394"/>
      </w:pPr>
      <w:rPr>
        <w:rFonts w:hint="default"/>
      </w:rPr>
    </w:lvl>
    <w:lvl w:ilvl="7">
      <w:start w:val="1"/>
      <w:numFmt w:val="bullet"/>
      <w:lvlText w:val="•"/>
      <w:lvlJc w:val="left"/>
      <w:pPr>
        <w:ind w:left="6492" w:hanging="394"/>
      </w:pPr>
      <w:rPr>
        <w:rFonts w:hint="default"/>
      </w:rPr>
    </w:lvl>
    <w:lvl w:ilvl="8">
      <w:start w:val="1"/>
      <w:numFmt w:val="bullet"/>
      <w:lvlText w:val="•"/>
      <w:lvlJc w:val="left"/>
      <w:pPr>
        <w:ind w:left="7348" w:hanging="394"/>
      </w:pPr>
      <w:rPr>
        <w:rFonts w:hint="default"/>
      </w:rPr>
    </w:lvl>
  </w:abstractNum>
  <w:abstractNum w:abstractNumId="418">
    <w:multiLevelType w:val="hybridMultilevel"/>
    <w:lvl w:ilvl="0">
      <w:start w:val="1"/>
      <w:numFmt w:val="upperRoman"/>
      <w:lvlText w:val="%1."/>
      <w:lvlJc w:val="left"/>
      <w:pPr>
        <w:ind w:left="102" w:hanging="206"/>
        <w:jc w:val="left"/>
      </w:pPr>
      <w:rPr>
        <w:rFonts w:hint="default" w:ascii="Arial" w:hAnsi="Arial" w:eastAsia="Arial" w:cs="Arial"/>
        <w:w w:val="100"/>
        <w:sz w:val="22"/>
        <w:szCs w:val="22"/>
      </w:rPr>
    </w:lvl>
    <w:lvl w:ilvl="1">
      <w:start w:val="1"/>
      <w:numFmt w:val="bullet"/>
      <w:lvlText w:val="•"/>
      <w:lvlJc w:val="left"/>
      <w:pPr>
        <w:ind w:left="996" w:hanging="206"/>
      </w:pPr>
      <w:rPr>
        <w:rFonts w:hint="default"/>
      </w:rPr>
    </w:lvl>
    <w:lvl w:ilvl="2">
      <w:start w:val="1"/>
      <w:numFmt w:val="bullet"/>
      <w:lvlText w:val="•"/>
      <w:lvlJc w:val="left"/>
      <w:pPr>
        <w:ind w:left="1892" w:hanging="206"/>
      </w:pPr>
      <w:rPr>
        <w:rFonts w:hint="default"/>
      </w:rPr>
    </w:lvl>
    <w:lvl w:ilvl="3">
      <w:start w:val="1"/>
      <w:numFmt w:val="bullet"/>
      <w:lvlText w:val="•"/>
      <w:lvlJc w:val="left"/>
      <w:pPr>
        <w:ind w:left="2788" w:hanging="206"/>
      </w:pPr>
      <w:rPr>
        <w:rFonts w:hint="default"/>
      </w:rPr>
    </w:lvl>
    <w:lvl w:ilvl="4">
      <w:start w:val="1"/>
      <w:numFmt w:val="bullet"/>
      <w:lvlText w:val="•"/>
      <w:lvlJc w:val="left"/>
      <w:pPr>
        <w:ind w:left="3684" w:hanging="206"/>
      </w:pPr>
      <w:rPr>
        <w:rFonts w:hint="default"/>
      </w:rPr>
    </w:lvl>
    <w:lvl w:ilvl="5">
      <w:start w:val="1"/>
      <w:numFmt w:val="bullet"/>
      <w:lvlText w:val="•"/>
      <w:lvlJc w:val="left"/>
      <w:pPr>
        <w:ind w:left="4580" w:hanging="206"/>
      </w:pPr>
      <w:rPr>
        <w:rFonts w:hint="default"/>
      </w:rPr>
    </w:lvl>
    <w:lvl w:ilvl="6">
      <w:start w:val="1"/>
      <w:numFmt w:val="bullet"/>
      <w:lvlText w:val="•"/>
      <w:lvlJc w:val="left"/>
      <w:pPr>
        <w:ind w:left="5476" w:hanging="206"/>
      </w:pPr>
      <w:rPr>
        <w:rFonts w:hint="default"/>
      </w:rPr>
    </w:lvl>
    <w:lvl w:ilvl="7">
      <w:start w:val="1"/>
      <w:numFmt w:val="bullet"/>
      <w:lvlText w:val="•"/>
      <w:lvlJc w:val="left"/>
      <w:pPr>
        <w:ind w:left="6372" w:hanging="206"/>
      </w:pPr>
      <w:rPr>
        <w:rFonts w:hint="default"/>
      </w:rPr>
    </w:lvl>
    <w:lvl w:ilvl="8">
      <w:start w:val="1"/>
      <w:numFmt w:val="bullet"/>
      <w:lvlText w:val="•"/>
      <w:lvlJc w:val="left"/>
      <w:pPr>
        <w:ind w:left="7268" w:hanging="206"/>
      </w:pPr>
      <w:rPr>
        <w:rFonts w:hint="default"/>
      </w:rPr>
    </w:lvl>
  </w:abstractNum>
  <w:abstractNum w:abstractNumId="417">
    <w:multiLevelType w:val="hybridMultilevel"/>
    <w:lvl w:ilvl="0">
      <w:start w:val="1"/>
      <w:numFmt w:val="upperRoman"/>
      <w:lvlText w:val="%1."/>
      <w:lvlJc w:val="left"/>
      <w:pPr>
        <w:ind w:left="102" w:hanging="204"/>
        <w:jc w:val="left"/>
      </w:pPr>
      <w:rPr>
        <w:rFonts w:hint="default" w:ascii="Arial" w:hAnsi="Arial" w:eastAsia="Arial" w:cs="Arial"/>
        <w:w w:val="100"/>
        <w:sz w:val="22"/>
        <w:szCs w:val="22"/>
      </w:rPr>
    </w:lvl>
    <w:lvl w:ilvl="1">
      <w:start w:val="1"/>
      <w:numFmt w:val="bullet"/>
      <w:lvlText w:val="•"/>
      <w:lvlJc w:val="left"/>
      <w:pPr>
        <w:ind w:left="996" w:hanging="204"/>
      </w:pPr>
      <w:rPr>
        <w:rFonts w:hint="default"/>
      </w:rPr>
    </w:lvl>
    <w:lvl w:ilvl="2">
      <w:start w:val="1"/>
      <w:numFmt w:val="bullet"/>
      <w:lvlText w:val="•"/>
      <w:lvlJc w:val="left"/>
      <w:pPr>
        <w:ind w:left="1892" w:hanging="204"/>
      </w:pPr>
      <w:rPr>
        <w:rFonts w:hint="default"/>
      </w:rPr>
    </w:lvl>
    <w:lvl w:ilvl="3">
      <w:start w:val="1"/>
      <w:numFmt w:val="bullet"/>
      <w:lvlText w:val="•"/>
      <w:lvlJc w:val="left"/>
      <w:pPr>
        <w:ind w:left="2788" w:hanging="204"/>
      </w:pPr>
      <w:rPr>
        <w:rFonts w:hint="default"/>
      </w:rPr>
    </w:lvl>
    <w:lvl w:ilvl="4">
      <w:start w:val="1"/>
      <w:numFmt w:val="bullet"/>
      <w:lvlText w:val="•"/>
      <w:lvlJc w:val="left"/>
      <w:pPr>
        <w:ind w:left="3684" w:hanging="204"/>
      </w:pPr>
      <w:rPr>
        <w:rFonts w:hint="default"/>
      </w:rPr>
    </w:lvl>
    <w:lvl w:ilvl="5">
      <w:start w:val="1"/>
      <w:numFmt w:val="bullet"/>
      <w:lvlText w:val="•"/>
      <w:lvlJc w:val="left"/>
      <w:pPr>
        <w:ind w:left="4580" w:hanging="204"/>
      </w:pPr>
      <w:rPr>
        <w:rFonts w:hint="default"/>
      </w:rPr>
    </w:lvl>
    <w:lvl w:ilvl="6">
      <w:start w:val="1"/>
      <w:numFmt w:val="bullet"/>
      <w:lvlText w:val="•"/>
      <w:lvlJc w:val="left"/>
      <w:pPr>
        <w:ind w:left="5476" w:hanging="204"/>
      </w:pPr>
      <w:rPr>
        <w:rFonts w:hint="default"/>
      </w:rPr>
    </w:lvl>
    <w:lvl w:ilvl="7">
      <w:start w:val="1"/>
      <w:numFmt w:val="bullet"/>
      <w:lvlText w:val="•"/>
      <w:lvlJc w:val="left"/>
      <w:pPr>
        <w:ind w:left="6372" w:hanging="204"/>
      </w:pPr>
      <w:rPr>
        <w:rFonts w:hint="default"/>
      </w:rPr>
    </w:lvl>
    <w:lvl w:ilvl="8">
      <w:start w:val="1"/>
      <w:numFmt w:val="bullet"/>
      <w:lvlText w:val="•"/>
      <w:lvlJc w:val="left"/>
      <w:pPr>
        <w:ind w:left="7268" w:hanging="204"/>
      </w:pPr>
      <w:rPr>
        <w:rFonts w:hint="default"/>
      </w:rPr>
    </w:lvl>
  </w:abstractNum>
  <w:abstractNum w:abstractNumId="416">
    <w:multiLevelType w:val="hybridMultilevel"/>
    <w:lvl w:ilvl="0">
      <w:start w:val="1"/>
      <w:numFmt w:val="upperRoman"/>
      <w:lvlText w:val="%1."/>
      <w:lvlJc w:val="left"/>
      <w:pPr>
        <w:ind w:left="102" w:hanging="204"/>
        <w:jc w:val="left"/>
      </w:pPr>
      <w:rPr>
        <w:rFonts w:hint="default" w:ascii="Arial" w:hAnsi="Arial" w:eastAsia="Arial" w:cs="Arial"/>
        <w:w w:val="100"/>
        <w:sz w:val="22"/>
        <w:szCs w:val="22"/>
      </w:rPr>
    </w:lvl>
    <w:lvl w:ilvl="1">
      <w:start w:val="1"/>
      <w:numFmt w:val="bullet"/>
      <w:lvlText w:val="•"/>
      <w:lvlJc w:val="left"/>
      <w:pPr>
        <w:ind w:left="996" w:hanging="204"/>
      </w:pPr>
      <w:rPr>
        <w:rFonts w:hint="default"/>
      </w:rPr>
    </w:lvl>
    <w:lvl w:ilvl="2">
      <w:start w:val="1"/>
      <w:numFmt w:val="bullet"/>
      <w:lvlText w:val="•"/>
      <w:lvlJc w:val="left"/>
      <w:pPr>
        <w:ind w:left="1892" w:hanging="204"/>
      </w:pPr>
      <w:rPr>
        <w:rFonts w:hint="default"/>
      </w:rPr>
    </w:lvl>
    <w:lvl w:ilvl="3">
      <w:start w:val="1"/>
      <w:numFmt w:val="bullet"/>
      <w:lvlText w:val="•"/>
      <w:lvlJc w:val="left"/>
      <w:pPr>
        <w:ind w:left="2788" w:hanging="204"/>
      </w:pPr>
      <w:rPr>
        <w:rFonts w:hint="default"/>
      </w:rPr>
    </w:lvl>
    <w:lvl w:ilvl="4">
      <w:start w:val="1"/>
      <w:numFmt w:val="bullet"/>
      <w:lvlText w:val="•"/>
      <w:lvlJc w:val="left"/>
      <w:pPr>
        <w:ind w:left="3684" w:hanging="204"/>
      </w:pPr>
      <w:rPr>
        <w:rFonts w:hint="default"/>
      </w:rPr>
    </w:lvl>
    <w:lvl w:ilvl="5">
      <w:start w:val="1"/>
      <w:numFmt w:val="bullet"/>
      <w:lvlText w:val="•"/>
      <w:lvlJc w:val="left"/>
      <w:pPr>
        <w:ind w:left="4580" w:hanging="204"/>
      </w:pPr>
      <w:rPr>
        <w:rFonts w:hint="default"/>
      </w:rPr>
    </w:lvl>
    <w:lvl w:ilvl="6">
      <w:start w:val="1"/>
      <w:numFmt w:val="bullet"/>
      <w:lvlText w:val="•"/>
      <w:lvlJc w:val="left"/>
      <w:pPr>
        <w:ind w:left="5476" w:hanging="204"/>
      </w:pPr>
      <w:rPr>
        <w:rFonts w:hint="default"/>
      </w:rPr>
    </w:lvl>
    <w:lvl w:ilvl="7">
      <w:start w:val="1"/>
      <w:numFmt w:val="bullet"/>
      <w:lvlText w:val="•"/>
      <w:lvlJc w:val="left"/>
      <w:pPr>
        <w:ind w:left="6372" w:hanging="204"/>
      </w:pPr>
      <w:rPr>
        <w:rFonts w:hint="default"/>
      </w:rPr>
    </w:lvl>
    <w:lvl w:ilvl="8">
      <w:start w:val="1"/>
      <w:numFmt w:val="bullet"/>
      <w:lvlText w:val="•"/>
      <w:lvlJc w:val="left"/>
      <w:pPr>
        <w:ind w:left="7268" w:hanging="204"/>
      </w:pPr>
      <w:rPr>
        <w:rFonts w:hint="default"/>
      </w:rPr>
    </w:lvl>
  </w:abstractNum>
  <w:abstractNum w:abstractNumId="415">
    <w:multiLevelType w:val="hybridMultilevel"/>
    <w:lvl w:ilvl="0">
      <w:start w:val="1"/>
      <w:numFmt w:val="lowerLetter"/>
      <w:lvlText w:val="%1)"/>
      <w:lvlJc w:val="left"/>
      <w:pPr>
        <w:ind w:left="102" w:hanging="278"/>
        <w:jc w:val="left"/>
      </w:pPr>
      <w:rPr>
        <w:rFonts w:hint="default" w:ascii="Arial" w:hAnsi="Arial" w:eastAsia="Arial" w:cs="Arial"/>
        <w:b/>
        <w:bCs/>
        <w:i/>
        <w:w w:val="100"/>
        <w:sz w:val="22"/>
        <w:szCs w:val="22"/>
      </w:rPr>
    </w:lvl>
    <w:lvl w:ilvl="1">
      <w:start w:val="1"/>
      <w:numFmt w:val="bullet"/>
      <w:lvlText w:val="•"/>
      <w:lvlJc w:val="left"/>
      <w:pPr>
        <w:ind w:left="996" w:hanging="278"/>
      </w:pPr>
      <w:rPr>
        <w:rFonts w:hint="default"/>
      </w:rPr>
    </w:lvl>
    <w:lvl w:ilvl="2">
      <w:start w:val="1"/>
      <w:numFmt w:val="bullet"/>
      <w:lvlText w:val="•"/>
      <w:lvlJc w:val="left"/>
      <w:pPr>
        <w:ind w:left="1892" w:hanging="278"/>
      </w:pPr>
      <w:rPr>
        <w:rFonts w:hint="default"/>
      </w:rPr>
    </w:lvl>
    <w:lvl w:ilvl="3">
      <w:start w:val="1"/>
      <w:numFmt w:val="bullet"/>
      <w:lvlText w:val="•"/>
      <w:lvlJc w:val="left"/>
      <w:pPr>
        <w:ind w:left="2788" w:hanging="278"/>
      </w:pPr>
      <w:rPr>
        <w:rFonts w:hint="default"/>
      </w:rPr>
    </w:lvl>
    <w:lvl w:ilvl="4">
      <w:start w:val="1"/>
      <w:numFmt w:val="bullet"/>
      <w:lvlText w:val="•"/>
      <w:lvlJc w:val="left"/>
      <w:pPr>
        <w:ind w:left="3684" w:hanging="278"/>
      </w:pPr>
      <w:rPr>
        <w:rFonts w:hint="default"/>
      </w:rPr>
    </w:lvl>
    <w:lvl w:ilvl="5">
      <w:start w:val="1"/>
      <w:numFmt w:val="bullet"/>
      <w:lvlText w:val="•"/>
      <w:lvlJc w:val="left"/>
      <w:pPr>
        <w:ind w:left="4580" w:hanging="278"/>
      </w:pPr>
      <w:rPr>
        <w:rFonts w:hint="default"/>
      </w:rPr>
    </w:lvl>
    <w:lvl w:ilvl="6">
      <w:start w:val="1"/>
      <w:numFmt w:val="bullet"/>
      <w:lvlText w:val="•"/>
      <w:lvlJc w:val="left"/>
      <w:pPr>
        <w:ind w:left="5476" w:hanging="278"/>
      </w:pPr>
      <w:rPr>
        <w:rFonts w:hint="default"/>
      </w:rPr>
    </w:lvl>
    <w:lvl w:ilvl="7">
      <w:start w:val="1"/>
      <w:numFmt w:val="bullet"/>
      <w:lvlText w:val="•"/>
      <w:lvlJc w:val="left"/>
      <w:pPr>
        <w:ind w:left="6372" w:hanging="278"/>
      </w:pPr>
      <w:rPr>
        <w:rFonts w:hint="default"/>
      </w:rPr>
    </w:lvl>
    <w:lvl w:ilvl="8">
      <w:start w:val="1"/>
      <w:numFmt w:val="bullet"/>
      <w:lvlText w:val="•"/>
      <w:lvlJc w:val="left"/>
      <w:pPr>
        <w:ind w:left="7268" w:hanging="278"/>
      </w:pPr>
      <w:rPr>
        <w:rFonts w:hint="default"/>
      </w:rPr>
    </w:lvl>
  </w:abstractNum>
  <w:abstractNum w:abstractNumId="414">
    <w:multiLevelType w:val="hybridMultilevel"/>
    <w:lvl w:ilvl="0">
      <w:start w:val="1"/>
      <w:numFmt w:val="upperRoman"/>
      <w:lvlText w:val="%1."/>
      <w:lvlJc w:val="left"/>
      <w:pPr>
        <w:ind w:left="102" w:hanging="199"/>
        <w:jc w:val="left"/>
      </w:pPr>
      <w:rPr>
        <w:rFonts w:hint="default" w:ascii="Arial" w:hAnsi="Arial" w:eastAsia="Arial" w:cs="Arial"/>
        <w:w w:val="100"/>
        <w:sz w:val="22"/>
        <w:szCs w:val="22"/>
      </w:rPr>
    </w:lvl>
    <w:lvl w:ilvl="1">
      <w:start w:val="1"/>
      <w:numFmt w:val="bullet"/>
      <w:lvlText w:val="•"/>
      <w:lvlJc w:val="left"/>
      <w:pPr>
        <w:ind w:left="996" w:hanging="199"/>
      </w:pPr>
      <w:rPr>
        <w:rFonts w:hint="default"/>
      </w:rPr>
    </w:lvl>
    <w:lvl w:ilvl="2">
      <w:start w:val="1"/>
      <w:numFmt w:val="bullet"/>
      <w:lvlText w:val="•"/>
      <w:lvlJc w:val="left"/>
      <w:pPr>
        <w:ind w:left="1892" w:hanging="199"/>
      </w:pPr>
      <w:rPr>
        <w:rFonts w:hint="default"/>
      </w:rPr>
    </w:lvl>
    <w:lvl w:ilvl="3">
      <w:start w:val="1"/>
      <w:numFmt w:val="bullet"/>
      <w:lvlText w:val="•"/>
      <w:lvlJc w:val="left"/>
      <w:pPr>
        <w:ind w:left="2788" w:hanging="199"/>
      </w:pPr>
      <w:rPr>
        <w:rFonts w:hint="default"/>
      </w:rPr>
    </w:lvl>
    <w:lvl w:ilvl="4">
      <w:start w:val="1"/>
      <w:numFmt w:val="bullet"/>
      <w:lvlText w:val="•"/>
      <w:lvlJc w:val="left"/>
      <w:pPr>
        <w:ind w:left="3684" w:hanging="199"/>
      </w:pPr>
      <w:rPr>
        <w:rFonts w:hint="default"/>
      </w:rPr>
    </w:lvl>
    <w:lvl w:ilvl="5">
      <w:start w:val="1"/>
      <w:numFmt w:val="bullet"/>
      <w:lvlText w:val="•"/>
      <w:lvlJc w:val="left"/>
      <w:pPr>
        <w:ind w:left="4580" w:hanging="199"/>
      </w:pPr>
      <w:rPr>
        <w:rFonts w:hint="default"/>
      </w:rPr>
    </w:lvl>
    <w:lvl w:ilvl="6">
      <w:start w:val="1"/>
      <w:numFmt w:val="bullet"/>
      <w:lvlText w:val="•"/>
      <w:lvlJc w:val="left"/>
      <w:pPr>
        <w:ind w:left="5476" w:hanging="199"/>
      </w:pPr>
      <w:rPr>
        <w:rFonts w:hint="default"/>
      </w:rPr>
    </w:lvl>
    <w:lvl w:ilvl="7">
      <w:start w:val="1"/>
      <w:numFmt w:val="bullet"/>
      <w:lvlText w:val="•"/>
      <w:lvlJc w:val="left"/>
      <w:pPr>
        <w:ind w:left="6372" w:hanging="199"/>
      </w:pPr>
      <w:rPr>
        <w:rFonts w:hint="default"/>
      </w:rPr>
    </w:lvl>
    <w:lvl w:ilvl="8">
      <w:start w:val="1"/>
      <w:numFmt w:val="bullet"/>
      <w:lvlText w:val="•"/>
      <w:lvlJc w:val="left"/>
      <w:pPr>
        <w:ind w:left="7268" w:hanging="199"/>
      </w:pPr>
      <w:rPr>
        <w:rFonts w:hint="default"/>
      </w:rPr>
    </w:lvl>
  </w:abstractNum>
  <w:abstractNum w:abstractNumId="413">
    <w:multiLevelType w:val="hybridMultilevel"/>
    <w:lvl w:ilvl="0">
      <w:start w:val="1"/>
      <w:numFmt w:val="upperRoman"/>
      <w:lvlText w:val="%1."/>
      <w:lvlJc w:val="left"/>
      <w:pPr>
        <w:ind w:left="102" w:hanging="199"/>
        <w:jc w:val="left"/>
      </w:pPr>
      <w:rPr>
        <w:rFonts w:hint="default" w:ascii="Arial" w:hAnsi="Arial" w:eastAsia="Arial" w:cs="Arial"/>
        <w:w w:val="100"/>
        <w:sz w:val="22"/>
        <w:szCs w:val="22"/>
      </w:rPr>
    </w:lvl>
    <w:lvl w:ilvl="1">
      <w:start w:val="1"/>
      <w:numFmt w:val="bullet"/>
      <w:lvlText w:val="•"/>
      <w:lvlJc w:val="left"/>
      <w:pPr>
        <w:ind w:left="996" w:hanging="199"/>
      </w:pPr>
      <w:rPr>
        <w:rFonts w:hint="default"/>
      </w:rPr>
    </w:lvl>
    <w:lvl w:ilvl="2">
      <w:start w:val="1"/>
      <w:numFmt w:val="bullet"/>
      <w:lvlText w:val="•"/>
      <w:lvlJc w:val="left"/>
      <w:pPr>
        <w:ind w:left="1892" w:hanging="199"/>
      </w:pPr>
      <w:rPr>
        <w:rFonts w:hint="default"/>
      </w:rPr>
    </w:lvl>
    <w:lvl w:ilvl="3">
      <w:start w:val="1"/>
      <w:numFmt w:val="bullet"/>
      <w:lvlText w:val="•"/>
      <w:lvlJc w:val="left"/>
      <w:pPr>
        <w:ind w:left="2788" w:hanging="199"/>
      </w:pPr>
      <w:rPr>
        <w:rFonts w:hint="default"/>
      </w:rPr>
    </w:lvl>
    <w:lvl w:ilvl="4">
      <w:start w:val="1"/>
      <w:numFmt w:val="bullet"/>
      <w:lvlText w:val="•"/>
      <w:lvlJc w:val="left"/>
      <w:pPr>
        <w:ind w:left="3684" w:hanging="199"/>
      </w:pPr>
      <w:rPr>
        <w:rFonts w:hint="default"/>
      </w:rPr>
    </w:lvl>
    <w:lvl w:ilvl="5">
      <w:start w:val="1"/>
      <w:numFmt w:val="bullet"/>
      <w:lvlText w:val="•"/>
      <w:lvlJc w:val="left"/>
      <w:pPr>
        <w:ind w:left="4580" w:hanging="199"/>
      </w:pPr>
      <w:rPr>
        <w:rFonts w:hint="default"/>
      </w:rPr>
    </w:lvl>
    <w:lvl w:ilvl="6">
      <w:start w:val="1"/>
      <w:numFmt w:val="bullet"/>
      <w:lvlText w:val="•"/>
      <w:lvlJc w:val="left"/>
      <w:pPr>
        <w:ind w:left="5476" w:hanging="199"/>
      </w:pPr>
      <w:rPr>
        <w:rFonts w:hint="default"/>
      </w:rPr>
    </w:lvl>
    <w:lvl w:ilvl="7">
      <w:start w:val="1"/>
      <w:numFmt w:val="bullet"/>
      <w:lvlText w:val="•"/>
      <w:lvlJc w:val="left"/>
      <w:pPr>
        <w:ind w:left="6372" w:hanging="199"/>
      </w:pPr>
      <w:rPr>
        <w:rFonts w:hint="default"/>
      </w:rPr>
    </w:lvl>
    <w:lvl w:ilvl="8">
      <w:start w:val="1"/>
      <w:numFmt w:val="bullet"/>
      <w:lvlText w:val="•"/>
      <w:lvlJc w:val="left"/>
      <w:pPr>
        <w:ind w:left="7268" w:hanging="199"/>
      </w:pPr>
      <w:rPr>
        <w:rFonts w:hint="default"/>
      </w:rPr>
    </w:lvl>
  </w:abstractNum>
  <w:abstractNum w:abstractNumId="412">
    <w:multiLevelType w:val="hybridMultilevel"/>
    <w:lvl w:ilvl="0">
      <w:start w:val="1"/>
      <w:numFmt w:val="lowerLetter"/>
      <w:lvlText w:val="%1)"/>
      <w:lvlJc w:val="left"/>
      <w:pPr>
        <w:ind w:left="102" w:hanging="408"/>
        <w:jc w:val="left"/>
      </w:pPr>
      <w:rPr>
        <w:rFonts w:hint="default" w:ascii="Arial" w:hAnsi="Arial" w:eastAsia="Arial" w:cs="Arial"/>
        <w:b/>
        <w:bCs/>
        <w:i/>
        <w:w w:val="100"/>
        <w:sz w:val="22"/>
        <w:szCs w:val="22"/>
      </w:rPr>
    </w:lvl>
    <w:lvl w:ilvl="1">
      <w:start w:val="1"/>
      <w:numFmt w:val="bullet"/>
      <w:lvlText w:val="•"/>
      <w:lvlJc w:val="left"/>
      <w:pPr>
        <w:ind w:left="996" w:hanging="408"/>
      </w:pPr>
      <w:rPr>
        <w:rFonts w:hint="default"/>
      </w:rPr>
    </w:lvl>
    <w:lvl w:ilvl="2">
      <w:start w:val="1"/>
      <w:numFmt w:val="bullet"/>
      <w:lvlText w:val="•"/>
      <w:lvlJc w:val="left"/>
      <w:pPr>
        <w:ind w:left="1892" w:hanging="408"/>
      </w:pPr>
      <w:rPr>
        <w:rFonts w:hint="default"/>
      </w:rPr>
    </w:lvl>
    <w:lvl w:ilvl="3">
      <w:start w:val="1"/>
      <w:numFmt w:val="bullet"/>
      <w:lvlText w:val="•"/>
      <w:lvlJc w:val="left"/>
      <w:pPr>
        <w:ind w:left="2788" w:hanging="408"/>
      </w:pPr>
      <w:rPr>
        <w:rFonts w:hint="default"/>
      </w:rPr>
    </w:lvl>
    <w:lvl w:ilvl="4">
      <w:start w:val="1"/>
      <w:numFmt w:val="bullet"/>
      <w:lvlText w:val="•"/>
      <w:lvlJc w:val="left"/>
      <w:pPr>
        <w:ind w:left="3684" w:hanging="408"/>
      </w:pPr>
      <w:rPr>
        <w:rFonts w:hint="default"/>
      </w:rPr>
    </w:lvl>
    <w:lvl w:ilvl="5">
      <w:start w:val="1"/>
      <w:numFmt w:val="bullet"/>
      <w:lvlText w:val="•"/>
      <w:lvlJc w:val="left"/>
      <w:pPr>
        <w:ind w:left="4580" w:hanging="408"/>
      </w:pPr>
      <w:rPr>
        <w:rFonts w:hint="default"/>
      </w:rPr>
    </w:lvl>
    <w:lvl w:ilvl="6">
      <w:start w:val="1"/>
      <w:numFmt w:val="bullet"/>
      <w:lvlText w:val="•"/>
      <w:lvlJc w:val="left"/>
      <w:pPr>
        <w:ind w:left="5476" w:hanging="408"/>
      </w:pPr>
      <w:rPr>
        <w:rFonts w:hint="default"/>
      </w:rPr>
    </w:lvl>
    <w:lvl w:ilvl="7">
      <w:start w:val="1"/>
      <w:numFmt w:val="bullet"/>
      <w:lvlText w:val="•"/>
      <w:lvlJc w:val="left"/>
      <w:pPr>
        <w:ind w:left="6372" w:hanging="408"/>
      </w:pPr>
      <w:rPr>
        <w:rFonts w:hint="default"/>
      </w:rPr>
    </w:lvl>
    <w:lvl w:ilvl="8">
      <w:start w:val="1"/>
      <w:numFmt w:val="bullet"/>
      <w:lvlText w:val="•"/>
      <w:lvlJc w:val="left"/>
      <w:pPr>
        <w:ind w:left="7268" w:hanging="408"/>
      </w:pPr>
      <w:rPr>
        <w:rFonts w:hint="default"/>
      </w:rPr>
    </w:lvl>
  </w:abstractNum>
  <w:abstractNum w:abstractNumId="411">
    <w:multiLevelType w:val="hybridMultilevel"/>
    <w:lvl w:ilvl="0">
      <w:start w:val="1"/>
      <w:numFmt w:val="upperRoman"/>
      <w:lvlText w:val="%1."/>
      <w:lvlJc w:val="left"/>
      <w:pPr>
        <w:ind w:left="102" w:hanging="216"/>
        <w:jc w:val="left"/>
      </w:pPr>
      <w:rPr>
        <w:rFonts w:hint="default" w:ascii="Arial" w:hAnsi="Arial" w:eastAsia="Arial" w:cs="Arial"/>
        <w:w w:val="100"/>
        <w:sz w:val="22"/>
        <w:szCs w:val="22"/>
      </w:rPr>
    </w:lvl>
    <w:lvl w:ilvl="1">
      <w:start w:val="1"/>
      <w:numFmt w:val="bullet"/>
      <w:lvlText w:val="•"/>
      <w:lvlJc w:val="left"/>
      <w:pPr>
        <w:ind w:left="996" w:hanging="216"/>
      </w:pPr>
      <w:rPr>
        <w:rFonts w:hint="default"/>
      </w:rPr>
    </w:lvl>
    <w:lvl w:ilvl="2">
      <w:start w:val="1"/>
      <w:numFmt w:val="bullet"/>
      <w:lvlText w:val="•"/>
      <w:lvlJc w:val="left"/>
      <w:pPr>
        <w:ind w:left="1892" w:hanging="216"/>
      </w:pPr>
      <w:rPr>
        <w:rFonts w:hint="default"/>
      </w:rPr>
    </w:lvl>
    <w:lvl w:ilvl="3">
      <w:start w:val="1"/>
      <w:numFmt w:val="bullet"/>
      <w:lvlText w:val="•"/>
      <w:lvlJc w:val="left"/>
      <w:pPr>
        <w:ind w:left="2788" w:hanging="216"/>
      </w:pPr>
      <w:rPr>
        <w:rFonts w:hint="default"/>
      </w:rPr>
    </w:lvl>
    <w:lvl w:ilvl="4">
      <w:start w:val="1"/>
      <w:numFmt w:val="bullet"/>
      <w:lvlText w:val="•"/>
      <w:lvlJc w:val="left"/>
      <w:pPr>
        <w:ind w:left="3684" w:hanging="216"/>
      </w:pPr>
      <w:rPr>
        <w:rFonts w:hint="default"/>
      </w:rPr>
    </w:lvl>
    <w:lvl w:ilvl="5">
      <w:start w:val="1"/>
      <w:numFmt w:val="bullet"/>
      <w:lvlText w:val="•"/>
      <w:lvlJc w:val="left"/>
      <w:pPr>
        <w:ind w:left="4580" w:hanging="216"/>
      </w:pPr>
      <w:rPr>
        <w:rFonts w:hint="default"/>
      </w:rPr>
    </w:lvl>
    <w:lvl w:ilvl="6">
      <w:start w:val="1"/>
      <w:numFmt w:val="bullet"/>
      <w:lvlText w:val="•"/>
      <w:lvlJc w:val="left"/>
      <w:pPr>
        <w:ind w:left="5476" w:hanging="216"/>
      </w:pPr>
      <w:rPr>
        <w:rFonts w:hint="default"/>
      </w:rPr>
    </w:lvl>
    <w:lvl w:ilvl="7">
      <w:start w:val="1"/>
      <w:numFmt w:val="bullet"/>
      <w:lvlText w:val="•"/>
      <w:lvlJc w:val="left"/>
      <w:pPr>
        <w:ind w:left="6372" w:hanging="216"/>
      </w:pPr>
      <w:rPr>
        <w:rFonts w:hint="default"/>
      </w:rPr>
    </w:lvl>
    <w:lvl w:ilvl="8">
      <w:start w:val="1"/>
      <w:numFmt w:val="bullet"/>
      <w:lvlText w:val="•"/>
      <w:lvlJc w:val="left"/>
      <w:pPr>
        <w:ind w:left="7268" w:hanging="216"/>
      </w:pPr>
      <w:rPr>
        <w:rFonts w:hint="default"/>
      </w:rPr>
    </w:lvl>
  </w:abstractNum>
  <w:abstractNum w:abstractNumId="410">
    <w:multiLevelType w:val="hybridMultilevel"/>
    <w:lvl w:ilvl="0">
      <w:start w:val="1"/>
      <w:numFmt w:val="upperRoman"/>
      <w:lvlText w:val="%1."/>
      <w:lvlJc w:val="left"/>
      <w:pPr>
        <w:ind w:left="102" w:hanging="219"/>
        <w:jc w:val="left"/>
      </w:pPr>
      <w:rPr>
        <w:rFonts w:hint="default" w:ascii="Arial" w:hAnsi="Arial" w:eastAsia="Arial" w:cs="Arial"/>
        <w:w w:val="100"/>
        <w:sz w:val="22"/>
        <w:szCs w:val="22"/>
      </w:rPr>
    </w:lvl>
    <w:lvl w:ilvl="1">
      <w:start w:val="1"/>
      <w:numFmt w:val="bullet"/>
      <w:lvlText w:val="•"/>
      <w:lvlJc w:val="left"/>
      <w:pPr>
        <w:ind w:left="996" w:hanging="219"/>
      </w:pPr>
      <w:rPr>
        <w:rFonts w:hint="default"/>
      </w:rPr>
    </w:lvl>
    <w:lvl w:ilvl="2">
      <w:start w:val="1"/>
      <w:numFmt w:val="bullet"/>
      <w:lvlText w:val="•"/>
      <w:lvlJc w:val="left"/>
      <w:pPr>
        <w:ind w:left="1892" w:hanging="219"/>
      </w:pPr>
      <w:rPr>
        <w:rFonts w:hint="default"/>
      </w:rPr>
    </w:lvl>
    <w:lvl w:ilvl="3">
      <w:start w:val="1"/>
      <w:numFmt w:val="bullet"/>
      <w:lvlText w:val="•"/>
      <w:lvlJc w:val="left"/>
      <w:pPr>
        <w:ind w:left="2788" w:hanging="219"/>
      </w:pPr>
      <w:rPr>
        <w:rFonts w:hint="default"/>
      </w:rPr>
    </w:lvl>
    <w:lvl w:ilvl="4">
      <w:start w:val="1"/>
      <w:numFmt w:val="bullet"/>
      <w:lvlText w:val="•"/>
      <w:lvlJc w:val="left"/>
      <w:pPr>
        <w:ind w:left="3684" w:hanging="219"/>
      </w:pPr>
      <w:rPr>
        <w:rFonts w:hint="default"/>
      </w:rPr>
    </w:lvl>
    <w:lvl w:ilvl="5">
      <w:start w:val="1"/>
      <w:numFmt w:val="bullet"/>
      <w:lvlText w:val="•"/>
      <w:lvlJc w:val="left"/>
      <w:pPr>
        <w:ind w:left="4580" w:hanging="219"/>
      </w:pPr>
      <w:rPr>
        <w:rFonts w:hint="default"/>
      </w:rPr>
    </w:lvl>
    <w:lvl w:ilvl="6">
      <w:start w:val="1"/>
      <w:numFmt w:val="bullet"/>
      <w:lvlText w:val="•"/>
      <w:lvlJc w:val="left"/>
      <w:pPr>
        <w:ind w:left="5476" w:hanging="219"/>
      </w:pPr>
      <w:rPr>
        <w:rFonts w:hint="default"/>
      </w:rPr>
    </w:lvl>
    <w:lvl w:ilvl="7">
      <w:start w:val="1"/>
      <w:numFmt w:val="bullet"/>
      <w:lvlText w:val="•"/>
      <w:lvlJc w:val="left"/>
      <w:pPr>
        <w:ind w:left="6372" w:hanging="219"/>
      </w:pPr>
      <w:rPr>
        <w:rFonts w:hint="default"/>
      </w:rPr>
    </w:lvl>
    <w:lvl w:ilvl="8">
      <w:start w:val="1"/>
      <w:numFmt w:val="bullet"/>
      <w:lvlText w:val="•"/>
      <w:lvlJc w:val="left"/>
      <w:pPr>
        <w:ind w:left="7268" w:hanging="219"/>
      </w:pPr>
      <w:rPr>
        <w:rFonts w:hint="default"/>
      </w:rPr>
    </w:lvl>
  </w:abstractNum>
  <w:abstractNum w:abstractNumId="409">
    <w:multiLevelType w:val="hybridMultilevel"/>
    <w:lvl w:ilvl="0">
      <w:start w:val="1"/>
      <w:numFmt w:val="lowerLetter"/>
      <w:lvlText w:val="%1)"/>
      <w:lvlJc w:val="left"/>
      <w:pPr>
        <w:ind w:left="102" w:hanging="351"/>
        <w:jc w:val="left"/>
      </w:pPr>
      <w:rPr>
        <w:rFonts w:hint="default" w:ascii="Arial" w:hAnsi="Arial" w:eastAsia="Arial" w:cs="Arial"/>
        <w:b/>
        <w:bCs/>
        <w:i/>
        <w:w w:val="100"/>
        <w:sz w:val="22"/>
        <w:szCs w:val="22"/>
      </w:rPr>
    </w:lvl>
    <w:lvl w:ilvl="1">
      <w:start w:val="1"/>
      <w:numFmt w:val="bullet"/>
      <w:lvlText w:val="•"/>
      <w:lvlJc w:val="left"/>
      <w:pPr>
        <w:ind w:left="996" w:hanging="351"/>
      </w:pPr>
      <w:rPr>
        <w:rFonts w:hint="default"/>
      </w:rPr>
    </w:lvl>
    <w:lvl w:ilvl="2">
      <w:start w:val="1"/>
      <w:numFmt w:val="bullet"/>
      <w:lvlText w:val="•"/>
      <w:lvlJc w:val="left"/>
      <w:pPr>
        <w:ind w:left="1892" w:hanging="351"/>
      </w:pPr>
      <w:rPr>
        <w:rFonts w:hint="default"/>
      </w:rPr>
    </w:lvl>
    <w:lvl w:ilvl="3">
      <w:start w:val="1"/>
      <w:numFmt w:val="bullet"/>
      <w:lvlText w:val="•"/>
      <w:lvlJc w:val="left"/>
      <w:pPr>
        <w:ind w:left="2788" w:hanging="351"/>
      </w:pPr>
      <w:rPr>
        <w:rFonts w:hint="default"/>
      </w:rPr>
    </w:lvl>
    <w:lvl w:ilvl="4">
      <w:start w:val="1"/>
      <w:numFmt w:val="bullet"/>
      <w:lvlText w:val="•"/>
      <w:lvlJc w:val="left"/>
      <w:pPr>
        <w:ind w:left="3684" w:hanging="351"/>
      </w:pPr>
      <w:rPr>
        <w:rFonts w:hint="default"/>
      </w:rPr>
    </w:lvl>
    <w:lvl w:ilvl="5">
      <w:start w:val="1"/>
      <w:numFmt w:val="bullet"/>
      <w:lvlText w:val="•"/>
      <w:lvlJc w:val="left"/>
      <w:pPr>
        <w:ind w:left="4580" w:hanging="351"/>
      </w:pPr>
      <w:rPr>
        <w:rFonts w:hint="default"/>
      </w:rPr>
    </w:lvl>
    <w:lvl w:ilvl="6">
      <w:start w:val="1"/>
      <w:numFmt w:val="bullet"/>
      <w:lvlText w:val="•"/>
      <w:lvlJc w:val="left"/>
      <w:pPr>
        <w:ind w:left="5476" w:hanging="351"/>
      </w:pPr>
      <w:rPr>
        <w:rFonts w:hint="default"/>
      </w:rPr>
    </w:lvl>
    <w:lvl w:ilvl="7">
      <w:start w:val="1"/>
      <w:numFmt w:val="bullet"/>
      <w:lvlText w:val="•"/>
      <w:lvlJc w:val="left"/>
      <w:pPr>
        <w:ind w:left="6372" w:hanging="351"/>
      </w:pPr>
      <w:rPr>
        <w:rFonts w:hint="default"/>
      </w:rPr>
    </w:lvl>
    <w:lvl w:ilvl="8">
      <w:start w:val="1"/>
      <w:numFmt w:val="bullet"/>
      <w:lvlText w:val="•"/>
      <w:lvlJc w:val="left"/>
      <w:pPr>
        <w:ind w:left="7268" w:hanging="351"/>
      </w:pPr>
      <w:rPr>
        <w:rFonts w:hint="default"/>
      </w:rPr>
    </w:lvl>
  </w:abstractNum>
  <w:abstractNum w:abstractNumId="408">
    <w:multiLevelType w:val="hybridMultilevel"/>
    <w:lvl w:ilvl="0">
      <w:start w:val="1"/>
      <w:numFmt w:val="upperRoman"/>
      <w:lvlText w:val="%1."/>
      <w:lvlJc w:val="left"/>
      <w:pPr>
        <w:ind w:left="102" w:hanging="257"/>
        <w:jc w:val="left"/>
      </w:pPr>
      <w:rPr>
        <w:rFonts w:hint="default" w:ascii="Arial" w:hAnsi="Arial" w:eastAsia="Arial" w:cs="Arial"/>
        <w:w w:val="100"/>
        <w:sz w:val="22"/>
        <w:szCs w:val="22"/>
      </w:rPr>
    </w:lvl>
    <w:lvl w:ilvl="1">
      <w:start w:val="1"/>
      <w:numFmt w:val="bullet"/>
      <w:lvlText w:val="•"/>
      <w:lvlJc w:val="left"/>
      <w:pPr>
        <w:ind w:left="996" w:hanging="257"/>
      </w:pPr>
      <w:rPr>
        <w:rFonts w:hint="default"/>
      </w:rPr>
    </w:lvl>
    <w:lvl w:ilvl="2">
      <w:start w:val="1"/>
      <w:numFmt w:val="bullet"/>
      <w:lvlText w:val="•"/>
      <w:lvlJc w:val="left"/>
      <w:pPr>
        <w:ind w:left="1892" w:hanging="257"/>
      </w:pPr>
      <w:rPr>
        <w:rFonts w:hint="default"/>
      </w:rPr>
    </w:lvl>
    <w:lvl w:ilvl="3">
      <w:start w:val="1"/>
      <w:numFmt w:val="bullet"/>
      <w:lvlText w:val="•"/>
      <w:lvlJc w:val="left"/>
      <w:pPr>
        <w:ind w:left="2788" w:hanging="257"/>
      </w:pPr>
      <w:rPr>
        <w:rFonts w:hint="default"/>
      </w:rPr>
    </w:lvl>
    <w:lvl w:ilvl="4">
      <w:start w:val="1"/>
      <w:numFmt w:val="bullet"/>
      <w:lvlText w:val="•"/>
      <w:lvlJc w:val="left"/>
      <w:pPr>
        <w:ind w:left="3684" w:hanging="257"/>
      </w:pPr>
      <w:rPr>
        <w:rFonts w:hint="default"/>
      </w:rPr>
    </w:lvl>
    <w:lvl w:ilvl="5">
      <w:start w:val="1"/>
      <w:numFmt w:val="bullet"/>
      <w:lvlText w:val="•"/>
      <w:lvlJc w:val="left"/>
      <w:pPr>
        <w:ind w:left="4580" w:hanging="257"/>
      </w:pPr>
      <w:rPr>
        <w:rFonts w:hint="default"/>
      </w:rPr>
    </w:lvl>
    <w:lvl w:ilvl="6">
      <w:start w:val="1"/>
      <w:numFmt w:val="bullet"/>
      <w:lvlText w:val="•"/>
      <w:lvlJc w:val="left"/>
      <w:pPr>
        <w:ind w:left="5476" w:hanging="257"/>
      </w:pPr>
      <w:rPr>
        <w:rFonts w:hint="default"/>
      </w:rPr>
    </w:lvl>
    <w:lvl w:ilvl="7">
      <w:start w:val="1"/>
      <w:numFmt w:val="bullet"/>
      <w:lvlText w:val="•"/>
      <w:lvlJc w:val="left"/>
      <w:pPr>
        <w:ind w:left="6372" w:hanging="257"/>
      </w:pPr>
      <w:rPr>
        <w:rFonts w:hint="default"/>
      </w:rPr>
    </w:lvl>
    <w:lvl w:ilvl="8">
      <w:start w:val="1"/>
      <w:numFmt w:val="bullet"/>
      <w:lvlText w:val="•"/>
      <w:lvlJc w:val="left"/>
      <w:pPr>
        <w:ind w:left="7268" w:hanging="257"/>
      </w:pPr>
      <w:rPr>
        <w:rFonts w:hint="default"/>
      </w:rPr>
    </w:lvl>
  </w:abstractNum>
  <w:abstractNum w:abstractNumId="407">
    <w:multiLevelType w:val="hybridMultilevel"/>
    <w:lvl w:ilvl="0">
      <w:start w:val="1"/>
      <w:numFmt w:val="upperRoman"/>
      <w:lvlText w:val="%1."/>
      <w:lvlJc w:val="left"/>
      <w:pPr>
        <w:ind w:left="102" w:hanging="199"/>
        <w:jc w:val="left"/>
      </w:pPr>
      <w:rPr>
        <w:rFonts w:hint="default" w:ascii="Arial" w:hAnsi="Arial" w:eastAsia="Arial" w:cs="Arial"/>
        <w:w w:val="100"/>
        <w:sz w:val="22"/>
        <w:szCs w:val="22"/>
      </w:rPr>
    </w:lvl>
    <w:lvl w:ilvl="1">
      <w:start w:val="1"/>
      <w:numFmt w:val="bullet"/>
      <w:lvlText w:val="•"/>
      <w:lvlJc w:val="left"/>
      <w:pPr>
        <w:ind w:left="996" w:hanging="199"/>
      </w:pPr>
      <w:rPr>
        <w:rFonts w:hint="default"/>
      </w:rPr>
    </w:lvl>
    <w:lvl w:ilvl="2">
      <w:start w:val="1"/>
      <w:numFmt w:val="bullet"/>
      <w:lvlText w:val="•"/>
      <w:lvlJc w:val="left"/>
      <w:pPr>
        <w:ind w:left="1892" w:hanging="199"/>
      </w:pPr>
      <w:rPr>
        <w:rFonts w:hint="default"/>
      </w:rPr>
    </w:lvl>
    <w:lvl w:ilvl="3">
      <w:start w:val="1"/>
      <w:numFmt w:val="bullet"/>
      <w:lvlText w:val="•"/>
      <w:lvlJc w:val="left"/>
      <w:pPr>
        <w:ind w:left="2788" w:hanging="199"/>
      </w:pPr>
      <w:rPr>
        <w:rFonts w:hint="default"/>
      </w:rPr>
    </w:lvl>
    <w:lvl w:ilvl="4">
      <w:start w:val="1"/>
      <w:numFmt w:val="bullet"/>
      <w:lvlText w:val="•"/>
      <w:lvlJc w:val="left"/>
      <w:pPr>
        <w:ind w:left="3684" w:hanging="199"/>
      </w:pPr>
      <w:rPr>
        <w:rFonts w:hint="default"/>
      </w:rPr>
    </w:lvl>
    <w:lvl w:ilvl="5">
      <w:start w:val="1"/>
      <w:numFmt w:val="bullet"/>
      <w:lvlText w:val="•"/>
      <w:lvlJc w:val="left"/>
      <w:pPr>
        <w:ind w:left="4580" w:hanging="199"/>
      </w:pPr>
      <w:rPr>
        <w:rFonts w:hint="default"/>
      </w:rPr>
    </w:lvl>
    <w:lvl w:ilvl="6">
      <w:start w:val="1"/>
      <w:numFmt w:val="bullet"/>
      <w:lvlText w:val="•"/>
      <w:lvlJc w:val="left"/>
      <w:pPr>
        <w:ind w:left="5476" w:hanging="199"/>
      </w:pPr>
      <w:rPr>
        <w:rFonts w:hint="default"/>
      </w:rPr>
    </w:lvl>
    <w:lvl w:ilvl="7">
      <w:start w:val="1"/>
      <w:numFmt w:val="bullet"/>
      <w:lvlText w:val="•"/>
      <w:lvlJc w:val="left"/>
      <w:pPr>
        <w:ind w:left="6372" w:hanging="199"/>
      </w:pPr>
      <w:rPr>
        <w:rFonts w:hint="default"/>
      </w:rPr>
    </w:lvl>
    <w:lvl w:ilvl="8">
      <w:start w:val="1"/>
      <w:numFmt w:val="bullet"/>
      <w:lvlText w:val="•"/>
      <w:lvlJc w:val="left"/>
      <w:pPr>
        <w:ind w:left="7268" w:hanging="199"/>
      </w:pPr>
      <w:rPr>
        <w:rFonts w:hint="default"/>
      </w:rPr>
    </w:lvl>
  </w:abstractNum>
  <w:abstractNum w:abstractNumId="406">
    <w:multiLevelType w:val="hybridMultilevel"/>
    <w:lvl w:ilvl="0">
      <w:start w:val="1"/>
      <w:numFmt w:val="lowerLetter"/>
      <w:lvlText w:val="%1)"/>
      <w:lvlJc w:val="left"/>
      <w:pPr>
        <w:ind w:left="102" w:hanging="298"/>
        <w:jc w:val="left"/>
      </w:pPr>
      <w:rPr>
        <w:rFonts w:hint="default" w:ascii="Arial" w:hAnsi="Arial" w:eastAsia="Arial" w:cs="Arial"/>
        <w:b/>
        <w:bCs/>
        <w:i/>
        <w:w w:val="100"/>
        <w:sz w:val="22"/>
        <w:szCs w:val="22"/>
      </w:rPr>
    </w:lvl>
    <w:lvl w:ilvl="1">
      <w:start w:val="1"/>
      <w:numFmt w:val="bullet"/>
      <w:lvlText w:val="•"/>
      <w:lvlJc w:val="left"/>
      <w:pPr>
        <w:ind w:left="996" w:hanging="298"/>
      </w:pPr>
      <w:rPr>
        <w:rFonts w:hint="default"/>
      </w:rPr>
    </w:lvl>
    <w:lvl w:ilvl="2">
      <w:start w:val="1"/>
      <w:numFmt w:val="bullet"/>
      <w:lvlText w:val="•"/>
      <w:lvlJc w:val="left"/>
      <w:pPr>
        <w:ind w:left="1892" w:hanging="298"/>
      </w:pPr>
      <w:rPr>
        <w:rFonts w:hint="default"/>
      </w:rPr>
    </w:lvl>
    <w:lvl w:ilvl="3">
      <w:start w:val="1"/>
      <w:numFmt w:val="bullet"/>
      <w:lvlText w:val="•"/>
      <w:lvlJc w:val="left"/>
      <w:pPr>
        <w:ind w:left="2788" w:hanging="298"/>
      </w:pPr>
      <w:rPr>
        <w:rFonts w:hint="default"/>
      </w:rPr>
    </w:lvl>
    <w:lvl w:ilvl="4">
      <w:start w:val="1"/>
      <w:numFmt w:val="bullet"/>
      <w:lvlText w:val="•"/>
      <w:lvlJc w:val="left"/>
      <w:pPr>
        <w:ind w:left="3684" w:hanging="298"/>
      </w:pPr>
      <w:rPr>
        <w:rFonts w:hint="default"/>
      </w:rPr>
    </w:lvl>
    <w:lvl w:ilvl="5">
      <w:start w:val="1"/>
      <w:numFmt w:val="bullet"/>
      <w:lvlText w:val="•"/>
      <w:lvlJc w:val="left"/>
      <w:pPr>
        <w:ind w:left="4580" w:hanging="298"/>
      </w:pPr>
      <w:rPr>
        <w:rFonts w:hint="default"/>
      </w:rPr>
    </w:lvl>
    <w:lvl w:ilvl="6">
      <w:start w:val="1"/>
      <w:numFmt w:val="bullet"/>
      <w:lvlText w:val="•"/>
      <w:lvlJc w:val="left"/>
      <w:pPr>
        <w:ind w:left="5476" w:hanging="298"/>
      </w:pPr>
      <w:rPr>
        <w:rFonts w:hint="default"/>
      </w:rPr>
    </w:lvl>
    <w:lvl w:ilvl="7">
      <w:start w:val="1"/>
      <w:numFmt w:val="bullet"/>
      <w:lvlText w:val="•"/>
      <w:lvlJc w:val="left"/>
      <w:pPr>
        <w:ind w:left="6372" w:hanging="298"/>
      </w:pPr>
      <w:rPr>
        <w:rFonts w:hint="default"/>
      </w:rPr>
    </w:lvl>
    <w:lvl w:ilvl="8">
      <w:start w:val="1"/>
      <w:numFmt w:val="bullet"/>
      <w:lvlText w:val="•"/>
      <w:lvlJc w:val="left"/>
      <w:pPr>
        <w:ind w:left="7268" w:hanging="298"/>
      </w:pPr>
      <w:rPr>
        <w:rFonts w:hint="default"/>
      </w:rPr>
    </w:lvl>
  </w:abstractNum>
  <w:abstractNum w:abstractNumId="405">
    <w:multiLevelType w:val="hybridMultilevel"/>
    <w:lvl w:ilvl="0">
      <w:start w:val="1"/>
      <w:numFmt w:val="upperRoman"/>
      <w:lvlText w:val="%1."/>
      <w:lvlJc w:val="left"/>
      <w:pPr>
        <w:ind w:left="102" w:hanging="242"/>
        <w:jc w:val="left"/>
      </w:pPr>
      <w:rPr>
        <w:rFonts w:hint="default" w:ascii="Arial" w:hAnsi="Arial" w:eastAsia="Arial" w:cs="Arial"/>
        <w:w w:val="100"/>
        <w:sz w:val="22"/>
        <w:szCs w:val="22"/>
      </w:rPr>
    </w:lvl>
    <w:lvl w:ilvl="1">
      <w:start w:val="1"/>
      <w:numFmt w:val="bullet"/>
      <w:lvlText w:val="•"/>
      <w:lvlJc w:val="left"/>
      <w:pPr>
        <w:ind w:left="996" w:hanging="242"/>
      </w:pPr>
      <w:rPr>
        <w:rFonts w:hint="default"/>
      </w:rPr>
    </w:lvl>
    <w:lvl w:ilvl="2">
      <w:start w:val="1"/>
      <w:numFmt w:val="bullet"/>
      <w:lvlText w:val="•"/>
      <w:lvlJc w:val="left"/>
      <w:pPr>
        <w:ind w:left="1892" w:hanging="242"/>
      </w:pPr>
      <w:rPr>
        <w:rFonts w:hint="default"/>
      </w:rPr>
    </w:lvl>
    <w:lvl w:ilvl="3">
      <w:start w:val="1"/>
      <w:numFmt w:val="bullet"/>
      <w:lvlText w:val="•"/>
      <w:lvlJc w:val="left"/>
      <w:pPr>
        <w:ind w:left="2788" w:hanging="242"/>
      </w:pPr>
      <w:rPr>
        <w:rFonts w:hint="default"/>
      </w:rPr>
    </w:lvl>
    <w:lvl w:ilvl="4">
      <w:start w:val="1"/>
      <w:numFmt w:val="bullet"/>
      <w:lvlText w:val="•"/>
      <w:lvlJc w:val="left"/>
      <w:pPr>
        <w:ind w:left="3684" w:hanging="242"/>
      </w:pPr>
      <w:rPr>
        <w:rFonts w:hint="default"/>
      </w:rPr>
    </w:lvl>
    <w:lvl w:ilvl="5">
      <w:start w:val="1"/>
      <w:numFmt w:val="bullet"/>
      <w:lvlText w:val="•"/>
      <w:lvlJc w:val="left"/>
      <w:pPr>
        <w:ind w:left="4580" w:hanging="242"/>
      </w:pPr>
      <w:rPr>
        <w:rFonts w:hint="default"/>
      </w:rPr>
    </w:lvl>
    <w:lvl w:ilvl="6">
      <w:start w:val="1"/>
      <w:numFmt w:val="bullet"/>
      <w:lvlText w:val="•"/>
      <w:lvlJc w:val="left"/>
      <w:pPr>
        <w:ind w:left="5476" w:hanging="242"/>
      </w:pPr>
      <w:rPr>
        <w:rFonts w:hint="default"/>
      </w:rPr>
    </w:lvl>
    <w:lvl w:ilvl="7">
      <w:start w:val="1"/>
      <w:numFmt w:val="bullet"/>
      <w:lvlText w:val="•"/>
      <w:lvlJc w:val="left"/>
      <w:pPr>
        <w:ind w:left="6372" w:hanging="242"/>
      </w:pPr>
      <w:rPr>
        <w:rFonts w:hint="default"/>
      </w:rPr>
    </w:lvl>
    <w:lvl w:ilvl="8">
      <w:start w:val="1"/>
      <w:numFmt w:val="bullet"/>
      <w:lvlText w:val="•"/>
      <w:lvlJc w:val="left"/>
      <w:pPr>
        <w:ind w:left="7268" w:hanging="242"/>
      </w:pPr>
      <w:rPr>
        <w:rFonts w:hint="default"/>
      </w:rPr>
    </w:lvl>
  </w:abstractNum>
  <w:abstractNum w:abstractNumId="404">
    <w:multiLevelType w:val="hybridMultilevel"/>
    <w:lvl w:ilvl="0">
      <w:start w:val="1"/>
      <w:numFmt w:val="upperRoman"/>
      <w:lvlText w:val="%1."/>
      <w:lvlJc w:val="left"/>
      <w:pPr>
        <w:ind w:left="102" w:hanging="242"/>
        <w:jc w:val="left"/>
      </w:pPr>
      <w:rPr>
        <w:rFonts w:hint="default" w:ascii="Arial" w:hAnsi="Arial" w:eastAsia="Arial" w:cs="Arial"/>
        <w:w w:val="100"/>
        <w:sz w:val="22"/>
        <w:szCs w:val="22"/>
      </w:rPr>
    </w:lvl>
    <w:lvl w:ilvl="1">
      <w:start w:val="1"/>
      <w:numFmt w:val="bullet"/>
      <w:lvlText w:val="•"/>
      <w:lvlJc w:val="left"/>
      <w:pPr>
        <w:ind w:left="996" w:hanging="242"/>
      </w:pPr>
      <w:rPr>
        <w:rFonts w:hint="default"/>
      </w:rPr>
    </w:lvl>
    <w:lvl w:ilvl="2">
      <w:start w:val="1"/>
      <w:numFmt w:val="bullet"/>
      <w:lvlText w:val="•"/>
      <w:lvlJc w:val="left"/>
      <w:pPr>
        <w:ind w:left="1892" w:hanging="242"/>
      </w:pPr>
      <w:rPr>
        <w:rFonts w:hint="default"/>
      </w:rPr>
    </w:lvl>
    <w:lvl w:ilvl="3">
      <w:start w:val="1"/>
      <w:numFmt w:val="bullet"/>
      <w:lvlText w:val="•"/>
      <w:lvlJc w:val="left"/>
      <w:pPr>
        <w:ind w:left="2788" w:hanging="242"/>
      </w:pPr>
      <w:rPr>
        <w:rFonts w:hint="default"/>
      </w:rPr>
    </w:lvl>
    <w:lvl w:ilvl="4">
      <w:start w:val="1"/>
      <w:numFmt w:val="bullet"/>
      <w:lvlText w:val="•"/>
      <w:lvlJc w:val="left"/>
      <w:pPr>
        <w:ind w:left="3684" w:hanging="242"/>
      </w:pPr>
      <w:rPr>
        <w:rFonts w:hint="default"/>
      </w:rPr>
    </w:lvl>
    <w:lvl w:ilvl="5">
      <w:start w:val="1"/>
      <w:numFmt w:val="bullet"/>
      <w:lvlText w:val="•"/>
      <w:lvlJc w:val="left"/>
      <w:pPr>
        <w:ind w:left="4580" w:hanging="242"/>
      </w:pPr>
      <w:rPr>
        <w:rFonts w:hint="default"/>
      </w:rPr>
    </w:lvl>
    <w:lvl w:ilvl="6">
      <w:start w:val="1"/>
      <w:numFmt w:val="bullet"/>
      <w:lvlText w:val="•"/>
      <w:lvlJc w:val="left"/>
      <w:pPr>
        <w:ind w:left="5476" w:hanging="242"/>
      </w:pPr>
      <w:rPr>
        <w:rFonts w:hint="default"/>
      </w:rPr>
    </w:lvl>
    <w:lvl w:ilvl="7">
      <w:start w:val="1"/>
      <w:numFmt w:val="bullet"/>
      <w:lvlText w:val="•"/>
      <w:lvlJc w:val="left"/>
      <w:pPr>
        <w:ind w:left="6372" w:hanging="242"/>
      </w:pPr>
      <w:rPr>
        <w:rFonts w:hint="default"/>
      </w:rPr>
    </w:lvl>
    <w:lvl w:ilvl="8">
      <w:start w:val="1"/>
      <w:numFmt w:val="bullet"/>
      <w:lvlText w:val="•"/>
      <w:lvlJc w:val="left"/>
      <w:pPr>
        <w:ind w:left="7268" w:hanging="242"/>
      </w:pPr>
      <w:rPr>
        <w:rFonts w:hint="default"/>
      </w:rPr>
    </w:lvl>
  </w:abstractNum>
  <w:abstractNum w:abstractNumId="403">
    <w:multiLevelType w:val="hybridMultilevel"/>
    <w:lvl w:ilvl="0">
      <w:start w:val="1"/>
      <w:numFmt w:val="lowerLetter"/>
      <w:lvlText w:val="%1)"/>
      <w:lvlJc w:val="left"/>
      <w:pPr>
        <w:ind w:left="102" w:hanging="262"/>
        <w:jc w:val="left"/>
      </w:pPr>
      <w:rPr>
        <w:rFonts w:hint="default" w:ascii="Arial" w:hAnsi="Arial" w:eastAsia="Arial" w:cs="Arial"/>
        <w:b/>
        <w:bCs/>
        <w:i/>
        <w:w w:val="100"/>
        <w:sz w:val="22"/>
        <w:szCs w:val="22"/>
      </w:rPr>
    </w:lvl>
    <w:lvl w:ilvl="1">
      <w:start w:val="1"/>
      <w:numFmt w:val="bullet"/>
      <w:lvlText w:val="•"/>
      <w:lvlJc w:val="left"/>
      <w:pPr>
        <w:ind w:left="996" w:hanging="262"/>
      </w:pPr>
      <w:rPr>
        <w:rFonts w:hint="default"/>
      </w:rPr>
    </w:lvl>
    <w:lvl w:ilvl="2">
      <w:start w:val="1"/>
      <w:numFmt w:val="bullet"/>
      <w:lvlText w:val="•"/>
      <w:lvlJc w:val="left"/>
      <w:pPr>
        <w:ind w:left="1892" w:hanging="262"/>
      </w:pPr>
      <w:rPr>
        <w:rFonts w:hint="default"/>
      </w:rPr>
    </w:lvl>
    <w:lvl w:ilvl="3">
      <w:start w:val="1"/>
      <w:numFmt w:val="bullet"/>
      <w:lvlText w:val="•"/>
      <w:lvlJc w:val="left"/>
      <w:pPr>
        <w:ind w:left="2788" w:hanging="262"/>
      </w:pPr>
      <w:rPr>
        <w:rFonts w:hint="default"/>
      </w:rPr>
    </w:lvl>
    <w:lvl w:ilvl="4">
      <w:start w:val="1"/>
      <w:numFmt w:val="bullet"/>
      <w:lvlText w:val="•"/>
      <w:lvlJc w:val="left"/>
      <w:pPr>
        <w:ind w:left="3684" w:hanging="262"/>
      </w:pPr>
      <w:rPr>
        <w:rFonts w:hint="default"/>
      </w:rPr>
    </w:lvl>
    <w:lvl w:ilvl="5">
      <w:start w:val="1"/>
      <w:numFmt w:val="bullet"/>
      <w:lvlText w:val="•"/>
      <w:lvlJc w:val="left"/>
      <w:pPr>
        <w:ind w:left="4580" w:hanging="262"/>
      </w:pPr>
      <w:rPr>
        <w:rFonts w:hint="default"/>
      </w:rPr>
    </w:lvl>
    <w:lvl w:ilvl="6">
      <w:start w:val="1"/>
      <w:numFmt w:val="bullet"/>
      <w:lvlText w:val="•"/>
      <w:lvlJc w:val="left"/>
      <w:pPr>
        <w:ind w:left="5476" w:hanging="262"/>
      </w:pPr>
      <w:rPr>
        <w:rFonts w:hint="default"/>
      </w:rPr>
    </w:lvl>
    <w:lvl w:ilvl="7">
      <w:start w:val="1"/>
      <w:numFmt w:val="bullet"/>
      <w:lvlText w:val="•"/>
      <w:lvlJc w:val="left"/>
      <w:pPr>
        <w:ind w:left="6372" w:hanging="262"/>
      </w:pPr>
      <w:rPr>
        <w:rFonts w:hint="default"/>
      </w:rPr>
    </w:lvl>
    <w:lvl w:ilvl="8">
      <w:start w:val="1"/>
      <w:numFmt w:val="bullet"/>
      <w:lvlText w:val="•"/>
      <w:lvlJc w:val="left"/>
      <w:pPr>
        <w:ind w:left="7268" w:hanging="262"/>
      </w:pPr>
      <w:rPr>
        <w:rFonts w:hint="default"/>
      </w:rPr>
    </w:lvl>
  </w:abstractNum>
  <w:abstractNum w:abstractNumId="402">
    <w:multiLevelType w:val="hybridMultilevel"/>
    <w:lvl w:ilvl="0">
      <w:start w:val="1"/>
      <w:numFmt w:val="upperRoman"/>
      <w:lvlText w:val="%1."/>
      <w:lvlJc w:val="left"/>
      <w:pPr>
        <w:ind w:left="102" w:hanging="226"/>
        <w:jc w:val="left"/>
      </w:pPr>
      <w:rPr>
        <w:rFonts w:hint="default" w:ascii="Arial" w:hAnsi="Arial" w:eastAsia="Arial" w:cs="Arial"/>
        <w:w w:val="100"/>
        <w:sz w:val="22"/>
        <w:szCs w:val="22"/>
      </w:rPr>
    </w:lvl>
    <w:lvl w:ilvl="1">
      <w:start w:val="1"/>
      <w:numFmt w:val="bullet"/>
      <w:lvlText w:val="•"/>
      <w:lvlJc w:val="left"/>
      <w:pPr>
        <w:ind w:left="996" w:hanging="226"/>
      </w:pPr>
      <w:rPr>
        <w:rFonts w:hint="default"/>
      </w:rPr>
    </w:lvl>
    <w:lvl w:ilvl="2">
      <w:start w:val="1"/>
      <w:numFmt w:val="bullet"/>
      <w:lvlText w:val="•"/>
      <w:lvlJc w:val="left"/>
      <w:pPr>
        <w:ind w:left="1892" w:hanging="226"/>
      </w:pPr>
      <w:rPr>
        <w:rFonts w:hint="default"/>
      </w:rPr>
    </w:lvl>
    <w:lvl w:ilvl="3">
      <w:start w:val="1"/>
      <w:numFmt w:val="bullet"/>
      <w:lvlText w:val="•"/>
      <w:lvlJc w:val="left"/>
      <w:pPr>
        <w:ind w:left="2788" w:hanging="226"/>
      </w:pPr>
      <w:rPr>
        <w:rFonts w:hint="default"/>
      </w:rPr>
    </w:lvl>
    <w:lvl w:ilvl="4">
      <w:start w:val="1"/>
      <w:numFmt w:val="bullet"/>
      <w:lvlText w:val="•"/>
      <w:lvlJc w:val="left"/>
      <w:pPr>
        <w:ind w:left="3684" w:hanging="226"/>
      </w:pPr>
      <w:rPr>
        <w:rFonts w:hint="default"/>
      </w:rPr>
    </w:lvl>
    <w:lvl w:ilvl="5">
      <w:start w:val="1"/>
      <w:numFmt w:val="bullet"/>
      <w:lvlText w:val="•"/>
      <w:lvlJc w:val="left"/>
      <w:pPr>
        <w:ind w:left="4580" w:hanging="226"/>
      </w:pPr>
      <w:rPr>
        <w:rFonts w:hint="default"/>
      </w:rPr>
    </w:lvl>
    <w:lvl w:ilvl="6">
      <w:start w:val="1"/>
      <w:numFmt w:val="bullet"/>
      <w:lvlText w:val="•"/>
      <w:lvlJc w:val="left"/>
      <w:pPr>
        <w:ind w:left="5476" w:hanging="226"/>
      </w:pPr>
      <w:rPr>
        <w:rFonts w:hint="default"/>
      </w:rPr>
    </w:lvl>
    <w:lvl w:ilvl="7">
      <w:start w:val="1"/>
      <w:numFmt w:val="bullet"/>
      <w:lvlText w:val="•"/>
      <w:lvlJc w:val="left"/>
      <w:pPr>
        <w:ind w:left="6372" w:hanging="226"/>
      </w:pPr>
      <w:rPr>
        <w:rFonts w:hint="default"/>
      </w:rPr>
    </w:lvl>
    <w:lvl w:ilvl="8">
      <w:start w:val="1"/>
      <w:numFmt w:val="bullet"/>
      <w:lvlText w:val="•"/>
      <w:lvlJc w:val="left"/>
      <w:pPr>
        <w:ind w:left="7268" w:hanging="226"/>
      </w:pPr>
      <w:rPr>
        <w:rFonts w:hint="default"/>
      </w:rPr>
    </w:lvl>
  </w:abstractNum>
  <w:abstractNum w:abstractNumId="401">
    <w:multiLevelType w:val="hybridMultilevel"/>
    <w:lvl w:ilvl="0">
      <w:start w:val="1"/>
      <w:numFmt w:val="upperRoman"/>
      <w:lvlText w:val="%1."/>
      <w:lvlJc w:val="left"/>
      <w:pPr>
        <w:ind w:left="102" w:hanging="228"/>
        <w:jc w:val="left"/>
      </w:pPr>
      <w:rPr>
        <w:rFonts w:hint="default" w:ascii="Arial" w:hAnsi="Arial" w:eastAsia="Arial" w:cs="Arial"/>
        <w:w w:val="100"/>
        <w:sz w:val="22"/>
        <w:szCs w:val="22"/>
      </w:rPr>
    </w:lvl>
    <w:lvl w:ilvl="1">
      <w:start w:val="1"/>
      <w:numFmt w:val="bullet"/>
      <w:lvlText w:val="•"/>
      <w:lvlJc w:val="left"/>
      <w:pPr>
        <w:ind w:left="996" w:hanging="228"/>
      </w:pPr>
      <w:rPr>
        <w:rFonts w:hint="default"/>
      </w:rPr>
    </w:lvl>
    <w:lvl w:ilvl="2">
      <w:start w:val="1"/>
      <w:numFmt w:val="bullet"/>
      <w:lvlText w:val="•"/>
      <w:lvlJc w:val="left"/>
      <w:pPr>
        <w:ind w:left="1892" w:hanging="228"/>
      </w:pPr>
      <w:rPr>
        <w:rFonts w:hint="default"/>
      </w:rPr>
    </w:lvl>
    <w:lvl w:ilvl="3">
      <w:start w:val="1"/>
      <w:numFmt w:val="bullet"/>
      <w:lvlText w:val="•"/>
      <w:lvlJc w:val="left"/>
      <w:pPr>
        <w:ind w:left="2788" w:hanging="228"/>
      </w:pPr>
      <w:rPr>
        <w:rFonts w:hint="default"/>
      </w:rPr>
    </w:lvl>
    <w:lvl w:ilvl="4">
      <w:start w:val="1"/>
      <w:numFmt w:val="bullet"/>
      <w:lvlText w:val="•"/>
      <w:lvlJc w:val="left"/>
      <w:pPr>
        <w:ind w:left="3684" w:hanging="228"/>
      </w:pPr>
      <w:rPr>
        <w:rFonts w:hint="default"/>
      </w:rPr>
    </w:lvl>
    <w:lvl w:ilvl="5">
      <w:start w:val="1"/>
      <w:numFmt w:val="bullet"/>
      <w:lvlText w:val="•"/>
      <w:lvlJc w:val="left"/>
      <w:pPr>
        <w:ind w:left="4580" w:hanging="228"/>
      </w:pPr>
      <w:rPr>
        <w:rFonts w:hint="default"/>
      </w:rPr>
    </w:lvl>
    <w:lvl w:ilvl="6">
      <w:start w:val="1"/>
      <w:numFmt w:val="bullet"/>
      <w:lvlText w:val="•"/>
      <w:lvlJc w:val="left"/>
      <w:pPr>
        <w:ind w:left="5476" w:hanging="228"/>
      </w:pPr>
      <w:rPr>
        <w:rFonts w:hint="default"/>
      </w:rPr>
    </w:lvl>
    <w:lvl w:ilvl="7">
      <w:start w:val="1"/>
      <w:numFmt w:val="bullet"/>
      <w:lvlText w:val="•"/>
      <w:lvlJc w:val="left"/>
      <w:pPr>
        <w:ind w:left="6372" w:hanging="228"/>
      </w:pPr>
      <w:rPr>
        <w:rFonts w:hint="default"/>
      </w:rPr>
    </w:lvl>
    <w:lvl w:ilvl="8">
      <w:start w:val="1"/>
      <w:numFmt w:val="bullet"/>
      <w:lvlText w:val="•"/>
      <w:lvlJc w:val="left"/>
      <w:pPr>
        <w:ind w:left="7268" w:hanging="228"/>
      </w:pPr>
      <w:rPr>
        <w:rFonts w:hint="default"/>
      </w:rPr>
    </w:lvl>
  </w:abstractNum>
  <w:abstractNum w:abstractNumId="400">
    <w:multiLevelType w:val="hybridMultilevel"/>
    <w:lvl w:ilvl="0">
      <w:start w:val="1"/>
      <w:numFmt w:val="lowerLetter"/>
      <w:lvlText w:val="%1)"/>
      <w:lvlJc w:val="left"/>
      <w:pPr>
        <w:ind w:left="102" w:hanging="387"/>
        <w:jc w:val="left"/>
      </w:pPr>
      <w:rPr>
        <w:rFonts w:hint="default" w:ascii="Arial" w:hAnsi="Arial" w:eastAsia="Arial" w:cs="Arial"/>
        <w:b/>
        <w:bCs/>
        <w:i/>
        <w:w w:val="100"/>
        <w:sz w:val="22"/>
        <w:szCs w:val="22"/>
      </w:rPr>
    </w:lvl>
    <w:lvl w:ilvl="1">
      <w:start w:val="1"/>
      <w:numFmt w:val="bullet"/>
      <w:lvlText w:val="•"/>
      <w:lvlJc w:val="left"/>
      <w:pPr>
        <w:ind w:left="996" w:hanging="387"/>
      </w:pPr>
      <w:rPr>
        <w:rFonts w:hint="default"/>
      </w:rPr>
    </w:lvl>
    <w:lvl w:ilvl="2">
      <w:start w:val="1"/>
      <w:numFmt w:val="bullet"/>
      <w:lvlText w:val="•"/>
      <w:lvlJc w:val="left"/>
      <w:pPr>
        <w:ind w:left="1892" w:hanging="387"/>
      </w:pPr>
      <w:rPr>
        <w:rFonts w:hint="default"/>
      </w:rPr>
    </w:lvl>
    <w:lvl w:ilvl="3">
      <w:start w:val="1"/>
      <w:numFmt w:val="bullet"/>
      <w:lvlText w:val="•"/>
      <w:lvlJc w:val="left"/>
      <w:pPr>
        <w:ind w:left="2788" w:hanging="387"/>
      </w:pPr>
      <w:rPr>
        <w:rFonts w:hint="default"/>
      </w:rPr>
    </w:lvl>
    <w:lvl w:ilvl="4">
      <w:start w:val="1"/>
      <w:numFmt w:val="bullet"/>
      <w:lvlText w:val="•"/>
      <w:lvlJc w:val="left"/>
      <w:pPr>
        <w:ind w:left="3684" w:hanging="387"/>
      </w:pPr>
      <w:rPr>
        <w:rFonts w:hint="default"/>
      </w:rPr>
    </w:lvl>
    <w:lvl w:ilvl="5">
      <w:start w:val="1"/>
      <w:numFmt w:val="bullet"/>
      <w:lvlText w:val="•"/>
      <w:lvlJc w:val="left"/>
      <w:pPr>
        <w:ind w:left="4580" w:hanging="387"/>
      </w:pPr>
      <w:rPr>
        <w:rFonts w:hint="default"/>
      </w:rPr>
    </w:lvl>
    <w:lvl w:ilvl="6">
      <w:start w:val="1"/>
      <w:numFmt w:val="bullet"/>
      <w:lvlText w:val="•"/>
      <w:lvlJc w:val="left"/>
      <w:pPr>
        <w:ind w:left="5476" w:hanging="387"/>
      </w:pPr>
      <w:rPr>
        <w:rFonts w:hint="default"/>
      </w:rPr>
    </w:lvl>
    <w:lvl w:ilvl="7">
      <w:start w:val="1"/>
      <w:numFmt w:val="bullet"/>
      <w:lvlText w:val="•"/>
      <w:lvlJc w:val="left"/>
      <w:pPr>
        <w:ind w:left="6372" w:hanging="387"/>
      </w:pPr>
      <w:rPr>
        <w:rFonts w:hint="default"/>
      </w:rPr>
    </w:lvl>
    <w:lvl w:ilvl="8">
      <w:start w:val="1"/>
      <w:numFmt w:val="bullet"/>
      <w:lvlText w:val="•"/>
      <w:lvlJc w:val="left"/>
      <w:pPr>
        <w:ind w:left="7268" w:hanging="387"/>
      </w:pPr>
      <w:rPr>
        <w:rFonts w:hint="default"/>
      </w:rPr>
    </w:lvl>
  </w:abstractNum>
  <w:abstractNum w:abstractNumId="399">
    <w:multiLevelType w:val="hybridMultilevel"/>
    <w:lvl w:ilvl="0">
      <w:start w:val="1"/>
      <w:numFmt w:val="upperRoman"/>
      <w:lvlText w:val="%1."/>
      <w:lvlJc w:val="left"/>
      <w:pPr>
        <w:ind w:left="102" w:hanging="216"/>
        <w:jc w:val="left"/>
      </w:pPr>
      <w:rPr>
        <w:rFonts w:hint="default" w:ascii="Arial" w:hAnsi="Arial" w:eastAsia="Arial" w:cs="Arial"/>
        <w:w w:val="100"/>
        <w:sz w:val="22"/>
        <w:szCs w:val="22"/>
      </w:rPr>
    </w:lvl>
    <w:lvl w:ilvl="1">
      <w:start w:val="1"/>
      <w:numFmt w:val="bullet"/>
      <w:lvlText w:val="•"/>
      <w:lvlJc w:val="left"/>
      <w:pPr>
        <w:ind w:left="996" w:hanging="216"/>
      </w:pPr>
      <w:rPr>
        <w:rFonts w:hint="default"/>
      </w:rPr>
    </w:lvl>
    <w:lvl w:ilvl="2">
      <w:start w:val="1"/>
      <w:numFmt w:val="bullet"/>
      <w:lvlText w:val="•"/>
      <w:lvlJc w:val="left"/>
      <w:pPr>
        <w:ind w:left="1892" w:hanging="216"/>
      </w:pPr>
      <w:rPr>
        <w:rFonts w:hint="default"/>
      </w:rPr>
    </w:lvl>
    <w:lvl w:ilvl="3">
      <w:start w:val="1"/>
      <w:numFmt w:val="bullet"/>
      <w:lvlText w:val="•"/>
      <w:lvlJc w:val="left"/>
      <w:pPr>
        <w:ind w:left="2788" w:hanging="216"/>
      </w:pPr>
      <w:rPr>
        <w:rFonts w:hint="default"/>
      </w:rPr>
    </w:lvl>
    <w:lvl w:ilvl="4">
      <w:start w:val="1"/>
      <w:numFmt w:val="bullet"/>
      <w:lvlText w:val="•"/>
      <w:lvlJc w:val="left"/>
      <w:pPr>
        <w:ind w:left="3684" w:hanging="216"/>
      </w:pPr>
      <w:rPr>
        <w:rFonts w:hint="default"/>
      </w:rPr>
    </w:lvl>
    <w:lvl w:ilvl="5">
      <w:start w:val="1"/>
      <w:numFmt w:val="bullet"/>
      <w:lvlText w:val="•"/>
      <w:lvlJc w:val="left"/>
      <w:pPr>
        <w:ind w:left="4580" w:hanging="216"/>
      </w:pPr>
      <w:rPr>
        <w:rFonts w:hint="default"/>
      </w:rPr>
    </w:lvl>
    <w:lvl w:ilvl="6">
      <w:start w:val="1"/>
      <w:numFmt w:val="bullet"/>
      <w:lvlText w:val="•"/>
      <w:lvlJc w:val="left"/>
      <w:pPr>
        <w:ind w:left="5476" w:hanging="216"/>
      </w:pPr>
      <w:rPr>
        <w:rFonts w:hint="default"/>
      </w:rPr>
    </w:lvl>
    <w:lvl w:ilvl="7">
      <w:start w:val="1"/>
      <w:numFmt w:val="bullet"/>
      <w:lvlText w:val="•"/>
      <w:lvlJc w:val="left"/>
      <w:pPr>
        <w:ind w:left="6372" w:hanging="216"/>
      </w:pPr>
      <w:rPr>
        <w:rFonts w:hint="default"/>
      </w:rPr>
    </w:lvl>
    <w:lvl w:ilvl="8">
      <w:start w:val="1"/>
      <w:numFmt w:val="bullet"/>
      <w:lvlText w:val="•"/>
      <w:lvlJc w:val="left"/>
      <w:pPr>
        <w:ind w:left="7268" w:hanging="216"/>
      </w:pPr>
      <w:rPr>
        <w:rFonts w:hint="default"/>
      </w:rPr>
    </w:lvl>
  </w:abstractNum>
  <w:abstractNum w:abstractNumId="398">
    <w:multiLevelType w:val="hybridMultilevel"/>
    <w:lvl w:ilvl="0">
      <w:start w:val="1"/>
      <w:numFmt w:val="upperRoman"/>
      <w:lvlText w:val="%1."/>
      <w:lvlJc w:val="left"/>
      <w:pPr>
        <w:ind w:left="102" w:hanging="219"/>
        <w:jc w:val="left"/>
      </w:pPr>
      <w:rPr>
        <w:rFonts w:hint="default" w:ascii="Arial" w:hAnsi="Arial" w:eastAsia="Arial" w:cs="Arial"/>
        <w:w w:val="100"/>
        <w:sz w:val="22"/>
        <w:szCs w:val="22"/>
      </w:rPr>
    </w:lvl>
    <w:lvl w:ilvl="1">
      <w:start w:val="1"/>
      <w:numFmt w:val="bullet"/>
      <w:lvlText w:val="•"/>
      <w:lvlJc w:val="left"/>
      <w:pPr>
        <w:ind w:left="996" w:hanging="219"/>
      </w:pPr>
      <w:rPr>
        <w:rFonts w:hint="default"/>
      </w:rPr>
    </w:lvl>
    <w:lvl w:ilvl="2">
      <w:start w:val="1"/>
      <w:numFmt w:val="bullet"/>
      <w:lvlText w:val="•"/>
      <w:lvlJc w:val="left"/>
      <w:pPr>
        <w:ind w:left="1892" w:hanging="219"/>
      </w:pPr>
      <w:rPr>
        <w:rFonts w:hint="default"/>
      </w:rPr>
    </w:lvl>
    <w:lvl w:ilvl="3">
      <w:start w:val="1"/>
      <w:numFmt w:val="bullet"/>
      <w:lvlText w:val="•"/>
      <w:lvlJc w:val="left"/>
      <w:pPr>
        <w:ind w:left="2788" w:hanging="219"/>
      </w:pPr>
      <w:rPr>
        <w:rFonts w:hint="default"/>
      </w:rPr>
    </w:lvl>
    <w:lvl w:ilvl="4">
      <w:start w:val="1"/>
      <w:numFmt w:val="bullet"/>
      <w:lvlText w:val="•"/>
      <w:lvlJc w:val="left"/>
      <w:pPr>
        <w:ind w:left="3684" w:hanging="219"/>
      </w:pPr>
      <w:rPr>
        <w:rFonts w:hint="default"/>
      </w:rPr>
    </w:lvl>
    <w:lvl w:ilvl="5">
      <w:start w:val="1"/>
      <w:numFmt w:val="bullet"/>
      <w:lvlText w:val="•"/>
      <w:lvlJc w:val="left"/>
      <w:pPr>
        <w:ind w:left="4580" w:hanging="219"/>
      </w:pPr>
      <w:rPr>
        <w:rFonts w:hint="default"/>
      </w:rPr>
    </w:lvl>
    <w:lvl w:ilvl="6">
      <w:start w:val="1"/>
      <w:numFmt w:val="bullet"/>
      <w:lvlText w:val="•"/>
      <w:lvlJc w:val="left"/>
      <w:pPr>
        <w:ind w:left="5476" w:hanging="219"/>
      </w:pPr>
      <w:rPr>
        <w:rFonts w:hint="default"/>
      </w:rPr>
    </w:lvl>
    <w:lvl w:ilvl="7">
      <w:start w:val="1"/>
      <w:numFmt w:val="bullet"/>
      <w:lvlText w:val="•"/>
      <w:lvlJc w:val="left"/>
      <w:pPr>
        <w:ind w:left="6372" w:hanging="219"/>
      </w:pPr>
      <w:rPr>
        <w:rFonts w:hint="default"/>
      </w:rPr>
    </w:lvl>
    <w:lvl w:ilvl="8">
      <w:start w:val="1"/>
      <w:numFmt w:val="bullet"/>
      <w:lvlText w:val="•"/>
      <w:lvlJc w:val="left"/>
      <w:pPr>
        <w:ind w:left="7268" w:hanging="219"/>
      </w:pPr>
      <w:rPr>
        <w:rFonts w:hint="default"/>
      </w:rPr>
    </w:lvl>
  </w:abstractNum>
  <w:abstractNum w:abstractNumId="397">
    <w:multiLevelType w:val="hybridMultilevel"/>
    <w:lvl w:ilvl="0">
      <w:start w:val="1"/>
      <w:numFmt w:val="lowerLetter"/>
      <w:lvlText w:val="%1)"/>
      <w:lvlJc w:val="left"/>
      <w:pPr>
        <w:ind w:left="102" w:hanging="331"/>
        <w:jc w:val="left"/>
      </w:pPr>
      <w:rPr>
        <w:rFonts w:hint="default" w:ascii="Arial" w:hAnsi="Arial" w:eastAsia="Arial" w:cs="Arial"/>
        <w:b/>
        <w:bCs/>
        <w:i/>
        <w:w w:val="100"/>
        <w:sz w:val="22"/>
        <w:szCs w:val="22"/>
      </w:rPr>
    </w:lvl>
    <w:lvl w:ilvl="1">
      <w:start w:val="1"/>
      <w:numFmt w:val="bullet"/>
      <w:lvlText w:val="•"/>
      <w:lvlJc w:val="left"/>
      <w:pPr>
        <w:ind w:left="996" w:hanging="331"/>
      </w:pPr>
      <w:rPr>
        <w:rFonts w:hint="default"/>
      </w:rPr>
    </w:lvl>
    <w:lvl w:ilvl="2">
      <w:start w:val="1"/>
      <w:numFmt w:val="bullet"/>
      <w:lvlText w:val="•"/>
      <w:lvlJc w:val="left"/>
      <w:pPr>
        <w:ind w:left="1892" w:hanging="331"/>
      </w:pPr>
      <w:rPr>
        <w:rFonts w:hint="default"/>
      </w:rPr>
    </w:lvl>
    <w:lvl w:ilvl="3">
      <w:start w:val="1"/>
      <w:numFmt w:val="bullet"/>
      <w:lvlText w:val="•"/>
      <w:lvlJc w:val="left"/>
      <w:pPr>
        <w:ind w:left="2788" w:hanging="331"/>
      </w:pPr>
      <w:rPr>
        <w:rFonts w:hint="default"/>
      </w:rPr>
    </w:lvl>
    <w:lvl w:ilvl="4">
      <w:start w:val="1"/>
      <w:numFmt w:val="bullet"/>
      <w:lvlText w:val="•"/>
      <w:lvlJc w:val="left"/>
      <w:pPr>
        <w:ind w:left="3684" w:hanging="331"/>
      </w:pPr>
      <w:rPr>
        <w:rFonts w:hint="default"/>
      </w:rPr>
    </w:lvl>
    <w:lvl w:ilvl="5">
      <w:start w:val="1"/>
      <w:numFmt w:val="bullet"/>
      <w:lvlText w:val="•"/>
      <w:lvlJc w:val="left"/>
      <w:pPr>
        <w:ind w:left="4580" w:hanging="331"/>
      </w:pPr>
      <w:rPr>
        <w:rFonts w:hint="default"/>
      </w:rPr>
    </w:lvl>
    <w:lvl w:ilvl="6">
      <w:start w:val="1"/>
      <w:numFmt w:val="bullet"/>
      <w:lvlText w:val="•"/>
      <w:lvlJc w:val="left"/>
      <w:pPr>
        <w:ind w:left="5476" w:hanging="331"/>
      </w:pPr>
      <w:rPr>
        <w:rFonts w:hint="default"/>
      </w:rPr>
    </w:lvl>
    <w:lvl w:ilvl="7">
      <w:start w:val="1"/>
      <w:numFmt w:val="bullet"/>
      <w:lvlText w:val="•"/>
      <w:lvlJc w:val="left"/>
      <w:pPr>
        <w:ind w:left="6372" w:hanging="331"/>
      </w:pPr>
      <w:rPr>
        <w:rFonts w:hint="default"/>
      </w:rPr>
    </w:lvl>
    <w:lvl w:ilvl="8">
      <w:start w:val="1"/>
      <w:numFmt w:val="bullet"/>
      <w:lvlText w:val="•"/>
      <w:lvlJc w:val="left"/>
      <w:pPr>
        <w:ind w:left="7268" w:hanging="331"/>
      </w:pPr>
      <w:rPr>
        <w:rFonts w:hint="default"/>
      </w:rPr>
    </w:lvl>
  </w:abstractNum>
  <w:abstractNum w:abstractNumId="396">
    <w:multiLevelType w:val="hybridMultilevel"/>
    <w:lvl w:ilvl="0">
      <w:start w:val="5"/>
      <w:numFmt w:val="upperRoman"/>
      <w:lvlText w:val="%1."/>
      <w:lvlJc w:val="left"/>
      <w:pPr>
        <w:ind w:left="102" w:hanging="398"/>
        <w:jc w:val="left"/>
      </w:pPr>
      <w:rPr>
        <w:rFonts w:hint="default" w:ascii="Arial" w:hAnsi="Arial" w:eastAsia="Arial" w:cs="Arial"/>
        <w:spacing w:val="-1"/>
        <w:w w:val="100"/>
        <w:sz w:val="22"/>
        <w:szCs w:val="22"/>
      </w:rPr>
    </w:lvl>
    <w:lvl w:ilvl="1">
      <w:start w:val="1"/>
      <w:numFmt w:val="bullet"/>
      <w:lvlText w:val="•"/>
      <w:lvlJc w:val="left"/>
      <w:pPr>
        <w:ind w:left="996" w:hanging="398"/>
      </w:pPr>
      <w:rPr>
        <w:rFonts w:hint="default"/>
      </w:rPr>
    </w:lvl>
    <w:lvl w:ilvl="2">
      <w:start w:val="1"/>
      <w:numFmt w:val="bullet"/>
      <w:lvlText w:val="•"/>
      <w:lvlJc w:val="left"/>
      <w:pPr>
        <w:ind w:left="1892" w:hanging="398"/>
      </w:pPr>
      <w:rPr>
        <w:rFonts w:hint="default"/>
      </w:rPr>
    </w:lvl>
    <w:lvl w:ilvl="3">
      <w:start w:val="1"/>
      <w:numFmt w:val="bullet"/>
      <w:lvlText w:val="•"/>
      <w:lvlJc w:val="left"/>
      <w:pPr>
        <w:ind w:left="2788" w:hanging="398"/>
      </w:pPr>
      <w:rPr>
        <w:rFonts w:hint="default"/>
      </w:rPr>
    </w:lvl>
    <w:lvl w:ilvl="4">
      <w:start w:val="1"/>
      <w:numFmt w:val="bullet"/>
      <w:lvlText w:val="•"/>
      <w:lvlJc w:val="left"/>
      <w:pPr>
        <w:ind w:left="3684" w:hanging="398"/>
      </w:pPr>
      <w:rPr>
        <w:rFonts w:hint="default"/>
      </w:rPr>
    </w:lvl>
    <w:lvl w:ilvl="5">
      <w:start w:val="1"/>
      <w:numFmt w:val="bullet"/>
      <w:lvlText w:val="•"/>
      <w:lvlJc w:val="left"/>
      <w:pPr>
        <w:ind w:left="4580" w:hanging="398"/>
      </w:pPr>
      <w:rPr>
        <w:rFonts w:hint="default"/>
      </w:rPr>
    </w:lvl>
    <w:lvl w:ilvl="6">
      <w:start w:val="1"/>
      <w:numFmt w:val="bullet"/>
      <w:lvlText w:val="•"/>
      <w:lvlJc w:val="left"/>
      <w:pPr>
        <w:ind w:left="5476" w:hanging="398"/>
      </w:pPr>
      <w:rPr>
        <w:rFonts w:hint="default"/>
      </w:rPr>
    </w:lvl>
    <w:lvl w:ilvl="7">
      <w:start w:val="1"/>
      <w:numFmt w:val="bullet"/>
      <w:lvlText w:val="•"/>
      <w:lvlJc w:val="left"/>
      <w:pPr>
        <w:ind w:left="6372" w:hanging="398"/>
      </w:pPr>
      <w:rPr>
        <w:rFonts w:hint="default"/>
      </w:rPr>
    </w:lvl>
    <w:lvl w:ilvl="8">
      <w:start w:val="1"/>
      <w:numFmt w:val="bullet"/>
      <w:lvlText w:val="•"/>
      <w:lvlJc w:val="left"/>
      <w:pPr>
        <w:ind w:left="7268" w:hanging="398"/>
      </w:pPr>
      <w:rPr>
        <w:rFonts w:hint="default"/>
      </w:rPr>
    </w:lvl>
  </w:abstractNum>
  <w:abstractNum w:abstractNumId="395">
    <w:multiLevelType w:val="hybridMultilevel"/>
    <w:lvl w:ilvl="0">
      <w:start w:val="5"/>
      <w:numFmt w:val="upperRoman"/>
      <w:lvlText w:val="%1."/>
      <w:lvlJc w:val="left"/>
      <w:pPr>
        <w:ind w:left="102" w:hanging="411"/>
        <w:jc w:val="left"/>
      </w:pPr>
      <w:rPr>
        <w:rFonts w:hint="default" w:ascii="Arial" w:hAnsi="Arial" w:eastAsia="Arial" w:cs="Arial"/>
        <w:spacing w:val="-1"/>
        <w:w w:val="100"/>
        <w:sz w:val="22"/>
        <w:szCs w:val="22"/>
      </w:rPr>
    </w:lvl>
    <w:lvl w:ilvl="1">
      <w:start w:val="1"/>
      <w:numFmt w:val="bullet"/>
      <w:lvlText w:val="•"/>
      <w:lvlJc w:val="left"/>
      <w:pPr>
        <w:ind w:left="996" w:hanging="411"/>
      </w:pPr>
      <w:rPr>
        <w:rFonts w:hint="default"/>
      </w:rPr>
    </w:lvl>
    <w:lvl w:ilvl="2">
      <w:start w:val="1"/>
      <w:numFmt w:val="bullet"/>
      <w:lvlText w:val="•"/>
      <w:lvlJc w:val="left"/>
      <w:pPr>
        <w:ind w:left="1892" w:hanging="411"/>
      </w:pPr>
      <w:rPr>
        <w:rFonts w:hint="default"/>
      </w:rPr>
    </w:lvl>
    <w:lvl w:ilvl="3">
      <w:start w:val="1"/>
      <w:numFmt w:val="bullet"/>
      <w:lvlText w:val="•"/>
      <w:lvlJc w:val="left"/>
      <w:pPr>
        <w:ind w:left="2788" w:hanging="411"/>
      </w:pPr>
      <w:rPr>
        <w:rFonts w:hint="default"/>
      </w:rPr>
    </w:lvl>
    <w:lvl w:ilvl="4">
      <w:start w:val="1"/>
      <w:numFmt w:val="bullet"/>
      <w:lvlText w:val="•"/>
      <w:lvlJc w:val="left"/>
      <w:pPr>
        <w:ind w:left="3684" w:hanging="411"/>
      </w:pPr>
      <w:rPr>
        <w:rFonts w:hint="default"/>
      </w:rPr>
    </w:lvl>
    <w:lvl w:ilvl="5">
      <w:start w:val="1"/>
      <w:numFmt w:val="bullet"/>
      <w:lvlText w:val="•"/>
      <w:lvlJc w:val="left"/>
      <w:pPr>
        <w:ind w:left="4580" w:hanging="411"/>
      </w:pPr>
      <w:rPr>
        <w:rFonts w:hint="default"/>
      </w:rPr>
    </w:lvl>
    <w:lvl w:ilvl="6">
      <w:start w:val="1"/>
      <w:numFmt w:val="bullet"/>
      <w:lvlText w:val="•"/>
      <w:lvlJc w:val="left"/>
      <w:pPr>
        <w:ind w:left="5476" w:hanging="411"/>
      </w:pPr>
      <w:rPr>
        <w:rFonts w:hint="default"/>
      </w:rPr>
    </w:lvl>
    <w:lvl w:ilvl="7">
      <w:start w:val="1"/>
      <w:numFmt w:val="bullet"/>
      <w:lvlText w:val="•"/>
      <w:lvlJc w:val="left"/>
      <w:pPr>
        <w:ind w:left="6372" w:hanging="411"/>
      </w:pPr>
      <w:rPr>
        <w:rFonts w:hint="default"/>
      </w:rPr>
    </w:lvl>
    <w:lvl w:ilvl="8">
      <w:start w:val="1"/>
      <w:numFmt w:val="bullet"/>
      <w:lvlText w:val="•"/>
      <w:lvlJc w:val="left"/>
      <w:pPr>
        <w:ind w:left="7268" w:hanging="411"/>
      </w:pPr>
      <w:rPr>
        <w:rFonts w:hint="default"/>
      </w:rPr>
    </w:lvl>
  </w:abstractNum>
  <w:abstractNum w:abstractNumId="394">
    <w:multiLevelType w:val="hybridMultilevel"/>
    <w:lvl w:ilvl="0">
      <w:start w:val="1"/>
      <w:numFmt w:val="lowerLetter"/>
      <w:lvlText w:val="%1)"/>
      <w:lvlJc w:val="left"/>
      <w:pPr>
        <w:ind w:left="102" w:hanging="281"/>
        <w:jc w:val="left"/>
      </w:pPr>
      <w:rPr>
        <w:rFonts w:hint="default" w:ascii="Arial" w:hAnsi="Arial" w:eastAsia="Arial" w:cs="Arial"/>
        <w:b/>
        <w:bCs/>
        <w:i/>
        <w:w w:val="100"/>
        <w:sz w:val="22"/>
        <w:szCs w:val="22"/>
      </w:rPr>
    </w:lvl>
    <w:lvl w:ilvl="1">
      <w:start w:val="1"/>
      <w:numFmt w:val="bullet"/>
      <w:lvlText w:val="•"/>
      <w:lvlJc w:val="left"/>
      <w:pPr>
        <w:ind w:left="996" w:hanging="281"/>
      </w:pPr>
      <w:rPr>
        <w:rFonts w:hint="default"/>
      </w:rPr>
    </w:lvl>
    <w:lvl w:ilvl="2">
      <w:start w:val="1"/>
      <w:numFmt w:val="bullet"/>
      <w:lvlText w:val="•"/>
      <w:lvlJc w:val="left"/>
      <w:pPr>
        <w:ind w:left="1892" w:hanging="281"/>
      </w:pPr>
      <w:rPr>
        <w:rFonts w:hint="default"/>
      </w:rPr>
    </w:lvl>
    <w:lvl w:ilvl="3">
      <w:start w:val="1"/>
      <w:numFmt w:val="bullet"/>
      <w:lvlText w:val="•"/>
      <w:lvlJc w:val="left"/>
      <w:pPr>
        <w:ind w:left="2788" w:hanging="281"/>
      </w:pPr>
      <w:rPr>
        <w:rFonts w:hint="default"/>
      </w:rPr>
    </w:lvl>
    <w:lvl w:ilvl="4">
      <w:start w:val="1"/>
      <w:numFmt w:val="bullet"/>
      <w:lvlText w:val="•"/>
      <w:lvlJc w:val="left"/>
      <w:pPr>
        <w:ind w:left="3684" w:hanging="281"/>
      </w:pPr>
      <w:rPr>
        <w:rFonts w:hint="default"/>
      </w:rPr>
    </w:lvl>
    <w:lvl w:ilvl="5">
      <w:start w:val="1"/>
      <w:numFmt w:val="bullet"/>
      <w:lvlText w:val="•"/>
      <w:lvlJc w:val="left"/>
      <w:pPr>
        <w:ind w:left="4580" w:hanging="281"/>
      </w:pPr>
      <w:rPr>
        <w:rFonts w:hint="default"/>
      </w:rPr>
    </w:lvl>
    <w:lvl w:ilvl="6">
      <w:start w:val="1"/>
      <w:numFmt w:val="bullet"/>
      <w:lvlText w:val="•"/>
      <w:lvlJc w:val="left"/>
      <w:pPr>
        <w:ind w:left="5476" w:hanging="281"/>
      </w:pPr>
      <w:rPr>
        <w:rFonts w:hint="default"/>
      </w:rPr>
    </w:lvl>
    <w:lvl w:ilvl="7">
      <w:start w:val="1"/>
      <w:numFmt w:val="bullet"/>
      <w:lvlText w:val="•"/>
      <w:lvlJc w:val="left"/>
      <w:pPr>
        <w:ind w:left="6372" w:hanging="281"/>
      </w:pPr>
      <w:rPr>
        <w:rFonts w:hint="default"/>
      </w:rPr>
    </w:lvl>
    <w:lvl w:ilvl="8">
      <w:start w:val="1"/>
      <w:numFmt w:val="bullet"/>
      <w:lvlText w:val="•"/>
      <w:lvlJc w:val="left"/>
      <w:pPr>
        <w:ind w:left="7268" w:hanging="281"/>
      </w:pPr>
      <w:rPr>
        <w:rFonts w:hint="default"/>
      </w:rPr>
    </w:lvl>
  </w:abstractNum>
  <w:abstractNum w:abstractNumId="393">
    <w:multiLevelType w:val="hybridMultilevel"/>
    <w:lvl w:ilvl="0">
      <w:start w:val="1"/>
      <w:numFmt w:val="upperRoman"/>
      <w:lvlText w:val="%1."/>
      <w:lvlJc w:val="left"/>
      <w:pPr>
        <w:ind w:left="102" w:hanging="242"/>
        <w:jc w:val="left"/>
      </w:pPr>
      <w:rPr>
        <w:rFonts w:hint="default" w:ascii="Arial" w:hAnsi="Arial" w:eastAsia="Arial" w:cs="Arial"/>
        <w:w w:val="100"/>
        <w:sz w:val="22"/>
        <w:szCs w:val="22"/>
      </w:rPr>
    </w:lvl>
    <w:lvl w:ilvl="1">
      <w:start w:val="1"/>
      <w:numFmt w:val="bullet"/>
      <w:lvlText w:val="•"/>
      <w:lvlJc w:val="left"/>
      <w:pPr>
        <w:ind w:left="996" w:hanging="242"/>
      </w:pPr>
      <w:rPr>
        <w:rFonts w:hint="default"/>
      </w:rPr>
    </w:lvl>
    <w:lvl w:ilvl="2">
      <w:start w:val="1"/>
      <w:numFmt w:val="bullet"/>
      <w:lvlText w:val="•"/>
      <w:lvlJc w:val="left"/>
      <w:pPr>
        <w:ind w:left="1892" w:hanging="242"/>
      </w:pPr>
      <w:rPr>
        <w:rFonts w:hint="default"/>
      </w:rPr>
    </w:lvl>
    <w:lvl w:ilvl="3">
      <w:start w:val="1"/>
      <w:numFmt w:val="bullet"/>
      <w:lvlText w:val="•"/>
      <w:lvlJc w:val="left"/>
      <w:pPr>
        <w:ind w:left="2788" w:hanging="242"/>
      </w:pPr>
      <w:rPr>
        <w:rFonts w:hint="default"/>
      </w:rPr>
    </w:lvl>
    <w:lvl w:ilvl="4">
      <w:start w:val="1"/>
      <w:numFmt w:val="bullet"/>
      <w:lvlText w:val="•"/>
      <w:lvlJc w:val="left"/>
      <w:pPr>
        <w:ind w:left="3684" w:hanging="242"/>
      </w:pPr>
      <w:rPr>
        <w:rFonts w:hint="default"/>
      </w:rPr>
    </w:lvl>
    <w:lvl w:ilvl="5">
      <w:start w:val="1"/>
      <w:numFmt w:val="bullet"/>
      <w:lvlText w:val="•"/>
      <w:lvlJc w:val="left"/>
      <w:pPr>
        <w:ind w:left="4580" w:hanging="242"/>
      </w:pPr>
      <w:rPr>
        <w:rFonts w:hint="default"/>
      </w:rPr>
    </w:lvl>
    <w:lvl w:ilvl="6">
      <w:start w:val="1"/>
      <w:numFmt w:val="bullet"/>
      <w:lvlText w:val="•"/>
      <w:lvlJc w:val="left"/>
      <w:pPr>
        <w:ind w:left="5476" w:hanging="242"/>
      </w:pPr>
      <w:rPr>
        <w:rFonts w:hint="default"/>
      </w:rPr>
    </w:lvl>
    <w:lvl w:ilvl="7">
      <w:start w:val="1"/>
      <w:numFmt w:val="bullet"/>
      <w:lvlText w:val="•"/>
      <w:lvlJc w:val="left"/>
      <w:pPr>
        <w:ind w:left="6372" w:hanging="242"/>
      </w:pPr>
      <w:rPr>
        <w:rFonts w:hint="default"/>
      </w:rPr>
    </w:lvl>
    <w:lvl w:ilvl="8">
      <w:start w:val="1"/>
      <w:numFmt w:val="bullet"/>
      <w:lvlText w:val="•"/>
      <w:lvlJc w:val="left"/>
      <w:pPr>
        <w:ind w:left="7268" w:hanging="242"/>
      </w:pPr>
      <w:rPr>
        <w:rFonts w:hint="default"/>
      </w:rPr>
    </w:lvl>
  </w:abstractNum>
  <w:abstractNum w:abstractNumId="392">
    <w:multiLevelType w:val="hybridMultilevel"/>
    <w:lvl w:ilvl="0">
      <w:start w:val="1"/>
      <w:numFmt w:val="upperRoman"/>
      <w:lvlText w:val="%1."/>
      <w:lvlJc w:val="left"/>
      <w:pPr>
        <w:ind w:left="102" w:hanging="202"/>
        <w:jc w:val="left"/>
      </w:pPr>
      <w:rPr>
        <w:rFonts w:hint="default" w:ascii="Arial" w:hAnsi="Arial" w:eastAsia="Arial" w:cs="Arial"/>
        <w:w w:val="100"/>
        <w:sz w:val="22"/>
        <w:szCs w:val="22"/>
      </w:rPr>
    </w:lvl>
    <w:lvl w:ilvl="1">
      <w:start w:val="1"/>
      <w:numFmt w:val="bullet"/>
      <w:lvlText w:val="•"/>
      <w:lvlJc w:val="left"/>
      <w:pPr>
        <w:ind w:left="996" w:hanging="202"/>
      </w:pPr>
      <w:rPr>
        <w:rFonts w:hint="default"/>
      </w:rPr>
    </w:lvl>
    <w:lvl w:ilvl="2">
      <w:start w:val="1"/>
      <w:numFmt w:val="bullet"/>
      <w:lvlText w:val="•"/>
      <w:lvlJc w:val="left"/>
      <w:pPr>
        <w:ind w:left="1892" w:hanging="202"/>
      </w:pPr>
      <w:rPr>
        <w:rFonts w:hint="default"/>
      </w:rPr>
    </w:lvl>
    <w:lvl w:ilvl="3">
      <w:start w:val="1"/>
      <w:numFmt w:val="bullet"/>
      <w:lvlText w:val="•"/>
      <w:lvlJc w:val="left"/>
      <w:pPr>
        <w:ind w:left="2788" w:hanging="202"/>
      </w:pPr>
      <w:rPr>
        <w:rFonts w:hint="default"/>
      </w:rPr>
    </w:lvl>
    <w:lvl w:ilvl="4">
      <w:start w:val="1"/>
      <w:numFmt w:val="bullet"/>
      <w:lvlText w:val="•"/>
      <w:lvlJc w:val="left"/>
      <w:pPr>
        <w:ind w:left="3684" w:hanging="202"/>
      </w:pPr>
      <w:rPr>
        <w:rFonts w:hint="default"/>
      </w:rPr>
    </w:lvl>
    <w:lvl w:ilvl="5">
      <w:start w:val="1"/>
      <w:numFmt w:val="bullet"/>
      <w:lvlText w:val="•"/>
      <w:lvlJc w:val="left"/>
      <w:pPr>
        <w:ind w:left="4580" w:hanging="202"/>
      </w:pPr>
      <w:rPr>
        <w:rFonts w:hint="default"/>
      </w:rPr>
    </w:lvl>
    <w:lvl w:ilvl="6">
      <w:start w:val="1"/>
      <w:numFmt w:val="bullet"/>
      <w:lvlText w:val="•"/>
      <w:lvlJc w:val="left"/>
      <w:pPr>
        <w:ind w:left="5476" w:hanging="202"/>
      </w:pPr>
      <w:rPr>
        <w:rFonts w:hint="default"/>
      </w:rPr>
    </w:lvl>
    <w:lvl w:ilvl="7">
      <w:start w:val="1"/>
      <w:numFmt w:val="bullet"/>
      <w:lvlText w:val="•"/>
      <w:lvlJc w:val="left"/>
      <w:pPr>
        <w:ind w:left="6372" w:hanging="202"/>
      </w:pPr>
      <w:rPr>
        <w:rFonts w:hint="default"/>
      </w:rPr>
    </w:lvl>
    <w:lvl w:ilvl="8">
      <w:start w:val="1"/>
      <w:numFmt w:val="bullet"/>
      <w:lvlText w:val="•"/>
      <w:lvlJc w:val="left"/>
      <w:pPr>
        <w:ind w:left="7268" w:hanging="202"/>
      </w:pPr>
      <w:rPr>
        <w:rFonts w:hint="default"/>
      </w:rPr>
    </w:lvl>
  </w:abstractNum>
  <w:abstractNum w:abstractNumId="391">
    <w:multiLevelType w:val="hybridMultilevel"/>
    <w:lvl w:ilvl="0">
      <w:start w:val="1"/>
      <w:numFmt w:val="lowerLetter"/>
      <w:lvlText w:val="%1)"/>
      <w:lvlJc w:val="left"/>
      <w:pPr>
        <w:ind w:left="102" w:hanging="281"/>
        <w:jc w:val="left"/>
      </w:pPr>
      <w:rPr>
        <w:rFonts w:hint="default" w:ascii="Arial" w:hAnsi="Arial" w:eastAsia="Arial" w:cs="Arial"/>
        <w:b/>
        <w:bCs/>
        <w:i/>
        <w:w w:val="100"/>
        <w:sz w:val="22"/>
        <w:szCs w:val="22"/>
      </w:rPr>
    </w:lvl>
    <w:lvl w:ilvl="1">
      <w:start w:val="1"/>
      <w:numFmt w:val="bullet"/>
      <w:lvlText w:val="•"/>
      <w:lvlJc w:val="left"/>
      <w:pPr>
        <w:ind w:left="996" w:hanging="281"/>
      </w:pPr>
      <w:rPr>
        <w:rFonts w:hint="default"/>
      </w:rPr>
    </w:lvl>
    <w:lvl w:ilvl="2">
      <w:start w:val="1"/>
      <w:numFmt w:val="bullet"/>
      <w:lvlText w:val="•"/>
      <w:lvlJc w:val="left"/>
      <w:pPr>
        <w:ind w:left="1892" w:hanging="281"/>
      </w:pPr>
      <w:rPr>
        <w:rFonts w:hint="default"/>
      </w:rPr>
    </w:lvl>
    <w:lvl w:ilvl="3">
      <w:start w:val="1"/>
      <w:numFmt w:val="bullet"/>
      <w:lvlText w:val="•"/>
      <w:lvlJc w:val="left"/>
      <w:pPr>
        <w:ind w:left="2788" w:hanging="281"/>
      </w:pPr>
      <w:rPr>
        <w:rFonts w:hint="default"/>
      </w:rPr>
    </w:lvl>
    <w:lvl w:ilvl="4">
      <w:start w:val="1"/>
      <w:numFmt w:val="bullet"/>
      <w:lvlText w:val="•"/>
      <w:lvlJc w:val="left"/>
      <w:pPr>
        <w:ind w:left="3684" w:hanging="281"/>
      </w:pPr>
      <w:rPr>
        <w:rFonts w:hint="default"/>
      </w:rPr>
    </w:lvl>
    <w:lvl w:ilvl="5">
      <w:start w:val="1"/>
      <w:numFmt w:val="bullet"/>
      <w:lvlText w:val="•"/>
      <w:lvlJc w:val="left"/>
      <w:pPr>
        <w:ind w:left="4580" w:hanging="281"/>
      </w:pPr>
      <w:rPr>
        <w:rFonts w:hint="default"/>
      </w:rPr>
    </w:lvl>
    <w:lvl w:ilvl="6">
      <w:start w:val="1"/>
      <w:numFmt w:val="bullet"/>
      <w:lvlText w:val="•"/>
      <w:lvlJc w:val="left"/>
      <w:pPr>
        <w:ind w:left="5476" w:hanging="281"/>
      </w:pPr>
      <w:rPr>
        <w:rFonts w:hint="default"/>
      </w:rPr>
    </w:lvl>
    <w:lvl w:ilvl="7">
      <w:start w:val="1"/>
      <w:numFmt w:val="bullet"/>
      <w:lvlText w:val="•"/>
      <w:lvlJc w:val="left"/>
      <w:pPr>
        <w:ind w:left="6372" w:hanging="281"/>
      </w:pPr>
      <w:rPr>
        <w:rFonts w:hint="default"/>
      </w:rPr>
    </w:lvl>
    <w:lvl w:ilvl="8">
      <w:start w:val="1"/>
      <w:numFmt w:val="bullet"/>
      <w:lvlText w:val="•"/>
      <w:lvlJc w:val="left"/>
      <w:pPr>
        <w:ind w:left="7268" w:hanging="281"/>
      </w:pPr>
      <w:rPr>
        <w:rFonts w:hint="default"/>
      </w:rPr>
    </w:lvl>
  </w:abstractNum>
  <w:abstractNum w:abstractNumId="390">
    <w:multiLevelType w:val="hybridMultilevel"/>
    <w:lvl w:ilvl="0">
      <w:start w:val="1"/>
      <w:numFmt w:val="upperRoman"/>
      <w:lvlText w:val="%1."/>
      <w:lvlJc w:val="left"/>
      <w:pPr>
        <w:ind w:left="102" w:hanging="233"/>
        <w:jc w:val="left"/>
      </w:pPr>
      <w:rPr>
        <w:rFonts w:hint="default" w:ascii="Arial" w:hAnsi="Arial" w:eastAsia="Arial" w:cs="Arial"/>
        <w:w w:val="100"/>
        <w:sz w:val="22"/>
        <w:szCs w:val="22"/>
      </w:rPr>
    </w:lvl>
    <w:lvl w:ilvl="1">
      <w:start w:val="1"/>
      <w:numFmt w:val="bullet"/>
      <w:lvlText w:val="•"/>
      <w:lvlJc w:val="left"/>
      <w:pPr>
        <w:ind w:left="996" w:hanging="233"/>
      </w:pPr>
      <w:rPr>
        <w:rFonts w:hint="default"/>
      </w:rPr>
    </w:lvl>
    <w:lvl w:ilvl="2">
      <w:start w:val="1"/>
      <w:numFmt w:val="bullet"/>
      <w:lvlText w:val="•"/>
      <w:lvlJc w:val="left"/>
      <w:pPr>
        <w:ind w:left="1892" w:hanging="233"/>
      </w:pPr>
      <w:rPr>
        <w:rFonts w:hint="default"/>
      </w:rPr>
    </w:lvl>
    <w:lvl w:ilvl="3">
      <w:start w:val="1"/>
      <w:numFmt w:val="bullet"/>
      <w:lvlText w:val="•"/>
      <w:lvlJc w:val="left"/>
      <w:pPr>
        <w:ind w:left="2788" w:hanging="233"/>
      </w:pPr>
      <w:rPr>
        <w:rFonts w:hint="default"/>
      </w:rPr>
    </w:lvl>
    <w:lvl w:ilvl="4">
      <w:start w:val="1"/>
      <w:numFmt w:val="bullet"/>
      <w:lvlText w:val="•"/>
      <w:lvlJc w:val="left"/>
      <w:pPr>
        <w:ind w:left="3684" w:hanging="233"/>
      </w:pPr>
      <w:rPr>
        <w:rFonts w:hint="default"/>
      </w:rPr>
    </w:lvl>
    <w:lvl w:ilvl="5">
      <w:start w:val="1"/>
      <w:numFmt w:val="bullet"/>
      <w:lvlText w:val="•"/>
      <w:lvlJc w:val="left"/>
      <w:pPr>
        <w:ind w:left="4580" w:hanging="233"/>
      </w:pPr>
      <w:rPr>
        <w:rFonts w:hint="default"/>
      </w:rPr>
    </w:lvl>
    <w:lvl w:ilvl="6">
      <w:start w:val="1"/>
      <w:numFmt w:val="bullet"/>
      <w:lvlText w:val="•"/>
      <w:lvlJc w:val="left"/>
      <w:pPr>
        <w:ind w:left="5476" w:hanging="233"/>
      </w:pPr>
      <w:rPr>
        <w:rFonts w:hint="default"/>
      </w:rPr>
    </w:lvl>
    <w:lvl w:ilvl="7">
      <w:start w:val="1"/>
      <w:numFmt w:val="bullet"/>
      <w:lvlText w:val="•"/>
      <w:lvlJc w:val="left"/>
      <w:pPr>
        <w:ind w:left="6372" w:hanging="233"/>
      </w:pPr>
      <w:rPr>
        <w:rFonts w:hint="default"/>
      </w:rPr>
    </w:lvl>
    <w:lvl w:ilvl="8">
      <w:start w:val="1"/>
      <w:numFmt w:val="bullet"/>
      <w:lvlText w:val="•"/>
      <w:lvlJc w:val="left"/>
      <w:pPr>
        <w:ind w:left="7268" w:hanging="233"/>
      </w:pPr>
      <w:rPr>
        <w:rFonts w:hint="default"/>
      </w:rPr>
    </w:lvl>
  </w:abstractNum>
  <w:abstractNum w:abstractNumId="389">
    <w:multiLevelType w:val="hybridMultilevel"/>
    <w:lvl w:ilvl="0">
      <w:start w:val="1"/>
      <w:numFmt w:val="upperRoman"/>
      <w:lvlText w:val="%1."/>
      <w:lvlJc w:val="left"/>
      <w:pPr>
        <w:ind w:left="102" w:hanging="202"/>
        <w:jc w:val="left"/>
      </w:pPr>
      <w:rPr>
        <w:rFonts w:hint="default" w:ascii="Arial" w:hAnsi="Arial" w:eastAsia="Arial" w:cs="Arial"/>
        <w:w w:val="100"/>
        <w:sz w:val="22"/>
        <w:szCs w:val="22"/>
      </w:rPr>
    </w:lvl>
    <w:lvl w:ilvl="1">
      <w:start w:val="1"/>
      <w:numFmt w:val="bullet"/>
      <w:lvlText w:val="•"/>
      <w:lvlJc w:val="left"/>
      <w:pPr>
        <w:ind w:left="996" w:hanging="202"/>
      </w:pPr>
      <w:rPr>
        <w:rFonts w:hint="default"/>
      </w:rPr>
    </w:lvl>
    <w:lvl w:ilvl="2">
      <w:start w:val="1"/>
      <w:numFmt w:val="bullet"/>
      <w:lvlText w:val="•"/>
      <w:lvlJc w:val="left"/>
      <w:pPr>
        <w:ind w:left="1892" w:hanging="202"/>
      </w:pPr>
      <w:rPr>
        <w:rFonts w:hint="default"/>
      </w:rPr>
    </w:lvl>
    <w:lvl w:ilvl="3">
      <w:start w:val="1"/>
      <w:numFmt w:val="bullet"/>
      <w:lvlText w:val="•"/>
      <w:lvlJc w:val="left"/>
      <w:pPr>
        <w:ind w:left="2788" w:hanging="202"/>
      </w:pPr>
      <w:rPr>
        <w:rFonts w:hint="default"/>
      </w:rPr>
    </w:lvl>
    <w:lvl w:ilvl="4">
      <w:start w:val="1"/>
      <w:numFmt w:val="bullet"/>
      <w:lvlText w:val="•"/>
      <w:lvlJc w:val="left"/>
      <w:pPr>
        <w:ind w:left="3684" w:hanging="202"/>
      </w:pPr>
      <w:rPr>
        <w:rFonts w:hint="default"/>
      </w:rPr>
    </w:lvl>
    <w:lvl w:ilvl="5">
      <w:start w:val="1"/>
      <w:numFmt w:val="bullet"/>
      <w:lvlText w:val="•"/>
      <w:lvlJc w:val="left"/>
      <w:pPr>
        <w:ind w:left="4580" w:hanging="202"/>
      </w:pPr>
      <w:rPr>
        <w:rFonts w:hint="default"/>
      </w:rPr>
    </w:lvl>
    <w:lvl w:ilvl="6">
      <w:start w:val="1"/>
      <w:numFmt w:val="bullet"/>
      <w:lvlText w:val="•"/>
      <w:lvlJc w:val="left"/>
      <w:pPr>
        <w:ind w:left="5476" w:hanging="202"/>
      </w:pPr>
      <w:rPr>
        <w:rFonts w:hint="default"/>
      </w:rPr>
    </w:lvl>
    <w:lvl w:ilvl="7">
      <w:start w:val="1"/>
      <w:numFmt w:val="bullet"/>
      <w:lvlText w:val="•"/>
      <w:lvlJc w:val="left"/>
      <w:pPr>
        <w:ind w:left="6372" w:hanging="202"/>
      </w:pPr>
      <w:rPr>
        <w:rFonts w:hint="default"/>
      </w:rPr>
    </w:lvl>
    <w:lvl w:ilvl="8">
      <w:start w:val="1"/>
      <w:numFmt w:val="bullet"/>
      <w:lvlText w:val="•"/>
      <w:lvlJc w:val="left"/>
      <w:pPr>
        <w:ind w:left="7268" w:hanging="202"/>
      </w:pPr>
      <w:rPr>
        <w:rFonts w:hint="default"/>
      </w:rPr>
    </w:lvl>
  </w:abstractNum>
  <w:abstractNum w:abstractNumId="388">
    <w:multiLevelType w:val="hybridMultilevel"/>
    <w:lvl w:ilvl="0">
      <w:start w:val="1"/>
      <w:numFmt w:val="lowerLetter"/>
      <w:lvlText w:val="%1)"/>
      <w:lvlJc w:val="left"/>
      <w:pPr>
        <w:ind w:left="102" w:hanging="408"/>
        <w:jc w:val="left"/>
      </w:pPr>
      <w:rPr>
        <w:rFonts w:hint="default" w:ascii="Arial" w:hAnsi="Arial" w:eastAsia="Arial" w:cs="Arial"/>
        <w:b/>
        <w:bCs/>
        <w:i/>
        <w:w w:val="100"/>
        <w:sz w:val="22"/>
        <w:szCs w:val="22"/>
      </w:rPr>
    </w:lvl>
    <w:lvl w:ilvl="1">
      <w:start w:val="1"/>
      <w:numFmt w:val="bullet"/>
      <w:lvlText w:val="•"/>
      <w:lvlJc w:val="left"/>
      <w:pPr>
        <w:ind w:left="996" w:hanging="408"/>
      </w:pPr>
      <w:rPr>
        <w:rFonts w:hint="default"/>
      </w:rPr>
    </w:lvl>
    <w:lvl w:ilvl="2">
      <w:start w:val="1"/>
      <w:numFmt w:val="bullet"/>
      <w:lvlText w:val="•"/>
      <w:lvlJc w:val="left"/>
      <w:pPr>
        <w:ind w:left="1892" w:hanging="408"/>
      </w:pPr>
      <w:rPr>
        <w:rFonts w:hint="default"/>
      </w:rPr>
    </w:lvl>
    <w:lvl w:ilvl="3">
      <w:start w:val="1"/>
      <w:numFmt w:val="bullet"/>
      <w:lvlText w:val="•"/>
      <w:lvlJc w:val="left"/>
      <w:pPr>
        <w:ind w:left="2788" w:hanging="408"/>
      </w:pPr>
      <w:rPr>
        <w:rFonts w:hint="default"/>
      </w:rPr>
    </w:lvl>
    <w:lvl w:ilvl="4">
      <w:start w:val="1"/>
      <w:numFmt w:val="bullet"/>
      <w:lvlText w:val="•"/>
      <w:lvlJc w:val="left"/>
      <w:pPr>
        <w:ind w:left="3684" w:hanging="408"/>
      </w:pPr>
      <w:rPr>
        <w:rFonts w:hint="default"/>
      </w:rPr>
    </w:lvl>
    <w:lvl w:ilvl="5">
      <w:start w:val="1"/>
      <w:numFmt w:val="bullet"/>
      <w:lvlText w:val="•"/>
      <w:lvlJc w:val="left"/>
      <w:pPr>
        <w:ind w:left="4580" w:hanging="408"/>
      </w:pPr>
      <w:rPr>
        <w:rFonts w:hint="default"/>
      </w:rPr>
    </w:lvl>
    <w:lvl w:ilvl="6">
      <w:start w:val="1"/>
      <w:numFmt w:val="bullet"/>
      <w:lvlText w:val="•"/>
      <w:lvlJc w:val="left"/>
      <w:pPr>
        <w:ind w:left="5476" w:hanging="408"/>
      </w:pPr>
      <w:rPr>
        <w:rFonts w:hint="default"/>
      </w:rPr>
    </w:lvl>
    <w:lvl w:ilvl="7">
      <w:start w:val="1"/>
      <w:numFmt w:val="bullet"/>
      <w:lvlText w:val="•"/>
      <w:lvlJc w:val="left"/>
      <w:pPr>
        <w:ind w:left="6372" w:hanging="408"/>
      </w:pPr>
      <w:rPr>
        <w:rFonts w:hint="default"/>
      </w:rPr>
    </w:lvl>
    <w:lvl w:ilvl="8">
      <w:start w:val="1"/>
      <w:numFmt w:val="bullet"/>
      <w:lvlText w:val="•"/>
      <w:lvlJc w:val="left"/>
      <w:pPr>
        <w:ind w:left="7268" w:hanging="408"/>
      </w:pPr>
      <w:rPr>
        <w:rFonts w:hint="default"/>
      </w:rPr>
    </w:lvl>
  </w:abstractNum>
  <w:abstractNum w:abstractNumId="387">
    <w:multiLevelType w:val="hybridMultilevel"/>
    <w:lvl w:ilvl="0">
      <w:start w:val="2"/>
      <w:numFmt w:val="upperRoman"/>
      <w:lvlText w:val="%1."/>
      <w:lvlJc w:val="left"/>
      <w:pPr>
        <w:ind w:left="102" w:hanging="322"/>
        <w:jc w:val="left"/>
      </w:pPr>
      <w:rPr>
        <w:rFonts w:hint="default" w:ascii="Arial" w:hAnsi="Arial" w:eastAsia="Arial" w:cs="Arial"/>
        <w:spacing w:val="-2"/>
        <w:w w:val="100"/>
        <w:sz w:val="22"/>
        <w:szCs w:val="22"/>
      </w:rPr>
    </w:lvl>
    <w:lvl w:ilvl="1">
      <w:start w:val="1"/>
      <w:numFmt w:val="bullet"/>
      <w:lvlText w:val="•"/>
      <w:lvlJc w:val="left"/>
      <w:pPr>
        <w:ind w:left="996" w:hanging="322"/>
      </w:pPr>
      <w:rPr>
        <w:rFonts w:hint="default"/>
      </w:rPr>
    </w:lvl>
    <w:lvl w:ilvl="2">
      <w:start w:val="1"/>
      <w:numFmt w:val="bullet"/>
      <w:lvlText w:val="•"/>
      <w:lvlJc w:val="left"/>
      <w:pPr>
        <w:ind w:left="1892" w:hanging="322"/>
      </w:pPr>
      <w:rPr>
        <w:rFonts w:hint="default"/>
      </w:rPr>
    </w:lvl>
    <w:lvl w:ilvl="3">
      <w:start w:val="1"/>
      <w:numFmt w:val="bullet"/>
      <w:lvlText w:val="•"/>
      <w:lvlJc w:val="left"/>
      <w:pPr>
        <w:ind w:left="2788" w:hanging="322"/>
      </w:pPr>
      <w:rPr>
        <w:rFonts w:hint="default"/>
      </w:rPr>
    </w:lvl>
    <w:lvl w:ilvl="4">
      <w:start w:val="1"/>
      <w:numFmt w:val="bullet"/>
      <w:lvlText w:val="•"/>
      <w:lvlJc w:val="left"/>
      <w:pPr>
        <w:ind w:left="3684" w:hanging="322"/>
      </w:pPr>
      <w:rPr>
        <w:rFonts w:hint="default"/>
      </w:rPr>
    </w:lvl>
    <w:lvl w:ilvl="5">
      <w:start w:val="1"/>
      <w:numFmt w:val="bullet"/>
      <w:lvlText w:val="•"/>
      <w:lvlJc w:val="left"/>
      <w:pPr>
        <w:ind w:left="4580" w:hanging="322"/>
      </w:pPr>
      <w:rPr>
        <w:rFonts w:hint="default"/>
      </w:rPr>
    </w:lvl>
    <w:lvl w:ilvl="6">
      <w:start w:val="1"/>
      <w:numFmt w:val="bullet"/>
      <w:lvlText w:val="•"/>
      <w:lvlJc w:val="left"/>
      <w:pPr>
        <w:ind w:left="5476" w:hanging="322"/>
      </w:pPr>
      <w:rPr>
        <w:rFonts w:hint="default"/>
      </w:rPr>
    </w:lvl>
    <w:lvl w:ilvl="7">
      <w:start w:val="1"/>
      <w:numFmt w:val="bullet"/>
      <w:lvlText w:val="•"/>
      <w:lvlJc w:val="left"/>
      <w:pPr>
        <w:ind w:left="6372" w:hanging="322"/>
      </w:pPr>
      <w:rPr>
        <w:rFonts w:hint="default"/>
      </w:rPr>
    </w:lvl>
    <w:lvl w:ilvl="8">
      <w:start w:val="1"/>
      <w:numFmt w:val="bullet"/>
      <w:lvlText w:val="•"/>
      <w:lvlJc w:val="left"/>
      <w:pPr>
        <w:ind w:left="7268" w:hanging="322"/>
      </w:pPr>
      <w:rPr>
        <w:rFonts w:hint="default"/>
      </w:rPr>
    </w:lvl>
  </w:abstractNum>
  <w:abstractNum w:abstractNumId="386">
    <w:multiLevelType w:val="hybridMultilevel"/>
    <w:lvl w:ilvl="0">
      <w:start w:val="3"/>
      <w:numFmt w:val="upperRoman"/>
      <w:lvlText w:val="%1."/>
      <w:lvlJc w:val="left"/>
      <w:pPr>
        <w:ind w:left="102" w:hanging="377"/>
        <w:jc w:val="left"/>
      </w:pPr>
      <w:rPr>
        <w:rFonts w:hint="default" w:ascii="Arial" w:hAnsi="Arial" w:eastAsia="Arial" w:cs="Arial"/>
        <w:spacing w:val="-2"/>
        <w:w w:val="100"/>
        <w:sz w:val="22"/>
        <w:szCs w:val="22"/>
      </w:rPr>
    </w:lvl>
    <w:lvl w:ilvl="1">
      <w:start w:val="1"/>
      <w:numFmt w:val="bullet"/>
      <w:lvlText w:val="•"/>
      <w:lvlJc w:val="left"/>
      <w:pPr>
        <w:ind w:left="996" w:hanging="377"/>
      </w:pPr>
      <w:rPr>
        <w:rFonts w:hint="default"/>
      </w:rPr>
    </w:lvl>
    <w:lvl w:ilvl="2">
      <w:start w:val="1"/>
      <w:numFmt w:val="bullet"/>
      <w:lvlText w:val="•"/>
      <w:lvlJc w:val="left"/>
      <w:pPr>
        <w:ind w:left="1892" w:hanging="377"/>
      </w:pPr>
      <w:rPr>
        <w:rFonts w:hint="default"/>
      </w:rPr>
    </w:lvl>
    <w:lvl w:ilvl="3">
      <w:start w:val="1"/>
      <w:numFmt w:val="bullet"/>
      <w:lvlText w:val="•"/>
      <w:lvlJc w:val="left"/>
      <w:pPr>
        <w:ind w:left="2788" w:hanging="377"/>
      </w:pPr>
      <w:rPr>
        <w:rFonts w:hint="default"/>
      </w:rPr>
    </w:lvl>
    <w:lvl w:ilvl="4">
      <w:start w:val="1"/>
      <w:numFmt w:val="bullet"/>
      <w:lvlText w:val="•"/>
      <w:lvlJc w:val="left"/>
      <w:pPr>
        <w:ind w:left="3684" w:hanging="377"/>
      </w:pPr>
      <w:rPr>
        <w:rFonts w:hint="default"/>
      </w:rPr>
    </w:lvl>
    <w:lvl w:ilvl="5">
      <w:start w:val="1"/>
      <w:numFmt w:val="bullet"/>
      <w:lvlText w:val="•"/>
      <w:lvlJc w:val="left"/>
      <w:pPr>
        <w:ind w:left="4580" w:hanging="377"/>
      </w:pPr>
      <w:rPr>
        <w:rFonts w:hint="default"/>
      </w:rPr>
    </w:lvl>
    <w:lvl w:ilvl="6">
      <w:start w:val="1"/>
      <w:numFmt w:val="bullet"/>
      <w:lvlText w:val="•"/>
      <w:lvlJc w:val="left"/>
      <w:pPr>
        <w:ind w:left="5476" w:hanging="377"/>
      </w:pPr>
      <w:rPr>
        <w:rFonts w:hint="default"/>
      </w:rPr>
    </w:lvl>
    <w:lvl w:ilvl="7">
      <w:start w:val="1"/>
      <w:numFmt w:val="bullet"/>
      <w:lvlText w:val="•"/>
      <w:lvlJc w:val="left"/>
      <w:pPr>
        <w:ind w:left="6372" w:hanging="377"/>
      </w:pPr>
      <w:rPr>
        <w:rFonts w:hint="default"/>
      </w:rPr>
    </w:lvl>
    <w:lvl w:ilvl="8">
      <w:start w:val="1"/>
      <w:numFmt w:val="bullet"/>
      <w:lvlText w:val="•"/>
      <w:lvlJc w:val="left"/>
      <w:pPr>
        <w:ind w:left="7268" w:hanging="377"/>
      </w:pPr>
      <w:rPr>
        <w:rFonts w:hint="default"/>
      </w:rPr>
    </w:lvl>
  </w:abstractNum>
  <w:abstractNum w:abstractNumId="385">
    <w:multiLevelType w:val="hybridMultilevel"/>
    <w:lvl w:ilvl="0">
      <w:start w:val="1"/>
      <w:numFmt w:val="lowerLetter"/>
      <w:lvlText w:val="%1)"/>
      <w:lvlJc w:val="left"/>
      <w:pPr>
        <w:ind w:left="102" w:hanging="353"/>
        <w:jc w:val="left"/>
      </w:pPr>
      <w:rPr>
        <w:rFonts w:hint="default" w:ascii="Arial" w:hAnsi="Arial" w:eastAsia="Arial" w:cs="Arial"/>
        <w:b/>
        <w:bCs/>
        <w:i/>
        <w:w w:val="100"/>
        <w:sz w:val="22"/>
        <w:szCs w:val="22"/>
      </w:rPr>
    </w:lvl>
    <w:lvl w:ilvl="1">
      <w:start w:val="1"/>
      <w:numFmt w:val="bullet"/>
      <w:lvlText w:val="•"/>
      <w:lvlJc w:val="left"/>
      <w:pPr>
        <w:ind w:left="996" w:hanging="353"/>
      </w:pPr>
      <w:rPr>
        <w:rFonts w:hint="default"/>
      </w:rPr>
    </w:lvl>
    <w:lvl w:ilvl="2">
      <w:start w:val="1"/>
      <w:numFmt w:val="bullet"/>
      <w:lvlText w:val="•"/>
      <w:lvlJc w:val="left"/>
      <w:pPr>
        <w:ind w:left="1892" w:hanging="353"/>
      </w:pPr>
      <w:rPr>
        <w:rFonts w:hint="default"/>
      </w:rPr>
    </w:lvl>
    <w:lvl w:ilvl="3">
      <w:start w:val="1"/>
      <w:numFmt w:val="bullet"/>
      <w:lvlText w:val="•"/>
      <w:lvlJc w:val="left"/>
      <w:pPr>
        <w:ind w:left="2788" w:hanging="353"/>
      </w:pPr>
      <w:rPr>
        <w:rFonts w:hint="default"/>
      </w:rPr>
    </w:lvl>
    <w:lvl w:ilvl="4">
      <w:start w:val="1"/>
      <w:numFmt w:val="bullet"/>
      <w:lvlText w:val="•"/>
      <w:lvlJc w:val="left"/>
      <w:pPr>
        <w:ind w:left="3684" w:hanging="353"/>
      </w:pPr>
      <w:rPr>
        <w:rFonts w:hint="default"/>
      </w:rPr>
    </w:lvl>
    <w:lvl w:ilvl="5">
      <w:start w:val="1"/>
      <w:numFmt w:val="bullet"/>
      <w:lvlText w:val="•"/>
      <w:lvlJc w:val="left"/>
      <w:pPr>
        <w:ind w:left="4580" w:hanging="353"/>
      </w:pPr>
      <w:rPr>
        <w:rFonts w:hint="default"/>
      </w:rPr>
    </w:lvl>
    <w:lvl w:ilvl="6">
      <w:start w:val="1"/>
      <w:numFmt w:val="bullet"/>
      <w:lvlText w:val="•"/>
      <w:lvlJc w:val="left"/>
      <w:pPr>
        <w:ind w:left="5476" w:hanging="353"/>
      </w:pPr>
      <w:rPr>
        <w:rFonts w:hint="default"/>
      </w:rPr>
    </w:lvl>
    <w:lvl w:ilvl="7">
      <w:start w:val="1"/>
      <w:numFmt w:val="bullet"/>
      <w:lvlText w:val="•"/>
      <w:lvlJc w:val="left"/>
      <w:pPr>
        <w:ind w:left="6372" w:hanging="353"/>
      </w:pPr>
      <w:rPr>
        <w:rFonts w:hint="default"/>
      </w:rPr>
    </w:lvl>
    <w:lvl w:ilvl="8">
      <w:start w:val="1"/>
      <w:numFmt w:val="bullet"/>
      <w:lvlText w:val="•"/>
      <w:lvlJc w:val="left"/>
      <w:pPr>
        <w:ind w:left="7268" w:hanging="353"/>
      </w:pPr>
      <w:rPr>
        <w:rFonts w:hint="default"/>
      </w:rPr>
    </w:lvl>
  </w:abstractNum>
  <w:abstractNum w:abstractNumId="384">
    <w:multiLevelType w:val="hybridMultilevel"/>
    <w:lvl w:ilvl="0">
      <w:start w:val="5"/>
      <w:numFmt w:val="upperRoman"/>
      <w:lvlText w:val="%1."/>
      <w:lvlJc w:val="left"/>
      <w:pPr>
        <w:ind w:left="102" w:hanging="283"/>
        <w:jc w:val="left"/>
      </w:pPr>
      <w:rPr>
        <w:rFonts w:hint="default" w:ascii="Arial" w:hAnsi="Arial" w:eastAsia="Arial" w:cs="Arial"/>
        <w:spacing w:val="-1"/>
        <w:w w:val="100"/>
        <w:sz w:val="22"/>
        <w:szCs w:val="22"/>
      </w:rPr>
    </w:lvl>
    <w:lvl w:ilvl="1">
      <w:start w:val="1"/>
      <w:numFmt w:val="bullet"/>
      <w:lvlText w:val="•"/>
      <w:lvlJc w:val="left"/>
      <w:pPr>
        <w:ind w:left="996" w:hanging="283"/>
      </w:pPr>
      <w:rPr>
        <w:rFonts w:hint="default"/>
      </w:rPr>
    </w:lvl>
    <w:lvl w:ilvl="2">
      <w:start w:val="1"/>
      <w:numFmt w:val="bullet"/>
      <w:lvlText w:val="•"/>
      <w:lvlJc w:val="left"/>
      <w:pPr>
        <w:ind w:left="1892" w:hanging="283"/>
      </w:pPr>
      <w:rPr>
        <w:rFonts w:hint="default"/>
      </w:rPr>
    </w:lvl>
    <w:lvl w:ilvl="3">
      <w:start w:val="1"/>
      <w:numFmt w:val="bullet"/>
      <w:lvlText w:val="•"/>
      <w:lvlJc w:val="left"/>
      <w:pPr>
        <w:ind w:left="2788" w:hanging="283"/>
      </w:pPr>
      <w:rPr>
        <w:rFonts w:hint="default"/>
      </w:rPr>
    </w:lvl>
    <w:lvl w:ilvl="4">
      <w:start w:val="1"/>
      <w:numFmt w:val="bullet"/>
      <w:lvlText w:val="•"/>
      <w:lvlJc w:val="left"/>
      <w:pPr>
        <w:ind w:left="3684" w:hanging="283"/>
      </w:pPr>
      <w:rPr>
        <w:rFonts w:hint="default"/>
      </w:rPr>
    </w:lvl>
    <w:lvl w:ilvl="5">
      <w:start w:val="1"/>
      <w:numFmt w:val="bullet"/>
      <w:lvlText w:val="•"/>
      <w:lvlJc w:val="left"/>
      <w:pPr>
        <w:ind w:left="4580" w:hanging="283"/>
      </w:pPr>
      <w:rPr>
        <w:rFonts w:hint="default"/>
      </w:rPr>
    </w:lvl>
    <w:lvl w:ilvl="6">
      <w:start w:val="1"/>
      <w:numFmt w:val="bullet"/>
      <w:lvlText w:val="•"/>
      <w:lvlJc w:val="left"/>
      <w:pPr>
        <w:ind w:left="5476" w:hanging="283"/>
      </w:pPr>
      <w:rPr>
        <w:rFonts w:hint="default"/>
      </w:rPr>
    </w:lvl>
    <w:lvl w:ilvl="7">
      <w:start w:val="1"/>
      <w:numFmt w:val="bullet"/>
      <w:lvlText w:val="•"/>
      <w:lvlJc w:val="left"/>
      <w:pPr>
        <w:ind w:left="6372" w:hanging="283"/>
      </w:pPr>
      <w:rPr>
        <w:rFonts w:hint="default"/>
      </w:rPr>
    </w:lvl>
    <w:lvl w:ilvl="8">
      <w:start w:val="1"/>
      <w:numFmt w:val="bullet"/>
      <w:lvlText w:val="•"/>
      <w:lvlJc w:val="left"/>
      <w:pPr>
        <w:ind w:left="7268" w:hanging="283"/>
      </w:pPr>
      <w:rPr>
        <w:rFonts w:hint="default"/>
      </w:rPr>
    </w:lvl>
  </w:abstractNum>
  <w:abstractNum w:abstractNumId="383">
    <w:multiLevelType w:val="hybridMultilevel"/>
    <w:lvl w:ilvl="0">
      <w:start w:val="5"/>
      <w:numFmt w:val="upperRoman"/>
      <w:lvlText w:val="%1."/>
      <w:lvlJc w:val="left"/>
      <w:pPr>
        <w:ind w:left="102" w:hanging="271"/>
        <w:jc w:val="left"/>
      </w:pPr>
      <w:rPr>
        <w:rFonts w:hint="default" w:ascii="Arial" w:hAnsi="Arial" w:eastAsia="Arial" w:cs="Arial"/>
        <w:spacing w:val="-1"/>
        <w:w w:val="100"/>
        <w:sz w:val="22"/>
        <w:szCs w:val="22"/>
      </w:rPr>
    </w:lvl>
    <w:lvl w:ilvl="1">
      <w:start w:val="1"/>
      <w:numFmt w:val="bullet"/>
      <w:lvlText w:val="•"/>
      <w:lvlJc w:val="left"/>
      <w:pPr>
        <w:ind w:left="996" w:hanging="271"/>
      </w:pPr>
      <w:rPr>
        <w:rFonts w:hint="default"/>
      </w:rPr>
    </w:lvl>
    <w:lvl w:ilvl="2">
      <w:start w:val="1"/>
      <w:numFmt w:val="bullet"/>
      <w:lvlText w:val="•"/>
      <w:lvlJc w:val="left"/>
      <w:pPr>
        <w:ind w:left="1892" w:hanging="271"/>
      </w:pPr>
      <w:rPr>
        <w:rFonts w:hint="default"/>
      </w:rPr>
    </w:lvl>
    <w:lvl w:ilvl="3">
      <w:start w:val="1"/>
      <w:numFmt w:val="bullet"/>
      <w:lvlText w:val="•"/>
      <w:lvlJc w:val="left"/>
      <w:pPr>
        <w:ind w:left="2788" w:hanging="271"/>
      </w:pPr>
      <w:rPr>
        <w:rFonts w:hint="default"/>
      </w:rPr>
    </w:lvl>
    <w:lvl w:ilvl="4">
      <w:start w:val="1"/>
      <w:numFmt w:val="bullet"/>
      <w:lvlText w:val="•"/>
      <w:lvlJc w:val="left"/>
      <w:pPr>
        <w:ind w:left="3684" w:hanging="271"/>
      </w:pPr>
      <w:rPr>
        <w:rFonts w:hint="default"/>
      </w:rPr>
    </w:lvl>
    <w:lvl w:ilvl="5">
      <w:start w:val="1"/>
      <w:numFmt w:val="bullet"/>
      <w:lvlText w:val="•"/>
      <w:lvlJc w:val="left"/>
      <w:pPr>
        <w:ind w:left="4580" w:hanging="271"/>
      </w:pPr>
      <w:rPr>
        <w:rFonts w:hint="default"/>
      </w:rPr>
    </w:lvl>
    <w:lvl w:ilvl="6">
      <w:start w:val="1"/>
      <w:numFmt w:val="bullet"/>
      <w:lvlText w:val="•"/>
      <w:lvlJc w:val="left"/>
      <w:pPr>
        <w:ind w:left="5476" w:hanging="271"/>
      </w:pPr>
      <w:rPr>
        <w:rFonts w:hint="default"/>
      </w:rPr>
    </w:lvl>
    <w:lvl w:ilvl="7">
      <w:start w:val="1"/>
      <w:numFmt w:val="bullet"/>
      <w:lvlText w:val="•"/>
      <w:lvlJc w:val="left"/>
      <w:pPr>
        <w:ind w:left="6372" w:hanging="271"/>
      </w:pPr>
      <w:rPr>
        <w:rFonts w:hint="default"/>
      </w:rPr>
    </w:lvl>
    <w:lvl w:ilvl="8">
      <w:start w:val="1"/>
      <w:numFmt w:val="bullet"/>
      <w:lvlText w:val="•"/>
      <w:lvlJc w:val="left"/>
      <w:pPr>
        <w:ind w:left="7268" w:hanging="271"/>
      </w:pPr>
      <w:rPr>
        <w:rFonts w:hint="default"/>
      </w:rPr>
    </w:lvl>
  </w:abstractNum>
  <w:abstractNum w:abstractNumId="382">
    <w:multiLevelType w:val="hybridMultilevel"/>
    <w:lvl w:ilvl="0">
      <w:start w:val="1"/>
      <w:numFmt w:val="lowerLetter"/>
      <w:lvlText w:val="%1)"/>
      <w:lvlJc w:val="left"/>
      <w:pPr>
        <w:ind w:left="102" w:hanging="300"/>
        <w:jc w:val="left"/>
      </w:pPr>
      <w:rPr>
        <w:rFonts w:hint="default" w:ascii="Arial" w:hAnsi="Arial" w:eastAsia="Arial" w:cs="Arial"/>
        <w:b/>
        <w:bCs/>
        <w:i/>
        <w:w w:val="100"/>
        <w:sz w:val="22"/>
        <w:szCs w:val="22"/>
      </w:rPr>
    </w:lvl>
    <w:lvl w:ilvl="1">
      <w:start w:val="1"/>
      <w:numFmt w:val="bullet"/>
      <w:lvlText w:val="•"/>
      <w:lvlJc w:val="left"/>
      <w:pPr>
        <w:ind w:left="996" w:hanging="300"/>
      </w:pPr>
      <w:rPr>
        <w:rFonts w:hint="default"/>
      </w:rPr>
    </w:lvl>
    <w:lvl w:ilvl="2">
      <w:start w:val="1"/>
      <w:numFmt w:val="bullet"/>
      <w:lvlText w:val="•"/>
      <w:lvlJc w:val="left"/>
      <w:pPr>
        <w:ind w:left="1892" w:hanging="300"/>
      </w:pPr>
      <w:rPr>
        <w:rFonts w:hint="default"/>
      </w:rPr>
    </w:lvl>
    <w:lvl w:ilvl="3">
      <w:start w:val="1"/>
      <w:numFmt w:val="bullet"/>
      <w:lvlText w:val="•"/>
      <w:lvlJc w:val="left"/>
      <w:pPr>
        <w:ind w:left="2788" w:hanging="300"/>
      </w:pPr>
      <w:rPr>
        <w:rFonts w:hint="default"/>
      </w:rPr>
    </w:lvl>
    <w:lvl w:ilvl="4">
      <w:start w:val="1"/>
      <w:numFmt w:val="bullet"/>
      <w:lvlText w:val="•"/>
      <w:lvlJc w:val="left"/>
      <w:pPr>
        <w:ind w:left="3684" w:hanging="300"/>
      </w:pPr>
      <w:rPr>
        <w:rFonts w:hint="default"/>
      </w:rPr>
    </w:lvl>
    <w:lvl w:ilvl="5">
      <w:start w:val="1"/>
      <w:numFmt w:val="bullet"/>
      <w:lvlText w:val="•"/>
      <w:lvlJc w:val="left"/>
      <w:pPr>
        <w:ind w:left="4580" w:hanging="300"/>
      </w:pPr>
      <w:rPr>
        <w:rFonts w:hint="default"/>
      </w:rPr>
    </w:lvl>
    <w:lvl w:ilvl="6">
      <w:start w:val="1"/>
      <w:numFmt w:val="bullet"/>
      <w:lvlText w:val="•"/>
      <w:lvlJc w:val="left"/>
      <w:pPr>
        <w:ind w:left="5476" w:hanging="300"/>
      </w:pPr>
      <w:rPr>
        <w:rFonts w:hint="default"/>
      </w:rPr>
    </w:lvl>
    <w:lvl w:ilvl="7">
      <w:start w:val="1"/>
      <w:numFmt w:val="bullet"/>
      <w:lvlText w:val="•"/>
      <w:lvlJc w:val="left"/>
      <w:pPr>
        <w:ind w:left="6372" w:hanging="300"/>
      </w:pPr>
      <w:rPr>
        <w:rFonts w:hint="default"/>
      </w:rPr>
    </w:lvl>
    <w:lvl w:ilvl="8">
      <w:start w:val="1"/>
      <w:numFmt w:val="bullet"/>
      <w:lvlText w:val="•"/>
      <w:lvlJc w:val="left"/>
      <w:pPr>
        <w:ind w:left="7268" w:hanging="300"/>
      </w:pPr>
      <w:rPr>
        <w:rFonts w:hint="default"/>
      </w:rPr>
    </w:lvl>
  </w:abstractNum>
  <w:abstractNum w:abstractNumId="381">
    <w:multiLevelType w:val="hybridMultilevel"/>
    <w:lvl w:ilvl="0">
      <w:start w:val="1"/>
      <w:numFmt w:val="upperRoman"/>
      <w:lvlText w:val="%1."/>
      <w:lvlJc w:val="left"/>
      <w:pPr>
        <w:ind w:left="102" w:hanging="199"/>
        <w:jc w:val="left"/>
      </w:pPr>
      <w:rPr>
        <w:rFonts w:hint="default" w:ascii="Arial" w:hAnsi="Arial" w:eastAsia="Arial" w:cs="Arial"/>
        <w:w w:val="100"/>
        <w:sz w:val="22"/>
        <w:szCs w:val="22"/>
      </w:rPr>
    </w:lvl>
    <w:lvl w:ilvl="1">
      <w:start w:val="1"/>
      <w:numFmt w:val="bullet"/>
      <w:lvlText w:val="•"/>
      <w:lvlJc w:val="left"/>
      <w:pPr>
        <w:ind w:left="996" w:hanging="199"/>
      </w:pPr>
      <w:rPr>
        <w:rFonts w:hint="default"/>
      </w:rPr>
    </w:lvl>
    <w:lvl w:ilvl="2">
      <w:start w:val="1"/>
      <w:numFmt w:val="bullet"/>
      <w:lvlText w:val="•"/>
      <w:lvlJc w:val="left"/>
      <w:pPr>
        <w:ind w:left="1892" w:hanging="199"/>
      </w:pPr>
      <w:rPr>
        <w:rFonts w:hint="default"/>
      </w:rPr>
    </w:lvl>
    <w:lvl w:ilvl="3">
      <w:start w:val="1"/>
      <w:numFmt w:val="bullet"/>
      <w:lvlText w:val="•"/>
      <w:lvlJc w:val="left"/>
      <w:pPr>
        <w:ind w:left="2788" w:hanging="199"/>
      </w:pPr>
      <w:rPr>
        <w:rFonts w:hint="default"/>
      </w:rPr>
    </w:lvl>
    <w:lvl w:ilvl="4">
      <w:start w:val="1"/>
      <w:numFmt w:val="bullet"/>
      <w:lvlText w:val="•"/>
      <w:lvlJc w:val="left"/>
      <w:pPr>
        <w:ind w:left="3684" w:hanging="199"/>
      </w:pPr>
      <w:rPr>
        <w:rFonts w:hint="default"/>
      </w:rPr>
    </w:lvl>
    <w:lvl w:ilvl="5">
      <w:start w:val="1"/>
      <w:numFmt w:val="bullet"/>
      <w:lvlText w:val="•"/>
      <w:lvlJc w:val="left"/>
      <w:pPr>
        <w:ind w:left="4580" w:hanging="199"/>
      </w:pPr>
      <w:rPr>
        <w:rFonts w:hint="default"/>
      </w:rPr>
    </w:lvl>
    <w:lvl w:ilvl="6">
      <w:start w:val="1"/>
      <w:numFmt w:val="bullet"/>
      <w:lvlText w:val="•"/>
      <w:lvlJc w:val="left"/>
      <w:pPr>
        <w:ind w:left="5476" w:hanging="199"/>
      </w:pPr>
      <w:rPr>
        <w:rFonts w:hint="default"/>
      </w:rPr>
    </w:lvl>
    <w:lvl w:ilvl="7">
      <w:start w:val="1"/>
      <w:numFmt w:val="bullet"/>
      <w:lvlText w:val="•"/>
      <w:lvlJc w:val="left"/>
      <w:pPr>
        <w:ind w:left="6372" w:hanging="199"/>
      </w:pPr>
      <w:rPr>
        <w:rFonts w:hint="default"/>
      </w:rPr>
    </w:lvl>
    <w:lvl w:ilvl="8">
      <w:start w:val="1"/>
      <w:numFmt w:val="bullet"/>
      <w:lvlText w:val="•"/>
      <w:lvlJc w:val="left"/>
      <w:pPr>
        <w:ind w:left="7268" w:hanging="199"/>
      </w:pPr>
      <w:rPr>
        <w:rFonts w:hint="default"/>
      </w:rPr>
    </w:lvl>
  </w:abstractNum>
  <w:abstractNum w:abstractNumId="380">
    <w:multiLevelType w:val="hybridMultilevel"/>
    <w:lvl w:ilvl="0">
      <w:start w:val="1"/>
      <w:numFmt w:val="upperRoman"/>
      <w:lvlText w:val="%1."/>
      <w:lvlJc w:val="left"/>
      <w:pPr>
        <w:ind w:left="102" w:hanging="185"/>
        <w:jc w:val="left"/>
      </w:pPr>
      <w:rPr>
        <w:rFonts w:hint="default" w:ascii="Arial" w:hAnsi="Arial" w:eastAsia="Arial" w:cs="Arial"/>
        <w:w w:val="100"/>
        <w:sz w:val="22"/>
        <w:szCs w:val="22"/>
      </w:rPr>
    </w:lvl>
    <w:lvl w:ilvl="1">
      <w:start w:val="1"/>
      <w:numFmt w:val="bullet"/>
      <w:lvlText w:val="•"/>
      <w:lvlJc w:val="left"/>
      <w:pPr>
        <w:ind w:left="996" w:hanging="185"/>
      </w:pPr>
      <w:rPr>
        <w:rFonts w:hint="default"/>
      </w:rPr>
    </w:lvl>
    <w:lvl w:ilvl="2">
      <w:start w:val="1"/>
      <w:numFmt w:val="bullet"/>
      <w:lvlText w:val="•"/>
      <w:lvlJc w:val="left"/>
      <w:pPr>
        <w:ind w:left="1892" w:hanging="185"/>
      </w:pPr>
      <w:rPr>
        <w:rFonts w:hint="default"/>
      </w:rPr>
    </w:lvl>
    <w:lvl w:ilvl="3">
      <w:start w:val="1"/>
      <w:numFmt w:val="bullet"/>
      <w:lvlText w:val="•"/>
      <w:lvlJc w:val="left"/>
      <w:pPr>
        <w:ind w:left="2788" w:hanging="185"/>
      </w:pPr>
      <w:rPr>
        <w:rFonts w:hint="default"/>
      </w:rPr>
    </w:lvl>
    <w:lvl w:ilvl="4">
      <w:start w:val="1"/>
      <w:numFmt w:val="bullet"/>
      <w:lvlText w:val="•"/>
      <w:lvlJc w:val="left"/>
      <w:pPr>
        <w:ind w:left="3684" w:hanging="185"/>
      </w:pPr>
      <w:rPr>
        <w:rFonts w:hint="default"/>
      </w:rPr>
    </w:lvl>
    <w:lvl w:ilvl="5">
      <w:start w:val="1"/>
      <w:numFmt w:val="bullet"/>
      <w:lvlText w:val="•"/>
      <w:lvlJc w:val="left"/>
      <w:pPr>
        <w:ind w:left="4580" w:hanging="185"/>
      </w:pPr>
      <w:rPr>
        <w:rFonts w:hint="default"/>
      </w:rPr>
    </w:lvl>
    <w:lvl w:ilvl="6">
      <w:start w:val="1"/>
      <w:numFmt w:val="bullet"/>
      <w:lvlText w:val="•"/>
      <w:lvlJc w:val="left"/>
      <w:pPr>
        <w:ind w:left="5476" w:hanging="185"/>
      </w:pPr>
      <w:rPr>
        <w:rFonts w:hint="default"/>
      </w:rPr>
    </w:lvl>
    <w:lvl w:ilvl="7">
      <w:start w:val="1"/>
      <w:numFmt w:val="bullet"/>
      <w:lvlText w:val="•"/>
      <w:lvlJc w:val="left"/>
      <w:pPr>
        <w:ind w:left="6372" w:hanging="185"/>
      </w:pPr>
      <w:rPr>
        <w:rFonts w:hint="default"/>
      </w:rPr>
    </w:lvl>
    <w:lvl w:ilvl="8">
      <w:start w:val="1"/>
      <w:numFmt w:val="bullet"/>
      <w:lvlText w:val="•"/>
      <w:lvlJc w:val="left"/>
      <w:pPr>
        <w:ind w:left="7268" w:hanging="185"/>
      </w:pPr>
      <w:rPr>
        <w:rFonts w:hint="default"/>
      </w:rPr>
    </w:lvl>
  </w:abstractNum>
  <w:abstractNum w:abstractNumId="379">
    <w:multiLevelType w:val="hybridMultilevel"/>
    <w:lvl w:ilvl="0">
      <w:start w:val="1"/>
      <w:numFmt w:val="upperRoman"/>
      <w:lvlText w:val="%1."/>
      <w:lvlJc w:val="left"/>
      <w:pPr>
        <w:ind w:left="102" w:hanging="247"/>
        <w:jc w:val="left"/>
      </w:pPr>
      <w:rPr>
        <w:rFonts w:hint="default" w:ascii="Arial" w:hAnsi="Arial" w:eastAsia="Arial" w:cs="Arial"/>
        <w:w w:val="100"/>
        <w:sz w:val="22"/>
        <w:szCs w:val="22"/>
      </w:rPr>
    </w:lvl>
    <w:lvl w:ilvl="1">
      <w:start w:val="1"/>
      <w:numFmt w:val="bullet"/>
      <w:lvlText w:val="•"/>
      <w:lvlJc w:val="left"/>
      <w:pPr>
        <w:ind w:left="996" w:hanging="247"/>
      </w:pPr>
      <w:rPr>
        <w:rFonts w:hint="default"/>
      </w:rPr>
    </w:lvl>
    <w:lvl w:ilvl="2">
      <w:start w:val="1"/>
      <w:numFmt w:val="bullet"/>
      <w:lvlText w:val="•"/>
      <w:lvlJc w:val="left"/>
      <w:pPr>
        <w:ind w:left="1892" w:hanging="247"/>
      </w:pPr>
      <w:rPr>
        <w:rFonts w:hint="default"/>
      </w:rPr>
    </w:lvl>
    <w:lvl w:ilvl="3">
      <w:start w:val="1"/>
      <w:numFmt w:val="bullet"/>
      <w:lvlText w:val="•"/>
      <w:lvlJc w:val="left"/>
      <w:pPr>
        <w:ind w:left="2788" w:hanging="247"/>
      </w:pPr>
      <w:rPr>
        <w:rFonts w:hint="default"/>
      </w:rPr>
    </w:lvl>
    <w:lvl w:ilvl="4">
      <w:start w:val="1"/>
      <w:numFmt w:val="bullet"/>
      <w:lvlText w:val="•"/>
      <w:lvlJc w:val="left"/>
      <w:pPr>
        <w:ind w:left="3684" w:hanging="247"/>
      </w:pPr>
      <w:rPr>
        <w:rFonts w:hint="default"/>
      </w:rPr>
    </w:lvl>
    <w:lvl w:ilvl="5">
      <w:start w:val="1"/>
      <w:numFmt w:val="bullet"/>
      <w:lvlText w:val="•"/>
      <w:lvlJc w:val="left"/>
      <w:pPr>
        <w:ind w:left="4580" w:hanging="247"/>
      </w:pPr>
      <w:rPr>
        <w:rFonts w:hint="default"/>
      </w:rPr>
    </w:lvl>
    <w:lvl w:ilvl="6">
      <w:start w:val="1"/>
      <w:numFmt w:val="bullet"/>
      <w:lvlText w:val="•"/>
      <w:lvlJc w:val="left"/>
      <w:pPr>
        <w:ind w:left="5476" w:hanging="247"/>
      </w:pPr>
      <w:rPr>
        <w:rFonts w:hint="default"/>
      </w:rPr>
    </w:lvl>
    <w:lvl w:ilvl="7">
      <w:start w:val="1"/>
      <w:numFmt w:val="bullet"/>
      <w:lvlText w:val="•"/>
      <w:lvlJc w:val="left"/>
      <w:pPr>
        <w:ind w:left="6372" w:hanging="247"/>
      </w:pPr>
      <w:rPr>
        <w:rFonts w:hint="default"/>
      </w:rPr>
    </w:lvl>
    <w:lvl w:ilvl="8">
      <w:start w:val="1"/>
      <w:numFmt w:val="bullet"/>
      <w:lvlText w:val="•"/>
      <w:lvlJc w:val="left"/>
      <w:pPr>
        <w:ind w:left="7268" w:hanging="247"/>
      </w:pPr>
      <w:rPr>
        <w:rFonts w:hint="default"/>
      </w:rPr>
    </w:lvl>
  </w:abstractNum>
  <w:abstractNum w:abstractNumId="378">
    <w:multiLevelType w:val="hybridMultilevel"/>
    <w:lvl w:ilvl="0">
      <w:start w:val="1"/>
      <w:numFmt w:val="upperRoman"/>
      <w:lvlText w:val="%1."/>
      <w:lvlJc w:val="left"/>
      <w:pPr>
        <w:ind w:left="102" w:hanging="247"/>
        <w:jc w:val="left"/>
      </w:pPr>
      <w:rPr>
        <w:rFonts w:hint="default" w:ascii="Arial" w:hAnsi="Arial" w:eastAsia="Arial" w:cs="Arial"/>
        <w:w w:val="100"/>
        <w:sz w:val="22"/>
        <w:szCs w:val="22"/>
      </w:rPr>
    </w:lvl>
    <w:lvl w:ilvl="1">
      <w:start w:val="1"/>
      <w:numFmt w:val="bullet"/>
      <w:lvlText w:val="•"/>
      <w:lvlJc w:val="left"/>
      <w:pPr>
        <w:ind w:left="996" w:hanging="247"/>
      </w:pPr>
      <w:rPr>
        <w:rFonts w:hint="default"/>
      </w:rPr>
    </w:lvl>
    <w:lvl w:ilvl="2">
      <w:start w:val="1"/>
      <w:numFmt w:val="bullet"/>
      <w:lvlText w:val="•"/>
      <w:lvlJc w:val="left"/>
      <w:pPr>
        <w:ind w:left="1892" w:hanging="247"/>
      </w:pPr>
      <w:rPr>
        <w:rFonts w:hint="default"/>
      </w:rPr>
    </w:lvl>
    <w:lvl w:ilvl="3">
      <w:start w:val="1"/>
      <w:numFmt w:val="bullet"/>
      <w:lvlText w:val="•"/>
      <w:lvlJc w:val="left"/>
      <w:pPr>
        <w:ind w:left="2788" w:hanging="247"/>
      </w:pPr>
      <w:rPr>
        <w:rFonts w:hint="default"/>
      </w:rPr>
    </w:lvl>
    <w:lvl w:ilvl="4">
      <w:start w:val="1"/>
      <w:numFmt w:val="bullet"/>
      <w:lvlText w:val="•"/>
      <w:lvlJc w:val="left"/>
      <w:pPr>
        <w:ind w:left="3684" w:hanging="247"/>
      </w:pPr>
      <w:rPr>
        <w:rFonts w:hint="default"/>
      </w:rPr>
    </w:lvl>
    <w:lvl w:ilvl="5">
      <w:start w:val="1"/>
      <w:numFmt w:val="bullet"/>
      <w:lvlText w:val="•"/>
      <w:lvlJc w:val="left"/>
      <w:pPr>
        <w:ind w:left="4580" w:hanging="247"/>
      </w:pPr>
      <w:rPr>
        <w:rFonts w:hint="default"/>
      </w:rPr>
    </w:lvl>
    <w:lvl w:ilvl="6">
      <w:start w:val="1"/>
      <w:numFmt w:val="bullet"/>
      <w:lvlText w:val="•"/>
      <w:lvlJc w:val="left"/>
      <w:pPr>
        <w:ind w:left="5476" w:hanging="247"/>
      </w:pPr>
      <w:rPr>
        <w:rFonts w:hint="default"/>
      </w:rPr>
    </w:lvl>
    <w:lvl w:ilvl="7">
      <w:start w:val="1"/>
      <w:numFmt w:val="bullet"/>
      <w:lvlText w:val="•"/>
      <w:lvlJc w:val="left"/>
      <w:pPr>
        <w:ind w:left="6372" w:hanging="247"/>
      </w:pPr>
      <w:rPr>
        <w:rFonts w:hint="default"/>
      </w:rPr>
    </w:lvl>
    <w:lvl w:ilvl="8">
      <w:start w:val="1"/>
      <w:numFmt w:val="bullet"/>
      <w:lvlText w:val="•"/>
      <w:lvlJc w:val="left"/>
      <w:pPr>
        <w:ind w:left="7268" w:hanging="247"/>
      </w:pPr>
      <w:rPr>
        <w:rFonts w:hint="default"/>
      </w:rPr>
    </w:lvl>
  </w:abstractNum>
  <w:abstractNum w:abstractNumId="377">
    <w:multiLevelType w:val="hybridMultilevel"/>
    <w:lvl w:ilvl="0">
      <w:start w:val="1"/>
      <w:numFmt w:val="upperRoman"/>
      <w:lvlText w:val="%1."/>
      <w:lvlJc w:val="left"/>
      <w:pPr>
        <w:ind w:left="286" w:hanging="185"/>
        <w:jc w:val="left"/>
      </w:pPr>
      <w:rPr>
        <w:rFonts w:hint="default" w:ascii="Arial" w:hAnsi="Arial" w:eastAsia="Arial" w:cs="Arial"/>
        <w:w w:val="100"/>
        <w:sz w:val="22"/>
        <w:szCs w:val="22"/>
      </w:rPr>
    </w:lvl>
    <w:lvl w:ilvl="1">
      <w:start w:val="1"/>
      <w:numFmt w:val="bullet"/>
      <w:lvlText w:val="•"/>
      <w:lvlJc w:val="left"/>
      <w:pPr>
        <w:ind w:left="1158" w:hanging="185"/>
      </w:pPr>
      <w:rPr>
        <w:rFonts w:hint="default"/>
      </w:rPr>
    </w:lvl>
    <w:lvl w:ilvl="2">
      <w:start w:val="1"/>
      <w:numFmt w:val="bullet"/>
      <w:lvlText w:val="•"/>
      <w:lvlJc w:val="left"/>
      <w:pPr>
        <w:ind w:left="2036" w:hanging="185"/>
      </w:pPr>
      <w:rPr>
        <w:rFonts w:hint="default"/>
      </w:rPr>
    </w:lvl>
    <w:lvl w:ilvl="3">
      <w:start w:val="1"/>
      <w:numFmt w:val="bullet"/>
      <w:lvlText w:val="•"/>
      <w:lvlJc w:val="left"/>
      <w:pPr>
        <w:ind w:left="2914" w:hanging="185"/>
      </w:pPr>
      <w:rPr>
        <w:rFonts w:hint="default"/>
      </w:rPr>
    </w:lvl>
    <w:lvl w:ilvl="4">
      <w:start w:val="1"/>
      <w:numFmt w:val="bullet"/>
      <w:lvlText w:val="•"/>
      <w:lvlJc w:val="left"/>
      <w:pPr>
        <w:ind w:left="3792" w:hanging="185"/>
      </w:pPr>
      <w:rPr>
        <w:rFonts w:hint="default"/>
      </w:rPr>
    </w:lvl>
    <w:lvl w:ilvl="5">
      <w:start w:val="1"/>
      <w:numFmt w:val="bullet"/>
      <w:lvlText w:val="•"/>
      <w:lvlJc w:val="left"/>
      <w:pPr>
        <w:ind w:left="4670" w:hanging="185"/>
      </w:pPr>
      <w:rPr>
        <w:rFonts w:hint="default"/>
      </w:rPr>
    </w:lvl>
    <w:lvl w:ilvl="6">
      <w:start w:val="1"/>
      <w:numFmt w:val="bullet"/>
      <w:lvlText w:val="•"/>
      <w:lvlJc w:val="left"/>
      <w:pPr>
        <w:ind w:left="5548" w:hanging="185"/>
      </w:pPr>
      <w:rPr>
        <w:rFonts w:hint="default"/>
      </w:rPr>
    </w:lvl>
    <w:lvl w:ilvl="7">
      <w:start w:val="1"/>
      <w:numFmt w:val="bullet"/>
      <w:lvlText w:val="•"/>
      <w:lvlJc w:val="left"/>
      <w:pPr>
        <w:ind w:left="6426" w:hanging="185"/>
      </w:pPr>
      <w:rPr>
        <w:rFonts w:hint="default"/>
      </w:rPr>
    </w:lvl>
    <w:lvl w:ilvl="8">
      <w:start w:val="1"/>
      <w:numFmt w:val="bullet"/>
      <w:lvlText w:val="•"/>
      <w:lvlJc w:val="left"/>
      <w:pPr>
        <w:ind w:left="7304" w:hanging="185"/>
      </w:pPr>
      <w:rPr>
        <w:rFonts w:hint="default"/>
      </w:rPr>
    </w:lvl>
  </w:abstractNum>
  <w:abstractNum w:abstractNumId="376">
    <w:multiLevelType w:val="hybridMultilevel"/>
    <w:lvl w:ilvl="0">
      <w:start w:val="1"/>
      <w:numFmt w:val="upperRoman"/>
      <w:lvlText w:val="%1."/>
      <w:lvlJc w:val="left"/>
      <w:pPr>
        <w:ind w:left="286" w:hanging="185"/>
        <w:jc w:val="left"/>
      </w:pPr>
      <w:rPr>
        <w:rFonts w:hint="default" w:ascii="Arial" w:hAnsi="Arial" w:eastAsia="Arial" w:cs="Arial"/>
        <w:w w:val="100"/>
        <w:sz w:val="22"/>
        <w:szCs w:val="22"/>
      </w:rPr>
    </w:lvl>
    <w:lvl w:ilvl="1">
      <w:start w:val="1"/>
      <w:numFmt w:val="bullet"/>
      <w:lvlText w:val="•"/>
      <w:lvlJc w:val="left"/>
      <w:pPr>
        <w:ind w:left="1158" w:hanging="185"/>
      </w:pPr>
      <w:rPr>
        <w:rFonts w:hint="default"/>
      </w:rPr>
    </w:lvl>
    <w:lvl w:ilvl="2">
      <w:start w:val="1"/>
      <w:numFmt w:val="bullet"/>
      <w:lvlText w:val="•"/>
      <w:lvlJc w:val="left"/>
      <w:pPr>
        <w:ind w:left="2036" w:hanging="185"/>
      </w:pPr>
      <w:rPr>
        <w:rFonts w:hint="default"/>
      </w:rPr>
    </w:lvl>
    <w:lvl w:ilvl="3">
      <w:start w:val="1"/>
      <w:numFmt w:val="bullet"/>
      <w:lvlText w:val="•"/>
      <w:lvlJc w:val="left"/>
      <w:pPr>
        <w:ind w:left="2914" w:hanging="185"/>
      </w:pPr>
      <w:rPr>
        <w:rFonts w:hint="default"/>
      </w:rPr>
    </w:lvl>
    <w:lvl w:ilvl="4">
      <w:start w:val="1"/>
      <w:numFmt w:val="bullet"/>
      <w:lvlText w:val="•"/>
      <w:lvlJc w:val="left"/>
      <w:pPr>
        <w:ind w:left="3792" w:hanging="185"/>
      </w:pPr>
      <w:rPr>
        <w:rFonts w:hint="default"/>
      </w:rPr>
    </w:lvl>
    <w:lvl w:ilvl="5">
      <w:start w:val="1"/>
      <w:numFmt w:val="bullet"/>
      <w:lvlText w:val="•"/>
      <w:lvlJc w:val="left"/>
      <w:pPr>
        <w:ind w:left="4670" w:hanging="185"/>
      </w:pPr>
      <w:rPr>
        <w:rFonts w:hint="default"/>
      </w:rPr>
    </w:lvl>
    <w:lvl w:ilvl="6">
      <w:start w:val="1"/>
      <w:numFmt w:val="bullet"/>
      <w:lvlText w:val="•"/>
      <w:lvlJc w:val="left"/>
      <w:pPr>
        <w:ind w:left="5548" w:hanging="185"/>
      </w:pPr>
      <w:rPr>
        <w:rFonts w:hint="default"/>
      </w:rPr>
    </w:lvl>
    <w:lvl w:ilvl="7">
      <w:start w:val="1"/>
      <w:numFmt w:val="bullet"/>
      <w:lvlText w:val="•"/>
      <w:lvlJc w:val="left"/>
      <w:pPr>
        <w:ind w:left="6426" w:hanging="185"/>
      </w:pPr>
      <w:rPr>
        <w:rFonts w:hint="default"/>
      </w:rPr>
    </w:lvl>
    <w:lvl w:ilvl="8">
      <w:start w:val="1"/>
      <w:numFmt w:val="bullet"/>
      <w:lvlText w:val="•"/>
      <w:lvlJc w:val="left"/>
      <w:pPr>
        <w:ind w:left="7304" w:hanging="185"/>
      </w:pPr>
      <w:rPr>
        <w:rFonts w:hint="default"/>
      </w:rPr>
    </w:lvl>
  </w:abstractNum>
  <w:abstractNum w:abstractNumId="375">
    <w:multiLevelType w:val="hybridMultilevel"/>
    <w:lvl w:ilvl="0">
      <w:start w:val="1"/>
      <w:numFmt w:val="upperRoman"/>
      <w:lvlText w:val="%1."/>
      <w:lvlJc w:val="left"/>
      <w:pPr>
        <w:ind w:left="102" w:hanging="185"/>
        <w:jc w:val="left"/>
      </w:pPr>
      <w:rPr>
        <w:rFonts w:hint="default" w:ascii="Arial" w:hAnsi="Arial" w:eastAsia="Arial" w:cs="Arial"/>
        <w:w w:val="100"/>
        <w:sz w:val="22"/>
        <w:szCs w:val="22"/>
      </w:rPr>
    </w:lvl>
    <w:lvl w:ilvl="1">
      <w:start w:val="1"/>
      <w:numFmt w:val="bullet"/>
      <w:lvlText w:val="•"/>
      <w:lvlJc w:val="left"/>
      <w:pPr>
        <w:ind w:left="996" w:hanging="185"/>
      </w:pPr>
      <w:rPr>
        <w:rFonts w:hint="default"/>
      </w:rPr>
    </w:lvl>
    <w:lvl w:ilvl="2">
      <w:start w:val="1"/>
      <w:numFmt w:val="bullet"/>
      <w:lvlText w:val="•"/>
      <w:lvlJc w:val="left"/>
      <w:pPr>
        <w:ind w:left="1892" w:hanging="185"/>
      </w:pPr>
      <w:rPr>
        <w:rFonts w:hint="default"/>
      </w:rPr>
    </w:lvl>
    <w:lvl w:ilvl="3">
      <w:start w:val="1"/>
      <w:numFmt w:val="bullet"/>
      <w:lvlText w:val="•"/>
      <w:lvlJc w:val="left"/>
      <w:pPr>
        <w:ind w:left="2788" w:hanging="185"/>
      </w:pPr>
      <w:rPr>
        <w:rFonts w:hint="default"/>
      </w:rPr>
    </w:lvl>
    <w:lvl w:ilvl="4">
      <w:start w:val="1"/>
      <w:numFmt w:val="bullet"/>
      <w:lvlText w:val="•"/>
      <w:lvlJc w:val="left"/>
      <w:pPr>
        <w:ind w:left="3684" w:hanging="185"/>
      </w:pPr>
      <w:rPr>
        <w:rFonts w:hint="default"/>
      </w:rPr>
    </w:lvl>
    <w:lvl w:ilvl="5">
      <w:start w:val="1"/>
      <w:numFmt w:val="bullet"/>
      <w:lvlText w:val="•"/>
      <w:lvlJc w:val="left"/>
      <w:pPr>
        <w:ind w:left="4580" w:hanging="185"/>
      </w:pPr>
      <w:rPr>
        <w:rFonts w:hint="default"/>
      </w:rPr>
    </w:lvl>
    <w:lvl w:ilvl="6">
      <w:start w:val="1"/>
      <w:numFmt w:val="bullet"/>
      <w:lvlText w:val="•"/>
      <w:lvlJc w:val="left"/>
      <w:pPr>
        <w:ind w:left="5476" w:hanging="185"/>
      </w:pPr>
      <w:rPr>
        <w:rFonts w:hint="default"/>
      </w:rPr>
    </w:lvl>
    <w:lvl w:ilvl="7">
      <w:start w:val="1"/>
      <w:numFmt w:val="bullet"/>
      <w:lvlText w:val="•"/>
      <w:lvlJc w:val="left"/>
      <w:pPr>
        <w:ind w:left="6372" w:hanging="185"/>
      </w:pPr>
      <w:rPr>
        <w:rFonts w:hint="default"/>
      </w:rPr>
    </w:lvl>
    <w:lvl w:ilvl="8">
      <w:start w:val="1"/>
      <w:numFmt w:val="bullet"/>
      <w:lvlText w:val="•"/>
      <w:lvlJc w:val="left"/>
      <w:pPr>
        <w:ind w:left="7268" w:hanging="185"/>
      </w:pPr>
      <w:rPr>
        <w:rFonts w:hint="default"/>
      </w:rPr>
    </w:lvl>
  </w:abstractNum>
  <w:abstractNum w:abstractNumId="374">
    <w:multiLevelType w:val="hybridMultilevel"/>
    <w:lvl w:ilvl="0">
      <w:start w:val="1"/>
      <w:numFmt w:val="upperRoman"/>
      <w:lvlText w:val="%1."/>
      <w:lvlJc w:val="left"/>
      <w:pPr>
        <w:ind w:left="102" w:hanging="255"/>
        <w:jc w:val="left"/>
      </w:pPr>
      <w:rPr>
        <w:rFonts w:hint="default" w:ascii="Arial" w:hAnsi="Arial" w:eastAsia="Arial" w:cs="Arial"/>
        <w:w w:val="100"/>
        <w:sz w:val="22"/>
        <w:szCs w:val="22"/>
      </w:rPr>
    </w:lvl>
    <w:lvl w:ilvl="1">
      <w:start w:val="1"/>
      <w:numFmt w:val="bullet"/>
      <w:lvlText w:val="•"/>
      <w:lvlJc w:val="left"/>
      <w:pPr>
        <w:ind w:left="996" w:hanging="255"/>
      </w:pPr>
      <w:rPr>
        <w:rFonts w:hint="default"/>
      </w:rPr>
    </w:lvl>
    <w:lvl w:ilvl="2">
      <w:start w:val="1"/>
      <w:numFmt w:val="bullet"/>
      <w:lvlText w:val="•"/>
      <w:lvlJc w:val="left"/>
      <w:pPr>
        <w:ind w:left="1892" w:hanging="255"/>
      </w:pPr>
      <w:rPr>
        <w:rFonts w:hint="default"/>
      </w:rPr>
    </w:lvl>
    <w:lvl w:ilvl="3">
      <w:start w:val="1"/>
      <w:numFmt w:val="bullet"/>
      <w:lvlText w:val="•"/>
      <w:lvlJc w:val="left"/>
      <w:pPr>
        <w:ind w:left="2788" w:hanging="255"/>
      </w:pPr>
      <w:rPr>
        <w:rFonts w:hint="default"/>
      </w:rPr>
    </w:lvl>
    <w:lvl w:ilvl="4">
      <w:start w:val="1"/>
      <w:numFmt w:val="bullet"/>
      <w:lvlText w:val="•"/>
      <w:lvlJc w:val="left"/>
      <w:pPr>
        <w:ind w:left="3684" w:hanging="255"/>
      </w:pPr>
      <w:rPr>
        <w:rFonts w:hint="default"/>
      </w:rPr>
    </w:lvl>
    <w:lvl w:ilvl="5">
      <w:start w:val="1"/>
      <w:numFmt w:val="bullet"/>
      <w:lvlText w:val="•"/>
      <w:lvlJc w:val="left"/>
      <w:pPr>
        <w:ind w:left="4580" w:hanging="255"/>
      </w:pPr>
      <w:rPr>
        <w:rFonts w:hint="default"/>
      </w:rPr>
    </w:lvl>
    <w:lvl w:ilvl="6">
      <w:start w:val="1"/>
      <w:numFmt w:val="bullet"/>
      <w:lvlText w:val="•"/>
      <w:lvlJc w:val="left"/>
      <w:pPr>
        <w:ind w:left="5476" w:hanging="255"/>
      </w:pPr>
      <w:rPr>
        <w:rFonts w:hint="default"/>
      </w:rPr>
    </w:lvl>
    <w:lvl w:ilvl="7">
      <w:start w:val="1"/>
      <w:numFmt w:val="bullet"/>
      <w:lvlText w:val="•"/>
      <w:lvlJc w:val="left"/>
      <w:pPr>
        <w:ind w:left="6372" w:hanging="255"/>
      </w:pPr>
      <w:rPr>
        <w:rFonts w:hint="default"/>
      </w:rPr>
    </w:lvl>
    <w:lvl w:ilvl="8">
      <w:start w:val="1"/>
      <w:numFmt w:val="bullet"/>
      <w:lvlText w:val="•"/>
      <w:lvlJc w:val="left"/>
      <w:pPr>
        <w:ind w:left="7268" w:hanging="255"/>
      </w:pPr>
      <w:rPr>
        <w:rFonts w:hint="default"/>
      </w:rPr>
    </w:lvl>
  </w:abstractNum>
  <w:abstractNum w:abstractNumId="373">
    <w:multiLevelType w:val="hybridMultilevel"/>
    <w:lvl w:ilvl="0">
      <w:start w:val="3"/>
      <w:numFmt w:val="upperRoman"/>
      <w:lvlText w:val="%1"/>
      <w:lvlJc w:val="left"/>
      <w:pPr>
        <w:ind w:left="102" w:hanging="247"/>
        <w:jc w:val="left"/>
      </w:pPr>
      <w:rPr>
        <w:rFonts w:hint="default" w:ascii="Arial" w:hAnsi="Arial" w:eastAsia="Arial" w:cs="Arial"/>
        <w:spacing w:val="-2"/>
        <w:w w:val="100"/>
        <w:sz w:val="22"/>
        <w:szCs w:val="22"/>
      </w:rPr>
    </w:lvl>
    <w:lvl w:ilvl="1">
      <w:start w:val="1"/>
      <w:numFmt w:val="bullet"/>
      <w:lvlText w:val="•"/>
      <w:lvlJc w:val="left"/>
      <w:pPr>
        <w:ind w:left="996" w:hanging="247"/>
      </w:pPr>
      <w:rPr>
        <w:rFonts w:hint="default"/>
      </w:rPr>
    </w:lvl>
    <w:lvl w:ilvl="2">
      <w:start w:val="1"/>
      <w:numFmt w:val="bullet"/>
      <w:lvlText w:val="•"/>
      <w:lvlJc w:val="left"/>
      <w:pPr>
        <w:ind w:left="1892" w:hanging="247"/>
      </w:pPr>
      <w:rPr>
        <w:rFonts w:hint="default"/>
      </w:rPr>
    </w:lvl>
    <w:lvl w:ilvl="3">
      <w:start w:val="1"/>
      <w:numFmt w:val="bullet"/>
      <w:lvlText w:val="•"/>
      <w:lvlJc w:val="left"/>
      <w:pPr>
        <w:ind w:left="2788" w:hanging="247"/>
      </w:pPr>
      <w:rPr>
        <w:rFonts w:hint="default"/>
      </w:rPr>
    </w:lvl>
    <w:lvl w:ilvl="4">
      <w:start w:val="1"/>
      <w:numFmt w:val="bullet"/>
      <w:lvlText w:val="•"/>
      <w:lvlJc w:val="left"/>
      <w:pPr>
        <w:ind w:left="3684" w:hanging="247"/>
      </w:pPr>
      <w:rPr>
        <w:rFonts w:hint="default"/>
      </w:rPr>
    </w:lvl>
    <w:lvl w:ilvl="5">
      <w:start w:val="1"/>
      <w:numFmt w:val="bullet"/>
      <w:lvlText w:val="•"/>
      <w:lvlJc w:val="left"/>
      <w:pPr>
        <w:ind w:left="4580" w:hanging="247"/>
      </w:pPr>
      <w:rPr>
        <w:rFonts w:hint="default"/>
      </w:rPr>
    </w:lvl>
    <w:lvl w:ilvl="6">
      <w:start w:val="1"/>
      <w:numFmt w:val="bullet"/>
      <w:lvlText w:val="•"/>
      <w:lvlJc w:val="left"/>
      <w:pPr>
        <w:ind w:left="5476" w:hanging="247"/>
      </w:pPr>
      <w:rPr>
        <w:rFonts w:hint="default"/>
      </w:rPr>
    </w:lvl>
    <w:lvl w:ilvl="7">
      <w:start w:val="1"/>
      <w:numFmt w:val="bullet"/>
      <w:lvlText w:val="•"/>
      <w:lvlJc w:val="left"/>
      <w:pPr>
        <w:ind w:left="6372" w:hanging="247"/>
      </w:pPr>
      <w:rPr>
        <w:rFonts w:hint="default"/>
      </w:rPr>
    </w:lvl>
    <w:lvl w:ilvl="8">
      <w:start w:val="1"/>
      <w:numFmt w:val="bullet"/>
      <w:lvlText w:val="•"/>
      <w:lvlJc w:val="left"/>
      <w:pPr>
        <w:ind w:left="7268" w:hanging="247"/>
      </w:pPr>
      <w:rPr>
        <w:rFonts w:hint="default"/>
      </w:rPr>
    </w:lvl>
  </w:abstractNum>
  <w:abstractNum w:abstractNumId="372">
    <w:multiLevelType w:val="hybridMultilevel"/>
    <w:lvl w:ilvl="0">
      <w:start w:val="1"/>
      <w:numFmt w:val="bullet"/>
      <w:lvlText w:val="-"/>
      <w:lvlJc w:val="left"/>
      <w:pPr>
        <w:ind w:left="236" w:hanging="135"/>
      </w:pPr>
      <w:rPr>
        <w:rFonts w:hint="default" w:ascii="Arial" w:hAnsi="Arial" w:eastAsia="Arial" w:cs="Arial"/>
        <w:w w:val="100"/>
        <w:sz w:val="22"/>
        <w:szCs w:val="22"/>
      </w:rPr>
    </w:lvl>
    <w:lvl w:ilvl="1">
      <w:start w:val="1"/>
      <w:numFmt w:val="bullet"/>
      <w:lvlText w:val="•"/>
      <w:lvlJc w:val="left"/>
      <w:pPr>
        <w:ind w:left="1122" w:hanging="135"/>
      </w:pPr>
      <w:rPr>
        <w:rFonts w:hint="default"/>
      </w:rPr>
    </w:lvl>
    <w:lvl w:ilvl="2">
      <w:start w:val="1"/>
      <w:numFmt w:val="bullet"/>
      <w:lvlText w:val="•"/>
      <w:lvlJc w:val="left"/>
      <w:pPr>
        <w:ind w:left="2004" w:hanging="135"/>
      </w:pPr>
      <w:rPr>
        <w:rFonts w:hint="default"/>
      </w:rPr>
    </w:lvl>
    <w:lvl w:ilvl="3">
      <w:start w:val="1"/>
      <w:numFmt w:val="bullet"/>
      <w:lvlText w:val="•"/>
      <w:lvlJc w:val="left"/>
      <w:pPr>
        <w:ind w:left="2886" w:hanging="135"/>
      </w:pPr>
      <w:rPr>
        <w:rFonts w:hint="default"/>
      </w:rPr>
    </w:lvl>
    <w:lvl w:ilvl="4">
      <w:start w:val="1"/>
      <w:numFmt w:val="bullet"/>
      <w:lvlText w:val="•"/>
      <w:lvlJc w:val="left"/>
      <w:pPr>
        <w:ind w:left="3768" w:hanging="135"/>
      </w:pPr>
      <w:rPr>
        <w:rFonts w:hint="default"/>
      </w:rPr>
    </w:lvl>
    <w:lvl w:ilvl="5">
      <w:start w:val="1"/>
      <w:numFmt w:val="bullet"/>
      <w:lvlText w:val="•"/>
      <w:lvlJc w:val="left"/>
      <w:pPr>
        <w:ind w:left="4650" w:hanging="135"/>
      </w:pPr>
      <w:rPr>
        <w:rFonts w:hint="default"/>
      </w:rPr>
    </w:lvl>
    <w:lvl w:ilvl="6">
      <w:start w:val="1"/>
      <w:numFmt w:val="bullet"/>
      <w:lvlText w:val="•"/>
      <w:lvlJc w:val="left"/>
      <w:pPr>
        <w:ind w:left="5532" w:hanging="135"/>
      </w:pPr>
      <w:rPr>
        <w:rFonts w:hint="default"/>
      </w:rPr>
    </w:lvl>
    <w:lvl w:ilvl="7">
      <w:start w:val="1"/>
      <w:numFmt w:val="bullet"/>
      <w:lvlText w:val="•"/>
      <w:lvlJc w:val="left"/>
      <w:pPr>
        <w:ind w:left="6414" w:hanging="135"/>
      </w:pPr>
      <w:rPr>
        <w:rFonts w:hint="default"/>
      </w:rPr>
    </w:lvl>
    <w:lvl w:ilvl="8">
      <w:start w:val="1"/>
      <w:numFmt w:val="bullet"/>
      <w:lvlText w:val="•"/>
      <w:lvlJc w:val="left"/>
      <w:pPr>
        <w:ind w:left="7296" w:hanging="135"/>
      </w:pPr>
      <w:rPr>
        <w:rFonts w:hint="default"/>
      </w:rPr>
    </w:lvl>
  </w:abstractNum>
  <w:abstractNum w:abstractNumId="371">
    <w:multiLevelType w:val="hybridMultilevel"/>
    <w:lvl w:ilvl="0">
      <w:start w:val="1"/>
      <w:numFmt w:val="bullet"/>
      <w:lvlText w:val="•"/>
      <w:lvlJc w:val="left"/>
      <w:pPr>
        <w:ind w:left="102" w:hanging="708"/>
      </w:pPr>
      <w:rPr>
        <w:rFonts w:hint="default" w:ascii="Arial" w:hAnsi="Arial" w:eastAsia="Arial" w:cs="Arial"/>
        <w:w w:val="100"/>
        <w:sz w:val="22"/>
        <w:szCs w:val="22"/>
      </w:rPr>
    </w:lvl>
    <w:lvl w:ilvl="1">
      <w:start w:val="1"/>
      <w:numFmt w:val="bullet"/>
      <w:lvlText w:val="•"/>
      <w:lvlJc w:val="left"/>
      <w:pPr>
        <w:ind w:left="996" w:hanging="708"/>
      </w:pPr>
      <w:rPr>
        <w:rFonts w:hint="default"/>
      </w:rPr>
    </w:lvl>
    <w:lvl w:ilvl="2">
      <w:start w:val="1"/>
      <w:numFmt w:val="bullet"/>
      <w:lvlText w:val="•"/>
      <w:lvlJc w:val="left"/>
      <w:pPr>
        <w:ind w:left="1892" w:hanging="708"/>
      </w:pPr>
      <w:rPr>
        <w:rFonts w:hint="default"/>
      </w:rPr>
    </w:lvl>
    <w:lvl w:ilvl="3">
      <w:start w:val="1"/>
      <w:numFmt w:val="bullet"/>
      <w:lvlText w:val="•"/>
      <w:lvlJc w:val="left"/>
      <w:pPr>
        <w:ind w:left="2788" w:hanging="708"/>
      </w:pPr>
      <w:rPr>
        <w:rFonts w:hint="default"/>
      </w:rPr>
    </w:lvl>
    <w:lvl w:ilvl="4">
      <w:start w:val="1"/>
      <w:numFmt w:val="bullet"/>
      <w:lvlText w:val="•"/>
      <w:lvlJc w:val="left"/>
      <w:pPr>
        <w:ind w:left="3684" w:hanging="708"/>
      </w:pPr>
      <w:rPr>
        <w:rFonts w:hint="default"/>
      </w:rPr>
    </w:lvl>
    <w:lvl w:ilvl="5">
      <w:start w:val="1"/>
      <w:numFmt w:val="bullet"/>
      <w:lvlText w:val="•"/>
      <w:lvlJc w:val="left"/>
      <w:pPr>
        <w:ind w:left="4580" w:hanging="708"/>
      </w:pPr>
      <w:rPr>
        <w:rFonts w:hint="default"/>
      </w:rPr>
    </w:lvl>
    <w:lvl w:ilvl="6">
      <w:start w:val="1"/>
      <w:numFmt w:val="bullet"/>
      <w:lvlText w:val="•"/>
      <w:lvlJc w:val="left"/>
      <w:pPr>
        <w:ind w:left="5476" w:hanging="708"/>
      </w:pPr>
      <w:rPr>
        <w:rFonts w:hint="default"/>
      </w:rPr>
    </w:lvl>
    <w:lvl w:ilvl="7">
      <w:start w:val="1"/>
      <w:numFmt w:val="bullet"/>
      <w:lvlText w:val="•"/>
      <w:lvlJc w:val="left"/>
      <w:pPr>
        <w:ind w:left="6372" w:hanging="708"/>
      </w:pPr>
      <w:rPr>
        <w:rFonts w:hint="default"/>
      </w:rPr>
    </w:lvl>
    <w:lvl w:ilvl="8">
      <w:start w:val="1"/>
      <w:numFmt w:val="bullet"/>
      <w:lvlText w:val="•"/>
      <w:lvlJc w:val="left"/>
      <w:pPr>
        <w:ind w:left="7268" w:hanging="708"/>
      </w:pPr>
      <w:rPr>
        <w:rFonts w:hint="default"/>
      </w:rPr>
    </w:lvl>
  </w:abstractNum>
  <w:abstractNum w:abstractNumId="370">
    <w:multiLevelType w:val="hybridMultilevel"/>
    <w:lvl w:ilvl="0">
      <w:start w:val="1"/>
      <w:numFmt w:val="decimal"/>
      <w:lvlText w:val="%1."/>
      <w:lvlJc w:val="left"/>
      <w:pPr>
        <w:ind w:left="102" w:hanging="286"/>
        <w:jc w:val="left"/>
      </w:pPr>
      <w:rPr>
        <w:rFonts w:hint="default" w:ascii="Arial" w:hAnsi="Arial" w:eastAsia="Arial" w:cs="Arial"/>
        <w:w w:val="100"/>
        <w:sz w:val="22"/>
        <w:szCs w:val="22"/>
      </w:rPr>
    </w:lvl>
    <w:lvl w:ilvl="1">
      <w:start w:val="1"/>
      <w:numFmt w:val="bullet"/>
      <w:lvlText w:val="•"/>
      <w:lvlJc w:val="left"/>
      <w:pPr>
        <w:ind w:left="996" w:hanging="286"/>
      </w:pPr>
      <w:rPr>
        <w:rFonts w:hint="default"/>
      </w:rPr>
    </w:lvl>
    <w:lvl w:ilvl="2">
      <w:start w:val="1"/>
      <w:numFmt w:val="bullet"/>
      <w:lvlText w:val="•"/>
      <w:lvlJc w:val="left"/>
      <w:pPr>
        <w:ind w:left="1892" w:hanging="286"/>
      </w:pPr>
      <w:rPr>
        <w:rFonts w:hint="default"/>
      </w:rPr>
    </w:lvl>
    <w:lvl w:ilvl="3">
      <w:start w:val="1"/>
      <w:numFmt w:val="bullet"/>
      <w:lvlText w:val="•"/>
      <w:lvlJc w:val="left"/>
      <w:pPr>
        <w:ind w:left="2788" w:hanging="286"/>
      </w:pPr>
      <w:rPr>
        <w:rFonts w:hint="default"/>
      </w:rPr>
    </w:lvl>
    <w:lvl w:ilvl="4">
      <w:start w:val="1"/>
      <w:numFmt w:val="bullet"/>
      <w:lvlText w:val="•"/>
      <w:lvlJc w:val="left"/>
      <w:pPr>
        <w:ind w:left="3684" w:hanging="286"/>
      </w:pPr>
      <w:rPr>
        <w:rFonts w:hint="default"/>
      </w:rPr>
    </w:lvl>
    <w:lvl w:ilvl="5">
      <w:start w:val="1"/>
      <w:numFmt w:val="bullet"/>
      <w:lvlText w:val="•"/>
      <w:lvlJc w:val="left"/>
      <w:pPr>
        <w:ind w:left="4580" w:hanging="286"/>
      </w:pPr>
      <w:rPr>
        <w:rFonts w:hint="default"/>
      </w:rPr>
    </w:lvl>
    <w:lvl w:ilvl="6">
      <w:start w:val="1"/>
      <w:numFmt w:val="bullet"/>
      <w:lvlText w:val="•"/>
      <w:lvlJc w:val="left"/>
      <w:pPr>
        <w:ind w:left="5476" w:hanging="286"/>
      </w:pPr>
      <w:rPr>
        <w:rFonts w:hint="default"/>
      </w:rPr>
    </w:lvl>
    <w:lvl w:ilvl="7">
      <w:start w:val="1"/>
      <w:numFmt w:val="bullet"/>
      <w:lvlText w:val="•"/>
      <w:lvlJc w:val="left"/>
      <w:pPr>
        <w:ind w:left="6372" w:hanging="286"/>
      </w:pPr>
      <w:rPr>
        <w:rFonts w:hint="default"/>
      </w:rPr>
    </w:lvl>
    <w:lvl w:ilvl="8">
      <w:start w:val="1"/>
      <w:numFmt w:val="bullet"/>
      <w:lvlText w:val="•"/>
      <w:lvlJc w:val="left"/>
      <w:pPr>
        <w:ind w:left="7268" w:hanging="286"/>
      </w:pPr>
      <w:rPr>
        <w:rFonts w:hint="default"/>
      </w:rPr>
    </w:lvl>
  </w:abstractNum>
  <w:abstractNum w:abstractNumId="369">
    <w:multiLevelType w:val="hybridMultilevel"/>
    <w:lvl w:ilvl="0">
      <w:start w:val="1"/>
      <w:numFmt w:val="decimal"/>
      <w:lvlText w:val="%1."/>
      <w:lvlJc w:val="left"/>
      <w:pPr>
        <w:ind w:left="102" w:hanging="248"/>
        <w:jc w:val="left"/>
      </w:pPr>
      <w:rPr>
        <w:rFonts w:hint="default" w:ascii="Arial" w:hAnsi="Arial" w:eastAsia="Arial" w:cs="Arial"/>
        <w:w w:val="100"/>
        <w:sz w:val="22"/>
        <w:szCs w:val="22"/>
      </w:rPr>
    </w:lvl>
    <w:lvl w:ilvl="1">
      <w:start w:val="1"/>
      <w:numFmt w:val="bullet"/>
      <w:lvlText w:val="•"/>
      <w:lvlJc w:val="left"/>
      <w:pPr>
        <w:ind w:left="996" w:hanging="248"/>
      </w:pPr>
      <w:rPr>
        <w:rFonts w:hint="default"/>
      </w:rPr>
    </w:lvl>
    <w:lvl w:ilvl="2">
      <w:start w:val="1"/>
      <w:numFmt w:val="bullet"/>
      <w:lvlText w:val="•"/>
      <w:lvlJc w:val="left"/>
      <w:pPr>
        <w:ind w:left="1892" w:hanging="248"/>
      </w:pPr>
      <w:rPr>
        <w:rFonts w:hint="default"/>
      </w:rPr>
    </w:lvl>
    <w:lvl w:ilvl="3">
      <w:start w:val="1"/>
      <w:numFmt w:val="bullet"/>
      <w:lvlText w:val="•"/>
      <w:lvlJc w:val="left"/>
      <w:pPr>
        <w:ind w:left="2788" w:hanging="248"/>
      </w:pPr>
      <w:rPr>
        <w:rFonts w:hint="default"/>
      </w:rPr>
    </w:lvl>
    <w:lvl w:ilvl="4">
      <w:start w:val="1"/>
      <w:numFmt w:val="bullet"/>
      <w:lvlText w:val="•"/>
      <w:lvlJc w:val="left"/>
      <w:pPr>
        <w:ind w:left="3684" w:hanging="248"/>
      </w:pPr>
      <w:rPr>
        <w:rFonts w:hint="default"/>
      </w:rPr>
    </w:lvl>
    <w:lvl w:ilvl="5">
      <w:start w:val="1"/>
      <w:numFmt w:val="bullet"/>
      <w:lvlText w:val="•"/>
      <w:lvlJc w:val="left"/>
      <w:pPr>
        <w:ind w:left="4580" w:hanging="248"/>
      </w:pPr>
      <w:rPr>
        <w:rFonts w:hint="default"/>
      </w:rPr>
    </w:lvl>
    <w:lvl w:ilvl="6">
      <w:start w:val="1"/>
      <w:numFmt w:val="bullet"/>
      <w:lvlText w:val="•"/>
      <w:lvlJc w:val="left"/>
      <w:pPr>
        <w:ind w:left="5476" w:hanging="248"/>
      </w:pPr>
      <w:rPr>
        <w:rFonts w:hint="default"/>
      </w:rPr>
    </w:lvl>
    <w:lvl w:ilvl="7">
      <w:start w:val="1"/>
      <w:numFmt w:val="bullet"/>
      <w:lvlText w:val="•"/>
      <w:lvlJc w:val="left"/>
      <w:pPr>
        <w:ind w:left="6372" w:hanging="248"/>
      </w:pPr>
      <w:rPr>
        <w:rFonts w:hint="default"/>
      </w:rPr>
    </w:lvl>
    <w:lvl w:ilvl="8">
      <w:start w:val="1"/>
      <w:numFmt w:val="bullet"/>
      <w:lvlText w:val="•"/>
      <w:lvlJc w:val="left"/>
      <w:pPr>
        <w:ind w:left="7268" w:hanging="248"/>
      </w:pPr>
      <w:rPr>
        <w:rFonts w:hint="default"/>
      </w:rPr>
    </w:lvl>
  </w:abstractNum>
  <w:abstractNum w:abstractNumId="368">
    <w:multiLevelType w:val="hybridMultilevel"/>
    <w:lvl w:ilvl="0">
      <w:start w:val="1"/>
      <w:numFmt w:val="lowerLetter"/>
      <w:lvlText w:val="%1)"/>
      <w:lvlJc w:val="left"/>
      <w:pPr>
        <w:ind w:left="102" w:hanging="257"/>
        <w:jc w:val="left"/>
      </w:pPr>
      <w:rPr>
        <w:rFonts w:hint="default" w:ascii="Arial" w:hAnsi="Arial" w:eastAsia="Arial" w:cs="Arial"/>
        <w:w w:val="100"/>
        <w:sz w:val="22"/>
        <w:szCs w:val="22"/>
      </w:rPr>
    </w:lvl>
    <w:lvl w:ilvl="1">
      <w:start w:val="1"/>
      <w:numFmt w:val="bullet"/>
      <w:lvlText w:val="•"/>
      <w:lvlJc w:val="left"/>
      <w:pPr>
        <w:ind w:left="996" w:hanging="257"/>
      </w:pPr>
      <w:rPr>
        <w:rFonts w:hint="default"/>
      </w:rPr>
    </w:lvl>
    <w:lvl w:ilvl="2">
      <w:start w:val="1"/>
      <w:numFmt w:val="bullet"/>
      <w:lvlText w:val="•"/>
      <w:lvlJc w:val="left"/>
      <w:pPr>
        <w:ind w:left="1892" w:hanging="257"/>
      </w:pPr>
      <w:rPr>
        <w:rFonts w:hint="default"/>
      </w:rPr>
    </w:lvl>
    <w:lvl w:ilvl="3">
      <w:start w:val="1"/>
      <w:numFmt w:val="bullet"/>
      <w:lvlText w:val="•"/>
      <w:lvlJc w:val="left"/>
      <w:pPr>
        <w:ind w:left="2788" w:hanging="257"/>
      </w:pPr>
      <w:rPr>
        <w:rFonts w:hint="default"/>
      </w:rPr>
    </w:lvl>
    <w:lvl w:ilvl="4">
      <w:start w:val="1"/>
      <w:numFmt w:val="bullet"/>
      <w:lvlText w:val="•"/>
      <w:lvlJc w:val="left"/>
      <w:pPr>
        <w:ind w:left="3684" w:hanging="257"/>
      </w:pPr>
      <w:rPr>
        <w:rFonts w:hint="default"/>
      </w:rPr>
    </w:lvl>
    <w:lvl w:ilvl="5">
      <w:start w:val="1"/>
      <w:numFmt w:val="bullet"/>
      <w:lvlText w:val="•"/>
      <w:lvlJc w:val="left"/>
      <w:pPr>
        <w:ind w:left="4580" w:hanging="257"/>
      </w:pPr>
      <w:rPr>
        <w:rFonts w:hint="default"/>
      </w:rPr>
    </w:lvl>
    <w:lvl w:ilvl="6">
      <w:start w:val="1"/>
      <w:numFmt w:val="bullet"/>
      <w:lvlText w:val="•"/>
      <w:lvlJc w:val="left"/>
      <w:pPr>
        <w:ind w:left="5476" w:hanging="257"/>
      </w:pPr>
      <w:rPr>
        <w:rFonts w:hint="default"/>
      </w:rPr>
    </w:lvl>
    <w:lvl w:ilvl="7">
      <w:start w:val="1"/>
      <w:numFmt w:val="bullet"/>
      <w:lvlText w:val="•"/>
      <w:lvlJc w:val="left"/>
      <w:pPr>
        <w:ind w:left="6372" w:hanging="257"/>
      </w:pPr>
      <w:rPr>
        <w:rFonts w:hint="default"/>
      </w:rPr>
    </w:lvl>
    <w:lvl w:ilvl="8">
      <w:start w:val="1"/>
      <w:numFmt w:val="bullet"/>
      <w:lvlText w:val="•"/>
      <w:lvlJc w:val="left"/>
      <w:pPr>
        <w:ind w:left="7268" w:hanging="257"/>
      </w:pPr>
      <w:rPr>
        <w:rFonts w:hint="default"/>
      </w:rPr>
    </w:lvl>
  </w:abstractNum>
  <w:abstractNum w:abstractNumId="367">
    <w:multiLevelType w:val="hybridMultilevel"/>
    <w:lvl w:ilvl="0">
      <w:start w:val="10"/>
      <w:numFmt w:val="decimal"/>
      <w:lvlText w:val="%1"/>
      <w:lvlJc w:val="left"/>
      <w:pPr>
        <w:ind w:left="102" w:hanging="554"/>
        <w:jc w:val="left"/>
      </w:pPr>
      <w:rPr>
        <w:rFonts w:hint="default"/>
      </w:rPr>
    </w:lvl>
    <w:lvl w:ilvl="1">
      <w:start w:val="1"/>
      <w:numFmt w:val="decimal"/>
      <w:lvlText w:val="%1.%2."/>
      <w:lvlJc w:val="left"/>
      <w:pPr>
        <w:ind w:left="102" w:hanging="554"/>
        <w:jc w:val="right"/>
      </w:pPr>
      <w:rPr>
        <w:rFonts w:hint="default" w:ascii="Arial" w:hAnsi="Arial" w:eastAsia="Arial" w:cs="Arial"/>
        <w:b/>
        <w:bCs/>
        <w:spacing w:val="-1"/>
        <w:w w:val="100"/>
        <w:sz w:val="22"/>
        <w:szCs w:val="22"/>
      </w:rPr>
    </w:lvl>
    <w:lvl w:ilvl="2">
      <w:start w:val="1"/>
      <w:numFmt w:val="bullet"/>
      <w:lvlText w:val="•"/>
      <w:lvlJc w:val="left"/>
      <w:pPr>
        <w:ind w:left="1892" w:hanging="554"/>
      </w:pPr>
      <w:rPr>
        <w:rFonts w:hint="default"/>
      </w:rPr>
    </w:lvl>
    <w:lvl w:ilvl="3">
      <w:start w:val="1"/>
      <w:numFmt w:val="bullet"/>
      <w:lvlText w:val="•"/>
      <w:lvlJc w:val="left"/>
      <w:pPr>
        <w:ind w:left="2788" w:hanging="554"/>
      </w:pPr>
      <w:rPr>
        <w:rFonts w:hint="default"/>
      </w:rPr>
    </w:lvl>
    <w:lvl w:ilvl="4">
      <w:start w:val="1"/>
      <w:numFmt w:val="bullet"/>
      <w:lvlText w:val="•"/>
      <w:lvlJc w:val="left"/>
      <w:pPr>
        <w:ind w:left="3684" w:hanging="554"/>
      </w:pPr>
      <w:rPr>
        <w:rFonts w:hint="default"/>
      </w:rPr>
    </w:lvl>
    <w:lvl w:ilvl="5">
      <w:start w:val="1"/>
      <w:numFmt w:val="bullet"/>
      <w:lvlText w:val="•"/>
      <w:lvlJc w:val="left"/>
      <w:pPr>
        <w:ind w:left="4580" w:hanging="554"/>
      </w:pPr>
      <w:rPr>
        <w:rFonts w:hint="default"/>
      </w:rPr>
    </w:lvl>
    <w:lvl w:ilvl="6">
      <w:start w:val="1"/>
      <w:numFmt w:val="bullet"/>
      <w:lvlText w:val="•"/>
      <w:lvlJc w:val="left"/>
      <w:pPr>
        <w:ind w:left="5476" w:hanging="554"/>
      </w:pPr>
      <w:rPr>
        <w:rFonts w:hint="default"/>
      </w:rPr>
    </w:lvl>
    <w:lvl w:ilvl="7">
      <w:start w:val="1"/>
      <w:numFmt w:val="bullet"/>
      <w:lvlText w:val="•"/>
      <w:lvlJc w:val="left"/>
      <w:pPr>
        <w:ind w:left="6372" w:hanging="554"/>
      </w:pPr>
      <w:rPr>
        <w:rFonts w:hint="default"/>
      </w:rPr>
    </w:lvl>
    <w:lvl w:ilvl="8">
      <w:start w:val="1"/>
      <w:numFmt w:val="bullet"/>
      <w:lvlText w:val="•"/>
      <w:lvlJc w:val="left"/>
      <w:pPr>
        <w:ind w:left="7268" w:hanging="554"/>
      </w:pPr>
      <w:rPr>
        <w:rFonts w:hint="default"/>
      </w:rPr>
    </w:lvl>
  </w:abstractNum>
  <w:abstractNum w:abstractNumId="366">
    <w:multiLevelType w:val="hybridMultilevel"/>
    <w:lvl w:ilvl="0">
      <w:start w:val="9"/>
      <w:numFmt w:val="upperRoman"/>
      <w:lvlText w:val="%1."/>
      <w:lvlJc w:val="left"/>
      <w:pPr>
        <w:ind w:left="102" w:hanging="336"/>
        <w:jc w:val="left"/>
      </w:pPr>
      <w:rPr>
        <w:rFonts w:hint="default" w:ascii="Arial" w:hAnsi="Arial" w:eastAsia="Arial" w:cs="Arial"/>
        <w:b/>
        <w:bCs/>
        <w:spacing w:val="-1"/>
        <w:w w:val="100"/>
        <w:sz w:val="22"/>
        <w:szCs w:val="22"/>
      </w:rPr>
    </w:lvl>
    <w:lvl w:ilvl="1">
      <w:start w:val="1"/>
      <w:numFmt w:val="bullet"/>
      <w:lvlText w:val="•"/>
      <w:lvlJc w:val="left"/>
      <w:pPr>
        <w:ind w:left="996" w:hanging="336"/>
      </w:pPr>
      <w:rPr>
        <w:rFonts w:hint="default"/>
      </w:rPr>
    </w:lvl>
    <w:lvl w:ilvl="2">
      <w:start w:val="1"/>
      <w:numFmt w:val="bullet"/>
      <w:lvlText w:val="•"/>
      <w:lvlJc w:val="left"/>
      <w:pPr>
        <w:ind w:left="1892" w:hanging="336"/>
      </w:pPr>
      <w:rPr>
        <w:rFonts w:hint="default"/>
      </w:rPr>
    </w:lvl>
    <w:lvl w:ilvl="3">
      <w:start w:val="1"/>
      <w:numFmt w:val="bullet"/>
      <w:lvlText w:val="•"/>
      <w:lvlJc w:val="left"/>
      <w:pPr>
        <w:ind w:left="2788" w:hanging="336"/>
      </w:pPr>
      <w:rPr>
        <w:rFonts w:hint="default"/>
      </w:rPr>
    </w:lvl>
    <w:lvl w:ilvl="4">
      <w:start w:val="1"/>
      <w:numFmt w:val="bullet"/>
      <w:lvlText w:val="•"/>
      <w:lvlJc w:val="left"/>
      <w:pPr>
        <w:ind w:left="3684" w:hanging="336"/>
      </w:pPr>
      <w:rPr>
        <w:rFonts w:hint="default"/>
      </w:rPr>
    </w:lvl>
    <w:lvl w:ilvl="5">
      <w:start w:val="1"/>
      <w:numFmt w:val="bullet"/>
      <w:lvlText w:val="•"/>
      <w:lvlJc w:val="left"/>
      <w:pPr>
        <w:ind w:left="4580" w:hanging="336"/>
      </w:pPr>
      <w:rPr>
        <w:rFonts w:hint="default"/>
      </w:rPr>
    </w:lvl>
    <w:lvl w:ilvl="6">
      <w:start w:val="1"/>
      <w:numFmt w:val="bullet"/>
      <w:lvlText w:val="•"/>
      <w:lvlJc w:val="left"/>
      <w:pPr>
        <w:ind w:left="5476" w:hanging="336"/>
      </w:pPr>
      <w:rPr>
        <w:rFonts w:hint="default"/>
      </w:rPr>
    </w:lvl>
    <w:lvl w:ilvl="7">
      <w:start w:val="1"/>
      <w:numFmt w:val="bullet"/>
      <w:lvlText w:val="•"/>
      <w:lvlJc w:val="left"/>
      <w:pPr>
        <w:ind w:left="6372" w:hanging="336"/>
      </w:pPr>
      <w:rPr>
        <w:rFonts w:hint="default"/>
      </w:rPr>
    </w:lvl>
    <w:lvl w:ilvl="8">
      <w:start w:val="1"/>
      <w:numFmt w:val="bullet"/>
      <w:lvlText w:val="•"/>
      <w:lvlJc w:val="left"/>
      <w:pPr>
        <w:ind w:left="7268" w:hanging="336"/>
      </w:pPr>
      <w:rPr>
        <w:rFonts w:hint="default"/>
      </w:rPr>
    </w:lvl>
  </w:abstractNum>
  <w:abstractNum w:abstractNumId="365">
    <w:multiLevelType w:val="hybridMultilevel"/>
    <w:lvl w:ilvl="0">
      <w:start w:val="6"/>
      <w:numFmt w:val="lowerLetter"/>
      <w:lvlText w:val="%1)"/>
      <w:lvlJc w:val="left"/>
      <w:pPr>
        <w:ind w:left="102" w:hanging="221"/>
        <w:jc w:val="left"/>
      </w:pPr>
      <w:rPr>
        <w:rFonts w:hint="default" w:ascii="Arial" w:hAnsi="Arial" w:eastAsia="Arial" w:cs="Arial"/>
        <w:w w:val="100"/>
        <w:sz w:val="22"/>
        <w:szCs w:val="22"/>
      </w:rPr>
    </w:lvl>
    <w:lvl w:ilvl="1">
      <w:start w:val="1"/>
      <w:numFmt w:val="bullet"/>
      <w:lvlText w:val="•"/>
      <w:lvlJc w:val="left"/>
      <w:pPr>
        <w:ind w:left="996" w:hanging="221"/>
      </w:pPr>
      <w:rPr>
        <w:rFonts w:hint="default"/>
      </w:rPr>
    </w:lvl>
    <w:lvl w:ilvl="2">
      <w:start w:val="1"/>
      <w:numFmt w:val="bullet"/>
      <w:lvlText w:val="•"/>
      <w:lvlJc w:val="left"/>
      <w:pPr>
        <w:ind w:left="1892" w:hanging="221"/>
      </w:pPr>
      <w:rPr>
        <w:rFonts w:hint="default"/>
      </w:rPr>
    </w:lvl>
    <w:lvl w:ilvl="3">
      <w:start w:val="1"/>
      <w:numFmt w:val="bullet"/>
      <w:lvlText w:val="•"/>
      <w:lvlJc w:val="left"/>
      <w:pPr>
        <w:ind w:left="2788" w:hanging="221"/>
      </w:pPr>
      <w:rPr>
        <w:rFonts w:hint="default"/>
      </w:rPr>
    </w:lvl>
    <w:lvl w:ilvl="4">
      <w:start w:val="1"/>
      <w:numFmt w:val="bullet"/>
      <w:lvlText w:val="•"/>
      <w:lvlJc w:val="left"/>
      <w:pPr>
        <w:ind w:left="3684" w:hanging="221"/>
      </w:pPr>
      <w:rPr>
        <w:rFonts w:hint="default"/>
      </w:rPr>
    </w:lvl>
    <w:lvl w:ilvl="5">
      <w:start w:val="1"/>
      <w:numFmt w:val="bullet"/>
      <w:lvlText w:val="•"/>
      <w:lvlJc w:val="left"/>
      <w:pPr>
        <w:ind w:left="4580" w:hanging="221"/>
      </w:pPr>
      <w:rPr>
        <w:rFonts w:hint="default"/>
      </w:rPr>
    </w:lvl>
    <w:lvl w:ilvl="6">
      <w:start w:val="1"/>
      <w:numFmt w:val="bullet"/>
      <w:lvlText w:val="•"/>
      <w:lvlJc w:val="left"/>
      <w:pPr>
        <w:ind w:left="5476" w:hanging="221"/>
      </w:pPr>
      <w:rPr>
        <w:rFonts w:hint="default"/>
      </w:rPr>
    </w:lvl>
    <w:lvl w:ilvl="7">
      <w:start w:val="1"/>
      <w:numFmt w:val="bullet"/>
      <w:lvlText w:val="•"/>
      <w:lvlJc w:val="left"/>
      <w:pPr>
        <w:ind w:left="6372" w:hanging="221"/>
      </w:pPr>
      <w:rPr>
        <w:rFonts w:hint="default"/>
      </w:rPr>
    </w:lvl>
    <w:lvl w:ilvl="8">
      <w:start w:val="1"/>
      <w:numFmt w:val="bullet"/>
      <w:lvlText w:val="•"/>
      <w:lvlJc w:val="left"/>
      <w:pPr>
        <w:ind w:left="7268" w:hanging="221"/>
      </w:pPr>
      <w:rPr>
        <w:rFonts w:hint="default"/>
      </w:rPr>
    </w:lvl>
  </w:abstractNum>
  <w:abstractNum w:abstractNumId="364">
    <w:multiLevelType w:val="hybridMultilevel"/>
    <w:lvl w:ilvl="0">
      <w:start w:val="1"/>
      <w:numFmt w:val="lowerLetter"/>
      <w:lvlText w:val="%1)."/>
      <w:lvlJc w:val="left"/>
      <w:pPr>
        <w:ind w:left="102" w:hanging="346"/>
        <w:jc w:val="left"/>
      </w:pPr>
      <w:rPr>
        <w:rFonts w:hint="default" w:ascii="Arial" w:hAnsi="Arial" w:eastAsia="Arial" w:cs="Arial"/>
        <w:w w:val="100"/>
        <w:sz w:val="22"/>
        <w:szCs w:val="22"/>
      </w:rPr>
    </w:lvl>
    <w:lvl w:ilvl="1">
      <w:start w:val="1"/>
      <w:numFmt w:val="bullet"/>
      <w:lvlText w:val="•"/>
      <w:lvlJc w:val="left"/>
      <w:pPr>
        <w:ind w:left="996" w:hanging="346"/>
      </w:pPr>
      <w:rPr>
        <w:rFonts w:hint="default"/>
      </w:rPr>
    </w:lvl>
    <w:lvl w:ilvl="2">
      <w:start w:val="1"/>
      <w:numFmt w:val="bullet"/>
      <w:lvlText w:val="•"/>
      <w:lvlJc w:val="left"/>
      <w:pPr>
        <w:ind w:left="1892" w:hanging="346"/>
      </w:pPr>
      <w:rPr>
        <w:rFonts w:hint="default"/>
      </w:rPr>
    </w:lvl>
    <w:lvl w:ilvl="3">
      <w:start w:val="1"/>
      <w:numFmt w:val="bullet"/>
      <w:lvlText w:val="•"/>
      <w:lvlJc w:val="left"/>
      <w:pPr>
        <w:ind w:left="2788" w:hanging="346"/>
      </w:pPr>
      <w:rPr>
        <w:rFonts w:hint="default"/>
      </w:rPr>
    </w:lvl>
    <w:lvl w:ilvl="4">
      <w:start w:val="1"/>
      <w:numFmt w:val="bullet"/>
      <w:lvlText w:val="•"/>
      <w:lvlJc w:val="left"/>
      <w:pPr>
        <w:ind w:left="3684" w:hanging="346"/>
      </w:pPr>
      <w:rPr>
        <w:rFonts w:hint="default"/>
      </w:rPr>
    </w:lvl>
    <w:lvl w:ilvl="5">
      <w:start w:val="1"/>
      <w:numFmt w:val="bullet"/>
      <w:lvlText w:val="•"/>
      <w:lvlJc w:val="left"/>
      <w:pPr>
        <w:ind w:left="4580" w:hanging="346"/>
      </w:pPr>
      <w:rPr>
        <w:rFonts w:hint="default"/>
      </w:rPr>
    </w:lvl>
    <w:lvl w:ilvl="6">
      <w:start w:val="1"/>
      <w:numFmt w:val="bullet"/>
      <w:lvlText w:val="•"/>
      <w:lvlJc w:val="left"/>
      <w:pPr>
        <w:ind w:left="5476" w:hanging="346"/>
      </w:pPr>
      <w:rPr>
        <w:rFonts w:hint="default"/>
      </w:rPr>
    </w:lvl>
    <w:lvl w:ilvl="7">
      <w:start w:val="1"/>
      <w:numFmt w:val="bullet"/>
      <w:lvlText w:val="•"/>
      <w:lvlJc w:val="left"/>
      <w:pPr>
        <w:ind w:left="6372" w:hanging="346"/>
      </w:pPr>
      <w:rPr>
        <w:rFonts w:hint="default"/>
      </w:rPr>
    </w:lvl>
    <w:lvl w:ilvl="8">
      <w:start w:val="1"/>
      <w:numFmt w:val="bullet"/>
      <w:lvlText w:val="•"/>
      <w:lvlJc w:val="left"/>
      <w:pPr>
        <w:ind w:left="7268" w:hanging="346"/>
      </w:pPr>
      <w:rPr>
        <w:rFonts w:hint="default"/>
      </w:rPr>
    </w:lvl>
  </w:abstractNum>
  <w:abstractNum w:abstractNumId="363">
    <w:multiLevelType w:val="hybridMultilevel"/>
    <w:lvl w:ilvl="0">
      <w:start w:val="17"/>
      <w:numFmt w:val="upperRoman"/>
      <w:lvlText w:val="%1."/>
      <w:lvlJc w:val="left"/>
      <w:pPr>
        <w:ind w:left="102" w:hanging="557"/>
        <w:jc w:val="left"/>
      </w:pPr>
      <w:rPr>
        <w:rFonts w:hint="default"/>
        <w:i/>
        <w:spacing w:val="-1"/>
        <w:w w:val="100"/>
      </w:rPr>
    </w:lvl>
    <w:lvl w:ilvl="1">
      <w:start w:val="1"/>
      <w:numFmt w:val="bullet"/>
      <w:lvlText w:val="•"/>
      <w:lvlJc w:val="left"/>
      <w:pPr>
        <w:ind w:left="996" w:hanging="557"/>
      </w:pPr>
      <w:rPr>
        <w:rFonts w:hint="default"/>
      </w:rPr>
    </w:lvl>
    <w:lvl w:ilvl="2">
      <w:start w:val="1"/>
      <w:numFmt w:val="bullet"/>
      <w:lvlText w:val="•"/>
      <w:lvlJc w:val="left"/>
      <w:pPr>
        <w:ind w:left="1892" w:hanging="557"/>
      </w:pPr>
      <w:rPr>
        <w:rFonts w:hint="default"/>
      </w:rPr>
    </w:lvl>
    <w:lvl w:ilvl="3">
      <w:start w:val="1"/>
      <w:numFmt w:val="bullet"/>
      <w:lvlText w:val="•"/>
      <w:lvlJc w:val="left"/>
      <w:pPr>
        <w:ind w:left="2788" w:hanging="557"/>
      </w:pPr>
      <w:rPr>
        <w:rFonts w:hint="default"/>
      </w:rPr>
    </w:lvl>
    <w:lvl w:ilvl="4">
      <w:start w:val="1"/>
      <w:numFmt w:val="bullet"/>
      <w:lvlText w:val="•"/>
      <w:lvlJc w:val="left"/>
      <w:pPr>
        <w:ind w:left="3684" w:hanging="557"/>
      </w:pPr>
      <w:rPr>
        <w:rFonts w:hint="default"/>
      </w:rPr>
    </w:lvl>
    <w:lvl w:ilvl="5">
      <w:start w:val="1"/>
      <w:numFmt w:val="bullet"/>
      <w:lvlText w:val="•"/>
      <w:lvlJc w:val="left"/>
      <w:pPr>
        <w:ind w:left="4580" w:hanging="557"/>
      </w:pPr>
      <w:rPr>
        <w:rFonts w:hint="default"/>
      </w:rPr>
    </w:lvl>
    <w:lvl w:ilvl="6">
      <w:start w:val="1"/>
      <w:numFmt w:val="bullet"/>
      <w:lvlText w:val="•"/>
      <w:lvlJc w:val="left"/>
      <w:pPr>
        <w:ind w:left="5476" w:hanging="557"/>
      </w:pPr>
      <w:rPr>
        <w:rFonts w:hint="default"/>
      </w:rPr>
    </w:lvl>
    <w:lvl w:ilvl="7">
      <w:start w:val="1"/>
      <w:numFmt w:val="bullet"/>
      <w:lvlText w:val="•"/>
      <w:lvlJc w:val="left"/>
      <w:pPr>
        <w:ind w:left="6372" w:hanging="557"/>
      </w:pPr>
      <w:rPr>
        <w:rFonts w:hint="default"/>
      </w:rPr>
    </w:lvl>
    <w:lvl w:ilvl="8">
      <w:start w:val="1"/>
      <w:numFmt w:val="bullet"/>
      <w:lvlText w:val="•"/>
      <w:lvlJc w:val="left"/>
      <w:pPr>
        <w:ind w:left="7268" w:hanging="557"/>
      </w:pPr>
      <w:rPr>
        <w:rFonts w:hint="default"/>
      </w:rPr>
    </w:lvl>
  </w:abstractNum>
  <w:abstractNum w:abstractNumId="362">
    <w:multiLevelType w:val="hybridMultilevel"/>
    <w:lvl w:ilvl="0">
      <w:start w:val="11"/>
      <w:numFmt w:val="upperRoman"/>
      <w:lvlText w:val="%1."/>
      <w:lvlJc w:val="left"/>
      <w:pPr>
        <w:ind w:left="102" w:hanging="384"/>
        <w:jc w:val="left"/>
      </w:pPr>
      <w:rPr>
        <w:rFonts w:hint="default" w:ascii="Arial" w:hAnsi="Arial" w:eastAsia="Arial" w:cs="Arial"/>
        <w:spacing w:val="-2"/>
        <w:w w:val="100"/>
        <w:sz w:val="22"/>
        <w:szCs w:val="22"/>
      </w:rPr>
    </w:lvl>
    <w:lvl w:ilvl="1">
      <w:start w:val="1"/>
      <w:numFmt w:val="bullet"/>
      <w:lvlText w:val="•"/>
      <w:lvlJc w:val="left"/>
      <w:pPr>
        <w:ind w:left="996" w:hanging="384"/>
      </w:pPr>
      <w:rPr>
        <w:rFonts w:hint="default"/>
      </w:rPr>
    </w:lvl>
    <w:lvl w:ilvl="2">
      <w:start w:val="1"/>
      <w:numFmt w:val="bullet"/>
      <w:lvlText w:val="•"/>
      <w:lvlJc w:val="left"/>
      <w:pPr>
        <w:ind w:left="1892" w:hanging="384"/>
      </w:pPr>
      <w:rPr>
        <w:rFonts w:hint="default"/>
      </w:rPr>
    </w:lvl>
    <w:lvl w:ilvl="3">
      <w:start w:val="1"/>
      <w:numFmt w:val="bullet"/>
      <w:lvlText w:val="•"/>
      <w:lvlJc w:val="left"/>
      <w:pPr>
        <w:ind w:left="2788" w:hanging="384"/>
      </w:pPr>
      <w:rPr>
        <w:rFonts w:hint="default"/>
      </w:rPr>
    </w:lvl>
    <w:lvl w:ilvl="4">
      <w:start w:val="1"/>
      <w:numFmt w:val="bullet"/>
      <w:lvlText w:val="•"/>
      <w:lvlJc w:val="left"/>
      <w:pPr>
        <w:ind w:left="3684" w:hanging="384"/>
      </w:pPr>
      <w:rPr>
        <w:rFonts w:hint="default"/>
      </w:rPr>
    </w:lvl>
    <w:lvl w:ilvl="5">
      <w:start w:val="1"/>
      <w:numFmt w:val="bullet"/>
      <w:lvlText w:val="•"/>
      <w:lvlJc w:val="left"/>
      <w:pPr>
        <w:ind w:left="4580" w:hanging="384"/>
      </w:pPr>
      <w:rPr>
        <w:rFonts w:hint="default"/>
      </w:rPr>
    </w:lvl>
    <w:lvl w:ilvl="6">
      <w:start w:val="1"/>
      <w:numFmt w:val="bullet"/>
      <w:lvlText w:val="•"/>
      <w:lvlJc w:val="left"/>
      <w:pPr>
        <w:ind w:left="5476" w:hanging="384"/>
      </w:pPr>
      <w:rPr>
        <w:rFonts w:hint="default"/>
      </w:rPr>
    </w:lvl>
    <w:lvl w:ilvl="7">
      <w:start w:val="1"/>
      <w:numFmt w:val="bullet"/>
      <w:lvlText w:val="•"/>
      <w:lvlJc w:val="left"/>
      <w:pPr>
        <w:ind w:left="6372" w:hanging="384"/>
      </w:pPr>
      <w:rPr>
        <w:rFonts w:hint="default"/>
      </w:rPr>
    </w:lvl>
    <w:lvl w:ilvl="8">
      <w:start w:val="1"/>
      <w:numFmt w:val="bullet"/>
      <w:lvlText w:val="•"/>
      <w:lvlJc w:val="left"/>
      <w:pPr>
        <w:ind w:left="7268" w:hanging="384"/>
      </w:pPr>
      <w:rPr>
        <w:rFonts w:hint="default"/>
      </w:rPr>
    </w:lvl>
  </w:abstractNum>
  <w:abstractNum w:abstractNumId="361">
    <w:multiLevelType w:val="hybridMultilevel"/>
    <w:lvl w:ilvl="0">
      <w:start w:val="1"/>
      <w:numFmt w:val="upperRoman"/>
      <w:lvlText w:val="%1."/>
      <w:lvlJc w:val="left"/>
      <w:pPr>
        <w:ind w:left="102" w:hanging="202"/>
        <w:jc w:val="left"/>
      </w:pPr>
      <w:rPr>
        <w:rFonts w:hint="default"/>
        <w:w w:val="100"/>
      </w:rPr>
    </w:lvl>
    <w:lvl w:ilvl="1">
      <w:start w:val="1"/>
      <w:numFmt w:val="bullet"/>
      <w:lvlText w:val="•"/>
      <w:lvlJc w:val="left"/>
      <w:pPr>
        <w:ind w:left="996" w:hanging="202"/>
      </w:pPr>
      <w:rPr>
        <w:rFonts w:hint="default"/>
      </w:rPr>
    </w:lvl>
    <w:lvl w:ilvl="2">
      <w:start w:val="1"/>
      <w:numFmt w:val="bullet"/>
      <w:lvlText w:val="•"/>
      <w:lvlJc w:val="left"/>
      <w:pPr>
        <w:ind w:left="1892" w:hanging="202"/>
      </w:pPr>
      <w:rPr>
        <w:rFonts w:hint="default"/>
      </w:rPr>
    </w:lvl>
    <w:lvl w:ilvl="3">
      <w:start w:val="1"/>
      <w:numFmt w:val="bullet"/>
      <w:lvlText w:val="•"/>
      <w:lvlJc w:val="left"/>
      <w:pPr>
        <w:ind w:left="2788" w:hanging="202"/>
      </w:pPr>
      <w:rPr>
        <w:rFonts w:hint="default"/>
      </w:rPr>
    </w:lvl>
    <w:lvl w:ilvl="4">
      <w:start w:val="1"/>
      <w:numFmt w:val="bullet"/>
      <w:lvlText w:val="•"/>
      <w:lvlJc w:val="left"/>
      <w:pPr>
        <w:ind w:left="3684" w:hanging="202"/>
      </w:pPr>
      <w:rPr>
        <w:rFonts w:hint="default"/>
      </w:rPr>
    </w:lvl>
    <w:lvl w:ilvl="5">
      <w:start w:val="1"/>
      <w:numFmt w:val="bullet"/>
      <w:lvlText w:val="•"/>
      <w:lvlJc w:val="left"/>
      <w:pPr>
        <w:ind w:left="4580" w:hanging="202"/>
      </w:pPr>
      <w:rPr>
        <w:rFonts w:hint="default"/>
      </w:rPr>
    </w:lvl>
    <w:lvl w:ilvl="6">
      <w:start w:val="1"/>
      <w:numFmt w:val="bullet"/>
      <w:lvlText w:val="•"/>
      <w:lvlJc w:val="left"/>
      <w:pPr>
        <w:ind w:left="5476" w:hanging="202"/>
      </w:pPr>
      <w:rPr>
        <w:rFonts w:hint="default"/>
      </w:rPr>
    </w:lvl>
    <w:lvl w:ilvl="7">
      <w:start w:val="1"/>
      <w:numFmt w:val="bullet"/>
      <w:lvlText w:val="•"/>
      <w:lvlJc w:val="left"/>
      <w:pPr>
        <w:ind w:left="6372" w:hanging="202"/>
      </w:pPr>
      <w:rPr>
        <w:rFonts w:hint="default"/>
      </w:rPr>
    </w:lvl>
    <w:lvl w:ilvl="8">
      <w:start w:val="1"/>
      <w:numFmt w:val="bullet"/>
      <w:lvlText w:val="•"/>
      <w:lvlJc w:val="left"/>
      <w:pPr>
        <w:ind w:left="7268" w:hanging="202"/>
      </w:pPr>
      <w:rPr>
        <w:rFonts w:hint="default"/>
      </w:rPr>
    </w:lvl>
  </w:abstractNum>
  <w:abstractNum w:abstractNumId="360">
    <w:multiLevelType w:val="hybridMultilevel"/>
    <w:lvl w:ilvl="0">
      <w:start w:val="5"/>
      <w:numFmt w:val="upperRoman"/>
      <w:lvlText w:val="%1."/>
      <w:lvlJc w:val="left"/>
      <w:pPr>
        <w:ind w:left="102" w:hanging="271"/>
        <w:jc w:val="left"/>
      </w:pPr>
      <w:rPr>
        <w:rFonts w:hint="default" w:ascii="Arial" w:hAnsi="Arial" w:eastAsia="Arial" w:cs="Arial"/>
        <w:spacing w:val="-1"/>
        <w:w w:val="100"/>
        <w:sz w:val="22"/>
        <w:szCs w:val="22"/>
      </w:rPr>
    </w:lvl>
    <w:lvl w:ilvl="1">
      <w:start w:val="1"/>
      <w:numFmt w:val="bullet"/>
      <w:lvlText w:val="•"/>
      <w:lvlJc w:val="left"/>
      <w:pPr>
        <w:ind w:left="996" w:hanging="271"/>
      </w:pPr>
      <w:rPr>
        <w:rFonts w:hint="default"/>
      </w:rPr>
    </w:lvl>
    <w:lvl w:ilvl="2">
      <w:start w:val="1"/>
      <w:numFmt w:val="bullet"/>
      <w:lvlText w:val="•"/>
      <w:lvlJc w:val="left"/>
      <w:pPr>
        <w:ind w:left="1892" w:hanging="271"/>
      </w:pPr>
      <w:rPr>
        <w:rFonts w:hint="default"/>
      </w:rPr>
    </w:lvl>
    <w:lvl w:ilvl="3">
      <w:start w:val="1"/>
      <w:numFmt w:val="bullet"/>
      <w:lvlText w:val="•"/>
      <w:lvlJc w:val="left"/>
      <w:pPr>
        <w:ind w:left="2788" w:hanging="271"/>
      </w:pPr>
      <w:rPr>
        <w:rFonts w:hint="default"/>
      </w:rPr>
    </w:lvl>
    <w:lvl w:ilvl="4">
      <w:start w:val="1"/>
      <w:numFmt w:val="bullet"/>
      <w:lvlText w:val="•"/>
      <w:lvlJc w:val="left"/>
      <w:pPr>
        <w:ind w:left="3684" w:hanging="271"/>
      </w:pPr>
      <w:rPr>
        <w:rFonts w:hint="default"/>
      </w:rPr>
    </w:lvl>
    <w:lvl w:ilvl="5">
      <w:start w:val="1"/>
      <w:numFmt w:val="bullet"/>
      <w:lvlText w:val="•"/>
      <w:lvlJc w:val="left"/>
      <w:pPr>
        <w:ind w:left="4580" w:hanging="271"/>
      </w:pPr>
      <w:rPr>
        <w:rFonts w:hint="default"/>
      </w:rPr>
    </w:lvl>
    <w:lvl w:ilvl="6">
      <w:start w:val="1"/>
      <w:numFmt w:val="bullet"/>
      <w:lvlText w:val="•"/>
      <w:lvlJc w:val="left"/>
      <w:pPr>
        <w:ind w:left="5476" w:hanging="271"/>
      </w:pPr>
      <w:rPr>
        <w:rFonts w:hint="default"/>
      </w:rPr>
    </w:lvl>
    <w:lvl w:ilvl="7">
      <w:start w:val="1"/>
      <w:numFmt w:val="bullet"/>
      <w:lvlText w:val="•"/>
      <w:lvlJc w:val="left"/>
      <w:pPr>
        <w:ind w:left="6372" w:hanging="271"/>
      </w:pPr>
      <w:rPr>
        <w:rFonts w:hint="default"/>
      </w:rPr>
    </w:lvl>
    <w:lvl w:ilvl="8">
      <w:start w:val="1"/>
      <w:numFmt w:val="bullet"/>
      <w:lvlText w:val="•"/>
      <w:lvlJc w:val="left"/>
      <w:pPr>
        <w:ind w:left="7268" w:hanging="271"/>
      </w:pPr>
      <w:rPr>
        <w:rFonts w:hint="default"/>
      </w:rPr>
    </w:lvl>
  </w:abstractNum>
  <w:abstractNum w:abstractNumId="359">
    <w:multiLevelType w:val="hybridMultilevel"/>
    <w:lvl w:ilvl="0">
      <w:start w:val="1"/>
      <w:numFmt w:val="upperRoman"/>
      <w:lvlText w:val="%1."/>
      <w:lvlJc w:val="left"/>
      <w:pPr>
        <w:ind w:left="102" w:hanging="252"/>
        <w:jc w:val="left"/>
      </w:pPr>
      <w:rPr>
        <w:rFonts w:hint="default" w:ascii="Arial" w:hAnsi="Arial" w:eastAsia="Arial" w:cs="Arial"/>
        <w:w w:val="100"/>
        <w:sz w:val="22"/>
        <w:szCs w:val="22"/>
      </w:rPr>
    </w:lvl>
    <w:lvl w:ilvl="1">
      <w:start w:val="1"/>
      <w:numFmt w:val="bullet"/>
      <w:lvlText w:val="•"/>
      <w:lvlJc w:val="left"/>
      <w:pPr>
        <w:ind w:left="996" w:hanging="252"/>
      </w:pPr>
      <w:rPr>
        <w:rFonts w:hint="default"/>
      </w:rPr>
    </w:lvl>
    <w:lvl w:ilvl="2">
      <w:start w:val="1"/>
      <w:numFmt w:val="bullet"/>
      <w:lvlText w:val="•"/>
      <w:lvlJc w:val="left"/>
      <w:pPr>
        <w:ind w:left="1892" w:hanging="252"/>
      </w:pPr>
      <w:rPr>
        <w:rFonts w:hint="default"/>
      </w:rPr>
    </w:lvl>
    <w:lvl w:ilvl="3">
      <w:start w:val="1"/>
      <w:numFmt w:val="bullet"/>
      <w:lvlText w:val="•"/>
      <w:lvlJc w:val="left"/>
      <w:pPr>
        <w:ind w:left="2788" w:hanging="252"/>
      </w:pPr>
      <w:rPr>
        <w:rFonts w:hint="default"/>
      </w:rPr>
    </w:lvl>
    <w:lvl w:ilvl="4">
      <w:start w:val="1"/>
      <w:numFmt w:val="bullet"/>
      <w:lvlText w:val="•"/>
      <w:lvlJc w:val="left"/>
      <w:pPr>
        <w:ind w:left="3684" w:hanging="252"/>
      </w:pPr>
      <w:rPr>
        <w:rFonts w:hint="default"/>
      </w:rPr>
    </w:lvl>
    <w:lvl w:ilvl="5">
      <w:start w:val="1"/>
      <w:numFmt w:val="bullet"/>
      <w:lvlText w:val="•"/>
      <w:lvlJc w:val="left"/>
      <w:pPr>
        <w:ind w:left="4580" w:hanging="252"/>
      </w:pPr>
      <w:rPr>
        <w:rFonts w:hint="default"/>
      </w:rPr>
    </w:lvl>
    <w:lvl w:ilvl="6">
      <w:start w:val="1"/>
      <w:numFmt w:val="bullet"/>
      <w:lvlText w:val="•"/>
      <w:lvlJc w:val="left"/>
      <w:pPr>
        <w:ind w:left="5476" w:hanging="252"/>
      </w:pPr>
      <w:rPr>
        <w:rFonts w:hint="default"/>
      </w:rPr>
    </w:lvl>
    <w:lvl w:ilvl="7">
      <w:start w:val="1"/>
      <w:numFmt w:val="bullet"/>
      <w:lvlText w:val="•"/>
      <w:lvlJc w:val="left"/>
      <w:pPr>
        <w:ind w:left="6372" w:hanging="252"/>
      </w:pPr>
      <w:rPr>
        <w:rFonts w:hint="default"/>
      </w:rPr>
    </w:lvl>
    <w:lvl w:ilvl="8">
      <w:start w:val="1"/>
      <w:numFmt w:val="bullet"/>
      <w:lvlText w:val="•"/>
      <w:lvlJc w:val="left"/>
      <w:pPr>
        <w:ind w:left="7268" w:hanging="252"/>
      </w:pPr>
      <w:rPr>
        <w:rFonts w:hint="default"/>
      </w:rPr>
    </w:lvl>
  </w:abstractNum>
  <w:abstractNum w:abstractNumId="358">
    <w:multiLevelType w:val="hybridMultilevel"/>
    <w:lvl w:ilvl="0">
      <w:start w:val="1"/>
      <w:numFmt w:val="upperRoman"/>
      <w:lvlText w:val="%1."/>
      <w:lvlJc w:val="left"/>
      <w:pPr>
        <w:ind w:left="102" w:hanging="185"/>
        <w:jc w:val="left"/>
      </w:pPr>
      <w:rPr>
        <w:rFonts w:hint="default" w:ascii="Arial" w:hAnsi="Arial" w:eastAsia="Arial" w:cs="Arial"/>
        <w:w w:val="100"/>
        <w:sz w:val="22"/>
        <w:szCs w:val="22"/>
      </w:rPr>
    </w:lvl>
    <w:lvl w:ilvl="1">
      <w:start w:val="1"/>
      <w:numFmt w:val="bullet"/>
      <w:lvlText w:val="•"/>
      <w:lvlJc w:val="left"/>
      <w:pPr>
        <w:ind w:left="996" w:hanging="185"/>
      </w:pPr>
      <w:rPr>
        <w:rFonts w:hint="default"/>
      </w:rPr>
    </w:lvl>
    <w:lvl w:ilvl="2">
      <w:start w:val="1"/>
      <w:numFmt w:val="bullet"/>
      <w:lvlText w:val="•"/>
      <w:lvlJc w:val="left"/>
      <w:pPr>
        <w:ind w:left="1892" w:hanging="185"/>
      </w:pPr>
      <w:rPr>
        <w:rFonts w:hint="default"/>
      </w:rPr>
    </w:lvl>
    <w:lvl w:ilvl="3">
      <w:start w:val="1"/>
      <w:numFmt w:val="bullet"/>
      <w:lvlText w:val="•"/>
      <w:lvlJc w:val="left"/>
      <w:pPr>
        <w:ind w:left="2788" w:hanging="185"/>
      </w:pPr>
      <w:rPr>
        <w:rFonts w:hint="default"/>
      </w:rPr>
    </w:lvl>
    <w:lvl w:ilvl="4">
      <w:start w:val="1"/>
      <w:numFmt w:val="bullet"/>
      <w:lvlText w:val="•"/>
      <w:lvlJc w:val="left"/>
      <w:pPr>
        <w:ind w:left="3684" w:hanging="185"/>
      </w:pPr>
      <w:rPr>
        <w:rFonts w:hint="default"/>
      </w:rPr>
    </w:lvl>
    <w:lvl w:ilvl="5">
      <w:start w:val="1"/>
      <w:numFmt w:val="bullet"/>
      <w:lvlText w:val="•"/>
      <w:lvlJc w:val="left"/>
      <w:pPr>
        <w:ind w:left="4580" w:hanging="185"/>
      </w:pPr>
      <w:rPr>
        <w:rFonts w:hint="default"/>
      </w:rPr>
    </w:lvl>
    <w:lvl w:ilvl="6">
      <w:start w:val="1"/>
      <w:numFmt w:val="bullet"/>
      <w:lvlText w:val="•"/>
      <w:lvlJc w:val="left"/>
      <w:pPr>
        <w:ind w:left="5476" w:hanging="185"/>
      </w:pPr>
      <w:rPr>
        <w:rFonts w:hint="default"/>
      </w:rPr>
    </w:lvl>
    <w:lvl w:ilvl="7">
      <w:start w:val="1"/>
      <w:numFmt w:val="bullet"/>
      <w:lvlText w:val="•"/>
      <w:lvlJc w:val="left"/>
      <w:pPr>
        <w:ind w:left="6372" w:hanging="185"/>
      </w:pPr>
      <w:rPr>
        <w:rFonts w:hint="default"/>
      </w:rPr>
    </w:lvl>
    <w:lvl w:ilvl="8">
      <w:start w:val="1"/>
      <w:numFmt w:val="bullet"/>
      <w:lvlText w:val="•"/>
      <w:lvlJc w:val="left"/>
      <w:pPr>
        <w:ind w:left="7268" w:hanging="185"/>
      </w:pPr>
      <w:rPr>
        <w:rFonts w:hint="default"/>
      </w:rPr>
    </w:lvl>
  </w:abstractNum>
  <w:abstractNum w:abstractNumId="357">
    <w:multiLevelType w:val="hybridMultilevel"/>
    <w:lvl w:ilvl="0">
      <w:start w:val="1"/>
      <w:numFmt w:val="upperRoman"/>
      <w:lvlText w:val="%1."/>
      <w:lvlJc w:val="left"/>
      <w:pPr>
        <w:ind w:left="102" w:hanging="185"/>
        <w:jc w:val="left"/>
      </w:pPr>
      <w:rPr>
        <w:rFonts w:hint="default"/>
        <w:w w:val="100"/>
      </w:rPr>
    </w:lvl>
    <w:lvl w:ilvl="1">
      <w:start w:val="1"/>
      <w:numFmt w:val="bullet"/>
      <w:lvlText w:val="•"/>
      <w:lvlJc w:val="left"/>
      <w:pPr>
        <w:ind w:left="996" w:hanging="185"/>
      </w:pPr>
      <w:rPr>
        <w:rFonts w:hint="default"/>
      </w:rPr>
    </w:lvl>
    <w:lvl w:ilvl="2">
      <w:start w:val="1"/>
      <w:numFmt w:val="bullet"/>
      <w:lvlText w:val="•"/>
      <w:lvlJc w:val="left"/>
      <w:pPr>
        <w:ind w:left="1892" w:hanging="185"/>
      </w:pPr>
      <w:rPr>
        <w:rFonts w:hint="default"/>
      </w:rPr>
    </w:lvl>
    <w:lvl w:ilvl="3">
      <w:start w:val="1"/>
      <w:numFmt w:val="bullet"/>
      <w:lvlText w:val="•"/>
      <w:lvlJc w:val="left"/>
      <w:pPr>
        <w:ind w:left="2788" w:hanging="185"/>
      </w:pPr>
      <w:rPr>
        <w:rFonts w:hint="default"/>
      </w:rPr>
    </w:lvl>
    <w:lvl w:ilvl="4">
      <w:start w:val="1"/>
      <w:numFmt w:val="bullet"/>
      <w:lvlText w:val="•"/>
      <w:lvlJc w:val="left"/>
      <w:pPr>
        <w:ind w:left="3684" w:hanging="185"/>
      </w:pPr>
      <w:rPr>
        <w:rFonts w:hint="default"/>
      </w:rPr>
    </w:lvl>
    <w:lvl w:ilvl="5">
      <w:start w:val="1"/>
      <w:numFmt w:val="bullet"/>
      <w:lvlText w:val="•"/>
      <w:lvlJc w:val="left"/>
      <w:pPr>
        <w:ind w:left="4580" w:hanging="185"/>
      </w:pPr>
      <w:rPr>
        <w:rFonts w:hint="default"/>
      </w:rPr>
    </w:lvl>
    <w:lvl w:ilvl="6">
      <w:start w:val="1"/>
      <w:numFmt w:val="bullet"/>
      <w:lvlText w:val="•"/>
      <w:lvlJc w:val="left"/>
      <w:pPr>
        <w:ind w:left="5476" w:hanging="185"/>
      </w:pPr>
      <w:rPr>
        <w:rFonts w:hint="default"/>
      </w:rPr>
    </w:lvl>
    <w:lvl w:ilvl="7">
      <w:start w:val="1"/>
      <w:numFmt w:val="bullet"/>
      <w:lvlText w:val="•"/>
      <w:lvlJc w:val="left"/>
      <w:pPr>
        <w:ind w:left="6372" w:hanging="185"/>
      </w:pPr>
      <w:rPr>
        <w:rFonts w:hint="default"/>
      </w:rPr>
    </w:lvl>
    <w:lvl w:ilvl="8">
      <w:start w:val="1"/>
      <w:numFmt w:val="bullet"/>
      <w:lvlText w:val="•"/>
      <w:lvlJc w:val="left"/>
      <w:pPr>
        <w:ind w:left="7268" w:hanging="185"/>
      </w:pPr>
      <w:rPr>
        <w:rFonts w:hint="default"/>
      </w:rPr>
    </w:lvl>
  </w:abstractNum>
  <w:abstractNum w:abstractNumId="356">
    <w:multiLevelType w:val="hybridMultilevel"/>
    <w:lvl w:ilvl="0">
      <w:start w:val="1"/>
      <w:numFmt w:val="upperRoman"/>
      <w:lvlText w:val="%1."/>
      <w:lvlJc w:val="left"/>
      <w:pPr>
        <w:ind w:left="102" w:hanging="185"/>
        <w:jc w:val="left"/>
      </w:pPr>
      <w:rPr>
        <w:rFonts w:hint="default" w:ascii="Arial" w:hAnsi="Arial" w:eastAsia="Arial" w:cs="Arial"/>
        <w:w w:val="100"/>
        <w:sz w:val="22"/>
        <w:szCs w:val="22"/>
      </w:rPr>
    </w:lvl>
    <w:lvl w:ilvl="1">
      <w:start w:val="1"/>
      <w:numFmt w:val="bullet"/>
      <w:lvlText w:val="•"/>
      <w:lvlJc w:val="left"/>
      <w:pPr>
        <w:ind w:left="996" w:hanging="185"/>
      </w:pPr>
      <w:rPr>
        <w:rFonts w:hint="default"/>
      </w:rPr>
    </w:lvl>
    <w:lvl w:ilvl="2">
      <w:start w:val="1"/>
      <w:numFmt w:val="bullet"/>
      <w:lvlText w:val="•"/>
      <w:lvlJc w:val="left"/>
      <w:pPr>
        <w:ind w:left="1892" w:hanging="185"/>
      </w:pPr>
      <w:rPr>
        <w:rFonts w:hint="default"/>
      </w:rPr>
    </w:lvl>
    <w:lvl w:ilvl="3">
      <w:start w:val="1"/>
      <w:numFmt w:val="bullet"/>
      <w:lvlText w:val="•"/>
      <w:lvlJc w:val="left"/>
      <w:pPr>
        <w:ind w:left="2788" w:hanging="185"/>
      </w:pPr>
      <w:rPr>
        <w:rFonts w:hint="default"/>
      </w:rPr>
    </w:lvl>
    <w:lvl w:ilvl="4">
      <w:start w:val="1"/>
      <w:numFmt w:val="bullet"/>
      <w:lvlText w:val="•"/>
      <w:lvlJc w:val="left"/>
      <w:pPr>
        <w:ind w:left="3684" w:hanging="185"/>
      </w:pPr>
      <w:rPr>
        <w:rFonts w:hint="default"/>
      </w:rPr>
    </w:lvl>
    <w:lvl w:ilvl="5">
      <w:start w:val="1"/>
      <w:numFmt w:val="bullet"/>
      <w:lvlText w:val="•"/>
      <w:lvlJc w:val="left"/>
      <w:pPr>
        <w:ind w:left="4580" w:hanging="185"/>
      </w:pPr>
      <w:rPr>
        <w:rFonts w:hint="default"/>
      </w:rPr>
    </w:lvl>
    <w:lvl w:ilvl="6">
      <w:start w:val="1"/>
      <w:numFmt w:val="bullet"/>
      <w:lvlText w:val="•"/>
      <w:lvlJc w:val="left"/>
      <w:pPr>
        <w:ind w:left="5476" w:hanging="185"/>
      </w:pPr>
      <w:rPr>
        <w:rFonts w:hint="default"/>
      </w:rPr>
    </w:lvl>
    <w:lvl w:ilvl="7">
      <w:start w:val="1"/>
      <w:numFmt w:val="bullet"/>
      <w:lvlText w:val="•"/>
      <w:lvlJc w:val="left"/>
      <w:pPr>
        <w:ind w:left="6372" w:hanging="185"/>
      </w:pPr>
      <w:rPr>
        <w:rFonts w:hint="default"/>
      </w:rPr>
    </w:lvl>
    <w:lvl w:ilvl="8">
      <w:start w:val="1"/>
      <w:numFmt w:val="bullet"/>
      <w:lvlText w:val="•"/>
      <w:lvlJc w:val="left"/>
      <w:pPr>
        <w:ind w:left="7268" w:hanging="185"/>
      </w:pPr>
      <w:rPr>
        <w:rFonts w:hint="default"/>
      </w:rPr>
    </w:lvl>
  </w:abstractNum>
  <w:abstractNum w:abstractNumId="355">
    <w:multiLevelType w:val="hybridMultilevel"/>
    <w:lvl w:ilvl="0">
      <w:start w:val="1"/>
      <w:numFmt w:val="lowerLetter"/>
      <w:lvlText w:val="%1."/>
      <w:lvlJc w:val="left"/>
      <w:pPr>
        <w:ind w:left="349" w:hanging="248"/>
        <w:jc w:val="left"/>
      </w:pPr>
      <w:rPr>
        <w:rFonts w:hint="default" w:ascii="Arial" w:hAnsi="Arial" w:eastAsia="Arial" w:cs="Arial"/>
        <w:w w:val="100"/>
        <w:sz w:val="22"/>
        <w:szCs w:val="22"/>
      </w:rPr>
    </w:lvl>
    <w:lvl w:ilvl="1">
      <w:start w:val="1"/>
      <w:numFmt w:val="upperRoman"/>
      <w:lvlText w:val="%2."/>
      <w:lvlJc w:val="left"/>
      <w:pPr>
        <w:ind w:left="286" w:hanging="185"/>
        <w:jc w:val="left"/>
      </w:pPr>
      <w:rPr>
        <w:rFonts w:hint="default" w:ascii="Arial" w:hAnsi="Arial" w:eastAsia="Arial" w:cs="Arial"/>
        <w:w w:val="100"/>
        <w:sz w:val="22"/>
        <w:szCs w:val="22"/>
      </w:rPr>
    </w:lvl>
    <w:lvl w:ilvl="2">
      <w:start w:val="1"/>
      <w:numFmt w:val="bullet"/>
      <w:lvlText w:val="•"/>
      <w:lvlJc w:val="left"/>
      <w:pPr>
        <w:ind w:left="1308" w:hanging="185"/>
      </w:pPr>
      <w:rPr>
        <w:rFonts w:hint="default"/>
      </w:rPr>
    </w:lvl>
    <w:lvl w:ilvl="3">
      <w:start w:val="1"/>
      <w:numFmt w:val="bullet"/>
      <w:lvlText w:val="•"/>
      <w:lvlJc w:val="left"/>
      <w:pPr>
        <w:ind w:left="2277" w:hanging="185"/>
      </w:pPr>
      <w:rPr>
        <w:rFonts w:hint="default"/>
      </w:rPr>
    </w:lvl>
    <w:lvl w:ilvl="4">
      <w:start w:val="1"/>
      <w:numFmt w:val="bullet"/>
      <w:lvlText w:val="•"/>
      <w:lvlJc w:val="left"/>
      <w:pPr>
        <w:ind w:left="3246" w:hanging="185"/>
      </w:pPr>
      <w:rPr>
        <w:rFonts w:hint="default"/>
      </w:rPr>
    </w:lvl>
    <w:lvl w:ilvl="5">
      <w:start w:val="1"/>
      <w:numFmt w:val="bullet"/>
      <w:lvlText w:val="•"/>
      <w:lvlJc w:val="left"/>
      <w:pPr>
        <w:ind w:left="4215" w:hanging="185"/>
      </w:pPr>
      <w:rPr>
        <w:rFonts w:hint="default"/>
      </w:rPr>
    </w:lvl>
    <w:lvl w:ilvl="6">
      <w:start w:val="1"/>
      <w:numFmt w:val="bullet"/>
      <w:lvlText w:val="•"/>
      <w:lvlJc w:val="left"/>
      <w:pPr>
        <w:ind w:left="5184" w:hanging="185"/>
      </w:pPr>
      <w:rPr>
        <w:rFonts w:hint="default"/>
      </w:rPr>
    </w:lvl>
    <w:lvl w:ilvl="7">
      <w:start w:val="1"/>
      <w:numFmt w:val="bullet"/>
      <w:lvlText w:val="•"/>
      <w:lvlJc w:val="left"/>
      <w:pPr>
        <w:ind w:left="6153" w:hanging="185"/>
      </w:pPr>
      <w:rPr>
        <w:rFonts w:hint="default"/>
      </w:rPr>
    </w:lvl>
    <w:lvl w:ilvl="8">
      <w:start w:val="1"/>
      <w:numFmt w:val="bullet"/>
      <w:lvlText w:val="•"/>
      <w:lvlJc w:val="left"/>
      <w:pPr>
        <w:ind w:left="7122" w:hanging="185"/>
      </w:pPr>
      <w:rPr>
        <w:rFonts w:hint="default"/>
      </w:rPr>
    </w:lvl>
  </w:abstractNum>
  <w:abstractNum w:abstractNumId="354">
    <w:multiLevelType w:val="hybridMultilevel"/>
    <w:lvl w:ilvl="0">
      <w:start w:val="12"/>
      <w:numFmt w:val="upperRoman"/>
      <w:lvlText w:val="%1."/>
      <w:lvlJc w:val="left"/>
      <w:pPr>
        <w:ind w:left="102" w:hanging="398"/>
        <w:jc w:val="left"/>
      </w:pPr>
      <w:rPr>
        <w:rFonts w:hint="default" w:ascii="Arial" w:hAnsi="Arial" w:eastAsia="Arial" w:cs="Arial"/>
        <w:spacing w:val="-2"/>
        <w:w w:val="100"/>
        <w:sz w:val="22"/>
        <w:szCs w:val="22"/>
      </w:rPr>
    </w:lvl>
    <w:lvl w:ilvl="1">
      <w:start w:val="1"/>
      <w:numFmt w:val="bullet"/>
      <w:lvlText w:val="•"/>
      <w:lvlJc w:val="left"/>
      <w:pPr>
        <w:ind w:left="996" w:hanging="398"/>
      </w:pPr>
      <w:rPr>
        <w:rFonts w:hint="default"/>
      </w:rPr>
    </w:lvl>
    <w:lvl w:ilvl="2">
      <w:start w:val="1"/>
      <w:numFmt w:val="bullet"/>
      <w:lvlText w:val="•"/>
      <w:lvlJc w:val="left"/>
      <w:pPr>
        <w:ind w:left="1892" w:hanging="398"/>
      </w:pPr>
      <w:rPr>
        <w:rFonts w:hint="default"/>
      </w:rPr>
    </w:lvl>
    <w:lvl w:ilvl="3">
      <w:start w:val="1"/>
      <w:numFmt w:val="bullet"/>
      <w:lvlText w:val="•"/>
      <w:lvlJc w:val="left"/>
      <w:pPr>
        <w:ind w:left="2788" w:hanging="398"/>
      </w:pPr>
      <w:rPr>
        <w:rFonts w:hint="default"/>
      </w:rPr>
    </w:lvl>
    <w:lvl w:ilvl="4">
      <w:start w:val="1"/>
      <w:numFmt w:val="bullet"/>
      <w:lvlText w:val="•"/>
      <w:lvlJc w:val="left"/>
      <w:pPr>
        <w:ind w:left="3684" w:hanging="398"/>
      </w:pPr>
      <w:rPr>
        <w:rFonts w:hint="default"/>
      </w:rPr>
    </w:lvl>
    <w:lvl w:ilvl="5">
      <w:start w:val="1"/>
      <w:numFmt w:val="bullet"/>
      <w:lvlText w:val="•"/>
      <w:lvlJc w:val="left"/>
      <w:pPr>
        <w:ind w:left="4580" w:hanging="398"/>
      </w:pPr>
      <w:rPr>
        <w:rFonts w:hint="default"/>
      </w:rPr>
    </w:lvl>
    <w:lvl w:ilvl="6">
      <w:start w:val="1"/>
      <w:numFmt w:val="bullet"/>
      <w:lvlText w:val="•"/>
      <w:lvlJc w:val="left"/>
      <w:pPr>
        <w:ind w:left="5476" w:hanging="398"/>
      </w:pPr>
      <w:rPr>
        <w:rFonts w:hint="default"/>
      </w:rPr>
    </w:lvl>
    <w:lvl w:ilvl="7">
      <w:start w:val="1"/>
      <w:numFmt w:val="bullet"/>
      <w:lvlText w:val="•"/>
      <w:lvlJc w:val="left"/>
      <w:pPr>
        <w:ind w:left="6372" w:hanging="398"/>
      </w:pPr>
      <w:rPr>
        <w:rFonts w:hint="default"/>
      </w:rPr>
    </w:lvl>
    <w:lvl w:ilvl="8">
      <w:start w:val="1"/>
      <w:numFmt w:val="bullet"/>
      <w:lvlText w:val="•"/>
      <w:lvlJc w:val="left"/>
      <w:pPr>
        <w:ind w:left="7268" w:hanging="398"/>
      </w:pPr>
      <w:rPr>
        <w:rFonts w:hint="default"/>
      </w:rPr>
    </w:lvl>
  </w:abstractNum>
  <w:abstractNum w:abstractNumId="353">
    <w:multiLevelType w:val="hybridMultilevel"/>
    <w:lvl w:ilvl="0">
      <w:start w:val="23"/>
      <w:numFmt w:val="upperRoman"/>
      <w:lvlText w:val="%1."/>
      <w:lvlJc w:val="left"/>
      <w:pPr>
        <w:ind w:left="102" w:hanging="612"/>
        <w:jc w:val="left"/>
      </w:pPr>
      <w:rPr>
        <w:rFonts w:hint="default" w:ascii="Arial" w:hAnsi="Arial" w:eastAsia="Arial" w:cs="Arial"/>
        <w:spacing w:val="-2"/>
        <w:w w:val="100"/>
        <w:sz w:val="22"/>
        <w:szCs w:val="22"/>
      </w:rPr>
    </w:lvl>
    <w:lvl w:ilvl="1">
      <w:start w:val="1"/>
      <w:numFmt w:val="bullet"/>
      <w:lvlText w:val="•"/>
      <w:lvlJc w:val="left"/>
      <w:pPr>
        <w:ind w:left="996" w:hanging="612"/>
      </w:pPr>
      <w:rPr>
        <w:rFonts w:hint="default"/>
      </w:rPr>
    </w:lvl>
    <w:lvl w:ilvl="2">
      <w:start w:val="1"/>
      <w:numFmt w:val="bullet"/>
      <w:lvlText w:val="•"/>
      <w:lvlJc w:val="left"/>
      <w:pPr>
        <w:ind w:left="1892" w:hanging="612"/>
      </w:pPr>
      <w:rPr>
        <w:rFonts w:hint="default"/>
      </w:rPr>
    </w:lvl>
    <w:lvl w:ilvl="3">
      <w:start w:val="1"/>
      <w:numFmt w:val="bullet"/>
      <w:lvlText w:val="•"/>
      <w:lvlJc w:val="left"/>
      <w:pPr>
        <w:ind w:left="2788" w:hanging="612"/>
      </w:pPr>
      <w:rPr>
        <w:rFonts w:hint="default"/>
      </w:rPr>
    </w:lvl>
    <w:lvl w:ilvl="4">
      <w:start w:val="1"/>
      <w:numFmt w:val="bullet"/>
      <w:lvlText w:val="•"/>
      <w:lvlJc w:val="left"/>
      <w:pPr>
        <w:ind w:left="3684" w:hanging="612"/>
      </w:pPr>
      <w:rPr>
        <w:rFonts w:hint="default"/>
      </w:rPr>
    </w:lvl>
    <w:lvl w:ilvl="5">
      <w:start w:val="1"/>
      <w:numFmt w:val="bullet"/>
      <w:lvlText w:val="•"/>
      <w:lvlJc w:val="left"/>
      <w:pPr>
        <w:ind w:left="4580" w:hanging="612"/>
      </w:pPr>
      <w:rPr>
        <w:rFonts w:hint="default"/>
      </w:rPr>
    </w:lvl>
    <w:lvl w:ilvl="6">
      <w:start w:val="1"/>
      <w:numFmt w:val="bullet"/>
      <w:lvlText w:val="•"/>
      <w:lvlJc w:val="left"/>
      <w:pPr>
        <w:ind w:left="5476" w:hanging="612"/>
      </w:pPr>
      <w:rPr>
        <w:rFonts w:hint="default"/>
      </w:rPr>
    </w:lvl>
    <w:lvl w:ilvl="7">
      <w:start w:val="1"/>
      <w:numFmt w:val="bullet"/>
      <w:lvlText w:val="•"/>
      <w:lvlJc w:val="left"/>
      <w:pPr>
        <w:ind w:left="6372" w:hanging="612"/>
      </w:pPr>
      <w:rPr>
        <w:rFonts w:hint="default"/>
      </w:rPr>
    </w:lvl>
    <w:lvl w:ilvl="8">
      <w:start w:val="1"/>
      <w:numFmt w:val="bullet"/>
      <w:lvlText w:val="•"/>
      <w:lvlJc w:val="left"/>
      <w:pPr>
        <w:ind w:left="7268" w:hanging="612"/>
      </w:pPr>
      <w:rPr>
        <w:rFonts w:hint="default"/>
      </w:rPr>
    </w:lvl>
  </w:abstractNum>
  <w:abstractNum w:abstractNumId="352">
    <w:multiLevelType w:val="hybridMultilevel"/>
    <w:lvl w:ilvl="0">
      <w:start w:val="1"/>
      <w:numFmt w:val="upperRoman"/>
      <w:lvlText w:val="%1."/>
      <w:lvlJc w:val="left"/>
      <w:pPr>
        <w:ind w:left="286" w:hanging="185"/>
        <w:jc w:val="left"/>
      </w:pPr>
      <w:rPr>
        <w:rFonts w:hint="default" w:ascii="Arial" w:hAnsi="Arial" w:eastAsia="Arial" w:cs="Arial"/>
        <w:w w:val="100"/>
        <w:sz w:val="22"/>
        <w:szCs w:val="22"/>
      </w:rPr>
    </w:lvl>
    <w:lvl w:ilvl="1">
      <w:start w:val="1"/>
      <w:numFmt w:val="bullet"/>
      <w:lvlText w:val="•"/>
      <w:lvlJc w:val="left"/>
      <w:pPr>
        <w:ind w:left="1158" w:hanging="185"/>
      </w:pPr>
      <w:rPr>
        <w:rFonts w:hint="default"/>
      </w:rPr>
    </w:lvl>
    <w:lvl w:ilvl="2">
      <w:start w:val="1"/>
      <w:numFmt w:val="bullet"/>
      <w:lvlText w:val="•"/>
      <w:lvlJc w:val="left"/>
      <w:pPr>
        <w:ind w:left="2036" w:hanging="185"/>
      </w:pPr>
      <w:rPr>
        <w:rFonts w:hint="default"/>
      </w:rPr>
    </w:lvl>
    <w:lvl w:ilvl="3">
      <w:start w:val="1"/>
      <w:numFmt w:val="bullet"/>
      <w:lvlText w:val="•"/>
      <w:lvlJc w:val="left"/>
      <w:pPr>
        <w:ind w:left="2914" w:hanging="185"/>
      </w:pPr>
      <w:rPr>
        <w:rFonts w:hint="default"/>
      </w:rPr>
    </w:lvl>
    <w:lvl w:ilvl="4">
      <w:start w:val="1"/>
      <w:numFmt w:val="bullet"/>
      <w:lvlText w:val="•"/>
      <w:lvlJc w:val="left"/>
      <w:pPr>
        <w:ind w:left="3792" w:hanging="185"/>
      </w:pPr>
      <w:rPr>
        <w:rFonts w:hint="default"/>
      </w:rPr>
    </w:lvl>
    <w:lvl w:ilvl="5">
      <w:start w:val="1"/>
      <w:numFmt w:val="bullet"/>
      <w:lvlText w:val="•"/>
      <w:lvlJc w:val="left"/>
      <w:pPr>
        <w:ind w:left="4670" w:hanging="185"/>
      </w:pPr>
      <w:rPr>
        <w:rFonts w:hint="default"/>
      </w:rPr>
    </w:lvl>
    <w:lvl w:ilvl="6">
      <w:start w:val="1"/>
      <w:numFmt w:val="bullet"/>
      <w:lvlText w:val="•"/>
      <w:lvlJc w:val="left"/>
      <w:pPr>
        <w:ind w:left="5548" w:hanging="185"/>
      </w:pPr>
      <w:rPr>
        <w:rFonts w:hint="default"/>
      </w:rPr>
    </w:lvl>
    <w:lvl w:ilvl="7">
      <w:start w:val="1"/>
      <w:numFmt w:val="bullet"/>
      <w:lvlText w:val="•"/>
      <w:lvlJc w:val="left"/>
      <w:pPr>
        <w:ind w:left="6426" w:hanging="185"/>
      </w:pPr>
      <w:rPr>
        <w:rFonts w:hint="default"/>
      </w:rPr>
    </w:lvl>
    <w:lvl w:ilvl="8">
      <w:start w:val="1"/>
      <w:numFmt w:val="bullet"/>
      <w:lvlText w:val="•"/>
      <w:lvlJc w:val="left"/>
      <w:pPr>
        <w:ind w:left="7304" w:hanging="185"/>
      </w:pPr>
      <w:rPr>
        <w:rFonts w:hint="default"/>
      </w:rPr>
    </w:lvl>
  </w:abstractNum>
  <w:abstractNum w:abstractNumId="351">
    <w:multiLevelType w:val="hybridMultilevel"/>
    <w:lvl w:ilvl="0">
      <w:start w:val="1"/>
      <w:numFmt w:val="upperRoman"/>
      <w:lvlText w:val="%1."/>
      <w:lvlJc w:val="left"/>
      <w:pPr>
        <w:ind w:left="102" w:hanging="190"/>
        <w:jc w:val="left"/>
      </w:pPr>
      <w:rPr>
        <w:rFonts w:hint="default" w:ascii="Arial" w:hAnsi="Arial" w:eastAsia="Arial" w:cs="Arial"/>
        <w:w w:val="100"/>
        <w:sz w:val="22"/>
        <w:szCs w:val="22"/>
      </w:rPr>
    </w:lvl>
    <w:lvl w:ilvl="1">
      <w:start w:val="1"/>
      <w:numFmt w:val="bullet"/>
      <w:lvlText w:val="•"/>
      <w:lvlJc w:val="left"/>
      <w:pPr>
        <w:ind w:left="996" w:hanging="190"/>
      </w:pPr>
      <w:rPr>
        <w:rFonts w:hint="default"/>
      </w:rPr>
    </w:lvl>
    <w:lvl w:ilvl="2">
      <w:start w:val="1"/>
      <w:numFmt w:val="bullet"/>
      <w:lvlText w:val="•"/>
      <w:lvlJc w:val="left"/>
      <w:pPr>
        <w:ind w:left="1892" w:hanging="190"/>
      </w:pPr>
      <w:rPr>
        <w:rFonts w:hint="default"/>
      </w:rPr>
    </w:lvl>
    <w:lvl w:ilvl="3">
      <w:start w:val="1"/>
      <w:numFmt w:val="bullet"/>
      <w:lvlText w:val="•"/>
      <w:lvlJc w:val="left"/>
      <w:pPr>
        <w:ind w:left="2788" w:hanging="190"/>
      </w:pPr>
      <w:rPr>
        <w:rFonts w:hint="default"/>
      </w:rPr>
    </w:lvl>
    <w:lvl w:ilvl="4">
      <w:start w:val="1"/>
      <w:numFmt w:val="bullet"/>
      <w:lvlText w:val="•"/>
      <w:lvlJc w:val="left"/>
      <w:pPr>
        <w:ind w:left="3684" w:hanging="190"/>
      </w:pPr>
      <w:rPr>
        <w:rFonts w:hint="default"/>
      </w:rPr>
    </w:lvl>
    <w:lvl w:ilvl="5">
      <w:start w:val="1"/>
      <w:numFmt w:val="bullet"/>
      <w:lvlText w:val="•"/>
      <w:lvlJc w:val="left"/>
      <w:pPr>
        <w:ind w:left="4580" w:hanging="190"/>
      </w:pPr>
      <w:rPr>
        <w:rFonts w:hint="default"/>
      </w:rPr>
    </w:lvl>
    <w:lvl w:ilvl="6">
      <w:start w:val="1"/>
      <w:numFmt w:val="bullet"/>
      <w:lvlText w:val="•"/>
      <w:lvlJc w:val="left"/>
      <w:pPr>
        <w:ind w:left="5476" w:hanging="190"/>
      </w:pPr>
      <w:rPr>
        <w:rFonts w:hint="default"/>
      </w:rPr>
    </w:lvl>
    <w:lvl w:ilvl="7">
      <w:start w:val="1"/>
      <w:numFmt w:val="bullet"/>
      <w:lvlText w:val="•"/>
      <w:lvlJc w:val="left"/>
      <w:pPr>
        <w:ind w:left="6372" w:hanging="190"/>
      </w:pPr>
      <w:rPr>
        <w:rFonts w:hint="default"/>
      </w:rPr>
    </w:lvl>
    <w:lvl w:ilvl="8">
      <w:start w:val="1"/>
      <w:numFmt w:val="bullet"/>
      <w:lvlText w:val="•"/>
      <w:lvlJc w:val="left"/>
      <w:pPr>
        <w:ind w:left="7268" w:hanging="190"/>
      </w:pPr>
      <w:rPr>
        <w:rFonts w:hint="default"/>
      </w:rPr>
    </w:lvl>
  </w:abstractNum>
  <w:abstractNum w:abstractNumId="350">
    <w:multiLevelType w:val="hybridMultilevel"/>
    <w:lvl w:ilvl="0">
      <w:start w:val="28"/>
      <w:numFmt w:val="upperRoman"/>
      <w:lvlText w:val="%1."/>
      <w:lvlJc w:val="left"/>
      <w:pPr>
        <w:ind w:left="102" w:hanging="790"/>
        <w:jc w:val="left"/>
      </w:pPr>
      <w:rPr>
        <w:rFonts w:hint="default" w:ascii="Arial" w:hAnsi="Arial" w:eastAsia="Arial" w:cs="Arial"/>
        <w:spacing w:val="-2"/>
        <w:w w:val="100"/>
        <w:sz w:val="22"/>
        <w:szCs w:val="22"/>
      </w:rPr>
    </w:lvl>
    <w:lvl w:ilvl="1">
      <w:start w:val="1"/>
      <w:numFmt w:val="bullet"/>
      <w:lvlText w:val="•"/>
      <w:lvlJc w:val="left"/>
      <w:pPr>
        <w:ind w:left="996" w:hanging="790"/>
      </w:pPr>
      <w:rPr>
        <w:rFonts w:hint="default"/>
      </w:rPr>
    </w:lvl>
    <w:lvl w:ilvl="2">
      <w:start w:val="1"/>
      <w:numFmt w:val="bullet"/>
      <w:lvlText w:val="•"/>
      <w:lvlJc w:val="left"/>
      <w:pPr>
        <w:ind w:left="1892" w:hanging="790"/>
      </w:pPr>
      <w:rPr>
        <w:rFonts w:hint="default"/>
      </w:rPr>
    </w:lvl>
    <w:lvl w:ilvl="3">
      <w:start w:val="1"/>
      <w:numFmt w:val="bullet"/>
      <w:lvlText w:val="•"/>
      <w:lvlJc w:val="left"/>
      <w:pPr>
        <w:ind w:left="2788" w:hanging="790"/>
      </w:pPr>
      <w:rPr>
        <w:rFonts w:hint="default"/>
      </w:rPr>
    </w:lvl>
    <w:lvl w:ilvl="4">
      <w:start w:val="1"/>
      <w:numFmt w:val="bullet"/>
      <w:lvlText w:val="•"/>
      <w:lvlJc w:val="left"/>
      <w:pPr>
        <w:ind w:left="3684" w:hanging="790"/>
      </w:pPr>
      <w:rPr>
        <w:rFonts w:hint="default"/>
      </w:rPr>
    </w:lvl>
    <w:lvl w:ilvl="5">
      <w:start w:val="1"/>
      <w:numFmt w:val="bullet"/>
      <w:lvlText w:val="•"/>
      <w:lvlJc w:val="left"/>
      <w:pPr>
        <w:ind w:left="4580" w:hanging="790"/>
      </w:pPr>
      <w:rPr>
        <w:rFonts w:hint="default"/>
      </w:rPr>
    </w:lvl>
    <w:lvl w:ilvl="6">
      <w:start w:val="1"/>
      <w:numFmt w:val="bullet"/>
      <w:lvlText w:val="•"/>
      <w:lvlJc w:val="left"/>
      <w:pPr>
        <w:ind w:left="5476" w:hanging="790"/>
      </w:pPr>
      <w:rPr>
        <w:rFonts w:hint="default"/>
      </w:rPr>
    </w:lvl>
    <w:lvl w:ilvl="7">
      <w:start w:val="1"/>
      <w:numFmt w:val="bullet"/>
      <w:lvlText w:val="•"/>
      <w:lvlJc w:val="left"/>
      <w:pPr>
        <w:ind w:left="6372" w:hanging="790"/>
      </w:pPr>
      <w:rPr>
        <w:rFonts w:hint="default"/>
      </w:rPr>
    </w:lvl>
    <w:lvl w:ilvl="8">
      <w:start w:val="1"/>
      <w:numFmt w:val="bullet"/>
      <w:lvlText w:val="•"/>
      <w:lvlJc w:val="left"/>
      <w:pPr>
        <w:ind w:left="7268" w:hanging="790"/>
      </w:pPr>
      <w:rPr>
        <w:rFonts w:hint="default"/>
      </w:rPr>
    </w:lvl>
  </w:abstractNum>
  <w:abstractNum w:abstractNumId="349">
    <w:multiLevelType w:val="hybridMultilevel"/>
    <w:lvl w:ilvl="0">
      <w:start w:val="5"/>
      <w:numFmt w:val="upperRoman"/>
      <w:lvlText w:val="%1."/>
      <w:lvlJc w:val="left"/>
      <w:pPr>
        <w:ind w:left="102" w:hanging="298"/>
        <w:jc w:val="left"/>
      </w:pPr>
      <w:rPr>
        <w:rFonts w:hint="default" w:ascii="Arial" w:hAnsi="Arial" w:eastAsia="Arial" w:cs="Arial"/>
        <w:spacing w:val="-1"/>
        <w:w w:val="100"/>
        <w:sz w:val="22"/>
        <w:szCs w:val="22"/>
      </w:rPr>
    </w:lvl>
    <w:lvl w:ilvl="1">
      <w:start w:val="1"/>
      <w:numFmt w:val="bullet"/>
      <w:lvlText w:val="•"/>
      <w:lvlJc w:val="left"/>
      <w:pPr>
        <w:ind w:left="996" w:hanging="298"/>
      </w:pPr>
      <w:rPr>
        <w:rFonts w:hint="default"/>
      </w:rPr>
    </w:lvl>
    <w:lvl w:ilvl="2">
      <w:start w:val="1"/>
      <w:numFmt w:val="bullet"/>
      <w:lvlText w:val="•"/>
      <w:lvlJc w:val="left"/>
      <w:pPr>
        <w:ind w:left="1892" w:hanging="298"/>
      </w:pPr>
      <w:rPr>
        <w:rFonts w:hint="default"/>
      </w:rPr>
    </w:lvl>
    <w:lvl w:ilvl="3">
      <w:start w:val="1"/>
      <w:numFmt w:val="bullet"/>
      <w:lvlText w:val="•"/>
      <w:lvlJc w:val="left"/>
      <w:pPr>
        <w:ind w:left="2788" w:hanging="298"/>
      </w:pPr>
      <w:rPr>
        <w:rFonts w:hint="default"/>
      </w:rPr>
    </w:lvl>
    <w:lvl w:ilvl="4">
      <w:start w:val="1"/>
      <w:numFmt w:val="bullet"/>
      <w:lvlText w:val="•"/>
      <w:lvlJc w:val="left"/>
      <w:pPr>
        <w:ind w:left="3684" w:hanging="298"/>
      </w:pPr>
      <w:rPr>
        <w:rFonts w:hint="default"/>
      </w:rPr>
    </w:lvl>
    <w:lvl w:ilvl="5">
      <w:start w:val="1"/>
      <w:numFmt w:val="bullet"/>
      <w:lvlText w:val="•"/>
      <w:lvlJc w:val="left"/>
      <w:pPr>
        <w:ind w:left="4580" w:hanging="298"/>
      </w:pPr>
      <w:rPr>
        <w:rFonts w:hint="default"/>
      </w:rPr>
    </w:lvl>
    <w:lvl w:ilvl="6">
      <w:start w:val="1"/>
      <w:numFmt w:val="bullet"/>
      <w:lvlText w:val="•"/>
      <w:lvlJc w:val="left"/>
      <w:pPr>
        <w:ind w:left="5476" w:hanging="298"/>
      </w:pPr>
      <w:rPr>
        <w:rFonts w:hint="default"/>
      </w:rPr>
    </w:lvl>
    <w:lvl w:ilvl="7">
      <w:start w:val="1"/>
      <w:numFmt w:val="bullet"/>
      <w:lvlText w:val="•"/>
      <w:lvlJc w:val="left"/>
      <w:pPr>
        <w:ind w:left="6372" w:hanging="298"/>
      </w:pPr>
      <w:rPr>
        <w:rFonts w:hint="default"/>
      </w:rPr>
    </w:lvl>
    <w:lvl w:ilvl="8">
      <w:start w:val="1"/>
      <w:numFmt w:val="bullet"/>
      <w:lvlText w:val="•"/>
      <w:lvlJc w:val="left"/>
      <w:pPr>
        <w:ind w:left="7268" w:hanging="298"/>
      </w:pPr>
      <w:rPr>
        <w:rFonts w:hint="default"/>
      </w:rPr>
    </w:lvl>
  </w:abstractNum>
  <w:abstractNum w:abstractNumId="348">
    <w:multiLevelType w:val="hybridMultilevel"/>
    <w:lvl w:ilvl="0">
      <w:start w:val="1"/>
      <w:numFmt w:val="upperRoman"/>
      <w:lvlText w:val="%1."/>
      <w:lvlJc w:val="left"/>
      <w:pPr>
        <w:ind w:left="102" w:hanging="204"/>
        <w:jc w:val="left"/>
      </w:pPr>
      <w:rPr>
        <w:rFonts w:hint="default" w:ascii="Arial" w:hAnsi="Arial" w:eastAsia="Arial" w:cs="Arial"/>
        <w:w w:val="100"/>
        <w:sz w:val="22"/>
        <w:szCs w:val="22"/>
      </w:rPr>
    </w:lvl>
    <w:lvl w:ilvl="1">
      <w:start w:val="1"/>
      <w:numFmt w:val="bullet"/>
      <w:lvlText w:val="•"/>
      <w:lvlJc w:val="left"/>
      <w:pPr>
        <w:ind w:left="996" w:hanging="204"/>
      </w:pPr>
      <w:rPr>
        <w:rFonts w:hint="default"/>
      </w:rPr>
    </w:lvl>
    <w:lvl w:ilvl="2">
      <w:start w:val="1"/>
      <w:numFmt w:val="bullet"/>
      <w:lvlText w:val="•"/>
      <w:lvlJc w:val="left"/>
      <w:pPr>
        <w:ind w:left="1892" w:hanging="204"/>
      </w:pPr>
      <w:rPr>
        <w:rFonts w:hint="default"/>
      </w:rPr>
    </w:lvl>
    <w:lvl w:ilvl="3">
      <w:start w:val="1"/>
      <w:numFmt w:val="bullet"/>
      <w:lvlText w:val="•"/>
      <w:lvlJc w:val="left"/>
      <w:pPr>
        <w:ind w:left="2788" w:hanging="204"/>
      </w:pPr>
      <w:rPr>
        <w:rFonts w:hint="default"/>
      </w:rPr>
    </w:lvl>
    <w:lvl w:ilvl="4">
      <w:start w:val="1"/>
      <w:numFmt w:val="bullet"/>
      <w:lvlText w:val="•"/>
      <w:lvlJc w:val="left"/>
      <w:pPr>
        <w:ind w:left="3684" w:hanging="204"/>
      </w:pPr>
      <w:rPr>
        <w:rFonts w:hint="default"/>
      </w:rPr>
    </w:lvl>
    <w:lvl w:ilvl="5">
      <w:start w:val="1"/>
      <w:numFmt w:val="bullet"/>
      <w:lvlText w:val="•"/>
      <w:lvlJc w:val="left"/>
      <w:pPr>
        <w:ind w:left="4580" w:hanging="204"/>
      </w:pPr>
      <w:rPr>
        <w:rFonts w:hint="default"/>
      </w:rPr>
    </w:lvl>
    <w:lvl w:ilvl="6">
      <w:start w:val="1"/>
      <w:numFmt w:val="bullet"/>
      <w:lvlText w:val="•"/>
      <w:lvlJc w:val="left"/>
      <w:pPr>
        <w:ind w:left="5476" w:hanging="204"/>
      </w:pPr>
      <w:rPr>
        <w:rFonts w:hint="default"/>
      </w:rPr>
    </w:lvl>
    <w:lvl w:ilvl="7">
      <w:start w:val="1"/>
      <w:numFmt w:val="bullet"/>
      <w:lvlText w:val="•"/>
      <w:lvlJc w:val="left"/>
      <w:pPr>
        <w:ind w:left="6372" w:hanging="204"/>
      </w:pPr>
      <w:rPr>
        <w:rFonts w:hint="default"/>
      </w:rPr>
    </w:lvl>
    <w:lvl w:ilvl="8">
      <w:start w:val="1"/>
      <w:numFmt w:val="bullet"/>
      <w:lvlText w:val="•"/>
      <w:lvlJc w:val="left"/>
      <w:pPr>
        <w:ind w:left="7268" w:hanging="204"/>
      </w:pPr>
      <w:rPr>
        <w:rFonts w:hint="default"/>
      </w:rPr>
    </w:lvl>
  </w:abstractNum>
  <w:abstractNum w:abstractNumId="347">
    <w:multiLevelType w:val="hybridMultilevel"/>
    <w:lvl w:ilvl="0">
      <w:start w:val="1"/>
      <w:numFmt w:val="upperRoman"/>
      <w:lvlText w:val="%1."/>
      <w:lvlJc w:val="left"/>
      <w:pPr>
        <w:ind w:left="102" w:hanging="197"/>
        <w:jc w:val="left"/>
      </w:pPr>
      <w:rPr>
        <w:rFonts w:hint="default"/>
        <w:w w:val="100"/>
      </w:rPr>
    </w:lvl>
    <w:lvl w:ilvl="1">
      <w:start w:val="1"/>
      <w:numFmt w:val="bullet"/>
      <w:lvlText w:val="•"/>
      <w:lvlJc w:val="left"/>
      <w:pPr>
        <w:ind w:left="996" w:hanging="197"/>
      </w:pPr>
      <w:rPr>
        <w:rFonts w:hint="default"/>
      </w:rPr>
    </w:lvl>
    <w:lvl w:ilvl="2">
      <w:start w:val="1"/>
      <w:numFmt w:val="bullet"/>
      <w:lvlText w:val="•"/>
      <w:lvlJc w:val="left"/>
      <w:pPr>
        <w:ind w:left="1892" w:hanging="197"/>
      </w:pPr>
      <w:rPr>
        <w:rFonts w:hint="default"/>
      </w:rPr>
    </w:lvl>
    <w:lvl w:ilvl="3">
      <w:start w:val="1"/>
      <w:numFmt w:val="bullet"/>
      <w:lvlText w:val="•"/>
      <w:lvlJc w:val="left"/>
      <w:pPr>
        <w:ind w:left="2788" w:hanging="197"/>
      </w:pPr>
      <w:rPr>
        <w:rFonts w:hint="default"/>
      </w:rPr>
    </w:lvl>
    <w:lvl w:ilvl="4">
      <w:start w:val="1"/>
      <w:numFmt w:val="bullet"/>
      <w:lvlText w:val="•"/>
      <w:lvlJc w:val="left"/>
      <w:pPr>
        <w:ind w:left="3684" w:hanging="197"/>
      </w:pPr>
      <w:rPr>
        <w:rFonts w:hint="default"/>
      </w:rPr>
    </w:lvl>
    <w:lvl w:ilvl="5">
      <w:start w:val="1"/>
      <w:numFmt w:val="bullet"/>
      <w:lvlText w:val="•"/>
      <w:lvlJc w:val="left"/>
      <w:pPr>
        <w:ind w:left="4580" w:hanging="197"/>
      </w:pPr>
      <w:rPr>
        <w:rFonts w:hint="default"/>
      </w:rPr>
    </w:lvl>
    <w:lvl w:ilvl="6">
      <w:start w:val="1"/>
      <w:numFmt w:val="bullet"/>
      <w:lvlText w:val="•"/>
      <w:lvlJc w:val="left"/>
      <w:pPr>
        <w:ind w:left="5476" w:hanging="197"/>
      </w:pPr>
      <w:rPr>
        <w:rFonts w:hint="default"/>
      </w:rPr>
    </w:lvl>
    <w:lvl w:ilvl="7">
      <w:start w:val="1"/>
      <w:numFmt w:val="bullet"/>
      <w:lvlText w:val="•"/>
      <w:lvlJc w:val="left"/>
      <w:pPr>
        <w:ind w:left="6372" w:hanging="197"/>
      </w:pPr>
      <w:rPr>
        <w:rFonts w:hint="default"/>
      </w:rPr>
    </w:lvl>
    <w:lvl w:ilvl="8">
      <w:start w:val="1"/>
      <w:numFmt w:val="bullet"/>
      <w:lvlText w:val="•"/>
      <w:lvlJc w:val="left"/>
      <w:pPr>
        <w:ind w:left="7268" w:hanging="197"/>
      </w:pPr>
      <w:rPr>
        <w:rFonts w:hint="default"/>
      </w:rPr>
    </w:lvl>
  </w:abstractNum>
  <w:abstractNum w:abstractNumId="346">
    <w:multiLevelType w:val="hybridMultilevel"/>
    <w:lvl w:ilvl="0">
      <w:start w:val="1"/>
      <w:numFmt w:val="lowerLetter"/>
      <w:lvlText w:val="%1)"/>
      <w:lvlJc w:val="left"/>
      <w:pPr>
        <w:ind w:left="122" w:hanging="260"/>
        <w:jc w:val="left"/>
      </w:pPr>
      <w:rPr>
        <w:rFonts w:hint="default" w:ascii="Arial" w:hAnsi="Arial" w:eastAsia="Arial" w:cs="Arial"/>
        <w:w w:val="100"/>
        <w:sz w:val="22"/>
        <w:szCs w:val="22"/>
      </w:rPr>
    </w:lvl>
    <w:lvl w:ilvl="1">
      <w:start w:val="1"/>
      <w:numFmt w:val="bullet"/>
      <w:lvlText w:val="•"/>
      <w:lvlJc w:val="left"/>
      <w:pPr>
        <w:ind w:left="1016" w:hanging="260"/>
      </w:pPr>
      <w:rPr>
        <w:rFonts w:hint="default"/>
      </w:rPr>
    </w:lvl>
    <w:lvl w:ilvl="2">
      <w:start w:val="1"/>
      <w:numFmt w:val="bullet"/>
      <w:lvlText w:val="•"/>
      <w:lvlJc w:val="left"/>
      <w:pPr>
        <w:ind w:left="1912" w:hanging="260"/>
      </w:pPr>
      <w:rPr>
        <w:rFonts w:hint="default"/>
      </w:rPr>
    </w:lvl>
    <w:lvl w:ilvl="3">
      <w:start w:val="1"/>
      <w:numFmt w:val="bullet"/>
      <w:lvlText w:val="•"/>
      <w:lvlJc w:val="left"/>
      <w:pPr>
        <w:ind w:left="2808" w:hanging="260"/>
      </w:pPr>
      <w:rPr>
        <w:rFonts w:hint="default"/>
      </w:rPr>
    </w:lvl>
    <w:lvl w:ilvl="4">
      <w:start w:val="1"/>
      <w:numFmt w:val="bullet"/>
      <w:lvlText w:val="•"/>
      <w:lvlJc w:val="left"/>
      <w:pPr>
        <w:ind w:left="3704" w:hanging="260"/>
      </w:pPr>
      <w:rPr>
        <w:rFonts w:hint="default"/>
      </w:rPr>
    </w:lvl>
    <w:lvl w:ilvl="5">
      <w:start w:val="1"/>
      <w:numFmt w:val="bullet"/>
      <w:lvlText w:val="•"/>
      <w:lvlJc w:val="left"/>
      <w:pPr>
        <w:ind w:left="4600" w:hanging="260"/>
      </w:pPr>
      <w:rPr>
        <w:rFonts w:hint="default"/>
      </w:rPr>
    </w:lvl>
    <w:lvl w:ilvl="6">
      <w:start w:val="1"/>
      <w:numFmt w:val="bullet"/>
      <w:lvlText w:val="•"/>
      <w:lvlJc w:val="left"/>
      <w:pPr>
        <w:ind w:left="5496" w:hanging="260"/>
      </w:pPr>
      <w:rPr>
        <w:rFonts w:hint="default"/>
      </w:rPr>
    </w:lvl>
    <w:lvl w:ilvl="7">
      <w:start w:val="1"/>
      <w:numFmt w:val="bullet"/>
      <w:lvlText w:val="•"/>
      <w:lvlJc w:val="left"/>
      <w:pPr>
        <w:ind w:left="6392" w:hanging="260"/>
      </w:pPr>
      <w:rPr>
        <w:rFonts w:hint="default"/>
      </w:rPr>
    </w:lvl>
    <w:lvl w:ilvl="8">
      <w:start w:val="1"/>
      <w:numFmt w:val="bullet"/>
      <w:lvlText w:val="•"/>
      <w:lvlJc w:val="left"/>
      <w:pPr>
        <w:ind w:left="7288" w:hanging="260"/>
      </w:pPr>
      <w:rPr>
        <w:rFonts w:hint="default"/>
      </w:rPr>
    </w:lvl>
  </w:abstractNum>
  <w:abstractNum w:abstractNumId="345">
    <w:multiLevelType w:val="hybridMultilevel"/>
    <w:lvl w:ilvl="0">
      <w:start w:val="1"/>
      <w:numFmt w:val="lowerLetter"/>
      <w:lvlText w:val="(%1)"/>
      <w:lvlJc w:val="left"/>
      <w:pPr>
        <w:ind w:left="102" w:hanging="346"/>
        <w:jc w:val="left"/>
      </w:pPr>
      <w:rPr>
        <w:rFonts w:hint="default" w:ascii="Arial" w:hAnsi="Arial" w:eastAsia="Arial" w:cs="Arial"/>
        <w:w w:val="100"/>
        <w:sz w:val="22"/>
        <w:szCs w:val="22"/>
      </w:rPr>
    </w:lvl>
    <w:lvl w:ilvl="1">
      <w:start w:val="1"/>
      <w:numFmt w:val="bullet"/>
      <w:lvlText w:val="•"/>
      <w:lvlJc w:val="left"/>
      <w:pPr>
        <w:ind w:left="996" w:hanging="346"/>
      </w:pPr>
      <w:rPr>
        <w:rFonts w:hint="default"/>
      </w:rPr>
    </w:lvl>
    <w:lvl w:ilvl="2">
      <w:start w:val="1"/>
      <w:numFmt w:val="bullet"/>
      <w:lvlText w:val="•"/>
      <w:lvlJc w:val="left"/>
      <w:pPr>
        <w:ind w:left="1892" w:hanging="346"/>
      </w:pPr>
      <w:rPr>
        <w:rFonts w:hint="default"/>
      </w:rPr>
    </w:lvl>
    <w:lvl w:ilvl="3">
      <w:start w:val="1"/>
      <w:numFmt w:val="bullet"/>
      <w:lvlText w:val="•"/>
      <w:lvlJc w:val="left"/>
      <w:pPr>
        <w:ind w:left="2788" w:hanging="346"/>
      </w:pPr>
      <w:rPr>
        <w:rFonts w:hint="default"/>
      </w:rPr>
    </w:lvl>
    <w:lvl w:ilvl="4">
      <w:start w:val="1"/>
      <w:numFmt w:val="bullet"/>
      <w:lvlText w:val="•"/>
      <w:lvlJc w:val="left"/>
      <w:pPr>
        <w:ind w:left="3684" w:hanging="346"/>
      </w:pPr>
      <w:rPr>
        <w:rFonts w:hint="default"/>
      </w:rPr>
    </w:lvl>
    <w:lvl w:ilvl="5">
      <w:start w:val="1"/>
      <w:numFmt w:val="bullet"/>
      <w:lvlText w:val="•"/>
      <w:lvlJc w:val="left"/>
      <w:pPr>
        <w:ind w:left="4580" w:hanging="346"/>
      </w:pPr>
      <w:rPr>
        <w:rFonts w:hint="default"/>
      </w:rPr>
    </w:lvl>
    <w:lvl w:ilvl="6">
      <w:start w:val="1"/>
      <w:numFmt w:val="bullet"/>
      <w:lvlText w:val="•"/>
      <w:lvlJc w:val="left"/>
      <w:pPr>
        <w:ind w:left="5476" w:hanging="346"/>
      </w:pPr>
      <w:rPr>
        <w:rFonts w:hint="default"/>
      </w:rPr>
    </w:lvl>
    <w:lvl w:ilvl="7">
      <w:start w:val="1"/>
      <w:numFmt w:val="bullet"/>
      <w:lvlText w:val="•"/>
      <w:lvlJc w:val="left"/>
      <w:pPr>
        <w:ind w:left="6372" w:hanging="346"/>
      </w:pPr>
      <w:rPr>
        <w:rFonts w:hint="default"/>
      </w:rPr>
    </w:lvl>
    <w:lvl w:ilvl="8">
      <w:start w:val="1"/>
      <w:numFmt w:val="bullet"/>
      <w:lvlText w:val="•"/>
      <w:lvlJc w:val="left"/>
      <w:pPr>
        <w:ind w:left="7268" w:hanging="346"/>
      </w:pPr>
      <w:rPr>
        <w:rFonts w:hint="default"/>
      </w:rPr>
    </w:lvl>
  </w:abstractNum>
  <w:abstractNum w:abstractNumId="344">
    <w:multiLevelType w:val="hybridMultilevel"/>
    <w:lvl w:ilvl="0">
      <w:start w:val="1"/>
      <w:numFmt w:val="bullet"/>
      <w:lvlText w:val="-"/>
      <w:lvlJc w:val="left"/>
      <w:pPr>
        <w:ind w:left="102" w:hanging="149"/>
      </w:pPr>
      <w:rPr>
        <w:rFonts w:hint="default" w:ascii="Arial" w:hAnsi="Arial" w:eastAsia="Arial" w:cs="Arial"/>
        <w:w w:val="100"/>
        <w:sz w:val="22"/>
        <w:szCs w:val="22"/>
      </w:rPr>
    </w:lvl>
    <w:lvl w:ilvl="1">
      <w:start w:val="1"/>
      <w:numFmt w:val="bullet"/>
      <w:lvlText w:val="•"/>
      <w:lvlJc w:val="left"/>
      <w:pPr>
        <w:ind w:left="996" w:hanging="149"/>
      </w:pPr>
      <w:rPr>
        <w:rFonts w:hint="default"/>
      </w:rPr>
    </w:lvl>
    <w:lvl w:ilvl="2">
      <w:start w:val="1"/>
      <w:numFmt w:val="bullet"/>
      <w:lvlText w:val="•"/>
      <w:lvlJc w:val="left"/>
      <w:pPr>
        <w:ind w:left="1892" w:hanging="149"/>
      </w:pPr>
      <w:rPr>
        <w:rFonts w:hint="default"/>
      </w:rPr>
    </w:lvl>
    <w:lvl w:ilvl="3">
      <w:start w:val="1"/>
      <w:numFmt w:val="bullet"/>
      <w:lvlText w:val="•"/>
      <w:lvlJc w:val="left"/>
      <w:pPr>
        <w:ind w:left="2788" w:hanging="149"/>
      </w:pPr>
      <w:rPr>
        <w:rFonts w:hint="default"/>
      </w:rPr>
    </w:lvl>
    <w:lvl w:ilvl="4">
      <w:start w:val="1"/>
      <w:numFmt w:val="bullet"/>
      <w:lvlText w:val="•"/>
      <w:lvlJc w:val="left"/>
      <w:pPr>
        <w:ind w:left="3684" w:hanging="149"/>
      </w:pPr>
      <w:rPr>
        <w:rFonts w:hint="default"/>
      </w:rPr>
    </w:lvl>
    <w:lvl w:ilvl="5">
      <w:start w:val="1"/>
      <w:numFmt w:val="bullet"/>
      <w:lvlText w:val="•"/>
      <w:lvlJc w:val="left"/>
      <w:pPr>
        <w:ind w:left="4580" w:hanging="149"/>
      </w:pPr>
      <w:rPr>
        <w:rFonts w:hint="default"/>
      </w:rPr>
    </w:lvl>
    <w:lvl w:ilvl="6">
      <w:start w:val="1"/>
      <w:numFmt w:val="bullet"/>
      <w:lvlText w:val="•"/>
      <w:lvlJc w:val="left"/>
      <w:pPr>
        <w:ind w:left="5476" w:hanging="149"/>
      </w:pPr>
      <w:rPr>
        <w:rFonts w:hint="default"/>
      </w:rPr>
    </w:lvl>
    <w:lvl w:ilvl="7">
      <w:start w:val="1"/>
      <w:numFmt w:val="bullet"/>
      <w:lvlText w:val="•"/>
      <w:lvlJc w:val="left"/>
      <w:pPr>
        <w:ind w:left="6372" w:hanging="149"/>
      </w:pPr>
      <w:rPr>
        <w:rFonts w:hint="default"/>
      </w:rPr>
    </w:lvl>
    <w:lvl w:ilvl="8">
      <w:start w:val="1"/>
      <w:numFmt w:val="bullet"/>
      <w:lvlText w:val="•"/>
      <w:lvlJc w:val="left"/>
      <w:pPr>
        <w:ind w:left="7268" w:hanging="149"/>
      </w:pPr>
      <w:rPr>
        <w:rFonts w:hint="default"/>
      </w:rPr>
    </w:lvl>
  </w:abstractNum>
  <w:abstractNum w:abstractNumId="343">
    <w:multiLevelType w:val="hybridMultilevel"/>
    <w:lvl w:ilvl="0">
      <w:start w:val="1"/>
      <w:numFmt w:val="decimal"/>
      <w:lvlText w:val="%1."/>
      <w:lvlJc w:val="left"/>
      <w:pPr>
        <w:ind w:left="102" w:hanging="279"/>
        <w:jc w:val="left"/>
      </w:pPr>
      <w:rPr>
        <w:rFonts w:hint="default" w:ascii="Arial" w:hAnsi="Arial" w:eastAsia="Arial" w:cs="Arial"/>
        <w:w w:val="100"/>
        <w:sz w:val="22"/>
        <w:szCs w:val="22"/>
      </w:rPr>
    </w:lvl>
    <w:lvl w:ilvl="1">
      <w:start w:val="1"/>
      <w:numFmt w:val="bullet"/>
      <w:lvlText w:val="•"/>
      <w:lvlJc w:val="left"/>
      <w:pPr>
        <w:ind w:left="996" w:hanging="279"/>
      </w:pPr>
      <w:rPr>
        <w:rFonts w:hint="default"/>
      </w:rPr>
    </w:lvl>
    <w:lvl w:ilvl="2">
      <w:start w:val="1"/>
      <w:numFmt w:val="bullet"/>
      <w:lvlText w:val="•"/>
      <w:lvlJc w:val="left"/>
      <w:pPr>
        <w:ind w:left="1892" w:hanging="279"/>
      </w:pPr>
      <w:rPr>
        <w:rFonts w:hint="default"/>
      </w:rPr>
    </w:lvl>
    <w:lvl w:ilvl="3">
      <w:start w:val="1"/>
      <w:numFmt w:val="bullet"/>
      <w:lvlText w:val="•"/>
      <w:lvlJc w:val="left"/>
      <w:pPr>
        <w:ind w:left="2788" w:hanging="279"/>
      </w:pPr>
      <w:rPr>
        <w:rFonts w:hint="default"/>
      </w:rPr>
    </w:lvl>
    <w:lvl w:ilvl="4">
      <w:start w:val="1"/>
      <w:numFmt w:val="bullet"/>
      <w:lvlText w:val="•"/>
      <w:lvlJc w:val="left"/>
      <w:pPr>
        <w:ind w:left="3684" w:hanging="279"/>
      </w:pPr>
      <w:rPr>
        <w:rFonts w:hint="default"/>
      </w:rPr>
    </w:lvl>
    <w:lvl w:ilvl="5">
      <w:start w:val="1"/>
      <w:numFmt w:val="bullet"/>
      <w:lvlText w:val="•"/>
      <w:lvlJc w:val="left"/>
      <w:pPr>
        <w:ind w:left="4580" w:hanging="279"/>
      </w:pPr>
      <w:rPr>
        <w:rFonts w:hint="default"/>
      </w:rPr>
    </w:lvl>
    <w:lvl w:ilvl="6">
      <w:start w:val="1"/>
      <w:numFmt w:val="bullet"/>
      <w:lvlText w:val="•"/>
      <w:lvlJc w:val="left"/>
      <w:pPr>
        <w:ind w:left="5476" w:hanging="279"/>
      </w:pPr>
      <w:rPr>
        <w:rFonts w:hint="default"/>
      </w:rPr>
    </w:lvl>
    <w:lvl w:ilvl="7">
      <w:start w:val="1"/>
      <w:numFmt w:val="bullet"/>
      <w:lvlText w:val="•"/>
      <w:lvlJc w:val="left"/>
      <w:pPr>
        <w:ind w:left="6372" w:hanging="279"/>
      </w:pPr>
      <w:rPr>
        <w:rFonts w:hint="default"/>
      </w:rPr>
    </w:lvl>
    <w:lvl w:ilvl="8">
      <w:start w:val="1"/>
      <w:numFmt w:val="bullet"/>
      <w:lvlText w:val="•"/>
      <w:lvlJc w:val="left"/>
      <w:pPr>
        <w:ind w:left="7268" w:hanging="279"/>
      </w:pPr>
      <w:rPr>
        <w:rFonts w:hint="default"/>
      </w:rPr>
    </w:lvl>
  </w:abstractNum>
  <w:abstractNum w:abstractNumId="342">
    <w:multiLevelType w:val="hybridMultilevel"/>
    <w:lvl w:ilvl="0">
      <w:start w:val="1"/>
      <w:numFmt w:val="upperRoman"/>
      <w:lvlText w:val="%1"/>
      <w:lvlJc w:val="left"/>
      <w:pPr>
        <w:ind w:left="226" w:hanging="125"/>
        <w:jc w:val="left"/>
      </w:pPr>
      <w:rPr>
        <w:rFonts w:hint="default" w:ascii="Arial" w:hAnsi="Arial" w:eastAsia="Arial" w:cs="Arial"/>
        <w:b/>
        <w:bCs/>
        <w:w w:val="100"/>
        <w:sz w:val="22"/>
        <w:szCs w:val="22"/>
      </w:rPr>
    </w:lvl>
    <w:lvl w:ilvl="1">
      <w:start w:val="1"/>
      <w:numFmt w:val="bullet"/>
      <w:lvlText w:val="•"/>
      <w:lvlJc w:val="left"/>
      <w:pPr>
        <w:ind w:left="1104" w:hanging="125"/>
      </w:pPr>
      <w:rPr>
        <w:rFonts w:hint="default"/>
      </w:rPr>
    </w:lvl>
    <w:lvl w:ilvl="2">
      <w:start w:val="1"/>
      <w:numFmt w:val="bullet"/>
      <w:lvlText w:val="•"/>
      <w:lvlJc w:val="left"/>
      <w:pPr>
        <w:ind w:left="1988" w:hanging="125"/>
      </w:pPr>
      <w:rPr>
        <w:rFonts w:hint="default"/>
      </w:rPr>
    </w:lvl>
    <w:lvl w:ilvl="3">
      <w:start w:val="1"/>
      <w:numFmt w:val="bullet"/>
      <w:lvlText w:val="•"/>
      <w:lvlJc w:val="left"/>
      <w:pPr>
        <w:ind w:left="2872" w:hanging="125"/>
      </w:pPr>
      <w:rPr>
        <w:rFonts w:hint="default"/>
      </w:rPr>
    </w:lvl>
    <w:lvl w:ilvl="4">
      <w:start w:val="1"/>
      <w:numFmt w:val="bullet"/>
      <w:lvlText w:val="•"/>
      <w:lvlJc w:val="left"/>
      <w:pPr>
        <w:ind w:left="3756" w:hanging="125"/>
      </w:pPr>
      <w:rPr>
        <w:rFonts w:hint="default"/>
      </w:rPr>
    </w:lvl>
    <w:lvl w:ilvl="5">
      <w:start w:val="1"/>
      <w:numFmt w:val="bullet"/>
      <w:lvlText w:val="•"/>
      <w:lvlJc w:val="left"/>
      <w:pPr>
        <w:ind w:left="4640" w:hanging="125"/>
      </w:pPr>
      <w:rPr>
        <w:rFonts w:hint="default"/>
      </w:rPr>
    </w:lvl>
    <w:lvl w:ilvl="6">
      <w:start w:val="1"/>
      <w:numFmt w:val="bullet"/>
      <w:lvlText w:val="•"/>
      <w:lvlJc w:val="left"/>
      <w:pPr>
        <w:ind w:left="5524" w:hanging="125"/>
      </w:pPr>
      <w:rPr>
        <w:rFonts w:hint="default"/>
      </w:rPr>
    </w:lvl>
    <w:lvl w:ilvl="7">
      <w:start w:val="1"/>
      <w:numFmt w:val="bullet"/>
      <w:lvlText w:val="•"/>
      <w:lvlJc w:val="left"/>
      <w:pPr>
        <w:ind w:left="6408" w:hanging="125"/>
      </w:pPr>
      <w:rPr>
        <w:rFonts w:hint="default"/>
      </w:rPr>
    </w:lvl>
    <w:lvl w:ilvl="8">
      <w:start w:val="1"/>
      <w:numFmt w:val="bullet"/>
      <w:lvlText w:val="•"/>
      <w:lvlJc w:val="left"/>
      <w:pPr>
        <w:ind w:left="7292" w:hanging="125"/>
      </w:pPr>
      <w:rPr>
        <w:rFonts w:hint="default"/>
      </w:rPr>
    </w:lvl>
  </w:abstractNum>
  <w:abstractNum w:abstractNumId="341">
    <w:multiLevelType w:val="hybridMultilevel"/>
    <w:lvl w:ilvl="0">
      <w:start w:val="1"/>
      <w:numFmt w:val="lowerLetter"/>
      <w:lvlText w:val="%1)"/>
      <w:lvlJc w:val="left"/>
      <w:pPr>
        <w:ind w:left="358" w:hanging="257"/>
        <w:jc w:val="left"/>
      </w:pPr>
      <w:rPr>
        <w:rFonts w:hint="default" w:ascii="Arial" w:hAnsi="Arial" w:eastAsia="Arial" w:cs="Arial"/>
        <w:w w:val="100"/>
        <w:sz w:val="22"/>
        <w:szCs w:val="22"/>
      </w:rPr>
    </w:lvl>
    <w:lvl w:ilvl="1">
      <w:start w:val="1"/>
      <w:numFmt w:val="bullet"/>
      <w:lvlText w:val="•"/>
      <w:lvlJc w:val="left"/>
      <w:pPr>
        <w:ind w:left="1230" w:hanging="257"/>
      </w:pPr>
      <w:rPr>
        <w:rFonts w:hint="default"/>
      </w:rPr>
    </w:lvl>
    <w:lvl w:ilvl="2">
      <w:start w:val="1"/>
      <w:numFmt w:val="bullet"/>
      <w:lvlText w:val="•"/>
      <w:lvlJc w:val="left"/>
      <w:pPr>
        <w:ind w:left="2100" w:hanging="257"/>
      </w:pPr>
      <w:rPr>
        <w:rFonts w:hint="default"/>
      </w:rPr>
    </w:lvl>
    <w:lvl w:ilvl="3">
      <w:start w:val="1"/>
      <w:numFmt w:val="bullet"/>
      <w:lvlText w:val="•"/>
      <w:lvlJc w:val="left"/>
      <w:pPr>
        <w:ind w:left="2970" w:hanging="257"/>
      </w:pPr>
      <w:rPr>
        <w:rFonts w:hint="default"/>
      </w:rPr>
    </w:lvl>
    <w:lvl w:ilvl="4">
      <w:start w:val="1"/>
      <w:numFmt w:val="bullet"/>
      <w:lvlText w:val="•"/>
      <w:lvlJc w:val="left"/>
      <w:pPr>
        <w:ind w:left="3840" w:hanging="257"/>
      </w:pPr>
      <w:rPr>
        <w:rFonts w:hint="default"/>
      </w:rPr>
    </w:lvl>
    <w:lvl w:ilvl="5">
      <w:start w:val="1"/>
      <w:numFmt w:val="bullet"/>
      <w:lvlText w:val="•"/>
      <w:lvlJc w:val="left"/>
      <w:pPr>
        <w:ind w:left="4710" w:hanging="257"/>
      </w:pPr>
      <w:rPr>
        <w:rFonts w:hint="default"/>
      </w:rPr>
    </w:lvl>
    <w:lvl w:ilvl="6">
      <w:start w:val="1"/>
      <w:numFmt w:val="bullet"/>
      <w:lvlText w:val="•"/>
      <w:lvlJc w:val="left"/>
      <w:pPr>
        <w:ind w:left="5580" w:hanging="257"/>
      </w:pPr>
      <w:rPr>
        <w:rFonts w:hint="default"/>
      </w:rPr>
    </w:lvl>
    <w:lvl w:ilvl="7">
      <w:start w:val="1"/>
      <w:numFmt w:val="bullet"/>
      <w:lvlText w:val="•"/>
      <w:lvlJc w:val="left"/>
      <w:pPr>
        <w:ind w:left="6450" w:hanging="257"/>
      </w:pPr>
      <w:rPr>
        <w:rFonts w:hint="default"/>
      </w:rPr>
    </w:lvl>
    <w:lvl w:ilvl="8">
      <w:start w:val="1"/>
      <w:numFmt w:val="bullet"/>
      <w:lvlText w:val="•"/>
      <w:lvlJc w:val="left"/>
      <w:pPr>
        <w:ind w:left="7320" w:hanging="257"/>
      </w:pPr>
      <w:rPr>
        <w:rFonts w:hint="default"/>
      </w:rPr>
    </w:lvl>
  </w:abstractNum>
  <w:abstractNum w:abstractNumId="340">
    <w:multiLevelType w:val="hybridMultilevel"/>
    <w:lvl w:ilvl="0">
      <w:start w:val="1"/>
      <w:numFmt w:val="lowerLetter"/>
      <w:lvlText w:val="%1)"/>
      <w:lvlJc w:val="left"/>
      <w:pPr>
        <w:ind w:left="102" w:hanging="269"/>
        <w:jc w:val="left"/>
      </w:pPr>
      <w:rPr>
        <w:rFonts w:hint="default"/>
        <w:w w:val="100"/>
      </w:rPr>
    </w:lvl>
    <w:lvl w:ilvl="1">
      <w:start w:val="1"/>
      <w:numFmt w:val="bullet"/>
      <w:lvlText w:val="•"/>
      <w:lvlJc w:val="left"/>
      <w:pPr>
        <w:ind w:left="996" w:hanging="269"/>
      </w:pPr>
      <w:rPr>
        <w:rFonts w:hint="default"/>
      </w:rPr>
    </w:lvl>
    <w:lvl w:ilvl="2">
      <w:start w:val="1"/>
      <w:numFmt w:val="bullet"/>
      <w:lvlText w:val="•"/>
      <w:lvlJc w:val="left"/>
      <w:pPr>
        <w:ind w:left="1892" w:hanging="269"/>
      </w:pPr>
      <w:rPr>
        <w:rFonts w:hint="default"/>
      </w:rPr>
    </w:lvl>
    <w:lvl w:ilvl="3">
      <w:start w:val="1"/>
      <w:numFmt w:val="bullet"/>
      <w:lvlText w:val="•"/>
      <w:lvlJc w:val="left"/>
      <w:pPr>
        <w:ind w:left="2788" w:hanging="269"/>
      </w:pPr>
      <w:rPr>
        <w:rFonts w:hint="default"/>
      </w:rPr>
    </w:lvl>
    <w:lvl w:ilvl="4">
      <w:start w:val="1"/>
      <w:numFmt w:val="bullet"/>
      <w:lvlText w:val="•"/>
      <w:lvlJc w:val="left"/>
      <w:pPr>
        <w:ind w:left="3684" w:hanging="269"/>
      </w:pPr>
      <w:rPr>
        <w:rFonts w:hint="default"/>
      </w:rPr>
    </w:lvl>
    <w:lvl w:ilvl="5">
      <w:start w:val="1"/>
      <w:numFmt w:val="bullet"/>
      <w:lvlText w:val="•"/>
      <w:lvlJc w:val="left"/>
      <w:pPr>
        <w:ind w:left="4580" w:hanging="269"/>
      </w:pPr>
      <w:rPr>
        <w:rFonts w:hint="default"/>
      </w:rPr>
    </w:lvl>
    <w:lvl w:ilvl="6">
      <w:start w:val="1"/>
      <w:numFmt w:val="bullet"/>
      <w:lvlText w:val="•"/>
      <w:lvlJc w:val="left"/>
      <w:pPr>
        <w:ind w:left="5476" w:hanging="269"/>
      </w:pPr>
      <w:rPr>
        <w:rFonts w:hint="default"/>
      </w:rPr>
    </w:lvl>
    <w:lvl w:ilvl="7">
      <w:start w:val="1"/>
      <w:numFmt w:val="bullet"/>
      <w:lvlText w:val="•"/>
      <w:lvlJc w:val="left"/>
      <w:pPr>
        <w:ind w:left="6372" w:hanging="269"/>
      </w:pPr>
      <w:rPr>
        <w:rFonts w:hint="default"/>
      </w:rPr>
    </w:lvl>
    <w:lvl w:ilvl="8">
      <w:start w:val="1"/>
      <w:numFmt w:val="bullet"/>
      <w:lvlText w:val="•"/>
      <w:lvlJc w:val="left"/>
      <w:pPr>
        <w:ind w:left="7268" w:hanging="269"/>
      </w:pPr>
      <w:rPr>
        <w:rFonts w:hint="default"/>
      </w:rPr>
    </w:lvl>
  </w:abstractNum>
  <w:abstractNum w:abstractNumId="339">
    <w:multiLevelType w:val="hybridMultilevel"/>
    <w:lvl w:ilvl="0">
      <w:start w:val="1"/>
      <w:numFmt w:val="bullet"/>
      <w:lvlText w:val="-"/>
      <w:lvlJc w:val="left"/>
      <w:pPr>
        <w:ind w:left="238" w:hanging="137"/>
      </w:pPr>
      <w:rPr>
        <w:rFonts w:hint="default" w:ascii="Arial" w:hAnsi="Arial" w:eastAsia="Arial" w:cs="Arial"/>
        <w:i/>
        <w:w w:val="100"/>
        <w:sz w:val="22"/>
        <w:szCs w:val="22"/>
      </w:rPr>
    </w:lvl>
    <w:lvl w:ilvl="1">
      <w:start w:val="1"/>
      <w:numFmt w:val="bullet"/>
      <w:lvlText w:val="•"/>
      <w:lvlJc w:val="left"/>
      <w:pPr>
        <w:ind w:left="1122" w:hanging="137"/>
      </w:pPr>
      <w:rPr>
        <w:rFonts w:hint="default"/>
      </w:rPr>
    </w:lvl>
    <w:lvl w:ilvl="2">
      <w:start w:val="1"/>
      <w:numFmt w:val="bullet"/>
      <w:lvlText w:val="•"/>
      <w:lvlJc w:val="left"/>
      <w:pPr>
        <w:ind w:left="2004" w:hanging="137"/>
      </w:pPr>
      <w:rPr>
        <w:rFonts w:hint="default"/>
      </w:rPr>
    </w:lvl>
    <w:lvl w:ilvl="3">
      <w:start w:val="1"/>
      <w:numFmt w:val="bullet"/>
      <w:lvlText w:val="•"/>
      <w:lvlJc w:val="left"/>
      <w:pPr>
        <w:ind w:left="2886" w:hanging="137"/>
      </w:pPr>
      <w:rPr>
        <w:rFonts w:hint="default"/>
      </w:rPr>
    </w:lvl>
    <w:lvl w:ilvl="4">
      <w:start w:val="1"/>
      <w:numFmt w:val="bullet"/>
      <w:lvlText w:val="•"/>
      <w:lvlJc w:val="left"/>
      <w:pPr>
        <w:ind w:left="3768" w:hanging="137"/>
      </w:pPr>
      <w:rPr>
        <w:rFonts w:hint="default"/>
      </w:rPr>
    </w:lvl>
    <w:lvl w:ilvl="5">
      <w:start w:val="1"/>
      <w:numFmt w:val="bullet"/>
      <w:lvlText w:val="•"/>
      <w:lvlJc w:val="left"/>
      <w:pPr>
        <w:ind w:left="4650" w:hanging="137"/>
      </w:pPr>
      <w:rPr>
        <w:rFonts w:hint="default"/>
      </w:rPr>
    </w:lvl>
    <w:lvl w:ilvl="6">
      <w:start w:val="1"/>
      <w:numFmt w:val="bullet"/>
      <w:lvlText w:val="•"/>
      <w:lvlJc w:val="left"/>
      <w:pPr>
        <w:ind w:left="5532" w:hanging="137"/>
      </w:pPr>
      <w:rPr>
        <w:rFonts w:hint="default"/>
      </w:rPr>
    </w:lvl>
    <w:lvl w:ilvl="7">
      <w:start w:val="1"/>
      <w:numFmt w:val="bullet"/>
      <w:lvlText w:val="•"/>
      <w:lvlJc w:val="left"/>
      <w:pPr>
        <w:ind w:left="6414" w:hanging="137"/>
      </w:pPr>
      <w:rPr>
        <w:rFonts w:hint="default"/>
      </w:rPr>
    </w:lvl>
    <w:lvl w:ilvl="8">
      <w:start w:val="1"/>
      <w:numFmt w:val="bullet"/>
      <w:lvlText w:val="•"/>
      <w:lvlJc w:val="left"/>
      <w:pPr>
        <w:ind w:left="7296" w:hanging="137"/>
      </w:pPr>
      <w:rPr>
        <w:rFonts w:hint="default"/>
      </w:rPr>
    </w:lvl>
  </w:abstractNum>
  <w:abstractNum w:abstractNumId="338">
    <w:multiLevelType w:val="hybridMultilevel"/>
    <w:lvl w:ilvl="0">
      <w:start w:val="1"/>
      <w:numFmt w:val="lowerLetter"/>
      <w:lvlText w:val="%1)"/>
      <w:lvlJc w:val="left"/>
      <w:pPr>
        <w:ind w:left="102" w:hanging="259"/>
        <w:jc w:val="left"/>
      </w:pPr>
      <w:rPr>
        <w:rFonts w:hint="default"/>
        <w:i/>
        <w:w w:val="100"/>
      </w:rPr>
    </w:lvl>
    <w:lvl w:ilvl="1">
      <w:start w:val="1"/>
      <w:numFmt w:val="bullet"/>
      <w:lvlText w:val="•"/>
      <w:lvlJc w:val="left"/>
      <w:pPr>
        <w:ind w:left="996" w:hanging="259"/>
      </w:pPr>
      <w:rPr>
        <w:rFonts w:hint="default"/>
      </w:rPr>
    </w:lvl>
    <w:lvl w:ilvl="2">
      <w:start w:val="1"/>
      <w:numFmt w:val="bullet"/>
      <w:lvlText w:val="•"/>
      <w:lvlJc w:val="left"/>
      <w:pPr>
        <w:ind w:left="1892" w:hanging="259"/>
      </w:pPr>
      <w:rPr>
        <w:rFonts w:hint="default"/>
      </w:rPr>
    </w:lvl>
    <w:lvl w:ilvl="3">
      <w:start w:val="1"/>
      <w:numFmt w:val="bullet"/>
      <w:lvlText w:val="•"/>
      <w:lvlJc w:val="left"/>
      <w:pPr>
        <w:ind w:left="2788" w:hanging="259"/>
      </w:pPr>
      <w:rPr>
        <w:rFonts w:hint="default"/>
      </w:rPr>
    </w:lvl>
    <w:lvl w:ilvl="4">
      <w:start w:val="1"/>
      <w:numFmt w:val="bullet"/>
      <w:lvlText w:val="•"/>
      <w:lvlJc w:val="left"/>
      <w:pPr>
        <w:ind w:left="3684" w:hanging="259"/>
      </w:pPr>
      <w:rPr>
        <w:rFonts w:hint="default"/>
      </w:rPr>
    </w:lvl>
    <w:lvl w:ilvl="5">
      <w:start w:val="1"/>
      <w:numFmt w:val="bullet"/>
      <w:lvlText w:val="•"/>
      <w:lvlJc w:val="left"/>
      <w:pPr>
        <w:ind w:left="4580" w:hanging="259"/>
      </w:pPr>
      <w:rPr>
        <w:rFonts w:hint="default"/>
      </w:rPr>
    </w:lvl>
    <w:lvl w:ilvl="6">
      <w:start w:val="1"/>
      <w:numFmt w:val="bullet"/>
      <w:lvlText w:val="•"/>
      <w:lvlJc w:val="left"/>
      <w:pPr>
        <w:ind w:left="5476" w:hanging="259"/>
      </w:pPr>
      <w:rPr>
        <w:rFonts w:hint="default"/>
      </w:rPr>
    </w:lvl>
    <w:lvl w:ilvl="7">
      <w:start w:val="1"/>
      <w:numFmt w:val="bullet"/>
      <w:lvlText w:val="•"/>
      <w:lvlJc w:val="left"/>
      <w:pPr>
        <w:ind w:left="6372" w:hanging="259"/>
      </w:pPr>
      <w:rPr>
        <w:rFonts w:hint="default"/>
      </w:rPr>
    </w:lvl>
    <w:lvl w:ilvl="8">
      <w:start w:val="1"/>
      <w:numFmt w:val="bullet"/>
      <w:lvlText w:val="•"/>
      <w:lvlJc w:val="left"/>
      <w:pPr>
        <w:ind w:left="7268" w:hanging="259"/>
      </w:pPr>
      <w:rPr>
        <w:rFonts w:hint="default"/>
      </w:rPr>
    </w:lvl>
  </w:abstractNum>
  <w:abstractNum w:abstractNumId="337">
    <w:multiLevelType w:val="hybridMultilevel"/>
    <w:lvl w:ilvl="0">
      <w:start w:val="8"/>
      <w:numFmt w:val="decimal"/>
      <w:lvlText w:val="%1"/>
      <w:lvlJc w:val="left"/>
      <w:pPr>
        <w:ind w:left="531" w:hanging="430"/>
        <w:jc w:val="left"/>
      </w:pPr>
      <w:rPr>
        <w:rFonts w:hint="default"/>
      </w:rPr>
    </w:lvl>
    <w:lvl w:ilvl="1">
      <w:start w:val="1"/>
      <w:numFmt w:val="decimal"/>
      <w:lvlText w:val="%1.%2."/>
      <w:lvlJc w:val="left"/>
      <w:pPr>
        <w:ind w:left="531" w:hanging="430"/>
        <w:jc w:val="left"/>
      </w:pPr>
      <w:rPr>
        <w:rFonts w:hint="default" w:ascii="Arial" w:hAnsi="Arial" w:eastAsia="Arial" w:cs="Arial"/>
        <w:b/>
        <w:bCs/>
        <w:w w:val="100"/>
        <w:sz w:val="22"/>
        <w:szCs w:val="22"/>
      </w:rPr>
    </w:lvl>
    <w:lvl w:ilvl="2">
      <w:start w:val="1"/>
      <w:numFmt w:val="bullet"/>
      <w:lvlText w:val="•"/>
      <w:lvlJc w:val="left"/>
      <w:pPr>
        <w:ind w:left="2244" w:hanging="430"/>
      </w:pPr>
      <w:rPr>
        <w:rFonts w:hint="default"/>
      </w:rPr>
    </w:lvl>
    <w:lvl w:ilvl="3">
      <w:start w:val="1"/>
      <w:numFmt w:val="bullet"/>
      <w:lvlText w:val="•"/>
      <w:lvlJc w:val="left"/>
      <w:pPr>
        <w:ind w:left="3096" w:hanging="430"/>
      </w:pPr>
      <w:rPr>
        <w:rFonts w:hint="default"/>
      </w:rPr>
    </w:lvl>
    <w:lvl w:ilvl="4">
      <w:start w:val="1"/>
      <w:numFmt w:val="bullet"/>
      <w:lvlText w:val="•"/>
      <w:lvlJc w:val="left"/>
      <w:pPr>
        <w:ind w:left="3948" w:hanging="430"/>
      </w:pPr>
      <w:rPr>
        <w:rFonts w:hint="default"/>
      </w:rPr>
    </w:lvl>
    <w:lvl w:ilvl="5">
      <w:start w:val="1"/>
      <w:numFmt w:val="bullet"/>
      <w:lvlText w:val="•"/>
      <w:lvlJc w:val="left"/>
      <w:pPr>
        <w:ind w:left="4800" w:hanging="430"/>
      </w:pPr>
      <w:rPr>
        <w:rFonts w:hint="default"/>
      </w:rPr>
    </w:lvl>
    <w:lvl w:ilvl="6">
      <w:start w:val="1"/>
      <w:numFmt w:val="bullet"/>
      <w:lvlText w:val="•"/>
      <w:lvlJc w:val="left"/>
      <w:pPr>
        <w:ind w:left="5652" w:hanging="430"/>
      </w:pPr>
      <w:rPr>
        <w:rFonts w:hint="default"/>
      </w:rPr>
    </w:lvl>
    <w:lvl w:ilvl="7">
      <w:start w:val="1"/>
      <w:numFmt w:val="bullet"/>
      <w:lvlText w:val="•"/>
      <w:lvlJc w:val="left"/>
      <w:pPr>
        <w:ind w:left="6504" w:hanging="430"/>
      </w:pPr>
      <w:rPr>
        <w:rFonts w:hint="default"/>
      </w:rPr>
    </w:lvl>
    <w:lvl w:ilvl="8">
      <w:start w:val="1"/>
      <w:numFmt w:val="bullet"/>
      <w:lvlText w:val="•"/>
      <w:lvlJc w:val="left"/>
      <w:pPr>
        <w:ind w:left="7356" w:hanging="430"/>
      </w:pPr>
      <w:rPr>
        <w:rFonts w:hint="default"/>
      </w:rPr>
    </w:lvl>
  </w:abstractNum>
  <w:abstractNum w:abstractNumId="336">
    <w:multiLevelType w:val="hybridMultilevel"/>
    <w:lvl w:ilvl="0">
      <w:start w:val="1"/>
      <w:numFmt w:val="bullet"/>
      <w:lvlText w:val="-"/>
      <w:lvlJc w:val="left"/>
      <w:pPr>
        <w:ind w:left="103" w:hanging="140"/>
      </w:pPr>
      <w:rPr>
        <w:rFonts w:hint="default" w:ascii="Arial" w:hAnsi="Arial" w:eastAsia="Arial" w:cs="Arial"/>
        <w:w w:val="100"/>
        <w:sz w:val="22"/>
        <w:szCs w:val="22"/>
      </w:rPr>
    </w:lvl>
    <w:lvl w:ilvl="1">
      <w:start w:val="1"/>
      <w:numFmt w:val="bullet"/>
      <w:lvlText w:val="•"/>
      <w:lvlJc w:val="left"/>
      <w:pPr>
        <w:ind w:left="1378" w:hanging="140"/>
      </w:pPr>
      <w:rPr>
        <w:rFonts w:hint="default"/>
      </w:rPr>
    </w:lvl>
    <w:lvl w:ilvl="2">
      <w:start w:val="1"/>
      <w:numFmt w:val="bullet"/>
      <w:lvlText w:val="•"/>
      <w:lvlJc w:val="left"/>
      <w:pPr>
        <w:ind w:left="2657" w:hanging="140"/>
      </w:pPr>
      <w:rPr>
        <w:rFonts w:hint="default"/>
      </w:rPr>
    </w:lvl>
    <w:lvl w:ilvl="3">
      <w:start w:val="1"/>
      <w:numFmt w:val="bullet"/>
      <w:lvlText w:val="•"/>
      <w:lvlJc w:val="left"/>
      <w:pPr>
        <w:ind w:left="3936" w:hanging="140"/>
      </w:pPr>
      <w:rPr>
        <w:rFonts w:hint="default"/>
      </w:rPr>
    </w:lvl>
    <w:lvl w:ilvl="4">
      <w:start w:val="1"/>
      <w:numFmt w:val="bullet"/>
      <w:lvlText w:val="•"/>
      <w:lvlJc w:val="left"/>
      <w:pPr>
        <w:ind w:left="5215" w:hanging="140"/>
      </w:pPr>
      <w:rPr>
        <w:rFonts w:hint="default"/>
      </w:rPr>
    </w:lvl>
    <w:lvl w:ilvl="5">
      <w:start w:val="1"/>
      <w:numFmt w:val="bullet"/>
      <w:lvlText w:val="•"/>
      <w:lvlJc w:val="left"/>
      <w:pPr>
        <w:ind w:left="6493" w:hanging="140"/>
      </w:pPr>
      <w:rPr>
        <w:rFonts w:hint="default"/>
      </w:rPr>
    </w:lvl>
    <w:lvl w:ilvl="6">
      <w:start w:val="1"/>
      <w:numFmt w:val="bullet"/>
      <w:lvlText w:val="•"/>
      <w:lvlJc w:val="left"/>
      <w:pPr>
        <w:ind w:left="7772" w:hanging="140"/>
      </w:pPr>
      <w:rPr>
        <w:rFonts w:hint="default"/>
      </w:rPr>
    </w:lvl>
    <w:lvl w:ilvl="7">
      <w:start w:val="1"/>
      <w:numFmt w:val="bullet"/>
      <w:lvlText w:val="•"/>
      <w:lvlJc w:val="left"/>
      <w:pPr>
        <w:ind w:left="9051" w:hanging="140"/>
      </w:pPr>
      <w:rPr>
        <w:rFonts w:hint="default"/>
      </w:rPr>
    </w:lvl>
    <w:lvl w:ilvl="8">
      <w:start w:val="1"/>
      <w:numFmt w:val="bullet"/>
      <w:lvlText w:val="•"/>
      <w:lvlJc w:val="left"/>
      <w:pPr>
        <w:ind w:left="10330" w:hanging="140"/>
      </w:pPr>
      <w:rPr>
        <w:rFonts w:hint="default"/>
      </w:rPr>
    </w:lvl>
  </w:abstractNum>
  <w:abstractNum w:abstractNumId="335">
    <w:multiLevelType w:val="hybridMultilevel"/>
    <w:lvl w:ilvl="0">
      <w:start w:val="1"/>
      <w:numFmt w:val="bullet"/>
      <w:lvlText w:val="-"/>
      <w:lvlJc w:val="left"/>
      <w:pPr>
        <w:ind w:left="27" w:hanging="142"/>
      </w:pPr>
      <w:rPr>
        <w:rFonts w:hint="default" w:ascii="Arial" w:hAnsi="Arial" w:eastAsia="Arial" w:cs="Arial"/>
        <w:w w:val="100"/>
        <w:sz w:val="22"/>
        <w:szCs w:val="22"/>
      </w:rPr>
    </w:lvl>
    <w:lvl w:ilvl="1">
      <w:start w:val="1"/>
      <w:numFmt w:val="bullet"/>
      <w:lvlText w:val="•"/>
      <w:lvlJc w:val="left"/>
      <w:pPr>
        <w:ind w:left="1299" w:hanging="142"/>
      </w:pPr>
      <w:rPr>
        <w:rFonts w:hint="default"/>
      </w:rPr>
    </w:lvl>
    <w:lvl w:ilvl="2">
      <w:start w:val="1"/>
      <w:numFmt w:val="bullet"/>
      <w:lvlText w:val="•"/>
      <w:lvlJc w:val="left"/>
      <w:pPr>
        <w:ind w:left="2578" w:hanging="142"/>
      </w:pPr>
      <w:rPr>
        <w:rFonts w:hint="default"/>
      </w:rPr>
    </w:lvl>
    <w:lvl w:ilvl="3">
      <w:start w:val="1"/>
      <w:numFmt w:val="bullet"/>
      <w:lvlText w:val="•"/>
      <w:lvlJc w:val="left"/>
      <w:pPr>
        <w:ind w:left="3857" w:hanging="142"/>
      </w:pPr>
      <w:rPr>
        <w:rFonts w:hint="default"/>
      </w:rPr>
    </w:lvl>
    <w:lvl w:ilvl="4">
      <w:start w:val="1"/>
      <w:numFmt w:val="bullet"/>
      <w:lvlText w:val="•"/>
      <w:lvlJc w:val="left"/>
      <w:pPr>
        <w:ind w:left="5136" w:hanging="142"/>
      </w:pPr>
      <w:rPr>
        <w:rFonts w:hint="default"/>
      </w:rPr>
    </w:lvl>
    <w:lvl w:ilvl="5">
      <w:start w:val="1"/>
      <w:numFmt w:val="bullet"/>
      <w:lvlText w:val="•"/>
      <w:lvlJc w:val="left"/>
      <w:pPr>
        <w:ind w:left="6416" w:hanging="142"/>
      </w:pPr>
      <w:rPr>
        <w:rFonts w:hint="default"/>
      </w:rPr>
    </w:lvl>
    <w:lvl w:ilvl="6">
      <w:start w:val="1"/>
      <w:numFmt w:val="bullet"/>
      <w:lvlText w:val="•"/>
      <w:lvlJc w:val="left"/>
      <w:pPr>
        <w:ind w:left="7695" w:hanging="142"/>
      </w:pPr>
      <w:rPr>
        <w:rFonts w:hint="default"/>
      </w:rPr>
    </w:lvl>
    <w:lvl w:ilvl="7">
      <w:start w:val="1"/>
      <w:numFmt w:val="bullet"/>
      <w:lvlText w:val="•"/>
      <w:lvlJc w:val="left"/>
      <w:pPr>
        <w:ind w:left="8974" w:hanging="142"/>
      </w:pPr>
      <w:rPr>
        <w:rFonts w:hint="default"/>
      </w:rPr>
    </w:lvl>
    <w:lvl w:ilvl="8">
      <w:start w:val="1"/>
      <w:numFmt w:val="bullet"/>
      <w:lvlText w:val="•"/>
      <w:lvlJc w:val="left"/>
      <w:pPr>
        <w:ind w:left="10253" w:hanging="142"/>
      </w:pPr>
      <w:rPr>
        <w:rFonts w:hint="default"/>
      </w:rPr>
    </w:lvl>
  </w:abstractNum>
  <w:abstractNum w:abstractNumId="334">
    <w:multiLevelType w:val="hybridMultilevel"/>
    <w:lvl w:ilvl="0">
      <w:start w:val="1"/>
      <w:numFmt w:val="bullet"/>
      <w:lvlText w:val=""/>
      <w:lvlJc w:val="left"/>
      <w:pPr>
        <w:ind w:left="278"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333">
    <w:multiLevelType w:val="hybridMultilevel"/>
    <w:lvl w:ilvl="0">
      <w:start w:val="1"/>
      <w:numFmt w:val="bullet"/>
      <w:lvlText w:val=""/>
      <w:lvlJc w:val="left"/>
      <w:pPr>
        <w:ind w:left="278"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332">
    <w:multiLevelType w:val="hybridMultilevel"/>
    <w:lvl w:ilvl="0">
      <w:start w:val="1"/>
      <w:numFmt w:val="bullet"/>
      <w:lvlText w:val=""/>
      <w:lvlJc w:val="left"/>
      <w:pPr>
        <w:ind w:left="278"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331">
    <w:multiLevelType w:val="hybridMultilevel"/>
    <w:lvl w:ilvl="0">
      <w:start w:val="1"/>
      <w:numFmt w:val="bullet"/>
      <w:lvlText w:val=""/>
      <w:lvlJc w:val="left"/>
      <w:pPr>
        <w:ind w:left="278"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330">
    <w:multiLevelType w:val="hybridMultilevel"/>
    <w:lvl w:ilvl="0">
      <w:start w:val="1"/>
      <w:numFmt w:val="bullet"/>
      <w:lvlText w:val=""/>
      <w:lvlJc w:val="left"/>
      <w:pPr>
        <w:ind w:left="278"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329">
    <w:multiLevelType w:val="hybridMultilevel"/>
    <w:lvl w:ilvl="0">
      <w:start w:val="1"/>
      <w:numFmt w:val="bullet"/>
      <w:lvlText w:val=""/>
      <w:lvlJc w:val="left"/>
      <w:pPr>
        <w:ind w:left="278"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328">
    <w:multiLevelType w:val="hybridMultilevel"/>
    <w:lvl w:ilvl="0">
      <w:start w:val="1"/>
      <w:numFmt w:val="bullet"/>
      <w:lvlText w:val=""/>
      <w:lvlJc w:val="left"/>
      <w:pPr>
        <w:ind w:left="278"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327">
    <w:multiLevelType w:val="hybridMultilevel"/>
    <w:lvl w:ilvl="0">
      <w:start w:val="1"/>
      <w:numFmt w:val="bullet"/>
      <w:lvlText w:val=""/>
      <w:lvlJc w:val="left"/>
      <w:pPr>
        <w:ind w:left="808" w:hanging="672"/>
      </w:pPr>
      <w:rPr>
        <w:rFonts w:hint="default" w:ascii="Wingdings" w:hAnsi="Wingdings" w:eastAsia="Wingdings" w:cs="Wingdings"/>
        <w:w w:val="99"/>
        <w:sz w:val="20"/>
        <w:szCs w:val="20"/>
      </w:rPr>
    </w:lvl>
    <w:lvl w:ilvl="1">
      <w:start w:val="1"/>
      <w:numFmt w:val="bullet"/>
      <w:lvlText w:val="•"/>
      <w:lvlJc w:val="left"/>
      <w:pPr>
        <w:ind w:left="1032" w:hanging="672"/>
      </w:pPr>
      <w:rPr>
        <w:rFonts w:hint="default"/>
      </w:rPr>
    </w:lvl>
    <w:lvl w:ilvl="2">
      <w:start w:val="1"/>
      <w:numFmt w:val="bullet"/>
      <w:lvlText w:val="•"/>
      <w:lvlJc w:val="left"/>
      <w:pPr>
        <w:ind w:left="1264" w:hanging="672"/>
      </w:pPr>
      <w:rPr>
        <w:rFonts w:hint="default"/>
      </w:rPr>
    </w:lvl>
    <w:lvl w:ilvl="3">
      <w:start w:val="1"/>
      <w:numFmt w:val="bullet"/>
      <w:lvlText w:val="•"/>
      <w:lvlJc w:val="left"/>
      <w:pPr>
        <w:ind w:left="1496" w:hanging="672"/>
      </w:pPr>
      <w:rPr>
        <w:rFonts w:hint="default"/>
      </w:rPr>
    </w:lvl>
    <w:lvl w:ilvl="4">
      <w:start w:val="1"/>
      <w:numFmt w:val="bullet"/>
      <w:lvlText w:val="•"/>
      <w:lvlJc w:val="left"/>
      <w:pPr>
        <w:ind w:left="1728" w:hanging="672"/>
      </w:pPr>
      <w:rPr>
        <w:rFonts w:hint="default"/>
      </w:rPr>
    </w:lvl>
    <w:lvl w:ilvl="5">
      <w:start w:val="1"/>
      <w:numFmt w:val="bullet"/>
      <w:lvlText w:val="•"/>
      <w:lvlJc w:val="left"/>
      <w:pPr>
        <w:ind w:left="1961" w:hanging="672"/>
      </w:pPr>
      <w:rPr>
        <w:rFonts w:hint="default"/>
      </w:rPr>
    </w:lvl>
    <w:lvl w:ilvl="6">
      <w:start w:val="1"/>
      <w:numFmt w:val="bullet"/>
      <w:lvlText w:val="•"/>
      <w:lvlJc w:val="left"/>
      <w:pPr>
        <w:ind w:left="2193" w:hanging="672"/>
      </w:pPr>
      <w:rPr>
        <w:rFonts w:hint="default"/>
      </w:rPr>
    </w:lvl>
    <w:lvl w:ilvl="7">
      <w:start w:val="1"/>
      <w:numFmt w:val="bullet"/>
      <w:lvlText w:val="•"/>
      <w:lvlJc w:val="left"/>
      <w:pPr>
        <w:ind w:left="2425" w:hanging="672"/>
      </w:pPr>
      <w:rPr>
        <w:rFonts w:hint="default"/>
      </w:rPr>
    </w:lvl>
    <w:lvl w:ilvl="8">
      <w:start w:val="1"/>
      <w:numFmt w:val="bullet"/>
      <w:lvlText w:val="•"/>
      <w:lvlJc w:val="left"/>
      <w:pPr>
        <w:ind w:left="2657" w:hanging="672"/>
      </w:pPr>
      <w:rPr>
        <w:rFonts w:hint="default"/>
      </w:rPr>
    </w:lvl>
  </w:abstractNum>
  <w:abstractNum w:abstractNumId="326">
    <w:multiLevelType w:val="hybridMultilevel"/>
    <w:lvl w:ilvl="0">
      <w:start w:val="1"/>
      <w:numFmt w:val="bullet"/>
      <w:lvlText w:val=""/>
      <w:lvlJc w:val="left"/>
      <w:pPr>
        <w:ind w:left="278"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325">
    <w:multiLevelType w:val="hybridMultilevel"/>
    <w:lvl w:ilvl="0">
      <w:start w:val="1"/>
      <w:numFmt w:val="bullet"/>
      <w:lvlText w:val=""/>
      <w:lvlJc w:val="left"/>
      <w:pPr>
        <w:ind w:left="278"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324">
    <w:multiLevelType w:val="hybridMultilevel"/>
    <w:lvl w:ilvl="0">
      <w:start w:val="1"/>
      <w:numFmt w:val="bullet"/>
      <w:lvlText w:val="-"/>
      <w:lvlJc w:val="left"/>
      <w:pPr>
        <w:ind w:left="64" w:hanging="147"/>
      </w:pPr>
      <w:rPr>
        <w:rFonts w:hint="default" w:ascii="Arial" w:hAnsi="Arial" w:eastAsia="Arial" w:cs="Arial"/>
        <w:w w:val="100"/>
        <w:sz w:val="22"/>
        <w:szCs w:val="22"/>
      </w:rPr>
    </w:lvl>
    <w:lvl w:ilvl="1">
      <w:start w:val="1"/>
      <w:numFmt w:val="bullet"/>
      <w:lvlText w:val="•"/>
      <w:lvlJc w:val="left"/>
      <w:pPr>
        <w:ind w:left="1342" w:hanging="147"/>
      </w:pPr>
      <w:rPr>
        <w:rFonts w:hint="default"/>
      </w:rPr>
    </w:lvl>
    <w:lvl w:ilvl="2">
      <w:start w:val="1"/>
      <w:numFmt w:val="bullet"/>
      <w:lvlText w:val="•"/>
      <w:lvlJc w:val="left"/>
      <w:pPr>
        <w:ind w:left="2625" w:hanging="147"/>
      </w:pPr>
      <w:rPr>
        <w:rFonts w:hint="default"/>
      </w:rPr>
    </w:lvl>
    <w:lvl w:ilvl="3">
      <w:start w:val="1"/>
      <w:numFmt w:val="bullet"/>
      <w:lvlText w:val="•"/>
      <w:lvlJc w:val="left"/>
      <w:pPr>
        <w:ind w:left="3908" w:hanging="147"/>
      </w:pPr>
      <w:rPr>
        <w:rFonts w:hint="default"/>
      </w:rPr>
    </w:lvl>
    <w:lvl w:ilvl="4">
      <w:start w:val="1"/>
      <w:numFmt w:val="bullet"/>
      <w:lvlText w:val="•"/>
      <w:lvlJc w:val="left"/>
      <w:pPr>
        <w:ind w:left="5191" w:hanging="147"/>
      </w:pPr>
      <w:rPr>
        <w:rFonts w:hint="default"/>
      </w:rPr>
    </w:lvl>
    <w:lvl w:ilvl="5">
      <w:start w:val="1"/>
      <w:numFmt w:val="bullet"/>
      <w:lvlText w:val="•"/>
      <w:lvlJc w:val="left"/>
      <w:pPr>
        <w:ind w:left="6473" w:hanging="147"/>
      </w:pPr>
      <w:rPr>
        <w:rFonts w:hint="default"/>
      </w:rPr>
    </w:lvl>
    <w:lvl w:ilvl="6">
      <w:start w:val="1"/>
      <w:numFmt w:val="bullet"/>
      <w:lvlText w:val="•"/>
      <w:lvlJc w:val="left"/>
      <w:pPr>
        <w:ind w:left="7756" w:hanging="147"/>
      </w:pPr>
      <w:rPr>
        <w:rFonts w:hint="default"/>
      </w:rPr>
    </w:lvl>
    <w:lvl w:ilvl="7">
      <w:start w:val="1"/>
      <w:numFmt w:val="bullet"/>
      <w:lvlText w:val="•"/>
      <w:lvlJc w:val="left"/>
      <w:pPr>
        <w:ind w:left="9039" w:hanging="147"/>
      </w:pPr>
      <w:rPr>
        <w:rFonts w:hint="default"/>
      </w:rPr>
    </w:lvl>
    <w:lvl w:ilvl="8">
      <w:start w:val="1"/>
      <w:numFmt w:val="bullet"/>
      <w:lvlText w:val="•"/>
      <w:lvlJc w:val="left"/>
      <w:pPr>
        <w:ind w:left="10322" w:hanging="147"/>
      </w:pPr>
      <w:rPr>
        <w:rFonts w:hint="default"/>
      </w:rPr>
    </w:lvl>
  </w:abstractNum>
  <w:abstractNum w:abstractNumId="323">
    <w:multiLevelType w:val="hybridMultilevel"/>
    <w:lvl w:ilvl="0">
      <w:start w:val="1"/>
      <w:numFmt w:val="bullet"/>
      <w:lvlText w:val="-"/>
      <w:lvlJc w:val="left"/>
      <w:pPr>
        <w:ind w:left="27" w:hanging="142"/>
      </w:pPr>
      <w:rPr>
        <w:rFonts w:hint="default" w:ascii="Arial" w:hAnsi="Arial" w:eastAsia="Arial" w:cs="Arial"/>
        <w:w w:val="100"/>
        <w:sz w:val="22"/>
        <w:szCs w:val="22"/>
      </w:rPr>
    </w:lvl>
    <w:lvl w:ilvl="1">
      <w:start w:val="1"/>
      <w:numFmt w:val="bullet"/>
      <w:lvlText w:val="•"/>
      <w:lvlJc w:val="left"/>
      <w:pPr>
        <w:ind w:left="1299" w:hanging="142"/>
      </w:pPr>
      <w:rPr>
        <w:rFonts w:hint="default"/>
      </w:rPr>
    </w:lvl>
    <w:lvl w:ilvl="2">
      <w:start w:val="1"/>
      <w:numFmt w:val="bullet"/>
      <w:lvlText w:val="•"/>
      <w:lvlJc w:val="left"/>
      <w:pPr>
        <w:ind w:left="2578" w:hanging="142"/>
      </w:pPr>
      <w:rPr>
        <w:rFonts w:hint="default"/>
      </w:rPr>
    </w:lvl>
    <w:lvl w:ilvl="3">
      <w:start w:val="1"/>
      <w:numFmt w:val="bullet"/>
      <w:lvlText w:val="•"/>
      <w:lvlJc w:val="left"/>
      <w:pPr>
        <w:ind w:left="3857" w:hanging="142"/>
      </w:pPr>
      <w:rPr>
        <w:rFonts w:hint="default"/>
      </w:rPr>
    </w:lvl>
    <w:lvl w:ilvl="4">
      <w:start w:val="1"/>
      <w:numFmt w:val="bullet"/>
      <w:lvlText w:val="•"/>
      <w:lvlJc w:val="left"/>
      <w:pPr>
        <w:ind w:left="5136" w:hanging="142"/>
      </w:pPr>
      <w:rPr>
        <w:rFonts w:hint="default"/>
      </w:rPr>
    </w:lvl>
    <w:lvl w:ilvl="5">
      <w:start w:val="1"/>
      <w:numFmt w:val="bullet"/>
      <w:lvlText w:val="•"/>
      <w:lvlJc w:val="left"/>
      <w:pPr>
        <w:ind w:left="6416" w:hanging="142"/>
      </w:pPr>
      <w:rPr>
        <w:rFonts w:hint="default"/>
      </w:rPr>
    </w:lvl>
    <w:lvl w:ilvl="6">
      <w:start w:val="1"/>
      <w:numFmt w:val="bullet"/>
      <w:lvlText w:val="•"/>
      <w:lvlJc w:val="left"/>
      <w:pPr>
        <w:ind w:left="7695" w:hanging="142"/>
      </w:pPr>
      <w:rPr>
        <w:rFonts w:hint="default"/>
      </w:rPr>
    </w:lvl>
    <w:lvl w:ilvl="7">
      <w:start w:val="1"/>
      <w:numFmt w:val="bullet"/>
      <w:lvlText w:val="•"/>
      <w:lvlJc w:val="left"/>
      <w:pPr>
        <w:ind w:left="8974" w:hanging="142"/>
      </w:pPr>
      <w:rPr>
        <w:rFonts w:hint="default"/>
      </w:rPr>
    </w:lvl>
    <w:lvl w:ilvl="8">
      <w:start w:val="1"/>
      <w:numFmt w:val="bullet"/>
      <w:lvlText w:val="•"/>
      <w:lvlJc w:val="left"/>
      <w:pPr>
        <w:ind w:left="10253" w:hanging="142"/>
      </w:pPr>
      <w:rPr>
        <w:rFonts w:hint="default"/>
      </w:rPr>
    </w:lvl>
  </w:abstractNum>
  <w:abstractNum w:abstractNumId="32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78" w:hanging="672"/>
      </w:pPr>
      <w:rPr>
        <w:rFonts w:hint="default"/>
      </w:rPr>
    </w:lvl>
    <w:lvl w:ilvl="2">
      <w:start w:val="1"/>
      <w:numFmt w:val="bullet"/>
      <w:lvlText w:val="•"/>
      <w:lvlJc w:val="left"/>
      <w:pPr>
        <w:ind w:left="876" w:hanging="672"/>
      </w:pPr>
      <w:rPr>
        <w:rFonts w:hint="default"/>
      </w:rPr>
    </w:lvl>
    <w:lvl w:ilvl="3">
      <w:start w:val="1"/>
      <w:numFmt w:val="bullet"/>
      <w:lvlText w:val="•"/>
      <w:lvlJc w:val="left"/>
      <w:pPr>
        <w:ind w:left="1174" w:hanging="672"/>
      </w:pPr>
      <w:rPr>
        <w:rFonts w:hint="default"/>
      </w:rPr>
    </w:lvl>
    <w:lvl w:ilvl="4">
      <w:start w:val="1"/>
      <w:numFmt w:val="bullet"/>
      <w:lvlText w:val="•"/>
      <w:lvlJc w:val="left"/>
      <w:pPr>
        <w:ind w:left="1472" w:hanging="672"/>
      </w:pPr>
      <w:rPr>
        <w:rFonts w:hint="default"/>
      </w:rPr>
    </w:lvl>
    <w:lvl w:ilvl="5">
      <w:start w:val="1"/>
      <w:numFmt w:val="bullet"/>
      <w:lvlText w:val="•"/>
      <w:lvlJc w:val="left"/>
      <w:pPr>
        <w:ind w:left="1770" w:hanging="672"/>
      </w:pPr>
      <w:rPr>
        <w:rFonts w:hint="default"/>
      </w:rPr>
    </w:lvl>
    <w:lvl w:ilvl="6">
      <w:start w:val="1"/>
      <w:numFmt w:val="bullet"/>
      <w:lvlText w:val="•"/>
      <w:lvlJc w:val="left"/>
      <w:pPr>
        <w:ind w:left="2068" w:hanging="672"/>
      </w:pPr>
      <w:rPr>
        <w:rFonts w:hint="default"/>
      </w:rPr>
    </w:lvl>
    <w:lvl w:ilvl="7">
      <w:start w:val="1"/>
      <w:numFmt w:val="bullet"/>
      <w:lvlText w:val="•"/>
      <w:lvlJc w:val="left"/>
      <w:pPr>
        <w:ind w:left="2367" w:hanging="672"/>
      </w:pPr>
      <w:rPr>
        <w:rFonts w:hint="default"/>
      </w:rPr>
    </w:lvl>
    <w:lvl w:ilvl="8">
      <w:start w:val="1"/>
      <w:numFmt w:val="bullet"/>
      <w:lvlText w:val="•"/>
      <w:lvlJc w:val="left"/>
      <w:pPr>
        <w:ind w:left="2665" w:hanging="672"/>
      </w:pPr>
      <w:rPr>
        <w:rFonts w:hint="default"/>
      </w:rPr>
    </w:lvl>
  </w:abstractNum>
  <w:abstractNum w:abstractNumId="32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78" w:hanging="672"/>
      </w:pPr>
      <w:rPr>
        <w:rFonts w:hint="default"/>
      </w:rPr>
    </w:lvl>
    <w:lvl w:ilvl="2">
      <w:start w:val="1"/>
      <w:numFmt w:val="bullet"/>
      <w:lvlText w:val="•"/>
      <w:lvlJc w:val="left"/>
      <w:pPr>
        <w:ind w:left="876" w:hanging="672"/>
      </w:pPr>
      <w:rPr>
        <w:rFonts w:hint="default"/>
      </w:rPr>
    </w:lvl>
    <w:lvl w:ilvl="3">
      <w:start w:val="1"/>
      <w:numFmt w:val="bullet"/>
      <w:lvlText w:val="•"/>
      <w:lvlJc w:val="left"/>
      <w:pPr>
        <w:ind w:left="1174" w:hanging="672"/>
      </w:pPr>
      <w:rPr>
        <w:rFonts w:hint="default"/>
      </w:rPr>
    </w:lvl>
    <w:lvl w:ilvl="4">
      <w:start w:val="1"/>
      <w:numFmt w:val="bullet"/>
      <w:lvlText w:val="•"/>
      <w:lvlJc w:val="left"/>
      <w:pPr>
        <w:ind w:left="1472" w:hanging="672"/>
      </w:pPr>
      <w:rPr>
        <w:rFonts w:hint="default"/>
      </w:rPr>
    </w:lvl>
    <w:lvl w:ilvl="5">
      <w:start w:val="1"/>
      <w:numFmt w:val="bullet"/>
      <w:lvlText w:val="•"/>
      <w:lvlJc w:val="left"/>
      <w:pPr>
        <w:ind w:left="1770" w:hanging="672"/>
      </w:pPr>
      <w:rPr>
        <w:rFonts w:hint="default"/>
      </w:rPr>
    </w:lvl>
    <w:lvl w:ilvl="6">
      <w:start w:val="1"/>
      <w:numFmt w:val="bullet"/>
      <w:lvlText w:val="•"/>
      <w:lvlJc w:val="left"/>
      <w:pPr>
        <w:ind w:left="2068" w:hanging="672"/>
      </w:pPr>
      <w:rPr>
        <w:rFonts w:hint="default"/>
      </w:rPr>
    </w:lvl>
    <w:lvl w:ilvl="7">
      <w:start w:val="1"/>
      <w:numFmt w:val="bullet"/>
      <w:lvlText w:val="•"/>
      <w:lvlJc w:val="left"/>
      <w:pPr>
        <w:ind w:left="2367" w:hanging="672"/>
      </w:pPr>
      <w:rPr>
        <w:rFonts w:hint="default"/>
      </w:rPr>
    </w:lvl>
    <w:lvl w:ilvl="8">
      <w:start w:val="1"/>
      <w:numFmt w:val="bullet"/>
      <w:lvlText w:val="•"/>
      <w:lvlJc w:val="left"/>
      <w:pPr>
        <w:ind w:left="2665" w:hanging="672"/>
      </w:pPr>
      <w:rPr>
        <w:rFonts w:hint="default"/>
      </w:rPr>
    </w:lvl>
  </w:abstractNum>
  <w:abstractNum w:abstractNumId="320">
    <w:multiLevelType w:val="hybridMultilevel"/>
    <w:lvl w:ilvl="0">
      <w:start w:val="1"/>
      <w:numFmt w:val="bullet"/>
      <w:lvlText w:val=""/>
      <w:lvlJc w:val="left"/>
      <w:pPr>
        <w:ind w:left="280" w:hanging="233"/>
      </w:pPr>
      <w:rPr>
        <w:rFonts w:hint="default" w:ascii="Wingdings" w:hAnsi="Wingdings" w:eastAsia="Wingdings" w:cs="Wingdings"/>
        <w:w w:val="99"/>
        <w:sz w:val="20"/>
        <w:szCs w:val="20"/>
      </w:rPr>
    </w:lvl>
    <w:lvl w:ilvl="1">
      <w:start w:val="1"/>
      <w:numFmt w:val="bullet"/>
      <w:lvlText w:val="•"/>
      <w:lvlJc w:val="left"/>
      <w:pPr>
        <w:ind w:left="578" w:hanging="233"/>
      </w:pPr>
      <w:rPr>
        <w:rFonts w:hint="default"/>
      </w:rPr>
    </w:lvl>
    <w:lvl w:ilvl="2">
      <w:start w:val="1"/>
      <w:numFmt w:val="bullet"/>
      <w:lvlText w:val="•"/>
      <w:lvlJc w:val="left"/>
      <w:pPr>
        <w:ind w:left="876" w:hanging="233"/>
      </w:pPr>
      <w:rPr>
        <w:rFonts w:hint="default"/>
      </w:rPr>
    </w:lvl>
    <w:lvl w:ilvl="3">
      <w:start w:val="1"/>
      <w:numFmt w:val="bullet"/>
      <w:lvlText w:val="•"/>
      <w:lvlJc w:val="left"/>
      <w:pPr>
        <w:ind w:left="1174" w:hanging="233"/>
      </w:pPr>
      <w:rPr>
        <w:rFonts w:hint="default"/>
      </w:rPr>
    </w:lvl>
    <w:lvl w:ilvl="4">
      <w:start w:val="1"/>
      <w:numFmt w:val="bullet"/>
      <w:lvlText w:val="•"/>
      <w:lvlJc w:val="left"/>
      <w:pPr>
        <w:ind w:left="1472" w:hanging="233"/>
      </w:pPr>
      <w:rPr>
        <w:rFonts w:hint="default"/>
      </w:rPr>
    </w:lvl>
    <w:lvl w:ilvl="5">
      <w:start w:val="1"/>
      <w:numFmt w:val="bullet"/>
      <w:lvlText w:val="•"/>
      <w:lvlJc w:val="left"/>
      <w:pPr>
        <w:ind w:left="1770" w:hanging="233"/>
      </w:pPr>
      <w:rPr>
        <w:rFonts w:hint="default"/>
      </w:rPr>
    </w:lvl>
    <w:lvl w:ilvl="6">
      <w:start w:val="1"/>
      <w:numFmt w:val="bullet"/>
      <w:lvlText w:val="•"/>
      <w:lvlJc w:val="left"/>
      <w:pPr>
        <w:ind w:left="2068" w:hanging="233"/>
      </w:pPr>
      <w:rPr>
        <w:rFonts w:hint="default"/>
      </w:rPr>
    </w:lvl>
    <w:lvl w:ilvl="7">
      <w:start w:val="1"/>
      <w:numFmt w:val="bullet"/>
      <w:lvlText w:val="•"/>
      <w:lvlJc w:val="left"/>
      <w:pPr>
        <w:ind w:left="2367" w:hanging="233"/>
      </w:pPr>
      <w:rPr>
        <w:rFonts w:hint="default"/>
      </w:rPr>
    </w:lvl>
    <w:lvl w:ilvl="8">
      <w:start w:val="1"/>
      <w:numFmt w:val="bullet"/>
      <w:lvlText w:val="•"/>
      <w:lvlJc w:val="left"/>
      <w:pPr>
        <w:ind w:left="2665" w:hanging="233"/>
      </w:pPr>
      <w:rPr>
        <w:rFonts w:hint="default"/>
      </w:rPr>
    </w:lvl>
  </w:abstractNum>
  <w:abstractNum w:abstractNumId="31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78" w:hanging="672"/>
      </w:pPr>
      <w:rPr>
        <w:rFonts w:hint="default"/>
      </w:rPr>
    </w:lvl>
    <w:lvl w:ilvl="2">
      <w:start w:val="1"/>
      <w:numFmt w:val="bullet"/>
      <w:lvlText w:val="•"/>
      <w:lvlJc w:val="left"/>
      <w:pPr>
        <w:ind w:left="876" w:hanging="672"/>
      </w:pPr>
      <w:rPr>
        <w:rFonts w:hint="default"/>
      </w:rPr>
    </w:lvl>
    <w:lvl w:ilvl="3">
      <w:start w:val="1"/>
      <w:numFmt w:val="bullet"/>
      <w:lvlText w:val="•"/>
      <w:lvlJc w:val="left"/>
      <w:pPr>
        <w:ind w:left="1174" w:hanging="672"/>
      </w:pPr>
      <w:rPr>
        <w:rFonts w:hint="default"/>
      </w:rPr>
    </w:lvl>
    <w:lvl w:ilvl="4">
      <w:start w:val="1"/>
      <w:numFmt w:val="bullet"/>
      <w:lvlText w:val="•"/>
      <w:lvlJc w:val="left"/>
      <w:pPr>
        <w:ind w:left="1472" w:hanging="672"/>
      </w:pPr>
      <w:rPr>
        <w:rFonts w:hint="default"/>
      </w:rPr>
    </w:lvl>
    <w:lvl w:ilvl="5">
      <w:start w:val="1"/>
      <w:numFmt w:val="bullet"/>
      <w:lvlText w:val="•"/>
      <w:lvlJc w:val="left"/>
      <w:pPr>
        <w:ind w:left="1770" w:hanging="672"/>
      </w:pPr>
      <w:rPr>
        <w:rFonts w:hint="default"/>
      </w:rPr>
    </w:lvl>
    <w:lvl w:ilvl="6">
      <w:start w:val="1"/>
      <w:numFmt w:val="bullet"/>
      <w:lvlText w:val="•"/>
      <w:lvlJc w:val="left"/>
      <w:pPr>
        <w:ind w:left="2068" w:hanging="672"/>
      </w:pPr>
      <w:rPr>
        <w:rFonts w:hint="default"/>
      </w:rPr>
    </w:lvl>
    <w:lvl w:ilvl="7">
      <w:start w:val="1"/>
      <w:numFmt w:val="bullet"/>
      <w:lvlText w:val="•"/>
      <w:lvlJc w:val="left"/>
      <w:pPr>
        <w:ind w:left="2367" w:hanging="672"/>
      </w:pPr>
      <w:rPr>
        <w:rFonts w:hint="default"/>
      </w:rPr>
    </w:lvl>
    <w:lvl w:ilvl="8">
      <w:start w:val="1"/>
      <w:numFmt w:val="bullet"/>
      <w:lvlText w:val="•"/>
      <w:lvlJc w:val="left"/>
      <w:pPr>
        <w:ind w:left="2665" w:hanging="672"/>
      </w:pPr>
      <w:rPr>
        <w:rFonts w:hint="default"/>
      </w:rPr>
    </w:lvl>
  </w:abstractNum>
  <w:abstractNum w:abstractNumId="31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78" w:hanging="672"/>
      </w:pPr>
      <w:rPr>
        <w:rFonts w:hint="default"/>
      </w:rPr>
    </w:lvl>
    <w:lvl w:ilvl="2">
      <w:start w:val="1"/>
      <w:numFmt w:val="bullet"/>
      <w:lvlText w:val="•"/>
      <w:lvlJc w:val="left"/>
      <w:pPr>
        <w:ind w:left="876" w:hanging="672"/>
      </w:pPr>
      <w:rPr>
        <w:rFonts w:hint="default"/>
      </w:rPr>
    </w:lvl>
    <w:lvl w:ilvl="3">
      <w:start w:val="1"/>
      <w:numFmt w:val="bullet"/>
      <w:lvlText w:val="•"/>
      <w:lvlJc w:val="left"/>
      <w:pPr>
        <w:ind w:left="1174" w:hanging="672"/>
      </w:pPr>
      <w:rPr>
        <w:rFonts w:hint="default"/>
      </w:rPr>
    </w:lvl>
    <w:lvl w:ilvl="4">
      <w:start w:val="1"/>
      <w:numFmt w:val="bullet"/>
      <w:lvlText w:val="•"/>
      <w:lvlJc w:val="left"/>
      <w:pPr>
        <w:ind w:left="1472" w:hanging="672"/>
      </w:pPr>
      <w:rPr>
        <w:rFonts w:hint="default"/>
      </w:rPr>
    </w:lvl>
    <w:lvl w:ilvl="5">
      <w:start w:val="1"/>
      <w:numFmt w:val="bullet"/>
      <w:lvlText w:val="•"/>
      <w:lvlJc w:val="left"/>
      <w:pPr>
        <w:ind w:left="1770" w:hanging="672"/>
      </w:pPr>
      <w:rPr>
        <w:rFonts w:hint="default"/>
      </w:rPr>
    </w:lvl>
    <w:lvl w:ilvl="6">
      <w:start w:val="1"/>
      <w:numFmt w:val="bullet"/>
      <w:lvlText w:val="•"/>
      <w:lvlJc w:val="left"/>
      <w:pPr>
        <w:ind w:left="2068" w:hanging="672"/>
      </w:pPr>
      <w:rPr>
        <w:rFonts w:hint="default"/>
      </w:rPr>
    </w:lvl>
    <w:lvl w:ilvl="7">
      <w:start w:val="1"/>
      <w:numFmt w:val="bullet"/>
      <w:lvlText w:val="•"/>
      <w:lvlJc w:val="left"/>
      <w:pPr>
        <w:ind w:left="2367" w:hanging="672"/>
      </w:pPr>
      <w:rPr>
        <w:rFonts w:hint="default"/>
      </w:rPr>
    </w:lvl>
    <w:lvl w:ilvl="8">
      <w:start w:val="1"/>
      <w:numFmt w:val="bullet"/>
      <w:lvlText w:val="•"/>
      <w:lvlJc w:val="left"/>
      <w:pPr>
        <w:ind w:left="2665" w:hanging="672"/>
      </w:pPr>
      <w:rPr>
        <w:rFonts w:hint="default"/>
      </w:rPr>
    </w:lvl>
  </w:abstractNum>
  <w:abstractNum w:abstractNumId="317">
    <w:multiLevelType w:val="hybridMultilevel"/>
    <w:lvl w:ilvl="0">
      <w:start w:val="1"/>
      <w:numFmt w:val="bullet"/>
      <w:lvlText w:val=""/>
      <w:lvlJc w:val="left"/>
      <w:pPr>
        <w:ind w:left="280" w:hanging="233"/>
      </w:pPr>
      <w:rPr>
        <w:rFonts w:hint="default" w:ascii="Wingdings" w:hAnsi="Wingdings" w:eastAsia="Wingdings" w:cs="Wingdings"/>
        <w:w w:val="99"/>
        <w:sz w:val="20"/>
        <w:szCs w:val="20"/>
      </w:rPr>
    </w:lvl>
    <w:lvl w:ilvl="1">
      <w:start w:val="1"/>
      <w:numFmt w:val="bullet"/>
      <w:lvlText w:val="•"/>
      <w:lvlJc w:val="left"/>
      <w:pPr>
        <w:ind w:left="578" w:hanging="233"/>
      </w:pPr>
      <w:rPr>
        <w:rFonts w:hint="default"/>
      </w:rPr>
    </w:lvl>
    <w:lvl w:ilvl="2">
      <w:start w:val="1"/>
      <w:numFmt w:val="bullet"/>
      <w:lvlText w:val="•"/>
      <w:lvlJc w:val="left"/>
      <w:pPr>
        <w:ind w:left="876" w:hanging="233"/>
      </w:pPr>
      <w:rPr>
        <w:rFonts w:hint="default"/>
      </w:rPr>
    </w:lvl>
    <w:lvl w:ilvl="3">
      <w:start w:val="1"/>
      <w:numFmt w:val="bullet"/>
      <w:lvlText w:val="•"/>
      <w:lvlJc w:val="left"/>
      <w:pPr>
        <w:ind w:left="1174" w:hanging="233"/>
      </w:pPr>
      <w:rPr>
        <w:rFonts w:hint="default"/>
      </w:rPr>
    </w:lvl>
    <w:lvl w:ilvl="4">
      <w:start w:val="1"/>
      <w:numFmt w:val="bullet"/>
      <w:lvlText w:val="•"/>
      <w:lvlJc w:val="left"/>
      <w:pPr>
        <w:ind w:left="1472" w:hanging="233"/>
      </w:pPr>
      <w:rPr>
        <w:rFonts w:hint="default"/>
      </w:rPr>
    </w:lvl>
    <w:lvl w:ilvl="5">
      <w:start w:val="1"/>
      <w:numFmt w:val="bullet"/>
      <w:lvlText w:val="•"/>
      <w:lvlJc w:val="left"/>
      <w:pPr>
        <w:ind w:left="1770" w:hanging="233"/>
      </w:pPr>
      <w:rPr>
        <w:rFonts w:hint="default"/>
      </w:rPr>
    </w:lvl>
    <w:lvl w:ilvl="6">
      <w:start w:val="1"/>
      <w:numFmt w:val="bullet"/>
      <w:lvlText w:val="•"/>
      <w:lvlJc w:val="left"/>
      <w:pPr>
        <w:ind w:left="2068" w:hanging="233"/>
      </w:pPr>
      <w:rPr>
        <w:rFonts w:hint="default"/>
      </w:rPr>
    </w:lvl>
    <w:lvl w:ilvl="7">
      <w:start w:val="1"/>
      <w:numFmt w:val="bullet"/>
      <w:lvlText w:val="•"/>
      <w:lvlJc w:val="left"/>
      <w:pPr>
        <w:ind w:left="2367" w:hanging="233"/>
      </w:pPr>
      <w:rPr>
        <w:rFonts w:hint="default"/>
      </w:rPr>
    </w:lvl>
    <w:lvl w:ilvl="8">
      <w:start w:val="1"/>
      <w:numFmt w:val="bullet"/>
      <w:lvlText w:val="•"/>
      <w:lvlJc w:val="left"/>
      <w:pPr>
        <w:ind w:left="2665" w:hanging="233"/>
      </w:pPr>
      <w:rPr>
        <w:rFonts w:hint="default"/>
      </w:rPr>
    </w:lvl>
  </w:abstractNum>
  <w:abstractNum w:abstractNumId="31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78" w:hanging="672"/>
      </w:pPr>
      <w:rPr>
        <w:rFonts w:hint="default"/>
      </w:rPr>
    </w:lvl>
    <w:lvl w:ilvl="2">
      <w:start w:val="1"/>
      <w:numFmt w:val="bullet"/>
      <w:lvlText w:val="•"/>
      <w:lvlJc w:val="left"/>
      <w:pPr>
        <w:ind w:left="876" w:hanging="672"/>
      </w:pPr>
      <w:rPr>
        <w:rFonts w:hint="default"/>
      </w:rPr>
    </w:lvl>
    <w:lvl w:ilvl="3">
      <w:start w:val="1"/>
      <w:numFmt w:val="bullet"/>
      <w:lvlText w:val="•"/>
      <w:lvlJc w:val="left"/>
      <w:pPr>
        <w:ind w:left="1174" w:hanging="672"/>
      </w:pPr>
      <w:rPr>
        <w:rFonts w:hint="default"/>
      </w:rPr>
    </w:lvl>
    <w:lvl w:ilvl="4">
      <w:start w:val="1"/>
      <w:numFmt w:val="bullet"/>
      <w:lvlText w:val="•"/>
      <w:lvlJc w:val="left"/>
      <w:pPr>
        <w:ind w:left="1472" w:hanging="672"/>
      </w:pPr>
      <w:rPr>
        <w:rFonts w:hint="default"/>
      </w:rPr>
    </w:lvl>
    <w:lvl w:ilvl="5">
      <w:start w:val="1"/>
      <w:numFmt w:val="bullet"/>
      <w:lvlText w:val="•"/>
      <w:lvlJc w:val="left"/>
      <w:pPr>
        <w:ind w:left="1770" w:hanging="672"/>
      </w:pPr>
      <w:rPr>
        <w:rFonts w:hint="default"/>
      </w:rPr>
    </w:lvl>
    <w:lvl w:ilvl="6">
      <w:start w:val="1"/>
      <w:numFmt w:val="bullet"/>
      <w:lvlText w:val="•"/>
      <w:lvlJc w:val="left"/>
      <w:pPr>
        <w:ind w:left="2068" w:hanging="672"/>
      </w:pPr>
      <w:rPr>
        <w:rFonts w:hint="default"/>
      </w:rPr>
    </w:lvl>
    <w:lvl w:ilvl="7">
      <w:start w:val="1"/>
      <w:numFmt w:val="bullet"/>
      <w:lvlText w:val="•"/>
      <w:lvlJc w:val="left"/>
      <w:pPr>
        <w:ind w:left="2367" w:hanging="672"/>
      </w:pPr>
      <w:rPr>
        <w:rFonts w:hint="default"/>
      </w:rPr>
    </w:lvl>
    <w:lvl w:ilvl="8">
      <w:start w:val="1"/>
      <w:numFmt w:val="bullet"/>
      <w:lvlText w:val="•"/>
      <w:lvlJc w:val="left"/>
      <w:pPr>
        <w:ind w:left="2665" w:hanging="672"/>
      </w:pPr>
      <w:rPr>
        <w:rFonts w:hint="default"/>
      </w:rPr>
    </w:lvl>
  </w:abstractNum>
  <w:abstractNum w:abstractNumId="31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78" w:hanging="672"/>
      </w:pPr>
      <w:rPr>
        <w:rFonts w:hint="default"/>
      </w:rPr>
    </w:lvl>
    <w:lvl w:ilvl="2">
      <w:start w:val="1"/>
      <w:numFmt w:val="bullet"/>
      <w:lvlText w:val="•"/>
      <w:lvlJc w:val="left"/>
      <w:pPr>
        <w:ind w:left="876" w:hanging="672"/>
      </w:pPr>
      <w:rPr>
        <w:rFonts w:hint="default"/>
      </w:rPr>
    </w:lvl>
    <w:lvl w:ilvl="3">
      <w:start w:val="1"/>
      <w:numFmt w:val="bullet"/>
      <w:lvlText w:val="•"/>
      <w:lvlJc w:val="left"/>
      <w:pPr>
        <w:ind w:left="1174" w:hanging="672"/>
      </w:pPr>
      <w:rPr>
        <w:rFonts w:hint="default"/>
      </w:rPr>
    </w:lvl>
    <w:lvl w:ilvl="4">
      <w:start w:val="1"/>
      <w:numFmt w:val="bullet"/>
      <w:lvlText w:val="•"/>
      <w:lvlJc w:val="left"/>
      <w:pPr>
        <w:ind w:left="1472" w:hanging="672"/>
      </w:pPr>
      <w:rPr>
        <w:rFonts w:hint="default"/>
      </w:rPr>
    </w:lvl>
    <w:lvl w:ilvl="5">
      <w:start w:val="1"/>
      <w:numFmt w:val="bullet"/>
      <w:lvlText w:val="•"/>
      <w:lvlJc w:val="left"/>
      <w:pPr>
        <w:ind w:left="1770" w:hanging="672"/>
      </w:pPr>
      <w:rPr>
        <w:rFonts w:hint="default"/>
      </w:rPr>
    </w:lvl>
    <w:lvl w:ilvl="6">
      <w:start w:val="1"/>
      <w:numFmt w:val="bullet"/>
      <w:lvlText w:val="•"/>
      <w:lvlJc w:val="left"/>
      <w:pPr>
        <w:ind w:left="2068" w:hanging="672"/>
      </w:pPr>
      <w:rPr>
        <w:rFonts w:hint="default"/>
      </w:rPr>
    </w:lvl>
    <w:lvl w:ilvl="7">
      <w:start w:val="1"/>
      <w:numFmt w:val="bullet"/>
      <w:lvlText w:val="•"/>
      <w:lvlJc w:val="left"/>
      <w:pPr>
        <w:ind w:left="2367" w:hanging="672"/>
      </w:pPr>
      <w:rPr>
        <w:rFonts w:hint="default"/>
      </w:rPr>
    </w:lvl>
    <w:lvl w:ilvl="8">
      <w:start w:val="1"/>
      <w:numFmt w:val="bullet"/>
      <w:lvlText w:val="•"/>
      <w:lvlJc w:val="left"/>
      <w:pPr>
        <w:ind w:left="2665" w:hanging="672"/>
      </w:pPr>
      <w:rPr>
        <w:rFonts w:hint="default"/>
      </w:rPr>
    </w:lvl>
  </w:abstractNum>
  <w:abstractNum w:abstractNumId="314">
    <w:multiLevelType w:val="hybridMultilevel"/>
    <w:lvl w:ilvl="0">
      <w:start w:val="1"/>
      <w:numFmt w:val="bullet"/>
      <w:lvlText w:val=""/>
      <w:lvlJc w:val="left"/>
      <w:pPr>
        <w:ind w:left="280" w:hanging="233"/>
      </w:pPr>
      <w:rPr>
        <w:rFonts w:hint="default" w:ascii="Wingdings" w:hAnsi="Wingdings" w:eastAsia="Wingdings" w:cs="Wingdings"/>
        <w:w w:val="99"/>
        <w:sz w:val="20"/>
        <w:szCs w:val="20"/>
      </w:rPr>
    </w:lvl>
    <w:lvl w:ilvl="1">
      <w:start w:val="1"/>
      <w:numFmt w:val="bullet"/>
      <w:lvlText w:val="•"/>
      <w:lvlJc w:val="left"/>
      <w:pPr>
        <w:ind w:left="578" w:hanging="233"/>
      </w:pPr>
      <w:rPr>
        <w:rFonts w:hint="default"/>
      </w:rPr>
    </w:lvl>
    <w:lvl w:ilvl="2">
      <w:start w:val="1"/>
      <w:numFmt w:val="bullet"/>
      <w:lvlText w:val="•"/>
      <w:lvlJc w:val="left"/>
      <w:pPr>
        <w:ind w:left="876" w:hanging="233"/>
      </w:pPr>
      <w:rPr>
        <w:rFonts w:hint="default"/>
      </w:rPr>
    </w:lvl>
    <w:lvl w:ilvl="3">
      <w:start w:val="1"/>
      <w:numFmt w:val="bullet"/>
      <w:lvlText w:val="•"/>
      <w:lvlJc w:val="left"/>
      <w:pPr>
        <w:ind w:left="1174" w:hanging="233"/>
      </w:pPr>
      <w:rPr>
        <w:rFonts w:hint="default"/>
      </w:rPr>
    </w:lvl>
    <w:lvl w:ilvl="4">
      <w:start w:val="1"/>
      <w:numFmt w:val="bullet"/>
      <w:lvlText w:val="•"/>
      <w:lvlJc w:val="left"/>
      <w:pPr>
        <w:ind w:left="1472" w:hanging="233"/>
      </w:pPr>
      <w:rPr>
        <w:rFonts w:hint="default"/>
      </w:rPr>
    </w:lvl>
    <w:lvl w:ilvl="5">
      <w:start w:val="1"/>
      <w:numFmt w:val="bullet"/>
      <w:lvlText w:val="•"/>
      <w:lvlJc w:val="left"/>
      <w:pPr>
        <w:ind w:left="1770" w:hanging="233"/>
      </w:pPr>
      <w:rPr>
        <w:rFonts w:hint="default"/>
      </w:rPr>
    </w:lvl>
    <w:lvl w:ilvl="6">
      <w:start w:val="1"/>
      <w:numFmt w:val="bullet"/>
      <w:lvlText w:val="•"/>
      <w:lvlJc w:val="left"/>
      <w:pPr>
        <w:ind w:left="2068" w:hanging="233"/>
      </w:pPr>
      <w:rPr>
        <w:rFonts w:hint="default"/>
      </w:rPr>
    </w:lvl>
    <w:lvl w:ilvl="7">
      <w:start w:val="1"/>
      <w:numFmt w:val="bullet"/>
      <w:lvlText w:val="•"/>
      <w:lvlJc w:val="left"/>
      <w:pPr>
        <w:ind w:left="2367" w:hanging="233"/>
      </w:pPr>
      <w:rPr>
        <w:rFonts w:hint="default"/>
      </w:rPr>
    </w:lvl>
    <w:lvl w:ilvl="8">
      <w:start w:val="1"/>
      <w:numFmt w:val="bullet"/>
      <w:lvlText w:val="•"/>
      <w:lvlJc w:val="left"/>
      <w:pPr>
        <w:ind w:left="2665" w:hanging="233"/>
      </w:pPr>
      <w:rPr>
        <w:rFonts w:hint="default"/>
      </w:rPr>
    </w:lvl>
  </w:abstractNum>
  <w:abstractNum w:abstractNumId="31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78" w:hanging="672"/>
      </w:pPr>
      <w:rPr>
        <w:rFonts w:hint="default"/>
      </w:rPr>
    </w:lvl>
    <w:lvl w:ilvl="2">
      <w:start w:val="1"/>
      <w:numFmt w:val="bullet"/>
      <w:lvlText w:val="•"/>
      <w:lvlJc w:val="left"/>
      <w:pPr>
        <w:ind w:left="876" w:hanging="672"/>
      </w:pPr>
      <w:rPr>
        <w:rFonts w:hint="default"/>
      </w:rPr>
    </w:lvl>
    <w:lvl w:ilvl="3">
      <w:start w:val="1"/>
      <w:numFmt w:val="bullet"/>
      <w:lvlText w:val="•"/>
      <w:lvlJc w:val="left"/>
      <w:pPr>
        <w:ind w:left="1174" w:hanging="672"/>
      </w:pPr>
      <w:rPr>
        <w:rFonts w:hint="default"/>
      </w:rPr>
    </w:lvl>
    <w:lvl w:ilvl="4">
      <w:start w:val="1"/>
      <w:numFmt w:val="bullet"/>
      <w:lvlText w:val="•"/>
      <w:lvlJc w:val="left"/>
      <w:pPr>
        <w:ind w:left="1472" w:hanging="672"/>
      </w:pPr>
      <w:rPr>
        <w:rFonts w:hint="default"/>
      </w:rPr>
    </w:lvl>
    <w:lvl w:ilvl="5">
      <w:start w:val="1"/>
      <w:numFmt w:val="bullet"/>
      <w:lvlText w:val="•"/>
      <w:lvlJc w:val="left"/>
      <w:pPr>
        <w:ind w:left="1770" w:hanging="672"/>
      </w:pPr>
      <w:rPr>
        <w:rFonts w:hint="default"/>
      </w:rPr>
    </w:lvl>
    <w:lvl w:ilvl="6">
      <w:start w:val="1"/>
      <w:numFmt w:val="bullet"/>
      <w:lvlText w:val="•"/>
      <w:lvlJc w:val="left"/>
      <w:pPr>
        <w:ind w:left="2068" w:hanging="672"/>
      </w:pPr>
      <w:rPr>
        <w:rFonts w:hint="default"/>
      </w:rPr>
    </w:lvl>
    <w:lvl w:ilvl="7">
      <w:start w:val="1"/>
      <w:numFmt w:val="bullet"/>
      <w:lvlText w:val="•"/>
      <w:lvlJc w:val="left"/>
      <w:pPr>
        <w:ind w:left="2367" w:hanging="672"/>
      </w:pPr>
      <w:rPr>
        <w:rFonts w:hint="default"/>
      </w:rPr>
    </w:lvl>
    <w:lvl w:ilvl="8">
      <w:start w:val="1"/>
      <w:numFmt w:val="bullet"/>
      <w:lvlText w:val="•"/>
      <w:lvlJc w:val="left"/>
      <w:pPr>
        <w:ind w:left="2665" w:hanging="672"/>
      </w:pPr>
      <w:rPr>
        <w:rFonts w:hint="default"/>
      </w:rPr>
    </w:lvl>
  </w:abstractNum>
  <w:abstractNum w:abstractNumId="31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78" w:hanging="672"/>
      </w:pPr>
      <w:rPr>
        <w:rFonts w:hint="default"/>
      </w:rPr>
    </w:lvl>
    <w:lvl w:ilvl="2">
      <w:start w:val="1"/>
      <w:numFmt w:val="bullet"/>
      <w:lvlText w:val="•"/>
      <w:lvlJc w:val="left"/>
      <w:pPr>
        <w:ind w:left="876" w:hanging="672"/>
      </w:pPr>
      <w:rPr>
        <w:rFonts w:hint="default"/>
      </w:rPr>
    </w:lvl>
    <w:lvl w:ilvl="3">
      <w:start w:val="1"/>
      <w:numFmt w:val="bullet"/>
      <w:lvlText w:val="•"/>
      <w:lvlJc w:val="left"/>
      <w:pPr>
        <w:ind w:left="1174" w:hanging="672"/>
      </w:pPr>
      <w:rPr>
        <w:rFonts w:hint="default"/>
      </w:rPr>
    </w:lvl>
    <w:lvl w:ilvl="4">
      <w:start w:val="1"/>
      <w:numFmt w:val="bullet"/>
      <w:lvlText w:val="•"/>
      <w:lvlJc w:val="left"/>
      <w:pPr>
        <w:ind w:left="1472" w:hanging="672"/>
      </w:pPr>
      <w:rPr>
        <w:rFonts w:hint="default"/>
      </w:rPr>
    </w:lvl>
    <w:lvl w:ilvl="5">
      <w:start w:val="1"/>
      <w:numFmt w:val="bullet"/>
      <w:lvlText w:val="•"/>
      <w:lvlJc w:val="left"/>
      <w:pPr>
        <w:ind w:left="1770" w:hanging="672"/>
      </w:pPr>
      <w:rPr>
        <w:rFonts w:hint="default"/>
      </w:rPr>
    </w:lvl>
    <w:lvl w:ilvl="6">
      <w:start w:val="1"/>
      <w:numFmt w:val="bullet"/>
      <w:lvlText w:val="•"/>
      <w:lvlJc w:val="left"/>
      <w:pPr>
        <w:ind w:left="2068" w:hanging="672"/>
      </w:pPr>
      <w:rPr>
        <w:rFonts w:hint="default"/>
      </w:rPr>
    </w:lvl>
    <w:lvl w:ilvl="7">
      <w:start w:val="1"/>
      <w:numFmt w:val="bullet"/>
      <w:lvlText w:val="•"/>
      <w:lvlJc w:val="left"/>
      <w:pPr>
        <w:ind w:left="2367" w:hanging="672"/>
      </w:pPr>
      <w:rPr>
        <w:rFonts w:hint="default"/>
      </w:rPr>
    </w:lvl>
    <w:lvl w:ilvl="8">
      <w:start w:val="1"/>
      <w:numFmt w:val="bullet"/>
      <w:lvlText w:val="•"/>
      <w:lvlJc w:val="left"/>
      <w:pPr>
        <w:ind w:left="2665" w:hanging="672"/>
      </w:pPr>
      <w:rPr>
        <w:rFonts w:hint="default"/>
      </w:rPr>
    </w:lvl>
  </w:abstractNum>
  <w:abstractNum w:abstractNumId="311">
    <w:multiLevelType w:val="hybridMultilevel"/>
    <w:lvl w:ilvl="0">
      <w:start w:val="1"/>
      <w:numFmt w:val="bullet"/>
      <w:lvlText w:val="-"/>
      <w:lvlJc w:val="left"/>
      <w:pPr>
        <w:ind w:left="103" w:hanging="173"/>
      </w:pPr>
      <w:rPr>
        <w:rFonts w:hint="default" w:ascii="Arial" w:hAnsi="Arial" w:eastAsia="Arial" w:cs="Arial"/>
        <w:w w:val="100"/>
        <w:sz w:val="22"/>
        <w:szCs w:val="22"/>
      </w:rPr>
    </w:lvl>
    <w:lvl w:ilvl="1">
      <w:start w:val="1"/>
      <w:numFmt w:val="bullet"/>
      <w:lvlText w:val="•"/>
      <w:lvlJc w:val="left"/>
      <w:pPr>
        <w:ind w:left="1378" w:hanging="173"/>
      </w:pPr>
      <w:rPr>
        <w:rFonts w:hint="default"/>
      </w:rPr>
    </w:lvl>
    <w:lvl w:ilvl="2">
      <w:start w:val="1"/>
      <w:numFmt w:val="bullet"/>
      <w:lvlText w:val="•"/>
      <w:lvlJc w:val="left"/>
      <w:pPr>
        <w:ind w:left="2657" w:hanging="173"/>
      </w:pPr>
      <w:rPr>
        <w:rFonts w:hint="default"/>
      </w:rPr>
    </w:lvl>
    <w:lvl w:ilvl="3">
      <w:start w:val="1"/>
      <w:numFmt w:val="bullet"/>
      <w:lvlText w:val="•"/>
      <w:lvlJc w:val="left"/>
      <w:pPr>
        <w:ind w:left="3936" w:hanging="173"/>
      </w:pPr>
      <w:rPr>
        <w:rFonts w:hint="default"/>
      </w:rPr>
    </w:lvl>
    <w:lvl w:ilvl="4">
      <w:start w:val="1"/>
      <w:numFmt w:val="bullet"/>
      <w:lvlText w:val="•"/>
      <w:lvlJc w:val="left"/>
      <w:pPr>
        <w:ind w:left="5215" w:hanging="173"/>
      </w:pPr>
      <w:rPr>
        <w:rFonts w:hint="default"/>
      </w:rPr>
    </w:lvl>
    <w:lvl w:ilvl="5">
      <w:start w:val="1"/>
      <w:numFmt w:val="bullet"/>
      <w:lvlText w:val="•"/>
      <w:lvlJc w:val="left"/>
      <w:pPr>
        <w:ind w:left="6493" w:hanging="173"/>
      </w:pPr>
      <w:rPr>
        <w:rFonts w:hint="default"/>
      </w:rPr>
    </w:lvl>
    <w:lvl w:ilvl="6">
      <w:start w:val="1"/>
      <w:numFmt w:val="bullet"/>
      <w:lvlText w:val="•"/>
      <w:lvlJc w:val="left"/>
      <w:pPr>
        <w:ind w:left="7772" w:hanging="173"/>
      </w:pPr>
      <w:rPr>
        <w:rFonts w:hint="default"/>
      </w:rPr>
    </w:lvl>
    <w:lvl w:ilvl="7">
      <w:start w:val="1"/>
      <w:numFmt w:val="bullet"/>
      <w:lvlText w:val="•"/>
      <w:lvlJc w:val="left"/>
      <w:pPr>
        <w:ind w:left="9051" w:hanging="173"/>
      </w:pPr>
      <w:rPr>
        <w:rFonts w:hint="default"/>
      </w:rPr>
    </w:lvl>
    <w:lvl w:ilvl="8">
      <w:start w:val="1"/>
      <w:numFmt w:val="bullet"/>
      <w:lvlText w:val="•"/>
      <w:lvlJc w:val="left"/>
      <w:pPr>
        <w:ind w:left="10330" w:hanging="173"/>
      </w:pPr>
      <w:rPr>
        <w:rFonts w:hint="default"/>
      </w:rPr>
    </w:lvl>
  </w:abstractNum>
  <w:abstractNum w:abstractNumId="310">
    <w:multiLevelType w:val="hybridMultilevel"/>
    <w:lvl w:ilvl="0">
      <w:start w:val="1"/>
      <w:numFmt w:val="bullet"/>
      <w:lvlText w:val="-"/>
      <w:lvlJc w:val="left"/>
      <w:pPr>
        <w:ind w:left="64" w:hanging="147"/>
      </w:pPr>
      <w:rPr>
        <w:rFonts w:hint="default" w:ascii="Arial" w:hAnsi="Arial" w:eastAsia="Arial" w:cs="Arial"/>
        <w:w w:val="100"/>
        <w:sz w:val="22"/>
        <w:szCs w:val="22"/>
      </w:rPr>
    </w:lvl>
    <w:lvl w:ilvl="1">
      <w:start w:val="1"/>
      <w:numFmt w:val="bullet"/>
      <w:lvlText w:val="•"/>
      <w:lvlJc w:val="left"/>
      <w:pPr>
        <w:ind w:left="1342" w:hanging="147"/>
      </w:pPr>
      <w:rPr>
        <w:rFonts w:hint="default"/>
      </w:rPr>
    </w:lvl>
    <w:lvl w:ilvl="2">
      <w:start w:val="1"/>
      <w:numFmt w:val="bullet"/>
      <w:lvlText w:val="•"/>
      <w:lvlJc w:val="left"/>
      <w:pPr>
        <w:ind w:left="2625" w:hanging="147"/>
      </w:pPr>
      <w:rPr>
        <w:rFonts w:hint="default"/>
      </w:rPr>
    </w:lvl>
    <w:lvl w:ilvl="3">
      <w:start w:val="1"/>
      <w:numFmt w:val="bullet"/>
      <w:lvlText w:val="•"/>
      <w:lvlJc w:val="left"/>
      <w:pPr>
        <w:ind w:left="3908" w:hanging="147"/>
      </w:pPr>
      <w:rPr>
        <w:rFonts w:hint="default"/>
      </w:rPr>
    </w:lvl>
    <w:lvl w:ilvl="4">
      <w:start w:val="1"/>
      <w:numFmt w:val="bullet"/>
      <w:lvlText w:val="•"/>
      <w:lvlJc w:val="left"/>
      <w:pPr>
        <w:ind w:left="5191" w:hanging="147"/>
      </w:pPr>
      <w:rPr>
        <w:rFonts w:hint="default"/>
      </w:rPr>
    </w:lvl>
    <w:lvl w:ilvl="5">
      <w:start w:val="1"/>
      <w:numFmt w:val="bullet"/>
      <w:lvlText w:val="•"/>
      <w:lvlJc w:val="left"/>
      <w:pPr>
        <w:ind w:left="6473" w:hanging="147"/>
      </w:pPr>
      <w:rPr>
        <w:rFonts w:hint="default"/>
      </w:rPr>
    </w:lvl>
    <w:lvl w:ilvl="6">
      <w:start w:val="1"/>
      <w:numFmt w:val="bullet"/>
      <w:lvlText w:val="•"/>
      <w:lvlJc w:val="left"/>
      <w:pPr>
        <w:ind w:left="7756" w:hanging="147"/>
      </w:pPr>
      <w:rPr>
        <w:rFonts w:hint="default"/>
      </w:rPr>
    </w:lvl>
    <w:lvl w:ilvl="7">
      <w:start w:val="1"/>
      <w:numFmt w:val="bullet"/>
      <w:lvlText w:val="•"/>
      <w:lvlJc w:val="left"/>
      <w:pPr>
        <w:ind w:left="9039" w:hanging="147"/>
      </w:pPr>
      <w:rPr>
        <w:rFonts w:hint="default"/>
      </w:rPr>
    </w:lvl>
    <w:lvl w:ilvl="8">
      <w:start w:val="1"/>
      <w:numFmt w:val="bullet"/>
      <w:lvlText w:val="•"/>
      <w:lvlJc w:val="left"/>
      <w:pPr>
        <w:ind w:left="10322" w:hanging="147"/>
      </w:pPr>
      <w:rPr>
        <w:rFonts w:hint="default"/>
      </w:rPr>
    </w:lvl>
  </w:abstractNum>
  <w:abstractNum w:abstractNumId="309">
    <w:multiLevelType w:val="hybridMultilevel"/>
    <w:lvl w:ilvl="0">
      <w:start w:val="1"/>
      <w:numFmt w:val="bullet"/>
      <w:lvlText w:val="-"/>
      <w:lvlJc w:val="left"/>
      <w:pPr>
        <w:ind w:left="27" w:hanging="142"/>
      </w:pPr>
      <w:rPr>
        <w:rFonts w:hint="default" w:ascii="Arial" w:hAnsi="Arial" w:eastAsia="Arial" w:cs="Arial"/>
        <w:w w:val="100"/>
        <w:sz w:val="22"/>
        <w:szCs w:val="22"/>
      </w:rPr>
    </w:lvl>
    <w:lvl w:ilvl="1">
      <w:start w:val="1"/>
      <w:numFmt w:val="bullet"/>
      <w:lvlText w:val="•"/>
      <w:lvlJc w:val="left"/>
      <w:pPr>
        <w:ind w:left="1299" w:hanging="142"/>
      </w:pPr>
      <w:rPr>
        <w:rFonts w:hint="default"/>
      </w:rPr>
    </w:lvl>
    <w:lvl w:ilvl="2">
      <w:start w:val="1"/>
      <w:numFmt w:val="bullet"/>
      <w:lvlText w:val="•"/>
      <w:lvlJc w:val="left"/>
      <w:pPr>
        <w:ind w:left="2578" w:hanging="142"/>
      </w:pPr>
      <w:rPr>
        <w:rFonts w:hint="default"/>
      </w:rPr>
    </w:lvl>
    <w:lvl w:ilvl="3">
      <w:start w:val="1"/>
      <w:numFmt w:val="bullet"/>
      <w:lvlText w:val="•"/>
      <w:lvlJc w:val="left"/>
      <w:pPr>
        <w:ind w:left="3857" w:hanging="142"/>
      </w:pPr>
      <w:rPr>
        <w:rFonts w:hint="default"/>
      </w:rPr>
    </w:lvl>
    <w:lvl w:ilvl="4">
      <w:start w:val="1"/>
      <w:numFmt w:val="bullet"/>
      <w:lvlText w:val="•"/>
      <w:lvlJc w:val="left"/>
      <w:pPr>
        <w:ind w:left="5136" w:hanging="142"/>
      </w:pPr>
      <w:rPr>
        <w:rFonts w:hint="default"/>
      </w:rPr>
    </w:lvl>
    <w:lvl w:ilvl="5">
      <w:start w:val="1"/>
      <w:numFmt w:val="bullet"/>
      <w:lvlText w:val="•"/>
      <w:lvlJc w:val="left"/>
      <w:pPr>
        <w:ind w:left="6416" w:hanging="142"/>
      </w:pPr>
      <w:rPr>
        <w:rFonts w:hint="default"/>
      </w:rPr>
    </w:lvl>
    <w:lvl w:ilvl="6">
      <w:start w:val="1"/>
      <w:numFmt w:val="bullet"/>
      <w:lvlText w:val="•"/>
      <w:lvlJc w:val="left"/>
      <w:pPr>
        <w:ind w:left="7695" w:hanging="142"/>
      </w:pPr>
      <w:rPr>
        <w:rFonts w:hint="default"/>
      </w:rPr>
    </w:lvl>
    <w:lvl w:ilvl="7">
      <w:start w:val="1"/>
      <w:numFmt w:val="bullet"/>
      <w:lvlText w:val="•"/>
      <w:lvlJc w:val="left"/>
      <w:pPr>
        <w:ind w:left="8974" w:hanging="142"/>
      </w:pPr>
      <w:rPr>
        <w:rFonts w:hint="default"/>
      </w:rPr>
    </w:lvl>
    <w:lvl w:ilvl="8">
      <w:start w:val="1"/>
      <w:numFmt w:val="bullet"/>
      <w:lvlText w:val="•"/>
      <w:lvlJc w:val="left"/>
      <w:pPr>
        <w:ind w:left="10253" w:hanging="142"/>
      </w:pPr>
      <w:rPr>
        <w:rFonts w:hint="default"/>
      </w:rPr>
    </w:lvl>
  </w:abstractNum>
  <w:abstractNum w:abstractNumId="30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2" w:hanging="672"/>
      </w:pPr>
      <w:rPr>
        <w:rFonts w:hint="default"/>
      </w:rPr>
    </w:lvl>
    <w:lvl w:ilvl="4">
      <w:start w:val="1"/>
      <w:numFmt w:val="bullet"/>
      <w:lvlText w:val="•"/>
      <w:lvlJc w:val="left"/>
      <w:pPr>
        <w:ind w:left="1376" w:hanging="672"/>
      </w:pPr>
      <w:rPr>
        <w:rFonts w:hint="default"/>
      </w:rPr>
    </w:lvl>
    <w:lvl w:ilvl="5">
      <w:start w:val="1"/>
      <w:numFmt w:val="bullet"/>
      <w:lvlText w:val="•"/>
      <w:lvlJc w:val="left"/>
      <w:pPr>
        <w:ind w:left="1650" w:hanging="672"/>
      </w:pPr>
      <w:rPr>
        <w:rFonts w:hint="default"/>
      </w:rPr>
    </w:lvl>
    <w:lvl w:ilvl="6">
      <w:start w:val="1"/>
      <w:numFmt w:val="bullet"/>
      <w:lvlText w:val="•"/>
      <w:lvlJc w:val="left"/>
      <w:pPr>
        <w:ind w:left="1924" w:hanging="672"/>
      </w:pPr>
      <w:rPr>
        <w:rFonts w:hint="default"/>
      </w:rPr>
    </w:lvl>
    <w:lvl w:ilvl="7">
      <w:start w:val="1"/>
      <w:numFmt w:val="bullet"/>
      <w:lvlText w:val="•"/>
      <w:lvlJc w:val="left"/>
      <w:pPr>
        <w:ind w:left="2199" w:hanging="672"/>
      </w:pPr>
      <w:rPr>
        <w:rFonts w:hint="default"/>
      </w:rPr>
    </w:lvl>
    <w:lvl w:ilvl="8">
      <w:start w:val="1"/>
      <w:numFmt w:val="bullet"/>
      <w:lvlText w:val="•"/>
      <w:lvlJc w:val="left"/>
      <w:pPr>
        <w:ind w:left="2473" w:hanging="672"/>
      </w:pPr>
      <w:rPr>
        <w:rFonts w:hint="default"/>
      </w:rPr>
    </w:lvl>
  </w:abstractNum>
  <w:abstractNum w:abstractNumId="30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2" w:hanging="672"/>
      </w:pPr>
      <w:rPr>
        <w:rFonts w:hint="default"/>
      </w:rPr>
    </w:lvl>
    <w:lvl w:ilvl="4">
      <w:start w:val="1"/>
      <w:numFmt w:val="bullet"/>
      <w:lvlText w:val="•"/>
      <w:lvlJc w:val="left"/>
      <w:pPr>
        <w:ind w:left="1376" w:hanging="672"/>
      </w:pPr>
      <w:rPr>
        <w:rFonts w:hint="default"/>
      </w:rPr>
    </w:lvl>
    <w:lvl w:ilvl="5">
      <w:start w:val="1"/>
      <w:numFmt w:val="bullet"/>
      <w:lvlText w:val="•"/>
      <w:lvlJc w:val="left"/>
      <w:pPr>
        <w:ind w:left="1650" w:hanging="672"/>
      </w:pPr>
      <w:rPr>
        <w:rFonts w:hint="default"/>
      </w:rPr>
    </w:lvl>
    <w:lvl w:ilvl="6">
      <w:start w:val="1"/>
      <w:numFmt w:val="bullet"/>
      <w:lvlText w:val="•"/>
      <w:lvlJc w:val="left"/>
      <w:pPr>
        <w:ind w:left="1924" w:hanging="672"/>
      </w:pPr>
      <w:rPr>
        <w:rFonts w:hint="default"/>
      </w:rPr>
    </w:lvl>
    <w:lvl w:ilvl="7">
      <w:start w:val="1"/>
      <w:numFmt w:val="bullet"/>
      <w:lvlText w:val="•"/>
      <w:lvlJc w:val="left"/>
      <w:pPr>
        <w:ind w:left="2199" w:hanging="672"/>
      </w:pPr>
      <w:rPr>
        <w:rFonts w:hint="default"/>
      </w:rPr>
    </w:lvl>
    <w:lvl w:ilvl="8">
      <w:start w:val="1"/>
      <w:numFmt w:val="bullet"/>
      <w:lvlText w:val="•"/>
      <w:lvlJc w:val="left"/>
      <w:pPr>
        <w:ind w:left="2473" w:hanging="672"/>
      </w:pPr>
      <w:rPr>
        <w:rFonts w:hint="default"/>
      </w:rPr>
    </w:lvl>
  </w:abstractNum>
  <w:abstractNum w:abstractNumId="30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2" w:hanging="672"/>
      </w:pPr>
      <w:rPr>
        <w:rFonts w:hint="default"/>
      </w:rPr>
    </w:lvl>
    <w:lvl w:ilvl="4">
      <w:start w:val="1"/>
      <w:numFmt w:val="bullet"/>
      <w:lvlText w:val="•"/>
      <w:lvlJc w:val="left"/>
      <w:pPr>
        <w:ind w:left="1376" w:hanging="672"/>
      </w:pPr>
      <w:rPr>
        <w:rFonts w:hint="default"/>
      </w:rPr>
    </w:lvl>
    <w:lvl w:ilvl="5">
      <w:start w:val="1"/>
      <w:numFmt w:val="bullet"/>
      <w:lvlText w:val="•"/>
      <w:lvlJc w:val="left"/>
      <w:pPr>
        <w:ind w:left="1650" w:hanging="672"/>
      </w:pPr>
      <w:rPr>
        <w:rFonts w:hint="default"/>
      </w:rPr>
    </w:lvl>
    <w:lvl w:ilvl="6">
      <w:start w:val="1"/>
      <w:numFmt w:val="bullet"/>
      <w:lvlText w:val="•"/>
      <w:lvlJc w:val="left"/>
      <w:pPr>
        <w:ind w:left="1924" w:hanging="672"/>
      </w:pPr>
      <w:rPr>
        <w:rFonts w:hint="default"/>
      </w:rPr>
    </w:lvl>
    <w:lvl w:ilvl="7">
      <w:start w:val="1"/>
      <w:numFmt w:val="bullet"/>
      <w:lvlText w:val="•"/>
      <w:lvlJc w:val="left"/>
      <w:pPr>
        <w:ind w:left="2199" w:hanging="672"/>
      </w:pPr>
      <w:rPr>
        <w:rFonts w:hint="default"/>
      </w:rPr>
    </w:lvl>
    <w:lvl w:ilvl="8">
      <w:start w:val="1"/>
      <w:numFmt w:val="bullet"/>
      <w:lvlText w:val="•"/>
      <w:lvlJc w:val="left"/>
      <w:pPr>
        <w:ind w:left="2473" w:hanging="672"/>
      </w:pPr>
      <w:rPr>
        <w:rFonts w:hint="default"/>
      </w:rPr>
    </w:lvl>
  </w:abstractNum>
  <w:abstractNum w:abstractNumId="30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2" w:hanging="672"/>
      </w:pPr>
      <w:rPr>
        <w:rFonts w:hint="default"/>
      </w:rPr>
    </w:lvl>
    <w:lvl w:ilvl="4">
      <w:start w:val="1"/>
      <w:numFmt w:val="bullet"/>
      <w:lvlText w:val="•"/>
      <w:lvlJc w:val="left"/>
      <w:pPr>
        <w:ind w:left="1376" w:hanging="672"/>
      </w:pPr>
      <w:rPr>
        <w:rFonts w:hint="default"/>
      </w:rPr>
    </w:lvl>
    <w:lvl w:ilvl="5">
      <w:start w:val="1"/>
      <w:numFmt w:val="bullet"/>
      <w:lvlText w:val="•"/>
      <w:lvlJc w:val="left"/>
      <w:pPr>
        <w:ind w:left="1650" w:hanging="672"/>
      </w:pPr>
      <w:rPr>
        <w:rFonts w:hint="default"/>
      </w:rPr>
    </w:lvl>
    <w:lvl w:ilvl="6">
      <w:start w:val="1"/>
      <w:numFmt w:val="bullet"/>
      <w:lvlText w:val="•"/>
      <w:lvlJc w:val="left"/>
      <w:pPr>
        <w:ind w:left="1924" w:hanging="672"/>
      </w:pPr>
      <w:rPr>
        <w:rFonts w:hint="default"/>
      </w:rPr>
    </w:lvl>
    <w:lvl w:ilvl="7">
      <w:start w:val="1"/>
      <w:numFmt w:val="bullet"/>
      <w:lvlText w:val="•"/>
      <w:lvlJc w:val="left"/>
      <w:pPr>
        <w:ind w:left="2199" w:hanging="672"/>
      </w:pPr>
      <w:rPr>
        <w:rFonts w:hint="default"/>
      </w:rPr>
    </w:lvl>
    <w:lvl w:ilvl="8">
      <w:start w:val="1"/>
      <w:numFmt w:val="bullet"/>
      <w:lvlText w:val="•"/>
      <w:lvlJc w:val="left"/>
      <w:pPr>
        <w:ind w:left="2473" w:hanging="672"/>
      </w:pPr>
      <w:rPr>
        <w:rFonts w:hint="default"/>
      </w:rPr>
    </w:lvl>
  </w:abstractNum>
  <w:abstractNum w:abstractNumId="30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2" w:hanging="672"/>
      </w:pPr>
      <w:rPr>
        <w:rFonts w:hint="default"/>
      </w:rPr>
    </w:lvl>
    <w:lvl w:ilvl="4">
      <w:start w:val="1"/>
      <w:numFmt w:val="bullet"/>
      <w:lvlText w:val="•"/>
      <w:lvlJc w:val="left"/>
      <w:pPr>
        <w:ind w:left="1376" w:hanging="672"/>
      </w:pPr>
      <w:rPr>
        <w:rFonts w:hint="default"/>
      </w:rPr>
    </w:lvl>
    <w:lvl w:ilvl="5">
      <w:start w:val="1"/>
      <w:numFmt w:val="bullet"/>
      <w:lvlText w:val="•"/>
      <w:lvlJc w:val="left"/>
      <w:pPr>
        <w:ind w:left="1650" w:hanging="672"/>
      </w:pPr>
      <w:rPr>
        <w:rFonts w:hint="default"/>
      </w:rPr>
    </w:lvl>
    <w:lvl w:ilvl="6">
      <w:start w:val="1"/>
      <w:numFmt w:val="bullet"/>
      <w:lvlText w:val="•"/>
      <w:lvlJc w:val="left"/>
      <w:pPr>
        <w:ind w:left="1924" w:hanging="672"/>
      </w:pPr>
      <w:rPr>
        <w:rFonts w:hint="default"/>
      </w:rPr>
    </w:lvl>
    <w:lvl w:ilvl="7">
      <w:start w:val="1"/>
      <w:numFmt w:val="bullet"/>
      <w:lvlText w:val="•"/>
      <w:lvlJc w:val="left"/>
      <w:pPr>
        <w:ind w:left="2199" w:hanging="672"/>
      </w:pPr>
      <w:rPr>
        <w:rFonts w:hint="default"/>
      </w:rPr>
    </w:lvl>
    <w:lvl w:ilvl="8">
      <w:start w:val="1"/>
      <w:numFmt w:val="bullet"/>
      <w:lvlText w:val="•"/>
      <w:lvlJc w:val="left"/>
      <w:pPr>
        <w:ind w:left="2473" w:hanging="672"/>
      </w:pPr>
      <w:rPr>
        <w:rFonts w:hint="default"/>
      </w:rPr>
    </w:lvl>
  </w:abstractNum>
  <w:abstractNum w:abstractNumId="30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2" w:hanging="672"/>
      </w:pPr>
      <w:rPr>
        <w:rFonts w:hint="default"/>
      </w:rPr>
    </w:lvl>
    <w:lvl w:ilvl="4">
      <w:start w:val="1"/>
      <w:numFmt w:val="bullet"/>
      <w:lvlText w:val="•"/>
      <w:lvlJc w:val="left"/>
      <w:pPr>
        <w:ind w:left="1376" w:hanging="672"/>
      </w:pPr>
      <w:rPr>
        <w:rFonts w:hint="default"/>
      </w:rPr>
    </w:lvl>
    <w:lvl w:ilvl="5">
      <w:start w:val="1"/>
      <w:numFmt w:val="bullet"/>
      <w:lvlText w:val="•"/>
      <w:lvlJc w:val="left"/>
      <w:pPr>
        <w:ind w:left="1650" w:hanging="672"/>
      </w:pPr>
      <w:rPr>
        <w:rFonts w:hint="default"/>
      </w:rPr>
    </w:lvl>
    <w:lvl w:ilvl="6">
      <w:start w:val="1"/>
      <w:numFmt w:val="bullet"/>
      <w:lvlText w:val="•"/>
      <w:lvlJc w:val="left"/>
      <w:pPr>
        <w:ind w:left="1924" w:hanging="672"/>
      </w:pPr>
      <w:rPr>
        <w:rFonts w:hint="default"/>
      </w:rPr>
    </w:lvl>
    <w:lvl w:ilvl="7">
      <w:start w:val="1"/>
      <w:numFmt w:val="bullet"/>
      <w:lvlText w:val="•"/>
      <w:lvlJc w:val="left"/>
      <w:pPr>
        <w:ind w:left="2199" w:hanging="672"/>
      </w:pPr>
      <w:rPr>
        <w:rFonts w:hint="default"/>
      </w:rPr>
    </w:lvl>
    <w:lvl w:ilvl="8">
      <w:start w:val="1"/>
      <w:numFmt w:val="bullet"/>
      <w:lvlText w:val="•"/>
      <w:lvlJc w:val="left"/>
      <w:pPr>
        <w:ind w:left="2473" w:hanging="672"/>
      </w:pPr>
      <w:rPr>
        <w:rFonts w:hint="default"/>
      </w:rPr>
    </w:lvl>
  </w:abstractNum>
  <w:abstractNum w:abstractNumId="30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2" w:hanging="672"/>
      </w:pPr>
      <w:rPr>
        <w:rFonts w:hint="default"/>
      </w:rPr>
    </w:lvl>
    <w:lvl w:ilvl="4">
      <w:start w:val="1"/>
      <w:numFmt w:val="bullet"/>
      <w:lvlText w:val="•"/>
      <w:lvlJc w:val="left"/>
      <w:pPr>
        <w:ind w:left="1376" w:hanging="672"/>
      </w:pPr>
      <w:rPr>
        <w:rFonts w:hint="default"/>
      </w:rPr>
    </w:lvl>
    <w:lvl w:ilvl="5">
      <w:start w:val="1"/>
      <w:numFmt w:val="bullet"/>
      <w:lvlText w:val="•"/>
      <w:lvlJc w:val="left"/>
      <w:pPr>
        <w:ind w:left="1650" w:hanging="672"/>
      </w:pPr>
      <w:rPr>
        <w:rFonts w:hint="default"/>
      </w:rPr>
    </w:lvl>
    <w:lvl w:ilvl="6">
      <w:start w:val="1"/>
      <w:numFmt w:val="bullet"/>
      <w:lvlText w:val="•"/>
      <w:lvlJc w:val="left"/>
      <w:pPr>
        <w:ind w:left="1924" w:hanging="672"/>
      </w:pPr>
      <w:rPr>
        <w:rFonts w:hint="default"/>
      </w:rPr>
    </w:lvl>
    <w:lvl w:ilvl="7">
      <w:start w:val="1"/>
      <w:numFmt w:val="bullet"/>
      <w:lvlText w:val="•"/>
      <w:lvlJc w:val="left"/>
      <w:pPr>
        <w:ind w:left="2199" w:hanging="672"/>
      </w:pPr>
      <w:rPr>
        <w:rFonts w:hint="default"/>
      </w:rPr>
    </w:lvl>
    <w:lvl w:ilvl="8">
      <w:start w:val="1"/>
      <w:numFmt w:val="bullet"/>
      <w:lvlText w:val="•"/>
      <w:lvlJc w:val="left"/>
      <w:pPr>
        <w:ind w:left="2473" w:hanging="672"/>
      </w:pPr>
      <w:rPr>
        <w:rFonts w:hint="default"/>
      </w:rPr>
    </w:lvl>
  </w:abstractNum>
  <w:abstractNum w:abstractNumId="30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2" w:hanging="672"/>
      </w:pPr>
      <w:rPr>
        <w:rFonts w:hint="default"/>
      </w:rPr>
    </w:lvl>
    <w:lvl w:ilvl="4">
      <w:start w:val="1"/>
      <w:numFmt w:val="bullet"/>
      <w:lvlText w:val="•"/>
      <w:lvlJc w:val="left"/>
      <w:pPr>
        <w:ind w:left="1376" w:hanging="672"/>
      </w:pPr>
      <w:rPr>
        <w:rFonts w:hint="default"/>
      </w:rPr>
    </w:lvl>
    <w:lvl w:ilvl="5">
      <w:start w:val="1"/>
      <w:numFmt w:val="bullet"/>
      <w:lvlText w:val="•"/>
      <w:lvlJc w:val="left"/>
      <w:pPr>
        <w:ind w:left="1650" w:hanging="672"/>
      </w:pPr>
      <w:rPr>
        <w:rFonts w:hint="default"/>
      </w:rPr>
    </w:lvl>
    <w:lvl w:ilvl="6">
      <w:start w:val="1"/>
      <w:numFmt w:val="bullet"/>
      <w:lvlText w:val="•"/>
      <w:lvlJc w:val="left"/>
      <w:pPr>
        <w:ind w:left="1924" w:hanging="672"/>
      </w:pPr>
      <w:rPr>
        <w:rFonts w:hint="default"/>
      </w:rPr>
    </w:lvl>
    <w:lvl w:ilvl="7">
      <w:start w:val="1"/>
      <w:numFmt w:val="bullet"/>
      <w:lvlText w:val="•"/>
      <w:lvlJc w:val="left"/>
      <w:pPr>
        <w:ind w:left="2199" w:hanging="672"/>
      </w:pPr>
      <w:rPr>
        <w:rFonts w:hint="default"/>
      </w:rPr>
    </w:lvl>
    <w:lvl w:ilvl="8">
      <w:start w:val="1"/>
      <w:numFmt w:val="bullet"/>
      <w:lvlText w:val="•"/>
      <w:lvlJc w:val="left"/>
      <w:pPr>
        <w:ind w:left="2473" w:hanging="672"/>
      </w:pPr>
      <w:rPr>
        <w:rFonts w:hint="default"/>
      </w:rPr>
    </w:lvl>
  </w:abstractNum>
  <w:abstractNum w:abstractNumId="300">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2" w:hanging="672"/>
      </w:pPr>
      <w:rPr>
        <w:rFonts w:hint="default"/>
      </w:rPr>
    </w:lvl>
    <w:lvl w:ilvl="4">
      <w:start w:val="1"/>
      <w:numFmt w:val="bullet"/>
      <w:lvlText w:val="•"/>
      <w:lvlJc w:val="left"/>
      <w:pPr>
        <w:ind w:left="1376" w:hanging="672"/>
      </w:pPr>
      <w:rPr>
        <w:rFonts w:hint="default"/>
      </w:rPr>
    </w:lvl>
    <w:lvl w:ilvl="5">
      <w:start w:val="1"/>
      <w:numFmt w:val="bullet"/>
      <w:lvlText w:val="•"/>
      <w:lvlJc w:val="left"/>
      <w:pPr>
        <w:ind w:left="1650" w:hanging="672"/>
      </w:pPr>
      <w:rPr>
        <w:rFonts w:hint="default"/>
      </w:rPr>
    </w:lvl>
    <w:lvl w:ilvl="6">
      <w:start w:val="1"/>
      <w:numFmt w:val="bullet"/>
      <w:lvlText w:val="•"/>
      <w:lvlJc w:val="left"/>
      <w:pPr>
        <w:ind w:left="1924" w:hanging="672"/>
      </w:pPr>
      <w:rPr>
        <w:rFonts w:hint="default"/>
      </w:rPr>
    </w:lvl>
    <w:lvl w:ilvl="7">
      <w:start w:val="1"/>
      <w:numFmt w:val="bullet"/>
      <w:lvlText w:val="•"/>
      <w:lvlJc w:val="left"/>
      <w:pPr>
        <w:ind w:left="2199" w:hanging="672"/>
      </w:pPr>
      <w:rPr>
        <w:rFonts w:hint="default"/>
      </w:rPr>
    </w:lvl>
    <w:lvl w:ilvl="8">
      <w:start w:val="1"/>
      <w:numFmt w:val="bullet"/>
      <w:lvlText w:val="•"/>
      <w:lvlJc w:val="left"/>
      <w:pPr>
        <w:ind w:left="2473" w:hanging="672"/>
      </w:pPr>
      <w:rPr>
        <w:rFonts w:hint="default"/>
      </w:rPr>
    </w:lvl>
  </w:abstractNum>
  <w:abstractNum w:abstractNumId="299">
    <w:multiLevelType w:val="hybridMultilevel"/>
    <w:lvl w:ilvl="0">
      <w:start w:val="1"/>
      <w:numFmt w:val="bullet"/>
      <w:lvlText w:val="-"/>
      <w:lvlJc w:val="left"/>
      <w:pPr>
        <w:ind w:left="103" w:hanging="171"/>
      </w:pPr>
      <w:rPr>
        <w:rFonts w:hint="default" w:ascii="Arial" w:hAnsi="Arial" w:eastAsia="Arial" w:cs="Arial"/>
        <w:w w:val="100"/>
        <w:sz w:val="22"/>
        <w:szCs w:val="22"/>
      </w:rPr>
    </w:lvl>
    <w:lvl w:ilvl="1">
      <w:start w:val="1"/>
      <w:numFmt w:val="bullet"/>
      <w:lvlText w:val="•"/>
      <w:lvlJc w:val="left"/>
      <w:pPr>
        <w:ind w:left="1378" w:hanging="171"/>
      </w:pPr>
      <w:rPr>
        <w:rFonts w:hint="default"/>
      </w:rPr>
    </w:lvl>
    <w:lvl w:ilvl="2">
      <w:start w:val="1"/>
      <w:numFmt w:val="bullet"/>
      <w:lvlText w:val="•"/>
      <w:lvlJc w:val="left"/>
      <w:pPr>
        <w:ind w:left="2657" w:hanging="171"/>
      </w:pPr>
      <w:rPr>
        <w:rFonts w:hint="default"/>
      </w:rPr>
    </w:lvl>
    <w:lvl w:ilvl="3">
      <w:start w:val="1"/>
      <w:numFmt w:val="bullet"/>
      <w:lvlText w:val="•"/>
      <w:lvlJc w:val="left"/>
      <w:pPr>
        <w:ind w:left="3936" w:hanging="171"/>
      </w:pPr>
      <w:rPr>
        <w:rFonts w:hint="default"/>
      </w:rPr>
    </w:lvl>
    <w:lvl w:ilvl="4">
      <w:start w:val="1"/>
      <w:numFmt w:val="bullet"/>
      <w:lvlText w:val="•"/>
      <w:lvlJc w:val="left"/>
      <w:pPr>
        <w:ind w:left="5215" w:hanging="171"/>
      </w:pPr>
      <w:rPr>
        <w:rFonts w:hint="default"/>
      </w:rPr>
    </w:lvl>
    <w:lvl w:ilvl="5">
      <w:start w:val="1"/>
      <w:numFmt w:val="bullet"/>
      <w:lvlText w:val="•"/>
      <w:lvlJc w:val="left"/>
      <w:pPr>
        <w:ind w:left="6493" w:hanging="171"/>
      </w:pPr>
      <w:rPr>
        <w:rFonts w:hint="default"/>
      </w:rPr>
    </w:lvl>
    <w:lvl w:ilvl="6">
      <w:start w:val="1"/>
      <w:numFmt w:val="bullet"/>
      <w:lvlText w:val="•"/>
      <w:lvlJc w:val="left"/>
      <w:pPr>
        <w:ind w:left="7772" w:hanging="171"/>
      </w:pPr>
      <w:rPr>
        <w:rFonts w:hint="default"/>
      </w:rPr>
    </w:lvl>
    <w:lvl w:ilvl="7">
      <w:start w:val="1"/>
      <w:numFmt w:val="bullet"/>
      <w:lvlText w:val="•"/>
      <w:lvlJc w:val="left"/>
      <w:pPr>
        <w:ind w:left="9051" w:hanging="171"/>
      </w:pPr>
      <w:rPr>
        <w:rFonts w:hint="default"/>
      </w:rPr>
    </w:lvl>
    <w:lvl w:ilvl="8">
      <w:start w:val="1"/>
      <w:numFmt w:val="bullet"/>
      <w:lvlText w:val="•"/>
      <w:lvlJc w:val="left"/>
      <w:pPr>
        <w:ind w:left="10330" w:hanging="171"/>
      </w:pPr>
      <w:rPr>
        <w:rFonts w:hint="default"/>
      </w:rPr>
    </w:lvl>
  </w:abstractNum>
  <w:abstractNum w:abstractNumId="298">
    <w:multiLevelType w:val="hybridMultilevel"/>
    <w:lvl w:ilvl="0">
      <w:start w:val="1"/>
      <w:numFmt w:val="bullet"/>
      <w:lvlText w:val="-"/>
      <w:lvlJc w:val="left"/>
      <w:pPr>
        <w:ind w:left="64" w:hanging="147"/>
      </w:pPr>
      <w:rPr>
        <w:rFonts w:hint="default" w:ascii="Arial" w:hAnsi="Arial" w:eastAsia="Arial" w:cs="Arial"/>
        <w:w w:val="100"/>
        <w:sz w:val="22"/>
        <w:szCs w:val="22"/>
      </w:rPr>
    </w:lvl>
    <w:lvl w:ilvl="1">
      <w:start w:val="1"/>
      <w:numFmt w:val="bullet"/>
      <w:lvlText w:val="•"/>
      <w:lvlJc w:val="left"/>
      <w:pPr>
        <w:ind w:left="1342" w:hanging="147"/>
      </w:pPr>
      <w:rPr>
        <w:rFonts w:hint="default"/>
      </w:rPr>
    </w:lvl>
    <w:lvl w:ilvl="2">
      <w:start w:val="1"/>
      <w:numFmt w:val="bullet"/>
      <w:lvlText w:val="•"/>
      <w:lvlJc w:val="left"/>
      <w:pPr>
        <w:ind w:left="2625" w:hanging="147"/>
      </w:pPr>
      <w:rPr>
        <w:rFonts w:hint="default"/>
      </w:rPr>
    </w:lvl>
    <w:lvl w:ilvl="3">
      <w:start w:val="1"/>
      <w:numFmt w:val="bullet"/>
      <w:lvlText w:val="•"/>
      <w:lvlJc w:val="left"/>
      <w:pPr>
        <w:ind w:left="3908" w:hanging="147"/>
      </w:pPr>
      <w:rPr>
        <w:rFonts w:hint="default"/>
      </w:rPr>
    </w:lvl>
    <w:lvl w:ilvl="4">
      <w:start w:val="1"/>
      <w:numFmt w:val="bullet"/>
      <w:lvlText w:val="•"/>
      <w:lvlJc w:val="left"/>
      <w:pPr>
        <w:ind w:left="5191" w:hanging="147"/>
      </w:pPr>
      <w:rPr>
        <w:rFonts w:hint="default"/>
      </w:rPr>
    </w:lvl>
    <w:lvl w:ilvl="5">
      <w:start w:val="1"/>
      <w:numFmt w:val="bullet"/>
      <w:lvlText w:val="•"/>
      <w:lvlJc w:val="left"/>
      <w:pPr>
        <w:ind w:left="6473" w:hanging="147"/>
      </w:pPr>
      <w:rPr>
        <w:rFonts w:hint="default"/>
      </w:rPr>
    </w:lvl>
    <w:lvl w:ilvl="6">
      <w:start w:val="1"/>
      <w:numFmt w:val="bullet"/>
      <w:lvlText w:val="•"/>
      <w:lvlJc w:val="left"/>
      <w:pPr>
        <w:ind w:left="7756" w:hanging="147"/>
      </w:pPr>
      <w:rPr>
        <w:rFonts w:hint="default"/>
      </w:rPr>
    </w:lvl>
    <w:lvl w:ilvl="7">
      <w:start w:val="1"/>
      <w:numFmt w:val="bullet"/>
      <w:lvlText w:val="•"/>
      <w:lvlJc w:val="left"/>
      <w:pPr>
        <w:ind w:left="9039" w:hanging="147"/>
      </w:pPr>
      <w:rPr>
        <w:rFonts w:hint="default"/>
      </w:rPr>
    </w:lvl>
    <w:lvl w:ilvl="8">
      <w:start w:val="1"/>
      <w:numFmt w:val="bullet"/>
      <w:lvlText w:val="•"/>
      <w:lvlJc w:val="left"/>
      <w:pPr>
        <w:ind w:left="10322" w:hanging="147"/>
      </w:pPr>
      <w:rPr>
        <w:rFonts w:hint="default"/>
      </w:rPr>
    </w:lvl>
  </w:abstractNum>
  <w:abstractNum w:abstractNumId="297">
    <w:multiLevelType w:val="hybridMultilevel"/>
    <w:lvl w:ilvl="0">
      <w:start w:val="1"/>
      <w:numFmt w:val="bullet"/>
      <w:lvlText w:val="-"/>
      <w:lvlJc w:val="left"/>
      <w:pPr>
        <w:ind w:left="27" w:hanging="142"/>
      </w:pPr>
      <w:rPr>
        <w:rFonts w:hint="default" w:ascii="Arial" w:hAnsi="Arial" w:eastAsia="Arial" w:cs="Arial"/>
        <w:w w:val="100"/>
        <w:sz w:val="22"/>
        <w:szCs w:val="22"/>
      </w:rPr>
    </w:lvl>
    <w:lvl w:ilvl="1">
      <w:start w:val="1"/>
      <w:numFmt w:val="bullet"/>
      <w:lvlText w:val="•"/>
      <w:lvlJc w:val="left"/>
      <w:pPr>
        <w:ind w:left="1299" w:hanging="142"/>
      </w:pPr>
      <w:rPr>
        <w:rFonts w:hint="default"/>
      </w:rPr>
    </w:lvl>
    <w:lvl w:ilvl="2">
      <w:start w:val="1"/>
      <w:numFmt w:val="bullet"/>
      <w:lvlText w:val="•"/>
      <w:lvlJc w:val="left"/>
      <w:pPr>
        <w:ind w:left="2578" w:hanging="142"/>
      </w:pPr>
      <w:rPr>
        <w:rFonts w:hint="default"/>
      </w:rPr>
    </w:lvl>
    <w:lvl w:ilvl="3">
      <w:start w:val="1"/>
      <w:numFmt w:val="bullet"/>
      <w:lvlText w:val="•"/>
      <w:lvlJc w:val="left"/>
      <w:pPr>
        <w:ind w:left="3857" w:hanging="142"/>
      </w:pPr>
      <w:rPr>
        <w:rFonts w:hint="default"/>
      </w:rPr>
    </w:lvl>
    <w:lvl w:ilvl="4">
      <w:start w:val="1"/>
      <w:numFmt w:val="bullet"/>
      <w:lvlText w:val="•"/>
      <w:lvlJc w:val="left"/>
      <w:pPr>
        <w:ind w:left="5136" w:hanging="142"/>
      </w:pPr>
      <w:rPr>
        <w:rFonts w:hint="default"/>
      </w:rPr>
    </w:lvl>
    <w:lvl w:ilvl="5">
      <w:start w:val="1"/>
      <w:numFmt w:val="bullet"/>
      <w:lvlText w:val="•"/>
      <w:lvlJc w:val="left"/>
      <w:pPr>
        <w:ind w:left="6416" w:hanging="142"/>
      </w:pPr>
      <w:rPr>
        <w:rFonts w:hint="default"/>
      </w:rPr>
    </w:lvl>
    <w:lvl w:ilvl="6">
      <w:start w:val="1"/>
      <w:numFmt w:val="bullet"/>
      <w:lvlText w:val="•"/>
      <w:lvlJc w:val="left"/>
      <w:pPr>
        <w:ind w:left="7695" w:hanging="142"/>
      </w:pPr>
      <w:rPr>
        <w:rFonts w:hint="default"/>
      </w:rPr>
    </w:lvl>
    <w:lvl w:ilvl="7">
      <w:start w:val="1"/>
      <w:numFmt w:val="bullet"/>
      <w:lvlText w:val="•"/>
      <w:lvlJc w:val="left"/>
      <w:pPr>
        <w:ind w:left="8974" w:hanging="142"/>
      </w:pPr>
      <w:rPr>
        <w:rFonts w:hint="default"/>
      </w:rPr>
    </w:lvl>
    <w:lvl w:ilvl="8">
      <w:start w:val="1"/>
      <w:numFmt w:val="bullet"/>
      <w:lvlText w:val="•"/>
      <w:lvlJc w:val="left"/>
      <w:pPr>
        <w:ind w:left="10253" w:hanging="142"/>
      </w:pPr>
      <w:rPr>
        <w:rFonts w:hint="default"/>
      </w:rPr>
    </w:lvl>
  </w:abstractNum>
  <w:abstractNum w:abstractNumId="29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6" w:hanging="672"/>
      </w:pPr>
      <w:rPr>
        <w:rFonts w:hint="default"/>
      </w:rPr>
    </w:lvl>
    <w:lvl w:ilvl="2">
      <w:start w:val="1"/>
      <w:numFmt w:val="bullet"/>
      <w:lvlText w:val="•"/>
      <w:lvlJc w:val="left"/>
      <w:pPr>
        <w:ind w:left="793" w:hanging="672"/>
      </w:pPr>
      <w:rPr>
        <w:rFonts w:hint="default"/>
      </w:rPr>
    </w:lvl>
    <w:lvl w:ilvl="3">
      <w:start w:val="1"/>
      <w:numFmt w:val="bullet"/>
      <w:lvlText w:val="•"/>
      <w:lvlJc w:val="left"/>
      <w:pPr>
        <w:ind w:left="1049" w:hanging="672"/>
      </w:pPr>
      <w:rPr>
        <w:rFonts w:hint="default"/>
      </w:rPr>
    </w:lvl>
    <w:lvl w:ilvl="4">
      <w:start w:val="1"/>
      <w:numFmt w:val="bullet"/>
      <w:lvlText w:val="•"/>
      <w:lvlJc w:val="left"/>
      <w:pPr>
        <w:ind w:left="1306" w:hanging="672"/>
      </w:pPr>
      <w:rPr>
        <w:rFonts w:hint="default"/>
      </w:rPr>
    </w:lvl>
    <w:lvl w:ilvl="5">
      <w:start w:val="1"/>
      <w:numFmt w:val="bullet"/>
      <w:lvlText w:val="•"/>
      <w:lvlJc w:val="left"/>
      <w:pPr>
        <w:ind w:left="1563" w:hanging="672"/>
      </w:pPr>
      <w:rPr>
        <w:rFonts w:hint="default"/>
      </w:rPr>
    </w:lvl>
    <w:lvl w:ilvl="6">
      <w:start w:val="1"/>
      <w:numFmt w:val="bullet"/>
      <w:lvlText w:val="•"/>
      <w:lvlJc w:val="left"/>
      <w:pPr>
        <w:ind w:left="1819" w:hanging="672"/>
      </w:pPr>
      <w:rPr>
        <w:rFonts w:hint="default"/>
      </w:rPr>
    </w:lvl>
    <w:lvl w:ilvl="7">
      <w:start w:val="1"/>
      <w:numFmt w:val="bullet"/>
      <w:lvlText w:val="•"/>
      <w:lvlJc w:val="left"/>
      <w:pPr>
        <w:ind w:left="2076" w:hanging="672"/>
      </w:pPr>
      <w:rPr>
        <w:rFonts w:hint="default"/>
      </w:rPr>
    </w:lvl>
    <w:lvl w:ilvl="8">
      <w:start w:val="1"/>
      <w:numFmt w:val="bullet"/>
      <w:lvlText w:val="•"/>
      <w:lvlJc w:val="left"/>
      <w:pPr>
        <w:ind w:left="2333" w:hanging="672"/>
      </w:pPr>
      <w:rPr>
        <w:rFonts w:hint="default"/>
      </w:rPr>
    </w:lvl>
  </w:abstractNum>
  <w:abstractNum w:abstractNumId="29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6" w:hanging="672"/>
      </w:pPr>
      <w:rPr>
        <w:rFonts w:hint="default"/>
      </w:rPr>
    </w:lvl>
    <w:lvl w:ilvl="2">
      <w:start w:val="1"/>
      <w:numFmt w:val="bullet"/>
      <w:lvlText w:val="•"/>
      <w:lvlJc w:val="left"/>
      <w:pPr>
        <w:ind w:left="793" w:hanging="672"/>
      </w:pPr>
      <w:rPr>
        <w:rFonts w:hint="default"/>
      </w:rPr>
    </w:lvl>
    <w:lvl w:ilvl="3">
      <w:start w:val="1"/>
      <w:numFmt w:val="bullet"/>
      <w:lvlText w:val="•"/>
      <w:lvlJc w:val="left"/>
      <w:pPr>
        <w:ind w:left="1049" w:hanging="672"/>
      </w:pPr>
      <w:rPr>
        <w:rFonts w:hint="default"/>
      </w:rPr>
    </w:lvl>
    <w:lvl w:ilvl="4">
      <w:start w:val="1"/>
      <w:numFmt w:val="bullet"/>
      <w:lvlText w:val="•"/>
      <w:lvlJc w:val="left"/>
      <w:pPr>
        <w:ind w:left="1306" w:hanging="672"/>
      </w:pPr>
      <w:rPr>
        <w:rFonts w:hint="default"/>
      </w:rPr>
    </w:lvl>
    <w:lvl w:ilvl="5">
      <w:start w:val="1"/>
      <w:numFmt w:val="bullet"/>
      <w:lvlText w:val="•"/>
      <w:lvlJc w:val="left"/>
      <w:pPr>
        <w:ind w:left="1563" w:hanging="672"/>
      </w:pPr>
      <w:rPr>
        <w:rFonts w:hint="default"/>
      </w:rPr>
    </w:lvl>
    <w:lvl w:ilvl="6">
      <w:start w:val="1"/>
      <w:numFmt w:val="bullet"/>
      <w:lvlText w:val="•"/>
      <w:lvlJc w:val="left"/>
      <w:pPr>
        <w:ind w:left="1819" w:hanging="672"/>
      </w:pPr>
      <w:rPr>
        <w:rFonts w:hint="default"/>
      </w:rPr>
    </w:lvl>
    <w:lvl w:ilvl="7">
      <w:start w:val="1"/>
      <w:numFmt w:val="bullet"/>
      <w:lvlText w:val="•"/>
      <w:lvlJc w:val="left"/>
      <w:pPr>
        <w:ind w:left="2076" w:hanging="672"/>
      </w:pPr>
      <w:rPr>
        <w:rFonts w:hint="default"/>
      </w:rPr>
    </w:lvl>
    <w:lvl w:ilvl="8">
      <w:start w:val="1"/>
      <w:numFmt w:val="bullet"/>
      <w:lvlText w:val="•"/>
      <w:lvlJc w:val="left"/>
      <w:pPr>
        <w:ind w:left="2333" w:hanging="672"/>
      </w:pPr>
      <w:rPr>
        <w:rFonts w:hint="default"/>
      </w:rPr>
    </w:lvl>
  </w:abstractNum>
  <w:abstractNum w:abstractNumId="29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6" w:hanging="672"/>
      </w:pPr>
      <w:rPr>
        <w:rFonts w:hint="default"/>
      </w:rPr>
    </w:lvl>
    <w:lvl w:ilvl="2">
      <w:start w:val="1"/>
      <w:numFmt w:val="bullet"/>
      <w:lvlText w:val="•"/>
      <w:lvlJc w:val="left"/>
      <w:pPr>
        <w:ind w:left="793" w:hanging="672"/>
      </w:pPr>
      <w:rPr>
        <w:rFonts w:hint="default"/>
      </w:rPr>
    </w:lvl>
    <w:lvl w:ilvl="3">
      <w:start w:val="1"/>
      <w:numFmt w:val="bullet"/>
      <w:lvlText w:val="•"/>
      <w:lvlJc w:val="left"/>
      <w:pPr>
        <w:ind w:left="1049" w:hanging="672"/>
      </w:pPr>
      <w:rPr>
        <w:rFonts w:hint="default"/>
      </w:rPr>
    </w:lvl>
    <w:lvl w:ilvl="4">
      <w:start w:val="1"/>
      <w:numFmt w:val="bullet"/>
      <w:lvlText w:val="•"/>
      <w:lvlJc w:val="left"/>
      <w:pPr>
        <w:ind w:left="1306" w:hanging="672"/>
      </w:pPr>
      <w:rPr>
        <w:rFonts w:hint="default"/>
      </w:rPr>
    </w:lvl>
    <w:lvl w:ilvl="5">
      <w:start w:val="1"/>
      <w:numFmt w:val="bullet"/>
      <w:lvlText w:val="•"/>
      <w:lvlJc w:val="left"/>
      <w:pPr>
        <w:ind w:left="1563" w:hanging="672"/>
      </w:pPr>
      <w:rPr>
        <w:rFonts w:hint="default"/>
      </w:rPr>
    </w:lvl>
    <w:lvl w:ilvl="6">
      <w:start w:val="1"/>
      <w:numFmt w:val="bullet"/>
      <w:lvlText w:val="•"/>
      <w:lvlJc w:val="left"/>
      <w:pPr>
        <w:ind w:left="1819" w:hanging="672"/>
      </w:pPr>
      <w:rPr>
        <w:rFonts w:hint="default"/>
      </w:rPr>
    </w:lvl>
    <w:lvl w:ilvl="7">
      <w:start w:val="1"/>
      <w:numFmt w:val="bullet"/>
      <w:lvlText w:val="•"/>
      <w:lvlJc w:val="left"/>
      <w:pPr>
        <w:ind w:left="2076" w:hanging="672"/>
      </w:pPr>
      <w:rPr>
        <w:rFonts w:hint="default"/>
      </w:rPr>
    </w:lvl>
    <w:lvl w:ilvl="8">
      <w:start w:val="1"/>
      <w:numFmt w:val="bullet"/>
      <w:lvlText w:val="•"/>
      <w:lvlJc w:val="left"/>
      <w:pPr>
        <w:ind w:left="2333" w:hanging="672"/>
      </w:pPr>
      <w:rPr>
        <w:rFonts w:hint="default"/>
      </w:rPr>
    </w:lvl>
  </w:abstractNum>
  <w:abstractNum w:abstractNumId="29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6" w:hanging="672"/>
      </w:pPr>
      <w:rPr>
        <w:rFonts w:hint="default"/>
      </w:rPr>
    </w:lvl>
    <w:lvl w:ilvl="2">
      <w:start w:val="1"/>
      <w:numFmt w:val="bullet"/>
      <w:lvlText w:val="•"/>
      <w:lvlJc w:val="left"/>
      <w:pPr>
        <w:ind w:left="793" w:hanging="672"/>
      </w:pPr>
      <w:rPr>
        <w:rFonts w:hint="default"/>
      </w:rPr>
    </w:lvl>
    <w:lvl w:ilvl="3">
      <w:start w:val="1"/>
      <w:numFmt w:val="bullet"/>
      <w:lvlText w:val="•"/>
      <w:lvlJc w:val="left"/>
      <w:pPr>
        <w:ind w:left="1049" w:hanging="672"/>
      </w:pPr>
      <w:rPr>
        <w:rFonts w:hint="default"/>
      </w:rPr>
    </w:lvl>
    <w:lvl w:ilvl="4">
      <w:start w:val="1"/>
      <w:numFmt w:val="bullet"/>
      <w:lvlText w:val="•"/>
      <w:lvlJc w:val="left"/>
      <w:pPr>
        <w:ind w:left="1306" w:hanging="672"/>
      </w:pPr>
      <w:rPr>
        <w:rFonts w:hint="default"/>
      </w:rPr>
    </w:lvl>
    <w:lvl w:ilvl="5">
      <w:start w:val="1"/>
      <w:numFmt w:val="bullet"/>
      <w:lvlText w:val="•"/>
      <w:lvlJc w:val="left"/>
      <w:pPr>
        <w:ind w:left="1563" w:hanging="672"/>
      </w:pPr>
      <w:rPr>
        <w:rFonts w:hint="default"/>
      </w:rPr>
    </w:lvl>
    <w:lvl w:ilvl="6">
      <w:start w:val="1"/>
      <w:numFmt w:val="bullet"/>
      <w:lvlText w:val="•"/>
      <w:lvlJc w:val="left"/>
      <w:pPr>
        <w:ind w:left="1819" w:hanging="672"/>
      </w:pPr>
      <w:rPr>
        <w:rFonts w:hint="default"/>
      </w:rPr>
    </w:lvl>
    <w:lvl w:ilvl="7">
      <w:start w:val="1"/>
      <w:numFmt w:val="bullet"/>
      <w:lvlText w:val="•"/>
      <w:lvlJc w:val="left"/>
      <w:pPr>
        <w:ind w:left="2076" w:hanging="672"/>
      </w:pPr>
      <w:rPr>
        <w:rFonts w:hint="default"/>
      </w:rPr>
    </w:lvl>
    <w:lvl w:ilvl="8">
      <w:start w:val="1"/>
      <w:numFmt w:val="bullet"/>
      <w:lvlText w:val="•"/>
      <w:lvlJc w:val="left"/>
      <w:pPr>
        <w:ind w:left="2333" w:hanging="672"/>
      </w:pPr>
      <w:rPr>
        <w:rFonts w:hint="default"/>
      </w:rPr>
    </w:lvl>
  </w:abstractNum>
  <w:abstractNum w:abstractNumId="29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6" w:hanging="672"/>
      </w:pPr>
      <w:rPr>
        <w:rFonts w:hint="default"/>
      </w:rPr>
    </w:lvl>
    <w:lvl w:ilvl="2">
      <w:start w:val="1"/>
      <w:numFmt w:val="bullet"/>
      <w:lvlText w:val="•"/>
      <w:lvlJc w:val="left"/>
      <w:pPr>
        <w:ind w:left="793" w:hanging="672"/>
      </w:pPr>
      <w:rPr>
        <w:rFonts w:hint="default"/>
      </w:rPr>
    </w:lvl>
    <w:lvl w:ilvl="3">
      <w:start w:val="1"/>
      <w:numFmt w:val="bullet"/>
      <w:lvlText w:val="•"/>
      <w:lvlJc w:val="left"/>
      <w:pPr>
        <w:ind w:left="1049" w:hanging="672"/>
      </w:pPr>
      <w:rPr>
        <w:rFonts w:hint="default"/>
      </w:rPr>
    </w:lvl>
    <w:lvl w:ilvl="4">
      <w:start w:val="1"/>
      <w:numFmt w:val="bullet"/>
      <w:lvlText w:val="•"/>
      <w:lvlJc w:val="left"/>
      <w:pPr>
        <w:ind w:left="1306" w:hanging="672"/>
      </w:pPr>
      <w:rPr>
        <w:rFonts w:hint="default"/>
      </w:rPr>
    </w:lvl>
    <w:lvl w:ilvl="5">
      <w:start w:val="1"/>
      <w:numFmt w:val="bullet"/>
      <w:lvlText w:val="•"/>
      <w:lvlJc w:val="left"/>
      <w:pPr>
        <w:ind w:left="1563" w:hanging="672"/>
      </w:pPr>
      <w:rPr>
        <w:rFonts w:hint="default"/>
      </w:rPr>
    </w:lvl>
    <w:lvl w:ilvl="6">
      <w:start w:val="1"/>
      <w:numFmt w:val="bullet"/>
      <w:lvlText w:val="•"/>
      <w:lvlJc w:val="left"/>
      <w:pPr>
        <w:ind w:left="1819" w:hanging="672"/>
      </w:pPr>
      <w:rPr>
        <w:rFonts w:hint="default"/>
      </w:rPr>
    </w:lvl>
    <w:lvl w:ilvl="7">
      <w:start w:val="1"/>
      <w:numFmt w:val="bullet"/>
      <w:lvlText w:val="•"/>
      <w:lvlJc w:val="left"/>
      <w:pPr>
        <w:ind w:left="2076" w:hanging="672"/>
      </w:pPr>
      <w:rPr>
        <w:rFonts w:hint="default"/>
      </w:rPr>
    </w:lvl>
    <w:lvl w:ilvl="8">
      <w:start w:val="1"/>
      <w:numFmt w:val="bullet"/>
      <w:lvlText w:val="•"/>
      <w:lvlJc w:val="left"/>
      <w:pPr>
        <w:ind w:left="2333" w:hanging="672"/>
      </w:pPr>
      <w:rPr>
        <w:rFonts w:hint="default"/>
      </w:rPr>
    </w:lvl>
  </w:abstractNum>
  <w:abstractNum w:abstractNumId="29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6" w:hanging="672"/>
      </w:pPr>
      <w:rPr>
        <w:rFonts w:hint="default"/>
      </w:rPr>
    </w:lvl>
    <w:lvl w:ilvl="2">
      <w:start w:val="1"/>
      <w:numFmt w:val="bullet"/>
      <w:lvlText w:val="•"/>
      <w:lvlJc w:val="left"/>
      <w:pPr>
        <w:ind w:left="793" w:hanging="672"/>
      </w:pPr>
      <w:rPr>
        <w:rFonts w:hint="default"/>
      </w:rPr>
    </w:lvl>
    <w:lvl w:ilvl="3">
      <w:start w:val="1"/>
      <w:numFmt w:val="bullet"/>
      <w:lvlText w:val="•"/>
      <w:lvlJc w:val="left"/>
      <w:pPr>
        <w:ind w:left="1049" w:hanging="672"/>
      </w:pPr>
      <w:rPr>
        <w:rFonts w:hint="default"/>
      </w:rPr>
    </w:lvl>
    <w:lvl w:ilvl="4">
      <w:start w:val="1"/>
      <w:numFmt w:val="bullet"/>
      <w:lvlText w:val="•"/>
      <w:lvlJc w:val="left"/>
      <w:pPr>
        <w:ind w:left="1306" w:hanging="672"/>
      </w:pPr>
      <w:rPr>
        <w:rFonts w:hint="default"/>
      </w:rPr>
    </w:lvl>
    <w:lvl w:ilvl="5">
      <w:start w:val="1"/>
      <w:numFmt w:val="bullet"/>
      <w:lvlText w:val="•"/>
      <w:lvlJc w:val="left"/>
      <w:pPr>
        <w:ind w:left="1563" w:hanging="672"/>
      </w:pPr>
      <w:rPr>
        <w:rFonts w:hint="default"/>
      </w:rPr>
    </w:lvl>
    <w:lvl w:ilvl="6">
      <w:start w:val="1"/>
      <w:numFmt w:val="bullet"/>
      <w:lvlText w:val="•"/>
      <w:lvlJc w:val="left"/>
      <w:pPr>
        <w:ind w:left="1819" w:hanging="672"/>
      </w:pPr>
      <w:rPr>
        <w:rFonts w:hint="default"/>
      </w:rPr>
    </w:lvl>
    <w:lvl w:ilvl="7">
      <w:start w:val="1"/>
      <w:numFmt w:val="bullet"/>
      <w:lvlText w:val="•"/>
      <w:lvlJc w:val="left"/>
      <w:pPr>
        <w:ind w:left="2076" w:hanging="672"/>
      </w:pPr>
      <w:rPr>
        <w:rFonts w:hint="default"/>
      </w:rPr>
    </w:lvl>
    <w:lvl w:ilvl="8">
      <w:start w:val="1"/>
      <w:numFmt w:val="bullet"/>
      <w:lvlText w:val="•"/>
      <w:lvlJc w:val="left"/>
      <w:pPr>
        <w:ind w:left="2333" w:hanging="672"/>
      </w:pPr>
      <w:rPr>
        <w:rFonts w:hint="default"/>
      </w:rPr>
    </w:lvl>
  </w:abstractNum>
  <w:abstractNum w:abstractNumId="290">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6" w:hanging="672"/>
      </w:pPr>
      <w:rPr>
        <w:rFonts w:hint="default"/>
      </w:rPr>
    </w:lvl>
    <w:lvl w:ilvl="2">
      <w:start w:val="1"/>
      <w:numFmt w:val="bullet"/>
      <w:lvlText w:val="•"/>
      <w:lvlJc w:val="left"/>
      <w:pPr>
        <w:ind w:left="793" w:hanging="672"/>
      </w:pPr>
      <w:rPr>
        <w:rFonts w:hint="default"/>
      </w:rPr>
    </w:lvl>
    <w:lvl w:ilvl="3">
      <w:start w:val="1"/>
      <w:numFmt w:val="bullet"/>
      <w:lvlText w:val="•"/>
      <w:lvlJc w:val="left"/>
      <w:pPr>
        <w:ind w:left="1049" w:hanging="672"/>
      </w:pPr>
      <w:rPr>
        <w:rFonts w:hint="default"/>
      </w:rPr>
    </w:lvl>
    <w:lvl w:ilvl="4">
      <w:start w:val="1"/>
      <w:numFmt w:val="bullet"/>
      <w:lvlText w:val="•"/>
      <w:lvlJc w:val="left"/>
      <w:pPr>
        <w:ind w:left="1306" w:hanging="672"/>
      </w:pPr>
      <w:rPr>
        <w:rFonts w:hint="default"/>
      </w:rPr>
    </w:lvl>
    <w:lvl w:ilvl="5">
      <w:start w:val="1"/>
      <w:numFmt w:val="bullet"/>
      <w:lvlText w:val="•"/>
      <w:lvlJc w:val="left"/>
      <w:pPr>
        <w:ind w:left="1563" w:hanging="672"/>
      </w:pPr>
      <w:rPr>
        <w:rFonts w:hint="default"/>
      </w:rPr>
    </w:lvl>
    <w:lvl w:ilvl="6">
      <w:start w:val="1"/>
      <w:numFmt w:val="bullet"/>
      <w:lvlText w:val="•"/>
      <w:lvlJc w:val="left"/>
      <w:pPr>
        <w:ind w:left="1819" w:hanging="672"/>
      </w:pPr>
      <w:rPr>
        <w:rFonts w:hint="default"/>
      </w:rPr>
    </w:lvl>
    <w:lvl w:ilvl="7">
      <w:start w:val="1"/>
      <w:numFmt w:val="bullet"/>
      <w:lvlText w:val="•"/>
      <w:lvlJc w:val="left"/>
      <w:pPr>
        <w:ind w:left="2076" w:hanging="672"/>
      </w:pPr>
      <w:rPr>
        <w:rFonts w:hint="default"/>
      </w:rPr>
    </w:lvl>
    <w:lvl w:ilvl="8">
      <w:start w:val="1"/>
      <w:numFmt w:val="bullet"/>
      <w:lvlText w:val="•"/>
      <w:lvlJc w:val="left"/>
      <w:pPr>
        <w:ind w:left="2333" w:hanging="672"/>
      </w:pPr>
      <w:rPr>
        <w:rFonts w:hint="default"/>
      </w:rPr>
    </w:lvl>
  </w:abstractNum>
  <w:abstractNum w:abstractNumId="28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6" w:hanging="672"/>
      </w:pPr>
      <w:rPr>
        <w:rFonts w:hint="default"/>
      </w:rPr>
    </w:lvl>
    <w:lvl w:ilvl="2">
      <w:start w:val="1"/>
      <w:numFmt w:val="bullet"/>
      <w:lvlText w:val="•"/>
      <w:lvlJc w:val="left"/>
      <w:pPr>
        <w:ind w:left="793" w:hanging="672"/>
      </w:pPr>
      <w:rPr>
        <w:rFonts w:hint="default"/>
      </w:rPr>
    </w:lvl>
    <w:lvl w:ilvl="3">
      <w:start w:val="1"/>
      <w:numFmt w:val="bullet"/>
      <w:lvlText w:val="•"/>
      <w:lvlJc w:val="left"/>
      <w:pPr>
        <w:ind w:left="1049" w:hanging="672"/>
      </w:pPr>
      <w:rPr>
        <w:rFonts w:hint="default"/>
      </w:rPr>
    </w:lvl>
    <w:lvl w:ilvl="4">
      <w:start w:val="1"/>
      <w:numFmt w:val="bullet"/>
      <w:lvlText w:val="•"/>
      <w:lvlJc w:val="left"/>
      <w:pPr>
        <w:ind w:left="1306" w:hanging="672"/>
      </w:pPr>
      <w:rPr>
        <w:rFonts w:hint="default"/>
      </w:rPr>
    </w:lvl>
    <w:lvl w:ilvl="5">
      <w:start w:val="1"/>
      <w:numFmt w:val="bullet"/>
      <w:lvlText w:val="•"/>
      <w:lvlJc w:val="left"/>
      <w:pPr>
        <w:ind w:left="1563" w:hanging="672"/>
      </w:pPr>
      <w:rPr>
        <w:rFonts w:hint="default"/>
      </w:rPr>
    </w:lvl>
    <w:lvl w:ilvl="6">
      <w:start w:val="1"/>
      <w:numFmt w:val="bullet"/>
      <w:lvlText w:val="•"/>
      <w:lvlJc w:val="left"/>
      <w:pPr>
        <w:ind w:left="1819" w:hanging="672"/>
      </w:pPr>
      <w:rPr>
        <w:rFonts w:hint="default"/>
      </w:rPr>
    </w:lvl>
    <w:lvl w:ilvl="7">
      <w:start w:val="1"/>
      <w:numFmt w:val="bullet"/>
      <w:lvlText w:val="•"/>
      <w:lvlJc w:val="left"/>
      <w:pPr>
        <w:ind w:left="2076" w:hanging="672"/>
      </w:pPr>
      <w:rPr>
        <w:rFonts w:hint="default"/>
      </w:rPr>
    </w:lvl>
    <w:lvl w:ilvl="8">
      <w:start w:val="1"/>
      <w:numFmt w:val="bullet"/>
      <w:lvlText w:val="•"/>
      <w:lvlJc w:val="left"/>
      <w:pPr>
        <w:ind w:left="2333" w:hanging="672"/>
      </w:pPr>
      <w:rPr>
        <w:rFonts w:hint="default"/>
      </w:rPr>
    </w:lvl>
  </w:abstractNum>
  <w:abstractNum w:abstractNumId="28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6" w:hanging="672"/>
      </w:pPr>
      <w:rPr>
        <w:rFonts w:hint="default"/>
      </w:rPr>
    </w:lvl>
    <w:lvl w:ilvl="2">
      <w:start w:val="1"/>
      <w:numFmt w:val="bullet"/>
      <w:lvlText w:val="•"/>
      <w:lvlJc w:val="left"/>
      <w:pPr>
        <w:ind w:left="793" w:hanging="672"/>
      </w:pPr>
      <w:rPr>
        <w:rFonts w:hint="default"/>
      </w:rPr>
    </w:lvl>
    <w:lvl w:ilvl="3">
      <w:start w:val="1"/>
      <w:numFmt w:val="bullet"/>
      <w:lvlText w:val="•"/>
      <w:lvlJc w:val="left"/>
      <w:pPr>
        <w:ind w:left="1049" w:hanging="672"/>
      </w:pPr>
      <w:rPr>
        <w:rFonts w:hint="default"/>
      </w:rPr>
    </w:lvl>
    <w:lvl w:ilvl="4">
      <w:start w:val="1"/>
      <w:numFmt w:val="bullet"/>
      <w:lvlText w:val="•"/>
      <w:lvlJc w:val="left"/>
      <w:pPr>
        <w:ind w:left="1306" w:hanging="672"/>
      </w:pPr>
      <w:rPr>
        <w:rFonts w:hint="default"/>
      </w:rPr>
    </w:lvl>
    <w:lvl w:ilvl="5">
      <w:start w:val="1"/>
      <w:numFmt w:val="bullet"/>
      <w:lvlText w:val="•"/>
      <w:lvlJc w:val="left"/>
      <w:pPr>
        <w:ind w:left="1563" w:hanging="672"/>
      </w:pPr>
      <w:rPr>
        <w:rFonts w:hint="default"/>
      </w:rPr>
    </w:lvl>
    <w:lvl w:ilvl="6">
      <w:start w:val="1"/>
      <w:numFmt w:val="bullet"/>
      <w:lvlText w:val="•"/>
      <w:lvlJc w:val="left"/>
      <w:pPr>
        <w:ind w:left="1819" w:hanging="672"/>
      </w:pPr>
      <w:rPr>
        <w:rFonts w:hint="default"/>
      </w:rPr>
    </w:lvl>
    <w:lvl w:ilvl="7">
      <w:start w:val="1"/>
      <w:numFmt w:val="bullet"/>
      <w:lvlText w:val="•"/>
      <w:lvlJc w:val="left"/>
      <w:pPr>
        <w:ind w:left="2076" w:hanging="672"/>
      </w:pPr>
      <w:rPr>
        <w:rFonts w:hint="default"/>
      </w:rPr>
    </w:lvl>
    <w:lvl w:ilvl="8">
      <w:start w:val="1"/>
      <w:numFmt w:val="bullet"/>
      <w:lvlText w:val="•"/>
      <w:lvlJc w:val="left"/>
      <w:pPr>
        <w:ind w:left="2333" w:hanging="672"/>
      </w:pPr>
      <w:rPr>
        <w:rFonts w:hint="default"/>
      </w:rPr>
    </w:lvl>
  </w:abstractNum>
  <w:abstractNum w:abstractNumId="287">
    <w:multiLevelType w:val="hybridMultilevel"/>
    <w:lvl w:ilvl="0">
      <w:start w:val="1"/>
      <w:numFmt w:val="bullet"/>
      <w:lvlText w:val="-"/>
      <w:lvlJc w:val="left"/>
      <w:pPr>
        <w:ind w:left="103" w:hanging="140"/>
      </w:pPr>
      <w:rPr>
        <w:rFonts w:hint="default" w:ascii="Arial" w:hAnsi="Arial" w:eastAsia="Arial" w:cs="Arial"/>
        <w:w w:val="100"/>
        <w:sz w:val="22"/>
        <w:szCs w:val="22"/>
      </w:rPr>
    </w:lvl>
    <w:lvl w:ilvl="1">
      <w:start w:val="1"/>
      <w:numFmt w:val="bullet"/>
      <w:lvlText w:val="•"/>
      <w:lvlJc w:val="left"/>
      <w:pPr>
        <w:ind w:left="1378" w:hanging="140"/>
      </w:pPr>
      <w:rPr>
        <w:rFonts w:hint="default"/>
      </w:rPr>
    </w:lvl>
    <w:lvl w:ilvl="2">
      <w:start w:val="1"/>
      <w:numFmt w:val="bullet"/>
      <w:lvlText w:val="•"/>
      <w:lvlJc w:val="left"/>
      <w:pPr>
        <w:ind w:left="2657" w:hanging="140"/>
      </w:pPr>
      <w:rPr>
        <w:rFonts w:hint="default"/>
      </w:rPr>
    </w:lvl>
    <w:lvl w:ilvl="3">
      <w:start w:val="1"/>
      <w:numFmt w:val="bullet"/>
      <w:lvlText w:val="•"/>
      <w:lvlJc w:val="left"/>
      <w:pPr>
        <w:ind w:left="3936" w:hanging="140"/>
      </w:pPr>
      <w:rPr>
        <w:rFonts w:hint="default"/>
      </w:rPr>
    </w:lvl>
    <w:lvl w:ilvl="4">
      <w:start w:val="1"/>
      <w:numFmt w:val="bullet"/>
      <w:lvlText w:val="•"/>
      <w:lvlJc w:val="left"/>
      <w:pPr>
        <w:ind w:left="5215" w:hanging="140"/>
      </w:pPr>
      <w:rPr>
        <w:rFonts w:hint="default"/>
      </w:rPr>
    </w:lvl>
    <w:lvl w:ilvl="5">
      <w:start w:val="1"/>
      <w:numFmt w:val="bullet"/>
      <w:lvlText w:val="•"/>
      <w:lvlJc w:val="left"/>
      <w:pPr>
        <w:ind w:left="6493" w:hanging="140"/>
      </w:pPr>
      <w:rPr>
        <w:rFonts w:hint="default"/>
      </w:rPr>
    </w:lvl>
    <w:lvl w:ilvl="6">
      <w:start w:val="1"/>
      <w:numFmt w:val="bullet"/>
      <w:lvlText w:val="•"/>
      <w:lvlJc w:val="left"/>
      <w:pPr>
        <w:ind w:left="7772" w:hanging="140"/>
      </w:pPr>
      <w:rPr>
        <w:rFonts w:hint="default"/>
      </w:rPr>
    </w:lvl>
    <w:lvl w:ilvl="7">
      <w:start w:val="1"/>
      <w:numFmt w:val="bullet"/>
      <w:lvlText w:val="•"/>
      <w:lvlJc w:val="left"/>
      <w:pPr>
        <w:ind w:left="9051" w:hanging="140"/>
      </w:pPr>
      <w:rPr>
        <w:rFonts w:hint="default"/>
      </w:rPr>
    </w:lvl>
    <w:lvl w:ilvl="8">
      <w:start w:val="1"/>
      <w:numFmt w:val="bullet"/>
      <w:lvlText w:val="•"/>
      <w:lvlJc w:val="left"/>
      <w:pPr>
        <w:ind w:left="10330" w:hanging="140"/>
      </w:pPr>
      <w:rPr>
        <w:rFonts w:hint="default"/>
      </w:rPr>
    </w:lvl>
  </w:abstractNum>
  <w:abstractNum w:abstractNumId="286">
    <w:multiLevelType w:val="hybridMultilevel"/>
    <w:lvl w:ilvl="0">
      <w:start w:val="1"/>
      <w:numFmt w:val="bullet"/>
      <w:lvlText w:val="-"/>
      <w:lvlJc w:val="left"/>
      <w:pPr>
        <w:ind w:left="64" w:hanging="147"/>
      </w:pPr>
      <w:rPr>
        <w:rFonts w:hint="default" w:ascii="Arial" w:hAnsi="Arial" w:eastAsia="Arial" w:cs="Arial"/>
        <w:w w:val="100"/>
        <w:sz w:val="22"/>
        <w:szCs w:val="22"/>
      </w:rPr>
    </w:lvl>
    <w:lvl w:ilvl="1">
      <w:start w:val="1"/>
      <w:numFmt w:val="bullet"/>
      <w:lvlText w:val="•"/>
      <w:lvlJc w:val="left"/>
      <w:pPr>
        <w:ind w:left="1342" w:hanging="147"/>
      </w:pPr>
      <w:rPr>
        <w:rFonts w:hint="default"/>
      </w:rPr>
    </w:lvl>
    <w:lvl w:ilvl="2">
      <w:start w:val="1"/>
      <w:numFmt w:val="bullet"/>
      <w:lvlText w:val="•"/>
      <w:lvlJc w:val="left"/>
      <w:pPr>
        <w:ind w:left="2625" w:hanging="147"/>
      </w:pPr>
      <w:rPr>
        <w:rFonts w:hint="default"/>
      </w:rPr>
    </w:lvl>
    <w:lvl w:ilvl="3">
      <w:start w:val="1"/>
      <w:numFmt w:val="bullet"/>
      <w:lvlText w:val="•"/>
      <w:lvlJc w:val="left"/>
      <w:pPr>
        <w:ind w:left="3908" w:hanging="147"/>
      </w:pPr>
      <w:rPr>
        <w:rFonts w:hint="default"/>
      </w:rPr>
    </w:lvl>
    <w:lvl w:ilvl="4">
      <w:start w:val="1"/>
      <w:numFmt w:val="bullet"/>
      <w:lvlText w:val="•"/>
      <w:lvlJc w:val="left"/>
      <w:pPr>
        <w:ind w:left="5191" w:hanging="147"/>
      </w:pPr>
      <w:rPr>
        <w:rFonts w:hint="default"/>
      </w:rPr>
    </w:lvl>
    <w:lvl w:ilvl="5">
      <w:start w:val="1"/>
      <w:numFmt w:val="bullet"/>
      <w:lvlText w:val="•"/>
      <w:lvlJc w:val="left"/>
      <w:pPr>
        <w:ind w:left="6473" w:hanging="147"/>
      </w:pPr>
      <w:rPr>
        <w:rFonts w:hint="default"/>
      </w:rPr>
    </w:lvl>
    <w:lvl w:ilvl="6">
      <w:start w:val="1"/>
      <w:numFmt w:val="bullet"/>
      <w:lvlText w:val="•"/>
      <w:lvlJc w:val="left"/>
      <w:pPr>
        <w:ind w:left="7756" w:hanging="147"/>
      </w:pPr>
      <w:rPr>
        <w:rFonts w:hint="default"/>
      </w:rPr>
    </w:lvl>
    <w:lvl w:ilvl="7">
      <w:start w:val="1"/>
      <w:numFmt w:val="bullet"/>
      <w:lvlText w:val="•"/>
      <w:lvlJc w:val="left"/>
      <w:pPr>
        <w:ind w:left="9039" w:hanging="147"/>
      </w:pPr>
      <w:rPr>
        <w:rFonts w:hint="default"/>
      </w:rPr>
    </w:lvl>
    <w:lvl w:ilvl="8">
      <w:start w:val="1"/>
      <w:numFmt w:val="bullet"/>
      <w:lvlText w:val="•"/>
      <w:lvlJc w:val="left"/>
      <w:pPr>
        <w:ind w:left="10322" w:hanging="147"/>
      </w:pPr>
      <w:rPr>
        <w:rFonts w:hint="default"/>
      </w:rPr>
    </w:lvl>
  </w:abstractNum>
  <w:abstractNum w:abstractNumId="285">
    <w:multiLevelType w:val="hybridMultilevel"/>
    <w:lvl w:ilvl="0">
      <w:start w:val="1"/>
      <w:numFmt w:val="bullet"/>
      <w:lvlText w:val="-"/>
      <w:lvlJc w:val="left"/>
      <w:pPr>
        <w:ind w:left="27" w:hanging="142"/>
      </w:pPr>
      <w:rPr>
        <w:rFonts w:hint="default" w:ascii="Arial" w:hAnsi="Arial" w:eastAsia="Arial" w:cs="Arial"/>
        <w:w w:val="100"/>
        <w:sz w:val="22"/>
        <w:szCs w:val="22"/>
      </w:rPr>
    </w:lvl>
    <w:lvl w:ilvl="1">
      <w:start w:val="1"/>
      <w:numFmt w:val="bullet"/>
      <w:lvlText w:val="•"/>
      <w:lvlJc w:val="left"/>
      <w:pPr>
        <w:ind w:left="1299" w:hanging="142"/>
      </w:pPr>
      <w:rPr>
        <w:rFonts w:hint="default"/>
      </w:rPr>
    </w:lvl>
    <w:lvl w:ilvl="2">
      <w:start w:val="1"/>
      <w:numFmt w:val="bullet"/>
      <w:lvlText w:val="•"/>
      <w:lvlJc w:val="left"/>
      <w:pPr>
        <w:ind w:left="2578" w:hanging="142"/>
      </w:pPr>
      <w:rPr>
        <w:rFonts w:hint="default"/>
      </w:rPr>
    </w:lvl>
    <w:lvl w:ilvl="3">
      <w:start w:val="1"/>
      <w:numFmt w:val="bullet"/>
      <w:lvlText w:val="•"/>
      <w:lvlJc w:val="left"/>
      <w:pPr>
        <w:ind w:left="3857" w:hanging="142"/>
      </w:pPr>
      <w:rPr>
        <w:rFonts w:hint="default"/>
      </w:rPr>
    </w:lvl>
    <w:lvl w:ilvl="4">
      <w:start w:val="1"/>
      <w:numFmt w:val="bullet"/>
      <w:lvlText w:val="•"/>
      <w:lvlJc w:val="left"/>
      <w:pPr>
        <w:ind w:left="5136" w:hanging="142"/>
      </w:pPr>
      <w:rPr>
        <w:rFonts w:hint="default"/>
      </w:rPr>
    </w:lvl>
    <w:lvl w:ilvl="5">
      <w:start w:val="1"/>
      <w:numFmt w:val="bullet"/>
      <w:lvlText w:val="•"/>
      <w:lvlJc w:val="left"/>
      <w:pPr>
        <w:ind w:left="6416" w:hanging="142"/>
      </w:pPr>
      <w:rPr>
        <w:rFonts w:hint="default"/>
      </w:rPr>
    </w:lvl>
    <w:lvl w:ilvl="6">
      <w:start w:val="1"/>
      <w:numFmt w:val="bullet"/>
      <w:lvlText w:val="•"/>
      <w:lvlJc w:val="left"/>
      <w:pPr>
        <w:ind w:left="7695" w:hanging="142"/>
      </w:pPr>
      <w:rPr>
        <w:rFonts w:hint="default"/>
      </w:rPr>
    </w:lvl>
    <w:lvl w:ilvl="7">
      <w:start w:val="1"/>
      <w:numFmt w:val="bullet"/>
      <w:lvlText w:val="•"/>
      <w:lvlJc w:val="left"/>
      <w:pPr>
        <w:ind w:left="8974" w:hanging="142"/>
      </w:pPr>
      <w:rPr>
        <w:rFonts w:hint="default"/>
      </w:rPr>
    </w:lvl>
    <w:lvl w:ilvl="8">
      <w:start w:val="1"/>
      <w:numFmt w:val="bullet"/>
      <w:lvlText w:val="•"/>
      <w:lvlJc w:val="left"/>
      <w:pPr>
        <w:ind w:left="10253" w:hanging="142"/>
      </w:pPr>
      <w:rPr>
        <w:rFonts w:hint="default"/>
      </w:rPr>
    </w:lvl>
  </w:abstractNum>
  <w:abstractNum w:abstractNumId="284">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83">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82">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81">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80">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79">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78">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77">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797" w:hanging="360"/>
      </w:pPr>
      <w:rPr>
        <w:rFonts w:hint="default"/>
      </w:rPr>
    </w:lvl>
    <w:lvl w:ilvl="2">
      <w:start w:val="1"/>
      <w:numFmt w:val="bullet"/>
      <w:lvlText w:val="•"/>
      <w:lvlJc w:val="left"/>
      <w:pPr>
        <w:ind w:left="1134" w:hanging="360"/>
      </w:pPr>
      <w:rPr>
        <w:rFonts w:hint="default"/>
      </w:rPr>
    </w:lvl>
    <w:lvl w:ilvl="3">
      <w:start w:val="1"/>
      <w:numFmt w:val="bullet"/>
      <w:lvlText w:val="•"/>
      <w:lvlJc w:val="left"/>
      <w:pPr>
        <w:ind w:left="1471" w:hanging="360"/>
      </w:pPr>
      <w:rPr>
        <w:rFonts w:hint="default"/>
      </w:rPr>
    </w:lvl>
    <w:lvl w:ilvl="4">
      <w:start w:val="1"/>
      <w:numFmt w:val="bullet"/>
      <w:lvlText w:val="•"/>
      <w:lvlJc w:val="left"/>
      <w:pPr>
        <w:ind w:left="1808" w:hanging="360"/>
      </w:pPr>
      <w:rPr>
        <w:rFonts w:hint="default"/>
      </w:rPr>
    </w:lvl>
    <w:lvl w:ilvl="5">
      <w:start w:val="1"/>
      <w:numFmt w:val="bullet"/>
      <w:lvlText w:val="•"/>
      <w:lvlJc w:val="left"/>
      <w:pPr>
        <w:ind w:left="2145" w:hanging="360"/>
      </w:pPr>
      <w:rPr>
        <w:rFonts w:hint="default"/>
      </w:rPr>
    </w:lvl>
    <w:lvl w:ilvl="6">
      <w:start w:val="1"/>
      <w:numFmt w:val="bullet"/>
      <w:lvlText w:val="•"/>
      <w:lvlJc w:val="left"/>
      <w:pPr>
        <w:ind w:left="2482" w:hanging="360"/>
      </w:pPr>
      <w:rPr>
        <w:rFonts w:hint="default"/>
      </w:rPr>
    </w:lvl>
    <w:lvl w:ilvl="7">
      <w:start w:val="1"/>
      <w:numFmt w:val="bullet"/>
      <w:lvlText w:val="•"/>
      <w:lvlJc w:val="left"/>
      <w:pPr>
        <w:ind w:left="2820" w:hanging="360"/>
      </w:pPr>
      <w:rPr>
        <w:rFonts w:hint="default"/>
      </w:rPr>
    </w:lvl>
    <w:lvl w:ilvl="8">
      <w:start w:val="1"/>
      <w:numFmt w:val="bullet"/>
      <w:lvlText w:val="•"/>
      <w:lvlJc w:val="left"/>
      <w:pPr>
        <w:ind w:left="3157" w:hanging="360"/>
      </w:pPr>
      <w:rPr>
        <w:rFonts w:hint="default"/>
      </w:rPr>
    </w:lvl>
  </w:abstractNum>
  <w:abstractNum w:abstractNumId="276">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75">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74">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73">
    <w:multiLevelType w:val="hybridMultilevel"/>
    <w:lvl w:ilvl="0">
      <w:start w:val="1"/>
      <w:numFmt w:val="bullet"/>
      <w:lvlText w:val=""/>
      <w:lvlJc w:val="left"/>
      <w:pPr>
        <w:ind w:left="811" w:hanging="672"/>
      </w:pPr>
      <w:rPr>
        <w:rFonts w:hint="default" w:ascii="Wingdings" w:hAnsi="Wingdings" w:eastAsia="Wingdings" w:cs="Wingdings"/>
        <w:w w:val="99"/>
        <w:sz w:val="20"/>
        <w:szCs w:val="20"/>
      </w:rPr>
    </w:lvl>
    <w:lvl w:ilvl="1">
      <w:start w:val="1"/>
      <w:numFmt w:val="bullet"/>
      <w:lvlText w:val="•"/>
      <w:lvlJc w:val="left"/>
      <w:pPr>
        <w:ind w:left="885" w:hanging="672"/>
      </w:pPr>
      <w:rPr>
        <w:rFonts w:hint="default"/>
      </w:rPr>
    </w:lvl>
    <w:lvl w:ilvl="2">
      <w:start w:val="1"/>
      <w:numFmt w:val="bullet"/>
      <w:lvlText w:val="•"/>
      <w:lvlJc w:val="left"/>
      <w:pPr>
        <w:ind w:left="950" w:hanging="672"/>
      </w:pPr>
      <w:rPr>
        <w:rFonts w:hint="default"/>
      </w:rPr>
    </w:lvl>
    <w:lvl w:ilvl="3">
      <w:start w:val="1"/>
      <w:numFmt w:val="bullet"/>
      <w:lvlText w:val="•"/>
      <w:lvlJc w:val="left"/>
      <w:pPr>
        <w:ind w:left="1015" w:hanging="672"/>
      </w:pPr>
      <w:rPr>
        <w:rFonts w:hint="default"/>
      </w:rPr>
    </w:lvl>
    <w:lvl w:ilvl="4">
      <w:start w:val="1"/>
      <w:numFmt w:val="bullet"/>
      <w:lvlText w:val="•"/>
      <w:lvlJc w:val="left"/>
      <w:pPr>
        <w:ind w:left="1080" w:hanging="672"/>
      </w:pPr>
      <w:rPr>
        <w:rFonts w:hint="default"/>
      </w:rPr>
    </w:lvl>
    <w:lvl w:ilvl="5">
      <w:start w:val="1"/>
      <w:numFmt w:val="bullet"/>
      <w:lvlText w:val="•"/>
      <w:lvlJc w:val="left"/>
      <w:pPr>
        <w:ind w:left="1145" w:hanging="672"/>
      </w:pPr>
      <w:rPr>
        <w:rFonts w:hint="default"/>
      </w:rPr>
    </w:lvl>
    <w:lvl w:ilvl="6">
      <w:start w:val="1"/>
      <w:numFmt w:val="bullet"/>
      <w:lvlText w:val="•"/>
      <w:lvlJc w:val="left"/>
      <w:pPr>
        <w:ind w:left="1211" w:hanging="672"/>
      </w:pPr>
      <w:rPr>
        <w:rFonts w:hint="default"/>
      </w:rPr>
    </w:lvl>
    <w:lvl w:ilvl="7">
      <w:start w:val="1"/>
      <w:numFmt w:val="bullet"/>
      <w:lvlText w:val="•"/>
      <w:lvlJc w:val="left"/>
      <w:pPr>
        <w:ind w:left="1276" w:hanging="672"/>
      </w:pPr>
      <w:rPr>
        <w:rFonts w:hint="default"/>
      </w:rPr>
    </w:lvl>
    <w:lvl w:ilvl="8">
      <w:start w:val="1"/>
      <w:numFmt w:val="bullet"/>
      <w:lvlText w:val="•"/>
      <w:lvlJc w:val="left"/>
      <w:pPr>
        <w:ind w:left="1341" w:hanging="672"/>
      </w:pPr>
      <w:rPr>
        <w:rFonts w:hint="default"/>
      </w:rPr>
    </w:lvl>
  </w:abstractNum>
  <w:abstractNum w:abstractNumId="272">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71">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70">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69">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68">
    <w:multiLevelType w:val="hybridMultilevel"/>
    <w:lvl w:ilvl="0">
      <w:start w:val="1"/>
      <w:numFmt w:val="bullet"/>
      <w:lvlText w:val="-"/>
      <w:lvlJc w:val="left"/>
      <w:pPr>
        <w:ind w:left="103" w:hanging="178"/>
      </w:pPr>
      <w:rPr>
        <w:rFonts w:hint="default" w:ascii="Arial" w:hAnsi="Arial" w:eastAsia="Arial" w:cs="Arial"/>
        <w:w w:val="100"/>
        <w:sz w:val="22"/>
        <w:szCs w:val="22"/>
      </w:rPr>
    </w:lvl>
    <w:lvl w:ilvl="1">
      <w:start w:val="1"/>
      <w:numFmt w:val="bullet"/>
      <w:lvlText w:val="•"/>
      <w:lvlJc w:val="left"/>
      <w:pPr>
        <w:ind w:left="1378" w:hanging="178"/>
      </w:pPr>
      <w:rPr>
        <w:rFonts w:hint="default"/>
      </w:rPr>
    </w:lvl>
    <w:lvl w:ilvl="2">
      <w:start w:val="1"/>
      <w:numFmt w:val="bullet"/>
      <w:lvlText w:val="•"/>
      <w:lvlJc w:val="left"/>
      <w:pPr>
        <w:ind w:left="2657" w:hanging="178"/>
      </w:pPr>
      <w:rPr>
        <w:rFonts w:hint="default"/>
      </w:rPr>
    </w:lvl>
    <w:lvl w:ilvl="3">
      <w:start w:val="1"/>
      <w:numFmt w:val="bullet"/>
      <w:lvlText w:val="•"/>
      <w:lvlJc w:val="left"/>
      <w:pPr>
        <w:ind w:left="3936" w:hanging="178"/>
      </w:pPr>
      <w:rPr>
        <w:rFonts w:hint="default"/>
      </w:rPr>
    </w:lvl>
    <w:lvl w:ilvl="4">
      <w:start w:val="1"/>
      <w:numFmt w:val="bullet"/>
      <w:lvlText w:val="•"/>
      <w:lvlJc w:val="left"/>
      <w:pPr>
        <w:ind w:left="5215" w:hanging="178"/>
      </w:pPr>
      <w:rPr>
        <w:rFonts w:hint="default"/>
      </w:rPr>
    </w:lvl>
    <w:lvl w:ilvl="5">
      <w:start w:val="1"/>
      <w:numFmt w:val="bullet"/>
      <w:lvlText w:val="•"/>
      <w:lvlJc w:val="left"/>
      <w:pPr>
        <w:ind w:left="6493" w:hanging="178"/>
      </w:pPr>
      <w:rPr>
        <w:rFonts w:hint="default"/>
      </w:rPr>
    </w:lvl>
    <w:lvl w:ilvl="6">
      <w:start w:val="1"/>
      <w:numFmt w:val="bullet"/>
      <w:lvlText w:val="•"/>
      <w:lvlJc w:val="left"/>
      <w:pPr>
        <w:ind w:left="7772" w:hanging="178"/>
      </w:pPr>
      <w:rPr>
        <w:rFonts w:hint="default"/>
      </w:rPr>
    </w:lvl>
    <w:lvl w:ilvl="7">
      <w:start w:val="1"/>
      <w:numFmt w:val="bullet"/>
      <w:lvlText w:val="•"/>
      <w:lvlJc w:val="left"/>
      <w:pPr>
        <w:ind w:left="9051" w:hanging="178"/>
      </w:pPr>
      <w:rPr>
        <w:rFonts w:hint="default"/>
      </w:rPr>
    </w:lvl>
    <w:lvl w:ilvl="8">
      <w:start w:val="1"/>
      <w:numFmt w:val="bullet"/>
      <w:lvlText w:val="•"/>
      <w:lvlJc w:val="left"/>
      <w:pPr>
        <w:ind w:left="10330" w:hanging="178"/>
      </w:pPr>
      <w:rPr>
        <w:rFonts w:hint="default"/>
      </w:rPr>
    </w:lvl>
  </w:abstractNum>
  <w:abstractNum w:abstractNumId="267">
    <w:multiLevelType w:val="hybridMultilevel"/>
    <w:lvl w:ilvl="0">
      <w:start w:val="1"/>
      <w:numFmt w:val="bullet"/>
      <w:lvlText w:val="-"/>
      <w:lvlJc w:val="left"/>
      <w:pPr>
        <w:ind w:left="64" w:hanging="147"/>
      </w:pPr>
      <w:rPr>
        <w:rFonts w:hint="default" w:ascii="Arial" w:hAnsi="Arial" w:eastAsia="Arial" w:cs="Arial"/>
        <w:w w:val="100"/>
        <w:sz w:val="22"/>
        <w:szCs w:val="22"/>
      </w:rPr>
    </w:lvl>
    <w:lvl w:ilvl="1">
      <w:start w:val="1"/>
      <w:numFmt w:val="bullet"/>
      <w:lvlText w:val="•"/>
      <w:lvlJc w:val="left"/>
      <w:pPr>
        <w:ind w:left="1342" w:hanging="147"/>
      </w:pPr>
      <w:rPr>
        <w:rFonts w:hint="default"/>
      </w:rPr>
    </w:lvl>
    <w:lvl w:ilvl="2">
      <w:start w:val="1"/>
      <w:numFmt w:val="bullet"/>
      <w:lvlText w:val="•"/>
      <w:lvlJc w:val="left"/>
      <w:pPr>
        <w:ind w:left="2625" w:hanging="147"/>
      </w:pPr>
      <w:rPr>
        <w:rFonts w:hint="default"/>
      </w:rPr>
    </w:lvl>
    <w:lvl w:ilvl="3">
      <w:start w:val="1"/>
      <w:numFmt w:val="bullet"/>
      <w:lvlText w:val="•"/>
      <w:lvlJc w:val="left"/>
      <w:pPr>
        <w:ind w:left="3908" w:hanging="147"/>
      </w:pPr>
      <w:rPr>
        <w:rFonts w:hint="default"/>
      </w:rPr>
    </w:lvl>
    <w:lvl w:ilvl="4">
      <w:start w:val="1"/>
      <w:numFmt w:val="bullet"/>
      <w:lvlText w:val="•"/>
      <w:lvlJc w:val="left"/>
      <w:pPr>
        <w:ind w:left="5191" w:hanging="147"/>
      </w:pPr>
      <w:rPr>
        <w:rFonts w:hint="default"/>
      </w:rPr>
    </w:lvl>
    <w:lvl w:ilvl="5">
      <w:start w:val="1"/>
      <w:numFmt w:val="bullet"/>
      <w:lvlText w:val="•"/>
      <w:lvlJc w:val="left"/>
      <w:pPr>
        <w:ind w:left="6473" w:hanging="147"/>
      </w:pPr>
      <w:rPr>
        <w:rFonts w:hint="default"/>
      </w:rPr>
    </w:lvl>
    <w:lvl w:ilvl="6">
      <w:start w:val="1"/>
      <w:numFmt w:val="bullet"/>
      <w:lvlText w:val="•"/>
      <w:lvlJc w:val="left"/>
      <w:pPr>
        <w:ind w:left="7756" w:hanging="147"/>
      </w:pPr>
      <w:rPr>
        <w:rFonts w:hint="default"/>
      </w:rPr>
    </w:lvl>
    <w:lvl w:ilvl="7">
      <w:start w:val="1"/>
      <w:numFmt w:val="bullet"/>
      <w:lvlText w:val="•"/>
      <w:lvlJc w:val="left"/>
      <w:pPr>
        <w:ind w:left="9039" w:hanging="147"/>
      </w:pPr>
      <w:rPr>
        <w:rFonts w:hint="default"/>
      </w:rPr>
    </w:lvl>
    <w:lvl w:ilvl="8">
      <w:start w:val="1"/>
      <w:numFmt w:val="bullet"/>
      <w:lvlText w:val="•"/>
      <w:lvlJc w:val="left"/>
      <w:pPr>
        <w:ind w:left="10322" w:hanging="147"/>
      </w:pPr>
      <w:rPr>
        <w:rFonts w:hint="default"/>
      </w:rPr>
    </w:lvl>
  </w:abstractNum>
  <w:abstractNum w:abstractNumId="266">
    <w:multiLevelType w:val="hybridMultilevel"/>
    <w:lvl w:ilvl="0">
      <w:start w:val="1"/>
      <w:numFmt w:val="bullet"/>
      <w:lvlText w:val="-"/>
      <w:lvlJc w:val="left"/>
      <w:pPr>
        <w:ind w:left="27" w:hanging="142"/>
      </w:pPr>
      <w:rPr>
        <w:rFonts w:hint="default" w:ascii="Arial" w:hAnsi="Arial" w:eastAsia="Arial" w:cs="Arial"/>
        <w:w w:val="100"/>
        <w:sz w:val="22"/>
        <w:szCs w:val="22"/>
      </w:rPr>
    </w:lvl>
    <w:lvl w:ilvl="1">
      <w:start w:val="1"/>
      <w:numFmt w:val="bullet"/>
      <w:lvlText w:val="•"/>
      <w:lvlJc w:val="left"/>
      <w:pPr>
        <w:ind w:left="1299" w:hanging="142"/>
      </w:pPr>
      <w:rPr>
        <w:rFonts w:hint="default"/>
      </w:rPr>
    </w:lvl>
    <w:lvl w:ilvl="2">
      <w:start w:val="1"/>
      <w:numFmt w:val="bullet"/>
      <w:lvlText w:val="•"/>
      <w:lvlJc w:val="left"/>
      <w:pPr>
        <w:ind w:left="2578" w:hanging="142"/>
      </w:pPr>
      <w:rPr>
        <w:rFonts w:hint="default"/>
      </w:rPr>
    </w:lvl>
    <w:lvl w:ilvl="3">
      <w:start w:val="1"/>
      <w:numFmt w:val="bullet"/>
      <w:lvlText w:val="•"/>
      <w:lvlJc w:val="left"/>
      <w:pPr>
        <w:ind w:left="3857" w:hanging="142"/>
      </w:pPr>
      <w:rPr>
        <w:rFonts w:hint="default"/>
      </w:rPr>
    </w:lvl>
    <w:lvl w:ilvl="4">
      <w:start w:val="1"/>
      <w:numFmt w:val="bullet"/>
      <w:lvlText w:val="•"/>
      <w:lvlJc w:val="left"/>
      <w:pPr>
        <w:ind w:left="5136" w:hanging="142"/>
      </w:pPr>
      <w:rPr>
        <w:rFonts w:hint="default"/>
      </w:rPr>
    </w:lvl>
    <w:lvl w:ilvl="5">
      <w:start w:val="1"/>
      <w:numFmt w:val="bullet"/>
      <w:lvlText w:val="•"/>
      <w:lvlJc w:val="left"/>
      <w:pPr>
        <w:ind w:left="6416" w:hanging="142"/>
      </w:pPr>
      <w:rPr>
        <w:rFonts w:hint="default"/>
      </w:rPr>
    </w:lvl>
    <w:lvl w:ilvl="6">
      <w:start w:val="1"/>
      <w:numFmt w:val="bullet"/>
      <w:lvlText w:val="•"/>
      <w:lvlJc w:val="left"/>
      <w:pPr>
        <w:ind w:left="7695" w:hanging="142"/>
      </w:pPr>
      <w:rPr>
        <w:rFonts w:hint="default"/>
      </w:rPr>
    </w:lvl>
    <w:lvl w:ilvl="7">
      <w:start w:val="1"/>
      <w:numFmt w:val="bullet"/>
      <w:lvlText w:val="•"/>
      <w:lvlJc w:val="left"/>
      <w:pPr>
        <w:ind w:left="8974" w:hanging="142"/>
      </w:pPr>
      <w:rPr>
        <w:rFonts w:hint="default"/>
      </w:rPr>
    </w:lvl>
    <w:lvl w:ilvl="8">
      <w:start w:val="1"/>
      <w:numFmt w:val="bullet"/>
      <w:lvlText w:val="•"/>
      <w:lvlJc w:val="left"/>
      <w:pPr>
        <w:ind w:left="10253" w:hanging="142"/>
      </w:pPr>
      <w:rPr>
        <w:rFonts w:hint="default"/>
      </w:rPr>
    </w:lvl>
  </w:abstractNum>
  <w:abstractNum w:abstractNumId="26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6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6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6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6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60">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5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5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5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5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5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54">
    <w:multiLevelType w:val="hybridMultilevel"/>
    <w:lvl w:ilvl="0">
      <w:start w:val="1"/>
      <w:numFmt w:val="bullet"/>
      <w:lvlText w:val=""/>
      <w:lvlJc w:val="left"/>
      <w:pPr>
        <w:ind w:left="811" w:hanging="672"/>
      </w:pPr>
      <w:rPr>
        <w:rFonts w:hint="default" w:ascii="Wingdings" w:hAnsi="Wingdings" w:eastAsia="Wingdings" w:cs="Wingdings"/>
        <w:w w:val="99"/>
        <w:sz w:val="20"/>
        <w:szCs w:val="20"/>
      </w:rPr>
    </w:lvl>
    <w:lvl w:ilvl="1">
      <w:start w:val="1"/>
      <w:numFmt w:val="bullet"/>
      <w:lvlText w:val="•"/>
      <w:lvlJc w:val="left"/>
      <w:pPr>
        <w:ind w:left="1071" w:hanging="672"/>
      </w:pPr>
      <w:rPr>
        <w:rFonts w:hint="default"/>
      </w:rPr>
    </w:lvl>
    <w:lvl w:ilvl="2">
      <w:start w:val="1"/>
      <w:numFmt w:val="bullet"/>
      <w:lvlText w:val="•"/>
      <w:lvlJc w:val="left"/>
      <w:pPr>
        <w:ind w:left="1322" w:hanging="672"/>
      </w:pPr>
      <w:rPr>
        <w:rFonts w:hint="default"/>
      </w:rPr>
    </w:lvl>
    <w:lvl w:ilvl="3">
      <w:start w:val="1"/>
      <w:numFmt w:val="bullet"/>
      <w:lvlText w:val="•"/>
      <w:lvlJc w:val="left"/>
      <w:pPr>
        <w:ind w:left="1574" w:hanging="672"/>
      </w:pPr>
      <w:rPr>
        <w:rFonts w:hint="default"/>
      </w:rPr>
    </w:lvl>
    <w:lvl w:ilvl="4">
      <w:start w:val="1"/>
      <w:numFmt w:val="bullet"/>
      <w:lvlText w:val="•"/>
      <w:lvlJc w:val="left"/>
      <w:pPr>
        <w:ind w:left="1825" w:hanging="672"/>
      </w:pPr>
      <w:rPr>
        <w:rFonts w:hint="default"/>
      </w:rPr>
    </w:lvl>
    <w:lvl w:ilvl="5">
      <w:start w:val="1"/>
      <w:numFmt w:val="bullet"/>
      <w:lvlText w:val="•"/>
      <w:lvlJc w:val="left"/>
      <w:pPr>
        <w:ind w:left="2076" w:hanging="672"/>
      </w:pPr>
      <w:rPr>
        <w:rFonts w:hint="default"/>
      </w:rPr>
    </w:lvl>
    <w:lvl w:ilvl="6">
      <w:start w:val="1"/>
      <w:numFmt w:val="bullet"/>
      <w:lvlText w:val="•"/>
      <w:lvlJc w:val="left"/>
      <w:pPr>
        <w:ind w:left="2328" w:hanging="672"/>
      </w:pPr>
      <w:rPr>
        <w:rFonts w:hint="default"/>
      </w:rPr>
    </w:lvl>
    <w:lvl w:ilvl="7">
      <w:start w:val="1"/>
      <w:numFmt w:val="bullet"/>
      <w:lvlText w:val="•"/>
      <w:lvlJc w:val="left"/>
      <w:pPr>
        <w:ind w:left="2579" w:hanging="672"/>
      </w:pPr>
      <w:rPr>
        <w:rFonts w:hint="default"/>
      </w:rPr>
    </w:lvl>
    <w:lvl w:ilvl="8">
      <w:start w:val="1"/>
      <w:numFmt w:val="bullet"/>
      <w:lvlText w:val="•"/>
      <w:lvlJc w:val="left"/>
      <w:pPr>
        <w:ind w:left="2830" w:hanging="672"/>
      </w:pPr>
      <w:rPr>
        <w:rFonts w:hint="default"/>
      </w:rPr>
    </w:lvl>
  </w:abstractNum>
  <w:abstractNum w:abstractNumId="25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5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5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50">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85" w:hanging="672"/>
      </w:pPr>
      <w:rPr>
        <w:rFonts w:hint="default"/>
      </w:rPr>
    </w:lvl>
    <w:lvl w:ilvl="2">
      <w:start w:val="1"/>
      <w:numFmt w:val="bullet"/>
      <w:lvlText w:val="•"/>
      <w:lvlJc w:val="left"/>
      <w:pPr>
        <w:ind w:left="890" w:hanging="672"/>
      </w:pPr>
      <w:rPr>
        <w:rFonts w:hint="default"/>
      </w:rPr>
    </w:lvl>
    <w:lvl w:ilvl="3">
      <w:start w:val="1"/>
      <w:numFmt w:val="bullet"/>
      <w:lvlText w:val="•"/>
      <w:lvlJc w:val="left"/>
      <w:pPr>
        <w:ind w:left="1196" w:hanging="672"/>
      </w:pPr>
      <w:rPr>
        <w:rFonts w:hint="default"/>
      </w:rPr>
    </w:lvl>
    <w:lvl w:ilvl="4">
      <w:start w:val="1"/>
      <w:numFmt w:val="bullet"/>
      <w:lvlText w:val="•"/>
      <w:lvlJc w:val="left"/>
      <w:pPr>
        <w:ind w:left="1501" w:hanging="672"/>
      </w:pPr>
      <w:rPr>
        <w:rFonts w:hint="default"/>
      </w:rPr>
    </w:lvl>
    <w:lvl w:ilvl="5">
      <w:start w:val="1"/>
      <w:numFmt w:val="bullet"/>
      <w:lvlText w:val="•"/>
      <w:lvlJc w:val="left"/>
      <w:pPr>
        <w:ind w:left="1806" w:hanging="672"/>
      </w:pPr>
      <w:rPr>
        <w:rFonts w:hint="default"/>
      </w:rPr>
    </w:lvl>
    <w:lvl w:ilvl="6">
      <w:start w:val="1"/>
      <w:numFmt w:val="bullet"/>
      <w:lvlText w:val="•"/>
      <w:lvlJc w:val="left"/>
      <w:pPr>
        <w:ind w:left="2112" w:hanging="672"/>
      </w:pPr>
      <w:rPr>
        <w:rFonts w:hint="default"/>
      </w:rPr>
    </w:lvl>
    <w:lvl w:ilvl="7">
      <w:start w:val="1"/>
      <w:numFmt w:val="bullet"/>
      <w:lvlText w:val="•"/>
      <w:lvlJc w:val="left"/>
      <w:pPr>
        <w:ind w:left="2417" w:hanging="672"/>
      </w:pPr>
      <w:rPr>
        <w:rFonts w:hint="default"/>
      </w:rPr>
    </w:lvl>
    <w:lvl w:ilvl="8">
      <w:start w:val="1"/>
      <w:numFmt w:val="bullet"/>
      <w:lvlText w:val="•"/>
      <w:lvlJc w:val="left"/>
      <w:pPr>
        <w:ind w:left="2722" w:hanging="672"/>
      </w:pPr>
      <w:rPr>
        <w:rFonts w:hint="default"/>
      </w:rPr>
    </w:lvl>
  </w:abstractNum>
  <w:abstractNum w:abstractNumId="249">
    <w:multiLevelType w:val="hybridMultilevel"/>
    <w:lvl w:ilvl="0">
      <w:start w:val="1"/>
      <w:numFmt w:val="bullet"/>
      <w:lvlText w:val="-"/>
      <w:lvlJc w:val="left"/>
      <w:pPr>
        <w:ind w:left="103" w:hanging="140"/>
      </w:pPr>
      <w:rPr>
        <w:rFonts w:hint="default" w:ascii="Arial" w:hAnsi="Arial" w:eastAsia="Arial" w:cs="Arial"/>
        <w:w w:val="100"/>
        <w:sz w:val="22"/>
        <w:szCs w:val="22"/>
      </w:rPr>
    </w:lvl>
    <w:lvl w:ilvl="1">
      <w:start w:val="1"/>
      <w:numFmt w:val="bullet"/>
      <w:lvlText w:val="•"/>
      <w:lvlJc w:val="left"/>
      <w:pPr>
        <w:ind w:left="1378" w:hanging="140"/>
      </w:pPr>
      <w:rPr>
        <w:rFonts w:hint="default"/>
      </w:rPr>
    </w:lvl>
    <w:lvl w:ilvl="2">
      <w:start w:val="1"/>
      <w:numFmt w:val="bullet"/>
      <w:lvlText w:val="•"/>
      <w:lvlJc w:val="left"/>
      <w:pPr>
        <w:ind w:left="2657" w:hanging="140"/>
      </w:pPr>
      <w:rPr>
        <w:rFonts w:hint="default"/>
      </w:rPr>
    </w:lvl>
    <w:lvl w:ilvl="3">
      <w:start w:val="1"/>
      <w:numFmt w:val="bullet"/>
      <w:lvlText w:val="•"/>
      <w:lvlJc w:val="left"/>
      <w:pPr>
        <w:ind w:left="3936" w:hanging="140"/>
      </w:pPr>
      <w:rPr>
        <w:rFonts w:hint="default"/>
      </w:rPr>
    </w:lvl>
    <w:lvl w:ilvl="4">
      <w:start w:val="1"/>
      <w:numFmt w:val="bullet"/>
      <w:lvlText w:val="•"/>
      <w:lvlJc w:val="left"/>
      <w:pPr>
        <w:ind w:left="5215" w:hanging="140"/>
      </w:pPr>
      <w:rPr>
        <w:rFonts w:hint="default"/>
      </w:rPr>
    </w:lvl>
    <w:lvl w:ilvl="5">
      <w:start w:val="1"/>
      <w:numFmt w:val="bullet"/>
      <w:lvlText w:val="•"/>
      <w:lvlJc w:val="left"/>
      <w:pPr>
        <w:ind w:left="6493" w:hanging="140"/>
      </w:pPr>
      <w:rPr>
        <w:rFonts w:hint="default"/>
      </w:rPr>
    </w:lvl>
    <w:lvl w:ilvl="6">
      <w:start w:val="1"/>
      <w:numFmt w:val="bullet"/>
      <w:lvlText w:val="•"/>
      <w:lvlJc w:val="left"/>
      <w:pPr>
        <w:ind w:left="7772" w:hanging="140"/>
      </w:pPr>
      <w:rPr>
        <w:rFonts w:hint="default"/>
      </w:rPr>
    </w:lvl>
    <w:lvl w:ilvl="7">
      <w:start w:val="1"/>
      <w:numFmt w:val="bullet"/>
      <w:lvlText w:val="•"/>
      <w:lvlJc w:val="left"/>
      <w:pPr>
        <w:ind w:left="9051" w:hanging="140"/>
      </w:pPr>
      <w:rPr>
        <w:rFonts w:hint="default"/>
      </w:rPr>
    </w:lvl>
    <w:lvl w:ilvl="8">
      <w:start w:val="1"/>
      <w:numFmt w:val="bullet"/>
      <w:lvlText w:val="•"/>
      <w:lvlJc w:val="left"/>
      <w:pPr>
        <w:ind w:left="10330" w:hanging="140"/>
      </w:pPr>
      <w:rPr>
        <w:rFonts w:hint="default"/>
      </w:rPr>
    </w:lvl>
  </w:abstractNum>
  <w:abstractNum w:abstractNumId="248">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47">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46">
    <w:multiLevelType w:val="hybridMultilevel"/>
    <w:lvl w:ilvl="0">
      <w:start w:val="1"/>
      <w:numFmt w:val="bullet"/>
      <w:lvlText w:val=""/>
      <w:lvlJc w:val="left"/>
      <w:pPr>
        <w:ind w:left="281" w:hanging="728"/>
      </w:pPr>
      <w:rPr>
        <w:rFonts w:hint="default" w:ascii="Wingdings" w:hAnsi="Wingdings" w:eastAsia="Wingdings" w:cs="Wingdings"/>
        <w:w w:val="99"/>
        <w:sz w:val="20"/>
        <w:szCs w:val="20"/>
      </w:rPr>
    </w:lvl>
    <w:lvl w:ilvl="1">
      <w:start w:val="1"/>
      <w:numFmt w:val="bullet"/>
      <w:lvlText w:val="•"/>
      <w:lvlJc w:val="left"/>
      <w:pPr>
        <w:ind w:left="635" w:hanging="728"/>
      </w:pPr>
      <w:rPr>
        <w:rFonts w:hint="default"/>
      </w:rPr>
    </w:lvl>
    <w:lvl w:ilvl="2">
      <w:start w:val="1"/>
      <w:numFmt w:val="bullet"/>
      <w:lvlText w:val="•"/>
      <w:lvlJc w:val="left"/>
      <w:pPr>
        <w:ind w:left="990" w:hanging="728"/>
      </w:pPr>
      <w:rPr>
        <w:rFonts w:hint="default"/>
      </w:rPr>
    </w:lvl>
    <w:lvl w:ilvl="3">
      <w:start w:val="1"/>
      <w:numFmt w:val="bullet"/>
      <w:lvlText w:val="•"/>
      <w:lvlJc w:val="left"/>
      <w:pPr>
        <w:ind w:left="1345" w:hanging="728"/>
      </w:pPr>
      <w:rPr>
        <w:rFonts w:hint="default"/>
      </w:rPr>
    </w:lvl>
    <w:lvl w:ilvl="4">
      <w:start w:val="1"/>
      <w:numFmt w:val="bullet"/>
      <w:lvlText w:val="•"/>
      <w:lvlJc w:val="left"/>
      <w:pPr>
        <w:ind w:left="1700" w:hanging="728"/>
      </w:pPr>
      <w:rPr>
        <w:rFonts w:hint="default"/>
      </w:rPr>
    </w:lvl>
    <w:lvl w:ilvl="5">
      <w:start w:val="1"/>
      <w:numFmt w:val="bullet"/>
      <w:lvlText w:val="•"/>
      <w:lvlJc w:val="left"/>
      <w:pPr>
        <w:ind w:left="2055" w:hanging="728"/>
      </w:pPr>
      <w:rPr>
        <w:rFonts w:hint="default"/>
      </w:rPr>
    </w:lvl>
    <w:lvl w:ilvl="6">
      <w:start w:val="1"/>
      <w:numFmt w:val="bullet"/>
      <w:lvlText w:val="•"/>
      <w:lvlJc w:val="left"/>
      <w:pPr>
        <w:ind w:left="2410" w:hanging="728"/>
      </w:pPr>
      <w:rPr>
        <w:rFonts w:hint="default"/>
      </w:rPr>
    </w:lvl>
    <w:lvl w:ilvl="7">
      <w:start w:val="1"/>
      <w:numFmt w:val="bullet"/>
      <w:lvlText w:val="•"/>
      <w:lvlJc w:val="left"/>
      <w:pPr>
        <w:ind w:left="2766" w:hanging="728"/>
      </w:pPr>
      <w:rPr>
        <w:rFonts w:hint="default"/>
      </w:rPr>
    </w:lvl>
    <w:lvl w:ilvl="8">
      <w:start w:val="1"/>
      <w:numFmt w:val="bullet"/>
      <w:lvlText w:val="•"/>
      <w:lvlJc w:val="left"/>
      <w:pPr>
        <w:ind w:left="3121" w:hanging="728"/>
      </w:pPr>
      <w:rPr>
        <w:rFonts w:hint="default"/>
      </w:rPr>
    </w:lvl>
  </w:abstractNum>
  <w:abstractNum w:abstractNumId="245">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44">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43">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42">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41">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40">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39">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38">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37">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36">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35">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5" w:hanging="672"/>
      </w:pPr>
      <w:rPr>
        <w:rFonts w:hint="default"/>
      </w:rPr>
    </w:lvl>
    <w:lvl w:ilvl="2">
      <w:start w:val="1"/>
      <w:numFmt w:val="bullet"/>
      <w:lvlText w:val="•"/>
      <w:lvlJc w:val="left"/>
      <w:pPr>
        <w:ind w:left="990" w:hanging="672"/>
      </w:pPr>
      <w:rPr>
        <w:rFonts w:hint="default"/>
      </w:rPr>
    </w:lvl>
    <w:lvl w:ilvl="3">
      <w:start w:val="1"/>
      <w:numFmt w:val="bullet"/>
      <w:lvlText w:val="•"/>
      <w:lvlJc w:val="left"/>
      <w:pPr>
        <w:ind w:left="1345" w:hanging="672"/>
      </w:pPr>
      <w:rPr>
        <w:rFonts w:hint="default"/>
      </w:rPr>
    </w:lvl>
    <w:lvl w:ilvl="4">
      <w:start w:val="1"/>
      <w:numFmt w:val="bullet"/>
      <w:lvlText w:val="•"/>
      <w:lvlJc w:val="left"/>
      <w:pPr>
        <w:ind w:left="1700" w:hanging="672"/>
      </w:pPr>
      <w:rPr>
        <w:rFonts w:hint="default"/>
      </w:rPr>
    </w:lvl>
    <w:lvl w:ilvl="5">
      <w:start w:val="1"/>
      <w:numFmt w:val="bullet"/>
      <w:lvlText w:val="•"/>
      <w:lvlJc w:val="left"/>
      <w:pPr>
        <w:ind w:left="2055" w:hanging="672"/>
      </w:pPr>
      <w:rPr>
        <w:rFonts w:hint="default"/>
      </w:rPr>
    </w:lvl>
    <w:lvl w:ilvl="6">
      <w:start w:val="1"/>
      <w:numFmt w:val="bullet"/>
      <w:lvlText w:val="•"/>
      <w:lvlJc w:val="left"/>
      <w:pPr>
        <w:ind w:left="2410" w:hanging="672"/>
      </w:pPr>
      <w:rPr>
        <w:rFonts w:hint="default"/>
      </w:rPr>
    </w:lvl>
    <w:lvl w:ilvl="7">
      <w:start w:val="1"/>
      <w:numFmt w:val="bullet"/>
      <w:lvlText w:val="•"/>
      <w:lvlJc w:val="left"/>
      <w:pPr>
        <w:ind w:left="2766" w:hanging="672"/>
      </w:pPr>
      <w:rPr>
        <w:rFonts w:hint="default"/>
      </w:rPr>
    </w:lvl>
    <w:lvl w:ilvl="8">
      <w:start w:val="1"/>
      <w:numFmt w:val="bullet"/>
      <w:lvlText w:val="•"/>
      <w:lvlJc w:val="left"/>
      <w:pPr>
        <w:ind w:left="3121" w:hanging="672"/>
      </w:pPr>
      <w:rPr>
        <w:rFonts w:hint="default"/>
      </w:rPr>
    </w:lvl>
  </w:abstractNum>
  <w:abstractNum w:abstractNumId="234">
    <w:multiLevelType w:val="hybridMultilevel"/>
    <w:lvl w:ilvl="0">
      <w:start w:val="1"/>
      <w:numFmt w:val="bullet"/>
      <w:lvlText w:val="-"/>
      <w:lvlJc w:val="left"/>
      <w:pPr>
        <w:ind w:left="64" w:hanging="147"/>
      </w:pPr>
      <w:rPr>
        <w:rFonts w:hint="default" w:ascii="Arial" w:hAnsi="Arial" w:eastAsia="Arial" w:cs="Arial"/>
        <w:w w:val="100"/>
        <w:sz w:val="22"/>
        <w:szCs w:val="22"/>
      </w:rPr>
    </w:lvl>
    <w:lvl w:ilvl="1">
      <w:start w:val="1"/>
      <w:numFmt w:val="bullet"/>
      <w:lvlText w:val="•"/>
      <w:lvlJc w:val="left"/>
      <w:pPr>
        <w:ind w:left="1342" w:hanging="147"/>
      </w:pPr>
      <w:rPr>
        <w:rFonts w:hint="default"/>
      </w:rPr>
    </w:lvl>
    <w:lvl w:ilvl="2">
      <w:start w:val="1"/>
      <w:numFmt w:val="bullet"/>
      <w:lvlText w:val="•"/>
      <w:lvlJc w:val="left"/>
      <w:pPr>
        <w:ind w:left="2625" w:hanging="147"/>
      </w:pPr>
      <w:rPr>
        <w:rFonts w:hint="default"/>
      </w:rPr>
    </w:lvl>
    <w:lvl w:ilvl="3">
      <w:start w:val="1"/>
      <w:numFmt w:val="bullet"/>
      <w:lvlText w:val="•"/>
      <w:lvlJc w:val="left"/>
      <w:pPr>
        <w:ind w:left="3908" w:hanging="147"/>
      </w:pPr>
      <w:rPr>
        <w:rFonts w:hint="default"/>
      </w:rPr>
    </w:lvl>
    <w:lvl w:ilvl="4">
      <w:start w:val="1"/>
      <w:numFmt w:val="bullet"/>
      <w:lvlText w:val="•"/>
      <w:lvlJc w:val="left"/>
      <w:pPr>
        <w:ind w:left="5191" w:hanging="147"/>
      </w:pPr>
      <w:rPr>
        <w:rFonts w:hint="default"/>
      </w:rPr>
    </w:lvl>
    <w:lvl w:ilvl="5">
      <w:start w:val="1"/>
      <w:numFmt w:val="bullet"/>
      <w:lvlText w:val="•"/>
      <w:lvlJc w:val="left"/>
      <w:pPr>
        <w:ind w:left="6473" w:hanging="147"/>
      </w:pPr>
      <w:rPr>
        <w:rFonts w:hint="default"/>
      </w:rPr>
    </w:lvl>
    <w:lvl w:ilvl="6">
      <w:start w:val="1"/>
      <w:numFmt w:val="bullet"/>
      <w:lvlText w:val="•"/>
      <w:lvlJc w:val="left"/>
      <w:pPr>
        <w:ind w:left="7756" w:hanging="147"/>
      </w:pPr>
      <w:rPr>
        <w:rFonts w:hint="default"/>
      </w:rPr>
    </w:lvl>
    <w:lvl w:ilvl="7">
      <w:start w:val="1"/>
      <w:numFmt w:val="bullet"/>
      <w:lvlText w:val="•"/>
      <w:lvlJc w:val="left"/>
      <w:pPr>
        <w:ind w:left="9039" w:hanging="147"/>
      </w:pPr>
      <w:rPr>
        <w:rFonts w:hint="default"/>
      </w:rPr>
    </w:lvl>
    <w:lvl w:ilvl="8">
      <w:start w:val="1"/>
      <w:numFmt w:val="bullet"/>
      <w:lvlText w:val="•"/>
      <w:lvlJc w:val="left"/>
      <w:pPr>
        <w:ind w:left="10322" w:hanging="147"/>
      </w:pPr>
      <w:rPr>
        <w:rFonts w:hint="default"/>
      </w:rPr>
    </w:lvl>
  </w:abstractNum>
  <w:abstractNum w:abstractNumId="233">
    <w:multiLevelType w:val="hybridMultilevel"/>
    <w:lvl w:ilvl="0">
      <w:start w:val="1"/>
      <w:numFmt w:val="bullet"/>
      <w:lvlText w:val="-"/>
      <w:lvlJc w:val="left"/>
      <w:pPr>
        <w:ind w:left="27" w:hanging="142"/>
      </w:pPr>
      <w:rPr>
        <w:rFonts w:hint="default" w:ascii="Arial" w:hAnsi="Arial" w:eastAsia="Arial" w:cs="Arial"/>
        <w:w w:val="100"/>
        <w:sz w:val="22"/>
        <w:szCs w:val="22"/>
      </w:rPr>
    </w:lvl>
    <w:lvl w:ilvl="1">
      <w:start w:val="1"/>
      <w:numFmt w:val="bullet"/>
      <w:lvlText w:val="•"/>
      <w:lvlJc w:val="left"/>
      <w:pPr>
        <w:ind w:left="1299" w:hanging="142"/>
      </w:pPr>
      <w:rPr>
        <w:rFonts w:hint="default"/>
      </w:rPr>
    </w:lvl>
    <w:lvl w:ilvl="2">
      <w:start w:val="1"/>
      <w:numFmt w:val="bullet"/>
      <w:lvlText w:val="•"/>
      <w:lvlJc w:val="left"/>
      <w:pPr>
        <w:ind w:left="2578" w:hanging="142"/>
      </w:pPr>
      <w:rPr>
        <w:rFonts w:hint="default"/>
      </w:rPr>
    </w:lvl>
    <w:lvl w:ilvl="3">
      <w:start w:val="1"/>
      <w:numFmt w:val="bullet"/>
      <w:lvlText w:val="•"/>
      <w:lvlJc w:val="left"/>
      <w:pPr>
        <w:ind w:left="3857" w:hanging="142"/>
      </w:pPr>
      <w:rPr>
        <w:rFonts w:hint="default"/>
      </w:rPr>
    </w:lvl>
    <w:lvl w:ilvl="4">
      <w:start w:val="1"/>
      <w:numFmt w:val="bullet"/>
      <w:lvlText w:val="•"/>
      <w:lvlJc w:val="left"/>
      <w:pPr>
        <w:ind w:left="5136" w:hanging="142"/>
      </w:pPr>
      <w:rPr>
        <w:rFonts w:hint="default"/>
      </w:rPr>
    </w:lvl>
    <w:lvl w:ilvl="5">
      <w:start w:val="1"/>
      <w:numFmt w:val="bullet"/>
      <w:lvlText w:val="•"/>
      <w:lvlJc w:val="left"/>
      <w:pPr>
        <w:ind w:left="6416" w:hanging="142"/>
      </w:pPr>
      <w:rPr>
        <w:rFonts w:hint="default"/>
      </w:rPr>
    </w:lvl>
    <w:lvl w:ilvl="6">
      <w:start w:val="1"/>
      <w:numFmt w:val="bullet"/>
      <w:lvlText w:val="•"/>
      <w:lvlJc w:val="left"/>
      <w:pPr>
        <w:ind w:left="7695" w:hanging="142"/>
      </w:pPr>
      <w:rPr>
        <w:rFonts w:hint="default"/>
      </w:rPr>
    </w:lvl>
    <w:lvl w:ilvl="7">
      <w:start w:val="1"/>
      <w:numFmt w:val="bullet"/>
      <w:lvlText w:val="•"/>
      <w:lvlJc w:val="left"/>
      <w:pPr>
        <w:ind w:left="8974" w:hanging="142"/>
      </w:pPr>
      <w:rPr>
        <w:rFonts w:hint="default"/>
      </w:rPr>
    </w:lvl>
    <w:lvl w:ilvl="8">
      <w:start w:val="1"/>
      <w:numFmt w:val="bullet"/>
      <w:lvlText w:val="•"/>
      <w:lvlJc w:val="left"/>
      <w:pPr>
        <w:ind w:left="10253" w:hanging="142"/>
      </w:pPr>
      <w:rPr>
        <w:rFonts w:hint="default"/>
      </w:rPr>
    </w:lvl>
  </w:abstractNum>
  <w:abstractNum w:abstractNumId="23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23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230">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22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22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22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22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22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22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22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22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1" w:hanging="672"/>
      </w:pPr>
      <w:rPr>
        <w:rFonts w:hint="default"/>
      </w:rPr>
    </w:lvl>
    <w:lvl w:ilvl="2">
      <w:start w:val="1"/>
      <w:numFmt w:val="bullet"/>
      <w:lvlText w:val="•"/>
      <w:lvlJc w:val="left"/>
      <w:pPr>
        <w:ind w:left="842" w:hanging="672"/>
      </w:pPr>
      <w:rPr>
        <w:rFonts w:hint="default"/>
      </w:rPr>
    </w:lvl>
    <w:lvl w:ilvl="3">
      <w:start w:val="1"/>
      <w:numFmt w:val="bullet"/>
      <w:lvlText w:val="•"/>
      <w:lvlJc w:val="left"/>
      <w:pPr>
        <w:ind w:left="1124" w:hanging="672"/>
      </w:pPr>
      <w:rPr>
        <w:rFonts w:hint="default"/>
      </w:rPr>
    </w:lvl>
    <w:lvl w:ilvl="4">
      <w:start w:val="1"/>
      <w:numFmt w:val="bullet"/>
      <w:lvlText w:val="•"/>
      <w:lvlJc w:val="left"/>
      <w:pPr>
        <w:ind w:left="1405" w:hanging="672"/>
      </w:pPr>
      <w:rPr>
        <w:rFonts w:hint="default"/>
      </w:rPr>
    </w:lvl>
    <w:lvl w:ilvl="5">
      <w:start w:val="1"/>
      <w:numFmt w:val="bullet"/>
      <w:lvlText w:val="•"/>
      <w:lvlJc w:val="left"/>
      <w:pPr>
        <w:ind w:left="1686" w:hanging="672"/>
      </w:pPr>
      <w:rPr>
        <w:rFonts w:hint="default"/>
      </w:rPr>
    </w:lvl>
    <w:lvl w:ilvl="6">
      <w:start w:val="1"/>
      <w:numFmt w:val="bullet"/>
      <w:lvlText w:val="•"/>
      <w:lvlJc w:val="left"/>
      <w:pPr>
        <w:ind w:left="1968" w:hanging="672"/>
      </w:pPr>
      <w:rPr>
        <w:rFonts w:hint="default"/>
      </w:rPr>
    </w:lvl>
    <w:lvl w:ilvl="7">
      <w:start w:val="1"/>
      <w:numFmt w:val="bullet"/>
      <w:lvlText w:val="•"/>
      <w:lvlJc w:val="left"/>
      <w:pPr>
        <w:ind w:left="2249" w:hanging="672"/>
      </w:pPr>
      <w:rPr>
        <w:rFonts w:hint="default"/>
      </w:rPr>
    </w:lvl>
    <w:lvl w:ilvl="8">
      <w:start w:val="1"/>
      <w:numFmt w:val="bullet"/>
      <w:lvlText w:val="•"/>
      <w:lvlJc w:val="left"/>
      <w:pPr>
        <w:ind w:left="2530" w:hanging="672"/>
      </w:pPr>
      <w:rPr>
        <w:rFonts w:hint="default"/>
      </w:rPr>
    </w:lvl>
  </w:abstractNum>
  <w:abstractNum w:abstractNumId="22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1" w:hanging="672"/>
      </w:pPr>
      <w:rPr>
        <w:rFonts w:hint="default"/>
      </w:rPr>
    </w:lvl>
    <w:lvl w:ilvl="2">
      <w:start w:val="1"/>
      <w:numFmt w:val="bullet"/>
      <w:lvlText w:val="•"/>
      <w:lvlJc w:val="left"/>
      <w:pPr>
        <w:ind w:left="842" w:hanging="672"/>
      </w:pPr>
      <w:rPr>
        <w:rFonts w:hint="default"/>
      </w:rPr>
    </w:lvl>
    <w:lvl w:ilvl="3">
      <w:start w:val="1"/>
      <w:numFmt w:val="bullet"/>
      <w:lvlText w:val="•"/>
      <w:lvlJc w:val="left"/>
      <w:pPr>
        <w:ind w:left="1124" w:hanging="672"/>
      </w:pPr>
      <w:rPr>
        <w:rFonts w:hint="default"/>
      </w:rPr>
    </w:lvl>
    <w:lvl w:ilvl="4">
      <w:start w:val="1"/>
      <w:numFmt w:val="bullet"/>
      <w:lvlText w:val="•"/>
      <w:lvlJc w:val="left"/>
      <w:pPr>
        <w:ind w:left="1405" w:hanging="672"/>
      </w:pPr>
      <w:rPr>
        <w:rFonts w:hint="default"/>
      </w:rPr>
    </w:lvl>
    <w:lvl w:ilvl="5">
      <w:start w:val="1"/>
      <w:numFmt w:val="bullet"/>
      <w:lvlText w:val="•"/>
      <w:lvlJc w:val="left"/>
      <w:pPr>
        <w:ind w:left="1686" w:hanging="672"/>
      </w:pPr>
      <w:rPr>
        <w:rFonts w:hint="default"/>
      </w:rPr>
    </w:lvl>
    <w:lvl w:ilvl="6">
      <w:start w:val="1"/>
      <w:numFmt w:val="bullet"/>
      <w:lvlText w:val="•"/>
      <w:lvlJc w:val="left"/>
      <w:pPr>
        <w:ind w:left="1968" w:hanging="672"/>
      </w:pPr>
      <w:rPr>
        <w:rFonts w:hint="default"/>
      </w:rPr>
    </w:lvl>
    <w:lvl w:ilvl="7">
      <w:start w:val="1"/>
      <w:numFmt w:val="bullet"/>
      <w:lvlText w:val="•"/>
      <w:lvlJc w:val="left"/>
      <w:pPr>
        <w:ind w:left="2249" w:hanging="672"/>
      </w:pPr>
      <w:rPr>
        <w:rFonts w:hint="default"/>
      </w:rPr>
    </w:lvl>
    <w:lvl w:ilvl="8">
      <w:start w:val="1"/>
      <w:numFmt w:val="bullet"/>
      <w:lvlText w:val="•"/>
      <w:lvlJc w:val="left"/>
      <w:pPr>
        <w:ind w:left="2530" w:hanging="672"/>
      </w:pPr>
      <w:rPr>
        <w:rFonts w:hint="default"/>
      </w:rPr>
    </w:lvl>
  </w:abstractNum>
  <w:abstractNum w:abstractNumId="220">
    <w:multiLevelType w:val="hybridMultilevel"/>
    <w:lvl w:ilvl="0">
      <w:start w:val="1"/>
      <w:numFmt w:val="bullet"/>
      <w:lvlText w:val=""/>
      <w:lvlJc w:val="left"/>
      <w:pPr>
        <w:ind w:left="280" w:hanging="233"/>
      </w:pPr>
      <w:rPr>
        <w:rFonts w:hint="default" w:ascii="Wingdings" w:hAnsi="Wingdings" w:eastAsia="Wingdings" w:cs="Wingdings"/>
        <w:w w:val="99"/>
        <w:sz w:val="20"/>
        <w:szCs w:val="20"/>
      </w:rPr>
    </w:lvl>
    <w:lvl w:ilvl="1">
      <w:start w:val="1"/>
      <w:numFmt w:val="bullet"/>
      <w:lvlText w:val="•"/>
      <w:lvlJc w:val="left"/>
      <w:pPr>
        <w:ind w:left="561" w:hanging="233"/>
      </w:pPr>
      <w:rPr>
        <w:rFonts w:hint="default"/>
      </w:rPr>
    </w:lvl>
    <w:lvl w:ilvl="2">
      <w:start w:val="1"/>
      <w:numFmt w:val="bullet"/>
      <w:lvlText w:val="•"/>
      <w:lvlJc w:val="left"/>
      <w:pPr>
        <w:ind w:left="842" w:hanging="233"/>
      </w:pPr>
      <w:rPr>
        <w:rFonts w:hint="default"/>
      </w:rPr>
    </w:lvl>
    <w:lvl w:ilvl="3">
      <w:start w:val="1"/>
      <w:numFmt w:val="bullet"/>
      <w:lvlText w:val="•"/>
      <w:lvlJc w:val="left"/>
      <w:pPr>
        <w:ind w:left="1124" w:hanging="233"/>
      </w:pPr>
      <w:rPr>
        <w:rFonts w:hint="default"/>
      </w:rPr>
    </w:lvl>
    <w:lvl w:ilvl="4">
      <w:start w:val="1"/>
      <w:numFmt w:val="bullet"/>
      <w:lvlText w:val="•"/>
      <w:lvlJc w:val="left"/>
      <w:pPr>
        <w:ind w:left="1405" w:hanging="233"/>
      </w:pPr>
      <w:rPr>
        <w:rFonts w:hint="default"/>
      </w:rPr>
    </w:lvl>
    <w:lvl w:ilvl="5">
      <w:start w:val="1"/>
      <w:numFmt w:val="bullet"/>
      <w:lvlText w:val="•"/>
      <w:lvlJc w:val="left"/>
      <w:pPr>
        <w:ind w:left="1686" w:hanging="233"/>
      </w:pPr>
      <w:rPr>
        <w:rFonts w:hint="default"/>
      </w:rPr>
    </w:lvl>
    <w:lvl w:ilvl="6">
      <w:start w:val="1"/>
      <w:numFmt w:val="bullet"/>
      <w:lvlText w:val="•"/>
      <w:lvlJc w:val="left"/>
      <w:pPr>
        <w:ind w:left="1968" w:hanging="233"/>
      </w:pPr>
      <w:rPr>
        <w:rFonts w:hint="default"/>
      </w:rPr>
    </w:lvl>
    <w:lvl w:ilvl="7">
      <w:start w:val="1"/>
      <w:numFmt w:val="bullet"/>
      <w:lvlText w:val="•"/>
      <w:lvlJc w:val="left"/>
      <w:pPr>
        <w:ind w:left="2249" w:hanging="233"/>
      </w:pPr>
      <w:rPr>
        <w:rFonts w:hint="default"/>
      </w:rPr>
    </w:lvl>
    <w:lvl w:ilvl="8">
      <w:start w:val="1"/>
      <w:numFmt w:val="bullet"/>
      <w:lvlText w:val="•"/>
      <w:lvlJc w:val="left"/>
      <w:pPr>
        <w:ind w:left="2530" w:hanging="233"/>
      </w:pPr>
      <w:rPr>
        <w:rFonts w:hint="default"/>
      </w:rPr>
    </w:lvl>
  </w:abstractNum>
  <w:abstractNum w:abstractNumId="21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1" w:hanging="672"/>
      </w:pPr>
      <w:rPr>
        <w:rFonts w:hint="default"/>
      </w:rPr>
    </w:lvl>
    <w:lvl w:ilvl="2">
      <w:start w:val="1"/>
      <w:numFmt w:val="bullet"/>
      <w:lvlText w:val="•"/>
      <w:lvlJc w:val="left"/>
      <w:pPr>
        <w:ind w:left="842" w:hanging="672"/>
      </w:pPr>
      <w:rPr>
        <w:rFonts w:hint="default"/>
      </w:rPr>
    </w:lvl>
    <w:lvl w:ilvl="3">
      <w:start w:val="1"/>
      <w:numFmt w:val="bullet"/>
      <w:lvlText w:val="•"/>
      <w:lvlJc w:val="left"/>
      <w:pPr>
        <w:ind w:left="1124" w:hanging="672"/>
      </w:pPr>
      <w:rPr>
        <w:rFonts w:hint="default"/>
      </w:rPr>
    </w:lvl>
    <w:lvl w:ilvl="4">
      <w:start w:val="1"/>
      <w:numFmt w:val="bullet"/>
      <w:lvlText w:val="•"/>
      <w:lvlJc w:val="left"/>
      <w:pPr>
        <w:ind w:left="1405" w:hanging="672"/>
      </w:pPr>
      <w:rPr>
        <w:rFonts w:hint="default"/>
      </w:rPr>
    </w:lvl>
    <w:lvl w:ilvl="5">
      <w:start w:val="1"/>
      <w:numFmt w:val="bullet"/>
      <w:lvlText w:val="•"/>
      <w:lvlJc w:val="left"/>
      <w:pPr>
        <w:ind w:left="1686" w:hanging="672"/>
      </w:pPr>
      <w:rPr>
        <w:rFonts w:hint="default"/>
      </w:rPr>
    </w:lvl>
    <w:lvl w:ilvl="6">
      <w:start w:val="1"/>
      <w:numFmt w:val="bullet"/>
      <w:lvlText w:val="•"/>
      <w:lvlJc w:val="left"/>
      <w:pPr>
        <w:ind w:left="1968" w:hanging="672"/>
      </w:pPr>
      <w:rPr>
        <w:rFonts w:hint="default"/>
      </w:rPr>
    </w:lvl>
    <w:lvl w:ilvl="7">
      <w:start w:val="1"/>
      <w:numFmt w:val="bullet"/>
      <w:lvlText w:val="•"/>
      <w:lvlJc w:val="left"/>
      <w:pPr>
        <w:ind w:left="2249" w:hanging="672"/>
      </w:pPr>
      <w:rPr>
        <w:rFonts w:hint="default"/>
      </w:rPr>
    </w:lvl>
    <w:lvl w:ilvl="8">
      <w:start w:val="1"/>
      <w:numFmt w:val="bullet"/>
      <w:lvlText w:val="•"/>
      <w:lvlJc w:val="left"/>
      <w:pPr>
        <w:ind w:left="2530" w:hanging="672"/>
      </w:pPr>
      <w:rPr>
        <w:rFonts w:hint="default"/>
      </w:rPr>
    </w:lvl>
  </w:abstractNum>
  <w:abstractNum w:abstractNumId="21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1" w:hanging="672"/>
      </w:pPr>
      <w:rPr>
        <w:rFonts w:hint="default"/>
      </w:rPr>
    </w:lvl>
    <w:lvl w:ilvl="2">
      <w:start w:val="1"/>
      <w:numFmt w:val="bullet"/>
      <w:lvlText w:val="•"/>
      <w:lvlJc w:val="left"/>
      <w:pPr>
        <w:ind w:left="842" w:hanging="672"/>
      </w:pPr>
      <w:rPr>
        <w:rFonts w:hint="default"/>
      </w:rPr>
    </w:lvl>
    <w:lvl w:ilvl="3">
      <w:start w:val="1"/>
      <w:numFmt w:val="bullet"/>
      <w:lvlText w:val="•"/>
      <w:lvlJc w:val="left"/>
      <w:pPr>
        <w:ind w:left="1124" w:hanging="672"/>
      </w:pPr>
      <w:rPr>
        <w:rFonts w:hint="default"/>
      </w:rPr>
    </w:lvl>
    <w:lvl w:ilvl="4">
      <w:start w:val="1"/>
      <w:numFmt w:val="bullet"/>
      <w:lvlText w:val="•"/>
      <w:lvlJc w:val="left"/>
      <w:pPr>
        <w:ind w:left="1405" w:hanging="672"/>
      </w:pPr>
      <w:rPr>
        <w:rFonts w:hint="default"/>
      </w:rPr>
    </w:lvl>
    <w:lvl w:ilvl="5">
      <w:start w:val="1"/>
      <w:numFmt w:val="bullet"/>
      <w:lvlText w:val="•"/>
      <w:lvlJc w:val="left"/>
      <w:pPr>
        <w:ind w:left="1686" w:hanging="672"/>
      </w:pPr>
      <w:rPr>
        <w:rFonts w:hint="default"/>
      </w:rPr>
    </w:lvl>
    <w:lvl w:ilvl="6">
      <w:start w:val="1"/>
      <w:numFmt w:val="bullet"/>
      <w:lvlText w:val="•"/>
      <w:lvlJc w:val="left"/>
      <w:pPr>
        <w:ind w:left="1968" w:hanging="672"/>
      </w:pPr>
      <w:rPr>
        <w:rFonts w:hint="default"/>
      </w:rPr>
    </w:lvl>
    <w:lvl w:ilvl="7">
      <w:start w:val="1"/>
      <w:numFmt w:val="bullet"/>
      <w:lvlText w:val="•"/>
      <w:lvlJc w:val="left"/>
      <w:pPr>
        <w:ind w:left="2249" w:hanging="672"/>
      </w:pPr>
      <w:rPr>
        <w:rFonts w:hint="default"/>
      </w:rPr>
    </w:lvl>
    <w:lvl w:ilvl="8">
      <w:start w:val="1"/>
      <w:numFmt w:val="bullet"/>
      <w:lvlText w:val="•"/>
      <w:lvlJc w:val="left"/>
      <w:pPr>
        <w:ind w:left="2530" w:hanging="672"/>
      </w:pPr>
      <w:rPr>
        <w:rFonts w:hint="default"/>
      </w:rPr>
    </w:lvl>
  </w:abstractNum>
  <w:abstractNum w:abstractNumId="217">
    <w:multiLevelType w:val="hybridMultilevel"/>
    <w:lvl w:ilvl="0">
      <w:start w:val="1"/>
      <w:numFmt w:val="bullet"/>
      <w:lvlText w:val=""/>
      <w:lvlJc w:val="left"/>
      <w:pPr>
        <w:ind w:left="280" w:hanging="233"/>
      </w:pPr>
      <w:rPr>
        <w:rFonts w:hint="default" w:ascii="Wingdings" w:hAnsi="Wingdings" w:eastAsia="Wingdings" w:cs="Wingdings"/>
        <w:w w:val="99"/>
        <w:sz w:val="20"/>
        <w:szCs w:val="20"/>
      </w:rPr>
    </w:lvl>
    <w:lvl w:ilvl="1">
      <w:start w:val="1"/>
      <w:numFmt w:val="bullet"/>
      <w:lvlText w:val="•"/>
      <w:lvlJc w:val="left"/>
      <w:pPr>
        <w:ind w:left="561" w:hanging="233"/>
      </w:pPr>
      <w:rPr>
        <w:rFonts w:hint="default"/>
      </w:rPr>
    </w:lvl>
    <w:lvl w:ilvl="2">
      <w:start w:val="1"/>
      <w:numFmt w:val="bullet"/>
      <w:lvlText w:val="•"/>
      <w:lvlJc w:val="left"/>
      <w:pPr>
        <w:ind w:left="842" w:hanging="233"/>
      </w:pPr>
      <w:rPr>
        <w:rFonts w:hint="default"/>
      </w:rPr>
    </w:lvl>
    <w:lvl w:ilvl="3">
      <w:start w:val="1"/>
      <w:numFmt w:val="bullet"/>
      <w:lvlText w:val="•"/>
      <w:lvlJc w:val="left"/>
      <w:pPr>
        <w:ind w:left="1124" w:hanging="233"/>
      </w:pPr>
      <w:rPr>
        <w:rFonts w:hint="default"/>
      </w:rPr>
    </w:lvl>
    <w:lvl w:ilvl="4">
      <w:start w:val="1"/>
      <w:numFmt w:val="bullet"/>
      <w:lvlText w:val="•"/>
      <w:lvlJc w:val="left"/>
      <w:pPr>
        <w:ind w:left="1405" w:hanging="233"/>
      </w:pPr>
      <w:rPr>
        <w:rFonts w:hint="default"/>
      </w:rPr>
    </w:lvl>
    <w:lvl w:ilvl="5">
      <w:start w:val="1"/>
      <w:numFmt w:val="bullet"/>
      <w:lvlText w:val="•"/>
      <w:lvlJc w:val="left"/>
      <w:pPr>
        <w:ind w:left="1686" w:hanging="233"/>
      </w:pPr>
      <w:rPr>
        <w:rFonts w:hint="default"/>
      </w:rPr>
    </w:lvl>
    <w:lvl w:ilvl="6">
      <w:start w:val="1"/>
      <w:numFmt w:val="bullet"/>
      <w:lvlText w:val="•"/>
      <w:lvlJc w:val="left"/>
      <w:pPr>
        <w:ind w:left="1968" w:hanging="233"/>
      </w:pPr>
      <w:rPr>
        <w:rFonts w:hint="default"/>
      </w:rPr>
    </w:lvl>
    <w:lvl w:ilvl="7">
      <w:start w:val="1"/>
      <w:numFmt w:val="bullet"/>
      <w:lvlText w:val="•"/>
      <w:lvlJc w:val="left"/>
      <w:pPr>
        <w:ind w:left="2249" w:hanging="233"/>
      </w:pPr>
      <w:rPr>
        <w:rFonts w:hint="default"/>
      </w:rPr>
    </w:lvl>
    <w:lvl w:ilvl="8">
      <w:start w:val="1"/>
      <w:numFmt w:val="bullet"/>
      <w:lvlText w:val="•"/>
      <w:lvlJc w:val="left"/>
      <w:pPr>
        <w:ind w:left="2530" w:hanging="233"/>
      </w:pPr>
      <w:rPr>
        <w:rFonts w:hint="default"/>
      </w:rPr>
    </w:lvl>
  </w:abstractNum>
  <w:abstractNum w:abstractNumId="21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1" w:hanging="672"/>
      </w:pPr>
      <w:rPr>
        <w:rFonts w:hint="default"/>
      </w:rPr>
    </w:lvl>
    <w:lvl w:ilvl="2">
      <w:start w:val="1"/>
      <w:numFmt w:val="bullet"/>
      <w:lvlText w:val="•"/>
      <w:lvlJc w:val="left"/>
      <w:pPr>
        <w:ind w:left="842" w:hanging="672"/>
      </w:pPr>
      <w:rPr>
        <w:rFonts w:hint="default"/>
      </w:rPr>
    </w:lvl>
    <w:lvl w:ilvl="3">
      <w:start w:val="1"/>
      <w:numFmt w:val="bullet"/>
      <w:lvlText w:val="•"/>
      <w:lvlJc w:val="left"/>
      <w:pPr>
        <w:ind w:left="1124" w:hanging="672"/>
      </w:pPr>
      <w:rPr>
        <w:rFonts w:hint="default"/>
      </w:rPr>
    </w:lvl>
    <w:lvl w:ilvl="4">
      <w:start w:val="1"/>
      <w:numFmt w:val="bullet"/>
      <w:lvlText w:val="•"/>
      <w:lvlJc w:val="left"/>
      <w:pPr>
        <w:ind w:left="1405" w:hanging="672"/>
      </w:pPr>
      <w:rPr>
        <w:rFonts w:hint="default"/>
      </w:rPr>
    </w:lvl>
    <w:lvl w:ilvl="5">
      <w:start w:val="1"/>
      <w:numFmt w:val="bullet"/>
      <w:lvlText w:val="•"/>
      <w:lvlJc w:val="left"/>
      <w:pPr>
        <w:ind w:left="1686" w:hanging="672"/>
      </w:pPr>
      <w:rPr>
        <w:rFonts w:hint="default"/>
      </w:rPr>
    </w:lvl>
    <w:lvl w:ilvl="6">
      <w:start w:val="1"/>
      <w:numFmt w:val="bullet"/>
      <w:lvlText w:val="•"/>
      <w:lvlJc w:val="left"/>
      <w:pPr>
        <w:ind w:left="1968" w:hanging="672"/>
      </w:pPr>
      <w:rPr>
        <w:rFonts w:hint="default"/>
      </w:rPr>
    </w:lvl>
    <w:lvl w:ilvl="7">
      <w:start w:val="1"/>
      <w:numFmt w:val="bullet"/>
      <w:lvlText w:val="•"/>
      <w:lvlJc w:val="left"/>
      <w:pPr>
        <w:ind w:left="2249" w:hanging="672"/>
      </w:pPr>
      <w:rPr>
        <w:rFonts w:hint="default"/>
      </w:rPr>
    </w:lvl>
    <w:lvl w:ilvl="8">
      <w:start w:val="1"/>
      <w:numFmt w:val="bullet"/>
      <w:lvlText w:val="•"/>
      <w:lvlJc w:val="left"/>
      <w:pPr>
        <w:ind w:left="2530" w:hanging="672"/>
      </w:pPr>
      <w:rPr>
        <w:rFonts w:hint="default"/>
      </w:rPr>
    </w:lvl>
  </w:abstractNum>
  <w:abstractNum w:abstractNumId="21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1" w:hanging="672"/>
      </w:pPr>
      <w:rPr>
        <w:rFonts w:hint="default"/>
      </w:rPr>
    </w:lvl>
    <w:lvl w:ilvl="2">
      <w:start w:val="1"/>
      <w:numFmt w:val="bullet"/>
      <w:lvlText w:val="•"/>
      <w:lvlJc w:val="left"/>
      <w:pPr>
        <w:ind w:left="842" w:hanging="672"/>
      </w:pPr>
      <w:rPr>
        <w:rFonts w:hint="default"/>
      </w:rPr>
    </w:lvl>
    <w:lvl w:ilvl="3">
      <w:start w:val="1"/>
      <w:numFmt w:val="bullet"/>
      <w:lvlText w:val="•"/>
      <w:lvlJc w:val="left"/>
      <w:pPr>
        <w:ind w:left="1124" w:hanging="672"/>
      </w:pPr>
      <w:rPr>
        <w:rFonts w:hint="default"/>
      </w:rPr>
    </w:lvl>
    <w:lvl w:ilvl="4">
      <w:start w:val="1"/>
      <w:numFmt w:val="bullet"/>
      <w:lvlText w:val="•"/>
      <w:lvlJc w:val="left"/>
      <w:pPr>
        <w:ind w:left="1405" w:hanging="672"/>
      </w:pPr>
      <w:rPr>
        <w:rFonts w:hint="default"/>
      </w:rPr>
    </w:lvl>
    <w:lvl w:ilvl="5">
      <w:start w:val="1"/>
      <w:numFmt w:val="bullet"/>
      <w:lvlText w:val="•"/>
      <w:lvlJc w:val="left"/>
      <w:pPr>
        <w:ind w:left="1686" w:hanging="672"/>
      </w:pPr>
      <w:rPr>
        <w:rFonts w:hint="default"/>
      </w:rPr>
    </w:lvl>
    <w:lvl w:ilvl="6">
      <w:start w:val="1"/>
      <w:numFmt w:val="bullet"/>
      <w:lvlText w:val="•"/>
      <w:lvlJc w:val="left"/>
      <w:pPr>
        <w:ind w:left="1968" w:hanging="672"/>
      </w:pPr>
      <w:rPr>
        <w:rFonts w:hint="default"/>
      </w:rPr>
    </w:lvl>
    <w:lvl w:ilvl="7">
      <w:start w:val="1"/>
      <w:numFmt w:val="bullet"/>
      <w:lvlText w:val="•"/>
      <w:lvlJc w:val="left"/>
      <w:pPr>
        <w:ind w:left="2249" w:hanging="672"/>
      </w:pPr>
      <w:rPr>
        <w:rFonts w:hint="default"/>
      </w:rPr>
    </w:lvl>
    <w:lvl w:ilvl="8">
      <w:start w:val="1"/>
      <w:numFmt w:val="bullet"/>
      <w:lvlText w:val="•"/>
      <w:lvlJc w:val="left"/>
      <w:pPr>
        <w:ind w:left="2530" w:hanging="672"/>
      </w:pPr>
      <w:rPr>
        <w:rFonts w:hint="default"/>
      </w:rPr>
    </w:lvl>
  </w:abstractNum>
  <w:abstractNum w:abstractNumId="214">
    <w:multiLevelType w:val="hybridMultilevel"/>
    <w:lvl w:ilvl="0">
      <w:start w:val="1"/>
      <w:numFmt w:val="bullet"/>
      <w:lvlText w:val=""/>
      <w:lvlJc w:val="left"/>
      <w:pPr>
        <w:ind w:left="280" w:hanging="233"/>
      </w:pPr>
      <w:rPr>
        <w:rFonts w:hint="default" w:ascii="Wingdings" w:hAnsi="Wingdings" w:eastAsia="Wingdings" w:cs="Wingdings"/>
        <w:w w:val="99"/>
        <w:sz w:val="20"/>
        <w:szCs w:val="20"/>
      </w:rPr>
    </w:lvl>
    <w:lvl w:ilvl="1">
      <w:start w:val="1"/>
      <w:numFmt w:val="bullet"/>
      <w:lvlText w:val="•"/>
      <w:lvlJc w:val="left"/>
      <w:pPr>
        <w:ind w:left="561" w:hanging="233"/>
      </w:pPr>
      <w:rPr>
        <w:rFonts w:hint="default"/>
      </w:rPr>
    </w:lvl>
    <w:lvl w:ilvl="2">
      <w:start w:val="1"/>
      <w:numFmt w:val="bullet"/>
      <w:lvlText w:val="•"/>
      <w:lvlJc w:val="left"/>
      <w:pPr>
        <w:ind w:left="842" w:hanging="233"/>
      </w:pPr>
      <w:rPr>
        <w:rFonts w:hint="default"/>
      </w:rPr>
    </w:lvl>
    <w:lvl w:ilvl="3">
      <w:start w:val="1"/>
      <w:numFmt w:val="bullet"/>
      <w:lvlText w:val="•"/>
      <w:lvlJc w:val="left"/>
      <w:pPr>
        <w:ind w:left="1124" w:hanging="233"/>
      </w:pPr>
      <w:rPr>
        <w:rFonts w:hint="default"/>
      </w:rPr>
    </w:lvl>
    <w:lvl w:ilvl="4">
      <w:start w:val="1"/>
      <w:numFmt w:val="bullet"/>
      <w:lvlText w:val="•"/>
      <w:lvlJc w:val="left"/>
      <w:pPr>
        <w:ind w:left="1405" w:hanging="233"/>
      </w:pPr>
      <w:rPr>
        <w:rFonts w:hint="default"/>
      </w:rPr>
    </w:lvl>
    <w:lvl w:ilvl="5">
      <w:start w:val="1"/>
      <w:numFmt w:val="bullet"/>
      <w:lvlText w:val="•"/>
      <w:lvlJc w:val="left"/>
      <w:pPr>
        <w:ind w:left="1686" w:hanging="233"/>
      </w:pPr>
      <w:rPr>
        <w:rFonts w:hint="default"/>
      </w:rPr>
    </w:lvl>
    <w:lvl w:ilvl="6">
      <w:start w:val="1"/>
      <w:numFmt w:val="bullet"/>
      <w:lvlText w:val="•"/>
      <w:lvlJc w:val="left"/>
      <w:pPr>
        <w:ind w:left="1968" w:hanging="233"/>
      </w:pPr>
      <w:rPr>
        <w:rFonts w:hint="default"/>
      </w:rPr>
    </w:lvl>
    <w:lvl w:ilvl="7">
      <w:start w:val="1"/>
      <w:numFmt w:val="bullet"/>
      <w:lvlText w:val="•"/>
      <w:lvlJc w:val="left"/>
      <w:pPr>
        <w:ind w:left="2249" w:hanging="233"/>
      </w:pPr>
      <w:rPr>
        <w:rFonts w:hint="default"/>
      </w:rPr>
    </w:lvl>
    <w:lvl w:ilvl="8">
      <w:start w:val="1"/>
      <w:numFmt w:val="bullet"/>
      <w:lvlText w:val="•"/>
      <w:lvlJc w:val="left"/>
      <w:pPr>
        <w:ind w:left="2530" w:hanging="233"/>
      </w:pPr>
      <w:rPr>
        <w:rFonts w:hint="default"/>
      </w:rPr>
    </w:lvl>
  </w:abstractNum>
  <w:abstractNum w:abstractNumId="21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1" w:hanging="672"/>
      </w:pPr>
      <w:rPr>
        <w:rFonts w:hint="default"/>
      </w:rPr>
    </w:lvl>
    <w:lvl w:ilvl="2">
      <w:start w:val="1"/>
      <w:numFmt w:val="bullet"/>
      <w:lvlText w:val="•"/>
      <w:lvlJc w:val="left"/>
      <w:pPr>
        <w:ind w:left="842" w:hanging="672"/>
      </w:pPr>
      <w:rPr>
        <w:rFonts w:hint="default"/>
      </w:rPr>
    </w:lvl>
    <w:lvl w:ilvl="3">
      <w:start w:val="1"/>
      <w:numFmt w:val="bullet"/>
      <w:lvlText w:val="•"/>
      <w:lvlJc w:val="left"/>
      <w:pPr>
        <w:ind w:left="1124" w:hanging="672"/>
      </w:pPr>
      <w:rPr>
        <w:rFonts w:hint="default"/>
      </w:rPr>
    </w:lvl>
    <w:lvl w:ilvl="4">
      <w:start w:val="1"/>
      <w:numFmt w:val="bullet"/>
      <w:lvlText w:val="•"/>
      <w:lvlJc w:val="left"/>
      <w:pPr>
        <w:ind w:left="1405" w:hanging="672"/>
      </w:pPr>
      <w:rPr>
        <w:rFonts w:hint="default"/>
      </w:rPr>
    </w:lvl>
    <w:lvl w:ilvl="5">
      <w:start w:val="1"/>
      <w:numFmt w:val="bullet"/>
      <w:lvlText w:val="•"/>
      <w:lvlJc w:val="left"/>
      <w:pPr>
        <w:ind w:left="1686" w:hanging="672"/>
      </w:pPr>
      <w:rPr>
        <w:rFonts w:hint="default"/>
      </w:rPr>
    </w:lvl>
    <w:lvl w:ilvl="6">
      <w:start w:val="1"/>
      <w:numFmt w:val="bullet"/>
      <w:lvlText w:val="•"/>
      <w:lvlJc w:val="left"/>
      <w:pPr>
        <w:ind w:left="1968" w:hanging="672"/>
      </w:pPr>
      <w:rPr>
        <w:rFonts w:hint="default"/>
      </w:rPr>
    </w:lvl>
    <w:lvl w:ilvl="7">
      <w:start w:val="1"/>
      <w:numFmt w:val="bullet"/>
      <w:lvlText w:val="•"/>
      <w:lvlJc w:val="left"/>
      <w:pPr>
        <w:ind w:left="2249" w:hanging="672"/>
      </w:pPr>
      <w:rPr>
        <w:rFonts w:hint="default"/>
      </w:rPr>
    </w:lvl>
    <w:lvl w:ilvl="8">
      <w:start w:val="1"/>
      <w:numFmt w:val="bullet"/>
      <w:lvlText w:val="•"/>
      <w:lvlJc w:val="left"/>
      <w:pPr>
        <w:ind w:left="2530" w:hanging="672"/>
      </w:pPr>
      <w:rPr>
        <w:rFonts w:hint="default"/>
      </w:rPr>
    </w:lvl>
  </w:abstractNum>
  <w:abstractNum w:abstractNumId="21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1" w:hanging="672"/>
      </w:pPr>
      <w:rPr>
        <w:rFonts w:hint="default"/>
      </w:rPr>
    </w:lvl>
    <w:lvl w:ilvl="2">
      <w:start w:val="1"/>
      <w:numFmt w:val="bullet"/>
      <w:lvlText w:val="•"/>
      <w:lvlJc w:val="left"/>
      <w:pPr>
        <w:ind w:left="842" w:hanging="672"/>
      </w:pPr>
      <w:rPr>
        <w:rFonts w:hint="default"/>
      </w:rPr>
    </w:lvl>
    <w:lvl w:ilvl="3">
      <w:start w:val="1"/>
      <w:numFmt w:val="bullet"/>
      <w:lvlText w:val="•"/>
      <w:lvlJc w:val="left"/>
      <w:pPr>
        <w:ind w:left="1124" w:hanging="672"/>
      </w:pPr>
      <w:rPr>
        <w:rFonts w:hint="default"/>
      </w:rPr>
    </w:lvl>
    <w:lvl w:ilvl="4">
      <w:start w:val="1"/>
      <w:numFmt w:val="bullet"/>
      <w:lvlText w:val="•"/>
      <w:lvlJc w:val="left"/>
      <w:pPr>
        <w:ind w:left="1405" w:hanging="672"/>
      </w:pPr>
      <w:rPr>
        <w:rFonts w:hint="default"/>
      </w:rPr>
    </w:lvl>
    <w:lvl w:ilvl="5">
      <w:start w:val="1"/>
      <w:numFmt w:val="bullet"/>
      <w:lvlText w:val="•"/>
      <w:lvlJc w:val="left"/>
      <w:pPr>
        <w:ind w:left="1686" w:hanging="672"/>
      </w:pPr>
      <w:rPr>
        <w:rFonts w:hint="default"/>
      </w:rPr>
    </w:lvl>
    <w:lvl w:ilvl="6">
      <w:start w:val="1"/>
      <w:numFmt w:val="bullet"/>
      <w:lvlText w:val="•"/>
      <w:lvlJc w:val="left"/>
      <w:pPr>
        <w:ind w:left="1968" w:hanging="672"/>
      </w:pPr>
      <w:rPr>
        <w:rFonts w:hint="default"/>
      </w:rPr>
    </w:lvl>
    <w:lvl w:ilvl="7">
      <w:start w:val="1"/>
      <w:numFmt w:val="bullet"/>
      <w:lvlText w:val="•"/>
      <w:lvlJc w:val="left"/>
      <w:pPr>
        <w:ind w:left="2249" w:hanging="672"/>
      </w:pPr>
      <w:rPr>
        <w:rFonts w:hint="default"/>
      </w:rPr>
    </w:lvl>
    <w:lvl w:ilvl="8">
      <w:start w:val="1"/>
      <w:numFmt w:val="bullet"/>
      <w:lvlText w:val="•"/>
      <w:lvlJc w:val="left"/>
      <w:pPr>
        <w:ind w:left="2530" w:hanging="672"/>
      </w:pPr>
      <w:rPr>
        <w:rFonts w:hint="default"/>
      </w:rPr>
    </w:lvl>
  </w:abstractNum>
  <w:abstractNum w:abstractNumId="211">
    <w:multiLevelType w:val="hybridMultilevel"/>
    <w:lvl w:ilvl="0">
      <w:start w:val="1"/>
      <w:numFmt w:val="bullet"/>
      <w:lvlText w:val="-"/>
      <w:lvlJc w:val="left"/>
      <w:pPr>
        <w:ind w:left="103" w:hanging="144"/>
      </w:pPr>
      <w:rPr>
        <w:rFonts w:hint="default" w:ascii="Arial" w:hAnsi="Arial" w:eastAsia="Arial" w:cs="Arial"/>
        <w:w w:val="100"/>
        <w:sz w:val="22"/>
        <w:szCs w:val="22"/>
      </w:rPr>
    </w:lvl>
    <w:lvl w:ilvl="1">
      <w:start w:val="1"/>
      <w:numFmt w:val="bullet"/>
      <w:lvlText w:val="•"/>
      <w:lvlJc w:val="left"/>
      <w:pPr>
        <w:ind w:left="1378" w:hanging="144"/>
      </w:pPr>
      <w:rPr>
        <w:rFonts w:hint="default"/>
      </w:rPr>
    </w:lvl>
    <w:lvl w:ilvl="2">
      <w:start w:val="1"/>
      <w:numFmt w:val="bullet"/>
      <w:lvlText w:val="•"/>
      <w:lvlJc w:val="left"/>
      <w:pPr>
        <w:ind w:left="2657" w:hanging="144"/>
      </w:pPr>
      <w:rPr>
        <w:rFonts w:hint="default"/>
      </w:rPr>
    </w:lvl>
    <w:lvl w:ilvl="3">
      <w:start w:val="1"/>
      <w:numFmt w:val="bullet"/>
      <w:lvlText w:val="•"/>
      <w:lvlJc w:val="left"/>
      <w:pPr>
        <w:ind w:left="3936" w:hanging="144"/>
      </w:pPr>
      <w:rPr>
        <w:rFonts w:hint="default"/>
      </w:rPr>
    </w:lvl>
    <w:lvl w:ilvl="4">
      <w:start w:val="1"/>
      <w:numFmt w:val="bullet"/>
      <w:lvlText w:val="•"/>
      <w:lvlJc w:val="left"/>
      <w:pPr>
        <w:ind w:left="5215" w:hanging="144"/>
      </w:pPr>
      <w:rPr>
        <w:rFonts w:hint="default"/>
      </w:rPr>
    </w:lvl>
    <w:lvl w:ilvl="5">
      <w:start w:val="1"/>
      <w:numFmt w:val="bullet"/>
      <w:lvlText w:val="•"/>
      <w:lvlJc w:val="left"/>
      <w:pPr>
        <w:ind w:left="6493" w:hanging="144"/>
      </w:pPr>
      <w:rPr>
        <w:rFonts w:hint="default"/>
      </w:rPr>
    </w:lvl>
    <w:lvl w:ilvl="6">
      <w:start w:val="1"/>
      <w:numFmt w:val="bullet"/>
      <w:lvlText w:val="•"/>
      <w:lvlJc w:val="left"/>
      <w:pPr>
        <w:ind w:left="7772" w:hanging="144"/>
      </w:pPr>
      <w:rPr>
        <w:rFonts w:hint="default"/>
      </w:rPr>
    </w:lvl>
    <w:lvl w:ilvl="7">
      <w:start w:val="1"/>
      <w:numFmt w:val="bullet"/>
      <w:lvlText w:val="•"/>
      <w:lvlJc w:val="left"/>
      <w:pPr>
        <w:ind w:left="9051" w:hanging="144"/>
      </w:pPr>
      <w:rPr>
        <w:rFonts w:hint="default"/>
      </w:rPr>
    </w:lvl>
    <w:lvl w:ilvl="8">
      <w:start w:val="1"/>
      <w:numFmt w:val="bullet"/>
      <w:lvlText w:val="•"/>
      <w:lvlJc w:val="left"/>
      <w:pPr>
        <w:ind w:left="10330" w:hanging="144"/>
      </w:pPr>
      <w:rPr>
        <w:rFonts w:hint="default"/>
      </w:rPr>
    </w:lvl>
  </w:abstractNum>
  <w:abstractNum w:abstractNumId="210">
    <w:multiLevelType w:val="hybridMultilevel"/>
    <w:lvl w:ilvl="0">
      <w:start w:val="1"/>
      <w:numFmt w:val="bullet"/>
      <w:lvlText w:val="-"/>
      <w:lvlJc w:val="left"/>
      <w:pPr>
        <w:ind w:left="27" w:hanging="142"/>
      </w:pPr>
      <w:rPr>
        <w:rFonts w:hint="default" w:ascii="Arial" w:hAnsi="Arial" w:eastAsia="Arial" w:cs="Arial"/>
        <w:w w:val="100"/>
        <w:sz w:val="22"/>
        <w:szCs w:val="22"/>
      </w:rPr>
    </w:lvl>
    <w:lvl w:ilvl="1">
      <w:start w:val="1"/>
      <w:numFmt w:val="bullet"/>
      <w:lvlText w:val="•"/>
      <w:lvlJc w:val="left"/>
      <w:pPr>
        <w:ind w:left="1299" w:hanging="142"/>
      </w:pPr>
      <w:rPr>
        <w:rFonts w:hint="default"/>
      </w:rPr>
    </w:lvl>
    <w:lvl w:ilvl="2">
      <w:start w:val="1"/>
      <w:numFmt w:val="bullet"/>
      <w:lvlText w:val="•"/>
      <w:lvlJc w:val="left"/>
      <w:pPr>
        <w:ind w:left="2578" w:hanging="142"/>
      </w:pPr>
      <w:rPr>
        <w:rFonts w:hint="default"/>
      </w:rPr>
    </w:lvl>
    <w:lvl w:ilvl="3">
      <w:start w:val="1"/>
      <w:numFmt w:val="bullet"/>
      <w:lvlText w:val="•"/>
      <w:lvlJc w:val="left"/>
      <w:pPr>
        <w:ind w:left="3857" w:hanging="142"/>
      </w:pPr>
      <w:rPr>
        <w:rFonts w:hint="default"/>
      </w:rPr>
    </w:lvl>
    <w:lvl w:ilvl="4">
      <w:start w:val="1"/>
      <w:numFmt w:val="bullet"/>
      <w:lvlText w:val="•"/>
      <w:lvlJc w:val="left"/>
      <w:pPr>
        <w:ind w:left="5136" w:hanging="142"/>
      </w:pPr>
      <w:rPr>
        <w:rFonts w:hint="default"/>
      </w:rPr>
    </w:lvl>
    <w:lvl w:ilvl="5">
      <w:start w:val="1"/>
      <w:numFmt w:val="bullet"/>
      <w:lvlText w:val="•"/>
      <w:lvlJc w:val="left"/>
      <w:pPr>
        <w:ind w:left="6416" w:hanging="142"/>
      </w:pPr>
      <w:rPr>
        <w:rFonts w:hint="default"/>
      </w:rPr>
    </w:lvl>
    <w:lvl w:ilvl="6">
      <w:start w:val="1"/>
      <w:numFmt w:val="bullet"/>
      <w:lvlText w:val="•"/>
      <w:lvlJc w:val="left"/>
      <w:pPr>
        <w:ind w:left="7695" w:hanging="142"/>
      </w:pPr>
      <w:rPr>
        <w:rFonts w:hint="default"/>
      </w:rPr>
    </w:lvl>
    <w:lvl w:ilvl="7">
      <w:start w:val="1"/>
      <w:numFmt w:val="bullet"/>
      <w:lvlText w:val="•"/>
      <w:lvlJc w:val="left"/>
      <w:pPr>
        <w:ind w:left="8974" w:hanging="142"/>
      </w:pPr>
      <w:rPr>
        <w:rFonts w:hint="default"/>
      </w:rPr>
    </w:lvl>
    <w:lvl w:ilvl="8">
      <w:start w:val="1"/>
      <w:numFmt w:val="bullet"/>
      <w:lvlText w:val="•"/>
      <w:lvlJc w:val="left"/>
      <w:pPr>
        <w:ind w:left="10253" w:hanging="142"/>
      </w:pPr>
      <w:rPr>
        <w:rFonts w:hint="default"/>
      </w:rPr>
    </w:lvl>
  </w:abstractNum>
  <w:abstractNum w:abstractNumId="20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7" w:hanging="672"/>
      </w:pPr>
      <w:rPr>
        <w:rFonts w:hint="default"/>
      </w:rPr>
    </w:lvl>
    <w:lvl w:ilvl="2">
      <w:start w:val="1"/>
      <w:numFmt w:val="bullet"/>
      <w:lvlText w:val="•"/>
      <w:lvlJc w:val="left"/>
      <w:pPr>
        <w:ind w:left="815" w:hanging="672"/>
      </w:pPr>
      <w:rPr>
        <w:rFonts w:hint="default"/>
      </w:rPr>
    </w:lvl>
    <w:lvl w:ilvl="3">
      <w:start w:val="1"/>
      <w:numFmt w:val="bullet"/>
      <w:lvlText w:val="•"/>
      <w:lvlJc w:val="left"/>
      <w:pPr>
        <w:ind w:left="1083" w:hanging="672"/>
      </w:pPr>
      <w:rPr>
        <w:rFonts w:hint="default"/>
      </w:rPr>
    </w:lvl>
    <w:lvl w:ilvl="4">
      <w:start w:val="1"/>
      <w:numFmt w:val="bullet"/>
      <w:lvlText w:val="•"/>
      <w:lvlJc w:val="left"/>
      <w:pPr>
        <w:ind w:left="1350" w:hanging="672"/>
      </w:pPr>
      <w:rPr>
        <w:rFonts w:hint="default"/>
      </w:rPr>
    </w:lvl>
    <w:lvl w:ilvl="5">
      <w:start w:val="1"/>
      <w:numFmt w:val="bullet"/>
      <w:lvlText w:val="•"/>
      <w:lvlJc w:val="left"/>
      <w:pPr>
        <w:ind w:left="1618" w:hanging="672"/>
      </w:pPr>
      <w:rPr>
        <w:rFonts w:hint="default"/>
      </w:rPr>
    </w:lvl>
    <w:lvl w:ilvl="6">
      <w:start w:val="1"/>
      <w:numFmt w:val="bullet"/>
      <w:lvlText w:val="•"/>
      <w:lvlJc w:val="left"/>
      <w:pPr>
        <w:ind w:left="1886" w:hanging="672"/>
      </w:pPr>
      <w:rPr>
        <w:rFonts w:hint="default"/>
      </w:rPr>
    </w:lvl>
    <w:lvl w:ilvl="7">
      <w:start w:val="1"/>
      <w:numFmt w:val="bullet"/>
      <w:lvlText w:val="•"/>
      <w:lvlJc w:val="left"/>
      <w:pPr>
        <w:ind w:left="2153" w:hanging="672"/>
      </w:pPr>
      <w:rPr>
        <w:rFonts w:hint="default"/>
      </w:rPr>
    </w:lvl>
    <w:lvl w:ilvl="8">
      <w:start w:val="1"/>
      <w:numFmt w:val="bullet"/>
      <w:lvlText w:val="•"/>
      <w:lvlJc w:val="left"/>
      <w:pPr>
        <w:ind w:left="2421" w:hanging="672"/>
      </w:pPr>
      <w:rPr>
        <w:rFonts w:hint="default"/>
      </w:rPr>
    </w:lvl>
  </w:abstractNum>
  <w:abstractNum w:abstractNumId="20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7" w:hanging="672"/>
      </w:pPr>
      <w:rPr>
        <w:rFonts w:hint="default"/>
      </w:rPr>
    </w:lvl>
    <w:lvl w:ilvl="2">
      <w:start w:val="1"/>
      <w:numFmt w:val="bullet"/>
      <w:lvlText w:val="•"/>
      <w:lvlJc w:val="left"/>
      <w:pPr>
        <w:ind w:left="815" w:hanging="672"/>
      </w:pPr>
      <w:rPr>
        <w:rFonts w:hint="default"/>
      </w:rPr>
    </w:lvl>
    <w:lvl w:ilvl="3">
      <w:start w:val="1"/>
      <w:numFmt w:val="bullet"/>
      <w:lvlText w:val="•"/>
      <w:lvlJc w:val="left"/>
      <w:pPr>
        <w:ind w:left="1083" w:hanging="672"/>
      </w:pPr>
      <w:rPr>
        <w:rFonts w:hint="default"/>
      </w:rPr>
    </w:lvl>
    <w:lvl w:ilvl="4">
      <w:start w:val="1"/>
      <w:numFmt w:val="bullet"/>
      <w:lvlText w:val="•"/>
      <w:lvlJc w:val="left"/>
      <w:pPr>
        <w:ind w:left="1350" w:hanging="672"/>
      </w:pPr>
      <w:rPr>
        <w:rFonts w:hint="default"/>
      </w:rPr>
    </w:lvl>
    <w:lvl w:ilvl="5">
      <w:start w:val="1"/>
      <w:numFmt w:val="bullet"/>
      <w:lvlText w:val="•"/>
      <w:lvlJc w:val="left"/>
      <w:pPr>
        <w:ind w:left="1618" w:hanging="672"/>
      </w:pPr>
      <w:rPr>
        <w:rFonts w:hint="default"/>
      </w:rPr>
    </w:lvl>
    <w:lvl w:ilvl="6">
      <w:start w:val="1"/>
      <w:numFmt w:val="bullet"/>
      <w:lvlText w:val="•"/>
      <w:lvlJc w:val="left"/>
      <w:pPr>
        <w:ind w:left="1886" w:hanging="672"/>
      </w:pPr>
      <w:rPr>
        <w:rFonts w:hint="default"/>
      </w:rPr>
    </w:lvl>
    <w:lvl w:ilvl="7">
      <w:start w:val="1"/>
      <w:numFmt w:val="bullet"/>
      <w:lvlText w:val="•"/>
      <w:lvlJc w:val="left"/>
      <w:pPr>
        <w:ind w:left="2153" w:hanging="672"/>
      </w:pPr>
      <w:rPr>
        <w:rFonts w:hint="default"/>
      </w:rPr>
    </w:lvl>
    <w:lvl w:ilvl="8">
      <w:start w:val="1"/>
      <w:numFmt w:val="bullet"/>
      <w:lvlText w:val="•"/>
      <w:lvlJc w:val="left"/>
      <w:pPr>
        <w:ind w:left="2421" w:hanging="672"/>
      </w:pPr>
      <w:rPr>
        <w:rFonts w:hint="default"/>
      </w:rPr>
    </w:lvl>
  </w:abstractNum>
  <w:abstractNum w:abstractNumId="20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7" w:hanging="672"/>
      </w:pPr>
      <w:rPr>
        <w:rFonts w:hint="default"/>
      </w:rPr>
    </w:lvl>
    <w:lvl w:ilvl="2">
      <w:start w:val="1"/>
      <w:numFmt w:val="bullet"/>
      <w:lvlText w:val="•"/>
      <w:lvlJc w:val="left"/>
      <w:pPr>
        <w:ind w:left="815" w:hanging="672"/>
      </w:pPr>
      <w:rPr>
        <w:rFonts w:hint="default"/>
      </w:rPr>
    </w:lvl>
    <w:lvl w:ilvl="3">
      <w:start w:val="1"/>
      <w:numFmt w:val="bullet"/>
      <w:lvlText w:val="•"/>
      <w:lvlJc w:val="left"/>
      <w:pPr>
        <w:ind w:left="1083" w:hanging="672"/>
      </w:pPr>
      <w:rPr>
        <w:rFonts w:hint="default"/>
      </w:rPr>
    </w:lvl>
    <w:lvl w:ilvl="4">
      <w:start w:val="1"/>
      <w:numFmt w:val="bullet"/>
      <w:lvlText w:val="•"/>
      <w:lvlJc w:val="left"/>
      <w:pPr>
        <w:ind w:left="1350" w:hanging="672"/>
      </w:pPr>
      <w:rPr>
        <w:rFonts w:hint="default"/>
      </w:rPr>
    </w:lvl>
    <w:lvl w:ilvl="5">
      <w:start w:val="1"/>
      <w:numFmt w:val="bullet"/>
      <w:lvlText w:val="•"/>
      <w:lvlJc w:val="left"/>
      <w:pPr>
        <w:ind w:left="1618" w:hanging="672"/>
      </w:pPr>
      <w:rPr>
        <w:rFonts w:hint="default"/>
      </w:rPr>
    </w:lvl>
    <w:lvl w:ilvl="6">
      <w:start w:val="1"/>
      <w:numFmt w:val="bullet"/>
      <w:lvlText w:val="•"/>
      <w:lvlJc w:val="left"/>
      <w:pPr>
        <w:ind w:left="1886" w:hanging="672"/>
      </w:pPr>
      <w:rPr>
        <w:rFonts w:hint="default"/>
      </w:rPr>
    </w:lvl>
    <w:lvl w:ilvl="7">
      <w:start w:val="1"/>
      <w:numFmt w:val="bullet"/>
      <w:lvlText w:val="•"/>
      <w:lvlJc w:val="left"/>
      <w:pPr>
        <w:ind w:left="2153" w:hanging="672"/>
      </w:pPr>
      <w:rPr>
        <w:rFonts w:hint="default"/>
      </w:rPr>
    </w:lvl>
    <w:lvl w:ilvl="8">
      <w:start w:val="1"/>
      <w:numFmt w:val="bullet"/>
      <w:lvlText w:val="•"/>
      <w:lvlJc w:val="left"/>
      <w:pPr>
        <w:ind w:left="2421" w:hanging="672"/>
      </w:pPr>
      <w:rPr>
        <w:rFonts w:hint="default"/>
      </w:rPr>
    </w:lvl>
  </w:abstractNum>
  <w:abstractNum w:abstractNumId="20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7" w:hanging="672"/>
      </w:pPr>
      <w:rPr>
        <w:rFonts w:hint="default"/>
      </w:rPr>
    </w:lvl>
    <w:lvl w:ilvl="2">
      <w:start w:val="1"/>
      <w:numFmt w:val="bullet"/>
      <w:lvlText w:val="•"/>
      <w:lvlJc w:val="left"/>
      <w:pPr>
        <w:ind w:left="815" w:hanging="672"/>
      </w:pPr>
      <w:rPr>
        <w:rFonts w:hint="default"/>
      </w:rPr>
    </w:lvl>
    <w:lvl w:ilvl="3">
      <w:start w:val="1"/>
      <w:numFmt w:val="bullet"/>
      <w:lvlText w:val="•"/>
      <w:lvlJc w:val="left"/>
      <w:pPr>
        <w:ind w:left="1083" w:hanging="672"/>
      </w:pPr>
      <w:rPr>
        <w:rFonts w:hint="default"/>
      </w:rPr>
    </w:lvl>
    <w:lvl w:ilvl="4">
      <w:start w:val="1"/>
      <w:numFmt w:val="bullet"/>
      <w:lvlText w:val="•"/>
      <w:lvlJc w:val="left"/>
      <w:pPr>
        <w:ind w:left="1350" w:hanging="672"/>
      </w:pPr>
      <w:rPr>
        <w:rFonts w:hint="default"/>
      </w:rPr>
    </w:lvl>
    <w:lvl w:ilvl="5">
      <w:start w:val="1"/>
      <w:numFmt w:val="bullet"/>
      <w:lvlText w:val="•"/>
      <w:lvlJc w:val="left"/>
      <w:pPr>
        <w:ind w:left="1618" w:hanging="672"/>
      </w:pPr>
      <w:rPr>
        <w:rFonts w:hint="default"/>
      </w:rPr>
    </w:lvl>
    <w:lvl w:ilvl="6">
      <w:start w:val="1"/>
      <w:numFmt w:val="bullet"/>
      <w:lvlText w:val="•"/>
      <w:lvlJc w:val="left"/>
      <w:pPr>
        <w:ind w:left="1886" w:hanging="672"/>
      </w:pPr>
      <w:rPr>
        <w:rFonts w:hint="default"/>
      </w:rPr>
    </w:lvl>
    <w:lvl w:ilvl="7">
      <w:start w:val="1"/>
      <w:numFmt w:val="bullet"/>
      <w:lvlText w:val="•"/>
      <w:lvlJc w:val="left"/>
      <w:pPr>
        <w:ind w:left="2153" w:hanging="672"/>
      </w:pPr>
      <w:rPr>
        <w:rFonts w:hint="default"/>
      </w:rPr>
    </w:lvl>
    <w:lvl w:ilvl="8">
      <w:start w:val="1"/>
      <w:numFmt w:val="bullet"/>
      <w:lvlText w:val="•"/>
      <w:lvlJc w:val="left"/>
      <w:pPr>
        <w:ind w:left="2421" w:hanging="672"/>
      </w:pPr>
      <w:rPr>
        <w:rFonts w:hint="default"/>
      </w:rPr>
    </w:lvl>
  </w:abstractNum>
  <w:abstractNum w:abstractNumId="20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7" w:hanging="672"/>
      </w:pPr>
      <w:rPr>
        <w:rFonts w:hint="default"/>
      </w:rPr>
    </w:lvl>
    <w:lvl w:ilvl="2">
      <w:start w:val="1"/>
      <w:numFmt w:val="bullet"/>
      <w:lvlText w:val="•"/>
      <w:lvlJc w:val="left"/>
      <w:pPr>
        <w:ind w:left="815" w:hanging="672"/>
      </w:pPr>
      <w:rPr>
        <w:rFonts w:hint="default"/>
      </w:rPr>
    </w:lvl>
    <w:lvl w:ilvl="3">
      <w:start w:val="1"/>
      <w:numFmt w:val="bullet"/>
      <w:lvlText w:val="•"/>
      <w:lvlJc w:val="left"/>
      <w:pPr>
        <w:ind w:left="1083" w:hanging="672"/>
      </w:pPr>
      <w:rPr>
        <w:rFonts w:hint="default"/>
      </w:rPr>
    </w:lvl>
    <w:lvl w:ilvl="4">
      <w:start w:val="1"/>
      <w:numFmt w:val="bullet"/>
      <w:lvlText w:val="•"/>
      <w:lvlJc w:val="left"/>
      <w:pPr>
        <w:ind w:left="1350" w:hanging="672"/>
      </w:pPr>
      <w:rPr>
        <w:rFonts w:hint="default"/>
      </w:rPr>
    </w:lvl>
    <w:lvl w:ilvl="5">
      <w:start w:val="1"/>
      <w:numFmt w:val="bullet"/>
      <w:lvlText w:val="•"/>
      <w:lvlJc w:val="left"/>
      <w:pPr>
        <w:ind w:left="1618" w:hanging="672"/>
      </w:pPr>
      <w:rPr>
        <w:rFonts w:hint="default"/>
      </w:rPr>
    </w:lvl>
    <w:lvl w:ilvl="6">
      <w:start w:val="1"/>
      <w:numFmt w:val="bullet"/>
      <w:lvlText w:val="•"/>
      <w:lvlJc w:val="left"/>
      <w:pPr>
        <w:ind w:left="1886" w:hanging="672"/>
      </w:pPr>
      <w:rPr>
        <w:rFonts w:hint="default"/>
      </w:rPr>
    </w:lvl>
    <w:lvl w:ilvl="7">
      <w:start w:val="1"/>
      <w:numFmt w:val="bullet"/>
      <w:lvlText w:val="•"/>
      <w:lvlJc w:val="left"/>
      <w:pPr>
        <w:ind w:left="2153" w:hanging="672"/>
      </w:pPr>
      <w:rPr>
        <w:rFonts w:hint="default"/>
      </w:rPr>
    </w:lvl>
    <w:lvl w:ilvl="8">
      <w:start w:val="1"/>
      <w:numFmt w:val="bullet"/>
      <w:lvlText w:val="•"/>
      <w:lvlJc w:val="left"/>
      <w:pPr>
        <w:ind w:left="2421" w:hanging="672"/>
      </w:pPr>
      <w:rPr>
        <w:rFonts w:hint="default"/>
      </w:rPr>
    </w:lvl>
  </w:abstractNum>
  <w:abstractNum w:abstractNumId="20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7" w:hanging="672"/>
      </w:pPr>
      <w:rPr>
        <w:rFonts w:hint="default"/>
      </w:rPr>
    </w:lvl>
    <w:lvl w:ilvl="2">
      <w:start w:val="1"/>
      <w:numFmt w:val="bullet"/>
      <w:lvlText w:val="•"/>
      <w:lvlJc w:val="left"/>
      <w:pPr>
        <w:ind w:left="815" w:hanging="672"/>
      </w:pPr>
      <w:rPr>
        <w:rFonts w:hint="default"/>
      </w:rPr>
    </w:lvl>
    <w:lvl w:ilvl="3">
      <w:start w:val="1"/>
      <w:numFmt w:val="bullet"/>
      <w:lvlText w:val="•"/>
      <w:lvlJc w:val="left"/>
      <w:pPr>
        <w:ind w:left="1083" w:hanging="672"/>
      </w:pPr>
      <w:rPr>
        <w:rFonts w:hint="default"/>
      </w:rPr>
    </w:lvl>
    <w:lvl w:ilvl="4">
      <w:start w:val="1"/>
      <w:numFmt w:val="bullet"/>
      <w:lvlText w:val="•"/>
      <w:lvlJc w:val="left"/>
      <w:pPr>
        <w:ind w:left="1350" w:hanging="672"/>
      </w:pPr>
      <w:rPr>
        <w:rFonts w:hint="default"/>
      </w:rPr>
    </w:lvl>
    <w:lvl w:ilvl="5">
      <w:start w:val="1"/>
      <w:numFmt w:val="bullet"/>
      <w:lvlText w:val="•"/>
      <w:lvlJc w:val="left"/>
      <w:pPr>
        <w:ind w:left="1618" w:hanging="672"/>
      </w:pPr>
      <w:rPr>
        <w:rFonts w:hint="default"/>
      </w:rPr>
    </w:lvl>
    <w:lvl w:ilvl="6">
      <w:start w:val="1"/>
      <w:numFmt w:val="bullet"/>
      <w:lvlText w:val="•"/>
      <w:lvlJc w:val="left"/>
      <w:pPr>
        <w:ind w:left="1886" w:hanging="672"/>
      </w:pPr>
      <w:rPr>
        <w:rFonts w:hint="default"/>
      </w:rPr>
    </w:lvl>
    <w:lvl w:ilvl="7">
      <w:start w:val="1"/>
      <w:numFmt w:val="bullet"/>
      <w:lvlText w:val="•"/>
      <w:lvlJc w:val="left"/>
      <w:pPr>
        <w:ind w:left="2153" w:hanging="672"/>
      </w:pPr>
      <w:rPr>
        <w:rFonts w:hint="default"/>
      </w:rPr>
    </w:lvl>
    <w:lvl w:ilvl="8">
      <w:start w:val="1"/>
      <w:numFmt w:val="bullet"/>
      <w:lvlText w:val="•"/>
      <w:lvlJc w:val="left"/>
      <w:pPr>
        <w:ind w:left="2421" w:hanging="672"/>
      </w:pPr>
      <w:rPr>
        <w:rFonts w:hint="default"/>
      </w:rPr>
    </w:lvl>
  </w:abstractNum>
  <w:abstractNum w:abstractNumId="20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7" w:hanging="672"/>
      </w:pPr>
      <w:rPr>
        <w:rFonts w:hint="default"/>
      </w:rPr>
    </w:lvl>
    <w:lvl w:ilvl="2">
      <w:start w:val="1"/>
      <w:numFmt w:val="bullet"/>
      <w:lvlText w:val="•"/>
      <w:lvlJc w:val="left"/>
      <w:pPr>
        <w:ind w:left="815" w:hanging="672"/>
      </w:pPr>
      <w:rPr>
        <w:rFonts w:hint="default"/>
      </w:rPr>
    </w:lvl>
    <w:lvl w:ilvl="3">
      <w:start w:val="1"/>
      <w:numFmt w:val="bullet"/>
      <w:lvlText w:val="•"/>
      <w:lvlJc w:val="left"/>
      <w:pPr>
        <w:ind w:left="1083" w:hanging="672"/>
      </w:pPr>
      <w:rPr>
        <w:rFonts w:hint="default"/>
      </w:rPr>
    </w:lvl>
    <w:lvl w:ilvl="4">
      <w:start w:val="1"/>
      <w:numFmt w:val="bullet"/>
      <w:lvlText w:val="•"/>
      <w:lvlJc w:val="left"/>
      <w:pPr>
        <w:ind w:left="1350" w:hanging="672"/>
      </w:pPr>
      <w:rPr>
        <w:rFonts w:hint="default"/>
      </w:rPr>
    </w:lvl>
    <w:lvl w:ilvl="5">
      <w:start w:val="1"/>
      <w:numFmt w:val="bullet"/>
      <w:lvlText w:val="•"/>
      <w:lvlJc w:val="left"/>
      <w:pPr>
        <w:ind w:left="1618" w:hanging="672"/>
      </w:pPr>
      <w:rPr>
        <w:rFonts w:hint="default"/>
      </w:rPr>
    </w:lvl>
    <w:lvl w:ilvl="6">
      <w:start w:val="1"/>
      <w:numFmt w:val="bullet"/>
      <w:lvlText w:val="•"/>
      <w:lvlJc w:val="left"/>
      <w:pPr>
        <w:ind w:left="1886" w:hanging="672"/>
      </w:pPr>
      <w:rPr>
        <w:rFonts w:hint="default"/>
      </w:rPr>
    </w:lvl>
    <w:lvl w:ilvl="7">
      <w:start w:val="1"/>
      <w:numFmt w:val="bullet"/>
      <w:lvlText w:val="•"/>
      <w:lvlJc w:val="left"/>
      <w:pPr>
        <w:ind w:left="2153" w:hanging="672"/>
      </w:pPr>
      <w:rPr>
        <w:rFonts w:hint="default"/>
      </w:rPr>
    </w:lvl>
    <w:lvl w:ilvl="8">
      <w:start w:val="1"/>
      <w:numFmt w:val="bullet"/>
      <w:lvlText w:val="•"/>
      <w:lvlJc w:val="left"/>
      <w:pPr>
        <w:ind w:left="2421" w:hanging="672"/>
      </w:pPr>
      <w:rPr>
        <w:rFonts w:hint="default"/>
      </w:rPr>
    </w:lvl>
  </w:abstractNum>
  <w:abstractNum w:abstractNumId="20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7" w:hanging="672"/>
      </w:pPr>
      <w:rPr>
        <w:rFonts w:hint="default"/>
      </w:rPr>
    </w:lvl>
    <w:lvl w:ilvl="2">
      <w:start w:val="1"/>
      <w:numFmt w:val="bullet"/>
      <w:lvlText w:val="•"/>
      <w:lvlJc w:val="left"/>
      <w:pPr>
        <w:ind w:left="815" w:hanging="672"/>
      </w:pPr>
      <w:rPr>
        <w:rFonts w:hint="default"/>
      </w:rPr>
    </w:lvl>
    <w:lvl w:ilvl="3">
      <w:start w:val="1"/>
      <w:numFmt w:val="bullet"/>
      <w:lvlText w:val="•"/>
      <w:lvlJc w:val="left"/>
      <w:pPr>
        <w:ind w:left="1083" w:hanging="672"/>
      </w:pPr>
      <w:rPr>
        <w:rFonts w:hint="default"/>
      </w:rPr>
    </w:lvl>
    <w:lvl w:ilvl="4">
      <w:start w:val="1"/>
      <w:numFmt w:val="bullet"/>
      <w:lvlText w:val="•"/>
      <w:lvlJc w:val="left"/>
      <w:pPr>
        <w:ind w:left="1350" w:hanging="672"/>
      </w:pPr>
      <w:rPr>
        <w:rFonts w:hint="default"/>
      </w:rPr>
    </w:lvl>
    <w:lvl w:ilvl="5">
      <w:start w:val="1"/>
      <w:numFmt w:val="bullet"/>
      <w:lvlText w:val="•"/>
      <w:lvlJc w:val="left"/>
      <w:pPr>
        <w:ind w:left="1618" w:hanging="672"/>
      </w:pPr>
      <w:rPr>
        <w:rFonts w:hint="default"/>
      </w:rPr>
    </w:lvl>
    <w:lvl w:ilvl="6">
      <w:start w:val="1"/>
      <w:numFmt w:val="bullet"/>
      <w:lvlText w:val="•"/>
      <w:lvlJc w:val="left"/>
      <w:pPr>
        <w:ind w:left="1886" w:hanging="672"/>
      </w:pPr>
      <w:rPr>
        <w:rFonts w:hint="default"/>
      </w:rPr>
    </w:lvl>
    <w:lvl w:ilvl="7">
      <w:start w:val="1"/>
      <w:numFmt w:val="bullet"/>
      <w:lvlText w:val="•"/>
      <w:lvlJc w:val="left"/>
      <w:pPr>
        <w:ind w:left="2153" w:hanging="672"/>
      </w:pPr>
      <w:rPr>
        <w:rFonts w:hint="default"/>
      </w:rPr>
    </w:lvl>
    <w:lvl w:ilvl="8">
      <w:start w:val="1"/>
      <w:numFmt w:val="bullet"/>
      <w:lvlText w:val="•"/>
      <w:lvlJc w:val="left"/>
      <w:pPr>
        <w:ind w:left="2421" w:hanging="672"/>
      </w:pPr>
      <w:rPr>
        <w:rFonts w:hint="default"/>
      </w:rPr>
    </w:lvl>
  </w:abstractNum>
  <w:abstractNum w:abstractNumId="201">
    <w:multiLevelType w:val="hybridMultilevel"/>
    <w:lvl w:ilvl="0">
      <w:start w:val="1"/>
      <w:numFmt w:val="bullet"/>
      <w:lvlText w:val="-"/>
      <w:lvlJc w:val="left"/>
      <w:pPr>
        <w:ind w:left="103" w:hanging="137"/>
      </w:pPr>
      <w:rPr>
        <w:rFonts w:hint="default" w:ascii="Arial" w:hAnsi="Arial" w:eastAsia="Arial" w:cs="Arial"/>
        <w:w w:val="100"/>
        <w:sz w:val="22"/>
        <w:szCs w:val="22"/>
      </w:rPr>
    </w:lvl>
    <w:lvl w:ilvl="1">
      <w:start w:val="1"/>
      <w:numFmt w:val="bullet"/>
      <w:lvlText w:val="•"/>
      <w:lvlJc w:val="left"/>
      <w:pPr>
        <w:ind w:left="1378" w:hanging="137"/>
      </w:pPr>
      <w:rPr>
        <w:rFonts w:hint="default"/>
      </w:rPr>
    </w:lvl>
    <w:lvl w:ilvl="2">
      <w:start w:val="1"/>
      <w:numFmt w:val="bullet"/>
      <w:lvlText w:val="•"/>
      <w:lvlJc w:val="left"/>
      <w:pPr>
        <w:ind w:left="2657" w:hanging="137"/>
      </w:pPr>
      <w:rPr>
        <w:rFonts w:hint="default"/>
      </w:rPr>
    </w:lvl>
    <w:lvl w:ilvl="3">
      <w:start w:val="1"/>
      <w:numFmt w:val="bullet"/>
      <w:lvlText w:val="•"/>
      <w:lvlJc w:val="left"/>
      <w:pPr>
        <w:ind w:left="3936" w:hanging="137"/>
      </w:pPr>
      <w:rPr>
        <w:rFonts w:hint="default"/>
      </w:rPr>
    </w:lvl>
    <w:lvl w:ilvl="4">
      <w:start w:val="1"/>
      <w:numFmt w:val="bullet"/>
      <w:lvlText w:val="•"/>
      <w:lvlJc w:val="left"/>
      <w:pPr>
        <w:ind w:left="5215" w:hanging="137"/>
      </w:pPr>
      <w:rPr>
        <w:rFonts w:hint="default"/>
      </w:rPr>
    </w:lvl>
    <w:lvl w:ilvl="5">
      <w:start w:val="1"/>
      <w:numFmt w:val="bullet"/>
      <w:lvlText w:val="•"/>
      <w:lvlJc w:val="left"/>
      <w:pPr>
        <w:ind w:left="6493" w:hanging="137"/>
      </w:pPr>
      <w:rPr>
        <w:rFonts w:hint="default"/>
      </w:rPr>
    </w:lvl>
    <w:lvl w:ilvl="6">
      <w:start w:val="1"/>
      <w:numFmt w:val="bullet"/>
      <w:lvlText w:val="•"/>
      <w:lvlJc w:val="left"/>
      <w:pPr>
        <w:ind w:left="7772" w:hanging="137"/>
      </w:pPr>
      <w:rPr>
        <w:rFonts w:hint="default"/>
      </w:rPr>
    </w:lvl>
    <w:lvl w:ilvl="7">
      <w:start w:val="1"/>
      <w:numFmt w:val="bullet"/>
      <w:lvlText w:val="•"/>
      <w:lvlJc w:val="left"/>
      <w:pPr>
        <w:ind w:left="9051" w:hanging="137"/>
      </w:pPr>
      <w:rPr>
        <w:rFonts w:hint="default"/>
      </w:rPr>
    </w:lvl>
    <w:lvl w:ilvl="8">
      <w:start w:val="1"/>
      <w:numFmt w:val="bullet"/>
      <w:lvlText w:val="•"/>
      <w:lvlJc w:val="left"/>
      <w:pPr>
        <w:ind w:left="10330" w:hanging="137"/>
      </w:pPr>
      <w:rPr>
        <w:rFonts w:hint="default"/>
      </w:rPr>
    </w:lvl>
  </w:abstractNum>
  <w:abstractNum w:abstractNumId="200">
    <w:multiLevelType w:val="hybridMultilevel"/>
    <w:lvl w:ilvl="0">
      <w:start w:val="1"/>
      <w:numFmt w:val="bullet"/>
      <w:lvlText w:val="-"/>
      <w:lvlJc w:val="left"/>
      <w:pPr>
        <w:ind w:left="27" w:hanging="171"/>
      </w:pPr>
      <w:rPr>
        <w:rFonts w:hint="default" w:ascii="Arial" w:hAnsi="Arial" w:eastAsia="Arial" w:cs="Arial"/>
        <w:w w:val="100"/>
        <w:sz w:val="22"/>
        <w:szCs w:val="22"/>
      </w:rPr>
    </w:lvl>
    <w:lvl w:ilvl="1">
      <w:start w:val="1"/>
      <w:numFmt w:val="bullet"/>
      <w:lvlText w:val="•"/>
      <w:lvlJc w:val="left"/>
      <w:pPr>
        <w:ind w:left="1299" w:hanging="171"/>
      </w:pPr>
      <w:rPr>
        <w:rFonts w:hint="default"/>
      </w:rPr>
    </w:lvl>
    <w:lvl w:ilvl="2">
      <w:start w:val="1"/>
      <w:numFmt w:val="bullet"/>
      <w:lvlText w:val="•"/>
      <w:lvlJc w:val="left"/>
      <w:pPr>
        <w:ind w:left="2578" w:hanging="171"/>
      </w:pPr>
      <w:rPr>
        <w:rFonts w:hint="default"/>
      </w:rPr>
    </w:lvl>
    <w:lvl w:ilvl="3">
      <w:start w:val="1"/>
      <w:numFmt w:val="bullet"/>
      <w:lvlText w:val="•"/>
      <w:lvlJc w:val="left"/>
      <w:pPr>
        <w:ind w:left="3857" w:hanging="171"/>
      </w:pPr>
      <w:rPr>
        <w:rFonts w:hint="default"/>
      </w:rPr>
    </w:lvl>
    <w:lvl w:ilvl="4">
      <w:start w:val="1"/>
      <w:numFmt w:val="bullet"/>
      <w:lvlText w:val="•"/>
      <w:lvlJc w:val="left"/>
      <w:pPr>
        <w:ind w:left="5136" w:hanging="171"/>
      </w:pPr>
      <w:rPr>
        <w:rFonts w:hint="default"/>
      </w:rPr>
    </w:lvl>
    <w:lvl w:ilvl="5">
      <w:start w:val="1"/>
      <w:numFmt w:val="bullet"/>
      <w:lvlText w:val="•"/>
      <w:lvlJc w:val="left"/>
      <w:pPr>
        <w:ind w:left="6416" w:hanging="171"/>
      </w:pPr>
      <w:rPr>
        <w:rFonts w:hint="default"/>
      </w:rPr>
    </w:lvl>
    <w:lvl w:ilvl="6">
      <w:start w:val="1"/>
      <w:numFmt w:val="bullet"/>
      <w:lvlText w:val="•"/>
      <w:lvlJc w:val="left"/>
      <w:pPr>
        <w:ind w:left="7695" w:hanging="171"/>
      </w:pPr>
      <w:rPr>
        <w:rFonts w:hint="default"/>
      </w:rPr>
    </w:lvl>
    <w:lvl w:ilvl="7">
      <w:start w:val="1"/>
      <w:numFmt w:val="bullet"/>
      <w:lvlText w:val="•"/>
      <w:lvlJc w:val="left"/>
      <w:pPr>
        <w:ind w:left="8974" w:hanging="171"/>
      </w:pPr>
      <w:rPr>
        <w:rFonts w:hint="default"/>
      </w:rPr>
    </w:lvl>
    <w:lvl w:ilvl="8">
      <w:start w:val="1"/>
      <w:numFmt w:val="bullet"/>
      <w:lvlText w:val="•"/>
      <w:lvlJc w:val="left"/>
      <w:pPr>
        <w:ind w:left="10253" w:hanging="171"/>
      </w:pPr>
      <w:rPr>
        <w:rFonts w:hint="default"/>
      </w:rPr>
    </w:lvl>
  </w:abstractNum>
  <w:abstractNum w:abstractNumId="19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5" w:hanging="672"/>
      </w:pPr>
      <w:rPr>
        <w:rFonts w:hint="default"/>
      </w:rPr>
    </w:lvl>
    <w:lvl w:ilvl="2">
      <w:start w:val="1"/>
      <w:numFmt w:val="bullet"/>
      <w:lvlText w:val="•"/>
      <w:lvlJc w:val="left"/>
      <w:pPr>
        <w:ind w:left="791" w:hanging="672"/>
      </w:pPr>
      <w:rPr>
        <w:rFonts w:hint="default"/>
      </w:rPr>
    </w:lvl>
    <w:lvl w:ilvl="3">
      <w:start w:val="1"/>
      <w:numFmt w:val="bullet"/>
      <w:lvlText w:val="•"/>
      <w:lvlJc w:val="left"/>
      <w:pPr>
        <w:ind w:left="1047" w:hanging="672"/>
      </w:pPr>
      <w:rPr>
        <w:rFonts w:hint="default"/>
      </w:rPr>
    </w:lvl>
    <w:lvl w:ilvl="4">
      <w:start w:val="1"/>
      <w:numFmt w:val="bullet"/>
      <w:lvlText w:val="•"/>
      <w:lvlJc w:val="left"/>
      <w:pPr>
        <w:ind w:left="1303" w:hanging="672"/>
      </w:pPr>
      <w:rPr>
        <w:rFonts w:hint="default"/>
      </w:rPr>
    </w:lvl>
    <w:lvl w:ilvl="5">
      <w:start w:val="1"/>
      <w:numFmt w:val="bullet"/>
      <w:lvlText w:val="•"/>
      <w:lvlJc w:val="left"/>
      <w:pPr>
        <w:ind w:left="1559" w:hanging="672"/>
      </w:pPr>
      <w:rPr>
        <w:rFonts w:hint="default"/>
      </w:rPr>
    </w:lvl>
    <w:lvl w:ilvl="6">
      <w:start w:val="1"/>
      <w:numFmt w:val="bullet"/>
      <w:lvlText w:val="•"/>
      <w:lvlJc w:val="left"/>
      <w:pPr>
        <w:ind w:left="1815" w:hanging="672"/>
      </w:pPr>
      <w:rPr>
        <w:rFonts w:hint="default"/>
      </w:rPr>
    </w:lvl>
    <w:lvl w:ilvl="7">
      <w:start w:val="1"/>
      <w:numFmt w:val="bullet"/>
      <w:lvlText w:val="•"/>
      <w:lvlJc w:val="left"/>
      <w:pPr>
        <w:ind w:left="2071" w:hanging="672"/>
      </w:pPr>
      <w:rPr>
        <w:rFonts w:hint="default"/>
      </w:rPr>
    </w:lvl>
    <w:lvl w:ilvl="8">
      <w:start w:val="1"/>
      <w:numFmt w:val="bullet"/>
      <w:lvlText w:val="•"/>
      <w:lvlJc w:val="left"/>
      <w:pPr>
        <w:ind w:left="2327" w:hanging="672"/>
      </w:pPr>
      <w:rPr>
        <w:rFonts w:hint="default"/>
      </w:rPr>
    </w:lvl>
  </w:abstractNum>
  <w:abstractNum w:abstractNumId="19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5" w:hanging="672"/>
      </w:pPr>
      <w:rPr>
        <w:rFonts w:hint="default"/>
      </w:rPr>
    </w:lvl>
    <w:lvl w:ilvl="2">
      <w:start w:val="1"/>
      <w:numFmt w:val="bullet"/>
      <w:lvlText w:val="•"/>
      <w:lvlJc w:val="left"/>
      <w:pPr>
        <w:ind w:left="791" w:hanging="672"/>
      </w:pPr>
      <w:rPr>
        <w:rFonts w:hint="default"/>
      </w:rPr>
    </w:lvl>
    <w:lvl w:ilvl="3">
      <w:start w:val="1"/>
      <w:numFmt w:val="bullet"/>
      <w:lvlText w:val="•"/>
      <w:lvlJc w:val="left"/>
      <w:pPr>
        <w:ind w:left="1047" w:hanging="672"/>
      </w:pPr>
      <w:rPr>
        <w:rFonts w:hint="default"/>
      </w:rPr>
    </w:lvl>
    <w:lvl w:ilvl="4">
      <w:start w:val="1"/>
      <w:numFmt w:val="bullet"/>
      <w:lvlText w:val="•"/>
      <w:lvlJc w:val="left"/>
      <w:pPr>
        <w:ind w:left="1303" w:hanging="672"/>
      </w:pPr>
      <w:rPr>
        <w:rFonts w:hint="default"/>
      </w:rPr>
    </w:lvl>
    <w:lvl w:ilvl="5">
      <w:start w:val="1"/>
      <w:numFmt w:val="bullet"/>
      <w:lvlText w:val="•"/>
      <w:lvlJc w:val="left"/>
      <w:pPr>
        <w:ind w:left="1559" w:hanging="672"/>
      </w:pPr>
      <w:rPr>
        <w:rFonts w:hint="default"/>
      </w:rPr>
    </w:lvl>
    <w:lvl w:ilvl="6">
      <w:start w:val="1"/>
      <w:numFmt w:val="bullet"/>
      <w:lvlText w:val="•"/>
      <w:lvlJc w:val="left"/>
      <w:pPr>
        <w:ind w:left="1815" w:hanging="672"/>
      </w:pPr>
      <w:rPr>
        <w:rFonts w:hint="default"/>
      </w:rPr>
    </w:lvl>
    <w:lvl w:ilvl="7">
      <w:start w:val="1"/>
      <w:numFmt w:val="bullet"/>
      <w:lvlText w:val="•"/>
      <w:lvlJc w:val="left"/>
      <w:pPr>
        <w:ind w:left="2071" w:hanging="672"/>
      </w:pPr>
      <w:rPr>
        <w:rFonts w:hint="default"/>
      </w:rPr>
    </w:lvl>
    <w:lvl w:ilvl="8">
      <w:start w:val="1"/>
      <w:numFmt w:val="bullet"/>
      <w:lvlText w:val="•"/>
      <w:lvlJc w:val="left"/>
      <w:pPr>
        <w:ind w:left="2327" w:hanging="672"/>
      </w:pPr>
      <w:rPr>
        <w:rFonts w:hint="default"/>
      </w:rPr>
    </w:lvl>
  </w:abstractNum>
  <w:abstractNum w:abstractNumId="19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5" w:hanging="672"/>
      </w:pPr>
      <w:rPr>
        <w:rFonts w:hint="default"/>
      </w:rPr>
    </w:lvl>
    <w:lvl w:ilvl="2">
      <w:start w:val="1"/>
      <w:numFmt w:val="bullet"/>
      <w:lvlText w:val="•"/>
      <w:lvlJc w:val="left"/>
      <w:pPr>
        <w:ind w:left="791" w:hanging="672"/>
      </w:pPr>
      <w:rPr>
        <w:rFonts w:hint="default"/>
      </w:rPr>
    </w:lvl>
    <w:lvl w:ilvl="3">
      <w:start w:val="1"/>
      <w:numFmt w:val="bullet"/>
      <w:lvlText w:val="•"/>
      <w:lvlJc w:val="left"/>
      <w:pPr>
        <w:ind w:left="1047" w:hanging="672"/>
      </w:pPr>
      <w:rPr>
        <w:rFonts w:hint="default"/>
      </w:rPr>
    </w:lvl>
    <w:lvl w:ilvl="4">
      <w:start w:val="1"/>
      <w:numFmt w:val="bullet"/>
      <w:lvlText w:val="•"/>
      <w:lvlJc w:val="left"/>
      <w:pPr>
        <w:ind w:left="1303" w:hanging="672"/>
      </w:pPr>
      <w:rPr>
        <w:rFonts w:hint="default"/>
      </w:rPr>
    </w:lvl>
    <w:lvl w:ilvl="5">
      <w:start w:val="1"/>
      <w:numFmt w:val="bullet"/>
      <w:lvlText w:val="•"/>
      <w:lvlJc w:val="left"/>
      <w:pPr>
        <w:ind w:left="1559" w:hanging="672"/>
      </w:pPr>
      <w:rPr>
        <w:rFonts w:hint="default"/>
      </w:rPr>
    </w:lvl>
    <w:lvl w:ilvl="6">
      <w:start w:val="1"/>
      <w:numFmt w:val="bullet"/>
      <w:lvlText w:val="•"/>
      <w:lvlJc w:val="left"/>
      <w:pPr>
        <w:ind w:left="1815" w:hanging="672"/>
      </w:pPr>
      <w:rPr>
        <w:rFonts w:hint="default"/>
      </w:rPr>
    </w:lvl>
    <w:lvl w:ilvl="7">
      <w:start w:val="1"/>
      <w:numFmt w:val="bullet"/>
      <w:lvlText w:val="•"/>
      <w:lvlJc w:val="left"/>
      <w:pPr>
        <w:ind w:left="2071" w:hanging="672"/>
      </w:pPr>
      <w:rPr>
        <w:rFonts w:hint="default"/>
      </w:rPr>
    </w:lvl>
    <w:lvl w:ilvl="8">
      <w:start w:val="1"/>
      <w:numFmt w:val="bullet"/>
      <w:lvlText w:val="•"/>
      <w:lvlJc w:val="left"/>
      <w:pPr>
        <w:ind w:left="2327" w:hanging="672"/>
      </w:pPr>
      <w:rPr>
        <w:rFonts w:hint="default"/>
      </w:rPr>
    </w:lvl>
  </w:abstractNum>
  <w:abstractNum w:abstractNumId="19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5" w:hanging="672"/>
      </w:pPr>
      <w:rPr>
        <w:rFonts w:hint="default"/>
      </w:rPr>
    </w:lvl>
    <w:lvl w:ilvl="2">
      <w:start w:val="1"/>
      <w:numFmt w:val="bullet"/>
      <w:lvlText w:val="•"/>
      <w:lvlJc w:val="left"/>
      <w:pPr>
        <w:ind w:left="791" w:hanging="672"/>
      </w:pPr>
      <w:rPr>
        <w:rFonts w:hint="default"/>
      </w:rPr>
    </w:lvl>
    <w:lvl w:ilvl="3">
      <w:start w:val="1"/>
      <w:numFmt w:val="bullet"/>
      <w:lvlText w:val="•"/>
      <w:lvlJc w:val="left"/>
      <w:pPr>
        <w:ind w:left="1047" w:hanging="672"/>
      </w:pPr>
      <w:rPr>
        <w:rFonts w:hint="default"/>
      </w:rPr>
    </w:lvl>
    <w:lvl w:ilvl="4">
      <w:start w:val="1"/>
      <w:numFmt w:val="bullet"/>
      <w:lvlText w:val="•"/>
      <w:lvlJc w:val="left"/>
      <w:pPr>
        <w:ind w:left="1303" w:hanging="672"/>
      </w:pPr>
      <w:rPr>
        <w:rFonts w:hint="default"/>
      </w:rPr>
    </w:lvl>
    <w:lvl w:ilvl="5">
      <w:start w:val="1"/>
      <w:numFmt w:val="bullet"/>
      <w:lvlText w:val="•"/>
      <w:lvlJc w:val="left"/>
      <w:pPr>
        <w:ind w:left="1559" w:hanging="672"/>
      </w:pPr>
      <w:rPr>
        <w:rFonts w:hint="default"/>
      </w:rPr>
    </w:lvl>
    <w:lvl w:ilvl="6">
      <w:start w:val="1"/>
      <w:numFmt w:val="bullet"/>
      <w:lvlText w:val="•"/>
      <w:lvlJc w:val="left"/>
      <w:pPr>
        <w:ind w:left="1815" w:hanging="672"/>
      </w:pPr>
      <w:rPr>
        <w:rFonts w:hint="default"/>
      </w:rPr>
    </w:lvl>
    <w:lvl w:ilvl="7">
      <w:start w:val="1"/>
      <w:numFmt w:val="bullet"/>
      <w:lvlText w:val="•"/>
      <w:lvlJc w:val="left"/>
      <w:pPr>
        <w:ind w:left="2071" w:hanging="672"/>
      </w:pPr>
      <w:rPr>
        <w:rFonts w:hint="default"/>
      </w:rPr>
    </w:lvl>
    <w:lvl w:ilvl="8">
      <w:start w:val="1"/>
      <w:numFmt w:val="bullet"/>
      <w:lvlText w:val="•"/>
      <w:lvlJc w:val="left"/>
      <w:pPr>
        <w:ind w:left="2327" w:hanging="672"/>
      </w:pPr>
      <w:rPr>
        <w:rFonts w:hint="default"/>
      </w:rPr>
    </w:lvl>
  </w:abstractNum>
  <w:abstractNum w:abstractNumId="19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5" w:hanging="672"/>
      </w:pPr>
      <w:rPr>
        <w:rFonts w:hint="default"/>
      </w:rPr>
    </w:lvl>
    <w:lvl w:ilvl="2">
      <w:start w:val="1"/>
      <w:numFmt w:val="bullet"/>
      <w:lvlText w:val="•"/>
      <w:lvlJc w:val="left"/>
      <w:pPr>
        <w:ind w:left="791" w:hanging="672"/>
      </w:pPr>
      <w:rPr>
        <w:rFonts w:hint="default"/>
      </w:rPr>
    </w:lvl>
    <w:lvl w:ilvl="3">
      <w:start w:val="1"/>
      <w:numFmt w:val="bullet"/>
      <w:lvlText w:val="•"/>
      <w:lvlJc w:val="left"/>
      <w:pPr>
        <w:ind w:left="1047" w:hanging="672"/>
      </w:pPr>
      <w:rPr>
        <w:rFonts w:hint="default"/>
      </w:rPr>
    </w:lvl>
    <w:lvl w:ilvl="4">
      <w:start w:val="1"/>
      <w:numFmt w:val="bullet"/>
      <w:lvlText w:val="•"/>
      <w:lvlJc w:val="left"/>
      <w:pPr>
        <w:ind w:left="1303" w:hanging="672"/>
      </w:pPr>
      <w:rPr>
        <w:rFonts w:hint="default"/>
      </w:rPr>
    </w:lvl>
    <w:lvl w:ilvl="5">
      <w:start w:val="1"/>
      <w:numFmt w:val="bullet"/>
      <w:lvlText w:val="•"/>
      <w:lvlJc w:val="left"/>
      <w:pPr>
        <w:ind w:left="1559" w:hanging="672"/>
      </w:pPr>
      <w:rPr>
        <w:rFonts w:hint="default"/>
      </w:rPr>
    </w:lvl>
    <w:lvl w:ilvl="6">
      <w:start w:val="1"/>
      <w:numFmt w:val="bullet"/>
      <w:lvlText w:val="•"/>
      <w:lvlJc w:val="left"/>
      <w:pPr>
        <w:ind w:left="1815" w:hanging="672"/>
      </w:pPr>
      <w:rPr>
        <w:rFonts w:hint="default"/>
      </w:rPr>
    </w:lvl>
    <w:lvl w:ilvl="7">
      <w:start w:val="1"/>
      <w:numFmt w:val="bullet"/>
      <w:lvlText w:val="•"/>
      <w:lvlJc w:val="left"/>
      <w:pPr>
        <w:ind w:left="2071" w:hanging="672"/>
      </w:pPr>
      <w:rPr>
        <w:rFonts w:hint="default"/>
      </w:rPr>
    </w:lvl>
    <w:lvl w:ilvl="8">
      <w:start w:val="1"/>
      <w:numFmt w:val="bullet"/>
      <w:lvlText w:val="•"/>
      <w:lvlJc w:val="left"/>
      <w:pPr>
        <w:ind w:left="2327" w:hanging="672"/>
      </w:pPr>
      <w:rPr>
        <w:rFonts w:hint="default"/>
      </w:rPr>
    </w:lvl>
  </w:abstractNum>
  <w:abstractNum w:abstractNumId="19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5" w:hanging="672"/>
      </w:pPr>
      <w:rPr>
        <w:rFonts w:hint="default"/>
      </w:rPr>
    </w:lvl>
    <w:lvl w:ilvl="2">
      <w:start w:val="1"/>
      <w:numFmt w:val="bullet"/>
      <w:lvlText w:val="•"/>
      <w:lvlJc w:val="left"/>
      <w:pPr>
        <w:ind w:left="791" w:hanging="672"/>
      </w:pPr>
      <w:rPr>
        <w:rFonts w:hint="default"/>
      </w:rPr>
    </w:lvl>
    <w:lvl w:ilvl="3">
      <w:start w:val="1"/>
      <w:numFmt w:val="bullet"/>
      <w:lvlText w:val="•"/>
      <w:lvlJc w:val="left"/>
      <w:pPr>
        <w:ind w:left="1047" w:hanging="672"/>
      </w:pPr>
      <w:rPr>
        <w:rFonts w:hint="default"/>
      </w:rPr>
    </w:lvl>
    <w:lvl w:ilvl="4">
      <w:start w:val="1"/>
      <w:numFmt w:val="bullet"/>
      <w:lvlText w:val="•"/>
      <w:lvlJc w:val="left"/>
      <w:pPr>
        <w:ind w:left="1303" w:hanging="672"/>
      </w:pPr>
      <w:rPr>
        <w:rFonts w:hint="default"/>
      </w:rPr>
    </w:lvl>
    <w:lvl w:ilvl="5">
      <w:start w:val="1"/>
      <w:numFmt w:val="bullet"/>
      <w:lvlText w:val="•"/>
      <w:lvlJc w:val="left"/>
      <w:pPr>
        <w:ind w:left="1559" w:hanging="672"/>
      </w:pPr>
      <w:rPr>
        <w:rFonts w:hint="default"/>
      </w:rPr>
    </w:lvl>
    <w:lvl w:ilvl="6">
      <w:start w:val="1"/>
      <w:numFmt w:val="bullet"/>
      <w:lvlText w:val="•"/>
      <w:lvlJc w:val="left"/>
      <w:pPr>
        <w:ind w:left="1815" w:hanging="672"/>
      </w:pPr>
      <w:rPr>
        <w:rFonts w:hint="default"/>
      </w:rPr>
    </w:lvl>
    <w:lvl w:ilvl="7">
      <w:start w:val="1"/>
      <w:numFmt w:val="bullet"/>
      <w:lvlText w:val="•"/>
      <w:lvlJc w:val="left"/>
      <w:pPr>
        <w:ind w:left="2071" w:hanging="672"/>
      </w:pPr>
      <w:rPr>
        <w:rFonts w:hint="default"/>
      </w:rPr>
    </w:lvl>
    <w:lvl w:ilvl="8">
      <w:start w:val="1"/>
      <w:numFmt w:val="bullet"/>
      <w:lvlText w:val="•"/>
      <w:lvlJc w:val="left"/>
      <w:pPr>
        <w:ind w:left="2327" w:hanging="672"/>
      </w:pPr>
      <w:rPr>
        <w:rFonts w:hint="default"/>
      </w:rPr>
    </w:lvl>
  </w:abstractNum>
  <w:abstractNum w:abstractNumId="19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5" w:hanging="672"/>
      </w:pPr>
      <w:rPr>
        <w:rFonts w:hint="default"/>
      </w:rPr>
    </w:lvl>
    <w:lvl w:ilvl="2">
      <w:start w:val="1"/>
      <w:numFmt w:val="bullet"/>
      <w:lvlText w:val="•"/>
      <w:lvlJc w:val="left"/>
      <w:pPr>
        <w:ind w:left="791" w:hanging="672"/>
      </w:pPr>
      <w:rPr>
        <w:rFonts w:hint="default"/>
      </w:rPr>
    </w:lvl>
    <w:lvl w:ilvl="3">
      <w:start w:val="1"/>
      <w:numFmt w:val="bullet"/>
      <w:lvlText w:val="•"/>
      <w:lvlJc w:val="left"/>
      <w:pPr>
        <w:ind w:left="1047" w:hanging="672"/>
      </w:pPr>
      <w:rPr>
        <w:rFonts w:hint="default"/>
      </w:rPr>
    </w:lvl>
    <w:lvl w:ilvl="4">
      <w:start w:val="1"/>
      <w:numFmt w:val="bullet"/>
      <w:lvlText w:val="•"/>
      <w:lvlJc w:val="left"/>
      <w:pPr>
        <w:ind w:left="1303" w:hanging="672"/>
      </w:pPr>
      <w:rPr>
        <w:rFonts w:hint="default"/>
      </w:rPr>
    </w:lvl>
    <w:lvl w:ilvl="5">
      <w:start w:val="1"/>
      <w:numFmt w:val="bullet"/>
      <w:lvlText w:val="•"/>
      <w:lvlJc w:val="left"/>
      <w:pPr>
        <w:ind w:left="1559" w:hanging="672"/>
      </w:pPr>
      <w:rPr>
        <w:rFonts w:hint="default"/>
      </w:rPr>
    </w:lvl>
    <w:lvl w:ilvl="6">
      <w:start w:val="1"/>
      <w:numFmt w:val="bullet"/>
      <w:lvlText w:val="•"/>
      <w:lvlJc w:val="left"/>
      <w:pPr>
        <w:ind w:left="1815" w:hanging="672"/>
      </w:pPr>
      <w:rPr>
        <w:rFonts w:hint="default"/>
      </w:rPr>
    </w:lvl>
    <w:lvl w:ilvl="7">
      <w:start w:val="1"/>
      <w:numFmt w:val="bullet"/>
      <w:lvlText w:val="•"/>
      <w:lvlJc w:val="left"/>
      <w:pPr>
        <w:ind w:left="2071" w:hanging="672"/>
      </w:pPr>
      <w:rPr>
        <w:rFonts w:hint="default"/>
      </w:rPr>
    </w:lvl>
    <w:lvl w:ilvl="8">
      <w:start w:val="1"/>
      <w:numFmt w:val="bullet"/>
      <w:lvlText w:val="•"/>
      <w:lvlJc w:val="left"/>
      <w:pPr>
        <w:ind w:left="2327" w:hanging="672"/>
      </w:pPr>
      <w:rPr>
        <w:rFonts w:hint="default"/>
      </w:rPr>
    </w:lvl>
  </w:abstractNum>
  <w:abstractNum w:abstractNumId="19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35" w:hanging="672"/>
      </w:pPr>
      <w:rPr>
        <w:rFonts w:hint="default"/>
      </w:rPr>
    </w:lvl>
    <w:lvl w:ilvl="2">
      <w:start w:val="1"/>
      <w:numFmt w:val="bullet"/>
      <w:lvlText w:val="•"/>
      <w:lvlJc w:val="left"/>
      <w:pPr>
        <w:ind w:left="791" w:hanging="672"/>
      </w:pPr>
      <w:rPr>
        <w:rFonts w:hint="default"/>
      </w:rPr>
    </w:lvl>
    <w:lvl w:ilvl="3">
      <w:start w:val="1"/>
      <w:numFmt w:val="bullet"/>
      <w:lvlText w:val="•"/>
      <w:lvlJc w:val="left"/>
      <w:pPr>
        <w:ind w:left="1047" w:hanging="672"/>
      </w:pPr>
      <w:rPr>
        <w:rFonts w:hint="default"/>
      </w:rPr>
    </w:lvl>
    <w:lvl w:ilvl="4">
      <w:start w:val="1"/>
      <w:numFmt w:val="bullet"/>
      <w:lvlText w:val="•"/>
      <w:lvlJc w:val="left"/>
      <w:pPr>
        <w:ind w:left="1303" w:hanging="672"/>
      </w:pPr>
      <w:rPr>
        <w:rFonts w:hint="default"/>
      </w:rPr>
    </w:lvl>
    <w:lvl w:ilvl="5">
      <w:start w:val="1"/>
      <w:numFmt w:val="bullet"/>
      <w:lvlText w:val="•"/>
      <w:lvlJc w:val="left"/>
      <w:pPr>
        <w:ind w:left="1559" w:hanging="672"/>
      </w:pPr>
      <w:rPr>
        <w:rFonts w:hint="default"/>
      </w:rPr>
    </w:lvl>
    <w:lvl w:ilvl="6">
      <w:start w:val="1"/>
      <w:numFmt w:val="bullet"/>
      <w:lvlText w:val="•"/>
      <w:lvlJc w:val="left"/>
      <w:pPr>
        <w:ind w:left="1815" w:hanging="672"/>
      </w:pPr>
      <w:rPr>
        <w:rFonts w:hint="default"/>
      </w:rPr>
    </w:lvl>
    <w:lvl w:ilvl="7">
      <w:start w:val="1"/>
      <w:numFmt w:val="bullet"/>
      <w:lvlText w:val="•"/>
      <w:lvlJc w:val="left"/>
      <w:pPr>
        <w:ind w:left="2071" w:hanging="672"/>
      </w:pPr>
      <w:rPr>
        <w:rFonts w:hint="default"/>
      </w:rPr>
    </w:lvl>
    <w:lvl w:ilvl="8">
      <w:start w:val="1"/>
      <w:numFmt w:val="bullet"/>
      <w:lvlText w:val="•"/>
      <w:lvlJc w:val="left"/>
      <w:pPr>
        <w:ind w:left="2327" w:hanging="672"/>
      </w:pPr>
      <w:rPr>
        <w:rFonts w:hint="default"/>
      </w:rPr>
    </w:lvl>
  </w:abstractNum>
  <w:abstractNum w:abstractNumId="191">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698" w:hanging="360"/>
      </w:pPr>
      <w:rPr>
        <w:rFonts w:hint="default"/>
      </w:rPr>
    </w:lvl>
    <w:lvl w:ilvl="2">
      <w:start w:val="1"/>
      <w:numFmt w:val="bullet"/>
      <w:lvlText w:val="•"/>
      <w:lvlJc w:val="left"/>
      <w:pPr>
        <w:ind w:left="936" w:hanging="360"/>
      </w:pPr>
      <w:rPr>
        <w:rFonts w:hint="default"/>
      </w:rPr>
    </w:lvl>
    <w:lvl w:ilvl="3">
      <w:start w:val="1"/>
      <w:numFmt w:val="bullet"/>
      <w:lvlText w:val="•"/>
      <w:lvlJc w:val="left"/>
      <w:pPr>
        <w:ind w:left="1175" w:hanging="360"/>
      </w:pPr>
      <w:rPr>
        <w:rFonts w:hint="default"/>
      </w:rPr>
    </w:lvl>
    <w:lvl w:ilvl="4">
      <w:start w:val="1"/>
      <w:numFmt w:val="bullet"/>
      <w:lvlText w:val="•"/>
      <w:lvlJc w:val="left"/>
      <w:pPr>
        <w:ind w:left="1413" w:hanging="360"/>
      </w:pPr>
      <w:rPr>
        <w:rFonts w:hint="default"/>
      </w:rPr>
    </w:lvl>
    <w:lvl w:ilvl="5">
      <w:start w:val="1"/>
      <w:numFmt w:val="bullet"/>
      <w:lvlText w:val="•"/>
      <w:lvlJc w:val="left"/>
      <w:pPr>
        <w:ind w:left="1652" w:hanging="360"/>
      </w:pPr>
      <w:rPr>
        <w:rFonts w:hint="default"/>
      </w:rPr>
    </w:lvl>
    <w:lvl w:ilvl="6">
      <w:start w:val="1"/>
      <w:numFmt w:val="bullet"/>
      <w:lvlText w:val="•"/>
      <w:lvlJc w:val="left"/>
      <w:pPr>
        <w:ind w:left="1890" w:hanging="360"/>
      </w:pPr>
      <w:rPr>
        <w:rFonts w:hint="default"/>
      </w:rPr>
    </w:lvl>
    <w:lvl w:ilvl="7">
      <w:start w:val="1"/>
      <w:numFmt w:val="bullet"/>
      <w:lvlText w:val="•"/>
      <w:lvlJc w:val="left"/>
      <w:pPr>
        <w:ind w:left="2128" w:hanging="360"/>
      </w:pPr>
      <w:rPr>
        <w:rFonts w:hint="default"/>
      </w:rPr>
    </w:lvl>
    <w:lvl w:ilvl="8">
      <w:start w:val="1"/>
      <w:numFmt w:val="bullet"/>
      <w:lvlText w:val="•"/>
      <w:lvlJc w:val="left"/>
      <w:pPr>
        <w:ind w:left="2367" w:hanging="360"/>
      </w:pPr>
      <w:rPr>
        <w:rFonts w:hint="default"/>
      </w:rPr>
    </w:lvl>
  </w:abstractNum>
  <w:abstractNum w:abstractNumId="190">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698" w:hanging="360"/>
      </w:pPr>
      <w:rPr>
        <w:rFonts w:hint="default"/>
      </w:rPr>
    </w:lvl>
    <w:lvl w:ilvl="2">
      <w:start w:val="1"/>
      <w:numFmt w:val="bullet"/>
      <w:lvlText w:val="•"/>
      <w:lvlJc w:val="left"/>
      <w:pPr>
        <w:ind w:left="936" w:hanging="360"/>
      </w:pPr>
      <w:rPr>
        <w:rFonts w:hint="default"/>
      </w:rPr>
    </w:lvl>
    <w:lvl w:ilvl="3">
      <w:start w:val="1"/>
      <w:numFmt w:val="bullet"/>
      <w:lvlText w:val="•"/>
      <w:lvlJc w:val="left"/>
      <w:pPr>
        <w:ind w:left="1175" w:hanging="360"/>
      </w:pPr>
      <w:rPr>
        <w:rFonts w:hint="default"/>
      </w:rPr>
    </w:lvl>
    <w:lvl w:ilvl="4">
      <w:start w:val="1"/>
      <w:numFmt w:val="bullet"/>
      <w:lvlText w:val="•"/>
      <w:lvlJc w:val="left"/>
      <w:pPr>
        <w:ind w:left="1413" w:hanging="360"/>
      </w:pPr>
      <w:rPr>
        <w:rFonts w:hint="default"/>
      </w:rPr>
    </w:lvl>
    <w:lvl w:ilvl="5">
      <w:start w:val="1"/>
      <w:numFmt w:val="bullet"/>
      <w:lvlText w:val="•"/>
      <w:lvlJc w:val="left"/>
      <w:pPr>
        <w:ind w:left="1652" w:hanging="360"/>
      </w:pPr>
      <w:rPr>
        <w:rFonts w:hint="default"/>
      </w:rPr>
    </w:lvl>
    <w:lvl w:ilvl="6">
      <w:start w:val="1"/>
      <w:numFmt w:val="bullet"/>
      <w:lvlText w:val="•"/>
      <w:lvlJc w:val="left"/>
      <w:pPr>
        <w:ind w:left="1890" w:hanging="360"/>
      </w:pPr>
      <w:rPr>
        <w:rFonts w:hint="default"/>
      </w:rPr>
    </w:lvl>
    <w:lvl w:ilvl="7">
      <w:start w:val="1"/>
      <w:numFmt w:val="bullet"/>
      <w:lvlText w:val="•"/>
      <w:lvlJc w:val="left"/>
      <w:pPr>
        <w:ind w:left="2128" w:hanging="360"/>
      </w:pPr>
      <w:rPr>
        <w:rFonts w:hint="default"/>
      </w:rPr>
    </w:lvl>
    <w:lvl w:ilvl="8">
      <w:start w:val="1"/>
      <w:numFmt w:val="bullet"/>
      <w:lvlText w:val="•"/>
      <w:lvlJc w:val="left"/>
      <w:pPr>
        <w:ind w:left="2367" w:hanging="360"/>
      </w:pPr>
      <w:rPr>
        <w:rFonts w:hint="default"/>
      </w:rPr>
    </w:lvl>
  </w:abstractNum>
  <w:abstractNum w:abstractNumId="189">
    <w:multiLevelType w:val="hybridMultilevel"/>
    <w:lvl w:ilvl="0">
      <w:start w:val="1"/>
      <w:numFmt w:val="bullet"/>
      <w:lvlText w:val=""/>
      <w:lvlJc w:val="left"/>
      <w:pPr>
        <w:ind w:left="280" w:hanging="233"/>
      </w:pPr>
      <w:rPr>
        <w:rFonts w:hint="default" w:ascii="Wingdings" w:hAnsi="Wingdings" w:eastAsia="Wingdings" w:cs="Wingdings"/>
        <w:w w:val="99"/>
        <w:sz w:val="20"/>
        <w:szCs w:val="20"/>
      </w:rPr>
    </w:lvl>
    <w:lvl w:ilvl="1">
      <w:start w:val="1"/>
      <w:numFmt w:val="bullet"/>
      <w:lvlText w:val="•"/>
      <w:lvlJc w:val="left"/>
      <w:pPr>
        <w:ind w:left="536" w:hanging="233"/>
      </w:pPr>
      <w:rPr>
        <w:rFonts w:hint="default"/>
      </w:rPr>
    </w:lvl>
    <w:lvl w:ilvl="2">
      <w:start w:val="1"/>
      <w:numFmt w:val="bullet"/>
      <w:lvlText w:val="•"/>
      <w:lvlJc w:val="left"/>
      <w:pPr>
        <w:ind w:left="792" w:hanging="233"/>
      </w:pPr>
      <w:rPr>
        <w:rFonts w:hint="default"/>
      </w:rPr>
    </w:lvl>
    <w:lvl w:ilvl="3">
      <w:start w:val="1"/>
      <w:numFmt w:val="bullet"/>
      <w:lvlText w:val="•"/>
      <w:lvlJc w:val="left"/>
      <w:pPr>
        <w:ind w:left="1049" w:hanging="233"/>
      </w:pPr>
      <w:rPr>
        <w:rFonts w:hint="default"/>
      </w:rPr>
    </w:lvl>
    <w:lvl w:ilvl="4">
      <w:start w:val="1"/>
      <w:numFmt w:val="bullet"/>
      <w:lvlText w:val="•"/>
      <w:lvlJc w:val="left"/>
      <w:pPr>
        <w:ind w:left="1305" w:hanging="233"/>
      </w:pPr>
      <w:rPr>
        <w:rFonts w:hint="default"/>
      </w:rPr>
    </w:lvl>
    <w:lvl w:ilvl="5">
      <w:start w:val="1"/>
      <w:numFmt w:val="bullet"/>
      <w:lvlText w:val="•"/>
      <w:lvlJc w:val="left"/>
      <w:pPr>
        <w:ind w:left="1562" w:hanging="233"/>
      </w:pPr>
      <w:rPr>
        <w:rFonts w:hint="default"/>
      </w:rPr>
    </w:lvl>
    <w:lvl w:ilvl="6">
      <w:start w:val="1"/>
      <w:numFmt w:val="bullet"/>
      <w:lvlText w:val="•"/>
      <w:lvlJc w:val="left"/>
      <w:pPr>
        <w:ind w:left="1818" w:hanging="233"/>
      </w:pPr>
      <w:rPr>
        <w:rFonts w:hint="default"/>
      </w:rPr>
    </w:lvl>
    <w:lvl w:ilvl="7">
      <w:start w:val="1"/>
      <w:numFmt w:val="bullet"/>
      <w:lvlText w:val="•"/>
      <w:lvlJc w:val="left"/>
      <w:pPr>
        <w:ind w:left="2074" w:hanging="233"/>
      </w:pPr>
      <w:rPr>
        <w:rFonts w:hint="default"/>
      </w:rPr>
    </w:lvl>
    <w:lvl w:ilvl="8">
      <w:start w:val="1"/>
      <w:numFmt w:val="bullet"/>
      <w:lvlText w:val="•"/>
      <w:lvlJc w:val="left"/>
      <w:pPr>
        <w:ind w:left="2331" w:hanging="233"/>
      </w:pPr>
      <w:rPr>
        <w:rFonts w:hint="default"/>
      </w:rPr>
    </w:lvl>
  </w:abstractNum>
  <w:abstractNum w:abstractNumId="188">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698" w:hanging="360"/>
      </w:pPr>
      <w:rPr>
        <w:rFonts w:hint="default"/>
      </w:rPr>
    </w:lvl>
    <w:lvl w:ilvl="2">
      <w:start w:val="1"/>
      <w:numFmt w:val="bullet"/>
      <w:lvlText w:val="•"/>
      <w:lvlJc w:val="left"/>
      <w:pPr>
        <w:ind w:left="936" w:hanging="360"/>
      </w:pPr>
      <w:rPr>
        <w:rFonts w:hint="default"/>
      </w:rPr>
    </w:lvl>
    <w:lvl w:ilvl="3">
      <w:start w:val="1"/>
      <w:numFmt w:val="bullet"/>
      <w:lvlText w:val="•"/>
      <w:lvlJc w:val="left"/>
      <w:pPr>
        <w:ind w:left="1175" w:hanging="360"/>
      </w:pPr>
      <w:rPr>
        <w:rFonts w:hint="default"/>
      </w:rPr>
    </w:lvl>
    <w:lvl w:ilvl="4">
      <w:start w:val="1"/>
      <w:numFmt w:val="bullet"/>
      <w:lvlText w:val="•"/>
      <w:lvlJc w:val="left"/>
      <w:pPr>
        <w:ind w:left="1413" w:hanging="360"/>
      </w:pPr>
      <w:rPr>
        <w:rFonts w:hint="default"/>
      </w:rPr>
    </w:lvl>
    <w:lvl w:ilvl="5">
      <w:start w:val="1"/>
      <w:numFmt w:val="bullet"/>
      <w:lvlText w:val="•"/>
      <w:lvlJc w:val="left"/>
      <w:pPr>
        <w:ind w:left="1652" w:hanging="360"/>
      </w:pPr>
      <w:rPr>
        <w:rFonts w:hint="default"/>
      </w:rPr>
    </w:lvl>
    <w:lvl w:ilvl="6">
      <w:start w:val="1"/>
      <w:numFmt w:val="bullet"/>
      <w:lvlText w:val="•"/>
      <w:lvlJc w:val="left"/>
      <w:pPr>
        <w:ind w:left="1890" w:hanging="360"/>
      </w:pPr>
      <w:rPr>
        <w:rFonts w:hint="default"/>
      </w:rPr>
    </w:lvl>
    <w:lvl w:ilvl="7">
      <w:start w:val="1"/>
      <w:numFmt w:val="bullet"/>
      <w:lvlText w:val="•"/>
      <w:lvlJc w:val="left"/>
      <w:pPr>
        <w:ind w:left="2128" w:hanging="360"/>
      </w:pPr>
      <w:rPr>
        <w:rFonts w:hint="default"/>
      </w:rPr>
    </w:lvl>
    <w:lvl w:ilvl="8">
      <w:start w:val="1"/>
      <w:numFmt w:val="bullet"/>
      <w:lvlText w:val="•"/>
      <w:lvlJc w:val="left"/>
      <w:pPr>
        <w:ind w:left="2367" w:hanging="360"/>
      </w:pPr>
      <w:rPr>
        <w:rFonts w:hint="default"/>
      </w:rPr>
    </w:lvl>
  </w:abstractNum>
  <w:abstractNum w:abstractNumId="187">
    <w:multiLevelType w:val="hybridMultilevel"/>
    <w:lvl w:ilvl="0">
      <w:start w:val="1"/>
      <w:numFmt w:val="bullet"/>
      <w:lvlText w:val=""/>
      <w:lvlJc w:val="left"/>
      <w:pPr>
        <w:ind w:left="280" w:hanging="233"/>
      </w:pPr>
      <w:rPr>
        <w:rFonts w:hint="default" w:ascii="Wingdings" w:hAnsi="Wingdings" w:eastAsia="Wingdings" w:cs="Wingdings"/>
        <w:w w:val="99"/>
        <w:sz w:val="20"/>
        <w:szCs w:val="20"/>
      </w:rPr>
    </w:lvl>
    <w:lvl w:ilvl="1">
      <w:start w:val="1"/>
      <w:numFmt w:val="bullet"/>
      <w:lvlText w:val="•"/>
      <w:lvlJc w:val="left"/>
      <w:pPr>
        <w:ind w:left="536" w:hanging="233"/>
      </w:pPr>
      <w:rPr>
        <w:rFonts w:hint="default"/>
      </w:rPr>
    </w:lvl>
    <w:lvl w:ilvl="2">
      <w:start w:val="1"/>
      <w:numFmt w:val="bullet"/>
      <w:lvlText w:val="•"/>
      <w:lvlJc w:val="left"/>
      <w:pPr>
        <w:ind w:left="792" w:hanging="233"/>
      </w:pPr>
      <w:rPr>
        <w:rFonts w:hint="default"/>
      </w:rPr>
    </w:lvl>
    <w:lvl w:ilvl="3">
      <w:start w:val="1"/>
      <w:numFmt w:val="bullet"/>
      <w:lvlText w:val="•"/>
      <w:lvlJc w:val="left"/>
      <w:pPr>
        <w:ind w:left="1049" w:hanging="233"/>
      </w:pPr>
      <w:rPr>
        <w:rFonts w:hint="default"/>
      </w:rPr>
    </w:lvl>
    <w:lvl w:ilvl="4">
      <w:start w:val="1"/>
      <w:numFmt w:val="bullet"/>
      <w:lvlText w:val="•"/>
      <w:lvlJc w:val="left"/>
      <w:pPr>
        <w:ind w:left="1305" w:hanging="233"/>
      </w:pPr>
      <w:rPr>
        <w:rFonts w:hint="default"/>
      </w:rPr>
    </w:lvl>
    <w:lvl w:ilvl="5">
      <w:start w:val="1"/>
      <w:numFmt w:val="bullet"/>
      <w:lvlText w:val="•"/>
      <w:lvlJc w:val="left"/>
      <w:pPr>
        <w:ind w:left="1562" w:hanging="233"/>
      </w:pPr>
      <w:rPr>
        <w:rFonts w:hint="default"/>
      </w:rPr>
    </w:lvl>
    <w:lvl w:ilvl="6">
      <w:start w:val="1"/>
      <w:numFmt w:val="bullet"/>
      <w:lvlText w:val="•"/>
      <w:lvlJc w:val="left"/>
      <w:pPr>
        <w:ind w:left="1818" w:hanging="233"/>
      </w:pPr>
      <w:rPr>
        <w:rFonts w:hint="default"/>
      </w:rPr>
    </w:lvl>
    <w:lvl w:ilvl="7">
      <w:start w:val="1"/>
      <w:numFmt w:val="bullet"/>
      <w:lvlText w:val="•"/>
      <w:lvlJc w:val="left"/>
      <w:pPr>
        <w:ind w:left="2074" w:hanging="233"/>
      </w:pPr>
      <w:rPr>
        <w:rFonts w:hint="default"/>
      </w:rPr>
    </w:lvl>
    <w:lvl w:ilvl="8">
      <w:start w:val="1"/>
      <w:numFmt w:val="bullet"/>
      <w:lvlText w:val="•"/>
      <w:lvlJc w:val="left"/>
      <w:pPr>
        <w:ind w:left="2331" w:hanging="233"/>
      </w:pPr>
      <w:rPr>
        <w:rFonts w:hint="default"/>
      </w:rPr>
    </w:lvl>
  </w:abstractNum>
  <w:abstractNum w:abstractNumId="186">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698" w:hanging="360"/>
      </w:pPr>
      <w:rPr>
        <w:rFonts w:hint="default"/>
      </w:rPr>
    </w:lvl>
    <w:lvl w:ilvl="2">
      <w:start w:val="1"/>
      <w:numFmt w:val="bullet"/>
      <w:lvlText w:val="•"/>
      <w:lvlJc w:val="left"/>
      <w:pPr>
        <w:ind w:left="936" w:hanging="360"/>
      </w:pPr>
      <w:rPr>
        <w:rFonts w:hint="default"/>
      </w:rPr>
    </w:lvl>
    <w:lvl w:ilvl="3">
      <w:start w:val="1"/>
      <w:numFmt w:val="bullet"/>
      <w:lvlText w:val="•"/>
      <w:lvlJc w:val="left"/>
      <w:pPr>
        <w:ind w:left="1175" w:hanging="360"/>
      </w:pPr>
      <w:rPr>
        <w:rFonts w:hint="default"/>
      </w:rPr>
    </w:lvl>
    <w:lvl w:ilvl="4">
      <w:start w:val="1"/>
      <w:numFmt w:val="bullet"/>
      <w:lvlText w:val="•"/>
      <w:lvlJc w:val="left"/>
      <w:pPr>
        <w:ind w:left="1413" w:hanging="360"/>
      </w:pPr>
      <w:rPr>
        <w:rFonts w:hint="default"/>
      </w:rPr>
    </w:lvl>
    <w:lvl w:ilvl="5">
      <w:start w:val="1"/>
      <w:numFmt w:val="bullet"/>
      <w:lvlText w:val="•"/>
      <w:lvlJc w:val="left"/>
      <w:pPr>
        <w:ind w:left="1652" w:hanging="360"/>
      </w:pPr>
      <w:rPr>
        <w:rFonts w:hint="default"/>
      </w:rPr>
    </w:lvl>
    <w:lvl w:ilvl="6">
      <w:start w:val="1"/>
      <w:numFmt w:val="bullet"/>
      <w:lvlText w:val="•"/>
      <w:lvlJc w:val="left"/>
      <w:pPr>
        <w:ind w:left="1890" w:hanging="360"/>
      </w:pPr>
      <w:rPr>
        <w:rFonts w:hint="default"/>
      </w:rPr>
    </w:lvl>
    <w:lvl w:ilvl="7">
      <w:start w:val="1"/>
      <w:numFmt w:val="bullet"/>
      <w:lvlText w:val="•"/>
      <w:lvlJc w:val="left"/>
      <w:pPr>
        <w:ind w:left="2128" w:hanging="360"/>
      </w:pPr>
      <w:rPr>
        <w:rFonts w:hint="default"/>
      </w:rPr>
    </w:lvl>
    <w:lvl w:ilvl="8">
      <w:start w:val="1"/>
      <w:numFmt w:val="bullet"/>
      <w:lvlText w:val="•"/>
      <w:lvlJc w:val="left"/>
      <w:pPr>
        <w:ind w:left="2367" w:hanging="360"/>
      </w:pPr>
      <w:rPr>
        <w:rFonts w:hint="default"/>
      </w:rPr>
    </w:lvl>
  </w:abstractNum>
  <w:abstractNum w:abstractNumId="185">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698" w:hanging="360"/>
      </w:pPr>
      <w:rPr>
        <w:rFonts w:hint="default"/>
      </w:rPr>
    </w:lvl>
    <w:lvl w:ilvl="2">
      <w:start w:val="1"/>
      <w:numFmt w:val="bullet"/>
      <w:lvlText w:val="•"/>
      <w:lvlJc w:val="left"/>
      <w:pPr>
        <w:ind w:left="936" w:hanging="360"/>
      </w:pPr>
      <w:rPr>
        <w:rFonts w:hint="default"/>
      </w:rPr>
    </w:lvl>
    <w:lvl w:ilvl="3">
      <w:start w:val="1"/>
      <w:numFmt w:val="bullet"/>
      <w:lvlText w:val="•"/>
      <w:lvlJc w:val="left"/>
      <w:pPr>
        <w:ind w:left="1175" w:hanging="360"/>
      </w:pPr>
      <w:rPr>
        <w:rFonts w:hint="default"/>
      </w:rPr>
    </w:lvl>
    <w:lvl w:ilvl="4">
      <w:start w:val="1"/>
      <w:numFmt w:val="bullet"/>
      <w:lvlText w:val="•"/>
      <w:lvlJc w:val="left"/>
      <w:pPr>
        <w:ind w:left="1413" w:hanging="360"/>
      </w:pPr>
      <w:rPr>
        <w:rFonts w:hint="default"/>
      </w:rPr>
    </w:lvl>
    <w:lvl w:ilvl="5">
      <w:start w:val="1"/>
      <w:numFmt w:val="bullet"/>
      <w:lvlText w:val="•"/>
      <w:lvlJc w:val="left"/>
      <w:pPr>
        <w:ind w:left="1652" w:hanging="360"/>
      </w:pPr>
      <w:rPr>
        <w:rFonts w:hint="default"/>
      </w:rPr>
    </w:lvl>
    <w:lvl w:ilvl="6">
      <w:start w:val="1"/>
      <w:numFmt w:val="bullet"/>
      <w:lvlText w:val="•"/>
      <w:lvlJc w:val="left"/>
      <w:pPr>
        <w:ind w:left="1890" w:hanging="360"/>
      </w:pPr>
      <w:rPr>
        <w:rFonts w:hint="default"/>
      </w:rPr>
    </w:lvl>
    <w:lvl w:ilvl="7">
      <w:start w:val="1"/>
      <w:numFmt w:val="bullet"/>
      <w:lvlText w:val="•"/>
      <w:lvlJc w:val="left"/>
      <w:pPr>
        <w:ind w:left="2128" w:hanging="360"/>
      </w:pPr>
      <w:rPr>
        <w:rFonts w:hint="default"/>
      </w:rPr>
    </w:lvl>
    <w:lvl w:ilvl="8">
      <w:start w:val="1"/>
      <w:numFmt w:val="bullet"/>
      <w:lvlText w:val="•"/>
      <w:lvlJc w:val="left"/>
      <w:pPr>
        <w:ind w:left="2367" w:hanging="360"/>
      </w:pPr>
      <w:rPr>
        <w:rFonts w:hint="default"/>
      </w:rPr>
    </w:lvl>
  </w:abstractNum>
  <w:abstractNum w:abstractNumId="184">
    <w:multiLevelType w:val="hybridMultilevel"/>
    <w:lvl w:ilvl="0">
      <w:start w:val="1"/>
      <w:numFmt w:val="bullet"/>
      <w:lvlText w:val=""/>
      <w:lvlJc w:val="left"/>
      <w:pPr>
        <w:ind w:left="280" w:hanging="233"/>
      </w:pPr>
      <w:rPr>
        <w:rFonts w:hint="default" w:ascii="Wingdings" w:hAnsi="Wingdings" w:eastAsia="Wingdings" w:cs="Wingdings"/>
        <w:w w:val="99"/>
        <w:sz w:val="20"/>
        <w:szCs w:val="20"/>
      </w:rPr>
    </w:lvl>
    <w:lvl w:ilvl="1">
      <w:start w:val="1"/>
      <w:numFmt w:val="bullet"/>
      <w:lvlText w:val="•"/>
      <w:lvlJc w:val="left"/>
      <w:pPr>
        <w:ind w:left="536" w:hanging="233"/>
      </w:pPr>
      <w:rPr>
        <w:rFonts w:hint="default"/>
      </w:rPr>
    </w:lvl>
    <w:lvl w:ilvl="2">
      <w:start w:val="1"/>
      <w:numFmt w:val="bullet"/>
      <w:lvlText w:val="•"/>
      <w:lvlJc w:val="left"/>
      <w:pPr>
        <w:ind w:left="792" w:hanging="233"/>
      </w:pPr>
      <w:rPr>
        <w:rFonts w:hint="default"/>
      </w:rPr>
    </w:lvl>
    <w:lvl w:ilvl="3">
      <w:start w:val="1"/>
      <w:numFmt w:val="bullet"/>
      <w:lvlText w:val="•"/>
      <w:lvlJc w:val="left"/>
      <w:pPr>
        <w:ind w:left="1049" w:hanging="233"/>
      </w:pPr>
      <w:rPr>
        <w:rFonts w:hint="default"/>
      </w:rPr>
    </w:lvl>
    <w:lvl w:ilvl="4">
      <w:start w:val="1"/>
      <w:numFmt w:val="bullet"/>
      <w:lvlText w:val="•"/>
      <w:lvlJc w:val="left"/>
      <w:pPr>
        <w:ind w:left="1305" w:hanging="233"/>
      </w:pPr>
      <w:rPr>
        <w:rFonts w:hint="default"/>
      </w:rPr>
    </w:lvl>
    <w:lvl w:ilvl="5">
      <w:start w:val="1"/>
      <w:numFmt w:val="bullet"/>
      <w:lvlText w:val="•"/>
      <w:lvlJc w:val="left"/>
      <w:pPr>
        <w:ind w:left="1562" w:hanging="233"/>
      </w:pPr>
      <w:rPr>
        <w:rFonts w:hint="default"/>
      </w:rPr>
    </w:lvl>
    <w:lvl w:ilvl="6">
      <w:start w:val="1"/>
      <w:numFmt w:val="bullet"/>
      <w:lvlText w:val="•"/>
      <w:lvlJc w:val="left"/>
      <w:pPr>
        <w:ind w:left="1818" w:hanging="233"/>
      </w:pPr>
      <w:rPr>
        <w:rFonts w:hint="default"/>
      </w:rPr>
    </w:lvl>
    <w:lvl w:ilvl="7">
      <w:start w:val="1"/>
      <w:numFmt w:val="bullet"/>
      <w:lvlText w:val="•"/>
      <w:lvlJc w:val="left"/>
      <w:pPr>
        <w:ind w:left="2074" w:hanging="233"/>
      </w:pPr>
      <w:rPr>
        <w:rFonts w:hint="default"/>
      </w:rPr>
    </w:lvl>
    <w:lvl w:ilvl="8">
      <w:start w:val="1"/>
      <w:numFmt w:val="bullet"/>
      <w:lvlText w:val="•"/>
      <w:lvlJc w:val="left"/>
      <w:pPr>
        <w:ind w:left="2331" w:hanging="233"/>
      </w:pPr>
      <w:rPr>
        <w:rFonts w:hint="default"/>
      </w:rPr>
    </w:lvl>
  </w:abstractNum>
  <w:abstractNum w:abstractNumId="183">
    <w:multiLevelType w:val="hybridMultilevel"/>
    <w:lvl w:ilvl="0">
      <w:start w:val="1"/>
      <w:numFmt w:val="bullet"/>
      <w:lvlText w:val="-"/>
      <w:lvlJc w:val="left"/>
      <w:pPr>
        <w:ind w:left="103" w:hanging="152"/>
      </w:pPr>
      <w:rPr>
        <w:rFonts w:hint="default" w:ascii="Arial" w:hAnsi="Arial" w:eastAsia="Arial" w:cs="Arial"/>
        <w:w w:val="100"/>
        <w:sz w:val="22"/>
        <w:szCs w:val="22"/>
      </w:rPr>
    </w:lvl>
    <w:lvl w:ilvl="1">
      <w:start w:val="1"/>
      <w:numFmt w:val="bullet"/>
      <w:lvlText w:val="•"/>
      <w:lvlJc w:val="left"/>
      <w:pPr>
        <w:ind w:left="1378" w:hanging="152"/>
      </w:pPr>
      <w:rPr>
        <w:rFonts w:hint="default"/>
      </w:rPr>
    </w:lvl>
    <w:lvl w:ilvl="2">
      <w:start w:val="1"/>
      <w:numFmt w:val="bullet"/>
      <w:lvlText w:val="•"/>
      <w:lvlJc w:val="left"/>
      <w:pPr>
        <w:ind w:left="2657" w:hanging="152"/>
      </w:pPr>
      <w:rPr>
        <w:rFonts w:hint="default"/>
      </w:rPr>
    </w:lvl>
    <w:lvl w:ilvl="3">
      <w:start w:val="1"/>
      <w:numFmt w:val="bullet"/>
      <w:lvlText w:val="•"/>
      <w:lvlJc w:val="left"/>
      <w:pPr>
        <w:ind w:left="3936" w:hanging="152"/>
      </w:pPr>
      <w:rPr>
        <w:rFonts w:hint="default"/>
      </w:rPr>
    </w:lvl>
    <w:lvl w:ilvl="4">
      <w:start w:val="1"/>
      <w:numFmt w:val="bullet"/>
      <w:lvlText w:val="•"/>
      <w:lvlJc w:val="left"/>
      <w:pPr>
        <w:ind w:left="5215" w:hanging="152"/>
      </w:pPr>
      <w:rPr>
        <w:rFonts w:hint="default"/>
      </w:rPr>
    </w:lvl>
    <w:lvl w:ilvl="5">
      <w:start w:val="1"/>
      <w:numFmt w:val="bullet"/>
      <w:lvlText w:val="•"/>
      <w:lvlJc w:val="left"/>
      <w:pPr>
        <w:ind w:left="6493" w:hanging="152"/>
      </w:pPr>
      <w:rPr>
        <w:rFonts w:hint="default"/>
      </w:rPr>
    </w:lvl>
    <w:lvl w:ilvl="6">
      <w:start w:val="1"/>
      <w:numFmt w:val="bullet"/>
      <w:lvlText w:val="•"/>
      <w:lvlJc w:val="left"/>
      <w:pPr>
        <w:ind w:left="7772" w:hanging="152"/>
      </w:pPr>
      <w:rPr>
        <w:rFonts w:hint="default"/>
      </w:rPr>
    </w:lvl>
    <w:lvl w:ilvl="7">
      <w:start w:val="1"/>
      <w:numFmt w:val="bullet"/>
      <w:lvlText w:val="•"/>
      <w:lvlJc w:val="left"/>
      <w:pPr>
        <w:ind w:left="9051" w:hanging="152"/>
      </w:pPr>
      <w:rPr>
        <w:rFonts w:hint="default"/>
      </w:rPr>
    </w:lvl>
    <w:lvl w:ilvl="8">
      <w:start w:val="1"/>
      <w:numFmt w:val="bullet"/>
      <w:lvlText w:val="•"/>
      <w:lvlJc w:val="left"/>
      <w:pPr>
        <w:ind w:left="10330" w:hanging="152"/>
      </w:pPr>
      <w:rPr>
        <w:rFonts w:hint="default"/>
      </w:rPr>
    </w:lvl>
  </w:abstractNum>
  <w:abstractNum w:abstractNumId="182">
    <w:multiLevelType w:val="hybridMultilevel"/>
    <w:lvl w:ilvl="0">
      <w:start w:val="1"/>
      <w:numFmt w:val="bullet"/>
      <w:lvlText w:val="-"/>
      <w:lvlJc w:val="left"/>
      <w:pPr>
        <w:ind w:left="64" w:hanging="142"/>
      </w:pPr>
      <w:rPr>
        <w:rFonts w:hint="default" w:ascii="Arial" w:hAnsi="Arial" w:eastAsia="Arial" w:cs="Arial"/>
        <w:w w:val="100"/>
        <w:sz w:val="22"/>
        <w:szCs w:val="22"/>
      </w:rPr>
    </w:lvl>
    <w:lvl w:ilvl="1">
      <w:start w:val="1"/>
      <w:numFmt w:val="bullet"/>
      <w:lvlText w:val="•"/>
      <w:lvlJc w:val="left"/>
      <w:pPr>
        <w:ind w:left="1342" w:hanging="142"/>
      </w:pPr>
      <w:rPr>
        <w:rFonts w:hint="default"/>
      </w:rPr>
    </w:lvl>
    <w:lvl w:ilvl="2">
      <w:start w:val="1"/>
      <w:numFmt w:val="bullet"/>
      <w:lvlText w:val="•"/>
      <w:lvlJc w:val="left"/>
      <w:pPr>
        <w:ind w:left="2625" w:hanging="142"/>
      </w:pPr>
      <w:rPr>
        <w:rFonts w:hint="default"/>
      </w:rPr>
    </w:lvl>
    <w:lvl w:ilvl="3">
      <w:start w:val="1"/>
      <w:numFmt w:val="bullet"/>
      <w:lvlText w:val="•"/>
      <w:lvlJc w:val="left"/>
      <w:pPr>
        <w:ind w:left="3908" w:hanging="142"/>
      </w:pPr>
      <w:rPr>
        <w:rFonts w:hint="default"/>
      </w:rPr>
    </w:lvl>
    <w:lvl w:ilvl="4">
      <w:start w:val="1"/>
      <w:numFmt w:val="bullet"/>
      <w:lvlText w:val="•"/>
      <w:lvlJc w:val="left"/>
      <w:pPr>
        <w:ind w:left="5191" w:hanging="142"/>
      </w:pPr>
      <w:rPr>
        <w:rFonts w:hint="default"/>
      </w:rPr>
    </w:lvl>
    <w:lvl w:ilvl="5">
      <w:start w:val="1"/>
      <w:numFmt w:val="bullet"/>
      <w:lvlText w:val="•"/>
      <w:lvlJc w:val="left"/>
      <w:pPr>
        <w:ind w:left="6473" w:hanging="142"/>
      </w:pPr>
      <w:rPr>
        <w:rFonts w:hint="default"/>
      </w:rPr>
    </w:lvl>
    <w:lvl w:ilvl="6">
      <w:start w:val="1"/>
      <w:numFmt w:val="bullet"/>
      <w:lvlText w:val="•"/>
      <w:lvlJc w:val="left"/>
      <w:pPr>
        <w:ind w:left="7756" w:hanging="142"/>
      </w:pPr>
      <w:rPr>
        <w:rFonts w:hint="default"/>
      </w:rPr>
    </w:lvl>
    <w:lvl w:ilvl="7">
      <w:start w:val="1"/>
      <w:numFmt w:val="bullet"/>
      <w:lvlText w:val="•"/>
      <w:lvlJc w:val="left"/>
      <w:pPr>
        <w:ind w:left="9039" w:hanging="142"/>
      </w:pPr>
      <w:rPr>
        <w:rFonts w:hint="default"/>
      </w:rPr>
    </w:lvl>
    <w:lvl w:ilvl="8">
      <w:start w:val="1"/>
      <w:numFmt w:val="bullet"/>
      <w:lvlText w:val="•"/>
      <w:lvlJc w:val="left"/>
      <w:pPr>
        <w:ind w:left="10322" w:hanging="142"/>
      </w:pPr>
      <w:rPr>
        <w:rFonts w:hint="default"/>
      </w:rPr>
    </w:lvl>
  </w:abstractNum>
  <w:abstractNum w:abstractNumId="181">
    <w:multiLevelType w:val="hybridMultilevel"/>
    <w:lvl w:ilvl="0">
      <w:start w:val="1"/>
      <w:numFmt w:val="bullet"/>
      <w:lvlText w:val=""/>
      <w:lvlJc w:val="left"/>
      <w:pPr>
        <w:ind w:left="280" w:hanging="728"/>
      </w:pPr>
      <w:rPr>
        <w:rFonts w:hint="default" w:ascii="Wingdings" w:hAnsi="Wingdings" w:eastAsia="Wingdings" w:cs="Wingdings"/>
        <w:w w:val="99"/>
        <w:sz w:val="20"/>
        <w:szCs w:val="20"/>
      </w:rPr>
    </w:lvl>
    <w:lvl w:ilvl="1">
      <w:start w:val="1"/>
      <w:numFmt w:val="bullet"/>
      <w:lvlText w:val="•"/>
      <w:lvlJc w:val="left"/>
      <w:pPr>
        <w:ind w:left="564" w:hanging="728"/>
      </w:pPr>
      <w:rPr>
        <w:rFonts w:hint="default"/>
      </w:rPr>
    </w:lvl>
    <w:lvl w:ilvl="2">
      <w:start w:val="1"/>
      <w:numFmt w:val="bullet"/>
      <w:lvlText w:val="•"/>
      <w:lvlJc w:val="left"/>
      <w:pPr>
        <w:ind w:left="848" w:hanging="728"/>
      </w:pPr>
      <w:rPr>
        <w:rFonts w:hint="default"/>
      </w:rPr>
    </w:lvl>
    <w:lvl w:ilvl="3">
      <w:start w:val="1"/>
      <w:numFmt w:val="bullet"/>
      <w:lvlText w:val="•"/>
      <w:lvlJc w:val="left"/>
      <w:pPr>
        <w:ind w:left="1132" w:hanging="728"/>
      </w:pPr>
      <w:rPr>
        <w:rFonts w:hint="default"/>
      </w:rPr>
    </w:lvl>
    <w:lvl w:ilvl="4">
      <w:start w:val="1"/>
      <w:numFmt w:val="bullet"/>
      <w:lvlText w:val="•"/>
      <w:lvlJc w:val="left"/>
      <w:pPr>
        <w:ind w:left="1416" w:hanging="728"/>
      </w:pPr>
      <w:rPr>
        <w:rFonts w:hint="default"/>
      </w:rPr>
    </w:lvl>
    <w:lvl w:ilvl="5">
      <w:start w:val="1"/>
      <w:numFmt w:val="bullet"/>
      <w:lvlText w:val="•"/>
      <w:lvlJc w:val="left"/>
      <w:pPr>
        <w:ind w:left="1701" w:hanging="728"/>
      </w:pPr>
      <w:rPr>
        <w:rFonts w:hint="default"/>
      </w:rPr>
    </w:lvl>
    <w:lvl w:ilvl="6">
      <w:start w:val="1"/>
      <w:numFmt w:val="bullet"/>
      <w:lvlText w:val="•"/>
      <w:lvlJc w:val="left"/>
      <w:pPr>
        <w:ind w:left="1985" w:hanging="728"/>
      </w:pPr>
      <w:rPr>
        <w:rFonts w:hint="default"/>
      </w:rPr>
    </w:lvl>
    <w:lvl w:ilvl="7">
      <w:start w:val="1"/>
      <w:numFmt w:val="bullet"/>
      <w:lvlText w:val="•"/>
      <w:lvlJc w:val="left"/>
      <w:pPr>
        <w:ind w:left="2269" w:hanging="728"/>
      </w:pPr>
      <w:rPr>
        <w:rFonts w:hint="default"/>
      </w:rPr>
    </w:lvl>
    <w:lvl w:ilvl="8">
      <w:start w:val="1"/>
      <w:numFmt w:val="bullet"/>
      <w:lvlText w:val="•"/>
      <w:lvlJc w:val="left"/>
      <w:pPr>
        <w:ind w:left="2553" w:hanging="728"/>
      </w:pPr>
      <w:rPr>
        <w:rFonts w:hint="default"/>
      </w:rPr>
    </w:lvl>
  </w:abstractNum>
  <w:abstractNum w:abstractNumId="180">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17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178">
    <w:multiLevelType w:val="hybridMultilevel"/>
    <w:lvl w:ilvl="0">
      <w:start w:val="1"/>
      <w:numFmt w:val="bullet"/>
      <w:lvlText w:val=""/>
      <w:lvlJc w:val="left"/>
      <w:pPr>
        <w:ind w:left="280" w:hanging="728"/>
      </w:pPr>
      <w:rPr>
        <w:rFonts w:hint="default" w:ascii="Wingdings" w:hAnsi="Wingdings" w:eastAsia="Wingdings" w:cs="Wingdings"/>
        <w:w w:val="99"/>
        <w:sz w:val="20"/>
        <w:szCs w:val="20"/>
      </w:rPr>
    </w:lvl>
    <w:lvl w:ilvl="1">
      <w:start w:val="1"/>
      <w:numFmt w:val="bullet"/>
      <w:lvlText w:val="•"/>
      <w:lvlJc w:val="left"/>
      <w:pPr>
        <w:ind w:left="564" w:hanging="728"/>
      </w:pPr>
      <w:rPr>
        <w:rFonts w:hint="default"/>
      </w:rPr>
    </w:lvl>
    <w:lvl w:ilvl="2">
      <w:start w:val="1"/>
      <w:numFmt w:val="bullet"/>
      <w:lvlText w:val="•"/>
      <w:lvlJc w:val="left"/>
      <w:pPr>
        <w:ind w:left="848" w:hanging="728"/>
      </w:pPr>
      <w:rPr>
        <w:rFonts w:hint="default"/>
      </w:rPr>
    </w:lvl>
    <w:lvl w:ilvl="3">
      <w:start w:val="1"/>
      <w:numFmt w:val="bullet"/>
      <w:lvlText w:val="•"/>
      <w:lvlJc w:val="left"/>
      <w:pPr>
        <w:ind w:left="1132" w:hanging="728"/>
      </w:pPr>
      <w:rPr>
        <w:rFonts w:hint="default"/>
      </w:rPr>
    </w:lvl>
    <w:lvl w:ilvl="4">
      <w:start w:val="1"/>
      <w:numFmt w:val="bullet"/>
      <w:lvlText w:val="•"/>
      <w:lvlJc w:val="left"/>
      <w:pPr>
        <w:ind w:left="1416" w:hanging="728"/>
      </w:pPr>
      <w:rPr>
        <w:rFonts w:hint="default"/>
      </w:rPr>
    </w:lvl>
    <w:lvl w:ilvl="5">
      <w:start w:val="1"/>
      <w:numFmt w:val="bullet"/>
      <w:lvlText w:val="•"/>
      <w:lvlJc w:val="left"/>
      <w:pPr>
        <w:ind w:left="1701" w:hanging="728"/>
      </w:pPr>
      <w:rPr>
        <w:rFonts w:hint="default"/>
      </w:rPr>
    </w:lvl>
    <w:lvl w:ilvl="6">
      <w:start w:val="1"/>
      <w:numFmt w:val="bullet"/>
      <w:lvlText w:val="•"/>
      <w:lvlJc w:val="left"/>
      <w:pPr>
        <w:ind w:left="1985" w:hanging="728"/>
      </w:pPr>
      <w:rPr>
        <w:rFonts w:hint="default"/>
      </w:rPr>
    </w:lvl>
    <w:lvl w:ilvl="7">
      <w:start w:val="1"/>
      <w:numFmt w:val="bullet"/>
      <w:lvlText w:val="•"/>
      <w:lvlJc w:val="left"/>
      <w:pPr>
        <w:ind w:left="2269" w:hanging="728"/>
      </w:pPr>
      <w:rPr>
        <w:rFonts w:hint="default"/>
      </w:rPr>
    </w:lvl>
    <w:lvl w:ilvl="8">
      <w:start w:val="1"/>
      <w:numFmt w:val="bullet"/>
      <w:lvlText w:val="•"/>
      <w:lvlJc w:val="left"/>
      <w:pPr>
        <w:ind w:left="2553" w:hanging="728"/>
      </w:pPr>
      <w:rPr>
        <w:rFonts w:hint="default"/>
      </w:rPr>
    </w:lvl>
  </w:abstractNum>
  <w:abstractNum w:abstractNumId="17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17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175">
    <w:multiLevelType w:val="hybridMultilevel"/>
    <w:lvl w:ilvl="0">
      <w:start w:val="1"/>
      <w:numFmt w:val="bullet"/>
      <w:lvlText w:val=""/>
      <w:lvlJc w:val="left"/>
      <w:pPr>
        <w:ind w:left="280" w:hanging="728"/>
      </w:pPr>
      <w:rPr>
        <w:rFonts w:hint="default" w:ascii="Wingdings" w:hAnsi="Wingdings" w:eastAsia="Wingdings" w:cs="Wingdings"/>
        <w:w w:val="99"/>
        <w:sz w:val="20"/>
        <w:szCs w:val="20"/>
      </w:rPr>
    </w:lvl>
    <w:lvl w:ilvl="1">
      <w:start w:val="1"/>
      <w:numFmt w:val="bullet"/>
      <w:lvlText w:val="•"/>
      <w:lvlJc w:val="left"/>
      <w:pPr>
        <w:ind w:left="564" w:hanging="728"/>
      </w:pPr>
      <w:rPr>
        <w:rFonts w:hint="default"/>
      </w:rPr>
    </w:lvl>
    <w:lvl w:ilvl="2">
      <w:start w:val="1"/>
      <w:numFmt w:val="bullet"/>
      <w:lvlText w:val="•"/>
      <w:lvlJc w:val="left"/>
      <w:pPr>
        <w:ind w:left="848" w:hanging="728"/>
      </w:pPr>
      <w:rPr>
        <w:rFonts w:hint="default"/>
      </w:rPr>
    </w:lvl>
    <w:lvl w:ilvl="3">
      <w:start w:val="1"/>
      <w:numFmt w:val="bullet"/>
      <w:lvlText w:val="•"/>
      <w:lvlJc w:val="left"/>
      <w:pPr>
        <w:ind w:left="1132" w:hanging="728"/>
      </w:pPr>
      <w:rPr>
        <w:rFonts w:hint="default"/>
      </w:rPr>
    </w:lvl>
    <w:lvl w:ilvl="4">
      <w:start w:val="1"/>
      <w:numFmt w:val="bullet"/>
      <w:lvlText w:val="•"/>
      <w:lvlJc w:val="left"/>
      <w:pPr>
        <w:ind w:left="1416" w:hanging="728"/>
      </w:pPr>
      <w:rPr>
        <w:rFonts w:hint="default"/>
      </w:rPr>
    </w:lvl>
    <w:lvl w:ilvl="5">
      <w:start w:val="1"/>
      <w:numFmt w:val="bullet"/>
      <w:lvlText w:val="•"/>
      <w:lvlJc w:val="left"/>
      <w:pPr>
        <w:ind w:left="1701" w:hanging="728"/>
      </w:pPr>
      <w:rPr>
        <w:rFonts w:hint="default"/>
      </w:rPr>
    </w:lvl>
    <w:lvl w:ilvl="6">
      <w:start w:val="1"/>
      <w:numFmt w:val="bullet"/>
      <w:lvlText w:val="•"/>
      <w:lvlJc w:val="left"/>
      <w:pPr>
        <w:ind w:left="1985" w:hanging="728"/>
      </w:pPr>
      <w:rPr>
        <w:rFonts w:hint="default"/>
      </w:rPr>
    </w:lvl>
    <w:lvl w:ilvl="7">
      <w:start w:val="1"/>
      <w:numFmt w:val="bullet"/>
      <w:lvlText w:val="•"/>
      <w:lvlJc w:val="left"/>
      <w:pPr>
        <w:ind w:left="2269" w:hanging="728"/>
      </w:pPr>
      <w:rPr>
        <w:rFonts w:hint="default"/>
      </w:rPr>
    </w:lvl>
    <w:lvl w:ilvl="8">
      <w:start w:val="1"/>
      <w:numFmt w:val="bullet"/>
      <w:lvlText w:val="•"/>
      <w:lvlJc w:val="left"/>
      <w:pPr>
        <w:ind w:left="2553" w:hanging="728"/>
      </w:pPr>
      <w:rPr>
        <w:rFonts w:hint="default"/>
      </w:rPr>
    </w:lvl>
  </w:abstractNum>
  <w:abstractNum w:abstractNumId="17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173">
    <w:multiLevelType w:val="hybridMultilevel"/>
    <w:lvl w:ilvl="0">
      <w:start w:val="1"/>
      <w:numFmt w:val="bullet"/>
      <w:lvlText w:val=""/>
      <w:lvlJc w:val="left"/>
      <w:pPr>
        <w:ind w:left="811" w:hanging="672"/>
      </w:pPr>
      <w:rPr>
        <w:rFonts w:hint="default" w:ascii="Wingdings" w:hAnsi="Wingdings" w:eastAsia="Wingdings" w:cs="Wingdings"/>
        <w:w w:val="99"/>
        <w:sz w:val="20"/>
        <w:szCs w:val="20"/>
      </w:rPr>
    </w:lvl>
    <w:lvl w:ilvl="1">
      <w:start w:val="1"/>
      <w:numFmt w:val="bullet"/>
      <w:lvlText w:val="•"/>
      <w:lvlJc w:val="left"/>
      <w:pPr>
        <w:ind w:left="1050" w:hanging="672"/>
      </w:pPr>
      <w:rPr>
        <w:rFonts w:hint="default"/>
      </w:rPr>
    </w:lvl>
    <w:lvl w:ilvl="2">
      <w:start w:val="1"/>
      <w:numFmt w:val="bullet"/>
      <w:lvlText w:val="•"/>
      <w:lvlJc w:val="left"/>
      <w:pPr>
        <w:ind w:left="1280" w:hanging="672"/>
      </w:pPr>
      <w:rPr>
        <w:rFonts w:hint="default"/>
      </w:rPr>
    </w:lvl>
    <w:lvl w:ilvl="3">
      <w:start w:val="1"/>
      <w:numFmt w:val="bullet"/>
      <w:lvlText w:val="•"/>
      <w:lvlJc w:val="left"/>
      <w:pPr>
        <w:ind w:left="1510" w:hanging="672"/>
      </w:pPr>
      <w:rPr>
        <w:rFonts w:hint="default"/>
      </w:rPr>
    </w:lvl>
    <w:lvl w:ilvl="4">
      <w:start w:val="1"/>
      <w:numFmt w:val="bullet"/>
      <w:lvlText w:val="•"/>
      <w:lvlJc w:val="left"/>
      <w:pPr>
        <w:ind w:left="1740" w:hanging="672"/>
      </w:pPr>
      <w:rPr>
        <w:rFonts w:hint="default"/>
      </w:rPr>
    </w:lvl>
    <w:lvl w:ilvl="5">
      <w:start w:val="1"/>
      <w:numFmt w:val="bullet"/>
      <w:lvlText w:val="•"/>
      <w:lvlJc w:val="left"/>
      <w:pPr>
        <w:ind w:left="1971" w:hanging="672"/>
      </w:pPr>
      <w:rPr>
        <w:rFonts w:hint="default"/>
      </w:rPr>
    </w:lvl>
    <w:lvl w:ilvl="6">
      <w:start w:val="1"/>
      <w:numFmt w:val="bullet"/>
      <w:lvlText w:val="•"/>
      <w:lvlJc w:val="left"/>
      <w:pPr>
        <w:ind w:left="2201" w:hanging="672"/>
      </w:pPr>
      <w:rPr>
        <w:rFonts w:hint="default"/>
      </w:rPr>
    </w:lvl>
    <w:lvl w:ilvl="7">
      <w:start w:val="1"/>
      <w:numFmt w:val="bullet"/>
      <w:lvlText w:val="•"/>
      <w:lvlJc w:val="left"/>
      <w:pPr>
        <w:ind w:left="2431" w:hanging="672"/>
      </w:pPr>
      <w:rPr>
        <w:rFonts w:hint="default"/>
      </w:rPr>
    </w:lvl>
    <w:lvl w:ilvl="8">
      <w:start w:val="1"/>
      <w:numFmt w:val="bullet"/>
      <w:lvlText w:val="•"/>
      <w:lvlJc w:val="left"/>
      <w:pPr>
        <w:ind w:left="2661" w:hanging="672"/>
      </w:pPr>
      <w:rPr>
        <w:rFonts w:hint="default"/>
      </w:rPr>
    </w:lvl>
  </w:abstractNum>
  <w:abstractNum w:abstractNumId="17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17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170">
    <w:multiLevelType w:val="hybridMultilevel"/>
    <w:lvl w:ilvl="0">
      <w:start w:val="1"/>
      <w:numFmt w:val="bullet"/>
      <w:lvlText w:val="-"/>
      <w:lvlJc w:val="left"/>
      <w:pPr>
        <w:ind w:left="103" w:hanging="144"/>
      </w:pPr>
      <w:rPr>
        <w:rFonts w:hint="default" w:ascii="Arial" w:hAnsi="Arial" w:eastAsia="Arial" w:cs="Arial"/>
        <w:w w:val="100"/>
        <w:sz w:val="22"/>
        <w:szCs w:val="22"/>
      </w:rPr>
    </w:lvl>
    <w:lvl w:ilvl="1">
      <w:start w:val="1"/>
      <w:numFmt w:val="bullet"/>
      <w:lvlText w:val="•"/>
      <w:lvlJc w:val="left"/>
      <w:pPr>
        <w:ind w:left="1411" w:hanging="144"/>
      </w:pPr>
      <w:rPr>
        <w:rFonts w:hint="default"/>
      </w:rPr>
    </w:lvl>
    <w:lvl w:ilvl="2">
      <w:start w:val="1"/>
      <w:numFmt w:val="bullet"/>
      <w:lvlText w:val="•"/>
      <w:lvlJc w:val="left"/>
      <w:pPr>
        <w:ind w:left="2722" w:hanging="144"/>
      </w:pPr>
      <w:rPr>
        <w:rFonts w:hint="default"/>
      </w:rPr>
    </w:lvl>
    <w:lvl w:ilvl="3">
      <w:start w:val="1"/>
      <w:numFmt w:val="bullet"/>
      <w:lvlText w:val="•"/>
      <w:lvlJc w:val="left"/>
      <w:pPr>
        <w:ind w:left="4034" w:hanging="144"/>
      </w:pPr>
      <w:rPr>
        <w:rFonts w:hint="default"/>
      </w:rPr>
    </w:lvl>
    <w:lvl w:ilvl="4">
      <w:start w:val="1"/>
      <w:numFmt w:val="bullet"/>
      <w:lvlText w:val="•"/>
      <w:lvlJc w:val="left"/>
      <w:pPr>
        <w:ind w:left="5345" w:hanging="144"/>
      </w:pPr>
      <w:rPr>
        <w:rFonts w:hint="default"/>
      </w:rPr>
    </w:lvl>
    <w:lvl w:ilvl="5">
      <w:start w:val="1"/>
      <w:numFmt w:val="bullet"/>
      <w:lvlText w:val="•"/>
      <w:lvlJc w:val="left"/>
      <w:pPr>
        <w:ind w:left="6657" w:hanging="144"/>
      </w:pPr>
      <w:rPr>
        <w:rFonts w:hint="default"/>
      </w:rPr>
    </w:lvl>
    <w:lvl w:ilvl="6">
      <w:start w:val="1"/>
      <w:numFmt w:val="bullet"/>
      <w:lvlText w:val="•"/>
      <w:lvlJc w:val="left"/>
      <w:pPr>
        <w:ind w:left="7968" w:hanging="144"/>
      </w:pPr>
      <w:rPr>
        <w:rFonts w:hint="default"/>
      </w:rPr>
    </w:lvl>
    <w:lvl w:ilvl="7">
      <w:start w:val="1"/>
      <w:numFmt w:val="bullet"/>
      <w:lvlText w:val="•"/>
      <w:lvlJc w:val="left"/>
      <w:pPr>
        <w:ind w:left="9279" w:hanging="144"/>
      </w:pPr>
      <w:rPr>
        <w:rFonts w:hint="default"/>
      </w:rPr>
    </w:lvl>
    <w:lvl w:ilvl="8">
      <w:start w:val="1"/>
      <w:numFmt w:val="bullet"/>
      <w:lvlText w:val="•"/>
      <w:lvlJc w:val="left"/>
      <w:pPr>
        <w:ind w:left="10591" w:hanging="144"/>
      </w:pPr>
      <w:rPr>
        <w:rFonts w:hint="default"/>
      </w:rPr>
    </w:lvl>
  </w:abstractNum>
  <w:abstractNum w:abstractNumId="169">
    <w:multiLevelType w:val="hybridMultilevel"/>
    <w:lvl w:ilvl="0">
      <w:start w:val="1"/>
      <w:numFmt w:val="bullet"/>
      <w:lvlText w:val="-"/>
      <w:lvlJc w:val="left"/>
      <w:pPr>
        <w:ind w:left="64" w:hanging="168"/>
      </w:pPr>
      <w:rPr>
        <w:rFonts w:hint="default" w:ascii="Arial" w:hAnsi="Arial" w:eastAsia="Arial" w:cs="Arial"/>
        <w:w w:val="100"/>
        <w:sz w:val="22"/>
        <w:szCs w:val="22"/>
      </w:rPr>
    </w:lvl>
    <w:lvl w:ilvl="1">
      <w:start w:val="1"/>
      <w:numFmt w:val="bullet"/>
      <w:lvlText w:val="•"/>
      <w:lvlJc w:val="left"/>
      <w:pPr>
        <w:ind w:left="1375" w:hanging="168"/>
      </w:pPr>
      <w:rPr>
        <w:rFonts w:hint="default"/>
      </w:rPr>
    </w:lvl>
    <w:lvl w:ilvl="2">
      <w:start w:val="1"/>
      <w:numFmt w:val="bullet"/>
      <w:lvlText w:val="•"/>
      <w:lvlJc w:val="left"/>
      <w:pPr>
        <w:ind w:left="2690" w:hanging="168"/>
      </w:pPr>
      <w:rPr>
        <w:rFonts w:hint="default"/>
      </w:rPr>
    </w:lvl>
    <w:lvl w:ilvl="3">
      <w:start w:val="1"/>
      <w:numFmt w:val="bullet"/>
      <w:lvlText w:val="•"/>
      <w:lvlJc w:val="left"/>
      <w:pPr>
        <w:ind w:left="4006" w:hanging="168"/>
      </w:pPr>
      <w:rPr>
        <w:rFonts w:hint="default"/>
      </w:rPr>
    </w:lvl>
    <w:lvl w:ilvl="4">
      <w:start w:val="1"/>
      <w:numFmt w:val="bullet"/>
      <w:lvlText w:val="•"/>
      <w:lvlJc w:val="left"/>
      <w:pPr>
        <w:ind w:left="5321" w:hanging="168"/>
      </w:pPr>
      <w:rPr>
        <w:rFonts w:hint="default"/>
      </w:rPr>
    </w:lvl>
    <w:lvl w:ilvl="5">
      <w:start w:val="1"/>
      <w:numFmt w:val="bullet"/>
      <w:lvlText w:val="•"/>
      <w:lvlJc w:val="left"/>
      <w:pPr>
        <w:ind w:left="6637" w:hanging="168"/>
      </w:pPr>
      <w:rPr>
        <w:rFonts w:hint="default"/>
      </w:rPr>
    </w:lvl>
    <w:lvl w:ilvl="6">
      <w:start w:val="1"/>
      <w:numFmt w:val="bullet"/>
      <w:lvlText w:val="•"/>
      <w:lvlJc w:val="left"/>
      <w:pPr>
        <w:ind w:left="7952" w:hanging="168"/>
      </w:pPr>
      <w:rPr>
        <w:rFonts w:hint="default"/>
      </w:rPr>
    </w:lvl>
    <w:lvl w:ilvl="7">
      <w:start w:val="1"/>
      <w:numFmt w:val="bullet"/>
      <w:lvlText w:val="•"/>
      <w:lvlJc w:val="left"/>
      <w:pPr>
        <w:ind w:left="9267" w:hanging="168"/>
      </w:pPr>
      <w:rPr>
        <w:rFonts w:hint="default"/>
      </w:rPr>
    </w:lvl>
    <w:lvl w:ilvl="8">
      <w:start w:val="1"/>
      <w:numFmt w:val="bullet"/>
      <w:lvlText w:val="•"/>
      <w:lvlJc w:val="left"/>
      <w:pPr>
        <w:ind w:left="10583" w:hanging="168"/>
      </w:pPr>
      <w:rPr>
        <w:rFonts w:hint="default"/>
      </w:rPr>
    </w:lvl>
  </w:abstractNum>
  <w:abstractNum w:abstractNumId="168">
    <w:multiLevelType w:val="hybridMultilevel"/>
    <w:lvl w:ilvl="0">
      <w:start w:val="1"/>
      <w:numFmt w:val="bullet"/>
      <w:lvlText w:val="-"/>
      <w:lvlJc w:val="left"/>
      <w:pPr>
        <w:ind w:left="27" w:hanging="214"/>
      </w:pPr>
      <w:rPr>
        <w:rFonts w:hint="default" w:ascii="Arial" w:hAnsi="Arial" w:eastAsia="Arial" w:cs="Arial"/>
        <w:w w:val="100"/>
        <w:sz w:val="22"/>
        <w:szCs w:val="22"/>
      </w:rPr>
    </w:lvl>
    <w:lvl w:ilvl="1">
      <w:start w:val="1"/>
      <w:numFmt w:val="bullet"/>
      <w:lvlText w:val="•"/>
      <w:lvlJc w:val="left"/>
      <w:pPr>
        <w:ind w:left="1331" w:hanging="214"/>
      </w:pPr>
      <w:rPr>
        <w:rFonts w:hint="default"/>
      </w:rPr>
    </w:lvl>
    <w:lvl w:ilvl="2">
      <w:start w:val="1"/>
      <w:numFmt w:val="bullet"/>
      <w:lvlText w:val="•"/>
      <w:lvlJc w:val="left"/>
      <w:pPr>
        <w:ind w:left="2643" w:hanging="214"/>
      </w:pPr>
      <w:rPr>
        <w:rFonts w:hint="default"/>
      </w:rPr>
    </w:lvl>
    <w:lvl w:ilvl="3">
      <w:start w:val="1"/>
      <w:numFmt w:val="bullet"/>
      <w:lvlText w:val="•"/>
      <w:lvlJc w:val="left"/>
      <w:pPr>
        <w:ind w:left="3955" w:hanging="214"/>
      </w:pPr>
      <w:rPr>
        <w:rFonts w:hint="default"/>
      </w:rPr>
    </w:lvl>
    <w:lvl w:ilvl="4">
      <w:start w:val="1"/>
      <w:numFmt w:val="bullet"/>
      <w:lvlText w:val="•"/>
      <w:lvlJc w:val="left"/>
      <w:pPr>
        <w:ind w:left="5267" w:hanging="214"/>
      </w:pPr>
      <w:rPr>
        <w:rFonts w:hint="default"/>
      </w:rPr>
    </w:lvl>
    <w:lvl w:ilvl="5">
      <w:start w:val="1"/>
      <w:numFmt w:val="bullet"/>
      <w:lvlText w:val="•"/>
      <w:lvlJc w:val="left"/>
      <w:pPr>
        <w:ind w:left="6579" w:hanging="214"/>
      </w:pPr>
      <w:rPr>
        <w:rFonts w:hint="default"/>
      </w:rPr>
    </w:lvl>
    <w:lvl w:ilvl="6">
      <w:start w:val="1"/>
      <w:numFmt w:val="bullet"/>
      <w:lvlText w:val="•"/>
      <w:lvlJc w:val="left"/>
      <w:pPr>
        <w:ind w:left="7891" w:hanging="214"/>
      </w:pPr>
      <w:rPr>
        <w:rFonts w:hint="default"/>
      </w:rPr>
    </w:lvl>
    <w:lvl w:ilvl="7">
      <w:start w:val="1"/>
      <w:numFmt w:val="bullet"/>
      <w:lvlText w:val="•"/>
      <w:lvlJc w:val="left"/>
      <w:pPr>
        <w:ind w:left="9203" w:hanging="214"/>
      </w:pPr>
      <w:rPr>
        <w:rFonts w:hint="default"/>
      </w:rPr>
    </w:lvl>
    <w:lvl w:ilvl="8">
      <w:start w:val="1"/>
      <w:numFmt w:val="bullet"/>
      <w:lvlText w:val="•"/>
      <w:lvlJc w:val="left"/>
      <w:pPr>
        <w:ind w:left="10515" w:hanging="214"/>
      </w:pPr>
      <w:rPr>
        <w:rFonts w:hint="default"/>
      </w:rPr>
    </w:lvl>
  </w:abstractNum>
  <w:abstractNum w:abstractNumId="167">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4" w:hanging="672"/>
      </w:pPr>
      <w:rPr>
        <w:rFonts w:hint="default"/>
      </w:rPr>
    </w:lvl>
    <w:lvl w:ilvl="2">
      <w:start w:val="1"/>
      <w:numFmt w:val="bullet"/>
      <w:lvlText w:val="•"/>
      <w:lvlJc w:val="left"/>
      <w:pPr>
        <w:ind w:left="989" w:hanging="672"/>
      </w:pPr>
      <w:rPr>
        <w:rFonts w:hint="default"/>
      </w:rPr>
    </w:lvl>
    <w:lvl w:ilvl="3">
      <w:start w:val="1"/>
      <w:numFmt w:val="bullet"/>
      <w:lvlText w:val="•"/>
      <w:lvlJc w:val="left"/>
      <w:pPr>
        <w:ind w:left="1344" w:hanging="672"/>
      </w:pPr>
      <w:rPr>
        <w:rFonts w:hint="default"/>
      </w:rPr>
    </w:lvl>
    <w:lvl w:ilvl="4">
      <w:start w:val="1"/>
      <w:numFmt w:val="bullet"/>
      <w:lvlText w:val="•"/>
      <w:lvlJc w:val="left"/>
      <w:pPr>
        <w:ind w:left="1699" w:hanging="672"/>
      </w:pPr>
      <w:rPr>
        <w:rFonts w:hint="default"/>
      </w:rPr>
    </w:lvl>
    <w:lvl w:ilvl="5">
      <w:start w:val="1"/>
      <w:numFmt w:val="bullet"/>
      <w:lvlText w:val="•"/>
      <w:lvlJc w:val="left"/>
      <w:pPr>
        <w:ind w:left="2054" w:hanging="672"/>
      </w:pPr>
      <w:rPr>
        <w:rFonts w:hint="default"/>
      </w:rPr>
    </w:lvl>
    <w:lvl w:ilvl="6">
      <w:start w:val="1"/>
      <w:numFmt w:val="bullet"/>
      <w:lvlText w:val="•"/>
      <w:lvlJc w:val="left"/>
      <w:pPr>
        <w:ind w:left="2409" w:hanging="672"/>
      </w:pPr>
      <w:rPr>
        <w:rFonts w:hint="default"/>
      </w:rPr>
    </w:lvl>
    <w:lvl w:ilvl="7">
      <w:start w:val="1"/>
      <w:numFmt w:val="bullet"/>
      <w:lvlText w:val="•"/>
      <w:lvlJc w:val="left"/>
      <w:pPr>
        <w:ind w:left="2764" w:hanging="672"/>
      </w:pPr>
      <w:rPr>
        <w:rFonts w:hint="default"/>
      </w:rPr>
    </w:lvl>
    <w:lvl w:ilvl="8">
      <w:start w:val="1"/>
      <w:numFmt w:val="bullet"/>
      <w:lvlText w:val="•"/>
      <w:lvlJc w:val="left"/>
      <w:pPr>
        <w:ind w:left="3119" w:hanging="672"/>
      </w:pPr>
      <w:rPr>
        <w:rFonts w:hint="default"/>
      </w:rPr>
    </w:lvl>
  </w:abstractNum>
  <w:abstractNum w:abstractNumId="166">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4" w:hanging="672"/>
      </w:pPr>
      <w:rPr>
        <w:rFonts w:hint="default"/>
      </w:rPr>
    </w:lvl>
    <w:lvl w:ilvl="2">
      <w:start w:val="1"/>
      <w:numFmt w:val="bullet"/>
      <w:lvlText w:val="•"/>
      <w:lvlJc w:val="left"/>
      <w:pPr>
        <w:ind w:left="989" w:hanging="672"/>
      </w:pPr>
      <w:rPr>
        <w:rFonts w:hint="default"/>
      </w:rPr>
    </w:lvl>
    <w:lvl w:ilvl="3">
      <w:start w:val="1"/>
      <w:numFmt w:val="bullet"/>
      <w:lvlText w:val="•"/>
      <w:lvlJc w:val="left"/>
      <w:pPr>
        <w:ind w:left="1344" w:hanging="672"/>
      </w:pPr>
      <w:rPr>
        <w:rFonts w:hint="default"/>
      </w:rPr>
    </w:lvl>
    <w:lvl w:ilvl="4">
      <w:start w:val="1"/>
      <w:numFmt w:val="bullet"/>
      <w:lvlText w:val="•"/>
      <w:lvlJc w:val="left"/>
      <w:pPr>
        <w:ind w:left="1699" w:hanging="672"/>
      </w:pPr>
      <w:rPr>
        <w:rFonts w:hint="default"/>
      </w:rPr>
    </w:lvl>
    <w:lvl w:ilvl="5">
      <w:start w:val="1"/>
      <w:numFmt w:val="bullet"/>
      <w:lvlText w:val="•"/>
      <w:lvlJc w:val="left"/>
      <w:pPr>
        <w:ind w:left="2054" w:hanging="672"/>
      </w:pPr>
      <w:rPr>
        <w:rFonts w:hint="default"/>
      </w:rPr>
    </w:lvl>
    <w:lvl w:ilvl="6">
      <w:start w:val="1"/>
      <w:numFmt w:val="bullet"/>
      <w:lvlText w:val="•"/>
      <w:lvlJc w:val="left"/>
      <w:pPr>
        <w:ind w:left="2409" w:hanging="672"/>
      </w:pPr>
      <w:rPr>
        <w:rFonts w:hint="default"/>
      </w:rPr>
    </w:lvl>
    <w:lvl w:ilvl="7">
      <w:start w:val="1"/>
      <w:numFmt w:val="bullet"/>
      <w:lvlText w:val="•"/>
      <w:lvlJc w:val="left"/>
      <w:pPr>
        <w:ind w:left="2764" w:hanging="672"/>
      </w:pPr>
      <w:rPr>
        <w:rFonts w:hint="default"/>
      </w:rPr>
    </w:lvl>
    <w:lvl w:ilvl="8">
      <w:start w:val="1"/>
      <w:numFmt w:val="bullet"/>
      <w:lvlText w:val="•"/>
      <w:lvlJc w:val="left"/>
      <w:pPr>
        <w:ind w:left="3119" w:hanging="672"/>
      </w:pPr>
      <w:rPr>
        <w:rFonts w:hint="default"/>
      </w:rPr>
    </w:lvl>
  </w:abstractNum>
  <w:abstractNum w:abstractNumId="165">
    <w:multiLevelType w:val="hybridMultilevel"/>
    <w:lvl w:ilvl="0">
      <w:start w:val="1"/>
      <w:numFmt w:val="bullet"/>
      <w:lvlText w:val=""/>
      <w:lvlJc w:val="left"/>
      <w:pPr>
        <w:ind w:left="281" w:hanging="728"/>
      </w:pPr>
      <w:rPr>
        <w:rFonts w:hint="default" w:ascii="Wingdings" w:hAnsi="Wingdings" w:eastAsia="Wingdings" w:cs="Wingdings"/>
        <w:w w:val="99"/>
        <w:sz w:val="20"/>
        <w:szCs w:val="20"/>
      </w:rPr>
    </w:lvl>
    <w:lvl w:ilvl="1">
      <w:start w:val="1"/>
      <w:numFmt w:val="bullet"/>
      <w:lvlText w:val="•"/>
      <w:lvlJc w:val="left"/>
      <w:pPr>
        <w:ind w:left="634" w:hanging="728"/>
      </w:pPr>
      <w:rPr>
        <w:rFonts w:hint="default"/>
      </w:rPr>
    </w:lvl>
    <w:lvl w:ilvl="2">
      <w:start w:val="1"/>
      <w:numFmt w:val="bullet"/>
      <w:lvlText w:val="•"/>
      <w:lvlJc w:val="left"/>
      <w:pPr>
        <w:ind w:left="989" w:hanging="728"/>
      </w:pPr>
      <w:rPr>
        <w:rFonts w:hint="default"/>
      </w:rPr>
    </w:lvl>
    <w:lvl w:ilvl="3">
      <w:start w:val="1"/>
      <w:numFmt w:val="bullet"/>
      <w:lvlText w:val="•"/>
      <w:lvlJc w:val="left"/>
      <w:pPr>
        <w:ind w:left="1344" w:hanging="728"/>
      </w:pPr>
      <w:rPr>
        <w:rFonts w:hint="default"/>
      </w:rPr>
    </w:lvl>
    <w:lvl w:ilvl="4">
      <w:start w:val="1"/>
      <w:numFmt w:val="bullet"/>
      <w:lvlText w:val="•"/>
      <w:lvlJc w:val="left"/>
      <w:pPr>
        <w:ind w:left="1699" w:hanging="728"/>
      </w:pPr>
      <w:rPr>
        <w:rFonts w:hint="default"/>
      </w:rPr>
    </w:lvl>
    <w:lvl w:ilvl="5">
      <w:start w:val="1"/>
      <w:numFmt w:val="bullet"/>
      <w:lvlText w:val="•"/>
      <w:lvlJc w:val="left"/>
      <w:pPr>
        <w:ind w:left="2054" w:hanging="728"/>
      </w:pPr>
      <w:rPr>
        <w:rFonts w:hint="default"/>
      </w:rPr>
    </w:lvl>
    <w:lvl w:ilvl="6">
      <w:start w:val="1"/>
      <w:numFmt w:val="bullet"/>
      <w:lvlText w:val="•"/>
      <w:lvlJc w:val="left"/>
      <w:pPr>
        <w:ind w:left="2409" w:hanging="728"/>
      </w:pPr>
      <w:rPr>
        <w:rFonts w:hint="default"/>
      </w:rPr>
    </w:lvl>
    <w:lvl w:ilvl="7">
      <w:start w:val="1"/>
      <w:numFmt w:val="bullet"/>
      <w:lvlText w:val="•"/>
      <w:lvlJc w:val="left"/>
      <w:pPr>
        <w:ind w:left="2764" w:hanging="728"/>
      </w:pPr>
      <w:rPr>
        <w:rFonts w:hint="default"/>
      </w:rPr>
    </w:lvl>
    <w:lvl w:ilvl="8">
      <w:start w:val="1"/>
      <w:numFmt w:val="bullet"/>
      <w:lvlText w:val="•"/>
      <w:lvlJc w:val="left"/>
      <w:pPr>
        <w:ind w:left="3119" w:hanging="728"/>
      </w:pPr>
      <w:rPr>
        <w:rFonts w:hint="default"/>
      </w:rPr>
    </w:lvl>
  </w:abstractNum>
  <w:abstractNum w:abstractNumId="164">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4" w:hanging="672"/>
      </w:pPr>
      <w:rPr>
        <w:rFonts w:hint="default"/>
      </w:rPr>
    </w:lvl>
    <w:lvl w:ilvl="2">
      <w:start w:val="1"/>
      <w:numFmt w:val="bullet"/>
      <w:lvlText w:val="•"/>
      <w:lvlJc w:val="left"/>
      <w:pPr>
        <w:ind w:left="989" w:hanging="672"/>
      </w:pPr>
      <w:rPr>
        <w:rFonts w:hint="default"/>
      </w:rPr>
    </w:lvl>
    <w:lvl w:ilvl="3">
      <w:start w:val="1"/>
      <w:numFmt w:val="bullet"/>
      <w:lvlText w:val="•"/>
      <w:lvlJc w:val="left"/>
      <w:pPr>
        <w:ind w:left="1344" w:hanging="672"/>
      </w:pPr>
      <w:rPr>
        <w:rFonts w:hint="default"/>
      </w:rPr>
    </w:lvl>
    <w:lvl w:ilvl="4">
      <w:start w:val="1"/>
      <w:numFmt w:val="bullet"/>
      <w:lvlText w:val="•"/>
      <w:lvlJc w:val="left"/>
      <w:pPr>
        <w:ind w:left="1699" w:hanging="672"/>
      </w:pPr>
      <w:rPr>
        <w:rFonts w:hint="default"/>
      </w:rPr>
    </w:lvl>
    <w:lvl w:ilvl="5">
      <w:start w:val="1"/>
      <w:numFmt w:val="bullet"/>
      <w:lvlText w:val="•"/>
      <w:lvlJc w:val="left"/>
      <w:pPr>
        <w:ind w:left="2054" w:hanging="672"/>
      </w:pPr>
      <w:rPr>
        <w:rFonts w:hint="default"/>
      </w:rPr>
    </w:lvl>
    <w:lvl w:ilvl="6">
      <w:start w:val="1"/>
      <w:numFmt w:val="bullet"/>
      <w:lvlText w:val="•"/>
      <w:lvlJc w:val="left"/>
      <w:pPr>
        <w:ind w:left="2409" w:hanging="672"/>
      </w:pPr>
      <w:rPr>
        <w:rFonts w:hint="default"/>
      </w:rPr>
    </w:lvl>
    <w:lvl w:ilvl="7">
      <w:start w:val="1"/>
      <w:numFmt w:val="bullet"/>
      <w:lvlText w:val="•"/>
      <w:lvlJc w:val="left"/>
      <w:pPr>
        <w:ind w:left="2764" w:hanging="672"/>
      </w:pPr>
      <w:rPr>
        <w:rFonts w:hint="default"/>
      </w:rPr>
    </w:lvl>
    <w:lvl w:ilvl="8">
      <w:start w:val="1"/>
      <w:numFmt w:val="bullet"/>
      <w:lvlText w:val="•"/>
      <w:lvlJc w:val="left"/>
      <w:pPr>
        <w:ind w:left="3119" w:hanging="672"/>
      </w:pPr>
      <w:rPr>
        <w:rFonts w:hint="default"/>
      </w:rPr>
    </w:lvl>
  </w:abstractNum>
  <w:abstractNum w:abstractNumId="163">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4" w:hanging="672"/>
      </w:pPr>
      <w:rPr>
        <w:rFonts w:hint="default"/>
      </w:rPr>
    </w:lvl>
    <w:lvl w:ilvl="2">
      <w:start w:val="1"/>
      <w:numFmt w:val="bullet"/>
      <w:lvlText w:val="•"/>
      <w:lvlJc w:val="left"/>
      <w:pPr>
        <w:ind w:left="989" w:hanging="672"/>
      </w:pPr>
      <w:rPr>
        <w:rFonts w:hint="default"/>
      </w:rPr>
    </w:lvl>
    <w:lvl w:ilvl="3">
      <w:start w:val="1"/>
      <w:numFmt w:val="bullet"/>
      <w:lvlText w:val="•"/>
      <w:lvlJc w:val="left"/>
      <w:pPr>
        <w:ind w:left="1344" w:hanging="672"/>
      </w:pPr>
      <w:rPr>
        <w:rFonts w:hint="default"/>
      </w:rPr>
    </w:lvl>
    <w:lvl w:ilvl="4">
      <w:start w:val="1"/>
      <w:numFmt w:val="bullet"/>
      <w:lvlText w:val="•"/>
      <w:lvlJc w:val="left"/>
      <w:pPr>
        <w:ind w:left="1699" w:hanging="672"/>
      </w:pPr>
      <w:rPr>
        <w:rFonts w:hint="default"/>
      </w:rPr>
    </w:lvl>
    <w:lvl w:ilvl="5">
      <w:start w:val="1"/>
      <w:numFmt w:val="bullet"/>
      <w:lvlText w:val="•"/>
      <w:lvlJc w:val="left"/>
      <w:pPr>
        <w:ind w:left="2054" w:hanging="672"/>
      </w:pPr>
      <w:rPr>
        <w:rFonts w:hint="default"/>
      </w:rPr>
    </w:lvl>
    <w:lvl w:ilvl="6">
      <w:start w:val="1"/>
      <w:numFmt w:val="bullet"/>
      <w:lvlText w:val="•"/>
      <w:lvlJc w:val="left"/>
      <w:pPr>
        <w:ind w:left="2409" w:hanging="672"/>
      </w:pPr>
      <w:rPr>
        <w:rFonts w:hint="default"/>
      </w:rPr>
    </w:lvl>
    <w:lvl w:ilvl="7">
      <w:start w:val="1"/>
      <w:numFmt w:val="bullet"/>
      <w:lvlText w:val="•"/>
      <w:lvlJc w:val="left"/>
      <w:pPr>
        <w:ind w:left="2764" w:hanging="672"/>
      </w:pPr>
      <w:rPr>
        <w:rFonts w:hint="default"/>
      </w:rPr>
    </w:lvl>
    <w:lvl w:ilvl="8">
      <w:start w:val="1"/>
      <w:numFmt w:val="bullet"/>
      <w:lvlText w:val="•"/>
      <w:lvlJc w:val="left"/>
      <w:pPr>
        <w:ind w:left="3119" w:hanging="672"/>
      </w:pPr>
      <w:rPr>
        <w:rFonts w:hint="default"/>
      </w:rPr>
    </w:lvl>
  </w:abstractNum>
  <w:abstractNum w:abstractNumId="162">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4" w:hanging="672"/>
      </w:pPr>
      <w:rPr>
        <w:rFonts w:hint="default"/>
      </w:rPr>
    </w:lvl>
    <w:lvl w:ilvl="2">
      <w:start w:val="1"/>
      <w:numFmt w:val="bullet"/>
      <w:lvlText w:val="•"/>
      <w:lvlJc w:val="left"/>
      <w:pPr>
        <w:ind w:left="989" w:hanging="672"/>
      </w:pPr>
      <w:rPr>
        <w:rFonts w:hint="default"/>
      </w:rPr>
    </w:lvl>
    <w:lvl w:ilvl="3">
      <w:start w:val="1"/>
      <w:numFmt w:val="bullet"/>
      <w:lvlText w:val="•"/>
      <w:lvlJc w:val="left"/>
      <w:pPr>
        <w:ind w:left="1344" w:hanging="672"/>
      </w:pPr>
      <w:rPr>
        <w:rFonts w:hint="default"/>
      </w:rPr>
    </w:lvl>
    <w:lvl w:ilvl="4">
      <w:start w:val="1"/>
      <w:numFmt w:val="bullet"/>
      <w:lvlText w:val="•"/>
      <w:lvlJc w:val="left"/>
      <w:pPr>
        <w:ind w:left="1699" w:hanging="672"/>
      </w:pPr>
      <w:rPr>
        <w:rFonts w:hint="default"/>
      </w:rPr>
    </w:lvl>
    <w:lvl w:ilvl="5">
      <w:start w:val="1"/>
      <w:numFmt w:val="bullet"/>
      <w:lvlText w:val="•"/>
      <w:lvlJc w:val="left"/>
      <w:pPr>
        <w:ind w:left="2054" w:hanging="672"/>
      </w:pPr>
      <w:rPr>
        <w:rFonts w:hint="default"/>
      </w:rPr>
    </w:lvl>
    <w:lvl w:ilvl="6">
      <w:start w:val="1"/>
      <w:numFmt w:val="bullet"/>
      <w:lvlText w:val="•"/>
      <w:lvlJc w:val="left"/>
      <w:pPr>
        <w:ind w:left="2409" w:hanging="672"/>
      </w:pPr>
      <w:rPr>
        <w:rFonts w:hint="default"/>
      </w:rPr>
    </w:lvl>
    <w:lvl w:ilvl="7">
      <w:start w:val="1"/>
      <w:numFmt w:val="bullet"/>
      <w:lvlText w:val="•"/>
      <w:lvlJc w:val="left"/>
      <w:pPr>
        <w:ind w:left="2764" w:hanging="672"/>
      </w:pPr>
      <w:rPr>
        <w:rFonts w:hint="default"/>
      </w:rPr>
    </w:lvl>
    <w:lvl w:ilvl="8">
      <w:start w:val="1"/>
      <w:numFmt w:val="bullet"/>
      <w:lvlText w:val="•"/>
      <w:lvlJc w:val="left"/>
      <w:pPr>
        <w:ind w:left="3119" w:hanging="672"/>
      </w:pPr>
      <w:rPr>
        <w:rFonts w:hint="default"/>
      </w:rPr>
    </w:lvl>
  </w:abstractNum>
  <w:abstractNum w:abstractNumId="161">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4" w:hanging="672"/>
      </w:pPr>
      <w:rPr>
        <w:rFonts w:hint="default"/>
      </w:rPr>
    </w:lvl>
    <w:lvl w:ilvl="2">
      <w:start w:val="1"/>
      <w:numFmt w:val="bullet"/>
      <w:lvlText w:val="•"/>
      <w:lvlJc w:val="left"/>
      <w:pPr>
        <w:ind w:left="989" w:hanging="672"/>
      </w:pPr>
      <w:rPr>
        <w:rFonts w:hint="default"/>
      </w:rPr>
    </w:lvl>
    <w:lvl w:ilvl="3">
      <w:start w:val="1"/>
      <w:numFmt w:val="bullet"/>
      <w:lvlText w:val="•"/>
      <w:lvlJc w:val="left"/>
      <w:pPr>
        <w:ind w:left="1344" w:hanging="672"/>
      </w:pPr>
      <w:rPr>
        <w:rFonts w:hint="default"/>
      </w:rPr>
    </w:lvl>
    <w:lvl w:ilvl="4">
      <w:start w:val="1"/>
      <w:numFmt w:val="bullet"/>
      <w:lvlText w:val="•"/>
      <w:lvlJc w:val="left"/>
      <w:pPr>
        <w:ind w:left="1699" w:hanging="672"/>
      </w:pPr>
      <w:rPr>
        <w:rFonts w:hint="default"/>
      </w:rPr>
    </w:lvl>
    <w:lvl w:ilvl="5">
      <w:start w:val="1"/>
      <w:numFmt w:val="bullet"/>
      <w:lvlText w:val="•"/>
      <w:lvlJc w:val="left"/>
      <w:pPr>
        <w:ind w:left="2054" w:hanging="672"/>
      </w:pPr>
      <w:rPr>
        <w:rFonts w:hint="default"/>
      </w:rPr>
    </w:lvl>
    <w:lvl w:ilvl="6">
      <w:start w:val="1"/>
      <w:numFmt w:val="bullet"/>
      <w:lvlText w:val="•"/>
      <w:lvlJc w:val="left"/>
      <w:pPr>
        <w:ind w:left="2409" w:hanging="672"/>
      </w:pPr>
      <w:rPr>
        <w:rFonts w:hint="default"/>
      </w:rPr>
    </w:lvl>
    <w:lvl w:ilvl="7">
      <w:start w:val="1"/>
      <w:numFmt w:val="bullet"/>
      <w:lvlText w:val="•"/>
      <w:lvlJc w:val="left"/>
      <w:pPr>
        <w:ind w:left="2764" w:hanging="672"/>
      </w:pPr>
      <w:rPr>
        <w:rFonts w:hint="default"/>
      </w:rPr>
    </w:lvl>
    <w:lvl w:ilvl="8">
      <w:start w:val="1"/>
      <w:numFmt w:val="bullet"/>
      <w:lvlText w:val="•"/>
      <w:lvlJc w:val="left"/>
      <w:pPr>
        <w:ind w:left="3119" w:hanging="672"/>
      </w:pPr>
      <w:rPr>
        <w:rFonts w:hint="default"/>
      </w:rPr>
    </w:lvl>
  </w:abstractNum>
  <w:abstractNum w:abstractNumId="160">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4" w:hanging="672"/>
      </w:pPr>
      <w:rPr>
        <w:rFonts w:hint="default"/>
      </w:rPr>
    </w:lvl>
    <w:lvl w:ilvl="2">
      <w:start w:val="1"/>
      <w:numFmt w:val="bullet"/>
      <w:lvlText w:val="•"/>
      <w:lvlJc w:val="left"/>
      <w:pPr>
        <w:ind w:left="989" w:hanging="672"/>
      </w:pPr>
      <w:rPr>
        <w:rFonts w:hint="default"/>
      </w:rPr>
    </w:lvl>
    <w:lvl w:ilvl="3">
      <w:start w:val="1"/>
      <w:numFmt w:val="bullet"/>
      <w:lvlText w:val="•"/>
      <w:lvlJc w:val="left"/>
      <w:pPr>
        <w:ind w:left="1344" w:hanging="672"/>
      </w:pPr>
      <w:rPr>
        <w:rFonts w:hint="default"/>
      </w:rPr>
    </w:lvl>
    <w:lvl w:ilvl="4">
      <w:start w:val="1"/>
      <w:numFmt w:val="bullet"/>
      <w:lvlText w:val="•"/>
      <w:lvlJc w:val="left"/>
      <w:pPr>
        <w:ind w:left="1699" w:hanging="672"/>
      </w:pPr>
      <w:rPr>
        <w:rFonts w:hint="default"/>
      </w:rPr>
    </w:lvl>
    <w:lvl w:ilvl="5">
      <w:start w:val="1"/>
      <w:numFmt w:val="bullet"/>
      <w:lvlText w:val="•"/>
      <w:lvlJc w:val="left"/>
      <w:pPr>
        <w:ind w:left="2054" w:hanging="672"/>
      </w:pPr>
      <w:rPr>
        <w:rFonts w:hint="default"/>
      </w:rPr>
    </w:lvl>
    <w:lvl w:ilvl="6">
      <w:start w:val="1"/>
      <w:numFmt w:val="bullet"/>
      <w:lvlText w:val="•"/>
      <w:lvlJc w:val="left"/>
      <w:pPr>
        <w:ind w:left="2409" w:hanging="672"/>
      </w:pPr>
      <w:rPr>
        <w:rFonts w:hint="default"/>
      </w:rPr>
    </w:lvl>
    <w:lvl w:ilvl="7">
      <w:start w:val="1"/>
      <w:numFmt w:val="bullet"/>
      <w:lvlText w:val="•"/>
      <w:lvlJc w:val="left"/>
      <w:pPr>
        <w:ind w:left="2764" w:hanging="672"/>
      </w:pPr>
      <w:rPr>
        <w:rFonts w:hint="default"/>
      </w:rPr>
    </w:lvl>
    <w:lvl w:ilvl="8">
      <w:start w:val="1"/>
      <w:numFmt w:val="bullet"/>
      <w:lvlText w:val="•"/>
      <w:lvlJc w:val="left"/>
      <w:pPr>
        <w:ind w:left="3119" w:hanging="672"/>
      </w:pPr>
      <w:rPr>
        <w:rFonts w:hint="default"/>
      </w:rPr>
    </w:lvl>
  </w:abstractNum>
  <w:abstractNum w:abstractNumId="159">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4" w:hanging="672"/>
      </w:pPr>
      <w:rPr>
        <w:rFonts w:hint="default"/>
      </w:rPr>
    </w:lvl>
    <w:lvl w:ilvl="2">
      <w:start w:val="1"/>
      <w:numFmt w:val="bullet"/>
      <w:lvlText w:val="•"/>
      <w:lvlJc w:val="left"/>
      <w:pPr>
        <w:ind w:left="989" w:hanging="672"/>
      </w:pPr>
      <w:rPr>
        <w:rFonts w:hint="default"/>
      </w:rPr>
    </w:lvl>
    <w:lvl w:ilvl="3">
      <w:start w:val="1"/>
      <w:numFmt w:val="bullet"/>
      <w:lvlText w:val="•"/>
      <w:lvlJc w:val="left"/>
      <w:pPr>
        <w:ind w:left="1344" w:hanging="672"/>
      </w:pPr>
      <w:rPr>
        <w:rFonts w:hint="default"/>
      </w:rPr>
    </w:lvl>
    <w:lvl w:ilvl="4">
      <w:start w:val="1"/>
      <w:numFmt w:val="bullet"/>
      <w:lvlText w:val="•"/>
      <w:lvlJc w:val="left"/>
      <w:pPr>
        <w:ind w:left="1699" w:hanging="672"/>
      </w:pPr>
      <w:rPr>
        <w:rFonts w:hint="default"/>
      </w:rPr>
    </w:lvl>
    <w:lvl w:ilvl="5">
      <w:start w:val="1"/>
      <w:numFmt w:val="bullet"/>
      <w:lvlText w:val="•"/>
      <w:lvlJc w:val="left"/>
      <w:pPr>
        <w:ind w:left="2054" w:hanging="672"/>
      </w:pPr>
      <w:rPr>
        <w:rFonts w:hint="default"/>
      </w:rPr>
    </w:lvl>
    <w:lvl w:ilvl="6">
      <w:start w:val="1"/>
      <w:numFmt w:val="bullet"/>
      <w:lvlText w:val="•"/>
      <w:lvlJc w:val="left"/>
      <w:pPr>
        <w:ind w:left="2409" w:hanging="672"/>
      </w:pPr>
      <w:rPr>
        <w:rFonts w:hint="default"/>
      </w:rPr>
    </w:lvl>
    <w:lvl w:ilvl="7">
      <w:start w:val="1"/>
      <w:numFmt w:val="bullet"/>
      <w:lvlText w:val="•"/>
      <w:lvlJc w:val="left"/>
      <w:pPr>
        <w:ind w:left="2764" w:hanging="672"/>
      </w:pPr>
      <w:rPr>
        <w:rFonts w:hint="default"/>
      </w:rPr>
    </w:lvl>
    <w:lvl w:ilvl="8">
      <w:start w:val="1"/>
      <w:numFmt w:val="bullet"/>
      <w:lvlText w:val="•"/>
      <w:lvlJc w:val="left"/>
      <w:pPr>
        <w:ind w:left="3119" w:hanging="672"/>
      </w:pPr>
      <w:rPr>
        <w:rFonts w:hint="default"/>
      </w:rPr>
    </w:lvl>
  </w:abstractNum>
  <w:abstractNum w:abstractNumId="158">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4" w:hanging="672"/>
      </w:pPr>
      <w:rPr>
        <w:rFonts w:hint="default"/>
      </w:rPr>
    </w:lvl>
    <w:lvl w:ilvl="2">
      <w:start w:val="1"/>
      <w:numFmt w:val="bullet"/>
      <w:lvlText w:val="•"/>
      <w:lvlJc w:val="left"/>
      <w:pPr>
        <w:ind w:left="989" w:hanging="672"/>
      </w:pPr>
      <w:rPr>
        <w:rFonts w:hint="default"/>
      </w:rPr>
    </w:lvl>
    <w:lvl w:ilvl="3">
      <w:start w:val="1"/>
      <w:numFmt w:val="bullet"/>
      <w:lvlText w:val="•"/>
      <w:lvlJc w:val="left"/>
      <w:pPr>
        <w:ind w:left="1344" w:hanging="672"/>
      </w:pPr>
      <w:rPr>
        <w:rFonts w:hint="default"/>
      </w:rPr>
    </w:lvl>
    <w:lvl w:ilvl="4">
      <w:start w:val="1"/>
      <w:numFmt w:val="bullet"/>
      <w:lvlText w:val="•"/>
      <w:lvlJc w:val="left"/>
      <w:pPr>
        <w:ind w:left="1699" w:hanging="672"/>
      </w:pPr>
      <w:rPr>
        <w:rFonts w:hint="default"/>
      </w:rPr>
    </w:lvl>
    <w:lvl w:ilvl="5">
      <w:start w:val="1"/>
      <w:numFmt w:val="bullet"/>
      <w:lvlText w:val="•"/>
      <w:lvlJc w:val="left"/>
      <w:pPr>
        <w:ind w:left="2054" w:hanging="672"/>
      </w:pPr>
      <w:rPr>
        <w:rFonts w:hint="default"/>
      </w:rPr>
    </w:lvl>
    <w:lvl w:ilvl="6">
      <w:start w:val="1"/>
      <w:numFmt w:val="bullet"/>
      <w:lvlText w:val="•"/>
      <w:lvlJc w:val="left"/>
      <w:pPr>
        <w:ind w:left="2409" w:hanging="672"/>
      </w:pPr>
      <w:rPr>
        <w:rFonts w:hint="default"/>
      </w:rPr>
    </w:lvl>
    <w:lvl w:ilvl="7">
      <w:start w:val="1"/>
      <w:numFmt w:val="bullet"/>
      <w:lvlText w:val="•"/>
      <w:lvlJc w:val="left"/>
      <w:pPr>
        <w:ind w:left="2764" w:hanging="672"/>
      </w:pPr>
      <w:rPr>
        <w:rFonts w:hint="default"/>
      </w:rPr>
    </w:lvl>
    <w:lvl w:ilvl="8">
      <w:start w:val="1"/>
      <w:numFmt w:val="bullet"/>
      <w:lvlText w:val="•"/>
      <w:lvlJc w:val="left"/>
      <w:pPr>
        <w:ind w:left="3119" w:hanging="672"/>
      </w:pPr>
      <w:rPr>
        <w:rFonts w:hint="default"/>
      </w:rPr>
    </w:lvl>
  </w:abstractNum>
  <w:abstractNum w:abstractNumId="157">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4" w:hanging="672"/>
      </w:pPr>
      <w:rPr>
        <w:rFonts w:hint="default"/>
      </w:rPr>
    </w:lvl>
    <w:lvl w:ilvl="2">
      <w:start w:val="1"/>
      <w:numFmt w:val="bullet"/>
      <w:lvlText w:val="•"/>
      <w:lvlJc w:val="left"/>
      <w:pPr>
        <w:ind w:left="989" w:hanging="672"/>
      </w:pPr>
      <w:rPr>
        <w:rFonts w:hint="default"/>
      </w:rPr>
    </w:lvl>
    <w:lvl w:ilvl="3">
      <w:start w:val="1"/>
      <w:numFmt w:val="bullet"/>
      <w:lvlText w:val="•"/>
      <w:lvlJc w:val="left"/>
      <w:pPr>
        <w:ind w:left="1344" w:hanging="672"/>
      </w:pPr>
      <w:rPr>
        <w:rFonts w:hint="default"/>
      </w:rPr>
    </w:lvl>
    <w:lvl w:ilvl="4">
      <w:start w:val="1"/>
      <w:numFmt w:val="bullet"/>
      <w:lvlText w:val="•"/>
      <w:lvlJc w:val="left"/>
      <w:pPr>
        <w:ind w:left="1699" w:hanging="672"/>
      </w:pPr>
      <w:rPr>
        <w:rFonts w:hint="default"/>
      </w:rPr>
    </w:lvl>
    <w:lvl w:ilvl="5">
      <w:start w:val="1"/>
      <w:numFmt w:val="bullet"/>
      <w:lvlText w:val="•"/>
      <w:lvlJc w:val="left"/>
      <w:pPr>
        <w:ind w:left="2054" w:hanging="672"/>
      </w:pPr>
      <w:rPr>
        <w:rFonts w:hint="default"/>
      </w:rPr>
    </w:lvl>
    <w:lvl w:ilvl="6">
      <w:start w:val="1"/>
      <w:numFmt w:val="bullet"/>
      <w:lvlText w:val="•"/>
      <w:lvlJc w:val="left"/>
      <w:pPr>
        <w:ind w:left="2409" w:hanging="672"/>
      </w:pPr>
      <w:rPr>
        <w:rFonts w:hint="default"/>
      </w:rPr>
    </w:lvl>
    <w:lvl w:ilvl="7">
      <w:start w:val="1"/>
      <w:numFmt w:val="bullet"/>
      <w:lvlText w:val="•"/>
      <w:lvlJc w:val="left"/>
      <w:pPr>
        <w:ind w:left="2764" w:hanging="672"/>
      </w:pPr>
      <w:rPr>
        <w:rFonts w:hint="default"/>
      </w:rPr>
    </w:lvl>
    <w:lvl w:ilvl="8">
      <w:start w:val="1"/>
      <w:numFmt w:val="bullet"/>
      <w:lvlText w:val="•"/>
      <w:lvlJc w:val="left"/>
      <w:pPr>
        <w:ind w:left="3119" w:hanging="672"/>
      </w:pPr>
      <w:rPr>
        <w:rFonts w:hint="default"/>
      </w:rPr>
    </w:lvl>
  </w:abstractNum>
  <w:abstractNum w:abstractNumId="156">
    <w:multiLevelType w:val="hybridMultilevel"/>
    <w:lvl w:ilvl="0">
      <w:start w:val="1"/>
      <w:numFmt w:val="bullet"/>
      <w:lvlText w:val=""/>
      <w:lvlJc w:val="left"/>
      <w:pPr>
        <w:ind w:left="281" w:hanging="672"/>
      </w:pPr>
      <w:rPr>
        <w:rFonts w:hint="default" w:ascii="Wingdings" w:hAnsi="Wingdings" w:eastAsia="Wingdings" w:cs="Wingdings"/>
        <w:w w:val="99"/>
        <w:sz w:val="20"/>
        <w:szCs w:val="20"/>
      </w:rPr>
    </w:lvl>
    <w:lvl w:ilvl="1">
      <w:start w:val="1"/>
      <w:numFmt w:val="bullet"/>
      <w:lvlText w:val="•"/>
      <w:lvlJc w:val="left"/>
      <w:pPr>
        <w:ind w:left="634" w:hanging="672"/>
      </w:pPr>
      <w:rPr>
        <w:rFonts w:hint="default"/>
      </w:rPr>
    </w:lvl>
    <w:lvl w:ilvl="2">
      <w:start w:val="1"/>
      <w:numFmt w:val="bullet"/>
      <w:lvlText w:val="•"/>
      <w:lvlJc w:val="left"/>
      <w:pPr>
        <w:ind w:left="989" w:hanging="672"/>
      </w:pPr>
      <w:rPr>
        <w:rFonts w:hint="default"/>
      </w:rPr>
    </w:lvl>
    <w:lvl w:ilvl="3">
      <w:start w:val="1"/>
      <w:numFmt w:val="bullet"/>
      <w:lvlText w:val="•"/>
      <w:lvlJc w:val="left"/>
      <w:pPr>
        <w:ind w:left="1344" w:hanging="672"/>
      </w:pPr>
      <w:rPr>
        <w:rFonts w:hint="default"/>
      </w:rPr>
    </w:lvl>
    <w:lvl w:ilvl="4">
      <w:start w:val="1"/>
      <w:numFmt w:val="bullet"/>
      <w:lvlText w:val="•"/>
      <w:lvlJc w:val="left"/>
      <w:pPr>
        <w:ind w:left="1699" w:hanging="672"/>
      </w:pPr>
      <w:rPr>
        <w:rFonts w:hint="default"/>
      </w:rPr>
    </w:lvl>
    <w:lvl w:ilvl="5">
      <w:start w:val="1"/>
      <w:numFmt w:val="bullet"/>
      <w:lvlText w:val="•"/>
      <w:lvlJc w:val="left"/>
      <w:pPr>
        <w:ind w:left="2054" w:hanging="672"/>
      </w:pPr>
      <w:rPr>
        <w:rFonts w:hint="default"/>
      </w:rPr>
    </w:lvl>
    <w:lvl w:ilvl="6">
      <w:start w:val="1"/>
      <w:numFmt w:val="bullet"/>
      <w:lvlText w:val="•"/>
      <w:lvlJc w:val="left"/>
      <w:pPr>
        <w:ind w:left="2409" w:hanging="672"/>
      </w:pPr>
      <w:rPr>
        <w:rFonts w:hint="default"/>
      </w:rPr>
    </w:lvl>
    <w:lvl w:ilvl="7">
      <w:start w:val="1"/>
      <w:numFmt w:val="bullet"/>
      <w:lvlText w:val="•"/>
      <w:lvlJc w:val="left"/>
      <w:pPr>
        <w:ind w:left="2764" w:hanging="672"/>
      </w:pPr>
      <w:rPr>
        <w:rFonts w:hint="default"/>
      </w:rPr>
    </w:lvl>
    <w:lvl w:ilvl="8">
      <w:start w:val="1"/>
      <w:numFmt w:val="bullet"/>
      <w:lvlText w:val="•"/>
      <w:lvlJc w:val="left"/>
      <w:pPr>
        <w:ind w:left="3119" w:hanging="672"/>
      </w:pPr>
      <w:rPr>
        <w:rFonts w:hint="default"/>
      </w:rPr>
    </w:lvl>
  </w:abstractNum>
  <w:abstractNum w:abstractNumId="155">
    <w:multiLevelType w:val="hybridMultilevel"/>
    <w:lvl w:ilvl="0">
      <w:start w:val="1"/>
      <w:numFmt w:val="bullet"/>
      <w:lvlText w:val="-"/>
      <w:lvlJc w:val="left"/>
      <w:pPr>
        <w:ind w:left="66" w:hanging="137"/>
      </w:pPr>
      <w:rPr>
        <w:rFonts w:hint="default" w:ascii="Arial" w:hAnsi="Arial" w:eastAsia="Arial" w:cs="Arial"/>
        <w:w w:val="100"/>
        <w:sz w:val="22"/>
        <w:szCs w:val="22"/>
      </w:rPr>
    </w:lvl>
    <w:lvl w:ilvl="1">
      <w:start w:val="1"/>
      <w:numFmt w:val="bullet"/>
      <w:lvlText w:val="•"/>
      <w:lvlJc w:val="left"/>
      <w:pPr>
        <w:ind w:left="1335" w:hanging="137"/>
      </w:pPr>
      <w:rPr>
        <w:rFonts w:hint="default"/>
      </w:rPr>
    </w:lvl>
    <w:lvl w:ilvl="2">
      <w:start w:val="1"/>
      <w:numFmt w:val="bullet"/>
      <w:lvlText w:val="•"/>
      <w:lvlJc w:val="left"/>
      <w:pPr>
        <w:ind w:left="2610" w:hanging="137"/>
      </w:pPr>
      <w:rPr>
        <w:rFonts w:hint="default"/>
      </w:rPr>
    </w:lvl>
    <w:lvl w:ilvl="3">
      <w:start w:val="1"/>
      <w:numFmt w:val="bullet"/>
      <w:lvlText w:val="•"/>
      <w:lvlJc w:val="left"/>
      <w:pPr>
        <w:ind w:left="3885" w:hanging="137"/>
      </w:pPr>
      <w:rPr>
        <w:rFonts w:hint="default"/>
      </w:rPr>
    </w:lvl>
    <w:lvl w:ilvl="4">
      <w:start w:val="1"/>
      <w:numFmt w:val="bullet"/>
      <w:lvlText w:val="•"/>
      <w:lvlJc w:val="left"/>
      <w:pPr>
        <w:ind w:left="5160" w:hanging="137"/>
      </w:pPr>
      <w:rPr>
        <w:rFonts w:hint="default"/>
      </w:rPr>
    </w:lvl>
    <w:lvl w:ilvl="5">
      <w:start w:val="1"/>
      <w:numFmt w:val="bullet"/>
      <w:lvlText w:val="•"/>
      <w:lvlJc w:val="left"/>
      <w:pPr>
        <w:ind w:left="6436" w:hanging="137"/>
      </w:pPr>
      <w:rPr>
        <w:rFonts w:hint="default"/>
      </w:rPr>
    </w:lvl>
    <w:lvl w:ilvl="6">
      <w:start w:val="1"/>
      <w:numFmt w:val="bullet"/>
      <w:lvlText w:val="•"/>
      <w:lvlJc w:val="left"/>
      <w:pPr>
        <w:ind w:left="7711" w:hanging="137"/>
      </w:pPr>
      <w:rPr>
        <w:rFonts w:hint="default"/>
      </w:rPr>
    </w:lvl>
    <w:lvl w:ilvl="7">
      <w:start w:val="1"/>
      <w:numFmt w:val="bullet"/>
      <w:lvlText w:val="•"/>
      <w:lvlJc w:val="left"/>
      <w:pPr>
        <w:ind w:left="8986" w:hanging="137"/>
      </w:pPr>
      <w:rPr>
        <w:rFonts w:hint="default"/>
      </w:rPr>
    </w:lvl>
    <w:lvl w:ilvl="8">
      <w:start w:val="1"/>
      <w:numFmt w:val="bullet"/>
      <w:lvlText w:val="•"/>
      <w:lvlJc w:val="left"/>
      <w:pPr>
        <w:ind w:left="10261" w:hanging="137"/>
      </w:pPr>
      <w:rPr>
        <w:rFonts w:hint="default"/>
      </w:rPr>
    </w:lvl>
  </w:abstractNum>
  <w:abstractNum w:abstractNumId="15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9" w:hanging="672"/>
      </w:pPr>
      <w:rPr>
        <w:rFonts w:hint="default"/>
      </w:rPr>
    </w:lvl>
    <w:lvl w:ilvl="2">
      <w:start w:val="1"/>
      <w:numFmt w:val="bullet"/>
      <w:lvlText w:val="•"/>
      <w:lvlJc w:val="left"/>
      <w:pPr>
        <w:ind w:left="859" w:hanging="672"/>
      </w:pPr>
      <w:rPr>
        <w:rFonts w:hint="default"/>
      </w:rPr>
    </w:lvl>
    <w:lvl w:ilvl="3">
      <w:start w:val="1"/>
      <w:numFmt w:val="bullet"/>
      <w:lvlText w:val="•"/>
      <w:lvlJc w:val="left"/>
      <w:pPr>
        <w:ind w:left="1148" w:hanging="672"/>
      </w:pPr>
      <w:rPr>
        <w:rFonts w:hint="default"/>
      </w:rPr>
    </w:lvl>
    <w:lvl w:ilvl="4">
      <w:start w:val="1"/>
      <w:numFmt w:val="bullet"/>
      <w:lvlText w:val="•"/>
      <w:lvlJc w:val="left"/>
      <w:pPr>
        <w:ind w:left="1438" w:hanging="672"/>
      </w:pPr>
      <w:rPr>
        <w:rFonts w:hint="default"/>
      </w:rPr>
    </w:lvl>
    <w:lvl w:ilvl="5">
      <w:start w:val="1"/>
      <w:numFmt w:val="bullet"/>
      <w:lvlText w:val="•"/>
      <w:lvlJc w:val="left"/>
      <w:pPr>
        <w:ind w:left="1727" w:hanging="672"/>
      </w:pPr>
      <w:rPr>
        <w:rFonts w:hint="default"/>
      </w:rPr>
    </w:lvl>
    <w:lvl w:ilvl="6">
      <w:start w:val="1"/>
      <w:numFmt w:val="bullet"/>
      <w:lvlText w:val="•"/>
      <w:lvlJc w:val="left"/>
      <w:pPr>
        <w:ind w:left="2017" w:hanging="672"/>
      </w:pPr>
      <w:rPr>
        <w:rFonts w:hint="default"/>
      </w:rPr>
    </w:lvl>
    <w:lvl w:ilvl="7">
      <w:start w:val="1"/>
      <w:numFmt w:val="bullet"/>
      <w:lvlText w:val="•"/>
      <w:lvlJc w:val="left"/>
      <w:pPr>
        <w:ind w:left="2306" w:hanging="672"/>
      </w:pPr>
      <w:rPr>
        <w:rFonts w:hint="default"/>
      </w:rPr>
    </w:lvl>
    <w:lvl w:ilvl="8">
      <w:start w:val="1"/>
      <w:numFmt w:val="bullet"/>
      <w:lvlText w:val="•"/>
      <w:lvlJc w:val="left"/>
      <w:pPr>
        <w:ind w:left="2596" w:hanging="672"/>
      </w:pPr>
      <w:rPr>
        <w:rFonts w:hint="default"/>
      </w:rPr>
    </w:lvl>
  </w:abstractNum>
  <w:abstractNum w:abstractNumId="153">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731" w:hanging="360"/>
      </w:pPr>
      <w:rPr>
        <w:rFonts w:hint="default"/>
      </w:rPr>
    </w:lvl>
    <w:lvl w:ilvl="2">
      <w:start w:val="1"/>
      <w:numFmt w:val="bullet"/>
      <w:lvlText w:val="•"/>
      <w:lvlJc w:val="left"/>
      <w:pPr>
        <w:ind w:left="1003" w:hanging="360"/>
      </w:pPr>
      <w:rPr>
        <w:rFonts w:hint="default"/>
      </w:rPr>
    </w:lvl>
    <w:lvl w:ilvl="3">
      <w:start w:val="1"/>
      <w:numFmt w:val="bullet"/>
      <w:lvlText w:val="•"/>
      <w:lvlJc w:val="left"/>
      <w:pPr>
        <w:ind w:left="1274" w:hanging="360"/>
      </w:pPr>
      <w:rPr>
        <w:rFonts w:hint="default"/>
      </w:rPr>
    </w:lvl>
    <w:lvl w:ilvl="4">
      <w:start w:val="1"/>
      <w:numFmt w:val="bullet"/>
      <w:lvlText w:val="•"/>
      <w:lvlJc w:val="left"/>
      <w:pPr>
        <w:ind w:left="1546" w:hanging="360"/>
      </w:pPr>
      <w:rPr>
        <w:rFonts w:hint="default"/>
      </w:rPr>
    </w:lvl>
    <w:lvl w:ilvl="5">
      <w:start w:val="1"/>
      <w:numFmt w:val="bullet"/>
      <w:lvlText w:val="•"/>
      <w:lvlJc w:val="left"/>
      <w:pPr>
        <w:ind w:left="1817" w:hanging="360"/>
      </w:pPr>
      <w:rPr>
        <w:rFonts w:hint="default"/>
      </w:rPr>
    </w:lvl>
    <w:lvl w:ilvl="6">
      <w:start w:val="1"/>
      <w:numFmt w:val="bullet"/>
      <w:lvlText w:val="•"/>
      <w:lvlJc w:val="left"/>
      <w:pPr>
        <w:ind w:left="2089" w:hanging="360"/>
      </w:pPr>
      <w:rPr>
        <w:rFonts w:hint="default"/>
      </w:rPr>
    </w:lvl>
    <w:lvl w:ilvl="7">
      <w:start w:val="1"/>
      <w:numFmt w:val="bullet"/>
      <w:lvlText w:val="•"/>
      <w:lvlJc w:val="left"/>
      <w:pPr>
        <w:ind w:left="2360" w:hanging="360"/>
      </w:pPr>
      <w:rPr>
        <w:rFonts w:hint="default"/>
      </w:rPr>
    </w:lvl>
    <w:lvl w:ilvl="8">
      <w:start w:val="1"/>
      <w:numFmt w:val="bullet"/>
      <w:lvlText w:val="•"/>
      <w:lvlJc w:val="left"/>
      <w:pPr>
        <w:ind w:left="2632" w:hanging="360"/>
      </w:pPr>
      <w:rPr>
        <w:rFonts w:hint="default"/>
      </w:rPr>
    </w:lvl>
  </w:abstractNum>
  <w:abstractNum w:abstractNumId="15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9" w:hanging="672"/>
      </w:pPr>
      <w:rPr>
        <w:rFonts w:hint="default"/>
      </w:rPr>
    </w:lvl>
    <w:lvl w:ilvl="2">
      <w:start w:val="1"/>
      <w:numFmt w:val="bullet"/>
      <w:lvlText w:val="•"/>
      <w:lvlJc w:val="left"/>
      <w:pPr>
        <w:ind w:left="859" w:hanging="672"/>
      </w:pPr>
      <w:rPr>
        <w:rFonts w:hint="default"/>
      </w:rPr>
    </w:lvl>
    <w:lvl w:ilvl="3">
      <w:start w:val="1"/>
      <w:numFmt w:val="bullet"/>
      <w:lvlText w:val="•"/>
      <w:lvlJc w:val="left"/>
      <w:pPr>
        <w:ind w:left="1148" w:hanging="672"/>
      </w:pPr>
      <w:rPr>
        <w:rFonts w:hint="default"/>
      </w:rPr>
    </w:lvl>
    <w:lvl w:ilvl="4">
      <w:start w:val="1"/>
      <w:numFmt w:val="bullet"/>
      <w:lvlText w:val="•"/>
      <w:lvlJc w:val="left"/>
      <w:pPr>
        <w:ind w:left="1438" w:hanging="672"/>
      </w:pPr>
      <w:rPr>
        <w:rFonts w:hint="default"/>
      </w:rPr>
    </w:lvl>
    <w:lvl w:ilvl="5">
      <w:start w:val="1"/>
      <w:numFmt w:val="bullet"/>
      <w:lvlText w:val="•"/>
      <w:lvlJc w:val="left"/>
      <w:pPr>
        <w:ind w:left="1727" w:hanging="672"/>
      </w:pPr>
      <w:rPr>
        <w:rFonts w:hint="default"/>
      </w:rPr>
    </w:lvl>
    <w:lvl w:ilvl="6">
      <w:start w:val="1"/>
      <w:numFmt w:val="bullet"/>
      <w:lvlText w:val="•"/>
      <w:lvlJc w:val="left"/>
      <w:pPr>
        <w:ind w:left="2017" w:hanging="672"/>
      </w:pPr>
      <w:rPr>
        <w:rFonts w:hint="default"/>
      </w:rPr>
    </w:lvl>
    <w:lvl w:ilvl="7">
      <w:start w:val="1"/>
      <w:numFmt w:val="bullet"/>
      <w:lvlText w:val="•"/>
      <w:lvlJc w:val="left"/>
      <w:pPr>
        <w:ind w:left="2306" w:hanging="672"/>
      </w:pPr>
      <w:rPr>
        <w:rFonts w:hint="default"/>
      </w:rPr>
    </w:lvl>
    <w:lvl w:ilvl="8">
      <w:start w:val="1"/>
      <w:numFmt w:val="bullet"/>
      <w:lvlText w:val="•"/>
      <w:lvlJc w:val="left"/>
      <w:pPr>
        <w:ind w:left="2596" w:hanging="672"/>
      </w:pPr>
      <w:rPr>
        <w:rFonts w:hint="default"/>
      </w:rPr>
    </w:lvl>
  </w:abstractNum>
  <w:abstractNum w:abstractNumId="151">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731" w:hanging="360"/>
      </w:pPr>
      <w:rPr>
        <w:rFonts w:hint="default"/>
      </w:rPr>
    </w:lvl>
    <w:lvl w:ilvl="2">
      <w:start w:val="1"/>
      <w:numFmt w:val="bullet"/>
      <w:lvlText w:val="•"/>
      <w:lvlJc w:val="left"/>
      <w:pPr>
        <w:ind w:left="1003" w:hanging="360"/>
      </w:pPr>
      <w:rPr>
        <w:rFonts w:hint="default"/>
      </w:rPr>
    </w:lvl>
    <w:lvl w:ilvl="3">
      <w:start w:val="1"/>
      <w:numFmt w:val="bullet"/>
      <w:lvlText w:val="•"/>
      <w:lvlJc w:val="left"/>
      <w:pPr>
        <w:ind w:left="1274" w:hanging="360"/>
      </w:pPr>
      <w:rPr>
        <w:rFonts w:hint="default"/>
      </w:rPr>
    </w:lvl>
    <w:lvl w:ilvl="4">
      <w:start w:val="1"/>
      <w:numFmt w:val="bullet"/>
      <w:lvlText w:val="•"/>
      <w:lvlJc w:val="left"/>
      <w:pPr>
        <w:ind w:left="1546" w:hanging="360"/>
      </w:pPr>
      <w:rPr>
        <w:rFonts w:hint="default"/>
      </w:rPr>
    </w:lvl>
    <w:lvl w:ilvl="5">
      <w:start w:val="1"/>
      <w:numFmt w:val="bullet"/>
      <w:lvlText w:val="•"/>
      <w:lvlJc w:val="left"/>
      <w:pPr>
        <w:ind w:left="1817" w:hanging="360"/>
      </w:pPr>
      <w:rPr>
        <w:rFonts w:hint="default"/>
      </w:rPr>
    </w:lvl>
    <w:lvl w:ilvl="6">
      <w:start w:val="1"/>
      <w:numFmt w:val="bullet"/>
      <w:lvlText w:val="•"/>
      <w:lvlJc w:val="left"/>
      <w:pPr>
        <w:ind w:left="2089" w:hanging="360"/>
      </w:pPr>
      <w:rPr>
        <w:rFonts w:hint="default"/>
      </w:rPr>
    </w:lvl>
    <w:lvl w:ilvl="7">
      <w:start w:val="1"/>
      <w:numFmt w:val="bullet"/>
      <w:lvlText w:val="•"/>
      <w:lvlJc w:val="left"/>
      <w:pPr>
        <w:ind w:left="2360" w:hanging="360"/>
      </w:pPr>
      <w:rPr>
        <w:rFonts w:hint="default"/>
      </w:rPr>
    </w:lvl>
    <w:lvl w:ilvl="8">
      <w:start w:val="1"/>
      <w:numFmt w:val="bullet"/>
      <w:lvlText w:val="•"/>
      <w:lvlJc w:val="left"/>
      <w:pPr>
        <w:ind w:left="2632" w:hanging="360"/>
      </w:pPr>
      <w:rPr>
        <w:rFonts w:hint="default"/>
      </w:rPr>
    </w:lvl>
  </w:abstractNum>
  <w:abstractNum w:abstractNumId="150">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731" w:hanging="360"/>
      </w:pPr>
      <w:rPr>
        <w:rFonts w:hint="default"/>
      </w:rPr>
    </w:lvl>
    <w:lvl w:ilvl="2">
      <w:start w:val="1"/>
      <w:numFmt w:val="bullet"/>
      <w:lvlText w:val="•"/>
      <w:lvlJc w:val="left"/>
      <w:pPr>
        <w:ind w:left="1003" w:hanging="360"/>
      </w:pPr>
      <w:rPr>
        <w:rFonts w:hint="default"/>
      </w:rPr>
    </w:lvl>
    <w:lvl w:ilvl="3">
      <w:start w:val="1"/>
      <w:numFmt w:val="bullet"/>
      <w:lvlText w:val="•"/>
      <w:lvlJc w:val="left"/>
      <w:pPr>
        <w:ind w:left="1274" w:hanging="360"/>
      </w:pPr>
      <w:rPr>
        <w:rFonts w:hint="default"/>
      </w:rPr>
    </w:lvl>
    <w:lvl w:ilvl="4">
      <w:start w:val="1"/>
      <w:numFmt w:val="bullet"/>
      <w:lvlText w:val="•"/>
      <w:lvlJc w:val="left"/>
      <w:pPr>
        <w:ind w:left="1546" w:hanging="360"/>
      </w:pPr>
      <w:rPr>
        <w:rFonts w:hint="default"/>
      </w:rPr>
    </w:lvl>
    <w:lvl w:ilvl="5">
      <w:start w:val="1"/>
      <w:numFmt w:val="bullet"/>
      <w:lvlText w:val="•"/>
      <w:lvlJc w:val="left"/>
      <w:pPr>
        <w:ind w:left="1817" w:hanging="360"/>
      </w:pPr>
      <w:rPr>
        <w:rFonts w:hint="default"/>
      </w:rPr>
    </w:lvl>
    <w:lvl w:ilvl="6">
      <w:start w:val="1"/>
      <w:numFmt w:val="bullet"/>
      <w:lvlText w:val="•"/>
      <w:lvlJc w:val="left"/>
      <w:pPr>
        <w:ind w:left="2089" w:hanging="360"/>
      </w:pPr>
      <w:rPr>
        <w:rFonts w:hint="default"/>
      </w:rPr>
    </w:lvl>
    <w:lvl w:ilvl="7">
      <w:start w:val="1"/>
      <w:numFmt w:val="bullet"/>
      <w:lvlText w:val="•"/>
      <w:lvlJc w:val="left"/>
      <w:pPr>
        <w:ind w:left="2360" w:hanging="360"/>
      </w:pPr>
      <w:rPr>
        <w:rFonts w:hint="default"/>
      </w:rPr>
    </w:lvl>
    <w:lvl w:ilvl="8">
      <w:start w:val="1"/>
      <w:numFmt w:val="bullet"/>
      <w:lvlText w:val="•"/>
      <w:lvlJc w:val="left"/>
      <w:pPr>
        <w:ind w:left="2632" w:hanging="360"/>
      </w:pPr>
      <w:rPr>
        <w:rFonts w:hint="default"/>
      </w:rPr>
    </w:lvl>
  </w:abstractNum>
  <w:abstractNum w:abstractNumId="14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9" w:hanging="672"/>
      </w:pPr>
      <w:rPr>
        <w:rFonts w:hint="default"/>
      </w:rPr>
    </w:lvl>
    <w:lvl w:ilvl="2">
      <w:start w:val="1"/>
      <w:numFmt w:val="bullet"/>
      <w:lvlText w:val="•"/>
      <w:lvlJc w:val="left"/>
      <w:pPr>
        <w:ind w:left="859" w:hanging="672"/>
      </w:pPr>
      <w:rPr>
        <w:rFonts w:hint="default"/>
      </w:rPr>
    </w:lvl>
    <w:lvl w:ilvl="3">
      <w:start w:val="1"/>
      <w:numFmt w:val="bullet"/>
      <w:lvlText w:val="•"/>
      <w:lvlJc w:val="left"/>
      <w:pPr>
        <w:ind w:left="1148" w:hanging="672"/>
      </w:pPr>
      <w:rPr>
        <w:rFonts w:hint="default"/>
      </w:rPr>
    </w:lvl>
    <w:lvl w:ilvl="4">
      <w:start w:val="1"/>
      <w:numFmt w:val="bullet"/>
      <w:lvlText w:val="•"/>
      <w:lvlJc w:val="left"/>
      <w:pPr>
        <w:ind w:left="1438" w:hanging="672"/>
      </w:pPr>
      <w:rPr>
        <w:rFonts w:hint="default"/>
      </w:rPr>
    </w:lvl>
    <w:lvl w:ilvl="5">
      <w:start w:val="1"/>
      <w:numFmt w:val="bullet"/>
      <w:lvlText w:val="•"/>
      <w:lvlJc w:val="left"/>
      <w:pPr>
        <w:ind w:left="1727" w:hanging="672"/>
      </w:pPr>
      <w:rPr>
        <w:rFonts w:hint="default"/>
      </w:rPr>
    </w:lvl>
    <w:lvl w:ilvl="6">
      <w:start w:val="1"/>
      <w:numFmt w:val="bullet"/>
      <w:lvlText w:val="•"/>
      <w:lvlJc w:val="left"/>
      <w:pPr>
        <w:ind w:left="2017" w:hanging="672"/>
      </w:pPr>
      <w:rPr>
        <w:rFonts w:hint="default"/>
      </w:rPr>
    </w:lvl>
    <w:lvl w:ilvl="7">
      <w:start w:val="1"/>
      <w:numFmt w:val="bullet"/>
      <w:lvlText w:val="•"/>
      <w:lvlJc w:val="left"/>
      <w:pPr>
        <w:ind w:left="2306" w:hanging="672"/>
      </w:pPr>
      <w:rPr>
        <w:rFonts w:hint="default"/>
      </w:rPr>
    </w:lvl>
    <w:lvl w:ilvl="8">
      <w:start w:val="1"/>
      <w:numFmt w:val="bullet"/>
      <w:lvlText w:val="•"/>
      <w:lvlJc w:val="left"/>
      <w:pPr>
        <w:ind w:left="2596" w:hanging="672"/>
      </w:pPr>
      <w:rPr>
        <w:rFonts w:hint="default"/>
      </w:rPr>
    </w:lvl>
  </w:abstractNum>
  <w:abstractNum w:abstractNumId="148">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731" w:hanging="360"/>
      </w:pPr>
      <w:rPr>
        <w:rFonts w:hint="default"/>
      </w:rPr>
    </w:lvl>
    <w:lvl w:ilvl="2">
      <w:start w:val="1"/>
      <w:numFmt w:val="bullet"/>
      <w:lvlText w:val="•"/>
      <w:lvlJc w:val="left"/>
      <w:pPr>
        <w:ind w:left="1003" w:hanging="360"/>
      </w:pPr>
      <w:rPr>
        <w:rFonts w:hint="default"/>
      </w:rPr>
    </w:lvl>
    <w:lvl w:ilvl="3">
      <w:start w:val="1"/>
      <w:numFmt w:val="bullet"/>
      <w:lvlText w:val="•"/>
      <w:lvlJc w:val="left"/>
      <w:pPr>
        <w:ind w:left="1274" w:hanging="360"/>
      </w:pPr>
      <w:rPr>
        <w:rFonts w:hint="default"/>
      </w:rPr>
    </w:lvl>
    <w:lvl w:ilvl="4">
      <w:start w:val="1"/>
      <w:numFmt w:val="bullet"/>
      <w:lvlText w:val="•"/>
      <w:lvlJc w:val="left"/>
      <w:pPr>
        <w:ind w:left="1546" w:hanging="360"/>
      </w:pPr>
      <w:rPr>
        <w:rFonts w:hint="default"/>
      </w:rPr>
    </w:lvl>
    <w:lvl w:ilvl="5">
      <w:start w:val="1"/>
      <w:numFmt w:val="bullet"/>
      <w:lvlText w:val="•"/>
      <w:lvlJc w:val="left"/>
      <w:pPr>
        <w:ind w:left="1817" w:hanging="360"/>
      </w:pPr>
      <w:rPr>
        <w:rFonts w:hint="default"/>
      </w:rPr>
    </w:lvl>
    <w:lvl w:ilvl="6">
      <w:start w:val="1"/>
      <w:numFmt w:val="bullet"/>
      <w:lvlText w:val="•"/>
      <w:lvlJc w:val="left"/>
      <w:pPr>
        <w:ind w:left="2089" w:hanging="360"/>
      </w:pPr>
      <w:rPr>
        <w:rFonts w:hint="default"/>
      </w:rPr>
    </w:lvl>
    <w:lvl w:ilvl="7">
      <w:start w:val="1"/>
      <w:numFmt w:val="bullet"/>
      <w:lvlText w:val="•"/>
      <w:lvlJc w:val="left"/>
      <w:pPr>
        <w:ind w:left="2360" w:hanging="360"/>
      </w:pPr>
      <w:rPr>
        <w:rFonts w:hint="default"/>
      </w:rPr>
    </w:lvl>
    <w:lvl w:ilvl="8">
      <w:start w:val="1"/>
      <w:numFmt w:val="bullet"/>
      <w:lvlText w:val="•"/>
      <w:lvlJc w:val="left"/>
      <w:pPr>
        <w:ind w:left="2632" w:hanging="360"/>
      </w:pPr>
      <w:rPr>
        <w:rFonts w:hint="default"/>
      </w:rPr>
    </w:lvl>
  </w:abstractNum>
  <w:abstractNum w:abstractNumId="147">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731" w:hanging="360"/>
      </w:pPr>
      <w:rPr>
        <w:rFonts w:hint="default"/>
      </w:rPr>
    </w:lvl>
    <w:lvl w:ilvl="2">
      <w:start w:val="1"/>
      <w:numFmt w:val="bullet"/>
      <w:lvlText w:val="•"/>
      <w:lvlJc w:val="left"/>
      <w:pPr>
        <w:ind w:left="1003" w:hanging="360"/>
      </w:pPr>
      <w:rPr>
        <w:rFonts w:hint="default"/>
      </w:rPr>
    </w:lvl>
    <w:lvl w:ilvl="3">
      <w:start w:val="1"/>
      <w:numFmt w:val="bullet"/>
      <w:lvlText w:val="•"/>
      <w:lvlJc w:val="left"/>
      <w:pPr>
        <w:ind w:left="1274" w:hanging="360"/>
      </w:pPr>
      <w:rPr>
        <w:rFonts w:hint="default"/>
      </w:rPr>
    </w:lvl>
    <w:lvl w:ilvl="4">
      <w:start w:val="1"/>
      <w:numFmt w:val="bullet"/>
      <w:lvlText w:val="•"/>
      <w:lvlJc w:val="left"/>
      <w:pPr>
        <w:ind w:left="1546" w:hanging="360"/>
      </w:pPr>
      <w:rPr>
        <w:rFonts w:hint="default"/>
      </w:rPr>
    </w:lvl>
    <w:lvl w:ilvl="5">
      <w:start w:val="1"/>
      <w:numFmt w:val="bullet"/>
      <w:lvlText w:val="•"/>
      <w:lvlJc w:val="left"/>
      <w:pPr>
        <w:ind w:left="1817" w:hanging="360"/>
      </w:pPr>
      <w:rPr>
        <w:rFonts w:hint="default"/>
      </w:rPr>
    </w:lvl>
    <w:lvl w:ilvl="6">
      <w:start w:val="1"/>
      <w:numFmt w:val="bullet"/>
      <w:lvlText w:val="•"/>
      <w:lvlJc w:val="left"/>
      <w:pPr>
        <w:ind w:left="2089" w:hanging="360"/>
      </w:pPr>
      <w:rPr>
        <w:rFonts w:hint="default"/>
      </w:rPr>
    </w:lvl>
    <w:lvl w:ilvl="7">
      <w:start w:val="1"/>
      <w:numFmt w:val="bullet"/>
      <w:lvlText w:val="•"/>
      <w:lvlJc w:val="left"/>
      <w:pPr>
        <w:ind w:left="2360" w:hanging="360"/>
      </w:pPr>
      <w:rPr>
        <w:rFonts w:hint="default"/>
      </w:rPr>
    </w:lvl>
    <w:lvl w:ilvl="8">
      <w:start w:val="1"/>
      <w:numFmt w:val="bullet"/>
      <w:lvlText w:val="•"/>
      <w:lvlJc w:val="left"/>
      <w:pPr>
        <w:ind w:left="2632" w:hanging="360"/>
      </w:pPr>
      <w:rPr>
        <w:rFonts w:hint="default"/>
      </w:rPr>
    </w:lvl>
  </w:abstractNum>
  <w:abstractNum w:abstractNumId="14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9" w:hanging="672"/>
      </w:pPr>
      <w:rPr>
        <w:rFonts w:hint="default"/>
      </w:rPr>
    </w:lvl>
    <w:lvl w:ilvl="2">
      <w:start w:val="1"/>
      <w:numFmt w:val="bullet"/>
      <w:lvlText w:val="•"/>
      <w:lvlJc w:val="left"/>
      <w:pPr>
        <w:ind w:left="859" w:hanging="672"/>
      </w:pPr>
      <w:rPr>
        <w:rFonts w:hint="default"/>
      </w:rPr>
    </w:lvl>
    <w:lvl w:ilvl="3">
      <w:start w:val="1"/>
      <w:numFmt w:val="bullet"/>
      <w:lvlText w:val="•"/>
      <w:lvlJc w:val="left"/>
      <w:pPr>
        <w:ind w:left="1148" w:hanging="672"/>
      </w:pPr>
      <w:rPr>
        <w:rFonts w:hint="default"/>
      </w:rPr>
    </w:lvl>
    <w:lvl w:ilvl="4">
      <w:start w:val="1"/>
      <w:numFmt w:val="bullet"/>
      <w:lvlText w:val="•"/>
      <w:lvlJc w:val="left"/>
      <w:pPr>
        <w:ind w:left="1438" w:hanging="672"/>
      </w:pPr>
      <w:rPr>
        <w:rFonts w:hint="default"/>
      </w:rPr>
    </w:lvl>
    <w:lvl w:ilvl="5">
      <w:start w:val="1"/>
      <w:numFmt w:val="bullet"/>
      <w:lvlText w:val="•"/>
      <w:lvlJc w:val="left"/>
      <w:pPr>
        <w:ind w:left="1727" w:hanging="672"/>
      </w:pPr>
      <w:rPr>
        <w:rFonts w:hint="default"/>
      </w:rPr>
    </w:lvl>
    <w:lvl w:ilvl="6">
      <w:start w:val="1"/>
      <w:numFmt w:val="bullet"/>
      <w:lvlText w:val="•"/>
      <w:lvlJc w:val="left"/>
      <w:pPr>
        <w:ind w:left="2017" w:hanging="672"/>
      </w:pPr>
      <w:rPr>
        <w:rFonts w:hint="default"/>
      </w:rPr>
    </w:lvl>
    <w:lvl w:ilvl="7">
      <w:start w:val="1"/>
      <w:numFmt w:val="bullet"/>
      <w:lvlText w:val="•"/>
      <w:lvlJc w:val="left"/>
      <w:pPr>
        <w:ind w:left="2306" w:hanging="672"/>
      </w:pPr>
      <w:rPr>
        <w:rFonts w:hint="default"/>
      </w:rPr>
    </w:lvl>
    <w:lvl w:ilvl="8">
      <w:start w:val="1"/>
      <w:numFmt w:val="bullet"/>
      <w:lvlText w:val="•"/>
      <w:lvlJc w:val="left"/>
      <w:pPr>
        <w:ind w:left="2596" w:hanging="672"/>
      </w:pPr>
      <w:rPr>
        <w:rFonts w:hint="default"/>
      </w:rPr>
    </w:lvl>
  </w:abstractNum>
  <w:abstractNum w:abstractNumId="14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9" w:hanging="672"/>
      </w:pPr>
      <w:rPr>
        <w:rFonts w:hint="default"/>
      </w:rPr>
    </w:lvl>
    <w:lvl w:ilvl="2">
      <w:start w:val="1"/>
      <w:numFmt w:val="bullet"/>
      <w:lvlText w:val="•"/>
      <w:lvlJc w:val="left"/>
      <w:pPr>
        <w:ind w:left="859" w:hanging="672"/>
      </w:pPr>
      <w:rPr>
        <w:rFonts w:hint="default"/>
      </w:rPr>
    </w:lvl>
    <w:lvl w:ilvl="3">
      <w:start w:val="1"/>
      <w:numFmt w:val="bullet"/>
      <w:lvlText w:val="•"/>
      <w:lvlJc w:val="left"/>
      <w:pPr>
        <w:ind w:left="1148" w:hanging="672"/>
      </w:pPr>
      <w:rPr>
        <w:rFonts w:hint="default"/>
      </w:rPr>
    </w:lvl>
    <w:lvl w:ilvl="4">
      <w:start w:val="1"/>
      <w:numFmt w:val="bullet"/>
      <w:lvlText w:val="•"/>
      <w:lvlJc w:val="left"/>
      <w:pPr>
        <w:ind w:left="1438" w:hanging="672"/>
      </w:pPr>
      <w:rPr>
        <w:rFonts w:hint="default"/>
      </w:rPr>
    </w:lvl>
    <w:lvl w:ilvl="5">
      <w:start w:val="1"/>
      <w:numFmt w:val="bullet"/>
      <w:lvlText w:val="•"/>
      <w:lvlJc w:val="left"/>
      <w:pPr>
        <w:ind w:left="1727" w:hanging="672"/>
      </w:pPr>
      <w:rPr>
        <w:rFonts w:hint="default"/>
      </w:rPr>
    </w:lvl>
    <w:lvl w:ilvl="6">
      <w:start w:val="1"/>
      <w:numFmt w:val="bullet"/>
      <w:lvlText w:val="•"/>
      <w:lvlJc w:val="left"/>
      <w:pPr>
        <w:ind w:left="2017" w:hanging="672"/>
      </w:pPr>
      <w:rPr>
        <w:rFonts w:hint="default"/>
      </w:rPr>
    </w:lvl>
    <w:lvl w:ilvl="7">
      <w:start w:val="1"/>
      <w:numFmt w:val="bullet"/>
      <w:lvlText w:val="•"/>
      <w:lvlJc w:val="left"/>
      <w:pPr>
        <w:ind w:left="2306" w:hanging="672"/>
      </w:pPr>
      <w:rPr>
        <w:rFonts w:hint="default"/>
      </w:rPr>
    </w:lvl>
    <w:lvl w:ilvl="8">
      <w:start w:val="1"/>
      <w:numFmt w:val="bullet"/>
      <w:lvlText w:val="•"/>
      <w:lvlJc w:val="left"/>
      <w:pPr>
        <w:ind w:left="2596" w:hanging="672"/>
      </w:pPr>
      <w:rPr>
        <w:rFonts w:hint="default"/>
      </w:rPr>
    </w:lvl>
  </w:abstractNum>
  <w:abstractNum w:abstractNumId="144">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731" w:hanging="360"/>
      </w:pPr>
      <w:rPr>
        <w:rFonts w:hint="default"/>
      </w:rPr>
    </w:lvl>
    <w:lvl w:ilvl="2">
      <w:start w:val="1"/>
      <w:numFmt w:val="bullet"/>
      <w:lvlText w:val="•"/>
      <w:lvlJc w:val="left"/>
      <w:pPr>
        <w:ind w:left="1003" w:hanging="360"/>
      </w:pPr>
      <w:rPr>
        <w:rFonts w:hint="default"/>
      </w:rPr>
    </w:lvl>
    <w:lvl w:ilvl="3">
      <w:start w:val="1"/>
      <w:numFmt w:val="bullet"/>
      <w:lvlText w:val="•"/>
      <w:lvlJc w:val="left"/>
      <w:pPr>
        <w:ind w:left="1274" w:hanging="360"/>
      </w:pPr>
      <w:rPr>
        <w:rFonts w:hint="default"/>
      </w:rPr>
    </w:lvl>
    <w:lvl w:ilvl="4">
      <w:start w:val="1"/>
      <w:numFmt w:val="bullet"/>
      <w:lvlText w:val="•"/>
      <w:lvlJc w:val="left"/>
      <w:pPr>
        <w:ind w:left="1546" w:hanging="360"/>
      </w:pPr>
      <w:rPr>
        <w:rFonts w:hint="default"/>
      </w:rPr>
    </w:lvl>
    <w:lvl w:ilvl="5">
      <w:start w:val="1"/>
      <w:numFmt w:val="bullet"/>
      <w:lvlText w:val="•"/>
      <w:lvlJc w:val="left"/>
      <w:pPr>
        <w:ind w:left="1817" w:hanging="360"/>
      </w:pPr>
      <w:rPr>
        <w:rFonts w:hint="default"/>
      </w:rPr>
    </w:lvl>
    <w:lvl w:ilvl="6">
      <w:start w:val="1"/>
      <w:numFmt w:val="bullet"/>
      <w:lvlText w:val="•"/>
      <w:lvlJc w:val="left"/>
      <w:pPr>
        <w:ind w:left="2089" w:hanging="360"/>
      </w:pPr>
      <w:rPr>
        <w:rFonts w:hint="default"/>
      </w:rPr>
    </w:lvl>
    <w:lvl w:ilvl="7">
      <w:start w:val="1"/>
      <w:numFmt w:val="bullet"/>
      <w:lvlText w:val="•"/>
      <w:lvlJc w:val="left"/>
      <w:pPr>
        <w:ind w:left="2360" w:hanging="360"/>
      </w:pPr>
      <w:rPr>
        <w:rFonts w:hint="default"/>
      </w:rPr>
    </w:lvl>
    <w:lvl w:ilvl="8">
      <w:start w:val="1"/>
      <w:numFmt w:val="bullet"/>
      <w:lvlText w:val="•"/>
      <w:lvlJc w:val="left"/>
      <w:pPr>
        <w:ind w:left="2632" w:hanging="360"/>
      </w:pPr>
      <w:rPr>
        <w:rFonts w:hint="default"/>
      </w:rPr>
    </w:lvl>
  </w:abstractNum>
  <w:abstractNum w:abstractNumId="143">
    <w:multiLevelType w:val="hybridMultilevel"/>
    <w:lvl w:ilvl="0">
      <w:start w:val="1"/>
      <w:numFmt w:val="bullet"/>
      <w:lvlText w:val="-"/>
      <w:lvlJc w:val="left"/>
      <w:pPr>
        <w:ind w:left="103" w:hanging="137"/>
      </w:pPr>
      <w:rPr>
        <w:rFonts w:hint="default" w:ascii="Arial" w:hAnsi="Arial" w:eastAsia="Arial" w:cs="Arial"/>
        <w:w w:val="100"/>
        <w:sz w:val="22"/>
        <w:szCs w:val="22"/>
      </w:rPr>
    </w:lvl>
    <w:lvl w:ilvl="1">
      <w:start w:val="1"/>
      <w:numFmt w:val="bullet"/>
      <w:lvlText w:val="•"/>
      <w:lvlJc w:val="left"/>
      <w:pPr>
        <w:ind w:left="1378" w:hanging="137"/>
      </w:pPr>
      <w:rPr>
        <w:rFonts w:hint="default"/>
      </w:rPr>
    </w:lvl>
    <w:lvl w:ilvl="2">
      <w:start w:val="1"/>
      <w:numFmt w:val="bullet"/>
      <w:lvlText w:val="•"/>
      <w:lvlJc w:val="left"/>
      <w:pPr>
        <w:ind w:left="2657" w:hanging="137"/>
      </w:pPr>
      <w:rPr>
        <w:rFonts w:hint="default"/>
      </w:rPr>
    </w:lvl>
    <w:lvl w:ilvl="3">
      <w:start w:val="1"/>
      <w:numFmt w:val="bullet"/>
      <w:lvlText w:val="•"/>
      <w:lvlJc w:val="left"/>
      <w:pPr>
        <w:ind w:left="3936" w:hanging="137"/>
      </w:pPr>
      <w:rPr>
        <w:rFonts w:hint="default"/>
      </w:rPr>
    </w:lvl>
    <w:lvl w:ilvl="4">
      <w:start w:val="1"/>
      <w:numFmt w:val="bullet"/>
      <w:lvlText w:val="•"/>
      <w:lvlJc w:val="left"/>
      <w:pPr>
        <w:ind w:left="5215" w:hanging="137"/>
      </w:pPr>
      <w:rPr>
        <w:rFonts w:hint="default"/>
      </w:rPr>
    </w:lvl>
    <w:lvl w:ilvl="5">
      <w:start w:val="1"/>
      <w:numFmt w:val="bullet"/>
      <w:lvlText w:val="•"/>
      <w:lvlJc w:val="left"/>
      <w:pPr>
        <w:ind w:left="6493" w:hanging="137"/>
      </w:pPr>
      <w:rPr>
        <w:rFonts w:hint="default"/>
      </w:rPr>
    </w:lvl>
    <w:lvl w:ilvl="6">
      <w:start w:val="1"/>
      <w:numFmt w:val="bullet"/>
      <w:lvlText w:val="•"/>
      <w:lvlJc w:val="left"/>
      <w:pPr>
        <w:ind w:left="7772" w:hanging="137"/>
      </w:pPr>
      <w:rPr>
        <w:rFonts w:hint="default"/>
      </w:rPr>
    </w:lvl>
    <w:lvl w:ilvl="7">
      <w:start w:val="1"/>
      <w:numFmt w:val="bullet"/>
      <w:lvlText w:val="•"/>
      <w:lvlJc w:val="left"/>
      <w:pPr>
        <w:ind w:left="9051" w:hanging="137"/>
      </w:pPr>
      <w:rPr>
        <w:rFonts w:hint="default"/>
      </w:rPr>
    </w:lvl>
    <w:lvl w:ilvl="8">
      <w:start w:val="1"/>
      <w:numFmt w:val="bullet"/>
      <w:lvlText w:val="•"/>
      <w:lvlJc w:val="left"/>
      <w:pPr>
        <w:ind w:left="10330" w:hanging="137"/>
      </w:pPr>
      <w:rPr>
        <w:rFonts w:hint="default"/>
      </w:rPr>
    </w:lvl>
  </w:abstractNum>
  <w:abstractNum w:abstractNumId="142">
    <w:multiLevelType w:val="hybridMultilevel"/>
    <w:lvl w:ilvl="0">
      <w:start w:val="1"/>
      <w:numFmt w:val="bullet"/>
      <w:lvlText w:val="-"/>
      <w:lvlJc w:val="left"/>
      <w:pPr>
        <w:ind w:left="27" w:hanging="171"/>
      </w:pPr>
      <w:rPr>
        <w:rFonts w:hint="default" w:ascii="Arial" w:hAnsi="Arial" w:eastAsia="Arial" w:cs="Arial"/>
        <w:w w:val="100"/>
        <w:sz w:val="22"/>
        <w:szCs w:val="22"/>
      </w:rPr>
    </w:lvl>
    <w:lvl w:ilvl="1">
      <w:start w:val="1"/>
      <w:numFmt w:val="bullet"/>
      <w:lvlText w:val="•"/>
      <w:lvlJc w:val="left"/>
      <w:pPr>
        <w:ind w:left="1299" w:hanging="171"/>
      </w:pPr>
      <w:rPr>
        <w:rFonts w:hint="default"/>
      </w:rPr>
    </w:lvl>
    <w:lvl w:ilvl="2">
      <w:start w:val="1"/>
      <w:numFmt w:val="bullet"/>
      <w:lvlText w:val="•"/>
      <w:lvlJc w:val="left"/>
      <w:pPr>
        <w:ind w:left="2578" w:hanging="171"/>
      </w:pPr>
      <w:rPr>
        <w:rFonts w:hint="default"/>
      </w:rPr>
    </w:lvl>
    <w:lvl w:ilvl="3">
      <w:start w:val="1"/>
      <w:numFmt w:val="bullet"/>
      <w:lvlText w:val="•"/>
      <w:lvlJc w:val="left"/>
      <w:pPr>
        <w:ind w:left="3857" w:hanging="171"/>
      </w:pPr>
      <w:rPr>
        <w:rFonts w:hint="default"/>
      </w:rPr>
    </w:lvl>
    <w:lvl w:ilvl="4">
      <w:start w:val="1"/>
      <w:numFmt w:val="bullet"/>
      <w:lvlText w:val="•"/>
      <w:lvlJc w:val="left"/>
      <w:pPr>
        <w:ind w:left="5136" w:hanging="171"/>
      </w:pPr>
      <w:rPr>
        <w:rFonts w:hint="default"/>
      </w:rPr>
    </w:lvl>
    <w:lvl w:ilvl="5">
      <w:start w:val="1"/>
      <w:numFmt w:val="bullet"/>
      <w:lvlText w:val="•"/>
      <w:lvlJc w:val="left"/>
      <w:pPr>
        <w:ind w:left="6416" w:hanging="171"/>
      </w:pPr>
      <w:rPr>
        <w:rFonts w:hint="default"/>
      </w:rPr>
    </w:lvl>
    <w:lvl w:ilvl="6">
      <w:start w:val="1"/>
      <w:numFmt w:val="bullet"/>
      <w:lvlText w:val="•"/>
      <w:lvlJc w:val="left"/>
      <w:pPr>
        <w:ind w:left="7695" w:hanging="171"/>
      </w:pPr>
      <w:rPr>
        <w:rFonts w:hint="default"/>
      </w:rPr>
    </w:lvl>
    <w:lvl w:ilvl="7">
      <w:start w:val="1"/>
      <w:numFmt w:val="bullet"/>
      <w:lvlText w:val="•"/>
      <w:lvlJc w:val="left"/>
      <w:pPr>
        <w:ind w:left="8974" w:hanging="171"/>
      </w:pPr>
      <w:rPr>
        <w:rFonts w:hint="default"/>
      </w:rPr>
    </w:lvl>
    <w:lvl w:ilvl="8">
      <w:start w:val="1"/>
      <w:numFmt w:val="bullet"/>
      <w:lvlText w:val="•"/>
      <w:lvlJc w:val="left"/>
      <w:pPr>
        <w:ind w:left="10253" w:hanging="171"/>
      </w:pPr>
      <w:rPr>
        <w:rFonts w:hint="default"/>
      </w:rPr>
    </w:lvl>
  </w:abstractNum>
  <w:abstractNum w:abstractNumId="14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140">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13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13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13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13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13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13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13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4" w:hanging="672"/>
      </w:pPr>
      <w:rPr>
        <w:rFonts w:hint="default"/>
      </w:rPr>
    </w:lvl>
    <w:lvl w:ilvl="2">
      <w:start w:val="1"/>
      <w:numFmt w:val="bullet"/>
      <w:lvlText w:val="•"/>
      <w:lvlJc w:val="left"/>
      <w:pPr>
        <w:ind w:left="828" w:hanging="672"/>
      </w:pPr>
      <w:rPr>
        <w:rFonts w:hint="default"/>
      </w:rPr>
    </w:lvl>
    <w:lvl w:ilvl="3">
      <w:start w:val="1"/>
      <w:numFmt w:val="bullet"/>
      <w:lvlText w:val="•"/>
      <w:lvlJc w:val="left"/>
      <w:pPr>
        <w:ind w:left="1103" w:hanging="672"/>
      </w:pPr>
      <w:rPr>
        <w:rFonts w:hint="default"/>
      </w:rPr>
    </w:lvl>
    <w:lvl w:ilvl="4">
      <w:start w:val="1"/>
      <w:numFmt w:val="bullet"/>
      <w:lvlText w:val="•"/>
      <w:lvlJc w:val="left"/>
      <w:pPr>
        <w:ind w:left="1377" w:hanging="672"/>
      </w:pPr>
      <w:rPr>
        <w:rFonts w:hint="default"/>
      </w:rPr>
    </w:lvl>
    <w:lvl w:ilvl="5">
      <w:start w:val="1"/>
      <w:numFmt w:val="bullet"/>
      <w:lvlText w:val="•"/>
      <w:lvlJc w:val="left"/>
      <w:pPr>
        <w:ind w:left="1652" w:hanging="672"/>
      </w:pPr>
      <w:rPr>
        <w:rFonts w:hint="default"/>
      </w:rPr>
    </w:lvl>
    <w:lvl w:ilvl="6">
      <w:start w:val="1"/>
      <w:numFmt w:val="bullet"/>
      <w:lvlText w:val="•"/>
      <w:lvlJc w:val="left"/>
      <w:pPr>
        <w:ind w:left="1926" w:hanging="672"/>
      </w:pPr>
      <w:rPr>
        <w:rFonts w:hint="default"/>
      </w:rPr>
    </w:lvl>
    <w:lvl w:ilvl="7">
      <w:start w:val="1"/>
      <w:numFmt w:val="bullet"/>
      <w:lvlText w:val="•"/>
      <w:lvlJc w:val="left"/>
      <w:pPr>
        <w:ind w:left="2200" w:hanging="672"/>
      </w:pPr>
      <w:rPr>
        <w:rFonts w:hint="default"/>
      </w:rPr>
    </w:lvl>
    <w:lvl w:ilvl="8">
      <w:start w:val="1"/>
      <w:numFmt w:val="bullet"/>
      <w:lvlText w:val="•"/>
      <w:lvlJc w:val="left"/>
      <w:pPr>
        <w:ind w:left="2475" w:hanging="672"/>
      </w:pPr>
      <w:rPr>
        <w:rFonts w:hint="default"/>
      </w:rPr>
    </w:lvl>
  </w:abstractNum>
  <w:abstractNum w:abstractNumId="13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9" w:hanging="672"/>
      </w:pPr>
      <w:rPr>
        <w:rFonts w:hint="default"/>
      </w:rPr>
    </w:lvl>
    <w:lvl w:ilvl="2">
      <w:start w:val="1"/>
      <w:numFmt w:val="bullet"/>
      <w:lvlText w:val="•"/>
      <w:lvlJc w:val="left"/>
      <w:pPr>
        <w:ind w:left="838" w:hanging="672"/>
      </w:pPr>
      <w:rPr>
        <w:rFonts w:hint="default"/>
      </w:rPr>
    </w:lvl>
    <w:lvl w:ilvl="3">
      <w:start w:val="1"/>
      <w:numFmt w:val="bullet"/>
      <w:lvlText w:val="•"/>
      <w:lvlJc w:val="left"/>
      <w:pPr>
        <w:ind w:left="1118" w:hanging="672"/>
      </w:pPr>
      <w:rPr>
        <w:rFonts w:hint="default"/>
      </w:rPr>
    </w:lvl>
    <w:lvl w:ilvl="4">
      <w:start w:val="1"/>
      <w:numFmt w:val="bullet"/>
      <w:lvlText w:val="•"/>
      <w:lvlJc w:val="left"/>
      <w:pPr>
        <w:ind w:left="1397" w:hanging="672"/>
      </w:pPr>
      <w:rPr>
        <w:rFonts w:hint="default"/>
      </w:rPr>
    </w:lvl>
    <w:lvl w:ilvl="5">
      <w:start w:val="1"/>
      <w:numFmt w:val="bullet"/>
      <w:lvlText w:val="•"/>
      <w:lvlJc w:val="left"/>
      <w:pPr>
        <w:ind w:left="1677" w:hanging="672"/>
      </w:pPr>
      <w:rPr>
        <w:rFonts w:hint="default"/>
      </w:rPr>
    </w:lvl>
    <w:lvl w:ilvl="6">
      <w:start w:val="1"/>
      <w:numFmt w:val="bullet"/>
      <w:lvlText w:val="•"/>
      <w:lvlJc w:val="left"/>
      <w:pPr>
        <w:ind w:left="1956" w:hanging="672"/>
      </w:pPr>
      <w:rPr>
        <w:rFonts w:hint="default"/>
      </w:rPr>
    </w:lvl>
    <w:lvl w:ilvl="7">
      <w:start w:val="1"/>
      <w:numFmt w:val="bullet"/>
      <w:lvlText w:val="•"/>
      <w:lvlJc w:val="left"/>
      <w:pPr>
        <w:ind w:left="2236" w:hanging="672"/>
      </w:pPr>
      <w:rPr>
        <w:rFonts w:hint="default"/>
      </w:rPr>
    </w:lvl>
    <w:lvl w:ilvl="8">
      <w:start w:val="1"/>
      <w:numFmt w:val="bullet"/>
      <w:lvlText w:val="•"/>
      <w:lvlJc w:val="left"/>
      <w:pPr>
        <w:ind w:left="2515" w:hanging="672"/>
      </w:pPr>
      <w:rPr>
        <w:rFonts w:hint="default"/>
      </w:rPr>
    </w:lvl>
  </w:abstractNum>
  <w:abstractNum w:abstractNumId="13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9" w:hanging="672"/>
      </w:pPr>
      <w:rPr>
        <w:rFonts w:hint="default"/>
      </w:rPr>
    </w:lvl>
    <w:lvl w:ilvl="2">
      <w:start w:val="1"/>
      <w:numFmt w:val="bullet"/>
      <w:lvlText w:val="•"/>
      <w:lvlJc w:val="left"/>
      <w:pPr>
        <w:ind w:left="838" w:hanging="672"/>
      </w:pPr>
      <w:rPr>
        <w:rFonts w:hint="default"/>
      </w:rPr>
    </w:lvl>
    <w:lvl w:ilvl="3">
      <w:start w:val="1"/>
      <w:numFmt w:val="bullet"/>
      <w:lvlText w:val="•"/>
      <w:lvlJc w:val="left"/>
      <w:pPr>
        <w:ind w:left="1118" w:hanging="672"/>
      </w:pPr>
      <w:rPr>
        <w:rFonts w:hint="default"/>
      </w:rPr>
    </w:lvl>
    <w:lvl w:ilvl="4">
      <w:start w:val="1"/>
      <w:numFmt w:val="bullet"/>
      <w:lvlText w:val="•"/>
      <w:lvlJc w:val="left"/>
      <w:pPr>
        <w:ind w:left="1397" w:hanging="672"/>
      </w:pPr>
      <w:rPr>
        <w:rFonts w:hint="default"/>
      </w:rPr>
    </w:lvl>
    <w:lvl w:ilvl="5">
      <w:start w:val="1"/>
      <w:numFmt w:val="bullet"/>
      <w:lvlText w:val="•"/>
      <w:lvlJc w:val="left"/>
      <w:pPr>
        <w:ind w:left="1677" w:hanging="672"/>
      </w:pPr>
      <w:rPr>
        <w:rFonts w:hint="default"/>
      </w:rPr>
    </w:lvl>
    <w:lvl w:ilvl="6">
      <w:start w:val="1"/>
      <w:numFmt w:val="bullet"/>
      <w:lvlText w:val="•"/>
      <w:lvlJc w:val="left"/>
      <w:pPr>
        <w:ind w:left="1956" w:hanging="672"/>
      </w:pPr>
      <w:rPr>
        <w:rFonts w:hint="default"/>
      </w:rPr>
    </w:lvl>
    <w:lvl w:ilvl="7">
      <w:start w:val="1"/>
      <w:numFmt w:val="bullet"/>
      <w:lvlText w:val="•"/>
      <w:lvlJc w:val="left"/>
      <w:pPr>
        <w:ind w:left="2236" w:hanging="672"/>
      </w:pPr>
      <w:rPr>
        <w:rFonts w:hint="default"/>
      </w:rPr>
    </w:lvl>
    <w:lvl w:ilvl="8">
      <w:start w:val="1"/>
      <w:numFmt w:val="bullet"/>
      <w:lvlText w:val="•"/>
      <w:lvlJc w:val="left"/>
      <w:pPr>
        <w:ind w:left="2515" w:hanging="672"/>
      </w:pPr>
      <w:rPr>
        <w:rFonts w:hint="default"/>
      </w:rPr>
    </w:lvl>
  </w:abstractNum>
  <w:abstractNum w:abstractNumId="130">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9" w:hanging="672"/>
      </w:pPr>
      <w:rPr>
        <w:rFonts w:hint="default"/>
      </w:rPr>
    </w:lvl>
    <w:lvl w:ilvl="2">
      <w:start w:val="1"/>
      <w:numFmt w:val="bullet"/>
      <w:lvlText w:val="•"/>
      <w:lvlJc w:val="left"/>
      <w:pPr>
        <w:ind w:left="838" w:hanging="672"/>
      </w:pPr>
      <w:rPr>
        <w:rFonts w:hint="default"/>
      </w:rPr>
    </w:lvl>
    <w:lvl w:ilvl="3">
      <w:start w:val="1"/>
      <w:numFmt w:val="bullet"/>
      <w:lvlText w:val="•"/>
      <w:lvlJc w:val="left"/>
      <w:pPr>
        <w:ind w:left="1118" w:hanging="672"/>
      </w:pPr>
      <w:rPr>
        <w:rFonts w:hint="default"/>
      </w:rPr>
    </w:lvl>
    <w:lvl w:ilvl="4">
      <w:start w:val="1"/>
      <w:numFmt w:val="bullet"/>
      <w:lvlText w:val="•"/>
      <w:lvlJc w:val="left"/>
      <w:pPr>
        <w:ind w:left="1397" w:hanging="672"/>
      </w:pPr>
      <w:rPr>
        <w:rFonts w:hint="default"/>
      </w:rPr>
    </w:lvl>
    <w:lvl w:ilvl="5">
      <w:start w:val="1"/>
      <w:numFmt w:val="bullet"/>
      <w:lvlText w:val="•"/>
      <w:lvlJc w:val="left"/>
      <w:pPr>
        <w:ind w:left="1677" w:hanging="672"/>
      </w:pPr>
      <w:rPr>
        <w:rFonts w:hint="default"/>
      </w:rPr>
    </w:lvl>
    <w:lvl w:ilvl="6">
      <w:start w:val="1"/>
      <w:numFmt w:val="bullet"/>
      <w:lvlText w:val="•"/>
      <w:lvlJc w:val="left"/>
      <w:pPr>
        <w:ind w:left="1956" w:hanging="672"/>
      </w:pPr>
      <w:rPr>
        <w:rFonts w:hint="default"/>
      </w:rPr>
    </w:lvl>
    <w:lvl w:ilvl="7">
      <w:start w:val="1"/>
      <w:numFmt w:val="bullet"/>
      <w:lvlText w:val="•"/>
      <w:lvlJc w:val="left"/>
      <w:pPr>
        <w:ind w:left="2236" w:hanging="672"/>
      </w:pPr>
      <w:rPr>
        <w:rFonts w:hint="default"/>
      </w:rPr>
    </w:lvl>
    <w:lvl w:ilvl="8">
      <w:start w:val="1"/>
      <w:numFmt w:val="bullet"/>
      <w:lvlText w:val="•"/>
      <w:lvlJc w:val="left"/>
      <w:pPr>
        <w:ind w:left="2515" w:hanging="672"/>
      </w:pPr>
      <w:rPr>
        <w:rFonts w:hint="default"/>
      </w:rPr>
    </w:lvl>
  </w:abstractNum>
  <w:abstractNum w:abstractNumId="12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9" w:hanging="672"/>
      </w:pPr>
      <w:rPr>
        <w:rFonts w:hint="default"/>
      </w:rPr>
    </w:lvl>
    <w:lvl w:ilvl="2">
      <w:start w:val="1"/>
      <w:numFmt w:val="bullet"/>
      <w:lvlText w:val="•"/>
      <w:lvlJc w:val="left"/>
      <w:pPr>
        <w:ind w:left="838" w:hanging="672"/>
      </w:pPr>
      <w:rPr>
        <w:rFonts w:hint="default"/>
      </w:rPr>
    </w:lvl>
    <w:lvl w:ilvl="3">
      <w:start w:val="1"/>
      <w:numFmt w:val="bullet"/>
      <w:lvlText w:val="•"/>
      <w:lvlJc w:val="left"/>
      <w:pPr>
        <w:ind w:left="1118" w:hanging="672"/>
      </w:pPr>
      <w:rPr>
        <w:rFonts w:hint="default"/>
      </w:rPr>
    </w:lvl>
    <w:lvl w:ilvl="4">
      <w:start w:val="1"/>
      <w:numFmt w:val="bullet"/>
      <w:lvlText w:val="•"/>
      <w:lvlJc w:val="left"/>
      <w:pPr>
        <w:ind w:left="1397" w:hanging="672"/>
      </w:pPr>
      <w:rPr>
        <w:rFonts w:hint="default"/>
      </w:rPr>
    </w:lvl>
    <w:lvl w:ilvl="5">
      <w:start w:val="1"/>
      <w:numFmt w:val="bullet"/>
      <w:lvlText w:val="•"/>
      <w:lvlJc w:val="left"/>
      <w:pPr>
        <w:ind w:left="1677" w:hanging="672"/>
      </w:pPr>
      <w:rPr>
        <w:rFonts w:hint="default"/>
      </w:rPr>
    </w:lvl>
    <w:lvl w:ilvl="6">
      <w:start w:val="1"/>
      <w:numFmt w:val="bullet"/>
      <w:lvlText w:val="•"/>
      <w:lvlJc w:val="left"/>
      <w:pPr>
        <w:ind w:left="1956" w:hanging="672"/>
      </w:pPr>
      <w:rPr>
        <w:rFonts w:hint="default"/>
      </w:rPr>
    </w:lvl>
    <w:lvl w:ilvl="7">
      <w:start w:val="1"/>
      <w:numFmt w:val="bullet"/>
      <w:lvlText w:val="•"/>
      <w:lvlJc w:val="left"/>
      <w:pPr>
        <w:ind w:left="2236" w:hanging="672"/>
      </w:pPr>
      <w:rPr>
        <w:rFonts w:hint="default"/>
      </w:rPr>
    </w:lvl>
    <w:lvl w:ilvl="8">
      <w:start w:val="1"/>
      <w:numFmt w:val="bullet"/>
      <w:lvlText w:val="•"/>
      <w:lvlJc w:val="left"/>
      <w:pPr>
        <w:ind w:left="2515" w:hanging="672"/>
      </w:pPr>
      <w:rPr>
        <w:rFonts w:hint="default"/>
      </w:rPr>
    </w:lvl>
  </w:abstractNum>
  <w:abstractNum w:abstractNumId="12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9" w:hanging="672"/>
      </w:pPr>
      <w:rPr>
        <w:rFonts w:hint="default"/>
      </w:rPr>
    </w:lvl>
    <w:lvl w:ilvl="2">
      <w:start w:val="1"/>
      <w:numFmt w:val="bullet"/>
      <w:lvlText w:val="•"/>
      <w:lvlJc w:val="left"/>
      <w:pPr>
        <w:ind w:left="838" w:hanging="672"/>
      </w:pPr>
      <w:rPr>
        <w:rFonts w:hint="default"/>
      </w:rPr>
    </w:lvl>
    <w:lvl w:ilvl="3">
      <w:start w:val="1"/>
      <w:numFmt w:val="bullet"/>
      <w:lvlText w:val="•"/>
      <w:lvlJc w:val="left"/>
      <w:pPr>
        <w:ind w:left="1118" w:hanging="672"/>
      </w:pPr>
      <w:rPr>
        <w:rFonts w:hint="default"/>
      </w:rPr>
    </w:lvl>
    <w:lvl w:ilvl="4">
      <w:start w:val="1"/>
      <w:numFmt w:val="bullet"/>
      <w:lvlText w:val="•"/>
      <w:lvlJc w:val="left"/>
      <w:pPr>
        <w:ind w:left="1397" w:hanging="672"/>
      </w:pPr>
      <w:rPr>
        <w:rFonts w:hint="default"/>
      </w:rPr>
    </w:lvl>
    <w:lvl w:ilvl="5">
      <w:start w:val="1"/>
      <w:numFmt w:val="bullet"/>
      <w:lvlText w:val="•"/>
      <w:lvlJc w:val="left"/>
      <w:pPr>
        <w:ind w:left="1677" w:hanging="672"/>
      </w:pPr>
      <w:rPr>
        <w:rFonts w:hint="default"/>
      </w:rPr>
    </w:lvl>
    <w:lvl w:ilvl="6">
      <w:start w:val="1"/>
      <w:numFmt w:val="bullet"/>
      <w:lvlText w:val="•"/>
      <w:lvlJc w:val="left"/>
      <w:pPr>
        <w:ind w:left="1956" w:hanging="672"/>
      </w:pPr>
      <w:rPr>
        <w:rFonts w:hint="default"/>
      </w:rPr>
    </w:lvl>
    <w:lvl w:ilvl="7">
      <w:start w:val="1"/>
      <w:numFmt w:val="bullet"/>
      <w:lvlText w:val="•"/>
      <w:lvlJc w:val="left"/>
      <w:pPr>
        <w:ind w:left="2236" w:hanging="672"/>
      </w:pPr>
      <w:rPr>
        <w:rFonts w:hint="default"/>
      </w:rPr>
    </w:lvl>
    <w:lvl w:ilvl="8">
      <w:start w:val="1"/>
      <w:numFmt w:val="bullet"/>
      <w:lvlText w:val="•"/>
      <w:lvlJc w:val="left"/>
      <w:pPr>
        <w:ind w:left="2515" w:hanging="672"/>
      </w:pPr>
      <w:rPr>
        <w:rFonts w:hint="default"/>
      </w:rPr>
    </w:lvl>
  </w:abstractNum>
  <w:abstractNum w:abstractNumId="12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9" w:hanging="672"/>
      </w:pPr>
      <w:rPr>
        <w:rFonts w:hint="default"/>
      </w:rPr>
    </w:lvl>
    <w:lvl w:ilvl="2">
      <w:start w:val="1"/>
      <w:numFmt w:val="bullet"/>
      <w:lvlText w:val="•"/>
      <w:lvlJc w:val="left"/>
      <w:pPr>
        <w:ind w:left="838" w:hanging="672"/>
      </w:pPr>
      <w:rPr>
        <w:rFonts w:hint="default"/>
      </w:rPr>
    </w:lvl>
    <w:lvl w:ilvl="3">
      <w:start w:val="1"/>
      <w:numFmt w:val="bullet"/>
      <w:lvlText w:val="•"/>
      <w:lvlJc w:val="left"/>
      <w:pPr>
        <w:ind w:left="1118" w:hanging="672"/>
      </w:pPr>
      <w:rPr>
        <w:rFonts w:hint="default"/>
      </w:rPr>
    </w:lvl>
    <w:lvl w:ilvl="4">
      <w:start w:val="1"/>
      <w:numFmt w:val="bullet"/>
      <w:lvlText w:val="•"/>
      <w:lvlJc w:val="left"/>
      <w:pPr>
        <w:ind w:left="1397" w:hanging="672"/>
      </w:pPr>
      <w:rPr>
        <w:rFonts w:hint="default"/>
      </w:rPr>
    </w:lvl>
    <w:lvl w:ilvl="5">
      <w:start w:val="1"/>
      <w:numFmt w:val="bullet"/>
      <w:lvlText w:val="•"/>
      <w:lvlJc w:val="left"/>
      <w:pPr>
        <w:ind w:left="1677" w:hanging="672"/>
      </w:pPr>
      <w:rPr>
        <w:rFonts w:hint="default"/>
      </w:rPr>
    </w:lvl>
    <w:lvl w:ilvl="6">
      <w:start w:val="1"/>
      <w:numFmt w:val="bullet"/>
      <w:lvlText w:val="•"/>
      <w:lvlJc w:val="left"/>
      <w:pPr>
        <w:ind w:left="1956" w:hanging="672"/>
      </w:pPr>
      <w:rPr>
        <w:rFonts w:hint="default"/>
      </w:rPr>
    </w:lvl>
    <w:lvl w:ilvl="7">
      <w:start w:val="1"/>
      <w:numFmt w:val="bullet"/>
      <w:lvlText w:val="•"/>
      <w:lvlJc w:val="left"/>
      <w:pPr>
        <w:ind w:left="2236" w:hanging="672"/>
      </w:pPr>
      <w:rPr>
        <w:rFonts w:hint="default"/>
      </w:rPr>
    </w:lvl>
    <w:lvl w:ilvl="8">
      <w:start w:val="1"/>
      <w:numFmt w:val="bullet"/>
      <w:lvlText w:val="•"/>
      <w:lvlJc w:val="left"/>
      <w:pPr>
        <w:ind w:left="2515" w:hanging="672"/>
      </w:pPr>
      <w:rPr>
        <w:rFonts w:hint="default"/>
      </w:rPr>
    </w:lvl>
  </w:abstractNum>
  <w:abstractNum w:abstractNumId="12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9" w:hanging="672"/>
      </w:pPr>
      <w:rPr>
        <w:rFonts w:hint="default"/>
      </w:rPr>
    </w:lvl>
    <w:lvl w:ilvl="2">
      <w:start w:val="1"/>
      <w:numFmt w:val="bullet"/>
      <w:lvlText w:val="•"/>
      <w:lvlJc w:val="left"/>
      <w:pPr>
        <w:ind w:left="838" w:hanging="672"/>
      </w:pPr>
      <w:rPr>
        <w:rFonts w:hint="default"/>
      </w:rPr>
    </w:lvl>
    <w:lvl w:ilvl="3">
      <w:start w:val="1"/>
      <w:numFmt w:val="bullet"/>
      <w:lvlText w:val="•"/>
      <w:lvlJc w:val="left"/>
      <w:pPr>
        <w:ind w:left="1118" w:hanging="672"/>
      </w:pPr>
      <w:rPr>
        <w:rFonts w:hint="default"/>
      </w:rPr>
    </w:lvl>
    <w:lvl w:ilvl="4">
      <w:start w:val="1"/>
      <w:numFmt w:val="bullet"/>
      <w:lvlText w:val="•"/>
      <w:lvlJc w:val="left"/>
      <w:pPr>
        <w:ind w:left="1397" w:hanging="672"/>
      </w:pPr>
      <w:rPr>
        <w:rFonts w:hint="default"/>
      </w:rPr>
    </w:lvl>
    <w:lvl w:ilvl="5">
      <w:start w:val="1"/>
      <w:numFmt w:val="bullet"/>
      <w:lvlText w:val="•"/>
      <w:lvlJc w:val="left"/>
      <w:pPr>
        <w:ind w:left="1677" w:hanging="672"/>
      </w:pPr>
      <w:rPr>
        <w:rFonts w:hint="default"/>
      </w:rPr>
    </w:lvl>
    <w:lvl w:ilvl="6">
      <w:start w:val="1"/>
      <w:numFmt w:val="bullet"/>
      <w:lvlText w:val="•"/>
      <w:lvlJc w:val="left"/>
      <w:pPr>
        <w:ind w:left="1956" w:hanging="672"/>
      </w:pPr>
      <w:rPr>
        <w:rFonts w:hint="default"/>
      </w:rPr>
    </w:lvl>
    <w:lvl w:ilvl="7">
      <w:start w:val="1"/>
      <w:numFmt w:val="bullet"/>
      <w:lvlText w:val="•"/>
      <w:lvlJc w:val="left"/>
      <w:pPr>
        <w:ind w:left="2236" w:hanging="672"/>
      </w:pPr>
      <w:rPr>
        <w:rFonts w:hint="default"/>
      </w:rPr>
    </w:lvl>
    <w:lvl w:ilvl="8">
      <w:start w:val="1"/>
      <w:numFmt w:val="bullet"/>
      <w:lvlText w:val="•"/>
      <w:lvlJc w:val="left"/>
      <w:pPr>
        <w:ind w:left="2515" w:hanging="672"/>
      </w:pPr>
      <w:rPr>
        <w:rFonts w:hint="default"/>
      </w:rPr>
    </w:lvl>
  </w:abstractNum>
  <w:abstractNum w:abstractNumId="125">
    <w:multiLevelType w:val="hybridMultilevel"/>
    <w:lvl w:ilvl="0">
      <w:start w:val="1"/>
      <w:numFmt w:val="bullet"/>
      <w:lvlText w:val=""/>
      <w:lvlJc w:val="left"/>
      <w:pPr>
        <w:ind w:left="280" w:hanging="233"/>
      </w:pPr>
      <w:rPr>
        <w:rFonts w:hint="default" w:ascii="Wingdings" w:hAnsi="Wingdings" w:eastAsia="Wingdings" w:cs="Wingdings"/>
        <w:w w:val="99"/>
        <w:sz w:val="20"/>
        <w:szCs w:val="20"/>
      </w:rPr>
    </w:lvl>
    <w:lvl w:ilvl="1">
      <w:start w:val="1"/>
      <w:numFmt w:val="bullet"/>
      <w:lvlText w:val="•"/>
      <w:lvlJc w:val="left"/>
      <w:pPr>
        <w:ind w:left="559" w:hanging="233"/>
      </w:pPr>
      <w:rPr>
        <w:rFonts w:hint="default"/>
      </w:rPr>
    </w:lvl>
    <w:lvl w:ilvl="2">
      <w:start w:val="1"/>
      <w:numFmt w:val="bullet"/>
      <w:lvlText w:val="•"/>
      <w:lvlJc w:val="left"/>
      <w:pPr>
        <w:ind w:left="838" w:hanging="233"/>
      </w:pPr>
      <w:rPr>
        <w:rFonts w:hint="default"/>
      </w:rPr>
    </w:lvl>
    <w:lvl w:ilvl="3">
      <w:start w:val="1"/>
      <w:numFmt w:val="bullet"/>
      <w:lvlText w:val="•"/>
      <w:lvlJc w:val="left"/>
      <w:pPr>
        <w:ind w:left="1118" w:hanging="233"/>
      </w:pPr>
      <w:rPr>
        <w:rFonts w:hint="default"/>
      </w:rPr>
    </w:lvl>
    <w:lvl w:ilvl="4">
      <w:start w:val="1"/>
      <w:numFmt w:val="bullet"/>
      <w:lvlText w:val="•"/>
      <w:lvlJc w:val="left"/>
      <w:pPr>
        <w:ind w:left="1397" w:hanging="233"/>
      </w:pPr>
      <w:rPr>
        <w:rFonts w:hint="default"/>
      </w:rPr>
    </w:lvl>
    <w:lvl w:ilvl="5">
      <w:start w:val="1"/>
      <w:numFmt w:val="bullet"/>
      <w:lvlText w:val="•"/>
      <w:lvlJc w:val="left"/>
      <w:pPr>
        <w:ind w:left="1677" w:hanging="233"/>
      </w:pPr>
      <w:rPr>
        <w:rFonts w:hint="default"/>
      </w:rPr>
    </w:lvl>
    <w:lvl w:ilvl="6">
      <w:start w:val="1"/>
      <w:numFmt w:val="bullet"/>
      <w:lvlText w:val="•"/>
      <w:lvlJc w:val="left"/>
      <w:pPr>
        <w:ind w:left="1956" w:hanging="233"/>
      </w:pPr>
      <w:rPr>
        <w:rFonts w:hint="default"/>
      </w:rPr>
    </w:lvl>
    <w:lvl w:ilvl="7">
      <w:start w:val="1"/>
      <w:numFmt w:val="bullet"/>
      <w:lvlText w:val="•"/>
      <w:lvlJc w:val="left"/>
      <w:pPr>
        <w:ind w:left="2236" w:hanging="233"/>
      </w:pPr>
      <w:rPr>
        <w:rFonts w:hint="default"/>
      </w:rPr>
    </w:lvl>
    <w:lvl w:ilvl="8">
      <w:start w:val="1"/>
      <w:numFmt w:val="bullet"/>
      <w:lvlText w:val="•"/>
      <w:lvlJc w:val="left"/>
      <w:pPr>
        <w:ind w:left="2515" w:hanging="233"/>
      </w:pPr>
      <w:rPr>
        <w:rFonts w:hint="default"/>
      </w:rPr>
    </w:lvl>
  </w:abstractNum>
  <w:abstractNum w:abstractNumId="12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9" w:hanging="672"/>
      </w:pPr>
      <w:rPr>
        <w:rFonts w:hint="default"/>
      </w:rPr>
    </w:lvl>
    <w:lvl w:ilvl="2">
      <w:start w:val="1"/>
      <w:numFmt w:val="bullet"/>
      <w:lvlText w:val="•"/>
      <w:lvlJc w:val="left"/>
      <w:pPr>
        <w:ind w:left="838" w:hanging="672"/>
      </w:pPr>
      <w:rPr>
        <w:rFonts w:hint="default"/>
      </w:rPr>
    </w:lvl>
    <w:lvl w:ilvl="3">
      <w:start w:val="1"/>
      <w:numFmt w:val="bullet"/>
      <w:lvlText w:val="•"/>
      <w:lvlJc w:val="left"/>
      <w:pPr>
        <w:ind w:left="1118" w:hanging="672"/>
      </w:pPr>
      <w:rPr>
        <w:rFonts w:hint="default"/>
      </w:rPr>
    </w:lvl>
    <w:lvl w:ilvl="4">
      <w:start w:val="1"/>
      <w:numFmt w:val="bullet"/>
      <w:lvlText w:val="•"/>
      <w:lvlJc w:val="left"/>
      <w:pPr>
        <w:ind w:left="1397" w:hanging="672"/>
      </w:pPr>
      <w:rPr>
        <w:rFonts w:hint="default"/>
      </w:rPr>
    </w:lvl>
    <w:lvl w:ilvl="5">
      <w:start w:val="1"/>
      <w:numFmt w:val="bullet"/>
      <w:lvlText w:val="•"/>
      <w:lvlJc w:val="left"/>
      <w:pPr>
        <w:ind w:left="1677" w:hanging="672"/>
      </w:pPr>
      <w:rPr>
        <w:rFonts w:hint="default"/>
      </w:rPr>
    </w:lvl>
    <w:lvl w:ilvl="6">
      <w:start w:val="1"/>
      <w:numFmt w:val="bullet"/>
      <w:lvlText w:val="•"/>
      <w:lvlJc w:val="left"/>
      <w:pPr>
        <w:ind w:left="1956" w:hanging="672"/>
      </w:pPr>
      <w:rPr>
        <w:rFonts w:hint="default"/>
      </w:rPr>
    </w:lvl>
    <w:lvl w:ilvl="7">
      <w:start w:val="1"/>
      <w:numFmt w:val="bullet"/>
      <w:lvlText w:val="•"/>
      <w:lvlJc w:val="left"/>
      <w:pPr>
        <w:ind w:left="2236" w:hanging="672"/>
      </w:pPr>
      <w:rPr>
        <w:rFonts w:hint="default"/>
      </w:rPr>
    </w:lvl>
    <w:lvl w:ilvl="8">
      <w:start w:val="1"/>
      <w:numFmt w:val="bullet"/>
      <w:lvlText w:val="•"/>
      <w:lvlJc w:val="left"/>
      <w:pPr>
        <w:ind w:left="2515" w:hanging="672"/>
      </w:pPr>
      <w:rPr>
        <w:rFonts w:hint="default"/>
      </w:rPr>
    </w:lvl>
  </w:abstractNum>
  <w:abstractNum w:abstractNumId="12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9" w:hanging="672"/>
      </w:pPr>
      <w:rPr>
        <w:rFonts w:hint="default"/>
      </w:rPr>
    </w:lvl>
    <w:lvl w:ilvl="2">
      <w:start w:val="1"/>
      <w:numFmt w:val="bullet"/>
      <w:lvlText w:val="•"/>
      <w:lvlJc w:val="left"/>
      <w:pPr>
        <w:ind w:left="838" w:hanging="672"/>
      </w:pPr>
      <w:rPr>
        <w:rFonts w:hint="default"/>
      </w:rPr>
    </w:lvl>
    <w:lvl w:ilvl="3">
      <w:start w:val="1"/>
      <w:numFmt w:val="bullet"/>
      <w:lvlText w:val="•"/>
      <w:lvlJc w:val="left"/>
      <w:pPr>
        <w:ind w:left="1118" w:hanging="672"/>
      </w:pPr>
      <w:rPr>
        <w:rFonts w:hint="default"/>
      </w:rPr>
    </w:lvl>
    <w:lvl w:ilvl="4">
      <w:start w:val="1"/>
      <w:numFmt w:val="bullet"/>
      <w:lvlText w:val="•"/>
      <w:lvlJc w:val="left"/>
      <w:pPr>
        <w:ind w:left="1397" w:hanging="672"/>
      </w:pPr>
      <w:rPr>
        <w:rFonts w:hint="default"/>
      </w:rPr>
    </w:lvl>
    <w:lvl w:ilvl="5">
      <w:start w:val="1"/>
      <w:numFmt w:val="bullet"/>
      <w:lvlText w:val="•"/>
      <w:lvlJc w:val="left"/>
      <w:pPr>
        <w:ind w:left="1677" w:hanging="672"/>
      </w:pPr>
      <w:rPr>
        <w:rFonts w:hint="default"/>
      </w:rPr>
    </w:lvl>
    <w:lvl w:ilvl="6">
      <w:start w:val="1"/>
      <w:numFmt w:val="bullet"/>
      <w:lvlText w:val="•"/>
      <w:lvlJc w:val="left"/>
      <w:pPr>
        <w:ind w:left="1956" w:hanging="672"/>
      </w:pPr>
      <w:rPr>
        <w:rFonts w:hint="default"/>
      </w:rPr>
    </w:lvl>
    <w:lvl w:ilvl="7">
      <w:start w:val="1"/>
      <w:numFmt w:val="bullet"/>
      <w:lvlText w:val="•"/>
      <w:lvlJc w:val="left"/>
      <w:pPr>
        <w:ind w:left="2236" w:hanging="672"/>
      </w:pPr>
      <w:rPr>
        <w:rFonts w:hint="default"/>
      </w:rPr>
    </w:lvl>
    <w:lvl w:ilvl="8">
      <w:start w:val="1"/>
      <w:numFmt w:val="bullet"/>
      <w:lvlText w:val="•"/>
      <w:lvlJc w:val="left"/>
      <w:pPr>
        <w:ind w:left="2515" w:hanging="672"/>
      </w:pPr>
      <w:rPr>
        <w:rFonts w:hint="default"/>
      </w:rPr>
    </w:lvl>
  </w:abstractNum>
  <w:abstractNum w:abstractNumId="122">
    <w:multiLevelType w:val="hybridMultilevel"/>
    <w:lvl w:ilvl="0">
      <w:start w:val="1"/>
      <w:numFmt w:val="bullet"/>
      <w:lvlText w:val="-"/>
      <w:lvlJc w:val="left"/>
      <w:pPr>
        <w:ind w:left="103" w:hanging="137"/>
      </w:pPr>
      <w:rPr>
        <w:rFonts w:hint="default" w:ascii="Arial" w:hAnsi="Arial" w:eastAsia="Arial" w:cs="Arial"/>
        <w:w w:val="100"/>
        <w:sz w:val="22"/>
        <w:szCs w:val="22"/>
      </w:rPr>
    </w:lvl>
    <w:lvl w:ilvl="1">
      <w:start w:val="1"/>
      <w:numFmt w:val="bullet"/>
      <w:lvlText w:val="•"/>
      <w:lvlJc w:val="left"/>
      <w:pPr>
        <w:ind w:left="1378" w:hanging="137"/>
      </w:pPr>
      <w:rPr>
        <w:rFonts w:hint="default"/>
      </w:rPr>
    </w:lvl>
    <w:lvl w:ilvl="2">
      <w:start w:val="1"/>
      <w:numFmt w:val="bullet"/>
      <w:lvlText w:val="•"/>
      <w:lvlJc w:val="left"/>
      <w:pPr>
        <w:ind w:left="2657" w:hanging="137"/>
      </w:pPr>
      <w:rPr>
        <w:rFonts w:hint="default"/>
      </w:rPr>
    </w:lvl>
    <w:lvl w:ilvl="3">
      <w:start w:val="1"/>
      <w:numFmt w:val="bullet"/>
      <w:lvlText w:val="•"/>
      <w:lvlJc w:val="left"/>
      <w:pPr>
        <w:ind w:left="3936" w:hanging="137"/>
      </w:pPr>
      <w:rPr>
        <w:rFonts w:hint="default"/>
      </w:rPr>
    </w:lvl>
    <w:lvl w:ilvl="4">
      <w:start w:val="1"/>
      <w:numFmt w:val="bullet"/>
      <w:lvlText w:val="•"/>
      <w:lvlJc w:val="left"/>
      <w:pPr>
        <w:ind w:left="5215" w:hanging="137"/>
      </w:pPr>
      <w:rPr>
        <w:rFonts w:hint="default"/>
      </w:rPr>
    </w:lvl>
    <w:lvl w:ilvl="5">
      <w:start w:val="1"/>
      <w:numFmt w:val="bullet"/>
      <w:lvlText w:val="•"/>
      <w:lvlJc w:val="left"/>
      <w:pPr>
        <w:ind w:left="6493" w:hanging="137"/>
      </w:pPr>
      <w:rPr>
        <w:rFonts w:hint="default"/>
      </w:rPr>
    </w:lvl>
    <w:lvl w:ilvl="6">
      <w:start w:val="1"/>
      <w:numFmt w:val="bullet"/>
      <w:lvlText w:val="•"/>
      <w:lvlJc w:val="left"/>
      <w:pPr>
        <w:ind w:left="7772" w:hanging="137"/>
      </w:pPr>
      <w:rPr>
        <w:rFonts w:hint="default"/>
      </w:rPr>
    </w:lvl>
    <w:lvl w:ilvl="7">
      <w:start w:val="1"/>
      <w:numFmt w:val="bullet"/>
      <w:lvlText w:val="•"/>
      <w:lvlJc w:val="left"/>
      <w:pPr>
        <w:ind w:left="9051" w:hanging="137"/>
      </w:pPr>
      <w:rPr>
        <w:rFonts w:hint="default"/>
      </w:rPr>
    </w:lvl>
    <w:lvl w:ilvl="8">
      <w:start w:val="1"/>
      <w:numFmt w:val="bullet"/>
      <w:lvlText w:val="•"/>
      <w:lvlJc w:val="left"/>
      <w:pPr>
        <w:ind w:left="10330" w:hanging="137"/>
      </w:pPr>
      <w:rPr>
        <w:rFonts w:hint="default"/>
      </w:rPr>
    </w:lvl>
  </w:abstractNum>
  <w:abstractNum w:abstractNumId="121">
    <w:multiLevelType w:val="hybridMultilevel"/>
    <w:lvl w:ilvl="0">
      <w:start w:val="1"/>
      <w:numFmt w:val="bullet"/>
      <w:lvlText w:val="-"/>
      <w:lvlJc w:val="left"/>
      <w:pPr>
        <w:ind w:left="64" w:hanging="152"/>
      </w:pPr>
      <w:rPr>
        <w:rFonts w:hint="default" w:ascii="Arial" w:hAnsi="Arial" w:eastAsia="Arial" w:cs="Arial"/>
        <w:w w:val="100"/>
        <w:sz w:val="22"/>
        <w:szCs w:val="22"/>
      </w:rPr>
    </w:lvl>
    <w:lvl w:ilvl="1">
      <w:start w:val="1"/>
      <w:numFmt w:val="bullet"/>
      <w:lvlText w:val="•"/>
      <w:lvlJc w:val="left"/>
      <w:pPr>
        <w:ind w:left="1342" w:hanging="152"/>
      </w:pPr>
      <w:rPr>
        <w:rFonts w:hint="default"/>
      </w:rPr>
    </w:lvl>
    <w:lvl w:ilvl="2">
      <w:start w:val="1"/>
      <w:numFmt w:val="bullet"/>
      <w:lvlText w:val="•"/>
      <w:lvlJc w:val="left"/>
      <w:pPr>
        <w:ind w:left="2625" w:hanging="152"/>
      </w:pPr>
      <w:rPr>
        <w:rFonts w:hint="default"/>
      </w:rPr>
    </w:lvl>
    <w:lvl w:ilvl="3">
      <w:start w:val="1"/>
      <w:numFmt w:val="bullet"/>
      <w:lvlText w:val="•"/>
      <w:lvlJc w:val="left"/>
      <w:pPr>
        <w:ind w:left="3908" w:hanging="152"/>
      </w:pPr>
      <w:rPr>
        <w:rFonts w:hint="default"/>
      </w:rPr>
    </w:lvl>
    <w:lvl w:ilvl="4">
      <w:start w:val="1"/>
      <w:numFmt w:val="bullet"/>
      <w:lvlText w:val="•"/>
      <w:lvlJc w:val="left"/>
      <w:pPr>
        <w:ind w:left="5191" w:hanging="152"/>
      </w:pPr>
      <w:rPr>
        <w:rFonts w:hint="default"/>
      </w:rPr>
    </w:lvl>
    <w:lvl w:ilvl="5">
      <w:start w:val="1"/>
      <w:numFmt w:val="bullet"/>
      <w:lvlText w:val="•"/>
      <w:lvlJc w:val="left"/>
      <w:pPr>
        <w:ind w:left="6473" w:hanging="152"/>
      </w:pPr>
      <w:rPr>
        <w:rFonts w:hint="default"/>
      </w:rPr>
    </w:lvl>
    <w:lvl w:ilvl="6">
      <w:start w:val="1"/>
      <w:numFmt w:val="bullet"/>
      <w:lvlText w:val="•"/>
      <w:lvlJc w:val="left"/>
      <w:pPr>
        <w:ind w:left="7756" w:hanging="152"/>
      </w:pPr>
      <w:rPr>
        <w:rFonts w:hint="default"/>
      </w:rPr>
    </w:lvl>
    <w:lvl w:ilvl="7">
      <w:start w:val="1"/>
      <w:numFmt w:val="bullet"/>
      <w:lvlText w:val="•"/>
      <w:lvlJc w:val="left"/>
      <w:pPr>
        <w:ind w:left="9039" w:hanging="152"/>
      </w:pPr>
      <w:rPr>
        <w:rFonts w:hint="default"/>
      </w:rPr>
    </w:lvl>
    <w:lvl w:ilvl="8">
      <w:start w:val="1"/>
      <w:numFmt w:val="bullet"/>
      <w:lvlText w:val="•"/>
      <w:lvlJc w:val="left"/>
      <w:pPr>
        <w:ind w:left="10322" w:hanging="152"/>
      </w:pPr>
      <w:rPr>
        <w:rFonts w:hint="default"/>
      </w:rPr>
    </w:lvl>
  </w:abstractNum>
  <w:abstractNum w:abstractNumId="120">
    <w:multiLevelType w:val="hybridMultilevel"/>
    <w:lvl w:ilvl="0">
      <w:start w:val="1"/>
      <w:numFmt w:val="bullet"/>
      <w:lvlText w:val="-"/>
      <w:lvlJc w:val="left"/>
      <w:pPr>
        <w:ind w:left="180" w:hanging="142"/>
      </w:pPr>
      <w:rPr>
        <w:rFonts w:hint="default" w:ascii="Arial" w:hAnsi="Arial" w:eastAsia="Arial" w:cs="Arial"/>
        <w:w w:val="100"/>
        <w:sz w:val="22"/>
        <w:szCs w:val="22"/>
      </w:rPr>
    </w:lvl>
    <w:lvl w:ilvl="1">
      <w:start w:val="1"/>
      <w:numFmt w:val="bullet"/>
      <w:lvlText w:val="•"/>
      <w:lvlJc w:val="left"/>
      <w:pPr>
        <w:ind w:left="1496" w:hanging="142"/>
      </w:pPr>
      <w:rPr>
        <w:rFonts w:hint="default"/>
      </w:rPr>
    </w:lvl>
    <w:lvl w:ilvl="2">
      <w:start w:val="1"/>
      <w:numFmt w:val="bullet"/>
      <w:lvlText w:val="•"/>
      <w:lvlJc w:val="left"/>
      <w:pPr>
        <w:ind w:left="2812" w:hanging="142"/>
      </w:pPr>
      <w:rPr>
        <w:rFonts w:hint="default"/>
      </w:rPr>
    </w:lvl>
    <w:lvl w:ilvl="3">
      <w:start w:val="1"/>
      <w:numFmt w:val="bullet"/>
      <w:lvlText w:val="•"/>
      <w:lvlJc w:val="left"/>
      <w:pPr>
        <w:ind w:left="4128" w:hanging="142"/>
      </w:pPr>
      <w:rPr>
        <w:rFonts w:hint="default"/>
      </w:rPr>
    </w:lvl>
    <w:lvl w:ilvl="4">
      <w:start w:val="1"/>
      <w:numFmt w:val="bullet"/>
      <w:lvlText w:val="•"/>
      <w:lvlJc w:val="left"/>
      <w:pPr>
        <w:ind w:left="5444" w:hanging="142"/>
      </w:pPr>
      <w:rPr>
        <w:rFonts w:hint="default"/>
      </w:rPr>
    </w:lvl>
    <w:lvl w:ilvl="5">
      <w:start w:val="1"/>
      <w:numFmt w:val="bullet"/>
      <w:lvlText w:val="•"/>
      <w:lvlJc w:val="left"/>
      <w:pPr>
        <w:ind w:left="6760" w:hanging="142"/>
      </w:pPr>
      <w:rPr>
        <w:rFonts w:hint="default"/>
      </w:rPr>
    </w:lvl>
    <w:lvl w:ilvl="6">
      <w:start w:val="1"/>
      <w:numFmt w:val="bullet"/>
      <w:lvlText w:val="•"/>
      <w:lvlJc w:val="left"/>
      <w:pPr>
        <w:ind w:left="8076" w:hanging="142"/>
      </w:pPr>
      <w:rPr>
        <w:rFonts w:hint="default"/>
      </w:rPr>
    </w:lvl>
    <w:lvl w:ilvl="7">
      <w:start w:val="1"/>
      <w:numFmt w:val="bullet"/>
      <w:lvlText w:val="•"/>
      <w:lvlJc w:val="left"/>
      <w:pPr>
        <w:ind w:left="9392" w:hanging="142"/>
      </w:pPr>
      <w:rPr>
        <w:rFonts w:hint="default"/>
      </w:rPr>
    </w:lvl>
    <w:lvl w:ilvl="8">
      <w:start w:val="1"/>
      <w:numFmt w:val="bullet"/>
      <w:lvlText w:val="•"/>
      <w:lvlJc w:val="left"/>
      <w:pPr>
        <w:ind w:left="10708" w:hanging="142"/>
      </w:pPr>
      <w:rPr>
        <w:rFonts w:hint="default"/>
      </w:rPr>
    </w:lvl>
  </w:abstractNum>
  <w:abstractNum w:abstractNumId="11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7" w:hanging="672"/>
      </w:pPr>
      <w:rPr>
        <w:rFonts w:hint="default"/>
      </w:rPr>
    </w:lvl>
    <w:lvl w:ilvl="2">
      <w:start w:val="1"/>
      <w:numFmt w:val="bullet"/>
      <w:lvlText w:val="•"/>
      <w:lvlJc w:val="left"/>
      <w:pPr>
        <w:ind w:left="855" w:hanging="672"/>
      </w:pPr>
      <w:rPr>
        <w:rFonts w:hint="default"/>
      </w:rPr>
    </w:lvl>
    <w:lvl w:ilvl="3">
      <w:start w:val="1"/>
      <w:numFmt w:val="bullet"/>
      <w:lvlText w:val="•"/>
      <w:lvlJc w:val="left"/>
      <w:pPr>
        <w:ind w:left="1143" w:hanging="672"/>
      </w:pPr>
      <w:rPr>
        <w:rFonts w:hint="default"/>
      </w:rPr>
    </w:lvl>
    <w:lvl w:ilvl="4">
      <w:start w:val="1"/>
      <w:numFmt w:val="bullet"/>
      <w:lvlText w:val="•"/>
      <w:lvlJc w:val="left"/>
      <w:pPr>
        <w:ind w:left="1431" w:hanging="672"/>
      </w:pPr>
      <w:rPr>
        <w:rFonts w:hint="default"/>
      </w:rPr>
    </w:lvl>
    <w:lvl w:ilvl="5">
      <w:start w:val="1"/>
      <w:numFmt w:val="bullet"/>
      <w:lvlText w:val="•"/>
      <w:lvlJc w:val="left"/>
      <w:pPr>
        <w:ind w:left="1719" w:hanging="672"/>
      </w:pPr>
      <w:rPr>
        <w:rFonts w:hint="default"/>
      </w:rPr>
    </w:lvl>
    <w:lvl w:ilvl="6">
      <w:start w:val="1"/>
      <w:numFmt w:val="bullet"/>
      <w:lvlText w:val="•"/>
      <w:lvlJc w:val="left"/>
      <w:pPr>
        <w:ind w:left="2007" w:hanging="672"/>
      </w:pPr>
      <w:rPr>
        <w:rFonts w:hint="default"/>
      </w:rPr>
    </w:lvl>
    <w:lvl w:ilvl="7">
      <w:start w:val="1"/>
      <w:numFmt w:val="bullet"/>
      <w:lvlText w:val="•"/>
      <w:lvlJc w:val="left"/>
      <w:pPr>
        <w:ind w:left="2294" w:hanging="672"/>
      </w:pPr>
      <w:rPr>
        <w:rFonts w:hint="default"/>
      </w:rPr>
    </w:lvl>
    <w:lvl w:ilvl="8">
      <w:start w:val="1"/>
      <w:numFmt w:val="bullet"/>
      <w:lvlText w:val="•"/>
      <w:lvlJc w:val="left"/>
      <w:pPr>
        <w:ind w:left="2582" w:hanging="672"/>
      </w:pPr>
      <w:rPr>
        <w:rFonts w:hint="default"/>
      </w:rPr>
    </w:lvl>
  </w:abstractNum>
  <w:abstractNum w:abstractNumId="11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7" w:hanging="672"/>
      </w:pPr>
      <w:rPr>
        <w:rFonts w:hint="default"/>
      </w:rPr>
    </w:lvl>
    <w:lvl w:ilvl="2">
      <w:start w:val="1"/>
      <w:numFmt w:val="bullet"/>
      <w:lvlText w:val="•"/>
      <w:lvlJc w:val="left"/>
      <w:pPr>
        <w:ind w:left="855" w:hanging="672"/>
      </w:pPr>
      <w:rPr>
        <w:rFonts w:hint="default"/>
      </w:rPr>
    </w:lvl>
    <w:lvl w:ilvl="3">
      <w:start w:val="1"/>
      <w:numFmt w:val="bullet"/>
      <w:lvlText w:val="•"/>
      <w:lvlJc w:val="left"/>
      <w:pPr>
        <w:ind w:left="1143" w:hanging="672"/>
      </w:pPr>
      <w:rPr>
        <w:rFonts w:hint="default"/>
      </w:rPr>
    </w:lvl>
    <w:lvl w:ilvl="4">
      <w:start w:val="1"/>
      <w:numFmt w:val="bullet"/>
      <w:lvlText w:val="•"/>
      <w:lvlJc w:val="left"/>
      <w:pPr>
        <w:ind w:left="1431" w:hanging="672"/>
      </w:pPr>
      <w:rPr>
        <w:rFonts w:hint="default"/>
      </w:rPr>
    </w:lvl>
    <w:lvl w:ilvl="5">
      <w:start w:val="1"/>
      <w:numFmt w:val="bullet"/>
      <w:lvlText w:val="•"/>
      <w:lvlJc w:val="left"/>
      <w:pPr>
        <w:ind w:left="1719" w:hanging="672"/>
      </w:pPr>
      <w:rPr>
        <w:rFonts w:hint="default"/>
      </w:rPr>
    </w:lvl>
    <w:lvl w:ilvl="6">
      <w:start w:val="1"/>
      <w:numFmt w:val="bullet"/>
      <w:lvlText w:val="•"/>
      <w:lvlJc w:val="left"/>
      <w:pPr>
        <w:ind w:left="2007" w:hanging="672"/>
      </w:pPr>
      <w:rPr>
        <w:rFonts w:hint="default"/>
      </w:rPr>
    </w:lvl>
    <w:lvl w:ilvl="7">
      <w:start w:val="1"/>
      <w:numFmt w:val="bullet"/>
      <w:lvlText w:val="•"/>
      <w:lvlJc w:val="left"/>
      <w:pPr>
        <w:ind w:left="2294" w:hanging="672"/>
      </w:pPr>
      <w:rPr>
        <w:rFonts w:hint="default"/>
      </w:rPr>
    </w:lvl>
    <w:lvl w:ilvl="8">
      <w:start w:val="1"/>
      <w:numFmt w:val="bullet"/>
      <w:lvlText w:val="•"/>
      <w:lvlJc w:val="left"/>
      <w:pPr>
        <w:ind w:left="2582" w:hanging="672"/>
      </w:pPr>
      <w:rPr>
        <w:rFonts w:hint="default"/>
      </w:rPr>
    </w:lvl>
  </w:abstractNum>
  <w:abstractNum w:abstractNumId="11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7" w:hanging="672"/>
      </w:pPr>
      <w:rPr>
        <w:rFonts w:hint="default"/>
      </w:rPr>
    </w:lvl>
    <w:lvl w:ilvl="2">
      <w:start w:val="1"/>
      <w:numFmt w:val="bullet"/>
      <w:lvlText w:val="•"/>
      <w:lvlJc w:val="left"/>
      <w:pPr>
        <w:ind w:left="855" w:hanging="672"/>
      </w:pPr>
      <w:rPr>
        <w:rFonts w:hint="default"/>
      </w:rPr>
    </w:lvl>
    <w:lvl w:ilvl="3">
      <w:start w:val="1"/>
      <w:numFmt w:val="bullet"/>
      <w:lvlText w:val="•"/>
      <w:lvlJc w:val="left"/>
      <w:pPr>
        <w:ind w:left="1143" w:hanging="672"/>
      </w:pPr>
      <w:rPr>
        <w:rFonts w:hint="default"/>
      </w:rPr>
    </w:lvl>
    <w:lvl w:ilvl="4">
      <w:start w:val="1"/>
      <w:numFmt w:val="bullet"/>
      <w:lvlText w:val="•"/>
      <w:lvlJc w:val="left"/>
      <w:pPr>
        <w:ind w:left="1431" w:hanging="672"/>
      </w:pPr>
      <w:rPr>
        <w:rFonts w:hint="default"/>
      </w:rPr>
    </w:lvl>
    <w:lvl w:ilvl="5">
      <w:start w:val="1"/>
      <w:numFmt w:val="bullet"/>
      <w:lvlText w:val="•"/>
      <w:lvlJc w:val="left"/>
      <w:pPr>
        <w:ind w:left="1719" w:hanging="672"/>
      </w:pPr>
      <w:rPr>
        <w:rFonts w:hint="default"/>
      </w:rPr>
    </w:lvl>
    <w:lvl w:ilvl="6">
      <w:start w:val="1"/>
      <w:numFmt w:val="bullet"/>
      <w:lvlText w:val="•"/>
      <w:lvlJc w:val="left"/>
      <w:pPr>
        <w:ind w:left="2007" w:hanging="672"/>
      </w:pPr>
      <w:rPr>
        <w:rFonts w:hint="default"/>
      </w:rPr>
    </w:lvl>
    <w:lvl w:ilvl="7">
      <w:start w:val="1"/>
      <w:numFmt w:val="bullet"/>
      <w:lvlText w:val="•"/>
      <w:lvlJc w:val="left"/>
      <w:pPr>
        <w:ind w:left="2294" w:hanging="672"/>
      </w:pPr>
      <w:rPr>
        <w:rFonts w:hint="default"/>
      </w:rPr>
    </w:lvl>
    <w:lvl w:ilvl="8">
      <w:start w:val="1"/>
      <w:numFmt w:val="bullet"/>
      <w:lvlText w:val="•"/>
      <w:lvlJc w:val="left"/>
      <w:pPr>
        <w:ind w:left="2582" w:hanging="672"/>
      </w:pPr>
      <w:rPr>
        <w:rFonts w:hint="default"/>
      </w:rPr>
    </w:lvl>
  </w:abstractNum>
  <w:abstractNum w:abstractNumId="11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7" w:hanging="672"/>
      </w:pPr>
      <w:rPr>
        <w:rFonts w:hint="default"/>
      </w:rPr>
    </w:lvl>
    <w:lvl w:ilvl="2">
      <w:start w:val="1"/>
      <w:numFmt w:val="bullet"/>
      <w:lvlText w:val="•"/>
      <w:lvlJc w:val="left"/>
      <w:pPr>
        <w:ind w:left="855" w:hanging="672"/>
      </w:pPr>
      <w:rPr>
        <w:rFonts w:hint="default"/>
      </w:rPr>
    </w:lvl>
    <w:lvl w:ilvl="3">
      <w:start w:val="1"/>
      <w:numFmt w:val="bullet"/>
      <w:lvlText w:val="•"/>
      <w:lvlJc w:val="left"/>
      <w:pPr>
        <w:ind w:left="1143" w:hanging="672"/>
      </w:pPr>
      <w:rPr>
        <w:rFonts w:hint="default"/>
      </w:rPr>
    </w:lvl>
    <w:lvl w:ilvl="4">
      <w:start w:val="1"/>
      <w:numFmt w:val="bullet"/>
      <w:lvlText w:val="•"/>
      <w:lvlJc w:val="left"/>
      <w:pPr>
        <w:ind w:left="1431" w:hanging="672"/>
      </w:pPr>
      <w:rPr>
        <w:rFonts w:hint="default"/>
      </w:rPr>
    </w:lvl>
    <w:lvl w:ilvl="5">
      <w:start w:val="1"/>
      <w:numFmt w:val="bullet"/>
      <w:lvlText w:val="•"/>
      <w:lvlJc w:val="left"/>
      <w:pPr>
        <w:ind w:left="1719" w:hanging="672"/>
      </w:pPr>
      <w:rPr>
        <w:rFonts w:hint="default"/>
      </w:rPr>
    </w:lvl>
    <w:lvl w:ilvl="6">
      <w:start w:val="1"/>
      <w:numFmt w:val="bullet"/>
      <w:lvlText w:val="•"/>
      <w:lvlJc w:val="left"/>
      <w:pPr>
        <w:ind w:left="2007" w:hanging="672"/>
      </w:pPr>
      <w:rPr>
        <w:rFonts w:hint="default"/>
      </w:rPr>
    </w:lvl>
    <w:lvl w:ilvl="7">
      <w:start w:val="1"/>
      <w:numFmt w:val="bullet"/>
      <w:lvlText w:val="•"/>
      <w:lvlJc w:val="left"/>
      <w:pPr>
        <w:ind w:left="2294" w:hanging="672"/>
      </w:pPr>
      <w:rPr>
        <w:rFonts w:hint="default"/>
      </w:rPr>
    </w:lvl>
    <w:lvl w:ilvl="8">
      <w:start w:val="1"/>
      <w:numFmt w:val="bullet"/>
      <w:lvlText w:val="•"/>
      <w:lvlJc w:val="left"/>
      <w:pPr>
        <w:ind w:left="2582" w:hanging="672"/>
      </w:pPr>
      <w:rPr>
        <w:rFonts w:hint="default"/>
      </w:rPr>
    </w:lvl>
  </w:abstractNum>
  <w:abstractNum w:abstractNumId="11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7" w:hanging="672"/>
      </w:pPr>
      <w:rPr>
        <w:rFonts w:hint="default"/>
      </w:rPr>
    </w:lvl>
    <w:lvl w:ilvl="2">
      <w:start w:val="1"/>
      <w:numFmt w:val="bullet"/>
      <w:lvlText w:val="•"/>
      <w:lvlJc w:val="left"/>
      <w:pPr>
        <w:ind w:left="855" w:hanging="672"/>
      </w:pPr>
      <w:rPr>
        <w:rFonts w:hint="default"/>
      </w:rPr>
    </w:lvl>
    <w:lvl w:ilvl="3">
      <w:start w:val="1"/>
      <w:numFmt w:val="bullet"/>
      <w:lvlText w:val="•"/>
      <w:lvlJc w:val="left"/>
      <w:pPr>
        <w:ind w:left="1143" w:hanging="672"/>
      </w:pPr>
      <w:rPr>
        <w:rFonts w:hint="default"/>
      </w:rPr>
    </w:lvl>
    <w:lvl w:ilvl="4">
      <w:start w:val="1"/>
      <w:numFmt w:val="bullet"/>
      <w:lvlText w:val="•"/>
      <w:lvlJc w:val="left"/>
      <w:pPr>
        <w:ind w:left="1431" w:hanging="672"/>
      </w:pPr>
      <w:rPr>
        <w:rFonts w:hint="default"/>
      </w:rPr>
    </w:lvl>
    <w:lvl w:ilvl="5">
      <w:start w:val="1"/>
      <w:numFmt w:val="bullet"/>
      <w:lvlText w:val="•"/>
      <w:lvlJc w:val="left"/>
      <w:pPr>
        <w:ind w:left="1719" w:hanging="672"/>
      </w:pPr>
      <w:rPr>
        <w:rFonts w:hint="default"/>
      </w:rPr>
    </w:lvl>
    <w:lvl w:ilvl="6">
      <w:start w:val="1"/>
      <w:numFmt w:val="bullet"/>
      <w:lvlText w:val="•"/>
      <w:lvlJc w:val="left"/>
      <w:pPr>
        <w:ind w:left="2007" w:hanging="672"/>
      </w:pPr>
      <w:rPr>
        <w:rFonts w:hint="default"/>
      </w:rPr>
    </w:lvl>
    <w:lvl w:ilvl="7">
      <w:start w:val="1"/>
      <w:numFmt w:val="bullet"/>
      <w:lvlText w:val="•"/>
      <w:lvlJc w:val="left"/>
      <w:pPr>
        <w:ind w:left="2294" w:hanging="672"/>
      </w:pPr>
      <w:rPr>
        <w:rFonts w:hint="default"/>
      </w:rPr>
    </w:lvl>
    <w:lvl w:ilvl="8">
      <w:start w:val="1"/>
      <w:numFmt w:val="bullet"/>
      <w:lvlText w:val="•"/>
      <w:lvlJc w:val="left"/>
      <w:pPr>
        <w:ind w:left="2582" w:hanging="672"/>
      </w:pPr>
      <w:rPr>
        <w:rFonts w:hint="default"/>
      </w:rPr>
    </w:lvl>
  </w:abstractNum>
  <w:abstractNum w:abstractNumId="11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7" w:hanging="672"/>
      </w:pPr>
      <w:rPr>
        <w:rFonts w:hint="default"/>
      </w:rPr>
    </w:lvl>
    <w:lvl w:ilvl="2">
      <w:start w:val="1"/>
      <w:numFmt w:val="bullet"/>
      <w:lvlText w:val="•"/>
      <w:lvlJc w:val="left"/>
      <w:pPr>
        <w:ind w:left="855" w:hanging="672"/>
      </w:pPr>
      <w:rPr>
        <w:rFonts w:hint="default"/>
      </w:rPr>
    </w:lvl>
    <w:lvl w:ilvl="3">
      <w:start w:val="1"/>
      <w:numFmt w:val="bullet"/>
      <w:lvlText w:val="•"/>
      <w:lvlJc w:val="left"/>
      <w:pPr>
        <w:ind w:left="1143" w:hanging="672"/>
      </w:pPr>
      <w:rPr>
        <w:rFonts w:hint="default"/>
      </w:rPr>
    </w:lvl>
    <w:lvl w:ilvl="4">
      <w:start w:val="1"/>
      <w:numFmt w:val="bullet"/>
      <w:lvlText w:val="•"/>
      <w:lvlJc w:val="left"/>
      <w:pPr>
        <w:ind w:left="1431" w:hanging="672"/>
      </w:pPr>
      <w:rPr>
        <w:rFonts w:hint="default"/>
      </w:rPr>
    </w:lvl>
    <w:lvl w:ilvl="5">
      <w:start w:val="1"/>
      <w:numFmt w:val="bullet"/>
      <w:lvlText w:val="•"/>
      <w:lvlJc w:val="left"/>
      <w:pPr>
        <w:ind w:left="1719" w:hanging="672"/>
      </w:pPr>
      <w:rPr>
        <w:rFonts w:hint="default"/>
      </w:rPr>
    </w:lvl>
    <w:lvl w:ilvl="6">
      <w:start w:val="1"/>
      <w:numFmt w:val="bullet"/>
      <w:lvlText w:val="•"/>
      <w:lvlJc w:val="left"/>
      <w:pPr>
        <w:ind w:left="2007" w:hanging="672"/>
      </w:pPr>
      <w:rPr>
        <w:rFonts w:hint="default"/>
      </w:rPr>
    </w:lvl>
    <w:lvl w:ilvl="7">
      <w:start w:val="1"/>
      <w:numFmt w:val="bullet"/>
      <w:lvlText w:val="•"/>
      <w:lvlJc w:val="left"/>
      <w:pPr>
        <w:ind w:left="2294" w:hanging="672"/>
      </w:pPr>
      <w:rPr>
        <w:rFonts w:hint="default"/>
      </w:rPr>
    </w:lvl>
    <w:lvl w:ilvl="8">
      <w:start w:val="1"/>
      <w:numFmt w:val="bullet"/>
      <w:lvlText w:val="•"/>
      <w:lvlJc w:val="left"/>
      <w:pPr>
        <w:ind w:left="2582" w:hanging="672"/>
      </w:pPr>
      <w:rPr>
        <w:rFonts w:hint="default"/>
      </w:rPr>
    </w:lvl>
  </w:abstractNum>
  <w:abstractNum w:abstractNumId="11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7" w:hanging="672"/>
      </w:pPr>
      <w:rPr>
        <w:rFonts w:hint="default"/>
      </w:rPr>
    </w:lvl>
    <w:lvl w:ilvl="2">
      <w:start w:val="1"/>
      <w:numFmt w:val="bullet"/>
      <w:lvlText w:val="•"/>
      <w:lvlJc w:val="left"/>
      <w:pPr>
        <w:ind w:left="855" w:hanging="672"/>
      </w:pPr>
      <w:rPr>
        <w:rFonts w:hint="default"/>
      </w:rPr>
    </w:lvl>
    <w:lvl w:ilvl="3">
      <w:start w:val="1"/>
      <w:numFmt w:val="bullet"/>
      <w:lvlText w:val="•"/>
      <w:lvlJc w:val="left"/>
      <w:pPr>
        <w:ind w:left="1143" w:hanging="672"/>
      </w:pPr>
      <w:rPr>
        <w:rFonts w:hint="default"/>
      </w:rPr>
    </w:lvl>
    <w:lvl w:ilvl="4">
      <w:start w:val="1"/>
      <w:numFmt w:val="bullet"/>
      <w:lvlText w:val="•"/>
      <w:lvlJc w:val="left"/>
      <w:pPr>
        <w:ind w:left="1431" w:hanging="672"/>
      </w:pPr>
      <w:rPr>
        <w:rFonts w:hint="default"/>
      </w:rPr>
    </w:lvl>
    <w:lvl w:ilvl="5">
      <w:start w:val="1"/>
      <w:numFmt w:val="bullet"/>
      <w:lvlText w:val="•"/>
      <w:lvlJc w:val="left"/>
      <w:pPr>
        <w:ind w:left="1719" w:hanging="672"/>
      </w:pPr>
      <w:rPr>
        <w:rFonts w:hint="default"/>
      </w:rPr>
    </w:lvl>
    <w:lvl w:ilvl="6">
      <w:start w:val="1"/>
      <w:numFmt w:val="bullet"/>
      <w:lvlText w:val="•"/>
      <w:lvlJc w:val="left"/>
      <w:pPr>
        <w:ind w:left="2007" w:hanging="672"/>
      </w:pPr>
      <w:rPr>
        <w:rFonts w:hint="default"/>
      </w:rPr>
    </w:lvl>
    <w:lvl w:ilvl="7">
      <w:start w:val="1"/>
      <w:numFmt w:val="bullet"/>
      <w:lvlText w:val="•"/>
      <w:lvlJc w:val="left"/>
      <w:pPr>
        <w:ind w:left="2294" w:hanging="672"/>
      </w:pPr>
      <w:rPr>
        <w:rFonts w:hint="default"/>
      </w:rPr>
    </w:lvl>
    <w:lvl w:ilvl="8">
      <w:start w:val="1"/>
      <w:numFmt w:val="bullet"/>
      <w:lvlText w:val="•"/>
      <w:lvlJc w:val="left"/>
      <w:pPr>
        <w:ind w:left="2582" w:hanging="672"/>
      </w:pPr>
      <w:rPr>
        <w:rFonts w:hint="default"/>
      </w:rPr>
    </w:lvl>
  </w:abstractNum>
  <w:abstractNum w:abstractNumId="11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7" w:hanging="672"/>
      </w:pPr>
      <w:rPr>
        <w:rFonts w:hint="default"/>
      </w:rPr>
    </w:lvl>
    <w:lvl w:ilvl="2">
      <w:start w:val="1"/>
      <w:numFmt w:val="bullet"/>
      <w:lvlText w:val="•"/>
      <w:lvlJc w:val="left"/>
      <w:pPr>
        <w:ind w:left="855" w:hanging="672"/>
      </w:pPr>
      <w:rPr>
        <w:rFonts w:hint="default"/>
      </w:rPr>
    </w:lvl>
    <w:lvl w:ilvl="3">
      <w:start w:val="1"/>
      <w:numFmt w:val="bullet"/>
      <w:lvlText w:val="•"/>
      <w:lvlJc w:val="left"/>
      <w:pPr>
        <w:ind w:left="1143" w:hanging="672"/>
      </w:pPr>
      <w:rPr>
        <w:rFonts w:hint="default"/>
      </w:rPr>
    </w:lvl>
    <w:lvl w:ilvl="4">
      <w:start w:val="1"/>
      <w:numFmt w:val="bullet"/>
      <w:lvlText w:val="•"/>
      <w:lvlJc w:val="left"/>
      <w:pPr>
        <w:ind w:left="1431" w:hanging="672"/>
      </w:pPr>
      <w:rPr>
        <w:rFonts w:hint="default"/>
      </w:rPr>
    </w:lvl>
    <w:lvl w:ilvl="5">
      <w:start w:val="1"/>
      <w:numFmt w:val="bullet"/>
      <w:lvlText w:val="•"/>
      <w:lvlJc w:val="left"/>
      <w:pPr>
        <w:ind w:left="1719" w:hanging="672"/>
      </w:pPr>
      <w:rPr>
        <w:rFonts w:hint="default"/>
      </w:rPr>
    </w:lvl>
    <w:lvl w:ilvl="6">
      <w:start w:val="1"/>
      <w:numFmt w:val="bullet"/>
      <w:lvlText w:val="•"/>
      <w:lvlJc w:val="left"/>
      <w:pPr>
        <w:ind w:left="2007" w:hanging="672"/>
      </w:pPr>
      <w:rPr>
        <w:rFonts w:hint="default"/>
      </w:rPr>
    </w:lvl>
    <w:lvl w:ilvl="7">
      <w:start w:val="1"/>
      <w:numFmt w:val="bullet"/>
      <w:lvlText w:val="•"/>
      <w:lvlJc w:val="left"/>
      <w:pPr>
        <w:ind w:left="2294" w:hanging="672"/>
      </w:pPr>
      <w:rPr>
        <w:rFonts w:hint="default"/>
      </w:rPr>
    </w:lvl>
    <w:lvl w:ilvl="8">
      <w:start w:val="1"/>
      <w:numFmt w:val="bullet"/>
      <w:lvlText w:val="•"/>
      <w:lvlJc w:val="left"/>
      <w:pPr>
        <w:ind w:left="2582" w:hanging="672"/>
      </w:pPr>
      <w:rPr>
        <w:rFonts w:hint="default"/>
      </w:rPr>
    </w:lvl>
  </w:abstractNum>
  <w:abstractNum w:abstractNumId="111">
    <w:multiLevelType w:val="hybridMultilevel"/>
    <w:lvl w:ilvl="0">
      <w:start w:val="1"/>
      <w:numFmt w:val="bullet"/>
      <w:lvlText w:val="-"/>
      <w:lvlJc w:val="left"/>
      <w:pPr>
        <w:ind w:left="103" w:hanging="192"/>
      </w:pPr>
      <w:rPr>
        <w:rFonts w:hint="default" w:ascii="Arial" w:hAnsi="Arial" w:eastAsia="Arial" w:cs="Arial"/>
        <w:w w:val="100"/>
        <w:sz w:val="22"/>
        <w:szCs w:val="22"/>
      </w:rPr>
    </w:lvl>
    <w:lvl w:ilvl="1">
      <w:start w:val="1"/>
      <w:numFmt w:val="bullet"/>
      <w:lvlText w:val="•"/>
      <w:lvlJc w:val="left"/>
      <w:pPr>
        <w:ind w:left="1378" w:hanging="192"/>
      </w:pPr>
      <w:rPr>
        <w:rFonts w:hint="default"/>
      </w:rPr>
    </w:lvl>
    <w:lvl w:ilvl="2">
      <w:start w:val="1"/>
      <w:numFmt w:val="bullet"/>
      <w:lvlText w:val="•"/>
      <w:lvlJc w:val="left"/>
      <w:pPr>
        <w:ind w:left="2657" w:hanging="192"/>
      </w:pPr>
      <w:rPr>
        <w:rFonts w:hint="default"/>
      </w:rPr>
    </w:lvl>
    <w:lvl w:ilvl="3">
      <w:start w:val="1"/>
      <w:numFmt w:val="bullet"/>
      <w:lvlText w:val="•"/>
      <w:lvlJc w:val="left"/>
      <w:pPr>
        <w:ind w:left="3936" w:hanging="192"/>
      </w:pPr>
      <w:rPr>
        <w:rFonts w:hint="default"/>
      </w:rPr>
    </w:lvl>
    <w:lvl w:ilvl="4">
      <w:start w:val="1"/>
      <w:numFmt w:val="bullet"/>
      <w:lvlText w:val="•"/>
      <w:lvlJc w:val="left"/>
      <w:pPr>
        <w:ind w:left="5215" w:hanging="192"/>
      </w:pPr>
      <w:rPr>
        <w:rFonts w:hint="default"/>
      </w:rPr>
    </w:lvl>
    <w:lvl w:ilvl="5">
      <w:start w:val="1"/>
      <w:numFmt w:val="bullet"/>
      <w:lvlText w:val="•"/>
      <w:lvlJc w:val="left"/>
      <w:pPr>
        <w:ind w:left="6493" w:hanging="192"/>
      </w:pPr>
      <w:rPr>
        <w:rFonts w:hint="default"/>
      </w:rPr>
    </w:lvl>
    <w:lvl w:ilvl="6">
      <w:start w:val="1"/>
      <w:numFmt w:val="bullet"/>
      <w:lvlText w:val="•"/>
      <w:lvlJc w:val="left"/>
      <w:pPr>
        <w:ind w:left="7772" w:hanging="192"/>
      </w:pPr>
      <w:rPr>
        <w:rFonts w:hint="default"/>
      </w:rPr>
    </w:lvl>
    <w:lvl w:ilvl="7">
      <w:start w:val="1"/>
      <w:numFmt w:val="bullet"/>
      <w:lvlText w:val="•"/>
      <w:lvlJc w:val="left"/>
      <w:pPr>
        <w:ind w:left="9051" w:hanging="192"/>
      </w:pPr>
      <w:rPr>
        <w:rFonts w:hint="default"/>
      </w:rPr>
    </w:lvl>
    <w:lvl w:ilvl="8">
      <w:start w:val="1"/>
      <w:numFmt w:val="bullet"/>
      <w:lvlText w:val="•"/>
      <w:lvlJc w:val="left"/>
      <w:pPr>
        <w:ind w:left="10330" w:hanging="192"/>
      </w:pPr>
      <w:rPr>
        <w:rFonts w:hint="default"/>
      </w:rPr>
    </w:lvl>
  </w:abstractNum>
  <w:abstractNum w:abstractNumId="110">
    <w:multiLevelType w:val="hybridMultilevel"/>
    <w:lvl w:ilvl="0">
      <w:start w:val="1"/>
      <w:numFmt w:val="bullet"/>
      <w:lvlText w:val="-"/>
      <w:lvlJc w:val="left"/>
      <w:pPr>
        <w:ind w:left="27" w:hanging="152"/>
      </w:pPr>
      <w:rPr>
        <w:rFonts w:hint="default" w:ascii="Arial" w:hAnsi="Arial" w:eastAsia="Arial" w:cs="Arial"/>
        <w:w w:val="100"/>
        <w:sz w:val="22"/>
        <w:szCs w:val="22"/>
      </w:rPr>
    </w:lvl>
    <w:lvl w:ilvl="1">
      <w:start w:val="1"/>
      <w:numFmt w:val="bullet"/>
      <w:lvlText w:val="•"/>
      <w:lvlJc w:val="left"/>
      <w:pPr>
        <w:ind w:left="1299" w:hanging="152"/>
      </w:pPr>
      <w:rPr>
        <w:rFonts w:hint="default"/>
      </w:rPr>
    </w:lvl>
    <w:lvl w:ilvl="2">
      <w:start w:val="1"/>
      <w:numFmt w:val="bullet"/>
      <w:lvlText w:val="•"/>
      <w:lvlJc w:val="left"/>
      <w:pPr>
        <w:ind w:left="2578" w:hanging="152"/>
      </w:pPr>
      <w:rPr>
        <w:rFonts w:hint="default"/>
      </w:rPr>
    </w:lvl>
    <w:lvl w:ilvl="3">
      <w:start w:val="1"/>
      <w:numFmt w:val="bullet"/>
      <w:lvlText w:val="•"/>
      <w:lvlJc w:val="left"/>
      <w:pPr>
        <w:ind w:left="3857" w:hanging="152"/>
      </w:pPr>
      <w:rPr>
        <w:rFonts w:hint="default"/>
      </w:rPr>
    </w:lvl>
    <w:lvl w:ilvl="4">
      <w:start w:val="1"/>
      <w:numFmt w:val="bullet"/>
      <w:lvlText w:val="•"/>
      <w:lvlJc w:val="left"/>
      <w:pPr>
        <w:ind w:left="5136" w:hanging="152"/>
      </w:pPr>
      <w:rPr>
        <w:rFonts w:hint="default"/>
      </w:rPr>
    </w:lvl>
    <w:lvl w:ilvl="5">
      <w:start w:val="1"/>
      <w:numFmt w:val="bullet"/>
      <w:lvlText w:val="•"/>
      <w:lvlJc w:val="left"/>
      <w:pPr>
        <w:ind w:left="6416" w:hanging="152"/>
      </w:pPr>
      <w:rPr>
        <w:rFonts w:hint="default"/>
      </w:rPr>
    </w:lvl>
    <w:lvl w:ilvl="6">
      <w:start w:val="1"/>
      <w:numFmt w:val="bullet"/>
      <w:lvlText w:val="•"/>
      <w:lvlJc w:val="left"/>
      <w:pPr>
        <w:ind w:left="7695" w:hanging="152"/>
      </w:pPr>
      <w:rPr>
        <w:rFonts w:hint="default"/>
      </w:rPr>
    </w:lvl>
    <w:lvl w:ilvl="7">
      <w:start w:val="1"/>
      <w:numFmt w:val="bullet"/>
      <w:lvlText w:val="•"/>
      <w:lvlJc w:val="left"/>
      <w:pPr>
        <w:ind w:left="8974" w:hanging="152"/>
      </w:pPr>
      <w:rPr>
        <w:rFonts w:hint="default"/>
      </w:rPr>
    </w:lvl>
    <w:lvl w:ilvl="8">
      <w:start w:val="1"/>
      <w:numFmt w:val="bullet"/>
      <w:lvlText w:val="•"/>
      <w:lvlJc w:val="left"/>
      <w:pPr>
        <w:ind w:left="10253" w:hanging="152"/>
      </w:pPr>
      <w:rPr>
        <w:rFonts w:hint="default"/>
      </w:rPr>
    </w:lvl>
  </w:abstractNum>
  <w:abstractNum w:abstractNumId="10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0" w:hanging="672"/>
      </w:pPr>
      <w:rPr>
        <w:rFonts w:hint="default"/>
      </w:rPr>
    </w:lvl>
    <w:lvl w:ilvl="2">
      <w:start w:val="1"/>
      <w:numFmt w:val="bullet"/>
      <w:lvlText w:val="•"/>
      <w:lvlJc w:val="left"/>
      <w:pPr>
        <w:ind w:left="800" w:hanging="672"/>
      </w:pPr>
      <w:rPr>
        <w:rFonts w:hint="default"/>
      </w:rPr>
    </w:lvl>
    <w:lvl w:ilvl="3">
      <w:start w:val="1"/>
      <w:numFmt w:val="bullet"/>
      <w:lvlText w:val="•"/>
      <w:lvlJc w:val="left"/>
      <w:pPr>
        <w:ind w:left="1060" w:hanging="672"/>
      </w:pPr>
      <w:rPr>
        <w:rFonts w:hint="default"/>
      </w:rPr>
    </w:lvl>
    <w:lvl w:ilvl="4">
      <w:start w:val="1"/>
      <w:numFmt w:val="bullet"/>
      <w:lvlText w:val="•"/>
      <w:lvlJc w:val="left"/>
      <w:pPr>
        <w:ind w:left="1320" w:hanging="672"/>
      </w:pPr>
      <w:rPr>
        <w:rFonts w:hint="default"/>
      </w:rPr>
    </w:lvl>
    <w:lvl w:ilvl="5">
      <w:start w:val="1"/>
      <w:numFmt w:val="bullet"/>
      <w:lvlText w:val="•"/>
      <w:lvlJc w:val="left"/>
      <w:pPr>
        <w:ind w:left="1581" w:hanging="672"/>
      </w:pPr>
      <w:rPr>
        <w:rFonts w:hint="default"/>
      </w:rPr>
    </w:lvl>
    <w:lvl w:ilvl="6">
      <w:start w:val="1"/>
      <w:numFmt w:val="bullet"/>
      <w:lvlText w:val="•"/>
      <w:lvlJc w:val="left"/>
      <w:pPr>
        <w:ind w:left="1841" w:hanging="672"/>
      </w:pPr>
      <w:rPr>
        <w:rFonts w:hint="default"/>
      </w:rPr>
    </w:lvl>
    <w:lvl w:ilvl="7">
      <w:start w:val="1"/>
      <w:numFmt w:val="bullet"/>
      <w:lvlText w:val="•"/>
      <w:lvlJc w:val="left"/>
      <w:pPr>
        <w:ind w:left="2101" w:hanging="672"/>
      </w:pPr>
      <w:rPr>
        <w:rFonts w:hint="default"/>
      </w:rPr>
    </w:lvl>
    <w:lvl w:ilvl="8">
      <w:start w:val="1"/>
      <w:numFmt w:val="bullet"/>
      <w:lvlText w:val="•"/>
      <w:lvlJc w:val="left"/>
      <w:pPr>
        <w:ind w:left="2361" w:hanging="672"/>
      </w:pPr>
      <w:rPr>
        <w:rFonts w:hint="default"/>
      </w:rPr>
    </w:lvl>
  </w:abstractNum>
  <w:abstractNum w:abstractNumId="10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0" w:hanging="672"/>
      </w:pPr>
      <w:rPr>
        <w:rFonts w:hint="default"/>
      </w:rPr>
    </w:lvl>
    <w:lvl w:ilvl="2">
      <w:start w:val="1"/>
      <w:numFmt w:val="bullet"/>
      <w:lvlText w:val="•"/>
      <w:lvlJc w:val="left"/>
      <w:pPr>
        <w:ind w:left="800" w:hanging="672"/>
      </w:pPr>
      <w:rPr>
        <w:rFonts w:hint="default"/>
      </w:rPr>
    </w:lvl>
    <w:lvl w:ilvl="3">
      <w:start w:val="1"/>
      <w:numFmt w:val="bullet"/>
      <w:lvlText w:val="•"/>
      <w:lvlJc w:val="left"/>
      <w:pPr>
        <w:ind w:left="1060" w:hanging="672"/>
      </w:pPr>
      <w:rPr>
        <w:rFonts w:hint="default"/>
      </w:rPr>
    </w:lvl>
    <w:lvl w:ilvl="4">
      <w:start w:val="1"/>
      <w:numFmt w:val="bullet"/>
      <w:lvlText w:val="•"/>
      <w:lvlJc w:val="left"/>
      <w:pPr>
        <w:ind w:left="1320" w:hanging="672"/>
      </w:pPr>
      <w:rPr>
        <w:rFonts w:hint="default"/>
      </w:rPr>
    </w:lvl>
    <w:lvl w:ilvl="5">
      <w:start w:val="1"/>
      <w:numFmt w:val="bullet"/>
      <w:lvlText w:val="•"/>
      <w:lvlJc w:val="left"/>
      <w:pPr>
        <w:ind w:left="1581" w:hanging="672"/>
      </w:pPr>
      <w:rPr>
        <w:rFonts w:hint="default"/>
      </w:rPr>
    </w:lvl>
    <w:lvl w:ilvl="6">
      <w:start w:val="1"/>
      <w:numFmt w:val="bullet"/>
      <w:lvlText w:val="•"/>
      <w:lvlJc w:val="left"/>
      <w:pPr>
        <w:ind w:left="1841" w:hanging="672"/>
      </w:pPr>
      <w:rPr>
        <w:rFonts w:hint="default"/>
      </w:rPr>
    </w:lvl>
    <w:lvl w:ilvl="7">
      <w:start w:val="1"/>
      <w:numFmt w:val="bullet"/>
      <w:lvlText w:val="•"/>
      <w:lvlJc w:val="left"/>
      <w:pPr>
        <w:ind w:left="2101" w:hanging="672"/>
      </w:pPr>
      <w:rPr>
        <w:rFonts w:hint="default"/>
      </w:rPr>
    </w:lvl>
    <w:lvl w:ilvl="8">
      <w:start w:val="1"/>
      <w:numFmt w:val="bullet"/>
      <w:lvlText w:val="•"/>
      <w:lvlJc w:val="left"/>
      <w:pPr>
        <w:ind w:left="2361" w:hanging="672"/>
      </w:pPr>
      <w:rPr>
        <w:rFonts w:hint="default"/>
      </w:rPr>
    </w:lvl>
  </w:abstractNum>
  <w:abstractNum w:abstractNumId="10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0" w:hanging="672"/>
      </w:pPr>
      <w:rPr>
        <w:rFonts w:hint="default"/>
      </w:rPr>
    </w:lvl>
    <w:lvl w:ilvl="2">
      <w:start w:val="1"/>
      <w:numFmt w:val="bullet"/>
      <w:lvlText w:val="•"/>
      <w:lvlJc w:val="left"/>
      <w:pPr>
        <w:ind w:left="800" w:hanging="672"/>
      </w:pPr>
      <w:rPr>
        <w:rFonts w:hint="default"/>
      </w:rPr>
    </w:lvl>
    <w:lvl w:ilvl="3">
      <w:start w:val="1"/>
      <w:numFmt w:val="bullet"/>
      <w:lvlText w:val="•"/>
      <w:lvlJc w:val="left"/>
      <w:pPr>
        <w:ind w:left="1060" w:hanging="672"/>
      </w:pPr>
      <w:rPr>
        <w:rFonts w:hint="default"/>
      </w:rPr>
    </w:lvl>
    <w:lvl w:ilvl="4">
      <w:start w:val="1"/>
      <w:numFmt w:val="bullet"/>
      <w:lvlText w:val="•"/>
      <w:lvlJc w:val="left"/>
      <w:pPr>
        <w:ind w:left="1320" w:hanging="672"/>
      </w:pPr>
      <w:rPr>
        <w:rFonts w:hint="default"/>
      </w:rPr>
    </w:lvl>
    <w:lvl w:ilvl="5">
      <w:start w:val="1"/>
      <w:numFmt w:val="bullet"/>
      <w:lvlText w:val="•"/>
      <w:lvlJc w:val="left"/>
      <w:pPr>
        <w:ind w:left="1581" w:hanging="672"/>
      </w:pPr>
      <w:rPr>
        <w:rFonts w:hint="default"/>
      </w:rPr>
    </w:lvl>
    <w:lvl w:ilvl="6">
      <w:start w:val="1"/>
      <w:numFmt w:val="bullet"/>
      <w:lvlText w:val="•"/>
      <w:lvlJc w:val="left"/>
      <w:pPr>
        <w:ind w:left="1841" w:hanging="672"/>
      </w:pPr>
      <w:rPr>
        <w:rFonts w:hint="default"/>
      </w:rPr>
    </w:lvl>
    <w:lvl w:ilvl="7">
      <w:start w:val="1"/>
      <w:numFmt w:val="bullet"/>
      <w:lvlText w:val="•"/>
      <w:lvlJc w:val="left"/>
      <w:pPr>
        <w:ind w:left="2101" w:hanging="672"/>
      </w:pPr>
      <w:rPr>
        <w:rFonts w:hint="default"/>
      </w:rPr>
    </w:lvl>
    <w:lvl w:ilvl="8">
      <w:start w:val="1"/>
      <w:numFmt w:val="bullet"/>
      <w:lvlText w:val="•"/>
      <w:lvlJc w:val="left"/>
      <w:pPr>
        <w:ind w:left="2361" w:hanging="672"/>
      </w:pPr>
      <w:rPr>
        <w:rFonts w:hint="default"/>
      </w:rPr>
    </w:lvl>
  </w:abstractNum>
  <w:abstractNum w:abstractNumId="10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0" w:hanging="672"/>
      </w:pPr>
      <w:rPr>
        <w:rFonts w:hint="default"/>
      </w:rPr>
    </w:lvl>
    <w:lvl w:ilvl="2">
      <w:start w:val="1"/>
      <w:numFmt w:val="bullet"/>
      <w:lvlText w:val="•"/>
      <w:lvlJc w:val="left"/>
      <w:pPr>
        <w:ind w:left="800" w:hanging="672"/>
      </w:pPr>
      <w:rPr>
        <w:rFonts w:hint="default"/>
      </w:rPr>
    </w:lvl>
    <w:lvl w:ilvl="3">
      <w:start w:val="1"/>
      <w:numFmt w:val="bullet"/>
      <w:lvlText w:val="•"/>
      <w:lvlJc w:val="left"/>
      <w:pPr>
        <w:ind w:left="1060" w:hanging="672"/>
      </w:pPr>
      <w:rPr>
        <w:rFonts w:hint="default"/>
      </w:rPr>
    </w:lvl>
    <w:lvl w:ilvl="4">
      <w:start w:val="1"/>
      <w:numFmt w:val="bullet"/>
      <w:lvlText w:val="•"/>
      <w:lvlJc w:val="left"/>
      <w:pPr>
        <w:ind w:left="1320" w:hanging="672"/>
      </w:pPr>
      <w:rPr>
        <w:rFonts w:hint="default"/>
      </w:rPr>
    </w:lvl>
    <w:lvl w:ilvl="5">
      <w:start w:val="1"/>
      <w:numFmt w:val="bullet"/>
      <w:lvlText w:val="•"/>
      <w:lvlJc w:val="left"/>
      <w:pPr>
        <w:ind w:left="1581" w:hanging="672"/>
      </w:pPr>
      <w:rPr>
        <w:rFonts w:hint="default"/>
      </w:rPr>
    </w:lvl>
    <w:lvl w:ilvl="6">
      <w:start w:val="1"/>
      <w:numFmt w:val="bullet"/>
      <w:lvlText w:val="•"/>
      <w:lvlJc w:val="left"/>
      <w:pPr>
        <w:ind w:left="1841" w:hanging="672"/>
      </w:pPr>
      <w:rPr>
        <w:rFonts w:hint="default"/>
      </w:rPr>
    </w:lvl>
    <w:lvl w:ilvl="7">
      <w:start w:val="1"/>
      <w:numFmt w:val="bullet"/>
      <w:lvlText w:val="•"/>
      <w:lvlJc w:val="left"/>
      <w:pPr>
        <w:ind w:left="2101" w:hanging="672"/>
      </w:pPr>
      <w:rPr>
        <w:rFonts w:hint="default"/>
      </w:rPr>
    </w:lvl>
    <w:lvl w:ilvl="8">
      <w:start w:val="1"/>
      <w:numFmt w:val="bullet"/>
      <w:lvlText w:val="•"/>
      <w:lvlJc w:val="left"/>
      <w:pPr>
        <w:ind w:left="2361" w:hanging="672"/>
      </w:pPr>
      <w:rPr>
        <w:rFonts w:hint="default"/>
      </w:rPr>
    </w:lvl>
  </w:abstractNum>
  <w:abstractNum w:abstractNumId="10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0" w:hanging="672"/>
      </w:pPr>
      <w:rPr>
        <w:rFonts w:hint="default"/>
      </w:rPr>
    </w:lvl>
    <w:lvl w:ilvl="2">
      <w:start w:val="1"/>
      <w:numFmt w:val="bullet"/>
      <w:lvlText w:val="•"/>
      <w:lvlJc w:val="left"/>
      <w:pPr>
        <w:ind w:left="800" w:hanging="672"/>
      </w:pPr>
      <w:rPr>
        <w:rFonts w:hint="default"/>
      </w:rPr>
    </w:lvl>
    <w:lvl w:ilvl="3">
      <w:start w:val="1"/>
      <w:numFmt w:val="bullet"/>
      <w:lvlText w:val="•"/>
      <w:lvlJc w:val="left"/>
      <w:pPr>
        <w:ind w:left="1060" w:hanging="672"/>
      </w:pPr>
      <w:rPr>
        <w:rFonts w:hint="default"/>
      </w:rPr>
    </w:lvl>
    <w:lvl w:ilvl="4">
      <w:start w:val="1"/>
      <w:numFmt w:val="bullet"/>
      <w:lvlText w:val="•"/>
      <w:lvlJc w:val="left"/>
      <w:pPr>
        <w:ind w:left="1320" w:hanging="672"/>
      </w:pPr>
      <w:rPr>
        <w:rFonts w:hint="default"/>
      </w:rPr>
    </w:lvl>
    <w:lvl w:ilvl="5">
      <w:start w:val="1"/>
      <w:numFmt w:val="bullet"/>
      <w:lvlText w:val="•"/>
      <w:lvlJc w:val="left"/>
      <w:pPr>
        <w:ind w:left="1581" w:hanging="672"/>
      </w:pPr>
      <w:rPr>
        <w:rFonts w:hint="default"/>
      </w:rPr>
    </w:lvl>
    <w:lvl w:ilvl="6">
      <w:start w:val="1"/>
      <w:numFmt w:val="bullet"/>
      <w:lvlText w:val="•"/>
      <w:lvlJc w:val="left"/>
      <w:pPr>
        <w:ind w:left="1841" w:hanging="672"/>
      </w:pPr>
      <w:rPr>
        <w:rFonts w:hint="default"/>
      </w:rPr>
    </w:lvl>
    <w:lvl w:ilvl="7">
      <w:start w:val="1"/>
      <w:numFmt w:val="bullet"/>
      <w:lvlText w:val="•"/>
      <w:lvlJc w:val="left"/>
      <w:pPr>
        <w:ind w:left="2101" w:hanging="672"/>
      </w:pPr>
      <w:rPr>
        <w:rFonts w:hint="default"/>
      </w:rPr>
    </w:lvl>
    <w:lvl w:ilvl="8">
      <w:start w:val="1"/>
      <w:numFmt w:val="bullet"/>
      <w:lvlText w:val="•"/>
      <w:lvlJc w:val="left"/>
      <w:pPr>
        <w:ind w:left="2361" w:hanging="672"/>
      </w:pPr>
      <w:rPr>
        <w:rFonts w:hint="default"/>
      </w:rPr>
    </w:lvl>
  </w:abstractNum>
  <w:abstractNum w:abstractNumId="10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0" w:hanging="672"/>
      </w:pPr>
      <w:rPr>
        <w:rFonts w:hint="default"/>
      </w:rPr>
    </w:lvl>
    <w:lvl w:ilvl="2">
      <w:start w:val="1"/>
      <w:numFmt w:val="bullet"/>
      <w:lvlText w:val="•"/>
      <w:lvlJc w:val="left"/>
      <w:pPr>
        <w:ind w:left="800" w:hanging="672"/>
      </w:pPr>
      <w:rPr>
        <w:rFonts w:hint="default"/>
      </w:rPr>
    </w:lvl>
    <w:lvl w:ilvl="3">
      <w:start w:val="1"/>
      <w:numFmt w:val="bullet"/>
      <w:lvlText w:val="•"/>
      <w:lvlJc w:val="left"/>
      <w:pPr>
        <w:ind w:left="1060" w:hanging="672"/>
      </w:pPr>
      <w:rPr>
        <w:rFonts w:hint="default"/>
      </w:rPr>
    </w:lvl>
    <w:lvl w:ilvl="4">
      <w:start w:val="1"/>
      <w:numFmt w:val="bullet"/>
      <w:lvlText w:val="•"/>
      <w:lvlJc w:val="left"/>
      <w:pPr>
        <w:ind w:left="1320" w:hanging="672"/>
      </w:pPr>
      <w:rPr>
        <w:rFonts w:hint="default"/>
      </w:rPr>
    </w:lvl>
    <w:lvl w:ilvl="5">
      <w:start w:val="1"/>
      <w:numFmt w:val="bullet"/>
      <w:lvlText w:val="•"/>
      <w:lvlJc w:val="left"/>
      <w:pPr>
        <w:ind w:left="1581" w:hanging="672"/>
      </w:pPr>
      <w:rPr>
        <w:rFonts w:hint="default"/>
      </w:rPr>
    </w:lvl>
    <w:lvl w:ilvl="6">
      <w:start w:val="1"/>
      <w:numFmt w:val="bullet"/>
      <w:lvlText w:val="•"/>
      <w:lvlJc w:val="left"/>
      <w:pPr>
        <w:ind w:left="1841" w:hanging="672"/>
      </w:pPr>
      <w:rPr>
        <w:rFonts w:hint="default"/>
      </w:rPr>
    </w:lvl>
    <w:lvl w:ilvl="7">
      <w:start w:val="1"/>
      <w:numFmt w:val="bullet"/>
      <w:lvlText w:val="•"/>
      <w:lvlJc w:val="left"/>
      <w:pPr>
        <w:ind w:left="2101" w:hanging="672"/>
      </w:pPr>
      <w:rPr>
        <w:rFonts w:hint="default"/>
      </w:rPr>
    </w:lvl>
    <w:lvl w:ilvl="8">
      <w:start w:val="1"/>
      <w:numFmt w:val="bullet"/>
      <w:lvlText w:val="•"/>
      <w:lvlJc w:val="left"/>
      <w:pPr>
        <w:ind w:left="2361" w:hanging="672"/>
      </w:pPr>
      <w:rPr>
        <w:rFonts w:hint="default"/>
      </w:rPr>
    </w:lvl>
  </w:abstractNum>
  <w:abstractNum w:abstractNumId="10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0" w:hanging="672"/>
      </w:pPr>
      <w:rPr>
        <w:rFonts w:hint="default"/>
      </w:rPr>
    </w:lvl>
    <w:lvl w:ilvl="2">
      <w:start w:val="1"/>
      <w:numFmt w:val="bullet"/>
      <w:lvlText w:val="•"/>
      <w:lvlJc w:val="left"/>
      <w:pPr>
        <w:ind w:left="800" w:hanging="672"/>
      </w:pPr>
      <w:rPr>
        <w:rFonts w:hint="default"/>
      </w:rPr>
    </w:lvl>
    <w:lvl w:ilvl="3">
      <w:start w:val="1"/>
      <w:numFmt w:val="bullet"/>
      <w:lvlText w:val="•"/>
      <w:lvlJc w:val="left"/>
      <w:pPr>
        <w:ind w:left="1060" w:hanging="672"/>
      </w:pPr>
      <w:rPr>
        <w:rFonts w:hint="default"/>
      </w:rPr>
    </w:lvl>
    <w:lvl w:ilvl="4">
      <w:start w:val="1"/>
      <w:numFmt w:val="bullet"/>
      <w:lvlText w:val="•"/>
      <w:lvlJc w:val="left"/>
      <w:pPr>
        <w:ind w:left="1320" w:hanging="672"/>
      </w:pPr>
      <w:rPr>
        <w:rFonts w:hint="default"/>
      </w:rPr>
    </w:lvl>
    <w:lvl w:ilvl="5">
      <w:start w:val="1"/>
      <w:numFmt w:val="bullet"/>
      <w:lvlText w:val="•"/>
      <w:lvlJc w:val="left"/>
      <w:pPr>
        <w:ind w:left="1581" w:hanging="672"/>
      </w:pPr>
      <w:rPr>
        <w:rFonts w:hint="default"/>
      </w:rPr>
    </w:lvl>
    <w:lvl w:ilvl="6">
      <w:start w:val="1"/>
      <w:numFmt w:val="bullet"/>
      <w:lvlText w:val="•"/>
      <w:lvlJc w:val="left"/>
      <w:pPr>
        <w:ind w:left="1841" w:hanging="672"/>
      </w:pPr>
      <w:rPr>
        <w:rFonts w:hint="default"/>
      </w:rPr>
    </w:lvl>
    <w:lvl w:ilvl="7">
      <w:start w:val="1"/>
      <w:numFmt w:val="bullet"/>
      <w:lvlText w:val="•"/>
      <w:lvlJc w:val="left"/>
      <w:pPr>
        <w:ind w:left="2101" w:hanging="672"/>
      </w:pPr>
      <w:rPr>
        <w:rFonts w:hint="default"/>
      </w:rPr>
    </w:lvl>
    <w:lvl w:ilvl="8">
      <w:start w:val="1"/>
      <w:numFmt w:val="bullet"/>
      <w:lvlText w:val="•"/>
      <w:lvlJc w:val="left"/>
      <w:pPr>
        <w:ind w:left="2361" w:hanging="672"/>
      </w:pPr>
      <w:rPr>
        <w:rFonts w:hint="default"/>
      </w:rPr>
    </w:lvl>
  </w:abstractNum>
  <w:abstractNum w:abstractNumId="10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0" w:hanging="672"/>
      </w:pPr>
      <w:rPr>
        <w:rFonts w:hint="default"/>
      </w:rPr>
    </w:lvl>
    <w:lvl w:ilvl="2">
      <w:start w:val="1"/>
      <w:numFmt w:val="bullet"/>
      <w:lvlText w:val="•"/>
      <w:lvlJc w:val="left"/>
      <w:pPr>
        <w:ind w:left="800" w:hanging="672"/>
      </w:pPr>
      <w:rPr>
        <w:rFonts w:hint="default"/>
      </w:rPr>
    </w:lvl>
    <w:lvl w:ilvl="3">
      <w:start w:val="1"/>
      <w:numFmt w:val="bullet"/>
      <w:lvlText w:val="•"/>
      <w:lvlJc w:val="left"/>
      <w:pPr>
        <w:ind w:left="1060" w:hanging="672"/>
      </w:pPr>
      <w:rPr>
        <w:rFonts w:hint="default"/>
      </w:rPr>
    </w:lvl>
    <w:lvl w:ilvl="4">
      <w:start w:val="1"/>
      <w:numFmt w:val="bullet"/>
      <w:lvlText w:val="•"/>
      <w:lvlJc w:val="left"/>
      <w:pPr>
        <w:ind w:left="1320" w:hanging="672"/>
      </w:pPr>
      <w:rPr>
        <w:rFonts w:hint="default"/>
      </w:rPr>
    </w:lvl>
    <w:lvl w:ilvl="5">
      <w:start w:val="1"/>
      <w:numFmt w:val="bullet"/>
      <w:lvlText w:val="•"/>
      <w:lvlJc w:val="left"/>
      <w:pPr>
        <w:ind w:left="1581" w:hanging="672"/>
      </w:pPr>
      <w:rPr>
        <w:rFonts w:hint="default"/>
      </w:rPr>
    </w:lvl>
    <w:lvl w:ilvl="6">
      <w:start w:val="1"/>
      <w:numFmt w:val="bullet"/>
      <w:lvlText w:val="•"/>
      <w:lvlJc w:val="left"/>
      <w:pPr>
        <w:ind w:left="1841" w:hanging="672"/>
      </w:pPr>
      <w:rPr>
        <w:rFonts w:hint="default"/>
      </w:rPr>
    </w:lvl>
    <w:lvl w:ilvl="7">
      <w:start w:val="1"/>
      <w:numFmt w:val="bullet"/>
      <w:lvlText w:val="•"/>
      <w:lvlJc w:val="left"/>
      <w:pPr>
        <w:ind w:left="2101" w:hanging="672"/>
      </w:pPr>
      <w:rPr>
        <w:rFonts w:hint="default"/>
      </w:rPr>
    </w:lvl>
    <w:lvl w:ilvl="8">
      <w:start w:val="1"/>
      <w:numFmt w:val="bullet"/>
      <w:lvlText w:val="•"/>
      <w:lvlJc w:val="left"/>
      <w:pPr>
        <w:ind w:left="2361" w:hanging="672"/>
      </w:pPr>
      <w:rPr>
        <w:rFonts w:hint="default"/>
      </w:rPr>
    </w:lvl>
  </w:abstractNum>
  <w:abstractNum w:abstractNumId="10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40" w:hanging="672"/>
      </w:pPr>
      <w:rPr>
        <w:rFonts w:hint="default"/>
      </w:rPr>
    </w:lvl>
    <w:lvl w:ilvl="2">
      <w:start w:val="1"/>
      <w:numFmt w:val="bullet"/>
      <w:lvlText w:val="•"/>
      <w:lvlJc w:val="left"/>
      <w:pPr>
        <w:ind w:left="800" w:hanging="672"/>
      </w:pPr>
      <w:rPr>
        <w:rFonts w:hint="default"/>
      </w:rPr>
    </w:lvl>
    <w:lvl w:ilvl="3">
      <w:start w:val="1"/>
      <w:numFmt w:val="bullet"/>
      <w:lvlText w:val="•"/>
      <w:lvlJc w:val="left"/>
      <w:pPr>
        <w:ind w:left="1060" w:hanging="672"/>
      </w:pPr>
      <w:rPr>
        <w:rFonts w:hint="default"/>
      </w:rPr>
    </w:lvl>
    <w:lvl w:ilvl="4">
      <w:start w:val="1"/>
      <w:numFmt w:val="bullet"/>
      <w:lvlText w:val="•"/>
      <w:lvlJc w:val="left"/>
      <w:pPr>
        <w:ind w:left="1320" w:hanging="672"/>
      </w:pPr>
      <w:rPr>
        <w:rFonts w:hint="default"/>
      </w:rPr>
    </w:lvl>
    <w:lvl w:ilvl="5">
      <w:start w:val="1"/>
      <w:numFmt w:val="bullet"/>
      <w:lvlText w:val="•"/>
      <w:lvlJc w:val="left"/>
      <w:pPr>
        <w:ind w:left="1581" w:hanging="672"/>
      </w:pPr>
      <w:rPr>
        <w:rFonts w:hint="default"/>
      </w:rPr>
    </w:lvl>
    <w:lvl w:ilvl="6">
      <w:start w:val="1"/>
      <w:numFmt w:val="bullet"/>
      <w:lvlText w:val="•"/>
      <w:lvlJc w:val="left"/>
      <w:pPr>
        <w:ind w:left="1841" w:hanging="672"/>
      </w:pPr>
      <w:rPr>
        <w:rFonts w:hint="default"/>
      </w:rPr>
    </w:lvl>
    <w:lvl w:ilvl="7">
      <w:start w:val="1"/>
      <w:numFmt w:val="bullet"/>
      <w:lvlText w:val="•"/>
      <w:lvlJc w:val="left"/>
      <w:pPr>
        <w:ind w:left="2101" w:hanging="672"/>
      </w:pPr>
      <w:rPr>
        <w:rFonts w:hint="default"/>
      </w:rPr>
    </w:lvl>
    <w:lvl w:ilvl="8">
      <w:start w:val="1"/>
      <w:numFmt w:val="bullet"/>
      <w:lvlText w:val="•"/>
      <w:lvlJc w:val="left"/>
      <w:pPr>
        <w:ind w:left="2361" w:hanging="672"/>
      </w:pPr>
      <w:rPr>
        <w:rFonts w:hint="default"/>
      </w:rPr>
    </w:lvl>
  </w:abstractNum>
  <w:abstractNum w:abstractNumId="100">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25" w:hanging="672"/>
      </w:pPr>
      <w:rPr>
        <w:rFonts w:hint="default"/>
      </w:rPr>
    </w:lvl>
    <w:lvl w:ilvl="2">
      <w:start w:val="1"/>
      <w:numFmt w:val="bullet"/>
      <w:lvlText w:val="•"/>
      <w:lvlJc w:val="left"/>
      <w:pPr>
        <w:ind w:left="770" w:hanging="672"/>
      </w:pPr>
      <w:rPr>
        <w:rFonts w:hint="default"/>
      </w:rPr>
    </w:lvl>
    <w:lvl w:ilvl="3">
      <w:start w:val="1"/>
      <w:numFmt w:val="bullet"/>
      <w:lvlText w:val="•"/>
      <w:lvlJc w:val="left"/>
      <w:pPr>
        <w:ind w:left="1016" w:hanging="672"/>
      </w:pPr>
      <w:rPr>
        <w:rFonts w:hint="default"/>
      </w:rPr>
    </w:lvl>
    <w:lvl w:ilvl="4">
      <w:start w:val="1"/>
      <w:numFmt w:val="bullet"/>
      <w:lvlText w:val="•"/>
      <w:lvlJc w:val="left"/>
      <w:pPr>
        <w:ind w:left="1261" w:hanging="672"/>
      </w:pPr>
      <w:rPr>
        <w:rFonts w:hint="default"/>
      </w:rPr>
    </w:lvl>
    <w:lvl w:ilvl="5">
      <w:start w:val="1"/>
      <w:numFmt w:val="bullet"/>
      <w:lvlText w:val="•"/>
      <w:lvlJc w:val="left"/>
      <w:pPr>
        <w:ind w:left="1506" w:hanging="672"/>
      </w:pPr>
      <w:rPr>
        <w:rFonts w:hint="default"/>
      </w:rPr>
    </w:lvl>
    <w:lvl w:ilvl="6">
      <w:start w:val="1"/>
      <w:numFmt w:val="bullet"/>
      <w:lvlText w:val="•"/>
      <w:lvlJc w:val="left"/>
      <w:pPr>
        <w:ind w:left="1752" w:hanging="672"/>
      </w:pPr>
      <w:rPr>
        <w:rFonts w:hint="default"/>
      </w:rPr>
    </w:lvl>
    <w:lvl w:ilvl="7">
      <w:start w:val="1"/>
      <w:numFmt w:val="bullet"/>
      <w:lvlText w:val="•"/>
      <w:lvlJc w:val="left"/>
      <w:pPr>
        <w:ind w:left="1997" w:hanging="672"/>
      </w:pPr>
      <w:rPr>
        <w:rFonts w:hint="default"/>
      </w:rPr>
    </w:lvl>
    <w:lvl w:ilvl="8">
      <w:start w:val="1"/>
      <w:numFmt w:val="bullet"/>
      <w:lvlText w:val="•"/>
      <w:lvlJc w:val="left"/>
      <w:pPr>
        <w:ind w:left="2242" w:hanging="672"/>
      </w:pPr>
      <w:rPr>
        <w:rFonts w:hint="default"/>
      </w:rPr>
    </w:lvl>
  </w:abstractNum>
  <w:abstractNum w:abstractNumId="99">
    <w:multiLevelType w:val="hybridMultilevel"/>
    <w:lvl w:ilvl="0">
      <w:start w:val="1"/>
      <w:numFmt w:val="bullet"/>
      <w:lvlText w:val=""/>
      <w:lvlJc w:val="left"/>
      <w:pPr>
        <w:ind w:left="280" w:hanging="728"/>
      </w:pPr>
      <w:rPr>
        <w:rFonts w:hint="default" w:ascii="Wingdings" w:hAnsi="Wingdings" w:eastAsia="Wingdings" w:cs="Wingdings"/>
        <w:w w:val="99"/>
        <w:sz w:val="20"/>
        <w:szCs w:val="20"/>
      </w:rPr>
    </w:lvl>
    <w:lvl w:ilvl="1">
      <w:start w:val="1"/>
      <w:numFmt w:val="bullet"/>
      <w:lvlText w:val="•"/>
      <w:lvlJc w:val="left"/>
      <w:pPr>
        <w:ind w:left="525" w:hanging="728"/>
      </w:pPr>
      <w:rPr>
        <w:rFonts w:hint="default"/>
      </w:rPr>
    </w:lvl>
    <w:lvl w:ilvl="2">
      <w:start w:val="1"/>
      <w:numFmt w:val="bullet"/>
      <w:lvlText w:val="•"/>
      <w:lvlJc w:val="left"/>
      <w:pPr>
        <w:ind w:left="770" w:hanging="728"/>
      </w:pPr>
      <w:rPr>
        <w:rFonts w:hint="default"/>
      </w:rPr>
    </w:lvl>
    <w:lvl w:ilvl="3">
      <w:start w:val="1"/>
      <w:numFmt w:val="bullet"/>
      <w:lvlText w:val="•"/>
      <w:lvlJc w:val="left"/>
      <w:pPr>
        <w:ind w:left="1016" w:hanging="728"/>
      </w:pPr>
      <w:rPr>
        <w:rFonts w:hint="default"/>
      </w:rPr>
    </w:lvl>
    <w:lvl w:ilvl="4">
      <w:start w:val="1"/>
      <w:numFmt w:val="bullet"/>
      <w:lvlText w:val="•"/>
      <w:lvlJc w:val="left"/>
      <w:pPr>
        <w:ind w:left="1261" w:hanging="728"/>
      </w:pPr>
      <w:rPr>
        <w:rFonts w:hint="default"/>
      </w:rPr>
    </w:lvl>
    <w:lvl w:ilvl="5">
      <w:start w:val="1"/>
      <w:numFmt w:val="bullet"/>
      <w:lvlText w:val="•"/>
      <w:lvlJc w:val="left"/>
      <w:pPr>
        <w:ind w:left="1506" w:hanging="728"/>
      </w:pPr>
      <w:rPr>
        <w:rFonts w:hint="default"/>
      </w:rPr>
    </w:lvl>
    <w:lvl w:ilvl="6">
      <w:start w:val="1"/>
      <w:numFmt w:val="bullet"/>
      <w:lvlText w:val="•"/>
      <w:lvlJc w:val="left"/>
      <w:pPr>
        <w:ind w:left="1752" w:hanging="728"/>
      </w:pPr>
      <w:rPr>
        <w:rFonts w:hint="default"/>
      </w:rPr>
    </w:lvl>
    <w:lvl w:ilvl="7">
      <w:start w:val="1"/>
      <w:numFmt w:val="bullet"/>
      <w:lvlText w:val="•"/>
      <w:lvlJc w:val="left"/>
      <w:pPr>
        <w:ind w:left="1997" w:hanging="728"/>
      </w:pPr>
      <w:rPr>
        <w:rFonts w:hint="default"/>
      </w:rPr>
    </w:lvl>
    <w:lvl w:ilvl="8">
      <w:start w:val="1"/>
      <w:numFmt w:val="bullet"/>
      <w:lvlText w:val="•"/>
      <w:lvlJc w:val="left"/>
      <w:pPr>
        <w:ind w:left="2242" w:hanging="728"/>
      </w:pPr>
      <w:rPr>
        <w:rFonts w:hint="default"/>
      </w:rPr>
    </w:lvl>
  </w:abstractNum>
  <w:abstractNum w:abstractNumId="9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25" w:hanging="672"/>
      </w:pPr>
      <w:rPr>
        <w:rFonts w:hint="default"/>
      </w:rPr>
    </w:lvl>
    <w:lvl w:ilvl="2">
      <w:start w:val="1"/>
      <w:numFmt w:val="bullet"/>
      <w:lvlText w:val="•"/>
      <w:lvlJc w:val="left"/>
      <w:pPr>
        <w:ind w:left="770" w:hanging="672"/>
      </w:pPr>
      <w:rPr>
        <w:rFonts w:hint="default"/>
      </w:rPr>
    </w:lvl>
    <w:lvl w:ilvl="3">
      <w:start w:val="1"/>
      <w:numFmt w:val="bullet"/>
      <w:lvlText w:val="•"/>
      <w:lvlJc w:val="left"/>
      <w:pPr>
        <w:ind w:left="1016" w:hanging="672"/>
      </w:pPr>
      <w:rPr>
        <w:rFonts w:hint="default"/>
      </w:rPr>
    </w:lvl>
    <w:lvl w:ilvl="4">
      <w:start w:val="1"/>
      <w:numFmt w:val="bullet"/>
      <w:lvlText w:val="•"/>
      <w:lvlJc w:val="left"/>
      <w:pPr>
        <w:ind w:left="1261" w:hanging="672"/>
      </w:pPr>
      <w:rPr>
        <w:rFonts w:hint="default"/>
      </w:rPr>
    </w:lvl>
    <w:lvl w:ilvl="5">
      <w:start w:val="1"/>
      <w:numFmt w:val="bullet"/>
      <w:lvlText w:val="•"/>
      <w:lvlJc w:val="left"/>
      <w:pPr>
        <w:ind w:left="1506" w:hanging="672"/>
      </w:pPr>
      <w:rPr>
        <w:rFonts w:hint="default"/>
      </w:rPr>
    </w:lvl>
    <w:lvl w:ilvl="6">
      <w:start w:val="1"/>
      <w:numFmt w:val="bullet"/>
      <w:lvlText w:val="•"/>
      <w:lvlJc w:val="left"/>
      <w:pPr>
        <w:ind w:left="1752" w:hanging="672"/>
      </w:pPr>
      <w:rPr>
        <w:rFonts w:hint="default"/>
      </w:rPr>
    </w:lvl>
    <w:lvl w:ilvl="7">
      <w:start w:val="1"/>
      <w:numFmt w:val="bullet"/>
      <w:lvlText w:val="•"/>
      <w:lvlJc w:val="left"/>
      <w:pPr>
        <w:ind w:left="1997" w:hanging="672"/>
      </w:pPr>
      <w:rPr>
        <w:rFonts w:hint="default"/>
      </w:rPr>
    </w:lvl>
    <w:lvl w:ilvl="8">
      <w:start w:val="1"/>
      <w:numFmt w:val="bullet"/>
      <w:lvlText w:val="•"/>
      <w:lvlJc w:val="left"/>
      <w:pPr>
        <w:ind w:left="2242" w:hanging="672"/>
      </w:pPr>
      <w:rPr>
        <w:rFonts w:hint="default"/>
      </w:rPr>
    </w:lvl>
  </w:abstractNum>
  <w:abstractNum w:abstractNumId="9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25" w:hanging="672"/>
      </w:pPr>
      <w:rPr>
        <w:rFonts w:hint="default"/>
      </w:rPr>
    </w:lvl>
    <w:lvl w:ilvl="2">
      <w:start w:val="1"/>
      <w:numFmt w:val="bullet"/>
      <w:lvlText w:val="•"/>
      <w:lvlJc w:val="left"/>
      <w:pPr>
        <w:ind w:left="770" w:hanging="672"/>
      </w:pPr>
      <w:rPr>
        <w:rFonts w:hint="default"/>
      </w:rPr>
    </w:lvl>
    <w:lvl w:ilvl="3">
      <w:start w:val="1"/>
      <w:numFmt w:val="bullet"/>
      <w:lvlText w:val="•"/>
      <w:lvlJc w:val="left"/>
      <w:pPr>
        <w:ind w:left="1016" w:hanging="672"/>
      </w:pPr>
      <w:rPr>
        <w:rFonts w:hint="default"/>
      </w:rPr>
    </w:lvl>
    <w:lvl w:ilvl="4">
      <w:start w:val="1"/>
      <w:numFmt w:val="bullet"/>
      <w:lvlText w:val="•"/>
      <w:lvlJc w:val="left"/>
      <w:pPr>
        <w:ind w:left="1261" w:hanging="672"/>
      </w:pPr>
      <w:rPr>
        <w:rFonts w:hint="default"/>
      </w:rPr>
    </w:lvl>
    <w:lvl w:ilvl="5">
      <w:start w:val="1"/>
      <w:numFmt w:val="bullet"/>
      <w:lvlText w:val="•"/>
      <w:lvlJc w:val="left"/>
      <w:pPr>
        <w:ind w:left="1506" w:hanging="672"/>
      </w:pPr>
      <w:rPr>
        <w:rFonts w:hint="default"/>
      </w:rPr>
    </w:lvl>
    <w:lvl w:ilvl="6">
      <w:start w:val="1"/>
      <w:numFmt w:val="bullet"/>
      <w:lvlText w:val="•"/>
      <w:lvlJc w:val="left"/>
      <w:pPr>
        <w:ind w:left="1752" w:hanging="672"/>
      </w:pPr>
      <w:rPr>
        <w:rFonts w:hint="default"/>
      </w:rPr>
    </w:lvl>
    <w:lvl w:ilvl="7">
      <w:start w:val="1"/>
      <w:numFmt w:val="bullet"/>
      <w:lvlText w:val="•"/>
      <w:lvlJc w:val="left"/>
      <w:pPr>
        <w:ind w:left="1997" w:hanging="672"/>
      </w:pPr>
      <w:rPr>
        <w:rFonts w:hint="default"/>
      </w:rPr>
    </w:lvl>
    <w:lvl w:ilvl="8">
      <w:start w:val="1"/>
      <w:numFmt w:val="bullet"/>
      <w:lvlText w:val="•"/>
      <w:lvlJc w:val="left"/>
      <w:pPr>
        <w:ind w:left="2242" w:hanging="672"/>
      </w:pPr>
      <w:rPr>
        <w:rFonts w:hint="default"/>
      </w:rPr>
    </w:lvl>
  </w:abstractNum>
  <w:abstractNum w:abstractNumId="9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25" w:hanging="672"/>
      </w:pPr>
      <w:rPr>
        <w:rFonts w:hint="default"/>
      </w:rPr>
    </w:lvl>
    <w:lvl w:ilvl="2">
      <w:start w:val="1"/>
      <w:numFmt w:val="bullet"/>
      <w:lvlText w:val="•"/>
      <w:lvlJc w:val="left"/>
      <w:pPr>
        <w:ind w:left="770" w:hanging="672"/>
      </w:pPr>
      <w:rPr>
        <w:rFonts w:hint="default"/>
      </w:rPr>
    </w:lvl>
    <w:lvl w:ilvl="3">
      <w:start w:val="1"/>
      <w:numFmt w:val="bullet"/>
      <w:lvlText w:val="•"/>
      <w:lvlJc w:val="left"/>
      <w:pPr>
        <w:ind w:left="1016" w:hanging="672"/>
      </w:pPr>
      <w:rPr>
        <w:rFonts w:hint="default"/>
      </w:rPr>
    </w:lvl>
    <w:lvl w:ilvl="4">
      <w:start w:val="1"/>
      <w:numFmt w:val="bullet"/>
      <w:lvlText w:val="•"/>
      <w:lvlJc w:val="left"/>
      <w:pPr>
        <w:ind w:left="1261" w:hanging="672"/>
      </w:pPr>
      <w:rPr>
        <w:rFonts w:hint="default"/>
      </w:rPr>
    </w:lvl>
    <w:lvl w:ilvl="5">
      <w:start w:val="1"/>
      <w:numFmt w:val="bullet"/>
      <w:lvlText w:val="•"/>
      <w:lvlJc w:val="left"/>
      <w:pPr>
        <w:ind w:left="1506" w:hanging="672"/>
      </w:pPr>
      <w:rPr>
        <w:rFonts w:hint="default"/>
      </w:rPr>
    </w:lvl>
    <w:lvl w:ilvl="6">
      <w:start w:val="1"/>
      <w:numFmt w:val="bullet"/>
      <w:lvlText w:val="•"/>
      <w:lvlJc w:val="left"/>
      <w:pPr>
        <w:ind w:left="1752" w:hanging="672"/>
      </w:pPr>
      <w:rPr>
        <w:rFonts w:hint="default"/>
      </w:rPr>
    </w:lvl>
    <w:lvl w:ilvl="7">
      <w:start w:val="1"/>
      <w:numFmt w:val="bullet"/>
      <w:lvlText w:val="•"/>
      <w:lvlJc w:val="left"/>
      <w:pPr>
        <w:ind w:left="1997" w:hanging="672"/>
      </w:pPr>
      <w:rPr>
        <w:rFonts w:hint="default"/>
      </w:rPr>
    </w:lvl>
    <w:lvl w:ilvl="8">
      <w:start w:val="1"/>
      <w:numFmt w:val="bullet"/>
      <w:lvlText w:val="•"/>
      <w:lvlJc w:val="left"/>
      <w:pPr>
        <w:ind w:left="2242" w:hanging="672"/>
      </w:pPr>
      <w:rPr>
        <w:rFonts w:hint="default"/>
      </w:rPr>
    </w:lvl>
  </w:abstractNum>
  <w:abstractNum w:abstractNumId="9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25" w:hanging="672"/>
      </w:pPr>
      <w:rPr>
        <w:rFonts w:hint="default"/>
      </w:rPr>
    </w:lvl>
    <w:lvl w:ilvl="2">
      <w:start w:val="1"/>
      <w:numFmt w:val="bullet"/>
      <w:lvlText w:val="•"/>
      <w:lvlJc w:val="left"/>
      <w:pPr>
        <w:ind w:left="770" w:hanging="672"/>
      </w:pPr>
      <w:rPr>
        <w:rFonts w:hint="default"/>
      </w:rPr>
    </w:lvl>
    <w:lvl w:ilvl="3">
      <w:start w:val="1"/>
      <w:numFmt w:val="bullet"/>
      <w:lvlText w:val="•"/>
      <w:lvlJc w:val="left"/>
      <w:pPr>
        <w:ind w:left="1016" w:hanging="672"/>
      </w:pPr>
      <w:rPr>
        <w:rFonts w:hint="default"/>
      </w:rPr>
    </w:lvl>
    <w:lvl w:ilvl="4">
      <w:start w:val="1"/>
      <w:numFmt w:val="bullet"/>
      <w:lvlText w:val="•"/>
      <w:lvlJc w:val="left"/>
      <w:pPr>
        <w:ind w:left="1261" w:hanging="672"/>
      </w:pPr>
      <w:rPr>
        <w:rFonts w:hint="default"/>
      </w:rPr>
    </w:lvl>
    <w:lvl w:ilvl="5">
      <w:start w:val="1"/>
      <w:numFmt w:val="bullet"/>
      <w:lvlText w:val="•"/>
      <w:lvlJc w:val="left"/>
      <w:pPr>
        <w:ind w:left="1506" w:hanging="672"/>
      </w:pPr>
      <w:rPr>
        <w:rFonts w:hint="default"/>
      </w:rPr>
    </w:lvl>
    <w:lvl w:ilvl="6">
      <w:start w:val="1"/>
      <w:numFmt w:val="bullet"/>
      <w:lvlText w:val="•"/>
      <w:lvlJc w:val="left"/>
      <w:pPr>
        <w:ind w:left="1752" w:hanging="672"/>
      </w:pPr>
      <w:rPr>
        <w:rFonts w:hint="default"/>
      </w:rPr>
    </w:lvl>
    <w:lvl w:ilvl="7">
      <w:start w:val="1"/>
      <w:numFmt w:val="bullet"/>
      <w:lvlText w:val="•"/>
      <w:lvlJc w:val="left"/>
      <w:pPr>
        <w:ind w:left="1997" w:hanging="672"/>
      </w:pPr>
      <w:rPr>
        <w:rFonts w:hint="default"/>
      </w:rPr>
    </w:lvl>
    <w:lvl w:ilvl="8">
      <w:start w:val="1"/>
      <w:numFmt w:val="bullet"/>
      <w:lvlText w:val="•"/>
      <w:lvlJc w:val="left"/>
      <w:pPr>
        <w:ind w:left="2242" w:hanging="672"/>
      </w:pPr>
      <w:rPr>
        <w:rFonts w:hint="default"/>
      </w:rPr>
    </w:lvl>
  </w:abstractNum>
  <w:abstractNum w:abstractNumId="94">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25" w:hanging="672"/>
      </w:pPr>
      <w:rPr>
        <w:rFonts w:hint="default"/>
      </w:rPr>
    </w:lvl>
    <w:lvl w:ilvl="2">
      <w:start w:val="1"/>
      <w:numFmt w:val="bullet"/>
      <w:lvlText w:val="•"/>
      <w:lvlJc w:val="left"/>
      <w:pPr>
        <w:ind w:left="770" w:hanging="672"/>
      </w:pPr>
      <w:rPr>
        <w:rFonts w:hint="default"/>
      </w:rPr>
    </w:lvl>
    <w:lvl w:ilvl="3">
      <w:start w:val="1"/>
      <w:numFmt w:val="bullet"/>
      <w:lvlText w:val="•"/>
      <w:lvlJc w:val="left"/>
      <w:pPr>
        <w:ind w:left="1016" w:hanging="672"/>
      </w:pPr>
      <w:rPr>
        <w:rFonts w:hint="default"/>
      </w:rPr>
    </w:lvl>
    <w:lvl w:ilvl="4">
      <w:start w:val="1"/>
      <w:numFmt w:val="bullet"/>
      <w:lvlText w:val="•"/>
      <w:lvlJc w:val="left"/>
      <w:pPr>
        <w:ind w:left="1261" w:hanging="672"/>
      </w:pPr>
      <w:rPr>
        <w:rFonts w:hint="default"/>
      </w:rPr>
    </w:lvl>
    <w:lvl w:ilvl="5">
      <w:start w:val="1"/>
      <w:numFmt w:val="bullet"/>
      <w:lvlText w:val="•"/>
      <w:lvlJc w:val="left"/>
      <w:pPr>
        <w:ind w:left="1506" w:hanging="672"/>
      </w:pPr>
      <w:rPr>
        <w:rFonts w:hint="default"/>
      </w:rPr>
    </w:lvl>
    <w:lvl w:ilvl="6">
      <w:start w:val="1"/>
      <w:numFmt w:val="bullet"/>
      <w:lvlText w:val="•"/>
      <w:lvlJc w:val="left"/>
      <w:pPr>
        <w:ind w:left="1752" w:hanging="672"/>
      </w:pPr>
      <w:rPr>
        <w:rFonts w:hint="default"/>
      </w:rPr>
    </w:lvl>
    <w:lvl w:ilvl="7">
      <w:start w:val="1"/>
      <w:numFmt w:val="bullet"/>
      <w:lvlText w:val="•"/>
      <w:lvlJc w:val="left"/>
      <w:pPr>
        <w:ind w:left="1997" w:hanging="672"/>
      </w:pPr>
      <w:rPr>
        <w:rFonts w:hint="default"/>
      </w:rPr>
    </w:lvl>
    <w:lvl w:ilvl="8">
      <w:start w:val="1"/>
      <w:numFmt w:val="bullet"/>
      <w:lvlText w:val="•"/>
      <w:lvlJc w:val="left"/>
      <w:pPr>
        <w:ind w:left="2242" w:hanging="672"/>
      </w:pPr>
      <w:rPr>
        <w:rFonts w:hint="default"/>
      </w:rPr>
    </w:lvl>
  </w:abstractNum>
  <w:abstractNum w:abstractNumId="9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25" w:hanging="672"/>
      </w:pPr>
      <w:rPr>
        <w:rFonts w:hint="default"/>
      </w:rPr>
    </w:lvl>
    <w:lvl w:ilvl="2">
      <w:start w:val="1"/>
      <w:numFmt w:val="bullet"/>
      <w:lvlText w:val="•"/>
      <w:lvlJc w:val="left"/>
      <w:pPr>
        <w:ind w:left="770" w:hanging="672"/>
      </w:pPr>
      <w:rPr>
        <w:rFonts w:hint="default"/>
      </w:rPr>
    </w:lvl>
    <w:lvl w:ilvl="3">
      <w:start w:val="1"/>
      <w:numFmt w:val="bullet"/>
      <w:lvlText w:val="•"/>
      <w:lvlJc w:val="left"/>
      <w:pPr>
        <w:ind w:left="1016" w:hanging="672"/>
      </w:pPr>
      <w:rPr>
        <w:rFonts w:hint="default"/>
      </w:rPr>
    </w:lvl>
    <w:lvl w:ilvl="4">
      <w:start w:val="1"/>
      <w:numFmt w:val="bullet"/>
      <w:lvlText w:val="•"/>
      <w:lvlJc w:val="left"/>
      <w:pPr>
        <w:ind w:left="1261" w:hanging="672"/>
      </w:pPr>
      <w:rPr>
        <w:rFonts w:hint="default"/>
      </w:rPr>
    </w:lvl>
    <w:lvl w:ilvl="5">
      <w:start w:val="1"/>
      <w:numFmt w:val="bullet"/>
      <w:lvlText w:val="•"/>
      <w:lvlJc w:val="left"/>
      <w:pPr>
        <w:ind w:left="1506" w:hanging="672"/>
      </w:pPr>
      <w:rPr>
        <w:rFonts w:hint="default"/>
      </w:rPr>
    </w:lvl>
    <w:lvl w:ilvl="6">
      <w:start w:val="1"/>
      <w:numFmt w:val="bullet"/>
      <w:lvlText w:val="•"/>
      <w:lvlJc w:val="left"/>
      <w:pPr>
        <w:ind w:left="1752" w:hanging="672"/>
      </w:pPr>
      <w:rPr>
        <w:rFonts w:hint="default"/>
      </w:rPr>
    </w:lvl>
    <w:lvl w:ilvl="7">
      <w:start w:val="1"/>
      <w:numFmt w:val="bullet"/>
      <w:lvlText w:val="•"/>
      <w:lvlJc w:val="left"/>
      <w:pPr>
        <w:ind w:left="1997" w:hanging="672"/>
      </w:pPr>
      <w:rPr>
        <w:rFonts w:hint="default"/>
      </w:rPr>
    </w:lvl>
    <w:lvl w:ilvl="8">
      <w:start w:val="1"/>
      <w:numFmt w:val="bullet"/>
      <w:lvlText w:val="•"/>
      <w:lvlJc w:val="left"/>
      <w:pPr>
        <w:ind w:left="2242" w:hanging="672"/>
      </w:pPr>
      <w:rPr>
        <w:rFonts w:hint="default"/>
      </w:rPr>
    </w:lvl>
  </w:abstractNum>
  <w:abstractNum w:abstractNumId="9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25" w:hanging="672"/>
      </w:pPr>
      <w:rPr>
        <w:rFonts w:hint="default"/>
      </w:rPr>
    </w:lvl>
    <w:lvl w:ilvl="2">
      <w:start w:val="1"/>
      <w:numFmt w:val="bullet"/>
      <w:lvlText w:val="•"/>
      <w:lvlJc w:val="left"/>
      <w:pPr>
        <w:ind w:left="770" w:hanging="672"/>
      </w:pPr>
      <w:rPr>
        <w:rFonts w:hint="default"/>
      </w:rPr>
    </w:lvl>
    <w:lvl w:ilvl="3">
      <w:start w:val="1"/>
      <w:numFmt w:val="bullet"/>
      <w:lvlText w:val="•"/>
      <w:lvlJc w:val="left"/>
      <w:pPr>
        <w:ind w:left="1016" w:hanging="672"/>
      </w:pPr>
      <w:rPr>
        <w:rFonts w:hint="default"/>
      </w:rPr>
    </w:lvl>
    <w:lvl w:ilvl="4">
      <w:start w:val="1"/>
      <w:numFmt w:val="bullet"/>
      <w:lvlText w:val="•"/>
      <w:lvlJc w:val="left"/>
      <w:pPr>
        <w:ind w:left="1261" w:hanging="672"/>
      </w:pPr>
      <w:rPr>
        <w:rFonts w:hint="default"/>
      </w:rPr>
    </w:lvl>
    <w:lvl w:ilvl="5">
      <w:start w:val="1"/>
      <w:numFmt w:val="bullet"/>
      <w:lvlText w:val="•"/>
      <w:lvlJc w:val="left"/>
      <w:pPr>
        <w:ind w:left="1506" w:hanging="672"/>
      </w:pPr>
      <w:rPr>
        <w:rFonts w:hint="default"/>
      </w:rPr>
    </w:lvl>
    <w:lvl w:ilvl="6">
      <w:start w:val="1"/>
      <w:numFmt w:val="bullet"/>
      <w:lvlText w:val="•"/>
      <w:lvlJc w:val="left"/>
      <w:pPr>
        <w:ind w:left="1752" w:hanging="672"/>
      </w:pPr>
      <w:rPr>
        <w:rFonts w:hint="default"/>
      </w:rPr>
    </w:lvl>
    <w:lvl w:ilvl="7">
      <w:start w:val="1"/>
      <w:numFmt w:val="bullet"/>
      <w:lvlText w:val="•"/>
      <w:lvlJc w:val="left"/>
      <w:pPr>
        <w:ind w:left="1997" w:hanging="672"/>
      </w:pPr>
      <w:rPr>
        <w:rFonts w:hint="default"/>
      </w:rPr>
    </w:lvl>
    <w:lvl w:ilvl="8">
      <w:start w:val="1"/>
      <w:numFmt w:val="bullet"/>
      <w:lvlText w:val="•"/>
      <w:lvlJc w:val="left"/>
      <w:pPr>
        <w:ind w:left="2242" w:hanging="672"/>
      </w:pPr>
      <w:rPr>
        <w:rFonts w:hint="default"/>
      </w:rPr>
    </w:lvl>
  </w:abstractNum>
  <w:abstractNum w:abstractNumId="91">
    <w:multiLevelType w:val="hybridMultilevel"/>
    <w:lvl w:ilvl="0">
      <w:start w:val="1"/>
      <w:numFmt w:val="bullet"/>
      <w:lvlText w:val="-"/>
      <w:lvlJc w:val="left"/>
      <w:pPr>
        <w:ind w:left="103" w:hanging="178"/>
      </w:pPr>
      <w:rPr>
        <w:rFonts w:hint="default" w:ascii="Arial" w:hAnsi="Arial" w:eastAsia="Arial" w:cs="Arial"/>
        <w:w w:val="100"/>
        <w:sz w:val="22"/>
        <w:szCs w:val="22"/>
      </w:rPr>
    </w:lvl>
    <w:lvl w:ilvl="1">
      <w:start w:val="1"/>
      <w:numFmt w:val="bullet"/>
      <w:lvlText w:val="•"/>
      <w:lvlJc w:val="left"/>
      <w:pPr>
        <w:ind w:left="1378" w:hanging="178"/>
      </w:pPr>
      <w:rPr>
        <w:rFonts w:hint="default"/>
      </w:rPr>
    </w:lvl>
    <w:lvl w:ilvl="2">
      <w:start w:val="1"/>
      <w:numFmt w:val="bullet"/>
      <w:lvlText w:val="•"/>
      <w:lvlJc w:val="left"/>
      <w:pPr>
        <w:ind w:left="2657" w:hanging="178"/>
      </w:pPr>
      <w:rPr>
        <w:rFonts w:hint="default"/>
      </w:rPr>
    </w:lvl>
    <w:lvl w:ilvl="3">
      <w:start w:val="1"/>
      <w:numFmt w:val="bullet"/>
      <w:lvlText w:val="•"/>
      <w:lvlJc w:val="left"/>
      <w:pPr>
        <w:ind w:left="3936" w:hanging="178"/>
      </w:pPr>
      <w:rPr>
        <w:rFonts w:hint="default"/>
      </w:rPr>
    </w:lvl>
    <w:lvl w:ilvl="4">
      <w:start w:val="1"/>
      <w:numFmt w:val="bullet"/>
      <w:lvlText w:val="•"/>
      <w:lvlJc w:val="left"/>
      <w:pPr>
        <w:ind w:left="5215" w:hanging="178"/>
      </w:pPr>
      <w:rPr>
        <w:rFonts w:hint="default"/>
      </w:rPr>
    </w:lvl>
    <w:lvl w:ilvl="5">
      <w:start w:val="1"/>
      <w:numFmt w:val="bullet"/>
      <w:lvlText w:val="•"/>
      <w:lvlJc w:val="left"/>
      <w:pPr>
        <w:ind w:left="6493" w:hanging="178"/>
      </w:pPr>
      <w:rPr>
        <w:rFonts w:hint="default"/>
      </w:rPr>
    </w:lvl>
    <w:lvl w:ilvl="6">
      <w:start w:val="1"/>
      <w:numFmt w:val="bullet"/>
      <w:lvlText w:val="•"/>
      <w:lvlJc w:val="left"/>
      <w:pPr>
        <w:ind w:left="7772" w:hanging="178"/>
      </w:pPr>
      <w:rPr>
        <w:rFonts w:hint="default"/>
      </w:rPr>
    </w:lvl>
    <w:lvl w:ilvl="7">
      <w:start w:val="1"/>
      <w:numFmt w:val="bullet"/>
      <w:lvlText w:val="•"/>
      <w:lvlJc w:val="left"/>
      <w:pPr>
        <w:ind w:left="9051" w:hanging="178"/>
      </w:pPr>
      <w:rPr>
        <w:rFonts w:hint="default"/>
      </w:rPr>
    </w:lvl>
    <w:lvl w:ilvl="8">
      <w:start w:val="1"/>
      <w:numFmt w:val="bullet"/>
      <w:lvlText w:val="•"/>
      <w:lvlJc w:val="left"/>
      <w:pPr>
        <w:ind w:left="10330" w:hanging="178"/>
      </w:pPr>
      <w:rPr>
        <w:rFonts w:hint="default"/>
      </w:rPr>
    </w:lvl>
  </w:abstractNum>
  <w:abstractNum w:abstractNumId="90">
    <w:multiLevelType w:val="hybridMultilevel"/>
    <w:lvl w:ilvl="0">
      <w:start w:val="1"/>
      <w:numFmt w:val="bullet"/>
      <w:lvlText w:val="-"/>
      <w:lvlJc w:val="left"/>
      <w:pPr>
        <w:ind w:left="64" w:hanging="140"/>
      </w:pPr>
      <w:rPr>
        <w:rFonts w:hint="default" w:ascii="Arial" w:hAnsi="Arial" w:eastAsia="Arial" w:cs="Arial"/>
        <w:w w:val="100"/>
        <w:sz w:val="22"/>
        <w:szCs w:val="22"/>
      </w:rPr>
    </w:lvl>
    <w:lvl w:ilvl="1">
      <w:start w:val="1"/>
      <w:numFmt w:val="bullet"/>
      <w:lvlText w:val="•"/>
      <w:lvlJc w:val="left"/>
      <w:pPr>
        <w:ind w:left="1342" w:hanging="140"/>
      </w:pPr>
      <w:rPr>
        <w:rFonts w:hint="default"/>
      </w:rPr>
    </w:lvl>
    <w:lvl w:ilvl="2">
      <w:start w:val="1"/>
      <w:numFmt w:val="bullet"/>
      <w:lvlText w:val="•"/>
      <w:lvlJc w:val="left"/>
      <w:pPr>
        <w:ind w:left="2625" w:hanging="140"/>
      </w:pPr>
      <w:rPr>
        <w:rFonts w:hint="default"/>
      </w:rPr>
    </w:lvl>
    <w:lvl w:ilvl="3">
      <w:start w:val="1"/>
      <w:numFmt w:val="bullet"/>
      <w:lvlText w:val="•"/>
      <w:lvlJc w:val="left"/>
      <w:pPr>
        <w:ind w:left="3908" w:hanging="140"/>
      </w:pPr>
      <w:rPr>
        <w:rFonts w:hint="default"/>
      </w:rPr>
    </w:lvl>
    <w:lvl w:ilvl="4">
      <w:start w:val="1"/>
      <w:numFmt w:val="bullet"/>
      <w:lvlText w:val="•"/>
      <w:lvlJc w:val="left"/>
      <w:pPr>
        <w:ind w:left="5191" w:hanging="140"/>
      </w:pPr>
      <w:rPr>
        <w:rFonts w:hint="default"/>
      </w:rPr>
    </w:lvl>
    <w:lvl w:ilvl="5">
      <w:start w:val="1"/>
      <w:numFmt w:val="bullet"/>
      <w:lvlText w:val="•"/>
      <w:lvlJc w:val="left"/>
      <w:pPr>
        <w:ind w:left="6473" w:hanging="140"/>
      </w:pPr>
      <w:rPr>
        <w:rFonts w:hint="default"/>
      </w:rPr>
    </w:lvl>
    <w:lvl w:ilvl="6">
      <w:start w:val="1"/>
      <w:numFmt w:val="bullet"/>
      <w:lvlText w:val="•"/>
      <w:lvlJc w:val="left"/>
      <w:pPr>
        <w:ind w:left="7756" w:hanging="140"/>
      </w:pPr>
      <w:rPr>
        <w:rFonts w:hint="default"/>
      </w:rPr>
    </w:lvl>
    <w:lvl w:ilvl="7">
      <w:start w:val="1"/>
      <w:numFmt w:val="bullet"/>
      <w:lvlText w:val="•"/>
      <w:lvlJc w:val="left"/>
      <w:pPr>
        <w:ind w:left="9039" w:hanging="140"/>
      </w:pPr>
      <w:rPr>
        <w:rFonts w:hint="default"/>
      </w:rPr>
    </w:lvl>
    <w:lvl w:ilvl="8">
      <w:start w:val="1"/>
      <w:numFmt w:val="bullet"/>
      <w:lvlText w:val="•"/>
      <w:lvlJc w:val="left"/>
      <w:pPr>
        <w:ind w:left="10322" w:hanging="140"/>
      </w:pPr>
      <w:rPr>
        <w:rFonts w:hint="default"/>
      </w:rPr>
    </w:lvl>
  </w:abstractNum>
  <w:abstractNum w:abstractNumId="89">
    <w:multiLevelType w:val="hybridMultilevel"/>
    <w:lvl w:ilvl="0">
      <w:start w:val="1"/>
      <w:numFmt w:val="bullet"/>
      <w:lvlText w:val=""/>
      <w:lvlJc w:val="left"/>
      <w:pPr>
        <w:ind w:left="280" w:hanging="728"/>
      </w:pPr>
      <w:rPr>
        <w:rFonts w:hint="default" w:ascii="Wingdings" w:hAnsi="Wingdings" w:eastAsia="Wingdings" w:cs="Wingdings"/>
        <w:w w:val="99"/>
        <w:sz w:val="20"/>
        <w:szCs w:val="20"/>
      </w:rPr>
    </w:lvl>
    <w:lvl w:ilvl="1">
      <w:start w:val="1"/>
      <w:numFmt w:val="bullet"/>
      <w:lvlText w:val="•"/>
      <w:lvlJc w:val="left"/>
      <w:pPr>
        <w:ind w:left="564" w:hanging="728"/>
      </w:pPr>
      <w:rPr>
        <w:rFonts w:hint="default"/>
      </w:rPr>
    </w:lvl>
    <w:lvl w:ilvl="2">
      <w:start w:val="1"/>
      <w:numFmt w:val="bullet"/>
      <w:lvlText w:val="•"/>
      <w:lvlJc w:val="left"/>
      <w:pPr>
        <w:ind w:left="848" w:hanging="728"/>
      </w:pPr>
      <w:rPr>
        <w:rFonts w:hint="default"/>
      </w:rPr>
    </w:lvl>
    <w:lvl w:ilvl="3">
      <w:start w:val="1"/>
      <w:numFmt w:val="bullet"/>
      <w:lvlText w:val="•"/>
      <w:lvlJc w:val="left"/>
      <w:pPr>
        <w:ind w:left="1132" w:hanging="728"/>
      </w:pPr>
      <w:rPr>
        <w:rFonts w:hint="default"/>
      </w:rPr>
    </w:lvl>
    <w:lvl w:ilvl="4">
      <w:start w:val="1"/>
      <w:numFmt w:val="bullet"/>
      <w:lvlText w:val="•"/>
      <w:lvlJc w:val="left"/>
      <w:pPr>
        <w:ind w:left="1416" w:hanging="728"/>
      </w:pPr>
      <w:rPr>
        <w:rFonts w:hint="default"/>
      </w:rPr>
    </w:lvl>
    <w:lvl w:ilvl="5">
      <w:start w:val="1"/>
      <w:numFmt w:val="bullet"/>
      <w:lvlText w:val="•"/>
      <w:lvlJc w:val="left"/>
      <w:pPr>
        <w:ind w:left="1701" w:hanging="728"/>
      </w:pPr>
      <w:rPr>
        <w:rFonts w:hint="default"/>
      </w:rPr>
    </w:lvl>
    <w:lvl w:ilvl="6">
      <w:start w:val="1"/>
      <w:numFmt w:val="bullet"/>
      <w:lvlText w:val="•"/>
      <w:lvlJc w:val="left"/>
      <w:pPr>
        <w:ind w:left="1985" w:hanging="728"/>
      </w:pPr>
      <w:rPr>
        <w:rFonts w:hint="default"/>
      </w:rPr>
    </w:lvl>
    <w:lvl w:ilvl="7">
      <w:start w:val="1"/>
      <w:numFmt w:val="bullet"/>
      <w:lvlText w:val="•"/>
      <w:lvlJc w:val="left"/>
      <w:pPr>
        <w:ind w:left="2269" w:hanging="728"/>
      </w:pPr>
      <w:rPr>
        <w:rFonts w:hint="default"/>
      </w:rPr>
    </w:lvl>
    <w:lvl w:ilvl="8">
      <w:start w:val="1"/>
      <w:numFmt w:val="bullet"/>
      <w:lvlText w:val="•"/>
      <w:lvlJc w:val="left"/>
      <w:pPr>
        <w:ind w:left="2553" w:hanging="728"/>
      </w:pPr>
      <w:rPr>
        <w:rFonts w:hint="default"/>
      </w:rPr>
    </w:lvl>
  </w:abstractNum>
  <w:abstractNum w:abstractNumId="8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87">
    <w:multiLevelType w:val="hybridMultilevel"/>
    <w:lvl w:ilvl="0">
      <w:start w:val="1"/>
      <w:numFmt w:val="bullet"/>
      <w:lvlText w:val=""/>
      <w:lvlJc w:val="left"/>
      <w:pPr>
        <w:ind w:left="280" w:hanging="728"/>
      </w:pPr>
      <w:rPr>
        <w:rFonts w:hint="default" w:ascii="Wingdings" w:hAnsi="Wingdings" w:eastAsia="Wingdings" w:cs="Wingdings"/>
        <w:w w:val="99"/>
        <w:sz w:val="20"/>
        <w:szCs w:val="20"/>
      </w:rPr>
    </w:lvl>
    <w:lvl w:ilvl="1">
      <w:start w:val="1"/>
      <w:numFmt w:val="bullet"/>
      <w:lvlText w:val="•"/>
      <w:lvlJc w:val="left"/>
      <w:pPr>
        <w:ind w:left="564" w:hanging="728"/>
      </w:pPr>
      <w:rPr>
        <w:rFonts w:hint="default"/>
      </w:rPr>
    </w:lvl>
    <w:lvl w:ilvl="2">
      <w:start w:val="1"/>
      <w:numFmt w:val="bullet"/>
      <w:lvlText w:val="•"/>
      <w:lvlJc w:val="left"/>
      <w:pPr>
        <w:ind w:left="848" w:hanging="728"/>
      </w:pPr>
      <w:rPr>
        <w:rFonts w:hint="default"/>
      </w:rPr>
    </w:lvl>
    <w:lvl w:ilvl="3">
      <w:start w:val="1"/>
      <w:numFmt w:val="bullet"/>
      <w:lvlText w:val="•"/>
      <w:lvlJc w:val="left"/>
      <w:pPr>
        <w:ind w:left="1132" w:hanging="728"/>
      </w:pPr>
      <w:rPr>
        <w:rFonts w:hint="default"/>
      </w:rPr>
    </w:lvl>
    <w:lvl w:ilvl="4">
      <w:start w:val="1"/>
      <w:numFmt w:val="bullet"/>
      <w:lvlText w:val="•"/>
      <w:lvlJc w:val="left"/>
      <w:pPr>
        <w:ind w:left="1416" w:hanging="728"/>
      </w:pPr>
      <w:rPr>
        <w:rFonts w:hint="default"/>
      </w:rPr>
    </w:lvl>
    <w:lvl w:ilvl="5">
      <w:start w:val="1"/>
      <w:numFmt w:val="bullet"/>
      <w:lvlText w:val="•"/>
      <w:lvlJc w:val="left"/>
      <w:pPr>
        <w:ind w:left="1701" w:hanging="728"/>
      </w:pPr>
      <w:rPr>
        <w:rFonts w:hint="default"/>
      </w:rPr>
    </w:lvl>
    <w:lvl w:ilvl="6">
      <w:start w:val="1"/>
      <w:numFmt w:val="bullet"/>
      <w:lvlText w:val="•"/>
      <w:lvlJc w:val="left"/>
      <w:pPr>
        <w:ind w:left="1985" w:hanging="728"/>
      </w:pPr>
      <w:rPr>
        <w:rFonts w:hint="default"/>
      </w:rPr>
    </w:lvl>
    <w:lvl w:ilvl="7">
      <w:start w:val="1"/>
      <w:numFmt w:val="bullet"/>
      <w:lvlText w:val="•"/>
      <w:lvlJc w:val="left"/>
      <w:pPr>
        <w:ind w:left="2269" w:hanging="728"/>
      </w:pPr>
      <w:rPr>
        <w:rFonts w:hint="default"/>
      </w:rPr>
    </w:lvl>
    <w:lvl w:ilvl="8">
      <w:start w:val="1"/>
      <w:numFmt w:val="bullet"/>
      <w:lvlText w:val="•"/>
      <w:lvlJc w:val="left"/>
      <w:pPr>
        <w:ind w:left="2553" w:hanging="728"/>
      </w:pPr>
      <w:rPr>
        <w:rFonts w:hint="default"/>
      </w:rPr>
    </w:lvl>
  </w:abstractNum>
  <w:abstractNum w:abstractNumId="8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8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84">
    <w:multiLevelType w:val="hybridMultilevel"/>
    <w:lvl w:ilvl="0">
      <w:start w:val="1"/>
      <w:numFmt w:val="bullet"/>
      <w:lvlText w:val=""/>
      <w:lvlJc w:val="left"/>
      <w:pPr>
        <w:ind w:left="280" w:hanging="728"/>
      </w:pPr>
      <w:rPr>
        <w:rFonts w:hint="default" w:ascii="Wingdings" w:hAnsi="Wingdings" w:eastAsia="Wingdings" w:cs="Wingdings"/>
        <w:w w:val="99"/>
        <w:sz w:val="20"/>
        <w:szCs w:val="20"/>
      </w:rPr>
    </w:lvl>
    <w:lvl w:ilvl="1">
      <w:start w:val="1"/>
      <w:numFmt w:val="bullet"/>
      <w:lvlText w:val="•"/>
      <w:lvlJc w:val="left"/>
      <w:pPr>
        <w:ind w:left="564" w:hanging="728"/>
      </w:pPr>
      <w:rPr>
        <w:rFonts w:hint="default"/>
      </w:rPr>
    </w:lvl>
    <w:lvl w:ilvl="2">
      <w:start w:val="1"/>
      <w:numFmt w:val="bullet"/>
      <w:lvlText w:val="•"/>
      <w:lvlJc w:val="left"/>
      <w:pPr>
        <w:ind w:left="848" w:hanging="728"/>
      </w:pPr>
      <w:rPr>
        <w:rFonts w:hint="default"/>
      </w:rPr>
    </w:lvl>
    <w:lvl w:ilvl="3">
      <w:start w:val="1"/>
      <w:numFmt w:val="bullet"/>
      <w:lvlText w:val="•"/>
      <w:lvlJc w:val="left"/>
      <w:pPr>
        <w:ind w:left="1132" w:hanging="728"/>
      </w:pPr>
      <w:rPr>
        <w:rFonts w:hint="default"/>
      </w:rPr>
    </w:lvl>
    <w:lvl w:ilvl="4">
      <w:start w:val="1"/>
      <w:numFmt w:val="bullet"/>
      <w:lvlText w:val="•"/>
      <w:lvlJc w:val="left"/>
      <w:pPr>
        <w:ind w:left="1416" w:hanging="728"/>
      </w:pPr>
      <w:rPr>
        <w:rFonts w:hint="default"/>
      </w:rPr>
    </w:lvl>
    <w:lvl w:ilvl="5">
      <w:start w:val="1"/>
      <w:numFmt w:val="bullet"/>
      <w:lvlText w:val="•"/>
      <w:lvlJc w:val="left"/>
      <w:pPr>
        <w:ind w:left="1701" w:hanging="728"/>
      </w:pPr>
      <w:rPr>
        <w:rFonts w:hint="default"/>
      </w:rPr>
    </w:lvl>
    <w:lvl w:ilvl="6">
      <w:start w:val="1"/>
      <w:numFmt w:val="bullet"/>
      <w:lvlText w:val="•"/>
      <w:lvlJc w:val="left"/>
      <w:pPr>
        <w:ind w:left="1985" w:hanging="728"/>
      </w:pPr>
      <w:rPr>
        <w:rFonts w:hint="default"/>
      </w:rPr>
    </w:lvl>
    <w:lvl w:ilvl="7">
      <w:start w:val="1"/>
      <w:numFmt w:val="bullet"/>
      <w:lvlText w:val="•"/>
      <w:lvlJc w:val="left"/>
      <w:pPr>
        <w:ind w:left="2269" w:hanging="728"/>
      </w:pPr>
      <w:rPr>
        <w:rFonts w:hint="default"/>
      </w:rPr>
    </w:lvl>
    <w:lvl w:ilvl="8">
      <w:start w:val="1"/>
      <w:numFmt w:val="bullet"/>
      <w:lvlText w:val="•"/>
      <w:lvlJc w:val="left"/>
      <w:pPr>
        <w:ind w:left="2553" w:hanging="728"/>
      </w:pPr>
      <w:rPr>
        <w:rFonts w:hint="default"/>
      </w:rPr>
    </w:lvl>
  </w:abstractNum>
  <w:abstractNum w:abstractNumId="8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82">
    <w:multiLevelType w:val="hybridMultilevel"/>
    <w:lvl w:ilvl="0">
      <w:start w:val="1"/>
      <w:numFmt w:val="bullet"/>
      <w:lvlText w:val=""/>
      <w:lvlJc w:val="left"/>
      <w:pPr>
        <w:ind w:left="811" w:hanging="672"/>
      </w:pPr>
      <w:rPr>
        <w:rFonts w:hint="default" w:ascii="Wingdings" w:hAnsi="Wingdings" w:eastAsia="Wingdings" w:cs="Wingdings"/>
        <w:w w:val="99"/>
        <w:sz w:val="20"/>
        <w:szCs w:val="20"/>
      </w:rPr>
    </w:lvl>
    <w:lvl w:ilvl="1">
      <w:start w:val="1"/>
      <w:numFmt w:val="bullet"/>
      <w:lvlText w:val="•"/>
      <w:lvlJc w:val="left"/>
      <w:pPr>
        <w:ind w:left="1050" w:hanging="672"/>
      </w:pPr>
      <w:rPr>
        <w:rFonts w:hint="default"/>
      </w:rPr>
    </w:lvl>
    <w:lvl w:ilvl="2">
      <w:start w:val="1"/>
      <w:numFmt w:val="bullet"/>
      <w:lvlText w:val="•"/>
      <w:lvlJc w:val="left"/>
      <w:pPr>
        <w:ind w:left="1280" w:hanging="672"/>
      </w:pPr>
      <w:rPr>
        <w:rFonts w:hint="default"/>
      </w:rPr>
    </w:lvl>
    <w:lvl w:ilvl="3">
      <w:start w:val="1"/>
      <w:numFmt w:val="bullet"/>
      <w:lvlText w:val="•"/>
      <w:lvlJc w:val="left"/>
      <w:pPr>
        <w:ind w:left="1510" w:hanging="672"/>
      </w:pPr>
      <w:rPr>
        <w:rFonts w:hint="default"/>
      </w:rPr>
    </w:lvl>
    <w:lvl w:ilvl="4">
      <w:start w:val="1"/>
      <w:numFmt w:val="bullet"/>
      <w:lvlText w:val="•"/>
      <w:lvlJc w:val="left"/>
      <w:pPr>
        <w:ind w:left="1740" w:hanging="672"/>
      </w:pPr>
      <w:rPr>
        <w:rFonts w:hint="default"/>
      </w:rPr>
    </w:lvl>
    <w:lvl w:ilvl="5">
      <w:start w:val="1"/>
      <w:numFmt w:val="bullet"/>
      <w:lvlText w:val="•"/>
      <w:lvlJc w:val="left"/>
      <w:pPr>
        <w:ind w:left="1971" w:hanging="672"/>
      </w:pPr>
      <w:rPr>
        <w:rFonts w:hint="default"/>
      </w:rPr>
    </w:lvl>
    <w:lvl w:ilvl="6">
      <w:start w:val="1"/>
      <w:numFmt w:val="bullet"/>
      <w:lvlText w:val="•"/>
      <w:lvlJc w:val="left"/>
      <w:pPr>
        <w:ind w:left="2201" w:hanging="672"/>
      </w:pPr>
      <w:rPr>
        <w:rFonts w:hint="default"/>
      </w:rPr>
    </w:lvl>
    <w:lvl w:ilvl="7">
      <w:start w:val="1"/>
      <w:numFmt w:val="bullet"/>
      <w:lvlText w:val="•"/>
      <w:lvlJc w:val="left"/>
      <w:pPr>
        <w:ind w:left="2431" w:hanging="672"/>
      </w:pPr>
      <w:rPr>
        <w:rFonts w:hint="default"/>
      </w:rPr>
    </w:lvl>
    <w:lvl w:ilvl="8">
      <w:start w:val="1"/>
      <w:numFmt w:val="bullet"/>
      <w:lvlText w:val="•"/>
      <w:lvlJc w:val="left"/>
      <w:pPr>
        <w:ind w:left="2661" w:hanging="672"/>
      </w:pPr>
      <w:rPr>
        <w:rFonts w:hint="default"/>
      </w:rPr>
    </w:lvl>
  </w:abstractNum>
  <w:abstractNum w:abstractNumId="8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80">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64" w:hanging="672"/>
      </w:pPr>
      <w:rPr>
        <w:rFonts w:hint="default"/>
      </w:rPr>
    </w:lvl>
    <w:lvl w:ilvl="2">
      <w:start w:val="1"/>
      <w:numFmt w:val="bullet"/>
      <w:lvlText w:val="•"/>
      <w:lvlJc w:val="left"/>
      <w:pPr>
        <w:ind w:left="848" w:hanging="672"/>
      </w:pPr>
      <w:rPr>
        <w:rFonts w:hint="default"/>
      </w:rPr>
    </w:lvl>
    <w:lvl w:ilvl="3">
      <w:start w:val="1"/>
      <w:numFmt w:val="bullet"/>
      <w:lvlText w:val="•"/>
      <w:lvlJc w:val="left"/>
      <w:pPr>
        <w:ind w:left="1132" w:hanging="672"/>
      </w:pPr>
      <w:rPr>
        <w:rFonts w:hint="default"/>
      </w:rPr>
    </w:lvl>
    <w:lvl w:ilvl="4">
      <w:start w:val="1"/>
      <w:numFmt w:val="bullet"/>
      <w:lvlText w:val="•"/>
      <w:lvlJc w:val="left"/>
      <w:pPr>
        <w:ind w:left="1416" w:hanging="672"/>
      </w:pPr>
      <w:rPr>
        <w:rFonts w:hint="default"/>
      </w:rPr>
    </w:lvl>
    <w:lvl w:ilvl="5">
      <w:start w:val="1"/>
      <w:numFmt w:val="bullet"/>
      <w:lvlText w:val="•"/>
      <w:lvlJc w:val="left"/>
      <w:pPr>
        <w:ind w:left="1701" w:hanging="672"/>
      </w:pPr>
      <w:rPr>
        <w:rFonts w:hint="default"/>
      </w:rPr>
    </w:lvl>
    <w:lvl w:ilvl="6">
      <w:start w:val="1"/>
      <w:numFmt w:val="bullet"/>
      <w:lvlText w:val="•"/>
      <w:lvlJc w:val="left"/>
      <w:pPr>
        <w:ind w:left="1985" w:hanging="672"/>
      </w:pPr>
      <w:rPr>
        <w:rFonts w:hint="default"/>
      </w:rPr>
    </w:lvl>
    <w:lvl w:ilvl="7">
      <w:start w:val="1"/>
      <w:numFmt w:val="bullet"/>
      <w:lvlText w:val="•"/>
      <w:lvlJc w:val="left"/>
      <w:pPr>
        <w:ind w:left="2269" w:hanging="672"/>
      </w:pPr>
      <w:rPr>
        <w:rFonts w:hint="default"/>
      </w:rPr>
    </w:lvl>
    <w:lvl w:ilvl="8">
      <w:start w:val="1"/>
      <w:numFmt w:val="bullet"/>
      <w:lvlText w:val="•"/>
      <w:lvlJc w:val="left"/>
      <w:pPr>
        <w:ind w:left="2553" w:hanging="672"/>
      </w:pPr>
      <w:rPr>
        <w:rFonts w:hint="default"/>
      </w:rPr>
    </w:lvl>
  </w:abstractNum>
  <w:abstractNum w:abstractNumId="79">
    <w:multiLevelType w:val="hybridMultilevel"/>
    <w:lvl w:ilvl="0">
      <w:start w:val="1"/>
      <w:numFmt w:val="bullet"/>
      <w:lvlText w:val="-"/>
      <w:lvlJc w:val="left"/>
      <w:pPr>
        <w:ind w:left="103" w:hanging="161"/>
      </w:pPr>
      <w:rPr>
        <w:rFonts w:hint="default" w:ascii="Arial" w:hAnsi="Arial" w:eastAsia="Arial" w:cs="Arial"/>
        <w:w w:val="100"/>
        <w:sz w:val="22"/>
        <w:szCs w:val="22"/>
      </w:rPr>
    </w:lvl>
    <w:lvl w:ilvl="1">
      <w:start w:val="1"/>
      <w:numFmt w:val="bullet"/>
      <w:lvlText w:val="•"/>
      <w:lvlJc w:val="left"/>
      <w:pPr>
        <w:ind w:left="1378" w:hanging="161"/>
      </w:pPr>
      <w:rPr>
        <w:rFonts w:hint="default"/>
      </w:rPr>
    </w:lvl>
    <w:lvl w:ilvl="2">
      <w:start w:val="1"/>
      <w:numFmt w:val="bullet"/>
      <w:lvlText w:val="•"/>
      <w:lvlJc w:val="left"/>
      <w:pPr>
        <w:ind w:left="2657" w:hanging="161"/>
      </w:pPr>
      <w:rPr>
        <w:rFonts w:hint="default"/>
      </w:rPr>
    </w:lvl>
    <w:lvl w:ilvl="3">
      <w:start w:val="1"/>
      <w:numFmt w:val="bullet"/>
      <w:lvlText w:val="•"/>
      <w:lvlJc w:val="left"/>
      <w:pPr>
        <w:ind w:left="3936" w:hanging="161"/>
      </w:pPr>
      <w:rPr>
        <w:rFonts w:hint="default"/>
      </w:rPr>
    </w:lvl>
    <w:lvl w:ilvl="4">
      <w:start w:val="1"/>
      <w:numFmt w:val="bullet"/>
      <w:lvlText w:val="•"/>
      <w:lvlJc w:val="left"/>
      <w:pPr>
        <w:ind w:left="5215" w:hanging="161"/>
      </w:pPr>
      <w:rPr>
        <w:rFonts w:hint="default"/>
      </w:rPr>
    </w:lvl>
    <w:lvl w:ilvl="5">
      <w:start w:val="1"/>
      <w:numFmt w:val="bullet"/>
      <w:lvlText w:val="•"/>
      <w:lvlJc w:val="left"/>
      <w:pPr>
        <w:ind w:left="6493" w:hanging="161"/>
      </w:pPr>
      <w:rPr>
        <w:rFonts w:hint="default"/>
      </w:rPr>
    </w:lvl>
    <w:lvl w:ilvl="6">
      <w:start w:val="1"/>
      <w:numFmt w:val="bullet"/>
      <w:lvlText w:val="•"/>
      <w:lvlJc w:val="left"/>
      <w:pPr>
        <w:ind w:left="7772" w:hanging="161"/>
      </w:pPr>
      <w:rPr>
        <w:rFonts w:hint="default"/>
      </w:rPr>
    </w:lvl>
    <w:lvl w:ilvl="7">
      <w:start w:val="1"/>
      <w:numFmt w:val="bullet"/>
      <w:lvlText w:val="•"/>
      <w:lvlJc w:val="left"/>
      <w:pPr>
        <w:ind w:left="9051" w:hanging="161"/>
      </w:pPr>
      <w:rPr>
        <w:rFonts w:hint="default"/>
      </w:rPr>
    </w:lvl>
    <w:lvl w:ilvl="8">
      <w:start w:val="1"/>
      <w:numFmt w:val="bullet"/>
      <w:lvlText w:val="•"/>
      <w:lvlJc w:val="left"/>
      <w:pPr>
        <w:ind w:left="10330" w:hanging="161"/>
      </w:pPr>
      <w:rPr>
        <w:rFonts w:hint="default"/>
      </w:rPr>
    </w:lvl>
  </w:abstractNum>
  <w:abstractNum w:abstractNumId="78">
    <w:multiLevelType w:val="hybridMultilevel"/>
    <w:lvl w:ilvl="0">
      <w:start w:val="1"/>
      <w:numFmt w:val="bullet"/>
      <w:lvlText w:val="-"/>
      <w:lvlJc w:val="left"/>
      <w:pPr>
        <w:ind w:left="103" w:hanging="144"/>
      </w:pPr>
      <w:rPr>
        <w:rFonts w:hint="default" w:ascii="Arial" w:hAnsi="Arial" w:eastAsia="Arial" w:cs="Arial"/>
        <w:w w:val="100"/>
        <w:sz w:val="22"/>
        <w:szCs w:val="22"/>
      </w:rPr>
    </w:lvl>
    <w:lvl w:ilvl="1">
      <w:start w:val="1"/>
      <w:numFmt w:val="bullet"/>
      <w:lvlText w:val="•"/>
      <w:lvlJc w:val="left"/>
      <w:pPr>
        <w:ind w:left="1378" w:hanging="144"/>
      </w:pPr>
      <w:rPr>
        <w:rFonts w:hint="default"/>
      </w:rPr>
    </w:lvl>
    <w:lvl w:ilvl="2">
      <w:start w:val="1"/>
      <w:numFmt w:val="bullet"/>
      <w:lvlText w:val="•"/>
      <w:lvlJc w:val="left"/>
      <w:pPr>
        <w:ind w:left="2657" w:hanging="144"/>
      </w:pPr>
      <w:rPr>
        <w:rFonts w:hint="default"/>
      </w:rPr>
    </w:lvl>
    <w:lvl w:ilvl="3">
      <w:start w:val="1"/>
      <w:numFmt w:val="bullet"/>
      <w:lvlText w:val="•"/>
      <w:lvlJc w:val="left"/>
      <w:pPr>
        <w:ind w:left="3936" w:hanging="144"/>
      </w:pPr>
      <w:rPr>
        <w:rFonts w:hint="default"/>
      </w:rPr>
    </w:lvl>
    <w:lvl w:ilvl="4">
      <w:start w:val="1"/>
      <w:numFmt w:val="bullet"/>
      <w:lvlText w:val="•"/>
      <w:lvlJc w:val="left"/>
      <w:pPr>
        <w:ind w:left="5215" w:hanging="144"/>
      </w:pPr>
      <w:rPr>
        <w:rFonts w:hint="default"/>
      </w:rPr>
    </w:lvl>
    <w:lvl w:ilvl="5">
      <w:start w:val="1"/>
      <w:numFmt w:val="bullet"/>
      <w:lvlText w:val="•"/>
      <w:lvlJc w:val="left"/>
      <w:pPr>
        <w:ind w:left="6493" w:hanging="144"/>
      </w:pPr>
      <w:rPr>
        <w:rFonts w:hint="default"/>
      </w:rPr>
    </w:lvl>
    <w:lvl w:ilvl="6">
      <w:start w:val="1"/>
      <w:numFmt w:val="bullet"/>
      <w:lvlText w:val="•"/>
      <w:lvlJc w:val="left"/>
      <w:pPr>
        <w:ind w:left="7772" w:hanging="144"/>
      </w:pPr>
      <w:rPr>
        <w:rFonts w:hint="default"/>
      </w:rPr>
    </w:lvl>
    <w:lvl w:ilvl="7">
      <w:start w:val="1"/>
      <w:numFmt w:val="bullet"/>
      <w:lvlText w:val="•"/>
      <w:lvlJc w:val="left"/>
      <w:pPr>
        <w:ind w:left="9051" w:hanging="144"/>
      </w:pPr>
      <w:rPr>
        <w:rFonts w:hint="default"/>
      </w:rPr>
    </w:lvl>
    <w:lvl w:ilvl="8">
      <w:start w:val="1"/>
      <w:numFmt w:val="bullet"/>
      <w:lvlText w:val="•"/>
      <w:lvlJc w:val="left"/>
      <w:pPr>
        <w:ind w:left="10330" w:hanging="144"/>
      </w:pPr>
      <w:rPr>
        <w:rFonts w:hint="default"/>
      </w:rPr>
    </w:lvl>
  </w:abstractNum>
  <w:abstractNum w:abstractNumId="77">
    <w:multiLevelType w:val="hybridMultilevel"/>
    <w:lvl w:ilvl="0">
      <w:start w:val="1"/>
      <w:numFmt w:val="bullet"/>
      <w:lvlText w:val="-"/>
      <w:lvlJc w:val="left"/>
      <w:pPr>
        <w:ind w:left="180" w:hanging="142"/>
      </w:pPr>
      <w:rPr>
        <w:rFonts w:hint="default" w:ascii="Arial" w:hAnsi="Arial" w:eastAsia="Arial" w:cs="Arial"/>
        <w:w w:val="100"/>
        <w:sz w:val="22"/>
        <w:szCs w:val="22"/>
      </w:rPr>
    </w:lvl>
    <w:lvl w:ilvl="1">
      <w:start w:val="1"/>
      <w:numFmt w:val="bullet"/>
      <w:lvlText w:val="•"/>
      <w:lvlJc w:val="left"/>
      <w:pPr>
        <w:ind w:left="1496" w:hanging="142"/>
      </w:pPr>
      <w:rPr>
        <w:rFonts w:hint="default"/>
      </w:rPr>
    </w:lvl>
    <w:lvl w:ilvl="2">
      <w:start w:val="1"/>
      <w:numFmt w:val="bullet"/>
      <w:lvlText w:val="•"/>
      <w:lvlJc w:val="left"/>
      <w:pPr>
        <w:ind w:left="2812" w:hanging="142"/>
      </w:pPr>
      <w:rPr>
        <w:rFonts w:hint="default"/>
      </w:rPr>
    </w:lvl>
    <w:lvl w:ilvl="3">
      <w:start w:val="1"/>
      <w:numFmt w:val="bullet"/>
      <w:lvlText w:val="•"/>
      <w:lvlJc w:val="left"/>
      <w:pPr>
        <w:ind w:left="4128" w:hanging="142"/>
      </w:pPr>
      <w:rPr>
        <w:rFonts w:hint="default"/>
      </w:rPr>
    </w:lvl>
    <w:lvl w:ilvl="4">
      <w:start w:val="1"/>
      <w:numFmt w:val="bullet"/>
      <w:lvlText w:val="•"/>
      <w:lvlJc w:val="left"/>
      <w:pPr>
        <w:ind w:left="5444" w:hanging="142"/>
      </w:pPr>
      <w:rPr>
        <w:rFonts w:hint="default"/>
      </w:rPr>
    </w:lvl>
    <w:lvl w:ilvl="5">
      <w:start w:val="1"/>
      <w:numFmt w:val="bullet"/>
      <w:lvlText w:val="•"/>
      <w:lvlJc w:val="left"/>
      <w:pPr>
        <w:ind w:left="6760" w:hanging="142"/>
      </w:pPr>
      <w:rPr>
        <w:rFonts w:hint="default"/>
      </w:rPr>
    </w:lvl>
    <w:lvl w:ilvl="6">
      <w:start w:val="1"/>
      <w:numFmt w:val="bullet"/>
      <w:lvlText w:val="•"/>
      <w:lvlJc w:val="left"/>
      <w:pPr>
        <w:ind w:left="8076" w:hanging="142"/>
      </w:pPr>
      <w:rPr>
        <w:rFonts w:hint="default"/>
      </w:rPr>
    </w:lvl>
    <w:lvl w:ilvl="7">
      <w:start w:val="1"/>
      <w:numFmt w:val="bullet"/>
      <w:lvlText w:val="•"/>
      <w:lvlJc w:val="left"/>
      <w:pPr>
        <w:ind w:left="9392" w:hanging="142"/>
      </w:pPr>
      <w:rPr>
        <w:rFonts w:hint="default"/>
      </w:rPr>
    </w:lvl>
    <w:lvl w:ilvl="8">
      <w:start w:val="1"/>
      <w:numFmt w:val="bullet"/>
      <w:lvlText w:val="•"/>
      <w:lvlJc w:val="left"/>
      <w:pPr>
        <w:ind w:left="10708" w:hanging="142"/>
      </w:pPr>
      <w:rPr>
        <w:rFonts w:hint="default"/>
      </w:rPr>
    </w:lvl>
  </w:abstractNum>
  <w:abstractNum w:abstractNumId="7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1" w:hanging="672"/>
      </w:pPr>
      <w:rPr>
        <w:rFonts w:hint="default"/>
      </w:rPr>
    </w:lvl>
    <w:lvl w:ilvl="2">
      <w:start w:val="1"/>
      <w:numFmt w:val="bullet"/>
      <w:lvlText w:val="•"/>
      <w:lvlJc w:val="left"/>
      <w:pPr>
        <w:ind w:left="822" w:hanging="672"/>
      </w:pPr>
      <w:rPr>
        <w:rFonts w:hint="default"/>
      </w:rPr>
    </w:lvl>
    <w:lvl w:ilvl="3">
      <w:start w:val="1"/>
      <w:numFmt w:val="bullet"/>
      <w:lvlText w:val="•"/>
      <w:lvlJc w:val="left"/>
      <w:pPr>
        <w:ind w:left="1093" w:hanging="672"/>
      </w:pPr>
      <w:rPr>
        <w:rFonts w:hint="default"/>
      </w:rPr>
    </w:lvl>
    <w:lvl w:ilvl="4">
      <w:start w:val="1"/>
      <w:numFmt w:val="bullet"/>
      <w:lvlText w:val="•"/>
      <w:lvlJc w:val="left"/>
      <w:pPr>
        <w:ind w:left="1364" w:hanging="672"/>
      </w:pPr>
      <w:rPr>
        <w:rFonts w:hint="default"/>
      </w:rPr>
    </w:lvl>
    <w:lvl w:ilvl="5">
      <w:start w:val="1"/>
      <w:numFmt w:val="bullet"/>
      <w:lvlText w:val="•"/>
      <w:lvlJc w:val="left"/>
      <w:pPr>
        <w:ind w:left="1635" w:hanging="672"/>
      </w:pPr>
      <w:rPr>
        <w:rFonts w:hint="default"/>
      </w:rPr>
    </w:lvl>
    <w:lvl w:ilvl="6">
      <w:start w:val="1"/>
      <w:numFmt w:val="bullet"/>
      <w:lvlText w:val="•"/>
      <w:lvlJc w:val="left"/>
      <w:pPr>
        <w:ind w:left="1906" w:hanging="672"/>
      </w:pPr>
      <w:rPr>
        <w:rFonts w:hint="default"/>
      </w:rPr>
    </w:lvl>
    <w:lvl w:ilvl="7">
      <w:start w:val="1"/>
      <w:numFmt w:val="bullet"/>
      <w:lvlText w:val="•"/>
      <w:lvlJc w:val="left"/>
      <w:pPr>
        <w:ind w:left="2177" w:hanging="672"/>
      </w:pPr>
      <w:rPr>
        <w:rFonts w:hint="default"/>
      </w:rPr>
    </w:lvl>
    <w:lvl w:ilvl="8">
      <w:start w:val="1"/>
      <w:numFmt w:val="bullet"/>
      <w:lvlText w:val="•"/>
      <w:lvlJc w:val="left"/>
      <w:pPr>
        <w:ind w:left="2448" w:hanging="672"/>
      </w:pPr>
      <w:rPr>
        <w:rFonts w:hint="default"/>
      </w:rPr>
    </w:lvl>
  </w:abstractNum>
  <w:abstractNum w:abstractNumId="7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1" w:hanging="672"/>
      </w:pPr>
      <w:rPr>
        <w:rFonts w:hint="default"/>
      </w:rPr>
    </w:lvl>
    <w:lvl w:ilvl="2">
      <w:start w:val="1"/>
      <w:numFmt w:val="bullet"/>
      <w:lvlText w:val="•"/>
      <w:lvlJc w:val="left"/>
      <w:pPr>
        <w:ind w:left="822" w:hanging="672"/>
      </w:pPr>
      <w:rPr>
        <w:rFonts w:hint="default"/>
      </w:rPr>
    </w:lvl>
    <w:lvl w:ilvl="3">
      <w:start w:val="1"/>
      <w:numFmt w:val="bullet"/>
      <w:lvlText w:val="•"/>
      <w:lvlJc w:val="left"/>
      <w:pPr>
        <w:ind w:left="1093" w:hanging="672"/>
      </w:pPr>
      <w:rPr>
        <w:rFonts w:hint="default"/>
      </w:rPr>
    </w:lvl>
    <w:lvl w:ilvl="4">
      <w:start w:val="1"/>
      <w:numFmt w:val="bullet"/>
      <w:lvlText w:val="•"/>
      <w:lvlJc w:val="left"/>
      <w:pPr>
        <w:ind w:left="1364" w:hanging="672"/>
      </w:pPr>
      <w:rPr>
        <w:rFonts w:hint="default"/>
      </w:rPr>
    </w:lvl>
    <w:lvl w:ilvl="5">
      <w:start w:val="1"/>
      <w:numFmt w:val="bullet"/>
      <w:lvlText w:val="•"/>
      <w:lvlJc w:val="left"/>
      <w:pPr>
        <w:ind w:left="1635" w:hanging="672"/>
      </w:pPr>
      <w:rPr>
        <w:rFonts w:hint="default"/>
      </w:rPr>
    </w:lvl>
    <w:lvl w:ilvl="6">
      <w:start w:val="1"/>
      <w:numFmt w:val="bullet"/>
      <w:lvlText w:val="•"/>
      <w:lvlJc w:val="left"/>
      <w:pPr>
        <w:ind w:left="1906" w:hanging="672"/>
      </w:pPr>
      <w:rPr>
        <w:rFonts w:hint="default"/>
      </w:rPr>
    </w:lvl>
    <w:lvl w:ilvl="7">
      <w:start w:val="1"/>
      <w:numFmt w:val="bullet"/>
      <w:lvlText w:val="•"/>
      <w:lvlJc w:val="left"/>
      <w:pPr>
        <w:ind w:left="2177" w:hanging="672"/>
      </w:pPr>
      <w:rPr>
        <w:rFonts w:hint="default"/>
      </w:rPr>
    </w:lvl>
    <w:lvl w:ilvl="8">
      <w:start w:val="1"/>
      <w:numFmt w:val="bullet"/>
      <w:lvlText w:val="•"/>
      <w:lvlJc w:val="left"/>
      <w:pPr>
        <w:ind w:left="2448" w:hanging="672"/>
      </w:pPr>
      <w:rPr>
        <w:rFonts w:hint="default"/>
      </w:rPr>
    </w:lvl>
  </w:abstractNum>
  <w:abstractNum w:abstractNumId="74">
    <w:multiLevelType w:val="hybridMultilevel"/>
    <w:lvl w:ilvl="0">
      <w:start w:val="1"/>
      <w:numFmt w:val="bullet"/>
      <w:lvlText w:val=""/>
      <w:lvlJc w:val="left"/>
      <w:pPr>
        <w:ind w:left="811" w:hanging="672"/>
      </w:pPr>
      <w:rPr>
        <w:rFonts w:hint="default" w:ascii="Wingdings" w:hAnsi="Wingdings" w:eastAsia="Wingdings" w:cs="Wingdings"/>
        <w:w w:val="99"/>
        <w:sz w:val="20"/>
        <w:szCs w:val="20"/>
      </w:rPr>
    </w:lvl>
    <w:lvl w:ilvl="1">
      <w:start w:val="1"/>
      <w:numFmt w:val="bullet"/>
      <w:lvlText w:val="•"/>
      <w:lvlJc w:val="left"/>
      <w:pPr>
        <w:ind w:left="1037" w:hanging="672"/>
      </w:pPr>
      <w:rPr>
        <w:rFonts w:hint="default"/>
      </w:rPr>
    </w:lvl>
    <w:lvl w:ilvl="2">
      <w:start w:val="1"/>
      <w:numFmt w:val="bullet"/>
      <w:lvlText w:val="•"/>
      <w:lvlJc w:val="left"/>
      <w:pPr>
        <w:ind w:left="1254" w:hanging="672"/>
      </w:pPr>
      <w:rPr>
        <w:rFonts w:hint="default"/>
      </w:rPr>
    </w:lvl>
    <w:lvl w:ilvl="3">
      <w:start w:val="1"/>
      <w:numFmt w:val="bullet"/>
      <w:lvlText w:val="•"/>
      <w:lvlJc w:val="left"/>
      <w:pPr>
        <w:ind w:left="1471" w:hanging="672"/>
      </w:pPr>
      <w:rPr>
        <w:rFonts w:hint="default"/>
      </w:rPr>
    </w:lvl>
    <w:lvl w:ilvl="4">
      <w:start w:val="1"/>
      <w:numFmt w:val="bullet"/>
      <w:lvlText w:val="•"/>
      <w:lvlJc w:val="left"/>
      <w:pPr>
        <w:ind w:left="1688" w:hanging="672"/>
      </w:pPr>
      <w:rPr>
        <w:rFonts w:hint="default"/>
      </w:rPr>
    </w:lvl>
    <w:lvl w:ilvl="5">
      <w:start w:val="1"/>
      <w:numFmt w:val="bullet"/>
      <w:lvlText w:val="•"/>
      <w:lvlJc w:val="left"/>
      <w:pPr>
        <w:ind w:left="1905" w:hanging="672"/>
      </w:pPr>
      <w:rPr>
        <w:rFonts w:hint="default"/>
      </w:rPr>
    </w:lvl>
    <w:lvl w:ilvl="6">
      <w:start w:val="1"/>
      <w:numFmt w:val="bullet"/>
      <w:lvlText w:val="•"/>
      <w:lvlJc w:val="left"/>
      <w:pPr>
        <w:ind w:left="2122" w:hanging="672"/>
      </w:pPr>
      <w:rPr>
        <w:rFonts w:hint="default"/>
      </w:rPr>
    </w:lvl>
    <w:lvl w:ilvl="7">
      <w:start w:val="1"/>
      <w:numFmt w:val="bullet"/>
      <w:lvlText w:val="•"/>
      <w:lvlJc w:val="left"/>
      <w:pPr>
        <w:ind w:left="2339" w:hanging="672"/>
      </w:pPr>
      <w:rPr>
        <w:rFonts w:hint="default"/>
      </w:rPr>
    </w:lvl>
    <w:lvl w:ilvl="8">
      <w:start w:val="1"/>
      <w:numFmt w:val="bullet"/>
      <w:lvlText w:val="•"/>
      <w:lvlJc w:val="left"/>
      <w:pPr>
        <w:ind w:left="2556" w:hanging="672"/>
      </w:pPr>
      <w:rPr>
        <w:rFonts w:hint="default"/>
      </w:rPr>
    </w:lvl>
  </w:abstractNum>
  <w:abstractNum w:abstractNumId="73">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1" w:hanging="672"/>
      </w:pPr>
      <w:rPr>
        <w:rFonts w:hint="default"/>
      </w:rPr>
    </w:lvl>
    <w:lvl w:ilvl="2">
      <w:start w:val="1"/>
      <w:numFmt w:val="bullet"/>
      <w:lvlText w:val="•"/>
      <w:lvlJc w:val="left"/>
      <w:pPr>
        <w:ind w:left="822" w:hanging="672"/>
      </w:pPr>
      <w:rPr>
        <w:rFonts w:hint="default"/>
      </w:rPr>
    </w:lvl>
    <w:lvl w:ilvl="3">
      <w:start w:val="1"/>
      <w:numFmt w:val="bullet"/>
      <w:lvlText w:val="•"/>
      <w:lvlJc w:val="left"/>
      <w:pPr>
        <w:ind w:left="1093" w:hanging="672"/>
      </w:pPr>
      <w:rPr>
        <w:rFonts w:hint="default"/>
      </w:rPr>
    </w:lvl>
    <w:lvl w:ilvl="4">
      <w:start w:val="1"/>
      <w:numFmt w:val="bullet"/>
      <w:lvlText w:val="•"/>
      <w:lvlJc w:val="left"/>
      <w:pPr>
        <w:ind w:left="1364" w:hanging="672"/>
      </w:pPr>
      <w:rPr>
        <w:rFonts w:hint="default"/>
      </w:rPr>
    </w:lvl>
    <w:lvl w:ilvl="5">
      <w:start w:val="1"/>
      <w:numFmt w:val="bullet"/>
      <w:lvlText w:val="•"/>
      <w:lvlJc w:val="left"/>
      <w:pPr>
        <w:ind w:left="1635" w:hanging="672"/>
      </w:pPr>
      <w:rPr>
        <w:rFonts w:hint="default"/>
      </w:rPr>
    </w:lvl>
    <w:lvl w:ilvl="6">
      <w:start w:val="1"/>
      <w:numFmt w:val="bullet"/>
      <w:lvlText w:val="•"/>
      <w:lvlJc w:val="left"/>
      <w:pPr>
        <w:ind w:left="1906" w:hanging="672"/>
      </w:pPr>
      <w:rPr>
        <w:rFonts w:hint="default"/>
      </w:rPr>
    </w:lvl>
    <w:lvl w:ilvl="7">
      <w:start w:val="1"/>
      <w:numFmt w:val="bullet"/>
      <w:lvlText w:val="•"/>
      <w:lvlJc w:val="left"/>
      <w:pPr>
        <w:ind w:left="2177" w:hanging="672"/>
      </w:pPr>
      <w:rPr>
        <w:rFonts w:hint="default"/>
      </w:rPr>
    </w:lvl>
    <w:lvl w:ilvl="8">
      <w:start w:val="1"/>
      <w:numFmt w:val="bullet"/>
      <w:lvlText w:val="•"/>
      <w:lvlJc w:val="left"/>
      <w:pPr>
        <w:ind w:left="2448" w:hanging="672"/>
      </w:pPr>
      <w:rPr>
        <w:rFonts w:hint="default"/>
      </w:rPr>
    </w:lvl>
  </w:abstractNum>
  <w:abstractNum w:abstractNumId="72">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1" w:hanging="672"/>
      </w:pPr>
      <w:rPr>
        <w:rFonts w:hint="default"/>
      </w:rPr>
    </w:lvl>
    <w:lvl w:ilvl="2">
      <w:start w:val="1"/>
      <w:numFmt w:val="bullet"/>
      <w:lvlText w:val="•"/>
      <w:lvlJc w:val="left"/>
      <w:pPr>
        <w:ind w:left="822" w:hanging="672"/>
      </w:pPr>
      <w:rPr>
        <w:rFonts w:hint="default"/>
      </w:rPr>
    </w:lvl>
    <w:lvl w:ilvl="3">
      <w:start w:val="1"/>
      <w:numFmt w:val="bullet"/>
      <w:lvlText w:val="•"/>
      <w:lvlJc w:val="left"/>
      <w:pPr>
        <w:ind w:left="1093" w:hanging="672"/>
      </w:pPr>
      <w:rPr>
        <w:rFonts w:hint="default"/>
      </w:rPr>
    </w:lvl>
    <w:lvl w:ilvl="4">
      <w:start w:val="1"/>
      <w:numFmt w:val="bullet"/>
      <w:lvlText w:val="•"/>
      <w:lvlJc w:val="left"/>
      <w:pPr>
        <w:ind w:left="1364" w:hanging="672"/>
      </w:pPr>
      <w:rPr>
        <w:rFonts w:hint="default"/>
      </w:rPr>
    </w:lvl>
    <w:lvl w:ilvl="5">
      <w:start w:val="1"/>
      <w:numFmt w:val="bullet"/>
      <w:lvlText w:val="•"/>
      <w:lvlJc w:val="left"/>
      <w:pPr>
        <w:ind w:left="1635" w:hanging="672"/>
      </w:pPr>
      <w:rPr>
        <w:rFonts w:hint="default"/>
      </w:rPr>
    </w:lvl>
    <w:lvl w:ilvl="6">
      <w:start w:val="1"/>
      <w:numFmt w:val="bullet"/>
      <w:lvlText w:val="•"/>
      <w:lvlJc w:val="left"/>
      <w:pPr>
        <w:ind w:left="1906" w:hanging="672"/>
      </w:pPr>
      <w:rPr>
        <w:rFonts w:hint="default"/>
      </w:rPr>
    </w:lvl>
    <w:lvl w:ilvl="7">
      <w:start w:val="1"/>
      <w:numFmt w:val="bullet"/>
      <w:lvlText w:val="•"/>
      <w:lvlJc w:val="left"/>
      <w:pPr>
        <w:ind w:left="2177" w:hanging="672"/>
      </w:pPr>
      <w:rPr>
        <w:rFonts w:hint="default"/>
      </w:rPr>
    </w:lvl>
    <w:lvl w:ilvl="8">
      <w:start w:val="1"/>
      <w:numFmt w:val="bullet"/>
      <w:lvlText w:val="•"/>
      <w:lvlJc w:val="left"/>
      <w:pPr>
        <w:ind w:left="2448" w:hanging="672"/>
      </w:pPr>
      <w:rPr>
        <w:rFonts w:hint="default"/>
      </w:rPr>
    </w:lvl>
  </w:abstractNum>
  <w:abstractNum w:abstractNumId="71">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1" w:hanging="672"/>
      </w:pPr>
      <w:rPr>
        <w:rFonts w:hint="default"/>
      </w:rPr>
    </w:lvl>
    <w:lvl w:ilvl="2">
      <w:start w:val="1"/>
      <w:numFmt w:val="bullet"/>
      <w:lvlText w:val="•"/>
      <w:lvlJc w:val="left"/>
      <w:pPr>
        <w:ind w:left="822" w:hanging="672"/>
      </w:pPr>
      <w:rPr>
        <w:rFonts w:hint="default"/>
      </w:rPr>
    </w:lvl>
    <w:lvl w:ilvl="3">
      <w:start w:val="1"/>
      <w:numFmt w:val="bullet"/>
      <w:lvlText w:val="•"/>
      <w:lvlJc w:val="left"/>
      <w:pPr>
        <w:ind w:left="1093" w:hanging="672"/>
      </w:pPr>
      <w:rPr>
        <w:rFonts w:hint="default"/>
      </w:rPr>
    </w:lvl>
    <w:lvl w:ilvl="4">
      <w:start w:val="1"/>
      <w:numFmt w:val="bullet"/>
      <w:lvlText w:val="•"/>
      <w:lvlJc w:val="left"/>
      <w:pPr>
        <w:ind w:left="1364" w:hanging="672"/>
      </w:pPr>
      <w:rPr>
        <w:rFonts w:hint="default"/>
      </w:rPr>
    </w:lvl>
    <w:lvl w:ilvl="5">
      <w:start w:val="1"/>
      <w:numFmt w:val="bullet"/>
      <w:lvlText w:val="•"/>
      <w:lvlJc w:val="left"/>
      <w:pPr>
        <w:ind w:left="1635" w:hanging="672"/>
      </w:pPr>
      <w:rPr>
        <w:rFonts w:hint="default"/>
      </w:rPr>
    </w:lvl>
    <w:lvl w:ilvl="6">
      <w:start w:val="1"/>
      <w:numFmt w:val="bullet"/>
      <w:lvlText w:val="•"/>
      <w:lvlJc w:val="left"/>
      <w:pPr>
        <w:ind w:left="1906" w:hanging="672"/>
      </w:pPr>
      <w:rPr>
        <w:rFonts w:hint="default"/>
      </w:rPr>
    </w:lvl>
    <w:lvl w:ilvl="7">
      <w:start w:val="1"/>
      <w:numFmt w:val="bullet"/>
      <w:lvlText w:val="•"/>
      <w:lvlJc w:val="left"/>
      <w:pPr>
        <w:ind w:left="2177" w:hanging="672"/>
      </w:pPr>
      <w:rPr>
        <w:rFonts w:hint="default"/>
      </w:rPr>
    </w:lvl>
    <w:lvl w:ilvl="8">
      <w:start w:val="1"/>
      <w:numFmt w:val="bullet"/>
      <w:lvlText w:val="•"/>
      <w:lvlJc w:val="left"/>
      <w:pPr>
        <w:ind w:left="2448" w:hanging="672"/>
      </w:pPr>
      <w:rPr>
        <w:rFonts w:hint="default"/>
      </w:rPr>
    </w:lvl>
  </w:abstractNum>
  <w:abstractNum w:abstractNumId="70">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1" w:hanging="672"/>
      </w:pPr>
      <w:rPr>
        <w:rFonts w:hint="default"/>
      </w:rPr>
    </w:lvl>
    <w:lvl w:ilvl="2">
      <w:start w:val="1"/>
      <w:numFmt w:val="bullet"/>
      <w:lvlText w:val="•"/>
      <w:lvlJc w:val="left"/>
      <w:pPr>
        <w:ind w:left="822" w:hanging="672"/>
      </w:pPr>
      <w:rPr>
        <w:rFonts w:hint="default"/>
      </w:rPr>
    </w:lvl>
    <w:lvl w:ilvl="3">
      <w:start w:val="1"/>
      <w:numFmt w:val="bullet"/>
      <w:lvlText w:val="•"/>
      <w:lvlJc w:val="left"/>
      <w:pPr>
        <w:ind w:left="1093" w:hanging="672"/>
      </w:pPr>
      <w:rPr>
        <w:rFonts w:hint="default"/>
      </w:rPr>
    </w:lvl>
    <w:lvl w:ilvl="4">
      <w:start w:val="1"/>
      <w:numFmt w:val="bullet"/>
      <w:lvlText w:val="•"/>
      <w:lvlJc w:val="left"/>
      <w:pPr>
        <w:ind w:left="1364" w:hanging="672"/>
      </w:pPr>
      <w:rPr>
        <w:rFonts w:hint="default"/>
      </w:rPr>
    </w:lvl>
    <w:lvl w:ilvl="5">
      <w:start w:val="1"/>
      <w:numFmt w:val="bullet"/>
      <w:lvlText w:val="•"/>
      <w:lvlJc w:val="left"/>
      <w:pPr>
        <w:ind w:left="1635" w:hanging="672"/>
      </w:pPr>
      <w:rPr>
        <w:rFonts w:hint="default"/>
      </w:rPr>
    </w:lvl>
    <w:lvl w:ilvl="6">
      <w:start w:val="1"/>
      <w:numFmt w:val="bullet"/>
      <w:lvlText w:val="•"/>
      <w:lvlJc w:val="left"/>
      <w:pPr>
        <w:ind w:left="1906" w:hanging="672"/>
      </w:pPr>
      <w:rPr>
        <w:rFonts w:hint="default"/>
      </w:rPr>
    </w:lvl>
    <w:lvl w:ilvl="7">
      <w:start w:val="1"/>
      <w:numFmt w:val="bullet"/>
      <w:lvlText w:val="•"/>
      <w:lvlJc w:val="left"/>
      <w:pPr>
        <w:ind w:left="2177" w:hanging="672"/>
      </w:pPr>
      <w:rPr>
        <w:rFonts w:hint="default"/>
      </w:rPr>
    </w:lvl>
    <w:lvl w:ilvl="8">
      <w:start w:val="1"/>
      <w:numFmt w:val="bullet"/>
      <w:lvlText w:val="•"/>
      <w:lvlJc w:val="left"/>
      <w:pPr>
        <w:ind w:left="2448" w:hanging="672"/>
      </w:pPr>
      <w:rPr>
        <w:rFonts w:hint="default"/>
      </w:rPr>
    </w:lvl>
  </w:abstractNum>
  <w:abstractNum w:abstractNumId="69">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1" w:hanging="672"/>
      </w:pPr>
      <w:rPr>
        <w:rFonts w:hint="default"/>
      </w:rPr>
    </w:lvl>
    <w:lvl w:ilvl="2">
      <w:start w:val="1"/>
      <w:numFmt w:val="bullet"/>
      <w:lvlText w:val="•"/>
      <w:lvlJc w:val="left"/>
      <w:pPr>
        <w:ind w:left="822" w:hanging="672"/>
      </w:pPr>
      <w:rPr>
        <w:rFonts w:hint="default"/>
      </w:rPr>
    </w:lvl>
    <w:lvl w:ilvl="3">
      <w:start w:val="1"/>
      <w:numFmt w:val="bullet"/>
      <w:lvlText w:val="•"/>
      <w:lvlJc w:val="left"/>
      <w:pPr>
        <w:ind w:left="1093" w:hanging="672"/>
      </w:pPr>
      <w:rPr>
        <w:rFonts w:hint="default"/>
      </w:rPr>
    </w:lvl>
    <w:lvl w:ilvl="4">
      <w:start w:val="1"/>
      <w:numFmt w:val="bullet"/>
      <w:lvlText w:val="•"/>
      <w:lvlJc w:val="left"/>
      <w:pPr>
        <w:ind w:left="1364" w:hanging="672"/>
      </w:pPr>
      <w:rPr>
        <w:rFonts w:hint="default"/>
      </w:rPr>
    </w:lvl>
    <w:lvl w:ilvl="5">
      <w:start w:val="1"/>
      <w:numFmt w:val="bullet"/>
      <w:lvlText w:val="•"/>
      <w:lvlJc w:val="left"/>
      <w:pPr>
        <w:ind w:left="1635" w:hanging="672"/>
      </w:pPr>
      <w:rPr>
        <w:rFonts w:hint="default"/>
      </w:rPr>
    </w:lvl>
    <w:lvl w:ilvl="6">
      <w:start w:val="1"/>
      <w:numFmt w:val="bullet"/>
      <w:lvlText w:val="•"/>
      <w:lvlJc w:val="left"/>
      <w:pPr>
        <w:ind w:left="1906" w:hanging="672"/>
      </w:pPr>
      <w:rPr>
        <w:rFonts w:hint="default"/>
      </w:rPr>
    </w:lvl>
    <w:lvl w:ilvl="7">
      <w:start w:val="1"/>
      <w:numFmt w:val="bullet"/>
      <w:lvlText w:val="•"/>
      <w:lvlJc w:val="left"/>
      <w:pPr>
        <w:ind w:left="2177" w:hanging="672"/>
      </w:pPr>
      <w:rPr>
        <w:rFonts w:hint="default"/>
      </w:rPr>
    </w:lvl>
    <w:lvl w:ilvl="8">
      <w:start w:val="1"/>
      <w:numFmt w:val="bullet"/>
      <w:lvlText w:val="•"/>
      <w:lvlJc w:val="left"/>
      <w:pPr>
        <w:ind w:left="2448" w:hanging="672"/>
      </w:pPr>
      <w:rPr>
        <w:rFonts w:hint="default"/>
      </w:rPr>
    </w:lvl>
  </w:abstractNum>
  <w:abstractNum w:abstractNumId="68">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1" w:hanging="672"/>
      </w:pPr>
      <w:rPr>
        <w:rFonts w:hint="default"/>
      </w:rPr>
    </w:lvl>
    <w:lvl w:ilvl="2">
      <w:start w:val="1"/>
      <w:numFmt w:val="bullet"/>
      <w:lvlText w:val="•"/>
      <w:lvlJc w:val="left"/>
      <w:pPr>
        <w:ind w:left="822" w:hanging="672"/>
      </w:pPr>
      <w:rPr>
        <w:rFonts w:hint="default"/>
      </w:rPr>
    </w:lvl>
    <w:lvl w:ilvl="3">
      <w:start w:val="1"/>
      <w:numFmt w:val="bullet"/>
      <w:lvlText w:val="•"/>
      <w:lvlJc w:val="left"/>
      <w:pPr>
        <w:ind w:left="1093" w:hanging="672"/>
      </w:pPr>
      <w:rPr>
        <w:rFonts w:hint="default"/>
      </w:rPr>
    </w:lvl>
    <w:lvl w:ilvl="4">
      <w:start w:val="1"/>
      <w:numFmt w:val="bullet"/>
      <w:lvlText w:val="•"/>
      <w:lvlJc w:val="left"/>
      <w:pPr>
        <w:ind w:left="1364" w:hanging="672"/>
      </w:pPr>
      <w:rPr>
        <w:rFonts w:hint="default"/>
      </w:rPr>
    </w:lvl>
    <w:lvl w:ilvl="5">
      <w:start w:val="1"/>
      <w:numFmt w:val="bullet"/>
      <w:lvlText w:val="•"/>
      <w:lvlJc w:val="left"/>
      <w:pPr>
        <w:ind w:left="1635" w:hanging="672"/>
      </w:pPr>
      <w:rPr>
        <w:rFonts w:hint="default"/>
      </w:rPr>
    </w:lvl>
    <w:lvl w:ilvl="6">
      <w:start w:val="1"/>
      <w:numFmt w:val="bullet"/>
      <w:lvlText w:val="•"/>
      <w:lvlJc w:val="left"/>
      <w:pPr>
        <w:ind w:left="1906" w:hanging="672"/>
      </w:pPr>
      <w:rPr>
        <w:rFonts w:hint="default"/>
      </w:rPr>
    </w:lvl>
    <w:lvl w:ilvl="7">
      <w:start w:val="1"/>
      <w:numFmt w:val="bullet"/>
      <w:lvlText w:val="•"/>
      <w:lvlJc w:val="left"/>
      <w:pPr>
        <w:ind w:left="2177" w:hanging="672"/>
      </w:pPr>
      <w:rPr>
        <w:rFonts w:hint="default"/>
      </w:rPr>
    </w:lvl>
    <w:lvl w:ilvl="8">
      <w:start w:val="1"/>
      <w:numFmt w:val="bullet"/>
      <w:lvlText w:val="•"/>
      <w:lvlJc w:val="left"/>
      <w:pPr>
        <w:ind w:left="2448" w:hanging="672"/>
      </w:pPr>
      <w:rPr>
        <w:rFonts w:hint="default"/>
      </w:rPr>
    </w:lvl>
  </w:abstractNum>
  <w:abstractNum w:abstractNumId="67">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1" w:hanging="672"/>
      </w:pPr>
      <w:rPr>
        <w:rFonts w:hint="default"/>
      </w:rPr>
    </w:lvl>
    <w:lvl w:ilvl="2">
      <w:start w:val="1"/>
      <w:numFmt w:val="bullet"/>
      <w:lvlText w:val="•"/>
      <w:lvlJc w:val="left"/>
      <w:pPr>
        <w:ind w:left="822" w:hanging="672"/>
      </w:pPr>
      <w:rPr>
        <w:rFonts w:hint="default"/>
      </w:rPr>
    </w:lvl>
    <w:lvl w:ilvl="3">
      <w:start w:val="1"/>
      <w:numFmt w:val="bullet"/>
      <w:lvlText w:val="•"/>
      <w:lvlJc w:val="left"/>
      <w:pPr>
        <w:ind w:left="1093" w:hanging="672"/>
      </w:pPr>
      <w:rPr>
        <w:rFonts w:hint="default"/>
      </w:rPr>
    </w:lvl>
    <w:lvl w:ilvl="4">
      <w:start w:val="1"/>
      <w:numFmt w:val="bullet"/>
      <w:lvlText w:val="•"/>
      <w:lvlJc w:val="left"/>
      <w:pPr>
        <w:ind w:left="1364" w:hanging="672"/>
      </w:pPr>
      <w:rPr>
        <w:rFonts w:hint="default"/>
      </w:rPr>
    </w:lvl>
    <w:lvl w:ilvl="5">
      <w:start w:val="1"/>
      <w:numFmt w:val="bullet"/>
      <w:lvlText w:val="•"/>
      <w:lvlJc w:val="left"/>
      <w:pPr>
        <w:ind w:left="1635" w:hanging="672"/>
      </w:pPr>
      <w:rPr>
        <w:rFonts w:hint="default"/>
      </w:rPr>
    </w:lvl>
    <w:lvl w:ilvl="6">
      <w:start w:val="1"/>
      <w:numFmt w:val="bullet"/>
      <w:lvlText w:val="•"/>
      <w:lvlJc w:val="left"/>
      <w:pPr>
        <w:ind w:left="1906" w:hanging="672"/>
      </w:pPr>
      <w:rPr>
        <w:rFonts w:hint="default"/>
      </w:rPr>
    </w:lvl>
    <w:lvl w:ilvl="7">
      <w:start w:val="1"/>
      <w:numFmt w:val="bullet"/>
      <w:lvlText w:val="•"/>
      <w:lvlJc w:val="left"/>
      <w:pPr>
        <w:ind w:left="2177" w:hanging="672"/>
      </w:pPr>
      <w:rPr>
        <w:rFonts w:hint="default"/>
      </w:rPr>
    </w:lvl>
    <w:lvl w:ilvl="8">
      <w:start w:val="1"/>
      <w:numFmt w:val="bullet"/>
      <w:lvlText w:val="•"/>
      <w:lvlJc w:val="left"/>
      <w:pPr>
        <w:ind w:left="2448" w:hanging="672"/>
      </w:pPr>
      <w:rPr>
        <w:rFonts w:hint="default"/>
      </w:rPr>
    </w:lvl>
  </w:abstractNum>
  <w:abstractNum w:abstractNumId="66">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1" w:hanging="672"/>
      </w:pPr>
      <w:rPr>
        <w:rFonts w:hint="default"/>
      </w:rPr>
    </w:lvl>
    <w:lvl w:ilvl="2">
      <w:start w:val="1"/>
      <w:numFmt w:val="bullet"/>
      <w:lvlText w:val="•"/>
      <w:lvlJc w:val="left"/>
      <w:pPr>
        <w:ind w:left="822" w:hanging="672"/>
      </w:pPr>
      <w:rPr>
        <w:rFonts w:hint="default"/>
      </w:rPr>
    </w:lvl>
    <w:lvl w:ilvl="3">
      <w:start w:val="1"/>
      <w:numFmt w:val="bullet"/>
      <w:lvlText w:val="•"/>
      <w:lvlJc w:val="left"/>
      <w:pPr>
        <w:ind w:left="1093" w:hanging="672"/>
      </w:pPr>
      <w:rPr>
        <w:rFonts w:hint="default"/>
      </w:rPr>
    </w:lvl>
    <w:lvl w:ilvl="4">
      <w:start w:val="1"/>
      <w:numFmt w:val="bullet"/>
      <w:lvlText w:val="•"/>
      <w:lvlJc w:val="left"/>
      <w:pPr>
        <w:ind w:left="1364" w:hanging="672"/>
      </w:pPr>
      <w:rPr>
        <w:rFonts w:hint="default"/>
      </w:rPr>
    </w:lvl>
    <w:lvl w:ilvl="5">
      <w:start w:val="1"/>
      <w:numFmt w:val="bullet"/>
      <w:lvlText w:val="•"/>
      <w:lvlJc w:val="left"/>
      <w:pPr>
        <w:ind w:left="1635" w:hanging="672"/>
      </w:pPr>
      <w:rPr>
        <w:rFonts w:hint="default"/>
      </w:rPr>
    </w:lvl>
    <w:lvl w:ilvl="6">
      <w:start w:val="1"/>
      <w:numFmt w:val="bullet"/>
      <w:lvlText w:val="•"/>
      <w:lvlJc w:val="left"/>
      <w:pPr>
        <w:ind w:left="1906" w:hanging="672"/>
      </w:pPr>
      <w:rPr>
        <w:rFonts w:hint="default"/>
      </w:rPr>
    </w:lvl>
    <w:lvl w:ilvl="7">
      <w:start w:val="1"/>
      <w:numFmt w:val="bullet"/>
      <w:lvlText w:val="•"/>
      <w:lvlJc w:val="left"/>
      <w:pPr>
        <w:ind w:left="2177" w:hanging="672"/>
      </w:pPr>
      <w:rPr>
        <w:rFonts w:hint="default"/>
      </w:rPr>
    </w:lvl>
    <w:lvl w:ilvl="8">
      <w:start w:val="1"/>
      <w:numFmt w:val="bullet"/>
      <w:lvlText w:val="•"/>
      <w:lvlJc w:val="left"/>
      <w:pPr>
        <w:ind w:left="2448" w:hanging="672"/>
      </w:pPr>
      <w:rPr>
        <w:rFonts w:hint="default"/>
      </w:rPr>
    </w:lvl>
  </w:abstractNum>
  <w:abstractNum w:abstractNumId="65">
    <w:multiLevelType w:val="hybridMultilevel"/>
    <w:lvl w:ilvl="0">
      <w:start w:val="1"/>
      <w:numFmt w:val="bullet"/>
      <w:lvlText w:val=""/>
      <w:lvlJc w:val="left"/>
      <w:pPr>
        <w:ind w:left="280" w:hanging="672"/>
      </w:pPr>
      <w:rPr>
        <w:rFonts w:hint="default" w:ascii="Wingdings" w:hAnsi="Wingdings" w:eastAsia="Wingdings" w:cs="Wingdings"/>
        <w:w w:val="99"/>
        <w:sz w:val="20"/>
        <w:szCs w:val="20"/>
      </w:rPr>
    </w:lvl>
    <w:lvl w:ilvl="1">
      <w:start w:val="1"/>
      <w:numFmt w:val="bullet"/>
      <w:lvlText w:val="•"/>
      <w:lvlJc w:val="left"/>
      <w:pPr>
        <w:ind w:left="551" w:hanging="672"/>
      </w:pPr>
      <w:rPr>
        <w:rFonts w:hint="default"/>
      </w:rPr>
    </w:lvl>
    <w:lvl w:ilvl="2">
      <w:start w:val="1"/>
      <w:numFmt w:val="bullet"/>
      <w:lvlText w:val="•"/>
      <w:lvlJc w:val="left"/>
      <w:pPr>
        <w:ind w:left="822" w:hanging="672"/>
      </w:pPr>
      <w:rPr>
        <w:rFonts w:hint="default"/>
      </w:rPr>
    </w:lvl>
    <w:lvl w:ilvl="3">
      <w:start w:val="1"/>
      <w:numFmt w:val="bullet"/>
      <w:lvlText w:val="•"/>
      <w:lvlJc w:val="left"/>
      <w:pPr>
        <w:ind w:left="1093" w:hanging="672"/>
      </w:pPr>
      <w:rPr>
        <w:rFonts w:hint="default"/>
      </w:rPr>
    </w:lvl>
    <w:lvl w:ilvl="4">
      <w:start w:val="1"/>
      <w:numFmt w:val="bullet"/>
      <w:lvlText w:val="•"/>
      <w:lvlJc w:val="left"/>
      <w:pPr>
        <w:ind w:left="1364" w:hanging="672"/>
      </w:pPr>
      <w:rPr>
        <w:rFonts w:hint="default"/>
      </w:rPr>
    </w:lvl>
    <w:lvl w:ilvl="5">
      <w:start w:val="1"/>
      <w:numFmt w:val="bullet"/>
      <w:lvlText w:val="•"/>
      <w:lvlJc w:val="left"/>
      <w:pPr>
        <w:ind w:left="1635" w:hanging="672"/>
      </w:pPr>
      <w:rPr>
        <w:rFonts w:hint="default"/>
      </w:rPr>
    </w:lvl>
    <w:lvl w:ilvl="6">
      <w:start w:val="1"/>
      <w:numFmt w:val="bullet"/>
      <w:lvlText w:val="•"/>
      <w:lvlJc w:val="left"/>
      <w:pPr>
        <w:ind w:left="1906" w:hanging="672"/>
      </w:pPr>
      <w:rPr>
        <w:rFonts w:hint="default"/>
      </w:rPr>
    </w:lvl>
    <w:lvl w:ilvl="7">
      <w:start w:val="1"/>
      <w:numFmt w:val="bullet"/>
      <w:lvlText w:val="•"/>
      <w:lvlJc w:val="left"/>
      <w:pPr>
        <w:ind w:left="2177" w:hanging="672"/>
      </w:pPr>
      <w:rPr>
        <w:rFonts w:hint="default"/>
      </w:rPr>
    </w:lvl>
    <w:lvl w:ilvl="8">
      <w:start w:val="1"/>
      <w:numFmt w:val="bullet"/>
      <w:lvlText w:val="•"/>
      <w:lvlJc w:val="left"/>
      <w:pPr>
        <w:ind w:left="2448" w:hanging="672"/>
      </w:pPr>
      <w:rPr>
        <w:rFonts w:hint="default"/>
      </w:rPr>
    </w:lvl>
  </w:abstractNum>
  <w:abstractNum w:abstractNumId="64">
    <w:multiLevelType w:val="hybridMultilevel"/>
    <w:lvl w:ilvl="0">
      <w:start w:val="1"/>
      <w:numFmt w:val="bullet"/>
      <w:lvlText w:val="-"/>
      <w:lvlJc w:val="left"/>
      <w:pPr>
        <w:ind w:left="179" w:hanging="248"/>
      </w:pPr>
      <w:rPr>
        <w:rFonts w:hint="default" w:ascii="Arial" w:hAnsi="Arial" w:eastAsia="Arial" w:cs="Arial"/>
        <w:b/>
        <w:bCs/>
        <w:w w:val="122"/>
        <w:sz w:val="14"/>
        <w:szCs w:val="14"/>
      </w:rPr>
    </w:lvl>
    <w:lvl w:ilvl="1">
      <w:start w:val="1"/>
      <w:numFmt w:val="bullet"/>
      <w:lvlText w:val="-"/>
      <w:lvlJc w:val="left"/>
      <w:pPr>
        <w:ind w:left="547" w:hanging="106"/>
      </w:pPr>
      <w:rPr>
        <w:rFonts w:hint="default" w:ascii="Arial" w:hAnsi="Arial" w:eastAsia="Arial" w:cs="Arial"/>
        <w:b/>
        <w:bCs/>
        <w:w w:val="122"/>
        <w:sz w:val="14"/>
        <w:szCs w:val="14"/>
      </w:rPr>
    </w:lvl>
    <w:lvl w:ilvl="2">
      <w:start w:val="1"/>
      <w:numFmt w:val="bullet"/>
      <w:lvlText w:val="•"/>
      <w:lvlJc w:val="left"/>
      <w:pPr>
        <w:ind w:left="475" w:hanging="106"/>
      </w:pPr>
      <w:rPr>
        <w:rFonts w:hint="default"/>
      </w:rPr>
    </w:lvl>
    <w:lvl w:ilvl="3">
      <w:start w:val="1"/>
      <w:numFmt w:val="bullet"/>
      <w:lvlText w:val="•"/>
      <w:lvlJc w:val="left"/>
      <w:pPr>
        <w:ind w:left="411" w:hanging="106"/>
      </w:pPr>
      <w:rPr>
        <w:rFonts w:hint="default"/>
      </w:rPr>
    </w:lvl>
    <w:lvl w:ilvl="4">
      <w:start w:val="1"/>
      <w:numFmt w:val="bullet"/>
      <w:lvlText w:val="•"/>
      <w:lvlJc w:val="left"/>
      <w:pPr>
        <w:ind w:left="346" w:hanging="106"/>
      </w:pPr>
      <w:rPr>
        <w:rFonts w:hint="default"/>
      </w:rPr>
    </w:lvl>
    <w:lvl w:ilvl="5">
      <w:start w:val="1"/>
      <w:numFmt w:val="bullet"/>
      <w:lvlText w:val="•"/>
      <w:lvlJc w:val="left"/>
      <w:pPr>
        <w:ind w:left="282" w:hanging="106"/>
      </w:pPr>
      <w:rPr>
        <w:rFonts w:hint="default"/>
      </w:rPr>
    </w:lvl>
    <w:lvl w:ilvl="6">
      <w:start w:val="1"/>
      <w:numFmt w:val="bullet"/>
      <w:lvlText w:val="•"/>
      <w:lvlJc w:val="left"/>
      <w:pPr>
        <w:ind w:left="217" w:hanging="106"/>
      </w:pPr>
      <w:rPr>
        <w:rFonts w:hint="default"/>
      </w:rPr>
    </w:lvl>
    <w:lvl w:ilvl="7">
      <w:start w:val="1"/>
      <w:numFmt w:val="bullet"/>
      <w:lvlText w:val="•"/>
      <w:lvlJc w:val="left"/>
      <w:pPr>
        <w:ind w:left="153" w:hanging="106"/>
      </w:pPr>
      <w:rPr>
        <w:rFonts w:hint="default"/>
      </w:rPr>
    </w:lvl>
    <w:lvl w:ilvl="8">
      <w:start w:val="1"/>
      <w:numFmt w:val="bullet"/>
      <w:lvlText w:val="•"/>
      <w:lvlJc w:val="left"/>
      <w:pPr>
        <w:ind w:left="88" w:hanging="106"/>
      </w:pPr>
      <w:rPr>
        <w:rFonts w:hint="default"/>
      </w:rPr>
    </w:lvl>
  </w:abstractNum>
  <w:abstractNum w:abstractNumId="63">
    <w:multiLevelType w:val="hybridMultilevel"/>
    <w:lvl w:ilvl="0">
      <w:start w:val="1"/>
      <w:numFmt w:val="bullet"/>
      <w:lvlText w:val="-"/>
      <w:lvlJc w:val="left"/>
      <w:pPr>
        <w:ind w:left="743" w:hanging="106"/>
      </w:pPr>
      <w:rPr>
        <w:rFonts w:hint="default" w:ascii="Arial" w:hAnsi="Arial" w:eastAsia="Arial" w:cs="Arial"/>
        <w:b/>
        <w:bCs/>
        <w:w w:val="122"/>
        <w:sz w:val="14"/>
        <w:szCs w:val="14"/>
      </w:rPr>
    </w:lvl>
    <w:lvl w:ilvl="1">
      <w:start w:val="1"/>
      <w:numFmt w:val="bullet"/>
      <w:lvlText w:val="•"/>
      <w:lvlJc w:val="left"/>
      <w:pPr>
        <w:ind w:left="934" w:hanging="106"/>
      </w:pPr>
      <w:rPr>
        <w:rFonts w:hint="default"/>
      </w:rPr>
    </w:lvl>
    <w:lvl w:ilvl="2">
      <w:start w:val="1"/>
      <w:numFmt w:val="bullet"/>
      <w:lvlText w:val="•"/>
      <w:lvlJc w:val="left"/>
      <w:pPr>
        <w:ind w:left="1129" w:hanging="106"/>
      </w:pPr>
      <w:rPr>
        <w:rFonts w:hint="default"/>
      </w:rPr>
    </w:lvl>
    <w:lvl w:ilvl="3">
      <w:start w:val="1"/>
      <w:numFmt w:val="bullet"/>
      <w:lvlText w:val="•"/>
      <w:lvlJc w:val="left"/>
      <w:pPr>
        <w:ind w:left="1324" w:hanging="106"/>
      </w:pPr>
      <w:rPr>
        <w:rFonts w:hint="default"/>
      </w:rPr>
    </w:lvl>
    <w:lvl w:ilvl="4">
      <w:start w:val="1"/>
      <w:numFmt w:val="bullet"/>
      <w:lvlText w:val="•"/>
      <w:lvlJc w:val="left"/>
      <w:pPr>
        <w:ind w:left="1519" w:hanging="106"/>
      </w:pPr>
      <w:rPr>
        <w:rFonts w:hint="default"/>
      </w:rPr>
    </w:lvl>
    <w:lvl w:ilvl="5">
      <w:start w:val="1"/>
      <w:numFmt w:val="bullet"/>
      <w:lvlText w:val="•"/>
      <w:lvlJc w:val="left"/>
      <w:pPr>
        <w:ind w:left="1714" w:hanging="106"/>
      </w:pPr>
      <w:rPr>
        <w:rFonts w:hint="default"/>
      </w:rPr>
    </w:lvl>
    <w:lvl w:ilvl="6">
      <w:start w:val="1"/>
      <w:numFmt w:val="bullet"/>
      <w:lvlText w:val="•"/>
      <w:lvlJc w:val="left"/>
      <w:pPr>
        <w:ind w:left="1909" w:hanging="106"/>
      </w:pPr>
      <w:rPr>
        <w:rFonts w:hint="default"/>
      </w:rPr>
    </w:lvl>
    <w:lvl w:ilvl="7">
      <w:start w:val="1"/>
      <w:numFmt w:val="bullet"/>
      <w:lvlText w:val="•"/>
      <w:lvlJc w:val="left"/>
      <w:pPr>
        <w:ind w:left="2104" w:hanging="106"/>
      </w:pPr>
      <w:rPr>
        <w:rFonts w:hint="default"/>
      </w:rPr>
    </w:lvl>
    <w:lvl w:ilvl="8">
      <w:start w:val="1"/>
      <w:numFmt w:val="bullet"/>
      <w:lvlText w:val="•"/>
      <w:lvlJc w:val="left"/>
      <w:pPr>
        <w:ind w:left="2299" w:hanging="106"/>
      </w:pPr>
      <w:rPr>
        <w:rFonts w:hint="default"/>
      </w:rPr>
    </w:lvl>
  </w:abstractNum>
  <w:abstractNum w:abstractNumId="62">
    <w:multiLevelType w:val="hybridMultilevel"/>
    <w:lvl w:ilvl="0">
      <w:start w:val="1"/>
      <w:numFmt w:val="bullet"/>
      <w:lvlText w:val="-"/>
      <w:lvlJc w:val="left"/>
      <w:pPr>
        <w:ind w:left="553" w:hanging="106"/>
      </w:pPr>
      <w:rPr>
        <w:rFonts w:hint="default" w:ascii="Arial" w:hAnsi="Arial" w:eastAsia="Arial" w:cs="Arial"/>
        <w:b/>
        <w:bCs/>
        <w:w w:val="122"/>
        <w:sz w:val="14"/>
        <w:szCs w:val="14"/>
      </w:rPr>
    </w:lvl>
    <w:lvl w:ilvl="1">
      <w:start w:val="1"/>
      <w:numFmt w:val="bullet"/>
      <w:lvlText w:val="•"/>
      <w:lvlJc w:val="left"/>
      <w:pPr>
        <w:ind w:left="927" w:hanging="106"/>
      </w:pPr>
      <w:rPr>
        <w:rFonts w:hint="default"/>
      </w:rPr>
    </w:lvl>
    <w:lvl w:ilvl="2">
      <w:start w:val="1"/>
      <w:numFmt w:val="bullet"/>
      <w:lvlText w:val="•"/>
      <w:lvlJc w:val="left"/>
      <w:pPr>
        <w:ind w:left="1294" w:hanging="106"/>
      </w:pPr>
      <w:rPr>
        <w:rFonts w:hint="default"/>
      </w:rPr>
    </w:lvl>
    <w:lvl w:ilvl="3">
      <w:start w:val="1"/>
      <w:numFmt w:val="bullet"/>
      <w:lvlText w:val="•"/>
      <w:lvlJc w:val="left"/>
      <w:pPr>
        <w:ind w:left="1661" w:hanging="106"/>
      </w:pPr>
      <w:rPr>
        <w:rFonts w:hint="default"/>
      </w:rPr>
    </w:lvl>
    <w:lvl w:ilvl="4">
      <w:start w:val="1"/>
      <w:numFmt w:val="bullet"/>
      <w:lvlText w:val="•"/>
      <w:lvlJc w:val="left"/>
      <w:pPr>
        <w:ind w:left="2029" w:hanging="106"/>
      </w:pPr>
      <w:rPr>
        <w:rFonts w:hint="default"/>
      </w:rPr>
    </w:lvl>
    <w:lvl w:ilvl="5">
      <w:start w:val="1"/>
      <w:numFmt w:val="bullet"/>
      <w:lvlText w:val="•"/>
      <w:lvlJc w:val="left"/>
      <w:pPr>
        <w:ind w:left="2396" w:hanging="106"/>
      </w:pPr>
      <w:rPr>
        <w:rFonts w:hint="default"/>
      </w:rPr>
    </w:lvl>
    <w:lvl w:ilvl="6">
      <w:start w:val="1"/>
      <w:numFmt w:val="bullet"/>
      <w:lvlText w:val="•"/>
      <w:lvlJc w:val="left"/>
      <w:pPr>
        <w:ind w:left="2763" w:hanging="106"/>
      </w:pPr>
      <w:rPr>
        <w:rFonts w:hint="default"/>
      </w:rPr>
    </w:lvl>
    <w:lvl w:ilvl="7">
      <w:start w:val="1"/>
      <w:numFmt w:val="bullet"/>
      <w:lvlText w:val="•"/>
      <w:lvlJc w:val="left"/>
      <w:pPr>
        <w:ind w:left="3130" w:hanging="106"/>
      </w:pPr>
      <w:rPr>
        <w:rFonts w:hint="default"/>
      </w:rPr>
    </w:lvl>
    <w:lvl w:ilvl="8">
      <w:start w:val="1"/>
      <w:numFmt w:val="bullet"/>
      <w:lvlText w:val="•"/>
      <w:lvlJc w:val="left"/>
      <w:pPr>
        <w:ind w:left="3498" w:hanging="106"/>
      </w:pPr>
      <w:rPr>
        <w:rFonts w:hint="default"/>
      </w:rPr>
    </w:lvl>
  </w:abstractNum>
  <w:abstractNum w:abstractNumId="61">
    <w:multiLevelType w:val="hybridMultilevel"/>
    <w:lvl w:ilvl="0">
      <w:start w:val="1"/>
      <w:numFmt w:val="bullet"/>
      <w:lvlText w:val="-"/>
      <w:lvlJc w:val="left"/>
      <w:pPr>
        <w:ind w:left="848" w:hanging="106"/>
      </w:pPr>
      <w:rPr>
        <w:rFonts w:hint="default" w:ascii="Arial" w:hAnsi="Arial" w:eastAsia="Arial" w:cs="Arial"/>
        <w:b/>
        <w:bCs/>
        <w:w w:val="122"/>
        <w:sz w:val="14"/>
        <w:szCs w:val="14"/>
      </w:rPr>
    </w:lvl>
    <w:lvl w:ilvl="1">
      <w:start w:val="1"/>
      <w:numFmt w:val="bullet"/>
      <w:lvlText w:val="•"/>
      <w:lvlJc w:val="left"/>
      <w:pPr>
        <w:ind w:left="1021" w:hanging="106"/>
      </w:pPr>
      <w:rPr>
        <w:rFonts w:hint="default"/>
      </w:rPr>
    </w:lvl>
    <w:lvl w:ilvl="2">
      <w:start w:val="1"/>
      <w:numFmt w:val="bullet"/>
      <w:lvlText w:val="•"/>
      <w:lvlJc w:val="left"/>
      <w:pPr>
        <w:ind w:left="1202" w:hanging="106"/>
      </w:pPr>
      <w:rPr>
        <w:rFonts w:hint="default"/>
      </w:rPr>
    </w:lvl>
    <w:lvl w:ilvl="3">
      <w:start w:val="1"/>
      <w:numFmt w:val="bullet"/>
      <w:lvlText w:val="•"/>
      <w:lvlJc w:val="left"/>
      <w:pPr>
        <w:ind w:left="1383" w:hanging="106"/>
      </w:pPr>
      <w:rPr>
        <w:rFonts w:hint="default"/>
      </w:rPr>
    </w:lvl>
    <w:lvl w:ilvl="4">
      <w:start w:val="1"/>
      <w:numFmt w:val="bullet"/>
      <w:lvlText w:val="•"/>
      <w:lvlJc w:val="left"/>
      <w:pPr>
        <w:ind w:left="1564" w:hanging="106"/>
      </w:pPr>
      <w:rPr>
        <w:rFonts w:hint="default"/>
      </w:rPr>
    </w:lvl>
    <w:lvl w:ilvl="5">
      <w:start w:val="1"/>
      <w:numFmt w:val="bullet"/>
      <w:lvlText w:val="•"/>
      <w:lvlJc w:val="left"/>
      <w:pPr>
        <w:ind w:left="1745" w:hanging="106"/>
      </w:pPr>
      <w:rPr>
        <w:rFonts w:hint="default"/>
      </w:rPr>
    </w:lvl>
    <w:lvl w:ilvl="6">
      <w:start w:val="1"/>
      <w:numFmt w:val="bullet"/>
      <w:lvlText w:val="•"/>
      <w:lvlJc w:val="left"/>
      <w:pPr>
        <w:ind w:left="1926" w:hanging="106"/>
      </w:pPr>
      <w:rPr>
        <w:rFonts w:hint="default"/>
      </w:rPr>
    </w:lvl>
    <w:lvl w:ilvl="7">
      <w:start w:val="1"/>
      <w:numFmt w:val="bullet"/>
      <w:lvlText w:val="•"/>
      <w:lvlJc w:val="left"/>
      <w:pPr>
        <w:ind w:left="2107" w:hanging="106"/>
      </w:pPr>
      <w:rPr>
        <w:rFonts w:hint="default"/>
      </w:rPr>
    </w:lvl>
    <w:lvl w:ilvl="8">
      <w:start w:val="1"/>
      <w:numFmt w:val="bullet"/>
      <w:lvlText w:val="•"/>
      <w:lvlJc w:val="left"/>
      <w:pPr>
        <w:ind w:left="2289" w:hanging="106"/>
      </w:pPr>
      <w:rPr>
        <w:rFonts w:hint="default"/>
      </w:rPr>
    </w:lvl>
  </w:abstractNum>
  <w:abstractNum w:abstractNumId="60">
    <w:multiLevelType w:val="hybridMultilevel"/>
    <w:lvl w:ilvl="0">
      <w:start w:val="1"/>
      <w:numFmt w:val="bullet"/>
      <w:lvlText w:val="•"/>
      <w:lvlJc w:val="left"/>
      <w:pPr>
        <w:ind w:left="810" w:hanging="708"/>
      </w:pPr>
      <w:rPr>
        <w:rFonts w:hint="default" w:ascii="Arial" w:hAnsi="Arial" w:eastAsia="Arial" w:cs="Arial"/>
        <w:b/>
        <w:bCs/>
        <w:w w:val="100"/>
        <w:sz w:val="22"/>
        <w:szCs w:val="22"/>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59">
    <w:multiLevelType w:val="hybridMultilevel"/>
    <w:lvl w:ilvl="0">
      <w:start w:val="1"/>
      <w:numFmt w:val="bullet"/>
      <w:lvlText w:val="-"/>
      <w:lvlJc w:val="left"/>
      <w:pPr>
        <w:ind w:left="102" w:hanging="137"/>
      </w:pPr>
      <w:rPr>
        <w:rFonts w:hint="default" w:ascii="Arial" w:hAnsi="Arial" w:eastAsia="Arial" w:cs="Arial"/>
        <w:w w:val="100"/>
        <w:sz w:val="22"/>
        <w:szCs w:val="22"/>
      </w:rPr>
    </w:lvl>
    <w:lvl w:ilvl="1">
      <w:start w:val="1"/>
      <w:numFmt w:val="bullet"/>
      <w:lvlText w:val="•"/>
      <w:lvlJc w:val="left"/>
      <w:pPr>
        <w:ind w:left="996" w:hanging="137"/>
      </w:pPr>
      <w:rPr>
        <w:rFonts w:hint="default"/>
      </w:rPr>
    </w:lvl>
    <w:lvl w:ilvl="2">
      <w:start w:val="1"/>
      <w:numFmt w:val="bullet"/>
      <w:lvlText w:val="•"/>
      <w:lvlJc w:val="left"/>
      <w:pPr>
        <w:ind w:left="1892" w:hanging="137"/>
      </w:pPr>
      <w:rPr>
        <w:rFonts w:hint="default"/>
      </w:rPr>
    </w:lvl>
    <w:lvl w:ilvl="3">
      <w:start w:val="1"/>
      <w:numFmt w:val="bullet"/>
      <w:lvlText w:val="•"/>
      <w:lvlJc w:val="left"/>
      <w:pPr>
        <w:ind w:left="2788" w:hanging="137"/>
      </w:pPr>
      <w:rPr>
        <w:rFonts w:hint="default"/>
      </w:rPr>
    </w:lvl>
    <w:lvl w:ilvl="4">
      <w:start w:val="1"/>
      <w:numFmt w:val="bullet"/>
      <w:lvlText w:val="•"/>
      <w:lvlJc w:val="left"/>
      <w:pPr>
        <w:ind w:left="3684" w:hanging="137"/>
      </w:pPr>
      <w:rPr>
        <w:rFonts w:hint="default"/>
      </w:rPr>
    </w:lvl>
    <w:lvl w:ilvl="5">
      <w:start w:val="1"/>
      <w:numFmt w:val="bullet"/>
      <w:lvlText w:val="•"/>
      <w:lvlJc w:val="left"/>
      <w:pPr>
        <w:ind w:left="4580" w:hanging="137"/>
      </w:pPr>
      <w:rPr>
        <w:rFonts w:hint="default"/>
      </w:rPr>
    </w:lvl>
    <w:lvl w:ilvl="6">
      <w:start w:val="1"/>
      <w:numFmt w:val="bullet"/>
      <w:lvlText w:val="•"/>
      <w:lvlJc w:val="left"/>
      <w:pPr>
        <w:ind w:left="5476" w:hanging="137"/>
      </w:pPr>
      <w:rPr>
        <w:rFonts w:hint="default"/>
      </w:rPr>
    </w:lvl>
    <w:lvl w:ilvl="7">
      <w:start w:val="1"/>
      <w:numFmt w:val="bullet"/>
      <w:lvlText w:val="•"/>
      <w:lvlJc w:val="left"/>
      <w:pPr>
        <w:ind w:left="6372" w:hanging="137"/>
      </w:pPr>
      <w:rPr>
        <w:rFonts w:hint="default"/>
      </w:rPr>
    </w:lvl>
    <w:lvl w:ilvl="8">
      <w:start w:val="1"/>
      <w:numFmt w:val="bullet"/>
      <w:lvlText w:val="•"/>
      <w:lvlJc w:val="left"/>
      <w:pPr>
        <w:ind w:left="7268" w:hanging="137"/>
      </w:pPr>
      <w:rPr>
        <w:rFonts w:hint="default"/>
      </w:rPr>
    </w:lvl>
  </w:abstractNum>
  <w:abstractNum w:abstractNumId="58">
    <w:multiLevelType w:val="hybridMultilevel"/>
    <w:lvl w:ilvl="0">
      <w:start w:val="1"/>
      <w:numFmt w:val="bullet"/>
      <w:lvlText w:val="-"/>
      <w:lvlJc w:val="left"/>
      <w:pPr>
        <w:ind w:left="102" w:hanging="137"/>
      </w:pPr>
      <w:rPr>
        <w:rFonts w:hint="default" w:ascii="Arial" w:hAnsi="Arial" w:eastAsia="Arial" w:cs="Arial"/>
        <w:w w:val="100"/>
        <w:sz w:val="22"/>
        <w:szCs w:val="22"/>
      </w:rPr>
    </w:lvl>
    <w:lvl w:ilvl="1">
      <w:start w:val="1"/>
      <w:numFmt w:val="bullet"/>
      <w:lvlText w:val="•"/>
      <w:lvlJc w:val="left"/>
      <w:pPr>
        <w:ind w:left="996" w:hanging="137"/>
      </w:pPr>
      <w:rPr>
        <w:rFonts w:hint="default"/>
      </w:rPr>
    </w:lvl>
    <w:lvl w:ilvl="2">
      <w:start w:val="1"/>
      <w:numFmt w:val="bullet"/>
      <w:lvlText w:val="•"/>
      <w:lvlJc w:val="left"/>
      <w:pPr>
        <w:ind w:left="1892" w:hanging="137"/>
      </w:pPr>
      <w:rPr>
        <w:rFonts w:hint="default"/>
      </w:rPr>
    </w:lvl>
    <w:lvl w:ilvl="3">
      <w:start w:val="1"/>
      <w:numFmt w:val="bullet"/>
      <w:lvlText w:val="•"/>
      <w:lvlJc w:val="left"/>
      <w:pPr>
        <w:ind w:left="2788" w:hanging="137"/>
      </w:pPr>
      <w:rPr>
        <w:rFonts w:hint="default"/>
      </w:rPr>
    </w:lvl>
    <w:lvl w:ilvl="4">
      <w:start w:val="1"/>
      <w:numFmt w:val="bullet"/>
      <w:lvlText w:val="•"/>
      <w:lvlJc w:val="left"/>
      <w:pPr>
        <w:ind w:left="3684" w:hanging="137"/>
      </w:pPr>
      <w:rPr>
        <w:rFonts w:hint="default"/>
      </w:rPr>
    </w:lvl>
    <w:lvl w:ilvl="5">
      <w:start w:val="1"/>
      <w:numFmt w:val="bullet"/>
      <w:lvlText w:val="•"/>
      <w:lvlJc w:val="left"/>
      <w:pPr>
        <w:ind w:left="4580" w:hanging="137"/>
      </w:pPr>
      <w:rPr>
        <w:rFonts w:hint="default"/>
      </w:rPr>
    </w:lvl>
    <w:lvl w:ilvl="6">
      <w:start w:val="1"/>
      <w:numFmt w:val="bullet"/>
      <w:lvlText w:val="•"/>
      <w:lvlJc w:val="left"/>
      <w:pPr>
        <w:ind w:left="5476" w:hanging="137"/>
      </w:pPr>
      <w:rPr>
        <w:rFonts w:hint="default"/>
      </w:rPr>
    </w:lvl>
    <w:lvl w:ilvl="7">
      <w:start w:val="1"/>
      <w:numFmt w:val="bullet"/>
      <w:lvlText w:val="•"/>
      <w:lvlJc w:val="left"/>
      <w:pPr>
        <w:ind w:left="6372" w:hanging="137"/>
      </w:pPr>
      <w:rPr>
        <w:rFonts w:hint="default"/>
      </w:rPr>
    </w:lvl>
    <w:lvl w:ilvl="8">
      <w:start w:val="1"/>
      <w:numFmt w:val="bullet"/>
      <w:lvlText w:val="•"/>
      <w:lvlJc w:val="left"/>
      <w:pPr>
        <w:ind w:left="7268" w:hanging="137"/>
      </w:pPr>
      <w:rPr>
        <w:rFonts w:hint="default"/>
      </w:rPr>
    </w:lvl>
  </w:abstractNum>
  <w:abstractNum w:abstractNumId="57">
    <w:multiLevelType w:val="hybridMultilevel"/>
    <w:lvl w:ilvl="0">
      <w:start w:val="7"/>
      <w:numFmt w:val="decimal"/>
      <w:lvlText w:val="%1"/>
      <w:lvlJc w:val="left"/>
      <w:pPr>
        <w:ind w:left="531" w:hanging="430"/>
        <w:jc w:val="left"/>
      </w:pPr>
      <w:rPr>
        <w:rFonts w:hint="default"/>
      </w:rPr>
    </w:lvl>
    <w:lvl w:ilvl="1">
      <w:start w:val="1"/>
      <w:numFmt w:val="decimal"/>
      <w:lvlText w:val="%1.%2."/>
      <w:lvlJc w:val="left"/>
      <w:pPr>
        <w:ind w:left="531" w:hanging="430"/>
        <w:jc w:val="left"/>
      </w:pPr>
      <w:rPr>
        <w:rFonts w:hint="default" w:ascii="Arial" w:hAnsi="Arial" w:eastAsia="Arial" w:cs="Arial"/>
        <w:b/>
        <w:bCs/>
        <w:w w:val="100"/>
        <w:sz w:val="22"/>
        <w:szCs w:val="22"/>
      </w:rPr>
    </w:lvl>
    <w:lvl w:ilvl="2">
      <w:start w:val="1"/>
      <w:numFmt w:val="decimal"/>
      <w:lvlText w:val="%1.%2.%3."/>
      <w:lvlJc w:val="left"/>
      <w:pPr>
        <w:ind w:left="102" w:hanging="617"/>
        <w:jc w:val="right"/>
      </w:pPr>
      <w:rPr>
        <w:rFonts w:hint="default" w:ascii="Arial" w:hAnsi="Arial" w:eastAsia="Arial" w:cs="Arial"/>
        <w:b/>
        <w:bCs/>
        <w:spacing w:val="-3"/>
        <w:w w:val="100"/>
        <w:sz w:val="22"/>
        <w:szCs w:val="22"/>
      </w:rPr>
    </w:lvl>
    <w:lvl w:ilvl="3">
      <w:start w:val="1"/>
      <w:numFmt w:val="bullet"/>
      <w:lvlText w:val="-"/>
      <w:lvlJc w:val="left"/>
      <w:pPr>
        <w:ind w:left="430" w:hanging="106"/>
      </w:pPr>
      <w:rPr>
        <w:rFonts w:hint="default" w:ascii="Arial" w:hAnsi="Arial" w:eastAsia="Arial" w:cs="Arial"/>
        <w:b/>
        <w:bCs/>
        <w:w w:val="122"/>
        <w:sz w:val="14"/>
        <w:szCs w:val="14"/>
      </w:rPr>
    </w:lvl>
    <w:lvl w:ilvl="4">
      <w:start w:val="1"/>
      <w:numFmt w:val="bullet"/>
      <w:lvlText w:val="-"/>
      <w:lvlJc w:val="left"/>
      <w:pPr>
        <w:ind w:left="714" w:hanging="106"/>
      </w:pPr>
      <w:rPr>
        <w:rFonts w:hint="default" w:ascii="Arial" w:hAnsi="Arial" w:eastAsia="Arial" w:cs="Arial"/>
        <w:b/>
        <w:bCs/>
        <w:w w:val="122"/>
        <w:sz w:val="14"/>
        <w:szCs w:val="14"/>
      </w:rPr>
    </w:lvl>
    <w:lvl w:ilvl="5">
      <w:start w:val="1"/>
      <w:numFmt w:val="bullet"/>
      <w:lvlText w:val="•"/>
      <w:lvlJc w:val="left"/>
      <w:pPr>
        <w:ind w:left="593" w:hanging="106"/>
      </w:pPr>
      <w:rPr>
        <w:rFonts w:hint="default"/>
      </w:rPr>
    </w:lvl>
    <w:lvl w:ilvl="6">
      <w:start w:val="1"/>
      <w:numFmt w:val="bullet"/>
      <w:lvlText w:val="•"/>
      <w:lvlJc w:val="left"/>
      <w:pPr>
        <w:ind w:left="466" w:hanging="106"/>
      </w:pPr>
      <w:rPr>
        <w:rFonts w:hint="default"/>
      </w:rPr>
    </w:lvl>
    <w:lvl w:ilvl="7">
      <w:start w:val="1"/>
      <w:numFmt w:val="bullet"/>
      <w:lvlText w:val="•"/>
      <w:lvlJc w:val="left"/>
      <w:pPr>
        <w:ind w:left="340" w:hanging="106"/>
      </w:pPr>
      <w:rPr>
        <w:rFonts w:hint="default"/>
      </w:rPr>
    </w:lvl>
    <w:lvl w:ilvl="8">
      <w:start w:val="1"/>
      <w:numFmt w:val="bullet"/>
      <w:lvlText w:val="•"/>
      <w:lvlJc w:val="left"/>
      <w:pPr>
        <w:ind w:left="213" w:hanging="106"/>
      </w:pPr>
      <w:rPr>
        <w:rFonts w:hint="default"/>
      </w:rPr>
    </w:lvl>
  </w:abstractNum>
  <w:abstractNum w:abstractNumId="56">
    <w:multiLevelType w:val="hybridMultilevel"/>
    <w:lvl w:ilvl="0">
      <w:start w:val="1"/>
      <w:numFmt w:val="decimal"/>
      <w:lvlText w:val="%1."/>
      <w:lvlJc w:val="left"/>
      <w:pPr>
        <w:ind w:left="102" w:hanging="708"/>
        <w:jc w:val="left"/>
      </w:pPr>
      <w:rPr>
        <w:rFonts w:hint="default" w:ascii="Arial" w:hAnsi="Arial" w:eastAsia="Arial" w:cs="Arial"/>
        <w:spacing w:val="-1"/>
        <w:w w:val="100"/>
        <w:sz w:val="22"/>
        <w:szCs w:val="22"/>
      </w:rPr>
    </w:lvl>
    <w:lvl w:ilvl="1">
      <w:start w:val="1"/>
      <w:numFmt w:val="bullet"/>
      <w:lvlText w:val="•"/>
      <w:lvlJc w:val="left"/>
      <w:pPr>
        <w:ind w:left="996" w:hanging="708"/>
      </w:pPr>
      <w:rPr>
        <w:rFonts w:hint="default"/>
      </w:rPr>
    </w:lvl>
    <w:lvl w:ilvl="2">
      <w:start w:val="1"/>
      <w:numFmt w:val="bullet"/>
      <w:lvlText w:val="•"/>
      <w:lvlJc w:val="left"/>
      <w:pPr>
        <w:ind w:left="1892" w:hanging="708"/>
      </w:pPr>
      <w:rPr>
        <w:rFonts w:hint="default"/>
      </w:rPr>
    </w:lvl>
    <w:lvl w:ilvl="3">
      <w:start w:val="1"/>
      <w:numFmt w:val="bullet"/>
      <w:lvlText w:val="•"/>
      <w:lvlJc w:val="left"/>
      <w:pPr>
        <w:ind w:left="2788" w:hanging="708"/>
      </w:pPr>
      <w:rPr>
        <w:rFonts w:hint="default"/>
      </w:rPr>
    </w:lvl>
    <w:lvl w:ilvl="4">
      <w:start w:val="1"/>
      <w:numFmt w:val="bullet"/>
      <w:lvlText w:val="•"/>
      <w:lvlJc w:val="left"/>
      <w:pPr>
        <w:ind w:left="3684" w:hanging="708"/>
      </w:pPr>
      <w:rPr>
        <w:rFonts w:hint="default"/>
      </w:rPr>
    </w:lvl>
    <w:lvl w:ilvl="5">
      <w:start w:val="1"/>
      <w:numFmt w:val="bullet"/>
      <w:lvlText w:val="•"/>
      <w:lvlJc w:val="left"/>
      <w:pPr>
        <w:ind w:left="4580" w:hanging="708"/>
      </w:pPr>
      <w:rPr>
        <w:rFonts w:hint="default"/>
      </w:rPr>
    </w:lvl>
    <w:lvl w:ilvl="6">
      <w:start w:val="1"/>
      <w:numFmt w:val="bullet"/>
      <w:lvlText w:val="•"/>
      <w:lvlJc w:val="left"/>
      <w:pPr>
        <w:ind w:left="5476" w:hanging="708"/>
      </w:pPr>
      <w:rPr>
        <w:rFonts w:hint="default"/>
      </w:rPr>
    </w:lvl>
    <w:lvl w:ilvl="7">
      <w:start w:val="1"/>
      <w:numFmt w:val="bullet"/>
      <w:lvlText w:val="•"/>
      <w:lvlJc w:val="left"/>
      <w:pPr>
        <w:ind w:left="6372" w:hanging="708"/>
      </w:pPr>
      <w:rPr>
        <w:rFonts w:hint="default"/>
      </w:rPr>
    </w:lvl>
    <w:lvl w:ilvl="8">
      <w:start w:val="1"/>
      <w:numFmt w:val="bullet"/>
      <w:lvlText w:val="•"/>
      <w:lvlJc w:val="left"/>
      <w:pPr>
        <w:ind w:left="7268" w:hanging="708"/>
      </w:pPr>
      <w:rPr>
        <w:rFonts w:hint="default"/>
      </w:rPr>
    </w:lvl>
  </w:abstractNum>
  <w:abstractNum w:abstractNumId="55">
    <w:multiLevelType w:val="hybridMultilevel"/>
    <w:lvl w:ilvl="0">
      <w:start w:val="1"/>
      <w:numFmt w:val="decimal"/>
      <w:lvlText w:val="%1."/>
      <w:lvlJc w:val="left"/>
      <w:pPr>
        <w:ind w:left="102" w:hanging="245"/>
        <w:jc w:val="left"/>
      </w:pPr>
      <w:rPr>
        <w:rFonts w:hint="default" w:ascii="Arial" w:hAnsi="Arial" w:eastAsia="Arial" w:cs="Arial"/>
        <w:w w:val="100"/>
        <w:sz w:val="22"/>
        <w:szCs w:val="22"/>
      </w:rPr>
    </w:lvl>
    <w:lvl w:ilvl="1">
      <w:start w:val="1"/>
      <w:numFmt w:val="bullet"/>
      <w:lvlText w:val="•"/>
      <w:lvlJc w:val="left"/>
      <w:pPr>
        <w:ind w:left="996" w:hanging="245"/>
      </w:pPr>
      <w:rPr>
        <w:rFonts w:hint="default"/>
      </w:rPr>
    </w:lvl>
    <w:lvl w:ilvl="2">
      <w:start w:val="1"/>
      <w:numFmt w:val="bullet"/>
      <w:lvlText w:val="•"/>
      <w:lvlJc w:val="left"/>
      <w:pPr>
        <w:ind w:left="1892" w:hanging="245"/>
      </w:pPr>
      <w:rPr>
        <w:rFonts w:hint="default"/>
      </w:rPr>
    </w:lvl>
    <w:lvl w:ilvl="3">
      <w:start w:val="1"/>
      <w:numFmt w:val="bullet"/>
      <w:lvlText w:val="•"/>
      <w:lvlJc w:val="left"/>
      <w:pPr>
        <w:ind w:left="2788" w:hanging="245"/>
      </w:pPr>
      <w:rPr>
        <w:rFonts w:hint="default"/>
      </w:rPr>
    </w:lvl>
    <w:lvl w:ilvl="4">
      <w:start w:val="1"/>
      <w:numFmt w:val="bullet"/>
      <w:lvlText w:val="•"/>
      <w:lvlJc w:val="left"/>
      <w:pPr>
        <w:ind w:left="3684" w:hanging="245"/>
      </w:pPr>
      <w:rPr>
        <w:rFonts w:hint="default"/>
      </w:rPr>
    </w:lvl>
    <w:lvl w:ilvl="5">
      <w:start w:val="1"/>
      <w:numFmt w:val="bullet"/>
      <w:lvlText w:val="•"/>
      <w:lvlJc w:val="left"/>
      <w:pPr>
        <w:ind w:left="4580" w:hanging="245"/>
      </w:pPr>
      <w:rPr>
        <w:rFonts w:hint="default"/>
      </w:rPr>
    </w:lvl>
    <w:lvl w:ilvl="6">
      <w:start w:val="1"/>
      <w:numFmt w:val="bullet"/>
      <w:lvlText w:val="•"/>
      <w:lvlJc w:val="left"/>
      <w:pPr>
        <w:ind w:left="5476" w:hanging="245"/>
      </w:pPr>
      <w:rPr>
        <w:rFonts w:hint="default"/>
      </w:rPr>
    </w:lvl>
    <w:lvl w:ilvl="7">
      <w:start w:val="1"/>
      <w:numFmt w:val="bullet"/>
      <w:lvlText w:val="•"/>
      <w:lvlJc w:val="left"/>
      <w:pPr>
        <w:ind w:left="6372" w:hanging="245"/>
      </w:pPr>
      <w:rPr>
        <w:rFonts w:hint="default"/>
      </w:rPr>
    </w:lvl>
    <w:lvl w:ilvl="8">
      <w:start w:val="1"/>
      <w:numFmt w:val="bullet"/>
      <w:lvlText w:val="•"/>
      <w:lvlJc w:val="left"/>
      <w:pPr>
        <w:ind w:left="7268" w:hanging="245"/>
      </w:pPr>
      <w:rPr>
        <w:rFonts w:hint="default"/>
      </w:rPr>
    </w:lvl>
  </w:abstractNum>
  <w:abstractNum w:abstractNumId="54">
    <w:multiLevelType w:val="hybridMultilevel"/>
    <w:lvl w:ilvl="0">
      <w:start w:val="1"/>
      <w:numFmt w:val="lowerLetter"/>
      <w:lvlText w:val="%1)"/>
      <w:lvlJc w:val="left"/>
      <w:pPr>
        <w:ind w:left="102" w:hanging="281"/>
        <w:jc w:val="left"/>
      </w:pPr>
      <w:rPr>
        <w:rFonts w:hint="default" w:ascii="Arial" w:hAnsi="Arial" w:eastAsia="Arial" w:cs="Arial"/>
        <w:w w:val="100"/>
        <w:sz w:val="22"/>
        <w:szCs w:val="22"/>
      </w:rPr>
    </w:lvl>
    <w:lvl w:ilvl="1">
      <w:start w:val="1"/>
      <w:numFmt w:val="bullet"/>
      <w:lvlText w:val="•"/>
      <w:lvlJc w:val="left"/>
      <w:pPr>
        <w:ind w:left="996" w:hanging="281"/>
      </w:pPr>
      <w:rPr>
        <w:rFonts w:hint="default"/>
      </w:rPr>
    </w:lvl>
    <w:lvl w:ilvl="2">
      <w:start w:val="1"/>
      <w:numFmt w:val="bullet"/>
      <w:lvlText w:val="•"/>
      <w:lvlJc w:val="left"/>
      <w:pPr>
        <w:ind w:left="1892" w:hanging="281"/>
      </w:pPr>
      <w:rPr>
        <w:rFonts w:hint="default"/>
      </w:rPr>
    </w:lvl>
    <w:lvl w:ilvl="3">
      <w:start w:val="1"/>
      <w:numFmt w:val="bullet"/>
      <w:lvlText w:val="•"/>
      <w:lvlJc w:val="left"/>
      <w:pPr>
        <w:ind w:left="2788" w:hanging="281"/>
      </w:pPr>
      <w:rPr>
        <w:rFonts w:hint="default"/>
      </w:rPr>
    </w:lvl>
    <w:lvl w:ilvl="4">
      <w:start w:val="1"/>
      <w:numFmt w:val="bullet"/>
      <w:lvlText w:val="•"/>
      <w:lvlJc w:val="left"/>
      <w:pPr>
        <w:ind w:left="3684" w:hanging="281"/>
      </w:pPr>
      <w:rPr>
        <w:rFonts w:hint="default"/>
      </w:rPr>
    </w:lvl>
    <w:lvl w:ilvl="5">
      <w:start w:val="1"/>
      <w:numFmt w:val="bullet"/>
      <w:lvlText w:val="•"/>
      <w:lvlJc w:val="left"/>
      <w:pPr>
        <w:ind w:left="4580" w:hanging="281"/>
      </w:pPr>
      <w:rPr>
        <w:rFonts w:hint="default"/>
      </w:rPr>
    </w:lvl>
    <w:lvl w:ilvl="6">
      <w:start w:val="1"/>
      <w:numFmt w:val="bullet"/>
      <w:lvlText w:val="•"/>
      <w:lvlJc w:val="left"/>
      <w:pPr>
        <w:ind w:left="5476" w:hanging="281"/>
      </w:pPr>
      <w:rPr>
        <w:rFonts w:hint="default"/>
      </w:rPr>
    </w:lvl>
    <w:lvl w:ilvl="7">
      <w:start w:val="1"/>
      <w:numFmt w:val="bullet"/>
      <w:lvlText w:val="•"/>
      <w:lvlJc w:val="left"/>
      <w:pPr>
        <w:ind w:left="6372" w:hanging="281"/>
      </w:pPr>
      <w:rPr>
        <w:rFonts w:hint="default"/>
      </w:rPr>
    </w:lvl>
    <w:lvl w:ilvl="8">
      <w:start w:val="1"/>
      <w:numFmt w:val="bullet"/>
      <w:lvlText w:val="•"/>
      <w:lvlJc w:val="left"/>
      <w:pPr>
        <w:ind w:left="7268" w:hanging="281"/>
      </w:pPr>
      <w:rPr>
        <w:rFonts w:hint="default"/>
      </w:rPr>
    </w:lvl>
  </w:abstractNum>
  <w:abstractNum w:abstractNumId="53">
    <w:multiLevelType w:val="hybridMultilevel"/>
    <w:lvl w:ilvl="0">
      <w:start w:val="1"/>
      <w:numFmt w:val="lowerLetter"/>
      <w:lvlText w:val="%1)"/>
      <w:lvlJc w:val="left"/>
      <w:pPr>
        <w:ind w:left="102" w:hanging="288"/>
        <w:jc w:val="left"/>
      </w:pPr>
      <w:rPr>
        <w:rFonts w:hint="default" w:ascii="Arial" w:hAnsi="Arial" w:eastAsia="Arial" w:cs="Arial"/>
        <w:w w:val="100"/>
        <w:sz w:val="22"/>
        <w:szCs w:val="22"/>
      </w:rPr>
    </w:lvl>
    <w:lvl w:ilvl="1">
      <w:start w:val="1"/>
      <w:numFmt w:val="bullet"/>
      <w:lvlText w:val="•"/>
      <w:lvlJc w:val="left"/>
      <w:pPr>
        <w:ind w:left="996" w:hanging="288"/>
      </w:pPr>
      <w:rPr>
        <w:rFonts w:hint="default"/>
      </w:rPr>
    </w:lvl>
    <w:lvl w:ilvl="2">
      <w:start w:val="1"/>
      <w:numFmt w:val="bullet"/>
      <w:lvlText w:val="•"/>
      <w:lvlJc w:val="left"/>
      <w:pPr>
        <w:ind w:left="1892" w:hanging="288"/>
      </w:pPr>
      <w:rPr>
        <w:rFonts w:hint="default"/>
      </w:rPr>
    </w:lvl>
    <w:lvl w:ilvl="3">
      <w:start w:val="1"/>
      <w:numFmt w:val="bullet"/>
      <w:lvlText w:val="•"/>
      <w:lvlJc w:val="left"/>
      <w:pPr>
        <w:ind w:left="2788" w:hanging="288"/>
      </w:pPr>
      <w:rPr>
        <w:rFonts w:hint="default"/>
      </w:rPr>
    </w:lvl>
    <w:lvl w:ilvl="4">
      <w:start w:val="1"/>
      <w:numFmt w:val="bullet"/>
      <w:lvlText w:val="•"/>
      <w:lvlJc w:val="left"/>
      <w:pPr>
        <w:ind w:left="3684" w:hanging="288"/>
      </w:pPr>
      <w:rPr>
        <w:rFonts w:hint="default"/>
      </w:rPr>
    </w:lvl>
    <w:lvl w:ilvl="5">
      <w:start w:val="1"/>
      <w:numFmt w:val="bullet"/>
      <w:lvlText w:val="•"/>
      <w:lvlJc w:val="left"/>
      <w:pPr>
        <w:ind w:left="4580" w:hanging="288"/>
      </w:pPr>
      <w:rPr>
        <w:rFonts w:hint="default"/>
      </w:rPr>
    </w:lvl>
    <w:lvl w:ilvl="6">
      <w:start w:val="1"/>
      <w:numFmt w:val="bullet"/>
      <w:lvlText w:val="•"/>
      <w:lvlJc w:val="left"/>
      <w:pPr>
        <w:ind w:left="5476" w:hanging="288"/>
      </w:pPr>
      <w:rPr>
        <w:rFonts w:hint="default"/>
      </w:rPr>
    </w:lvl>
    <w:lvl w:ilvl="7">
      <w:start w:val="1"/>
      <w:numFmt w:val="bullet"/>
      <w:lvlText w:val="•"/>
      <w:lvlJc w:val="left"/>
      <w:pPr>
        <w:ind w:left="6372" w:hanging="288"/>
      </w:pPr>
      <w:rPr>
        <w:rFonts w:hint="default"/>
      </w:rPr>
    </w:lvl>
    <w:lvl w:ilvl="8">
      <w:start w:val="1"/>
      <w:numFmt w:val="bullet"/>
      <w:lvlText w:val="•"/>
      <w:lvlJc w:val="left"/>
      <w:pPr>
        <w:ind w:left="7268" w:hanging="288"/>
      </w:pPr>
      <w:rPr>
        <w:rFonts w:hint="default"/>
      </w:rPr>
    </w:lvl>
  </w:abstractNum>
  <w:abstractNum w:abstractNumId="52">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1">
    <w:multiLevelType w:val="hybridMultilevel"/>
    <w:lvl w:ilvl="0">
      <w:start w:val="6"/>
      <w:numFmt w:val="decimal"/>
      <w:lvlText w:val="%1"/>
      <w:lvlJc w:val="left"/>
      <w:pPr>
        <w:ind w:left="4005" w:hanging="617"/>
        <w:jc w:val="left"/>
      </w:pPr>
      <w:rPr>
        <w:rFonts w:hint="default"/>
      </w:rPr>
    </w:lvl>
    <w:lvl w:ilvl="1">
      <w:start w:val="2"/>
      <w:numFmt w:val="decimal"/>
      <w:lvlText w:val="%1.%2"/>
      <w:lvlJc w:val="left"/>
      <w:pPr>
        <w:ind w:left="4005" w:hanging="617"/>
        <w:jc w:val="left"/>
      </w:pPr>
      <w:rPr>
        <w:rFonts w:hint="default"/>
      </w:rPr>
    </w:lvl>
    <w:lvl w:ilvl="2">
      <w:start w:val="2"/>
      <w:numFmt w:val="decimal"/>
      <w:lvlText w:val="%1.%2.%3."/>
      <w:lvlJc w:val="left"/>
      <w:pPr>
        <w:ind w:left="4005" w:hanging="617"/>
        <w:jc w:val="right"/>
      </w:pPr>
      <w:rPr>
        <w:rFonts w:hint="default"/>
        <w:spacing w:val="-3"/>
        <w:w w:val="100"/>
        <w:u w:val="thick" w:color="000000"/>
      </w:rPr>
    </w:lvl>
    <w:lvl w:ilvl="3">
      <w:start w:val="1"/>
      <w:numFmt w:val="bullet"/>
      <w:lvlText w:val="•"/>
      <w:lvlJc w:val="left"/>
      <w:pPr>
        <w:ind w:left="6838" w:hanging="617"/>
      </w:pPr>
      <w:rPr>
        <w:rFonts w:hint="default"/>
      </w:rPr>
    </w:lvl>
    <w:lvl w:ilvl="4">
      <w:start w:val="1"/>
      <w:numFmt w:val="bullet"/>
      <w:lvlText w:val="•"/>
      <w:lvlJc w:val="left"/>
      <w:pPr>
        <w:ind w:left="7784" w:hanging="617"/>
      </w:pPr>
      <w:rPr>
        <w:rFonts w:hint="default"/>
      </w:rPr>
    </w:lvl>
    <w:lvl w:ilvl="5">
      <w:start w:val="1"/>
      <w:numFmt w:val="bullet"/>
      <w:lvlText w:val="•"/>
      <w:lvlJc w:val="left"/>
      <w:pPr>
        <w:ind w:left="8730" w:hanging="617"/>
      </w:pPr>
      <w:rPr>
        <w:rFonts w:hint="default"/>
      </w:rPr>
    </w:lvl>
    <w:lvl w:ilvl="6">
      <w:start w:val="1"/>
      <w:numFmt w:val="bullet"/>
      <w:lvlText w:val="•"/>
      <w:lvlJc w:val="left"/>
      <w:pPr>
        <w:ind w:left="9676" w:hanging="617"/>
      </w:pPr>
      <w:rPr>
        <w:rFonts w:hint="default"/>
      </w:rPr>
    </w:lvl>
    <w:lvl w:ilvl="7">
      <w:start w:val="1"/>
      <w:numFmt w:val="bullet"/>
      <w:lvlText w:val="•"/>
      <w:lvlJc w:val="left"/>
      <w:pPr>
        <w:ind w:left="10622" w:hanging="617"/>
      </w:pPr>
      <w:rPr>
        <w:rFonts w:hint="default"/>
      </w:rPr>
    </w:lvl>
    <w:lvl w:ilvl="8">
      <w:start w:val="1"/>
      <w:numFmt w:val="bullet"/>
      <w:lvlText w:val="•"/>
      <w:lvlJc w:val="left"/>
      <w:pPr>
        <w:ind w:left="11568" w:hanging="617"/>
      </w:pPr>
      <w:rPr>
        <w:rFonts w:hint="default"/>
      </w:rPr>
    </w:lvl>
  </w:abstractNum>
  <w:abstractNum w:abstractNumId="50">
    <w:multiLevelType w:val="hybridMultilevel"/>
    <w:lvl w:ilvl="0">
      <w:start w:val="6"/>
      <w:numFmt w:val="decimal"/>
      <w:lvlText w:val="%1"/>
      <w:lvlJc w:val="left"/>
      <w:pPr>
        <w:ind w:left="218" w:hanging="432"/>
        <w:jc w:val="left"/>
      </w:pPr>
      <w:rPr>
        <w:rFonts w:hint="default"/>
      </w:rPr>
    </w:lvl>
    <w:lvl w:ilvl="1">
      <w:start w:val="1"/>
      <w:numFmt w:val="decimal"/>
      <w:lvlText w:val="%1.%2."/>
      <w:lvlJc w:val="left"/>
      <w:pPr>
        <w:ind w:left="218" w:hanging="432"/>
        <w:jc w:val="right"/>
      </w:pPr>
      <w:rPr>
        <w:rFonts w:hint="default" w:ascii="Arial" w:hAnsi="Arial" w:eastAsia="Arial" w:cs="Arial"/>
        <w:b/>
        <w:bCs/>
        <w:w w:val="100"/>
        <w:sz w:val="22"/>
        <w:szCs w:val="22"/>
      </w:rPr>
    </w:lvl>
    <w:lvl w:ilvl="2">
      <w:start w:val="1"/>
      <w:numFmt w:val="decimal"/>
      <w:lvlText w:val="%1.%2.%3."/>
      <w:lvlJc w:val="left"/>
      <w:pPr>
        <w:ind w:left="102" w:hanging="614"/>
        <w:jc w:val="left"/>
      </w:pPr>
      <w:rPr>
        <w:rFonts w:hint="default" w:ascii="Arial" w:hAnsi="Arial" w:eastAsia="Arial" w:cs="Arial"/>
        <w:b/>
        <w:bCs/>
        <w:spacing w:val="-3"/>
        <w:w w:val="100"/>
        <w:sz w:val="22"/>
        <w:szCs w:val="22"/>
      </w:rPr>
    </w:lvl>
    <w:lvl w:ilvl="3">
      <w:start w:val="1"/>
      <w:numFmt w:val="lowerLetter"/>
      <w:lvlText w:val="%4)"/>
      <w:lvlJc w:val="left"/>
      <w:pPr>
        <w:ind w:left="822" w:hanging="360"/>
        <w:jc w:val="right"/>
      </w:pPr>
      <w:rPr>
        <w:rFonts w:hint="default" w:ascii="Arial" w:hAnsi="Arial" w:eastAsia="Arial" w:cs="Arial"/>
        <w:spacing w:val="-1"/>
        <w:w w:val="100"/>
        <w:sz w:val="22"/>
        <w:szCs w:val="22"/>
      </w:rPr>
    </w:lvl>
    <w:lvl w:ilvl="4">
      <w:start w:val="1"/>
      <w:numFmt w:val="bullet"/>
      <w:lvlText w:val="•"/>
      <w:lvlJc w:val="left"/>
      <w:pPr>
        <w:ind w:left="5408" w:hanging="360"/>
      </w:pPr>
      <w:rPr>
        <w:rFonts w:hint="default"/>
      </w:rPr>
    </w:lvl>
    <w:lvl w:ilvl="5">
      <w:start w:val="1"/>
      <w:numFmt w:val="bullet"/>
      <w:lvlText w:val="•"/>
      <w:lvlJc w:val="left"/>
      <w:pPr>
        <w:ind w:left="6017" w:hanging="360"/>
      </w:pPr>
      <w:rPr>
        <w:rFonts w:hint="default"/>
      </w:rPr>
    </w:lvl>
    <w:lvl w:ilvl="6">
      <w:start w:val="1"/>
      <w:numFmt w:val="bullet"/>
      <w:lvlText w:val="•"/>
      <w:lvlJc w:val="left"/>
      <w:pPr>
        <w:ind w:left="6625" w:hanging="360"/>
      </w:pPr>
      <w:rPr>
        <w:rFonts w:hint="default"/>
      </w:rPr>
    </w:lvl>
    <w:lvl w:ilvl="7">
      <w:start w:val="1"/>
      <w:numFmt w:val="bullet"/>
      <w:lvlText w:val="•"/>
      <w:lvlJc w:val="left"/>
      <w:pPr>
        <w:ind w:left="7234" w:hanging="360"/>
      </w:pPr>
      <w:rPr>
        <w:rFonts w:hint="default"/>
      </w:rPr>
    </w:lvl>
    <w:lvl w:ilvl="8">
      <w:start w:val="1"/>
      <w:numFmt w:val="bullet"/>
      <w:lvlText w:val="•"/>
      <w:lvlJc w:val="left"/>
      <w:pPr>
        <w:ind w:left="7842" w:hanging="360"/>
      </w:pPr>
      <w:rPr>
        <w:rFonts w:hint="default"/>
      </w:rPr>
    </w:lvl>
  </w:abstractNum>
  <w:abstractNum w:abstractNumId="49">
    <w:multiLevelType w:val="hybridMultilevel"/>
    <w:lvl w:ilvl="0">
      <w:start w:val="1"/>
      <w:numFmt w:val="bullet"/>
      <w:lvlText w:val="-"/>
      <w:lvlJc w:val="left"/>
      <w:pPr>
        <w:ind w:left="105" w:hanging="169"/>
      </w:pPr>
      <w:rPr>
        <w:rFonts w:hint="default" w:ascii="Arial" w:hAnsi="Arial" w:eastAsia="Arial" w:cs="Arial"/>
        <w:w w:val="100"/>
        <w:sz w:val="22"/>
        <w:szCs w:val="22"/>
      </w:rPr>
    </w:lvl>
    <w:lvl w:ilvl="1">
      <w:start w:val="1"/>
      <w:numFmt w:val="bullet"/>
      <w:lvlText w:val="•"/>
      <w:lvlJc w:val="left"/>
      <w:pPr>
        <w:ind w:left="682" w:hanging="169"/>
      </w:pPr>
      <w:rPr>
        <w:rFonts w:hint="default"/>
      </w:rPr>
    </w:lvl>
    <w:lvl w:ilvl="2">
      <w:start w:val="1"/>
      <w:numFmt w:val="bullet"/>
      <w:lvlText w:val="•"/>
      <w:lvlJc w:val="left"/>
      <w:pPr>
        <w:ind w:left="1264" w:hanging="169"/>
      </w:pPr>
      <w:rPr>
        <w:rFonts w:hint="default"/>
      </w:rPr>
    </w:lvl>
    <w:lvl w:ilvl="3">
      <w:start w:val="1"/>
      <w:numFmt w:val="bullet"/>
      <w:lvlText w:val="•"/>
      <w:lvlJc w:val="left"/>
      <w:pPr>
        <w:ind w:left="1847" w:hanging="169"/>
      </w:pPr>
      <w:rPr>
        <w:rFonts w:hint="default"/>
      </w:rPr>
    </w:lvl>
    <w:lvl w:ilvl="4">
      <w:start w:val="1"/>
      <w:numFmt w:val="bullet"/>
      <w:lvlText w:val="•"/>
      <w:lvlJc w:val="left"/>
      <w:pPr>
        <w:ind w:left="2429" w:hanging="169"/>
      </w:pPr>
      <w:rPr>
        <w:rFonts w:hint="default"/>
      </w:rPr>
    </w:lvl>
    <w:lvl w:ilvl="5">
      <w:start w:val="1"/>
      <w:numFmt w:val="bullet"/>
      <w:lvlText w:val="•"/>
      <w:lvlJc w:val="left"/>
      <w:pPr>
        <w:ind w:left="3012" w:hanging="169"/>
      </w:pPr>
      <w:rPr>
        <w:rFonts w:hint="default"/>
      </w:rPr>
    </w:lvl>
    <w:lvl w:ilvl="6">
      <w:start w:val="1"/>
      <w:numFmt w:val="bullet"/>
      <w:lvlText w:val="•"/>
      <w:lvlJc w:val="left"/>
      <w:pPr>
        <w:ind w:left="3594" w:hanging="169"/>
      </w:pPr>
      <w:rPr>
        <w:rFonts w:hint="default"/>
      </w:rPr>
    </w:lvl>
    <w:lvl w:ilvl="7">
      <w:start w:val="1"/>
      <w:numFmt w:val="bullet"/>
      <w:lvlText w:val="•"/>
      <w:lvlJc w:val="left"/>
      <w:pPr>
        <w:ind w:left="4177" w:hanging="169"/>
      </w:pPr>
      <w:rPr>
        <w:rFonts w:hint="default"/>
      </w:rPr>
    </w:lvl>
    <w:lvl w:ilvl="8">
      <w:start w:val="1"/>
      <w:numFmt w:val="bullet"/>
      <w:lvlText w:val="•"/>
      <w:lvlJc w:val="left"/>
      <w:pPr>
        <w:ind w:left="4759" w:hanging="169"/>
      </w:pPr>
      <w:rPr>
        <w:rFonts w:hint="default"/>
      </w:rPr>
    </w:lvl>
  </w:abstractNum>
  <w:abstractNum w:abstractNumId="48">
    <w:multiLevelType w:val="hybridMultilevel"/>
    <w:lvl w:ilvl="0">
      <w:start w:val="1"/>
      <w:numFmt w:val="bullet"/>
      <w:lvlText w:val="-"/>
      <w:lvlJc w:val="left"/>
      <w:pPr>
        <w:ind w:left="100" w:hanging="210"/>
      </w:pPr>
      <w:rPr>
        <w:rFonts w:hint="default" w:ascii="Arial" w:hAnsi="Arial" w:eastAsia="Arial" w:cs="Arial"/>
        <w:w w:val="100"/>
        <w:sz w:val="22"/>
        <w:szCs w:val="22"/>
      </w:rPr>
    </w:lvl>
    <w:lvl w:ilvl="1">
      <w:start w:val="1"/>
      <w:numFmt w:val="bullet"/>
      <w:lvlText w:val="•"/>
      <w:lvlJc w:val="left"/>
      <w:pPr>
        <w:ind w:left="681" w:hanging="210"/>
      </w:pPr>
      <w:rPr>
        <w:rFonts w:hint="default"/>
      </w:rPr>
    </w:lvl>
    <w:lvl w:ilvl="2">
      <w:start w:val="1"/>
      <w:numFmt w:val="bullet"/>
      <w:lvlText w:val="•"/>
      <w:lvlJc w:val="left"/>
      <w:pPr>
        <w:ind w:left="1263" w:hanging="210"/>
      </w:pPr>
      <w:rPr>
        <w:rFonts w:hint="default"/>
      </w:rPr>
    </w:lvl>
    <w:lvl w:ilvl="3">
      <w:start w:val="1"/>
      <w:numFmt w:val="bullet"/>
      <w:lvlText w:val="•"/>
      <w:lvlJc w:val="left"/>
      <w:pPr>
        <w:ind w:left="1844" w:hanging="210"/>
      </w:pPr>
      <w:rPr>
        <w:rFonts w:hint="default"/>
      </w:rPr>
    </w:lvl>
    <w:lvl w:ilvl="4">
      <w:start w:val="1"/>
      <w:numFmt w:val="bullet"/>
      <w:lvlText w:val="•"/>
      <w:lvlJc w:val="left"/>
      <w:pPr>
        <w:ind w:left="2426" w:hanging="210"/>
      </w:pPr>
      <w:rPr>
        <w:rFonts w:hint="default"/>
      </w:rPr>
    </w:lvl>
    <w:lvl w:ilvl="5">
      <w:start w:val="1"/>
      <w:numFmt w:val="bullet"/>
      <w:lvlText w:val="•"/>
      <w:lvlJc w:val="left"/>
      <w:pPr>
        <w:ind w:left="3007" w:hanging="210"/>
      </w:pPr>
      <w:rPr>
        <w:rFonts w:hint="default"/>
      </w:rPr>
    </w:lvl>
    <w:lvl w:ilvl="6">
      <w:start w:val="1"/>
      <w:numFmt w:val="bullet"/>
      <w:lvlText w:val="•"/>
      <w:lvlJc w:val="left"/>
      <w:pPr>
        <w:ind w:left="3589" w:hanging="210"/>
      </w:pPr>
      <w:rPr>
        <w:rFonts w:hint="default"/>
      </w:rPr>
    </w:lvl>
    <w:lvl w:ilvl="7">
      <w:start w:val="1"/>
      <w:numFmt w:val="bullet"/>
      <w:lvlText w:val="•"/>
      <w:lvlJc w:val="left"/>
      <w:pPr>
        <w:ind w:left="4170" w:hanging="210"/>
      </w:pPr>
      <w:rPr>
        <w:rFonts w:hint="default"/>
      </w:rPr>
    </w:lvl>
    <w:lvl w:ilvl="8">
      <w:start w:val="1"/>
      <w:numFmt w:val="bullet"/>
      <w:lvlText w:val="•"/>
      <w:lvlJc w:val="left"/>
      <w:pPr>
        <w:ind w:left="4752" w:hanging="210"/>
      </w:pPr>
      <w:rPr>
        <w:rFonts w:hint="default"/>
      </w:rPr>
    </w:lvl>
  </w:abstractNum>
  <w:abstractNum w:abstractNumId="47">
    <w:multiLevelType w:val="hybridMultilevel"/>
    <w:lvl w:ilvl="0">
      <w:start w:val="1"/>
      <w:numFmt w:val="bullet"/>
      <w:lvlText w:val="•"/>
      <w:lvlJc w:val="left"/>
      <w:pPr>
        <w:ind w:left="100" w:hanging="629"/>
      </w:pPr>
      <w:rPr>
        <w:rFonts w:hint="default" w:ascii="Arial" w:hAnsi="Arial" w:eastAsia="Arial" w:cs="Arial"/>
        <w:w w:val="100"/>
        <w:sz w:val="22"/>
        <w:szCs w:val="22"/>
      </w:rPr>
    </w:lvl>
    <w:lvl w:ilvl="1">
      <w:start w:val="1"/>
      <w:numFmt w:val="bullet"/>
      <w:lvlText w:val="•"/>
      <w:lvlJc w:val="left"/>
      <w:pPr>
        <w:ind w:left="681" w:hanging="629"/>
      </w:pPr>
      <w:rPr>
        <w:rFonts w:hint="default"/>
      </w:rPr>
    </w:lvl>
    <w:lvl w:ilvl="2">
      <w:start w:val="1"/>
      <w:numFmt w:val="bullet"/>
      <w:lvlText w:val="•"/>
      <w:lvlJc w:val="left"/>
      <w:pPr>
        <w:ind w:left="1263" w:hanging="629"/>
      </w:pPr>
      <w:rPr>
        <w:rFonts w:hint="default"/>
      </w:rPr>
    </w:lvl>
    <w:lvl w:ilvl="3">
      <w:start w:val="1"/>
      <w:numFmt w:val="bullet"/>
      <w:lvlText w:val="•"/>
      <w:lvlJc w:val="left"/>
      <w:pPr>
        <w:ind w:left="1844" w:hanging="629"/>
      </w:pPr>
      <w:rPr>
        <w:rFonts w:hint="default"/>
      </w:rPr>
    </w:lvl>
    <w:lvl w:ilvl="4">
      <w:start w:val="1"/>
      <w:numFmt w:val="bullet"/>
      <w:lvlText w:val="•"/>
      <w:lvlJc w:val="left"/>
      <w:pPr>
        <w:ind w:left="2426" w:hanging="629"/>
      </w:pPr>
      <w:rPr>
        <w:rFonts w:hint="default"/>
      </w:rPr>
    </w:lvl>
    <w:lvl w:ilvl="5">
      <w:start w:val="1"/>
      <w:numFmt w:val="bullet"/>
      <w:lvlText w:val="•"/>
      <w:lvlJc w:val="left"/>
      <w:pPr>
        <w:ind w:left="3007" w:hanging="629"/>
      </w:pPr>
      <w:rPr>
        <w:rFonts w:hint="default"/>
      </w:rPr>
    </w:lvl>
    <w:lvl w:ilvl="6">
      <w:start w:val="1"/>
      <w:numFmt w:val="bullet"/>
      <w:lvlText w:val="•"/>
      <w:lvlJc w:val="left"/>
      <w:pPr>
        <w:ind w:left="3589" w:hanging="629"/>
      </w:pPr>
      <w:rPr>
        <w:rFonts w:hint="default"/>
      </w:rPr>
    </w:lvl>
    <w:lvl w:ilvl="7">
      <w:start w:val="1"/>
      <w:numFmt w:val="bullet"/>
      <w:lvlText w:val="•"/>
      <w:lvlJc w:val="left"/>
      <w:pPr>
        <w:ind w:left="4170" w:hanging="629"/>
      </w:pPr>
      <w:rPr>
        <w:rFonts w:hint="default"/>
      </w:rPr>
    </w:lvl>
    <w:lvl w:ilvl="8">
      <w:start w:val="1"/>
      <w:numFmt w:val="bullet"/>
      <w:lvlText w:val="•"/>
      <w:lvlJc w:val="left"/>
      <w:pPr>
        <w:ind w:left="4752" w:hanging="629"/>
      </w:pPr>
      <w:rPr>
        <w:rFonts w:hint="default"/>
      </w:rPr>
    </w:lvl>
  </w:abstractNum>
  <w:abstractNum w:abstractNumId="46">
    <w:multiLevelType w:val="hybridMultilevel"/>
    <w:lvl w:ilvl="0">
      <w:start w:val="1"/>
      <w:numFmt w:val="bullet"/>
      <w:lvlText w:val="•"/>
      <w:lvlJc w:val="left"/>
      <w:pPr>
        <w:ind w:left="100" w:hanging="629"/>
      </w:pPr>
      <w:rPr>
        <w:rFonts w:hint="default" w:ascii="Arial" w:hAnsi="Arial" w:eastAsia="Arial" w:cs="Arial"/>
        <w:w w:val="100"/>
        <w:sz w:val="22"/>
        <w:szCs w:val="22"/>
      </w:rPr>
    </w:lvl>
    <w:lvl w:ilvl="1">
      <w:start w:val="1"/>
      <w:numFmt w:val="bullet"/>
      <w:lvlText w:val="•"/>
      <w:lvlJc w:val="left"/>
      <w:pPr>
        <w:ind w:left="681" w:hanging="629"/>
      </w:pPr>
      <w:rPr>
        <w:rFonts w:hint="default"/>
      </w:rPr>
    </w:lvl>
    <w:lvl w:ilvl="2">
      <w:start w:val="1"/>
      <w:numFmt w:val="bullet"/>
      <w:lvlText w:val="•"/>
      <w:lvlJc w:val="left"/>
      <w:pPr>
        <w:ind w:left="1263" w:hanging="629"/>
      </w:pPr>
      <w:rPr>
        <w:rFonts w:hint="default"/>
      </w:rPr>
    </w:lvl>
    <w:lvl w:ilvl="3">
      <w:start w:val="1"/>
      <w:numFmt w:val="bullet"/>
      <w:lvlText w:val="•"/>
      <w:lvlJc w:val="left"/>
      <w:pPr>
        <w:ind w:left="1844" w:hanging="629"/>
      </w:pPr>
      <w:rPr>
        <w:rFonts w:hint="default"/>
      </w:rPr>
    </w:lvl>
    <w:lvl w:ilvl="4">
      <w:start w:val="1"/>
      <w:numFmt w:val="bullet"/>
      <w:lvlText w:val="•"/>
      <w:lvlJc w:val="left"/>
      <w:pPr>
        <w:ind w:left="2426" w:hanging="629"/>
      </w:pPr>
      <w:rPr>
        <w:rFonts w:hint="default"/>
      </w:rPr>
    </w:lvl>
    <w:lvl w:ilvl="5">
      <w:start w:val="1"/>
      <w:numFmt w:val="bullet"/>
      <w:lvlText w:val="•"/>
      <w:lvlJc w:val="left"/>
      <w:pPr>
        <w:ind w:left="3007" w:hanging="629"/>
      </w:pPr>
      <w:rPr>
        <w:rFonts w:hint="default"/>
      </w:rPr>
    </w:lvl>
    <w:lvl w:ilvl="6">
      <w:start w:val="1"/>
      <w:numFmt w:val="bullet"/>
      <w:lvlText w:val="•"/>
      <w:lvlJc w:val="left"/>
      <w:pPr>
        <w:ind w:left="3589" w:hanging="629"/>
      </w:pPr>
      <w:rPr>
        <w:rFonts w:hint="default"/>
      </w:rPr>
    </w:lvl>
    <w:lvl w:ilvl="7">
      <w:start w:val="1"/>
      <w:numFmt w:val="bullet"/>
      <w:lvlText w:val="•"/>
      <w:lvlJc w:val="left"/>
      <w:pPr>
        <w:ind w:left="4170" w:hanging="629"/>
      </w:pPr>
      <w:rPr>
        <w:rFonts w:hint="default"/>
      </w:rPr>
    </w:lvl>
    <w:lvl w:ilvl="8">
      <w:start w:val="1"/>
      <w:numFmt w:val="bullet"/>
      <w:lvlText w:val="•"/>
      <w:lvlJc w:val="left"/>
      <w:pPr>
        <w:ind w:left="4752" w:hanging="629"/>
      </w:pPr>
      <w:rPr>
        <w:rFonts w:hint="default"/>
      </w:rPr>
    </w:lvl>
  </w:abstractNum>
  <w:abstractNum w:abstractNumId="45">
    <w:multiLevelType w:val="hybridMultilevel"/>
    <w:lvl w:ilvl="0">
      <w:start w:val="1"/>
      <w:numFmt w:val="bullet"/>
      <w:lvlText w:val="-"/>
      <w:lvlJc w:val="left"/>
      <w:pPr>
        <w:ind w:left="100" w:hanging="157"/>
      </w:pPr>
      <w:rPr>
        <w:rFonts w:hint="default" w:ascii="Arial" w:hAnsi="Arial" w:eastAsia="Arial" w:cs="Arial"/>
        <w:w w:val="100"/>
        <w:sz w:val="22"/>
        <w:szCs w:val="22"/>
      </w:rPr>
    </w:lvl>
    <w:lvl w:ilvl="1">
      <w:start w:val="1"/>
      <w:numFmt w:val="bullet"/>
      <w:lvlText w:val="•"/>
      <w:lvlJc w:val="left"/>
      <w:pPr>
        <w:ind w:left="681" w:hanging="157"/>
      </w:pPr>
      <w:rPr>
        <w:rFonts w:hint="default"/>
      </w:rPr>
    </w:lvl>
    <w:lvl w:ilvl="2">
      <w:start w:val="1"/>
      <w:numFmt w:val="bullet"/>
      <w:lvlText w:val="•"/>
      <w:lvlJc w:val="left"/>
      <w:pPr>
        <w:ind w:left="1263" w:hanging="157"/>
      </w:pPr>
      <w:rPr>
        <w:rFonts w:hint="default"/>
      </w:rPr>
    </w:lvl>
    <w:lvl w:ilvl="3">
      <w:start w:val="1"/>
      <w:numFmt w:val="bullet"/>
      <w:lvlText w:val="•"/>
      <w:lvlJc w:val="left"/>
      <w:pPr>
        <w:ind w:left="1844" w:hanging="157"/>
      </w:pPr>
      <w:rPr>
        <w:rFonts w:hint="default"/>
      </w:rPr>
    </w:lvl>
    <w:lvl w:ilvl="4">
      <w:start w:val="1"/>
      <w:numFmt w:val="bullet"/>
      <w:lvlText w:val="•"/>
      <w:lvlJc w:val="left"/>
      <w:pPr>
        <w:ind w:left="2426" w:hanging="157"/>
      </w:pPr>
      <w:rPr>
        <w:rFonts w:hint="default"/>
      </w:rPr>
    </w:lvl>
    <w:lvl w:ilvl="5">
      <w:start w:val="1"/>
      <w:numFmt w:val="bullet"/>
      <w:lvlText w:val="•"/>
      <w:lvlJc w:val="left"/>
      <w:pPr>
        <w:ind w:left="3007" w:hanging="157"/>
      </w:pPr>
      <w:rPr>
        <w:rFonts w:hint="default"/>
      </w:rPr>
    </w:lvl>
    <w:lvl w:ilvl="6">
      <w:start w:val="1"/>
      <w:numFmt w:val="bullet"/>
      <w:lvlText w:val="•"/>
      <w:lvlJc w:val="left"/>
      <w:pPr>
        <w:ind w:left="3589" w:hanging="157"/>
      </w:pPr>
      <w:rPr>
        <w:rFonts w:hint="default"/>
      </w:rPr>
    </w:lvl>
    <w:lvl w:ilvl="7">
      <w:start w:val="1"/>
      <w:numFmt w:val="bullet"/>
      <w:lvlText w:val="•"/>
      <w:lvlJc w:val="left"/>
      <w:pPr>
        <w:ind w:left="4170" w:hanging="157"/>
      </w:pPr>
      <w:rPr>
        <w:rFonts w:hint="default"/>
      </w:rPr>
    </w:lvl>
    <w:lvl w:ilvl="8">
      <w:start w:val="1"/>
      <w:numFmt w:val="bullet"/>
      <w:lvlText w:val="•"/>
      <w:lvlJc w:val="left"/>
      <w:pPr>
        <w:ind w:left="4752" w:hanging="157"/>
      </w:pPr>
      <w:rPr>
        <w:rFonts w:hint="default"/>
      </w:rPr>
    </w:lvl>
  </w:abstractNum>
  <w:abstractNum w:abstractNumId="44">
    <w:multiLevelType w:val="hybridMultilevel"/>
    <w:lvl w:ilvl="0">
      <w:start w:val="5"/>
      <w:numFmt w:val="decimal"/>
      <w:lvlText w:val="%1"/>
      <w:lvlJc w:val="left"/>
      <w:pPr>
        <w:ind w:left="551" w:hanging="430"/>
        <w:jc w:val="left"/>
      </w:pPr>
      <w:rPr>
        <w:rFonts w:hint="default"/>
      </w:rPr>
    </w:lvl>
    <w:lvl w:ilvl="1">
      <w:start w:val="2"/>
      <w:numFmt w:val="decimal"/>
      <w:lvlText w:val="%1.%2."/>
      <w:lvlJc w:val="left"/>
      <w:pPr>
        <w:ind w:left="551" w:hanging="430"/>
        <w:jc w:val="left"/>
      </w:pPr>
      <w:rPr>
        <w:rFonts w:hint="default" w:ascii="Arial" w:hAnsi="Arial" w:eastAsia="Arial" w:cs="Arial"/>
        <w:b/>
        <w:bCs/>
        <w:w w:val="100"/>
        <w:sz w:val="22"/>
        <w:szCs w:val="22"/>
      </w:rPr>
    </w:lvl>
    <w:lvl w:ilvl="2">
      <w:start w:val="1"/>
      <w:numFmt w:val="decimal"/>
      <w:lvlText w:val="%3."/>
      <w:lvlJc w:val="left"/>
      <w:pPr>
        <w:ind w:left="822" w:hanging="360"/>
        <w:jc w:val="right"/>
      </w:pPr>
      <w:rPr>
        <w:rFonts w:hint="default" w:ascii="Arial" w:hAnsi="Arial" w:eastAsia="Arial" w:cs="Arial"/>
        <w:spacing w:val="-1"/>
        <w:w w:val="100"/>
        <w:sz w:val="22"/>
        <w:szCs w:val="22"/>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3">
    <w:multiLevelType w:val="hybridMultilevel"/>
    <w:lvl w:ilvl="0">
      <w:start w:val="1"/>
      <w:numFmt w:val="decimal"/>
      <w:lvlText w:val="%1."/>
      <w:lvlJc w:val="left"/>
      <w:pPr>
        <w:ind w:left="102" w:hanging="307"/>
        <w:jc w:val="left"/>
      </w:pPr>
      <w:rPr>
        <w:rFonts w:hint="default" w:ascii="Arial" w:hAnsi="Arial" w:eastAsia="Arial" w:cs="Arial"/>
        <w:b/>
        <w:bCs/>
        <w:w w:val="100"/>
        <w:sz w:val="22"/>
        <w:szCs w:val="22"/>
      </w:rPr>
    </w:lvl>
    <w:lvl w:ilvl="1">
      <w:start w:val="1"/>
      <w:numFmt w:val="bullet"/>
      <w:lvlText w:val="•"/>
      <w:lvlJc w:val="left"/>
      <w:pPr>
        <w:ind w:left="996" w:hanging="307"/>
      </w:pPr>
      <w:rPr>
        <w:rFonts w:hint="default"/>
      </w:rPr>
    </w:lvl>
    <w:lvl w:ilvl="2">
      <w:start w:val="1"/>
      <w:numFmt w:val="bullet"/>
      <w:lvlText w:val="•"/>
      <w:lvlJc w:val="left"/>
      <w:pPr>
        <w:ind w:left="1892" w:hanging="307"/>
      </w:pPr>
      <w:rPr>
        <w:rFonts w:hint="default"/>
      </w:rPr>
    </w:lvl>
    <w:lvl w:ilvl="3">
      <w:start w:val="1"/>
      <w:numFmt w:val="bullet"/>
      <w:lvlText w:val="•"/>
      <w:lvlJc w:val="left"/>
      <w:pPr>
        <w:ind w:left="2788" w:hanging="307"/>
      </w:pPr>
      <w:rPr>
        <w:rFonts w:hint="default"/>
      </w:rPr>
    </w:lvl>
    <w:lvl w:ilvl="4">
      <w:start w:val="1"/>
      <w:numFmt w:val="bullet"/>
      <w:lvlText w:val="•"/>
      <w:lvlJc w:val="left"/>
      <w:pPr>
        <w:ind w:left="3684" w:hanging="307"/>
      </w:pPr>
      <w:rPr>
        <w:rFonts w:hint="default"/>
      </w:rPr>
    </w:lvl>
    <w:lvl w:ilvl="5">
      <w:start w:val="1"/>
      <w:numFmt w:val="bullet"/>
      <w:lvlText w:val="•"/>
      <w:lvlJc w:val="left"/>
      <w:pPr>
        <w:ind w:left="4580" w:hanging="307"/>
      </w:pPr>
      <w:rPr>
        <w:rFonts w:hint="default"/>
      </w:rPr>
    </w:lvl>
    <w:lvl w:ilvl="6">
      <w:start w:val="1"/>
      <w:numFmt w:val="bullet"/>
      <w:lvlText w:val="•"/>
      <w:lvlJc w:val="left"/>
      <w:pPr>
        <w:ind w:left="5476" w:hanging="307"/>
      </w:pPr>
      <w:rPr>
        <w:rFonts w:hint="default"/>
      </w:rPr>
    </w:lvl>
    <w:lvl w:ilvl="7">
      <w:start w:val="1"/>
      <w:numFmt w:val="bullet"/>
      <w:lvlText w:val="•"/>
      <w:lvlJc w:val="left"/>
      <w:pPr>
        <w:ind w:left="6372" w:hanging="307"/>
      </w:pPr>
      <w:rPr>
        <w:rFonts w:hint="default"/>
      </w:rPr>
    </w:lvl>
    <w:lvl w:ilvl="8">
      <w:start w:val="1"/>
      <w:numFmt w:val="bullet"/>
      <w:lvlText w:val="•"/>
      <w:lvlJc w:val="left"/>
      <w:pPr>
        <w:ind w:left="7268" w:hanging="307"/>
      </w:pPr>
      <w:rPr>
        <w:rFonts w:hint="default"/>
      </w:rPr>
    </w:lvl>
  </w:abstractNum>
  <w:abstractNum w:abstractNumId="42">
    <w:multiLevelType w:val="hybridMultilevel"/>
    <w:lvl w:ilvl="0">
      <w:start w:val="1"/>
      <w:numFmt w:val="lowerLetter"/>
      <w:lvlText w:val="%1)"/>
      <w:lvlJc w:val="left"/>
      <w:pPr>
        <w:ind w:left="441" w:hanging="260"/>
        <w:jc w:val="left"/>
      </w:pPr>
      <w:rPr>
        <w:rFonts w:hint="default" w:ascii="Arial" w:hAnsi="Arial" w:eastAsia="Arial" w:cs="Arial"/>
        <w:b/>
        <w:bCs/>
        <w:spacing w:val="-1"/>
        <w:w w:val="100"/>
        <w:sz w:val="22"/>
        <w:szCs w:val="22"/>
      </w:rPr>
    </w:lvl>
    <w:lvl w:ilvl="1">
      <w:start w:val="1"/>
      <w:numFmt w:val="bullet"/>
      <w:lvlText w:val="•"/>
      <w:lvlJc w:val="left"/>
      <w:pPr>
        <w:ind w:left="1318" w:hanging="260"/>
      </w:pPr>
      <w:rPr>
        <w:rFonts w:hint="default"/>
      </w:rPr>
    </w:lvl>
    <w:lvl w:ilvl="2">
      <w:start w:val="1"/>
      <w:numFmt w:val="bullet"/>
      <w:lvlText w:val="•"/>
      <w:lvlJc w:val="left"/>
      <w:pPr>
        <w:ind w:left="2196" w:hanging="260"/>
      </w:pPr>
      <w:rPr>
        <w:rFonts w:hint="default"/>
      </w:rPr>
    </w:lvl>
    <w:lvl w:ilvl="3">
      <w:start w:val="1"/>
      <w:numFmt w:val="bullet"/>
      <w:lvlText w:val="•"/>
      <w:lvlJc w:val="left"/>
      <w:pPr>
        <w:ind w:left="3074" w:hanging="260"/>
      </w:pPr>
      <w:rPr>
        <w:rFonts w:hint="default"/>
      </w:rPr>
    </w:lvl>
    <w:lvl w:ilvl="4">
      <w:start w:val="1"/>
      <w:numFmt w:val="bullet"/>
      <w:lvlText w:val="•"/>
      <w:lvlJc w:val="left"/>
      <w:pPr>
        <w:ind w:left="3952" w:hanging="260"/>
      </w:pPr>
      <w:rPr>
        <w:rFonts w:hint="default"/>
      </w:rPr>
    </w:lvl>
    <w:lvl w:ilvl="5">
      <w:start w:val="1"/>
      <w:numFmt w:val="bullet"/>
      <w:lvlText w:val="•"/>
      <w:lvlJc w:val="left"/>
      <w:pPr>
        <w:ind w:left="4830" w:hanging="260"/>
      </w:pPr>
      <w:rPr>
        <w:rFonts w:hint="default"/>
      </w:rPr>
    </w:lvl>
    <w:lvl w:ilvl="6">
      <w:start w:val="1"/>
      <w:numFmt w:val="bullet"/>
      <w:lvlText w:val="•"/>
      <w:lvlJc w:val="left"/>
      <w:pPr>
        <w:ind w:left="5708" w:hanging="260"/>
      </w:pPr>
      <w:rPr>
        <w:rFonts w:hint="default"/>
      </w:rPr>
    </w:lvl>
    <w:lvl w:ilvl="7">
      <w:start w:val="1"/>
      <w:numFmt w:val="bullet"/>
      <w:lvlText w:val="•"/>
      <w:lvlJc w:val="left"/>
      <w:pPr>
        <w:ind w:left="6586" w:hanging="260"/>
      </w:pPr>
      <w:rPr>
        <w:rFonts w:hint="default"/>
      </w:rPr>
    </w:lvl>
    <w:lvl w:ilvl="8">
      <w:start w:val="1"/>
      <w:numFmt w:val="bullet"/>
      <w:lvlText w:val="•"/>
      <w:lvlJc w:val="left"/>
      <w:pPr>
        <w:ind w:left="7464" w:hanging="260"/>
      </w:pPr>
      <w:rPr>
        <w:rFonts w:hint="default"/>
      </w:rPr>
    </w:lvl>
  </w:abstractNum>
  <w:abstractNum w:abstractNumId="41">
    <w:multiLevelType w:val="hybridMultilevel"/>
    <w:lvl w:ilvl="0">
      <w:start w:val="1"/>
      <w:numFmt w:val="lowerLetter"/>
      <w:lvlText w:val="%1)"/>
      <w:lvlJc w:val="left"/>
      <w:pPr>
        <w:ind w:left="381" w:hanging="260"/>
        <w:jc w:val="right"/>
      </w:pPr>
      <w:rPr>
        <w:rFonts w:hint="default" w:ascii="Arial" w:hAnsi="Arial" w:eastAsia="Arial" w:cs="Arial"/>
        <w:b/>
        <w:bCs/>
        <w:spacing w:val="-1"/>
        <w:w w:val="100"/>
        <w:sz w:val="22"/>
        <w:szCs w:val="22"/>
      </w:rPr>
    </w:lvl>
    <w:lvl w:ilvl="1">
      <w:start w:val="1"/>
      <w:numFmt w:val="bullet"/>
      <w:lvlText w:val="•"/>
      <w:lvlJc w:val="left"/>
      <w:pPr>
        <w:ind w:left="1250" w:hanging="260"/>
      </w:pPr>
      <w:rPr>
        <w:rFonts w:hint="default"/>
      </w:rPr>
    </w:lvl>
    <w:lvl w:ilvl="2">
      <w:start w:val="1"/>
      <w:numFmt w:val="bullet"/>
      <w:lvlText w:val="•"/>
      <w:lvlJc w:val="left"/>
      <w:pPr>
        <w:ind w:left="2120" w:hanging="260"/>
      </w:pPr>
      <w:rPr>
        <w:rFonts w:hint="default"/>
      </w:rPr>
    </w:lvl>
    <w:lvl w:ilvl="3">
      <w:start w:val="1"/>
      <w:numFmt w:val="bullet"/>
      <w:lvlText w:val="•"/>
      <w:lvlJc w:val="left"/>
      <w:pPr>
        <w:ind w:left="2990" w:hanging="260"/>
      </w:pPr>
      <w:rPr>
        <w:rFonts w:hint="default"/>
      </w:rPr>
    </w:lvl>
    <w:lvl w:ilvl="4">
      <w:start w:val="1"/>
      <w:numFmt w:val="bullet"/>
      <w:lvlText w:val="•"/>
      <w:lvlJc w:val="left"/>
      <w:pPr>
        <w:ind w:left="3860" w:hanging="260"/>
      </w:pPr>
      <w:rPr>
        <w:rFonts w:hint="default"/>
      </w:rPr>
    </w:lvl>
    <w:lvl w:ilvl="5">
      <w:start w:val="1"/>
      <w:numFmt w:val="bullet"/>
      <w:lvlText w:val="•"/>
      <w:lvlJc w:val="left"/>
      <w:pPr>
        <w:ind w:left="4730" w:hanging="260"/>
      </w:pPr>
      <w:rPr>
        <w:rFonts w:hint="default"/>
      </w:rPr>
    </w:lvl>
    <w:lvl w:ilvl="6">
      <w:start w:val="1"/>
      <w:numFmt w:val="bullet"/>
      <w:lvlText w:val="•"/>
      <w:lvlJc w:val="left"/>
      <w:pPr>
        <w:ind w:left="5600" w:hanging="260"/>
      </w:pPr>
      <w:rPr>
        <w:rFonts w:hint="default"/>
      </w:rPr>
    </w:lvl>
    <w:lvl w:ilvl="7">
      <w:start w:val="1"/>
      <w:numFmt w:val="bullet"/>
      <w:lvlText w:val="•"/>
      <w:lvlJc w:val="left"/>
      <w:pPr>
        <w:ind w:left="6470" w:hanging="260"/>
      </w:pPr>
      <w:rPr>
        <w:rFonts w:hint="default"/>
      </w:rPr>
    </w:lvl>
    <w:lvl w:ilvl="8">
      <w:start w:val="1"/>
      <w:numFmt w:val="bullet"/>
      <w:lvlText w:val="•"/>
      <w:lvlJc w:val="left"/>
      <w:pPr>
        <w:ind w:left="7340" w:hanging="260"/>
      </w:pPr>
      <w:rPr>
        <w:rFonts w:hint="default"/>
      </w:rPr>
    </w:lvl>
  </w:abstractNum>
  <w:abstractNum w:abstractNumId="40">
    <w:multiLevelType w:val="hybridMultilevel"/>
    <w:lvl w:ilvl="0">
      <w:start w:val="4"/>
      <w:numFmt w:val="decimal"/>
      <w:lvlText w:val="%1"/>
      <w:lvlJc w:val="left"/>
      <w:pPr>
        <w:ind w:left="102" w:hanging="471"/>
        <w:jc w:val="left"/>
      </w:pPr>
      <w:rPr>
        <w:rFonts w:hint="default"/>
      </w:rPr>
    </w:lvl>
    <w:lvl w:ilvl="1">
      <w:start w:val="5"/>
      <w:numFmt w:val="decimal"/>
      <w:lvlText w:val="%1.%2."/>
      <w:lvlJc w:val="left"/>
      <w:pPr>
        <w:ind w:left="102" w:hanging="471"/>
        <w:jc w:val="right"/>
      </w:pPr>
      <w:rPr>
        <w:rFonts w:hint="default" w:ascii="Arial" w:hAnsi="Arial" w:eastAsia="Arial" w:cs="Arial"/>
        <w:b/>
        <w:bCs/>
        <w:w w:val="100"/>
        <w:sz w:val="22"/>
        <w:szCs w:val="22"/>
      </w:rPr>
    </w:lvl>
    <w:lvl w:ilvl="2">
      <w:start w:val="1"/>
      <w:numFmt w:val="bullet"/>
      <w:lvlText w:val="•"/>
      <w:lvlJc w:val="left"/>
      <w:pPr>
        <w:ind w:left="1892" w:hanging="471"/>
      </w:pPr>
      <w:rPr>
        <w:rFonts w:hint="default"/>
      </w:rPr>
    </w:lvl>
    <w:lvl w:ilvl="3">
      <w:start w:val="1"/>
      <w:numFmt w:val="bullet"/>
      <w:lvlText w:val="•"/>
      <w:lvlJc w:val="left"/>
      <w:pPr>
        <w:ind w:left="2788" w:hanging="471"/>
      </w:pPr>
      <w:rPr>
        <w:rFonts w:hint="default"/>
      </w:rPr>
    </w:lvl>
    <w:lvl w:ilvl="4">
      <w:start w:val="1"/>
      <w:numFmt w:val="bullet"/>
      <w:lvlText w:val="•"/>
      <w:lvlJc w:val="left"/>
      <w:pPr>
        <w:ind w:left="3684" w:hanging="471"/>
      </w:pPr>
      <w:rPr>
        <w:rFonts w:hint="default"/>
      </w:rPr>
    </w:lvl>
    <w:lvl w:ilvl="5">
      <w:start w:val="1"/>
      <w:numFmt w:val="bullet"/>
      <w:lvlText w:val="•"/>
      <w:lvlJc w:val="left"/>
      <w:pPr>
        <w:ind w:left="4580" w:hanging="471"/>
      </w:pPr>
      <w:rPr>
        <w:rFonts w:hint="default"/>
      </w:rPr>
    </w:lvl>
    <w:lvl w:ilvl="6">
      <w:start w:val="1"/>
      <w:numFmt w:val="bullet"/>
      <w:lvlText w:val="•"/>
      <w:lvlJc w:val="left"/>
      <w:pPr>
        <w:ind w:left="5476" w:hanging="471"/>
      </w:pPr>
      <w:rPr>
        <w:rFonts w:hint="default"/>
      </w:rPr>
    </w:lvl>
    <w:lvl w:ilvl="7">
      <w:start w:val="1"/>
      <w:numFmt w:val="bullet"/>
      <w:lvlText w:val="•"/>
      <w:lvlJc w:val="left"/>
      <w:pPr>
        <w:ind w:left="6372" w:hanging="471"/>
      </w:pPr>
      <w:rPr>
        <w:rFonts w:hint="default"/>
      </w:rPr>
    </w:lvl>
    <w:lvl w:ilvl="8">
      <w:start w:val="1"/>
      <w:numFmt w:val="bullet"/>
      <w:lvlText w:val="•"/>
      <w:lvlJc w:val="left"/>
      <w:pPr>
        <w:ind w:left="7268" w:hanging="471"/>
      </w:pPr>
      <w:rPr>
        <w:rFonts w:hint="default"/>
      </w:rPr>
    </w:lvl>
  </w:abstractNum>
  <w:abstractNum w:abstractNumId="39">
    <w:multiLevelType w:val="hybridMultilevel"/>
    <w:lvl w:ilvl="0">
      <w:start w:val="4"/>
      <w:numFmt w:val="decimal"/>
      <w:lvlText w:val="%1"/>
      <w:lvlJc w:val="left"/>
      <w:pPr>
        <w:ind w:left="102" w:hanging="615"/>
        <w:jc w:val="left"/>
      </w:pPr>
      <w:rPr>
        <w:rFonts w:hint="default"/>
      </w:rPr>
    </w:lvl>
    <w:lvl w:ilvl="1">
      <w:start w:val="4"/>
      <w:numFmt w:val="decimal"/>
      <w:lvlText w:val="%1.%2"/>
      <w:lvlJc w:val="left"/>
      <w:pPr>
        <w:ind w:left="102" w:hanging="615"/>
        <w:jc w:val="left"/>
      </w:pPr>
      <w:rPr>
        <w:rFonts w:hint="default"/>
      </w:rPr>
    </w:lvl>
    <w:lvl w:ilvl="2">
      <w:start w:val="1"/>
      <w:numFmt w:val="decimal"/>
      <w:lvlText w:val="%1.%2.%3."/>
      <w:lvlJc w:val="left"/>
      <w:pPr>
        <w:ind w:left="102" w:hanging="615"/>
        <w:jc w:val="left"/>
      </w:pPr>
      <w:rPr>
        <w:rFonts w:hint="default" w:ascii="Arial" w:hAnsi="Arial" w:eastAsia="Arial" w:cs="Arial"/>
        <w:b/>
        <w:bCs/>
        <w:i/>
        <w:spacing w:val="-3"/>
        <w:w w:val="100"/>
        <w:sz w:val="22"/>
        <w:szCs w:val="22"/>
      </w:rPr>
    </w:lvl>
    <w:lvl w:ilvl="3">
      <w:start w:val="1"/>
      <w:numFmt w:val="bullet"/>
      <w:lvlText w:val="•"/>
      <w:lvlJc w:val="left"/>
      <w:pPr>
        <w:ind w:left="2788" w:hanging="615"/>
      </w:pPr>
      <w:rPr>
        <w:rFonts w:hint="default"/>
      </w:rPr>
    </w:lvl>
    <w:lvl w:ilvl="4">
      <w:start w:val="1"/>
      <w:numFmt w:val="bullet"/>
      <w:lvlText w:val="•"/>
      <w:lvlJc w:val="left"/>
      <w:pPr>
        <w:ind w:left="3684" w:hanging="615"/>
      </w:pPr>
      <w:rPr>
        <w:rFonts w:hint="default"/>
      </w:rPr>
    </w:lvl>
    <w:lvl w:ilvl="5">
      <w:start w:val="1"/>
      <w:numFmt w:val="bullet"/>
      <w:lvlText w:val="•"/>
      <w:lvlJc w:val="left"/>
      <w:pPr>
        <w:ind w:left="4580" w:hanging="615"/>
      </w:pPr>
      <w:rPr>
        <w:rFonts w:hint="default"/>
      </w:rPr>
    </w:lvl>
    <w:lvl w:ilvl="6">
      <w:start w:val="1"/>
      <w:numFmt w:val="bullet"/>
      <w:lvlText w:val="•"/>
      <w:lvlJc w:val="left"/>
      <w:pPr>
        <w:ind w:left="5476" w:hanging="615"/>
      </w:pPr>
      <w:rPr>
        <w:rFonts w:hint="default"/>
      </w:rPr>
    </w:lvl>
    <w:lvl w:ilvl="7">
      <w:start w:val="1"/>
      <w:numFmt w:val="bullet"/>
      <w:lvlText w:val="•"/>
      <w:lvlJc w:val="left"/>
      <w:pPr>
        <w:ind w:left="6372" w:hanging="615"/>
      </w:pPr>
      <w:rPr>
        <w:rFonts w:hint="default"/>
      </w:rPr>
    </w:lvl>
    <w:lvl w:ilvl="8">
      <w:start w:val="1"/>
      <w:numFmt w:val="bullet"/>
      <w:lvlText w:val="•"/>
      <w:lvlJc w:val="left"/>
      <w:pPr>
        <w:ind w:left="7268" w:hanging="615"/>
      </w:pPr>
      <w:rPr>
        <w:rFonts w:hint="default"/>
      </w:rPr>
    </w:lvl>
  </w:abstractNum>
  <w:abstractNum w:abstractNumId="38">
    <w:multiLevelType w:val="hybridMultilevel"/>
    <w:lvl w:ilvl="0">
      <w:start w:val="1"/>
      <w:numFmt w:val="decimal"/>
      <w:lvlText w:val="%1."/>
      <w:lvlJc w:val="left"/>
      <w:pPr>
        <w:ind w:left="346" w:hanging="245"/>
        <w:jc w:val="left"/>
      </w:pPr>
      <w:rPr>
        <w:rFonts w:hint="default" w:ascii="Arial" w:hAnsi="Arial" w:eastAsia="Arial" w:cs="Arial"/>
        <w:b/>
        <w:bCs/>
        <w:w w:val="100"/>
        <w:sz w:val="22"/>
        <w:szCs w:val="22"/>
      </w:rPr>
    </w:lvl>
    <w:lvl w:ilvl="1">
      <w:start w:val="1"/>
      <w:numFmt w:val="bullet"/>
      <w:lvlText w:val="•"/>
      <w:lvlJc w:val="left"/>
      <w:pPr>
        <w:ind w:left="1274" w:hanging="245"/>
      </w:pPr>
      <w:rPr>
        <w:rFonts w:hint="default"/>
      </w:rPr>
    </w:lvl>
    <w:lvl w:ilvl="2">
      <w:start w:val="1"/>
      <w:numFmt w:val="bullet"/>
      <w:lvlText w:val="•"/>
      <w:lvlJc w:val="left"/>
      <w:pPr>
        <w:ind w:left="2208" w:hanging="245"/>
      </w:pPr>
      <w:rPr>
        <w:rFonts w:hint="default"/>
      </w:rPr>
    </w:lvl>
    <w:lvl w:ilvl="3">
      <w:start w:val="1"/>
      <w:numFmt w:val="bullet"/>
      <w:lvlText w:val="•"/>
      <w:lvlJc w:val="left"/>
      <w:pPr>
        <w:ind w:left="3142" w:hanging="245"/>
      </w:pPr>
      <w:rPr>
        <w:rFonts w:hint="default"/>
      </w:rPr>
    </w:lvl>
    <w:lvl w:ilvl="4">
      <w:start w:val="1"/>
      <w:numFmt w:val="bullet"/>
      <w:lvlText w:val="•"/>
      <w:lvlJc w:val="left"/>
      <w:pPr>
        <w:ind w:left="4076" w:hanging="245"/>
      </w:pPr>
      <w:rPr>
        <w:rFonts w:hint="default"/>
      </w:rPr>
    </w:lvl>
    <w:lvl w:ilvl="5">
      <w:start w:val="1"/>
      <w:numFmt w:val="bullet"/>
      <w:lvlText w:val="•"/>
      <w:lvlJc w:val="left"/>
      <w:pPr>
        <w:ind w:left="5010" w:hanging="245"/>
      </w:pPr>
      <w:rPr>
        <w:rFonts w:hint="default"/>
      </w:rPr>
    </w:lvl>
    <w:lvl w:ilvl="6">
      <w:start w:val="1"/>
      <w:numFmt w:val="bullet"/>
      <w:lvlText w:val="•"/>
      <w:lvlJc w:val="left"/>
      <w:pPr>
        <w:ind w:left="5944" w:hanging="245"/>
      </w:pPr>
      <w:rPr>
        <w:rFonts w:hint="default"/>
      </w:rPr>
    </w:lvl>
    <w:lvl w:ilvl="7">
      <w:start w:val="1"/>
      <w:numFmt w:val="bullet"/>
      <w:lvlText w:val="•"/>
      <w:lvlJc w:val="left"/>
      <w:pPr>
        <w:ind w:left="6878" w:hanging="245"/>
      </w:pPr>
      <w:rPr>
        <w:rFonts w:hint="default"/>
      </w:rPr>
    </w:lvl>
    <w:lvl w:ilvl="8">
      <w:start w:val="1"/>
      <w:numFmt w:val="bullet"/>
      <w:lvlText w:val="•"/>
      <w:lvlJc w:val="left"/>
      <w:pPr>
        <w:ind w:left="7812" w:hanging="245"/>
      </w:pPr>
      <w:rPr>
        <w:rFonts w:hint="default"/>
      </w:rPr>
    </w:lvl>
  </w:abstractNum>
  <w:abstractNum w:abstractNumId="37">
    <w:multiLevelType w:val="hybridMultilevel"/>
    <w:lvl w:ilvl="0">
      <w:start w:val="1"/>
      <w:numFmt w:val="lowerLetter"/>
      <w:lvlText w:val="%1)"/>
      <w:lvlJc w:val="left"/>
      <w:pPr>
        <w:ind w:left="822" w:hanging="360"/>
        <w:jc w:val="right"/>
      </w:pPr>
      <w:rPr>
        <w:rFonts w:hint="default"/>
        <w:b/>
        <w:bCs/>
        <w:i/>
        <w:spacing w:val="-1"/>
        <w:w w:val="10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6">
    <w:multiLevelType w:val="hybridMultilevel"/>
    <w:lvl w:ilvl="0">
      <w:start w:val="4"/>
      <w:numFmt w:val="decimal"/>
      <w:lvlText w:val="%1"/>
      <w:lvlJc w:val="left"/>
      <w:pPr>
        <w:ind w:left="531" w:hanging="430"/>
        <w:jc w:val="left"/>
      </w:pPr>
      <w:rPr>
        <w:rFonts w:hint="default"/>
      </w:rPr>
    </w:lvl>
    <w:lvl w:ilvl="1">
      <w:start w:val="1"/>
      <w:numFmt w:val="decimal"/>
      <w:lvlText w:val="%1.%2."/>
      <w:lvlJc w:val="left"/>
      <w:pPr>
        <w:ind w:left="102" w:hanging="430"/>
        <w:jc w:val="left"/>
      </w:pPr>
      <w:rPr>
        <w:rFonts w:hint="default" w:ascii="Arial" w:hAnsi="Arial" w:eastAsia="Arial" w:cs="Arial"/>
        <w:b/>
        <w:bCs/>
        <w:w w:val="100"/>
        <w:sz w:val="22"/>
        <w:szCs w:val="22"/>
      </w:rPr>
    </w:lvl>
    <w:lvl w:ilvl="2">
      <w:start w:val="1"/>
      <w:numFmt w:val="bullet"/>
      <w:lvlText w:val=""/>
      <w:lvlJc w:val="left"/>
      <w:pPr>
        <w:ind w:left="882" w:hanging="360"/>
      </w:pPr>
      <w:rPr>
        <w:rFonts w:hint="default" w:ascii="Symbol" w:hAnsi="Symbol" w:eastAsia="Symbol" w:cs="Symbol"/>
        <w:w w:val="100"/>
        <w:sz w:val="22"/>
        <w:szCs w:val="22"/>
      </w:rPr>
    </w:lvl>
    <w:lvl w:ilvl="3">
      <w:start w:val="1"/>
      <w:numFmt w:val="bullet"/>
      <w:lvlText w:val="•"/>
      <w:lvlJc w:val="left"/>
      <w:pPr>
        <w:ind w:left="1902" w:hanging="360"/>
      </w:pPr>
      <w:rPr>
        <w:rFonts w:hint="default"/>
      </w:rPr>
    </w:lvl>
    <w:lvl w:ilvl="4">
      <w:start w:val="1"/>
      <w:numFmt w:val="bullet"/>
      <w:lvlText w:val="•"/>
      <w:lvlJc w:val="left"/>
      <w:pPr>
        <w:ind w:left="2925" w:hanging="360"/>
      </w:pPr>
      <w:rPr>
        <w:rFonts w:hint="default"/>
      </w:rPr>
    </w:lvl>
    <w:lvl w:ilvl="5">
      <w:start w:val="1"/>
      <w:numFmt w:val="bullet"/>
      <w:lvlText w:val="•"/>
      <w:lvlJc w:val="left"/>
      <w:pPr>
        <w:ind w:left="3947" w:hanging="360"/>
      </w:pPr>
      <w:rPr>
        <w:rFonts w:hint="default"/>
      </w:rPr>
    </w:lvl>
    <w:lvl w:ilvl="6">
      <w:start w:val="1"/>
      <w:numFmt w:val="bullet"/>
      <w:lvlText w:val="•"/>
      <w:lvlJc w:val="left"/>
      <w:pPr>
        <w:ind w:left="4970" w:hanging="360"/>
      </w:pPr>
      <w:rPr>
        <w:rFonts w:hint="default"/>
      </w:rPr>
    </w:lvl>
    <w:lvl w:ilvl="7">
      <w:start w:val="1"/>
      <w:numFmt w:val="bullet"/>
      <w:lvlText w:val="•"/>
      <w:lvlJc w:val="left"/>
      <w:pPr>
        <w:ind w:left="5992" w:hanging="360"/>
      </w:pPr>
      <w:rPr>
        <w:rFonts w:hint="default"/>
      </w:rPr>
    </w:lvl>
    <w:lvl w:ilvl="8">
      <w:start w:val="1"/>
      <w:numFmt w:val="bullet"/>
      <w:lvlText w:val="•"/>
      <w:lvlJc w:val="left"/>
      <w:pPr>
        <w:ind w:left="7015" w:hanging="360"/>
      </w:pPr>
      <w:rPr>
        <w:rFonts w:hint="default"/>
      </w:rPr>
    </w:lvl>
  </w:abstractNum>
  <w:abstractNum w:abstractNumId="35">
    <w:multiLevelType w:val="hybridMultilevel"/>
    <w:lvl w:ilvl="0">
      <w:start w:val="7"/>
      <w:numFmt w:val="decimal"/>
      <w:lvlText w:val="%1."/>
      <w:lvlJc w:val="left"/>
      <w:pPr>
        <w:ind w:left="102" w:hanging="248"/>
        <w:jc w:val="left"/>
      </w:pPr>
      <w:rPr>
        <w:rFonts w:hint="default" w:ascii="Arial" w:hAnsi="Arial" w:eastAsia="Arial" w:cs="Arial"/>
        <w:b/>
        <w:bCs/>
        <w:w w:val="100"/>
        <w:sz w:val="22"/>
        <w:szCs w:val="22"/>
      </w:rPr>
    </w:lvl>
    <w:lvl w:ilvl="1">
      <w:start w:val="1"/>
      <w:numFmt w:val="bullet"/>
      <w:lvlText w:val="•"/>
      <w:lvlJc w:val="left"/>
      <w:pPr>
        <w:ind w:left="996" w:hanging="248"/>
      </w:pPr>
      <w:rPr>
        <w:rFonts w:hint="default"/>
      </w:rPr>
    </w:lvl>
    <w:lvl w:ilvl="2">
      <w:start w:val="1"/>
      <w:numFmt w:val="bullet"/>
      <w:lvlText w:val="•"/>
      <w:lvlJc w:val="left"/>
      <w:pPr>
        <w:ind w:left="1892" w:hanging="248"/>
      </w:pPr>
      <w:rPr>
        <w:rFonts w:hint="default"/>
      </w:rPr>
    </w:lvl>
    <w:lvl w:ilvl="3">
      <w:start w:val="1"/>
      <w:numFmt w:val="bullet"/>
      <w:lvlText w:val="•"/>
      <w:lvlJc w:val="left"/>
      <w:pPr>
        <w:ind w:left="2788" w:hanging="248"/>
      </w:pPr>
      <w:rPr>
        <w:rFonts w:hint="default"/>
      </w:rPr>
    </w:lvl>
    <w:lvl w:ilvl="4">
      <w:start w:val="1"/>
      <w:numFmt w:val="bullet"/>
      <w:lvlText w:val="•"/>
      <w:lvlJc w:val="left"/>
      <w:pPr>
        <w:ind w:left="3684" w:hanging="248"/>
      </w:pPr>
      <w:rPr>
        <w:rFonts w:hint="default"/>
      </w:rPr>
    </w:lvl>
    <w:lvl w:ilvl="5">
      <w:start w:val="1"/>
      <w:numFmt w:val="bullet"/>
      <w:lvlText w:val="•"/>
      <w:lvlJc w:val="left"/>
      <w:pPr>
        <w:ind w:left="4580" w:hanging="248"/>
      </w:pPr>
      <w:rPr>
        <w:rFonts w:hint="default"/>
      </w:rPr>
    </w:lvl>
    <w:lvl w:ilvl="6">
      <w:start w:val="1"/>
      <w:numFmt w:val="bullet"/>
      <w:lvlText w:val="•"/>
      <w:lvlJc w:val="left"/>
      <w:pPr>
        <w:ind w:left="5476" w:hanging="248"/>
      </w:pPr>
      <w:rPr>
        <w:rFonts w:hint="default"/>
      </w:rPr>
    </w:lvl>
    <w:lvl w:ilvl="7">
      <w:start w:val="1"/>
      <w:numFmt w:val="bullet"/>
      <w:lvlText w:val="•"/>
      <w:lvlJc w:val="left"/>
      <w:pPr>
        <w:ind w:left="6372" w:hanging="248"/>
      </w:pPr>
      <w:rPr>
        <w:rFonts w:hint="default"/>
      </w:rPr>
    </w:lvl>
    <w:lvl w:ilvl="8">
      <w:start w:val="1"/>
      <w:numFmt w:val="bullet"/>
      <w:lvlText w:val="•"/>
      <w:lvlJc w:val="left"/>
      <w:pPr>
        <w:ind w:left="7268" w:hanging="248"/>
      </w:pPr>
      <w:rPr>
        <w:rFonts w:hint="default"/>
      </w:rPr>
    </w:lvl>
  </w:abstractNum>
  <w:abstractNum w:abstractNumId="34">
    <w:multiLevelType w:val="hybridMultilevel"/>
    <w:lvl w:ilvl="0">
      <w:start w:val="3"/>
      <w:numFmt w:val="decimal"/>
      <w:lvlText w:val="%1"/>
      <w:lvlJc w:val="left"/>
      <w:pPr>
        <w:ind w:left="102" w:hanging="430"/>
        <w:jc w:val="left"/>
      </w:pPr>
      <w:rPr>
        <w:rFonts w:hint="default"/>
      </w:rPr>
    </w:lvl>
    <w:lvl w:ilvl="1">
      <w:start w:val="1"/>
      <w:numFmt w:val="decimal"/>
      <w:lvlText w:val="%1.%2."/>
      <w:lvlJc w:val="left"/>
      <w:pPr>
        <w:ind w:left="102" w:hanging="430"/>
        <w:jc w:val="left"/>
      </w:pPr>
      <w:rPr>
        <w:rFonts w:hint="default" w:ascii="Arial" w:hAnsi="Arial" w:eastAsia="Arial" w:cs="Arial"/>
        <w:b/>
        <w:bCs/>
        <w:w w:val="100"/>
        <w:sz w:val="22"/>
        <w:szCs w:val="22"/>
      </w:rPr>
    </w:lvl>
    <w:lvl w:ilvl="2">
      <w:start w:val="1"/>
      <w:numFmt w:val="bullet"/>
      <w:lvlText w:val="•"/>
      <w:lvlJc w:val="left"/>
      <w:pPr>
        <w:ind w:left="1892" w:hanging="430"/>
      </w:pPr>
      <w:rPr>
        <w:rFonts w:hint="default"/>
      </w:rPr>
    </w:lvl>
    <w:lvl w:ilvl="3">
      <w:start w:val="1"/>
      <w:numFmt w:val="bullet"/>
      <w:lvlText w:val="•"/>
      <w:lvlJc w:val="left"/>
      <w:pPr>
        <w:ind w:left="2788" w:hanging="430"/>
      </w:pPr>
      <w:rPr>
        <w:rFonts w:hint="default"/>
      </w:rPr>
    </w:lvl>
    <w:lvl w:ilvl="4">
      <w:start w:val="1"/>
      <w:numFmt w:val="bullet"/>
      <w:lvlText w:val="•"/>
      <w:lvlJc w:val="left"/>
      <w:pPr>
        <w:ind w:left="3684" w:hanging="430"/>
      </w:pPr>
      <w:rPr>
        <w:rFonts w:hint="default"/>
      </w:rPr>
    </w:lvl>
    <w:lvl w:ilvl="5">
      <w:start w:val="1"/>
      <w:numFmt w:val="bullet"/>
      <w:lvlText w:val="•"/>
      <w:lvlJc w:val="left"/>
      <w:pPr>
        <w:ind w:left="4580" w:hanging="430"/>
      </w:pPr>
      <w:rPr>
        <w:rFonts w:hint="default"/>
      </w:rPr>
    </w:lvl>
    <w:lvl w:ilvl="6">
      <w:start w:val="1"/>
      <w:numFmt w:val="bullet"/>
      <w:lvlText w:val="•"/>
      <w:lvlJc w:val="left"/>
      <w:pPr>
        <w:ind w:left="5476" w:hanging="430"/>
      </w:pPr>
      <w:rPr>
        <w:rFonts w:hint="default"/>
      </w:rPr>
    </w:lvl>
    <w:lvl w:ilvl="7">
      <w:start w:val="1"/>
      <w:numFmt w:val="bullet"/>
      <w:lvlText w:val="•"/>
      <w:lvlJc w:val="left"/>
      <w:pPr>
        <w:ind w:left="6372" w:hanging="430"/>
      </w:pPr>
      <w:rPr>
        <w:rFonts w:hint="default"/>
      </w:rPr>
    </w:lvl>
    <w:lvl w:ilvl="8">
      <w:start w:val="1"/>
      <w:numFmt w:val="bullet"/>
      <w:lvlText w:val="•"/>
      <w:lvlJc w:val="left"/>
      <w:pPr>
        <w:ind w:left="7268" w:hanging="430"/>
      </w:pPr>
      <w:rPr>
        <w:rFonts w:hint="default"/>
      </w:rPr>
    </w:lvl>
  </w:abstractNum>
  <w:abstractNum w:abstractNumId="33">
    <w:multiLevelType w:val="hybridMultilevel"/>
    <w:lvl w:ilvl="0">
      <w:start w:val="2"/>
      <w:numFmt w:val="decimal"/>
      <w:lvlText w:val="%1"/>
      <w:lvlJc w:val="left"/>
      <w:pPr>
        <w:ind w:left="531" w:hanging="430"/>
        <w:jc w:val="left"/>
      </w:pPr>
      <w:rPr>
        <w:rFonts w:hint="default"/>
      </w:rPr>
    </w:lvl>
    <w:lvl w:ilvl="1">
      <w:start w:val="4"/>
      <w:numFmt w:val="decimal"/>
      <w:lvlText w:val="%1.%2."/>
      <w:lvlJc w:val="left"/>
      <w:pPr>
        <w:ind w:left="531" w:hanging="430"/>
        <w:jc w:val="left"/>
      </w:pPr>
      <w:rPr>
        <w:rFonts w:hint="default" w:ascii="Arial" w:hAnsi="Arial" w:eastAsia="Arial" w:cs="Arial"/>
        <w:b/>
        <w:bCs/>
        <w:w w:val="100"/>
        <w:sz w:val="22"/>
        <w:szCs w:val="22"/>
      </w:rPr>
    </w:lvl>
    <w:lvl w:ilvl="2">
      <w:start w:val="1"/>
      <w:numFmt w:val="decimal"/>
      <w:lvlText w:val="%1.%2.%3."/>
      <w:lvlJc w:val="left"/>
      <w:pPr>
        <w:ind w:left="102" w:hanging="614"/>
        <w:jc w:val="left"/>
      </w:pPr>
      <w:rPr>
        <w:rFonts w:hint="default" w:ascii="Arial" w:hAnsi="Arial" w:eastAsia="Arial" w:cs="Arial"/>
        <w:b/>
        <w:bCs/>
        <w:spacing w:val="-3"/>
        <w:w w:val="100"/>
        <w:sz w:val="22"/>
        <w:szCs w:val="22"/>
      </w:rPr>
    </w:lvl>
    <w:lvl w:ilvl="3">
      <w:start w:val="1"/>
      <w:numFmt w:val="bullet"/>
      <w:lvlText w:val="•"/>
      <w:lvlJc w:val="left"/>
      <w:pPr>
        <w:ind w:left="2433" w:hanging="614"/>
      </w:pPr>
      <w:rPr>
        <w:rFonts w:hint="default"/>
      </w:rPr>
    </w:lvl>
    <w:lvl w:ilvl="4">
      <w:start w:val="1"/>
      <w:numFmt w:val="bullet"/>
      <w:lvlText w:val="•"/>
      <w:lvlJc w:val="left"/>
      <w:pPr>
        <w:ind w:left="3380" w:hanging="614"/>
      </w:pPr>
      <w:rPr>
        <w:rFonts w:hint="default"/>
      </w:rPr>
    </w:lvl>
    <w:lvl w:ilvl="5">
      <w:start w:val="1"/>
      <w:numFmt w:val="bullet"/>
      <w:lvlText w:val="•"/>
      <w:lvlJc w:val="left"/>
      <w:pPr>
        <w:ind w:left="4326" w:hanging="614"/>
      </w:pPr>
      <w:rPr>
        <w:rFonts w:hint="default"/>
      </w:rPr>
    </w:lvl>
    <w:lvl w:ilvl="6">
      <w:start w:val="1"/>
      <w:numFmt w:val="bullet"/>
      <w:lvlText w:val="•"/>
      <w:lvlJc w:val="left"/>
      <w:pPr>
        <w:ind w:left="5273" w:hanging="614"/>
      </w:pPr>
      <w:rPr>
        <w:rFonts w:hint="default"/>
      </w:rPr>
    </w:lvl>
    <w:lvl w:ilvl="7">
      <w:start w:val="1"/>
      <w:numFmt w:val="bullet"/>
      <w:lvlText w:val="•"/>
      <w:lvlJc w:val="left"/>
      <w:pPr>
        <w:ind w:left="6220" w:hanging="614"/>
      </w:pPr>
      <w:rPr>
        <w:rFonts w:hint="default"/>
      </w:rPr>
    </w:lvl>
    <w:lvl w:ilvl="8">
      <w:start w:val="1"/>
      <w:numFmt w:val="bullet"/>
      <w:lvlText w:val="•"/>
      <w:lvlJc w:val="left"/>
      <w:pPr>
        <w:ind w:left="7166" w:hanging="614"/>
      </w:pPr>
      <w:rPr>
        <w:rFonts w:hint="default"/>
      </w:rPr>
    </w:lvl>
  </w:abstractNum>
  <w:abstractNum w:abstractNumId="32">
    <w:multiLevelType w:val="hybridMultilevel"/>
    <w:lvl w:ilvl="0">
      <w:start w:val="1"/>
      <w:numFmt w:val="bullet"/>
      <w:lvlText w:val="-"/>
      <w:lvlJc w:val="left"/>
      <w:pPr>
        <w:ind w:left="102" w:hanging="137"/>
      </w:pPr>
      <w:rPr>
        <w:rFonts w:hint="default" w:ascii="Arial" w:hAnsi="Arial" w:eastAsia="Arial" w:cs="Arial"/>
        <w:w w:val="100"/>
        <w:sz w:val="22"/>
        <w:szCs w:val="22"/>
      </w:rPr>
    </w:lvl>
    <w:lvl w:ilvl="1">
      <w:start w:val="1"/>
      <w:numFmt w:val="bullet"/>
      <w:lvlText w:val="•"/>
      <w:lvlJc w:val="left"/>
      <w:pPr>
        <w:ind w:left="996" w:hanging="137"/>
      </w:pPr>
      <w:rPr>
        <w:rFonts w:hint="default"/>
      </w:rPr>
    </w:lvl>
    <w:lvl w:ilvl="2">
      <w:start w:val="1"/>
      <w:numFmt w:val="bullet"/>
      <w:lvlText w:val="•"/>
      <w:lvlJc w:val="left"/>
      <w:pPr>
        <w:ind w:left="1892" w:hanging="137"/>
      </w:pPr>
      <w:rPr>
        <w:rFonts w:hint="default"/>
      </w:rPr>
    </w:lvl>
    <w:lvl w:ilvl="3">
      <w:start w:val="1"/>
      <w:numFmt w:val="bullet"/>
      <w:lvlText w:val="•"/>
      <w:lvlJc w:val="left"/>
      <w:pPr>
        <w:ind w:left="2788" w:hanging="137"/>
      </w:pPr>
      <w:rPr>
        <w:rFonts w:hint="default"/>
      </w:rPr>
    </w:lvl>
    <w:lvl w:ilvl="4">
      <w:start w:val="1"/>
      <w:numFmt w:val="bullet"/>
      <w:lvlText w:val="•"/>
      <w:lvlJc w:val="left"/>
      <w:pPr>
        <w:ind w:left="3684" w:hanging="137"/>
      </w:pPr>
      <w:rPr>
        <w:rFonts w:hint="default"/>
      </w:rPr>
    </w:lvl>
    <w:lvl w:ilvl="5">
      <w:start w:val="1"/>
      <w:numFmt w:val="bullet"/>
      <w:lvlText w:val="•"/>
      <w:lvlJc w:val="left"/>
      <w:pPr>
        <w:ind w:left="4580" w:hanging="137"/>
      </w:pPr>
      <w:rPr>
        <w:rFonts w:hint="default"/>
      </w:rPr>
    </w:lvl>
    <w:lvl w:ilvl="6">
      <w:start w:val="1"/>
      <w:numFmt w:val="bullet"/>
      <w:lvlText w:val="•"/>
      <w:lvlJc w:val="left"/>
      <w:pPr>
        <w:ind w:left="5476" w:hanging="137"/>
      </w:pPr>
      <w:rPr>
        <w:rFonts w:hint="default"/>
      </w:rPr>
    </w:lvl>
    <w:lvl w:ilvl="7">
      <w:start w:val="1"/>
      <w:numFmt w:val="bullet"/>
      <w:lvlText w:val="•"/>
      <w:lvlJc w:val="left"/>
      <w:pPr>
        <w:ind w:left="6372" w:hanging="137"/>
      </w:pPr>
      <w:rPr>
        <w:rFonts w:hint="default"/>
      </w:rPr>
    </w:lvl>
    <w:lvl w:ilvl="8">
      <w:start w:val="1"/>
      <w:numFmt w:val="bullet"/>
      <w:lvlText w:val="•"/>
      <w:lvlJc w:val="left"/>
      <w:pPr>
        <w:ind w:left="7268" w:hanging="137"/>
      </w:pPr>
      <w:rPr>
        <w:rFonts w:hint="default"/>
      </w:rPr>
    </w:lvl>
  </w:abstractNum>
  <w:abstractNum w:abstractNumId="31">
    <w:multiLevelType w:val="hybridMultilevel"/>
    <w:lvl w:ilvl="0">
      <w:start w:val="1"/>
      <w:numFmt w:val="bullet"/>
      <w:lvlText w:val="•"/>
      <w:lvlJc w:val="left"/>
      <w:pPr>
        <w:ind w:left="102" w:hanging="139"/>
      </w:pPr>
      <w:rPr>
        <w:rFonts w:hint="default" w:ascii="Arial" w:hAnsi="Arial" w:eastAsia="Arial" w:cs="Arial"/>
        <w:w w:val="100"/>
        <w:sz w:val="22"/>
        <w:szCs w:val="22"/>
      </w:rPr>
    </w:lvl>
    <w:lvl w:ilvl="1">
      <w:start w:val="1"/>
      <w:numFmt w:val="bullet"/>
      <w:lvlText w:val=""/>
      <w:lvlJc w:val="left"/>
      <w:pPr>
        <w:ind w:left="822" w:hanging="360"/>
      </w:pPr>
      <w:rPr>
        <w:rFonts w:hint="default" w:ascii="Symbol" w:hAnsi="Symbol" w:eastAsia="Symbol" w:cs="Symbol"/>
        <w:w w:val="100"/>
        <w:sz w:val="22"/>
        <w:szCs w:val="22"/>
      </w:rPr>
    </w:lvl>
    <w:lvl w:ilvl="2">
      <w:start w:val="1"/>
      <w:numFmt w:val="bullet"/>
      <w:lvlText w:val=""/>
      <w:lvlJc w:val="left"/>
      <w:pPr>
        <w:ind w:left="942" w:hanging="360"/>
      </w:pPr>
      <w:rPr>
        <w:rFonts w:hint="default" w:ascii="Symbol" w:hAnsi="Symbol" w:eastAsia="Symbol" w:cs="Symbol"/>
        <w:w w:val="100"/>
        <w:sz w:val="22"/>
        <w:szCs w:val="22"/>
      </w:rPr>
    </w:lvl>
    <w:lvl w:ilvl="3">
      <w:start w:val="1"/>
      <w:numFmt w:val="bullet"/>
      <w:lvlText w:val="•"/>
      <w:lvlJc w:val="left"/>
      <w:pPr>
        <w:ind w:left="1955" w:hanging="360"/>
      </w:pPr>
      <w:rPr>
        <w:rFonts w:hint="default"/>
      </w:rPr>
    </w:lvl>
    <w:lvl w:ilvl="4">
      <w:start w:val="1"/>
      <w:numFmt w:val="bullet"/>
      <w:lvlText w:val="•"/>
      <w:lvlJc w:val="left"/>
      <w:pPr>
        <w:ind w:left="2970" w:hanging="360"/>
      </w:pPr>
      <w:rPr>
        <w:rFonts w:hint="default"/>
      </w:rPr>
    </w:lvl>
    <w:lvl w:ilvl="5">
      <w:start w:val="1"/>
      <w:numFmt w:val="bullet"/>
      <w:lvlText w:val="•"/>
      <w:lvlJc w:val="left"/>
      <w:pPr>
        <w:ind w:left="3985" w:hanging="360"/>
      </w:pPr>
      <w:rPr>
        <w:rFonts w:hint="default"/>
      </w:rPr>
    </w:lvl>
    <w:lvl w:ilvl="6">
      <w:start w:val="1"/>
      <w:numFmt w:val="bullet"/>
      <w:lvlText w:val="•"/>
      <w:lvlJc w:val="left"/>
      <w:pPr>
        <w:ind w:left="5000" w:hanging="360"/>
      </w:pPr>
      <w:rPr>
        <w:rFonts w:hint="default"/>
      </w:rPr>
    </w:lvl>
    <w:lvl w:ilvl="7">
      <w:start w:val="1"/>
      <w:numFmt w:val="bullet"/>
      <w:lvlText w:val="•"/>
      <w:lvlJc w:val="left"/>
      <w:pPr>
        <w:ind w:left="6015" w:hanging="360"/>
      </w:pPr>
      <w:rPr>
        <w:rFonts w:hint="default"/>
      </w:rPr>
    </w:lvl>
    <w:lvl w:ilvl="8">
      <w:start w:val="1"/>
      <w:numFmt w:val="bullet"/>
      <w:lvlText w:val="•"/>
      <w:lvlJc w:val="left"/>
      <w:pPr>
        <w:ind w:left="7030" w:hanging="360"/>
      </w:pPr>
      <w:rPr>
        <w:rFonts w:hint="default"/>
      </w:rPr>
    </w:lvl>
  </w:abstractNum>
  <w:abstractNum w:abstractNumId="30">
    <w:multiLevelType w:val="hybridMultilevel"/>
    <w:lvl w:ilvl="0">
      <w:start w:val="1"/>
      <w:numFmt w:val="bullet"/>
      <w:lvlText w:val="•"/>
      <w:lvlJc w:val="left"/>
      <w:pPr>
        <w:ind w:left="241" w:hanging="140"/>
      </w:pPr>
      <w:rPr>
        <w:rFonts w:hint="default" w:ascii="Arial" w:hAnsi="Arial" w:eastAsia="Arial" w:cs="Arial"/>
        <w:b/>
        <w:bCs/>
        <w:w w:val="100"/>
        <w:sz w:val="22"/>
        <w:szCs w:val="22"/>
      </w:rPr>
    </w:lvl>
    <w:lvl w:ilvl="1">
      <w:start w:val="1"/>
      <w:numFmt w:val="bullet"/>
      <w:lvlText w:val="•"/>
      <w:lvlJc w:val="left"/>
      <w:pPr>
        <w:ind w:left="1122" w:hanging="140"/>
      </w:pPr>
      <w:rPr>
        <w:rFonts w:hint="default"/>
      </w:rPr>
    </w:lvl>
    <w:lvl w:ilvl="2">
      <w:start w:val="1"/>
      <w:numFmt w:val="bullet"/>
      <w:lvlText w:val="•"/>
      <w:lvlJc w:val="left"/>
      <w:pPr>
        <w:ind w:left="2004" w:hanging="140"/>
      </w:pPr>
      <w:rPr>
        <w:rFonts w:hint="default"/>
      </w:rPr>
    </w:lvl>
    <w:lvl w:ilvl="3">
      <w:start w:val="1"/>
      <w:numFmt w:val="bullet"/>
      <w:lvlText w:val="•"/>
      <w:lvlJc w:val="left"/>
      <w:pPr>
        <w:ind w:left="2886" w:hanging="140"/>
      </w:pPr>
      <w:rPr>
        <w:rFonts w:hint="default"/>
      </w:rPr>
    </w:lvl>
    <w:lvl w:ilvl="4">
      <w:start w:val="1"/>
      <w:numFmt w:val="bullet"/>
      <w:lvlText w:val="•"/>
      <w:lvlJc w:val="left"/>
      <w:pPr>
        <w:ind w:left="3768" w:hanging="140"/>
      </w:pPr>
      <w:rPr>
        <w:rFonts w:hint="default"/>
      </w:rPr>
    </w:lvl>
    <w:lvl w:ilvl="5">
      <w:start w:val="1"/>
      <w:numFmt w:val="bullet"/>
      <w:lvlText w:val="•"/>
      <w:lvlJc w:val="left"/>
      <w:pPr>
        <w:ind w:left="4650" w:hanging="140"/>
      </w:pPr>
      <w:rPr>
        <w:rFonts w:hint="default"/>
      </w:rPr>
    </w:lvl>
    <w:lvl w:ilvl="6">
      <w:start w:val="1"/>
      <w:numFmt w:val="bullet"/>
      <w:lvlText w:val="•"/>
      <w:lvlJc w:val="left"/>
      <w:pPr>
        <w:ind w:left="5532" w:hanging="140"/>
      </w:pPr>
      <w:rPr>
        <w:rFonts w:hint="default"/>
      </w:rPr>
    </w:lvl>
    <w:lvl w:ilvl="7">
      <w:start w:val="1"/>
      <w:numFmt w:val="bullet"/>
      <w:lvlText w:val="•"/>
      <w:lvlJc w:val="left"/>
      <w:pPr>
        <w:ind w:left="6414" w:hanging="140"/>
      </w:pPr>
      <w:rPr>
        <w:rFonts w:hint="default"/>
      </w:rPr>
    </w:lvl>
    <w:lvl w:ilvl="8">
      <w:start w:val="1"/>
      <w:numFmt w:val="bullet"/>
      <w:lvlText w:val="•"/>
      <w:lvlJc w:val="left"/>
      <w:pPr>
        <w:ind w:left="7296" w:hanging="140"/>
      </w:pPr>
      <w:rPr>
        <w:rFonts w:hint="default"/>
      </w:rPr>
    </w:lvl>
  </w:abstractNum>
  <w:abstractNum w:abstractNumId="29">
    <w:multiLevelType w:val="hybridMultilevel"/>
    <w:lvl w:ilvl="0">
      <w:start w:val="1"/>
      <w:numFmt w:val="bullet"/>
      <w:lvlText w:val="-"/>
      <w:lvlJc w:val="left"/>
      <w:pPr>
        <w:ind w:left="102" w:hanging="147"/>
      </w:pPr>
      <w:rPr>
        <w:rFonts w:hint="default" w:ascii="Arial" w:hAnsi="Arial" w:eastAsia="Arial" w:cs="Arial"/>
        <w:w w:val="100"/>
        <w:sz w:val="22"/>
        <w:szCs w:val="22"/>
      </w:rPr>
    </w:lvl>
    <w:lvl w:ilvl="1">
      <w:start w:val="1"/>
      <w:numFmt w:val="bullet"/>
      <w:lvlText w:val="•"/>
      <w:lvlJc w:val="left"/>
      <w:pPr>
        <w:ind w:left="996" w:hanging="147"/>
      </w:pPr>
      <w:rPr>
        <w:rFonts w:hint="default"/>
      </w:rPr>
    </w:lvl>
    <w:lvl w:ilvl="2">
      <w:start w:val="1"/>
      <w:numFmt w:val="bullet"/>
      <w:lvlText w:val="•"/>
      <w:lvlJc w:val="left"/>
      <w:pPr>
        <w:ind w:left="1892" w:hanging="147"/>
      </w:pPr>
      <w:rPr>
        <w:rFonts w:hint="default"/>
      </w:rPr>
    </w:lvl>
    <w:lvl w:ilvl="3">
      <w:start w:val="1"/>
      <w:numFmt w:val="bullet"/>
      <w:lvlText w:val="•"/>
      <w:lvlJc w:val="left"/>
      <w:pPr>
        <w:ind w:left="2788" w:hanging="147"/>
      </w:pPr>
      <w:rPr>
        <w:rFonts w:hint="default"/>
      </w:rPr>
    </w:lvl>
    <w:lvl w:ilvl="4">
      <w:start w:val="1"/>
      <w:numFmt w:val="bullet"/>
      <w:lvlText w:val="•"/>
      <w:lvlJc w:val="left"/>
      <w:pPr>
        <w:ind w:left="3684" w:hanging="147"/>
      </w:pPr>
      <w:rPr>
        <w:rFonts w:hint="default"/>
      </w:rPr>
    </w:lvl>
    <w:lvl w:ilvl="5">
      <w:start w:val="1"/>
      <w:numFmt w:val="bullet"/>
      <w:lvlText w:val="•"/>
      <w:lvlJc w:val="left"/>
      <w:pPr>
        <w:ind w:left="4580" w:hanging="147"/>
      </w:pPr>
      <w:rPr>
        <w:rFonts w:hint="default"/>
      </w:rPr>
    </w:lvl>
    <w:lvl w:ilvl="6">
      <w:start w:val="1"/>
      <w:numFmt w:val="bullet"/>
      <w:lvlText w:val="•"/>
      <w:lvlJc w:val="left"/>
      <w:pPr>
        <w:ind w:left="5476" w:hanging="147"/>
      </w:pPr>
      <w:rPr>
        <w:rFonts w:hint="default"/>
      </w:rPr>
    </w:lvl>
    <w:lvl w:ilvl="7">
      <w:start w:val="1"/>
      <w:numFmt w:val="bullet"/>
      <w:lvlText w:val="•"/>
      <w:lvlJc w:val="left"/>
      <w:pPr>
        <w:ind w:left="6372" w:hanging="147"/>
      </w:pPr>
      <w:rPr>
        <w:rFonts w:hint="default"/>
      </w:rPr>
    </w:lvl>
    <w:lvl w:ilvl="8">
      <w:start w:val="1"/>
      <w:numFmt w:val="bullet"/>
      <w:lvlText w:val="•"/>
      <w:lvlJc w:val="left"/>
      <w:pPr>
        <w:ind w:left="7268" w:hanging="147"/>
      </w:pPr>
      <w:rPr>
        <w:rFonts w:hint="default"/>
      </w:rPr>
    </w:lvl>
  </w:abstractNum>
  <w:abstractNum w:abstractNumId="28">
    <w:multiLevelType w:val="hybridMultilevel"/>
    <w:lvl w:ilvl="0">
      <w:start w:val="1"/>
      <w:numFmt w:val="lowerRoman"/>
      <w:lvlText w:val="(%1)"/>
      <w:lvlJc w:val="left"/>
      <w:pPr>
        <w:ind w:left="102" w:hanging="290"/>
        <w:jc w:val="left"/>
      </w:pPr>
      <w:rPr>
        <w:rFonts w:hint="default" w:ascii="Arial" w:hAnsi="Arial" w:eastAsia="Arial" w:cs="Arial"/>
        <w:spacing w:val="-2"/>
        <w:w w:val="100"/>
        <w:sz w:val="22"/>
        <w:szCs w:val="22"/>
      </w:rPr>
    </w:lvl>
    <w:lvl w:ilvl="1">
      <w:start w:val="1"/>
      <w:numFmt w:val="bullet"/>
      <w:lvlText w:val="•"/>
      <w:lvlJc w:val="left"/>
      <w:pPr>
        <w:ind w:left="996" w:hanging="290"/>
      </w:pPr>
      <w:rPr>
        <w:rFonts w:hint="default"/>
      </w:rPr>
    </w:lvl>
    <w:lvl w:ilvl="2">
      <w:start w:val="1"/>
      <w:numFmt w:val="bullet"/>
      <w:lvlText w:val="•"/>
      <w:lvlJc w:val="left"/>
      <w:pPr>
        <w:ind w:left="1892" w:hanging="290"/>
      </w:pPr>
      <w:rPr>
        <w:rFonts w:hint="default"/>
      </w:rPr>
    </w:lvl>
    <w:lvl w:ilvl="3">
      <w:start w:val="1"/>
      <w:numFmt w:val="bullet"/>
      <w:lvlText w:val="•"/>
      <w:lvlJc w:val="left"/>
      <w:pPr>
        <w:ind w:left="2788" w:hanging="290"/>
      </w:pPr>
      <w:rPr>
        <w:rFonts w:hint="default"/>
      </w:rPr>
    </w:lvl>
    <w:lvl w:ilvl="4">
      <w:start w:val="1"/>
      <w:numFmt w:val="bullet"/>
      <w:lvlText w:val="•"/>
      <w:lvlJc w:val="left"/>
      <w:pPr>
        <w:ind w:left="3684" w:hanging="290"/>
      </w:pPr>
      <w:rPr>
        <w:rFonts w:hint="default"/>
      </w:rPr>
    </w:lvl>
    <w:lvl w:ilvl="5">
      <w:start w:val="1"/>
      <w:numFmt w:val="bullet"/>
      <w:lvlText w:val="•"/>
      <w:lvlJc w:val="left"/>
      <w:pPr>
        <w:ind w:left="4580" w:hanging="290"/>
      </w:pPr>
      <w:rPr>
        <w:rFonts w:hint="default"/>
      </w:rPr>
    </w:lvl>
    <w:lvl w:ilvl="6">
      <w:start w:val="1"/>
      <w:numFmt w:val="bullet"/>
      <w:lvlText w:val="•"/>
      <w:lvlJc w:val="left"/>
      <w:pPr>
        <w:ind w:left="5476" w:hanging="290"/>
      </w:pPr>
      <w:rPr>
        <w:rFonts w:hint="default"/>
      </w:rPr>
    </w:lvl>
    <w:lvl w:ilvl="7">
      <w:start w:val="1"/>
      <w:numFmt w:val="bullet"/>
      <w:lvlText w:val="•"/>
      <w:lvlJc w:val="left"/>
      <w:pPr>
        <w:ind w:left="6372" w:hanging="290"/>
      </w:pPr>
      <w:rPr>
        <w:rFonts w:hint="default"/>
      </w:rPr>
    </w:lvl>
    <w:lvl w:ilvl="8">
      <w:start w:val="1"/>
      <w:numFmt w:val="bullet"/>
      <w:lvlText w:val="•"/>
      <w:lvlJc w:val="left"/>
      <w:pPr>
        <w:ind w:left="7268" w:hanging="290"/>
      </w:pPr>
      <w:rPr>
        <w:rFonts w:hint="default"/>
      </w:rPr>
    </w:lvl>
  </w:abstractNum>
  <w:abstractNum w:abstractNumId="27">
    <w:multiLevelType w:val="hybridMultilevel"/>
    <w:lvl w:ilvl="0">
      <w:start w:val="1"/>
      <w:numFmt w:val="decimal"/>
      <w:lvlText w:val="%1."/>
      <w:lvlJc w:val="left"/>
      <w:pPr>
        <w:ind w:left="102" w:hanging="708"/>
        <w:jc w:val="left"/>
      </w:pPr>
      <w:rPr>
        <w:rFonts w:hint="default" w:ascii="Arial" w:hAnsi="Arial" w:eastAsia="Arial" w:cs="Arial"/>
        <w:spacing w:val="-1"/>
        <w:w w:val="100"/>
        <w:sz w:val="22"/>
        <w:szCs w:val="22"/>
      </w:rPr>
    </w:lvl>
    <w:lvl w:ilvl="1">
      <w:start w:val="1"/>
      <w:numFmt w:val="bullet"/>
      <w:lvlText w:val="•"/>
      <w:lvlJc w:val="left"/>
      <w:pPr>
        <w:ind w:left="996" w:hanging="708"/>
      </w:pPr>
      <w:rPr>
        <w:rFonts w:hint="default"/>
      </w:rPr>
    </w:lvl>
    <w:lvl w:ilvl="2">
      <w:start w:val="1"/>
      <w:numFmt w:val="bullet"/>
      <w:lvlText w:val="•"/>
      <w:lvlJc w:val="left"/>
      <w:pPr>
        <w:ind w:left="1892" w:hanging="708"/>
      </w:pPr>
      <w:rPr>
        <w:rFonts w:hint="default"/>
      </w:rPr>
    </w:lvl>
    <w:lvl w:ilvl="3">
      <w:start w:val="1"/>
      <w:numFmt w:val="bullet"/>
      <w:lvlText w:val="•"/>
      <w:lvlJc w:val="left"/>
      <w:pPr>
        <w:ind w:left="2788" w:hanging="708"/>
      </w:pPr>
      <w:rPr>
        <w:rFonts w:hint="default"/>
      </w:rPr>
    </w:lvl>
    <w:lvl w:ilvl="4">
      <w:start w:val="1"/>
      <w:numFmt w:val="bullet"/>
      <w:lvlText w:val="•"/>
      <w:lvlJc w:val="left"/>
      <w:pPr>
        <w:ind w:left="3684" w:hanging="708"/>
      </w:pPr>
      <w:rPr>
        <w:rFonts w:hint="default"/>
      </w:rPr>
    </w:lvl>
    <w:lvl w:ilvl="5">
      <w:start w:val="1"/>
      <w:numFmt w:val="bullet"/>
      <w:lvlText w:val="•"/>
      <w:lvlJc w:val="left"/>
      <w:pPr>
        <w:ind w:left="4580" w:hanging="708"/>
      </w:pPr>
      <w:rPr>
        <w:rFonts w:hint="default"/>
      </w:rPr>
    </w:lvl>
    <w:lvl w:ilvl="6">
      <w:start w:val="1"/>
      <w:numFmt w:val="bullet"/>
      <w:lvlText w:val="•"/>
      <w:lvlJc w:val="left"/>
      <w:pPr>
        <w:ind w:left="5476" w:hanging="708"/>
      </w:pPr>
      <w:rPr>
        <w:rFonts w:hint="default"/>
      </w:rPr>
    </w:lvl>
    <w:lvl w:ilvl="7">
      <w:start w:val="1"/>
      <w:numFmt w:val="bullet"/>
      <w:lvlText w:val="•"/>
      <w:lvlJc w:val="left"/>
      <w:pPr>
        <w:ind w:left="6372" w:hanging="708"/>
      </w:pPr>
      <w:rPr>
        <w:rFonts w:hint="default"/>
      </w:rPr>
    </w:lvl>
    <w:lvl w:ilvl="8">
      <w:start w:val="1"/>
      <w:numFmt w:val="bullet"/>
      <w:lvlText w:val="•"/>
      <w:lvlJc w:val="left"/>
      <w:pPr>
        <w:ind w:left="7268" w:hanging="708"/>
      </w:pPr>
      <w:rPr>
        <w:rFonts w:hint="default"/>
      </w:rPr>
    </w:lvl>
  </w:abstractNum>
  <w:abstractNum w:abstractNumId="26">
    <w:multiLevelType w:val="hybridMultilevel"/>
    <w:lvl w:ilvl="0">
      <w:start w:val="1"/>
      <w:numFmt w:val="bullet"/>
      <w:lvlText w:val="-"/>
      <w:lvlJc w:val="left"/>
      <w:pPr>
        <w:ind w:left="810" w:hanging="708"/>
      </w:pPr>
      <w:rPr>
        <w:rFonts w:hint="default" w:ascii="Arial" w:hAnsi="Arial" w:eastAsia="Arial" w:cs="Arial"/>
        <w:w w:val="100"/>
        <w:sz w:val="22"/>
        <w:szCs w:val="22"/>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25">
    <w:multiLevelType w:val="hybridMultilevel"/>
    <w:lvl w:ilvl="0">
      <w:start w:val="2"/>
      <w:numFmt w:val="decimal"/>
      <w:lvlText w:val="%1"/>
      <w:lvlJc w:val="left"/>
      <w:pPr>
        <w:ind w:left="531" w:hanging="430"/>
        <w:jc w:val="left"/>
      </w:pPr>
      <w:rPr>
        <w:rFonts w:hint="default"/>
      </w:rPr>
    </w:lvl>
    <w:lvl w:ilvl="1">
      <w:start w:val="3"/>
      <w:numFmt w:val="decimal"/>
      <w:lvlText w:val="%1.%2."/>
      <w:lvlJc w:val="left"/>
      <w:pPr>
        <w:ind w:left="531" w:hanging="430"/>
        <w:jc w:val="left"/>
      </w:pPr>
      <w:rPr>
        <w:rFonts w:hint="default" w:ascii="Arial" w:hAnsi="Arial" w:eastAsia="Arial" w:cs="Arial"/>
        <w:b/>
        <w:bCs/>
        <w:w w:val="100"/>
        <w:sz w:val="22"/>
        <w:szCs w:val="22"/>
      </w:rPr>
    </w:lvl>
    <w:lvl w:ilvl="2">
      <w:start w:val="1"/>
      <w:numFmt w:val="decimal"/>
      <w:lvlText w:val="%1.%2.%3."/>
      <w:lvlJc w:val="left"/>
      <w:pPr>
        <w:ind w:left="715" w:hanging="614"/>
        <w:jc w:val="left"/>
      </w:pPr>
      <w:rPr>
        <w:rFonts w:hint="default" w:ascii="Arial" w:hAnsi="Arial" w:eastAsia="Arial" w:cs="Arial"/>
        <w:b/>
        <w:bCs/>
        <w:spacing w:val="-3"/>
        <w:w w:val="100"/>
        <w:sz w:val="22"/>
        <w:szCs w:val="22"/>
      </w:rPr>
    </w:lvl>
    <w:lvl w:ilvl="3">
      <w:start w:val="1"/>
      <w:numFmt w:val="bullet"/>
      <w:lvlText w:val="•"/>
      <w:lvlJc w:val="left"/>
      <w:pPr>
        <w:ind w:left="2573" w:hanging="614"/>
      </w:pPr>
      <w:rPr>
        <w:rFonts w:hint="default"/>
      </w:rPr>
    </w:lvl>
    <w:lvl w:ilvl="4">
      <w:start w:val="1"/>
      <w:numFmt w:val="bullet"/>
      <w:lvlText w:val="•"/>
      <w:lvlJc w:val="left"/>
      <w:pPr>
        <w:ind w:left="3500" w:hanging="614"/>
      </w:pPr>
      <w:rPr>
        <w:rFonts w:hint="default"/>
      </w:rPr>
    </w:lvl>
    <w:lvl w:ilvl="5">
      <w:start w:val="1"/>
      <w:numFmt w:val="bullet"/>
      <w:lvlText w:val="•"/>
      <w:lvlJc w:val="left"/>
      <w:pPr>
        <w:ind w:left="4426" w:hanging="614"/>
      </w:pPr>
      <w:rPr>
        <w:rFonts w:hint="default"/>
      </w:rPr>
    </w:lvl>
    <w:lvl w:ilvl="6">
      <w:start w:val="1"/>
      <w:numFmt w:val="bullet"/>
      <w:lvlText w:val="•"/>
      <w:lvlJc w:val="left"/>
      <w:pPr>
        <w:ind w:left="5353" w:hanging="614"/>
      </w:pPr>
      <w:rPr>
        <w:rFonts w:hint="default"/>
      </w:rPr>
    </w:lvl>
    <w:lvl w:ilvl="7">
      <w:start w:val="1"/>
      <w:numFmt w:val="bullet"/>
      <w:lvlText w:val="•"/>
      <w:lvlJc w:val="left"/>
      <w:pPr>
        <w:ind w:left="6280" w:hanging="614"/>
      </w:pPr>
      <w:rPr>
        <w:rFonts w:hint="default"/>
      </w:rPr>
    </w:lvl>
    <w:lvl w:ilvl="8">
      <w:start w:val="1"/>
      <w:numFmt w:val="bullet"/>
      <w:lvlText w:val="•"/>
      <w:lvlJc w:val="left"/>
      <w:pPr>
        <w:ind w:left="7206" w:hanging="614"/>
      </w:pPr>
      <w:rPr>
        <w:rFonts w:hint="default"/>
      </w:rPr>
    </w:lvl>
  </w:abstractNum>
  <w:abstractNum w:abstractNumId="24">
    <w:multiLevelType w:val="hybridMultilevel"/>
    <w:lvl w:ilvl="0">
      <w:start w:val="1"/>
      <w:numFmt w:val="bullet"/>
      <w:lvlText w:val="•"/>
      <w:lvlJc w:val="left"/>
      <w:pPr>
        <w:ind w:left="102" w:hanging="209"/>
      </w:pPr>
      <w:rPr>
        <w:rFonts w:hint="default" w:ascii="Arial" w:hAnsi="Arial" w:eastAsia="Arial" w:cs="Arial"/>
        <w:w w:val="100"/>
        <w:sz w:val="22"/>
        <w:szCs w:val="22"/>
      </w:rPr>
    </w:lvl>
    <w:lvl w:ilvl="1">
      <w:start w:val="1"/>
      <w:numFmt w:val="bullet"/>
      <w:lvlText w:val="•"/>
      <w:lvlJc w:val="left"/>
      <w:pPr>
        <w:ind w:left="996" w:hanging="209"/>
      </w:pPr>
      <w:rPr>
        <w:rFonts w:hint="default"/>
      </w:rPr>
    </w:lvl>
    <w:lvl w:ilvl="2">
      <w:start w:val="1"/>
      <w:numFmt w:val="bullet"/>
      <w:lvlText w:val="•"/>
      <w:lvlJc w:val="left"/>
      <w:pPr>
        <w:ind w:left="1892" w:hanging="209"/>
      </w:pPr>
      <w:rPr>
        <w:rFonts w:hint="default"/>
      </w:rPr>
    </w:lvl>
    <w:lvl w:ilvl="3">
      <w:start w:val="1"/>
      <w:numFmt w:val="bullet"/>
      <w:lvlText w:val="•"/>
      <w:lvlJc w:val="left"/>
      <w:pPr>
        <w:ind w:left="2788" w:hanging="209"/>
      </w:pPr>
      <w:rPr>
        <w:rFonts w:hint="default"/>
      </w:rPr>
    </w:lvl>
    <w:lvl w:ilvl="4">
      <w:start w:val="1"/>
      <w:numFmt w:val="bullet"/>
      <w:lvlText w:val="•"/>
      <w:lvlJc w:val="left"/>
      <w:pPr>
        <w:ind w:left="3684" w:hanging="209"/>
      </w:pPr>
      <w:rPr>
        <w:rFonts w:hint="default"/>
      </w:rPr>
    </w:lvl>
    <w:lvl w:ilvl="5">
      <w:start w:val="1"/>
      <w:numFmt w:val="bullet"/>
      <w:lvlText w:val="•"/>
      <w:lvlJc w:val="left"/>
      <w:pPr>
        <w:ind w:left="4580" w:hanging="209"/>
      </w:pPr>
      <w:rPr>
        <w:rFonts w:hint="default"/>
      </w:rPr>
    </w:lvl>
    <w:lvl w:ilvl="6">
      <w:start w:val="1"/>
      <w:numFmt w:val="bullet"/>
      <w:lvlText w:val="•"/>
      <w:lvlJc w:val="left"/>
      <w:pPr>
        <w:ind w:left="5476" w:hanging="209"/>
      </w:pPr>
      <w:rPr>
        <w:rFonts w:hint="default"/>
      </w:rPr>
    </w:lvl>
    <w:lvl w:ilvl="7">
      <w:start w:val="1"/>
      <w:numFmt w:val="bullet"/>
      <w:lvlText w:val="•"/>
      <w:lvlJc w:val="left"/>
      <w:pPr>
        <w:ind w:left="6372" w:hanging="209"/>
      </w:pPr>
      <w:rPr>
        <w:rFonts w:hint="default"/>
      </w:rPr>
    </w:lvl>
    <w:lvl w:ilvl="8">
      <w:start w:val="1"/>
      <w:numFmt w:val="bullet"/>
      <w:lvlText w:val="•"/>
      <w:lvlJc w:val="left"/>
      <w:pPr>
        <w:ind w:left="7268" w:hanging="209"/>
      </w:pPr>
      <w:rPr>
        <w:rFonts w:hint="default"/>
      </w:rPr>
    </w:lvl>
  </w:abstractNum>
  <w:abstractNum w:abstractNumId="23">
    <w:multiLevelType w:val="hybridMultilevel"/>
    <w:lvl w:ilvl="0">
      <w:start w:val="1"/>
      <w:numFmt w:val="decimal"/>
      <w:lvlText w:val="%1."/>
      <w:lvlJc w:val="left"/>
      <w:pPr>
        <w:ind w:left="122" w:hanging="262"/>
        <w:jc w:val="left"/>
      </w:pPr>
      <w:rPr>
        <w:rFonts w:hint="default" w:ascii="Arial" w:hAnsi="Arial" w:eastAsia="Arial" w:cs="Arial"/>
        <w:b/>
        <w:bCs/>
        <w:w w:val="100"/>
        <w:sz w:val="22"/>
        <w:szCs w:val="22"/>
      </w:rPr>
    </w:lvl>
    <w:lvl w:ilvl="1">
      <w:start w:val="1"/>
      <w:numFmt w:val="bullet"/>
      <w:lvlText w:val="•"/>
      <w:lvlJc w:val="left"/>
      <w:pPr>
        <w:ind w:left="1016" w:hanging="262"/>
      </w:pPr>
      <w:rPr>
        <w:rFonts w:hint="default"/>
      </w:rPr>
    </w:lvl>
    <w:lvl w:ilvl="2">
      <w:start w:val="1"/>
      <w:numFmt w:val="bullet"/>
      <w:lvlText w:val="•"/>
      <w:lvlJc w:val="left"/>
      <w:pPr>
        <w:ind w:left="1912" w:hanging="262"/>
      </w:pPr>
      <w:rPr>
        <w:rFonts w:hint="default"/>
      </w:rPr>
    </w:lvl>
    <w:lvl w:ilvl="3">
      <w:start w:val="1"/>
      <w:numFmt w:val="bullet"/>
      <w:lvlText w:val="•"/>
      <w:lvlJc w:val="left"/>
      <w:pPr>
        <w:ind w:left="2808" w:hanging="262"/>
      </w:pPr>
      <w:rPr>
        <w:rFonts w:hint="default"/>
      </w:rPr>
    </w:lvl>
    <w:lvl w:ilvl="4">
      <w:start w:val="1"/>
      <w:numFmt w:val="bullet"/>
      <w:lvlText w:val="•"/>
      <w:lvlJc w:val="left"/>
      <w:pPr>
        <w:ind w:left="3704" w:hanging="262"/>
      </w:pPr>
      <w:rPr>
        <w:rFonts w:hint="default"/>
      </w:rPr>
    </w:lvl>
    <w:lvl w:ilvl="5">
      <w:start w:val="1"/>
      <w:numFmt w:val="bullet"/>
      <w:lvlText w:val="•"/>
      <w:lvlJc w:val="left"/>
      <w:pPr>
        <w:ind w:left="4600" w:hanging="262"/>
      </w:pPr>
      <w:rPr>
        <w:rFonts w:hint="default"/>
      </w:rPr>
    </w:lvl>
    <w:lvl w:ilvl="6">
      <w:start w:val="1"/>
      <w:numFmt w:val="bullet"/>
      <w:lvlText w:val="•"/>
      <w:lvlJc w:val="left"/>
      <w:pPr>
        <w:ind w:left="5496" w:hanging="262"/>
      </w:pPr>
      <w:rPr>
        <w:rFonts w:hint="default"/>
      </w:rPr>
    </w:lvl>
    <w:lvl w:ilvl="7">
      <w:start w:val="1"/>
      <w:numFmt w:val="bullet"/>
      <w:lvlText w:val="•"/>
      <w:lvlJc w:val="left"/>
      <w:pPr>
        <w:ind w:left="6392" w:hanging="262"/>
      </w:pPr>
      <w:rPr>
        <w:rFonts w:hint="default"/>
      </w:rPr>
    </w:lvl>
    <w:lvl w:ilvl="8">
      <w:start w:val="1"/>
      <w:numFmt w:val="bullet"/>
      <w:lvlText w:val="•"/>
      <w:lvlJc w:val="left"/>
      <w:pPr>
        <w:ind w:left="7288" w:hanging="262"/>
      </w:pPr>
      <w:rPr>
        <w:rFonts w:hint="default"/>
      </w:rPr>
    </w:lvl>
  </w:abstractNum>
  <w:abstractNum w:abstractNumId="22">
    <w:multiLevelType w:val="hybridMultilevel"/>
    <w:lvl w:ilvl="0">
      <w:start w:val="2"/>
      <w:numFmt w:val="decimal"/>
      <w:lvlText w:val="%1"/>
      <w:lvlJc w:val="left"/>
      <w:pPr>
        <w:ind w:left="102" w:hanging="468"/>
        <w:jc w:val="left"/>
      </w:pPr>
      <w:rPr>
        <w:rFonts w:hint="default"/>
      </w:rPr>
    </w:lvl>
    <w:lvl w:ilvl="1">
      <w:start w:val="1"/>
      <w:numFmt w:val="decimal"/>
      <w:lvlText w:val="%1.%2."/>
      <w:lvlJc w:val="left"/>
      <w:pPr>
        <w:ind w:left="102" w:hanging="468"/>
        <w:jc w:val="left"/>
      </w:pPr>
      <w:rPr>
        <w:rFonts w:hint="default" w:ascii="Arial" w:hAnsi="Arial" w:eastAsia="Arial" w:cs="Arial"/>
        <w:b/>
        <w:bCs/>
        <w:w w:val="100"/>
        <w:sz w:val="22"/>
        <w:szCs w:val="22"/>
      </w:rPr>
    </w:lvl>
    <w:lvl w:ilvl="2">
      <w:start w:val="1"/>
      <w:numFmt w:val="decimal"/>
      <w:lvlText w:val="%1.%2.%3."/>
      <w:lvlJc w:val="left"/>
      <w:pPr>
        <w:ind w:left="715" w:hanging="614"/>
        <w:jc w:val="left"/>
      </w:pPr>
      <w:rPr>
        <w:rFonts w:hint="default" w:ascii="Arial" w:hAnsi="Arial" w:eastAsia="Arial" w:cs="Arial"/>
        <w:b/>
        <w:bCs/>
        <w:spacing w:val="-3"/>
        <w:w w:val="100"/>
        <w:sz w:val="22"/>
        <w:szCs w:val="22"/>
      </w:rPr>
    </w:lvl>
    <w:lvl w:ilvl="3">
      <w:start w:val="1"/>
      <w:numFmt w:val="bullet"/>
      <w:lvlText w:val="•"/>
      <w:lvlJc w:val="left"/>
      <w:pPr>
        <w:ind w:left="2573" w:hanging="614"/>
      </w:pPr>
      <w:rPr>
        <w:rFonts w:hint="default"/>
      </w:rPr>
    </w:lvl>
    <w:lvl w:ilvl="4">
      <w:start w:val="1"/>
      <w:numFmt w:val="bullet"/>
      <w:lvlText w:val="•"/>
      <w:lvlJc w:val="left"/>
      <w:pPr>
        <w:ind w:left="3500" w:hanging="614"/>
      </w:pPr>
      <w:rPr>
        <w:rFonts w:hint="default"/>
      </w:rPr>
    </w:lvl>
    <w:lvl w:ilvl="5">
      <w:start w:val="1"/>
      <w:numFmt w:val="bullet"/>
      <w:lvlText w:val="•"/>
      <w:lvlJc w:val="left"/>
      <w:pPr>
        <w:ind w:left="4426" w:hanging="614"/>
      </w:pPr>
      <w:rPr>
        <w:rFonts w:hint="default"/>
      </w:rPr>
    </w:lvl>
    <w:lvl w:ilvl="6">
      <w:start w:val="1"/>
      <w:numFmt w:val="bullet"/>
      <w:lvlText w:val="•"/>
      <w:lvlJc w:val="left"/>
      <w:pPr>
        <w:ind w:left="5353" w:hanging="614"/>
      </w:pPr>
      <w:rPr>
        <w:rFonts w:hint="default"/>
      </w:rPr>
    </w:lvl>
    <w:lvl w:ilvl="7">
      <w:start w:val="1"/>
      <w:numFmt w:val="bullet"/>
      <w:lvlText w:val="•"/>
      <w:lvlJc w:val="left"/>
      <w:pPr>
        <w:ind w:left="6280" w:hanging="614"/>
      </w:pPr>
      <w:rPr>
        <w:rFonts w:hint="default"/>
      </w:rPr>
    </w:lvl>
    <w:lvl w:ilvl="8">
      <w:start w:val="1"/>
      <w:numFmt w:val="bullet"/>
      <w:lvlText w:val="•"/>
      <w:lvlJc w:val="left"/>
      <w:pPr>
        <w:ind w:left="7206" w:hanging="614"/>
      </w:pPr>
      <w:rPr>
        <w:rFonts w:hint="default"/>
      </w:rPr>
    </w:lvl>
  </w:abstractNum>
  <w:abstractNum w:abstractNumId="21">
    <w:multiLevelType w:val="hybridMultilevel"/>
    <w:lvl w:ilvl="0">
      <w:start w:val="1"/>
      <w:numFmt w:val="decimal"/>
      <w:lvlText w:val="%1."/>
      <w:lvlJc w:val="left"/>
      <w:pPr>
        <w:ind w:left="102" w:hanging="312"/>
        <w:jc w:val="left"/>
      </w:pPr>
      <w:rPr>
        <w:rFonts w:hint="default" w:ascii="Arial" w:hAnsi="Arial" w:eastAsia="Arial" w:cs="Arial"/>
        <w:w w:val="100"/>
        <w:sz w:val="22"/>
        <w:szCs w:val="22"/>
      </w:rPr>
    </w:lvl>
    <w:lvl w:ilvl="1">
      <w:start w:val="1"/>
      <w:numFmt w:val="bullet"/>
      <w:lvlText w:val="•"/>
      <w:lvlJc w:val="left"/>
      <w:pPr>
        <w:ind w:left="996" w:hanging="312"/>
      </w:pPr>
      <w:rPr>
        <w:rFonts w:hint="default"/>
      </w:rPr>
    </w:lvl>
    <w:lvl w:ilvl="2">
      <w:start w:val="1"/>
      <w:numFmt w:val="bullet"/>
      <w:lvlText w:val="•"/>
      <w:lvlJc w:val="left"/>
      <w:pPr>
        <w:ind w:left="1892" w:hanging="312"/>
      </w:pPr>
      <w:rPr>
        <w:rFonts w:hint="default"/>
      </w:rPr>
    </w:lvl>
    <w:lvl w:ilvl="3">
      <w:start w:val="1"/>
      <w:numFmt w:val="bullet"/>
      <w:lvlText w:val="•"/>
      <w:lvlJc w:val="left"/>
      <w:pPr>
        <w:ind w:left="2788" w:hanging="312"/>
      </w:pPr>
      <w:rPr>
        <w:rFonts w:hint="default"/>
      </w:rPr>
    </w:lvl>
    <w:lvl w:ilvl="4">
      <w:start w:val="1"/>
      <w:numFmt w:val="bullet"/>
      <w:lvlText w:val="•"/>
      <w:lvlJc w:val="left"/>
      <w:pPr>
        <w:ind w:left="3684" w:hanging="312"/>
      </w:pPr>
      <w:rPr>
        <w:rFonts w:hint="default"/>
      </w:rPr>
    </w:lvl>
    <w:lvl w:ilvl="5">
      <w:start w:val="1"/>
      <w:numFmt w:val="bullet"/>
      <w:lvlText w:val="•"/>
      <w:lvlJc w:val="left"/>
      <w:pPr>
        <w:ind w:left="4580" w:hanging="312"/>
      </w:pPr>
      <w:rPr>
        <w:rFonts w:hint="default"/>
      </w:rPr>
    </w:lvl>
    <w:lvl w:ilvl="6">
      <w:start w:val="1"/>
      <w:numFmt w:val="bullet"/>
      <w:lvlText w:val="•"/>
      <w:lvlJc w:val="left"/>
      <w:pPr>
        <w:ind w:left="5476" w:hanging="312"/>
      </w:pPr>
      <w:rPr>
        <w:rFonts w:hint="default"/>
      </w:rPr>
    </w:lvl>
    <w:lvl w:ilvl="7">
      <w:start w:val="1"/>
      <w:numFmt w:val="bullet"/>
      <w:lvlText w:val="•"/>
      <w:lvlJc w:val="left"/>
      <w:pPr>
        <w:ind w:left="6372" w:hanging="312"/>
      </w:pPr>
      <w:rPr>
        <w:rFonts w:hint="default"/>
      </w:rPr>
    </w:lvl>
    <w:lvl w:ilvl="8">
      <w:start w:val="1"/>
      <w:numFmt w:val="bullet"/>
      <w:lvlText w:val="•"/>
      <w:lvlJc w:val="left"/>
      <w:pPr>
        <w:ind w:left="7268" w:hanging="312"/>
      </w:pPr>
      <w:rPr>
        <w:rFonts w:hint="default"/>
      </w:rPr>
    </w:lvl>
  </w:abstractNum>
  <w:abstractNum w:abstractNumId="20">
    <w:multiLevelType w:val="hybridMultilevel"/>
    <w:lvl w:ilvl="0">
      <w:start w:val="1"/>
      <w:numFmt w:val="decimal"/>
      <w:lvlText w:val="%1."/>
      <w:lvlJc w:val="left"/>
      <w:pPr>
        <w:ind w:left="346" w:hanging="245"/>
        <w:jc w:val="left"/>
      </w:pPr>
      <w:rPr>
        <w:rFonts w:hint="default" w:ascii="Arial" w:hAnsi="Arial" w:eastAsia="Arial" w:cs="Arial"/>
        <w:w w:val="100"/>
        <w:sz w:val="22"/>
        <w:szCs w:val="22"/>
      </w:rPr>
    </w:lvl>
    <w:lvl w:ilvl="1">
      <w:start w:val="1"/>
      <w:numFmt w:val="bullet"/>
      <w:lvlText w:val="•"/>
      <w:lvlJc w:val="left"/>
      <w:pPr>
        <w:ind w:left="1212" w:hanging="245"/>
      </w:pPr>
      <w:rPr>
        <w:rFonts w:hint="default"/>
      </w:rPr>
    </w:lvl>
    <w:lvl w:ilvl="2">
      <w:start w:val="1"/>
      <w:numFmt w:val="bullet"/>
      <w:lvlText w:val="•"/>
      <w:lvlJc w:val="left"/>
      <w:pPr>
        <w:ind w:left="2084" w:hanging="245"/>
      </w:pPr>
      <w:rPr>
        <w:rFonts w:hint="default"/>
      </w:rPr>
    </w:lvl>
    <w:lvl w:ilvl="3">
      <w:start w:val="1"/>
      <w:numFmt w:val="bullet"/>
      <w:lvlText w:val="•"/>
      <w:lvlJc w:val="left"/>
      <w:pPr>
        <w:ind w:left="2956" w:hanging="245"/>
      </w:pPr>
      <w:rPr>
        <w:rFonts w:hint="default"/>
      </w:rPr>
    </w:lvl>
    <w:lvl w:ilvl="4">
      <w:start w:val="1"/>
      <w:numFmt w:val="bullet"/>
      <w:lvlText w:val="•"/>
      <w:lvlJc w:val="left"/>
      <w:pPr>
        <w:ind w:left="3828" w:hanging="245"/>
      </w:pPr>
      <w:rPr>
        <w:rFonts w:hint="default"/>
      </w:rPr>
    </w:lvl>
    <w:lvl w:ilvl="5">
      <w:start w:val="1"/>
      <w:numFmt w:val="bullet"/>
      <w:lvlText w:val="•"/>
      <w:lvlJc w:val="left"/>
      <w:pPr>
        <w:ind w:left="4700" w:hanging="245"/>
      </w:pPr>
      <w:rPr>
        <w:rFonts w:hint="default"/>
      </w:rPr>
    </w:lvl>
    <w:lvl w:ilvl="6">
      <w:start w:val="1"/>
      <w:numFmt w:val="bullet"/>
      <w:lvlText w:val="•"/>
      <w:lvlJc w:val="left"/>
      <w:pPr>
        <w:ind w:left="5572" w:hanging="245"/>
      </w:pPr>
      <w:rPr>
        <w:rFonts w:hint="default"/>
      </w:rPr>
    </w:lvl>
    <w:lvl w:ilvl="7">
      <w:start w:val="1"/>
      <w:numFmt w:val="bullet"/>
      <w:lvlText w:val="•"/>
      <w:lvlJc w:val="left"/>
      <w:pPr>
        <w:ind w:left="6444" w:hanging="245"/>
      </w:pPr>
      <w:rPr>
        <w:rFonts w:hint="default"/>
      </w:rPr>
    </w:lvl>
    <w:lvl w:ilvl="8">
      <w:start w:val="1"/>
      <w:numFmt w:val="bullet"/>
      <w:lvlText w:val="•"/>
      <w:lvlJc w:val="left"/>
      <w:pPr>
        <w:ind w:left="7316" w:hanging="245"/>
      </w:pPr>
      <w:rPr>
        <w:rFonts w:hint="default"/>
      </w:rPr>
    </w:lvl>
  </w:abstractNum>
  <w:abstractNum w:abstractNumId="19">
    <w:multiLevelType w:val="hybridMultilevel"/>
    <w:lvl w:ilvl="0">
      <w:start w:val="1"/>
      <w:numFmt w:val="decimal"/>
      <w:lvlText w:val="%1."/>
      <w:lvlJc w:val="left"/>
      <w:pPr>
        <w:ind w:left="102" w:hanging="286"/>
        <w:jc w:val="left"/>
      </w:pPr>
      <w:rPr>
        <w:rFonts w:hint="default" w:ascii="Arial" w:hAnsi="Arial" w:eastAsia="Arial" w:cs="Arial"/>
        <w:w w:val="100"/>
        <w:sz w:val="22"/>
        <w:szCs w:val="22"/>
      </w:rPr>
    </w:lvl>
    <w:lvl w:ilvl="1">
      <w:start w:val="1"/>
      <w:numFmt w:val="bullet"/>
      <w:lvlText w:val="•"/>
      <w:lvlJc w:val="left"/>
      <w:pPr>
        <w:ind w:left="996" w:hanging="286"/>
      </w:pPr>
      <w:rPr>
        <w:rFonts w:hint="default"/>
      </w:rPr>
    </w:lvl>
    <w:lvl w:ilvl="2">
      <w:start w:val="1"/>
      <w:numFmt w:val="bullet"/>
      <w:lvlText w:val="•"/>
      <w:lvlJc w:val="left"/>
      <w:pPr>
        <w:ind w:left="1892" w:hanging="286"/>
      </w:pPr>
      <w:rPr>
        <w:rFonts w:hint="default"/>
      </w:rPr>
    </w:lvl>
    <w:lvl w:ilvl="3">
      <w:start w:val="1"/>
      <w:numFmt w:val="bullet"/>
      <w:lvlText w:val="•"/>
      <w:lvlJc w:val="left"/>
      <w:pPr>
        <w:ind w:left="2788" w:hanging="286"/>
      </w:pPr>
      <w:rPr>
        <w:rFonts w:hint="default"/>
      </w:rPr>
    </w:lvl>
    <w:lvl w:ilvl="4">
      <w:start w:val="1"/>
      <w:numFmt w:val="bullet"/>
      <w:lvlText w:val="•"/>
      <w:lvlJc w:val="left"/>
      <w:pPr>
        <w:ind w:left="3684" w:hanging="286"/>
      </w:pPr>
      <w:rPr>
        <w:rFonts w:hint="default"/>
      </w:rPr>
    </w:lvl>
    <w:lvl w:ilvl="5">
      <w:start w:val="1"/>
      <w:numFmt w:val="bullet"/>
      <w:lvlText w:val="•"/>
      <w:lvlJc w:val="left"/>
      <w:pPr>
        <w:ind w:left="4580" w:hanging="286"/>
      </w:pPr>
      <w:rPr>
        <w:rFonts w:hint="default"/>
      </w:rPr>
    </w:lvl>
    <w:lvl w:ilvl="6">
      <w:start w:val="1"/>
      <w:numFmt w:val="bullet"/>
      <w:lvlText w:val="•"/>
      <w:lvlJc w:val="left"/>
      <w:pPr>
        <w:ind w:left="5476" w:hanging="286"/>
      </w:pPr>
      <w:rPr>
        <w:rFonts w:hint="default"/>
      </w:rPr>
    </w:lvl>
    <w:lvl w:ilvl="7">
      <w:start w:val="1"/>
      <w:numFmt w:val="bullet"/>
      <w:lvlText w:val="•"/>
      <w:lvlJc w:val="left"/>
      <w:pPr>
        <w:ind w:left="6372" w:hanging="286"/>
      </w:pPr>
      <w:rPr>
        <w:rFonts w:hint="default"/>
      </w:rPr>
    </w:lvl>
    <w:lvl w:ilvl="8">
      <w:start w:val="1"/>
      <w:numFmt w:val="bullet"/>
      <w:lvlText w:val="•"/>
      <w:lvlJc w:val="left"/>
      <w:pPr>
        <w:ind w:left="7268" w:hanging="286"/>
      </w:pPr>
      <w:rPr>
        <w:rFonts w:hint="default"/>
      </w:rPr>
    </w:lvl>
  </w:abstractNum>
  <w:abstractNum w:abstractNumId="18">
    <w:multiLevelType w:val="hybridMultilevel"/>
    <w:lvl w:ilvl="0">
      <w:start w:val="1"/>
      <w:numFmt w:val="decimal"/>
      <w:lvlText w:val="%1)"/>
      <w:lvlJc w:val="left"/>
      <w:pPr>
        <w:ind w:left="102" w:hanging="305"/>
        <w:jc w:val="left"/>
      </w:pPr>
      <w:rPr>
        <w:rFonts w:hint="default" w:ascii="Arial" w:hAnsi="Arial" w:eastAsia="Arial" w:cs="Arial"/>
        <w:w w:val="100"/>
        <w:sz w:val="22"/>
        <w:szCs w:val="22"/>
      </w:rPr>
    </w:lvl>
    <w:lvl w:ilvl="1">
      <w:start w:val="1"/>
      <w:numFmt w:val="bullet"/>
      <w:lvlText w:val="•"/>
      <w:lvlJc w:val="left"/>
      <w:pPr>
        <w:ind w:left="996" w:hanging="305"/>
      </w:pPr>
      <w:rPr>
        <w:rFonts w:hint="default"/>
      </w:rPr>
    </w:lvl>
    <w:lvl w:ilvl="2">
      <w:start w:val="1"/>
      <w:numFmt w:val="bullet"/>
      <w:lvlText w:val="•"/>
      <w:lvlJc w:val="left"/>
      <w:pPr>
        <w:ind w:left="1892" w:hanging="305"/>
      </w:pPr>
      <w:rPr>
        <w:rFonts w:hint="default"/>
      </w:rPr>
    </w:lvl>
    <w:lvl w:ilvl="3">
      <w:start w:val="1"/>
      <w:numFmt w:val="bullet"/>
      <w:lvlText w:val="•"/>
      <w:lvlJc w:val="left"/>
      <w:pPr>
        <w:ind w:left="2788" w:hanging="305"/>
      </w:pPr>
      <w:rPr>
        <w:rFonts w:hint="default"/>
      </w:rPr>
    </w:lvl>
    <w:lvl w:ilvl="4">
      <w:start w:val="1"/>
      <w:numFmt w:val="bullet"/>
      <w:lvlText w:val="•"/>
      <w:lvlJc w:val="left"/>
      <w:pPr>
        <w:ind w:left="3684" w:hanging="305"/>
      </w:pPr>
      <w:rPr>
        <w:rFonts w:hint="default"/>
      </w:rPr>
    </w:lvl>
    <w:lvl w:ilvl="5">
      <w:start w:val="1"/>
      <w:numFmt w:val="bullet"/>
      <w:lvlText w:val="•"/>
      <w:lvlJc w:val="left"/>
      <w:pPr>
        <w:ind w:left="4580" w:hanging="305"/>
      </w:pPr>
      <w:rPr>
        <w:rFonts w:hint="default"/>
      </w:rPr>
    </w:lvl>
    <w:lvl w:ilvl="6">
      <w:start w:val="1"/>
      <w:numFmt w:val="bullet"/>
      <w:lvlText w:val="•"/>
      <w:lvlJc w:val="left"/>
      <w:pPr>
        <w:ind w:left="5476" w:hanging="305"/>
      </w:pPr>
      <w:rPr>
        <w:rFonts w:hint="default"/>
      </w:rPr>
    </w:lvl>
    <w:lvl w:ilvl="7">
      <w:start w:val="1"/>
      <w:numFmt w:val="bullet"/>
      <w:lvlText w:val="•"/>
      <w:lvlJc w:val="left"/>
      <w:pPr>
        <w:ind w:left="6372" w:hanging="305"/>
      </w:pPr>
      <w:rPr>
        <w:rFonts w:hint="default"/>
      </w:rPr>
    </w:lvl>
    <w:lvl w:ilvl="8">
      <w:start w:val="1"/>
      <w:numFmt w:val="bullet"/>
      <w:lvlText w:val="•"/>
      <w:lvlJc w:val="left"/>
      <w:pPr>
        <w:ind w:left="7268" w:hanging="305"/>
      </w:pPr>
      <w:rPr>
        <w:rFonts w:hint="default"/>
      </w:rPr>
    </w:lvl>
  </w:abstractNum>
  <w:abstractNum w:abstractNumId="17">
    <w:multiLevelType w:val="hybridMultilevel"/>
    <w:lvl w:ilvl="0">
      <w:start w:val="1"/>
      <w:numFmt w:val="decimal"/>
      <w:lvlText w:val="%1"/>
      <w:lvlJc w:val="left"/>
      <w:pPr>
        <w:ind w:left="102" w:hanging="548"/>
        <w:jc w:val="left"/>
      </w:pPr>
      <w:rPr>
        <w:rFonts w:hint="default"/>
      </w:rPr>
    </w:lvl>
    <w:lvl w:ilvl="1">
      <w:start w:val="1"/>
      <w:numFmt w:val="decimal"/>
      <w:lvlText w:val="%1.%2."/>
      <w:lvlJc w:val="left"/>
      <w:pPr>
        <w:ind w:left="102" w:hanging="548"/>
        <w:jc w:val="right"/>
      </w:pPr>
      <w:rPr>
        <w:rFonts w:hint="default" w:ascii="Arial" w:hAnsi="Arial" w:eastAsia="Arial" w:cs="Arial"/>
        <w:b/>
        <w:bCs/>
        <w:spacing w:val="-1"/>
        <w:w w:val="100"/>
        <w:sz w:val="22"/>
        <w:szCs w:val="22"/>
      </w:rPr>
    </w:lvl>
    <w:lvl w:ilvl="2">
      <w:start w:val="1"/>
      <w:numFmt w:val="decimal"/>
      <w:lvlText w:val="%1.%2.%3."/>
      <w:lvlJc w:val="left"/>
      <w:pPr>
        <w:ind w:left="838" w:hanging="617"/>
        <w:jc w:val="right"/>
      </w:pPr>
      <w:rPr>
        <w:rFonts w:hint="default" w:ascii="Arial" w:hAnsi="Arial" w:eastAsia="Arial" w:cs="Arial"/>
        <w:b/>
        <w:bCs/>
        <w:spacing w:val="-3"/>
        <w:w w:val="100"/>
        <w:sz w:val="22"/>
        <w:szCs w:val="22"/>
      </w:rPr>
    </w:lvl>
    <w:lvl w:ilvl="3">
      <w:start w:val="1"/>
      <w:numFmt w:val="bullet"/>
      <w:lvlText w:val="•"/>
      <w:lvlJc w:val="left"/>
      <w:pPr>
        <w:ind w:left="2666" w:hanging="617"/>
      </w:pPr>
      <w:rPr>
        <w:rFonts w:hint="default"/>
      </w:rPr>
    </w:lvl>
    <w:lvl w:ilvl="4">
      <w:start w:val="1"/>
      <w:numFmt w:val="bullet"/>
      <w:lvlText w:val="•"/>
      <w:lvlJc w:val="left"/>
      <w:pPr>
        <w:ind w:left="3580" w:hanging="617"/>
      </w:pPr>
      <w:rPr>
        <w:rFonts w:hint="default"/>
      </w:rPr>
    </w:lvl>
    <w:lvl w:ilvl="5">
      <w:start w:val="1"/>
      <w:numFmt w:val="bullet"/>
      <w:lvlText w:val="•"/>
      <w:lvlJc w:val="left"/>
      <w:pPr>
        <w:ind w:left="4493" w:hanging="617"/>
      </w:pPr>
      <w:rPr>
        <w:rFonts w:hint="default"/>
      </w:rPr>
    </w:lvl>
    <w:lvl w:ilvl="6">
      <w:start w:val="1"/>
      <w:numFmt w:val="bullet"/>
      <w:lvlText w:val="•"/>
      <w:lvlJc w:val="left"/>
      <w:pPr>
        <w:ind w:left="5406" w:hanging="617"/>
      </w:pPr>
      <w:rPr>
        <w:rFonts w:hint="default"/>
      </w:rPr>
    </w:lvl>
    <w:lvl w:ilvl="7">
      <w:start w:val="1"/>
      <w:numFmt w:val="bullet"/>
      <w:lvlText w:val="•"/>
      <w:lvlJc w:val="left"/>
      <w:pPr>
        <w:ind w:left="6320" w:hanging="617"/>
      </w:pPr>
      <w:rPr>
        <w:rFonts w:hint="default"/>
      </w:rPr>
    </w:lvl>
    <w:lvl w:ilvl="8">
      <w:start w:val="1"/>
      <w:numFmt w:val="bullet"/>
      <w:lvlText w:val="•"/>
      <w:lvlJc w:val="left"/>
      <w:pPr>
        <w:ind w:left="7233" w:hanging="617"/>
      </w:pPr>
      <w:rPr>
        <w:rFonts w:hint="default"/>
      </w:rPr>
    </w:lvl>
  </w:abstractNum>
  <w:abstractNum w:abstractNumId="16">
    <w:multiLevelType w:val="hybridMultilevel"/>
    <w:lvl w:ilvl="0">
      <w:start w:val="1"/>
      <w:numFmt w:val="upperRoman"/>
      <w:lvlText w:val="%1."/>
      <w:lvlJc w:val="left"/>
      <w:pPr>
        <w:ind w:left="102" w:hanging="187"/>
        <w:jc w:val="right"/>
      </w:pPr>
      <w:rPr>
        <w:rFonts w:hint="default" w:ascii="Arial" w:hAnsi="Arial" w:eastAsia="Arial" w:cs="Arial"/>
        <w:b/>
        <w:bCs/>
        <w:w w:val="100"/>
        <w:sz w:val="22"/>
        <w:szCs w:val="22"/>
      </w:rPr>
    </w:lvl>
    <w:lvl w:ilvl="1">
      <w:start w:val="1"/>
      <w:numFmt w:val="bullet"/>
      <w:lvlText w:val=""/>
      <w:lvlJc w:val="left"/>
      <w:pPr>
        <w:ind w:left="822" w:hanging="360"/>
      </w:pPr>
      <w:rPr>
        <w:rFonts w:hint="default" w:ascii="Wingdings" w:hAnsi="Wingdings" w:eastAsia="Wingdings" w:cs="Wingdings"/>
        <w:w w:val="55"/>
        <w:sz w:val="22"/>
        <w:szCs w:val="22"/>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5">
    <w:multiLevelType w:val="hybridMultilevel"/>
    <w:lvl w:ilvl="0">
      <w:start w:val="1"/>
      <w:numFmt w:val="lowerLetter"/>
      <w:lvlText w:val="%1)"/>
      <w:lvlJc w:val="left"/>
      <w:pPr>
        <w:ind w:left="361" w:hanging="260"/>
        <w:jc w:val="left"/>
      </w:pPr>
      <w:rPr>
        <w:rFonts w:hint="default" w:ascii="Arial" w:hAnsi="Arial" w:eastAsia="Arial" w:cs="Arial"/>
        <w:b/>
        <w:bCs/>
        <w:w w:val="100"/>
        <w:sz w:val="22"/>
        <w:szCs w:val="22"/>
      </w:rPr>
    </w:lvl>
    <w:lvl w:ilvl="1">
      <w:start w:val="1"/>
      <w:numFmt w:val="bullet"/>
      <w:lvlText w:val="•"/>
      <w:lvlJc w:val="left"/>
      <w:pPr>
        <w:ind w:left="1230" w:hanging="260"/>
      </w:pPr>
      <w:rPr>
        <w:rFonts w:hint="default"/>
      </w:rPr>
    </w:lvl>
    <w:lvl w:ilvl="2">
      <w:start w:val="1"/>
      <w:numFmt w:val="bullet"/>
      <w:lvlText w:val="•"/>
      <w:lvlJc w:val="left"/>
      <w:pPr>
        <w:ind w:left="2100" w:hanging="260"/>
      </w:pPr>
      <w:rPr>
        <w:rFonts w:hint="default"/>
      </w:rPr>
    </w:lvl>
    <w:lvl w:ilvl="3">
      <w:start w:val="1"/>
      <w:numFmt w:val="bullet"/>
      <w:lvlText w:val="•"/>
      <w:lvlJc w:val="left"/>
      <w:pPr>
        <w:ind w:left="2970" w:hanging="260"/>
      </w:pPr>
      <w:rPr>
        <w:rFonts w:hint="default"/>
      </w:rPr>
    </w:lvl>
    <w:lvl w:ilvl="4">
      <w:start w:val="1"/>
      <w:numFmt w:val="bullet"/>
      <w:lvlText w:val="•"/>
      <w:lvlJc w:val="left"/>
      <w:pPr>
        <w:ind w:left="3840" w:hanging="260"/>
      </w:pPr>
      <w:rPr>
        <w:rFonts w:hint="default"/>
      </w:rPr>
    </w:lvl>
    <w:lvl w:ilvl="5">
      <w:start w:val="1"/>
      <w:numFmt w:val="bullet"/>
      <w:lvlText w:val="•"/>
      <w:lvlJc w:val="left"/>
      <w:pPr>
        <w:ind w:left="4710" w:hanging="260"/>
      </w:pPr>
      <w:rPr>
        <w:rFonts w:hint="default"/>
      </w:rPr>
    </w:lvl>
    <w:lvl w:ilvl="6">
      <w:start w:val="1"/>
      <w:numFmt w:val="bullet"/>
      <w:lvlText w:val="•"/>
      <w:lvlJc w:val="left"/>
      <w:pPr>
        <w:ind w:left="5580" w:hanging="260"/>
      </w:pPr>
      <w:rPr>
        <w:rFonts w:hint="default"/>
      </w:rPr>
    </w:lvl>
    <w:lvl w:ilvl="7">
      <w:start w:val="1"/>
      <w:numFmt w:val="bullet"/>
      <w:lvlText w:val="•"/>
      <w:lvlJc w:val="left"/>
      <w:pPr>
        <w:ind w:left="6450" w:hanging="260"/>
      </w:pPr>
      <w:rPr>
        <w:rFonts w:hint="default"/>
      </w:rPr>
    </w:lvl>
    <w:lvl w:ilvl="8">
      <w:start w:val="1"/>
      <w:numFmt w:val="bullet"/>
      <w:lvlText w:val="•"/>
      <w:lvlJc w:val="left"/>
      <w:pPr>
        <w:ind w:left="7320" w:hanging="260"/>
      </w:pPr>
      <w:rPr>
        <w:rFonts w:hint="default"/>
      </w:rPr>
    </w:lvl>
  </w:abstractNum>
  <w:abstractNum w:abstractNumId="14">
    <w:multiLevelType w:val="hybridMultilevel"/>
    <w:lvl w:ilvl="0">
      <w:start w:val="10"/>
      <w:numFmt w:val="decimal"/>
      <w:lvlText w:val="%1"/>
      <w:lvlJc w:val="left"/>
      <w:pPr>
        <w:ind w:left="102" w:hanging="560"/>
        <w:jc w:val="left"/>
      </w:pPr>
      <w:rPr>
        <w:rFonts w:hint="default"/>
      </w:rPr>
    </w:lvl>
    <w:lvl w:ilvl="1">
      <w:start w:val="1"/>
      <w:numFmt w:val="decimal"/>
      <w:lvlText w:val="%1.%2."/>
      <w:lvlJc w:val="left"/>
      <w:pPr>
        <w:ind w:left="102" w:hanging="560"/>
        <w:jc w:val="left"/>
      </w:pPr>
      <w:rPr>
        <w:rFonts w:hint="default" w:ascii="Arial" w:hAnsi="Arial" w:eastAsia="Arial" w:cs="Arial"/>
        <w:spacing w:val="-1"/>
        <w:w w:val="100"/>
        <w:sz w:val="22"/>
        <w:szCs w:val="22"/>
      </w:rPr>
    </w:lvl>
    <w:lvl w:ilvl="2">
      <w:start w:val="1"/>
      <w:numFmt w:val="bullet"/>
      <w:lvlText w:val="•"/>
      <w:lvlJc w:val="left"/>
      <w:pPr>
        <w:ind w:left="1892" w:hanging="560"/>
      </w:pPr>
      <w:rPr>
        <w:rFonts w:hint="default"/>
      </w:rPr>
    </w:lvl>
    <w:lvl w:ilvl="3">
      <w:start w:val="1"/>
      <w:numFmt w:val="bullet"/>
      <w:lvlText w:val="•"/>
      <w:lvlJc w:val="left"/>
      <w:pPr>
        <w:ind w:left="2788" w:hanging="560"/>
      </w:pPr>
      <w:rPr>
        <w:rFonts w:hint="default"/>
      </w:rPr>
    </w:lvl>
    <w:lvl w:ilvl="4">
      <w:start w:val="1"/>
      <w:numFmt w:val="bullet"/>
      <w:lvlText w:val="•"/>
      <w:lvlJc w:val="left"/>
      <w:pPr>
        <w:ind w:left="3684" w:hanging="560"/>
      </w:pPr>
      <w:rPr>
        <w:rFonts w:hint="default"/>
      </w:rPr>
    </w:lvl>
    <w:lvl w:ilvl="5">
      <w:start w:val="1"/>
      <w:numFmt w:val="bullet"/>
      <w:lvlText w:val="•"/>
      <w:lvlJc w:val="left"/>
      <w:pPr>
        <w:ind w:left="4580" w:hanging="560"/>
      </w:pPr>
      <w:rPr>
        <w:rFonts w:hint="default"/>
      </w:rPr>
    </w:lvl>
    <w:lvl w:ilvl="6">
      <w:start w:val="1"/>
      <w:numFmt w:val="bullet"/>
      <w:lvlText w:val="•"/>
      <w:lvlJc w:val="left"/>
      <w:pPr>
        <w:ind w:left="5476" w:hanging="560"/>
      </w:pPr>
      <w:rPr>
        <w:rFonts w:hint="default"/>
      </w:rPr>
    </w:lvl>
    <w:lvl w:ilvl="7">
      <w:start w:val="1"/>
      <w:numFmt w:val="bullet"/>
      <w:lvlText w:val="•"/>
      <w:lvlJc w:val="left"/>
      <w:pPr>
        <w:ind w:left="6372" w:hanging="560"/>
      </w:pPr>
      <w:rPr>
        <w:rFonts w:hint="default"/>
      </w:rPr>
    </w:lvl>
    <w:lvl w:ilvl="8">
      <w:start w:val="1"/>
      <w:numFmt w:val="bullet"/>
      <w:lvlText w:val="•"/>
      <w:lvlJc w:val="left"/>
      <w:pPr>
        <w:ind w:left="7268" w:hanging="560"/>
      </w:pPr>
      <w:rPr>
        <w:rFonts w:hint="default"/>
      </w:rPr>
    </w:lvl>
  </w:abstractNum>
  <w:abstractNum w:abstractNumId="13">
    <w:multiLevelType w:val="hybridMultilevel"/>
    <w:lvl w:ilvl="0">
      <w:start w:val="8"/>
      <w:numFmt w:val="decimal"/>
      <w:lvlText w:val="%1"/>
      <w:lvlJc w:val="left"/>
      <w:pPr>
        <w:ind w:left="531" w:hanging="430"/>
        <w:jc w:val="left"/>
      </w:pPr>
      <w:rPr>
        <w:rFonts w:hint="default"/>
      </w:rPr>
    </w:lvl>
    <w:lvl w:ilvl="1">
      <w:start w:val="1"/>
      <w:numFmt w:val="decimal"/>
      <w:lvlText w:val="%1.%2."/>
      <w:lvlJc w:val="left"/>
      <w:pPr>
        <w:ind w:left="531" w:hanging="430"/>
        <w:jc w:val="left"/>
      </w:pPr>
      <w:rPr>
        <w:rFonts w:hint="default" w:ascii="Arial" w:hAnsi="Arial" w:eastAsia="Arial" w:cs="Arial"/>
        <w:w w:val="100"/>
        <w:sz w:val="22"/>
        <w:szCs w:val="22"/>
      </w:rPr>
    </w:lvl>
    <w:lvl w:ilvl="2">
      <w:start w:val="1"/>
      <w:numFmt w:val="decimal"/>
      <w:lvlText w:val="%1.%2.%3."/>
      <w:lvlJc w:val="left"/>
      <w:pPr>
        <w:ind w:left="716" w:hanging="615"/>
        <w:jc w:val="left"/>
      </w:pPr>
      <w:rPr>
        <w:rFonts w:hint="default" w:ascii="Arial" w:hAnsi="Arial" w:eastAsia="Arial" w:cs="Arial"/>
        <w:spacing w:val="-3"/>
        <w:w w:val="100"/>
        <w:sz w:val="22"/>
        <w:szCs w:val="22"/>
      </w:rPr>
    </w:lvl>
    <w:lvl w:ilvl="3">
      <w:start w:val="1"/>
      <w:numFmt w:val="bullet"/>
      <w:lvlText w:val="•"/>
      <w:lvlJc w:val="left"/>
      <w:pPr>
        <w:ind w:left="2573" w:hanging="615"/>
      </w:pPr>
      <w:rPr>
        <w:rFonts w:hint="default"/>
      </w:rPr>
    </w:lvl>
    <w:lvl w:ilvl="4">
      <w:start w:val="1"/>
      <w:numFmt w:val="bullet"/>
      <w:lvlText w:val="•"/>
      <w:lvlJc w:val="left"/>
      <w:pPr>
        <w:ind w:left="3500" w:hanging="615"/>
      </w:pPr>
      <w:rPr>
        <w:rFonts w:hint="default"/>
      </w:rPr>
    </w:lvl>
    <w:lvl w:ilvl="5">
      <w:start w:val="1"/>
      <w:numFmt w:val="bullet"/>
      <w:lvlText w:val="•"/>
      <w:lvlJc w:val="left"/>
      <w:pPr>
        <w:ind w:left="4426" w:hanging="615"/>
      </w:pPr>
      <w:rPr>
        <w:rFonts w:hint="default"/>
      </w:rPr>
    </w:lvl>
    <w:lvl w:ilvl="6">
      <w:start w:val="1"/>
      <w:numFmt w:val="bullet"/>
      <w:lvlText w:val="•"/>
      <w:lvlJc w:val="left"/>
      <w:pPr>
        <w:ind w:left="5353" w:hanging="615"/>
      </w:pPr>
      <w:rPr>
        <w:rFonts w:hint="default"/>
      </w:rPr>
    </w:lvl>
    <w:lvl w:ilvl="7">
      <w:start w:val="1"/>
      <w:numFmt w:val="bullet"/>
      <w:lvlText w:val="•"/>
      <w:lvlJc w:val="left"/>
      <w:pPr>
        <w:ind w:left="6280" w:hanging="615"/>
      </w:pPr>
      <w:rPr>
        <w:rFonts w:hint="default"/>
      </w:rPr>
    </w:lvl>
    <w:lvl w:ilvl="8">
      <w:start w:val="1"/>
      <w:numFmt w:val="bullet"/>
      <w:lvlText w:val="•"/>
      <w:lvlJc w:val="left"/>
      <w:pPr>
        <w:ind w:left="7206" w:hanging="615"/>
      </w:pPr>
      <w:rPr>
        <w:rFonts w:hint="default"/>
      </w:rPr>
    </w:lvl>
  </w:abstractNum>
  <w:abstractNum w:abstractNumId="12">
    <w:multiLevelType w:val="hybridMultilevel"/>
    <w:lvl w:ilvl="0">
      <w:start w:val="7"/>
      <w:numFmt w:val="decimal"/>
      <w:lvlText w:val="%1"/>
      <w:lvlJc w:val="left"/>
      <w:pPr>
        <w:ind w:left="531" w:hanging="430"/>
        <w:jc w:val="left"/>
      </w:pPr>
      <w:rPr>
        <w:rFonts w:hint="default"/>
      </w:rPr>
    </w:lvl>
    <w:lvl w:ilvl="1">
      <w:start w:val="1"/>
      <w:numFmt w:val="decimal"/>
      <w:lvlText w:val="%1.%2."/>
      <w:lvlJc w:val="left"/>
      <w:pPr>
        <w:ind w:left="531" w:hanging="430"/>
        <w:jc w:val="left"/>
      </w:pPr>
      <w:rPr>
        <w:rFonts w:hint="default" w:ascii="Arial" w:hAnsi="Arial" w:eastAsia="Arial" w:cs="Arial"/>
        <w:w w:val="100"/>
        <w:sz w:val="22"/>
        <w:szCs w:val="22"/>
      </w:rPr>
    </w:lvl>
    <w:lvl w:ilvl="2">
      <w:start w:val="1"/>
      <w:numFmt w:val="decimal"/>
      <w:lvlText w:val="%1.%2.%3."/>
      <w:lvlJc w:val="left"/>
      <w:pPr>
        <w:ind w:left="102" w:hanging="684"/>
        <w:jc w:val="left"/>
      </w:pPr>
      <w:rPr>
        <w:rFonts w:hint="default" w:ascii="Arial" w:hAnsi="Arial" w:eastAsia="Arial" w:cs="Arial"/>
        <w:spacing w:val="-3"/>
        <w:w w:val="100"/>
        <w:sz w:val="22"/>
        <w:szCs w:val="22"/>
      </w:rPr>
    </w:lvl>
    <w:lvl w:ilvl="3">
      <w:start w:val="1"/>
      <w:numFmt w:val="bullet"/>
      <w:lvlText w:val="•"/>
      <w:lvlJc w:val="left"/>
      <w:pPr>
        <w:ind w:left="1710" w:hanging="684"/>
      </w:pPr>
      <w:rPr>
        <w:rFonts w:hint="default"/>
      </w:rPr>
    </w:lvl>
    <w:lvl w:ilvl="4">
      <w:start w:val="1"/>
      <w:numFmt w:val="bullet"/>
      <w:lvlText w:val="•"/>
      <w:lvlJc w:val="left"/>
      <w:pPr>
        <w:ind w:left="2760" w:hanging="684"/>
      </w:pPr>
      <w:rPr>
        <w:rFonts w:hint="default"/>
      </w:rPr>
    </w:lvl>
    <w:lvl w:ilvl="5">
      <w:start w:val="1"/>
      <w:numFmt w:val="bullet"/>
      <w:lvlText w:val="•"/>
      <w:lvlJc w:val="left"/>
      <w:pPr>
        <w:ind w:left="3810" w:hanging="684"/>
      </w:pPr>
      <w:rPr>
        <w:rFonts w:hint="default"/>
      </w:rPr>
    </w:lvl>
    <w:lvl w:ilvl="6">
      <w:start w:val="1"/>
      <w:numFmt w:val="bullet"/>
      <w:lvlText w:val="•"/>
      <w:lvlJc w:val="left"/>
      <w:pPr>
        <w:ind w:left="4860" w:hanging="684"/>
      </w:pPr>
      <w:rPr>
        <w:rFonts w:hint="default"/>
      </w:rPr>
    </w:lvl>
    <w:lvl w:ilvl="7">
      <w:start w:val="1"/>
      <w:numFmt w:val="bullet"/>
      <w:lvlText w:val="•"/>
      <w:lvlJc w:val="left"/>
      <w:pPr>
        <w:ind w:left="5910" w:hanging="684"/>
      </w:pPr>
      <w:rPr>
        <w:rFonts w:hint="default"/>
      </w:rPr>
    </w:lvl>
    <w:lvl w:ilvl="8">
      <w:start w:val="1"/>
      <w:numFmt w:val="bullet"/>
      <w:lvlText w:val="•"/>
      <w:lvlJc w:val="left"/>
      <w:pPr>
        <w:ind w:left="6960" w:hanging="684"/>
      </w:pPr>
      <w:rPr>
        <w:rFonts w:hint="default"/>
      </w:rPr>
    </w:lvl>
  </w:abstractNum>
  <w:abstractNum w:abstractNumId="11">
    <w:multiLevelType w:val="hybridMultilevel"/>
    <w:lvl w:ilvl="0">
      <w:start w:val="6"/>
      <w:numFmt w:val="decimal"/>
      <w:lvlText w:val="%1"/>
      <w:lvlJc w:val="left"/>
      <w:pPr>
        <w:ind w:left="102" w:hanging="463"/>
        <w:jc w:val="left"/>
      </w:pPr>
      <w:rPr>
        <w:rFonts w:hint="default"/>
      </w:rPr>
    </w:lvl>
    <w:lvl w:ilvl="1">
      <w:start w:val="3"/>
      <w:numFmt w:val="decimal"/>
      <w:lvlText w:val="%1.%2."/>
      <w:lvlJc w:val="left"/>
      <w:pPr>
        <w:ind w:left="102" w:hanging="463"/>
        <w:jc w:val="left"/>
      </w:pPr>
      <w:rPr>
        <w:rFonts w:hint="default" w:ascii="Arial" w:hAnsi="Arial" w:eastAsia="Arial" w:cs="Arial"/>
        <w:w w:val="100"/>
        <w:sz w:val="22"/>
        <w:szCs w:val="22"/>
      </w:rPr>
    </w:lvl>
    <w:lvl w:ilvl="2">
      <w:start w:val="1"/>
      <w:numFmt w:val="decimal"/>
      <w:lvlText w:val="%1.%2.%3."/>
      <w:lvlJc w:val="left"/>
      <w:pPr>
        <w:ind w:left="102" w:hanging="614"/>
        <w:jc w:val="left"/>
      </w:pPr>
      <w:rPr>
        <w:rFonts w:hint="default" w:ascii="Arial" w:hAnsi="Arial" w:eastAsia="Arial" w:cs="Arial"/>
        <w:spacing w:val="-3"/>
        <w:w w:val="100"/>
        <w:sz w:val="22"/>
        <w:szCs w:val="22"/>
      </w:rPr>
    </w:lvl>
    <w:lvl w:ilvl="3">
      <w:start w:val="1"/>
      <w:numFmt w:val="bullet"/>
      <w:lvlText w:val="•"/>
      <w:lvlJc w:val="left"/>
      <w:pPr>
        <w:ind w:left="2788" w:hanging="614"/>
      </w:pPr>
      <w:rPr>
        <w:rFonts w:hint="default"/>
      </w:rPr>
    </w:lvl>
    <w:lvl w:ilvl="4">
      <w:start w:val="1"/>
      <w:numFmt w:val="bullet"/>
      <w:lvlText w:val="•"/>
      <w:lvlJc w:val="left"/>
      <w:pPr>
        <w:ind w:left="3684" w:hanging="614"/>
      </w:pPr>
      <w:rPr>
        <w:rFonts w:hint="default"/>
      </w:rPr>
    </w:lvl>
    <w:lvl w:ilvl="5">
      <w:start w:val="1"/>
      <w:numFmt w:val="bullet"/>
      <w:lvlText w:val="•"/>
      <w:lvlJc w:val="left"/>
      <w:pPr>
        <w:ind w:left="4580" w:hanging="614"/>
      </w:pPr>
      <w:rPr>
        <w:rFonts w:hint="default"/>
      </w:rPr>
    </w:lvl>
    <w:lvl w:ilvl="6">
      <w:start w:val="1"/>
      <w:numFmt w:val="bullet"/>
      <w:lvlText w:val="•"/>
      <w:lvlJc w:val="left"/>
      <w:pPr>
        <w:ind w:left="5476" w:hanging="614"/>
      </w:pPr>
      <w:rPr>
        <w:rFonts w:hint="default"/>
      </w:rPr>
    </w:lvl>
    <w:lvl w:ilvl="7">
      <w:start w:val="1"/>
      <w:numFmt w:val="bullet"/>
      <w:lvlText w:val="•"/>
      <w:lvlJc w:val="left"/>
      <w:pPr>
        <w:ind w:left="6372" w:hanging="614"/>
      </w:pPr>
      <w:rPr>
        <w:rFonts w:hint="default"/>
      </w:rPr>
    </w:lvl>
    <w:lvl w:ilvl="8">
      <w:start w:val="1"/>
      <w:numFmt w:val="bullet"/>
      <w:lvlText w:val="•"/>
      <w:lvlJc w:val="left"/>
      <w:pPr>
        <w:ind w:left="7268" w:hanging="614"/>
      </w:pPr>
      <w:rPr>
        <w:rFonts w:hint="default"/>
      </w:rPr>
    </w:lvl>
  </w:abstractNum>
  <w:abstractNum w:abstractNumId="10">
    <w:multiLevelType w:val="hybridMultilevel"/>
    <w:lvl w:ilvl="0">
      <w:start w:val="6"/>
      <w:numFmt w:val="decimal"/>
      <w:lvlText w:val="%1"/>
      <w:lvlJc w:val="left"/>
      <w:pPr>
        <w:ind w:left="102" w:hanging="430"/>
        <w:jc w:val="left"/>
      </w:pPr>
      <w:rPr>
        <w:rFonts w:hint="default"/>
      </w:rPr>
    </w:lvl>
    <w:lvl w:ilvl="1">
      <w:start w:val="1"/>
      <w:numFmt w:val="decimal"/>
      <w:lvlText w:val="%1.%2."/>
      <w:lvlJc w:val="left"/>
      <w:pPr>
        <w:ind w:left="102" w:hanging="430"/>
        <w:jc w:val="left"/>
      </w:pPr>
      <w:rPr>
        <w:rFonts w:hint="default" w:ascii="Arial" w:hAnsi="Arial" w:eastAsia="Arial" w:cs="Arial"/>
        <w:w w:val="100"/>
        <w:sz w:val="22"/>
        <w:szCs w:val="22"/>
      </w:rPr>
    </w:lvl>
    <w:lvl w:ilvl="2">
      <w:start w:val="1"/>
      <w:numFmt w:val="decimal"/>
      <w:lvlText w:val="%1.%2.%3."/>
      <w:lvlJc w:val="left"/>
      <w:pPr>
        <w:ind w:left="715" w:hanging="614"/>
        <w:jc w:val="left"/>
      </w:pPr>
      <w:rPr>
        <w:rFonts w:hint="default" w:ascii="Arial" w:hAnsi="Arial" w:eastAsia="Arial" w:cs="Arial"/>
        <w:spacing w:val="-3"/>
        <w:w w:val="100"/>
        <w:sz w:val="22"/>
        <w:szCs w:val="22"/>
      </w:rPr>
    </w:lvl>
    <w:lvl w:ilvl="3">
      <w:start w:val="1"/>
      <w:numFmt w:val="decimal"/>
      <w:lvlText w:val="%1.%2.%3.%4."/>
      <w:lvlJc w:val="left"/>
      <w:pPr>
        <w:ind w:left="898" w:hanging="797"/>
        <w:jc w:val="left"/>
      </w:pPr>
      <w:rPr>
        <w:rFonts w:hint="default" w:ascii="Arial" w:hAnsi="Arial" w:eastAsia="Arial" w:cs="Arial"/>
        <w:spacing w:val="-3"/>
        <w:w w:val="100"/>
        <w:sz w:val="22"/>
        <w:szCs w:val="22"/>
      </w:rPr>
    </w:lvl>
    <w:lvl w:ilvl="4">
      <w:start w:val="1"/>
      <w:numFmt w:val="bullet"/>
      <w:lvlText w:val="•"/>
      <w:lvlJc w:val="left"/>
      <w:pPr>
        <w:ind w:left="2940" w:hanging="797"/>
      </w:pPr>
      <w:rPr>
        <w:rFonts w:hint="default"/>
      </w:rPr>
    </w:lvl>
    <w:lvl w:ilvl="5">
      <w:start w:val="1"/>
      <w:numFmt w:val="bullet"/>
      <w:lvlText w:val="•"/>
      <w:lvlJc w:val="left"/>
      <w:pPr>
        <w:ind w:left="3960" w:hanging="797"/>
      </w:pPr>
      <w:rPr>
        <w:rFonts w:hint="default"/>
      </w:rPr>
    </w:lvl>
    <w:lvl w:ilvl="6">
      <w:start w:val="1"/>
      <w:numFmt w:val="bullet"/>
      <w:lvlText w:val="•"/>
      <w:lvlJc w:val="left"/>
      <w:pPr>
        <w:ind w:left="4980" w:hanging="797"/>
      </w:pPr>
      <w:rPr>
        <w:rFonts w:hint="default"/>
      </w:rPr>
    </w:lvl>
    <w:lvl w:ilvl="7">
      <w:start w:val="1"/>
      <w:numFmt w:val="bullet"/>
      <w:lvlText w:val="•"/>
      <w:lvlJc w:val="left"/>
      <w:pPr>
        <w:ind w:left="6000" w:hanging="797"/>
      </w:pPr>
      <w:rPr>
        <w:rFonts w:hint="default"/>
      </w:rPr>
    </w:lvl>
    <w:lvl w:ilvl="8">
      <w:start w:val="1"/>
      <w:numFmt w:val="bullet"/>
      <w:lvlText w:val="•"/>
      <w:lvlJc w:val="left"/>
      <w:pPr>
        <w:ind w:left="7020" w:hanging="797"/>
      </w:pPr>
      <w:rPr>
        <w:rFonts w:hint="default"/>
      </w:rPr>
    </w:lvl>
  </w:abstractNum>
  <w:abstractNum w:abstractNumId="9">
    <w:multiLevelType w:val="hybridMultilevel"/>
    <w:lvl w:ilvl="0">
      <w:start w:val="5"/>
      <w:numFmt w:val="decimal"/>
      <w:lvlText w:val="%1"/>
      <w:lvlJc w:val="left"/>
      <w:pPr>
        <w:ind w:left="639" w:hanging="538"/>
        <w:jc w:val="left"/>
      </w:pPr>
      <w:rPr>
        <w:rFonts w:hint="default"/>
      </w:rPr>
    </w:lvl>
    <w:lvl w:ilvl="1">
      <w:start w:val="1"/>
      <w:numFmt w:val="decimal"/>
      <w:lvlText w:val="%1.%2."/>
      <w:lvlJc w:val="left"/>
      <w:pPr>
        <w:ind w:left="639" w:hanging="538"/>
        <w:jc w:val="left"/>
      </w:pPr>
      <w:rPr>
        <w:rFonts w:hint="default" w:ascii="Arial" w:hAnsi="Arial" w:eastAsia="Arial" w:cs="Arial"/>
        <w:w w:val="100"/>
        <w:sz w:val="22"/>
        <w:szCs w:val="22"/>
      </w:rPr>
    </w:lvl>
    <w:lvl w:ilvl="2">
      <w:start w:val="1"/>
      <w:numFmt w:val="bullet"/>
      <w:lvlText w:val="•"/>
      <w:lvlJc w:val="left"/>
      <w:pPr>
        <w:ind w:left="2324" w:hanging="538"/>
      </w:pPr>
      <w:rPr>
        <w:rFonts w:hint="default"/>
      </w:rPr>
    </w:lvl>
    <w:lvl w:ilvl="3">
      <w:start w:val="1"/>
      <w:numFmt w:val="bullet"/>
      <w:lvlText w:val="•"/>
      <w:lvlJc w:val="left"/>
      <w:pPr>
        <w:ind w:left="3166" w:hanging="538"/>
      </w:pPr>
      <w:rPr>
        <w:rFonts w:hint="default"/>
      </w:rPr>
    </w:lvl>
    <w:lvl w:ilvl="4">
      <w:start w:val="1"/>
      <w:numFmt w:val="bullet"/>
      <w:lvlText w:val="•"/>
      <w:lvlJc w:val="left"/>
      <w:pPr>
        <w:ind w:left="4008" w:hanging="538"/>
      </w:pPr>
      <w:rPr>
        <w:rFonts w:hint="default"/>
      </w:rPr>
    </w:lvl>
    <w:lvl w:ilvl="5">
      <w:start w:val="1"/>
      <w:numFmt w:val="bullet"/>
      <w:lvlText w:val="•"/>
      <w:lvlJc w:val="left"/>
      <w:pPr>
        <w:ind w:left="4850" w:hanging="538"/>
      </w:pPr>
      <w:rPr>
        <w:rFonts w:hint="default"/>
      </w:rPr>
    </w:lvl>
    <w:lvl w:ilvl="6">
      <w:start w:val="1"/>
      <w:numFmt w:val="bullet"/>
      <w:lvlText w:val="•"/>
      <w:lvlJc w:val="left"/>
      <w:pPr>
        <w:ind w:left="5692" w:hanging="538"/>
      </w:pPr>
      <w:rPr>
        <w:rFonts w:hint="default"/>
      </w:rPr>
    </w:lvl>
    <w:lvl w:ilvl="7">
      <w:start w:val="1"/>
      <w:numFmt w:val="bullet"/>
      <w:lvlText w:val="•"/>
      <w:lvlJc w:val="left"/>
      <w:pPr>
        <w:ind w:left="6534" w:hanging="538"/>
      </w:pPr>
      <w:rPr>
        <w:rFonts w:hint="default"/>
      </w:rPr>
    </w:lvl>
    <w:lvl w:ilvl="8">
      <w:start w:val="1"/>
      <w:numFmt w:val="bullet"/>
      <w:lvlText w:val="•"/>
      <w:lvlJc w:val="left"/>
      <w:pPr>
        <w:ind w:left="7376" w:hanging="538"/>
      </w:pPr>
      <w:rPr>
        <w:rFonts w:hint="default"/>
      </w:rPr>
    </w:lvl>
  </w:abstractNum>
  <w:abstractNum w:abstractNumId="8">
    <w:multiLevelType w:val="hybridMultilevel"/>
    <w:lvl w:ilvl="0">
      <w:start w:val="4"/>
      <w:numFmt w:val="decimal"/>
      <w:lvlText w:val="%1"/>
      <w:lvlJc w:val="left"/>
      <w:pPr>
        <w:ind w:left="613" w:hanging="511"/>
        <w:jc w:val="left"/>
      </w:pPr>
      <w:rPr>
        <w:rFonts w:hint="default"/>
      </w:rPr>
    </w:lvl>
    <w:lvl w:ilvl="1">
      <w:start w:val="5"/>
      <w:numFmt w:val="decimal"/>
      <w:lvlText w:val="%1.%2."/>
      <w:lvlJc w:val="left"/>
      <w:pPr>
        <w:ind w:left="613" w:hanging="511"/>
        <w:jc w:val="left"/>
      </w:pPr>
      <w:rPr>
        <w:rFonts w:hint="default" w:ascii="Arial" w:hAnsi="Arial" w:eastAsia="Arial" w:cs="Arial"/>
        <w:w w:val="100"/>
        <w:sz w:val="22"/>
        <w:szCs w:val="22"/>
      </w:rPr>
    </w:lvl>
    <w:lvl w:ilvl="2">
      <w:start w:val="1"/>
      <w:numFmt w:val="bullet"/>
      <w:lvlText w:val="•"/>
      <w:lvlJc w:val="left"/>
      <w:pPr>
        <w:ind w:left="2308" w:hanging="511"/>
      </w:pPr>
      <w:rPr>
        <w:rFonts w:hint="default"/>
      </w:rPr>
    </w:lvl>
    <w:lvl w:ilvl="3">
      <w:start w:val="1"/>
      <w:numFmt w:val="bullet"/>
      <w:lvlText w:val="•"/>
      <w:lvlJc w:val="left"/>
      <w:pPr>
        <w:ind w:left="3152" w:hanging="511"/>
      </w:pPr>
      <w:rPr>
        <w:rFonts w:hint="default"/>
      </w:rPr>
    </w:lvl>
    <w:lvl w:ilvl="4">
      <w:start w:val="1"/>
      <w:numFmt w:val="bullet"/>
      <w:lvlText w:val="•"/>
      <w:lvlJc w:val="left"/>
      <w:pPr>
        <w:ind w:left="3996" w:hanging="511"/>
      </w:pPr>
      <w:rPr>
        <w:rFonts w:hint="default"/>
      </w:rPr>
    </w:lvl>
    <w:lvl w:ilvl="5">
      <w:start w:val="1"/>
      <w:numFmt w:val="bullet"/>
      <w:lvlText w:val="•"/>
      <w:lvlJc w:val="left"/>
      <w:pPr>
        <w:ind w:left="4840" w:hanging="511"/>
      </w:pPr>
      <w:rPr>
        <w:rFonts w:hint="default"/>
      </w:rPr>
    </w:lvl>
    <w:lvl w:ilvl="6">
      <w:start w:val="1"/>
      <w:numFmt w:val="bullet"/>
      <w:lvlText w:val="•"/>
      <w:lvlJc w:val="left"/>
      <w:pPr>
        <w:ind w:left="5684" w:hanging="511"/>
      </w:pPr>
      <w:rPr>
        <w:rFonts w:hint="default"/>
      </w:rPr>
    </w:lvl>
    <w:lvl w:ilvl="7">
      <w:start w:val="1"/>
      <w:numFmt w:val="bullet"/>
      <w:lvlText w:val="•"/>
      <w:lvlJc w:val="left"/>
      <w:pPr>
        <w:ind w:left="6528" w:hanging="511"/>
      </w:pPr>
      <w:rPr>
        <w:rFonts w:hint="default"/>
      </w:rPr>
    </w:lvl>
    <w:lvl w:ilvl="8">
      <w:start w:val="1"/>
      <w:numFmt w:val="bullet"/>
      <w:lvlText w:val="•"/>
      <w:lvlJc w:val="left"/>
      <w:pPr>
        <w:ind w:left="7372" w:hanging="511"/>
      </w:pPr>
      <w:rPr>
        <w:rFonts w:hint="default"/>
      </w:rPr>
    </w:lvl>
  </w:abstractNum>
  <w:abstractNum w:abstractNumId="7">
    <w:multiLevelType w:val="hybridMultilevel"/>
    <w:lvl w:ilvl="0">
      <w:start w:val="4"/>
      <w:numFmt w:val="decimal"/>
      <w:lvlText w:val="%1"/>
      <w:lvlJc w:val="left"/>
      <w:pPr>
        <w:ind w:left="102" w:hanging="458"/>
        <w:jc w:val="left"/>
      </w:pPr>
      <w:rPr>
        <w:rFonts w:hint="default"/>
      </w:rPr>
    </w:lvl>
    <w:lvl w:ilvl="1">
      <w:start w:val="4"/>
      <w:numFmt w:val="decimal"/>
      <w:lvlText w:val="%1.%2."/>
      <w:lvlJc w:val="left"/>
      <w:pPr>
        <w:ind w:left="102" w:hanging="458"/>
        <w:jc w:val="left"/>
      </w:pPr>
      <w:rPr>
        <w:rFonts w:hint="default" w:ascii="Arial" w:hAnsi="Arial" w:eastAsia="Arial" w:cs="Arial"/>
        <w:w w:val="100"/>
        <w:sz w:val="22"/>
        <w:szCs w:val="22"/>
      </w:rPr>
    </w:lvl>
    <w:lvl w:ilvl="2">
      <w:start w:val="1"/>
      <w:numFmt w:val="decimal"/>
      <w:lvlText w:val="%1.%2.%3."/>
      <w:lvlJc w:val="left"/>
      <w:pPr>
        <w:ind w:left="715" w:hanging="614"/>
        <w:jc w:val="left"/>
      </w:pPr>
      <w:rPr>
        <w:rFonts w:hint="default" w:ascii="Arial" w:hAnsi="Arial" w:eastAsia="Arial" w:cs="Arial"/>
        <w:spacing w:val="-3"/>
        <w:w w:val="100"/>
        <w:sz w:val="22"/>
        <w:szCs w:val="22"/>
      </w:rPr>
    </w:lvl>
    <w:lvl w:ilvl="3">
      <w:start w:val="1"/>
      <w:numFmt w:val="bullet"/>
      <w:lvlText w:val="•"/>
      <w:lvlJc w:val="left"/>
      <w:pPr>
        <w:ind w:left="2573" w:hanging="614"/>
      </w:pPr>
      <w:rPr>
        <w:rFonts w:hint="default"/>
      </w:rPr>
    </w:lvl>
    <w:lvl w:ilvl="4">
      <w:start w:val="1"/>
      <w:numFmt w:val="bullet"/>
      <w:lvlText w:val="•"/>
      <w:lvlJc w:val="left"/>
      <w:pPr>
        <w:ind w:left="3500" w:hanging="614"/>
      </w:pPr>
      <w:rPr>
        <w:rFonts w:hint="default"/>
      </w:rPr>
    </w:lvl>
    <w:lvl w:ilvl="5">
      <w:start w:val="1"/>
      <w:numFmt w:val="bullet"/>
      <w:lvlText w:val="•"/>
      <w:lvlJc w:val="left"/>
      <w:pPr>
        <w:ind w:left="4426" w:hanging="614"/>
      </w:pPr>
      <w:rPr>
        <w:rFonts w:hint="default"/>
      </w:rPr>
    </w:lvl>
    <w:lvl w:ilvl="6">
      <w:start w:val="1"/>
      <w:numFmt w:val="bullet"/>
      <w:lvlText w:val="•"/>
      <w:lvlJc w:val="left"/>
      <w:pPr>
        <w:ind w:left="5353" w:hanging="614"/>
      </w:pPr>
      <w:rPr>
        <w:rFonts w:hint="default"/>
      </w:rPr>
    </w:lvl>
    <w:lvl w:ilvl="7">
      <w:start w:val="1"/>
      <w:numFmt w:val="bullet"/>
      <w:lvlText w:val="•"/>
      <w:lvlJc w:val="left"/>
      <w:pPr>
        <w:ind w:left="6280" w:hanging="614"/>
      </w:pPr>
      <w:rPr>
        <w:rFonts w:hint="default"/>
      </w:rPr>
    </w:lvl>
    <w:lvl w:ilvl="8">
      <w:start w:val="1"/>
      <w:numFmt w:val="bullet"/>
      <w:lvlText w:val="•"/>
      <w:lvlJc w:val="left"/>
      <w:pPr>
        <w:ind w:left="7206" w:hanging="614"/>
      </w:pPr>
      <w:rPr>
        <w:rFonts w:hint="default"/>
      </w:rPr>
    </w:lvl>
  </w:abstractNum>
  <w:abstractNum w:abstractNumId="6">
    <w:multiLevelType w:val="hybridMultilevel"/>
    <w:lvl w:ilvl="0">
      <w:start w:val="4"/>
      <w:numFmt w:val="decimal"/>
      <w:lvlText w:val="%1"/>
      <w:lvlJc w:val="left"/>
      <w:pPr>
        <w:ind w:left="531" w:hanging="430"/>
        <w:jc w:val="left"/>
      </w:pPr>
      <w:rPr>
        <w:rFonts w:hint="default"/>
      </w:rPr>
    </w:lvl>
    <w:lvl w:ilvl="1">
      <w:start w:val="1"/>
      <w:numFmt w:val="decimal"/>
      <w:lvlText w:val="%1.%2."/>
      <w:lvlJc w:val="left"/>
      <w:pPr>
        <w:ind w:left="102" w:hanging="430"/>
        <w:jc w:val="left"/>
      </w:pPr>
      <w:rPr>
        <w:rFonts w:hint="default" w:ascii="Arial" w:hAnsi="Arial" w:eastAsia="Arial" w:cs="Arial"/>
        <w:w w:val="100"/>
        <w:sz w:val="22"/>
        <w:szCs w:val="22"/>
      </w:rPr>
    </w:lvl>
    <w:lvl w:ilvl="2">
      <w:start w:val="1"/>
      <w:numFmt w:val="decimal"/>
      <w:lvlText w:val="%1.%2.%3."/>
      <w:lvlJc w:val="left"/>
      <w:pPr>
        <w:ind w:left="713" w:hanging="612"/>
        <w:jc w:val="left"/>
      </w:pPr>
      <w:rPr>
        <w:rFonts w:hint="default" w:ascii="Arial" w:hAnsi="Arial" w:eastAsia="Arial" w:cs="Arial"/>
        <w:spacing w:val="-3"/>
        <w:w w:val="100"/>
        <w:sz w:val="22"/>
        <w:szCs w:val="22"/>
      </w:rPr>
    </w:lvl>
    <w:lvl w:ilvl="3">
      <w:start w:val="1"/>
      <w:numFmt w:val="bullet"/>
      <w:lvlText w:val="•"/>
      <w:lvlJc w:val="left"/>
      <w:pPr>
        <w:ind w:left="1762" w:hanging="612"/>
      </w:pPr>
      <w:rPr>
        <w:rFonts w:hint="default"/>
      </w:rPr>
    </w:lvl>
    <w:lvl w:ilvl="4">
      <w:start w:val="1"/>
      <w:numFmt w:val="bullet"/>
      <w:lvlText w:val="•"/>
      <w:lvlJc w:val="left"/>
      <w:pPr>
        <w:ind w:left="2805" w:hanging="612"/>
      </w:pPr>
      <w:rPr>
        <w:rFonts w:hint="default"/>
      </w:rPr>
    </w:lvl>
    <w:lvl w:ilvl="5">
      <w:start w:val="1"/>
      <w:numFmt w:val="bullet"/>
      <w:lvlText w:val="•"/>
      <w:lvlJc w:val="left"/>
      <w:pPr>
        <w:ind w:left="3847" w:hanging="612"/>
      </w:pPr>
      <w:rPr>
        <w:rFonts w:hint="default"/>
      </w:rPr>
    </w:lvl>
    <w:lvl w:ilvl="6">
      <w:start w:val="1"/>
      <w:numFmt w:val="bullet"/>
      <w:lvlText w:val="•"/>
      <w:lvlJc w:val="left"/>
      <w:pPr>
        <w:ind w:left="4890" w:hanging="612"/>
      </w:pPr>
      <w:rPr>
        <w:rFonts w:hint="default"/>
      </w:rPr>
    </w:lvl>
    <w:lvl w:ilvl="7">
      <w:start w:val="1"/>
      <w:numFmt w:val="bullet"/>
      <w:lvlText w:val="•"/>
      <w:lvlJc w:val="left"/>
      <w:pPr>
        <w:ind w:left="5932" w:hanging="612"/>
      </w:pPr>
      <w:rPr>
        <w:rFonts w:hint="default"/>
      </w:rPr>
    </w:lvl>
    <w:lvl w:ilvl="8">
      <w:start w:val="1"/>
      <w:numFmt w:val="bullet"/>
      <w:lvlText w:val="•"/>
      <w:lvlJc w:val="left"/>
      <w:pPr>
        <w:ind w:left="6975" w:hanging="612"/>
      </w:pPr>
      <w:rPr>
        <w:rFonts w:hint="default"/>
      </w:rPr>
    </w:lvl>
  </w:abstractNum>
  <w:abstractNum w:abstractNumId="5">
    <w:multiLevelType w:val="hybridMultilevel"/>
    <w:lvl w:ilvl="0">
      <w:start w:val="3"/>
      <w:numFmt w:val="decimal"/>
      <w:lvlText w:val="%1"/>
      <w:lvlJc w:val="left"/>
      <w:pPr>
        <w:ind w:left="531" w:hanging="430"/>
        <w:jc w:val="left"/>
      </w:pPr>
      <w:rPr>
        <w:rFonts w:hint="default"/>
      </w:rPr>
    </w:lvl>
    <w:lvl w:ilvl="1">
      <w:start w:val="1"/>
      <w:numFmt w:val="decimal"/>
      <w:lvlText w:val="%1.%2."/>
      <w:lvlJc w:val="left"/>
      <w:pPr>
        <w:ind w:left="531" w:hanging="430"/>
        <w:jc w:val="left"/>
      </w:pPr>
      <w:rPr>
        <w:rFonts w:hint="default" w:ascii="Arial" w:hAnsi="Arial" w:eastAsia="Arial" w:cs="Arial"/>
        <w:w w:val="100"/>
        <w:sz w:val="22"/>
        <w:szCs w:val="22"/>
      </w:rPr>
    </w:lvl>
    <w:lvl w:ilvl="2">
      <w:start w:val="1"/>
      <w:numFmt w:val="bullet"/>
      <w:lvlText w:val="•"/>
      <w:lvlJc w:val="left"/>
      <w:pPr>
        <w:ind w:left="2244" w:hanging="430"/>
      </w:pPr>
      <w:rPr>
        <w:rFonts w:hint="default"/>
      </w:rPr>
    </w:lvl>
    <w:lvl w:ilvl="3">
      <w:start w:val="1"/>
      <w:numFmt w:val="bullet"/>
      <w:lvlText w:val="•"/>
      <w:lvlJc w:val="left"/>
      <w:pPr>
        <w:ind w:left="3096" w:hanging="430"/>
      </w:pPr>
      <w:rPr>
        <w:rFonts w:hint="default"/>
      </w:rPr>
    </w:lvl>
    <w:lvl w:ilvl="4">
      <w:start w:val="1"/>
      <w:numFmt w:val="bullet"/>
      <w:lvlText w:val="•"/>
      <w:lvlJc w:val="left"/>
      <w:pPr>
        <w:ind w:left="3948" w:hanging="430"/>
      </w:pPr>
      <w:rPr>
        <w:rFonts w:hint="default"/>
      </w:rPr>
    </w:lvl>
    <w:lvl w:ilvl="5">
      <w:start w:val="1"/>
      <w:numFmt w:val="bullet"/>
      <w:lvlText w:val="•"/>
      <w:lvlJc w:val="left"/>
      <w:pPr>
        <w:ind w:left="4800" w:hanging="430"/>
      </w:pPr>
      <w:rPr>
        <w:rFonts w:hint="default"/>
      </w:rPr>
    </w:lvl>
    <w:lvl w:ilvl="6">
      <w:start w:val="1"/>
      <w:numFmt w:val="bullet"/>
      <w:lvlText w:val="•"/>
      <w:lvlJc w:val="left"/>
      <w:pPr>
        <w:ind w:left="5652" w:hanging="430"/>
      </w:pPr>
      <w:rPr>
        <w:rFonts w:hint="default"/>
      </w:rPr>
    </w:lvl>
    <w:lvl w:ilvl="7">
      <w:start w:val="1"/>
      <w:numFmt w:val="bullet"/>
      <w:lvlText w:val="•"/>
      <w:lvlJc w:val="left"/>
      <w:pPr>
        <w:ind w:left="6504" w:hanging="430"/>
      </w:pPr>
      <w:rPr>
        <w:rFonts w:hint="default"/>
      </w:rPr>
    </w:lvl>
    <w:lvl w:ilvl="8">
      <w:start w:val="1"/>
      <w:numFmt w:val="bullet"/>
      <w:lvlText w:val="•"/>
      <w:lvlJc w:val="left"/>
      <w:pPr>
        <w:ind w:left="7356" w:hanging="430"/>
      </w:pPr>
      <w:rPr>
        <w:rFonts w:hint="default"/>
      </w:rPr>
    </w:lvl>
  </w:abstractNum>
  <w:abstractNum w:abstractNumId="4">
    <w:multiLevelType w:val="hybridMultilevel"/>
    <w:lvl w:ilvl="0">
      <w:start w:val="2"/>
      <w:numFmt w:val="decimal"/>
      <w:lvlText w:val="%1"/>
      <w:lvlJc w:val="left"/>
      <w:pPr>
        <w:ind w:left="531" w:hanging="430"/>
        <w:jc w:val="left"/>
      </w:pPr>
      <w:rPr>
        <w:rFonts w:hint="default"/>
      </w:rPr>
    </w:lvl>
    <w:lvl w:ilvl="1">
      <w:start w:val="4"/>
      <w:numFmt w:val="decimal"/>
      <w:lvlText w:val="%1.%2."/>
      <w:lvlJc w:val="left"/>
      <w:pPr>
        <w:ind w:left="531" w:hanging="430"/>
        <w:jc w:val="left"/>
      </w:pPr>
      <w:rPr>
        <w:rFonts w:hint="default" w:ascii="Arial" w:hAnsi="Arial" w:eastAsia="Arial" w:cs="Arial"/>
        <w:w w:val="100"/>
        <w:sz w:val="22"/>
        <w:szCs w:val="22"/>
      </w:rPr>
    </w:lvl>
    <w:lvl w:ilvl="2">
      <w:start w:val="1"/>
      <w:numFmt w:val="decimal"/>
      <w:lvlText w:val="%1.%2.%3."/>
      <w:lvlJc w:val="left"/>
      <w:pPr>
        <w:ind w:left="716" w:hanging="615"/>
        <w:jc w:val="left"/>
      </w:pPr>
      <w:rPr>
        <w:rFonts w:hint="default" w:ascii="Arial" w:hAnsi="Arial" w:eastAsia="Arial" w:cs="Arial"/>
        <w:spacing w:val="-3"/>
        <w:w w:val="100"/>
        <w:sz w:val="22"/>
        <w:szCs w:val="22"/>
      </w:rPr>
    </w:lvl>
    <w:lvl w:ilvl="3">
      <w:start w:val="1"/>
      <w:numFmt w:val="bullet"/>
      <w:lvlText w:val="•"/>
      <w:lvlJc w:val="left"/>
      <w:pPr>
        <w:ind w:left="2573" w:hanging="615"/>
      </w:pPr>
      <w:rPr>
        <w:rFonts w:hint="default"/>
      </w:rPr>
    </w:lvl>
    <w:lvl w:ilvl="4">
      <w:start w:val="1"/>
      <w:numFmt w:val="bullet"/>
      <w:lvlText w:val="•"/>
      <w:lvlJc w:val="left"/>
      <w:pPr>
        <w:ind w:left="3500" w:hanging="615"/>
      </w:pPr>
      <w:rPr>
        <w:rFonts w:hint="default"/>
      </w:rPr>
    </w:lvl>
    <w:lvl w:ilvl="5">
      <w:start w:val="1"/>
      <w:numFmt w:val="bullet"/>
      <w:lvlText w:val="•"/>
      <w:lvlJc w:val="left"/>
      <w:pPr>
        <w:ind w:left="4426" w:hanging="615"/>
      </w:pPr>
      <w:rPr>
        <w:rFonts w:hint="default"/>
      </w:rPr>
    </w:lvl>
    <w:lvl w:ilvl="6">
      <w:start w:val="1"/>
      <w:numFmt w:val="bullet"/>
      <w:lvlText w:val="•"/>
      <w:lvlJc w:val="left"/>
      <w:pPr>
        <w:ind w:left="5353" w:hanging="615"/>
      </w:pPr>
      <w:rPr>
        <w:rFonts w:hint="default"/>
      </w:rPr>
    </w:lvl>
    <w:lvl w:ilvl="7">
      <w:start w:val="1"/>
      <w:numFmt w:val="bullet"/>
      <w:lvlText w:val="•"/>
      <w:lvlJc w:val="left"/>
      <w:pPr>
        <w:ind w:left="6280" w:hanging="615"/>
      </w:pPr>
      <w:rPr>
        <w:rFonts w:hint="default"/>
      </w:rPr>
    </w:lvl>
    <w:lvl w:ilvl="8">
      <w:start w:val="1"/>
      <w:numFmt w:val="bullet"/>
      <w:lvlText w:val="•"/>
      <w:lvlJc w:val="left"/>
      <w:pPr>
        <w:ind w:left="7206" w:hanging="615"/>
      </w:pPr>
      <w:rPr>
        <w:rFonts w:hint="default"/>
      </w:rPr>
    </w:lvl>
  </w:abstractNum>
  <w:abstractNum w:abstractNumId="3">
    <w:multiLevelType w:val="hybridMultilevel"/>
    <w:lvl w:ilvl="0">
      <w:start w:val="2"/>
      <w:numFmt w:val="decimal"/>
      <w:lvlText w:val="%1"/>
      <w:lvlJc w:val="left"/>
      <w:pPr>
        <w:ind w:left="531" w:hanging="430"/>
        <w:jc w:val="left"/>
      </w:pPr>
      <w:rPr>
        <w:rFonts w:hint="default"/>
      </w:rPr>
    </w:lvl>
    <w:lvl w:ilvl="1">
      <w:start w:val="3"/>
      <w:numFmt w:val="decimal"/>
      <w:lvlText w:val="%1.%2."/>
      <w:lvlJc w:val="left"/>
      <w:pPr>
        <w:ind w:left="531" w:hanging="430"/>
        <w:jc w:val="left"/>
      </w:pPr>
      <w:rPr>
        <w:rFonts w:hint="default" w:ascii="Arial" w:hAnsi="Arial" w:eastAsia="Arial" w:cs="Arial"/>
        <w:w w:val="100"/>
        <w:sz w:val="22"/>
        <w:szCs w:val="22"/>
      </w:rPr>
    </w:lvl>
    <w:lvl w:ilvl="2">
      <w:start w:val="1"/>
      <w:numFmt w:val="decimal"/>
      <w:lvlText w:val="%1.%2.%3."/>
      <w:lvlJc w:val="left"/>
      <w:pPr>
        <w:ind w:left="715" w:hanging="614"/>
        <w:jc w:val="left"/>
      </w:pPr>
      <w:rPr>
        <w:rFonts w:hint="default" w:ascii="Arial" w:hAnsi="Arial" w:eastAsia="Arial" w:cs="Arial"/>
        <w:spacing w:val="-3"/>
        <w:w w:val="100"/>
        <w:sz w:val="22"/>
        <w:szCs w:val="22"/>
      </w:rPr>
    </w:lvl>
    <w:lvl w:ilvl="3">
      <w:start w:val="1"/>
      <w:numFmt w:val="bullet"/>
      <w:lvlText w:val="•"/>
      <w:lvlJc w:val="left"/>
      <w:pPr>
        <w:ind w:left="2573" w:hanging="614"/>
      </w:pPr>
      <w:rPr>
        <w:rFonts w:hint="default"/>
      </w:rPr>
    </w:lvl>
    <w:lvl w:ilvl="4">
      <w:start w:val="1"/>
      <w:numFmt w:val="bullet"/>
      <w:lvlText w:val="•"/>
      <w:lvlJc w:val="left"/>
      <w:pPr>
        <w:ind w:left="3500" w:hanging="614"/>
      </w:pPr>
      <w:rPr>
        <w:rFonts w:hint="default"/>
      </w:rPr>
    </w:lvl>
    <w:lvl w:ilvl="5">
      <w:start w:val="1"/>
      <w:numFmt w:val="bullet"/>
      <w:lvlText w:val="•"/>
      <w:lvlJc w:val="left"/>
      <w:pPr>
        <w:ind w:left="4426" w:hanging="614"/>
      </w:pPr>
      <w:rPr>
        <w:rFonts w:hint="default"/>
      </w:rPr>
    </w:lvl>
    <w:lvl w:ilvl="6">
      <w:start w:val="1"/>
      <w:numFmt w:val="bullet"/>
      <w:lvlText w:val="•"/>
      <w:lvlJc w:val="left"/>
      <w:pPr>
        <w:ind w:left="5353" w:hanging="614"/>
      </w:pPr>
      <w:rPr>
        <w:rFonts w:hint="default"/>
      </w:rPr>
    </w:lvl>
    <w:lvl w:ilvl="7">
      <w:start w:val="1"/>
      <w:numFmt w:val="bullet"/>
      <w:lvlText w:val="•"/>
      <w:lvlJc w:val="left"/>
      <w:pPr>
        <w:ind w:left="6280" w:hanging="614"/>
      </w:pPr>
      <w:rPr>
        <w:rFonts w:hint="default"/>
      </w:rPr>
    </w:lvl>
    <w:lvl w:ilvl="8">
      <w:start w:val="1"/>
      <w:numFmt w:val="bullet"/>
      <w:lvlText w:val="•"/>
      <w:lvlJc w:val="left"/>
      <w:pPr>
        <w:ind w:left="7206" w:hanging="614"/>
      </w:pPr>
      <w:rPr>
        <w:rFonts w:hint="default"/>
      </w:rPr>
    </w:lvl>
  </w:abstractNum>
  <w:abstractNum w:abstractNumId="2">
    <w:multiLevelType w:val="hybridMultilevel"/>
    <w:lvl w:ilvl="0">
      <w:start w:val="2"/>
      <w:numFmt w:val="decimal"/>
      <w:lvlText w:val="%1"/>
      <w:lvlJc w:val="left"/>
      <w:pPr>
        <w:ind w:left="536" w:hanging="435"/>
        <w:jc w:val="left"/>
      </w:pPr>
      <w:rPr>
        <w:rFonts w:hint="default"/>
      </w:rPr>
    </w:lvl>
    <w:lvl w:ilvl="1">
      <w:start w:val="1"/>
      <w:numFmt w:val="decimal"/>
      <w:lvlText w:val="%1.%2."/>
      <w:lvlJc w:val="left"/>
      <w:pPr>
        <w:ind w:left="536" w:hanging="435"/>
        <w:jc w:val="left"/>
      </w:pPr>
      <w:rPr>
        <w:rFonts w:hint="default" w:ascii="Arial" w:hAnsi="Arial" w:eastAsia="Arial" w:cs="Arial"/>
        <w:w w:val="100"/>
        <w:sz w:val="22"/>
        <w:szCs w:val="22"/>
      </w:rPr>
    </w:lvl>
    <w:lvl w:ilvl="2">
      <w:start w:val="1"/>
      <w:numFmt w:val="decimal"/>
      <w:lvlText w:val="%1.%2.%3."/>
      <w:lvlJc w:val="left"/>
      <w:pPr>
        <w:ind w:left="715" w:hanging="614"/>
        <w:jc w:val="left"/>
      </w:pPr>
      <w:rPr>
        <w:rFonts w:hint="default" w:ascii="Arial" w:hAnsi="Arial" w:eastAsia="Arial" w:cs="Arial"/>
        <w:spacing w:val="-3"/>
        <w:w w:val="100"/>
        <w:sz w:val="22"/>
        <w:szCs w:val="22"/>
      </w:rPr>
    </w:lvl>
    <w:lvl w:ilvl="3">
      <w:start w:val="1"/>
      <w:numFmt w:val="bullet"/>
      <w:lvlText w:val="•"/>
      <w:lvlJc w:val="left"/>
      <w:pPr>
        <w:ind w:left="2573" w:hanging="614"/>
      </w:pPr>
      <w:rPr>
        <w:rFonts w:hint="default"/>
      </w:rPr>
    </w:lvl>
    <w:lvl w:ilvl="4">
      <w:start w:val="1"/>
      <w:numFmt w:val="bullet"/>
      <w:lvlText w:val="•"/>
      <w:lvlJc w:val="left"/>
      <w:pPr>
        <w:ind w:left="3500" w:hanging="614"/>
      </w:pPr>
      <w:rPr>
        <w:rFonts w:hint="default"/>
      </w:rPr>
    </w:lvl>
    <w:lvl w:ilvl="5">
      <w:start w:val="1"/>
      <w:numFmt w:val="bullet"/>
      <w:lvlText w:val="•"/>
      <w:lvlJc w:val="left"/>
      <w:pPr>
        <w:ind w:left="4426" w:hanging="614"/>
      </w:pPr>
      <w:rPr>
        <w:rFonts w:hint="default"/>
      </w:rPr>
    </w:lvl>
    <w:lvl w:ilvl="6">
      <w:start w:val="1"/>
      <w:numFmt w:val="bullet"/>
      <w:lvlText w:val="•"/>
      <w:lvlJc w:val="left"/>
      <w:pPr>
        <w:ind w:left="5353" w:hanging="614"/>
      </w:pPr>
      <w:rPr>
        <w:rFonts w:hint="default"/>
      </w:rPr>
    </w:lvl>
    <w:lvl w:ilvl="7">
      <w:start w:val="1"/>
      <w:numFmt w:val="bullet"/>
      <w:lvlText w:val="•"/>
      <w:lvlJc w:val="left"/>
      <w:pPr>
        <w:ind w:left="6280" w:hanging="614"/>
      </w:pPr>
      <w:rPr>
        <w:rFonts w:hint="default"/>
      </w:rPr>
    </w:lvl>
    <w:lvl w:ilvl="8">
      <w:start w:val="1"/>
      <w:numFmt w:val="bullet"/>
      <w:lvlText w:val="•"/>
      <w:lvlJc w:val="left"/>
      <w:pPr>
        <w:ind w:left="7206" w:hanging="614"/>
      </w:pPr>
      <w:rPr>
        <w:rFonts w:hint="default"/>
      </w:rPr>
    </w:lvl>
  </w:abstractNum>
  <w:abstractNum w:abstractNumId="1">
    <w:multiLevelType w:val="hybridMultilevel"/>
    <w:lvl w:ilvl="0">
      <w:start w:val="1"/>
      <w:numFmt w:val="decimal"/>
      <w:lvlText w:val="%1"/>
      <w:lvlJc w:val="left"/>
      <w:pPr>
        <w:ind w:left="102" w:hanging="478"/>
        <w:jc w:val="left"/>
      </w:pPr>
      <w:rPr>
        <w:rFonts w:hint="default"/>
      </w:rPr>
    </w:lvl>
    <w:lvl w:ilvl="1">
      <w:start w:val="1"/>
      <w:numFmt w:val="decimal"/>
      <w:lvlText w:val="%1.%2."/>
      <w:lvlJc w:val="left"/>
      <w:pPr>
        <w:ind w:left="102" w:hanging="478"/>
        <w:jc w:val="left"/>
      </w:pPr>
      <w:rPr>
        <w:rFonts w:hint="default" w:ascii="Arial" w:hAnsi="Arial" w:eastAsia="Arial" w:cs="Arial"/>
        <w:w w:val="100"/>
        <w:sz w:val="22"/>
        <w:szCs w:val="22"/>
      </w:rPr>
    </w:lvl>
    <w:lvl w:ilvl="2">
      <w:start w:val="1"/>
      <w:numFmt w:val="decimal"/>
      <w:lvlText w:val="%1.%2.%3."/>
      <w:lvlJc w:val="left"/>
      <w:pPr>
        <w:ind w:left="715" w:hanging="614"/>
        <w:jc w:val="left"/>
      </w:pPr>
      <w:rPr>
        <w:rFonts w:hint="default" w:ascii="Arial" w:hAnsi="Arial" w:eastAsia="Arial" w:cs="Arial"/>
        <w:spacing w:val="-3"/>
        <w:w w:val="100"/>
        <w:sz w:val="22"/>
        <w:szCs w:val="22"/>
      </w:rPr>
    </w:lvl>
    <w:lvl w:ilvl="3">
      <w:start w:val="1"/>
      <w:numFmt w:val="bullet"/>
      <w:lvlText w:val="•"/>
      <w:lvlJc w:val="left"/>
      <w:pPr>
        <w:ind w:left="2573" w:hanging="614"/>
      </w:pPr>
      <w:rPr>
        <w:rFonts w:hint="default"/>
      </w:rPr>
    </w:lvl>
    <w:lvl w:ilvl="4">
      <w:start w:val="1"/>
      <w:numFmt w:val="bullet"/>
      <w:lvlText w:val="•"/>
      <w:lvlJc w:val="left"/>
      <w:pPr>
        <w:ind w:left="3500" w:hanging="614"/>
      </w:pPr>
      <w:rPr>
        <w:rFonts w:hint="default"/>
      </w:rPr>
    </w:lvl>
    <w:lvl w:ilvl="5">
      <w:start w:val="1"/>
      <w:numFmt w:val="bullet"/>
      <w:lvlText w:val="•"/>
      <w:lvlJc w:val="left"/>
      <w:pPr>
        <w:ind w:left="4426" w:hanging="614"/>
      </w:pPr>
      <w:rPr>
        <w:rFonts w:hint="default"/>
      </w:rPr>
    </w:lvl>
    <w:lvl w:ilvl="6">
      <w:start w:val="1"/>
      <w:numFmt w:val="bullet"/>
      <w:lvlText w:val="•"/>
      <w:lvlJc w:val="left"/>
      <w:pPr>
        <w:ind w:left="5353" w:hanging="614"/>
      </w:pPr>
      <w:rPr>
        <w:rFonts w:hint="default"/>
      </w:rPr>
    </w:lvl>
    <w:lvl w:ilvl="7">
      <w:start w:val="1"/>
      <w:numFmt w:val="bullet"/>
      <w:lvlText w:val="•"/>
      <w:lvlJc w:val="left"/>
      <w:pPr>
        <w:ind w:left="6280" w:hanging="614"/>
      </w:pPr>
      <w:rPr>
        <w:rFonts w:hint="default"/>
      </w:rPr>
    </w:lvl>
    <w:lvl w:ilvl="8">
      <w:start w:val="1"/>
      <w:numFmt w:val="bullet"/>
      <w:lvlText w:val="•"/>
      <w:lvlJc w:val="left"/>
      <w:pPr>
        <w:ind w:left="7206" w:hanging="614"/>
      </w:pPr>
      <w:rPr>
        <w:rFonts w:hint="default"/>
      </w:rPr>
    </w:lvl>
  </w:abstractNum>
  <w:abstractNum w:abstractNumId="0">
    <w:multiLevelType w:val="hybridMultilevel"/>
    <w:lvl w:ilvl="0">
      <w:start w:val="1"/>
      <w:numFmt w:val="upperRoman"/>
      <w:lvlText w:val="%1."/>
      <w:lvlJc w:val="left"/>
      <w:pPr>
        <w:ind w:left="102" w:hanging="188"/>
        <w:jc w:val="left"/>
      </w:pPr>
      <w:rPr>
        <w:rFonts w:hint="default" w:ascii="Arial" w:hAnsi="Arial" w:eastAsia="Arial" w:cs="Arial"/>
        <w:b/>
        <w:bCs/>
        <w:w w:val="100"/>
        <w:sz w:val="22"/>
        <w:szCs w:val="22"/>
      </w:rPr>
    </w:lvl>
    <w:lvl w:ilvl="1">
      <w:start w:val="1"/>
      <w:numFmt w:val="bullet"/>
      <w:lvlText w:val="•"/>
      <w:lvlJc w:val="left"/>
      <w:pPr>
        <w:ind w:left="996" w:hanging="188"/>
      </w:pPr>
      <w:rPr>
        <w:rFonts w:hint="default"/>
      </w:rPr>
    </w:lvl>
    <w:lvl w:ilvl="2">
      <w:start w:val="1"/>
      <w:numFmt w:val="bullet"/>
      <w:lvlText w:val="•"/>
      <w:lvlJc w:val="left"/>
      <w:pPr>
        <w:ind w:left="1892" w:hanging="188"/>
      </w:pPr>
      <w:rPr>
        <w:rFonts w:hint="default"/>
      </w:rPr>
    </w:lvl>
    <w:lvl w:ilvl="3">
      <w:start w:val="1"/>
      <w:numFmt w:val="bullet"/>
      <w:lvlText w:val="•"/>
      <w:lvlJc w:val="left"/>
      <w:pPr>
        <w:ind w:left="2788" w:hanging="188"/>
      </w:pPr>
      <w:rPr>
        <w:rFonts w:hint="default"/>
      </w:rPr>
    </w:lvl>
    <w:lvl w:ilvl="4">
      <w:start w:val="1"/>
      <w:numFmt w:val="bullet"/>
      <w:lvlText w:val="•"/>
      <w:lvlJc w:val="left"/>
      <w:pPr>
        <w:ind w:left="3684" w:hanging="188"/>
      </w:pPr>
      <w:rPr>
        <w:rFonts w:hint="default"/>
      </w:rPr>
    </w:lvl>
    <w:lvl w:ilvl="5">
      <w:start w:val="1"/>
      <w:numFmt w:val="bullet"/>
      <w:lvlText w:val="•"/>
      <w:lvlJc w:val="left"/>
      <w:pPr>
        <w:ind w:left="4580" w:hanging="188"/>
      </w:pPr>
      <w:rPr>
        <w:rFonts w:hint="default"/>
      </w:rPr>
    </w:lvl>
    <w:lvl w:ilvl="6">
      <w:start w:val="1"/>
      <w:numFmt w:val="bullet"/>
      <w:lvlText w:val="•"/>
      <w:lvlJc w:val="left"/>
      <w:pPr>
        <w:ind w:left="5476" w:hanging="188"/>
      </w:pPr>
      <w:rPr>
        <w:rFonts w:hint="default"/>
      </w:rPr>
    </w:lvl>
    <w:lvl w:ilvl="7">
      <w:start w:val="1"/>
      <w:numFmt w:val="bullet"/>
      <w:lvlText w:val="•"/>
      <w:lvlJc w:val="left"/>
      <w:pPr>
        <w:ind w:left="6372" w:hanging="188"/>
      </w:pPr>
      <w:rPr>
        <w:rFonts w:hint="default"/>
      </w:rPr>
    </w:lvl>
    <w:lvl w:ilvl="8">
      <w:start w:val="1"/>
      <w:numFmt w:val="bullet"/>
      <w:lvlText w:val="•"/>
      <w:lvlJc w:val="left"/>
      <w:pPr>
        <w:ind w:left="7268" w:hanging="188"/>
      </w:pPr>
      <w:rPr>
        <w:rFonts w:hint="default"/>
      </w:rPr>
    </w:lvl>
  </w:abstractNum>
  <w:num w:numId="422">
    <w:abstractNumId w:val="421"/>
  </w:num>
  <w:num w:numId="421">
    <w:abstractNumId w:val="420"/>
  </w:num>
  <w:num w:numId="420">
    <w:abstractNumId w:val="419"/>
  </w:num>
  <w:num w:numId="419">
    <w:abstractNumId w:val="418"/>
  </w:num>
  <w:num w:numId="418">
    <w:abstractNumId w:val="417"/>
  </w:num>
  <w:num w:numId="417">
    <w:abstractNumId w:val="416"/>
  </w:num>
  <w:num w:numId="416">
    <w:abstractNumId w:val="415"/>
  </w:num>
  <w:num w:numId="415">
    <w:abstractNumId w:val="414"/>
  </w:num>
  <w:num w:numId="414">
    <w:abstractNumId w:val="413"/>
  </w:num>
  <w:num w:numId="413">
    <w:abstractNumId w:val="412"/>
  </w:num>
  <w:num w:numId="412">
    <w:abstractNumId w:val="411"/>
  </w:num>
  <w:num w:numId="411">
    <w:abstractNumId w:val="410"/>
  </w:num>
  <w:num w:numId="410">
    <w:abstractNumId w:val="409"/>
  </w:num>
  <w:num w:numId="409">
    <w:abstractNumId w:val="408"/>
  </w:num>
  <w:num w:numId="408">
    <w:abstractNumId w:val="407"/>
  </w:num>
  <w:num w:numId="407">
    <w:abstractNumId w:val="406"/>
  </w:num>
  <w:num w:numId="406">
    <w:abstractNumId w:val="405"/>
  </w:num>
  <w:num w:numId="405">
    <w:abstractNumId w:val="404"/>
  </w:num>
  <w:num w:numId="404">
    <w:abstractNumId w:val="403"/>
  </w:num>
  <w:num w:numId="403">
    <w:abstractNumId w:val="402"/>
  </w:num>
  <w:num w:numId="402">
    <w:abstractNumId w:val="401"/>
  </w:num>
  <w:num w:numId="401">
    <w:abstractNumId w:val="400"/>
  </w:num>
  <w:num w:numId="400">
    <w:abstractNumId w:val="399"/>
  </w:num>
  <w:num w:numId="399">
    <w:abstractNumId w:val="398"/>
  </w:num>
  <w:num w:numId="398">
    <w:abstractNumId w:val="397"/>
  </w:num>
  <w:num w:numId="397">
    <w:abstractNumId w:val="396"/>
  </w:num>
  <w:num w:numId="396">
    <w:abstractNumId w:val="395"/>
  </w:num>
  <w:num w:numId="395">
    <w:abstractNumId w:val="394"/>
  </w:num>
  <w:num w:numId="394">
    <w:abstractNumId w:val="393"/>
  </w:num>
  <w:num w:numId="393">
    <w:abstractNumId w:val="392"/>
  </w:num>
  <w:num w:numId="392">
    <w:abstractNumId w:val="391"/>
  </w:num>
  <w:num w:numId="391">
    <w:abstractNumId w:val="390"/>
  </w:num>
  <w:num w:numId="390">
    <w:abstractNumId w:val="389"/>
  </w:num>
  <w:num w:numId="389">
    <w:abstractNumId w:val="388"/>
  </w:num>
  <w:num w:numId="388">
    <w:abstractNumId w:val="387"/>
  </w:num>
  <w:num w:numId="387">
    <w:abstractNumId w:val="386"/>
  </w:num>
  <w:num w:numId="386">
    <w:abstractNumId w:val="385"/>
  </w:num>
  <w:num w:numId="385">
    <w:abstractNumId w:val="384"/>
  </w:num>
  <w:num w:numId="384">
    <w:abstractNumId w:val="383"/>
  </w:num>
  <w:num w:numId="383">
    <w:abstractNumId w:val="382"/>
  </w:num>
  <w:num w:numId="382">
    <w:abstractNumId w:val="381"/>
  </w:num>
  <w:num w:numId="381">
    <w:abstractNumId w:val="380"/>
  </w:num>
  <w:num w:numId="380">
    <w:abstractNumId w:val="379"/>
  </w:num>
  <w:num w:numId="379">
    <w:abstractNumId w:val="378"/>
  </w:num>
  <w:num w:numId="378">
    <w:abstractNumId w:val="377"/>
  </w:num>
  <w:num w:numId="377">
    <w:abstractNumId w:val="376"/>
  </w:num>
  <w:num w:numId="376">
    <w:abstractNumId w:val="375"/>
  </w:num>
  <w:num w:numId="375">
    <w:abstractNumId w:val="374"/>
  </w:num>
  <w:num w:numId="374">
    <w:abstractNumId w:val="373"/>
  </w:num>
  <w:num w:numId="373">
    <w:abstractNumId w:val="372"/>
  </w:num>
  <w:num w:numId="372">
    <w:abstractNumId w:val="371"/>
  </w:num>
  <w:num w:numId="371">
    <w:abstractNumId w:val="370"/>
  </w:num>
  <w:num w:numId="370">
    <w:abstractNumId w:val="369"/>
  </w:num>
  <w:num w:numId="369">
    <w:abstractNumId w:val="368"/>
  </w:num>
  <w:num w:numId="368">
    <w:abstractNumId w:val="367"/>
  </w:num>
  <w:num w:numId="367">
    <w:abstractNumId w:val="366"/>
  </w:num>
  <w:num w:numId="366">
    <w:abstractNumId w:val="365"/>
  </w:num>
  <w:num w:numId="365">
    <w:abstractNumId w:val="364"/>
  </w:num>
  <w:num w:numId="364">
    <w:abstractNumId w:val="363"/>
  </w:num>
  <w:num w:numId="363">
    <w:abstractNumId w:val="362"/>
  </w:num>
  <w:num w:numId="362">
    <w:abstractNumId w:val="361"/>
  </w:num>
  <w:num w:numId="361">
    <w:abstractNumId w:val="360"/>
  </w:num>
  <w:num w:numId="360">
    <w:abstractNumId w:val="359"/>
  </w:num>
  <w:num w:numId="359">
    <w:abstractNumId w:val="358"/>
  </w:num>
  <w:num w:numId="358">
    <w:abstractNumId w:val="357"/>
  </w:num>
  <w:num w:numId="357">
    <w:abstractNumId w:val="356"/>
  </w:num>
  <w:num w:numId="356">
    <w:abstractNumId w:val="355"/>
  </w:num>
  <w:num w:numId="355">
    <w:abstractNumId w:val="354"/>
  </w:num>
  <w:num w:numId="354">
    <w:abstractNumId w:val="353"/>
  </w:num>
  <w:num w:numId="353">
    <w:abstractNumId w:val="352"/>
  </w:num>
  <w:num w:numId="352">
    <w:abstractNumId w:val="351"/>
  </w:num>
  <w:num w:numId="351">
    <w:abstractNumId w:val="350"/>
  </w:num>
  <w:num w:numId="350">
    <w:abstractNumId w:val="349"/>
  </w:num>
  <w:num w:numId="349">
    <w:abstractNumId w:val="348"/>
  </w:num>
  <w:num w:numId="348">
    <w:abstractNumId w:val="347"/>
  </w:num>
  <w:num w:numId="347">
    <w:abstractNumId w:val="346"/>
  </w:num>
  <w:num w:numId="346">
    <w:abstractNumId w:val="345"/>
  </w:num>
  <w:num w:numId="345">
    <w:abstractNumId w:val="344"/>
  </w:num>
  <w:num w:numId="344">
    <w:abstractNumId w:val="343"/>
  </w:num>
  <w:num w:numId="343">
    <w:abstractNumId w:val="342"/>
  </w:num>
  <w:num w:numId="342">
    <w:abstractNumId w:val="341"/>
  </w:num>
  <w:num w:numId="341">
    <w:abstractNumId w:val="340"/>
  </w:num>
  <w:num w:numId="340">
    <w:abstractNumId w:val="339"/>
  </w:num>
  <w:num w:numId="339">
    <w:abstractNumId w:val="338"/>
  </w:num>
  <w:num w:numId="338">
    <w:abstractNumId w:val="337"/>
  </w:num>
  <w:num w:numId="337">
    <w:abstractNumId w:val="336"/>
  </w:num>
  <w:num w:numId="336">
    <w:abstractNumId w:val="335"/>
  </w:num>
  <w:num w:numId="335">
    <w:abstractNumId w:val="334"/>
  </w:num>
  <w:num w:numId="334">
    <w:abstractNumId w:val="333"/>
  </w:num>
  <w:num w:numId="333">
    <w:abstractNumId w:val="332"/>
  </w:num>
  <w:num w:numId="332">
    <w:abstractNumId w:val="331"/>
  </w:num>
  <w:num w:numId="331">
    <w:abstractNumId w:val="330"/>
  </w:num>
  <w:num w:numId="330">
    <w:abstractNumId w:val="329"/>
  </w:num>
  <w:num w:numId="329">
    <w:abstractNumId w:val="328"/>
  </w:num>
  <w:num w:numId="328">
    <w:abstractNumId w:val="327"/>
  </w:num>
  <w:num w:numId="327">
    <w:abstractNumId w:val="326"/>
  </w:num>
  <w:num w:numId="326">
    <w:abstractNumId w:val="325"/>
  </w:num>
  <w:num w:numId="325">
    <w:abstractNumId w:val="324"/>
  </w:num>
  <w:num w:numId="324">
    <w:abstractNumId w:val="323"/>
  </w:num>
  <w:num w:numId="323">
    <w:abstractNumId w:val="322"/>
  </w:num>
  <w:num w:numId="322">
    <w:abstractNumId w:val="321"/>
  </w:num>
  <w:num w:numId="321">
    <w:abstractNumId w:val="320"/>
  </w:num>
  <w:num w:numId="320">
    <w:abstractNumId w:val="319"/>
  </w:num>
  <w:num w:numId="319">
    <w:abstractNumId w:val="318"/>
  </w:num>
  <w:num w:numId="318">
    <w:abstractNumId w:val="317"/>
  </w:num>
  <w:num w:numId="317">
    <w:abstractNumId w:val="316"/>
  </w:num>
  <w:num w:numId="316">
    <w:abstractNumId w:val="315"/>
  </w:num>
  <w:num w:numId="315">
    <w:abstractNumId w:val="314"/>
  </w:num>
  <w:num w:numId="314">
    <w:abstractNumId w:val="313"/>
  </w:num>
  <w:num w:numId="313">
    <w:abstractNumId w:val="312"/>
  </w:num>
  <w:num w:numId="312">
    <w:abstractNumId w:val="311"/>
  </w:num>
  <w:num w:numId="311">
    <w:abstractNumId w:val="310"/>
  </w:num>
  <w:num w:numId="310">
    <w:abstractNumId w:val="309"/>
  </w:num>
  <w:num w:numId="309">
    <w:abstractNumId w:val="308"/>
  </w:num>
  <w:num w:numId="308">
    <w:abstractNumId w:val="307"/>
  </w:num>
  <w:num w:numId="307">
    <w:abstractNumId w:val="306"/>
  </w:num>
  <w:num w:numId="306">
    <w:abstractNumId w:val="305"/>
  </w:num>
  <w:num w:numId="305">
    <w:abstractNumId w:val="304"/>
  </w:num>
  <w:num w:numId="304">
    <w:abstractNumId w:val="303"/>
  </w:num>
  <w:num w:numId="303">
    <w:abstractNumId w:val="302"/>
  </w:num>
  <w:num w:numId="302">
    <w:abstractNumId w:val="301"/>
  </w:num>
  <w:num w:numId="301">
    <w:abstractNumId w:val="300"/>
  </w:num>
  <w:num w:numId="300">
    <w:abstractNumId w:val="299"/>
  </w:num>
  <w:num w:numId="299">
    <w:abstractNumId w:val="298"/>
  </w:num>
  <w:num w:numId="298">
    <w:abstractNumId w:val="297"/>
  </w:num>
  <w:num w:numId="297">
    <w:abstractNumId w:val="296"/>
  </w:num>
  <w:num w:numId="296">
    <w:abstractNumId w:val="295"/>
  </w:num>
  <w:num w:numId="295">
    <w:abstractNumId w:val="294"/>
  </w:num>
  <w:num w:numId="294">
    <w:abstractNumId w:val="293"/>
  </w:num>
  <w:num w:numId="293">
    <w:abstractNumId w:val="292"/>
  </w:num>
  <w:num w:numId="292">
    <w:abstractNumId w:val="291"/>
  </w:num>
  <w:num w:numId="291">
    <w:abstractNumId w:val="290"/>
  </w:num>
  <w:num w:numId="290">
    <w:abstractNumId w:val="289"/>
  </w:num>
  <w:num w:numId="289">
    <w:abstractNumId w:val="288"/>
  </w:num>
  <w:num w:numId="288">
    <w:abstractNumId w:val="287"/>
  </w:num>
  <w:num w:numId="287">
    <w:abstractNumId w:val="286"/>
  </w:num>
  <w:num w:numId="286">
    <w:abstractNumId w:val="285"/>
  </w:num>
  <w:num w:numId="285">
    <w:abstractNumId w:val="284"/>
  </w:num>
  <w:num w:numId="284">
    <w:abstractNumId w:val="283"/>
  </w:num>
  <w:num w:numId="283">
    <w:abstractNumId w:val="282"/>
  </w:num>
  <w:num w:numId="282">
    <w:abstractNumId w:val="281"/>
  </w:num>
  <w:num w:numId="281">
    <w:abstractNumId w:val="280"/>
  </w:num>
  <w:num w:numId="280">
    <w:abstractNumId w:val="279"/>
  </w:num>
  <w:num w:numId="279">
    <w:abstractNumId w:val="278"/>
  </w:num>
  <w:num w:numId="278">
    <w:abstractNumId w:val="277"/>
  </w:num>
  <w:num w:numId="277">
    <w:abstractNumId w:val="276"/>
  </w:num>
  <w:num w:numId="276">
    <w:abstractNumId w:val="275"/>
  </w:num>
  <w:num w:numId="275">
    <w:abstractNumId w:val="274"/>
  </w:num>
  <w:num w:numId="274">
    <w:abstractNumId w:val="273"/>
  </w:num>
  <w:num w:numId="273">
    <w:abstractNumId w:val="272"/>
  </w:num>
  <w:num w:numId="272">
    <w:abstractNumId w:val="271"/>
  </w:num>
  <w:num w:numId="271">
    <w:abstractNumId w:val="270"/>
  </w:num>
  <w:num w:numId="270">
    <w:abstractNumId w:val="269"/>
  </w:num>
  <w:num w:numId="269">
    <w:abstractNumId w:val="268"/>
  </w:num>
  <w:num w:numId="268">
    <w:abstractNumId w:val="267"/>
  </w:num>
  <w:num w:numId="267">
    <w:abstractNumId w:val="266"/>
  </w:num>
  <w:num w:numId="266">
    <w:abstractNumId w:val="265"/>
  </w:num>
  <w:num w:numId="265">
    <w:abstractNumId w:val="264"/>
  </w:num>
  <w:num w:numId="264">
    <w:abstractNumId w:val="263"/>
  </w:num>
  <w:num w:numId="263">
    <w:abstractNumId w:val="262"/>
  </w:num>
  <w:num w:numId="262">
    <w:abstractNumId w:val="261"/>
  </w:num>
  <w:num w:numId="261">
    <w:abstractNumId w:val="260"/>
  </w:num>
  <w:num w:numId="260">
    <w:abstractNumId w:val="259"/>
  </w:num>
  <w:num w:numId="259">
    <w:abstractNumId w:val="258"/>
  </w:num>
  <w:num w:numId="258">
    <w:abstractNumId w:val="257"/>
  </w:num>
  <w:num w:numId="257">
    <w:abstractNumId w:val="256"/>
  </w:num>
  <w:num w:numId="256">
    <w:abstractNumId w:val="255"/>
  </w:num>
  <w:num w:numId="255">
    <w:abstractNumId w:val="254"/>
  </w:num>
  <w:num w:numId="254">
    <w:abstractNumId w:val="253"/>
  </w:num>
  <w:num w:numId="253">
    <w:abstractNumId w:val="252"/>
  </w:num>
  <w:num w:numId="252">
    <w:abstractNumId w:val="251"/>
  </w:num>
  <w:num w:numId="251">
    <w:abstractNumId w:val="250"/>
  </w:num>
  <w:num w:numId="250">
    <w:abstractNumId w:val="249"/>
  </w:num>
  <w:num w:numId="249">
    <w:abstractNumId w:val="248"/>
  </w:num>
  <w:num w:numId="248">
    <w:abstractNumId w:val="247"/>
  </w:num>
  <w:num w:numId="247">
    <w:abstractNumId w:val="246"/>
  </w:num>
  <w:num w:numId="246">
    <w:abstractNumId w:val="245"/>
  </w:num>
  <w:num w:numId="245">
    <w:abstractNumId w:val="244"/>
  </w:num>
  <w:num w:numId="244">
    <w:abstractNumId w:val="243"/>
  </w:num>
  <w:num w:numId="243">
    <w:abstractNumId w:val="242"/>
  </w:num>
  <w:num w:numId="242">
    <w:abstractNumId w:val="241"/>
  </w:num>
  <w:num w:numId="241">
    <w:abstractNumId w:val="240"/>
  </w:num>
  <w:num w:numId="240">
    <w:abstractNumId w:val="239"/>
  </w:num>
  <w:num w:numId="239">
    <w:abstractNumId w:val="238"/>
  </w:num>
  <w:num w:numId="238">
    <w:abstractNumId w:val="237"/>
  </w:num>
  <w:num w:numId="237">
    <w:abstractNumId w:val="236"/>
  </w:num>
  <w:num w:numId="236">
    <w:abstractNumId w:val="235"/>
  </w:num>
  <w:num w:numId="235">
    <w:abstractNumId w:val="234"/>
  </w:num>
  <w:num w:numId="234">
    <w:abstractNumId w:val="233"/>
  </w:num>
  <w:num w:numId="233">
    <w:abstractNumId w:val="232"/>
  </w:num>
  <w:num w:numId="232">
    <w:abstractNumId w:val="231"/>
  </w:num>
  <w:num w:numId="231">
    <w:abstractNumId w:val="230"/>
  </w:num>
  <w:num w:numId="230">
    <w:abstractNumId w:val="229"/>
  </w:num>
  <w:num w:numId="229">
    <w:abstractNumId w:val="228"/>
  </w:num>
  <w:num w:numId="228">
    <w:abstractNumId w:val="227"/>
  </w:num>
  <w:num w:numId="227">
    <w:abstractNumId w:val="226"/>
  </w:num>
  <w:num w:numId="226">
    <w:abstractNumId w:val="225"/>
  </w:num>
  <w:num w:numId="225">
    <w:abstractNumId w:val="224"/>
  </w:num>
  <w:num w:numId="224">
    <w:abstractNumId w:val="223"/>
  </w:num>
  <w:num w:numId="223">
    <w:abstractNumId w:val="222"/>
  </w:num>
  <w:num w:numId="222">
    <w:abstractNumId w:val="221"/>
  </w:num>
  <w:num w:numId="221">
    <w:abstractNumId w:val="220"/>
  </w:num>
  <w:num w:numId="220">
    <w:abstractNumId w:val="219"/>
  </w:num>
  <w:num w:numId="219">
    <w:abstractNumId w:val="218"/>
  </w:num>
  <w:num w:numId="218">
    <w:abstractNumId w:val="217"/>
  </w:num>
  <w:num w:numId="217">
    <w:abstractNumId w:val="216"/>
  </w:num>
  <w:num w:numId="216">
    <w:abstractNumId w:val="215"/>
  </w:num>
  <w:num w:numId="215">
    <w:abstractNumId w:val="214"/>
  </w:num>
  <w:num w:numId="214">
    <w:abstractNumId w:val="213"/>
  </w:num>
  <w:num w:numId="213">
    <w:abstractNumId w:val="212"/>
  </w:num>
  <w:num w:numId="212">
    <w:abstractNumId w:val="211"/>
  </w:num>
  <w:num w:numId="211">
    <w:abstractNumId w:val="210"/>
  </w:num>
  <w:num w:numId="210">
    <w:abstractNumId w:val="209"/>
  </w:num>
  <w:num w:numId="209">
    <w:abstractNumId w:val="208"/>
  </w:num>
  <w:num w:numId="208">
    <w:abstractNumId w:val="207"/>
  </w:num>
  <w:num w:numId="207">
    <w:abstractNumId w:val="206"/>
  </w:num>
  <w:num w:numId="206">
    <w:abstractNumId w:val="205"/>
  </w:num>
  <w:num w:numId="205">
    <w:abstractNumId w:val="204"/>
  </w:num>
  <w:num w:numId="204">
    <w:abstractNumId w:val="203"/>
  </w:num>
  <w:num w:numId="203">
    <w:abstractNumId w:val="202"/>
  </w:num>
  <w:num w:numId="202">
    <w:abstractNumId w:val="201"/>
  </w:num>
  <w:num w:numId="201">
    <w:abstractNumId w:val="200"/>
  </w:num>
  <w:num w:numId="200">
    <w:abstractNumId w:val="199"/>
  </w:num>
  <w:num w:numId="199">
    <w:abstractNumId w:val="198"/>
  </w:num>
  <w:num w:numId="198">
    <w:abstractNumId w:val="197"/>
  </w:num>
  <w:num w:numId="197">
    <w:abstractNumId w:val="196"/>
  </w:num>
  <w:num w:numId="196">
    <w:abstractNumId w:val="195"/>
  </w:num>
  <w:num w:numId="195">
    <w:abstractNumId w:val="194"/>
  </w:num>
  <w:num w:numId="194">
    <w:abstractNumId w:val="193"/>
  </w:num>
  <w:num w:numId="193">
    <w:abstractNumId w:val="192"/>
  </w:num>
  <w:num w:numId="192">
    <w:abstractNumId w:val="191"/>
  </w:num>
  <w:num w:numId="191">
    <w:abstractNumId w:val="190"/>
  </w:num>
  <w:num w:numId="190">
    <w:abstractNumId w:val="189"/>
  </w:num>
  <w:num w:numId="189">
    <w:abstractNumId w:val="188"/>
  </w:num>
  <w:num w:numId="188">
    <w:abstractNumId w:val="187"/>
  </w:num>
  <w:num w:numId="187">
    <w:abstractNumId w:val="186"/>
  </w:num>
  <w:num w:numId="186">
    <w:abstractNumId w:val="185"/>
  </w:num>
  <w:num w:numId="185">
    <w:abstractNumId w:val="184"/>
  </w:num>
  <w:num w:numId="184">
    <w:abstractNumId w:val="183"/>
  </w:num>
  <w:num w:numId="183">
    <w:abstractNumId w:val="182"/>
  </w:num>
  <w:num w:numId="182">
    <w:abstractNumId w:val="181"/>
  </w:num>
  <w:num w:numId="181">
    <w:abstractNumId w:val="180"/>
  </w:num>
  <w:num w:numId="180">
    <w:abstractNumId w:val="179"/>
  </w:num>
  <w:num w:numId="179">
    <w:abstractNumId w:val="178"/>
  </w:num>
  <w:num w:numId="178">
    <w:abstractNumId w:val="177"/>
  </w:num>
  <w:num w:numId="177">
    <w:abstractNumId w:val="176"/>
  </w:num>
  <w:num w:numId="176">
    <w:abstractNumId w:val="175"/>
  </w:num>
  <w:num w:numId="175">
    <w:abstractNumId w:val="174"/>
  </w:num>
  <w:num w:numId="174">
    <w:abstractNumId w:val="173"/>
  </w:num>
  <w:num w:numId="173">
    <w:abstractNumId w:val="172"/>
  </w:num>
  <w:num w:numId="172">
    <w:abstractNumId w:val="171"/>
  </w:num>
  <w:num w:numId="171">
    <w:abstractNumId w:val="170"/>
  </w:num>
  <w:num w:numId="170">
    <w:abstractNumId w:val="169"/>
  </w:num>
  <w:num w:numId="169">
    <w:abstractNumId w:val="168"/>
  </w:num>
  <w:num w:numId="168">
    <w:abstractNumId w:val="167"/>
  </w:num>
  <w:num w:numId="167">
    <w:abstractNumId w:val="166"/>
  </w:num>
  <w:num w:numId="166">
    <w:abstractNumId w:val="165"/>
  </w:num>
  <w:num w:numId="165">
    <w:abstractNumId w:val="164"/>
  </w:num>
  <w:num w:numId="164">
    <w:abstractNumId w:val="163"/>
  </w:num>
  <w:num w:numId="163">
    <w:abstractNumId w:val="162"/>
  </w:num>
  <w:num w:numId="162">
    <w:abstractNumId w:val="161"/>
  </w:num>
  <w:num w:numId="161">
    <w:abstractNumId w:val="160"/>
  </w:num>
  <w:num w:numId="160">
    <w:abstractNumId w:val="159"/>
  </w:num>
  <w:num w:numId="159">
    <w:abstractNumId w:val="158"/>
  </w:num>
  <w:num w:numId="158">
    <w:abstractNumId w:val="157"/>
  </w:num>
  <w:num w:numId="157">
    <w:abstractNumId w:val="156"/>
  </w:num>
  <w:num w:numId="156">
    <w:abstractNumId w:val="155"/>
  </w:num>
  <w:num w:numId="155">
    <w:abstractNumId w:val="154"/>
  </w:num>
  <w:num w:numId="154">
    <w:abstractNumId w:val="153"/>
  </w: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6"/>
      <w:ind w:left="102"/>
    </w:pPr>
    <w:rPr>
      <w:rFonts w:ascii="Arial" w:hAnsi="Arial" w:eastAsia="Arial" w:cs="Arial"/>
      <w:b/>
      <w:bCs/>
      <w:sz w:val="22"/>
      <w:szCs w:val="22"/>
    </w:rPr>
  </w:style>
  <w:style w:styleId="TOC2" w:type="paragraph">
    <w:name w:val="TOC 2"/>
    <w:basedOn w:val="Normal"/>
    <w:uiPriority w:val="1"/>
    <w:qFormat/>
    <w:pPr>
      <w:spacing w:before="126"/>
      <w:ind w:left="102"/>
    </w:pPr>
    <w:rPr>
      <w:rFonts w:ascii="Arial" w:hAnsi="Arial" w:eastAsia="Arial" w:cs="Arial"/>
      <w:sz w:val="22"/>
      <w:szCs w:val="22"/>
    </w:rPr>
  </w:style>
  <w:style w:styleId="TOC3" w:type="paragraph">
    <w:name w:val="TOC 3"/>
    <w:basedOn w:val="Normal"/>
    <w:uiPriority w:val="1"/>
    <w:qFormat/>
    <w:pPr>
      <w:spacing w:before="126"/>
      <w:ind w:left="102"/>
    </w:pPr>
    <w:rPr>
      <w:rFonts w:ascii="Arial" w:hAnsi="Arial" w:eastAsia="Arial" w:cs="Arial"/>
      <w:i/>
      <w:sz w:val="22"/>
      <w:szCs w:val="22"/>
    </w:rPr>
  </w:style>
  <w:style w:styleId="TOC4" w:type="paragraph">
    <w:name w:val="TOC 4"/>
    <w:basedOn w:val="Normal"/>
    <w:uiPriority w:val="1"/>
    <w:qFormat/>
    <w:pPr>
      <w:spacing w:before="3"/>
      <w:ind w:left="102"/>
    </w:pPr>
    <w:rPr>
      <w:rFonts w:ascii="Arial" w:hAnsi="Arial" w:eastAsia="Arial" w:cs="Arial"/>
      <w:b/>
      <w:bCs/>
      <w:i/>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43"/>
      <w:ind w:left="183"/>
      <w:outlineLvl w:val="1"/>
    </w:pPr>
    <w:rPr>
      <w:rFonts w:ascii="Arial" w:hAnsi="Arial" w:eastAsia="Arial" w:cs="Arial"/>
      <w:b/>
      <w:bCs/>
      <w:sz w:val="44"/>
      <w:szCs w:val="44"/>
    </w:rPr>
  </w:style>
  <w:style w:styleId="Heading2" w:type="paragraph">
    <w:name w:val="Heading 2"/>
    <w:basedOn w:val="Normal"/>
    <w:uiPriority w:val="1"/>
    <w:qFormat/>
    <w:pPr>
      <w:ind w:right="2170"/>
      <w:jc w:val="center"/>
      <w:outlineLvl w:val="2"/>
    </w:pPr>
    <w:rPr>
      <w:rFonts w:ascii="Arial" w:hAnsi="Arial" w:eastAsia="Arial" w:cs="Arial"/>
      <w:b/>
      <w:bCs/>
      <w:sz w:val="36"/>
      <w:szCs w:val="36"/>
    </w:rPr>
  </w:style>
  <w:style w:styleId="Heading3" w:type="paragraph">
    <w:name w:val="Heading 3"/>
    <w:basedOn w:val="Normal"/>
    <w:uiPriority w:val="1"/>
    <w:qFormat/>
    <w:pPr>
      <w:outlineLvl w:val="3"/>
    </w:pPr>
    <w:rPr>
      <w:rFonts w:ascii="Arial" w:hAnsi="Arial" w:eastAsia="Arial" w:cs="Arial"/>
      <w:b/>
      <w:bCs/>
      <w:sz w:val="28"/>
      <w:szCs w:val="28"/>
    </w:rPr>
  </w:style>
  <w:style w:styleId="Heading4" w:type="paragraph">
    <w:name w:val="Heading 4"/>
    <w:basedOn w:val="Normal"/>
    <w:uiPriority w:val="1"/>
    <w:qFormat/>
    <w:pPr>
      <w:ind w:left="71"/>
      <w:outlineLvl w:val="4"/>
    </w:pPr>
    <w:rPr>
      <w:rFonts w:ascii="Arial" w:hAnsi="Arial" w:eastAsia="Arial" w:cs="Arial"/>
      <w:b/>
      <w:bCs/>
      <w:sz w:val="24"/>
      <w:szCs w:val="24"/>
    </w:rPr>
  </w:style>
  <w:style w:styleId="Heading5" w:type="paragraph">
    <w:name w:val="Heading 5"/>
    <w:basedOn w:val="Normal"/>
    <w:uiPriority w:val="1"/>
    <w:qFormat/>
    <w:pPr>
      <w:ind w:left="102"/>
      <w:outlineLvl w:val="5"/>
    </w:pPr>
    <w:rPr>
      <w:rFonts w:ascii="Arial" w:hAnsi="Arial" w:eastAsia="Arial" w:cs="Arial"/>
      <w:sz w:val="24"/>
      <w:szCs w:val="24"/>
      <w:u w:val="single" w:color="000000"/>
    </w:rPr>
  </w:style>
  <w:style w:styleId="Heading6" w:type="paragraph">
    <w:name w:val="Heading 6"/>
    <w:basedOn w:val="Normal"/>
    <w:uiPriority w:val="1"/>
    <w:qFormat/>
    <w:pPr>
      <w:ind w:left="102"/>
      <w:outlineLvl w:val="6"/>
    </w:pPr>
    <w:rPr>
      <w:rFonts w:ascii="Arial" w:hAnsi="Arial" w:eastAsia="Arial" w:cs="Arial"/>
      <w:b/>
      <w:bCs/>
      <w:sz w:val="22"/>
      <w:szCs w:val="22"/>
    </w:rPr>
  </w:style>
  <w:style w:styleId="Heading7" w:type="paragraph">
    <w:name w:val="Heading 7"/>
    <w:basedOn w:val="Normal"/>
    <w:uiPriority w:val="1"/>
    <w:qFormat/>
    <w:pPr>
      <w:ind w:left="102"/>
      <w:jc w:val="both"/>
      <w:outlineLvl w:val="7"/>
    </w:pPr>
    <w:rPr>
      <w:rFonts w:ascii="Arial" w:hAnsi="Arial" w:eastAsia="Arial" w:cs="Arial"/>
      <w:b/>
      <w:bCs/>
      <w:i/>
      <w:sz w:val="22"/>
      <w:szCs w:val="22"/>
    </w:rPr>
  </w:style>
  <w:style w:styleId="ListParagraph" w:type="paragraph">
    <w:name w:val="List Paragraph"/>
    <w:basedOn w:val="Normal"/>
    <w:uiPriority w:val="1"/>
    <w:qFormat/>
    <w:pPr>
      <w:ind w:left="102"/>
      <w:jc w:val="both"/>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image" Target="media/image4.jpeg"/><Relationship Id="rId16" Type="http://schemas.openxmlformats.org/officeDocument/2006/relationships/image" Target="media/image5.jpeg"/><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image" Target="media/image6.png"/><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image" Target="media/image9.png"/><Relationship Id="rId25" Type="http://schemas.openxmlformats.org/officeDocument/2006/relationships/footer" Target="footer12.xml"/><Relationship Id="rId26" Type="http://schemas.openxmlformats.org/officeDocument/2006/relationships/footer" Target="footer13.xml"/><Relationship Id="rId27" Type="http://schemas.openxmlformats.org/officeDocument/2006/relationships/footer" Target="footer14.xml"/><Relationship Id="rId28" Type="http://schemas.openxmlformats.org/officeDocument/2006/relationships/footer" Target="footer15.xml"/><Relationship Id="rId29" Type="http://schemas.openxmlformats.org/officeDocument/2006/relationships/footer" Target="footer16.xml"/><Relationship Id="rId30" Type="http://schemas.openxmlformats.org/officeDocument/2006/relationships/footer" Target="footer17.xml"/><Relationship Id="rId31" Type="http://schemas.openxmlformats.org/officeDocument/2006/relationships/footer" Target="footer18.xml"/><Relationship Id="rId32" Type="http://schemas.openxmlformats.org/officeDocument/2006/relationships/footer" Target="footer19.xml"/><Relationship Id="rId33" Type="http://schemas.openxmlformats.org/officeDocument/2006/relationships/footer" Target="footer20.xml"/><Relationship Id="rId34" Type="http://schemas.openxmlformats.org/officeDocument/2006/relationships/image" Target="media/image10.png"/><Relationship Id="rId35" Type="http://schemas.openxmlformats.org/officeDocument/2006/relationships/image" Target="media/image11.png"/><Relationship Id="rId36" Type="http://schemas.openxmlformats.org/officeDocument/2006/relationships/image" Target="media/image12.png"/><Relationship Id="rId37" Type="http://schemas.openxmlformats.org/officeDocument/2006/relationships/footer" Target="footer21.xml"/><Relationship Id="rId38" Type="http://schemas.openxmlformats.org/officeDocument/2006/relationships/footer" Target="footer22.xml"/><Relationship Id="rId39" Type="http://schemas.openxmlformats.org/officeDocument/2006/relationships/footer" Target="footer23.xml"/><Relationship Id="rId40" Type="http://schemas.openxmlformats.org/officeDocument/2006/relationships/image" Target="media/image13.png"/><Relationship Id="rId41" Type="http://schemas.openxmlformats.org/officeDocument/2006/relationships/image" Target="media/image14.png"/><Relationship Id="rId42" Type="http://schemas.openxmlformats.org/officeDocument/2006/relationships/image" Target="media/image15.png"/><Relationship Id="rId43" Type="http://schemas.openxmlformats.org/officeDocument/2006/relationships/image" Target="media/image16.png"/><Relationship Id="rId44" Type="http://schemas.openxmlformats.org/officeDocument/2006/relationships/image" Target="media/image17.png"/><Relationship Id="rId45" Type="http://schemas.openxmlformats.org/officeDocument/2006/relationships/image" Target="media/image18.png"/><Relationship Id="rId46" Type="http://schemas.openxmlformats.org/officeDocument/2006/relationships/image" Target="media/image19.png"/><Relationship Id="rId47" Type="http://schemas.openxmlformats.org/officeDocument/2006/relationships/image" Target="media/image20.png"/><Relationship Id="rId48" Type="http://schemas.openxmlformats.org/officeDocument/2006/relationships/footer" Target="footer24.xml"/><Relationship Id="rId49" Type="http://schemas.openxmlformats.org/officeDocument/2006/relationships/image" Target="media/image21.png"/><Relationship Id="rId50" Type="http://schemas.openxmlformats.org/officeDocument/2006/relationships/image" Target="media/image22.png"/><Relationship Id="rId51" Type="http://schemas.openxmlformats.org/officeDocument/2006/relationships/image" Target="media/image23.png"/><Relationship Id="rId52" Type="http://schemas.openxmlformats.org/officeDocument/2006/relationships/footer" Target="footer25.xml"/><Relationship Id="rId53" Type="http://schemas.openxmlformats.org/officeDocument/2006/relationships/footer" Target="footer26.xml"/><Relationship Id="rId54" Type="http://schemas.openxmlformats.org/officeDocument/2006/relationships/image" Target="media/image24.png"/><Relationship Id="rId55" Type="http://schemas.openxmlformats.org/officeDocument/2006/relationships/image" Target="media/image25.png"/><Relationship Id="rId56" Type="http://schemas.openxmlformats.org/officeDocument/2006/relationships/image" Target="media/image26.png"/><Relationship Id="rId57" Type="http://schemas.openxmlformats.org/officeDocument/2006/relationships/image" Target="media/image27.png"/><Relationship Id="rId58" Type="http://schemas.openxmlformats.org/officeDocument/2006/relationships/image" Target="media/image28.png"/><Relationship Id="rId59" Type="http://schemas.openxmlformats.org/officeDocument/2006/relationships/image" Target="media/image29.png"/><Relationship Id="rId60" Type="http://schemas.openxmlformats.org/officeDocument/2006/relationships/image" Target="media/image30.png"/><Relationship Id="rId61" Type="http://schemas.openxmlformats.org/officeDocument/2006/relationships/image" Target="media/image31.png"/><Relationship Id="rId62" Type="http://schemas.openxmlformats.org/officeDocument/2006/relationships/image" Target="media/image32.png"/><Relationship Id="rId63" Type="http://schemas.openxmlformats.org/officeDocument/2006/relationships/image" Target="media/image33.png"/><Relationship Id="rId64" Type="http://schemas.openxmlformats.org/officeDocument/2006/relationships/image" Target="media/image34.png"/><Relationship Id="rId65" Type="http://schemas.openxmlformats.org/officeDocument/2006/relationships/image" Target="media/image35.png"/><Relationship Id="rId66" Type="http://schemas.openxmlformats.org/officeDocument/2006/relationships/image" Target="media/image36.png"/><Relationship Id="rId67" Type="http://schemas.openxmlformats.org/officeDocument/2006/relationships/image" Target="media/image37.png"/><Relationship Id="rId68" Type="http://schemas.openxmlformats.org/officeDocument/2006/relationships/image" Target="media/image38.png"/><Relationship Id="rId69" Type="http://schemas.openxmlformats.org/officeDocument/2006/relationships/footer" Target="footer27.xml"/><Relationship Id="rId70" Type="http://schemas.openxmlformats.org/officeDocument/2006/relationships/image" Target="media/image39.png"/><Relationship Id="rId71" Type="http://schemas.openxmlformats.org/officeDocument/2006/relationships/image" Target="media/image40.png"/><Relationship Id="rId72" Type="http://schemas.openxmlformats.org/officeDocument/2006/relationships/image" Target="media/image41.png"/><Relationship Id="rId73" Type="http://schemas.openxmlformats.org/officeDocument/2006/relationships/image" Target="media/image42.png"/><Relationship Id="rId74" Type="http://schemas.openxmlformats.org/officeDocument/2006/relationships/image" Target="media/image43.png"/><Relationship Id="rId75" Type="http://schemas.openxmlformats.org/officeDocument/2006/relationships/image" Target="media/image44.png"/><Relationship Id="rId76" Type="http://schemas.openxmlformats.org/officeDocument/2006/relationships/image" Target="media/image45.png"/><Relationship Id="rId77" Type="http://schemas.openxmlformats.org/officeDocument/2006/relationships/image" Target="media/image46.png"/><Relationship Id="rId78" Type="http://schemas.openxmlformats.org/officeDocument/2006/relationships/image" Target="media/image47.png"/><Relationship Id="rId79" Type="http://schemas.openxmlformats.org/officeDocument/2006/relationships/image" Target="media/image48.png"/><Relationship Id="rId80" Type="http://schemas.openxmlformats.org/officeDocument/2006/relationships/image" Target="media/image49.png"/><Relationship Id="rId81" Type="http://schemas.openxmlformats.org/officeDocument/2006/relationships/image" Target="media/image50.png"/><Relationship Id="rId82" Type="http://schemas.openxmlformats.org/officeDocument/2006/relationships/image" Target="media/image51.png"/><Relationship Id="rId83" Type="http://schemas.openxmlformats.org/officeDocument/2006/relationships/image" Target="media/image52.png"/><Relationship Id="rId84" Type="http://schemas.openxmlformats.org/officeDocument/2006/relationships/footer" Target="footer28.xml"/><Relationship Id="rId85" Type="http://schemas.openxmlformats.org/officeDocument/2006/relationships/image" Target="media/image53.png"/><Relationship Id="rId86" Type="http://schemas.openxmlformats.org/officeDocument/2006/relationships/image" Target="media/image54.png"/><Relationship Id="rId87" Type="http://schemas.openxmlformats.org/officeDocument/2006/relationships/image" Target="media/image55.png"/><Relationship Id="rId88" Type="http://schemas.openxmlformats.org/officeDocument/2006/relationships/footer" Target="footer29.xml"/><Relationship Id="rId89" Type="http://schemas.openxmlformats.org/officeDocument/2006/relationships/footer" Target="footer30.xml"/><Relationship Id="rId90" Type="http://schemas.openxmlformats.org/officeDocument/2006/relationships/footer" Target="footer31.xml"/><Relationship Id="rId91" Type="http://schemas.openxmlformats.org/officeDocument/2006/relationships/image" Target="media/image56.png"/><Relationship Id="rId92" Type="http://schemas.openxmlformats.org/officeDocument/2006/relationships/image" Target="media/image57.png"/><Relationship Id="rId93" Type="http://schemas.openxmlformats.org/officeDocument/2006/relationships/image" Target="media/image58.png"/><Relationship Id="rId94" Type="http://schemas.openxmlformats.org/officeDocument/2006/relationships/image" Target="media/image59.png"/><Relationship Id="rId95" Type="http://schemas.openxmlformats.org/officeDocument/2006/relationships/image" Target="media/image60.png"/><Relationship Id="rId96" Type="http://schemas.openxmlformats.org/officeDocument/2006/relationships/image" Target="media/image61.png"/><Relationship Id="rId97" Type="http://schemas.openxmlformats.org/officeDocument/2006/relationships/image" Target="media/image62.png"/><Relationship Id="rId98" Type="http://schemas.openxmlformats.org/officeDocument/2006/relationships/image" Target="media/image63.png"/><Relationship Id="rId99" Type="http://schemas.openxmlformats.org/officeDocument/2006/relationships/image" Target="media/image64.png"/><Relationship Id="rId100" Type="http://schemas.openxmlformats.org/officeDocument/2006/relationships/image" Target="media/image65.png"/><Relationship Id="rId101" Type="http://schemas.openxmlformats.org/officeDocument/2006/relationships/image" Target="media/image66.png"/><Relationship Id="rId102" Type="http://schemas.openxmlformats.org/officeDocument/2006/relationships/image" Target="media/image67.jpeg"/><Relationship Id="rId103" Type="http://schemas.openxmlformats.org/officeDocument/2006/relationships/footer" Target="footer32.xml"/><Relationship Id="rId104" Type="http://schemas.openxmlformats.org/officeDocument/2006/relationships/footer" Target="footer33.xml"/><Relationship Id="rId105" Type="http://schemas.openxmlformats.org/officeDocument/2006/relationships/image" Target="media/image68.jpeg"/><Relationship Id="rId106" Type="http://schemas.openxmlformats.org/officeDocument/2006/relationships/footer" Target="footer34.xml"/><Relationship Id="rId107" Type="http://schemas.openxmlformats.org/officeDocument/2006/relationships/image" Target="media/image69.jpeg"/><Relationship Id="rId108" Type="http://schemas.openxmlformats.org/officeDocument/2006/relationships/footer" Target="footer35.xml"/><Relationship Id="rId109" Type="http://schemas.openxmlformats.org/officeDocument/2006/relationships/footer" Target="footer36.xml"/><Relationship Id="rId110" Type="http://schemas.openxmlformats.org/officeDocument/2006/relationships/footer" Target="footer37.xml"/><Relationship Id="rId111" Type="http://schemas.openxmlformats.org/officeDocument/2006/relationships/image" Target="media/image70.jpeg"/><Relationship Id="rId112" Type="http://schemas.openxmlformats.org/officeDocument/2006/relationships/image" Target="media/image71.jpeg"/><Relationship Id="rId113" Type="http://schemas.openxmlformats.org/officeDocument/2006/relationships/image" Target="media/image72.jpeg"/><Relationship Id="rId114" Type="http://schemas.openxmlformats.org/officeDocument/2006/relationships/footer" Target="footer38.xml"/><Relationship Id="rId115" Type="http://schemas.openxmlformats.org/officeDocument/2006/relationships/image" Target="media/image73.jpeg"/><Relationship Id="rId116" Type="http://schemas.openxmlformats.org/officeDocument/2006/relationships/footer" Target="footer39.xml"/><Relationship Id="rId117" Type="http://schemas.openxmlformats.org/officeDocument/2006/relationships/image" Target="media/image74.png"/><Relationship Id="rId118" Type="http://schemas.openxmlformats.org/officeDocument/2006/relationships/image" Target="media/image75.png"/><Relationship Id="rId119" Type="http://schemas.openxmlformats.org/officeDocument/2006/relationships/footer" Target="footer40.xml"/><Relationship Id="rId120" Type="http://schemas.openxmlformats.org/officeDocument/2006/relationships/image" Target="media/image76.jpeg"/><Relationship Id="rId121" Type="http://schemas.openxmlformats.org/officeDocument/2006/relationships/image" Target="media/image77.jpeg"/><Relationship Id="rId122" Type="http://schemas.openxmlformats.org/officeDocument/2006/relationships/image" Target="media/image78.jpeg"/><Relationship Id="rId123" Type="http://schemas.openxmlformats.org/officeDocument/2006/relationships/image" Target="media/image79.jpeg"/><Relationship Id="rId124" Type="http://schemas.openxmlformats.org/officeDocument/2006/relationships/image" Target="media/image80.jpeg"/><Relationship Id="rId125" Type="http://schemas.openxmlformats.org/officeDocument/2006/relationships/image" Target="media/image81.jpeg"/><Relationship Id="rId126" Type="http://schemas.openxmlformats.org/officeDocument/2006/relationships/footer" Target="footer41.xml"/><Relationship Id="rId127" Type="http://schemas.openxmlformats.org/officeDocument/2006/relationships/footer" Target="footer42.xml"/><Relationship Id="rId128" Type="http://schemas.openxmlformats.org/officeDocument/2006/relationships/footer" Target="footer43.xml"/><Relationship Id="rId129" Type="http://schemas.openxmlformats.org/officeDocument/2006/relationships/footer" Target="footer44.xml"/><Relationship Id="rId130" Type="http://schemas.openxmlformats.org/officeDocument/2006/relationships/hyperlink" Target="http://www.diputados.gob.mx/comisiones_ordinarias_lx.htm)" TargetMode="External"/><Relationship Id="rId131" Type="http://schemas.openxmlformats.org/officeDocument/2006/relationships/image" Target="media/image82.png"/><Relationship Id="rId132" Type="http://schemas.openxmlformats.org/officeDocument/2006/relationships/image" Target="media/image83.png"/><Relationship Id="rId133" Type="http://schemas.openxmlformats.org/officeDocument/2006/relationships/image" Target="media/image84.png"/><Relationship Id="rId134" Type="http://schemas.openxmlformats.org/officeDocument/2006/relationships/image" Target="media/image85.png"/><Relationship Id="rId135" Type="http://schemas.openxmlformats.org/officeDocument/2006/relationships/image" Target="media/image86.png"/><Relationship Id="rId136" Type="http://schemas.openxmlformats.org/officeDocument/2006/relationships/image" Target="media/image87.png"/><Relationship Id="rId137" Type="http://schemas.openxmlformats.org/officeDocument/2006/relationships/image" Target="media/image88.png"/><Relationship Id="rId138" Type="http://schemas.openxmlformats.org/officeDocument/2006/relationships/image" Target="media/image89.png"/><Relationship Id="rId139" Type="http://schemas.openxmlformats.org/officeDocument/2006/relationships/image" Target="media/image90.png"/><Relationship Id="rId140" Type="http://schemas.openxmlformats.org/officeDocument/2006/relationships/image" Target="media/image91.png"/><Relationship Id="rId141" Type="http://schemas.openxmlformats.org/officeDocument/2006/relationships/image" Target="media/image92.png"/><Relationship Id="rId142" Type="http://schemas.openxmlformats.org/officeDocument/2006/relationships/image" Target="media/image93.png"/><Relationship Id="rId143" Type="http://schemas.openxmlformats.org/officeDocument/2006/relationships/image" Target="media/image94.png"/><Relationship Id="rId144" Type="http://schemas.openxmlformats.org/officeDocument/2006/relationships/image" Target="media/image95.png"/><Relationship Id="rId145" Type="http://schemas.openxmlformats.org/officeDocument/2006/relationships/image" Target="media/image96.png"/><Relationship Id="rId146" Type="http://schemas.openxmlformats.org/officeDocument/2006/relationships/image" Target="media/image97.png"/><Relationship Id="rId147" Type="http://schemas.openxmlformats.org/officeDocument/2006/relationships/footer" Target="footer45.xml"/><Relationship Id="rId148" Type="http://schemas.openxmlformats.org/officeDocument/2006/relationships/hyperlink" Target="http://qacontent.edomex.gob.mx/caem/acercadelacaem/funciones/index.htm" TargetMode="External"/><Relationship Id="rId149" Type="http://schemas.openxmlformats.org/officeDocument/2006/relationships/hyperlink" Target="http://www.edomex.gob.mx/saop" TargetMode="External"/><Relationship Id="rId150" Type="http://schemas.openxmlformats.org/officeDocument/2006/relationships/hyperlink" Target="http://portal2.edomex.gob.mx/sma/acerca_secretaria/funciones/index.htm" TargetMode="External"/><Relationship Id="rId151" Type="http://schemas.openxmlformats.org/officeDocument/2006/relationships/hyperlink" Target="http://portal2.edomex.gob.mx/sedagro/acerca_secretaria/funciones./index.htm" TargetMode="External"/><Relationship Id="rId152" Type="http://schemas.openxmlformats.org/officeDocument/2006/relationships/hyperlink" Target="http://sedagro.edomex.gob.mx/mision_vision_objetivo" TargetMode="External"/><Relationship Id="rId153" Type="http://schemas.openxmlformats.org/officeDocument/2006/relationships/hyperlink" Target="http://portal2.edomex.gob.mx/sma/acerca_secretaria/mision_vision_objetivo/index.htm" TargetMode="External"/><Relationship Id="rId154" Type="http://schemas.openxmlformats.org/officeDocument/2006/relationships/hyperlink" Target="http://qacontent.edomex.gob.mx/saop/inicio/acerca_de_la_secretaria/mision_vision_y_obj" TargetMode="External"/><Relationship Id="rId155" Type="http://schemas.openxmlformats.org/officeDocument/2006/relationships/image" Target="media/image98.png"/><Relationship Id="rId156" Type="http://schemas.openxmlformats.org/officeDocument/2006/relationships/image" Target="media/image99.png"/><Relationship Id="rId157" Type="http://schemas.openxmlformats.org/officeDocument/2006/relationships/image" Target="media/image100.png"/><Relationship Id="rId158" Type="http://schemas.openxmlformats.org/officeDocument/2006/relationships/hyperlink" Target="http://www.sagarpa.gob.mx/agricultura/Programas/proagro/procampo)" TargetMode="External"/><Relationship Id="rId159" Type="http://schemas.openxmlformats.org/officeDocument/2006/relationships/footer" Target="footer46.xml"/><Relationship Id="rId160" Type="http://schemas.openxmlformats.org/officeDocument/2006/relationships/hyperlink" Target="http://www.conagua.gob.mx/inicio.aspx" TargetMode="External"/><Relationship Id="rId161" Type="http://schemas.openxmlformats.org/officeDocument/2006/relationships/hyperlink" Target="http://www.semarnat.gob.mx/conocenos/mision-y-vision" TargetMode="External"/><Relationship Id="rId162" Type="http://schemas.openxmlformats.org/officeDocument/2006/relationships/hyperlink" Target="http://www.conapesca.sagarpa.gob.mx/wb/cona/programas_conapesca" TargetMode="External"/><Relationship Id="rId163" Type="http://schemas.openxmlformats.org/officeDocument/2006/relationships/hyperlink" Target="http://www.sagarpa.gob.mx/quienesomos/introduccion/Paginas/VisionyObjetivos.aspx" TargetMode="External"/><Relationship Id="rId164" Type="http://schemas.openxmlformats.org/officeDocument/2006/relationships/hyperlink" Target="http://www.ran.gob.mx/ran/index.php/conoce-el-ran/que-es-el-ran" TargetMode="External"/><Relationship Id="rId165" Type="http://schemas.openxmlformats.org/officeDocument/2006/relationships/hyperlink" Target="http://www.sra.gob.mx/sraweb/conoce-la-secretaria/mis-vis-obj/" TargetMode="External"/><Relationship Id="rId166" Type="http://schemas.openxmlformats.org/officeDocument/2006/relationships/hyperlink" Target="http://www.pa.gob.mx/paweb/conoce_la_pa/mision_dec.html" TargetMode="External"/><Relationship Id="rId167" Type="http://schemas.openxmlformats.org/officeDocument/2006/relationships/hyperlink" Target="http://www.tribunalesagrarios.gob.mx/wp/?page_id=270" TargetMode="External"/><Relationship Id="rId168" Type="http://schemas.openxmlformats.org/officeDocument/2006/relationships/hyperlink" Target="http://www.diputados.gob.mx/" TargetMode="External"/><Relationship Id="rId169" Type="http://schemas.openxmlformats.org/officeDocument/2006/relationships/footer" Target="footer47.xml"/><Relationship Id="rId170" Type="http://schemas.openxmlformats.org/officeDocument/2006/relationships/footer" Target="footer48.xml"/><Relationship Id="rId171" Type="http://schemas.openxmlformats.org/officeDocument/2006/relationships/footer" Target="footer49.xml"/><Relationship Id="rId172" Type="http://schemas.openxmlformats.org/officeDocument/2006/relationships/footer" Target="footer50.xml"/><Relationship Id="rId173" Type="http://schemas.openxmlformats.org/officeDocument/2006/relationships/footer" Target="footer51.xml"/><Relationship Id="rId174" Type="http://schemas.openxmlformats.org/officeDocument/2006/relationships/footer" Target="footer52.xml"/><Relationship Id="rId175" Type="http://schemas.openxmlformats.org/officeDocument/2006/relationships/image" Target="media/image101.jpeg"/><Relationship Id="rId176" Type="http://schemas.openxmlformats.org/officeDocument/2006/relationships/footer" Target="footer53.xml"/><Relationship Id="rId177" Type="http://schemas.openxmlformats.org/officeDocument/2006/relationships/footer" Target="footer54.xml"/><Relationship Id="rId178" Type="http://schemas.openxmlformats.org/officeDocument/2006/relationships/footer" Target="footer55.xml"/><Relationship Id="rId179" Type="http://schemas.openxmlformats.org/officeDocument/2006/relationships/footer" Target="footer56.xml"/><Relationship Id="rId180" Type="http://schemas.openxmlformats.org/officeDocument/2006/relationships/footer" Target="footer57.xml"/><Relationship Id="rId181" Type="http://schemas.openxmlformats.org/officeDocument/2006/relationships/footer" Target="footer58.xml"/><Relationship Id="rId182" Type="http://schemas.openxmlformats.org/officeDocument/2006/relationships/footer" Target="footer59.xml"/><Relationship Id="rId183" Type="http://schemas.openxmlformats.org/officeDocument/2006/relationships/footer" Target="footer60.xml"/><Relationship Id="rId184" Type="http://schemas.openxmlformats.org/officeDocument/2006/relationships/footer" Target="footer61.xml"/><Relationship Id="rId185" Type="http://schemas.openxmlformats.org/officeDocument/2006/relationships/footer" Target="footer62.xml"/><Relationship Id="rId186" Type="http://schemas.openxmlformats.org/officeDocument/2006/relationships/footer" Target="footer63.xml"/><Relationship Id="rId187" Type="http://schemas.openxmlformats.org/officeDocument/2006/relationships/footer" Target="footer64.xml"/><Relationship Id="rId188" Type="http://schemas.openxmlformats.org/officeDocument/2006/relationships/footer" Target="footer65.xml"/><Relationship Id="rId189" Type="http://schemas.openxmlformats.org/officeDocument/2006/relationships/footer" Target="footer66.xml"/><Relationship Id="rId190" Type="http://schemas.openxmlformats.org/officeDocument/2006/relationships/footer" Target="footer67.xml"/><Relationship Id="rId191" Type="http://schemas.openxmlformats.org/officeDocument/2006/relationships/footer" Target="footer68.xml"/><Relationship Id="rId192" Type="http://schemas.openxmlformats.org/officeDocument/2006/relationships/footer" Target="footer69.xml"/><Relationship Id="rId193" Type="http://schemas.openxmlformats.org/officeDocument/2006/relationships/footer" Target="footer70.xml"/><Relationship Id="rId194" Type="http://schemas.openxmlformats.org/officeDocument/2006/relationships/footer" Target="footer71.xml"/><Relationship Id="rId195" Type="http://schemas.openxmlformats.org/officeDocument/2006/relationships/image" Target="media/image102.png"/><Relationship Id="rId196" Type="http://schemas.openxmlformats.org/officeDocument/2006/relationships/image" Target="media/image103.png"/><Relationship Id="rId197" Type="http://schemas.openxmlformats.org/officeDocument/2006/relationships/image" Target="media/image104.png"/><Relationship Id="rId198" Type="http://schemas.openxmlformats.org/officeDocument/2006/relationships/footer" Target="footer72.xml"/><Relationship Id="rId199" Type="http://schemas.openxmlformats.org/officeDocument/2006/relationships/hyperlink" Target="http://www.monografias.com/trabajos11/mcrisis/mcrisis.shtml#QUEES" TargetMode="External"/><Relationship Id="rId200" Type="http://schemas.openxmlformats.org/officeDocument/2006/relationships/hyperlink" Target="http://www.monografias.com/trabajos14/genesispensamto/genesispensamto.shtml" TargetMode="External"/><Relationship Id="rId201" Type="http://schemas.openxmlformats.org/officeDocument/2006/relationships/image" Target="media/image105.png"/><Relationship Id="rId202" Type="http://schemas.openxmlformats.org/officeDocument/2006/relationships/footer" Target="footer73.xml"/><Relationship Id="rId203" Type="http://schemas.openxmlformats.org/officeDocument/2006/relationships/image" Target="media/image106.png"/><Relationship Id="rId204" Type="http://schemas.openxmlformats.org/officeDocument/2006/relationships/image" Target="media/image107.png"/><Relationship Id="rId205" Type="http://schemas.openxmlformats.org/officeDocument/2006/relationships/image" Target="media/image108.png"/><Relationship Id="rId206" Type="http://schemas.openxmlformats.org/officeDocument/2006/relationships/image" Target="media/image109.png"/><Relationship Id="rId207" Type="http://schemas.openxmlformats.org/officeDocument/2006/relationships/footer" Target="footer74.xml"/><Relationship Id="rId208" Type="http://schemas.openxmlformats.org/officeDocument/2006/relationships/image" Target="media/image110.png"/><Relationship Id="rId209" Type="http://schemas.openxmlformats.org/officeDocument/2006/relationships/image" Target="media/image111.png"/><Relationship Id="rId210" Type="http://schemas.openxmlformats.org/officeDocument/2006/relationships/footer" Target="footer75.xml"/><Relationship Id="rId211" Type="http://schemas.openxmlformats.org/officeDocument/2006/relationships/footer" Target="footer76.xml"/><Relationship Id="rId212" Type="http://schemas.openxmlformats.org/officeDocument/2006/relationships/image" Target="media/image112.jpeg"/><Relationship Id="rId213" Type="http://schemas.openxmlformats.org/officeDocument/2006/relationships/image" Target="media/image113.jpeg"/><Relationship Id="rId214" Type="http://schemas.openxmlformats.org/officeDocument/2006/relationships/footer" Target="footer77.xml"/><Relationship Id="rId215" Type="http://schemas.openxmlformats.org/officeDocument/2006/relationships/image" Target="media/image114.png"/><Relationship Id="rId216" Type="http://schemas.openxmlformats.org/officeDocument/2006/relationships/image" Target="media/image115.png"/><Relationship Id="rId217" Type="http://schemas.openxmlformats.org/officeDocument/2006/relationships/image" Target="media/image116.png"/><Relationship Id="rId218" Type="http://schemas.openxmlformats.org/officeDocument/2006/relationships/image" Target="media/image117.png"/><Relationship Id="rId219" Type="http://schemas.openxmlformats.org/officeDocument/2006/relationships/image" Target="media/image118.png"/><Relationship Id="rId220" Type="http://schemas.openxmlformats.org/officeDocument/2006/relationships/image" Target="media/image119.png"/><Relationship Id="rId221" Type="http://schemas.openxmlformats.org/officeDocument/2006/relationships/image" Target="media/image120.png"/><Relationship Id="rId222" Type="http://schemas.openxmlformats.org/officeDocument/2006/relationships/image" Target="media/image121.png"/><Relationship Id="rId223" Type="http://schemas.openxmlformats.org/officeDocument/2006/relationships/image" Target="media/image122.png"/><Relationship Id="rId224" Type="http://schemas.openxmlformats.org/officeDocument/2006/relationships/image" Target="media/image123.png"/><Relationship Id="rId225" Type="http://schemas.openxmlformats.org/officeDocument/2006/relationships/image" Target="media/image124.png"/><Relationship Id="rId226" Type="http://schemas.openxmlformats.org/officeDocument/2006/relationships/image" Target="media/image125.png"/><Relationship Id="rId227" Type="http://schemas.openxmlformats.org/officeDocument/2006/relationships/image" Target="media/image126.png"/><Relationship Id="rId228" Type="http://schemas.openxmlformats.org/officeDocument/2006/relationships/image" Target="media/image127.png"/><Relationship Id="rId229" Type="http://schemas.openxmlformats.org/officeDocument/2006/relationships/image" Target="media/image128.png"/><Relationship Id="rId230" Type="http://schemas.openxmlformats.org/officeDocument/2006/relationships/image" Target="media/image129.png"/><Relationship Id="rId231" Type="http://schemas.openxmlformats.org/officeDocument/2006/relationships/image" Target="media/image130.png"/><Relationship Id="rId232" Type="http://schemas.openxmlformats.org/officeDocument/2006/relationships/image" Target="media/image131.png"/><Relationship Id="rId233" Type="http://schemas.openxmlformats.org/officeDocument/2006/relationships/image" Target="media/image132.png"/><Relationship Id="rId234" Type="http://schemas.openxmlformats.org/officeDocument/2006/relationships/image" Target="media/image133.png"/><Relationship Id="rId235" Type="http://schemas.openxmlformats.org/officeDocument/2006/relationships/image" Target="media/image134.png"/><Relationship Id="rId236" Type="http://schemas.openxmlformats.org/officeDocument/2006/relationships/image" Target="media/image135.png"/><Relationship Id="rId237" Type="http://schemas.openxmlformats.org/officeDocument/2006/relationships/image" Target="media/image136.png"/><Relationship Id="rId238" Type="http://schemas.openxmlformats.org/officeDocument/2006/relationships/image" Target="media/image137.png"/><Relationship Id="rId239" Type="http://schemas.openxmlformats.org/officeDocument/2006/relationships/image" Target="media/image138.png"/><Relationship Id="rId240" Type="http://schemas.openxmlformats.org/officeDocument/2006/relationships/image" Target="media/image139.png"/><Relationship Id="rId241" Type="http://schemas.openxmlformats.org/officeDocument/2006/relationships/image" Target="media/image140.png"/><Relationship Id="rId242" Type="http://schemas.openxmlformats.org/officeDocument/2006/relationships/image" Target="media/image141.png"/><Relationship Id="rId243" Type="http://schemas.openxmlformats.org/officeDocument/2006/relationships/image" Target="media/image142.png"/><Relationship Id="rId244" Type="http://schemas.openxmlformats.org/officeDocument/2006/relationships/footer" Target="footer78.xml"/><Relationship Id="rId245" Type="http://schemas.openxmlformats.org/officeDocument/2006/relationships/image" Target="media/image143.jpeg"/><Relationship Id="rId246" Type="http://schemas.openxmlformats.org/officeDocument/2006/relationships/footer" Target="footer79.xml"/><Relationship Id="rId247" Type="http://schemas.openxmlformats.org/officeDocument/2006/relationships/footer" Target="footer80.xml"/><Relationship Id="rId248" Type="http://schemas.openxmlformats.org/officeDocument/2006/relationships/hyperlink" Target="http://definicion.de/propiedad" TargetMode="External"/><Relationship Id="rId249" Type="http://schemas.openxmlformats.org/officeDocument/2006/relationships/footer" Target="footer81.xml"/><Relationship Id="rId250" Type="http://schemas.openxmlformats.org/officeDocument/2006/relationships/footer" Target="footer82.xml"/><Relationship Id="rId251" Type="http://schemas.openxmlformats.org/officeDocument/2006/relationships/footer" Target="footer83.xml"/><Relationship Id="rId252" Type="http://schemas.openxmlformats.org/officeDocument/2006/relationships/footer" Target="footer84.xml"/><Relationship Id="rId253" Type="http://schemas.openxmlformats.org/officeDocument/2006/relationships/footer" Target="footer85.xml"/><Relationship Id="rId254" Type="http://schemas.openxmlformats.org/officeDocument/2006/relationships/footer" Target="footer86.xml"/><Relationship Id="rId255" Type="http://schemas.openxmlformats.org/officeDocument/2006/relationships/footer" Target="footer87.xml"/><Relationship Id="rId256" Type="http://schemas.openxmlformats.org/officeDocument/2006/relationships/footer" Target="footer88.xml"/><Relationship Id="rId257" Type="http://schemas.openxmlformats.org/officeDocument/2006/relationships/footer" Target="footer89.xml"/><Relationship Id="rId258" Type="http://schemas.openxmlformats.org/officeDocument/2006/relationships/footer" Target="footer90.xml"/><Relationship Id="rId259" Type="http://schemas.openxmlformats.org/officeDocument/2006/relationships/footer" Target="footer91.xml"/><Relationship Id="rId260" Type="http://schemas.openxmlformats.org/officeDocument/2006/relationships/footer" Target="footer92.xml"/><Relationship Id="rId261" Type="http://schemas.openxmlformats.org/officeDocument/2006/relationships/footer" Target="footer93.xml"/><Relationship Id="rId262" Type="http://schemas.openxmlformats.org/officeDocument/2006/relationships/footer" Target="footer94.xml"/><Relationship Id="rId263" Type="http://schemas.openxmlformats.org/officeDocument/2006/relationships/image" Target="media/image144.png"/><Relationship Id="rId264" Type="http://schemas.openxmlformats.org/officeDocument/2006/relationships/image" Target="media/image145.png"/><Relationship Id="rId265" Type="http://schemas.openxmlformats.org/officeDocument/2006/relationships/image" Target="media/image146.png"/><Relationship Id="rId266" Type="http://schemas.openxmlformats.org/officeDocument/2006/relationships/image" Target="media/image147.png"/><Relationship Id="rId267" Type="http://schemas.openxmlformats.org/officeDocument/2006/relationships/image" Target="media/image148.png"/><Relationship Id="rId268" Type="http://schemas.openxmlformats.org/officeDocument/2006/relationships/image" Target="media/image149.png"/><Relationship Id="rId269" Type="http://schemas.openxmlformats.org/officeDocument/2006/relationships/image" Target="media/image150.png"/><Relationship Id="rId270" Type="http://schemas.openxmlformats.org/officeDocument/2006/relationships/image" Target="media/image151.png"/><Relationship Id="rId271" Type="http://schemas.openxmlformats.org/officeDocument/2006/relationships/image" Target="media/image152.png"/><Relationship Id="rId272" Type="http://schemas.openxmlformats.org/officeDocument/2006/relationships/image" Target="media/image153.png"/><Relationship Id="rId273" Type="http://schemas.openxmlformats.org/officeDocument/2006/relationships/image" Target="media/image154.png"/><Relationship Id="rId274" Type="http://schemas.openxmlformats.org/officeDocument/2006/relationships/image" Target="media/image155.png"/><Relationship Id="rId275" Type="http://schemas.openxmlformats.org/officeDocument/2006/relationships/image" Target="media/image156.png"/><Relationship Id="rId276" Type="http://schemas.openxmlformats.org/officeDocument/2006/relationships/image" Target="media/image157.png"/><Relationship Id="rId277" Type="http://schemas.openxmlformats.org/officeDocument/2006/relationships/image" Target="media/image158.png"/><Relationship Id="rId278" Type="http://schemas.openxmlformats.org/officeDocument/2006/relationships/image" Target="media/image159.png"/><Relationship Id="rId279" Type="http://schemas.openxmlformats.org/officeDocument/2006/relationships/image" Target="media/image160.png"/><Relationship Id="rId280" Type="http://schemas.openxmlformats.org/officeDocument/2006/relationships/image" Target="media/image161.png"/><Relationship Id="rId281" Type="http://schemas.openxmlformats.org/officeDocument/2006/relationships/image" Target="media/image162.png"/><Relationship Id="rId282" Type="http://schemas.openxmlformats.org/officeDocument/2006/relationships/image" Target="media/image163.png"/><Relationship Id="rId283" Type="http://schemas.openxmlformats.org/officeDocument/2006/relationships/image" Target="media/image164.png"/><Relationship Id="rId284" Type="http://schemas.openxmlformats.org/officeDocument/2006/relationships/footer" Target="footer95.xml"/><Relationship Id="rId285" Type="http://schemas.openxmlformats.org/officeDocument/2006/relationships/image" Target="media/image165.png"/><Relationship Id="rId286" Type="http://schemas.openxmlformats.org/officeDocument/2006/relationships/image" Target="media/image166.png"/><Relationship Id="rId287" Type="http://schemas.openxmlformats.org/officeDocument/2006/relationships/image" Target="media/image167.png"/><Relationship Id="rId288" Type="http://schemas.openxmlformats.org/officeDocument/2006/relationships/image" Target="media/image168.png"/><Relationship Id="rId289" Type="http://schemas.openxmlformats.org/officeDocument/2006/relationships/image" Target="media/image169.png"/><Relationship Id="rId290" Type="http://schemas.openxmlformats.org/officeDocument/2006/relationships/image" Target="media/image170.png"/><Relationship Id="rId291" Type="http://schemas.openxmlformats.org/officeDocument/2006/relationships/image" Target="media/image171.png"/><Relationship Id="rId292" Type="http://schemas.openxmlformats.org/officeDocument/2006/relationships/image" Target="media/image172.png"/><Relationship Id="rId293" Type="http://schemas.openxmlformats.org/officeDocument/2006/relationships/image" Target="media/image173.png"/><Relationship Id="rId294" Type="http://schemas.openxmlformats.org/officeDocument/2006/relationships/image" Target="media/image174.png"/><Relationship Id="rId295" Type="http://schemas.openxmlformats.org/officeDocument/2006/relationships/image" Target="media/image175.png"/><Relationship Id="rId296" Type="http://schemas.openxmlformats.org/officeDocument/2006/relationships/image" Target="media/image176.png"/><Relationship Id="rId297" Type="http://schemas.openxmlformats.org/officeDocument/2006/relationships/image" Target="media/image177.png"/><Relationship Id="rId298" Type="http://schemas.openxmlformats.org/officeDocument/2006/relationships/footer" Target="footer96.xml"/><Relationship Id="rId299" Type="http://schemas.openxmlformats.org/officeDocument/2006/relationships/image" Target="media/image178.png"/><Relationship Id="rId300" Type="http://schemas.openxmlformats.org/officeDocument/2006/relationships/image" Target="media/image179.png"/><Relationship Id="rId301" Type="http://schemas.openxmlformats.org/officeDocument/2006/relationships/image" Target="media/image180.png"/><Relationship Id="rId302" Type="http://schemas.openxmlformats.org/officeDocument/2006/relationships/image" Target="media/image181.png"/><Relationship Id="rId303" Type="http://schemas.openxmlformats.org/officeDocument/2006/relationships/image" Target="media/image182.png"/><Relationship Id="rId304" Type="http://schemas.openxmlformats.org/officeDocument/2006/relationships/image" Target="media/image183.png"/><Relationship Id="rId305" Type="http://schemas.openxmlformats.org/officeDocument/2006/relationships/image" Target="media/image184.png"/><Relationship Id="rId306" Type="http://schemas.openxmlformats.org/officeDocument/2006/relationships/image" Target="media/image185.png"/><Relationship Id="rId307" Type="http://schemas.openxmlformats.org/officeDocument/2006/relationships/image" Target="media/image186.png"/><Relationship Id="rId308" Type="http://schemas.openxmlformats.org/officeDocument/2006/relationships/image" Target="media/image187.png"/><Relationship Id="rId309" Type="http://schemas.openxmlformats.org/officeDocument/2006/relationships/image" Target="media/image188.png"/><Relationship Id="rId310" Type="http://schemas.openxmlformats.org/officeDocument/2006/relationships/image" Target="media/image189.png"/><Relationship Id="rId311" Type="http://schemas.openxmlformats.org/officeDocument/2006/relationships/image" Target="media/image190.png"/><Relationship Id="rId312" Type="http://schemas.openxmlformats.org/officeDocument/2006/relationships/image" Target="media/image191.png"/><Relationship Id="rId313" Type="http://schemas.openxmlformats.org/officeDocument/2006/relationships/footer" Target="footer97.xml"/><Relationship Id="rId314" Type="http://schemas.openxmlformats.org/officeDocument/2006/relationships/image" Target="media/image192.png"/><Relationship Id="rId315" Type="http://schemas.openxmlformats.org/officeDocument/2006/relationships/image" Target="media/image193.png"/><Relationship Id="rId316" Type="http://schemas.openxmlformats.org/officeDocument/2006/relationships/image" Target="media/image194.png"/><Relationship Id="rId317" Type="http://schemas.openxmlformats.org/officeDocument/2006/relationships/image" Target="media/image195.png"/><Relationship Id="rId318" Type="http://schemas.openxmlformats.org/officeDocument/2006/relationships/image" Target="media/image196.png"/><Relationship Id="rId319" Type="http://schemas.openxmlformats.org/officeDocument/2006/relationships/image" Target="media/image197.png"/><Relationship Id="rId320" Type="http://schemas.openxmlformats.org/officeDocument/2006/relationships/image" Target="media/image198.png"/><Relationship Id="rId321" Type="http://schemas.openxmlformats.org/officeDocument/2006/relationships/image" Target="media/image199.png"/><Relationship Id="rId322" Type="http://schemas.openxmlformats.org/officeDocument/2006/relationships/image" Target="media/image200.png"/><Relationship Id="rId323" Type="http://schemas.openxmlformats.org/officeDocument/2006/relationships/image" Target="media/image201.png"/><Relationship Id="rId324" Type="http://schemas.openxmlformats.org/officeDocument/2006/relationships/image" Target="media/image202.png"/><Relationship Id="rId325" Type="http://schemas.openxmlformats.org/officeDocument/2006/relationships/image" Target="media/image203.png"/><Relationship Id="rId326" Type="http://schemas.openxmlformats.org/officeDocument/2006/relationships/image" Target="media/image204.png"/><Relationship Id="rId327" Type="http://schemas.openxmlformats.org/officeDocument/2006/relationships/image" Target="media/image205.png"/><Relationship Id="rId328" Type="http://schemas.openxmlformats.org/officeDocument/2006/relationships/footer" Target="footer98.xml"/><Relationship Id="rId329" Type="http://schemas.openxmlformats.org/officeDocument/2006/relationships/image" Target="media/image206.png"/><Relationship Id="rId330" Type="http://schemas.openxmlformats.org/officeDocument/2006/relationships/image" Target="media/image207.png"/><Relationship Id="rId331" Type="http://schemas.openxmlformats.org/officeDocument/2006/relationships/image" Target="media/image208.png"/><Relationship Id="rId332" Type="http://schemas.openxmlformats.org/officeDocument/2006/relationships/image" Target="media/image209.png"/><Relationship Id="rId333" Type="http://schemas.openxmlformats.org/officeDocument/2006/relationships/image" Target="media/image210.png"/><Relationship Id="rId334" Type="http://schemas.openxmlformats.org/officeDocument/2006/relationships/image" Target="media/image211.png"/><Relationship Id="rId335" Type="http://schemas.openxmlformats.org/officeDocument/2006/relationships/image" Target="media/image212.png"/><Relationship Id="rId336" Type="http://schemas.openxmlformats.org/officeDocument/2006/relationships/image" Target="media/image213.png"/><Relationship Id="rId337" Type="http://schemas.openxmlformats.org/officeDocument/2006/relationships/image" Target="media/image214.png"/><Relationship Id="rId338" Type="http://schemas.openxmlformats.org/officeDocument/2006/relationships/footer" Target="footer99.xml"/><Relationship Id="rId339" Type="http://schemas.openxmlformats.org/officeDocument/2006/relationships/image" Target="media/image215.png"/><Relationship Id="rId340" Type="http://schemas.openxmlformats.org/officeDocument/2006/relationships/image" Target="media/image216.png"/><Relationship Id="rId341" Type="http://schemas.openxmlformats.org/officeDocument/2006/relationships/image" Target="media/image217.png"/><Relationship Id="rId342" Type="http://schemas.openxmlformats.org/officeDocument/2006/relationships/image" Target="media/image218.png"/><Relationship Id="rId343" Type="http://schemas.openxmlformats.org/officeDocument/2006/relationships/image" Target="media/image219.png"/><Relationship Id="rId344" Type="http://schemas.openxmlformats.org/officeDocument/2006/relationships/image" Target="media/image220.png"/><Relationship Id="rId345" Type="http://schemas.openxmlformats.org/officeDocument/2006/relationships/image" Target="media/image221.png"/><Relationship Id="rId346" Type="http://schemas.openxmlformats.org/officeDocument/2006/relationships/image" Target="media/image222.png"/><Relationship Id="rId347" Type="http://schemas.openxmlformats.org/officeDocument/2006/relationships/image" Target="media/image223.png"/><Relationship Id="rId348" Type="http://schemas.openxmlformats.org/officeDocument/2006/relationships/image" Target="media/image224.png"/><Relationship Id="rId349" Type="http://schemas.openxmlformats.org/officeDocument/2006/relationships/image" Target="media/image225.png"/><Relationship Id="rId350" Type="http://schemas.openxmlformats.org/officeDocument/2006/relationships/image" Target="media/image226.png"/><Relationship Id="rId351" Type="http://schemas.openxmlformats.org/officeDocument/2006/relationships/image" Target="media/image227.png"/><Relationship Id="rId352" Type="http://schemas.openxmlformats.org/officeDocument/2006/relationships/footer" Target="footer100.xml"/><Relationship Id="rId353" Type="http://schemas.openxmlformats.org/officeDocument/2006/relationships/image" Target="media/image228.png"/><Relationship Id="rId354" Type="http://schemas.openxmlformats.org/officeDocument/2006/relationships/image" Target="media/image229.png"/><Relationship Id="rId355" Type="http://schemas.openxmlformats.org/officeDocument/2006/relationships/image" Target="media/image230.png"/><Relationship Id="rId356" Type="http://schemas.openxmlformats.org/officeDocument/2006/relationships/image" Target="media/image231.png"/><Relationship Id="rId357" Type="http://schemas.openxmlformats.org/officeDocument/2006/relationships/image" Target="media/image232.png"/><Relationship Id="rId358" Type="http://schemas.openxmlformats.org/officeDocument/2006/relationships/image" Target="media/image233.png"/><Relationship Id="rId359" Type="http://schemas.openxmlformats.org/officeDocument/2006/relationships/image" Target="media/image234.png"/><Relationship Id="rId360" Type="http://schemas.openxmlformats.org/officeDocument/2006/relationships/image" Target="media/image235.png"/><Relationship Id="rId361" Type="http://schemas.openxmlformats.org/officeDocument/2006/relationships/image" Target="media/image236.png"/><Relationship Id="rId362" Type="http://schemas.openxmlformats.org/officeDocument/2006/relationships/image" Target="media/image237.png"/><Relationship Id="rId363" Type="http://schemas.openxmlformats.org/officeDocument/2006/relationships/image" Target="media/image238.png"/><Relationship Id="rId364" Type="http://schemas.openxmlformats.org/officeDocument/2006/relationships/image" Target="media/image239.png"/><Relationship Id="rId365" Type="http://schemas.openxmlformats.org/officeDocument/2006/relationships/image" Target="media/image240.png"/><Relationship Id="rId366" Type="http://schemas.openxmlformats.org/officeDocument/2006/relationships/footer" Target="footer101.xml"/><Relationship Id="rId367" Type="http://schemas.openxmlformats.org/officeDocument/2006/relationships/image" Target="media/image241.png"/><Relationship Id="rId368" Type="http://schemas.openxmlformats.org/officeDocument/2006/relationships/image" Target="media/image242.png"/><Relationship Id="rId369" Type="http://schemas.openxmlformats.org/officeDocument/2006/relationships/image" Target="media/image243.png"/><Relationship Id="rId370" Type="http://schemas.openxmlformats.org/officeDocument/2006/relationships/image" Target="media/image244.png"/><Relationship Id="rId371" Type="http://schemas.openxmlformats.org/officeDocument/2006/relationships/image" Target="media/image245.png"/><Relationship Id="rId372" Type="http://schemas.openxmlformats.org/officeDocument/2006/relationships/image" Target="media/image246.png"/><Relationship Id="rId373" Type="http://schemas.openxmlformats.org/officeDocument/2006/relationships/image" Target="media/image247.png"/><Relationship Id="rId374" Type="http://schemas.openxmlformats.org/officeDocument/2006/relationships/image" Target="media/image248.png"/><Relationship Id="rId375" Type="http://schemas.openxmlformats.org/officeDocument/2006/relationships/image" Target="media/image249.png"/><Relationship Id="rId376" Type="http://schemas.openxmlformats.org/officeDocument/2006/relationships/image" Target="media/image250.png"/><Relationship Id="rId377" Type="http://schemas.openxmlformats.org/officeDocument/2006/relationships/footer" Target="footer102.xml"/><Relationship Id="rId378" Type="http://schemas.openxmlformats.org/officeDocument/2006/relationships/image" Target="media/image251.png"/><Relationship Id="rId379" Type="http://schemas.openxmlformats.org/officeDocument/2006/relationships/image" Target="media/image252.png"/><Relationship Id="rId380" Type="http://schemas.openxmlformats.org/officeDocument/2006/relationships/image" Target="media/image253.png"/><Relationship Id="rId381" Type="http://schemas.openxmlformats.org/officeDocument/2006/relationships/image" Target="media/image254.png"/><Relationship Id="rId382" Type="http://schemas.openxmlformats.org/officeDocument/2006/relationships/image" Target="media/image255.png"/><Relationship Id="rId383" Type="http://schemas.openxmlformats.org/officeDocument/2006/relationships/image" Target="media/image256.png"/><Relationship Id="rId384" Type="http://schemas.openxmlformats.org/officeDocument/2006/relationships/image" Target="media/image257.png"/><Relationship Id="rId385" Type="http://schemas.openxmlformats.org/officeDocument/2006/relationships/image" Target="media/image258.png"/><Relationship Id="rId386" Type="http://schemas.openxmlformats.org/officeDocument/2006/relationships/image" Target="media/image259.png"/><Relationship Id="rId387" Type="http://schemas.openxmlformats.org/officeDocument/2006/relationships/footer" Target="footer103.xml"/><Relationship Id="rId388" Type="http://schemas.openxmlformats.org/officeDocument/2006/relationships/image" Target="media/image260.png"/><Relationship Id="rId389" Type="http://schemas.openxmlformats.org/officeDocument/2006/relationships/image" Target="media/image261.png"/><Relationship Id="rId390" Type="http://schemas.openxmlformats.org/officeDocument/2006/relationships/image" Target="media/image262.png"/><Relationship Id="rId391" Type="http://schemas.openxmlformats.org/officeDocument/2006/relationships/image" Target="media/image263.png"/><Relationship Id="rId392" Type="http://schemas.openxmlformats.org/officeDocument/2006/relationships/image" Target="media/image264.png"/><Relationship Id="rId393" Type="http://schemas.openxmlformats.org/officeDocument/2006/relationships/image" Target="media/image265.png"/><Relationship Id="rId394" Type="http://schemas.openxmlformats.org/officeDocument/2006/relationships/image" Target="media/image266.png"/><Relationship Id="rId395" Type="http://schemas.openxmlformats.org/officeDocument/2006/relationships/image" Target="media/image267.png"/><Relationship Id="rId396" Type="http://schemas.openxmlformats.org/officeDocument/2006/relationships/image" Target="media/image268.png"/><Relationship Id="rId397" Type="http://schemas.openxmlformats.org/officeDocument/2006/relationships/image" Target="media/image269.png"/><Relationship Id="rId398" Type="http://schemas.openxmlformats.org/officeDocument/2006/relationships/image" Target="media/image270.png"/><Relationship Id="rId399" Type="http://schemas.openxmlformats.org/officeDocument/2006/relationships/footer" Target="footer104.xml"/><Relationship Id="rId400" Type="http://schemas.openxmlformats.org/officeDocument/2006/relationships/image" Target="media/image271.png"/><Relationship Id="rId401" Type="http://schemas.openxmlformats.org/officeDocument/2006/relationships/image" Target="media/image272.png"/><Relationship Id="rId402" Type="http://schemas.openxmlformats.org/officeDocument/2006/relationships/image" Target="media/image273.png"/><Relationship Id="rId403" Type="http://schemas.openxmlformats.org/officeDocument/2006/relationships/image" Target="media/image274.png"/><Relationship Id="rId404" Type="http://schemas.openxmlformats.org/officeDocument/2006/relationships/image" Target="media/image275.png"/><Relationship Id="rId405" Type="http://schemas.openxmlformats.org/officeDocument/2006/relationships/image" Target="media/image276.png"/><Relationship Id="rId406" Type="http://schemas.openxmlformats.org/officeDocument/2006/relationships/image" Target="media/image277.png"/><Relationship Id="rId407" Type="http://schemas.openxmlformats.org/officeDocument/2006/relationships/image" Target="media/image278.png"/><Relationship Id="rId408" Type="http://schemas.openxmlformats.org/officeDocument/2006/relationships/image" Target="media/image279.png"/><Relationship Id="rId409" Type="http://schemas.openxmlformats.org/officeDocument/2006/relationships/image" Target="media/image280.png"/><Relationship Id="rId410" Type="http://schemas.openxmlformats.org/officeDocument/2006/relationships/image" Target="media/image281.png"/><Relationship Id="rId411" Type="http://schemas.openxmlformats.org/officeDocument/2006/relationships/image" Target="media/image282.png"/><Relationship Id="rId412" Type="http://schemas.openxmlformats.org/officeDocument/2006/relationships/image" Target="media/image283.png"/><Relationship Id="rId413" Type="http://schemas.openxmlformats.org/officeDocument/2006/relationships/image" Target="media/image284.png"/><Relationship Id="rId414" Type="http://schemas.openxmlformats.org/officeDocument/2006/relationships/image" Target="media/image285.png"/><Relationship Id="rId415" Type="http://schemas.openxmlformats.org/officeDocument/2006/relationships/image" Target="media/image286.png"/><Relationship Id="rId416" Type="http://schemas.openxmlformats.org/officeDocument/2006/relationships/footer" Target="footer105.xml"/><Relationship Id="rId417" Type="http://schemas.openxmlformats.org/officeDocument/2006/relationships/image" Target="media/image287.png"/><Relationship Id="rId418" Type="http://schemas.openxmlformats.org/officeDocument/2006/relationships/image" Target="media/image288.png"/><Relationship Id="rId419" Type="http://schemas.openxmlformats.org/officeDocument/2006/relationships/image" Target="media/image289.png"/><Relationship Id="rId420" Type="http://schemas.openxmlformats.org/officeDocument/2006/relationships/image" Target="media/image290.png"/><Relationship Id="rId421" Type="http://schemas.openxmlformats.org/officeDocument/2006/relationships/image" Target="media/image291.png"/><Relationship Id="rId422" Type="http://schemas.openxmlformats.org/officeDocument/2006/relationships/image" Target="media/image292.png"/><Relationship Id="rId423" Type="http://schemas.openxmlformats.org/officeDocument/2006/relationships/image" Target="media/image293.png"/><Relationship Id="rId424" Type="http://schemas.openxmlformats.org/officeDocument/2006/relationships/image" Target="media/image294.png"/><Relationship Id="rId425" Type="http://schemas.openxmlformats.org/officeDocument/2006/relationships/image" Target="media/image295.png"/><Relationship Id="rId426" Type="http://schemas.openxmlformats.org/officeDocument/2006/relationships/image" Target="media/image296.png"/><Relationship Id="rId427" Type="http://schemas.openxmlformats.org/officeDocument/2006/relationships/image" Target="media/image297.png"/><Relationship Id="rId428" Type="http://schemas.openxmlformats.org/officeDocument/2006/relationships/image" Target="media/image298.png"/><Relationship Id="rId429" Type="http://schemas.openxmlformats.org/officeDocument/2006/relationships/image" Target="media/image299.png"/><Relationship Id="rId430" Type="http://schemas.openxmlformats.org/officeDocument/2006/relationships/footer" Target="footer106.xml"/><Relationship Id="rId431" Type="http://schemas.openxmlformats.org/officeDocument/2006/relationships/image" Target="media/image300.png"/><Relationship Id="rId432" Type="http://schemas.openxmlformats.org/officeDocument/2006/relationships/image" Target="media/image301.png"/><Relationship Id="rId433" Type="http://schemas.openxmlformats.org/officeDocument/2006/relationships/image" Target="media/image302.png"/><Relationship Id="rId434" Type="http://schemas.openxmlformats.org/officeDocument/2006/relationships/image" Target="media/image303.png"/><Relationship Id="rId435" Type="http://schemas.openxmlformats.org/officeDocument/2006/relationships/image" Target="media/image304.png"/><Relationship Id="rId436" Type="http://schemas.openxmlformats.org/officeDocument/2006/relationships/image" Target="media/image305.png"/><Relationship Id="rId437" Type="http://schemas.openxmlformats.org/officeDocument/2006/relationships/image" Target="media/image306.png"/><Relationship Id="rId438" Type="http://schemas.openxmlformats.org/officeDocument/2006/relationships/image" Target="media/image307.png"/><Relationship Id="rId439" Type="http://schemas.openxmlformats.org/officeDocument/2006/relationships/image" Target="media/image308.png"/><Relationship Id="rId440" Type="http://schemas.openxmlformats.org/officeDocument/2006/relationships/image" Target="media/image309.png"/><Relationship Id="rId441" Type="http://schemas.openxmlformats.org/officeDocument/2006/relationships/image" Target="media/image310.png"/><Relationship Id="rId442" Type="http://schemas.openxmlformats.org/officeDocument/2006/relationships/image" Target="media/image311.png"/><Relationship Id="rId443" Type="http://schemas.openxmlformats.org/officeDocument/2006/relationships/image" Target="media/image312.png"/><Relationship Id="rId444" Type="http://schemas.openxmlformats.org/officeDocument/2006/relationships/footer" Target="footer107.xml"/><Relationship Id="rId445" Type="http://schemas.openxmlformats.org/officeDocument/2006/relationships/image" Target="media/image313.png"/><Relationship Id="rId446" Type="http://schemas.openxmlformats.org/officeDocument/2006/relationships/image" Target="media/image314.png"/><Relationship Id="rId447" Type="http://schemas.openxmlformats.org/officeDocument/2006/relationships/image" Target="media/image315.png"/><Relationship Id="rId448" Type="http://schemas.openxmlformats.org/officeDocument/2006/relationships/image" Target="media/image316.png"/><Relationship Id="rId449" Type="http://schemas.openxmlformats.org/officeDocument/2006/relationships/image" Target="media/image317.png"/><Relationship Id="rId450" Type="http://schemas.openxmlformats.org/officeDocument/2006/relationships/image" Target="media/image318.png"/><Relationship Id="rId451" Type="http://schemas.openxmlformats.org/officeDocument/2006/relationships/image" Target="media/image319.png"/><Relationship Id="rId452" Type="http://schemas.openxmlformats.org/officeDocument/2006/relationships/image" Target="media/image320.png"/><Relationship Id="rId453" Type="http://schemas.openxmlformats.org/officeDocument/2006/relationships/image" Target="media/image321.png"/><Relationship Id="rId454" Type="http://schemas.openxmlformats.org/officeDocument/2006/relationships/image" Target="media/image322.png"/><Relationship Id="rId455" Type="http://schemas.openxmlformats.org/officeDocument/2006/relationships/image" Target="media/image323.png"/><Relationship Id="rId456" Type="http://schemas.openxmlformats.org/officeDocument/2006/relationships/image" Target="media/image324.png"/><Relationship Id="rId457" Type="http://schemas.openxmlformats.org/officeDocument/2006/relationships/image" Target="media/image325.png"/><Relationship Id="rId458" Type="http://schemas.openxmlformats.org/officeDocument/2006/relationships/image" Target="media/image326.png"/><Relationship Id="rId459" Type="http://schemas.openxmlformats.org/officeDocument/2006/relationships/image" Target="media/image327.png"/><Relationship Id="rId460" Type="http://schemas.openxmlformats.org/officeDocument/2006/relationships/image" Target="media/image328.png"/><Relationship Id="rId461" Type="http://schemas.openxmlformats.org/officeDocument/2006/relationships/image" Target="media/image329.png"/><Relationship Id="rId462" Type="http://schemas.openxmlformats.org/officeDocument/2006/relationships/image" Target="media/image330.png"/><Relationship Id="rId463" Type="http://schemas.openxmlformats.org/officeDocument/2006/relationships/image" Target="media/image331.png"/><Relationship Id="rId464" Type="http://schemas.openxmlformats.org/officeDocument/2006/relationships/image" Target="media/image332.png"/><Relationship Id="rId465" Type="http://schemas.openxmlformats.org/officeDocument/2006/relationships/image" Target="media/image333.png"/><Relationship Id="rId466" Type="http://schemas.openxmlformats.org/officeDocument/2006/relationships/image" Target="media/image334.png"/><Relationship Id="rId467" Type="http://schemas.openxmlformats.org/officeDocument/2006/relationships/footer" Target="footer108.xml"/><Relationship Id="rId468" Type="http://schemas.openxmlformats.org/officeDocument/2006/relationships/image" Target="media/image335.png"/><Relationship Id="rId469" Type="http://schemas.openxmlformats.org/officeDocument/2006/relationships/image" Target="media/image336.png"/><Relationship Id="rId470" Type="http://schemas.openxmlformats.org/officeDocument/2006/relationships/image" Target="media/image337.png"/><Relationship Id="rId471" Type="http://schemas.openxmlformats.org/officeDocument/2006/relationships/image" Target="media/image338.png"/><Relationship Id="rId472" Type="http://schemas.openxmlformats.org/officeDocument/2006/relationships/image" Target="media/image339.png"/><Relationship Id="rId473" Type="http://schemas.openxmlformats.org/officeDocument/2006/relationships/footer" Target="footer109.xml"/><Relationship Id="rId474" Type="http://schemas.openxmlformats.org/officeDocument/2006/relationships/image" Target="media/image340.png"/><Relationship Id="rId475" Type="http://schemas.openxmlformats.org/officeDocument/2006/relationships/image" Target="media/image341.png"/><Relationship Id="rId476" Type="http://schemas.openxmlformats.org/officeDocument/2006/relationships/image" Target="media/image342.png"/><Relationship Id="rId477" Type="http://schemas.openxmlformats.org/officeDocument/2006/relationships/image" Target="media/image343.png"/><Relationship Id="rId478" Type="http://schemas.openxmlformats.org/officeDocument/2006/relationships/image" Target="media/image344.png"/><Relationship Id="rId479" Type="http://schemas.openxmlformats.org/officeDocument/2006/relationships/image" Target="media/image345.png"/><Relationship Id="rId480" Type="http://schemas.openxmlformats.org/officeDocument/2006/relationships/image" Target="media/image346.png"/><Relationship Id="rId481" Type="http://schemas.openxmlformats.org/officeDocument/2006/relationships/image" Target="media/image347.png"/><Relationship Id="rId482" Type="http://schemas.openxmlformats.org/officeDocument/2006/relationships/image" Target="media/image348.png"/><Relationship Id="rId483" Type="http://schemas.openxmlformats.org/officeDocument/2006/relationships/image" Target="media/image349.png"/><Relationship Id="rId484" Type="http://schemas.openxmlformats.org/officeDocument/2006/relationships/footer" Target="footer110.xml"/><Relationship Id="rId485" Type="http://schemas.openxmlformats.org/officeDocument/2006/relationships/image" Target="media/image350.png"/><Relationship Id="rId486" Type="http://schemas.openxmlformats.org/officeDocument/2006/relationships/image" Target="media/image351.png"/><Relationship Id="rId487" Type="http://schemas.openxmlformats.org/officeDocument/2006/relationships/image" Target="media/image352.png"/><Relationship Id="rId488" Type="http://schemas.openxmlformats.org/officeDocument/2006/relationships/image" Target="media/image353.png"/><Relationship Id="rId489" Type="http://schemas.openxmlformats.org/officeDocument/2006/relationships/image" Target="media/image354.png"/><Relationship Id="rId490" Type="http://schemas.openxmlformats.org/officeDocument/2006/relationships/image" Target="media/image355.png"/><Relationship Id="rId491" Type="http://schemas.openxmlformats.org/officeDocument/2006/relationships/image" Target="media/image356.png"/><Relationship Id="rId492" Type="http://schemas.openxmlformats.org/officeDocument/2006/relationships/image" Target="media/image357.png"/><Relationship Id="rId493" Type="http://schemas.openxmlformats.org/officeDocument/2006/relationships/image" Target="media/image358.png"/><Relationship Id="rId494" Type="http://schemas.openxmlformats.org/officeDocument/2006/relationships/image" Target="media/image359.png"/><Relationship Id="rId495" Type="http://schemas.openxmlformats.org/officeDocument/2006/relationships/image" Target="media/image360.png"/><Relationship Id="rId496" Type="http://schemas.openxmlformats.org/officeDocument/2006/relationships/footer" Target="footer111.xml"/><Relationship Id="rId497" Type="http://schemas.openxmlformats.org/officeDocument/2006/relationships/image" Target="media/image361.png"/><Relationship Id="rId498" Type="http://schemas.openxmlformats.org/officeDocument/2006/relationships/image" Target="media/image362.png"/><Relationship Id="rId499" Type="http://schemas.openxmlformats.org/officeDocument/2006/relationships/image" Target="media/image363.png"/><Relationship Id="rId500" Type="http://schemas.openxmlformats.org/officeDocument/2006/relationships/image" Target="media/image364.png"/><Relationship Id="rId501" Type="http://schemas.openxmlformats.org/officeDocument/2006/relationships/image" Target="media/image365.png"/><Relationship Id="rId502" Type="http://schemas.openxmlformats.org/officeDocument/2006/relationships/image" Target="media/image366.png"/><Relationship Id="rId503" Type="http://schemas.openxmlformats.org/officeDocument/2006/relationships/image" Target="media/image367.png"/><Relationship Id="rId504" Type="http://schemas.openxmlformats.org/officeDocument/2006/relationships/image" Target="media/image368.png"/><Relationship Id="rId505" Type="http://schemas.openxmlformats.org/officeDocument/2006/relationships/image" Target="media/image369.png"/><Relationship Id="rId506" Type="http://schemas.openxmlformats.org/officeDocument/2006/relationships/image" Target="media/image370.png"/><Relationship Id="rId507" Type="http://schemas.openxmlformats.org/officeDocument/2006/relationships/image" Target="media/image371.png"/><Relationship Id="rId508" Type="http://schemas.openxmlformats.org/officeDocument/2006/relationships/image" Target="media/image372.png"/><Relationship Id="rId509" Type="http://schemas.openxmlformats.org/officeDocument/2006/relationships/image" Target="media/image373.png"/><Relationship Id="rId510" Type="http://schemas.openxmlformats.org/officeDocument/2006/relationships/image" Target="media/image374.png"/><Relationship Id="rId511" Type="http://schemas.openxmlformats.org/officeDocument/2006/relationships/image" Target="media/image375.png"/><Relationship Id="rId512" Type="http://schemas.openxmlformats.org/officeDocument/2006/relationships/image" Target="media/image376.png"/><Relationship Id="rId513" Type="http://schemas.openxmlformats.org/officeDocument/2006/relationships/image" Target="media/image377.png"/><Relationship Id="rId514" Type="http://schemas.openxmlformats.org/officeDocument/2006/relationships/footer" Target="footer112.xml"/><Relationship Id="rId515" Type="http://schemas.openxmlformats.org/officeDocument/2006/relationships/image" Target="media/image378.png"/><Relationship Id="rId516" Type="http://schemas.openxmlformats.org/officeDocument/2006/relationships/image" Target="media/image379.png"/><Relationship Id="rId517" Type="http://schemas.openxmlformats.org/officeDocument/2006/relationships/image" Target="media/image380.png"/><Relationship Id="rId518" Type="http://schemas.openxmlformats.org/officeDocument/2006/relationships/image" Target="media/image381.png"/><Relationship Id="rId519" Type="http://schemas.openxmlformats.org/officeDocument/2006/relationships/image" Target="media/image382.png"/><Relationship Id="rId520" Type="http://schemas.openxmlformats.org/officeDocument/2006/relationships/image" Target="media/image383.png"/><Relationship Id="rId521" Type="http://schemas.openxmlformats.org/officeDocument/2006/relationships/image" Target="media/image384.png"/><Relationship Id="rId522" Type="http://schemas.openxmlformats.org/officeDocument/2006/relationships/image" Target="media/image385.png"/><Relationship Id="rId523" Type="http://schemas.openxmlformats.org/officeDocument/2006/relationships/image" Target="media/image386.png"/><Relationship Id="rId524" Type="http://schemas.openxmlformats.org/officeDocument/2006/relationships/image" Target="media/image387.png"/><Relationship Id="rId525" Type="http://schemas.openxmlformats.org/officeDocument/2006/relationships/image" Target="media/image388.png"/><Relationship Id="rId526" Type="http://schemas.openxmlformats.org/officeDocument/2006/relationships/image" Target="media/image389.png"/><Relationship Id="rId527" Type="http://schemas.openxmlformats.org/officeDocument/2006/relationships/image" Target="media/image390.png"/><Relationship Id="rId528" Type="http://schemas.openxmlformats.org/officeDocument/2006/relationships/image" Target="media/image391.png"/><Relationship Id="rId529" Type="http://schemas.openxmlformats.org/officeDocument/2006/relationships/footer" Target="footer113.xml"/><Relationship Id="rId530" Type="http://schemas.openxmlformats.org/officeDocument/2006/relationships/image" Target="media/image392.png"/><Relationship Id="rId531" Type="http://schemas.openxmlformats.org/officeDocument/2006/relationships/image" Target="media/image393.png"/><Relationship Id="rId532" Type="http://schemas.openxmlformats.org/officeDocument/2006/relationships/image" Target="media/image394.png"/><Relationship Id="rId533" Type="http://schemas.openxmlformats.org/officeDocument/2006/relationships/image" Target="media/image395.png"/><Relationship Id="rId534" Type="http://schemas.openxmlformats.org/officeDocument/2006/relationships/image" Target="media/image396.png"/><Relationship Id="rId535" Type="http://schemas.openxmlformats.org/officeDocument/2006/relationships/image" Target="media/image397.png"/><Relationship Id="rId536" Type="http://schemas.openxmlformats.org/officeDocument/2006/relationships/image" Target="media/image398.png"/><Relationship Id="rId537" Type="http://schemas.openxmlformats.org/officeDocument/2006/relationships/image" Target="media/image399.png"/><Relationship Id="rId538" Type="http://schemas.openxmlformats.org/officeDocument/2006/relationships/image" Target="media/image400.png"/><Relationship Id="rId539" Type="http://schemas.openxmlformats.org/officeDocument/2006/relationships/image" Target="media/image401.png"/><Relationship Id="rId540" Type="http://schemas.openxmlformats.org/officeDocument/2006/relationships/image" Target="media/image402.png"/><Relationship Id="rId541" Type="http://schemas.openxmlformats.org/officeDocument/2006/relationships/image" Target="media/image403.png"/><Relationship Id="rId542" Type="http://schemas.openxmlformats.org/officeDocument/2006/relationships/image" Target="media/image404.png"/><Relationship Id="rId543" Type="http://schemas.openxmlformats.org/officeDocument/2006/relationships/footer" Target="footer114.xml"/><Relationship Id="rId544" Type="http://schemas.openxmlformats.org/officeDocument/2006/relationships/image" Target="media/image405.png"/><Relationship Id="rId545" Type="http://schemas.openxmlformats.org/officeDocument/2006/relationships/image" Target="media/image406.png"/><Relationship Id="rId546" Type="http://schemas.openxmlformats.org/officeDocument/2006/relationships/image" Target="media/image407.png"/><Relationship Id="rId547" Type="http://schemas.openxmlformats.org/officeDocument/2006/relationships/image" Target="media/image408.png"/><Relationship Id="rId548" Type="http://schemas.openxmlformats.org/officeDocument/2006/relationships/image" Target="media/image409.png"/><Relationship Id="rId549" Type="http://schemas.openxmlformats.org/officeDocument/2006/relationships/image" Target="media/image410.png"/><Relationship Id="rId550" Type="http://schemas.openxmlformats.org/officeDocument/2006/relationships/footer" Target="footer115.xml"/><Relationship Id="rId551" Type="http://schemas.openxmlformats.org/officeDocument/2006/relationships/image" Target="media/image411.png"/><Relationship Id="rId552" Type="http://schemas.openxmlformats.org/officeDocument/2006/relationships/image" Target="media/image412.png"/><Relationship Id="rId553" Type="http://schemas.openxmlformats.org/officeDocument/2006/relationships/image" Target="media/image413.png"/><Relationship Id="rId554" Type="http://schemas.openxmlformats.org/officeDocument/2006/relationships/image" Target="media/image414.png"/><Relationship Id="rId555" Type="http://schemas.openxmlformats.org/officeDocument/2006/relationships/image" Target="media/image415.png"/><Relationship Id="rId556" Type="http://schemas.openxmlformats.org/officeDocument/2006/relationships/image" Target="media/image416.png"/><Relationship Id="rId557" Type="http://schemas.openxmlformats.org/officeDocument/2006/relationships/image" Target="media/image417.png"/><Relationship Id="rId558" Type="http://schemas.openxmlformats.org/officeDocument/2006/relationships/image" Target="media/image418.png"/><Relationship Id="rId559" Type="http://schemas.openxmlformats.org/officeDocument/2006/relationships/image" Target="media/image419.png"/><Relationship Id="rId560" Type="http://schemas.openxmlformats.org/officeDocument/2006/relationships/image" Target="media/image420.png"/><Relationship Id="rId561" Type="http://schemas.openxmlformats.org/officeDocument/2006/relationships/footer" Target="footer116.xml"/><Relationship Id="rId562" Type="http://schemas.openxmlformats.org/officeDocument/2006/relationships/image" Target="media/image421.png"/><Relationship Id="rId563" Type="http://schemas.openxmlformats.org/officeDocument/2006/relationships/image" Target="media/image422.png"/><Relationship Id="rId564" Type="http://schemas.openxmlformats.org/officeDocument/2006/relationships/image" Target="media/image423.png"/><Relationship Id="rId565" Type="http://schemas.openxmlformats.org/officeDocument/2006/relationships/image" Target="media/image424.png"/><Relationship Id="rId566" Type="http://schemas.openxmlformats.org/officeDocument/2006/relationships/image" Target="media/image425.png"/><Relationship Id="rId567" Type="http://schemas.openxmlformats.org/officeDocument/2006/relationships/image" Target="media/image426.png"/><Relationship Id="rId568" Type="http://schemas.openxmlformats.org/officeDocument/2006/relationships/image" Target="media/image427.png"/><Relationship Id="rId569" Type="http://schemas.openxmlformats.org/officeDocument/2006/relationships/image" Target="media/image428.png"/><Relationship Id="rId570" Type="http://schemas.openxmlformats.org/officeDocument/2006/relationships/image" Target="media/image429.png"/><Relationship Id="rId571" Type="http://schemas.openxmlformats.org/officeDocument/2006/relationships/image" Target="media/image430.png"/><Relationship Id="rId572" Type="http://schemas.openxmlformats.org/officeDocument/2006/relationships/image" Target="media/image431.png"/><Relationship Id="rId573" Type="http://schemas.openxmlformats.org/officeDocument/2006/relationships/image" Target="media/image432.png"/><Relationship Id="rId574" Type="http://schemas.openxmlformats.org/officeDocument/2006/relationships/image" Target="media/image433.png"/><Relationship Id="rId575" Type="http://schemas.openxmlformats.org/officeDocument/2006/relationships/image" Target="media/image434.png"/><Relationship Id="rId576" Type="http://schemas.openxmlformats.org/officeDocument/2006/relationships/image" Target="media/image435.png"/><Relationship Id="rId577" Type="http://schemas.openxmlformats.org/officeDocument/2006/relationships/image" Target="media/image436.png"/><Relationship Id="rId578" Type="http://schemas.openxmlformats.org/officeDocument/2006/relationships/image" Target="media/image437.png"/><Relationship Id="rId579" Type="http://schemas.openxmlformats.org/officeDocument/2006/relationships/image" Target="media/image438.png"/><Relationship Id="rId580" Type="http://schemas.openxmlformats.org/officeDocument/2006/relationships/image" Target="media/image439.png"/><Relationship Id="rId581" Type="http://schemas.openxmlformats.org/officeDocument/2006/relationships/image" Target="media/image440.png"/><Relationship Id="rId582" Type="http://schemas.openxmlformats.org/officeDocument/2006/relationships/image" Target="media/image441.png"/><Relationship Id="rId583" Type="http://schemas.openxmlformats.org/officeDocument/2006/relationships/image" Target="media/image442.png"/><Relationship Id="rId584" Type="http://schemas.openxmlformats.org/officeDocument/2006/relationships/image" Target="media/image443.png"/><Relationship Id="rId585" Type="http://schemas.openxmlformats.org/officeDocument/2006/relationships/image" Target="media/image444.png"/><Relationship Id="rId586" Type="http://schemas.openxmlformats.org/officeDocument/2006/relationships/image" Target="media/image445.png"/><Relationship Id="rId587" Type="http://schemas.openxmlformats.org/officeDocument/2006/relationships/image" Target="media/image446.png"/><Relationship Id="rId588" Type="http://schemas.openxmlformats.org/officeDocument/2006/relationships/image" Target="media/image447.png"/><Relationship Id="rId589" Type="http://schemas.openxmlformats.org/officeDocument/2006/relationships/image" Target="media/image448.png"/><Relationship Id="rId590" Type="http://schemas.openxmlformats.org/officeDocument/2006/relationships/image" Target="media/image449.png"/><Relationship Id="rId591" Type="http://schemas.openxmlformats.org/officeDocument/2006/relationships/image" Target="media/image450.png"/><Relationship Id="rId592" Type="http://schemas.openxmlformats.org/officeDocument/2006/relationships/image" Target="media/image451.png"/><Relationship Id="rId593" Type="http://schemas.openxmlformats.org/officeDocument/2006/relationships/image" Target="media/image452.png"/><Relationship Id="rId594" Type="http://schemas.openxmlformats.org/officeDocument/2006/relationships/image" Target="media/image453.png"/><Relationship Id="rId595" Type="http://schemas.openxmlformats.org/officeDocument/2006/relationships/image" Target="media/image454.png"/><Relationship Id="rId596" Type="http://schemas.openxmlformats.org/officeDocument/2006/relationships/image" Target="media/image455.png"/><Relationship Id="rId597" Type="http://schemas.openxmlformats.org/officeDocument/2006/relationships/image" Target="media/image456.png"/><Relationship Id="rId598" Type="http://schemas.openxmlformats.org/officeDocument/2006/relationships/image" Target="media/image457.png"/><Relationship Id="rId599" Type="http://schemas.openxmlformats.org/officeDocument/2006/relationships/image" Target="media/image458.png"/><Relationship Id="rId600" Type="http://schemas.openxmlformats.org/officeDocument/2006/relationships/image" Target="media/image459.png"/><Relationship Id="rId601" Type="http://schemas.openxmlformats.org/officeDocument/2006/relationships/image" Target="media/image460.png"/><Relationship Id="rId602" Type="http://schemas.openxmlformats.org/officeDocument/2006/relationships/image" Target="media/image461.png"/><Relationship Id="rId603" Type="http://schemas.openxmlformats.org/officeDocument/2006/relationships/image" Target="media/image462.png"/><Relationship Id="rId604" Type="http://schemas.openxmlformats.org/officeDocument/2006/relationships/image" Target="media/image463.png"/><Relationship Id="rId605" Type="http://schemas.openxmlformats.org/officeDocument/2006/relationships/image" Target="media/image464.png"/><Relationship Id="rId606" Type="http://schemas.openxmlformats.org/officeDocument/2006/relationships/image" Target="media/image465.png"/><Relationship Id="rId607" Type="http://schemas.openxmlformats.org/officeDocument/2006/relationships/image" Target="media/image466.png"/><Relationship Id="rId608" Type="http://schemas.openxmlformats.org/officeDocument/2006/relationships/image" Target="media/image467.png"/><Relationship Id="rId609" Type="http://schemas.openxmlformats.org/officeDocument/2006/relationships/image" Target="media/image468.png"/><Relationship Id="rId610" Type="http://schemas.openxmlformats.org/officeDocument/2006/relationships/image" Target="media/image469.png"/><Relationship Id="rId611" Type="http://schemas.openxmlformats.org/officeDocument/2006/relationships/image" Target="media/image470.png"/><Relationship Id="rId612" Type="http://schemas.openxmlformats.org/officeDocument/2006/relationships/image" Target="media/image471.png"/><Relationship Id="rId613" Type="http://schemas.openxmlformats.org/officeDocument/2006/relationships/image" Target="media/image472.png"/><Relationship Id="rId614" Type="http://schemas.openxmlformats.org/officeDocument/2006/relationships/image" Target="media/image473.png"/><Relationship Id="rId615" Type="http://schemas.openxmlformats.org/officeDocument/2006/relationships/image" Target="media/image474.png"/><Relationship Id="rId616" Type="http://schemas.openxmlformats.org/officeDocument/2006/relationships/image" Target="media/image475.png"/><Relationship Id="rId617" Type="http://schemas.openxmlformats.org/officeDocument/2006/relationships/image" Target="media/image476.png"/><Relationship Id="rId618" Type="http://schemas.openxmlformats.org/officeDocument/2006/relationships/image" Target="media/image477.png"/><Relationship Id="rId619" Type="http://schemas.openxmlformats.org/officeDocument/2006/relationships/image" Target="media/image478.png"/><Relationship Id="rId620" Type="http://schemas.openxmlformats.org/officeDocument/2006/relationships/image" Target="media/image479.png"/><Relationship Id="rId621" Type="http://schemas.openxmlformats.org/officeDocument/2006/relationships/image" Target="media/image480.png"/><Relationship Id="rId622" Type="http://schemas.openxmlformats.org/officeDocument/2006/relationships/image" Target="media/image481.png"/><Relationship Id="rId623" Type="http://schemas.openxmlformats.org/officeDocument/2006/relationships/image" Target="media/image482.png"/><Relationship Id="rId624" Type="http://schemas.openxmlformats.org/officeDocument/2006/relationships/image" Target="media/image483.png"/><Relationship Id="rId625" Type="http://schemas.openxmlformats.org/officeDocument/2006/relationships/image" Target="media/image484.png"/><Relationship Id="rId626" Type="http://schemas.openxmlformats.org/officeDocument/2006/relationships/image" Target="media/image485.png"/><Relationship Id="rId627" Type="http://schemas.openxmlformats.org/officeDocument/2006/relationships/image" Target="media/image486.png"/><Relationship Id="rId628" Type="http://schemas.openxmlformats.org/officeDocument/2006/relationships/image" Target="media/image487.png"/><Relationship Id="rId629" Type="http://schemas.openxmlformats.org/officeDocument/2006/relationships/image" Target="media/image488.png"/><Relationship Id="rId630" Type="http://schemas.openxmlformats.org/officeDocument/2006/relationships/image" Target="media/image489.png"/><Relationship Id="rId631" Type="http://schemas.openxmlformats.org/officeDocument/2006/relationships/image" Target="media/image490.png"/><Relationship Id="rId632" Type="http://schemas.openxmlformats.org/officeDocument/2006/relationships/image" Target="media/image491.png"/><Relationship Id="rId633" Type="http://schemas.openxmlformats.org/officeDocument/2006/relationships/image" Target="media/image492.png"/><Relationship Id="rId634" Type="http://schemas.openxmlformats.org/officeDocument/2006/relationships/image" Target="media/image493.png"/><Relationship Id="rId635" Type="http://schemas.openxmlformats.org/officeDocument/2006/relationships/image" Target="media/image494.png"/><Relationship Id="rId636" Type="http://schemas.openxmlformats.org/officeDocument/2006/relationships/image" Target="media/image495.png"/><Relationship Id="rId637" Type="http://schemas.openxmlformats.org/officeDocument/2006/relationships/image" Target="media/image496.png"/><Relationship Id="rId638" Type="http://schemas.openxmlformats.org/officeDocument/2006/relationships/image" Target="media/image497.png"/><Relationship Id="rId639" Type="http://schemas.openxmlformats.org/officeDocument/2006/relationships/image" Target="media/image498.png"/><Relationship Id="rId640" Type="http://schemas.openxmlformats.org/officeDocument/2006/relationships/image" Target="media/image499.png"/><Relationship Id="rId641" Type="http://schemas.openxmlformats.org/officeDocument/2006/relationships/image" Target="media/image500.png"/><Relationship Id="rId642" Type="http://schemas.openxmlformats.org/officeDocument/2006/relationships/image" Target="media/image501.png"/><Relationship Id="rId643" Type="http://schemas.openxmlformats.org/officeDocument/2006/relationships/image" Target="media/image502.png"/><Relationship Id="rId644" Type="http://schemas.openxmlformats.org/officeDocument/2006/relationships/image" Target="media/image503.png"/><Relationship Id="rId645" Type="http://schemas.openxmlformats.org/officeDocument/2006/relationships/image" Target="media/image504.png"/><Relationship Id="rId646" Type="http://schemas.openxmlformats.org/officeDocument/2006/relationships/image" Target="media/image505.png"/><Relationship Id="rId647" Type="http://schemas.openxmlformats.org/officeDocument/2006/relationships/image" Target="media/image506.png"/><Relationship Id="rId648" Type="http://schemas.openxmlformats.org/officeDocument/2006/relationships/image" Target="media/image507.png"/><Relationship Id="rId649" Type="http://schemas.openxmlformats.org/officeDocument/2006/relationships/image" Target="media/image508.png"/><Relationship Id="rId650" Type="http://schemas.openxmlformats.org/officeDocument/2006/relationships/image" Target="media/image509.png"/><Relationship Id="rId651" Type="http://schemas.openxmlformats.org/officeDocument/2006/relationships/image" Target="media/image510.png"/><Relationship Id="rId652" Type="http://schemas.openxmlformats.org/officeDocument/2006/relationships/image" Target="media/image511.png"/><Relationship Id="rId653" Type="http://schemas.openxmlformats.org/officeDocument/2006/relationships/image" Target="media/image512.png"/><Relationship Id="rId654" Type="http://schemas.openxmlformats.org/officeDocument/2006/relationships/image" Target="media/image513.png"/><Relationship Id="rId655" Type="http://schemas.openxmlformats.org/officeDocument/2006/relationships/image" Target="media/image514.png"/><Relationship Id="rId656" Type="http://schemas.openxmlformats.org/officeDocument/2006/relationships/image" Target="media/image515.png"/><Relationship Id="rId657" Type="http://schemas.openxmlformats.org/officeDocument/2006/relationships/image" Target="media/image516.png"/><Relationship Id="rId658" Type="http://schemas.openxmlformats.org/officeDocument/2006/relationships/image" Target="media/image517.png"/><Relationship Id="rId659" Type="http://schemas.openxmlformats.org/officeDocument/2006/relationships/image" Target="media/image518.png"/><Relationship Id="rId660" Type="http://schemas.openxmlformats.org/officeDocument/2006/relationships/image" Target="media/image519.png"/><Relationship Id="rId661" Type="http://schemas.openxmlformats.org/officeDocument/2006/relationships/image" Target="media/image520.png"/><Relationship Id="rId662" Type="http://schemas.openxmlformats.org/officeDocument/2006/relationships/image" Target="media/image521.png"/><Relationship Id="rId663" Type="http://schemas.openxmlformats.org/officeDocument/2006/relationships/image" Target="media/image522.png"/><Relationship Id="rId664" Type="http://schemas.openxmlformats.org/officeDocument/2006/relationships/image" Target="media/image523.png"/><Relationship Id="rId665" Type="http://schemas.openxmlformats.org/officeDocument/2006/relationships/image" Target="media/image524.png"/><Relationship Id="rId666" Type="http://schemas.openxmlformats.org/officeDocument/2006/relationships/image" Target="media/image525.png"/><Relationship Id="rId667" Type="http://schemas.openxmlformats.org/officeDocument/2006/relationships/image" Target="media/image526.png"/><Relationship Id="rId668" Type="http://schemas.openxmlformats.org/officeDocument/2006/relationships/image" Target="media/image527.png"/><Relationship Id="rId669" Type="http://schemas.openxmlformats.org/officeDocument/2006/relationships/image" Target="media/image528.png"/><Relationship Id="rId670" Type="http://schemas.openxmlformats.org/officeDocument/2006/relationships/image" Target="media/image529.png"/><Relationship Id="rId671" Type="http://schemas.openxmlformats.org/officeDocument/2006/relationships/image" Target="media/image530.png"/><Relationship Id="rId672" Type="http://schemas.openxmlformats.org/officeDocument/2006/relationships/image" Target="media/image531.png"/><Relationship Id="rId673" Type="http://schemas.openxmlformats.org/officeDocument/2006/relationships/image" Target="media/image532.png"/><Relationship Id="rId674" Type="http://schemas.openxmlformats.org/officeDocument/2006/relationships/image" Target="media/image533.png"/><Relationship Id="rId675" Type="http://schemas.openxmlformats.org/officeDocument/2006/relationships/image" Target="media/image534.png"/><Relationship Id="rId676" Type="http://schemas.openxmlformats.org/officeDocument/2006/relationships/image" Target="media/image535.png"/><Relationship Id="rId677" Type="http://schemas.openxmlformats.org/officeDocument/2006/relationships/image" Target="media/image536.png"/><Relationship Id="rId678" Type="http://schemas.openxmlformats.org/officeDocument/2006/relationships/image" Target="media/image537.png"/><Relationship Id="rId679" Type="http://schemas.openxmlformats.org/officeDocument/2006/relationships/image" Target="media/image538.png"/><Relationship Id="rId680" Type="http://schemas.openxmlformats.org/officeDocument/2006/relationships/image" Target="media/image539.png"/><Relationship Id="rId681" Type="http://schemas.openxmlformats.org/officeDocument/2006/relationships/image" Target="media/image540.png"/><Relationship Id="rId682" Type="http://schemas.openxmlformats.org/officeDocument/2006/relationships/image" Target="media/image541.png"/><Relationship Id="rId683" Type="http://schemas.openxmlformats.org/officeDocument/2006/relationships/image" Target="media/image542.png"/><Relationship Id="rId684" Type="http://schemas.openxmlformats.org/officeDocument/2006/relationships/image" Target="media/image543.png"/><Relationship Id="rId685" Type="http://schemas.openxmlformats.org/officeDocument/2006/relationships/image" Target="media/image544.png"/><Relationship Id="rId686" Type="http://schemas.openxmlformats.org/officeDocument/2006/relationships/image" Target="media/image545.png"/><Relationship Id="rId687" Type="http://schemas.openxmlformats.org/officeDocument/2006/relationships/image" Target="media/image546.png"/><Relationship Id="rId688" Type="http://schemas.openxmlformats.org/officeDocument/2006/relationships/footer" Target="footer117.xml"/><Relationship Id="rId689" Type="http://schemas.openxmlformats.org/officeDocument/2006/relationships/footer" Target="footer118.xml"/><Relationship Id="rId690" Type="http://schemas.openxmlformats.org/officeDocument/2006/relationships/image" Target="media/image547.png"/><Relationship Id="rId691" Type="http://schemas.openxmlformats.org/officeDocument/2006/relationships/image" Target="media/image548.png"/><Relationship Id="rId692" Type="http://schemas.openxmlformats.org/officeDocument/2006/relationships/image" Target="media/image549.png"/><Relationship Id="rId693" Type="http://schemas.openxmlformats.org/officeDocument/2006/relationships/image" Target="media/image550.png"/><Relationship Id="rId694" Type="http://schemas.openxmlformats.org/officeDocument/2006/relationships/image" Target="media/image551.png"/><Relationship Id="rId695" Type="http://schemas.openxmlformats.org/officeDocument/2006/relationships/image" Target="media/image552.png"/><Relationship Id="rId696" Type="http://schemas.openxmlformats.org/officeDocument/2006/relationships/image" Target="media/image553.png"/><Relationship Id="rId697" Type="http://schemas.openxmlformats.org/officeDocument/2006/relationships/image" Target="media/image554.png"/><Relationship Id="rId698" Type="http://schemas.openxmlformats.org/officeDocument/2006/relationships/footer" Target="footer119.xml"/><Relationship Id="rId699" Type="http://schemas.openxmlformats.org/officeDocument/2006/relationships/footer" Target="footer120.xml"/><Relationship Id="rId700" Type="http://schemas.openxmlformats.org/officeDocument/2006/relationships/footer" Target="footer121.xml"/><Relationship Id="rId701" Type="http://schemas.openxmlformats.org/officeDocument/2006/relationships/footer" Target="footer122.xml"/><Relationship Id="rId702" Type="http://schemas.openxmlformats.org/officeDocument/2006/relationships/footer" Target="footer123.xml"/><Relationship Id="rId703" Type="http://schemas.openxmlformats.org/officeDocument/2006/relationships/footer" Target="footer124.xml"/><Relationship Id="rId704" Type="http://schemas.openxmlformats.org/officeDocument/2006/relationships/footer" Target="footer125.xml"/><Relationship Id="rId705" Type="http://schemas.openxmlformats.org/officeDocument/2006/relationships/footer" Target="footer126.xml"/><Relationship Id="rId706" Type="http://schemas.openxmlformats.org/officeDocument/2006/relationships/hyperlink" Target="http://www.importancia.org/reglamento.php#ixzz3HjxiLCEg" TargetMode="External"/><Relationship Id="rId707" Type="http://schemas.openxmlformats.org/officeDocument/2006/relationships/footer" Target="footer127.xml"/><Relationship Id="rId708" Type="http://schemas.openxmlformats.org/officeDocument/2006/relationships/footer" Target="footer128.xml"/><Relationship Id="rId709" Type="http://schemas.openxmlformats.org/officeDocument/2006/relationships/footer" Target="footer129.xml"/><Relationship Id="rId710" Type="http://schemas.openxmlformats.org/officeDocument/2006/relationships/footer" Target="footer130.xml"/><Relationship Id="rId711" Type="http://schemas.openxmlformats.org/officeDocument/2006/relationships/footer" Target="footer131.xml"/><Relationship Id="rId712" Type="http://schemas.openxmlformats.org/officeDocument/2006/relationships/footer" Target="footer132.xml"/><Relationship Id="rId713" Type="http://schemas.openxmlformats.org/officeDocument/2006/relationships/footer" Target="footer133.xml"/><Relationship Id="rId714" Type="http://schemas.openxmlformats.org/officeDocument/2006/relationships/footer" Target="footer134.xml"/><Relationship Id="rId715" Type="http://schemas.openxmlformats.org/officeDocument/2006/relationships/image" Target="media/image555.png"/><Relationship Id="rId716" Type="http://schemas.openxmlformats.org/officeDocument/2006/relationships/image" Target="media/image556.png"/><Relationship Id="rId717" Type="http://schemas.openxmlformats.org/officeDocument/2006/relationships/image" Target="media/image557.png"/><Relationship Id="rId718" Type="http://schemas.openxmlformats.org/officeDocument/2006/relationships/image" Target="media/image558.png"/><Relationship Id="rId719" Type="http://schemas.openxmlformats.org/officeDocument/2006/relationships/image" Target="media/image559.png"/><Relationship Id="rId720" Type="http://schemas.openxmlformats.org/officeDocument/2006/relationships/image" Target="media/image560.png"/><Relationship Id="rId721" Type="http://schemas.openxmlformats.org/officeDocument/2006/relationships/image" Target="media/image561.png"/><Relationship Id="rId722" Type="http://schemas.openxmlformats.org/officeDocument/2006/relationships/image" Target="media/image562.png"/><Relationship Id="rId723" Type="http://schemas.openxmlformats.org/officeDocument/2006/relationships/image" Target="media/image563.png"/><Relationship Id="rId724" Type="http://schemas.openxmlformats.org/officeDocument/2006/relationships/image" Target="media/image564.png"/><Relationship Id="rId725" Type="http://schemas.openxmlformats.org/officeDocument/2006/relationships/image" Target="media/image565.png"/><Relationship Id="rId726" Type="http://schemas.openxmlformats.org/officeDocument/2006/relationships/image" Target="media/image566.png"/><Relationship Id="rId727" Type="http://schemas.openxmlformats.org/officeDocument/2006/relationships/image" Target="media/image567.png"/><Relationship Id="rId728" Type="http://schemas.openxmlformats.org/officeDocument/2006/relationships/image" Target="media/image568.png"/><Relationship Id="rId729" Type="http://schemas.openxmlformats.org/officeDocument/2006/relationships/image" Target="media/image569.png"/><Relationship Id="rId730" Type="http://schemas.openxmlformats.org/officeDocument/2006/relationships/image" Target="media/image570.png"/><Relationship Id="rId731" Type="http://schemas.openxmlformats.org/officeDocument/2006/relationships/image" Target="media/image571.png"/><Relationship Id="rId732" Type="http://schemas.openxmlformats.org/officeDocument/2006/relationships/image" Target="media/image572.png"/><Relationship Id="rId733" Type="http://schemas.openxmlformats.org/officeDocument/2006/relationships/image" Target="media/image573.png"/><Relationship Id="rId734" Type="http://schemas.openxmlformats.org/officeDocument/2006/relationships/image" Target="media/image574.png"/><Relationship Id="rId735" Type="http://schemas.openxmlformats.org/officeDocument/2006/relationships/image" Target="media/image575.png"/><Relationship Id="rId736" Type="http://schemas.openxmlformats.org/officeDocument/2006/relationships/image" Target="media/image576.png"/><Relationship Id="rId737" Type="http://schemas.openxmlformats.org/officeDocument/2006/relationships/image" Target="media/image577.png"/><Relationship Id="rId738" Type="http://schemas.openxmlformats.org/officeDocument/2006/relationships/image" Target="media/image578.png"/><Relationship Id="rId739" Type="http://schemas.openxmlformats.org/officeDocument/2006/relationships/image" Target="media/image579.png"/><Relationship Id="rId740" Type="http://schemas.openxmlformats.org/officeDocument/2006/relationships/image" Target="media/image580.png"/><Relationship Id="rId741" Type="http://schemas.openxmlformats.org/officeDocument/2006/relationships/image" Target="media/image581.png"/><Relationship Id="rId742" Type="http://schemas.openxmlformats.org/officeDocument/2006/relationships/image" Target="media/image582.png"/><Relationship Id="rId743" Type="http://schemas.openxmlformats.org/officeDocument/2006/relationships/image" Target="media/image583.png"/><Relationship Id="rId744" Type="http://schemas.openxmlformats.org/officeDocument/2006/relationships/image" Target="media/image584.png"/><Relationship Id="rId745" Type="http://schemas.openxmlformats.org/officeDocument/2006/relationships/image" Target="media/image585.png"/><Relationship Id="rId746" Type="http://schemas.openxmlformats.org/officeDocument/2006/relationships/image" Target="media/image586.png"/><Relationship Id="rId747" Type="http://schemas.openxmlformats.org/officeDocument/2006/relationships/image" Target="media/image587.png"/><Relationship Id="rId748" Type="http://schemas.openxmlformats.org/officeDocument/2006/relationships/image" Target="media/image588.png"/><Relationship Id="rId749" Type="http://schemas.openxmlformats.org/officeDocument/2006/relationships/image" Target="media/image589.png"/><Relationship Id="rId750" Type="http://schemas.openxmlformats.org/officeDocument/2006/relationships/image" Target="media/image590.png"/><Relationship Id="rId751" Type="http://schemas.openxmlformats.org/officeDocument/2006/relationships/image" Target="media/image591.png"/><Relationship Id="rId752" Type="http://schemas.openxmlformats.org/officeDocument/2006/relationships/image" Target="media/image592.png"/><Relationship Id="rId753" Type="http://schemas.openxmlformats.org/officeDocument/2006/relationships/image" Target="media/image593.png"/><Relationship Id="rId754" Type="http://schemas.openxmlformats.org/officeDocument/2006/relationships/image" Target="media/image594.png"/><Relationship Id="rId755" Type="http://schemas.openxmlformats.org/officeDocument/2006/relationships/image" Target="media/image595.png"/><Relationship Id="rId756" Type="http://schemas.openxmlformats.org/officeDocument/2006/relationships/image" Target="media/image596.png"/><Relationship Id="rId757" Type="http://schemas.openxmlformats.org/officeDocument/2006/relationships/image" Target="media/image597.png"/><Relationship Id="rId758" Type="http://schemas.openxmlformats.org/officeDocument/2006/relationships/image" Target="media/image598.png"/><Relationship Id="rId759" Type="http://schemas.openxmlformats.org/officeDocument/2006/relationships/image" Target="media/image599.png"/><Relationship Id="rId760" Type="http://schemas.openxmlformats.org/officeDocument/2006/relationships/image" Target="media/image600.png"/><Relationship Id="rId761" Type="http://schemas.openxmlformats.org/officeDocument/2006/relationships/image" Target="media/image601.png"/><Relationship Id="rId762" Type="http://schemas.openxmlformats.org/officeDocument/2006/relationships/image" Target="media/image602.png"/><Relationship Id="rId763" Type="http://schemas.openxmlformats.org/officeDocument/2006/relationships/image" Target="media/image603.png"/><Relationship Id="rId764" Type="http://schemas.openxmlformats.org/officeDocument/2006/relationships/image" Target="media/image604.png"/><Relationship Id="rId765" Type="http://schemas.openxmlformats.org/officeDocument/2006/relationships/image" Target="media/image605.png"/><Relationship Id="rId766" Type="http://schemas.openxmlformats.org/officeDocument/2006/relationships/image" Target="media/image606.png"/><Relationship Id="rId767" Type="http://schemas.openxmlformats.org/officeDocument/2006/relationships/image" Target="media/image607.png"/><Relationship Id="rId768" Type="http://schemas.openxmlformats.org/officeDocument/2006/relationships/image" Target="media/image608.png"/><Relationship Id="rId769" Type="http://schemas.openxmlformats.org/officeDocument/2006/relationships/image" Target="media/image609.png"/><Relationship Id="rId770" Type="http://schemas.openxmlformats.org/officeDocument/2006/relationships/image" Target="media/image610.png"/><Relationship Id="rId771" Type="http://schemas.openxmlformats.org/officeDocument/2006/relationships/image" Target="media/image611.png"/><Relationship Id="rId772" Type="http://schemas.openxmlformats.org/officeDocument/2006/relationships/image" Target="media/image612.png"/><Relationship Id="rId773" Type="http://schemas.openxmlformats.org/officeDocument/2006/relationships/image" Target="media/image613.png"/><Relationship Id="rId774" Type="http://schemas.openxmlformats.org/officeDocument/2006/relationships/image" Target="media/image614.png"/><Relationship Id="rId775" Type="http://schemas.openxmlformats.org/officeDocument/2006/relationships/image" Target="media/image615.png"/><Relationship Id="rId776" Type="http://schemas.openxmlformats.org/officeDocument/2006/relationships/image" Target="media/image616.png"/><Relationship Id="rId777" Type="http://schemas.openxmlformats.org/officeDocument/2006/relationships/image" Target="media/image617.png"/><Relationship Id="rId778" Type="http://schemas.openxmlformats.org/officeDocument/2006/relationships/image" Target="media/image618.png"/><Relationship Id="rId779" Type="http://schemas.openxmlformats.org/officeDocument/2006/relationships/image" Target="media/image619.png"/><Relationship Id="rId780" Type="http://schemas.openxmlformats.org/officeDocument/2006/relationships/image" Target="media/image620.png"/><Relationship Id="rId781" Type="http://schemas.openxmlformats.org/officeDocument/2006/relationships/image" Target="media/image621.png"/><Relationship Id="rId782" Type="http://schemas.openxmlformats.org/officeDocument/2006/relationships/image" Target="media/image622.png"/><Relationship Id="rId783" Type="http://schemas.openxmlformats.org/officeDocument/2006/relationships/image" Target="media/image623.png"/><Relationship Id="rId784" Type="http://schemas.openxmlformats.org/officeDocument/2006/relationships/footer" Target="footer135.xml"/><Relationship Id="rId785" Type="http://schemas.openxmlformats.org/officeDocument/2006/relationships/footer" Target="footer136.xml"/><Relationship Id="rId786" Type="http://schemas.openxmlformats.org/officeDocument/2006/relationships/hyperlink" Target="http://www.monografias.com/trabajos910/apuntes-universidad/apuntes-universidad.shtml" TargetMode="External"/><Relationship Id="rId787" Type="http://schemas.openxmlformats.org/officeDocument/2006/relationships/footer" Target="footer137.xml"/><Relationship Id="rId788" Type="http://schemas.openxmlformats.org/officeDocument/2006/relationships/hyperlink" Target="http://www.cec.org/" TargetMode="External"/><Relationship Id="rId789" Type="http://schemas.openxmlformats.org/officeDocument/2006/relationships/hyperlink" Target="http://www2.inecc.gob.mx/publicaciones/gacetas/498/alvarez.html" TargetMode="External"/><Relationship Id="rId790" Type="http://schemas.openxmlformats.org/officeDocument/2006/relationships/hyperlink" Target="http://www.eumed.net/libros/2010d/777/" TargetMode="External"/><Relationship Id="rId791" Type="http://schemas.openxmlformats.org/officeDocument/2006/relationships/hyperlink" Target="http://www.edomexico.gob.mx/" TargetMode="External"/><Relationship Id="rId792" Type="http://schemas.openxmlformats.org/officeDocument/2006/relationships/hyperlink" Target="http://www.edomexico.gob.mx/portalgem/medioambiente/mapa/dociemtacion/principalesc" TargetMode="External"/><Relationship Id="rId793" Type="http://schemas.openxmlformats.org/officeDocument/2006/relationships/hyperlink" Target="http://www.cap-net-esp.org/" TargetMode="External"/><Relationship Id="rId794" Type="http://schemas.openxmlformats.org/officeDocument/2006/relationships/hyperlink" Target="http://polis.revues.org/2660" TargetMode="External"/><Relationship Id="rId795" Type="http://schemas.openxmlformats.org/officeDocument/2006/relationships/hyperlink" Target="http://www.cemda.org.mx/wp-content/uploads/2011/12/agua-mexico_001.pdf" TargetMode="External"/><Relationship Id="rId796" Type="http://schemas.openxmlformats.org/officeDocument/2006/relationships/hyperlink" Target="https://dialnet.unirioja.es/" TargetMode="External"/><Relationship Id="rId797" Type="http://schemas.openxmlformats.org/officeDocument/2006/relationships/hyperlink" Target="http://centro-agua.org/index.php" TargetMode="External"/><Relationship Id="rId798" Type="http://schemas.openxmlformats.org/officeDocument/2006/relationships/hyperlink" Target="http://www.ciceana.org.mx/recursos/Tratados" TargetMode="External"/><Relationship Id="rId799" Type="http://schemas.openxmlformats.org/officeDocument/2006/relationships/hyperlink" Target="http://siga.cna.gob.mx/contenido/antecedentes/antecedentes.aspx" TargetMode="External"/><Relationship Id="rId800" Type="http://schemas.openxmlformats.org/officeDocument/2006/relationships/hyperlink" Target="http://conagua.org.mx/" TargetMode="External"/><Relationship Id="rId801" Type="http://schemas.openxmlformats.org/officeDocument/2006/relationships/hyperlink" Target="http://www.conagua.gob.mx/" TargetMode="External"/><Relationship Id="rId802" Type="http://schemas.openxmlformats.org/officeDocument/2006/relationships/hyperlink" Target="http://www.un.org/spanish/conferences/wssd/unced.html" TargetMode="External"/><Relationship Id="rId803" Type="http://schemas.openxmlformats.org/officeDocument/2006/relationships/hyperlink" Target="http://www.sista.com.mx/" TargetMode="External"/><Relationship Id="rId804" Type="http://schemas.openxmlformats.org/officeDocument/2006/relationships/hyperlink" Target="http://www.un.org/es/events/biodiversityday/convention.shtml" TargetMode="External"/><Relationship Id="rId805" Type="http://schemas.openxmlformats.org/officeDocument/2006/relationships/hyperlink" Target="http://www.cuencaamanalcovalle.org/" TargetMode="External"/><Relationship Id="rId806" Type="http://schemas.openxmlformats.org/officeDocument/2006/relationships/hyperlink" Target="http://www.ambiente.gov.ar/" TargetMode="External"/><Relationship Id="rId807" Type="http://schemas.openxmlformats.org/officeDocument/2006/relationships/hyperlink" Target="http://elgiromx.org/2012/06/14/que-es-el-neoliberalismo-es-bueno-para-mexico" TargetMode="External"/><Relationship Id="rId808" Type="http://schemas.openxmlformats.org/officeDocument/2006/relationships/hyperlink" Target="http://www.enciclopedia-juridica.biz14.com/d/derecho-" TargetMode="External"/><Relationship Id="rId809" Type="http://schemas.openxmlformats.org/officeDocument/2006/relationships/hyperlink" Target="http://www.fao.org/fishery/countrysector/FI-CP_UG/es" TargetMode="External"/><Relationship Id="rId810" Type="http://schemas.openxmlformats.org/officeDocument/2006/relationships/hyperlink" Target="http://www.fao.org/" TargetMode="External"/><Relationship Id="rId811" Type="http://schemas.openxmlformats.org/officeDocument/2006/relationships/hyperlink" Target="http://www.avina.net/" TargetMode="External"/><Relationship Id="rId812" Type="http://schemas.openxmlformats.org/officeDocument/2006/relationships/hyperlink" Target="http://www.gwp.org/en/The-Challenge/" TargetMode="External"/><Relationship Id="rId813" Type="http://schemas.openxmlformats.org/officeDocument/2006/relationships/hyperlink" Target="http://mexico.justia.com/estados/mex/leyes/ley-organica-municipal-del-estado-de-mexico/" TargetMode="External"/><Relationship Id="rId814" Type="http://schemas.openxmlformats.org/officeDocument/2006/relationships/hyperlink" Target="http://www.preval.org/" TargetMode="External"/><Relationship Id="rId815" Type="http://schemas.openxmlformats.org/officeDocument/2006/relationships/hyperlink" Target="http://www.gwpforum.org/" TargetMode="External"/><Relationship Id="rId816" Type="http://schemas.openxmlformats.org/officeDocument/2006/relationships/hyperlink" Target="http://biblio.juridicas.unam.mx/" TargetMode="External"/><Relationship Id="rId817" Type="http://schemas.openxmlformats.org/officeDocument/2006/relationships/hyperlink" Target="http://portal2.edomex.gob.mx/ifrem/acercadelinstituto/funcion/index.htm" TargetMode="External"/><Relationship Id="rId818" Type="http://schemas.openxmlformats.org/officeDocument/2006/relationships/hyperlink" Target="http://portal2.edomex.gob.mx/ifrem/oficinasregistrales/index.htm" TargetMode="External"/><Relationship Id="rId819" Type="http://schemas.openxmlformats.org/officeDocument/2006/relationships/hyperlink" Target="http://qacontent.edomex.gob.mx/saop/inicio/acerca_de_la_secretaria/mision_vision_y_objetivo/index.htm" TargetMode="External"/><Relationship Id="rId820" Type="http://schemas.openxmlformats.org/officeDocument/2006/relationships/hyperlink" Target="http://www.ejournal.unam.mx/pde/pde142/PDE14201.pdf" TargetMode="External"/><Relationship Id="rId821" Type="http://schemas.openxmlformats.org/officeDocument/2006/relationships/hyperlink" Target="http://www.monografias.com/trabajos73/democracia-participacion-social/democracia-" TargetMode="External"/><Relationship Id="rId822" Type="http://schemas.openxmlformats.org/officeDocument/2006/relationships/hyperlink" Target="http://www.inafed.gob.mx/work/enciclopedia/EMM15mexico/municipios/15102a.html" TargetMode="External"/><Relationship Id="rId823" Type="http://schemas.openxmlformats.org/officeDocument/2006/relationships/hyperlink" Target="http://www.comparadondevives.org/" TargetMode="External"/><Relationship Id="rId824" Type="http://schemas.openxmlformats.org/officeDocument/2006/relationships/hyperlink" Target="http://www.inegi.org.mx/geo/contenidos/geoestadistica/catalogoclaves.aspx" TargetMode="External"/><Relationship Id="rId825" Type="http://schemas.openxmlformats.org/officeDocument/2006/relationships/hyperlink" Target="http://www.e-local.gob/" TargetMode="External"/><Relationship Id="rId826" Type="http://schemas.openxmlformats.org/officeDocument/2006/relationships/hyperlink" Target="http://www.un.org/spanish/waterforlifedecade/iwrm.shtml" TargetMode="External"/><Relationship Id="rId827" Type="http://schemas.openxmlformats.org/officeDocument/2006/relationships/hyperlink" Target="http://www.diputados.gob.mx/LeyesBiblio/pdf/16_110814.pdf" TargetMode="External"/><Relationship Id="rId828" Type="http://schemas.openxmlformats.org/officeDocument/2006/relationships/hyperlink" Target="http://www.diputados.gob.mx/leyesbiblio/pdf/259_260315.pdf" TargetMode="External"/><Relationship Id="rId829" Type="http://schemas.openxmlformats.org/officeDocument/2006/relationships/hyperlink" Target="http://www.metro.df.gob.mx/transparencia/imagenes/fr1/normaplicable/2014/1/lgeepa14012014.pdf" TargetMode="External"/><Relationship Id="rId830" Type="http://schemas.openxmlformats.org/officeDocument/2006/relationships/hyperlink" Target="http://www.diputados.gob.mx/LeyesBiblio/pdf/146_260115.pdf" TargetMode="External"/><Relationship Id="rId831" Type="http://schemas.openxmlformats.org/officeDocument/2006/relationships/hyperlink" Target="http://www.diputados.gob.mx/LeyesBiblio/pdf/263_051214.pdf" TargetMode="External"/><Relationship Id="rId832" Type="http://schemas.openxmlformats.org/officeDocument/2006/relationships/hyperlink" Target="http://academic.uprm.edu/amartinez" TargetMode="External"/><Relationship Id="rId833" Type="http://schemas.openxmlformats.org/officeDocument/2006/relationships/hyperlink" Target="http://www.eumed.net/eve/resum/07-junio/jgvh.htm" TargetMode="External"/><Relationship Id="rId834" Type="http://schemas.openxmlformats.org/officeDocument/2006/relationships/hyperlink" Target="http://julianamontoya.blogspot.mx/2007/10/cuerpo-de-agua-vida-artificial.html" TargetMode="External"/><Relationship Id="rId835" Type="http://schemas.openxmlformats.org/officeDocument/2006/relationships/hyperlink" Target="https://www.oecd.org/gov/regional-policy/OECD-Principles-Water-spanish" TargetMode="External"/><Relationship Id="rId836" Type="http://schemas.openxmlformats.org/officeDocument/2006/relationships/hyperlink" Target="http://europa.eu.int/comm/governance/docs/doc5_en.pdf" TargetMode="External"/><Relationship Id="rId837" Type="http://schemas.openxmlformats.org/officeDocument/2006/relationships/hyperlink" Target="http://www.orsep.gob.ar/que-es-una-presa.php" TargetMode="External"/><Relationship Id="rId838" Type="http://schemas.openxmlformats.org/officeDocument/2006/relationships/hyperlink" Target="http://www.iigov.org/" TargetMode="External"/><Relationship Id="rId839" Type="http://schemas.openxmlformats.org/officeDocument/2006/relationships/hyperlink" Target="http://www.pa.gob.mx/" TargetMode="External"/><Relationship Id="rId840" Type="http://schemas.openxmlformats.org/officeDocument/2006/relationships/hyperlink" Target="http://www.ran.gob.mx/" TargetMode="External"/><Relationship Id="rId841" Type="http://schemas.openxmlformats.org/officeDocument/2006/relationships/hyperlink" Target="http://www.edomex.gob.mx/legistelfon/doc/pdf/rgl/vig/rglvig048.pdf" TargetMode="External"/><Relationship Id="rId842" Type="http://schemas.openxmlformats.org/officeDocument/2006/relationships/hyperlink" Target="http://www.sagarpa.gob.mx/" TargetMode="External"/><Relationship Id="rId843" Type="http://schemas.openxmlformats.org/officeDocument/2006/relationships/hyperlink" Target="http://www.sct.gob.mx/obrapublica/MarcoNormativo/3/3-3/3-3-5.pdf" TargetMode="External"/><Relationship Id="rId844" Type="http://schemas.openxmlformats.org/officeDocument/2006/relationships/hyperlink" Target="http://www.sra.gob.mx/sraweb/" TargetMode="External"/><Relationship Id="rId845" Type="http://schemas.openxmlformats.org/officeDocument/2006/relationships/hyperlink" Target="http://muse.jhu.edu/" TargetMode="External"/><Relationship Id="rId846" Type="http://schemas.openxmlformats.org/officeDocument/2006/relationships/hyperlink" Target="http://190.104.117.163/2014/noviembre/inte_agua/contenido/ponencias/" TargetMode="External"/><Relationship Id="rId847" Type="http://schemas.openxmlformats.org/officeDocument/2006/relationships/hyperlink" Target="http://tragua.com/quienes-somos/" TargetMode="External"/><Relationship Id="rId848" Type="http://schemas.openxmlformats.org/officeDocument/2006/relationships/hyperlink" Target="http://www.unesco.org/water/news/newsletter/231_es.shtml" TargetMode="External"/><Relationship Id="rId849" Type="http://schemas.openxmlformats.org/officeDocument/2006/relationships/hyperlink" Target="http://eur-lex.europa.eu/legal-content/ES/TXT/?uri=URISERV%3Al28115" TargetMode="External"/><Relationship Id="rId850" Type="http://schemas.openxmlformats.org/officeDocument/2006/relationships/hyperlink" Target="http://biblio.juridicas.unam.mx/libros/3/1441/19.pdf" TargetMode="External"/><Relationship Id="rId851" Type="http://schemas.openxmlformats.org/officeDocument/2006/relationships/hyperlink" Target="http://www.losandes.com.pe/Opinion/20091025/28919.html" TargetMode="External"/><Relationship Id="rId852" Type="http://schemas.openxmlformats.org/officeDocument/2006/relationships/footer" Target="footer138.xml"/><Relationship Id="rId8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2017-05-24T18:08:23Z</dcterms:created>
  <dcterms:modified xsi:type="dcterms:W3CDTF">2017-05-24T18:08:23Z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